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4DE10FF" w14:textId="1590A397" w:rsidR="002635C7" w:rsidRPr="0025250D" w:rsidRDefault="00B219EF" w:rsidP="00B219EF">
      <w:pPr>
        <w:jc w:val="center"/>
        <w:rPr>
          <w:b/>
          <w:bCs/>
          <w:sz w:val="44"/>
          <w:szCs w:val="48"/>
          <w:rtl/>
        </w:rPr>
      </w:pPr>
      <w:r w:rsidRPr="0025250D">
        <w:rPr>
          <w:b/>
          <w:bCs/>
          <w:sz w:val="44"/>
          <w:szCs w:val="48"/>
          <w:rtl/>
        </w:rPr>
        <w:t>مقدمه‌ای بر آینده‌نگاری</w:t>
      </w:r>
    </w:p>
    <w:p w14:paraId="122D653D" w14:textId="7AC5F0F2" w:rsidR="00B219EF" w:rsidRPr="0025250D" w:rsidRDefault="00076897" w:rsidP="00076897">
      <w:pPr>
        <w:jc w:val="center"/>
        <w:rPr>
          <w:b/>
          <w:bCs/>
          <w:rtl/>
        </w:rPr>
      </w:pPr>
      <w:r w:rsidRPr="0025250D">
        <w:rPr>
          <w:rFonts w:hint="cs"/>
          <w:b/>
          <w:bCs/>
          <w:sz w:val="36"/>
          <w:szCs w:val="36"/>
          <w:rtl/>
        </w:rPr>
        <w:t xml:space="preserve">نسخه اجرایی: </w:t>
      </w:r>
      <w:r w:rsidR="00AE5BE0" w:rsidRPr="0025250D">
        <w:rPr>
          <w:rFonts w:hint="cs"/>
          <w:b/>
          <w:bCs/>
          <w:sz w:val="36"/>
          <w:szCs w:val="36"/>
          <w:rtl/>
        </w:rPr>
        <w:t>انطباق</w:t>
      </w:r>
      <w:r w:rsidR="00B219EF" w:rsidRPr="0025250D">
        <w:rPr>
          <w:b/>
          <w:bCs/>
          <w:sz w:val="32"/>
          <w:szCs w:val="36"/>
          <w:rtl/>
        </w:rPr>
        <w:t xml:space="preserve"> </w:t>
      </w:r>
      <w:r w:rsidR="0090736C" w:rsidRPr="0025250D">
        <w:rPr>
          <w:rFonts w:hint="cs"/>
          <w:b/>
          <w:bCs/>
          <w:sz w:val="32"/>
          <w:szCs w:val="36"/>
          <w:rtl/>
        </w:rPr>
        <w:t>فردی</w:t>
      </w:r>
      <w:r w:rsidR="00B219EF" w:rsidRPr="0025250D">
        <w:rPr>
          <w:rFonts w:hint="eastAsia"/>
          <w:b/>
          <w:bCs/>
          <w:sz w:val="32"/>
          <w:szCs w:val="36"/>
          <w:rtl/>
        </w:rPr>
        <w:t>،</w:t>
      </w:r>
      <w:r w:rsidR="00B219EF" w:rsidRPr="0025250D">
        <w:rPr>
          <w:b/>
          <w:bCs/>
          <w:sz w:val="32"/>
          <w:szCs w:val="36"/>
          <w:rtl/>
        </w:rPr>
        <w:t xml:space="preserve"> ت</w:t>
      </w:r>
      <w:r w:rsidR="00B219EF" w:rsidRPr="0025250D">
        <w:rPr>
          <w:rFonts w:hint="cs"/>
          <w:b/>
          <w:bCs/>
          <w:sz w:val="32"/>
          <w:szCs w:val="36"/>
          <w:rtl/>
        </w:rPr>
        <w:t>ی</w:t>
      </w:r>
      <w:r w:rsidR="00B219EF" w:rsidRPr="0025250D">
        <w:rPr>
          <w:rFonts w:hint="eastAsia"/>
          <w:b/>
          <w:bCs/>
          <w:sz w:val="32"/>
          <w:szCs w:val="36"/>
          <w:rtl/>
        </w:rPr>
        <w:t>م</w:t>
      </w:r>
      <w:r w:rsidR="00B219EF" w:rsidRPr="0025250D">
        <w:rPr>
          <w:rFonts w:hint="cs"/>
          <w:b/>
          <w:bCs/>
          <w:sz w:val="32"/>
          <w:szCs w:val="36"/>
          <w:rtl/>
        </w:rPr>
        <w:t>ی</w:t>
      </w:r>
      <w:r w:rsidR="00B219EF" w:rsidRPr="0025250D">
        <w:rPr>
          <w:b/>
          <w:bCs/>
          <w:sz w:val="32"/>
          <w:szCs w:val="36"/>
          <w:rtl/>
        </w:rPr>
        <w:t xml:space="preserve"> و سازمان</w:t>
      </w:r>
      <w:r w:rsidR="00B219EF" w:rsidRPr="0025250D">
        <w:rPr>
          <w:rFonts w:hint="cs"/>
          <w:b/>
          <w:bCs/>
          <w:sz w:val="32"/>
          <w:szCs w:val="36"/>
          <w:rtl/>
        </w:rPr>
        <w:t>ی</w:t>
      </w:r>
      <w:r w:rsidR="00571613" w:rsidRPr="0025250D">
        <w:rPr>
          <w:rFonts w:hint="cs"/>
          <w:b/>
          <w:bCs/>
          <w:sz w:val="32"/>
          <w:szCs w:val="36"/>
          <w:rtl/>
        </w:rPr>
        <w:t xml:space="preserve"> </w:t>
      </w:r>
    </w:p>
    <w:p w14:paraId="72917D2B" w14:textId="77777777" w:rsidR="00B219EF" w:rsidRPr="0025250D" w:rsidRDefault="00B219EF" w:rsidP="00B219EF">
      <w:pPr>
        <w:rPr>
          <w:rtl/>
        </w:rPr>
      </w:pPr>
    </w:p>
    <w:p w14:paraId="527BDAAC" w14:textId="55E44A7C" w:rsidR="00B219EF" w:rsidRPr="0025250D" w:rsidRDefault="00B219EF" w:rsidP="00B219EF">
      <w:pPr>
        <w:jc w:val="center"/>
        <w:rPr>
          <w:b/>
          <w:bCs/>
          <w:rtl/>
        </w:rPr>
      </w:pPr>
      <w:r w:rsidRPr="0025250D">
        <w:rPr>
          <w:b/>
          <w:bCs/>
          <w:rtl/>
        </w:rPr>
        <w:t>جان اسمارت</w:t>
      </w:r>
    </w:p>
    <w:p w14:paraId="320A4A12" w14:textId="4FC851E8" w:rsidR="00D83DE6" w:rsidRPr="0025250D" w:rsidRDefault="00D83DE6" w:rsidP="00B219EF">
      <w:pPr>
        <w:jc w:val="center"/>
        <w:rPr>
          <w:rtl/>
        </w:rPr>
      </w:pPr>
    </w:p>
    <w:p w14:paraId="52FB020E" w14:textId="028AA596" w:rsidR="00D83DE6" w:rsidRPr="0025250D" w:rsidRDefault="00D83DE6" w:rsidP="00B219EF">
      <w:pPr>
        <w:jc w:val="center"/>
        <w:rPr>
          <w:rtl/>
        </w:rPr>
      </w:pPr>
    </w:p>
    <w:p w14:paraId="1BFF1E72" w14:textId="253FC2AD" w:rsidR="00D83DE6" w:rsidRPr="0025250D" w:rsidRDefault="00D83DE6" w:rsidP="00B219EF">
      <w:pPr>
        <w:jc w:val="center"/>
        <w:rPr>
          <w:rtl/>
        </w:rPr>
      </w:pPr>
    </w:p>
    <w:p w14:paraId="1A1C275D" w14:textId="451EDD52" w:rsidR="00D83DE6" w:rsidRPr="0025250D" w:rsidRDefault="00D83DE6" w:rsidP="00B219EF">
      <w:pPr>
        <w:jc w:val="center"/>
        <w:rPr>
          <w:rtl/>
        </w:rPr>
      </w:pPr>
    </w:p>
    <w:p w14:paraId="4C1D7804" w14:textId="21921A81" w:rsidR="00D83DE6" w:rsidRPr="0025250D" w:rsidRDefault="00D83DE6" w:rsidP="00B219EF">
      <w:pPr>
        <w:jc w:val="center"/>
        <w:rPr>
          <w:rtl/>
        </w:rPr>
      </w:pPr>
    </w:p>
    <w:p w14:paraId="7D0F93A9" w14:textId="5FE684CE" w:rsidR="00D83DE6" w:rsidRPr="0025250D" w:rsidRDefault="00D83DE6" w:rsidP="00B219EF">
      <w:pPr>
        <w:jc w:val="center"/>
        <w:rPr>
          <w:rtl/>
        </w:rPr>
      </w:pPr>
      <w:r w:rsidRPr="0025250D">
        <w:rPr>
          <w:rFonts w:hint="cs"/>
          <w:rtl/>
        </w:rPr>
        <w:t>مترجمان</w:t>
      </w:r>
    </w:p>
    <w:p w14:paraId="2981B1D9" w14:textId="7C63F3D3" w:rsidR="00D83DE6" w:rsidRPr="0025250D" w:rsidRDefault="00D83DE6" w:rsidP="00B219EF">
      <w:pPr>
        <w:jc w:val="center"/>
        <w:rPr>
          <w:b/>
          <w:bCs/>
          <w:rtl/>
        </w:rPr>
      </w:pPr>
      <w:r w:rsidRPr="0025250D">
        <w:rPr>
          <w:rFonts w:hint="cs"/>
          <w:b/>
          <w:bCs/>
          <w:rtl/>
        </w:rPr>
        <w:t>دکتر محمدعلی شاه‌حسینی</w:t>
      </w:r>
    </w:p>
    <w:p w14:paraId="218DD7FF" w14:textId="42452CD3" w:rsidR="00D83DE6" w:rsidRPr="0025250D" w:rsidRDefault="0025250D" w:rsidP="00B219EF">
      <w:pPr>
        <w:jc w:val="center"/>
        <w:rPr>
          <w:rtl/>
        </w:rPr>
      </w:pPr>
      <w:r w:rsidRPr="0025250D">
        <w:rPr>
          <w:rFonts w:hint="cs"/>
          <w:rtl/>
        </w:rPr>
        <w:t>استاد</w:t>
      </w:r>
      <w:r w:rsidR="00D83DE6" w:rsidRPr="0025250D">
        <w:rPr>
          <w:rFonts w:hint="cs"/>
          <w:rtl/>
        </w:rPr>
        <w:t xml:space="preserve"> دانشگاه تهران</w:t>
      </w:r>
    </w:p>
    <w:p w14:paraId="6D6B277F" w14:textId="7996D464" w:rsidR="00D83DE6" w:rsidRPr="0025250D" w:rsidRDefault="00D83DE6" w:rsidP="00B219EF">
      <w:pPr>
        <w:jc w:val="center"/>
        <w:rPr>
          <w:b/>
          <w:bCs/>
          <w:rtl/>
        </w:rPr>
      </w:pPr>
      <w:r w:rsidRPr="0025250D">
        <w:rPr>
          <w:rFonts w:hint="cs"/>
          <w:b/>
          <w:bCs/>
          <w:rtl/>
        </w:rPr>
        <w:t>امیرسالار ونکی</w:t>
      </w:r>
    </w:p>
    <w:p w14:paraId="2A5F0BEC" w14:textId="7F2AFCF5" w:rsidR="00D83DE6" w:rsidRPr="0025250D" w:rsidRDefault="00D83DE6" w:rsidP="00B219EF">
      <w:pPr>
        <w:jc w:val="center"/>
        <w:rPr>
          <w:b/>
          <w:bCs/>
          <w:rtl/>
        </w:rPr>
      </w:pPr>
      <w:r w:rsidRPr="0025250D">
        <w:rPr>
          <w:rFonts w:hint="cs"/>
          <w:b/>
          <w:bCs/>
          <w:rtl/>
        </w:rPr>
        <w:t>مصباح سیوندیان</w:t>
      </w:r>
    </w:p>
    <w:p w14:paraId="7480E2A8" w14:textId="77777777" w:rsidR="00B219EF" w:rsidRPr="0025250D" w:rsidRDefault="00B219EF" w:rsidP="00B219EF">
      <w:pPr>
        <w:rPr>
          <w:rtl/>
        </w:rPr>
      </w:pPr>
    </w:p>
    <w:p w14:paraId="0F842FA2" w14:textId="77777777" w:rsidR="00B219EF" w:rsidRPr="0025250D" w:rsidRDefault="00B219EF" w:rsidP="00B219EF">
      <w:pPr>
        <w:rPr>
          <w:rtl/>
        </w:rPr>
      </w:pPr>
    </w:p>
    <w:p w14:paraId="5D242334" w14:textId="77777777" w:rsidR="00B219EF" w:rsidRPr="0025250D" w:rsidRDefault="00B219EF" w:rsidP="00B219EF">
      <w:pPr>
        <w:rPr>
          <w:rtl/>
        </w:rPr>
      </w:pPr>
    </w:p>
    <w:p w14:paraId="4E677B6C" w14:textId="77777777" w:rsidR="00B219EF" w:rsidRPr="0025250D" w:rsidRDefault="00B219EF" w:rsidP="00B219EF">
      <w:pPr>
        <w:rPr>
          <w:rtl/>
        </w:rPr>
      </w:pPr>
    </w:p>
    <w:p w14:paraId="72F6CFE6" w14:textId="77777777" w:rsidR="00B219EF" w:rsidRPr="0025250D" w:rsidRDefault="00B219EF" w:rsidP="00B219EF">
      <w:pPr>
        <w:rPr>
          <w:rtl/>
        </w:rPr>
      </w:pPr>
    </w:p>
    <w:p w14:paraId="01929974" w14:textId="77777777" w:rsidR="00B219EF" w:rsidRPr="0025250D" w:rsidRDefault="00B219EF" w:rsidP="00B219EF">
      <w:pPr>
        <w:rPr>
          <w:rtl/>
        </w:rPr>
        <w:sectPr w:rsidR="00B219EF" w:rsidRPr="0025250D" w:rsidSect="00537CC8">
          <w:footnotePr>
            <w:numRestart w:val="eachPage"/>
          </w:footnotePr>
          <w:pgSz w:w="11906" w:h="16838"/>
          <w:pgMar w:top="3402" w:right="2268" w:bottom="2835" w:left="2268" w:header="720" w:footer="720" w:gutter="0"/>
          <w:cols w:space="720"/>
          <w:bidi/>
          <w:rtlGutter/>
          <w:docGrid w:linePitch="360"/>
        </w:sectPr>
      </w:pPr>
    </w:p>
    <w:p w14:paraId="18B879E7" w14:textId="3E2DBCD5" w:rsidR="004701CE" w:rsidRPr="0025250D" w:rsidRDefault="00C25478" w:rsidP="00E14436">
      <w:pPr>
        <w:rPr>
          <w:b/>
          <w:bCs/>
          <w:rtl/>
        </w:rPr>
      </w:pPr>
      <w:r w:rsidRPr="0025250D">
        <w:rPr>
          <w:rFonts w:hint="cs"/>
          <w:b/>
          <w:bCs/>
          <w:rtl/>
        </w:rPr>
        <w:lastRenderedPageBreak/>
        <w:t>یادداشت مترجمان</w:t>
      </w:r>
    </w:p>
    <w:p w14:paraId="7AD2C80B" w14:textId="77777777" w:rsidR="00DF7943" w:rsidRPr="0025250D" w:rsidRDefault="00DF7943" w:rsidP="00DF7943">
      <w:pPr>
        <w:rPr>
          <w:rtl/>
        </w:rPr>
      </w:pPr>
      <w:bookmarkStart w:id="0" w:name="_Hlk127829419"/>
      <w:r w:rsidRPr="0025250D">
        <w:rPr>
          <w:rFonts w:hint="cs"/>
          <w:rtl/>
        </w:rPr>
        <w:t xml:space="preserve">از دیر باز بشر همواره نسبت به آینده خود و جهان و رویدادهایی که در آینده رخ خواهند داد کنجکاو بوده است. تجلی چنین رغبت و تمایلی را </w:t>
      </w:r>
      <w:r w:rsidRPr="0025250D">
        <w:rPr>
          <w:rtl/>
        </w:rPr>
        <w:t>م</w:t>
      </w:r>
      <w:r w:rsidRPr="0025250D">
        <w:rPr>
          <w:rFonts w:hint="cs"/>
          <w:rtl/>
        </w:rPr>
        <w:t>ی‌</w:t>
      </w:r>
      <w:r w:rsidRPr="0025250D">
        <w:rPr>
          <w:rFonts w:hint="eastAsia"/>
          <w:rtl/>
        </w:rPr>
        <w:t>توان</w:t>
      </w:r>
      <w:r w:rsidRPr="0025250D">
        <w:rPr>
          <w:rFonts w:hint="cs"/>
          <w:rtl/>
        </w:rPr>
        <w:t xml:space="preserve"> در استقبال مردم از </w:t>
      </w:r>
      <w:r w:rsidRPr="0025250D">
        <w:rPr>
          <w:rtl/>
        </w:rPr>
        <w:t>پ</w:t>
      </w:r>
      <w:r w:rsidRPr="0025250D">
        <w:rPr>
          <w:rFonts w:hint="cs"/>
          <w:rtl/>
        </w:rPr>
        <w:t>ی</w:t>
      </w:r>
      <w:r w:rsidRPr="0025250D">
        <w:rPr>
          <w:rFonts w:hint="eastAsia"/>
          <w:rtl/>
        </w:rPr>
        <w:t>شگو</w:t>
      </w:r>
      <w:r w:rsidRPr="0025250D">
        <w:rPr>
          <w:rFonts w:hint="cs"/>
          <w:rtl/>
        </w:rPr>
        <w:t>یی‌</w:t>
      </w:r>
      <w:r w:rsidRPr="0025250D">
        <w:rPr>
          <w:rFonts w:hint="eastAsia"/>
          <w:rtl/>
        </w:rPr>
        <w:t>ها</w:t>
      </w:r>
      <w:r w:rsidRPr="0025250D">
        <w:rPr>
          <w:rFonts w:hint="cs"/>
          <w:rtl/>
        </w:rPr>
        <w:t xml:space="preserve">ی کاهنان دلفی و نوستراداموس در اعصار گذشته گرفته تا </w:t>
      </w:r>
      <w:r w:rsidRPr="0025250D">
        <w:rPr>
          <w:rtl/>
        </w:rPr>
        <w:t>پ</w:t>
      </w:r>
      <w:r w:rsidRPr="0025250D">
        <w:rPr>
          <w:rFonts w:hint="cs"/>
          <w:rtl/>
        </w:rPr>
        <w:t>ی</w:t>
      </w:r>
      <w:r w:rsidRPr="0025250D">
        <w:rPr>
          <w:rFonts w:hint="eastAsia"/>
          <w:rtl/>
        </w:rPr>
        <w:t>ش‌ب</w:t>
      </w:r>
      <w:r w:rsidRPr="0025250D">
        <w:rPr>
          <w:rFonts w:hint="cs"/>
          <w:rtl/>
        </w:rPr>
        <w:t>ی</w:t>
      </w:r>
      <w:r w:rsidRPr="0025250D">
        <w:rPr>
          <w:rFonts w:hint="eastAsia"/>
          <w:rtl/>
        </w:rPr>
        <w:t>ن</w:t>
      </w:r>
      <w:r w:rsidRPr="0025250D">
        <w:rPr>
          <w:rFonts w:hint="cs"/>
          <w:rtl/>
        </w:rPr>
        <w:t xml:space="preserve">ی و </w:t>
      </w:r>
      <w:r w:rsidRPr="0025250D">
        <w:rPr>
          <w:rtl/>
        </w:rPr>
        <w:t>پ</w:t>
      </w:r>
      <w:r w:rsidRPr="0025250D">
        <w:rPr>
          <w:rFonts w:hint="cs"/>
          <w:rtl/>
        </w:rPr>
        <w:t>ی</w:t>
      </w:r>
      <w:r w:rsidRPr="0025250D">
        <w:rPr>
          <w:rFonts w:hint="eastAsia"/>
          <w:rtl/>
        </w:rPr>
        <w:t>ش‌نگر</w:t>
      </w:r>
      <w:r w:rsidRPr="0025250D">
        <w:rPr>
          <w:rFonts w:hint="cs"/>
          <w:rtl/>
        </w:rPr>
        <w:t>ی‌</w:t>
      </w:r>
      <w:r w:rsidRPr="0025250D">
        <w:rPr>
          <w:rFonts w:hint="eastAsia"/>
          <w:rtl/>
        </w:rPr>
        <w:t>ها</w:t>
      </w:r>
      <w:r w:rsidRPr="0025250D">
        <w:rPr>
          <w:rFonts w:hint="cs"/>
          <w:rtl/>
        </w:rPr>
        <w:t xml:space="preserve">ی آینده‌اندیشان و دانشمندان از جامعه و جهان آینده در </w:t>
      </w:r>
      <w:r w:rsidRPr="0025250D">
        <w:rPr>
          <w:rtl/>
        </w:rPr>
        <w:t>دهه‌ها</w:t>
      </w:r>
      <w:r w:rsidRPr="0025250D">
        <w:rPr>
          <w:rFonts w:hint="cs"/>
          <w:rtl/>
        </w:rPr>
        <w:t xml:space="preserve">ی اخیر در قالب </w:t>
      </w:r>
      <w:r w:rsidRPr="0025250D">
        <w:rPr>
          <w:rtl/>
        </w:rPr>
        <w:t>داستان‌ها</w:t>
      </w:r>
      <w:r w:rsidRPr="0025250D">
        <w:rPr>
          <w:rFonts w:hint="cs"/>
          <w:rtl/>
        </w:rPr>
        <w:t xml:space="preserve">، </w:t>
      </w:r>
      <w:r w:rsidRPr="0025250D">
        <w:rPr>
          <w:rtl/>
        </w:rPr>
        <w:t>کتاب‌ها</w:t>
      </w:r>
      <w:r w:rsidRPr="0025250D">
        <w:rPr>
          <w:rFonts w:hint="cs"/>
          <w:rtl/>
        </w:rPr>
        <w:t xml:space="preserve"> و </w:t>
      </w:r>
      <w:r w:rsidRPr="0025250D">
        <w:rPr>
          <w:rtl/>
        </w:rPr>
        <w:t>ف</w:t>
      </w:r>
      <w:r w:rsidRPr="0025250D">
        <w:rPr>
          <w:rFonts w:hint="cs"/>
          <w:rtl/>
        </w:rPr>
        <w:t>ی</w:t>
      </w:r>
      <w:r w:rsidRPr="0025250D">
        <w:rPr>
          <w:rFonts w:hint="eastAsia"/>
          <w:rtl/>
        </w:rPr>
        <w:t>لم‌ها</w:t>
      </w:r>
      <w:r w:rsidRPr="0025250D">
        <w:rPr>
          <w:rFonts w:hint="cs"/>
          <w:rtl/>
        </w:rPr>
        <w:t xml:space="preserve">ی علمی و تخیلی دید. </w:t>
      </w:r>
      <w:r w:rsidRPr="0025250D">
        <w:rPr>
          <w:rtl/>
        </w:rPr>
        <w:t>اما تحولات عم</w:t>
      </w:r>
      <w:r w:rsidRPr="0025250D">
        <w:rPr>
          <w:rFonts w:hint="cs"/>
          <w:rtl/>
        </w:rPr>
        <w:t>ی</w:t>
      </w:r>
      <w:r w:rsidRPr="0025250D">
        <w:rPr>
          <w:rFonts w:hint="eastAsia"/>
          <w:rtl/>
        </w:rPr>
        <w:t>ق</w:t>
      </w:r>
      <w:r w:rsidRPr="0025250D">
        <w:rPr>
          <w:rtl/>
        </w:rPr>
        <w:t xml:space="preserve"> و گسترده و شتاب گ</w:t>
      </w:r>
      <w:r w:rsidRPr="0025250D">
        <w:rPr>
          <w:rFonts w:hint="cs"/>
          <w:rtl/>
        </w:rPr>
        <w:t>ی</w:t>
      </w:r>
      <w:r w:rsidRPr="0025250D">
        <w:rPr>
          <w:rFonts w:hint="eastAsia"/>
          <w:rtl/>
        </w:rPr>
        <w:t>ر</w:t>
      </w:r>
      <w:r w:rsidRPr="0025250D">
        <w:rPr>
          <w:rFonts w:hint="cs"/>
          <w:rtl/>
        </w:rPr>
        <w:t>ی</w:t>
      </w:r>
      <w:r w:rsidRPr="0025250D">
        <w:rPr>
          <w:rtl/>
        </w:rPr>
        <w:t xml:space="preserve"> تغ</w:t>
      </w:r>
      <w:r w:rsidRPr="0025250D">
        <w:rPr>
          <w:rFonts w:hint="cs"/>
          <w:rtl/>
        </w:rPr>
        <w:t>یی</w:t>
      </w:r>
      <w:r w:rsidRPr="0025250D">
        <w:rPr>
          <w:rFonts w:hint="eastAsia"/>
          <w:rtl/>
        </w:rPr>
        <w:t>رات</w:t>
      </w:r>
      <w:r w:rsidRPr="0025250D">
        <w:rPr>
          <w:rtl/>
        </w:rPr>
        <w:t xml:space="preserve"> به‌خصوص در دو دهه اخ</w:t>
      </w:r>
      <w:r w:rsidRPr="0025250D">
        <w:rPr>
          <w:rFonts w:hint="cs"/>
          <w:rtl/>
        </w:rPr>
        <w:t>ی</w:t>
      </w:r>
      <w:r w:rsidRPr="0025250D">
        <w:rPr>
          <w:rFonts w:hint="eastAsia"/>
          <w:rtl/>
        </w:rPr>
        <w:t>ر</w:t>
      </w:r>
      <w:r w:rsidRPr="0025250D">
        <w:rPr>
          <w:rtl/>
        </w:rPr>
        <w:t xml:space="preserve"> موجب شده که آ</w:t>
      </w:r>
      <w:r w:rsidRPr="0025250D">
        <w:rPr>
          <w:rFonts w:hint="cs"/>
          <w:rtl/>
        </w:rPr>
        <w:t>ی</w:t>
      </w:r>
      <w:r w:rsidRPr="0025250D">
        <w:rPr>
          <w:rFonts w:hint="eastAsia"/>
          <w:rtl/>
        </w:rPr>
        <w:t>نده‌اند</w:t>
      </w:r>
      <w:r w:rsidRPr="0025250D">
        <w:rPr>
          <w:rFonts w:hint="cs"/>
          <w:rtl/>
        </w:rPr>
        <w:t>ی</w:t>
      </w:r>
      <w:r w:rsidRPr="0025250D">
        <w:rPr>
          <w:rFonts w:hint="eastAsia"/>
          <w:rtl/>
        </w:rPr>
        <w:t>ش</w:t>
      </w:r>
      <w:r w:rsidRPr="0025250D">
        <w:rPr>
          <w:rFonts w:hint="cs"/>
          <w:rtl/>
        </w:rPr>
        <w:t>ی</w:t>
      </w:r>
      <w:r w:rsidRPr="0025250D">
        <w:rPr>
          <w:rtl/>
        </w:rPr>
        <w:t xml:space="preserve"> د</w:t>
      </w:r>
      <w:r w:rsidRPr="0025250D">
        <w:rPr>
          <w:rFonts w:hint="cs"/>
          <w:rtl/>
        </w:rPr>
        <w:t>ی</w:t>
      </w:r>
      <w:r w:rsidRPr="0025250D">
        <w:rPr>
          <w:rFonts w:hint="eastAsia"/>
          <w:rtl/>
        </w:rPr>
        <w:t>گر</w:t>
      </w:r>
      <w:r w:rsidRPr="0025250D">
        <w:rPr>
          <w:rtl/>
        </w:rPr>
        <w:t xml:space="preserve"> نه به‌عنوان امر</w:t>
      </w:r>
      <w:r w:rsidRPr="0025250D">
        <w:rPr>
          <w:rFonts w:hint="cs"/>
          <w:rtl/>
        </w:rPr>
        <w:t>ی</w:t>
      </w:r>
      <w:r w:rsidRPr="0025250D">
        <w:rPr>
          <w:rtl/>
        </w:rPr>
        <w:t xml:space="preserve"> صرفاً از رو</w:t>
      </w:r>
      <w:r w:rsidRPr="0025250D">
        <w:rPr>
          <w:rFonts w:hint="cs"/>
          <w:rtl/>
        </w:rPr>
        <w:t>ی</w:t>
      </w:r>
      <w:r w:rsidRPr="0025250D">
        <w:rPr>
          <w:rtl/>
        </w:rPr>
        <w:t xml:space="preserve"> کنجکاو</w:t>
      </w:r>
      <w:r w:rsidRPr="0025250D">
        <w:rPr>
          <w:rFonts w:hint="cs"/>
          <w:rtl/>
        </w:rPr>
        <w:t>ی</w:t>
      </w:r>
      <w:r w:rsidRPr="0025250D">
        <w:rPr>
          <w:rtl/>
        </w:rPr>
        <w:t>، بلکه به‌عنوان امر</w:t>
      </w:r>
      <w:r w:rsidRPr="0025250D">
        <w:rPr>
          <w:rFonts w:hint="cs"/>
          <w:rtl/>
        </w:rPr>
        <w:t>ی</w:t>
      </w:r>
      <w:r w:rsidRPr="0025250D">
        <w:rPr>
          <w:rtl/>
        </w:rPr>
        <w:t xml:space="preserve"> ح</w:t>
      </w:r>
      <w:r w:rsidRPr="0025250D">
        <w:rPr>
          <w:rFonts w:hint="cs"/>
          <w:rtl/>
        </w:rPr>
        <w:t>ی</w:t>
      </w:r>
      <w:r w:rsidRPr="0025250D">
        <w:rPr>
          <w:rFonts w:hint="eastAsia"/>
          <w:rtl/>
        </w:rPr>
        <w:t>ات</w:t>
      </w:r>
      <w:r w:rsidRPr="0025250D">
        <w:rPr>
          <w:rFonts w:hint="cs"/>
          <w:rtl/>
        </w:rPr>
        <w:t>ی</w:t>
      </w:r>
      <w:r w:rsidRPr="0025250D">
        <w:rPr>
          <w:rtl/>
        </w:rPr>
        <w:t xml:space="preserve"> و لازمه بقا مطرح شود. رو</w:t>
      </w:r>
      <w:r w:rsidRPr="0025250D">
        <w:rPr>
          <w:rFonts w:hint="cs"/>
          <w:rtl/>
        </w:rPr>
        <w:t>ی</w:t>
      </w:r>
      <w:r w:rsidRPr="0025250D">
        <w:rPr>
          <w:rFonts w:hint="eastAsia"/>
          <w:rtl/>
        </w:rPr>
        <w:t>دادها</w:t>
      </w:r>
      <w:r w:rsidRPr="0025250D">
        <w:rPr>
          <w:rFonts w:hint="cs"/>
          <w:rtl/>
        </w:rPr>
        <w:t>یی</w:t>
      </w:r>
      <w:r w:rsidRPr="0025250D">
        <w:rPr>
          <w:rtl/>
        </w:rPr>
        <w:t xml:space="preserve"> همچون ظهور ا</w:t>
      </w:r>
      <w:r w:rsidRPr="0025250D">
        <w:rPr>
          <w:rFonts w:hint="cs"/>
          <w:rtl/>
        </w:rPr>
        <w:t>ی</w:t>
      </w:r>
      <w:r w:rsidRPr="0025250D">
        <w:rPr>
          <w:rFonts w:hint="eastAsia"/>
          <w:rtl/>
        </w:rPr>
        <w:t>نترنت</w:t>
      </w:r>
      <w:r w:rsidRPr="0025250D">
        <w:rPr>
          <w:rtl/>
        </w:rPr>
        <w:t xml:space="preserve"> و هوش مصنوع</w:t>
      </w:r>
      <w:r w:rsidRPr="0025250D">
        <w:rPr>
          <w:rFonts w:hint="cs"/>
          <w:rtl/>
        </w:rPr>
        <w:t>ی</w:t>
      </w:r>
      <w:r w:rsidRPr="0025250D">
        <w:rPr>
          <w:rtl/>
        </w:rPr>
        <w:t xml:space="preserve"> و کلان‌روندها</w:t>
      </w:r>
      <w:r w:rsidRPr="0025250D">
        <w:rPr>
          <w:rFonts w:hint="cs"/>
          <w:rtl/>
        </w:rPr>
        <w:t>یی</w:t>
      </w:r>
      <w:r w:rsidRPr="0025250D">
        <w:rPr>
          <w:rtl/>
        </w:rPr>
        <w:t xml:space="preserve"> همچون رشد جمع</w:t>
      </w:r>
      <w:r w:rsidRPr="0025250D">
        <w:rPr>
          <w:rFonts w:hint="cs"/>
          <w:rtl/>
        </w:rPr>
        <w:t>ی</w:t>
      </w:r>
      <w:r w:rsidRPr="0025250D">
        <w:rPr>
          <w:rFonts w:hint="eastAsia"/>
          <w:rtl/>
        </w:rPr>
        <w:t>ت،</w:t>
      </w:r>
      <w:r w:rsidRPr="0025250D">
        <w:rPr>
          <w:rFonts w:hint="cs"/>
          <w:rtl/>
        </w:rPr>
        <w:t xml:space="preserve"> </w:t>
      </w:r>
      <w:r w:rsidRPr="0025250D">
        <w:rPr>
          <w:rFonts w:hint="eastAsia"/>
          <w:rtl/>
        </w:rPr>
        <w:t>ب</w:t>
      </w:r>
      <w:r w:rsidRPr="0025250D">
        <w:rPr>
          <w:rFonts w:hint="cs"/>
          <w:rtl/>
        </w:rPr>
        <w:t>ی</w:t>
      </w:r>
      <w:r w:rsidRPr="0025250D">
        <w:rPr>
          <w:rFonts w:hint="eastAsia"/>
          <w:rtl/>
        </w:rPr>
        <w:t>کار</w:t>
      </w:r>
      <w:r w:rsidRPr="0025250D">
        <w:rPr>
          <w:rFonts w:hint="cs"/>
          <w:rtl/>
        </w:rPr>
        <w:t>ی</w:t>
      </w:r>
      <w:r w:rsidRPr="0025250D">
        <w:rPr>
          <w:rtl/>
        </w:rPr>
        <w:t xml:space="preserve"> فناورانه و تغ</w:t>
      </w:r>
      <w:r w:rsidRPr="0025250D">
        <w:rPr>
          <w:rFonts w:hint="cs"/>
          <w:rtl/>
        </w:rPr>
        <w:t>یی</w:t>
      </w:r>
      <w:r w:rsidRPr="0025250D">
        <w:rPr>
          <w:rFonts w:hint="eastAsia"/>
          <w:rtl/>
        </w:rPr>
        <w:t>رات</w:t>
      </w:r>
      <w:r w:rsidRPr="0025250D">
        <w:rPr>
          <w:rtl/>
        </w:rPr>
        <w:t xml:space="preserve"> آب و هوا</w:t>
      </w:r>
      <w:r w:rsidRPr="0025250D">
        <w:rPr>
          <w:rFonts w:hint="cs"/>
          <w:rtl/>
        </w:rPr>
        <w:t>یی</w:t>
      </w:r>
      <w:r w:rsidRPr="0025250D">
        <w:rPr>
          <w:rtl/>
        </w:rPr>
        <w:t xml:space="preserve"> بقا در همه سطوح اعم از فرد</w:t>
      </w:r>
      <w:r w:rsidRPr="0025250D">
        <w:rPr>
          <w:rFonts w:hint="cs"/>
          <w:rtl/>
        </w:rPr>
        <w:t>ی</w:t>
      </w:r>
      <w:r w:rsidRPr="0025250D">
        <w:rPr>
          <w:rFonts w:hint="eastAsia"/>
          <w:rtl/>
        </w:rPr>
        <w:t>،</w:t>
      </w:r>
      <w:r w:rsidRPr="0025250D">
        <w:rPr>
          <w:rtl/>
        </w:rPr>
        <w:t xml:space="preserve"> ت</w:t>
      </w:r>
      <w:r w:rsidRPr="0025250D">
        <w:rPr>
          <w:rFonts w:hint="cs"/>
          <w:rtl/>
        </w:rPr>
        <w:t>ی</w:t>
      </w:r>
      <w:r w:rsidRPr="0025250D">
        <w:rPr>
          <w:rFonts w:hint="eastAsia"/>
          <w:rtl/>
        </w:rPr>
        <w:t>م</w:t>
      </w:r>
      <w:r w:rsidRPr="0025250D">
        <w:rPr>
          <w:rFonts w:hint="cs"/>
          <w:rtl/>
        </w:rPr>
        <w:t>ی</w:t>
      </w:r>
      <w:r w:rsidRPr="0025250D">
        <w:rPr>
          <w:rtl/>
        </w:rPr>
        <w:t xml:space="preserve"> و سازمان</w:t>
      </w:r>
      <w:r w:rsidRPr="0025250D">
        <w:rPr>
          <w:rFonts w:hint="cs"/>
          <w:rtl/>
        </w:rPr>
        <w:t>ی</w:t>
      </w:r>
      <w:r w:rsidRPr="0025250D">
        <w:rPr>
          <w:rtl/>
        </w:rPr>
        <w:t xml:space="preserve"> را تحت تأث</w:t>
      </w:r>
      <w:r w:rsidRPr="0025250D">
        <w:rPr>
          <w:rFonts w:hint="cs"/>
          <w:rtl/>
        </w:rPr>
        <w:t>ی</w:t>
      </w:r>
      <w:r w:rsidRPr="0025250D">
        <w:rPr>
          <w:rFonts w:hint="eastAsia"/>
          <w:rtl/>
        </w:rPr>
        <w:t>ر</w:t>
      </w:r>
      <w:r w:rsidRPr="0025250D">
        <w:rPr>
          <w:rtl/>
        </w:rPr>
        <w:t xml:space="preserve"> قرار داده است.  اکنون افراد و رهبران نه‌تنها با</w:t>
      </w:r>
      <w:r w:rsidRPr="0025250D">
        <w:rPr>
          <w:rFonts w:hint="cs"/>
          <w:rtl/>
        </w:rPr>
        <w:t>ی</w:t>
      </w:r>
      <w:r w:rsidRPr="0025250D">
        <w:rPr>
          <w:rFonts w:hint="eastAsia"/>
          <w:rtl/>
        </w:rPr>
        <w:t>د</w:t>
      </w:r>
      <w:r w:rsidRPr="0025250D">
        <w:rPr>
          <w:rtl/>
        </w:rPr>
        <w:t xml:space="preserve"> بتوانند روندها و رو</w:t>
      </w:r>
      <w:r w:rsidRPr="0025250D">
        <w:rPr>
          <w:rFonts w:hint="cs"/>
          <w:rtl/>
        </w:rPr>
        <w:t>ی</w:t>
      </w:r>
      <w:r w:rsidRPr="0025250D">
        <w:rPr>
          <w:rFonts w:hint="eastAsia"/>
          <w:rtl/>
        </w:rPr>
        <w:t>دادها</w:t>
      </w:r>
      <w:r w:rsidRPr="0025250D">
        <w:rPr>
          <w:rFonts w:hint="cs"/>
          <w:rtl/>
        </w:rPr>
        <w:t>ی</w:t>
      </w:r>
      <w:r w:rsidRPr="0025250D">
        <w:rPr>
          <w:rtl/>
        </w:rPr>
        <w:t xml:space="preserve"> آ</w:t>
      </w:r>
      <w:r w:rsidRPr="0025250D">
        <w:rPr>
          <w:rFonts w:hint="cs"/>
          <w:rtl/>
        </w:rPr>
        <w:t>ی</w:t>
      </w:r>
      <w:r w:rsidRPr="0025250D">
        <w:rPr>
          <w:rFonts w:hint="eastAsia"/>
          <w:rtl/>
        </w:rPr>
        <w:t>نده</w:t>
      </w:r>
      <w:r w:rsidRPr="0025250D">
        <w:rPr>
          <w:rtl/>
        </w:rPr>
        <w:t xml:space="preserve"> را شناسا</w:t>
      </w:r>
      <w:r w:rsidRPr="0025250D">
        <w:rPr>
          <w:rFonts w:hint="cs"/>
          <w:rtl/>
        </w:rPr>
        <w:t>یی</w:t>
      </w:r>
      <w:r w:rsidRPr="0025250D">
        <w:rPr>
          <w:rtl/>
        </w:rPr>
        <w:t xml:space="preserve"> و پ</w:t>
      </w:r>
      <w:r w:rsidRPr="0025250D">
        <w:rPr>
          <w:rFonts w:hint="cs"/>
          <w:rtl/>
        </w:rPr>
        <w:t>ی</w:t>
      </w:r>
      <w:r w:rsidRPr="0025250D">
        <w:rPr>
          <w:rFonts w:hint="eastAsia"/>
          <w:rtl/>
        </w:rPr>
        <w:t>ش‌ب</w:t>
      </w:r>
      <w:r w:rsidRPr="0025250D">
        <w:rPr>
          <w:rFonts w:hint="cs"/>
          <w:rtl/>
        </w:rPr>
        <w:t>ی</w:t>
      </w:r>
      <w:r w:rsidRPr="0025250D">
        <w:rPr>
          <w:rFonts w:hint="eastAsia"/>
          <w:rtl/>
        </w:rPr>
        <w:t>ن</w:t>
      </w:r>
      <w:r w:rsidRPr="0025250D">
        <w:rPr>
          <w:rFonts w:hint="cs"/>
          <w:rtl/>
        </w:rPr>
        <w:t>ی</w:t>
      </w:r>
      <w:r w:rsidRPr="0025250D">
        <w:rPr>
          <w:rtl/>
        </w:rPr>
        <w:t xml:space="preserve"> کنند، بلکه با</w:t>
      </w:r>
      <w:r w:rsidRPr="0025250D">
        <w:rPr>
          <w:rFonts w:hint="cs"/>
          <w:rtl/>
        </w:rPr>
        <w:t>ی</w:t>
      </w:r>
      <w:r w:rsidRPr="0025250D">
        <w:rPr>
          <w:rFonts w:hint="eastAsia"/>
          <w:rtl/>
        </w:rPr>
        <w:t>د</w:t>
      </w:r>
      <w:r w:rsidRPr="0025250D">
        <w:rPr>
          <w:rtl/>
        </w:rPr>
        <w:t xml:space="preserve"> تلاش کنند تا مح</w:t>
      </w:r>
      <w:r w:rsidRPr="0025250D">
        <w:rPr>
          <w:rFonts w:hint="cs"/>
          <w:rtl/>
        </w:rPr>
        <w:t>ی</w:t>
      </w:r>
      <w:r w:rsidRPr="0025250D">
        <w:rPr>
          <w:rFonts w:hint="eastAsia"/>
          <w:rtl/>
        </w:rPr>
        <w:t>ط</w:t>
      </w:r>
      <w:r w:rsidRPr="0025250D">
        <w:rPr>
          <w:rtl/>
        </w:rPr>
        <w:t xml:space="preserve"> پ</w:t>
      </w:r>
      <w:r w:rsidRPr="0025250D">
        <w:rPr>
          <w:rFonts w:hint="cs"/>
          <w:rtl/>
        </w:rPr>
        <w:t>ی</w:t>
      </w:r>
      <w:r w:rsidRPr="0025250D">
        <w:rPr>
          <w:rFonts w:hint="eastAsia"/>
          <w:rtl/>
        </w:rPr>
        <w:t>رامون</w:t>
      </w:r>
      <w:r w:rsidRPr="0025250D">
        <w:rPr>
          <w:rtl/>
        </w:rPr>
        <w:t xml:space="preserve"> خود </w:t>
      </w:r>
      <w:r w:rsidRPr="0025250D">
        <w:rPr>
          <w:rFonts w:hint="eastAsia"/>
          <w:rtl/>
        </w:rPr>
        <w:t>را</w:t>
      </w:r>
      <w:r w:rsidRPr="0025250D">
        <w:rPr>
          <w:rtl/>
        </w:rPr>
        <w:t xml:space="preserve"> در جهت رس</w:t>
      </w:r>
      <w:r w:rsidRPr="0025250D">
        <w:rPr>
          <w:rFonts w:hint="cs"/>
          <w:rtl/>
        </w:rPr>
        <w:t>ی</w:t>
      </w:r>
      <w:r w:rsidRPr="0025250D">
        <w:rPr>
          <w:rFonts w:hint="eastAsia"/>
          <w:rtl/>
        </w:rPr>
        <w:t>دن</w:t>
      </w:r>
      <w:r w:rsidRPr="0025250D">
        <w:rPr>
          <w:rtl/>
        </w:rPr>
        <w:t xml:space="preserve"> به آ</w:t>
      </w:r>
      <w:r w:rsidRPr="0025250D">
        <w:rPr>
          <w:rFonts w:hint="cs"/>
          <w:rtl/>
        </w:rPr>
        <w:t>ی</w:t>
      </w:r>
      <w:r w:rsidRPr="0025250D">
        <w:rPr>
          <w:rFonts w:hint="eastAsia"/>
          <w:rtl/>
        </w:rPr>
        <w:t>نده</w:t>
      </w:r>
      <w:r w:rsidRPr="0025250D">
        <w:rPr>
          <w:rtl/>
        </w:rPr>
        <w:t xml:space="preserve"> مطلوب </w:t>
      </w:r>
      <w:r w:rsidRPr="0025250D">
        <w:rPr>
          <w:rFonts w:hint="cs"/>
          <w:rtl/>
        </w:rPr>
        <w:t>خود</w:t>
      </w:r>
      <w:r w:rsidRPr="0025250D">
        <w:rPr>
          <w:rtl/>
        </w:rPr>
        <w:t xml:space="preserve"> شکل دهند و ت</w:t>
      </w:r>
      <w:r w:rsidRPr="0025250D">
        <w:rPr>
          <w:rFonts w:hint="cs"/>
          <w:rtl/>
        </w:rPr>
        <w:t>ی</w:t>
      </w:r>
      <w:r w:rsidRPr="0025250D">
        <w:rPr>
          <w:rFonts w:hint="eastAsia"/>
          <w:rtl/>
        </w:rPr>
        <w:t>م‌ها</w:t>
      </w:r>
      <w:r w:rsidRPr="0025250D">
        <w:rPr>
          <w:rtl/>
        </w:rPr>
        <w:t xml:space="preserve"> و سازمان‌ها</w:t>
      </w:r>
      <w:r w:rsidRPr="0025250D">
        <w:rPr>
          <w:rFonts w:hint="cs"/>
          <w:rtl/>
        </w:rPr>
        <w:t>ی</w:t>
      </w:r>
      <w:r w:rsidRPr="0025250D">
        <w:rPr>
          <w:rtl/>
        </w:rPr>
        <w:t xml:space="preserve"> خود را در جهت درست هدا</w:t>
      </w:r>
      <w:r w:rsidRPr="0025250D">
        <w:rPr>
          <w:rFonts w:hint="cs"/>
          <w:rtl/>
        </w:rPr>
        <w:t>ی</w:t>
      </w:r>
      <w:r w:rsidRPr="0025250D">
        <w:rPr>
          <w:rFonts w:hint="eastAsia"/>
          <w:rtl/>
        </w:rPr>
        <w:t>ت</w:t>
      </w:r>
      <w:r w:rsidRPr="0025250D">
        <w:rPr>
          <w:rtl/>
        </w:rPr>
        <w:t xml:space="preserve"> و راهبر</w:t>
      </w:r>
      <w:r w:rsidRPr="0025250D">
        <w:rPr>
          <w:rFonts w:hint="cs"/>
          <w:rtl/>
        </w:rPr>
        <w:t>ی</w:t>
      </w:r>
      <w:r w:rsidRPr="0025250D">
        <w:rPr>
          <w:rtl/>
        </w:rPr>
        <w:t xml:space="preserve"> نما</w:t>
      </w:r>
      <w:r w:rsidRPr="0025250D">
        <w:rPr>
          <w:rFonts w:hint="cs"/>
          <w:rtl/>
        </w:rPr>
        <w:t>ی</w:t>
      </w:r>
      <w:r w:rsidRPr="0025250D">
        <w:rPr>
          <w:rFonts w:hint="eastAsia"/>
          <w:rtl/>
        </w:rPr>
        <w:t>ند</w:t>
      </w:r>
      <w:r w:rsidRPr="0025250D">
        <w:rPr>
          <w:rtl/>
        </w:rPr>
        <w:t>. از هم</w:t>
      </w:r>
      <w:r w:rsidRPr="0025250D">
        <w:rPr>
          <w:rFonts w:hint="cs"/>
          <w:rtl/>
        </w:rPr>
        <w:t>ی</w:t>
      </w:r>
      <w:r w:rsidRPr="0025250D">
        <w:rPr>
          <w:rFonts w:hint="eastAsia"/>
          <w:rtl/>
        </w:rPr>
        <w:t>ن</w:t>
      </w:r>
      <w:r w:rsidRPr="0025250D">
        <w:rPr>
          <w:rtl/>
        </w:rPr>
        <w:t xml:space="preserve"> رو در سال‌ها</w:t>
      </w:r>
      <w:r w:rsidRPr="0025250D">
        <w:rPr>
          <w:rFonts w:hint="cs"/>
          <w:rtl/>
        </w:rPr>
        <w:t>ی</w:t>
      </w:r>
      <w:r w:rsidRPr="0025250D">
        <w:rPr>
          <w:rtl/>
        </w:rPr>
        <w:t xml:space="preserve"> اخ</w:t>
      </w:r>
      <w:r w:rsidRPr="0025250D">
        <w:rPr>
          <w:rFonts w:hint="cs"/>
          <w:rtl/>
        </w:rPr>
        <w:t>ی</w:t>
      </w:r>
      <w:r w:rsidRPr="0025250D">
        <w:rPr>
          <w:rFonts w:hint="eastAsia"/>
          <w:rtl/>
        </w:rPr>
        <w:t>ر</w:t>
      </w:r>
      <w:r w:rsidRPr="0025250D">
        <w:rPr>
          <w:rtl/>
        </w:rPr>
        <w:t xml:space="preserve"> آ</w:t>
      </w:r>
      <w:r w:rsidRPr="0025250D">
        <w:rPr>
          <w:rFonts w:hint="cs"/>
          <w:rtl/>
        </w:rPr>
        <w:t>ی</w:t>
      </w:r>
      <w:r w:rsidRPr="0025250D">
        <w:rPr>
          <w:rFonts w:hint="eastAsia"/>
          <w:rtl/>
        </w:rPr>
        <w:t>نده‌نگار</w:t>
      </w:r>
      <w:r w:rsidRPr="0025250D">
        <w:rPr>
          <w:rFonts w:hint="cs"/>
          <w:rtl/>
        </w:rPr>
        <w:t>ی</w:t>
      </w:r>
      <w:r w:rsidRPr="0025250D">
        <w:rPr>
          <w:rtl/>
        </w:rPr>
        <w:t xml:space="preserve"> مورد استقبال بس</w:t>
      </w:r>
      <w:r w:rsidRPr="0025250D">
        <w:rPr>
          <w:rFonts w:hint="cs"/>
          <w:rtl/>
        </w:rPr>
        <w:t>ی</w:t>
      </w:r>
      <w:r w:rsidRPr="0025250D">
        <w:rPr>
          <w:rFonts w:hint="eastAsia"/>
          <w:rtl/>
        </w:rPr>
        <w:t>ار</w:t>
      </w:r>
      <w:r w:rsidRPr="0025250D">
        <w:rPr>
          <w:rFonts w:hint="cs"/>
          <w:rtl/>
        </w:rPr>
        <w:t>ی</w:t>
      </w:r>
      <w:r w:rsidRPr="0025250D">
        <w:rPr>
          <w:rtl/>
        </w:rPr>
        <w:t xml:space="preserve"> از افراد، رهبران و کارگزاران قرار</w:t>
      </w:r>
      <w:r w:rsidRPr="0025250D">
        <w:rPr>
          <w:rFonts w:hint="cs"/>
          <w:rtl/>
        </w:rPr>
        <w:t xml:space="preserve"> </w:t>
      </w:r>
      <w:r w:rsidRPr="0025250D">
        <w:rPr>
          <w:rtl/>
        </w:rPr>
        <w:t>گرفته اس</w:t>
      </w:r>
      <w:r w:rsidRPr="0025250D">
        <w:rPr>
          <w:rFonts w:hint="cs"/>
          <w:rtl/>
        </w:rPr>
        <w:t>ت.</w:t>
      </w:r>
    </w:p>
    <w:p w14:paraId="035146A2" w14:textId="77777777" w:rsidR="00DF7943" w:rsidRPr="0025250D" w:rsidRDefault="00DF7943" w:rsidP="00DF7943">
      <w:pPr>
        <w:rPr>
          <w:rtl/>
        </w:rPr>
      </w:pPr>
      <w:r w:rsidRPr="0025250D">
        <w:rPr>
          <w:rtl/>
        </w:rPr>
        <w:t>آینده‌نگاری به‌عنوان زم</w:t>
      </w:r>
      <w:r w:rsidRPr="0025250D">
        <w:rPr>
          <w:rFonts w:hint="cs"/>
          <w:rtl/>
        </w:rPr>
        <w:t>ی</w:t>
      </w:r>
      <w:r w:rsidRPr="0025250D">
        <w:rPr>
          <w:rFonts w:hint="eastAsia"/>
          <w:rtl/>
        </w:rPr>
        <w:t>نه‌ا</w:t>
      </w:r>
      <w:r w:rsidRPr="0025250D">
        <w:rPr>
          <w:rFonts w:hint="cs"/>
          <w:rtl/>
        </w:rPr>
        <w:t>ی</w:t>
      </w:r>
      <w:r w:rsidRPr="0025250D">
        <w:rPr>
          <w:rtl/>
        </w:rPr>
        <w:t xml:space="preserve"> در حال  ظهور با فراهم آوردن ابزارها، چارچوب‌ها، مدل‌ها و روش‌ها</w:t>
      </w:r>
      <w:r w:rsidRPr="0025250D">
        <w:rPr>
          <w:rFonts w:hint="cs"/>
          <w:rtl/>
        </w:rPr>
        <w:t>ی</w:t>
      </w:r>
      <w:r w:rsidRPr="0025250D">
        <w:rPr>
          <w:rtl/>
        </w:rPr>
        <w:t xml:space="preserve"> مناسب م</w:t>
      </w:r>
      <w:r w:rsidRPr="0025250D">
        <w:rPr>
          <w:rFonts w:hint="cs"/>
          <w:rtl/>
        </w:rPr>
        <w:t>ی‌</w:t>
      </w:r>
      <w:r w:rsidRPr="0025250D">
        <w:rPr>
          <w:rFonts w:hint="eastAsia"/>
          <w:rtl/>
        </w:rPr>
        <w:t>تواند</w:t>
      </w:r>
      <w:r w:rsidRPr="0025250D">
        <w:rPr>
          <w:rtl/>
        </w:rPr>
        <w:t xml:space="preserve"> پاسخگو</w:t>
      </w:r>
      <w:r w:rsidRPr="0025250D">
        <w:rPr>
          <w:rFonts w:hint="cs"/>
          <w:rtl/>
        </w:rPr>
        <w:t>ی</w:t>
      </w:r>
      <w:r w:rsidRPr="0025250D">
        <w:rPr>
          <w:rtl/>
        </w:rPr>
        <w:t xml:space="preserve"> ن</w:t>
      </w:r>
      <w:r w:rsidRPr="0025250D">
        <w:rPr>
          <w:rFonts w:hint="cs"/>
          <w:rtl/>
        </w:rPr>
        <w:t>ی</w:t>
      </w:r>
      <w:r w:rsidRPr="0025250D">
        <w:rPr>
          <w:rFonts w:hint="eastAsia"/>
          <w:rtl/>
        </w:rPr>
        <w:t>از</w:t>
      </w:r>
      <w:r w:rsidRPr="0025250D">
        <w:rPr>
          <w:rtl/>
        </w:rPr>
        <w:t xml:space="preserve"> رو</w:t>
      </w:r>
      <w:r w:rsidRPr="0025250D">
        <w:rPr>
          <w:rFonts w:hint="cs"/>
          <w:rtl/>
        </w:rPr>
        <w:t>ز</w:t>
      </w:r>
      <w:r w:rsidRPr="0025250D">
        <w:rPr>
          <w:rtl/>
        </w:rPr>
        <w:t>افزون به پ</w:t>
      </w:r>
      <w:r w:rsidRPr="0025250D">
        <w:rPr>
          <w:rFonts w:hint="cs"/>
          <w:rtl/>
        </w:rPr>
        <w:t>ی</w:t>
      </w:r>
      <w:r w:rsidRPr="0025250D">
        <w:rPr>
          <w:rFonts w:hint="eastAsia"/>
          <w:rtl/>
        </w:rPr>
        <w:t>ش‌ب</w:t>
      </w:r>
      <w:r w:rsidRPr="0025250D">
        <w:rPr>
          <w:rFonts w:hint="cs"/>
          <w:rtl/>
        </w:rPr>
        <w:t>ی</w:t>
      </w:r>
      <w:r w:rsidRPr="0025250D">
        <w:rPr>
          <w:rFonts w:hint="eastAsia"/>
          <w:rtl/>
        </w:rPr>
        <w:t>ن</w:t>
      </w:r>
      <w:r w:rsidRPr="0025250D">
        <w:rPr>
          <w:rFonts w:hint="cs"/>
          <w:rtl/>
        </w:rPr>
        <w:t>ی</w:t>
      </w:r>
      <w:r w:rsidRPr="0025250D">
        <w:rPr>
          <w:rtl/>
        </w:rPr>
        <w:t xml:space="preserve"> و آماده‌ساز</w:t>
      </w:r>
      <w:r w:rsidRPr="0025250D">
        <w:rPr>
          <w:rFonts w:hint="cs"/>
          <w:rtl/>
        </w:rPr>
        <w:t>ی</w:t>
      </w:r>
      <w:r w:rsidRPr="0025250D">
        <w:rPr>
          <w:rtl/>
        </w:rPr>
        <w:t xml:space="preserve"> برا</w:t>
      </w:r>
      <w:r w:rsidRPr="0025250D">
        <w:rPr>
          <w:rFonts w:hint="cs"/>
          <w:rtl/>
        </w:rPr>
        <w:t>ی</w:t>
      </w:r>
      <w:r w:rsidRPr="0025250D">
        <w:rPr>
          <w:rtl/>
        </w:rPr>
        <w:t xml:space="preserve"> رو</w:t>
      </w:r>
      <w:r w:rsidRPr="0025250D">
        <w:rPr>
          <w:rFonts w:hint="cs"/>
          <w:rtl/>
        </w:rPr>
        <w:t>ی</w:t>
      </w:r>
      <w:r w:rsidRPr="0025250D">
        <w:rPr>
          <w:rFonts w:hint="eastAsia"/>
          <w:rtl/>
        </w:rPr>
        <w:t>دادها</w:t>
      </w:r>
      <w:r w:rsidRPr="0025250D">
        <w:rPr>
          <w:rFonts w:hint="cs"/>
          <w:rtl/>
        </w:rPr>
        <w:t>ی</w:t>
      </w:r>
      <w:r w:rsidRPr="0025250D">
        <w:rPr>
          <w:rtl/>
        </w:rPr>
        <w:t xml:space="preserve"> آ</w:t>
      </w:r>
      <w:r w:rsidRPr="0025250D">
        <w:rPr>
          <w:rFonts w:hint="cs"/>
          <w:rtl/>
        </w:rPr>
        <w:t>ی</w:t>
      </w:r>
      <w:r w:rsidRPr="0025250D">
        <w:rPr>
          <w:rFonts w:hint="eastAsia"/>
          <w:rtl/>
        </w:rPr>
        <w:t>نده</w:t>
      </w:r>
      <w:r w:rsidRPr="0025250D">
        <w:rPr>
          <w:rtl/>
        </w:rPr>
        <w:t xml:space="preserve"> باشد. تجربه موفق شرکت‌ها</w:t>
      </w:r>
      <w:r w:rsidRPr="0025250D">
        <w:rPr>
          <w:rFonts w:hint="cs"/>
          <w:rtl/>
        </w:rPr>
        <w:t>یی</w:t>
      </w:r>
      <w:r w:rsidRPr="0025250D">
        <w:rPr>
          <w:rtl/>
        </w:rPr>
        <w:t xml:space="preserve"> همچون</w:t>
      </w:r>
      <w:r w:rsidRPr="0025250D">
        <w:rPr>
          <w:rFonts w:hint="cs"/>
          <w:rtl/>
        </w:rPr>
        <w:t xml:space="preserve"> شرکت</w:t>
      </w:r>
      <w:r w:rsidRPr="0025250D">
        <w:rPr>
          <w:rtl/>
        </w:rPr>
        <w:t xml:space="preserve"> شل در به‌کارگ</w:t>
      </w:r>
      <w:r w:rsidRPr="0025250D">
        <w:rPr>
          <w:rFonts w:hint="cs"/>
          <w:rtl/>
        </w:rPr>
        <w:t>ی</w:t>
      </w:r>
      <w:r w:rsidRPr="0025250D">
        <w:rPr>
          <w:rFonts w:hint="eastAsia"/>
          <w:rtl/>
        </w:rPr>
        <w:t>ر</w:t>
      </w:r>
      <w:r w:rsidRPr="0025250D">
        <w:rPr>
          <w:rFonts w:hint="cs"/>
          <w:rtl/>
        </w:rPr>
        <w:t>ی</w:t>
      </w:r>
      <w:r w:rsidRPr="0025250D">
        <w:rPr>
          <w:rtl/>
        </w:rPr>
        <w:t xml:space="preserve"> آینده‌نگاری و آماده‌ساز</w:t>
      </w:r>
      <w:r w:rsidRPr="0025250D">
        <w:rPr>
          <w:rFonts w:hint="cs"/>
          <w:rtl/>
        </w:rPr>
        <w:t>ی</w:t>
      </w:r>
      <w:r w:rsidRPr="0025250D">
        <w:rPr>
          <w:rtl/>
        </w:rPr>
        <w:t xml:space="preserve"> خود برا</w:t>
      </w:r>
      <w:r w:rsidRPr="0025250D">
        <w:rPr>
          <w:rFonts w:hint="cs"/>
          <w:rtl/>
        </w:rPr>
        <w:t>ی</w:t>
      </w:r>
      <w:r w:rsidRPr="0025250D">
        <w:rPr>
          <w:rtl/>
        </w:rPr>
        <w:t xml:space="preserve"> رو</w:t>
      </w:r>
      <w:r w:rsidRPr="0025250D">
        <w:rPr>
          <w:rFonts w:hint="cs"/>
          <w:rtl/>
        </w:rPr>
        <w:t>ی</w:t>
      </w:r>
      <w:r w:rsidRPr="0025250D">
        <w:rPr>
          <w:rFonts w:hint="eastAsia"/>
          <w:rtl/>
        </w:rPr>
        <w:t>ارو</w:t>
      </w:r>
      <w:r w:rsidRPr="0025250D">
        <w:rPr>
          <w:rFonts w:hint="cs"/>
          <w:rtl/>
        </w:rPr>
        <w:t>یی</w:t>
      </w:r>
      <w:r w:rsidRPr="0025250D">
        <w:rPr>
          <w:rtl/>
        </w:rPr>
        <w:t xml:space="preserve"> با تغ</w:t>
      </w:r>
      <w:r w:rsidRPr="0025250D">
        <w:rPr>
          <w:rFonts w:hint="cs"/>
          <w:rtl/>
        </w:rPr>
        <w:t>یی</w:t>
      </w:r>
      <w:r w:rsidRPr="0025250D">
        <w:rPr>
          <w:rFonts w:hint="eastAsia"/>
          <w:rtl/>
        </w:rPr>
        <w:t>رات</w:t>
      </w:r>
      <w:r w:rsidRPr="0025250D">
        <w:rPr>
          <w:rtl/>
        </w:rPr>
        <w:t xml:space="preserve"> مح</w:t>
      </w:r>
      <w:r w:rsidRPr="0025250D">
        <w:rPr>
          <w:rFonts w:hint="cs"/>
          <w:rtl/>
        </w:rPr>
        <w:t>ی</w:t>
      </w:r>
      <w:r w:rsidRPr="0025250D">
        <w:rPr>
          <w:rFonts w:hint="eastAsia"/>
          <w:rtl/>
        </w:rPr>
        <w:t>ط</w:t>
      </w:r>
      <w:r w:rsidRPr="0025250D">
        <w:rPr>
          <w:rFonts w:hint="cs"/>
          <w:rtl/>
        </w:rPr>
        <w:t>ی</w:t>
      </w:r>
      <w:r w:rsidRPr="0025250D">
        <w:rPr>
          <w:rtl/>
        </w:rPr>
        <w:t xml:space="preserve"> و تبد</w:t>
      </w:r>
      <w:r w:rsidRPr="0025250D">
        <w:rPr>
          <w:rFonts w:hint="cs"/>
          <w:rtl/>
        </w:rPr>
        <w:t>ی</w:t>
      </w:r>
      <w:r w:rsidRPr="0025250D">
        <w:rPr>
          <w:rFonts w:hint="eastAsia"/>
          <w:rtl/>
        </w:rPr>
        <w:t>ل</w:t>
      </w:r>
      <w:r w:rsidRPr="0025250D">
        <w:rPr>
          <w:rtl/>
        </w:rPr>
        <w:t xml:space="preserve"> تهد</w:t>
      </w:r>
      <w:r w:rsidRPr="0025250D">
        <w:rPr>
          <w:rFonts w:hint="cs"/>
          <w:rtl/>
        </w:rPr>
        <w:t>ی</w:t>
      </w:r>
      <w:r w:rsidRPr="0025250D">
        <w:rPr>
          <w:rFonts w:hint="eastAsia"/>
          <w:rtl/>
        </w:rPr>
        <w:t>دها</w:t>
      </w:r>
      <w:r w:rsidRPr="0025250D">
        <w:rPr>
          <w:rtl/>
        </w:rPr>
        <w:t xml:space="preserve"> به فرصت‌ها</w:t>
      </w:r>
      <w:r w:rsidRPr="0025250D">
        <w:rPr>
          <w:rFonts w:hint="cs"/>
          <w:rtl/>
        </w:rPr>
        <w:t>یی</w:t>
      </w:r>
      <w:r w:rsidRPr="0025250D">
        <w:rPr>
          <w:rtl/>
        </w:rPr>
        <w:t xml:space="preserve"> برا</w:t>
      </w:r>
      <w:r w:rsidRPr="0025250D">
        <w:rPr>
          <w:rFonts w:hint="cs"/>
          <w:rtl/>
        </w:rPr>
        <w:t>ی</w:t>
      </w:r>
      <w:r w:rsidRPr="0025250D">
        <w:rPr>
          <w:rtl/>
        </w:rPr>
        <w:t xml:space="preserve"> رشد و پ</w:t>
      </w:r>
      <w:r w:rsidRPr="0025250D">
        <w:rPr>
          <w:rFonts w:hint="cs"/>
          <w:rtl/>
        </w:rPr>
        <w:t>ی</w:t>
      </w:r>
      <w:r w:rsidRPr="0025250D">
        <w:rPr>
          <w:rFonts w:hint="eastAsia"/>
          <w:rtl/>
        </w:rPr>
        <w:t>شرفت</w:t>
      </w:r>
      <w:r w:rsidRPr="0025250D">
        <w:rPr>
          <w:rFonts w:hint="cs"/>
          <w:rtl/>
        </w:rPr>
        <w:t>،</w:t>
      </w:r>
      <w:r w:rsidRPr="0025250D">
        <w:rPr>
          <w:rtl/>
        </w:rPr>
        <w:t xml:space="preserve"> نشان داده است که آینده‌نگاری از پتانس</w:t>
      </w:r>
      <w:r w:rsidRPr="0025250D">
        <w:rPr>
          <w:rFonts w:hint="cs"/>
          <w:rtl/>
        </w:rPr>
        <w:t>ی</w:t>
      </w:r>
      <w:r w:rsidRPr="0025250D">
        <w:rPr>
          <w:rFonts w:hint="eastAsia"/>
          <w:rtl/>
        </w:rPr>
        <w:t>ل</w:t>
      </w:r>
      <w:r w:rsidRPr="0025250D">
        <w:rPr>
          <w:rtl/>
        </w:rPr>
        <w:t xml:space="preserve"> لازم برا</w:t>
      </w:r>
      <w:r w:rsidRPr="0025250D">
        <w:rPr>
          <w:rFonts w:hint="cs"/>
          <w:rtl/>
        </w:rPr>
        <w:t>ی</w:t>
      </w:r>
      <w:r w:rsidRPr="0025250D">
        <w:rPr>
          <w:rtl/>
        </w:rPr>
        <w:t xml:space="preserve"> مقابله با تغ</w:t>
      </w:r>
      <w:r w:rsidRPr="0025250D">
        <w:rPr>
          <w:rFonts w:hint="cs"/>
          <w:rtl/>
        </w:rPr>
        <w:t>یی</w:t>
      </w:r>
      <w:r w:rsidRPr="0025250D">
        <w:rPr>
          <w:rFonts w:hint="eastAsia"/>
          <w:rtl/>
        </w:rPr>
        <w:t>رات</w:t>
      </w:r>
      <w:r w:rsidRPr="0025250D">
        <w:rPr>
          <w:rtl/>
        </w:rPr>
        <w:t xml:space="preserve"> برخوردار م</w:t>
      </w:r>
      <w:r w:rsidRPr="0025250D">
        <w:rPr>
          <w:rFonts w:hint="cs"/>
          <w:rtl/>
        </w:rPr>
        <w:t>ی‌</w:t>
      </w:r>
      <w:r w:rsidRPr="0025250D">
        <w:rPr>
          <w:rFonts w:hint="eastAsia"/>
          <w:rtl/>
        </w:rPr>
        <w:t>باشد</w:t>
      </w:r>
      <w:r w:rsidRPr="0025250D">
        <w:rPr>
          <w:rtl/>
        </w:rPr>
        <w:t>. اما آنچه تع</w:t>
      </w:r>
      <w:r w:rsidRPr="0025250D">
        <w:rPr>
          <w:rFonts w:hint="cs"/>
          <w:rtl/>
        </w:rPr>
        <w:t>یی</w:t>
      </w:r>
      <w:r w:rsidRPr="0025250D">
        <w:rPr>
          <w:rFonts w:hint="eastAsia"/>
          <w:rtl/>
        </w:rPr>
        <w:t>ن‌کننده</w:t>
      </w:r>
      <w:r w:rsidRPr="0025250D">
        <w:rPr>
          <w:rtl/>
        </w:rPr>
        <w:t xml:space="preserve"> موفق</w:t>
      </w:r>
      <w:r w:rsidRPr="0025250D">
        <w:rPr>
          <w:rFonts w:hint="cs"/>
          <w:rtl/>
        </w:rPr>
        <w:t>ی</w:t>
      </w:r>
      <w:r w:rsidRPr="0025250D">
        <w:rPr>
          <w:rFonts w:hint="eastAsia"/>
          <w:rtl/>
        </w:rPr>
        <w:t>ت</w:t>
      </w:r>
      <w:r w:rsidRPr="0025250D">
        <w:rPr>
          <w:rtl/>
        </w:rPr>
        <w:t xml:space="preserve"> و عدم موفق</w:t>
      </w:r>
      <w:r w:rsidRPr="0025250D">
        <w:rPr>
          <w:rFonts w:hint="cs"/>
          <w:rtl/>
        </w:rPr>
        <w:t>ی</w:t>
      </w:r>
      <w:r w:rsidRPr="0025250D">
        <w:rPr>
          <w:rFonts w:hint="eastAsia"/>
          <w:rtl/>
        </w:rPr>
        <w:t>ت</w:t>
      </w:r>
      <w:r w:rsidRPr="0025250D">
        <w:rPr>
          <w:rtl/>
        </w:rPr>
        <w:t xml:space="preserve"> آینده‌نگاری م</w:t>
      </w:r>
      <w:r w:rsidRPr="0025250D">
        <w:rPr>
          <w:rFonts w:hint="cs"/>
          <w:rtl/>
        </w:rPr>
        <w:t>ی‌</w:t>
      </w:r>
      <w:r w:rsidRPr="0025250D">
        <w:rPr>
          <w:rFonts w:hint="eastAsia"/>
          <w:rtl/>
        </w:rPr>
        <w:t>باشد</w:t>
      </w:r>
      <w:r w:rsidRPr="0025250D">
        <w:rPr>
          <w:rtl/>
        </w:rPr>
        <w:t>، ش</w:t>
      </w:r>
      <w:r w:rsidRPr="0025250D">
        <w:rPr>
          <w:rFonts w:hint="cs"/>
          <w:rtl/>
        </w:rPr>
        <w:t>ی</w:t>
      </w:r>
      <w:r w:rsidRPr="0025250D">
        <w:rPr>
          <w:rFonts w:hint="eastAsia"/>
          <w:rtl/>
        </w:rPr>
        <w:t>وه</w:t>
      </w:r>
      <w:r w:rsidRPr="0025250D">
        <w:rPr>
          <w:rtl/>
        </w:rPr>
        <w:t xml:space="preserve"> تفکر درست و استفاده صح</w:t>
      </w:r>
      <w:r w:rsidRPr="0025250D">
        <w:rPr>
          <w:rFonts w:hint="cs"/>
          <w:rtl/>
        </w:rPr>
        <w:t>ی</w:t>
      </w:r>
      <w:r w:rsidRPr="0025250D">
        <w:rPr>
          <w:rFonts w:hint="eastAsia"/>
          <w:rtl/>
        </w:rPr>
        <w:t>ح</w:t>
      </w:r>
      <w:r w:rsidRPr="0025250D">
        <w:rPr>
          <w:rtl/>
        </w:rPr>
        <w:t xml:space="preserve"> از چارچوب‌ها، مدل‌ها و روش‌ها</w:t>
      </w:r>
      <w:r w:rsidRPr="0025250D">
        <w:rPr>
          <w:rFonts w:hint="cs"/>
          <w:rtl/>
        </w:rPr>
        <w:t>ی</w:t>
      </w:r>
      <w:r w:rsidRPr="0025250D">
        <w:rPr>
          <w:rtl/>
        </w:rPr>
        <w:t xml:space="preserve"> مناسب با توجه با اقتضا و شرا</w:t>
      </w:r>
      <w:r w:rsidRPr="0025250D">
        <w:rPr>
          <w:rFonts w:hint="cs"/>
          <w:rtl/>
        </w:rPr>
        <w:t>ی</w:t>
      </w:r>
      <w:r w:rsidRPr="0025250D">
        <w:rPr>
          <w:rFonts w:hint="eastAsia"/>
          <w:rtl/>
        </w:rPr>
        <w:t>ط</w:t>
      </w:r>
      <w:r w:rsidRPr="0025250D">
        <w:rPr>
          <w:rtl/>
        </w:rPr>
        <w:t xml:space="preserve"> مح</w:t>
      </w:r>
      <w:r w:rsidRPr="0025250D">
        <w:rPr>
          <w:rFonts w:hint="cs"/>
          <w:rtl/>
        </w:rPr>
        <w:t>ی</w:t>
      </w:r>
      <w:r w:rsidRPr="0025250D">
        <w:rPr>
          <w:rFonts w:hint="eastAsia"/>
          <w:rtl/>
        </w:rPr>
        <w:t>ط</w:t>
      </w:r>
      <w:r w:rsidRPr="0025250D">
        <w:rPr>
          <w:rFonts w:hint="cs"/>
          <w:rtl/>
        </w:rPr>
        <w:t>ی</w:t>
      </w:r>
      <w:r w:rsidRPr="0025250D">
        <w:rPr>
          <w:rtl/>
        </w:rPr>
        <w:t xml:space="preserve"> </w:t>
      </w:r>
      <w:r w:rsidRPr="0025250D">
        <w:rPr>
          <w:rFonts w:hint="cs"/>
          <w:rtl/>
        </w:rPr>
        <w:t xml:space="preserve">است. </w:t>
      </w:r>
    </w:p>
    <w:p w14:paraId="600F7969" w14:textId="77777777" w:rsidR="00DF7943" w:rsidRPr="0025250D" w:rsidRDefault="00DF7943" w:rsidP="00DF7943">
      <w:pPr>
        <w:rPr>
          <w:rtl/>
        </w:rPr>
      </w:pPr>
      <w:r w:rsidRPr="0025250D">
        <w:rPr>
          <w:rtl/>
        </w:rPr>
        <w:t>در سال‌ها</w:t>
      </w:r>
      <w:r w:rsidRPr="0025250D">
        <w:rPr>
          <w:rFonts w:hint="cs"/>
          <w:rtl/>
        </w:rPr>
        <w:t>ی</w:t>
      </w:r>
      <w:r w:rsidRPr="0025250D">
        <w:rPr>
          <w:rtl/>
        </w:rPr>
        <w:t xml:space="preserve"> اخ</w:t>
      </w:r>
      <w:r w:rsidRPr="0025250D">
        <w:rPr>
          <w:rFonts w:hint="cs"/>
          <w:rtl/>
        </w:rPr>
        <w:t>ی</w:t>
      </w:r>
      <w:r w:rsidRPr="0025250D">
        <w:rPr>
          <w:rFonts w:hint="eastAsia"/>
          <w:rtl/>
        </w:rPr>
        <w:t>ر</w:t>
      </w:r>
      <w:r w:rsidRPr="0025250D">
        <w:rPr>
          <w:rtl/>
        </w:rPr>
        <w:t xml:space="preserve"> با توجه به </w:t>
      </w:r>
      <w:r w:rsidRPr="0025250D">
        <w:rPr>
          <w:rFonts w:hint="cs"/>
          <w:rtl/>
        </w:rPr>
        <w:t>اقبال</w:t>
      </w:r>
      <w:r w:rsidRPr="0025250D">
        <w:rPr>
          <w:rtl/>
        </w:rPr>
        <w:t xml:space="preserve"> روزافزون به زم</w:t>
      </w:r>
      <w:r w:rsidRPr="0025250D">
        <w:rPr>
          <w:rFonts w:hint="cs"/>
          <w:rtl/>
        </w:rPr>
        <w:t>ی</w:t>
      </w:r>
      <w:r w:rsidRPr="0025250D">
        <w:rPr>
          <w:rFonts w:hint="eastAsia"/>
          <w:rtl/>
        </w:rPr>
        <w:t>نه</w:t>
      </w:r>
      <w:r w:rsidRPr="0025250D">
        <w:rPr>
          <w:rtl/>
        </w:rPr>
        <w:t xml:space="preserve"> آینده‌نگاری</w:t>
      </w:r>
      <w:r w:rsidRPr="0025250D">
        <w:rPr>
          <w:rFonts w:hint="eastAsia"/>
          <w:rtl/>
        </w:rPr>
        <w:t>،</w:t>
      </w:r>
      <w:r w:rsidRPr="0025250D">
        <w:rPr>
          <w:rFonts w:hint="cs"/>
          <w:rtl/>
        </w:rPr>
        <w:t xml:space="preserve"> </w:t>
      </w:r>
      <w:r w:rsidRPr="0025250D">
        <w:rPr>
          <w:rtl/>
        </w:rPr>
        <w:t>کتاب‌ها</w:t>
      </w:r>
      <w:r w:rsidRPr="0025250D">
        <w:rPr>
          <w:rFonts w:hint="cs"/>
          <w:rtl/>
        </w:rPr>
        <w:t>ی</w:t>
      </w:r>
      <w:r w:rsidRPr="0025250D">
        <w:rPr>
          <w:rtl/>
        </w:rPr>
        <w:t xml:space="preserve"> مختلف</w:t>
      </w:r>
      <w:r w:rsidRPr="0025250D">
        <w:rPr>
          <w:rFonts w:hint="cs"/>
          <w:rtl/>
        </w:rPr>
        <w:t>ی</w:t>
      </w:r>
      <w:r w:rsidRPr="0025250D">
        <w:rPr>
          <w:rtl/>
        </w:rPr>
        <w:t xml:space="preserve"> در کشور منتشر شده‌اند که ب</w:t>
      </w:r>
      <w:r w:rsidRPr="0025250D">
        <w:rPr>
          <w:rFonts w:hint="cs"/>
          <w:rtl/>
        </w:rPr>
        <w:t>ی</w:t>
      </w:r>
      <w:r w:rsidRPr="0025250D">
        <w:rPr>
          <w:rFonts w:hint="eastAsia"/>
          <w:rtl/>
        </w:rPr>
        <w:t>شتر</w:t>
      </w:r>
      <w:r w:rsidRPr="0025250D">
        <w:rPr>
          <w:rtl/>
        </w:rPr>
        <w:t xml:space="preserve"> مفاه</w:t>
      </w:r>
      <w:r w:rsidRPr="0025250D">
        <w:rPr>
          <w:rFonts w:hint="cs"/>
          <w:rtl/>
        </w:rPr>
        <w:t>ی</w:t>
      </w:r>
      <w:r w:rsidRPr="0025250D">
        <w:rPr>
          <w:rFonts w:hint="eastAsia"/>
          <w:rtl/>
        </w:rPr>
        <w:t>م</w:t>
      </w:r>
      <w:r w:rsidRPr="0025250D">
        <w:rPr>
          <w:rtl/>
        </w:rPr>
        <w:t xml:space="preserve"> و تعار</w:t>
      </w:r>
      <w:r w:rsidRPr="0025250D">
        <w:rPr>
          <w:rFonts w:hint="cs"/>
          <w:rtl/>
        </w:rPr>
        <w:t>ی</w:t>
      </w:r>
      <w:r w:rsidRPr="0025250D">
        <w:rPr>
          <w:rFonts w:hint="eastAsia"/>
          <w:rtl/>
        </w:rPr>
        <w:t>ف</w:t>
      </w:r>
      <w:r w:rsidRPr="0025250D">
        <w:rPr>
          <w:rtl/>
        </w:rPr>
        <w:t xml:space="preserve"> اول</w:t>
      </w:r>
      <w:r w:rsidRPr="0025250D">
        <w:rPr>
          <w:rFonts w:hint="cs"/>
          <w:rtl/>
        </w:rPr>
        <w:t>ی</w:t>
      </w:r>
      <w:r w:rsidRPr="0025250D">
        <w:rPr>
          <w:rFonts w:hint="eastAsia"/>
          <w:rtl/>
        </w:rPr>
        <w:t>ه</w:t>
      </w:r>
      <w:r w:rsidRPr="0025250D">
        <w:rPr>
          <w:rtl/>
        </w:rPr>
        <w:t xml:space="preserve"> از آ</w:t>
      </w:r>
      <w:r w:rsidRPr="0025250D">
        <w:rPr>
          <w:rFonts w:hint="cs"/>
          <w:rtl/>
        </w:rPr>
        <w:t>ی</w:t>
      </w:r>
      <w:r w:rsidRPr="0025250D">
        <w:rPr>
          <w:rFonts w:hint="eastAsia"/>
          <w:rtl/>
        </w:rPr>
        <w:t>نده</w:t>
      </w:r>
      <w:r w:rsidRPr="0025250D">
        <w:rPr>
          <w:rtl/>
        </w:rPr>
        <w:t xml:space="preserve"> و آینده‌نگاری را پوشش داده‌اند و کمتر مباحث کاربرد</w:t>
      </w:r>
      <w:r w:rsidRPr="0025250D">
        <w:rPr>
          <w:rFonts w:hint="cs"/>
          <w:rtl/>
        </w:rPr>
        <w:t>ی</w:t>
      </w:r>
      <w:r w:rsidRPr="0025250D">
        <w:rPr>
          <w:rtl/>
        </w:rPr>
        <w:t xml:space="preserve"> مرتبط با پ</w:t>
      </w:r>
      <w:r w:rsidRPr="0025250D">
        <w:rPr>
          <w:rFonts w:hint="cs"/>
          <w:rtl/>
        </w:rPr>
        <w:t>ی</w:t>
      </w:r>
      <w:r w:rsidRPr="0025250D">
        <w:rPr>
          <w:rFonts w:hint="eastAsia"/>
          <w:rtl/>
        </w:rPr>
        <w:t>اده‌ساز</w:t>
      </w:r>
      <w:r w:rsidRPr="0025250D">
        <w:rPr>
          <w:rFonts w:hint="cs"/>
          <w:rtl/>
        </w:rPr>
        <w:t>ی</w:t>
      </w:r>
      <w:r w:rsidRPr="0025250D">
        <w:rPr>
          <w:rtl/>
        </w:rPr>
        <w:t xml:space="preserve"> آن در سازمان‌ها </w:t>
      </w:r>
      <w:r w:rsidRPr="0025250D">
        <w:rPr>
          <w:rFonts w:hint="cs"/>
          <w:rtl/>
        </w:rPr>
        <w:t xml:space="preserve">و </w:t>
      </w:r>
      <w:r w:rsidRPr="0025250D">
        <w:rPr>
          <w:rtl/>
        </w:rPr>
        <w:t>ت</w:t>
      </w:r>
      <w:r w:rsidRPr="0025250D">
        <w:rPr>
          <w:rFonts w:hint="cs"/>
          <w:rtl/>
        </w:rPr>
        <w:t>ی</w:t>
      </w:r>
      <w:r w:rsidRPr="0025250D">
        <w:rPr>
          <w:rFonts w:hint="eastAsia"/>
          <w:rtl/>
        </w:rPr>
        <w:t>م‌ها</w:t>
      </w:r>
      <w:r w:rsidRPr="0025250D">
        <w:rPr>
          <w:rtl/>
        </w:rPr>
        <w:t xml:space="preserve"> را در برگرفته‌اند. ا</w:t>
      </w:r>
      <w:r w:rsidRPr="0025250D">
        <w:rPr>
          <w:rFonts w:hint="cs"/>
          <w:rtl/>
        </w:rPr>
        <w:t>ی</w:t>
      </w:r>
      <w:r w:rsidRPr="0025250D">
        <w:rPr>
          <w:rFonts w:hint="eastAsia"/>
          <w:rtl/>
        </w:rPr>
        <w:t>ن</w:t>
      </w:r>
      <w:r w:rsidRPr="0025250D">
        <w:rPr>
          <w:rtl/>
        </w:rPr>
        <w:t xml:space="preserve"> در حال</w:t>
      </w:r>
      <w:r w:rsidRPr="0025250D">
        <w:rPr>
          <w:rFonts w:hint="cs"/>
          <w:rtl/>
        </w:rPr>
        <w:t>ی</w:t>
      </w:r>
      <w:r w:rsidRPr="0025250D">
        <w:rPr>
          <w:rtl/>
        </w:rPr>
        <w:t xml:space="preserve"> است که لازمه موفق</w:t>
      </w:r>
      <w:r w:rsidRPr="0025250D">
        <w:rPr>
          <w:rFonts w:hint="cs"/>
          <w:rtl/>
        </w:rPr>
        <w:t>ی</w:t>
      </w:r>
      <w:r w:rsidRPr="0025250D">
        <w:rPr>
          <w:rFonts w:hint="eastAsia"/>
          <w:rtl/>
        </w:rPr>
        <w:t>ت</w:t>
      </w:r>
      <w:r w:rsidRPr="0025250D">
        <w:rPr>
          <w:rFonts w:hint="cs"/>
          <w:rtl/>
        </w:rPr>
        <w:t xml:space="preserve"> </w:t>
      </w:r>
      <w:r w:rsidRPr="0025250D">
        <w:rPr>
          <w:rtl/>
        </w:rPr>
        <w:t>آینده‌نگاری</w:t>
      </w:r>
      <w:r w:rsidRPr="0025250D">
        <w:rPr>
          <w:rFonts w:hint="cs"/>
          <w:rtl/>
        </w:rPr>
        <w:t>،</w:t>
      </w:r>
      <w:r w:rsidRPr="0025250D">
        <w:rPr>
          <w:rtl/>
        </w:rPr>
        <w:t xml:space="preserve"> ش</w:t>
      </w:r>
      <w:r w:rsidRPr="0025250D">
        <w:rPr>
          <w:rFonts w:hint="cs"/>
          <w:rtl/>
        </w:rPr>
        <w:t>ی</w:t>
      </w:r>
      <w:r w:rsidRPr="0025250D">
        <w:rPr>
          <w:rFonts w:hint="eastAsia"/>
          <w:rtl/>
        </w:rPr>
        <w:t>وه</w:t>
      </w:r>
      <w:r w:rsidRPr="0025250D">
        <w:rPr>
          <w:rtl/>
        </w:rPr>
        <w:t xml:space="preserve"> درست به‌کارگ</w:t>
      </w:r>
      <w:r w:rsidRPr="0025250D">
        <w:rPr>
          <w:rFonts w:hint="cs"/>
          <w:rtl/>
        </w:rPr>
        <w:t>ی</w:t>
      </w:r>
      <w:r w:rsidRPr="0025250D">
        <w:rPr>
          <w:rFonts w:hint="eastAsia"/>
          <w:rtl/>
        </w:rPr>
        <w:t>ر</w:t>
      </w:r>
      <w:r w:rsidRPr="0025250D">
        <w:rPr>
          <w:rFonts w:hint="cs"/>
          <w:rtl/>
        </w:rPr>
        <w:t>ی</w:t>
      </w:r>
      <w:r w:rsidRPr="0025250D">
        <w:rPr>
          <w:rtl/>
        </w:rPr>
        <w:t xml:space="preserve"> چارچوب‌ها و روش‌ها</w:t>
      </w:r>
      <w:r w:rsidRPr="0025250D">
        <w:rPr>
          <w:rFonts w:hint="cs"/>
          <w:rtl/>
        </w:rPr>
        <w:t>ی</w:t>
      </w:r>
      <w:r w:rsidRPr="0025250D">
        <w:rPr>
          <w:rtl/>
        </w:rPr>
        <w:t xml:space="preserve"> آن م</w:t>
      </w:r>
      <w:r w:rsidRPr="0025250D">
        <w:rPr>
          <w:rFonts w:hint="cs"/>
          <w:rtl/>
        </w:rPr>
        <w:t>ی‌</w:t>
      </w:r>
      <w:r w:rsidRPr="0025250D">
        <w:rPr>
          <w:rFonts w:hint="eastAsia"/>
          <w:rtl/>
        </w:rPr>
        <w:t>باشد</w:t>
      </w:r>
      <w:r w:rsidRPr="0025250D">
        <w:rPr>
          <w:rtl/>
        </w:rPr>
        <w:t>. از هم</w:t>
      </w:r>
      <w:r w:rsidRPr="0025250D">
        <w:rPr>
          <w:rFonts w:hint="cs"/>
          <w:rtl/>
        </w:rPr>
        <w:t>ی</w:t>
      </w:r>
      <w:r w:rsidRPr="0025250D">
        <w:rPr>
          <w:rFonts w:hint="eastAsia"/>
          <w:rtl/>
        </w:rPr>
        <w:t>ن</w:t>
      </w:r>
      <w:r w:rsidRPr="0025250D">
        <w:rPr>
          <w:rtl/>
        </w:rPr>
        <w:t xml:space="preserve"> رو با توجه با ن</w:t>
      </w:r>
      <w:r w:rsidRPr="0025250D">
        <w:rPr>
          <w:rFonts w:hint="cs"/>
          <w:rtl/>
        </w:rPr>
        <w:t>ی</w:t>
      </w:r>
      <w:r w:rsidRPr="0025250D">
        <w:rPr>
          <w:rFonts w:hint="eastAsia"/>
          <w:rtl/>
        </w:rPr>
        <w:t>از</w:t>
      </w:r>
      <w:r w:rsidRPr="0025250D">
        <w:rPr>
          <w:rtl/>
        </w:rPr>
        <w:t xml:space="preserve"> مبرم ادب</w:t>
      </w:r>
      <w:r w:rsidRPr="0025250D">
        <w:rPr>
          <w:rFonts w:hint="cs"/>
          <w:rtl/>
        </w:rPr>
        <w:t>ی</w:t>
      </w:r>
      <w:r w:rsidRPr="0025250D">
        <w:rPr>
          <w:rFonts w:hint="eastAsia"/>
          <w:rtl/>
        </w:rPr>
        <w:t>ات</w:t>
      </w:r>
      <w:r w:rsidRPr="0025250D">
        <w:rPr>
          <w:rtl/>
        </w:rPr>
        <w:t xml:space="preserve"> و کارگزاران در کشور به راهنما</w:t>
      </w:r>
      <w:r w:rsidRPr="0025250D">
        <w:rPr>
          <w:rFonts w:hint="cs"/>
          <w:rtl/>
        </w:rPr>
        <w:t>یی</w:t>
      </w:r>
      <w:r w:rsidRPr="0025250D">
        <w:rPr>
          <w:rtl/>
        </w:rPr>
        <w:t xml:space="preserve"> عمل</w:t>
      </w:r>
      <w:r w:rsidRPr="0025250D">
        <w:rPr>
          <w:rFonts w:hint="cs"/>
          <w:rtl/>
        </w:rPr>
        <w:t>ی</w:t>
      </w:r>
      <w:r w:rsidRPr="0025250D">
        <w:rPr>
          <w:rFonts w:hint="eastAsia"/>
          <w:rtl/>
        </w:rPr>
        <w:t>،</w:t>
      </w:r>
      <w:r w:rsidRPr="0025250D">
        <w:rPr>
          <w:rtl/>
        </w:rPr>
        <w:t xml:space="preserve"> بر آن شد</w:t>
      </w:r>
      <w:r w:rsidRPr="0025250D">
        <w:rPr>
          <w:rFonts w:hint="cs"/>
          <w:rtl/>
        </w:rPr>
        <w:t>ی</w:t>
      </w:r>
      <w:r w:rsidRPr="0025250D">
        <w:rPr>
          <w:rFonts w:hint="eastAsia"/>
          <w:rtl/>
        </w:rPr>
        <w:t>م</w:t>
      </w:r>
      <w:r w:rsidRPr="0025250D">
        <w:rPr>
          <w:rtl/>
        </w:rPr>
        <w:t xml:space="preserve"> تا کتاب </w:t>
      </w:r>
      <w:r w:rsidRPr="0025250D">
        <w:rPr>
          <w:rFonts w:hint="cs"/>
          <w:rtl/>
        </w:rPr>
        <w:t>«</w:t>
      </w:r>
      <w:r w:rsidRPr="0025250D">
        <w:rPr>
          <w:rtl/>
        </w:rPr>
        <w:t>مقدمه‌ا</w:t>
      </w:r>
      <w:r w:rsidRPr="0025250D">
        <w:rPr>
          <w:rFonts w:hint="cs"/>
          <w:rtl/>
        </w:rPr>
        <w:t>ی</w:t>
      </w:r>
      <w:r w:rsidRPr="0025250D">
        <w:rPr>
          <w:rtl/>
        </w:rPr>
        <w:t xml:space="preserve"> بر آینده‌نگاری</w:t>
      </w:r>
      <w:r w:rsidRPr="0025250D">
        <w:rPr>
          <w:rFonts w:hint="cs"/>
          <w:rtl/>
        </w:rPr>
        <w:t>»</w:t>
      </w:r>
      <w:r w:rsidRPr="0025250D">
        <w:rPr>
          <w:rtl/>
        </w:rPr>
        <w:t xml:space="preserve"> نوشته جان اسمارت و منتشرشده توسط دانشگاه </w:t>
      </w:r>
      <w:r w:rsidRPr="0025250D">
        <w:rPr>
          <w:rFonts w:hint="eastAsia"/>
          <w:rtl/>
        </w:rPr>
        <w:t>آینده‌نگاری</w:t>
      </w:r>
      <w:r w:rsidRPr="0025250D">
        <w:rPr>
          <w:rtl/>
        </w:rPr>
        <w:t xml:space="preserve"> را به‌عنوان راهنما</w:t>
      </w:r>
      <w:r w:rsidRPr="0025250D">
        <w:rPr>
          <w:rFonts w:hint="cs"/>
          <w:rtl/>
        </w:rPr>
        <w:t>یی</w:t>
      </w:r>
      <w:r w:rsidRPr="0025250D">
        <w:rPr>
          <w:rtl/>
        </w:rPr>
        <w:t xml:space="preserve"> عمل</w:t>
      </w:r>
      <w:r w:rsidRPr="0025250D">
        <w:rPr>
          <w:rFonts w:hint="cs"/>
          <w:rtl/>
        </w:rPr>
        <w:t>ی</w:t>
      </w:r>
      <w:r w:rsidRPr="0025250D">
        <w:rPr>
          <w:rtl/>
        </w:rPr>
        <w:t xml:space="preserve"> جهت اجرا</w:t>
      </w:r>
      <w:r w:rsidRPr="0025250D">
        <w:rPr>
          <w:rFonts w:hint="cs"/>
          <w:rtl/>
        </w:rPr>
        <w:t>ی</w:t>
      </w:r>
      <w:r w:rsidRPr="0025250D">
        <w:rPr>
          <w:rtl/>
        </w:rPr>
        <w:t xml:space="preserve"> آینده‌نگاری در سطوح مختلف فرد</w:t>
      </w:r>
      <w:r w:rsidRPr="0025250D">
        <w:rPr>
          <w:rFonts w:hint="cs"/>
          <w:rtl/>
        </w:rPr>
        <w:t>ی</w:t>
      </w:r>
      <w:r w:rsidRPr="0025250D">
        <w:rPr>
          <w:rFonts w:hint="eastAsia"/>
          <w:rtl/>
        </w:rPr>
        <w:t>،</w:t>
      </w:r>
      <w:r w:rsidRPr="0025250D">
        <w:rPr>
          <w:rtl/>
        </w:rPr>
        <w:t xml:space="preserve"> ت</w:t>
      </w:r>
      <w:r w:rsidRPr="0025250D">
        <w:rPr>
          <w:rFonts w:hint="cs"/>
          <w:rtl/>
        </w:rPr>
        <w:t>ی</w:t>
      </w:r>
      <w:r w:rsidRPr="0025250D">
        <w:rPr>
          <w:rFonts w:hint="eastAsia"/>
          <w:rtl/>
        </w:rPr>
        <w:t>م</w:t>
      </w:r>
      <w:r w:rsidRPr="0025250D">
        <w:rPr>
          <w:rFonts w:hint="cs"/>
          <w:rtl/>
        </w:rPr>
        <w:t>ی</w:t>
      </w:r>
      <w:r w:rsidRPr="0025250D">
        <w:rPr>
          <w:rtl/>
        </w:rPr>
        <w:t xml:space="preserve"> و سازمان</w:t>
      </w:r>
      <w:r w:rsidRPr="0025250D">
        <w:rPr>
          <w:rFonts w:hint="cs"/>
          <w:rtl/>
        </w:rPr>
        <w:t>ی</w:t>
      </w:r>
      <w:r w:rsidRPr="0025250D">
        <w:rPr>
          <w:rtl/>
        </w:rPr>
        <w:t xml:space="preserve"> ترجمه نما</w:t>
      </w:r>
      <w:r w:rsidRPr="0025250D">
        <w:rPr>
          <w:rFonts w:hint="cs"/>
          <w:rtl/>
        </w:rPr>
        <w:t>ییم.</w:t>
      </w:r>
    </w:p>
    <w:p w14:paraId="4CB192B4" w14:textId="77777777" w:rsidR="00DF7943" w:rsidRPr="0025250D" w:rsidRDefault="00DF7943" w:rsidP="00DF7943">
      <w:pPr>
        <w:rPr>
          <w:rtl/>
        </w:rPr>
      </w:pPr>
      <w:r w:rsidRPr="0025250D">
        <w:rPr>
          <w:rtl/>
        </w:rPr>
        <w:t>جان اسمارت رئ</w:t>
      </w:r>
      <w:r w:rsidRPr="0025250D">
        <w:rPr>
          <w:rFonts w:hint="cs"/>
          <w:rtl/>
        </w:rPr>
        <w:t>ی</w:t>
      </w:r>
      <w:r w:rsidRPr="0025250D">
        <w:rPr>
          <w:rFonts w:hint="eastAsia"/>
          <w:rtl/>
        </w:rPr>
        <w:t>س</w:t>
      </w:r>
      <w:r w:rsidRPr="0025250D">
        <w:rPr>
          <w:rtl/>
        </w:rPr>
        <w:t xml:space="preserve"> بن</w:t>
      </w:r>
      <w:r w:rsidRPr="0025250D">
        <w:rPr>
          <w:rFonts w:hint="cs"/>
          <w:rtl/>
        </w:rPr>
        <w:t>ی</w:t>
      </w:r>
      <w:r w:rsidRPr="0025250D">
        <w:rPr>
          <w:rFonts w:hint="eastAsia"/>
          <w:rtl/>
        </w:rPr>
        <w:t>اد</w:t>
      </w:r>
      <w:r w:rsidRPr="0025250D">
        <w:rPr>
          <w:rtl/>
        </w:rPr>
        <w:t xml:space="preserve"> مطالعات شتاب و مد</w:t>
      </w:r>
      <w:r w:rsidRPr="0025250D">
        <w:rPr>
          <w:rFonts w:hint="cs"/>
          <w:rtl/>
        </w:rPr>
        <w:t>ی</w:t>
      </w:r>
      <w:r w:rsidRPr="0025250D">
        <w:rPr>
          <w:rFonts w:hint="eastAsia"/>
          <w:rtl/>
        </w:rPr>
        <w:t>ر</w:t>
      </w:r>
      <w:r w:rsidRPr="0025250D">
        <w:rPr>
          <w:rtl/>
        </w:rPr>
        <w:t xml:space="preserve"> جامع</w:t>
      </w:r>
      <w:r w:rsidRPr="0025250D">
        <w:rPr>
          <w:rFonts w:hint="cs"/>
          <w:rtl/>
        </w:rPr>
        <w:t>ه</w:t>
      </w:r>
      <w:r w:rsidRPr="0025250D">
        <w:rPr>
          <w:rtl/>
        </w:rPr>
        <w:t xml:space="preserve"> تحق</w:t>
      </w:r>
      <w:r w:rsidRPr="0025250D">
        <w:rPr>
          <w:rFonts w:hint="cs"/>
          <w:rtl/>
        </w:rPr>
        <w:t>ی</w:t>
      </w:r>
      <w:r w:rsidRPr="0025250D">
        <w:rPr>
          <w:rFonts w:hint="eastAsia"/>
          <w:rtl/>
        </w:rPr>
        <w:t>قات</w:t>
      </w:r>
      <w:r w:rsidRPr="0025250D">
        <w:rPr>
          <w:rFonts w:hint="cs"/>
          <w:rtl/>
        </w:rPr>
        <w:t>ی</w:t>
      </w:r>
      <w:r w:rsidRPr="0025250D">
        <w:rPr>
          <w:rtl/>
        </w:rPr>
        <w:t xml:space="preserve"> سازمان‌ها</w:t>
      </w:r>
      <w:r w:rsidRPr="0025250D">
        <w:rPr>
          <w:rFonts w:hint="cs"/>
          <w:rtl/>
        </w:rPr>
        <w:t>ی</w:t>
      </w:r>
      <w:r w:rsidRPr="0025250D">
        <w:rPr>
          <w:rtl/>
        </w:rPr>
        <w:t xml:space="preserve"> پ</w:t>
      </w:r>
      <w:r w:rsidRPr="0025250D">
        <w:rPr>
          <w:rFonts w:hint="cs"/>
          <w:rtl/>
        </w:rPr>
        <w:t>ی</w:t>
      </w:r>
      <w:r w:rsidRPr="0025250D">
        <w:rPr>
          <w:rFonts w:hint="eastAsia"/>
          <w:rtl/>
        </w:rPr>
        <w:t>چ</w:t>
      </w:r>
      <w:r w:rsidRPr="0025250D">
        <w:rPr>
          <w:rFonts w:hint="cs"/>
          <w:rtl/>
        </w:rPr>
        <w:t>ی</w:t>
      </w:r>
      <w:r w:rsidRPr="0025250D">
        <w:rPr>
          <w:rFonts w:hint="eastAsia"/>
          <w:rtl/>
        </w:rPr>
        <w:t>ده</w:t>
      </w:r>
      <w:r w:rsidRPr="0025250D">
        <w:rPr>
          <w:rtl/>
        </w:rPr>
        <w:t xml:space="preserve"> جهان تکامل</w:t>
      </w:r>
      <w:r w:rsidRPr="0025250D">
        <w:rPr>
          <w:rFonts w:hint="cs"/>
          <w:rtl/>
        </w:rPr>
        <w:t>ی</w:t>
      </w:r>
      <w:r w:rsidRPr="0025250D">
        <w:rPr>
          <w:rtl/>
        </w:rPr>
        <w:t>-توسعه ا</w:t>
      </w:r>
      <w:r w:rsidRPr="0025250D">
        <w:rPr>
          <w:rFonts w:hint="cs"/>
          <w:rtl/>
        </w:rPr>
        <w:t>ی</w:t>
      </w:r>
      <w:r w:rsidRPr="0025250D">
        <w:rPr>
          <w:rtl/>
        </w:rPr>
        <w:t xml:space="preserve"> است که تجربه‌ا</w:t>
      </w:r>
      <w:r w:rsidRPr="0025250D">
        <w:rPr>
          <w:rFonts w:hint="cs"/>
          <w:rtl/>
        </w:rPr>
        <w:t>ی</w:t>
      </w:r>
      <w:r w:rsidRPr="0025250D">
        <w:rPr>
          <w:rtl/>
        </w:rPr>
        <w:t xml:space="preserve"> چندساله در مشاوره و هدا</w:t>
      </w:r>
      <w:r w:rsidRPr="0025250D">
        <w:rPr>
          <w:rFonts w:hint="cs"/>
          <w:rtl/>
        </w:rPr>
        <w:t>ی</w:t>
      </w:r>
      <w:r w:rsidRPr="0025250D">
        <w:rPr>
          <w:rFonts w:hint="eastAsia"/>
          <w:rtl/>
        </w:rPr>
        <w:t>ت</w:t>
      </w:r>
      <w:r w:rsidRPr="0025250D">
        <w:rPr>
          <w:rtl/>
        </w:rPr>
        <w:t xml:space="preserve"> ت</w:t>
      </w:r>
      <w:r w:rsidRPr="0025250D">
        <w:rPr>
          <w:rFonts w:hint="cs"/>
          <w:rtl/>
        </w:rPr>
        <w:t>ی</w:t>
      </w:r>
      <w:r w:rsidRPr="0025250D">
        <w:rPr>
          <w:rFonts w:hint="eastAsia"/>
          <w:rtl/>
        </w:rPr>
        <w:t>م‌ها</w:t>
      </w:r>
      <w:r w:rsidRPr="0025250D">
        <w:rPr>
          <w:rtl/>
        </w:rPr>
        <w:t xml:space="preserve"> و سازمان‌ها در به‌کارگ</w:t>
      </w:r>
      <w:r w:rsidRPr="0025250D">
        <w:rPr>
          <w:rFonts w:hint="cs"/>
          <w:rtl/>
        </w:rPr>
        <w:t>ی</w:t>
      </w:r>
      <w:r w:rsidRPr="0025250D">
        <w:rPr>
          <w:rFonts w:hint="eastAsia"/>
          <w:rtl/>
        </w:rPr>
        <w:t>ر</w:t>
      </w:r>
      <w:r w:rsidRPr="0025250D">
        <w:rPr>
          <w:rFonts w:hint="cs"/>
          <w:rtl/>
        </w:rPr>
        <w:t>ی</w:t>
      </w:r>
      <w:r w:rsidRPr="0025250D">
        <w:rPr>
          <w:rtl/>
        </w:rPr>
        <w:t xml:space="preserve"> و اجرا</w:t>
      </w:r>
      <w:r w:rsidRPr="0025250D">
        <w:rPr>
          <w:rFonts w:hint="cs"/>
          <w:rtl/>
        </w:rPr>
        <w:t>ی</w:t>
      </w:r>
      <w:r w:rsidRPr="0025250D">
        <w:rPr>
          <w:rtl/>
        </w:rPr>
        <w:t xml:space="preserve"> آینده‌نگاری کسب نموده است. و</w:t>
      </w:r>
      <w:r w:rsidRPr="0025250D">
        <w:rPr>
          <w:rFonts w:hint="cs"/>
          <w:rtl/>
        </w:rPr>
        <w:t>ی</w:t>
      </w:r>
      <w:r w:rsidRPr="0025250D">
        <w:rPr>
          <w:rtl/>
        </w:rPr>
        <w:t xml:space="preserve"> در ا</w:t>
      </w:r>
      <w:r w:rsidRPr="0025250D">
        <w:rPr>
          <w:rFonts w:hint="cs"/>
          <w:rtl/>
        </w:rPr>
        <w:t>ی</w:t>
      </w:r>
      <w:r w:rsidRPr="0025250D">
        <w:rPr>
          <w:rFonts w:hint="eastAsia"/>
          <w:rtl/>
        </w:rPr>
        <w:t>ن</w:t>
      </w:r>
      <w:r w:rsidRPr="0025250D">
        <w:rPr>
          <w:rtl/>
        </w:rPr>
        <w:t xml:space="preserve"> کتاب راهنما سع</w:t>
      </w:r>
      <w:r w:rsidRPr="0025250D">
        <w:rPr>
          <w:rFonts w:hint="cs"/>
          <w:rtl/>
        </w:rPr>
        <w:t>ی</w:t>
      </w:r>
      <w:r w:rsidRPr="0025250D">
        <w:rPr>
          <w:rtl/>
        </w:rPr>
        <w:t xml:space="preserve"> نموده تا با بحث پ</w:t>
      </w:r>
      <w:r w:rsidRPr="0025250D">
        <w:rPr>
          <w:rFonts w:hint="cs"/>
          <w:rtl/>
        </w:rPr>
        <w:t>ی</w:t>
      </w:r>
      <w:r w:rsidRPr="0025250D">
        <w:rPr>
          <w:rFonts w:hint="eastAsia"/>
          <w:rtl/>
        </w:rPr>
        <w:t>رامون</w:t>
      </w:r>
      <w:r w:rsidRPr="0025250D">
        <w:rPr>
          <w:rtl/>
        </w:rPr>
        <w:t xml:space="preserve"> جهان‌ب</w:t>
      </w:r>
      <w:r w:rsidRPr="0025250D">
        <w:rPr>
          <w:rFonts w:hint="cs"/>
          <w:rtl/>
        </w:rPr>
        <w:t>ی</w:t>
      </w:r>
      <w:r w:rsidRPr="0025250D">
        <w:rPr>
          <w:rFonts w:hint="eastAsia"/>
          <w:rtl/>
        </w:rPr>
        <w:t>ن</w:t>
      </w:r>
      <w:r w:rsidRPr="0025250D">
        <w:rPr>
          <w:rFonts w:hint="cs"/>
          <w:rtl/>
        </w:rPr>
        <w:t>ی‌</w:t>
      </w:r>
      <w:r w:rsidRPr="0025250D">
        <w:rPr>
          <w:rFonts w:hint="eastAsia"/>
          <w:rtl/>
        </w:rPr>
        <w:t>ها</w:t>
      </w:r>
      <w:r w:rsidRPr="0025250D">
        <w:rPr>
          <w:rtl/>
        </w:rPr>
        <w:t xml:space="preserve"> و ش</w:t>
      </w:r>
      <w:r w:rsidRPr="0025250D">
        <w:rPr>
          <w:rFonts w:hint="cs"/>
          <w:rtl/>
        </w:rPr>
        <w:t>ی</w:t>
      </w:r>
      <w:r w:rsidRPr="0025250D">
        <w:rPr>
          <w:rFonts w:hint="eastAsia"/>
          <w:rtl/>
        </w:rPr>
        <w:t>وه</w:t>
      </w:r>
      <w:r w:rsidRPr="0025250D">
        <w:rPr>
          <w:rtl/>
        </w:rPr>
        <w:t xml:space="preserve"> تفکر در زم</w:t>
      </w:r>
      <w:r w:rsidRPr="0025250D">
        <w:rPr>
          <w:rFonts w:hint="cs"/>
          <w:rtl/>
        </w:rPr>
        <w:t>ی</w:t>
      </w:r>
      <w:r w:rsidRPr="0025250D">
        <w:rPr>
          <w:rFonts w:hint="eastAsia"/>
          <w:rtl/>
        </w:rPr>
        <w:t>نه</w:t>
      </w:r>
      <w:r w:rsidRPr="0025250D">
        <w:rPr>
          <w:rtl/>
        </w:rPr>
        <w:t xml:space="preserve"> آ</w:t>
      </w:r>
      <w:r w:rsidRPr="0025250D">
        <w:rPr>
          <w:rFonts w:hint="cs"/>
          <w:rtl/>
        </w:rPr>
        <w:t>ی</w:t>
      </w:r>
      <w:r w:rsidRPr="0025250D">
        <w:rPr>
          <w:rFonts w:hint="eastAsia"/>
          <w:rtl/>
        </w:rPr>
        <w:t>نده</w:t>
      </w:r>
      <w:r w:rsidRPr="0025250D">
        <w:rPr>
          <w:rtl/>
        </w:rPr>
        <w:t xml:space="preserve"> و همچن</w:t>
      </w:r>
      <w:r w:rsidRPr="0025250D">
        <w:rPr>
          <w:rFonts w:hint="cs"/>
          <w:rtl/>
        </w:rPr>
        <w:t>ی</w:t>
      </w:r>
      <w:r w:rsidRPr="0025250D">
        <w:rPr>
          <w:rFonts w:hint="eastAsia"/>
          <w:rtl/>
        </w:rPr>
        <w:t>ن</w:t>
      </w:r>
      <w:r w:rsidRPr="0025250D">
        <w:rPr>
          <w:rtl/>
        </w:rPr>
        <w:t xml:space="preserve"> ارائه چارچوب‌ها</w:t>
      </w:r>
      <w:r w:rsidRPr="0025250D">
        <w:rPr>
          <w:rFonts w:hint="cs"/>
          <w:rtl/>
        </w:rPr>
        <w:t>ی</w:t>
      </w:r>
      <w:r w:rsidRPr="0025250D">
        <w:rPr>
          <w:rtl/>
        </w:rPr>
        <w:t xml:space="preserve"> لازم برا</w:t>
      </w:r>
      <w:r w:rsidRPr="0025250D">
        <w:rPr>
          <w:rFonts w:hint="cs"/>
          <w:rtl/>
        </w:rPr>
        <w:t>ی</w:t>
      </w:r>
      <w:r w:rsidRPr="0025250D">
        <w:rPr>
          <w:rtl/>
        </w:rPr>
        <w:t xml:space="preserve"> اجرا و پ</w:t>
      </w:r>
      <w:r w:rsidRPr="0025250D">
        <w:rPr>
          <w:rFonts w:hint="cs"/>
          <w:rtl/>
        </w:rPr>
        <w:t>ی</w:t>
      </w:r>
      <w:r w:rsidRPr="0025250D">
        <w:rPr>
          <w:rFonts w:hint="eastAsia"/>
          <w:rtl/>
        </w:rPr>
        <w:t>اده‌ساز</w:t>
      </w:r>
      <w:r w:rsidRPr="0025250D">
        <w:rPr>
          <w:rFonts w:hint="cs"/>
          <w:rtl/>
        </w:rPr>
        <w:t>ی</w:t>
      </w:r>
      <w:r w:rsidRPr="0025250D">
        <w:rPr>
          <w:rtl/>
        </w:rPr>
        <w:t xml:space="preserve"> آینده‌نگاری به افراد، رهبران و سازمان‌ها در افزا</w:t>
      </w:r>
      <w:r w:rsidRPr="0025250D">
        <w:rPr>
          <w:rFonts w:hint="cs"/>
          <w:rtl/>
        </w:rPr>
        <w:t>ی</w:t>
      </w:r>
      <w:r w:rsidRPr="0025250D">
        <w:rPr>
          <w:rFonts w:hint="eastAsia"/>
          <w:rtl/>
        </w:rPr>
        <w:t>ش</w:t>
      </w:r>
      <w:r w:rsidRPr="0025250D">
        <w:rPr>
          <w:rtl/>
        </w:rPr>
        <w:t xml:space="preserve"> انطباق‌پذ</w:t>
      </w:r>
      <w:r w:rsidRPr="0025250D">
        <w:rPr>
          <w:rFonts w:hint="cs"/>
          <w:rtl/>
        </w:rPr>
        <w:t>ی</w:t>
      </w:r>
      <w:r w:rsidRPr="0025250D">
        <w:rPr>
          <w:rFonts w:hint="eastAsia"/>
          <w:rtl/>
        </w:rPr>
        <w:t>ر</w:t>
      </w:r>
      <w:r w:rsidRPr="0025250D">
        <w:rPr>
          <w:rFonts w:hint="cs"/>
          <w:rtl/>
        </w:rPr>
        <w:t>ی</w:t>
      </w:r>
      <w:r w:rsidRPr="0025250D">
        <w:rPr>
          <w:rtl/>
        </w:rPr>
        <w:t xml:space="preserve"> آن‌ها کمک نما</w:t>
      </w:r>
      <w:r w:rsidRPr="0025250D">
        <w:rPr>
          <w:rFonts w:hint="cs"/>
          <w:rtl/>
        </w:rPr>
        <w:t>ی</w:t>
      </w:r>
      <w:r w:rsidRPr="0025250D">
        <w:rPr>
          <w:rFonts w:hint="eastAsia"/>
          <w:rtl/>
        </w:rPr>
        <w:t>د</w:t>
      </w:r>
      <w:r w:rsidRPr="0025250D">
        <w:rPr>
          <w:rtl/>
        </w:rPr>
        <w:t>. همچن</w:t>
      </w:r>
      <w:r w:rsidRPr="0025250D">
        <w:rPr>
          <w:rFonts w:hint="cs"/>
          <w:rtl/>
        </w:rPr>
        <w:t>ی</w:t>
      </w:r>
      <w:r w:rsidRPr="0025250D">
        <w:rPr>
          <w:rFonts w:hint="eastAsia"/>
          <w:rtl/>
        </w:rPr>
        <w:t>ن</w:t>
      </w:r>
      <w:r w:rsidRPr="0025250D">
        <w:rPr>
          <w:rtl/>
        </w:rPr>
        <w:t xml:space="preserve"> هشت مهارت و ب</w:t>
      </w:r>
      <w:r w:rsidRPr="0025250D">
        <w:rPr>
          <w:rFonts w:hint="cs"/>
          <w:rtl/>
        </w:rPr>
        <w:t>ی</w:t>
      </w:r>
      <w:r w:rsidRPr="0025250D">
        <w:rPr>
          <w:rFonts w:hint="eastAsia"/>
          <w:rtl/>
        </w:rPr>
        <w:t>ست</w:t>
      </w:r>
      <w:r w:rsidRPr="0025250D">
        <w:rPr>
          <w:rtl/>
        </w:rPr>
        <w:t xml:space="preserve"> تخصص کل</w:t>
      </w:r>
      <w:r w:rsidRPr="0025250D">
        <w:rPr>
          <w:rFonts w:hint="cs"/>
          <w:rtl/>
        </w:rPr>
        <w:t>ی</w:t>
      </w:r>
      <w:r w:rsidRPr="0025250D">
        <w:rPr>
          <w:rFonts w:hint="eastAsia"/>
          <w:rtl/>
        </w:rPr>
        <w:t>د</w:t>
      </w:r>
      <w:r w:rsidRPr="0025250D">
        <w:rPr>
          <w:rFonts w:hint="cs"/>
          <w:rtl/>
        </w:rPr>
        <w:t>ی</w:t>
      </w:r>
      <w:r w:rsidRPr="0025250D">
        <w:rPr>
          <w:rtl/>
        </w:rPr>
        <w:t xml:space="preserve"> برا</w:t>
      </w:r>
      <w:r w:rsidRPr="0025250D">
        <w:rPr>
          <w:rFonts w:hint="cs"/>
          <w:rtl/>
        </w:rPr>
        <w:t>ی</w:t>
      </w:r>
      <w:r w:rsidRPr="0025250D">
        <w:rPr>
          <w:rtl/>
        </w:rPr>
        <w:t xml:space="preserve"> اجرا</w:t>
      </w:r>
      <w:r w:rsidRPr="0025250D">
        <w:rPr>
          <w:rFonts w:hint="cs"/>
          <w:rtl/>
        </w:rPr>
        <w:t>ی</w:t>
      </w:r>
      <w:r w:rsidRPr="0025250D">
        <w:rPr>
          <w:rtl/>
        </w:rPr>
        <w:t xml:space="preserve"> موفق</w:t>
      </w:r>
      <w:r w:rsidRPr="0025250D">
        <w:rPr>
          <w:rFonts w:hint="cs"/>
          <w:rtl/>
        </w:rPr>
        <w:t>ی</w:t>
      </w:r>
      <w:r w:rsidRPr="0025250D">
        <w:rPr>
          <w:rFonts w:hint="eastAsia"/>
          <w:rtl/>
        </w:rPr>
        <w:t>ت‌آم</w:t>
      </w:r>
      <w:r w:rsidRPr="0025250D">
        <w:rPr>
          <w:rFonts w:hint="cs"/>
          <w:rtl/>
        </w:rPr>
        <w:t>ی</w:t>
      </w:r>
      <w:r w:rsidRPr="0025250D">
        <w:rPr>
          <w:rFonts w:hint="eastAsia"/>
          <w:rtl/>
        </w:rPr>
        <w:t>ز</w:t>
      </w:r>
      <w:r w:rsidRPr="0025250D">
        <w:rPr>
          <w:rtl/>
        </w:rPr>
        <w:t xml:space="preserve"> آینده‌نگاری را معرف</w:t>
      </w:r>
      <w:r w:rsidRPr="0025250D">
        <w:rPr>
          <w:rFonts w:hint="cs"/>
          <w:rtl/>
        </w:rPr>
        <w:t>ی</w:t>
      </w:r>
      <w:r w:rsidRPr="0025250D">
        <w:rPr>
          <w:rtl/>
        </w:rPr>
        <w:t xml:space="preserve"> م</w:t>
      </w:r>
      <w:r w:rsidRPr="0025250D">
        <w:rPr>
          <w:rFonts w:hint="cs"/>
          <w:rtl/>
        </w:rPr>
        <w:t>ی‌</w:t>
      </w:r>
      <w:r w:rsidRPr="0025250D">
        <w:rPr>
          <w:rFonts w:hint="eastAsia"/>
          <w:rtl/>
        </w:rPr>
        <w:t>نما</w:t>
      </w:r>
      <w:r w:rsidRPr="0025250D">
        <w:rPr>
          <w:rFonts w:hint="cs"/>
          <w:rtl/>
        </w:rPr>
        <w:t>ی</w:t>
      </w:r>
      <w:r w:rsidRPr="0025250D">
        <w:rPr>
          <w:rFonts w:hint="eastAsia"/>
          <w:rtl/>
        </w:rPr>
        <w:t>د</w:t>
      </w:r>
      <w:r w:rsidRPr="0025250D">
        <w:rPr>
          <w:rFonts w:hint="cs"/>
          <w:rtl/>
        </w:rPr>
        <w:t xml:space="preserve"> که </w:t>
      </w:r>
      <w:r w:rsidRPr="0025250D">
        <w:rPr>
          <w:rtl/>
        </w:rPr>
        <w:t>سازمان‌ها</w:t>
      </w:r>
      <w:r w:rsidRPr="0025250D">
        <w:rPr>
          <w:rFonts w:hint="cs"/>
          <w:rtl/>
        </w:rPr>
        <w:t xml:space="preserve"> لازم است ترکیب متوازنی از </w:t>
      </w:r>
      <w:r w:rsidRPr="0025250D">
        <w:rPr>
          <w:rtl/>
        </w:rPr>
        <w:t>آن‌ها</w:t>
      </w:r>
      <w:r w:rsidRPr="0025250D">
        <w:rPr>
          <w:rFonts w:hint="cs"/>
          <w:rtl/>
        </w:rPr>
        <w:t xml:space="preserve"> توسعه دهند</w:t>
      </w:r>
      <w:r w:rsidRPr="0025250D">
        <w:rPr>
          <w:rtl/>
        </w:rPr>
        <w:t>. مخاطبان اصل</w:t>
      </w:r>
      <w:r w:rsidRPr="0025250D">
        <w:rPr>
          <w:rFonts w:hint="cs"/>
          <w:rtl/>
        </w:rPr>
        <w:t>ی</w:t>
      </w:r>
      <w:r w:rsidRPr="0025250D">
        <w:rPr>
          <w:rtl/>
        </w:rPr>
        <w:t xml:space="preserve"> ا</w:t>
      </w:r>
      <w:r w:rsidRPr="0025250D">
        <w:rPr>
          <w:rFonts w:hint="cs"/>
          <w:rtl/>
        </w:rPr>
        <w:t>ی</w:t>
      </w:r>
      <w:r w:rsidRPr="0025250D">
        <w:rPr>
          <w:rFonts w:hint="eastAsia"/>
          <w:rtl/>
        </w:rPr>
        <w:t>ن</w:t>
      </w:r>
      <w:r w:rsidRPr="0025250D">
        <w:rPr>
          <w:rtl/>
        </w:rPr>
        <w:t xml:space="preserve"> کتاب کارگزاران، مد</w:t>
      </w:r>
      <w:r w:rsidRPr="0025250D">
        <w:rPr>
          <w:rFonts w:hint="cs"/>
          <w:rtl/>
        </w:rPr>
        <w:t>ی</w:t>
      </w:r>
      <w:r w:rsidRPr="0025250D">
        <w:rPr>
          <w:rFonts w:hint="eastAsia"/>
          <w:rtl/>
        </w:rPr>
        <w:t>ران</w:t>
      </w:r>
      <w:r w:rsidRPr="0025250D">
        <w:rPr>
          <w:rtl/>
        </w:rPr>
        <w:t xml:space="preserve"> اجرا</w:t>
      </w:r>
      <w:r w:rsidRPr="0025250D">
        <w:rPr>
          <w:rFonts w:hint="cs"/>
          <w:rtl/>
        </w:rPr>
        <w:t>یی</w:t>
      </w:r>
      <w:r w:rsidRPr="0025250D">
        <w:rPr>
          <w:rtl/>
        </w:rPr>
        <w:t xml:space="preserve"> و رهبران هستند که با کمک ا</w:t>
      </w:r>
      <w:r w:rsidRPr="0025250D">
        <w:rPr>
          <w:rFonts w:hint="cs"/>
          <w:rtl/>
        </w:rPr>
        <w:t>ی</w:t>
      </w:r>
      <w:r w:rsidRPr="0025250D">
        <w:rPr>
          <w:rFonts w:hint="eastAsia"/>
          <w:rtl/>
        </w:rPr>
        <w:t>ن</w:t>
      </w:r>
      <w:r w:rsidRPr="0025250D">
        <w:rPr>
          <w:rtl/>
        </w:rPr>
        <w:t xml:space="preserve"> راهنما م</w:t>
      </w:r>
      <w:r w:rsidRPr="0025250D">
        <w:rPr>
          <w:rFonts w:hint="cs"/>
          <w:rtl/>
        </w:rPr>
        <w:t>ی‌</w:t>
      </w:r>
      <w:r w:rsidRPr="0025250D">
        <w:rPr>
          <w:rFonts w:hint="eastAsia"/>
          <w:rtl/>
        </w:rPr>
        <w:t>توانند</w:t>
      </w:r>
      <w:r w:rsidRPr="0025250D">
        <w:rPr>
          <w:rtl/>
        </w:rPr>
        <w:t xml:space="preserve">  فرهنگ آ</w:t>
      </w:r>
      <w:r w:rsidRPr="0025250D">
        <w:rPr>
          <w:rFonts w:hint="cs"/>
          <w:rtl/>
        </w:rPr>
        <w:t>ی</w:t>
      </w:r>
      <w:r w:rsidRPr="0025250D">
        <w:rPr>
          <w:rFonts w:hint="eastAsia"/>
          <w:rtl/>
        </w:rPr>
        <w:t>نده‌اند</w:t>
      </w:r>
      <w:r w:rsidRPr="0025250D">
        <w:rPr>
          <w:rFonts w:hint="cs"/>
          <w:rtl/>
        </w:rPr>
        <w:t>ی</w:t>
      </w:r>
      <w:r w:rsidRPr="0025250D">
        <w:rPr>
          <w:rFonts w:hint="eastAsia"/>
          <w:rtl/>
        </w:rPr>
        <w:t>ش</w:t>
      </w:r>
      <w:r w:rsidRPr="0025250D">
        <w:rPr>
          <w:rFonts w:hint="cs"/>
          <w:rtl/>
        </w:rPr>
        <w:t>ی</w:t>
      </w:r>
      <w:r w:rsidRPr="0025250D">
        <w:rPr>
          <w:rtl/>
        </w:rPr>
        <w:t xml:space="preserve"> و آینده‌نگاری را در سازمان‌ها و ت</w:t>
      </w:r>
      <w:r w:rsidRPr="0025250D">
        <w:rPr>
          <w:rFonts w:hint="cs"/>
          <w:rtl/>
        </w:rPr>
        <w:t>ی</w:t>
      </w:r>
      <w:r w:rsidRPr="0025250D">
        <w:rPr>
          <w:rFonts w:hint="eastAsia"/>
          <w:rtl/>
        </w:rPr>
        <w:t>م‌ها</w:t>
      </w:r>
      <w:r w:rsidRPr="0025250D">
        <w:rPr>
          <w:rFonts w:hint="cs"/>
          <w:rtl/>
        </w:rPr>
        <w:t>ی</w:t>
      </w:r>
      <w:r w:rsidRPr="0025250D">
        <w:rPr>
          <w:rtl/>
        </w:rPr>
        <w:t xml:space="preserve"> خود با موفق</w:t>
      </w:r>
      <w:r w:rsidRPr="0025250D">
        <w:rPr>
          <w:rFonts w:hint="cs"/>
          <w:rtl/>
        </w:rPr>
        <w:t>ی</w:t>
      </w:r>
      <w:r w:rsidRPr="0025250D">
        <w:rPr>
          <w:rFonts w:hint="eastAsia"/>
          <w:rtl/>
        </w:rPr>
        <w:t>ت</w:t>
      </w:r>
      <w:r w:rsidRPr="0025250D">
        <w:rPr>
          <w:rtl/>
        </w:rPr>
        <w:t xml:space="preserve"> توسعه دهند و نهاد</w:t>
      </w:r>
      <w:r w:rsidRPr="0025250D">
        <w:rPr>
          <w:rFonts w:hint="cs"/>
          <w:rtl/>
        </w:rPr>
        <w:t>ی</w:t>
      </w:r>
      <w:r w:rsidRPr="0025250D">
        <w:rPr>
          <w:rFonts w:hint="eastAsia"/>
          <w:rtl/>
        </w:rPr>
        <w:t>نه</w:t>
      </w:r>
      <w:r w:rsidRPr="0025250D">
        <w:rPr>
          <w:rtl/>
        </w:rPr>
        <w:t xml:space="preserve"> کنند. ام</w:t>
      </w:r>
      <w:r w:rsidRPr="0025250D">
        <w:rPr>
          <w:rFonts w:hint="cs"/>
          <w:rtl/>
        </w:rPr>
        <w:t>ی</w:t>
      </w:r>
      <w:r w:rsidRPr="0025250D">
        <w:rPr>
          <w:rFonts w:hint="eastAsia"/>
          <w:rtl/>
        </w:rPr>
        <w:t>د</w:t>
      </w:r>
      <w:r w:rsidRPr="0025250D">
        <w:rPr>
          <w:rtl/>
        </w:rPr>
        <w:t xml:space="preserve"> است ترجمه ا</w:t>
      </w:r>
      <w:r w:rsidRPr="0025250D">
        <w:rPr>
          <w:rFonts w:hint="cs"/>
          <w:rtl/>
        </w:rPr>
        <w:t>ی</w:t>
      </w:r>
      <w:r w:rsidRPr="0025250D">
        <w:rPr>
          <w:rFonts w:hint="eastAsia"/>
          <w:rtl/>
        </w:rPr>
        <w:t>ن</w:t>
      </w:r>
      <w:r w:rsidRPr="0025250D">
        <w:rPr>
          <w:rtl/>
        </w:rPr>
        <w:t xml:space="preserve"> کتاب بتواند به مد</w:t>
      </w:r>
      <w:r w:rsidRPr="0025250D">
        <w:rPr>
          <w:rFonts w:hint="cs"/>
          <w:rtl/>
        </w:rPr>
        <w:t>ی</w:t>
      </w:r>
      <w:r w:rsidRPr="0025250D">
        <w:rPr>
          <w:rFonts w:hint="eastAsia"/>
          <w:rtl/>
        </w:rPr>
        <w:t>ران</w:t>
      </w:r>
      <w:r w:rsidRPr="0025250D">
        <w:rPr>
          <w:rtl/>
        </w:rPr>
        <w:t xml:space="preserve"> و کارگزاران </w:t>
      </w:r>
      <w:r w:rsidRPr="0025250D">
        <w:rPr>
          <w:rFonts w:hint="eastAsia"/>
          <w:rtl/>
        </w:rPr>
        <w:t>در</w:t>
      </w:r>
      <w:r w:rsidRPr="0025250D">
        <w:rPr>
          <w:rtl/>
        </w:rPr>
        <w:t xml:space="preserve"> هدا</w:t>
      </w:r>
      <w:r w:rsidRPr="0025250D">
        <w:rPr>
          <w:rFonts w:hint="cs"/>
          <w:rtl/>
        </w:rPr>
        <w:t>ی</w:t>
      </w:r>
      <w:r w:rsidRPr="0025250D">
        <w:rPr>
          <w:rFonts w:hint="eastAsia"/>
          <w:rtl/>
        </w:rPr>
        <w:t>ت</w:t>
      </w:r>
      <w:r w:rsidRPr="0025250D">
        <w:rPr>
          <w:rtl/>
        </w:rPr>
        <w:t xml:space="preserve"> و راهبر</w:t>
      </w:r>
      <w:r w:rsidRPr="0025250D">
        <w:rPr>
          <w:rFonts w:hint="cs"/>
          <w:rtl/>
        </w:rPr>
        <w:t>ی</w:t>
      </w:r>
      <w:r w:rsidRPr="0025250D">
        <w:rPr>
          <w:rtl/>
        </w:rPr>
        <w:t xml:space="preserve"> سازمان‌ها و ت</w:t>
      </w:r>
      <w:r w:rsidRPr="0025250D">
        <w:rPr>
          <w:rFonts w:hint="cs"/>
          <w:rtl/>
        </w:rPr>
        <w:t>ی</w:t>
      </w:r>
      <w:r w:rsidRPr="0025250D">
        <w:rPr>
          <w:rFonts w:hint="eastAsia"/>
          <w:rtl/>
        </w:rPr>
        <w:t>م‌ها</w:t>
      </w:r>
      <w:r w:rsidRPr="0025250D">
        <w:rPr>
          <w:rFonts w:hint="cs"/>
          <w:rtl/>
        </w:rPr>
        <w:t>ی</w:t>
      </w:r>
      <w:r w:rsidRPr="0025250D">
        <w:rPr>
          <w:rtl/>
        </w:rPr>
        <w:t xml:space="preserve"> خود از م</w:t>
      </w:r>
      <w:r w:rsidRPr="0025250D">
        <w:rPr>
          <w:rFonts w:hint="cs"/>
          <w:rtl/>
        </w:rPr>
        <w:t>ی</w:t>
      </w:r>
      <w:r w:rsidRPr="0025250D">
        <w:rPr>
          <w:rFonts w:hint="eastAsia"/>
          <w:rtl/>
        </w:rPr>
        <w:t>ان</w:t>
      </w:r>
      <w:r w:rsidRPr="0025250D">
        <w:rPr>
          <w:rtl/>
        </w:rPr>
        <w:t xml:space="preserve"> تغ</w:t>
      </w:r>
      <w:r w:rsidRPr="0025250D">
        <w:rPr>
          <w:rFonts w:hint="cs"/>
          <w:rtl/>
        </w:rPr>
        <w:t>یی</w:t>
      </w:r>
      <w:r w:rsidRPr="0025250D">
        <w:rPr>
          <w:rFonts w:hint="eastAsia"/>
          <w:rtl/>
        </w:rPr>
        <w:t>رات</w:t>
      </w:r>
      <w:r w:rsidRPr="0025250D">
        <w:rPr>
          <w:rtl/>
        </w:rPr>
        <w:t xml:space="preserve"> پرشتاب مح</w:t>
      </w:r>
      <w:r w:rsidRPr="0025250D">
        <w:rPr>
          <w:rFonts w:hint="cs"/>
          <w:rtl/>
        </w:rPr>
        <w:t>ی</w:t>
      </w:r>
      <w:r w:rsidRPr="0025250D">
        <w:rPr>
          <w:rFonts w:hint="eastAsia"/>
          <w:rtl/>
        </w:rPr>
        <w:t>ط</w:t>
      </w:r>
      <w:r w:rsidRPr="0025250D">
        <w:rPr>
          <w:rFonts w:hint="cs"/>
          <w:rtl/>
        </w:rPr>
        <w:t>ی</w:t>
      </w:r>
      <w:r w:rsidRPr="0025250D">
        <w:rPr>
          <w:rtl/>
        </w:rPr>
        <w:t xml:space="preserve"> و افزا</w:t>
      </w:r>
      <w:r w:rsidRPr="0025250D">
        <w:rPr>
          <w:rFonts w:hint="cs"/>
          <w:rtl/>
        </w:rPr>
        <w:t>ی</w:t>
      </w:r>
      <w:r w:rsidRPr="0025250D">
        <w:rPr>
          <w:rFonts w:hint="eastAsia"/>
          <w:rtl/>
        </w:rPr>
        <w:t>ش</w:t>
      </w:r>
      <w:r w:rsidRPr="0025250D">
        <w:rPr>
          <w:rtl/>
        </w:rPr>
        <w:t xml:space="preserve"> انطباق‌پذ</w:t>
      </w:r>
      <w:r w:rsidRPr="0025250D">
        <w:rPr>
          <w:rFonts w:hint="cs"/>
          <w:rtl/>
        </w:rPr>
        <w:t>ی</w:t>
      </w:r>
      <w:r w:rsidRPr="0025250D">
        <w:rPr>
          <w:rFonts w:hint="eastAsia"/>
          <w:rtl/>
        </w:rPr>
        <w:t>ر</w:t>
      </w:r>
      <w:r w:rsidRPr="0025250D">
        <w:rPr>
          <w:rFonts w:hint="cs"/>
          <w:rtl/>
        </w:rPr>
        <w:t>ی</w:t>
      </w:r>
      <w:r w:rsidRPr="0025250D">
        <w:rPr>
          <w:rtl/>
        </w:rPr>
        <w:t xml:space="preserve"> آن‌ها کمک نما</w:t>
      </w:r>
      <w:r w:rsidRPr="0025250D">
        <w:rPr>
          <w:rFonts w:hint="cs"/>
          <w:rtl/>
        </w:rPr>
        <w:t>ی</w:t>
      </w:r>
      <w:r w:rsidRPr="0025250D">
        <w:rPr>
          <w:rFonts w:hint="eastAsia"/>
          <w:rtl/>
        </w:rPr>
        <w:t>د</w:t>
      </w:r>
      <w:r w:rsidRPr="0025250D">
        <w:rPr>
          <w:rtl/>
        </w:rPr>
        <w:t>.</w:t>
      </w:r>
      <w:bookmarkEnd w:id="0"/>
      <w:r w:rsidRPr="0025250D">
        <w:rPr>
          <w:rFonts w:hint="cs"/>
          <w:rtl/>
        </w:rPr>
        <w:t xml:space="preserve"> </w:t>
      </w:r>
    </w:p>
    <w:p w14:paraId="110D40CF" w14:textId="2BF54131" w:rsidR="004701CE" w:rsidRPr="0025250D" w:rsidRDefault="004701CE" w:rsidP="004701CE">
      <w:pPr>
        <w:rPr>
          <w:rtl/>
        </w:rPr>
      </w:pPr>
    </w:p>
    <w:p w14:paraId="5049C7D5" w14:textId="30E14E02" w:rsidR="004701CE" w:rsidRPr="0025250D" w:rsidRDefault="004701CE" w:rsidP="004701CE">
      <w:pPr>
        <w:tabs>
          <w:tab w:val="left" w:pos="6328"/>
        </w:tabs>
        <w:rPr>
          <w:b/>
          <w:bCs/>
          <w:rtl/>
        </w:rPr>
      </w:pPr>
      <w:r w:rsidRPr="0025250D">
        <w:rPr>
          <w:b/>
          <w:bCs/>
          <w:rtl/>
        </w:rPr>
        <w:tab/>
      </w:r>
      <w:r w:rsidRPr="0025250D">
        <w:rPr>
          <w:rFonts w:hint="cs"/>
          <w:b/>
          <w:bCs/>
          <w:rtl/>
        </w:rPr>
        <w:t>دکتر محمدعلی شاه حسینی</w:t>
      </w:r>
    </w:p>
    <w:p w14:paraId="4E7A81F6" w14:textId="30D9E835" w:rsidR="004701CE" w:rsidRPr="0025250D" w:rsidRDefault="004701CE" w:rsidP="004701CE">
      <w:pPr>
        <w:tabs>
          <w:tab w:val="left" w:pos="6328"/>
        </w:tabs>
        <w:rPr>
          <w:b/>
          <w:bCs/>
          <w:rtl/>
        </w:rPr>
      </w:pPr>
      <w:r w:rsidRPr="0025250D">
        <w:rPr>
          <w:b/>
          <w:bCs/>
          <w:rtl/>
        </w:rPr>
        <w:tab/>
      </w:r>
      <w:r w:rsidRPr="0025250D">
        <w:rPr>
          <w:rFonts w:hint="cs"/>
          <w:b/>
          <w:bCs/>
          <w:rtl/>
        </w:rPr>
        <w:t xml:space="preserve">         امیرسالار ونکی</w:t>
      </w:r>
    </w:p>
    <w:p w14:paraId="0300E7A0" w14:textId="64CEFF8E" w:rsidR="004701CE" w:rsidRPr="0025250D" w:rsidRDefault="004701CE" w:rsidP="004701CE">
      <w:pPr>
        <w:tabs>
          <w:tab w:val="left" w:pos="6370"/>
        </w:tabs>
        <w:rPr>
          <w:b/>
          <w:bCs/>
          <w:rtl/>
        </w:rPr>
      </w:pPr>
      <w:r w:rsidRPr="0025250D">
        <w:rPr>
          <w:b/>
          <w:bCs/>
          <w:rtl/>
        </w:rPr>
        <w:tab/>
      </w:r>
      <w:r w:rsidRPr="0025250D">
        <w:rPr>
          <w:rFonts w:hint="cs"/>
          <w:b/>
          <w:bCs/>
          <w:rtl/>
        </w:rPr>
        <w:t xml:space="preserve">      </w:t>
      </w:r>
      <w:r w:rsidR="00DF7943" w:rsidRPr="0025250D">
        <w:rPr>
          <w:rFonts w:hint="cs"/>
          <w:b/>
          <w:bCs/>
          <w:rtl/>
        </w:rPr>
        <w:t xml:space="preserve"> </w:t>
      </w:r>
      <w:r w:rsidRPr="0025250D">
        <w:rPr>
          <w:rFonts w:hint="cs"/>
          <w:b/>
          <w:bCs/>
          <w:rtl/>
        </w:rPr>
        <w:t>مصباح سیوندیان</w:t>
      </w:r>
    </w:p>
    <w:p w14:paraId="7E26C152" w14:textId="77777777" w:rsidR="004701CE" w:rsidRPr="0025250D" w:rsidRDefault="004701CE" w:rsidP="004701CE">
      <w:pPr>
        <w:rPr>
          <w:b/>
          <w:bCs/>
          <w:rtl/>
        </w:rPr>
      </w:pPr>
    </w:p>
    <w:p w14:paraId="5C708C9A" w14:textId="77777777" w:rsidR="004701CE" w:rsidRPr="0025250D" w:rsidRDefault="004701CE" w:rsidP="004701CE">
      <w:pPr>
        <w:rPr>
          <w:b/>
          <w:bCs/>
          <w:rtl/>
        </w:rPr>
      </w:pPr>
    </w:p>
    <w:p w14:paraId="64C5E81C" w14:textId="2FD36904" w:rsidR="004701CE" w:rsidRPr="0025250D" w:rsidRDefault="004701CE" w:rsidP="004701CE">
      <w:pPr>
        <w:rPr>
          <w:b/>
          <w:bCs/>
          <w:rtl/>
        </w:rPr>
        <w:sectPr w:rsidR="004701CE" w:rsidRPr="0025250D" w:rsidSect="00C12260">
          <w:footnotePr>
            <w:numRestart w:val="eachPage"/>
          </w:footnotePr>
          <w:pgSz w:w="11906" w:h="16838"/>
          <w:pgMar w:top="1418" w:right="1418" w:bottom="1418" w:left="1418" w:header="720" w:footer="720" w:gutter="0"/>
          <w:cols w:space="720"/>
          <w:bidi/>
          <w:rtlGutter/>
          <w:docGrid w:linePitch="360"/>
        </w:sectPr>
      </w:pPr>
    </w:p>
    <w:p w14:paraId="7015A405" w14:textId="7829559A" w:rsidR="00B219EF" w:rsidRPr="0025250D" w:rsidRDefault="00B219EF" w:rsidP="00E14436">
      <w:pPr>
        <w:rPr>
          <w:b/>
          <w:bCs/>
          <w:rtl/>
        </w:rPr>
      </w:pPr>
      <w:r w:rsidRPr="0025250D">
        <w:rPr>
          <w:b/>
          <w:bCs/>
          <w:rtl/>
        </w:rPr>
        <w:lastRenderedPageBreak/>
        <w:t>پ</w:t>
      </w:r>
      <w:r w:rsidRPr="0025250D">
        <w:rPr>
          <w:rFonts w:hint="cs"/>
          <w:b/>
          <w:bCs/>
          <w:rtl/>
        </w:rPr>
        <w:t>ی</w:t>
      </w:r>
      <w:r w:rsidRPr="0025250D">
        <w:rPr>
          <w:rFonts w:hint="eastAsia"/>
          <w:b/>
          <w:bCs/>
          <w:rtl/>
        </w:rPr>
        <w:t>شگفتار</w:t>
      </w:r>
    </w:p>
    <w:p w14:paraId="09424C75" w14:textId="246F1785" w:rsidR="00B219EF" w:rsidRPr="0025250D" w:rsidRDefault="00B219EF" w:rsidP="004445C5">
      <w:pPr>
        <w:rPr>
          <w:rtl/>
        </w:rPr>
      </w:pPr>
      <w:r w:rsidRPr="0025250D">
        <w:rPr>
          <w:rtl/>
        </w:rPr>
        <w:t xml:space="preserve">قطب جنوب، </w:t>
      </w:r>
      <w:r w:rsidR="00740D66" w:rsidRPr="0025250D">
        <w:rPr>
          <w:rFonts w:hint="cs"/>
          <w:rtl/>
        </w:rPr>
        <w:t xml:space="preserve">به‌عنوان </w:t>
      </w:r>
      <w:r w:rsidRPr="0025250D">
        <w:rPr>
          <w:rtl/>
        </w:rPr>
        <w:t>آخر</w:t>
      </w:r>
      <w:r w:rsidRPr="0025250D">
        <w:rPr>
          <w:rFonts w:hint="cs"/>
          <w:rtl/>
        </w:rPr>
        <w:t>ی</w:t>
      </w:r>
      <w:r w:rsidRPr="0025250D">
        <w:rPr>
          <w:rFonts w:hint="eastAsia"/>
          <w:rtl/>
        </w:rPr>
        <w:t>ن</w:t>
      </w:r>
      <w:r w:rsidRPr="0025250D">
        <w:rPr>
          <w:rtl/>
        </w:rPr>
        <w:t xml:space="preserve"> مرز جهان ما</w:t>
      </w:r>
      <w:r w:rsidR="008D6F97" w:rsidRPr="0025250D">
        <w:rPr>
          <w:rtl/>
        </w:rPr>
        <w:t xml:space="preserve"> </w:t>
      </w:r>
      <w:r w:rsidRPr="0025250D">
        <w:rPr>
          <w:rtl/>
        </w:rPr>
        <w:t xml:space="preserve">تا سال 1820 کشف نشده بود. </w:t>
      </w:r>
      <w:r w:rsidR="00740D66" w:rsidRPr="0025250D">
        <w:rPr>
          <w:rFonts w:hint="cs"/>
          <w:rtl/>
        </w:rPr>
        <w:t>پس از</w:t>
      </w:r>
      <w:r w:rsidRPr="0025250D">
        <w:rPr>
          <w:rtl/>
        </w:rPr>
        <w:t xml:space="preserve"> گذشت چند</w:t>
      </w:r>
      <w:r w:rsidRPr="0025250D">
        <w:rPr>
          <w:rFonts w:hint="cs"/>
          <w:rtl/>
        </w:rPr>
        <w:t>ی</w:t>
      </w:r>
      <w:r w:rsidRPr="0025250D">
        <w:rPr>
          <w:rFonts w:hint="eastAsia"/>
          <w:rtl/>
        </w:rPr>
        <w:t>ن</w:t>
      </w:r>
      <w:r w:rsidRPr="0025250D">
        <w:rPr>
          <w:rtl/>
        </w:rPr>
        <w:t xml:space="preserve"> دهه، کاوشگران جغراف</w:t>
      </w:r>
      <w:r w:rsidRPr="0025250D">
        <w:rPr>
          <w:rFonts w:hint="cs"/>
          <w:rtl/>
        </w:rPr>
        <w:t>ی</w:t>
      </w:r>
      <w:r w:rsidRPr="0025250D">
        <w:rPr>
          <w:rFonts w:hint="eastAsia"/>
          <w:rtl/>
        </w:rPr>
        <w:t>ا</w:t>
      </w:r>
      <w:r w:rsidRPr="0025250D">
        <w:rPr>
          <w:rFonts w:hint="cs"/>
          <w:rtl/>
        </w:rPr>
        <w:t>ی</w:t>
      </w:r>
      <w:r w:rsidRPr="0025250D">
        <w:rPr>
          <w:rtl/>
        </w:rPr>
        <w:t xml:space="preserve"> اصل</w:t>
      </w:r>
      <w:r w:rsidRPr="0025250D">
        <w:rPr>
          <w:rFonts w:hint="cs"/>
          <w:rtl/>
        </w:rPr>
        <w:t>ی</w:t>
      </w:r>
      <w:r w:rsidRPr="0025250D">
        <w:rPr>
          <w:rtl/>
        </w:rPr>
        <w:t xml:space="preserve"> خط ساحل</w:t>
      </w:r>
      <w:r w:rsidRPr="0025250D">
        <w:rPr>
          <w:rFonts w:hint="cs"/>
          <w:rtl/>
        </w:rPr>
        <w:t>ی</w:t>
      </w:r>
      <w:r w:rsidRPr="0025250D">
        <w:rPr>
          <w:rtl/>
        </w:rPr>
        <w:t xml:space="preserve"> عظ</w:t>
      </w:r>
      <w:r w:rsidRPr="0025250D">
        <w:rPr>
          <w:rFonts w:hint="cs"/>
          <w:rtl/>
        </w:rPr>
        <w:t>ی</w:t>
      </w:r>
      <w:r w:rsidRPr="0025250D">
        <w:rPr>
          <w:rFonts w:hint="eastAsia"/>
          <w:rtl/>
        </w:rPr>
        <w:t>م</w:t>
      </w:r>
      <w:r w:rsidRPr="0025250D">
        <w:rPr>
          <w:rtl/>
        </w:rPr>
        <w:t xml:space="preserve"> آن را ترس</w:t>
      </w:r>
      <w:r w:rsidRPr="0025250D">
        <w:rPr>
          <w:rFonts w:hint="cs"/>
          <w:rtl/>
        </w:rPr>
        <w:t>ی</w:t>
      </w:r>
      <w:r w:rsidRPr="0025250D">
        <w:rPr>
          <w:rFonts w:hint="eastAsia"/>
          <w:rtl/>
        </w:rPr>
        <w:t>م</w:t>
      </w:r>
      <w:r w:rsidRPr="0025250D">
        <w:rPr>
          <w:rtl/>
        </w:rPr>
        <w:t xml:space="preserve"> کردند.</w:t>
      </w:r>
      <w:r w:rsidRPr="0025250D">
        <w:rPr>
          <w:rFonts w:hint="cs"/>
          <w:rtl/>
        </w:rPr>
        <w:t xml:space="preserve"> </w:t>
      </w:r>
      <w:r w:rsidRPr="0025250D">
        <w:rPr>
          <w:rtl/>
        </w:rPr>
        <w:t xml:space="preserve">در سال 1911 بود که </w:t>
      </w:r>
      <w:r w:rsidRPr="0025250D">
        <w:rPr>
          <w:rFonts w:hint="cs"/>
          <w:rtl/>
        </w:rPr>
        <w:t>ی</w:t>
      </w:r>
      <w:r w:rsidRPr="0025250D">
        <w:rPr>
          <w:rFonts w:hint="eastAsia"/>
          <w:rtl/>
        </w:rPr>
        <w:t>ک</w:t>
      </w:r>
      <w:r w:rsidRPr="0025250D">
        <w:rPr>
          <w:rtl/>
        </w:rPr>
        <w:t xml:space="preserve"> </w:t>
      </w:r>
      <w:r w:rsidRPr="0025250D">
        <w:rPr>
          <w:rFonts w:hint="cs"/>
          <w:rtl/>
        </w:rPr>
        <w:t>کاوشگر</w:t>
      </w:r>
      <w:r w:rsidRPr="0025250D">
        <w:rPr>
          <w:rtl/>
        </w:rPr>
        <w:t xml:space="preserve"> نروژ</w:t>
      </w:r>
      <w:r w:rsidRPr="0025250D">
        <w:rPr>
          <w:rFonts w:hint="cs"/>
          <w:rtl/>
        </w:rPr>
        <w:t>ی</w:t>
      </w:r>
      <w:r w:rsidRPr="0025250D">
        <w:rPr>
          <w:rtl/>
        </w:rPr>
        <w:t xml:space="preserve"> از ا</w:t>
      </w:r>
      <w:r w:rsidRPr="0025250D">
        <w:rPr>
          <w:rFonts w:hint="cs"/>
          <w:rtl/>
        </w:rPr>
        <w:t>ی</w:t>
      </w:r>
      <w:r w:rsidRPr="0025250D">
        <w:rPr>
          <w:rFonts w:hint="eastAsia"/>
          <w:rtl/>
        </w:rPr>
        <w:t>ن</w:t>
      </w:r>
      <w:r w:rsidRPr="0025250D">
        <w:rPr>
          <w:rtl/>
        </w:rPr>
        <w:t xml:space="preserve"> منظره </w:t>
      </w:r>
      <w:r w:rsidRPr="0025250D">
        <w:rPr>
          <w:rFonts w:hint="cs"/>
          <w:rtl/>
        </w:rPr>
        <w:t>ی</w:t>
      </w:r>
      <w:r w:rsidRPr="0025250D">
        <w:rPr>
          <w:rFonts w:hint="eastAsia"/>
          <w:rtl/>
        </w:rPr>
        <w:t>خ</w:t>
      </w:r>
      <w:r w:rsidRPr="0025250D">
        <w:rPr>
          <w:rFonts w:hint="cs"/>
          <w:rtl/>
        </w:rPr>
        <w:t>ی</w:t>
      </w:r>
      <w:r w:rsidRPr="0025250D">
        <w:rPr>
          <w:rtl/>
        </w:rPr>
        <w:t xml:space="preserve"> متروک عبور کرد تا به قطب جنوب جغراف</w:t>
      </w:r>
      <w:r w:rsidRPr="0025250D">
        <w:rPr>
          <w:rFonts w:hint="cs"/>
          <w:rtl/>
        </w:rPr>
        <w:t>ی</w:t>
      </w:r>
      <w:r w:rsidRPr="0025250D">
        <w:rPr>
          <w:rFonts w:hint="eastAsia"/>
          <w:rtl/>
        </w:rPr>
        <w:t>ا</w:t>
      </w:r>
      <w:r w:rsidRPr="0025250D">
        <w:rPr>
          <w:rFonts w:hint="cs"/>
          <w:rtl/>
        </w:rPr>
        <w:t>یی</w:t>
      </w:r>
      <w:r w:rsidRPr="0025250D">
        <w:rPr>
          <w:rtl/>
        </w:rPr>
        <w:t xml:space="preserve"> برسد. در سال 1914، بریتانیایی‌ها به رهبر</w:t>
      </w:r>
      <w:r w:rsidRPr="0025250D">
        <w:rPr>
          <w:rFonts w:hint="cs"/>
          <w:rtl/>
        </w:rPr>
        <w:t>ی</w:t>
      </w:r>
      <w:r w:rsidRPr="0025250D">
        <w:rPr>
          <w:rtl/>
        </w:rPr>
        <w:t xml:space="preserve"> سر ارنست شاکلتون</w:t>
      </w:r>
      <w:r w:rsidRPr="0025250D">
        <w:rPr>
          <w:vertAlign w:val="superscript"/>
          <w:rtl/>
        </w:rPr>
        <w:footnoteReference w:id="1"/>
      </w:r>
      <w:r w:rsidRPr="0025250D">
        <w:rPr>
          <w:rtl/>
        </w:rPr>
        <w:t xml:space="preserve">، </w:t>
      </w:r>
      <w:r w:rsidR="008D6F97" w:rsidRPr="0025250D">
        <w:rPr>
          <w:rtl/>
        </w:rPr>
        <w:t>«</w:t>
      </w:r>
      <w:r w:rsidRPr="0025250D">
        <w:rPr>
          <w:rFonts w:hint="cs"/>
          <w:rtl/>
        </w:rPr>
        <w:t>سفر اکتشافی</w:t>
      </w:r>
      <w:r w:rsidRPr="0025250D">
        <w:rPr>
          <w:rtl/>
        </w:rPr>
        <w:t xml:space="preserve"> ترانس قطب جنوب</w:t>
      </w:r>
      <w:r w:rsidRPr="0025250D">
        <w:rPr>
          <w:vertAlign w:val="superscript"/>
          <w:rtl/>
        </w:rPr>
        <w:footnoteReference w:id="2"/>
      </w:r>
      <w:r w:rsidR="008D6F97" w:rsidRPr="0025250D">
        <w:rPr>
          <w:rtl/>
        </w:rPr>
        <w:t>»</w:t>
      </w:r>
      <w:r w:rsidRPr="0025250D">
        <w:rPr>
          <w:rtl/>
        </w:rPr>
        <w:t xml:space="preserve"> را </w:t>
      </w:r>
      <w:r w:rsidR="00740D66" w:rsidRPr="0025250D">
        <w:rPr>
          <w:rFonts w:hint="cs"/>
          <w:rtl/>
        </w:rPr>
        <w:t>شروع</w:t>
      </w:r>
      <w:r w:rsidRPr="0025250D">
        <w:rPr>
          <w:rtl/>
        </w:rPr>
        <w:t xml:space="preserve"> کردند و آرزو داشتند که اول</w:t>
      </w:r>
      <w:r w:rsidRPr="0025250D">
        <w:rPr>
          <w:rFonts w:hint="cs"/>
          <w:rtl/>
        </w:rPr>
        <w:t>ی</w:t>
      </w:r>
      <w:r w:rsidRPr="0025250D">
        <w:rPr>
          <w:rFonts w:hint="eastAsia"/>
          <w:rtl/>
        </w:rPr>
        <w:t>ن</w:t>
      </w:r>
      <w:r w:rsidRPr="0025250D">
        <w:rPr>
          <w:rtl/>
        </w:rPr>
        <w:t xml:space="preserve"> </w:t>
      </w:r>
      <w:r w:rsidRPr="0025250D">
        <w:rPr>
          <w:rFonts w:hint="cs"/>
          <w:rtl/>
        </w:rPr>
        <w:t>افرادی</w:t>
      </w:r>
      <w:r w:rsidRPr="0025250D">
        <w:rPr>
          <w:rtl/>
        </w:rPr>
        <w:t xml:space="preserve"> باشند که از جنوبی‌ترین قاره </w:t>
      </w:r>
      <w:r w:rsidRPr="0025250D">
        <w:rPr>
          <w:rFonts w:hint="eastAsia"/>
          <w:rtl/>
        </w:rPr>
        <w:t>زم</w:t>
      </w:r>
      <w:r w:rsidRPr="0025250D">
        <w:rPr>
          <w:rFonts w:hint="cs"/>
          <w:rtl/>
        </w:rPr>
        <w:t>ی</w:t>
      </w:r>
      <w:r w:rsidRPr="0025250D">
        <w:rPr>
          <w:rFonts w:hint="eastAsia"/>
          <w:rtl/>
        </w:rPr>
        <w:t>ن</w:t>
      </w:r>
      <w:r w:rsidRPr="0025250D">
        <w:rPr>
          <w:rtl/>
        </w:rPr>
        <w:t xml:space="preserve"> عبور می‌کنند.</w:t>
      </w:r>
      <w:r w:rsidRPr="0025250D">
        <w:rPr>
          <w:rFonts w:hint="cs"/>
          <w:rtl/>
        </w:rPr>
        <w:t xml:space="preserve"> </w:t>
      </w:r>
      <w:r w:rsidRPr="0025250D">
        <w:rPr>
          <w:rtl/>
        </w:rPr>
        <w:t xml:space="preserve">آن‌ها به سمت جنوب رفتند و </w:t>
      </w:r>
      <w:r w:rsidRPr="0025250D">
        <w:rPr>
          <w:rFonts w:hint="cs"/>
          <w:rtl/>
        </w:rPr>
        <w:t>ی</w:t>
      </w:r>
      <w:r w:rsidRPr="0025250D">
        <w:rPr>
          <w:rFonts w:hint="eastAsia"/>
          <w:rtl/>
        </w:rPr>
        <w:t>خ</w:t>
      </w:r>
      <w:r w:rsidRPr="0025250D">
        <w:rPr>
          <w:rtl/>
        </w:rPr>
        <w:t xml:space="preserve"> را شکستند، اما به دل</w:t>
      </w:r>
      <w:r w:rsidRPr="0025250D">
        <w:rPr>
          <w:rFonts w:hint="cs"/>
          <w:rtl/>
        </w:rPr>
        <w:t>ی</w:t>
      </w:r>
      <w:r w:rsidRPr="0025250D">
        <w:rPr>
          <w:rFonts w:hint="eastAsia"/>
          <w:rtl/>
        </w:rPr>
        <w:t>ل</w:t>
      </w:r>
      <w:r w:rsidRPr="0025250D">
        <w:rPr>
          <w:rtl/>
        </w:rPr>
        <w:t xml:space="preserve"> تغ</w:t>
      </w:r>
      <w:r w:rsidRPr="0025250D">
        <w:rPr>
          <w:rFonts w:hint="cs"/>
          <w:rtl/>
        </w:rPr>
        <w:t>یی</w:t>
      </w:r>
      <w:r w:rsidRPr="0025250D">
        <w:rPr>
          <w:rFonts w:hint="eastAsia"/>
          <w:rtl/>
        </w:rPr>
        <w:t>ر</w:t>
      </w:r>
      <w:r w:rsidRPr="0025250D">
        <w:rPr>
          <w:rtl/>
        </w:rPr>
        <w:t xml:space="preserve"> سر</w:t>
      </w:r>
      <w:r w:rsidRPr="0025250D">
        <w:rPr>
          <w:rFonts w:hint="cs"/>
          <w:rtl/>
        </w:rPr>
        <w:t>ی</w:t>
      </w:r>
      <w:r w:rsidRPr="0025250D">
        <w:rPr>
          <w:rFonts w:hint="eastAsia"/>
          <w:rtl/>
        </w:rPr>
        <w:t>ع</w:t>
      </w:r>
      <w:r w:rsidRPr="0025250D">
        <w:rPr>
          <w:rtl/>
        </w:rPr>
        <w:t xml:space="preserve"> آب‌وهوا به دام افتادند. هنگامی‌که کشت</w:t>
      </w:r>
      <w:r w:rsidRPr="0025250D">
        <w:rPr>
          <w:rFonts w:hint="cs"/>
          <w:rtl/>
        </w:rPr>
        <w:t>ی</w:t>
      </w:r>
      <w:r w:rsidRPr="0025250D">
        <w:rPr>
          <w:rtl/>
        </w:rPr>
        <w:t xml:space="preserve"> آن‌ها در </w:t>
      </w:r>
      <w:r w:rsidRPr="0025250D">
        <w:rPr>
          <w:rFonts w:hint="cs"/>
          <w:rtl/>
        </w:rPr>
        <w:t>ی</w:t>
      </w:r>
      <w:r w:rsidRPr="0025250D">
        <w:rPr>
          <w:rFonts w:hint="eastAsia"/>
          <w:rtl/>
        </w:rPr>
        <w:t>خ</w:t>
      </w:r>
      <w:r w:rsidRPr="0025250D">
        <w:rPr>
          <w:rtl/>
        </w:rPr>
        <w:t xml:space="preserve"> شکست، شاکلتون</w:t>
      </w:r>
      <w:r w:rsidRPr="0025250D">
        <w:rPr>
          <w:rFonts w:hint="cs"/>
          <w:rtl/>
        </w:rPr>
        <w:t xml:space="preserve"> 22</w:t>
      </w:r>
      <w:r w:rsidRPr="0025250D">
        <w:rPr>
          <w:rtl/>
        </w:rPr>
        <w:t xml:space="preserve"> </w:t>
      </w:r>
      <w:r w:rsidRPr="0025250D">
        <w:rPr>
          <w:rFonts w:hint="cs"/>
          <w:rtl/>
        </w:rPr>
        <w:t>خدمه</w:t>
      </w:r>
      <w:r w:rsidRPr="0025250D">
        <w:rPr>
          <w:rtl/>
        </w:rPr>
        <w:t xml:space="preserve"> و 70 سگ خود را به جز</w:t>
      </w:r>
      <w:r w:rsidRPr="0025250D">
        <w:rPr>
          <w:rFonts w:hint="cs"/>
          <w:rtl/>
        </w:rPr>
        <w:t>ی</w:t>
      </w:r>
      <w:r w:rsidRPr="0025250D">
        <w:rPr>
          <w:rFonts w:hint="eastAsia"/>
          <w:rtl/>
        </w:rPr>
        <w:t>ره</w:t>
      </w:r>
      <w:r w:rsidRPr="0025250D">
        <w:rPr>
          <w:rtl/>
        </w:rPr>
        <w:t xml:space="preserve"> ف</w:t>
      </w:r>
      <w:r w:rsidRPr="0025250D">
        <w:rPr>
          <w:rFonts w:hint="cs"/>
          <w:rtl/>
        </w:rPr>
        <w:t>ی</w:t>
      </w:r>
      <w:r w:rsidRPr="0025250D">
        <w:rPr>
          <w:rFonts w:hint="eastAsia"/>
          <w:rtl/>
        </w:rPr>
        <w:t>ل</w:t>
      </w:r>
      <w:r w:rsidRPr="0025250D">
        <w:rPr>
          <w:vertAlign w:val="superscript"/>
          <w:rtl/>
        </w:rPr>
        <w:footnoteReference w:id="3"/>
      </w:r>
      <w:r w:rsidRPr="0025250D">
        <w:rPr>
          <w:rtl/>
        </w:rPr>
        <w:t xml:space="preserve"> برد و سپس با </w:t>
      </w:r>
      <w:r w:rsidRPr="0025250D">
        <w:rPr>
          <w:rFonts w:hint="cs"/>
          <w:rtl/>
        </w:rPr>
        <w:t>ی</w:t>
      </w:r>
      <w:r w:rsidRPr="0025250D">
        <w:rPr>
          <w:rFonts w:hint="eastAsia"/>
          <w:rtl/>
        </w:rPr>
        <w:t>ک</w:t>
      </w:r>
      <w:r w:rsidRPr="0025250D">
        <w:rPr>
          <w:rtl/>
        </w:rPr>
        <w:t xml:space="preserve"> قا</w:t>
      </w:r>
      <w:r w:rsidRPr="0025250D">
        <w:rPr>
          <w:rFonts w:hint="cs"/>
          <w:rtl/>
        </w:rPr>
        <w:t>ی</w:t>
      </w:r>
      <w:r w:rsidRPr="0025250D">
        <w:rPr>
          <w:rFonts w:hint="eastAsia"/>
          <w:rtl/>
        </w:rPr>
        <w:t>ق</w:t>
      </w:r>
      <w:r w:rsidRPr="0025250D">
        <w:rPr>
          <w:rtl/>
        </w:rPr>
        <w:t xml:space="preserve"> نجات 20 فوت</w:t>
      </w:r>
      <w:r w:rsidRPr="0025250D">
        <w:rPr>
          <w:rFonts w:hint="cs"/>
          <w:rtl/>
        </w:rPr>
        <w:t>ی</w:t>
      </w:r>
      <w:r w:rsidRPr="0025250D">
        <w:rPr>
          <w:rtl/>
        </w:rPr>
        <w:t xml:space="preserve"> به سمت جز</w:t>
      </w:r>
      <w:r w:rsidRPr="0025250D">
        <w:rPr>
          <w:rFonts w:hint="cs"/>
          <w:rtl/>
        </w:rPr>
        <w:t>ی</w:t>
      </w:r>
      <w:r w:rsidRPr="0025250D">
        <w:rPr>
          <w:rFonts w:hint="eastAsia"/>
          <w:rtl/>
        </w:rPr>
        <w:t>ره</w:t>
      </w:r>
      <w:r w:rsidRPr="0025250D">
        <w:rPr>
          <w:rtl/>
        </w:rPr>
        <w:t xml:space="preserve"> جورج</w:t>
      </w:r>
      <w:r w:rsidRPr="0025250D">
        <w:rPr>
          <w:rFonts w:hint="cs"/>
          <w:rtl/>
        </w:rPr>
        <w:t>ی</w:t>
      </w:r>
      <w:r w:rsidRPr="0025250D">
        <w:rPr>
          <w:rFonts w:hint="eastAsia"/>
          <w:rtl/>
        </w:rPr>
        <w:t>ا</w:t>
      </w:r>
      <w:r w:rsidRPr="0025250D">
        <w:rPr>
          <w:rFonts w:hint="cs"/>
          <w:rtl/>
        </w:rPr>
        <w:t>ی</w:t>
      </w:r>
      <w:r w:rsidRPr="0025250D">
        <w:rPr>
          <w:rtl/>
        </w:rPr>
        <w:t xml:space="preserve"> جنوب</w:t>
      </w:r>
      <w:r w:rsidRPr="0025250D">
        <w:rPr>
          <w:rFonts w:hint="cs"/>
          <w:rtl/>
        </w:rPr>
        <w:t>ی</w:t>
      </w:r>
      <w:r w:rsidRPr="0025250D">
        <w:rPr>
          <w:rtl/>
        </w:rPr>
        <w:t xml:space="preserve"> </w:t>
      </w:r>
      <w:r w:rsidRPr="0025250D">
        <w:rPr>
          <w:rFonts w:hint="cs"/>
          <w:rtl/>
        </w:rPr>
        <w:t>در</w:t>
      </w:r>
      <w:r w:rsidRPr="0025250D">
        <w:rPr>
          <w:rtl/>
        </w:rPr>
        <w:t xml:space="preserve"> 800 ما</w:t>
      </w:r>
      <w:r w:rsidRPr="0025250D">
        <w:rPr>
          <w:rFonts w:hint="cs"/>
          <w:rtl/>
        </w:rPr>
        <w:t>ی</w:t>
      </w:r>
      <w:r w:rsidRPr="0025250D">
        <w:rPr>
          <w:rFonts w:hint="eastAsia"/>
          <w:rtl/>
        </w:rPr>
        <w:t>ل</w:t>
      </w:r>
      <w:r w:rsidRPr="0025250D">
        <w:rPr>
          <w:rFonts w:hint="cs"/>
          <w:rtl/>
        </w:rPr>
        <w:t>ی</w:t>
      </w:r>
      <w:r w:rsidRPr="0025250D">
        <w:rPr>
          <w:rtl/>
        </w:rPr>
        <w:t xml:space="preserve"> آب‌های آ</w:t>
      </w:r>
      <w:r w:rsidRPr="0025250D">
        <w:rPr>
          <w:rFonts w:hint="eastAsia"/>
          <w:rtl/>
        </w:rPr>
        <w:t>زاد</w:t>
      </w:r>
      <w:r w:rsidRPr="0025250D">
        <w:rPr>
          <w:rFonts w:hint="cs"/>
          <w:rtl/>
        </w:rPr>
        <w:t xml:space="preserve"> حرکت کرد</w:t>
      </w:r>
      <w:r w:rsidRPr="0025250D">
        <w:rPr>
          <w:rtl/>
        </w:rPr>
        <w:t>.</w:t>
      </w:r>
      <w:r w:rsidRPr="0025250D">
        <w:rPr>
          <w:rFonts w:hint="cs"/>
          <w:rtl/>
        </w:rPr>
        <w:t xml:space="preserve"> </w:t>
      </w:r>
      <w:r w:rsidRPr="0025250D">
        <w:rPr>
          <w:rtl/>
        </w:rPr>
        <w:t>پنج ماه طول می‌کشید تا شاکلتون برا</w:t>
      </w:r>
      <w:r w:rsidRPr="0025250D">
        <w:rPr>
          <w:rFonts w:hint="cs"/>
          <w:rtl/>
        </w:rPr>
        <w:t>ی</w:t>
      </w:r>
      <w:r w:rsidRPr="0025250D">
        <w:rPr>
          <w:rtl/>
        </w:rPr>
        <w:t xml:space="preserve"> نجات افرادش برگردد. امروز ما </w:t>
      </w:r>
      <w:r w:rsidRPr="0025250D">
        <w:rPr>
          <w:rFonts w:hint="cs"/>
          <w:rtl/>
        </w:rPr>
        <w:t xml:space="preserve">از </w:t>
      </w:r>
      <w:r w:rsidRPr="0025250D">
        <w:rPr>
          <w:rtl/>
        </w:rPr>
        <w:t xml:space="preserve">شاکلتون به‌عنوان </w:t>
      </w:r>
      <w:r w:rsidRPr="0025250D">
        <w:rPr>
          <w:rFonts w:hint="cs"/>
          <w:rtl/>
        </w:rPr>
        <w:t>ی</w:t>
      </w:r>
      <w:r w:rsidRPr="0025250D">
        <w:rPr>
          <w:rFonts w:hint="eastAsia"/>
          <w:rtl/>
        </w:rPr>
        <w:t>ک</w:t>
      </w:r>
      <w:r w:rsidRPr="0025250D">
        <w:rPr>
          <w:rtl/>
        </w:rPr>
        <w:t xml:space="preserve"> رهبر نمونه </w:t>
      </w:r>
      <w:r w:rsidRPr="0025250D">
        <w:rPr>
          <w:rFonts w:hint="cs"/>
          <w:rtl/>
        </w:rPr>
        <w:t>ی</w:t>
      </w:r>
      <w:r w:rsidRPr="0025250D">
        <w:rPr>
          <w:rFonts w:hint="eastAsia"/>
          <w:rtl/>
        </w:rPr>
        <w:t>اد</w:t>
      </w:r>
      <w:r w:rsidRPr="0025250D">
        <w:rPr>
          <w:rtl/>
        </w:rPr>
        <w:t xml:space="preserve"> </w:t>
      </w:r>
      <w:r w:rsidRPr="0025250D">
        <w:rPr>
          <w:rFonts w:hint="cs"/>
          <w:rtl/>
        </w:rPr>
        <w:t>می‌کنیم</w:t>
      </w:r>
      <w:r w:rsidRPr="0025250D">
        <w:rPr>
          <w:rtl/>
        </w:rPr>
        <w:t xml:space="preserve"> که تحت شرا</w:t>
      </w:r>
      <w:r w:rsidRPr="0025250D">
        <w:rPr>
          <w:rFonts w:hint="cs"/>
          <w:rtl/>
        </w:rPr>
        <w:t>ی</w:t>
      </w:r>
      <w:r w:rsidRPr="0025250D">
        <w:rPr>
          <w:rFonts w:hint="eastAsia"/>
          <w:rtl/>
        </w:rPr>
        <w:t>ط</w:t>
      </w:r>
      <w:r w:rsidRPr="0025250D">
        <w:rPr>
          <w:rtl/>
        </w:rPr>
        <w:t xml:space="preserve"> سخت، ت</w:t>
      </w:r>
      <w:r w:rsidRPr="0025250D">
        <w:rPr>
          <w:rFonts w:hint="cs"/>
          <w:rtl/>
        </w:rPr>
        <w:t>ی</w:t>
      </w:r>
      <w:r w:rsidRPr="0025250D">
        <w:rPr>
          <w:rFonts w:hint="eastAsia"/>
          <w:rtl/>
        </w:rPr>
        <w:t>م</w:t>
      </w:r>
      <w:r w:rsidRPr="0025250D">
        <w:rPr>
          <w:rtl/>
        </w:rPr>
        <w:t xml:space="preserve"> خود را برا</w:t>
      </w:r>
      <w:r w:rsidRPr="0025250D">
        <w:rPr>
          <w:rFonts w:hint="cs"/>
          <w:rtl/>
        </w:rPr>
        <w:t>ی</w:t>
      </w:r>
      <w:r w:rsidRPr="0025250D">
        <w:rPr>
          <w:rtl/>
        </w:rPr>
        <w:t xml:space="preserve"> پ</w:t>
      </w:r>
      <w:r w:rsidRPr="0025250D">
        <w:rPr>
          <w:rFonts w:hint="cs"/>
          <w:rtl/>
        </w:rPr>
        <w:t>ی</w:t>
      </w:r>
      <w:r w:rsidRPr="0025250D">
        <w:rPr>
          <w:rFonts w:hint="eastAsia"/>
          <w:rtl/>
        </w:rPr>
        <w:t>گ</w:t>
      </w:r>
      <w:r w:rsidRPr="0025250D">
        <w:rPr>
          <w:rFonts w:hint="cs"/>
          <w:rtl/>
        </w:rPr>
        <w:t>ی</w:t>
      </w:r>
      <w:r w:rsidRPr="0025250D">
        <w:rPr>
          <w:rFonts w:hint="eastAsia"/>
          <w:rtl/>
        </w:rPr>
        <w:t>ر</w:t>
      </w:r>
      <w:r w:rsidRPr="0025250D">
        <w:rPr>
          <w:rFonts w:hint="cs"/>
          <w:rtl/>
        </w:rPr>
        <w:t>ی</w:t>
      </w:r>
      <w:r w:rsidRPr="0025250D">
        <w:rPr>
          <w:rtl/>
        </w:rPr>
        <w:t xml:space="preserve"> آخر</w:t>
      </w:r>
      <w:r w:rsidRPr="0025250D">
        <w:rPr>
          <w:rFonts w:hint="cs"/>
          <w:rtl/>
        </w:rPr>
        <w:t>ی</w:t>
      </w:r>
      <w:r w:rsidRPr="0025250D">
        <w:rPr>
          <w:rFonts w:hint="eastAsia"/>
          <w:rtl/>
        </w:rPr>
        <w:t>ن</w:t>
      </w:r>
      <w:r w:rsidRPr="0025250D">
        <w:rPr>
          <w:rtl/>
        </w:rPr>
        <w:t xml:space="preserve"> جستجو</w:t>
      </w:r>
      <w:r w:rsidRPr="0025250D">
        <w:rPr>
          <w:rFonts w:hint="cs"/>
          <w:rtl/>
        </w:rPr>
        <w:t>ی</w:t>
      </w:r>
      <w:r w:rsidRPr="0025250D">
        <w:rPr>
          <w:rtl/>
        </w:rPr>
        <w:t xml:space="preserve"> بزرگ رو</w:t>
      </w:r>
      <w:r w:rsidRPr="0025250D">
        <w:rPr>
          <w:rFonts w:hint="cs"/>
          <w:rtl/>
        </w:rPr>
        <w:t>ی</w:t>
      </w:r>
      <w:r w:rsidRPr="0025250D">
        <w:rPr>
          <w:rtl/>
        </w:rPr>
        <w:t xml:space="preserve"> زم</w:t>
      </w:r>
      <w:r w:rsidRPr="0025250D">
        <w:rPr>
          <w:rFonts w:hint="cs"/>
          <w:rtl/>
        </w:rPr>
        <w:t>ی</w:t>
      </w:r>
      <w:r w:rsidRPr="0025250D">
        <w:rPr>
          <w:rFonts w:hint="eastAsia"/>
          <w:rtl/>
        </w:rPr>
        <w:t>ن</w:t>
      </w:r>
      <w:r w:rsidRPr="0025250D">
        <w:rPr>
          <w:rtl/>
        </w:rPr>
        <w:t xml:space="preserve"> در سرزمین‌های ناشناخته </w:t>
      </w:r>
      <w:r w:rsidRPr="0025250D">
        <w:rPr>
          <w:rFonts w:hint="cs"/>
          <w:rtl/>
        </w:rPr>
        <w:t>حفظ کرد</w:t>
      </w:r>
      <w:r w:rsidRPr="0025250D">
        <w:rPr>
          <w:rtl/>
        </w:rPr>
        <w:t>.</w:t>
      </w:r>
    </w:p>
    <w:p w14:paraId="4F7BCE17" w14:textId="49F97EC1" w:rsidR="00B219EF" w:rsidRPr="0025250D" w:rsidRDefault="00B219EF" w:rsidP="004445C5">
      <w:pPr>
        <w:rPr>
          <w:rtl/>
        </w:rPr>
      </w:pPr>
      <w:r w:rsidRPr="0025250D">
        <w:rPr>
          <w:rtl/>
        </w:rPr>
        <w:t>مانند آخر</w:t>
      </w:r>
      <w:r w:rsidRPr="0025250D">
        <w:rPr>
          <w:rFonts w:hint="cs"/>
          <w:rtl/>
        </w:rPr>
        <w:t>ی</w:t>
      </w:r>
      <w:r w:rsidRPr="0025250D">
        <w:rPr>
          <w:rFonts w:hint="eastAsia"/>
          <w:rtl/>
        </w:rPr>
        <w:t>ن</w:t>
      </w:r>
      <w:r w:rsidRPr="0025250D">
        <w:rPr>
          <w:rtl/>
        </w:rPr>
        <w:t xml:space="preserve"> مرز قطب جنوب، ماه</w:t>
      </w:r>
      <w:r w:rsidRPr="0025250D">
        <w:rPr>
          <w:rFonts w:hint="cs"/>
          <w:rtl/>
        </w:rPr>
        <w:t>ی</w:t>
      </w:r>
      <w:r w:rsidRPr="0025250D">
        <w:rPr>
          <w:rFonts w:hint="eastAsia"/>
          <w:rtl/>
        </w:rPr>
        <w:t>ت</w:t>
      </w:r>
      <w:r w:rsidRPr="0025250D">
        <w:rPr>
          <w:rtl/>
        </w:rPr>
        <w:t xml:space="preserve"> آ</w:t>
      </w:r>
      <w:r w:rsidRPr="0025250D">
        <w:rPr>
          <w:rFonts w:hint="cs"/>
          <w:rtl/>
        </w:rPr>
        <w:t>ی</w:t>
      </w:r>
      <w:r w:rsidRPr="0025250D">
        <w:rPr>
          <w:rFonts w:hint="eastAsia"/>
          <w:rtl/>
        </w:rPr>
        <w:t>نده</w:t>
      </w:r>
      <w:r w:rsidRPr="0025250D">
        <w:rPr>
          <w:rtl/>
        </w:rPr>
        <w:t xml:space="preserve"> تا اواسط قرن ب</w:t>
      </w:r>
      <w:r w:rsidRPr="0025250D">
        <w:rPr>
          <w:rFonts w:hint="cs"/>
          <w:rtl/>
        </w:rPr>
        <w:t>ی</w:t>
      </w:r>
      <w:r w:rsidRPr="0025250D">
        <w:rPr>
          <w:rFonts w:hint="eastAsia"/>
          <w:rtl/>
        </w:rPr>
        <w:t>ستم</w:t>
      </w:r>
      <w:r w:rsidRPr="0025250D">
        <w:rPr>
          <w:rtl/>
        </w:rPr>
        <w:t xml:space="preserve"> کشف نشده بود. از آن زمان، انبوه</w:t>
      </w:r>
      <w:r w:rsidRPr="0025250D">
        <w:rPr>
          <w:rFonts w:hint="cs"/>
          <w:rtl/>
        </w:rPr>
        <w:t>ی</w:t>
      </w:r>
      <w:r w:rsidRPr="0025250D">
        <w:rPr>
          <w:rtl/>
        </w:rPr>
        <w:t xml:space="preserve"> از کاوشگران از طر</w:t>
      </w:r>
      <w:r w:rsidRPr="0025250D">
        <w:rPr>
          <w:rFonts w:hint="cs"/>
          <w:rtl/>
        </w:rPr>
        <w:t>ی</w:t>
      </w:r>
      <w:r w:rsidRPr="0025250D">
        <w:rPr>
          <w:rFonts w:hint="eastAsia"/>
          <w:rtl/>
        </w:rPr>
        <w:t>ق</w:t>
      </w:r>
      <w:r w:rsidRPr="0025250D">
        <w:rPr>
          <w:rtl/>
        </w:rPr>
        <w:t xml:space="preserve"> ابزارها و روش‌</w:t>
      </w:r>
      <w:r w:rsidRPr="0025250D">
        <w:rPr>
          <w:rFonts w:hint="cs"/>
          <w:rtl/>
        </w:rPr>
        <w:t>ها</w:t>
      </w:r>
      <w:r w:rsidRPr="0025250D">
        <w:rPr>
          <w:rFonts w:hint="eastAsia"/>
          <w:rtl/>
        </w:rPr>
        <w:t>،</w:t>
      </w:r>
      <w:r w:rsidRPr="0025250D">
        <w:rPr>
          <w:rtl/>
        </w:rPr>
        <w:t xml:space="preserve"> ا</w:t>
      </w:r>
      <w:r w:rsidRPr="0025250D">
        <w:rPr>
          <w:rFonts w:hint="cs"/>
          <w:rtl/>
        </w:rPr>
        <w:t>ی</w:t>
      </w:r>
      <w:r w:rsidRPr="0025250D">
        <w:rPr>
          <w:rFonts w:hint="eastAsia"/>
          <w:rtl/>
        </w:rPr>
        <w:t>ن</w:t>
      </w:r>
      <w:r w:rsidRPr="0025250D">
        <w:rPr>
          <w:rtl/>
        </w:rPr>
        <w:t xml:space="preserve"> حوزه را ترس</w:t>
      </w:r>
      <w:r w:rsidRPr="0025250D">
        <w:rPr>
          <w:rFonts w:hint="cs"/>
          <w:rtl/>
        </w:rPr>
        <w:t>ی</w:t>
      </w:r>
      <w:r w:rsidRPr="0025250D">
        <w:rPr>
          <w:rFonts w:hint="eastAsia"/>
          <w:rtl/>
        </w:rPr>
        <w:t>م</w:t>
      </w:r>
      <w:r w:rsidRPr="0025250D">
        <w:rPr>
          <w:rtl/>
        </w:rPr>
        <w:t xml:space="preserve"> کرده‌اند. کتاب‌های مختلف با کشف </w:t>
      </w:r>
      <w:r w:rsidRPr="0025250D">
        <w:rPr>
          <w:rFonts w:hint="cs"/>
          <w:rtl/>
        </w:rPr>
        <w:t>مبانی</w:t>
      </w:r>
      <w:r w:rsidRPr="0025250D">
        <w:rPr>
          <w:rtl/>
        </w:rPr>
        <w:t xml:space="preserve"> آن و جمع‌آور</w:t>
      </w:r>
      <w:r w:rsidRPr="0025250D">
        <w:rPr>
          <w:rFonts w:hint="cs"/>
          <w:rtl/>
        </w:rPr>
        <w:t>ی</w:t>
      </w:r>
      <w:r w:rsidRPr="0025250D">
        <w:rPr>
          <w:rtl/>
        </w:rPr>
        <w:t xml:space="preserve"> پا</w:t>
      </w:r>
      <w:r w:rsidRPr="0025250D">
        <w:rPr>
          <w:rFonts w:hint="cs"/>
          <w:rtl/>
        </w:rPr>
        <w:t>ی</w:t>
      </w:r>
      <w:r w:rsidRPr="0025250D">
        <w:rPr>
          <w:rFonts w:hint="eastAsia"/>
          <w:rtl/>
        </w:rPr>
        <w:t>گاه</w:t>
      </w:r>
      <w:r w:rsidRPr="0025250D">
        <w:rPr>
          <w:rtl/>
        </w:rPr>
        <w:t xml:space="preserve"> دانش</w:t>
      </w:r>
      <w:r w:rsidRPr="0025250D">
        <w:rPr>
          <w:rFonts w:hint="cs"/>
          <w:rtl/>
        </w:rPr>
        <w:t>ی</w:t>
      </w:r>
      <w:r w:rsidRPr="0025250D">
        <w:rPr>
          <w:rtl/>
        </w:rPr>
        <w:t xml:space="preserve"> آن، چشمان ما را به</w:t>
      </w:r>
      <w:r w:rsidR="00740D66" w:rsidRPr="0025250D">
        <w:rPr>
          <w:rFonts w:hint="cs"/>
          <w:rtl/>
        </w:rPr>
        <w:t xml:space="preserve"> سوی</w:t>
      </w:r>
      <w:r w:rsidRPr="0025250D">
        <w:rPr>
          <w:rtl/>
        </w:rPr>
        <w:t xml:space="preserve"> آ</w:t>
      </w:r>
      <w:r w:rsidRPr="0025250D">
        <w:rPr>
          <w:rFonts w:hint="cs"/>
          <w:rtl/>
        </w:rPr>
        <w:t>ی</w:t>
      </w:r>
      <w:r w:rsidRPr="0025250D">
        <w:rPr>
          <w:rFonts w:hint="eastAsia"/>
          <w:rtl/>
        </w:rPr>
        <w:t>نده</w:t>
      </w:r>
      <w:r w:rsidRPr="0025250D">
        <w:rPr>
          <w:rtl/>
        </w:rPr>
        <w:t xml:space="preserve"> و نحوه گذر از </w:t>
      </w:r>
      <w:r w:rsidRPr="0025250D">
        <w:rPr>
          <w:rFonts w:hint="eastAsia"/>
          <w:rtl/>
        </w:rPr>
        <w:t>آن</w:t>
      </w:r>
      <w:r w:rsidRPr="0025250D">
        <w:rPr>
          <w:rtl/>
        </w:rPr>
        <w:t xml:space="preserve"> باز کرده‌اند.</w:t>
      </w:r>
    </w:p>
    <w:p w14:paraId="5B9E1AED" w14:textId="11BF902B" w:rsidR="00B219EF" w:rsidRPr="0025250D" w:rsidRDefault="00B219EF" w:rsidP="004445C5">
      <w:pPr>
        <w:rPr>
          <w:rtl/>
        </w:rPr>
      </w:pPr>
      <w:r w:rsidRPr="0025250D">
        <w:rPr>
          <w:rtl/>
        </w:rPr>
        <w:t>تا قبل از انتشار</w:t>
      </w:r>
      <w:r w:rsidR="0008287D" w:rsidRPr="0025250D">
        <w:rPr>
          <w:rFonts w:hint="cs"/>
          <w:rtl/>
        </w:rPr>
        <w:t xml:space="preserve"> کتاب</w:t>
      </w:r>
      <w:r w:rsidRPr="0025250D">
        <w:rPr>
          <w:rtl/>
        </w:rPr>
        <w:t xml:space="preserve"> «راهنما</w:t>
      </w:r>
      <w:r w:rsidRPr="0025250D">
        <w:rPr>
          <w:rFonts w:hint="cs"/>
          <w:rtl/>
        </w:rPr>
        <w:t>ی</w:t>
      </w:r>
      <w:r w:rsidRPr="0025250D">
        <w:rPr>
          <w:rtl/>
        </w:rPr>
        <w:t xml:space="preserve"> آ</w:t>
      </w:r>
      <w:r w:rsidRPr="0025250D">
        <w:rPr>
          <w:rFonts w:hint="cs"/>
          <w:rtl/>
        </w:rPr>
        <w:t>ی</w:t>
      </w:r>
      <w:r w:rsidRPr="0025250D">
        <w:rPr>
          <w:rFonts w:hint="eastAsia"/>
          <w:rtl/>
        </w:rPr>
        <w:t>نده‌نگ</w:t>
      </w:r>
      <w:r w:rsidR="00A03018" w:rsidRPr="0025250D">
        <w:rPr>
          <w:rFonts w:hint="cs"/>
          <w:rtl/>
        </w:rPr>
        <w:t>ا</w:t>
      </w:r>
      <w:r w:rsidRPr="0025250D">
        <w:rPr>
          <w:rFonts w:hint="eastAsia"/>
          <w:rtl/>
        </w:rPr>
        <w:t>ر</w:t>
      </w:r>
      <w:r w:rsidRPr="0025250D">
        <w:rPr>
          <w:rFonts w:hint="cs"/>
          <w:rtl/>
        </w:rPr>
        <w:t>ی</w:t>
      </w:r>
      <w:r w:rsidRPr="0025250D">
        <w:rPr>
          <w:vertAlign w:val="superscript"/>
          <w:rtl/>
        </w:rPr>
        <w:footnoteReference w:id="4"/>
      </w:r>
      <w:r w:rsidRPr="0025250D">
        <w:rPr>
          <w:rFonts w:hint="eastAsia"/>
          <w:rtl/>
        </w:rPr>
        <w:t>»</w:t>
      </w:r>
      <w:r w:rsidRPr="0025250D">
        <w:rPr>
          <w:rtl/>
        </w:rPr>
        <w:t xml:space="preserve"> توسط جان اسمارت و ت</w:t>
      </w:r>
      <w:r w:rsidRPr="0025250D">
        <w:rPr>
          <w:rFonts w:hint="cs"/>
          <w:rtl/>
        </w:rPr>
        <w:t>ی</w:t>
      </w:r>
      <w:r w:rsidRPr="0025250D">
        <w:rPr>
          <w:rFonts w:hint="eastAsia"/>
          <w:rtl/>
        </w:rPr>
        <w:t>م</w:t>
      </w:r>
      <w:r w:rsidRPr="0025250D">
        <w:rPr>
          <w:rtl/>
        </w:rPr>
        <w:t xml:space="preserve"> </w:t>
      </w:r>
      <w:r w:rsidRPr="0025250D">
        <w:t>4U</w:t>
      </w:r>
      <w:r w:rsidRPr="0025250D">
        <w:rPr>
          <w:rtl/>
        </w:rPr>
        <w:t xml:space="preserve">، </w:t>
      </w:r>
      <w:r w:rsidRPr="0025250D">
        <w:rPr>
          <w:rFonts w:hint="cs"/>
          <w:rtl/>
        </w:rPr>
        <w:t>دستنامه</w:t>
      </w:r>
      <w:r w:rsidRPr="0025250D">
        <w:rPr>
          <w:rtl/>
        </w:rPr>
        <w:t xml:space="preserve"> راهنما</w:t>
      </w:r>
      <w:r w:rsidRPr="0025250D">
        <w:rPr>
          <w:rFonts w:hint="cs"/>
          <w:rtl/>
        </w:rPr>
        <w:t>یی</w:t>
      </w:r>
      <w:r w:rsidRPr="0025250D">
        <w:rPr>
          <w:rtl/>
        </w:rPr>
        <w:t xml:space="preserve"> </w:t>
      </w:r>
      <w:r w:rsidR="0008287D" w:rsidRPr="0025250D">
        <w:rPr>
          <w:rFonts w:hint="cs"/>
          <w:rtl/>
        </w:rPr>
        <w:t xml:space="preserve">وجود </w:t>
      </w:r>
      <w:r w:rsidRPr="0025250D">
        <w:rPr>
          <w:rtl/>
        </w:rPr>
        <w:t xml:space="preserve">نداشت که ما را قادر </w:t>
      </w:r>
      <w:r w:rsidRPr="0025250D">
        <w:rPr>
          <w:rFonts w:hint="cs"/>
          <w:rtl/>
        </w:rPr>
        <w:t>‌</w:t>
      </w:r>
      <w:r w:rsidRPr="0025250D">
        <w:rPr>
          <w:rFonts w:hint="eastAsia"/>
          <w:rtl/>
        </w:rPr>
        <w:t>سازد</w:t>
      </w:r>
      <w:r w:rsidRPr="0025250D">
        <w:rPr>
          <w:rtl/>
        </w:rPr>
        <w:t xml:space="preserve"> به‌طور گسترده در زم</w:t>
      </w:r>
      <w:r w:rsidRPr="0025250D">
        <w:rPr>
          <w:rFonts w:hint="cs"/>
          <w:rtl/>
        </w:rPr>
        <w:t>ی</w:t>
      </w:r>
      <w:r w:rsidRPr="0025250D">
        <w:rPr>
          <w:rFonts w:hint="eastAsia"/>
          <w:rtl/>
        </w:rPr>
        <w:t>نه</w:t>
      </w:r>
      <w:r w:rsidRPr="0025250D">
        <w:rPr>
          <w:rtl/>
        </w:rPr>
        <w:t xml:space="preserve"> آ</w:t>
      </w:r>
      <w:r w:rsidRPr="0025250D">
        <w:rPr>
          <w:rFonts w:hint="cs"/>
          <w:rtl/>
        </w:rPr>
        <w:t>ی</w:t>
      </w:r>
      <w:r w:rsidRPr="0025250D">
        <w:rPr>
          <w:rFonts w:hint="eastAsia"/>
          <w:rtl/>
        </w:rPr>
        <w:t>نده‌نگ</w:t>
      </w:r>
      <w:r w:rsidR="00740D66" w:rsidRPr="0025250D">
        <w:rPr>
          <w:rFonts w:hint="cs"/>
          <w:rtl/>
        </w:rPr>
        <w:t>ا</w:t>
      </w:r>
      <w:r w:rsidRPr="0025250D">
        <w:rPr>
          <w:rFonts w:hint="eastAsia"/>
          <w:rtl/>
        </w:rPr>
        <w:t>ر</w:t>
      </w:r>
      <w:r w:rsidRPr="0025250D">
        <w:rPr>
          <w:rFonts w:hint="cs"/>
          <w:rtl/>
        </w:rPr>
        <w:t>ی</w:t>
      </w:r>
      <w:r w:rsidR="00740D66" w:rsidRPr="0025250D">
        <w:rPr>
          <w:rStyle w:val="FootnoteReference"/>
          <w:rtl/>
        </w:rPr>
        <w:footnoteReference w:id="5"/>
      </w:r>
      <w:r w:rsidRPr="0025250D">
        <w:rPr>
          <w:rtl/>
        </w:rPr>
        <w:t xml:space="preserve"> </w:t>
      </w:r>
      <w:r w:rsidR="001A3F0A" w:rsidRPr="0025250D">
        <w:rPr>
          <w:rtl/>
        </w:rPr>
        <w:t>فردی</w:t>
      </w:r>
      <w:r w:rsidRPr="0025250D">
        <w:rPr>
          <w:rFonts w:hint="eastAsia"/>
          <w:rtl/>
        </w:rPr>
        <w:t>،</w:t>
      </w:r>
      <w:r w:rsidRPr="0025250D">
        <w:rPr>
          <w:rtl/>
        </w:rPr>
        <w:t xml:space="preserve"> ت</w:t>
      </w:r>
      <w:r w:rsidRPr="0025250D">
        <w:rPr>
          <w:rFonts w:hint="cs"/>
          <w:rtl/>
        </w:rPr>
        <w:t>ی</w:t>
      </w:r>
      <w:r w:rsidRPr="0025250D">
        <w:rPr>
          <w:rFonts w:hint="eastAsia"/>
          <w:rtl/>
        </w:rPr>
        <w:t>م</w:t>
      </w:r>
      <w:r w:rsidRPr="0025250D">
        <w:rPr>
          <w:rFonts w:hint="cs"/>
          <w:rtl/>
        </w:rPr>
        <w:t>ی</w:t>
      </w:r>
      <w:r w:rsidRPr="0025250D">
        <w:rPr>
          <w:rtl/>
        </w:rPr>
        <w:t xml:space="preserve"> و سازمان</w:t>
      </w:r>
      <w:r w:rsidRPr="0025250D">
        <w:rPr>
          <w:rFonts w:hint="cs"/>
          <w:rtl/>
        </w:rPr>
        <w:t>ی</w:t>
      </w:r>
      <w:r w:rsidRPr="0025250D">
        <w:rPr>
          <w:rtl/>
        </w:rPr>
        <w:t xml:space="preserve"> کاوش کن</w:t>
      </w:r>
      <w:r w:rsidRPr="0025250D">
        <w:rPr>
          <w:rFonts w:hint="cs"/>
          <w:rtl/>
        </w:rPr>
        <w:t>ی</w:t>
      </w:r>
      <w:r w:rsidRPr="0025250D">
        <w:rPr>
          <w:rFonts w:hint="eastAsia"/>
          <w:rtl/>
        </w:rPr>
        <w:t>م</w:t>
      </w:r>
      <w:r w:rsidRPr="0025250D">
        <w:rPr>
          <w:rtl/>
        </w:rPr>
        <w:t xml:space="preserve">. اسمارت ما را به </w:t>
      </w:r>
      <w:r w:rsidRPr="0025250D">
        <w:rPr>
          <w:rFonts w:hint="cs"/>
          <w:rtl/>
        </w:rPr>
        <w:t xml:space="preserve">عمق </w:t>
      </w:r>
      <w:r w:rsidRPr="0025250D">
        <w:rPr>
          <w:rtl/>
        </w:rPr>
        <w:t xml:space="preserve">آینده‌نگاری </w:t>
      </w:r>
      <w:r w:rsidR="00AE5BE0" w:rsidRPr="0025250D">
        <w:rPr>
          <w:rtl/>
        </w:rPr>
        <w:t>انطباقی</w:t>
      </w:r>
      <w:r w:rsidR="0008287D" w:rsidRPr="0025250D">
        <w:rPr>
          <w:rStyle w:val="FootnoteReference"/>
          <w:rtl/>
        </w:rPr>
        <w:footnoteReference w:id="6"/>
      </w:r>
      <w:r w:rsidRPr="0025250D">
        <w:rPr>
          <w:rtl/>
        </w:rPr>
        <w:t xml:space="preserve"> می‌برد</w:t>
      </w:r>
      <w:r w:rsidRPr="0025250D">
        <w:rPr>
          <w:rFonts w:hint="cs"/>
          <w:rtl/>
        </w:rPr>
        <w:t>؛</w:t>
      </w:r>
      <w:r w:rsidRPr="0025250D">
        <w:rPr>
          <w:rtl/>
        </w:rPr>
        <w:t xml:space="preserve"> آینده‌نگاری که ما را قادر می‌سازد در قرن ب</w:t>
      </w:r>
      <w:r w:rsidRPr="0025250D">
        <w:rPr>
          <w:rFonts w:hint="cs"/>
          <w:rtl/>
        </w:rPr>
        <w:t>ی</w:t>
      </w:r>
      <w:r w:rsidRPr="0025250D">
        <w:rPr>
          <w:rFonts w:hint="eastAsia"/>
          <w:rtl/>
        </w:rPr>
        <w:t>ست</w:t>
      </w:r>
      <w:r w:rsidRPr="0025250D">
        <w:rPr>
          <w:rtl/>
        </w:rPr>
        <w:t xml:space="preserve"> و </w:t>
      </w:r>
      <w:r w:rsidRPr="0025250D">
        <w:rPr>
          <w:rFonts w:hint="cs"/>
          <w:rtl/>
        </w:rPr>
        <w:t>ی</w:t>
      </w:r>
      <w:r w:rsidRPr="0025250D">
        <w:rPr>
          <w:rFonts w:hint="eastAsia"/>
          <w:rtl/>
        </w:rPr>
        <w:t>کم</w:t>
      </w:r>
      <w:r w:rsidRPr="0025250D">
        <w:rPr>
          <w:rtl/>
        </w:rPr>
        <w:t xml:space="preserve"> پیش‌انگاری</w:t>
      </w:r>
      <w:r w:rsidR="0008287D" w:rsidRPr="0025250D">
        <w:rPr>
          <w:rStyle w:val="FootnoteReference"/>
          <w:rtl/>
        </w:rPr>
        <w:footnoteReference w:id="7"/>
      </w:r>
      <w:r w:rsidRPr="0025250D">
        <w:rPr>
          <w:rFonts w:hint="eastAsia"/>
          <w:rtl/>
        </w:rPr>
        <w:t>،</w:t>
      </w:r>
      <w:r w:rsidRPr="0025250D">
        <w:rPr>
          <w:rtl/>
        </w:rPr>
        <w:t xml:space="preserve"> نوآور</w:t>
      </w:r>
      <w:r w:rsidRPr="0025250D">
        <w:rPr>
          <w:rFonts w:hint="cs"/>
          <w:rtl/>
        </w:rPr>
        <w:t>ی</w:t>
      </w:r>
      <w:r w:rsidRPr="0025250D">
        <w:rPr>
          <w:rtl/>
        </w:rPr>
        <w:t xml:space="preserve"> و رهبر</w:t>
      </w:r>
      <w:r w:rsidRPr="0025250D">
        <w:rPr>
          <w:rFonts w:hint="cs"/>
          <w:rtl/>
        </w:rPr>
        <w:t>ی</w:t>
      </w:r>
      <w:r w:rsidRPr="0025250D">
        <w:rPr>
          <w:rtl/>
        </w:rPr>
        <w:t xml:space="preserve"> کن</w:t>
      </w:r>
      <w:r w:rsidRPr="0025250D">
        <w:rPr>
          <w:rFonts w:hint="cs"/>
          <w:rtl/>
        </w:rPr>
        <w:t>ی</w:t>
      </w:r>
      <w:r w:rsidRPr="0025250D">
        <w:rPr>
          <w:rFonts w:hint="eastAsia"/>
          <w:rtl/>
        </w:rPr>
        <w:t>م</w:t>
      </w:r>
      <w:r w:rsidRPr="0025250D">
        <w:rPr>
          <w:rtl/>
        </w:rPr>
        <w:t>.</w:t>
      </w:r>
    </w:p>
    <w:p w14:paraId="5B7BD661" w14:textId="23C414CB" w:rsidR="00B219EF" w:rsidRPr="0025250D" w:rsidRDefault="00B219EF" w:rsidP="004445C5">
      <w:pPr>
        <w:rPr>
          <w:rtl/>
        </w:rPr>
      </w:pPr>
      <w:r w:rsidRPr="0025250D">
        <w:rPr>
          <w:rtl/>
        </w:rPr>
        <w:t>چه برا</w:t>
      </w:r>
      <w:r w:rsidRPr="0025250D">
        <w:rPr>
          <w:rFonts w:hint="cs"/>
          <w:rtl/>
        </w:rPr>
        <w:t>ی</w:t>
      </w:r>
      <w:r w:rsidRPr="0025250D">
        <w:rPr>
          <w:rtl/>
        </w:rPr>
        <w:t xml:space="preserve"> استفاده </w:t>
      </w:r>
      <w:r w:rsidR="001A3F0A" w:rsidRPr="0025250D">
        <w:rPr>
          <w:rtl/>
        </w:rPr>
        <w:t>فردی</w:t>
      </w:r>
      <w:r w:rsidRPr="0025250D">
        <w:rPr>
          <w:rFonts w:hint="eastAsia"/>
          <w:rtl/>
        </w:rPr>
        <w:t>،</w:t>
      </w:r>
      <w:r w:rsidRPr="0025250D">
        <w:rPr>
          <w:rtl/>
        </w:rPr>
        <w:t xml:space="preserve"> ت</w:t>
      </w:r>
      <w:r w:rsidRPr="0025250D">
        <w:rPr>
          <w:rFonts w:hint="cs"/>
          <w:rtl/>
        </w:rPr>
        <w:t>ی</w:t>
      </w:r>
      <w:r w:rsidRPr="0025250D">
        <w:rPr>
          <w:rFonts w:hint="eastAsia"/>
          <w:rtl/>
        </w:rPr>
        <w:t>م</w:t>
      </w:r>
      <w:r w:rsidRPr="0025250D">
        <w:rPr>
          <w:rFonts w:hint="cs"/>
          <w:rtl/>
        </w:rPr>
        <w:t>ی</w:t>
      </w:r>
      <w:r w:rsidRPr="0025250D">
        <w:rPr>
          <w:rFonts w:hint="eastAsia"/>
          <w:rtl/>
        </w:rPr>
        <w:t>،</w:t>
      </w:r>
      <w:r w:rsidRPr="0025250D">
        <w:rPr>
          <w:rtl/>
        </w:rPr>
        <w:t xml:space="preserve"> سازمان</w:t>
      </w:r>
      <w:r w:rsidRPr="0025250D">
        <w:rPr>
          <w:rFonts w:hint="cs"/>
          <w:rtl/>
        </w:rPr>
        <w:t>ی</w:t>
      </w:r>
      <w:r w:rsidRPr="0025250D">
        <w:rPr>
          <w:rtl/>
        </w:rPr>
        <w:t xml:space="preserve"> </w:t>
      </w:r>
      <w:r w:rsidRPr="0025250D">
        <w:rPr>
          <w:rFonts w:hint="cs"/>
          <w:rtl/>
        </w:rPr>
        <w:t>ی</w:t>
      </w:r>
      <w:r w:rsidRPr="0025250D">
        <w:rPr>
          <w:rFonts w:hint="eastAsia"/>
          <w:rtl/>
        </w:rPr>
        <w:t>ا</w:t>
      </w:r>
      <w:r w:rsidRPr="0025250D">
        <w:rPr>
          <w:rtl/>
        </w:rPr>
        <w:t xml:space="preserve"> </w:t>
      </w:r>
      <w:r w:rsidRPr="0025250D">
        <w:rPr>
          <w:rFonts w:hint="cs"/>
          <w:rtl/>
        </w:rPr>
        <w:t>تخصصی</w:t>
      </w:r>
      <w:r w:rsidRPr="0025250D">
        <w:rPr>
          <w:rFonts w:hint="eastAsia"/>
          <w:rtl/>
        </w:rPr>
        <w:t>،</w:t>
      </w:r>
      <w:r w:rsidR="0008287D" w:rsidRPr="0025250D">
        <w:rPr>
          <w:rFonts w:hint="cs"/>
          <w:rtl/>
        </w:rPr>
        <w:t xml:space="preserve"> کتاب</w:t>
      </w:r>
      <w:r w:rsidRPr="0025250D">
        <w:rPr>
          <w:rtl/>
        </w:rPr>
        <w:t xml:space="preserve"> راهنما</w:t>
      </w:r>
      <w:r w:rsidRPr="0025250D">
        <w:rPr>
          <w:rFonts w:hint="cs"/>
          <w:rtl/>
        </w:rPr>
        <w:t>یی</w:t>
      </w:r>
      <w:r w:rsidRPr="0025250D">
        <w:rPr>
          <w:rtl/>
        </w:rPr>
        <w:t xml:space="preserve"> </w:t>
      </w:r>
      <w:r w:rsidRPr="0025250D">
        <w:rPr>
          <w:rFonts w:hint="cs"/>
          <w:rtl/>
        </w:rPr>
        <w:t xml:space="preserve">بهتر </w:t>
      </w:r>
      <w:r w:rsidRPr="0025250D">
        <w:rPr>
          <w:rtl/>
        </w:rPr>
        <w:t xml:space="preserve">از </w:t>
      </w:r>
      <w:r w:rsidRPr="0025250D">
        <w:rPr>
          <w:rFonts w:hint="cs"/>
          <w:rtl/>
        </w:rPr>
        <w:t xml:space="preserve">این </w:t>
      </w:r>
      <w:r w:rsidRPr="0025250D">
        <w:rPr>
          <w:rtl/>
        </w:rPr>
        <w:t>«راهنما» برا</w:t>
      </w:r>
      <w:r w:rsidRPr="0025250D">
        <w:rPr>
          <w:rFonts w:hint="cs"/>
          <w:rtl/>
        </w:rPr>
        <w:t>ی</w:t>
      </w:r>
      <w:r w:rsidRPr="0025250D">
        <w:rPr>
          <w:rtl/>
        </w:rPr>
        <w:t xml:space="preserve"> آ</w:t>
      </w:r>
      <w:r w:rsidRPr="0025250D">
        <w:rPr>
          <w:rFonts w:hint="cs"/>
          <w:rtl/>
        </w:rPr>
        <w:t>ی</w:t>
      </w:r>
      <w:r w:rsidRPr="0025250D">
        <w:rPr>
          <w:rFonts w:hint="eastAsia"/>
          <w:rtl/>
        </w:rPr>
        <w:t>نده</w:t>
      </w:r>
      <w:r w:rsidRPr="0025250D">
        <w:rPr>
          <w:rtl/>
        </w:rPr>
        <w:t xml:space="preserve"> پ</w:t>
      </w:r>
      <w:r w:rsidRPr="0025250D">
        <w:rPr>
          <w:rFonts w:hint="cs"/>
          <w:rtl/>
        </w:rPr>
        <w:t>ی</w:t>
      </w:r>
      <w:r w:rsidRPr="0025250D">
        <w:rPr>
          <w:rFonts w:hint="eastAsia"/>
          <w:rtl/>
        </w:rPr>
        <w:t>دا</w:t>
      </w:r>
      <w:r w:rsidRPr="0025250D">
        <w:rPr>
          <w:rtl/>
        </w:rPr>
        <w:t xml:space="preserve"> نخواه</w:t>
      </w:r>
      <w:r w:rsidRPr="0025250D">
        <w:rPr>
          <w:rFonts w:hint="cs"/>
          <w:rtl/>
        </w:rPr>
        <w:t>ی</w:t>
      </w:r>
      <w:r w:rsidRPr="0025250D">
        <w:rPr>
          <w:rFonts w:hint="eastAsia"/>
          <w:rtl/>
        </w:rPr>
        <w:t>د</w:t>
      </w:r>
      <w:r w:rsidRPr="0025250D">
        <w:rPr>
          <w:rtl/>
        </w:rPr>
        <w:t xml:space="preserve"> کرد. ا</w:t>
      </w:r>
      <w:r w:rsidRPr="0025250D">
        <w:rPr>
          <w:rFonts w:hint="cs"/>
          <w:rtl/>
        </w:rPr>
        <w:t>ی</w:t>
      </w:r>
      <w:r w:rsidRPr="0025250D">
        <w:rPr>
          <w:rFonts w:hint="eastAsia"/>
          <w:rtl/>
        </w:rPr>
        <w:t>ن</w:t>
      </w:r>
      <w:r w:rsidRPr="0025250D">
        <w:rPr>
          <w:rtl/>
        </w:rPr>
        <w:t xml:space="preserve"> کتاب</w:t>
      </w:r>
      <w:r w:rsidRPr="0025250D">
        <w:rPr>
          <w:rFonts w:hint="cs"/>
          <w:rtl/>
        </w:rPr>
        <w:t>،</w:t>
      </w:r>
      <w:r w:rsidRPr="0025250D">
        <w:rPr>
          <w:rtl/>
        </w:rPr>
        <w:t xml:space="preserve"> راهنما</w:t>
      </w:r>
      <w:r w:rsidRPr="0025250D">
        <w:rPr>
          <w:rFonts w:hint="cs"/>
          <w:rtl/>
        </w:rPr>
        <w:t>ی</w:t>
      </w:r>
      <w:r w:rsidRPr="0025250D">
        <w:rPr>
          <w:rtl/>
        </w:rPr>
        <w:t xml:space="preserve"> اصل</w:t>
      </w:r>
      <w:r w:rsidRPr="0025250D">
        <w:rPr>
          <w:rFonts w:hint="cs"/>
          <w:rtl/>
        </w:rPr>
        <w:t>ی</w:t>
      </w:r>
      <w:r w:rsidRPr="0025250D">
        <w:rPr>
          <w:rtl/>
        </w:rPr>
        <w:t xml:space="preserve"> برا</w:t>
      </w:r>
      <w:r w:rsidRPr="0025250D">
        <w:rPr>
          <w:rFonts w:hint="cs"/>
          <w:rtl/>
        </w:rPr>
        <w:t>ی</w:t>
      </w:r>
      <w:r w:rsidRPr="0025250D">
        <w:rPr>
          <w:rtl/>
        </w:rPr>
        <w:t xml:space="preserve"> تجه</w:t>
      </w:r>
      <w:r w:rsidRPr="0025250D">
        <w:rPr>
          <w:rFonts w:hint="cs"/>
          <w:rtl/>
        </w:rPr>
        <w:t>ی</w:t>
      </w:r>
      <w:r w:rsidRPr="0025250D">
        <w:rPr>
          <w:rFonts w:hint="eastAsia"/>
          <w:rtl/>
        </w:rPr>
        <w:t>ز</w:t>
      </w:r>
      <w:r w:rsidRPr="0025250D">
        <w:rPr>
          <w:rtl/>
        </w:rPr>
        <w:t xml:space="preserve"> </w:t>
      </w:r>
      <w:r w:rsidR="00923DDB" w:rsidRPr="0025250D">
        <w:rPr>
          <w:rtl/>
        </w:rPr>
        <w:t>دانشجویان</w:t>
      </w:r>
      <w:r w:rsidRPr="0025250D">
        <w:rPr>
          <w:rtl/>
        </w:rPr>
        <w:t>، مشاوران و متخصصان به مهارت‌ها</w:t>
      </w:r>
      <w:r w:rsidRPr="0025250D">
        <w:rPr>
          <w:rFonts w:hint="cs"/>
          <w:rtl/>
        </w:rPr>
        <w:t>ی</w:t>
      </w:r>
      <w:r w:rsidRPr="0025250D">
        <w:rPr>
          <w:rtl/>
        </w:rPr>
        <w:t xml:space="preserve"> موردنیاز</w:t>
      </w:r>
      <w:r w:rsidRPr="0025250D">
        <w:rPr>
          <w:rFonts w:hint="cs"/>
          <w:rtl/>
        </w:rPr>
        <w:t xml:space="preserve"> آن‌ها برای بقا و رشد</w:t>
      </w:r>
      <w:r w:rsidRPr="0025250D">
        <w:rPr>
          <w:rtl/>
        </w:rPr>
        <w:t xml:space="preserve"> در طول دهه 2020 و پس از آن خواهد بود.</w:t>
      </w:r>
    </w:p>
    <w:p w14:paraId="38DC30BD" w14:textId="77777777" w:rsidR="00B219EF" w:rsidRPr="0025250D" w:rsidRDefault="00B219EF" w:rsidP="004445C5">
      <w:pPr>
        <w:rPr>
          <w:rtl/>
        </w:rPr>
      </w:pPr>
      <w:r w:rsidRPr="0025250D">
        <w:rPr>
          <w:rtl/>
        </w:rPr>
        <w:t>ج</w:t>
      </w:r>
      <w:r w:rsidRPr="0025250D">
        <w:rPr>
          <w:rFonts w:hint="cs"/>
          <w:rtl/>
        </w:rPr>
        <w:t>ی</w:t>
      </w:r>
      <w:r w:rsidRPr="0025250D">
        <w:rPr>
          <w:rtl/>
        </w:rPr>
        <w:t xml:space="preserve"> گر</w:t>
      </w:r>
      <w:r w:rsidRPr="0025250D">
        <w:rPr>
          <w:rFonts w:hint="cs"/>
          <w:rtl/>
        </w:rPr>
        <w:t>ی</w:t>
      </w:r>
      <w:r w:rsidRPr="0025250D">
        <w:rPr>
          <w:vertAlign w:val="superscript"/>
          <w:rtl/>
        </w:rPr>
        <w:footnoteReference w:id="8"/>
      </w:r>
      <w:r w:rsidRPr="0025250D">
        <w:rPr>
          <w:rFonts w:hint="eastAsia"/>
          <w:rtl/>
        </w:rPr>
        <w:t>،</w:t>
      </w:r>
      <w:r w:rsidRPr="0025250D">
        <w:rPr>
          <w:rtl/>
        </w:rPr>
        <w:t xml:space="preserve"> دکتر</w:t>
      </w:r>
      <w:r w:rsidRPr="0025250D">
        <w:rPr>
          <w:rFonts w:hint="cs"/>
          <w:rtl/>
        </w:rPr>
        <w:t>ی</w:t>
      </w:r>
      <w:r w:rsidRPr="0025250D">
        <w:rPr>
          <w:rFonts w:hint="eastAsia"/>
          <w:rtl/>
        </w:rPr>
        <w:t>،</w:t>
      </w:r>
      <w:r w:rsidRPr="0025250D">
        <w:rPr>
          <w:rtl/>
        </w:rPr>
        <w:t xml:space="preserve"> </w:t>
      </w:r>
      <w:r w:rsidRPr="0025250D">
        <w:t>APF</w:t>
      </w:r>
    </w:p>
    <w:p w14:paraId="724692E8" w14:textId="77777777" w:rsidR="00B219EF" w:rsidRPr="0025250D" w:rsidRDefault="00B219EF" w:rsidP="004445C5">
      <w:pPr>
        <w:rPr>
          <w:rtl/>
        </w:rPr>
      </w:pPr>
      <w:r w:rsidRPr="0025250D">
        <w:rPr>
          <w:rtl/>
        </w:rPr>
        <w:t>رئ</w:t>
      </w:r>
      <w:r w:rsidRPr="0025250D">
        <w:rPr>
          <w:rFonts w:hint="cs"/>
          <w:rtl/>
        </w:rPr>
        <w:t>ی</w:t>
      </w:r>
      <w:r w:rsidRPr="0025250D">
        <w:rPr>
          <w:rFonts w:hint="eastAsia"/>
          <w:rtl/>
        </w:rPr>
        <w:t>س</w:t>
      </w:r>
      <w:r w:rsidRPr="0025250D">
        <w:rPr>
          <w:rtl/>
        </w:rPr>
        <w:t xml:space="preserve"> انجمن آینده‌پژوهان </w:t>
      </w:r>
      <w:r w:rsidRPr="0025250D">
        <w:rPr>
          <w:rFonts w:hint="cs"/>
          <w:rtl/>
        </w:rPr>
        <w:t>متخصص</w:t>
      </w:r>
      <w:r w:rsidRPr="0025250D">
        <w:rPr>
          <w:vertAlign w:val="superscript"/>
          <w:rtl/>
        </w:rPr>
        <w:footnoteReference w:id="9"/>
      </w:r>
    </w:p>
    <w:p w14:paraId="187EBCBA" w14:textId="77777777" w:rsidR="00B219EF" w:rsidRPr="0025250D" w:rsidRDefault="00B219EF" w:rsidP="004445C5">
      <w:pPr>
        <w:rPr>
          <w:rtl/>
        </w:rPr>
      </w:pPr>
      <w:r w:rsidRPr="0025250D">
        <w:rPr>
          <w:rtl/>
        </w:rPr>
        <w:t>ا</w:t>
      </w:r>
      <w:r w:rsidRPr="0025250D">
        <w:rPr>
          <w:rFonts w:hint="cs"/>
          <w:rtl/>
        </w:rPr>
        <w:t>ی</w:t>
      </w:r>
      <w:r w:rsidRPr="0025250D">
        <w:rPr>
          <w:rFonts w:hint="eastAsia"/>
          <w:rtl/>
        </w:rPr>
        <w:t>الت</w:t>
      </w:r>
      <w:r w:rsidRPr="0025250D">
        <w:rPr>
          <w:rtl/>
        </w:rPr>
        <w:t xml:space="preserve"> واشنگتن</w:t>
      </w:r>
    </w:p>
    <w:p w14:paraId="511AFB85" w14:textId="77777777" w:rsidR="00B219EF" w:rsidRPr="0025250D" w:rsidRDefault="00B219EF" w:rsidP="004445C5">
      <w:pPr>
        <w:rPr>
          <w:rtl/>
        </w:rPr>
      </w:pPr>
      <w:r w:rsidRPr="0025250D">
        <w:rPr>
          <w:rtl/>
        </w:rPr>
        <w:t>1 نوامبر 2020</w:t>
      </w:r>
    </w:p>
    <w:p w14:paraId="132FEFE4" w14:textId="77777777" w:rsidR="00B219EF" w:rsidRPr="0025250D" w:rsidRDefault="00B219EF" w:rsidP="004445C5">
      <w:pPr>
        <w:rPr>
          <w:rtl/>
        </w:rPr>
      </w:pPr>
    </w:p>
    <w:p w14:paraId="3112B7C0" w14:textId="77777777" w:rsidR="00B219EF" w:rsidRPr="0025250D" w:rsidRDefault="00B219EF" w:rsidP="004445C5">
      <w:pPr>
        <w:rPr>
          <w:rtl/>
        </w:rPr>
        <w:sectPr w:rsidR="00B219EF" w:rsidRPr="0025250D" w:rsidSect="00C12260">
          <w:footnotePr>
            <w:numRestart w:val="eachPage"/>
          </w:footnotePr>
          <w:pgSz w:w="11906" w:h="16838"/>
          <w:pgMar w:top="1418" w:right="1418" w:bottom="1418" w:left="1418" w:header="720" w:footer="720" w:gutter="0"/>
          <w:cols w:space="720"/>
          <w:bidi/>
          <w:rtlGutter/>
          <w:docGrid w:linePitch="360"/>
        </w:sectPr>
      </w:pPr>
    </w:p>
    <w:p w14:paraId="362003E3" w14:textId="4B2255D8" w:rsidR="00B219EF" w:rsidRPr="0025250D" w:rsidRDefault="00B219EF" w:rsidP="004445C5">
      <w:pPr>
        <w:rPr>
          <w:b/>
          <w:bCs/>
          <w:rtl/>
        </w:rPr>
      </w:pPr>
      <w:r w:rsidRPr="0025250D">
        <w:rPr>
          <w:rFonts w:hint="cs"/>
          <w:b/>
          <w:bCs/>
          <w:rtl/>
        </w:rPr>
        <w:lastRenderedPageBreak/>
        <w:t>این کتاب برای چه کسی مناسب است؟</w:t>
      </w:r>
    </w:p>
    <w:p w14:paraId="0541EBB8" w14:textId="778FD178" w:rsidR="00B219EF" w:rsidRPr="0025250D" w:rsidRDefault="00B219EF" w:rsidP="000F5D90">
      <w:pPr>
        <w:rPr>
          <w:rtl/>
        </w:rPr>
      </w:pPr>
      <w:r w:rsidRPr="0025250D">
        <w:rPr>
          <w:rtl/>
        </w:rPr>
        <w:t>ا</w:t>
      </w:r>
      <w:r w:rsidRPr="0025250D">
        <w:rPr>
          <w:rFonts w:hint="cs"/>
          <w:rtl/>
        </w:rPr>
        <w:t>ی</w:t>
      </w:r>
      <w:r w:rsidRPr="0025250D">
        <w:rPr>
          <w:rFonts w:hint="eastAsia"/>
          <w:rtl/>
        </w:rPr>
        <w:t>ن</w:t>
      </w:r>
      <w:r w:rsidRPr="0025250D">
        <w:rPr>
          <w:rtl/>
        </w:rPr>
        <w:t xml:space="preserve"> کتاب، </w:t>
      </w:r>
      <w:r w:rsidR="0008287D" w:rsidRPr="0025250D">
        <w:rPr>
          <w:rFonts w:hint="cs"/>
          <w:rtl/>
        </w:rPr>
        <w:t xml:space="preserve">با عنوان </w:t>
      </w:r>
      <w:r w:rsidRPr="0025250D">
        <w:rPr>
          <w:rtl/>
        </w:rPr>
        <w:t>مقدمه‌ا</w:t>
      </w:r>
      <w:r w:rsidRPr="0025250D">
        <w:rPr>
          <w:rFonts w:hint="cs"/>
          <w:rtl/>
        </w:rPr>
        <w:t>ی</w:t>
      </w:r>
      <w:r w:rsidRPr="0025250D">
        <w:rPr>
          <w:rtl/>
        </w:rPr>
        <w:t xml:space="preserve"> بر آ</w:t>
      </w:r>
      <w:r w:rsidRPr="0025250D">
        <w:rPr>
          <w:rFonts w:hint="cs"/>
          <w:rtl/>
        </w:rPr>
        <w:t>ی</w:t>
      </w:r>
      <w:r w:rsidRPr="0025250D">
        <w:rPr>
          <w:rFonts w:hint="eastAsia"/>
          <w:rtl/>
        </w:rPr>
        <w:t>نده‌نگار</w:t>
      </w:r>
      <w:r w:rsidRPr="0025250D">
        <w:rPr>
          <w:rFonts w:hint="cs"/>
          <w:rtl/>
        </w:rPr>
        <w:t>ی</w:t>
      </w:r>
      <w:r w:rsidRPr="0025250D">
        <w:rPr>
          <w:rFonts w:hint="eastAsia"/>
          <w:rtl/>
        </w:rPr>
        <w:t>،</w:t>
      </w:r>
      <w:r w:rsidRPr="0025250D">
        <w:rPr>
          <w:rtl/>
        </w:rPr>
        <w:t xml:space="preserve"> نسخه اجرا</w:t>
      </w:r>
      <w:r w:rsidRPr="0025250D">
        <w:rPr>
          <w:rFonts w:hint="cs"/>
          <w:rtl/>
        </w:rPr>
        <w:t>یی</w:t>
      </w:r>
      <w:r w:rsidRPr="0025250D">
        <w:rPr>
          <w:rFonts w:hint="eastAsia"/>
          <w:rtl/>
        </w:rPr>
        <w:t>،</w:t>
      </w:r>
      <w:r w:rsidRPr="0025250D">
        <w:rPr>
          <w:rtl/>
        </w:rPr>
        <w:t xml:space="preserve"> عمدتاً برا</w:t>
      </w:r>
      <w:r w:rsidRPr="0025250D">
        <w:rPr>
          <w:rFonts w:hint="cs"/>
          <w:rtl/>
        </w:rPr>
        <w:t>ی</w:t>
      </w:r>
      <w:r w:rsidRPr="0025250D">
        <w:rPr>
          <w:rtl/>
        </w:rPr>
        <w:t xml:space="preserve"> مد</w:t>
      </w:r>
      <w:r w:rsidRPr="0025250D">
        <w:rPr>
          <w:rFonts w:hint="cs"/>
          <w:rtl/>
        </w:rPr>
        <w:t>ی</w:t>
      </w:r>
      <w:r w:rsidRPr="0025250D">
        <w:rPr>
          <w:rFonts w:hint="eastAsia"/>
          <w:rtl/>
        </w:rPr>
        <w:t>ران</w:t>
      </w:r>
      <w:r w:rsidRPr="0025250D">
        <w:rPr>
          <w:rtl/>
        </w:rPr>
        <w:t xml:space="preserve"> اجرا</w:t>
      </w:r>
      <w:r w:rsidRPr="0025250D">
        <w:rPr>
          <w:rFonts w:hint="cs"/>
          <w:rtl/>
        </w:rPr>
        <w:t>یی</w:t>
      </w:r>
      <w:r w:rsidRPr="0025250D">
        <w:rPr>
          <w:rFonts w:hint="eastAsia"/>
          <w:rtl/>
        </w:rPr>
        <w:t>،</w:t>
      </w:r>
      <w:r w:rsidRPr="0025250D">
        <w:rPr>
          <w:rtl/>
        </w:rPr>
        <w:t xml:space="preserve"> رهبران و خودرهبران</w:t>
      </w:r>
      <w:r w:rsidR="0008287D" w:rsidRPr="0025250D">
        <w:rPr>
          <w:rStyle w:val="FootnoteReference"/>
          <w:rtl/>
        </w:rPr>
        <w:footnoteReference w:id="10"/>
      </w:r>
      <w:r w:rsidRPr="0025250D">
        <w:rPr>
          <w:rtl/>
        </w:rPr>
        <w:t xml:space="preserve"> در هر صنعت</w:t>
      </w:r>
      <w:r w:rsidRPr="0025250D">
        <w:rPr>
          <w:rFonts w:hint="cs"/>
          <w:rtl/>
        </w:rPr>
        <w:t>ی</w:t>
      </w:r>
      <w:r w:rsidRPr="0025250D">
        <w:rPr>
          <w:rtl/>
        </w:rPr>
        <w:t xml:space="preserve"> نوشته شده است و به دنبال مقدمه‌ا</w:t>
      </w:r>
      <w:r w:rsidRPr="0025250D">
        <w:rPr>
          <w:rFonts w:hint="cs"/>
          <w:rtl/>
        </w:rPr>
        <w:t>ی</w:t>
      </w:r>
      <w:r w:rsidRPr="0025250D">
        <w:rPr>
          <w:rtl/>
        </w:rPr>
        <w:t xml:space="preserve"> مختصر اما اساس</w:t>
      </w:r>
      <w:r w:rsidRPr="0025250D">
        <w:rPr>
          <w:rFonts w:hint="cs"/>
          <w:rtl/>
        </w:rPr>
        <w:t>ی</w:t>
      </w:r>
      <w:r w:rsidRPr="0025250D">
        <w:rPr>
          <w:rtl/>
        </w:rPr>
        <w:t xml:space="preserve"> برا</w:t>
      </w:r>
      <w:r w:rsidRPr="0025250D">
        <w:rPr>
          <w:rFonts w:hint="cs"/>
          <w:rtl/>
        </w:rPr>
        <w:t>ی</w:t>
      </w:r>
      <w:r w:rsidRPr="0025250D">
        <w:rPr>
          <w:rtl/>
        </w:rPr>
        <w:t xml:space="preserve"> </w:t>
      </w:r>
      <w:r w:rsidRPr="0025250D">
        <w:rPr>
          <w:rFonts w:hint="cs"/>
          <w:rtl/>
        </w:rPr>
        <w:t>کار</w:t>
      </w:r>
      <w:r w:rsidRPr="0025250D">
        <w:rPr>
          <w:rtl/>
        </w:rPr>
        <w:t xml:space="preserve"> آ</w:t>
      </w:r>
      <w:r w:rsidRPr="0025250D">
        <w:rPr>
          <w:rFonts w:hint="cs"/>
          <w:rtl/>
        </w:rPr>
        <w:t>ی</w:t>
      </w:r>
      <w:r w:rsidRPr="0025250D">
        <w:rPr>
          <w:rFonts w:hint="eastAsia"/>
          <w:rtl/>
        </w:rPr>
        <w:t>نده‌نگار</w:t>
      </w:r>
      <w:r w:rsidRPr="0025250D">
        <w:rPr>
          <w:rFonts w:hint="cs"/>
          <w:rtl/>
        </w:rPr>
        <w:t>ی</w:t>
      </w:r>
      <w:r w:rsidRPr="0025250D">
        <w:rPr>
          <w:rtl/>
        </w:rPr>
        <w:t xml:space="preserve"> </w:t>
      </w:r>
      <w:r w:rsidRPr="0025250D">
        <w:rPr>
          <w:rFonts w:hint="cs"/>
          <w:rtl/>
        </w:rPr>
        <w:t>تخصصی</w:t>
      </w:r>
      <w:r w:rsidRPr="0025250D">
        <w:rPr>
          <w:rtl/>
        </w:rPr>
        <w:t xml:space="preserve"> برا</w:t>
      </w:r>
      <w:r w:rsidRPr="0025250D">
        <w:rPr>
          <w:rFonts w:hint="cs"/>
          <w:rtl/>
        </w:rPr>
        <w:t>ی</w:t>
      </w:r>
      <w:r w:rsidRPr="0025250D">
        <w:rPr>
          <w:rtl/>
        </w:rPr>
        <w:t xml:space="preserve"> </w:t>
      </w:r>
      <w:r w:rsidR="000F5D90" w:rsidRPr="0025250D">
        <w:rPr>
          <w:rFonts w:hint="cs"/>
          <w:rtl/>
        </w:rPr>
        <w:t>افراد</w:t>
      </w:r>
      <w:r w:rsidRPr="0025250D">
        <w:rPr>
          <w:rtl/>
        </w:rPr>
        <w:t>، ت</w:t>
      </w:r>
      <w:r w:rsidRPr="0025250D">
        <w:rPr>
          <w:rFonts w:hint="cs"/>
          <w:rtl/>
        </w:rPr>
        <w:t>ی</w:t>
      </w:r>
      <w:r w:rsidRPr="0025250D">
        <w:rPr>
          <w:rFonts w:hint="eastAsia"/>
          <w:rtl/>
        </w:rPr>
        <w:t>م‌ها</w:t>
      </w:r>
      <w:r w:rsidRPr="0025250D">
        <w:rPr>
          <w:rtl/>
        </w:rPr>
        <w:t xml:space="preserve"> و شرکت‌ها است.</w:t>
      </w:r>
      <w:r w:rsidRPr="0025250D">
        <w:rPr>
          <w:rFonts w:hint="cs"/>
          <w:rtl/>
        </w:rPr>
        <w:t xml:space="preserve"> این کتاب </w:t>
      </w:r>
      <w:r w:rsidRPr="0025250D">
        <w:rPr>
          <w:rtl/>
        </w:rPr>
        <w:t>راه‌ها</w:t>
      </w:r>
      <w:r w:rsidRPr="0025250D">
        <w:rPr>
          <w:rFonts w:hint="cs"/>
          <w:rtl/>
        </w:rPr>
        <w:t>ی</w:t>
      </w:r>
      <w:r w:rsidRPr="0025250D">
        <w:rPr>
          <w:rtl/>
        </w:rPr>
        <w:t xml:space="preserve"> کل</w:t>
      </w:r>
      <w:r w:rsidRPr="0025250D">
        <w:rPr>
          <w:rFonts w:hint="cs"/>
          <w:rtl/>
        </w:rPr>
        <w:t>ی</w:t>
      </w:r>
      <w:r w:rsidRPr="0025250D">
        <w:rPr>
          <w:rFonts w:hint="eastAsia"/>
          <w:rtl/>
        </w:rPr>
        <w:t>د</w:t>
      </w:r>
      <w:r w:rsidRPr="0025250D">
        <w:rPr>
          <w:rFonts w:hint="cs"/>
          <w:rtl/>
        </w:rPr>
        <w:t>ی</w:t>
      </w:r>
      <w:r w:rsidRPr="0025250D">
        <w:rPr>
          <w:rtl/>
        </w:rPr>
        <w:t xml:space="preserve"> برا</w:t>
      </w:r>
      <w:r w:rsidRPr="0025250D">
        <w:rPr>
          <w:rFonts w:hint="cs"/>
          <w:rtl/>
        </w:rPr>
        <w:t>ی</w:t>
      </w:r>
      <w:r w:rsidRPr="0025250D">
        <w:rPr>
          <w:rtl/>
        </w:rPr>
        <w:t xml:space="preserve"> تفکر </w:t>
      </w:r>
      <w:r w:rsidR="00AE5BE0" w:rsidRPr="0025250D">
        <w:rPr>
          <w:rFonts w:hint="cs"/>
          <w:rtl/>
        </w:rPr>
        <w:t>منطبق‌تر</w:t>
      </w:r>
      <w:r w:rsidRPr="0025250D">
        <w:rPr>
          <w:rtl/>
        </w:rPr>
        <w:t xml:space="preserve"> درباره آ</w:t>
      </w:r>
      <w:r w:rsidRPr="0025250D">
        <w:rPr>
          <w:rFonts w:hint="cs"/>
          <w:rtl/>
        </w:rPr>
        <w:t>ی</w:t>
      </w:r>
      <w:r w:rsidRPr="0025250D">
        <w:rPr>
          <w:rFonts w:hint="eastAsia"/>
          <w:rtl/>
        </w:rPr>
        <w:t>نده</w:t>
      </w:r>
      <w:r w:rsidRPr="0025250D">
        <w:rPr>
          <w:rtl/>
        </w:rPr>
        <w:t xml:space="preserve"> و مجموعه‌ا</w:t>
      </w:r>
      <w:r w:rsidRPr="0025250D">
        <w:rPr>
          <w:rFonts w:hint="cs"/>
          <w:rtl/>
        </w:rPr>
        <w:t>ی</w:t>
      </w:r>
      <w:r w:rsidRPr="0025250D">
        <w:rPr>
          <w:rtl/>
        </w:rPr>
        <w:t xml:space="preserve"> از جهان‌ب</w:t>
      </w:r>
      <w:r w:rsidRPr="0025250D">
        <w:rPr>
          <w:rFonts w:hint="cs"/>
          <w:rtl/>
        </w:rPr>
        <w:t>ی</w:t>
      </w:r>
      <w:r w:rsidRPr="0025250D">
        <w:rPr>
          <w:rFonts w:hint="eastAsia"/>
          <w:rtl/>
        </w:rPr>
        <w:t>ن</w:t>
      </w:r>
      <w:r w:rsidRPr="0025250D">
        <w:rPr>
          <w:rFonts w:hint="cs"/>
          <w:rtl/>
        </w:rPr>
        <w:t>ی‌</w:t>
      </w:r>
      <w:r w:rsidRPr="0025250D">
        <w:rPr>
          <w:rFonts w:hint="eastAsia"/>
          <w:rtl/>
        </w:rPr>
        <w:t>ها</w:t>
      </w:r>
      <w:r w:rsidRPr="0025250D">
        <w:rPr>
          <w:rFonts w:hint="cs"/>
          <w:rtl/>
        </w:rPr>
        <w:t>ی</w:t>
      </w:r>
      <w:r w:rsidRPr="0025250D">
        <w:rPr>
          <w:rtl/>
        </w:rPr>
        <w:t xml:space="preserve"> مبتن</w:t>
      </w:r>
      <w:r w:rsidRPr="0025250D">
        <w:rPr>
          <w:rFonts w:hint="cs"/>
          <w:rtl/>
        </w:rPr>
        <w:t>ی</w:t>
      </w:r>
      <w:r w:rsidRPr="0025250D">
        <w:rPr>
          <w:rtl/>
        </w:rPr>
        <w:t xml:space="preserve"> بر شواهد، چارچوب‌ها، روندها، پ</w:t>
      </w:r>
      <w:r w:rsidRPr="0025250D">
        <w:rPr>
          <w:rFonts w:hint="cs"/>
          <w:rtl/>
        </w:rPr>
        <w:t>ی</w:t>
      </w:r>
      <w:r w:rsidRPr="0025250D">
        <w:rPr>
          <w:rFonts w:hint="eastAsia"/>
          <w:rtl/>
        </w:rPr>
        <w:t>ش‌ب</w:t>
      </w:r>
      <w:r w:rsidRPr="0025250D">
        <w:rPr>
          <w:rFonts w:hint="cs"/>
          <w:rtl/>
        </w:rPr>
        <w:t>ی</w:t>
      </w:r>
      <w:r w:rsidRPr="0025250D">
        <w:rPr>
          <w:rFonts w:hint="eastAsia"/>
          <w:rtl/>
        </w:rPr>
        <w:t>ن</w:t>
      </w:r>
      <w:r w:rsidRPr="0025250D">
        <w:rPr>
          <w:rFonts w:hint="cs"/>
          <w:rtl/>
        </w:rPr>
        <w:t>ی‌</w:t>
      </w:r>
      <w:r w:rsidRPr="0025250D">
        <w:rPr>
          <w:rFonts w:hint="eastAsia"/>
          <w:rtl/>
        </w:rPr>
        <w:t>ها</w:t>
      </w:r>
      <w:r w:rsidRPr="0025250D">
        <w:rPr>
          <w:rtl/>
        </w:rPr>
        <w:t xml:space="preserve"> و داستان‌های مربوط به قرن ب</w:t>
      </w:r>
      <w:r w:rsidRPr="0025250D">
        <w:rPr>
          <w:rFonts w:hint="cs"/>
          <w:rtl/>
        </w:rPr>
        <w:t>ی</w:t>
      </w:r>
      <w:r w:rsidRPr="0025250D">
        <w:rPr>
          <w:rFonts w:hint="eastAsia"/>
          <w:rtl/>
        </w:rPr>
        <w:t>ست</w:t>
      </w:r>
      <w:r w:rsidRPr="0025250D">
        <w:rPr>
          <w:rtl/>
        </w:rPr>
        <w:t xml:space="preserve"> و </w:t>
      </w:r>
      <w:r w:rsidRPr="0025250D">
        <w:rPr>
          <w:rFonts w:hint="cs"/>
          <w:rtl/>
        </w:rPr>
        <w:t>ی</w:t>
      </w:r>
      <w:r w:rsidRPr="0025250D">
        <w:rPr>
          <w:rFonts w:hint="eastAsia"/>
          <w:rtl/>
        </w:rPr>
        <w:t>کم</w:t>
      </w:r>
      <w:r w:rsidRPr="0025250D">
        <w:rPr>
          <w:rtl/>
        </w:rPr>
        <w:t xml:space="preserve"> را معرف</w:t>
      </w:r>
      <w:r w:rsidRPr="0025250D">
        <w:rPr>
          <w:rFonts w:hint="cs"/>
          <w:rtl/>
        </w:rPr>
        <w:t>ی</w:t>
      </w:r>
      <w:r w:rsidRPr="0025250D">
        <w:rPr>
          <w:rtl/>
        </w:rPr>
        <w:t xml:space="preserve"> م</w:t>
      </w:r>
      <w:r w:rsidRPr="0025250D">
        <w:rPr>
          <w:rFonts w:hint="cs"/>
          <w:rtl/>
        </w:rPr>
        <w:t>ی‌</w:t>
      </w:r>
      <w:r w:rsidRPr="0025250D">
        <w:rPr>
          <w:rFonts w:hint="eastAsia"/>
          <w:rtl/>
        </w:rPr>
        <w:t>کند</w:t>
      </w:r>
      <w:r w:rsidRPr="0025250D">
        <w:rPr>
          <w:rtl/>
        </w:rPr>
        <w:t>.</w:t>
      </w:r>
      <w:r w:rsidRPr="0025250D">
        <w:rPr>
          <w:rFonts w:hint="cs"/>
          <w:rtl/>
        </w:rPr>
        <w:t xml:space="preserve"> </w:t>
      </w:r>
      <w:r w:rsidRPr="0025250D">
        <w:rPr>
          <w:rtl/>
        </w:rPr>
        <w:t>همچن</w:t>
      </w:r>
      <w:r w:rsidRPr="0025250D">
        <w:rPr>
          <w:rFonts w:hint="cs"/>
          <w:rtl/>
        </w:rPr>
        <w:t>ی</w:t>
      </w:r>
      <w:r w:rsidRPr="0025250D">
        <w:rPr>
          <w:rFonts w:hint="eastAsia"/>
          <w:rtl/>
        </w:rPr>
        <w:t>ن</w:t>
      </w:r>
      <w:r w:rsidRPr="0025250D">
        <w:rPr>
          <w:rtl/>
        </w:rPr>
        <w:t xml:space="preserve"> </w:t>
      </w:r>
      <w:r w:rsidRPr="0025250D">
        <w:rPr>
          <w:rFonts w:hint="cs"/>
          <w:rtl/>
        </w:rPr>
        <w:t>ی</w:t>
      </w:r>
      <w:r w:rsidRPr="0025250D">
        <w:rPr>
          <w:rFonts w:hint="eastAsia"/>
          <w:rtl/>
        </w:rPr>
        <w:t>ک</w:t>
      </w:r>
      <w:r w:rsidRPr="0025250D">
        <w:rPr>
          <w:rtl/>
        </w:rPr>
        <w:t xml:space="preserve"> نسخه دانشجو</w:t>
      </w:r>
      <w:r w:rsidR="0090736C" w:rsidRPr="0025250D">
        <w:rPr>
          <w:rFonts w:hint="cs"/>
          <w:rtl/>
        </w:rPr>
        <w:t>یی</w:t>
      </w:r>
      <w:r w:rsidRPr="0025250D">
        <w:rPr>
          <w:rtl/>
        </w:rPr>
        <w:t xml:space="preserve"> از ا</w:t>
      </w:r>
      <w:r w:rsidRPr="0025250D">
        <w:rPr>
          <w:rFonts w:hint="cs"/>
          <w:rtl/>
        </w:rPr>
        <w:t>ی</w:t>
      </w:r>
      <w:r w:rsidRPr="0025250D">
        <w:rPr>
          <w:rFonts w:hint="eastAsia"/>
          <w:rtl/>
        </w:rPr>
        <w:t>ن</w:t>
      </w:r>
      <w:r w:rsidRPr="0025250D">
        <w:rPr>
          <w:rtl/>
        </w:rPr>
        <w:t xml:space="preserve"> کتاب، برا</w:t>
      </w:r>
      <w:r w:rsidRPr="0025250D">
        <w:rPr>
          <w:rFonts w:hint="cs"/>
          <w:rtl/>
        </w:rPr>
        <w:t>ی</w:t>
      </w:r>
      <w:r w:rsidRPr="0025250D">
        <w:rPr>
          <w:rtl/>
        </w:rPr>
        <w:t xml:space="preserve"> دانشجو</w:t>
      </w:r>
      <w:r w:rsidRPr="0025250D">
        <w:rPr>
          <w:rFonts w:hint="cs"/>
          <w:rtl/>
        </w:rPr>
        <w:t>ی</w:t>
      </w:r>
      <w:r w:rsidRPr="0025250D">
        <w:rPr>
          <w:rFonts w:hint="eastAsia"/>
          <w:rtl/>
        </w:rPr>
        <w:t>ان</w:t>
      </w:r>
      <w:r w:rsidRPr="0025250D">
        <w:rPr>
          <w:rtl/>
        </w:rPr>
        <w:t xml:space="preserve"> و رهبران</w:t>
      </w:r>
      <w:r w:rsidRPr="0025250D">
        <w:rPr>
          <w:rFonts w:hint="cs"/>
          <w:rtl/>
        </w:rPr>
        <w:t>ی</w:t>
      </w:r>
      <w:r w:rsidRPr="0025250D">
        <w:rPr>
          <w:rtl/>
        </w:rPr>
        <w:t xml:space="preserve"> که به دنبال </w:t>
      </w:r>
      <w:r w:rsidRPr="0025250D">
        <w:rPr>
          <w:rFonts w:hint="cs"/>
          <w:rtl/>
        </w:rPr>
        <w:t>پرداختن عمیق</w:t>
      </w:r>
      <w:r w:rsidRPr="0025250D">
        <w:rPr>
          <w:rtl/>
        </w:rPr>
        <w:t xml:space="preserve"> ب</w:t>
      </w:r>
      <w:r w:rsidRPr="0025250D">
        <w:rPr>
          <w:rFonts w:hint="cs"/>
          <w:rtl/>
        </w:rPr>
        <w:t>ه</w:t>
      </w:r>
      <w:r w:rsidRPr="0025250D">
        <w:rPr>
          <w:rtl/>
        </w:rPr>
        <w:t xml:space="preserve"> ا</w:t>
      </w:r>
      <w:r w:rsidRPr="0025250D">
        <w:rPr>
          <w:rFonts w:hint="cs"/>
          <w:rtl/>
        </w:rPr>
        <w:t>ی</w:t>
      </w:r>
      <w:r w:rsidRPr="0025250D">
        <w:rPr>
          <w:rFonts w:hint="eastAsia"/>
          <w:rtl/>
        </w:rPr>
        <w:t>ن</w:t>
      </w:r>
      <w:r w:rsidRPr="0025250D">
        <w:rPr>
          <w:rtl/>
        </w:rPr>
        <w:t xml:space="preserve"> موضوعات هستند، </w:t>
      </w:r>
      <w:r w:rsidR="0008287D" w:rsidRPr="0025250D">
        <w:rPr>
          <w:rFonts w:hint="cs"/>
          <w:rtl/>
        </w:rPr>
        <w:t>منتشر شده است</w:t>
      </w:r>
      <w:r w:rsidRPr="0025250D">
        <w:rPr>
          <w:rtl/>
        </w:rPr>
        <w:t>. ا</w:t>
      </w:r>
      <w:r w:rsidRPr="0025250D">
        <w:rPr>
          <w:rFonts w:hint="cs"/>
          <w:rtl/>
        </w:rPr>
        <w:t>ی</w:t>
      </w:r>
      <w:r w:rsidRPr="0025250D">
        <w:rPr>
          <w:rFonts w:hint="eastAsia"/>
          <w:rtl/>
        </w:rPr>
        <w:t>ن</w:t>
      </w:r>
      <w:r w:rsidRPr="0025250D">
        <w:rPr>
          <w:rtl/>
        </w:rPr>
        <w:t xml:space="preserve"> نسخه شامل شش فصل اضاف</w:t>
      </w:r>
      <w:r w:rsidRPr="0025250D">
        <w:rPr>
          <w:rFonts w:hint="cs"/>
          <w:rtl/>
        </w:rPr>
        <w:t>ی</w:t>
      </w:r>
      <w:r w:rsidRPr="0025250D">
        <w:rPr>
          <w:rtl/>
        </w:rPr>
        <w:t xml:space="preserve"> در مورد موضوعات آینده‌نگاری </w:t>
      </w:r>
      <w:r w:rsidR="001A3F0A" w:rsidRPr="0025250D">
        <w:rPr>
          <w:rtl/>
        </w:rPr>
        <w:t>فردی</w:t>
      </w:r>
      <w:r w:rsidRPr="0025250D">
        <w:rPr>
          <w:vertAlign w:val="superscript"/>
          <w:rtl/>
        </w:rPr>
        <w:footnoteReference w:id="11"/>
      </w:r>
      <w:r w:rsidRPr="0025250D">
        <w:rPr>
          <w:rtl/>
        </w:rPr>
        <w:t xml:space="preserve"> (خودرهبر</w:t>
      </w:r>
      <w:r w:rsidRPr="0025250D">
        <w:rPr>
          <w:rFonts w:hint="cs"/>
          <w:rtl/>
        </w:rPr>
        <w:t>ی</w:t>
      </w:r>
      <w:r w:rsidRPr="0025250D">
        <w:rPr>
          <w:rtl/>
        </w:rPr>
        <w:t>)، آینده‌نگاری دپارتمان</w:t>
      </w:r>
      <w:r w:rsidRPr="0025250D">
        <w:rPr>
          <w:vertAlign w:val="superscript"/>
          <w:rtl/>
        </w:rPr>
        <w:footnoteReference w:id="12"/>
      </w:r>
      <w:r w:rsidRPr="0025250D">
        <w:rPr>
          <w:rtl/>
        </w:rPr>
        <w:t>، مدل‌های آینده‌نگاری</w:t>
      </w:r>
      <w:r w:rsidRPr="0025250D">
        <w:rPr>
          <w:rFonts w:hint="eastAsia"/>
          <w:rtl/>
        </w:rPr>
        <w:t>،</w:t>
      </w:r>
      <w:r w:rsidRPr="0025250D">
        <w:rPr>
          <w:rtl/>
        </w:rPr>
        <w:t xml:space="preserve"> منحنی‌های رشد و سوگیری‌های آینده‌نگاری و تله‌های عمل</w:t>
      </w:r>
      <w:r w:rsidRPr="0025250D">
        <w:rPr>
          <w:rFonts w:hint="cs"/>
          <w:rtl/>
        </w:rPr>
        <w:t>ی می‌باشد</w:t>
      </w:r>
      <w:r w:rsidRPr="0025250D">
        <w:rPr>
          <w:rtl/>
        </w:rPr>
        <w:t>.</w:t>
      </w:r>
    </w:p>
    <w:p w14:paraId="4CFC9390" w14:textId="462687C7" w:rsidR="00B219EF" w:rsidRPr="0025250D" w:rsidRDefault="00B219EF" w:rsidP="004445C5">
      <w:pPr>
        <w:rPr>
          <w:rtl/>
        </w:rPr>
      </w:pPr>
      <w:r w:rsidRPr="0025250D">
        <w:rPr>
          <w:rtl/>
        </w:rPr>
        <w:t>ما معتقد</w:t>
      </w:r>
      <w:r w:rsidRPr="0025250D">
        <w:rPr>
          <w:rFonts w:hint="cs"/>
          <w:rtl/>
        </w:rPr>
        <w:t>ی</w:t>
      </w:r>
      <w:r w:rsidRPr="0025250D">
        <w:rPr>
          <w:rFonts w:hint="eastAsia"/>
          <w:rtl/>
        </w:rPr>
        <w:t>م</w:t>
      </w:r>
      <w:r w:rsidRPr="0025250D">
        <w:rPr>
          <w:rtl/>
        </w:rPr>
        <w:t xml:space="preserve"> که ه</w:t>
      </w:r>
      <w:r w:rsidRPr="0025250D">
        <w:rPr>
          <w:rFonts w:hint="cs"/>
          <w:rtl/>
        </w:rPr>
        <w:t>ی</w:t>
      </w:r>
      <w:r w:rsidRPr="0025250D">
        <w:rPr>
          <w:rFonts w:hint="eastAsia"/>
          <w:rtl/>
        </w:rPr>
        <w:t>چ</w:t>
      </w:r>
      <w:r w:rsidRPr="0025250D">
        <w:rPr>
          <w:rtl/>
        </w:rPr>
        <w:t xml:space="preserve"> نقشه بهتر</w:t>
      </w:r>
      <w:r w:rsidRPr="0025250D">
        <w:rPr>
          <w:rFonts w:hint="cs"/>
          <w:rtl/>
        </w:rPr>
        <w:t>ی</w:t>
      </w:r>
      <w:r w:rsidRPr="0025250D">
        <w:rPr>
          <w:rtl/>
        </w:rPr>
        <w:t xml:space="preserve"> برا</w:t>
      </w:r>
      <w:r w:rsidRPr="0025250D">
        <w:rPr>
          <w:rFonts w:hint="cs"/>
          <w:rtl/>
        </w:rPr>
        <w:t>ی</w:t>
      </w:r>
      <w:r w:rsidRPr="0025250D">
        <w:rPr>
          <w:rtl/>
        </w:rPr>
        <w:t xml:space="preserve"> پ</w:t>
      </w:r>
      <w:r w:rsidRPr="0025250D">
        <w:rPr>
          <w:rFonts w:hint="cs"/>
          <w:rtl/>
        </w:rPr>
        <w:t>ی</w:t>
      </w:r>
      <w:r w:rsidRPr="0025250D">
        <w:rPr>
          <w:rFonts w:hint="eastAsia"/>
          <w:rtl/>
        </w:rPr>
        <w:t>ش‌</w:t>
      </w:r>
      <w:r w:rsidRPr="0025250D">
        <w:rPr>
          <w:rFonts w:hint="cs"/>
          <w:rtl/>
        </w:rPr>
        <w:t>انگاری</w:t>
      </w:r>
      <w:r w:rsidRPr="0025250D">
        <w:rPr>
          <w:rFonts w:hint="eastAsia"/>
          <w:rtl/>
        </w:rPr>
        <w:t>،</w:t>
      </w:r>
      <w:r w:rsidRPr="0025250D">
        <w:rPr>
          <w:rtl/>
        </w:rPr>
        <w:t xml:space="preserve"> ا</w:t>
      </w:r>
      <w:r w:rsidRPr="0025250D">
        <w:rPr>
          <w:rFonts w:hint="cs"/>
          <w:rtl/>
        </w:rPr>
        <w:t>ی</w:t>
      </w:r>
      <w:r w:rsidRPr="0025250D">
        <w:rPr>
          <w:rFonts w:hint="eastAsia"/>
          <w:rtl/>
        </w:rPr>
        <w:t>جاد</w:t>
      </w:r>
      <w:r w:rsidRPr="0025250D">
        <w:rPr>
          <w:rtl/>
        </w:rPr>
        <w:t xml:space="preserve"> و رهبر</w:t>
      </w:r>
      <w:r w:rsidRPr="0025250D">
        <w:rPr>
          <w:rFonts w:hint="cs"/>
          <w:rtl/>
        </w:rPr>
        <w:t>ی</w:t>
      </w:r>
      <w:r w:rsidR="0008287D" w:rsidRPr="0025250D">
        <w:rPr>
          <w:rFonts w:hint="cs"/>
          <w:rtl/>
        </w:rPr>
        <w:t xml:space="preserve"> </w:t>
      </w:r>
      <w:r w:rsidR="0008287D" w:rsidRPr="0025250D">
        <w:rPr>
          <w:rtl/>
        </w:rPr>
        <w:t>آ</w:t>
      </w:r>
      <w:r w:rsidR="0008287D" w:rsidRPr="0025250D">
        <w:rPr>
          <w:rFonts w:hint="cs"/>
          <w:rtl/>
        </w:rPr>
        <w:t>ی</w:t>
      </w:r>
      <w:r w:rsidR="0008287D" w:rsidRPr="0025250D">
        <w:rPr>
          <w:rFonts w:hint="eastAsia"/>
          <w:rtl/>
        </w:rPr>
        <w:t>نده</w:t>
      </w:r>
      <w:r w:rsidR="0008287D" w:rsidRPr="0025250D">
        <w:rPr>
          <w:rtl/>
        </w:rPr>
        <w:t xml:space="preserve"> </w:t>
      </w:r>
      <w:r w:rsidRPr="0025250D">
        <w:rPr>
          <w:rtl/>
        </w:rPr>
        <w:t>برا</w:t>
      </w:r>
      <w:r w:rsidRPr="0025250D">
        <w:rPr>
          <w:rFonts w:hint="cs"/>
          <w:rtl/>
        </w:rPr>
        <w:t>ی</w:t>
      </w:r>
      <w:r w:rsidRPr="0025250D">
        <w:rPr>
          <w:rtl/>
        </w:rPr>
        <w:t xml:space="preserve"> خودتان، خانواده‌تان، ت</w:t>
      </w:r>
      <w:r w:rsidRPr="0025250D">
        <w:rPr>
          <w:rFonts w:hint="cs"/>
          <w:rtl/>
        </w:rPr>
        <w:t>ی</w:t>
      </w:r>
      <w:r w:rsidRPr="0025250D">
        <w:rPr>
          <w:rFonts w:hint="eastAsia"/>
          <w:rtl/>
        </w:rPr>
        <w:t>م‌ها</w:t>
      </w:r>
      <w:r w:rsidRPr="0025250D">
        <w:rPr>
          <w:rFonts w:hint="cs"/>
          <w:rtl/>
        </w:rPr>
        <w:t>ی</w:t>
      </w:r>
      <w:r w:rsidRPr="0025250D">
        <w:rPr>
          <w:rFonts w:hint="eastAsia"/>
          <w:rtl/>
        </w:rPr>
        <w:t>تان،</w:t>
      </w:r>
      <w:r w:rsidRPr="0025250D">
        <w:rPr>
          <w:rtl/>
        </w:rPr>
        <w:t xml:space="preserve"> سازمان‌ها</w:t>
      </w:r>
      <w:r w:rsidRPr="0025250D">
        <w:rPr>
          <w:rFonts w:hint="cs"/>
          <w:rtl/>
        </w:rPr>
        <w:t>ی</w:t>
      </w:r>
      <w:r w:rsidRPr="0025250D">
        <w:rPr>
          <w:rFonts w:hint="eastAsia"/>
          <w:rtl/>
        </w:rPr>
        <w:t>تان</w:t>
      </w:r>
      <w:r w:rsidRPr="0025250D">
        <w:rPr>
          <w:rtl/>
        </w:rPr>
        <w:t xml:space="preserve"> و برا</w:t>
      </w:r>
      <w:r w:rsidRPr="0025250D">
        <w:rPr>
          <w:rFonts w:hint="cs"/>
          <w:rtl/>
        </w:rPr>
        <w:t>ی</w:t>
      </w:r>
      <w:r w:rsidRPr="0025250D">
        <w:rPr>
          <w:rtl/>
        </w:rPr>
        <w:t xml:space="preserve"> بشر</w:t>
      </w:r>
      <w:r w:rsidRPr="0025250D">
        <w:rPr>
          <w:rFonts w:hint="cs"/>
          <w:rtl/>
        </w:rPr>
        <w:t>ی</w:t>
      </w:r>
      <w:r w:rsidRPr="0025250D">
        <w:rPr>
          <w:rFonts w:hint="eastAsia"/>
          <w:rtl/>
        </w:rPr>
        <w:t>ت</w:t>
      </w:r>
      <w:r w:rsidRPr="0025250D">
        <w:rPr>
          <w:rtl/>
        </w:rPr>
        <w:t xml:space="preserve"> که به‌عنوان </w:t>
      </w:r>
      <w:r w:rsidRPr="0025250D">
        <w:rPr>
          <w:rFonts w:hint="cs"/>
          <w:rtl/>
        </w:rPr>
        <w:t>ی</w:t>
      </w:r>
      <w:r w:rsidRPr="0025250D">
        <w:rPr>
          <w:rFonts w:hint="eastAsia"/>
          <w:rtl/>
        </w:rPr>
        <w:t>ک</w:t>
      </w:r>
      <w:r w:rsidRPr="0025250D">
        <w:rPr>
          <w:rtl/>
        </w:rPr>
        <w:t xml:space="preserve"> شبکه پ</w:t>
      </w:r>
      <w:r w:rsidRPr="0025250D">
        <w:rPr>
          <w:rFonts w:hint="cs"/>
          <w:rtl/>
        </w:rPr>
        <w:t>ی</w:t>
      </w:r>
      <w:r w:rsidRPr="0025250D">
        <w:rPr>
          <w:rFonts w:hint="eastAsia"/>
          <w:rtl/>
        </w:rPr>
        <w:t>چ</w:t>
      </w:r>
      <w:r w:rsidRPr="0025250D">
        <w:rPr>
          <w:rFonts w:hint="cs"/>
          <w:rtl/>
        </w:rPr>
        <w:t>ی</w:t>
      </w:r>
      <w:r w:rsidRPr="0025250D">
        <w:rPr>
          <w:rFonts w:hint="eastAsia"/>
          <w:rtl/>
        </w:rPr>
        <w:t>ده</w:t>
      </w:r>
      <w:r w:rsidRPr="0025250D">
        <w:rPr>
          <w:rtl/>
        </w:rPr>
        <w:t xml:space="preserve"> در نظر گرفته م</w:t>
      </w:r>
      <w:r w:rsidRPr="0025250D">
        <w:rPr>
          <w:rFonts w:hint="cs"/>
          <w:rtl/>
        </w:rPr>
        <w:t>ی‌</w:t>
      </w:r>
      <w:r w:rsidRPr="0025250D">
        <w:rPr>
          <w:rFonts w:hint="eastAsia"/>
          <w:rtl/>
        </w:rPr>
        <w:t>شود</w:t>
      </w:r>
      <w:r w:rsidR="0008287D" w:rsidRPr="0025250D">
        <w:rPr>
          <w:rFonts w:hint="cs"/>
          <w:rtl/>
        </w:rPr>
        <w:t xml:space="preserve">، </w:t>
      </w:r>
      <w:r w:rsidR="0008287D" w:rsidRPr="0025250D">
        <w:rPr>
          <w:rtl/>
        </w:rPr>
        <w:t>نخواه</w:t>
      </w:r>
      <w:r w:rsidR="0008287D" w:rsidRPr="0025250D">
        <w:rPr>
          <w:rFonts w:hint="cs"/>
          <w:rtl/>
        </w:rPr>
        <w:t>ی</w:t>
      </w:r>
      <w:r w:rsidR="0008287D" w:rsidRPr="0025250D">
        <w:rPr>
          <w:rFonts w:hint="eastAsia"/>
          <w:rtl/>
        </w:rPr>
        <w:t>د</w:t>
      </w:r>
      <w:r w:rsidR="0008287D" w:rsidRPr="0025250D">
        <w:rPr>
          <w:rtl/>
        </w:rPr>
        <w:t xml:space="preserve"> </w:t>
      </w:r>
      <w:r w:rsidR="0008287D" w:rsidRPr="0025250D">
        <w:rPr>
          <w:rFonts w:hint="cs"/>
          <w:rtl/>
        </w:rPr>
        <w:t>ی</w:t>
      </w:r>
      <w:r w:rsidR="0008287D" w:rsidRPr="0025250D">
        <w:rPr>
          <w:rFonts w:hint="eastAsia"/>
          <w:rtl/>
        </w:rPr>
        <w:t>افت</w:t>
      </w:r>
      <w:r w:rsidRPr="0025250D">
        <w:rPr>
          <w:rtl/>
        </w:rPr>
        <w:t>. آینده‌نگاری بزرگ‌ترین قدرت ماست و بهبود آن برا</w:t>
      </w:r>
      <w:r w:rsidRPr="0025250D">
        <w:rPr>
          <w:rFonts w:hint="cs"/>
          <w:rtl/>
        </w:rPr>
        <w:t>ی</w:t>
      </w:r>
      <w:r w:rsidRPr="0025250D">
        <w:rPr>
          <w:rtl/>
        </w:rPr>
        <w:t xml:space="preserve"> خو</w:t>
      </w:r>
      <w:r w:rsidRPr="0025250D">
        <w:rPr>
          <w:rFonts w:hint="eastAsia"/>
          <w:rtl/>
        </w:rPr>
        <w:t>د</w:t>
      </w:r>
      <w:r w:rsidRPr="0025250D">
        <w:rPr>
          <w:rtl/>
        </w:rPr>
        <w:t xml:space="preserve"> و د</w:t>
      </w:r>
      <w:r w:rsidRPr="0025250D">
        <w:rPr>
          <w:rFonts w:hint="cs"/>
          <w:rtl/>
        </w:rPr>
        <w:t>ی</w:t>
      </w:r>
      <w:r w:rsidRPr="0025250D">
        <w:rPr>
          <w:rFonts w:hint="eastAsia"/>
          <w:rtl/>
        </w:rPr>
        <w:t>گران</w:t>
      </w:r>
      <w:r w:rsidRPr="0025250D">
        <w:rPr>
          <w:rtl/>
        </w:rPr>
        <w:t xml:space="preserve"> </w:t>
      </w:r>
      <w:r w:rsidRPr="0025250D">
        <w:rPr>
          <w:rFonts w:hint="cs"/>
          <w:rtl/>
        </w:rPr>
        <w:t>ی</w:t>
      </w:r>
      <w:r w:rsidRPr="0025250D">
        <w:rPr>
          <w:rFonts w:hint="eastAsia"/>
          <w:rtl/>
        </w:rPr>
        <w:t>ک</w:t>
      </w:r>
      <w:r w:rsidRPr="0025250D">
        <w:rPr>
          <w:rtl/>
        </w:rPr>
        <w:t xml:space="preserve"> سفر مادام‌العمر </w:t>
      </w:r>
      <w:r w:rsidR="0008287D" w:rsidRPr="0025250D">
        <w:rPr>
          <w:rFonts w:hint="cs"/>
          <w:rtl/>
        </w:rPr>
        <w:t>محسوب می‌شود</w:t>
      </w:r>
      <w:r w:rsidRPr="0025250D">
        <w:rPr>
          <w:rtl/>
        </w:rPr>
        <w:t>. ما معتقد</w:t>
      </w:r>
      <w:r w:rsidRPr="0025250D">
        <w:rPr>
          <w:rFonts w:hint="cs"/>
          <w:rtl/>
        </w:rPr>
        <w:t>ی</w:t>
      </w:r>
      <w:r w:rsidRPr="0025250D">
        <w:rPr>
          <w:rFonts w:hint="eastAsia"/>
          <w:rtl/>
        </w:rPr>
        <w:t>م</w:t>
      </w:r>
      <w:r w:rsidRPr="0025250D">
        <w:rPr>
          <w:rtl/>
        </w:rPr>
        <w:t xml:space="preserve"> که ا</w:t>
      </w:r>
      <w:r w:rsidRPr="0025250D">
        <w:rPr>
          <w:rFonts w:hint="cs"/>
          <w:rtl/>
        </w:rPr>
        <w:t>ی</w:t>
      </w:r>
      <w:r w:rsidRPr="0025250D">
        <w:rPr>
          <w:rFonts w:hint="eastAsia"/>
          <w:rtl/>
        </w:rPr>
        <w:t>ن</w:t>
      </w:r>
      <w:r w:rsidRPr="0025250D">
        <w:rPr>
          <w:rtl/>
        </w:rPr>
        <w:t xml:space="preserve"> </w:t>
      </w:r>
      <w:r w:rsidRPr="0025250D">
        <w:rPr>
          <w:rFonts w:hint="cs"/>
          <w:rtl/>
        </w:rPr>
        <w:t>ی</w:t>
      </w:r>
      <w:r w:rsidRPr="0025250D">
        <w:rPr>
          <w:rFonts w:hint="eastAsia"/>
          <w:rtl/>
        </w:rPr>
        <w:t>ک</w:t>
      </w:r>
      <w:r w:rsidRPr="0025250D">
        <w:rPr>
          <w:rFonts w:hint="cs"/>
          <w:rtl/>
        </w:rPr>
        <w:t>ی</w:t>
      </w:r>
      <w:r w:rsidRPr="0025250D">
        <w:rPr>
          <w:rtl/>
        </w:rPr>
        <w:t xml:space="preserve"> از رضا</w:t>
      </w:r>
      <w:r w:rsidRPr="0025250D">
        <w:rPr>
          <w:rFonts w:hint="cs"/>
          <w:rtl/>
        </w:rPr>
        <w:t>ی</w:t>
      </w:r>
      <w:r w:rsidRPr="0025250D">
        <w:rPr>
          <w:rFonts w:hint="eastAsia"/>
          <w:rtl/>
        </w:rPr>
        <w:t>ت‌بخش‌تر</w:t>
      </w:r>
      <w:r w:rsidRPr="0025250D">
        <w:rPr>
          <w:rFonts w:hint="cs"/>
          <w:rtl/>
        </w:rPr>
        <w:t>ی</w:t>
      </w:r>
      <w:r w:rsidRPr="0025250D">
        <w:rPr>
          <w:rFonts w:hint="eastAsia"/>
          <w:rtl/>
        </w:rPr>
        <w:t>ن</w:t>
      </w:r>
      <w:r w:rsidRPr="0025250D">
        <w:rPr>
          <w:rtl/>
        </w:rPr>
        <w:t xml:space="preserve"> سفرها</w:t>
      </w:r>
      <w:r w:rsidRPr="0025250D">
        <w:rPr>
          <w:rFonts w:hint="cs"/>
          <w:rtl/>
        </w:rPr>
        <w:t>یی</w:t>
      </w:r>
      <w:r w:rsidRPr="0025250D">
        <w:rPr>
          <w:rtl/>
        </w:rPr>
        <w:t xml:space="preserve"> است که هر </w:t>
      </w:r>
      <w:r w:rsidRPr="0025250D">
        <w:rPr>
          <w:rFonts w:hint="cs"/>
          <w:rtl/>
        </w:rPr>
        <w:t>ی</w:t>
      </w:r>
      <w:r w:rsidRPr="0025250D">
        <w:rPr>
          <w:rFonts w:hint="eastAsia"/>
          <w:rtl/>
        </w:rPr>
        <w:t>ک</w:t>
      </w:r>
      <w:r w:rsidRPr="0025250D">
        <w:rPr>
          <w:rtl/>
        </w:rPr>
        <w:t xml:space="preserve"> از ما م</w:t>
      </w:r>
      <w:r w:rsidRPr="0025250D">
        <w:rPr>
          <w:rFonts w:hint="cs"/>
          <w:rtl/>
        </w:rPr>
        <w:t>ی‌</w:t>
      </w:r>
      <w:r w:rsidRPr="0025250D">
        <w:rPr>
          <w:rFonts w:hint="eastAsia"/>
          <w:rtl/>
        </w:rPr>
        <w:t>توان</w:t>
      </w:r>
      <w:r w:rsidRPr="0025250D">
        <w:rPr>
          <w:rFonts w:hint="cs"/>
          <w:rtl/>
        </w:rPr>
        <w:t>ی</w:t>
      </w:r>
      <w:r w:rsidRPr="0025250D">
        <w:rPr>
          <w:rFonts w:hint="eastAsia"/>
          <w:rtl/>
        </w:rPr>
        <w:t>م</w:t>
      </w:r>
      <w:r w:rsidRPr="0025250D">
        <w:rPr>
          <w:rtl/>
        </w:rPr>
        <w:t xml:space="preserve"> انجام ده</w:t>
      </w:r>
      <w:r w:rsidRPr="0025250D">
        <w:rPr>
          <w:rFonts w:hint="cs"/>
          <w:rtl/>
        </w:rPr>
        <w:t>ی</w:t>
      </w:r>
      <w:r w:rsidRPr="0025250D">
        <w:rPr>
          <w:rFonts w:hint="eastAsia"/>
          <w:rtl/>
        </w:rPr>
        <w:t>م،</w:t>
      </w:r>
      <w:r w:rsidRPr="0025250D">
        <w:rPr>
          <w:rtl/>
        </w:rPr>
        <w:t xml:space="preserve"> ز</w:t>
      </w:r>
      <w:r w:rsidRPr="0025250D">
        <w:rPr>
          <w:rFonts w:hint="cs"/>
          <w:rtl/>
        </w:rPr>
        <w:t>ی</w:t>
      </w:r>
      <w:r w:rsidRPr="0025250D">
        <w:rPr>
          <w:rFonts w:hint="eastAsia"/>
          <w:rtl/>
        </w:rPr>
        <w:t>را</w:t>
      </w:r>
      <w:r w:rsidRPr="0025250D">
        <w:rPr>
          <w:rtl/>
        </w:rPr>
        <w:t xml:space="preserve"> به دنبال زندگ</w:t>
      </w:r>
      <w:r w:rsidRPr="0025250D">
        <w:rPr>
          <w:rFonts w:hint="cs"/>
          <w:rtl/>
        </w:rPr>
        <w:t>ی</w:t>
      </w:r>
      <w:r w:rsidRPr="0025250D">
        <w:rPr>
          <w:rtl/>
        </w:rPr>
        <w:t xml:space="preserve"> بامعنا، هدف و تأث</w:t>
      </w:r>
      <w:r w:rsidRPr="0025250D">
        <w:rPr>
          <w:rFonts w:hint="cs"/>
          <w:rtl/>
        </w:rPr>
        <w:t>ی</w:t>
      </w:r>
      <w:r w:rsidRPr="0025250D">
        <w:rPr>
          <w:rFonts w:hint="eastAsia"/>
          <w:rtl/>
        </w:rPr>
        <w:t>ر</w:t>
      </w:r>
      <w:r w:rsidRPr="0025250D">
        <w:rPr>
          <w:rtl/>
        </w:rPr>
        <w:t xml:space="preserve"> ب</w:t>
      </w:r>
      <w:r w:rsidRPr="0025250D">
        <w:rPr>
          <w:rFonts w:hint="cs"/>
          <w:rtl/>
        </w:rPr>
        <w:t>ی</w:t>
      </w:r>
      <w:r w:rsidRPr="0025250D">
        <w:rPr>
          <w:rFonts w:hint="eastAsia"/>
          <w:rtl/>
        </w:rPr>
        <w:t>شتر</w:t>
      </w:r>
      <w:r w:rsidRPr="0025250D">
        <w:rPr>
          <w:rtl/>
        </w:rPr>
        <w:t xml:space="preserve"> در جهان هست</w:t>
      </w:r>
      <w:r w:rsidRPr="0025250D">
        <w:rPr>
          <w:rFonts w:hint="cs"/>
          <w:rtl/>
        </w:rPr>
        <w:t>ی</w:t>
      </w:r>
      <w:r w:rsidRPr="0025250D">
        <w:rPr>
          <w:rFonts w:hint="eastAsia"/>
          <w:rtl/>
        </w:rPr>
        <w:t>م</w:t>
      </w:r>
      <w:r w:rsidRPr="0025250D">
        <w:rPr>
          <w:rtl/>
        </w:rPr>
        <w:t>.</w:t>
      </w:r>
    </w:p>
    <w:p w14:paraId="10B5CB1D" w14:textId="77777777" w:rsidR="00B219EF" w:rsidRPr="0025250D" w:rsidRDefault="00B219EF" w:rsidP="004445C5">
      <w:pPr>
        <w:rPr>
          <w:rtl/>
        </w:rPr>
      </w:pPr>
    </w:p>
    <w:p w14:paraId="293DDC2C" w14:textId="77777777" w:rsidR="00B219EF" w:rsidRPr="0025250D" w:rsidRDefault="00B219EF" w:rsidP="004445C5">
      <w:pPr>
        <w:rPr>
          <w:rtl/>
        </w:rPr>
      </w:pPr>
    </w:p>
    <w:p w14:paraId="45344625" w14:textId="77777777" w:rsidR="00B219EF" w:rsidRPr="0025250D" w:rsidRDefault="00B219EF" w:rsidP="004445C5">
      <w:pPr>
        <w:rPr>
          <w:rtl/>
        </w:rPr>
        <w:sectPr w:rsidR="00B219EF" w:rsidRPr="0025250D" w:rsidSect="00C12260">
          <w:footnotePr>
            <w:numRestart w:val="eachPage"/>
          </w:footnotePr>
          <w:pgSz w:w="11906" w:h="16838"/>
          <w:pgMar w:top="1418" w:right="1418" w:bottom="1418" w:left="1418" w:header="720" w:footer="720" w:gutter="0"/>
          <w:cols w:space="720"/>
          <w:bidi/>
          <w:rtlGutter/>
          <w:docGrid w:linePitch="360"/>
        </w:sectPr>
      </w:pPr>
    </w:p>
    <w:p w14:paraId="0173E232" w14:textId="1026EE1B" w:rsidR="00B219EF" w:rsidRPr="0025250D" w:rsidRDefault="0008287D" w:rsidP="004445C5">
      <w:pPr>
        <w:rPr>
          <w:b/>
          <w:bCs/>
          <w:rtl/>
        </w:rPr>
      </w:pPr>
      <w:r w:rsidRPr="0025250D">
        <w:rPr>
          <w:rFonts w:hint="cs"/>
          <w:b/>
          <w:bCs/>
          <w:rtl/>
        </w:rPr>
        <w:lastRenderedPageBreak/>
        <w:t xml:space="preserve">کتاب </w:t>
      </w:r>
      <w:r w:rsidR="00B219EF" w:rsidRPr="0025250D">
        <w:rPr>
          <w:b/>
          <w:bCs/>
          <w:rtl/>
        </w:rPr>
        <w:t>راهنما</w:t>
      </w:r>
      <w:r w:rsidR="00B219EF" w:rsidRPr="0025250D">
        <w:rPr>
          <w:rFonts w:hint="cs"/>
          <w:b/>
          <w:bCs/>
          <w:rtl/>
        </w:rPr>
        <w:t>ی</w:t>
      </w:r>
      <w:r w:rsidR="00B219EF" w:rsidRPr="0025250D">
        <w:rPr>
          <w:b/>
          <w:bCs/>
          <w:rtl/>
        </w:rPr>
        <w:t xml:space="preserve"> آینده‌نگاری چ</w:t>
      </w:r>
      <w:r w:rsidR="00B219EF" w:rsidRPr="0025250D">
        <w:rPr>
          <w:rFonts w:hint="cs"/>
          <w:b/>
          <w:bCs/>
          <w:rtl/>
        </w:rPr>
        <w:t>ی</w:t>
      </w:r>
      <w:r w:rsidR="00B219EF" w:rsidRPr="0025250D">
        <w:rPr>
          <w:rFonts w:hint="eastAsia"/>
          <w:b/>
          <w:bCs/>
          <w:rtl/>
        </w:rPr>
        <w:t>ست؟</w:t>
      </w:r>
    </w:p>
    <w:p w14:paraId="55B94917" w14:textId="170AEC19" w:rsidR="00B219EF" w:rsidRPr="0025250D" w:rsidRDefault="0008287D" w:rsidP="00A03018">
      <w:pPr>
        <w:rPr>
          <w:rtl/>
        </w:rPr>
      </w:pPr>
      <w:r w:rsidRPr="0025250D">
        <w:rPr>
          <w:rFonts w:hint="cs"/>
          <w:rtl/>
        </w:rPr>
        <w:t xml:space="preserve">کتاب </w:t>
      </w:r>
      <w:r w:rsidR="00B219EF" w:rsidRPr="0025250D">
        <w:rPr>
          <w:rtl/>
        </w:rPr>
        <w:t>راهنما</w:t>
      </w:r>
      <w:r w:rsidR="00B219EF" w:rsidRPr="0025250D">
        <w:rPr>
          <w:rFonts w:hint="cs"/>
          <w:rtl/>
        </w:rPr>
        <w:t>ی</w:t>
      </w:r>
      <w:r w:rsidR="00B219EF" w:rsidRPr="0025250D">
        <w:rPr>
          <w:rtl/>
        </w:rPr>
        <w:t xml:space="preserve"> آ</w:t>
      </w:r>
      <w:r w:rsidR="00B219EF" w:rsidRPr="0025250D">
        <w:rPr>
          <w:rFonts w:hint="cs"/>
          <w:rtl/>
        </w:rPr>
        <w:t>ی</w:t>
      </w:r>
      <w:r w:rsidR="00B219EF" w:rsidRPr="0025250D">
        <w:rPr>
          <w:rFonts w:hint="eastAsia"/>
          <w:rtl/>
        </w:rPr>
        <w:t>نده‌نگ</w:t>
      </w:r>
      <w:r w:rsidR="00B219EF" w:rsidRPr="0025250D">
        <w:rPr>
          <w:rFonts w:hint="cs"/>
          <w:rtl/>
        </w:rPr>
        <w:t>ا</w:t>
      </w:r>
      <w:r w:rsidR="00B219EF" w:rsidRPr="0025250D">
        <w:rPr>
          <w:rFonts w:hint="eastAsia"/>
          <w:rtl/>
        </w:rPr>
        <w:t>ر</w:t>
      </w:r>
      <w:r w:rsidR="00B219EF" w:rsidRPr="0025250D">
        <w:rPr>
          <w:rFonts w:hint="cs"/>
          <w:rtl/>
        </w:rPr>
        <w:t>ی</w:t>
      </w:r>
      <w:r w:rsidR="00B219EF" w:rsidRPr="0025250D">
        <w:rPr>
          <w:rtl/>
        </w:rPr>
        <w:t xml:space="preserve"> (معروف به راهنما) مدل‌ها و روش‌ها</w:t>
      </w:r>
      <w:r w:rsidR="00B219EF" w:rsidRPr="0025250D">
        <w:rPr>
          <w:rFonts w:hint="cs"/>
          <w:rtl/>
        </w:rPr>
        <w:t>ی</w:t>
      </w:r>
      <w:r w:rsidR="00B219EF" w:rsidRPr="0025250D">
        <w:rPr>
          <w:rtl/>
        </w:rPr>
        <w:t xml:space="preserve"> آ</w:t>
      </w:r>
      <w:r w:rsidR="00B219EF" w:rsidRPr="0025250D">
        <w:rPr>
          <w:rFonts w:hint="cs"/>
          <w:rtl/>
        </w:rPr>
        <w:t>ی</w:t>
      </w:r>
      <w:r w:rsidR="00B219EF" w:rsidRPr="0025250D">
        <w:rPr>
          <w:rFonts w:hint="eastAsia"/>
          <w:rtl/>
        </w:rPr>
        <w:t>نده‌نگار</w:t>
      </w:r>
      <w:r w:rsidR="00B219EF" w:rsidRPr="0025250D">
        <w:rPr>
          <w:rFonts w:hint="cs"/>
          <w:rtl/>
        </w:rPr>
        <w:t>ی</w:t>
      </w:r>
      <w:r w:rsidR="00B219EF" w:rsidRPr="0025250D">
        <w:rPr>
          <w:rtl/>
        </w:rPr>
        <w:t xml:space="preserve"> </w:t>
      </w:r>
      <w:r w:rsidR="00B219EF" w:rsidRPr="0025250D">
        <w:rPr>
          <w:rFonts w:hint="cs"/>
          <w:rtl/>
        </w:rPr>
        <w:t>تخصصی</w:t>
      </w:r>
      <w:r w:rsidR="00B219EF" w:rsidRPr="0025250D">
        <w:rPr>
          <w:rtl/>
        </w:rPr>
        <w:t xml:space="preserve"> و روندها</w:t>
      </w:r>
      <w:r w:rsidR="00B219EF" w:rsidRPr="0025250D">
        <w:rPr>
          <w:rFonts w:hint="cs"/>
          <w:rtl/>
        </w:rPr>
        <w:t>ی</w:t>
      </w:r>
      <w:r w:rsidR="00B219EF" w:rsidRPr="0025250D">
        <w:rPr>
          <w:rtl/>
        </w:rPr>
        <w:t xml:space="preserve"> کل</w:t>
      </w:r>
      <w:r w:rsidR="00B219EF" w:rsidRPr="0025250D">
        <w:rPr>
          <w:rFonts w:hint="cs"/>
          <w:rtl/>
        </w:rPr>
        <w:t>ی</w:t>
      </w:r>
      <w:r w:rsidR="00B219EF" w:rsidRPr="0025250D">
        <w:rPr>
          <w:rFonts w:hint="eastAsia"/>
          <w:rtl/>
        </w:rPr>
        <w:t>د</w:t>
      </w:r>
      <w:r w:rsidR="00B219EF" w:rsidRPr="0025250D">
        <w:rPr>
          <w:rFonts w:hint="cs"/>
          <w:rtl/>
        </w:rPr>
        <w:t>ی</w:t>
      </w:r>
      <w:r w:rsidR="00B219EF" w:rsidRPr="0025250D">
        <w:rPr>
          <w:rFonts w:hint="eastAsia"/>
          <w:rtl/>
        </w:rPr>
        <w:t>،</w:t>
      </w:r>
      <w:r w:rsidR="00B219EF" w:rsidRPr="0025250D">
        <w:rPr>
          <w:rtl/>
        </w:rPr>
        <w:t xml:space="preserve"> فرض</w:t>
      </w:r>
      <w:r w:rsidR="00B219EF" w:rsidRPr="0025250D">
        <w:rPr>
          <w:rFonts w:hint="cs"/>
          <w:rtl/>
        </w:rPr>
        <w:t>ی</w:t>
      </w:r>
      <w:r w:rsidR="00B219EF" w:rsidRPr="0025250D">
        <w:rPr>
          <w:rFonts w:hint="eastAsia"/>
          <w:rtl/>
        </w:rPr>
        <w:t>ه‌ها،</w:t>
      </w:r>
      <w:r w:rsidR="00B219EF" w:rsidRPr="0025250D">
        <w:rPr>
          <w:rtl/>
        </w:rPr>
        <w:t xml:space="preserve"> پ</w:t>
      </w:r>
      <w:r w:rsidR="00B219EF" w:rsidRPr="0025250D">
        <w:rPr>
          <w:rFonts w:hint="cs"/>
          <w:rtl/>
        </w:rPr>
        <w:t>ی</w:t>
      </w:r>
      <w:r w:rsidR="00B219EF" w:rsidRPr="0025250D">
        <w:rPr>
          <w:rFonts w:hint="eastAsia"/>
          <w:rtl/>
        </w:rPr>
        <w:t>ش‌ب</w:t>
      </w:r>
      <w:r w:rsidR="00B219EF" w:rsidRPr="0025250D">
        <w:rPr>
          <w:rFonts w:hint="cs"/>
          <w:rtl/>
        </w:rPr>
        <w:t>ی</w:t>
      </w:r>
      <w:r w:rsidR="00B219EF" w:rsidRPr="0025250D">
        <w:rPr>
          <w:rFonts w:hint="eastAsia"/>
          <w:rtl/>
        </w:rPr>
        <w:t>ن</w:t>
      </w:r>
      <w:r w:rsidR="00B219EF" w:rsidRPr="0025250D">
        <w:rPr>
          <w:rFonts w:hint="cs"/>
          <w:rtl/>
        </w:rPr>
        <w:t>ی‌</w:t>
      </w:r>
      <w:r w:rsidR="00B219EF" w:rsidRPr="0025250D">
        <w:rPr>
          <w:rFonts w:hint="eastAsia"/>
          <w:rtl/>
        </w:rPr>
        <w:t>ها</w:t>
      </w:r>
      <w:r w:rsidR="00B219EF" w:rsidRPr="0025250D">
        <w:rPr>
          <w:rtl/>
        </w:rPr>
        <w:t xml:space="preserve"> و داستان‌های آ</w:t>
      </w:r>
      <w:r w:rsidR="00B219EF" w:rsidRPr="0025250D">
        <w:rPr>
          <w:rFonts w:hint="cs"/>
          <w:rtl/>
        </w:rPr>
        <w:t>ی</w:t>
      </w:r>
      <w:r w:rsidR="00B219EF" w:rsidRPr="0025250D">
        <w:rPr>
          <w:rFonts w:hint="eastAsia"/>
          <w:rtl/>
        </w:rPr>
        <w:t>نده</w:t>
      </w:r>
      <w:r w:rsidR="00B219EF" w:rsidRPr="0025250D">
        <w:rPr>
          <w:rtl/>
        </w:rPr>
        <w:t xml:space="preserve"> قرن ب</w:t>
      </w:r>
      <w:r w:rsidR="00B219EF" w:rsidRPr="0025250D">
        <w:rPr>
          <w:rFonts w:hint="cs"/>
          <w:rtl/>
        </w:rPr>
        <w:t>ی</w:t>
      </w:r>
      <w:r w:rsidR="00B219EF" w:rsidRPr="0025250D">
        <w:rPr>
          <w:rFonts w:hint="eastAsia"/>
          <w:rtl/>
        </w:rPr>
        <w:t>ست</w:t>
      </w:r>
      <w:r w:rsidR="00B219EF" w:rsidRPr="0025250D">
        <w:rPr>
          <w:rtl/>
        </w:rPr>
        <w:t xml:space="preserve"> و </w:t>
      </w:r>
      <w:r w:rsidR="00B219EF" w:rsidRPr="0025250D">
        <w:rPr>
          <w:rFonts w:hint="cs"/>
          <w:rtl/>
        </w:rPr>
        <w:t>ی</w:t>
      </w:r>
      <w:r w:rsidR="00B219EF" w:rsidRPr="0025250D">
        <w:rPr>
          <w:rFonts w:hint="eastAsia"/>
          <w:rtl/>
        </w:rPr>
        <w:t>کم</w:t>
      </w:r>
      <w:r w:rsidR="00B219EF" w:rsidRPr="0025250D">
        <w:rPr>
          <w:rtl/>
        </w:rPr>
        <w:t xml:space="preserve"> را در دن</w:t>
      </w:r>
      <w:r w:rsidR="00B219EF" w:rsidRPr="0025250D">
        <w:rPr>
          <w:rFonts w:hint="cs"/>
          <w:rtl/>
        </w:rPr>
        <w:t>ی</w:t>
      </w:r>
      <w:r w:rsidR="00B219EF" w:rsidRPr="0025250D">
        <w:rPr>
          <w:rFonts w:hint="eastAsia"/>
          <w:rtl/>
        </w:rPr>
        <w:t>ا</w:t>
      </w:r>
      <w:r w:rsidR="00B219EF" w:rsidRPr="0025250D">
        <w:rPr>
          <w:rFonts w:hint="cs"/>
          <w:rtl/>
        </w:rPr>
        <w:t>یی</w:t>
      </w:r>
      <w:r w:rsidR="00B219EF" w:rsidRPr="0025250D">
        <w:rPr>
          <w:rtl/>
        </w:rPr>
        <w:t xml:space="preserve"> با تغ</w:t>
      </w:r>
      <w:r w:rsidR="00B219EF" w:rsidRPr="0025250D">
        <w:rPr>
          <w:rFonts w:hint="cs"/>
          <w:rtl/>
        </w:rPr>
        <w:t>یی</w:t>
      </w:r>
      <w:r w:rsidR="00B219EF" w:rsidRPr="0025250D">
        <w:rPr>
          <w:rFonts w:hint="eastAsia"/>
          <w:rtl/>
        </w:rPr>
        <w:t>رات</w:t>
      </w:r>
      <w:r w:rsidR="00A03018" w:rsidRPr="0025250D">
        <w:rPr>
          <w:rtl/>
        </w:rPr>
        <w:t xml:space="preserve"> شتاب‌</w:t>
      </w:r>
      <w:r w:rsidR="00A03018" w:rsidRPr="0025250D">
        <w:rPr>
          <w:rFonts w:hint="cs"/>
          <w:rtl/>
        </w:rPr>
        <w:t>گیرنده</w:t>
      </w:r>
      <w:r w:rsidR="00B219EF" w:rsidRPr="0025250D">
        <w:rPr>
          <w:rtl/>
        </w:rPr>
        <w:t xml:space="preserve"> معرف</w:t>
      </w:r>
      <w:r w:rsidR="00B219EF" w:rsidRPr="0025250D">
        <w:rPr>
          <w:rFonts w:hint="cs"/>
          <w:rtl/>
        </w:rPr>
        <w:t>ی</w:t>
      </w:r>
      <w:r w:rsidR="00B219EF" w:rsidRPr="0025250D">
        <w:rPr>
          <w:rtl/>
        </w:rPr>
        <w:t xml:space="preserve"> م</w:t>
      </w:r>
      <w:r w:rsidR="00B219EF" w:rsidRPr="0025250D">
        <w:rPr>
          <w:rFonts w:hint="cs"/>
          <w:rtl/>
        </w:rPr>
        <w:t>ی‌</w:t>
      </w:r>
      <w:r w:rsidR="00B219EF" w:rsidRPr="0025250D">
        <w:rPr>
          <w:rFonts w:hint="eastAsia"/>
          <w:rtl/>
        </w:rPr>
        <w:t>کند</w:t>
      </w:r>
      <w:r w:rsidR="00B219EF" w:rsidRPr="0025250D">
        <w:rPr>
          <w:rtl/>
        </w:rPr>
        <w:t>.</w:t>
      </w:r>
      <w:r w:rsidR="00B219EF" w:rsidRPr="0025250D">
        <w:rPr>
          <w:rFonts w:hint="cs"/>
          <w:rtl/>
        </w:rPr>
        <w:t xml:space="preserve"> این </w:t>
      </w:r>
      <w:r w:rsidR="00B219EF" w:rsidRPr="0025250D">
        <w:rPr>
          <w:rtl/>
        </w:rPr>
        <w:t>راهنما به دو کتاب تقس</w:t>
      </w:r>
      <w:r w:rsidR="00B219EF" w:rsidRPr="0025250D">
        <w:rPr>
          <w:rFonts w:hint="cs"/>
          <w:rtl/>
        </w:rPr>
        <w:t>ی</w:t>
      </w:r>
      <w:r w:rsidR="00B219EF" w:rsidRPr="0025250D">
        <w:rPr>
          <w:rFonts w:hint="eastAsia"/>
          <w:rtl/>
        </w:rPr>
        <w:t>م</w:t>
      </w:r>
      <w:r w:rsidR="00B219EF" w:rsidRPr="0025250D">
        <w:rPr>
          <w:rtl/>
        </w:rPr>
        <w:t xml:space="preserve"> شده است. کتاب 1، </w:t>
      </w:r>
      <w:r w:rsidRPr="0025250D">
        <w:rPr>
          <w:rFonts w:hint="cs"/>
          <w:rtl/>
        </w:rPr>
        <w:t xml:space="preserve">با عنوان </w:t>
      </w:r>
      <w:r w:rsidR="00B219EF" w:rsidRPr="0025250D">
        <w:rPr>
          <w:rtl/>
        </w:rPr>
        <w:t>مقدمه‌ای بر آینده‌نگاری</w:t>
      </w:r>
      <w:r w:rsidR="00B219EF" w:rsidRPr="0025250D">
        <w:rPr>
          <w:rFonts w:hint="eastAsia"/>
          <w:rtl/>
        </w:rPr>
        <w:t>،</w:t>
      </w:r>
      <w:r w:rsidR="00B219EF" w:rsidRPr="0025250D">
        <w:rPr>
          <w:rtl/>
        </w:rPr>
        <w:t xml:space="preserve"> </w:t>
      </w:r>
      <w:r w:rsidR="00B219EF" w:rsidRPr="0025250D">
        <w:t>ITF</w:t>
      </w:r>
      <w:r w:rsidR="00B219EF" w:rsidRPr="0025250D">
        <w:rPr>
          <w:rtl/>
        </w:rPr>
        <w:t xml:space="preserve">، آینده‌نگاری </w:t>
      </w:r>
      <w:r w:rsidR="001A3F0A" w:rsidRPr="0025250D">
        <w:rPr>
          <w:rtl/>
        </w:rPr>
        <w:t>فردی</w:t>
      </w:r>
      <w:r w:rsidR="00B219EF" w:rsidRPr="0025250D">
        <w:rPr>
          <w:rFonts w:hint="eastAsia"/>
          <w:rtl/>
        </w:rPr>
        <w:t>،</w:t>
      </w:r>
      <w:r w:rsidR="00B219EF" w:rsidRPr="0025250D">
        <w:rPr>
          <w:rtl/>
        </w:rPr>
        <w:t xml:space="preserve"> ت</w:t>
      </w:r>
      <w:r w:rsidR="00B219EF" w:rsidRPr="0025250D">
        <w:rPr>
          <w:rFonts w:hint="cs"/>
          <w:rtl/>
        </w:rPr>
        <w:t>ی</w:t>
      </w:r>
      <w:r w:rsidR="00B219EF" w:rsidRPr="0025250D">
        <w:rPr>
          <w:rFonts w:hint="eastAsia"/>
          <w:rtl/>
        </w:rPr>
        <w:t>م</w:t>
      </w:r>
      <w:r w:rsidR="00B219EF" w:rsidRPr="0025250D">
        <w:rPr>
          <w:rFonts w:hint="cs"/>
          <w:rtl/>
        </w:rPr>
        <w:t>ی</w:t>
      </w:r>
      <w:r w:rsidR="00B219EF" w:rsidRPr="0025250D">
        <w:rPr>
          <w:rtl/>
        </w:rPr>
        <w:t xml:space="preserve"> و سازمان</w:t>
      </w:r>
      <w:r w:rsidR="00B219EF" w:rsidRPr="0025250D">
        <w:rPr>
          <w:rFonts w:hint="cs"/>
          <w:rtl/>
        </w:rPr>
        <w:t>ی</w:t>
      </w:r>
      <w:r w:rsidR="00B219EF" w:rsidRPr="0025250D">
        <w:rPr>
          <w:rtl/>
        </w:rPr>
        <w:t xml:space="preserve"> را پوشش می‌دهد. کتاب 2، </w:t>
      </w:r>
      <w:r w:rsidRPr="0025250D">
        <w:rPr>
          <w:rFonts w:hint="cs"/>
          <w:rtl/>
        </w:rPr>
        <w:t xml:space="preserve">با عنوان </w:t>
      </w:r>
      <w:r w:rsidR="00B219EF" w:rsidRPr="0025250D">
        <w:rPr>
          <w:rtl/>
        </w:rPr>
        <w:t>آ</w:t>
      </w:r>
      <w:r w:rsidR="00B219EF" w:rsidRPr="0025250D">
        <w:rPr>
          <w:rFonts w:hint="cs"/>
          <w:rtl/>
        </w:rPr>
        <w:t>ی</w:t>
      </w:r>
      <w:r w:rsidR="00B219EF" w:rsidRPr="0025250D">
        <w:rPr>
          <w:rFonts w:hint="eastAsia"/>
          <w:rtl/>
        </w:rPr>
        <w:t>نده‌نگر</w:t>
      </w:r>
      <w:r w:rsidR="00B219EF" w:rsidRPr="0025250D">
        <w:rPr>
          <w:rFonts w:hint="cs"/>
          <w:rtl/>
        </w:rPr>
        <w:t>ی</w:t>
      </w:r>
      <w:r w:rsidR="00B219EF" w:rsidRPr="0025250D">
        <w:rPr>
          <w:rtl/>
        </w:rPr>
        <w:t xml:space="preserve"> تصو</w:t>
      </w:r>
      <w:r w:rsidR="00B219EF" w:rsidRPr="0025250D">
        <w:rPr>
          <w:rFonts w:hint="cs"/>
          <w:rtl/>
        </w:rPr>
        <w:t>ی</w:t>
      </w:r>
      <w:r w:rsidR="00B219EF" w:rsidRPr="0025250D">
        <w:rPr>
          <w:rFonts w:hint="eastAsia"/>
          <w:rtl/>
        </w:rPr>
        <w:t>ر</w:t>
      </w:r>
      <w:r w:rsidR="00B219EF" w:rsidRPr="0025250D">
        <w:rPr>
          <w:rtl/>
        </w:rPr>
        <w:t xml:space="preserve"> </w:t>
      </w:r>
      <w:r w:rsidR="00B219EF" w:rsidRPr="0025250D">
        <w:rPr>
          <w:rFonts w:hint="cs"/>
          <w:rtl/>
        </w:rPr>
        <w:t>کلان</w:t>
      </w:r>
      <w:r w:rsidRPr="0025250D">
        <w:rPr>
          <w:rStyle w:val="FootnoteReference"/>
          <w:rtl/>
        </w:rPr>
        <w:footnoteReference w:id="13"/>
      </w:r>
      <w:r w:rsidR="00B219EF" w:rsidRPr="0025250D">
        <w:rPr>
          <w:rtl/>
        </w:rPr>
        <w:t xml:space="preserve">، </w:t>
      </w:r>
      <w:r w:rsidR="00B219EF" w:rsidRPr="0025250D">
        <w:t>BPF</w:t>
      </w:r>
      <w:r w:rsidR="00B219EF" w:rsidRPr="0025250D">
        <w:rPr>
          <w:rtl/>
        </w:rPr>
        <w:t xml:space="preserve">، </w:t>
      </w:r>
      <w:r w:rsidR="00B219EF" w:rsidRPr="0025250D">
        <w:rPr>
          <w:rFonts w:hint="cs"/>
          <w:rtl/>
        </w:rPr>
        <w:t>آینده‌اندیشی</w:t>
      </w:r>
      <w:r w:rsidR="00B219EF" w:rsidRPr="0025250D">
        <w:rPr>
          <w:vertAlign w:val="superscript"/>
          <w:rtl/>
        </w:rPr>
        <w:footnoteReference w:id="14"/>
      </w:r>
      <w:r w:rsidR="00B219EF" w:rsidRPr="0025250D">
        <w:rPr>
          <w:rtl/>
        </w:rPr>
        <w:t xml:space="preserve"> عموم</w:t>
      </w:r>
      <w:r w:rsidR="00B219EF" w:rsidRPr="0025250D">
        <w:rPr>
          <w:rFonts w:hint="cs"/>
          <w:rtl/>
        </w:rPr>
        <w:t>ی</w:t>
      </w:r>
      <w:r w:rsidR="00B219EF" w:rsidRPr="0025250D">
        <w:rPr>
          <w:rtl/>
        </w:rPr>
        <w:t xml:space="preserve"> را از د</w:t>
      </w:r>
      <w:r w:rsidR="00B219EF" w:rsidRPr="0025250D">
        <w:rPr>
          <w:rFonts w:hint="cs"/>
          <w:rtl/>
        </w:rPr>
        <w:t>ی</w:t>
      </w:r>
      <w:r w:rsidR="00B219EF" w:rsidRPr="0025250D">
        <w:rPr>
          <w:rFonts w:hint="eastAsia"/>
          <w:rtl/>
        </w:rPr>
        <w:t>دگاه‌ها</w:t>
      </w:r>
      <w:r w:rsidR="00B219EF" w:rsidRPr="0025250D">
        <w:rPr>
          <w:rFonts w:hint="cs"/>
          <w:rtl/>
        </w:rPr>
        <w:t>ی</w:t>
      </w:r>
      <w:r w:rsidR="00B219EF" w:rsidRPr="0025250D">
        <w:rPr>
          <w:rtl/>
        </w:rPr>
        <w:t xml:space="preserve"> اجتماع</w:t>
      </w:r>
      <w:r w:rsidR="00B219EF" w:rsidRPr="0025250D">
        <w:rPr>
          <w:rFonts w:hint="cs"/>
          <w:rtl/>
        </w:rPr>
        <w:t>ی</w:t>
      </w:r>
      <w:r w:rsidR="00B219EF" w:rsidRPr="0025250D">
        <w:rPr>
          <w:rFonts w:hint="eastAsia"/>
          <w:rtl/>
        </w:rPr>
        <w:t>،</w:t>
      </w:r>
      <w:r w:rsidR="00B219EF" w:rsidRPr="0025250D">
        <w:rPr>
          <w:rtl/>
        </w:rPr>
        <w:t xml:space="preserve"> جهان</w:t>
      </w:r>
      <w:r w:rsidR="00B219EF" w:rsidRPr="0025250D">
        <w:rPr>
          <w:rFonts w:hint="cs"/>
          <w:rtl/>
        </w:rPr>
        <w:t>ی</w:t>
      </w:r>
      <w:r w:rsidR="00B219EF" w:rsidRPr="0025250D">
        <w:rPr>
          <w:rtl/>
        </w:rPr>
        <w:t xml:space="preserve"> و </w:t>
      </w:r>
      <w:r w:rsidR="00B219EF" w:rsidRPr="0025250D">
        <w:rPr>
          <w:rFonts w:hint="cs"/>
          <w:rtl/>
        </w:rPr>
        <w:t>فراگیر</w:t>
      </w:r>
      <w:r w:rsidR="00B219EF" w:rsidRPr="0025250D">
        <w:rPr>
          <w:vertAlign w:val="superscript"/>
          <w:rtl/>
        </w:rPr>
        <w:footnoteReference w:id="15"/>
      </w:r>
      <w:r w:rsidR="00B219EF" w:rsidRPr="0025250D">
        <w:rPr>
          <w:rtl/>
        </w:rPr>
        <w:t xml:space="preserve"> پوشش م</w:t>
      </w:r>
      <w:r w:rsidR="00B219EF" w:rsidRPr="0025250D">
        <w:rPr>
          <w:rFonts w:hint="cs"/>
          <w:rtl/>
        </w:rPr>
        <w:t>ی‌</w:t>
      </w:r>
      <w:r w:rsidR="00B219EF" w:rsidRPr="0025250D">
        <w:rPr>
          <w:rFonts w:hint="eastAsia"/>
          <w:rtl/>
        </w:rPr>
        <w:t>دهد</w:t>
      </w:r>
      <w:r w:rsidR="00B219EF" w:rsidRPr="0025250D">
        <w:rPr>
          <w:rtl/>
        </w:rPr>
        <w:t>.</w:t>
      </w:r>
      <w:r w:rsidR="00B219EF" w:rsidRPr="0025250D">
        <w:rPr>
          <w:rFonts w:hint="cs"/>
          <w:rtl/>
        </w:rPr>
        <w:t xml:space="preserve"> </w:t>
      </w:r>
      <w:r w:rsidR="00B219EF" w:rsidRPr="0025250D">
        <w:rPr>
          <w:rtl/>
        </w:rPr>
        <w:t>موضوعات کتاب 1 به‌طور سنت</w:t>
      </w:r>
      <w:r w:rsidR="00B219EF" w:rsidRPr="0025250D">
        <w:rPr>
          <w:rFonts w:hint="cs"/>
          <w:rtl/>
        </w:rPr>
        <w:t>ی</w:t>
      </w:r>
      <w:r w:rsidR="00B219EF" w:rsidRPr="0025250D">
        <w:rPr>
          <w:rtl/>
        </w:rPr>
        <w:t xml:space="preserve"> </w:t>
      </w:r>
      <w:r w:rsidR="008D6F97" w:rsidRPr="0025250D">
        <w:rPr>
          <w:rtl/>
        </w:rPr>
        <w:t>«</w:t>
      </w:r>
      <w:r w:rsidR="00B219EF" w:rsidRPr="0025250D">
        <w:rPr>
          <w:rtl/>
        </w:rPr>
        <w:t>آینده‌نگاری</w:t>
      </w:r>
      <w:r w:rsidR="008D6F97" w:rsidRPr="0025250D">
        <w:rPr>
          <w:rtl/>
        </w:rPr>
        <w:t>»</w:t>
      </w:r>
      <w:r w:rsidR="00B219EF" w:rsidRPr="0025250D">
        <w:rPr>
          <w:rtl/>
        </w:rPr>
        <w:t xml:space="preserve"> و موضوعات کتاب 2 معمولاً </w:t>
      </w:r>
      <w:r w:rsidR="008D6F97" w:rsidRPr="0025250D">
        <w:rPr>
          <w:rtl/>
        </w:rPr>
        <w:t>«</w:t>
      </w:r>
      <w:r w:rsidR="00B219EF" w:rsidRPr="0025250D">
        <w:rPr>
          <w:rtl/>
        </w:rPr>
        <w:t>آینده‌پژوهی</w:t>
      </w:r>
      <w:r w:rsidR="00B219EF" w:rsidRPr="0025250D">
        <w:rPr>
          <w:vertAlign w:val="superscript"/>
          <w:rtl/>
        </w:rPr>
        <w:footnoteReference w:id="16"/>
      </w:r>
      <w:r w:rsidR="008D6F97" w:rsidRPr="0025250D">
        <w:rPr>
          <w:rtl/>
        </w:rPr>
        <w:t>»</w:t>
      </w:r>
      <w:r w:rsidR="00B219EF" w:rsidRPr="0025250D">
        <w:rPr>
          <w:rtl/>
        </w:rPr>
        <w:t xml:space="preserve"> نام</w:t>
      </w:r>
      <w:r w:rsidR="00B219EF" w:rsidRPr="0025250D">
        <w:rPr>
          <w:rFonts w:hint="cs"/>
          <w:rtl/>
        </w:rPr>
        <w:t>ی</w:t>
      </w:r>
      <w:r w:rsidR="00B219EF" w:rsidRPr="0025250D">
        <w:rPr>
          <w:rFonts w:hint="eastAsia"/>
          <w:rtl/>
        </w:rPr>
        <w:t>ده</w:t>
      </w:r>
      <w:r w:rsidR="00B219EF" w:rsidRPr="0025250D">
        <w:rPr>
          <w:rtl/>
        </w:rPr>
        <w:t xml:space="preserve"> می‌شوند. هر کتاب در </w:t>
      </w:r>
      <w:r w:rsidR="00B219EF" w:rsidRPr="0025250D">
        <w:rPr>
          <w:rFonts w:hint="cs"/>
          <w:rtl/>
        </w:rPr>
        <w:t>ی</w:t>
      </w:r>
      <w:r w:rsidR="00B219EF" w:rsidRPr="0025250D">
        <w:rPr>
          <w:rFonts w:hint="eastAsia"/>
          <w:rtl/>
        </w:rPr>
        <w:t>ک</w:t>
      </w:r>
      <w:r w:rsidR="00B219EF" w:rsidRPr="0025250D">
        <w:rPr>
          <w:rtl/>
        </w:rPr>
        <w:t xml:space="preserve"> نسخه اجرا</w:t>
      </w:r>
      <w:r w:rsidR="00B219EF" w:rsidRPr="0025250D">
        <w:rPr>
          <w:rFonts w:hint="cs"/>
          <w:rtl/>
        </w:rPr>
        <w:t>یی</w:t>
      </w:r>
      <w:r w:rsidR="00B219EF" w:rsidRPr="0025250D">
        <w:rPr>
          <w:rtl/>
        </w:rPr>
        <w:t xml:space="preserve"> و </w:t>
      </w:r>
      <w:r w:rsidR="00B219EF" w:rsidRPr="0025250D">
        <w:rPr>
          <w:rFonts w:hint="cs"/>
          <w:rtl/>
        </w:rPr>
        <w:t>ی</w:t>
      </w:r>
      <w:r w:rsidR="00B219EF" w:rsidRPr="0025250D">
        <w:rPr>
          <w:rFonts w:hint="eastAsia"/>
          <w:rtl/>
        </w:rPr>
        <w:t>ک</w:t>
      </w:r>
      <w:r w:rsidR="00B219EF" w:rsidRPr="0025250D">
        <w:rPr>
          <w:rtl/>
        </w:rPr>
        <w:t xml:space="preserve"> نسخه دانشجو</w:t>
      </w:r>
      <w:r w:rsidR="00B219EF" w:rsidRPr="0025250D">
        <w:rPr>
          <w:rFonts w:hint="cs"/>
          <w:rtl/>
        </w:rPr>
        <w:t>ی</w:t>
      </w:r>
      <w:r w:rsidR="0090736C" w:rsidRPr="0025250D">
        <w:rPr>
          <w:rFonts w:hint="cs"/>
          <w:rtl/>
        </w:rPr>
        <w:t>ی</w:t>
      </w:r>
      <w:r w:rsidR="00B219EF" w:rsidRPr="0025250D">
        <w:rPr>
          <w:rtl/>
        </w:rPr>
        <w:t xml:space="preserve"> طولانی‌تر ارائه می‌شود و </w:t>
      </w:r>
      <w:r w:rsidRPr="0025250D">
        <w:rPr>
          <w:rFonts w:hint="cs"/>
          <w:rtl/>
        </w:rPr>
        <w:t>به</w:t>
      </w:r>
      <w:r w:rsidR="00B219EF" w:rsidRPr="0025250D">
        <w:rPr>
          <w:rtl/>
        </w:rPr>
        <w:t xml:space="preserve"> دو</w:t>
      </w:r>
      <w:r w:rsidRPr="0025250D">
        <w:rPr>
          <w:rFonts w:hint="cs"/>
          <w:rtl/>
        </w:rPr>
        <w:t xml:space="preserve"> دسته از</w:t>
      </w:r>
      <w:r w:rsidR="00B219EF" w:rsidRPr="0025250D">
        <w:rPr>
          <w:rtl/>
        </w:rPr>
        <w:t xml:space="preserve"> مخاطب</w:t>
      </w:r>
      <w:r w:rsidRPr="0025250D">
        <w:rPr>
          <w:rFonts w:hint="cs"/>
          <w:rtl/>
        </w:rPr>
        <w:t>ان</w:t>
      </w:r>
      <w:r w:rsidR="00B219EF" w:rsidRPr="0025250D">
        <w:rPr>
          <w:rtl/>
        </w:rPr>
        <w:t xml:space="preserve"> اصل</w:t>
      </w:r>
      <w:r w:rsidR="00B219EF" w:rsidRPr="0025250D">
        <w:rPr>
          <w:rFonts w:hint="cs"/>
          <w:rtl/>
        </w:rPr>
        <w:t>ی</w:t>
      </w:r>
      <w:r w:rsidR="00B219EF" w:rsidRPr="0025250D">
        <w:rPr>
          <w:rtl/>
        </w:rPr>
        <w:t xml:space="preserve"> ما می‌پرداز</w:t>
      </w:r>
      <w:r w:rsidRPr="0025250D">
        <w:rPr>
          <w:rFonts w:hint="cs"/>
          <w:rtl/>
        </w:rPr>
        <w:t>ن</w:t>
      </w:r>
      <w:r w:rsidR="00B219EF" w:rsidRPr="0025250D">
        <w:rPr>
          <w:rtl/>
        </w:rPr>
        <w:t>د: رهبران و دانشجو</w:t>
      </w:r>
      <w:r w:rsidR="00B219EF" w:rsidRPr="0025250D">
        <w:rPr>
          <w:rFonts w:hint="cs"/>
          <w:rtl/>
        </w:rPr>
        <w:t>ی</w:t>
      </w:r>
      <w:r w:rsidR="00B219EF" w:rsidRPr="0025250D">
        <w:rPr>
          <w:rFonts w:hint="eastAsia"/>
          <w:rtl/>
        </w:rPr>
        <w:t>ان</w:t>
      </w:r>
      <w:r w:rsidR="00B219EF" w:rsidRPr="0025250D">
        <w:rPr>
          <w:rtl/>
        </w:rPr>
        <w:t>. نسخه آنلا</w:t>
      </w:r>
      <w:r w:rsidR="00B219EF" w:rsidRPr="0025250D">
        <w:rPr>
          <w:rFonts w:hint="cs"/>
          <w:rtl/>
        </w:rPr>
        <w:t>ی</w:t>
      </w:r>
      <w:r w:rsidR="00B219EF" w:rsidRPr="0025250D">
        <w:rPr>
          <w:rFonts w:hint="eastAsia"/>
          <w:rtl/>
        </w:rPr>
        <w:t>ن</w:t>
      </w:r>
      <w:r w:rsidR="00B219EF" w:rsidRPr="0025250D">
        <w:rPr>
          <w:rtl/>
        </w:rPr>
        <w:t xml:space="preserve"> را</w:t>
      </w:r>
      <w:r w:rsidR="00B219EF" w:rsidRPr="0025250D">
        <w:rPr>
          <w:rFonts w:hint="cs"/>
          <w:rtl/>
        </w:rPr>
        <w:t>ی</w:t>
      </w:r>
      <w:r w:rsidR="00B219EF" w:rsidRPr="0025250D">
        <w:rPr>
          <w:rFonts w:hint="eastAsia"/>
          <w:rtl/>
        </w:rPr>
        <w:t>گان</w:t>
      </w:r>
      <w:r w:rsidR="00B219EF" w:rsidRPr="0025250D">
        <w:rPr>
          <w:rtl/>
        </w:rPr>
        <w:t xml:space="preserve"> خلاصه‌شده ا</w:t>
      </w:r>
      <w:r w:rsidR="00B219EF" w:rsidRPr="0025250D">
        <w:rPr>
          <w:rFonts w:hint="cs"/>
          <w:rtl/>
        </w:rPr>
        <w:t>ی</w:t>
      </w:r>
      <w:r w:rsidR="00B219EF" w:rsidRPr="0025250D">
        <w:rPr>
          <w:rFonts w:hint="eastAsia"/>
          <w:rtl/>
        </w:rPr>
        <w:t>ن</w:t>
      </w:r>
      <w:r w:rsidR="00B219EF" w:rsidRPr="0025250D">
        <w:rPr>
          <w:rtl/>
        </w:rPr>
        <w:t xml:space="preserve"> راهنما را ن</w:t>
      </w:r>
      <w:r w:rsidR="00B219EF" w:rsidRPr="0025250D">
        <w:rPr>
          <w:rFonts w:hint="cs"/>
          <w:rtl/>
        </w:rPr>
        <w:t>ی</w:t>
      </w:r>
      <w:r w:rsidR="00B219EF" w:rsidRPr="0025250D">
        <w:rPr>
          <w:rFonts w:hint="eastAsia"/>
          <w:rtl/>
        </w:rPr>
        <w:t>ز</w:t>
      </w:r>
      <w:r w:rsidR="00B219EF" w:rsidRPr="0025250D">
        <w:rPr>
          <w:rtl/>
        </w:rPr>
        <w:t xml:space="preserve"> </w:t>
      </w:r>
      <w:r w:rsidR="00B219EF" w:rsidRPr="0025250D">
        <w:rPr>
          <w:rFonts w:hint="eastAsia"/>
          <w:rtl/>
        </w:rPr>
        <w:t>می‌توانید</w:t>
      </w:r>
      <w:r w:rsidR="00B219EF" w:rsidRPr="0025250D">
        <w:rPr>
          <w:rtl/>
        </w:rPr>
        <w:t xml:space="preserve"> در </w:t>
      </w:r>
      <w:r w:rsidR="00B219EF" w:rsidRPr="0025250D">
        <w:t>ForesightGuide.com</w:t>
      </w:r>
      <w:r w:rsidR="00B219EF" w:rsidRPr="0025250D">
        <w:rPr>
          <w:rtl/>
        </w:rPr>
        <w:t xml:space="preserve"> پ</w:t>
      </w:r>
      <w:r w:rsidR="00B219EF" w:rsidRPr="0025250D">
        <w:rPr>
          <w:rFonts w:hint="cs"/>
          <w:rtl/>
        </w:rPr>
        <w:t>ی</w:t>
      </w:r>
      <w:r w:rsidR="00B219EF" w:rsidRPr="0025250D">
        <w:rPr>
          <w:rFonts w:hint="eastAsia"/>
          <w:rtl/>
        </w:rPr>
        <w:t>دا</w:t>
      </w:r>
      <w:r w:rsidR="00B219EF" w:rsidRPr="0025250D">
        <w:rPr>
          <w:rtl/>
        </w:rPr>
        <w:t xml:space="preserve"> کن</w:t>
      </w:r>
      <w:r w:rsidR="00B219EF" w:rsidRPr="0025250D">
        <w:rPr>
          <w:rFonts w:hint="cs"/>
          <w:rtl/>
        </w:rPr>
        <w:t>ی</w:t>
      </w:r>
      <w:r w:rsidR="00B219EF" w:rsidRPr="0025250D">
        <w:rPr>
          <w:rFonts w:hint="eastAsia"/>
          <w:rtl/>
        </w:rPr>
        <w:t>د</w:t>
      </w:r>
      <w:r w:rsidR="00B219EF" w:rsidRPr="0025250D">
        <w:rPr>
          <w:rtl/>
        </w:rPr>
        <w:t>.</w:t>
      </w:r>
    </w:p>
    <w:p w14:paraId="4035E8A6" w14:textId="2AE9876E" w:rsidR="00B219EF" w:rsidRPr="0025250D" w:rsidRDefault="00B219EF" w:rsidP="00007A85">
      <w:pPr>
        <w:rPr>
          <w:rtl/>
        </w:rPr>
      </w:pPr>
      <w:r w:rsidRPr="0025250D">
        <w:rPr>
          <w:rtl/>
        </w:rPr>
        <w:t>هر دو کتاب با هم آنچه را که ما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جامع</w:t>
      </w:r>
      <w:r w:rsidR="0008287D" w:rsidRPr="0025250D">
        <w:rPr>
          <w:rStyle w:val="FootnoteReference"/>
          <w:rtl/>
        </w:rPr>
        <w:footnoteReference w:id="17"/>
      </w:r>
      <w:r w:rsidRPr="0025250D">
        <w:rPr>
          <w:rtl/>
        </w:rPr>
        <w:t xml:space="preserve"> (</w:t>
      </w:r>
      <w:r w:rsidRPr="0025250D">
        <w:rPr>
          <w:rFonts w:hint="cs"/>
          <w:rtl/>
        </w:rPr>
        <w:t>ی</w:t>
      </w:r>
      <w:r w:rsidRPr="0025250D">
        <w:rPr>
          <w:rFonts w:hint="eastAsia"/>
          <w:rtl/>
        </w:rPr>
        <w:t>ا</w:t>
      </w:r>
      <w:r w:rsidRPr="0025250D">
        <w:rPr>
          <w:rtl/>
        </w:rPr>
        <w:t xml:space="preserve"> ط</w:t>
      </w:r>
      <w:r w:rsidRPr="0025250D">
        <w:rPr>
          <w:rFonts w:hint="cs"/>
          <w:rtl/>
        </w:rPr>
        <w:t>ی</w:t>
      </w:r>
      <w:r w:rsidRPr="0025250D">
        <w:rPr>
          <w:rFonts w:hint="eastAsia"/>
          <w:rtl/>
        </w:rPr>
        <w:t>ف</w:t>
      </w:r>
      <w:r w:rsidRPr="0025250D">
        <w:rPr>
          <w:rtl/>
        </w:rPr>
        <w:t xml:space="preserve"> کامل</w:t>
      </w:r>
      <w:r w:rsidR="0008287D" w:rsidRPr="0025250D">
        <w:rPr>
          <w:rStyle w:val="FootnoteReference"/>
          <w:rtl/>
        </w:rPr>
        <w:footnoteReference w:id="18"/>
      </w:r>
      <w:r w:rsidRPr="0025250D">
        <w:rPr>
          <w:rtl/>
        </w:rPr>
        <w:t>) م</w:t>
      </w:r>
      <w:r w:rsidRPr="0025250D">
        <w:rPr>
          <w:rFonts w:hint="cs"/>
          <w:rtl/>
        </w:rPr>
        <w:t>ی‌</w:t>
      </w:r>
      <w:r w:rsidRPr="0025250D">
        <w:rPr>
          <w:rFonts w:hint="eastAsia"/>
          <w:rtl/>
        </w:rPr>
        <w:t>نام</w:t>
      </w:r>
      <w:r w:rsidRPr="0025250D">
        <w:rPr>
          <w:rFonts w:hint="cs"/>
          <w:rtl/>
        </w:rPr>
        <w:t>ی</w:t>
      </w:r>
      <w:r w:rsidRPr="0025250D">
        <w:rPr>
          <w:rFonts w:hint="eastAsia"/>
          <w:rtl/>
        </w:rPr>
        <w:t>م</w:t>
      </w:r>
      <w:r w:rsidRPr="0025250D">
        <w:rPr>
          <w:rtl/>
        </w:rPr>
        <w:t xml:space="preserve"> پوشش م</w:t>
      </w:r>
      <w:r w:rsidRPr="0025250D">
        <w:rPr>
          <w:rFonts w:hint="cs"/>
          <w:rtl/>
        </w:rPr>
        <w:t>ی‌</w:t>
      </w:r>
      <w:r w:rsidRPr="0025250D">
        <w:rPr>
          <w:rFonts w:hint="eastAsia"/>
          <w:rtl/>
        </w:rPr>
        <w:t>دهند</w:t>
      </w:r>
      <w:r w:rsidRPr="0025250D">
        <w:rPr>
          <w:rtl/>
        </w:rPr>
        <w:t>. خواه</w:t>
      </w:r>
      <w:r w:rsidRPr="0025250D">
        <w:rPr>
          <w:rFonts w:hint="cs"/>
          <w:rtl/>
        </w:rPr>
        <w:t>ی</w:t>
      </w:r>
      <w:r w:rsidRPr="0025250D">
        <w:rPr>
          <w:rFonts w:hint="eastAsia"/>
          <w:rtl/>
        </w:rPr>
        <w:t>م</w:t>
      </w:r>
      <w:r w:rsidRPr="0025250D">
        <w:rPr>
          <w:rtl/>
        </w:rPr>
        <w:t xml:space="preserve"> د</w:t>
      </w:r>
      <w:r w:rsidRPr="0025250D">
        <w:rPr>
          <w:rFonts w:hint="cs"/>
          <w:rtl/>
        </w:rPr>
        <w:t>ی</w:t>
      </w:r>
      <w:r w:rsidRPr="0025250D">
        <w:rPr>
          <w:rFonts w:hint="eastAsia"/>
          <w:rtl/>
        </w:rPr>
        <w:t>د</w:t>
      </w:r>
      <w:r w:rsidRPr="0025250D">
        <w:rPr>
          <w:rtl/>
        </w:rPr>
        <w:t xml:space="preserve"> که آینده‌نگاری می‌تواند به‌اندازه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w:t>
      </w:r>
      <w:r w:rsidR="00007A85" w:rsidRPr="0025250D">
        <w:rPr>
          <w:rtl/>
        </w:rPr>
        <w:t>حس‌داد</w:t>
      </w:r>
      <w:r w:rsidR="00007A85" w:rsidRPr="0025250D">
        <w:rPr>
          <w:rStyle w:val="FootnoteReference"/>
          <w:rFonts w:hint="cs"/>
          <w:vertAlign w:val="baseline"/>
          <w:rtl/>
        </w:rPr>
        <w:t>ها</w:t>
      </w:r>
      <w:r w:rsidR="009E09A9" w:rsidRPr="0025250D">
        <w:rPr>
          <w:rStyle w:val="FootnoteReference"/>
          <w:rtl/>
        </w:rPr>
        <w:footnoteReference w:id="19"/>
      </w:r>
      <w:r w:rsidRPr="0025250D">
        <w:rPr>
          <w:rtl/>
        </w:rPr>
        <w:t xml:space="preserve"> و افکار درون</w:t>
      </w:r>
      <w:r w:rsidRPr="0025250D">
        <w:rPr>
          <w:rFonts w:hint="cs"/>
          <w:rtl/>
        </w:rPr>
        <w:t>ی</w:t>
      </w:r>
      <w:r w:rsidRPr="0025250D">
        <w:rPr>
          <w:rtl/>
        </w:rPr>
        <w:t xml:space="preserve"> ما شخص</w:t>
      </w:r>
      <w:r w:rsidRPr="0025250D">
        <w:rPr>
          <w:rFonts w:hint="cs"/>
          <w:rtl/>
        </w:rPr>
        <w:t>ی</w:t>
      </w:r>
      <w:r w:rsidRPr="0025250D">
        <w:rPr>
          <w:rtl/>
        </w:rPr>
        <w:t xml:space="preserve"> باشد و به‌اندازه توسعه دیدگاه‌های ما در مورد معنا</w:t>
      </w:r>
      <w:r w:rsidRPr="0025250D">
        <w:rPr>
          <w:rFonts w:hint="cs"/>
          <w:rtl/>
        </w:rPr>
        <w:t>ی</w:t>
      </w:r>
      <w:r w:rsidRPr="0025250D">
        <w:rPr>
          <w:rtl/>
        </w:rPr>
        <w:t xml:space="preserve"> زندگ</w:t>
      </w:r>
      <w:r w:rsidRPr="0025250D">
        <w:rPr>
          <w:rFonts w:hint="cs"/>
          <w:rtl/>
        </w:rPr>
        <w:t>ی</w:t>
      </w:r>
      <w:r w:rsidRPr="0025250D">
        <w:rPr>
          <w:rtl/>
        </w:rPr>
        <w:t xml:space="preserve"> و ماه</w:t>
      </w:r>
      <w:r w:rsidRPr="0025250D">
        <w:rPr>
          <w:rFonts w:hint="cs"/>
          <w:rtl/>
        </w:rPr>
        <w:t>ی</w:t>
      </w:r>
      <w:r w:rsidRPr="0025250D">
        <w:rPr>
          <w:rFonts w:hint="eastAsia"/>
          <w:rtl/>
        </w:rPr>
        <w:t>ت</w:t>
      </w:r>
      <w:r w:rsidRPr="0025250D">
        <w:rPr>
          <w:rtl/>
        </w:rPr>
        <w:t xml:space="preserve"> جهان </w:t>
      </w:r>
      <w:r w:rsidRPr="0025250D">
        <w:rPr>
          <w:rFonts w:hint="cs"/>
          <w:rtl/>
        </w:rPr>
        <w:t>فراگیر</w:t>
      </w:r>
      <w:r w:rsidRPr="0025250D">
        <w:rPr>
          <w:rtl/>
        </w:rPr>
        <w:t xml:space="preserve"> باشد. آ</w:t>
      </w:r>
      <w:r w:rsidRPr="0025250D">
        <w:rPr>
          <w:rFonts w:hint="cs"/>
          <w:rtl/>
        </w:rPr>
        <w:t>ی</w:t>
      </w:r>
      <w:r w:rsidRPr="0025250D">
        <w:rPr>
          <w:rFonts w:hint="eastAsia"/>
          <w:rtl/>
        </w:rPr>
        <w:t>نده‌نگار</w:t>
      </w:r>
      <w:r w:rsidRPr="0025250D">
        <w:rPr>
          <w:rFonts w:hint="cs"/>
          <w:rtl/>
        </w:rPr>
        <w:t>ی</w:t>
      </w:r>
      <w:r w:rsidRPr="0025250D">
        <w:rPr>
          <w:rtl/>
        </w:rPr>
        <w:t xml:space="preserve"> م</w:t>
      </w:r>
      <w:r w:rsidRPr="0025250D">
        <w:rPr>
          <w:rFonts w:hint="cs"/>
          <w:rtl/>
        </w:rPr>
        <w:t>ی‌</w:t>
      </w:r>
      <w:r w:rsidRPr="0025250D">
        <w:rPr>
          <w:rFonts w:hint="eastAsia"/>
          <w:rtl/>
        </w:rPr>
        <w:t>تواند</w:t>
      </w:r>
      <w:r w:rsidRPr="0025250D">
        <w:rPr>
          <w:rtl/>
        </w:rPr>
        <w:t xml:space="preserve"> به ما در اولو</w:t>
      </w:r>
      <w:r w:rsidRPr="0025250D">
        <w:rPr>
          <w:rFonts w:hint="cs"/>
          <w:rtl/>
        </w:rPr>
        <w:t>ی</w:t>
      </w:r>
      <w:r w:rsidRPr="0025250D">
        <w:rPr>
          <w:rFonts w:hint="eastAsia"/>
          <w:rtl/>
        </w:rPr>
        <w:t>ت‌ها</w:t>
      </w:r>
      <w:r w:rsidRPr="0025250D">
        <w:rPr>
          <w:rFonts w:hint="cs"/>
          <w:rtl/>
        </w:rPr>
        <w:t>ی</w:t>
      </w:r>
      <w:r w:rsidRPr="0025250D">
        <w:rPr>
          <w:rtl/>
        </w:rPr>
        <w:t xml:space="preserve"> امروز، برنامه‌ها</w:t>
      </w:r>
      <w:r w:rsidRPr="0025250D">
        <w:rPr>
          <w:rFonts w:hint="cs"/>
          <w:rtl/>
        </w:rPr>
        <w:t>ی</w:t>
      </w:r>
      <w:r w:rsidRPr="0025250D">
        <w:rPr>
          <w:rtl/>
        </w:rPr>
        <w:t xml:space="preserve"> سه‌ماهه آ</w:t>
      </w:r>
      <w:r w:rsidRPr="0025250D">
        <w:rPr>
          <w:rFonts w:hint="cs"/>
          <w:rtl/>
        </w:rPr>
        <w:t>ی</w:t>
      </w:r>
      <w:r w:rsidRPr="0025250D">
        <w:rPr>
          <w:rFonts w:hint="eastAsia"/>
          <w:rtl/>
        </w:rPr>
        <w:t>نده،</w:t>
      </w:r>
      <w:r w:rsidRPr="0025250D">
        <w:rPr>
          <w:rtl/>
        </w:rPr>
        <w:t xml:space="preserve"> رهبر</w:t>
      </w:r>
      <w:r w:rsidRPr="0025250D">
        <w:rPr>
          <w:rFonts w:hint="cs"/>
          <w:rtl/>
        </w:rPr>
        <w:t>ی</w:t>
      </w:r>
      <w:r w:rsidRPr="0025250D">
        <w:rPr>
          <w:rtl/>
        </w:rPr>
        <w:t xml:space="preserve"> </w:t>
      </w:r>
      <w:r w:rsidRPr="0025250D">
        <w:rPr>
          <w:rFonts w:hint="cs"/>
          <w:rtl/>
        </w:rPr>
        <w:t>ی</w:t>
      </w:r>
      <w:r w:rsidRPr="0025250D">
        <w:rPr>
          <w:rFonts w:hint="eastAsia"/>
          <w:rtl/>
        </w:rPr>
        <w:t>ک</w:t>
      </w:r>
      <w:r w:rsidRPr="0025250D">
        <w:rPr>
          <w:rtl/>
        </w:rPr>
        <w:t xml:space="preserve"> ت</w:t>
      </w:r>
      <w:r w:rsidRPr="0025250D">
        <w:rPr>
          <w:rFonts w:hint="cs"/>
          <w:rtl/>
        </w:rPr>
        <w:t>ی</w:t>
      </w:r>
      <w:r w:rsidRPr="0025250D">
        <w:rPr>
          <w:rFonts w:hint="eastAsia"/>
          <w:rtl/>
        </w:rPr>
        <w:t>م</w:t>
      </w:r>
      <w:r w:rsidRPr="0025250D">
        <w:rPr>
          <w:rtl/>
        </w:rPr>
        <w:t xml:space="preserve"> و ا</w:t>
      </w:r>
      <w:r w:rsidRPr="0025250D">
        <w:rPr>
          <w:rFonts w:hint="cs"/>
          <w:rtl/>
        </w:rPr>
        <w:t>ی</w:t>
      </w:r>
      <w:r w:rsidRPr="0025250D">
        <w:rPr>
          <w:rFonts w:hint="eastAsia"/>
          <w:rtl/>
        </w:rPr>
        <w:t>جاد</w:t>
      </w:r>
      <w:r w:rsidRPr="0025250D">
        <w:rPr>
          <w:rtl/>
        </w:rPr>
        <w:t xml:space="preserve"> چشم‌انداز</w:t>
      </w:r>
      <w:r w:rsidRPr="0025250D">
        <w:rPr>
          <w:rFonts w:hint="cs"/>
          <w:rtl/>
        </w:rPr>
        <w:t>ی</w:t>
      </w:r>
      <w:r w:rsidRPr="0025250D">
        <w:rPr>
          <w:rtl/>
        </w:rPr>
        <w:t xml:space="preserve"> برا</w:t>
      </w:r>
      <w:r w:rsidRPr="0025250D">
        <w:rPr>
          <w:rFonts w:hint="cs"/>
          <w:rtl/>
        </w:rPr>
        <w:t>ی</w:t>
      </w:r>
      <w:r w:rsidRPr="0025250D">
        <w:rPr>
          <w:rtl/>
        </w:rPr>
        <w:t xml:space="preserve"> هدا</w:t>
      </w:r>
      <w:r w:rsidRPr="0025250D">
        <w:rPr>
          <w:rFonts w:hint="cs"/>
          <w:rtl/>
        </w:rPr>
        <w:t>ی</w:t>
      </w:r>
      <w:r w:rsidRPr="0025250D">
        <w:rPr>
          <w:rFonts w:hint="eastAsia"/>
          <w:rtl/>
        </w:rPr>
        <w:t>ت</w:t>
      </w:r>
      <w:r w:rsidRPr="0025250D">
        <w:rPr>
          <w:rtl/>
        </w:rPr>
        <w:t xml:space="preserve"> ما برا</w:t>
      </w:r>
      <w:r w:rsidRPr="0025250D">
        <w:rPr>
          <w:rFonts w:hint="cs"/>
          <w:rtl/>
        </w:rPr>
        <w:t>ی</w:t>
      </w:r>
      <w:r w:rsidRPr="0025250D">
        <w:rPr>
          <w:rtl/>
        </w:rPr>
        <w:t xml:space="preserve"> </w:t>
      </w:r>
      <w:r w:rsidRPr="0025250D">
        <w:rPr>
          <w:rFonts w:hint="cs"/>
          <w:rtl/>
        </w:rPr>
        <w:t>ی</w:t>
      </w:r>
      <w:r w:rsidRPr="0025250D">
        <w:rPr>
          <w:rFonts w:hint="eastAsia"/>
          <w:rtl/>
        </w:rPr>
        <w:t>ک</w:t>
      </w:r>
      <w:r w:rsidRPr="0025250D">
        <w:rPr>
          <w:rtl/>
        </w:rPr>
        <w:t xml:space="preserve"> عمر کمک کند.</w:t>
      </w:r>
      <w:r w:rsidRPr="0025250D">
        <w:rPr>
          <w:rFonts w:hint="cs"/>
          <w:rtl/>
        </w:rPr>
        <w:t xml:space="preserve"> </w:t>
      </w:r>
      <w:r w:rsidRPr="0025250D">
        <w:rPr>
          <w:rtl/>
        </w:rPr>
        <w:t>درنتیجه</w:t>
      </w:r>
      <w:r w:rsidRPr="0025250D">
        <w:rPr>
          <w:rFonts w:hint="eastAsia"/>
          <w:rtl/>
        </w:rPr>
        <w:t>،</w:t>
      </w:r>
      <w:r w:rsidRPr="0025250D">
        <w:rPr>
          <w:rtl/>
        </w:rPr>
        <w:t xml:space="preserve"> کتاب‌های ما </w:t>
      </w:r>
      <w:r w:rsidRPr="0025250D">
        <w:rPr>
          <w:rFonts w:hint="cs"/>
          <w:rtl/>
        </w:rPr>
        <w:t>محدوده</w:t>
      </w:r>
      <w:r w:rsidRPr="0025250D">
        <w:rPr>
          <w:rtl/>
        </w:rPr>
        <w:t xml:space="preserve"> </w:t>
      </w:r>
      <w:r w:rsidR="001A3F0A" w:rsidRPr="0025250D">
        <w:rPr>
          <w:rtl/>
        </w:rPr>
        <w:t>فردی</w:t>
      </w:r>
      <w:r w:rsidRPr="0025250D">
        <w:rPr>
          <w:rtl/>
        </w:rPr>
        <w:t xml:space="preserve"> (خودرهبر</w:t>
      </w:r>
      <w:r w:rsidRPr="0025250D">
        <w:rPr>
          <w:rFonts w:hint="cs"/>
          <w:rtl/>
        </w:rPr>
        <w:t>ی</w:t>
      </w:r>
      <w:r w:rsidRPr="0025250D">
        <w:rPr>
          <w:rtl/>
        </w:rPr>
        <w:t>)</w:t>
      </w:r>
      <w:r w:rsidRPr="0025250D">
        <w:rPr>
          <w:rFonts w:hint="cs"/>
          <w:rtl/>
        </w:rPr>
        <w:t xml:space="preserve"> </w:t>
      </w:r>
      <w:r w:rsidRPr="0025250D">
        <w:rPr>
          <w:rtl/>
        </w:rPr>
        <w:t xml:space="preserve">تا </w:t>
      </w:r>
      <w:r w:rsidR="00F34345" w:rsidRPr="0025250D">
        <w:rPr>
          <w:rFonts w:hint="cs"/>
          <w:rtl/>
        </w:rPr>
        <w:t>فراگیر</w:t>
      </w:r>
      <w:r w:rsidRPr="0025250D">
        <w:rPr>
          <w:rtl/>
        </w:rPr>
        <w:t xml:space="preserve"> را </w:t>
      </w:r>
      <w:r w:rsidRPr="0025250D">
        <w:rPr>
          <w:rFonts w:hint="cs"/>
          <w:rtl/>
        </w:rPr>
        <w:t>در بر می‌گیرند</w:t>
      </w:r>
      <w:r w:rsidRPr="0025250D">
        <w:rPr>
          <w:rtl/>
        </w:rPr>
        <w:t xml:space="preserve"> که شامل </w:t>
      </w:r>
      <w:r w:rsidRPr="0025250D">
        <w:rPr>
          <w:rFonts w:hint="cs"/>
          <w:rtl/>
        </w:rPr>
        <w:t>اقدامات</w:t>
      </w:r>
      <w:r w:rsidRPr="0025250D">
        <w:rPr>
          <w:rtl/>
        </w:rPr>
        <w:t xml:space="preserve"> آ</w:t>
      </w:r>
      <w:r w:rsidRPr="0025250D">
        <w:rPr>
          <w:rFonts w:hint="cs"/>
          <w:rtl/>
        </w:rPr>
        <w:t>ی</w:t>
      </w:r>
      <w:r w:rsidRPr="0025250D">
        <w:rPr>
          <w:rFonts w:hint="eastAsia"/>
          <w:rtl/>
        </w:rPr>
        <w:t>نده‌نگار</w:t>
      </w:r>
      <w:r w:rsidRPr="0025250D">
        <w:rPr>
          <w:rFonts w:hint="cs"/>
          <w:rtl/>
        </w:rPr>
        <w:t>ی</w:t>
      </w:r>
      <w:r w:rsidRPr="0025250D">
        <w:rPr>
          <w:rFonts w:hint="eastAsia"/>
          <w:rtl/>
        </w:rPr>
        <w:t>،</w:t>
      </w:r>
      <w:r w:rsidRPr="0025250D">
        <w:rPr>
          <w:rtl/>
        </w:rPr>
        <w:t xml:space="preserve"> مهارت‌ها و روش‌ها</w:t>
      </w:r>
      <w:r w:rsidRPr="0025250D">
        <w:rPr>
          <w:rFonts w:hint="cs"/>
          <w:rtl/>
        </w:rPr>
        <w:t>یی</w:t>
      </w:r>
      <w:r w:rsidR="00F34345" w:rsidRPr="0025250D">
        <w:rPr>
          <w:rFonts w:hint="cs"/>
          <w:rtl/>
        </w:rPr>
        <w:t xml:space="preserve"> هستند</w:t>
      </w:r>
      <w:r w:rsidRPr="0025250D">
        <w:rPr>
          <w:rtl/>
        </w:rPr>
        <w:t xml:space="preserve"> که ما م</w:t>
      </w:r>
      <w:r w:rsidRPr="0025250D">
        <w:rPr>
          <w:rFonts w:hint="cs"/>
          <w:rtl/>
        </w:rPr>
        <w:t>ی‌</w:t>
      </w:r>
      <w:r w:rsidRPr="0025250D">
        <w:rPr>
          <w:rFonts w:hint="eastAsia"/>
          <w:rtl/>
        </w:rPr>
        <w:t>توان</w:t>
      </w:r>
      <w:r w:rsidRPr="0025250D">
        <w:rPr>
          <w:rFonts w:hint="cs"/>
          <w:rtl/>
        </w:rPr>
        <w:t>ی</w:t>
      </w:r>
      <w:r w:rsidRPr="0025250D">
        <w:rPr>
          <w:rFonts w:hint="eastAsia"/>
          <w:rtl/>
        </w:rPr>
        <w:t>م</w:t>
      </w:r>
      <w:r w:rsidRPr="0025250D">
        <w:rPr>
          <w:rtl/>
        </w:rPr>
        <w:t xml:space="preserve"> به‌عنوان افراد و سازمان‌ها از آن‌ها استفاده کن</w:t>
      </w:r>
      <w:r w:rsidRPr="0025250D">
        <w:rPr>
          <w:rFonts w:hint="cs"/>
          <w:rtl/>
        </w:rPr>
        <w:t>ی</w:t>
      </w:r>
      <w:r w:rsidRPr="0025250D">
        <w:rPr>
          <w:rFonts w:hint="eastAsia"/>
          <w:rtl/>
        </w:rPr>
        <w:t>م</w:t>
      </w:r>
      <w:r w:rsidRPr="0025250D">
        <w:rPr>
          <w:rFonts w:hint="cs"/>
          <w:rtl/>
        </w:rPr>
        <w:t xml:space="preserve"> </w:t>
      </w:r>
      <w:r w:rsidRPr="0025250D">
        <w:rPr>
          <w:rtl/>
        </w:rPr>
        <w:t>و همچن</w:t>
      </w:r>
      <w:r w:rsidRPr="0025250D">
        <w:rPr>
          <w:rFonts w:hint="cs"/>
          <w:rtl/>
        </w:rPr>
        <w:t>ی</w:t>
      </w:r>
      <w:r w:rsidRPr="0025250D">
        <w:rPr>
          <w:rFonts w:hint="eastAsia"/>
          <w:rtl/>
        </w:rPr>
        <w:t>ن</w:t>
      </w:r>
      <w:r w:rsidRPr="0025250D">
        <w:rPr>
          <w:rtl/>
        </w:rPr>
        <w:t xml:space="preserve"> </w:t>
      </w:r>
      <w:r w:rsidR="00F34345" w:rsidRPr="0025250D">
        <w:rPr>
          <w:rFonts w:hint="cs"/>
          <w:rtl/>
        </w:rPr>
        <w:t xml:space="preserve">در بر گیرنده </w:t>
      </w:r>
      <w:r w:rsidRPr="0025250D">
        <w:rPr>
          <w:rtl/>
        </w:rPr>
        <w:t>چشم‌اندازها، اهداف و ارزش‌ها</w:t>
      </w:r>
      <w:r w:rsidRPr="0025250D">
        <w:rPr>
          <w:rFonts w:hint="cs"/>
          <w:rtl/>
        </w:rPr>
        <w:t>یی</w:t>
      </w:r>
      <w:r w:rsidR="00F34345" w:rsidRPr="0025250D">
        <w:rPr>
          <w:rFonts w:hint="cs"/>
          <w:rtl/>
        </w:rPr>
        <w:t xml:space="preserve"> هستند</w:t>
      </w:r>
      <w:r w:rsidRPr="0025250D">
        <w:rPr>
          <w:rtl/>
        </w:rPr>
        <w:t xml:space="preserve"> که م</w:t>
      </w:r>
      <w:r w:rsidRPr="0025250D">
        <w:rPr>
          <w:rFonts w:hint="cs"/>
          <w:rtl/>
        </w:rPr>
        <w:t>ی‌</w:t>
      </w:r>
      <w:r w:rsidRPr="0025250D">
        <w:rPr>
          <w:rFonts w:hint="eastAsia"/>
          <w:rtl/>
        </w:rPr>
        <w:t>توانند</w:t>
      </w:r>
      <w:r w:rsidRPr="0025250D">
        <w:rPr>
          <w:rtl/>
        </w:rPr>
        <w:t xml:space="preserve"> </w:t>
      </w:r>
      <w:r w:rsidRPr="0025250D">
        <w:rPr>
          <w:rFonts w:hint="cs"/>
          <w:rtl/>
        </w:rPr>
        <w:t xml:space="preserve">به ما </w:t>
      </w:r>
      <w:r w:rsidRPr="0025250D">
        <w:rPr>
          <w:rtl/>
        </w:rPr>
        <w:t>کمک کنند</w:t>
      </w:r>
      <w:r w:rsidRPr="0025250D">
        <w:rPr>
          <w:rFonts w:hint="cs"/>
          <w:rtl/>
        </w:rPr>
        <w:t xml:space="preserve"> تا</w:t>
      </w:r>
      <w:r w:rsidRPr="0025250D">
        <w:rPr>
          <w:rtl/>
        </w:rPr>
        <w:t xml:space="preserve"> </w:t>
      </w:r>
      <w:r w:rsidRPr="0025250D">
        <w:rPr>
          <w:rFonts w:hint="eastAsia"/>
          <w:rtl/>
        </w:rPr>
        <w:t>آ</w:t>
      </w:r>
      <w:r w:rsidRPr="0025250D">
        <w:rPr>
          <w:rFonts w:hint="cs"/>
          <w:rtl/>
        </w:rPr>
        <w:t>ی</w:t>
      </w:r>
      <w:r w:rsidRPr="0025250D">
        <w:rPr>
          <w:rFonts w:hint="eastAsia"/>
          <w:rtl/>
        </w:rPr>
        <w:t>نده</w:t>
      </w:r>
      <w:r w:rsidRPr="0025250D">
        <w:rPr>
          <w:rtl/>
        </w:rPr>
        <w:t xml:space="preserve"> بهتر</w:t>
      </w:r>
      <w:r w:rsidRPr="0025250D">
        <w:rPr>
          <w:rFonts w:hint="cs"/>
          <w:rtl/>
        </w:rPr>
        <w:t>ی</w:t>
      </w:r>
      <w:r w:rsidRPr="0025250D">
        <w:rPr>
          <w:rtl/>
        </w:rPr>
        <w:t xml:space="preserve"> برا</w:t>
      </w:r>
      <w:r w:rsidRPr="0025250D">
        <w:rPr>
          <w:rFonts w:hint="cs"/>
          <w:rtl/>
        </w:rPr>
        <w:t>ی</w:t>
      </w:r>
      <w:r w:rsidRPr="0025250D">
        <w:rPr>
          <w:rtl/>
        </w:rPr>
        <w:t xml:space="preserve"> بشر</w:t>
      </w:r>
      <w:r w:rsidRPr="0025250D">
        <w:rPr>
          <w:rFonts w:hint="cs"/>
          <w:rtl/>
        </w:rPr>
        <w:t>ی</w:t>
      </w:r>
      <w:r w:rsidRPr="0025250D">
        <w:rPr>
          <w:rFonts w:hint="eastAsia"/>
          <w:rtl/>
        </w:rPr>
        <w:t>ت</w:t>
      </w:r>
      <w:r w:rsidRPr="0025250D">
        <w:rPr>
          <w:rtl/>
        </w:rPr>
        <w:t xml:space="preserve"> بساز</w:t>
      </w:r>
      <w:r w:rsidRPr="0025250D">
        <w:rPr>
          <w:rFonts w:hint="cs"/>
          <w:rtl/>
        </w:rPr>
        <w:t>ی</w:t>
      </w:r>
      <w:r w:rsidRPr="0025250D">
        <w:rPr>
          <w:rFonts w:hint="eastAsia"/>
          <w:rtl/>
        </w:rPr>
        <w:t>م</w:t>
      </w:r>
      <w:r w:rsidRPr="0025250D">
        <w:rPr>
          <w:rtl/>
        </w:rPr>
        <w:t>.</w:t>
      </w:r>
    </w:p>
    <w:p w14:paraId="6F2AFFD2" w14:textId="4D2BB121" w:rsidR="00B219EF" w:rsidRPr="0025250D" w:rsidRDefault="00B219EF" w:rsidP="000F5D90">
      <w:pPr>
        <w:rPr>
          <w:rtl/>
        </w:rPr>
      </w:pPr>
      <w:r w:rsidRPr="0025250D">
        <w:rPr>
          <w:rtl/>
        </w:rPr>
        <w:t>ا</w:t>
      </w:r>
      <w:r w:rsidRPr="0025250D">
        <w:rPr>
          <w:rFonts w:hint="cs"/>
          <w:rtl/>
        </w:rPr>
        <w:t>ی</w:t>
      </w:r>
      <w:r w:rsidRPr="0025250D">
        <w:rPr>
          <w:rFonts w:hint="eastAsia"/>
          <w:rtl/>
        </w:rPr>
        <w:t>ن</w:t>
      </w:r>
      <w:r w:rsidRPr="0025250D">
        <w:rPr>
          <w:rtl/>
        </w:rPr>
        <w:t xml:space="preserve"> کتاب‌ها توسط دانشگاه آ</w:t>
      </w:r>
      <w:r w:rsidRPr="0025250D">
        <w:rPr>
          <w:rFonts w:hint="cs"/>
          <w:rtl/>
        </w:rPr>
        <w:t>ی</w:t>
      </w:r>
      <w:r w:rsidRPr="0025250D">
        <w:rPr>
          <w:rFonts w:hint="eastAsia"/>
          <w:rtl/>
        </w:rPr>
        <w:t>نده‌نگ</w:t>
      </w:r>
      <w:r w:rsidR="009653C5" w:rsidRPr="0025250D">
        <w:rPr>
          <w:rFonts w:hint="cs"/>
          <w:rtl/>
        </w:rPr>
        <w:t>ا</w:t>
      </w:r>
      <w:r w:rsidRPr="0025250D">
        <w:rPr>
          <w:rFonts w:hint="eastAsia"/>
          <w:rtl/>
        </w:rPr>
        <w:t>ر</w:t>
      </w:r>
      <w:r w:rsidRPr="0025250D">
        <w:rPr>
          <w:rFonts w:hint="cs"/>
          <w:rtl/>
        </w:rPr>
        <w:t>ی</w:t>
      </w:r>
      <w:r w:rsidRPr="0025250D">
        <w:rPr>
          <w:vertAlign w:val="superscript"/>
          <w:rtl/>
        </w:rPr>
        <w:footnoteReference w:id="20"/>
      </w:r>
      <w:r w:rsidRPr="0025250D">
        <w:rPr>
          <w:rtl/>
        </w:rPr>
        <w:t xml:space="preserve"> (</w:t>
      </w:r>
      <w:r w:rsidRPr="0025250D">
        <w:t>4U</w:t>
      </w:r>
      <w:r w:rsidRPr="0025250D">
        <w:rPr>
          <w:rtl/>
        </w:rPr>
        <w:t xml:space="preserve">)، </w:t>
      </w:r>
      <w:r w:rsidRPr="0025250D">
        <w:rPr>
          <w:rFonts w:hint="cs"/>
          <w:rtl/>
        </w:rPr>
        <w:t>ی</w:t>
      </w:r>
      <w:r w:rsidRPr="0025250D">
        <w:rPr>
          <w:rFonts w:hint="eastAsia"/>
          <w:rtl/>
        </w:rPr>
        <w:t>ک</w:t>
      </w:r>
      <w:r w:rsidRPr="0025250D">
        <w:rPr>
          <w:rtl/>
        </w:rPr>
        <w:t xml:space="preserve"> سازمان </w:t>
      </w:r>
      <w:r w:rsidRPr="0025250D">
        <w:rPr>
          <w:rFonts w:hint="cs"/>
          <w:rtl/>
        </w:rPr>
        <w:t>ی</w:t>
      </w:r>
      <w:r w:rsidRPr="0025250D">
        <w:rPr>
          <w:rFonts w:hint="eastAsia"/>
          <w:rtl/>
        </w:rPr>
        <w:t>ادگ</w:t>
      </w:r>
      <w:r w:rsidRPr="0025250D">
        <w:rPr>
          <w:rFonts w:hint="cs"/>
          <w:rtl/>
        </w:rPr>
        <w:t>ی</w:t>
      </w:r>
      <w:r w:rsidRPr="0025250D">
        <w:rPr>
          <w:rFonts w:hint="eastAsia"/>
          <w:rtl/>
        </w:rPr>
        <w:t>ر</w:t>
      </w:r>
      <w:r w:rsidRPr="0025250D">
        <w:rPr>
          <w:rFonts w:hint="cs"/>
          <w:rtl/>
        </w:rPr>
        <w:t>ی</w:t>
      </w:r>
      <w:r w:rsidRPr="0025250D">
        <w:rPr>
          <w:rtl/>
        </w:rPr>
        <w:t xml:space="preserve"> و توسعه که آ</w:t>
      </w:r>
      <w:r w:rsidRPr="0025250D">
        <w:rPr>
          <w:rFonts w:hint="cs"/>
          <w:rtl/>
        </w:rPr>
        <w:t>ی</w:t>
      </w:r>
      <w:r w:rsidRPr="0025250D">
        <w:rPr>
          <w:rFonts w:hint="eastAsia"/>
          <w:rtl/>
        </w:rPr>
        <w:t>نده‌نگار</w:t>
      </w:r>
      <w:r w:rsidRPr="0025250D">
        <w:rPr>
          <w:rFonts w:hint="cs"/>
          <w:rtl/>
        </w:rPr>
        <w:t>ی</w:t>
      </w:r>
      <w:r w:rsidRPr="0025250D">
        <w:rPr>
          <w:rtl/>
        </w:rPr>
        <w:t xml:space="preserve"> را به افراد و ت</w:t>
      </w:r>
      <w:r w:rsidRPr="0025250D">
        <w:rPr>
          <w:rFonts w:hint="cs"/>
          <w:rtl/>
        </w:rPr>
        <w:t>ی</w:t>
      </w:r>
      <w:r w:rsidRPr="0025250D">
        <w:rPr>
          <w:rFonts w:hint="eastAsia"/>
          <w:rtl/>
        </w:rPr>
        <w:t>م‌ها</w:t>
      </w:r>
      <w:r w:rsidRPr="0025250D">
        <w:rPr>
          <w:rtl/>
        </w:rPr>
        <w:t xml:space="preserve"> آموزش م</w:t>
      </w:r>
      <w:r w:rsidRPr="0025250D">
        <w:rPr>
          <w:rFonts w:hint="cs"/>
          <w:rtl/>
        </w:rPr>
        <w:t>ی‌</w:t>
      </w:r>
      <w:r w:rsidRPr="0025250D">
        <w:rPr>
          <w:rFonts w:hint="eastAsia"/>
          <w:rtl/>
        </w:rPr>
        <w:t>دهد،</w:t>
      </w:r>
      <w:r w:rsidRPr="0025250D">
        <w:rPr>
          <w:rtl/>
        </w:rPr>
        <w:t xml:space="preserve"> نوشته و تول</w:t>
      </w:r>
      <w:r w:rsidRPr="0025250D">
        <w:rPr>
          <w:rFonts w:hint="cs"/>
          <w:rtl/>
        </w:rPr>
        <w:t>ی</w:t>
      </w:r>
      <w:r w:rsidRPr="0025250D">
        <w:rPr>
          <w:rFonts w:hint="eastAsia"/>
          <w:rtl/>
        </w:rPr>
        <w:t>د</w:t>
      </w:r>
      <w:r w:rsidRPr="0025250D">
        <w:rPr>
          <w:rtl/>
        </w:rPr>
        <w:t xml:space="preserve"> شده‌اند. </w:t>
      </w:r>
      <w:r w:rsidRPr="0025250D">
        <w:t>4U</w:t>
      </w:r>
      <w:r w:rsidRPr="0025250D">
        <w:rPr>
          <w:rFonts w:hint="cs"/>
          <w:rtl/>
        </w:rPr>
        <w:t xml:space="preserve"> ی</w:t>
      </w:r>
      <w:r w:rsidRPr="0025250D">
        <w:rPr>
          <w:rFonts w:hint="eastAsia"/>
          <w:rtl/>
        </w:rPr>
        <w:t>ک</w:t>
      </w:r>
      <w:r w:rsidRPr="0025250D">
        <w:rPr>
          <w:rtl/>
        </w:rPr>
        <w:t xml:space="preserve"> بخش از بن</w:t>
      </w:r>
      <w:r w:rsidRPr="0025250D">
        <w:rPr>
          <w:rFonts w:hint="cs"/>
          <w:rtl/>
        </w:rPr>
        <w:t>ی</w:t>
      </w:r>
      <w:r w:rsidRPr="0025250D">
        <w:rPr>
          <w:rFonts w:hint="eastAsia"/>
          <w:rtl/>
        </w:rPr>
        <w:t>اد</w:t>
      </w:r>
      <w:r w:rsidRPr="0025250D">
        <w:rPr>
          <w:rtl/>
        </w:rPr>
        <w:t xml:space="preserve"> مطالعات </w:t>
      </w:r>
      <w:r w:rsidR="00B56611" w:rsidRPr="0025250D">
        <w:rPr>
          <w:rtl/>
        </w:rPr>
        <w:t>شتاب‌گیری</w:t>
      </w:r>
      <w:r w:rsidRPr="0025250D">
        <w:rPr>
          <w:vertAlign w:val="superscript"/>
          <w:rtl/>
        </w:rPr>
        <w:footnoteReference w:id="21"/>
      </w:r>
      <w:r w:rsidRPr="0025250D">
        <w:rPr>
          <w:rtl/>
        </w:rPr>
        <w:t xml:space="preserve"> (</w:t>
      </w:r>
      <w:r w:rsidRPr="0025250D">
        <w:t>ASF</w:t>
      </w:r>
      <w:r w:rsidRPr="0025250D">
        <w:rPr>
          <w:rtl/>
        </w:rPr>
        <w:t xml:space="preserve">)، </w:t>
      </w:r>
      <w:r w:rsidRPr="0025250D">
        <w:rPr>
          <w:rFonts w:hint="cs"/>
          <w:rtl/>
        </w:rPr>
        <w:t>ی</w:t>
      </w:r>
      <w:r w:rsidRPr="0025250D">
        <w:rPr>
          <w:rFonts w:hint="eastAsia"/>
          <w:rtl/>
        </w:rPr>
        <w:t>ک</w:t>
      </w:r>
      <w:r w:rsidRPr="0025250D">
        <w:rPr>
          <w:rtl/>
        </w:rPr>
        <w:t xml:space="preserve"> سازمان غ</w:t>
      </w:r>
      <w:r w:rsidRPr="0025250D">
        <w:rPr>
          <w:rFonts w:hint="cs"/>
          <w:rtl/>
        </w:rPr>
        <w:t>ی</w:t>
      </w:r>
      <w:r w:rsidRPr="0025250D">
        <w:rPr>
          <w:rFonts w:hint="eastAsia"/>
          <w:rtl/>
        </w:rPr>
        <w:t>رانتفاع</w:t>
      </w:r>
      <w:r w:rsidRPr="0025250D">
        <w:rPr>
          <w:rFonts w:hint="cs"/>
          <w:rtl/>
        </w:rPr>
        <w:t>ی</w:t>
      </w:r>
      <w:r w:rsidRPr="0025250D">
        <w:rPr>
          <w:rtl/>
        </w:rPr>
        <w:t xml:space="preserve"> </w:t>
      </w:r>
      <w:r w:rsidRPr="0025250D">
        <w:t>501c3</w:t>
      </w:r>
      <w:r w:rsidRPr="0025250D">
        <w:rPr>
          <w:rFonts w:hint="cs"/>
          <w:rtl/>
        </w:rPr>
        <w:t xml:space="preserve"> </w:t>
      </w:r>
      <w:r w:rsidRPr="0025250D">
        <w:rPr>
          <w:rtl/>
        </w:rPr>
        <w:t xml:space="preserve">است. </w:t>
      </w:r>
      <w:r w:rsidRPr="0025250D">
        <w:t>ASF</w:t>
      </w:r>
      <w:r w:rsidRPr="0025250D">
        <w:rPr>
          <w:rtl/>
        </w:rPr>
        <w:t xml:space="preserve"> در سال 2003 برا</w:t>
      </w:r>
      <w:r w:rsidRPr="0025250D">
        <w:rPr>
          <w:rFonts w:hint="cs"/>
          <w:rtl/>
        </w:rPr>
        <w:t>ی</w:t>
      </w:r>
      <w:r w:rsidRPr="0025250D">
        <w:rPr>
          <w:rtl/>
        </w:rPr>
        <w:t xml:space="preserve"> تحق</w:t>
      </w:r>
      <w:r w:rsidRPr="0025250D">
        <w:rPr>
          <w:rFonts w:hint="cs"/>
          <w:rtl/>
        </w:rPr>
        <w:t>ی</w:t>
      </w:r>
      <w:r w:rsidRPr="0025250D">
        <w:rPr>
          <w:rtl/>
        </w:rPr>
        <w:t>ق و درک بهتر فرآ</w:t>
      </w:r>
      <w:r w:rsidRPr="0025250D">
        <w:rPr>
          <w:rFonts w:hint="cs"/>
          <w:rtl/>
        </w:rPr>
        <w:t>ی</w:t>
      </w:r>
      <w:r w:rsidRPr="0025250D">
        <w:rPr>
          <w:rFonts w:hint="eastAsia"/>
          <w:rtl/>
        </w:rPr>
        <w:t>ندها</w:t>
      </w:r>
      <w:r w:rsidRPr="0025250D">
        <w:rPr>
          <w:rFonts w:hint="cs"/>
          <w:rtl/>
        </w:rPr>
        <w:t>ی</w:t>
      </w:r>
      <w:r w:rsidRPr="0025250D">
        <w:rPr>
          <w:rtl/>
        </w:rPr>
        <w:t xml:space="preserve"> انسان</w:t>
      </w:r>
      <w:r w:rsidRPr="0025250D">
        <w:rPr>
          <w:rFonts w:hint="cs"/>
          <w:rtl/>
        </w:rPr>
        <w:t>ی</w:t>
      </w:r>
      <w:r w:rsidRPr="0025250D">
        <w:rPr>
          <w:rtl/>
        </w:rPr>
        <w:t xml:space="preserve"> و </w:t>
      </w:r>
      <w:r w:rsidRPr="0025250D">
        <w:rPr>
          <w:rFonts w:hint="cs"/>
          <w:rtl/>
        </w:rPr>
        <w:t>فراگیر</w:t>
      </w:r>
      <w:r w:rsidRPr="0025250D">
        <w:rPr>
          <w:rtl/>
        </w:rPr>
        <w:t xml:space="preserve"> در تسر</w:t>
      </w:r>
      <w:r w:rsidRPr="0025250D">
        <w:rPr>
          <w:rFonts w:hint="cs"/>
          <w:rtl/>
        </w:rPr>
        <w:t>ی</w:t>
      </w:r>
      <w:r w:rsidRPr="0025250D">
        <w:rPr>
          <w:rFonts w:hint="eastAsia"/>
          <w:rtl/>
        </w:rPr>
        <w:t>ع</w:t>
      </w:r>
      <w:r w:rsidRPr="0025250D">
        <w:rPr>
          <w:rtl/>
        </w:rPr>
        <w:t xml:space="preserve"> تغ</w:t>
      </w:r>
      <w:r w:rsidRPr="0025250D">
        <w:rPr>
          <w:rFonts w:hint="cs"/>
          <w:rtl/>
        </w:rPr>
        <w:t>یی</w:t>
      </w:r>
      <w:r w:rsidRPr="0025250D">
        <w:rPr>
          <w:rFonts w:hint="eastAsia"/>
          <w:rtl/>
        </w:rPr>
        <w:t>رات</w:t>
      </w:r>
      <w:r w:rsidRPr="0025250D">
        <w:rPr>
          <w:rtl/>
        </w:rPr>
        <w:t xml:space="preserve"> آغاز شد.</w:t>
      </w:r>
      <w:r w:rsidRPr="0025250D">
        <w:rPr>
          <w:rFonts w:hint="cs"/>
          <w:rtl/>
        </w:rPr>
        <w:t xml:space="preserve"> </w:t>
      </w:r>
      <w:r w:rsidRPr="0025250D">
        <w:rPr>
          <w:rtl/>
        </w:rPr>
        <w:t>همچن</w:t>
      </w:r>
      <w:r w:rsidRPr="0025250D">
        <w:rPr>
          <w:rFonts w:hint="cs"/>
          <w:rtl/>
        </w:rPr>
        <w:t>ی</w:t>
      </w:r>
      <w:r w:rsidRPr="0025250D">
        <w:rPr>
          <w:rFonts w:hint="eastAsia"/>
          <w:rtl/>
        </w:rPr>
        <w:t>ن</w:t>
      </w:r>
      <w:r w:rsidRPr="0025250D">
        <w:rPr>
          <w:rtl/>
        </w:rPr>
        <w:t xml:space="preserve"> داوطلبان</w:t>
      </w:r>
      <w:r w:rsidRPr="0025250D">
        <w:rPr>
          <w:rFonts w:hint="cs"/>
          <w:rtl/>
        </w:rPr>
        <w:t>ی</w:t>
      </w:r>
      <w:r w:rsidRPr="0025250D">
        <w:rPr>
          <w:rtl/>
        </w:rPr>
        <w:t xml:space="preserve"> در شبکه آموزش و تحق</w:t>
      </w:r>
      <w:r w:rsidRPr="0025250D">
        <w:rPr>
          <w:rFonts w:hint="cs"/>
          <w:rtl/>
        </w:rPr>
        <w:t>ی</w:t>
      </w:r>
      <w:r w:rsidRPr="0025250D">
        <w:rPr>
          <w:rFonts w:hint="eastAsia"/>
          <w:rtl/>
        </w:rPr>
        <w:t>قات</w:t>
      </w:r>
      <w:r w:rsidRPr="0025250D">
        <w:rPr>
          <w:rtl/>
        </w:rPr>
        <w:t xml:space="preserve">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vertAlign w:val="superscript"/>
          <w:rtl/>
        </w:rPr>
        <w:footnoteReference w:id="22"/>
      </w:r>
      <w:r w:rsidRPr="0025250D">
        <w:rPr>
          <w:rtl/>
        </w:rPr>
        <w:t xml:space="preserve"> (</w:t>
      </w:r>
      <w:r w:rsidRPr="0025250D">
        <w:t>FERN</w:t>
      </w:r>
      <w:r w:rsidR="000F5D90" w:rsidRPr="0025250D">
        <w:rPr>
          <w:rtl/>
        </w:rPr>
        <w:t>)</w:t>
      </w:r>
      <w:r w:rsidR="000F5D90" w:rsidRPr="0025250D">
        <w:rPr>
          <w:rFonts w:hint="cs"/>
          <w:rtl/>
        </w:rPr>
        <w:t xml:space="preserve"> که</w:t>
      </w:r>
      <w:r w:rsidRPr="0025250D">
        <w:rPr>
          <w:rtl/>
        </w:rPr>
        <w:t xml:space="preserve"> </w:t>
      </w:r>
      <w:r w:rsidR="000F5D90" w:rsidRPr="0025250D">
        <w:rPr>
          <w:rFonts w:hint="cs"/>
          <w:rtl/>
        </w:rPr>
        <w:t>به صورت داوطلبانه</w:t>
      </w:r>
      <w:r w:rsidRPr="0025250D">
        <w:rPr>
          <w:rtl/>
        </w:rPr>
        <w:t xml:space="preserve"> تازه‌واردان به دن</w:t>
      </w:r>
      <w:r w:rsidRPr="0025250D">
        <w:rPr>
          <w:rFonts w:hint="cs"/>
          <w:rtl/>
        </w:rPr>
        <w:t>ی</w:t>
      </w:r>
      <w:r w:rsidRPr="0025250D">
        <w:rPr>
          <w:rFonts w:hint="eastAsia"/>
          <w:rtl/>
        </w:rPr>
        <w:t>ا</w:t>
      </w:r>
      <w:r w:rsidRPr="0025250D">
        <w:rPr>
          <w:rFonts w:hint="cs"/>
          <w:rtl/>
        </w:rPr>
        <w:t>ی</w:t>
      </w:r>
      <w:r w:rsidRPr="0025250D">
        <w:rPr>
          <w:rtl/>
        </w:rPr>
        <w:t xml:space="preserve"> آ</w:t>
      </w:r>
      <w:r w:rsidRPr="0025250D">
        <w:rPr>
          <w:rFonts w:hint="cs"/>
          <w:rtl/>
        </w:rPr>
        <w:t>ی</w:t>
      </w:r>
      <w:r w:rsidRPr="0025250D">
        <w:rPr>
          <w:rFonts w:hint="eastAsia"/>
          <w:rtl/>
        </w:rPr>
        <w:t>نده‌نگار</w:t>
      </w:r>
      <w:r w:rsidRPr="0025250D">
        <w:rPr>
          <w:rFonts w:hint="cs"/>
          <w:rtl/>
        </w:rPr>
        <w:t>ی</w:t>
      </w:r>
      <w:r w:rsidRPr="0025250D">
        <w:rPr>
          <w:rtl/>
        </w:rPr>
        <w:t xml:space="preserve"> </w:t>
      </w:r>
      <w:r w:rsidRPr="0025250D">
        <w:rPr>
          <w:rFonts w:hint="cs"/>
          <w:rtl/>
        </w:rPr>
        <w:t>تخصصی را</w:t>
      </w:r>
      <w:r w:rsidRPr="0025250D">
        <w:rPr>
          <w:rtl/>
        </w:rPr>
        <w:t xml:space="preserve"> هدا</w:t>
      </w:r>
      <w:r w:rsidRPr="0025250D">
        <w:rPr>
          <w:rFonts w:hint="cs"/>
          <w:rtl/>
        </w:rPr>
        <w:t>ی</w:t>
      </w:r>
      <w:r w:rsidRPr="0025250D">
        <w:rPr>
          <w:rFonts w:hint="eastAsia"/>
          <w:rtl/>
        </w:rPr>
        <w:t>ت</w:t>
      </w:r>
      <w:r w:rsidRPr="0025250D">
        <w:rPr>
          <w:rtl/>
        </w:rPr>
        <w:t xml:space="preserve"> م</w:t>
      </w:r>
      <w:r w:rsidRPr="0025250D">
        <w:rPr>
          <w:rFonts w:hint="cs"/>
          <w:rtl/>
        </w:rPr>
        <w:t>ی‌</w:t>
      </w:r>
      <w:r w:rsidRPr="0025250D">
        <w:rPr>
          <w:rFonts w:hint="eastAsia"/>
          <w:rtl/>
        </w:rPr>
        <w:t>کن</w:t>
      </w:r>
      <w:r w:rsidR="000F5D90" w:rsidRPr="0025250D">
        <w:rPr>
          <w:rFonts w:hint="cs"/>
          <w:rtl/>
        </w:rPr>
        <w:t>ن</w:t>
      </w:r>
      <w:r w:rsidRPr="0025250D">
        <w:rPr>
          <w:rFonts w:hint="eastAsia"/>
          <w:rtl/>
        </w:rPr>
        <w:t>د،</w:t>
      </w:r>
      <w:r w:rsidRPr="0025250D">
        <w:rPr>
          <w:rtl/>
        </w:rPr>
        <w:t xml:space="preserve"> </w:t>
      </w:r>
      <w:r w:rsidRPr="0025250D">
        <w:rPr>
          <w:rFonts w:hint="cs"/>
          <w:rtl/>
        </w:rPr>
        <w:t>به تولید این کتاب کمک کرده‌اند</w:t>
      </w:r>
      <w:r w:rsidRPr="0025250D">
        <w:rPr>
          <w:rtl/>
        </w:rPr>
        <w:t>. در سال 2022، هر دو</w:t>
      </w:r>
      <w:r w:rsidR="00F34345" w:rsidRPr="0025250D">
        <w:rPr>
          <w:rFonts w:hint="cs"/>
          <w:rtl/>
        </w:rPr>
        <w:t xml:space="preserve"> موسسه</w:t>
      </w:r>
      <w:r w:rsidRPr="0025250D">
        <w:rPr>
          <w:rtl/>
        </w:rPr>
        <w:t xml:space="preserve"> </w:t>
      </w:r>
      <w:r w:rsidRPr="0025250D">
        <w:t>ASF</w:t>
      </w:r>
      <w:r w:rsidRPr="0025250D">
        <w:rPr>
          <w:rtl/>
        </w:rPr>
        <w:t xml:space="preserve"> و </w:t>
      </w:r>
      <w:r w:rsidRPr="0025250D">
        <w:t>FERN</w:t>
      </w:r>
      <w:r w:rsidRPr="0025250D">
        <w:rPr>
          <w:rtl/>
        </w:rPr>
        <w:t xml:space="preserve"> تحت </w:t>
      </w:r>
      <w:r w:rsidRPr="0025250D">
        <w:rPr>
          <w:rFonts w:hint="cs"/>
          <w:rtl/>
        </w:rPr>
        <w:t>ی</w:t>
      </w:r>
      <w:r w:rsidRPr="0025250D">
        <w:rPr>
          <w:rFonts w:hint="eastAsia"/>
          <w:rtl/>
        </w:rPr>
        <w:t>ک</w:t>
      </w:r>
      <w:r w:rsidRPr="0025250D">
        <w:rPr>
          <w:rtl/>
        </w:rPr>
        <w:t xml:space="preserve"> سازمان غ</w:t>
      </w:r>
      <w:r w:rsidRPr="0025250D">
        <w:rPr>
          <w:rFonts w:hint="cs"/>
          <w:rtl/>
        </w:rPr>
        <w:t>ی</w:t>
      </w:r>
      <w:r w:rsidRPr="0025250D">
        <w:rPr>
          <w:rFonts w:hint="eastAsia"/>
          <w:rtl/>
        </w:rPr>
        <w:t>رانتفاع</w:t>
      </w:r>
      <w:r w:rsidRPr="0025250D">
        <w:rPr>
          <w:rFonts w:hint="cs"/>
          <w:rtl/>
        </w:rPr>
        <w:t>ی</w:t>
      </w:r>
      <w:r w:rsidRPr="0025250D">
        <w:rPr>
          <w:rtl/>
        </w:rPr>
        <w:t xml:space="preserve"> جد</w:t>
      </w:r>
      <w:r w:rsidRPr="0025250D">
        <w:rPr>
          <w:rFonts w:hint="cs"/>
          <w:rtl/>
        </w:rPr>
        <w:t>ی</w:t>
      </w:r>
      <w:r w:rsidRPr="0025250D">
        <w:rPr>
          <w:rFonts w:hint="eastAsia"/>
          <w:rtl/>
        </w:rPr>
        <w:t>د،</w:t>
      </w:r>
      <w:r w:rsidRPr="0025250D">
        <w:rPr>
          <w:rtl/>
        </w:rPr>
        <w:t xml:space="preserve"> بن</w:t>
      </w:r>
      <w:r w:rsidRPr="0025250D">
        <w:rPr>
          <w:rFonts w:hint="cs"/>
          <w:rtl/>
        </w:rPr>
        <w:t>ی</w:t>
      </w:r>
      <w:r w:rsidRPr="0025250D">
        <w:rPr>
          <w:rFonts w:hint="eastAsia"/>
          <w:rtl/>
        </w:rPr>
        <w:t>اد</w:t>
      </w:r>
      <w:r w:rsidRPr="0025250D">
        <w:rPr>
          <w:rtl/>
        </w:rPr>
        <w:t xml:space="preserve"> ف</w:t>
      </w:r>
      <w:r w:rsidRPr="0025250D">
        <w:rPr>
          <w:rFonts w:hint="cs"/>
          <w:rtl/>
        </w:rPr>
        <w:t>ی</w:t>
      </w:r>
      <w:r w:rsidRPr="0025250D">
        <w:rPr>
          <w:rFonts w:hint="eastAsia"/>
          <w:rtl/>
        </w:rPr>
        <w:t>وچر</w:t>
      </w:r>
      <w:r w:rsidRPr="0025250D">
        <w:rPr>
          <w:rtl/>
        </w:rPr>
        <w:t>مد</w:t>
      </w:r>
      <w:r w:rsidRPr="0025250D">
        <w:rPr>
          <w:rFonts w:hint="cs"/>
          <w:rtl/>
        </w:rPr>
        <w:t>ی</w:t>
      </w:r>
      <w:r w:rsidRPr="0025250D">
        <w:rPr>
          <w:rFonts w:hint="eastAsia"/>
          <w:rtl/>
        </w:rPr>
        <w:t>ا</w:t>
      </w:r>
      <w:r w:rsidRPr="0025250D">
        <w:rPr>
          <w:vertAlign w:val="superscript"/>
          <w:rtl/>
        </w:rPr>
        <w:footnoteReference w:id="23"/>
      </w:r>
      <w:r w:rsidRPr="0025250D">
        <w:rPr>
          <w:rFonts w:hint="eastAsia"/>
          <w:rtl/>
        </w:rPr>
        <w:t>،</w:t>
      </w:r>
      <w:r w:rsidRPr="0025250D">
        <w:rPr>
          <w:rtl/>
        </w:rPr>
        <w:t xml:space="preserve"> متحد </w:t>
      </w:r>
      <w:r w:rsidRPr="0025250D">
        <w:rPr>
          <w:rFonts w:hint="cs"/>
          <w:rtl/>
        </w:rPr>
        <w:t>شد</w:t>
      </w:r>
      <w:r w:rsidR="00F34345" w:rsidRPr="0025250D">
        <w:rPr>
          <w:rFonts w:hint="cs"/>
          <w:rtl/>
        </w:rPr>
        <w:t>ند</w:t>
      </w:r>
      <w:r w:rsidRPr="0025250D">
        <w:rPr>
          <w:rtl/>
        </w:rPr>
        <w:t>. تمرکز سازمان غ</w:t>
      </w:r>
      <w:r w:rsidRPr="0025250D">
        <w:rPr>
          <w:rFonts w:hint="cs"/>
          <w:rtl/>
        </w:rPr>
        <w:t>ی</w:t>
      </w:r>
      <w:r w:rsidRPr="0025250D">
        <w:rPr>
          <w:rFonts w:hint="eastAsia"/>
          <w:rtl/>
        </w:rPr>
        <w:t>رانتفاع</w:t>
      </w:r>
      <w:r w:rsidRPr="0025250D">
        <w:rPr>
          <w:rFonts w:hint="cs"/>
          <w:rtl/>
        </w:rPr>
        <w:t>ی</w:t>
      </w:r>
      <w:r w:rsidRPr="0025250D">
        <w:rPr>
          <w:rtl/>
        </w:rPr>
        <w:t xml:space="preserve"> جد</w:t>
      </w:r>
      <w:r w:rsidRPr="0025250D">
        <w:rPr>
          <w:rFonts w:hint="cs"/>
          <w:rtl/>
        </w:rPr>
        <w:t>ی</w:t>
      </w:r>
      <w:r w:rsidRPr="0025250D">
        <w:rPr>
          <w:rFonts w:hint="eastAsia"/>
          <w:rtl/>
        </w:rPr>
        <w:t>د</w:t>
      </w:r>
      <w:r w:rsidRPr="0025250D">
        <w:rPr>
          <w:rtl/>
        </w:rPr>
        <w:t xml:space="preserve"> ما ساخت </w:t>
      </w:r>
      <w:r w:rsidRPr="0025250D">
        <w:rPr>
          <w:rFonts w:hint="cs"/>
          <w:rtl/>
        </w:rPr>
        <w:t>ی</w:t>
      </w:r>
      <w:r w:rsidRPr="0025250D">
        <w:rPr>
          <w:rFonts w:hint="eastAsia"/>
          <w:rtl/>
        </w:rPr>
        <w:t>ک</w:t>
      </w:r>
      <w:r w:rsidRPr="0025250D">
        <w:rPr>
          <w:rtl/>
        </w:rPr>
        <w:t xml:space="preserve"> ف</w:t>
      </w:r>
      <w:r w:rsidRPr="0025250D">
        <w:rPr>
          <w:rFonts w:hint="cs"/>
          <w:rtl/>
        </w:rPr>
        <w:t>ی</w:t>
      </w:r>
      <w:r w:rsidRPr="0025250D">
        <w:rPr>
          <w:rFonts w:hint="eastAsia"/>
          <w:rtl/>
        </w:rPr>
        <w:t>وچر</w:t>
      </w:r>
      <w:r w:rsidRPr="0025250D">
        <w:rPr>
          <w:rtl/>
        </w:rPr>
        <w:t>مد</w:t>
      </w:r>
      <w:r w:rsidRPr="0025250D">
        <w:rPr>
          <w:rFonts w:hint="cs"/>
          <w:rtl/>
        </w:rPr>
        <w:t>ی</w:t>
      </w:r>
      <w:r w:rsidRPr="0025250D">
        <w:rPr>
          <w:rFonts w:hint="eastAsia"/>
          <w:rtl/>
        </w:rPr>
        <w:t>ا</w:t>
      </w:r>
      <w:r w:rsidRPr="0025250D">
        <w:rPr>
          <w:rFonts w:hint="cs"/>
          <w:rtl/>
        </w:rPr>
        <w:t>ی</w:t>
      </w:r>
      <w:r w:rsidRPr="0025250D">
        <w:rPr>
          <w:rtl/>
        </w:rPr>
        <w:t xml:space="preserve"> آنلا</w:t>
      </w:r>
      <w:r w:rsidRPr="0025250D">
        <w:rPr>
          <w:rFonts w:hint="cs"/>
          <w:rtl/>
        </w:rPr>
        <w:t>ی</w:t>
      </w:r>
      <w:r w:rsidRPr="0025250D">
        <w:rPr>
          <w:rFonts w:hint="eastAsia"/>
          <w:rtl/>
        </w:rPr>
        <w:t>ن</w:t>
      </w:r>
      <w:r w:rsidRPr="0025250D">
        <w:rPr>
          <w:rtl/>
        </w:rPr>
        <w:t xml:space="preserve"> است</w:t>
      </w:r>
      <w:r w:rsidR="00F34345" w:rsidRPr="0025250D">
        <w:rPr>
          <w:rFonts w:hint="cs"/>
          <w:rtl/>
        </w:rPr>
        <w:t>؛</w:t>
      </w:r>
      <w:r w:rsidRPr="0025250D">
        <w:rPr>
          <w:rtl/>
        </w:rPr>
        <w:t xml:space="preserve"> </w:t>
      </w:r>
      <w:r w:rsidRPr="0025250D">
        <w:rPr>
          <w:rFonts w:hint="cs"/>
          <w:rtl/>
        </w:rPr>
        <w:t xml:space="preserve">یک </w:t>
      </w:r>
      <w:r w:rsidRPr="0025250D">
        <w:rPr>
          <w:rtl/>
        </w:rPr>
        <w:t>و</w:t>
      </w:r>
      <w:r w:rsidRPr="0025250D">
        <w:rPr>
          <w:rFonts w:hint="cs"/>
          <w:rtl/>
        </w:rPr>
        <w:t>ی</w:t>
      </w:r>
      <w:r w:rsidRPr="0025250D">
        <w:rPr>
          <w:rFonts w:hint="eastAsia"/>
          <w:rtl/>
        </w:rPr>
        <w:t>ک</w:t>
      </w:r>
      <w:r w:rsidRPr="0025250D">
        <w:rPr>
          <w:rFonts w:hint="cs"/>
          <w:rtl/>
        </w:rPr>
        <w:t>ی</w:t>
      </w:r>
      <w:r w:rsidRPr="0025250D">
        <w:rPr>
          <w:vertAlign w:val="superscript"/>
          <w:rtl/>
        </w:rPr>
        <w:footnoteReference w:id="24"/>
      </w:r>
      <w:r w:rsidRPr="0025250D">
        <w:rPr>
          <w:rtl/>
        </w:rPr>
        <w:t xml:space="preserve"> و</w:t>
      </w:r>
      <w:r w:rsidRPr="0025250D">
        <w:rPr>
          <w:rFonts w:hint="cs"/>
          <w:rtl/>
        </w:rPr>
        <w:t>ی</w:t>
      </w:r>
      <w:r w:rsidRPr="0025250D">
        <w:rPr>
          <w:rFonts w:hint="eastAsia"/>
          <w:rtl/>
        </w:rPr>
        <w:t>را</w:t>
      </w:r>
      <w:r w:rsidRPr="0025250D">
        <w:rPr>
          <w:rFonts w:hint="cs"/>
          <w:rtl/>
        </w:rPr>
        <w:t>ی</w:t>
      </w:r>
      <w:r w:rsidRPr="0025250D">
        <w:rPr>
          <w:rFonts w:hint="eastAsia"/>
          <w:rtl/>
        </w:rPr>
        <w:t>ش</w:t>
      </w:r>
      <w:r w:rsidRPr="0025250D">
        <w:rPr>
          <w:rtl/>
        </w:rPr>
        <w:t xml:space="preserve"> شده توسط </w:t>
      </w:r>
      <w:r w:rsidRPr="0025250D">
        <w:rPr>
          <w:rFonts w:hint="cs"/>
          <w:rtl/>
        </w:rPr>
        <w:t xml:space="preserve">یک </w:t>
      </w:r>
      <w:r w:rsidRPr="0025250D">
        <w:rPr>
          <w:rtl/>
        </w:rPr>
        <w:t>جامعه که هم آینده‌نگاری و هم آینده‌پژوهی را پوشش می‌دهد.</w:t>
      </w:r>
    </w:p>
    <w:p w14:paraId="5FA4FB1F" w14:textId="2AEE63AB" w:rsidR="00B219EF" w:rsidRPr="0025250D" w:rsidRDefault="00B219EF" w:rsidP="0044590A">
      <w:pPr>
        <w:rPr>
          <w:rtl/>
        </w:rPr>
      </w:pPr>
      <w:r w:rsidRPr="0025250D">
        <w:rPr>
          <w:rtl/>
        </w:rPr>
        <w:t>ا</w:t>
      </w:r>
      <w:r w:rsidRPr="0025250D">
        <w:rPr>
          <w:rFonts w:hint="cs"/>
          <w:rtl/>
        </w:rPr>
        <w:t>ی</w:t>
      </w:r>
      <w:r w:rsidRPr="0025250D">
        <w:rPr>
          <w:rFonts w:hint="eastAsia"/>
          <w:rtl/>
        </w:rPr>
        <w:t>ن</w:t>
      </w:r>
      <w:r w:rsidR="0044590A" w:rsidRPr="0025250D">
        <w:rPr>
          <w:rFonts w:hint="cs"/>
          <w:rtl/>
        </w:rPr>
        <w:t xml:space="preserve"> نسخه</w:t>
      </w:r>
      <w:r w:rsidRPr="0025250D">
        <w:rPr>
          <w:rtl/>
        </w:rPr>
        <w:t xml:space="preserve"> چاپ اول است. با توجه به ا</w:t>
      </w:r>
      <w:r w:rsidRPr="0025250D">
        <w:rPr>
          <w:rFonts w:hint="cs"/>
          <w:rtl/>
        </w:rPr>
        <w:t>ی</w:t>
      </w:r>
      <w:r w:rsidRPr="0025250D">
        <w:rPr>
          <w:rFonts w:hint="eastAsia"/>
          <w:rtl/>
        </w:rPr>
        <w:t>نکه</w:t>
      </w:r>
      <w:r w:rsidRPr="0025250D">
        <w:rPr>
          <w:rtl/>
        </w:rPr>
        <w:t xml:space="preserve"> تغ</w:t>
      </w:r>
      <w:r w:rsidRPr="0025250D">
        <w:rPr>
          <w:rFonts w:hint="cs"/>
          <w:rtl/>
        </w:rPr>
        <w:t>یی</w:t>
      </w:r>
      <w:r w:rsidRPr="0025250D">
        <w:rPr>
          <w:rFonts w:hint="eastAsia"/>
          <w:rtl/>
        </w:rPr>
        <w:t>رات</w:t>
      </w:r>
      <w:r w:rsidRPr="0025250D">
        <w:rPr>
          <w:rFonts w:hint="cs"/>
          <w:rtl/>
        </w:rPr>
        <w:t>ی</w:t>
      </w:r>
      <w:r w:rsidRPr="0025250D">
        <w:rPr>
          <w:rtl/>
        </w:rPr>
        <w:t xml:space="preserve"> </w:t>
      </w:r>
      <w:r w:rsidRPr="0025250D">
        <w:rPr>
          <w:rFonts w:hint="cs"/>
          <w:rtl/>
        </w:rPr>
        <w:t>موردنیاز هستند</w:t>
      </w:r>
      <w:r w:rsidRPr="0025250D">
        <w:rPr>
          <w:rtl/>
        </w:rPr>
        <w:t>، ما قصد دار</w:t>
      </w:r>
      <w:r w:rsidRPr="0025250D">
        <w:rPr>
          <w:rFonts w:hint="cs"/>
          <w:rtl/>
        </w:rPr>
        <w:t>ی</w:t>
      </w:r>
      <w:r w:rsidRPr="0025250D">
        <w:rPr>
          <w:rFonts w:hint="eastAsia"/>
          <w:rtl/>
        </w:rPr>
        <w:t>م</w:t>
      </w:r>
      <w:r w:rsidRPr="0025250D">
        <w:rPr>
          <w:rtl/>
        </w:rPr>
        <w:t xml:space="preserve"> نسخه‌ها</w:t>
      </w:r>
      <w:r w:rsidRPr="0025250D">
        <w:rPr>
          <w:rFonts w:hint="cs"/>
          <w:rtl/>
        </w:rPr>
        <w:t>ی</w:t>
      </w:r>
      <w:r w:rsidRPr="0025250D">
        <w:rPr>
          <w:rtl/>
        </w:rPr>
        <w:t xml:space="preserve"> جد</w:t>
      </w:r>
      <w:r w:rsidRPr="0025250D">
        <w:rPr>
          <w:rFonts w:hint="cs"/>
          <w:rtl/>
        </w:rPr>
        <w:t>ی</w:t>
      </w:r>
      <w:r w:rsidRPr="0025250D">
        <w:rPr>
          <w:rFonts w:hint="eastAsia"/>
          <w:rtl/>
        </w:rPr>
        <w:t>د</w:t>
      </w:r>
      <w:r w:rsidRPr="0025250D">
        <w:rPr>
          <w:rtl/>
        </w:rPr>
        <w:t xml:space="preserve"> راهنما را به‌طور دائم</w:t>
      </w:r>
      <w:r w:rsidRPr="0025250D">
        <w:rPr>
          <w:rFonts w:hint="cs"/>
          <w:rtl/>
        </w:rPr>
        <w:t xml:space="preserve"> و </w:t>
      </w:r>
      <w:r w:rsidRPr="0025250D">
        <w:rPr>
          <w:rtl/>
        </w:rPr>
        <w:t>به‌</w:t>
      </w:r>
      <w:r w:rsidRPr="0025250D">
        <w:rPr>
          <w:rFonts w:hint="cs"/>
          <w:rtl/>
        </w:rPr>
        <w:t>صورت</w:t>
      </w:r>
      <w:r w:rsidRPr="0025250D">
        <w:rPr>
          <w:rtl/>
        </w:rPr>
        <w:t xml:space="preserve"> دوره‌ا</w:t>
      </w:r>
      <w:r w:rsidRPr="0025250D">
        <w:rPr>
          <w:rFonts w:hint="cs"/>
          <w:rtl/>
        </w:rPr>
        <w:t>ی</w:t>
      </w:r>
      <w:r w:rsidRPr="0025250D">
        <w:rPr>
          <w:rtl/>
        </w:rPr>
        <w:t xml:space="preserve"> منتشر کن</w:t>
      </w:r>
      <w:r w:rsidRPr="0025250D">
        <w:rPr>
          <w:rFonts w:hint="cs"/>
          <w:rtl/>
        </w:rPr>
        <w:t>ی</w:t>
      </w:r>
      <w:r w:rsidRPr="0025250D">
        <w:rPr>
          <w:rFonts w:hint="eastAsia"/>
          <w:rtl/>
        </w:rPr>
        <w:t>م</w:t>
      </w:r>
      <w:r w:rsidRPr="0025250D">
        <w:rPr>
          <w:rtl/>
        </w:rPr>
        <w:t>. گروه</w:t>
      </w:r>
      <w:r w:rsidR="0044590A" w:rsidRPr="0025250D">
        <w:rPr>
          <w:rFonts w:hint="cs"/>
          <w:rtl/>
        </w:rPr>
        <w:t xml:space="preserve"> </w:t>
      </w:r>
      <w:r w:rsidR="0044590A" w:rsidRPr="0025250D">
        <w:rPr>
          <w:rtl/>
        </w:rPr>
        <w:t>نو</w:t>
      </w:r>
      <w:r w:rsidR="0044590A" w:rsidRPr="0025250D">
        <w:rPr>
          <w:rFonts w:hint="cs"/>
          <w:rtl/>
        </w:rPr>
        <w:t>ی</w:t>
      </w:r>
      <w:r w:rsidR="0044590A" w:rsidRPr="0025250D">
        <w:rPr>
          <w:rFonts w:hint="eastAsia"/>
          <w:rtl/>
        </w:rPr>
        <w:t>سندگان</w:t>
      </w:r>
      <w:r w:rsidR="0044590A" w:rsidRPr="0025250D">
        <w:rPr>
          <w:rtl/>
        </w:rPr>
        <w:t xml:space="preserve"> و و</w:t>
      </w:r>
      <w:r w:rsidR="0044590A" w:rsidRPr="0025250D">
        <w:rPr>
          <w:rFonts w:hint="cs"/>
          <w:rtl/>
        </w:rPr>
        <w:t>ی</w:t>
      </w:r>
      <w:r w:rsidR="0044590A" w:rsidRPr="0025250D">
        <w:rPr>
          <w:rFonts w:hint="eastAsia"/>
          <w:rtl/>
        </w:rPr>
        <w:t>راستاران</w:t>
      </w:r>
      <w:r w:rsidRPr="0025250D">
        <w:rPr>
          <w:rtl/>
        </w:rPr>
        <w:t xml:space="preserve"> رو به رشد ما متعهد می‌شوند که به بهبود آن ادامه دهند تا در سال‌های آ</w:t>
      </w:r>
      <w:r w:rsidRPr="0025250D">
        <w:rPr>
          <w:rFonts w:hint="cs"/>
          <w:rtl/>
        </w:rPr>
        <w:t>ی</w:t>
      </w:r>
      <w:r w:rsidRPr="0025250D">
        <w:rPr>
          <w:rFonts w:hint="eastAsia"/>
          <w:rtl/>
        </w:rPr>
        <w:t>نده</w:t>
      </w:r>
      <w:r w:rsidR="00F34345" w:rsidRPr="0025250D">
        <w:rPr>
          <w:rFonts w:hint="cs"/>
          <w:rtl/>
        </w:rPr>
        <w:t xml:space="preserve"> نیز</w:t>
      </w:r>
      <w:r w:rsidRPr="0025250D">
        <w:rPr>
          <w:rtl/>
        </w:rPr>
        <w:t xml:space="preserve"> به شما خد</w:t>
      </w:r>
      <w:r w:rsidRPr="0025250D">
        <w:rPr>
          <w:rFonts w:hint="eastAsia"/>
          <w:rtl/>
        </w:rPr>
        <w:t>مت</w:t>
      </w:r>
      <w:r w:rsidRPr="0025250D">
        <w:rPr>
          <w:rtl/>
        </w:rPr>
        <w:t xml:space="preserve"> کند.</w:t>
      </w:r>
      <w:r w:rsidRPr="0025250D">
        <w:rPr>
          <w:rFonts w:hint="cs"/>
          <w:rtl/>
        </w:rPr>
        <w:t xml:space="preserve"> </w:t>
      </w:r>
      <w:r w:rsidRPr="0025250D">
        <w:rPr>
          <w:rtl/>
        </w:rPr>
        <w:t>برا</w:t>
      </w:r>
      <w:r w:rsidRPr="0025250D">
        <w:rPr>
          <w:rFonts w:hint="cs"/>
          <w:rtl/>
        </w:rPr>
        <w:t>ی</w:t>
      </w:r>
      <w:r w:rsidRPr="0025250D">
        <w:rPr>
          <w:rtl/>
        </w:rPr>
        <w:t xml:space="preserve"> ا</w:t>
      </w:r>
      <w:r w:rsidRPr="0025250D">
        <w:rPr>
          <w:rFonts w:hint="cs"/>
          <w:rtl/>
        </w:rPr>
        <w:t>ی</w:t>
      </w:r>
      <w:r w:rsidRPr="0025250D">
        <w:rPr>
          <w:rFonts w:hint="eastAsia"/>
          <w:rtl/>
        </w:rPr>
        <w:t>نکه</w:t>
      </w:r>
      <w:r w:rsidRPr="0025250D">
        <w:rPr>
          <w:rtl/>
        </w:rPr>
        <w:t xml:space="preserve"> آن را برا</w:t>
      </w:r>
      <w:r w:rsidRPr="0025250D">
        <w:rPr>
          <w:rFonts w:hint="cs"/>
          <w:rtl/>
        </w:rPr>
        <w:t>ی</w:t>
      </w:r>
      <w:r w:rsidRPr="0025250D">
        <w:rPr>
          <w:rtl/>
        </w:rPr>
        <w:t xml:space="preserve"> نسخه بعد</w:t>
      </w:r>
      <w:r w:rsidRPr="0025250D">
        <w:rPr>
          <w:rFonts w:hint="cs"/>
          <w:rtl/>
        </w:rPr>
        <w:t>ی</w:t>
      </w:r>
      <w:r w:rsidRPr="0025250D">
        <w:rPr>
          <w:rtl/>
        </w:rPr>
        <w:t xml:space="preserve"> آماده کن</w:t>
      </w:r>
      <w:r w:rsidRPr="0025250D">
        <w:rPr>
          <w:rFonts w:hint="cs"/>
          <w:rtl/>
        </w:rPr>
        <w:t>یم</w:t>
      </w:r>
      <w:r w:rsidRPr="0025250D">
        <w:rPr>
          <w:rFonts w:hint="eastAsia"/>
          <w:rtl/>
        </w:rPr>
        <w:t>،</w:t>
      </w:r>
      <w:r w:rsidRPr="0025250D">
        <w:rPr>
          <w:rtl/>
        </w:rPr>
        <w:t xml:space="preserve"> لطفاً </w:t>
      </w:r>
      <w:r w:rsidR="00F34345" w:rsidRPr="0025250D">
        <w:rPr>
          <w:rFonts w:hint="cs"/>
          <w:rtl/>
        </w:rPr>
        <w:t>این موارد را با ما در میان بگذارید</w:t>
      </w:r>
      <w:r w:rsidRPr="0025250D">
        <w:rPr>
          <w:rtl/>
        </w:rPr>
        <w:t xml:space="preserve">: </w:t>
      </w:r>
      <w:r w:rsidRPr="0025250D">
        <w:rPr>
          <w:rFonts w:hint="cs"/>
          <w:rtl/>
        </w:rPr>
        <w:t xml:space="preserve">قدردانی از </w:t>
      </w:r>
      <w:r w:rsidRPr="0025250D">
        <w:rPr>
          <w:rtl/>
        </w:rPr>
        <w:t>چه کس</w:t>
      </w:r>
      <w:r w:rsidRPr="0025250D">
        <w:rPr>
          <w:rFonts w:hint="cs"/>
          <w:rtl/>
        </w:rPr>
        <w:t>ی</w:t>
      </w:r>
      <w:r w:rsidRPr="0025250D">
        <w:rPr>
          <w:rtl/>
        </w:rPr>
        <w:t xml:space="preserve"> را </w:t>
      </w:r>
      <w:r w:rsidRPr="0025250D">
        <w:rPr>
          <w:rFonts w:hint="cs"/>
          <w:rtl/>
        </w:rPr>
        <w:t>فراموش کرده‌ایم</w:t>
      </w:r>
      <w:r w:rsidRPr="0025250D">
        <w:rPr>
          <w:rFonts w:hint="eastAsia"/>
          <w:rtl/>
        </w:rPr>
        <w:t>؟</w:t>
      </w:r>
      <w:r w:rsidRPr="0025250D">
        <w:rPr>
          <w:rtl/>
        </w:rPr>
        <w:t xml:space="preserve"> چه چ</w:t>
      </w:r>
      <w:r w:rsidRPr="0025250D">
        <w:rPr>
          <w:rFonts w:hint="cs"/>
          <w:rtl/>
        </w:rPr>
        <w:t>ی</w:t>
      </w:r>
      <w:r w:rsidRPr="0025250D">
        <w:rPr>
          <w:rFonts w:hint="eastAsia"/>
          <w:rtl/>
        </w:rPr>
        <w:t>زها</w:t>
      </w:r>
      <w:r w:rsidRPr="0025250D">
        <w:rPr>
          <w:rFonts w:hint="cs"/>
          <w:rtl/>
        </w:rPr>
        <w:t>یی</w:t>
      </w:r>
      <w:r w:rsidRPr="0025250D">
        <w:rPr>
          <w:rtl/>
        </w:rPr>
        <w:t xml:space="preserve"> را کنار گذاشته‌ایم </w:t>
      </w:r>
      <w:r w:rsidRPr="0025250D">
        <w:rPr>
          <w:rFonts w:hint="cs"/>
          <w:rtl/>
        </w:rPr>
        <w:t>ی</w:t>
      </w:r>
      <w:r w:rsidRPr="0025250D">
        <w:rPr>
          <w:rFonts w:hint="eastAsia"/>
          <w:rtl/>
        </w:rPr>
        <w:t>ا</w:t>
      </w:r>
      <w:r w:rsidRPr="0025250D">
        <w:rPr>
          <w:rtl/>
        </w:rPr>
        <w:t xml:space="preserve"> اشتباه </w:t>
      </w:r>
      <w:r w:rsidRPr="0025250D">
        <w:rPr>
          <w:rFonts w:hint="cs"/>
          <w:rtl/>
        </w:rPr>
        <w:t>بیان نموده‌ایم</w:t>
      </w:r>
      <w:r w:rsidRPr="0025250D">
        <w:rPr>
          <w:rFonts w:hint="eastAsia"/>
          <w:rtl/>
        </w:rPr>
        <w:t>؟</w:t>
      </w:r>
      <w:r w:rsidRPr="0025250D">
        <w:rPr>
          <w:rtl/>
        </w:rPr>
        <w:t xml:space="preserve"> ما به گرم</w:t>
      </w:r>
      <w:r w:rsidRPr="0025250D">
        <w:rPr>
          <w:rFonts w:hint="cs"/>
          <w:rtl/>
        </w:rPr>
        <w:t>ی</w:t>
      </w:r>
      <w:r w:rsidRPr="0025250D">
        <w:rPr>
          <w:rtl/>
        </w:rPr>
        <w:t xml:space="preserve"> از</w:t>
      </w:r>
      <w:r w:rsidR="00F34345" w:rsidRPr="0025250D">
        <w:rPr>
          <w:rFonts w:hint="cs"/>
          <w:rtl/>
        </w:rPr>
        <w:t xml:space="preserve"> </w:t>
      </w:r>
      <w:r w:rsidRPr="0025250D">
        <w:rPr>
          <w:rtl/>
        </w:rPr>
        <w:t xml:space="preserve">نظرات و انتقادات شما </w:t>
      </w:r>
      <w:r w:rsidR="00B04E18" w:rsidRPr="0025250D">
        <w:rPr>
          <w:rFonts w:hint="cs"/>
          <w:rtl/>
        </w:rPr>
        <w:t>از طریق</w:t>
      </w:r>
      <w:r w:rsidRPr="0025250D">
        <w:rPr>
          <w:rtl/>
        </w:rPr>
        <w:t xml:space="preserve"> </w:t>
      </w:r>
      <w:r w:rsidRPr="0025250D">
        <w:t>guide@foresightu.com</w:t>
      </w:r>
      <w:r w:rsidRPr="0025250D">
        <w:rPr>
          <w:rtl/>
        </w:rPr>
        <w:t xml:space="preserve"> استقبال می‌کنیم.</w:t>
      </w:r>
    </w:p>
    <w:p w14:paraId="5742BA63" w14:textId="2D46F015" w:rsidR="00B219EF" w:rsidRPr="0025250D" w:rsidRDefault="00B219EF" w:rsidP="000F5D90">
      <w:pPr>
        <w:rPr>
          <w:rtl/>
        </w:rPr>
      </w:pPr>
      <w:r w:rsidRPr="0025250D">
        <w:rPr>
          <w:rFonts w:hint="cs"/>
          <w:rtl/>
        </w:rPr>
        <w:t xml:space="preserve">این </w:t>
      </w:r>
      <w:r w:rsidRPr="0025250D">
        <w:rPr>
          <w:rtl/>
        </w:rPr>
        <w:t xml:space="preserve">راهنما </w:t>
      </w:r>
      <w:r w:rsidRPr="0025250D">
        <w:rPr>
          <w:rFonts w:hint="cs"/>
          <w:rtl/>
        </w:rPr>
        <w:t>همچنین</w:t>
      </w:r>
      <w:r w:rsidRPr="0025250D">
        <w:rPr>
          <w:rtl/>
        </w:rPr>
        <w:t xml:space="preserve"> </w:t>
      </w:r>
      <w:r w:rsidRPr="0025250D">
        <w:rPr>
          <w:rFonts w:hint="cs"/>
          <w:rtl/>
        </w:rPr>
        <w:t>در حال پیشرفت است</w:t>
      </w:r>
      <w:r w:rsidRPr="0025250D">
        <w:rPr>
          <w:rtl/>
        </w:rPr>
        <w:t>. پر از مدل‌های آزما</w:t>
      </w:r>
      <w:r w:rsidRPr="0025250D">
        <w:rPr>
          <w:rFonts w:hint="cs"/>
          <w:rtl/>
        </w:rPr>
        <w:t>ی</w:t>
      </w:r>
      <w:r w:rsidRPr="0025250D">
        <w:rPr>
          <w:rFonts w:hint="eastAsia"/>
          <w:rtl/>
        </w:rPr>
        <w:t>ش</w:t>
      </w:r>
      <w:r w:rsidRPr="0025250D">
        <w:rPr>
          <w:rFonts w:hint="cs"/>
          <w:rtl/>
        </w:rPr>
        <w:t>ی</w:t>
      </w:r>
      <w:r w:rsidRPr="0025250D">
        <w:rPr>
          <w:rtl/>
        </w:rPr>
        <w:t xml:space="preserve"> و ادعا</w:t>
      </w:r>
      <w:r w:rsidRPr="0025250D">
        <w:rPr>
          <w:rFonts w:hint="cs"/>
          <w:rtl/>
        </w:rPr>
        <w:t>ها</w:t>
      </w:r>
      <w:r w:rsidRPr="0025250D">
        <w:rPr>
          <w:rtl/>
        </w:rPr>
        <w:t xml:space="preserve"> </w:t>
      </w:r>
      <w:r w:rsidRPr="0025250D">
        <w:rPr>
          <w:rFonts w:hint="cs"/>
          <w:rtl/>
        </w:rPr>
        <w:t>می‌باشد</w:t>
      </w:r>
      <w:r w:rsidRPr="0025250D">
        <w:rPr>
          <w:rtl/>
        </w:rPr>
        <w:t>. در حال حاضر تعداد ز</w:t>
      </w:r>
      <w:r w:rsidRPr="0025250D">
        <w:rPr>
          <w:rFonts w:hint="cs"/>
          <w:rtl/>
        </w:rPr>
        <w:t>ی</w:t>
      </w:r>
      <w:r w:rsidRPr="0025250D">
        <w:rPr>
          <w:rFonts w:hint="eastAsia"/>
          <w:rtl/>
        </w:rPr>
        <w:t>اد</w:t>
      </w:r>
      <w:r w:rsidRPr="0025250D">
        <w:rPr>
          <w:rFonts w:hint="cs"/>
          <w:rtl/>
        </w:rPr>
        <w:t>ی</w:t>
      </w:r>
      <w:r w:rsidRPr="0025250D">
        <w:rPr>
          <w:rtl/>
        </w:rPr>
        <w:t xml:space="preserve"> از </w:t>
      </w:r>
      <w:r w:rsidR="00B04E18" w:rsidRPr="0025250D">
        <w:rPr>
          <w:rFonts w:hint="cs"/>
          <w:rtl/>
        </w:rPr>
        <w:t>این ادعاها</w:t>
      </w:r>
      <w:r w:rsidRPr="0025250D">
        <w:rPr>
          <w:rtl/>
        </w:rPr>
        <w:t xml:space="preserve"> ضع</w:t>
      </w:r>
      <w:r w:rsidRPr="0025250D">
        <w:rPr>
          <w:rFonts w:hint="cs"/>
          <w:rtl/>
        </w:rPr>
        <w:t>ی</w:t>
      </w:r>
      <w:r w:rsidRPr="0025250D">
        <w:rPr>
          <w:rFonts w:hint="eastAsia"/>
          <w:rtl/>
        </w:rPr>
        <w:t>ف</w:t>
      </w:r>
      <w:r w:rsidRPr="0025250D">
        <w:rPr>
          <w:rtl/>
        </w:rPr>
        <w:t xml:space="preserve"> </w:t>
      </w:r>
      <w:r w:rsidRPr="0025250D">
        <w:rPr>
          <w:rFonts w:hint="cs"/>
          <w:rtl/>
        </w:rPr>
        <w:t>هستند</w:t>
      </w:r>
      <w:r w:rsidR="008D6F97" w:rsidRPr="0025250D">
        <w:rPr>
          <w:rtl/>
        </w:rPr>
        <w:t xml:space="preserve">؛ </w:t>
      </w:r>
      <w:r w:rsidRPr="0025250D">
        <w:rPr>
          <w:rtl/>
        </w:rPr>
        <w:t>بنابرا</w:t>
      </w:r>
      <w:r w:rsidRPr="0025250D">
        <w:rPr>
          <w:rFonts w:hint="cs"/>
          <w:rtl/>
        </w:rPr>
        <w:t>ی</w:t>
      </w:r>
      <w:r w:rsidRPr="0025250D">
        <w:rPr>
          <w:rFonts w:hint="eastAsia"/>
          <w:rtl/>
        </w:rPr>
        <w:t>ن</w:t>
      </w:r>
      <w:r w:rsidRPr="0025250D">
        <w:rPr>
          <w:rtl/>
        </w:rPr>
        <w:t xml:space="preserve"> </w:t>
      </w:r>
      <w:r w:rsidRPr="0025250D">
        <w:rPr>
          <w:rFonts w:hint="cs"/>
          <w:rtl/>
        </w:rPr>
        <w:t xml:space="preserve">به صورتی </w:t>
      </w:r>
      <w:r w:rsidRPr="0025250D">
        <w:rPr>
          <w:rtl/>
        </w:rPr>
        <w:t xml:space="preserve">ناخواسته </w:t>
      </w:r>
      <w:r w:rsidRPr="0025250D">
        <w:rPr>
          <w:rFonts w:hint="cs"/>
          <w:rtl/>
        </w:rPr>
        <w:t>دارای سوگیری</w:t>
      </w:r>
      <w:r w:rsidRPr="0025250D">
        <w:rPr>
          <w:rtl/>
        </w:rPr>
        <w:t xml:space="preserve">، ناقص و در قسمت‌هایی نادرست </w:t>
      </w:r>
      <w:r w:rsidRPr="0025250D">
        <w:rPr>
          <w:rFonts w:hint="cs"/>
          <w:rtl/>
        </w:rPr>
        <w:t>هستند</w:t>
      </w:r>
      <w:r w:rsidRPr="0025250D">
        <w:rPr>
          <w:rtl/>
        </w:rPr>
        <w:t>. از ا</w:t>
      </w:r>
      <w:r w:rsidRPr="0025250D">
        <w:rPr>
          <w:rFonts w:hint="cs"/>
          <w:rtl/>
        </w:rPr>
        <w:t>ی</w:t>
      </w:r>
      <w:r w:rsidRPr="0025250D">
        <w:rPr>
          <w:rFonts w:hint="eastAsia"/>
          <w:rtl/>
        </w:rPr>
        <w:t>نکه</w:t>
      </w:r>
      <w:r w:rsidRPr="0025250D">
        <w:rPr>
          <w:rtl/>
        </w:rPr>
        <w:t xml:space="preserve"> به ما اطلاع </w:t>
      </w:r>
      <w:r w:rsidRPr="0025250D">
        <w:rPr>
          <w:rFonts w:hint="cs"/>
          <w:rtl/>
        </w:rPr>
        <w:t>دهید</w:t>
      </w:r>
      <w:r w:rsidRPr="0025250D">
        <w:rPr>
          <w:rtl/>
        </w:rPr>
        <w:t xml:space="preserve"> چه کار</w:t>
      </w:r>
      <w:r w:rsidRPr="0025250D">
        <w:rPr>
          <w:rFonts w:hint="cs"/>
          <w:rtl/>
        </w:rPr>
        <w:t>ی</w:t>
      </w:r>
      <w:r w:rsidRPr="0025250D">
        <w:rPr>
          <w:rtl/>
        </w:rPr>
        <w:t xml:space="preserve"> را به‌درستی انجام م</w:t>
      </w:r>
      <w:r w:rsidRPr="0025250D">
        <w:rPr>
          <w:rFonts w:hint="cs"/>
          <w:rtl/>
        </w:rPr>
        <w:t>ی‌</w:t>
      </w:r>
      <w:r w:rsidRPr="0025250D">
        <w:rPr>
          <w:rFonts w:hint="eastAsia"/>
          <w:rtl/>
        </w:rPr>
        <w:t>ده</w:t>
      </w:r>
      <w:r w:rsidRPr="0025250D">
        <w:rPr>
          <w:rFonts w:hint="cs"/>
          <w:rtl/>
        </w:rPr>
        <w:t>ی</w:t>
      </w:r>
      <w:r w:rsidRPr="0025250D">
        <w:rPr>
          <w:rFonts w:hint="eastAsia"/>
          <w:rtl/>
        </w:rPr>
        <w:t>م</w:t>
      </w:r>
      <w:r w:rsidRPr="0025250D">
        <w:rPr>
          <w:rtl/>
        </w:rPr>
        <w:t xml:space="preserve"> و کجا با</w:t>
      </w:r>
      <w:r w:rsidRPr="0025250D">
        <w:rPr>
          <w:rFonts w:hint="cs"/>
          <w:rtl/>
        </w:rPr>
        <w:t>ی</w:t>
      </w:r>
      <w:r w:rsidRPr="0025250D">
        <w:rPr>
          <w:rFonts w:hint="eastAsia"/>
          <w:rtl/>
        </w:rPr>
        <w:t>د</w:t>
      </w:r>
      <w:r w:rsidRPr="0025250D">
        <w:rPr>
          <w:rtl/>
        </w:rPr>
        <w:t xml:space="preserve"> </w:t>
      </w:r>
      <w:r w:rsidRPr="0025250D">
        <w:rPr>
          <w:rFonts w:hint="cs"/>
          <w:rtl/>
        </w:rPr>
        <w:t>بهتر عمل کنیم،</w:t>
      </w:r>
      <w:r w:rsidRPr="0025250D">
        <w:rPr>
          <w:rtl/>
        </w:rPr>
        <w:t xml:space="preserve"> متشکر</w:t>
      </w:r>
      <w:r w:rsidRPr="0025250D">
        <w:rPr>
          <w:rFonts w:hint="cs"/>
          <w:rtl/>
        </w:rPr>
        <w:t>ی</w:t>
      </w:r>
      <w:r w:rsidRPr="0025250D">
        <w:rPr>
          <w:rFonts w:hint="eastAsia"/>
          <w:rtl/>
        </w:rPr>
        <w:t>م</w:t>
      </w:r>
      <w:r w:rsidRPr="0025250D">
        <w:rPr>
          <w:rFonts w:hint="cs"/>
          <w:rtl/>
        </w:rPr>
        <w:t xml:space="preserve">. </w:t>
      </w:r>
      <w:r w:rsidRPr="0025250D">
        <w:rPr>
          <w:rtl/>
        </w:rPr>
        <w:t>ا</w:t>
      </w:r>
      <w:r w:rsidRPr="0025250D">
        <w:rPr>
          <w:rFonts w:hint="cs"/>
          <w:rtl/>
        </w:rPr>
        <w:t>ی</w:t>
      </w:r>
      <w:r w:rsidRPr="0025250D">
        <w:rPr>
          <w:rFonts w:hint="eastAsia"/>
          <w:rtl/>
        </w:rPr>
        <w:t>ن</w:t>
      </w:r>
      <w:r w:rsidRPr="0025250D">
        <w:rPr>
          <w:rtl/>
        </w:rPr>
        <w:t xml:space="preserve"> راهنما همچن</w:t>
      </w:r>
      <w:r w:rsidRPr="0025250D">
        <w:rPr>
          <w:rFonts w:hint="cs"/>
          <w:rtl/>
        </w:rPr>
        <w:t>ی</w:t>
      </w:r>
      <w:r w:rsidRPr="0025250D">
        <w:rPr>
          <w:rFonts w:hint="eastAsia"/>
          <w:rtl/>
        </w:rPr>
        <w:t>ن</w:t>
      </w:r>
      <w:r w:rsidRPr="0025250D">
        <w:rPr>
          <w:rtl/>
        </w:rPr>
        <w:t xml:space="preserve"> </w:t>
      </w:r>
      <w:r w:rsidRPr="0025250D">
        <w:rPr>
          <w:rFonts w:hint="cs"/>
          <w:rtl/>
        </w:rPr>
        <w:t>نقطه‌نظری</w:t>
      </w:r>
      <w:r w:rsidRPr="0025250D">
        <w:rPr>
          <w:rtl/>
        </w:rPr>
        <w:t xml:space="preserve"> غ</w:t>
      </w:r>
      <w:r w:rsidRPr="0025250D">
        <w:rPr>
          <w:rFonts w:hint="cs"/>
          <w:rtl/>
        </w:rPr>
        <w:t>ی</w:t>
      </w:r>
      <w:r w:rsidRPr="0025250D">
        <w:rPr>
          <w:rFonts w:hint="eastAsia"/>
          <w:rtl/>
        </w:rPr>
        <w:t>ر</w:t>
      </w:r>
      <w:r w:rsidRPr="0025250D">
        <w:rPr>
          <w:rtl/>
        </w:rPr>
        <w:t xml:space="preserve"> خنث</w:t>
      </w:r>
      <w:r w:rsidRPr="0025250D">
        <w:rPr>
          <w:rFonts w:hint="cs"/>
          <w:rtl/>
        </w:rPr>
        <w:t>ی</w:t>
      </w:r>
      <w:r w:rsidRPr="0025250D">
        <w:rPr>
          <w:rtl/>
        </w:rPr>
        <w:t xml:space="preserve"> دارد که در حال حاضر </w:t>
      </w:r>
      <w:r w:rsidRPr="0025250D">
        <w:rPr>
          <w:rFonts w:hint="cs"/>
          <w:rtl/>
        </w:rPr>
        <w:t>نقطه‌نظر</w:t>
      </w:r>
      <w:r w:rsidRPr="0025250D">
        <w:rPr>
          <w:rtl/>
        </w:rPr>
        <w:t xml:space="preserve"> نو</w:t>
      </w:r>
      <w:r w:rsidRPr="0025250D">
        <w:rPr>
          <w:rFonts w:hint="cs"/>
          <w:rtl/>
        </w:rPr>
        <w:t>ی</w:t>
      </w:r>
      <w:r w:rsidRPr="0025250D">
        <w:rPr>
          <w:rFonts w:hint="eastAsia"/>
          <w:rtl/>
        </w:rPr>
        <w:t>سنده</w:t>
      </w:r>
      <w:r w:rsidRPr="0025250D">
        <w:rPr>
          <w:rtl/>
        </w:rPr>
        <w:t xml:space="preserve"> اصل</w:t>
      </w:r>
      <w:r w:rsidRPr="0025250D">
        <w:rPr>
          <w:rFonts w:hint="cs"/>
          <w:rtl/>
        </w:rPr>
        <w:t>ی</w:t>
      </w:r>
      <w:r w:rsidRPr="0025250D">
        <w:rPr>
          <w:rtl/>
        </w:rPr>
        <w:t xml:space="preserve"> آن، </w:t>
      </w:r>
      <w:r w:rsidRPr="0025250D">
        <w:rPr>
          <w:rtl/>
        </w:rPr>
        <w:lastRenderedPageBreak/>
        <w:t>آ</w:t>
      </w:r>
      <w:r w:rsidRPr="0025250D">
        <w:rPr>
          <w:rFonts w:hint="cs"/>
          <w:rtl/>
        </w:rPr>
        <w:t>ی</w:t>
      </w:r>
      <w:r w:rsidRPr="0025250D">
        <w:rPr>
          <w:rFonts w:hint="eastAsia"/>
          <w:rtl/>
        </w:rPr>
        <w:t>نده‌پژوه</w:t>
      </w:r>
      <w:r w:rsidRPr="0025250D">
        <w:rPr>
          <w:rFonts w:hint="cs"/>
          <w:rtl/>
        </w:rPr>
        <w:t>ی</w:t>
      </w:r>
      <w:r w:rsidRPr="0025250D">
        <w:rPr>
          <w:rtl/>
        </w:rPr>
        <w:t xml:space="preserve"> تحص</w:t>
      </w:r>
      <w:r w:rsidRPr="0025250D">
        <w:rPr>
          <w:rFonts w:hint="cs"/>
          <w:rtl/>
        </w:rPr>
        <w:t>ی</w:t>
      </w:r>
      <w:r w:rsidRPr="0025250D">
        <w:rPr>
          <w:rFonts w:hint="eastAsia"/>
          <w:rtl/>
        </w:rPr>
        <w:t>ل‌کرده،</w:t>
      </w:r>
      <w:r w:rsidRPr="0025250D">
        <w:rPr>
          <w:rtl/>
        </w:rPr>
        <w:t xml:space="preserve"> جان اسمارت است. در صورت مشاهده سوگ</w:t>
      </w:r>
      <w:r w:rsidRPr="0025250D">
        <w:rPr>
          <w:rFonts w:hint="cs"/>
          <w:rtl/>
        </w:rPr>
        <w:t>ی</w:t>
      </w:r>
      <w:r w:rsidRPr="0025250D">
        <w:rPr>
          <w:rFonts w:hint="eastAsia"/>
          <w:rtl/>
        </w:rPr>
        <w:t>ر</w:t>
      </w:r>
      <w:r w:rsidRPr="0025250D">
        <w:rPr>
          <w:rFonts w:hint="cs"/>
          <w:rtl/>
        </w:rPr>
        <w:t>ی نویسنده، می‌توانید با آن مخالفت</w:t>
      </w:r>
      <w:r w:rsidRPr="0025250D">
        <w:rPr>
          <w:rtl/>
        </w:rPr>
        <w:t xml:space="preserve"> </w:t>
      </w:r>
      <w:r w:rsidRPr="0025250D">
        <w:rPr>
          <w:rFonts w:hint="cs"/>
          <w:rtl/>
        </w:rPr>
        <w:t xml:space="preserve">نمایید </w:t>
      </w:r>
      <w:r w:rsidRPr="0025250D">
        <w:rPr>
          <w:rtl/>
        </w:rPr>
        <w:t xml:space="preserve">و </w:t>
      </w:r>
      <w:r w:rsidRPr="0025250D">
        <w:rPr>
          <w:rFonts w:hint="cs"/>
          <w:rtl/>
        </w:rPr>
        <w:t>می‌توانید از طریق</w:t>
      </w:r>
      <w:r w:rsidRPr="0025250D">
        <w:rPr>
          <w:rtl/>
        </w:rPr>
        <w:t xml:space="preserve"> </w:t>
      </w:r>
      <w:r w:rsidRPr="0025250D">
        <w:t>guide@foresightu.com</w:t>
      </w:r>
      <w:r w:rsidRPr="0025250D">
        <w:rPr>
          <w:rtl/>
        </w:rPr>
        <w:t xml:space="preserve"> به </w:t>
      </w:r>
      <w:r w:rsidRPr="0025250D">
        <w:rPr>
          <w:rFonts w:hint="cs"/>
          <w:rtl/>
        </w:rPr>
        <w:t>این سوگیری‌ها</w:t>
      </w:r>
      <w:r w:rsidRPr="0025250D">
        <w:rPr>
          <w:rtl/>
        </w:rPr>
        <w:t xml:space="preserve"> اشاره کن</w:t>
      </w:r>
      <w:r w:rsidRPr="0025250D">
        <w:rPr>
          <w:rFonts w:hint="cs"/>
          <w:rtl/>
        </w:rPr>
        <w:t>ی</w:t>
      </w:r>
      <w:r w:rsidRPr="0025250D">
        <w:rPr>
          <w:rFonts w:hint="eastAsia"/>
          <w:rtl/>
        </w:rPr>
        <w:t>د</w:t>
      </w:r>
      <w:r w:rsidRPr="0025250D">
        <w:rPr>
          <w:rtl/>
        </w:rPr>
        <w:t xml:space="preserve"> تا بتوان</w:t>
      </w:r>
      <w:r w:rsidRPr="0025250D">
        <w:rPr>
          <w:rFonts w:hint="cs"/>
          <w:rtl/>
        </w:rPr>
        <w:t>ی</w:t>
      </w:r>
      <w:r w:rsidRPr="0025250D">
        <w:rPr>
          <w:rFonts w:hint="eastAsia"/>
          <w:rtl/>
        </w:rPr>
        <w:t>م</w:t>
      </w:r>
      <w:r w:rsidRPr="0025250D">
        <w:rPr>
          <w:rtl/>
        </w:rPr>
        <w:t xml:space="preserve"> نسخه‌های بعد</w:t>
      </w:r>
      <w:r w:rsidRPr="0025250D">
        <w:rPr>
          <w:rFonts w:hint="cs"/>
          <w:rtl/>
        </w:rPr>
        <w:t>ی</w:t>
      </w:r>
      <w:r w:rsidRPr="0025250D">
        <w:rPr>
          <w:rtl/>
        </w:rPr>
        <w:t xml:space="preserve"> را بهبود بخش</w:t>
      </w:r>
      <w:r w:rsidRPr="0025250D">
        <w:rPr>
          <w:rFonts w:hint="cs"/>
          <w:rtl/>
        </w:rPr>
        <w:t>ی</w:t>
      </w:r>
      <w:r w:rsidRPr="0025250D">
        <w:rPr>
          <w:rFonts w:hint="eastAsia"/>
          <w:rtl/>
        </w:rPr>
        <w:t>م</w:t>
      </w:r>
      <w:r w:rsidRPr="0025250D">
        <w:rPr>
          <w:rtl/>
        </w:rPr>
        <w:t>.</w:t>
      </w:r>
    </w:p>
    <w:p w14:paraId="35F557E9" w14:textId="5C99B67E" w:rsidR="00B219EF" w:rsidRPr="0025250D" w:rsidRDefault="00B219EF" w:rsidP="004445C5">
      <w:pPr>
        <w:rPr>
          <w:rtl/>
        </w:rPr>
      </w:pPr>
      <w:r w:rsidRPr="0025250D">
        <w:rPr>
          <w:rFonts w:hint="cs"/>
          <w:rtl/>
        </w:rPr>
        <w:t xml:space="preserve">این </w:t>
      </w:r>
      <w:r w:rsidRPr="0025250D">
        <w:rPr>
          <w:rtl/>
        </w:rPr>
        <w:t>راهنما با لحن محاوره‌ای نوشته شده است. ما همچن</w:t>
      </w:r>
      <w:r w:rsidRPr="0025250D">
        <w:rPr>
          <w:rFonts w:hint="cs"/>
          <w:rtl/>
        </w:rPr>
        <w:t>ی</w:t>
      </w:r>
      <w:r w:rsidRPr="0025250D">
        <w:rPr>
          <w:rFonts w:hint="eastAsia"/>
          <w:rtl/>
        </w:rPr>
        <w:t>ن</w:t>
      </w:r>
      <w:r w:rsidRPr="0025250D">
        <w:rPr>
          <w:rtl/>
        </w:rPr>
        <w:t xml:space="preserve"> در </w:t>
      </w:r>
      <w:r w:rsidRPr="0025250D">
        <w:rPr>
          <w:rFonts w:hint="cs"/>
          <w:rtl/>
        </w:rPr>
        <w:t>جاهای</w:t>
      </w:r>
      <w:r w:rsidRPr="0025250D">
        <w:rPr>
          <w:rtl/>
        </w:rPr>
        <w:t xml:space="preserve"> مختلف برا</w:t>
      </w:r>
      <w:r w:rsidRPr="0025250D">
        <w:rPr>
          <w:rFonts w:hint="cs"/>
          <w:rtl/>
        </w:rPr>
        <w:t>ی</w:t>
      </w:r>
      <w:r w:rsidRPr="0025250D">
        <w:rPr>
          <w:rtl/>
        </w:rPr>
        <w:t xml:space="preserve"> پروژه‌ها </w:t>
      </w:r>
      <w:r w:rsidRPr="0025250D">
        <w:rPr>
          <w:rFonts w:hint="cs"/>
          <w:rtl/>
        </w:rPr>
        <w:t>ی</w:t>
      </w:r>
      <w:r w:rsidRPr="0025250D">
        <w:rPr>
          <w:rFonts w:hint="eastAsia"/>
          <w:rtl/>
        </w:rPr>
        <w:t>ا</w:t>
      </w:r>
      <w:r w:rsidRPr="0025250D">
        <w:rPr>
          <w:rtl/>
        </w:rPr>
        <w:t xml:space="preserve"> فعال</w:t>
      </w:r>
      <w:r w:rsidRPr="0025250D">
        <w:rPr>
          <w:rFonts w:hint="cs"/>
          <w:rtl/>
        </w:rPr>
        <w:t>ی</w:t>
      </w:r>
      <w:r w:rsidRPr="0025250D">
        <w:rPr>
          <w:rFonts w:hint="eastAsia"/>
          <w:rtl/>
        </w:rPr>
        <w:t>ت‌ها</w:t>
      </w:r>
      <w:r w:rsidRPr="0025250D">
        <w:rPr>
          <w:rFonts w:hint="cs"/>
          <w:rtl/>
        </w:rPr>
        <w:t>یی</w:t>
      </w:r>
      <w:r w:rsidRPr="0025250D">
        <w:rPr>
          <w:rtl/>
        </w:rPr>
        <w:t xml:space="preserve"> که رهبران آ</w:t>
      </w:r>
      <w:r w:rsidRPr="0025250D">
        <w:rPr>
          <w:rFonts w:hint="cs"/>
          <w:rtl/>
        </w:rPr>
        <w:t>ی</w:t>
      </w:r>
      <w:r w:rsidRPr="0025250D">
        <w:rPr>
          <w:rFonts w:hint="eastAsia"/>
          <w:rtl/>
        </w:rPr>
        <w:t>نده‌نگار</w:t>
      </w:r>
      <w:r w:rsidRPr="0025250D">
        <w:rPr>
          <w:rtl/>
        </w:rPr>
        <w:t xml:space="preserve"> مشتاق ممکن است انجام دهند، هم برا</w:t>
      </w:r>
      <w:r w:rsidRPr="0025250D">
        <w:rPr>
          <w:rFonts w:hint="cs"/>
          <w:rtl/>
        </w:rPr>
        <w:t>ی</w:t>
      </w:r>
      <w:r w:rsidRPr="0025250D">
        <w:rPr>
          <w:rtl/>
        </w:rPr>
        <w:t xml:space="preserve"> پ</w:t>
      </w:r>
      <w:r w:rsidRPr="0025250D">
        <w:rPr>
          <w:rFonts w:hint="cs"/>
          <w:rtl/>
        </w:rPr>
        <w:t>ی</w:t>
      </w:r>
      <w:r w:rsidRPr="0025250D">
        <w:rPr>
          <w:rFonts w:hint="eastAsia"/>
          <w:rtl/>
        </w:rPr>
        <w:t>شبرد</w:t>
      </w:r>
      <w:r w:rsidRPr="0025250D">
        <w:rPr>
          <w:rtl/>
        </w:rPr>
        <w:t xml:space="preserve"> شغل خود و هم </w:t>
      </w:r>
      <w:r w:rsidRPr="0025250D">
        <w:rPr>
          <w:rFonts w:hint="cs"/>
          <w:rtl/>
        </w:rPr>
        <w:t>تخصص</w:t>
      </w:r>
      <w:r w:rsidRPr="0025250D">
        <w:rPr>
          <w:rtl/>
        </w:rPr>
        <w:t xml:space="preserve"> نوظهورمان</w:t>
      </w:r>
      <w:r w:rsidRPr="0025250D">
        <w:rPr>
          <w:rFonts w:hint="cs"/>
          <w:rtl/>
        </w:rPr>
        <w:t>،</w:t>
      </w:r>
      <w:r w:rsidRPr="0025250D">
        <w:rPr>
          <w:rtl/>
        </w:rPr>
        <w:t xml:space="preserve"> فراخوان</w:t>
      </w:r>
      <w:r w:rsidRPr="0025250D">
        <w:rPr>
          <w:rFonts w:hint="cs"/>
          <w:rtl/>
        </w:rPr>
        <w:t>ی</w:t>
      </w:r>
      <w:r w:rsidRPr="0025250D">
        <w:rPr>
          <w:rtl/>
        </w:rPr>
        <w:t xml:space="preserve"> برا</w:t>
      </w:r>
      <w:r w:rsidRPr="0025250D">
        <w:rPr>
          <w:rFonts w:hint="cs"/>
          <w:rtl/>
        </w:rPr>
        <w:t>ی</w:t>
      </w:r>
      <w:r w:rsidRPr="0025250D">
        <w:rPr>
          <w:rtl/>
        </w:rPr>
        <w:t xml:space="preserve"> اقدام </w:t>
      </w:r>
      <w:r w:rsidRPr="0025250D">
        <w:rPr>
          <w:rFonts w:hint="cs"/>
          <w:rtl/>
        </w:rPr>
        <w:t>اعلام می‌کنیم</w:t>
      </w:r>
      <w:r w:rsidRPr="0025250D">
        <w:rPr>
          <w:rtl/>
        </w:rPr>
        <w:t>. واژه‌نامه اصطلاحات در پا</w:t>
      </w:r>
      <w:r w:rsidRPr="0025250D">
        <w:rPr>
          <w:rFonts w:hint="cs"/>
          <w:rtl/>
        </w:rPr>
        <w:t>ی</w:t>
      </w:r>
      <w:r w:rsidRPr="0025250D">
        <w:rPr>
          <w:rFonts w:hint="eastAsia"/>
          <w:rtl/>
        </w:rPr>
        <w:t>ان</w:t>
      </w:r>
      <w:r w:rsidRPr="0025250D">
        <w:rPr>
          <w:rtl/>
        </w:rPr>
        <w:t xml:space="preserve"> کتاب 2 گنجانده شده است. بخش‌های </w:t>
      </w:r>
      <w:r w:rsidRPr="0025250D">
        <w:rPr>
          <w:rFonts w:hint="cs"/>
          <w:rtl/>
        </w:rPr>
        <w:t>یادداشت‌ها</w:t>
      </w:r>
      <w:r w:rsidRPr="0025250D">
        <w:rPr>
          <w:rtl/>
        </w:rPr>
        <w:t xml:space="preserve"> و منابع قرار است در و</w:t>
      </w:r>
      <w:r w:rsidRPr="0025250D">
        <w:rPr>
          <w:rFonts w:hint="cs"/>
          <w:rtl/>
        </w:rPr>
        <w:t>ی</w:t>
      </w:r>
      <w:r w:rsidRPr="0025250D">
        <w:rPr>
          <w:rFonts w:hint="eastAsia"/>
          <w:rtl/>
        </w:rPr>
        <w:t>را</w:t>
      </w:r>
      <w:r w:rsidRPr="0025250D">
        <w:rPr>
          <w:rFonts w:hint="cs"/>
          <w:rtl/>
        </w:rPr>
        <w:t>ی</w:t>
      </w:r>
      <w:r w:rsidRPr="0025250D">
        <w:rPr>
          <w:rFonts w:hint="eastAsia"/>
          <w:rtl/>
        </w:rPr>
        <w:t>ش</w:t>
      </w:r>
      <w:r w:rsidRPr="0025250D">
        <w:rPr>
          <w:rtl/>
        </w:rPr>
        <w:t xml:space="preserve"> دوم اضافه شوند. راهنما</w:t>
      </w:r>
      <w:r w:rsidRPr="0025250D">
        <w:rPr>
          <w:rFonts w:hint="cs"/>
          <w:rtl/>
        </w:rPr>
        <w:t>ی</w:t>
      </w:r>
      <w:r w:rsidRPr="0025250D">
        <w:rPr>
          <w:rtl/>
        </w:rPr>
        <w:t xml:space="preserve"> آنلا</w:t>
      </w:r>
      <w:r w:rsidRPr="0025250D">
        <w:rPr>
          <w:rFonts w:hint="cs"/>
          <w:rtl/>
        </w:rPr>
        <w:t>ی</w:t>
      </w:r>
      <w:r w:rsidRPr="0025250D">
        <w:rPr>
          <w:rFonts w:hint="eastAsia"/>
          <w:rtl/>
        </w:rPr>
        <w:t>ن،</w:t>
      </w:r>
      <w:r w:rsidRPr="0025250D">
        <w:rPr>
          <w:rtl/>
        </w:rPr>
        <w:t xml:space="preserve"> در </w:t>
      </w:r>
      <w:r w:rsidRPr="0025250D">
        <w:t>foresightguide.com</w:t>
      </w:r>
      <w:r w:rsidRPr="0025250D">
        <w:rPr>
          <w:rtl/>
        </w:rPr>
        <w:t>، همچن</w:t>
      </w:r>
      <w:r w:rsidRPr="0025250D">
        <w:rPr>
          <w:rFonts w:hint="cs"/>
          <w:rtl/>
        </w:rPr>
        <w:t>ی</w:t>
      </w:r>
      <w:r w:rsidRPr="0025250D">
        <w:rPr>
          <w:rFonts w:hint="eastAsia"/>
          <w:rtl/>
        </w:rPr>
        <w:t>ن</w:t>
      </w:r>
      <w:r w:rsidRPr="0025250D">
        <w:rPr>
          <w:rtl/>
        </w:rPr>
        <w:t xml:space="preserve"> حاو</w:t>
      </w:r>
      <w:r w:rsidRPr="0025250D">
        <w:rPr>
          <w:rFonts w:hint="cs"/>
          <w:rtl/>
        </w:rPr>
        <w:t>ی</w:t>
      </w:r>
      <w:r w:rsidRPr="0025250D">
        <w:rPr>
          <w:rtl/>
        </w:rPr>
        <w:t xml:space="preserve"> مطالب</w:t>
      </w:r>
      <w:r w:rsidRPr="0025250D">
        <w:rPr>
          <w:rFonts w:hint="cs"/>
          <w:rtl/>
        </w:rPr>
        <w:t>ی</w:t>
      </w:r>
      <w:r w:rsidRPr="0025250D">
        <w:rPr>
          <w:rtl/>
        </w:rPr>
        <w:t xml:space="preserve"> است که در ا</w:t>
      </w:r>
      <w:r w:rsidRPr="0025250D">
        <w:rPr>
          <w:rFonts w:hint="cs"/>
          <w:rtl/>
        </w:rPr>
        <w:t>ی</w:t>
      </w:r>
      <w:r w:rsidRPr="0025250D">
        <w:rPr>
          <w:rFonts w:hint="eastAsia"/>
          <w:rtl/>
        </w:rPr>
        <w:t>نجا</w:t>
      </w:r>
      <w:r w:rsidRPr="0025250D">
        <w:rPr>
          <w:rtl/>
        </w:rPr>
        <w:t xml:space="preserve"> گنجانده نشده است.</w:t>
      </w:r>
    </w:p>
    <w:p w14:paraId="203A475C" w14:textId="47E947BF" w:rsidR="00B219EF" w:rsidRPr="0025250D" w:rsidRDefault="00B219EF" w:rsidP="004445C5">
      <w:pPr>
        <w:rPr>
          <w:rtl/>
        </w:rPr>
      </w:pPr>
      <w:r w:rsidRPr="0025250D">
        <w:rPr>
          <w:rtl/>
        </w:rPr>
        <w:t>ما از کادرها</w:t>
      </w:r>
      <w:r w:rsidRPr="0025250D">
        <w:rPr>
          <w:rFonts w:hint="cs"/>
          <w:rtl/>
        </w:rPr>
        <w:t>ی</w:t>
      </w:r>
      <w:r w:rsidRPr="0025250D">
        <w:rPr>
          <w:rtl/>
        </w:rPr>
        <w:t xml:space="preserve"> متن</w:t>
      </w:r>
      <w:r w:rsidRPr="0025250D">
        <w:rPr>
          <w:rFonts w:hint="cs"/>
          <w:rtl/>
        </w:rPr>
        <w:t>ی</w:t>
      </w:r>
      <w:r w:rsidRPr="0025250D">
        <w:rPr>
          <w:rtl/>
        </w:rPr>
        <w:t xml:space="preserve"> برا</w:t>
      </w:r>
      <w:r w:rsidRPr="0025250D">
        <w:rPr>
          <w:rFonts w:hint="cs"/>
          <w:rtl/>
        </w:rPr>
        <w:t>ی</w:t>
      </w:r>
      <w:r w:rsidRPr="0025250D">
        <w:rPr>
          <w:rtl/>
        </w:rPr>
        <w:t xml:space="preserve"> مشخص کردن تعداد</w:t>
      </w:r>
      <w:r w:rsidRPr="0025250D">
        <w:rPr>
          <w:rFonts w:hint="cs"/>
          <w:rtl/>
        </w:rPr>
        <w:t>ی</w:t>
      </w:r>
      <w:r w:rsidRPr="0025250D">
        <w:rPr>
          <w:rtl/>
        </w:rPr>
        <w:t xml:space="preserve"> از </w:t>
      </w:r>
      <w:r w:rsidR="00B04E18" w:rsidRPr="0025250D">
        <w:rPr>
          <w:rFonts w:hint="cs"/>
          <w:rtl/>
        </w:rPr>
        <w:t>مطالب</w:t>
      </w:r>
      <w:r w:rsidRPr="0025250D">
        <w:rPr>
          <w:rtl/>
        </w:rPr>
        <w:t xml:space="preserve"> آ</w:t>
      </w:r>
      <w:r w:rsidRPr="0025250D">
        <w:rPr>
          <w:rFonts w:hint="cs"/>
          <w:rtl/>
        </w:rPr>
        <w:t>ی</w:t>
      </w:r>
      <w:r w:rsidRPr="0025250D">
        <w:rPr>
          <w:rFonts w:hint="eastAsia"/>
          <w:rtl/>
        </w:rPr>
        <w:t>نده</w:t>
      </w:r>
      <w:r w:rsidRPr="0025250D">
        <w:rPr>
          <w:rtl/>
        </w:rPr>
        <w:t xml:space="preserve"> طولان</w:t>
      </w:r>
      <w:r w:rsidRPr="0025250D">
        <w:rPr>
          <w:rFonts w:hint="cs"/>
          <w:rtl/>
        </w:rPr>
        <w:t>ی‌</w:t>
      </w:r>
      <w:r w:rsidRPr="0025250D">
        <w:rPr>
          <w:rFonts w:hint="eastAsia"/>
          <w:rtl/>
        </w:rPr>
        <w:t>تر</w:t>
      </w:r>
      <w:r w:rsidRPr="0025250D">
        <w:rPr>
          <w:rtl/>
        </w:rPr>
        <w:t xml:space="preserve"> خود استفاده کرد</w:t>
      </w:r>
      <w:r w:rsidRPr="0025250D">
        <w:rPr>
          <w:rFonts w:hint="eastAsia"/>
          <w:rtl/>
        </w:rPr>
        <w:t>ه‌ا</w:t>
      </w:r>
      <w:r w:rsidRPr="0025250D">
        <w:rPr>
          <w:rFonts w:hint="cs"/>
          <w:rtl/>
        </w:rPr>
        <w:t>ی</w:t>
      </w:r>
      <w:r w:rsidRPr="0025250D">
        <w:rPr>
          <w:rFonts w:hint="eastAsia"/>
          <w:rtl/>
        </w:rPr>
        <w:t>م</w:t>
      </w:r>
      <w:r w:rsidRPr="0025250D">
        <w:rPr>
          <w:rtl/>
        </w:rPr>
        <w:t xml:space="preserve"> تا </w:t>
      </w:r>
      <w:r w:rsidRPr="0025250D">
        <w:rPr>
          <w:rFonts w:hint="cs"/>
          <w:rtl/>
        </w:rPr>
        <w:t>ی</w:t>
      </w:r>
      <w:r w:rsidRPr="0025250D">
        <w:rPr>
          <w:rFonts w:hint="eastAsia"/>
          <w:rtl/>
        </w:rPr>
        <w:t>افتن</w:t>
      </w:r>
      <w:r w:rsidRPr="0025250D">
        <w:rPr>
          <w:rtl/>
        </w:rPr>
        <w:t xml:space="preserve"> </w:t>
      </w:r>
      <w:r w:rsidRPr="0025250D">
        <w:rPr>
          <w:rFonts w:hint="cs"/>
          <w:rtl/>
        </w:rPr>
        <w:t>ی</w:t>
      </w:r>
      <w:r w:rsidRPr="0025250D">
        <w:rPr>
          <w:rFonts w:hint="eastAsia"/>
          <w:rtl/>
        </w:rPr>
        <w:t>ا</w:t>
      </w:r>
      <w:r w:rsidRPr="0025250D">
        <w:rPr>
          <w:rtl/>
        </w:rPr>
        <w:t xml:space="preserve"> ناد</w:t>
      </w:r>
      <w:r w:rsidRPr="0025250D">
        <w:rPr>
          <w:rFonts w:hint="cs"/>
          <w:rtl/>
        </w:rPr>
        <w:t>ی</w:t>
      </w:r>
      <w:r w:rsidRPr="0025250D">
        <w:rPr>
          <w:rFonts w:hint="eastAsia"/>
          <w:rtl/>
        </w:rPr>
        <w:t>ده</w:t>
      </w:r>
      <w:r w:rsidRPr="0025250D">
        <w:rPr>
          <w:rtl/>
        </w:rPr>
        <w:t xml:space="preserve"> گرفتن آن‌ها آسان‌تر شود. ه</w:t>
      </w:r>
      <w:r w:rsidRPr="0025250D">
        <w:rPr>
          <w:rFonts w:hint="cs"/>
          <w:rtl/>
        </w:rPr>
        <w:t>ی</w:t>
      </w:r>
      <w:r w:rsidRPr="0025250D">
        <w:rPr>
          <w:rFonts w:hint="eastAsia"/>
          <w:rtl/>
        </w:rPr>
        <w:t>چ</w:t>
      </w:r>
      <w:r w:rsidRPr="0025250D">
        <w:rPr>
          <w:rtl/>
        </w:rPr>
        <w:t xml:space="preserve"> مطالعه مورد</w:t>
      </w:r>
      <w:r w:rsidRPr="0025250D">
        <w:rPr>
          <w:rFonts w:hint="cs"/>
          <w:rtl/>
        </w:rPr>
        <w:t>ی</w:t>
      </w:r>
      <w:r w:rsidRPr="0025250D">
        <w:rPr>
          <w:rtl/>
        </w:rPr>
        <w:t xml:space="preserve"> در ا</w:t>
      </w:r>
      <w:r w:rsidRPr="0025250D">
        <w:rPr>
          <w:rFonts w:hint="cs"/>
          <w:rtl/>
        </w:rPr>
        <w:t>ی</w:t>
      </w:r>
      <w:r w:rsidRPr="0025250D">
        <w:rPr>
          <w:rFonts w:hint="eastAsia"/>
          <w:rtl/>
        </w:rPr>
        <w:t>ن</w:t>
      </w:r>
      <w:r w:rsidRPr="0025250D">
        <w:rPr>
          <w:rtl/>
        </w:rPr>
        <w:t xml:space="preserve"> نسخه وجود ندارد، اما بس</w:t>
      </w:r>
      <w:r w:rsidRPr="0025250D">
        <w:rPr>
          <w:rFonts w:hint="cs"/>
          <w:rtl/>
        </w:rPr>
        <w:t>ی</w:t>
      </w:r>
      <w:r w:rsidRPr="0025250D">
        <w:rPr>
          <w:rFonts w:hint="eastAsia"/>
          <w:rtl/>
        </w:rPr>
        <w:t>ار</w:t>
      </w:r>
      <w:r w:rsidRPr="0025250D">
        <w:rPr>
          <w:rFonts w:hint="cs"/>
          <w:rtl/>
        </w:rPr>
        <w:t>ی</w:t>
      </w:r>
      <w:r w:rsidRPr="0025250D">
        <w:rPr>
          <w:rtl/>
        </w:rPr>
        <w:t xml:space="preserve"> از داستان‌های ما برا</w:t>
      </w:r>
      <w:r w:rsidRPr="0025250D">
        <w:rPr>
          <w:rFonts w:hint="cs"/>
          <w:rtl/>
        </w:rPr>
        <w:t>ی</w:t>
      </w:r>
      <w:r w:rsidRPr="0025250D">
        <w:rPr>
          <w:rtl/>
        </w:rPr>
        <w:t xml:space="preserve"> نشان دادن </w:t>
      </w:r>
      <w:r w:rsidRPr="0025250D">
        <w:rPr>
          <w:rFonts w:hint="cs"/>
          <w:rtl/>
        </w:rPr>
        <w:t>ی</w:t>
      </w:r>
      <w:r w:rsidRPr="0025250D">
        <w:rPr>
          <w:rFonts w:hint="eastAsia"/>
          <w:rtl/>
        </w:rPr>
        <w:t>ک</w:t>
      </w:r>
      <w:r w:rsidRPr="0025250D">
        <w:rPr>
          <w:rtl/>
        </w:rPr>
        <w:t xml:space="preserve"> مفهوم آ</w:t>
      </w:r>
      <w:r w:rsidRPr="0025250D">
        <w:rPr>
          <w:rFonts w:hint="cs"/>
          <w:rtl/>
        </w:rPr>
        <w:t>ی</w:t>
      </w:r>
      <w:r w:rsidRPr="0025250D">
        <w:rPr>
          <w:rFonts w:hint="eastAsia"/>
          <w:rtl/>
        </w:rPr>
        <w:t>نده‌نگار</w:t>
      </w:r>
      <w:r w:rsidRPr="0025250D">
        <w:rPr>
          <w:rFonts w:hint="cs"/>
          <w:rtl/>
        </w:rPr>
        <w:t>ی</w:t>
      </w:r>
      <w:r w:rsidRPr="0025250D">
        <w:rPr>
          <w:rtl/>
        </w:rPr>
        <w:t xml:space="preserve"> </w:t>
      </w:r>
      <w:r w:rsidRPr="0025250D">
        <w:rPr>
          <w:rFonts w:hint="cs"/>
          <w:rtl/>
        </w:rPr>
        <w:t>ی</w:t>
      </w:r>
      <w:r w:rsidRPr="0025250D">
        <w:rPr>
          <w:rFonts w:hint="eastAsia"/>
          <w:rtl/>
        </w:rPr>
        <w:t>ا</w:t>
      </w:r>
      <w:r w:rsidRPr="0025250D">
        <w:rPr>
          <w:rtl/>
        </w:rPr>
        <w:t xml:space="preserve"> ارائه درس‌ها</w:t>
      </w:r>
      <w:r w:rsidRPr="0025250D">
        <w:rPr>
          <w:rFonts w:hint="cs"/>
          <w:rtl/>
        </w:rPr>
        <w:t>یی</w:t>
      </w:r>
      <w:r w:rsidRPr="0025250D">
        <w:rPr>
          <w:rtl/>
        </w:rPr>
        <w:t xml:space="preserve"> در آ</w:t>
      </w:r>
      <w:r w:rsidRPr="0025250D">
        <w:rPr>
          <w:rFonts w:hint="cs"/>
          <w:rtl/>
        </w:rPr>
        <w:t>ی</w:t>
      </w:r>
      <w:r w:rsidRPr="0025250D">
        <w:rPr>
          <w:rFonts w:hint="eastAsia"/>
          <w:rtl/>
        </w:rPr>
        <w:t>نده‌نگار</w:t>
      </w:r>
      <w:r w:rsidRPr="0025250D">
        <w:rPr>
          <w:rFonts w:hint="cs"/>
          <w:rtl/>
        </w:rPr>
        <w:t>ی</w:t>
      </w:r>
      <w:r w:rsidRPr="0025250D">
        <w:rPr>
          <w:rtl/>
        </w:rPr>
        <w:t xml:space="preserve"> </w:t>
      </w:r>
      <w:r w:rsidRPr="0025250D">
        <w:rPr>
          <w:rFonts w:hint="cs"/>
          <w:rtl/>
        </w:rPr>
        <w:t>به کار می‌روند</w:t>
      </w:r>
      <w:r w:rsidRPr="0025250D">
        <w:rPr>
          <w:rtl/>
        </w:rPr>
        <w:t>.</w:t>
      </w:r>
    </w:p>
    <w:p w14:paraId="76D0535C" w14:textId="235D997C" w:rsidR="00B219EF" w:rsidRPr="0025250D" w:rsidRDefault="00B219EF" w:rsidP="004445C5">
      <w:pPr>
        <w:rPr>
          <w:rtl/>
        </w:rPr>
      </w:pPr>
      <w:r w:rsidRPr="0025250D">
        <w:rPr>
          <w:rtl/>
        </w:rPr>
        <w:t>تا جا</w:t>
      </w:r>
      <w:r w:rsidRPr="0025250D">
        <w:rPr>
          <w:rFonts w:hint="cs"/>
          <w:rtl/>
        </w:rPr>
        <w:t>یی</w:t>
      </w:r>
      <w:r w:rsidRPr="0025250D">
        <w:rPr>
          <w:rtl/>
        </w:rPr>
        <w:t xml:space="preserve"> که ما می‌دانیم</w:t>
      </w:r>
      <w:r w:rsidRPr="0025250D">
        <w:rPr>
          <w:rFonts w:hint="eastAsia"/>
          <w:rtl/>
        </w:rPr>
        <w:t>،</w:t>
      </w:r>
      <w:r w:rsidRPr="0025250D">
        <w:rPr>
          <w:rtl/>
        </w:rPr>
        <w:t xml:space="preserve"> تمام تصاو</w:t>
      </w:r>
      <w:r w:rsidRPr="0025250D">
        <w:rPr>
          <w:rFonts w:hint="cs"/>
          <w:rtl/>
        </w:rPr>
        <w:t>ی</w:t>
      </w:r>
      <w:r w:rsidRPr="0025250D">
        <w:rPr>
          <w:rFonts w:hint="eastAsia"/>
          <w:rtl/>
        </w:rPr>
        <w:t>ر</w:t>
      </w:r>
      <w:r w:rsidRPr="0025250D">
        <w:rPr>
          <w:rtl/>
        </w:rPr>
        <w:t xml:space="preserve"> ا</w:t>
      </w:r>
      <w:r w:rsidRPr="0025250D">
        <w:rPr>
          <w:rFonts w:hint="cs"/>
          <w:rtl/>
        </w:rPr>
        <w:t>ی</w:t>
      </w:r>
      <w:r w:rsidRPr="0025250D">
        <w:rPr>
          <w:rFonts w:hint="eastAsia"/>
          <w:rtl/>
        </w:rPr>
        <w:t>ن</w:t>
      </w:r>
      <w:r w:rsidRPr="0025250D">
        <w:rPr>
          <w:rtl/>
        </w:rPr>
        <w:t xml:space="preserve"> اثر با اجازه نو</w:t>
      </w:r>
      <w:r w:rsidRPr="0025250D">
        <w:rPr>
          <w:rFonts w:hint="cs"/>
          <w:rtl/>
        </w:rPr>
        <w:t>ی</w:t>
      </w:r>
      <w:r w:rsidRPr="0025250D">
        <w:rPr>
          <w:rFonts w:hint="eastAsia"/>
          <w:rtl/>
        </w:rPr>
        <w:t>سنده</w:t>
      </w:r>
      <w:r w:rsidRPr="0025250D">
        <w:rPr>
          <w:rtl/>
        </w:rPr>
        <w:t>، با استفاده از جستجو</w:t>
      </w:r>
      <w:r w:rsidRPr="0025250D">
        <w:rPr>
          <w:rFonts w:hint="cs"/>
          <w:rtl/>
        </w:rPr>
        <w:t>ی</w:t>
      </w:r>
      <w:r w:rsidRPr="0025250D">
        <w:rPr>
          <w:rtl/>
        </w:rPr>
        <w:t xml:space="preserve"> </w:t>
      </w:r>
      <w:r w:rsidRPr="0025250D">
        <w:rPr>
          <w:rFonts w:hint="cs"/>
          <w:rtl/>
        </w:rPr>
        <w:t>مجوز مشترکات خلاقانه</w:t>
      </w:r>
      <w:r w:rsidRPr="0025250D">
        <w:rPr>
          <w:vertAlign w:val="superscript"/>
          <w:rtl/>
        </w:rPr>
        <w:footnoteReference w:id="25"/>
      </w:r>
      <w:r w:rsidRPr="0025250D">
        <w:rPr>
          <w:rtl/>
        </w:rPr>
        <w:t>، جستجو</w:t>
      </w:r>
      <w:r w:rsidRPr="0025250D">
        <w:rPr>
          <w:rFonts w:hint="cs"/>
          <w:rtl/>
        </w:rPr>
        <w:t>ی</w:t>
      </w:r>
      <w:r w:rsidRPr="0025250D">
        <w:rPr>
          <w:rtl/>
        </w:rPr>
        <w:t xml:space="preserve"> تصو</w:t>
      </w:r>
      <w:r w:rsidRPr="0025250D">
        <w:rPr>
          <w:rFonts w:hint="cs"/>
          <w:rtl/>
        </w:rPr>
        <w:t>ی</w:t>
      </w:r>
      <w:r w:rsidRPr="0025250D">
        <w:rPr>
          <w:rFonts w:hint="eastAsia"/>
          <w:rtl/>
        </w:rPr>
        <w:t>ر</w:t>
      </w:r>
      <w:r w:rsidRPr="0025250D">
        <w:rPr>
          <w:rtl/>
        </w:rPr>
        <w:t xml:space="preserve"> </w:t>
      </w:r>
      <w:r w:rsidRPr="0025250D">
        <w:rPr>
          <w:rFonts w:hint="cs"/>
          <w:rtl/>
        </w:rPr>
        <w:t>گوگل</w:t>
      </w:r>
      <w:r w:rsidRPr="0025250D">
        <w:rPr>
          <w:rtl/>
        </w:rPr>
        <w:t xml:space="preserve"> با برچسب حقوق استفاده برا</w:t>
      </w:r>
      <w:r w:rsidRPr="0025250D">
        <w:rPr>
          <w:rFonts w:hint="cs"/>
          <w:rtl/>
        </w:rPr>
        <w:t>ی</w:t>
      </w:r>
      <w:r w:rsidRPr="0025250D">
        <w:rPr>
          <w:rtl/>
        </w:rPr>
        <w:t xml:space="preserve"> استفاده مجدد</w:t>
      </w:r>
      <w:r w:rsidRPr="0025250D">
        <w:rPr>
          <w:rFonts w:hint="cs"/>
          <w:rtl/>
        </w:rPr>
        <w:t xml:space="preserve"> یا</w:t>
      </w:r>
      <w:r w:rsidRPr="0025250D">
        <w:rPr>
          <w:rtl/>
        </w:rPr>
        <w:t xml:space="preserve"> از مخازن</w:t>
      </w:r>
      <w:r w:rsidR="00B04E18" w:rsidRPr="0025250D">
        <w:rPr>
          <w:rFonts w:hint="cs"/>
          <w:rtl/>
        </w:rPr>
        <w:t xml:space="preserve"> تصویر</w:t>
      </w:r>
      <w:r w:rsidRPr="0025250D">
        <w:rPr>
          <w:rtl/>
        </w:rPr>
        <w:t xml:space="preserve"> با استفاده را</w:t>
      </w:r>
      <w:r w:rsidRPr="0025250D">
        <w:rPr>
          <w:rFonts w:hint="cs"/>
          <w:rtl/>
        </w:rPr>
        <w:t>ی</w:t>
      </w:r>
      <w:r w:rsidRPr="0025250D">
        <w:rPr>
          <w:rFonts w:hint="eastAsia"/>
          <w:rtl/>
        </w:rPr>
        <w:t>گان</w:t>
      </w:r>
      <w:r w:rsidRPr="0025250D">
        <w:rPr>
          <w:rtl/>
        </w:rPr>
        <w:t xml:space="preserve"> باز</w:t>
      </w:r>
      <w:r w:rsidRPr="0025250D">
        <w:rPr>
          <w:rFonts w:hint="cs"/>
          <w:rtl/>
        </w:rPr>
        <w:t>ی</w:t>
      </w:r>
      <w:r w:rsidRPr="0025250D">
        <w:rPr>
          <w:rFonts w:hint="eastAsia"/>
          <w:rtl/>
        </w:rPr>
        <w:t>اب</w:t>
      </w:r>
      <w:r w:rsidRPr="0025250D">
        <w:rPr>
          <w:rFonts w:hint="cs"/>
          <w:rtl/>
        </w:rPr>
        <w:t>ی</w:t>
      </w:r>
      <w:r w:rsidRPr="0025250D">
        <w:rPr>
          <w:rtl/>
        </w:rPr>
        <w:t xml:space="preserve"> شده‌اند. در کتاب الکترون</w:t>
      </w:r>
      <w:r w:rsidRPr="0025250D">
        <w:rPr>
          <w:rFonts w:hint="cs"/>
          <w:rtl/>
        </w:rPr>
        <w:t>ی</w:t>
      </w:r>
      <w:r w:rsidRPr="0025250D">
        <w:rPr>
          <w:rFonts w:hint="eastAsia"/>
          <w:rtl/>
        </w:rPr>
        <w:t>ک</w:t>
      </w:r>
      <w:r w:rsidRPr="0025250D">
        <w:rPr>
          <w:rtl/>
        </w:rPr>
        <w:t xml:space="preserve"> و راهنما</w:t>
      </w:r>
      <w:r w:rsidRPr="0025250D">
        <w:rPr>
          <w:rFonts w:hint="cs"/>
          <w:rtl/>
        </w:rPr>
        <w:t>ی</w:t>
      </w:r>
      <w:r w:rsidRPr="0025250D">
        <w:rPr>
          <w:rtl/>
        </w:rPr>
        <w:t xml:space="preserve"> آنلا</w:t>
      </w:r>
      <w:r w:rsidRPr="0025250D">
        <w:rPr>
          <w:rFonts w:hint="cs"/>
          <w:rtl/>
        </w:rPr>
        <w:t>ی</w:t>
      </w:r>
      <w:r w:rsidRPr="0025250D">
        <w:rPr>
          <w:rFonts w:hint="eastAsia"/>
          <w:rtl/>
        </w:rPr>
        <w:t>ن،</w:t>
      </w:r>
      <w:r w:rsidRPr="0025250D">
        <w:rPr>
          <w:rtl/>
        </w:rPr>
        <w:t xml:space="preserve"> تصاو</w:t>
      </w:r>
      <w:r w:rsidRPr="0025250D">
        <w:rPr>
          <w:rFonts w:hint="cs"/>
          <w:rtl/>
        </w:rPr>
        <w:t>ی</w:t>
      </w:r>
      <w:r w:rsidRPr="0025250D">
        <w:rPr>
          <w:rFonts w:hint="eastAsia"/>
          <w:rtl/>
        </w:rPr>
        <w:t>ر</w:t>
      </w:r>
      <w:r w:rsidRPr="0025250D">
        <w:rPr>
          <w:rtl/>
        </w:rPr>
        <w:t xml:space="preserve"> معمولاً به منابع وب خود پ</w:t>
      </w:r>
      <w:r w:rsidRPr="0025250D">
        <w:rPr>
          <w:rFonts w:hint="cs"/>
          <w:rtl/>
        </w:rPr>
        <w:t>ی</w:t>
      </w:r>
      <w:r w:rsidRPr="0025250D">
        <w:rPr>
          <w:rFonts w:hint="eastAsia"/>
          <w:rtl/>
        </w:rPr>
        <w:t>وند</w:t>
      </w:r>
      <w:r w:rsidRPr="0025250D">
        <w:rPr>
          <w:rtl/>
        </w:rPr>
        <w:t xml:space="preserve"> </w:t>
      </w:r>
      <w:r w:rsidR="00B04E18" w:rsidRPr="0025250D">
        <w:rPr>
          <w:rFonts w:hint="cs"/>
          <w:rtl/>
        </w:rPr>
        <w:t>داده شده‌اند</w:t>
      </w:r>
      <w:r w:rsidRPr="0025250D">
        <w:rPr>
          <w:rtl/>
        </w:rPr>
        <w:t>. اگر م</w:t>
      </w:r>
      <w:r w:rsidRPr="0025250D">
        <w:rPr>
          <w:rFonts w:hint="cs"/>
          <w:rtl/>
        </w:rPr>
        <w:t>ی‌</w:t>
      </w:r>
      <w:r w:rsidRPr="0025250D">
        <w:rPr>
          <w:rFonts w:hint="eastAsia"/>
          <w:rtl/>
        </w:rPr>
        <w:t>خواه</w:t>
      </w:r>
      <w:r w:rsidRPr="0025250D">
        <w:rPr>
          <w:rFonts w:hint="cs"/>
          <w:rtl/>
        </w:rPr>
        <w:t>ی</w:t>
      </w:r>
      <w:r w:rsidRPr="0025250D">
        <w:rPr>
          <w:rFonts w:hint="eastAsia"/>
          <w:rtl/>
        </w:rPr>
        <w:t>د</w:t>
      </w:r>
      <w:r w:rsidRPr="0025250D">
        <w:rPr>
          <w:rtl/>
        </w:rPr>
        <w:t xml:space="preserve"> تصو</w:t>
      </w:r>
      <w:r w:rsidRPr="0025250D">
        <w:rPr>
          <w:rFonts w:hint="cs"/>
          <w:rtl/>
        </w:rPr>
        <w:t>ی</w:t>
      </w:r>
      <w:r w:rsidRPr="0025250D">
        <w:rPr>
          <w:rFonts w:hint="eastAsia"/>
          <w:rtl/>
        </w:rPr>
        <w:t>ر</w:t>
      </w:r>
      <w:r w:rsidRPr="0025250D">
        <w:rPr>
          <w:rFonts w:hint="cs"/>
          <w:rtl/>
        </w:rPr>
        <w:t>ی</w:t>
      </w:r>
      <w:r w:rsidRPr="0025250D">
        <w:rPr>
          <w:rtl/>
        </w:rPr>
        <w:t xml:space="preserve"> حذف شود </w:t>
      </w:r>
      <w:r w:rsidRPr="0025250D">
        <w:rPr>
          <w:rFonts w:hint="cs"/>
          <w:rtl/>
        </w:rPr>
        <w:t>ی</w:t>
      </w:r>
      <w:r w:rsidRPr="0025250D">
        <w:rPr>
          <w:rFonts w:hint="eastAsia"/>
          <w:rtl/>
        </w:rPr>
        <w:t>ا</w:t>
      </w:r>
      <w:r w:rsidRPr="0025250D">
        <w:rPr>
          <w:rtl/>
        </w:rPr>
        <w:t xml:space="preserve"> استناد آن بهبود </w:t>
      </w:r>
      <w:r w:rsidRPr="0025250D">
        <w:rPr>
          <w:rFonts w:hint="cs"/>
          <w:rtl/>
        </w:rPr>
        <w:t>ی</w:t>
      </w:r>
      <w:r w:rsidRPr="0025250D">
        <w:rPr>
          <w:rFonts w:hint="eastAsia"/>
          <w:rtl/>
        </w:rPr>
        <w:t>ابد،</w:t>
      </w:r>
      <w:r w:rsidRPr="0025250D">
        <w:rPr>
          <w:rtl/>
        </w:rPr>
        <w:t xml:space="preserve"> به ما اطلاع ده</w:t>
      </w:r>
      <w:r w:rsidRPr="0025250D">
        <w:rPr>
          <w:rFonts w:hint="cs"/>
          <w:rtl/>
        </w:rPr>
        <w:t>ی</w:t>
      </w:r>
      <w:r w:rsidRPr="0025250D">
        <w:rPr>
          <w:rFonts w:hint="eastAsia"/>
          <w:rtl/>
        </w:rPr>
        <w:t>د</w:t>
      </w:r>
      <w:r w:rsidRPr="0025250D">
        <w:rPr>
          <w:rtl/>
        </w:rPr>
        <w:t>.</w:t>
      </w:r>
    </w:p>
    <w:p w14:paraId="311AE071" w14:textId="77777777" w:rsidR="00B219EF" w:rsidRPr="0025250D" w:rsidRDefault="00B219EF" w:rsidP="004445C5">
      <w:pPr>
        <w:rPr>
          <w:rtl/>
        </w:rPr>
      </w:pPr>
    </w:p>
    <w:p w14:paraId="6F2117CE" w14:textId="77777777" w:rsidR="00B219EF" w:rsidRPr="0025250D" w:rsidRDefault="00B219EF" w:rsidP="004445C5">
      <w:pPr>
        <w:rPr>
          <w:rtl/>
        </w:rPr>
        <w:sectPr w:rsidR="00B219EF" w:rsidRPr="0025250D" w:rsidSect="00C12260">
          <w:footnotePr>
            <w:numRestart w:val="eachPage"/>
          </w:footnotePr>
          <w:pgSz w:w="11906" w:h="16838"/>
          <w:pgMar w:top="1418" w:right="1418" w:bottom="1418" w:left="1418" w:header="720" w:footer="720" w:gutter="0"/>
          <w:cols w:space="720"/>
          <w:bidi/>
          <w:rtlGutter/>
          <w:docGrid w:linePitch="360"/>
        </w:sectPr>
      </w:pPr>
    </w:p>
    <w:p w14:paraId="639B21FC" w14:textId="77777777" w:rsidR="00B219EF" w:rsidRPr="0025250D" w:rsidRDefault="00B219EF" w:rsidP="004445C5">
      <w:pPr>
        <w:rPr>
          <w:b/>
          <w:bCs/>
          <w:rtl/>
        </w:rPr>
      </w:pPr>
      <w:r w:rsidRPr="0025250D">
        <w:rPr>
          <w:b/>
          <w:bCs/>
          <w:rtl/>
        </w:rPr>
        <w:lastRenderedPageBreak/>
        <w:t>بررس</w:t>
      </w:r>
      <w:r w:rsidRPr="0025250D">
        <w:rPr>
          <w:rFonts w:hint="cs"/>
          <w:b/>
          <w:bCs/>
          <w:rtl/>
        </w:rPr>
        <w:t>ی</w:t>
      </w:r>
      <w:r w:rsidRPr="0025250D">
        <w:rPr>
          <w:b/>
          <w:bCs/>
          <w:rtl/>
        </w:rPr>
        <w:t xml:space="preserve"> اجمال</w:t>
      </w:r>
      <w:r w:rsidRPr="0025250D">
        <w:rPr>
          <w:rFonts w:hint="cs"/>
          <w:b/>
          <w:bCs/>
          <w:rtl/>
        </w:rPr>
        <w:t>ی</w:t>
      </w:r>
    </w:p>
    <w:p w14:paraId="5173ACF8" w14:textId="0F9ADCF8" w:rsidR="00B219EF" w:rsidRPr="0025250D" w:rsidRDefault="00B219EF" w:rsidP="004445C5">
      <w:pPr>
        <w:rPr>
          <w:rtl/>
        </w:rPr>
      </w:pPr>
      <w:r w:rsidRPr="0025250D">
        <w:rPr>
          <w:rtl/>
        </w:rPr>
        <w:t xml:space="preserve">آینده‌نگاری </w:t>
      </w:r>
      <w:r w:rsidRPr="0025250D">
        <w:rPr>
          <w:rFonts w:hint="cs"/>
          <w:rtl/>
        </w:rPr>
        <w:t>ی</w:t>
      </w:r>
      <w:r w:rsidRPr="0025250D">
        <w:rPr>
          <w:rFonts w:hint="eastAsia"/>
          <w:rtl/>
        </w:rPr>
        <w:t>ک</w:t>
      </w:r>
      <w:r w:rsidRPr="0025250D">
        <w:rPr>
          <w:rtl/>
        </w:rPr>
        <w:t xml:space="preserve"> موضوع گسترده و ح</w:t>
      </w:r>
      <w:r w:rsidRPr="0025250D">
        <w:rPr>
          <w:rFonts w:hint="cs"/>
          <w:rtl/>
        </w:rPr>
        <w:t>ی</w:t>
      </w:r>
      <w:r w:rsidRPr="0025250D">
        <w:rPr>
          <w:rFonts w:hint="eastAsia"/>
          <w:rtl/>
        </w:rPr>
        <w:t>ات</w:t>
      </w:r>
      <w:r w:rsidRPr="0025250D">
        <w:rPr>
          <w:rFonts w:hint="cs"/>
          <w:rtl/>
        </w:rPr>
        <w:t>ی</w:t>
      </w:r>
      <w:r w:rsidRPr="0025250D">
        <w:rPr>
          <w:rtl/>
        </w:rPr>
        <w:t xml:space="preserve"> است. در صفحات بعد</w:t>
      </w:r>
      <w:r w:rsidRPr="0025250D">
        <w:rPr>
          <w:rFonts w:hint="cs"/>
          <w:rtl/>
        </w:rPr>
        <w:t>ی</w:t>
      </w:r>
      <w:r w:rsidRPr="0025250D">
        <w:rPr>
          <w:rtl/>
        </w:rPr>
        <w:t xml:space="preserve">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را از سه </w:t>
      </w:r>
      <w:r w:rsidRPr="0025250D">
        <w:rPr>
          <w:rFonts w:hint="cs"/>
          <w:rtl/>
        </w:rPr>
        <w:t>دیدگاه</w:t>
      </w:r>
      <w:r w:rsidRPr="0025250D">
        <w:rPr>
          <w:rtl/>
        </w:rPr>
        <w:t xml:space="preserve"> اصل</w:t>
      </w:r>
      <w:r w:rsidRPr="0025250D">
        <w:rPr>
          <w:rFonts w:hint="cs"/>
          <w:rtl/>
        </w:rPr>
        <w:t>ی</w:t>
      </w:r>
      <w:r w:rsidRPr="0025250D">
        <w:rPr>
          <w:rtl/>
        </w:rPr>
        <w:t xml:space="preserve"> بررس</w:t>
      </w:r>
      <w:r w:rsidRPr="0025250D">
        <w:rPr>
          <w:rFonts w:hint="cs"/>
          <w:rtl/>
        </w:rPr>
        <w:t>ی</w:t>
      </w:r>
      <w:r w:rsidRPr="0025250D">
        <w:rPr>
          <w:rtl/>
        </w:rPr>
        <w:t xml:space="preserve"> خواه</w:t>
      </w:r>
      <w:r w:rsidRPr="0025250D">
        <w:rPr>
          <w:rFonts w:hint="cs"/>
          <w:rtl/>
        </w:rPr>
        <w:t>ی</w:t>
      </w:r>
      <w:r w:rsidRPr="0025250D">
        <w:rPr>
          <w:rFonts w:hint="eastAsia"/>
          <w:rtl/>
        </w:rPr>
        <w:t>م</w:t>
      </w:r>
      <w:r w:rsidRPr="0025250D">
        <w:rPr>
          <w:rtl/>
        </w:rPr>
        <w:t xml:space="preserve"> کرد: 1. تفکر مبتن</w:t>
      </w:r>
      <w:r w:rsidRPr="0025250D">
        <w:rPr>
          <w:rFonts w:hint="cs"/>
          <w:rtl/>
        </w:rPr>
        <w:t>ی</w:t>
      </w:r>
      <w:r w:rsidRPr="0025250D">
        <w:rPr>
          <w:rtl/>
        </w:rPr>
        <w:t xml:space="preserve"> بر شواهد (جستجو</w:t>
      </w:r>
      <w:r w:rsidRPr="0025250D">
        <w:rPr>
          <w:rFonts w:hint="cs"/>
          <w:rtl/>
        </w:rPr>
        <w:t>ی</w:t>
      </w:r>
      <w:r w:rsidRPr="0025250D">
        <w:rPr>
          <w:rtl/>
        </w:rPr>
        <w:t xml:space="preserve"> پ</w:t>
      </w:r>
      <w:r w:rsidRPr="0025250D">
        <w:rPr>
          <w:rFonts w:hint="cs"/>
          <w:rtl/>
        </w:rPr>
        <w:t>ی</w:t>
      </w:r>
      <w:r w:rsidRPr="0025250D">
        <w:rPr>
          <w:rFonts w:hint="eastAsia"/>
          <w:rtl/>
        </w:rPr>
        <w:t>ش‌ب</w:t>
      </w:r>
      <w:r w:rsidRPr="0025250D">
        <w:rPr>
          <w:rFonts w:hint="cs"/>
          <w:rtl/>
        </w:rPr>
        <w:t>ی</w:t>
      </w:r>
      <w:r w:rsidRPr="0025250D">
        <w:rPr>
          <w:rFonts w:hint="eastAsia"/>
          <w:rtl/>
        </w:rPr>
        <w:t>ن</w:t>
      </w:r>
      <w:r w:rsidRPr="0025250D">
        <w:rPr>
          <w:rFonts w:hint="cs"/>
          <w:rtl/>
        </w:rPr>
        <w:t>ی‌</w:t>
      </w:r>
      <w:r w:rsidRPr="0025250D">
        <w:rPr>
          <w:rFonts w:hint="eastAsia"/>
          <w:rtl/>
        </w:rPr>
        <w:t>کننده‌تر</w:t>
      </w:r>
      <w:r w:rsidRPr="0025250D">
        <w:rPr>
          <w:rFonts w:hint="cs"/>
          <w:rtl/>
        </w:rPr>
        <w:t>ی</w:t>
      </w:r>
      <w:r w:rsidRPr="0025250D">
        <w:rPr>
          <w:rFonts w:hint="eastAsia"/>
          <w:rtl/>
        </w:rPr>
        <w:t>ن</w:t>
      </w:r>
      <w:r w:rsidRPr="0025250D">
        <w:rPr>
          <w:rtl/>
        </w:rPr>
        <w:t xml:space="preserve"> داده‌ها، ق</w:t>
      </w:r>
      <w:r w:rsidRPr="0025250D">
        <w:rPr>
          <w:rFonts w:hint="cs"/>
          <w:rtl/>
        </w:rPr>
        <w:t>ی</w:t>
      </w:r>
      <w:r w:rsidRPr="0025250D">
        <w:rPr>
          <w:rFonts w:hint="eastAsia"/>
          <w:rtl/>
        </w:rPr>
        <w:t>اس‌ها</w:t>
      </w:r>
      <w:r w:rsidRPr="0025250D">
        <w:rPr>
          <w:rtl/>
        </w:rPr>
        <w:t xml:space="preserve"> و مدل‌ها برا</w:t>
      </w:r>
      <w:r w:rsidRPr="0025250D">
        <w:rPr>
          <w:rFonts w:hint="cs"/>
          <w:rtl/>
        </w:rPr>
        <w:t>ی</w:t>
      </w:r>
      <w:r w:rsidRPr="0025250D">
        <w:rPr>
          <w:rtl/>
        </w:rPr>
        <w:t xml:space="preserve"> توض</w:t>
      </w:r>
      <w:r w:rsidRPr="0025250D">
        <w:rPr>
          <w:rFonts w:hint="cs"/>
          <w:rtl/>
        </w:rPr>
        <w:t>ی</w:t>
      </w:r>
      <w:r w:rsidRPr="0025250D">
        <w:rPr>
          <w:rFonts w:hint="eastAsia"/>
          <w:rtl/>
        </w:rPr>
        <w:t>ح</w:t>
      </w:r>
      <w:r w:rsidRPr="0025250D">
        <w:rPr>
          <w:rtl/>
        </w:rPr>
        <w:t xml:space="preserve"> جهان)،</w:t>
      </w:r>
      <w:r w:rsidRPr="0025250D">
        <w:rPr>
          <w:rFonts w:hint="cs"/>
          <w:rtl/>
        </w:rPr>
        <w:t xml:space="preserve"> </w:t>
      </w:r>
      <w:r w:rsidRPr="0025250D">
        <w:rPr>
          <w:rtl/>
        </w:rPr>
        <w:t xml:space="preserve">2. </w:t>
      </w:r>
      <w:r w:rsidRPr="0025250D">
        <w:rPr>
          <w:rFonts w:hint="cs"/>
          <w:rtl/>
        </w:rPr>
        <w:t xml:space="preserve">آگاهی از </w:t>
      </w:r>
      <w:r w:rsidRPr="0025250D">
        <w:rPr>
          <w:rtl/>
        </w:rPr>
        <w:t>شتاب (با توجه به ا</w:t>
      </w:r>
      <w:r w:rsidRPr="0025250D">
        <w:rPr>
          <w:rFonts w:hint="cs"/>
          <w:rtl/>
        </w:rPr>
        <w:t>ی</w:t>
      </w:r>
      <w:r w:rsidRPr="0025250D">
        <w:rPr>
          <w:rFonts w:hint="eastAsia"/>
          <w:rtl/>
        </w:rPr>
        <w:t>نکه</w:t>
      </w:r>
      <w:r w:rsidRPr="0025250D">
        <w:rPr>
          <w:rtl/>
        </w:rPr>
        <w:t xml:space="preserve"> برخ</w:t>
      </w:r>
      <w:r w:rsidRPr="0025250D">
        <w:rPr>
          <w:rFonts w:hint="cs"/>
          <w:rtl/>
        </w:rPr>
        <w:t>ی</w:t>
      </w:r>
      <w:r w:rsidRPr="0025250D">
        <w:rPr>
          <w:rtl/>
        </w:rPr>
        <w:t xml:space="preserve"> از فرآ</w:t>
      </w:r>
      <w:r w:rsidRPr="0025250D">
        <w:rPr>
          <w:rFonts w:hint="cs"/>
          <w:rtl/>
        </w:rPr>
        <w:t>ی</w:t>
      </w:r>
      <w:r w:rsidRPr="0025250D">
        <w:rPr>
          <w:rFonts w:hint="eastAsia"/>
          <w:rtl/>
        </w:rPr>
        <w:t>ندها</w:t>
      </w:r>
      <w:r w:rsidRPr="0025250D">
        <w:rPr>
          <w:rFonts w:hint="cs"/>
          <w:rtl/>
        </w:rPr>
        <w:t>ی</w:t>
      </w:r>
      <w:r w:rsidRPr="0025250D">
        <w:rPr>
          <w:rtl/>
        </w:rPr>
        <w:t xml:space="preserve"> خاص علم</w:t>
      </w:r>
      <w:r w:rsidRPr="0025250D">
        <w:rPr>
          <w:rFonts w:hint="cs"/>
          <w:rtl/>
        </w:rPr>
        <w:t>ی</w:t>
      </w:r>
      <w:r w:rsidRPr="0025250D">
        <w:rPr>
          <w:rFonts w:hint="eastAsia"/>
          <w:rtl/>
        </w:rPr>
        <w:t>،</w:t>
      </w:r>
      <w:r w:rsidRPr="0025250D">
        <w:rPr>
          <w:rtl/>
        </w:rPr>
        <w:t xml:space="preserve"> فن</w:t>
      </w:r>
      <w:r w:rsidRPr="0025250D">
        <w:rPr>
          <w:rFonts w:hint="cs"/>
          <w:rtl/>
        </w:rPr>
        <w:t>ی</w:t>
      </w:r>
      <w:r w:rsidRPr="0025250D">
        <w:rPr>
          <w:rFonts w:hint="eastAsia"/>
          <w:rtl/>
        </w:rPr>
        <w:t>،</w:t>
      </w:r>
      <w:r w:rsidRPr="0025250D">
        <w:rPr>
          <w:rtl/>
        </w:rPr>
        <w:t xml:space="preserve"> اقتصاد</w:t>
      </w:r>
      <w:r w:rsidRPr="0025250D">
        <w:rPr>
          <w:rFonts w:hint="cs"/>
          <w:rtl/>
        </w:rPr>
        <w:t>ی</w:t>
      </w:r>
      <w:r w:rsidRPr="0025250D">
        <w:rPr>
          <w:rtl/>
        </w:rPr>
        <w:t xml:space="preserve"> و اجتماع</w:t>
      </w:r>
      <w:r w:rsidRPr="0025250D">
        <w:rPr>
          <w:rFonts w:hint="cs"/>
          <w:rtl/>
        </w:rPr>
        <w:t>ی</w:t>
      </w:r>
      <w:r w:rsidRPr="0025250D">
        <w:rPr>
          <w:rtl/>
        </w:rPr>
        <w:t xml:space="preserve"> به‌طور متوسط در طول تار</w:t>
      </w:r>
      <w:r w:rsidRPr="0025250D">
        <w:rPr>
          <w:rFonts w:hint="cs"/>
          <w:rtl/>
        </w:rPr>
        <w:t>ی</w:t>
      </w:r>
      <w:r w:rsidRPr="0025250D">
        <w:rPr>
          <w:rFonts w:hint="eastAsia"/>
          <w:rtl/>
        </w:rPr>
        <w:t>خ</w:t>
      </w:r>
      <w:r w:rsidRPr="0025250D">
        <w:rPr>
          <w:rtl/>
        </w:rPr>
        <w:t xml:space="preserve"> بشر درگ</w:t>
      </w:r>
      <w:r w:rsidRPr="0025250D">
        <w:rPr>
          <w:rFonts w:hint="cs"/>
          <w:rtl/>
        </w:rPr>
        <w:t>ی</w:t>
      </w:r>
      <w:r w:rsidRPr="0025250D">
        <w:rPr>
          <w:rFonts w:hint="eastAsia"/>
          <w:rtl/>
        </w:rPr>
        <w:t>ر</w:t>
      </w:r>
      <w:r w:rsidRPr="0025250D">
        <w:rPr>
          <w:rtl/>
        </w:rPr>
        <w:t xml:space="preserve"> رشد تصاعد</w:t>
      </w:r>
      <w:r w:rsidRPr="0025250D">
        <w:rPr>
          <w:rFonts w:hint="cs"/>
          <w:rtl/>
        </w:rPr>
        <w:t>ی</w:t>
      </w:r>
      <w:r w:rsidRPr="0025250D">
        <w:rPr>
          <w:rtl/>
        </w:rPr>
        <w:t xml:space="preserve"> بوده‌اند) و 3. تفکر </w:t>
      </w:r>
      <w:r w:rsidRPr="0025250D">
        <w:rPr>
          <w:rFonts w:hint="cs"/>
          <w:rtl/>
        </w:rPr>
        <w:t>تکاملی-توسعه‌ای</w:t>
      </w:r>
      <w:r w:rsidRPr="0025250D">
        <w:rPr>
          <w:rtl/>
        </w:rPr>
        <w:t xml:space="preserve"> (کاوش در فرآ</w:t>
      </w:r>
      <w:r w:rsidRPr="0025250D">
        <w:rPr>
          <w:rFonts w:hint="cs"/>
          <w:rtl/>
        </w:rPr>
        <w:t>ی</w:t>
      </w:r>
      <w:r w:rsidRPr="0025250D">
        <w:rPr>
          <w:rFonts w:hint="eastAsia"/>
          <w:rtl/>
        </w:rPr>
        <w:t>ندها</w:t>
      </w:r>
      <w:r w:rsidRPr="0025250D">
        <w:rPr>
          <w:rFonts w:hint="cs"/>
          <w:rtl/>
        </w:rPr>
        <w:t>ی</w:t>
      </w:r>
      <w:r w:rsidRPr="0025250D">
        <w:rPr>
          <w:rtl/>
        </w:rPr>
        <w:t xml:space="preserve"> غیرقابل‌پیش‌بینی و پ</w:t>
      </w:r>
      <w:r w:rsidRPr="0025250D">
        <w:rPr>
          <w:rFonts w:hint="cs"/>
          <w:rtl/>
        </w:rPr>
        <w:t>ی</w:t>
      </w:r>
      <w:r w:rsidRPr="0025250D">
        <w:rPr>
          <w:rFonts w:hint="eastAsia"/>
          <w:rtl/>
        </w:rPr>
        <w:t>ش‌ب</w:t>
      </w:r>
      <w:r w:rsidRPr="0025250D">
        <w:rPr>
          <w:rFonts w:hint="cs"/>
          <w:rtl/>
        </w:rPr>
        <w:t>ی</w:t>
      </w:r>
      <w:r w:rsidRPr="0025250D">
        <w:rPr>
          <w:rFonts w:hint="eastAsia"/>
          <w:rtl/>
        </w:rPr>
        <w:t>ن</w:t>
      </w:r>
      <w:r w:rsidRPr="0025250D">
        <w:rPr>
          <w:rFonts w:hint="cs"/>
          <w:rtl/>
        </w:rPr>
        <w:t>ی</w:t>
      </w:r>
      <w:r w:rsidRPr="0025250D">
        <w:rPr>
          <w:rtl/>
        </w:rPr>
        <w:t xml:space="preserve"> تغ</w:t>
      </w:r>
      <w:r w:rsidRPr="0025250D">
        <w:rPr>
          <w:rFonts w:hint="cs"/>
          <w:rtl/>
        </w:rPr>
        <w:t>یی</w:t>
      </w:r>
      <w:r w:rsidRPr="0025250D">
        <w:rPr>
          <w:rFonts w:hint="eastAsia"/>
          <w:rtl/>
        </w:rPr>
        <w:t>ر</w:t>
      </w:r>
      <w:r w:rsidRPr="0025250D">
        <w:rPr>
          <w:rtl/>
        </w:rPr>
        <w:t xml:space="preserve"> در شبکه‌ها</w:t>
      </w:r>
      <w:r w:rsidRPr="0025250D">
        <w:rPr>
          <w:rFonts w:hint="cs"/>
          <w:rtl/>
        </w:rPr>
        <w:t>ی</w:t>
      </w:r>
      <w:r w:rsidRPr="0025250D">
        <w:rPr>
          <w:rtl/>
        </w:rPr>
        <w:t xml:space="preserve"> افراد، سازمان‌ها و جوامع و ا</w:t>
      </w:r>
      <w:r w:rsidRPr="0025250D">
        <w:rPr>
          <w:rFonts w:hint="cs"/>
          <w:rtl/>
        </w:rPr>
        <w:t>ی</w:t>
      </w:r>
      <w:r w:rsidRPr="0025250D">
        <w:rPr>
          <w:rFonts w:hint="eastAsia"/>
          <w:rtl/>
        </w:rPr>
        <w:t>ن</w:t>
      </w:r>
      <w:r w:rsidRPr="0025250D">
        <w:rPr>
          <w:rtl/>
        </w:rPr>
        <w:t xml:space="preserve"> فرض</w:t>
      </w:r>
      <w:r w:rsidRPr="0025250D">
        <w:rPr>
          <w:rFonts w:hint="cs"/>
          <w:rtl/>
        </w:rPr>
        <w:t>ی</w:t>
      </w:r>
      <w:r w:rsidRPr="0025250D">
        <w:rPr>
          <w:rFonts w:hint="eastAsia"/>
          <w:rtl/>
        </w:rPr>
        <w:t>ه</w:t>
      </w:r>
      <w:r w:rsidRPr="0025250D">
        <w:rPr>
          <w:rtl/>
        </w:rPr>
        <w:t xml:space="preserve"> که جهان ما خود </w:t>
      </w:r>
      <w:r w:rsidRPr="0025250D">
        <w:rPr>
          <w:rFonts w:hint="cs"/>
          <w:rtl/>
        </w:rPr>
        <w:t>ی</w:t>
      </w:r>
      <w:r w:rsidRPr="0025250D">
        <w:rPr>
          <w:rFonts w:hint="eastAsia"/>
          <w:rtl/>
        </w:rPr>
        <w:t>ک</w:t>
      </w:r>
      <w:r w:rsidRPr="0025250D">
        <w:rPr>
          <w:rtl/>
        </w:rPr>
        <w:t xml:space="preserve"> </w:t>
      </w:r>
      <w:r w:rsidR="00947B39" w:rsidRPr="0025250D">
        <w:rPr>
          <w:rtl/>
        </w:rPr>
        <w:t>سامانه</w:t>
      </w:r>
      <w:r w:rsidRPr="0025250D">
        <w:rPr>
          <w:rtl/>
        </w:rPr>
        <w:t xml:space="preserve"> </w:t>
      </w:r>
      <w:r w:rsidRPr="0025250D">
        <w:rPr>
          <w:rFonts w:hint="cs"/>
          <w:rtl/>
        </w:rPr>
        <w:t>تکاملی-توسعه‌ای</w:t>
      </w:r>
      <w:r w:rsidRPr="0025250D">
        <w:rPr>
          <w:rtl/>
        </w:rPr>
        <w:t xml:space="preserve"> است</w:t>
      </w:r>
      <w:r w:rsidRPr="0025250D">
        <w:rPr>
          <w:rFonts w:hint="cs"/>
          <w:rtl/>
        </w:rPr>
        <w:t>)</w:t>
      </w:r>
      <w:r w:rsidRPr="0025250D">
        <w:rPr>
          <w:rtl/>
        </w:rPr>
        <w:t>.</w:t>
      </w:r>
    </w:p>
    <w:p w14:paraId="5DBF7990" w14:textId="46DB3D4F" w:rsidR="00B219EF" w:rsidRPr="0025250D" w:rsidRDefault="00B219EF" w:rsidP="0090736C">
      <w:pPr>
        <w:rPr>
          <w:rtl/>
        </w:rPr>
      </w:pPr>
      <w:r w:rsidRPr="0025250D">
        <w:rPr>
          <w:rtl/>
        </w:rPr>
        <w:t>هر سه د</w:t>
      </w:r>
      <w:r w:rsidRPr="0025250D">
        <w:rPr>
          <w:rFonts w:hint="cs"/>
          <w:rtl/>
        </w:rPr>
        <w:t>ی</w:t>
      </w:r>
      <w:r w:rsidRPr="0025250D">
        <w:rPr>
          <w:rFonts w:hint="eastAsia"/>
          <w:rtl/>
        </w:rPr>
        <w:t>دگاه</w:t>
      </w:r>
      <w:r w:rsidRPr="0025250D">
        <w:rPr>
          <w:rtl/>
        </w:rPr>
        <w:t xml:space="preserve"> جهان‌بینی </w:t>
      </w:r>
      <w:r w:rsidR="00B04E18" w:rsidRPr="0025250D">
        <w:rPr>
          <w:rFonts w:hint="cs"/>
          <w:rtl/>
        </w:rPr>
        <w:t xml:space="preserve">نیز </w:t>
      </w:r>
      <w:r w:rsidRPr="0025250D">
        <w:rPr>
          <w:rtl/>
        </w:rPr>
        <w:t>هستند. اول</w:t>
      </w:r>
      <w:r w:rsidRPr="0025250D">
        <w:rPr>
          <w:rFonts w:hint="cs"/>
          <w:rtl/>
        </w:rPr>
        <w:t>ی</w:t>
      </w:r>
      <w:r w:rsidRPr="0025250D">
        <w:rPr>
          <w:rFonts w:hint="eastAsia"/>
          <w:rtl/>
        </w:rPr>
        <w:t>ن</w:t>
      </w:r>
      <w:r w:rsidRPr="0025250D">
        <w:rPr>
          <w:rtl/>
        </w:rPr>
        <w:t xml:space="preserve"> جهان‌بینی</w:t>
      </w:r>
      <w:r w:rsidR="00571613" w:rsidRPr="0025250D">
        <w:rPr>
          <w:rFonts w:hint="cs"/>
          <w:rtl/>
        </w:rPr>
        <w:t>،</w:t>
      </w:r>
      <w:r w:rsidRPr="0025250D">
        <w:rPr>
          <w:rtl/>
        </w:rPr>
        <w:t xml:space="preserve"> صرفاً مربوط به علم تثب</w:t>
      </w:r>
      <w:r w:rsidRPr="0025250D">
        <w:rPr>
          <w:rFonts w:hint="cs"/>
          <w:rtl/>
        </w:rPr>
        <w:t>ی</w:t>
      </w:r>
      <w:r w:rsidRPr="0025250D">
        <w:rPr>
          <w:rFonts w:hint="eastAsia"/>
          <w:rtl/>
        </w:rPr>
        <w:t>ت‌شده</w:t>
      </w:r>
      <w:r w:rsidRPr="0025250D">
        <w:rPr>
          <w:rtl/>
        </w:rPr>
        <w:t xml:space="preserve"> و روش‌های آن است</w:t>
      </w:r>
      <w:r w:rsidRPr="0025250D">
        <w:rPr>
          <w:rFonts w:hint="cs"/>
          <w:rtl/>
        </w:rPr>
        <w:t>؛</w:t>
      </w:r>
      <w:r w:rsidRPr="0025250D">
        <w:rPr>
          <w:rtl/>
        </w:rPr>
        <w:t xml:space="preserve"> جهان‌بینی دوم آینده‌نگاری نما</w:t>
      </w:r>
      <w:r w:rsidRPr="0025250D">
        <w:rPr>
          <w:rFonts w:hint="cs"/>
          <w:rtl/>
        </w:rPr>
        <w:t>یی</w:t>
      </w:r>
      <w:r w:rsidRPr="0025250D">
        <w:rPr>
          <w:vertAlign w:val="superscript"/>
          <w:rtl/>
        </w:rPr>
        <w:footnoteReference w:id="26"/>
      </w:r>
      <w:r w:rsidRPr="0025250D">
        <w:rPr>
          <w:rtl/>
        </w:rPr>
        <w:t xml:space="preserve"> </w:t>
      </w:r>
      <w:r w:rsidR="00B04E18" w:rsidRPr="0025250D">
        <w:rPr>
          <w:rFonts w:hint="cs"/>
          <w:rtl/>
        </w:rPr>
        <w:t>می‌باشد و</w:t>
      </w:r>
      <w:r w:rsidRPr="0025250D">
        <w:rPr>
          <w:rtl/>
        </w:rPr>
        <w:t xml:space="preserve"> سوم</w:t>
      </w:r>
      <w:r w:rsidRPr="0025250D">
        <w:rPr>
          <w:rFonts w:hint="cs"/>
          <w:rtl/>
        </w:rPr>
        <w:t>ی</w:t>
      </w:r>
      <w:r w:rsidRPr="0025250D">
        <w:rPr>
          <w:rFonts w:hint="eastAsia"/>
          <w:rtl/>
        </w:rPr>
        <w:t>ن</w:t>
      </w:r>
      <w:r w:rsidRPr="0025250D">
        <w:rPr>
          <w:rtl/>
        </w:rPr>
        <w:t xml:space="preserve"> مورد را ما </w:t>
      </w:r>
      <w:r w:rsidRPr="0025250D">
        <w:rPr>
          <w:rFonts w:hint="cs"/>
          <w:rtl/>
        </w:rPr>
        <w:t xml:space="preserve">آینده‌نگاری تکاملی-توسعه‌ای </w:t>
      </w:r>
      <w:r w:rsidRPr="0025250D">
        <w:rPr>
          <w:rtl/>
        </w:rPr>
        <w:t>می‌نامیم. دو مورد آخر</w:t>
      </w:r>
      <w:r w:rsidR="0090736C" w:rsidRPr="0025250D">
        <w:rPr>
          <w:rFonts w:hint="cs"/>
          <w:rtl/>
        </w:rPr>
        <w:t xml:space="preserve">، </w:t>
      </w:r>
      <w:r w:rsidR="0090736C" w:rsidRPr="0025250D">
        <w:rPr>
          <w:rtl/>
        </w:rPr>
        <w:t>امروز</w:t>
      </w:r>
      <w:r w:rsidR="0090736C" w:rsidRPr="0025250D">
        <w:rPr>
          <w:rFonts w:hint="cs"/>
          <w:rtl/>
        </w:rPr>
        <w:t>ه</w:t>
      </w:r>
      <w:r w:rsidRPr="0025250D">
        <w:rPr>
          <w:rtl/>
        </w:rPr>
        <w:t xml:space="preserve"> فرضیه‌های </w:t>
      </w:r>
      <w:r w:rsidR="0090736C" w:rsidRPr="0025250D">
        <w:rPr>
          <w:rFonts w:hint="cs"/>
          <w:rtl/>
        </w:rPr>
        <w:t xml:space="preserve">در حال </w:t>
      </w:r>
      <w:r w:rsidRPr="0025250D">
        <w:rPr>
          <w:rtl/>
        </w:rPr>
        <w:t>کار در نظر</w:t>
      </w:r>
      <w:r w:rsidRPr="0025250D">
        <w:rPr>
          <w:rFonts w:hint="cs"/>
          <w:rtl/>
        </w:rPr>
        <w:t>ی</w:t>
      </w:r>
      <w:r w:rsidRPr="0025250D">
        <w:rPr>
          <w:rFonts w:hint="eastAsia"/>
          <w:rtl/>
        </w:rPr>
        <w:t>ه</w:t>
      </w:r>
      <w:r w:rsidRPr="0025250D">
        <w:rPr>
          <w:rtl/>
        </w:rPr>
        <w:t xml:space="preserve"> سامانه‌ها</w:t>
      </w:r>
      <w:r w:rsidR="00571613" w:rsidRPr="0025250D">
        <w:rPr>
          <w:rStyle w:val="FootnoteReference"/>
          <w:rtl/>
        </w:rPr>
        <w:footnoteReference w:id="27"/>
      </w:r>
      <w:r w:rsidRPr="0025250D">
        <w:rPr>
          <w:rtl/>
        </w:rPr>
        <w:t xml:space="preserve"> (فلسفه سامانه‌های طب</w:t>
      </w:r>
      <w:r w:rsidRPr="0025250D">
        <w:rPr>
          <w:rFonts w:hint="cs"/>
          <w:rtl/>
        </w:rPr>
        <w:t>ی</w:t>
      </w:r>
      <w:r w:rsidRPr="0025250D">
        <w:rPr>
          <w:rFonts w:hint="eastAsia"/>
          <w:rtl/>
        </w:rPr>
        <w:t>ع</w:t>
      </w:r>
      <w:r w:rsidRPr="0025250D">
        <w:rPr>
          <w:rFonts w:hint="cs"/>
          <w:rtl/>
        </w:rPr>
        <w:t>ی</w:t>
      </w:r>
      <w:r w:rsidRPr="0025250D">
        <w:rPr>
          <w:rtl/>
        </w:rPr>
        <w:t>) هستند. ما انتظار دار</w:t>
      </w:r>
      <w:r w:rsidRPr="0025250D">
        <w:rPr>
          <w:rFonts w:hint="cs"/>
          <w:rtl/>
        </w:rPr>
        <w:t>ی</w:t>
      </w:r>
      <w:r w:rsidRPr="0025250D">
        <w:rPr>
          <w:rFonts w:hint="eastAsia"/>
          <w:rtl/>
        </w:rPr>
        <w:t>م</w:t>
      </w:r>
      <w:r w:rsidRPr="0025250D">
        <w:rPr>
          <w:rtl/>
        </w:rPr>
        <w:t xml:space="preserve"> که آن‌ها توسط علم آ</w:t>
      </w:r>
      <w:r w:rsidRPr="0025250D">
        <w:rPr>
          <w:rFonts w:hint="cs"/>
          <w:rtl/>
        </w:rPr>
        <w:t>ی</w:t>
      </w:r>
      <w:r w:rsidRPr="0025250D">
        <w:rPr>
          <w:rFonts w:hint="eastAsia"/>
          <w:rtl/>
        </w:rPr>
        <w:t>نده</w:t>
      </w:r>
      <w:r w:rsidRPr="0025250D">
        <w:rPr>
          <w:rtl/>
        </w:rPr>
        <w:t xml:space="preserve"> تائید شوند.</w:t>
      </w:r>
    </w:p>
    <w:p w14:paraId="15A7707E" w14:textId="4D265632" w:rsidR="00B219EF" w:rsidRPr="0025250D" w:rsidRDefault="00B219EF" w:rsidP="004445C5">
      <w:pPr>
        <w:rPr>
          <w:rtl/>
        </w:rPr>
      </w:pPr>
      <w:r w:rsidRPr="0025250D">
        <w:rPr>
          <w:rtl/>
        </w:rPr>
        <w:t>آینده‌نگاری نما</w:t>
      </w:r>
      <w:r w:rsidRPr="0025250D">
        <w:rPr>
          <w:rFonts w:hint="cs"/>
          <w:rtl/>
        </w:rPr>
        <w:t>یی</w:t>
      </w:r>
      <w:r w:rsidRPr="0025250D">
        <w:rPr>
          <w:rtl/>
        </w:rPr>
        <w:t xml:space="preserve"> که در ا</w:t>
      </w:r>
      <w:r w:rsidRPr="0025250D">
        <w:rPr>
          <w:rFonts w:hint="cs"/>
          <w:rtl/>
        </w:rPr>
        <w:t>ی</w:t>
      </w:r>
      <w:r w:rsidRPr="0025250D">
        <w:rPr>
          <w:rFonts w:hint="eastAsia"/>
          <w:rtl/>
        </w:rPr>
        <w:t>ن</w:t>
      </w:r>
      <w:r w:rsidRPr="0025250D">
        <w:rPr>
          <w:rtl/>
        </w:rPr>
        <w:t xml:space="preserve"> کتاب معرف</w:t>
      </w:r>
      <w:r w:rsidRPr="0025250D">
        <w:rPr>
          <w:rFonts w:hint="cs"/>
          <w:rtl/>
        </w:rPr>
        <w:t>ی</w:t>
      </w:r>
      <w:r w:rsidRPr="0025250D">
        <w:rPr>
          <w:rtl/>
        </w:rPr>
        <w:t xml:space="preserve"> شده است و در کتاب 2 به‌طور عم</w:t>
      </w:r>
      <w:r w:rsidRPr="0025250D">
        <w:rPr>
          <w:rFonts w:hint="cs"/>
          <w:rtl/>
        </w:rPr>
        <w:t>ی</w:t>
      </w:r>
      <w:r w:rsidRPr="0025250D">
        <w:rPr>
          <w:rFonts w:hint="eastAsia"/>
          <w:rtl/>
        </w:rPr>
        <w:t>ق</w:t>
      </w:r>
      <w:r w:rsidRPr="0025250D">
        <w:rPr>
          <w:rtl/>
        </w:rPr>
        <w:t xml:space="preserve"> مورد</w:t>
      </w:r>
      <w:r w:rsidR="00B04E18" w:rsidRPr="0025250D">
        <w:rPr>
          <w:rFonts w:hint="cs"/>
          <w:rtl/>
        </w:rPr>
        <w:t xml:space="preserve"> </w:t>
      </w:r>
      <w:r w:rsidRPr="0025250D">
        <w:rPr>
          <w:rtl/>
        </w:rPr>
        <w:t>بررسی قرار گرفته است، به رهبران کمک می‌کند تا نکات منف</w:t>
      </w:r>
      <w:r w:rsidRPr="0025250D">
        <w:rPr>
          <w:rFonts w:hint="cs"/>
          <w:rtl/>
        </w:rPr>
        <w:t>ی</w:t>
      </w:r>
      <w:r w:rsidRPr="0025250D">
        <w:rPr>
          <w:rtl/>
        </w:rPr>
        <w:t xml:space="preserve"> فرآ</w:t>
      </w:r>
      <w:r w:rsidRPr="0025250D">
        <w:rPr>
          <w:rFonts w:hint="cs"/>
          <w:rtl/>
        </w:rPr>
        <w:t>ی</w:t>
      </w:r>
      <w:r w:rsidRPr="0025250D">
        <w:rPr>
          <w:rFonts w:hint="eastAsia"/>
          <w:rtl/>
        </w:rPr>
        <w:t>ندها</w:t>
      </w:r>
      <w:r w:rsidRPr="0025250D">
        <w:rPr>
          <w:rFonts w:hint="cs"/>
          <w:rtl/>
        </w:rPr>
        <w:t>ی</w:t>
      </w:r>
      <w:r w:rsidRPr="0025250D">
        <w:rPr>
          <w:rtl/>
        </w:rPr>
        <w:t xml:space="preserve"> شتاب‌دهنده تغ</w:t>
      </w:r>
      <w:r w:rsidRPr="0025250D">
        <w:rPr>
          <w:rFonts w:hint="cs"/>
          <w:rtl/>
        </w:rPr>
        <w:t>یی</w:t>
      </w:r>
      <w:r w:rsidRPr="0025250D">
        <w:rPr>
          <w:rFonts w:hint="eastAsia"/>
          <w:rtl/>
        </w:rPr>
        <w:t>رات</w:t>
      </w:r>
      <w:r w:rsidRPr="0025250D">
        <w:rPr>
          <w:rtl/>
        </w:rPr>
        <w:t xml:space="preserve"> را در مق</w:t>
      </w:r>
      <w:r w:rsidRPr="0025250D">
        <w:rPr>
          <w:rFonts w:hint="cs"/>
          <w:rtl/>
        </w:rPr>
        <w:t>ی</w:t>
      </w:r>
      <w:r w:rsidRPr="0025250D">
        <w:rPr>
          <w:rFonts w:hint="eastAsia"/>
          <w:rtl/>
        </w:rPr>
        <w:t>اس</w:t>
      </w:r>
      <w:r w:rsidRPr="0025250D">
        <w:rPr>
          <w:rtl/>
        </w:rPr>
        <w:t xml:space="preserve"> </w:t>
      </w:r>
      <w:r w:rsidR="00B04E18" w:rsidRPr="0025250D">
        <w:rPr>
          <w:rFonts w:hint="cs"/>
          <w:rtl/>
        </w:rPr>
        <w:t xml:space="preserve">یک </w:t>
      </w:r>
      <w:r w:rsidRPr="0025250D">
        <w:rPr>
          <w:rtl/>
        </w:rPr>
        <w:t>س</w:t>
      </w:r>
      <w:r w:rsidRPr="0025250D">
        <w:rPr>
          <w:rFonts w:hint="cs"/>
          <w:rtl/>
        </w:rPr>
        <w:t>ی</w:t>
      </w:r>
      <w:r w:rsidRPr="0025250D">
        <w:rPr>
          <w:rFonts w:hint="eastAsia"/>
          <w:rtl/>
        </w:rPr>
        <w:t>اره</w:t>
      </w:r>
      <w:r w:rsidRPr="0025250D">
        <w:rPr>
          <w:rtl/>
        </w:rPr>
        <w:t xml:space="preserve"> درک کنند، از آن بهره برند، راهنما</w:t>
      </w:r>
      <w:r w:rsidRPr="0025250D">
        <w:rPr>
          <w:rFonts w:hint="cs"/>
          <w:rtl/>
        </w:rPr>
        <w:t>یی</w:t>
      </w:r>
      <w:r w:rsidRPr="0025250D">
        <w:rPr>
          <w:rtl/>
        </w:rPr>
        <w:t xml:space="preserve"> کنند و از آن دفاع کنند.</w:t>
      </w:r>
      <w:r w:rsidRPr="0025250D">
        <w:rPr>
          <w:rFonts w:hint="cs"/>
          <w:rtl/>
        </w:rPr>
        <w:t xml:space="preserve"> </w:t>
      </w:r>
      <w:r w:rsidRPr="0025250D">
        <w:rPr>
          <w:rtl/>
        </w:rPr>
        <w:t>در دهه‌های اخ</w:t>
      </w:r>
      <w:r w:rsidRPr="0025250D">
        <w:rPr>
          <w:rFonts w:hint="cs"/>
          <w:rtl/>
        </w:rPr>
        <w:t>ی</w:t>
      </w:r>
      <w:r w:rsidRPr="0025250D">
        <w:rPr>
          <w:rFonts w:hint="eastAsia"/>
          <w:rtl/>
        </w:rPr>
        <w:t>ر،</w:t>
      </w:r>
      <w:r w:rsidRPr="0025250D">
        <w:rPr>
          <w:rtl/>
        </w:rPr>
        <w:t xml:space="preserve"> تغ</w:t>
      </w:r>
      <w:r w:rsidRPr="0025250D">
        <w:rPr>
          <w:rFonts w:hint="cs"/>
          <w:rtl/>
        </w:rPr>
        <w:t>یی</w:t>
      </w:r>
      <w:r w:rsidRPr="0025250D">
        <w:rPr>
          <w:rFonts w:hint="eastAsia"/>
          <w:rtl/>
        </w:rPr>
        <w:t>رات</w:t>
      </w:r>
      <w:r w:rsidRPr="0025250D">
        <w:rPr>
          <w:rtl/>
        </w:rPr>
        <w:t xml:space="preserve"> علم</w:t>
      </w:r>
      <w:r w:rsidRPr="0025250D">
        <w:rPr>
          <w:rFonts w:hint="cs"/>
          <w:rtl/>
        </w:rPr>
        <w:t>ی</w:t>
      </w:r>
      <w:r w:rsidRPr="0025250D">
        <w:rPr>
          <w:rFonts w:hint="eastAsia"/>
          <w:rtl/>
        </w:rPr>
        <w:t>،</w:t>
      </w:r>
      <w:r w:rsidRPr="0025250D">
        <w:rPr>
          <w:rtl/>
        </w:rPr>
        <w:t xml:space="preserve"> فناور</w:t>
      </w:r>
      <w:r w:rsidRPr="0025250D">
        <w:rPr>
          <w:rFonts w:hint="cs"/>
          <w:rtl/>
        </w:rPr>
        <w:t>ی</w:t>
      </w:r>
      <w:r w:rsidRPr="0025250D">
        <w:rPr>
          <w:rFonts w:hint="eastAsia"/>
          <w:rtl/>
        </w:rPr>
        <w:t>،</w:t>
      </w:r>
      <w:r w:rsidRPr="0025250D">
        <w:rPr>
          <w:rtl/>
        </w:rPr>
        <w:t xml:space="preserve"> کارآفر</w:t>
      </w:r>
      <w:r w:rsidRPr="0025250D">
        <w:rPr>
          <w:rFonts w:hint="cs"/>
          <w:rtl/>
        </w:rPr>
        <w:t>ی</w:t>
      </w:r>
      <w:r w:rsidRPr="0025250D">
        <w:rPr>
          <w:rFonts w:hint="eastAsia"/>
          <w:rtl/>
        </w:rPr>
        <w:t>ن</w:t>
      </w:r>
      <w:r w:rsidRPr="0025250D">
        <w:rPr>
          <w:rFonts w:hint="cs"/>
          <w:rtl/>
        </w:rPr>
        <w:t>ی</w:t>
      </w:r>
      <w:r w:rsidRPr="0025250D">
        <w:rPr>
          <w:rtl/>
        </w:rPr>
        <w:t xml:space="preserve"> و توانمندساز</w:t>
      </w:r>
      <w:r w:rsidRPr="0025250D">
        <w:rPr>
          <w:rFonts w:hint="cs"/>
          <w:rtl/>
        </w:rPr>
        <w:t>ی</w:t>
      </w:r>
      <w:r w:rsidRPr="0025250D">
        <w:rPr>
          <w:rtl/>
        </w:rPr>
        <w:t xml:space="preserve"> نما</w:t>
      </w:r>
      <w:r w:rsidRPr="0025250D">
        <w:rPr>
          <w:rFonts w:hint="cs"/>
          <w:rtl/>
        </w:rPr>
        <w:t>یی</w:t>
      </w:r>
      <w:r w:rsidRPr="0025250D">
        <w:rPr>
          <w:rtl/>
        </w:rPr>
        <w:t xml:space="preserve"> به بزرگ‌ترین مجموعه </w:t>
      </w:r>
      <w:r w:rsidRPr="0025250D">
        <w:rPr>
          <w:rFonts w:hint="cs"/>
          <w:rtl/>
        </w:rPr>
        <w:t>پیشران‌های</w:t>
      </w:r>
      <w:r w:rsidRPr="0025250D">
        <w:rPr>
          <w:rtl/>
        </w:rPr>
        <w:t xml:space="preserve"> آ</w:t>
      </w:r>
      <w:r w:rsidRPr="0025250D">
        <w:rPr>
          <w:rFonts w:hint="cs"/>
          <w:rtl/>
        </w:rPr>
        <w:t>ی</w:t>
      </w:r>
      <w:r w:rsidRPr="0025250D">
        <w:rPr>
          <w:rFonts w:hint="eastAsia"/>
          <w:rtl/>
        </w:rPr>
        <w:t>نده</w:t>
      </w:r>
      <w:r w:rsidRPr="0025250D">
        <w:rPr>
          <w:rtl/>
        </w:rPr>
        <w:t xml:space="preserve"> بشر تبد</w:t>
      </w:r>
      <w:r w:rsidRPr="0025250D">
        <w:rPr>
          <w:rFonts w:hint="cs"/>
          <w:rtl/>
        </w:rPr>
        <w:t>ی</w:t>
      </w:r>
      <w:r w:rsidRPr="0025250D">
        <w:rPr>
          <w:rFonts w:hint="eastAsia"/>
          <w:rtl/>
        </w:rPr>
        <w:t>ل</w:t>
      </w:r>
      <w:r w:rsidRPr="0025250D">
        <w:rPr>
          <w:rtl/>
        </w:rPr>
        <w:t xml:space="preserve"> شده‌اند. خواه</w:t>
      </w:r>
      <w:r w:rsidRPr="0025250D">
        <w:rPr>
          <w:rFonts w:hint="cs"/>
          <w:rtl/>
        </w:rPr>
        <w:t>ی</w:t>
      </w:r>
      <w:r w:rsidRPr="0025250D">
        <w:rPr>
          <w:rFonts w:hint="eastAsia"/>
          <w:rtl/>
        </w:rPr>
        <w:t>م</w:t>
      </w:r>
      <w:r w:rsidRPr="0025250D">
        <w:rPr>
          <w:rtl/>
        </w:rPr>
        <w:t xml:space="preserve"> د</w:t>
      </w:r>
      <w:r w:rsidRPr="0025250D">
        <w:rPr>
          <w:rFonts w:hint="cs"/>
          <w:rtl/>
        </w:rPr>
        <w:t>ی</w:t>
      </w:r>
      <w:r w:rsidRPr="0025250D">
        <w:rPr>
          <w:rFonts w:hint="eastAsia"/>
          <w:rtl/>
        </w:rPr>
        <w:t>د</w:t>
      </w:r>
      <w:r w:rsidRPr="0025250D">
        <w:rPr>
          <w:rtl/>
        </w:rPr>
        <w:t xml:space="preserve"> که چرا برخ</w:t>
      </w:r>
      <w:r w:rsidRPr="0025250D">
        <w:rPr>
          <w:rFonts w:hint="cs"/>
          <w:rtl/>
        </w:rPr>
        <w:t>ی</w:t>
      </w:r>
      <w:r w:rsidRPr="0025250D">
        <w:rPr>
          <w:rtl/>
        </w:rPr>
        <w:t xml:space="preserve"> از اشکال تغ</w:t>
      </w:r>
      <w:r w:rsidRPr="0025250D">
        <w:rPr>
          <w:rFonts w:hint="cs"/>
          <w:rtl/>
        </w:rPr>
        <w:t>یی</w:t>
      </w:r>
      <w:r w:rsidRPr="0025250D">
        <w:rPr>
          <w:rFonts w:hint="eastAsia"/>
          <w:rtl/>
        </w:rPr>
        <w:t>ر</w:t>
      </w:r>
      <w:r w:rsidRPr="0025250D">
        <w:rPr>
          <w:rtl/>
        </w:rPr>
        <w:t xml:space="preserve"> در آ</w:t>
      </w:r>
      <w:r w:rsidRPr="0025250D">
        <w:rPr>
          <w:rFonts w:hint="cs"/>
          <w:rtl/>
        </w:rPr>
        <w:t>ی</w:t>
      </w:r>
      <w:r w:rsidRPr="0025250D">
        <w:rPr>
          <w:rFonts w:hint="eastAsia"/>
          <w:rtl/>
        </w:rPr>
        <w:t>نده</w:t>
      </w:r>
      <w:r w:rsidRPr="0025250D">
        <w:rPr>
          <w:rtl/>
        </w:rPr>
        <w:t xml:space="preserve"> به‌ناچار حت</w:t>
      </w:r>
      <w:r w:rsidRPr="0025250D">
        <w:rPr>
          <w:rFonts w:hint="cs"/>
          <w:rtl/>
        </w:rPr>
        <w:t>ی</w:t>
      </w:r>
      <w:r w:rsidRPr="0025250D">
        <w:rPr>
          <w:rtl/>
        </w:rPr>
        <w:t xml:space="preserve"> سریع‌تر و ازنظر اخلاق</w:t>
      </w:r>
      <w:r w:rsidRPr="0025250D">
        <w:rPr>
          <w:rFonts w:hint="cs"/>
          <w:rtl/>
        </w:rPr>
        <w:t>ی</w:t>
      </w:r>
      <w:r w:rsidRPr="0025250D">
        <w:rPr>
          <w:rtl/>
        </w:rPr>
        <w:t xml:space="preserve"> پیچیده‌تر خواهند شد.</w:t>
      </w:r>
      <w:r w:rsidRPr="0025250D">
        <w:rPr>
          <w:rFonts w:hint="cs"/>
          <w:rtl/>
        </w:rPr>
        <w:t xml:space="preserve"> </w:t>
      </w:r>
      <w:r w:rsidRPr="0025250D">
        <w:rPr>
          <w:rtl/>
        </w:rPr>
        <w:t>بهتر</w:t>
      </w:r>
      <w:r w:rsidRPr="0025250D">
        <w:rPr>
          <w:rFonts w:hint="cs"/>
          <w:rtl/>
        </w:rPr>
        <w:t>ی</w:t>
      </w:r>
      <w:r w:rsidRPr="0025250D">
        <w:rPr>
          <w:rFonts w:hint="eastAsia"/>
          <w:rtl/>
        </w:rPr>
        <w:t>ن</w:t>
      </w:r>
      <w:r w:rsidRPr="0025250D">
        <w:rPr>
          <w:rtl/>
        </w:rPr>
        <w:t xml:space="preserve"> متفکران اکنون م</w:t>
      </w:r>
      <w:r w:rsidRPr="0025250D">
        <w:rPr>
          <w:rFonts w:hint="cs"/>
          <w:rtl/>
        </w:rPr>
        <w:t>ی‌</w:t>
      </w:r>
      <w:r w:rsidRPr="0025250D">
        <w:rPr>
          <w:rFonts w:hint="eastAsia"/>
          <w:rtl/>
        </w:rPr>
        <w:t>دانند،</w:t>
      </w:r>
      <w:r w:rsidRPr="0025250D">
        <w:rPr>
          <w:rtl/>
        </w:rPr>
        <w:t xml:space="preserve"> حت</w:t>
      </w:r>
      <w:r w:rsidRPr="0025250D">
        <w:rPr>
          <w:rFonts w:hint="cs"/>
          <w:rtl/>
        </w:rPr>
        <w:t>ی</w:t>
      </w:r>
      <w:r w:rsidRPr="0025250D">
        <w:rPr>
          <w:rtl/>
        </w:rPr>
        <w:t xml:space="preserve"> بدون ا</w:t>
      </w:r>
      <w:r w:rsidRPr="0025250D">
        <w:rPr>
          <w:rFonts w:hint="cs"/>
          <w:rtl/>
        </w:rPr>
        <w:t>ی</w:t>
      </w:r>
      <w:r w:rsidRPr="0025250D">
        <w:rPr>
          <w:rFonts w:hint="eastAsia"/>
          <w:rtl/>
        </w:rPr>
        <w:t>نکه</w:t>
      </w:r>
      <w:r w:rsidRPr="0025250D">
        <w:rPr>
          <w:rtl/>
        </w:rPr>
        <w:t xml:space="preserve"> ما هنوز تمام </w:t>
      </w:r>
      <w:r w:rsidR="00F82713" w:rsidRPr="0025250D">
        <w:rPr>
          <w:rFonts w:hint="cs"/>
          <w:rtl/>
        </w:rPr>
        <w:t xml:space="preserve">علم </w:t>
      </w:r>
      <w:r w:rsidRPr="0025250D">
        <w:rPr>
          <w:rtl/>
        </w:rPr>
        <w:t>ر</w:t>
      </w:r>
      <w:r w:rsidRPr="0025250D">
        <w:rPr>
          <w:rFonts w:hint="cs"/>
          <w:rtl/>
        </w:rPr>
        <w:t>ی</w:t>
      </w:r>
      <w:r w:rsidRPr="0025250D">
        <w:rPr>
          <w:rFonts w:hint="eastAsia"/>
          <w:rtl/>
        </w:rPr>
        <w:t>اض</w:t>
      </w:r>
      <w:r w:rsidRPr="0025250D">
        <w:rPr>
          <w:rFonts w:hint="cs"/>
          <w:rtl/>
        </w:rPr>
        <w:t>ی</w:t>
      </w:r>
      <w:r w:rsidRPr="0025250D">
        <w:rPr>
          <w:rFonts w:hint="eastAsia"/>
          <w:rtl/>
        </w:rPr>
        <w:t>ات</w:t>
      </w:r>
      <w:r w:rsidRPr="0025250D">
        <w:rPr>
          <w:rtl/>
        </w:rPr>
        <w:t xml:space="preserve"> و علوم را در اخت</w:t>
      </w:r>
      <w:r w:rsidRPr="0025250D">
        <w:rPr>
          <w:rFonts w:hint="cs"/>
          <w:rtl/>
        </w:rPr>
        <w:t>ی</w:t>
      </w:r>
      <w:r w:rsidRPr="0025250D">
        <w:rPr>
          <w:rFonts w:hint="eastAsia"/>
          <w:rtl/>
        </w:rPr>
        <w:t>ار</w:t>
      </w:r>
      <w:r w:rsidRPr="0025250D">
        <w:rPr>
          <w:rtl/>
        </w:rPr>
        <w:t xml:space="preserve"> داشته باش</w:t>
      </w:r>
      <w:r w:rsidRPr="0025250D">
        <w:rPr>
          <w:rFonts w:hint="cs"/>
          <w:rtl/>
        </w:rPr>
        <w:t>ی</w:t>
      </w:r>
      <w:r w:rsidRPr="0025250D">
        <w:rPr>
          <w:rFonts w:hint="eastAsia"/>
          <w:rtl/>
        </w:rPr>
        <w:t>م</w:t>
      </w:r>
      <w:r w:rsidRPr="0025250D">
        <w:rPr>
          <w:rFonts w:hint="cs"/>
          <w:rtl/>
        </w:rPr>
        <w:t xml:space="preserve">، </w:t>
      </w:r>
      <w:r w:rsidRPr="0025250D">
        <w:rPr>
          <w:rtl/>
        </w:rPr>
        <w:t>جنبه‌ها</w:t>
      </w:r>
      <w:r w:rsidRPr="0025250D">
        <w:rPr>
          <w:rFonts w:hint="cs"/>
          <w:rtl/>
        </w:rPr>
        <w:t>ی</w:t>
      </w:r>
      <w:r w:rsidRPr="0025250D">
        <w:rPr>
          <w:rtl/>
        </w:rPr>
        <w:t xml:space="preserve"> خاص تمدن شبکه‌ا</w:t>
      </w:r>
      <w:r w:rsidRPr="0025250D">
        <w:rPr>
          <w:rFonts w:hint="cs"/>
          <w:rtl/>
        </w:rPr>
        <w:t>ی</w:t>
      </w:r>
      <w:r w:rsidRPr="0025250D">
        <w:rPr>
          <w:rtl/>
        </w:rPr>
        <w:t xml:space="preserve"> ما به‌طور متوسط در طول تار</w:t>
      </w:r>
      <w:r w:rsidRPr="0025250D">
        <w:rPr>
          <w:rFonts w:hint="cs"/>
          <w:rtl/>
        </w:rPr>
        <w:t>ی</w:t>
      </w:r>
      <w:r w:rsidRPr="0025250D">
        <w:rPr>
          <w:rFonts w:hint="eastAsia"/>
          <w:rtl/>
        </w:rPr>
        <w:t>خ</w:t>
      </w:r>
      <w:r w:rsidRPr="0025250D">
        <w:rPr>
          <w:rtl/>
        </w:rPr>
        <w:t xml:space="preserve"> بشر</w:t>
      </w:r>
      <w:r w:rsidRPr="0025250D">
        <w:rPr>
          <w:rFonts w:hint="cs"/>
          <w:rtl/>
        </w:rPr>
        <w:t>ی</w:t>
      </w:r>
      <w:r w:rsidRPr="0025250D">
        <w:rPr>
          <w:rFonts w:hint="eastAsia"/>
          <w:rtl/>
        </w:rPr>
        <w:t>،</w:t>
      </w:r>
      <w:r w:rsidRPr="0025250D">
        <w:rPr>
          <w:rtl/>
        </w:rPr>
        <w:t xml:space="preserve"> با مکث‌ها</w:t>
      </w:r>
      <w:r w:rsidRPr="0025250D">
        <w:rPr>
          <w:rFonts w:hint="cs"/>
          <w:rtl/>
        </w:rPr>
        <w:t>ی</w:t>
      </w:r>
      <w:r w:rsidRPr="0025250D">
        <w:rPr>
          <w:rtl/>
        </w:rPr>
        <w:t xml:space="preserve"> کوتاه و محل</w:t>
      </w:r>
      <w:r w:rsidRPr="0025250D">
        <w:rPr>
          <w:rFonts w:hint="cs"/>
          <w:rtl/>
        </w:rPr>
        <w:t>ی</w:t>
      </w:r>
      <w:r w:rsidRPr="0025250D">
        <w:rPr>
          <w:rtl/>
        </w:rPr>
        <w:t xml:space="preserve"> فزا</w:t>
      </w:r>
      <w:r w:rsidRPr="0025250D">
        <w:rPr>
          <w:rFonts w:hint="cs"/>
          <w:rtl/>
        </w:rPr>
        <w:t>ی</w:t>
      </w:r>
      <w:r w:rsidRPr="0025250D">
        <w:rPr>
          <w:rFonts w:hint="eastAsia"/>
          <w:rtl/>
        </w:rPr>
        <w:t>نده‌ا</w:t>
      </w:r>
      <w:r w:rsidRPr="0025250D">
        <w:rPr>
          <w:rFonts w:hint="cs"/>
          <w:rtl/>
        </w:rPr>
        <w:t>ی</w:t>
      </w:r>
      <w:r w:rsidRPr="0025250D">
        <w:rPr>
          <w:rtl/>
        </w:rPr>
        <w:t xml:space="preserve"> در حال افزا</w:t>
      </w:r>
      <w:r w:rsidRPr="0025250D">
        <w:rPr>
          <w:rFonts w:hint="cs"/>
          <w:rtl/>
        </w:rPr>
        <w:t>ی</w:t>
      </w:r>
      <w:r w:rsidRPr="0025250D">
        <w:rPr>
          <w:rFonts w:hint="eastAsia"/>
          <w:rtl/>
        </w:rPr>
        <w:t>ش</w:t>
      </w:r>
      <w:r w:rsidRPr="0025250D">
        <w:rPr>
          <w:rtl/>
        </w:rPr>
        <w:t xml:space="preserve"> بوده است. درک ا</w:t>
      </w:r>
      <w:r w:rsidRPr="0025250D">
        <w:rPr>
          <w:rFonts w:hint="cs"/>
          <w:rtl/>
        </w:rPr>
        <w:t>ی</w:t>
      </w:r>
      <w:r w:rsidRPr="0025250D">
        <w:rPr>
          <w:rFonts w:hint="eastAsia"/>
          <w:rtl/>
        </w:rPr>
        <w:t>نکه</w:t>
      </w:r>
      <w:r w:rsidRPr="0025250D">
        <w:rPr>
          <w:rtl/>
        </w:rPr>
        <w:t xml:space="preserve"> کدام فرآ</w:t>
      </w:r>
      <w:r w:rsidRPr="0025250D">
        <w:rPr>
          <w:rFonts w:hint="cs"/>
          <w:rtl/>
        </w:rPr>
        <w:t>ی</w:t>
      </w:r>
      <w:r w:rsidRPr="0025250D">
        <w:rPr>
          <w:rFonts w:hint="eastAsia"/>
          <w:rtl/>
        </w:rPr>
        <w:t>ندها</w:t>
      </w:r>
      <w:r w:rsidRPr="0025250D">
        <w:rPr>
          <w:rFonts w:hint="cs"/>
          <w:rtl/>
        </w:rPr>
        <w:t>ی</w:t>
      </w:r>
      <w:r w:rsidRPr="0025250D">
        <w:rPr>
          <w:rtl/>
        </w:rPr>
        <w:t xml:space="preserve"> اجتماع</w:t>
      </w:r>
      <w:r w:rsidRPr="0025250D">
        <w:rPr>
          <w:rFonts w:hint="cs"/>
          <w:rtl/>
        </w:rPr>
        <w:t>ی</w:t>
      </w:r>
      <w:r w:rsidRPr="0025250D">
        <w:rPr>
          <w:rtl/>
        </w:rPr>
        <w:t xml:space="preserve"> </w:t>
      </w:r>
      <w:r w:rsidRPr="0025250D">
        <w:rPr>
          <w:rFonts w:hint="eastAsia"/>
          <w:rtl/>
        </w:rPr>
        <w:t>تسر</w:t>
      </w:r>
      <w:r w:rsidRPr="0025250D">
        <w:rPr>
          <w:rFonts w:hint="cs"/>
          <w:rtl/>
        </w:rPr>
        <w:t>ی</w:t>
      </w:r>
      <w:r w:rsidRPr="0025250D">
        <w:rPr>
          <w:rFonts w:hint="eastAsia"/>
          <w:rtl/>
        </w:rPr>
        <w:t>ع</w:t>
      </w:r>
      <w:r w:rsidRPr="0025250D">
        <w:rPr>
          <w:rtl/>
        </w:rPr>
        <w:t xml:space="preserve"> م</w:t>
      </w:r>
      <w:r w:rsidRPr="0025250D">
        <w:rPr>
          <w:rFonts w:hint="cs"/>
          <w:rtl/>
        </w:rPr>
        <w:t>ی‌</w:t>
      </w:r>
      <w:r w:rsidRPr="0025250D">
        <w:rPr>
          <w:rFonts w:hint="eastAsia"/>
          <w:rtl/>
        </w:rPr>
        <w:t>شوند</w:t>
      </w:r>
      <w:r w:rsidRPr="0025250D">
        <w:rPr>
          <w:rtl/>
        </w:rPr>
        <w:t xml:space="preserve"> و چرا، به ما امکان م</w:t>
      </w:r>
      <w:r w:rsidRPr="0025250D">
        <w:rPr>
          <w:rFonts w:hint="cs"/>
          <w:rtl/>
        </w:rPr>
        <w:t>ی‌</w:t>
      </w:r>
      <w:r w:rsidRPr="0025250D">
        <w:rPr>
          <w:rFonts w:hint="eastAsia"/>
          <w:rtl/>
        </w:rPr>
        <w:t>دهد</w:t>
      </w:r>
      <w:r w:rsidRPr="0025250D">
        <w:rPr>
          <w:rtl/>
        </w:rPr>
        <w:t xml:space="preserve"> بهتر آن‌ها را به سمت اهداف </w:t>
      </w:r>
      <w:r w:rsidRPr="0025250D">
        <w:rPr>
          <w:rFonts w:hint="cs"/>
          <w:rtl/>
        </w:rPr>
        <w:t>مرجح</w:t>
      </w:r>
      <w:r w:rsidR="00F82713" w:rsidRPr="0025250D">
        <w:rPr>
          <w:rStyle w:val="FootnoteReference"/>
          <w:rtl/>
        </w:rPr>
        <w:footnoteReference w:id="28"/>
      </w:r>
      <w:r w:rsidRPr="0025250D">
        <w:rPr>
          <w:rFonts w:hint="cs"/>
          <w:rtl/>
        </w:rPr>
        <w:t xml:space="preserve"> خود</w:t>
      </w:r>
      <w:r w:rsidRPr="0025250D">
        <w:rPr>
          <w:rtl/>
        </w:rPr>
        <w:t xml:space="preserve"> هدا</w:t>
      </w:r>
      <w:r w:rsidRPr="0025250D">
        <w:rPr>
          <w:rFonts w:hint="cs"/>
          <w:rtl/>
        </w:rPr>
        <w:t>ی</w:t>
      </w:r>
      <w:r w:rsidRPr="0025250D">
        <w:rPr>
          <w:rFonts w:hint="eastAsia"/>
          <w:rtl/>
        </w:rPr>
        <w:t>ت</w:t>
      </w:r>
      <w:r w:rsidRPr="0025250D">
        <w:rPr>
          <w:rtl/>
        </w:rPr>
        <w:t xml:space="preserve"> کن</w:t>
      </w:r>
      <w:r w:rsidRPr="0025250D">
        <w:rPr>
          <w:rFonts w:hint="cs"/>
          <w:rtl/>
        </w:rPr>
        <w:t>ی</w:t>
      </w:r>
      <w:r w:rsidRPr="0025250D">
        <w:rPr>
          <w:rFonts w:hint="eastAsia"/>
          <w:rtl/>
        </w:rPr>
        <w:t>م،</w:t>
      </w:r>
      <w:r w:rsidRPr="0025250D">
        <w:rPr>
          <w:rtl/>
        </w:rPr>
        <w:t xml:space="preserve"> از ارزش</w:t>
      </w:r>
      <w:r w:rsidRPr="0025250D">
        <w:rPr>
          <w:rFonts w:hint="cs"/>
          <w:rtl/>
        </w:rPr>
        <w:t>ی</w:t>
      </w:r>
      <w:r w:rsidRPr="0025250D">
        <w:rPr>
          <w:rtl/>
        </w:rPr>
        <w:t xml:space="preserve"> که ا</w:t>
      </w:r>
      <w:r w:rsidRPr="0025250D">
        <w:rPr>
          <w:rFonts w:hint="cs"/>
          <w:rtl/>
        </w:rPr>
        <w:t>ی</w:t>
      </w:r>
      <w:r w:rsidRPr="0025250D">
        <w:rPr>
          <w:rFonts w:hint="eastAsia"/>
          <w:rtl/>
        </w:rPr>
        <w:t>جاد</w:t>
      </w:r>
      <w:r w:rsidRPr="0025250D">
        <w:rPr>
          <w:rtl/>
        </w:rPr>
        <w:t xml:space="preserve"> م</w:t>
      </w:r>
      <w:r w:rsidRPr="0025250D">
        <w:rPr>
          <w:rFonts w:hint="cs"/>
          <w:rtl/>
        </w:rPr>
        <w:t>ی‌</w:t>
      </w:r>
      <w:r w:rsidRPr="0025250D">
        <w:rPr>
          <w:rFonts w:hint="eastAsia"/>
          <w:rtl/>
        </w:rPr>
        <w:t>کنند</w:t>
      </w:r>
      <w:r w:rsidRPr="0025250D">
        <w:rPr>
          <w:rtl/>
        </w:rPr>
        <w:t xml:space="preserve"> سود ببر</w:t>
      </w:r>
      <w:r w:rsidRPr="0025250D">
        <w:rPr>
          <w:rFonts w:hint="cs"/>
          <w:rtl/>
        </w:rPr>
        <w:t>ی</w:t>
      </w:r>
      <w:r w:rsidRPr="0025250D">
        <w:rPr>
          <w:rFonts w:hint="eastAsia"/>
          <w:rtl/>
        </w:rPr>
        <w:t>م</w:t>
      </w:r>
      <w:r w:rsidRPr="0025250D">
        <w:rPr>
          <w:rtl/>
        </w:rPr>
        <w:t xml:space="preserve"> و در برابر جنبه‌ها</w:t>
      </w:r>
      <w:r w:rsidRPr="0025250D">
        <w:rPr>
          <w:rFonts w:hint="cs"/>
          <w:rtl/>
        </w:rPr>
        <w:t>ی</w:t>
      </w:r>
      <w:r w:rsidRPr="0025250D">
        <w:rPr>
          <w:rtl/>
        </w:rPr>
        <w:t xml:space="preserve"> مخرب آن‌ها </w:t>
      </w:r>
      <w:r w:rsidRPr="0025250D">
        <w:rPr>
          <w:rFonts w:hint="cs"/>
          <w:rtl/>
        </w:rPr>
        <w:t xml:space="preserve">از خود </w:t>
      </w:r>
      <w:r w:rsidRPr="0025250D">
        <w:rPr>
          <w:rtl/>
        </w:rPr>
        <w:t>محافظت کن</w:t>
      </w:r>
      <w:r w:rsidRPr="0025250D">
        <w:rPr>
          <w:rFonts w:hint="cs"/>
          <w:rtl/>
        </w:rPr>
        <w:t>ی</w:t>
      </w:r>
      <w:r w:rsidRPr="0025250D">
        <w:rPr>
          <w:rFonts w:hint="eastAsia"/>
          <w:rtl/>
        </w:rPr>
        <w:t>م</w:t>
      </w:r>
      <w:r w:rsidRPr="0025250D">
        <w:rPr>
          <w:rtl/>
        </w:rPr>
        <w:t>.</w:t>
      </w:r>
    </w:p>
    <w:p w14:paraId="539349D2" w14:textId="1A7CF4BD" w:rsidR="00B219EF" w:rsidRPr="0025250D" w:rsidRDefault="00B219EF" w:rsidP="0044590A">
      <w:pPr>
        <w:rPr>
          <w:rtl/>
        </w:rPr>
      </w:pPr>
      <w:r w:rsidRPr="0025250D">
        <w:rPr>
          <w:rtl/>
        </w:rPr>
        <w:t>برا</w:t>
      </w:r>
      <w:r w:rsidRPr="0025250D">
        <w:rPr>
          <w:rFonts w:hint="cs"/>
          <w:rtl/>
        </w:rPr>
        <w:t>ی</w:t>
      </w:r>
      <w:r w:rsidRPr="0025250D">
        <w:rPr>
          <w:rtl/>
        </w:rPr>
        <w:t xml:space="preserve"> تجزیه‌وتحلیل نما</w:t>
      </w:r>
      <w:r w:rsidRPr="0025250D">
        <w:rPr>
          <w:rFonts w:hint="cs"/>
          <w:rtl/>
        </w:rPr>
        <w:t>یی</w:t>
      </w:r>
      <w:r w:rsidRPr="0025250D">
        <w:rPr>
          <w:rFonts w:hint="eastAsia"/>
          <w:rtl/>
        </w:rPr>
        <w:t>،</w:t>
      </w:r>
      <w:r w:rsidRPr="0025250D">
        <w:rPr>
          <w:rtl/>
        </w:rPr>
        <w:t xml:space="preserve"> دو </w:t>
      </w:r>
      <w:r w:rsidRPr="0025250D">
        <w:rPr>
          <w:rFonts w:hint="cs"/>
          <w:rtl/>
        </w:rPr>
        <w:t>کلان‌روند</w:t>
      </w:r>
      <w:r w:rsidRPr="0025250D">
        <w:rPr>
          <w:rtl/>
        </w:rPr>
        <w:t xml:space="preserve"> جهان</w:t>
      </w:r>
      <w:r w:rsidRPr="0025250D">
        <w:rPr>
          <w:rFonts w:hint="cs"/>
          <w:rtl/>
        </w:rPr>
        <w:t>ی</w:t>
      </w:r>
      <w:r w:rsidRPr="0025250D">
        <w:rPr>
          <w:rtl/>
        </w:rPr>
        <w:t xml:space="preserve"> را معرف</w:t>
      </w:r>
      <w:r w:rsidRPr="0025250D">
        <w:rPr>
          <w:rFonts w:hint="cs"/>
          <w:rtl/>
        </w:rPr>
        <w:t>ی</w:t>
      </w:r>
      <w:r w:rsidRPr="0025250D">
        <w:rPr>
          <w:rtl/>
        </w:rPr>
        <w:t xml:space="preserve"> می‌کنیم: </w:t>
      </w:r>
      <w:r w:rsidRPr="0025250D">
        <w:rPr>
          <w:rFonts w:hint="cs"/>
          <w:rtl/>
        </w:rPr>
        <w:t>متراکم سازی</w:t>
      </w:r>
      <w:r w:rsidRPr="0025250D">
        <w:rPr>
          <w:vertAlign w:val="superscript"/>
          <w:rtl/>
        </w:rPr>
        <w:footnoteReference w:id="29"/>
      </w:r>
      <w:r w:rsidRPr="0025250D">
        <w:rPr>
          <w:rtl/>
        </w:rPr>
        <w:t xml:space="preserve"> و </w:t>
      </w:r>
      <w:r w:rsidR="000B4A71" w:rsidRPr="0025250D">
        <w:rPr>
          <w:rFonts w:hint="cs"/>
          <w:rtl/>
        </w:rPr>
        <w:t>مادی‌زدایی</w:t>
      </w:r>
      <w:r w:rsidRPr="0025250D">
        <w:rPr>
          <w:vertAlign w:val="superscript"/>
          <w:rtl/>
        </w:rPr>
        <w:footnoteReference w:id="30"/>
      </w:r>
      <w:r w:rsidRPr="0025250D">
        <w:rPr>
          <w:rtl/>
        </w:rPr>
        <w:t xml:space="preserve"> </w:t>
      </w:r>
      <w:r w:rsidRPr="0025250D">
        <w:rPr>
          <w:rFonts w:hint="cs"/>
          <w:rtl/>
        </w:rPr>
        <w:t>ی</w:t>
      </w:r>
      <w:r w:rsidRPr="0025250D">
        <w:rPr>
          <w:rFonts w:hint="eastAsia"/>
          <w:rtl/>
        </w:rPr>
        <w:t>ا</w:t>
      </w:r>
      <w:r w:rsidRPr="0025250D">
        <w:rPr>
          <w:rtl/>
        </w:rPr>
        <w:t xml:space="preserve"> </w:t>
      </w:r>
      <w:r w:rsidR="00F82713" w:rsidRPr="0025250D">
        <w:rPr>
          <w:rFonts w:hint="cs"/>
          <w:rtl/>
        </w:rPr>
        <w:t>«</w:t>
      </w:r>
      <w:r w:rsidRPr="0025250D">
        <w:t>D&amp;D</w:t>
      </w:r>
      <w:r w:rsidR="00F82713" w:rsidRPr="0025250D">
        <w:rPr>
          <w:rFonts w:hint="cs"/>
          <w:rtl/>
        </w:rPr>
        <w:t>»</w:t>
      </w:r>
      <w:r w:rsidRPr="0025250D">
        <w:rPr>
          <w:rtl/>
        </w:rPr>
        <w:t xml:space="preserve">. ما آن‌ها را به‌عنوان </w:t>
      </w:r>
      <w:r w:rsidRPr="0025250D">
        <w:rPr>
          <w:rFonts w:hint="cs"/>
          <w:rtl/>
        </w:rPr>
        <w:t>پیشران‌های</w:t>
      </w:r>
      <w:r w:rsidRPr="0025250D">
        <w:rPr>
          <w:rtl/>
        </w:rPr>
        <w:t xml:space="preserve"> عل</w:t>
      </w:r>
      <w:r w:rsidR="00F82713" w:rsidRPr="0025250D">
        <w:rPr>
          <w:rFonts w:hint="cs"/>
          <w:rtl/>
        </w:rPr>
        <w:t>ّ</w:t>
      </w:r>
      <w:r w:rsidRPr="0025250D">
        <w:rPr>
          <w:rFonts w:hint="cs"/>
          <w:rtl/>
        </w:rPr>
        <w:t>ی</w:t>
      </w:r>
      <w:r w:rsidRPr="0025250D">
        <w:rPr>
          <w:rtl/>
        </w:rPr>
        <w:t xml:space="preserve"> کل</w:t>
      </w:r>
      <w:r w:rsidRPr="0025250D">
        <w:rPr>
          <w:rFonts w:hint="cs"/>
          <w:rtl/>
        </w:rPr>
        <w:t>ی</w:t>
      </w:r>
      <w:r w:rsidRPr="0025250D">
        <w:rPr>
          <w:rFonts w:hint="eastAsia"/>
          <w:rtl/>
        </w:rPr>
        <w:t>د</w:t>
      </w:r>
      <w:r w:rsidRPr="0025250D">
        <w:rPr>
          <w:rFonts w:hint="cs"/>
          <w:rtl/>
        </w:rPr>
        <w:t>ی</w:t>
      </w:r>
      <w:r w:rsidRPr="0025250D">
        <w:rPr>
          <w:rtl/>
        </w:rPr>
        <w:t xml:space="preserve"> شتاب کارآفر</w:t>
      </w:r>
      <w:r w:rsidRPr="0025250D">
        <w:rPr>
          <w:rFonts w:hint="cs"/>
          <w:rtl/>
        </w:rPr>
        <w:t>ی</w:t>
      </w:r>
      <w:r w:rsidRPr="0025250D">
        <w:rPr>
          <w:rFonts w:hint="eastAsia"/>
          <w:rtl/>
        </w:rPr>
        <w:t>ن</w:t>
      </w:r>
      <w:r w:rsidRPr="0025250D">
        <w:rPr>
          <w:rFonts w:hint="cs"/>
          <w:rtl/>
        </w:rPr>
        <w:t>ی</w:t>
      </w:r>
      <w:r w:rsidRPr="0025250D">
        <w:rPr>
          <w:rFonts w:hint="eastAsia"/>
          <w:rtl/>
        </w:rPr>
        <w:t>،</w:t>
      </w:r>
      <w:r w:rsidRPr="0025250D">
        <w:rPr>
          <w:rtl/>
        </w:rPr>
        <w:t xml:space="preserve"> اجتماع</w:t>
      </w:r>
      <w:r w:rsidRPr="0025250D">
        <w:rPr>
          <w:rFonts w:hint="cs"/>
          <w:rtl/>
        </w:rPr>
        <w:t>ی</w:t>
      </w:r>
      <w:r w:rsidRPr="0025250D">
        <w:rPr>
          <w:rtl/>
        </w:rPr>
        <w:t xml:space="preserve"> و فناور</w:t>
      </w:r>
      <w:r w:rsidRPr="0025250D">
        <w:rPr>
          <w:rFonts w:hint="cs"/>
          <w:rtl/>
        </w:rPr>
        <w:t>ی</w:t>
      </w:r>
      <w:r w:rsidRPr="0025250D">
        <w:rPr>
          <w:rtl/>
        </w:rPr>
        <w:t xml:space="preserve"> پ</w:t>
      </w:r>
      <w:r w:rsidRPr="0025250D">
        <w:rPr>
          <w:rFonts w:hint="cs"/>
          <w:rtl/>
        </w:rPr>
        <w:t>ی</w:t>
      </w:r>
      <w:r w:rsidRPr="0025250D">
        <w:rPr>
          <w:rFonts w:hint="eastAsia"/>
          <w:rtl/>
        </w:rPr>
        <w:t>شنهاد</w:t>
      </w:r>
      <w:r w:rsidRPr="0025250D">
        <w:rPr>
          <w:rtl/>
        </w:rPr>
        <w:t xml:space="preserve"> م</w:t>
      </w:r>
      <w:r w:rsidRPr="0025250D">
        <w:rPr>
          <w:rFonts w:hint="cs"/>
          <w:rtl/>
        </w:rPr>
        <w:t>ی‌</w:t>
      </w:r>
      <w:r w:rsidRPr="0025250D">
        <w:rPr>
          <w:rFonts w:hint="eastAsia"/>
          <w:rtl/>
        </w:rPr>
        <w:t>کن</w:t>
      </w:r>
      <w:r w:rsidRPr="0025250D">
        <w:rPr>
          <w:rFonts w:hint="cs"/>
          <w:rtl/>
        </w:rPr>
        <w:t>ی</w:t>
      </w:r>
      <w:r w:rsidRPr="0025250D">
        <w:rPr>
          <w:rFonts w:hint="eastAsia"/>
          <w:rtl/>
        </w:rPr>
        <w:t>م</w:t>
      </w:r>
      <w:r w:rsidRPr="0025250D">
        <w:rPr>
          <w:rtl/>
        </w:rPr>
        <w:t>. به دل</w:t>
      </w:r>
      <w:r w:rsidRPr="0025250D">
        <w:rPr>
          <w:rFonts w:hint="cs"/>
          <w:rtl/>
        </w:rPr>
        <w:t>ی</w:t>
      </w:r>
      <w:r w:rsidRPr="0025250D">
        <w:rPr>
          <w:rFonts w:hint="eastAsia"/>
          <w:rtl/>
        </w:rPr>
        <w:t>ل</w:t>
      </w:r>
      <w:r w:rsidR="00F82713" w:rsidRPr="0025250D">
        <w:rPr>
          <w:rFonts w:hint="cs"/>
          <w:rtl/>
        </w:rPr>
        <w:t xml:space="preserve"> وجود</w:t>
      </w:r>
      <w:r w:rsidRPr="0025250D">
        <w:rPr>
          <w:rtl/>
        </w:rPr>
        <w:t xml:space="preserve"> </w:t>
      </w:r>
      <w:r w:rsidRPr="0025250D">
        <w:t>D&amp;D</w:t>
      </w:r>
      <w:r w:rsidRPr="0025250D">
        <w:rPr>
          <w:rtl/>
        </w:rPr>
        <w:t>، برخ</w:t>
      </w:r>
      <w:r w:rsidRPr="0025250D">
        <w:rPr>
          <w:rFonts w:hint="cs"/>
          <w:rtl/>
        </w:rPr>
        <w:t>ی</w:t>
      </w:r>
      <w:r w:rsidRPr="0025250D">
        <w:rPr>
          <w:rtl/>
        </w:rPr>
        <w:t xml:space="preserve"> فرآ</w:t>
      </w:r>
      <w:r w:rsidRPr="0025250D">
        <w:rPr>
          <w:rFonts w:hint="cs"/>
          <w:rtl/>
        </w:rPr>
        <w:t>ی</w:t>
      </w:r>
      <w:r w:rsidRPr="0025250D">
        <w:rPr>
          <w:rFonts w:hint="eastAsia"/>
          <w:rtl/>
        </w:rPr>
        <w:t>ندها</w:t>
      </w:r>
      <w:r w:rsidRPr="0025250D">
        <w:rPr>
          <w:rFonts w:hint="cs"/>
          <w:rtl/>
        </w:rPr>
        <w:t>ی</w:t>
      </w:r>
      <w:r w:rsidRPr="0025250D">
        <w:rPr>
          <w:rtl/>
        </w:rPr>
        <w:t xml:space="preserve"> اجتماع</w:t>
      </w:r>
      <w:r w:rsidRPr="0025250D">
        <w:rPr>
          <w:rFonts w:hint="cs"/>
          <w:rtl/>
        </w:rPr>
        <w:t>ی</w:t>
      </w:r>
      <w:r w:rsidRPr="0025250D">
        <w:rPr>
          <w:rtl/>
        </w:rPr>
        <w:t xml:space="preserve"> احتمالاً در سال‌ها</w:t>
      </w:r>
      <w:r w:rsidRPr="0025250D">
        <w:rPr>
          <w:rFonts w:hint="cs"/>
          <w:rtl/>
        </w:rPr>
        <w:t>ی</w:t>
      </w:r>
      <w:r w:rsidRPr="0025250D">
        <w:rPr>
          <w:rtl/>
        </w:rPr>
        <w:t xml:space="preserve"> آ</w:t>
      </w:r>
      <w:r w:rsidRPr="0025250D">
        <w:rPr>
          <w:rFonts w:hint="cs"/>
          <w:rtl/>
        </w:rPr>
        <w:t>ی</w:t>
      </w:r>
      <w:r w:rsidRPr="0025250D">
        <w:rPr>
          <w:rFonts w:hint="eastAsia"/>
          <w:rtl/>
        </w:rPr>
        <w:t>نده</w:t>
      </w:r>
      <w:r w:rsidRPr="0025250D">
        <w:rPr>
          <w:rtl/>
        </w:rPr>
        <w:t xml:space="preserve"> ب</w:t>
      </w:r>
      <w:r w:rsidRPr="0025250D">
        <w:rPr>
          <w:rFonts w:hint="cs"/>
          <w:rtl/>
        </w:rPr>
        <w:t>ی</w:t>
      </w:r>
      <w:r w:rsidRPr="0025250D">
        <w:rPr>
          <w:rFonts w:hint="eastAsia"/>
          <w:rtl/>
        </w:rPr>
        <w:t>شتر</w:t>
      </w:r>
      <w:r w:rsidRPr="0025250D">
        <w:rPr>
          <w:rtl/>
        </w:rPr>
        <w:t xml:space="preserve"> مرتبط، کوچک‌تر، د</w:t>
      </w:r>
      <w:r w:rsidRPr="0025250D">
        <w:rPr>
          <w:rFonts w:hint="cs"/>
          <w:rtl/>
        </w:rPr>
        <w:t>ی</w:t>
      </w:r>
      <w:r w:rsidRPr="0025250D">
        <w:rPr>
          <w:rFonts w:hint="eastAsia"/>
          <w:rtl/>
        </w:rPr>
        <w:t>ج</w:t>
      </w:r>
      <w:r w:rsidRPr="0025250D">
        <w:rPr>
          <w:rFonts w:hint="cs"/>
          <w:rtl/>
        </w:rPr>
        <w:t>ی</w:t>
      </w:r>
      <w:r w:rsidRPr="0025250D">
        <w:rPr>
          <w:rFonts w:hint="eastAsia"/>
          <w:rtl/>
        </w:rPr>
        <w:t>تال،</w:t>
      </w:r>
      <w:r w:rsidRPr="0025250D">
        <w:rPr>
          <w:rtl/>
        </w:rPr>
        <w:t xml:space="preserve"> هوشمند و قدرتمندتر خواهند شد.</w:t>
      </w:r>
      <w:r w:rsidRPr="0025250D">
        <w:rPr>
          <w:rFonts w:hint="cs"/>
          <w:rtl/>
        </w:rPr>
        <w:t xml:space="preserve"> </w:t>
      </w:r>
      <w:r w:rsidRPr="0025250D">
        <w:rPr>
          <w:rtl/>
        </w:rPr>
        <w:t>به دل</w:t>
      </w:r>
      <w:r w:rsidRPr="0025250D">
        <w:rPr>
          <w:rFonts w:hint="cs"/>
          <w:rtl/>
        </w:rPr>
        <w:t>ی</w:t>
      </w:r>
      <w:r w:rsidRPr="0025250D">
        <w:rPr>
          <w:rFonts w:hint="eastAsia"/>
          <w:rtl/>
        </w:rPr>
        <w:t>ل</w:t>
      </w:r>
      <w:r w:rsidRPr="0025250D">
        <w:rPr>
          <w:rtl/>
        </w:rPr>
        <w:t xml:space="preserve"> </w:t>
      </w:r>
      <w:r w:rsidRPr="0025250D">
        <w:t>D&amp;D</w:t>
      </w:r>
      <w:r w:rsidRPr="0025250D">
        <w:rPr>
          <w:rtl/>
        </w:rPr>
        <w:t xml:space="preserve">، </w:t>
      </w:r>
      <w:r w:rsidR="00F82713" w:rsidRPr="0025250D">
        <w:rPr>
          <w:rtl/>
        </w:rPr>
        <w:t>فرآ</w:t>
      </w:r>
      <w:r w:rsidR="00F82713" w:rsidRPr="0025250D">
        <w:rPr>
          <w:rFonts w:hint="cs"/>
          <w:rtl/>
        </w:rPr>
        <w:t>ی</w:t>
      </w:r>
      <w:r w:rsidR="00F82713" w:rsidRPr="0025250D">
        <w:rPr>
          <w:rFonts w:hint="eastAsia"/>
          <w:rtl/>
        </w:rPr>
        <w:t>ندها</w:t>
      </w:r>
      <w:r w:rsidR="00F82713" w:rsidRPr="0025250D">
        <w:rPr>
          <w:rFonts w:hint="cs"/>
          <w:rtl/>
        </w:rPr>
        <w:t>ی</w:t>
      </w:r>
      <w:r w:rsidR="00F82713" w:rsidRPr="0025250D">
        <w:rPr>
          <w:rtl/>
        </w:rPr>
        <w:t xml:space="preserve"> اجتماع</w:t>
      </w:r>
      <w:r w:rsidR="00F82713" w:rsidRPr="0025250D">
        <w:rPr>
          <w:rFonts w:hint="cs"/>
          <w:rtl/>
        </w:rPr>
        <w:t>ی</w:t>
      </w:r>
      <w:r w:rsidR="00F82713" w:rsidRPr="0025250D">
        <w:rPr>
          <w:rtl/>
        </w:rPr>
        <w:t xml:space="preserve"> </w:t>
      </w:r>
      <w:r w:rsidRPr="0025250D">
        <w:rPr>
          <w:rtl/>
        </w:rPr>
        <w:t>از منابع کارآمدتر</w:t>
      </w:r>
      <w:r w:rsidRPr="0025250D">
        <w:rPr>
          <w:rFonts w:hint="cs"/>
          <w:rtl/>
        </w:rPr>
        <w:t xml:space="preserve"> استفاده می‌کنند</w:t>
      </w:r>
      <w:r w:rsidRPr="0025250D">
        <w:rPr>
          <w:rtl/>
        </w:rPr>
        <w:t xml:space="preserve"> و همچن</w:t>
      </w:r>
      <w:r w:rsidRPr="0025250D">
        <w:rPr>
          <w:rFonts w:hint="cs"/>
          <w:rtl/>
        </w:rPr>
        <w:t>ی</w:t>
      </w:r>
      <w:r w:rsidRPr="0025250D">
        <w:rPr>
          <w:rFonts w:hint="eastAsia"/>
          <w:rtl/>
        </w:rPr>
        <w:t>ن</w:t>
      </w:r>
      <w:r w:rsidRPr="0025250D">
        <w:rPr>
          <w:rtl/>
        </w:rPr>
        <w:t xml:space="preserve"> مستقل از منابع می‌شوند و امکان شتاب ب</w:t>
      </w:r>
      <w:r w:rsidRPr="0025250D">
        <w:rPr>
          <w:rFonts w:hint="cs"/>
          <w:rtl/>
        </w:rPr>
        <w:t>ی</w:t>
      </w:r>
      <w:r w:rsidRPr="0025250D">
        <w:rPr>
          <w:rFonts w:hint="eastAsia"/>
          <w:rtl/>
        </w:rPr>
        <w:t>شتر</w:t>
      </w:r>
      <w:r w:rsidRPr="0025250D">
        <w:rPr>
          <w:rtl/>
        </w:rPr>
        <w:t xml:space="preserve"> آن‌ها فراهم می‌شود. بس</w:t>
      </w:r>
      <w:r w:rsidRPr="0025250D">
        <w:rPr>
          <w:rFonts w:hint="cs"/>
          <w:rtl/>
        </w:rPr>
        <w:t>ی</w:t>
      </w:r>
      <w:r w:rsidRPr="0025250D">
        <w:rPr>
          <w:rFonts w:hint="eastAsia"/>
          <w:rtl/>
        </w:rPr>
        <w:t>ار</w:t>
      </w:r>
      <w:r w:rsidRPr="0025250D">
        <w:rPr>
          <w:rFonts w:hint="cs"/>
          <w:rtl/>
        </w:rPr>
        <w:t>ی</w:t>
      </w:r>
      <w:r w:rsidRPr="0025250D">
        <w:rPr>
          <w:rtl/>
        </w:rPr>
        <w:t xml:space="preserve"> از ا</w:t>
      </w:r>
      <w:r w:rsidRPr="0025250D">
        <w:rPr>
          <w:rFonts w:hint="cs"/>
          <w:rtl/>
        </w:rPr>
        <w:t>ی</w:t>
      </w:r>
      <w:r w:rsidRPr="0025250D">
        <w:rPr>
          <w:rFonts w:hint="eastAsia"/>
          <w:rtl/>
        </w:rPr>
        <w:t>ن</w:t>
      </w:r>
      <w:r w:rsidRPr="0025250D">
        <w:rPr>
          <w:rtl/>
        </w:rPr>
        <w:t xml:space="preserve"> فرآ</w:t>
      </w:r>
      <w:r w:rsidRPr="0025250D">
        <w:rPr>
          <w:rFonts w:hint="cs"/>
          <w:rtl/>
        </w:rPr>
        <w:t>ی</w:t>
      </w:r>
      <w:r w:rsidRPr="0025250D">
        <w:rPr>
          <w:rFonts w:hint="eastAsia"/>
          <w:rtl/>
        </w:rPr>
        <w:t>ندها</w:t>
      </w:r>
      <w:r w:rsidRPr="0025250D">
        <w:rPr>
          <w:rtl/>
        </w:rPr>
        <w:t xml:space="preserve"> جوامع ما را در سطح شبکه تثب</w:t>
      </w:r>
      <w:r w:rsidRPr="0025250D">
        <w:rPr>
          <w:rFonts w:hint="cs"/>
          <w:rtl/>
        </w:rPr>
        <w:t>ی</w:t>
      </w:r>
      <w:r w:rsidRPr="0025250D">
        <w:rPr>
          <w:rFonts w:hint="eastAsia"/>
          <w:rtl/>
        </w:rPr>
        <w:t>ت</w:t>
      </w:r>
      <w:r w:rsidRPr="0025250D">
        <w:rPr>
          <w:rFonts w:hint="cs"/>
          <w:rtl/>
        </w:rPr>
        <w:t xml:space="preserve"> می‌کنند</w:t>
      </w:r>
      <w:r w:rsidRPr="0025250D">
        <w:rPr>
          <w:rtl/>
        </w:rPr>
        <w:t xml:space="preserve"> و بهبود می‌بخشند. بااین‌حال، تعداد معدود</w:t>
      </w:r>
      <w:r w:rsidRPr="0025250D">
        <w:rPr>
          <w:rFonts w:hint="cs"/>
          <w:rtl/>
        </w:rPr>
        <w:t>ی</w:t>
      </w:r>
      <w:r w:rsidRPr="0025250D">
        <w:rPr>
          <w:rtl/>
        </w:rPr>
        <w:t xml:space="preserve"> از </w:t>
      </w:r>
      <w:r w:rsidRPr="0025250D">
        <w:rPr>
          <w:rFonts w:hint="cs"/>
          <w:rtl/>
        </w:rPr>
        <w:t>موارد</w:t>
      </w:r>
      <w:r w:rsidRPr="0025250D">
        <w:rPr>
          <w:rtl/>
        </w:rPr>
        <w:t xml:space="preserve"> منتخب هر چه سریع‌تر پ</w:t>
      </w:r>
      <w:r w:rsidRPr="0025250D">
        <w:rPr>
          <w:rFonts w:hint="cs"/>
          <w:rtl/>
        </w:rPr>
        <w:t>ی</w:t>
      </w:r>
      <w:r w:rsidRPr="0025250D">
        <w:rPr>
          <w:rFonts w:hint="eastAsia"/>
          <w:rtl/>
        </w:rPr>
        <w:t>ش</w:t>
      </w:r>
      <w:r w:rsidRPr="0025250D">
        <w:rPr>
          <w:rtl/>
        </w:rPr>
        <w:t xml:space="preserve"> روند</w:t>
      </w:r>
      <w:r w:rsidRPr="0025250D">
        <w:rPr>
          <w:rFonts w:hint="cs"/>
          <w:rtl/>
        </w:rPr>
        <w:t>،</w:t>
      </w:r>
      <w:r w:rsidRPr="0025250D">
        <w:rPr>
          <w:rtl/>
        </w:rPr>
        <w:t xml:space="preserve"> ب</w:t>
      </w:r>
      <w:r w:rsidRPr="0025250D">
        <w:rPr>
          <w:rFonts w:hint="cs"/>
          <w:rtl/>
        </w:rPr>
        <w:t>ی‌</w:t>
      </w:r>
      <w:r w:rsidRPr="0025250D">
        <w:rPr>
          <w:rFonts w:hint="eastAsia"/>
          <w:rtl/>
        </w:rPr>
        <w:t>ثبات‌تر</w:t>
      </w:r>
      <w:r w:rsidRPr="0025250D">
        <w:rPr>
          <w:rtl/>
        </w:rPr>
        <w:t xml:space="preserve"> و </w:t>
      </w:r>
      <w:r w:rsidRPr="0025250D">
        <w:rPr>
          <w:rFonts w:hint="eastAsia"/>
          <w:rtl/>
        </w:rPr>
        <w:t>خطرناک‌تر</w:t>
      </w:r>
      <w:r w:rsidRPr="0025250D">
        <w:rPr>
          <w:rtl/>
        </w:rPr>
        <w:t xml:space="preserve"> م</w:t>
      </w:r>
      <w:r w:rsidRPr="0025250D">
        <w:rPr>
          <w:rFonts w:hint="cs"/>
          <w:rtl/>
        </w:rPr>
        <w:t>ی‌</w:t>
      </w:r>
      <w:r w:rsidRPr="0025250D">
        <w:rPr>
          <w:rFonts w:hint="eastAsia"/>
          <w:rtl/>
        </w:rPr>
        <w:t>شوند</w:t>
      </w:r>
      <w:r w:rsidRPr="0025250D">
        <w:rPr>
          <w:rtl/>
        </w:rPr>
        <w:t>. استفاده</w:t>
      </w:r>
      <w:r w:rsidR="00947B39" w:rsidRPr="0025250D">
        <w:rPr>
          <w:rFonts w:hint="cs"/>
          <w:rtl/>
        </w:rPr>
        <w:t xml:space="preserve"> درست</w:t>
      </w:r>
      <w:r w:rsidRPr="0025250D">
        <w:rPr>
          <w:rtl/>
        </w:rPr>
        <w:t xml:space="preserve"> و نادرست از علم و فناوری‌های </w:t>
      </w:r>
      <w:r w:rsidR="007B3B35" w:rsidRPr="0025250D">
        <w:rPr>
          <w:rtl/>
        </w:rPr>
        <w:t>شتاب‌گیر</w:t>
      </w:r>
      <w:r w:rsidRPr="0025250D">
        <w:rPr>
          <w:rFonts w:hint="cs"/>
          <w:rtl/>
        </w:rPr>
        <w:t>نده</w:t>
      </w:r>
      <w:r w:rsidRPr="0025250D">
        <w:rPr>
          <w:rtl/>
        </w:rPr>
        <w:t>، امروزه ب</w:t>
      </w:r>
      <w:r w:rsidRPr="0025250D">
        <w:rPr>
          <w:rFonts w:hint="cs"/>
          <w:rtl/>
        </w:rPr>
        <w:t>ی</w:t>
      </w:r>
      <w:r w:rsidRPr="0025250D">
        <w:rPr>
          <w:rFonts w:hint="eastAsia"/>
          <w:rtl/>
        </w:rPr>
        <w:t>ش</w:t>
      </w:r>
      <w:r w:rsidRPr="0025250D">
        <w:rPr>
          <w:rtl/>
        </w:rPr>
        <w:t xml:space="preserve"> از هر زمان د</w:t>
      </w:r>
      <w:r w:rsidRPr="0025250D">
        <w:rPr>
          <w:rFonts w:hint="cs"/>
          <w:rtl/>
        </w:rPr>
        <w:t>ی</w:t>
      </w:r>
      <w:r w:rsidRPr="0025250D">
        <w:rPr>
          <w:rFonts w:hint="eastAsia"/>
          <w:rtl/>
        </w:rPr>
        <w:t>گر</w:t>
      </w:r>
      <w:r w:rsidRPr="0025250D">
        <w:rPr>
          <w:rFonts w:hint="cs"/>
          <w:rtl/>
        </w:rPr>
        <w:t>ی</w:t>
      </w:r>
      <w:r w:rsidRPr="0025250D">
        <w:rPr>
          <w:rtl/>
        </w:rPr>
        <w:t xml:space="preserve"> مزیت‌ها، </w:t>
      </w:r>
      <w:r w:rsidRPr="0025250D">
        <w:rPr>
          <w:rFonts w:hint="cs"/>
          <w:rtl/>
        </w:rPr>
        <w:t>بنیان‌افکنی‌ها</w:t>
      </w:r>
      <w:r w:rsidRPr="0025250D">
        <w:rPr>
          <w:rtl/>
        </w:rPr>
        <w:t>، فرصت‌ها و خطرات</w:t>
      </w:r>
      <w:r w:rsidR="0044590A" w:rsidRPr="0025250D">
        <w:rPr>
          <w:vertAlign w:val="superscript"/>
          <w:rtl/>
        </w:rPr>
        <w:footnoteReference w:id="31"/>
      </w:r>
      <w:r w:rsidRPr="0025250D">
        <w:rPr>
          <w:rtl/>
        </w:rPr>
        <w:t xml:space="preserve"> (</w:t>
      </w:r>
      <w:r w:rsidRPr="0025250D">
        <w:t>ADOR</w:t>
      </w:r>
      <w:r w:rsidRPr="0025250D">
        <w:rPr>
          <w:rtl/>
        </w:rPr>
        <w:t>) جد</w:t>
      </w:r>
      <w:r w:rsidRPr="0025250D">
        <w:rPr>
          <w:rFonts w:hint="cs"/>
          <w:rtl/>
        </w:rPr>
        <w:t>ی</w:t>
      </w:r>
      <w:r w:rsidRPr="0025250D">
        <w:rPr>
          <w:rFonts w:hint="eastAsia"/>
          <w:rtl/>
        </w:rPr>
        <w:t>د</w:t>
      </w:r>
      <w:r w:rsidRPr="0025250D">
        <w:rPr>
          <w:rFonts w:hint="cs"/>
          <w:rtl/>
        </w:rPr>
        <w:t>ی</w:t>
      </w:r>
      <w:r w:rsidRPr="0025250D">
        <w:rPr>
          <w:rtl/>
        </w:rPr>
        <w:t xml:space="preserve"> ا</w:t>
      </w:r>
      <w:r w:rsidRPr="0025250D">
        <w:rPr>
          <w:rFonts w:hint="cs"/>
          <w:rtl/>
        </w:rPr>
        <w:t>ی</w:t>
      </w:r>
      <w:r w:rsidRPr="0025250D">
        <w:rPr>
          <w:rFonts w:hint="eastAsia"/>
          <w:rtl/>
        </w:rPr>
        <w:t>جاد</w:t>
      </w:r>
      <w:r w:rsidRPr="0025250D">
        <w:rPr>
          <w:rtl/>
        </w:rPr>
        <w:t xml:space="preserve"> می‌کند.</w:t>
      </w:r>
    </w:p>
    <w:p w14:paraId="5483D208" w14:textId="488B819D" w:rsidR="00B219EF" w:rsidRPr="0025250D" w:rsidRDefault="00B219EF" w:rsidP="004445C5">
      <w:pPr>
        <w:rPr>
          <w:rtl/>
        </w:rPr>
      </w:pPr>
      <w:r w:rsidRPr="0025250D">
        <w:rPr>
          <w:rtl/>
        </w:rPr>
        <w:t>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w:t>
      </w:r>
      <w:r w:rsidRPr="0025250D">
        <w:rPr>
          <w:rFonts w:hint="cs"/>
          <w:rtl/>
        </w:rPr>
        <w:t>تکاملی-توسعه‌ای</w:t>
      </w:r>
      <w:r w:rsidRPr="0025250D">
        <w:rPr>
          <w:rtl/>
        </w:rPr>
        <w:t xml:space="preserve"> که در ا</w:t>
      </w:r>
      <w:r w:rsidRPr="0025250D">
        <w:rPr>
          <w:rFonts w:hint="cs"/>
          <w:rtl/>
        </w:rPr>
        <w:t>ی</w:t>
      </w:r>
      <w:r w:rsidRPr="0025250D">
        <w:rPr>
          <w:rFonts w:hint="eastAsia"/>
          <w:rtl/>
        </w:rPr>
        <w:t>ن</w:t>
      </w:r>
      <w:r w:rsidRPr="0025250D">
        <w:rPr>
          <w:rtl/>
        </w:rPr>
        <w:t xml:space="preserve"> کتاب معرف</w:t>
      </w:r>
      <w:r w:rsidRPr="0025250D">
        <w:rPr>
          <w:rFonts w:hint="cs"/>
          <w:rtl/>
        </w:rPr>
        <w:t>ی</w:t>
      </w:r>
      <w:r w:rsidRPr="0025250D">
        <w:rPr>
          <w:rtl/>
        </w:rPr>
        <w:t xml:space="preserve"> شده و به‌طور عم</w:t>
      </w:r>
      <w:r w:rsidRPr="0025250D">
        <w:rPr>
          <w:rFonts w:hint="cs"/>
          <w:rtl/>
        </w:rPr>
        <w:t>ی</w:t>
      </w:r>
      <w:r w:rsidRPr="0025250D">
        <w:rPr>
          <w:rFonts w:hint="eastAsia"/>
          <w:rtl/>
        </w:rPr>
        <w:t>ق</w:t>
      </w:r>
      <w:r w:rsidRPr="0025250D">
        <w:rPr>
          <w:rtl/>
        </w:rPr>
        <w:t xml:space="preserve"> در </w:t>
      </w:r>
      <w:r w:rsidRPr="0025250D">
        <w:t>BPF</w:t>
      </w:r>
      <w:r w:rsidRPr="0025250D">
        <w:rPr>
          <w:rtl/>
        </w:rPr>
        <w:t xml:space="preserve"> مورد</w:t>
      </w:r>
      <w:r w:rsidR="00F82713" w:rsidRPr="0025250D">
        <w:rPr>
          <w:rFonts w:hint="cs"/>
          <w:rtl/>
        </w:rPr>
        <w:t xml:space="preserve"> </w:t>
      </w:r>
      <w:r w:rsidRPr="0025250D">
        <w:rPr>
          <w:rtl/>
        </w:rPr>
        <w:t>بررسی قرار گرفته است، مجموعه‌ا</w:t>
      </w:r>
      <w:r w:rsidRPr="0025250D">
        <w:rPr>
          <w:rFonts w:hint="cs"/>
          <w:rtl/>
        </w:rPr>
        <w:t>ی</w:t>
      </w:r>
      <w:r w:rsidRPr="0025250D">
        <w:rPr>
          <w:rtl/>
        </w:rPr>
        <w:t xml:space="preserve"> از فرض</w:t>
      </w:r>
      <w:r w:rsidRPr="0025250D">
        <w:rPr>
          <w:rFonts w:hint="cs"/>
          <w:rtl/>
        </w:rPr>
        <w:t>ی</w:t>
      </w:r>
      <w:r w:rsidRPr="0025250D">
        <w:rPr>
          <w:rFonts w:hint="eastAsia"/>
          <w:rtl/>
        </w:rPr>
        <w:t>ه‌ها</w:t>
      </w:r>
      <w:r w:rsidRPr="0025250D">
        <w:rPr>
          <w:rtl/>
        </w:rPr>
        <w:t xml:space="preserve"> در تفکر سامانه‌ای است که از ز</w:t>
      </w:r>
      <w:r w:rsidRPr="0025250D">
        <w:rPr>
          <w:rFonts w:hint="cs"/>
          <w:rtl/>
        </w:rPr>
        <w:t>ی</w:t>
      </w:r>
      <w:r w:rsidRPr="0025250D">
        <w:rPr>
          <w:rFonts w:hint="eastAsia"/>
          <w:rtl/>
        </w:rPr>
        <w:t>ست‌شناس</w:t>
      </w:r>
      <w:r w:rsidRPr="0025250D">
        <w:rPr>
          <w:rFonts w:hint="cs"/>
          <w:rtl/>
        </w:rPr>
        <w:t>ی</w:t>
      </w:r>
      <w:r w:rsidRPr="0025250D">
        <w:rPr>
          <w:rFonts w:hint="eastAsia"/>
          <w:rtl/>
        </w:rPr>
        <w:t>،</w:t>
      </w:r>
      <w:r w:rsidRPr="0025250D">
        <w:rPr>
          <w:rtl/>
        </w:rPr>
        <w:t xml:space="preserve"> سامانه‌های پ</w:t>
      </w:r>
      <w:r w:rsidRPr="0025250D">
        <w:rPr>
          <w:rFonts w:hint="cs"/>
          <w:rtl/>
        </w:rPr>
        <w:t>ی</w:t>
      </w:r>
      <w:r w:rsidRPr="0025250D">
        <w:rPr>
          <w:rFonts w:hint="eastAsia"/>
          <w:rtl/>
        </w:rPr>
        <w:t>چ</w:t>
      </w:r>
      <w:r w:rsidRPr="0025250D">
        <w:rPr>
          <w:rFonts w:hint="cs"/>
          <w:rtl/>
        </w:rPr>
        <w:t>ی</w:t>
      </w:r>
      <w:r w:rsidRPr="0025250D">
        <w:rPr>
          <w:rFonts w:hint="eastAsia"/>
          <w:rtl/>
        </w:rPr>
        <w:t>ده</w:t>
      </w:r>
      <w:r w:rsidRPr="0025250D">
        <w:rPr>
          <w:rtl/>
        </w:rPr>
        <w:t xml:space="preserve"> و نظر</w:t>
      </w:r>
      <w:r w:rsidRPr="0025250D">
        <w:rPr>
          <w:rFonts w:hint="cs"/>
          <w:rtl/>
        </w:rPr>
        <w:t>ی</w:t>
      </w:r>
      <w:r w:rsidRPr="0025250D">
        <w:rPr>
          <w:rFonts w:hint="eastAsia"/>
          <w:rtl/>
        </w:rPr>
        <w:t>ه</w:t>
      </w:r>
      <w:r w:rsidRPr="0025250D">
        <w:rPr>
          <w:rtl/>
        </w:rPr>
        <w:t xml:space="preserve"> شبکه </w:t>
      </w:r>
      <w:r w:rsidRPr="0025250D">
        <w:rPr>
          <w:rFonts w:hint="cs"/>
          <w:rtl/>
        </w:rPr>
        <w:t>ریشه می‌گیرند</w:t>
      </w:r>
      <w:r w:rsidRPr="0025250D">
        <w:rPr>
          <w:rtl/>
        </w:rPr>
        <w:t>. ا</w:t>
      </w:r>
      <w:r w:rsidRPr="0025250D">
        <w:rPr>
          <w:rFonts w:hint="cs"/>
          <w:rtl/>
        </w:rPr>
        <w:t>ی</w:t>
      </w:r>
      <w:r w:rsidRPr="0025250D">
        <w:rPr>
          <w:rFonts w:hint="eastAsia"/>
          <w:rtl/>
        </w:rPr>
        <w:t>ن</w:t>
      </w:r>
      <w:r w:rsidRPr="0025250D">
        <w:rPr>
          <w:rtl/>
        </w:rPr>
        <w:t xml:space="preserve"> جهان‌بینی کمتر شناخته شده و درعین‌حال سودمندتر</w:t>
      </w:r>
      <w:r w:rsidRPr="0025250D">
        <w:rPr>
          <w:rFonts w:hint="cs"/>
          <w:rtl/>
        </w:rPr>
        <w:t>ی</w:t>
      </w:r>
      <w:r w:rsidRPr="0025250D">
        <w:rPr>
          <w:rFonts w:hint="eastAsia"/>
          <w:rtl/>
        </w:rPr>
        <w:t>ن</w:t>
      </w:r>
      <w:r w:rsidRPr="0025250D">
        <w:rPr>
          <w:rFonts w:hint="cs"/>
          <w:rtl/>
        </w:rPr>
        <w:t xml:space="preserve"> جهان‌بینی</w:t>
      </w:r>
      <w:r w:rsidRPr="0025250D">
        <w:rPr>
          <w:rtl/>
        </w:rPr>
        <w:t xml:space="preserve"> است، ز</w:t>
      </w:r>
      <w:r w:rsidRPr="0025250D">
        <w:rPr>
          <w:rFonts w:hint="cs"/>
          <w:rtl/>
        </w:rPr>
        <w:t>ی</w:t>
      </w:r>
      <w:r w:rsidRPr="0025250D">
        <w:rPr>
          <w:rFonts w:hint="eastAsia"/>
          <w:rtl/>
        </w:rPr>
        <w:t>را</w:t>
      </w:r>
      <w:r w:rsidRPr="0025250D">
        <w:rPr>
          <w:rtl/>
        </w:rPr>
        <w:t xml:space="preserve"> چارچوب</w:t>
      </w:r>
      <w:r w:rsidRPr="0025250D">
        <w:rPr>
          <w:rFonts w:hint="cs"/>
          <w:rtl/>
        </w:rPr>
        <w:t>ی</w:t>
      </w:r>
      <w:r w:rsidRPr="0025250D">
        <w:rPr>
          <w:rtl/>
        </w:rPr>
        <w:t xml:space="preserve"> را برا</w:t>
      </w:r>
      <w:r w:rsidRPr="0025250D">
        <w:rPr>
          <w:rFonts w:hint="cs"/>
          <w:rtl/>
        </w:rPr>
        <w:t>ی</w:t>
      </w:r>
      <w:r w:rsidRPr="0025250D">
        <w:rPr>
          <w:rtl/>
        </w:rPr>
        <w:t xml:space="preserve"> تما</w:t>
      </w:r>
      <w:r w:rsidRPr="0025250D">
        <w:rPr>
          <w:rFonts w:hint="cs"/>
          <w:rtl/>
        </w:rPr>
        <w:t>ی</w:t>
      </w:r>
      <w:r w:rsidRPr="0025250D">
        <w:rPr>
          <w:rFonts w:hint="eastAsia"/>
          <w:rtl/>
        </w:rPr>
        <w:t>ز</w:t>
      </w:r>
      <w:r w:rsidRPr="0025250D">
        <w:rPr>
          <w:rtl/>
        </w:rPr>
        <w:t xml:space="preserve"> ب</w:t>
      </w:r>
      <w:r w:rsidRPr="0025250D">
        <w:rPr>
          <w:rFonts w:hint="cs"/>
          <w:rtl/>
        </w:rPr>
        <w:t>ی</w:t>
      </w:r>
      <w:r w:rsidRPr="0025250D">
        <w:rPr>
          <w:rFonts w:hint="eastAsia"/>
          <w:rtl/>
        </w:rPr>
        <w:t>ن</w:t>
      </w:r>
      <w:r w:rsidRPr="0025250D">
        <w:rPr>
          <w:rtl/>
        </w:rPr>
        <w:t xml:space="preserve"> تغ</w:t>
      </w:r>
      <w:r w:rsidRPr="0025250D">
        <w:rPr>
          <w:rFonts w:hint="cs"/>
          <w:rtl/>
        </w:rPr>
        <w:t>یی</w:t>
      </w:r>
      <w:r w:rsidRPr="0025250D">
        <w:rPr>
          <w:rFonts w:hint="eastAsia"/>
          <w:rtl/>
        </w:rPr>
        <w:t>رات</w:t>
      </w:r>
      <w:r w:rsidRPr="0025250D">
        <w:rPr>
          <w:rtl/>
        </w:rPr>
        <w:t xml:space="preserve"> قابل پیش‌بینی و غیرقابل‌پیش‌بینی</w:t>
      </w:r>
      <w:r w:rsidRPr="0025250D">
        <w:rPr>
          <w:rFonts w:hint="eastAsia"/>
          <w:rtl/>
        </w:rPr>
        <w:t>،</w:t>
      </w:r>
      <w:r w:rsidRPr="0025250D">
        <w:rPr>
          <w:rtl/>
        </w:rPr>
        <w:t xml:space="preserve"> بهبود ارزش‌هایی که تصم</w:t>
      </w:r>
      <w:r w:rsidRPr="0025250D">
        <w:rPr>
          <w:rFonts w:hint="cs"/>
          <w:rtl/>
        </w:rPr>
        <w:t>ی</w:t>
      </w:r>
      <w:r w:rsidRPr="0025250D">
        <w:rPr>
          <w:rFonts w:hint="eastAsia"/>
          <w:rtl/>
        </w:rPr>
        <w:t>مات</w:t>
      </w:r>
      <w:r w:rsidRPr="0025250D">
        <w:rPr>
          <w:rtl/>
        </w:rPr>
        <w:t xml:space="preserve"> ما را هدا</w:t>
      </w:r>
      <w:r w:rsidRPr="0025250D">
        <w:rPr>
          <w:rFonts w:hint="cs"/>
          <w:rtl/>
        </w:rPr>
        <w:t>ی</w:t>
      </w:r>
      <w:r w:rsidRPr="0025250D">
        <w:rPr>
          <w:rFonts w:hint="eastAsia"/>
          <w:rtl/>
        </w:rPr>
        <w:t>ت</w:t>
      </w:r>
      <w:r w:rsidRPr="0025250D">
        <w:rPr>
          <w:rtl/>
        </w:rPr>
        <w:t xml:space="preserve"> می‌کنند و </w:t>
      </w:r>
      <w:r w:rsidR="00AE5BE0" w:rsidRPr="0025250D">
        <w:rPr>
          <w:rFonts w:hint="cs"/>
          <w:rtl/>
        </w:rPr>
        <w:t>انطباق</w:t>
      </w:r>
      <w:r w:rsidRPr="0025250D">
        <w:rPr>
          <w:rtl/>
        </w:rPr>
        <w:t xml:space="preserve"> ب</w:t>
      </w:r>
      <w:r w:rsidRPr="0025250D">
        <w:rPr>
          <w:rFonts w:hint="cs"/>
          <w:rtl/>
        </w:rPr>
        <w:t>ی</w:t>
      </w:r>
      <w:r w:rsidRPr="0025250D">
        <w:rPr>
          <w:rFonts w:hint="eastAsia"/>
          <w:rtl/>
        </w:rPr>
        <w:t>شتر</w:t>
      </w:r>
      <w:r w:rsidRPr="0025250D">
        <w:rPr>
          <w:rtl/>
        </w:rPr>
        <w:t xml:space="preserve"> در هر مح</w:t>
      </w:r>
      <w:r w:rsidRPr="0025250D">
        <w:rPr>
          <w:rFonts w:hint="cs"/>
          <w:rtl/>
        </w:rPr>
        <w:t>ی</w:t>
      </w:r>
      <w:r w:rsidRPr="0025250D">
        <w:rPr>
          <w:rFonts w:hint="eastAsia"/>
          <w:rtl/>
        </w:rPr>
        <w:t>ط</w:t>
      </w:r>
      <w:r w:rsidRPr="0025250D">
        <w:rPr>
          <w:rFonts w:hint="cs"/>
          <w:rtl/>
        </w:rPr>
        <w:t>ی</w:t>
      </w:r>
      <w:r w:rsidRPr="0025250D">
        <w:rPr>
          <w:rtl/>
        </w:rPr>
        <w:t xml:space="preserve"> به ما ارائه می‌دهد.</w:t>
      </w:r>
      <w:r w:rsidRPr="0025250D">
        <w:rPr>
          <w:rFonts w:hint="cs"/>
          <w:rtl/>
        </w:rPr>
        <w:t xml:space="preserve"> </w:t>
      </w:r>
      <w:r w:rsidRPr="0025250D">
        <w:rPr>
          <w:rtl/>
        </w:rPr>
        <w:t xml:space="preserve">شناخت </w:t>
      </w:r>
      <w:r w:rsidR="00AE5BE0" w:rsidRPr="0025250D">
        <w:rPr>
          <w:rFonts w:hint="cs"/>
          <w:rtl/>
        </w:rPr>
        <w:t>انطباق</w:t>
      </w:r>
      <w:r w:rsidRPr="0025250D">
        <w:rPr>
          <w:rFonts w:hint="eastAsia"/>
          <w:rtl/>
        </w:rPr>
        <w:t>،</w:t>
      </w:r>
      <w:r w:rsidRPr="0025250D">
        <w:rPr>
          <w:rtl/>
        </w:rPr>
        <w:t xml:space="preserve"> هم ازنظر تکامل</w:t>
      </w:r>
      <w:r w:rsidRPr="0025250D">
        <w:rPr>
          <w:rFonts w:hint="cs"/>
          <w:rtl/>
        </w:rPr>
        <w:t>ی</w:t>
      </w:r>
      <w:r w:rsidRPr="0025250D">
        <w:rPr>
          <w:rtl/>
        </w:rPr>
        <w:t xml:space="preserve"> و هم ازنظر </w:t>
      </w:r>
      <w:r w:rsidRPr="0025250D">
        <w:rPr>
          <w:rFonts w:hint="cs"/>
          <w:rtl/>
        </w:rPr>
        <w:t>توسعه‌ای</w:t>
      </w:r>
      <w:r w:rsidRPr="0025250D">
        <w:rPr>
          <w:rFonts w:hint="eastAsia"/>
          <w:rtl/>
        </w:rPr>
        <w:t>،</w:t>
      </w:r>
      <w:r w:rsidRPr="0025250D">
        <w:rPr>
          <w:rtl/>
        </w:rPr>
        <w:t xml:space="preserve"> به ما کمک می‌کند تا بهتر</w:t>
      </w:r>
      <w:r w:rsidRPr="0025250D">
        <w:rPr>
          <w:rFonts w:hint="cs"/>
          <w:rtl/>
        </w:rPr>
        <w:t>ی</w:t>
      </w:r>
      <w:r w:rsidRPr="0025250D">
        <w:rPr>
          <w:rFonts w:hint="eastAsia"/>
          <w:rtl/>
        </w:rPr>
        <w:t>ن</w:t>
      </w:r>
      <w:r w:rsidRPr="0025250D">
        <w:rPr>
          <w:rtl/>
        </w:rPr>
        <w:t xml:space="preserve"> </w:t>
      </w:r>
      <w:r w:rsidR="00701E03" w:rsidRPr="0025250D">
        <w:rPr>
          <w:rtl/>
        </w:rPr>
        <w:t>راهبرد</w:t>
      </w:r>
      <w:r w:rsidRPr="0025250D">
        <w:rPr>
          <w:rtl/>
        </w:rPr>
        <w:t xml:space="preserve"> بلندمدت خود را ا</w:t>
      </w:r>
      <w:r w:rsidRPr="0025250D">
        <w:rPr>
          <w:rFonts w:hint="cs"/>
          <w:rtl/>
        </w:rPr>
        <w:t>ی</w:t>
      </w:r>
      <w:r w:rsidRPr="0025250D">
        <w:rPr>
          <w:rFonts w:hint="eastAsia"/>
          <w:rtl/>
        </w:rPr>
        <w:t>جاد</w:t>
      </w:r>
      <w:r w:rsidRPr="0025250D">
        <w:rPr>
          <w:rtl/>
        </w:rPr>
        <w:t xml:space="preserve"> کن</w:t>
      </w:r>
      <w:r w:rsidRPr="0025250D">
        <w:rPr>
          <w:rFonts w:hint="cs"/>
          <w:rtl/>
        </w:rPr>
        <w:t>ی</w:t>
      </w:r>
      <w:r w:rsidRPr="0025250D">
        <w:rPr>
          <w:rFonts w:hint="eastAsia"/>
          <w:rtl/>
        </w:rPr>
        <w:t>م</w:t>
      </w:r>
      <w:r w:rsidRPr="0025250D">
        <w:rPr>
          <w:rtl/>
        </w:rPr>
        <w:t xml:space="preserve">. هم افراد و هم گروه‌ها اغلب در </w:t>
      </w:r>
      <w:r w:rsidR="00AE5BE0" w:rsidRPr="0025250D">
        <w:rPr>
          <w:rFonts w:hint="cs"/>
          <w:rtl/>
        </w:rPr>
        <w:t>انطباق</w:t>
      </w:r>
      <w:r w:rsidR="00F82713" w:rsidRPr="0025250D">
        <w:rPr>
          <w:rFonts w:hint="cs"/>
          <w:rtl/>
        </w:rPr>
        <w:t>،</w:t>
      </w:r>
      <w:r w:rsidRPr="0025250D">
        <w:rPr>
          <w:rtl/>
        </w:rPr>
        <w:t xml:space="preserve"> برنده </w:t>
      </w:r>
      <w:r w:rsidRPr="0025250D">
        <w:rPr>
          <w:rFonts w:hint="cs"/>
          <w:rtl/>
        </w:rPr>
        <w:t>ی</w:t>
      </w:r>
      <w:r w:rsidRPr="0025250D">
        <w:rPr>
          <w:rFonts w:hint="eastAsia"/>
          <w:rtl/>
        </w:rPr>
        <w:t>ا</w:t>
      </w:r>
      <w:r w:rsidRPr="0025250D">
        <w:rPr>
          <w:rtl/>
        </w:rPr>
        <w:t xml:space="preserve"> بازنده هستند، اما بهتر</w:t>
      </w:r>
      <w:r w:rsidRPr="0025250D">
        <w:rPr>
          <w:rFonts w:hint="cs"/>
          <w:rtl/>
        </w:rPr>
        <w:t>ی</w:t>
      </w:r>
      <w:r w:rsidRPr="0025250D">
        <w:rPr>
          <w:rFonts w:hint="eastAsia"/>
          <w:rtl/>
        </w:rPr>
        <w:t>ن</w:t>
      </w:r>
      <w:r w:rsidRPr="0025250D">
        <w:rPr>
          <w:rtl/>
        </w:rPr>
        <w:t xml:space="preserve"> شبکه‌ها</w:t>
      </w:r>
      <w:r w:rsidRPr="0025250D">
        <w:rPr>
          <w:rFonts w:hint="cs"/>
          <w:rtl/>
        </w:rPr>
        <w:t>ی</w:t>
      </w:r>
      <w:r w:rsidRPr="0025250D">
        <w:rPr>
          <w:rtl/>
        </w:rPr>
        <w:t xml:space="preserve"> ساخته‌شده از مردم، شرکت‌ها و جوامع، هم</w:t>
      </w:r>
      <w:r w:rsidRPr="0025250D">
        <w:rPr>
          <w:rFonts w:hint="cs"/>
          <w:rtl/>
        </w:rPr>
        <w:t>ی</w:t>
      </w:r>
      <w:r w:rsidRPr="0025250D">
        <w:rPr>
          <w:rFonts w:hint="eastAsia"/>
          <w:rtl/>
        </w:rPr>
        <w:t>شه</w:t>
      </w:r>
      <w:r w:rsidRPr="0025250D">
        <w:rPr>
          <w:rtl/>
        </w:rPr>
        <w:t xml:space="preserve"> در زمان‌ها</w:t>
      </w:r>
      <w:r w:rsidRPr="0025250D">
        <w:rPr>
          <w:rFonts w:hint="cs"/>
          <w:rtl/>
        </w:rPr>
        <w:t>ی</w:t>
      </w:r>
      <w:r w:rsidRPr="0025250D">
        <w:rPr>
          <w:rtl/>
        </w:rPr>
        <w:t xml:space="preserve"> خوب و </w:t>
      </w:r>
      <w:r w:rsidRPr="0025250D">
        <w:rPr>
          <w:rFonts w:hint="eastAsia"/>
          <w:rtl/>
        </w:rPr>
        <w:t>بد</w:t>
      </w:r>
      <w:r w:rsidRPr="0025250D">
        <w:rPr>
          <w:rtl/>
        </w:rPr>
        <w:t xml:space="preserve"> بهبود م</w:t>
      </w:r>
      <w:r w:rsidRPr="0025250D">
        <w:rPr>
          <w:rFonts w:hint="cs"/>
          <w:rtl/>
        </w:rPr>
        <w:t>ی‌ی</w:t>
      </w:r>
      <w:r w:rsidRPr="0025250D">
        <w:rPr>
          <w:rFonts w:hint="eastAsia"/>
          <w:rtl/>
        </w:rPr>
        <w:t>ابند</w:t>
      </w:r>
      <w:r w:rsidRPr="0025250D">
        <w:rPr>
          <w:rtl/>
        </w:rPr>
        <w:t>. انتخاب طب</w:t>
      </w:r>
      <w:r w:rsidRPr="0025250D">
        <w:rPr>
          <w:rFonts w:hint="cs"/>
          <w:rtl/>
        </w:rPr>
        <w:t>ی</w:t>
      </w:r>
      <w:r w:rsidRPr="0025250D">
        <w:rPr>
          <w:rFonts w:hint="eastAsia"/>
          <w:rtl/>
        </w:rPr>
        <w:t>ع</w:t>
      </w:r>
      <w:r w:rsidRPr="0025250D">
        <w:rPr>
          <w:rFonts w:hint="cs"/>
          <w:rtl/>
        </w:rPr>
        <w:t>ی</w:t>
      </w:r>
      <w:r w:rsidRPr="0025250D">
        <w:rPr>
          <w:rtl/>
        </w:rPr>
        <w:t xml:space="preserve"> شبکه‌های خوش‌ساخت را قوی‌تر، انعطاف‌پذیرتر و </w:t>
      </w:r>
      <w:r w:rsidR="00AE5BE0" w:rsidRPr="0025250D">
        <w:rPr>
          <w:rFonts w:hint="cs"/>
          <w:rtl/>
        </w:rPr>
        <w:t>منطبق‌تر</w:t>
      </w:r>
      <w:r w:rsidRPr="0025250D">
        <w:rPr>
          <w:rtl/>
        </w:rPr>
        <w:t xml:space="preserve"> می‌سازد.</w:t>
      </w:r>
    </w:p>
    <w:p w14:paraId="601D6774" w14:textId="20C78E6A" w:rsidR="00B219EF" w:rsidRPr="0025250D" w:rsidRDefault="00B219EF" w:rsidP="004445C5">
      <w:pPr>
        <w:rPr>
          <w:rtl/>
        </w:rPr>
      </w:pPr>
      <w:r w:rsidRPr="0025250D">
        <w:rPr>
          <w:rtl/>
        </w:rPr>
        <w:t>آ</w:t>
      </w:r>
      <w:r w:rsidRPr="0025250D">
        <w:rPr>
          <w:rFonts w:hint="cs"/>
          <w:rtl/>
        </w:rPr>
        <w:t>ی</w:t>
      </w:r>
      <w:r w:rsidRPr="0025250D">
        <w:rPr>
          <w:rFonts w:hint="eastAsia"/>
          <w:rtl/>
        </w:rPr>
        <w:t>نده‌نگار</w:t>
      </w:r>
      <w:r w:rsidRPr="0025250D">
        <w:rPr>
          <w:rFonts w:hint="cs"/>
          <w:rtl/>
        </w:rPr>
        <w:t>ی</w:t>
      </w:r>
      <w:r w:rsidRPr="0025250D">
        <w:rPr>
          <w:rtl/>
        </w:rPr>
        <w:t xml:space="preserve"> </w:t>
      </w:r>
      <w:r w:rsidRPr="0025250D">
        <w:rPr>
          <w:rFonts w:hint="cs"/>
          <w:rtl/>
        </w:rPr>
        <w:t>تکاملی-توسعه‌ای</w:t>
      </w:r>
      <w:r w:rsidRPr="0025250D">
        <w:rPr>
          <w:rtl/>
        </w:rPr>
        <w:t xml:space="preserve"> به رهبران و ت</w:t>
      </w:r>
      <w:r w:rsidRPr="0025250D">
        <w:rPr>
          <w:rFonts w:hint="cs"/>
          <w:rtl/>
        </w:rPr>
        <w:t>ی</w:t>
      </w:r>
      <w:r w:rsidRPr="0025250D">
        <w:rPr>
          <w:rFonts w:hint="eastAsia"/>
          <w:rtl/>
        </w:rPr>
        <w:t>م‌ها</w:t>
      </w:r>
      <w:r w:rsidRPr="0025250D">
        <w:rPr>
          <w:rFonts w:hint="cs"/>
          <w:rtl/>
        </w:rPr>
        <w:t>ی</w:t>
      </w:r>
      <w:r w:rsidRPr="0025250D">
        <w:rPr>
          <w:rFonts w:hint="eastAsia"/>
          <w:rtl/>
        </w:rPr>
        <w:t>شان</w:t>
      </w:r>
      <w:r w:rsidRPr="0025250D">
        <w:rPr>
          <w:rtl/>
        </w:rPr>
        <w:t xml:space="preserve"> کمک م</w:t>
      </w:r>
      <w:r w:rsidRPr="0025250D">
        <w:rPr>
          <w:rFonts w:hint="cs"/>
          <w:rtl/>
        </w:rPr>
        <w:t>ی‌</w:t>
      </w:r>
      <w:r w:rsidRPr="0025250D">
        <w:rPr>
          <w:rFonts w:hint="eastAsia"/>
          <w:rtl/>
        </w:rPr>
        <w:t>کند</w:t>
      </w:r>
      <w:r w:rsidRPr="0025250D">
        <w:rPr>
          <w:rtl/>
        </w:rPr>
        <w:t xml:space="preserve"> تا تنش مولد ب</w:t>
      </w:r>
      <w:r w:rsidRPr="0025250D">
        <w:rPr>
          <w:rFonts w:hint="cs"/>
          <w:rtl/>
        </w:rPr>
        <w:t>ی</w:t>
      </w:r>
      <w:r w:rsidRPr="0025250D">
        <w:rPr>
          <w:rFonts w:hint="eastAsia"/>
          <w:rtl/>
        </w:rPr>
        <w:t>ن</w:t>
      </w:r>
      <w:r w:rsidRPr="0025250D">
        <w:rPr>
          <w:rtl/>
        </w:rPr>
        <w:t xml:space="preserve"> </w:t>
      </w:r>
      <w:r w:rsidRPr="0025250D">
        <w:rPr>
          <w:rFonts w:hint="cs"/>
          <w:rtl/>
        </w:rPr>
        <w:t>افراد</w:t>
      </w:r>
      <w:r w:rsidRPr="0025250D">
        <w:rPr>
          <w:rtl/>
        </w:rPr>
        <w:t xml:space="preserve"> و جمع را در هر سامانه‌ای بهتر درک و هدا</w:t>
      </w:r>
      <w:r w:rsidRPr="0025250D">
        <w:rPr>
          <w:rFonts w:hint="cs"/>
          <w:rtl/>
        </w:rPr>
        <w:t>ی</w:t>
      </w:r>
      <w:r w:rsidRPr="0025250D">
        <w:rPr>
          <w:rFonts w:hint="eastAsia"/>
          <w:rtl/>
        </w:rPr>
        <w:t>ت</w:t>
      </w:r>
      <w:r w:rsidRPr="0025250D">
        <w:rPr>
          <w:rtl/>
        </w:rPr>
        <w:t xml:space="preserve"> کنند و داستان‌های آ</w:t>
      </w:r>
      <w:r w:rsidRPr="0025250D">
        <w:rPr>
          <w:rFonts w:hint="cs"/>
          <w:rtl/>
        </w:rPr>
        <w:t>ی</w:t>
      </w:r>
      <w:r w:rsidRPr="0025250D">
        <w:rPr>
          <w:rFonts w:hint="eastAsia"/>
          <w:rtl/>
        </w:rPr>
        <w:t>نده</w:t>
      </w:r>
      <w:r w:rsidRPr="0025250D">
        <w:rPr>
          <w:rtl/>
        </w:rPr>
        <w:t xml:space="preserve"> واقع‌ب</w:t>
      </w:r>
      <w:r w:rsidRPr="0025250D">
        <w:rPr>
          <w:rFonts w:hint="cs"/>
          <w:rtl/>
        </w:rPr>
        <w:t>ی</w:t>
      </w:r>
      <w:r w:rsidRPr="0025250D">
        <w:rPr>
          <w:rFonts w:hint="eastAsia"/>
          <w:rtl/>
        </w:rPr>
        <w:t>نانه</w:t>
      </w:r>
      <w:r w:rsidRPr="0025250D">
        <w:rPr>
          <w:rtl/>
        </w:rPr>
        <w:t xml:space="preserve"> را از </w:t>
      </w:r>
      <w:r w:rsidR="00F82713" w:rsidRPr="0025250D">
        <w:rPr>
          <w:rFonts w:hint="cs"/>
          <w:rtl/>
        </w:rPr>
        <w:t xml:space="preserve">موارد </w:t>
      </w:r>
      <w:r w:rsidRPr="0025250D">
        <w:rPr>
          <w:rtl/>
        </w:rPr>
        <w:t>غ</w:t>
      </w:r>
      <w:r w:rsidRPr="0025250D">
        <w:rPr>
          <w:rFonts w:hint="cs"/>
          <w:rtl/>
        </w:rPr>
        <w:t>ی</w:t>
      </w:r>
      <w:r w:rsidRPr="0025250D">
        <w:rPr>
          <w:rFonts w:hint="eastAsia"/>
          <w:rtl/>
        </w:rPr>
        <w:t>رواقع</w:t>
      </w:r>
      <w:r w:rsidRPr="0025250D">
        <w:rPr>
          <w:rFonts w:hint="cs"/>
          <w:rtl/>
        </w:rPr>
        <w:t>ی</w:t>
      </w:r>
      <w:r w:rsidRPr="0025250D">
        <w:rPr>
          <w:rtl/>
        </w:rPr>
        <w:t xml:space="preserve"> متما</w:t>
      </w:r>
      <w:r w:rsidRPr="0025250D">
        <w:rPr>
          <w:rFonts w:hint="cs"/>
          <w:rtl/>
        </w:rPr>
        <w:t>ی</w:t>
      </w:r>
      <w:r w:rsidRPr="0025250D">
        <w:rPr>
          <w:rFonts w:hint="eastAsia"/>
          <w:rtl/>
        </w:rPr>
        <w:t>ز</w:t>
      </w:r>
      <w:r w:rsidRPr="0025250D">
        <w:rPr>
          <w:rtl/>
        </w:rPr>
        <w:t xml:space="preserve"> کنند. آ</w:t>
      </w:r>
      <w:r w:rsidRPr="0025250D">
        <w:rPr>
          <w:rFonts w:hint="cs"/>
          <w:rtl/>
        </w:rPr>
        <w:t>ی</w:t>
      </w:r>
      <w:r w:rsidRPr="0025250D">
        <w:rPr>
          <w:rFonts w:hint="eastAsia"/>
          <w:rtl/>
        </w:rPr>
        <w:t>نده‌نگار</w:t>
      </w:r>
      <w:r w:rsidRPr="0025250D">
        <w:rPr>
          <w:rFonts w:hint="cs"/>
          <w:rtl/>
        </w:rPr>
        <w:t>ی</w:t>
      </w:r>
      <w:r w:rsidRPr="0025250D">
        <w:rPr>
          <w:rtl/>
        </w:rPr>
        <w:t xml:space="preserve"> </w:t>
      </w:r>
      <w:r w:rsidRPr="0025250D">
        <w:rPr>
          <w:rFonts w:hint="cs"/>
          <w:rtl/>
        </w:rPr>
        <w:t>تکاملی-توسعه‌ای</w:t>
      </w:r>
      <w:r w:rsidR="00947B39" w:rsidRPr="0025250D">
        <w:rPr>
          <w:rFonts w:hint="cs"/>
          <w:rtl/>
        </w:rPr>
        <w:t>،</w:t>
      </w:r>
      <w:r w:rsidRPr="0025250D">
        <w:rPr>
          <w:rtl/>
        </w:rPr>
        <w:t xml:space="preserve"> همز</w:t>
      </w:r>
      <w:r w:rsidRPr="0025250D">
        <w:rPr>
          <w:rFonts w:hint="cs"/>
          <w:rtl/>
        </w:rPr>
        <w:t>ی</w:t>
      </w:r>
      <w:r w:rsidRPr="0025250D">
        <w:rPr>
          <w:rFonts w:hint="eastAsia"/>
          <w:rtl/>
        </w:rPr>
        <w:t>ست</w:t>
      </w:r>
      <w:r w:rsidRPr="0025250D">
        <w:rPr>
          <w:rFonts w:hint="cs"/>
          <w:rtl/>
        </w:rPr>
        <w:t>ی</w:t>
      </w:r>
      <w:r w:rsidRPr="0025250D">
        <w:rPr>
          <w:rtl/>
        </w:rPr>
        <w:t xml:space="preserve"> و تنش ب</w:t>
      </w:r>
      <w:r w:rsidRPr="0025250D">
        <w:rPr>
          <w:rFonts w:hint="cs"/>
          <w:rtl/>
        </w:rPr>
        <w:t>ی</w:t>
      </w:r>
      <w:r w:rsidRPr="0025250D">
        <w:rPr>
          <w:rFonts w:hint="eastAsia"/>
          <w:rtl/>
        </w:rPr>
        <w:t>ن</w:t>
      </w:r>
      <w:r w:rsidRPr="0025250D">
        <w:rPr>
          <w:rtl/>
        </w:rPr>
        <w:t xml:space="preserve"> فرآ</w:t>
      </w:r>
      <w:r w:rsidRPr="0025250D">
        <w:rPr>
          <w:rFonts w:hint="cs"/>
          <w:rtl/>
        </w:rPr>
        <w:t>ی</w:t>
      </w:r>
      <w:r w:rsidRPr="0025250D">
        <w:rPr>
          <w:rFonts w:hint="eastAsia"/>
          <w:rtl/>
        </w:rPr>
        <w:t>ندها</w:t>
      </w:r>
      <w:r w:rsidRPr="0025250D">
        <w:rPr>
          <w:rFonts w:hint="cs"/>
          <w:rtl/>
        </w:rPr>
        <w:t>ی</w:t>
      </w:r>
      <w:r w:rsidRPr="0025250D">
        <w:rPr>
          <w:rtl/>
        </w:rPr>
        <w:t xml:space="preserve"> تکامل</w:t>
      </w:r>
      <w:r w:rsidRPr="0025250D">
        <w:rPr>
          <w:rFonts w:hint="cs"/>
          <w:rtl/>
        </w:rPr>
        <w:t>ی</w:t>
      </w:r>
      <w:r w:rsidRPr="0025250D">
        <w:rPr>
          <w:rtl/>
        </w:rPr>
        <w:t xml:space="preserve"> که </w:t>
      </w:r>
      <w:r w:rsidRPr="0025250D">
        <w:rPr>
          <w:rtl/>
        </w:rPr>
        <w:lastRenderedPageBreak/>
        <w:t>عمدتاً از طر</w:t>
      </w:r>
      <w:r w:rsidRPr="0025250D">
        <w:rPr>
          <w:rFonts w:hint="cs"/>
          <w:rtl/>
        </w:rPr>
        <w:t>ی</w:t>
      </w:r>
      <w:r w:rsidRPr="0025250D">
        <w:rPr>
          <w:rFonts w:hint="eastAsia"/>
          <w:rtl/>
        </w:rPr>
        <w:t>ق</w:t>
      </w:r>
      <w:r w:rsidRPr="0025250D">
        <w:rPr>
          <w:rtl/>
        </w:rPr>
        <w:t xml:space="preserve"> موجود</w:t>
      </w:r>
      <w:r w:rsidRPr="0025250D">
        <w:rPr>
          <w:rFonts w:hint="cs"/>
          <w:rtl/>
        </w:rPr>
        <w:t>ی</w:t>
      </w:r>
      <w:r w:rsidRPr="0025250D">
        <w:rPr>
          <w:rFonts w:hint="eastAsia"/>
          <w:rtl/>
        </w:rPr>
        <w:t>ت‌ها</w:t>
      </w:r>
      <w:r w:rsidRPr="0025250D">
        <w:rPr>
          <w:rFonts w:hint="cs"/>
          <w:rtl/>
        </w:rPr>
        <w:t>ی</w:t>
      </w:r>
      <w:r w:rsidRPr="0025250D">
        <w:rPr>
          <w:rtl/>
        </w:rPr>
        <w:t xml:space="preserve"> منفرد در </w:t>
      </w:r>
      <w:r w:rsidRPr="0025250D">
        <w:rPr>
          <w:rFonts w:hint="cs"/>
          <w:rtl/>
        </w:rPr>
        <w:t>ی</w:t>
      </w:r>
      <w:r w:rsidRPr="0025250D">
        <w:rPr>
          <w:rFonts w:hint="eastAsia"/>
          <w:rtl/>
        </w:rPr>
        <w:t>ک</w:t>
      </w:r>
      <w:r w:rsidRPr="0025250D">
        <w:rPr>
          <w:rtl/>
        </w:rPr>
        <w:t xml:space="preserve"> </w:t>
      </w:r>
      <w:r w:rsidR="00947B39" w:rsidRPr="0025250D">
        <w:rPr>
          <w:rtl/>
        </w:rPr>
        <w:t>سامانه</w:t>
      </w:r>
      <w:r w:rsidRPr="0025250D">
        <w:rPr>
          <w:rtl/>
        </w:rPr>
        <w:t xml:space="preserve"> عمل م</w:t>
      </w:r>
      <w:r w:rsidRPr="0025250D">
        <w:rPr>
          <w:rFonts w:hint="cs"/>
          <w:rtl/>
        </w:rPr>
        <w:t>ی‌</w:t>
      </w:r>
      <w:r w:rsidRPr="0025250D">
        <w:rPr>
          <w:rFonts w:hint="eastAsia"/>
          <w:rtl/>
        </w:rPr>
        <w:t>کنند</w:t>
      </w:r>
      <w:r w:rsidR="00947B39" w:rsidRPr="0025250D">
        <w:rPr>
          <w:rFonts w:hint="cs"/>
          <w:rtl/>
        </w:rPr>
        <w:t>،</w:t>
      </w:r>
      <w:r w:rsidRPr="0025250D">
        <w:rPr>
          <w:rtl/>
        </w:rPr>
        <w:t xml:space="preserve"> فرآ</w:t>
      </w:r>
      <w:r w:rsidRPr="0025250D">
        <w:rPr>
          <w:rFonts w:hint="cs"/>
          <w:rtl/>
        </w:rPr>
        <w:t>ی</w:t>
      </w:r>
      <w:r w:rsidRPr="0025250D">
        <w:rPr>
          <w:rFonts w:hint="eastAsia"/>
          <w:rtl/>
        </w:rPr>
        <w:t>ندها</w:t>
      </w:r>
      <w:r w:rsidRPr="0025250D">
        <w:rPr>
          <w:rFonts w:hint="cs"/>
          <w:rtl/>
        </w:rPr>
        <w:t>ی</w:t>
      </w:r>
      <w:r w:rsidRPr="0025250D">
        <w:rPr>
          <w:rtl/>
        </w:rPr>
        <w:t xml:space="preserve"> توسعه‌ای که در مجموعه‌ا</w:t>
      </w:r>
      <w:r w:rsidRPr="0025250D">
        <w:rPr>
          <w:rFonts w:hint="cs"/>
          <w:rtl/>
        </w:rPr>
        <w:t>ی</w:t>
      </w:r>
      <w:r w:rsidRPr="0025250D">
        <w:rPr>
          <w:rtl/>
        </w:rPr>
        <w:t xml:space="preserve"> از افراد (به‌طور متوسط </w:t>
      </w:r>
      <w:r w:rsidR="00947B39" w:rsidRPr="0025250D">
        <w:rPr>
          <w:rtl/>
        </w:rPr>
        <w:t>سامانه</w:t>
      </w:r>
      <w:r w:rsidRPr="0025250D">
        <w:rPr>
          <w:rtl/>
        </w:rPr>
        <w:t>) عمل م</w:t>
      </w:r>
      <w:r w:rsidRPr="0025250D">
        <w:rPr>
          <w:rFonts w:hint="cs"/>
          <w:rtl/>
        </w:rPr>
        <w:t>ی‌</w:t>
      </w:r>
      <w:r w:rsidRPr="0025250D">
        <w:rPr>
          <w:rFonts w:hint="eastAsia"/>
          <w:rtl/>
        </w:rPr>
        <w:t>کنند</w:t>
      </w:r>
      <w:r w:rsidRPr="0025250D">
        <w:rPr>
          <w:rtl/>
        </w:rPr>
        <w:t xml:space="preserve"> و نحوه ادغام (وابستگ</w:t>
      </w:r>
      <w:r w:rsidRPr="0025250D">
        <w:rPr>
          <w:rFonts w:hint="cs"/>
          <w:rtl/>
        </w:rPr>
        <w:t>ی</w:t>
      </w:r>
      <w:r w:rsidRPr="0025250D">
        <w:rPr>
          <w:rtl/>
        </w:rPr>
        <w:t xml:space="preserve"> متقابل) آن‌ها برا</w:t>
      </w:r>
      <w:r w:rsidRPr="0025250D">
        <w:rPr>
          <w:rFonts w:hint="cs"/>
          <w:rtl/>
        </w:rPr>
        <w:t>ی</w:t>
      </w:r>
      <w:r w:rsidRPr="0025250D">
        <w:rPr>
          <w:rtl/>
        </w:rPr>
        <w:t xml:space="preserve"> ا</w:t>
      </w:r>
      <w:r w:rsidRPr="0025250D">
        <w:rPr>
          <w:rFonts w:hint="cs"/>
          <w:rtl/>
        </w:rPr>
        <w:t>ی</w:t>
      </w:r>
      <w:r w:rsidRPr="0025250D">
        <w:rPr>
          <w:rFonts w:hint="eastAsia"/>
          <w:rtl/>
        </w:rPr>
        <w:t>جاد</w:t>
      </w:r>
      <w:r w:rsidRPr="0025250D">
        <w:rPr>
          <w:rtl/>
        </w:rPr>
        <w:t xml:space="preserve"> شبکه‌ها</w:t>
      </w:r>
      <w:r w:rsidRPr="0025250D">
        <w:rPr>
          <w:rFonts w:hint="cs"/>
          <w:rtl/>
        </w:rPr>
        <w:t>ی</w:t>
      </w:r>
      <w:r w:rsidRPr="0025250D">
        <w:rPr>
          <w:rtl/>
        </w:rPr>
        <w:t xml:space="preserve"> </w:t>
      </w:r>
      <w:r w:rsidR="00AE5BE0" w:rsidRPr="0025250D">
        <w:rPr>
          <w:rtl/>
        </w:rPr>
        <w:t>انطباقی</w:t>
      </w:r>
      <w:r w:rsidRPr="0025250D">
        <w:rPr>
          <w:rtl/>
        </w:rPr>
        <w:t xml:space="preserve"> (</w:t>
      </w:r>
      <w:r w:rsidR="008D6F97" w:rsidRPr="0025250D">
        <w:rPr>
          <w:rtl/>
        </w:rPr>
        <w:t>«</w:t>
      </w:r>
      <w:r w:rsidRPr="0025250D">
        <w:rPr>
          <w:rtl/>
        </w:rPr>
        <w:t xml:space="preserve">سامانه‌های </w:t>
      </w:r>
      <w:r w:rsidRPr="0025250D">
        <w:rPr>
          <w:rFonts w:hint="cs"/>
          <w:rtl/>
        </w:rPr>
        <w:t>تکاملی-توسعه‌ای</w:t>
      </w:r>
      <w:r w:rsidR="008D6F97" w:rsidRPr="0025250D">
        <w:rPr>
          <w:rtl/>
        </w:rPr>
        <w:t>»</w:t>
      </w:r>
      <w:r w:rsidRPr="0025250D">
        <w:rPr>
          <w:rtl/>
        </w:rPr>
        <w:t>) را بررس</w:t>
      </w:r>
      <w:r w:rsidRPr="0025250D">
        <w:rPr>
          <w:rFonts w:hint="cs"/>
          <w:rtl/>
        </w:rPr>
        <w:t>ی</w:t>
      </w:r>
      <w:r w:rsidRPr="0025250D">
        <w:rPr>
          <w:rtl/>
        </w:rPr>
        <w:t xml:space="preserve"> م</w:t>
      </w:r>
      <w:r w:rsidRPr="0025250D">
        <w:rPr>
          <w:rFonts w:hint="cs"/>
          <w:rtl/>
        </w:rPr>
        <w:t>ی‌</w:t>
      </w:r>
      <w:r w:rsidRPr="0025250D">
        <w:rPr>
          <w:rFonts w:hint="eastAsia"/>
          <w:rtl/>
        </w:rPr>
        <w:t>کند</w:t>
      </w:r>
      <w:r w:rsidRPr="0025250D">
        <w:rPr>
          <w:rFonts w:hint="cs"/>
          <w:rtl/>
        </w:rPr>
        <w:t>.</w:t>
      </w:r>
    </w:p>
    <w:p w14:paraId="6316B238" w14:textId="1BA19E7F" w:rsidR="00B219EF" w:rsidRPr="0025250D" w:rsidRDefault="00B219EF" w:rsidP="004445C5">
      <w:pPr>
        <w:rPr>
          <w:rtl/>
        </w:rPr>
      </w:pPr>
      <w:r w:rsidRPr="0025250D">
        <w:rPr>
          <w:rtl/>
        </w:rPr>
        <w:t>زندگ</w:t>
      </w:r>
      <w:r w:rsidRPr="0025250D">
        <w:rPr>
          <w:rFonts w:hint="cs"/>
          <w:rtl/>
        </w:rPr>
        <w:t>ی</w:t>
      </w:r>
      <w:r w:rsidRPr="0025250D">
        <w:rPr>
          <w:rFonts w:hint="eastAsia"/>
          <w:rtl/>
        </w:rPr>
        <w:t>،</w:t>
      </w:r>
      <w:r w:rsidRPr="0025250D">
        <w:rPr>
          <w:rtl/>
        </w:rPr>
        <w:t xml:space="preserve"> با تمام نشاط، هوش و قدرتش، پیچیده‌تر</w:t>
      </w:r>
      <w:r w:rsidRPr="0025250D">
        <w:rPr>
          <w:rFonts w:hint="cs"/>
          <w:rtl/>
        </w:rPr>
        <w:t>ی</w:t>
      </w:r>
      <w:r w:rsidRPr="0025250D">
        <w:rPr>
          <w:rFonts w:hint="eastAsia"/>
          <w:rtl/>
        </w:rPr>
        <w:t>ن</w:t>
      </w:r>
      <w:r w:rsidRPr="0025250D">
        <w:rPr>
          <w:rtl/>
        </w:rPr>
        <w:t xml:space="preserve"> نمونه شناخته‌شده </w:t>
      </w:r>
      <w:r w:rsidRPr="0025250D">
        <w:rPr>
          <w:rFonts w:hint="cs"/>
          <w:rtl/>
        </w:rPr>
        <w:t xml:space="preserve">از </w:t>
      </w:r>
      <w:r w:rsidRPr="0025250D">
        <w:rPr>
          <w:rtl/>
        </w:rPr>
        <w:t>چن</w:t>
      </w:r>
      <w:r w:rsidRPr="0025250D">
        <w:rPr>
          <w:rFonts w:hint="cs"/>
          <w:rtl/>
        </w:rPr>
        <w:t>ی</w:t>
      </w:r>
      <w:r w:rsidRPr="0025250D">
        <w:rPr>
          <w:rFonts w:hint="eastAsia"/>
          <w:rtl/>
        </w:rPr>
        <w:t>ن</w:t>
      </w:r>
      <w:r w:rsidRPr="0025250D">
        <w:rPr>
          <w:rtl/>
        </w:rPr>
        <w:t xml:space="preserve"> شبکه‌ای است. شبکه‌های </w:t>
      </w:r>
      <w:r w:rsidR="00AE5BE0" w:rsidRPr="0025250D">
        <w:rPr>
          <w:rtl/>
        </w:rPr>
        <w:t>انطباقی</w:t>
      </w:r>
      <w:r w:rsidRPr="0025250D">
        <w:rPr>
          <w:rtl/>
        </w:rPr>
        <w:t xml:space="preserve"> پ</w:t>
      </w:r>
      <w:r w:rsidRPr="0025250D">
        <w:rPr>
          <w:rFonts w:hint="cs"/>
          <w:rtl/>
        </w:rPr>
        <w:t>ی</w:t>
      </w:r>
      <w:r w:rsidRPr="0025250D">
        <w:rPr>
          <w:rFonts w:hint="eastAsia"/>
          <w:rtl/>
        </w:rPr>
        <w:t>چ</w:t>
      </w:r>
      <w:r w:rsidRPr="0025250D">
        <w:rPr>
          <w:rFonts w:hint="cs"/>
          <w:rtl/>
        </w:rPr>
        <w:t>ی</w:t>
      </w:r>
      <w:r w:rsidRPr="0025250D">
        <w:rPr>
          <w:rFonts w:hint="eastAsia"/>
          <w:rtl/>
        </w:rPr>
        <w:t>ده</w:t>
      </w:r>
      <w:r w:rsidRPr="0025250D">
        <w:rPr>
          <w:rtl/>
        </w:rPr>
        <w:t xml:space="preserve"> هم تنوع محل</w:t>
      </w:r>
      <w:r w:rsidRPr="0025250D">
        <w:rPr>
          <w:rFonts w:hint="cs"/>
          <w:rtl/>
        </w:rPr>
        <w:t>ی</w:t>
      </w:r>
      <w:r w:rsidRPr="0025250D">
        <w:rPr>
          <w:rtl/>
        </w:rPr>
        <w:t xml:space="preserve"> و هم </w:t>
      </w:r>
      <w:r w:rsidRPr="0025250D">
        <w:rPr>
          <w:rFonts w:hint="cs"/>
          <w:rtl/>
        </w:rPr>
        <w:t>شباهت</w:t>
      </w:r>
      <w:r w:rsidRPr="0025250D">
        <w:rPr>
          <w:rtl/>
        </w:rPr>
        <w:t xml:space="preserve"> جهان</w:t>
      </w:r>
      <w:r w:rsidRPr="0025250D">
        <w:rPr>
          <w:rFonts w:hint="cs"/>
          <w:rtl/>
        </w:rPr>
        <w:t>ی</w:t>
      </w:r>
      <w:r w:rsidRPr="0025250D">
        <w:rPr>
          <w:vertAlign w:val="superscript"/>
          <w:rtl/>
        </w:rPr>
        <w:footnoteReference w:id="32"/>
      </w:r>
      <w:r w:rsidRPr="0025250D">
        <w:rPr>
          <w:rtl/>
        </w:rPr>
        <w:t xml:space="preserve"> را نشان می‌دهند. مدل‌های </w:t>
      </w:r>
      <w:r w:rsidRPr="0025250D">
        <w:rPr>
          <w:rFonts w:hint="cs"/>
          <w:rtl/>
        </w:rPr>
        <w:t>تکاملی-توسعه‌ای</w:t>
      </w:r>
      <w:r w:rsidRPr="0025250D">
        <w:rPr>
          <w:rtl/>
        </w:rPr>
        <w:t xml:space="preserve"> در زیست‌شناسی به ما می‌گویند که </w:t>
      </w:r>
      <w:r w:rsidRPr="0025250D">
        <w:rPr>
          <w:rFonts w:hint="cs"/>
          <w:rtl/>
        </w:rPr>
        <w:t>ی</w:t>
      </w:r>
      <w:r w:rsidRPr="0025250D">
        <w:rPr>
          <w:rFonts w:hint="eastAsia"/>
          <w:rtl/>
        </w:rPr>
        <w:t>ک</w:t>
      </w:r>
      <w:r w:rsidRPr="0025250D">
        <w:rPr>
          <w:rFonts w:hint="cs"/>
          <w:rtl/>
        </w:rPr>
        <w:t>ی</w:t>
      </w:r>
      <w:r w:rsidRPr="0025250D">
        <w:rPr>
          <w:rtl/>
        </w:rPr>
        <w:t xml:space="preserve"> از اهداف اساس</w:t>
      </w:r>
      <w:r w:rsidRPr="0025250D">
        <w:rPr>
          <w:rFonts w:hint="cs"/>
          <w:rtl/>
        </w:rPr>
        <w:t>ی</w:t>
      </w:r>
      <w:r w:rsidRPr="0025250D">
        <w:rPr>
          <w:rtl/>
        </w:rPr>
        <w:t xml:space="preserve"> تغ</w:t>
      </w:r>
      <w:r w:rsidRPr="0025250D">
        <w:rPr>
          <w:rFonts w:hint="cs"/>
          <w:rtl/>
        </w:rPr>
        <w:t>یی</w:t>
      </w:r>
      <w:r w:rsidRPr="0025250D">
        <w:rPr>
          <w:rFonts w:hint="eastAsia"/>
          <w:rtl/>
        </w:rPr>
        <w:t>ر</w:t>
      </w:r>
      <w:r w:rsidRPr="0025250D">
        <w:rPr>
          <w:rtl/>
        </w:rPr>
        <w:t xml:space="preserve"> تکامل</w:t>
      </w:r>
      <w:r w:rsidRPr="0025250D">
        <w:rPr>
          <w:rFonts w:hint="cs"/>
          <w:rtl/>
        </w:rPr>
        <w:t>ی</w:t>
      </w:r>
      <w:r w:rsidRPr="0025250D">
        <w:rPr>
          <w:rFonts w:hint="eastAsia"/>
          <w:rtl/>
        </w:rPr>
        <w:t>،</w:t>
      </w:r>
      <w:r w:rsidRPr="0025250D">
        <w:rPr>
          <w:rtl/>
        </w:rPr>
        <w:t xml:space="preserve"> رشد تنوع و تخصص شب</w:t>
      </w:r>
      <w:r w:rsidRPr="0025250D">
        <w:rPr>
          <w:rFonts w:hint="eastAsia"/>
          <w:rtl/>
        </w:rPr>
        <w:t>که</w:t>
      </w:r>
      <w:r w:rsidRPr="0025250D">
        <w:rPr>
          <w:rtl/>
        </w:rPr>
        <w:t xml:space="preserve"> است. چن</w:t>
      </w:r>
      <w:r w:rsidRPr="0025250D">
        <w:rPr>
          <w:rFonts w:hint="cs"/>
          <w:rtl/>
        </w:rPr>
        <w:t>ی</w:t>
      </w:r>
      <w:r w:rsidRPr="0025250D">
        <w:rPr>
          <w:rFonts w:hint="eastAsia"/>
          <w:rtl/>
        </w:rPr>
        <w:t>ن</w:t>
      </w:r>
      <w:r w:rsidRPr="0025250D">
        <w:rPr>
          <w:rtl/>
        </w:rPr>
        <w:t xml:space="preserve"> تغ</w:t>
      </w:r>
      <w:r w:rsidRPr="0025250D">
        <w:rPr>
          <w:rFonts w:hint="cs"/>
          <w:rtl/>
        </w:rPr>
        <w:t>یی</w:t>
      </w:r>
      <w:r w:rsidRPr="0025250D">
        <w:rPr>
          <w:rFonts w:hint="eastAsia"/>
          <w:rtl/>
        </w:rPr>
        <w:t>ر</w:t>
      </w:r>
      <w:r w:rsidRPr="0025250D">
        <w:rPr>
          <w:rFonts w:hint="cs"/>
          <w:rtl/>
        </w:rPr>
        <w:t>ی</w:t>
      </w:r>
      <w:r w:rsidRPr="0025250D">
        <w:rPr>
          <w:rtl/>
        </w:rPr>
        <w:t xml:space="preserve"> از کل شبکه محافظت می‌کند، درحالی‌که هم‌زمان فرصت‌ها و تهد</w:t>
      </w:r>
      <w:r w:rsidRPr="0025250D">
        <w:rPr>
          <w:rFonts w:hint="cs"/>
          <w:rtl/>
        </w:rPr>
        <w:t>ی</w:t>
      </w:r>
      <w:r w:rsidRPr="0025250D">
        <w:rPr>
          <w:rFonts w:hint="eastAsia"/>
          <w:rtl/>
        </w:rPr>
        <w:t>دها</w:t>
      </w:r>
      <w:r w:rsidRPr="0025250D">
        <w:rPr>
          <w:rFonts w:hint="cs"/>
          <w:rtl/>
        </w:rPr>
        <w:t>ی</w:t>
      </w:r>
      <w:r w:rsidRPr="0025250D">
        <w:rPr>
          <w:rtl/>
        </w:rPr>
        <w:t xml:space="preserve"> جد</w:t>
      </w:r>
      <w:r w:rsidRPr="0025250D">
        <w:rPr>
          <w:rFonts w:hint="cs"/>
          <w:rtl/>
        </w:rPr>
        <w:t>ی</w:t>
      </w:r>
      <w:r w:rsidRPr="0025250D">
        <w:rPr>
          <w:rFonts w:hint="eastAsia"/>
          <w:rtl/>
        </w:rPr>
        <w:t>د</w:t>
      </w:r>
      <w:r w:rsidRPr="0025250D">
        <w:rPr>
          <w:rFonts w:hint="cs"/>
          <w:rtl/>
        </w:rPr>
        <w:t>ی</w:t>
      </w:r>
      <w:r w:rsidRPr="0025250D">
        <w:rPr>
          <w:rtl/>
        </w:rPr>
        <w:t xml:space="preserve"> را برا</w:t>
      </w:r>
      <w:r w:rsidRPr="0025250D">
        <w:rPr>
          <w:rFonts w:hint="cs"/>
          <w:rtl/>
        </w:rPr>
        <w:t>ی</w:t>
      </w:r>
      <w:r w:rsidRPr="0025250D">
        <w:rPr>
          <w:rtl/>
        </w:rPr>
        <w:t xml:space="preserve"> باز</w:t>
      </w:r>
      <w:r w:rsidRPr="0025250D">
        <w:rPr>
          <w:rFonts w:hint="cs"/>
          <w:rtl/>
        </w:rPr>
        <w:t>ی</w:t>
      </w:r>
      <w:r w:rsidRPr="0025250D">
        <w:rPr>
          <w:rFonts w:hint="eastAsia"/>
          <w:rtl/>
        </w:rPr>
        <w:t>گران</w:t>
      </w:r>
      <w:r w:rsidRPr="0025250D">
        <w:rPr>
          <w:rtl/>
        </w:rPr>
        <w:t xml:space="preserve"> خاص ا</w:t>
      </w:r>
      <w:r w:rsidRPr="0025250D">
        <w:rPr>
          <w:rFonts w:hint="cs"/>
          <w:rtl/>
        </w:rPr>
        <w:t>ی</w:t>
      </w:r>
      <w:r w:rsidRPr="0025250D">
        <w:rPr>
          <w:rFonts w:hint="eastAsia"/>
          <w:rtl/>
        </w:rPr>
        <w:t>جاد</w:t>
      </w:r>
      <w:r w:rsidRPr="0025250D">
        <w:rPr>
          <w:rtl/>
        </w:rPr>
        <w:t xml:space="preserve"> می‌کند.</w:t>
      </w:r>
      <w:r w:rsidRPr="0025250D">
        <w:rPr>
          <w:rFonts w:hint="cs"/>
          <w:rtl/>
        </w:rPr>
        <w:t xml:space="preserve"> </w:t>
      </w:r>
      <w:r w:rsidRPr="0025250D">
        <w:rPr>
          <w:rtl/>
        </w:rPr>
        <w:t>ا</w:t>
      </w:r>
      <w:r w:rsidRPr="0025250D">
        <w:rPr>
          <w:rFonts w:hint="cs"/>
          <w:rtl/>
        </w:rPr>
        <w:t>ی</w:t>
      </w:r>
      <w:r w:rsidRPr="0025250D">
        <w:rPr>
          <w:rFonts w:hint="eastAsia"/>
          <w:rtl/>
        </w:rPr>
        <w:t>ن</w:t>
      </w:r>
      <w:r w:rsidRPr="0025250D">
        <w:rPr>
          <w:rtl/>
        </w:rPr>
        <w:t xml:space="preserve"> جهان‌بینی </w:t>
      </w:r>
      <w:r w:rsidRPr="0025250D">
        <w:rPr>
          <w:rFonts w:hint="cs"/>
          <w:rtl/>
        </w:rPr>
        <w:t>با در اولویت قرار</w:t>
      </w:r>
      <w:r w:rsidR="00F82713" w:rsidRPr="0025250D">
        <w:rPr>
          <w:rFonts w:hint="cs"/>
          <w:rtl/>
        </w:rPr>
        <w:t xml:space="preserve"> </w:t>
      </w:r>
      <w:r w:rsidRPr="0025250D">
        <w:rPr>
          <w:rFonts w:hint="cs"/>
          <w:rtl/>
        </w:rPr>
        <w:t xml:space="preserve">دادن شبکه </w:t>
      </w:r>
      <w:r w:rsidR="00F82713" w:rsidRPr="0025250D">
        <w:rPr>
          <w:rFonts w:hint="cs"/>
          <w:rtl/>
        </w:rPr>
        <w:t>مطالب</w:t>
      </w:r>
      <w:r w:rsidRPr="0025250D">
        <w:rPr>
          <w:rtl/>
        </w:rPr>
        <w:t xml:space="preserve"> ز</w:t>
      </w:r>
      <w:r w:rsidRPr="0025250D">
        <w:rPr>
          <w:rFonts w:hint="cs"/>
          <w:rtl/>
        </w:rPr>
        <w:t>ی</w:t>
      </w:r>
      <w:r w:rsidRPr="0025250D">
        <w:rPr>
          <w:rFonts w:hint="eastAsia"/>
          <w:rtl/>
        </w:rPr>
        <w:t>اد</w:t>
      </w:r>
      <w:r w:rsidRPr="0025250D">
        <w:rPr>
          <w:rFonts w:hint="cs"/>
          <w:rtl/>
        </w:rPr>
        <w:t>ی</w:t>
      </w:r>
      <w:r w:rsidRPr="0025250D">
        <w:rPr>
          <w:rtl/>
        </w:rPr>
        <w:t xml:space="preserve"> </w:t>
      </w:r>
      <w:r w:rsidR="00F82713" w:rsidRPr="0025250D">
        <w:rPr>
          <w:rFonts w:hint="cs"/>
          <w:rtl/>
        </w:rPr>
        <w:t>به</w:t>
      </w:r>
      <w:r w:rsidRPr="0025250D">
        <w:rPr>
          <w:rtl/>
        </w:rPr>
        <w:t xml:space="preserve"> </w:t>
      </w:r>
      <w:r w:rsidR="00F82713" w:rsidRPr="0025250D">
        <w:rPr>
          <w:rFonts w:hint="cs"/>
          <w:rtl/>
        </w:rPr>
        <w:t>می‌آموزد</w:t>
      </w:r>
      <w:r w:rsidRPr="0025250D">
        <w:rPr>
          <w:rtl/>
        </w:rPr>
        <w:t xml:space="preserve">. به‌عنوان‌مثال، </w:t>
      </w:r>
      <w:r w:rsidRPr="0025250D">
        <w:rPr>
          <w:rFonts w:hint="cs"/>
          <w:rtl/>
        </w:rPr>
        <w:t>ی</w:t>
      </w:r>
      <w:r w:rsidRPr="0025250D">
        <w:rPr>
          <w:rFonts w:hint="eastAsia"/>
          <w:rtl/>
        </w:rPr>
        <w:t>ک</w:t>
      </w:r>
      <w:r w:rsidRPr="0025250D">
        <w:rPr>
          <w:rtl/>
        </w:rPr>
        <w:t xml:space="preserve"> د</w:t>
      </w:r>
      <w:r w:rsidRPr="0025250D">
        <w:rPr>
          <w:rFonts w:hint="cs"/>
          <w:rtl/>
        </w:rPr>
        <w:t>ی</w:t>
      </w:r>
      <w:r w:rsidRPr="0025250D">
        <w:rPr>
          <w:rFonts w:hint="eastAsia"/>
          <w:rtl/>
        </w:rPr>
        <w:t>دگاه</w:t>
      </w:r>
      <w:r w:rsidRPr="0025250D">
        <w:rPr>
          <w:rtl/>
        </w:rPr>
        <w:t xml:space="preserve"> مبتن</w:t>
      </w:r>
      <w:r w:rsidRPr="0025250D">
        <w:rPr>
          <w:rFonts w:hint="cs"/>
          <w:rtl/>
        </w:rPr>
        <w:t>ی</w:t>
      </w:r>
      <w:r w:rsidRPr="0025250D">
        <w:rPr>
          <w:rtl/>
        </w:rPr>
        <w:t xml:space="preserve"> بر شبکه و </w:t>
      </w:r>
      <w:r w:rsidRPr="0025250D">
        <w:rPr>
          <w:rFonts w:hint="cs"/>
          <w:rtl/>
        </w:rPr>
        <w:t>تکاملی-توسعه‌ای</w:t>
      </w:r>
      <w:r w:rsidRPr="0025250D">
        <w:rPr>
          <w:rtl/>
        </w:rPr>
        <w:t xml:space="preserve"> از فناور</w:t>
      </w:r>
      <w:r w:rsidRPr="0025250D">
        <w:rPr>
          <w:rFonts w:hint="cs"/>
          <w:rtl/>
        </w:rPr>
        <w:t>ی</w:t>
      </w:r>
      <w:r w:rsidRPr="0025250D">
        <w:rPr>
          <w:rtl/>
        </w:rPr>
        <w:t xml:space="preserve"> به‌عنوان </w:t>
      </w:r>
      <w:r w:rsidRPr="0025250D">
        <w:rPr>
          <w:rFonts w:hint="cs"/>
          <w:rtl/>
        </w:rPr>
        <w:t>ی</w:t>
      </w:r>
      <w:r w:rsidRPr="0025250D">
        <w:rPr>
          <w:rFonts w:hint="eastAsia"/>
          <w:rtl/>
        </w:rPr>
        <w:t>ک</w:t>
      </w:r>
      <w:r w:rsidRPr="0025250D">
        <w:rPr>
          <w:rtl/>
        </w:rPr>
        <w:t xml:space="preserve"> </w:t>
      </w:r>
      <w:r w:rsidR="00947B39" w:rsidRPr="0025250D">
        <w:rPr>
          <w:rtl/>
        </w:rPr>
        <w:t>سامانه</w:t>
      </w:r>
      <w:r w:rsidRPr="0025250D">
        <w:rPr>
          <w:rtl/>
        </w:rPr>
        <w:t xml:space="preserve"> پ</w:t>
      </w:r>
      <w:r w:rsidRPr="0025250D">
        <w:rPr>
          <w:rFonts w:hint="cs"/>
          <w:rtl/>
        </w:rPr>
        <w:t>ی</w:t>
      </w:r>
      <w:r w:rsidRPr="0025250D">
        <w:rPr>
          <w:rFonts w:hint="eastAsia"/>
          <w:rtl/>
        </w:rPr>
        <w:t>چ</w:t>
      </w:r>
      <w:r w:rsidRPr="0025250D">
        <w:rPr>
          <w:rFonts w:hint="cs"/>
          <w:rtl/>
        </w:rPr>
        <w:t>ی</w:t>
      </w:r>
      <w:r w:rsidRPr="0025250D">
        <w:rPr>
          <w:rFonts w:hint="eastAsia"/>
          <w:rtl/>
        </w:rPr>
        <w:t>ده</w:t>
      </w:r>
      <w:r w:rsidRPr="0025250D">
        <w:rPr>
          <w:rtl/>
        </w:rPr>
        <w:t xml:space="preserve"> پ</w:t>
      </w:r>
      <w:r w:rsidRPr="0025250D">
        <w:rPr>
          <w:rFonts w:hint="cs"/>
          <w:rtl/>
        </w:rPr>
        <w:t>ی</w:t>
      </w:r>
      <w:r w:rsidRPr="0025250D">
        <w:rPr>
          <w:rFonts w:hint="eastAsia"/>
          <w:rtl/>
        </w:rPr>
        <w:t>ش‌ب</w:t>
      </w:r>
      <w:r w:rsidRPr="0025250D">
        <w:rPr>
          <w:rFonts w:hint="cs"/>
          <w:rtl/>
        </w:rPr>
        <w:t>ی</w:t>
      </w:r>
      <w:r w:rsidRPr="0025250D">
        <w:rPr>
          <w:rFonts w:hint="eastAsia"/>
          <w:rtl/>
        </w:rPr>
        <w:t>ن</w:t>
      </w:r>
      <w:r w:rsidRPr="0025250D">
        <w:rPr>
          <w:rFonts w:hint="cs"/>
          <w:rtl/>
        </w:rPr>
        <w:t>ی</w:t>
      </w:r>
      <w:r w:rsidRPr="0025250D">
        <w:rPr>
          <w:rtl/>
        </w:rPr>
        <w:t xml:space="preserve"> م</w:t>
      </w:r>
      <w:r w:rsidRPr="0025250D">
        <w:rPr>
          <w:rFonts w:hint="cs"/>
          <w:rtl/>
        </w:rPr>
        <w:t>ی‌</w:t>
      </w:r>
      <w:r w:rsidRPr="0025250D">
        <w:rPr>
          <w:rFonts w:hint="eastAsia"/>
          <w:rtl/>
        </w:rPr>
        <w:t>کند</w:t>
      </w:r>
      <w:r w:rsidRPr="0025250D">
        <w:rPr>
          <w:rtl/>
        </w:rPr>
        <w:t xml:space="preserve"> که آ</w:t>
      </w:r>
      <w:r w:rsidRPr="0025250D">
        <w:rPr>
          <w:rFonts w:hint="cs"/>
          <w:rtl/>
        </w:rPr>
        <w:t>ی</w:t>
      </w:r>
      <w:r w:rsidRPr="0025250D">
        <w:rPr>
          <w:rFonts w:hint="eastAsia"/>
          <w:rtl/>
        </w:rPr>
        <w:t>نده</w:t>
      </w:r>
      <w:r w:rsidRPr="0025250D">
        <w:rPr>
          <w:rtl/>
        </w:rPr>
        <w:t xml:space="preserve"> هوش مصنوع</w:t>
      </w:r>
      <w:r w:rsidRPr="0025250D">
        <w:rPr>
          <w:rFonts w:hint="cs"/>
          <w:rtl/>
        </w:rPr>
        <w:t>ی</w:t>
      </w:r>
      <w:r w:rsidRPr="0025250D">
        <w:rPr>
          <w:rtl/>
        </w:rPr>
        <w:t xml:space="preserve"> (</w:t>
      </w:r>
      <w:r w:rsidRPr="0025250D">
        <w:t>AI</w:t>
      </w:r>
      <w:r w:rsidRPr="0025250D">
        <w:rPr>
          <w:rtl/>
        </w:rPr>
        <w:t>)، موضوع</w:t>
      </w:r>
      <w:r w:rsidRPr="0025250D">
        <w:rPr>
          <w:rFonts w:hint="cs"/>
          <w:rtl/>
        </w:rPr>
        <w:t>ی</w:t>
      </w:r>
      <w:r w:rsidRPr="0025250D">
        <w:rPr>
          <w:rtl/>
        </w:rPr>
        <w:t xml:space="preserve"> که در حال حاضر بس</w:t>
      </w:r>
      <w:r w:rsidRPr="0025250D">
        <w:rPr>
          <w:rFonts w:hint="cs"/>
          <w:rtl/>
        </w:rPr>
        <w:t>ی</w:t>
      </w:r>
      <w:r w:rsidRPr="0025250D">
        <w:rPr>
          <w:rFonts w:hint="eastAsia"/>
          <w:rtl/>
        </w:rPr>
        <w:t>ار</w:t>
      </w:r>
      <w:r w:rsidRPr="0025250D">
        <w:rPr>
          <w:rtl/>
        </w:rPr>
        <w:t xml:space="preserve"> موردبحث است، بس</w:t>
      </w:r>
      <w:r w:rsidRPr="0025250D">
        <w:rPr>
          <w:rFonts w:hint="cs"/>
          <w:rtl/>
        </w:rPr>
        <w:t>ی</w:t>
      </w:r>
      <w:r w:rsidRPr="0025250D">
        <w:rPr>
          <w:rFonts w:hint="eastAsia"/>
          <w:rtl/>
        </w:rPr>
        <w:t>ار</w:t>
      </w:r>
      <w:r w:rsidRPr="0025250D">
        <w:rPr>
          <w:rtl/>
        </w:rPr>
        <w:t xml:space="preserve"> پ</w:t>
      </w:r>
      <w:r w:rsidRPr="0025250D">
        <w:rPr>
          <w:rFonts w:hint="cs"/>
          <w:rtl/>
        </w:rPr>
        <w:t>ی</w:t>
      </w:r>
      <w:r w:rsidRPr="0025250D">
        <w:rPr>
          <w:rFonts w:hint="eastAsia"/>
          <w:rtl/>
        </w:rPr>
        <w:t>چ</w:t>
      </w:r>
      <w:r w:rsidRPr="0025250D">
        <w:rPr>
          <w:rFonts w:hint="cs"/>
          <w:rtl/>
        </w:rPr>
        <w:t>ی</w:t>
      </w:r>
      <w:r w:rsidRPr="0025250D">
        <w:rPr>
          <w:rFonts w:hint="eastAsia"/>
          <w:rtl/>
        </w:rPr>
        <w:t>ده‌تر،</w:t>
      </w:r>
      <w:r w:rsidRPr="0025250D">
        <w:rPr>
          <w:rtl/>
        </w:rPr>
        <w:t xml:space="preserve"> جمع</w:t>
      </w:r>
      <w:r w:rsidRPr="0025250D">
        <w:rPr>
          <w:rFonts w:hint="cs"/>
          <w:rtl/>
        </w:rPr>
        <w:t>ی</w:t>
      </w:r>
      <w:r w:rsidR="00F82713" w:rsidRPr="0025250D">
        <w:rPr>
          <w:rFonts w:hint="cs"/>
          <w:rtl/>
        </w:rPr>
        <w:t>‌</w:t>
      </w:r>
      <w:r w:rsidR="001A3F0A" w:rsidRPr="0025250D">
        <w:rPr>
          <w:rFonts w:hint="cs"/>
          <w:rtl/>
        </w:rPr>
        <w:t>تر</w:t>
      </w:r>
      <w:r w:rsidRPr="0025250D">
        <w:rPr>
          <w:rFonts w:hint="eastAsia"/>
          <w:rtl/>
        </w:rPr>
        <w:t>،</w:t>
      </w:r>
      <w:r w:rsidRPr="0025250D">
        <w:rPr>
          <w:rtl/>
        </w:rPr>
        <w:t xml:space="preserve"> پا</w:t>
      </w:r>
      <w:r w:rsidRPr="0025250D">
        <w:rPr>
          <w:rFonts w:hint="cs"/>
          <w:rtl/>
        </w:rPr>
        <w:t>ی</w:t>
      </w:r>
      <w:r w:rsidRPr="0025250D">
        <w:rPr>
          <w:rFonts w:hint="eastAsia"/>
          <w:rtl/>
        </w:rPr>
        <w:t>دارتر</w:t>
      </w:r>
      <w:r w:rsidRPr="0025250D">
        <w:rPr>
          <w:rtl/>
        </w:rPr>
        <w:t xml:space="preserve"> و اخلاق</w:t>
      </w:r>
      <w:r w:rsidRPr="0025250D">
        <w:rPr>
          <w:rFonts w:hint="cs"/>
          <w:rtl/>
        </w:rPr>
        <w:t>ی‌</w:t>
      </w:r>
      <w:r w:rsidRPr="0025250D">
        <w:rPr>
          <w:rFonts w:hint="eastAsia"/>
          <w:rtl/>
        </w:rPr>
        <w:t>تر</w:t>
      </w:r>
      <w:r w:rsidRPr="0025250D">
        <w:rPr>
          <w:rFonts w:hint="cs"/>
          <w:rtl/>
        </w:rPr>
        <w:t xml:space="preserve"> </w:t>
      </w:r>
      <w:r w:rsidRPr="0025250D">
        <w:rPr>
          <w:rtl/>
        </w:rPr>
        <w:t>و شخصی‌تر از آن چ</w:t>
      </w:r>
      <w:r w:rsidRPr="0025250D">
        <w:rPr>
          <w:rFonts w:hint="cs"/>
          <w:rtl/>
        </w:rPr>
        <w:t>ی</w:t>
      </w:r>
      <w:r w:rsidRPr="0025250D">
        <w:rPr>
          <w:rFonts w:hint="eastAsia"/>
          <w:rtl/>
        </w:rPr>
        <w:t>ز</w:t>
      </w:r>
      <w:r w:rsidRPr="0025250D">
        <w:rPr>
          <w:rFonts w:hint="cs"/>
          <w:rtl/>
        </w:rPr>
        <w:t>ی</w:t>
      </w:r>
      <w:r w:rsidRPr="0025250D">
        <w:rPr>
          <w:rtl/>
        </w:rPr>
        <w:t xml:space="preserve"> </w:t>
      </w:r>
      <w:r w:rsidRPr="0025250D">
        <w:rPr>
          <w:rFonts w:hint="cs"/>
          <w:rtl/>
        </w:rPr>
        <w:t>خواهد بود</w:t>
      </w:r>
      <w:r w:rsidRPr="0025250D">
        <w:rPr>
          <w:rtl/>
        </w:rPr>
        <w:t xml:space="preserve"> که در حال حاضر بس</w:t>
      </w:r>
      <w:r w:rsidRPr="0025250D">
        <w:rPr>
          <w:rFonts w:hint="cs"/>
          <w:rtl/>
        </w:rPr>
        <w:t>ی</w:t>
      </w:r>
      <w:r w:rsidRPr="0025250D">
        <w:rPr>
          <w:rFonts w:hint="eastAsia"/>
          <w:rtl/>
        </w:rPr>
        <w:t>ار</w:t>
      </w:r>
      <w:r w:rsidRPr="0025250D">
        <w:rPr>
          <w:rFonts w:hint="cs"/>
          <w:rtl/>
        </w:rPr>
        <w:t>ی</w:t>
      </w:r>
      <w:r w:rsidRPr="0025250D">
        <w:rPr>
          <w:rtl/>
        </w:rPr>
        <w:t xml:space="preserve"> از کسان</w:t>
      </w:r>
      <w:r w:rsidRPr="0025250D">
        <w:rPr>
          <w:rFonts w:hint="cs"/>
          <w:rtl/>
        </w:rPr>
        <w:t>ی</w:t>
      </w:r>
      <w:r w:rsidRPr="0025250D">
        <w:rPr>
          <w:rtl/>
        </w:rPr>
        <w:t xml:space="preserve"> که در مورد ا</w:t>
      </w:r>
      <w:r w:rsidRPr="0025250D">
        <w:rPr>
          <w:rFonts w:hint="cs"/>
          <w:rtl/>
        </w:rPr>
        <w:t>ی</w:t>
      </w:r>
      <w:r w:rsidRPr="0025250D">
        <w:rPr>
          <w:rFonts w:hint="eastAsia"/>
          <w:rtl/>
        </w:rPr>
        <w:t>ن</w:t>
      </w:r>
      <w:r w:rsidRPr="0025250D">
        <w:rPr>
          <w:rtl/>
        </w:rPr>
        <w:t xml:space="preserve"> موضوع صحبت می‌کنند متوجه می‌شوند.</w:t>
      </w:r>
    </w:p>
    <w:p w14:paraId="78BFE974" w14:textId="607FC491" w:rsidR="00B219EF" w:rsidRPr="0025250D" w:rsidRDefault="00B219EF" w:rsidP="004445C5">
      <w:pPr>
        <w:rPr>
          <w:rtl/>
        </w:rPr>
      </w:pPr>
      <w:r w:rsidRPr="0025250D">
        <w:rPr>
          <w:rtl/>
        </w:rPr>
        <w:t>بااین‌حال، شا</w:t>
      </w:r>
      <w:r w:rsidRPr="0025250D">
        <w:rPr>
          <w:rFonts w:hint="cs"/>
          <w:rtl/>
        </w:rPr>
        <w:t>ی</w:t>
      </w:r>
      <w:r w:rsidRPr="0025250D">
        <w:rPr>
          <w:rFonts w:hint="eastAsia"/>
          <w:rtl/>
        </w:rPr>
        <w:t>د</w:t>
      </w:r>
      <w:r w:rsidRPr="0025250D">
        <w:rPr>
          <w:rtl/>
        </w:rPr>
        <w:t xml:space="preserve"> مف</w:t>
      </w:r>
      <w:r w:rsidRPr="0025250D">
        <w:rPr>
          <w:rFonts w:hint="cs"/>
          <w:rtl/>
        </w:rPr>
        <w:t>ی</w:t>
      </w:r>
      <w:r w:rsidRPr="0025250D">
        <w:rPr>
          <w:rFonts w:hint="eastAsia"/>
          <w:rtl/>
        </w:rPr>
        <w:t>دتر</w:t>
      </w:r>
      <w:r w:rsidRPr="0025250D">
        <w:rPr>
          <w:rFonts w:hint="cs"/>
          <w:rtl/>
        </w:rPr>
        <w:t>ی</w:t>
      </w:r>
      <w:r w:rsidRPr="0025250D">
        <w:rPr>
          <w:rFonts w:hint="eastAsia"/>
          <w:rtl/>
        </w:rPr>
        <w:t>ن</w:t>
      </w:r>
      <w:r w:rsidRPr="0025250D">
        <w:rPr>
          <w:rtl/>
        </w:rPr>
        <w:t xml:space="preserve"> فا</w:t>
      </w:r>
      <w:r w:rsidRPr="0025250D">
        <w:rPr>
          <w:rFonts w:hint="cs"/>
          <w:rtl/>
        </w:rPr>
        <w:t>ی</w:t>
      </w:r>
      <w:r w:rsidRPr="0025250D">
        <w:rPr>
          <w:rFonts w:hint="eastAsia"/>
          <w:rtl/>
        </w:rPr>
        <w:t>ده</w:t>
      </w:r>
      <w:r w:rsidRPr="0025250D">
        <w:rPr>
          <w:rtl/>
        </w:rPr>
        <w:t xml:space="preserve"> ا</w:t>
      </w:r>
      <w:r w:rsidRPr="0025250D">
        <w:rPr>
          <w:rFonts w:hint="cs"/>
          <w:rtl/>
        </w:rPr>
        <w:t>ی</w:t>
      </w:r>
      <w:r w:rsidRPr="0025250D">
        <w:rPr>
          <w:rFonts w:hint="eastAsia"/>
          <w:rtl/>
        </w:rPr>
        <w:t>ن</w:t>
      </w:r>
      <w:r w:rsidRPr="0025250D">
        <w:rPr>
          <w:rtl/>
        </w:rPr>
        <w:t xml:space="preserve"> جهان‌بینی ا</w:t>
      </w:r>
      <w:r w:rsidRPr="0025250D">
        <w:rPr>
          <w:rFonts w:hint="cs"/>
          <w:rtl/>
        </w:rPr>
        <w:t>ی</w:t>
      </w:r>
      <w:r w:rsidRPr="0025250D">
        <w:rPr>
          <w:rFonts w:hint="eastAsia"/>
          <w:rtl/>
        </w:rPr>
        <w:t>ن</w:t>
      </w:r>
      <w:r w:rsidRPr="0025250D">
        <w:rPr>
          <w:rtl/>
        </w:rPr>
        <w:t xml:space="preserve"> باشد که </w:t>
      </w:r>
      <w:r w:rsidRPr="0025250D">
        <w:rPr>
          <w:rFonts w:hint="cs"/>
          <w:rtl/>
        </w:rPr>
        <w:t>ی</w:t>
      </w:r>
      <w:r w:rsidRPr="0025250D">
        <w:rPr>
          <w:rFonts w:hint="eastAsia"/>
          <w:rtl/>
        </w:rPr>
        <w:t>ک</w:t>
      </w:r>
      <w:r w:rsidRPr="0025250D">
        <w:rPr>
          <w:rtl/>
        </w:rPr>
        <w:t xml:space="preserve"> مدل هنجار</w:t>
      </w:r>
      <w:r w:rsidRPr="0025250D">
        <w:rPr>
          <w:rFonts w:hint="cs"/>
          <w:rtl/>
        </w:rPr>
        <w:t>ی</w:t>
      </w:r>
      <w:r w:rsidRPr="0025250D">
        <w:rPr>
          <w:vertAlign w:val="superscript"/>
          <w:rtl/>
        </w:rPr>
        <w:footnoteReference w:id="33"/>
      </w:r>
      <w:r w:rsidRPr="0025250D">
        <w:rPr>
          <w:rtl/>
        </w:rPr>
        <w:t xml:space="preserve"> (مبتن</w:t>
      </w:r>
      <w:r w:rsidRPr="0025250D">
        <w:rPr>
          <w:rFonts w:hint="cs"/>
          <w:rtl/>
        </w:rPr>
        <w:t>ی</w:t>
      </w:r>
      <w:r w:rsidRPr="0025250D">
        <w:rPr>
          <w:rtl/>
        </w:rPr>
        <w:t xml:space="preserve"> بر اهداف و ارزش‌ها) از </w:t>
      </w:r>
      <w:r w:rsidR="00AE5BE0" w:rsidRPr="0025250D">
        <w:rPr>
          <w:rFonts w:hint="cs"/>
          <w:rtl/>
        </w:rPr>
        <w:t>انطباق</w:t>
      </w:r>
      <w:r w:rsidRPr="0025250D">
        <w:rPr>
          <w:rtl/>
        </w:rPr>
        <w:t xml:space="preserve"> را به ما ارائه می‌دهد. زمان</w:t>
      </w:r>
      <w:r w:rsidRPr="0025250D">
        <w:rPr>
          <w:rFonts w:hint="cs"/>
          <w:rtl/>
        </w:rPr>
        <w:t>ی</w:t>
      </w:r>
      <w:r w:rsidRPr="0025250D">
        <w:rPr>
          <w:rtl/>
        </w:rPr>
        <w:t xml:space="preserve"> که بتوان</w:t>
      </w:r>
      <w:r w:rsidRPr="0025250D">
        <w:rPr>
          <w:rFonts w:hint="cs"/>
          <w:rtl/>
        </w:rPr>
        <w:t>ی</w:t>
      </w:r>
      <w:r w:rsidRPr="0025250D">
        <w:rPr>
          <w:rFonts w:hint="eastAsia"/>
          <w:rtl/>
        </w:rPr>
        <w:t>م</w:t>
      </w:r>
      <w:r w:rsidRPr="0025250D">
        <w:rPr>
          <w:rtl/>
        </w:rPr>
        <w:t xml:space="preserve"> </w:t>
      </w:r>
      <w:r w:rsidRPr="0025250D">
        <w:rPr>
          <w:rFonts w:hint="cs"/>
          <w:rtl/>
        </w:rPr>
        <w:t>سبک‌سنگین</w:t>
      </w:r>
      <w:r w:rsidRPr="0025250D">
        <w:rPr>
          <w:rtl/>
        </w:rPr>
        <w:t xml:space="preserve"> ب</w:t>
      </w:r>
      <w:r w:rsidRPr="0025250D">
        <w:rPr>
          <w:rFonts w:hint="cs"/>
          <w:rtl/>
        </w:rPr>
        <w:t>ی</w:t>
      </w:r>
      <w:r w:rsidRPr="0025250D">
        <w:rPr>
          <w:rFonts w:hint="eastAsia"/>
          <w:rtl/>
        </w:rPr>
        <w:t>ن</w:t>
      </w:r>
      <w:r w:rsidRPr="0025250D">
        <w:rPr>
          <w:rtl/>
        </w:rPr>
        <w:t xml:space="preserve"> اهداف و ارزش‌ها</w:t>
      </w:r>
      <w:r w:rsidRPr="0025250D">
        <w:rPr>
          <w:rFonts w:hint="cs"/>
          <w:rtl/>
        </w:rPr>
        <w:t>ی</w:t>
      </w:r>
      <w:r w:rsidRPr="0025250D">
        <w:rPr>
          <w:rtl/>
        </w:rPr>
        <w:t xml:space="preserve"> </w:t>
      </w:r>
      <w:r w:rsidR="00AE5BE0" w:rsidRPr="0025250D">
        <w:rPr>
          <w:rFonts w:hint="cs"/>
          <w:rtl/>
        </w:rPr>
        <w:t>انطباقی</w:t>
      </w:r>
      <w:r w:rsidRPr="0025250D">
        <w:rPr>
          <w:rtl/>
        </w:rPr>
        <w:t xml:space="preserve"> را تجسم و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کن</w:t>
      </w:r>
      <w:r w:rsidRPr="0025250D">
        <w:rPr>
          <w:rFonts w:hint="cs"/>
          <w:rtl/>
        </w:rPr>
        <w:t>ی</w:t>
      </w:r>
      <w:r w:rsidRPr="0025250D">
        <w:rPr>
          <w:rFonts w:hint="eastAsia"/>
          <w:rtl/>
        </w:rPr>
        <w:t>م،</w:t>
      </w:r>
      <w:r w:rsidRPr="0025250D">
        <w:rPr>
          <w:rtl/>
        </w:rPr>
        <w:t xml:space="preserve"> بهتر م</w:t>
      </w:r>
      <w:r w:rsidRPr="0025250D">
        <w:rPr>
          <w:rFonts w:hint="cs"/>
          <w:rtl/>
        </w:rPr>
        <w:t>ی‌</w:t>
      </w:r>
      <w:r w:rsidRPr="0025250D">
        <w:rPr>
          <w:rFonts w:hint="eastAsia"/>
          <w:rtl/>
        </w:rPr>
        <w:t>توان</w:t>
      </w:r>
      <w:r w:rsidRPr="0025250D">
        <w:rPr>
          <w:rFonts w:hint="cs"/>
          <w:rtl/>
        </w:rPr>
        <w:t>ی</w:t>
      </w:r>
      <w:r w:rsidRPr="0025250D">
        <w:rPr>
          <w:rFonts w:hint="eastAsia"/>
          <w:rtl/>
        </w:rPr>
        <w:t>م</w:t>
      </w:r>
      <w:r w:rsidRPr="0025250D">
        <w:rPr>
          <w:rtl/>
        </w:rPr>
        <w:t xml:space="preserve"> به نتا</w:t>
      </w:r>
      <w:r w:rsidRPr="0025250D">
        <w:rPr>
          <w:rFonts w:hint="cs"/>
          <w:rtl/>
        </w:rPr>
        <w:t>ی</w:t>
      </w:r>
      <w:r w:rsidRPr="0025250D">
        <w:rPr>
          <w:rFonts w:hint="eastAsia"/>
          <w:rtl/>
        </w:rPr>
        <w:t>ج</w:t>
      </w:r>
      <w:r w:rsidRPr="0025250D">
        <w:rPr>
          <w:rtl/>
        </w:rPr>
        <w:t xml:space="preserve"> غ</w:t>
      </w:r>
      <w:r w:rsidRPr="0025250D">
        <w:rPr>
          <w:rFonts w:hint="cs"/>
          <w:rtl/>
        </w:rPr>
        <w:t>ی</w:t>
      </w:r>
      <w:r w:rsidRPr="0025250D">
        <w:rPr>
          <w:rFonts w:hint="eastAsia"/>
          <w:rtl/>
        </w:rPr>
        <w:t>رقابل</w:t>
      </w:r>
      <w:r w:rsidRPr="0025250D">
        <w:rPr>
          <w:rtl/>
        </w:rPr>
        <w:t xml:space="preserve"> تعر</w:t>
      </w:r>
      <w:r w:rsidRPr="0025250D">
        <w:rPr>
          <w:rFonts w:hint="cs"/>
          <w:rtl/>
        </w:rPr>
        <w:t>ی</w:t>
      </w:r>
      <w:r w:rsidRPr="0025250D">
        <w:rPr>
          <w:rFonts w:hint="eastAsia"/>
          <w:rtl/>
        </w:rPr>
        <w:t>ف</w:t>
      </w:r>
      <w:r w:rsidRPr="0025250D">
        <w:rPr>
          <w:rFonts w:hint="cs"/>
          <w:rtl/>
        </w:rPr>
        <w:t>ی</w:t>
      </w:r>
      <w:r w:rsidRPr="0025250D">
        <w:rPr>
          <w:rtl/>
        </w:rPr>
        <w:t xml:space="preserve"> مانند مو</w:t>
      </w:r>
      <w:r w:rsidRPr="0025250D">
        <w:rPr>
          <w:rFonts w:hint="eastAsia"/>
          <w:rtl/>
        </w:rPr>
        <w:t>فق</w:t>
      </w:r>
      <w:r w:rsidRPr="0025250D">
        <w:rPr>
          <w:rFonts w:hint="cs"/>
          <w:rtl/>
        </w:rPr>
        <w:t>ی</w:t>
      </w:r>
      <w:r w:rsidRPr="0025250D">
        <w:rPr>
          <w:rFonts w:hint="eastAsia"/>
          <w:rtl/>
        </w:rPr>
        <w:t>ت</w:t>
      </w:r>
      <w:r w:rsidRPr="0025250D">
        <w:rPr>
          <w:rtl/>
        </w:rPr>
        <w:t xml:space="preserve"> </w:t>
      </w:r>
      <w:r w:rsidR="001A3F0A" w:rsidRPr="0025250D">
        <w:rPr>
          <w:rtl/>
        </w:rPr>
        <w:t>فردی</w:t>
      </w:r>
      <w:r w:rsidRPr="0025250D">
        <w:rPr>
          <w:rFonts w:hint="eastAsia"/>
          <w:rtl/>
        </w:rPr>
        <w:t>،</w:t>
      </w:r>
      <w:r w:rsidRPr="0025250D">
        <w:rPr>
          <w:rtl/>
        </w:rPr>
        <w:t xml:space="preserve"> تعال</w:t>
      </w:r>
      <w:r w:rsidRPr="0025250D">
        <w:rPr>
          <w:rFonts w:hint="cs"/>
          <w:rtl/>
        </w:rPr>
        <w:t>ی</w:t>
      </w:r>
      <w:r w:rsidRPr="0025250D">
        <w:rPr>
          <w:rtl/>
        </w:rPr>
        <w:t xml:space="preserve"> سازمان</w:t>
      </w:r>
      <w:r w:rsidRPr="0025250D">
        <w:rPr>
          <w:rFonts w:hint="cs"/>
          <w:rtl/>
        </w:rPr>
        <w:t>ی</w:t>
      </w:r>
      <w:r w:rsidRPr="0025250D">
        <w:rPr>
          <w:rtl/>
        </w:rPr>
        <w:t xml:space="preserve"> و پ</w:t>
      </w:r>
      <w:r w:rsidRPr="0025250D">
        <w:rPr>
          <w:rFonts w:hint="cs"/>
          <w:rtl/>
        </w:rPr>
        <w:t>ی</w:t>
      </w:r>
      <w:r w:rsidRPr="0025250D">
        <w:rPr>
          <w:rFonts w:hint="eastAsia"/>
          <w:rtl/>
        </w:rPr>
        <w:t>شرفت</w:t>
      </w:r>
      <w:r w:rsidRPr="0025250D">
        <w:rPr>
          <w:rtl/>
        </w:rPr>
        <w:t xml:space="preserve"> اجتماع</w:t>
      </w:r>
      <w:r w:rsidRPr="0025250D">
        <w:rPr>
          <w:rFonts w:hint="cs"/>
          <w:rtl/>
        </w:rPr>
        <w:t>ی</w:t>
      </w:r>
      <w:r w:rsidRPr="0025250D">
        <w:rPr>
          <w:rtl/>
        </w:rPr>
        <w:t xml:space="preserve"> دست </w:t>
      </w:r>
      <w:r w:rsidRPr="0025250D">
        <w:rPr>
          <w:rFonts w:hint="cs"/>
          <w:rtl/>
        </w:rPr>
        <w:t>ی</w:t>
      </w:r>
      <w:r w:rsidRPr="0025250D">
        <w:rPr>
          <w:rFonts w:hint="eastAsia"/>
          <w:rtl/>
        </w:rPr>
        <w:t>اب</w:t>
      </w:r>
      <w:r w:rsidRPr="0025250D">
        <w:rPr>
          <w:rFonts w:hint="cs"/>
          <w:rtl/>
        </w:rPr>
        <w:t>ی</w:t>
      </w:r>
      <w:r w:rsidRPr="0025250D">
        <w:rPr>
          <w:rFonts w:hint="eastAsia"/>
          <w:rtl/>
        </w:rPr>
        <w:t>م</w:t>
      </w:r>
      <w:r w:rsidRPr="0025250D">
        <w:rPr>
          <w:rtl/>
        </w:rPr>
        <w:t>. ما م</w:t>
      </w:r>
      <w:r w:rsidRPr="0025250D">
        <w:rPr>
          <w:rFonts w:hint="cs"/>
          <w:rtl/>
        </w:rPr>
        <w:t>ی‌</w:t>
      </w:r>
      <w:r w:rsidRPr="0025250D">
        <w:rPr>
          <w:rFonts w:hint="eastAsia"/>
          <w:rtl/>
        </w:rPr>
        <w:t>توان</w:t>
      </w:r>
      <w:r w:rsidRPr="0025250D">
        <w:rPr>
          <w:rFonts w:hint="cs"/>
          <w:rtl/>
        </w:rPr>
        <w:t>ی</w:t>
      </w:r>
      <w:r w:rsidRPr="0025250D">
        <w:rPr>
          <w:rFonts w:hint="eastAsia"/>
          <w:rtl/>
        </w:rPr>
        <w:t>م</w:t>
      </w:r>
      <w:r w:rsidRPr="0025250D">
        <w:rPr>
          <w:rtl/>
        </w:rPr>
        <w:t xml:space="preserve"> بب</w:t>
      </w:r>
      <w:r w:rsidRPr="0025250D">
        <w:rPr>
          <w:rFonts w:hint="cs"/>
          <w:rtl/>
        </w:rPr>
        <w:t>ی</w:t>
      </w:r>
      <w:r w:rsidRPr="0025250D">
        <w:rPr>
          <w:rFonts w:hint="eastAsia"/>
          <w:rtl/>
        </w:rPr>
        <w:t>ن</w:t>
      </w:r>
      <w:r w:rsidRPr="0025250D">
        <w:rPr>
          <w:rFonts w:hint="cs"/>
          <w:rtl/>
        </w:rPr>
        <w:t>ی</w:t>
      </w:r>
      <w:r w:rsidRPr="0025250D">
        <w:rPr>
          <w:rFonts w:hint="eastAsia"/>
          <w:rtl/>
        </w:rPr>
        <w:t>م</w:t>
      </w:r>
      <w:r w:rsidRPr="0025250D">
        <w:rPr>
          <w:rtl/>
        </w:rPr>
        <w:t xml:space="preserve"> </w:t>
      </w:r>
      <w:r w:rsidRPr="0025250D">
        <w:rPr>
          <w:rFonts w:hint="cs"/>
          <w:rtl/>
        </w:rPr>
        <w:t xml:space="preserve">که باید برای </w:t>
      </w:r>
      <w:r w:rsidRPr="0025250D">
        <w:rPr>
          <w:rtl/>
        </w:rPr>
        <w:t xml:space="preserve">سرعت </w:t>
      </w:r>
      <w:r w:rsidRPr="0025250D">
        <w:rPr>
          <w:rFonts w:hint="cs"/>
          <w:rtl/>
        </w:rPr>
        <w:t xml:space="preserve">بخشیدن و آزادسازی </w:t>
      </w:r>
      <w:r w:rsidRPr="0025250D">
        <w:rPr>
          <w:rtl/>
        </w:rPr>
        <w:t>کدام تغ</w:t>
      </w:r>
      <w:r w:rsidRPr="0025250D">
        <w:rPr>
          <w:rFonts w:hint="cs"/>
          <w:rtl/>
        </w:rPr>
        <w:t>یی</w:t>
      </w:r>
      <w:r w:rsidRPr="0025250D">
        <w:rPr>
          <w:rFonts w:hint="eastAsia"/>
          <w:rtl/>
        </w:rPr>
        <w:t>رات</w:t>
      </w:r>
      <w:r w:rsidRPr="0025250D">
        <w:rPr>
          <w:rtl/>
        </w:rPr>
        <w:t xml:space="preserve"> </w:t>
      </w:r>
      <w:r w:rsidR="001A3F0A" w:rsidRPr="0025250D">
        <w:rPr>
          <w:rtl/>
        </w:rPr>
        <w:t>فردی</w:t>
      </w:r>
      <w:r w:rsidRPr="0025250D">
        <w:rPr>
          <w:rFonts w:hint="eastAsia"/>
          <w:rtl/>
        </w:rPr>
        <w:t>،</w:t>
      </w:r>
      <w:r w:rsidRPr="0025250D">
        <w:rPr>
          <w:rtl/>
        </w:rPr>
        <w:t xml:space="preserve"> سازمان</w:t>
      </w:r>
      <w:r w:rsidRPr="0025250D">
        <w:rPr>
          <w:rFonts w:hint="cs"/>
          <w:rtl/>
        </w:rPr>
        <w:t>ی</w:t>
      </w:r>
      <w:r w:rsidRPr="0025250D">
        <w:rPr>
          <w:rtl/>
        </w:rPr>
        <w:t xml:space="preserve"> و اجتماع</w:t>
      </w:r>
      <w:r w:rsidRPr="0025250D">
        <w:rPr>
          <w:rFonts w:hint="cs"/>
          <w:rtl/>
        </w:rPr>
        <w:t>ی</w:t>
      </w:r>
      <w:r w:rsidRPr="0025250D">
        <w:rPr>
          <w:rtl/>
        </w:rPr>
        <w:t xml:space="preserve"> </w:t>
      </w:r>
      <w:r w:rsidRPr="0025250D">
        <w:rPr>
          <w:rFonts w:hint="cs"/>
          <w:rtl/>
        </w:rPr>
        <w:t>تلاش کنیم</w:t>
      </w:r>
      <w:r w:rsidRPr="0025250D">
        <w:rPr>
          <w:rtl/>
        </w:rPr>
        <w:t xml:space="preserve"> و </w:t>
      </w:r>
      <w:r w:rsidRPr="0025250D">
        <w:rPr>
          <w:rFonts w:hint="cs"/>
          <w:rtl/>
        </w:rPr>
        <w:t>باید سرعت کدام موارد را کاهش دهیم و آن‌ها را بهتر تنظیم کنیم تا به آینده‌هایی توانمندتر و پایدارتر برسیم.</w:t>
      </w:r>
    </w:p>
    <w:p w14:paraId="756C028B" w14:textId="7B9B9493" w:rsidR="00B219EF" w:rsidRPr="0025250D" w:rsidRDefault="00B219EF" w:rsidP="004445C5">
      <w:pPr>
        <w:rPr>
          <w:rtl/>
        </w:rPr>
      </w:pPr>
      <w:r w:rsidRPr="0025250D">
        <w:rPr>
          <w:rtl/>
        </w:rPr>
        <w:t xml:space="preserve">هر </w:t>
      </w:r>
      <w:r w:rsidRPr="0025250D">
        <w:rPr>
          <w:rFonts w:hint="cs"/>
          <w:rtl/>
        </w:rPr>
        <w:t>ی</w:t>
      </w:r>
      <w:r w:rsidRPr="0025250D">
        <w:rPr>
          <w:rFonts w:hint="eastAsia"/>
          <w:rtl/>
        </w:rPr>
        <w:t>ک</w:t>
      </w:r>
      <w:r w:rsidRPr="0025250D">
        <w:rPr>
          <w:rtl/>
        </w:rPr>
        <w:t xml:space="preserve"> از ا</w:t>
      </w:r>
      <w:r w:rsidRPr="0025250D">
        <w:rPr>
          <w:rFonts w:hint="cs"/>
          <w:rtl/>
        </w:rPr>
        <w:t>ی</w:t>
      </w:r>
      <w:r w:rsidRPr="0025250D">
        <w:rPr>
          <w:rFonts w:hint="eastAsia"/>
          <w:rtl/>
        </w:rPr>
        <w:t>ن</w:t>
      </w:r>
      <w:r w:rsidRPr="0025250D">
        <w:rPr>
          <w:rtl/>
        </w:rPr>
        <w:t xml:space="preserve"> سه د</w:t>
      </w:r>
      <w:r w:rsidRPr="0025250D">
        <w:rPr>
          <w:rFonts w:hint="cs"/>
          <w:rtl/>
        </w:rPr>
        <w:t>ی</w:t>
      </w:r>
      <w:r w:rsidRPr="0025250D">
        <w:rPr>
          <w:rFonts w:hint="eastAsia"/>
          <w:rtl/>
        </w:rPr>
        <w:t>دگاه،</w:t>
      </w:r>
      <w:r w:rsidRPr="0025250D">
        <w:rPr>
          <w:rtl/>
        </w:rPr>
        <w:t xml:space="preserve"> تفکر مبتن</w:t>
      </w:r>
      <w:r w:rsidRPr="0025250D">
        <w:rPr>
          <w:rFonts w:hint="cs"/>
          <w:rtl/>
        </w:rPr>
        <w:t>ی</w:t>
      </w:r>
      <w:r w:rsidRPr="0025250D">
        <w:rPr>
          <w:rtl/>
        </w:rPr>
        <w:t xml:space="preserve"> بر شواهد، آگاه</w:t>
      </w:r>
      <w:r w:rsidRPr="0025250D">
        <w:rPr>
          <w:rFonts w:hint="cs"/>
          <w:rtl/>
        </w:rPr>
        <w:t>ی</w:t>
      </w:r>
      <w:r w:rsidRPr="0025250D">
        <w:rPr>
          <w:rtl/>
        </w:rPr>
        <w:t xml:space="preserve"> </w:t>
      </w:r>
      <w:r w:rsidRPr="0025250D">
        <w:rPr>
          <w:rFonts w:hint="cs"/>
          <w:rtl/>
        </w:rPr>
        <w:t xml:space="preserve">از </w:t>
      </w:r>
      <w:r w:rsidRPr="0025250D">
        <w:rPr>
          <w:rtl/>
        </w:rPr>
        <w:t>شتاب</w:t>
      </w:r>
      <w:r w:rsidR="008D6F97" w:rsidRPr="0025250D">
        <w:rPr>
          <w:rtl/>
        </w:rPr>
        <w:t xml:space="preserve"> </w:t>
      </w:r>
      <w:r w:rsidRPr="0025250D">
        <w:rPr>
          <w:rtl/>
        </w:rPr>
        <w:t xml:space="preserve">و تفکر </w:t>
      </w:r>
      <w:r w:rsidRPr="0025250D">
        <w:rPr>
          <w:rFonts w:hint="cs"/>
          <w:rtl/>
        </w:rPr>
        <w:t>تکاملی-توسعه‌ای</w:t>
      </w:r>
      <w:r w:rsidRPr="0025250D">
        <w:rPr>
          <w:rtl/>
        </w:rPr>
        <w:t>، حاو</w:t>
      </w:r>
      <w:r w:rsidRPr="0025250D">
        <w:rPr>
          <w:rFonts w:hint="cs"/>
          <w:rtl/>
        </w:rPr>
        <w:t>ی</w:t>
      </w:r>
      <w:r w:rsidRPr="0025250D">
        <w:rPr>
          <w:rtl/>
        </w:rPr>
        <w:t xml:space="preserve"> برخ</w:t>
      </w:r>
      <w:r w:rsidRPr="0025250D">
        <w:rPr>
          <w:rFonts w:hint="cs"/>
          <w:rtl/>
        </w:rPr>
        <w:t>ی</w:t>
      </w:r>
      <w:r w:rsidRPr="0025250D">
        <w:rPr>
          <w:rtl/>
        </w:rPr>
        <w:t xml:space="preserve"> مفروضات مهم و فرضیه‌های موقت در مورد ماه</w:t>
      </w:r>
      <w:r w:rsidRPr="0025250D">
        <w:rPr>
          <w:rFonts w:hint="cs"/>
          <w:rtl/>
        </w:rPr>
        <w:t>ی</w:t>
      </w:r>
      <w:r w:rsidRPr="0025250D">
        <w:rPr>
          <w:rFonts w:hint="eastAsia"/>
          <w:rtl/>
        </w:rPr>
        <w:t>ت</w:t>
      </w:r>
      <w:r w:rsidRPr="0025250D">
        <w:rPr>
          <w:rtl/>
        </w:rPr>
        <w:t xml:space="preserve"> جهان </w:t>
      </w:r>
      <w:r w:rsidRPr="0025250D">
        <w:rPr>
          <w:rFonts w:hint="cs"/>
          <w:rtl/>
        </w:rPr>
        <w:t>هستند</w:t>
      </w:r>
      <w:r w:rsidRPr="0025250D">
        <w:rPr>
          <w:rtl/>
        </w:rPr>
        <w:t>. زمان</w:t>
      </w:r>
      <w:r w:rsidRPr="0025250D">
        <w:rPr>
          <w:rFonts w:hint="cs"/>
          <w:rtl/>
        </w:rPr>
        <w:t>ی</w:t>
      </w:r>
      <w:r w:rsidRPr="0025250D">
        <w:rPr>
          <w:rtl/>
        </w:rPr>
        <w:t xml:space="preserve"> که به نظر می‌رسد ا</w:t>
      </w:r>
      <w:r w:rsidRPr="0025250D">
        <w:rPr>
          <w:rFonts w:hint="cs"/>
          <w:rtl/>
        </w:rPr>
        <w:t>ی</w:t>
      </w:r>
      <w:r w:rsidRPr="0025250D">
        <w:rPr>
          <w:rFonts w:hint="eastAsia"/>
          <w:rtl/>
        </w:rPr>
        <w:t>ن</w:t>
      </w:r>
      <w:r w:rsidRPr="0025250D">
        <w:rPr>
          <w:rtl/>
        </w:rPr>
        <w:t xml:space="preserve"> مفروضات و فرضیه‌ها به مدل‌ها، ادعاها و داستان‌های ما مربوط باش</w:t>
      </w:r>
      <w:r w:rsidRPr="0025250D">
        <w:rPr>
          <w:rFonts w:hint="cs"/>
          <w:rtl/>
        </w:rPr>
        <w:t>ن</w:t>
      </w:r>
      <w:r w:rsidRPr="0025250D">
        <w:rPr>
          <w:rtl/>
        </w:rPr>
        <w:t>د، تلاش خواه</w:t>
      </w:r>
      <w:r w:rsidRPr="0025250D">
        <w:rPr>
          <w:rFonts w:hint="cs"/>
          <w:rtl/>
        </w:rPr>
        <w:t>ی</w:t>
      </w:r>
      <w:r w:rsidRPr="0025250D">
        <w:rPr>
          <w:rFonts w:hint="eastAsia"/>
          <w:rtl/>
        </w:rPr>
        <w:t>م</w:t>
      </w:r>
      <w:r w:rsidRPr="0025250D">
        <w:rPr>
          <w:rtl/>
        </w:rPr>
        <w:t xml:space="preserve"> کرد به‌صراحت</w:t>
      </w:r>
      <w:r w:rsidRPr="0025250D">
        <w:rPr>
          <w:rFonts w:hint="cs"/>
          <w:rtl/>
        </w:rPr>
        <w:t xml:space="preserve"> آن‌ها را</w:t>
      </w:r>
      <w:r w:rsidRPr="0025250D">
        <w:rPr>
          <w:rtl/>
        </w:rPr>
        <w:t xml:space="preserve"> ب</w:t>
      </w:r>
      <w:r w:rsidRPr="0025250D">
        <w:rPr>
          <w:rFonts w:hint="cs"/>
          <w:rtl/>
        </w:rPr>
        <w:t>ی</w:t>
      </w:r>
      <w:r w:rsidRPr="0025250D">
        <w:rPr>
          <w:rtl/>
        </w:rPr>
        <w:t>ان کن</w:t>
      </w:r>
      <w:r w:rsidRPr="0025250D">
        <w:rPr>
          <w:rFonts w:hint="cs"/>
          <w:rtl/>
        </w:rPr>
        <w:t>ی</w:t>
      </w:r>
      <w:r w:rsidRPr="0025250D">
        <w:rPr>
          <w:rFonts w:hint="eastAsia"/>
          <w:rtl/>
        </w:rPr>
        <w:t>م</w:t>
      </w:r>
      <w:r w:rsidRPr="0025250D">
        <w:rPr>
          <w:rtl/>
        </w:rPr>
        <w:t>.</w:t>
      </w:r>
      <w:r w:rsidRPr="0025250D">
        <w:rPr>
          <w:rFonts w:hint="cs"/>
          <w:rtl/>
        </w:rPr>
        <w:t xml:space="preserve"> </w:t>
      </w:r>
      <w:r w:rsidRPr="0025250D">
        <w:rPr>
          <w:rtl/>
        </w:rPr>
        <w:t>شما ممکن است ا</w:t>
      </w:r>
      <w:r w:rsidRPr="0025250D">
        <w:rPr>
          <w:rFonts w:hint="cs"/>
          <w:rtl/>
        </w:rPr>
        <w:t>ی</w:t>
      </w:r>
      <w:r w:rsidRPr="0025250D">
        <w:rPr>
          <w:rFonts w:hint="eastAsia"/>
          <w:rtl/>
        </w:rPr>
        <w:t>ن</w:t>
      </w:r>
      <w:r w:rsidRPr="0025250D">
        <w:rPr>
          <w:rtl/>
        </w:rPr>
        <w:t xml:space="preserve"> فرض</w:t>
      </w:r>
      <w:r w:rsidRPr="0025250D">
        <w:rPr>
          <w:rFonts w:hint="cs"/>
          <w:rtl/>
        </w:rPr>
        <w:t>ی</w:t>
      </w:r>
      <w:r w:rsidRPr="0025250D">
        <w:rPr>
          <w:rFonts w:hint="eastAsia"/>
          <w:rtl/>
        </w:rPr>
        <w:t>ات</w:t>
      </w:r>
      <w:r w:rsidRPr="0025250D">
        <w:rPr>
          <w:rtl/>
        </w:rPr>
        <w:t xml:space="preserve"> و </w:t>
      </w:r>
      <w:r w:rsidRPr="0025250D">
        <w:rPr>
          <w:rFonts w:hint="cs"/>
          <w:rtl/>
        </w:rPr>
        <w:t>فرضیه‌ها</w:t>
      </w:r>
      <w:r w:rsidRPr="0025250D">
        <w:rPr>
          <w:rtl/>
        </w:rPr>
        <w:t xml:space="preserve"> را به اشتراک بگذار</w:t>
      </w:r>
      <w:r w:rsidRPr="0025250D">
        <w:rPr>
          <w:rFonts w:hint="cs"/>
          <w:rtl/>
        </w:rPr>
        <w:t>ی</w:t>
      </w:r>
      <w:r w:rsidRPr="0025250D">
        <w:rPr>
          <w:rFonts w:hint="eastAsia"/>
          <w:rtl/>
        </w:rPr>
        <w:t>د</w:t>
      </w:r>
      <w:r w:rsidRPr="0025250D">
        <w:rPr>
          <w:rtl/>
        </w:rPr>
        <w:t xml:space="preserve"> </w:t>
      </w:r>
      <w:r w:rsidRPr="0025250D">
        <w:rPr>
          <w:rFonts w:hint="cs"/>
          <w:rtl/>
        </w:rPr>
        <w:t>ی</w:t>
      </w:r>
      <w:r w:rsidRPr="0025250D">
        <w:rPr>
          <w:rFonts w:hint="eastAsia"/>
          <w:rtl/>
        </w:rPr>
        <w:t>ا</w:t>
      </w:r>
      <w:r w:rsidRPr="0025250D">
        <w:rPr>
          <w:rtl/>
        </w:rPr>
        <w:t xml:space="preserve"> </w:t>
      </w:r>
      <w:r w:rsidR="00F82713" w:rsidRPr="0025250D">
        <w:rPr>
          <w:rFonts w:hint="cs"/>
          <w:rtl/>
        </w:rPr>
        <w:t>نگذارید،</w:t>
      </w:r>
      <w:r w:rsidRPr="0025250D">
        <w:rPr>
          <w:rtl/>
        </w:rPr>
        <w:t xml:space="preserve"> اما ام</w:t>
      </w:r>
      <w:r w:rsidRPr="0025250D">
        <w:rPr>
          <w:rFonts w:hint="cs"/>
          <w:rtl/>
        </w:rPr>
        <w:t>ی</w:t>
      </w:r>
      <w:r w:rsidRPr="0025250D">
        <w:rPr>
          <w:rFonts w:hint="eastAsia"/>
          <w:rtl/>
        </w:rPr>
        <w:t>دوار</w:t>
      </w:r>
      <w:r w:rsidRPr="0025250D">
        <w:rPr>
          <w:rFonts w:hint="cs"/>
          <w:rtl/>
        </w:rPr>
        <w:t>ی</w:t>
      </w:r>
      <w:r w:rsidRPr="0025250D">
        <w:rPr>
          <w:rFonts w:hint="eastAsia"/>
          <w:rtl/>
        </w:rPr>
        <w:t>م</w:t>
      </w:r>
      <w:r w:rsidRPr="0025250D">
        <w:rPr>
          <w:rtl/>
        </w:rPr>
        <w:t xml:space="preserve"> حداقل آنچه را که م</w:t>
      </w:r>
      <w:r w:rsidRPr="0025250D">
        <w:rPr>
          <w:rFonts w:hint="cs"/>
          <w:rtl/>
        </w:rPr>
        <w:t>ی‌</w:t>
      </w:r>
      <w:r w:rsidRPr="0025250D">
        <w:rPr>
          <w:rFonts w:hint="eastAsia"/>
          <w:rtl/>
        </w:rPr>
        <w:t>گو</w:t>
      </w:r>
      <w:r w:rsidRPr="0025250D">
        <w:rPr>
          <w:rFonts w:hint="cs"/>
          <w:rtl/>
        </w:rPr>
        <w:t>یی</w:t>
      </w:r>
      <w:r w:rsidRPr="0025250D">
        <w:rPr>
          <w:rFonts w:hint="eastAsia"/>
          <w:rtl/>
        </w:rPr>
        <w:t>م</w:t>
      </w:r>
      <w:r w:rsidRPr="0025250D">
        <w:rPr>
          <w:rtl/>
        </w:rPr>
        <w:t xml:space="preserve"> بشنو</w:t>
      </w:r>
      <w:r w:rsidRPr="0025250D">
        <w:rPr>
          <w:rFonts w:hint="cs"/>
          <w:rtl/>
        </w:rPr>
        <w:t>ی</w:t>
      </w:r>
      <w:r w:rsidRPr="0025250D">
        <w:rPr>
          <w:rFonts w:hint="eastAsia"/>
          <w:rtl/>
        </w:rPr>
        <w:t>د</w:t>
      </w:r>
      <w:r w:rsidRPr="0025250D">
        <w:rPr>
          <w:rtl/>
        </w:rPr>
        <w:t xml:space="preserve"> و خودتان تصم</w:t>
      </w:r>
      <w:r w:rsidRPr="0025250D">
        <w:rPr>
          <w:rFonts w:hint="cs"/>
          <w:rtl/>
        </w:rPr>
        <w:t>ی</w:t>
      </w:r>
      <w:r w:rsidRPr="0025250D">
        <w:rPr>
          <w:rFonts w:hint="eastAsia"/>
          <w:rtl/>
        </w:rPr>
        <w:t>م</w:t>
      </w:r>
      <w:r w:rsidRPr="0025250D">
        <w:rPr>
          <w:rtl/>
        </w:rPr>
        <w:t xml:space="preserve"> بگ</w:t>
      </w:r>
      <w:r w:rsidRPr="0025250D">
        <w:rPr>
          <w:rFonts w:hint="cs"/>
          <w:rtl/>
        </w:rPr>
        <w:t>ی</w:t>
      </w:r>
      <w:r w:rsidRPr="0025250D">
        <w:rPr>
          <w:rFonts w:hint="eastAsia"/>
          <w:rtl/>
        </w:rPr>
        <w:t>ر</w:t>
      </w:r>
      <w:r w:rsidRPr="0025250D">
        <w:rPr>
          <w:rFonts w:hint="cs"/>
          <w:rtl/>
        </w:rPr>
        <w:t>ی</w:t>
      </w:r>
      <w:r w:rsidRPr="0025250D">
        <w:rPr>
          <w:rFonts w:hint="eastAsia"/>
          <w:rtl/>
        </w:rPr>
        <w:t>د</w:t>
      </w:r>
      <w:r w:rsidRPr="0025250D">
        <w:rPr>
          <w:rtl/>
        </w:rPr>
        <w:t xml:space="preserve"> که کدام‌</w:t>
      </w:r>
      <w:r w:rsidRPr="0025250D">
        <w:rPr>
          <w:rFonts w:hint="cs"/>
          <w:rtl/>
        </w:rPr>
        <w:t>ی</w:t>
      </w:r>
      <w:r w:rsidRPr="0025250D">
        <w:rPr>
          <w:rFonts w:hint="eastAsia"/>
          <w:rtl/>
        </w:rPr>
        <w:t>ک</w:t>
      </w:r>
      <w:r w:rsidRPr="0025250D">
        <w:rPr>
          <w:rtl/>
        </w:rPr>
        <w:t xml:space="preserve"> از آن‌ها ارزش بررس</w:t>
      </w:r>
      <w:r w:rsidRPr="0025250D">
        <w:rPr>
          <w:rFonts w:hint="cs"/>
          <w:rtl/>
        </w:rPr>
        <w:t>ی</w:t>
      </w:r>
      <w:r w:rsidRPr="0025250D">
        <w:rPr>
          <w:rFonts w:hint="eastAsia"/>
          <w:rtl/>
        </w:rPr>
        <w:t>،</w:t>
      </w:r>
      <w:r w:rsidRPr="0025250D">
        <w:rPr>
          <w:rtl/>
        </w:rPr>
        <w:t xml:space="preserve"> </w:t>
      </w:r>
      <w:r w:rsidRPr="0025250D">
        <w:rPr>
          <w:rFonts w:hint="cs"/>
          <w:rtl/>
        </w:rPr>
        <w:t>به‌کارگیری</w:t>
      </w:r>
      <w:r w:rsidRPr="0025250D">
        <w:rPr>
          <w:rtl/>
        </w:rPr>
        <w:t xml:space="preserve"> و آزما</w:t>
      </w:r>
      <w:r w:rsidRPr="0025250D">
        <w:rPr>
          <w:rFonts w:hint="cs"/>
          <w:rtl/>
        </w:rPr>
        <w:t>ی</w:t>
      </w:r>
      <w:r w:rsidRPr="0025250D">
        <w:rPr>
          <w:rFonts w:hint="eastAsia"/>
          <w:rtl/>
        </w:rPr>
        <w:t>ش</w:t>
      </w:r>
      <w:r w:rsidRPr="0025250D">
        <w:rPr>
          <w:rtl/>
        </w:rPr>
        <w:t xml:space="preserve"> در </w:t>
      </w:r>
      <w:r w:rsidR="00701E03" w:rsidRPr="0025250D">
        <w:rPr>
          <w:rtl/>
        </w:rPr>
        <w:t>راهبرد</w:t>
      </w:r>
      <w:r w:rsidRPr="0025250D">
        <w:rPr>
          <w:rtl/>
        </w:rPr>
        <w:t xml:space="preserve"> و اقدام را دارند.</w:t>
      </w:r>
    </w:p>
    <w:p w14:paraId="4BAA94FE" w14:textId="2922669F" w:rsidR="00B219EF" w:rsidRPr="0025250D" w:rsidRDefault="00B219EF" w:rsidP="004445C5">
      <w:pPr>
        <w:rPr>
          <w:rtl/>
        </w:rPr>
      </w:pPr>
      <w:r w:rsidRPr="0025250D">
        <w:rPr>
          <w:rtl/>
        </w:rPr>
        <w:t>با استفاده از تفکر مبتن</w:t>
      </w:r>
      <w:r w:rsidRPr="0025250D">
        <w:rPr>
          <w:rFonts w:hint="cs"/>
          <w:rtl/>
        </w:rPr>
        <w:t>ی</w:t>
      </w:r>
      <w:r w:rsidRPr="0025250D">
        <w:rPr>
          <w:rtl/>
        </w:rPr>
        <w:t xml:space="preserve"> بر شواهد، استدلال خواه</w:t>
      </w:r>
      <w:r w:rsidRPr="0025250D">
        <w:rPr>
          <w:rFonts w:hint="cs"/>
          <w:rtl/>
        </w:rPr>
        <w:t>ی</w:t>
      </w:r>
      <w:r w:rsidRPr="0025250D">
        <w:rPr>
          <w:rFonts w:hint="eastAsia"/>
          <w:rtl/>
        </w:rPr>
        <w:t>م</w:t>
      </w:r>
      <w:r w:rsidRPr="0025250D">
        <w:rPr>
          <w:rtl/>
        </w:rPr>
        <w:t xml:space="preserve"> کرد که علم، حت</w:t>
      </w:r>
      <w:r w:rsidRPr="0025250D">
        <w:rPr>
          <w:rFonts w:hint="cs"/>
          <w:rtl/>
        </w:rPr>
        <w:t>ی</w:t>
      </w:r>
      <w:r w:rsidRPr="0025250D">
        <w:rPr>
          <w:rtl/>
        </w:rPr>
        <w:t xml:space="preserve"> با همه تنوع فرهنگ</w:t>
      </w:r>
      <w:r w:rsidRPr="0025250D">
        <w:rPr>
          <w:rFonts w:hint="cs"/>
          <w:rtl/>
        </w:rPr>
        <w:t>ی</w:t>
      </w:r>
      <w:r w:rsidRPr="0025250D">
        <w:rPr>
          <w:rtl/>
        </w:rPr>
        <w:t xml:space="preserve"> آن، </w:t>
      </w:r>
      <w:r w:rsidR="00F82713" w:rsidRPr="0025250D">
        <w:rPr>
          <w:rFonts w:hint="cs"/>
          <w:rtl/>
        </w:rPr>
        <w:t xml:space="preserve">هم </w:t>
      </w:r>
      <w:r w:rsidRPr="0025250D">
        <w:rPr>
          <w:rFonts w:hint="cs"/>
          <w:rtl/>
        </w:rPr>
        <w:t>ی</w:t>
      </w:r>
      <w:r w:rsidRPr="0025250D">
        <w:rPr>
          <w:rFonts w:hint="eastAsia"/>
          <w:rtl/>
        </w:rPr>
        <w:t>ک</w:t>
      </w:r>
      <w:r w:rsidRPr="0025250D">
        <w:rPr>
          <w:rtl/>
        </w:rPr>
        <w:t xml:space="preserve"> راه ممتاز، پ</w:t>
      </w:r>
      <w:r w:rsidRPr="0025250D">
        <w:rPr>
          <w:rFonts w:hint="cs"/>
          <w:rtl/>
        </w:rPr>
        <w:t>ی</w:t>
      </w:r>
      <w:r w:rsidRPr="0025250D">
        <w:rPr>
          <w:rFonts w:hint="eastAsia"/>
          <w:rtl/>
        </w:rPr>
        <w:t>شرو</w:t>
      </w:r>
      <w:r w:rsidRPr="0025250D">
        <w:rPr>
          <w:rtl/>
        </w:rPr>
        <w:t xml:space="preserve"> و آزاد و هم محدودکننده برا</w:t>
      </w:r>
      <w:r w:rsidRPr="0025250D">
        <w:rPr>
          <w:rFonts w:hint="cs"/>
          <w:rtl/>
        </w:rPr>
        <w:t>ی</w:t>
      </w:r>
      <w:r w:rsidRPr="0025250D">
        <w:rPr>
          <w:rtl/>
        </w:rPr>
        <w:t xml:space="preserve"> </w:t>
      </w:r>
      <w:r w:rsidRPr="0025250D">
        <w:rPr>
          <w:rFonts w:hint="cs"/>
          <w:rtl/>
        </w:rPr>
        <w:t>کسب دانش</w:t>
      </w:r>
      <w:r w:rsidRPr="0025250D">
        <w:rPr>
          <w:rtl/>
        </w:rPr>
        <w:t xml:space="preserve"> است. با استفاده از آگاه</w:t>
      </w:r>
      <w:r w:rsidRPr="0025250D">
        <w:rPr>
          <w:rFonts w:hint="cs"/>
          <w:rtl/>
        </w:rPr>
        <w:t>ی از شتاب</w:t>
      </w:r>
      <w:r w:rsidRPr="0025250D">
        <w:rPr>
          <w:rFonts w:hint="eastAsia"/>
          <w:rtl/>
        </w:rPr>
        <w:t>،</w:t>
      </w:r>
      <w:r w:rsidRPr="0025250D">
        <w:rPr>
          <w:rtl/>
        </w:rPr>
        <w:t xml:space="preserve"> پ</w:t>
      </w:r>
      <w:r w:rsidRPr="0025250D">
        <w:rPr>
          <w:rFonts w:hint="cs"/>
          <w:rtl/>
        </w:rPr>
        <w:t>ی</w:t>
      </w:r>
      <w:r w:rsidRPr="0025250D">
        <w:rPr>
          <w:rFonts w:hint="eastAsia"/>
          <w:rtl/>
        </w:rPr>
        <w:t>شنهاد</w:t>
      </w:r>
      <w:r w:rsidRPr="0025250D">
        <w:rPr>
          <w:rtl/>
        </w:rPr>
        <w:t xml:space="preserve"> م</w:t>
      </w:r>
      <w:r w:rsidRPr="0025250D">
        <w:rPr>
          <w:rFonts w:hint="cs"/>
          <w:rtl/>
        </w:rPr>
        <w:t>ی‌</w:t>
      </w:r>
      <w:r w:rsidRPr="0025250D">
        <w:rPr>
          <w:rFonts w:hint="eastAsia"/>
          <w:rtl/>
        </w:rPr>
        <w:t>کن</w:t>
      </w:r>
      <w:r w:rsidRPr="0025250D">
        <w:rPr>
          <w:rFonts w:hint="cs"/>
          <w:rtl/>
        </w:rPr>
        <w:t>ی</w:t>
      </w:r>
      <w:r w:rsidRPr="0025250D">
        <w:rPr>
          <w:rFonts w:hint="eastAsia"/>
          <w:rtl/>
        </w:rPr>
        <w:t>م</w:t>
      </w:r>
      <w:r w:rsidRPr="0025250D">
        <w:rPr>
          <w:rtl/>
        </w:rPr>
        <w:t xml:space="preserve"> که پ</w:t>
      </w:r>
      <w:r w:rsidRPr="0025250D">
        <w:rPr>
          <w:rFonts w:hint="cs"/>
          <w:rtl/>
        </w:rPr>
        <w:t>ی</w:t>
      </w:r>
      <w:r w:rsidRPr="0025250D">
        <w:rPr>
          <w:rFonts w:hint="eastAsia"/>
          <w:rtl/>
        </w:rPr>
        <w:t>چ</w:t>
      </w:r>
      <w:r w:rsidRPr="0025250D">
        <w:rPr>
          <w:rFonts w:hint="cs"/>
          <w:rtl/>
        </w:rPr>
        <w:t>ی</w:t>
      </w:r>
      <w:r w:rsidRPr="0025250D">
        <w:rPr>
          <w:rFonts w:hint="eastAsia"/>
          <w:rtl/>
        </w:rPr>
        <w:t>ده‌تر</w:t>
      </w:r>
      <w:r w:rsidRPr="0025250D">
        <w:rPr>
          <w:rFonts w:hint="cs"/>
          <w:rtl/>
        </w:rPr>
        <w:t>ی</w:t>
      </w:r>
      <w:r w:rsidRPr="0025250D">
        <w:rPr>
          <w:rFonts w:hint="eastAsia"/>
          <w:rtl/>
        </w:rPr>
        <w:t>ن</w:t>
      </w:r>
      <w:r w:rsidRPr="0025250D">
        <w:rPr>
          <w:rtl/>
        </w:rPr>
        <w:t xml:space="preserve"> و سازگارتر</w:t>
      </w:r>
      <w:r w:rsidRPr="0025250D">
        <w:rPr>
          <w:rFonts w:hint="cs"/>
          <w:rtl/>
        </w:rPr>
        <w:t>ی</w:t>
      </w:r>
      <w:r w:rsidRPr="0025250D">
        <w:rPr>
          <w:rFonts w:hint="eastAsia"/>
          <w:rtl/>
        </w:rPr>
        <w:t>ن</w:t>
      </w:r>
      <w:r w:rsidRPr="0025250D">
        <w:rPr>
          <w:rtl/>
        </w:rPr>
        <w:t xml:space="preserve"> شبکه‌ها</w:t>
      </w:r>
      <w:r w:rsidRPr="0025250D">
        <w:rPr>
          <w:rFonts w:hint="cs"/>
          <w:rtl/>
        </w:rPr>
        <w:t>ی</w:t>
      </w:r>
      <w:r w:rsidRPr="0025250D">
        <w:rPr>
          <w:rtl/>
        </w:rPr>
        <w:t xml:space="preserve"> زندگ</w:t>
      </w:r>
      <w:r w:rsidRPr="0025250D">
        <w:rPr>
          <w:rFonts w:hint="cs"/>
          <w:rtl/>
        </w:rPr>
        <w:t>ی</w:t>
      </w:r>
      <w:r w:rsidRPr="0025250D">
        <w:rPr>
          <w:rtl/>
        </w:rPr>
        <w:t xml:space="preserve"> به‌طور مداوم از مح</w:t>
      </w:r>
      <w:r w:rsidRPr="0025250D">
        <w:rPr>
          <w:rFonts w:hint="eastAsia"/>
          <w:rtl/>
        </w:rPr>
        <w:t>دود</w:t>
      </w:r>
      <w:r w:rsidRPr="0025250D">
        <w:rPr>
          <w:rFonts w:hint="cs"/>
          <w:rtl/>
        </w:rPr>
        <w:t>ی</w:t>
      </w:r>
      <w:r w:rsidRPr="0025250D">
        <w:rPr>
          <w:rFonts w:hint="eastAsia"/>
          <w:rtl/>
        </w:rPr>
        <w:t>ت‌ها</w:t>
      </w:r>
      <w:r w:rsidRPr="0025250D">
        <w:rPr>
          <w:rFonts w:hint="cs"/>
          <w:rtl/>
        </w:rPr>
        <w:t>ی</w:t>
      </w:r>
      <w:r w:rsidRPr="0025250D">
        <w:rPr>
          <w:rtl/>
        </w:rPr>
        <w:t xml:space="preserve"> موقت</w:t>
      </w:r>
      <w:r w:rsidRPr="0025250D">
        <w:rPr>
          <w:rFonts w:hint="cs"/>
          <w:rtl/>
        </w:rPr>
        <w:t>ی</w:t>
      </w:r>
      <w:r w:rsidRPr="0025250D">
        <w:rPr>
          <w:rtl/>
        </w:rPr>
        <w:t xml:space="preserve"> و محل</w:t>
      </w:r>
      <w:r w:rsidRPr="0025250D">
        <w:rPr>
          <w:rFonts w:hint="cs"/>
          <w:rtl/>
        </w:rPr>
        <w:t>ی</w:t>
      </w:r>
      <w:r w:rsidRPr="0025250D">
        <w:rPr>
          <w:rtl/>
        </w:rPr>
        <w:t xml:space="preserve"> برا</w:t>
      </w:r>
      <w:r w:rsidRPr="0025250D">
        <w:rPr>
          <w:rFonts w:hint="cs"/>
          <w:rtl/>
        </w:rPr>
        <w:t>ی</w:t>
      </w:r>
      <w:r w:rsidRPr="0025250D">
        <w:rPr>
          <w:rtl/>
        </w:rPr>
        <w:t xml:space="preserve"> رشد توانا</w:t>
      </w:r>
      <w:r w:rsidRPr="0025250D">
        <w:rPr>
          <w:rFonts w:hint="cs"/>
          <w:rtl/>
        </w:rPr>
        <w:t>یی‌</w:t>
      </w:r>
      <w:r w:rsidRPr="0025250D">
        <w:rPr>
          <w:rFonts w:hint="eastAsia"/>
          <w:rtl/>
        </w:rPr>
        <w:t>ها</w:t>
      </w:r>
      <w:r w:rsidRPr="0025250D">
        <w:rPr>
          <w:rFonts w:hint="cs"/>
          <w:rtl/>
        </w:rPr>
        <w:t>ی</w:t>
      </w:r>
      <w:r w:rsidRPr="0025250D">
        <w:rPr>
          <w:rtl/>
        </w:rPr>
        <w:t xml:space="preserve"> ف</w:t>
      </w:r>
      <w:r w:rsidRPr="0025250D">
        <w:rPr>
          <w:rFonts w:hint="cs"/>
          <w:rtl/>
        </w:rPr>
        <w:t>ی</w:t>
      </w:r>
      <w:r w:rsidRPr="0025250D">
        <w:rPr>
          <w:rFonts w:hint="eastAsia"/>
          <w:rtl/>
        </w:rPr>
        <w:t>ز</w:t>
      </w:r>
      <w:r w:rsidRPr="0025250D">
        <w:rPr>
          <w:rFonts w:hint="cs"/>
          <w:rtl/>
        </w:rPr>
        <w:t>ی</w:t>
      </w:r>
      <w:r w:rsidRPr="0025250D">
        <w:rPr>
          <w:rFonts w:hint="eastAsia"/>
          <w:rtl/>
        </w:rPr>
        <w:t>ک</w:t>
      </w:r>
      <w:r w:rsidRPr="0025250D">
        <w:rPr>
          <w:rFonts w:hint="cs"/>
          <w:rtl/>
        </w:rPr>
        <w:t>ی</w:t>
      </w:r>
      <w:r w:rsidRPr="0025250D">
        <w:rPr>
          <w:rtl/>
        </w:rPr>
        <w:t xml:space="preserve"> و ذهن</w:t>
      </w:r>
      <w:r w:rsidRPr="0025250D">
        <w:rPr>
          <w:rFonts w:hint="cs"/>
          <w:rtl/>
        </w:rPr>
        <w:t>ی</w:t>
      </w:r>
      <w:r w:rsidRPr="0025250D">
        <w:rPr>
          <w:rtl/>
        </w:rPr>
        <w:t xml:space="preserve"> خود از طر</w:t>
      </w:r>
      <w:r w:rsidRPr="0025250D">
        <w:rPr>
          <w:rFonts w:hint="cs"/>
          <w:rtl/>
        </w:rPr>
        <w:t>ی</w:t>
      </w:r>
      <w:r w:rsidRPr="0025250D">
        <w:rPr>
          <w:rFonts w:hint="eastAsia"/>
          <w:rtl/>
        </w:rPr>
        <w:t>ق</w:t>
      </w:r>
      <w:r w:rsidRPr="0025250D">
        <w:rPr>
          <w:rtl/>
        </w:rPr>
        <w:t xml:space="preserve"> دو فرآ</w:t>
      </w:r>
      <w:r w:rsidRPr="0025250D">
        <w:rPr>
          <w:rFonts w:hint="cs"/>
          <w:rtl/>
        </w:rPr>
        <w:t>ی</w:t>
      </w:r>
      <w:r w:rsidRPr="0025250D">
        <w:rPr>
          <w:rFonts w:hint="eastAsia"/>
          <w:rtl/>
        </w:rPr>
        <w:t>ند</w:t>
      </w:r>
      <w:r w:rsidRPr="0025250D">
        <w:rPr>
          <w:rtl/>
        </w:rPr>
        <w:t xml:space="preserve"> اصل</w:t>
      </w:r>
      <w:r w:rsidRPr="0025250D">
        <w:rPr>
          <w:rFonts w:hint="cs"/>
          <w:rtl/>
        </w:rPr>
        <w:t>ی</w:t>
      </w:r>
      <w:r w:rsidRPr="0025250D">
        <w:rPr>
          <w:rtl/>
        </w:rPr>
        <w:t xml:space="preserve"> فرار کرده‌اند: متراکم </w:t>
      </w:r>
      <w:r w:rsidRPr="0025250D">
        <w:rPr>
          <w:rFonts w:hint="cs"/>
          <w:rtl/>
        </w:rPr>
        <w:t>سازی</w:t>
      </w:r>
      <w:r w:rsidRPr="0025250D">
        <w:rPr>
          <w:rtl/>
        </w:rPr>
        <w:t xml:space="preserve"> فرآ</w:t>
      </w:r>
      <w:r w:rsidRPr="0025250D">
        <w:rPr>
          <w:rFonts w:hint="cs"/>
          <w:rtl/>
        </w:rPr>
        <w:t>ی</w:t>
      </w:r>
      <w:r w:rsidRPr="0025250D">
        <w:rPr>
          <w:rFonts w:hint="eastAsia"/>
          <w:rtl/>
        </w:rPr>
        <w:t>ندها</w:t>
      </w:r>
      <w:r w:rsidRPr="0025250D">
        <w:rPr>
          <w:rFonts w:hint="cs"/>
          <w:rtl/>
        </w:rPr>
        <w:t>ی</w:t>
      </w:r>
      <w:r w:rsidRPr="0025250D">
        <w:rPr>
          <w:rtl/>
        </w:rPr>
        <w:t xml:space="preserve"> ف</w:t>
      </w:r>
      <w:r w:rsidRPr="0025250D">
        <w:rPr>
          <w:rFonts w:hint="cs"/>
          <w:rtl/>
        </w:rPr>
        <w:t>ی</w:t>
      </w:r>
      <w:r w:rsidRPr="0025250D">
        <w:rPr>
          <w:rFonts w:hint="eastAsia"/>
          <w:rtl/>
        </w:rPr>
        <w:t>ز</w:t>
      </w:r>
      <w:r w:rsidRPr="0025250D">
        <w:rPr>
          <w:rFonts w:hint="cs"/>
          <w:rtl/>
        </w:rPr>
        <w:t>ی</w:t>
      </w:r>
      <w:r w:rsidRPr="0025250D">
        <w:rPr>
          <w:rFonts w:hint="eastAsia"/>
          <w:rtl/>
        </w:rPr>
        <w:t>ک</w:t>
      </w:r>
      <w:r w:rsidRPr="0025250D">
        <w:rPr>
          <w:rFonts w:hint="cs"/>
          <w:rtl/>
        </w:rPr>
        <w:t>ی</w:t>
      </w:r>
      <w:r w:rsidRPr="0025250D">
        <w:rPr>
          <w:rtl/>
        </w:rPr>
        <w:t xml:space="preserve"> ح</w:t>
      </w:r>
      <w:r w:rsidRPr="0025250D">
        <w:rPr>
          <w:rFonts w:hint="cs"/>
          <w:rtl/>
        </w:rPr>
        <w:t>ی</w:t>
      </w:r>
      <w:r w:rsidRPr="0025250D">
        <w:rPr>
          <w:rFonts w:hint="eastAsia"/>
          <w:rtl/>
        </w:rPr>
        <w:t>ات</w:t>
      </w:r>
      <w:r w:rsidRPr="0025250D">
        <w:rPr>
          <w:rFonts w:hint="cs"/>
          <w:rtl/>
        </w:rPr>
        <w:t>ی</w:t>
      </w:r>
      <w:r w:rsidRPr="0025250D">
        <w:rPr>
          <w:rtl/>
        </w:rPr>
        <w:t xml:space="preserve"> و </w:t>
      </w:r>
      <w:r w:rsidR="000B4A71" w:rsidRPr="0025250D">
        <w:rPr>
          <w:rFonts w:hint="cs"/>
          <w:rtl/>
        </w:rPr>
        <w:t>مادی‌زدایی</w:t>
      </w:r>
      <w:r w:rsidRPr="0025250D">
        <w:rPr>
          <w:rtl/>
        </w:rPr>
        <w:t xml:space="preserve"> فرآ</w:t>
      </w:r>
      <w:r w:rsidRPr="0025250D">
        <w:rPr>
          <w:rFonts w:hint="cs"/>
          <w:rtl/>
        </w:rPr>
        <w:t>ی</w:t>
      </w:r>
      <w:r w:rsidRPr="0025250D">
        <w:rPr>
          <w:rFonts w:hint="eastAsia"/>
          <w:rtl/>
        </w:rPr>
        <w:t>ندها</w:t>
      </w:r>
      <w:r w:rsidRPr="0025250D">
        <w:rPr>
          <w:rFonts w:hint="cs"/>
          <w:rtl/>
        </w:rPr>
        <w:t>ی</w:t>
      </w:r>
      <w:r w:rsidRPr="0025250D">
        <w:rPr>
          <w:rtl/>
        </w:rPr>
        <w:t xml:space="preserve"> اطلاعات</w:t>
      </w:r>
      <w:r w:rsidRPr="0025250D">
        <w:rPr>
          <w:rFonts w:hint="cs"/>
          <w:rtl/>
        </w:rPr>
        <w:t>ی‌</w:t>
      </w:r>
      <w:r w:rsidRPr="0025250D">
        <w:rPr>
          <w:rFonts w:hint="eastAsia"/>
          <w:rtl/>
        </w:rPr>
        <w:t>شان</w:t>
      </w:r>
      <w:r w:rsidRPr="0025250D">
        <w:rPr>
          <w:rtl/>
        </w:rPr>
        <w:t>.</w:t>
      </w:r>
      <w:r w:rsidRPr="0025250D">
        <w:rPr>
          <w:rFonts w:hint="cs"/>
          <w:rtl/>
        </w:rPr>
        <w:t xml:space="preserve"> </w:t>
      </w:r>
      <w:r w:rsidRPr="0025250D">
        <w:rPr>
          <w:rtl/>
        </w:rPr>
        <w:t>خواه</w:t>
      </w:r>
      <w:r w:rsidRPr="0025250D">
        <w:rPr>
          <w:rFonts w:hint="cs"/>
          <w:rtl/>
        </w:rPr>
        <w:t>ی</w:t>
      </w:r>
      <w:r w:rsidRPr="0025250D">
        <w:rPr>
          <w:rFonts w:hint="eastAsia"/>
          <w:rtl/>
        </w:rPr>
        <w:t>م</w:t>
      </w:r>
      <w:r w:rsidRPr="0025250D">
        <w:rPr>
          <w:rtl/>
        </w:rPr>
        <w:t xml:space="preserve"> د</w:t>
      </w:r>
      <w:r w:rsidRPr="0025250D">
        <w:rPr>
          <w:rFonts w:hint="cs"/>
          <w:rtl/>
        </w:rPr>
        <w:t>ی</w:t>
      </w:r>
      <w:r w:rsidRPr="0025250D">
        <w:rPr>
          <w:rFonts w:hint="eastAsia"/>
          <w:rtl/>
        </w:rPr>
        <w:t>د</w:t>
      </w:r>
      <w:r w:rsidRPr="0025250D">
        <w:rPr>
          <w:rtl/>
        </w:rPr>
        <w:t xml:space="preserve"> که چرا مغز انسان و جوامع و ز</w:t>
      </w:r>
      <w:r w:rsidRPr="0025250D">
        <w:rPr>
          <w:rFonts w:hint="cs"/>
          <w:rtl/>
        </w:rPr>
        <w:t>ی</w:t>
      </w:r>
      <w:r w:rsidRPr="0025250D">
        <w:rPr>
          <w:rFonts w:hint="eastAsia"/>
          <w:rtl/>
        </w:rPr>
        <w:t>رمجموعه</w:t>
      </w:r>
      <w:r w:rsidRPr="0025250D">
        <w:rPr>
          <w:rtl/>
        </w:rPr>
        <w:t xml:space="preserve"> خاص</w:t>
      </w:r>
      <w:r w:rsidRPr="0025250D">
        <w:rPr>
          <w:rFonts w:hint="cs"/>
          <w:rtl/>
        </w:rPr>
        <w:t>ی</w:t>
      </w:r>
      <w:r w:rsidRPr="0025250D">
        <w:rPr>
          <w:rtl/>
        </w:rPr>
        <w:t xml:space="preserve"> از فناوری‌های ما، در حال حاضر </w:t>
      </w:r>
      <w:r w:rsidRPr="0025250D">
        <w:rPr>
          <w:rFonts w:hint="cs"/>
          <w:rtl/>
        </w:rPr>
        <w:t xml:space="preserve">در </w:t>
      </w:r>
      <w:r w:rsidRPr="0025250D">
        <w:rPr>
          <w:rtl/>
        </w:rPr>
        <w:t>اوج ا</w:t>
      </w:r>
      <w:r w:rsidRPr="0025250D">
        <w:rPr>
          <w:rFonts w:hint="cs"/>
          <w:rtl/>
        </w:rPr>
        <w:t>ی</w:t>
      </w:r>
      <w:r w:rsidRPr="0025250D">
        <w:rPr>
          <w:rFonts w:hint="eastAsia"/>
          <w:rtl/>
        </w:rPr>
        <w:t>ن</w:t>
      </w:r>
      <w:r w:rsidRPr="0025250D">
        <w:rPr>
          <w:rtl/>
        </w:rPr>
        <w:t xml:space="preserve"> روند </w:t>
      </w:r>
      <w:r w:rsidRPr="0025250D">
        <w:rPr>
          <w:rFonts w:hint="cs"/>
          <w:rtl/>
        </w:rPr>
        <w:t>قرار دارند</w:t>
      </w:r>
      <w:r w:rsidRPr="0025250D">
        <w:rPr>
          <w:rtl/>
        </w:rPr>
        <w:t>، چرا بس</w:t>
      </w:r>
      <w:r w:rsidRPr="0025250D">
        <w:rPr>
          <w:rFonts w:hint="cs"/>
          <w:rtl/>
        </w:rPr>
        <w:t>ی</w:t>
      </w:r>
      <w:r w:rsidRPr="0025250D">
        <w:rPr>
          <w:rFonts w:hint="eastAsia"/>
          <w:rtl/>
        </w:rPr>
        <w:t>ار</w:t>
      </w:r>
      <w:r w:rsidRPr="0025250D">
        <w:rPr>
          <w:rFonts w:hint="cs"/>
          <w:rtl/>
        </w:rPr>
        <w:t>ی</w:t>
      </w:r>
      <w:r w:rsidRPr="0025250D">
        <w:rPr>
          <w:rtl/>
        </w:rPr>
        <w:t xml:space="preserve"> از اشکال شتاب اجتماع</w:t>
      </w:r>
      <w:r w:rsidRPr="0025250D">
        <w:rPr>
          <w:rFonts w:hint="cs"/>
          <w:rtl/>
        </w:rPr>
        <w:t>ی</w:t>
      </w:r>
      <w:r w:rsidRPr="0025250D">
        <w:rPr>
          <w:rtl/>
        </w:rPr>
        <w:t xml:space="preserve"> ادامه خواهند داشت و چرا ا</w:t>
      </w:r>
      <w:r w:rsidRPr="0025250D">
        <w:rPr>
          <w:rFonts w:hint="cs"/>
          <w:rtl/>
        </w:rPr>
        <w:t>ی</w:t>
      </w:r>
      <w:r w:rsidRPr="0025250D">
        <w:rPr>
          <w:rFonts w:hint="eastAsia"/>
          <w:rtl/>
        </w:rPr>
        <w:t>ن</w:t>
      </w:r>
      <w:r w:rsidRPr="0025250D">
        <w:rPr>
          <w:rtl/>
        </w:rPr>
        <w:t xml:space="preserve"> شتاب مستلزم آینده‌نگاری و راهنما</w:t>
      </w:r>
      <w:r w:rsidRPr="0025250D">
        <w:rPr>
          <w:rFonts w:hint="cs"/>
          <w:rtl/>
        </w:rPr>
        <w:t>یی</w:t>
      </w:r>
      <w:r w:rsidRPr="0025250D">
        <w:rPr>
          <w:rtl/>
        </w:rPr>
        <w:t xml:space="preserve"> بهتر است. با استفاده از تفکر </w:t>
      </w:r>
      <w:r w:rsidRPr="0025250D">
        <w:rPr>
          <w:rFonts w:hint="cs"/>
          <w:rtl/>
        </w:rPr>
        <w:t>تکاملی-توسعه‌ای</w:t>
      </w:r>
      <w:r w:rsidRPr="0025250D">
        <w:rPr>
          <w:rtl/>
        </w:rPr>
        <w:t>، استدلال خواه</w:t>
      </w:r>
      <w:r w:rsidRPr="0025250D">
        <w:rPr>
          <w:rFonts w:hint="cs"/>
          <w:rtl/>
        </w:rPr>
        <w:t>ی</w:t>
      </w:r>
      <w:r w:rsidRPr="0025250D">
        <w:rPr>
          <w:rFonts w:hint="eastAsia"/>
          <w:rtl/>
        </w:rPr>
        <w:t>م</w:t>
      </w:r>
      <w:r w:rsidRPr="0025250D">
        <w:rPr>
          <w:rtl/>
        </w:rPr>
        <w:t xml:space="preserve"> کرد که انتخاب طب</w:t>
      </w:r>
      <w:r w:rsidRPr="0025250D">
        <w:rPr>
          <w:rFonts w:hint="cs"/>
          <w:rtl/>
        </w:rPr>
        <w:t>ی</w:t>
      </w:r>
      <w:r w:rsidRPr="0025250D">
        <w:rPr>
          <w:rFonts w:hint="eastAsia"/>
          <w:rtl/>
        </w:rPr>
        <w:t>ع</w:t>
      </w:r>
      <w:r w:rsidRPr="0025250D">
        <w:rPr>
          <w:rFonts w:hint="cs"/>
          <w:rtl/>
        </w:rPr>
        <w:t>ی</w:t>
      </w:r>
      <w:r w:rsidRPr="0025250D">
        <w:rPr>
          <w:rtl/>
        </w:rPr>
        <w:t xml:space="preserve"> در همه سامانه‌های پ</w:t>
      </w:r>
      <w:r w:rsidRPr="0025250D">
        <w:rPr>
          <w:rFonts w:hint="cs"/>
          <w:rtl/>
        </w:rPr>
        <w:t>ی</w:t>
      </w:r>
      <w:r w:rsidRPr="0025250D">
        <w:rPr>
          <w:rFonts w:hint="eastAsia"/>
          <w:rtl/>
        </w:rPr>
        <w:t>چ</w:t>
      </w:r>
      <w:r w:rsidRPr="0025250D">
        <w:rPr>
          <w:rFonts w:hint="cs"/>
          <w:rtl/>
        </w:rPr>
        <w:t>ی</w:t>
      </w:r>
      <w:r w:rsidRPr="0025250D">
        <w:rPr>
          <w:rFonts w:hint="eastAsia"/>
          <w:rtl/>
        </w:rPr>
        <w:t>ده</w:t>
      </w:r>
      <w:r w:rsidRPr="0025250D">
        <w:rPr>
          <w:rtl/>
        </w:rPr>
        <w:t xml:space="preserve"> از دو فرآ</w:t>
      </w:r>
      <w:r w:rsidRPr="0025250D">
        <w:rPr>
          <w:rFonts w:hint="cs"/>
          <w:rtl/>
        </w:rPr>
        <w:t>ی</w:t>
      </w:r>
      <w:r w:rsidRPr="0025250D">
        <w:rPr>
          <w:rFonts w:hint="eastAsia"/>
          <w:rtl/>
        </w:rPr>
        <w:t>ند</w:t>
      </w:r>
      <w:r w:rsidRPr="0025250D">
        <w:rPr>
          <w:rtl/>
        </w:rPr>
        <w:t xml:space="preserve"> رقابت</w:t>
      </w:r>
      <w:r w:rsidRPr="0025250D">
        <w:rPr>
          <w:rFonts w:hint="cs"/>
          <w:rtl/>
        </w:rPr>
        <w:t>ی</w:t>
      </w:r>
      <w:r w:rsidRPr="0025250D">
        <w:rPr>
          <w:rtl/>
        </w:rPr>
        <w:t xml:space="preserve"> استفاده می‌کند و دو هدف اساس</w:t>
      </w:r>
      <w:r w:rsidRPr="0025250D">
        <w:rPr>
          <w:rFonts w:hint="cs"/>
          <w:rtl/>
        </w:rPr>
        <w:t>ی</w:t>
      </w:r>
      <w:r w:rsidRPr="0025250D">
        <w:rPr>
          <w:rtl/>
        </w:rPr>
        <w:t xml:space="preserve"> را دنبال می‌کند.</w:t>
      </w:r>
      <w:r w:rsidRPr="0025250D">
        <w:rPr>
          <w:rFonts w:hint="cs"/>
          <w:rtl/>
        </w:rPr>
        <w:t xml:space="preserve"> </w:t>
      </w:r>
      <w:r w:rsidRPr="0025250D">
        <w:rPr>
          <w:rtl/>
        </w:rPr>
        <w:t>سامانه‌های پ</w:t>
      </w:r>
      <w:r w:rsidRPr="0025250D">
        <w:rPr>
          <w:rFonts w:hint="cs"/>
          <w:rtl/>
        </w:rPr>
        <w:t>ی</w:t>
      </w:r>
      <w:r w:rsidRPr="0025250D">
        <w:rPr>
          <w:rFonts w:hint="eastAsia"/>
          <w:rtl/>
        </w:rPr>
        <w:t>چ</w:t>
      </w:r>
      <w:r w:rsidRPr="0025250D">
        <w:rPr>
          <w:rFonts w:hint="cs"/>
          <w:rtl/>
        </w:rPr>
        <w:t>ی</w:t>
      </w:r>
      <w:r w:rsidRPr="0025250D">
        <w:rPr>
          <w:rFonts w:hint="eastAsia"/>
          <w:rtl/>
        </w:rPr>
        <w:t>ده</w:t>
      </w:r>
      <w:r w:rsidRPr="0025250D">
        <w:rPr>
          <w:rtl/>
        </w:rPr>
        <w:t xml:space="preserve"> به‌طور دائم</w:t>
      </w:r>
      <w:r w:rsidRPr="0025250D">
        <w:rPr>
          <w:rFonts w:hint="cs"/>
          <w:rtl/>
        </w:rPr>
        <w:t>ی</w:t>
      </w:r>
      <w:r w:rsidRPr="0025250D">
        <w:rPr>
          <w:rtl/>
        </w:rPr>
        <w:t xml:space="preserve"> هم برا</w:t>
      </w:r>
      <w:r w:rsidRPr="0025250D">
        <w:rPr>
          <w:rFonts w:hint="cs"/>
          <w:rtl/>
        </w:rPr>
        <w:t>ی</w:t>
      </w:r>
      <w:r w:rsidRPr="0025250D">
        <w:rPr>
          <w:rtl/>
        </w:rPr>
        <w:t xml:space="preserve"> آزمایش‌های تکامل</w:t>
      </w:r>
      <w:r w:rsidRPr="0025250D">
        <w:rPr>
          <w:rFonts w:hint="cs"/>
          <w:rtl/>
        </w:rPr>
        <w:t>ی</w:t>
      </w:r>
      <w:r w:rsidRPr="0025250D">
        <w:rPr>
          <w:rtl/>
        </w:rPr>
        <w:t xml:space="preserve"> غیرقابل‌پیش‌بینی و هم برا</w:t>
      </w:r>
      <w:r w:rsidRPr="0025250D">
        <w:rPr>
          <w:rFonts w:hint="cs"/>
          <w:rtl/>
        </w:rPr>
        <w:t>ی</w:t>
      </w:r>
      <w:r w:rsidRPr="0025250D">
        <w:rPr>
          <w:rtl/>
        </w:rPr>
        <w:t xml:space="preserve"> حفاظت از رشد قابل پیش‌بینی انتخاب می‌شوند. تکامل و توسعه به نظر ما به </w:t>
      </w:r>
      <w:r w:rsidRPr="0025250D">
        <w:rPr>
          <w:rFonts w:hint="cs"/>
          <w:rtl/>
        </w:rPr>
        <w:t>ی</w:t>
      </w:r>
      <w:r w:rsidRPr="0025250D">
        <w:rPr>
          <w:rFonts w:hint="eastAsia"/>
          <w:rtl/>
        </w:rPr>
        <w:t>ک</w:t>
      </w:r>
      <w:r w:rsidRPr="0025250D">
        <w:rPr>
          <w:rtl/>
        </w:rPr>
        <w:t xml:space="preserve"> اندازه برا</w:t>
      </w:r>
      <w:r w:rsidRPr="0025250D">
        <w:rPr>
          <w:rFonts w:hint="cs"/>
          <w:rtl/>
        </w:rPr>
        <w:t>ی</w:t>
      </w:r>
      <w:r w:rsidRPr="0025250D">
        <w:rPr>
          <w:rtl/>
        </w:rPr>
        <w:t xml:space="preserve"> سامانه‌های انطباق</w:t>
      </w:r>
      <w:r w:rsidR="00E723FA" w:rsidRPr="0025250D">
        <w:rPr>
          <w:rFonts w:hint="cs"/>
          <w:rtl/>
        </w:rPr>
        <w:t xml:space="preserve">ی </w:t>
      </w:r>
      <w:r w:rsidRPr="0025250D">
        <w:rPr>
          <w:rtl/>
        </w:rPr>
        <w:t>اساس</w:t>
      </w:r>
      <w:r w:rsidRPr="0025250D">
        <w:rPr>
          <w:rFonts w:hint="cs"/>
          <w:rtl/>
        </w:rPr>
        <w:t>ی</w:t>
      </w:r>
      <w:r w:rsidRPr="0025250D">
        <w:rPr>
          <w:rtl/>
        </w:rPr>
        <w:t xml:space="preserve"> هستند و بنابرا</w:t>
      </w:r>
      <w:r w:rsidRPr="0025250D">
        <w:rPr>
          <w:rFonts w:hint="cs"/>
          <w:rtl/>
        </w:rPr>
        <w:t>ی</w:t>
      </w:r>
      <w:r w:rsidRPr="0025250D">
        <w:rPr>
          <w:rFonts w:hint="eastAsia"/>
          <w:rtl/>
        </w:rPr>
        <w:t>ن،</w:t>
      </w:r>
      <w:r w:rsidRPr="0025250D">
        <w:rPr>
          <w:rtl/>
        </w:rPr>
        <w:t xml:space="preserve"> درجات</w:t>
      </w:r>
      <w:r w:rsidRPr="0025250D">
        <w:rPr>
          <w:rFonts w:hint="cs"/>
          <w:rtl/>
        </w:rPr>
        <w:t>ی</w:t>
      </w:r>
      <w:r w:rsidRPr="0025250D">
        <w:rPr>
          <w:rtl/>
        </w:rPr>
        <w:t xml:space="preserve"> از تفکر تکامل</w:t>
      </w:r>
      <w:r w:rsidRPr="0025250D">
        <w:rPr>
          <w:rFonts w:hint="cs"/>
          <w:rtl/>
        </w:rPr>
        <w:t>ی</w:t>
      </w:r>
      <w:r w:rsidRPr="0025250D">
        <w:rPr>
          <w:rtl/>
        </w:rPr>
        <w:t xml:space="preserve"> و </w:t>
      </w:r>
      <w:r w:rsidRPr="0025250D">
        <w:rPr>
          <w:rFonts w:hint="cs"/>
          <w:rtl/>
        </w:rPr>
        <w:t>توسعه‌ای</w:t>
      </w:r>
      <w:r w:rsidRPr="0025250D">
        <w:rPr>
          <w:rtl/>
        </w:rPr>
        <w:t xml:space="preserve"> برا</w:t>
      </w:r>
      <w:r w:rsidRPr="0025250D">
        <w:rPr>
          <w:rFonts w:hint="cs"/>
          <w:rtl/>
        </w:rPr>
        <w:t>ی</w:t>
      </w:r>
      <w:r w:rsidRPr="0025250D">
        <w:rPr>
          <w:rtl/>
        </w:rPr>
        <w:t xml:space="preserve">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و </w:t>
      </w:r>
      <w:r w:rsidR="00701E03" w:rsidRPr="0025250D">
        <w:rPr>
          <w:rtl/>
        </w:rPr>
        <w:t>راهبرد</w:t>
      </w:r>
      <w:r w:rsidRPr="0025250D">
        <w:rPr>
          <w:rtl/>
        </w:rPr>
        <w:t xml:space="preserve"> خوب ن</w:t>
      </w:r>
      <w:r w:rsidRPr="0025250D">
        <w:rPr>
          <w:rFonts w:hint="cs"/>
          <w:rtl/>
        </w:rPr>
        <w:t>ی</w:t>
      </w:r>
      <w:r w:rsidRPr="0025250D">
        <w:rPr>
          <w:rFonts w:hint="eastAsia"/>
          <w:rtl/>
        </w:rPr>
        <w:t>ز</w:t>
      </w:r>
      <w:r w:rsidRPr="0025250D">
        <w:rPr>
          <w:rtl/>
        </w:rPr>
        <w:t xml:space="preserve"> اساس</w:t>
      </w:r>
      <w:r w:rsidRPr="0025250D">
        <w:rPr>
          <w:rFonts w:hint="cs"/>
          <w:rtl/>
        </w:rPr>
        <w:t>ی</w:t>
      </w:r>
      <w:r w:rsidRPr="0025250D">
        <w:rPr>
          <w:rtl/>
        </w:rPr>
        <w:t xml:space="preserve"> است.</w:t>
      </w:r>
    </w:p>
    <w:p w14:paraId="6A22AFE9" w14:textId="7AF6E653" w:rsidR="00B219EF" w:rsidRPr="0025250D" w:rsidRDefault="00B219EF" w:rsidP="004445C5">
      <w:pPr>
        <w:rPr>
          <w:rtl/>
        </w:rPr>
      </w:pPr>
      <w:r w:rsidRPr="0025250D">
        <w:rPr>
          <w:rtl/>
        </w:rPr>
        <w:t>درحالی‌که امروزه م</w:t>
      </w:r>
      <w:r w:rsidRPr="0025250D">
        <w:rPr>
          <w:rFonts w:hint="cs"/>
          <w:rtl/>
        </w:rPr>
        <w:t>ی‌</w:t>
      </w:r>
      <w:r w:rsidRPr="0025250D">
        <w:rPr>
          <w:rFonts w:hint="eastAsia"/>
          <w:rtl/>
        </w:rPr>
        <w:t>توان</w:t>
      </w:r>
      <w:r w:rsidRPr="0025250D">
        <w:rPr>
          <w:rFonts w:hint="cs"/>
          <w:rtl/>
        </w:rPr>
        <w:t>ی</w:t>
      </w:r>
      <w:r w:rsidRPr="0025250D">
        <w:rPr>
          <w:rFonts w:hint="eastAsia"/>
          <w:rtl/>
        </w:rPr>
        <w:t>م</w:t>
      </w:r>
      <w:r w:rsidRPr="0025250D">
        <w:rPr>
          <w:rtl/>
        </w:rPr>
        <w:t xml:space="preserve"> ا</w:t>
      </w:r>
      <w:r w:rsidRPr="0025250D">
        <w:rPr>
          <w:rFonts w:hint="cs"/>
          <w:rtl/>
        </w:rPr>
        <w:t>ی</w:t>
      </w:r>
      <w:r w:rsidRPr="0025250D">
        <w:rPr>
          <w:rFonts w:hint="eastAsia"/>
          <w:rtl/>
        </w:rPr>
        <w:t>ن</w:t>
      </w:r>
      <w:r w:rsidRPr="0025250D">
        <w:rPr>
          <w:rtl/>
        </w:rPr>
        <w:t xml:space="preserve"> دو فرآ</w:t>
      </w:r>
      <w:r w:rsidRPr="0025250D">
        <w:rPr>
          <w:rFonts w:hint="cs"/>
          <w:rtl/>
        </w:rPr>
        <w:t>ی</w:t>
      </w:r>
      <w:r w:rsidRPr="0025250D">
        <w:rPr>
          <w:rFonts w:hint="eastAsia"/>
          <w:rtl/>
        </w:rPr>
        <w:t>ند</w:t>
      </w:r>
      <w:r w:rsidRPr="0025250D">
        <w:rPr>
          <w:rtl/>
        </w:rPr>
        <w:t xml:space="preserve"> و هدف رقابت</w:t>
      </w:r>
      <w:r w:rsidRPr="0025250D">
        <w:rPr>
          <w:rFonts w:hint="cs"/>
          <w:rtl/>
        </w:rPr>
        <w:t>ی</w:t>
      </w:r>
      <w:r w:rsidRPr="0025250D">
        <w:rPr>
          <w:rtl/>
        </w:rPr>
        <w:t xml:space="preserve"> را به‌وضوح در ژنت</w:t>
      </w:r>
      <w:r w:rsidRPr="0025250D">
        <w:rPr>
          <w:rFonts w:hint="cs"/>
          <w:rtl/>
        </w:rPr>
        <w:t>ی</w:t>
      </w:r>
      <w:r w:rsidRPr="0025250D">
        <w:rPr>
          <w:rFonts w:hint="eastAsia"/>
          <w:rtl/>
        </w:rPr>
        <w:t>ک</w:t>
      </w:r>
      <w:r w:rsidRPr="0025250D">
        <w:rPr>
          <w:rtl/>
        </w:rPr>
        <w:t xml:space="preserve"> </w:t>
      </w:r>
      <w:r w:rsidRPr="0025250D">
        <w:rPr>
          <w:rFonts w:hint="cs"/>
          <w:rtl/>
        </w:rPr>
        <w:t>تکاملی-توسعه‌ای</w:t>
      </w:r>
      <w:r w:rsidRPr="0025250D">
        <w:rPr>
          <w:rtl/>
        </w:rPr>
        <w:t xml:space="preserve"> بب</w:t>
      </w:r>
      <w:r w:rsidRPr="0025250D">
        <w:rPr>
          <w:rFonts w:hint="cs"/>
          <w:rtl/>
        </w:rPr>
        <w:t>ی</w:t>
      </w:r>
      <w:r w:rsidRPr="0025250D">
        <w:rPr>
          <w:rFonts w:hint="eastAsia"/>
          <w:rtl/>
        </w:rPr>
        <w:t>ن</w:t>
      </w:r>
      <w:r w:rsidRPr="0025250D">
        <w:rPr>
          <w:rFonts w:hint="cs"/>
          <w:rtl/>
        </w:rPr>
        <w:t>ی</w:t>
      </w:r>
      <w:r w:rsidRPr="0025250D">
        <w:rPr>
          <w:rFonts w:hint="eastAsia"/>
          <w:rtl/>
        </w:rPr>
        <w:t>م،</w:t>
      </w:r>
      <w:r w:rsidRPr="0025250D">
        <w:rPr>
          <w:rtl/>
        </w:rPr>
        <w:t xml:space="preserve"> ما معتقد</w:t>
      </w:r>
      <w:r w:rsidRPr="0025250D">
        <w:rPr>
          <w:rFonts w:hint="cs"/>
          <w:rtl/>
        </w:rPr>
        <w:t>ی</w:t>
      </w:r>
      <w:r w:rsidRPr="0025250D">
        <w:rPr>
          <w:rFonts w:hint="eastAsia"/>
          <w:rtl/>
        </w:rPr>
        <w:t>م</w:t>
      </w:r>
      <w:r w:rsidRPr="0025250D">
        <w:rPr>
          <w:rtl/>
        </w:rPr>
        <w:t xml:space="preserve"> که علم (نظر</w:t>
      </w:r>
      <w:r w:rsidRPr="0025250D">
        <w:rPr>
          <w:rFonts w:hint="cs"/>
          <w:rtl/>
        </w:rPr>
        <w:t>ی</w:t>
      </w:r>
      <w:r w:rsidRPr="0025250D">
        <w:rPr>
          <w:rFonts w:hint="eastAsia"/>
          <w:rtl/>
        </w:rPr>
        <w:t>ه</w:t>
      </w:r>
      <w:r w:rsidRPr="0025250D">
        <w:rPr>
          <w:rtl/>
        </w:rPr>
        <w:t xml:space="preserve"> انتخاب چند سطح</w:t>
      </w:r>
      <w:r w:rsidRPr="0025250D">
        <w:rPr>
          <w:rFonts w:hint="cs"/>
          <w:rtl/>
        </w:rPr>
        <w:t>ی</w:t>
      </w:r>
      <w:r w:rsidRPr="0025250D">
        <w:rPr>
          <w:rtl/>
        </w:rPr>
        <w:t>) نشان خواهد داد که آن‌ها برا</w:t>
      </w:r>
      <w:r w:rsidRPr="0025250D">
        <w:rPr>
          <w:rFonts w:hint="cs"/>
          <w:rtl/>
        </w:rPr>
        <w:t>ی</w:t>
      </w:r>
      <w:r w:rsidRPr="0025250D">
        <w:rPr>
          <w:rtl/>
        </w:rPr>
        <w:t xml:space="preserve"> همه سامانه‌های پ</w:t>
      </w:r>
      <w:r w:rsidRPr="0025250D">
        <w:rPr>
          <w:rFonts w:hint="cs"/>
          <w:rtl/>
        </w:rPr>
        <w:t>ی</w:t>
      </w:r>
      <w:r w:rsidRPr="0025250D">
        <w:rPr>
          <w:rFonts w:hint="eastAsia"/>
          <w:rtl/>
        </w:rPr>
        <w:t>چ</w:t>
      </w:r>
      <w:r w:rsidRPr="0025250D">
        <w:rPr>
          <w:rFonts w:hint="cs"/>
          <w:rtl/>
        </w:rPr>
        <w:t>ی</w:t>
      </w:r>
      <w:r w:rsidRPr="0025250D">
        <w:rPr>
          <w:rFonts w:hint="eastAsia"/>
          <w:rtl/>
        </w:rPr>
        <w:t>ده</w:t>
      </w:r>
      <w:r w:rsidRPr="0025250D">
        <w:rPr>
          <w:rFonts w:hint="cs"/>
          <w:rtl/>
        </w:rPr>
        <w:t xml:space="preserve"> همتاسازِ</w:t>
      </w:r>
      <w:r w:rsidR="00E723FA" w:rsidRPr="0025250D">
        <w:rPr>
          <w:rStyle w:val="FootnoteReference"/>
          <w:rtl/>
        </w:rPr>
        <w:footnoteReference w:id="34"/>
      </w:r>
      <w:r w:rsidRPr="0025250D">
        <w:rPr>
          <w:rtl/>
        </w:rPr>
        <w:t xml:space="preserve"> (</w:t>
      </w:r>
      <w:r w:rsidR="008D6F97" w:rsidRPr="0025250D">
        <w:rPr>
          <w:rtl/>
        </w:rPr>
        <w:t>«</w:t>
      </w:r>
      <w:r w:rsidRPr="0025250D">
        <w:rPr>
          <w:rtl/>
        </w:rPr>
        <w:t>خودنوگر</w:t>
      </w:r>
      <w:r w:rsidRPr="0025250D">
        <w:rPr>
          <w:vertAlign w:val="superscript"/>
          <w:rtl/>
        </w:rPr>
        <w:footnoteReference w:id="35"/>
      </w:r>
      <w:r w:rsidR="008D6F97" w:rsidRPr="0025250D">
        <w:rPr>
          <w:rtl/>
        </w:rPr>
        <w:t>»</w:t>
      </w:r>
      <w:r w:rsidRPr="0025250D">
        <w:rPr>
          <w:rtl/>
        </w:rPr>
        <w:t>) تحت انتخاب در جهان ما کاربرد دارند. در ا</w:t>
      </w:r>
      <w:r w:rsidRPr="0025250D">
        <w:rPr>
          <w:rFonts w:hint="cs"/>
          <w:rtl/>
        </w:rPr>
        <w:t>ی</w:t>
      </w:r>
      <w:r w:rsidRPr="0025250D">
        <w:rPr>
          <w:rFonts w:hint="eastAsia"/>
          <w:rtl/>
        </w:rPr>
        <w:t>ن</w:t>
      </w:r>
      <w:r w:rsidRPr="0025250D">
        <w:rPr>
          <w:rtl/>
        </w:rPr>
        <w:t xml:space="preserve"> </w:t>
      </w:r>
      <w:r w:rsidRPr="0025250D">
        <w:rPr>
          <w:rFonts w:hint="eastAsia"/>
          <w:rtl/>
        </w:rPr>
        <w:t>کتاب،</w:t>
      </w:r>
      <w:r w:rsidRPr="0025250D">
        <w:rPr>
          <w:rtl/>
        </w:rPr>
        <w:t xml:space="preserve"> ما خطوط کل</w:t>
      </w:r>
      <w:r w:rsidRPr="0025250D">
        <w:rPr>
          <w:rFonts w:hint="cs"/>
          <w:rtl/>
        </w:rPr>
        <w:t>ی</w:t>
      </w:r>
      <w:r w:rsidRPr="0025250D">
        <w:rPr>
          <w:rtl/>
        </w:rPr>
        <w:t xml:space="preserve"> </w:t>
      </w:r>
      <w:r w:rsidRPr="0025250D">
        <w:rPr>
          <w:rFonts w:hint="cs"/>
          <w:rtl/>
        </w:rPr>
        <w:t>ی</w:t>
      </w:r>
      <w:r w:rsidRPr="0025250D">
        <w:rPr>
          <w:rFonts w:hint="eastAsia"/>
          <w:rtl/>
        </w:rPr>
        <w:t>ک</w:t>
      </w:r>
      <w:r w:rsidRPr="0025250D">
        <w:rPr>
          <w:rtl/>
        </w:rPr>
        <w:t xml:space="preserve"> روانشناس</w:t>
      </w:r>
      <w:r w:rsidRPr="0025250D">
        <w:rPr>
          <w:rFonts w:hint="cs"/>
          <w:rtl/>
        </w:rPr>
        <w:t>ی</w:t>
      </w:r>
      <w:r w:rsidRPr="0025250D">
        <w:rPr>
          <w:rtl/>
        </w:rPr>
        <w:t xml:space="preserve"> و نظر</w:t>
      </w:r>
      <w:r w:rsidRPr="0025250D">
        <w:rPr>
          <w:rFonts w:hint="cs"/>
          <w:rtl/>
        </w:rPr>
        <w:t>ی</w:t>
      </w:r>
      <w:r w:rsidRPr="0025250D">
        <w:rPr>
          <w:rFonts w:hint="eastAsia"/>
          <w:rtl/>
        </w:rPr>
        <w:t>ه</w:t>
      </w:r>
      <w:r w:rsidR="00E723FA" w:rsidRPr="0025250D">
        <w:rPr>
          <w:rFonts w:hint="cs"/>
          <w:rtl/>
        </w:rPr>
        <w:t xml:space="preserve"> </w:t>
      </w:r>
      <w:r w:rsidR="00E723FA" w:rsidRPr="0025250D">
        <w:rPr>
          <w:rtl/>
        </w:rPr>
        <w:t>در حال ظهور</w:t>
      </w:r>
      <w:r w:rsidRPr="0025250D">
        <w:rPr>
          <w:rtl/>
        </w:rPr>
        <w:t xml:space="preserve"> ارزش‌ها</w:t>
      </w:r>
      <w:r w:rsidRPr="0025250D">
        <w:rPr>
          <w:rFonts w:hint="cs"/>
          <w:rtl/>
        </w:rPr>
        <w:t>ی</w:t>
      </w:r>
      <w:r w:rsidRPr="0025250D">
        <w:rPr>
          <w:rtl/>
        </w:rPr>
        <w:t xml:space="preserve"> مبتن</w:t>
      </w:r>
      <w:r w:rsidRPr="0025250D">
        <w:rPr>
          <w:rFonts w:hint="cs"/>
          <w:rtl/>
        </w:rPr>
        <w:t>ی</w:t>
      </w:r>
      <w:r w:rsidRPr="0025250D">
        <w:rPr>
          <w:rtl/>
        </w:rPr>
        <w:t xml:space="preserve"> بر </w:t>
      </w:r>
      <w:r w:rsidRPr="0025250D">
        <w:rPr>
          <w:rFonts w:hint="cs"/>
          <w:rtl/>
        </w:rPr>
        <w:t>تکامل-توسعه</w:t>
      </w:r>
      <w:r w:rsidRPr="0025250D">
        <w:rPr>
          <w:rtl/>
        </w:rPr>
        <w:t xml:space="preserve"> را ارائه خواه</w:t>
      </w:r>
      <w:r w:rsidRPr="0025250D">
        <w:rPr>
          <w:rFonts w:hint="cs"/>
          <w:rtl/>
        </w:rPr>
        <w:t>ی</w:t>
      </w:r>
      <w:r w:rsidRPr="0025250D">
        <w:rPr>
          <w:rFonts w:hint="eastAsia"/>
          <w:rtl/>
        </w:rPr>
        <w:t>م</w:t>
      </w:r>
      <w:r w:rsidRPr="0025250D">
        <w:rPr>
          <w:rtl/>
        </w:rPr>
        <w:t xml:space="preserve"> داد.</w:t>
      </w:r>
      <w:r w:rsidRPr="0025250D">
        <w:rPr>
          <w:rFonts w:hint="cs"/>
          <w:rtl/>
        </w:rPr>
        <w:t xml:space="preserve"> </w:t>
      </w:r>
      <w:r w:rsidRPr="0025250D">
        <w:rPr>
          <w:rtl/>
        </w:rPr>
        <w:t>در کتاب 2، ما عناصر اول</w:t>
      </w:r>
      <w:r w:rsidRPr="0025250D">
        <w:rPr>
          <w:rFonts w:hint="cs"/>
          <w:rtl/>
        </w:rPr>
        <w:t>ی</w:t>
      </w:r>
      <w:r w:rsidRPr="0025250D">
        <w:rPr>
          <w:rFonts w:hint="eastAsia"/>
          <w:rtl/>
        </w:rPr>
        <w:t>ه</w:t>
      </w:r>
      <w:r w:rsidRPr="0025250D">
        <w:rPr>
          <w:rtl/>
        </w:rPr>
        <w:t xml:space="preserve"> </w:t>
      </w:r>
      <w:r w:rsidRPr="0025250D">
        <w:rPr>
          <w:rFonts w:hint="cs"/>
          <w:rtl/>
        </w:rPr>
        <w:t>ی</w:t>
      </w:r>
      <w:r w:rsidRPr="0025250D">
        <w:rPr>
          <w:rFonts w:hint="eastAsia"/>
          <w:rtl/>
        </w:rPr>
        <w:t>ک</w:t>
      </w:r>
      <w:r w:rsidRPr="0025250D">
        <w:rPr>
          <w:rtl/>
        </w:rPr>
        <w:t xml:space="preserve"> جامعه‌شناسی</w:t>
      </w:r>
      <w:r w:rsidRPr="0025250D">
        <w:rPr>
          <w:rFonts w:hint="eastAsia"/>
          <w:rtl/>
        </w:rPr>
        <w:t>،</w:t>
      </w:r>
      <w:r w:rsidRPr="0025250D">
        <w:rPr>
          <w:rtl/>
        </w:rPr>
        <w:t xml:space="preserve"> اقتصاد و علوم س</w:t>
      </w:r>
      <w:r w:rsidRPr="0025250D">
        <w:rPr>
          <w:rFonts w:hint="cs"/>
          <w:rtl/>
        </w:rPr>
        <w:t>ی</w:t>
      </w:r>
      <w:r w:rsidRPr="0025250D">
        <w:rPr>
          <w:rFonts w:hint="eastAsia"/>
          <w:rtl/>
        </w:rPr>
        <w:t>اس</w:t>
      </w:r>
      <w:r w:rsidRPr="0025250D">
        <w:rPr>
          <w:rFonts w:hint="cs"/>
          <w:rtl/>
        </w:rPr>
        <w:t>ی</w:t>
      </w:r>
      <w:r w:rsidRPr="0025250D">
        <w:rPr>
          <w:rtl/>
        </w:rPr>
        <w:t xml:space="preserve"> </w:t>
      </w:r>
      <w:r w:rsidRPr="0025250D">
        <w:rPr>
          <w:rFonts w:hint="cs"/>
          <w:rtl/>
        </w:rPr>
        <w:t>تکاملی-توسعه‌ای</w:t>
      </w:r>
      <w:r w:rsidRPr="0025250D">
        <w:rPr>
          <w:rtl/>
        </w:rPr>
        <w:t xml:space="preserve"> را ترس</w:t>
      </w:r>
      <w:r w:rsidRPr="0025250D">
        <w:rPr>
          <w:rFonts w:hint="cs"/>
          <w:rtl/>
        </w:rPr>
        <w:t>ی</w:t>
      </w:r>
      <w:r w:rsidRPr="0025250D">
        <w:rPr>
          <w:rFonts w:hint="eastAsia"/>
          <w:rtl/>
        </w:rPr>
        <w:t>م</w:t>
      </w:r>
      <w:r w:rsidRPr="0025250D">
        <w:rPr>
          <w:rtl/>
        </w:rPr>
        <w:t xml:space="preserve"> خواه</w:t>
      </w:r>
      <w:r w:rsidRPr="0025250D">
        <w:rPr>
          <w:rFonts w:hint="cs"/>
          <w:rtl/>
        </w:rPr>
        <w:t>ی</w:t>
      </w:r>
      <w:r w:rsidRPr="0025250D">
        <w:rPr>
          <w:rFonts w:hint="eastAsia"/>
          <w:rtl/>
        </w:rPr>
        <w:t>م</w:t>
      </w:r>
      <w:r w:rsidRPr="0025250D">
        <w:rPr>
          <w:rtl/>
        </w:rPr>
        <w:t xml:space="preserve"> کرد. ما هم</w:t>
      </w:r>
      <w:r w:rsidRPr="0025250D">
        <w:rPr>
          <w:rFonts w:hint="cs"/>
          <w:rtl/>
        </w:rPr>
        <w:t>ی</w:t>
      </w:r>
      <w:r w:rsidRPr="0025250D">
        <w:rPr>
          <w:rFonts w:hint="eastAsia"/>
          <w:rtl/>
        </w:rPr>
        <w:t>ن</w:t>
      </w:r>
      <w:r w:rsidRPr="0025250D">
        <w:rPr>
          <w:rtl/>
        </w:rPr>
        <w:t xml:space="preserve"> کار را برا</w:t>
      </w:r>
      <w:r w:rsidRPr="0025250D">
        <w:rPr>
          <w:rFonts w:hint="cs"/>
          <w:rtl/>
        </w:rPr>
        <w:t>ی</w:t>
      </w:r>
      <w:r w:rsidRPr="0025250D">
        <w:rPr>
          <w:rtl/>
        </w:rPr>
        <w:t xml:space="preserve"> فناور</w:t>
      </w:r>
      <w:r w:rsidRPr="0025250D">
        <w:rPr>
          <w:rFonts w:hint="cs"/>
          <w:rtl/>
        </w:rPr>
        <w:t>ی</w:t>
      </w:r>
      <w:r w:rsidRPr="0025250D">
        <w:rPr>
          <w:rtl/>
        </w:rPr>
        <w:t xml:space="preserve"> د</w:t>
      </w:r>
      <w:r w:rsidRPr="0025250D">
        <w:rPr>
          <w:rFonts w:hint="cs"/>
          <w:rtl/>
        </w:rPr>
        <w:t>ی</w:t>
      </w:r>
      <w:r w:rsidRPr="0025250D">
        <w:rPr>
          <w:rFonts w:hint="eastAsia"/>
          <w:rtl/>
        </w:rPr>
        <w:t>ج</w:t>
      </w:r>
      <w:r w:rsidRPr="0025250D">
        <w:rPr>
          <w:rFonts w:hint="cs"/>
          <w:rtl/>
        </w:rPr>
        <w:t>ی</w:t>
      </w:r>
      <w:r w:rsidRPr="0025250D">
        <w:rPr>
          <w:rFonts w:hint="eastAsia"/>
          <w:rtl/>
        </w:rPr>
        <w:t>تال</w:t>
      </w:r>
      <w:r w:rsidRPr="0025250D">
        <w:rPr>
          <w:rtl/>
        </w:rPr>
        <w:t xml:space="preserve"> خود انجام خواه</w:t>
      </w:r>
      <w:r w:rsidRPr="0025250D">
        <w:rPr>
          <w:rFonts w:hint="cs"/>
          <w:rtl/>
        </w:rPr>
        <w:t>ی</w:t>
      </w:r>
      <w:r w:rsidRPr="0025250D">
        <w:rPr>
          <w:rFonts w:hint="eastAsia"/>
          <w:rtl/>
        </w:rPr>
        <w:t>م</w:t>
      </w:r>
      <w:r w:rsidRPr="0025250D">
        <w:rPr>
          <w:rtl/>
        </w:rPr>
        <w:t xml:space="preserve"> داد و پ</w:t>
      </w:r>
      <w:r w:rsidRPr="0025250D">
        <w:rPr>
          <w:rFonts w:hint="cs"/>
          <w:rtl/>
        </w:rPr>
        <w:t>ی</w:t>
      </w:r>
      <w:r w:rsidRPr="0025250D">
        <w:rPr>
          <w:rFonts w:hint="eastAsia"/>
          <w:rtl/>
        </w:rPr>
        <w:t>شنهاد</w:t>
      </w:r>
      <w:r w:rsidRPr="0025250D">
        <w:rPr>
          <w:rtl/>
        </w:rPr>
        <w:t xml:space="preserve"> می‌کنیم که </w:t>
      </w:r>
      <w:r w:rsidRPr="0025250D">
        <w:rPr>
          <w:rFonts w:hint="cs"/>
          <w:rtl/>
        </w:rPr>
        <w:t>زیست الگوی</w:t>
      </w:r>
      <w:r w:rsidRPr="0025250D">
        <w:rPr>
          <w:vertAlign w:val="superscript"/>
          <w:rtl/>
        </w:rPr>
        <w:footnoteReference w:id="36"/>
      </w:r>
      <w:r w:rsidRPr="0025250D">
        <w:rPr>
          <w:rFonts w:hint="cs"/>
          <w:rtl/>
        </w:rPr>
        <w:t xml:space="preserve"> تکاملی-توسعه‌ای</w:t>
      </w:r>
      <w:r w:rsidRPr="0025250D">
        <w:rPr>
          <w:rtl/>
        </w:rPr>
        <w:t xml:space="preserve"> تنها مس</w:t>
      </w:r>
      <w:r w:rsidRPr="0025250D">
        <w:rPr>
          <w:rFonts w:hint="cs"/>
          <w:rtl/>
        </w:rPr>
        <w:t>ی</w:t>
      </w:r>
      <w:r w:rsidRPr="0025250D">
        <w:rPr>
          <w:rFonts w:hint="eastAsia"/>
          <w:rtl/>
        </w:rPr>
        <w:t>ر</w:t>
      </w:r>
      <w:r w:rsidRPr="0025250D">
        <w:rPr>
          <w:rFonts w:hint="cs"/>
          <w:rtl/>
        </w:rPr>
        <w:t>ی</w:t>
      </w:r>
      <w:r w:rsidR="008D6F97" w:rsidRPr="0025250D">
        <w:rPr>
          <w:rtl/>
        </w:rPr>
        <w:t xml:space="preserve"> است که</w:t>
      </w:r>
      <w:r w:rsidRPr="0025250D">
        <w:rPr>
          <w:rtl/>
        </w:rPr>
        <w:t xml:space="preserve"> برا</w:t>
      </w:r>
      <w:r w:rsidRPr="0025250D">
        <w:rPr>
          <w:rFonts w:hint="cs"/>
          <w:rtl/>
        </w:rPr>
        <w:t>ی</w:t>
      </w:r>
      <w:r w:rsidRPr="0025250D">
        <w:rPr>
          <w:rtl/>
        </w:rPr>
        <w:t xml:space="preserve"> ت</w:t>
      </w:r>
      <w:r w:rsidRPr="0025250D">
        <w:rPr>
          <w:rFonts w:hint="eastAsia"/>
          <w:rtl/>
        </w:rPr>
        <w:t>وسعه</w:t>
      </w:r>
      <w:r w:rsidRPr="0025250D">
        <w:rPr>
          <w:rtl/>
        </w:rPr>
        <w:t xml:space="preserve"> هوش مصنوع</w:t>
      </w:r>
      <w:r w:rsidRPr="0025250D">
        <w:rPr>
          <w:rFonts w:hint="cs"/>
          <w:rtl/>
        </w:rPr>
        <w:t>ی</w:t>
      </w:r>
      <w:r w:rsidRPr="0025250D">
        <w:rPr>
          <w:rtl/>
        </w:rPr>
        <w:t xml:space="preserve"> عموم</w:t>
      </w:r>
      <w:r w:rsidRPr="0025250D">
        <w:rPr>
          <w:rFonts w:hint="cs"/>
          <w:rtl/>
        </w:rPr>
        <w:t>ی</w:t>
      </w:r>
      <w:r w:rsidRPr="0025250D">
        <w:rPr>
          <w:rtl/>
        </w:rPr>
        <w:t xml:space="preserve"> به‌راحتی در دسترس است (</w:t>
      </w:r>
      <w:r w:rsidRPr="0025250D">
        <w:rPr>
          <w:rFonts w:hint="cs"/>
          <w:rtl/>
        </w:rPr>
        <w:t>ی</w:t>
      </w:r>
      <w:r w:rsidRPr="0025250D">
        <w:rPr>
          <w:rFonts w:hint="eastAsia"/>
          <w:rtl/>
        </w:rPr>
        <w:t>ک</w:t>
      </w:r>
      <w:r w:rsidRPr="0025250D">
        <w:rPr>
          <w:rtl/>
        </w:rPr>
        <w:t xml:space="preserve"> «گلوگاه توسعه</w:t>
      </w:r>
      <w:r w:rsidRPr="0025250D">
        <w:rPr>
          <w:rFonts w:hint="cs"/>
          <w:rtl/>
        </w:rPr>
        <w:t>»)</w:t>
      </w:r>
      <w:r w:rsidRPr="0025250D">
        <w:rPr>
          <w:rtl/>
        </w:rPr>
        <w:t>. ما استدلال خواه</w:t>
      </w:r>
      <w:r w:rsidRPr="0025250D">
        <w:rPr>
          <w:rFonts w:hint="cs"/>
          <w:rtl/>
        </w:rPr>
        <w:t>ی</w:t>
      </w:r>
      <w:r w:rsidRPr="0025250D">
        <w:rPr>
          <w:rFonts w:hint="eastAsia"/>
          <w:rtl/>
        </w:rPr>
        <w:t>م</w:t>
      </w:r>
      <w:r w:rsidRPr="0025250D">
        <w:rPr>
          <w:rtl/>
        </w:rPr>
        <w:t xml:space="preserve"> کرد که ا</w:t>
      </w:r>
      <w:r w:rsidRPr="0025250D">
        <w:rPr>
          <w:rFonts w:hint="cs"/>
          <w:rtl/>
        </w:rPr>
        <w:t>ی</w:t>
      </w:r>
      <w:r w:rsidRPr="0025250D">
        <w:rPr>
          <w:rFonts w:hint="eastAsia"/>
          <w:rtl/>
        </w:rPr>
        <w:t>ن</w:t>
      </w:r>
      <w:r w:rsidRPr="0025250D">
        <w:rPr>
          <w:rtl/>
        </w:rPr>
        <w:t xml:space="preserve"> بدان معناست که ماش</w:t>
      </w:r>
      <w:r w:rsidRPr="0025250D">
        <w:rPr>
          <w:rFonts w:hint="cs"/>
          <w:rtl/>
        </w:rPr>
        <w:t>ی</w:t>
      </w:r>
      <w:r w:rsidRPr="0025250D">
        <w:rPr>
          <w:rFonts w:hint="eastAsia"/>
          <w:rtl/>
        </w:rPr>
        <w:t>ن‌ها</w:t>
      </w:r>
      <w:r w:rsidRPr="0025250D">
        <w:rPr>
          <w:rFonts w:hint="cs"/>
          <w:rtl/>
        </w:rPr>
        <w:t>ی</w:t>
      </w:r>
      <w:r w:rsidRPr="0025250D">
        <w:rPr>
          <w:rtl/>
        </w:rPr>
        <w:t xml:space="preserve"> هوشمند آ</w:t>
      </w:r>
      <w:r w:rsidRPr="0025250D">
        <w:rPr>
          <w:rFonts w:hint="cs"/>
          <w:rtl/>
        </w:rPr>
        <w:t>ی</w:t>
      </w:r>
      <w:r w:rsidRPr="0025250D">
        <w:rPr>
          <w:rFonts w:hint="eastAsia"/>
          <w:rtl/>
        </w:rPr>
        <w:t>نده</w:t>
      </w:r>
      <w:r w:rsidRPr="0025250D">
        <w:rPr>
          <w:rtl/>
        </w:rPr>
        <w:t xml:space="preserve"> ما احساسات، همدل</w:t>
      </w:r>
      <w:r w:rsidRPr="0025250D">
        <w:rPr>
          <w:rFonts w:hint="cs"/>
          <w:rtl/>
        </w:rPr>
        <w:t>ی</w:t>
      </w:r>
      <w:r w:rsidRPr="0025250D">
        <w:rPr>
          <w:rFonts w:hint="eastAsia"/>
          <w:rtl/>
        </w:rPr>
        <w:t>،</w:t>
      </w:r>
      <w:r w:rsidRPr="0025250D">
        <w:rPr>
          <w:rtl/>
        </w:rPr>
        <w:t xml:space="preserve"> اخلاق و ارزش‌ها</w:t>
      </w:r>
      <w:r w:rsidRPr="0025250D">
        <w:rPr>
          <w:rFonts w:hint="cs"/>
          <w:rtl/>
        </w:rPr>
        <w:t>یی</w:t>
      </w:r>
      <w:r w:rsidRPr="0025250D">
        <w:rPr>
          <w:rtl/>
        </w:rPr>
        <w:t xml:space="preserve"> بس</w:t>
      </w:r>
      <w:r w:rsidRPr="0025250D">
        <w:rPr>
          <w:rFonts w:hint="cs"/>
          <w:rtl/>
        </w:rPr>
        <w:t>ی</w:t>
      </w:r>
      <w:r w:rsidRPr="0025250D">
        <w:rPr>
          <w:rFonts w:hint="eastAsia"/>
          <w:rtl/>
        </w:rPr>
        <w:t>ار</w:t>
      </w:r>
      <w:r w:rsidRPr="0025250D">
        <w:rPr>
          <w:rtl/>
        </w:rPr>
        <w:t xml:space="preserve"> </w:t>
      </w:r>
      <w:r w:rsidRPr="0025250D">
        <w:rPr>
          <w:rtl/>
        </w:rPr>
        <w:lastRenderedPageBreak/>
        <w:t>شب</w:t>
      </w:r>
      <w:r w:rsidRPr="0025250D">
        <w:rPr>
          <w:rFonts w:hint="cs"/>
          <w:rtl/>
        </w:rPr>
        <w:t>ی</w:t>
      </w:r>
      <w:r w:rsidRPr="0025250D">
        <w:rPr>
          <w:rFonts w:hint="eastAsia"/>
          <w:rtl/>
        </w:rPr>
        <w:t>ه</w:t>
      </w:r>
      <w:r w:rsidRPr="0025250D">
        <w:rPr>
          <w:rtl/>
        </w:rPr>
        <w:t xml:space="preserve"> به هوش ما خواهند داشت.</w:t>
      </w:r>
      <w:r w:rsidRPr="0025250D">
        <w:rPr>
          <w:rFonts w:hint="cs"/>
          <w:rtl/>
        </w:rPr>
        <w:t xml:space="preserve"> </w:t>
      </w:r>
      <w:r w:rsidRPr="0025250D">
        <w:rPr>
          <w:rtl/>
        </w:rPr>
        <w:t>به‌عبارت‌دیگر</w:t>
      </w:r>
      <w:r w:rsidRPr="0025250D">
        <w:rPr>
          <w:rFonts w:hint="eastAsia"/>
          <w:rtl/>
        </w:rPr>
        <w:t>،</w:t>
      </w:r>
      <w:r w:rsidRPr="0025250D">
        <w:rPr>
          <w:rtl/>
        </w:rPr>
        <w:t xml:space="preserve"> آ</w:t>
      </w:r>
      <w:r w:rsidRPr="0025250D">
        <w:rPr>
          <w:rFonts w:hint="cs"/>
          <w:rtl/>
        </w:rPr>
        <w:t>ی</w:t>
      </w:r>
      <w:r w:rsidRPr="0025250D">
        <w:rPr>
          <w:rFonts w:hint="eastAsia"/>
          <w:rtl/>
        </w:rPr>
        <w:t>نده</w:t>
      </w:r>
      <w:r w:rsidRPr="0025250D">
        <w:rPr>
          <w:rtl/>
        </w:rPr>
        <w:t xml:space="preserve"> ما حاو</w:t>
      </w:r>
      <w:r w:rsidRPr="0025250D">
        <w:rPr>
          <w:rFonts w:hint="cs"/>
          <w:rtl/>
        </w:rPr>
        <w:t>ی</w:t>
      </w:r>
      <w:r w:rsidRPr="0025250D">
        <w:rPr>
          <w:rtl/>
        </w:rPr>
        <w:t xml:space="preserve"> بس</w:t>
      </w:r>
      <w:r w:rsidRPr="0025250D">
        <w:rPr>
          <w:rFonts w:hint="cs"/>
          <w:rtl/>
        </w:rPr>
        <w:t>ی</w:t>
      </w:r>
      <w:r w:rsidRPr="0025250D">
        <w:rPr>
          <w:rFonts w:hint="eastAsia"/>
          <w:rtl/>
        </w:rPr>
        <w:t>ار</w:t>
      </w:r>
      <w:r w:rsidRPr="0025250D">
        <w:rPr>
          <w:rFonts w:hint="cs"/>
          <w:rtl/>
        </w:rPr>
        <w:t>ی</w:t>
      </w:r>
      <w:r w:rsidRPr="0025250D">
        <w:rPr>
          <w:rtl/>
        </w:rPr>
        <w:t xml:space="preserve"> از </w:t>
      </w:r>
      <w:r w:rsidRPr="0025250D">
        <w:rPr>
          <w:rFonts w:hint="cs"/>
          <w:rtl/>
        </w:rPr>
        <w:t>مؤلفه‌های</w:t>
      </w:r>
      <w:r w:rsidRPr="0025250D">
        <w:rPr>
          <w:rtl/>
        </w:rPr>
        <w:t xml:space="preserve"> </w:t>
      </w:r>
      <w:r w:rsidRPr="0025250D">
        <w:rPr>
          <w:rFonts w:hint="cs"/>
          <w:rtl/>
        </w:rPr>
        <w:t>توسعه‌ای</w:t>
      </w:r>
      <w:r w:rsidRPr="0025250D">
        <w:rPr>
          <w:rtl/>
        </w:rPr>
        <w:t xml:space="preserve"> حک</w:t>
      </w:r>
      <w:r w:rsidRPr="0025250D">
        <w:rPr>
          <w:rFonts w:hint="cs"/>
          <w:rtl/>
        </w:rPr>
        <w:t>ی</w:t>
      </w:r>
      <w:r w:rsidRPr="0025250D">
        <w:rPr>
          <w:rFonts w:hint="eastAsia"/>
          <w:rtl/>
        </w:rPr>
        <w:t>مانه،</w:t>
      </w:r>
      <w:r w:rsidRPr="0025250D">
        <w:rPr>
          <w:rtl/>
        </w:rPr>
        <w:t xml:space="preserve"> قابل پیش‌بینی</w:t>
      </w:r>
      <w:r w:rsidRPr="0025250D">
        <w:rPr>
          <w:rFonts w:hint="eastAsia"/>
          <w:rtl/>
        </w:rPr>
        <w:t>،</w:t>
      </w:r>
      <w:r w:rsidRPr="0025250D">
        <w:rPr>
          <w:rtl/>
        </w:rPr>
        <w:t xml:space="preserve"> محافظ و محدودکننده از حال و گذشته ما خواهد بود.</w:t>
      </w:r>
    </w:p>
    <w:p w14:paraId="4FC35D1A" w14:textId="7290913A" w:rsidR="00B219EF" w:rsidRPr="0025250D" w:rsidRDefault="00B219EF" w:rsidP="004445C5">
      <w:pPr>
        <w:rPr>
          <w:rtl/>
        </w:rPr>
      </w:pPr>
      <w:r w:rsidRPr="0025250D">
        <w:rPr>
          <w:rtl/>
        </w:rPr>
        <w:t>در سراسر ا</w:t>
      </w:r>
      <w:r w:rsidRPr="0025250D">
        <w:rPr>
          <w:rFonts w:hint="cs"/>
          <w:rtl/>
        </w:rPr>
        <w:t>ی</w:t>
      </w:r>
      <w:r w:rsidRPr="0025250D">
        <w:rPr>
          <w:rFonts w:hint="eastAsia"/>
          <w:rtl/>
        </w:rPr>
        <w:t>ن</w:t>
      </w:r>
      <w:r w:rsidRPr="0025250D">
        <w:rPr>
          <w:rtl/>
        </w:rPr>
        <w:t xml:space="preserve"> راهنما با تعداد ز</w:t>
      </w:r>
      <w:r w:rsidRPr="0025250D">
        <w:rPr>
          <w:rFonts w:hint="cs"/>
          <w:rtl/>
        </w:rPr>
        <w:t>ی</w:t>
      </w:r>
      <w:r w:rsidRPr="0025250D">
        <w:rPr>
          <w:rFonts w:hint="eastAsia"/>
          <w:rtl/>
        </w:rPr>
        <w:t>اد</w:t>
      </w:r>
      <w:r w:rsidRPr="0025250D">
        <w:rPr>
          <w:rFonts w:hint="cs"/>
          <w:rtl/>
        </w:rPr>
        <w:t>ی</w:t>
      </w:r>
      <w:r w:rsidRPr="0025250D">
        <w:rPr>
          <w:rtl/>
        </w:rPr>
        <w:t xml:space="preserve"> </w:t>
      </w:r>
      <w:r w:rsidRPr="0025250D">
        <w:rPr>
          <w:rFonts w:hint="cs"/>
          <w:rtl/>
        </w:rPr>
        <w:t xml:space="preserve">از </w:t>
      </w:r>
      <w:r w:rsidRPr="0025250D">
        <w:rPr>
          <w:rtl/>
        </w:rPr>
        <w:t>کتاب‌های</w:t>
      </w:r>
      <w:r w:rsidRPr="0025250D">
        <w:rPr>
          <w:rFonts w:hint="cs"/>
          <w:rtl/>
        </w:rPr>
        <w:t xml:space="preserve"> </w:t>
      </w:r>
      <w:r w:rsidRPr="0025250D">
        <w:rPr>
          <w:rtl/>
        </w:rPr>
        <w:t>مرجع مواجه خواه</w:t>
      </w:r>
      <w:r w:rsidRPr="0025250D">
        <w:rPr>
          <w:rFonts w:hint="cs"/>
          <w:rtl/>
        </w:rPr>
        <w:t>ی</w:t>
      </w:r>
      <w:r w:rsidRPr="0025250D">
        <w:rPr>
          <w:rFonts w:hint="eastAsia"/>
          <w:rtl/>
        </w:rPr>
        <w:t>د</w:t>
      </w:r>
      <w:r w:rsidRPr="0025250D">
        <w:rPr>
          <w:rtl/>
        </w:rPr>
        <w:t xml:space="preserve"> شد. ما بهتر</w:t>
      </w:r>
      <w:r w:rsidRPr="0025250D">
        <w:rPr>
          <w:rFonts w:hint="cs"/>
          <w:rtl/>
        </w:rPr>
        <w:t>ی</w:t>
      </w:r>
      <w:r w:rsidRPr="0025250D">
        <w:rPr>
          <w:rFonts w:hint="eastAsia"/>
          <w:rtl/>
        </w:rPr>
        <w:t>ن</w:t>
      </w:r>
      <w:r w:rsidRPr="0025250D">
        <w:rPr>
          <w:rtl/>
        </w:rPr>
        <w:t xml:space="preserve"> کتاب‌ها</w:t>
      </w:r>
      <w:r w:rsidRPr="0025250D">
        <w:rPr>
          <w:rFonts w:hint="cs"/>
          <w:rtl/>
        </w:rPr>
        <w:t>یی</w:t>
      </w:r>
      <w:r w:rsidRPr="0025250D">
        <w:rPr>
          <w:rtl/>
        </w:rPr>
        <w:t xml:space="preserve"> </w:t>
      </w:r>
      <w:r w:rsidRPr="0025250D">
        <w:rPr>
          <w:rFonts w:hint="cs"/>
          <w:rtl/>
        </w:rPr>
        <w:t xml:space="preserve">که </w:t>
      </w:r>
      <w:r w:rsidRPr="0025250D">
        <w:rPr>
          <w:rtl/>
        </w:rPr>
        <w:t>در زم</w:t>
      </w:r>
      <w:r w:rsidRPr="0025250D">
        <w:rPr>
          <w:rFonts w:hint="cs"/>
          <w:rtl/>
        </w:rPr>
        <w:t>ی</w:t>
      </w:r>
      <w:r w:rsidRPr="0025250D">
        <w:rPr>
          <w:rFonts w:hint="eastAsia"/>
          <w:rtl/>
        </w:rPr>
        <w:t>نه‌ها</w:t>
      </w:r>
      <w:r w:rsidRPr="0025250D">
        <w:rPr>
          <w:rFonts w:hint="cs"/>
          <w:rtl/>
        </w:rPr>
        <w:t>ی</w:t>
      </w:r>
      <w:r w:rsidRPr="0025250D">
        <w:rPr>
          <w:rtl/>
        </w:rPr>
        <w:t xml:space="preserve"> متنوع</w:t>
      </w:r>
      <w:r w:rsidRPr="0025250D">
        <w:rPr>
          <w:rFonts w:hint="cs"/>
          <w:rtl/>
        </w:rPr>
        <w:t>ی</w:t>
      </w:r>
      <w:r w:rsidRPr="0025250D">
        <w:rPr>
          <w:rtl/>
        </w:rPr>
        <w:t xml:space="preserve"> از موضوعات مرتبط با آ</w:t>
      </w:r>
      <w:r w:rsidRPr="0025250D">
        <w:rPr>
          <w:rFonts w:hint="cs"/>
          <w:rtl/>
        </w:rPr>
        <w:t>ی</w:t>
      </w:r>
      <w:r w:rsidRPr="0025250D">
        <w:rPr>
          <w:rFonts w:hint="eastAsia"/>
          <w:rtl/>
        </w:rPr>
        <w:t>نده‌نگار</w:t>
      </w:r>
      <w:r w:rsidRPr="0025250D">
        <w:rPr>
          <w:rFonts w:hint="cs"/>
          <w:rtl/>
        </w:rPr>
        <w:t>ی</w:t>
      </w:r>
      <w:r w:rsidR="00E723FA" w:rsidRPr="0025250D">
        <w:rPr>
          <w:rFonts w:hint="cs"/>
          <w:rtl/>
        </w:rPr>
        <w:t xml:space="preserve"> </w:t>
      </w:r>
      <w:r w:rsidRPr="0025250D">
        <w:rPr>
          <w:rtl/>
        </w:rPr>
        <w:t>م</w:t>
      </w:r>
      <w:r w:rsidRPr="0025250D">
        <w:rPr>
          <w:rFonts w:hint="cs"/>
          <w:rtl/>
        </w:rPr>
        <w:t>ی‌</w:t>
      </w:r>
      <w:r w:rsidRPr="0025250D">
        <w:rPr>
          <w:rFonts w:hint="eastAsia"/>
          <w:rtl/>
        </w:rPr>
        <w:t>شناس</w:t>
      </w:r>
      <w:r w:rsidRPr="0025250D">
        <w:rPr>
          <w:rFonts w:hint="cs"/>
          <w:rtl/>
        </w:rPr>
        <w:t>ی</w:t>
      </w:r>
      <w:r w:rsidRPr="0025250D">
        <w:rPr>
          <w:rFonts w:hint="eastAsia"/>
          <w:rtl/>
        </w:rPr>
        <w:t>م</w:t>
      </w:r>
      <w:r w:rsidR="00E723FA" w:rsidRPr="0025250D">
        <w:rPr>
          <w:rFonts w:hint="cs"/>
          <w:rtl/>
        </w:rPr>
        <w:t xml:space="preserve"> را</w:t>
      </w:r>
      <w:r w:rsidRPr="0025250D">
        <w:rPr>
          <w:rtl/>
        </w:rPr>
        <w:t xml:space="preserve"> ذکر خواه</w:t>
      </w:r>
      <w:r w:rsidRPr="0025250D">
        <w:rPr>
          <w:rFonts w:hint="cs"/>
          <w:rtl/>
        </w:rPr>
        <w:t>ی</w:t>
      </w:r>
      <w:r w:rsidRPr="0025250D">
        <w:rPr>
          <w:rFonts w:hint="eastAsia"/>
          <w:rtl/>
        </w:rPr>
        <w:t>م</w:t>
      </w:r>
      <w:r w:rsidRPr="0025250D">
        <w:rPr>
          <w:rtl/>
        </w:rPr>
        <w:t xml:space="preserve"> کرد. ما پ</w:t>
      </w:r>
      <w:r w:rsidRPr="0025250D">
        <w:rPr>
          <w:rFonts w:hint="cs"/>
          <w:rtl/>
        </w:rPr>
        <w:t>ی</w:t>
      </w:r>
      <w:r w:rsidRPr="0025250D">
        <w:rPr>
          <w:rFonts w:hint="eastAsia"/>
          <w:rtl/>
        </w:rPr>
        <w:t>شنهاد</w:t>
      </w:r>
      <w:r w:rsidRPr="0025250D">
        <w:rPr>
          <w:rtl/>
        </w:rPr>
        <w:t xml:space="preserve"> می‌کنیم که دانشجو</w:t>
      </w:r>
      <w:r w:rsidRPr="0025250D">
        <w:rPr>
          <w:rFonts w:hint="cs"/>
          <w:rtl/>
        </w:rPr>
        <w:t>ی</w:t>
      </w:r>
      <w:r w:rsidRPr="0025250D">
        <w:rPr>
          <w:rFonts w:hint="eastAsia"/>
          <w:rtl/>
        </w:rPr>
        <w:t>ان</w:t>
      </w:r>
      <w:r w:rsidRPr="0025250D">
        <w:rPr>
          <w:rtl/>
        </w:rPr>
        <w:t xml:space="preserve"> و رهبران با</w:t>
      </w:r>
      <w:r w:rsidRPr="0025250D">
        <w:rPr>
          <w:rFonts w:hint="cs"/>
          <w:rtl/>
        </w:rPr>
        <w:t>ی</w:t>
      </w:r>
      <w:r w:rsidRPr="0025250D">
        <w:rPr>
          <w:rFonts w:hint="eastAsia"/>
          <w:rtl/>
        </w:rPr>
        <w:t>د</w:t>
      </w:r>
      <w:r w:rsidRPr="0025250D">
        <w:rPr>
          <w:rtl/>
        </w:rPr>
        <w:t xml:space="preserve"> </w:t>
      </w:r>
      <w:r w:rsidRPr="0025250D">
        <w:rPr>
          <w:rFonts w:hint="cs"/>
          <w:rtl/>
        </w:rPr>
        <w:t>در نظر داشته باشند</w:t>
      </w:r>
      <w:r w:rsidRPr="0025250D">
        <w:rPr>
          <w:rtl/>
        </w:rPr>
        <w:t xml:space="preserve"> که هفته‌ای </w:t>
      </w:r>
      <w:r w:rsidRPr="0025250D">
        <w:rPr>
          <w:rFonts w:hint="cs"/>
          <w:rtl/>
        </w:rPr>
        <w:t>ی</w:t>
      </w:r>
      <w:r w:rsidRPr="0025250D">
        <w:rPr>
          <w:rFonts w:hint="eastAsia"/>
          <w:rtl/>
        </w:rPr>
        <w:t>ک</w:t>
      </w:r>
      <w:r w:rsidRPr="0025250D">
        <w:rPr>
          <w:rtl/>
        </w:rPr>
        <w:t xml:space="preserve"> کتاب جد</w:t>
      </w:r>
      <w:r w:rsidRPr="0025250D">
        <w:rPr>
          <w:rFonts w:hint="cs"/>
          <w:rtl/>
        </w:rPr>
        <w:t>ی</w:t>
      </w:r>
      <w:r w:rsidRPr="0025250D">
        <w:rPr>
          <w:rFonts w:hint="eastAsia"/>
          <w:rtl/>
        </w:rPr>
        <w:t>د</w:t>
      </w:r>
      <w:r w:rsidRPr="0025250D">
        <w:rPr>
          <w:rFonts w:hint="cs"/>
          <w:rtl/>
        </w:rPr>
        <w:t xml:space="preserve"> به روش</w:t>
      </w:r>
      <w:r w:rsidRPr="0025250D">
        <w:rPr>
          <w:rtl/>
        </w:rPr>
        <w:t xml:space="preserve"> </w:t>
      </w:r>
      <w:r w:rsidR="008D6F97" w:rsidRPr="0025250D">
        <w:rPr>
          <w:rtl/>
        </w:rPr>
        <w:t>«</w:t>
      </w:r>
      <w:r w:rsidRPr="0025250D">
        <w:rPr>
          <w:rFonts w:hint="cs"/>
          <w:rtl/>
        </w:rPr>
        <w:t>مطالعه اسپرینت</w:t>
      </w:r>
      <w:r w:rsidRPr="0025250D">
        <w:rPr>
          <w:vertAlign w:val="superscript"/>
          <w:rtl/>
        </w:rPr>
        <w:footnoteReference w:id="37"/>
      </w:r>
      <w:r w:rsidR="008D6F97" w:rsidRPr="0025250D">
        <w:rPr>
          <w:rtl/>
        </w:rPr>
        <w:t>»</w:t>
      </w:r>
      <w:r w:rsidRPr="0025250D">
        <w:rPr>
          <w:rFonts w:hint="cs"/>
          <w:rtl/>
        </w:rPr>
        <w:t xml:space="preserve"> مطالعه کنند</w:t>
      </w:r>
      <w:r w:rsidRPr="0025250D">
        <w:rPr>
          <w:rtl/>
        </w:rPr>
        <w:t xml:space="preserve"> و چند ساعت </w:t>
      </w:r>
      <w:r w:rsidRPr="0025250D">
        <w:rPr>
          <w:rFonts w:hint="cs"/>
          <w:rtl/>
        </w:rPr>
        <w:t>برای</w:t>
      </w:r>
      <w:r w:rsidRPr="0025250D">
        <w:rPr>
          <w:rtl/>
        </w:rPr>
        <w:t xml:space="preserve"> هرکدام وقت بگذارند.</w:t>
      </w:r>
      <w:r w:rsidRPr="0025250D">
        <w:rPr>
          <w:rFonts w:hint="cs"/>
          <w:rtl/>
        </w:rPr>
        <w:t xml:space="preserve"> </w:t>
      </w:r>
      <w:r w:rsidRPr="0025250D">
        <w:rPr>
          <w:rtl/>
        </w:rPr>
        <w:t>برا</w:t>
      </w:r>
      <w:r w:rsidRPr="0025250D">
        <w:rPr>
          <w:rFonts w:hint="cs"/>
          <w:rtl/>
        </w:rPr>
        <w:t>ی</w:t>
      </w:r>
      <w:r w:rsidRPr="0025250D">
        <w:rPr>
          <w:rtl/>
        </w:rPr>
        <w:t xml:space="preserve"> نکات</w:t>
      </w:r>
      <w:r w:rsidRPr="0025250D">
        <w:rPr>
          <w:rFonts w:hint="cs"/>
          <w:rtl/>
        </w:rPr>
        <w:t>ی</w:t>
      </w:r>
      <w:r w:rsidRPr="0025250D">
        <w:rPr>
          <w:rtl/>
        </w:rPr>
        <w:t xml:space="preserve"> در مورد نحوه انجام ا</w:t>
      </w:r>
      <w:r w:rsidRPr="0025250D">
        <w:rPr>
          <w:rFonts w:hint="cs"/>
          <w:rtl/>
        </w:rPr>
        <w:t>ی</w:t>
      </w:r>
      <w:r w:rsidRPr="0025250D">
        <w:rPr>
          <w:rFonts w:hint="eastAsia"/>
          <w:rtl/>
        </w:rPr>
        <w:t>ن</w:t>
      </w:r>
      <w:r w:rsidRPr="0025250D">
        <w:rPr>
          <w:rtl/>
        </w:rPr>
        <w:t xml:space="preserve"> کار، </w:t>
      </w:r>
      <w:r w:rsidRPr="0025250D">
        <w:rPr>
          <w:rFonts w:hint="cs"/>
          <w:rtl/>
        </w:rPr>
        <w:t>مطالعه اسپرینت</w:t>
      </w:r>
      <w:r w:rsidRPr="0025250D">
        <w:rPr>
          <w:rtl/>
        </w:rPr>
        <w:t xml:space="preserve"> را در فصل 5 بب</w:t>
      </w:r>
      <w:r w:rsidRPr="0025250D">
        <w:rPr>
          <w:rFonts w:hint="cs"/>
          <w:rtl/>
        </w:rPr>
        <w:t>ی</w:t>
      </w:r>
      <w:r w:rsidRPr="0025250D">
        <w:rPr>
          <w:rFonts w:hint="eastAsia"/>
          <w:rtl/>
        </w:rPr>
        <w:t>ن</w:t>
      </w:r>
      <w:r w:rsidRPr="0025250D">
        <w:rPr>
          <w:rFonts w:hint="cs"/>
          <w:rtl/>
        </w:rPr>
        <w:t>ی</w:t>
      </w:r>
      <w:r w:rsidRPr="0025250D">
        <w:rPr>
          <w:rFonts w:hint="eastAsia"/>
          <w:rtl/>
        </w:rPr>
        <w:t>د</w:t>
      </w:r>
      <w:r w:rsidRPr="0025250D">
        <w:rPr>
          <w:rtl/>
        </w:rPr>
        <w:t>. ما همچن</w:t>
      </w:r>
      <w:r w:rsidRPr="0025250D">
        <w:rPr>
          <w:rFonts w:hint="cs"/>
          <w:rtl/>
        </w:rPr>
        <w:t>ی</w:t>
      </w:r>
      <w:r w:rsidRPr="0025250D">
        <w:rPr>
          <w:rFonts w:hint="eastAsia"/>
          <w:rtl/>
        </w:rPr>
        <w:t>ن</w:t>
      </w:r>
      <w:r w:rsidRPr="0025250D">
        <w:rPr>
          <w:rtl/>
        </w:rPr>
        <w:t xml:space="preserve"> توص</w:t>
      </w:r>
      <w:r w:rsidRPr="0025250D">
        <w:rPr>
          <w:rFonts w:hint="cs"/>
          <w:rtl/>
        </w:rPr>
        <w:t>ی</w:t>
      </w:r>
      <w:r w:rsidRPr="0025250D">
        <w:rPr>
          <w:rFonts w:hint="eastAsia"/>
          <w:rtl/>
        </w:rPr>
        <w:t>ه</w:t>
      </w:r>
      <w:r w:rsidRPr="0025250D">
        <w:rPr>
          <w:rtl/>
        </w:rPr>
        <w:t xml:space="preserve"> م</w:t>
      </w:r>
      <w:r w:rsidRPr="0025250D">
        <w:rPr>
          <w:rFonts w:hint="cs"/>
          <w:rtl/>
        </w:rPr>
        <w:t>ی‌</w:t>
      </w:r>
      <w:r w:rsidRPr="0025250D">
        <w:rPr>
          <w:rFonts w:hint="eastAsia"/>
          <w:rtl/>
        </w:rPr>
        <w:t>کن</w:t>
      </w:r>
      <w:r w:rsidRPr="0025250D">
        <w:rPr>
          <w:rFonts w:hint="cs"/>
          <w:rtl/>
        </w:rPr>
        <w:t>ی</w:t>
      </w:r>
      <w:r w:rsidRPr="0025250D">
        <w:rPr>
          <w:rFonts w:hint="eastAsia"/>
          <w:rtl/>
        </w:rPr>
        <w:t>م</w:t>
      </w:r>
      <w:r w:rsidRPr="0025250D">
        <w:rPr>
          <w:rtl/>
        </w:rPr>
        <w:t xml:space="preserve"> که ابتدا ا</w:t>
      </w:r>
      <w:r w:rsidRPr="0025250D">
        <w:rPr>
          <w:rFonts w:hint="cs"/>
          <w:rtl/>
        </w:rPr>
        <w:t>ی</w:t>
      </w:r>
      <w:r w:rsidRPr="0025250D">
        <w:rPr>
          <w:rFonts w:hint="eastAsia"/>
          <w:rtl/>
        </w:rPr>
        <w:t>ن</w:t>
      </w:r>
      <w:r w:rsidRPr="0025250D">
        <w:rPr>
          <w:rtl/>
        </w:rPr>
        <w:t xml:space="preserve"> کتاب را به‌سرعت بخوان</w:t>
      </w:r>
      <w:r w:rsidRPr="0025250D">
        <w:rPr>
          <w:rFonts w:hint="cs"/>
          <w:rtl/>
        </w:rPr>
        <w:t>ی</w:t>
      </w:r>
      <w:r w:rsidRPr="0025250D">
        <w:rPr>
          <w:rFonts w:hint="eastAsia"/>
          <w:rtl/>
        </w:rPr>
        <w:t>د،</w:t>
      </w:r>
      <w:r w:rsidRPr="0025250D">
        <w:rPr>
          <w:rtl/>
        </w:rPr>
        <w:t xml:space="preserve"> فقط </w:t>
      </w:r>
      <w:r w:rsidRPr="0025250D">
        <w:rPr>
          <w:rFonts w:hint="cs"/>
          <w:rtl/>
        </w:rPr>
        <w:t>ی</w:t>
      </w:r>
      <w:r w:rsidRPr="0025250D">
        <w:rPr>
          <w:rFonts w:hint="eastAsia"/>
          <w:rtl/>
        </w:rPr>
        <w:t>ک</w:t>
      </w:r>
      <w:r w:rsidRPr="0025250D">
        <w:rPr>
          <w:rtl/>
        </w:rPr>
        <w:t xml:space="preserve"> </w:t>
      </w:r>
      <w:r w:rsidRPr="0025250D">
        <w:rPr>
          <w:rFonts w:hint="cs"/>
          <w:rtl/>
        </w:rPr>
        <w:t>ی</w:t>
      </w:r>
      <w:r w:rsidRPr="0025250D">
        <w:rPr>
          <w:rFonts w:hint="eastAsia"/>
          <w:rtl/>
        </w:rPr>
        <w:t>ا</w:t>
      </w:r>
      <w:r w:rsidRPr="0025250D">
        <w:rPr>
          <w:rtl/>
        </w:rPr>
        <w:t xml:space="preserve"> سه ساعت از وقت گران‌بهای خود را به آن اختصاص ده</w:t>
      </w:r>
      <w:r w:rsidRPr="0025250D">
        <w:rPr>
          <w:rFonts w:hint="cs"/>
          <w:rtl/>
        </w:rPr>
        <w:t>ی</w:t>
      </w:r>
      <w:r w:rsidRPr="0025250D">
        <w:rPr>
          <w:rFonts w:hint="eastAsia"/>
          <w:rtl/>
        </w:rPr>
        <w:t>د</w:t>
      </w:r>
      <w:r w:rsidRPr="0025250D">
        <w:rPr>
          <w:rtl/>
        </w:rPr>
        <w:t xml:space="preserve"> و بعداً فقط درصورت</w:t>
      </w:r>
      <w:r w:rsidRPr="0025250D">
        <w:rPr>
          <w:rFonts w:hint="cs"/>
          <w:rtl/>
        </w:rPr>
        <w:t>ی‌</w:t>
      </w:r>
      <w:r w:rsidRPr="0025250D">
        <w:rPr>
          <w:rFonts w:hint="eastAsia"/>
          <w:rtl/>
        </w:rPr>
        <w:t>که</w:t>
      </w:r>
      <w:r w:rsidRPr="0025250D">
        <w:rPr>
          <w:rtl/>
        </w:rPr>
        <w:t xml:space="preserve"> بعد از آن </w:t>
      </w:r>
      <w:r w:rsidRPr="0025250D">
        <w:rPr>
          <w:rFonts w:hint="cs"/>
          <w:rtl/>
        </w:rPr>
        <w:t>اسپرینت</w:t>
      </w:r>
      <w:r w:rsidRPr="0025250D">
        <w:rPr>
          <w:rtl/>
        </w:rPr>
        <w:t xml:space="preserve"> اول</w:t>
      </w:r>
      <w:r w:rsidRPr="0025250D">
        <w:rPr>
          <w:rFonts w:hint="cs"/>
          <w:rtl/>
        </w:rPr>
        <w:t>ی</w:t>
      </w:r>
      <w:r w:rsidRPr="0025250D">
        <w:rPr>
          <w:rFonts w:hint="eastAsia"/>
          <w:rtl/>
        </w:rPr>
        <w:t>ه</w:t>
      </w:r>
      <w:r w:rsidRPr="0025250D">
        <w:rPr>
          <w:rtl/>
        </w:rPr>
        <w:t xml:space="preserve"> «</w:t>
      </w:r>
      <w:r w:rsidRPr="0025250D">
        <w:rPr>
          <w:rFonts w:hint="cs"/>
          <w:rtl/>
        </w:rPr>
        <w:t>در ذهن شما تداعی شود</w:t>
      </w:r>
      <w:r w:rsidRPr="0025250D">
        <w:rPr>
          <w:rFonts w:hint="eastAsia"/>
          <w:rtl/>
        </w:rPr>
        <w:t>»</w:t>
      </w:r>
      <w:r w:rsidRPr="0025250D">
        <w:rPr>
          <w:rtl/>
        </w:rPr>
        <w:t xml:space="preserve"> به آن بازگرد</w:t>
      </w:r>
      <w:r w:rsidRPr="0025250D">
        <w:rPr>
          <w:rFonts w:hint="cs"/>
          <w:rtl/>
        </w:rPr>
        <w:t>ی</w:t>
      </w:r>
      <w:r w:rsidRPr="0025250D">
        <w:rPr>
          <w:rFonts w:hint="eastAsia"/>
          <w:rtl/>
        </w:rPr>
        <w:t>د</w:t>
      </w:r>
      <w:r w:rsidRPr="0025250D">
        <w:rPr>
          <w:rtl/>
        </w:rPr>
        <w:t>. هنگامی‌که ما به‌سرعت مطالعه م</w:t>
      </w:r>
      <w:r w:rsidRPr="0025250D">
        <w:rPr>
          <w:rFonts w:hint="cs"/>
          <w:rtl/>
        </w:rPr>
        <w:t>ی‌</w:t>
      </w:r>
      <w:r w:rsidRPr="0025250D">
        <w:rPr>
          <w:rFonts w:hint="eastAsia"/>
          <w:rtl/>
        </w:rPr>
        <w:t>کن</w:t>
      </w:r>
      <w:r w:rsidRPr="0025250D">
        <w:rPr>
          <w:rFonts w:hint="cs"/>
          <w:rtl/>
        </w:rPr>
        <w:t>ی</w:t>
      </w:r>
      <w:r w:rsidRPr="0025250D">
        <w:rPr>
          <w:rFonts w:hint="eastAsia"/>
          <w:rtl/>
        </w:rPr>
        <w:t>م،</w:t>
      </w:r>
      <w:r w:rsidRPr="0025250D">
        <w:rPr>
          <w:rtl/>
        </w:rPr>
        <w:t xml:space="preserve"> م</w:t>
      </w:r>
      <w:r w:rsidRPr="0025250D">
        <w:rPr>
          <w:rFonts w:hint="cs"/>
          <w:rtl/>
        </w:rPr>
        <w:t>ی‌</w:t>
      </w:r>
      <w:r w:rsidRPr="0025250D">
        <w:rPr>
          <w:rFonts w:hint="eastAsia"/>
          <w:rtl/>
        </w:rPr>
        <w:t>توان</w:t>
      </w:r>
      <w:r w:rsidRPr="0025250D">
        <w:rPr>
          <w:rFonts w:hint="cs"/>
          <w:rtl/>
        </w:rPr>
        <w:t>ی</w:t>
      </w:r>
      <w:r w:rsidRPr="0025250D">
        <w:rPr>
          <w:rFonts w:hint="eastAsia"/>
          <w:rtl/>
        </w:rPr>
        <w:t>م</w:t>
      </w:r>
      <w:r w:rsidRPr="0025250D">
        <w:rPr>
          <w:rtl/>
        </w:rPr>
        <w:t xml:space="preserve"> انتخاب کن</w:t>
      </w:r>
      <w:r w:rsidRPr="0025250D">
        <w:rPr>
          <w:rFonts w:hint="cs"/>
          <w:rtl/>
        </w:rPr>
        <w:t>ی</w:t>
      </w:r>
      <w:r w:rsidRPr="0025250D">
        <w:rPr>
          <w:rFonts w:hint="eastAsia"/>
          <w:rtl/>
        </w:rPr>
        <w:t>م</w:t>
      </w:r>
      <w:r w:rsidRPr="0025250D">
        <w:rPr>
          <w:rtl/>
        </w:rPr>
        <w:t xml:space="preserve"> که چقدر به هر موضوع</w:t>
      </w:r>
      <w:r w:rsidRPr="0025250D">
        <w:rPr>
          <w:rFonts w:hint="cs"/>
          <w:rtl/>
        </w:rPr>
        <w:t>ی</w:t>
      </w:r>
      <w:r w:rsidRPr="0025250D">
        <w:rPr>
          <w:rtl/>
        </w:rPr>
        <w:t xml:space="preserve"> </w:t>
      </w:r>
      <w:r w:rsidRPr="0025250D">
        <w:rPr>
          <w:rFonts w:hint="cs"/>
          <w:rtl/>
        </w:rPr>
        <w:t>بپردازیم</w:t>
      </w:r>
      <w:r w:rsidRPr="0025250D">
        <w:rPr>
          <w:rtl/>
        </w:rPr>
        <w:t xml:space="preserve"> و به ما کنترل عم</w:t>
      </w:r>
      <w:r w:rsidRPr="0025250D">
        <w:rPr>
          <w:rFonts w:hint="cs"/>
          <w:rtl/>
        </w:rPr>
        <w:t>ی</w:t>
      </w:r>
      <w:r w:rsidRPr="0025250D">
        <w:rPr>
          <w:rFonts w:hint="eastAsia"/>
          <w:rtl/>
        </w:rPr>
        <w:t>ق</w:t>
      </w:r>
      <w:r w:rsidRPr="0025250D">
        <w:rPr>
          <w:rFonts w:hint="cs"/>
          <w:rtl/>
        </w:rPr>
        <w:t>ی</w:t>
      </w:r>
      <w:r w:rsidRPr="0025250D">
        <w:rPr>
          <w:rtl/>
        </w:rPr>
        <w:t xml:space="preserve"> بر فرآ</w:t>
      </w:r>
      <w:r w:rsidRPr="0025250D">
        <w:rPr>
          <w:rFonts w:hint="cs"/>
          <w:rtl/>
        </w:rPr>
        <w:t>ی</w:t>
      </w:r>
      <w:r w:rsidRPr="0025250D">
        <w:rPr>
          <w:rFonts w:hint="eastAsia"/>
          <w:rtl/>
        </w:rPr>
        <w:t>ند</w:t>
      </w:r>
      <w:r w:rsidRPr="0025250D">
        <w:rPr>
          <w:rtl/>
        </w:rPr>
        <w:t xml:space="preserve"> </w:t>
      </w:r>
      <w:r w:rsidRPr="0025250D">
        <w:rPr>
          <w:rFonts w:hint="cs"/>
          <w:rtl/>
        </w:rPr>
        <w:t>ی</w:t>
      </w:r>
      <w:r w:rsidRPr="0025250D">
        <w:rPr>
          <w:rFonts w:hint="eastAsia"/>
          <w:rtl/>
        </w:rPr>
        <w:t>ادگ</w:t>
      </w:r>
      <w:r w:rsidRPr="0025250D">
        <w:rPr>
          <w:rFonts w:hint="cs"/>
          <w:rtl/>
        </w:rPr>
        <w:t>ی</w:t>
      </w:r>
      <w:r w:rsidRPr="0025250D">
        <w:rPr>
          <w:rFonts w:hint="eastAsia"/>
          <w:rtl/>
        </w:rPr>
        <w:t>ر</w:t>
      </w:r>
      <w:r w:rsidRPr="0025250D">
        <w:rPr>
          <w:rFonts w:hint="cs"/>
          <w:rtl/>
        </w:rPr>
        <w:t>ی</w:t>
      </w:r>
      <w:r w:rsidRPr="0025250D">
        <w:rPr>
          <w:rtl/>
        </w:rPr>
        <w:t xml:space="preserve"> م</w:t>
      </w:r>
      <w:r w:rsidRPr="0025250D">
        <w:rPr>
          <w:rFonts w:hint="cs"/>
          <w:rtl/>
        </w:rPr>
        <w:t>ی‌</w:t>
      </w:r>
      <w:r w:rsidRPr="0025250D">
        <w:rPr>
          <w:rFonts w:hint="eastAsia"/>
          <w:rtl/>
        </w:rPr>
        <w:t>دهد</w:t>
      </w:r>
      <w:r w:rsidRPr="0025250D">
        <w:rPr>
          <w:rtl/>
        </w:rPr>
        <w:t>.</w:t>
      </w:r>
      <w:r w:rsidRPr="0025250D">
        <w:rPr>
          <w:rFonts w:hint="cs"/>
          <w:rtl/>
        </w:rPr>
        <w:t xml:space="preserve"> مطالعه اسپرینت</w:t>
      </w:r>
      <w:r w:rsidRPr="0025250D">
        <w:rPr>
          <w:rtl/>
        </w:rPr>
        <w:t>، گوش دادن، بحث کردن و بحث درباره «ورود</w:t>
      </w:r>
      <w:r w:rsidRPr="0025250D">
        <w:rPr>
          <w:rFonts w:hint="cs"/>
          <w:rtl/>
        </w:rPr>
        <w:t>ی‌</w:t>
      </w:r>
      <w:r w:rsidRPr="0025250D">
        <w:rPr>
          <w:rFonts w:hint="eastAsia"/>
          <w:rtl/>
        </w:rPr>
        <w:t>ها</w:t>
      </w:r>
      <w:r w:rsidRPr="0025250D">
        <w:rPr>
          <w:rFonts w:hint="cs"/>
          <w:rtl/>
        </w:rPr>
        <w:t>ی</w:t>
      </w:r>
      <w:r w:rsidRPr="0025250D">
        <w:rPr>
          <w:rtl/>
        </w:rPr>
        <w:t xml:space="preserve"> عال</w:t>
      </w:r>
      <w:r w:rsidRPr="0025250D">
        <w:rPr>
          <w:rFonts w:hint="cs"/>
          <w:rtl/>
        </w:rPr>
        <w:t>ی</w:t>
      </w:r>
      <w:r w:rsidRPr="0025250D">
        <w:rPr>
          <w:rFonts w:hint="eastAsia"/>
          <w:rtl/>
        </w:rPr>
        <w:t>»</w:t>
      </w:r>
      <w:r w:rsidRPr="0025250D">
        <w:rPr>
          <w:rtl/>
        </w:rPr>
        <w:t xml:space="preserve"> با گروه</w:t>
      </w:r>
      <w:r w:rsidRPr="0025250D">
        <w:rPr>
          <w:rFonts w:hint="cs"/>
          <w:rtl/>
        </w:rPr>
        <w:t>ی</w:t>
      </w:r>
      <w:r w:rsidRPr="0025250D">
        <w:rPr>
          <w:rtl/>
        </w:rPr>
        <w:t xml:space="preserve"> از دوستان و همکاران که دارا</w:t>
      </w:r>
      <w:r w:rsidRPr="0025250D">
        <w:rPr>
          <w:rFonts w:hint="cs"/>
          <w:rtl/>
        </w:rPr>
        <w:t>ی</w:t>
      </w:r>
      <w:r w:rsidRPr="0025250D">
        <w:rPr>
          <w:rtl/>
        </w:rPr>
        <w:t xml:space="preserve"> مهارت‌ها</w:t>
      </w:r>
      <w:r w:rsidRPr="0025250D">
        <w:rPr>
          <w:rFonts w:hint="cs"/>
          <w:rtl/>
        </w:rPr>
        <w:t>ی</w:t>
      </w:r>
      <w:r w:rsidRPr="0025250D">
        <w:rPr>
          <w:rtl/>
        </w:rPr>
        <w:t xml:space="preserve"> متفاوت</w:t>
      </w:r>
      <w:r w:rsidRPr="0025250D">
        <w:rPr>
          <w:rFonts w:hint="cs"/>
          <w:rtl/>
        </w:rPr>
        <w:t>ی</w:t>
      </w:r>
      <w:r w:rsidRPr="0025250D">
        <w:rPr>
          <w:rtl/>
        </w:rPr>
        <w:t xml:space="preserve"> هستند، </w:t>
      </w:r>
      <w:r w:rsidRPr="0025250D">
        <w:rPr>
          <w:rFonts w:hint="cs"/>
          <w:rtl/>
        </w:rPr>
        <w:t>ی</w:t>
      </w:r>
      <w:r w:rsidRPr="0025250D">
        <w:rPr>
          <w:rFonts w:hint="eastAsia"/>
          <w:rtl/>
        </w:rPr>
        <w:t>ک</w:t>
      </w:r>
      <w:r w:rsidRPr="0025250D">
        <w:rPr>
          <w:rFonts w:hint="cs"/>
          <w:rtl/>
        </w:rPr>
        <w:t>ی</w:t>
      </w:r>
      <w:r w:rsidRPr="0025250D">
        <w:rPr>
          <w:rtl/>
        </w:rPr>
        <w:t xml:space="preserve"> از بهتر</w:t>
      </w:r>
      <w:r w:rsidRPr="0025250D">
        <w:rPr>
          <w:rFonts w:hint="cs"/>
          <w:rtl/>
        </w:rPr>
        <w:t>ی</w:t>
      </w:r>
      <w:r w:rsidRPr="0025250D">
        <w:rPr>
          <w:rFonts w:hint="eastAsia"/>
          <w:rtl/>
        </w:rPr>
        <w:t>ن</w:t>
      </w:r>
      <w:r w:rsidRPr="0025250D">
        <w:rPr>
          <w:rtl/>
        </w:rPr>
        <w:t xml:space="preserve"> راه‌ها</w:t>
      </w:r>
      <w:r w:rsidRPr="0025250D">
        <w:rPr>
          <w:rFonts w:hint="cs"/>
          <w:rtl/>
        </w:rPr>
        <w:t>یی</w:t>
      </w:r>
      <w:r w:rsidRPr="0025250D">
        <w:rPr>
          <w:rtl/>
        </w:rPr>
        <w:t xml:space="preserve"> است که </w:t>
      </w:r>
      <w:r w:rsidRPr="0025250D">
        <w:rPr>
          <w:rFonts w:hint="cs"/>
          <w:rtl/>
        </w:rPr>
        <w:t>می‌توانیم از طریق آن</w:t>
      </w:r>
      <w:r w:rsidRPr="0025250D">
        <w:rPr>
          <w:rtl/>
        </w:rPr>
        <w:t xml:space="preserve"> </w:t>
      </w:r>
      <w:r w:rsidRPr="0025250D">
        <w:rPr>
          <w:rFonts w:hint="cs"/>
          <w:rtl/>
        </w:rPr>
        <w:t>از تمام</w:t>
      </w:r>
      <w:r w:rsidRPr="0025250D">
        <w:rPr>
          <w:rtl/>
        </w:rPr>
        <w:t xml:space="preserve"> مزا</w:t>
      </w:r>
      <w:r w:rsidRPr="0025250D">
        <w:rPr>
          <w:rFonts w:hint="cs"/>
          <w:rtl/>
        </w:rPr>
        <w:t>ی</w:t>
      </w:r>
      <w:r w:rsidRPr="0025250D">
        <w:rPr>
          <w:rFonts w:hint="eastAsia"/>
          <w:rtl/>
        </w:rPr>
        <w:t>ا،</w:t>
      </w:r>
      <w:r w:rsidRPr="0025250D">
        <w:rPr>
          <w:rtl/>
        </w:rPr>
        <w:t xml:space="preserve"> ب</w:t>
      </w:r>
      <w:r w:rsidRPr="0025250D">
        <w:rPr>
          <w:rFonts w:hint="cs"/>
          <w:rtl/>
        </w:rPr>
        <w:t>ی</w:t>
      </w:r>
      <w:r w:rsidRPr="0025250D">
        <w:rPr>
          <w:rFonts w:hint="eastAsia"/>
          <w:rtl/>
        </w:rPr>
        <w:t>نش‌ها،</w:t>
      </w:r>
      <w:r w:rsidRPr="0025250D">
        <w:rPr>
          <w:rtl/>
        </w:rPr>
        <w:t xml:space="preserve"> </w:t>
      </w:r>
      <w:r w:rsidRPr="0025250D">
        <w:rPr>
          <w:rFonts w:hint="cs"/>
          <w:rtl/>
        </w:rPr>
        <w:t>موارد ممکن</w:t>
      </w:r>
      <w:r w:rsidRPr="0025250D">
        <w:rPr>
          <w:rtl/>
        </w:rPr>
        <w:t xml:space="preserve">، ابزارها و فرصت‌ها و </w:t>
      </w:r>
      <w:r w:rsidRPr="0025250D">
        <w:rPr>
          <w:rFonts w:hint="cs"/>
          <w:rtl/>
        </w:rPr>
        <w:t>بنیان‌افکنی‌ها</w:t>
      </w:r>
      <w:r w:rsidRPr="0025250D">
        <w:rPr>
          <w:rtl/>
        </w:rPr>
        <w:t>، مشکلات و خطرات جد</w:t>
      </w:r>
      <w:r w:rsidRPr="0025250D">
        <w:rPr>
          <w:rFonts w:hint="cs"/>
          <w:rtl/>
        </w:rPr>
        <w:t>ی</w:t>
      </w:r>
      <w:r w:rsidRPr="0025250D">
        <w:rPr>
          <w:rFonts w:hint="eastAsia"/>
          <w:rtl/>
        </w:rPr>
        <w:t>د</w:t>
      </w:r>
      <w:r w:rsidRPr="0025250D">
        <w:rPr>
          <w:rFonts w:hint="cs"/>
          <w:rtl/>
        </w:rPr>
        <w:t>ی</w:t>
      </w:r>
      <w:r w:rsidRPr="0025250D">
        <w:rPr>
          <w:rtl/>
        </w:rPr>
        <w:t xml:space="preserve"> که دن</w:t>
      </w:r>
      <w:r w:rsidRPr="0025250D">
        <w:rPr>
          <w:rFonts w:hint="cs"/>
          <w:rtl/>
        </w:rPr>
        <w:t>ی</w:t>
      </w:r>
      <w:r w:rsidRPr="0025250D">
        <w:rPr>
          <w:rFonts w:hint="eastAsia"/>
          <w:rtl/>
        </w:rPr>
        <w:t>ا</w:t>
      </w:r>
      <w:r w:rsidRPr="0025250D">
        <w:rPr>
          <w:rFonts w:hint="cs"/>
          <w:rtl/>
        </w:rPr>
        <w:t>ی</w:t>
      </w:r>
      <w:r w:rsidRPr="0025250D">
        <w:rPr>
          <w:rtl/>
        </w:rPr>
        <w:t xml:space="preserve"> پرشتاب ما </w:t>
      </w:r>
      <w:r w:rsidRPr="0025250D">
        <w:rPr>
          <w:rFonts w:hint="cs"/>
          <w:rtl/>
        </w:rPr>
        <w:t>فراهم می‌کند، اطلاع یابیم</w:t>
      </w:r>
      <w:r w:rsidRPr="0025250D">
        <w:rPr>
          <w:rtl/>
        </w:rPr>
        <w:t>.</w:t>
      </w:r>
    </w:p>
    <w:p w14:paraId="14D79806" w14:textId="20C18B36" w:rsidR="00B219EF" w:rsidRPr="0025250D" w:rsidRDefault="00E723FA" w:rsidP="004445C5">
      <w:pPr>
        <w:rPr>
          <w:rtl/>
        </w:rPr>
      </w:pPr>
      <w:r w:rsidRPr="0025250D">
        <w:rPr>
          <w:rFonts w:hint="cs"/>
          <w:rtl/>
        </w:rPr>
        <w:t>این</w:t>
      </w:r>
      <w:r w:rsidR="00B219EF" w:rsidRPr="0025250D">
        <w:rPr>
          <w:rtl/>
        </w:rPr>
        <w:t xml:space="preserve"> راهنما به ما کمک می‌کند تا در پیش‌بینی</w:t>
      </w:r>
      <w:r w:rsidR="00B219EF" w:rsidRPr="0025250D">
        <w:rPr>
          <w:rFonts w:hint="eastAsia"/>
          <w:rtl/>
        </w:rPr>
        <w:t>،</w:t>
      </w:r>
      <w:r w:rsidR="00B219EF" w:rsidRPr="0025250D">
        <w:rPr>
          <w:rtl/>
        </w:rPr>
        <w:t xml:space="preserve"> نوآور</w:t>
      </w:r>
      <w:r w:rsidR="00B219EF" w:rsidRPr="0025250D">
        <w:rPr>
          <w:rFonts w:hint="cs"/>
          <w:rtl/>
        </w:rPr>
        <w:t>ی</w:t>
      </w:r>
      <w:r w:rsidR="00B219EF" w:rsidRPr="0025250D">
        <w:rPr>
          <w:rtl/>
        </w:rPr>
        <w:t xml:space="preserve"> و رهبر</w:t>
      </w:r>
      <w:r w:rsidR="00B219EF" w:rsidRPr="0025250D">
        <w:rPr>
          <w:rFonts w:hint="cs"/>
          <w:rtl/>
        </w:rPr>
        <w:t>ی</w:t>
      </w:r>
      <w:r w:rsidR="00B219EF" w:rsidRPr="0025250D">
        <w:rPr>
          <w:rtl/>
        </w:rPr>
        <w:t xml:space="preserve"> آ</w:t>
      </w:r>
      <w:r w:rsidR="00B219EF" w:rsidRPr="0025250D">
        <w:rPr>
          <w:rFonts w:hint="cs"/>
          <w:rtl/>
        </w:rPr>
        <w:t>ی</w:t>
      </w:r>
      <w:r w:rsidR="00B219EF" w:rsidRPr="0025250D">
        <w:rPr>
          <w:rFonts w:hint="eastAsia"/>
          <w:rtl/>
        </w:rPr>
        <w:t>نده</w:t>
      </w:r>
      <w:r w:rsidR="00B219EF" w:rsidRPr="0025250D">
        <w:rPr>
          <w:rtl/>
        </w:rPr>
        <w:t xml:space="preserve"> بهتر شو</w:t>
      </w:r>
      <w:r w:rsidR="00B219EF" w:rsidRPr="0025250D">
        <w:rPr>
          <w:rFonts w:hint="cs"/>
          <w:rtl/>
        </w:rPr>
        <w:t>ی</w:t>
      </w:r>
      <w:r w:rsidR="00B219EF" w:rsidRPr="0025250D">
        <w:rPr>
          <w:rFonts w:hint="eastAsia"/>
          <w:rtl/>
        </w:rPr>
        <w:t>م</w:t>
      </w:r>
      <w:r w:rsidR="00B219EF" w:rsidRPr="0025250D">
        <w:rPr>
          <w:rtl/>
        </w:rPr>
        <w:t>. خواه</w:t>
      </w:r>
      <w:r w:rsidR="00B219EF" w:rsidRPr="0025250D">
        <w:rPr>
          <w:rFonts w:hint="cs"/>
          <w:rtl/>
        </w:rPr>
        <w:t>ی</w:t>
      </w:r>
      <w:r w:rsidR="00B219EF" w:rsidRPr="0025250D">
        <w:rPr>
          <w:rFonts w:hint="eastAsia"/>
          <w:rtl/>
        </w:rPr>
        <w:t>م</w:t>
      </w:r>
      <w:r w:rsidR="00B219EF" w:rsidRPr="0025250D">
        <w:rPr>
          <w:rtl/>
        </w:rPr>
        <w:t xml:space="preserve"> د</w:t>
      </w:r>
      <w:r w:rsidR="00B219EF" w:rsidRPr="0025250D">
        <w:rPr>
          <w:rFonts w:hint="cs"/>
          <w:rtl/>
        </w:rPr>
        <w:t>ی</w:t>
      </w:r>
      <w:r w:rsidR="00B219EF" w:rsidRPr="0025250D">
        <w:rPr>
          <w:rFonts w:hint="eastAsia"/>
          <w:rtl/>
        </w:rPr>
        <w:t>د</w:t>
      </w:r>
      <w:r w:rsidR="00B219EF" w:rsidRPr="0025250D">
        <w:rPr>
          <w:rtl/>
        </w:rPr>
        <w:t xml:space="preserve"> که ا</w:t>
      </w:r>
      <w:r w:rsidR="00B219EF" w:rsidRPr="0025250D">
        <w:rPr>
          <w:rFonts w:hint="cs"/>
          <w:rtl/>
        </w:rPr>
        <w:t>ی</w:t>
      </w:r>
      <w:r w:rsidR="00B219EF" w:rsidRPr="0025250D">
        <w:rPr>
          <w:rFonts w:hint="eastAsia"/>
          <w:rtl/>
        </w:rPr>
        <w:t>ن</w:t>
      </w:r>
      <w:r w:rsidR="00B219EF" w:rsidRPr="0025250D">
        <w:rPr>
          <w:rtl/>
        </w:rPr>
        <w:t xml:space="preserve"> کلمات ب</w:t>
      </w:r>
      <w:r w:rsidR="00B219EF" w:rsidRPr="0025250D">
        <w:rPr>
          <w:rFonts w:hint="cs"/>
          <w:rtl/>
        </w:rPr>
        <w:t>ی</w:t>
      </w:r>
      <w:r w:rsidR="00B219EF" w:rsidRPr="0025250D">
        <w:rPr>
          <w:rFonts w:hint="eastAsia"/>
          <w:rtl/>
        </w:rPr>
        <w:t>انگر</w:t>
      </w:r>
      <w:r w:rsidR="00B219EF" w:rsidRPr="0025250D">
        <w:rPr>
          <w:rtl/>
        </w:rPr>
        <w:t xml:space="preserve"> سه هدف اساس</w:t>
      </w:r>
      <w:r w:rsidR="00B219EF" w:rsidRPr="0025250D">
        <w:rPr>
          <w:rFonts w:hint="cs"/>
          <w:rtl/>
        </w:rPr>
        <w:t>ی</w:t>
      </w:r>
      <w:r w:rsidR="00B219EF" w:rsidRPr="0025250D">
        <w:rPr>
          <w:rtl/>
        </w:rPr>
        <w:t xml:space="preserve"> و درعین‌حال متفاوت از آینده‌نگاری هستند. همچن</w:t>
      </w:r>
      <w:r w:rsidR="00B219EF" w:rsidRPr="0025250D">
        <w:rPr>
          <w:rFonts w:hint="cs"/>
          <w:rtl/>
        </w:rPr>
        <w:t>ی</w:t>
      </w:r>
      <w:r w:rsidR="00B219EF" w:rsidRPr="0025250D">
        <w:rPr>
          <w:rFonts w:hint="eastAsia"/>
          <w:rtl/>
        </w:rPr>
        <w:t>ن</w:t>
      </w:r>
      <w:r w:rsidR="00B219EF" w:rsidRPr="0025250D">
        <w:rPr>
          <w:rtl/>
        </w:rPr>
        <w:t xml:space="preserve"> </w:t>
      </w:r>
      <w:r w:rsidR="00B219EF" w:rsidRPr="0025250D">
        <w:rPr>
          <w:rFonts w:hint="cs"/>
          <w:rtl/>
        </w:rPr>
        <w:t>ی</w:t>
      </w:r>
      <w:r w:rsidR="00B219EF" w:rsidRPr="0025250D">
        <w:rPr>
          <w:rFonts w:hint="eastAsia"/>
          <w:rtl/>
        </w:rPr>
        <w:t>اد</w:t>
      </w:r>
      <w:r w:rsidR="00B219EF" w:rsidRPr="0025250D">
        <w:rPr>
          <w:rtl/>
        </w:rPr>
        <w:t xml:space="preserve"> خواه</w:t>
      </w:r>
      <w:r w:rsidR="00B219EF" w:rsidRPr="0025250D">
        <w:rPr>
          <w:rFonts w:hint="cs"/>
          <w:rtl/>
        </w:rPr>
        <w:t>ی</w:t>
      </w:r>
      <w:r w:rsidR="00B219EF" w:rsidRPr="0025250D">
        <w:rPr>
          <w:rFonts w:hint="eastAsia"/>
          <w:rtl/>
        </w:rPr>
        <w:t>م</w:t>
      </w:r>
      <w:r w:rsidR="00B219EF" w:rsidRPr="0025250D">
        <w:rPr>
          <w:rtl/>
        </w:rPr>
        <w:t xml:space="preserve"> گرفت که چگونه آ</w:t>
      </w:r>
      <w:r w:rsidR="00B219EF" w:rsidRPr="0025250D">
        <w:rPr>
          <w:rFonts w:hint="cs"/>
          <w:rtl/>
        </w:rPr>
        <w:t>ی</w:t>
      </w:r>
      <w:r w:rsidR="00B219EF" w:rsidRPr="0025250D">
        <w:rPr>
          <w:rFonts w:hint="eastAsia"/>
          <w:rtl/>
        </w:rPr>
        <w:t>نده‌نگار</w:t>
      </w:r>
      <w:r w:rsidR="00B219EF" w:rsidRPr="0025250D">
        <w:rPr>
          <w:rFonts w:hint="cs"/>
          <w:rtl/>
        </w:rPr>
        <w:t>ی</w:t>
      </w:r>
      <w:r w:rsidR="00B219EF" w:rsidRPr="0025250D">
        <w:rPr>
          <w:rtl/>
        </w:rPr>
        <w:t xml:space="preserve"> را با عمل، در </w:t>
      </w:r>
      <w:r w:rsidR="00B219EF" w:rsidRPr="0025250D">
        <w:rPr>
          <w:rFonts w:hint="cs"/>
          <w:rtl/>
        </w:rPr>
        <w:t>ی</w:t>
      </w:r>
      <w:r w:rsidR="00B219EF" w:rsidRPr="0025250D">
        <w:rPr>
          <w:rFonts w:hint="eastAsia"/>
          <w:rtl/>
        </w:rPr>
        <w:t>ک</w:t>
      </w:r>
      <w:r w:rsidR="00B219EF" w:rsidRPr="0025250D">
        <w:rPr>
          <w:rtl/>
        </w:rPr>
        <w:t xml:space="preserve"> چرخ</w:t>
      </w:r>
      <w:r w:rsidR="00B219EF" w:rsidRPr="0025250D">
        <w:rPr>
          <w:rFonts w:hint="eastAsia"/>
          <w:rtl/>
        </w:rPr>
        <w:t>ه</w:t>
      </w:r>
      <w:r w:rsidR="00B219EF" w:rsidRPr="0025250D">
        <w:rPr>
          <w:rtl/>
        </w:rPr>
        <w:t xml:space="preserve"> بازخورد کلاس</w:t>
      </w:r>
      <w:r w:rsidR="00B219EF" w:rsidRPr="0025250D">
        <w:rPr>
          <w:rFonts w:hint="cs"/>
          <w:rtl/>
        </w:rPr>
        <w:t>ی</w:t>
      </w:r>
      <w:r w:rsidR="00B219EF" w:rsidRPr="0025250D">
        <w:rPr>
          <w:rFonts w:hint="eastAsia"/>
          <w:rtl/>
        </w:rPr>
        <w:t>ک</w:t>
      </w:r>
      <w:r w:rsidR="00B219EF" w:rsidRPr="0025250D">
        <w:rPr>
          <w:rtl/>
        </w:rPr>
        <w:t xml:space="preserve"> که به چهار مهارت آ</w:t>
      </w:r>
      <w:r w:rsidR="00B219EF" w:rsidRPr="0025250D">
        <w:rPr>
          <w:rFonts w:hint="cs"/>
          <w:rtl/>
        </w:rPr>
        <w:t>ی</w:t>
      </w:r>
      <w:r w:rsidR="00B219EF" w:rsidRPr="0025250D">
        <w:rPr>
          <w:rFonts w:hint="eastAsia"/>
          <w:rtl/>
        </w:rPr>
        <w:t>نده‌نگ</w:t>
      </w:r>
      <w:r w:rsidR="00B219EF" w:rsidRPr="0025250D">
        <w:rPr>
          <w:rFonts w:hint="cs"/>
          <w:rtl/>
        </w:rPr>
        <w:t>ا</w:t>
      </w:r>
      <w:r w:rsidR="00B219EF" w:rsidRPr="0025250D">
        <w:rPr>
          <w:rFonts w:hint="eastAsia"/>
          <w:rtl/>
        </w:rPr>
        <w:t>ر</w:t>
      </w:r>
      <w:r w:rsidR="00B219EF" w:rsidRPr="0025250D">
        <w:rPr>
          <w:rFonts w:hint="cs"/>
          <w:rtl/>
        </w:rPr>
        <w:t>ی</w:t>
      </w:r>
      <w:r w:rsidR="00B219EF" w:rsidRPr="0025250D">
        <w:rPr>
          <w:rtl/>
        </w:rPr>
        <w:t xml:space="preserve"> مؤثر و چهار مهارت عمل</w:t>
      </w:r>
      <w:r w:rsidR="00B219EF" w:rsidRPr="0025250D">
        <w:rPr>
          <w:rFonts w:hint="cs"/>
          <w:rtl/>
        </w:rPr>
        <w:t>ی</w:t>
      </w:r>
      <w:r w:rsidR="00B219EF" w:rsidRPr="0025250D">
        <w:rPr>
          <w:rtl/>
        </w:rPr>
        <w:t xml:space="preserve"> مؤثر بستگ</w:t>
      </w:r>
      <w:r w:rsidR="00B219EF" w:rsidRPr="0025250D">
        <w:rPr>
          <w:rFonts w:hint="cs"/>
          <w:rtl/>
        </w:rPr>
        <w:t>ی</w:t>
      </w:r>
      <w:r w:rsidR="00B219EF" w:rsidRPr="0025250D">
        <w:rPr>
          <w:rtl/>
        </w:rPr>
        <w:t xml:space="preserve"> دارد، ادغام کن</w:t>
      </w:r>
      <w:r w:rsidR="00B219EF" w:rsidRPr="0025250D">
        <w:rPr>
          <w:rFonts w:hint="cs"/>
          <w:rtl/>
        </w:rPr>
        <w:t>ی</w:t>
      </w:r>
      <w:r w:rsidR="00B219EF" w:rsidRPr="0025250D">
        <w:rPr>
          <w:rFonts w:hint="eastAsia"/>
          <w:rtl/>
        </w:rPr>
        <w:t>م</w:t>
      </w:r>
      <w:r w:rsidR="00B219EF" w:rsidRPr="0025250D">
        <w:rPr>
          <w:rtl/>
        </w:rPr>
        <w:t>.</w:t>
      </w:r>
      <w:r w:rsidR="00B219EF" w:rsidRPr="0025250D">
        <w:rPr>
          <w:rFonts w:hint="cs"/>
          <w:rtl/>
        </w:rPr>
        <w:t xml:space="preserve"> </w:t>
      </w:r>
      <w:r w:rsidR="00B219EF" w:rsidRPr="0025250D">
        <w:rPr>
          <w:rtl/>
        </w:rPr>
        <w:t xml:space="preserve">ما </w:t>
      </w:r>
      <w:r w:rsidRPr="0025250D">
        <w:rPr>
          <w:rFonts w:hint="cs"/>
          <w:rtl/>
        </w:rPr>
        <w:t xml:space="preserve">به این </w:t>
      </w:r>
      <w:r w:rsidR="00B219EF" w:rsidRPr="0025250D">
        <w:rPr>
          <w:rFonts w:hint="cs"/>
          <w:rtl/>
        </w:rPr>
        <w:t>دو مجموعه</w:t>
      </w:r>
      <w:r w:rsidRPr="0025250D">
        <w:rPr>
          <w:rFonts w:hint="cs"/>
          <w:rtl/>
        </w:rPr>
        <w:t xml:space="preserve"> از مهارت‌ها، </w:t>
      </w:r>
      <w:r w:rsidR="00B219EF" w:rsidRPr="0025250D">
        <w:rPr>
          <w:rtl/>
        </w:rPr>
        <w:t>هشت مهارت آ</w:t>
      </w:r>
      <w:r w:rsidR="00B219EF" w:rsidRPr="0025250D">
        <w:rPr>
          <w:rFonts w:hint="cs"/>
          <w:rtl/>
        </w:rPr>
        <w:t>ی</w:t>
      </w:r>
      <w:r w:rsidR="00B219EF" w:rsidRPr="0025250D">
        <w:rPr>
          <w:rFonts w:hint="eastAsia"/>
          <w:rtl/>
        </w:rPr>
        <w:t>نده‌نگ</w:t>
      </w:r>
      <w:r w:rsidR="00B219EF" w:rsidRPr="0025250D">
        <w:rPr>
          <w:rFonts w:hint="cs"/>
          <w:rtl/>
        </w:rPr>
        <w:t>ا</w:t>
      </w:r>
      <w:r w:rsidR="00B219EF" w:rsidRPr="0025250D">
        <w:rPr>
          <w:rFonts w:hint="eastAsia"/>
          <w:rtl/>
        </w:rPr>
        <w:t>ر</w:t>
      </w:r>
      <w:r w:rsidR="00B219EF" w:rsidRPr="0025250D">
        <w:rPr>
          <w:rFonts w:hint="cs"/>
          <w:rtl/>
        </w:rPr>
        <w:t>ی</w:t>
      </w:r>
      <w:r w:rsidR="00B219EF" w:rsidRPr="0025250D">
        <w:rPr>
          <w:rtl/>
        </w:rPr>
        <w:t xml:space="preserve"> </w:t>
      </w:r>
      <w:r w:rsidR="00AE5BE0" w:rsidRPr="0025250D">
        <w:rPr>
          <w:rtl/>
        </w:rPr>
        <w:t>انطباقی</w:t>
      </w:r>
      <w:r w:rsidR="00B219EF" w:rsidRPr="0025250D">
        <w:rPr>
          <w:rtl/>
        </w:rPr>
        <w:t xml:space="preserve"> </w:t>
      </w:r>
      <w:r w:rsidRPr="0025250D">
        <w:rPr>
          <w:rFonts w:hint="cs"/>
          <w:rtl/>
        </w:rPr>
        <w:t>می‌گوییم</w:t>
      </w:r>
      <w:r w:rsidR="00B219EF" w:rsidRPr="0025250D">
        <w:rPr>
          <w:rtl/>
        </w:rPr>
        <w:t>. خواه</w:t>
      </w:r>
      <w:r w:rsidR="00B219EF" w:rsidRPr="0025250D">
        <w:rPr>
          <w:rFonts w:hint="cs"/>
          <w:rtl/>
        </w:rPr>
        <w:t>ی</w:t>
      </w:r>
      <w:r w:rsidR="00B219EF" w:rsidRPr="0025250D">
        <w:rPr>
          <w:rFonts w:hint="eastAsia"/>
          <w:rtl/>
        </w:rPr>
        <w:t>م</w:t>
      </w:r>
      <w:r w:rsidR="00B219EF" w:rsidRPr="0025250D">
        <w:rPr>
          <w:rtl/>
        </w:rPr>
        <w:t xml:space="preserve"> د</w:t>
      </w:r>
      <w:r w:rsidR="00B219EF" w:rsidRPr="0025250D">
        <w:rPr>
          <w:rFonts w:hint="cs"/>
          <w:rtl/>
        </w:rPr>
        <w:t>ی</w:t>
      </w:r>
      <w:r w:rsidR="00B219EF" w:rsidRPr="0025250D">
        <w:rPr>
          <w:rFonts w:hint="eastAsia"/>
          <w:rtl/>
        </w:rPr>
        <w:t>د</w:t>
      </w:r>
      <w:r w:rsidR="00B219EF" w:rsidRPr="0025250D">
        <w:rPr>
          <w:rtl/>
        </w:rPr>
        <w:t xml:space="preserve"> که هشت مهارت هر روز توسط همه ما به </w:t>
      </w:r>
      <w:r w:rsidR="00B219EF" w:rsidRPr="0025250D">
        <w:rPr>
          <w:rFonts w:hint="cs"/>
          <w:rtl/>
        </w:rPr>
        <w:t>شیوه‌های</w:t>
      </w:r>
      <w:r w:rsidR="00B219EF" w:rsidRPr="0025250D">
        <w:rPr>
          <w:rtl/>
        </w:rPr>
        <w:t xml:space="preserve"> بهتر و بدتر استفاده می‌شو</w:t>
      </w:r>
      <w:r w:rsidRPr="0025250D">
        <w:rPr>
          <w:rFonts w:hint="cs"/>
          <w:rtl/>
        </w:rPr>
        <w:t>ن</w:t>
      </w:r>
      <w:r w:rsidR="00B219EF" w:rsidRPr="0025250D">
        <w:rPr>
          <w:rtl/>
        </w:rPr>
        <w:t>د. خواه</w:t>
      </w:r>
      <w:r w:rsidR="00B219EF" w:rsidRPr="0025250D">
        <w:rPr>
          <w:rFonts w:hint="cs"/>
          <w:rtl/>
        </w:rPr>
        <w:t>ی</w:t>
      </w:r>
      <w:r w:rsidR="00B219EF" w:rsidRPr="0025250D">
        <w:rPr>
          <w:rFonts w:hint="eastAsia"/>
          <w:rtl/>
        </w:rPr>
        <w:t>م</w:t>
      </w:r>
      <w:r w:rsidR="00B219EF" w:rsidRPr="0025250D">
        <w:rPr>
          <w:rtl/>
        </w:rPr>
        <w:t xml:space="preserve"> د</w:t>
      </w:r>
      <w:r w:rsidR="00B219EF" w:rsidRPr="0025250D">
        <w:rPr>
          <w:rFonts w:hint="cs"/>
          <w:rtl/>
        </w:rPr>
        <w:t>ی</w:t>
      </w:r>
      <w:r w:rsidR="00B219EF" w:rsidRPr="0025250D">
        <w:rPr>
          <w:rFonts w:hint="eastAsia"/>
          <w:rtl/>
        </w:rPr>
        <w:t>د</w:t>
      </w:r>
      <w:r w:rsidR="00B219EF" w:rsidRPr="0025250D">
        <w:rPr>
          <w:rtl/>
        </w:rPr>
        <w:t xml:space="preserve"> که چرا نم</w:t>
      </w:r>
      <w:r w:rsidR="00B219EF" w:rsidRPr="0025250D">
        <w:rPr>
          <w:rFonts w:hint="cs"/>
          <w:rtl/>
        </w:rPr>
        <w:t>ی‌</w:t>
      </w:r>
      <w:r w:rsidR="00B219EF" w:rsidRPr="0025250D">
        <w:rPr>
          <w:rFonts w:hint="eastAsia"/>
          <w:rtl/>
        </w:rPr>
        <w:t>توان</w:t>
      </w:r>
      <w:r w:rsidR="00B219EF" w:rsidRPr="0025250D">
        <w:rPr>
          <w:rFonts w:hint="cs"/>
          <w:rtl/>
        </w:rPr>
        <w:t>ی</w:t>
      </w:r>
      <w:r w:rsidR="00B219EF" w:rsidRPr="0025250D">
        <w:rPr>
          <w:rFonts w:hint="eastAsia"/>
          <w:rtl/>
        </w:rPr>
        <w:t>م</w:t>
      </w:r>
      <w:r w:rsidR="00B219EF" w:rsidRPr="0025250D">
        <w:rPr>
          <w:rtl/>
        </w:rPr>
        <w:t xml:space="preserve"> از هیچ‌یک از آن‌ها غافل شو</w:t>
      </w:r>
      <w:r w:rsidR="00B219EF" w:rsidRPr="0025250D">
        <w:rPr>
          <w:rFonts w:hint="cs"/>
          <w:rtl/>
        </w:rPr>
        <w:t>ی</w:t>
      </w:r>
      <w:r w:rsidR="00B219EF" w:rsidRPr="0025250D">
        <w:rPr>
          <w:rFonts w:hint="eastAsia"/>
          <w:rtl/>
        </w:rPr>
        <w:t>م</w:t>
      </w:r>
      <w:r w:rsidR="00B219EF" w:rsidRPr="0025250D">
        <w:rPr>
          <w:rtl/>
        </w:rPr>
        <w:t xml:space="preserve"> و </w:t>
      </w:r>
      <w:r w:rsidR="00B219EF" w:rsidRPr="0025250D">
        <w:rPr>
          <w:rFonts w:hint="cs"/>
          <w:rtl/>
        </w:rPr>
        <w:t>ی</w:t>
      </w:r>
      <w:r w:rsidR="00B219EF" w:rsidRPr="0025250D">
        <w:rPr>
          <w:rFonts w:hint="eastAsia"/>
          <w:rtl/>
        </w:rPr>
        <w:t>اد</w:t>
      </w:r>
      <w:r w:rsidR="00B219EF" w:rsidRPr="0025250D">
        <w:rPr>
          <w:rtl/>
        </w:rPr>
        <w:t xml:space="preserve"> خواه</w:t>
      </w:r>
      <w:r w:rsidR="00B219EF" w:rsidRPr="0025250D">
        <w:rPr>
          <w:rFonts w:hint="cs"/>
          <w:rtl/>
        </w:rPr>
        <w:t>ی</w:t>
      </w:r>
      <w:r w:rsidR="00B219EF" w:rsidRPr="0025250D">
        <w:rPr>
          <w:rFonts w:hint="eastAsia"/>
          <w:rtl/>
        </w:rPr>
        <w:t>م</w:t>
      </w:r>
      <w:r w:rsidR="00B219EF" w:rsidRPr="0025250D">
        <w:rPr>
          <w:rtl/>
        </w:rPr>
        <w:t xml:space="preserve"> گرفت که چگونه در هر هشت مورد به‌طور معقول</w:t>
      </w:r>
      <w:r w:rsidR="00B219EF" w:rsidRPr="0025250D">
        <w:rPr>
          <w:rFonts w:hint="cs"/>
          <w:rtl/>
        </w:rPr>
        <w:t>ی</w:t>
      </w:r>
      <w:r w:rsidR="00B219EF" w:rsidRPr="0025250D">
        <w:rPr>
          <w:rtl/>
        </w:rPr>
        <w:t xml:space="preserve"> توانمن</w:t>
      </w:r>
      <w:r w:rsidR="00B219EF" w:rsidRPr="0025250D">
        <w:rPr>
          <w:rFonts w:hint="eastAsia"/>
          <w:rtl/>
        </w:rPr>
        <w:t>د</w:t>
      </w:r>
      <w:r w:rsidR="00B219EF" w:rsidRPr="0025250D">
        <w:rPr>
          <w:rtl/>
        </w:rPr>
        <w:t xml:space="preserve"> شو</w:t>
      </w:r>
      <w:r w:rsidR="00B219EF" w:rsidRPr="0025250D">
        <w:rPr>
          <w:rFonts w:hint="cs"/>
          <w:rtl/>
        </w:rPr>
        <w:t>ی</w:t>
      </w:r>
      <w:r w:rsidR="00B219EF" w:rsidRPr="0025250D">
        <w:rPr>
          <w:rFonts w:hint="eastAsia"/>
          <w:rtl/>
        </w:rPr>
        <w:t>م</w:t>
      </w:r>
      <w:r w:rsidR="00B219EF" w:rsidRPr="0025250D">
        <w:rPr>
          <w:rtl/>
        </w:rPr>
        <w:t xml:space="preserve">. ما می‌توانیم از هر </w:t>
      </w:r>
      <w:r w:rsidR="00B219EF" w:rsidRPr="0025250D">
        <w:rPr>
          <w:rFonts w:hint="cs"/>
          <w:rtl/>
        </w:rPr>
        <w:t>یک از این مهارت‌ها</w:t>
      </w:r>
      <w:r w:rsidR="00B219EF" w:rsidRPr="0025250D">
        <w:rPr>
          <w:rtl/>
        </w:rPr>
        <w:t xml:space="preserve"> به‌خوبی </w:t>
      </w:r>
      <w:r w:rsidR="00B219EF" w:rsidRPr="0025250D">
        <w:rPr>
          <w:rFonts w:hint="cs"/>
          <w:rtl/>
        </w:rPr>
        <w:t>ی</w:t>
      </w:r>
      <w:r w:rsidR="00B219EF" w:rsidRPr="0025250D">
        <w:rPr>
          <w:rFonts w:hint="eastAsia"/>
          <w:rtl/>
        </w:rPr>
        <w:t>ا</w:t>
      </w:r>
      <w:r w:rsidR="00B219EF" w:rsidRPr="0025250D">
        <w:rPr>
          <w:rtl/>
        </w:rPr>
        <w:t xml:space="preserve"> </w:t>
      </w:r>
      <w:r w:rsidR="00B219EF" w:rsidRPr="0025250D">
        <w:rPr>
          <w:rFonts w:hint="cs"/>
          <w:rtl/>
        </w:rPr>
        <w:t>به صورتی نامناسب</w:t>
      </w:r>
      <w:r w:rsidR="00B219EF" w:rsidRPr="0025250D">
        <w:rPr>
          <w:rtl/>
        </w:rPr>
        <w:t xml:space="preserve"> </w:t>
      </w:r>
      <w:r w:rsidR="00B219EF" w:rsidRPr="0025250D">
        <w:rPr>
          <w:rFonts w:hint="cs"/>
          <w:rtl/>
        </w:rPr>
        <w:t>در</w:t>
      </w:r>
      <w:r w:rsidR="00B219EF" w:rsidRPr="0025250D">
        <w:rPr>
          <w:rtl/>
        </w:rPr>
        <w:t xml:space="preserve"> هر روز</w:t>
      </w:r>
      <w:r w:rsidR="00B219EF" w:rsidRPr="0025250D">
        <w:rPr>
          <w:rFonts w:hint="cs"/>
          <w:rtl/>
        </w:rPr>
        <w:t xml:space="preserve"> از</w:t>
      </w:r>
      <w:r w:rsidR="00B219EF" w:rsidRPr="0025250D">
        <w:rPr>
          <w:rtl/>
        </w:rPr>
        <w:t xml:space="preserve"> زندگ</w:t>
      </w:r>
      <w:r w:rsidR="00B219EF" w:rsidRPr="0025250D">
        <w:rPr>
          <w:rFonts w:hint="cs"/>
          <w:rtl/>
        </w:rPr>
        <w:t>ی</w:t>
      </w:r>
      <w:r w:rsidR="00B219EF" w:rsidRPr="0025250D">
        <w:rPr>
          <w:rtl/>
        </w:rPr>
        <w:t xml:space="preserve"> خود استفاده کن</w:t>
      </w:r>
      <w:r w:rsidR="00B219EF" w:rsidRPr="0025250D">
        <w:rPr>
          <w:rFonts w:hint="cs"/>
          <w:rtl/>
        </w:rPr>
        <w:t>ی</w:t>
      </w:r>
      <w:r w:rsidR="00B219EF" w:rsidRPr="0025250D">
        <w:rPr>
          <w:rFonts w:hint="eastAsia"/>
          <w:rtl/>
        </w:rPr>
        <w:t>م</w:t>
      </w:r>
      <w:r w:rsidR="00B219EF" w:rsidRPr="0025250D">
        <w:rPr>
          <w:rtl/>
        </w:rPr>
        <w:t>.</w:t>
      </w:r>
    </w:p>
    <w:p w14:paraId="2DEFCF09" w14:textId="3C06570E" w:rsidR="00B219EF" w:rsidRPr="0025250D" w:rsidRDefault="00B219EF" w:rsidP="008D6F97">
      <w:pPr>
        <w:rPr>
          <w:rtl/>
        </w:rPr>
      </w:pPr>
      <w:r w:rsidRPr="0025250D">
        <w:rPr>
          <w:rFonts w:hint="cs"/>
          <w:rtl/>
        </w:rPr>
        <w:t>ی</w:t>
      </w:r>
      <w:r w:rsidRPr="0025250D">
        <w:rPr>
          <w:rFonts w:hint="eastAsia"/>
          <w:rtl/>
        </w:rPr>
        <w:t>ک</w:t>
      </w:r>
      <w:r w:rsidRPr="0025250D">
        <w:rPr>
          <w:rtl/>
        </w:rPr>
        <w:t xml:space="preserve"> پارادوکس بزرگ تغ</w:t>
      </w:r>
      <w:r w:rsidRPr="0025250D">
        <w:rPr>
          <w:rFonts w:hint="cs"/>
          <w:rtl/>
        </w:rPr>
        <w:t>یی</w:t>
      </w:r>
      <w:r w:rsidRPr="0025250D">
        <w:rPr>
          <w:rFonts w:hint="eastAsia"/>
          <w:rtl/>
        </w:rPr>
        <w:t>ر</w:t>
      </w:r>
      <w:r w:rsidRPr="0025250D">
        <w:rPr>
          <w:rtl/>
        </w:rPr>
        <w:t xml:space="preserve"> ا</w:t>
      </w:r>
      <w:r w:rsidRPr="0025250D">
        <w:rPr>
          <w:rFonts w:hint="cs"/>
          <w:rtl/>
        </w:rPr>
        <w:t>ی</w:t>
      </w:r>
      <w:r w:rsidRPr="0025250D">
        <w:rPr>
          <w:rFonts w:hint="eastAsia"/>
          <w:rtl/>
        </w:rPr>
        <w:t>ن</w:t>
      </w:r>
      <w:r w:rsidRPr="0025250D">
        <w:rPr>
          <w:rtl/>
        </w:rPr>
        <w:t xml:space="preserve"> است که تمدن ما، وقت</w:t>
      </w:r>
      <w:r w:rsidRPr="0025250D">
        <w:rPr>
          <w:rFonts w:hint="cs"/>
          <w:rtl/>
        </w:rPr>
        <w:t>ی</w:t>
      </w:r>
      <w:r w:rsidRPr="0025250D">
        <w:rPr>
          <w:rtl/>
        </w:rPr>
        <w:t xml:space="preserve"> به‌عنوان </w:t>
      </w:r>
      <w:r w:rsidRPr="0025250D">
        <w:rPr>
          <w:rFonts w:hint="cs"/>
          <w:rtl/>
        </w:rPr>
        <w:t>ی</w:t>
      </w:r>
      <w:r w:rsidRPr="0025250D">
        <w:rPr>
          <w:rFonts w:hint="eastAsia"/>
          <w:rtl/>
        </w:rPr>
        <w:t>ک</w:t>
      </w:r>
      <w:r w:rsidRPr="0025250D">
        <w:rPr>
          <w:rtl/>
        </w:rPr>
        <w:t xml:space="preserve"> شبکه پ</w:t>
      </w:r>
      <w:r w:rsidRPr="0025250D">
        <w:rPr>
          <w:rFonts w:hint="cs"/>
          <w:rtl/>
        </w:rPr>
        <w:t>ی</w:t>
      </w:r>
      <w:r w:rsidRPr="0025250D">
        <w:rPr>
          <w:rFonts w:hint="eastAsia"/>
          <w:rtl/>
        </w:rPr>
        <w:t>چ</w:t>
      </w:r>
      <w:r w:rsidRPr="0025250D">
        <w:rPr>
          <w:rFonts w:hint="cs"/>
          <w:rtl/>
        </w:rPr>
        <w:t>ی</w:t>
      </w:r>
      <w:r w:rsidRPr="0025250D">
        <w:rPr>
          <w:rFonts w:hint="eastAsia"/>
          <w:rtl/>
        </w:rPr>
        <w:t>ده</w:t>
      </w:r>
      <w:r w:rsidRPr="0025250D">
        <w:rPr>
          <w:rtl/>
        </w:rPr>
        <w:t xml:space="preserve"> در نظر گرفته م</w:t>
      </w:r>
      <w:r w:rsidRPr="0025250D">
        <w:rPr>
          <w:rFonts w:hint="cs"/>
          <w:rtl/>
        </w:rPr>
        <w:t>ی‌</w:t>
      </w:r>
      <w:r w:rsidRPr="0025250D">
        <w:rPr>
          <w:rFonts w:hint="eastAsia"/>
          <w:rtl/>
        </w:rPr>
        <w:t>شود،</w:t>
      </w:r>
      <w:r w:rsidRPr="0025250D">
        <w:rPr>
          <w:rtl/>
        </w:rPr>
        <w:t xml:space="preserve"> نسبت به تار</w:t>
      </w:r>
      <w:r w:rsidRPr="0025250D">
        <w:rPr>
          <w:rFonts w:hint="cs"/>
          <w:rtl/>
        </w:rPr>
        <w:t>ی</w:t>
      </w:r>
      <w:r w:rsidRPr="0025250D">
        <w:rPr>
          <w:rFonts w:hint="eastAsia"/>
          <w:rtl/>
        </w:rPr>
        <w:t>خ</w:t>
      </w:r>
      <w:r w:rsidRPr="0025250D">
        <w:rPr>
          <w:rtl/>
        </w:rPr>
        <w:t xml:space="preserve"> 10000 ساله خود، </w:t>
      </w:r>
      <w:r w:rsidRPr="0025250D">
        <w:rPr>
          <w:rFonts w:hint="cs"/>
          <w:rtl/>
        </w:rPr>
        <w:t>نوآور</w:t>
      </w:r>
      <w:r w:rsidRPr="0025250D">
        <w:rPr>
          <w:rtl/>
        </w:rPr>
        <w:t>، هوشمند، همدل، اخلاق</w:t>
      </w:r>
      <w:r w:rsidRPr="0025250D">
        <w:rPr>
          <w:rFonts w:hint="cs"/>
          <w:rtl/>
        </w:rPr>
        <w:t>ی</w:t>
      </w:r>
      <w:r w:rsidRPr="0025250D">
        <w:rPr>
          <w:rFonts w:hint="eastAsia"/>
          <w:rtl/>
        </w:rPr>
        <w:t>،</w:t>
      </w:r>
      <w:r w:rsidRPr="0025250D">
        <w:rPr>
          <w:rtl/>
        </w:rPr>
        <w:t xml:space="preserve"> قو</w:t>
      </w:r>
      <w:r w:rsidRPr="0025250D">
        <w:rPr>
          <w:rFonts w:hint="cs"/>
          <w:rtl/>
        </w:rPr>
        <w:t>ی</w:t>
      </w:r>
      <w:r w:rsidRPr="0025250D">
        <w:rPr>
          <w:rtl/>
        </w:rPr>
        <w:t xml:space="preserve"> و پا</w:t>
      </w:r>
      <w:r w:rsidRPr="0025250D">
        <w:rPr>
          <w:rFonts w:hint="cs"/>
          <w:rtl/>
        </w:rPr>
        <w:t>ی</w:t>
      </w:r>
      <w:r w:rsidRPr="0025250D">
        <w:rPr>
          <w:rFonts w:hint="eastAsia"/>
          <w:rtl/>
        </w:rPr>
        <w:t>دارتر</w:t>
      </w:r>
      <w:r w:rsidRPr="0025250D">
        <w:rPr>
          <w:rtl/>
        </w:rPr>
        <w:t xml:space="preserve"> است. ما ا</w:t>
      </w:r>
      <w:r w:rsidRPr="0025250D">
        <w:rPr>
          <w:rFonts w:hint="cs"/>
          <w:rtl/>
        </w:rPr>
        <w:t>ی</w:t>
      </w:r>
      <w:r w:rsidRPr="0025250D">
        <w:rPr>
          <w:rFonts w:hint="eastAsia"/>
          <w:rtl/>
        </w:rPr>
        <w:t>ن</w:t>
      </w:r>
      <w:r w:rsidRPr="0025250D">
        <w:rPr>
          <w:rtl/>
        </w:rPr>
        <w:t xml:space="preserve"> شش مورد را </w:t>
      </w:r>
      <w:r w:rsidR="008D6F97" w:rsidRPr="0025250D">
        <w:rPr>
          <w:rtl/>
        </w:rPr>
        <w:t>«</w:t>
      </w:r>
      <w:r w:rsidRPr="0025250D">
        <w:rPr>
          <w:rtl/>
        </w:rPr>
        <w:t xml:space="preserve">اهداف </w:t>
      </w:r>
      <w:r w:rsidRPr="0025250D">
        <w:t>IES</w:t>
      </w:r>
      <w:r w:rsidR="008D6F97" w:rsidRPr="0025250D">
        <w:rPr>
          <w:rFonts w:hint="cs"/>
          <w:rtl/>
        </w:rPr>
        <w:t>»</w:t>
      </w:r>
      <w:r w:rsidRPr="0025250D">
        <w:rPr>
          <w:rtl/>
        </w:rPr>
        <w:t xml:space="preserve"> می‌نامیم و آن‌ها با هم مدل آینده‌نگاری هنجار</w:t>
      </w:r>
      <w:r w:rsidRPr="0025250D">
        <w:rPr>
          <w:rFonts w:hint="cs"/>
          <w:rtl/>
        </w:rPr>
        <w:t xml:space="preserve">ی </w:t>
      </w:r>
      <w:r w:rsidR="00AE5BE0" w:rsidRPr="0025250D">
        <w:rPr>
          <w:rFonts w:hint="cs"/>
          <w:rtl/>
        </w:rPr>
        <w:t>انطباقی</w:t>
      </w:r>
      <w:r w:rsidRPr="0025250D">
        <w:rPr>
          <w:rtl/>
        </w:rPr>
        <w:t xml:space="preserve"> ما را تشک</w:t>
      </w:r>
      <w:r w:rsidRPr="0025250D">
        <w:rPr>
          <w:rFonts w:hint="cs"/>
          <w:rtl/>
        </w:rPr>
        <w:t>ی</w:t>
      </w:r>
      <w:r w:rsidRPr="0025250D">
        <w:rPr>
          <w:rFonts w:hint="eastAsia"/>
          <w:rtl/>
        </w:rPr>
        <w:t>ل</w:t>
      </w:r>
      <w:r w:rsidRPr="0025250D">
        <w:rPr>
          <w:rtl/>
        </w:rPr>
        <w:t xml:space="preserve"> می‌دهند. بااین‌حال، برخ</w:t>
      </w:r>
      <w:r w:rsidRPr="0025250D">
        <w:rPr>
          <w:rFonts w:hint="cs"/>
          <w:rtl/>
        </w:rPr>
        <w:t>ی</w:t>
      </w:r>
      <w:r w:rsidRPr="0025250D">
        <w:rPr>
          <w:rtl/>
        </w:rPr>
        <w:t xml:space="preserve"> از شرا</w:t>
      </w:r>
      <w:r w:rsidRPr="0025250D">
        <w:rPr>
          <w:rFonts w:hint="cs"/>
          <w:rtl/>
        </w:rPr>
        <w:t>ی</w:t>
      </w:r>
      <w:r w:rsidRPr="0025250D">
        <w:rPr>
          <w:rFonts w:hint="eastAsia"/>
          <w:rtl/>
        </w:rPr>
        <w:t>ط</w:t>
      </w:r>
      <w:r w:rsidRPr="0025250D">
        <w:rPr>
          <w:rtl/>
        </w:rPr>
        <w:t xml:space="preserve"> برا</w:t>
      </w:r>
      <w:r w:rsidRPr="0025250D">
        <w:rPr>
          <w:rFonts w:hint="cs"/>
          <w:rtl/>
        </w:rPr>
        <w:t>ی</w:t>
      </w:r>
      <w:r w:rsidRPr="0025250D">
        <w:rPr>
          <w:rtl/>
        </w:rPr>
        <w:t xml:space="preserve"> افراد، گروه‌ها، شرکت‌ها و جوامع مختلف ب</w:t>
      </w:r>
      <w:r w:rsidRPr="0025250D">
        <w:rPr>
          <w:rFonts w:hint="cs"/>
          <w:rtl/>
        </w:rPr>
        <w:t>ی‌</w:t>
      </w:r>
      <w:r w:rsidRPr="0025250D">
        <w:rPr>
          <w:rFonts w:hint="eastAsia"/>
          <w:rtl/>
        </w:rPr>
        <w:t>ثبات‌تر،</w:t>
      </w:r>
      <w:r w:rsidRPr="0025250D">
        <w:rPr>
          <w:rtl/>
        </w:rPr>
        <w:t xml:space="preserve"> نامطمئن‌تر، واپس‌رونده‌تر و بن</w:t>
      </w:r>
      <w:r w:rsidRPr="0025250D">
        <w:rPr>
          <w:rFonts w:hint="cs"/>
          <w:rtl/>
        </w:rPr>
        <w:t>ی</w:t>
      </w:r>
      <w:r w:rsidRPr="0025250D">
        <w:rPr>
          <w:rFonts w:hint="eastAsia"/>
          <w:rtl/>
        </w:rPr>
        <w:t>ان‌افکن</w:t>
      </w:r>
      <w:r w:rsidRPr="0025250D">
        <w:rPr>
          <w:rFonts w:hint="cs"/>
          <w:rtl/>
        </w:rPr>
        <w:t>‌تر</w:t>
      </w:r>
      <w:r w:rsidRPr="0025250D">
        <w:rPr>
          <w:rtl/>
        </w:rPr>
        <w:t xml:space="preserve"> از گذشته هستند.</w:t>
      </w:r>
      <w:r w:rsidRPr="0025250D">
        <w:rPr>
          <w:rFonts w:hint="cs"/>
          <w:rtl/>
        </w:rPr>
        <w:t xml:space="preserve"> </w:t>
      </w:r>
      <w:r w:rsidRPr="0025250D">
        <w:rPr>
          <w:rtl/>
        </w:rPr>
        <w:t>در آمر</w:t>
      </w:r>
      <w:r w:rsidRPr="0025250D">
        <w:rPr>
          <w:rFonts w:hint="cs"/>
          <w:rtl/>
        </w:rPr>
        <w:t>ی</w:t>
      </w:r>
      <w:r w:rsidRPr="0025250D">
        <w:rPr>
          <w:rFonts w:hint="eastAsia"/>
          <w:rtl/>
        </w:rPr>
        <w:t>کا</w:t>
      </w:r>
      <w:r w:rsidR="00E723FA" w:rsidRPr="0025250D">
        <w:rPr>
          <w:rFonts w:hint="cs"/>
          <w:rtl/>
        </w:rPr>
        <w:t>ی</w:t>
      </w:r>
      <w:r w:rsidRPr="0025250D">
        <w:rPr>
          <w:rtl/>
        </w:rPr>
        <w:t xml:space="preserve"> امروز، افزا</w:t>
      </w:r>
      <w:r w:rsidRPr="0025250D">
        <w:rPr>
          <w:rFonts w:hint="cs"/>
          <w:rtl/>
        </w:rPr>
        <w:t>ی</w:t>
      </w:r>
      <w:r w:rsidRPr="0025250D">
        <w:rPr>
          <w:rFonts w:hint="eastAsia"/>
          <w:rtl/>
        </w:rPr>
        <w:t>ش</w:t>
      </w:r>
      <w:r w:rsidRPr="0025250D">
        <w:rPr>
          <w:rtl/>
        </w:rPr>
        <w:t xml:space="preserve"> نابرابر</w:t>
      </w:r>
      <w:r w:rsidRPr="0025250D">
        <w:rPr>
          <w:rFonts w:hint="cs"/>
          <w:rtl/>
        </w:rPr>
        <w:t>ی</w:t>
      </w:r>
      <w:r w:rsidRPr="0025250D">
        <w:rPr>
          <w:rFonts w:hint="eastAsia"/>
          <w:rtl/>
        </w:rPr>
        <w:t>،</w:t>
      </w:r>
      <w:r w:rsidRPr="0025250D">
        <w:rPr>
          <w:rtl/>
        </w:rPr>
        <w:t xml:space="preserve"> فرسا</w:t>
      </w:r>
      <w:r w:rsidRPr="0025250D">
        <w:rPr>
          <w:rFonts w:hint="cs"/>
          <w:rtl/>
        </w:rPr>
        <w:t>ی</w:t>
      </w:r>
      <w:r w:rsidRPr="0025250D">
        <w:rPr>
          <w:rFonts w:hint="eastAsia"/>
          <w:rtl/>
        </w:rPr>
        <w:t>ش</w:t>
      </w:r>
      <w:r w:rsidRPr="0025250D">
        <w:rPr>
          <w:rtl/>
        </w:rPr>
        <w:t xml:space="preserve"> طبقه متوسط، ب</w:t>
      </w:r>
      <w:r w:rsidRPr="0025250D">
        <w:rPr>
          <w:rFonts w:hint="cs"/>
          <w:rtl/>
        </w:rPr>
        <w:t>ی</w:t>
      </w:r>
      <w:r w:rsidRPr="0025250D">
        <w:rPr>
          <w:rFonts w:hint="eastAsia"/>
          <w:rtl/>
        </w:rPr>
        <w:t>کار</w:t>
      </w:r>
      <w:r w:rsidRPr="0025250D">
        <w:rPr>
          <w:rFonts w:hint="cs"/>
          <w:rtl/>
        </w:rPr>
        <w:t>ی</w:t>
      </w:r>
      <w:r w:rsidRPr="0025250D">
        <w:rPr>
          <w:rtl/>
        </w:rPr>
        <w:t xml:space="preserve"> فنّاورانه</w:t>
      </w:r>
      <w:r w:rsidRPr="0025250D">
        <w:rPr>
          <w:rFonts w:hint="eastAsia"/>
          <w:rtl/>
        </w:rPr>
        <w:t>،</w:t>
      </w:r>
      <w:r w:rsidRPr="0025250D">
        <w:rPr>
          <w:rtl/>
        </w:rPr>
        <w:t xml:space="preserve"> قطب</w:t>
      </w:r>
      <w:r w:rsidRPr="0025250D">
        <w:rPr>
          <w:rFonts w:hint="cs"/>
          <w:rtl/>
        </w:rPr>
        <w:t>ی</w:t>
      </w:r>
      <w:r w:rsidRPr="0025250D">
        <w:rPr>
          <w:rtl/>
        </w:rPr>
        <w:t xml:space="preserve"> شدن س</w:t>
      </w:r>
      <w:r w:rsidRPr="0025250D">
        <w:rPr>
          <w:rFonts w:hint="cs"/>
          <w:rtl/>
        </w:rPr>
        <w:t>ی</w:t>
      </w:r>
      <w:r w:rsidRPr="0025250D">
        <w:rPr>
          <w:rFonts w:hint="eastAsia"/>
          <w:rtl/>
        </w:rPr>
        <w:t>اس</w:t>
      </w:r>
      <w:r w:rsidRPr="0025250D">
        <w:rPr>
          <w:rFonts w:hint="cs"/>
          <w:rtl/>
        </w:rPr>
        <w:t>ی</w:t>
      </w:r>
      <w:r w:rsidRPr="0025250D">
        <w:rPr>
          <w:rFonts w:hint="eastAsia"/>
          <w:rtl/>
        </w:rPr>
        <w:t>،</w:t>
      </w:r>
      <w:r w:rsidRPr="0025250D">
        <w:rPr>
          <w:rtl/>
        </w:rPr>
        <w:t xml:space="preserve"> </w:t>
      </w:r>
      <w:r w:rsidR="00947B39" w:rsidRPr="0025250D">
        <w:rPr>
          <w:rFonts w:hint="cs"/>
          <w:rtl/>
        </w:rPr>
        <w:t>سامانه</w:t>
      </w:r>
      <w:r w:rsidRPr="0025250D">
        <w:rPr>
          <w:rFonts w:hint="cs"/>
          <w:rtl/>
        </w:rPr>
        <w:t xml:space="preserve"> آموزش</w:t>
      </w:r>
      <w:r w:rsidRPr="0025250D">
        <w:rPr>
          <w:rtl/>
        </w:rPr>
        <w:t xml:space="preserve"> شکست‌خورده، بده</w:t>
      </w:r>
      <w:r w:rsidRPr="0025250D">
        <w:rPr>
          <w:rFonts w:hint="cs"/>
          <w:rtl/>
        </w:rPr>
        <w:t>ی</w:t>
      </w:r>
      <w:r w:rsidRPr="0025250D">
        <w:rPr>
          <w:rFonts w:hint="eastAsia"/>
          <w:rtl/>
        </w:rPr>
        <w:t>،</w:t>
      </w:r>
      <w:r w:rsidRPr="0025250D">
        <w:rPr>
          <w:rtl/>
        </w:rPr>
        <w:t xml:space="preserve"> اعت</w:t>
      </w:r>
      <w:r w:rsidRPr="0025250D">
        <w:rPr>
          <w:rFonts w:hint="cs"/>
          <w:rtl/>
        </w:rPr>
        <w:t>ی</w:t>
      </w:r>
      <w:r w:rsidRPr="0025250D">
        <w:rPr>
          <w:rFonts w:hint="eastAsia"/>
          <w:rtl/>
        </w:rPr>
        <w:t>اد،</w:t>
      </w:r>
      <w:r w:rsidRPr="0025250D">
        <w:rPr>
          <w:rtl/>
        </w:rPr>
        <w:t xml:space="preserve"> اخبار جعل</w:t>
      </w:r>
      <w:r w:rsidRPr="0025250D">
        <w:rPr>
          <w:rFonts w:hint="cs"/>
          <w:rtl/>
        </w:rPr>
        <w:t>ی</w:t>
      </w:r>
      <w:r w:rsidRPr="0025250D">
        <w:rPr>
          <w:rFonts w:hint="eastAsia"/>
          <w:rtl/>
        </w:rPr>
        <w:t>،</w:t>
      </w:r>
      <w:r w:rsidRPr="0025250D">
        <w:rPr>
          <w:rtl/>
        </w:rPr>
        <w:t xml:space="preserve"> جرائم سا</w:t>
      </w:r>
      <w:r w:rsidRPr="0025250D">
        <w:rPr>
          <w:rFonts w:hint="cs"/>
          <w:rtl/>
        </w:rPr>
        <w:t>ی</w:t>
      </w:r>
      <w:r w:rsidRPr="0025250D">
        <w:rPr>
          <w:rFonts w:hint="eastAsia"/>
          <w:rtl/>
        </w:rPr>
        <w:t>بر</w:t>
      </w:r>
      <w:r w:rsidRPr="0025250D">
        <w:rPr>
          <w:rFonts w:hint="cs"/>
          <w:rtl/>
        </w:rPr>
        <w:t>ی</w:t>
      </w:r>
      <w:r w:rsidRPr="0025250D">
        <w:rPr>
          <w:rFonts w:hint="eastAsia"/>
          <w:rtl/>
        </w:rPr>
        <w:t>،</w:t>
      </w:r>
      <w:r w:rsidRPr="0025250D">
        <w:rPr>
          <w:rtl/>
        </w:rPr>
        <w:t xml:space="preserve"> رقابت قدرت‌های بزرگ، ب</w:t>
      </w:r>
      <w:r w:rsidRPr="0025250D">
        <w:rPr>
          <w:rFonts w:hint="cs"/>
          <w:rtl/>
        </w:rPr>
        <w:t>ی</w:t>
      </w:r>
      <w:r w:rsidRPr="0025250D">
        <w:rPr>
          <w:rFonts w:hint="eastAsia"/>
          <w:rtl/>
        </w:rPr>
        <w:t>مار</w:t>
      </w:r>
      <w:r w:rsidRPr="0025250D">
        <w:rPr>
          <w:rFonts w:hint="cs"/>
          <w:rtl/>
        </w:rPr>
        <w:t>ی</w:t>
      </w:r>
      <w:r w:rsidRPr="0025250D">
        <w:rPr>
          <w:rtl/>
        </w:rPr>
        <w:t xml:space="preserve"> همه‌گیر و تغ</w:t>
      </w:r>
      <w:r w:rsidRPr="0025250D">
        <w:rPr>
          <w:rFonts w:hint="cs"/>
          <w:rtl/>
        </w:rPr>
        <w:t>یی</w:t>
      </w:r>
      <w:r w:rsidRPr="0025250D">
        <w:rPr>
          <w:rFonts w:hint="eastAsia"/>
          <w:rtl/>
        </w:rPr>
        <w:t>رات</w:t>
      </w:r>
      <w:r w:rsidRPr="0025250D">
        <w:rPr>
          <w:rtl/>
        </w:rPr>
        <w:t xml:space="preserve"> آب‌وهوا</w:t>
      </w:r>
      <w:r w:rsidRPr="0025250D">
        <w:rPr>
          <w:rFonts w:hint="cs"/>
          <w:rtl/>
        </w:rPr>
        <w:t>یی</w:t>
      </w:r>
      <w:r w:rsidRPr="0025250D">
        <w:rPr>
          <w:rtl/>
        </w:rPr>
        <w:t xml:space="preserve"> تنها تعداد</w:t>
      </w:r>
      <w:r w:rsidRPr="0025250D">
        <w:rPr>
          <w:rFonts w:hint="cs"/>
          <w:rtl/>
        </w:rPr>
        <w:t>ی</w:t>
      </w:r>
      <w:r w:rsidRPr="0025250D">
        <w:rPr>
          <w:rtl/>
        </w:rPr>
        <w:t xml:space="preserve"> از مشکلات</w:t>
      </w:r>
      <w:r w:rsidRPr="0025250D">
        <w:rPr>
          <w:rFonts w:hint="cs"/>
          <w:rtl/>
        </w:rPr>
        <w:t>ی</w:t>
      </w:r>
      <w:r w:rsidRPr="0025250D">
        <w:rPr>
          <w:rtl/>
        </w:rPr>
        <w:t xml:space="preserve"> </w:t>
      </w:r>
      <w:r w:rsidRPr="0025250D">
        <w:rPr>
          <w:rFonts w:hint="cs"/>
          <w:rtl/>
        </w:rPr>
        <w:t>هستند</w:t>
      </w:r>
      <w:r w:rsidRPr="0025250D">
        <w:rPr>
          <w:rtl/>
        </w:rPr>
        <w:t xml:space="preserve"> که برا</w:t>
      </w:r>
      <w:r w:rsidRPr="0025250D">
        <w:rPr>
          <w:rFonts w:hint="cs"/>
          <w:rtl/>
        </w:rPr>
        <w:t>ی</w:t>
      </w:r>
      <w:r w:rsidRPr="0025250D">
        <w:rPr>
          <w:rtl/>
        </w:rPr>
        <w:t xml:space="preserve"> خود ا</w:t>
      </w:r>
      <w:r w:rsidRPr="0025250D">
        <w:rPr>
          <w:rFonts w:hint="cs"/>
          <w:rtl/>
        </w:rPr>
        <w:t>ی</w:t>
      </w:r>
      <w:r w:rsidRPr="0025250D">
        <w:rPr>
          <w:rFonts w:hint="eastAsia"/>
          <w:rtl/>
        </w:rPr>
        <w:t>جاد</w:t>
      </w:r>
      <w:r w:rsidRPr="0025250D">
        <w:rPr>
          <w:rtl/>
        </w:rPr>
        <w:t xml:space="preserve"> کرده‌ایم</w:t>
      </w:r>
      <w:r w:rsidR="008D6F97" w:rsidRPr="0025250D">
        <w:rPr>
          <w:rtl/>
        </w:rPr>
        <w:t>؛ و</w:t>
      </w:r>
      <w:r w:rsidRPr="0025250D">
        <w:rPr>
          <w:rtl/>
        </w:rPr>
        <w:t xml:space="preserve"> برا</w:t>
      </w:r>
      <w:r w:rsidRPr="0025250D">
        <w:rPr>
          <w:rFonts w:hint="cs"/>
          <w:rtl/>
        </w:rPr>
        <w:t>ی</w:t>
      </w:r>
      <w:r w:rsidRPr="0025250D">
        <w:rPr>
          <w:rtl/>
        </w:rPr>
        <w:t xml:space="preserve"> حل</w:t>
      </w:r>
      <w:r w:rsidRPr="0025250D">
        <w:rPr>
          <w:rFonts w:hint="cs"/>
          <w:rtl/>
        </w:rPr>
        <w:t xml:space="preserve"> آن‌ها</w:t>
      </w:r>
      <w:r w:rsidRPr="0025250D">
        <w:rPr>
          <w:rtl/>
        </w:rPr>
        <w:t xml:space="preserve"> با</w:t>
      </w:r>
      <w:r w:rsidRPr="0025250D">
        <w:rPr>
          <w:rFonts w:hint="cs"/>
          <w:rtl/>
        </w:rPr>
        <w:t>ی</w:t>
      </w:r>
      <w:r w:rsidRPr="0025250D">
        <w:rPr>
          <w:rFonts w:hint="eastAsia"/>
          <w:rtl/>
        </w:rPr>
        <w:t>د</w:t>
      </w:r>
      <w:r w:rsidRPr="0025250D">
        <w:rPr>
          <w:rtl/>
        </w:rPr>
        <w:t xml:space="preserve"> به خودمان تک</w:t>
      </w:r>
      <w:r w:rsidRPr="0025250D">
        <w:rPr>
          <w:rFonts w:hint="cs"/>
          <w:rtl/>
        </w:rPr>
        <w:t>ی</w:t>
      </w:r>
      <w:r w:rsidRPr="0025250D">
        <w:rPr>
          <w:rFonts w:hint="eastAsia"/>
          <w:rtl/>
        </w:rPr>
        <w:t>ه</w:t>
      </w:r>
      <w:r w:rsidRPr="0025250D">
        <w:rPr>
          <w:rtl/>
        </w:rPr>
        <w:t xml:space="preserve"> کن</w:t>
      </w:r>
      <w:r w:rsidRPr="0025250D">
        <w:rPr>
          <w:rFonts w:hint="cs"/>
          <w:rtl/>
        </w:rPr>
        <w:t>ی</w:t>
      </w:r>
      <w:r w:rsidRPr="0025250D">
        <w:rPr>
          <w:rFonts w:hint="eastAsia"/>
          <w:rtl/>
        </w:rPr>
        <w:t>م</w:t>
      </w:r>
      <w:r w:rsidRPr="0025250D">
        <w:rPr>
          <w:rtl/>
        </w:rPr>
        <w:t>.</w:t>
      </w:r>
    </w:p>
    <w:p w14:paraId="63E6503A" w14:textId="263B03A6" w:rsidR="00B219EF" w:rsidRPr="0025250D" w:rsidRDefault="00B219EF" w:rsidP="004445C5">
      <w:pPr>
        <w:rPr>
          <w:rtl/>
        </w:rPr>
      </w:pPr>
      <w:r w:rsidRPr="0025250D">
        <w:rPr>
          <w:rtl/>
        </w:rPr>
        <w:t>هر چه تغ</w:t>
      </w:r>
      <w:r w:rsidRPr="0025250D">
        <w:rPr>
          <w:rFonts w:hint="cs"/>
          <w:rtl/>
        </w:rPr>
        <w:t>یی</w:t>
      </w:r>
      <w:r w:rsidRPr="0025250D">
        <w:rPr>
          <w:rFonts w:hint="eastAsia"/>
          <w:rtl/>
        </w:rPr>
        <w:t>رات</w:t>
      </w:r>
      <w:r w:rsidRPr="0025250D">
        <w:rPr>
          <w:rtl/>
        </w:rPr>
        <w:t xml:space="preserve"> سریع‌تر پ</w:t>
      </w:r>
      <w:r w:rsidRPr="0025250D">
        <w:rPr>
          <w:rFonts w:hint="cs"/>
          <w:rtl/>
        </w:rPr>
        <w:t>ی</w:t>
      </w:r>
      <w:r w:rsidRPr="0025250D">
        <w:rPr>
          <w:rFonts w:hint="eastAsia"/>
          <w:rtl/>
        </w:rPr>
        <w:t>ش</w:t>
      </w:r>
      <w:r w:rsidRPr="0025250D">
        <w:rPr>
          <w:rtl/>
        </w:rPr>
        <w:t xml:space="preserve"> برو</w:t>
      </w:r>
      <w:r w:rsidR="00E723FA" w:rsidRPr="0025250D">
        <w:rPr>
          <w:rFonts w:hint="cs"/>
          <w:rtl/>
        </w:rPr>
        <w:t>ن</w:t>
      </w:r>
      <w:r w:rsidRPr="0025250D">
        <w:rPr>
          <w:rtl/>
        </w:rPr>
        <w:t>د،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ب</w:t>
      </w:r>
      <w:r w:rsidRPr="0025250D">
        <w:rPr>
          <w:rFonts w:hint="cs"/>
          <w:rtl/>
        </w:rPr>
        <w:t>ی</w:t>
      </w:r>
      <w:r w:rsidRPr="0025250D">
        <w:rPr>
          <w:rFonts w:hint="eastAsia"/>
          <w:rtl/>
        </w:rPr>
        <w:t>شتر</w:t>
      </w:r>
      <w:r w:rsidRPr="0025250D">
        <w:rPr>
          <w:rtl/>
        </w:rPr>
        <w:t xml:space="preserve"> موردتقاضا </w:t>
      </w:r>
      <w:r w:rsidRPr="0025250D">
        <w:rPr>
          <w:rFonts w:hint="cs"/>
          <w:rtl/>
        </w:rPr>
        <w:t>خواهد بود</w:t>
      </w:r>
      <w:r w:rsidRPr="0025250D">
        <w:rPr>
          <w:rtl/>
        </w:rPr>
        <w:t xml:space="preserve"> و داستان‌های ب</w:t>
      </w:r>
      <w:r w:rsidRPr="0025250D">
        <w:rPr>
          <w:rFonts w:hint="cs"/>
          <w:rtl/>
        </w:rPr>
        <w:t>ی</w:t>
      </w:r>
      <w:r w:rsidRPr="0025250D">
        <w:rPr>
          <w:rFonts w:hint="eastAsia"/>
          <w:rtl/>
        </w:rPr>
        <w:t>شتر</w:t>
      </w:r>
      <w:r w:rsidRPr="0025250D">
        <w:rPr>
          <w:rFonts w:hint="cs"/>
          <w:rtl/>
        </w:rPr>
        <w:t>ی در مورد آینده</w:t>
      </w:r>
      <w:r w:rsidRPr="0025250D">
        <w:rPr>
          <w:rtl/>
        </w:rPr>
        <w:t xml:space="preserve"> </w:t>
      </w:r>
      <w:r w:rsidR="00E723FA" w:rsidRPr="0025250D">
        <w:rPr>
          <w:rFonts w:hint="cs"/>
          <w:rtl/>
        </w:rPr>
        <w:t>بیان</w:t>
      </w:r>
      <w:r w:rsidRPr="0025250D">
        <w:rPr>
          <w:rtl/>
        </w:rPr>
        <w:t xml:space="preserve"> م</w:t>
      </w:r>
      <w:r w:rsidRPr="0025250D">
        <w:rPr>
          <w:rFonts w:hint="cs"/>
          <w:rtl/>
        </w:rPr>
        <w:t>ی‌</w:t>
      </w:r>
      <w:r w:rsidRPr="0025250D">
        <w:rPr>
          <w:rFonts w:hint="eastAsia"/>
          <w:rtl/>
        </w:rPr>
        <w:t>شو</w:t>
      </w:r>
      <w:r w:rsidRPr="0025250D">
        <w:rPr>
          <w:rFonts w:hint="cs"/>
          <w:rtl/>
        </w:rPr>
        <w:t>ن</w:t>
      </w:r>
      <w:r w:rsidRPr="0025250D">
        <w:rPr>
          <w:rFonts w:hint="eastAsia"/>
          <w:rtl/>
        </w:rPr>
        <w:t>د</w:t>
      </w:r>
      <w:r w:rsidRPr="0025250D">
        <w:rPr>
          <w:rtl/>
        </w:rPr>
        <w:t xml:space="preserve"> که بس</w:t>
      </w:r>
      <w:r w:rsidRPr="0025250D">
        <w:rPr>
          <w:rFonts w:hint="cs"/>
          <w:rtl/>
        </w:rPr>
        <w:t>ی</w:t>
      </w:r>
      <w:r w:rsidRPr="0025250D">
        <w:rPr>
          <w:rFonts w:hint="eastAsia"/>
          <w:rtl/>
        </w:rPr>
        <w:t>ار</w:t>
      </w:r>
      <w:r w:rsidRPr="0025250D">
        <w:rPr>
          <w:rFonts w:hint="cs"/>
          <w:rtl/>
        </w:rPr>
        <w:t>ی</w:t>
      </w:r>
      <w:r w:rsidRPr="0025250D">
        <w:rPr>
          <w:rtl/>
        </w:rPr>
        <w:t xml:space="preserve"> از آن‌ها در ابتدا بس</w:t>
      </w:r>
      <w:r w:rsidRPr="0025250D">
        <w:rPr>
          <w:rFonts w:hint="cs"/>
          <w:rtl/>
        </w:rPr>
        <w:t>ی</w:t>
      </w:r>
      <w:r w:rsidRPr="0025250D">
        <w:rPr>
          <w:rFonts w:hint="eastAsia"/>
          <w:rtl/>
        </w:rPr>
        <w:t>ار</w:t>
      </w:r>
      <w:r w:rsidRPr="0025250D">
        <w:rPr>
          <w:rtl/>
        </w:rPr>
        <w:t xml:space="preserve"> ضع</w:t>
      </w:r>
      <w:r w:rsidRPr="0025250D">
        <w:rPr>
          <w:rFonts w:hint="cs"/>
          <w:rtl/>
        </w:rPr>
        <w:t>ی</w:t>
      </w:r>
      <w:r w:rsidRPr="0025250D">
        <w:rPr>
          <w:rFonts w:hint="eastAsia"/>
          <w:rtl/>
        </w:rPr>
        <w:t>ف</w:t>
      </w:r>
      <w:r w:rsidRPr="0025250D">
        <w:rPr>
          <w:rtl/>
        </w:rPr>
        <w:t xml:space="preserve"> هستند.</w:t>
      </w:r>
      <w:r w:rsidRPr="0025250D">
        <w:rPr>
          <w:rFonts w:hint="cs"/>
          <w:rtl/>
        </w:rPr>
        <w:t xml:space="preserve"> این</w:t>
      </w:r>
      <w:r w:rsidRPr="0025250D">
        <w:rPr>
          <w:rtl/>
        </w:rPr>
        <w:t xml:space="preserve"> راهنما به شما کمک م</w:t>
      </w:r>
      <w:r w:rsidRPr="0025250D">
        <w:rPr>
          <w:rFonts w:hint="cs"/>
          <w:rtl/>
        </w:rPr>
        <w:t>ی‌</w:t>
      </w:r>
      <w:r w:rsidRPr="0025250D">
        <w:rPr>
          <w:rFonts w:hint="eastAsia"/>
          <w:rtl/>
        </w:rPr>
        <w:t>کند</w:t>
      </w:r>
      <w:r w:rsidRPr="0025250D">
        <w:rPr>
          <w:rtl/>
        </w:rPr>
        <w:t xml:space="preserve"> تا سطوح رو به رشد </w:t>
      </w:r>
      <w:r w:rsidRPr="0025250D">
        <w:rPr>
          <w:rFonts w:hint="cs"/>
          <w:rtl/>
        </w:rPr>
        <w:t>تخیل</w:t>
      </w:r>
      <w:r w:rsidRPr="0025250D">
        <w:rPr>
          <w:vertAlign w:val="superscript"/>
          <w:rtl/>
        </w:rPr>
        <w:footnoteReference w:id="38"/>
      </w:r>
      <w:r w:rsidRPr="0025250D">
        <w:rPr>
          <w:rFonts w:hint="eastAsia"/>
          <w:rtl/>
        </w:rPr>
        <w:t>،</w:t>
      </w:r>
      <w:r w:rsidRPr="0025250D">
        <w:rPr>
          <w:rtl/>
        </w:rPr>
        <w:t xml:space="preserve"> </w:t>
      </w:r>
      <w:r w:rsidRPr="0025250D">
        <w:rPr>
          <w:rFonts w:hint="cs"/>
          <w:rtl/>
        </w:rPr>
        <w:t>نویز</w:t>
      </w:r>
      <w:r w:rsidRPr="0025250D">
        <w:rPr>
          <w:vertAlign w:val="superscript"/>
          <w:rtl/>
        </w:rPr>
        <w:footnoteReference w:id="39"/>
      </w:r>
      <w:r w:rsidRPr="0025250D">
        <w:rPr>
          <w:rtl/>
        </w:rPr>
        <w:t xml:space="preserve"> و ه</w:t>
      </w:r>
      <w:r w:rsidRPr="0025250D">
        <w:rPr>
          <w:rFonts w:hint="cs"/>
          <w:rtl/>
        </w:rPr>
        <w:t>ی</w:t>
      </w:r>
      <w:r w:rsidRPr="0025250D">
        <w:rPr>
          <w:rFonts w:hint="eastAsia"/>
          <w:rtl/>
        </w:rPr>
        <w:t>اهو</w:t>
      </w:r>
      <w:r w:rsidRPr="0025250D">
        <w:rPr>
          <w:rFonts w:hint="cs"/>
          <w:rtl/>
        </w:rPr>
        <w:t>ی</w:t>
      </w:r>
      <w:r w:rsidRPr="0025250D">
        <w:rPr>
          <w:vertAlign w:val="superscript"/>
          <w:rtl/>
        </w:rPr>
        <w:footnoteReference w:id="40"/>
      </w:r>
      <w:r w:rsidRPr="0025250D">
        <w:rPr>
          <w:rtl/>
        </w:rPr>
        <w:t xml:space="preserve"> آ</w:t>
      </w:r>
      <w:r w:rsidRPr="0025250D">
        <w:rPr>
          <w:rFonts w:hint="cs"/>
          <w:rtl/>
        </w:rPr>
        <w:t>ی</w:t>
      </w:r>
      <w:r w:rsidRPr="0025250D">
        <w:rPr>
          <w:rFonts w:hint="eastAsia"/>
          <w:rtl/>
        </w:rPr>
        <w:t>نده</w:t>
      </w:r>
      <w:r w:rsidRPr="0025250D">
        <w:rPr>
          <w:rtl/>
        </w:rPr>
        <w:t xml:space="preserve"> را بب</w:t>
      </w:r>
      <w:r w:rsidRPr="0025250D">
        <w:rPr>
          <w:rFonts w:hint="cs"/>
          <w:rtl/>
        </w:rPr>
        <w:t>ی</w:t>
      </w:r>
      <w:r w:rsidRPr="0025250D">
        <w:rPr>
          <w:rFonts w:hint="eastAsia"/>
          <w:rtl/>
        </w:rPr>
        <w:t>ن</w:t>
      </w:r>
      <w:r w:rsidRPr="0025250D">
        <w:rPr>
          <w:rFonts w:hint="cs"/>
          <w:rtl/>
        </w:rPr>
        <w:t>ی</w:t>
      </w:r>
      <w:r w:rsidRPr="0025250D">
        <w:rPr>
          <w:rFonts w:hint="eastAsia"/>
          <w:rtl/>
        </w:rPr>
        <w:t>د</w:t>
      </w:r>
      <w:r w:rsidRPr="0025250D">
        <w:rPr>
          <w:rtl/>
        </w:rPr>
        <w:t xml:space="preserve"> تا شواهد، روندها و </w:t>
      </w:r>
      <w:r w:rsidRPr="0025250D">
        <w:rPr>
          <w:rFonts w:hint="cs"/>
          <w:rtl/>
        </w:rPr>
        <w:t>نشانک‌های</w:t>
      </w:r>
      <w:r w:rsidRPr="0025250D">
        <w:rPr>
          <w:rtl/>
        </w:rPr>
        <w:t xml:space="preserve"> واقع</w:t>
      </w:r>
      <w:r w:rsidRPr="0025250D">
        <w:rPr>
          <w:rFonts w:hint="cs"/>
          <w:rtl/>
        </w:rPr>
        <w:t>ی</w:t>
      </w:r>
      <w:r w:rsidRPr="0025250D">
        <w:rPr>
          <w:rtl/>
        </w:rPr>
        <w:t xml:space="preserve"> را که برا</w:t>
      </w:r>
      <w:r w:rsidRPr="0025250D">
        <w:rPr>
          <w:rFonts w:hint="cs"/>
          <w:rtl/>
        </w:rPr>
        <w:t>ی</w:t>
      </w:r>
      <w:r w:rsidRPr="0025250D">
        <w:rPr>
          <w:rtl/>
        </w:rPr>
        <w:t xml:space="preserve"> هدا</w:t>
      </w:r>
      <w:r w:rsidRPr="0025250D">
        <w:rPr>
          <w:rFonts w:hint="cs"/>
          <w:rtl/>
        </w:rPr>
        <w:t>ی</w:t>
      </w:r>
      <w:r w:rsidRPr="0025250D">
        <w:rPr>
          <w:rFonts w:hint="eastAsia"/>
          <w:rtl/>
        </w:rPr>
        <w:t>ت</w:t>
      </w:r>
      <w:r w:rsidRPr="0025250D">
        <w:rPr>
          <w:rtl/>
        </w:rPr>
        <w:t xml:space="preserve"> </w:t>
      </w:r>
      <w:r w:rsidR="00701E03" w:rsidRPr="0025250D">
        <w:rPr>
          <w:rtl/>
        </w:rPr>
        <w:t>راهبرد</w:t>
      </w:r>
      <w:r w:rsidRPr="0025250D">
        <w:rPr>
          <w:rtl/>
        </w:rPr>
        <w:t xml:space="preserve"> خود ن</w:t>
      </w:r>
      <w:r w:rsidRPr="0025250D">
        <w:rPr>
          <w:rFonts w:hint="cs"/>
          <w:rtl/>
        </w:rPr>
        <w:t>ی</w:t>
      </w:r>
      <w:r w:rsidRPr="0025250D">
        <w:rPr>
          <w:rFonts w:hint="eastAsia"/>
          <w:rtl/>
        </w:rPr>
        <w:t>از</w:t>
      </w:r>
      <w:r w:rsidRPr="0025250D">
        <w:rPr>
          <w:rtl/>
        </w:rPr>
        <w:t xml:space="preserve"> دار</w:t>
      </w:r>
      <w:r w:rsidRPr="0025250D">
        <w:rPr>
          <w:rFonts w:hint="cs"/>
          <w:rtl/>
        </w:rPr>
        <w:t>ی</w:t>
      </w:r>
      <w:r w:rsidRPr="0025250D">
        <w:rPr>
          <w:rFonts w:hint="eastAsia"/>
          <w:rtl/>
        </w:rPr>
        <w:t>د،</w:t>
      </w:r>
      <w:r w:rsidRPr="0025250D">
        <w:rPr>
          <w:rtl/>
        </w:rPr>
        <w:t xml:space="preserve"> ب</w:t>
      </w:r>
      <w:r w:rsidRPr="0025250D">
        <w:rPr>
          <w:rFonts w:hint="cs"/>
          <w:rtl/>
        </w:rPr>
        <w:t>ی</w:t>
      </w:r>
      <w:r w:rsidRPr="0025250D">
        <w:rPr>
          <w:rFonts w:hint="eastAsia"/>
          <w:rtl/>
        </w:rPr>
        <w:t>اب</w:t>
      </w:r>
      <w:r w:rsidRPr="0025250D">
        <w:rPr>
          <w:rFonts w:hint="cs"/>
          <w:rtl/>
        </w:rPr>
        <w:t>ی</w:t>
      </w:r>
      <w:r w:rsidRPr="0025250D">
        <w:rPr>
          <w:rFonts w:hint="eastAsia"/>
          <w:rtl/>
        </w:rPr>
        <w:t>د</w:t>
      </w:r>
      <w:r w:rsidRPr="0025250D">
        <w:rPr>
          <w:rtl/>
        </w:rPr>
        <w:t>. هرچه آینده‌نگاری بهتر</w:t>
      </w:r>
      <w:r w:rsidRPr="0025250D">
        <w:rPr>
          <w:rFonts w:hint="cs"/>
          <w:rtl/>
        </w:rPr>
        <w:t>ی</w:t>
      </w:r>
      <w:r w:rsidRPr="0025250D">
        <w:rPr>
          <w:rtl/>
        </w:rPr>
        <w:t xml:space="preserve"> داشته باش</w:t>
      </w:r>
      <w:r w:rsidRPr="0025250D">
        <w:rPr>
          <w:rFonts w:hint="cs"/>
          <w:rtl/>
        </w:rPr>
        <w:t>ی</w:t>
      </w:r>
      <w:r w:rsidRPr="0025250D">
        <w:rPr>
          <w:rFonts w:hint="eastAsia"/>
          <w:rtl/>
        </w:rPr>
        <w:t>م،</w:t>
      </w:r>
      <w:r w:rsidRPr="0025250D">
        <w:rPr>
          <w:rtl/>
        </w:rPr>
        <w:t xml:space="preserve"> بهتر می‌توانیم جنبه‌های منف</w:t>
      </w:r>
      <w:r w:rsidRPr="0025250D">
        <w:rPr>
          <w:rFonts w:hint="cs"/>
          <w:rtl/>
        </w:rPr>
        <w:t>ی</w:t>
      </w:r>
      <w:r w:rsidRPr="0025250D">
        <w:rPr>
          <w:rtl/>
        </w:rPr>
        <w:t xml:space="preserve"> را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کن</w:t>
      </w:r>
      <w:r w:rsidRPr="0025250D">
        <w:rPr>
          <w:rFonts w:hint="cs"/>
          <w:rtl/>
        </w:rPr>
        <w:t>ی</w:t>
      </w:r>
      <w:r w:rsidRPr="0025250D">
        <w:rPr>
          <w:rFonts w:hint="eastAsia"/>
          <w:rtl/>
        </w:rPr>
        <w:t>م</w:t>
      </w:r>
      <w:r w:rsidRPr="0025250D">
        <w:rPr>
          <w:rtl/>
        </w:rPr>
        <w:t xml:space="preserve"> و تغ</w:t>
      </w:r>
      <w:r w:rsidRPr="0025250D">
        <w:rPr>
          <w:rFonts w:hint="cs"/>
          <w:rtl/>
        </w:rPr>
        <w:t>یی</w:t>
      </w:r>
      <w:r w:rsidRPr="0025250D">
        <w:rPr>
          <w:rFonts w:hint="eastAsia"/>
          <w:rtl/>
        </w:rPr>
        <w:t>رات</w:t>
      </w:r>
      <w:r w:rsidRPr="0025250D">
        <w:rPr>
          <w:rtl/>
        </w:rPr>
        <w:t xml:space="preserve"> </w:t>
      </w:r>
      <w:r w:rsidR="00E723FA" w:rsidRPr="0025250D">
        <w:rPr>
          <w:rFonts w:hint="cs"/>
          <w:rtl/>
        </w:rPr>
        <w:t xml:space="preserve">با </w:t>
      </w:r>
      <w:r w:rsidRPr="0025250D">
        <w:rPr>
          <w:rtl/>
        </w:rPr>
        <w:t>شتاب بی‌امان را هدا</w:t>
      </w:r>
      <w:r w:rsidRPr="0025250D">
        <w:rPr>
          <w:rFonts w:hint="cs"/>
          <w:rtl/>
        </w:rPr>
        <w:t>ی</w:t>
      </w:r>
      <w:r w:rsidRPr="0025250D">
        <w:rPr>
          <w:rFonts w:hint="eastAsia"/>
          <w:rtl/>
        </w:rPr>
        <w:t>ت</w:t>
      </w:r>
      <w:r w:rsidRPr="0025250D">
        <w:rPr>
          <w:rtl/>
        </w:rPr>
        <w:t xml:space="preserve"> کن</w:t>
      </w:r>
      <w:r w:rsidRPr="0025250D">
        <w:rPr>
          <w:rFonts w:hint="cs"/>
          <w:rtl/>
        </w:rPr>
        <w:t>ی</w:t>
      </w:r>
      <w:r w:rsidRPr="0025250D">
        <w:rPr>
          <w:rFonts w:hint="eastAsia"/>
          <w:rtl/>
        </w:rPr>
        <w:t>م</w:t>
      </w:r>
      <w:r w:rsidRPr="0025250D">
        <w:rPr>
          <w:rtl/>
        </w:rPr>
        <w:t>.</w:t>
      </w:r>
      <w:r w:rsidRPr="0025250D">
        <w:rPr>
          <w:rFonts w:hint="cs"/>
          <w:rtl/>
        </w:rPr>
        <w:t xml:space="preserve"> </w:t>
      </w:r>
      <w:r w:rsidRPr="0025250D">
        <w:rPr>
          <w:rtl/>
        </w:rPr>
        <w:t xml:space="preserve">هر </w:t>
      </w:r>
      <w:r w:rsidRPr="0025250D">
        <w:rPr>
          <w:rFonts w:hint="cs"/>
          <w:rtl/>
        </w:rPr>
        <w:t>ی</w:t>
      </w:r>
      <w:r w:rsidRPr="0025250D">
        <w:rPr>
          <w:rFonts w:hint="eastAsia"/>
          <w:rtl/>
        </w:rPr>
        <w:t>ک</w:t>
      </w:r>
      <w:r w:rsidRPr="0025250D">
        <w:rPr>
          <w:rtl/>
        </w:rPr>
        <w:t xml:space="preserve"> از ما که در دوران گذارها</w:t>
      </w:r>
      <w:r w:rsidRPr="0025250D">
        <w:rPr>
          <w:rFonts w:hint="cs"/>
          <w:rtl/>
        </w:rPr>
        <w:t>ی</w:t>
      </w:r>
      <w:r w:rsidRPr="0025250D">
        <w:rPr>
          <w:rtl/>
        </w:rPr>
        <w:t xml:space="preserve"> بزرگ به دن</w:t>
      </w:r>
      <w:r w:rsidRPr="0025250D">
        <w:rPr>
          <w:rFonts w:hint="cs"/>
          <w:rtl/>
        </w:rPr>
        <w:t>ی</w:t>
      </w:r>
      <w:r w:rsidRPr="0025250D">
        <w:rPr>
          <w:rFonts w:hint="eastAsia"/>
          <w:rtl/>
        </w:rPr>
        <w:t>ا</w:t>
      </w:r>
      <w:r w:rsidRPr="0025250D">
        <w:rPr>
          <w:rtl/>
        </w:rPr>
        <w:t xml:space="preserve"> آمده‌ایم (به کتاب 2 مراجعه کن</w:t>
      </w:r>
      <w:r w:rsidRPr="0025250D">
        <w:rPr>
          <w:rFonts w:hint="cs"/>
          <w:rtl/>
        </w:rPr>
        <w:t>ی</w:t>
      </w:r>
      <w:r w:rsidRPr="0025250D">
        <w:rPr>
          <w:rFonts w:hint="eastAsia"/>
          <w:rtl/>
        </w:rPr>
        <w:t>د</w:t>
      </w:r>
      <w:r w:rsidRPr="0025250D">
        <w:rPr>
          <w:rtl/>
        </w:rPr>
        <w:t>)، می‌توانیم بب</w:t>
      </w:r>
      <w:r w:rsidRPr="0025250D">
        <w:rPr>
          <w:rFonts w:hint="cs"/>
          <w:rtl/>
        </w:rPr>
        <w:t>ی</w:t>
      </w:r>
      <w:r w:rsidRPr="0025250D">
        <w:rPr>
          <w:rFonts w:hint="eastAsia"/>
          <w:rtl/>
        </w:rPr>
        <w:t>ن</w:t>
      </w:r>
      <w:r w:rsidRPr="0025250D">
        <w:rPr>
          <w:rFonts w:hint="cs"/>
          <w:rtl/>
        </w:rPr>
        <w:t>ی</w:t>
      </w:r>
      <w:r w:rsidRPr="0025250D">
        <w:rPr>
          <w:rFonts w:hint="eastAsia"/>
          <w:rtl/>
        </w:rPr>
        <w:t>م</w:t>
      </w:r>
      <w:r w:rsidRPr="0025250D">
        <w:rPr>
          <w:rtl/>
        </w:rPr>
        <w:t xml:space="preserve"> که همین‌جا</w:t>
      </w:r>
      <w:r w:rsidRPr="0025250D">
        <w:rPr>
          <w:rFonts w:hint="cs"/>
          <w:rtl/>
        </w:rPr>
        <w:t xml:space="preserve"> و</w:t>
      </w:r>
      <w:r w:rsidRPr="0025250D">
        <w:rPr>
          <w:rtl/>
        </w:rPr>
        <w:t xml:space="preserve"> همین‌الان، زمان بس</w:t>
      </w:r>
      <w:r w:rsidRPr="0025250D">
        <w:rPr>
          <w:rFonts w:hint="cs"/>
          <w:rtl/>
        </w:rPr>
        <w:t>ی</w:t>
      </w:r>
      <w:r w:rsidRPr="0025250D">
        <w:rPr>
          <w:rFonts w:hint="eastAsia"/>
          <w:rtl/>
        </w:rPr>
        <w:t>ار</w:t>
      </w:r>
      <w:r w:rsidRPr="0025250D">
        <w:rPr>
          <w:rtl/>
        </w:rPr>
        <w:t xml:space="preserve"> شگفت‌انگیز و خوش‌شانس</w:t>
      </w:r>
      <w:r w:rsidRPr="0025250D">
        <w:rPr>
          <w:rFonts w:hint="cs"/>
          <w:rtl/>
        </w:rPr>
        <w:t>ی</w:t>
      </w:r>
      <w:r w:rsidRPr="0025250D">
        <w:rPr>
          <w:rtl/>
        </w:rPr>
        <w:t xml:space="preserve"> برا</w:t>
      </w:r>
      <w:r w:rsidRPr="0025250D">
        <w:rPr>
          <w:rFonts w:hint="cs"/>
          <w:rtl/>
        </w:rPr>
        <w:t>ی</w:t>
      </w:r>
      <w:r w:rsidRPr="0025250D">
        <w:rPr>
          <w:rtl/>
        </w:rPr>
        <w:t xml:space="preserve"> زنده‌بودن است.</w:t>
      </w:r>
    </w:p>
    <w:p w14:paraId="15A0B79C" w14:textId="311C30DE" w:rsidR="00B219EF" w:rsidRPr="0025250D" w:rsidRDefault="00B219EF" w:rsidP="004445C5">
      <w:pPr>
        <w:rPr>
          <w:rtl/>
        </w:rPr>
      </w:pPr>
      <w:r w:rsidRPr="0025250D">
        <w:rPr>
          <w:rtl/>
        </w:rPr>
        <w:t>اجازه ده</w:t>
      </w:r>
      <w:r w:rsidRPr="0025250D">
        <w:rPr>
          <w:rFonts w:hint="cs"/>
          <w:rtl/>
        </w:rPr>
        <w:t>ی</w:t>
      </w:r>
      <w:r w:rsidRPr="0025250D">
        <w:rPr>
          <w:rFonts w:hint="eastAsia"/>
          <w:rtl/>
        </w:rPr>
        <w:t>د</w:t>
      </w:r>
      <w:r w:rsidRPr="0025250D">
        <w:rPr>
          <w:rtl/>
        </w:rPr>
        <w:t xml:space="preserve"> مرور کل</w:t>
      </w:r>
      <w:r w:rsidRPr="0025250D">
        <w:rPr>
          <w:rFonts w:hint="cs"/>
          <w:rtl/>
        </w:rPr>
        <w:t>ی</w:t>
      </w:r>
      <w:r w:rsidRPr="0025250D">
        <w:rPr>
          <w:rtl/>
        </w:rPr>
        <w:t xml:space="preserve"> خود را با معرف</w:t>
      </w:r>
      <w:r w:rsidRPr="0025250D">
        <w:rPr>
          <w:rFonts w:hint="cs"/>
          <w:rtl/>
        </w:rPr>
        <w:t>ی</w:t>
      </w:r>
      <w:r w:rsidRPr="0025250D">
        <w:rPr>
          <w:rtl/>
        </w:rPr>
        <w:t xml:space="preserve"> و توض</w:t>
      </w:r>
      <w:r w:rsidRPr="0025250D">
        <w:rPr>
          <w:rFonts w:hint="cs"/>
          <w:rtl/>
        </w:rPr>
        <w:t>ی</w:t>
      </w:r>
      <w:r w:rsidRPr="0025250D">
        <w:rPr>
          <w:rFonts w:hint="eastAsia"/>
          <w:rtl/>
        </w:rPr>
        <w:t>ح</w:t>
      </w:r>
      <w:r w:rsidRPr="0025250D">
        <w:rPr>
          <w:rtl/>
        </w:rPr>
        <w:t xml:space="preserve"> سه </w:t>
      </w:r>
      <w:r w:rsidRPr="0025250D">
        <w:rPr>
          <w:rFonts w:hint="cs"/>
          <w:rtl/>
        </w:rPr>
        <w:t>شعار</w:t>
      </w:r>
      <w:r w:rsidRPr="0025250D">
        <w:rPr>
          <w:vertAlign w:val="superscript"/>
          <w:rtl/>
        </w:rPr>
        <w:footnoteReference w:id="41"/>
      </w:r>
      <w:r w:rsidRPr="0025250D">
        <w:rPr>
          <w:rtl/>
        </w:rPr>
        <w:t xml:space="preserve"> </w:t>
      </w:r>
      <w:r w:rsidRPr="0025250D">
        <w:t>4U</w:t>
      </w:r>
      <w:r w:rsidRPr="0025250D">
        <w:rPr>
          <w:rFonts w:hint="cs"/>
          <w:rtl/>
        </w:rPr>
        <w:t xml:space="preserve"> </w:t>
      </w:r>
      <w:r w:rsidRPr="0025250D">
        <w:rPr>
          <w:rtl/>
        </w:rPr>
        <w:t>به پا</w:t>
      </w:r>
      <w:r w:rsidRPr="0025250D">
        <w:rPr>
          <w:rFonts w:hint="cs"/>
          <w:rtl/>
        </w:rPr>
        <w:t>ی</w:t>
      </w:r>
      <w:r w:rsidRPr="0025250D">
        <w:rPr>
          <w:rFonts w:hint="eastAsia"/>
          <w:rtl/>
        </w:rPr>
        <w:t>ان</w:t>
      </w:r>
      <w:r w:rsidRPr="0025250D">
        <w:rPr>
          <w:rtl/>
        </w:rPr>
        <w:t xml:space="preserve"> برسان</w:t>
      </w:r>
      <w:r w:rsidRPr="0025250D">
        <w:rPr>
          <w:rFonts w:hint="cs"/>
          <w:rtl/>
        </w:rPr>
        <w:t>ی</w:t>
      </w:r>
      <w:r w:rsidRPr="0025250D">
        <w:rPr>
          <w:rFonts w:hint="eastAsia"/>
          <w:rtl/>
        </w:rPr>
        <w:t>م</w:t>
      </w:r>
      <w:r w:rsidRPr="0025250D">
        <w:rPr>
          <w:rtl/>
        </w:rPr>
        <w:t xml:space="preserve">. ما بعد از هر </w:t>
      </w:r>
      <w:r w:rsidRPr="0025250D">
        <w:rPr>
          <w:rFonts w:hint="cs"/>
          <w:rtl/>
        </w:rPr>
        <w:t>ی</w:t>
      </w:r>
      <w:r w:rsidRPr="0025250D">
        <w:rPr>
          <w:rFonts w:hint="eastAsia"/>
          <w:rtl/>
        </w:rPr>
        <w:t>ک</w:t>
      </w:r>
      <w:r w:rsidRPr="0025250D">
        <w:rPr>
          <w:rtl/>
        </w:rPr>
        <w:t xml:space="preserve"> </w:t>
      </w:r>
      <w:r w:rsidR="00E723FA" w:rsidRPr="0025250D">
        <w:rPr>
          <w:rFonts w:hint="cs"/>
          <w:rtl/>
        </w:rPr>
        <w:t xml:space="preserve">از این شعارها </w:t>
      </w:r>
      <w:r w:rsidRPr="0025250D">
        <w:rPr>
          <w:rtl/>
        </w:rPr>
        <w:t xml:space="preserve">از علامت تعجب استفاده می‌کنیم تا به ما </w:t>
      </w:r>
      <w:r w:rsidRPr="0025250D">
        <w:rPr>
          <w:rFonts w:hint="cs"/>
          <w:rtl/>
        </w:rPr>
        <w:t>ی</w:t>
      </w:r>
      <w:r w:rsidRPr="0025250D">
        <w:rPr>
          <w:rFonts w:hint="eastAsia"/>
          <w:rtl/>
        </w:rPr>
        <w:t>ادآور</w:t>
      </w:r>
      <w:r w:rsidRPr="0025250D">
        <w:rPr>
          <w:rFonts w:hint="cs"/>
          <w:rtl/>
        </w:rPr>
        <w:t>ی</w:t>
      </w:r>
      <w:r w:rsidRPr="0025250D">
        <w:rPr>
          <w:rtl/>
        </w:rPr>
        <w:t xml:space="preserve"> کند که انرژ</w:t>
      </w:r>
      <w:r w:rsidRPr="0025250D">
        <w:rPr>
          <w:rFonts w:hint="cs"/>
          <w:rtl/>
        </w:rPr>
        <w:t>ی</w:t>
      </w:r>
      <w:r w:rsidRPr="0025250D">
        <w:rPr>
          <w:rtl/>
        </w:rPr>
        <w:t xml:space="preserve"> </w:t>
      </w:r>
      <w:r w:rsidRPr="0025250D">
        <w:rPr>
          <w:rFonts w:hint="cs"/>
          <w:rtl/>
        </w:rPr>
        <w:t>هیجانی</w:t>
      </w:r>
      <w:r w:rsidRPr="0025250D">
        <w:rPr>
          <w:rFonts w:hint="eastAsia"/>
          <w:rtl/>
        </w:rPr>
        <w:t>،</w:t>
      </w:r>
      <w:r w:rsidRPr="0025250D">
        <w:rPr>
          <w:rtl/>
        </w:rPr>
        <w:t xml:space="preserve"> وقت</w:t>
      </w:r>
      <w:r w:rsidRPr="0025250D">
        <w:rPr>
          <w:rFonts w:hint="cs"/>
          <w:rtl/>
        </w:rPr>
        <w:t>ی</w:t>
      </w:r>
      <w:r w:rsidRPr="0025250D">
        <w:rPr>
          <w:rtl/>
        </w:rPr>
        <w:t xml:space="preserve"> رو</w:t>
      </w:r>
      <w:r w:rsidRPr="0025250D">
        <w:rPr>
          <w:rFonts w:hint="cs"/>
          <w:rtl/>
        </w:rPr>
        <w:t>ی</w:t>
      </w:r>
      <w:r w:rsidRPr="0025250D">
        <w:rPr>
          <w:rtl/>
        </w:rPr>
        <w:t xml:space="preserve"> اولو</w:t>
      </w:r>
      <w:r w:rsidRPr="0025250D">
        <w:rPr>
          <w:rFonts w:hint="cs"/>
          <w:rtl/>
        </w:rPr>
        <w:t>ی</w:t>
      </w:r>
      <w:r w:rsidRPr="0025250D">
        <w:rPr>
          <w:rFonts w:hint="eastAsia"/>
          <w:rtl/>
        </w:rPr>
        <w:t>ت</w:t>
      </w:r>
      <w:r w:rsidRPr="0025250D">
        <w:rPr>
          <w:rtl/>
        </w:rPr>
        <w:t>‌های اصل</w:t>
      </w:r>
      <w:r w:rsidRPr="0025250D">
        <w:rPr>
          <w:rFonts w:hint="cs"/>
          <w:rtl/>
        </w:rPr>
        <w:t>ی</w:t>
      </w:r>
      <w:r w:rsidRPr="0025250D">
        <w:rPr>
          <w:rtl/>
        </w:rPr>
        <w:t xml:space="preserve"> ما سرمایه‌گذاری شود، می‌تواند به ما کمک کند تا آگاهانه‌تر زندگ</w:t>
      </w:r>
      <w:r w:rsidRPr="0025250D">
        <w:rPr>
          <w:rFonts w:hint="cs"/>
          <w:rtl/>
        </w:rPr>
        <w:t>ی</w:t>
      </w:r>
      <w:r w:rsidRPr="0025250D">
        <w:rPr>
          <w:rtl/>
        </w:rPr>
        <w:t xml:space="preserve"> </w:t>
      </w:r>
      <w:r w:rsidRPr="0025250D">
        <w:rPr>
          <w:rtl/>
        </w:rPr>
        <w:lastRenderedPageBreak/>
        <w:t>ک</w:t>
      </w:r>
      <w:r w:rsidRPr="0025250D">
        <w:rPr>
          <w:rFonts w:hint="eastAsia"/>
          <w:rtl/>
        </w:rPr>
        <w:t>ن</w:t>
      </w:r>
      <w:r w:rsidRPr="0025250D">
        <w:rPr>
          <w:rFonts w:hint="cs"/>
          <w:rtl/>
        </w:rPr>
        <w:t>ی</w:t>
      </w:r>
      <w:r w:rsidRPr="0025250D">
        <w:rPr>
          <w:rFonts w:hint="eastAsia"/>
          <w:rtl/>
        </w:rPr>
        <w:t>م</w:t>
      </w:r>
      <w:r w:rsidRPr="0025250D">
        <w:rPr>
          <w:rtl/>
        </w:rPr>
        <w:t xml:space="preserve">. ممکن است </w:t>
      </w:r>
      <w:r w:rsidRPr="0025250D">
        <w:rPr>
          <w:rFonts w:hint="cs"/>
          <w:rtl/>
        </w:rPr>
        <w:t>ی</w:t>
      </w:r>
      <w:r w:rsidRPr="0025250D">
        <w:rPr>
          <w:rFonts w:hint="eastAsia"/>
          <w:rtl/>
        </w:rPr>
        <w:t>ک</w:t>
      </w:r>
      <w:r w:rsidRPr="0025250D">
        <w:rPr>
          <w:rtl/>
        </w:rPr>
        <w:t xml:space="preserve"> </w:t>
      </w:r>
      <w:r w:rsidRPr="0025250D">
        <w:rPr>
          <w:rFonts w:hint="cs"/>
          <w:rtl/>
        </w:rPr>
        <w:t>ی</w:t>
      </w:r>
      <w:r w:rsidRPr="0025250D">
        <w:rPr>
          <w:rFonts w:hint="eastAsia"/>
          <w:rtl/>
        </w:rPr>
        <w:t>ا</w:t>
      </w:r>
      <w:r w:rsidRPr="0025250D">
        <w:rPr>
          <w:rtl/>
        </w:rPr>
        <w:t xml:space="preserve"> چند مورد از ا</w:t>
      </w:r>
      <w:r w:rsidRPr="0025250D">
        <w:rPr>
          <w:rFonts w:hint="cs"/>
          <w:rtl/>
        </w:rPr>
        <w:t>ی</w:t>
      </w:r>
      <w:r w:rsidRPr="0025250D">
        <w:rPr>
          <w:rFonts w:hint="eastAsia"/>
          <w:rtl/>
        </w:rPr>
        <w:t>ن</w:t>
      </w:r>
      <w:r w:rsidRPr="0025250D">
        <w:rPr>
          <w:rtl/>
        </w:rPr>
        <w:t xml:space="preserve"> شعارها را به‌عنوان مانتراها</w:t>
      </w:r>
      <w:r w:rsidRPr="0025250D">
        <w:rPr>
          <w:rFonts w:hint="cs"/>
          <w:rtl/>
        </w:rPr>
        <w:t>ی</w:t>
      </w:r>
      <w:r w:rsidRPr="0025250D">
        <w:rPr>
          <w:rtl/>
        </w:rPr>
        <w:t xml:space="preserve"> شخص</w:t>
      </w:r>
      <w:r w:rsidRPr="0025250D">
        <w:rPr>
          <w:rFonts w:hint="cs"/>
          <w:rtl/>
        </w:rPr>
        <w:t>ی</w:t>
      </w:r>
      <w:r w:rsidRPr="0025250D">
        <w:rPr>
          <w:rtl/>
        </w:rPr>
        <w:t xml:space="preserve"> به </w:t>
      </w:r>
      <w:r w:rsidRPr="0025250D">
        <w:rPr>
          <w:rFonts w:hint="cs"/>
          <w:rtl/>
        </w:rPr>
        <w:t>خاطر بسپارید</w:t>
      </w:r>
      <w:r w:rsidRPr="0025250D">
        <w:rPr>
          <w:rtl/>
        </w:rPr>
        <w:t xml:space="preserve"> و تکرار کن</w:t>
      </w:r>
      <w:r w:rsidRPr="0025250D">
        <w:rPr>
          <w:rFonts w:hint="cs"/>
          <w:rtl/>
        </w:rPr>
        <w:t>ی</w:t>
      </w:r>
      <w:r w:rsidRPr="0025250D">
        <w:rPr>
          <w:rFonts w:hint="eastAsia"/>
          <w:rtl/>
        </w:rPr>
        <w:t>د</w:t>
      </w:r>
      <w:r w:rsidRPr="0025250D">
        <w:rPr>
          <w:rtl/>
        </w:rPr>
        <w:t xml:space="preserve"> تا در آینده‌نگاری و اقدامات روزانه به شما کمک کند. هر </w:t>
      </w:r>
      <w:r w:rsidRPr="0025250D">
        <w:rPr>
          <w:rFonts w:hint="cs"/>
          <w:rtl/>
        </w:rPr>
        <w:t>ی</w:t>
      </w:r>
      <w:r w:rsidRPr="0025250D">
        <w:rPr>
          <w:rFonts w:hint="eastAsia"/>
          <w:rtl/>
        </w:rPr>
        <w:t>ک</w:t>
      </w:r>
      <w:r w:rsidRPr="0025250D">
        <w:rPr>
          <w:rtl/>
        </w:rPr>
        <w:t xml:space="preserve"> از این‌ها را در صفحات بعد</w:t>
      </w:r>
      <w:r w:rsidRPr="0025250D">
        <w:rPr>
          <w:rFonts w:hint="cs"/>
          <w:rtl/>
        </w:rPr>
        <w:t>ی</w:t>
      </w:r>
      <w:r w:rsidRPr="0025250D">
        <w:rPr>
          <w:rFonts w:hint="eastAsia"/>
          <w:rtl/>
        </w:rPr>
        <w:t>،</w:t>
      </w:r>
      <w:r w:rsidRPr="0025250D">
        <w:rPr>
          <w:rtl/>
        </w:rPr>
        <w:t xml:space="preserve"> هر زمان که فکر کن</w:t>
      </w:r>
      <w:r w:rsidRPr="0025250D">
        <w:rPr>
          <w:rFonts w:hint="cs"/>
          <w:rtl/>
        </w:rPr>
        <w:t>ی</w:t>
      </w:r>
      <w:r w:rsidRPr="0025250D">
        <w:rPr>
          <w:rFonts w:hint="eastAsia"/>
          <w:rtl/>
        </w:rPr>
        <w:t>م</w:t>
      </w:r>
      <w:r w:rsidRPr="0025250D">
        <w:rPr>
          <w:rtl/>
        </w:rPr>
        <w:t xml:space="preserve"> ممکن است کمک‌کننده</w:t>
      </w:r>
      <w:r w:rsidRPr="0025250D">
        <w:rPr>
          <w:rFonts w:hint="cs"/>
          <w:rtl/>
        </w:rPr>
        <w:t xml:space="preserve"> باشد</w:t>
      </w:r>
      <w:r w:rsidRPr="0025250D">
        <w:rPr>
          <w:rtl/>
        </w:rPr>
        <w:t>، تکرار خواه</w:t>
      </w:r>
      <w:r w:rsidRPr="0025250D">
        <w:rPr>
          <w:rFonts w:hint="cs"/>
          <w:rtl/>
        </w:rPr>
        <w:t>ی</w:t>
      </w:r>
      <w:r w:rsidRPr="0025250D">
        <w:rPr>
          <w:rFonts w:hint="eastAsia"/>
          <w:rtl/>
        </w:rPr>
        <w:t>م</w:t>
      </w:r>
      <w:r w:rsidRPr="0025250D">
        <w:rPr>
          <w:rtl/>
        </w:rPr>
        <w:t xml:space="preserve"> کرد.</w:t>
      </w:r>
    </w:p>
    <w:p w14:paraId="51B09CC9" w14:textId="77777777" w:rsidR="00B219EF" w:rsidRPr="0025250D" w:rsidRDefault="00B219EF" w:rsidP="004445C5">
      <w:pPr>
        <w:rPr>
          <w:b/>
          <w:bCs/>
          <w:rtl/>
        </w:rPr>
      </w:pPr>
      <w:r w:rsidRPr="0025250D">
        <w:rPr>
          <w:rFonts w:hint="cs"/>
          <w:b/>
          <w:bCs/>
          <w:rtl/>
        </w:rPr>
        <w:t>شعار 1: اول مردم!</w:t>
      </w:r>
    </w:p>
    <w:p w14:paraId="7F7B9EF0" w14:textId="4F7D5034" w:rsidR="00B219EF" w:rsidRPr="0025250D" w:rsidRDefault="00B219EF" w:rsidP="004445C5">
      <w:pPr>
        <w:rPr>
          <w:rtl/>
        </w:rPr>
      </w:pPr>
      <w:r w:rsidRPr="0025250D">
        <w:rPr>
          <w:rtl/>
        </w:rPr>
        <w:t xml:space="preserve">شعار اول ما به ما </w:t>
      </w:r>
      <w:r w:rsidRPr="0025250D">
        <w:rPr>
          <w:rFonts w:hint="cs"/>
          <w:rtl/>
        </w:rPr>
        <w:t>ی</w:t>
      </w:r>
      <w:r w:rsidRPr="0025250D">
        <w:rPr>
          <w:rFonts w:hint="eastAsia"/>
          <w:rtl/>
        </w:rPr>
        <w:t>ادآور</w:t>
      </w:r>
      <w:r w:rsidRPr="0025250D">
        <w:rPr>
          <w:rFonts w:hint="cs"/>
          <w:rtl/>
        </w:rPr>
        <w:t>ی</w:t>
      </w:r>
      <w:r w:rsidRPr="0025250D">
        <w:rPr>
          <w:rtl/>
        </w:rPr>
        <w:t xml:space="preserve"> م</w:t>
      </w:r>
      <w:r w:rsidRPr="0025250D">
        <w:rPr>
          <w:rFonts w:hint="cs"/>
          <w:rtl/>
        </w:rPr>
        <w:t>ی‌</w:t>
      </w:r>
      <w:r w:rsidRPr="0025250D">
        <w:rPr>
          <w:rFonts w:hint="eastAsia"/>
          <w:rtl/>
        </w:rPr>
        <w:t>کند</w:t>
      </w:r>
      <w:r w:rsidRPr="0025250D">
        <w:rPr>
          <w:rtl/>
        </w:rPr>
        <w:t xml:space="preserve"> که مردم، نه باورها، برنامه‌ها، س</w:t>
      </w:r>
      <w:r w:rsidRPr="0025250D">
        <w:rPr>
          <w:rFonts w:hint="cs"/>
          <w:rtl/>
        </w:rPr>
        <w:t>ی</w:t>
      </w:r>
      <w:r w:rsidRPr="0025250D">
        <w:rPr>
          <w:rFonts w:hint="eastAsia"/>
          <w:rtl/>
        </w:rPr>
        <w:t>است</w:t>
      </w:r>
      <w:r w:rsidR="00E723FA" w:rsidRPr="0025250D">
        <w:rPr>
          <w:rFonts w:hint="eastAsia"/>
        </w:rPr>
        <w:t>‌</w:t>
      </w:r>
      <w:r w:rsidR="00E723FA" w:rsidRPr="0025250D">
        <w:rPr>
          <w:rFonts w:hint="cs"/>
          <w:rtl/>
        </w:rPr>
        <w:t>ها</w:t>
      </w:r>
      <w:r w:rsidRPr="0025250D">
        <w:rPr>
          <w:rFonts w:hint="eastAsia"/>
          <w:rtl/>
        </w:rPr>
        <w:t>،</w:t>
      </w:r>
      <w:r w:rsidRPr="0025250D">
        <w:rPr>
          <w:rtl/>
        </w:rPr>
        <w:t xml:space="preserve"> شرکت‌ها، دولت‌ها </w:t>
      </w:r>
      <w:r w:rsidRPr="0025250D">
        <w:rPr>
          <w:rFonts w:hint="cs"/>
          <w:rtl/>
        </w:rPr>
        <w:t>ی</w:t>
      </w:r>
      <w:r w:rsidRPr="0025250D">
        <w:rPr>
          <w:rFonts w:hint="eastAsia"/>
          <w:rtl/>
        </w:rPr>
        <w:t>ا</w:t>
      </w:r>
      <w:r w:rsidRPr="0025250D">
        <w:rPr>
          <w:rtl/>
        </w:rPr>
        <w:t xml:space="preserve"> حت</w:t>
      </w:r>
      <w:r w:rsidRPr="0025250D">
        <w:rPr>
          <w:rFonts w:hint="cs"/>
          <w:rtl/>
        </w:rPr>
        <w:t>ی</w:t>
      </w:r>
      <w:r w:rsidRPr="0025250D">
        <w:rPr>
          <w:rtl/>
        </w:rPr>
        <w:t xml:space="preserve"> بق</w:t>
      </w:r>
      <w:r w:rsidRPr="0025250D">
        <w:rPr>
          <w:rFonts w:hint="cs"/>
          <w:rtl/>
        </w:rPr>
        <w:t>ی</w:t>
      </w:r>
      <w:r w:rsidRPr="0025250D">
        <w:rPr>
          <w:rFonts w:hint="eastAsia"/>
          <w:rtl/>
        </w:rPr>
        <w:t>ه</w:t>
      </w:r>
      <w:r w:rsidRPr="0025250D">
        <w:rPr>
          <w:rtl/>
        </w:rPr>
        <w:t xml:space="preserve"> دن</w:t>
      </w:r>
      <w:r w:rsidRPr="0025250D">
        <w:rPr>
          <w:rFonts w:hint="cs"/>
          <w:rtl/>
        </w:rPr>
        <w:t>ی</w:t>
      </w:r>
      <w:r w:rsidRPr="0025250D">
        <w:rPr>
          <w:rFonts w:hint="eastAsia"/>
          <w:rtl/>
        </w:rPr>
        <w:t>ا</w:t>
      </w:r>
      <w:r w:rsidRPr="0025250D">
        <w:rPr>
          <w:rFonts w:hint="cs"/>
          <w:rtl/>
        </w:rPr>
        <w:t>ی</w:t>
      </w:r>
      <w:r w:rsidRPr="0025250D">
        <w:rPr>
          <w:rtl/>
        </w:rPr>
        <w:t xml:space="preserve"> طب</w:t>
      </w:r>
      <w:r w:rsidRPr="0025250D">
        <w:rPr>
          <w:rFonts w:hint="cs"/>
          <w:rtl/>
        </w:rPr>
        <w:t>ی</w:t>
      </w:r>
      <w:r w:rsidRPr="0025250D">
        <w:rPr>
          <w:rFonts w:hint="eastAsia"/>
          <w:rtl/>
        </w:rPr>
        <w:t>ع</w:t>
      </w:r>
      <w:r w:rsidRPr="0025250D">
        <w:rPr>
          <w:rFonts w:hint="cs"/>
          <w:rtl/>
        </w:rPr>
        <w:t>ی</w:t>
      </w:r>
      <w:r w:rsidRPr="0025250D">
        <w:rPr>
          <w:rtl/>
        </w:rPr>
        <w:t xml:space="preserve"> ما، معجزه‌</w:t>
      </w:r>
      <w:r w:rsidRPr="0025250D">
        <w:rPr>
          <w:rFonts w:hint="cs"/>
          <w:rtl/>
        </w:rPr>
        <w:t>آسا</w:t>
      </w:r>
      <w:r w:rsidRPr="0025250D">
        <w:rPr>
          <w:rFonts w:hint="eastAsia"/>
          <w:rtl/>
        </w:rPr>
        <w:t>تر</w:t>
      </w:r>
      <w:r w:rsidRPr="0025250D">
        <w:rPr>
          <w:rFonts w:hint="cs"/>
          <w:rtl/>
        </w:rPr>
        <w:t>ی</w:t>
      </w:r>
      <w:r w:rsidRPr="0025250D">
        <w:rPr>
          <w:rFonts w:hint="eastAsia"/>
          <w:rtl/>
        </w:rPr>
        <w:t>ن</w:t>
      </w:r>
      <w:r w:rsidRPr="0025250D">
        <w:rPr>
          <w:rtl/>
        </w:rPr>
        <w:t xml:space="preserve"> و مهم‌تر</w:t>
      </w:r>
      <w:r w:rsidRPr="0025250D">
        <w:rPr>
          <w:rFonts w:hint="cs"/>
          <w:rtl/>
        </w:rPr>
        <w:t>ی</w:t>
      </w:r>
      <w:r w:rsidRPr="0025250D">
        <w:rPr>
          <w:rFonts w:hint="eastAsia"/>
          <w:rtl/>
        </w:rPr>
        <w:t>ن</w:t>
      </w:r>
      <w:r w:rsidRPr="0025250D">
        <w:rPr>
          <w:rtl/>
        </w:rPr>
        <w:t xml:space="preserve"> موجودات در جهان شناخته‌شده هستند. رشد اخلاق و همدل</w:t>
      </w:r>
      <w:r w:rsidRPr="0025250D">
        <w:rPr>
          <w:rFonts w:hint="cs"/>
          <w:rtl/>
        </w:rPr>
        <w:t>ی</w:t>
      </w:r>
      <w:r w:rsidRPr="0025250D">
        <w:rPr>
          <w:rtl/>
        </w:rPr>
        <w:t xml:space="preserve"> ما با توجه به تمام زندگ</w:t>
      </w:r>
      <w:r w:rsidRPr="0025250D">
        <w:rPr>
          <w:rFonts w:hint="cs"/>
          <w:rtl/>
        </w:rPr>
        <w:t>ی،</w:t>
      </w:r>
      <w:r w:rsidRPr="0025250D">
        <w:rPr>
          <w:rtl/>
        </w:rPr>
        <w:t xml:space="preserve"> به‌و</w:t>
      </w:r>
      <w:r w:rsidRPr="0025250D">
        <w:rPr>
          <w:rFonts w:hint="cs"/>
          <w:rtl/>
        </w:rPr>
        <w:t>ی</w:t>
      </w:r>
      <w:r w:rsidRPr="0025250D">
        <w:rPr>
          <w:rFonts w:hint="eastAsia"/>
          <w:rtl/>
        </w:rPr>
        <w:t>ژه</w:t>
      </w:r>
      <w:r w:rsidRPr="0025250D">
        <w:rPr>
          <w:rtl/>
        </w:rPr>
        <w:t xml:space="preserve"> برا</w:t>
      </w:r>
      <w:r w:rsidRPr="0025250D">
        <w:rPr>
          <w:rFonts w:hint="cs"/>
          <w:rtl/>
        </w:rPr>
        <w:t>ی</w:t>
      </w:r>
      <w:r w:rsidRPr="0025250D">
        <w:rPr>
          <w:rtl/>
        </w:rPr>
        <w:t xml:space="preserve"> سا</w:t>
      </w:r>
      <w:r w:rsidRPr="0025250D">
        <w:rPr>
          <w:rFonts w:hint="cs"/>
          <w:rtl/>
        </w:rPr>
        <w:t>ی</w:t>
      </w:r>
      <w:r w:rsidRPr="0025250D">
        <w:rPr>
          <w:rFonts w:hint="eastAsia"/>
          <w:rtl/>
        </w:rPr>
        <w:t>ر</w:t>
      </w:r>
      <w:r w:rsidRPr="0025250D">
        <w:rPr>
          <w:rtl/>
        </w:rPr>
        <w:t xml:space="preserve"> انسان‌ها، پیچیده‌تر</w:t>
      </w:r>
      <w:r w:rsidRPr="0025250D">
        <w:rPr>
          <w:rFonts w:hint="cs"/>
          <w:rtl/>
        </w:rPr>
        <w:t>ی</w:t>
      </w:r>
      <w:r w:rsidRPr="0025250D">
        <w:rPr>
          <w:rFonts w:hint="eastAsia"/>
          <w:rtl/>
        </w:rPr>
        <w:t>ن</w:t>
      </w:r>
      <w:r w:rsidRPr="0025250D">
        <w:rPr>
          <w:rtl/>
        </w:rPr>
        <w:t xml:space="preserve"> و آگاه‌ترین موجودات رو</w:t>
      </w:r>
      <w:r w:rsidRPr="0025250D">
        <w:rPr>
          <w:rFonts w:hint="cs"/>
          <w:rtl/>
        </w:rPr>
        <w:t>ی</w:t>
      </w:r>
      <w:r w:rsidRPr="0025250D">
        <w:rPr>
          <w:rtl/>
        </w:rPr>
        <w:t xml:space="preserve"> زم</w:t>
      </w:r>
      <w:r w:rsidRPr="0025250D">
        <w:rPr>
          <w:rFonts w:hint="cs"/>
          <w:rtl/>
        </w:rPr>
        <w:t>ی</w:t>
      </w:r>
      <w:r w:rsidRPr="0025250D">
        <w:rPr>
          <w:rFonts w:hint="eastAsia"/>
          <w:rtl/>
        </w:rPr>
        <w:t>ن،</w:t>
      </w:r>
      <w:r w:rsidRPr="0025250D">
        <w:rPr>
          <w:rtl/>
        </w:rPr>
        <w:t xml:space="preserve"> با</w:t>
      </w:r>
      <w:r w:rsidRPr="0025250D">
        <w:rPr>
          <w:rFonts w:hint="cs"/>
          <w:rtl/>
        </w:rPr>
        <w:t>ی</w:t>
      </w:r>
      <w:r w:rsidRPr="0025250D">
        <w:rPr>
          <w:rFonts w:hint="eastAsia"/>
          <w:rtl/>
        </w:rPr>
        <w:t>د</w:t>
      </w:r>
      <w:r w:rsidRPr="0025250D">
        <w:rPr>
          <w:rtl/>
        </w:rPr>
        <w:t xml:space="preserve"> بالاتر</w:t>
      </w:r>
      <w:r w:rsidRPr="0025250D">
        <w:rPr>
          <w:rFonts w:hint="cs"/>
          <w:rtl/>
        </w:rPr>
        <w:t>ی</w:t>
      </w:r>
      <w:r w:rsidRPr="0025250D">
        <w:rPr>
          <w:rFonts w:hint="eastAsia"/>
          <w:rtl/>
        </w:rPr>
        <w:t>ن</w:t>
      </w:r>
      <w:r w:rsidRPr="0025250D">
        <w:rPr>
          <w:rtl/>
        </w:rPr>
        <w:t xml:space="preserve"> اولو</w:t>
      </w:r>
      <w:r w:rsidRPr="0025250D">
        <w:rPr>
          <w:rFonts w:hint="cs"/>
          <w:rtl/>
        </w:rPr>
        <w:t>ی</w:t>
      </w:r>
      <w:r w:rsidRPr="0025250D">
        <w:rPr>
          <w:rFonts w:hint="eastAsia"/>
          <w:rtl/>
        </w:rPr>
        <w:t>ت</w:t>
      </w:r>
      <w:r w:rsidRPr="0025250D">
        <w:rPr>
          <w:rtl/>
        </w:rPr>
        <w:t xml:space="preserve"> ما باشد.</w:t>
      </w:r>
      <w:r w:rsidRPr="0025250D">
        <w:rPr>
          <w:rFonts w:hint="cs"/>
          <w:rtl/>
        </w:rPr>
        <w:t xml:space="preserve"> </w:t>
      </w:r>
      <w:r w:rsidRPr="0025250D">
        <w:rPr>
          <w:rtl/>
        </w:rPr>
        <w:t>ما با</w:t>
      </w:r>
      <w:r w:rsidRPr="0025250D">
        <w:rPr>
          <w:rFonts w:hint="cs"/>
          <w:rtl/>
        </w:rPr>
        <w:t>ی</w:t>
      </w:r>
      <w:r w:rsidRPr="0025250D">
        <w:rPr>
          <w:rFonts w:hint="eastAsia"/>
          <w:rtl/>
        </w:rPr>
        <w:t>د</w:t>
      </w:r>
      <w:r w:rsidRPr="0025250D">
        <w:rPr>
          <w:rtl/>
        </w:rPr>
        <w:t xml:space="preserve"> آگاهانه تلاش کن</w:t>
      </w:r>
      <w:r w:rsidRPr="0025250D">
        <w:rPr>
          <w:rFonts w:hint="cs"/>
          <w:rtl/>
        </w:rPr>
        <w:t>ی</w:t>
      </w:r>
      <w:r w:rsidRPr="0025250D">
        <w:rPr>
          <w:rFonts w:hint="eastAsia"/>
          <w:rtl/>
        </w:rPr>
        <w:t>م</w:t>
      </w:r>
      <w:r w:rsidRPr="0025250D">
        <w:rPr>
          <w:rtl/>
        </w:rPr>
        <w:t xml:space="preserve"> تا به </w:t>
      </w:r>
      <w:r w:rsidRPr="0025250D">
        <w:rPr>
          <w:rFonts w:hint="cs"/>
          <w:rtl/>
        </w:rPr>
        <w:t>ی</w:t>
      </w:r>
      <w:r w:rsidRPr="0025250D">
        <w:rPr>
          <w:rFonts w:hint="eastAsia"/>
          <w:rtl/>
        </w:rPr>
        <w:t>کد</w:t>
      </w:r>
      <w:r w:rsidRPr="0025250D">
        <w:rPr>
          <w:rFonts w:hint="cs"/>
          <w:rtl/>
        </w:rPr>
        <w:t>ی</w:t>
      </w:r>
      <w:r w:rsidRPr="0025250D">
        <w:rPr>
          <w:rFonts w:hint="eastAsia"/>
          <w:rtl/>
        </w:rPr>
        <w:t>گر</w:t>
      </w:r>
      <w:r w:rsidRPr="0025250D">
        <w:rPr>
          <w:rtl/>
        </w:rPr>
        <w:t xml:space="preserve"> کمک کن</w:t>
      </w:r>
      <w:r w:rsidRPr="0025250D">
        <w:rPr>
          <w:rFonts w:hint="cs"/>
          <w:rtl/>
        </w:rPr>
        <w:t>ی</w:t>
      </w:r>
      <w:r w:rsidRPr="0025250D">
        <w:rPr>
          <w:rFonts w:hint="eastAsia"/>
          <w:rtl/>
        </w:rPr>
        <w:t>م</w:t>
      </w:r>
      <w:r w:rsidRPr="0025250D">
        <w:rPr>
          <w:rtl/>
        </w:rPr>
        <w:t xml:space="preserve"> تا پ</w:t>
      </w:r>
      <w:r w:rsidRPr="0025250D">
        <w:rPr>
          <w:rFonts w:hint="cs"/>
          <w:rtl/>
        </w:rPr>
        <w:t>ی</w:t>
      </w:r>
      <w:r w:rsidRPr="0025250D">
        <w:rPr>
          <w:rFonts w:hint="eastAsia"/>
          <w:rtl/>
        </w:rPr>
        <w:t>شرفت</w:t>
      </w:r>
      <w:r w:rsidRPr="0025250D">
        <w:rPr>
          <w:rtl/>
        </w:rPr>
        <w:t xml:space="preserve"> کن</w:t>
      </w:r>
      <w:r w:rsidRPr="0025250D">
        <w:rPr>
          <w:rFonts w:hint="cs"/>
          <w:rtl/>
        </w:rPr>
        <w:t>ی</w:t>
      </w:r>
      <w:r w:rsidRPr="0025250D">
        <w:rPr>
          <w:rFonts w:hint="eastAsia"/>
          <w:rtl/>
        </w:rPr>
        <w:t>م</w:t>
      </w:r>
      <w:r w:rsidR="008D6F97" w:rsidRPr="0025250D">
        <w:rPr>
          <w:rtl/>
        </w:rPr>
        <w:t xml:space="preserve"> </w:t>
      </w:r>
      <w:r w:rsidRPr="0025250D">
        <w:rPr>
          <w:rtl/>
        </w:rPr>
        <w:t>و صرف‌نظر از اختلاف‌نظرهایمان</w:t>
      </w:r>
      <w:r w:rsidRPr="0025250D">
        <w:rPr>
          <w:rFonts w:hint="eastAsia"/>
          <w:rtl/>
        </w:rPr>
        <w:t>،</w:t>
      </w:r>
      <w:r w:rsidRPr="0025250D">
        <w:rPr>
          <w:rtl/>
        </w:rPr>
        <w:t xml:space="preserve"> </w:t>
      </w:r>
      <w:r w:rsidRPr="0025250D">
        <w:rPr>
          <w:rFonts w:hint="cs"/>
          <w:rtl/>
        </w:rPr>
        <w:t>به سمت آینده‌ای</w:t>
      </w:r>
      <w:r w:rsidR="00B67B12" w:rsidRPr="0025250D">
        <w:rPr>
          <w:rFonts w:hint="cs"/>
          <w:rtl/>
        </w:rPr>
        <w:t xml:space="preserve"> با</w:t>
      </w:r>
      <w:r w:rsidRPr="0025250D">
        <w:rPr>
          <w:rFonts w:hint="cs"/>
          <w:rtl/>
        </w:rPr>
        <w:t xml:space="preserve"> مجموع مثبت برای همه</w:t>
      </w:r>
      <w:r w:rsidRPr="0025250D">
        <w:rPr>
          <w:rtl/>
        </w:rPr>
        <w:t xml:space="preserve"> </w:t>
      </w:r>
      <w:r w:rsidRPr="0025250D">
        <w:rPr>
          <w:rFonts w:hint="cs"/>
          <w:rtl/>
        </w:rPr>
        <w:t>حرکت کنیم</w:t>
      </w:r>
      <w:r w:rsidRPr="0025250D">
        <w:rPr>
          <w:rtl/>
        </w:rPr>
        <w:t xml:space="preserve">. </w:t>
      </w:r>
      <w:r w:rsidR="007118DE" w:rsidRPr="0025250D">
        <w:rPr>
          <w:rtl/>
        </w:rPr>
        <w:t>همان‌طور</w:t>
      </w:r>
      <w:r w:rsidRPr="0025250D">
        <w:rPr>
          <w:rtl/>
        </w:rPr>
        <w:t xml:space="preserve"> که </w:t>
      </w:r>
      <w:r w:rsidR="00B67B12" w:rsidRPr="0025250D">
        <w:rPr>
          <w:rtl/>
        </w:rPr>
        <w:t xml:space="preserve">آینده‌پژوه </w:t>
      </w:r>
      <w:r w:rsidRPr="0025250D">
        <w:rPr>
          <w:rtl/>
        </w:rPr>
        <w:t>ت</w:t>
      </w:r>
      <w:r w:rsidRPr="0025250D">
        <w:rPr>
          <w:rFonts w:hint="cs"/>
          <w:rtl/>
        </w:rPr>
        <w:t>ی</w:t>
      </w:r>
      <w:r w:rsidRPr="0025250D">
        <w:rPr>
          <w:rFonts w:hint="eastAsia"/>
          <w:rtl/>
        </w:rPr>
        <w:t>لارد</w:t>
      </w:r>
      <w:r w:rsidRPr="0025250D">
        <w:rPr>
          <w:rtl/>
        </w:rPr>
        <w:t xml:space="preserve"> دو شاردن</w:t>
      </w:r>
      <w:r w:rsidRPr="0025250D">
        <w:rPr>
          <w:vertAlign w:val="superscript"/>
          <w:rtl/>
        </w:rPr>
        <w:footnoteReference w:id="42"/>
      </w:r>
      <w:r w:rsidRPr="0025250D">
        <w:rPr>
          <w:rtl/>
        </w:rPr>
        <w:t xml:space="preserve"> مدت‌ها پ</w:t>
      </w:r>
      <w:r w:rsidRPr="0025250D">
        <w:rPr>
          <w:rFonts w:hint="cs"/>
          <w:rtl/>
        </w:rPr>
        <w:t>ی</w:t>
      </w:r>
      <w:r w:rsidRPr="0025250D">
        <w:rPr>
          <w:rFonts w:hint="eastAsia"/>
          <w:rtl/>
        </w:rPr>
        <w:t>ش</w:t>
      </w:r>
      <w:r w:rsidRPr="0025250D">
        <w:rPr>
          <w:rtl/>
        </w:rPr>
        <w:t xml:space="preserve"> گفته است، ما معتقد</w:t>
      </w:r>
      <w:r w:rsidRPr="0025250D">
        <w:rPr>
          <w:rFonts w:hint="cs"/>
          <w:rtl/>
        </w:rPr>
        <w:t>ی</w:t>
      </w:r>
      <w:r w:rsidRPr="0025250D">
        <w:rPr>
          <w:rFonts w:hint="eastAsia"/>
          <w:rtl/>
        </w:rPr>
        <w:t>م</w:t>
      </w:r>
      <w:r w:rsidRPr="0025250D">
        <w:rPr>
          <w:rtl/>
        </w:rPr>
        <w:t xml:space="preserve"> که شواهد تاکنون نشان‌دهنده پ</w:t>
      </w:r>
      <w:r w:rsidRPr="0025250D">
        <w:rPr>
          <w:rFonts w:hint="cs"/>
          <w:rtl/>
        </w:rPr>
        <w:t>ی</w:t>
      </w:r>
      <w:r w:rsidRPr="0025250D">
        <w:rPr>
          <w:rFonts w:hint="eastAsia"/>
          <w:rtl/>
        </w:rPr>
        <w:t>کان</w:t>
      </w:r>
      <w:r w:rsidRPr="0025250D">
        <w:rPr>
          <w:rtl/>
        </w:rPr>
        <w:t xml:space="preserve"> پ</w:t>
      </w:r>
      <w:r w:rsidRPr="0025250D">
        <w:rPr>
          <w:rFonts w:hint="cs"/>
          <w:rtl/>
        </w:rPr>
        <w:t>ی</w:t>
      </w:r>
      <w:r w:rsidRPr="0025250D">
        <w:rPr>
          <w:rFonts w:hint="eastAsia"/>
          <w:rtl/>
        </w:rPr>
        <w:t>شرفت</w:t>
      </w:r>
      <w:r w:rsidRPr="0025250D">
        <w:rPr>
          <w:rtl/>
        </w:rPr>
        <w:t xml:space="preserve"> </w:t>
      </w:r>
      <w:r w:rsidRPr="0025250D">
        <w:rPr>
          <w:rFonts w:hint="cs"/>
          <w:rtl/>
        </w:rPr>
        <w:t>فراگیر</w:t>
      </w:r>
      <w:r w:rsidRPr="0025250D">
        <w:rPr>
          <w:rtl/>
        </w:rPr>
        <w:t xml:space="preserve"> است (به </w:t>
      </w:r>
      <w:r w:rsidRPr="0025250D">
        <w:t>BPF</w:t>
      </w:r>
      <w:r w:rsidRPr="0025250D">
        <w:rPr>
          <w:rtl/>
        </w:rPr>
        <w:t xml:space="preserve"> مراجعه کن</w:t>
      </w:r>
      <w:r w:rsidRPr="0025250D">
        <w:rPr>
          <w:rFonts w:hint="cs"/>
          <w:rtl/>
        </w:rPr>
        <w:t>ی</w:t>
      </w:r>
      <w:r w:rsidRPr="0025250D">
        <w:rPr>
          <w:rFonts w:hint="eastAsia"/>
          <w:rtl/>
        </w:rPr>
        <w:t>د</w:t>
      </w:r>
      <w:r w:rsidRPr="0025250D">
        <w:rPr>
          <w:rtl/>
        </w:rPr>
        <w:t xml:space="preserve">). </w:t>
      </w:r>
      <w:r w:rsidR="007118DE" w:rsidRPr="0025250D">
        <w:rPr>
          <w:rtl/>
        </w:rPr>
        <w:t>همان‌طور</w:t>
      </w:r>
      <w:r w:rsidRPr="0025250D">
        <w:rPr>
          <w:rtl/>
        </w:rPr>
        <w:t xml:space="preserve"> که در مورد آن بحث خواه</w:t>
      </w:r>
      <w:r w:rsidRPr="0025250D">
        <w:rPr>
          <w:rFonts w:hint="cs"/>
          <w:rtl/>
        </w:rPr>
        <w:t>ی</w:t>
      </w:r>
      <w:r w:rsidRPr="0025250D">
        <w:rPr>
          <w:rFonts w:hint="eastAsia"/>
          <w:rtl/>
        </w:rPr>
        <w:t>م</w:t>
      </w:r>
      <w:r w:rsidRPr="0025250D">
        <w:rPr>
          <w:rtl/>
        </w:rPr>
        <w:t xml:space="preserve"> کرد، حداقل </w:t>
      </w:r>
      <w:r w:rsidRPr="0025250D">
        <w:rPr>
          <w:rFonts w:hint="cs"/>
          <w:rtl/>
        </w:rPr>
        <w:t>ی</w:t>
      </w:r>
      <w:r w:rsidRPr="0025250D">
        <w:rPr>
          <w:rFonts w:hint="eastAsia"/>
          <w:rtl/>
        </w:rPr>
        <w:t>ک</w:t>
      </w:r>
      <w:r w:rsidRPr="0025250D">
        <w:rPr>
          <w:rtl/>
        </w:rPr>
        <w:t xml:space="preserve"> هدف ظاهر</w:t>
      </w:r>
      <w:r w:rsidRPr="0025250D">
        <w:rPr>
          <w:rFonts w:hint="cs"/>
          <w:rtl/>
        </w:rPr>
        <w:t>ی</w:t>
      </w:r>
      <w:r w:rsidRPr="0025250D">
        <w:rPr>
          <w:rtl/>
        </w:rPr>
        <w:t xml:space="preserve"> برا</w:t>
      </w:r>
      <w:r w:rsidRPr="0025250D">
        <w:rPr>
          <w:rFonts w:hint="cs"/>
          <w:rtl/>
        </w:rPr>
        <w:t>ی</w:t>
      </w:r>
      <w:r w:rsidRPr="0025250D">
        <w:rPr>
          <w:rtl/>
        </w:rPr>
        <w:t xml:space="preserve"> جهان ما و زندگ</w:t>
      </w:r>
      <w:r w:rsidRPr="0025250D">
        <w:rPr>
          <w:rFonts w:hint="cs"/>
          <w:rtl/>
        </w:rPr>
        <w:t>ی</w:t>
      </w:r>
      <w:r w:rsidRPr="0025250D">
        <w:rPr>
          <w:rtl/>
        </w:rPr>
        <w:t xml:space="preserve"> خود ما وجود دارد و آن شامل افزا</w:t>
      </w:r>
      <w:r w:rsidRPr="0025250D">
        <w:rPr>
          <w:rFonts w:hint="cs"/>
          <w:rtl/>
        </w:rPr>
        <w:t>ی</w:t>
      </w:r>
      <w:r w:rsidRPr="0025250D">
        <w:rPr>
          <w:rFonts w:hint="eastAsia"/>
          <w:rtl/>
        </w:rPr>
        <w:t>ش</w:t>
      </w:r>
      <w:r w:rsidRPr="0025250D">
        <w:rPr>
          <w:rtl/>
        </w:rPr>
        <w:t xml:space="preserve"> پ</w:t>
      </w:r>
      <w:r w:rsidRPr="0025250D">
        <w:rPr>
          <w:rFonts w:hint="cs"/>
          <w:rtl/>
        </w:rPr>
        <w:t>ی</w:t>
      </w:r>
      <w:r w:rsidRPr="0025250D">
        <w:rPr>
          <w:rFonts w:hint="eastAsia"/>
          <w:rtl/>
        </w:rPr>
        <w:t>چ</w:t>
      </w:r>
      <w:r w:rsidRPr="0025250D">
        <w:rPr>
          <w:rFonts w:hint="cs"/>
          <w:rtl/>
        </w:rPr>
        <w:t>ی</w:t>
      </w:r>
      <w:r w:rsidRPr="0025250D">
        <w:rPr>
          <w:rFonts w:hint="eastAsia"/>
          <w:rtl/>
        </w:rPr>
        <w:t>دگ</w:t>
      </w:r>
      <w:r w:rsidRPr="0025250D">
        <w:rPr>
          <w:rFonts w:hint="cs"/>
          <w:rtl/>
        </w:rPr>
        <w:t>ی</w:t>
      </w:r>
      <w:r w:rsidRPr="0025250D">
        <w:rPr>
          <w:rtl/>
        </w:rPr>
        <w:t xml:space="preserve"> و آگاه</w:t>
      </w:r>
      <w:r w:rsidRPr="0025250D">
        <w:rPr>
          <w:rFonts w:hint="cs"/>
          <w:rtl/>
        </w:rPr>
        <w:t>ی</w:t>
      </w:r>
      <w:r w:rsidRPr="0025250D">
        <w:rPr>
          <w:rtl/>
        </w:rPr>
        <w:t xml:space="preserve"> است.</w:t>
      </w:r>
      <w:r w:rsidRPr="0025250D">
        <w:rPr>
          <w:rFonts w:hint="cs"/>
          <w:rtl/>
        </w:rPr>
        <w:t xml:space="preserve"> </w:t>
      </w:r>
      <w:r w:rsidRPr="0025250D">
        <w:rPr>
          <w:rtl/>
        </w:rPr>
        <w:t>انسان‌ها پیچیده‌تر</w:t>
      </w:r>
      <w:r w:rsidRPr="0025250D">
        <w:rPr>
          <w:rFonts w:hint="cs"/>
          <w:rtl/>
        </w:rPr>
        <w:t>ی</w:t>
      </w:r>
      <w:r w:rsidRPr="0025250D">
        <w:rPr>
          <w:rFonts w:hint="eastAsia"/>
          <w:rtl/>
        </w:rPr>
        <w:t>ن،</w:t>
      </w:r>
      <w:r w:rsidRPr="0025250D">
        <w:rPr>
          <w:rtl/>
        </w:rPr>
        <w:t xml:space="preserve"> آگاه‌ترین و آ</w:t>
      </w:r>
      <w:r w:rsidRPr="0025250D">
        <w:rPr>
          <w:rFonts w:hint="cs"/>
          <w:rtl/>
        </w:rPr>
        <w:t>ی</w:t>
      </w:r>
      <w:r w:rsidRPr="0025250D">
        <w:rPr>
          <w:rFonts w:hint="eastAsia"/>
          <w:rtl/>
        </w:rPr>
        <w:t>نده</w:t>
      </w:r>
      <w:r w:rsidRPr="0025250D">
        <w:rPr>
          <w:rFonts w:hint="cs"/>
          <w:rtl/>
        </w:rPr>
        <w:t>‌</w:t>
      </w:r>
      <w:r w:rsidRPr="0025250D">
        <w:rPr>
          <w:rtl/>
        </w:rPr>
        <w:t>نگ</w:t>
      </w:r>
      <w:r w:rsidRPr="0025250D">
        <w:rPr>
          <w:rFonts w:hint="cs"/>
          <w:rtl/>
        </w:rPr>
        <w:t>ا</w:t>
      </w:r>
      <w:r w:rsidRPr="0025250D">
        <w:rPr>
          <w:rtl/>
        </w:rPr>
        <w:t>رتر</w:t>
      </w:r>
      <w:r w:rsidRPr="0025250D">
        <w:rPr>
          <w:rFonts w:hint="cs"/>
          <w:rtl/>
        </w:rPr>
        <w:t>ی</w:t>
      </w:r>
      <w:r w:rsidRPr="0025250D">
        <w:rPr>
          <w:rFonts w:hint="eastAsia"/>
          <w:rtl/>
        </w:rPr>
        <w:t>ن</w:t>
      </w:r>
      <w:r w:rsidRPr="0025250D">
        <w:rPr>
          <w:rtl/>
        </w:rPr>
        <w:t xml:space="preserve"> موجودات رو</w:t>
      </w:r>
      <w:r w:rsidRPr="0025250D">
        <w:rPr>
          <w:rFonts w:hint="cs"/>
          <w:rtl/>
        </w:rPr>
        <w:t>ی</w:t>
      </w:r>
      <w:r w:rsidRPr="0025250D">
        <w:rPr>
          <w:rtl/>
        </w:rPr>
        <w:t xml:space="preserve"> زم</w:t>
      </w:r>
      <w:r w:rsidRPr="0025250D">
        <w:rPr>
          <w:rFonts w:hint="cs"/>
          <w:rtl/>
        </w:rPr>
        <w:t>ی</w:t>
      </w:r>
      <w:r w:rsidRPr="0025250D">
        <w:rPr>
          <w:rFonts w:hint="eastAsia"/>
          <w:rtl/>
        </w:rPr>
        <w:t>ن</w:t>
      </w:r>
      <w:r w:rsidRPr="0025250D">
        <w:rPr>
          <w:rtl/>
        </w:rPr>
        <w:t xml:space="preserve"> هستند. بااین‌حال روانشناسان به ما می‌گویند که هر </w:t>
      </w:r>
      <w:r w:rsidRPr="0025250D">
        <w:rPr>
          <w:rFonts w:hint="cs"/>
          <w:rtl/>
        </w:rPr>
        <w:t>ی</w:t>
      </w:r>
      <w:r w:rsidRPr="0025250D">
        <w:rPr>
          <w:rFonts w:hint="eastAsia"/>
          <w:rtl/>
        </w:rPr>
        <w:t>ک</w:t>
      </w:r>
      <w:r w:rsidRPr="0025250D">
        <w:rPr>
          <w:rtl/>
        </w:rPr>
        <w:t xml:space="preserve"> از ما فقط برا</w:t>
      </w:r>
      <w:r w:rsidRPr="0025250D">
        <w:rPr>
          <w:rFonts w:hint="cs"/>
          <w:rtl/>
        </w:rPr>
        <w:t>ی</w:t>
      </w:r>
      <w:r w:rsidRPr="0025250D">
        <w:rPr>
          <w:rtl/>
        </w:rPr>
        <w:t xml:space="preserve"> چند دق</w:t>
      </w:r>
      <w:r w:rsidRPr="0025250D">
        <w:rPr>
          <w:rFonts w:hint="cs"/>
          <w:rtl/>
        </w:rPr>
        <w:t>ی</w:t>
      </w:r>
      <w:r w:rsidRPr="0025250D">
        <w:rPr>
          <w:rFonts w:hint="eastAsia"/>
          <w:rtl/>
        </w:rPr>
        <w:t>قه</w:t>
      </w:r>
      <w:r w:rsidRPr="0025250D">
        <w:rPr>
          <w:rtl/>
        </w:rPr>
        <w:t xml:space="preserve"> در </w:t>
      </w:r>
      <w:r w:rsidRPr="0025250D">
        <w:rPr>
          <w:rFonts w:hint="cs"/>
          <w:rtl/>
        </w:rPr>
        <w:t>ی</w:t>
      </w:r>
      <w:r w:rsidRPr="0025250D">
        <w:rPr>
          <w:rFonts w:hint="eastAsia"/>
          <w:rtl/>
        </w:rPr>
        <w:t>ک</w:t>
      </w:r>
      <w:r w:rsidRPr="0025250D">
        <w:rPr>
          <w:rtl/>
        </w:rPr>
        <w:t xml:space="preserve"> روز معمول</w:t>
      </w:r>
      <w:r w:rsidRPr="0025250D">
        <w:rPr>
          <w:rFonts w:hint="cs"/>
          <w:rtl/>
        </w:rPr>
        <w:t>ی</w:t>
      </w:r>
      <w:r w:rsidRPr="0025250D">
        <w:rPr>
          <w:rtl/>
        </w:rPr>
        <w:t xml:space="preserve"> واقعاً هوش</w:t>
      </w:r>
      <w:r w:rsidRPr="0025250D">
        <w:rPr>
          <w:rFonts w:hint="cs"/>
          <w:rtl/>
        </w:rPr>
        <w:t>ی</w:t>
      </w:r>
      <w:r w:rsidRPr="0025250D">
        <w:rPr>
          <w:rFonts w:hint="eastAsia"/>
          <w:rtl/>
        </w:rPr>
        <w:t>ار</w:t>
      </w:r>
      <w:r w:rsidRPr="0025250D">
        <w:rPr>
          <w:rtl/>
        </w:rPr>
        <w:t xml:space="preserve"> هست</w:t>
      </w:r>
      <w:r w:rsidRPr="0025250D">
        <w:rPr>
          <w:rFonts w:hint="cs"/>
          <w:rtl/>
        </w:rPr>
        <w:t>ی</w:t>
      </w:r>
      <w:r w:rsidRPr="0025250D">
        <w:rPr>
          <w:rFonts w:hint="eastAsia"/>
          <w:rtl/>
        </w:rPr>
        <w:t>م</w:t>
      </w:r>
      <w:r w:rsidRPr="0025250D">
        <w:rPr>
          <w:rtl/>
        </w:rPr>
        <w:t>. ما معتقد</w:t>
      </w:r>
      <w:r w:rsidRPr="0025250D">
        <w:rPr>
          <w:rFonts w:hint="cs"/>
          <w:rtl/>
        </w:rPr>
        <w:t>ی</w:t>
      </w:r>
      <w:r w:rsidRPr="0025250D">
        <w:rPr>
          <w:rFonts w:hint="eastAsia"/>
          <w:rtl/>
        </w:rPr>
        <w:t>م</w:t>
      </w:r>
      <w:r w:rsidRPr="0025250D">
        <w:rPr>
          <w:rtl/>
        </w:rPr>
        <w:t xml:space="preserve"> زمان</w:t>
      </w:r>
      <w:r w:rsidRPr="0025250D">
        <w:rPr>
          <w:rFonts w:hint="cs"/>
          <w:rtl/>
        </w:rPr>
        <w:t>ی</w:t>
      </w:r>
      <w:r w:rsidRPr="0025250D">
        <w:rPr>
          <w:rtl/>
        </w:rPr>
        <w:t xml:space="preserve"> که حفاظت و احترام به </w:t>
      </w:r>
      <w:r w:rsidRPr="0025250D">
        <w:rPr>
          <w:rFonts w:hint="cs"/>
          <w:rtl/>
        </w:rPr>
        <w:t>ی</w:t>
      </w:r>
      <w:r w:rsidRPr="0025250D">
        <w:rPr>
          <w:rFonts w:hint="eastAsia"/>
          <w:rtl/>
        </w:rPr>
        <w:t>کد</w:t>
      </w:r>
      <w:r w:rsidRPr="0025250D">
        <w:rPr>
          <w:rFonts w:hint="cs"/>
          <w:rtl/>
        </w:rPr>
        <w:t>ی</w:t>
      </w:r>
      <w:r w:rsidRPr="0025250D">
        <w:rPr>
          <w:rFonts w:hint="eastAsia"/>
          <w:rtl/>
        </w:rPr>
        <w:t>گر</w:t>
      </w:r>
      <w:r w:rsidRPr="0025250D">
        <w:rPr>
          <w:rtl/>
        </w:rPr>
        <w:t xml:space="preserve"> را حت</w:t>
      </w:r>
      <w:r w:rsidRPr="0025250D">
        <w:rPr>
          <w:rFonts w:hint="cs"/>
          <w:rtl/>
        </w:rPr>
        <w:t>ی</w:t>
      </w:r>
      <w:r w:rsidRPr="0025250D">
        <w:rPr>
          <w:rtl/>
        </w:rPr>
        <w:t xml:space="preserve"> در اختلافاتمان در اولو</w:t>
      </w:r>
      <w:r w:rsidRPr="0025250D">
        <w:rPr>
          <w:rFonts w:hint="cs"/>
          <w:rtl/>
        </w:rPr>
        <w:t>ی</w:t>
      </w:r>
      <w:r w:rsidRPr="0025250D">
        <w:rPr>
          <w:rtl/>
        </w:rPr>
        <w:t>ت قرار ده</w:t>
      </w:r>
      <w:r w:rsidRPr="0025250D">
        <w:rPr>
          <w:rFonts w:hint="cs"/>
          <w:rtl/>
        </w:rPr>
        <w:t>ی</w:t>
      </w:r>
      <w:r w:rsidRPr="0025250D">
        <w:rPr>
          <w:rFonts w:hint="eastAsia"/>
          <w:rtl/>
        </w:rPr>
        <w:t>م،</w:t>
      </w:r>
      <w:r w:rsidRPr="0025250D">
        <w:rPr>
          <w:rtl/>
        </w:rPr>
        <w:t xml:space="preserve"> م</w:t>
      </w:r>
      <w:r w:rsidRPr="0025250D">
        <w:rPr>
          <w:rFonts w:hint="cs"/>
          <w:rtl/>
        </w:rPr>
        <w:t>ی‌</w:t>
      </w:r>
      <w:r w:rsidRPr="0025250D">
        <w:rPr>
          <w:rFonts w:hint="eastAsia"/>
          <w:rtl/>
        </w:rPr>
        <w:t>توان</w:t>
      </w:r>
      <w:r w:rsidRPr="0025250D">
        <w:rPr>
          <w:rFonts w:hint="cs"/>
          <w:rtl/>
        </w:rPr>
        <w:t>ی</w:t>
      </w:r>
      <w:r w:rsidRPr="0025250D">
        <w:rPr>
          <w:rFonts w:hint="eastAsia"/>
          <w:rtl/>
        </w:rPr>
        <w:t>م</w:t>
      </w:r>
      <w:r w:rsidRPr="0025250D">
        <w:rPr>
          <w:rtl/>
        </w:rPr>
        <w:t xml:space="preserve"> ک</w:t>
      </w:r>
      <w:r w:rsidRPr="0025250D">
        <w:rPr>
          <w:rFonts w:hint="cs"/>
          <w:rtl/>
        </w:rPr>
        <w:t>ی</w:t>
      </w:r>
      <w:r w:rsidRPr="0025250D">
        <w:rPr>
          <w:rFonts w:hint="eastAsia"/>
          <w:rtl/>
        </w:rPr>
        <w:t>ف</w:t>
      </w:r>
      <w:r w:rsidRPr="0025250D">
        <w:rPr>
          <w:rFonts w:hint="cs"/>
          <w:rtl/>
        </w:rPr>
        <w:t>ی</w:t>
      </w:r>
      <w:r w:rsidRPr="0025250D">
        <w:rPr>
          <w:rFonts w:hint="eastAsia"/>
          <w:rtl/>
        </w:rPr>
        <w:t>ت</w:t>
      </w:r>
      <w:r w:rsidRPr="0025250D">
        <w:rPr>
          <w:rtl/>
        </w:rPr>
        <w:t xml:space="preserve"> بس</w:t>
      </w:r>
      <w:r w:rsidRPr="0025250D">
        <w:rPr>
          <w:rFonts w:hint="cs"/>
          <w:rtl/>
        </w:rPr>
        <w:t>ی</w:t>
      </w:r>
      <w:r w:rsidRPr="0025250D">
        <w:rPr>
          <w:rFonts w:hint="eastAsia"/>
          <w:rtl/>
        </w:rPr>
        <w:t>ار</w:t>
      </w:r>
      <w:r w:rsidRPr="0025250D">
        <w:rPr>
          <w:rtl/>
        </w:rPr>
        <w:t xml:space="preserve"> بالاتر، آگاه</w:t>
      </w:r>
      <w:r w:rsidRPr="0025250D">
        <w:rPr>
          <w:rFonts w:hint="cs"/>
          <w:rtl/>
        </w:rPr>
        <w:t>ی</w:t>
      </w:r>
      <w:r w:rsidRPr="0025250D">
        <w:rPr>
          <w:rtl/>
        </w:rPr>
        <w:t xml:space="preserve"> مستمر و جمع</w:t>
      </w:r>
      <w:r w:rsidRPr="0025250D">
        <w:rPr>
          <w:rFonts w:hint="cs"/>
          <w:rtl/>
        </w:rPr>
        <w:t>ی‌</w:t>
      </w:r>
      <w:r w:rsidRPr="0025250D">
        <w:rPr>
          <w:rFonts w:hint="eastAsia"/>
          <w:rtl/>
        </w:rPr>
        <w:t>تر</w:t>
      </w:r>
      <w:r w:rsidR="008D6F97" w:rsidRPr="0025250D">
        <w:rPr>
          <w:rtl/>
        </w:rPr>
        <w:t xml:space="preserve"> </w:t>
      </w:r>
      <w:r w:rsidRPr="0025250D">
        <w:rPr>
          <w:rtl/>
        </w:rPr>
        <w:t>و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و اقدام بس</w:t>
      </w:r>
      <w:r w:rsidRPr="0025250D">
        <w:rPr>
          <w:rFonts w:hint="cs"/>
          <w:rtl/>
        </w:rPr>
        <w:t>ی</w:t>
      </w:r>
      <w:r w:rsidRPr="0025250D">
        <w:rPr>
          <w:rFonts w:hint="eastAsia"/>
          <w:rtl/>
        </w:rPr>
        <w:t>ار</w:t>
      </w:r>
      <w:r w:rsidRPr="0025250D">
        <w:rPr>
          <w:rtl/>
        </w:rPr>
        <w:t xml:space="preserve"> بهتر</w:t>
      </w:r>
      <w:r w:rsidRPr="0025250D">
        <w:rPr>
          <w:rFonts w:hint="cs"/>
          <w:rtl/>
        </w:rPr>
        <w:t>ی</w:t>
      </w:r>
      <w:r w:rsidRPr="0025250D">
        <w:rPr>
          <w:rtl/>
        </w:rPr>
        <w:t xml:space="preserve"> داشته باش</w:t>
      </w:r>
      <w:r w:rsidRPr="0025250D">
        <w:rPr>
          <w:rFonts w:hint="cs"/>
          <w:rtl/>
        </w:rPr>
        <w:t>ی</w:t>
      </w:r>
      <w:r w:rsidRPr="0025250D">
        <w:rPr>
          <w:rFonts w:hint="eastAsia"/>
          <w:rtl/>
        </w:rPr>
        <w:t>م</w:t>
      </w:r>
      <w:r w:rsidRPr="0025250D">
        <w:rPr>
          <w:rtl/>
        </w:rPr>
        <w:t>.</w:t>
      </w:r>
    </w:p>
    <w:p w14:paraId="448D47CF" w14:textId="77777777" w:rsidR="00B219EF" w:rsidRPr="0025250D" w:rsidRDefault="00B219EF" w:rsidP="004445C5">
      <w:pPr>
        <w:rPr>
          <w:b/>
          <w:bCs/>
          <w:rtl/>
        </w:rPr>
      </w:pPr>
      <w:r w:rsidRPr="0025250D">
        <w:rPr>
          <w:rFonts w:hint="cs"/>
          <w:b/>
          <w:bCs/>
          <w:rtl/>
        </w:rPr>
        <w:t xml:space="preserve">شعار 2: </w:t>
      </w:r>
      <w:r w:rsidRPr="0025250D">
        <w:rPr>
          <w:b/>
          <w:bCs/>
          <w:rtl/>
        </w:rPr>
        <w:t>ک</w:t>
      </w:r>
      <w:r w:rsidRPr="0025250D">
        <w:rPr>
          <w:rFonts w:hint="cs"/>
          <w:b/>
          <w:bCs/>
          <w:rtl/>
        </w:rPr>
        <w:t>ی</w:t>
      </w:r>
      <w:r w:rsidRPr="0025250D">
        <w:rPr>
          <w:rFonts w:hint="eastAsia"/>
          <w:b/>
          <w:bCs/>
          <w:rtl/>
        </w:rPr>
        <w:t>ف</w:t>
      </w:r>
      <w:r w:rsidRPr="0025250D">
        <w:rPr>
          <w:rFonts w:hint="cs"/>
          <w:b/>
          <w:bCs/>
          <w:rtl/>
        </w:rPr>
        <w:t>ی</w:t>
      </w:r>
      <w:r w:rsidRPr="0025250D">
        <w:rPr>
          <w:rFonts w:hint="eastAsia"/>
          <w:b/>
          <w:bCs/>
          <w:rtl/>
        </w:rPr>
        <w:t>ت</w:t>
      </w:r>
      <w:r w:rsidRPr="0025250D">
        <w:rPr>
          <w:b/>
          <w:bCs/>
          <w:rtl/>
        </w:rPr>
        <w:t xml:space="preserve"> </w:t>
      </w:r>
      <w:r w:rsidRPr="0025250D">
        <w:rPr>
          <w:rFonts w:hint="cs"/>
          <w:b/>
          <w:bCs/>
          <w:rtl/>
        </w:rPr>
        <w:t>چشم‌انداز</w:t>
      </w:r>
      <w:r w:rsidRPr="0025250D">
        <w:rPr>
          <w:b/>
          <w:bCs/>
          <w:rtl/>
        </w:rPr>
        <w:t>!</w:t>
      </w:r>
    </w:p>
    <w:p w14:paraId="7B08BC51" w14:textId="03A75160" w:rsidR="00B219EF" w:rsidRPr="0025250D" w:rsidRDefault="00B219EF" w:rsidP="004445C5">
      <w:pPr>
        <w:rPr>
          <w:rtl/>
        </w:rPr>
      </w:pPr>
      <w:r w:rsidRPr="0025250D">
        <w:rPr>
          <w:rtl/>
        </w:rPr>
        <w:t>شعار دوم ما ادعا می‌کند که ک</w:t>
      </w:r>
      <w:r w:rsidRPr="0025250D">
        <w:rPr>
          <w:rFonts w:hint="cs"/>
          <w:rtl/>
        </w:rPr>
        <w:t>ی</w:t>
      </w:r>
      <w:r w:rsidRPr="0025250D">
        <w:rPr>
          <w:rFonts w:hint="eastAsia"/>
          <w:rtl/>
        </w:rPr>
        <w:t>ف</w:t>
      </w:r>
      <w:r w:rsidRPr="0025250D">
        <w:rPr>
          <w:rFonts w:hint="cs"/>
          <w:rtl/>
        </w:rPr>
        <w:t>ی</w:t>
      </w:r>
      <w:r w:rsidRPr="0025250D">
        <w:rPr>
          <w:rFonts w:hint="eastAsia"/>
          <w:rtl/>
        </w:rPr>
        <w:t>ت</w:t>
      </w:r>
      <w:r w:rsidRPr="0025250D">
        <w:rPr>
          <w:rtl/>
        </w:rPr>
        <w:t xml:space="preserve"> چشم‌انداز ما، برا</w:t>
      </w:r>
      <w:r w:rsidRPr="0025250D">
        <w:rPr>
          <w:rFonts w:hint="cs"/>
          <w:rtl/>
        </w:rPr>
        <w:t>ی</w:t>
      </w:r>
      <w:r w:rsidRPr="0025250D">
        <w:rPr>
          <w:rtl/>
        </w:rPr>
        <w:t xml:space="preserve"> خود، خانواده، تیم‌هایمان</w:t>
      </w:r>
      <w:r w:rsidRPr="0025250D">
        <w:rPr>
          <w:rFonts w:hint="eastAsia"/>
          <w:rtl/>
        </w:rPr>
        <w:t>،</w:t>
      </w:r>
      <w:r w:rsidRPr="0025250D">
        <w:rPr>
          <w:rtl/>
        </w:rPr>
        <w:t xml:space="preserve"> سازمان‌ها، جوامع و س</w:t>
      </w:r>
      <w:r w:rsidRPr="0025250D">
        <w:rPr>
          <w:rFonts w:hint="cs"/>
          <w:rtl/>
        </w:rPr>
        <w:t>ی</w:t>
      </w:r>
      <w:r w:rsidRPr="0025250D">
        <w:rPr>
          <w:rFonts w:hint="eastAsia"/>
          <w:rtl/>
        </w:rPr>
        <w:t>اره</w:t>
      </w:r>
      <w:r w:rsidRPr="0025250D">
        <w:rPr>
          <w:rtl/>
        </w:rPr>
        <w:t xml:space="preserve"> ما مهم‌ترین و مف</w:t>
      </w:r>
      <w:r w:rsidRPr="0025250D">
        <w:rPr>
          <w:rFonts w:hint="cs"/>
          <w:rtl/>
        </w:rPr>
        <w:t>ی</w:t>
      </w:r>
      <w:r w:rsidRPr="0025250D">
        <w:rPr>
          <w:rFonts w:hint="eastAsia"/>
          <w:rtl/>
        </w:rPr>
        <w:t>دتر</w:t>
      </w:r>
      <w:r w:rsidRPr="0025250D">
        <w:rPr>
          <w:rFonts w:hint="cs"/>
          <w:rtl/>
        </w:rPr>
        <w:t>ی</w:t>
      </w:r>
      <w:r w:rsidRPr="0025250D">
        <w:rPr>
          <w:rFonts w:hint="eastAsia"/>
          <w:rtl/>
        </w:rPr>
        <w:t>ن</w:t>
      </w:r>
      <w:r w:rsidRPr="0025250D">
        <w:rPr>
          <w:rtl/>
        </w:rPr>
        <w:t xml:space="preserve"> چ</w:t>
      </w:r>
      <w:r w:rsidRPr="0025250D">
        <w:rPr>
          <w:rFonts w:hint="cs"/>
          <w:rtl/>
        </w:rPr>
        <w:t>ی</w:t>
      </w:r>
      <w:r w:rsidRPr="0025250D">
        <w:rPr>
          <w:rFonts w:hint="eastAsia"/>
          <w:rtl/>
        </w:rPr>
        <w:t>ز</w:t>
      </w:r>
      <w:r w:rsidRPr="0025250D">
        <w:rPr>
          <w:rFonts w:hint="cs"/>
          <w:rtl/>
        </w:rPr>
        <w:t>ی</w:t>
      </w:r>
      <w:r w:rsidRPr="0025250D">
        <w:rPr>
          <w:rtl/>
        </w:rPr>
        <w:t xml:space="preserve"> است که می‌توانیم از آگاه</w:t>
      </w:r>
      <w:r w:rsidRPr="0025250D">
        <w:rPr>
          <w:rFonts w:hint="cs"/>
          <w:rtl/>
        </w:rPr>
        <w:t>ی</w:t>
      </w:r>
      <w:r w:rsidRPr="0025250D">
        <w:rPr>
          <w:rFonts w:hint="eastAsia"/>
          <w:rtl/>
        </w:rPr>
        <w:t>،</w:t>
      </w:r>
      <w:r w:rsidRPr="0025250D">
        <w:rPr>
          <w:rtl/>
        </w:rPr>
        <w:t xml:space="preserve"> هوش، اخلاق و همدل</w:t>
      </w:r>
      <w:r w:rsidRPr="0025250D">
        <w:rPr>
          <w:rFonts w:hint="cs"/>
          <w:rtl/>
        </w:rPr>
        <w:t>ی</w:t>
      </w:r>
      <w:r w:rsidRPr="0025250D">
        <w:rPr>
          <w:rtl/>
        </w:rPr>
        <w:t xml:space="preserve"> خود برا</w:t>
      </w:r>
      <w:r w:rsidRPr="0025250D">
        <w:rPr>
          <w:rFonts w:hint="cs"/>
          <w:rtl/>
        </w:rPr>
        <w:t>ی</w:t>
      </w:r>
      <w:r w:rsidRPr="0025250D">
        <w:rPr>
          <w:rtl/>
        </w:rPr>
        <w:t xml:space="preserve"> توسعه</w:t>
      </w:r>
      <w:r w:rsidRPr="0025250D">
        <w:rPr>
          <w:rFonts w:hint="cs"/>
          <w:rtl/>
        </w:rPr>
        <w:t xml:space="preserve"> آن</w:t>
      </w:r>
      <w:r w:rsidRPr="0025250D">
        <w:rPr>
          <w:rtl/>
        </w:rPr>
        <w:t xml:space="preserve"> استفاده کن</w:t>
      </w:r>
      <w:r w:rsidRPr="0025250D">
        <w:rPr>
          <w:rFonts w:hint="cs"/>
          <w:rtl/>
        </w:rPr>
        <w:t>ی</w:t>
      </w:r>
      <w:r w:rsidRPr="0025250D">
        <w:rPr>
          <w:rFonts w:hint="eastAsia"/>
          <w:rtl/>
        </w:rPr>
        <w:t>م</w:t>
      </w:r>
      <w:r w:rsidRPr="0025250D">
        <w:rPr>
          <w:rtl/>
        </w:rPr>
        <w:t xml:space="preserve">. </w:t>
      </w:r>
      <w:r w:rsidR="00B67B12" w:rsidRPr="0025250D">
        <w:rPr>
          <w:rFonts w:hint="cs"/>
          <w:rtl/>
        </w:rPr>
        <w:t>همه</w:t>
      </w:r>
      <w:r w:rsidRPr="0025250D">
        <w:rPr>
          <w:rtl/>
        </w:rPr>
        <w:t xml:space="preserve"> ما</w:t>
      </w:r>
      <w:r w:rsidRPr="0025250D">
        <w:rPr>
          <w:rFonts w:hint="cs"/>
          <w:rtl/>
        </w:rPr>
        <w:t xml:space="preserve"> قادر به انجام</w:t>
      </w:r>
      <w:r w:rsidRPr="0025250D">
        <w:rPr>
          <w:rtl/>
        </w:rPr>
        <w:t xml:space="preserve"> تعداد </w:t>
      </w:r>
      <w:r w:rsidR="00B67B12" w:rsidRPr="0025250D">
        <w:rPr>
          <w:rFonts w:hint="cs"/>
          <w:rtl/>
        </w:rPr>
        <w:t>بسیار زیادی</w:t>
      </w:r>
      <w:r w:rsidRPr="0025250D">
        <w:rPr>
          <w:rtl/>
        </w:rPr>
        <w:t xml:space="preserve"> </w:t>
      </w:r>
      <w:r w:rsidRPr="0025250D">
        <w:rPr>
          <w:rFonts w:hint="cs"/>
          <w:rtl/>
        </w:rPr>
        <w:t xml:space="preserve">از </w:t>
      </w:r>
      <w:r w:rsidRPr="0025250D">
        <w:rPr>
          <w:rtl/>
        </w:rPr>
        <w:t>اع</w:t>
      </w:r>
      <w:r w:rsidRPr="0025250D">
        <w:rPr>
          <w:rFonts w:hint="eastAsia"/>
          <w:rtl/>
        </w:rPr>
        <w:t>مال</w:t>
      </w:r>
      <w:r w:rsidRPr="0025250D">
        <w:rPr>
          <w:rtl/>
        </w:rPr>
        <w:t xml:space="preserve"> ممکن در هر ثان</w:t>
      </w:r>
      <w:r w:rsidRPr="0025250D">
        <w:rPr>
          <w:rFonts w:hint="cs"/>
          <w:rtl/>
        </w:rPr>
        <w:t>ی</w:t>
      </w:r>
      <w:r w:rsidRPr="0025250D">
        <w:rPr>
          <w:rFonts w:hint="eastAsia"/>
          <w:rtl/>
        </w:rPr>
        <w:t>ه</w:t>
      </w:r>
      <w:r w:rsidRPr="0025250D">
        <w:rPr>
          <w:rtl/>
        </w:rPr>
        <w:t xml:space="preserve"> در هر روز هست</w:t>
      </w:r>
      <w:r w:rsidRPr="0025250D">
        <w:rPr>
          <w:rFonts w:hint="cs"/>
          <w:rtl/>
        </w:rPr>
        <w:t>ی</w:t>
      </w:r>
      <w:r w:rsidRPr="0025250D">
        <w:rPr>
          <w:rFonts w:hint="eastAsia"/>
          <w:rtl/>
        </w:rPr>
        <w:t>م</w:t>
      </w:r>
      <w:r w:rsidR="008D6F97" w:rsidRPr="0025250D">
        <w:rPr>
          <w:rtl/>
        </w:rPr>
        <w:t xml:space="preserve">؛ </w:t>
      </w:r>
      <w:r w:rsidRPr="0025250D">
        <w:rPr>
          <w:rtl/>
        </w:rPr>
        <w:t>اما فقط برخ</w:t>
      </w:r>
      <w:r w:rsidRPr="0025250D">
        <w:rPr>
          <w:rFonts w:hint="cs"/>
          <w:rtl/>
        </w:rPr>
        <w:t>ی</w:t>
      </w:r>
      <w:r w:rsidRPr="0025250D">
        <w:rPr>
          <w:rtl/>
        </w:rPr>
        <w:t xml:space="preserve"> از آن افکار و اعمال هم </w:t>
      </w:r>
      <w:r w:rsidR="00AE5BE0" w:rsidRPr="0025250D">
        <w:rPr>
          <w:rtl/>
        </w:rPr>
        <w:t>انطباقی</w:t>
      </w:r>
      <w:r w:rsidRPr="0025250D">
        <w:rPr>
          <w:rtl/>
        </w:rPr>
        <w:t xml:space="preserve"> و هم پ</w:t>
      </w:r>
      <w:r w:rsidRPr="0025250D">
        <w:rPr>
          <w:rFonts w:hint="cs"/>
          <w:rtl/>
        </w:rPr>
        <w:t>ی</w:t>
      </w:r>
      <w:r w:rsidRPr="0025250D">
        <w:rPr>
          <w:rFonts w:hint="eastAsia"/>
          <w:rtl/>
        </w:rPr>
        <w:t>شرو</w:t>
      </w:r>
      <w:r w:rsidRPr="0025250D">
        <w:rPr>
          <w:rtl/>
        </w:rPr>
        <w:t xml:space="preserve"> خواهند بود. هر چه ک</w:t>
      </w:r>
      <w:r w:rsidRPr="0025250D">
        <w:rPr>
          <w:rFonts w:hint="cs"/>
          <w:rtl/>
        </w:rPr>
        <w:t>ی</w:t>
      </w:r>
      <w:r w:rsidRPr="0025250D">
        <w:rPr>
          <w:rFonts w:hint="eastAsia"/>
          <w:rtl/>
        </w:rPr>
        <w:t>ف</w:t>
      </w:r>
      <w:r w:rsidRPr="0025250D">
        <w:rPr>
          <w:rFonts w:hint="cs"/>
          <w:rtl/>
        </w:rPr>
        <w:t>ی</w:t>
      </w:r>
      <w:r w:rsidRPr="0025250D">
        <w:rPr>
          <w:rFonts w:hint="eastAsia"/>
          <w:rtl/>
        </w:rPr>
        <w:t>ت</w:t>
      </w:r>
      <w:r w:rsidRPr="0025250D">
        <w:rPr>
          <w:rtl/>
        </w:rPr>
        <w:t xml:space="preserve"> </w:t>
      </w:r>
      <w:r w:rsidRPr="0025250D">
        <w:rPr>
          <w:rFonts w:hint="cs"/>
          <w:rtl/>
        </w:rPr>
        <w:t>چشم‌انداز</w:t>
      </w:r>
      <w:r w:rsidRPr="0025250D">
        <w:rPr>
          <w:rtl/>
        </w:rPr>
        <w:t xml:space="preserve"> ما برا</w:t>
      </w:r>
      <w:r w:rsidRPr="0025250D">
        <w:rPr>
          <w:rFonts w:hint="cs"/>
          <w:rtl/>
        </w:rPr>
        <w:t>ی</w:t>
      </w:r>
      <w:r w:rsidRPr="0025250D">
        <w:rPr>
          <w:rtl/>
        </w:rPr>
        <w:t xml:space="preserve"> چند ثان</w:t>
      </w:r>
      <w:r w:rsidRPr="0025250D">
        <w:rPr>
          <w:rFonts w:hint="cs"/>
          <w:rtl/>
        </w:rPr>
        <w:t>ی</w:t>
      </w:r>
      <w:r w:rsidRPr="0025250D">
        <w:rPr>
          <w:rFonts w:hint="eastAsia"/>
          <w:rtl/>
        </w:rPr>
        <w:t>ه</w:t>
      </w:r>
      <w:r w:rsidRPr="0025250D">
        <w:rPr>
          <w:rtl/>
        </w:rPr>
        <w:t xml:space="preserve"> آ</w:t>
      </w:r>
      <w:r w:rsidRPr="0025250D">
        <w:rPr>
          <w:rFonts w:hint="cs"/>
          <w:rtl/>
        </w:rPr>
        <w:t>ی</w:t>
      </w:r>
      <w:r w:rsidRPr="0025250D">
        <w:rPr>
          <w:rFonts w:hint="eastAsia"/>
          <w:rtl/>
        </w:rPr>
        <w:t>نده،</w:t>
      </w:r>
      <w:r w:rsidRPr="0025250D">
        <w:rPr>
          <w:rtl/>
        </w:rPr>
        <w:t xml:space="preserve"> چند ساعت آ</w:t>
      </w:r>
      <w:r w:rsidRPr="0025250D">
        <w:rPr>
          <w:rFonts w:hint="cs"/>
          <w:rtl/>
        </w:rPr>
        <w:t>ی</w:t>
      </w:r>
      <w:r w:rsidRPr="0025250D">
        <w:rPr>
          <w:rFonts w:hint="eastAsia"/>
          <w:rtl/>
        </w:rPr>
        <w:t>نده،</w:t>
      </w:r>
      <w:r w:rsidRPr="0025250D">
        <w:rPr>
          <w:rtl/>
        </w:rPr>
        <w:t xml:space="preserve"> روز بعد، ماه بعد، سه ماه بعد، سال بعد، دهه بعد</w:t>
      </w:r>
      <w:r w:rsidR="008D6F97" w:rsidRPr="0025250D">
        <w:rPr>
          <w:rtl/>
        </w:rPr>
        <w:t xml:space="preserve"> </w:t>
      </w:r>
      <w:r w:rsidRPr="0025250D">
        <w:rPr>
          <w:rtl/>
        </w:rPr>
        <w:t>تا آخر عمر، برا</w:t>
      </w:r>
      <w:r w:rsidRPr="0025250D">
        <w:rPr>
          <w:rFonts w:hint="cs"/>
          <w:rtl/>
        </w:rPr>
        <w:t>ی</w:t>
      </w:r>
      <w:r w:rsidRPr="0025250D">
        <w:rPr>
          <w:rtl/>
        </w:rPr>
        <w:t xml:space="preserve"> فرزندانمان و برا</w:t>
      </w:r>
      <w:r w:rsidRPr="0025250D">
        <w:rPr>
          <w:rFonts w:hint="cs"/>
          <w:rtl/>
        </w:rPr>
        <w:t>ی</w:t>
      </w:r>
      <w:r w:rsidRPr="0025250D">
        <w:rPr>
          <w:rtl/>
        </w:rPr>
        <w:t xml:space="preserve"> نسل‌های آ</w:t>
      </w:r>
      <w:r w:rsidRPr="0025250D">
        <w:rPr>
          <w:rFonts w:hint="cs"/>
          <w:rtl/>
        </w:rPr>
        <w:t>ی</w:t>
      </w:r>
      <w:r w:rsidRPr="0025250D">
        <w:rPr>
          <w:rFonts w:hint="eastAsia"/>
          <w:rtl/>
        </w:rPr>
        <w:t>نده</w:t>
      </w:r>
      <w:r w:rsidRPr="0025250D">
        <w:rPr>
          <w:rFonts w:hint="cs"/>
          <w:rtl/>
        </w:rPr>
        <w:t xml:space="preserve"> بهتر باشد</w:t>
      </w:r>
      <w:r w:rsidRPr="0025250D">
        <w:rPr>
          <w:rFonts w:hint="eastAsia"/>
          <w:rtl/>
        </w:rPr>
        <w:t>،</w:t>
      </w:r>
      <w:r w:rsidRPr="0025250D">
        <w:rPr>
          <w:rtl/>
        </w:rPr>
        <w:t xml:space="preserve"> اقدامات ما می‌توان</w:t>
      </w:r>
      <w:r w:rsidR="00B67B12" w:rsidRPr="0025250D">
        <w:rPr>
          <w:rFonts w:hint="cs"/>
          <w:rtl/>
        </w:rPr>
        <w:t>ن</w:t>
      </w:r>
      <w:r w:rsidRPr="0025250D">
        <w:rPr>
          <w:rtl/>
        </w:rPr>
        <w:t xml:space="preserve">د </w:t>
      </w:r>
      <w:r w:rsidRPr="0025250D">
        <w:rPr>
          <w:rFonts w:hint="cs"/>
          <w:rtl/>
        </w:rPr>
        <w:t>بهبود یاب</w:t>
      </w:r>
      <w:r w:rsidR="00B67B12" w:rsidRPr="0025250D">
        <w:rPr>
          <w:rFonts w:hint="cs"/>
          <w:rtl/>
        </w:rPr>
        <w:t>ن</w:t>
      </w:r>
      <w:r w:rsidRPr="0025250D">
        <w:rPr>
          <w:rFonts w:hint="cs"/>
          <w:rtl/>
        </w:rPr>
        <w:t>د</w:t>
      </w:r>
      <w:r w:rsidRPr="0025250D">
        <w:rPr>
          <w:rtl/>
        </w:rPr>
        <w:t xml:space="preserve">. </w:t>
      </w:r>
      <w:r w:rsidRPr="0025250D">
        <w:rPr>
          <w:rFonts w:hint="eastAsia"/>
          <w:rtl/>
        </w:rPr>
        <w:t>اگر</w:t>
      </w:r>
      <w:r w:rsidRPr="0025250D">
        <w:rPr>
          <w:rtl/>
        </w:rPr>
        <w:t xml:space="preserve"> مردم شا</w:t>
      </w:r>
      <w:r w:rsidRPr="0025250D">
        <w:rPr>
          <w:rFonts w:hint="cs"/>
          <w:rtl/>
        </w:rPr>
        <w:t>ی</w:t>
      </w:r>
      <w:r w:rsidRPr="0025250D">
        <w:rPr>
          <w:rFonts w:hint="eastAsia"/>
          <w:rtl/>
        </w:rPr>
        <w:t>ست</w:t>
      </w:r>
      <w:r w:rsidR="00B67B12" w:rsidRPr="0025250D">
        <w:rPr>
          <w:rFonts w:hint="cs"/>
          <w:rtl/>
        </w:rPr>
        <w:t>گی این را دارند که</w:t>
      </w:r>
      <w:r w:rsidRPr="0025250D">
        <w:rPr>
          <w:rtl/>
        </w:rPr>
        <w:t xml:space="preserve"> </w:t>
      </w:r>
      <w:r w:rsidRPr="0025250D">
        <w:rPr>
          <w:rFonts w:hint="cs"/>
          <w:rtl/>
        </w:rPr>
        <w:t xml:space="preserve">دارای </w:t>
      </w:r>
      <w:r w:rsidRPr="0025250D">
        <w:rPr>
          <w:rtl/>
        </w:rPr>
        <w:t>اولو</w:t>
      </w:r>
      <w:r w:rsidRPr="0025250D">
        <w:rPr>
          <w:rFonts w:hint="cs"/>
          <w:rtl/>
        </w:rPr>
        <w:t>ی</w:t>
      </w:r>
      <w:r w:rsidRPr="0025250D">
        <w:rPr>
          <w:rFonts w:hint="eastAsia"/>
          <w:rtl/>
        </w:rPr>
        <w:t>ت</w:t>
      </w:r>
      <w:r w:rsidRPr="0025250D">
        <w:rPr>
          <w:rtl/>
        </w:rPr>
        <w:t xml:space="preserve"> اصل</w:t>
      </w:r>
      <w:r w:rsidRPr="0025250D">
        <w:rPr>
          <w:rFonts w:hint="cs"/>
          <w:rtl/>
        </w:rPr>
        <w:t>ی</w:t>
      </w:r>
      <w:r w:rsidRPr="0025250D">
        <w:rPr>
          <w:rtl/>
        </w:rPr>
        <w:t xml:space="preserve"> باشند، ازنظر ما، بهبود ک</w:t>
      </w:r>
      <w:r w:rsidRPr="0025250D">
        <w:rPr>
          <w:rFonts w:hint="cs"/>
          <w:rtl/>
        </w:rPr>
        <w:t>ی</w:t>
      </w:r>
      <w:r w:rsidRPr="0025250D">
        <w:rPr>
          <w:rFonts w:hint="eastAsia"/>
          <w:rtl/>
        </w:rPr>
        <w:t>ف</w:t>
      </w:r>
      <w:r w:rsidRPr="0025250D">
        <w:rPr>
          <w:rFonts w:hint="cs"/>
          <w:rtl/>
        </w:rPr>
        <w:t>ی</w:t>
      </w:r>
      <w:r w:rsidRPr="0025250D">
        <w:rPr>
          <w:rFonts w:hint="eastAsia"/>
          <w:rtl/>
        </w:rPr>
        <w:t>ت</w:t>
      </w:r>
      <w:r w:rsidRPr="0025250D">
        <w:rPr>
          <w:rtl/>
        </w:rPr>
        <w:t xml:space="preserve"> </w:t>
      </w:r>
      <w:r w:rsidRPr="0025250D">
        <w:rPr>
          <w:rFonts w:hint="cs"/>
          <w:rtl/>
        </w:rPr>
        <w:t>چشم‌انداز</w:t>
      </w:r>
      <w:r w:rsidRPr="0025250D">
        <w:rPr>
          <w:rtl/>
        </w:rPr>
        <w:t xml:space="preserve"> ما</w:t>
      </w:r>
      <w:r w:rsidR="00B67B12" w:rsidRPr="0025250D">
        <w:rPr>
          <w:rFonts w:hint="cs"/>
          <w:rtl/>
        </w:rPr>
        <w:t xml:space="preserve"> نیز</w:t>
      </w:r>
      <w:r w:rsidRPr="0025250D">
        <w:rPr>
          <w:rtl/>
        </w:rPr>
        <w:t xml:space="preserve"> شا</w:t>
      </w:r>
      <w:r w:rsidRPr="0025250D">
        <w:rPr>
          <w:rFonts w:hint="cs"/>
          <w:rtl/>
        </w:rPr>
        <w:t>ی</w:t>
      </w:r>
      <w:r w:rsidRPr="0025250D">
        <w:rPr>
          <w:rFonts w:hint="eastAsia"/>
          <w:rtl/>
        </w:rPr>
        <w:t>سته</w:t>
      </w:r>
      <w:r w:rsidRPr="0025250D">
        <w:rPr>
          <w:rtl/>
        </w:rPr>
        <w:t xml:space="preserve"> است</w:t>
      </w:r>
      <w:r w:rsidRPr="0025250D">
        <w:rPr>
          <w:rFonts w:hint="cs"/>
          <w:rtl/>
        </w:rPr>
        <w:t xml:space="preserve"> که فرایند دارای</w:t>
      </w:r>
      <w:r w:rsidRPr="0025250D">
        <w:rPr>
          <w:rtl/>
        </w:rPr>
        <w:t xml:space="preserve"> اولو</w:t>
      </w:r>
      <w:r w:rsidRPr="0025250D">
        <w:rPr>
          <w:rFonts w:hint="cs"/>
          <w:rtl/>
        </w:rPr>
        <w:t>ی</w:t>
      </w:r>
      <w:r w:rsidRPr="0025250D">
        <w:rPr>
          <w:rFonts w:hint="eastAsia"/>
          <w:rtl/>
        </w:rPr>
        <w:t>ت</w:t>
      </w:r>
      <w:r w:rsidRPr="0025250D">
        <w:rPr>
          <w:rtl/>
        </w:rPr>
        <w:t xml:space="preserve"> اصل</w:t>
      </w:r>
      <w:r w:rsidRPr="0025250D">
        <w:rPr>
          <w:rFonts w:hint="cs"/>
          <w:rtl/>
        </w:rPr>
        <w:t>ی</w:t>
      </w:r>
      <w:r w:rsidRPr="0025250D">
        <w:rPr>
          <w:rtl/>
        </w:rPr>
        <w:t xml:space="preserve"> ما باشد. هر چه همه ما واضح‌تر بب</w:t>
      </w:r>
      <w:r w:rsidRPr="0025250D">
        <w:rPr>
          <w:rFonts w:hint="cs"/>
          <w:rtl/>
        </w:rPr>
        <w:t>ی</w:t>
      </w:r>
      <w:r w:rsidRPr="0025250D">
        <w:rPr>
          <w:rFonts w:hint="eastAsia"/>
          <w:rtl/>
        </w:rPr>
        <w:t>ن</w:t>
      </w:r>
      <w:r w:rsidRPr="0025250D">
        <w:rPr>
          <w:rFonts w:hint="cs"/>
          <w:rtl/>
        </w:rPr>
        <w:t>ی</w:t>
      </w:r>
      <w:r w:rsidRPr="0025250D">
        <w:rPr>
          <w:rFonts w:hint="eastAsia"/>
          <w:rtl/>
        </w:rPr>
        <w:t>م</w:t>
      </w:r>
      <w:r w:rsidRPr="0025250D">
        <w:rPr>
          <w:rtl/>
        </w:rPr>
        <w:t xml:space="preserve"> که در آ</w:t>
      </w:r>
      <w:r w:rsidRPr="0025250D">
        <w:rPr>
          <w:rFonts w:hint="cs"/>
          <w:rtl/>
        </w:rPr>
        <w:t>ی</w:t>
      </w:r>
      <w:r w:rsidRPr="0025250D">
        <w:rPr>
          <w:rFonts w:hint="eastAsia"/>
          <w:rtl/>
        </w:rPr>
        <w:t>نده</w:t>
      </w:r>
      <w:r w:rsidRPr="0025250D">
        <w:rPr>
          <w:rtl/>
        </w:rPr>
        <w:t xml:space="preserve"> چه خواه</w:t>
      </w:r>
      <w:r w:rsidRPr="0025250D">
        <w:rPr>
          <w:rFonts w:hint="cs"/>
          <w:rtl/>
        </w:rPr>
        <w:t>ی</w:t>
      </w:r>
      <w:r w:rsidRPr="0025250D">
        <w:rPr>
          <w:rFonts w:hint="eastAsia"/>
          <w:rtl/>
        </w:rPr>
        <w:t>م</w:t>
      </w:r>
      <w:r w:rsidRPr="0025250D">
        <w:rPr>
          <w:rtl/>
        </w:rPr>
        <w:t xml:space="preserve"> کرد، می‌توانیم</w:t>
      </w:r>
      <w:r w:rsidR="00B67B12" w:rsidRPr="0025250D">
        <w:rPr>
          <w:rFonts w:hint="cs"/>
          <w:rtl/>
        </w:rPr>
        <w:t xml:space="preserve"> انجام دهیم</w:t>
      </w:r>
      <w:r w:rsidRPr="0025250D">
        <w:rPr>
          <w:rtl/>
        </w:rPr>
        <w:t xml:space="preserve"> و با</w:t>
      </w:r>
      <w:r w:rsidRPr="0025250D">
        <w:rPr>
          <w:rFonts w:hint="cs"/>
          <w:rtl/>
        </w:rPr>
        <w:t>ی</w:t>
      </w:r>
      <w:r w:rsidRPr="0025250D">
        <w:rPr>
          <w:rFonts w:hint="eastAsia"/>
          <w:rtl/>
        </w:rPr>
        <w:t>د</w:t>
      </w:r>
      <w:r w:rsidRPr="0025250D">
        <w:rPr>
          <w:rtl/>
        </w:rPr>
        <w:t xml:space="preserve"> انجام ده</w:t>
      </w:r>
      <w:r w:rsidRPr="0025250D">
        <w:rPr>
          <w:rFonts w:hint="cs"/>
          <w:rtl/>
        </w:rPr>
        <w:t>ی</w:t>
      </w:r>
      <w:r w:rsidRPr="0025250D">
        <w:rPr>
          <w:rFonts w:hint="eastAsia"/>
          <w:rtl/>
        </w:rPr>
        <w:t>م،</w:t>
      </w:r>
      <w:r w:rsidRPr="0025250D">
        <w:rPr>
          <w:rtl/>
        </w:rPr>
        <w:t xml:space="preserve"> دن</w:t>
      </w:r>
      <w:r w:rsidRPr="0025250D">
        <w:rPr>
          <w:rFonts w:hint="cs"/>
          <w:rtl/>
        </w:rPr>
        <w:t>ی</w:t>
      </w:r>
      <w:r w:rsidRPr="0025250D">
        <w:rPr>
          <w:rFonts w:hint="eastAsia"/>
          <w:rtl/>
        </w:rPr>
        <w:t>ا</w:t>
      </w:r>
      <w:r w:rsidRPr="0025250D">
        <w:rPr>
          <w:rFonts w:hint="cs"/>
          <w:rtl/>
        </w:rPr>
        <w:t>ی</w:t>
      </w:r>
      <w:r w:rsidRPr="0025250D">
        <w:rPr>
          <w:rtl/>
        </w:rPr>
        <w:t xml:space="preserve"> ما بهتر می‌شود. ما بهتر</w:t>
      </w:r>
      <w:r w:rsidRPr="0025250D">
        <w:rPr>
          <w:rFonts w:hint="cs"/>
          <w:rtl/>
        </w:rPr>
        <w:t>ی</w:t>
      </w:r>
      <w:r w:rsidRPr="0025250D">
        <w:rPr>
          <w:rFonts w:hint="eastAsia"/>
          <w:rtl/>
        </w:rPr>
        <w:t>ن</w:t>
      </w:r>
      <w:r w:rsidRPr="0025250D">
        <w:rPr>
          <w:rtl/>
        </w:rPr>
        <w:t xml:space="preserve"> نکات خود در مورد چگونگ</w:t>
      </w:r>
      <w:r w:rsidRPr="0025250D">
        <w:rPr>
          <w:rFonts w:hint="cs"/>
          <w:rtl/>
        </w:rPr>
        <w:t>ی</w:t>
      </w:r>
      <w:r w:rsidRPr="0025250D">
        <w:rPr>
          <w:rtl/>
        </w:rPr>
        <w:t xml:space="preserve"> </w:t>
      </w:r>
      <w:r w:rsidRPr="0025250D">
        <w:rPr>
          <w:rFonts w:hint="eastAsia"/>
          <w:rtl/>
        </w:rPr>
        <w:t>بهبود</w:t>
      </w:r>
      <w:r w:rsidRPr="0025250D">
        <w:rPr>
          <w:rtl/>
        </w:rPr>
        <w:t xml:space="preserve"> </w:t>
      </w:r>
      <w:r w:rsidRPr="0025250D">
        <w:rPr>
          <w:rFonts w:hint="cs"/>
          <w:rtl/>
        </w:rPr>
        <w:t>چشم‌انداز</w:t>
      </w:r>
      <w:r w:rsidRPr="0025250D">
        <w:rPr>
          <w:rtl/>
        </w:rPr>
        <w:t xml:space="preserve"> خود را در ا</w:t>
      </w:r>
      <w:r w:rsidRPr="0025250D">
        <w:rPr>
          <w:rFonts w:hint="cs"/>
          <w:rtl/>
        </w:rPr>
        <w:t>ی</w:t>
      </w:r>
      <w:r w:rsidRPr="0025250D">
        <w:rPr>
          <w:rFonts w:hint="eastAsia"/>
          <w:rtl/>
        </w:rPr>
        <w:t>ن</w:t>
      </w:r>
      <w:r w:rsidRPr="0025250D">
        <w:rPr>
          <w:rtl/>
        </w:rPr>
        <w:t xml:space="preserve"> راهنما ارائه خواه</w:t>
      </w:r>
      <w:r w:rsidRPr="0025250D">
        <w:rPr>
          <w:rFonts w:hint="cs"/>
          <w:rtl/>
        </w:rPr>
        <w:t>ی</w:t>
      </w:r>
      <w:r w:rsidRPr="0025250D">
        <w:rPr>
          <w:rFonts w:hint="eastAsia"/>
          <w:rtl/>
        </w:rPr>
        <w:t>م</w:t>
      </w:r>
      <w:r w:rsidRPr="0025250D">
        <w:rPr>
          <w:rtl/>
        </w:rPr>
        <w:t xml:space="preserve"> داد. به ما اطلاع ده</w:t>
      </w:r>
      <w:r w:rsidRPr="0025250D">
        <w:rPr>
          <w:rFonts w:hint="cs"/>
          <w:rtl/>
        </w:rPr>
        <w:t>ی</w:t>
      </w:r>
      <w:r w:rsidRPr="0025250D">
        <w:rPr>
          <w:rFonts w:hint="eastAsia"/>
          <w:rtl/>
        </w:rPr>
        <w:t>د</w:t>
      </w:r>
      <w:r w:rsidRPr="0025250D">
        <w:rPr>
          <w:rtl/>
        </w:rPr>
        <w:t xml:space="preserve"> که </w:t>
      </w:r>
      <w:r w:rsidRPr="0025250D">
        <w:rPr>
          <w:rFonts w:hint="cs"/>
          <w:rtl/>
        </w:rPr>
        <w:t>کدام موارد را</w:t>
      </w:r>
      <w:r w:rsidRPr="0025250D">
        <w:rPr>
          <w:rtl/>
        </w:rPr>
        <w:t xml:space="preserve"> دوست دار</w:t>
      </w:r>
      <w:r w:rsidRPr="0025250D">
        <w:rPr>
          <w:rFonts w:hint="cs"/>
          <w:rtl/>
        </w:rPr>
        <w:t>ی</w:t>
      </w:r>
      <w:r w:rsidRPr="0025250D">
        <w:rPr>
          <w:rFonts w:hint="eastAsia"/>
          <w:rtl/>
        </w:rPr>
        <w:t>د</w:t>
      </w:r>
      <w:r w:rsidRPr="0025250D">
        <w:rPr>
          <w:rtl/>
        </w:rPr>
        <w:t xml:space="preserve"> و در کجا کوتاه</w:t>
      </w:r>
      <w:r w:rsidRPr="0025250D">
        <w:rPr>
          <w:rFonts w:hint="cs"/>
          <w:rtl/>
        </w:rPr>
        <w:t>ی</w:t>
      </w:r>
      <w:r w:rsidRPr="0025250D">
        <w:rPr>
          <w:rtl/>
        </w:rPr>
        <w:t xml:space="preserve"> کرده‌ایم.</w:t>
      </w:r>
    </w:p>
    <w:p w14:paraId="192D73C0" w14:textId="724D7630" w:rsidR="00B219EF" w:rsidRPr="0025250D" w:rsidRDefault="00B219EF" w:rsidP="004445C5">
      <w:pPr>
        <w:rPr>
          <w:b/>
          <w:bCs/>
          <w:rtl/>
        </w:rPr>
      </w:pPr>
      <w:r w:rsidRPr="0025250D">
        <w:rPr>
          <w:rFonts w:hint="cs"/>
          <w:b/>
          <w:bCs/>
          <w:rtl/>
        </w:rPr>
        <w:t xml:space="preserve">شعار </w:t>
      </w:r>
      <w:r w:rsidR="00127C91" w:rsidRPr="0025250D">
        <w:rPr>
          <w:rFonts w:hint="cs"/>
          <w:b/>
          <w:bCs/>
          <w:rtl/>
        </w:rPr>
        <w:t>3</w:t>
      </w:r>
      <w:r w:rsidRPr="0025250D">
        <w:rPr>
          <w:rFonts w:hint="cs"/>
          <w:b/>
          <w:bCs/>
          <w:rtl/>
        </w:rPr>
        <w:t>: آینده‌نگاری اهمیت دارد</w:t>
      </w:r>
      <w:r w:rsidRPr="0025250D">
        <w:rPr>
          <w:b/>
          <w:bCs/>
          <w:rtl/>
        </w:rPr>
        <w:t>!</w:t>
      </w:r>
    </w:p>
    <w:p w14:paraId="7FBE5E32" w14:textId="4BE974DA" w:rsidR="00B219EF" w:rsidRPr="0025250D" w:rsidRDefault="00B219EF" w:rsidP="004445C5">
      <w:pPr>
        <w:rPr>
          <w:rtl/>
        </w:rPr>
      </w:pPr>
      <w:r w:rsidRPr="0025250D">
        <w:rPr>
          <w:rtl/>
        </w:rPr>
        <w:t>م</w:t>
      </w:r>
      <w:r w:rsidRPr="0025250D">
        <w:rPr>
          <w:rFonts w:hint="cs"/>
          <w:rtl/>
        </w:rPr>
        <w:t>ی‌</w:t>
      </w:r>
      <w:r w:rsidRPr="0025250D">
        <w:rPr>
          <w:rFonts w:hint="eastAsia"/>
          <w:rtl/>
        </w:rPr>
        <w:t>توان</w:t>
      </w:r>
      <w:r w:rsidRPr="0025250D">
        <w:rPr>
          <w:rFonts w:hint="cs"/>
          <w:rtl/>
        </w:rPr>
        <w:t>ی</w:t>
      </w:r>
      <w:r w:rsidRPr="0025250D">
        <w:rPr>
          <w:rFonts w:hint="eastAsia"/>
          <w:rtl/>
        </w:rPr>
        <w:t>م</w:t>
      </w:r>
      <w:r w:rsidRPr="0025250D">
        <w:rPr>
          <w:rtl/>
        </w:rPr>
        <w:t xml:space="preserve"> عبارت «ک</w:t>
      </w:r>
      <w:r w:rsidRPr="0025250D">
        <w:rPr>
          <w:rFonts w:hint="cs"/>
          <w:rtl/>
        </w:rPr>
        <w:t>ی</w:t>
      </w:r>
      <w:r w:rsidRPr="0025250D">
        <w:rPr>
          <w:rFonts w:hint="eastAsia"/>
          <w:rtl/>
        </w:rPr>
        <w:t>ف</w:t>
      </w:r>
      <w:r w:rsidRPr="0025250D">
        <w:rPr>
          <w:rFonts w:hint="cs"/>
          <w:rtl/>
        </w:rPr>
        <w:t>ی</w:t>
      </w:r>
      <w:r w:rsidRPr="0025250D">
        <w:rPr>
          <w:rFonts w:hint="eastAsia"/>
          <w:rtl/>
        </w:rPr>
        <w:t>ت</w:t>
      </w:r>
      <w:r w:rsidRPr="0025250D">
        <w:rPr>
          <w:rtl/>
        </w:rPr>
        <w:t xml:space="preserve"> </w:t>
      </w:r>
      <w:r w:rsidRPr="0025250D">
        <w:rPr>
          <w:rFonts w:hint="cs"/>
          <w:rtl/>
        </w:rPr>
        <w:t>چشم‌انداز</w:t>
      </w:r>
      <w:r w:rsidRPr="0025250D">
        <w:rPr>
          <w:rFonts w:hint="eastAsia"/>
          <w:rtl/>
        </w:rPr>
        <w:t>»</w:t>
      </w:r>
      <w:r w:rsidRPr="0025250D">
        <w:rPr>
          <w:rtl/>
        </w:rPr>
        <w:t xml:space="preserve"> را </w:t>
      </w:r>
      <w:r w:rsidRPr="0025250D">
        <w:rPr>
          <w:rFonts w:hint="cs"/>
          <w:rtl/>
        </w:rPr>
        <w:t>در</w:t>
      </w:r>
      <w:r w:rsidRPr="0025250D">
        <w:rPr>
          <w:rtl/>
        </w:rPr>
        <w:t xml:space="preserve"> </w:t>
      </w:r>
      <w:r w:rsidRPr="0025250D">
        <w:rPr>
          <w:rFonts w:hint="cs"/>
          <w:rtl/>
        </w:rPr>
        <w:t>ی</w:t>
      </w:r>
      <w:r w:rsidRPr="0025250D">
        <w:rPr>
          <w:rFonts w:hint="eastAsia"/>
          <w:rtl/>
        </w:rPr>
        <w:t>ک</w:t>
      </w:r>
      <w:r w:rsidRPr="0025250D">
        <w:rPr>
          <w:rtl/>
        </w:rPr>
        <w:t xml:space="preserve"> کلمه کوتاه </w:t>
      </w:r>
      <w:r w:rsidRPr="0025250D">
        <w:rPr>
          <w:rFonts w:hint="cs"/>
          <w:rtl/>
        </w:rPr>
        <w:t xml:space="preserve">خلاصه </w:t>
      </w:r>
      <w:r w:rsidRPr="0025250D">
        <w:rPr>
          <w:rtl/>
        </w:rPr>
        <w:t>کن</w:t>
      </w:r>
      <w:r w:rsidRPr="0025250D">
        <w:rPr>
          <w:rFonts w:hint="cs"/>
          <w:rtl/>
        </w:rPr>
        <w:t>ی</w:t>
      </w:r>
      <w:r w:rsidRPr="0025250D">
        <w:rPr>
          <w:rFonts w:hint="eastAsia"/>
          <w:rtl/>
        </w:rPr>
        <w:t>م</w:t>
      </w:r>
      <w:r w:rsidRPr="0025250D">
        <w:rPr>
          <w:rtl/>
        </w:rPr>
        <w:t>: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شعار نها</w:t>
      </w:r>
      <w:r w:rsidRPr="0025250D">
        <w:rPr>
          <w:rFonts w:hint="cs"/>
          <w:rtl/>
        </w:rPr>
        <w:t>یی</w:t>
      </w:r>
      <w:r w:rsidRPr="0025250D">
        <w:rPr>
          <w:rtl/>
        </w:rPr>
        <w:t xml:space="preserve"> ما به ما </w:t>
      </w:r>
      <w:r w:rsidRPr="0025250D">
        <w:rPr>
          <w:rFonts w:hint="cs"/>
          <w:rtl/>
        </w:rPr>
        <w:t>ی</w:t>
      </w:r>
      <w:r w:rsidRPr="0025250D">
        <w:rPr>
          <w:rFonts w:hint="eastAsia"/>
          <w:rtl/>
        </w:rPr>
        <w:t>ادآور</w:t>
      </w:r>
      <w:r w:rsidRPr="0025250D">
        <w:rPr>
          <w:rFonts w:hint="cs"/>
          <w:rtl/>
        </w:rPr>
        <w:t>ی</w:t>
      </w:r>
      <w:r w:rsidRPr="0025250D">
        <w:rPr>
          <w:rtl/>
        </w:rPr>
        <w:t xml:space="preserve"> می‌کند که در حال حاضر در دن</w:t>
      </w:r>
      <w:r w:rsidRPr="0025250D">
        <w:rPr>
          <w:rFonts w:hint="cs"/>
          <w:rtl/>
        </w:rPr>
        <w:t>ی</w:t>
      </w:r>
      <w:r w:rsidRPr="0025250D">
        <w:rPr>
          <w:rFonts w:hint="eastAsia"/>
          <w:rtl/>
        </w:rPr>
        <w:t>ا</w:t>
      </w:r>
      <w:r w:rsidRPr="0025250D">
        <w:rPr>
          <w:rFonts w:hint="cs"/>
          <w:rtl/>
        </w:rPr>
        <w:t>یی</w:t>
      </w:r>
      <w:r w:rsidRPr="0025250D">
        <w:rPr>
          <w:rtl/>
        </w:rPr>
        <w:t xml:space="preserve"> زندگ</w:t>
      </w:r>
      <w:r w:rsidRPr="0025250D">
        <w:rPr>
          <w:rFonts w:hint="cs"/>
          <w:rtl/>
        </w:rPr>
        <w:t>ی</w:t>
      </w:r>
      <w:r w:rsidRPr="0025250D">
        <w:rPr>
          <w:rtl/>
        </w:rPr>
        <w:t xml:space="preserve"> می‌کنیم که در آن آینده‌نگاری اغلب ناد</w:t>
      </w:r>
      <w:r w:rsidRPr="0025250D">
        <w:rPr>
          <w:rFonts w:hint="cs"/>
          <w:rtl/>
        </w:rPr>
        <w:t>ی</w:t>
      </w:r>
      <w:r w:rsidRPr="0025250D">
        <w:rPr>
          <w:rFonts w:hint="eastAsia"/>
          <w:rtl/>
        </w:rPr>
        <w:t>ده</w:t>
      </w:r>
      <w:r w:rsidRPr="0025250D">
        <w:rPr>
          <w:rtl/>
        </w:rPr>
        <w:t xml:space="preserve"> گرفته می‌شود</w:t>
      </w:r>
      <w:r w:rsidRPr="0025250D">
        <w:rPr>
          <w:rFonts w:hint="cs"/>
          <w:rtl/>
        </w:rPr>
        <w:t xml:space="preserve"> و</w:t>
      </w:r>
      <w:r w:rsidRPr="0025250D">
        <w:rPr>
          <w:rtl/>
        </w:rPr>
        <w:t xml:space="preserve"> مسدود می‌شود. بس</w:t>
      </w:r>
      <w:r w:rsidRPr="0025250D">
        <w:rPr>
          <w:rFonts w:hint="cs"/>
          <w:rtl/>
        </w:rPr>
        <w:t>ی</w:t>
      </w:r>
      <w:r w:rsidRPr="0025250D">
        <w:rPr>
          <w:rFonts w:hint="eastAsia"/>
          <w:rtl/>
        </w:rPr>
        <w:t>ار</w:t>
      </w:r>
      <w:r w:rsidRPr="0025250D">
        <w:rPr>
          <w:rFonts w:hint="cs"/>
          <w:rtl/>
        </w:rPr>
        <w:t>ی</w:t>
      </w:r>
      <w:r w:rsidRPr="0025250D">
        <w:rPr>
          <w:rtl/>
        </w:rPr>
        <w:t xml:space="preserve"> از ما متوجه نم</w:t>
      </w:r>
      <w:r w:rsidRPr="0025250D">
        <w:rPr>
          <w:rFonts w:hint="cs"/>
          <w:rtl/>
        </w:rPr>
        <w:t>ی‌</w:t>
      </w:r>
      <w:r w:rsidRPr="0025250D">
        <w:rPr>
          <w:rFonts w:hint="eastAsia"/>
          <w:rtl/>
        </w:rPr>
        <w:t>شو</w:t>
      </w:r>
      <w:r w:rsidRPr="0025250D">
        <w:rPr>
          <w:rFonts w:hint="cs"/>
          <w:rtl/>
        </w:rPr>
        <w:t>ی</w:t>
      </w:r>
      <w:r w:rsidRPr="0025250D">
        <w:rPr>
          <w:rFonts w:hint="eastAsia"/>
          <w:rtl/>
        </w:rPr>
        <w:t>م</w:t>
      </w:r>
      <w:r w:rsidRPr="0025250D">
        <w:rPr>
          <w:rtl/>
        </w:rPr>
        <w:t xml:space="preserve"> که وقت</w:t>
      </w:r>
      <w:r w:rsidRPr="0025250D">
        <w:rPr>
          <w:rFonts w:hint="cs"/>
          <w:rtl/>
        </w:rPr>
        <w:t>ی</w:t>
      </w:r>
      <w:r w:rsidRPr="0025250D">
        <w:rPr>
          <w:rtl/>
        </w:rPr>
        <w:t xml:space="preserve"> تصم</w:t>
      </w:r>
      <w:r w:rsidRPr="0025250D">
        <w:rPr>
          <w:rFonts w:hint="cs"/>
          <w:rtl/>
        </w:rPr>
        <w:t>ی</w:t>
      </w:r>
      <w:r w:rsidRPr="0025250D">
        <w:rPr>
          <w:rFonts w:hint="eastAsia"/>
          <w:rtl/>
        </w:rPr>
        <w:t>م</w:t>
      </w:r>
      <w:r w:rsidRPr="0025250D">
        <w:rPr>
          <w:rtl/>
        </w:rPr>
        <w:t xml:space="preserve"> م</w:t>
      </w:r>
      <w:r w:rsidRPr="0025250D">
        <w:rPr>
          <w:rFonts w:hint="cs"/>
          <w:rtl/>
        </w:rPr>
        <w:t>ی‌</w:t>
      </w:r>
      <w:r w:rsidRPr="0025250D">
        <w:rPr>
          <w:rFonts w:hint="eastAsia"/>
          <w:rtl/>
        </w:rPr>
        <w:t>گ</w:t>
      </w:r>
      <w:r w:rsidRPr="0025250D">
        <w:rPr>
          <w:rFonts w:hint="cs"/>
          <w:rtl/>
        </w:rPr>
        <w:t>ی</w:t>
      </w:r>
      <w:r w:rsidRPr="0025250D">
        <w:rPr>
          <w:rFonts w:hint="eastAsia"/>
          <w:rtl/>
        </w:rPr>
        <w:t>ر</w:t>
      </w:r>
      <w:r w:rsidRPr="0025250D">
        <w:rPr>
          <w:rFonts w:hint="cs"/>
          <w:rtl/>
        </w:rPr>
        <w:t>ی</w:t>
      </w:r>
      <w:r w:rsidRPr="0025250D">
        <w:rPr>
          <w:rFonts w:hint="eastAsia"/>
          <w:rtl/>
        </w:rPr>
        <w:t>م</w:t>
      </w:r>
      <w:r w:rsidRPr="0025250D">
        <w:rPr>
          <w:rtl/>
        </w:rPr>
        <w:t xml:space="preserve"> به ک</w:t>
      </w:r>
      <w:r w:rsidRPr="0025250D">
        <w:rPr>
          <w:rFonts w:hint="cs"/>
          <w:rtl/>
        </w:rPr>
        <w:t>ی</w:t>
      </w:r>
      <w:r w:rsidRPr="0025250D">
        <w:rPr>
          <w:rFonts w:hint="eastAsia"/>
          <w:rtl/>
        </w:rPr>
        <w:t>ف</w:t>
      </w:r>
      <w:r w:rsidRPr="0025250D">
        <w:rPr>
          <w:rFonts w:hint="cs"/>
          <w:rtl/>
        </w:rPr>
        <w:t>ی</w:t>
      </w:r>
      <w:r w:rsidRPr="0025250D">
        <w:rPr>
          <w:rFonts w:hint="eastAsia"/>
          <w:rtl/>
        </w:rPr>
        <w:t>ت</w:t>
      </w:r>
      <w:r w:rsidRPr="0025250D">
        <w:rPr>
          <w:rtl/>
        </w:rPr>
        <w:t xml:space="preserve"> </w:t>
      </w:r>
      <w:r w:rsidRPr="0025250D">
        <w:rPr>
          <w:rFonts w:hint="cs"/>
          <w:rtl/>
        </w:rPr>
        <w:t>چشم‌انداز</w:t>
      </w:r>
      <w:r w:rsidRPr="0025250D">
        <w:rPr>
          <w:rtl/>
        </w:rPr>
        <w:t xml:space="preserve"> خود اهم</w:t>
      </w:r>
      <w:r w:rsidRPr="0025250D">
        <w:rPr>
          <w:rFonts w:hint="cs"/>
          <w:rtl/>
        </w:rPr>
        <w:t>ی</w:t>
      </w:r>
      <w:r w:rsidRPr="0025250D">
        <w:rPr>
          <w:rFonts w:hint="eastAsia"/>
          <w:rtl/>
        </w:rPr>
        <w:t>ت</w:t>
      </w:r>
      <w:r w:rsidRPr="0025250D">
        <w:rPr>
          <w:rtl/>
        </w:rPr>
        <w:t xml:space="preserve"> ده</w:t>
      </w:r>
      <w:r w:rsidRPr="0025250D">
        <w:rPr>
          <w:rFonts w:hint="cs"/>
          <w:rtl/>
        </w:rPr>
        <w:t>ی</w:t>
      </w:r>
      <w:r w:rsidRPr="0025250D">
        <w:rPr>
          <w:rFonts w:hint="eastAsia"/>
          <w:rtl/>
        </w:rPr>
        <w:t>م</w:t>
      </w:r>
      <w:r w:rsidRPr="0025250D">
        <w:rPr>
          <w:rtl/>
        </w:rPr>
        <w:t xml:space="preserve"> و وقت</w:t>
      </w:r>
      <w:r w:rsidRPr="0025250D">
        <w:rPr>
          <w:rFonts w:hint="cs"/>
          <w:rtl/>
        </w:rPr>
        <w:t>ی</w:t>
      </w:r>
      <w:r w:rsidRPr="0025250D">
        <w:rPr>
          <w:rtl/>
        </w:rPr>
        <w:t xml:space="preserve"> از فرآ</w:t>
      </w:r>
      <w:r w:rsidRPr="0025250D">
        <w:rPr>
          <w:rFonts w:hint="cs"/>
          <w:rtl/>
        </w:rPr>
        <w:t>ی</w:t>
      </w:r>
      <w:r w:rsidRPr="0025250D">
        <w:rPr>
          <w:rFonts w:hint="eastAsia"/>
          <w:rtl/>
        </w:rPr>
        <w:t>ند</w:t>
      </w:r>
      <w:r w:rsidRPr="0025250D">
        <w:rPr>
          <w:rtl/>
        </w:rPr>
        <w:t xml:space="preserve"> آ</w:t>
      </w:r>
      <w:r w:rsidRPr="0025250D">
        <w:rPr>
          <w:rFonts w:hint="cs"/>
          <w:rtl/>
        </w:rPr>
        <w:t>ی</w:t>
      </w:r>
      <w:r w:rsidRPr="0025250D">
        <w:rPr>
          <w:rFonts w:hint="eastAsia"/>
          <w:rtl/>
        </w:rPr>
        <w:t>نده‌نگار</w:t>
      </w:r>
      <w:r w:rsidRPr="0025250D">
        <w:rPr>
          <w:rFonts w:hint="cs"/>
          <w:rtl/>
        </w:rPr>
        <w:t>ی</w:t>
      </w:r>
      <w:r w:rsidRPr="0025250D">
        <w:rPr>
          <w:rtl/>
        </w:rPr>
        <w:t xml:space="preserve"> خوب استفاده م</w:t>
      </w:r>
      <w:r w:rsidRPr="0025250D">
        <w:rPr>
          <w:rFonts w:hint="cs"/>
          <w:rtl/>
        </w:rPr>
        <w:t>ی‌</w:t>
      </w:r>
      <w:r w:rsidRPr="0025250D">
        <w:rPr>
          <w:rFonts w:hint="eastAsia"/>
          <w:rtl/>
        </w:rPr>
        <w:t>کن</w:t>
      </w:r>
      <w:r w:rsidRPr="0025250D">
        <w:rPr>
          <w:rFonts w:hint="cs"/>
          <w:rtl/>
        </w:rPr>
        <w:t>ی</w:t>
      </w:r>
      <w:r w:rsidRPr="0025250D">
        <w:rPr>
          <w:rFonts w:hint="eastAsia"/>
          <w:rtl/>
        </w:rPr>
        <w:t>م،</w:t>
      </w:r>
      <w:r w:rsidRPr="0025250D">
        <w:rPr>
          <w:rtl/>
        </w:rPr>
        <w:t xml:space="preserve"> چقدر بهتر م</w:t>
      </w:r>
      <w:r w:rsidRPr="0025250D">
        <w:rPr>
          <w:rFonts w:hint="cs"/>
          <w:rtl/>
        </w:rPr>
        <w:t>ی‌</w:t>
      </w:r>
      <w:r w:rsidRPr="0025250D">
        <w:rPr>
          <w:rFonts w:hint="eastAsia"/>
          <w:rtl/>
        </w:rPr>
        <w:t>توان</w:t>
      </w:r>
      <w:r w:rsidRPr="0025250D">
        <w:rPr>
          <w:rFonts w:hint="cs"/>
          <w:rtl/>
        </w:rPr>
        <w:t>ی</w:t>
      </w:r>
      <w:r w:rsidRPr="0025250D">
        <w:rPr>
          <w:rFonts w:hint="eastAsia"/>
          <w:rtl/>
        </w:rPr>
        <w:t>م</w:t>
      </w:r>
      <w:r w:rsidRPr="0025250D">
        <w:rPr>
          <w:rtl/>
        </w:rPr>
        <w:t xml:space="preserve"> بب</w:t>
      </w:r>
      <w:r w:rsidRPr="0025250D">
        <w:rPr>
          <w:rFonts w:hint="cs"/>
          <w:rtl/>
        </w:rPr>
        <w:t>ی</w:t>
      </w:r>
      <w:r w:rsidRPr="0025250D">
        <w:rPr>
          <w:rFonts w:hint="eastAsia"/>
          <w:rtl/>
        </w:rPr>
        <w:t>ن</w:t>
      </w:r>
      <w:r w:rsidRPr="0025250D">
        <w:rPr>
          <w:rFonts w:hint="cs"/>
          <w:rtl/>
        </w:rPr>
        <w:t>ی</w:t>
      </w:r>
      <w:r w:rsidRPr="0025250D">
        <w:rPr>
          <w:rFonts w:hint="eastAsia"/>
          <w:rtl/>
        </w:rPr>
        <w:t>م</w:t>
      </w:r>
      <w:r w:rsidRPr="0025250D">
        <w:rPr>
          <w:rtl/>
        </w:rPr>
        <w:t>. آ</w:t>
      </w:r>
      <w:r w:rsidRPr="0025250D">
        <w:rPr>
          <w:rFonts w:hint="cs"/>
          <w:rtl/>
        </w:rPr>
        <w:t>ی</w:t>
      </w:r>
      <w:r w:rsidRPr="0025250D">
        <w:rPr>
          <w:rFonts w:hint="eastAsia"/>
          <w:rtl/>
        </w:rPr>
        <w:t>نده</w:t>
      </w:r>
      <w:r w:rsidRPr="0025250D">
        <w:rPr>
          <w:rtl/>
        </w:rPr>
        <w:t xml:space="preserve"> ن</w:t>
      </w:r>
      <w:r w:rsidRPr="0025250D">
        <w:rPr>
          <w:rFonts w:hint="cs"/>
          <w:rtl/>
        </w:rPr>
        <w:t>ی</w:t>
      </w:r>
      <w:r w:rsidRPr="0025250D">
        <w:rPr>
          <w:rFonts w:hint="eastAsia"/>
          <w:rtl/>
        </w:rPr>
        <w:t>ز</w:t>
      </w:r>
      <w:r w:rsidRPr="0025250D">
        <w:rPr>
          <w:rtl/>
        </w:rPr>
        <w:t xml:space="preserve"> س</w:t>
      </w:r>
      <w:r w:rsidRPr="0025250D">
        <w:rPr>
          <w:rFonts w:hint="cs"/>
          <w:rtl/>
        </w:rPr>
        <w:t>ی</w:t>
      </w:r>
      <w:r w:rsidRPr="0025250D">
        <w:rPr>
          <w:rFonts w:hint="eastAsia"/>
          <w:rtl/>
        </w:rPr>
        <w:t>اس</w:t>
      </w:r>
      <w:r w:rsidRPr="0025250D">
        <w:rPr>
          <w:rFonts w:hint="cs"/>
          <w:rtl/>
        </w:rPr>
        <w:t>ی</w:t>
      </w:r>
      <w:r w:rsidRPr="0025250D">
        <w:rPr>
          <w:rtl/>
        </w:rPr>
        <w:t xml:space="preserve"> است و هرکس برنامه‌های خود را دارد. بس</w:t>
      </w:r>
      <w:r w:rsidRPr="0025250D">
        <w:rPr>
          <w:rFonts w:hint="cs"/>
          <w:rtl/>
        </w:rPr>
        <w:t>ی</w:t>
      </w:r>
      <w:r w:rsidRPr="0025250D">
        <w:rPr>
          <w:rFonts w:hint="eastAsia"/>
          <w:rtl/>
        </w:rPr>
        <w:t>ار</w:t>
      </w:r>
      <w:r w:rsidRPr="0025250D">
        <w:rPr>
          <w:rFonts w:hint="cs"/>
          <w:rtl/>
        </w:rPr>
        <w:t>ی</w:t>
      </w:r>
      <w:r w:rsidRPr="0025250D">
        <w:rPr>
          <w:rtl/>
        </w:rPr>
        <w:t xml:space="preserve"> از نهادها</w:t>
      </w:r>
      <w:r w:rsidRPr="0025250D">
        <w:rPr>
          <w:rFonts w:hint="cs"/>
          <w:rtl/>
        </w:rPr>
        <w:t>ی</w:t>
      </w:r>
      <w:r w:rsidRPr="0025250D">
        <w:rPr>
          <w:rtl/>
        </w:rPr>
        <w:t xml:space="preserve"> قدرتمند خوشحال هستند که نسخ</w:t>
      </w:r>
      <w:r w:rsidRPr="0025250D">
        <w:rPr>
          <w:rFonts w:hint="eastAsia"/>
          <w:rtl/>
        </w:rPr>
        <w:t>ه‌ا</w:t>
      </w:r>
      <w:r w:rsidRPr="0025250D">
        <w:rPr>
          <w:rFonts w:hint="cs"/>
          <w:rtl/>
        </w:rPr>
        <w:t>ی</w:t>
      </w:r>
      <w:r w:rsidRPr="0025250D">
        <w:rPr>
          <w:rtl/>
        </w:rPr>
        <w:t xml:space="preserve"> از آ</w:t>
      </w:r>
      <w:r w:rsidRPr="0025250D">
        <w:rPr>
          <w:rFonts w:hint="cs"/>
          <w:rtl/>
        </w:rPr>
        <w:t>ی</w:t>
      </w:r>
      <w:r w:rsidRPr="0025250D">
        <w:rPr>
          <w:rFonts w:hint="eastAsia"/>
          <w:rtl/>
        </w:rPr>
        <w:t>نده</w:t>
      </w:r>
      <w:r w:rsidRPr="0025250D">
        <w:rPr>
          <w:rtl/>
        </w:rPr>
        <w:t xml:space="preserve"> را به ما ارائه م</w:t>
      </w:r>
      <w:r w:rsidRPr="0025250D">
        <w:rPr>
          <w:rFonts w:hint="cs"/>
          <w:rtl/>
        </w:rPr>
        <w:t>ی‌</w:t>
      </w:r>
      <w:r w:rsidRPr="0025250D">
        <w:rPr>
          <w:rFonts w:hint="eastAsia"/>
          <w:rtl/>
        </w:rPr>
        <w:t>کنند</w:t>
      </w:r>
      <w:r w:rsidRPr="0025250D">
        <w:rPr>
          <w:rtl/>
        </w:rPr>
        <w:t xml:space="preserve"> که به بهتر</w:t>
      </w:r>
      <w:r w:rsidRPr="0025250D">
        <w:rPr>
          <w:rFonts w:hint="cs"/>
          <w:rtl/>
        </w:rPr>
        <w:t>ی</w:t>
      </w:r>
      <w:r w:rsidRPr="0025250D">
        <w:rPr>
          <w:rFonts w:hint="eastAsia"/>
          <w:rtl/>
        </w:rPr>
        <w:t>ن</w:t>
      </w:r>
      <w:r w:rsidRPr="0025250D">
        <w:rPr>
          <w:rtl/>
        </w:rPr>
        <w:t xml:space="preserve"> وجه به اهداف آن‌ها خدمت م</w:t>
      </w:r>
      <w:r w:rsidRPr="0025250D">
        <w:rPr>
          <w:rFonts w:hint="cs"/>
          <w:rtl/>
        </w:rPr>
        <w:t>ی‌</w:t>
      </w:r>
      <w:r w:rsidRPr="0025250D">
        <w:rPr>
          <w:rFonts w:hint="eastAsia"/>
          <w:rtl/>
        </w:rPr>
        <w:t>کند،</w:t>
      </w:r>
      <w:r w:rsidRPr="0025250D">
        <w:rPr>
          <w:rtl/>
        </w:rPr>
        <w:t xml:space="preserve"> اما نه لزوماً اهداف </w:t>
      </w:r>
      <w:r w:rsidRPr="0025250D">
        <w:rPr>
          <w:rFonts w:hint="cs"/>
          <w:rtl/>
        </w:rPr>
        <w:t>ما</w:t>
      </w:r>
      <w:r w:rsidRPr="0025250D">
        <w:rPr>
          <w:rtl/>
        </w:rPr>
        <w:t xml:space="preserve">، </w:t>
      </w:r>
      <w:r w:rsidRPr="0025250D">
        <w:rPr>
          <w:rFonts w:hint="cs"/>
          <w:rtl/>
        </w:rPr>
        <w:t>ی</w:t>
      </w:r>
      <w:r w:rsidRPr="0025250D">
        <w:rPr>
          <w:rFonts w:hint="eastAsia"/>
          <w:rtl/>
        </w:rPr>
        <w:t>ا</w:t>
      </w:r>
      <w:r w:rsidRPr="0025250D">
        <w:rPr>
          <w:rtl/>
        </w:rPr>
        <w:t xml:space="preserve"> اهداف کل مردم.</w:t>
      </w:r>
      <w:r w:rsidRPr="0025250D">
        <w:rPr>
          <w:rFonts w:hint="cs"/>
          <w:rtl/>
        </w:rPr>
        <w:t xml:space="preserve"> ی</w:t>
      </w:r>
      <w:r w:rsidRPr="0025250D">
        <w:rPr>
          <w:rFonts w:hint="eastAsia"/>
          <w:rtl/>
        </w:rPr>
        <w:t>ک</w:t>
      </w:r>
      <w:r w:rsidRPr="0025250D">
        <w:rPr>
          <w:rtl/>
        </w:rPr>
        <w:t xml:space="preserve"> گام بزرگ در رشد </w:t>
      </w:r>
      <w:r w:rsidR="001A3F0A" w:rsidRPr="0025250D">
        <w:rPr>
          <w:rtl/>
        </w:rPr>
        <w:t>فردی</w:t>
      </w:r>
      <w:r w:rsidRPr="0025250D">
        <w:rPr>
          <w:rtl/>
        </w:rPr>
        <w:t xml:space="preserve"> ا</w:t>
      </w:r>
      <w:r w:rsidRPr="0025250D">
        <w:rPr>
          <w:rFonts w:hint="cs"/>
          <w:rtl/>
        </w:rPr>
        <w:t>ی</w:t>
      </w:r>
      <w:r w:rsidRPr="0025250D">
        <w:rPr>
          <w:rFonts w:hint="eastAsia"/>
          <w:rtl/>
        </w:rPr>
        <w:t>ن</w:t>
      </w:r>
      <w:r w:rsidRPr="0025250D">
        <w:rPr>
          <w:rtl/>
        </w:rPr>
        <w:t xml:space="preserve"> است که بدان</w:t>
      </w:r>
      <w:r w:rsidRPr="0025250D">
        <w:rPr>
          <w:rFonts w:hint="cs"/>
          <w:rtl/>
        </w:rPr>
        <w:t>ی</w:t>
      </w:r>
      <w:r w:rsidRPr="0025250D">
        <w:rPr>
          <w:rFonts w:hint="eastAsia"/>
          <w:rtl/>
        </w:rPr>
        <w:t>م</w:t>
      </w:r>
      <w:r w:rsidRPr="0025250D">
        <w:rPr>
          <w:rtl/>
        </w:rPr>
        <w:t xml:space="preserve"> توانا</w:t>
      </w:r>
      <w:r w:rsidRPr="0025250D">
        <w:rPr>
          <w:rFonts w:hint="cs"/>
          <w:rtl/>
        </w:rPr>
        <w:t>یی</w:t>
      </w:r>
      <w:r w:rsidRPr="0025250D">
        <w:rPr>
          <w:rtl/>
        </w:rPr>
        <w:t xml:space="preserve"> ما برا</w:t>
      </w:r>
      <w:r w:rsidRPr="0025250D">
        <w:rPr>
          <w:rFonts w:hint="cs"/>
          <w:rtl/>
        </w:rPr>
        <w:t>ی</w:t>
      </w:r>
      <w:r w:rsidRPr="0025250D">
        <w:rPr>
          <w:rtl/>
        </w:rPr>
        <w:t xml:space="preserve"> ا</w:t>
      </w:r>
      <w:r w:rsidRPr="0025250D">
        <w:rPr>
          <w:rFonts w:hint="cs"/>
          <w:rtl/>
        </w:rPr>
        <w:t>ی</w:t>
      </w:r>
      <w:r w:rsidRPr="0025250D">
        <w:rPr>
          <w:rFonts w:hint="eastAsia"/>
          <w:rtl/>
        </w:rPr>
        <w:t>جاد</w:t>
      </w:r>
      <w:r w:rsidRPr="0025250D">
        <w:rPr>
          <w:rtl/>
        </w:rPr>
        <w:t xml:space="preserve"> آینده‌نگاری </w:t>
      </w:r>
      <w:r w:rsidR="001A3F0A" w:rsidRPr="0025250D">
        <w:rPr>
          <w:rtl/>
        </w:rPr>
        <w:t>فردی</w:t>
      </w:r>
      <w:r w:rsidRPr="0025250D">
        <w:rPr>
          <w:rtl/>
        </w:rPr>
        <w:t xml:space="preserve"> و گروه</w:t>
      </w:r>
      <w:r w:rsidRPr="0025250D">
        <w:rPr>
          <w:rFonts w:hint="cs"/>
          <w:rtl/>
        </w:rPr>
        <w:t>ی</w:t>
      </w:r>
      <w:r w:rsidRPr="0025250D">
        <w:rPr>
          <w:rtl/>
        </w:rPr>
        <w:t xml:space="preserve"> بهتر، هم برا</w:t>
      </w:r>
      <w:r w:rsidRPr="0025250D">
        <w:rPr>
          <w:rFonts w:hint="cs"/>
          <w:rtl/>
        </w:rPr>
        <w:t>ی</w:t>
      </w:r>
      <w:r w:rsidRPr="0025250D">
        <w:rPr>
          <w:rtl/>
        </w:rPr>
        <w:t xml:space="preserve"> زندگ</w:t>
      </w:r>
      <w:r w:rsidRPr="0025250D">
        <w:rPr>
          <w:rFonts w:hint="cs"/>
          <w:rtl/>
        </w:rPr>
        <w:t>ی</w:t>
      </w:r>
      <w:r w:rsidRPr="0025250D">
        <w:rPr>
          <w:rtl/>
        </w:rPr>
        <w:t xml:space="preserve"> خودمان و هم برا</w:t>
      </w:r>
      <w:r w:rsidRPr="0025250D">
        <w:rPr>
          <w:rFonts w:hint="cs"/>
          <w:rtl/>
        </w:rPr>
        <w:t>ی</w:t>
      </w:r>
      <w:r w:rsidRPr="0025250D">
        <w:rPr>
          <w:rtl/>
        </w:rPr>
        <w:t xml:space="preserve"> زندگ</w:t>
      </w:r>
      <w:r w:rsidRPr="0025250D">
        <w:rPr>
          <w:rFonts w:hint="cs"/>
          <w:rtl/>
        </w:rPr>
        <w:t>ی</w:t>
      </w:r>
      <w:r w:rsidRPr="0025250D">
        <w:rPr>
          <w:rtl/>
        </w:rPr>
        <w:t xml:space="preserve"> همنوعانمان اهم</w:t>
      </w:r>
      <w:r w:rsidRPr="0025250D">
        <w:rPr>
          <w:rFonts w:hint="cs"/>
          <w:rtl/>
        </w:rPr>
        <w:t>ی</w:t>
      </w:r>
      <w:r w:rsidRPr="0025250D">
        <w:rPr>
          <w:rFonts w:hint="eastAsia"/>
          <w:rtl/>
        </w:rPr>
        <w:t>ت</w:t>
      </w:r>
      <w:r w:rsidRPr="0025250D">
        <w:rPr>
          <w:rtl/>
        </w:rPr>
        <w:t xml:space="preserve"> ز</w:t>
      </w:r>
      <w:r w:rsidRPr="0025250D">
        <w:rPr>
          <w:rFonts w:hint="cs"/>
          <w:rtl/>
        </w:rPr>
        <w:t>ی</w:t>
      </w:r>
      <w:r w:rsidRPr="0025250D">
        <w:rPr>
          <w:rFonts w:hint="eastAsia"/>
          <w:rtl/>
        </w:rPr>
        <w:t>اد</w:t>
      </w:r>
      <w:r w:rsidRPr="0025250D">
        <w:rPr>
          <w:rFonts w:hint="cs"/>
          <w:rtl/>
        </w:rPr>
        <w:t>ی</w:t>
      </w:r>
      <w:r w:rsidRPr="0025250D">
        <w:rPr>
          <w:rtl/>
        </w:rPr>
        <w:t xml:space="preserve"> دارد. به‌عنوان شبکه‌ها</w:t>
      </w:r>
      <w:r w:rsidRPr="0025250D">
        <w:rPr>
          <w:rFonts w:hint="cs"/>
          <w:rtl/>
        </w:rPr>
        <w:t>ی</w:t>
      </w:r>
      <w:r w:rsidRPr="0025250D">
        <w:rPr>
          <w:rtl/>
        </w:rPr>
        <w:t xml:space="preserve"> پ</w:t>
      </w:r>
      <w:r w:rsidRPr="0025250D">
        <w:rPr>
          <w:rFonts w:hint="cs"/>
          <w:rtl/>
        </w:rPr>
        <w:t>ی</w:t>
      </w:r>
      <w:r w:rsidRPr="0025250D">
        <w:rPr>
          <w:rFonts w:hint="eastAsia"/>
          <w:rtl/>
        </w:rPr>
        <w:t>چ</w:t>
      </w:r>
      <w:r w:rsidRPr="0025250D">
        <w:rPr>
          <w:rFonts w:hint="cs"/>
          <w:rtl/>
        </w:rPr>
        <w:t>ی</w:t>
      </w:r>
      <w:r w:rsidRPr="0025250D">
        <w:rPr>
          <w:rFonts w:hint="eastAsia"/>
          <w:rtl/>
        </w:rPr>
        <w:t>ده،</w:t>
      </w:r>
      <w:r w:rsidRPr="0025250D">
        <w:rPr>
          <w:rtl/>
        </w:rPr>
        <w:t xml:space="preserve"> ت</w:t>
      </w:r>
      <w:r w:rsidRPr="0025250D">
        <w:rPr>
          <w:rFonts w:hint="cs"/>
          <w:rtl/>
        </w:rPr>
        <w:t>ی</w:t>
      </w:r>
      <w:r w:rsidRPr="0025250D">
        <w:rPr>
          <w:rFonts w:hint="eastAsia"/>
          <w:rtl/>
        </w:rPr>
        <w:t>م‌ها،</w:t>
      </w:r>
      <w:r w:rsidRPr="0025250D">
        <w:rPr>
          <w:rtl/>
        </w:rPr>
        <w:t xml:space="preserve"> گروه‌ها</w:t>
      </w:r>
      <w:r w:rsidR="00B67B12" w:rsidRPr="0025250D">
        <w:rPr>
          <w:rFonts w:hint="cs"/>
          <w:rtl/>
        </w:rPr>
        <w:t xml:space="preserve"> </w:t>
      </w:r>
      <w:r w:rsidRPr="0025250D">
        <w:rPr>
          <w:rtl/>
        </w:rPr>
        <w:t>و گونه‌ها</w:t>
      </w:r>
      <w:r w:rsidRPr="0025250D">
        <w:rPr>
          <w:rFonts w:hint="cs"/>
          <w:rtl/>
        </w:rPr>
        <w:t>ی</w:t>
      </w:r>
      <w:r w:rsidRPr="0025250D">
        <w:rPr>
          <w:rtl/>
        </w:rPr>
        <w:t xml:space="preserve"> ما به‌اندازه</w:t>
      </w:r>
      <w:r w:rsidR="00B67B12" w:rsidRPr="0025250D">
        <w:rPr>
          <w:rFonts w:hint="cs"/>
          <w:rtl/>
        </w:rPr>
        <w:t xml:space="preserve"> میزان</w:t>
      </w:r>
      <w:r w:rsidRPr="0025250D">
        <w:rPr>
          <w:rtl/>
        </w:rPr>
        <w:t xml:space="preserve">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Fonts w:hint="eastAsia"/>
          <w:rtl/>
        </w:rPr>
        <w:t>،</w:t>
      </w:r>
      <w:r w:rsidRPr="0025250D">
        <w:rPr>
          <w:rtl/>
        </w:rPr>
        <w:t xml:space="preserve"> تنوع و توانمند</w:t>
      </w:r>
      <w:r w:rsidRPr="0025250D">
        <w:rPr>
          <w:rFonts w:hint="cs"/>
          <w:rtl/>
        </w:rPr>
        <w:t>ی</w:t>
      </w:r>
      <w:r w:rsidRPr="0025250D">
        <w:rPr>
          <w:rtl/>
        </w:rPr>
        <w:t xml:space="preserve"> هر فرد در آن شبکه</w:t>
      </w:r>
      <w:r w:rsidRPr="0025250D">
        <w:rPr>
          <w:rFonts w:hint="cs"/>
          <w:rtl/>
        </w:rPr>
        <w:t>،</w:t>
      </w:r>
      <w:r w:rsidRPr="0025250D">
        <w:rPr>
          <w:rtl/>
        </w:rPr>
        <w:t xml:space="preserve"> هوشمند و قو</w:t>
      </w:r>
      <w:r w:rsidRPr="0025250D">
        <w:rPr>
          <w:rFonts w:hint="cs"/>
          <w:rtl/>
        </w:rPr>
        <w:t>ی</w:t>
      </w:r>
      <w:r w:rsidRPr="0025250D">
        <w:rPr>
          <w:rtl/>
        </w:rPr>
        <w:t xml:space="preserve"> هستند. ه</w:t>
      </w:r>
      <w:r w:rsidRPr="0025250D">
        <w:rPr>
          <w:rFonts w:hint="cs"/>
          <w:rtl/>
        </w:rPr>
        <w:t>ی</w:t>
      </w:r>
      <w:r w:rsidRPr="0025250D">
        <w:rPr>
          <w:rFonts w:hint="eastAsia"/>
          <w:rtl/>
        </w:rPr>
        <w:t>چ</w:t>
      </w:r>
      <w:r w:rsidRPr="0025250D">
        <w:rPr>
          <w:rtl/>
        </w:rPr>
        <w:t xml:space="preserve"> موجود</w:t>
      </w:r>
      <w:r w:rsidRPr="0025250D">
        <w:rPr>
          <w:rFonts w:hint="cs"/>
          <w:rtl/>
        </w:rPr>
        <w:t>یتی</w:t>
      </w:r>
      <w:r w:rsidRPr="0025250D">
        <w:rPr>
          <w:rtl/>
        </w:rPr>
        <w:t xml:space="preserve"> در جهان ف</w:t>
      </w:r>
      <w:r w:rsidRPr="0025250D">
        <w:rPr>
          <w:rFonts w:hint="cs"/>
          <w:rtl/>
        </w:rPr>
        <w:t>ی</w:t>
      </w:r>
      <w:r w:rsidRPr="0025250D">
        <w:rPr>
          <w:rFonts w:hint="eastAsia"/>
          <w:rtl/>
        </w:rPr>
        <w:t>ز</w:t>
      </w:r>
      <w:r w:rsidRPr="0025250D">
        <w:rPr>
          <w:rFonts w:hint="cs"/>
          <w:rtl/>
        </w:rPr>
        <w:t>ی</w:t>
      </w:r>
      <w:r w:rsidRPr="0025250D">
        <w:rPr>
          <w:rFonts w:hint="eastAsia"/>
          <w:rtl/>
        </w:rPr>
        <w:t>ک</w:t>
      </w:r>
      <w:r w:rsidRPr="0025250D">
        <w:rPr>
          <w:rFonts w:hint="cs"/>
          <w:rtl/>
        </w:rPr>
        <w:t>ی</w:t>
      </w:r>
      <w:r w:rsidRPr="0025250D">
        <w:rPr>
          <w:rtl/>
        </w:rPr>
        <w:t xml:space="preserve"> ما، با پ</w:t>
      </w:r>
      <w:r w:rsidRPr="0025250D">
        <w:rPr>
          <w:rFonts w:hint="cs"/>
          <w:rtl/>
        </w:rPr>
        <w:t>ی</w:t>
      </w:r>
      <w:r w:rsidRPr="0025250D">
        <w:rPr>
          <w:rFonts w:hint="eastAsia"/>
          <w:rtl/>
        </w:rPr>
        <w:t>چ</w:t>
      </w:r>
      <w:r w:rsidRPr="0025250D">
        <w:rPr>
          <w:rFonts w:hint="cs"/>
          <w:rtl/>
        </w:rPr>
        <w:t>ی</w:t>
      </w:r>
      <w:r w:rsidRPr="0025250D">
        <w:rPr>
          <w:rFonts w:hint="eastAsia"/>
          <w:rtl/>
        </w:rPr>
        <w:t>دگ</w:t>
      </w:r>
      <w:r w:rsidRPr="0025250D">
        <w:rPr>
          <w:rFonts w:hint="cs"/>
          <w:rtl/>
        </w:rPr>
        <w:t>ی</w:t>
      </w:r>
      <w:r w:rsidRPr="0025250D">
        <w:rPr>
          <w:rtl/>
        </w:rPr>
        <w:t xml:space="preserve"> محدود در واقع</w:t>
      </w:r>
      <w:r w:rsidRPr="0025250D">
        <w:rPr>
          <w:rFonts w:hint="cs"/>
          <w:rtl/>
        </w:rPr>
        <w:t>ی</w:t>
      </w:r>
      <w:r w:rsidRPr="0025250D">
        <w:rPr>
          <w:rFonts w:hint="eastAsia"/>
          <w:rtl/>
        </w:rPr>
        <w:t>ت</w:t>
      </w:r>
      <w:r w:rsidRPr="0025250D">
        <w:rPr>
          <w:rFonts w:hint="cs"/>
          <w:rtl/>
        </w:rPr>
        <w:t>ی</w:t>
      </w:r>
      <w:r w:rsidRPr="0025250D">
        <w:rPr>
          <w:rtl/>
        </w:rPr>
        <w:t xml:space="preserve"> با </w:t>
      </w:r>
      <w:r w:rsidR="00B67B12" w:rsidRPr="0025250D">
        <w:rPr>
          <w:rFonts w:hint="cs"/>
          <w:rtl/>
        </w:rPr>
        <w:t xml:space="preserve">تعداد بسیار زیادی از </w:t>
      </w:r>
      <w:r w:rsidRPr="0025250D">
        <w:rPr>
          <w:rFonts w:hint="cs"/>
          <w:rtl/>
        </w:rPr>
        <w:t>موارد امکان‌پذیر</w:t>
      </w:r>
      <w:r w:rsidRPr="0025250D">
        <w:rPr>
          <w:rFonts w:hint="eastAsia"/>
          <w:rtl/>
        </w:rPr>
        <w:t>،</w:t>
      </w:r>
      <w:r w:rsidRPr="0025250D">
        <w:rPr>
          <w:rtl/>
        </w:rPr>
        <w:t xml:space="preserve"> هرگز نمی‌تواند دانا</w:t>
      </w:r>
      <w:r w:rsidRPr="0025250D">
        <w:rPr>
          <w:rFonts w:hint="cs"/>
          <w:rtl/>
        </w:rPr>
        <w:t>ی</w:t>
      </w:r>
      <w:r w:rsidRPr="0025250D">
        <w:rPr>
          <w:rtl/>
        </w:rPr>
        <w:t xml:space="preserve"> مطلق </w:t>
      </w:r>
      <w:r w:rsidRPr="0025250D">
        <w:rPr>
          <w:rFonts w:hint="cs"/>
          <w:rtl/>
        </w:rPr>
        <w:t>ی</w:t>
      </w:r>
      <w:r w:rsidRPr="0025250D">
        <w:rPr>
          <w:rFonts w:hint="eastAsia"/>
          <w:rtl/>
        </w:rPr>
        <w:t>ا</w:t>
      </w:r>
      <w:r w:rsidRPr="0025250D">
        <w:rPr>
          <w:rtl/>
        </w:rPr>
        <w:t xml:space="preserve"> قادر مطلق باشد. هیچ‌کس هرگز انحصار آ</w:t>
      </w:r>
      <w:r w:rsidRPr="0025250D">
        <w:rPr>
          <w:rFonts w:hint="cs"/>
          <w:rtl/>
        </w:rPr>
        <w:t>ی</w:t>
      </w:r>
      <w:r w:rsidRPr="0025250D">
        <w:rPr>
          <w:rFonts w:hint="eastAsia"/>
          <w:rtl/>
        </w:rPr>
        <w:t>نده</w:t>
      </w:r>
      <w:r w:rsidRPr="0025250D">
        <w:rPr>
          <w:rtl/>
        </w:rPr>
        <w:t xml:space="preserve"> را نخواهد داشت. </w:t>
      </w:r>
      <w:r w:rsidR="00AE5BE0" w:rsidRPr="0025250D">
        <w:rPr>
          <w:rFonts w:hint="cs"/>
          <w:rtl/>
        </w:rPr>
        <w:t>منطبق‌ترین</w:t>
      </w:r>
      <w:r w:rsidRPr="0025250D">
        <w:rPr>
          <w:rtl/>
        </w:rPr>
        <w:t xml:space="preserve"> موجودیت‌ها هم</w:t>
      </w:r>
      <w:r w:rsidRPr="0025250D">
        <w:rPr>
          <w:rFonts w:hint="cs"/>
          <w:rtl/>
        </w:rPr>
        <w:t>ی</w:t>
      </w:r>
      <w:r w:rsidRPr="0025250D">
        <w:rPr>
          <w:rFonts w:hint="eastAsia"/>
          <w:rtl/>
        </w:rPr>
        <w:t>شه</w:t>
      </w:r>
      <w:r w:rsidRPr="0025250D">
        <w:rPr>
          <w:rtl/>
        </w:rPr>
        <w:t xml:space="preserve"> شبکه‌های پیچیده‌ای بوده‌اند و خواهند بود که از افراد</w:t>
      </w:r>
      <w:r w:rsidRPr="0025250D">
        <w:rPr>
          <w:rFonts w:hint="cs"/>
          <w:rtl/>
        </w:rPr>
        <w:t>ی</w:t>
      </w:r>
      <w:r w:rsidRPr="0025250D">
        <w:rPr>
          <w:rtl/>
        </w:rPr>
        <w:t xml:space="preserve"> تشک</w:t>
      </w:r>
      <w:r w:rsidRPr="0025250D">
        <w:rPr>
          <w:rFonts w:hint="cs"/>
          <w:rtl/>
        </w:rPr>
        <w:t>ی</w:t>
      </w:r>
      <w:r w:rsidRPr="0025250D">
        <w:rPr>
          <w:rFonts w:hint="eastAsia"/>
          <w:rtl/>
        </w:rPr>
        <w:t>ل</w:t>
      </w:r>
      <w:r w:rsidRPr="0025250D">
        <w:rPr>
          <w:rtl/>
        </w:rPr>
        <w:t xml:space="preserve"> </w:t>
      </w:r>
      <w:r w:rsidRPr="0025250D">
        <w:rPr>
          <w:rFonts w:hint="eastAsia"/>
          <w:rtl/>
        </w:rPr>
        <w:t>شده‌اند</w:t>
      </w:r>
      <w:r w:rsidRPr="0025250D">
        <w:rPr>
          <w:rtl/>
        </w:rPr>
        <w:t xml:space="preserve"> که هر </w:t>
      </w:r>
      <w:r w:rsidRPr="0025250D">
        <w:rPr>
          <w:rFonts w:hint="cs"/>
          <w:rtl/>
        </w:rPr>
        <w:t>ی</w:t>
      </w:r>
      <w:r w:rsidRPr="0025250D">
        <w:rPr>
          <w:rFonts w:hint="eastAsia"/>
          <w:rtl/>
        </w:rPr>
        <w:t>ک</w:t>
      </w:r>
      <w:r w:rsidRPr="0025250D">
        <w:rPr>
          <w:rtl/>
        </w:rPr>
        <w:t xml:space="preserve"> تا حد</w:t>
      </w:r>
      <w:r w:rsidRPr="0025250D">
        <w:rPr>
          <w:rFonts w:hint="cs"/>
          <w:rtl/>
        </w:rPr>
        <w:t>ی</w:t>
      </w:r>
      <w:r w:rsidRPr="0025250D">
        <w:rPr>
          <w:rtl/>
        </w:rPr>
        <w:t xml:space="preserve"> متفاوت و تا حد</w:t>
      </w:r>
      <w:r w:rsidRPr="0025250D">
        <w:rPr>
          <w:rFonts w:hint="cs"/>
          <w:rtl/>
        </w:rPr>
        <w:t>ی</w:t>
      </w:r>
      <w:r w:rsidRPr="0025250D">
        <w:rPr>
          <w:rtl/>
        </w:rPr>
        <w:t xml:space="preserve"> مشابه هستند. ما هم</w:t>
      </w:r>
      <w:r w:rsidRPr="0025250D">
        <w:rPr>
          <w:rFonts w:hint="cs"/>
          <w:rtl/>
        </w:rPr>
        <w:t>ی</w:t>
      </w:r>
      <w:r w:rsidRPr="0025250D">
        <w:rPr>
          <w:rFonts w:hint="eastAsia"/>
          <w:rtl/>
        </w:rPr>
        <w:t>شه</w:t>
      </w:r>
      <w:r w:rsidRPr="0025250D">
        <w:rPr>
          <w:rtl/>
        </w:rPr>
        <w:t xml:space="preserve"> برا</w:t>
      </w:r>
      <w:r w:rsidRPr="0025250D">
        <w:rPr>
          <w:rFonts w:hint="cs"/>
          <w:rtl/>
        </w:rPr>
        <w:t>ی</w:t>
      </w:r>
      <w:r w:rsidRPr="0025250D">
        <w:rPr>
          <w:rtl/>
        </w:rPr>
        <w:t xml:space="preserve"> پ</w:t>
      </w:r>
      <w:r w:rsidRPr="0025250D">
        <w:rPr>
          <w:rFonts w:hint="cs"/>
          <w:rtl/>
        </w:rPr>
        <w:t>ی</w:t>
      </w:r>
      <w:r w:rsidRPr="0025250D">
        <w:rPr>
          <w:rFonts w:hint="eastAsia"/>
          <w:rtl/>
        </w:rPr>
        <w:t>شرفت</w:t>
      </w:r>
      <w:r w:rsidRPr="0025250D">
        <w:rPr>
          <w:rtl/>
        </w:rPr>
        <w:t xml:space="preserve"> به </w:t>
      </w:r>
      <w:r w:rsidRPr="0025250D">
        <w:rPr>
          <w:rFonts w:hint="cs"/>
          <w:rtl/>
        </w:rPr>
        <w:t>ی</w:t>
      </w:r>
      <w:r w:rsidRPr="0025250D">
        <w:rPr>
          <w:rFonts w:hint="eastAsia"/>
          <w:rtl/>
        </w:rPr>
        <w:t>کد</w:t>
      </w:r>
      <w:r w:rsidRPr="0025250D">
        <w:rPr>
          <w:rFonts w:hint="cs"/>
          <w:rtl/>
        </w:rPr>
        <w:t>ی</w:t>
      </w:r>
      <w:r w:rsidRPr="0025250D">
        <w:rPr>
          <w:rFonts w:hint="eastAsia"/>
          <w:rtl/>
        </w:rPr>
        <w:t>گر</w:t>
      </w:r>
      <w:r w:rsidRPr="0025250D">
        <w:rPr>
          <w:rtl/>
        </w:rPr>
        <w:t xml:space="preserve"> ن</w:t>
      </w:r>
      <w:r w:rsidRPr="0025250D">
        <w:rPr>
          <w:rFonts w:hint="cs"/>
          <w:rtl/>
        </w:rPr>
        <w:t>ی</w:t>
      </w:r>
      <w:r w:rsidRPr="0025250D">
        <w:rPr>
          <w:rFonts w:hint="eastAsia"/>
          <w:rtl/>
        </w:rPr>
        <w:t>از</w:t>
      </w:r>
      <w:r w:rsidRPr="0025250D">
        <w:rPr>
          <w:rtl/>
        </w:rPr>
        <w:t xml:space="preserve"> خواه</w:t>
      </w:r>
      <w:r w:rsidRPr="0025250D">
        <w:rPr>
          <w:rFonts w:hint="cs"/>
          <w:rtl/>
        </w:rPr>
        <w:t>ی</w:t>
      </w:r>
      <w:r w:rsidRPr="0025250D">
        <w:rPr>
          <w:rFonts w:hint="eastAsia"/>
          <w:rtl/>
        </w:rPr>
        <w:t>م</w:t>
      </w:r>
      <w:r w:rsidRPr="0025250D">
        <w:rPr>
          <w:rtl/>
        </w:rPr>
        <w:t xml:space="preserve"> داشت. به نظر می‌رسد رشد هم‌زمان آینده‌نگاری</w:t>
      </w:r>
      <w:r w:rsidRPr="0025250D">
        <w:rPr>
          <w:rFonts w:hint="eastAsia"/>
          <w:rtl/>
        </w:rPr>
        <w:t>،</w:t>
      </w:r>
      <w:r w:rsidRPr="0025250D">
        <w:rPr>
          <w:rtl/>
        </w:rPr>
        <w:t xml:space="preserve"> تنوع، اخلاق، همدل</w:t>
      </w:r>
      <w:r w:rsidRPr="0025250D">
        <w:rPr>
          <w:rFonts w:hint="cs"/>
          <w:rtl/>
        </w:rPr>
        <w:t>ی</w:t>
      </w:r>
      <w:r w:rsidRPr="0025250D">
        <w:rPr>
          <w:rFonts w:hint="eastAsia"/>
          <w:rtl/>
        </w:rPr>
        <w:t>،</w:t>
      </w:r>
      <w:r w:rsidRPr="0025250D">
        <w:rPr>
          <w:rtl/>
        </w:rPr>
        <w:t xml:space="preserve"> توانا</w:t>
      </w:r>
      <w:r w:rsidRPr="0025250D">
        <w:rPr>
          <w:rFonts w:hint="cs"/>
          <w:rtl/>
        </w:rPr>
        <w:t>یی</w:t>
      </w:r>
      <w:r w:rsidRPr="0025250D">
        <w:rPr>
          <w:rtl/>
        </w:rPr>
        <w:t xml:space="preserve"> و آگاه</w:t>
      </w:r>
      <w:r w:rsidRPr="0025250D">
        <w:rPr>
          <w:rFonts w:hint="cs"/>
          <w:rtl/>
        </w:rPr>
        <w:t>ی</w:t>
      </w:r>
      <w:r w:rsidRPr="0025250D">
        <w:rPr>
          <w:rtl/>
        </w:rPr>
        <w:t xml:space="preserve"> فرد</w:t>
      </w:r>
      <w:r w:rsidRPr="0025250D">
        <w:rPr>
          <w:rFonts w:hint="cs"/>
          <w:rtl/>
        </w:rPr>
        <w:t>ی</w:t>
      </w:r>
      <w:r w:rsidRPr="0025250D">
        <w:rPr>
          <w:rtl/>
        </w:rPr>
        <w:t xml:space="preserve"> و جمع</w:t>
      </w:r>
      <w:r w:rsidRPr="0025250D">
        <w:rPr>
          <w:rFonts w:hint="cs"/>
          <w:rtl/>
        </w:rPr>
        <w:t>ی</w:t>
      </w:r>
      <w:r w:rsidRPr="0025250D">
        <w:rPr>
          <w:rtl/>
        </w:rPr>
        <w:t xml:space="preserve"> ما</w:t>
      </w:r>
      <w:r w:rsidRPr="0025250D">
        <w:rPr>
          <w:rFonts w:hint="cs"/>
          <w:rtl/>
        </w:rPr>
        <w:t>،</w:t>
      </w:r>
      <w:r w:rsidRPr="0025250D">
        <w:rPr>
          <w:rtl/>
        </w:rPr>
        <w:t xml:space="preserve"> بخش</w:t>
      </w:r>
      <w:r w:rsidRPr="0025250D">
        <w:rPr>
          <w:rFonts w:hint="cs"/>
          <w:rtl/>
        </w:rPr>
        <w:t>ی</w:t>
      </w:r>
      <w:r w:rsidRPr="0025250D">
        <w:rPr>
          <w:rtl/>
        </w:rPr>
        <w:t xml:space="preserve"> از </w:t>
      </w:r>
      <w:r w:rsidR="008D6F97" w:rsidRPr="0025250D">
        <w:rPr>
          <w:rtl/>
        </w:rPr>
        <w:t>«</w:t>
      </w:r>
      <w:r w:rsidRPr="0025250D">
        <w:rPr>
          <w:rtl/>
        </w:rPr>
        <w:t>آنچه جهان می‌خواهد</w:t>
      </w:r>
      <w:r w:rsidR="008D6F97" w:rsidRPr="0025250D">
        <w:rPr>
          <w:rtl/>
        </w:rPr>
        <w:t>»</w:t>
      </w:r>
      <w:r w:rsidRPr="0025250D">
        <w:rPr>
          <w:rtl/>
        </w:rPr>
        <w:t xml:space="preserve"> </w:t>
      </w:r>
      <w:r w:rsidRPr="0025250D">
        <w:rPr>
          <w:rFonts w:hint="cs"/>
          <w:rtl/>
        </w:rPr>
        <w:t>می‌باشد</w:t>
      </w:r>
      <w:r w:rsidRPr="0025250D">
        <w:rPr>
          <w:rtl/>
        </w:rPr>
        <w:t>.</w:t>
      </w:r>
    </w:p>
    <w:p w14:paraId="45308F03" w14:textId="77777777" w:rsidR="00B219EF" w:rsidRPr="0025250D" w:rsidRDefault="00B219EF" w:rsidP="00B219EF">
      <w:pPr>
        <w:rPr>
          <w:b/>
          <w:bCs/>
          <w:rtl/>
        </w:rPr>
      </w:pPr>
    </w:p>
    <w:p w14:paraId="72EB40D3" w14:textId="77777777" w:rsidR="00B219EF" w:rsidRPr="0025250D" w:rsidRDefault="00B219EF" w:rsidP="00B219EF">
      <w:pPr>
        <w:rPr>
          <w:b/>
          <w:bCs/>
          <w:rtl/>
        </w:rPr>
      </w:pPr>
    </w:p>
    <w:p w14:paraId="4622DD95" w14:textId="77777777" w:rsidR="00B219EF" w:rsidRPr="0025250D" w:rsidRDefault="00B219EF" w:rsidP="00B219EF">
      <w:pPr>
        <w:rPr>
          <w:b/>
          <w:bCs/>
          <w:rtl/>
        </w:rPr>
        <w:sectPr w:rsidR="00B219EF" w:rsidRPr="0025250D" w:rsidSect="00C12260">
          <w:footnotePr>
            <w:numRestart w:val="eachPage"/>
          </w:footnotePr>
          <w:pgSz w:w="11906" w:h="16838"/>
          <w:pgMar w:top="1418" w:right="1418" w:bottom="1418" w:left="1418" w:header="720" w:footer="720" w:gutter="0"/>
          <w:cols w:space="720"/>
          <w:bidi/>
          <w:rtlGutter/>
          <w:docGrid w:linePitch="360"/>
        </w:sectPr>
      </w:pPr>
    </w:p>
    <w:p w14:paraId="429B6B94" w14:textId="77777777" w:rsidR="00B219EF" w:rsidRPr="0025250D" w:rsidRDefault="00B219EF" w:rsidP="00B219EF">
      <w:pPr>
        <w:rPr>
          <w:b/>
          <w:bCs/>
          <w:rtl/>
        </w:rPr>
      </w:pPr>
      <w:r w:rsidRPr="0025250D">
        <w:rPr>
          <w:rFonts w:hint="cs"/>
          <w:b/>
          <w:bCs/>
          <w:rtl/>
        </w:rPr>
        <w:lastRenderedPageBreak/>
        <w:t>نحوه مطالعه کتاب</w:t>
      </w:r>
    </w:p>
    <w:p w14:paraId="5F7AED6C" w14:textId="763EF684" w:rsidR="00B219EF" w:rsidRPr="0025250D" w:rsidRDefault="00B219EF" w:rsidP="00C12260">
      <w:pPr>
        <w:rPr>
          <w:rtl/>
        </w:rPr>
      </w:pPr>
      <w:r w:rsidRPr="0025250D">
        <w:rPr>
          <w:rtl/>
        </w:rPr>
        <w:t>فصل 1 ا</w:t>
      </w:r>
      <w:r w:rsidRPr="0025250D">
        <w:rPr>
          <w:rFonts w:hint="cs"/>
          <w:rtl/>
        </w:rPr>
        <w:t>ی</w:t>
      </w:r>
      <w:r w:rsidRPr="0025250D">
        <w:rPr>
          <w:rFonts w:hint="eastAsia"/>
          <w:rtl/>
        </w:rPr>
        <w:t>ن</w:t>
      </w:r>
      <w:r w:rsidRPr="0025250D">
        <w:rPr>
          <w:rtl/>
        </w:rPr>
        <w:t xml:space="preserve"> کتاب </w:t>
      </w:r>
      <w:r w:rsidRPr="0025250D">
        <w:rPr>
          <w:rFonts w:hint="cs"/>
          <w:rtl/>
        </w:rPr>
        <w:t xml:space="preserve">یک </w:t>
      </w:r>
      <w:r w:rsidRPr="0025250D">
        <w:rPr>
          <w:rtl/>
        </w:rPr>
        <w:t>نما</w:t>
      </w:r>
      <w:r w:rsidRPr="0025250D">
        <w:rPr>
          <w:rFonts w:hint="cs"/>
          <w:rtl/>
        </w:rPr>
        <w:t>ی</w:t>
      </w:r>
      <w:r w:rsidRPr="0025250D">
        <w:rPr>
          <w:rtl/>
        </w:rPr>
        <w:t xml:space="preserve"> کل</w:t>
      </w:r>
      <w:r w:rsidRPr="0025250D">
        <w:rPr>
          <w:rFonts w:hint="cs"/>
          <w:rtl/>
        </w:rPr>
        <w:t>ی</w:t>
      </w:r>
      <w:r w:rsidRPr="0025250D">
        <w:rPr>
          <w:rtl/>
        </w:rPr>
        <w:t xml:space="preserve"> </w:t>
      </w:r>
      <w:r w:rsidRPr="0025250D">
        <w:rPr>
          <w:rFonts w:hint="cs"/>
          <w:rtl/>
        </w:rPr>
        <w:t>ارائه می‌دهد</w:t>
      </w:r>
      <w:r w:rsidRPr="0025250D">
        <w:rPr>
          <w:rtl/>
        </w:rPr>
        <w:t>. اگر م</w:t>
      </w:r>
      <w:r w:rsidRPr="0025250D">
        <w:rPr>
          <w:rFonts w:hint="cs"/>
          <w:rtl/>
        </w:rPr>
        <w:t>ی‌</w:t>
      </w:r>
      <w:r w:rsidRPr="0025250D">
        <w:rPr>
          <w:rFonts w:hint="eastAsia"/>
          <w:rtl/>
        </w:rPr>
        <w:t>توان</w:t>
      </w:r>
      <w:r w:rsidRPr="0025250D">
        <w:rPr>
          <w:rFonts w:hint="cs"/>
          <w:rtl/>
        </w:rPr>
        <w:t>ی</w:t>
      </w:r>
      <w:r w:rsidRPr="0025250D">
        <w:rPr>
          <w:rFonts w:hint="eastAsia"/>
          <w:rtl/>
        </w:rPr>
        <w:t>د</w:t>
      </w:r>
      <w:r w:rsidRPr="0025250D">
        <w:rPr>
          <w:rtl/>
        </w:rPr>
        <w:t xml:space="preserve"> فقط </w:t>
      </w:r>
      <w:r w:rsidRPr="0025250D">
        <w:rPr>
          <w:rFonts w:hint="cs"/>
          <w:rtl/>
        </w:rPr>
        <w:t>به میزان ی</w:t>
      </w:r>
      <w:r w:rsidRPr="0025250D">
        <w:rPr>
          <w:rFonts w:hint="eastAsia"/>
          <w:rtl/>
        </w:rPr>
        <w:t>ک</w:t>
      </w:r>
      <w:r w:rsidRPr="0025250D">
        <w:rPr>
          <w:rtl/>
        </w:rPr>
        <w:t xml:space="preserve"> فصل، ب</w:t>
      </w:r>
      <w:r w:rsidRPr="0025250D">
        <w:rPr>
          <w:rFonts w:hint="cs"/>
          <w:rtl/>
        </w:rPr>
        <w:t>ی</w:t>
      </w:r>
      <w:r w:rsidRPr="0025250D">
        <w:rPr>
          <w:rFonts w:hint="eastAsia"/>
          <w:rtl/>
        </w:rPr>
        <w:t>ش</w:t>
      </w:r>
      <w:r w:rsidRPr="0025250D">
        <w:rPr>
          <w:rtl/>
        </w:rPr>
        <w:t xml:space="preserve"> از </w:t>
      </w:r>
      <w:r w:rsidRPr="0025250D">
        <w:rPr>
          <w:rFonts w:hint="cs"/>
          <w:rtl/>
        </w:rPr>
        <w:t>ی</w:t>
      </w:r>
      <w:r w:rsidRPr="0025250D">
        <w:rPr>
          <w:rFonts w:hint="eastAsia"/>
          <w:rtl/>
        </w:rPr>
        <w:t>ک</w:t>
      </w:r>
      <w:r w:rsidRPr="0025250D">
        <w:rPr>
          <w:rtl/>
        </w:rPr>
        <w:t xml:space="preserve"> تا سه ساعت (طول </w:t>
      </w:r>
      <w:r w:rsidRPr="0025250D">
        <w:rPr>
          <w:rFonts w:hint="cs"/>
          <w:rtl/>
        </w:rPr>
        <w:t>ی</w:t>
      </w:r>
      <w:r w:rsidRPr="0025250D">
        <w:rPr>
          <w:rFonts w:hint="eastAsia"/>
          <w:rtl/>
        </w:rPr>
        <w:t>ک</w:t>
      </w:r>
      <w:r w:rsidRPr="0025250D">
        <w:rPr>
          <w:rtl/>
        </w:rPr>
        <w:t xml:space="preserve"> ف</w:t>
      </w:r>
      <w:r w:rsidRPr="0025250D">
        <w:rPr>
          <w:rFonts w:hint="cs"/>
          <w:rtl/>
        </w:rPr>
        <w:t>ی</w:t>
      </w:r>
      <w:r w:rsidRPr="0025250D">
        <w:rPr>
          <w:rFonts w:hint="eastAsia"/>
          <w:rtl/>
        </w:rPr>
        <w:t>لم،</w:t>
      </w:r>
      <w:r w:rsidRPr="0025250D">
        <w:rPr>
          <w:rtl/>
        </w:rPr>
        <w:t xml:space="preserve"> مع</w:t>
      </w:r>
      <w:r w:rsidRPr="0025250D">
        <w:rPr>
          <w:rFonts w:hint="cs"/>
          <w:rtl/>
        </w:rPr>
        <w:t>ی</w:t>
      </w:r>
      <w:r w:rsidRPr="0025250D">
        <w:rPr>
          <w:rFonts w:hint="eastAsia"/>
          <w:rtl/>
        </w:rPr>
        <w:t>ار</w:t>
      </w:r>
      <w:r w:rsidRPr="0025250D">
        <w:rPr>
          <w:rtl/>
        </w:rPr>
        <w:t xml:space="preserve"> خوب</w:t>
      </w:r>
      <w:r w:rsidRPr="0025250D">
        <w:rPr>
          <w:rFonts w:hint="cs"/>
          <w:rtl/>
        </w:rPr>
        <w:t>ی</w:t>
      </w:r>
      <w:r w:rsidRPr="0025250D">
        <w:rPr>
          <w:rtl/>
        </w:rPr>
        <w:t xml:space="preserve"> </w:t>
      </w:r>
      <w:r w:rsidR="00B67B12" w:rsidRPr="0025250D">
        <w:rPr>
          <w:rFonts w:hint="cs"/>
          <w:rtl/>
        </w:rPr>
        <w:t xml:space="preserve"> است </w:t>
      </w:r>
      <w:r w:rsidRPr="0025250D">
        <w:rPr>
          <w:rtl/>
        </w:rPr>
        <w:t>برا</w:t>
      </w:r>
      <w:r w:rsidRPr="0025250D">
        <w:rPr>
          <w:rFonts w:hint="cs"/>
          <w:rtl/>
        </w:rPr>
        <w:t>ی</w:t>
      </w:r>
      <w:r w:rsidRPr="0025250D">
        <w:rPr>
          <w:rtl/>
        </w:rPr>
        <w:t xml:space="preserve"> </w:t>
      </w:r>
      <w:r w:rsidRPr="0025250D">
        <w:rPr>
          <w:rFonts w:hint="cs"/>
          <w:rtl/>
        </w:rPr>
        <w:t>ی</w:t>
      </w:r>
      <w:r w:rsidRPr="0025250D">
        <w:rPr>
          <w:rFonts w:hint="eastAsia"/>
          <w:rtl/>
        </w:rPr>
        <w:t>ک</w:t>
      </w:r>
      <w:r w:rsidRPr="0025250D">
        <w:rPr>
          <w:rtl/>
        </w:rPr>
        <w:t xml:space="preserve"> سرعت زمان‌بند</w:t>
      </w:r>
      <w:r w:rsidRPr="0025250D">
        <w:rPr>
          <w:rFonts w:hint="cs"/>
          <w:rtl/>
        </w:rPr>
        <w:t>ی‌</w:t>
      </w:r>
      <w:r w:rsidRPr="0025250D">
        <w:rPr>
          <w:rFonts w:hint="eastAsia"/>
          <w:rtl/>
        </w:rPr>
        <w:t>شده</w:t>
      </w:r>
      <w:r w:rsidRPr="0025250D">
        <w:rPr>
          <w:rtl/>
        </w:rPr>
        <w:t>) وقت بگذار</w:t>
      </w:r>
      <w:r w:rsidRPr="0025250D">
        <w:rPr>
          <w:rFonts w:hint="cs"/>
          <w:rtl/>
        </w:rPr>
        <w:t>ی</w:t>
      </w:r>
      <w:r w:rsidRPr="0025250D">
        <w:rPr>
          <w:rFonts w:hint="eastAsia"/>
          <w:rtl/>
        </w:rPr>
        <w:t>د،</w:t>
      </w:r>
      <w:r w:rsidRPr="0025250D">
        <w:rPr>
          <w:rtl/>
        </w:rPr>
        <w:t xml:space="preserve"> ا</w:t>
      </w:r>
      <w:r w:rsidRPr="0025250D">
        <w:rPr>
          <w:rFonts w:hint="cs"/>
          <w:rtl/>
        </w:rPr>
        <w:t>ی</w:t>
      </w:r>
      <w:r w:rsidRPr="0025250D">
        <w:rPr>
          <w:rFonts w:hint="eastAsia"/>
          <w:rtl/>
        </w:rPr>
        <w:t>ن</w:t>
      </w:r>
      <w:r w:rsidRPr="0025250D">
        <w:rPr>
          <w:rtl/>
        </w:rPr>
        <w:t xml:space="preserve"> </w:t>
      </w:r>
      <w:r w:rsidRPr="0025250D">
        <w:rPr>
          <w:rFonts w:hint="cs"/>
          <w:rtl/>
        </w:rPr>
        <w:t>فصل</w:t>
      </w:r>
      <w:r w:rsidRPr="0025250D">
        <w:rPr>
          <w:rtl/>
        </w:rPr>
        <w:t xml:space="preserve"> را توص</w:t>
      </w:r>
      <w:r w:rsidRPr="0025250D">
        <w:rPr>
          <w:rFonts w:hint="cs"/>
          <w:rtl/>
        </w:rPr>
        <w:t>ی</w:t>
      </w:r>
      <w:r w:rsidRPr="0025250D">
        <w:rPr>
          <w:rFonts w:hint="eastAsia"/>
          <w:rtl/>
        </w:rPr>
        <w:t>ه</w:t>
      </w:r>
      <w:r w:rsidRPr="0025250D">
        <w:rPr>
          <w:rtl/>
        </w:rPr>
        <w:t xml:space="preserve"> م</w:t>
      </w:r>
      <w:r w:rsidRPr="0025250D">
        <w:rPr>
          <w:rFonts w:hint="cs"/>
          <w:rtl/>
        </w:rPr>
        <w:t>ی‌</w:t>
      </w:r>
      <w:r w:rsidRPr="0025250D">
        <w:rPr>
          <w:rFonts w:hint="eastAsia"/>
          <w:rtl/>
        </w:rPr>
        <w:t>کن</w:t>
      </w:r>
      <w:r w:rsidRPr="0025250D">
        <w:rPr>
          <w:rFonts w:hint="cs"/>
          <w:rtl/>
        </w:rPr>
        <w:t>ی</w:t>
      </w:r>
      <w:r w:rsidRPr="0025250D">
        <w:rPr>
          <w:rFonts w:hint="eastAsia"/>
          <w:rtl/>
        </w:rPr>
        <w:t>م</w:t>
      </w:r>
      <w:r w:rsidRPr="0025250D">
        <w:rPr>
          <w:rtl/>
        </w:rPr>
        <w:t>. پ</w:t>
      </w:r>
      <w:r w:rsidRPr="0025250D">
        <w:rPr>
          <w:rFonts w:hint="cs"/>
          <w:rtl/>
        </w:rPr>
        <w:t>ی</w:t>
      </w:r>
      <w:r w:rsidRPr="0025250D">
        <w:rPr>
          <w:rFonts w:hint="eastAsia"/>
          <w:rtl/>
        </w:rPr>
        <w:t>وست</w:t>
      </w:r>
      <w:r w:rsidRPr="0025250D">
        <w:rPr>
          <w:rtl/>
        </w:rPr>
        <w:t xml:space="preserve"> 1 همچن</w:t>
      </w:r>
      <w:r w:rsidRPr="0025250D">
        <w:rPr>
          <w:rFonts w:hint="cs"/>
          <w:rtl/>
        </w:rPr>
        <w:t>ی</w:t>
      </w:r>
      <w:r w:rsidRPr="0025250D">
        <w:rPr>
          <w:rFonts w:hint="eastAsia"/>
          <w:rtl/>
        </w:rPr>
        <w:t>ن</w:t>
      </w:r>
      <w:r w:rsidRPr="0025250D">
        <w:rPr>
          <w:rtl/>
        </w:rPr>
        <w:t xml:space="preserve"> به شما کمک م</w:t>
      </w:r>
      <w:r w:rsidRPr="0025250D">
        <w:rPr>
          <w:rFonts w:hint="cs"/>
          <w:rtl/>
        </w:rPr>
        <w:t>ی‌</w:t>
      </w:r>
      <w:r w:rsidRPr="0025250D">
        <w:rPr>
          <w:rFonts w:hint="eastAsia"/>
          <w:rtl/>
        </w:rPr>
        <w:t>کند</w:t>
      </w:r>
      <w:r w:rsidRPr="0025250D">
        <w:rPr>
          <w:rtl/>
        </w:rPr>
        <w:t xml:space="preserve"> مدل‌ها</w:t>
      </w:r>
      <w:r w:rsidRPr="0025250D">
        <w:rPr>
          <w:rFonts w:hint="cs"/>
          <w:rtl/>
        </w:rPr>
        <w:t>ی</w:t>
      </w:r>
      <w:r w:rsidRPr="0025250D">
        <w:rPr>
          <w:rtl/>
        </w:rPr>
        <w:t xml:space="preserve"> کل</w:t>
      </w:r>
      <w:r w:rsidRPr="0025250D">
        <w:rPr>
          <w:rFonts w:hint="cs"/>
          <w:rtl/>
        </w:rPr>
        <w:t>ی</w:t>
      </w:r>
      <w:r w:rsidRPr="0025250D">
        <w:rPr>
          <w:rFonts w:hint="eastAsia"/>
          <w:rtl/>
        </w:rPr>
        <w:t>د</w:t>
      </w:r>
      <w:r w:rsidRPr="0025250D">
        <w:rPr>
          <w:rFonts w:hint="cs"/>
          <w:rtl/>
        </w:rPr>
        <w:t>ی</w:t>
      </w:r>
      <w:r w:rsidRPr="0025250D">
        <w:rPr>
          <w:rtl/>
        </w:rPr>
        <w:t xml:space="preserve"> ا</w:t>
      </w:r>
      <w:r w:rsidRPr="0025250D">
        <w:rPr>
          <w:rFonts w:hint="cs"/>
          <w:rtl/>
        </w:rPr>
        <w:t>ی</w:t>
      </w:r>
      <w:r w:rsidRPr="0025250D">
        <w:rPr>
          <w:rFonts w:hint="eastAsia"/>
          <w:rtl/>
        </w:rPr>
        <w:t>ن</w:t>
      </w:r>
      <w:r w:rsidRPr="0025250D">
        <w:rPr>
          <w:rtl/>
        </w:rPr>
        <w:t xml:space="preserve"> کتاب را برا</w:t>
      </w:r>
      <w:r w:rsidRPr="0025250D">
        <w:rPr>
          <w:rFonts w:hint="cs"/>
          <w:rtl/>
        </w:rPr>
        <w:t>ی</w:t>
      </w:r>
      <w:r w:rsidRPr="0025250D">
        <w:rPr>
          <w:rtl/>
        </w:rPr>
        <w:t xml:space="preserve"> خود و ت</w:t>
      </w:r>
      <w:r w:rsidRPr="0025250D">
        <w:rPr>
          <w:rFonts w:hint="cs"/>
          <w:rtl/>
        </w:rPr>
        <w:t>ی</w:t>
      </w:r>
      <w:r w:rsidRPr="0025250D">
        <w:rPr>
          <w:rFonts w:hint="eastAsia"/>
          <w:rtl/>
        </w:rPr>
        <w:t>م‌ها</w:t>
      </w:r>
      <w:r w:rsidRPr="0025250D">
        <w:rPr>
          <w:rFonts w:hint="cs"/>
          <w:rtl/>
        </w:rPr>
        <w:t>ی</w:t>
      </w:r>
      <w:r w:rsidRPr="0025250D">
        <w:rPr>
          <w:rFonts w:hint="eastAsia"/>
          <w:rtl/>
        </w:rPr>
        <w:t>تان</w:t>
      </w:r>
      <w:r w:rsidRPr="0025250D">
        <w:rPr>
          <w:rtl/>
        </w:rPr>
        <w:t xml:space="preserve"> </w:t>
      </w:r>
      <w:r w:rsidRPr="0025250D">
        <w:rPr>
          <w:rFonts w:hint="eastAsia"/>
          <w:rtl/>
        </w:rPr>
        <w:t>اعمال</w:t>
      </w:r>
      <w:r w:rsidRPr="0025250D">
        <w:rPr>
          <w:rtl/>
        </w:rPr>
        <w:t xml:space="preserve"> کن</w:t>
      </w:r>
      <w:r w:rsidRPr="0025250D">
        <w:rPr>
          <w:rFonts w:hint="cs"/>
          <w:rtl/>
        </w:rPr>
        <w:t>ی</w:t>
      </w:r>
      <w:r w:rsidRPr="0025250D">
        <w:rPr>
          <w:rFonts w:hint="eastAsia"/>
          <w:rtl/>
        </w:rPr>
        <w:t>د</w:t>
      </w:r>
      <w:r w:rsidR="008D6F97" w:rsidRPr="0025250D">
        <w:rPr>
          <w:rtl/>
        </w:rPr>
        <w:t xml:space="preserve"> </w:t>
      </w:r>
      <w:r w:rsidRPr="0025250D">
        <w:rPr>
          <w:rtl/>
        </w:rPr>
        <w:t>و همچن</w:t>
      </w:r>
      <w:r w:rsidRPr="0025250D">
        <w:rPr>
          <w:rFonts w:hint="cs"/>
          <w:rtl/>
        </w:rPr>
        <w:t>ی</w:t>
      </w:r>
      <w:r w:rsidRPr="0025250D">
        <w:rPr>
          <w:rFonts w:hint="eastAsia"/>
          <w:rtl/>
        </w:rPr>
        <w:t>ن</w:t>
      </w:r>
      <w:r w:rsidRPr="0025250D">
        <w:rPr>
          <w:rtl/>
        </w:rPr>
        <w:t xml:space="preserve"> م</w:t>
      </w:r>
      <w:r w:rsidRPr="0025250D">
        <w:rPr>
          <w:rFonts w:hint="cs"/>
          <w:rtl/>
        </w:rPr>
        <w:t>ی‌</w:t>
      </w:r>
      <w:r w:rsidRPr="0025250D">
        <w:rPr>
          <w:rFonts w:hint="eastAsia"/>
          <w:rtl/>
        </w:rPr>
        <w:t>تواند</w:t>
      </w:r>
      <w:r w:rsidRPr="0025250D">
        <w:rPr>
          <w:rtl/>
        </w:rPr>
        <w:t xml:space="preserve"> در عرض </w:t>
      </w:r>
      <w:r w:rsidRPr="0025250D">
        <w:rPr>
          <w:rFonts w:hint="cs"/>
          <w:rtl/>
        </w:rPr>
        <w:t>ی</w:t>
      </w:r>
      <w:r w:rsidRPr="0025250D">
        <w:rPr>
          <w:rFonts w:hint="eastAsia"/>
          <w:rtl/>
        </w:rPr>
        <w:t>ک</w:t>
      </w:r>
      <w:r w:rsidRPr="0025250D">
        <w:rPr>
          <w:rtl/>
        </w:rPr>
        <w:t xml:space="preserve"> ساعت </w:t>
      </w:r>
      <w:r w:rsidRPr="0025250D">
        <w:rPr>
          <w:rFonts w:hint="cs"/>
          <w:rtl/>
        </w:rPr>
        <w:t>مطالعه</w:t>
      </w:r>
      <w:r w:rsidRPr="0025250D">
        <w:rPr>
          <w:rtl/>
        </w:rPr>
        <w:t xml:space="preserve"> شود. همچن</w:t>
      </w:r>
      <w:r w:rsidRPr="0025250D">
        <w:rPr>
          <w:rFonts w:hint="cs"/>
          <w:rtl/>
        </w:rPr>
        <w:t>ی</w:t>
      </w:r>
      <w:r w:rsidRPr="0025250D">
        <w:rPr>
          <w:rFonts w:hint="eastAsia"/>
          <w:rtl/>
        </w:rPr>
        <w:t>ن</w:t>
      </w:r>
      <w:r w:rsidRPr="0025250D">
        <w:rPr>
          <w:rtl/>
        </w:rPr>
        <w:t xml:space="preserve"> </w:t>
      </w:r>
      <w:r w:rsidRPr="0025250D">
        <w:rPr>
          <w:rFonts w:hint="cs"/>
          <w:rtl/>
        </w:rPr>
        <w:t xml:space="preserve">این فصل </w:t>
      </w:r>
      <w:r w:rsidRPr="0025250D">
        <w:rPr>
          <w:rtl/>
        </w:rPr>
        <w:t>با</w:t>
      </w:r>
      <w:r w:rsidRPr="0025250D">
        <w:rPr>
          <w:rFonts w:hint="cs"/>
          <w:rtl/>
        </w:rPr>
        <w:t>ی</w:t>
      </w:r>
      <w:r w:rsidRPr="0025250D">
        <w:rPr>
          <w:rFonts w:hint="eastAsia"/>
          <w:rtl/>
        </w:rPr>
        <w:t>د</w:t>
      </w:r>
      <w:r w:rsidRPr="0025250D">
        <w:rPr>
          <w:rtl/>
        </w:rPr>
        <w:t xml:space="preserve"> در اولو</w:t>
      </w:r>
      <w:r w:rsidRPr="0025250D">
        <w:rPr>
          <w:rFonts w:hint="cs"/>
          <w:rtl/>
        </w:rPr>
        <w:t>ی</w:t>
      </w:r>
      <w:r w:rsidRPr="0025250D">
        <w:rPr>
          <w:rFonts w:hint="eastAsia"/>
          <w:rtl/>
        </w:rPr>
        <w:t>ت</w:t>
      </w:r>
      <w:r w:rsidRPr="0025250D">
        <w:rPr>
          <w:rtl/>
        </w:rPr>
        <w:t xml:space="preserve"> قرار گ</w:t>
      </w:r>
      <w:r w:rsidRPr="0025250D">
        <w:rPr>
          <w:rFonts w:hint="cs"/>
          <w:rtl/>
        </w:rPr>
        <w:t>ی</w:t>
      </w:r>
      <w:r w:rsidRPr="0025250D">
        <w:rPr>
          <w:rFonts w:hint="eastAsia"/>
          <w:rtl/>
        </w:rPr>
        <w:t>رد،</w:t>
      </w:r>
      <w:r w:rsidRPr="0025250D">
        <w:rPr>
          <w:rtl/>
        </w:rPr>
        <w:t xml:space="preserve"> ز</w:t>
      </w:r>
      <w:r w:rsidRPr="0025250D">
        <w:rPr>
          <w:rFonts w:hint="cs"/>
          <w:rtl/>
        </w:rPr>
        <w:t>ی</w:t>
      </w:r>
      <w:r w:rsidRPr="0025250D">
        <w:rPr>
          <w:rFonts w:hint="eastAsia"/>
          <w:rtl/>
        </w:rPr>
        <w:t>را</w:t>
      </w:r>
      <w:r w:rsidRPr="0025250D">
        <w:rPr>
          <w:rtl/>
        </w:rPr>
        <w:t xml:space="preserve"> شما را در ارز</w:t>
      </w:r>
      <w:r w:rsidRPr="0025250D">
        <w:rPr>
          <w:rFonts w:hint="cs"/>
          <w:rtl/>
        </w:rPr>
        <w:t>ی</w:t>
      </w:r>
      <w:r w:rsidRPr="0025250D">
        <w:rPr>
          <w:rFonts w:hint="eastAsia"/>
          <w:rtl/>
        </w:rPr>
        <w:t>اب</w:t>
      </w:r>
      <w:r w:rsidRPr="0025250D">
        <w:rPr>
          <w:rFonts w:hint="cs"/>
          <w:rtl/>
        </w:rPr>
        <w:t>ی</w:t>
      </w:r>
      <w:r w:rsidRPr="0025250D">
        <w:rPr>
          <w:rtl/>
        </w:rPr>
        <w:t xml:space="preserve"> خود، برنامه‌ریزی و اقدام به چالش می‌کشد.</w:t>
      </w:r>
    </w:p>
    <w:p w14:paraId="09F32E37" w14:textId="2754BD56" w:rsidR="00B219EF" w:rsidRPr="0025250D" w:rsidRDefault="00B219EF" w:rsidP="008D6F97">
      <w:pPr>
        <w:rPr>
          <w:rtl/>
        </w:rPr>
      </w:pPr>
      <w:r w:rsidRPr="0025250D">
        <w:rPr>
          <w:rtl/>
        </w:rPr>
        <w:t>در فصل 1، خواه</w:t>
      </w:r>
      <w:r w:rsidRPr="0025250D">
        <w:rPr>
          <w:rFonts w:hint="cs"/>
          <w:rtl/>
        </w:rPr>
        <w:t>ی</w:t>
      </w:r>
      <w:r w:rsidRPr="0025250D">
        <w:rPr>
          <w:rFonts w:hint="eastAsia"/>
          <w:rtl/>
        </w:rPr>
        <w:t>د</w:t>
      </w:r>
      <w:r w:rsidRPr="0025250D">
        <w:rPr>
          <w:rtl/>
        </w:rPr>
        <w:t xml:space="preserve"> آموخت که چگونه خوش‌بینی </w:t>
      </w:r>
      <w:r w:rsidR="00701E03" w:rsidRPr="0025250D">
        <w:rPr>
          <w:rFonts w:hint="cs"/>
          <w:rtl/>
        </w:rPr>
        <w:t>راهبردی</w:t>
      </w:r>
      <w:r w:rsidRPr="0025250D">
        <w:rPr>
          <w:rtl/>
        </w:rPr>
        <w:t xml:space="preserve"> و بدب</w:t>
      </w:r>
      <w:r w:rsidRPr="0025250D">
        <w:rPr>
          <w:rFonts w:hint="cs"/>
          <w:rtl/>
        </w:rPr>
        <w:t>ی</w:t>
      </w:r>
      <w:r w:rsidRPr="0025250D">
        <w:rPr>
          <w:rFonts w:hint="eastAsia"/>
          <w:rtl/>
        </w:rPr>
        <w:t>ن</w:t>
      </w:r>
      <w:r w:rsidRPr="0025250D">
        <w:rPr>
          <w:rFonts w:hint="cs"/>
          <w:rtl/>
        </w:rPr>
        <w:t>ی</w:t>
      </w:r>
      <w:r w:rsidRPr="0025250D">
        <w:rPr>
          <w:rtl/>
        </w:rPr>
        <w:t xml:space="preserve"> تدافع</w:t>
      </w:r>
      <w:r w:rsidRPr="0025250D">
        <w:rPr>
          <w:rFonts w:hint="cs"/>
          <w:rtl/>
        </w:rPr>
        <w:t>ی</w:t>
      </w:r>
      <w:r w:rsidRPr="0025250D">
        <w:rPr>
          <w:rFonts w:hint="eastAsia"/>
          <w:rtl/>
        </w:rPr>
        <w:t>،</w:t>
      </w:r>
      <w:r w:rsidRPr="0025250D">
        <w:rPr>
          <w:rtl/>
        </w:rPr>
        <w:t xml:space="preserve"> زمان</w:t>
      </w:r>
      <w:r w:rsidRPr="0025250D">
        <w:rPr>
          <w:rFonts w:hint="cs"/>
          <w:rtl/>
        </w:rPr>
        <w:t>ی</w:t>
      </w:r>
      <w:r w:rsidRPr="0025250D">
        <w:rPr>
          <w:rtl/>
        </w:rPr>
        <w:t xml:space="preserve"> که هرکدام به‌خوبی مورداستفاده قرار می‌گیرند و در ابتدا به </w:t>
      </w:r>
      <w:r w:rsidRPr="0025250D">
        <w:rPr>
          <w:rFonts w:hint="cs"/>
          <w:rtl/>
        </w:rPr>
        <w:t>همین</w:t>
      </w:r>
      <w:r w:rsidRPr="0025250D">
        <w:rPr>
          <w:rtl/>
        </w:rPr>
        <w:t xml:space="preserve"> ترت</w:t>
      </w:r>
      <w:r w:rsidRPr="0025250D">
        <w:rPr>
          <w:rFonts w:hint="cs"/>
          <w:rtl/>
        </w:rPr>
        <w:t>ی</w:t>
      </w:r>
      <w:r w:rsidRPr="0025250D">
        <w:rPr>
          <w:rFonts w:hint="eastAsia"/>
          <w:rtl/>
        </w:rPr>
        <w:t>ب،</w:t>
      </w:r>
      <w:r w:rsidRPr="0025250D">
        <w:rPr>
          <w:rtl/>
        </w:rPr>
        <w:t xml:space="preserve"> به ما کمک می‌کنند </w:t>
      </w:r>
      <w:r w:rsidR="008D6F97" w:rsidRPr="0025250D">
        <w:rPr>
          <w:rtl/>
        </w:rPr>
        <w:t>«</w:t>
      </w:r>
      <w:r w:rsidRPr="0025250D">
        <w:rPr>
          <w:rtl/>
        </w:rPr>
        <w:t>راه خود را به سمت آ</w:t>
      </w:r>
      <w:r w:rsidRPr="0025250D">
        <w:rPr>
          <w:rFonts w:hint="cs"/>
          <w:rtl/>
        </w:rPr>
        <w:t>ی</w:t>
      </w:r>
      <w:r w:rsidRPr="0025250D">
        <w:rPr>
          <w:rFonts w:hint="eastAsia"/>
          <w:rtl/>
        </w:rPr>
        <w:t>نده</w:t>
      </w:r>
      <w:r w:rsidRPr="0025250D">
        <w:rPr>
          <w:rtl/>
        </w:rPr>
        <w:t xml:space="preserve">‌های </w:t>
      </w:r>
      <w:r w:rsidR="001A3F0A" w:rsidRPr="0025250D">
        <w:rPr>
          <w:rtl/>
        </w:rPr>
        <w:t>فردی</w:t>
      </w:r>
      <w:r w:rsidRPr="0025250D">
        <w:rPr>
          <w:rFonts w:hint="eastAsia"/>
          <w:rtl/>
        </w:rPr>
        <w:t>،</w:t>
      </w:r>
      <w:r w:rsidRPr="0025250D">
        <w:rPr>
          <w:rtl/>
        </w:rPr>
        <w:t xml:space="preserve"> ت</w:t>
      </w:r>
      <w:r w:rsidRPr="0025250D">
        <w:rPr>
          <w:rFonts w:hint="cs"/>
          <w:rtl/>
        </w:rPr>
        <w:t>ی</w:t>
      </w:r>
      <w:r w:rsidRPr="0025250D">
        <w:rPr>
          <w:rFonts w:hint="eastAsia"/>
          <w:rtl/>
        </w:rPr>
        <w:t>م</w:t>
      </w:r>
      <w:r w:rsidRPr="0025250D">
        <w:rPr>
          <w:rFonts w:hint="cs"/>
          <w:rtl/>
        </w:rPr>
        <w:t>ی</w:t>
      </w:r>
      <w:r w:rsidRPr="0025250D">
        <w:rPr>
          <w:rFonts w:hint="eastAsia"/>
          <w:rtl/>
        </w:rPr>
        <w:t>،</w:t>
      </w:r>
      <w:r w:rsidRPr="0025250D">
        <w:rPr>
          <w:rtl/>
        </w:rPr>
        <w:t xml:space="preserve"> سازمان</w:t>
      </w:r>
      <w:r w:rsidRPr="0025250D">
        <w:rPr>
          <w:rFonts w:hint="cs"/>
          <w:rtl/>
        </w:rPr>
        <w:t>ی</w:t>
      </w:r>
      <w:r w:rsidRPr="0025250D">
        <w:rPr>
          <w:rtl/>
        </w:rPr>
        <w:t xml:space="preserve"> و اجتماع</w:t>
      </w:r>
      <w:r w:rsidRPr="0025250D">
        <w:rPr>
          <w:rFonts w:hint="cs"/>
          <w:rtl/>
        </w:rPr>
        <w:t>ی</w:t>
      </w:r>
      <w:r w:rsidRPr="0025250D">
        <w:rPr>
          <w:rtl/>
        </w:rPr>
        <w:t xml:space="preserve"> بهتر </w:t>
      </w:r>
      <w:r w:rsidR="00B67B12" w:rsidRPr="0025250D">
        <w:rPr>
          <w:rFonts w:hint="cs"/>
          <w:rtl/>
        </w:rPr>
        <w:t>بیابیم</w:t>
      </w:r>
      <w:r w:rsidR="008D6F97" w:rsidRPr="0025250D">
        <w:rPr>
          <w:rtl/>
        </w:rPr>
        <w:t>»</w:t>
      </w:r>
      <w:r w:rsidRPr="0025250D">
        <w:rPr>
          <w:rtl/>
        </w:rPr>
        <w:t>. هنر متعادل کردن تفکر گذشته</w:t>
      </w:r>
      <w:r w:rsidRPr="0025250D">
        <w:rPr>
          <w:rFonts w:hint="cs"/>
          <w:rtl/>
        </w:rPr>
        <w:t>‌گرا</w:t>
      </w:r>
      <w:r w:rsidRPr="0025250D">
        <w:rPr>
          <w:rtl/>
        </w:rPr>
        <w:t>، حال</w:t>
      </w:r>
      <w:r w:rsidRPr="0025250D">
        <w:rPr>
          <w:rFonts w:hint="cs"/>
          <w:rtl/>
        </w:rPr>
        <w:t>‌گرا</w:t>
      </w:r>
      <w:r w:rsidRPr="0025250D">
        <w:rPr>
          <w:rtl/>
        </w:rPr>
        <w:t xml:space="preserve"> و آینده‌گرا و ارز</w:t>
      </w:r>
      <w:r w:rsidRPr="0025250D">
        <w:rPr>
          <w:rFonts w:hint="cs"/>
          <w:rtl/>
        </w:rPr>
        <w:t>ی</w:t>
      </w:r>
      <w:r w:rsidRPr="0025250D">
        <w:rPr>
          <w:rFonts w:hint="eastAsia"/>
          <w:rtl/>
        </w:rPr>
        <w:t>اب</w:t>
      </w:r>
      <w:r w:rsidRPr="0025250D">
        <w:rPr>
          <w:rFonts w:hint="cs"/>
          <w:rtl/>
        </w:rPr>
        <w:t>ی</w:t>
      </w:r>
      <w:r w:rsidRPr="0025250D">
        <w:rPr>
          <w:rtl/>
        </w:rPr>
        <w:t xml:space="preserve"> آ</w:t>
      </w:r>
      <w:r w:rsidRPr="0025250D">
        <w:rPr>
          <w:rFonts w:hint="cs"/>
          <w:rtl/>
        </w:rPr>
        <w:t>ی</w:t>
      </w:r>
      <w:r w:rsidRPr="0025250D">
        <w:rPr>
          <w:rFonts w:hint="eastAsia"/>
          <w:rtl/>
        </w:rPr>
        <w:t>نده</w:t>
      </w:r>
      <w:r w:rsidRPr="0025250D">
        <w:rPr>
          <w:rtl/>
        </w:rPr>
        <w:t xml:space="preserve">‌های </w:t>
      </w:r>
      <w:r w:rsidRPr="0025250D">
        <w:rPr>
          <w:rFonts w:hint="cs"/>
          <w:rtl/>
        </w:rPr>
        <w:t>محتمل</w:t>
      </w:r>
      <w:r w:rsidRPr="0025250D">
        <w:rPr>
          <w:rFonts w:hint="eastAsia"/>
          <w:rtl/>
        </w:rPr>
        <w:t>،</w:t>
      </w:r>
      <w:r w:rsidRPr="0025250D">
        <w:rPr>
          <w:rtl/>
        </w:rPr>
        <w:t xml:space="preserve"> ممکن، </w:t>
      </w:r>
      <w:r w:rsidRPr="0025250D">
        <w:rPr>
          <w:rFonts w:hint="cs"/>
          <w:rtl/>
        </w:rPr>
        <w:t>مرجح</w:t>
      </w:r>
      <w:r w:rsidRPr="0025250D">
        <w:rPr>
          <w:rtl/>
        </w:rPr>
        <w:t xml:space="preserve"> و قابل‌اجتناب (</w:t>
      </w:r>
      <w:r w:rsidR="008D6F97" w:rsidRPr="0025250D">
        <w:rPr>
          <w:rtl/>
        </w:rPr>
        <w:t>«</w:t>
      </w:r>
      <w:r w:rsidRPr="0025250D">
        <w:rPr>
          <w:rtl/>
        </w:rPr>
        <w:t xml:space="preserve">چهار </w:t>
      </w:r>
      <w:r w:rsidRPr="0025250D">
        <w:t>P</w:t>
      </w:r>
      <w:r w:rsidR="008D6F97" w:rsidRPr="0025250D">
        <w:rPr>
          <w:rFonts w:hint="cs"/>
          <w:rtl/>
        </w:rPr>
        <w:t>»</w:t>
      </w:r>
      <w:r w:rsidRPr="0025250D">
        <w:rPr>
          <w:rtl/>
        </w:rPr>
        <w:t>) و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w:t>
      </w:r>
      <w:r w:rsidRPr="0025250D">
        <w:rPr>
          <w:rFonts w:hint="cs"/>
          <w:rtl/>
        </w:rPr>
        <w:t xml:space="preserve">تعارض‌های </w:t>
      </w:r>
      <w:r w:rsidRPr="0025250D">
        <w:rPr>
          <w:rtl/>
        </w:rPr>
        <w:t>آن‌ها در تیم‌ها را خواه</w:t>
      </w:r>
      <w:r w:rsidRPr="0025250D">
        <w:rPr>
          <w:rFonts w:hint="cs"/>
          <w:rtl/>
        </w:rPr>
        <w:t>ی</w:t>
      </w:r>
      <w:r w:rsidRPr="0025250D">
        <w:rPr>
          <w:rFonts w:hint="eastAsia"/>
          <w:rtl/>
        </w:rPr>
        <w:t>د</w:t>
      </w:r>
      <w:r w:rsidRPr="0025250D">
        <w:rPr>
          <w:rtl/>
        </w:rPr>
        <w:t xml:space="preserve"> آموخت.</w:t>
      </w:r>
      <w:r w:rsidRPr="0025250D">
        <w:rPr>
          <w:rFonts w:hint="cs"/>
          <w:rtl/>
        </w:rPr>
        <w:t xml:space="preserve"> </w:t>
      </w:r>
      <w:r w:rsidRPr="0025250D">
        <w:rPr>
          <w:rtl/>
        </w:rPr>
        <w:t>شما خواه</w:t>
      </w:r>
      <w:r w:rsidRPr="0025250D">
        <w:rPr>
          <w:rFonts w:hint="cs"/>
          <w:rtl/>
        </w:rPr>
        <w:t>ی</w:t>
      </w:r>
      <w:r w:rsidRPr="0025250D">
        <w:rPr>
          <w:rFonts w:hint="eastAsia"/>
          <w:rtl/>
        </w:rPr>
        <w:t>د</w:t>
      </w:r>
      <w:r w:rsidRPr="0025250D">
        <w:rPr>
          <w:rtl/>
        </w:rPr>
        <w:t xml:space="preserve"> </w:t>
      </w:r>
      <w:r w:rsidRPr="0025250D">
        <w:rPr>
          <w:rFonts w:hint="cs"/>
          <w:rtl/>
        </w:rPr>
        <w:t>آموخت</w:t>
      </w:r>
      <w:r w:rsidRPr="0025250D">
        <w:rPr>
          <w:rtl/>
        </w:rPr>
        <w:t xml:space="preserve"> که آ</w:t>
      </w:r>
      <w:r w:rsidRPr="0025250D">
        <w:rPr>
          <w:rFonts w:hint="cs"/>
          <w:rtl/>
        </w:rPr>
        <w:t>ی</w:t>
      </w:r>
      <w:r w:rsidRPr="0025250D">
        <w:rPr>
          <w:rFonts w:hint="eastAsia"/>
          <w:rtl/>
        </w:rPr>
        <w:t>نده</w:t>
      </w:r>
      <w:r w:rsidRPr="0025250D">
        <w:rPr>
          <w:rtl/>
        </w:rPr>
        <w:t xml:space="preserve"> را به‌عنوان مجموعه‌ای از مزا</w:t>
      </w:r>
      <w:r w:rsidRPr="0025250D">
        <w:rPr>
          <w:rFonts w:hint="cs"/>
          <w:rtl/>
        </w:rPr>
        <w:t>ی</w:t>
      </w:r>
      <w:r w:rsidRPr="0025250D">
        <w:rPr>
          <w:rFonts w:hint="eastAsia"/>
          <w:rtl/>
        </w:rPr>
        <w:t>ا،</w:t>
      </w:r>
      <w:r w:rsidRPr="0025250D">
        <w:rPr>
          <w:rtl/>
        </w:rPr>
        <w:t xml:space="preserve"> </w:t>
      </w:r>
      <w:r w:rsidRPr="0025250D">
        <w:rPr>
          <w:rFonts w:hint="cs"/>
          <w:rtl/>
        </w:rPr>
        <w:t>بنیان‌افکنی‌ها</w:t>
      </w:r>
      <w:r w:rsidRPr="0025250D">
        <w:rPr>
          <w:rtl/>
        </w:rPr>
        <w:t xml:space="preserve">، فرصت‌ها و خطرات </w:t>
      </w:r>
      <w:r w:rsidR="007B3B35" w:rsidRPr="0025250D">
        <w:rPr>
          <w:rtl/>
        </w:rPr>
        <w:t>شتاب‌گیر</w:t>
      </w:r>
      <w:r w:rsidRPr="0025250D">
        <w:rPr>
          <w:rFonts w:hint="cs"/>
          <w:rtl/>
        </w:rPr>
        <w:t>نده</w:t>
      </w:r>
      <w:r w:rsidRPr="0025250D">
        <w:rPr>
          <w:rtl/>
        </w:rPr>
        <w:t xml:space="preserve"> (</w:t>
      </w:r>
      <w:r w:rsidRPr="0025250D">
        <w:t>ADOR</w:t>
      </w:r>
      <w:r w:rsidRPr="0025250D">
        <w:rPr>
          <w:rtl/>
        </w:rPr>
        <w:t>) بب</w:t>
      </w:r>
      <w:r w:rsidRPr="0025250D">
        <w:rPr>
          <w:rFonts w:hint="cs"/>
          <w:rtl/>
        </w:rPr>
        <w:t>ی</w:t>
      </w:r>
      <w:r w:rsidRPr="0025250D">
        <w:rPr>
          <w:rFonts w:hint="eastAsia"/>
          <w:rtl/>
        </w:rPr>
        <w:t>ن</w:t>
      </w:r>
      <w:r w:rsidRPr="0025250D">
        <w:rPr>
          <w:rFonts w:hint="cs"/>
          <w:rtl/>
        </w:rPr>
        <w:t>ی</w:t>
      </w:r>
      <w:r w:rsidRPr="0025250D">
        <w:rPr>
          <w:rFonts w:hint="eastAsia"/>
          <w:rtl/>
        </w:rPr>
        <w:t>د</w:t>
      </w:r>
      <w:r w:rsidRPr="0025250D">
        <w:rPr>
          <w:rtl/>
        </w:rPr>
        <w:t>. در دن</w:t>
      </w:r>
      <w:r w:rsidRPr="0025250D">
        <w:rPr>
          <w:rFonts w:hint="cs"/>
          <w:rtl/>
        </w:rPr>
        <w:t>ی</w:t>
      </w:r>
      <w:r w:rsidRPr="0025250D">
        <w:rPr>
          <w:rFonts w:hint="eastAsia"/>
          <w:rtl/>
        </w:rPr>
        <w:t>ا</w:t>
      </w:r>
      <w:r w:rsidRPr="0025250D">
        <w:rPr>
          <w:rFonts w:hint="cs"/>
          <w:rtl/>
        </w:rPr>
        <w:t>ی</w:t>
      </w:r>
      <w:r w:rsidRPr="0025250D">
        <w:rPr>
          <w:rtl/>
        </w:rPr>
        <w:t xml:space="preserve"> تغ</w:t>
      </w:r>
      <w:r w:rsidRPr="0025250D">
        <w:rPr>
          <w:rFonts w:hint="cs"/>
          <w:rtl/>
        </w:rPr>
        <w:t>یی</w:t>
      </w:r>
      <w:r w:rsidRPr="0025250D">
        <w:rPr>
          <w:rFonts w:hint="eastAsia"/>
          <w:rtl/>
        </w:rPr>
        <w:t>رات</w:t>
      </w:r>
      <w:r w:rsidRPr="0025250D">
        <w:rPr>
          <w:rtl/>
        </w:rPr>
        <w:t xml:space="preserve"> شتابان، </w:t>
      </w:r>
      <w:r w:rsidRPr="0025250D">
        <w:t>ADOR</w:t>
      </w:r>
      <w:r w:rsidRPr="0025250D">
        <w:rPr>
          <w:rtl/>
        </w:rPr>
        <w:t xml:space="preserve"> به‌طور قابل‌توجهی مجموعه‌ای از ارز</w:t>
      </w:r>
      <w:r w:rsidRPr="0025250D">
        <w:rPr>
          <w:rFonts w:hint="cs"/>
          <w:rtl/>
        </w:rPr>
        <w:t>ی</w:t>
      </w:r>
      <w:r w:rsidRPr="0025250D">
        <w:rPr>
          <w:rFonts w:hint="eastAsia"/>
          <w:rtl/>
        </w:rPr>
        <w:t>اب</w:t>
      </w:r>
      <w:r w:rsidRPr="0025250D">
        <w:rPr>
          <w:rFonts w:hint="cs"/>
          <w:rtl/>
        </w:rPr>
        <w:t>ی</w:t>
      </w:r>
      <w:r w:rsidRPr="0025250D">
        <w:rPr>
          <w:rtl/>
        </w:rPr>
        <w:t xml:space="preserve">‌های </w:t>
      </w:r>
      <w:r w:rsidR="00701E03" w:rsidRPr="0025250D">
        <w:rPr>
          <w:rtl/>
        </w:rPr>
        <w:t>راهبردی</w:t>
      </w:r>
      <w:r w:rsidRPr="0025250D">
        <w:rPr>
          <w:rtl/>
        </w:rPr>
        <w:t xml:space="preserve"> مف</w:t>
      </w:r>
      <w:r w:rsidRPr="0025250D">
        <w:rPr>
          <w:rFonts w:hint="cs"/>
          <w:rtl/>
        </w:rPr>
        <w:t>ی</w:t>
      </w:r>
      <w:r w:rsidRPr="0025250D">
        <w:rPr>
          <w:rFonts w:hint="eastAsia"/>
          <w:rtl/>
        </w:rPr>
        <w:t>دتر</w:t>
      </w:r>
      <w:r w:rsidR="00B67B12" w:rsidRPr="0025250D">
        <w:rPr>
          <w:rFonts w:hint="cs"/>
          <w:rtl/>
        </w:rPr>
        <w:t>ی</w:t>
      </w:r>
      <w:r w:rsidRPr="0025250D">
        <w:rPr>
          <w:rtl/>
        </w:rPr>
        <w:t xml:space="preserve"> </w:t>
      </w:r>
      <w:r w:rsidR="00B67B12" w:rsidRPr="0025250D">
        <w:rPr>
          <w:rFonts w:hint="cs"/>
          <w:rtl/>
        </w:rPr>
        <w:t>نسبت به</w:t>
      </w:r>
      <w:r w:rsidRPr="0025250D">
        <w:rPr>
          <w:rtl/>
        </w:rPr>
        <w:t xml:space="preserve"> </w:t>
      </w:r>
      <w:r w:rsidRPr="0025250D">
        <w:rPr>
          <w:rFonts w:hint="cs"/>
          <w:rtl/>
        </w:rPr>
        <w:t>روش ارزشمند</w:t>
      </w:r>
      <w:r w:rsidRPr="0025250D">
        <w:rPr>
          <w:rtl/>
        </w:rPr>
        <w:t xml:space="preserve"> قد</w:t>
      </w:r>
      <w:r w:rsidRPr="0025250D">
        <w:rPr>
          <w:rFonts w:hint="cs"/>
          <w:rtl/>
        </w:rPr>
        <w:t>ی</w:t>
      </w:r>
      <w:r w:rsidRPr="0025250D">
        <w:rPr>
          <w:rFonts w:hint="eastAsia"/>
          <w:rtl/>
        </w:rPr>
        <w:t>م</w:t>
      </w:r>
      <w:r w:rsidRPr="0025250D">
        <w:rPr>
          <w:rFonts w:hint="cs"/>
          <w:rtl/>
        </w:rPr>
        <w:t>ی</w:t>
      </w:r>
      <w:r w:rsidRPr="0025250D">
        <w:rPr>
          <w:rtl/>
        </w:rPr>
        <w:t xml:space="preserve"> </w:t>
      </w:r>
      <w:r w:rsidRPr="0025250D">
        <w:t>SWOT</w:t>
      </w:r>
      <w:r w:rsidRPr="0025250D">
        <w:rPr>
          <w:rtl/>
        </w:rPr>
        <w:t xml:space="preserve"> (قوت‌ها، نقاط ضعف، فرصت‌ها و تهد</w:t>
      </w:r>
      <w:r w:rsidRPr="0025250D">
        <w:rPr>
          <w:rFonts w:hint="cs"/>
          <w:rtl/>
        </w:rPr>
        <w:t>ی</w:t>
      </w:r>
      <w:r w:rsidRPr="0025250D">
        <w:rPr>
          <w:rFonts w:hint="eastAsia"/>
          <w:rtl/>
        </w:rPr>
        <w:t>دها</w:t>
      </w:r>
      <w:r w:rsidRPr="0025250D">
        <w:rPr>
          <w:rtl/>
        </w:rPr>
        <w:t xml:space="preserve">) </w:t>
      </w:r>
      <w:r w:rsidR="00B67B12" w:rsidRPr="0025250D">
        <w:rPr>
          <w:rFonts w:hint="cs"/>
          <w:rtl/>
        </w:rPr>
        <w:t>ارائه می‌دهد</w:t>
      </w:r>
      <w:r w:rsidRPr="0025250D">
        <w:rPr>
          <w:rtl/>
        </w:rPr>
        <w:t xml:space="preserve">. </w:t>
      </w:r>
      <w:r w:rsidRPr="0025250D">
        <w:rPr>
          <w:rFonts w:hint="cs"/>
          <w:rtl/>
        </w:rPr>
        <w:t>پیوست</w:t>
      </w:r>
      <w:r w:rsidRPr="0025250D">
        <w:rPr>
          <w:rtl/>
        </w:rPr>
        <w:t xml:space="preserve"> 1 به شما کمک می‌کند تا احساس آینده‌نگاری و سبک‌های تفکر خود و ت</w:t>
      </w:r>
      <w:r w:rsidRPr="0025250D">
        <w:rPr>
          <w:rFonts w:hint="cs"/>
          <w:rtl/>
        </w:rPr>
        <w:t>ی</w:t>
      </w:r>
      <w:r w:rsidRPr="0025250D">
        <w:rPr>
          <w:rFonts w:hint="eastAsia"/>
          <w:rtl/>
        </w:rPr>
        <w:t>متان</w:t>
      </w:r>
      <w:r w:rsidRPr="0025250D">
        <w:rPr>
          <w:rtl/>
        </w:rPr>
        <w:t xml:space="preserve"> را تشخ</w:t>
      </w:r>
      <w:r w:rsidRPr="0025250D">
        <w:rPr>
          <w:rFonts w:hint="cs"/>
          <w:rtl/>
        </w:rPr>
        <w:t>ی</w:t>
      </w:r>
      <w:r w:rsidRPr="0025250D">
        <w:rPr>
          <w:rFonts w:hint="eastAsia"/>
          <w:rtl/>
        </w:rPr>
        <w:t>ص</w:t>
      </w:r>
      <w:r w:rsidRPr="0025250D">
        <w:rPr>
          <w:rtl/>
        </w:rPr>
        <w:t xml:space="preserve"> ده</w:t>
      </w:r>
      <w:r w:rsidRPr="0025250D">
        <w:rPr>
          <w:rFonts w:hint="cs"/>
          <w:rtl/>
        </w:rPr>
        <w:t>ی</w:t>
      </w:r>
      <w:r w:rsidRPr="0025250D">
        <w:rPr>
          <w:rFonts w:hint="eastAsia"/>
          <w:rtl/>
        </w:rPr>
        <w:t>د</w:t>
      </w:r>
      <w:r w:rsidRPr="0025250D">
        <w:rPr>
          <w:rtl/>
        </w:rPr>
        <w:t xml:space="preserve"> و چند مهارت کل</w:t>
      </w:r>
      <w:r w:rsidRPr="0025250D">
        <w:rPr>
          <w:rFonts w:hint="cs"/>
          <w:rtl/>
        </w:rPr>
        <w:t>ی</w:t>
      </w:r>
      <w:r w:rsidRPr="0025250D">
        <w:rPr>
          <w:rFonts w:hint="eastAsia"/>
          <w:rtl/>
        </w:rPr>
        <w:t>د</w:t>
      </w:r>
      <w:r w:rsidRPr="0025250D">
        <w:rPr>
          <w:rFonts w:hint="cs"/>
          <w:rtl/>
        </w:rPr>
        <w:t>ی</w:t>
      </w:r>
      <w:r w:rsidRPr="0025250D">
        <w:rPr>
          <w:rFonts w:hint="eastAsia"/>
          <w:rtl/>
        </w:rPr>
        <w:t>،</w:t>
      </w:r>
      <w:r w:rsidRPr="0025250D">
        <w:rPr>
          <w:rtl/>
        </w:rPr>
        <w:t xml:space="preserve"> چارچوب‌ها و روش‌های</w:t>
      </w:r>
      <w:r w:rsidRPr="0025250D">
        <w:rPr>
          <w:rFonts w:hint="cs"/>
          <w:rtl/>
        </w:rPr>
        <w:t>ی</w:t>
      </w:r>
      <w:r w:rsidRPr="0025250D">
        <w:rPr>
          <w:rtl/>
        </w:rPr>
        <w:t xml:space="preserve"> را ب</w:t>
      </w:r>
      <w:r w:rsidRPr="0025250D">
        <w:rPr>
          <w:rFonts w:hint="cs"/>
          <w:rtl/>
        </w:rPr>
        <w:t>ی</w:t>
      </w:r>
      <w:r w:rsidRPr="0025250D">
        <w:rPr>
          <w:rFonts w:hint="eastAsia"/>
          <w:rtl/>
        </w:rPr>
        <w:t>اموز</w:t>
      </w:r>
      <w:r w:rsidRPr="0025250D">
        <w:rPr>
          <w:rFonts w:hint="cs"/>
          <w:rtl/>
        </w:rPr>
        <w:t>ی</w:t>
      </w:r>
      <w:r w:rsidRPr="0025250D">
        <w:rPr>
          <w:rFonts w:hint="eastAsia"/>
          <w:rtl/>
        </w:rPr>
        <w:t>د</w:t>
      </w:r>
      <w:r w:rsidRPr="0025250D">
        <w:rPr>
          <w:rtl/>
        </w:rPr>
        <w:t xml:space="preserve"> که تیم‌ها و سازمان‌های بزرگ برا</w:t>
      </w:r>
      <w:r w:rsidRPr="0025250D">
        <w:rPr>
          <w:rFonts w:hint="cs"/>
          <w:rtl/>
        </w:rPr>
        <w:t>ی</w:t>
      </w:r>
      <w:r w:rsidRPr="0025250D">
        <w:rPr>
          <w:rtl/>
        </w:rPr>
        <w:t xml:space="preserve"> ا</w:t>
      </w:r>
      <w:r w:rsidRPr="0025250D">
        <w:rPr>
          <w:rFonts w:hint="cs"/>
          <w:rtl/>
        </w:rPr>
        <w:t>ی</w:t>
      </w:r>
      <w:r w:rsidRPr="0025250D">
        <w:rPr>
          <w:rFonts w:hint="eastAsia"/>
          <w:rtl/>
        </w:rPr>
        <w:t>جاد</w:t>
      </w:r>
      <w:r w:rsidRPr="0025250D">
        <w:rPr>
          <w:rtl/>
        </w:rPr>
        <w:t xml:space="preserve"> آینده‌نگاری و اقدام مؤثر، روزانه و </w:t>
      </w:r>
      <w:r w:rsidRPr="0025250D">
        <w:rPr>
          <w:rFonts w:hint="cs"/>
          <w:rtl/>
        </w:rPr>
        <w:t xml:space="preserve">در </w:t>
      </w:r>
      <w:r w:rsidRPr="0025250D">
        <w:rPr>
          <w:rtl/>
        </w:rPr>
        <w:t>طولانی‌مدت استفاده می‌کنند.</w:t>
      </w:r>
    </w:p>
    <w:p w14:paraId="5140AF9F" w14:textId="1DBC6F65" w:rsidR="00B219EF" w:rsidRPr="0025250D" w:rsidRDefault="00B219EF" w:rsidP="00B219EF">
      <w:pPr>
        <w:rPr>
          <w:rtl/>
        </w:rPr>
      </w:pPr>
      <w:r w:rsidRPr="0025250D">
        <w:rPr>
          <w:rtl/>
        </w:rPr>
        <w:t>در فصل‌ها</w:t>
      </w:r>
      <w:r w:rsidRPr="0025250D">
        <w:rPr>
          <w:rFonts w:hint="cs"/>
          <w:rtl/>
        </w:rPr>
        <w:t>ی</w:t>
      </w:r>
      <w:r w:rsidRPr="0025250D">
        <w:rPr>
          <w:rtl/>
        </w:rPr>
        <w:t xml:space="preserve"> بعد</w:t>
      </w:r>
      <w:r w:rsidRPr="0025250D">
        <w:rPr>
          <w:rFonts w:hint="cs"/>
          <w:rtl/>
        </w:rPr>
        <w:t>ی</w:t>
      </w:r>
      <w:r w:rsidRPr="0025250D">
        <w:rPr>
          <w:rFonts w:hint="eastAsia"/>
          <w:rtl/>
        </w:rPr>
        <w:t>،</w:t>
      </w:r>
      <w:r w:rsidRPr="0025250D">
        <w:rPr>
          <w:rtl/>
        </w:rPr>
        <w:t xml:space="preserve"> چارچوب‌ها، روش‌ها و عادت‌ها</w:t>
      </w:r>
      <w:r w:rsidRPr="0025250D">
        <w:rPr>
          <w:rFonts w:hint="cs"/>
          <w:rtl/>
        </w:rPr>
        <w:t>ی</w:t>
      </w:r>
      <w:r w:rsidRPr="0025250D">
        <w:rPr>
          <w:rtl/>
        </w:rPr>
        <w:t xml:space="preserve"> د</w:t>
      </w:r>
      <w:r w:rsidRPr="0025250D">
        <w:rPr>
          <w:rFonts w:hint="cs"/>
          <w:rtl/>
        </w:rPr>
        <w:t>ی</w:t>
      </w:r>
      <w:r w:rsidRPr="0025250D">
        <w:rPr>
          <w:rFonts w:hint="eastAsia"/>
          <w:rtl/>
        </w:rPr>
        <w:t>گر</w:t>
      </w:r>
      <w:r w:rsidRPr="0025250D">
        <w:rPr>
          <w:rFonts w:hint="cs"/>
          <w:rtl/>
        </w:rPr>
        <w:t>ی</w:t>
      </w:r>
      <w:r w:rsidRPr="0025250D">
        <w:rPr>
          <w:rtl/>
        </w:rPr>
        <w:t xml:space="preserve"> را </w:t>
      </w:r>
      <w:r w:rsidRPr="0025250D">
        <w:rPr>
          <w:rFonts w:hint="cs"/>
          <w:rtl/>
        </w:rPr>
        <w:t>ی</w:t>
      </w:r>
      <w:r w:rsidRPr="0025250D">
        <w:rPr>
          <w:rFonts w:hint="eastAsia"/>
          <w:rtl/>
        </w:rPr>
        <w:t>اد</w:t>
      </w:r>
      <w:r w:rsidRPr="0025250D">
        <w:rPr>
          <w:rtl/>
        </w:rPr>
        <w:t xml:space="preserve"> م</w:t>
      </w:r>
      <w:r w:rsidRPr="0025250D">
        <w:rPr>
          <w:rFonts w:hint="cs"/>
          <w:rtl/>
        </w:rPr>
        <w:t>ی‌</w:t>
      </w:r>
      <w:r w:rsidRPr="0025250D">
        <w:rPr>
          <w:rFonts w:hint="eastAsia"/>
          <w:rtl/>
        </w:rPr>
        <w:t>گ</w:t>
      </w:r>
      <w:r w:rsidRPr="0025250D">
        <w:rPr>
          <w:rFonts w:hint="cs"/>
          <w:rtl/>
        </w:rPr>
        <w:t>ی</w:t>
      </w:r>
      <w:r w:rsidRPr="0025250D">
        <w:rPr>
          <w:rFonts w:hint="eastAsia"/>
          <w:rtl/>
        </w:rPr>
        <w:t>ر</w:t>
      </w:r>
      <w:r w:rsidRPr="0025250D">
        <w:rPr>
          <w:rFonts w:hint="cs"/>
          <w:rtl/>
        </w:rPr>
        <w:t>ی</w:t>
      </w:r>
      <w:r w:rsidRPr="0025250D">
        <w:rPr>
          <w:rFonts w:hint="eastAsia"/>
          <w:rtl/>
        </w:rPr>
        <w:t>د</w:t>
      </w:r>
      <w:r w:rsidRPr="0025250D">
        <w:rPr>
          <w:rtl/>
        </w:rPr>
        <w:t xml:space="preserve"> که به شما و ت</w:t>
      </w:r>
      <w:r w:rsidRPr="0025250D">
        <w:rPr>
          <w:rFonts w:hint="cs"/>
          <w:rtl/>
        </w:rPr>
        <w:t>ی</w:t>
      </w:r>
      <w:r w:rsidRPr="0025250D">
        <w:rPr>
          <w:rFonts w:hint="eastAsia"/>
          <w:rtl/>
        </w:rPr>
        <w:t>م‌ها</w:t>
      </w:r>
      <w:r w:rsidRPr="0025250D">
        <w:rPr>
          <w:rFonts w:hint="cs"/>
          <w:rtl/>
        </w:rPr>
        <w:t>ی</w:t>
      </w:r>
      <w:r w:rsidRPr="0025250D">
        <w:rPr>
          <w:rFonts w:hint="eastAsia"/>
          <w:rtl/>
        </w:rPr>
        <w:t>تان</w:t>
      </w:r>
      <w:r w:rsidRPr="0025250D">
        <w:rPr>
          <w:rtl/>
        </w:rPr>
        <w:t xml:space="preserve"> کمک م</w:t>
      </w:r>
      <w:r w:rsidRPr="0025250D">
        <w:rPr>
          <w:rFonts w:hint="cs"/>
          <w:rtl/>
        </w:rPr>
        <w:t>ی‌</w:t>
      </w:r>
      <w:r w:rsidRPr="0025250D">
        <w:rPr>
          <w:rFonts w:hint="eastAsia"/>
          <w:rtl/>
        </w:rPr>
        <w:t>کن</w:t>
      </w:r>
      <w:r w:rsidRPr="0025250D">
        <w:rPr>
          <w:rFonts w:hint="cs"/>
          <w:rtl/>
        </w:rPr>
        <w:t>ن</w:t>
      </w:r>
      <w:r w:rsidRPr="0025250D">
        <w:rPr>
          <w:rFonts w:hint="eastAsia"/>
          <w:rtl/>
        </w:rPr>
        <w:t>د</w:t>
      </w:r>
      <w:r w:rsidRPr="0025250D">
        <w:rPr>
          <w:rtl/>
        </w:rPr>
        <w:t xml:space="preserve"> تا </w:t>
      </w:r>
      <w:r w:rsidR="00701E03" w:rsidRPr="0025250D">
        <w:rPr>
          <w:rtl/>
        </w:rPr>
        <w:t>راهبرد</w:t>
      </w:r>
      <w:r w:rsidRPr="0025250D">
        <w:rPr>
          <w:rtl/>
        </w:rPr>
        <w:t xml:space="preserve"> مؤثر و </w:t>
      </w:r>
      <w:r w:rsidR="00AE5BE0" w:rsidRPr="0025250D">
        <w:rPr>
          <w:rFonts w:hint="cs"/>
          <w:rtl/>
        </w:rPr>
        <w:t>انطباقی</w:t>
      </w:r>
      <w:r w:rsidRPr="0025250D">
        <w:rPr>
          <w:rtl/>
        </w:rPr>
        <w:t xml:space="preserve"> ا</w:t>
      </w:r>
      <w:r w:rsidRPr="0025250D">
        <w:rPr>
          <w:rFonts w:hint="cs"/>
          <w:rtl/>
        </w:rPr>
        <w:t>ی</w:t>
      </w:r>
      <w:r w:rsidRPr="0025250D">
        <w:rPr>
          <w:rFonts w:hint="eastAsia"/>
          <w:rtl/>
        </w:rPr>
        <w:t>جاد</w:t>
      </w:r>
      <w:r w:rsidRPr="0025250D">
        <w:rPr>
          <w:rtl/>
        </w:rPr>
        <w:t xml:space="preserve"> کن</w:t>
      </w:r>
      <w:r w:rsidRPr="0025250D">
        <w:rPr>
          <w:rFonts w:hint="cs"/>
          <w:rtl/>
        </w:rPr>
        <w:t>ی</w:t>
      </w:r>
      <w:r w:rsidRPr="0025250D">
        <w:rPr>
          <w:rFonts w:hint="eastAsia"/>
          <w:rtl/>
        </w:rPr>
        <w:t>د،</w:t>
      </w:r>
      <w:r w:rsidRPr="0025250D">
        <w:rPr>
          <w:rtl/>
        </w:rPr>
        <w:t xml:space="preserve"> آن </w:t>
      </w:r>
      <w:r w:rsidR="00701E03" w:rsidRPr="0025250D">
        <w:rPr>
          <w:rtl/>
        </w:rPr>
        <w:t>راهبرد</w:t>
      </w:r>
      <w:r w:rsidRPr="0025250D">
        <w:rPr>
          <w:rtl/>
        </w:rPr>
        <w:t xml:space="preserve"> را عمل</w:t>
      </w:r>
      <w:r w:rsidRPr="0025250D">
        <w:rPr>
          <w:rFonts w:hint="cs"/>
          <w:rtl/>
        </w:rPr>
        <w:t>ی</w:t>
      </w:r>
      <w:r w:rsidRPr="0025250D">
        <w:rPr>
          <w:rtl/>
        </w:rPr>
        <w:t xml:space="preserve"> کن</w:t>
      </w:r>
      <w:r w:rsidRPr="0025250D">
        <w:rPr>
          <w:rFonts w:hint="cs"/>
          <w:rtl/>
        </w:rPr>
        <w:t>ی</w:t>
      </w:r>
      <w:r w:rsidRPr="0025250D">
        <w:rPr>
          <w:rFonts w:hint="eastAsia"/>
          <w:rtl/>
        </w:rPr>
        <w:t>د،</w:t>
      </w:r>
      <w:r w:rsidRPr="0025250D">
        <w:rPr>
          <w:rtl/>
        </w:rPr>
        <w:t xml:space="preserve"> تأث</w:t>
      </w:r>
      <w:r w:rsidRPr="0025250D">
        <w:rPr>
          <w:rFonts w:hint="cs"/>
          <w:rtl/>
        </w:rPr>
        <w:t>ی</w:t>
      </w:r>
      <w:r w:rsidRPr="0025250D">
        <w:rPr>
          <w:rFonts w:hint="eastAsia"/>
          <w:rtl/>
        </w:rPr>
        <w:t>ر</w:t>
      </w:r>
      <w:r w:rsidRPr="0025250D">
        <w:rPr>
          <w:rtl/>
        </w:rPr>
        <w:t xml:space="preserve"> آن را ارز</w:t>
      </w:r>
      <w:r w:rsidRPr="0025250D">
        <w:rPr>
          <w:rFonts w:hint="cs"/>
          <w:rtl/>
        </w:rPr>
        <w:t>ی</w:t>
      </w:r>
      <w:r w:rsidRPr="0025250D">
        <w:rPr>
          <w:rFonts w:hint="eastAsia"/>
          <w:rtl/>
        </w:rPr>
        <w:t>اب</w:t>
      </w:r>
      <w:r w:rsidRPr="0025250D">
        <w:rPr>
          <w:rFonts w:hint="cs"/>
          <w:rtl/>
        </w:rPr>
        <w:t>ی</w:t>
      </w:r>
      <w:r w:rsidRPr="0025250D">
        <w:rPr>
          <w:rtl/>
        </w:rPr>
        <w:t xml:space="preserve"> کن</w:t>
      </w:r>
      <w:r w:rsidRPr="0025250D">
        <w:rPr>
          <w:rFonts w:hint="cs"/>
          <w:rtl/>
        </w:rPr>
        <w:t>ی</w:t>
      </w:r>
      <w:r w:rsidRPr="0025250D">
        <w:rPr>
          <w:rFonts w:hint="eastAsia"/>
          <w:rtl/>
        </w:rPr>
        <w:t>د</w:t>
      </w:r>
      <w:r w:rsidRPr="0025250D">
        <w:rPr>
          <w:rtl/>
        </w:rPr>
        <w:t xml:space="preserve"> و در دن</w:t>
      </w:r>
      <w:r w:rsidRPr="0025250D">
        <w:rPr>
          <w:rFonts w:hint="cs"/>
          <w:rtl/>
        </w:rPr>
        <w:t>ی</w:t>
      </w:r>
      <w:r w:rsidRPr="0025250D">
        <w:rPr>
          <w:rFonts w:hint="eastAsia"/>
          <w:rtl/>
        </w:rPr>
        <w:t>ا</w:t>
      </w:r>
      <w:r w:rsidRPr="0025250D">
        <w:rPr>
          <w:rFonts w:hint="cs"/>
          <w:rtl/>
        </w:rPr>
        <w:t>ی</w:t>
      </w:r>
      <w:r w:rsidRPr="0025250D">
        <w:rPr>
          <w:rtl/>
        </w:rPr>
        <w:t xml:space="preserve"> داستان‌های آ</w:t>
      </w:r>
      <w:r w:rsidRPr="0025250D">
        <w:rPr>
          <w:rFonts w:hint="cs"/>
          <w:rtl/>
        </w:rPr>
        <w:t>ی</w:t>
      </w:r>
      <w:r w:rsidRPr="0025250D">
        <w:rPr>
          <w:rFonts w:hint="eastAsia"/>
          <w:rtl/>
        </w:rPr>
        <w:t>نده</w:t>
      </w:r>
      <w:r w:rsidRPr="0025250D">
        <w:rPr>
          <w:rtl/>
        </w:rPr>
        <w:t xml:space="preserve"> حرکت کن</w:t>
      </w:r>
      <w:r w:rsidRPr="0025250D">
        <w:rPr>
          <w:rFonts w:hint="cs"/>
          <w:rtl/>
        </w:rPr>
        <w:t>ی</w:t>
      </w:r>
      <w:r w:rsidRPr="0025250D">
        <w:rPr>
          <w:rFonts w:hint="eastAsia"/>
          <w:rtl/>
        </w:rPr>
        <w:t>د</w:t>
      </w:r>
      <w:r w:rsidRPr="0025250D">
        <w:rPr>
          <w:rtl/>
        </w:rPr>
        <w:t xml:space="preserve">. </w:t>
      </w:r>
      <w:r w:rsidR="007118DE" w:rsidRPr="0025250D">
        <w:rPr>
          <w:rtl/>
        </w:rPr>
        <w:t>همان‌طور</w:t>
      </w:r>
      <w:r w:rsidRPr="0025250D">
        <w:rPr>
          <w:rtl/>
        </w:rPr>
        <w:t xml:space="preserve"> </w:t>
      </w:r>
      <w:r w:rsidRPr="0025250D">
        <w:rPr>
          <w:rFonts w:hint="eastAsia"/>
          <w:rtl/>
        </w:rPr>
        <w:t>که</w:t>
      </w:r>
      <w:r w:rsidRPr="0025250D">
        <w:rPr>
          <w:rtl/>
        </w:rPr>
        <w:t xml:space="preserve"> خواه</w:t>
      </w:r>
      <w:r w:rsidRPr="0025250D">
        <w:rPr>
          <w:rFonts w:hint="cs"/>
          <w:rtl/>
        </w:rPr>
        <w:t>ی</w:t>
      </w:r>
      <w:r w:rsidRPr="0025250D">
        <w:rPr>
          <w:rFonts w:hint="eastAsia"/>
          <w:rtl/>
        </w:rPr>
        <w:t>م</w:t>
      </w:r>
      <w:r w:rsidRPr="0025250D">
        <w:rPr>
          <w:rtl/>
        </w:rPr>
        <w:t xml:space="preserve"> د</w:t>
      </w:r>
      <w:r w:rsidRPr="0025250D">
        <w:rPr>
          <w:rFonts w:hint="cs"/>
          <w:rtl/>
        </w:rPr>
        <w:t>ی</w:t>
      </w:r>
      <w:r w:rsidRPr="0025250D">
        <w:rPr>
          <w:rFonts w:hint="eastAsia"/>
          <w:rtl/>
        </w:rPr>
        <w:t>د،</w:t>
      </w:r>
      <w:r w:rsidRPr="0025250D">
        <w:rPr>
          <w:rtl/>
        </w:rPr>
        <w:t xml:space="preserve"> بس</w:t>
      </w:r>
      <w:r w:rsidRPr="0025250D">
        <w:rPr>
          <w:rFonts w:hint="cs"/>
          <w:rtl/>
        </w:rPr>
        <w:t>ی</w:t>
      </w:r>
      <w:r w:rsidRPr="0025250D">
        <w:rPr>
          <w:rFonts w:hint="eastAsia"/>
          <w:rtl/>
        </w:rPr>
        <w:t>ار</w:t>
      </w:r>
      <w:r w:rsidRPr="0025250D">
        <w:rPr>
          <w:rFonts w:hint="cs"/>
          <w:rtl/>
        </w:rPr>
        <w:t>ی</w:t>
      </w:r>
      <w:r w:rsidRPr="0025250D">
        <w:rPr>
          <w:rtl/>
        </w:rPr>
        <w:t xml:space="preserve"> از داستان‌های محبوب در مورد آ</w:t>
      </w:r>
      <w:r w:rsidRPr="0025250D">
        <w:rPr>
          <w:rFonts w:hint="cs"/>
          <w:rtl/>
        </w:rPr>
        <w:t>ی</w:t>
      </w:r>
      <w:r w:rsidRPr="0025250D">
        <w:rPr>
          <w:rFonts w:hint="eastAsia"/>
          <w:rtl/>
        </w:rPr>
        <w:t>نده</w:t>
      </w:r>
      <w:r w:rsidRPr="0025250D">
        <w:rPr>
          <w:rtl/>
        </w:rPr>
        <w:t xml:space="preserve"> هم سرگرم‌کننده و هم غیرواقعی هستند. تمام داستان‌های آ</w:t>
      </w:r>
      <w:r w:rsidRPr="0025250D">
        <w:rPr>
          <w:rFonts w:hint="cs"/>
          <w:rtl/>
        </w:rPr>
        <w:t>ی</w:t>
      </w:r>
      <w:r w:rsidRPr="0025250D">
        <w:rPr>
          <w:rFonts w:hint="eastAsia"/>
          <w:rtl/>
        </w:rPr>
        <w:t>نده</w:t>
      </w:r>
      <w:r w:rsidRPr="0025250D">
        <w:rPr>
          <w:rtl/>
        </w:rPr>
        <w:t xml:space="preserve"> برا</w:t>
      </w:r>
      <w:r w:rsidRPr="0025250D">
        <w:rPr>
          <w:rFonts w:hint="cs"/>
          <w:rtl/>
        </w:rPr>
        <w:t>ی</w:t>
      </w:r>
      <w:r w:rsidRPr="0025250D">
        <w:rPr>
          <w:rtl/>
        </w:rPr>
        <w:t xml:space="preserve"> برآورده کردن </w:t>
      </w:r>
      <w:r w:rsidRPr="0025250D">
        <w:rPr>
          <w:rFonts w:hint="cs"/>
          <w:rtl/>
        </w:rPr>
        <w:t>ی</w:t>
      </w:r>
      <w:r w:rsidRPr="0025250D">
        <w:rPr>
          <w:rFonts w:hint="eastAsia"/>
          <w:rtl/>
        </w:rPr>
        <w:t>ک</w:t>
      </w:r>
      <w:r w:rsidRPr="0025250D">
        <w:rPr>
          <w:rtl/>
        </w:rPr>
        <w:t xml:space="preserve"> خواسته </w:t>
      </w:r>
      <w:r w:rsidRPr="0025250D">
        <w:rPr>
          <w:rFonts w:hint="cs"/>
          <w:rtl/>
        </w:rPr>
        <w:t>ی</w:t>
      </w:r>
      <w:r w:rsidRPr="0025250D">
        <w:rPr>
          <w:rFonts w:hint="eastAsia"/>
          <w:rtl/>
        </w:rPr>
        <w:t>ا</w:t>
      </w:r>
      <w:r w:rsidRPr="0025250D">
        <w:rPr>
          <w:rtl/>
        </w:rPr>
        <w:t xml:space="preserve"> پ</w:t>
      </w:r>
      <w:r w:rsidRPr="0025250D">
        <w:rPr>
          <w:rFonts w:hint="cs"/>
          <w:rtl/>
        </w:rPr>
        <w:t>ی</w:t>
      </w:r>
      <w:r w:rsidRPr="0025250D">
        <w:rPr>
          <w:rFonts w:hint="eastAsia"/>
          <w:rtl/>
        </w:rPr>
        <w:t>شبرد</w:t>
      </w:r>
      <w:r w:rsidRPr="0025250D">
        <w:rPr>
          <w:rtl/>
        </w:rPr>
        <w:t xml:space="preserve"> </w:t>
      </w:r>
      <w:r w:rsidRPr="0025250D">
        <w:rPr>
          <w:rFonts w:hint="cs"/>
          <w:rtl/>
        </w:rPr>
        <w:t>ی</w:t>
      </w:r>
      <w:r w:rsidRPr="0025250D">
        <w:rPr>
          <w:rFonts w:hint="eastAsia"/>
          <w:rtl/>
        </w:rPr>
        <w:t>ک</w:t>
      </w:r>
      <w:r w:rsidRPr="0025250D">
        <w:rPr>
          <w:rtl/>
        </w:rPr>
        <w:t xml:space="preserve"> برنامه، </w:t>
      </w:r>
      <w:r w:rsidR="00B67B12" w:rsidRPr="0025250D">
        <w:rPr>
          <w:rFonts w:hint="cs"/>
          <w:rtl/>
        </w:rPr>
        <w:t xml:space="preserve">به صورت </w:t>
      </w:r>
      <w:r w:rsidRPr="0025250D">
        <w:rPr>
          <w:rtl/>
        </w:rPr>
        <w:t xml:space="preserve">آگاهانه </w:t>
      </w:r>
      <w:r w:rsidRPr="0025250D">
        <w:rPr>
          <w:rFonts w:hint="cs"/>
          <w:rtl/>
        </w:rPr>
        <w:t>ی</w:t>
      </w:r>
      <w:r w:rsidRPr="0025250D">
        <w:rPr>
          <w:rFonts w:hint="eastAsia"/>
          <w:rtl/>
        </w:rPr>
        <w:t>ا</w:t>
      </w:r>
      <w:r w:rsidRPr="0025250D">
        <w:rPr>
          <w:rtl/>
        </w:rPr>
        <w:t xml:space="preserve"> ناخودآگاه</w:t>
      </w:r>
      <w:r w:rsidR="00B67B12" w:rsidRPr="0025250D">
        <w:rPr>
          <w:rFonts w:hint="cs"/>
          <w:rtl/>
        </w:rPr>
        <w:t xml:space="preserve"> و</w:t>
      </w:r>
      <w:r w:rsidRPr="0025250D">
        <w:rPr>
          <w:rtl/>
        </w:rPr>
        <w:t xml:space="preserve"> </w:t>
      </w:r>
      <w:r w:rsidRPr="0025250D">
        <w:rPr>
          <w:rFonts w:hint="cs"/>
          <w:rtl/>
        </w:rPr>
        <w:t xml:space="preserve">از روی قصد </w:t>
      </w:r>
      <w:r w:rsidRPr="0025250D">
        <w:rPr>
          <w:rtl/>
        </w:rPr>
        <w:t xml:space="preserve">خوب </w:t>
      </w:r>
      <w:r w:rsidRPr="0025250D">
        <w:rPr>
          <w:rFonts w:hint="cs"/>
          <w:rtl/>
        </w:rPr>
        <w:t>ی</w:t>
      </w:r>
      <w:r w:rsidRPr="0025250D">
        <w:rPr>
          <w:rFonts w:hint="eastAsia"/>
          <w:rtl/>
        </w:rPr>
        <w:t>ا</w:t>
      </w:r>
      <w:r w:rsidRPr="0025250D">
        <w:rPr>
          <w:rtl/>
        </w:rPr>
        <w:t xml:space="preserve"> بد، گفته م</w:t>
      </w:r>
      <w:r w:rsidRPr="0025250D">
        <w:rPr>
          <w:rFonts w:hint="cs"/>
          <w:rtl/>
        </w:rPr>
        <w:t>ی‌</w:t>
      </w:r>
      <w:r w:rsidRPr="0025250D">
        <w:rPr>
          <w:rFonts w:hint="eastAsia"/>
          <w:rtl/>
        </w:rPr>
        <w:t>شو</w:t>
      </w:r>
      <w:r w:rsidRPr="0025250D">
        <w:rPr>
          <w:rFonts w:hint="cs"/>
          <w:rtl/>
        </w:rPr>
        <w:t>ن</w:t>
      </w:r>
      <w:r w:rsidRPr="0025250D">
        <w:rPr>
          <w:rFonts w:hint="eastAsia"/>
          <w:rtl/>
        </w:rPr>
        <w:t>د</w:t>
      </w:r>
      <w:r w:rsidRPr="0025250D">
        <w:rPr>
          <w:rtl/>
        </w:rPr>
        <w:t>.</w:t>
      </w:r>
      <w:r w:rsidRPr="0025250D">
        <w:rPr>
          <w:rFonts w:hint="cs"/>
          <w:rtl/>
        </w:rPr>
        <w:t xml:space="preserve"> </w:t>
      </w:r>
      <w:r w:rsidRPr="0025250D">
        <w:rPr>
          <w:rtl/>
        </w:rPr>
        <w:t>رهبران بزرگ با</w:t>
      </w:r>
      <w:r w:rsidRPr="0025250D">
        <w:rPr>
          <w:rFonts w:hint="cs"/>
          <w:rtl/>
        </w:rPr>
        <w:t>ی</w:t>
      </w:r>
      <w:r w:rsidRPr="0025250D">
        <w:rPr>
          <w:rFonts w:hint="eastAsia"/>
          <w:rtl/>
        </w:rPr>
        <w:t>د</w:t>
      </w:r>
      <w:r w:rsidRPr="0025250D">
        <w:rPr>
          <w:rtl/>
        </w:rPr>
        <w:t xml:space="preserve"> ب</w:t>
      </w:r>
      <w:r w:rsidRPr="0025250D">
        <w:rPr>
          <w:rFonts w:hint="cs"/>
          <w:rtl/>
        </w:rPr>
        <w:t>ی</w:t>
      </w:r>
      <w:r w:rsidRPr="0025250D">
        <w:rPr>
          <w:rFonts w:hint="eastAsia"/>
          <w:rtl/>
        </w:rPr>
        <w:t>اموزند</w:t>
      </w:r>
      <w:r w:rsidRPr="0025250D">
        <w:rPr>
          <w:rtl/>
        </w:rPr>
        <w:t xml:space="preserve"> که داستان‌های</w:t>
      </w:r>
      <w:r w:rsidR="00315834" w:rsidRPr="0025250D">
        <w:rPr>
          <w:rFonts w:hint="cs"/>
          <w:rtl/>
        </w:rPr>
        <w:t xml:space="preserve"> </w:t>
      </w:r>
      <w:r w:rsidR="00315834" w:rsidRPr="0025250D">
        <w:rPr>
          <w:rtl/>
        </w:rPr>
        <w:t>کارآمد</w:t>
      </w:r>
      <w:r w:rsidR="00315834" w:rsidRPr="0025250D">
        <w:rPr>
          <w:rFonts w:hint="cs"/>
          <w:rtl/>
        </w:rPr>
        <w:t xml:space="preserve"> در مورد</w:t>
      </w:r>
      <w:r w:rsidRPr="0025250D">
        <w:rPr>
          <w:rtl/>
        </w:rPr>
        <w:t xml:space="preserve"> آ</w:t>
      </w:r>
      <w:r w:rsidRPr="0025250D">
        <w:rPr>
          <w:rFonts w:hint="cs"/>
          <w:rtl/>
        </w:rPr>
        <w:t>ی</w:t>
      </w:r>
      <w:r w:rsidRPr="0025250D">
        <w:rPr>
          <w:rFonts w:hint="eastAsia"/>
          <w:rtl/>
        </w:rPr>
        <w:t>نده</w:t>
      </w:r>
      <w:r w:rsidRPr="0025250D">
        <w:rPr>
          <w:rtl/>
        </w:rPr>
        <w:t xml:space="preserve"> را برا</w:t>
      </w:r>
      <w:r w:rsidRPr="0025250D">
        <w:rPr>
          <w:rFonts w:hint="cs"/>
          <w:rtl/>
        </w:rPr>
        <w:t>ی</w:t>
      </w:r>
      <w:r w:rsidRPr="0025250D">
        <w:rPr>
          <w:rtl/>
        </w:rPr>
        <w:t xml:space="preserve"> اهداف</w:t>
      </w:r>
      <w:r w:rsidR="00315834" w:rsidRPr="0025250D">
        <w:rPr>
          <w:rFonts w:hint="cs"/>
          <w:rtl/>
        </w:rPr>
        <w:t xml:space="preserve"> </w:t>
      </w:r>
      <w:r w:rsidRPr="0025250D">
        <w:rPr>
          <w:rtl/>
        </w:rPr>
        <w:t xml:space="preserve">مختلف </w:t>
      </w:r>
      <w:r w:rsidRPr="0025250D">
        <w:rPr>
          <w:rFonts w:hint="cs"/>
          <w:rtl/>
        </w:rPr>
        <w:t>ایجاد کنند</w:t>
      </w:r>
      <w:r w:rsidRPr="0025250D">
        <w:rPr>
          <w:rtl/>
        </w:rPr>
        <w:t xml:space="preserve"> و تمام </w:t>
      </w:r>
      <w:r w:rsidRPr="0025250D">
        <w:rPr>
          <w:rFonts w:hint="cs"/>
          <w:rtl/>
        </w:rPr>
        <w:t>نویزها</w:t>
      </w:r>
      <w:r w:rsidRPr="0025250D">
        <w:rPr>
          <w:rtl/>
        </w:rPr>
        <w:t>، برنامه‌ها و ه</w:t>
      </w:r>
      <w:r w:rsidRPr="0025250D">
        <w:rPr>
          <w:rFonts w:hint="cs"/>
          <w:rtl/>
        </w:rPr>
        <w:t>ی</w:t>
      </w:r>
      <w:r w:rsidRPr="0025250D">
        <w:rPr>
          <w:rFonts w:hint="eastAsia"/>
          <w:rtl/>
        </w:rPr>
        <w:t>اهوها</w:t>
      </w:r>
      <w:r w:rsidRPr="0025250D">
        <w:rPr>
          <w:rtl/>
        </w:rPr>
        <w:t xml:space="preserve"> را در داستان‌های د</w:t>
      </w:r>
      <w:r w:rsidRPr="0025250D">
        <w:rPr>
          <w:rFonts w:hint="cs"/>
          <w:rtl/>
        </w:rPr>
        <w:t>ی</w:t>
      </w:r>
      <w:r w:rsidRPr="0025250D">
        <w:rPr>
          <w:rFonts w:hint="eastAsia"/>
          <w:rtl/>
        </w:rPr>
        <w:t>گران</w:t>
      </w:r>
      <w:r w:rsidRPr="0025250D">
        <w:rPr>
          <w:rtl/>
        </w:rPr>
        <w:t xml:space="preserve"> بب</w:t>
      </w:r>
      <w:r w:rsidRPr="0025250D">
        <w:rPr>
          <w:rFonts w:hint="cs"/>
          <w:rtl/>
        </w:rPr>
        <w:t>ی</w:t>
      </w:r>
      <w:r w:rsidRPr="0025250D">
        <w:rPr>
          <w:rFonts w:hint="eastAsia"/>
          <w:rtl/>
        </w:rPr>
        <w:t>نند</w:t>
      </w:r>
      <w:r w:rsidRPr="0025250D">
        <w:rPr>
          <w:rtl/>
        </w:rPr>
        <w:t xml:space="preserve"> و شواهد، روندها و </w:t>
      </w:r>
      <w:r w:rsidRPr="0025250D">
        <w:rPr>
          <w:rFonts w:hint="cs"/>
          <w:rtl/>
        </w:rPr>
        <w:t>نشانک‌هایی</w:t>
      </w:r>
      <w:r w:rsidRPr="0025250D">
        <w:rPr>
          <w:rtl/>
        </w:rPr>
        <w:t xml:space="preserve"> را که برا</w:t>
      </w:r>
      <w:r w:rsidRPr="0025250D">
        <w:rPr>
          <w:rFonts w:hint="cs"/>
          <w:rtl/>
        </w:rPr>
        <w:t>ی</w:t>
      </w:r>
      <w:r w:rsidRPr="0025250D">
        <w:rPr>
          <w:rtl/>
        </w:rPr>
        <w:t xml:space="preserve"> هدا</w:t>
      </w:r>
      <w:r w:rsidRPr="0025250D">
        <w:rPr>
          <w:rFonts w:hint="cs"/>
          <w:rtl/>
        </w:rPr>
        <w:t>ی</w:t>
      </w:r>
      <w:r w:rsidRPr="0025250D">
        <w:rPr>
          <w:rFonts w:hint="eastAsia"/>
          <w:rtl/>
        </w:rPr>
        <w:t>ت</w:t>
      </w:r>
      <w:r w:rsidRPr="0025250D">
        <w:rPr>
          <w:rtl/>
        </w:rPr>
        <w:t xml:space="preserve"> </w:t>
      </w:r>
      <w:r w:rsidR="00701E03" w:rsidRPr="0025250D">
        <w:rPr>
          <w:rtl/>
        </w:rPr>
        <w:t>راهبرد</w:t>
      </w:r>
      <w:r w:rsidRPr="0025250D">
        <w:rPr>
          <w:rtl/>
        </w:rPr>
        <w:t xml:space="preserve"> ن</w:t>
      </w:r>
      <w:r w:rsidRPr="0025250D">
        <w:rPr>
          <w:rFonts w:hint="cs"/>
          <w:rtl/>
        </w:rPr>
        <w:t>ی</w:t>
      </w:r>
      <w:r w:rsidRPr="0025250D">
        <w:rPr>
          <w:rFonts w:hint="eastAsia"/>
          <w:rtl/>
        </w:rPr>
        <w:t>از</w:t>
      </w:r>
      <w:r w:rsidRPr="0025250D">
        <w:rPr>
          <w:rtl/>
        </w:rPr>
        <w:t xml:space="preserve"> دارند، کشف کنند.</w:t>
      </w:r>
    </w:p>
    <w:p w14:paraId="3F593343" w14:textId="77777777" w:rsidR="006A42A9" w:rsidRPr="0025250D" w:rsidRDefault="006A42A9" w:rsidP="00B219EF">
      <w:pPr>
        <w:rPr>
          <w:rtl/>
        </w:rPr>
        <w:sectPr w:rsidR="006A42A9" w:rsidRPr="0025250D" w:rsidSect="00C12260">
          <w:footnotePr>
            <w:numRestart w:val="eachPage"/>
          </w:footnotePr>
          <w:pgSz w:w="11906" w:h="16838"/>
          <w:pgMar w:top="1418" w:right="1418" w:bottom="1418" w:left="1418" w:header="720" w:footer="720" w:gutter="0"/>
          <w:cols w:space="720"/>
          <w:bidi/>
          <w:rtlGutter/>
          <w:docGrid w:linePitch="360"/>
        </w:sectPr>
      </w:pPr>
    </w:p>
    <w:p w14:paraId="194B2835" w14:textId="6D2A8DB7" w:rsidR="005A11B4" w:rsidRPr="0025250D" w:rsidRDefault="006A42A9" w:rsidP="005A11B4">
      <w:pPr>
        <w:pStyle w:val="TOC1"/>
        <w:rPr>
          <w:rFonts w:asciiTheme="minorHAnsi" w:eastAsiaTheme="minorEastAsia" w:hAnsiTheme="minorHAnsi" w:cstheme="minorBidi"/>
          <w:noProof/>
          <w:sz w:val="22"/>
          <w:rtl/>
          <w:lang w:bidi="ar-SA"/>
        </w:rPr>
      </w:pPr>
      <w:r w:rsidRPr="0025250D">
        <w:rPr>
          <w:rtl/>
        </w:rPr>
        <w:lastRenderedPageBreak/>
        <w:fldChar w:fldCharType="begin"/>
      </w:r>
      <w:r w:rsidRPr="0025250D">
        <w:rPr>
          <w:rtl/>
        </w:rPr>
        <w:instrText xml:space="preserve"> </w:instrText>
      </w:r>
      <w:r w:rsidRPr="0025250D">
        <w:rPr>
          <w:rFonts w:hint="cs"/>
        </w:rPr>
        <w:instrText>TOC</w:instrText>
      </w:r>
      <w:r w:rsidRPr="0025250D">
        <w:rPr>
          <w:rFonts w:hint="cs"/>
          <w:rtl/>
        </w:rPr>
        <w:instrText xml:space="preserve"> \</w:instrText>
      </w:r>
      <w:r w:rsidRPr="0025250D">
        <w:rPr>
          <w:rFonts w:hint="cs"/>
        </w:rPr>
        <w:instrText>o "1-2" \h \z \u</w:instrText>
      </w:r>
      <w:r w:rsidRPr="0025250D">
        <w:rPr>
          <w:rtl/>
        </w:rPr>
        <w:instrText xml:space="preserve"> </w:instrText>
      </w:r>
      <w:r w:rsidRPr="0025250D">
        <w:rPr>
          <w:rtl/>
        </w:rPr>
        <w:fldChar w:fldCharType="separate"/>
      </w:r>
      <w:hyperlink w:anchor="_Toc127831267" w:history="1">
        <w:r w:rsidR="005A11B4" w:rsidRPr="0025250D">
          <w:rPr>
            <w:rStyle w:val="Hyperlink"/>
            <w:noProof/>
          </w:rPr>
          <w:t>1-</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فصل 1: مقدمه‌ا</w:t>
        </w:r>
        <w:r w:rsidR="005A11B4" w:rsidRPr="0025250D">
          <w:rPr>
            <w:rStyle w:val="Hyperlink"/>
            <w:rFonts w:hint="cs"/>
            <w:noProof/>
            <w:rtl/>
          </w:rPr>
          <w:t>ی</w:t>
        </w:r>
        <w:r w:rsidR="005A11B4" w:rsidRPr="0025250D">
          <w:rPr>
            <w:rStyle w:val="Hyperlink"/>
            <w:noProof/>
            <w:rtl/>
          </w:rPr>
          <w:t xml:space="preserve"> بر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w:t>
        </w:r>
        <w:r w:rsidR="005A11B4" w:rsidRPr="0025250D">
          <w:rPr>
            <w:rStyle w:val="Hyperlink"/>
            <w:rFonts w:cs="Times New Roman"/>
            <w:noProof/>
            <w:rtl/>
          </w:rPr>
          <w:t>–</w:t>
        </w:r>
        <w:r w:rsidR="005A11B4" w:rsidRPr="0025250D">
          <w:rPr>
            <w:rStyle w:val="Hyperlink"/>
            <w:noProof/>
            <w:rtl/>
          </w:rPr>
          <w:t xml:space="preserve"> بزرگ‌تر</w:t>
        </w:r>
        <w:r w:rsidR="005A11B4" w:rsidRPr="0025250D">
          <w:rPr>
            <w:rStyle w:val="Hyperlink"/>
            <w:rFonts w:hint="cs"/>
            <w:noProof/>
            <w:rtl/>
          </w:rPr>
          <w:t>ی</w:t>
        </w:r>
        <w:r w:rsidR="005A11B4" w:rsidRPr="0025250D">
          <w:rPr>
            <w:rStyle w:val="Hyperlink"/>
            <w:rFonts w:hint="eastAsia"/>
            <w:noProof/>
            <w:rtl/>
          </w:rPr>
          <w:t>ن</w:t>
        </w:r>
        <w:r w:rsidR="005A11B4" w:rsidRPr="0025250D">
          <w:rPr>
            <w:rStyle w:val="Hyperlink"/>
            <w:noProof/>
            <w:rtl/>
          </w:rPr>
          <w:t xml:space="preserve"> موهبت بشر</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Toc127831267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18</w:t>
        </w:r>
        <w:r w:rsidR="005A11B4" w:rsidRPr="0025250D">
          <w:rPr>
            <w:noProof/>
            <w:webHidden/>
            <w:rtl/>
          </w:rPr>
          <w:fldChar w:fldCharType="end"/>
        </w:r>
      </w:hyperlink>
    </w:p>
    <w:p w14:paraId="7352423B" w14:textId="67A3BCCE"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268" w:history="1">
        <w:r w:rsidR="005A11B4" w:rsidRPr="0025250D">
          <w:rPr>
            <w:rStyle w:val="Hyperlink"/>
            <w:noProof/>
            <w:rtl/>
          </w:rPr>
          <w:t>1-1-</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چ</w:t>
        </w:r>
        <w:r w:rsidR="005A11B4" w:rsidRPr="0025250D">
          <w:rPr>
            <w:rStyle w:val="Hyperlink"/>
            <w:rFonts w:hint="cs"/>
            <w:noProof/>
            <w:rtl/>
          </w:rPr>
          <w:t>ی</w:t>
        </w:r>
        <w:r w:rsidR="005A11B4" w:rsidRPr="0025250D">
          <w:rPr>
            <w:rStyle w:val="Hyperlink"/>
            <w:rFonts w:hint="eastAsia"/>
            <w:noProof/>
            <w:rtl/>
          </w:rPr>
          <w:t>ست؟</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Toc127831268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19</w:t>
        </w:r>
        <w:r w:rsidR="005A11B4" w:rsidRPr="0025250D">
          <w:rPr>
            <w:noProof/>
            <w:webHidden/>
            <w:rtl/>
          </w:rPr>
          <w:fldChar w:fldCharType="end"/>
        </w:r>
      </w:hyperlink>
    </w:p>
    <w:p w14:paraId="35C3CE7D" w14:textId="7D684A5E"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269" w:history="1">
        <w:r w:rsidR="005A11B4" w:rsidRPr="0025250D">
          <w:rPr>
            <w:rStyle w:val="Hyperlink"/>
            <w:noProof/>
            <w:rtl/>
          </w:rPr>
          <w:t>1-2-</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فرد متخصص در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 </w:t>
        </w:r>
        <w:r w:rsidR="005A11B4" w:rsidRPr="0025250D">
          <w:rPr>
            <w:rStyle w:val="Hyperlink"/>
            <w:rFonts w:hint="cs"/>
            <w:noProof/>
            <w:rtl/>
          </w:rPr>
          <w:t>ی</w:t>
        </w:r>
        <w:r w:rsidR="005A11B4" w:rsidRPr="0025250D">
          <w:rPr>
            <w:rStyle w:val="Hyperlink"/>
            <w:rFonts w:hint="eastAsia"/>
            <w:noProof/>
            <w:rtl/>
          </w:rPr>
          <w:t>ک</w:t>
        </w:r>
        <w:r w:rsidR="005A11B4" w:rsidRPr="0025250D">
          <w:rPr>
            <w:rStyle w:val="Hyperlink"/>
            <w:noProof/>
            <w:rtl/>
          </w:rPr>
          <w:t xml:space="preserve"> تعر</w:t>
        </w:r>
        <w:r w:rsidR="005A11B4" w:rsidRPr="0025250D">
          <w:rPr>
            <w:rStyle w:val="Hyperlink"/>
            <w:rFonts w:hint="cs"/>
            <w:noProof/>
            <w:rtl/>
          </w:rPr>
          <w:t>ی</w:t>
        </w:r>
        <w:r w:rsidR="005A11B4" w:rsidRPr="0025250D">
          <w:rPr>
            <w:rStyle w:val="Hyperlink"/>
            <w:rFonts w:hint="eastAsia"/>
            <w:noProof/>
            <w:rtl/>
          </w:rPr>
          <w:t>ف</w:t>
        </w:r>
        <w:r w:rsidR="005A11B4" w:rsidRPr="0025250D">
          <w:rPr>
            <w:rStyle w:val="Hyperlink"/>
            <w:noProof/>
            <w:rtl/>
          </w:rPr>
          <w:t xml:space="preserve"> ساده</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Toc127831269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24</w:t>
        </w:r>
        <w:r w:rsidR="005A11B4" w:rsidRPr="0025250D">
          <w:rPr>
            <w:noProof/>
            <w:webHidden/>
            <w:rtl/>
          </w:rPr>
          <w:fldChar w:fldCharType="end"/>
        </w:r>
      </w:hyperlink>
    </w:p>
    <w:p w14:paraId="33D57165" w14:textId="25FE37C1"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270" w:history="1">
        <w:r w:rsidR="005A11B4" w:rsidRPr="0025250D">
          <w:rPr>
            <w:rStyle w:val="Hyperlink"/>
            <w:noProof/>
            <w:rtl/>
          </w:rPr>
          <w:t>1-3-</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زم</w:t>
        </w:r>
        <w:r w:rsidR="005A11B4" w:rsidRPr="0025250D">
          <w:rPr>
            <w:rStyle w:val="Hyperlink"/>
            <w:rFonts w:hint="cs"/>
            <w:noProof/>
            <w:rtl/>
          </w:rPr>
          <w:t>ی</w:t>
        </w:r>
        <w:r w:rsidR="005A11B4" w:rsidRPr="0025250D">
          <w:rPr>
            <w:rStyle w:val="Hyperlink"/>
            <w:rFonts w:hint="eastAsia"/>
            <w:noProof/>
            <w:rtl/>
          </w:rPr>
          <w:t>نه</w:t>
        </w:r>
        <w:r w:rsidR="005A11B4" w:rsidRPr="0025250D">
          <w:rPr>
            <w:rStyle w:val="Hyperlink"/>
            <w:noProof/>
            <w:rtl/>
          </w:rPr>
          <w:t xml:space="preserve">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چ</w:t>
        </w:r>
        <w:r w:rsidR="005A11B4" w:rsidRPr="0025250D">
          <w:rPr>
            <w:rStyle w:val="Hyperlink"/>
            <w:rFonts w:hint="cs"/>
            <w:noProof/>
            <w:rtl/>
          </w:rPr>
          <w:t>ی</w:t>
        </w:r>
        <w:r w:rsidR="005A11B4" w:rsidRPr="0025250D">
          <w:rPr>
            <w:rStyle w:val="Hyperlink"/>
            <w:rFonts w:hint="eastAsia"/>
            <w:noProof/>
            <w:rtl/>
          </w:rPr>
          <w:t>ست؟</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Toc127831270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26</w:t>
        </w:r>
        <w:r w:rsidR="005A11B4" w:rsidRPr="0025250D">
          <w:rPr>
            <w:noProof/>
            <w:webHidden/>
            <w:rtl/>
          </w:rPr>
          <w:fldChar w:fldCharType="end"/>
        </w:r>
      </w:hyperlink>
    </w:p>
    <w:p w14:paraId="1E6BFD52" w14:textId="37F2CC45"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271" w:history="1">
        <w:r w:rsidR="005A11B4" w:rsidRPr="0025250D">
          <w:rPr>
            <w:rStyle w:val="Hyperlink"/>
            <w:noProof/>
            <w:rtl/>
          </w:rPr>
          <w:t>1-4-</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قاعده آنا کارن</w:t>
        </w:r>
        <w:r w:rsidR="005A11B4" w:rsidRPr="0025250D">
          <w:rPr>
            <w:rStyle w:val="Hyperlink"/>
            <w:rFonts w:hint="cs"/>
            <w:noProof/>
            <w:rtl/>
          </w:rPr>
          <w:t>ی</w:t>
        </w:r>
        <w:r w:rsidR="005A11B4" w:rsidRPr="0025250D">
          <w:rPr>
            <w:rStyle w:val="Hyperlink"/>
            <w:rFonts w:hint="eastAsia"/>
            <w:noProof/>
            <w:rtl/>
          </w:rPr>
          <w:t>نا</w:t>
        </w:r>
        <w:r w:rsidR="005A11B4" w:rsidRPr="0025250D">
          <w:rPr>
            <w:rStyle w:val="Hyperlink"/>
            <w:noProof/>
            <w:rtl/>
          </w:rPr>
          <w:t xml:space="preserve"> </w:t>
        </w:r>
        <w:r w:rsidR="005A11B4" w:rsidRPr="0025250D">
          <w:rPr>
            <w:rStyle w:val="Hyperlink"/>
            <w:rFonts w:cs="Times New Roman"/>
            <w:noProof/>
            <w:rtl/>
          </w:rPr>
          <w:t>–</w:t>
        </w:r>
        <w:r w:rsidR="005A11B4" w:rsidRPr="0025250D">
          <w:rPr>
            <w:rStyle w:val="Hyperlink"/>
            <w:noProof/>
            <w:rtl/>
          </w:rPr>
          <w:t xml:space="preserve"> </w:t>
        </w:r>
        <w:r w:rsidR="005A11B4" w:rsidRPr="0025250D">
          <w:rPr>
            <w:rStyle w:val="Hyperlink"/>
            <w:rFonts w:hint="cs"/>
            <w:noProof/>
            <w:rtl/>
          </w:rPr>
          <w:t>ی</w:t>
        </w:r>
        <w:r w:rsidR="005A11B4" w:rsidRPr="0025250D">
          <w:rPr>
            <w:rStyle w:val="Hyperlink"/>
            <w:rFonts w:hint="eastAsia"/>
            <w:noProof/>
            <w:rtl/>
          </w:rPr>
          <w:t>ک</w:t>
        </w:r>
        <w:r w:rsidR="005A11B4" w:rsidRPr="0025250D">
          <w:rPr>
            <w:rStyle w:val="Hyperlink"/>
            <w:noProof/>
            <w:rtl/>
          </w:rPr>
          <w:t xml:space="preserve"> فرض اساس</w:t>
        </w:r>
        <w:r w:rsidR="005A11B4" w:rsidRPr="0025250D">
          <w:rPr>
            <w:rStyle w:val="Hyperlink"/>
            <w:rFonts w:hint="cs"/>
            <w:noProof/>
            <w:rtl/>
          </w:rPr>
          <w:t>ی</w:t>
        </w:r>
        <w:r w:rsidR="005A11B4" w:rsidRPr="0025250D">
          <w:rPr>
            <w:rStyle w:val="Hyperlink"/>
            <w:noProof/>
            <w:rtl/>
          </w:rPr>
          <w:t xml:space="preserve"> ا</w:t>
        </w:r>
        <w:r w:rsidR="005A11B4" w:rsidRPr="0025250D">
          <w:rPr>
            <w:rStyle w:val="Hyperlink"/>
            <w:rFonts w:hint="cs"/>
            <w:noProof/>
            <w:rtl/>
          </w:rPr>
          <w:t>ی</w:t>
        </w:r>
        <w:r w:rsidR="005A11B4" w:rsidRPr="0025250D">
          <w:rPr>
            <w:rStyle w:val="Hyperlink"/>
            <w:rFonts w:hint="eastAsia"/>
            <w:noProof/>
            <w:rtl/>
          </w:rPr>
          <w:t>ن</w:t>
        </w:r>
        <w:r w:rsidR="005A11B4" w:rsidRPr="0025250D">
          <w:rPr>
            <w:rStyle w:val="Hyperlink"/>
            <w:noProof/>
            <w:rtl/>
          </w:rPr>
          <w:t xml:space="preserve"> کتاب راهنما</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Toc127831271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30</w:t>
        </w:r>
        <w:r w:rsidR="005A11B4" w:rsidRPr="0025250D">
          <w:rPr>
            <w:noProof/>
            <w:webHidden/>
            <w:rtl/>
          </w:rPr>
          <w:fldChar w:fldCharType="end"/>
        </w:r>
      </w:hyperlink>
    </w:p>
    <w:p w14:paraId="2FE1ED29" w14:textId="477880C1"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272" w:history="1">
        <w:r w:rsidR="005A11B4" w:rsidRPr="0025250D">
          <w:rPr>
            <w:rStyle w:val="Hyperlink"/>
            <w:noProof/>
            <w:rtl/>
          </w:rPr>
          <w:t>1-5-</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شش دامنه عمل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Toc127831272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32</w:t>
        </w:r>
        <w:r w:rsidR="005A11B4" w:rsidRPr="0025250D">
          <w:rPr>
            <w:noProof/>
            <w:webHidden/>
            <w:rtl/>
          </w:rPr>
          <w:fldChar w:fldCharType="end"/>
        </w:r>
      </w:hyperlink>
    </w:p>
    <w:p w14:paraId="0954047B" w14:textId="3F0386F8"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273" w:history="1">
        <w:r w:rsidR="005A11B4" w:rsidRPr="0025250D">
          <w:rPr>
            <w:rStyle w:val="Hyperlink"/>
            <w:noProof/>
            <w:rtl/>
          </w:rPr>
          <w:t>1-6-</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آ</w:t>
        </w:r>
        <w:r w:rsidR="005A11B4" w:rsidRPr="0025250D">
          <w:rPr>
            <w:rStyle w:val="Hyperlink"/>
            <w:rFonts w:hint="cs"/>
            <w:noProof/>
            <w:rtl/>
          </w:rPr>
          <w:t>ی</w:t>
        </w:r>
        <w:r w:rsidR="005A11B4" w:rsidRPr="0025250D">
          <w:rPr>
            <w:rStyle w:val="Hyperlink"/>
            <w:rFonts w:hint="eastAsia"/>
            <w:noProof/>
            <w:rtl/>
          </w:rPr>
          <w:t>نده‌پژوهان</w:t>
        </w:r>
        <w:r w:rsidR="005A11B4" w:rsidRPr="0025250D">
          <w:rPr>
            <w:rStyle w:val="Hyperlink"/>
            <w:noProof/>
            <w:rtl/>
          </w:rPr>
          <w:t xml:space="preserve"> در مقابل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noProof/>
            <w:rtl/>
          </w:rPr>
          <w:t>ان (راهبردشناسان): شما کدام مورد هست</w:t>
        </w:r>
        <w:r w:rsidR="005A11B4" w:rsidRPr="0025250D">
          <w:rPr>
            <w:rStyle w:val="Hyperlink"/>
            <w:rFonts w:hint="cs"/>
            <w:noProof/>
            <w:rtl/>
          </w:rPr>
          <w:t>ی</w:t>
        </w:r>
        <w:r w:rsidR="005A11B4" w:rsidRPr="0025250D">
          <w:rPr>
            <w:rStyle w:val="Hyperlink"/>
            <w:rFonts w:hint="eastAsia"/>
            <w:noProof/>
            <w:rtl/>
          </w:rPr>
          <w:t>د؟</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Toc127831273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36</w:t>
        </w:r>
        <w:r w:rsidR="005A11B4" w:rsidRPr="0025250D">
          <w:rPr>
            <w:noProof/>
            <w:webHidden/>
            <w:rtl/>
          </w:rPr>
          <w:fldChar w:fldCharType="end"/>
        </w:r>
      </w:hyperlink>
    </w:p>
    <w:p w14:paraId="773C9A34" w14:textId="78575A49"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274" w:history="1">
        <w:r w:rsidR="005A11B4" w:rsidRPr="0025250D">
          <w:rPr>
            <w:rStyle w:val="Hyperlink"/>
            <w:noProof/>
            <w:rtl/>
          </w:rPr>
          <w:t>1-7-</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تحل</w:t>
        </w:r>
        <w:r w:rsidR="005A11B4" w:rsidRPr="0025250D">
          <w:rPr>
            <w:rStyle w:val="Hyperlink"/>
            <w:rFonts w:hint="cs"/>
            <w:noProof/>
            <w:rtl/>
          </w:rPr>
          <w:t>ی</w:t>
        </w:r>
        <w:r w:rsidR="005A11B4" w:rsidRPr="0025250D">
          <w:rPr>
            <w:rStyle w:val="Hyperlink"/>
            <w:rFonts w:hint="eastAsia"/>
            <w:noProof/>
            <w:rtl/>
          </w:rPr>
          <w:t>ل</w:t>
        </w:r>
        <w:r w:rsidR="005A11B4" w:rsidRPr="0025250D">
          <w:rPr>
            <w:rStyle w:val="Hyperlink"/>
            <w:noProof/>
            <w:rtl/>
          </w:rPr>
          <w:t xml:space="preserve"> تغ</w:t>
        </w:r>
        <w:r w:rsidR="005A11B4" w:rsidRPr="0025250D">
          <w:rPr>
            <w:rStyle w:val="Hyperlink"/>
            <w:rFonts w:hint="cs"/>
            <w:noProof/>
            <w:rtl/>
          </w:rPr>
          <w:t>یی</w:t>
        </w:r>
        <w:r w:rsidR="005A11B4" w:rsidRPr="0025250D">
          <w:rPr>
            <w:rStyle w:val="Hyperlink"/>
            <w:rFonts w:hint="eastAsia"/>
            <w:noProof/>
            <w:rtl/>
          </w:rPr>
          <w:t>ر</w:t>
        </w:r>
        <w:r w:rsidR="005A11B4" w:rsidRPr="0025250D">
          <w:rPr>
            <w:rStyle w:val="Hyperlink"/>
            <w:noProof/>
            <w:rtl/>
          </w:rPr>
          <w:t>: هرم زمان (گذشته، آ</w:t>
        </w:r>
        <w:r w:rsidR="005A11B4" w:rsidRPr="0025250D">
          <w:rPr>
            <w:rStyle w:val="Hyperlink"/>
            <w:rFonts w:hint="cs"/>
            <w:noProof/>
            <w:rtl/>
          </w:rPr>
          <w:t>ی</w:t>
        </w:r>
        <w:r w:rsidR="005A11B4" w:rsidRPr="0025250D">
          <w:rPr>
            <w:rStyle w:val="Hyperlink"/>
            <w:rFonts w:hint="eastAsia"/>
            <w:noProof/>
            <w:rtl/>
          </w:rPr>
          <w:t>نده،</w:t>
        </w:r>
        <w:r w:rsidR="005A11B4" w:rsidRPr="0025250D">
          <w:rPr>
            <w:rStyle w:val="Hyperlink"/>
            <w:noProof/>
            <w:rtl/>
          </w:rPr>
          <w:t xml:space="preserve"> حال)</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Toc127831274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42</w:t>
        </w:r>
        <w:r w:rsidR="005A11B4" w:rsidRPr="0025250D">
          <w:rPr>
            <w:noProof/>
            <w:webHidden/>
            <w:rtl/>
          </w:rPr>
          <w:fldChar w:fldCharType="end"/>
        </w:r>
      </w:hyperlink>
    </w:p>
    <w:p w14:paraId="6AF4AD95" w14:textId="1CE4CE99"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275" w:history="1">
        <w:r w:rsidR="005A11B4" w:rsidRPr="0025250D">
          <w:rPr>
            <w:rStyle w:val="Hyperlink"/>
            <w:noProof/>
            <w:rtl/>
          </w:rPr>
          <w:t>1-8-</w:t>
        </w:r>
        <w:r w:rsidR="005A11B4" w:rsidRPr="0025250D">
          <w:rPr>
            <w:rFonts w:asciiTheme="minorHAnsi" w:eastAsiaTheme="minorEastAsia" w:hAnsiTheme="minorHAnsi" w:cstheme="minorBidi"/>
            <w:noProof/>
            <w:sz w:val="22"/>
            <w:rtl/>
            <w:lang w:bidi="ar-SA"/>
          </w:rPr>
          <w:tab/>
        </w:r>
        <w:r w:rsidR="005A11B4" w:rsidRPr="0025250D">
          <w:rPr>
            <w:rStyle w:val="Hyperlink"/>
            <w:rFonts w:hint="cs"/>
            <w:noProof/>
            <w:rtl/>
          </w:rPr>
          <w:t>ی</w:t>
        </w:r>
        <w:r w:rsidR="005A11B4" w:rsidRPr="0025250D">
          <w:rPr>
            <w:rStyle w:val="Hyperlink"/>
            <w:rFonts w:hint="eastAsia"/>
            <w:noProof/>
            <w:rtl/>
          </w:rPr>
          <w:t>کپارچه‌ساز</w:t>
        </w:r>
        <w:r w:rsidR="005A11B4" w:rsidRPr="0025250D">
          <w:rPr>
            <w:rStyle w:val="Hyperlink"/>
            <w:rFonts w:hint="cs"/>
            <w:noProof/>
            <w:rtl/>
          </w:rPr>
          <w:t>ی</w:t>
        </w:r>
        <w:r w:rsidR="005A11B4" w:rsidRPr="0025250D">
          <w:rPr>
            <w:rStyle w:val="Hyperlink"/>
            <w:noProof/>
            <w:rtl/>
          </w:rPr>
          <w:t xml:space="preserve">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و عمل: حلقه انجام (حلقه </w:t>
        </w:r>
        <w:r w:rsidR="005A11B4" w:rsidRPr="0025250D">
          <w:rPr>
            <w:rStyle w:val="Hyperlink"/>
            <w:noProof/>
          </w:rPr>
          <w:t>LFAR</w:t>
        </w:r>
        <w:r w:rsidR="005A11B4" w:rsidRPr="0025250D">
          <w:rPr>
            <w:rStyle w:val="Hyperlink"/>
            <w:noProof/>
            <w:rtl/>
          </w:rPr>
          <w:t>)</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Toc127831275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47</w:t>
        </w:r>
        <w:r w:rsidR="005A11B4" w:rsidRPr="0025250D">
          <w:rPr>
            <w:noProof/>
            <w:webHidden/>
            <w:rtl/>
          </w:rPr>
          <w:fldChar w:fldCharType="end"/>
        </w:r>
      </w:hyperlink>
    </w:p>
    <w:p w14:paraId="47B40E29" w14:textId="130079D1"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276" w:history="1">
        <w:r w:rsidR="005A11B4" w:rsidRPr="0025250D">
          <w:rPr>
            <w:rStyle w:val="Hyperlink"/>
            <w:noProof/>
            <w:rtl/>
          </w:rPr>
          <w:t>1-9-</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افق‌ها</w:t>
        </w:r>
        <w:r w:rsidR="005A11B4" w:rsidRPr="0025250D">
          <w:rPr>
            <w:rStyle w:val="Hyperlink"/>
            <w:rFonts w:hint="cs"/>
            <w:noProof/>
            <w:rtl/>
          </w:rPr>
          <w:t>ی</w:t>
        </w:r>
        <w:r w:rsidR="005A11B4" w:rsidRPr="0025250D">
          <w:rPr>
            <w:rStyle w:val="Hyperlink"/>
            <w:noProof/>
            <w:rtl/>
          </w:rPr>
          <w:t xml:space="preserve"> حلقه انجام: قانون توان</w:t>
        </w:r>
        <w:r w:rsidR="005A11B4" w:rsidRPr="0025250D">
          <w:rPr>
            <w:rStyle w:val="Hyperlink"/>
            <w:rFonts w:hint="cs"/>
            <w:noProof/>
            <w:rtl/>
          </w:rPr>
          <w:t>ی</w:t>
        </w:r>
        <w:r w:rsidR="005A11B4" w:rsidRPr="0025250D">
          <w:rPr>
            <w:rStyle w:val="Hyperlink"/>
            <w:noProof/>
            <w:rtl/>
          </w:rPr>
          <w:t xml:space="preserve"> آ</w:t>
        </w:r>
        <w:r w:rsidR="005A11B4" w:rsidRPr="0025250D">
          <w:rPr>
            <w:rStyle w:val="Hyperlink"/>
            <w:rFonts w:hint="cs"/>
            <w:noProof/>
            <w:rtl/>
          </w:rPr>
          <w:t>ی</w:t>
        </w:r>
        <w:r w:rsidR="005A11B4" w:rsidRPr="0025250D">
          <w:rPr>
            <w:rStyle w:val="Hyperlink"/>
            <w:rFonts w:hint="eastAsia"/>
            <w:noProof/>
            <w:rtl/>
          </w:rPr>
          <w:t>نده‌ا</w:t>
        </w:r>
        <w:r w:rsidR="005A11B4" w:rsidRPr="0025250D">
          <w:rPr>
            <w:rStyle w:val="Hyperlink"/>
            <w:noProof/>
            <w:rtl/>
          </w:rPr>
          <w:t>ند</w:t>
        </w:r>
        <w:r w:rsidR="005A11B4" w:rsidRPr="0025250D">
          <w:rPr>
            <w:rStyle w:val="Hyperlink"/>
            <w:rFonts w:hint="cs"/>
            <w:noProof/>
            <w:rtl/>
          </w:rPr>
          <w:t>ی</w:t>
        </w:r>
        <w:r w:rsidR="005A11B4" w:rsidRPr="0025250D">
          <w:rPr>
            <w:rStyle w:val="Hyperlink"/>
            <w:rFonts w:hint="eastAsia"/>
            <w:noProof/>
            <w:rtl/>
          </w:rPr>
          <w:t>ش</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Toc127831276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53</w:t>
        </w:r>
        <w:r w:rsidR="005A11B4" w:rsidRPr="0025250D">
          <w:rPr>
            <w:noProof/>
            <w:webHidden/>
            <w:rtl/>
          </w:rPr>
          <w:fldChar w:fldCharType="end"/>
        </w:r>
      </w:hyperlink>
    </w:p>
    <w:p w14:paraId="61901D6C" w14:textId="0FB425C6" w:rsidR="005A11B4" w:rsidRPr="0025250D" w:rsidRDefault="007A207F">
      <w:pPr>
        <w:pStyle w:val="TOC2"/>
        <w:tabs>
          <w:tab w:val="left" w:pos="1100"/>
          <w:tab w:val="right" w:leader="dot" w:pos="9060"/>
        </w:tabs>
        <w:rPr>
          <w:rFonts w:asciiTheme="minorHAnsi" w:eastAsiaTheme="minorEastAsia" w:hAnsiTheme="minorHAnsi" w:cstheme="minorBidi"/>
          <w:noProof/>
          <w:sz w:val="22"/>
          <w:rtl/>
          <w:lang w:bidi="ar-SA"/>
        </w:rPr>
      </w:pPr>
      <w:hyperlink w:anchor="_Toc127831277" w:history="1">
        <w:r w:rsidR="005A11B4" w:rsidRPr="0025250D">
          <w:rPr>
            <w:rStyle w:val="Hyperlink"/>
            <w:noProof/>
            <w:rtl/>
          </w:rPr>
          <w:t>1-10-</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مد</w:t>
        </w:r>
        <w:r w:rsidR="005A11B4" w:rsidRPr="0025250D">
          <w:rPr>
            <w:rStyle w:val="Hyperlink"/>
            <w:rFonts w:hint="cs"/>
            <w:noProof/>
            <w:rtl/>
          </w:rPr>
          <w:t>ی</w:t>
        </w:r>
        <w:r w:rsidR="005A11B4" w:rsidRPr="0025250D">
          <w:rPr>
            <w:rStyle w:val="Hyperlink"/>
            <w:rFonts w:hint="eastAsia"/>
            <w:noProof/>
            <w:rtl/>
          </w:rPr>
          <w:t>ر</w:t>
        </w:r>
        <w:r w:rsidR="005A11B4" w:rsidRPr="0025250D">
          <w:rPr>
            <w:rStyle w:val="Hyperlink"/>
            <w:rFonts w:hint="cs"/>
            <w:noProof/>
            <w:rtl/>
          </w:rPr>
          <w:t>ی</w:t>
        </w:r>
        <w:r w:rsidR="005A11B4" w:rsidRPr="0025250D">
          <w:rPr>
            <w:rStyle w:val="Hyperlink"/>
            <w:rFonts w:hint="eastAsia"/>
            <w:noProof/>
            <w:rtl/>
          </w:rPr>
          <w:t>ت</w:t>
        </w:r>
        <w:r w:rsidR="005A11B4" w:rsidRPr="0025250D">
          <w:rPr>
            <w:rStyle w:val="Hyperlink"/>
            <w:noProof/>
            <w:rtl/>
          </w:rPr>
          <w:t xml:space="preserve"> تغ</w:t>
        </w:r>
        <w:r w:rsidR="005A11B4" w:rsidRPr="0025250D">
          <w:rPr>
            <w:rStyle w:val="Hyperlink"/>
            <w:rFonts w:hint="cs"/>
            <w:noProof/>
            <w:rtl/>
          </w:rPr>
          <w:t>یی</w:t>
        </w:r>
        <w:r w:rsidR="005A11B4" w:rsidRPr="0025250D">
          <w:rPr>
            <w:rStyle w:val="Hyperlink"/>
            <w:rFonts w:hint="eastAsia"/>
            <w:noProof/>
            <w:rtl/>
          </w:rPr>
          <w:t>ر</w:t>
        </w:r>
        <w:r w:rsidR="005A11B4" w:rsidRPr="0025250D">
          <w:rPr>
            <w:rStyle w:val="Hyperlink"/>
            <w:noProof/>
            <w:rtl/>
          </w:rPr>
          <w:t>: هرم تکامل</w:t>
        </w:r>
        <w:r w:rsidR="005A11B4" w:rsidRPr="0025250D">
          <w:rPr>
            <w:rStyle w:val="Hyperlink"/>
            <w:rFonts w:hint="cs"/>
            <w:noProof/>
            <w:rtl/>
          </w:rPr>
          <w:t>ی</w:t>
        </w:r>
        <w:r w:rsidR="005A11B4" w:rsidRPr="0025250D">
          <w:rPr>
            <w:rStyle w:val="Hyperlink"/>
            <w:noProof/>
            <w:rtl/>
          </w:rPr>
          <w:t>-توسعه‌ا</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Toc127831277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56</w:t>
        </w:r>
        <w:r w:rsidR="005A11B4" w:rsidRPr="0025250D">
          <w:rPr>
            <w:noProof/>
            <w:webHidden/>
            <w:rtl/>
          </w:rPr>
          <w:fldChar w:fldCharType="end"/>
        </w:r>
      </w:hyperlink>
    </w:p>
    <w:p w14:paraId="70C5B2F7" w14:textId="31ECDC7F" w:rsidR="005A11B4" w:rsidRPr="0025250D" w:rsidRDefault="007A207F">
      <w:pPr>
        <w:pStyle w:val="TOC2"/>
        <w:tabs>
          <w:tab w:val="left" w:pos="1100"/>
          <w:tab w:val="right" w:leader="dot" w:pos="9060"/>
        </w:tabs>
        <w:rPr>
          <w:rFonts w:asciiTheme="minorHAnsi" w:eastAsiaTheme="minorEastAsia" w:hAnsiTheme="minorHAnsi" w:cstheme="minorBidi"/>
          <w:noProof/>
          <w:sz w:val="22"/>
          <w:rtl/>
          <w:lang w:bidi="ar-SA"/>
        </w:rPr>
      </w:pPr>
      <w:hyperlink w:anchor="_Toc127831278" w:history="1">
        <w:r w:rsidR="005A11B4" w:rsidRPr="0025250D">
          <w:rPr>
            <w:rStyle w:val="Hyperlink"/>
            <w:noProof/>
            <w:rtl/>
          </w:rPr>
          <w:t>1-11-</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قوان</w:t>
        </w:r>
        <w:r w:rsidR="005A11B4" w:rsidRPr="0025250D">
          <w:rPr>
            <w:rStyle w:val="Hyperlink"/>
            <w:rFonts w:hint="cs"/>
            <w:noProof/>
            <w:rtl/>
          </w:rPr>
          <w:t>ی</w:t>
        </w:r>
        <w:r w:rsidR="005A11B4" w:rsidRPr="0025250D">
          <w:rPr>
            <w:rStyle w:val="Hyperlink"/>
            <w:rFonts w:hint="eastAsia"/>
            <w:noProof/>
            <w:rtl/>
          </w:rPr>
          <w:t>ن</w:t>
        </w:r>
        <w:r w:rsidR="005A11B4" w:rsidRPr="0025250D">
          <w:rPr>
            <w:rStyle w:val="Hyperlink"/>
            <w:noProof/>
            <w:rtl/>
          </w:rPr>
          <w:t xml:space="preserve"> 80/20 و 95/5 تغ</w:t>
        </w:r>
        <w:r w:rsidR="005A11B4" w:rsidRPr="0025250D">
          <w:rPr>
            <w:rStyle w:val="Hyperlink"/>
            <w:rFonts w:hint="cs"/>
            <w:noProof/>
            <w:rtl/>
          </w:rPr>
          <w:t>یی</w:t>
        </w:r>
        <w:r w:rsidR="005A11B4" w:rsidRPr="0025250D">
          <w:rPr>
            <w:rStyle w:val="Hyperlink"/>
            <w:rFonts w:hint="eastAsia"/>
            <w:noProof/>
            <w:rtl/>
          </w:rPr>
          <w:t>ر</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Toc127831278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70</w:t>
        </w:r>
        <w:r w:rsidR="005A11B4" w:rsidRPr="0025250D">
          <w:rPr>
            <w:noProof/>
            <w:webHidden/>
            <w:rtl/>
          </w:rPr>
          <w:fldChar w:fldCharType="end"/>
        </w:r>
      </w:hyperlink>
    </w:p>
    <w:p w14:paraId="6B6F9BCC" w14:textId="679755B9" w:rsidR="005A11B4" w:rsidRPr="0025250D" w:rsidRDefault="007A207F">
      <w:pPr>
        <w:pStyle w:val="TOC2"/>
        <w:tabs>
          <w:tab w:val="left" w:pos="1100"/>
          <w:tab w:val="right" w:leader="dot" w:pos="9060"/>
        </w:tabs>
        <w:rPr>
          <w:rFonts w:asciiTheme="minorHAnsi" w:eastAsiaTheme="minorEastAsia" w:hAnsiTheme="minorHAnsi" w:cstheme="minorBidi"/>
          <w:noProof/>
          <w:sz w:val="22"/>
          <w:rtl/>
          <w:lang w:bidi="ar-SA"/>
        </w:rPr>
      </w:pPr>
      <w:hyperlink w:anchor="_Toc127831279" w:history="1">
        <w:r w:rsidR="005A11B4" w:rsidRPr="0025250D">
          <w:rPr>
            <w:rStyle w:val="Hyperlink"/>
            <w:noProof/>
            <w:rtl/>
          </w:rPr>
          <w:t>1-12-</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تفکر شهود</w:t>
        </w:r>
        <w:r w:rsidR="005A11B4" w:rsidRPr="0025250D">
          <w:rPr>
            <w:rStyle w:val="Hyperlink"/>
            <w:rFonts w:hint="cs"/>
            <w:noProof/>
            <w:rtl/>
          </w:rPr>
          <w:t>ی</w:t>
        </w:r>
        <w:r w:rsidR="005A11B4" w:rsidRPr="0025250D">
          <w:rPr>
            <w:rStyle w:val="Hyperlink"/>
            <w:noProof/>
            <w:rtl/>
          </w:rPr>
          <w:t xml:space="preserve"> و سنج</w:t>
        </w:r>
        <w:r w:rsidR="005A11B4" w:rsidRPr="0025250D">
          <w:rPr>
            <w:rStyle w:val="Hyperlink"/>
            <w:rFonts w:hint="cs"/>
            <w:noProof/>
            <w:rtl/>
          </w:rPr>
          <w:t>ی</w:t>
        </w:r>
        <w:r w:rsidR="005A11B4" w:rsidRPr="0025250D">
          <w:rPr>
            <w:rStyle w:val="Hyperlink"/>
            <w:rFonts w:hint="eastAsia"/>
            <w:noProof/>
            <w:rtl/>
          </w:rPr>
          <w:t>د</w:t>
        </w:r>
        <w:r w:rsidR="005A11B4" w:rsidRPr="0025250D">
          <w:rPr>
            <w:rStyle w:val="Hyperlink"/>
            <w:noProof/>
            <w:rtl/>
          </w:rPr>
          <w:t>ه: دو سامانه فکر</w:t>
        </w:r>
        <w:r w:rsidR="005A11B4" w:rsidRPr="0025250D">
          <w:rPr>
            <w:rStyle w:val="Hyperlink"/>
            <w:rFonts w:hint="cs"/>
            <w:noProof/>
            <w:rtl/>
          </w:rPr>
          <w:t>ی</w:t>
        </w:r>
        <w:r w:rsidR="005A11B4" w:rsidRPr="0025250D">
          <w:rPr>
            <w:rStyle w:val="Hyperlink"/>
            <w:noProof/>
            <w:rtl/>
          </w:rPr>
          <w:t xml:space="preserve"> ما</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Toc127831279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76</w:t>
        </w:r>
        <w:r w:rsidR="005A11B4" w:rsidRPr="0025250D">
          <w:rPr>
            <w:noProof/>
            <w:webHidden/>
            <w:rtl/>
          </w:rPr>
          <w:fldChar w:fldCharType="end"/>
        </w:r>
      </w:hyperlink>
    </w:p>
    <w:p w14:paraId="33B8DADE" w14:textId="7A6A13EE" w:rsidR="005A11B4" w:rsidRPr="0025250D" w:rsidRDefault="007A207F">
      <w:pPr>
        <w:pStyle w:val="TOC2"/>
        <w:tabs>
          <w:tab w:val="left" w:pos="1100"/>
          <w:tab w:val="right" w:leader="dot" w:pos="9060"/>
        </w:tabs>
        <w:rPr>
          <w:rFonts w:asciiTheme="minorHAnsi" w:eastAsiaTheme="minorEastAsia" w:hAnsiTheme="minorHAnsi" w:cstheme="minorBidi"/>
          <w:noProof/>
          <w:sz w:val="22"/>
          <w:rtl/>
          <w:lang w:bidi="ar-SA"/>
        </w:rPr>
      </w:pPr>
      <w:hyperlink w:anchor="_Toc127831280" w:history="1">
        <w:r w:rsidR="005A11B4" w:rsidRPr="0025250D">
          <w:rPr>
            <w:rStyle w:val="Hyperlink"/>
            <w:noProof/>
            <w:rtl/>
          </w:rPr>
          <w:t>1-13-</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ه</w:t>
        </w:r>
        <w:r w:rsidR="005A11B4" w:rsidRPr="0025250D">
          <w:rPr>
            <w:rStyle w:val="Hyperlink"/>
            <w:rFonts w:hint="cs"/>
            <w:noProof/>
            <w:rtl/>
          </w:rPr>
          <w:t>ی</w:t>
        </w:r>
        <w:r w:rsidR="005A11B4" w:rsidRPr="0025250D">
          <w:rPr>
            <w:rStyle w:val="Hyperlink"/>
            <w:rFonts w:hint="eastAsia"/>
            <w:noProof/>
            <w:rtl/>
          </w:rPr>
          <w:t>جان</w:t>
        </w:r>
        <w:r w:rsidR="005A11B4" w:rsidRPr="0025250D">
          <w:rPr>
            <w:rStyle w:val="Hyperlink"/>
            <w:rFonts w:hint="cs"/>
            <w:noProof/>
            <w:rtl/>
          </w:rPr>
          <w:t>ی</w:t>
        </w:r>
        <w:r w:rsidR="005A11B4" w:rsidRPr="0025250D">
          <w:rPr>
            <w:rStyle w:val="Hyperlink"/>
            <w:noProof/>
            <w:rtl/>
          </w:rPr>
          <w:t>: حس‌دادها</w:t>
        </w:r>
        <w:r w:rsidR="005A11B4" w:rsidRPr="0025250D">
          <w:rPr>
            <w:rStyle w:val="Hyperlink"/>
            <w:rFonts w:hint="cs"/>
            <w:noProof/>
            <w:rtl/>
          </w:rPr>
          <w:t>ی</w:t>
        </w:r>
        <w:r w:rsidR="005A11B4" w:rsidRPr="0025250D">
          <w:rPr>
            <w:rStyle w:val="Hyperlink"/>
            <w:noProof/>
            <w:rtl/>
          </w:rPr>
          <w:t xml:space="preserve"> مثبت و منف</w:t>
        </w:r>
        <w:r w:rsidR="005A11B4" w:rsidRPr="0025250D">
          <w:rPr>
            <w:rStyle w:val="Hyperlink"/>
            <w:rFonts w:hint="cs"/>
            <w:noProof/>
            <w:rtl/>
          </w:rPr>
          <w:t>ی</w:t>
        </w:r>
        <w:r w:rsidR="005A11B4" w:rsidRPr="0025250D">
          <w:rPr>
            <w:rStyle w:val="Hyperlink"/>
            <w:noProof/>
            <w:rtl/>
          </w:rPr>
          <w:t xml:space="preserve"> آ</w:t>
        </w:r>
        <w:r w:rsidR="005A11B4" w:rsidRPr="0025250D">
          <w:rPr>
            <w:rStyle w:val="Hyperlink"/>
            <w:rFonts w:hint="cs"/>
            <w:noProof/>
            <w:rtl/>
          </w:rPr>
          <w:t>ی</w:t>
        </w:r>
        <w:r w:rsidR="005A11B4" w:rsidRPr="0025250D">
          <w:rPr>
            <w:rStyle w:val="Hyperlink"/>
            <w:rFonts w:hint="eastAsia"/>
            <w:noProof/>
            <w:rtl/>
          </w:rPr>
          <w:t>نده</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Toc127831280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86</w:t>
        </w:r>
        <w:r w:rsidR="005A11B4" w:rsidRPr="0025250D">
          <w:rPr>
            <w:noProof/>
            <w:webHidden/>
            <w:rtl/>
          </w:rPr>
          <w:fldChar w:fldCharType="end"/>
        </w:r>
      </w:hyperlink>
    </w:p>
    <w:p w14:paraId="55B156EE" w14:textId="50FB0616" w:rsidR="005A11B4" w:rsidRPr="0025250D" w:rsidRDefault="007A207F">
      <w:pPr>
        <w:pStyle w:val="TOC2"/>
        <w:tabs>
          <w:tab w:val="left" w:pos="1100"/>
          <w:tab w:val="right" w:leader="dot" w:pos="9060"/>
        </w:tabs>
        <w:rPr>
          <w:rFonts w:asciiTheme="minorHAnsi" w:eastAsiaTheme="minorEastAsia" w:hAnsiTheme="minorHAnsi" w:cstheme="minorBidi"/>
          <w:noProof/>
          <w:sz w:val="22"/>
          <w:rtl/>
          <w:lang w:bidi="ar-SA"/>
        </w:rPr>
      </w:pPr>
      <w:hyperlink w:anchor="_Toc127831281" w:history="1">
        <w:r w:rsidR="005A11B4" w:rsidRPr="0025250D">
          <w:rPr>
            <w:rStyle w:val="Hyperlink"/>
            <w:noProof/>
            <w:rtl/>
          </w:rPr>
          <w:t>1-14-</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رشد ه</w:t>
        </w:r>
        <w:r w:rsidR="005A11B4" w:rsidRPr="0025250D">
          <w:rPr>
            <w:rStyle w:val="Hyperlink"/>
            <w:rFonts w:hint="cs"/>
            <w:noProof/>
            <w:rtl/>
          </w:rPr>
          <w:t>ی</w:t>
        </w:r>
        <w:r w:rsidR="005A11B4" w:rsidRPr="0025250D">
          <w:rPr>
            <w:rStyle w:val="Hyperlink"/>
            <w:rFonts w:hint="eastAsia"/>
            <w:noProof/>
            <w:rtl/>
          </w:rPr>
          <w:t>جان</w:t>
        </w:r>
        <w:r w:rsidR="005A11B4" w:rsidRPr="0025250D">
          <w:rPr>
            <w:rStyle w:val="Hyperlink"/>
            <w:rFonts w:hint="cs"/>
            <w:noProof/>
            <w:rtl/>
          </w:rPr>
          <w:t>ی</w:t>
        </w:r>
        <w:r w:rsidR="005A11B4" w:rsidRPr="0025250D">
          <w:rPr>
            <w:rStyle w:val="Hyperlink"/>
            <w:noProof/>
            <w:rtl/>
          </w:rPr>
          <w:t>-شناخت</w:t>
        </w:r>
        <w:r w:rsidR="005A11B4" w:rsidRPr="0025250D">
          <w:rPr>
            <w:rStyle w:val="Hyperlink"/>
            <w:rFonts w:hint="cs"/>
            <w:noProof/>
            <w:rtl/>
          </w:rPr>
          <w:t>ی</w:t>
        </w:r>
        <w:r w:rsidR="005A11B4" w:rsidRPr="0025250D">
          <w:rPr>
            <w:rStyle w:val="Hyperlink"/>
            <w:noProof/>
            <w:rtl/>
          </w:rPr>
          <w:t>: صعود در هرم‌ها</w:t>
        </w:r>
        <w:r w:rsidR="005A11B4" w:rsidRPr="0025250D">
          <w:rPr>
            <w:rStyle w:val="Hyperlink"/>
            <w:rFonts w:hint="cs"/>
            <w:noProof/>
            <w:rtl/>
          </w:rPr>
          <w:t>ی</w:t>
        </w:r>
        <w:r w:rsidR="005A11B4" w:rsidRPr="0025250D">
          <w:rPr>
            <w:rStyle w:val="Hyperlink"/>
            <w:noProof/>
            <w:rtl/>
          </w:rPr>
          <w:t xml:space="preserve"> توسعه</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Toc127831281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89</w:t>
        </w:r>
        <w:r w:rsidR="005A11B4" w:rsidRPr="0025250D">
          <w:rPr>
            <w:noProof/>
            <w:webHidden/>
            <w:rtl/>
          </w:rPr>
          <w:fldChar w:fldCharType="end"/>
        </w:r>
      </w:hyperlink>
    </w:p>
    <w:p w14:paraId="0F60D1F7" w14:textId="37FF84B3"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282" w:history="1">
        <w:r w:rsidR="005A11B4" w:rsidRPr="0025250D">
          <w:rPr>
            <w:rStyle w:val="Hyperlink"/>
            <w:noProof/>
          </w:rPr>
          <w:t>1-15-</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چند چارچوب مف</w:t>
        </w:r>
        <w:r w:rsidR="005A11B4" w:rsidRPr="0025250D">
          <w:rPr>
            <w:rStyle w:val="Hyperlink"/>
            <w:rFonts w:hint="cs"/>
            <w:noProof/>
            <w:rtl/>
          </w:rPr>
          <w:t>ی</w:t>
        </w:r>
        <w:r w:rsidR="005A11B4" w:rsidRPr="0025250D">
          <w:rPr>
            <w:rStyle w:val="Hyperlink"/>
            <w:rFonts w:hint="eastAsia"/>
            <w:noProof/>
            <w:rtl/>
          </w:rPr>
          <w:t>د</w:t>
        </w:r>
        <w:r w:rsidR="005A11B4" w:rsidRPr="0025250D">
          <w:rPr>
            <w:rStyle w:val="Hyperlink"/>
            <w:noProof/>
            <w:rtl/>
          </w:rPr>
          <w:t xml:space="preserve">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Toc127831282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98</w:t>
        </w:r>
        <w:r w:rsidR="005A11B4" w:rsidRPr="0025250D">
          <w:rPr>
            <w:noProof/>
            <w:webHidden/>
            <w:rtl/>
          </w:rPr>
          <w:fldChar w:fldCharType="end"/>
        </w:r>
      </w:hyperlink>
    </w:p>
    <w:p w14:paraId="10639A9E" w14:textId="7177B5BE" w:rsidR="005A11B4" w:rsidRPr="0025250D" w:rsidRDefault="007A207F">
      <w:pPr>
        <w:pStyle w:val="TOC2"/>
        <w:tabs>
          <w:tab w:val="left" w:pos="1100"/>
          <w:tab w:val="right" w:leader="dot" w:pos="9060"/>
        </w:tabs>
        <w:rPr>
          <w:rFonts w:asciiTheme="minorHAnsi" w:eastAsiaTheme="minorEastAsia" w:hAnsiTheme="minorHAnsi" w:cstheme="minorBidi"/>
          <w:noProof/>
          <w:sz w:val="22"/>
          <w:rtl/>
          <w:lang w:bidi="ar-SA"/>
        </w:rPr>
      </w:pPr>
      <w:hyperlink w:anchor="_Toc127831283" w:history="1">
        <w:r w:rsidR="005A11B4" w:rsidRPr="0025250D">
          <w:rPr>
            <w:rStyle w:val="Hyperlink"/>
            <w:noProof/>
            <w:rtl/>
          </w:rPr>
          <w:t>1-16-</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سوگ</w:t>
        </w:r>
        <w:r w:rsidR="005A11B4" w:rsidRPr="0025250D">
          <w:rPr>
            <w:rStyle w:val="Hyperlink"/>
            <w:rFonts w:hint="cs"/>
            <w:noProof/>
            <w:rtl/>
          </w:rPr>
          <w:t>ی</w:t>
        </w:r>
        <w:r w:rsidR="005A11B4" w:rsidRPr="0025250D">
          <w:rPr>
            <w:rStyle w:val="Hyperlink"/>
            <w:rFonts w:hint="eastAsia"/>
            <w:noProof/>
            <w:rtl/>
          </w:rPr>
          <w:t>ر</w:t>
        </w:r>
        <w:r w:rsidR="005A11B4" w:rsidRPr="0025250D">
          <w:rPr>
            <w:rStyle w:val="Hyperlink"/>
            <w:rFonts w:hint="cs"/>
            <w:noProof/>
            <w:rtl/>
          </w:rPr>
          <w:t>ی</w:t>
        </w:r>
        <w:r w:rsidR="005A11B4" w:rsidRPr="0025250D">
          <w:rPr>
            <w:rStyle w:val="Hyperlink"/>
            <w:noProof/>
            <w:rtl/>
          </w:rPr>
          <w:t xml:space="preserve"> آزاد</w:t>
        </w:r>
        <w:r w:rsidR="005A11B4" w:rsidRPr="0025250D">
          <w:rPr>
            <w:rStyle w:val="Hyperlink"/>
            <w:rFonts w:hint="cs"/>
            <w:noProof/>
            <w:rtl/>
          </w:rPr>
          <w:t>ی</w:t>
        </w:r>
        <w:r w:rsidR="005A11B4" w:rsidRPr="0025250D">
          <w:rPr>
            <w:rStyle w:val="Hyperlink"/>
            <w:noProof/>
            <w:rtl/>
          </w:rPr>
          <w:t>: چرا پ</w:t>
        </w:r>
        <w:r w:rsidR="005A11B4" w:rsidRPr="0025250D">
          <w:rPr>
            <w:rStyle w:val="Hyperlink"/>
            <w:rFonts w:hint="cs"/>
            <w:noProof/>
            <w:rtl/>
          </w:rPr>
          <w:t>ی</w:t>
        </w:r>
        <w:r w:rsidR="005A11B4" w:rsidRPr="0025250D">
          <w:rPr>
            <w:rStyle w:val="Hyperlink"/>
            <w:rFonts w:hint="eastAsia"/>
            <w:noProof/>
            <w:rtl/>
          </w:rPr>
          <w:t>ش‌ب</w:t>
        </w:r>
        <w:r w:rsidR="005A11B4" w:rsidRPr="0025250D">
          <w:rPr>
            <w:rStyle w:val="Hyperlink"/>
            <w:rFonts w:hint="cs"/>
            <w:noProof/>
            <w:rtl/>
          </w:rPr>
          <w:t>ی</w:t>
        </w:r>
        <w:r w:rsidR="005A11B4" w:rsidRPr="0025250D">
          <w:rPr>
            <w:rStyle w:val="Hyperlink"/>
            <w:rFonts w:hint="eastAsia"/>
            <w:noProof/>
            <w:rtl/>
          </w:rPr>
          <w:t>ن</w:t>
        </w:r>
        <w:r w:rsidR="005A11B4" w:rsidRPr="0025250D">
          <w:rPr>
            <w:rStyle w:val="Hyperlink"/>
            <w:rFonts w:hint="cs"/>
            <w:noProof/>
            <w:rtl/>
          </w:rPr>
          <w:t>ی</w:t>
        </w:r>
        <w:r w:rsidR="005A11B4" w:rsidRPr="0025250D">
          <w:rPr>
            <w:rStyle w:val="Hyperlink"/>
            <w:noProof/>
            <w:rtl/>
          </w:rPr>
          <w:t xml:space="preserve"> ا</w:t>
        </w:r>
        <w:r w:rsidR="005A11B4" w:rsidRPr="0025250D">
          <w:rPr>
            <w:rStyle w:val="Hyperlink"/>
            <w:rFonts w:hint="cs"/>
            <w:noProof/>
            <w:rtl/>
          </w:rPr>
          <w:t>ی</w:t>
        </w:r>
        <w:r w:rsidR="005A11B4" w:rsidRPr="0025250D">
          <w:rPr>
            <w:rStyle w:val="Hyperlink"/>
            <w:rFonts w:hint="eastAsia"/>
            <w:noProof/>
            <w:rtl/>
          </w:rPr>
          <w:t>ن</w:t>
        </w:r>
        <w:r w:rsidR="005A11B4" w:rsidRPr="0025250D">
          <w:rPr>
            <w:rStyle w:val="Hyperlink"/>
            <w:noProof/>
            <w:rtl/>
          </w:rPr>
          <w:t xml:space="preserve"> چن</w:t>
        </w:r>
        <w:r w:rsidR="005A11B4" w:rsidRPr="0025250D">
          <w:rPr>
            <w:rStyle w:val="Hyperlink"/>
            <w:rFonts w:hint="cs"/>
            <w:noProof/>
            <w:rtl/>
          </w:rPr>
          <w:t>ی</w:t>
        </w:r>
        <w:r w:rsidR="005A11B4" w:rsidRPr="0025250D">
          <w:rPr>
            <w:rStyle w:val="Hyperlink"/>
            <w:rFonts w:hint="eastAsia"/>
            <w:noProof/>
            <w:rtl/>
          </w:rPr>
          <w:t>ن</w:t>
        </w:r>
        <w:r w:rsidR="005A11B4" w:rsidRPr="0025250D">
          <w:rPr>
            <w:rStyle w:val="Hyperlink"/>
            <w:noProof/>
            <w:rtl/>
          </w:rPr>
          <w:t xml:space="preserve"> بدنام است؟</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Toc127831283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119</w:t>
        </w:r>
        <w:r w:rsidR="005A11B4" w:rsidRPr="0025250D">
          <w:rPr>
            <w:noProof/>
            <w:webHidden/>
            <w:rtl/>
          </w:rPr>
          <w:fldChar w:fldCharType="end"/>
        </w:r>
      </w:hyperlink>
    </w:p>
    <w:p w14:paraId="582F677A" w14:textId="2441AED1" w:rsidR="005A11B4" w:rsidRPr="0025250D" w:rsidRDefault="007A207F">
      <w:pPr>
        <w:pStyle w:val="TOC2"/>
        <w:tabs>
          <w:tab w:val="left" w:pos="1100"/>
          <w:tab w:val="right" w:leader="dot" w:pos="9060"/>
        </w:tabs>
        <w:rPr>
          <w:rFonts w:asciiTheme="minorHAnsi" w:eastAsiaTheme="minorEastAsia" w:hAnsiTheme="minorHAnsi" w:cstheme="minorBidi"/>
          <w:noProof/>
          <w:sz w:val="22"/>
          <w:rtl/>
          <w:lang w:bidi="ar-SA"/>
        </w:rPr>
      </w:pPr>
      <w:hyperlink w:anchor="_Toc127831284" w:history="1">
        <w:r w:rsidR="005A11B4" w:rsidRPr="0025250D">
          <w:rPr>
            <w:rStyle w:val="Hyperlink"/>
            <w:noProof/>
            <w:rtl/>
          </w:rPr>
          <w:t>1-17-</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سوگ</w:t>
        </w:r>
        <w:r w:rsidR="005A11B4" w:rsidRPr="0025250D">
          <w:rPr>
            <w:rStyle w:val="Hyperlink"/>
            <w:rFonts w:hint="cs"/>
            <w:noProof/>
            <w:rtl/>
          </w:rPr>
          <w:t>ی</w:t>
        </w:r>
        <w:r w:rsidR="005A11B4" w:rsidRPr="0025250D">
          <w:rPr>
            <w:rStyle w:val="Hyperlink"/>
            <w:rFonts w:hint="eastAsia"/>
            <w:noProof/>
            <w:rtl/>
          </w:rPr>
          <w:t>ر</w:t>
        </w:r>
        <w:r w:rsidR="005A11B4" w:rsidRPr="0025250D">
          <w:rPr>
            <w:rStyle w:val="Hyperlink"/>
            <w:rFonts w:hint="cs"/>
            <w:noProof/>
            <w:rtl/>
          </w:rPr>
          <w:t>ی</w:t>
        </w:r>
        <w:r w:rsidR="005A11B4" w:rsidRPr="0025250D">
          <w:rPr>
            <w:rStyle w:val="Hyperlink"/>
            <w:noProof/>
            <w:rtl/>
          </w:rPr>
          <w:t xml:space="preserve"> منف</w:t>
        </w:r>
        <w:r w:rsidR="005A11B4" w:rsidRPr="0025250D">
          <w:rPr>
            <w:rStyle w:val="Hyperlink"/>
            <w:rFonts w:hint="cs"/>
            <w:noProof/>
            <w:rtl/>
          </w:rPr>
          <w:t>ی‌</w:t>
        </w:r>
        <w:r w:rsidR="005A11B4" w:rsidRPr="0025250D">
          <w:rPr>
            <w:rStyle w:val="Hyperlink"/>
            <w:rFonts w:hint="eastAsia"/>
            <w:noProof/>
            <w:rtl/>
          </w:rPr>
          <w:t>نگر</w:t>
        </w:r>
        <w:r w:rsidR="005A11B4" w:rsidRPr="0025250D">
          <w:rPr>
            <w:rStyle w:val="Hyperlink"/>
            <w:noProof/>
            <w:rtl/>
          </w:rPr>
          <w:t>: چرا احساسات آ</w:t>
        </w:r>
        <w:r w:rsidR="005A11B4" w:rsidRPr="0025250D">
          <w:rPr>
            <w:rStyle w:val="Hyperlink"/>
            <w:rFonts w:hint="cs"/>
            <w:noProof/>
            <w:rtl/>
          </w:rPr>
          <w:t>ی</w:t>
        </w:r>
        <w:r w:rsidR="005A11B4" w:rsidRPr="0025250D">
          <w:rPr>
            <w:rStyle w:val="Hyperlink"/>
            <w:rFonts w:hint="eastAsia"/>
            <w:noProof/>
            <w:rtl/>
          </w:rPr>
          <w:t>نده</w:t>
        </w:r>
        <w:r w:rsidR="005A11B4" w:rsidRPr="0025250D">
          <w:rPr>
            <w:rStyle w:val="Hyperlink"/>
            <w:noProof/>
            <w:rtl/>
          </w:rPr>
          <w:t xml:space="preserve"> اغلب تحت هدا</w:t>
        </w:r>
        <w:r w:rsidR="005A11B4" w:rsidRPr="0025250D">
          <w:rPr>
            <w:rStyle w:val="Hyperlink"/>
            <w:rFonts w:hint="cs"/>
            <w:noProof/>
            <w:rtl/>
          </w:rPr>
          <w:t>ی</w:t>
        </w:r>
        <w:r w:rsidR="005A11B4" w:rsidRPr="0025250D">
          <w:rPr>
            <w:rStyle w:val="Hyperlink"/>
            <w:rFonts w:hint="eastAsia"/>
            <w:noProof/>
            <w:rtl/>
          </w:rPr>
          <w:t>ت</w:t>
        </w:r>
        <w:r w:rsidR="005A11B4" w:rsidRPr="0025250D">
          <w:rPr>
            <w:rStyle w:val="Hyperlink"/>
            <w:noProof/>
            <w:rtl/>
          </w:rPr>
          <w:t xml:space="preserve"> موارد منف</w:t>
        </w:r>
        <w:r w:rsidR="005A11B4" w:rsidRPr="0025250D">
          <w:rPr>
            <w:rStyle w:val="Hyperlink"/>
            <w:rFonts w:hint="cs"/>
            <w:noProof/>
            <w:rtl/>
          </w:rPr>
          <w:t>ی</w:t>
        </w:r>
        <w:r w:rsidR="005A11B4" w:rsidRPr="0025250D">
          <w:rPr>
            <w:rStyle w:val="Hyperlink"/>
            <w:noProof/>
            <w:rtl/>
          </w:rPr>
          <w:t xml:space="preserve"> هستند</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Toc127831284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123</w:t>
        </w:r>
        <w:r w:rsidR="005A11B4" w:rsidRPr="0025250D">
          <w:rPr>
            <w:noProof/>
            <w:webHidden/>
            <w:rtl/>
          </w:rPr>
          <w:fldChar w:fldCharType="end"/>
        </w:r>
      </w:hyperlink>
    </w:p>
    <w:p w14:paraId="2DA1A97C" w14:textId="4B9D3C0B" w:rsidR="005A11B4" w:rsidRPr="0025250D" w:rsidRDefault="007A207F">
      <w:pPr>
        <w:pStyle w:val="TOC2"/>
        <w:tabs>
          <w:tab w:val="left" w:pos="1100"/>
          <w:tab w:val="right" w:leader="dot" w:pos="9060"/>
        </w:tabs>
        <w:rPr>
          <w:rFonts w:asciiTheme="minorHAnsi" w:eastAsiaTheme="minorEastAsia" w:hAnsiTheme="minorHAnsi" w:cstheme="minorBidi"/>
          <w:noProof/>
          <w:sz w:val="22"/>
          <w:rtl/>
          <w:lang w:bidi="ar-SA"/>
        </w:rPr>
      </w:pPr>
      <w:hyperlink w:anchor="_Toc127831285" w:history="1">
        <w:r w:rsidR="005A11B4" w:rsidRPr="0025250D">
          <w:rPr>
            <w:rStyle w:val="Hyperlink"/>
            <w:noProof/>
            <w:rtl/>
          </w:rPr>
          <w:t>1-18-</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پ</w:t>
        </w:r>
        <w:r w:rsidR="005A11B4" w:rsidRPr="0025250D">
          <w:rPr>
            <w:rStyle w:val="Hyperlink"/>
            <w:rFonts w:hint="cs"/>
            <w:noProof/>
            <w:rtl/>
          </w:rPr>
          <w:t>ی</w:t>
        </w:r>
        <w:r w:rsidR="005A11B4" w:rsidRPr="0025250D">
          <w:rPr>
            <w:rStyle w:val="Hyperlink"/>
            <w:rFonts w:hint="eastAsia"/>
            <w:noProof/>
            <w:rtl/>
          </w:rPr>
          <w:t>شرفت</w:t>
        </w:r>
        <w:r w:rsidR="005A11B4" w:rsidRPr="0025250D">
          <w:rPr>
            <w:rStyle w:val="Hyperlink"/>
            <w:noProof/>
            <w:rtl/>
          </w:rPr>
          <w:t xml:space="preserve">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رسانه‌ا</w:t>
        </w:r>
        <w:r w:rsidR="005A11B4" w:rsidRPr="0025250D">
          <w:rPr>
            <w:rStyle w:val="Hyperlink"/>
            <w:rFonts w:hint="cs"/>
            <w:noProof/>
            <w:rtl/>
          </w:rPr>
          <w:t>ی</w:t>
        </w:r>
        <w:r w:rsidR="005A11B4" w:rsidRPr="0025250D">
          <w:rPr>
            <w:rStyle w:val="Hyperlink"/>
            <w:noProof/>
            <w:rtl/>
          </w:rPr>
          <w:t xml:space="preserve"> و اجتماع</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Toc127831285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128</w:t>
        </w:r>
        <w:r w:rsidR="005A11B4" w:rsidRPr="0025250D">
          <w:rPr>
            <w:noProof/>
            <w:webHidden/>
            <w:rtl/>
          </w:rPr>
          <w:fldChar w:fldCharType="end"/>
        </w:r>
      </w:hyperlink>
    </w:p>
    <w:p w14:paraId="2DEFBEAF" w14:textId="4FFC6C0A" w:rsidR="005A11B4" w:rsidRPr="0025250D" w:rsidRDefault="007A207F">
      <w:pPr>
        <w:pStyle w:val="TOC2"/>
        <w:tabs>
          <w:tab w:val="left" w:pos="1100"/>
          <w:tab w:val="right" w:leader="dot" w:pos="9060"/>
        </w:tabs>
        <w:rPr>
          <w:rFonts w:asciiTheme="minorHAnsi" w:eastAsiaTheme="minorEastAsia" w:hAnsiTheme="minorHAnsi" w:cstheme="minorBidi"/>
          <w:noProof/>
          <w:sz w:val="22"/>
          <w:rtl/>
          <w:lang w:bidi="ar-SA"/>
        </w:rPr>
      </w:pPr>
      <w:hyperlink w:anchor="_Toc127831286" w:history="1">
        <w:r w:rsidR="005A11B4" w:rsidRPr="0025250D">
          <w:rPr>
            <w:rStyle w:val="Hyperlink"/>
            <w:noProof/>
            <w:rtl/>
          </w:rPr>
          <w:t>1-19-</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دن</w:t>
        </w:r>
        <w:r w:rsidR="005A11B4" w:rsidRPr="0025250D">
          <w:rPr>
            <w:rStyle w:val="Hyperlink"/>
            <w:rFonts w:hint="cs"/>
            <w:noProof/>
            <w:rtl/>
          </w:rPr>
          <w:t>ی</w:t>
        </w:r>
        <w:r w:rsidR="005A11B4" w:rsidRPr="0025250D">
          <w:rPr>
            <w:rStyle w:val="Hyperlink"/>
            <w:rFonts w:hint="eastAsia"/>
            <w:noProof/>
            <w:rtl/>
          </w:rPr>
          <w:t>ا</w:t>
        </w:r>
        <w:r w:rsidR="005A11B4" w:rsidRPr="0025250D">
          <w:rPr>
            <w:rStyle w:val="Hyperlink"/>
            <w:rFonts w:hint="cs"/>
            <w:noProof/>
            <w:rtl/>
          </w:rPr>
          <w:t>ی</w:t>
        </w:r>
        <w:r w:rsidR="005A11B4" w:rsidRPr="0025250D">
          <w:rPr>
            <w:rStyle w:val="Hyperlink"/>
            <w:noProof/>
            <w:rtl/>
          </w:rPr>
          <w:t xml:space="preserve"> شگفت انگ</w:t>
        </w:r>
        <w:r w:rsidR="005A11B4" w:rsidRPr="0025250D">
          <w:rPr>
            <w:rStyle w:val="Hyperlink"/>
            <w:rFonts w:hint="cs"/>
            <w:noProof/>
            <w:rtl/>
          </w:rPr>
          <w:t>ی</w:t>
        </w:r>
        <w:r w:rsidR="005A11B4" w:rsidRPr="0025250D">
          <w:rPr>
            <w:rStyle w:val="Hyperlink"/>
            <w:rFonts w:hint="eastAsia"/>
            <w:noProof/>
            <w:rtl/>
          </w:rPr>
          <w:t>ز</w:t>
        </w:r>
        <w:r w:rsidR="005A11B4" w:rsidRPr="0025250D">
          <w:rPr>
            <w:rStyle w:val="Hyperlink"/>
            <w:noProof/>
            <w:rtl/>
          </w:rPr>
          <w:t xml:space="preserve"> و چالش برانگ</w:t>
        </w:r>
        <w:r w:rsidR="005A11B4" w:rsidRPr="0025250D">
          <w:rPr>
            <w:rStyle w:val="Hyperlink"/>
            <w:rFonts w:hint="cs"/>
            <w:noProof/>
            <w:rtl/>
          </w:rPr>
          <w:t>ی</w:t>
        </w:r>
        <w:r w:rsidR="005A11B4" w:rsidRPr="0025250D">
          <w:rPr>
            <w:rStyle w:val="Hyperlink"/>
            <w:rFonts w:hint="eastAsia"/>
            <w:noProof/>
            <w:rtl/>
          </w:rPr>
          <w:t>ز</w:t>
        </w:r>
        <w:r w:rsidR="005A11B4" w:rsidRPr="0025250D">
          <w:rPr>
            <w:rStyle w:val="Hyperlink"/>
            <w:noProof/>
            <w:rtl/>
          </w:rPr>
          <w:t xml:space="preserve">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Toc127831286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130</w:t>
        </w:r>
        <w:r w:rsidR="005A11B4" w:rsidRPr="0025250D">
          <w:rPr>
            <w:noProof/>
            <w:webHidden/>
            <w:rtl/>
          </w:rPr>
          <w:fldChar w:fldCharType="end"/>
        </w:r>
      </w:hyperlink>
    </w:p>
    <w:p w14:paraId="617301BC" w14:textId="4FCB19DC" w:rsidR="005A11B4" w:rsidRPr="0025250D" w:rsidRDefault="007A207F">
      <w:pPr>
        <w:pStyle w:val="TOC2"/>
        <w:tabs>
          <w:tab w:val="left" w:pos="1100"/>
          <w:tab w:val="right" w:leader="dot" w:pos="9060"/>
        </w:tabs>
        <w:rPr>
          <w:rFonts w:asciiTheme="minorHAnsi" w:eastAsiaTheme="minorEastAsia" w:hAnsiTheme="minorHAnsi" w:cstheme="minorBidi"/>
          <w:noProof/>
          <w:sz w:val="22"/>
          <w:rtl/>
          <w:lang w:bidi="ar-SA"/>
        </w:rPr>
      </w:pPr>
      <w:hyperlink w:anchor="_Toc127831287" w:history="1">
        <w:r w:rsidR="005A11B4" w:rsidRPr="0025250D">
          <w:rPr>
            <w:rStyle w:val="Hyperlink"/>
            <w:noProof/>
            <w:rtl/>
          </w:rPr>
          <w:t>1-20-</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تار</w:t>
        </w:r>
        <w:r w:rsidR="005A11B4" w:rsidRPr="0025250D">
          <w:rPr>
            <w:rStyle w:val="Hyperlink"/>
            <w:rFonts w:hint="cs"/>
            <w:noProof/>
            <w:rtl/>
          </w:rPr>
          <w:t>ی</w:t>
        </w:r>
        <w:r w:rsidR="005A11B4" w:rsidRPr="0025250D">
          <w:rPr>
            <w:rStyle w:val="Hyperlink"/>
            <w:rFonts w:hint="eastAsia"/>
            <w:noProof/>
            <w:rtl/>
          </w:rPr>
          <w:t>خ</w:t>
        </w:r>
        <w:r w:rsidR="005A11B4" w:rsidRPr="0025250D">
          <w:rPr>
            <w:rStyle w:val="Hyperlink"/>
            <w:noProof/>
            <w:rtl/>
          </w:rPr>
          <w:t xml:space="preserve"> مهم است! </w:t>
        </w:r>
        <w:r w:rsidR="005A11B4" w:rsidRPr="0025250D">
          <w:rPr>
            <w:rStyle w:val="Hyperlink"/>
            <w:rFonts w:cs="Times New Roman"/>
            <w:noProof/>
            <w:rtl/>
          </w:rPr>
          <w:t>–</w:t>
        </w:r>
        <w:r w:rsidR="005A11B4" w:rsidRPr="0025250D">
          <w:rPr>
            <w:rStyle w:val="Hyperlink"/>
            <w:noProof/>
            <w:rtl/>
          </w:rPr>
          <w:t xml:space="preserve">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تار</w:t>
        </w:r>
        <w:r w:rsidR="005A11B4" w:rsidRPr="0025250D">
          <w:rPr>
            <w:rStyle w:val="Hyperlink"/>
            <w:rFonts w:hint="cs"/>
            <w:noProof/>
            <w:rtl/>
          </w:rPr>
          <w:t>ی</w:t>
        </w:r>
        <w:r w:rsidR="005A11B4" w:rsidRPr="0025250D">
          <w:rPr>
            <w:rStyle w:val="Hyperlink"/>
            <w:rFonts w:hint="eastAsia"/>
            <w:noProof/>
            <w:rtl/>
          </w:rPr>
          <w:t>خ</w:t>
        </w:r>
        <w:r w:rsidR="005A11B4" w:rsidRPr="0025250D">
          <w:rPr>
            <w:rStyle w:val="Hyperlink"/>
            <w:rFonts w:hint="cs"/>
            <w:noProof/>
            <w:rtl/>
          </w:rPr>
          <w:t>ی</w:t>
        </w:r>
        <w:r w:rsidR="005A11B4" w:rsidRPr="0025250D">
          <w:rPr>
            <w:rStyle w:val="Hyperlink"/>
            <w:noProof/>
            <w:rtl/>
          </w:rPr>
          <w:t xml:space="preserve"> و چابک‌ب</w:t>
        </w:r>
        <w:r w:rsidR="005A11B4" w:rsidRPr="0025250D">
          <w:rPr>
            <w:rStyle w:val="Hyperlink"/>
            <w:rFonts w:hint="cs"/>
            <w:noProof/>
            <w:rtl/>
          </w:rPr>
          <w:t>ی</w:t>
        </w:r>
        <w:r w:rsidR="005A11B4" w:rsidRPr="0025250D">
          <w:rPr>
            <w:rStyle w:val="Hyperlink"/>
            <w:rFonts w:hint="eastAsia"/>
            <w:noProof/>
            <w:rtl/>
          </w:rPr>
          <w:t>ن</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Toc127831287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133</w:t>
        </w:r>
        <w:r w:rsidR="005A11B4" w:rsidRPr="0025250D">
          <w:rPr>
            <w:noProof/>
            <w:webHidden/>
            <w:rtl/>
          </w:rPr>
          <w:fldChar w:fldCharType="end"/>
        </w:r>
      </w:hyperlink>
    </w:p>
    <w:p w14:paraId="1416720D" w14:textId="055388F1" w:rsidR="005A11B4" w:rsidRPr="0025250D" w:rsidRDefault="007A207F">
      <w:pPr>
        <w:pStyle w:val="TOC2"/>
        <w:tabs>
          <w:tab w:val="left" w:pos="1100"/>
          <w:tab w:val="right" w:leader="dot" w:pos="9060"/>
        </w:tabs>
        <w:rPr>
          <w:rFonts w:asciiTheme="minorHAnsi" w:eastAsiaTheme="minorEastAsia" w:hAnsiTheme="minorHAnsi" w:cstheme="minorBidi"/>
          <w:noProof/>
          <w:sz w:val="22"/>
          <w:rtl/>
          <w:lang w:bidi="ar-SA"/>
        </w:rPr>
      </w:pPr>
      <w:hyperlink w:anchor="_Toc127831288" w:history="1">
        <w:r w:rsidR="005A11B4" w:rsidRPr="0025250D">
          <w:rPr>
            <w:rStyle w:val="Hyperlink"/>
            <w:noProof/>
            <w:rtl/>
          </w:rPr>
          <w:t>1-21-</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اهم</w:t>
        </w:r>
        <w:r w:rsidR="005A11B4" w:rsidRPr="0025250D">
          <w:rPr>
            <w:rStyle w:val="Hyperlink"/>
            <w:rFonts w:hint="cs"/>
            <w:noProof/>
            <w:rtl/>
          </w:rPr>
          <w:t>ی</w:t>
        </w:r>
        <w:r w:rsidR="005A11B4" w:rsidRPr="0025250D">
          <w:rPr>
            <w:rStyle w:val="Hyperlink"/>
            <w:rFonts w:hint="eastAsia"/>
            <w:noProof/>
            <w:rtl/>
          </w:rPr>
          <w:t>ت</w:t>
        </w:r>
        <w:r w:rsidR="005A11B4" w:rsidRPr="0025250D">
          <w:rPr>
            <w:rStyle w:val="Hyperlink"/>
            <w:noProof/>
            <w:rtl/>
          </w:rPr>
          <w:t xml:space="preserve"> دارد! </w:t>
        </w:r>
        <w:r w:rsidR="005A11B4" w:rsidRPr="0025250D">
          <w:rPr>
            <w:rStyle w:val="Hyperlink"/>
            <w:rFonts w:cs="Times New Roman"/>
            <w:noProof/>
            <w:rtl/>
          </w:rPr>
          <w:t>–</w:t>
        </w:r>
        <w:r w:rsidR="005A11B4" w:rsidRPr="0025250D">
          <w:rPr>
            <w:rStyle w:val="Hyperlink"/>
            <w:noProof/>
            <w:rtl/>
          </w:rPr>
          <w:t xml:space="preserve"> د</w:t>
        </w:r>
        <w:r w:rsidR="005A11B4" w:rsidRPr="0025250D">
          <w:rPr>
            <w:rStyle w:val="Hyperlink"/>
            <w:rFonts w:hint="cs"/>
            <w:noProof/>
            <w:rtl/>
          </w:rPr>
          <w:t>ی</w:t>
        </w:r>
        <w:r w:rsidR="005A11B4" w:rsidRPr="0025250D">
          <w:rPr>
            <w:rStyle w:val="Hyperlink"/>
            <w:rFonts w:hint="eastAsia"/>
            <w:noProof/>
            <w:rtl/>
          </w:rPr>
          <w:t>دن</w:t>
        </w:r>
        <w:r w:rsidR="005A11B4" w:rsidRPr="0025250D">
          <w:rPr>
            <w:rStyle w:val="Hyperlink"/>
            <w:noProof/>
            <w:rtl/>
          </w:rPr>
          <w:t xml:space="preserve"> فرصت‌ها</w:t>
        </w:r>
        <w:r w:rsidR="005A11B4" w:rsidRPr="0025250D">
          <w:rPr>
            <w:rStyle w:val="Hyperlink"/>
            <w:rFonts w:hint="cs"/>
            <w:noProof/>
            <w:rtl/>
          </w:rPr>
          <w:t>ی</w:t>
        </w:r>
        <w:r w:rsidR="005A11B4" w:rsidRPr="0025250D">
          <w:rPr>
            <w:rStyle w:val="Hyperlink"/>
            <w:noProof/>
            <w:rtl/>
          </w:rPr>
          <w:t xml:space="preserve"> پ</w:t>
        </w:r>
        <w:r w:rsidR="005A11B4" w:rsidRPr="0025250D">
          <w:rPr>
            <w:rStyle w:val="Hyperlink"/>
            <w:rFonts w:hint="cs"/>
            <w:noProof/>
            <w:rtl/>
          </w:rPr>
          <w:t>ی</w:t>
        </w:r>
        <w:r w:rsidR="005A11B4" w:rsidRPr="0025250D">
          <w:rPr>
            <w:rStyle w:val="Hyperlink"/>
            <w:rFonts w:hint="eastAsia"/>
            <w:noProof/>
            <w:rtl/>
          </w:rPr>
          <w:t>شرفت</w:t>
        </w:r>
        <w:r w:rsidR="005A11B4" w:rsidRPr="0025250D">
          <w:rPr>
            <w:rStyle w:val="Hyperlink"/>
            <w:noProof/>
            <w:rtl/>
          </w:rPr>
          <w:t xml:space="preserve"> از دست رفته (</w:t>
        </w:r>
        <w:r w:rsidR="005A11B4" w:rsidRPr="0025250D">
          <w:rPr>
            <w:rStyle w:val="Hyperlink"/>
            <w:noProof/>
          </w:rPr>
          <w:t>LPO</w:t>
        </w:r>
        <w:r w:rsidR="005A11B4" w:rsidRPr="0025250D">
          <w:rPr>
            <w:rStyle w:val="Hyperlink"/>
            <w:noProof/>
            <w:rtl/>
          </w:rPr>
          <w:t xml:space="preserve"> ها)</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Toc127831288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138</w:t>
        </w:r>
        <w:r w:rsidR="005A11B4" w:rsidRPr="0025250D">
          <w:rPr>
            <w:noProof/>
            <w:webHidden/>
            <w:rtl/>
          </w:rPr>
          <w:fldChar w:fldCharType="end"/>
        </w:r>
      </w:hyperlink>
    </w:p>
    <w:p w14:paraId="3C220DA7" w14:textId="0AAE4BA9" w:rsidR="005A11B4" w:rsidRPr="0025250D" w:rsidRDefault="007A207F">
      <w:pPr>
        <w:pStyle w:val="TOC2"/>
        <w:tabs>
          <w:tab w:val="left" w:pos="1100"/>
          <w:tab w:val="right" w:leader="dot" w:pos="9060"/>
        </w:tabs>
        <w:rPr>
          <w:rFonts w:asciiTheme="minorHAnsi" w:eastAsiaTheme="minorEastAsia" w:hAnsiTheme="minorHAnsi" w:cstheme="minorBidi"/>
          <w:noProof/>
          <w:sz w:val="22"/>
          <w:rtl/>
          <w:lang w:bidi="ar-SA"/>
        </w:rPr>
      </w:pPr>
      <w:hyperlink w:anchor="_Toc127831289" w:history="1">
        <w:r w:rsidR="005A11B4" w:rsidRPr="0025250D">
          <w:rPr>
            <w:rStyle w:val="Hyperlink"/>
            <w:noProof/>
            <w:rtl/>
          </w:rPr>
          <w:t>1-22-</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انطباق</w:t>
        </w:r>
        <w:r w:rsidR="005A11B4" w:rsidRPr="0025250D">
          <w:rPr>
            <w:rStyle w:val="Hyperlink"/>
            <w:rFonts w:hint="cs"/>
            <w:noProof/>
            <w:rtl/>
          </w:rPr>
          <w:t>ی</w:t>
        </w:r>
        <w:r w:rsidR="005A11B4" w:rsidRPr="0025250D">
          <w:rPr>
            <w:rStyle w:val="Hyperlink"/>
            <w:noProof/>
            <w:rtl/>
          </w:rPr>
          <w:t>: مدل‌ها، ارزش‌ها و چشم‌انداز‌ها</w:t>
        </w:r>
        <w:r w:rsidR="005A11B4" w:rsidRPr="0025250D">
          <w:rPr>
            <w:rStyle w:val="Hyperlink"/>
            <w:rFonts w:hint="cs"/>
            <w:noProof/>
            <w:rtl/>
          </w:rPr>
          <w:t>ی</w:t>
        </w:r>
        <w:r w:rsidR="005A11B4" w:rsidRPr="0025250D">
          <w:rPr>
            <w:rStyle w:val="Hyperlink"/>
            <w:noProof/>
            <w:rtl/>
          </w:rPr>
          <w:t xml:space="preserve"> موفق</w:t>
        </w:r>
        <w:r w:rsidR="005A11B4" w:rsidRPr="0025250D">
          <w:rPr>
            <w:rStyle w:val="Hyperlink"/>
            <w:rFonts w:hint="cs"/>
            <w:noProof/>
            <w:rtl/>
          </w:rPr>
          <w:t>ی</w:t>
        </w:r>
        <w:r w:rsidR="005A11B4" w:rsidRPr="0025250D">
          <w:rPr>
            <w:rStyle w:val="Hyperlink"/>
            <w:rFonts w:hint="eastAsia"/>
            <w:noProof/>
            <w:rtl/>
          </w:rPr>
          <w:t>ت</w:t>
        </w:r>
        <w:r w:rsidR="005A11B4" w:rsidRPr="0025250D">
          <w:rPr>
            <w:rStyle w:val="Hyperlink"/>
            <w:noProof/>
            <w:rtl/>
          </w:rPr>
          <w:t xml:space="preserve"> و پ</w:t>
        </w:r>
        <w:r w:rsidR="005A11B4" w:rsidRPr="0025250D">
          <w:rPr>
            <w:rStyle w:val="Hyperlink"/>
            <w:rFonts w:hint="cs"/>
            <w:noProof/>
            <w:rtl/>
          </w:rPr>
          <w:t>ی</w:t>
        </w:r>
        <w:r w:rsidR="005A11B4" w:rsidRPr="0025250D">
          <w:rPr>
            <w:rStyle w:val="Hyperlink"/>
            <w:rFonts w:hint="eastAsia"/>
            <w:noProof/>
            <w:rtl/>
          </w:rPr>
          <w:t>شرفت</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Toc127831289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146</w:t>
        </w:r>
        <w:r w:rsidR="005A11B4" w:rsidRPr="0025250D">
          <w:rPr>
            <w:noProof/>
            <w:webHidden/>
            <w:rtl/>
          </w:rPr>
          <w:fldChar w:fldCharType="end"/>
        </w:r>
      </w:hyperlink>
    </w:p>
    <w:p w14:paraId="01728A9A" w14:textId="23C97A49" w:rsidR="005A11B4" w:rsidRPr="0025250D" w:rsidRDefault="007A207F">
      <w:pPr>
        <w:pStyle w:val="TOC2"/>
        <w:tabs>
          <w:tab w:val="left" w:pos="1100"/>
          <w:tab w:val="right" w:leader="dot" w:pos="9060"/>
        </w:tabs>
        <w:rPr>
          <w:rFonts w:asciiTheme="minorHAnsi" w:eastAsiaTheme="minorEastAsia" w:hAnsiTheme="minorHAnsi" w:cstheme="minorBidi"/>
          <w:noProof/>
          <w:sz w:val="22"/>
          <w:rtl/>
          <w:lang w:bidi="ar-SA"/>
        </w:rPr>
      </w:pPr>
      <w:hyperlink w:anchor="_Toc127831290" w:history="1">
        <w:r w:rsidR="005A11B4" w:rsidRPr="0025250D">
          <w:rPr>
            <w:rStyle w:val="Hyperlink"/>
            <w:noProof/>
            <w:rtl/>
          </w:rPr>
          <w:t>1-23-</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چشم‌انداز</w:t>
        </w:r>
        <w:r w:rsidR="005A11B4" w:rsidRPr="0025250D">
          <w:rPr>
            <w:rStyle w:val="Hyperlink"/>
            <w:rFonts w:hint="cs"/>
            <w:noProof/>
            <w:rtl/>
          </w:rPr>
          <w:t>ی</w:t>
        </w:r>
        <w:r w:rsidR="005A11B4" w:rsidRPr="0025250D">
          <w:rPr>
            <w:rStyle w:val="Hyperlink"/>
            <w:noProof/>
            <w:rtl/>
          </w:rPr>
          <w:t xml:space="preserve"> از فرهنگ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جهان</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Toc127831290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150</w:t>
        </w:r>
        <w:r w:rsidR="005A11B4" w:rsidRPr="0025250D">
          <w:rPr>
            <w:noProof/>
            <w:webHidden/>
            <w:rtl/>
          </w:rPr>
          <w:fldChar w:fldCharType="end"/>
        </w:r>
      </w:hyperlink>
    </w:p>
    <w:p w14:paraId="223BDBA3" w14:textId="5845CF5F" w:rsidR="005A11B4" w:rsidRPr="0025250D" w:rsidRDefault="007A207F" w:rsidP="005A11B4">
      <w:pPr>
        <w:pStyle w:val="TOC1"/>
        <w:rPr>
          <w:rFonts w:asciiTheme="minorHAnsi" w:eastAsiaTheme="minorEastAsia" w:hAnsiTheme="minorHAnsi" w:cstheme="minorBidi"/>
          <w:noProof/>
          <w:sz w:val="22"/>
          <w:rtl/>
          <w:lang w:bidi="ar-SA"/>
        </w:rPr>
      </w:pPr>
      <w:hyperlink w:anchor="_Toc127831291" w:history="1">
        <w:r w:rsidR="005A11B4" w:rsidRPr="0025250D">
          <w:rPr>
            <w:rStyle w:val="Hyperlink"/>
            <w:noProof/>
            <w:rtl/>
          </w:rPr>
          <w:t>2-</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فصل 2: تخصص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w:t>
        </w:r>
        <w:r w:rsidR="005A11B4" w:rsidRPr="0025250D">
          <w:rPr>
            <w:rStyle w:val="Hyperlink"/>
            <w:rFonts w:cs="Times New Roman"/>
            <w:noProof/>
            <w:rtl/>
          </w:rPr>
          <w:t>–</w:t>
        </w:r>
        <w:r w:rsidR="005A11B4" w:rsidRPr="0025250D">
          <w:rPr>
            <w:rStyle w:val="Hyperlink"/>
            <w:noProof/>
            <w:rtl/>
          </w:rPr>
          <w:t xml:space="preserve"> وضع</w:t>
        </w:r>
        <w:r w:rsidR="005A11B4" w:rsidRPr="0025250D">
          <w:rPr>
            <w:rStyle w:val="Hyperlink"/>
            <w:rFonts w:hint="cs"/>
            <w:noProof/>
            <w:rtl/>
          </w:rPr>
          <w:t>ی</w:t>
        </w:r>
        <w:r w:rsidR="005A11B4" w:rsidRPr="0025250D">
          <w:rPr>
            <w:rStyle w:val="Hyperlink"/>
            <w:rFonts w:hint="eastAsia"/>
            <w:noProof/>
            <w:rtl/>
          </w:rPr>
          <w:t>ت</w:t>
        </w:r>
        <w:r w:rsidR="005A11B4" w:rsidRPr="0025250D">
          <w:rPr>
            <w:rStyle w:val="Hyperlink"/>
            <w:noProof/>
            <w:rtl/>
          </w:rPr>
          <w:t xml:space="preserve"> کنون</w:t>
        </w:r>
        <w:r w:rsidR="005A11B4" w:rsidRPr="0025250D">
          <w:rPr>
            <w:rStyle w:val="Hyperlink"/>
            <w:rFonts w:hint="cs"/>
            <w:noProof/>
            <w:rtl/>
          </w:rPr>
          <w:t>ی</w:t>
        </w:r>
        <w:r w:rsidR="005A11B4" w:rsidRPr="0025250D">
          <w:rPr>
            <w:rStyle w:val="Hyperlink"/>
            <w:noProof/>
            <w:rtl/>
          </w:rPr>
          <w:t xml:space="preserve"> ا</w:t>
        </w:r>
        <w:r w:rsidR="005A11B4" w:rsidRPr="0025250D">
          <w:rPr>
            <w:rStyle w:val="Hyperlink"/>
            <w:rFonts w:hint="cs"/>
            <w:noProof/>
            <w:rtl/>
          </w:rPr>
          <w:t>ی</w:t>
        </w:r>
        <w:r w:rsidR="005A11B4" w:rsidRPr="0025250D">
          <w:rPr>
            <w:rStyle w:val="Hyperlink"/>
            <w:rFonts w:hint="eastAsia"/>
            <w:noProof/>
            <w:rtl/>
          </w:rPr>
          <w:t>ن</w:t>
        </w:r>
        <w:r w:rsidR="005A11B4" w:rsidRPr="0025250D">
          <w:rPr>
            <w:rStyle w:val="Hyperlink"/>
            <w:noProof/>
            <w:rtl/>
          </w:rPr>
          <w:t xml:space="preserve"> زم</w:t>
        </w:r>
        <w:r w:rsidR="005A11B4" w:rsidRPr="0025250D">
          <w:rPr>
            <w:rStyle w:val="Hyperlink"/>
            <w:rFonts w:hint="cs"/>
            <w:noProof/>
            <w:rtl/>
          </w:rPr>
          <w:t>ی</w:t>
        </w:r>
        <w:r w:rsidR="005A11B4" w:rsidRPr="0025250D">
          <w:rPr>
            <w:rStyle w:val="Hyperlink"/>
            <w:rFonts w:hint="eastAsia"/>
            <w:noProof/>
            <w:rtl/>
          </w:rPr>
          <w:t>نه</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Toc127831291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154</w:t>
        </w:r>
        <w:r w:rsidR="005A11B4" w:rsidRPr="0025250D">
          <w:rPr>
            <w:noProof/>
            <w:webHidden/>
            <w:rtl/>
          </w:rPr>
          <w:fldChar w:fldCharType="end"/>
        </w:r>
      </w:hyperlink>
    </w:p>
    <w:p w14:paraId="6D65BDB3" w14:textId="420E9C6C"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292" w:history="1">
        <w:r w:rsidR="005A11B4" w:rsidRPr="0025250D">
          <w:rPr>
            <w:rStyle w:val="Hyperlink"/>
            <w:noProof/>
            <w:rtl/>
          </w:rPr>
          <w:t>2-1-</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تار</w:t>
        </w:r>
        <w:r w:rsidR="005A11B4" w:rsidRPr="0025250D">
          <w:rPr>
            <w:rStyle w:val="Hyperlink"/>
            <w:rFonts w:hint="cs"/>
            <w:noProof/>
            <w:rtl/>
          </w:rPr>
          <w:t>ی</w:t>
        </w:r>
        <w:r w:rsidR="005A11B4" w:rsidRPr="0025250D">
          <w:rPr>
            <w:rStyle w:val="Hyperlink"/>
            <w:rFonts w:hint="eastAsia"/>
            <w:noProof/>
            <w:rtl/>
          </w:rPr>
          <w:t>خچه‌ا</w:t>
        </w:r>
        <w:r w:rsidR="005A11B4" w:rsidRPr="0025250D">
          <w:rPr>
            <w:rStyle w:val="Hyperlink"/>
            <w:rFonts w:hint="cs"/>
            <w:noProof/>
            <w:rtl/>
          </w:rPr>
          <w:t>ی</w:t>
        </w:r>
        <w:r w:rsidR="005A11B4" w:rsidRPr="0025250D">
          <w:rPr>
            <w:rStyle w:val="Hyperlink"/>
            <w:noProof/>
            <w:rtl/>
          </w:rPr>
          <w:t xml:space="preserve"> بس</w:t>
        </w:r>
        <w:r w:rsidR="005A11B4" w:rsidRPr="0025250D">
          <w:rPr>
            <w:rStyle w:val="Hyperlink"/>
            <w:rFonts w:hint="cs"/>
            <w:noProof/>
            <w:rtl/>
          </w:rPr>
          <w:t>ی</w:t>
        </w:r>
        <w:r w:rsidR="005A11B4" w:rsidRPr="0025250D">
          <w:rPr>
            <w:rStyle w:val="Hyperlink"/>
            <w:rFonts w:hint="eastAsia"/>
            <w:noProof/>
            <w:rtl/>
          </w:rPr>
          <w:t>ار</w:t>
        </w:r>
        <w:r w:rsidR="005A11B4" w:rsidRPr="0025250D">
          <w:rPr>
            <w:rStyle w:val="Hyperlink"/>
            <w:noProof/>
            <w:rtl/>
          </w:rPr>
          <w:t xml:space="preserve"> کوتاه از ا</w:t>
        </w:r>
        <w:r w:rsidR="005A11B4" w:rsidRPr="0025250D">
          <w:rPr>
            <w:rStyle w:val="Hyperlink"/>
            <w:rFonts w:hint="cs"/>
            <w:noProof/>
            <w:rtl/>
          </w:rPr>
          <w:t>ی</w:t>
        </w:r>
        <w:r w:rsidR="005A11B4" w:rsidRPr="0025250D">
          <w:rPr>
            <w:rStyle w:val="Hyperlink"/>
            <w:rFonts w:hint="eastAsia"/>
            <w:noProof/>
            <w:rtl/>
          </w:rPr>
          <w:t>ن</w:t>
        </w:r>
        <w:r w:rsidR="005A11B4" w:rsidRPr="0025250D">
          <w:rPr>
            <w:rStyle w:val="Hyperlink"/>
            <w:noProof/>
            <w:rtl/>
          </w:rPr>
          <w:t xml:space="preserve"> زم</w:t>
        </w:r>
        <w:r w:rsidR="005A11B4" w:rsidRPr="0025250D">
          <w:rPr>
            <w:rStyle w:val="Hyperlink"/>
            <w:rFonts w:hint="cs"/>
            <w:noProof/>
            <w:rtl/>
          </w:rPr>
          <w:t>ی</w:t>
        </w:r>
        <w:r w:rsidR="005A11B4" w:rsidRPr="0025250D">
          <w:rPr>
            <w:rStyle w:val="Hyperlink"/>
            <w:rFonts w:hint="eastAsia"/>
            <w:noProof/>
            <w:rtl/>
          </w:rPr>
          <w:t>نه</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Toc127831292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155</w:t>
        </w:r>
        <w:r w:rsidR="005A11B4" w:rsidRPr="0025250D">
          <w:rPr>
            <w:noProof/>
            <w:webHidden/>
            <w:rtl/>
          </w:rPr>
          <w:fldChar w:fldCharType="end"/>
        </w:r>
      </w:hyperlink>
    </w:p>
    <w:p w14:paraId="732B7E4A" w14:textId="4BC20C2A" w:rsidR="005A11B4" w:rsidRPr="0025250D" w:rsidRDefault="007A207F">
      <w:pPr>
        <w:pStyle w:val="TOC2"/>
        <w:tabs>
          <w:tab w:val="left" w:pos="660"/>
          <w:tab w:val="right" w:leader="dot" w:pos="9060"/>
        </w:tabs>
        <w:rPr>
          <w:rFonts w:asciiTheme="minorHAnsi" w:eastAsiaTheme="minorEastAsia" w:hAnsiTheme="minorHAnsi" w:cstheme="minorBidi"/>
          <w:noProof/>
          <w:sz w:val="22"/>
          <w:rtl/>
          <w:lang w:bidi="ar-SA"/>
        </w:rPr>
      </w:pPr>
      <w:hyperlink w:anchor="_Toc127831293" w:history="1">
        <w:r w:rsidR="005A11B4" w:rsidRPr="0025250D">
          <w:rPr>
            <w:rStyle w:val="Hyperlink"/>
            <w:noProof/>
            <w:rtl/>
          </w:rPr>
          <w:t>2-2-</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25 مورد از برجسته تر</w:t>
        </w:r>
        <w:r w:rsidR="005A11B4" w:rsidRPr="0025250D">
          <w:rPr>
            <w:rStyle w:val="Hyperlink"/>
            <w:rFonts w:hint="cs"/>
            <w:noProof/>
            <w:rtl/>
          </w:rPr>
          <w:t>ی</w:t>
        </w:r>
        <w:r w:rsidR="005A11B4" w:rsidRPr="0025250D">
          <w:rPr>
            <w:rStyle w:val="Hyperlink"/>
            <w:rFonts w:hint="eastAsia"/>
            <w:noProof/>
            <w:rtl/>
          </w:rPr>
          <w:t>ن</w:t>
        </w:r>
        <w:r w:rsidR="005A11B4" w:rsidRPr="0025250D">
          <w:rPr>
            <w:rStyle w:val="Hyperlink"/>
            <w:noProof/>
            <w:rtl/>
          </w:rPr>
          <w:t xml:space="preserve"> آ</w:t>
        </w:r>
        <w:r w:rsidR="005A11B4" w:rsidRPr="0025250D">
          <w:rPr>
            <w:rStyle w:val="Hyperlink"/>
            <w:rFonts w:hint="cs"/>
            <w:noProof/>
            <w:rtl/>
          </w:rPr>
          <w:t>ی</w:t>
        </w:r>
        <w:r w:rsidR="005A11B4" w:rsidRPr="0025250D">
          <w:rPr>
            <w:rStyle w:val="Hyperlink"/>
            <w:rFonts w:hint="eastAsia"/>
            <w:noProof/>
            <w:rtl/>
          </w:rPr>
          <w:t>نده‌پژوه</w:t>
        </w:r>
        <w:r w:rsidR="005A11B4" w:rsidRPr="0025250D">
          <w:rPr>
            <w:rStyle w:val="Hyperlink"/>
            <w:noProof/>
            <w:rtl/>
          </w:rPr>
          <w:t>ان و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noProof/>
            <w:rtl/>
          </w:rPr>
          <w:t>ان در قرن ب</w:t>
        </w:r>
        <w:r w:rsidR="005A11B4" w:rsidRPr="0025250D">
          <w:rPr>
            <w:rStyle w:val="Hyperlink"/>
            <w:rFonts w:hint="cs"/>
            <w:noProof/>
            <w:rtl/>
          </w:rPr>
          <w:t>ی</w:t>
        </w:r>
        <w:r w:rsidR="005A11B4" w:rsidRPr="0025250D">
          <w:rPr>
            <w:rStyle w:val="Hyperlink"/>
            <w:rFonts w:hint="eastAsia"/>
            <w:noProof/>
            <w:rtl/>
          </w:rPr>
          <w:t>ستم</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Toc127831293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159</w:t>
        </w:r>
        <w:r w:rsidR="005A11B4" w:rsidRPr="0025250D">
          <w:rPr>
            <w:noProof/>
            <w:webHidden/>
            <w:rtl/>
          </w:rPr>
          <w:fldChar w:fldCharType="end"/>
        </w:r>
      </w:hyperlink>
    </w:p>
    <w:p w14:paraId="6698C1A9" w14:textId="7B10A9DF"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294" w:history="1">
        <w:r w:rsidR="005A11B4" w:rsidRPr="0025250D">
          <w:rPr>
            <w:rStyle w:val="Hyperlink"/>
            <w:noProof/>
            <w:rtl/>
          </w:rPr>
          <w:t>2-3-</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وضع</w:t>
        </w:r>
        <w:r w:rsidR="005A11B4" w:rsidRPr="0025250D">
          <w:rPr>
            <w:rStyle w:val="Hyperlink"/>
            <w:rFonts w:hint="cs"/>
            <w:noProof/>
            <w:rtl/>
          </w:rPr>
          <w:t>ی</w:t>
        </w:r>
        <w:r w:rsidR="005A11B4" w:rsidRPr="0025250D">
          <w:rPr>
            <w:rStyle w:val="Hyperlink"/>
            <w:rFonts w:hint="eastAsia"/>
            <w:noProof/>
            <w:rtl/>
          </w:rPr>
          <w:t>ت</w:t>
        </w:r>
        <w:r w:rsidR="005A11B4" w:rsidRPr="0025250D">
          <w:rPr>
            <w:rStyle w:val="Hyperlink"/>
            <w:noProof/>
            <w:rtl/>
          </w:rPr>
          <w:t xml:space="preserve"> فعل</w:t>
        </w:r>
        <w:r w:rsidR="005A11B4" w:rsidRPr="0025250D">
          <w:rPr>
            <w:rStyle w:val="Hyperlink"/>
            <w:rFonts w:hint="cs"/>
            <w:noProof/>
            <w:rtl/>
          </w:rPr>
          <w:t>ی</w:t>
        </w:r>
        <w:r w:rsidR="005A11B4" w:rsidRPr="0025250D">
          <w:rPr>
            <w:rStyle w:val="Hyperlink"/>
            <w:noProof/>
            <w:rtl/>
          </w:rPr>
          <w:t xml:space="preserve"> زم</w:t>
        </w:r>
        <w:r w:rsidR="005A11B4" w:rsidRPr="0025250D">
          <w:rPr>
            <w:rStyle w:val="Hyperlink"/>
            <w:rFonts w:hint="cs"/>
            <w:noProof/>
            <w:rtl/>
          </w:rPr>
          <w:t>ی</w:t>
        </w:r>
        <w:r w:rsidR="005A11B4" w:rsidRPr="0025250D">
          <w:rPr>
            <w:rStyle w:val="Hyperlink"/>
            <w:rFonts w:hint="eastAsia"/>
            <w:noProof/>
            <w:rtl/>
          </w:rPr>
          <w:t>نه</w:t>
        </w:r>
        <w:r w:rsidR="005A11B4" w:rsidRPr="0025250D">
          <w:rPr>
            <w:rStyle w:val="Hyperlink"/>
            <w:noProof/>
          </w:rPr>
          <w:t>‌</w:t>
        </w:r>
        <w:r w:rsidR="005A11B4" w:rsidRPr="0025250D">
          <w:rPr>
            <w:rStyle w:val="Hyperlink"/>
            <w:noProof/>
            <w:rtl/>
          </w:rPr>
          <w:t xml:space="preserve">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Toc127831294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162</w:t>
        </w:r>
        <w:r w:rsidR="005A11B4" w:rsidRPr="0025250D">
          <w:rPr>
            <w:noProof/>
            <w:webHidden/>
            <w:rtl/>
          </w:rPr>
          <w:fldChar w:fldCharType="end"/>
        </w:r>
      </w:hyperlink>
    </w:p>
    <w:p w14:paraId="0D4A5613" w14:textId="6154AF3F"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295" w:history="1">
        <w:r w:rsidR="005A11B4" w:rsidRPr="0025250D">
          <w:rPr>
            <w:rStyle w:val="Hyperlink"/>
            <w:noProof/>
          </w:rPr>
          <w:t>2-4-</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افسانه</w:t>
        </w:r>
        <w:r w:rsidR="005A11B4" w:rsidRPr="0025250D">
          <w:rPr>
            <w:rStyle w:val="Hyperlink"/>
            <w:noProof/>
          </w:rPr>
          <w:t>‌</w:t>
        </w:r>
        <w:r w:rsidR="005A11B4" w:rsidRPr="0025250D">
          <w:rPr>
            <w:rStyle w:val="Hyperlink"/>
            <w:noProof/>
            <w:rtl/>
          </w:rPr>
          <w:t xml:space="preserve"> بزرگ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Toc127831295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163</w:t>
        </w:r>
        <w:r w:rsidR="005A11B4" w:rsidRPr="0025250D">
          <w:rPr>
            <w:noProof/>
            <w:webHidden/>
            <w:rtl/>
          </w:rPr>
          <w:fldChar w:fldCharType="end"/>
        </w:r>
      </w:hyperlink>
    </w:p>
    <w:p w14:paraId="77D4DD08" w14:textId="4347163C"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296" w:history="1">
        <w:r w:rsidR="005A11B4" w:rsidRPr="0025250D">
          <w:rPr>
            <w:rStyle w:val="Hyperlink"/>
            <w:noProof/>
            <w:rtl/>
          </w:rPr>
          <w:t>2-5-</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راز آشکار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Toc127831296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166</w:t>
        </w:r>
        <w:r w:rsidR="005A11B4" w:rsidRPr="0025250D">
          <w:rPr>
            <w:noProof/>
            <w:webHidden/>
            <w:rtl/>
          </w:rPr>
          <w:fldChar w:fldCharType="end"/>
        </w:r>
      </w:hyperlink>
    </w:p>
    <w:p w14:paraId="3C307CB5" w14:textId="66159684" w:rsidR="005A11B4" w:rsidRPr="0025250D" w:rsidRDefault="007A207F">
      <w:pPr>
        <w:pStyle w:val="TOC2"/>
        <w:tabs>
          <w:tab w:val="left" w:pos="1320"/>
          <w:tab w:val="right" w:leader="dot" w:pos="9060"/>
        </w:tabs>
        <w:rPr>
          <w:rFonts w:asciiTheme="minorHAnsi" w:eastAsiaTheme="minorEastAsia" w:hAnsiTheme="minorHAnsi" w:cstheme="minorBidi"/>
          <w:noProof/>
          <w:sz w:val="22"/>
          <w:rtl/>
          <w:lang w:bidi="ar-SA"/>
        </w:rPr>
      </w:pPr>
      <w:hyperlink w:anchor="_Toc127831297" w:history="1">
        <w:r w:rsidR="005A11B4" w:rsidRPr="0025250D">
          <w:rPr>
            <w:rStyle w:val="Hyperlink"/>
            <w:noProof/>
            <w:rtl/>
          </w:rPr>
          <w:t>2-6-</w:t>
        </w:r>
        <w:r w:rsidR="005A11B4" w:rsidRPr="0025250D">
          <w:rPr>
            <w:rFonts w:asciiTheme="minorHAnsi" w:eastAsiaTheme="minorEastAsia" w:hAnsiTheme="minorHAnsi" w:cstheme="minorBidi"/>
            <w:noProof/>
            <w:sz w:val="22"/>
            <w:rtl/>
            <w:lang w:bidi="ar-SA"/>
          </w:rPr>
          <w:tab/>
        </w:r>
        <w:r w:rsidR="005A11B4" w:rsidRPr="0025250D">
          <w:rPr>
            <w:rStyle w:val="Hyperlink"/>
            <w:noProof/>
          </w:rPr>
          <w:t>LAIS</w:t>
        </w:r>
        <w:r w:rsidR="005A11B4" w:rsidRPr="0025250D">
          <w:rPr>
            <w:rStyle w:val="Hyperlink"/>
            <w:noProof/>
            <w:rtl/>
          </w:rPr>
          <w:t>: چهار مهارت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راهبرد</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Toc127831297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168</w:t>
        </w:r>
        <w:r w:rsidR="005A11B4" w:rsidRPr="0025250D">
          <w:rPr>
            <w:noProof/>
            <w:webHidden/>
            <w:rtl/>
          </w:rPr>
          <w:fldChar w:fldCharType="end"/>
        </w:r>
      </w:hyperlink>
    </w:p>
    <w:p w14:paraId="2B2D0EE3" w14:textId="5322EC4C"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298" w:history="1">
        <w:r w:rsidR="005A11B4" w:rsidRPr="0025250D">
          <w:rPr>
            <w:rStyle w:val="Hyperlink"/>
            <w:noProof/>
            <w:rtl/>
          </w:rPr>
          <w:t>2-7-</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هشت مهارت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انطباق</w:t>
        </w:r>
        <w:r w:rsidR="005A11B4" w:rsidRPr="0025250D">
          <w:rPr>
            <w:rStyle w:val="Hyperlink"/>
            <w:rFonts w:hint="cs"/>
            <w:noProof/>
            <w:rtl/>
          </w:rPr>
          <w:t>ی</w:t>
        </w:r>
        <w:r w:rsidR="005A11B4" w:rsidRPr="0025250D">
          <w:rPr>
            <w:rStyle w:val="Hyperlink"/>
            <w:noProof/>
            <w:rtl/>
          </w:rPr>
          <w:t xml:space="preserve"> (مهارت‌ها</w:t>
        </w:r>
        <w:r w:rsidR="005A11B4" w:rsidRPr="0025250D">
          <w:rPr>
            <w:rStyle w:val="Hyperlink"/>
            <w:rFonts w:hint="cs"/>
            <w:noProof/>
            <w:rtl/>
          </w:rPr>
          <w:t>ی</w:t>
        </w:r>
        <w:r w:rsidR="005A11B4" w:rsidRPr="0025250D">
          <w:rPr>
            <w:rStyle w:val="Hyperlink"/>
            <w:noProof/>
            <w:rtl/>
          </w:rPr>
          <w:t xml:space="preserve"> </w:t>
        </w:r>
        <w:r w:rsidR="005A11B4" w:rsidRPr="0025250D">
          <w:rPr>
            <w:rStyle w:val="Hyperlink"/>
            <w:noProof/>
          </w:rPr>
          <w:t>LAISEIRR</w:t>
        </w:r>
        <w:r w:rsidR="005A11B4" w:rsidRPr="0025250D">
          <w:rPr>
            <w:rStyle w:val="Hyperlink"/>
            <w:noProof/>
            <w:rtl/>
          </w:rPr>
          <w:t>)</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Toc127831298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176</w:t>
        </w:r>
        <w:r w:rsidR="005A11B4" w:rsidRPr="0025250D">
          <w:rPr>
            <w:noProof/>
            <w:webHidden/>
            <w:rtl/>
          </w:rPr>
          <w:fldChar w:fldCharType="end"/>
        </w:r>
      </w:hyperlink>
    </w:p>
    <w:p w14:paraId="7AA0D9DA" w14:textId="32A3B448"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299" w:history="1">
        <w:r w:rsidR="005A11B4" w:rsidRPr="0025250D">
          <w:rPr>
            <w:rStyle w:val="Hyperlink"/>
            <w:noProof/>
            <w:rtl/>
          </w:rPr>
          <w:t>2-8-</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ب</w:t>
        </w:r>
        <w:r w:rsidR="005A11B4" w:rsidRPr="0025250D">
          <w:rPr>
            <w:rStyle w:val="Hyperlink"/>
            <w:rFonts w:hint="cs"/>
            <w:noProof/>
            <w:rtl/>
          </w:rPr>
          <w:t>ی</w:t>
        </w:r>
        <w:r w:rsidR="005A11B4" w:rsidRPr="0025250D">
          <w:rPr>
            <w:rStyle w:val="Hyperlink"/>
            <w:rFonts w:hint="eastAsia"/>
            <w:noProof/>
            <w:rtl/>
          </w:rPr>
          <w:t>ست</w:t>
        </w:r>
        <w:r w:rsidR="005A11B4" w:rsidRPr="0025250D">
          <w:rPr>
            <w:rStyle w:val="Hyperlink"/>
            <w:noProof/>
            <w:rtl/>
          </w:rPr>
          <w:t xml:space="preserve"> تخصص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سازمان</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Toc127831299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180</w:t>
        </w:r>
        <w:r w:rsidR="005A11B4" w:rsidRPr="0025250D">
          <w:rPr>
            <w:noProof/>
            <w:webHidden/>
            <w:rtl/>
          </w:rPr>
          <w:fldChar w:fldCharType="end"/>
        </w:r>
      </w:hyperlink>
    </w:p>
    <w:p w14:paraId="07D273AA" w14:textId="5D56AB1A"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00" w:history="1">
        <w:r w:rsidR="005A11B4" w:rsidRPr="0025250D">
          <w:rPr>
            <w:rStyle w:val="Hyperlink"/>
            <w:noProof/>
            <w:rtl/>
          </w:rPr>
          <w:t>2-9-</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حلقه انجام در سه سطح از جزئ</w:t>
        </w:r>
        <w:r w:rsidR="005A11B4" w:rsidRPr="0025250D">
          <w:rPr>
            <w:rStyle w:val="Hyperlink"/>
            <w:rFonts w:hint="cs"/>
            <w:noProof/>
            <w:rtl/>
          </w:rPr>
          <w:t>ی</w:t>
        </w:r>
        <w:r w:rsidR="005A11B4" w:rsidRPr="0025250D">
          <w:rPr>
            <w:rStyle w:val="Hyperlink"/>
            <w:rFonts w:hint="eastAsia"/>
            <w:noProof/>
            <w:rtl/>
          </w:rPr>
          <w:t>ات</w:t>
        </w:r>
        <w:r w:rsidR="005A11B4" w:rsidRPr="0025250D">
          <w:rPr>
            <w:rStyle w:val="Hyperlink"/>
            <w:noProof/>
            <w:rtl/>
          </w:rPr>
          <w:t xml:space="preserve"> </w:t>
        </w:r>
        <w:r w:rsidR="005A11B4" w:rsidRPr="0025250D">
          <w:rPr>
            <w:rStyle w:val="Hyperlink"/>
            <w:rFonts w:cs="Times New Roman"/>
            <w:noProof/>
            <w:rtl/>
          </w:rPr>
          <w:t>–</w:t>
        </w:r>
        <w:r w:rsidR="005A11B4" w:rsidRPr="0025250D">
          <w:rPr>
            <w:rStyle w:val="Hyperlink"/>
            <w:noProof/>
            <w:rtl/>
          </w:rPr>
          <w:t xml:space="preserve"> گام‌ها، مهارت‌ها و تخصص‌ها</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Toc127831300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189</w:t>
        </w:r>
        <w:r w:rsidR="005A11B4" w:rsidRPr="0025250D">
          <w:rPr>
            <w:noProof/>
            <w:webHidden/>
            <w:rtl/>
          </w:rPr>
          <w:fldChar w:fldCharType="end"/>
        </w:r>
      </w:hyperlink>
    </w:p>
    <w:p w14:paraId="2FABF0CA" w14:textId="4B27F645" w:rsidR="005A11B4" w:rsidRPr="0025250D" w:rsidRDefault="007A207F">
      <w:pPr>
        <w:pStyle w:val="TOC2"/>
        <w:tabs>
          <w:tab w:val="left" w:pos="1100"/>
          <w:tab w:val="right" w:leader="dot" w:pos="9060"/>
        </w:tabs>
        <w:rPr>
          <w:rFonts w:asciiTheme="minorHAnsi" w:eastAsiaTheme="minorEastAsia" w:hAnsiTheme="minorHAnsi" w:cstheme="minorBidi"/>
          <w:noProof/>
          <w:sz w:val="22"/>
          <w:rtl/>
          <w:lang w:bidi="ar-SA"/>
        </w:rPr>
      </w:pPr>
      <w:hyperlink w:anchor="_Toc127831301" w:history="1">
        <w:r w:rsidR="005A11B4" w:rsidRPr="0025250D">
          <w:rPr>
            <w:rStyle w:val="Hyperlink"/>
            <w:noProof/>
            <w:rtl/>
          </w:rPr>
          <w:t>2-10-</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تمرکز تخصص</w:t>
        </w:r>
        <w:r w:rsidR="005A11B4" w:rsidRPr="0025250D">
          <w:rPr>
            <w:rStyle w:val="Hyperlink"/>
            <w:rFonts w:hint="cs"/>
            <w:noProof/>
            <w:rtl/>
          </w:rPr>
          <w:t>ی</w:t>
        </w:r>
        <w:r w:rsidR="005A11B4" w:rsidRPr="0025250D">
          <w:rPr>
            <w:rStyle w:val="Hyperlink"/>
            <w:noProof/>
            <w:rtl/>
          </w:rPr>
          <w:t>: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سرما</w:t>
        </w:r>
        <w:r w:rsidR="005A11B4" w:rsidRPr="0025250D">
          <w:rPr>
            <w:rStyle w:val="Hyperlink"/>
            <w:rFonts w:hint="cs"/>
            <w:noProof/>
            <w:rtl/>
          </w:rPr>
          <w:t>ی</w:t>
        </w:r>
        <w:r w:rsidR="005A11B4" w:rsidRPr="0025250D">
          <w:rPr>
            <w:rStyle w:val="Hyperlink"/>
            <w:rFonts w:hint="eastAsia"/>
            <w:noProof/>
            <w:rtl/>
          </w:rPr>
          <w:t>ه‌گذار</w:t>
        </w:r>
        <w:r w:rsidR="005A11B4" w:rsidRPr="0025250D">
          <w:rPr>
            <w:rStyle w:val="Hyperlink"/>
            <w:rFonts w:hint="cs"/>
            <w:noProof/>
            <w:rtl/>
          </w:rPr>
          <w:t>ی</w:t>
        </w:r>
        <w:r w:rsidR="005A11B4" w:rsidRPr="0025250D">
          <w:rPr>
            <w:rStyle w:val="Hyperlink"/>
            <w:noProof/>
            <w:rtl/>
          </w:rPr>
          <w:t xml:space="preserve"> و امور مال</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Toc127831301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191</w:t>
        </w:r>
        <w:r w:rsidR="005A11B4" w:rsidRPr="0025250D">
          <w:rPr>
            <w:noProof/>
            <w:webHidden/>
            <w:rtl/>
          </w:rPr>
          <w:fldChar w:fldCharType="end"/>
        </w:r>
      </w:hyperlink>
    </w:p>
    <w:p w14:paraId="7241396A" w14:textId="73BC894A" w:rsidR="005A11B4" w:rsidRPr="0025250D" w:rsidRDefault="007A207F">
      <w:pPr>
        <w:pStyle w:val="TOC2"/>
        <w:tabs>
          <w:tab w:val="left" w:pos="660"/>
          <w:tab w:val="right" w:leader="dot" w:pos="9060"/>
        </w:tabs>
        <w:rPr>
          <w:rFonts w:asciiTheme="minorHAnsi" w:eastAsiaTheme="minorEastAsia" w:hAnsiTheme="minorHAnsi" w:cstheme="minorBidi"/>
          <w:noProof/>
          <w:sz w:val="22"/>
          <w:rtl/>
          <w:lang w:bidi="ar-SA"/>
        </w:rPr>
      </w:pPr>
      <w:hyperlink w:anchor="_Toc127831302" w:history="1">
        <w:r w:rsidR="005A11B4" w:rsidRPr="0025250D">
          <w:rPr>
            <w:rStyle w:val="Hyperlink"/>
            <w:noProof/>
            <w:rtl/>
          </w:rPr>
          <w:t>2-11-</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6 نقش برا</w:t>
        </w:r>
        <w:r w:rsidR="005A11B4" w:rsidRPr="0025250D">
          <w:rPr>
            <w:rStyle w:val="Hyperlink"/>
            <w:rFonts w:hint="cs"/>
            <w:noProof/>
            <w:rtl/>
          </w:rPr>
          <w:t>ی</w:t>
        </w:r>
        <w:r w:rsidR="005A11B4" w:rsidRPr="0025250D">
          <w:rPr>
            <w:rStyle w:val="Hyperlink"/>
            <w:noProof/>
            <w:rtl/>
          </w:rPr>
          <w:t xml:space="preserve"> رهبران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برخ</w:t>
        </w:r>
        <w:r w:rsidR="005A11B4" w:rsidRPr="0025250D">
          <w:rPr>
            <w:rStyle w:val="Hyperlink"/>
            <w:rFonts w:hint="cs"/>
            <w:noProof/>
            <w:rtl/>
          </w:rPr>
          <w:t>ی</w:t>
        </w:r>
        <w:r w:rsidR="005A11B4" w:rsidRPr="0025250D">
          <w:rPr>
            <w:rStyle w:val="Hyperlink"/>
            <w:noProof/>
            <w:rtl/>
          </w:rPr>
          <w:t xml:space="preserve"> کارکردها</w:t>
        </w:r>
        <w:r w:rsidR="005A11B4" w:rsidRPr="0025250D">
          <w:rPr>
            <w:rStyle w:val="Hyperlink"/>
            <w:rFonts w:hint="cs"/>
            <w:noProof/>
            <w:rtl/>
          </w:rPr>
          <w:t>ی</w:t>
        </w:r>
        <w:r w:rsidR="005A11B4" w:rsidRPr="0025250D">
          <w:rPr>
            <w:rStyle w:val="Hyperlink"/>
            <w:noProof/>
            <w:rtl/>
          </w:rPr>
          <w:t xml:space="preserve"> اجتماع</w:t>
        </w:r>
        <w:r w:rsidR="005A11B4" w:rsidRPr="0025250D">
          <w:rPr>
            <w:rStyle w:val="Hyperlink"/>
            <w:rFonts w:hint="cs"/>
            <w:noProof/>
            <w:rtl/>
          </w:rPr>
          <w:t>ی</w:t>
        </w:r>
        <w:r w:rsidR="005A11B4" w:rsidRPr="0025250D">
          <w:rPr>
            <w:rStyle w:val="Hyperlink"/>
            <w:noProof/>
            <w:rtl/>
          </w:rPr>
          <w:t xml:space="preserve"> ضرور</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Toc127831302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201</w:t>
        </w:r>
        <w:r w:rsidR="005A11B4" w:rsidRPr="0025250D">
          <w:rPr>
            <w:noProof/>
            <w:webHidden/>
            <w:rtl/>
          </w:rPr>
          <w:fldChar w:fldCharType="end"/>
        </w:r>
      </w:hyperlink>
    </w:p>
    <w:p w14:paraId="4B449503" w14:textId="4E8C3C8C" w:rsidR="005A11B4" w:rsidRPr="0025250D" w:rsidRDefault="007A207F">
      <w:pPr>
        <w:pStyle w:val="TOC2"/>
        <w:tabs>
          <w:tab w:val="left" w:pos="1100"/>
          <w:tab w:val="right" w:leader="dot" w:pos="9060"/>
        </w:tabs>
        <w:rPr>
          <w:rFonts w:asciiTheme="minorHAnsi" w:eastAsiaTheme="minorEastAsia" w:hAnsiTheme="minorHAnsi" w:cstheme="minorBidi"/>
          <w:noProof/>
          <w:sz w:val="22"/>
          <w:rtl/>
          <w:lang w:bidi="ar-SA"/>
        </w:rPr>
      </w:pPr>
      <w:hyperlink w:anchor="_Toc127831303" w:history="1">
        <w:r w:rsidR="005A11B4" w:rsidRPr="0025250D">
          <w:rPr>
            <w:rStyle w:val="Hyperlink"/>
            <w:noProof/>
            <w:rtl/>
          </w:rPr>
          <w:t>2-12-</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هرم‌ها</w:t>
        </w:r>
        <w:r w:rsidR="005A11B4" w:rsidRPr="0025250D">
          <w:rPr>
            <w:rStyle w:val="Hyperlink"/>
            <w:rFonts w:hint="cs"/>
            <w:noProof/>
            <w:rtl/>
          </w:rPr>
          <w:t>ی</w:t>
        </w:r>
        <w:r w:rsidR="005A11B4" w:rsidRPr="0025250D">
          <w:rPr>
            <w:rStyle w:val="Hyperlink"/>
            <w:noProof/>
            <w:rtl/>
          </w:rPr>
          <w:t xml:space="preserve">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هنجار</w:t>
        </w:r>
        <w:r w:rsidR="005A11B4" w:rsidRPr="0025250D">
          <w:rPr>
            <w:rStyle w:val="Hyperlink"/>
            <w:rFonts w:hint="cs"/>
            <w:noProof/>
            <w:rtl/>
          </w:rPr>
          <w:t>ی</w:t>
        </w:r>
        <w:r w:rsidR="005A11B4" w:rsidRPr="0025250D">
          <w:rPr>
            <w:rStyle w:val="Hyperlink"/>
            <w:noProof/>
            <w:rtl/>
          </w:rPr>
          <w:t xml:space="preserve">: </w:t>
        </w:r>
        <w:r w:rsidR="005A11B4" w:rsidRPr="0025250D">
          <w:rPr>
            <w:rStyle w:val="Hyperlink"/>
            <w:rFonts w:hint="cs"/>
            <w:noProof/>
            <w:rtl/>
          </w:rPr>
          <w:t>ی</w:t>
        </w:r>
        <w:r w:rsidR="005A11B4" w:rsidRPr="0025250D">
          <w:rPr>
            <w:rStyle w:val="Hyperlink"/>
            <w:rFonts w:hint="eastAsia"/>
            <w:noProof/>
            <w:rtl/>
          </w:rPr>
          <w:t>افتن</w:t>
        </w:r>
        <w:r w:rsidR="005A11B4" w:rsidRPr="0025250D">
          <w:rPr>
            <w:rStyle w:val="Hyperlink"/>
            <w:noProof/>
            <w:rtl/>
          </w:rPr>
          <w:t xml:space="preserve"> ارزش‌ها و چشم‌انداز‌ها</w:t>
        </w:r>
        <w:r w:rsidR="005A11B4" w:rsidRPr="0025250D">
          <w:rPr>
            <w:rStyle w:val="Hyperlink"/>
            <w:rFonts w:hint="cs"/>
            <w:noProof/>
            <w:rtl/>
          </w:rPr>
          <w:t>ی</w:t>
        </w:r>
        <w:r w:rsidR="005A11B4" w:rsidRPr="0025250D">
          <w:rPr>
            <w:rStyle w:val="Hyperlink"/>
            <w:noProof/>
            <w:rtl/>
          </w:rPr>
          <w:t xml:space="preserve"> موفق</w:t>
        </w:r>
        <w:r w:rsidR="005A11B4" w:rsidRPr="0025250D">
          <w:rPr>
            <w:rStyle w:val="Hyperlink"/>
            <w:rFonts w:hint="cs"/>
            <w:noProof/>
            <w:rtl/>
          </w:rPr>
          <w:t>ی</w:t>
        </w:r>
        <w:r w:rsidR="005A11B4" w:rsidRPr="0025250D">
          <w:rPr>
            <w:rStyle w:val="Hyperlink"/>
            <w:rFonts w:hint="eastAsia"/>
            <w:noProof/>
            <w:rtl/>
          </w:rPr>
          <w:t>ت</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Toc127831303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205</w:t>
        </w:r>
        <w:r w:rsidR="005A11B4" w:rsidRPr="0025250D">
          <w:rPr>
            <w:noProof/>
            <w:webHidden/>
            <w:rtl/>
          </w:rPr>
          <w:fldChar w:fldCharType="end"/>
        </w:r>
      </w:hyperlink>
    </w:p>
    <w:p w14:paraId="21157786" w14:textId="758A169A" w:rsidR="005A11B4" w:rsidRPr="0025250D" w:rsidRDefault="007A207F">
      <w:pPr>
        <w:pStyle w:val="TOC2"/>
        <w:tabs>
          <w:tab w:val="left" w:pos="1100"/>
          <w:tab w:val="right" w:leader="dot" w:pos="9060"/>
        </w:tabs>
        <w:rPr>
          <w:rFonts w:asciiTheme="minorHAnsi" w:eastAsiaTheme="minorEastAsia" w:hAnsiTheme="minorHAnsi" w:cstheme="minorBidi"/>
          <w:noProof/>
          <w:sz w:val="22"/>
          <w:rtl/>
          <w:lang w:bidi="ar-SA"/>
        </w:rPr>
      </w:pPr>
      <w:hyperlink w:anchor="_Toc127831304" w:history="1">
        <w:r w:rsidR="005A11B4" w:rsidRPr="0025250D">
          <w:rPr>
            <w:rStyle w:val="Hyperlink"/>
            <w:noProof/>
            <w:rtl/>
          </w:rPr>
          <w:t>2-13-</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جامعه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تخصص</w:t>
        </w:r>
        <w:r w:rsidR="005A11B4" w:rsidRPr="0025250D">
          <w:rPr>
            <w:rStyle w:val="Hyperlink"/>
            <w:rFonts w:hint="cs"/>
            <w:noProof/>
            <w:rtl/>
          </w:rPr>
          <w:t>ی</w:t>
        </w:r>
        <w:r w:rsidR="005A11B4" w:rsidRPr="0025250D">
          <w:rPr>
            <w:rStyle w:val="Hyperlink"/>
            <w:noProof/>
            <w:rtl/>
          </w:rPr>
          <w:t xml:space="preserve"> چقدر بزرگ است؟</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Toc127831304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216</w:t>
        </w:r>
        <w:r w:rsidR="005A11B4" w:rsidRPr="0025250D">
          <w:rPr>
            <w:noProof/>
            <w:webHidden/>
            <w:rtl/>
          </w:rPr>
          <w:fldChar w:fldCharType="end"/>
        </w:r>
      </w:hyperlink>
    </w:p>
    <w:p w14:paraId="4F970494" w14:textId="73AD3D24" w:rsidR="005A11B4" w:rsidRPr="0025250D" w:rsidRDefault="007A207F">
      <w:pPr>
        <w:pStyle w:val="TOC2"/>
        <w:tabs>
          <w:tab w:val="left" w:pos="1100"/>
          <w:tab w:val="right" w:leader="dot" w:pos="9060"/>
        </w:tabs>
        <w:rPr>
          <w:rFonts w:asciiTheme="minorHAnsi" w:eastAsiaTheme="minorEastAsia" w:hAnsiTheme="minorHAnsi" w:cstheme="minorBidi"/>
          <w:noProof/>
          <w:sz w:val="22"/>
          <w:rtl/>
          <w:lang w:bidi="ar-SA"/>
        </w:rPr>
      </w:pPr>
      <w:hyperlink w:anchor="_Toc127831305" w:history="1">
        <w:r w:rsidR="005A11B4" w:rsidRPr="0025250D">
          <w:rPr>
            <w:rStyle w:val="Hyperlink"/>
            <w:noProof/>
            <w:rtl/>
          </w:rPr>
          <w:t>2-14-</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خودمان را چه م</w:t>
        </w:r>
        <w:r w:rsidR="005A11B4" w:rsidRPr="0025250D">
          <w:rPr>
            <w:rStyle w:val="Hyperlink"/>
            <w:rFonts w:hint="cs"/>
            <w:noProof/>
            <w:rtl/>
          </w:rPr>
          <w:t>ی‌</w:t>
        </w:r>
        <w:r w:rsidR="005A11B4" w:rsidRPr="0025250D">
          <w:rPr>
            <w:rStyle w:val="Hyperlink"/>
            <w:rFonts w:hint="eastAsia"/>
            <w:noProof/>
            <w:rtl/>
          </w:rPr>
          <w:t>نام</w:t>
        </w:r>
        <w:r w:rsidR="005A11B4" w:rsidRPr="0025250D">
          <w:rPr>
            <w:rStyle w:val="Hyperlink"/>
            <w:rFonts w:hint="cs"/>
            <w:noProof/>
            <w:rtl/>
          </w:rPr>
          <w:t>ی</w:t>
        </w:r>
        <w:r w:rsidR="005A11B4" w:rsidRPr="0025250D">
          <w:rPr>
            <w:rStyle w:val="Hyperlink"/>
            <w:rFonts w:hint="eastAsia"/>
            <w:noProof/>
            <w:rtl/>
          </w:rPr>
          <w:t>م؟</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Toc127831305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219</w:t>
        </w:r>
        <w:r w:rsidR="005A11B4" w:rsidRPr="0025250D">
          <w:rPr>
            <w:noProof/>
            <w:webHidden/>
            <w:rtl/>
          </w:rPr>
          <w:fldChar w:fldCharType="end"/>
        </w:r>
      </w:hyperlink>
    </w:p>
    <w:p w14:paraId="6F9784BE" w14:textId="661A65C3" w:rsidR="005A11B4" w:rsidRPr="0025250D" w:rsidRDefault="007A207F">
      <w:pPr>
        <w:pStyle w:val="TOC2"/>
        <w:tabs>
          <w:tab w:val="left" w:pos="1100"/>
          <w:tab w:val="right" w:leader="dot" w:pos="9060"/>
        </w:tabs>
        <w:rPr>
          <w:rFonts w:asciiTheme="minorHAnsi" w:eastAsiaTheme="minorEastAsia" w:hAnsiTheme="minorHAnsi" w:cstheme="minorBidi"/>
          <w:noProof/>
          <w:sz w:val="22"/>
          <w:rtl/>
          <w:lang w:bidi="ar-SA"/>
        </w:rPr>
      </w:pPr>
      <w:hyperlink w:anchor="_Toc127831306" w:history="1">
        <w:r w:rsidR="005A11B4" w:rsidRPr="0025250D">
          <w:rPr>
            <w:rStyle w:val="Hyperlink"/>
            <w:noProof/>
            <w:rtl/>
          </w:rPr>
          <w:t>2-15-</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جوامع فعال در زم</w:t>
        </w:r>
        <w:r w:rsidR="005A11B4" w:rsidRPr="0025250D">
          <w:rPr>
            <w:rStyle w:val="Hyperlink"/>
            <w:rFonts w:hint="cs"/>
            <w:noProof/>
            <w:rtl/>
          </w:rPr>
          <w:t>ی</w:t>
        </w:r>
        <w:r w:rsidR="005A11B4" w:rsidRPr="0025250D">
          <w:rPr>
            <w:rStyle w:val="Hyperlink"/>
            <w:rFonts w:hint="eastAsia"/>
            <w:noProof/>
            <w:rtl/>
          </w:rPr>
          <w:t>نه</w:t>
        </w:r>
        <w:r w:rsidR="005A11B4" w:rsidRPr="0025250D">
          <w:rPr>
            <w:rStyle w:val="Hyperlink"/>
            <w:noProof/>
            <w:rtl/>
          </w:rPr>
          <w:t xml:space="preserve">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جامع </w:t>
        </w:r>
        <w:r w:rsidR="005A11B4" w:rsidRPr="0025250D">
          <w:rPr>
            <w:rStyle w:val="Hyperlink"/>
            <w:rFonts w:cs="Times New Roman"/>
            <w:noProof/>
            <w:rtl/>
          </w:rPr>
          <w:t>–</w:t>
        </w:r>
        <w:r w:rsidR="005A11B4" w:rsidRPr="0025250D">
          <w:rPr>
            <w:rStyle w:val="Hyperlink"/>
            <w:noProof/>
            <w:rtl/>
          </w:rPr>
          <w:t xml:space="preserve"> </w:t>
        </w:r>
        <w:r w:rsidR="005A11B4" w:rsidRPr="0025250D">
          <w:rPr>
            <w:rStyle w:val="Hyperlink"/>
            <w:rFonts w:hint="cs"/>
            <w:noProof/>
            <w:rtl/>
          </w:rPr>
          <w:t>ی</w:t>
        </w:r>
        <w:r w:rsidR="005A11B4" w:rsidRPr="0025250D">
          <w:rPr>
            <w:rStyle w:val="Hyperlink"/>
            <w:rFonts w:hint="eastAsia"/>
            <w:noProof/>
            <w:rtl/>
          </w:rPr>
          <w:t>ک</w:t>
        </w:r>
        <w:r w:rsidR="005A11B4" w:rsidRPr="0025250D">
          <w:rPr>
            <w:rStyle w:val="Hyperlink"/>
            <w:noProof/>
            <w:rtl/>
          </w:rPr>
          <w:t xml:space="preserve"> ل</w:t>
        </w:r>
        <w:r w:rsidR="005A11B4" w:rsidRPr="0025250D">
          <w:rPr>
            <w:rStyle w:val="Hyperlink"/>
            <w:rFonts w:hint="cs"/>
            <w:noProof/>
            <w:rtl/>
          </w:rPr>
          <w:t>ی</w:t>
        </w:r>
        <w:r w:rsidR="005A11B4" w:rsidRPr="0025250D">
          <w:rPr>
            <w:rStyle w:val="Hyperlink"/>
            <w:rFonts w:hint="eastAsia"/>
            <w:noProof/>
            <w:rtl/>
          </w:rPr>
          <w:t>ست</w:t>
        </w:r>
        <w:r w:rsidR="005A11B4" w:rsidRPr="0025250D">
          <w:rPr>
            <w:rStyle w:val="Hyperlink"/>
            <w:noProof/>
            <w:rtl/>
          </w:rPr>
          <w:t xml:space="preserve"> منتخب</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Toc127831306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221</w:t>
        </w:r>
        <w:r w:rsidR="005A11B4" w:rsidRPr="0025250D">
          <w:rPr>
            <w:noProof/>
            <w:webHidden/>
            <w:rtl/>
          </w:rPr>
          <w:fldChar w:fldCharType="end"/>
        </w:r>
      </w:hyperlink>
    </w:p>
    <w:p w14:paraId="22CC6B34" w14:textId="3EEC27C4"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07" w:history="1">
        <w:r w:rsidR="005A11B4" w:rsidRPr="0025250D">
          <w:rPr>
            <w:rStyle w:val="Hyperlink"/>
            <w:noProof/>
          </w:rPr>
          <w:t>2-16-</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گز</w:t>
        </w:r>
        <w:r w:rsidR="005A11B4" w:rsidRPr="0025250D">
          <w:rPr>
            <w:rStyle w:val="Hyperlink"/>
            <w:rFonts w:hint="cs"/>
            <w:noProof/>
            <w:rtl/>
          </w:rPr>
          <w:t>ی</w:t>
        </w:r>
        <w:r w:rsidR="005A11B4" w:rsidRPr="0025250D">
          <w:rPr>
            <w:rStyle w:val="Hyperlink"/>
            <w:rFonts w:hint="eastAsia"/>
            <w:noProof/>
            <w:rtl/>
          </w:rPr>
          <w:t>نه‌ها</w:t>
        </w:r>
        <w:r w:rsidR="005A11B4" w:rsidRPr="0025250D">
          <w:rPr>
            <w:rStyle w:val="Hyperlink"/>
            <w:rFonts w:hint="cs"/>
            <w:noProof/>
            <w:rtl/>
          </w:rPr>
          <w:t>ی</w:t>
        </w:r>
        <w:r w:rsidR="005A11B4" w:rsidRPr="0025250D">
          <w:rPr>
            <w:rStyle w:val="Hyperlink"/>
            <w:noProof/>
            <w:rtl/>
          </w:rPr>
          <w:t xml:space="preserve"> آموزش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Toc127831307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226</w:t>
        </w:r>
        <w:r w:rsidR="005A11B4" w:rsidRPr="0025250D">
          <w:rPr>
            <w:noProof/>
            <w:webHidden/>
            <w:rtl/>
          </w:rPr>
          <w:fldChar w:fldCharType="end"/>
        </w:r>
      </w:hyperlink>
    </w:p>
    <w:p w14:paraId="17397F3D" w14:textId="15533FB7" w:rsidR="005A11B4" w:rsidRPr="0025250D" w:rsidRDefault="007A207F">
      <w:pPr>
        <w:pStyle w:val="TOC2"/>
        <w:tabs>
          <w:tab w:val="left" w:pos="1100"/>
          <w:tab w:val="right" w:leader="dot" w:pos="9060"/>
        </w:tabs>
        <w:rPr>
          <w:rFonts w:asciiTheme="minorHAnsi" w:eastAsiaTheme="minorEastAsia" w:hAnsiTheme="minorHAnsi" w:cstheme="minorBidi"/>
          <w:noProof/>
          <w:sz w:val="22"/>
          <w:rtl/>
          <w:lang w:bidi="ar-SA"/>
        </w:rPr>
      </w:pPr>
      <w:hyperlink w:anchor="_Toc127831308" w:history="1">
        <w:r w:rsidR="005A11B4" w:rsidRPr="0025250D">
          <w:rPr>
            <w:rStyle w:val="Hyperlink"/>
            <w:noProof/>
            <w:rtl/>
          </w:rPr>
          <w:t>2-17-</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ارز</w:t>
        </w:r>
        <w:r w:rsidR="005A11B4" w:rsidRPr="0025250D">
          <w:rPr>
            <w:rStyle w:val="Hyperlink"/>
            <w:rFonts w:hint="cs"/>
            <w:noProof/>
            <w:rtl/>
          </w:rPr>
          <w:t>ی</w:t>
        </w:r>
        <w:r w:rsidR="005A11B4" w:rsidRPr="0025250D">
          <w:rPr>
            <w:rStyle w:val="Hyperlink"/>
            <w:rFonts w:hint="eastAsia"/>
            <w:noProof/>
            <w:rtl/>
          </w:rPr>
          <w:t>اب</w:t>
        </w:r>
        <w:r w:rsidR="005A11B4" w:rsidRPr="0025250D">
          <w:rPr>
            <w:rStyle w:val="Hyperlink"/>
            <w:rFonts w:hint="cs"/>
            <w:noProof/>
            <w:rtl/>
          </w:rPr>
          <w:t>ی</w:t>
        </w:r>
        <w:r w:rsidR="005A11B4" w:rsidRPr="0025250D">
          <w:rPr>
            <w:rStyle w:val="Hyperlink"/>
            <w:noProof/>
            <w:rtl/>
          </w:rPr>
          <w:t xml:space="preserve"> تأث</w:t>
        </w:r>
        <w:r w:rsidR="005A11B4" w:rsidRPr="0025250D">
          <w:rPr>
            <w:rStyle w:val="Hyperlink"/>
            <w:rFonts w:hint="cs"/>
            <w:noProof/>
            <w:rtl/>
          </w:rPr>
          <w:t>ی</w:t>
        </w:r>
        <w:r w:rsidR="005A11B4" w:rsidRPr="0025250D">
          <w:rPr>
            <w:rStyle w:val="Hyperlink"/>
            <w:rFonts w:hint="eastAsia"/>
            <w:noProof/>
            <w:rtl/>
          </w:rPr>
          <w:t>ر</w:t>
        </w:r>
        <w:r w:rsidR="005A11B4" w:rsidRPr="0025250D">
          <w:rPr>
            <w:rStyle w:val="Hyperlink"/>
            <w:noProof/>
            <w:rtl/>
          </w:rPr>
          <w:t xml:space="preserve">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و سطوح شا</w:t>
        </w:r>
        <w:r w:rsidR="005A11B4" w:rsidRPr="0025250D">
          <w:rPr>
            <w:rStyle w:val="Hyperlink"/>
            <w:rFonts w:hint="cs"/>
            <w:noProof/>
            <w:rtl/>
          </w:rPr>
          <w:t>ی</w:t>
        </w:r>
        <w:r w:rsidR="005A11B4" w:rsidRPr="0025250D">
          <w:rPr>
            <w:rStyle w:val="Hyperlink"/>
            <w:rFonts w:hint="eastAsia"/>
            <w:noProof/>
            <w:rtl/>
          </w:rPr>
          <w:t>ستگ</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Toc127831308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231</w:t>
        </w:r>
        <w:r w:rsidR="005A11B4" w:rsidRPr="0025250D">
          <w:rPr>
            <w:noProof/>
            <w:webHidden/>
            <w:rtl/>
          </w:rPr>
          <w:fldChar w:fldCharType="end"/>
        </w:r>
      </w:hyperlink>
    </w:p>
    <w:p w14:paraId="13D2F65E" w14:textId="25EA3863" w:rsidR="005A11B4" w:rsidRPr="0025250D" w:rsidRDefault="007A207F">
      <w:pPr>
        <w:pStyle w:val="TOC2"/>
        <w:tabs>
          <w:tab w:val="left" w:pos="1100"/>
          <w:tab w:val="right" w:leader="dot" w:pos="9060"/>
        </w:tabs>
        <w:rPr>
          <w:rFonts w:asciiTheme="minorHAnsi" w:eastAsiaTheme="minorEastAsia" w:hAnsiTheme="minorHAnsi" w:cstheme="minorBidi"/>
          <w:noProof/>
          <w:sz w:val="22"/>
          <w:rtl/>
          <w:lang w:bidi="ar-SA"/>
        </w:rPr>
      </w:pPr>
      <w:hyperlink w:anchor="_Toc127831309" w:history="1">
        <w:r w:rsidR="005A11B4" w:rsidRPr="0025250D">
          <w:rPr>
            <w:rStyle w:val="Hyperlink"/>
            <w:noProof/>
            <w:rtl/>
          </w:rPr>
          <w:t>2-18-</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تحص</w:t>
        </w:r>
        <w:r w:rsidR="005A11B4" w:rsidRPr="0025250D">
          <w:rPr>
            <w:rStyle w:val="Hyperlink"/>
            <w:rFonts w:hint="cs"/>
            <w:noProof/>
            <w:rtl/>
          </w:rPr>
          <w:t>ی</w:t>
        </w:r>
        <w:r w:rsidR="005A11B4" w:rsidRPr="0025250D">
          <w:rPr>
            <w:rStyle w:val="Hyperlink"/>
            <w:rFonts w:hint="eastAsia"/>
            <w:noProof/>
            <w:rtl/>
          </w:rPr>
          <w:t>ل</w:t>
        </w:r>
        <w:r w:rsidR="005A11B4" w:rsidRPr="0025250D">
          <w:rPr>
            <w:rStyle w:val="Hyperlink"/>
            <w:noProof/>
            <w:rtl/>
          </w:rPr>
          <w:t xml:space="preserve">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فرصت‌ها و چالش ها</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Toc127831309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233</w:t>
        </w:r>
        <w:r w:rsidR="005A11B4" w:rsidRPr="0025250D">
          <w:rPr>
            <w:noProof/>
            <w:webHidden/>
            <w:rtl/>
          </w:rPr>
          <w:fldChar w:fldCharType="end"/>
        </w:r>
      </w:hyperlink>
    </w:p>
    <w:p w14:paraId="1F423843" w14:textId="07A624B2" w:rsidR="005A11B4" w:rsidRPr="0025250D" w:rsidRDefault="007A207F">
      <w:pPr>
        <w:pStyle w:val="TOC2"/>
        <w:tabs>
          <w:tab w:val="left" w:pos="1100"/>
          <w:tab w:val="right" w:leader="dot" w:pos="9060"/>
        </w:tabs>
        <w:rPr>
          <w:rFonts w:asciiTheme="minorHAnsi" w:eastAsiaTheme="minorEastAsia" w:hAnsiTheme="minorHAnsi" w:cstheme="minorBidi"/>
          <w:noProof/>
          <w:sz w:val="22"/>
          <w:rtl/>
          <w:lang w:bidi="ar-SA"/>
        </w:rPr>
      </w:pPr>
      <w:hyperlink w:anchor="_Toc127831310" w:history="1">
        <w:r w:rsidR="005A11B4" w:rsidRPr="0025250D">
          <w:rPr>
            <w:rStyle w:val="Hyperlink"/>
            <w:noProof/>
            <w:rtl/>
          </w:rPr>
          <w:t>2-19-</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بهار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جد</w:t>
        </w:r>
        <w:r w:rsidR="005A11B4" w:rsidRPr="0025250D">
          <w:rPr>
            <w:rStyle w:val="Hyperlink"/>
            <w:rFonts w:hint="cs"/>
            <w:noProof/>
            <w:rtl/>
          </w:rPr>
          <w:t>ی</w:t>
        </w:r>
        <w:r w:rsidR="005A11B4" w:rsidRPr="0025250D">
          <w:rPr>
            <w:rStyle w:val="Hyperlink"/>
            <w:rFonts w:hint="eastAsia"/>
            <w:noProof/>
            <w:rtl/>
          </w:rPr>
          <w:t>د</w:t>
        </w:r>
        <w:r w:rsidR="005A11B4" w:rsidRPr="0025250D">
          <w:rPr>
            <w:rStyle w:val="Hyperlink"/>
            <w:noProof/>
            <w:rtl/>
          </w:rPr>
          <w:t xml:space="preserve">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Toc127831310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237</w:t>
        </w:r>
        <w:r w:rsidR="005A11B4" w:rsidRPr="0025250D">
          <w:rPr>
            <w:noProof/>
            <w:webHidden/>
            <w:rtl/>
          </w:rPr>
          <w:fldChar w:fldCharType="end"/>
        </w:r>
      </w:hyperlink>
    </w:p>
    <w:p w14:paraId="4A751A16" w14:textId="5470143A" w:rsidR="005A11B4" w:rsidRPr="0025250D" w:rsidRDefault="007A207F">
      <w:pPr>
        <w:pStyle w:val="TOC2"/>
        <w:tabs>
          <w:tab w:val="left" w:pos="1100"/>
          <w:tab w:val="right" w:leader="dot" w:pos="9060"/>
        </w:tabs>
        <w:rPr>
          <w:rFonts w:asciiTheme="minorHAnsi" w:eastAsiaTheme="minorEastAsia" w:hAnsiTheme="minorHAnsi" w:cstheme="minorBidi"/>
          <w:noProof/>
          <w:sz w:val="22"/>
          <w:rtl/>
          <w:lang w:bidi="ar-SA"/>
        </w:rPr>
      </w:pPr>
      <w:hyperlink w:anchor="_Toc127831311" w:history="1">
        <w:r w:rsidR="005A11B4" w:rsidRPr="0025250D">
          <w:rPr>
            <w:rStyle w:val="Hyperlink"/>
            <w:noProof/>
            <w:rtl/>
          </w:rPr>
          <w:t>2-20-</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نقش ما چه خواهد بود؟</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Toc127831311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240</w:t>
        </w:r>
        <w:r w:rsidR="005A11B4" w:rsidRPr="0025250D">
          <w:rPr>
            <w:noProof/>
            <w:webHidden/>
            <w:rtl/>
          </w:rPr>
          <w:fldChar w:fldCharType="end"/>
        </w:r>
      </w:hyperlink>
    </w:p>
    <w:p w14:paraId="09769D3B" w14:textId="1C1FE85C" w:rsidR="005A11B4" w:rsidRPr="0025250D" w:rsidRDefault="007A207F" w:rsidP="005A11B4">
      <w:pPr>
        <w:pStyle w:val="TOC1"/>
        <w:rPr>
          <w:rFonts w:asciiTheme="minorHAnsi" w:eastAsiaTheme="minorEastAsia" w:hAnsiTheme="minorHAnsi" w:cstheme="minorBidi"/>
          <w:noProof/>
          <w:sz w:val="22"/>
          <w:rtl/>
          <w:lang w:bidi="ar-SA"/>
        </w:rPr>
      </w:pPr>
      <w:hyperlink w:anchor="_Toc127831312" w:history="1">
        <w:r w:rsidR="005A11B4" w:rsidRPr="0025250D">
          <w:rPr>
            <w:rStyle w:val="Hyperlink"/>
            <w:noProof/>
            <w:rtl/>
          </w:rPr>
          <w:t>3-</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فصل 3: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انطباق</w:t>
        </w:r>
        <w:r w:rsidR="005A11B4" w:rsidRPr="0025250D">
          <w:rPr>
            <w:rStyle w:val="Hyperlink"/>
            <w:rFonts w:hint="cs"/>
            <w:noProof/>
            <w:rtl/>
          </w:rPr>
          <w:t>ی</w:t>
        </w:r>
        <w:r w:rsidR="005A11B4" w:rsidRPr="0025250D">
          <w:rPr>
            <w:rStyle w:val="Hyperlink"/>
            <w:noProof/>
            <w:rtl/>
          </w:rPr>
          <w:t xml:space="preserve"> </w:t>
        </w:r>
        <w:r w:rsidR="005A11B4" w:rsidRPr="0025250D">
          <w:rPr>
            <w:rStyle w:val="Hyperlink"/>
            <w:rFonts w:cs="Times New Roman"/>
            <w:noProof/>
            <w:rtl/>
          </w:rPr>
          <w:t>–</w:t>
        </w:r>
        <w:r w:rsidR="005A11B4" w:rsidRPr="0025250D">
          <w:rPr>
            <w:rStyle w:val="Hyperlink"/>
            <w:noProof/>
            <w:rtl/>
          </w:rPr>
          <w:t xml:space="preserve"> وظا</w:t>
        </w:r>
        <w:r w:rsidR="005A11B4" w:rsidRPr="0025250D">
          <w:rPr>
            <w:rStyle w:val="Hyperlink"/>
            <w:rFonts w:hint="cs"/>
            <w:noProof/>
            <w:rtl/>
          </w:rPr>
          <w:t>ی</w:t>
        </w:r>
        <w:r w:rsidR="005A11B4" w:rsidRPr="0025250D">
          <w:rPr>
            <w:rStyle w:val="Hyperlink"/>
            <w:rFonts w:hint="eastAsia"/>
            <w:noProof/>
            <w:rtl/>
          </w:rPr>
          <w:t>ف</w:t>
        </w:r>
        <w:r w:rsidR="005A11B4" w:rsidRPr="0025250D">
          <w:rPr>
            <w:rStyle w:val="Hyperlink"/>
            <w:noProof/>
            <w:rtl/>
          </w:rPr>
          <w:t xml:space="preserve"> و مهارت‌ها</w:t>
        </w:r>
        <w:r w:rsidR="005A11B4" w:rsidRPr="0025250D">
          <w:rPr>
            <w:rStyle w:val="Hyperlink"/>
            <w:rFonts w:hint="cs"/>
            <w:noProof/>
            <w:rtl/>
          </w:rPr>
          <w:t>ی</w:t>
        </w:r>
        <w:r w:rsidR="005A11B4" w:rsidRPr="0025250D">
          <w:rPr>
            <w:rStyle w:val="Hyperlink"/>
            <w:noProof/>
            <w:rtl/>
          </w:rPr>
          <w:t xml:space="preserve"> ضرور</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Toc127831312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243</w:t>
        </w:r>
        <w:r w:rsidR="005A11B4" w:rsidRPr="0025250D">
          <w:rPr>
            <w:noProof/>
            <w:webHidden/>
            <w:rtl/>
          </w:rPr>
          <w:fldChar w:fldCharType="end"/>
        </w:r>
      </w:hyperlink>
    </w:p>
    <w:p w14:paraId="267A8EBE" w14:textId="21AD4DA3"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13" w:history="1">
        <w:r w:rsidR="005A11B4" w:rsidRPr="0025250D">
          <w:rPr>
            <w:rStyle w:val="Hyperlink"/>
            <w:noProof/>
            <w:rtl/>
          </w:rPr>
          <w:t>3-1-</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چهره‌ها</w:t>
        </w:r>
        <w:r w:rsidR="005A11B4" w:rsidRPr="0025250D">
          <w:rPr>
            <w:rStyle w:val="Hyperlink"/>
            <w:rFonts w:hint="cs"/>
            <w:noProof/>
            <w:rtl/>
          </w:rPr>
          <w:t>ی</w:t>
        </w:r>
        <w:r w:rsidR="005A11B4" w:rsidRPr="0025250D">
          <w:rPr>
            <w:rStyle w:val="Hyperlink"/>
            <w:noProof/>
            <w:rtl/>
          </w:rPr>
          <w:t xml:space="preserve"> متعدد هرم تکامل</w:t>
        </w:r>
        <w:r w:rsidR="005A11B4" w:rsidRPr="0025250D">
          <w:rPr>
            <w:rStyle w:val="Hyperlink"/>
            <w:rFonts w:hint="cs"/>
            <w:noProof/>
            <w:rtl/>
          </w:rPr>
          <w:t>ی</w:t>
        </w:r>
        <w:r w:rsidR="005A11B4" w:rsidRPr="0025250D">
          <w:rPr>
            <w:rStyle w:val="Hyperlink"/>
            <w:noProof/>
            <w:rtl/>
          </w:rPr>
          <w:t xml:space="preserve"> - توسعه ا</w:t>
        </w:r>
        <w:r w:rsidR="005A11B4" w:rsidRPr="0025250D">
          <w:rPr>
            <w:rStyle w:val="Hyperlink"/>
            <w:rFonts w:hint="cs"/>
            <w:noProof/>
            <w:rtl/>
          </w:rPr>
          <w:t>ی</w:t>
        </w:r>
        <w:r w:rsidR="005A11B4" w:rsidRPr="0025250D">
          <w:rPr>
            <w:rStyle w:val="Hyperlink"/>
            <w:noProof/>
            <w:rtl/>
          </w:rPr>
          <w:t xml:space="preserve">: چهار </w:t>
        </w:r>
        <w:r w:rsidR="005A11B4" w:rsidRPr="0025250D">
          <w:rPr>
            <w:rStyle w:val="Hyperlink"/>
            <w:noProof/>
          </w:rPr>
          <w:t>P</w:t>
        </w:r>
        <w:r w:rsidR="005A11B4" w:rsidRPr="0025250D">
          <w:rPr>
            <w:rStyle w:val="Hyperlink"/>
            <w:noProof/>
            <w:rtl/>
          </w:rPr>
          <w:t xml:space="preserve"> در بافت جهان</w:t>
        </w:r>
        <w:r w:rsidR="005A11B4" w:rsidRPr="0025250D">
          <w:rPr>
            <w:rStyle w:val="Hyperlink"/>
            <w:rFonts w:hint="cs"/>
            <w:noProof/>
            <w:rtl/>
          </w:rPr>
          <w:t>ی</w:t>
        </w:r>
        <w:r w:rsidR="005A11B4" w:rsidRPr="0025250D">
          <w:rPr>
            <w:rStyle w:val="Hyperlink"/>
            <w:noProof/>
            <w:rtl/>
          </w:rPr>
          <w:t xml:space="preserve"> و فراگ</w:t>
        </w:r>
        <w:r w:rsidR="005A11B4" w:rsidRPr="0025250D">
          <w:rPr>
            <w:rStyle w:val="Hyperlink"/>
            <w:rFonts w:hint="cs"/>
            <w:noProof/>
            <w:rtl/>
          </w:rPr>
          <w:t>ی</w:t>
        </w:r>
        <w:r w:rsidR="005A11B4" w:rsidRPr="0025250D">
          <w:rPr>
            <w:rStyle w:val="Hyperlink"/>
            <w:rFonts w:hint="eastAsia"/>
            <w:noProof/>
            <w:rtl/>
          </w:rPr>
          <w:t>ر</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Toc127831313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244</w:t>
        </w:r>
        <w:r w:rsidR="005A11B4" w:rsidRPr="0025250D">
          <w:rPr>
            <w:noProof/>
            <w:webHidden/>
            <w:rtl/>
          </w:rPr>
          <w:fldChar w:fldCharType="end"/>
        </w:r>
      </w:hyperlink>
    </w:p>
    <w:p w14:paraId="46C2CC3D" w14:textId="52EF0EB6"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14" w:history="1">
        <w:r w:rsidR="005A11B4" w:rsidRPr="0025250D">
          <w:rPr>
            <w:rStyle w:val="Hyperlink"/>
            <w:noProof/>
            <w:rtl/>
          </w:rPr>
          <w:t>3-2-</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هفت وظ</w:t>
        </w:r>
        <w:r w:rsidR="005A11B4" w:rsidRPr="0025250D">
          <w:rPr>
            <w:rStyle w:val="Hyperlink"/>
            <w:rFonts w:hint="cs"/>
            <w:noProof/>
            <w:rtl/>
          </w:rPr>
          <w:t>ی</w:t>
        </w:r>
        <w:r w:rsidR="005A11B4" w:rsidRPr="0025250D">
          <w:rPr>
            <w:rStyle w:val="Hyperlink"/>
            <w:rFonts w:hint="eastAsia"/>
            <w:noProof/>
            <w:rtl/>
          </w:rPr>
          <w:t>فه</w:t>
        </w:r>
        <w:r w:rsidR="005A11B4" w:rsidRPr="0025250D">
          <w:rPr>
            <w:rStyle w:val="Hyperlink"/>
            <w:noProof/>
            <w:rtl/>
          </w:rPr>
          <w:t xml:space="preserve">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تخصص</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Toc127831314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251</w:t>
        </w:r>
        <w:r w:rsidR="005A11B4" w:rsidRPr="0025250D">
          <w:rPr>
            <w:noProof/>
            <w:webHidden/>
            <w:rtl/>
          </w:rPr>
          <w:fldChar w:fldCharType="end"/>
        </w:r>
      </w:hyperlink>
    </w:p>
    <w:p w14:paraId="3A22295C" w14:textId="798C5380"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15" w:history="1">
        <w:r w:rsidR="005A11B4" w:rsidRPr="0025250D">
          <w:rPr>
            <w:rStyle w:val="Hyperlink"/>
            <w:noProof/>
            <w:rtl/>
          </w:rPr>
          <w:t>3-3-</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شناخت جا</w:t>
        </w:r>
        <w:r w:rsidR="005A11B4" w:rsidRPr="0025250D">
          <w:rPr>
            <w:rStyle w:val="Hyperlink"/>
            <w:rFonts w:hint="cs"/>
            <w:noProof/>
            <w:rtl/>
          </w:rPr>
          <w:t>ی</w:t>
        </w:r>
        <w:r w:rsidR="005A11B4" w:rsidRPr="0025250D">
          <w:rPr>
            <w:rStyle w:val="Hyperlink"/>
            <w:rFonts w:hint="eastAsia"/>
            <w:noProof/>
            <w:rtl/>
          </w:rPr>
          <w:t>گاهمان</w:t>
        </w:r>
        <w:r w:rsidR="005A11B4" w:rsidRPr="0025250D">
          <w:rPr>
            <w:rStyle w:val="Hyperlink"/>
            <w:noProof/>
            <w:rtl/>
          </w:rPr>
          <w:t xml:space="preserve"> در زنج</w:t>
        </w:r>
        <w:r w:rsidR="005A11B4" w:rsidRPr="0025250D">
          <w:rPr>
            <w:rStyle w:val="Hyperlink"/>
            <w:rFonts w:hint="cs"/>
            <w:noProof/>
            <w:rtl/>
          </w:rPr>
          <w:t>ی</w:t>
        </w:r>
        <w:r w:rsidR="005A11B4" w:rsidRPr="0025250D">
          <w:rPr>
            <w:rStyle w:val="Hyperlink"/>
            <w:rFonts w:hint="eastAsia"/>
            <w:noProof/>
            <w:rtl/>
          </w:rPr>
          <w:t>ره</w:t>
        </w:r>
        <w:r w:rsidR="005A11B4" w:rsidRPr="0025250D">
          <w:rPr>
            <w:rStyle w:val="Hyperlink"/>
            <w:noProof/>
            <w:rtl/>
          </w:rPr>
          <w:t xml:space="preserve"> ارزش: تخصص</w:t>
        </w:r>
        <w:r w:rsidR="005A11B4" w:rsidRPr="0025250D">
          <w:rPr>
            <w:rStyle w:val="Hyperlink"/>
            <w:rFonts w:hint="cs"/>
            <w:noProof/>
            <w:rtl/>
          </w:rPr>
          <w:t>ی</w:t>
        </w:r>
        <w:r w:rsidR="005A11B4" w:rsidRPr="0025250D">
          <w:rPr>
            <w:rStyle w:val="Hyperlink"/>
            <w:noProof/>
            <w:rtl/>
          </w:rPr>
          <w:t xml:space="preserve"> ساز</w:t>
        </w:r>
        <w:r w:rsidR="005A11B4" w:rsidRPr="0025250D">
          <w:rPr>
            <w:rStyle w:val="Hyperlink"/>
            <w:rFonts w:hint="cs"/>
            <w:noProof/>
            <w:rtl/>
          </w:rPr>
          <w:t>ی</w:t>
        </w:r>
        <w:r w:rsidR="005A11B4" w:rsidRPr="0025250D">
          <w:rPr>
            <w:rStyle w:val="Hyperlink"/>
            <w:noProof/>
            <w:rtl/>
          </w:rPr>
          <w:t xml:space="preserve"> و ت</w:t>
        </w:r>
        <w:r w:rsidR="005A11B4" w:rsidRPr="0025250D">
          <w:rPr>
            <w:rStyle w:val="Hyperlink"/>
            <w:rFonts w:hint="cs"/>
            <w:noProof/>
            <w:rtl/>
          </w:rPr>
          <w:t>ی</w:t>
        </w:r>
        <w:r w:rsidR="005A11B4" w:rsidRPr="0025250D">
          <w:rPr>
            <w:rStyle w:val="Hyperlink"/>
            <w:rFonts w:hint="eastAsia"/>
            <w:noProof/>
            <w:rtl/>
          </w:rPr>
          <w:t>م</w:t>
        </w:r>
        <w:r w:rsidR="005A11B4" w:rsidRPr="0025250D">
          <w:rPr>
            <w:rStyle w:val="Hyperlink"/>
            <w:noProof/>
            <w:rtl/>
          </w:rPr>
          <w:t xml:space="preserve"> ساز</w:t>
        </w:r>
        <w:r w:rsidR="005A11B4" w:rsidRPr="0025250D">
          <w:rPr>
            <w:rStyle w:val="Hyperlink"/>
            <w:rFonts w:hint="cs"/>
            <w:noProof/>
            <w:rtl/>
          </w:rPr>
          <w:t>ی</w:t>
        </w:r>
        <w:r w:rsidR="005A11B4" w:rsidRPr="0025250D">
          <w:rPr>
            <w:rStyle w:val="Hyperlink"/>
            <w:noProof/>
            <w:rtl/>
          </w:rPr>
          <w:t xml:space="preserve"> راهبرد</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Toc127831315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254</w:t>
        </w:r>
        <w:r w:rsidR="005A11B4" w:rsidRPr="0025250D">
          <w:rPr>
            <w:noProof/>
            <w:webHidden/>
            <w:rtl/>
          </w:rPr>
          <w:fldChar w:fldCharType="end"/>
        </w:r>
      </w:hyperlink>
    </w:p>
    <w:p w14:paraId="4B998929" w14:textId="3300E20D"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16" w:history="1">
        <w:r w:rsidR="005A11B4" w:rsidRPr="0025250D">
          <w:rPr>
            <w:rStyle w:val="Hyperlink"/>
            <w:noProof/>
            <w:rtl/>
          </w:rPr>
          <w:t>3-4-</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نکات اثبات کننده‌ا</w:t>
        </w:r>
        <w:r w:rsidR="005A11B4" w:rsidRPr="0025250D">
          <w:rPr>
            <w:rStyle w:val="Hyperlink"/>
            <w:rFonts w:hint="cs"/>
            <w:noProof/>
            <w:rtl/>
          </w:rPr>
          <w:t>ی</w:t>
        </w:r>
        <w:r w:rsidR="005A11B4" w:rsidRPr="0025250D">
          <w:rPr>
            <w:rStyle w:val="Hyperlink"/>
            <w:noProof/>
            <w:rtl/>
          </w:rPr>
          <w:t>نده‌نگار</w:t>
        </w:r>
        <w:r w:rsidR="005A11B4" w:rsidRPr="0025250D">
          <w:rPr>
            <w:rStyle w:val="Hyperlink"/>
            <w:rFonts w:hint="cs"/>
            <w:noProof/>
            <w:rtl/>
          </w:rPr>
          <w:t>ی</w:t>
        </w:r>
        <w:r w:rsidR="005A11B4" w:rsidRPr="0025250D">
          <w:rPr>
            <w:rStyle w:val="Hyperlink"/>
            <w:noProof/>
            <w:rtl/>
          </w:rPr>
          <w:t>: تبحر در چهار مهارت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Toc127831316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257</w:t>
        </w:r>
        <w:r w:rsidR="005A11B4" w:rsidRPr="0025250D">
          <w:rPr>
            <w:noProof/>
            <w:webHidden/>
            <w:rtl/>
          </w:rPr>
          <w:fldChar w:fldCharType="end"/>
        </w:r>
      </w:hyperlink>
    </w:p>
    <w:p w14:paraId="5C2FC275" w14:textId="712261D2"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17" w:history="1">
        <w:r w:rsidR="005A11B4" w:rsidRPr="0025250D">
          <w:rPr>
            <w:rStyle w:val="Hyperlink"/>
            <w:noProof/>
            <w:rtl/>
          </w:rPr>
          <w:t>3-5-</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آشکارساز</w:t>
        </w:r>
        <w:r w:rsidR="005A11B4" w:rsidRPr="0025250D">
          <w:rPr>
            <w:rStyle w:val="Hyperlink"/>
            <w:rFonts w:hint="cs"/>
            <w:noProof/>
            <w:rtl/>
          </w:rPr>
          <w:t>ی</w:t>
        </w:r>
        <w:r w:rsidR="005A11B4" w:rsidRPr="0025250D">
          <w:rPr>
            <w:rStyle w:val="Hyperlink"/>
            <w:noProof/>
            <w:rtl/>
          </w:rPr>
          <w:t xml:space="preserve"> فرض</w:t>
        </w:r>
        <w:r w:rsidR="005A11B4" w:rsidRPr="0025250D">
          <w:rPr>
            <w:rStyle w:val="Hyperlink"/>
            <w:rFonts w:hint="cs"/>
            <w:noProof/>
            <w:rtl/>
          </w:rPr>
          <w:t>ی</w:t>
        </w:r>
        <w:r w:rsidR="005A11B4" w:rsidRPr="0025250D">
          <w:rPr>
            <w:rStyle w:val="Hyperlink"/>
            <w:rFonts w:hint="eastAsia"/>
            <w:noProof/>
            <w:rtl/>
          </w:rPr>
          <w:t>ات</w:t>
        </w:r>
        <w:r w:rsidR="005A11B4" w:rsidRPr="0025250D">
          <w:rPr>
            <w:rStyle w:val="Hyperlink"/>
            <w:noProof/>
            <w:rtl/>
          </w:rPr>
          <w:t xml:space="preserve"> و مدل‌ها</w:t>
        </w:r>
        <w:r w:rsidR="005A11B4" w:rsidRPr="0025250D">
          <w:rPr>
            <w:rStyle w:val="Hyperlink"/>
            <w:rFonts w:hint="cs"/>
            <w:noProof/>
            <w:rtl/>
          </w:rPr>
          <w:t>ی</w:t>
        </w:r>
        <w:r w:rsidR="005A11B4" w:rsidRPr="0025250D">
          <w:rPr>
            <w:rStyle w:val="Hyperlink"/>
            <w:noProof/>
            <w:rtl/>
          </w:rPr>
          <w:t xml:space="preserve"> ضمن</w:t>
        </w:r>
        <w:r w:rsidR="005A11B4" w:rsidRPr="0025250D">
          <w:rPr>
            <w:rStyle w:val="Hyperlink"/>
            <w:rFonts w:hint="cs"/>
            <w:noProof/>
            <w:rtl/>
          </w:rPr>
          <w:t>ی</w:t>
        </w:r>
        <w:r w:rsidR="005A11B4" w:rsidRPr="0025250D">
          <w:rPr>
            <w:rStyle w:val="Hyperlink"/>
            <w:noProof/>
            <w:rtl/>
          </w:rPr>
          <w:t xml:space="preserve"> خود</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Toc127831317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285</w:t>
        </w:r>
        <w:r w:rsidR="005A11B4" w:rsidRPr="0025250D">
          <w:rPr>
            <w:noProof/>
            <w:webHidden/>
            <w:rtl/>
          </w:rPr>
          <w:fldChar w:fldCharType="end"/>
        </w:r>
      </w:hyperlink>
    </w:p>
    <w:p w14:paraId="2F43F72B" w14:textId="25B8B6DE"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18" w:history="1">
        <w:r w:rsidR="005A11B4" w:rsidRPr="0025250D">
          <w:rPr>
            <w:rStyle w:val="Hyperlink"/>
            <w:noProof/>
            <w:rtl/>
          </w:rPr>
          <w:t>3-6-</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ب</w:t>
        </w:r>
        <w:r w:rsidR="005A11B4" w:rsidRPr="0025250D">
          <w:rPr>
            <w:rStyle w:val="Hyperlink"/>
            <w:rFonts w:hint="cs"/>
            <w:noProof/>
            <w:rtl/>
          </w:rPr>
          <w:t>ی</w:t>
        </w:r>
        <w:r w:rsidR="005A11B4" w:rsidRPr="0025250D">
          <w:rPr>
            <w:rStyle w:val="Hyperlink"/>
            <w:rFonts w:hint="eastAsia"/>
            <w:noProof/>
            <w:rtl/>
          </w:rPr>
          <w:t>ان</w:t>
        </w:r>
        <w:r w:rsidR="005A11B4" w:rsidRPr="0025250D">
          <w:rPr>
            <w:rStyle w:val="Hyperlink"/>
            <w:noProof/>
            <w:rtl/>
          </w:rPr>
          <w:t xml:space="preserve"> داستان‌ها</w:t>
        </w:r>
        <w:r w:rsidR="005A11B4" w:rsidRPr="0025250D">
          <w:rPr>
            <w:rStyle w:val="Hyperlink"/>
            <w:rFonts w:hint="cs"/>
            <w:noProof/>
            <w:rtl/>
          </w:rPr>
          <w:t>ی</w:t>
        </w:r>
        <w:r w:rsidR="005A11B4" w:rsidRPr="0025250D">
          <w:rPr>
            <w:rStyle w:val="Hyperlink"/>
            <w:noProof/>
            <w:rtl/>
          </w:rPr>
          <w:t xml:space="preserve"> بهتر از آ</w:t>
        </w:r>
        <w:r w:rsidR="005A11B4" w:rsidRPr="0025250D">
          <w:rPr>
            <w:rStyle w:val="Hyperlink"/>
            <w:rFonts w:hint="cs"/>
            <w:noProof/>
            <w:rtl/>
          </w:rPr>
          <w:t>ی</w:t>
        </w:r>
        <w:r w:rsidR="005A11B4" w:rsidRPr="0025250D">
          <w:rPr>
            <w:rStyle w:val="Hyperlink"/>
            <w:rFonts w:hint="eastAsia"/>
            <w:noProof/>
            <w:rtl/>
          </w:rPr>
          <w:t>نده،</w:t>
        </w:r>
        <w:r w:rsidR="005A11B4" w:rsidRPr="0025250D">
          <w:rPr>
            <w:rStyle w:val="Hyperlink"/>
            <w:noProof/>
            <w:rtl/>
          </w:rPr>
          <w:t xml:space="preserve"> با استفاده از چهار </w:t>
        </w:r>
        <w:r w:rsidR="005A11B4" w:rsidRPr="0025250D">
          <w:rPr>
            <w:rStyle w:val="Hyperlink"/>
            <w:noProof/>
          </w:rPr>
          <w:t>P</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Toc127831318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289</w:t>
        </w:r>
        <w:r w:rsidR="005A11B4" w:rsidRPr="0025250D">
          <w:rPr>
            <w:noProof/>
            <w:webHidden/>
            <w:rtl/>
          </w:rPr>
          <w:fldChar w:fldCharType="end"/>
        </w:r>
      </w:hyperlink>
    </w:p>
    <w:p w14:paraId="5D6DFF57" w14:textId="18AE051D"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19" w:history="1">
        <w:r w:rsidR="005A11B4" w:rsidRPr="0025250D">
          <w:rPr>
            <w:rStyle w:val="Hyperlink"/>
            <w:noProof/>
            <w:rtl/>
          </w:rPr>
          <w:t>3-7-</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نقد داستان‌ها</w:t>
        </w:r>
        <w:r w:rsidR="005A11B4" w:rsidRPr="0025250D">
          <w:rPr>
            <w:rStyle w:val="Hyperlink"/>
            <w:rFonts w:hint="cs"/>
            <w:noProof/>
            <w:rtl/>
          </w:rPr>
          <w:t>ی</w:t>
        </w:r>
        <w:r w:rsidR="005A11B4" w:rsidRPr="0025250D">
          <w:rPr>
            <w:rStyle w:val="Hyperlink"/>
            <w:noProof/>
            <w:rtl/>
          </w:rPr>
          <w:t xml:space="preserve"> نادرست (</w:t>
        </w:r>
        <w:r w:rsidR="005A11B4" w:rsidRPr="0025250D">
          <w:rPr>
            <w:rStyle w:val="Hyperlink"/>
            <w:rFonts w:hint="cs"/>
            <w:noProof/>
            <w:rtl/>
          </w:rPr>
          <w:t>ی</w:t>
        </w:r>
        <w:r w:rsidR="005A11B4" w:rsidRPr="0025250D">
          <w:rPr>
            <w:rStyle w:val="Hyperlink"/>
            <w:rFonts w:hint="eastAsia"/>
            <w:noProof/>
            <w:rtl/>
          </w:rPr>
          <w:t>افتن</w:t>
        </w:r>
        <w:r w:rsidR="005A11B4" w:rsidRPr="0025250D">
          <w:rPr>
            <w:rStyle w:val="Hyperlink"/>
            <w:noProof/>
            <w:rtl/>
          </w:rPr>
          <w:t xml:space="preserve"> بخش‌ها</w:t>
        </w:r>
        <w:r w:rsidR="005A11B4" w:rsidRPr="0025250D">
          <w:rPr>
            <w:rStyle w:val="Hyperlink"/>
            <w:rFonts w:hint="cs"/>
            <w:noProof/>
            <w:rtl/>
          </w:rPr>
          <w:t>ی</w:t>
        </w:r>
        <w:r w:rsidR="005A11B4" w:rsidRPr="0025250D">
          <w:rPr>
            <w:rStyle w:val="Hyperlink"/>
            <w:noProof/>
            <w:rtl/>
          </w:rPr>
          <w:t xml:space="preserve"> نادرست در داستان‌ها</w:t>
        </w:r>
        <w:r w:rsidR="005A11B4" w:rsidRPr="0025250D">
          <w:rPr>
            <w:rStyle w:val="Hyperlink"/>
            <w:rFonts w:hint="cs"/>
            <w:noProof/>
            <w:rtl/>
          </w:rPr>
          <w:t>ی</w:t>
        </w:r>
        <w:r w:rsidR="005A11B4" w:rsidRPr="0025250D">
          <w:rPr>
            <w:rStyle w:val="Hyperlink"/>
            <w:noProof/>
            <w:rtl/>
          </w:rPr>
          <w:t xml:space="preserve"> آ</w:t>
        </w:r>
        <w:r w:rsidR="005A11B4" w:rsidRPr="0025250D">
          <w:rPr>
            <w:rStyle w:val="Hyperlink"/>
            <w:rFonts w:hint="cs"/>
            <w:noProof/>
            <w:rtl/>
          </w:rPr>
          <w:t>ی</w:t>
        </w:r>
        <w:r w:rsidR="005A11B4" w:rsidRPr="0025250D">
          <w:rPr>
            <w:rStyle w:val="Hyperlink"/>
            <w:rFonts w:hint="eastAsia"/>
            <w:noProof/>
            <w:rtl/>
          </w:rPr>
          <w:t>نده</w:t>
        </w:r>
        <w:r w:rsidR="005A11B4" w:rsidRPr="0025250D">
          <w:rPr>
            <w:rStyle w:val="Hyperlink"/>
            <w:noProof/>
            <w:rtl/>
          </w:rPr>
          <w:t>)</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Toc127831319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293</w:t>
        </w:r>
        <w:r w:rsidR="005A11B4" w:rsidRPr="0025250D">
          <w:rPr>
            <w:noProof/>
            <w:webHidden/>
            <w:rtl/>
          </w:rPr>
          <w:fldChar w:fldCharType="end"/>
        </w:r>
      </w:hyperlink>
    </w:p>
    <w:p w14:paraId="5FE99AD3" w14:textId="0D39EF30"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20" w:history="1">
        <w:r w:rsidR="005A11B4" w:rsidRPr="0025250D">
          <w:rPr>
            <w:rStyle w:val="Hyperlink"/>
            <w:noProof/>
            <w:rtl/>
          </w:rPr>
          <w:t>3-8-</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جمع‌آور</w:t>
        </w:r>
        <w:r w:rsidR="005A11B4" w:rsidRPr="0025250D">
          <w:rPr>
            <w:rStyle w:val="Hyperlink"/>
            <w:rFonts w:hint="cs"/>
            <w:noProof/>
            <w:rtl/>
          </w:rPr>
          <w:t>ی</w:t>
        </w:r>
        <w:r w:rsidR="005A11B4" w:rsidRPr="0025250D">
          <w:rPr>
            <w:rStyle w:val="Hyperlink"/>
            <w:noProof/>
            <w:rtl/>
          </w:rPr>
          <w:t xml:space="preserve"> داستان‌ها</w:t>
        </w:r>
        <w:r w:rsidR="005A11B4" w:rsidRPr="0025250D">
          <w:rPr>
            <w:rStyle w:val="Hyperlink"/>
            <w:rFonts w:hint="cs"/>
            <w:noProof/>
            <w:rtl/>
          </w:rPr>
          <w:t>ی</w:t>
        </w:r>
        <w:r w:rsidR="005A11B4" w:rsidRPr="0025250D">
          <w:rPr>
            <w:rStyle w:val="Hyperlink"/>
            <w:noProof/>
            <w:rtl/>
          </w:rPr>
          <w:t xml:space="preserve"> تخم مرغ شانس</w:t>
        </w:r>
        <w:r w:rsidR="005A11B4" w:rsidRPr="0025250D">
          <w:rPr>
            <w:rStyle w:val="Hyperlink"/>
            <w:rFonts w:hint="cs"/>
            <w:noProof/>
            <w:rtl/>
          </w:rPr>
          <w:t>ی</w:t>
        </w:r>
        <w:r w:rsidR="005A11B4" w:rsidRPr="0025250D">
          <w:rPr>
            <w:rStyle w:val="Hyperlink"/>
            <w:noProof/>
            <w:rtl/>
          </w:rPr>
          <w:t xml:space="preserve"> مانند (آ</w:t>
        </w:r>
        <w:r w:rsidR="005A11B4" w:rsidRPr="0025250D">
          <w:rPr>
            <w:rStyle w:val="Hyperlink"/>
            <w:rFonts w:hint="cs"/>
            <w:noProof/>
            <w:rtl/>
          </w:rPr>
          <w:t>ی</w:t>
        </w:r>
        <w:r w:rsidR="005A11B4" w:rsidRPr="0025250D">
          <w:rPr>
            <w:rStyle w:val="Hyperlink"/>
            <w:rFonts w:hint="eastAsia"/>
            <w:noProof/>
            <w:rtl/>
          </w:rPr>
          <w:t>نده‌ها</w:t>
        </w:r>
        <w:r w:rsidR="005A11B4" w:rsidRPr="0025250D">
          <w:rPr>
            <w:rStyle w:val="Hyperlink"/>
            <w:rFonts w:hint="cs"/>
            <w:noProof/>
            <w:rtl/>
          </w:rPr>
          <w:t>ی</w:t>
        </w:r>
        <w:r w:rsidR="005A11B4" w:rsidRPr="0025250D">
          <w:rPr>
            <w:rStyle w:val="Hyperlink"/>
            <w:noProof/>
            <w:rtl/>
          </w:rPr>
          <w:t xml:space="preserve"> مهم، به‌خوب</w:t>
        </w:r>
        <w:r w:rsidR="005A11B4" w:rsidRPr="0025250D">
          <w:rPr>
            <w:rStyle w:val="Hyperlink"/>
            <w:rFonts w:hint="cs"/>
            <w:noProof/>
            <w:rtl/>
          </w:rPr>
          <w:t>ی</w:t>
        </w:r>
        <w:r w:rsidR="005A11B4" w:rsidRPr="0025250D">
          <w:rPr>
            <w:rStyle w:val="Hyperlink"/>
            <w:noProof/>
            <w:rtl/>
          </w:rPr>
          <w:t xml:space="preserve"> نقد شده و باورپذ</w:t>
        </w:r>
        <w:r w:rsidR="005A11B4" w:rsidRPr="0025250D">
          <w:rPr>
            <w:rStyle w:val="Hyperlink"/>
            <w:rFonts w:hint="cs"/>
            <w:noProof/>
            <w:rtl/>
          </w:rPr>
          <w:t>ی</w:t>
        </w:r>
        <w:r w:rsidR="005A11B4" w:rsidRPr="0025250D">
          <w:rPr>
            <w:rStyle w:val="Hyperlink"/>
            <w:rFonts w:hint="eastAsia"/>
            <w:noProof/>
            <w:rtl/>
          </w:rPr>
          <w:t>ر</w:t>
        </w:r>
        <w:r w:rsidR="005A11B4" w:rsidRPr="0025250D">
          <w:rPr>
            <w:rStyle w:val="Hyperlink"/>
            <w:noProof/>
            <w:rtl/>
          </w:rPr>
          <w:t>)</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Toc127831320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298</w:t>
        </w:r>
        <w:r w:rsidR="005A11B4" w:rsidRPr="0025250D">
          <w:rPr>
            <w:noProof/>
            <w:webHidden/>
            <w:rtl/>
          </w:rPr>
          <w:fldChar w:fldCharType="end"/>
        </w:r>
      </w:hyperlink>
    </w:p>
    <w:p w14:paraId="1FE571E9" w14:textId="5F2B726D"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21" w:history="1">
        <w:r w:rsidR="005A11B4" w:rsidRPr="0025250D">
          <w:rPr>
            <w:rStyle w:val="Hyperlink"/>
            <w:noProof/>
            <w:rtl/>
          </w:rPr>
          <w:t>3-9-</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خلق چشم‌انداز‌ها</w:t>
        </w:r>
        <w:r w:rsidR="005A11B4" w:rsidRPr="0025250D">
          <w:rPr>
            <w:rStyle w:val="Hyperlink"/>
            <w:rFonts w:hint="cs"/>
            <w:noProof/>
            <w:rtl/>
          </w:rPr>
          <w:t>ی</w:t>
        </w:r>
        <w:r w:rsidR="005A11B4" w:rsidRPr="0025250D">
          <w:rPr>
            <w:rStyle w:val="Hyperlink"/>
            <w:noProof/>
            <w:rtl/>
          </w:rPr>
          <w:t xml:space="preserve"> مشترک (داستان‌ها</w:t>
        </w:r>
        <w:r w:rsidR="005A11B4" w:rsidRPr="0025250D">
          <w:rPr>
            <w:rStyle w:val="Hyperlink"/>
            <w:rFonts w:hint="cs"/>
            <w:noProof/>
            <w:rtl/>
          </w:rPr>
          <w:t>ی</w:t>
        </w:r>
        <w:r w:rsidR="005A11B4" w:rsidRPr="0025250D">
          <w:rPr>
            <w:rStyle w:val="Hyperlink"/>
            <w:noProof/>
            <w:rtl/>
          </w:rPr>
          <w:t xml:space="preserve"> پ</w:t>
        </w:r>
        <w:r w:rsidR="005A11B4" w:rsidRPr="0025250D">
          <w:rPr>
            <w:rStyle w:val="Hyperlink"/>
            <w:rFonts w:hint="cs"/>
            <w:noProof/>
            <w:rtl/>
          </w:rPr>
          <w:t>ی</w:t>
        </w:r>
        <w:r w:rsidR="005A11B4" w:rsidRPr="0025250D">
          <w:rPr>
            <w:rStyle w:val="Hyperlink"/>
            <w:rFonts w:hint="eastAsia"/>
            <w:noProof/>
            <w:rtl/>
          </w:rPr>
          <w:t>شرفت</w:t>
        </w:r>
        <w:r w:rsidR="005A11B4" w:rsidRPr="0025250D">
          <w:rPr>
            <w:rStyle w:val="Hyperlink"/>
            <w:noProof/>
            <w:rtl/>
          </w:rPr>
          <w:t xml:space="preserve"> انگ</w:t>
        </w:r>
        <w:r w:rsidR="005A11B4" w:rsidRPr="0025250D">
          <w:rPr>
            <w:rStyle w:val="Hyperlink"/>
            <w:rFonts w:hint="cs"/>
            <w:noProof/>
            <w:rtl/>
          </w:rPr>
          <w:t>ی</w:t>
        </w:r>
        <w:r w:rsidR="005A11B4" w:rsidRPr="0025250D">
          <w:rPr>
            <w:rStyle w:val="Hyperlink"/>
            <w:rFonts w:hint="eastAsia"/>
            <w:noProof/>
            <w:rtl/>
          </w:rPr>
          <w:t>زش</w:t>
        </w:r>
        <w:r w:rsidR="005A11B4" w:rsidRPr="0025250D">
          <w:rPr>
            <w:rStyle w:val="Hyperlink"/>
            <w:rFonts w:hint="cs"/>
            <w:noProof/>
            <w:rtl/>
          </w:rPr>
          <w:t>ی</w:t>
        </w:r>
        <w:r w:rsidR="005A11B4" w:rsidRPr="0025250D">
          <w:rPr>
            <w:rStyle w:val="Hyperlink"/>
            <w:noProof/>
            <w:rtl/>
          </w:rPr>
          <w:t xml:space="preserve"> و انطباق</w:t>
        </w:r>
        <w:r w:rsidR="005A11B4" w:rsidRPr="0025250D">
          <w:rPr>
            <w:rStyle w:val="Hyperlink"/>
            <w:rFonts w:hint="cs"/>
            <w:noProof/>
            <w:rtl/>
          </w:rPr>
          <w:t>ی</w:t>
        </w:r>
        <w:r w:rsidR="005A11B4" w:rsidRPr="0025250D">
          <w:rPr>
            <w:rStyle w:val="Hyperlink"/>
            <w:noProof/>
            <w:rtl/>
          </w:rPr>
          <w:t>)</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Toc127831321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303</w:t>
        </w:r>
        <w:r w:rsidR="005A11B4" w:rsidRPr="0025250D">
          <w:rPr>
            <w:noProof/>
            <w:webHidden/>
            <w:rtl/>
          </w:rPr>
          <w:fldChar w:fldCharType="end"/>
        </w:r>
      </w:hyperlink>
    </w:p>
    <w:p w14:paraId="404FC8A4" w14:textId="27A9FBD1" w:rsidR="005A11B4" w:rsidRPr="0025250D" w:rsidRDefault="007A207F">
      <w:pPr>
        <w:pStyle w:val="TOC2"/>
        <w:tabs>
          <w:tab w:val="left" w:pos="1100"/>
          <w:tab w:val="right" w:leader="dot" w:pos="9060"/>
        </w:tabs>
        <w:rPr>
          <w:rFonts w:asciiTheme="minorHAnsi" w:eastAsiaTheme="minorEastAsia" w:hAnsiTheme="minorHAnsi" w:cstheme="minorBidi"/>
          <w:noProof/>
          <w:sz w:val="22"/>
          <w:rtl/>
          <w:lang w:bidi="ar-SA"/>
        </w:rPr>
      </w:pPr>
      <w:hyperlink w:anchor="_Toc127831322" w:history="1">
        <w:r w:rsidR="005A11B4" w:rsidRPr="0025250D">
          <w:rPr>
            <w:rStyle w:val="Hyperlink"/>
            <w:noProof/>
            <w:rtl/>
          </w:rPr>
          <w:t>3-10-</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رهبر</w:t>
        </w:r>
        <w:r w:rsidR="005A11B4" w:rsidRPr="0025250D">
          <w:rPr>
            <w:rStyle w:val="Hyperlink"/>
            <w:rFonts w:hint="cs"/>
            <w:noProof/>
            <w:rtl/>
          </w:rPr>
          <w:t>ی</w:t>
        </w:r>
        <w:r w:rsidR="005A11B4" w:rsidRPr="0025250D">
          <w:rPr>
            <w:rStyle w:val="Hyperlink"/>
            <w:noProof/>
            <w:rtl/>
          </w:rPr>
          <w:t xml:space="preserve"> حس‌داد 1: نسبت‌ها</w:t>
        </w:r>
        <w:r w:rsidR="005A11B4" w:rsidRPr="0025250D">
          <w:rPr>
            <w:rStyle w:val="Hyperlink"/>
            <w:rFonts w:hint="cs"/>
            <w:noProof/>
            <w:rtl/>
          </w:rPr>
          <w:t>ی</w:t>
        </w:r>
        <w:r w:rsidR="005A11B4" w:rsidRPr="0025250D">
          <w:rPr>
            <w:rStyle w:val="Hyperlink"/>
            <w:noProof/>
            <w:rtl/>
          </w:rPr>
          <w:t xml:space="preserve"> خوش ب</w:t>
        </w:r>
        <w:r w:rsidR="005A11B4" w:rsidRPr="0025250D">
          <w:rPr>
            <w:rStyle w:val="Hyperlink"/>
            <w:rFonts w:hint="cs"/>
            <w:noProof/>
            <w:rtl/>
          </w:rPr>
          <w:t>ی</w:t>
        </w:r>
        <w:r w:rsidR="005A11B4" w:rsidRPr="0025250D">
          <w:rPr>
            <w:rStyle w:val="Hyperlink"/>
            <w:rFonts w:hint="eastAsia"/>
            <w:noProof/>
            <w:rtl/>
          </w:rPr>
          <w:t>ن</w:t>
        </w:r>
        <w:r w:rsidR="005A11B4" w:rsidRPr="0025250D">
          <w:rPr>
            <w:rStyle w:val="Hyperlink"/>
            <w:rFonts w:hint="cs"/>
            <w:noProof/>
            <w:rtl/>
          </w:rPr>
          <w:t>ی</w:t>
        </w:r>
        <w:r w:rsidR="005A11B4" w:rsidRPr="0025250D">
          <w:rPr>
            <w:rStyle w:val="Hyperlink"/>
            <w:noProof/>
            <w:rtl/>
          </w:rPr>
          <w:t xml:space="preserve"> به بدب</w:t>
        </w:r>
        <w:r w:rsidR="005A11B4" w:rsidRPr="0025250D">
          <w:rPr>
            <w:rStyle w:val="Hyperlink"/>
            <w:rFonts w:hint="cs"/>
            <w:noProof/>
            <w:rtl/>
          </w:rPr>
          <w:t>ی</w:t>
        </w:r>
        <w:r w:rsidR="005A11B4" w:rsidRPr="0025250D">
          <w:rPr>
            <w:rStyle w:val="Hyperlink"/>
            <w:rFonts w:hint="eastAsia"/>
            <w:noProof/>
            <w:rtl/>
          </w:rPr>
          <w:t>ن</w:t>
        </w:r>
        <w:r w:rsidR="005A11B4" w:rsidRPr="0025250D">
          <w:rPr>
            <w:rStyle w:val="Hyperlink"/>
            <w:rFonts w:hint="cs"/>
            <w:noProof/>
            <w:rtl/>
          </w:rPr>
          <w:t>ی</w:t>
        </w:r>
        <w:r w:rsidR="005A11B4" w:rsidRPr="0025250D">
          <w:rPr>
            <w:rStyle w:val="Hyperlink"/>
            <w:noProof/>
            <w:rtl/>
          </w:rPr>
          <w:t xml:space="preserve"> (خوش</w:t>
        </w:r>
        <w:r w:rsidR="005A11B4" w:rsidRPr="0025250D">
          <w:rPr>
            <w:rStyle w:val="Hyperlink"/>
            <w:noProof/>
          </w:rPr>
          <w:t>‌</w:t>
        </w:r>
        <w:r w:rsidR="005A11B4" w:rsidRPr="0025250D">
          <w:rPr>
            <w:rStyle w:val="Hyperlink"/>
            <w:noProof/>
            <w:rtl/>
          </w:rPr>
          <w:t>ب</w:t>
        </w:r>
        <w:r w:rsidR="005A11B4" w:rsidRPr="0025250D">
          <w:rPr>
            <w:rStyle w:val="Hyperlink"/>
            <w:rFonts w:hint="cs"/>
            <w:noProof/>
            <w:rtl/>
          </w:rPr>
          <w:t>ی</w:t>
        </w:r>
        <w:r w:rsidR="005A11B4" w:rsidRPr="0025250D">
          <w:rPr>
            <w:rStyle w:val="Hyperlink"/>
            <w:rFonts w:hint="eastAsia"/>
            <w:noProof/>
            <w:rtl/>
          </w:rPr>
          <w:t>ن</w:t>
        </w:r>
        <w:r w:rsidR="005A11B4" w:rsidRPr="0025250D">
          <w:rPr>
            <w:rStyle w:val="Hyperlink"/>
            <w:rFonts w:hint="cs"/>
            <w:noProof/>
            <w:rtl/>
          </w:rPr>
          <w:t>ی</w:t>
        </w:r>
        <w:r w:rsidR="005A11B4" w:rsidRPr="0025250D">
          <w:rPr>
            <w:rStyle w:val="Hyperlink"/>
            <w:noProof/>
            <w:rtl/>
          </w:rPr>
          <w:t>:بدب</w:t>
        </w:r>
        <w:r w:rsidR="005A11B4" w:rsidRPr="0025250D">
          <w:rPr>
            <w:rStyle w:val="Hyperlink"/>
            <w:rFonts w:hint="cs"/>
            <w:noProof/>
            <w:rtl/>
          </w:rPr>
          <w:t>ی</w:t>
        </w:r>
        <w:r w:rsidR="005A11B4" w:rsidRPr="0025250D">
          <w:rPr>
            <w:rStyle w:val="Hyperlink"/>
            <w:noProof/>
            <w:rtl/>
          </w:rPr>
          <w:t>ن</w:t>
        </w:r>
        <w:r w:rsidR="005A11B4" w:rsidRPr="0025250D">
          <w:rPr>
            <w:rStyle w:val="Hyperlink"/>
            <w:rFonts w:hint="cs"/>
            <w:noProof/>
            <w:rtl/>
          </w:rPr>
          <w:t>ی</w:t>
        </w:r>
        <w:r w:rsidR="005A11B4" w:rsidRPr="0025250D">
          <w:rPr>
            <w:rStyle w:val="Hyperlink"/>
            <w:noProof/>
            <w:rtl/>
          </w:rPr>
          <w:t>) ارزشمند</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Toc127831322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307</w:t>
        </w:r>
        <w:r w:rsidR="005A11B4" w:rsidRPr="0025250D">
          <w:rPr>
            <w:noProof/>
            <w:webHidden/>
            <w:rtl/>
          </w:rPr>
          <w:fldChar w:fldCharType="end"/>
        </w:r>
      </w:hyperlink>
    </w:p>
    <w:p w14:paraId="4FD122FB" w14:textId="6CF8C9EE" w:rsidR="005A11B4" w:rsidRPr="0025250D" w:rsidRDefault="007A207F">
      <w:pPr>
        <w:pStyle w:val="TOC2"/>
        <w:tabs>
          <w:tab w:val="left" w:pos="1100"/>
          <w:tab w:val="right" w:leader="dot" w:pos="9060"/>
        </w:tabs>
        <w:rPr>
          <w:rFonts w:asciiTheme="minorHAnsi" w:eastAsiaTheme="minorEastAsia" w:hAnsiTheme="minorHAnsi" w:cstheme="minorBidi"/>
          <w:noProof/>
          <w:sz w:val="22"/>
          <w:rtl/>
          <w:lang w:bidi="ar-SA"/>
        </w:rPr>
      </w:pPr>
      <w:hyperlink w:anchor="_Toc127831323" w:history="1">
        <w:r w:rsidR="005A11B4" w:rsidRPr="0025250D">
          <w:rPr>
            <w:rStyle w:val="Hyperlink"/>
            <w:noProof/>
            <w:rtl/>
          </w:rPr>
          <w:t>3-11-</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رهبر</w:t>
        </w:r>
        <w:r w:rsidR="005A11B4" w:rsidRPr="0025250D">
          <w:rPr>
            <w:rStyle w:val="Hyperlink"/>
            <w:rFonts w:hint="cs"/>
            <w:noProof/>
            <w:rtl/>
          </w:rPr>
          <w:t>ی</w:t>
        </w:r>
        <w:r w:rsidR="005A11B4" w:rsidRPr="0025250D">
          <w:rPr>
            <w:rStyle w:val="Hyperlink"/>
            <w:noProof/>
            <w:rtl/>
          </w:rPr>
          <w:t xml:space="preserve"> حس‌داد 2: چشم‌انداز‌ها</w:t>
        </w:r>
        <w:r w:rsidR="005A11B4" w:rsidRPr="0025250D">
          <w:rPr>
            <w:rStyle w:val="Hyperlink"/>
            <w:rFonts w:hint="cs"/>
            <w:noProof/>
            <w:rtl/>
          </w:rPr>
          <w:t>ی</w:t>
        </w:r>
        <w:r w:rsidR="005A11B4" w:rsidRPr="0025250D">
          <w:rPr>
            <w:rStyle w:val="Hyperlink"/>
            <w:noProof/>
            <w:rtl/>
          </w:rPr>
          <w:t xml:space="preserve"> موفق</w:t>
        </w:r>
        <w:r w:rsidR="005A11B4" w:rsidRPr="0025250D">
          <w:rPr>
            <w:rStyle w:val="Hyperlink"/>
            <w:rFonts w:hint="cs"/>
            <w:noProof/>
            <w:rtl/>
          </w:rPr>
          <w:t>ی</w:t>
        </w:r>
        <w:r w:rsidR="005A11B4" w:rsidRPr="0025250D">
          <w:rPr>
            <w:rStyle w:val="Hyperlink"/>
            <w:rFonts w:hint="eastAsia"/>
            <w:noProof/>
            <w:rtl/>
          </w:rPr>
          <w:t>ت،</w:t>
        </w:r>
        <w:r w:rsidR="005A11B4" w:rsidRPr="0025250D">
          <w:rPr>
            <w:rStyle w:val="Hyperlink"/>
            <w:noProof/>
            <w:rtl/>
          </w:rPr>
          <w:t xml:space="preserve"> فرانامه‌ها</w:t>
        </w:r>
        <w:r w:rsidR="005A11B4" w:rsidRPr="0025250D">
          <w:rPr>
            <w:rStyle w:val="Hyperlink"/>
            <w:rFonts w:hint="cs"/>
            <w:noProof/>
            <w:rtl/>
          </w:rPr>
          <w:t>ی</w:t>
        </w:r>
        <w:r w:rsidR="005A11B4" w:rsidRPr="0025250D">
          <w:rPr>
            <w:rStyle w:val="Hyperlink"/>
            <w:noProof/>
            <w:rtl/>
          </w:rPr>
          <w:t xml:space="preserve"> شکست، بررس</w:t>
        </w:r>
        <w:r w:rsidR="005A11B4" w:rsidRPr="0025250D">
          <w:rPr>
            <w:rStyle w:val="Hyperlink"/>
            <w:rFonts w:hint="cs"/>
            <w:noProof/>
            <w:rtl/>
          </w:rPr>
          <w:t>ی‌</w:t>
        </w:r>
        <w:r w:rsidR="005A11B4" w:rsidRPr="0025250D">
          <w:rPr>
            <w:rStyle w:val="Hyperlink"/>
            <w:rFonts w:hint="eastAsia"/>
            <w:noProof/>
            <w:rtl/>
          </w:rPr>
          <w:t>ها</w:t>
        </w:r>
        <w:r w:rsidR="005A11B4" w:rsidRPr="0025250D">
          <w:rPr>
            <w:rStyle w:val="Hyperlink"/>
            <w:rFonts w:hint="cs"/>
            <w:noProof/>
            <w:rtl/>
          </w:rPr>
          <w:t>ی</w:t>
        </w:r>
        <w:r w:rsidR="005A11B4" w:rsidRPr="0025250D">
          <w:rPr>
            <w:rStyle w:val="Hyperlink"/>
            <w:noProof/>
            <w:rtl/>
          </w:rPr>
          <w:t xml:space="preserve"> واقع</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Toc127831323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316</w:t>
        </w:r>
        <w:r w:rsidR="005A11B4" w:rsidRPr="0025250D">
          <w:rPr>
            <w:noProof/>
            <w:webHidden/>
            <w:rtl/>
          </w:rPr>
          <w:fldChar w:fldCharType="end"/>
        </w:r>
      </w:hyperlink>
    </w:p>
    <w:p w14:paraId="2537C423" w14:textId="64838444" w:rsidR="005A11B4" w:rsidRPr="0025250D" w:rsidRDefault="007A207F">
      <w:pPr>
        <w:pStyle w:val="TOC2"/>
        <w:tabs>
          <w:tab w:val="left" w:pos="1100"/>
          <w:tab w:val="right" w:leader="dot" w:pos="9060"/>
        </w:tabs>
        <w:rPr>
          <w:rFonts w:asciiTheme="minorHAnsi" w:eastAsiaTheme="minorEastAsia" w:hAnsiTheme="minorHAnsi" w:cstheme="minorBidi"/>
          <w:noProof/>
          <w:sz w:val="22"/>
          <w:rtl/>
          <w:lang w:bidi="ar-SA"/>
        </w:rPr>
      </w:pPr>
      <w:hyperlink w:anchor="_Toc127831324" w:history="1">
        <w:r w:rsidR="005A11B4" w:rsidRPr="0025250D">
          <w:rPr>
            <w:rStyle w:val="Hyperlink"/>
            <w:noProof/>
            <w:rtl/>
          </w:rPr>
          <w:t>3-12-</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مدل‌ها</w:t>
        </w:r>
        <w:r w:rsidR="005A11B4" w:rsidRPr="0025250D">
          <w:rPr>
            <w:rStyle w:val="Hyperlink"/>
            <w:rFonts w:hint="cs"/>
            <w:noProof/>
            <w:rtl/>
          </w:rPr>
          <w:t>ی</w:t>
        </w:r>
        <w:r w:rsidR="005A11B4" w:rsidRPr="0025250D">
          <w:rPr>
            <w:rStyle w:val="Hyperlink"/>
            <w:noProof/>
            <w:rtl/>
          </w:rPr>
          <w:t xml:space="preserve"> رهبر</w:t>
        </w:r>
        <w:r w:rsidR="005A11B4" w:rsidRPr="0025250D">
          <w:rPr>
            <w:rStyle w:val="Hyperlink"/>
            <w:rFonts w:hint="cs"/>
            <w:noProof/>
            <w:rtl/>
          </w:rPr>
          <w:t>ی</w:t>
        </w:r>
        <w:r w:rsidR="005A11B4" w:rsidRPr="0025250D">
          <w:rPr>
            <w:rStyle w:val="Hyperlink"/>
            <w:noProof/>
            <w:rtl/>
          </w:rPr>
          <w:t xml:space="preserve"> و ارزش ها</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Toc127831324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318</w:t>
        </w:r>
        <w:r w:rsidR="005A11B4" w:rsidRPr="0025250D">
          <w:rPr>
            <w:noProof/>
            <w:webHidden/>
            <w:rtl/>
          </w:rPr>
          <w:fldChar w:fldCharType="end"/>
        </w:r>
      </w:hyperlink>
    </w:p>
    <w:p w14:paraId="676C3B18" w14:textId="60C9689A" w:rsidR="005A11B4" w:rsidRPr="0025250D" w:rsidRDefault="007A207F">
      <w:pPr>
        <w:pStyle w:val="TOC2"/>
        <w:tabs>
          <w:tab w:val="left" w:pos="660"/>
          <w:tab w:val="right" w:leader="dot" w:pos="9060"/>
        </w:tabs>
        <w:rPr>
          <w:rFonts w:asciiTheme="minorHAnsi" w:eastAsiaTheme="minorEastAsia" w:hAnsiTheme="minorHAnsi" w:cstheme="minorBidi"/>
          <w:noProof/>
          <w:sz w:val="22"/>
          <w:rtl/>
          <w:lang w:bidi="ar-SA"/>
        </w:rPr>
      </w:pPr>
      <w:hyperlink w:anchor="_Toc127831325" w:history="1">
        <w:r w:rsidR="005A11B4" w:rsidRPr="0025250D">
          <w:rPr>
            <w:rStyle w:val="Hyperlink"/>
            <w:noProof/>
            <w:rtl/>
          </w:rPr>
          <w:t>3-13-</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6 هدف و 12 ارزش سامانه‌‌ها</w:t>
        </w:r>
        <w:r w:rsidR="005A11B4" w:rsidRPr="0025250D">
          <w:rPr>
            <w:rStyle w:val="Hyperlink"/>
            <w:rFonts w:hint="cs"/>
            <w:noProof/>
            <w:rtl/>
          </w:rPr>
          <w:t>ی</w:t>
        </w:r>
        <w:r w:rsidR="005A11B4" w:rsidRPr="0025250D">
          <w:rPr>
            <w:rStyle w:val="Hyperlink"/>
            <w:noProof/>
            <w:rtl/>
          </w:rPr>
          <w:t xml:space="preserve"> انطباق</w:t>
        </w:r>
        <w:r w:rsidR="005A11B4" w:rsidRPr="0025250D">
          <w:rPr>
            <w:rStyle w:val="Hyperlink"/>
            <w:rFonts w:hint="cs"/>
            <w:noProof/>
            <w:rtl/>
          </w:rPr>
          <w:t>ی</w:t>
        </w:r>
        <w:r w:rsidR="005A11B4" w:rsidRPr="0025250D">
          <w:rPr>
            <w:rStyle w:val="Hyperlink"/>
            <w:noProof/>
            <w:rtl/>
          </w:rPr>
          <w:t>: هرم ارزش‌ها</w:t>
        </w:r>
        <w:r w:rsidR="005A11B4" w:rsidRPr="0025250D">
          <w:rPr>
            <w:rStyle w:val="Hyperlink"/>
            <w:rFonts w:hint="cs"/>
            <w:noProof/>
            <w:rtl/>
          </w:rPr>
          <w:t>ی</w:t>
        </w:r>
        <w:r w:rsidR="005A11B4" w:rsidRPr="0025250D">
          <w:rPr>
            <w:rStyle w:val="Hyperlink"/>
            <w:noProof/>
            <w:rtl/>
          </w:rPr>
          <w:t xml:space="preserve"> تکامل</w:t>
        </w:r>
        <w:r w:rsidR="005A11B4" w:rsidRPr="0025250D">
          <w:rPr>
            <w:rStyle w:val="Hyperlink"/>
            <w:rFonts w:hint="cs"/>
            <w:noProof/>
            <w:rtl/>
          </w:rPr>
          <w:t>ی</w:t>
        </w:r>
        <w:r w:rsidR="005A11B4" w:rsidRPr="0025250D">
          <w:rPr>
            <w:rStyle w:val="Hyperlink"/>
            <w:noProof/>
            <w:rtl/>
          </w:rPr>
          <w:t xml:space="preserve"> </w:t>
        </w:r>
        <w:r w:rsidR="005A11B4" w:rsidRPr="0025250D">
          <w:rPr>
            <w:rStyle w:val="Hyperlink"/>
            <w:rFonts w:cs="Times New Roman"/>
            <w:noProof/>
            <w:rtl/>
          </w:rPr>
          <w:t>–</w:t>
        </w:r>
        <w:r w:rsidR="005A11B4" w:rsidRPr="0025250D">
          <w:rPr>
            <w:rStyle w:val="Hyperlink"/>
            <w:noProof/>
            <w:rtl/>
          </w:rPr>
          <w:t xml:space="preserve"> توسعه ا</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Toc127831325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322</w:t>
        </w:r>
        <w:r w:rsidR="005A11B4" w:rsidRPr="0025250D">
          <w:rPr>
            <w:noProof/>
            <w:webHidden/>
            <w:rtl/>
          </w:rPr>
          <w:fldChar w:fldCharType="end"/>
        </w:r>
      </w:hyperlink>
    </w:p>
    <w:p w14:paraId="3E23F364" w14:textId="16E2F414" w:rsidR="005A11B4" w:rsidRPr="0025250D" w:rsidRDefault="007A207F" w:rsidP="005A11B4">
      <w:pPr>
        <w:pStyle w:val="TOC1"/>
        <w:rPr>
          <w:rFonts w:asciiTheme="minorHAnsi" w:eastAsiaTheme="minorEastAsia" w:hAnsiTheme="minorHAnsi" w:cstheme="minorBidi"/>
          <w:noProof/>
          <w:sz w:val="22"/>
          <w:rtl/>
          <w:lang w:bidi="ar-SA"/>
        </w:rPr>
      </w:pPr>
      <w:hyperlink w:anchor="_Toc127831326" w:history="1">
        <w:r w:rsidR="005A11B4" w:rsidRPr="0025250D">
          <w:rPr>
            <w:rStyle w:val="Hyperlink"/>
            <w:noProof/>
            <w:rtl/>
          </w:rPr>
          <w:t>4-</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فصل 4: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سازمان</w:t>
        </w:r>
        <w:r w:rsidR="005A11B4" w:rsidRPr="0025250D">
          <w:rPr>
            <w:rStyle w:val="Hyperlink"/>
            <w:rFonts w:hint="cs"/>
            <w:noProof/>
            <w:rtl/>
          </w:rPr>
          <w:t>ی</w:t>
        </w:r>
        <w:r w:rsidR="005A11B4" w:rsidRPr="0025250D">
          <w:rPr>
            <w:rStyle w:val="Hyperlink"/>
            <w:noProof/>
            <w:rtl/>
          </w:rPr>
          <w:t xml:space="preserve"> 2 </w:t>
        </w:r>
        <w:r w:rsidR="005A11B4" w:rsidRPr="0025250D">
          <w:rPr>
            <w:rStyle w:val="Hyperlink"/>
            <w:rFonts w:cs="Times New Roman"/>
            <w:noProof/>
            <w:rtl/>
          </w:rPr>
          <w:t>–</w:t>
        </w:r>
        <w:r w:rsidR="005A11B4" w:rsidRPr="0025250D">
          <w:rPr>
            <w:rStyle w:val="Hyperlink"/>
            <w:noProof/>
            <w:rtl/>
          </w:rPr>
          <w:t xml:space="preserve"> هشت مهارت</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Toc127831326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326</w:t>
        </w:r>
        <w:r w:rsidR="005A11B4" w:rsidRPr="0025250D">
          <w:rPr>
            <w:noProof/>
            <w:webHidden/>
            <w:rtl/>
          </w:rPr>
          <w:fldChar w:fldCharType="end"/>
        </w:r>
      </w:hyperlink>
    </w:p>
    <w:p w14:paraId="043D1DD8" w14:textId="58DA8EF5" w:rsidR="005A11B4" w:rsidRPr="0025250D" w:rsidRDefault="007A207F">
      <w:pPr>
        <w:pStyle w:val="TOC2"/>
        <w:tabs>
          <w:tab w:val="left" w:pos="1760"/>
          <w:tab w:val="right" w:leader="dot" w:pos="9060"/>
        </w:tabs>
        <w:rPr>
          <w:rFonts w:asciiTheme="minorHAnsi" w:eastAsiaTheme="minorEastAsia" w:hAnsiTheme="minorHAnsi" w:cstheme="minorBidi"/>
          <w:noProof/>
          <w:sz w:val="22"/>
          <w:rtl/>
          <w:lang w:bidi="ar-SA"/>
        </w:rPr>
      </w:pPr>
      <w:hyperlink w:anchor="_Toc127831327" w:history="1">
        <w:r w:rsidR="005A11B4" w:rsidRPr="0025250D">
          <w:rPr>
            <w:rStyle w:val="Hyperlink"/>
            <w:noProof/>
            <w:rtl/>
          </w:rPr>
          <w:t>4-1-</w:t>
        </w:r>
        <w:r w:rsidR="005A11B4" w:rsidRPr="0025250D">
          <w:rPr>
            <w:rFonts w:asciiTheme="minorHAnsi" w:eastAsiaTheme="minorEastAsia" w:hAnsiTheme="minorHAnsi" w:cstheme="minorBidi"/>
            <w:noProof/>
            <w:sz w:val="22"/>
            <w:rtl/>
            <w:lang w:bidi="ar-SA"/>
          </w:rPr>
          <w:tab/>
        </w:r>
        <w:r w:rsidR="005A11B4" w:rsidRPr="0025250D">
          <w:rPr>
            <w:rStyle w:val="Hyperlink"/>
            <w:noProof/>
          </w:rPr>
          <w:t>LAISEIRR</w:t>
        </w:r>
        <w:r w:rsidR="005A11B4" w:rsidRPr="0025250D">
          <w:rPr>
            <w:rStyle w:val="Hyperlink"/>
            <w:noProof/>
            <w:rtl/>
          </w:rPr>
          <w:t>: هشت مهارت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انطباق</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Toc127831327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327</w:t>
        </w:r>
        <w:r w:rsidR="005A11B4" w:rsidRPr="0025250D">
          <w:rPr>
            <w:noProof/>
            <w:webHidden/>
            <w:rtl/>
          </w:rPr>
          <w:fldChar w:fldCharType="end"/>
        </w:r>
      </w:hyperlink>
    </w:p>
    <w:p w14:paraId="37AEAB21" w14:textId="6B81B5A9"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28" w:history="1">
        <w:r w:rsidR="005A11B4" w:rsidRPr="0025250D">
          <w:rPr>
            <w:rStyle w:val="Hyperlink"/>
            <w:noProof/>
            <w:rtl/>
          </w:rPr>
          <w:t>4-2-</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 xml:space="preserve">مدل </w:t>
        </w:r>
        <w:r w:rsidR="005A11B4" w:rsidRPr="0025250D">
          <w:rPr>
            <w:rStyle w:val="Hyperlink"/>
            <w:noProof/>
          </w:rPr>
          <w:t>OODA</w:t>
        </w:r>
        <w:r w:rsidR="005A11B4" w:rsidRPr="0025250D">
          <w:rPr>
            <w:rStyle w:val="Hyperlink"/>
            <w:noProof/>
            <w:rtl/>
          </w:rPr>
          <w:t xml:space="preserve"> بو</w:t>
        </w:r>
        <w:r w:rsidR="005A11B4" w:rsidRPr="0025250D">
          <w:rPr>
            <w:rStyle w:val="Hyperlink"/>
            <w:rFonts w:hint="cs"/>
            <w:noProof/>
            <w:rtl/>
          </w:rPr>
          <w:t>ی</w:t>
        </w:r>
        <w:r w:rsidR="005A11B4" w:rsidRPr="0025250D">
          <w:rPr>
            <w:rStyle w:val="Hyperlink"/>
            <w:noProof/>
            <w:rtl/>
          </w:rPr>
          <w:t>د برا</w:t>
        </w:r>
        <w:r w:rsidR="005A11B4" w:rsidRPr="0025250D">
          <w:rPr>
            <w:rStyle w:val="Hyperlink"/>
            <w:rFonts w:hint="cs"/>
            <w:noProof/>
            <w:rtl/>
          </w:rPr>
          <w:t>ی</w:t>
        </w:r>
        <w:r w:rsidR="005A11B4" w:rsidRPr="0025250D">
          <w:rPr>
            <w:rStyle w:val="Hyperlink"/>
            <w:noProof/>
            <w:rtl/>
          </w:rPr>
          <w:t xml:space="preserve"> تسلط رقابت</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Toc127831328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329</w:t>
        </w:r>
        <w:r w:rsidR="005A11B4" w:rsidRPr="0025250D">
          <w:rPr>
            <w:noProof/>
            <w:webHidden/>
            <w:rtl/>
          </w:rPr>
          <w:fldChar w:fldCharType="end"/>
        </w:r>
      </w:hyperlink>
    </w:p>
    <w:p w14:paraId="42E7EBA7" w14:textId="5B33CD6F"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29" w:history="1">
        <w:r w:rsidR="005A11B4" w:rsidRPr="0025250D">
          <w:rPr>
            <w:rStyle w:val="Hyperlink"/>
            <w:noProof/>
            <w:rtl/>
          </w:rPr>
          <w:t>4-3-</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هشت مهارت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انطباق</w:t>
        </w:r>
        <w:r w:rsidR="005A11B4" w:rsidRPr="0025250D">
          <w:rPr>
            <w:rStyle w:val="Hyperlink"/>
            <w:rFonts w:hint="cs"/>
            <w:noProof/>
            <w:rtl/>
          </w:rPr>
          <w:t>ی</w:t>
        </w:r>
        <w:r w:rsidR="005A11B4" w:rsidRPr="0025250D">
          <w:rPr>
            <w:rStyle w:val="Hyperlink"/>
            <w:noProof/>
            <w:rtl/>
          </w:rPr>
          <w:t>: نگاه</w:t>
        </w:r>
        <w:r w:rsidR="005A11B4" w:rsidRPr="0025250D">
          <w:rPr>
            <w:rStyle w:val="Hyperlink"/>
            <w:rFonts w:hint="cs"/>
            <w:noProof/>
            <w:rtl/>
          </w:rPr>
          <w:t>ی</w:t>
        </w:r>
        <w:r w:rsidR="005A11B4" w:rsidRPr="0025250D">
          <w:rPr>
            <w:rStyle w:val="Hyperlink"/>
            <w:noProof/>
            <w:rtl/>
          </w:rPr>
          <w:t xml:space="preserve"> عم</w:t>
        </w:r>
        <w:r w:rsidR="005A11B4" w:rsidRPr="0025250D">
          <w:rPr>
            <w:rStyle w:val="Hyperlink"/>
            <w:rFonts w:hint="cs"/>
            <w:noProof/>
            <w:rtl/>
          </w:rPr>
          <w:t>ی</w:t>
        </w:r>
        <w:r w:rsidR="005A11B4" w:rsidRPr="0025250D">
          <w:rPr>
            <w:rStyle w:val="Hyperlink"/>
            <w:rFonts w:hint="eastAsia"/>
            <w:noProof/>
            <w:rtl/>
          </w:rPr>
          <w:t>ق</w:t>
        </w:r>
        <w:r w:rsidR="005A11B4" w:rsidRPr="0025250D">
          <w:rPr>
            <w:rStyle w:val="Hyperlink"/>
            <w:noProof/>
            <w:rtl/>
          </w:rPr>
          <w:t xml:space="preserve"> تر</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Toc127831329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331</w:t>
        </w:r>
        <w:r w:rsidR="005A11B4" w:rsidRPr="0025250D">
          <w:rPr>
            <w:noProof/>
            <w:webHidden/>
            <w:rtl/>
          </w:rPr>
          <w:fldChar w:fldCharType="end"/>
        </w:r>
      </w:hyperlink>
    </w:p>
    <w:p w14:paraId="56483744" w14:textId="23BA2C79"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30" w:history="1">
        <w:r w:rsidR="005A11B4" w:rsidRPr="0025250D">
          <w:rPr>
            <w:rStyle w:val="Hyperlink"/>
            <w:noProof/>
            <w:rtl/>
          </w:rPr>
          <w:t>4-4-</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انطباق</w:t>
        </w:r>
        <w:r w:rsidR="005A11B4" w:rsidRPr="0025250D">
          <w:rPr>
            <w:rStyle w:val="Hyperlink"/>
            <w:rFonts w:hint="cs"/>
            <w:noProof/>
            <w:rtl/>
          </w:rPr>
          <w:t>ی</w:t>
        </w:r>
        <w:r w:rsidR="005A11B4" w:rsidRPr="0025250D">
          <w:rPr>
            <w:rStyle w:val="Hyperlink"/>
            <w:noProof/>
            <w:rtl/>
          </w:rPr>
          <w:t xml:space="preserve"> هنجار</w:t>
        </w:r>
        <w:r w:rsidR="005A11B4" w:rsidRPr="0025250D">
          <w:rPr>
            <w:rStyle w:val="Hyperlink"/>
            <w:rFonts w:hint="cs"/>
            <w:noProof/>
            <w:rtl/>
          </w:rPr>
          <w:t>ی</w:t>
        </w:r>
        <w:r w:rsidR="005A11B4" w:rsidRPr="0025250D">
          <w:rPr>
            <w:rStyle w:val="Hyperlink"/>
            <w:noProof/>
            <w:rtl/>
          </w:rPr>
          <w:t>: گنجاندن ارزش ها</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Toc127831330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337</w:t>
        </w:r>
        <w:r w:rsidR="005A11B4" w:rsidRPr="0025250D">
          <w:rPr>
            <w:noProof/>
            <w:webHidden/>
            <w:rtl/>
          </w:rPr>
          <w:fldChar w:fldCharType="end"/>
        </w:r>
      </w:hyperlink>
    </w:p>
    <w:p w14:paraId="2B7CFE20" w14:textId="5F6600AA"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31" w:history="1">
        <w:r w:rsidR="005A11B4" w:rsidRPr="0025250D">
          <w:rPr>
            <w:rStyle w:val="Hyperlink"/>
            <w:noProof/>
            <w:rtl/>
          </w:rPr>
          <w:t>4-5-</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اجرا</w:t>
        </w:r>
        <w:r w:rsidR="005A11B4" w:rsidRPr="0025250D">
          <w:rPr>
            <w:rStyle w:val="Hyperlink"/>
            <w:rFonts w:hint="cs"/>
            <w:noProof/>
            <w:rtl/>
          </w:rPr>
          <w:t>ی</w:t>
        </w:r>
        <w:r w:rsidR="005A11B4" w:rsidRPr="0025250D">
          <w:rPr>
            <w:rStyle w:val="Hyperlink"/>
            <w:noProof/>
            <w:rtl/>
          </w:rPr>
          <w:t xml:space="preserve"> چرخه‌ها</w:t>
        </w:r>
        <w:r w:rsidR="005A11B4" w:rsidRPr="0025250D">
          <w:rPr>
            <w:rStyle w:val="Hyperlink"/>
            <w:rFonts w:hint="cs"/>
            <w:noProof/>
            <w:rtl/>
          </w:rPr>
          <w:t>ی</w:t>
        </w:r>
        <w:r w:rsidR="005A11B4" w:rsidRPr="0025250D">
          <w:rPr>
            <w:rStyle w:val="Hyperlink"/>
            <w:noProof/>
            <w:rtl/>
          </w:rPr>
          <w:t xml:space="preserve"> انجام: هشت مهارت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انطباق</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Toc127831331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339</w:t>
        </w:r>
        <w:r w:rsidR="005A11B4" w:rsidRPr="0025250D">
          <w:rPr>
            <w:noProof/>
            <w:webHidden/>
            <w:rtl/>
          </w:rPr>
          <w:fldChar w:fldCharType="end"/>
        </w:r>
      </w:hyperlink>
    </w:p>
    <w:p w14:paraId="752DE3F8" w14:textId="5E3B5D75" w:rsidR="005A11B4" w:rsidRPr="0025250D" w:rsidRDefault="007A207F" w:rsidP="005A11B4">
      <w:pPr>
        <w:pStyle w:val="TOC1"/>
        <w:rPr>
          <w:rFonts w:asciiTheme="minorHAnsi" w:eastAsiaTheme="minorEastAsia" w:hAnsiTheme="minorHAnsi" w:cstheme="minorBidi"/>
          <w:noProof/>
          <w:sz w:val="22"/>
          <w:rtl/>
          <w:lang w:bidi="ar-SA"/>
        </w:rPr>
      </w:pPr>
      <w:hyperlink w:anchor="_Toc127831332" w:history="1">
        <w:r w:rsidR="005A11B4" w:rsidRPr="0025250D">
          <w:rPr>
            <w:rStyle w:val="Hyperlink"/>
            <w:noProof/>
            <w:rtl/>
          </w:rPr>
          <w:t>5-</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فصل 5: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سازمان</w:t>
        </w:r>
        <w:r w:rsidR="005A11B4" w:rsidRPr="0025250D">
          <w:rPr>
            <w:rStyle w:val="Hyperlink"/>
            <w:rFonts w:hint="cs"/>
            <w:noProof/>
            <w:rtl/>
          </w:rPr>
          <w:t>ی</w:t>
        </w:r>
        <w:r w:rsidR="005A11B4" w:rsidRPr="0025250D">
          <w:rPr>
            <w:rStyle w:val="Hyperlink"/>
            <w:noProof/>
            <w:rtl/>
          </w:rPr>
          <w:t xml:space="preserve"> 3 </w:t>
        </w:r>
        <w:r w:rsidR="005A11B4" w:rsidRPr="0025250D">
          <w:rPr>
            <w:rStyle w:val="Hyperlink"/>
            <w:rFonts w:cs="Times New Roman"/>
            <w:noProof/>
            <w:rtl/>
          </w:rPr>
          <w:t>–</w:t>
        </w:r>
        <w:r w:rsidR="005A11B4" w:rsidRPr="0025250D">
          <w:rPr>
            <w:rStyle w:val="Hyperlink"/>
            <w:noProof/>
            <w:rtl/>
          </w:rPr>
          <w:t xml:space="preserve"> چارچوب‌ها و روش ها</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Toc127831332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388</w:t>
        </w:r>
        <w:r w:rsidR="005A11B4" w:rsidRPr="0025250D">
          <w:rPr>
            <w:noProof/>
            <w:webHidden/>
            <w:rtl/>
          </w:rPr>
          <w:fldChar w:fldCharType="end"/>
        </w:r>
      </w:hyperlink>
    </w:p>
    <w:p w14:paraId="7C8F92D5" w14:textId="2EE2B361" w:rsidR="005A11B4" w:rsidRPr="0025250D" w:rsidRDefault="007A207F">
      <w:pPr>
        <w:pStyle w:val="TOC2"/>
        <w:tabs>
          <w:tab w:val="left" w:pos="660"/>
          <w:tab w:val="right" w:leader="dot" w:pos="9060"/>
        </w:tabs>
        <w:rPr>
          <w:rFonts w:asciiTheme="minorHAnsi" w:eastAsiaTheme="minorEastAsia" w:hAnsiTheme="minorHAnsi" w:cstheme="minorBidi"/>
          <w:noProof/>
          <w:sz w:val="22"/>
          <w:rtl/>
          <w:lang w:bidi="ar-SA"/>
        </w:rPr>
      </w:pPr>
      <w:hyperlink w:anchor="_Toc127831333" w:history="1">
        <w:r w:rsidR="005A11B4" w:rsidRPr="0025250D">
          <w:rPr>
            <w:rStyle w:val="Hyperlink"/>
            <w:noProof/>
            <w:rtl/>
          </w:rPr>
          <w:t>5-1-</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1. چارچوب‌ها</w:t>
        </w:r>
        <w:r w:rsidR="005A11B4" w:rsidRPr="0025250D">
          <w:rPr>
            <w:rStyle w:val="Hyperlink"/>
            <w:rFonts w:hint="cs"/>
            <w:noProof/>
            <w:rtl/>
          </w:rPr>
          <w:t>ی</w:t>
        </w:r>
        <w:r w:rsidR="005A11B4" w:rsidRPr="0025250D">
          <w:rPr>
            <w:rStyle w:val="Hyperlink"/>
            <w:noProof/>
            <w:rtl/>
          </w:rPr>
          <w:t xml:space="preserve"> انجام آ</w:t>
        </w:r>
        <w:r w:rsidR="005A11B4" w:rsidRPr="0025250D">
          <w:rPr>
            <w:rStyle w:val="Hyperlink"/>
            <w:rFonts w:hint="cs"/>
            <w:noProof/>
            <w:rtl/>
          </w:rPr>
          <w:t>ی</w:t>
        </w:r>
        <w:r w:rsidR="005A11B4" w:rsidRPr="0025250D">
          <w:rPr>
            <w:rStyle w:val="Hyperlink"/>
            <w:rFonts w:hint="eastAsia"/>
            <w:noProof/>
            <w:rtl/>
          </w:rPr>
          <w:t>نده‌نگا</w:t>
        </w:r>
        <w:r w:rsidR="005A11B4" w:rsidRPr="0025250D">
          <w:rPr>
            <w:rStyle w:val="Hyperlink"/>
            <w:noProof/>
            <w:rtl/>
          </w:rPr>
          <w:t>ر</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Toc127831333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389</w:t>
        </w:r>
        <w:r w:rsidR="005A11B4" w:rsidRPr="0025250D">
          <w:rPr>
            <w:noProof/>
            <w:webHidden/>
            <w:rtl/>
          </w:rPr>
          <w:fldChar w:fldCharType="end"/>
        </w:r>
      </w:hyperlink>
    </w:p>
    <w:p w14:paraId="2B00EB64" w14:textId="3C597B4A" w:rsidR="005A11B4" w:rsidRPr="0025250D" w:rsidRDefault="007A207F">
      <w:pPr>
        <w:pStyle w:val="TOC2"/>
        <w:tabs>
          <w:tab w:val="left" w:pos="660"/>
          <w:tab w:val="right" w:leader="dot" w:pos="9060"/>
        </w:tabs>
        <w:rPr>
          <w:rFonts w:asciiTheme="minorHAnsi" w:eastAsiaTheme="minorEastAsia" w:hAnsiTheme="minorHAnsi" w:cstheme="minorBidi"/>
          <w:noProof/>
          <w:sz w:val="22"/>
          <w:rtl/>
          <w:lang w:bidi="ar-SA"/>
        </w:rPr>
      </w:pPr>
      <w:hyperlink w:anchor="_Toc127831334" w:history="1">
        <w:r w:rsidR="005A11B4" w:rsidRPr="0025250D">
          <w:rPr>
            <w:rStyle w:val="Hyperlink"/>
            <w:noProof/>
            <w:rtl/>
          </w:rPr>
          <w:t>5-2-</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2. مرور</w:t>
        </w:r>
        <w:r w:rsidR="005A11B4" w:rsidRPr="0025250D">
          <w:rPr>
            <w:rStyle w:val="Hyperlink"/>
            <w:rFonts w:hint="cs"/>
            <w:noProof/>
            <w:rtl/>
          </w:rPr>
          <w:t>ی</w:t>
        </w:r>
        <w:r w:rsidR="005A11B4" w:rsidRPr="0025250D">
          <w:rPr>
            <w:rStyle w:val="Hyperlink"/>
            <w:noProof/>
            <w:rtl/>
          </w:rPr>
          <w:t xml:space="preserve"> کل</w:t>
        </w:r>
        <w:r w:rsidR="005A11B4" w:rsidRPr="0025250D">
          <w:rPr>
            <w:rStyle w:val="Hyperlink"/>
            <w:rFonts w:hint="cs"/>
            <w:noProof/>
            <w:rtl/>
          </w:rPr>
          <w:t>ی</w:t>
        </w:r>
        <w:r w:rsidR="005A11B4" w:rsidRPr="0025250D">
          <w:rPr>
            <w:rStyle w:val="Hyperlink"/>
            <w:noProof/>
            <w:rtl/>
          </w:rPr>
          <w:t xml:space="preserve"> بر روش‌ها </w:t>
        </w:r>
        <w:r w:rsidR="005A11B4" w:rsidRPr="0025250D">
          <w:rPr>
            <w:rStyle w:val="Hyperlink"/>
            <w:rFonts w:cs="Times New Roman"/>
            <w:noProof/>
            <w:rtl/>
          </w:rPr>
          <w:t>–</w:t>
        </w:r>
        <w:r w:rsidR="005A11B4" w:rsidRPr="0025250D">
          <w:rPr>
            <w:rStyle w:val="Hyperlink"/>
            <w:noProof/>
            <w:rtl/>
          </w:rPr>
          <w:t xml:space="preserve"> مهارت‌ها</w:t>
        </w:r>
        <w:r w:rsidR="005A11B4" w:rsidRPr="0025250D">
          <w:rPr>
            <w:rStyle w:val="Hyperlink"/>
            <w:rFonts w:hint="cs"/>
            <w:noProof/>
            <w:rtl/>
          </w:rPr>
          <w:t>ی</w:t>
        </w:r>
        <w:r w:rsidR="005A11B4" w:rsidRPr="0025250D">
          <w:rPr>
            <w:rStyle w:val="Hyperlink"/>
            <w:noProof/>
            <w:rtl/>
          </w:rPr>
          <w:t xml:space="preserve">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راهبرد</w:t>
        </w:r>
        <w:r w:rsidR="005A11B4" w:rsidRPr="0025250D">
          <w:rPr>
            <w:rStyle w:val="Hyperlink"/>
            <w:rFonts w:hint="cs"/>
            <w:noProof/>
            <w:rtl/>
          </w:rPr>
          <w:t>ی</w:t>
        </w:r>
        <w:r w:rsidR="005A11B4" w:rsidRPr="0025250D">
          <w:rPr>
            <w:rStyle w:val="Hyperlink"/>
            <w:noProof/>
            <w:rtl/>
          </w:rPr>
          <w:t xml:space="preserve"> </w:t>
        </w:r>
        <w:r w:rsidR="005A11B4" w:rsidRPr="0025250D">
          <w:rPr>
            <w:rStyle w:val="Hyperlink"/>
            <w:noProof/>
          </w:rPr>
          <w:t>LAIS</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Toc127831334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406</w:t>
        </w:r>
        <w:r w:rsidR="005A11B4" w:rsidRPr="0025250D">
          <w:rPr>
            <w:noProof/>
            <w:webHidden/>
            <w:rtl/>
          </w:rPr>
          <w:fldChar w:fldCharType="end"/>
        </w:r>
      </w:hyperlink>
    </w:p>
    <w:p w14:paraId="5D533876" w14:textId="34B12EBB" w:rsidR="005A11B4" w:rsidRPr="0025250D" w:rsidRDefault="007A207F">
      <w:pPr>
        <w:pStyle w:val="TOC2"/>
        <w:tabs>
          <w:tab w:val="left" w:pos="660"/>
          <w:tab w:val="right" w:leader="dot" w:pos="9060"/>
        </w:tabs>
        <w:rPr>
          <w:rFonts w:asciiTheme="minorHAnsi" w:eastAsiaTheme="minorEastAsia" w:hAnsiTheme="minorHAnsi" w:cstheme="minorBidi"/>
          <w:noProof/>
          <w:sz w:val="22"/>
          <w:rtl/>
          <w:lang w:bidi="ar-SA"/>
        </w:rPr>
      </w:pPr>
      <w:hyperlink w:anchor="_Toc127831335" w:history="1">
        <w:r w:rsidR="005A11B4" w:rsidRPr="0025250D">
          <w:rPr>
            <w:rStyle w:val="Hyperlink"/>
            <w:noProof/>
            <w:rtl/>
          </w:rPr>
          <w:t>5-3-</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3. روش‌ها</w:t>
        </w:r>
        <w:r w:rsidR="005A11B4" w:rsidRPr="0025250D">
          <w:rPr>
            <w:rStyle w:val="Hyperlink"/>
            <w:rFonts w:hint="cs"/>
            <w:noProof/>
            <w:rtl/>
          </w:rPr>
          <w:t>ی</w:t>
        </w:r>
        <w:r w:rsidR="005A11B4" w:rsidRPr="0025250D">
          <w:rPr>
            <w:rStyle w:val="Hyperlink"/>
            <w:noProof/>
            <w:rtl/>
          </w:rPr>
          <w:t xml:space="preserve">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150 راه برا</w:t>
        </w:r>
        <w:r w:rsidR="005A11B4" w:rsidRPr="0025250D">
          <w:rPr>
            <w:rStyle w:val="Hyperlink"/>
            <w:rFonts w:hint="cs"/>
            <w:noProof/>
            <w:rtl/>
          </w:rPr>
          <w:t>ی</w:t>
        </w:r>
        <w:r w:rsidR="005A11B4" w:rsidRPr="0025250D">
          <w:rPr>
            <w:rStyle w:val="Hyperlink"/>
            <w:noProof/>
            <w:rtl/>
          </w:rPr>
          <w:t xml:space="preserve"> تمر</w:t>
        </w:r>
        <w:r w:rsidR="005A11B4" w:rsidRPr="0025250D">
          <w:rPr>
            <w:rStyle w:val="Hyperlink"/>
            <w:rFonts w:hint="cs"/>
            <w:noProof/>
            <w:rtl/>
          </w:rPr>
          <w:t>ی</w:t>
        </w:r>
        <w:r w:rsidR="005A11B4" w:rsidRPr="0025250D">
          <w:rPr>
            <w:rStyle w:val="Hyperlink"/>
            <w:rFonts w:hint="eastAsia"/>
            <w:noProof/>
            <w:rtl/>
          </w:rPr>
          <w:t>ن</w:t>
        </w:r>
        <w:r w:rsidR="005A11B4" w:rsidRPr="0025250D">
          <w:rPr>
            <w:rStyle w:val="Hyperlink"/>
            <w:noProof/>
            <w:rtl/>
          </w:rPr>
          <w:t xml:space="preserve"> و انجام هشت مهارت</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Toc127831335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440</w:t>
        </w:r>
        <w:r w:rsidR="005A11B4" w:rsidRPr="0025250D">
          <w:rPr>
            <w:noProof/>
            <w:webHidden/>
            <w:rtl/>
          </w:rPr>
          <w:fldChar w:fldCharType="end"/>
        </w:r>
      </w:hyperlink>
    </w:p>
    <w:p w14:paraId="5CA9FE9A" w14:textId="06034EB7"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36" w:history="1">
        <w:r w:rsidR="005A11B4" w:rsidRPr="0025250D">
          <w:rPr>
            <w:rStyle w:val="Hyperlink"/>
            <w:noProof/>
            <w:rtl/>
          </w:rPr>
          <w:t>5-4-</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استفاده از هشت مهارت: پ</w:t>
        </w:r>
        <w:r w:rsidR="005A11B4" w:rsidRPr="0025250D">
          <w:rPr>
            <w:rStyle w:val="Hyperlink"/>
            <w:rFonts w:hint="cs"/>
            <w:noProof/>
            <w:rtl/>
          </w:rPr>
          <w:t>ی</w:t>
        </w:r>
        <w:r w:rsidR="005A11B4" w:rsidRPr="0025250D">
          <w:rPr>
            <w:rStyle w:val="Hyperlink"/>
            <w:rFonts w:hint="eastAsia"/>
            <w:noProof/>
            <w:rtl/>
          </w:rPr>
          <w:t>وستن</w:t>
        </w:r>
        <w:r w:rsidR="005A11B4" w:rsidRPr="0025250D">
          <w:rPr>
            <w:rStyle w:val="Hyperlink"/>
            <w:noProof/>
            <w:rtl/>
          </w:rPr>
          <w:t xml:space="preserve"> به جوامع توسعه تخصص</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Toc127831336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460</w:t>
        </w:r>
        <w:r w:rsidR="005A11B4" w:rsidRPr="0025250D">
          <w:rPr>
            <w:noProof/>
            <w:webHidden/>
            <w:rtl/>
          </w:rPr>
          <w:fldChar w:fldCharType="end"/>
        </w:r>
      </w:hyperlink>
    </w:p>
    <w:p w14:paraId="00993DD4" w14:textId="48424D0A" w:rsidR="005A11B4" w:rsidRPr="0025250D" w:rsidRDefault="007A207F" w:rsidP="005A11B4">
      <w:pPr>
        <w:pStyle w:val="TOC1"/>
        <w:rPr>
          <w:rFonts w:asciiTheme="minorHAnsi" w:eastAsiaTheme="minorEastAsia" w:hAnsiTheme="minorHAnsi" w:cstheme="minorBidi"/>
          <w:noProof/>
          <w:sz w:val="22"/>
          <w:rtl/>
          <w:lang w:bidi="ar-SA"/>
        </w:rPr>
      </w:pPr>
      <w:hyperlink w:anchor="_Toc127831337" w:history="1">
        <w:r w:rsidR="005A11B4" w:rsidRPr="0025250D">
          <w:rPr>
            <w:rStyle w:val="Hyperlink"/>
            <w:noProof/>
            <w:rtl/>
          </w:rPr>
          <w:t>6-</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فصل 6: آ</w:t>
        </w:r>
        <w:r w:rsidR="005A11B4" w:rsidRPr="0025250D">
          <w:rPr>
            <w:rStyle w:val="Hyperlink"/>
            <w:rFonts w:hint="cs"/>
            <w:noProof/>
            <w:rtl/>
          </w:rPr>
          <w:t>ی</w:t>
        </w:r>
        <w:r w:rsidR="005A11B4" w:rsidRPr="0025250D">
          <w:rPr>
            <w:rStyle w:val="Hyperlink"/>
            <w:rFonts w:hint="eastAsia"/>
            <w:noProof/>
            <w:rtl/>
          </w:rPr>
          <w:t>نده</w:t>
        </w:r>
        <w:r w:rsidR="005A11B4" w:rsidRPr="0025250D">
          <w:rPr>
            <w:rStyle w:val="Hyperlink"/>
            <w:noProof/>
            <w:rtl/>
          </w:rPr>
          <w:t xml:space="preserve">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w:t>
        </w:r>
        <w:r w:rsidR="005A11B4" w:rsidRPr="0025250D">
          <w:rPr>
            <w:rStyle w:val="Hyperlink"/>
            <w:rFonts w:cs="Times New Roman"/>
            <w:noProof/>
            <w:rtl/>
          </w:rPr>
          <w:t>–</w:t>
        </w:r>
        <w:r w:rsidR="005A11B4" w:rsidRPr="0025250D">
          <w:rPr>
            <w:rStyle w:val="Hyperlink"/>
            <w:noProof/>
            <w:rtl/>
          </w:rPr>
          <w:t xml:space="preserve"> روند‌ها و چشم‌اندازها</w:t>
        </w:r>
        <w:r w:rsidR="005A11B4" w:rsidRPr="0025250D">
          <w:rPr>
            <w:rStyle w:val="Hyperlink"/>
            <w:rFonts w:hint="cs"/>
            <w:noProof/>
            <w:rtl/>
          </w:rPr>
          <w:t>ی</w:t>
        </w:r>
        <w:r w:rsidR="005A11B4" w:rsidRPr="0025250D">
          <w:rPr>
            <w:rStyle w:val="Hyperlink"/>
            <w:noProof/>
            <w:rtl/>
          </w:rPr>
          <w:t xml:space="preserve"> مثبت</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Toc127831337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463</w:t>
        </w:r>
        <w:r w:rsidR="005A11B4" w:rsidRPr="0025250D">
          <w:rPr>
            <w:noProof/>
            <w:webHidden/>
            <w:rtl/>
          </w:rPr>
          <w:fldChar w:fldCharType="end"/>
        </w:r>
      </w:hyperlink>
    </w:p>
    <w:p w14:paraId="11E5A65D" w14:textId="3130CC1D"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38" w:history="1">
        <w:r w:rsidR="005A11B4" w:rsidRPr="0025250D">
          <w:rPr>
            <w:rStyle w:val="Hyperlink"/>
            <w:noProof/>
            <w:rtl/>
          </w:rPr>
          <w:t>6-1-</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ابرنواختر د</w:t>
        </w:r>
        <w:r w:rsidR="005A11B4" w:rsidRPr="0025250D">
          <w:rPr>
            <w:rStyle w:val="Hyperlink"/>
            <w:rFonts w:hint="cs"/>
            <w:noProof/>
            <w:rtl/>
          </w:rPr>
          <w:t>ی</w:t>
        </w:r>
        <w:r w:rsidR="005A11B4" w:rsidRPr="0025250D">
          <w:rPr>
            <w:rStyle w:val="Hyperlink"/>
            <w:noProof/>
            <w:rtl/>
          </w:rPr>
          <w:t>ج</w:t>
        </w:r>
        <w:r w:rsidR="005A11B4" w:rsidRPr="0025250D">
          <w:rPr>
            <w:rStyle w:val="Hyperlink"/>
            <w:rFonts w:hint="cs"/>
            <w:noProof/>
            <w:rtl/>
          </w:rPr>
          <w:t>ی</w:t>
        </w:r>
        <w:r w:rsidR="005A11B4" w:rsidRPr="0025250D">
          <w:rPr>
            <w:rStyle w:val="Hyperlink"/>
            <w:noProof/>
            <w:rtl/>
          </w:rPr>
          <w:t>تال</w:t>
        </w:r>
        <w:r w:rsidR="005A11B4" w:rsidRPr="0025250D">
          <w:rPr>
            <w:rStyle w:val="Hyperlink"/>
            <w:rFonts w:hint="cs"/>
            <w:noProof/>
            <w:rtl/>
          </w:rPr>
          <w:t>ی</w:t>
        </w:r>
        <w:r w:rsidR="005A11B4" w:rsidRPr="0025250D">
          <w:rPr>
            <w:rStyle w:val="Hyperlink"/>
            <w:noProof/>
            <w:rtl/>
          </w:rPr>
          <w:t xml:space="preserve"> و بهار آ</w:t>
        </w:r>
        <w:r w:rsidR="005A11B4" w:rsidRPr="0025250D">
          <w:rPr>
            <w:rStyle w:val="Hyperlink"/>
            <w:rFonts w:hint="cs"/>
            <w:noProof/>
            <w:rtl/>
          </w:rPr>
          <w:t>ی</w:t>
        </w:r>
        <w:r w:rsidR="005A11B4" w:rsidRPr="0025250D">
          <w:rPr>
            <w:rStyle w:val="Hyperlink"/>
            <w:rFonts w:hint="eastAsia"/>
            <w:noProof/>
            <w:rtl/>
          </w:rPr>
          <w:t>نده‌نگ</w:t>
        </w:r>
        <w:r w:rsidR="005A11B4" w:rsidRPr="0025250D">
          <w:rPr>
            <w:rStyle w:val="Hyperlink"/>
            <w:noProof/>
            <w:rtl/>
          </w:rPr>
          <w:t>ار</w:t>
        </w:r>
        <w:r w:rsidR="005A11B4" w:rsidRPr="0025250D">
          <w:rPr>
            <w:rStyle w:val="Hyperlink"/>
            <w:rFonts w:hint="cs"/>
            <w:noProof/>
            <w:rtl/>
          </w:rPr>
          <w:t>ی</w:t>
        </w:r>
        <w:r w:rsidR="005A11B4" w:rsidRPr="0025250D">
          <w:rPr>
            <w:rStyle w:val="Hyperlink"/>
            <w:noProof/>
            <w:rtl/>
          </w:rPr>
          <w:t xml:space="preserve"> جد</w:t>
        </w:r>
        <w:r w:rsidR="005A11B4" w:rsidRPr="0025250D">
          <w:rPr>
            <w:rStyle w:val="Hyperlink"/>
            <w:rFonts w:hint="cs"/>
            <w:noProof/>
            <w:rtl/>
          </w:rPr>
          <w:t>ی</w:t>
        </w:r>
        <w:r w:rsidR="005A11B4" w:rsidRPr="0025250D">
          <w:rPr>
            <w:rStyle w:val="Hyperlink"/>
            <w:noProof/>
            <w:rtl/>
          </w:rPr>
          <w:t>د ما</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Toc127831338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464</w:t>
        </w:r>
        <w:r w:rsidR="005A11B4" w:rsidRPr="0025250D">
          <w:rPr>
            <w:noProof/>
            <w:webHidden/>
            <w:rtl/>
          </w:rPr>
          <w:fldChar w:fldCharType="end"/>
        </w:r>
      </w:hyperlink>
    </w:p>
    <w:p w14:paraId="322C080B" w14:textId="57CF4941"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39" w:history="1">
        <w:r w:rsidR="005A11B4" w:rsidRPr="0025250D">
          <w:rPr>
            <w:rStyle w:val="Hyperlink"/>
            <w:noProof/>
            <w:rtl/>
          </w:rPr>
          <w:t>6-2-</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آ</w:t>
        </w:r>
        <w:r w:rsidR="005A11B4" w:rsidRPr="0025250D">
          <w:rPr>
            <w:rStyle w:val="Hyperlink"/>
            <w:rFonts w:hint="cs"/>
            <w:noProof/>
            <w:rtl/>
          </w:rPr>
          <w:t>ی</w:t>
        </w:r>
        <w:r w:rsidR="005A11B4" w:rsidRPr="0025250D">
          <w:rPr>
            <w:rStyle w:val="Hyperlink"/>
            <w:rFonts w:hint="eastAsia"/>
            <w:noProof/>
            <w:rtl/>
          </w:rPr>
          <w:t>نده</w:t>
        </w:r>
        <w:r w:rsidR="005A11B4" w:rsidRPr="0025250D">
          <w:rPr>
            <w:rStyle w:val="Hyperlink"/>
            <w:noProof/>
            <w:rtl/>
          </w:rPr>
          <w:t xml:space="preserve">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هشت روند مثبت</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Toc127831339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468</w:t>
        </w:r>
        <w:r w:rsidR="005A11B4" w:rsidRPr="0025250D">
          <w:rPr>
            <w:noProof/>
            <w:webHidden/>
            <w:rtl/>
          </w:rPr>
          <w:fldChar w:fldCharType="end"/>
        </w:r>
      </w:hyperlink>
    </w:p>
    <w:p w14:paraId="5E3D4D32" w14:textId="3DE3E581"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40" w:history="1">
        <w:r w:rsidR="005A11B4" w:rsidRPr="0025250D">
          <w:rPr>
            <w:rStyle w:val="Hyperlink"/>
            <w:noProof/>
            <w:rtl/>
          </w:rPr>
          <w:t>6-3-</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چشم‌انداز ف</w:t>
        </w:r>
        <w:r w:rsidR="005A11B4" w:rsidRPr="0025250D">
          <w:rPr>
            <w:rStyle w:val="Hyperlink"/>
            <w:rFonts w:hint="cs"/>
            <w:noProof/>
            <w:rtl/>
          </w:rPr>
          <w:t>ی</w:t>
        </w:r>
        <w:r w:rsidR="005A11B4" w:rsidRPr="0025250D">
          <w:rPr>
            <w:rStyle w:val="Hyperlink"/>
            <w:noProof/>
            <w:rtl/>
          </w:rPr>
          <w:t>وچرپد</w:t>
        </w:r>
        <w:r w:rsidR="005A11B4" w:rsidRPr="0025250D">
          <w:rPr>
            <w:rStyle w:val="Hyperlink"/>
            <w:rFonts w:hint="cs"/>
            <w:noProof/>
            <w:rtl/>
          </w:rPr>
          <w:t>ی</w:t>
        </w:r>
        <w:r w:rsidR="005A11B4" w:rsidRPr="0025250D">
          <w:rPr>
            <w:rStyle w:val="Hyperlink"/>
            <w:noProof/>
            <w:rtl/>
          </w:rPr>
          <w:t>ا</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Toc127831340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485</w:t>
        </w:r>
        <w:r w:rsidR="005A11B4" w:rsidRPr="0025250D">
          <w:rPr>
            <w:noProof/>
            <w:webHidden/>
            <w:rtl/>
          </w:rPr>
          <w:fldChar w:fldCharType="end"/>
        </w:r>
      </w:hyperlink>
    </w:p>
    <w:p w14:paraId="70C76C63" w14:textId="6E08A0F1"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41" w:history="1">
        <w:r w:rsidR="005A11B4" w:rsidRPr="0025250D">
          <w:rPr>
            <w:rStyle w:val="Hyperlink"/>
            <w:noProof/>
            <w:rtl/>
          </w:rPr>
          <w:t>6-4-</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کلام آخر</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Toc127831341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488</w:t>
        </w:r>
        <w:r w:rsidR="005A11B4" w:rsidRPr="0025250D">
          <w:rPr>
            <w:noProof/>
            <w:webHidden/>
            <w:rtl/>
          </w:rPr>
          <w:fldChar w:fldCharType="end"/>
        </w:r>
      </w:hyperlink>
    </w:p>
    <w:p w14:paraId="2D9605CE" w14:textId="6751FC96" w:rsidR="005A11B4" w:rsidRPr="0025250D" w:rsidRDefault="007A207F" w:rsidP="005A11B4">
      <w:pPr>
        <w:pStyle w:val="TOC1"/>
        <w:rPr>
          <w:rFonts w:asciiTheme="minorHAnsi" w:eastAsiaTheme="minorEastAsia" w:hAnsiTheme="minorHAnsi" w:cstheme="minorBidi"/>
          <w:noProof/>
          <w:sz w:val="22"/>
          <w:rtl/>
          <w:lang w:bidi="ar-SA"/>
        </w:rPr>
      </w:pPr>
      <w:hyperlink w:anchor="_Toc127831342" w:history="1">
        <w:r w:rsidR="005A11B4" w:rsidRPr="0025250D">
          <w:rPr>
            <w:rStyle w:val="Hyperlink"/>
            <w:noProof/>
            <w:rtl/>
          </w:rPr>
          <w:t>7-</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پ</w:t>
        </w:r>
        <w:r w:rsidR="005A11B4" w:rsidRPr="0025250D">
          <w:rPr>
            <w:rStyle w:val="Hyperlink"/>
            <w:rFonts w:hint="cs"/>
            <w:noProof/>
            <w:rtl/>
          </w:rPr>
          <w:t>ی</w:t>
        </w:r>
        <w:r w:rsidR="005A11B4" w:rsidRPr="0025250D">
          <w:rPr>
            <w:rStyle w:val="Hyperlink"/>
            <w:rFonts w:hint="eastAsia"/>
            <w:noProof/>
            <w:rtl/>
          </w:rPr>
          <w:t>وست</w:t>
        </w:r>
        <w:r w:rsidR="005A11B4" w:rsidRPr="0025250D">
          <w:rPr>
            <w:rStyle w:val="Hyperlink"/>
            <w:noProof/>
            <w:rtl/>
          </w:rPr>
          <w:t xml:space="preserve"> 1: ارز</w:t>
        </w:r>
        <w:r w:rsidR="005A11B4" w:rsidRPr="0025250D">
          <w:rPr>
            <w:rStyle w:val="Hyperlink"/>
            <w:rFonts w:hint="cs"/>
            <w:noProof/>
            <w:rtl/>
          </w:rPr>
          <w:t>ی</w:t>
        </w:r>
        <w:r w:rsidR="005A11B4" w:rsidRPr="0025250D">
          <w:rPr>
            <w:rStyle w:val="Hyperlink"/>
            <w:rFonts w:hint="eastAsia"/>
            <w:noProof/>
            <w:rtl/>
          </w:rPr>
          <w:t>اب</w:t>
        </w:r>
        <w:r w:rsidR="005A11B4" w:rsidRPr="0025250D">
          <w:rPr>
            <w:rStyle w:val="Hyperlink"/>
            <w:rFonts w:hint="cs"/>
            <w:noProof/>
            <w:rtl/>
          </w:rPr>
          <w:t>ی</w:t>
        </w:r>
        <w:r w:rsidR="005A11B4" w:rsidRPr="0025250D">
          <w:rPr>
            <w:rStyle w:val="Hyperlink"/>
            <w:noProof/>
            <w:rtl/>
          </w:rPr>
          <w:t xml:space="preserve"> مختصر</w:t>
        </w:r>
        <w:r w:rsidR="005A11B4" w:rsidRPr="0025250D">
          <w:rPr>
            <w:rStyle w:val="Hyperlink"/>
            <w:rFonts w:hint="cs"/>
            <w:noProof/>
            <w:rtl/>
          </w:rPr>
          <w:t>ی</w:t>
        </w:r>
        <w:r w:rsidR="005A11B4" w:rsidRPr="0025250D">
          <w:rPr>
            <w:rStyle w:val="Hyperlink"/>
            <w:noProof/>
            <w:rtl/>
          </w:rPr>
          <w:t xml:space="preserve"> از مهارت‌ها</w:t>
        </w:r>
        <w:r w:rsidR="005A11B4" w:rsidRPr="0025250D">
          <w:rPr>
            <w:rStyle w:val="Hyperlink"/>
            <w:rFonts w:hint="cs"/>
            <w:noProof/>
            <w:rtl/>
          </w:rPr>
          <w:t>ی</w:t>
        </w:r>
        <w:r w:rsidR="005A11B4" w:rsidRPr="0025250D">
          <w:rPr>
            <w:rStyle w:val="Hyperlink"/>
            <w:noProof/>
            <w:rtl/>
          </w:rPr>
          <w:t xml:space="preserve">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w:t>
        </w:r>
        <w:r w:rsidR="005A11B4" w:rsidRPr="0025250D">
          <w:rPr>
            <w:rStyle w:val="Hyperlink"/>
            <w:rFonts w:cs="Times New Roman"/>
            <w:noProof/>
            <w:rtl/>
          </w:rPr>
          <w:t>–</w:t>
        </w:r>
        <w:r w:rsidR="005A11B4" w:rsidRPr="0025250D">
          <w:rPr>
            <w:rStyle w:val="Hyperlink"/>
            <w:noProof/>
            <w:rtl/>
          </w:rPr>
          <w:t xml:space="preserve"> فرد</w:t>
        </w:r>
        <w:r w:rsidR="005A11B4" w:rsidRPr="0025250D">
          <w:rPr>
            <w:rStyle w:val="Hyperlink"/>
            <w:rFonts w:hint="cs"/>
            <w:noProof/>
            <w:rtl/>
          </w:rPr>
          <w:t>ی</w:t>
        </w:r>
        <w:r w:rsidR="005A11B4" w:rsidRPr="0025250D">
          <w:rPr>
            <w:rStyle w:val="Hyperlink"/>
            <w:noProof/>
            <w:rtl/>
          </w:rPr>
          <w:t xml:space="preserve"> و ت</w:t>
        </w:r>
        <w:r w:rsidR="005A11B4" w:rsidRPr="0025250D">
          <w:rPr>
            <w:rStyle w:val="Hyperlink"/>
            <w:rFonts w:hint="cs"/>
            <w:noProof/>
            <w:rtl/>
          </w:rPr>
          <w:t>ی</w:t>
        </w:r>
        <w:r w:rsidR="005A11B4" w:rsidRPr="0025250D">
          <w:rPr>
            <w:rStyle w:val="Hyperlink"/>
            <w:rFonts w:hint="eastAsia"/>
            <w:noProof/>
            <w:rtl/>
          </w:rPr>
          <w:t>م</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Toc127831342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489</w:t>
        </w:r>
        <w:r w:rsidR="005A11B4" w:rsidRPr="0025250D">
          <w:rPr>
            <w:noProof/>
            <w:webHidden/>
            <w:rtl/>
          </w:rPr>
          <w:fldChar w:fldCharType="end"/>
        </w:r>
      </w:hyperlink>
    </w:p>
    <w:p w14:paraId="6F6982C7" w14:textId="61110032"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43" w:history="1">
        <w:r w:rsidR="005A11B4" w:rsidRPr="0025250D">
          <w:rPr>
            <w:rStyle w:val="Hyperlink"/>
            <w:noProof/>
            <w:rtl/>
          </w:rPr>
          <w:t>7-1-</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حس‌داد و تفکر </w:t>
        </w:r>
        <w:r w:rsidR="005A11B4" w:rsidRPr="0025250D">
          <w:rPr>
            <w:rStyle w:val="Hyperlink"/>
            <w:noProof/>
          </w:rPr>
          <w:t>GRASP</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Toc127831343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490</w:t>
        </w:r>
        <w:r w:rsidR="005A11B4" w:rsidRPr="0025250D">
          <w:rPr>
            <w:noProof/>
            <w:webHidden/>
            <w:rtl/>
          </w:rPr>
          <w:fldChar w:fldCharType="end"/>
        </w:r>
      </w:hyperlink>
    </w:p>
    <w:p w14:paraId="3DCB0F6B" w14:textId="3A38CBC5"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44" w:history="1">
        <w:r w:rsidR="005A11B4" w:rsidRPr="0025250D">
          <w:rPr>
            <w:rStyle w:val="Hyperlink"/>
            <w:noProof/>
            <w:rtl/>
          </w:rPr>
          <w:t>7-2-</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افق‌ها</w:t>
        </w:r>
        <w:r w:rsidR="005A11B4" w:rsidRPr="0025250D">
          <w:rPr>
            <w:rStyle w:val="Hyperlink"/>
            <w:rFonts w:hint="cs"/>
            <w:noProof/>
            <w:rtl/>
          </w:rPr>
          <w:t>ی</w:t>
        </w:r>
        <w:r w:rsidR="005A11B4" w:rsidRPr="0025250D">
          <w:rPr>
            <w:rStyle w:val="Hyperlink"/>
            <w:noProof/>
            <w:rtl/>
          </w:rPr>
          <w:t xml:space="preserve">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(امروز، کوتاه مدت، م</w:t>
        </w:r>
        <w:r w:rsidR="005A11B4" w:rsidRPr="0025250D">
          <w:rPr>
            <w:rStyle w:val="Hyperlink"/>
            <w:rFonts w:hint="cs"/>
            <w:noProof/>
            <w:rtl/>
          </w:rPr>
          <w:t>ی</w:t>
        </w:r>
        <w:r w:rsidR="005A11B4" w:rsidRPr="0025250D">
          <w:rPr>
            <w:rStyle w:val="Hyperlink"/>
            <w:rFonts w:hint="eastAsia"/>
            <w:noProof/>
            <w:rtl/>
          </w:rPr>
          <w:t>ان</w:t>
        </w:r>
        <w:r w:rsidR="005A11B4" w:rsidRPr="0025250D">
          <w:rPr>
            <w:rStyle w:val="Hyperlink"/>
            <w:noProof/>
            <w:rtl/>
          </w:rPr>
          <w:t xml:space="preserve"> مدت، بلند مدت)</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Toc127831344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494</w:t>
        </w:r>
        <w:r w:rsidR="005A11B4" w:rsidRPr="0025250D">
          <w:rPr>
            <w:noProof/>
            <w:webHidden/>
            <w:rtl/>
          </w:rPr>
          <w:fldChar w:fldCharType="end"/>
        </w:r>
      </w:hyperlink>
    </w:p>
    <w:p w14:paraId="321B50EA" w14:textId="59DE124F"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45" w:history="1">
        <w:r w:rsidR="005A11B4" w:rsidRPr="0025250D">
          <w:rPr>
            <w:rStyle w:val="Hyperlink"/>
            <w:noProof/>
            <w:rtl/>
          </w:rPr>
          <w:t>7-3-</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جهت‌گ</w:t>
        </w:r>
        <w:r w:rsidR="005A11B4" w:rsidRPr="0025250D">
          <w:rPr>
            <w:rStyle w:val="Hyperlink"/>
            <w:rFonts w:hint="cs"/>
            <w:noProof/>
            <w:rtl/>
          </w:rPr>
          <w:t>ی</w:t>
        </w:r>
        <w:r w:rsidR="005A11B4" w:rsidRPr="0025250D">
          <w:rPr>
            <w:rStyle w:val="Hyperlink"/>
            <w:rFonts w:hint="eastAsia"/>
            <w:noProof/>
            <w:rtl/>
          </w:rPr>
          <w:t>ر</w:t>
        </w:r>
        <w:r w:rsidR="005A11B4" w:rsidRPr="0025250D">
          <w:rPr>
            <w:rStyle w:val="Hyperlink"/>
            <w:rFonts w:hint="cs"/>
            <w:noProof/>
            <w:rtl/>
          </w:rPr>
          <w:t>ی</w:t>
        </w:r>
        <w:r w:rsidR="005A11B4" w:rsidRPr="0025250D">
          <w:rPr>
            <w:rStyle w:val="Hyperlink"/>
            <w:noProof/>
            <w:rtl/>
          </w:rPr>
          <w:t xml:space="preserve"> زمان</w:t>
        </w:r>
        <w:r w:rsidR="005A11B4" w:rsidRPr="0025250D">
          <w:rPr>
            <w:rStyle w:val="Hyperlink"/>
            <w:rFonts w:hint="cs"/>
            <w:noProof/>
            <w:rtl/>
          </w:rPr>
          <w:t>ی</w:t>
        </w:r>
        <w:r w:rsidR="005A11B4" w:rsidRPr="0025250D">
          <w:rPr>
            <w:rStyle w:val="Hyperlink"/>
            <w:noProof/>
            <w:rtl/>
          </w:rPr>
          <w:t xml:space="preserve"> (گذشته، حال، آ</w:t>
        </w:r>
        <w:r w:rsidR="005A11B4" w:rsidRPr="0025250D">
          <w:rPr>
            <w:rStyle w:val="Hyperlink"/>
            <w:rFonts w:hint="cs"/>
            <w:noProof/>
            <w:rtl/>
          </w:rPr>
          <w:t>ی</w:t>
        </w:r>
        <w:r w:rsidR="005A11B4" w:rsidRPr="0025250D">
          <w:rPr>
            <w:rStyle w:val="Hyperlink"/>
            <w:rFonts w:hint="eastAsia"/>
            <w:noProof/>
            <w:rtl/>
          </w:rPr>
          <w:t>نده</w:t>
        </w:r>
        <w:r w:rsidR="005A11B4" w:rsidRPr="0025250D">
          <w:rPr>
            <w:rStyle w:val="Hyperlink"/>
            <w:noProof/>
            <w:rtl/>
          </w:rPr>
          <w:t>)</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Toc127831345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496</w:t>
        </w:r>
        <w:r w:rsidR="005A11B4" w:rsidRPr="0025250D">
          <w:rPr>
            <w:noProof/>
            <w:webHidden/>
            <w:rtl/>
          </w:rPr>
          <w:fldChar w:fldCharType="end"/>
        </w:r>
      </w:hyperlink>
    </w:p>
    <w:p w14:paraId="5CFC0110" w14:textId="1157C9D9"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46" w:history="1">
        <w:r w:rsidR="005A11B4" w:rsidRPr="0025250D">
          <w:rPr>
            <w:rStyle w:val="Hyperlink"/>
            <w:noProof/>
            <w:rtl/>
          </w:rPr>
          <w:t>7-4-</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حلقه انجام (چرخه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-عمل)</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Toc127831346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501</w:t>
        </w:r>
        <w:r w:rsidR="005A11B4" w:rsidRPr="0025250D">
          <w:rPr>
            <w:noProof/>
            <w:webHidden/>
            <w:rtl/>
          </w:rPr>
          <w:fldChar w:fldCharType="end"/>
        </w:r>
      </w:hyperlink>
    </w:p>
    <w:p w14:paraId="4AC1BDC5" w14:textId="13F9FEF4"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47" w:history="1">
        <w:r w:rsidR="005A11B4" w:rsidRPr="0025250D">
          <w:rPr>
            <w:rStyle w:val="Hyperlink"/>
            <w:noProof/>
            <w:rtl/>
          </w:rPr>
          <w:t>7-5-</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هشت مهارت ت</w:t>
        </w:r>
        <w:r w:rsidR="005A11B4" w:rsidRPr="0025250D">
          <w:rPr>
            <w:rStyle w:val="Hyperlink"/>
            <w:rFonts w:hint="cs"/>
            <w:noProof/>
            <w:rtl/>
          </w:rPr>
          <w:t>ی</w:t>
        </w:r>
        <w:r w:rsidR="005A11B4" w:rsidRPr="0025250D">
          <w:rPr>
            <w:rStyle w:val="Hyperlink"/>
            <w:rFonts w:hint="eastAsia"/>
            <w:noProof/>
            <w:rtl/>
          </w:rPr>
          <w:t>م‌ها</w:t>
        </w:r>
        <w:r w:rsidR="005A11B4" w:rsidRPr="0025250D">
          <w:rPr>
            <w:rStyle w:val="Hyperlink"/>
            <w:rFonts w:hint="cs"/>
            <w:noProof/>
            <w:rtl/>
          </w:rPr>
          <w:t>ی</w:t>
        </w:r>
        <w:r w:rsidR="005A11B4" w:rsidRPr="0025250D">
          <w:rPr>
            <w:rStyle w:val="Hyperlink"/>
            <w:noProof/>
            <w:rtl/>
          </w:rPr>
          <w:t xml:space="preserve"> مؤثر</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Toc127831347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503</w:t>
        </w:r>
        <w:r w:rsidR="005A11B4" w:rsidRPr="0025250D">
          <w:rPr>
            <w:noProof/>
            <w:webHidden/>
            <w:rtl/>
          </w:rPr>
          <w:fldChar w:fldCharType="end"/>
        </w:r>
      </w:hyperlink>
    </w:p>
    <w:p w14:paraId="059A0B2F" w14:textId="0F6A20BA"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48" w:history="1">
        <w:r w:rsidR="005A11B4" w:rsidRPr="0025250D">
          <w:rPr>
            <w:rStyle w:val="Hyperlink"/>
            <w:noProof/>
            <w:rtl/>
          </w:rPr>
          <w:t>7-6-</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تشخ</w:t>
        </w:r>
        <w:r w:rsidR="005A11B4" w:rsidRPr="0025250D">
          <w:rPr>
            <w:rStyle w:val="Hyperlink"/>
            <w:rFonts w:hint="cs"/>
            <w:noProof/>
            <w:rtl/>
          </w:rPr>
          <w:t>ی</w:t>
        </w:r>
        <w:r w:rsidR="005A11B4" w:rsidRPr="0025250D">
          <w:rPr>
            <w:rStyle w:val="Hyperlink"/>
            <w:rFonts w:hint="eastAsia"/>
            <w:noProof/>
            <w:rtl/>
          </w:rPr>
          <w:t>ص</w:t>
        </w:r>
        <w:r w:rsidR="005A11B4" w:rsidRPr="0025250D">
          <w:rPr>
            <w:rStyle w:val="Hyperlink"/>
            <w:noProof/>
            <w:rtl/>
          </w:rPr>
          <w:t xml:space="preserve"> هشت مهارت</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Toc127831348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505</w:t>
        </w:r>
        <w:r w:rsidR="005A11B4" w:rsidRPr="0025250D">
          <w:rPr>
            <w:noProof/>
            <w:webHidden/>
            <w:rtl/>
          </w:rPr>
          <w:fldChar w:fldCharType="end"/>
        </w:r>
      </w:hyperlink>
    </w:p>
    <w:p w14:paraId="01ABAAAC" w14:textId="53829A2B" w:rsidR="005A11B4" w:rsidRPr="0025250D" w:rsidRDefault="007A207F" w:rsidP="005A11B4">
      <w:pPr>
        <w:pStyle w:val="TOC1"/>
        <w:rPr>
          <w:rFonts w:asciiTheme="minorHAnsi" w:eastAsiaTheme="minorEastAsia" w:hAnsiTheme="minorHAnsi" w:cstheme="minorBidi"/>
          <w:noProof/>
          <w:sz w:val="22"/>
          <w:rtl/>
          <w:lang w:bidi="ar-SA"/>
        </w:rPr>
      </w:pPr>
      <w:hyperlink w:anchor="_Toc127831349" w:history="1">
        <w:r w:rsidR="005A11B4" w:rsidRPr="0025250D">
          <w:rPr>
            <w:rStyle w:val="Hyperlink"/>
            <w:noProof/>
            <w:rtl/>
          </w:rPr>
          <w:t>8-</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پ</w:t>
        </w:r>
        <w:r w:rsidR="005A11B4" w:rsidRPr="0025250D">
          <w:rPr>
            <w:rStyle w:val="Hyperlink"/>
            <w:rFonts w:hint="cs"/>
            <w:noProof/>
            <w:rtl/>
          </w:rPr>
          <w:t>ی</w:t>
        </w:r>
        <w:r w:rsidR="005A11B4" w:rsidRPr="0025250D">
          <w:rPr>
            <w:rStyle w:val="Hyperlink"/>
            <w:noProof/>
            <w:rtl/>
          </w:rPr>
          <w:t>وست 2: مشاوران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w:t>
        </w:r>
        <w:r w:rsidR="005A11B4" w:rsidRPr="0025250D">
          <w:rPr>
            <w:rStyle w:val="Hyperlink"/>
            <w:rFonts w:cs="Times New Roman"/>
            <w:noProof/>
            <w:rtl/>
          </w:rPr>
          <w:t>–</w:t>
        </w:r>
        <w:r w:rsidR="005A11B4" w:rsidRPr="0025250D">
          <w:rPr>
            <w:rStyle w:val="Hyperlink"/>
            <w:noProof/>
            <w:rtl/>
          </w:rPr>
          <w:t xml:space="preserve"> بزرگ، متوسط و کوچک</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Toc127831349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509</w:t>
        </w:r>
        <w:r w:rsidR="005A11B4" w:rsidRPr="0025250D">
          <w:rPr>
            <w:noProof/>
            <w:webHidden/>
            <w:rtl/>
          </w:rPr>
          <w:fldChar w:fldCharType="end"/>
        </w:r>
      </w:hyperlink>
    </w:p>
    <w:p w14:paraId="31BF3C7C" w14:textId="3151AB9C"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50" w:history="1">
        <w:r w:rsidR="005A11B4" w:rsidRPr="0025250D">
          <w:rPr>
            <w:rStyle w:val="Hyperlink"/>
            <w:noProof/>
            <w:rtl/>
          </w:rPr>
          <w:t>8-1-</w:t>
        </w:r>
        <w:r w:rsidR="005A11B4" w:rsidRPr="0025250D">
          <w:rPr>
            <w:rFonts w:asciiTheme="minorHAnsi" w:eastAsiaTheme="minorEastAsia" w:hAnsiTheme="minorHAnsi" w:cstheme="minorBidi"/>
            <w:noProof/>
            <w:sz w:val="22"/>
            <w:rtl/>
            <w:lang w:bidi="ar-SA"/>
          </w:rPr>
          <w:tab/>
        </w:r>
        <w:r w:rsidR="005A11B4" w:rsidRPr="0025250D">
          <w:rPr>
            <w:rStyle w:val="Hyperlink"/>
            <w:rFonts w:hint="cs"/>
            <w:noProof/>
            <w:rtl/>
          </w:rPr>
          <w:t>ی</w:t>
        </w:r>
        <w:r w:rsidR="005A11B4" w:rsidRPr="0025250D">
          <w:rPr>
            <w:rStyle w:val="Hyperlink"/>
            <w:noProof/>
            <w:rtl/>
          </w:rPr>
          <w:t>افتن سازمان‌ها و افراد پ</w:t>
        </w:r>
        <w:r w:rsidR="005A11B4" w:rsidRPr="0025250D">
          <w:rPr>
            <w:rStyle w:val="Hyperlink"/>
            <w:rFonts w:hint="cs"/>
            <w:noProof/>
            <w:rtl/>
          </w:rPr>
          <w:t>ی</w:t>
        </w:r>
        <w:r w:rsidR="005A11B4" w:rsidRPr="0025250D">
          <w:rPr>
            <w:rStyle w:val="Hyperlink"/>
            <w:noProof/>
            <w:rtl/>
          </w:rPr>
          <w:t>شرو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noProof/>
            <w:rtl/>
          </w:rPr>
          <w:t xml:space="preserve"> </w:t>
        </w:r>
        <w:r w:rsidR="005A11B4" w:rsidRPr="0025250D">
          <w:rPr>
            <w:rStyle w:val="Hyperlink"/>
            <w:rFonts w:cs="Times New Roman"/>
            <w:noProof/>
            <w:rtl/>
          </w:rPr>
          <w:t>–</w:t>
        </w:r>
        <w:r w:rsidR="005A11B4" w:rsidRPr="0025250D">
          <w:rPr>
            <w:rStyle w:val="Hyperlink"/>
            <w:noProof/>
            <w:rtl/>
          </w:rPr>
          <w:t xml:space="preserve"> نکات تحق</w:t>
        </w:r>
        <w:r w:rsidR="005A11B4" w:rsidRPr="0025250D">
          <w:rPr>
            <w:rStyle w:val="Hyperlink"/>
            <w:rFonts w:hint="cs"/>
            <w:noProof/>
            <w:rtl/>
          </w:rPr>
          <w:t>ی</w:t>
        </w:r>
        <w:r w:rsidR="005A11B4" w:rsidRPr="0025250D">
          <w:rPr>
            <w:rStyle w:val="Hyperlink"/>
            <w:noProof/>
            <w:rtl/>
          </w:rPr>
          <w:t>قات</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Toc127831350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510</w:t>
        </w:r>
        <w:r w:rsidR="005A11B4" w:rsidRPr="0025250D">
          <w:rPr>
            <w:noProof/>
            <w:webHidden/>
            <w:rtl/>
          </w:rPr>
          <w:fldChar w:fldCharType="end"/>
        </w:r>
      </w:hyperlink>
    </w:p>
    <w:p w14:paraId="10803D24" w14:textId="6F949BA8"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51" w:history="1">
        <w:r w:rsidR="005A11B4" w:rsidRPr="0025250D">
          <w:rPr>
            <w:rStyle w:val="Hyperlink"/>
            <w:noProof/>
            <w:rtl/>
          </w:rPr>
          <w:t>8-2-</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مشاوران مد</w:t>
        </w:r>
        <w:r w:rsidR="005A11B4" w:rsidRPr="0025250D">
          <w:rPr>
            <w:rStyle w:val="Hyperlink"/>
            <w:rFonts w:hint="cs"/>
            <w:noProof/>
            <w:rtl/>
          </w:rPr>
          <w:t>ی</w:t>
        </w:r>
        <w:r w:rsidR="005A11B4" w:rsidRPr="0025250D">
          <w:rPr>
            <w:rStyle w:val="Hyperlink"/>
            <w:noProof/>
            <w:rtl/>
          </w:rPr>
          <w:t>ر</w:t>
        </w:r>
        <w:r w:rsidR="005A11B4" w:rsidRPr="0025250D">
          <w:rPr>
            <w:rStyle w:val="Hyperlink"/>
            <w:rFonts w:hint="cs"/>
            <w:noProof/>
            <w:rtl/>
          </w:rPr>
          <w:t>ی</w:t>
        </w:r>
        <w:r w:rsidR="005A11B4" w:rsidRPr="0025250D">
          <w:rPr>
            <w:rStyle w:val="Hyperlink"/>
            <w:noProof/>
            <w:rtl/>
          </w:rPr>
          <w:t>ت</w:t>
        </w:r>
        <w:r w:rsidR="005A11B4" w:rsidRPr="0025250D">
          <w:rPr>
            <w:rStyle w:val="Hyperlink"/>
            <w:rFonts w:hint="cs"/>
            <w:noProof/>
            <w:rtl/>
          </w:rPr>
          <w:t>ی</w:t>
        </w:r>
        <w:r w:rsidR="005A11B4" w:rsidRPr="0025250D">
          <w:rPr>
            <w:rStyle w:val="Hyperlink"/>
            <w:noProof/>
            <w:rtl/>
          </w:rPr>
          <w:t xml:space="preserve"> پ</w:t>
        </w:r>
        <w:r w:rsidR="005A11B4" w:rsidRPr="0025250D">
          <w:rPr>
            <w:rStyle w:val="Hyperlink"/>
            <w:rFonts w:hint="cs"/>
            <w:noProof/>
            <w:rtl/>
          </w:rPr>
          <w:t>ی</w:t>
        </w:r>
        <w:r w:rsidR="005A11B4" w:rsidRPr="0025250D">
          <w:rPr>
            <w:rStyle w:val="Hyperlink"/>
            <w:noProof/>
            <w:rtl/>
          </w:rPr>
          <w:t>شرو درگ</w:t>
        </w:r>
        <w:r w:rsidR="005A11B4" w:rsidRPr="0025250D">
          <w:rPr>
            <w:rStyle w:val="Hyperlink"/>
            <w:rFonts w:hint="cs"/>
            <w:noProof/>
            <w:rtl/>
          </w:rPr>
          <w:t>ی</w:t>
        </w:r>
        <w:r w:rsidR="005A11B4" w:rsidRPr="0025250D">
          <w:rPr>
            <w:rStyle w:val="Hyperlink"/>
            <w:noProof/>
            <w:rtl/>
          </w:rPr>
          <w:t>ر در کار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Toc127831351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511</w:t>
        </w:r>
        <w:r w:rsidR="005A11B4" w:rsidRPr="0025250D">
          <w:rPr>
            <w:noProof/>
            <w:webHidden/>
            <w:rtl/>
          </w:rPr>
          <w:fldChar w:fldCharType="end"/>
        </w:r>
      </w:hyperlink>
    </w:p>
    <w:p w14:paraId="22B63B43" w14:textId="1A5454D2"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52" w:history="1">
        <w:r w:rsidR="005A11B4" w:rsidRPr="0025250D">
          <w:rPr>
            <w:rStyle w:val="Hyperlink"/>
            <w:noProof/>
            <w:rtl/>
          </w:rPr>
          <w:t>8-3-</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مشاوران آ</w:t>
        </w:r>
        <w:r w:rsidR="005A11B4" w:rsidRPr="0025250D">
          <w:rPr>
            <w:rStyle w:val="Hyperlink"/>
            <w:rFonts w:hint="cs"/>
            <w:noProof/>
            <w:rtl/>
          </w:rPr>
          <w:t>ی</w:t>
        </w:r>
        <w:r w:rsidR="005A11B4" w:rsidRPr="0025250D">
          <w:rPr>
            <w:rStyle w:val="Hyperlink"/>
            <w:noProof/>
            <w:rtl/>
          </w:rPr>
          <w:t>نده‌نگار</w:t>
        </w:r>
        <w:r w:rsidR="005A11B4" w:rsidRPr="0025250D">
          <w:rPr>
            <w:rStyle w:val="Hyperlink"/>
            <w:rFonts w:hint="cs"/>
            <w:noProof/>
            <w:rtl/>
          </w:rPr>
          <w:t>ی</w:t>
        </w:r>
        <w:r w:rsidR="005A11B4" w:rsidRPr="0025250D">
          <w:rPr>
            <w:rStyle w:val="Hyperlink"/>
            <w:noProof/>
            <w:rtl/>
          </w:rPr>
          <w:t xml:space="preserve"> اول</w:t>
        </w:r>
        <w:r w:rsidR="005A11B4" w:rsidRPr="0025250D">
          <w:rPr>
            <w:rStyle w:val="Hyperlink"/>
            <w:rFonts w:hint="cs"/>
            <w:noProof/>
            <w:rtl/>
          </w:rPr>
          <w:t>ی</w:t>
        </w:r>
        <w:r w:rsidR="005A11B4" w:rsidRPr="0025250D">
          <w:rPr>
            <w:rStyle w:val="Hyperlink"/>
            <w:noProof/>
            <w:rtl/>
          </w:rPr>
          <w:t>ه بزرگتر (ب</w:t>
        </w:r>
        <w:r w:rsidR="005A11B4" w:rsidRPr="0025250D">
          <w:rPr>
            <w:rStyle w:val="Hyperlink"/>
            <w:rFonts w:hint="cs"/>
            <w:noProof/>
            <w:rtl/>
          </w:rPr>
          <w:t>ی</w:t>
        </w:r>
        <w:r w:rsidR="005A11B4" w:rsidRPr="0025250D">
          <w:rPr>
            <w:rStyle w:val="Hyperlink"/>
            <w:noProof/>
            <w:rtl/>
          </w:rPr>
          <w:t>ش از 2 م</w:t>
        </w:r>
        <w:r w:rsidR="005A11B4" w:rsidRPr="0025250D">
          <w:rPr>
            <w:rStyle w:val="Hyperlink"/>
            <w:rFonts w:hint="cs"/>
            <w:noProof/>
            <w:rtl/>
          </w:rPr>
          <w:t>ی</w:t>
        </w:r>
        <w:r w:rsidR="005A11B4" w:rsidRPr="0025250D">
          <w:rPr>
            <w:rStyle w:val="Hyperlink"/>
            <w:noProof/>
            <w:rtl/>
          </w:rPr>
          <w:t>ل</w:t>
        </w:r>
        <w:r w:rsidR="005A11B4" w:rsidRPr="0025250D">
          <w:rPr>
            <w:rStyle w:val="Hyperlink"/>
            <w:rFonts w:hint="cs"/>
            <w:noProof/>
            <w:rtl/>
          </w:rPr>
          <w:t>ی</w:t>
        </w:r>
        <w:r w:rsidR="005A11B4" w:rsidRPr="0025250D">
          <w:rPr>
            <w:rStyle w:val="Hyperlink"/>
            <w:noProof/>
            <w:rtl/>
          </w:rPr>
          <w:t xml:space="preserve">ون دلار درآمد </w:t>
        </w:r>
        <w:r w:rsidR="005A11B4" w:rsidRPr="0025250D">
          <w:rPr>
            <w:rStyle w:val="Hyperlink"/>
            <w:rFonts w:hint="cs"/>
            <w:noProof/>
            <w:rtl/>
          </w:rPr>
          <w:t>ی</w:t>
        </w:r>
        <w:r w:rsidR="005A11B4" w:rsidRPr="0025250D">
          <w:rPr>
            <w:rStyle w:val="Hyperlink"/>
            <w:noProof/>
            <w:rtl/>
          </w:rPr>
          <w:t>ا ب</w:t>
        </w:r>
        <w:r w:rsidR="005A11B4" w:rsidRPr="0025250D">
          <w:rPr>
            <w:rStyle w:val="Hyperlink"/>
            <w:rFonts w:hint="cs"/>
            <w:noProof/>
            <w:rtl/>
          </w:rPr>
          <w:t>ی</w:t>
        </w:r>
        <w:r w:rsidR="005A11B4" w:rsidRPr="0025250D">
          <w:rPr>
            <w:rStyle w:val="Hyperlink"/>
            <w:noProof/>
            <w:rtl/>
          </w:rPr>
          <w:t>ش از 5 کارمند)</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Toc127831352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514</w:t>
        </w:r>
        <w:r w:rsidR="005A11B4" w:rsidRPr="0025250D">
          <w:rPr>
            <w:noProof/>
            <w:webHidden/>
            <w:rtl/>
          </w:rPr>
          <w:fldChar w:fldCharType="end"/>
        </w:r>
      </w:hyperlink>
    </w:p>
    <w:p w14:paraId="440C411F" w14:textId="262D3D35" w:rsidR="005A11B4" w:rsidRPr="0025250D" w:rsidRDefault="007A207F" w:rsidP="005A11B4">
      <w:pPr>
        <w:pStyle w:val="TOC1"/>
        <w:rPr>
          <w:rFonts w:asciiTheme="minorHAnsi" w:eastAsiaTheme="minorEastAsia" w:hAnsiTheme="minorHAnsi" w:cstheme="minorBidi"/>
          <w:noProof/>
          <w:sz w:val="22"/>
          <w:rtl/>
          <w:lang w:bidi="ar-SA"/>
        </w:rPr>
      </w:pPr>
      <w:hyperlink w:anchor="_Toc127831353" w:history="1">
        <w:r w:rsidR="005A11B4" w:rsidRPr="0025250D">
          <w:rPr>
            <w:rStyle w:val="Hyperlink"/>
            <w:noProof/>
            <w:rtl/>
          </w:rPr>
          <w:t>9-</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پ</w:t>
        </w:r>
        <w:r w:rsidR="005A11B4" w:rsidRPr="0025250D">
          <w:rPr>
            <w:rStyle w:val="Hyperlink"/>
            <w:rFonts w:hint="cs"/>
            <w:noProof/>
            <w:rtl/>
          </w:rPr>
          <w:t>ی</w:t>
        </w:r>
        <w:r w:rsidR="005A11B4" w:rsidRPr="0025250D">
          <w:rPr>
            <w:rStyle w:val="Hyperlink"/>
            <w:noProof/>
            <w:rtl/>
          </w:rPr>
          <w:t>وست 3: منابع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w:t>
        </w:r>
        <w:r w:rsidR="005A11B4" w:rsidRPr="0025250D">
          <w:rPr>
            <w:rStyle w:val="Hyperlink"/>
            <w:rFonts w:cs="Times New Roman"/>
            <w:noProof/>
            <w:rtl/>
          </w:rPr>
          <w:t>–</w:t>
        </w:r>
        <w:r w:rsidR="005A11B4" w:rsidRPr="0025250D">
          <w:rPr>
            <w:rStyle w:val="Hyperlink"/>
            <w:noProof/>
            <w:rtl/>
          </w:rPr>
          <w:t xml:space="preserve"> فرد</w:t>
        </w:r>
        <w:r w:rsidR="005A11B4" w:rsidRPr="0025250D">
          <w:rPr>
            <w:rStyle w:val="Hyperlink"/>
            <w:rFonts w:hint="cs"/>
            <w:noProof/>
            <w:rtl/>
          </w:rPr>
          <w:t>ی</w:t>
        </w:r>
        <w:r w:rsidR="005A11B4" w:rsidRPr="0025250D">
          <w:rPr>
            <w:rStyle w:val="Hyperlink"/>
            <w:noProof/>
            <w:rtl/>
          </w:rPr>
          <w:t>، ت</w:t>
        </w:r>
        <w:r w:rsidR="005A11B4" w:rsidRPr="0025250D">
          <w:rPr>
            <w:rStyle w:val="Hyperlink"/>
            <w:rFonts w:hint="cs"/>
            <w:noProof/>
            <w:rtl/>
          </w:rPr>
          <w:t>ی</w:t>
        </w:r>
        <w:r w:rsidR="005A11B4" w:rsidRPr="0025250D">
          <w:rPr>
            <w:rStyle w:val="Hyperlink"/>
            <w:noProof/>
            <w:rtl/>
          </w:rPr>
          <w:t>م</w:t>
        </w:r>
        <w:r w:rsidR="005A11B4" w:rsidRPr="0025250D">
          <w:rPr>
            <w:rStyle w:val="Hyperlink"/>
            <w:rFonts w:hint="cs"/>
            <w:noProof/>
            <w:rtl/>
          </w:rPr>
          <w:t>ی</w:t>
        </w:r>
        <w:r w:rsidR="005A11B4" w:rsidRPr="0025250D">
          <w:rPr>
            <w:rStyle w:val="Hyperlink"/>
            <w:noProof/>
            <w:rtl/>
          </w:rPr>
          <w:t xml:space="preserve"> و سازمان</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Toc127831353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531</w:t>
        </w:r>
        <w:r w:rsidR="005A11B4" w:rsidRPr="0025250D">
          <w:rPr>
            <w:noProof/>
            <w:webHidden/>
            <w:rtl/>
          </w:rPr>
          <w:fldChar w:fldCharType="end"/>
        </w:r>
      </w:hyperlink>
    </w:p>
    <w:p w14:paraId="252B1C8D" w14:textId="698D770E"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54" w:history="1">
        <w:r w:rsidR="005A11B4" w:rsidRPr="0025250D">
          <w:rPr>
            <w:rStyle w:val="Hyperlink"/>
            <w:noProof/>
            <w:rtl/>
          </w:rPr>
          <w:t>9-1-</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کتاب‌ها</w:t>
        </w:r>
        <w:r w:rsidR="005A11B4" w:rsidRPr="0025250D">
          <w:rPr>
            <w:rStyle w:val="Hyperlink"/>
            <w:rFonts w:hint="cs"/>
            <w:noProof/>
            <w:rtl/>
          </w:rPr>
          <w:t>ی</w:t>
        </w:r>
        <w:r w:rsidR="005A11B4" w:rsidRPr="0025250D">
          <w:rPr>
            <w:rStyle w:val="Hyperlink"/>
            <w:noProof/>
            <w:rtl/>
          </w:rPr>
          <w:t xml:space="preserve">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w:t>
        </w:r>
        <w:r w:rsidR="005A11B4" w:rsidRPr="0025250D">
          <w:rPr>
            <w:rStyle w:val="Hyperlink"/>
            <w:rFonts w:cs="Times New Roman"/>
            <w:noProof/>
            <w:rtl/>
          </w:rPr>
          <w:t>–</w:t>
        </w:r>
        <w:r w:rsidR="005A11B4" w:rsidRPr="0025250D">
          <w:rPr>
            <w:rStyle w:val="Hyperlink"/>
            <w:noProof/>
            <w:rtl/>
          </w:rPr>
          <w:t xml:space="preserve"> برخ</w:t>
        </w:r>
        <w:r w:rsidR="005A11B4" w:rsidRPr="0025250D">
          <w:rPr>
            <w:rStyle w:val="Hyperlink"/>
            <w:rFonts w:hint="cs"/>
            <w:noProof/>
            <w:rtl/>
          </w:rPr>
          <w:t>ی</w:t>
        </w:r>
        <w:r w:rsidR="005A11B4" w:rsidRPr="0025250D">
          <w:rPr>
            <w:rStyle w:val="Hyperlink"/>
            <w:noProof/>
            <w:rtl/>
          </w:rPr>
          <w:t xml:space="preserve"> از فهرست‌ها</w:t>
        </w:r>
        <w:r w:rsidR="005A11B4" w:rsidRPr="0025250D">
          <w:rPr>
            <w:rStyle w:val="Hyperlink"/>
            <w:rFonts w:hint="cs"/>
            <w:noProof/>
            <w:rtl/>
          </w:rPr>
          <w:t>ی</w:t>
        </w:r>
        <w:r w:rsidR="005A11B4" w:rsidRPr="0025250D">
          <w:rPr>
            <w:rStyle w:val="Hyperlink"/>
            <w:noProof/>
            <w:rtl/>
          </w:rPr>
          <w:t xml:space="preserve"> با ارزش بالا</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Toc127831354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532</w:t>
        </w:r>
        <w:r w:rsidR="005A11B4" w:rsidRPr="0025250D">
          <w:rPr>
            <w:noProof/>
            <w:webHidden/>
            <w:rtl/>
          </w:rPr>
          <w:fldChar w:fldCharType="end"/>
        </w:r>
      </w:hyperlink>
    </w:p>
    <w:p w14:paraId="01F32258" w14:textId="4288C27C"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55" w:history="1">
        <w:r w:rsidR="005A11B4" w:rsidRPr="0025250D">
          <w:rPr>
            <w:rStyle w:val="Hyperlink"/>
            <w:noProof/>
            <w:rtl/>
          </w:rPr>
          <w:t>9-2-</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نشر</w:t>
        </w:r>
        <w:r w:rsidR="005A11B4" w:rsidRPr="0025250D">
          <w:rPr>
            <w:rStyle w:val="Hyperlink"/>
            <w:rFonts w:hint="cs"/>
            <w:noProof/>
            <w:rtl/>
          </w:rPr>
          <w:t>ی</w:t>
        </w:r>
        <w:r w:rsidR="005A11B4" w:rsidRPr="0025250D">
          <w:rPr>
            <w:rStyle w:val="Hyperlink"/>
            <w:rFonts w:hint="eastAsia"/>
            <w:noProof/>
            <w:rtl/>
          </w:rPr>
          <w:t>ات</w:t>
        </w:r>
        <w:r w:rsidR="005A11B4" w:rsidRPr="0025250D">
          <w:rPr>
            <w:rStyle w:val="Hyperlink"/>
            <w:noProof/>
            <w:rtl/>
          </w:rPr>
          <w:t xml:space="preserve"> آ</w:t>
        </w:r>
        <w:r w:rsidR="005A11B4" w:rsidRPr="0025250D">
          <w:rPr>
            <w:rStyle w:val="Hyperlink"/>
            <w:rFonts w:hint="cs"/>
            <w:noProof/>
            <w:rtl/>
          </w:rPr>
          <w:t>ی</w:t>
        </w:r>
        <w:r w:rsidR="005A11B4" w:rsidRPr="0025250D">
          <w:rPr>
            <w:rStyle w:val="Hyperlink"/>
            <w:rFonts w:hint="eastAsia"/>
            <w:noProof/>
            <w:rtl/>
          </w:rPr>
          <w:t>نده‌</w:t>
        </w:r>
        <w:r w:rsidR="005A11B4" w:rsidRPr="0025250D">
          <w:rPr>
            <w:rStyle w:val="Hyperlink"/>
            <w:noProof/>
            <w:rtl/>
          </w:rPr>
          <w:t>نگار</w:t>
        </w:r>
        <w:r w:rsidR="005A11B4" w:rsidRPr="0025250D">
          <w:rPr>
            <w:rStyle w:val="Hyperlink"/>
            <w:rFonts w:hint="cs"/>
            <w:noProof/>
            <w:rtl/>
          </w:rPr>
          <w:t>ی</w:t>
        </w:r>
        <w:r w:rsidR="005A11B4" w:rsidRPr="0025250D">
          <w:rPr>
            <w:rStyle w:val="Hyperlink"/>
            <w:noProof/>
            <w:rtl/>
          </w:rPr>
          <w:t xml:space="preserve"> راهبرد</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Toc127831355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557</w:t>
        </w:r>
        <w:r w:rsidR="005A11B4" w:rsidRPr="0025250D">
          <w:rPr>
            <w:noProof/>
            <w:webHidden/>
            <w:rtl/>
          </w:rPr>
          <w:fldChar w:fldCharType="end"/>
        </w:r>
      </w:hyperlink>
    </w:p>
    <w:p w14:paraId="67794AA1" w14:textId="114BEC5E"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56" w:history="1">
        <w:r w:rsidR="005A11B4" w:rsidRPr="0025250D">
          <w:rPr>
            <w:rStyle w:val="Hyperlink"/>
            <w:noProof/>
            <w:rtl/>
          </w:rPr>
          <w:t>9-3-</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مجلات آ</w:t>
        </w:r>
        <w:r w:rsidR="005A11B4" w:rsidRPr="0025250D">
          <w:rPr>
            <w:rStyle w:val="Hyperlink"/>
            <w:rFonts w:hint="cs"/>
            <w:noProof/>
            <w:rtl/>
          </w:rPr>
          <w:t>ی</w:t>
        </w:r>
        <w:r w:rsidR="005A11B4" w:rsidRPr="0025250D">
          <w:rPr>
            <w:rStyle w:val="Hyperlink"/>
            <w:rFonts w:hint="eastAsia"/>
            <w:noProof/>
            <w:rtl/>
          </w:rPr>
          <w:t>نده‌</w:t>
        </w:r>
        <w:r w:rsidR="005A11B4" w:rsidRPr="0025250D">
          <w:rPr>
            <w:rStyle w:val="Hyperlink"/>
            <w:noProof/>
            <w:rtl/>
          </w:rPr>
          <w:t>نگار</w:t>
        </w:r>
        <w:r w:rsidR="005A11B4" w:rsidRPr="0025250D">
          <w:rPr>
            <w:rStyle w:val="Hyperlink"/>
            <w:rFonts w:hint="cs"/>
            <w:noProof/>
            <w:rtl/>
          </w:rPr>
          <w:t>ی</w:t>
        </w:r>
        <w:r w:rsidR="005A11B4" w:rsidRPr="0025250D">
          <w:rPr>
            <w:rStyle w:val="Hyperlink"/>
            <w:noProof/>
            <w:rtl/>
          </w:rPr>
          <w:t xml:space="preserve"> راهبرد</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Toc127831356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558</w:t>
        </w:r>
        <w:r w:rsidR="005A11B4" w:rsidRPr="0025250D">
          <w:rPr>
            <w:noProof/>
            <w:webHidden/>
            <w:rtl/>
          </w:rPr>
          <w:fldChar w:fldCharType="end"/>
        </w:r>
      </w:hyperlink>
    </w:p>
    <w:p w14:paraId="3330F954" w14:textId="226EA9BB"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57" w:history="1">
        <w:r w:rsidR="005A11B4" w:rsidRPr="0025250D">
          <w:rPr>
            <w:rStyle w:val="Hyperlink"/>
            <w:noProof/>
            <w:rtl/>
          </w:rPr>
          <w:t>9-4-</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صدا و پادکست - مقدمه‌ا</w:t>
        </w:r>
        <w:r w:rsidR="005A11B4" w:rsidRPr="0025250D">
          <w:rPr>
            <w:rStyle w:val="Hyperlink"/>
            <w:rFonts w:hint="cs"/>
            <w:noProof/>
            <w:rtl/>
          </w:rPr>
          <w:t>ی</w:t>
        </w:r>
        <w:r w:rsidR="005A11B4" w:rsidRPr="0025250D">
          <w:rPr>
            <w:rStyle w:val="Hyperlink"/>
            <w:noProof/>
            <w:rtl/>
          </w:rPr>
          <w:t xml:space="preserve"> بر آ</w:t>
        </w:r>
        <w:r w:rsidR="005A11B4" w:rsidRPr="0025250D">
          <w:rPr>
            <w:rStyle w:val="Hyperlink"/>
            <w:rFonts w:hint="cs"/>
            <w:noProof/>
            <w:rtl/>
          </w:rPr>
          <w:t>ی</w:t>
        </w:r>
        <w:r w:rsidR="005A11B4" w:rsidRPr="0025250D">
          <w:rPr>
            <w:rStyle w:val="Hyperlink"/>
            <w:rFonts w:hint="eastAsia"/>
            <w:noProof/>
            <w:rtl/>
          </w:rPr>
          <w:t>نده‌</w:t>
        </w:r>
        <w:r w:rsidR="005A11B4" w:rsidRPr="0025250D">
          <w:rPr>
            <w:rStyle w:val="Hyperlink"/>
            <w:noProof/>
            <w:rtl/>
          </w:rPr>
          <w:t>نگار</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Toc127831357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560</w:t>
        </w:r>
        <w:r w:rsidR="005A11B4" w:rsidRPr="0025250D">
          <w:rPr>
            <w:noProof/>
            <w:webHidden/>
            <w:rtl/>
          </w:rPr>
          <w:fldChar w:fldCharType="end"/>
        </w:r>
      </w:hyperlink>
    </w:p>
    <w:p w14:paraId="78D9D923" w14:textId="5B388372"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58" w:history="1">
        <w:r w:rsidR="005A11B4" w:rsidRPr="0025250D">
          <w:rPr>
            <w:rStyle w:val="Hyperlink"/>
            <w:noProof/>
            <w:rtl/>
          </w:rPr>
          <w:t>9-5-</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وب‌سا</w:t>
        </w:r>
        <w:r w:rsidR="005A11B4" w:rsidRPr="0025250D">
          <w:rPr>
            <w:rStyle w:val="Hyperlink"/>
            <w:rFonts w:hint="cs"/>
            <w:noProof/>
            <w:rtl/>
          </w:rPr>
          <w:t>ی</w:t>
        </w:r>
        <w:r w:rsidR="005A11B4" w:rsidRPr="0025250D">
          <w:rPr>
            <w:rStyle w:val="Hyperlink"/>
            <w:noProof/>
            <w:rtl/>
          </w:rPr>
          <w:t>ت‌ها و خبرنامه‌ها</w:t>
        </w:r>
        <w:r w:rsidR="005A11B4" w:rsidRPr="0025250D">
          <w:rPr>
            <w:rStyle w:val="Hyperlink"/>
            <w:rFonts w:hint="cs"/>
            <w:noProof/>
            <w:rtl/>
          </w:rPr>
          <w:t>ی</w:t>
        </w:r>
        <w:r w:rsidR="005A11B4" w:rsidRPr="0025250D">
          <w:rPr>
            <w:rStyle w:val="Hyperlink"/>
            <w:noProof/>
            <w:rtl/>
          </w:rPr>
          <w:t xml:space="preserve"> آ</w:t>
        </w:r>
        <w:r w:rsidR="005A11B4" w:rsidRPr="0025250D">
          <w:rPr>
            <w:rStyle w:val="Hyperlink"/>
            <w:rFonts w:hint="cs"/>
            <w:noProof/>
            <w:rtl/>
          </w:rPr>
          <w:t>ی</w:t>
        </w:r>
        <w:r w:rsidR="005A11B4" w:rsidRPr="0025250D">
          <w:rPr>
            <w:rStyle w:val="Hyperlink"/>
            <w:noProof/>
            <w:rtl/>
          </w:rPr>
          <w:t>نده‌نگار</w:t>
        </w:r>
        <w:r w:rsidR="005A11B4" w:rsidRPr="0025250D">
          <w:rPr>
            <w:rStyle w:val="Hyperlink"/>
            <w:rFonts w:hint="cs"/>
            <w:noProof/>
            <w:rtl/>
          </w:rPr>
          <w:t>ی</w:t>
        </w:r>
        <w:r w:rsidR="005A11B4" w:rsidRPr="0025250D">
          <w:rPr>
            <w:rStyle w:val="Hyperlink"/>
            <w:noProof/>
            <w:rtl/>
          </w:rPr>
          <w:t xml:space="preserve"> و آ</w:t>
        </w:r>
        <w:r w:rsidR="005A11B4" w:rsidRPr="0025250D">
          <w:rPr>
            <w:rStyle w:val="Hyperlink"/>
            <w:rFonts w:hint="cs"/>
            <w:noProof/>
            <w:rtl/>
          </w:rPr>
          <w:t>ی</w:t>
        </w:r>
        <w:r w:rsidR="005A11B4" w:rsidRPr="0025250D">
          <w:rPr>
            <w:rStyle w:val="Hyperlink"/>
            <w:rFonts w:hint="eastAsia"/>
            <w:noProof/>
            <w:rtl/>
          </w:rPr>
          <w:t>نده‌پژوه</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Toc127831358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562</w:t>
        </w:r>
        <w:r w:rsidR="005A11B4" w:rsidRPr="0025250D">
          <w:rPr>
            <w:noProof/>
            <w:webHidden/>
            <w:rtl/>
          </w:rPr>
          <w:fldChar w:fldCharType="end"/>
        </w:r>
      </w:hyperlink>
    </w:p>
    <w:p w14:paraId="586C1ACF" w14:textId="0032077D"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59" w:history="1">
        <w:r w:rsidR="005A11B4" w:rsidRPr="0025250D">
          <w:rPr>
            <w:rStyle w:val="Hyperlink"/>
            <w:noProof/>
            <w:rtl/>
          </w:rPr>
          <w:t>9-6-</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انجمن‌ها</w:t>
        </w:r>
        <w:r w:rsidR="005A11B4" w:rsidRPr="0025250D">
          <w:rPr>
            <w:rStyle w:val="Hyperlink"/>
            <w:rFonts w:hint="cs"/>
            <w:noProof/>
            <w:rtl/>
          </w:rPr>
          <w:t>ی</w:t>
        </w:r>
        <w:r w:rsidR="005A11B4" w:rsidRPr="0025250D">
          <w:rPr>
            <w:rStyle w:val="Hyperlink"/>
            <w:noProof/>
            <w:rtl/>
          </w:rPr>
          <w:t xml:space="preserve"> تخصص</w:t>
        </w:r>
        <w:r w:rsidR="005A11B4" w:rsidRPr="0025250D">
          <w:rPr>
            <w:rStyle w:val="Hyperlink"/>
            <w:rFonts w:hint="cs"/>
            <w:noProof/>
            <w:rtl/>
          </w:rPr>
          <w:t>ی</w:t>
        </w:r>
        <w:r w:rsidR="005A11B4" w:rsidRPr="0025250D">
          <w:rPr>
            <w:rStyle w:val="Hyperlink"/>
            <w:noProof/>
            <w:rtl/>
          </w:rPr>
          <w:t xml:space="preserve">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Toc127831359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563</w:t>
        </w:r>
        <w:r w:rsidR="005A11B4" w:rsidRPr="0025250D">
          <w:rPr>
            <w:noProof/>
            <w:webHidden/>
            <w:rtl/>
          </w:rPr>
          <w:fldChar w:fldCharType="end"/>
        </w:r>
      </w:hyperlink>
    </w:p>
    <w:p w14:paraId="464D6438" w14:textId="711AF738" w:rsidR="005A11B4" w:rsidRPr="0025250D" w:rsidRDefault="007A207F">
      <w:pPr>
        <w:pStyle w:val="TOC2"/>
        <w:tabs>
          <w:tab w:val="left" w:pos="880"/>
          <w:tab w:val="right" w:leader="dot" w:pos="9060"/>
        </w:tabs>
        <w:rPr>
          <w:rFonts w:asciiTheme="minorHAnsi" w:eastAsiaTheme="minorEastAsia" w:hAnsiTheme="minorHAnsi" w:cstheme="minorBidi"/>
          <w:noProof/>
          <w:sz w:val="22"/>
          <w:rtl/>
          <w:lang w:bidi="ar-SA"/>
        </w:rPr>
      </w:pPr>
      <w:hyperlink w:anchor="_Toc127831360" w:history="1">
        <w:r w:rsidR="005A11B4" w:rsidRPr="0025250D">
          <w:rPr>
            <w:rStyle w:val="Hyperlink"/>
            <w:noProof/>
            <w:rtl/>
          </w:rPr>
          <w:t>9-7-</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جوامع عمل</w:t>
        </w:r>
        <w:r w:rsidR="005A11B4" w:rsidRPr="0025250D">
          <w:rPr>
            <w:rStyle w:val="Hyperlink"/>
            <w:rFonts w:hint="cs"/>
            <w:noProof/>
            <w:rtl/>
          </w:rPr>
          <w:t>ی</w:t>
        </w:r>
        <w:r w:rsidR="005A11B4" w:rsidRPr="0025250D">
          <w:rPr>
            <w:rStyle w:val="Hyperlink"/>
            <w:noProof/>
            <w:rtl/>
          </w:rPr>
          <w:t xml:space="preserve"> پ</w:t>
        </w:r>
        <w:r w:rsidR="005A11B4" w:rsidRPr="0025250D">
          <w:rPr>
            <w:rStyle w:val="Hyperlink"/>
            <w:rFonts w:hint="cs"/>
            <w:noProof/>
            <w:rtl/>
          </w:rPr>
          <w:t>ی</w:t>
        </w:r>
        <w:r w:rsidR="005A11B4" w:rsidRPr="0025250D">
          <w:rPr>
            <w:rStyle w:val="Hyperlink"/>
            <w:rFonts w:hint="eastAsia"/>
            <w:noProof/>
            <w:rtl/>
          </w:rPr>
          <w:t>ش‌ب</w:t>
        </w:r>
        <w:r w:rsidR="005A11B4" w:rsidRPr="0025250D">
          <w:rPr>
            <w:rStyle w:val="Hyperlink"/>
            <w:rFonts w:hint="cs"/>
            <w:noProof/>
            <w:rtl/>
          </w:rPr>
          <w:t>ی</w:t>
        </w:r>
        <w:r w:rsidR="005A11B4" w:rsidRPr="0025250D">
          <w:rPr>
            <w:rStyle w:val="Hyperlink"/>
            <w:rFonts w:hint="eastAsia"/>
            <w:noProof/>
            <w:rtl/>
          </w:rPr>
          <w:t>ن</w:t>
        </w:r>
        <w:r w:rsidR="005A11B4" w:rsidRPr="0025250D">
          <w:rPr>
            <w:rStyle w:val="Hyperlink"/>
            <w:rFonts w:hint="cs"/>
            <w:noProof/>
            <w:rtl/>
          </w:rPr>
          <w:t>ی</w:t>
        </w:r>
        <w:r w:rsidR="005A11B4" w:rsidRPr="0025250D">
          <w:rPr>
            <w:rStyle w:val="Hyperlink"/>
            <w:noProof/>
            <w:rtl/>
          </w:rPr>
          <w:t xml:space="preserve"> جامع</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Toc127831360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565</w:t>
        </w:r>
        <w:r w:rsidR="005A11B4" w:rsidRPr="0025250D">
          <w:rPr>
            <w:noProof/>
            <w:webHidden/>
            <w:rtl/>
          </w:rPr>
          <w:fldChar w:fldCharType="end"/>
        </w:r>
      </w:hyperlink>
    </w:p>
    <w:p w14:paraId="220A9D33" w14:textId="1D3CE37C" w:rsidR="005A11B4" w:rsidRPr="0025250D" w:rsidRDefault="007A207F" w:rsidP="005A11B4">
      <w:pPr>
        <w:pStyle w:val="TOC1"/>
        <w:rPr>
          <w:rFonts w:asciiTheme="minorHAnsi" w:eastAsiaTheme="minorEastAsia" w:hAnsiTheme="minorHAnsi" w:cstheme="minorBidi"/>
          <w:noProof/>
          <w:sz w:val="22"/>
          <w:rtl/>
          <w:lang w:bidi="ar-SA"/>
        </w:rPr>
      </w:pPr>
      <w:hyperlink w:anchor="_Toc127831361" w:history="1">
        <w:r w:rsidR="005A11B4" w:rsidRPr="0025250D">
          <w:rPr>
            <w:rStyle w:val="Hyperlink"/>
            <w:noProof/>
            <w:rtl/>
          </w:rPr>
          <w:t>10-</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درباره ما و زندگ</w:t>
        </w:r>
        <w:r w:rsidR="005A11B4" w:rsidRPr="0025250D">
          <w:rPr>
            <w:rStyle w:val="Hyperlink"/>
            <w:rFonts w:hint="cs"/>
            <w:noProof/>
            <w:rtl/>
          </w:rPr>
          <w:t>ی</w:t>
        </w:r>
        <w:r w:rsidR="005A11B4" w:rsidRPr="0025250D">
          <w:rPr>
            <w:rStyle w:val="Hyperlink"/>
            <w:noProof/>
            <w:rtl/>
          </w:rPr>
          <w:t xml:space="preserve"> نامه</w:t>
        </w:r>
        <w:r w:rsidR="005A11B4" w:rsidRPr="0025250D">
          <w:rPr>
            <w:rStyle w:val="Hyperlink"/>
            <w:noProof/>
          </w:rPr>
          <w:t>‌</w:t>
        </w:r>
        <w:r w:rsidR="005A11B4" w:rsidRPr="0025250D">
          <w:rPr>
            <w:rStyle w:val="Hyperlink"/>
            <w:noProof/>
            <w:rtl/>
          </w:rPr>
          <w:t>ها</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Toc127831361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566</w:t>
        </w:r>
        <w:r w:rsidR="005A11B4" w:rsidRPr="0025250D">
          <w:rPr>
            <w:noProof/>
            <w:webHidden/>
            <w:rtl/>
          </w:rPr>
          <w:fldChar w:fldCharType="end"/>
        </w:r>
      </w:hyperlink>
    </w:p>
    <w:p w14:paraId="0C3D73BD" w14:textId="5F3FED1A" w:rsidR="005A11B4" w:rsidRPr="0025250D" w:rsidRDefault="007A207F">
      <w:pPr>
        <w:pStyle w:val="TOC2"/>
        <w:tabs>
          <w:tab w:val="left" w:pos="1100"/>
          <w:tab w:val="right" w:leader="dot" w:pos="9060"/>
        </w:tabs>
        <w:rPr>
          <w:rFonts w:asciiTheme="minorHAnsi" w:eastAsiaTheme="minorEastAsia" w:hAnsiTheme="minorHAnsi" w:cstheme="minorBidi"/>
          <w:noProof/>
          <w:sz w:val="22"/>
          <w:rtl/>
          <w:lang w:bidi="ar-SA"/>
        </w:rPr>
      </w:pPr>
      <w:hyperlink w:anchor="_Toc127831362" w:history="1">
        <w:r w:rsidR="005A11B4" w:rsidRPr="0025250D">
          <w:rPr>
            <w:rStyle w:val="Hyperlink"/>
            <w:noProof/>
            <w:rtl/>
          </w:rPr>
          <w:t>10-1-</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دانشگاه آ</w:t>
        </w:r>
        <w:r w:rsidR="005A11B4" w:rsidRPr="0025250D">
          <w:rPr>
            <w:rStyle w:val="Hyperlink"/>
            <w:rFonts w:hint="cs"/>
            <w:noProof/>
            <w:rtl/>
          </w:rPr>
          <w:t>ی</w:t>
        </w:r>
        <w:r w:rsidR="005A11B4" w:rsidRPr="0025250D">
          <w:rPr>
            <w:rStyle w:val="Hyperlink"/>
            <w:rFonts w:hint="eastAsia"/>
            <w:noProof/>
            <w:rtl/>
          </w:rPr>
          <w:t>نده‌نگار</w:t>
        </w:r>
        <w:r w:rsidR="005A11B4" w:rsidRPr="0025250D">
          <w:rPr>
            <w:rStyle w:val="Hyperlink"/>
            <w:rFonts w:hint="cs"/>
            <w:noProof/>
            <w:rtl/>
          </w:rPr>
          <w:t>ی</w:t>
        </w:r>
        <w:r w:rsidR="005A11B4" w:rsidRPr="0025250D">
          <w:rPr>
            <w:rStyle w:val="Hyperlink"/>
            <w:noProof/>
            <w:rtl/>
          </w:rPr>
          <w:t xml:space="preserve"> چ</w:t>
        </w:r>
        <w:r w:rsidR="005A11B4" w:rsidRPr="0025250D">
          <w:rPr>
            <w:rStyle w:val="Hyperlink"/>
            <w:rFonts w:hint="cs"/>
            <w:noProof/>
            <w:rtl/>
          </w:rPr>
          <w:t>ی</w:t>
        </w:r>
        <w:r w:rsidR="005A11B4" w:rsidRPr="0025250D">
          <w:rPr>
            <w:rStyle w:val="Hyperlink"/>
            <w:noProof/>
            <w:rtl/>
          </w:rPr>
          <w:t>ست؟</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Toc127831362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567</w:t>
        </w:r>
        <w:r w:rsidR="005A11B4" w:rsidRPr="0025250D">
          <w:rPr>
            <w:noProof/>
            <w:webHidden/>
            <w:rtl/>
          </w:rPr>
          <w:fldChar w:fldCharType="end"/>
        </w:r>
      </w:hyperlink>
    </w:p>
    <w:p w14:paraId="2C8DD4B5" w14:textId="3B499356" w:rsidR="005A11B4" w:rsidRPr="0025250D" w:rsidRDefault="007A207F">
      <w:pPr>
        <w:pStyle w:val="TOC2"/>
        <w:tabs>
          <w:tab w:val="left" w:pos="1320"/>
          <w:tab w:val="right" w:leader="dot" w:pos="9060"/>
        </w:tabs>
        <w:rPr>
          <w:rFonts w:asciiTheme="minorHAnsi" w:eastAsiaTheme="minorEastAsia" w:hAnsiTheme="minorHAnsi" w:cstheme="minorBidi"/>
          <w:noProof/>
          <w:sz w:val="22"/>
          <w:rtl/>
          <w:lang w:bidi="ar-SA"/>
        </w:rPr>
      </w:pPr>
      <w:hyperlink w:anchor="_Toc127831363" w:history="1">
        <w:r w:rsidR="005A11B4" w:rsidRPr="0025250D">
          <w:rPr>
            <w:rStyle w:val="Hyperlink"/>
            <w:noProof/>
            <w:rtl/>
          </w:rPr>
          <w:t>10-2-</w:t>
        </w:r>
        <w:r w:rsidR="005A11B4" w:rsidRPr="0025250D">
          <w:rPr>
            <w:rFonts w:asciiTheme="minorHAnsi" w:eastAsiaTheme="minorEastAsia" w:hAnsiTheme="minorHAnsi" w:cstheme="minorBidi"/>
            <w:noProof/>
            <w:sz w:val="22"/>
            <w:rtl/>
            <w:lang w:bidi="ar-SA"/>
          </w:rPr>
          <w:tab/>
        </w:r>
        <w:r w:rsidR="005A11B4" w:rsidRPr="0025250D">
          <w:rPr>
            <w:rStyle w:val="Hyperlink"/>
            <w:noProof/>
          </w:rPr>
          <w:t>ASF</w:t>
        </w:r>
        <w:r w:rsidR="005A11B4" w:rsidRPr="0025250D">
          <w:rPr>
            <w:rStyle w:val="Hyperlink"/>
            <w:noProof/>
            <w:rtl/>
          </w:rPr>
          <w:t xml:space="preserve"> چ</w:t>
        </w:r>
        <w:r w:rsidR="005A11B4" w:rsidRPr="0025250D">
          <w:rPr>
            <w:rStyle w:val="Hyperlink"/>
            <w:rFonts w:hint="cs"/>
            <w:noProof/>
            <w:rtl/>
          </w:rPr>
          <w:t>ی</w:t>
        </w:r>
        <w:r w:rsidR="005A11B4" w:rsidRPr="0025250D">
          <w:rPr>
            <w:rStyle w:val="Hyperlink"/>
            <w:noProof/>
            <w:rtl/>
          </w:rPr>
          <w:t>ست؟</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Toc127831363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568</w:t>
        </w:r>
        <w:r w:rsidR="005A11B4" w:rsidRPr="0025250D">
          <w:rPr>
            <w:noProof/>
            <w:webHidden/>
            <w:rtl/>
          </w:rPr>
          <w:fldChar w:fldCharType="end"/>
        </w:r>
      </w:hyperlink>
    </w:p>
    <w:p w14:paraId="5825DC53" w14:textId="527517C6" w:rsidR="005A11B4" w:rsidRPr="0025250D" w:rsidRDefault="007A207F">
      <w:pPr>
        <w:pStyle w:val="TOC2"/>
        <w:tabs>
          <w:tab w:val="left" w:pos="1100"/>
          <w:tab w:val="right" w:leader="dot" w:pos="9060"/>
        </w:tabs>
        <w:rPr>
          <w:rFonts w:asciiTheme="minorHAnsi" w:eastAsiaTheme="minorEastAsia" w:hAnsiTheme="minorHAnsi" w:cstheme="minorBidi"/>
          <w:noProof/>
          <w:sz w:val="22"/>
          <w:rtl/>
          <w:lang w:bidi="ar-SA"/>
        </w:rPr>
      </w:pPr>
      <w:hyperlink w:anchor="_Toc127831364" w:history="1">
        <w:r w:rsidR="005A11B4" w:rsidRPr="0025250D">
          <w:rPr>
            <w:rStyle w:val="Hyperlink"/>
            <w:noProof/>
            <w:rtl/>
          </w:rPr>
          <w:t>10-3-</w:t>
        </w:r>
        <w:r w:rsidR="005A11B4" w:rsidRPr="0025250D">
          <w:rPr>
            <w:rFonts w:asciiTheme="minorHAnsi" w:eastAsiaTheme="minorEastAsia" w:hAnsiTheme="minorHAnsi" w:cstheme="minorBidi"/>
            <w:noProof/>
            <w:sz w:val="22"/>
            <w:rtl/>
            <w:lang w:bidi="ar-SA"/>
          </w:rPr>
          <w:tab/>
        </w:r>
        <w:r w:rsidR="005A11B4" w:rsidRPr="0025250D">
          <w:rPr>
            <w:rStyle w:val="Hyperlink"/>
            <w:noProof/>
            <w:rtl/>
          </w:rPr>
          <w:t>زندگ</w:t>
        </w:r>
        <w:r w:rsidR="005A11B4" w:rsidRPr="0025250D">
          <w:rPr>
            <w:rStyle w:val="Hyperlink"/>
            <w:rFonts w:hint="cs"/>
            <w:noProof/>
            <w:rtl/>
          </w:rPr>
          <w:t>ی</w:t>
        </w:r>
        <w:r w:rsidR="005A11B4" w:rsidRPr="0025250D">
          <w:rPr>
            <w:rStyle w:val="Hyperlink"/>
            <w:rFonts w:hint="eastAsia"/>
            <w:noProof/>
            <w:rtl/>
          </w:rPr>
          <w:t>نامه</w:t>
        </w:r>
        <w:r w:rsidR="005A11B4" w:rsidRPr="0025250D">
          <w:rPr>
            <w:rStyle w:val="Hyperlink"/>
            <w:noProof/>
            <w:rtl/>
          </w:rPr>
          <w:t xml:space="preserve"> نو</w:t>
        </w:r>
        <w:r w:rsidR="005A11B4" w:rsidRPr="0025250D">
          <w:rPr>
            <w:rStyle w:val="Hyperlink"/>
            <w:rFonts w:hint="cs"/>
            <w:noProof/>
            <w:rtl/>
          </w:rPr>
          <w:t>ی</w:t>
        </w:r>
        <w:r w:rsidR="005A11B4" w:rsidRPr="0025250D">
          <w:rPr>
            <w:rStyle w:val="Hyperlink"/>
            <w:rFonts w:hint="eastAsia"/>
            <w:noProof/>
            <w:rtl/>
          </w:rPr>
          <w:t>سندگان</w:t>
        </w:r>
        <w:r w:rsidR="005A11B4" w:rsidRPr="0025250D">
          <w:rPr>
            <w:noProof/>
            <w:webHidden/>
            <w:rtl/>
          </w:rPr>
          <w:tab/>
        </w:r>
        <w:r w:rsidR="005A11B4" w:rsidRPr="0025250D">
          <w:rPr>
            <w:noProof/>
            <w:webHidden/>
            <w:rtl/>
          </w:rPr>
          <w:fldChar w:fldCharType="begin"/>
        </w:r>
        <w:r w:rsidR="005A11B4" w:rsidRPr="0025250D">
          <w:rPr>
            <w:noProof/>
            <w:webHidden/>
            <w:rtl/>
          </w:rPr>
          <w:instrText xml:space="preserve"> </w:instrText>
        </w:r>
        <w:r w:rsidR="005A11B4" w:rsidRPr="0025250D">
          <w:rPr>
            <w:noProof/>
            <w:webHidden/>
          </w:rPr>
          <w:instrText>PAGEREF</w:instrText>
        </w:r>
        <w:r w:rsidR="005A11B4" w:rsidRPr="0025250D">
          <w:rPr>
            <w:noProof/>
            <w:webHidden/>
            <w:rtl/>
          </w:rPr>
          <w:instrText xml:space="preserve"> _</w:instrText>
        </w:r>
        <w:r w:rsidR="005A11B4" w:rsidRPr="0025250D">
          <w:rPr>
            <w:noProof/>
            <w:webHidden/>
          </w:rPr>
          <w:instrText>Toc127831364 \h</w:instrText>
        </w:r>
        <w:r w:rsidR="005A11B4" w:rsidRPr="0025250D">
          <w:rPr>
            <w:noProof/>
            <w:webHidden/>
            <w:rtl/>
          </w:rPr>
          <w:instrText xml:space="preserve"> </w:instrText>
        </w:r>
        <w:r w:rsidR="005A11B4" w:rsidRPr="0025250D">
          <w:rPr>
            <w:noProof/>
            <w:webHidden/>
            <w:rtl/>
          </w:rPr>
        </w:r>
        <w:r w:rsidR="005A11B4" w:rsidRPr="0025250D">
          <w:rPr>
            <w:noProof/>
            <w:webHidden/>
            <w:rtl/>
          </w:rPr>
          <w:fldChar w:fldCharType="separate"/>
        </w:r>
        <w:r w:rsidR="00EB514D" w:rsidRPr="0025250D">
          <w:rPr>
            <w:noProof/>
            <w:webHidden/>
            <w:rtl/>
          </w:rPr>
          <w:t>569</w:t>
        </w:r>
        <w:r w:rsidR="005A11B4" w:rsidRPr="0025250D">
          <w:rPr>
            <w:noProof/>
            <w:webHidden/>
            <w:rtl/>
          </w:rPr>
          <w:fldChar w:fldCharType="end"/>
        </w:r>
      </w:hyperlink>
    </w:p>
    <w:p w14:paraId="0D5EA5EE" w14:textId="3F823B50" w:rsidR="006A42A9" w:rsidRPr="0025250D" w:rsidRDefault="006A42A9" w:rsidP="006A42A9">
      <w:pPr>
        <w:jc w:val="left"/>
        <w:rPr>
          <w:rtl/>
        </w:rPr>
      </w:pPr>
      <w:r w:rsidRPr="0025250D">
        <w:rPr>
          <w:rtl/>
        </w:rPr>
        <w:fldChar w:fldCharType="end"/>
      </w:r>
    </w:p>
    <w:p w14:paraId="0A7F7ED3" w14:textId="77777777" w:rsidR="00B219EF" w:rsidRPr="0025250D" w:rsidRDefault="00B219EF" w:rsidP="00B219EF">
      <w:pPr>
        <w:rPr>
          <w:rtl/>
        </w:rPr>
      </w:pPr>
    </w:p>
    <w:p w14:paraId="58310EFC" w14:textId="77777777" w:rsidR="00B219EF" w:rsidRPr="0025250D" w:rsidRDefault="00B219EF" w:rsidP="00B219EF">
      <w:pPr>
        <w:rPr>
          <w:rtl/>
        </w:rPr>
      </w:pPr>
    </w:p>
    <w:p w14:paraId="71A2ADA0" w14:textId="77777777" w:rsidR="003B65E0" w:rsidRPr="0025250D" w:rsidRDefault="0020732A" w:rsidP="00195947">
      <w:pPr>
        <w:pStyle w:val="Heading1"/>
      </w:pPr>
      <w:bookmarkStart w:id="1" w:name="_Toc127831267"/>
      <w:r w:rsidRPr="0025250D">
        <w:rPr>
          <w:rFonts w:hint="cs"/>
          <w:rtl/>
        </w:rPr>
        <w:lastRenderedPageBreak/>
        <w:t xml:space="preserve">فصل 1: مقدمه‌ای بر آینده‌نگاری </w:t>
      </w:r>
      <w:r w:rsidRPr="0025250D">
        <w:rPr>
          <w:rFonts w:ascii="Times New Roman" w:hAnsi="Times New Roman" w:cs="Times New Roman" w:hint="cs"/>
          <w:rtl/>
        </w:rPr>
        <w:t>–</w:t>
      </w:r>
      <w:r w:rsidRPr="0025250D">
        <w:rPr>
          <w:rFonts w:hint="cs"/>
          <w:rtl/>
        </w:rPr>
        <w:t xml:space="preserve"> بزرگ‌ترین موهبت بشر</w:t>
      </w:r>
      <w:bookmarkEnd w:id="1"/>
    </w:p>
    <w:p w14:paraId="2FA86324" w14:textId="56395C9C" w:rsidR="0020732A" w:rsidRPr="0025250D" w:rsidRDefault="0020732A" w:rsidP="003B65E0">
      <w:pPr>
        <w:pStyle w:val="Heading2"/>
        <w:rPr>
          <w:rtl/>
        </w:rPr>
      </w:pPr>
      <w:r w:rsidRPr="0025250D">
        <w:rPr>
          <w:rFonts w:hint="cs"/>
          <w:rtl/>
        </w:rPr>
        <w:lastRenderedPageBreak/>
        <w:t xml:space="preserve"> </w:t>
      </w:r>
      <w:bookmarkStart w:id="2" w:name="_Toc127831268"/>
      <w:r w:rsidRPr="0025250D">
        <w:rPr>
          <w:rtl/>
        </w:rPr>
        <w:t>آینده‌نگاری</w:t>
      </w:r>
      <w:r w:rsidRPr="0025250D">
        <w:rPr>
          <w:rFonts w:hint="cs"/>
          <w:rtl/>
        </w:rPr>
        <w:t xml:space="preserve"> چیست؟</w:t>
      </w:r>
      <w:bookmarkEnd w:id="2"/>
    </w:p>
    <w:p w14:paraId="69F035EA" w14:textId="425C3C5F" w:rsidR="0020732A" w:rsidRPr="0025250D" w:rsidRDefault="0020732A" w:rsidP="0020732A">
      <w:pPr>
        <w:rPr>
          <w:rtl/>
        </w:rPr>
      </w:pPr>
      <w:r w:rsidRPr="0025250D">
        <w:rPr>
          <w:rtl/>
        </w:rPr>
        <w:t>آینده‌نگاری</w:t>
      </w:r>
      <w:r w:rsidRPr="0025250D">
        <w:rPr>
          <w:rFonts w:hint="cs"/>
          <w:rtl/>
        </w:rPr>
        <w:t xml:space="preserve"> عمل نگاه به آینده و تفکر در مورد آینده است. این فعالیت می‌تواند به‌صورت مبتدی یا حرفه‌ای، بدون آموزش یا با تکیه بر آموزش‌های پیشین انجام شود. با رویکردی هدفمند نسبت به آن، می‌توانیم آن را بهتر انجام دهیم. </w:t>
      </w:r>
      <w:r w:rsidRPr="0025250D">
        <w:rPr>
          <w:rtl/>
        </w:rPr>
        <w:t>آینده‌نگاری</w:t>
      </w:r>
      <w:r w:rsidRPr="0025250D">
        <w:rPr>
          <w:rFonts w:hint="cs"/>
          <w:rtl/>
        </w:rPr>
        <w:t xml:space="preserve"> یک صفت</w:t>
      </w:r>
      <w:r w:rsidRPr="0025250D">
        <w:rPr>
          <w:vertAlign w:val="superscript"/>
          <w:rtl/>
        </w:rPr>
        <w:footnoteReference w:id="43"/>
      </w:r>
      <w:r w:rsidRPr="0025250D">
        <w:rPr>
          <w:rFonts w:hint="cs"/>
          <w:rtl/>
        </w:rPr>
        <w:t xml:space="preserve"> اساسی هر </w:t>
      </w:r>
      <w:r w:rsidR="00947B39" w:rsidRPr="0025250D">
        <w:rPr>
          <w:rFonts w:hint="cs"/>
          <w:rtl/>
        </w:rPr>
        <w:t>سامانه</w:t>
      </w:r>
      <w:r w:rsidRPr="0025250D">
        <w:rPr>
          <w:rFonts w:hint="cs"/>
          <w:rtl/>
        </w:rPr>
        <w:t xml:space="preserve"> زنده‌، از ساده‌ترین </w:t>
      </w:r>
      <w:r w:rsidR="00621BB0" w:rsidRPr="0025250D">
        <w:rPr>
          <w:rFonts w:hint="cs"/>
          <w:rtl/>
        </w:rPr>
        <w:t>سامانه‌ها گرفته تا</w:t>
      </w:r>
      <w:r w:rsidRPr="0025250D">
        <w:rPr>
          <w:rFonts w:hint="cs"/>
          <w:rtl/>
        </w:rPr>
        <w:t xml:space="preserve"> پیچیده‌ترین </w:t>
      </w:r>
      <w:r w:rsidR="00621BB0" w:rsidRPr="0025250D">
        <w:rPr>
          <w:rFonts w:hint="cs"/>
          <w:rtl/>
        </w:rPr>
        <w:t>آن‌ها</w:t>
      </w:r>
      <w:r w:rsidRPr="0025250D">
        <w:rPr>
          <w:rFonts w:hint="cs"/>
          <w:rtl/>
        </w:rPr>
        <w:t xml:space="preserve"> </w:t>
      </w:r>
      <w:r w:rsidR="00621BB0" w:rsidRPr="0025250D">
        <w:rPr>
          <w:rFonts w:hint="cs"/>
          <w:rtl/>
        </w:rPr>
        <w:t>می‌باشد</w:t>
      </w:r>
      <w:r w:rsidRPr="0025250D">
        <w:rPr>
          <w:rFonts w:hint="cs"/>
          <w:rtl/>
        </w:rPr>
        <w:t>. با داشتن آگاهی نسبت به هر عمل خود می‌توانیم دنیایی بهتر بسازیم.</w:t>
      </w:r>
    </w:p>
    <w:p w14:paraId="3F514A0B" w14:textId="31001C78" w:rsidR="0020732A" w:rsidRPr="0025250D" w:rsidRDefault="0020732A" w:rsidP="0020732A">
      <w:pPr>
        <w:rPr>
          <w:rtl/>
        </w:rPr>
      </w:pPr>
      <w:r w:rsidRPr="0025250D">
        <w:rPr>
          <w:rFonts w:hint="cs"/>
          <w:rtl/>
        </w:rPr>
        <w:t xml:space="preserve">در طول تاریخ تکامل بشر، موهبت‌های زیادی به او اعطا شده است. به نظر ما مهم‌ترین این موهبت‌ها ظرفیت پیشرفته ما برای </w:t>
      </w:r>
      <w:r w:rsidRPr="0025250D">
        <w:rPr>
          <w:rtl/>
        </w:rPr>
        <w:t>آینده‌نگاری</w:t>
      </w:r>
      <w:r w:rsidRPr="0025250D">
        <w:rPr>
          <w:rFonts w:hint="cs"/>
          <w:rtl/>
        </w:rPr>
        <w:t xml:space="preserve"> در مقایسه با همه گونه‌های دیگر است. خواهیم دید که در مدل پردازش پیش‌بین</w:t>
      </w:r>
      <w:r w:rsidRPr="0025250D">
        <w:rPr>
          <w:vertAlign w:val="superscript"/>
          <w:rtl/>
        </w:rPr>
        <w:footnoteReference w:id="44"/>
      </w:r>
      <w:r w:rsidRPr="0025250D">
        <w:rPr>
          <w:rFonts w:hint="cs"/>
          <w:rtl/>
        </w:rPr>
        <w:t xml:space="preserve"> علم اعصاب، هوش انسان اکنون به‌عنوان فرایند تولید، به‌کارگیری و بهبود </w:t>
      </w:r>
      <w:r w:rsidRPr="0025250D">
        <w:rPr>
          <w:rtl/>
        </w:rPr>
        <w:t>آینده‌نگاری</w:t>
      </w:r>
      <w:r w:rsidRPr="0025250D">
        <w:rPr>
          <w:rFonts w:hint="cs"/>
          <w:rtl/>
        </w:rPr>
        <w:t xml:space="preserve"> درک می‌شود. انسان‌ها یک بخش قدامی مغزی</w:t>
      </w:r>
      <w:r w:rsidRPr="0025250D">
        <w:rPr>
          <w:vertAlign w:val="superscript"/>
          <w:rtl/>
        </w:rPr>
        <w:footnoteReference w:id="45"/>
      </w:r>
      <w:r w:rsidRPr="0025250D">
        <w:rPr>
          <w:rFonts w:hint="cs"/>
          <w:rtl/>
        </w:rPr>
        <w:t xml:space="preserve"> دارند که به‌صورت منحصربه‌فردی توسعه‌یافته است و انسان از طریق آن می‌تواند خود و دیگران را در آینده دور پیش‌بینی</w:t>
      </w:r>
      <w:r w:rsidRPr="0025250D">
        <w:rPr>
          <w:vertAlign w:val="superscript"/>
          <w:rtl/>
        </w:rPr>
        <w:footnoteReference w:id="46"/>
      </w:r>
      <w:r w:rsidRPr="0025250D">
        <w:rPr>
          <w:rFonts w:hint="cs"/>
          <w:rtl/>
        </w:rPr>
        <w:t xml:space="preserve"> و تصور کند. ما </w:t>
      </w:r>
      <w:r w:rsidR="00701E03" w:rsidRPr="0025250D">
        <w:rPr>
          <w:rFonts w:hint="cs"/>
          <w:rtl/>
        </w:rPr>
        <w:t>راهبرد</w:t>
      </w:r>
      <w:r w:rsidRPr="0025250D">
        <w:rPr>
          <w:rFonts w:hint="cs"/>
          <w:rtl/>
        </w:rPr>
        <w:t xml:space="preserve">‌ها، برنامه‌ها و ابزارهای پیچیده‌ای در جهت تلاش برای رسیدن به خواسته‌هایمان اختراع می‌کنیم. ظرفیت‌های پیچیده ما برای پیش‌بینی، تصور و درنظرگرفتن اولویت و ترجیح برای آینده در قلب </w:t>
      </w:r>
      <w:r w:rsidR="00AE5BE0" w:rsidRPr="0025250D">
        <w:rPr>
          <w:rFonts w:hint="cs"/>
          <w:rtl/>
        </w:rPr>
        <w:t>انطباق</w:t>
      </w:r>
      <w:r w:rsidRPr="0025250D">
        <w:rPr>
          <w:vertAlign w:val="superscript"/>
          <w:rtl/>
        </w:rPr>
        <w:footnoteReference w:id="47"/>
      </w:r>
      <w:r w:rsidRPr="0025250D">
        <w:rPr>
          <w:rFonts w:hint="cs"/>
          <w:rtl/>
        </w:rPr>
        <w:t xml:space="preserve"> انسان هستند.</w:t>
      </w:r>
    </w:p>
    <w:p w14:paraId="2C926163" w14:textId="77777777" w:rsidR="0020732A" w:rsidRPr="0025250D" w:rsidRDefault="0020732A" w:rsidP="00621BB0">
      <w:pPr>
        <w:jc w:val="center"/>
      </w:pPr>
      <w:r w:rsidRPr="0025250D">
        <w:rPr>
          <w:noProof/>
          <w:rtl/>
          <w:lang w:bidi="ar-SA"/>
        </w:rPr>
        <w:drawing>
          <wp:inline distT="0" distB="0" distL="0" distR="0" wp14:anchorId="1502D9AB" wp14:editId="664694CA">
            <wp:extent cx="4635611" cy="2482438"/>
            <wp:effectExtent l="0" t="0" r="0" b="0"/>
            <wp:docPr id="7" name="Picture 7" descr="D:\کار\مستقل\3 ( ترجمه ی دانشگاه تهران  )\Introduction to Foresight\part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1\1.png"/>
                    <pic:cNvPicPr>
                      <a:picLocks noChangeAspect="1" noChangeArrowheads="1"/>
                    </pic:cNvPicPr>
                  </pic:nvPicPr>
                  <pic:blipFill>
                    <a:blip r:embed="rId8" cstate="screen">
                      <a:extLst>
                        <a:ext uri="{BEBA8EAE-BF5A-486C-A8C5-ECC9F3942E4B}">
                          <a14:imgProps xmlns:a14="http://schemas.microsoft.com/office/drawing/2010/main">
                            <a14:imgLayer r:embed="rId9">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4654660" cy="2492639"/>
                    </a:xfrm>
                    <a:prstGeom prst="rect">
                      <a:avLst/>
                    </a:prstGeom>
                    <a:noFill/>
                    <a:ln>
                      <a:noFill/>
                    </a:ln>
                  </pic:spPr>
                </pic:pic>
              </a:graphicData>
            </a:graphic>
          </wp:inline>
        </w:drawing>
      </w:r>
    </w:p>
    <w:p w14:paraId="06AEE132" w14:textId="77777777" w:rsidR="0020732A" w:rsidRPr="0025250D" w:rsidRDefault="0020732A" w:rsidP="00537CC8">
      <w:pPr>
        <w:jc w:val="center"/>
        <w:rPr>
          <w:rtl/>
        </w:rPr>
      </w:pPr>
      <w:r w:rsidRPr="0025250D">
        <w:rPr>
          <w:rtl/>
        </w:rPr>
        <w:t>دره اولدووا</w:t>
      </w:r>
      <w:r w:rsidRPr="0025250D">
        <w:rPr>
          <w:rFonts w:hint="cs"/>
          <w:rtl/>
        </w:rPr>
        <w:t>ی، تانزانیا. محل تولد داستان ما از پدیداری انسان</w:t>
      </w:r>
    </w:p>
    <w:p w14:paraId="7E01E08D" w14:textId="10BA3BCE" w:rsidR="0020732A" w:rsidRPr="0025250D" w:rsidRDefault="0020732A" w:rsidP="0020732A">
      <w:pPr>
        <w:rPr>
          <w:rtl/>
        </w:rPr>
      </w:pPr>
      <w:r w:rsidRPr="0025250D">
        <w:rPr>
          <w:rFonts w:hint="cs"/>
          <w:rtl/>
        </w:rPr>
        <w:t xml:space="preserve">4 میلیون سال قبل، اجداد </w:t>
      </w:r>
      <w:r w:rsidRPr="0025250D">
        <w:rPr>
          <w:rtl/>
        </w:rPr>
        <w:t>جنوب</w:t>
      </w:r>
      <w:r w:rsidRPr="0025250D">
        <w:rPr>
          <w:rFonts w:hint="cs"/>
          <w:rtl/>
        </w:rPr>
        <w:t>ی‌</w:t>
      </w:r>
      <w:r w:rsidRPr="0025250D">
        <w:rPr>
          <w:rFonts w:hint="eastAsia"/>
          <w:rtl/>
        </w:rPr>
        <w:t>کپ</w:t>
      </w:r>
      <w:r w:rsidRPr="0025250D">
        <w:rPr>
          <w:rFonts w:hint="cs"/>
          <w:rtl/>
        </w:rPr>
        <w:t>ی</w:t>
      </w:r>
      <w:r w:rsidRPr="0025250D">
        <w:rPr>
          <w:vertAlign w:val="superscript"/>
          <w:rtl/>
        </w:rPr>
        <w:footnoteReference w:id="48"/>
      </w:r>
      <w:r w:rsidRPr="0025250D">
        <w:rPr>
          <w:rFonts w:hint="cs"/>
          <w:rtl/>
        </w:rPr>
        <w:t xml:space="preserve"> ما که یک متر قد داشتند از درختانی که از آن‌ها محافظ می‌کردند پایین آمدند. در آن زمان آن‌ها همکاری و مشارکت، زبردستی</w:t>
      </w:r>
      <w:r w:rsidRPr="0025250D">
        <w:rPr>
          <w:vertAlign w:val="superscript"/>
          <w:rtl/>
        </w:rPr>
        <w:footnoteReference w:id="49"/>
      </w:r>
      <w:r w:rsidRPr="0025250D">
        <w:rPr>
          <w:rFonts w:hint="cs"/>
          <w:rtl/>
        </w:rPr>
        <w:t xml:space="preserve"> و پیش‌بینی دقیق حرکات و اعمال را فرا گرفتند</w:t>
      </w:r>
      <w:r w:rsidR="008D6F97" w:rsidRPr="0025250D">
        <w:rPr>
          <w:rtl/>
        </w:rPr>
        <w:t xml:space="preserve">؛ </w:t>
      </w:r>
      <w:r w:rsidRPr="0025250D">
        <w:rPr>
          <w:rFonts w:hint="cs"/>
          <w:rtl/>
        </w:rPr>
        <w:t xml:space="preserve">اما با خشک‌تر شدن محیط زندگی‌شان، مجبور شدند که بر روی زمین حرکت کنند. برهنه و بدون سرپناه در دشت بی درخت آفریقا و </w:t>
      </w:r>
      <w:r w:rsidRPr="0025250D">
        <w:rPr>
          <w:rtl/>
        </w:rPr>
        <w:t>احاطه‌شده</w:t>
      </w:r>
      <w:r w:rsidRPr="0025250D">
        <w:rPr>
          <w:rFonts w:hint="cs"/>
          <w:rtl/>
        </w:rPr>
        <w:t xml:space="preserve"> با شکارچیان بسیار سریع‌تر و قدرتمندتر، مجبور شدند خود را با محیط </w:t>
      </w:r>
      <w:r w:rsidR="002F3C14" w:rsidRPr="0025250D">
        <w:rPr>
          <w:rFonts w:hint="cs"/>
          <w:rtl/>
        </w:rPr>
        <w:t>انطباق</w:t>
      </w:r>
      <w:r w:rsidRPr="0025250D">
        <w:rPr>
          <w:rFonts w:hint="cs"/>
          <w:rtl/>
        </w:rPr>
        <w:t xml:space="preserve"> دهند. توانایی آن‌ها برای تصور و در اختیار گرفتن ابزارها</w:t>
      </w:r>
      <w:r w:rsidR="00621BB0" w:rsidRPr="0025250D">
        <w:rPr>
          <w:rFonts w:hint="cs"/>
          <w:rtl/>
        </w:rPr>
        <w:t>یی</w:t>
      </w:r>
      <w:r w:rsidRPr="0025250D">
        <w:rPr>
          <w:rFonts w:hint="cs"/>
          <w:rtl/>
        </w:rPr>
        <w:t xml:space="preserve"> مانند سنگ‌ها و تکه‌های چوب، حرکت به‌صورت گروهی برای دفاع از خود و پیش‌بینی خطر، همگی برای بقا ضروری بودند. تصویر بالا </w:t>
      </w:r>
      <w:r w:rsidRPr="0025250D">
        <w:rPr>
          <w:rtl/>
        </w:rPr>
        <w:t>دره اولدووا</w:t>
      </w:r>
      <w:r w:rsidRPr="0025250D">
        <w:rPr>
          <w:rFonts w:hint="cs"/>
          <w:rtl/>
        </w:rPr>
        <w:t>ی</w:t>
      </w:r>
      <w:r w:rsidRPr="0025250D">
        <w:rPr>
          <w:vertAlign w:val="superscript"/>
          <w:rtl/>
        </w:rPr>
        <w:footnoteReference w:id="50"/>
      </w:r>
      <w:r w:rsidRPr="0025250D">
        <w:rPr>
          <w:rFonts w:hint="cs"/>
          <w:rtl/>
        </w:rPr>
        <w:t xml:space="preserve"> در تانزانیا است. این اولین مکانی است که باستان شناسان شکل‌های گذرا</w:t>
      </w:r>
      <w:r w:rsidRPr="0025250D">
        <w:rPr>
          <w:vertAlign w:val="superscript"/>
          <w:rtl/>
        </w:rPr>
        <w:footnoteReference w:id="51"/>
      </w:r>
      <w:r w:rsidRPr="0025250D">
        <w:rPr>
          <w:rFonts w:hint="cs"/>
          <w:rtl/>
        </w:rPr>
        <w:t xml:space="preserve"> از اولین گونه‌های انسان را کشف کردند.</w:t>
      </w:r>
      <w:r w:rsidR="008D6F97" w:rsidRPr="0025250D">
        <w:rPr>
          <w:rtl/>
        </w:rPr>
        <w:t xml:space="preserve"> </w:t>
      </w:r>
      <w:r w:rsidRPr="0025250D">
        <w:rPr>
          <w:rtl/>
        </w:rPr>
        <w:t>جنوب</w:t>
      </w:r>
      <w:r w:rsidRPr="0025250D">
        <w:rPr>
          <w:rFonts w:hint="cs"/>
          <w:rtl/>
        </w:rPr>
        <w:t>ی‌</w:t>
      </w:r>
      <w:r w:rsidRPr="0025250D">
        <w:rPr>
          <w:rFonts w:hint="eastAsia"/>
          <w:rtl/>
        </w:rPr>
        <w:t>کپ</w:t>
      </w:r>
      <w:r w:rsidRPr="0025250D">
        <w:rPr>
          <w:rFonts w:hint="cs"/>
          <w:rtl/>
        </w:rPr>
        <w:t xml:space="preserve">ی، جد </w:t>
      </w:r>
      <w:r w:rsidRPr="0025250D">
        <w:rPr>
          <w:rtl/>
        </w:rPr>
        <w:t>ماقبل</w:t>
      </w:r>
      <w:r w:rsidRPr="0025250D">
        <w:rPr>
          <w:rFonts w:hint="cs"/>
          <w:rtl/>
        </w:rPr>
        <w:t xml:space="preserve"> انسانی</w:t>
      </w:r>
      <w:r w:rsidRPr="0025250D">
        <w:rPr>
          <w:vertAlign w:val="superscript"/>
          <w:rtl/>
        </w:rPr>
        <w:footnoteReference w:id="52"/>
      </w:r>
      <w:r w:rsidRPr="0025250D">
        <w:rPr>
          <w:rFonts w:hint="cs"/>
          <w:rtl/>
        </w:rPr>
        <w:t xml:space="preserve"> ما، به نظر در طول سه میلیون سال قبل اولین موجودی بوده است که از ابزار استفاده کرده است</w:t>
      </w:r>
      <w:r w:rsidR="008D6F97" w:rsidRPr="0025250D">
        <w:rPr>
          <w:rtl/>
        </w:rPr>
        <w:t xml:space="preserve">؛ </w:t>
      </w:r>
      <w:r w:rsidRPr="0025250D">
        <w:rPr>
          <w:rFonts w:hint="cs"/>
          <w:rtl/>
        </w:rPr>
        <w:t xml:space="preserve">اما وقتی هوش و </w:t>
      </w:r>
      <w:r w:rsidRPr="0025250D">
        <w:rPr>
          <w:rtl/>
        </w:rPr>
        <w:t>آینده‌نگاری</w:t>
      </w:r>
      <w:r w:rsidRPr="0025250D">
        <w:rPr>
          <w:rFonts w:hint="cs"/>
          <w:rtl/>
        </w:rPr>
        <w:t xml:space="preserve"> کافی برای بهبود این ابزارها را یافت، تقریباً در دو میلیون سال قبل، </w:t>
      </w:r>
      <w:r w:rsidRPr="0025250D">
        <w:rPr>
          <w:rFonts w:hint="cs"/>
          <w:rtl/>
        </w:rPr>
        <w:lastRenderedPageBreak/>
        <w:t xml:space="preserve">داستان انسان آغاز شد. در مکان‌هایی مانند </w:t>
      </w:r>
      <w:r w:rsidRPr="0025250D">
        <w:rPr>
          <w:rtl/>
        </w:rPr>
        <w:t>دره اولدووا</w:t>
      </w:r>
      <w:r w:rsidRPr="0025250D">
        <w:rPr>
          <w:rFonts w:hint="cs"/>
          <w:rtl/>
        </w:rPr>
        <w:t xml:space="preserve">ی در آفریقا، </w:t>
      </w:r>
      <w:r w:rsidRPr="0025250D">
        <w:rPr>
          <w:rtl/>
        </w:rPr>
        <w:t>انسان ماهر</w:t>
      </w:r>
      <w:r w:rsidRPr="0025250D">
        <w:rPr>
          <w:vertAlign w:val="superscript"/>
          <w:rtl/>
        </w:rPr>
        <w:footnoteReference w:id="53"/>
      </w:r>
      <w:r w:rsidRPr="0025250D">
        <w:rPr>
          <w:rFonts w:hint="cs"/>
          <w:rtl/>
        </w:rPr>
        <w:t xml:space="preserve"> تولید انبوه، توزیع و استفاده از ابزارهای </w:t>
      </w:r>
      <w:r w:rsidRPr="0025250D">
        <w:rPr>
          <w:rtl/>
        </w:rPr>
        <w:t>الدوا</w:t>
      </w:r>
      <w:r w:rsidRPr="0025250D">
        <w:rPr>
          <w:rFonts w:hint="cs"/>
          <w:rtl/>
        </w:rPr>
        <w:t>یی</w:t>
      </w:r>
      <w:r w:rsidRPr="0025250D">
        <w:rPr>
          <w:vertAlign w:val="superscript"/>
          <w:rtl/>
        </w:rPr>
        <w:footnoteReference w:id="54"/>
      </w:r>
      <w:r w:rsidRPr="0025250D">
        <w:rPr>
          <w:rFonts w:hint="cs"/>
          <w:rtl/>
        </w:rPr>
        <w:t xml:space="preserve"> را آموخت. ما ی</w:t>
      </w:r>
      <w:r w:rsidRPr="0025250D">
        <w:rPr>
          <w:rFonts w:hint="eastAsia"/>
          <w:rtl/>
        </w:rPr>
        <w:t>اد</w:t>
      </w:r>
      <w:r w:rsidRPr="0025250D">
        <w:rPr>
          <w:rtl/>
        </w:rPr>
        <w:t xml:space="preserve"> گرفت</w:t>
      </w:r>
      <w:r w:rsidRPr="0025250D">
        <w:rPr>
          <w:rFonts w:hint="cs"/>
          <w:rtl/>
        </w:rPr>
        <w:t>ی</w:t>
      </w:r>
      <w:r w:rsidRPr="0025250D">
        <w:rPr>
          <w:rFonts w:hint="eastAsia"/>
          <w:rtl/>
        </w:rPr>
        <w:t>م</w:t>
      </w:r>
      <w:r w:rsidRPr="0025250D">
        <w:rPr>
          <w:rFonts w:hint="cs"/>
          <w:rtl/>
        </w:rPr>
        <w:t xml:space="preserve"> که در شبکه‌ای </w:t>
      </w:r>
      <w:r w:rsidRPr="0025250D">
        <w:rPr>
          <w:rtl/>
        </w:rPr>
        <w:t>آینده‌نگاری</w:t>
      </w:r>
      <w:r w:rsidRPr="0025250D">
        <w:rPr>
          <w:rFonts w:hint="cs"/>
          <w:rtl/>
        </w:rPr>
        <w:t xml:space="preserve"> شده، در گروه‌های مشارکتی و مسلح به ابزارها، می‌توانیم از خودمان دفاع و شکار نماییم. دوما، برای چنین همکاری، از ابزارها و گروه‌هایمان به‌صورت رقابتی، برای مبارزه و شکار یکدیگر، به شکل‌هایی بسیار هوشمندانه استفاده کردیم.</w:t>
      </w:r>
    </w:p>
    <w:p w14:paraId="29107391" w14:textId="7962DA9A" w:rsidR="0020732A" w:rsidRPr="0025250D" w:rsidRDefault="0020732A" w:rsidP="0020732A">
      <w:pPr>
        <w:rPr>
          <w:rtl/>
        </w:rPr>
      </w:pPr>
      <w:r w:rsidRPr="0025250D">
        <w:rPr>
          <w:rFonts w:hint="cs"/>
          <w:rtl/>
        </w:rPr>
        <w:t xml:space="preserve">تاریخ ما </w:t>
      </w:r>
      <w:r w:rsidRPr="0025250D">
        <w:rPr>
          <w:rtl/>
        </w:rPr>
        <w:t>پس‌ازآن</w:t>
      </w:r>
      <w:r w:rsidRPr="0025250D">
        <w:rPr>
          <w:rFonts w:hint="cs"/>
          <w:rtl/>
        </w:rPr>
        <w:t xml:space="preserve"> تاریخ با پیچیدگی‌های فنی و اجتماعی فزاینده‌ای همراه بوده است. از زمان پیدایش تمدن، 10000 سال قبل، تنها 400 نسل، دنیای جالب و پیچیده‌ای را که امروز در آن زندگی می‌کنیم ایجاد کرده‌اند. هر نسل از </w:t>
      </w:r>
      <w:r w:rsidRPr="0025250D">
        <w:rPr>
          <w:rtl/>
        </w:rPr>
        <w:t>آینده‌نگاری</w:t>
      </w:r>
      <w:r w:rsidRPr="0025250D">
        <w:rPr>
          <w:rFonts w:hint="cs"/>
          <w:rtl/>
        </w:rPr>
        <w:t xml:space="preserve"> و عمل، به بهترین شکلی که توانسته استفاده کرده است. هر نسل از وضعیت موجود ناراضی بوده است. نسل ما بر شانه‌های این 400 نسل ایستاده است و ازنظر زیستی تفاوتی با آن‌ها ندارد. آنچه امروزه بسیار متفاوت است، پیچیدگی فرهنگ و ابزارهای ما و سرعت تغییرات است. تنها در چند دهه گذشته، همه ما تسریع روند‌ها را احساس کرده و دیده‌ایم. در گذشته تغییری </w:t>
      </w:r>
      <w:r w:rsidRPr="0025250D">
        <w:rPr>
          <w:rtl/>
        </w:rPr>
        <w:t>معنادار</w:t>
      </w:r>
      <w:r w:rsidRPr="0025250D">
        <w:rPr>
          <w:rFonts w:hint="cs"/>
          <w:rtl/>
        </w:rPr>
        <w:t xml:space="preserve"> برای انسان به‌اندازه یک طول عمر به طول می‌انجامید. اکنون شاهد وقوع تغییرات مفید و متحول کننده دیجیتالی در هر ماه هستیم.</w:t>
      </w:r>
    </w:p>
    <w:p w14:paraId="772E3C57" w14:textId="65D24880" w:rsidR="0020732A" w:rsidRPr="0025250D" w:rsidRDefault="0020732A" w:rsidP="0020732A">
      <w:pPr>
        <w:rPr>
          <w:rtl/>
        </w:rPr>
      </w:pPr>
      <w:r w:rsidRPr="0025250D">
        <w:rPr>
          <w:rFonts w:hint="cs"/>
          <w:rtl/>
        </w:rPr>
        <w:t>موهبت بزرگ دوم ما توانایی خاص ما برای ایجاد علم و فنّاوری است. تقارن دوسویه</w:t>
      </w:r>
      <w:r w:rsidRPr="0025250D">
        <w:rPr>
          <w:vertAlign w:val="superscript"/>
          <w:rtl/>
        </w:rPr>
        <w:footnoteReference w:id="55"/>
      </w:r>
      <w:r w:rsidRPr="0025250D">
        <w:rPr>
          <w:rFonts w:hint="cs"/>
          <w:rtl/>
        </w:rPr>
        <w:t xml:space="preserve">، دست و پای گیرنده ما، شست مخالف و ظرفیت‌های صوتی ما به ما امکان داده‌اند که دائماً محیط زندگی خود و حتی ماهیت خودمان را برای تناسب با نیازهایمان تغییر دهیم. پس از اولین پیدایش گونه انسان، ما همواره از </w:t>
      </w:r>
      <w:r w:rsidRPr="0025250D">
        <w:rPr>
          <w:rtl/>
        </w:rPr>
        <w:t>آینده‌نگاری</w:t>
      </w:r>
      <w:r w:rsidRPr="0025250D">
        <w:rPr>
          <w:rFonts w:hint="cs"/>
          <w:rtl/>
        </w:rPr>
        <w:t>، فنّاوری و سپس علم و همکاری برای پیچیده‌تر، توانمند‌تر و سریع‌تر شدن نسبت به ویژگی‌های زیستی خود استفاده کرده‌ایم. به نقل از آینده‌پژوه</w:t>
      </w:r>
      <w:r w:rsidRPr="0025250D">
        <w:rPr>
          <w:vertAlign w:val="superscript"/>
          <w:rtl/>
        </w:rPr>
        <w:footnoteReference w:id="56"/>
      </w:r>
      <w:r w:rsidRPr="0025250D">
        <w:rPr>
          <w:rFonts w:hint="cs"/>
          <w:rtl/>
        </w:rPr>
        <w:t xml:space="preserve"> معروف </w:t>
      </w:r>
      <w:r w:rsidRPr="0025250D">
        <w:rPr>
          <w:rtl/>
        </w:rPr>
        <w:t>باکم</w:t>
      </w:r>
      <w:r w:rsidRPr="0025250D">
        <w:rPr>
          <w:rFonts w:hint="cs"/>
          <w:rtl/>
        </w:rPr>
        <w:t>ی</w:t>
      </w:r>
      <w:r w:rsidRPr="0025250D">
        <w:rPr>
          <w:rFonts w:hint="eastAsia"/>
          <w:rtl/>
        </w:rPr>
        <w:t>نستر</w:t>
      </w:r>
      <w:r w:rsidRPr="0025250D">
        <w:rPr>
          <w:rtl/>
        </w:rPr>
        <w:t xml:space="preserve"> فولر</w:t>
      </w:r>
      <w:r w:rsidRPr="0025250D">
        <w:rPr>
          <w:vertAlign w:val="superscript"/>
          <w:rtl/>
        </w:rPr>
        <w:footnoteReference w:id="57"/>
      </w:r>
      <w:r w:rsidRPr="0025250D">
        <w:rPr>
          <w:rFonts w:hint="cs"/>
          <w:rtl/>
        </w:rPr>
        <w:t>، انسان‌ها صرفاً اسم</w:t>
      </w:r>
      <w:r w:rsidRPr="0025250D">
        <w:rPr>
          <w:vertAlign w:val="superscript"/>
          <w:rtl/>
        </w:rPr>
        <w:footnoteReference w:id="58"/>
      </w:r>
      <w:r w:rsidRPr="0025250D">
        <w:rPr>
          <w:rFonts w:hint="cs"/>
          <w:rtl/>
        </w:rPr>
        <w:t xml:space="preserve"> نیستند. ما افعال</w:t>
      </w:r>
      <w:r w:rsidRPr="0025250D">
        <w:rPr>
          <w:vertAlign w:val="superscript"/>
          <w:rtl/>
        </w:rPr>
        <w:footnoteReference w:id="59"/>
      </w:r>
      <w:r w:rsidR="008D6F97" w:rsidRPr="0025250D">
        <w:rPr>
          <w:rtl/>
        </w:rPr>
        <w:t xml:space="preserve"> هست</w:t>
      </w:r>
      <w:r w:rsidR="008D6F97" w:rsidRPr="0025250D">
        <w:rPr>
          <w:rFonts w:hint="cs"/>
          <w:rtl/>
        </w:rPr>
        <w:t>ی</w:t>
      </w:r>
      <w:r w:rsidR="008D6F97" w:rsidRPr="0025250D">
        <w:rPr>
          <w:rFonts w:hint="eastAsia"/>
          <w:rtl/>
        </w:rPr>
        <w:t>م</w:t>
      </w:r>
      <w:r w:rsidRPr="0025250D">
        <w:rPr>
          <w:rFonts w:hint="cs"/>
          <w:rtl/>
        </w:rPr>
        <w:t>. ما همواره در حال تغییر هستیم و به چیز‌های دیگری تبدیل می‌شویم.</w:t>
      </w:r>
    </w:p>
    <w:p w14:paraId="43CDDE6D" w14:textId="44E6375D" w:rsidR="0020732A" w:rsidRPr="0025250D" w:rsidRDefault="0020732A" w:rsidP="0020732A">
      <w:pPr>
        <w:rPr>
          <w:rtl/>
        </w:rPr>
      </w:pPr>
      <w:r w:rsidRPr="0025250D">
        <w:rPr>
          <w:rFonts w:hint="cs"/>
          <w:rtl/>
        </w:rPr>
        <w:t xml:space="preserve">آخرین موهبت بشریت ظرفیت ویژه </w:t>
      </w:r>
      <w:r w:rsidR="00621BB0" w:rsidRPr="0025250D">
        <w:rPr>
          <w:rFonts w:hint="cs"/>
          <w:rtl/>
        </w:rPr>
        <w:t>او</w:t>
      </w:r>
      <w:r w:rsidRPr="0025250D">
        <w:rPr>
          <w:rFonts w:hint="cs"/>
          <w:rtl/>
        </w:rPr>
        <w:t xml:space="preserve"> برای آداب معاشرت و </w:t>
      </w:r>
      <w:r w:rsidR="00202882" w:rsidRPr="0025250D">
        <w:rPr>
          <w:rFonts w:hint="cs"/>
          <w:rtl/>
        </w:rPr>
        <w:t>همدلی</w:t>
      </w:r>
      <w:r w:rsidRPr="0025250D">
        <w:rPr>
          <w:rFonts w:hint="cs"/>
          <w:rtl/>
        </w:rPr>
        <w:t xml:space="preserve"> نسبت به </w:t>
      </w:r>
      <w:r w:rsidR="00621BB0" w:rsidRPr="0025250D">
        <w:rPr>
          <w:rFonts w:hint="cs"/>
          <w:rtl/>
        </w:rPr>
        <w:t>دیگران</w:t>
      </w:r>
      <w:r w:rsidRPr="0025250D">
        <w:rPr>
          <w:rFonts w:hint="cs"/>
          <w:rtl/>
        </w:rPr>
        <w:t xml:space="preserve"> و همه حیات هوشمند است. در طول تاریخمان، شاید به دلیل ظرفیت ویژه‌مان برای </w:t>
      </w:r>
      <w:r w:rsidRPr="0025250D">
        <w:rPr>
          <w:rtl/>
        </w:rPr>
        <w:t>آینده‌نگاری</w:t>
      </w:r>
      <w:r w:rsidRPr="0025250D">
        <w:rPr>
          <w:rFonts w:hint="cs"/>
          <w:rtl/>
        </w:rPr>
        <w:t>، انگیزه تمام موفق‌ترین گروه‌های ما مشارکت و همکاری و تنها در درجه دوم رقابت با هم بوده است. این سلسله‌مراتب اولویت‌ها در شبکه‌های انسانی، ابتدا مراقبت از دیگران، در رأس آن‌ها خویشاوندان و دوستانمان (همکاری) و دوم ایجاد قوانین مشارکتی برای پیروزی و ایفای نقش منحصربه‌فرد (رقابت)، هم‌رقابتی</w:t>
      </w:r>
      <w:r w:rsidRPr="0025250D">
        <w:rPr>
          <w:vertAlign w:val="superscript"/>
          <w:rtl/>
        </w:rPr>
        <w:footnoteReference w:id="60"/>
      </w:r>
      <w:r w:rsidRPr="0025250D">
        <w:rPr>
          <w:rFonts w:hint="cs"/>
          <w:rtl/>
        </w:rPr>
        <w:t xml:space="preserve"> نامیده می‌شود. هم‌رقابتی </w:t>
      </w:r>
      <w:r w:rsidR="008D6F97" w:rsidRPr="0025250D">
        <w:rPr>
          <w:rtl/>
        </w:rPr>
        <w:t>«</w:t>
      </w:r>
      <w:r w:rsidRPr="0025250D">
        <w:rPr>
          <w:rtl/>
        </w:rPr>
        <w:t>باز</w:t>
      </w:r>
      <w:r w:rsidRPr="0025250D">
        <w:rPr>
          <w:rFonts w:hint="cs"/>
          <w:rtl/>
        </w:rPr>
        <w:t>ی</w:t>
      </w:r>
      <w:r w:rsidRPr="0025250D">
        <w:rPr>
          <w:rtl/>
        </w:rPr>
        <w:t xml:space="preserve"> بی‌نهایت</w:t>
      </w:r>
      <w:r w:rsidR="008D6F97" w:rsidRPr="0025250D">
        <w:rPr>
          <w:rtl/>
        </w:rPr>
        <w:t>»</w:t>
      </w:r>
      <w:r w:rsidRPr="0025250D">
        <w:rPr>
          <w:rFonts w:hint="cs"/>
          <w:rtl/>
        </w:rPr>
        <w:t xml:space="preserve"> است که تقریباً همه ما باید در آن شرکت کنیم. ما آموخته‌ایم که هم‌رقابتی ما را به مطمئن‌ترین شکل، به آینده‌های بهتر می‌رساند.</w:t>
      </w:r>
    </w:p>
    <w:p w14:paraId="4BDAC926" w14:textId="033676CE" w:rsidR="0020732A" w:rsidRPr="0025250D" w:rsidRDefault="0020732A" w:rsidP="0020732A">
      <w:pPr>
        <w:rPr>
          <w:rtl/>
        </w:rPr>
      </w:pPr>
      <w:r w:rsidRPr="0025250D">
        <w:rPr>
          <w:rFonts w:hint="cs"/>
          <w:rtl/>
        </w:rPr>
        <w:t xml:space="preserve">به بیان ساده‌تر آن‌طور که </w:t>
      </w:r>
      <w:r w:rsidRPr="0025250D">
        <w:rPr>
          <w:rtl/>
        </w:rPr>
        <w:t>د</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rtl/>
        </w:rPr>
        <w:t xml:space="preserve"> گودارت</w:t>
      </w:r>
      <w:r w:rsidRPr="0025250D">
        <w:rPr>
          <w:vertAlign w:val="superscript"/>
          <w:rtl/>
        </w:rPr>
        <w:footnoteReference w:id="61"/>
      </w:r>
      <w:r w:rsidRPr="0025250D">
        <w:rPr>
          <w:rFonts w:hint="cs"/>
          <w:rtl/>
        </w:rPr>
        <w:t xml:space="preserve"> در کتاب دوست‌داشتنی خود در مورد کنشگرایی اجتماعی</w:t>
      </w:r>
      <w:r w:rsidRPr="0025250D">
        <w:rPr>
          <w:vertAlign w:val="superscript"/>
          <w:rtl/>
        </w:rPr>
        <w:footnoteReference w:id="62"/>
      </w:r>
      <w:r w:rsidRPr="0025250D">
        <w:rPr>
          <w:rFonts w:hint="cs"/>
          <w:rtl/>
        </w:rPr>
        <w:t xml:space="preserve"> به نام سر</w:t>
      </w:r>
      <w:r w:rsidR="00127C91" w:rsidRPr="0025250D">
        <w:rPr>
          <w:rFonts w:hint="cs"/>
          <w:rtl/>
        </w:rPr>
        <w:t>،</w:t>
      </w:r>
      <w:r w:rsidRPr="0025250D">
        <w:rPr>
          <w:rFonts w:hint="cs"/>
          <w:rtl/>
        </w:rPr>
        <w:t xml:space="preserve"> دست</w:t>
      </w:r>
      <w:r w:rsidR="00127C91" w:rsidRPr="0025250D">
        <w:rPr>
          <w:rFonts w:hint="cs"/>
          <w:rtl/>
        </w:rPr>
        <w:t>،</w:t>
      </w:r>
      <w:r w:rsidRPr="0025250D">
        <w:rPr>
          <w:rFonts w:hint="cs"/>
          <w:rtl/>
        </w:rPr>
        <w:t xml:space="preserve"> قلب</w:t>
      </w:r>
      <w:r w:rsidRPr="0025250D">
        <w:rPr>
          <w:vertAlign w:val="superscript"/>
          <w:rtl/>
        </w:rPr>
        <w:footnoteReference w:id="63"/>
      </w:r>
      <w:r w:rsidR="00621BB0" w:rsidRPr="0025250D">
        <w:rPr>
          <w:rFonts w:hint="cs"/>
          <w:rtl/>
        </w:rPr>
        <w:t xml:space="preserve"> در سال</w:t>
      </w:r>
      <w:r w:rsidRPr="0025250D">
        <w:rPr>
          <w:rFonts w:hint="cs"/>
          <w:rtl/>
        </w:rPr>
        <w:t xml:space="preserve"> 2020، بیان می‌کند، سر (</w:t>
      </w:r>
      <w:r w:rsidRPr="0025250D">
        <w:rPr>
          <w:rtl/>
        </w:rPr>
        <w:t>آینده‌نگاری</w:t>
      </w:r>
      <w:r w:rsidRPr="0025250D">
        <w:rPr>
          <w:rFonts w:hint="cs"/>
          <w:rtl/>
        </w:rPr>
        <w:t>)، دست (توانایی) و قلب (</w:t>
      </w:r>
      <w:r w:rsidRPr="0025250D">
        <w:rPr>
          <w:rtl/>
        </w:rPr>
        <w:t>اخلاق و رفتار خوب اجتماع</w:t>
      </w:r>
      <w:r w:rsidRPr="0025250D">
        <w:rPr>
          <w:rFonts w:hint="cs"/>
          <w:rtl/>
        </w:rPr>
        <w:t>ی</w:t>
      </w:r>
      <w:r w:rsidRPr="0025250D">
        <w:rPr>
          <w:vertAlign w:val="superscript"/>
          <w:rtl/>
        </w:rPr>
        <w:footnoteReference w:id="64"/>
      </w:r>
      <w:r w:rsidRPr="0025250D">
        <w:rPr>
          <w:rFonts w:hint="cs"/>
          <w:rtl/>
        </w:rPr>
        <w:t>) هر یک موهبت‌های اساسی انسانی ما هستند. آن‌ها استعداد‌های ذاتی شبکه‌های انسانی هستند. باید قدر هر سه مورد را دانست و آن‌ها را در جوامع کامیاب و مترقی توسعه داد.</w:t>
      </w:r>
    </w:p>
    <w:p w14:paraId="23639092" w14:textId="2FCCA754" w:rsidR="0020732A" w:rsidRPr="0025250D" w:rsidRDefault="0020732A" w:rsidP="0020732A">
      <w:pPr>
        <w:rPr>
          <w:rtl/>
        </w:rPr>
      </w:pPr>
      <w:r w:rsidRPr="0025250D">
        <w:rPr>
          <w:rFonts w:hint="cs"/>
          <w:rtl/>
        </w:rPr>
        <w:t xml:space="preserve">ما باور داریم که ذات انسانی ما منحصر به ما نیست، بلکه </w:t>
      </w:r>
      <w:r w:rsidR="00621BB0" w:rsidRPr="0025250D">
        <w:rPr>
          <w:rFonts w:hint="cs"/>
          <w:rtl/>
        </w:rPr>
        <w:t>فراگیر</w:t>
      </w:r>
      <w:r w:rsidRPr="0025250D">
        <w:rPr>
          <w:rFonts w:hint="cs"/>
          <w:rtl/>
        </w:rPr>
        <w:t xml:space="preserve"> است. اخترزیست‌شناسان</w:t>
      </w:r>
      <w:r w:rsidRPr="0025250D">
        <w:rPr>
          <w:vertAlign w:val="superscript"/>
          <w:rtl/>
        </w:rPr>
        <w:footnoteReference w:id="65"/>
      </w:r>
      <w:r w:rsidRPr="0025250D">
        <w:rPr>
          <w:rFonts w:hint="cs"/>
          <w:rtl/>
        </w:rPr>
        <w:t xml:space="preserve"> می‌گویند که میلیارد‌ها سیاره‌</w:t>
      </w:r>
      <w:r w:rsidR="00621BB0" w:rsidRPr="0025250D">
        <w:rPr>
          <w:rFonts w:hint="cs"/>
          <w:rtl/>
        </w:rPr>
        <w:t xml:space="preserve"> </w:t>
      </w:r>
      <w:r w:rsidRPr="0025250D">
        <w:rPr>
          <w:rFonts w:hint="cs"/>
          <w:rtl/>
        </w:rPr>
        <w:t>مانند زمین می‌توانند در جهان ما وجود داشته باشند و احتمالاً میلیون‌ها تمدن پیشرفته هوشمند دیگر تنها در کهکشان خودمان وجود دارند. در کتاب 2</w:t>
      </w:r>
      <w:r w:rsidRPr="0025250D">
        <w:rPr>
          <w:vertAlign w:val="superscript"/>
          <w:rtl/>
        </w:rPr>
        <w:footnoteReference w:id="66"/>
      </w:r>
      <w:r w:rsidRPr="0025250D">
        <w:rPr>
          <w:rFonts w:hint="cs"/>
          <w:rtl/>
        </w:rPr>
        <w:t xml:space="preserve">، پیشنهادی احتمالی برای </w:t>
      </w:r>
      <w:r w:rsidRPr="0025250D">
        <w:rPr>
          <w:rtl/>
        </w:rPr>
        <w:t>ا</w:t>
      </w:r>
      <w:r w:rsidRPr="0025250D">
        <w:rPr>
          <w:rFonts w:hint="cs"/>
          <w:rtl/>
        </w:rPr>
        <w:t>ی</w:t>
      </w:r>
      <w:r w:rsidRPr="0025250D">
        <w:rPr>
          <w:rFonts w:hint="eastAsia"/>
          <w:rtl/>
        </w:rPr>
        <w:t>ن‌که</w:t>
      </w:r>
      <w:r w:rsidRPr="0025250D">
        <w:rPr>
          <w:rFonts w:hint="cs"/>
          <w:rtl/>
        </w:rPr>
        <w:t xml:space="preserve"> چرا هنوز از هیچ‌یک از این تمدن‌ها چیزی نشنیده‌ایم، ارائه خواهیم داد. ما بیان خواهیم کرد که سریع‌ترین و پیچیده‌ترین شبکه‌های ما، در هر سطح از پیچیدگی</w:t>
      </w:r>
      <w:r w:rsidR="00621BB0" w:rsidRPr="0025250D">
        <w:rPr>
          <w:rFonts w:hint="cs"/>
          <w:rtl/>
        </w:rPr>
        <w:t>ِ</w:t>
      </w:r>
      <w:r w:rsidRPr="0025250D">
        <w:rPr>
          <w:rFonts w:hint="cs"/>
          <w:rtl/>
        </w:rPr>
        <w:t xml:space="preserve"> پدیدار شونده، </w:t>
      </w:r>
      <w:r w:rsidR="00621BB0" w:rsidRPr="0025250D">
        <w:rPr>
          <w:rFonts w:hint="cs"/>
          <w:rtl/>
        </w:rPr>
        <w:t>توسط</w:t>
      </w:r>
      <w:r w:rsidRPr="0025250D">
        <w:rPr>
          <w:rFonts w:hint="cs"/>
          <w:rtl/>
        </w:rPr>
        <w:t xml:space="preserve"> قوانین فیزیک برای توسعه در نواحی محلی (متراکم و مینیاتوری) فزاینده از فضا، </w:t>
      </w:r>
      <w:r w:rsidRPr="0025250D">
        <w:rPr>
          <w:rFonts w:hint="cs"/>
          <w:rtl/>
        </w:rPr>
        <w:lastRenderedPageBreak/>
        <w:t xml:space="preserve">زمان، انرژی و ماده محدود هستند. ما در آنچه فرضیه </w:t>
      </w:r>
      <w:r w:rsidR="009653C5" w:rsidRPr="0025250D">
        <w:rPr>
          <w:rFonts w:hint="cs"/>
          <w:rtl/>
        </w:rPr>
        <w:t>استیلا</w:t>
      </w:r>
      <w:r w:rsidR="000B3C5C" w:rsidRPr="0025250D">
        <w:rPr>
          <w:rStyle w:val="FootnoteReference"/>
          <w:rtl/>
        </w:rPr>
        <w:footnoteReference w:id="67"/>
      </w:r>
      <w:r w:rsidRPr="0025250D">
        <w:rPr>
          <w:rFonts w:hint="cs"/>
          <w:rtl/>
        </w:rPr>
        <w:t xml:space="preserve"> می‌نامیم، بیان می‌کنیم که همه تمدن‌ها در همه‌جا، ممکن است با رشد خود، محدود به حرکت و ورود به فضای درونی باشند، نه فضای بیرونی. این نظریه همچنین فرض می‌کند که دامنه‌های سیاهچاله‌ای شکل که ممکن است توسط تمدن‌های انسانی در آینده دور ساخته شده باشند، می‌توانند مقصدی توسعه‌ای برای هوش پیشرفته باشند؛ اگر به ما اجازه دهند که در لحظه با همه تمدن‌های پیشرفته مشابه دیگر ارتباط برقرار کنیم. باید منتظر باشیم و ببینیم.</w:t>
      </w:r>
    </w:p>
    <w:p w14:paraId="3DADFBBE" w14:textId="380FD03A" w:rsidR="0020732A" w:rsidRPr="0025250D" w:rsidRDefault="0020732A" w:rsidP="0020732A">
      <w:pPr>
        <w:rPr>
          <w:rtl/>
        </w:rPr>
      </w:pPr>
      <w:r w:rsidRPr="0025250D">
        <w:rPr>
          <w:rFonts w:hint="cs"/>
          <w:rtl/>
        </w:rPr>
        <w:t xml:space="preserve">از میان این سه موهبت، </w:t>
      </w:r>
      <w:r w:rsidRPr="0025250D">
        <w:rPr>
          <w:rtl/>
        </w:rPr>
        <w:t>آینده‌نگاری</w:t>
      </w:r>
      <w:r w:rsidRPr="0025250D">
        <w:rPr>
          <w:rFonts w:hint="cs"/>
          <w:rtl/>
        </w:rPr>
        <w:t>، فنّاوری و علم و هم</w:t>
      </w:r>
      <w:r w:rsidR="00A936B3" w:rsidRPr="0025250D">
        <w:rPr>
          <w:rFonts w:hint="cs"/>
          <w:rtl/>
        </w:rPr>
        <w:t>دلی</w:t>
      </w:r>
      <w:r w:rsidRPr="0025250D">
        <w:rPr>
          <w:rFonts w:hint="cs"/>
          <w:rtl/>
        </w:rPr>
        <w:t xml:space="preserve"> و آداب معاشرت، </w:t>
      </w:r>
      <w:r w:rsidRPr="0025250D">
        <w:rPr>
          <w:rtl/>
        </w:rPr>
        <w:t>آینده‌نگاری</w:t>
      </w:r>
      <w:r w:rsidRPr="0025250D">
        <w:rPr>
          <w:rFonts w:hint="cs"/>
          <w:rtl/>
        </w:rPr>
        <w:t xml:space="preserve"> می‌تواند اساسی‌ترین مورد باشد. فرایند‌های </w:t>
      </w:r>
      <w:r w:rsidRPr="0025250D">
        <w:rPr>
          <w:rtl/>
        </w:rPr>
        <w:t>آینده‌نگاری</w:t>
      </w:r>
      <w:r w:rsidRPr="0025250D">
        <w:rPr>
          <w:rFonts w:hint="cs"/>
          <w:rtl/>
        </w:rPr>
        <w:t xml:space="preserve"> مختلف در سطوح </w:t>
      </w:r>
      <w:r w:rsidR="00A936B3" w:rsidRPr="0025250D">
        <w:rPr>
          <w:rFonts w:hint="cs"/>
          <w:rtl/>
        </w:rPr>
        <w:t>متفاوت</w:t>
      </w:r>
      <w:r w:rsidRPr="0025250D">
        <w:rPr>
          <w:rFonts w:hint="cs"/>
          <w:rtl/>
        </w:rPr>
        <w:t xml:space="preserve"> </w:t>
      </w:r>
      <w:r w:rsidRPr="0025250D">
        <w:rPr>
          <w:rFonts w:cs="Times New Roman" w:hint="cs"/>
          <w:rtl/>
        </w:rPr>
        <w:t>–</w:t>
      </w:r>
      <w:r w:rsidRPr="0025250D">
        <w:rPr>
          <w:rFonts w:hint="cs"/>
          <w:rtl/>
        </w:rPr>
        <w:t xml:space="preserve"> از ژن‌ها و سلول‌های ما گرفته تا مرحله والاتر ذهنی و اکنون فنّاوری‌های یادگیری </w:t>
      </w:r>
      <w:r w:rsidRPr="0025250D">
        <w:rPr>
          <w:rFonts w:cs="Times New Roman" w:hint="cs"/>
          <w:rtl/>
        </w:rPr>
        <w:t>–</w:t>
      </w:r>
      <w:r w:rsidRPr="0025250D">
        <w:rPr>
          <w:rFonts w:hint="cs"/>
          <w:rtl/>
        </w:rPr>
        <w:t xml:space="preserve"> مهم‌ترین صفات </w:t>
      </w:r>
      <w:r w:rsidRPr="0025250D">
        <w:rPr>
          <w:rtl/>
        </w:rPr>
        <w:t>تعر</w:t>
      </w:r>
      <w:r w:rsidRPr="0025250D">
        <w:rPr>
          <w:rFonts w:hint="cs"/>
          <w:rtl/>
        </w:rPr>
        <w:t>ی</w:t>
      </w:r>
      <w:r w:rsidRPr="0025250D">
        <w:rPr>
          <w:rFonts w:hint="eastAsia"/>
          <w:rtl/>
        </w:rPr>
        <w:t>ف‌کننده</w:t>
      </w:r>
      <w:r w:rsidRPr="0025250D">
        <w:rPr>
          <w:rFonts w:hint="cs"/>
          <w:rtl/>
        </w:rPr>
        <w:t xml:space="preserve"> گونه ما هستند. دانشمند علم اعصاب </w:t>
      </w:r>
      <w:r w:rsidRPr="0025250D">
        <w:rPr>
          <w:rtl/>
        </w:rPr>
        <w:t>دان</w:t>
      </w:r>
      <w:r w:rsidRPr="0025250D">
        <w:rPr>
          <w:rFonts w:hint="cs"/>
          <w:rtl/>
        </w:rPr>
        <w:t>ی</w:t>
      </w:r>
      <w:r w:rsidRPr="0025250D">
        <w:rPr>
          <w:rFonts w:hint="eastAsia"/>
          <w:rtl/>
        </w:rPr>
        <w:t>ل</w:t>
      </w:r>
      <w:r w:rsidRPr="0025250D">
        <w:rPr>
          <w:rtl/>
        </w:rPr>
        <w:t xml:space="preserve"> شاتر</w:t>
      </w:r>
      <w:r w:rsidRPr="0025250D">
        <w:rPr>
          <w:vertAlign w:val="superscript"/>
          <w:rtl/>
        </w:rPr>
        <w:footnoteReference w:id="68"/>
      </w:r>
      <w:r w:rsidRPr="0025250D">
        <w:rPr>
          <w:rFonts w:hint="cs"/>
          <w:rtl/>
        </w:rPr>
        <w:t xml:space="preserve"> این مورد را در مفهوم خود از مغز آینده‌نگر</w:t>
      </w:r>
      <w:r w:rsidRPr="0025250D">
        <w:rPr>
          <w:vertAlign w:val="superscript"/>
          <w:rtl/>
        </w:rPr>
        <w:footnoteReference w:id="69"/>
      </w:r>
      <w:r w:rsidRPr="0025250D">
        <w:rPr>
          <w:rFonts w:hint="cs"/>
          <w:rtl/>
        </w:rPr>
        <w:t xml:space="preserve"> توصیف می‌کند. همه حیوانات در سطوح مختلف، سامانه‌هایی برای پیش‌بینی و تصور آینده دارند، اما انسان‌ها این کار را با پیچیدگی و سودمندی بیشتری انجام می‌دهند که بسیار فراتر از دیگر گونه‌هاست. روانشناس </w:t>
      </w:r>
      <w:r w:rsidRPr="0025250D">
        <w:rPr>
          <w:rtl/>
        </w:rPr>
        <w:t>مارت</w:t>
      </w:r>
      <w:r w:rsidRPr="0025250D">
        <w:rPr>
          <w:rFonts w:hint="cs"/>
          <w:rtl/>
        </w:rPr>
        <w:t>ی</w:t>
      </w:r>
      <w:r w:rsidRPr="0025250D">
        <w:rPr>
          <w:rFonts w:hint="eastAsia"/>
          <w:rtl/>
        </w:rPr>
        <w:t>ن</w:t>
      </w:r>
      <w:r w:rsidRPr="0025250D">
        <w:rPr>
          <w:rtl/>
        </w:rPr>
        <w:t xml:space="preserve"> سل</w:t>
      </w:r>
      <w:r w:rsidRPr="0025250D">
        <w:rPr>
          <w:rFonts w:hint="cs"/>
          <w:rtl/>
        </w:rPr>
        <w:t>ی</w:t>
      </w:r>
      <w:r w:rsidRPr="0025250D">
        <w:rPr>
          <w:rFonts w:hint="eastAsia"/>
          <w:rtl/>
        </w:rPr>
        <w:t>گمن</w:t>
      </w:r>
      <w:r w:rsidRPr="0025250D">
        <w:rPr>
          <w:vertAlign w:val="superscript"/>
          <w:rtl/>
        </w:rPr>
        <w:footnoteReference w:id="70"/>
      </w:r>
      <w:r w:rsidRPr="0025250D">
        <w:rPr>
          <w:rFonts w:hint="cs"/>
          <w:rtl/>
        </w:rPr>
        <w:t xml:space="preserve"> در کتاب</w:t>
      </w:r>
      <w:r w:rsidR="008D6F97" w:rsidRPr="0025250D">
        <w:rPr>
          <w:rtl/>
        </w:rPr>
        <w:t xml:space="preserve"> «</w:t>
      </w:r>
      <w:r w:rsidRPr="0025250D">
        <w:rPr>
          <w:rFonts w:hint="cs"/>
          <w:rtl/>
        </w:rPr>
        <w:t>انسان آینده‌نگر</w:t>
      </w:r>
      <w:r w:rsidRPr="0025250D">
        <w:rPr>
          <w:vertAlign w:val="superscript"/>
          <w:rtl/>
        </w:rPr>
        <w:footnoteReference w:id="71"/>
      </w:r>
      <w:r w:rsidR="008D6F97" w:rsidRPr="0025250D">
        <w:rPr>
          <w:rtl/>
        </w:rPr>
        <w:t>»</w:t>
      </w:r>
      <w:r w:rsidRPr="0025250D">
        <w:rPr>
          <w:rFonts w:hint="cs"/>
          <w:rtl/>
        </w:rPr>
        <w:t xml:space="preserve"> در سال 2016، می‌گوید: </w:t>
      </w:r>
      <w:r w:rsidR="008D6F97" w:rsidRPr="0025250D">
        <w:rPr>
          <w:rtl/>
        </w:rPr>
        <w:t>«</w:t>
      </w:r>
      <w:r w:rsidRPr="0025250D">
        <w:rPr>
          <w:rFonts w:hint="cs"/>
          <w:rtl/>
        </w:rPr>
        <w:t>گونه ما اشتباه نام‌گذاری شده است. درحالی‌که نام خردمند</w:t>
      </w:r>
      <w:r w:rsidRPr="0025250D">
        <w:rPr>
          <w:vertAlign w:val="superscript"/>
          <w:rtl/>
        </w:rPr>
        <w:footnoteReference w:id="72"/>
      </w:r>
      <w:r w:rsidRPr="0025250D">
        <w:rPr>
          <w:rFonts w:hint="cs"/>
          <w:rtl/>
        </w:rPr>
        <w:t xml:space="preserve"> ما را موجوداتی هوشمند توصیف می‌کند، آنچه انسان‌ها به‌خوبی انجام می‌دهند آینده‌نگری</w:t>
      </w:r>
      <w:r w:rsidR="00A936B3" w:rsidRPr="0025250D">
        <w:rPr>
          <w:rStyle w:val="FootnoteReference"/>
          <w:rtl/>
        </w:rPr>
        <w:footnoteReference w:id="73"/>
      </w:r>
      <w:r w:rsidRPr="0025250D">
        <w:rPr>
          <w:rFonts w:hint="cs"/>
          <w:rtl/>
        </w:rPr>
        <w:t xml:space="preserve"> است. ما انسان آینده‌نگر هستیم</w:t>
      </w:r>
      <w:r w:rsidR="008D6F97" w:rsidRPr="0025250D">
        <w:rPr>
          <w:rtl/>
        </w:rPr>
        <w:t>»</w:t>
      </w:r>
      <w:r w:rsidRPr="0025250D">
        <w:rPr>
          <w:rFonts w:hint="cs"/>
          <w:rtl/>
        </w:rPr>
        <w:t xml:space="preserve">. این کتاب روانشناسی و علم اعصاب جدیدی از </w:t>
      </w:r>
      <w:r w:rsidRPr="0025250D">
        <w:rPr>
          <w:rtl/>
        </w:rPr>
        <w:t>آینده‌نگاری</w:t>
      </w:r>
      <w:r w:rsidRPr="0025250D">
        <w:rPr>
          <w:rFonts w:hint="cs"/>
          <w:rtl/>
        </w:rPr>
        <w:t xml:space="preserve"> را بررسی می‌کند. ما در حال یادگیری تحلیل هیجانات</w:t>
      </w:r>
      <w:r w:rsidRPr="0025250D">
        <w:rPr>
          <w:vertAlign w:val="superscript"/>
          <w:rtl/>
        </w:rPr>
        <w:footnoteReference w:id="74"/>
      </w:r>
      <w:r w:rsidRPr="0025250D">
        <w:rPr>
          <w:rFonts w:hint="cs"/>
          <w:rtl/>
        </w:rPr>
        <w:t xml:space="preserve">، شهود، اندیشه، خلاقیت و تصور به‌عنوان فرایند‌های </w:t>
      </w:r>
      <w:r w:rsidRPr="0025250D">
        <w:rPr>
          <w:rtl/>
        </w:rPr>
        <w:t>آینده‌نگاری</w:t>
      </w:r>
      <w:r w:rsidRPr="0025250D">
        <w:rPr>
          <w:rFonts w:hint="cs"/>
          <w:rtl/>
        </w:rPr>
        <w:t xml:space="preserve"> هستیم. توانایی‌های ما برای پیش‌بینی، خلق، همکاری و رقابت به‌عنوان اعضای شبکه‌هایی پیچیده، همگی برای </w:t>
      </w:r>
      <w:r w:rsidR="00AE5BE0" w:rsidRPr="0025250D">
        <w:rPr>
          <w:rFonts w:hint="cs"/>
          <w:rtl/>
        </w:rPr>
        <w:t>انطباق</w:t>
      </w:r>
      <w:r w:rsidRPr="0025250D">
        <w:rPr>
          <w:rFonts w:hint="cs"/>
          <w:rtl/>
        </w:rPr>
        <w:t xml:space="preserve"> شگفت‌انگیز ما نقشی کلیدی دارند.</w:t>
      </w:r>
    </w:p>
    <w:p w14:paraId="569F8588" w14:textId="77777777" w:rsidR="0020732A" w:rsidRPr="0025250D" w:rsidRDefault="0020732A" w:rsidP="00537CC8">
      <w:pPr>
        <w:jc w:val="center"/>
        <w:rPr>
          <w:rtl/>
        </w:rPr>
      </w:pPr>
      <w:r w:rsidRPr="0025250D">
        <w:rPr>
          <w:noProof/>
          <w:lang w:bidi="ar-SA"/>
        </w:rPr>
        <w:drawing>
          <wp:inline distT="0" distB="0" distL="0" distR="0" wp14:anchorId="2C907C31" wp14:editId="35EB2B38">
            <wp:extent cx="1486984" cy="223431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screen">
                      <a:extLst>
                        <a:ext uri="{BEBA8EAE-BF5A-486C-A8C5-ECC9F3942E4B}">
                          <a14:imgProps xmlns:a14="http://schemas.microsoft.com/office/drawing/2010/main">
                            <a14:imgLayer r:embed="rId11">
                              <a14:imgEffect>
                                <a14:saturation sat="0"/>
                              </a14:imgEffect>
                            </a14:imgLayer>
                          </a14:imgProps>
                        </a:ext>
                        <a:ext uri="{28A0092B-C50C-407E-A947-70E740481C1C}">
                          <a14:useLocalDpi xmlns:a14="http://schemas.microsoft.com/office/drawing/2010/main"/>
                        </a:ext>
                      </a:extLst>
                    </a:blip>
                    <a:stretch>
                      <a:fillRect/>
                    </a:stretch>
                  </pic:blipFill>
                  <pic:spPr>
                    <a:xfrm>
                      <a:off x="0" y="0"/>
                      <a:ext cx="1502146" cy="2257098"/>
                    </a:xfrm>
                    <a:prstGeom prst="rect">
                      <a:avLst/>
                    </a:prstGeom>
                  </pic:spPr>
                </pic:pic>
              </a:graphicData>
            </a:graphic>
          </wp:inline>
        </w:drawing>
      </w:r>
    </w:p>
    <w:p w14:paraId="40D2A69F" w14:textId="77777777" w:rsidR="0020732A" w:rsidRPr="0025250D" w:rsidRDefault="0020732A" w:rsidP="00537CC8">
      <w:pPr>
        <w:jc w:val="center"/>
        <w:rPr>
          <w:rtl/>
        </w:rPr>
      </w:pPr>
      <w:r w:rsidRPr="0025250D">
        <w:rPr>
          <w:rtl/>
        </w:rPr>
        <w:t>مارت</w:t>
      </w:r>
      <w:r w:rsidRPr="0025250D">
        <w:rPr>
          <w:rFonts w:hint="cs"/>
          <w:rtl/>
        </w:rPr>
        <w:t>ی</w:t>
      </w:r>
      <w:r w:rsidRPr="0025250D">
        <w:rPr>
          <w:rFonts w:hint="eastAsia"/>
          <w:rtl/>
        </w:rPr>
        <w:t>ن</w:t>
      </w:r>
      <w:r w:rsidRPr="0025250D">
        <w:rPr>
          <w:rtl/>
        </w:rPr>
        <w:t xml:space="preserve"> سل</w:t>
      </w:r>
      <w:r w:rsidRPr="0025250D">
        <w:rPr>
          <w:rFonts w:hint="cs"/>
          <w:rtl/>
        </w:rPr>
        <w:t>ی</w:t>
      </w:r>
      <w:r w:rsidRPr="0025250D">
        <w:rPr>
          <w:rFonts w:hint="eastAsia"/>
          <w:rtl/>
        </w:rPr>
        <w:t>گمن</w:t>
      </w:r>
      <w:r w:rsidRPr="0025250D">
        <w:rPr>
          <w:rFonts w:hint="cs"/>
          <w:rtl/>
        </w:rPr>
        <w:t>ر و همکاران، 2016</w:t>
      </w:r>
    </w:p>
    <w:p w14:paraId="6C4EF109" w14:textId="5B51D030" w:rsidR="0020732A" w:rsidRPr="0025250D" w:rsidRDefault="0020732A" w:rsidP="0020732A">
      <w:pPr>
        <w:rPr>
          <w:rtl/>
        </w:rPr>
      </w:pPr>
      <w:r w:rsidRPr="0025250D">
        <w:rPr>
          <w:rFonts w:hint="cs"/>
          <w:rtl/>
        </w:rPr>
        <w:t>به‌طور مشخص‌تر، علم اعصاب و زیست‌شناسی تکاملی</w:t>
      </w:r>
      <w:r w:rsidRPr="0025250D">
        <w:rPr>
          <w:vertAlign w:val="superscript"/>
          <w:rtl/>
        </w:rPr>
        <w:footnoteReference w:id="75"/>
      </w:r>
      <w:r w:rsidRPr="0025250D">
        <w:rPr>
          <w:rFonts w:hint="cs"/>
          <w:rtl/>
        </w:rPr>
        <w:t xml:space="preserve"> به ما می‌گویند که ما به‌طور پیوسته در مورد آینده تفکر می‌کنیم، زیرا توسط انتخاب طبیعی برای انجام این کار </w:t>
      </w:r>
      <w:r w:rsidR="002F3C14" w:rsidRPr="0025250D">
        <w:rPr>
          <w:rFonts w:hint="cs"/>
          <w:rtl/>
        </w:rPr>
        <w:t>انطباق</w:t>
      </w:r>
      <w:r w:rsidRPr="0025250D">
        <w:rPr>
          <w:rFonts w:hint="cs"/>
          <w:rtl/>
        </w:rPr>
        <w:t xml:space="preserve"> یافته‌ایم. در فرایندی به نام استنتاج فعال</w:t>
      </w:r>
      <w:r w:rsidRPr="0025250D">
        <w:rPr>
          <w:vertAlign w:val="superscript"/>
          <w:rtl/>
        </w:rPr>
        <w:footnoteReference w:id="76"/>
      </w:r>
      <w:r w:rsidRPr="0025250D">
        <w:rPr>
          <w:rFonts w:hint="cs"/>
          <w:rtl/>
        </w:rPr>
        <w:t>، با استفاده از احتمال بِیزی</w:t>
      </w:r>
      <w:r w:rsidRPr="0025250D">
        <w:rPr>
          <w:vertAlign w:val="superscript"/>
          <w:rtl/>
        </w:rPr>
        <w:footnoteReference w:id="77"/>
      </w:r>
      <w:r w:rsidRPr="0025250D">
        <w:rPr>
          <w:rFonts w:hint="cs"/>
          <w:rtl/>
        </w:rPr>
        <w:t xml:space="preserve"> (یک روش پیش‌بینی احتمالی که از طریق یادگیری به‌روزرسانی می‌شود)، ما به‌طور پیوسته آینده را پیش‌بینی، تصور و اولویت‌بندی می‌کنیم، </w:t>
      </w:r>
      <w:r w:rsidR="00FC2EBC" w:rsidRPr="0025250D">
        <w:rPr>
          <w:rFonts w:hint="cs"/>
          <w:rtl/>
        </w:rPr>
        <w:t>ضمن اینکه</w:t>
      </w:r>
      <w:r w:rsidRPr="0025250D">
        <w:rPr>
          <w:rFonts w:hint="cs"/>
          <w:rtl/>
        </w:rPr>
        <w:t xml:space="preserve"> تلاش می‌کنیم خطای (یا غافل‌گیری) پیش‌بینی را به حداقل برسانیم. یک مدل پیشرو از این‌که ما چگونه این کار را در زمان حال انجام می‌دهیم، مدل پردازش پیش‌بین</w:t>
      </w:r>
      <w:r w:rsidRPr="0025250D">
        <w:rPr>
          <w:vertAlign w:val="superscript"/>
          <w:rtl/>
        </w:rPr>
        <w:footnoteReference w:id="78"/>
      </w:r>
      <w:r w:rsidRPr="0025250D">
        <w:rPr>
          <w:rFonts w:hint="cs"/>
          <w:rtl/>
        </w:rPr>
        <w:t xml:space="preserve"> </w:t>
      </w:r>
      <w:r w:rsidRPr="0025250D">
        <w:rPr>
          <w:rFonts w:hint="cs"/>
          <w:rtl/>
        </w:rPr>
        <w:lastRenderedPageBreak/>
        <w:t>(</w:t>
      </w:r>
      <w:r w:rsidRPr="0025250D">
        <w:t>PP</w:t>
      </w:r>
      <w:r w:rsidRPr="0025250D">
        <w:rPr>
          <w:rFonts w:hint="cs"/>
          <w:rtl/>
        </w:rPr>
        <w:t xml:space="preserve">) نامیده می‌شود. پس از دهه‌ها حدس و گمان، علم اعصاب، علم کامپیوتر، علوم شناختی و روانشناسی تنها اکنون آغاز به درک ذهن حیوانات ازنظر سلسله‌مراتب چرخه‌های پیش‌بین (و خلاقانه) </w:t>
      </w:r>
      <w:r w:rsidRPr="0025250D">
        <w:rPr>
          <w:rtl/>
        </w:rPr>
        <w:t>آینده‌نگاری</w:t>
      </w:r>
      <w:r w:rsidRPr="0025250D">
        <w:rPr>
          <w:rFonts w:hint="cs"/>
          <w:rtl/>
        </w:rPr>
        <w:t xml:space="preserve">- عمل </w:t>
      </w:r>
      <w:r w:rsidR="00E40225" w:rsidRPr="0025250D">
        <w:rPr>
          <w:rFonts w:hint="cs"/>
          <w:rtl/>
        </w:rPr>
        <w:t xml:space="preserve">نموده‌اند و مشخص کرده‌اند که </w:t>
      </w:r>
      <w:r w:rsidRPr="0025250D">
        <w:rPr>
          <w:rFonts w:hint="cs"/>
          <w:rtl/>
        </w:rPr>
        <w:t xml:space="preserve">پیش‌بینی‌های </w:t>
      </w:r>
      <w:r w:rsidR="009D17DA" w:rsidRPr="0025250D">
        <w:rPr>
          <w:rFonts w:hint="cs"/>
          <w:rtl/>
        </w:rPr>
        <w:t>بالا‌به‌پایین</w:t>
      </w:r>
      <w:r w:rsidRPr="0025250D">
        <w:rPr>
          <w:rFonts w:hint="cs"/>
          <w:rtl/>
        </w:rPr>
        <w:t xml:space="preserve"> (توسعه‌ای) و استنتاج‌های خلاقانه ما از جریان اطلاعات پایین‌به‌بالا (تکاملی) پدیدار می‌شوند. این توازن فرایند‌های </w:t>
      </w:r>
      <w:r w:rsidR="009D17DA" w:rsidRPr="0025250D">
        <w:rPr>
          <w:rFonts w:hint="cs"/>
          <w:rtl/>
        </w:rPr>
        <w:t>بالا‌به‌پایین</w:t>
      </w:r>
      <w:r w:rsidRPr="0025250D">
        <w:rPr>
          <w:rFonts w:hint="cs"/>
          <w:rtl/>
        </w:rPr>
        <w:t xml:space="preserve"> و پایین‌به‌بالا یک ویژگی کلیدی سامانه‌های </w:t>
      </w:r>
      <w:r w:rsidRPr="0025250D">
        <w:rPr>
          <w:rtl/>
        </w:rPr>
        <w:t xml:space="preserve">تکاملی-توسعه‌ای </w:t>
      </w:r>
      <w:r w:rsidRPr="0025250D">
        <w:rPr>
          <w:rFonts w:hint="cs"/>
          <w:rtl/>
        </w:rPr>
        <w:t xml:space="preserve">می‌باشد. کتاب </w:t>
      </w:r>
      <w:r w:rsidR="008D6F97" w:rsidRPr="0025250D">
        <w:rPr>
          <w:rtl/>
        </w:rPr>
        <w:t>«</w:t>
      </w:r>
      <w:r w:rsidRPr="0025250D">
        <w:rPr>
          <w:rFonts w:hint="cs"/>
          <w:rtl/>
        </w:rPr>
        <w:t xml:space="preserve">گذاری بر عدم قطعیت: </w:t>
      </w:r>
      <w:r w:rsidRPr="0025250D">
        <w:rPr>
          <w:rtl/>
        </w:rPr>
        <w:t>عمل پیش‌بین</w:t>
      </w:r>
      <w:r w:rsidRPr="0025250D">
        <w:rPr>
          <w:rFonts w:hint="cs"/>
          <w:rtl/>
        </w:rPr>
        <w:t>ی</w:t>
      </w:r>
      <w:r w:rsidRPr="0025250D">
        <w:rPr>
          <w:rtl/>
        </w:rPr>
        <w:t xml:space="preserve"> و ذهن تجسم‌</w:t>
      </w:r>
      <w:r w:rsidRPr="0025250D">
        <w:rPr>
          <w:rFonts w:hint="cs"/>
          <w:rtl/>
        </w:rPr>
        <w:t>ی</w:t>
      </w:r>
      <w:r w:rsidRPr="0025250D">
        <w:rPr>
          <w:rFonts w:hint="eastAsia"/>
          <w:rtl/>
        </w:rPr>
        <w:t>افته</w:t>
      </w:r>
      <w:r w:rsidRPr="0025250D">
        <w:rPr>
          <w:vertAlign w:val="superscript"/>
          <w:rtl/>
        </w:rPr>
        <w:footnoteReference w:id="79"/>
      </w:r>
      <w:r w:rsidR="008D6F97" w:rsidRPr="0025250D">
        <w:rPr>
          <w:rtl/>
        </w:rPr>
        <w:t>»</w:t>
      </w:r>
      <w:r w:rsidRPr="0025250D">
        <w:rPr>
          <w:rFonts w:hint="cs"/>
          <w:rtl/>
        </w:rPr>
        <w:t xml:space="preserve"> نوشته </w:t>
      </w:r>
      <w:r w:rsidRPr="0025250D">
        <w:rPr>
          <w:rtl/>
        </w:rPr>
        <w:t>اند</w:t>
      </w:r>
      <w:r w:rsidRPr="0025250D">
        <w:rPr>
          <w:rFonts w:hint="cs"/>
          <w:rtl/>
        </w:rPr>
        <w:t>ی</w:t>
      </w:r>
      <w:r w:rsidRPr="0025250D">
        <w:rPr>
          <w:rtl/>
        </w:rPr>
        <w:t xml:space="preserve"> کلارک</w:t>
      </w:r>
      <w:r w:rsidRPr="0025250D">
        <w:rPr>
          <w:vertAlign w:val="superscript"/>
          <w:rtl/>
        </w:rPr>
        <w:footnoteReference w:id="80"/>
      </w:r>
      <w:r w:rsidRPr="0025250D">
        <w:rPr>
          <w:rFonts w:hint="cs"/>
          <w:rtl/>
        </w:rPr>
        <w:t xml:space="preserve"> در سال 2019، علم موجود در پس این راه جدید درک ذهن را بررسی می‌نماید. این کتاب به ما می‌گوید که بیش‌تر تفکر ما در مورد آینده ناخودآگاه است و تنها به چند ثانیه یا چند دقیقه آینده می‌پردازد</w:t>
      </w:r>
      <w:r w:rsidR="008D6F97" w:rsidRPr="0025250D">
        <w:rPr>
          <w:rtl/>
        </w:rPr>
        <w:t xml:space="preserve">؛ </w:t>
      </w:r>
      <w:r w:rsidRPr="0025250D">
        <w:rPr>
          <w:rFonts w:hint="cs"/>
          <w:rtl/>
        </w:rPr>
        <w:t>اما به‌صورت خلاصه‌تر و نامنظم‌تر</w:t>
      </w:r>
      <w:r w:rsidR="00E40225" w:rsidRPr="0025250D">
        <w:rPr>
          <w:rFonts w:hint="cs"/>
          <w:rtl/>
        </w:rPr>
        <w:t xml:space="preserve"> نیز</w:t>
      </w:r>
      <w:r w:rsidRPr="0025250D">
        <w:rPr>
          <w:rFonts w:hint="cs"/>
          <w:rtl/>
        </w:rPr>
        <w:t xml:space="preserve"> در مورد افق‌های زمانی بلندمدت‌تر تفکر می‌کنیم.</w:t>
      </w:r>
    </w:p>
    <w:p w14:paraId="2B81C6DB" w14:textId="21120217" w:rsidR="0020732A" w:rsidRPr="0025250D" w:rsidRDefault="0020732A" w:rsidP="0020732A">
      <w:pPr>
        <w:rPr>
          <w:rtl/>
        </w:rPr>
      </w:pPr>
      <w:r w:rsidRPr="0025250D">
        <w:rPr>
          <w:rFonts w:hint="cs"/>
          <w:rtl/>
        </w:rPr>
        <w:t xml:space="preserve">ما به‌طور مشخص از صحبت در مورد و گوش دادن به داستان‌های مربوط به آینده لذت می‌بریم، داستان‌هایی که تصویری کلان‌تر را در پیش روی ما می‌گذارند و ما را به یکدیگر و به جهان متصل می‌نمایند. وقتی هر یک از ما به‌شدت به حقیقت داشتن داستان‌های خود از آینده باور داشته </w:t>
      </w:r>
      <w:r w:rsidR="00E40225" w:rsidRPr="0025250D">
        <w:rPr>
          <w:rFonts w:hint="cs"/>
          <w:rtl/>
        </w:rPr>
        <w:t>باشد</w:t>
      </w:r>
      <w:r w:rsidRPr="0025250D">
        <w:rPr>
          <w:rFonts w:hint="cs"/>
          <w:rtl/>
        </w:rPr>
        <w:t>، به‌صورت تاریخی آن‌ها را پیشگویی</w:t>
      </w:r>
      <w:r w:rsidR="00E40225" w:rsidRPr="0025250D">
        <w:rPr>
          <w:rStyle w:val="FootnoteReference"/>
          <w:rtl/>
        </w:rPr>
        <w:footnoteReference w:id="81"/>
      </w:r>
      <w:r w:rsidRPr="0025250D">
        <w:rPr>
          <w:rFonts w:hint="cs"/>
          <w:rtl/>
        </w:rPr>
        <w:t xml:space="preserve"> می‌نامیم. پیشگویی‌های مذهبی شناخته‌شده‌ترین مثال است، اما پیشگویی‌های می‌توانند ایدئولوژیک نیز باشند. پیشگویی‌های </w:t>
      </w:r>
      <w:r w:rsidRPr="0025250D">
        <w:rPr>
          <w:rtl/>
        </w:rPr>
        <w:t>خودشکوفا</w:t>
      </w:r>
      <w:r w:rsidRPr="0025250D">
        <w:rPr>
          <w:vertAlign w:val="superscript"/>
          <w:rtl/>
        </w:rPr>
        <w:footnoteReference w:id="82"/>
      </w:r>
      <w:r w:rsidRPr="0025250D">
        <w:rPr>
          <w:rFonts w:hint="cs"/>
          <w:rtl/>
        </w:rPr>
        <w:t xml:space="preserve"> داستان‌هایی هستند که ما و دیگران نه‌تنها به آن‌ها </w:t>
      </w:r>
      <w:r w:rsidRPr="0025250D">
        <w:rPr>
          <w:rtl/>
        </w:rPr>
        <w:t>باور دار</w:t>
      </w:r>
      <w:r w:rsidRPr="0025250D">
        <w:rPr>
          <w:rFonts w:hint="cs"/>
          <w:rtl/>
        </w:rPr>
        <w:t>ی</w:t>
      </w:r>
      <w:r w:rsidRPr="0025250D">
        <w:rPr>
          <w:rFonts w:hint="eastAsia"/>
          <w:rtl/>
        </w:rPr>
        <w:t>م</w:t>
      </w:r>
      <w:r w:rsidRPr="0025250D">
        <w:rPr>
          <w:rFonts w:hint="cs"/>
          <w:rtl/>
        </w:rPr>
        <w:t>، بلکه برای تحقق بخشیدن به آن‌ها تلاش می‌کنیم. برخی از این موارد پیشگویی‌های خود بهبوددهنده</w:t>
      </w:r>
      <w:r w:rsidRPr="0025250D">
        <w:rPr>
          <w:vertAlign w:val="superscript"/>
          <w:rtl/>
        </w:rPr>
        <w:footnoteReference w:id="83"/>
      </w:r>
      <w:r w:rsidRPr="0025250D">
        <w:rPr>
          <w:rFonts w:hint="cs"/>
          <w:rtl/>
        </w:rPr>
        <w:t xml:space="preserve"> هستند (هنوز صفحه‌ای در ویکی‌پدیا برای این مورد وجود ندارد). آن‌ها چشم‌اندازهای </w:t>
      </w:r>
      <w:r w:rsidR="00AE5BE0" w:rsidRPr="0025250D">
        <w:rPr>
          <w:rFonts w:hint="cs"/>
          <w:rtl/>
        </w:rPr>
        <w:t>انطباقی</w:t>
      </w:r>
      <w:r w:rsidRPr="0025250D">
        <w:rPr>
          <w:rFonts w:hint="cs"/>
          <w:rtl/>
        </w:rPr>
        <w:t xml:space="preserve"> مثبتی را </w:t>
      </w:r>
      <w:r w:rsidR="00E40225" w:rsidRPr="0025250D">
        <w:rPr>
          <w:rFonts w:hint="cs"/>
          <w:rtl/>
        </w:rPr>
        <w:t>به‌عنوان هدف</w:t>
      </w:r>
      <w:r w:rsidRPr="0025250D">
        <w:rPr>
          <w:rFonts w:hint="cs"/>
          <w:rtl/>
        </w:rPr>
        <w:t xml:space="preserve"> در اختیار ما قرار می‌دهند. همچنین پیشگویی‌های خود بازدارنده</w:t>
      </w:r>
      <w:r w:rsidRPr="0025250D">
        <w:rPr>
          <w:vertAlign w:val="superscript"/>
          <w:rtl/>
        </w:rPr>
        <w:footnoteReference w:id="84"/>
      </w:r>
      <w:r w:rsidRPr="0025250D">
        <w:rPr>
          <w:rFonts w:hint="cs"/>
          <w:rtl/>
        </w:rPr>
        <w:t xml:space="preserve"> وجود دارند؛ داستان‌های ترسناک مفیدی که برای ایجاد تغییراتی که فکر می‌کنیم برای اجتناب از فجایع لازم هستند، تعریف می‌کنیم. یکی دیگر از انواع داستان‌ها، پیشگویی‌های خود شکست دهنده</w:t>
      </w:r>
      <w:r w:rsidRPr="0025250D">
        <w:rPr>
          <w:vertAlign w:val="superscript"/>
          <w:rtl/>
        </w:rPr>
        <w:footnoteReference w:id="85"/>
      </w:r>
      <w:r w:rsidRPr="0025250D">
        <w:rPr>
          <w:rFonts w:hint="cs"/>
          <w:rtl/>
        </w:rPr>
        <w:t xml:space="preserve"> هستند که سبب آسیب رسیدن به کسانی می‌شوند که به آن‌ها باور دارند. آن‌ها ممکن است بر اساس مدل‌های نادرست و نبود اهداف مثبت باشند یا با ترس، بدبینی یا شک ناموجه ما را فلج کنند. خواهیم آموخت که چه رویکردی نسبت به داستان‌های آینده با نگاهی انتقادی داشته باشیم و چگونه پیشگویی‌های خود را هم خود بهبوددهنده و هم خود بازدارنده سازیم.</w:t>
      </w:r>
    </w:p>
    <w:p w14:paraId="2CB67848" w14:textId="6049EC3A" w:rsidR="0020732A" w:rsidRPr="0025250D" w:rsidRDefault="0020732A" w:rsidP="0020732A">
      <w:pPr>
        <w:rPr>
          <w:rtl/>
        </w:rPr>
      </w:pPr>
      <w:r w:rsidRPr="0025250D">
        <w:rPr>
          <w:rFonts w:hint="cs"/>
          <w:rtl/>
        </w:rPr>
        <w:t xml:space="preserve">امروزه فعال بودن در زمینه </w:t>
      </w:r>
      <w:r w:rsidRPr="0025250D">
        <w:rPr>
          <w:rtl/>
        </w:rPr>
        <w:t>آینده‌نگاری</w:t>
      </w:r>
      <w:r w:rsidRPr="0025250D">
        <w:rPr>
          <w:rFonts w:hint="cs"/>
          <w:rtl/>
        </w:rPr>
        <w:t xml:space="preserve"> به بیش از اندکی شجاعت و ماجراجویی نیاز دارد. این زمینه هنوز در حال ظهور است و پایه‌های ضعیفی دارد و </w:t>
      </w:r>
      <w:r w:rsidRPr="0025250D">
        <w:rPr>
          <w:rtl/>
        </w:rPr>
        <w:t>آینده‌نگاری</w:t>
      </w:r>
      <w:r w:rsidRPr="0025250D">
        <w:rPr>
          <w:rFonts w:hint="cs"/>
          <w:rtl/>
        </w:rPr>
        <w:t xml:space="preserve"> یک حرفه واحد نیست. بلکه مجموعه‌ای در حال گسترش از حرفه‌ها، روش‌های تفکر و فعالیت‌هایی است که به افراد، سازمان‌ها و جوامع برای پیش‌انگاری، خلق و مدیریت بهتر تغییرات کمک می‌کند و به‌خوبی تعریف نشده است. بااین‌حال، </w:t>
      </w:r>
      <w:r w:rsidR="007118DE" w:rsidRPr="0025250D">
        <w:rPr>
          <w:rFonts w:hint="cs"/>
          <w:rtl/>
        </w:rPr>
        <w:t>همان‌طور</w:t>
      </w:r>
      <w:r w:rsidRPr="0025250D">
        <w:rPr>
          <w:rFonts w:hint="cs"/>
          <w:rtl/>
        </w:rPr>
        <w:t xml:space="preserve"> که خواهیم دید، این زمینه همچنین آینده روشنی در پیش رو دارد.</w:t>
      </w:r>
    </w:p>
    <w:p w14:paraId="6F3128E3" w14:textId="03E1A800" w:rsidR="0020732A" w:rsidRPr="0025250D" w:rsidRDefault="0020732A" w:rsidP="0020732A">
      <w:pPr>
        <w:rPr>
          <w:rtl/>
        </w:rPr>
      </w:pPr>
      <w:r w:rsidRPr="0025250D">
        <w:rPr>
          <w:rFonts w:hint="cs"/>
          <w:rtl/>
        </w:rPr>
        <w:t xml:space="preserve">امروزه فعالیت‌های </w:t>
      </w:r>
      <w:r w:rsidRPr="0025250D">
        <w:rPr>
          <w:rtl/>
        </w:rPr>
        <w:t>آینده‌نگاری</w:t>
      </w:r>
      <w:r w:rsidRPr="0025250D">
        <w:rPr>
          <w:rFonts w:hint="cs"/>
          <w:rtl/>
        </w:rPr>
        <w:t xml:space="preserve"> می‌توانند به‌اندازه افرادی که آن‌ها را انجام می‌دهند، متنوع باشند </w:t>
      </w:r>
      <w:r w:rsidRPr="0025250D">
        <w:rPr>
          <w:rFonts w:cs="Times New Roman" w:hint="cs"/>
          <w:rtl/>
        </w:rPr>
        <w:t>–</w:t>
      </w:r>
      <w:r w:rsidRPr="0025250D">
        <w:rPr>
          <w:rFonts w:hint="cs"/>
          <w:rtl/>
        </w:rPr>
        <w:t xml:space="preserve">هر یک ترکیب منحصربه‌فرد و ترکیبی </w:t>
      </w:r>
      <w:r w:rsidR="001A3F0A" w:rsidRPr="0025250D">
        <w:rPr>
          <w:rFonts w:hint="cs"/>
          <w:rtl/>
        </w:rPr>
        <w:t>فردی</w:t>
      </w:r>
      <w:r w:rsidRPr="0025250D">
        <w:rPr>
          <w:rFonts w:hint="cs"/>
          <w:rtl/>
        </w:rPr>
        <w:t xml:space="preserve"> از علم، دانش و هنر هستند. یک فرد حرفه‌ای در </w:t>
      </w:r>
      <w:r w:rsidRPr="0025250D">
        <w:rPr>
          <w:rtl/>
        </w:rPr>
        <w:t>آینده‌نگاری</w:t>
      </w:r>
      <w:r w:rsidRPr="0025250D">
        <w:rPr>
          <w:rFonts w:hint="cs"/>
          <w:rtl/>
        </w:rPr>
        <w:t xml:space="preserve"> مدرن می‌تواند مانند یک آینده‌پژوه، مطالبی را به مخاطبین ارائه دهد؛ مانند یک راهنما، مربی یا مشاور راهنمایی‌هایی را ارائه دهد؛ مانند یک فرد حرفه‌ای در علم اطلاعات، الگوها را تفسیر کرده و تشخیص دهد؛ مانند یک تحلیل‌گر، </w:t>
      </w:r>
      <w:r w:rsidR="00516B66" w:rsidRPr="0025250D">
        <w:rPr>
          <w:rFonts w:hint="cs"/>
          <w:rtl/>
        </w:rPr>
        <w:t>راهبردشناس</w:t>
      </w:r>
      <w:r w:rsidR="00E40225" w:rsidRPr="0025250D">
        <w:rPr>
          <w:rStyle w:val="FootnoteReference"/>
          <w:rtl/>
        </w:rPr>
        <w:footnoteReference w:id="86"/>
      </w:r>
      <w:r w:rsidRPr="0025250D">
        <w:rPr>
          <w:rFonts w:hint="cs"/>
          <w:rtl/>
        </w:rPr>
        <w:t>، برنامه‌ریز یا مدیر از تصمیم‌گیری، برنامه‌ریزی، سیاست و عملیات در یک سازمان پشتیبانی کند؛ مانند طراح یا مهندس محصولات یا خدماتی را ایجاد نماید؛ مانند یک مدیر نوآوری اندیشه‌های یک سازمان و فرایند‌های تحقیق و توسعه آن را بهبود بخشد؛ مانند یک کارآفرین، کسب‌وکارهای جدیدی را آغاز کند؛ مانند یک سرمایه‌گذار یا حامی کسب‌وکار به دنبال فرصت‌های جدیدی برای سرمایه‌گذاری باشد؛ یا مانند یک رهبر عقیدتی یا فعال، پیشران گفتمان‌ها و تغییرات اجتماعی برای ارائه پیشنهادهای بهتر باشد.</w:t>
      </w:r>
    </w:p>
    <w:p w14:paraId="4BFA7849" w14:textId="77777777" w:rsidR="0020732A" w:rsidRPr="0025250D" w:rsidRDefault="0020732A" w:rsidP="0020732A">
      <w:pPr>
        <w:rPr>
          <w:rtl/>
        </w:rPr>
      </w:pPr>
      <w:r w:rsidRPr="0025250D">
        <w:rPr>
          <w:rFonts w:hint="cs"/>
          <w:rtl/>
        </w:rPr>
        <w:t xml:space="preserve">با در ذهن داشتن این وسعت، برخی پرسش‌های اساسی باید در آغاز این کتابِ راهنما مطرح شوند. چرا تفکر در مورد آینده ارزشمند است؟ چه کسی زمینه </w:t>
      </w:r>
      <w:r w:rsidRPr="0025250D">
        <w:rPr>
          <w:rtl/>
        </w:rPr>
        <w:t>آینده‌نگاری</w:t>
      </w:r>
      <w:r w:rsidRPr="0025250D">
        <w:rPr>
          <w:rFonts w:hint="cs"/>
          <w:rtl/>
        </w:rPr>
        <w:t xml:space="preserve"> را تعریف می‌کند و چه چیزی حرفه‌ای تلقی می‌شود؟ چگونه فرد در این زمینه آموزش می‌بیند؟ دامنه‌ها، انواع، مدل‌ها </w:t>
      </w:r>
      <w:r w:rsidRPr="0025250D">
        <w:rPr>
          <w:rFonts w:hint="cs"/>
          <w:rtl/>
        </w:rPr>
        <w:lastRenderedPageBreak/>
        <w:t xml:space="preserve">و روش‌های تفکر و عمل در زمینه </w:t>
      </w:r>
      <w:r w:rsidRPr="0025250D">
        <w:rPr>
          <w:rtl/>
        </w:rPr>
        <w:t>آینده‌نگاری</w:t>
      </w:r>
      <w:r w:rsidRPr="0025250D">
        <w:rPr>
          <w:rFonts w:hint="cs"/>
          <w:rtl/>
        </w:rPr>
        <w:t xml:space="preserve"> کدام موارد هستند؟ چه تغییرات، فرصت‌ها و مشکلات قابل پیش‌بینی در پیش روی جوامع ما هستند و </w:t>
      </w:r>
      <w:r w:rsidRPr="0025250D">
        <w:rPr>
          <w:rtl/>
        </w:rPr>
        <w:t>آینده‌نگاری</w:t>
      </w:r>
      <w:r w:rsidRPr="0025250D">
        <w:rPr>
          <w:rFonts w:hint="cs"/>
          <w:rtl/>
        </w:rPr>
        <w:t xml:space="preserve"> چگونه می‌تواند به ما در مدیریت بهتر آن‌ها کمک کند؟ این فصل برخی پاسخ‌های مقدماتی برای این پرسش‌ها را ارائه می‌دهد. پاسخ‌های ما قطعی نخواهند بود، اما امیدواریم که مفید واقع شوند. آن‌ها باید پرسش‌های جدیدی را نیز ایجاد کنند و به شما برای یافتن پاسخ کمک کنند.</w:t>
      </w:r>
    </w:p>
    <w:p w14:paraId="62E5710B" w14:textId="77777777" w:rsidR="0020732A" w:rsidRPr="0025250D" w:rsidRDefault="0020732A" w:rsidP="0020732A">
      <w:pPr>
        <w:rPr>
          <w:rtl/>
        </w:rPr>
      </w:pPr>
    </w:p>
    <w:p w14:paraId="172E9BC0" w14:textId="77777777" w:rsidR="0020732A" w:rsidRPr="0025250D" w:rsidRDefault="0020732A" w:rsidP="00537CC8">
      <w:pPr>
        <w:pStyle w:val="Heading2"/>
        <w:rPr>
          <w:rtl/>
        </w:rPr>
      </w:pPr>
      <w:bookmarkStart w:id="3" w:name="_Toc127831269"/>
      <w:r w:rsidRPr="0025250D">
        <w:rPr>
          <w:rFonts w:hint="cs"/>
          <w:rtl/>
        </w:rPr>
        <w:lastRenderedPageBreak/>
        <w:t xml:space="preserve">فرد متخصص در </w:t>
      </w:r>
      <w:r w:rsidRPr="0025250D">
        <w:rPr>
          <w:rtl/>
        </w:rPr>
        <w:t>آینده‌نگاری</w:t>
      </w:r>
      <w:r w:rsidRPr="0025250D">
        <w:rPr>
          <w:rFonts w:hint="cs"/>
          <w:rtl/>
        </w:rPr>
        <w:t xml:space="preserve"> - یک تعریف ساده</w:t>
      </w:r>
      <w:bookmarkEnd w:id="3"/>
    </w:p>
    <w:p w14:paraId="7219C5AD" w14:textId="77777777" w:rsidR="0020732A" w:rsidRPr="0025250D" w:rsidRDefault="0020732A" w:rsidP="0020732A">
      <w:pPr>
        <w:rPr>
          <w:rtl/>
        </w:rPr>
      </w:pPr>
      <w:r w:rsidRPr="0025250D">
        <w:rPr>
          <w:rFonts w:hint="cs"/>
          <w:rtl/>
        </w:rPr>
        <w:t xml:space="preserve">آینده‌پژوه پیشتاز </w:t>
      </w:r>
      <w:r w:rsidRPr="0025250D">
        <w:rPr>
          <w:rtl/>
        </w:rPr>
        <w:t>جو کوتس</w:t>
      </w:r>
      <w:r w:rsidRPr="0025250D">
        <w:rPr>
          <w:vertAlign w:val="superscript"/>
          <w:rtl/>
        </w:rPr>
        <w:footnoteReference w:id="87"/>
      </w:r>
      <w:r w:rsidRPr="0025250D">
        <w:rPr>
          <w:rtl/>
        </w:rPr>
        <w:t xml:space="preserve"> (1929-2014)</w:t>
      </w:r>
      <w:r w:rsidRPr="0025250D">
        <w:rPr>
          <w:rFonts w:hint="cs"/>
          <w:rtl/>
        </w:rPr>
        <w:t xml:space="preserve"> یکی از مربیان </w:t>
      </w:r>
      <w:r w:rsidRPr="0025250D">
        <w:rPr>
          <w:rtl/>
        </w:rPr>
        <w:t>جان</w:t>
      </w:r>
      <w:r w:rsidRPr="0025250D">
        <w:rPr>
          <w:vertAlign w:val="superscript"/>
          <w:rtl/>
        </w:rPr>
        <w:footnoteReference w:id="88"/>
      </w:r>
      <w:r w:rsidRPr="0025250D">
        <w:rPr>
          <w:rFonts w:hint="cs"/>
          <w:rtl/>
        </w:rPr>
        <w:t xml:space="preserve">، تعریف ساده‌ای را چند دهه قبل برای زمینه ما پیشنهاد داد که هنوز بهبود آن دشوار به نظر می‌رسد: یک متخصص </w:t>
      </w:r>
      <w:r w:rsidRPr="0025250D">
        <w:rPr>
          <w:rtl/>
        </w:rPr>
        <w:t>آینده‌نگاری</w:t>
      </w:r>
      <w:r w:rsidRPr="0025250D">
        <w:rPr>
          <w:rFonts w:hint="cs"/>
          <w:rtl/>
        </w:rPr>
        <w:t xml:space="preserve"> هر کسی است که برای بررسی و تحلیل آینده برای یک کارسپار</w:t>
      </w:r>
      <w:r w:rsidRPr="0025250D">
        <w:rPr>
          <w:vertAlign w:val="superscript"/>
          <w:rtl/>
        </w:rPr>
        <w:footnoteReference w:id="89"/>
      </w:r>
      <w:r w:rsidRPr="0025250D">
        <w:rPr>
          <w:rFonts w:hint="cs"/>
          <w:rtl/>
        </w:rPr>
        <w:t xml:space="preserve"> پول می‌گیرد. برخی جنبه‌های این تحلیل نیز باید یا به‌اندازه کافی به آینده دور بنگرند (در بلندمدت) یا جزئیات کافی داشته باشند (در کوتاه‌مدت) که در نتیجه آن، عدم قطعیت چشم‌گیر می‌شود.</w:t>
      </w:r>
    </w:p>
    <w:p w14:paraId="61C16F23" w14:textId="77777777" w:rsidR="0020732A" w:rsidRPr="0025250D" w:rsidRDefault="0020732A" w:rsidP="00537CC8">
      <w:pPr>
        <w:jc w:val="center"/>
        <w:rPr>
          <w:rtl/>
        </w:rPr>
      </w:pPr>
      <w:r w:rsidRPr="0025250D">
        <w:rPr>
          <w:noProof/>
          <w:lang w:bidi="ar-SA"/>
        </w:rPr>
        <w:drawing>
          <wp:inline distT="0" distB="0" distL="0" distR="0" wp14:anchorId="193DE21D" wp14:editId="135BF0F1">
            <wp:extent cx="1521460" cy="1960245"/>
            <wp:effectExtent l="0" t="0" r="2540" b="1905"/>
            <wp:docPr id="10" name="Picture 10" descr="Lifeboat Foundation Bios: Joseph F. Coates, 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feboat Foundation Bios: Joseph F. Coates, M.S."/>
                    <pic:cNvPicPr>
                      <a:picLocks noChangeAspect="1" noChangeArrowheads="1"/>
                    </pic:cNvPicPr>
                  </pic:nvPicPr>
                  <pic:blipFill>
                    <a:blip r:embed="rId12">
                      <a:extLst>
                        <a:ext uri="{BEBA8EAE-BF5A-486C-A8C5-ECC9F3942E4B}">
                          <a14:imgProps xmlns:a14="http://schemas.microsoft.com/office/drawing/2010/main">
                            <a14:imgLayer r:embed="rId13">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521460" cy="1960245"/>
                    </a:xfrm>
                    <a:prstGeom prst="rect">
                      <a:avLst/>
                    </a:prstGeom>
                    <a:noFill/>
                    <a:ln>
                      <a:noFill/>
                    </a:ln>
                  </pic:spPr>
                </pic:pic>
              </a:graphicData>
            </a:graphic>
          </wp:inline>
        </w:drawing>
      </w:r>
    </w:p>
    <w:p w14:paraId="54D18421" w14:textId="77777777" w:rsidR="0020732A" w:rsidRPr="0025250D" w:rsidRDefault="0020732A" w:rsidP="00537CC8">
      <w:pPr>
        <w:jc w:val="center"/>
        <w:rPr>
          <w:rtl/>
        </w:rPr>
      </w:pPr>
      <w:r w:rsidRPr="0025250D">
        <w:rPr>
          <w:rtl/>
        </w:rPr>
        <w:t>جوزف کوتس</w:t>
      </w:r>
    </w:p>
    <w:p w14:paraId="04C6CDD8" w14:textId="3B277512" w:rsidR="0020732A" w:rsidRPr="0025250D" w:rsidRDefault="0020732A" w:rsidP="0020732A">
      <w:pPr>
        <w:rPr>
          <w:rtl/>
        </w:rPr>
      </w:pPr>
      <w:r w:rsidRPr="0025250D">
        <w:rPr>
          <w:rtl/>
        </w:rPr>
        <w:t>اکثر متفکران</w:t>
      </w:r>
      <w:r w:rsidRPr="0025250D">
        <w:rPr>
          <w:rFonts w:hint="cs"/>
          <w:rtl/>
        </w:rPr>
        <w:t xml:space="preserve"> در زمینه</w:t>
      </w:r>
      <w:r w:rsidRPr="0025250D">
        <w:rPr>
          <w:rtl/>
        </w:rPr>
        <w:t xml:space="preserve"> آ</w:t>
      </w:r>
      <w:r w:rsidRPr="0025250D">
        <w:rPr>
          <w:rFonts w:hint="cs"/>
          <w:rtl/>
        </w:rPr>
        <w:t>ی</w:t>
      </w:r>
      <w:r w:rsidRPr="0025250D">
        <w:rPr>
          <w:rFonts w:hint="eastAsia"/>
          <w:rtl/>
        </w:rPr>
        <w:t>نده</w:t>
      </w:r>
      <w:r w:rsidRPr="0025250D">
        <w:rPr>
          <w:rFonts w:hint="cs"/>
          <w:rtl/>
        </w:rPr>
        <w:t>،</w:t>
      </w:r>
      <w:r w:rsidRPr="0025250D">
        <w:rPr>
          <w:rtl/>
        </w:rPr>
        <w:t xml:space="preserve"> کار خود را به‌صورت </w:t>
      </w:r>
      <w:r w:rsidRPr="0025250D">
        <w:rPr>
          <w:rFonts w:hint="cs"/>
          <w:rtl/>
        </w:rPr>
        <w:t>تخصصی و رایگان</w:t>
      </w:r>
      <w:r w:rsidRPr="0025250D">
        <w:rPr>
          <w:rtl/>
        </w:rPr>
        <w:t xml:space="preserve"> انجام می‌دهند</w:t>
      </w:r>
      <w:r w:rsidRPr="0025250D">
        <w:rPr>
          <w:rFonts w:hint="cs"/>
          <w:rtl/>
        </w:rPr>
        <w:t xml:space="preserve">. این </w:t>
      </w:r>
      <w:r w:rsidR="00E40225" w:rsidRPr="0025250D">
        <w:rPr>
          <w:rFonts w:hint="cs"/>
          <w:rtl/>
        </w:rPr>
        <w:t>بدین معنی است که</w:t>
      </w:r>
      <w:r w:rsidRPr="0025250D">
        <w:rPr>
          <w:rFonts w:hint="cs"/>
          <w:rtl/>
        </w:rPr>
        <w:t xml:space="preserve"> ما به رایگان</w:t>
      </w:r>
      <w:r w:rsidR="008D6F97" w:rsidRPr="0025250D">
        <w:rPr>
          <w:rtl/>
        </w:rPr>
        <w:t xml:space="preserve"> </w:t>
      </w:r>
      <w:r w:rsidRPr="0025250D">
        <w:rPr>
          <w:rFonts w:hint="cs"/>
          <w:rtl/>
        </w:rPr>
        <w:t>و معمولاً خارج از حوزه علاقه‌مان در مورد آینده فکر می‌کنیم، صحبت می‌کنیم یا می‌نویسیم</w:t>
      </w:r>
      <w:r w:rsidR="008D6F97" w:rsidRPr="0025250D">
        <w:rPr>
          <w:rtl/>
        </w:rPr>
        <w:t xml:space="preserve">؛ </w:t>
      </w:r>
      <w:r w:rsidR="0020589F" w:rsidRPr="0025250D">
        <w:rPr>
          <w:rtl/>
        </w:rPr>
        <w:t>اما</w:t>
      </w:r>
      <w:r w:rsidRPr="0025250D">
        <w:rPr>
          <w:rFonts w:hint="cs"/>
          <w:rtl/>
        </w:rPr>
        <w:t xml:space="preserve"> وقتی درآمد و شرح وظایف ما بتواند با تفکر در مورد آینده پیوند داشته باشد</w:t>
      </w:r>
      <w:r w:rsidR="00E40225" w:rsidRPr="0025250D">
        <w:rPr>
          <w:rFonts w:hint="cs"/>
          <w:rtl/>
        </w:rPr>
        <w:t>،</w:t>
      </w:r>
      <w:r w:rsidR="008D6F97" w:rsidRPr="0025250D">
        <w:rPr>
          <w:rtl/>
        </w:rPr>
        <w:t xml:space="preserve"> </w:t>
      </w:r>
      <w:r w:rsidRPr="0025250D">
        <w:rPr>
          <w:rFonts w:hint="cs"/>
          <w:rtl/>
        </w:rPr>
        <w:t xml:space="preserve">به </w:t>
      </w:r>
      <w:r w:rsidR="00E40225" w:rsidRPr="0025250D">
        <w:rPr>
          <w:rFonts w:hint="cs"/>
          <w:rtl/>
        </w:rPr>
        <w:t>حرفه</w:t>
      </w:r>
      <w:r w:rsidRPr="0025250D">
        <w:rPr>
          <w:rFonts w:hint="cs"/>
          <w:rtl/>
        </w:rPr>
        <w:t xml:space="preserve"> دیگری تعلق خواهیم داشت. یک متفکر در زمینه آینده بدون یک کارسپار یک فرد مبتدی است، یک علاقه‌مند به این زمینه </w:t>
      </w:r>
      <w:r w:rsidRPr="0025250D">
        <w:rPr>
          <w:rFonts w:cs="Times New Roman" w:hint="cs"/>
          <w:rtl/>
        </w:rPr>
        <w:t>–</w:t>
      </w:r>
      <w:r w:rsidRPr="0025250D">
        <w:rPr>
          <w:rFonts w:hint="cs"/>
          <w:rtl/>
        </w:rPr>
        <w:t xml:space="preserve"> نه یک فرد متخصص.</w:t>
      </w:r>
    </w:p>
    <w:p w14:paraId="59D38181" w14:textId="43432380" w:rsidR="0020732A" w:rsidRPr="0025250D" w:rsidRDefault="0020732A" w:rsidP="0020732A">
      <w:pPr>
        <w:rPr>
          <w:rtl/>
        </w:rPr>
      </w:pPr>
      <w:r w:rsidRPr="0025250D">
        <w:rPr>
          <w:rFonts w:hint="cs"/>
          <w:rtl/>
        </w:rPr>
        <w:t xml:space="preserve">معمولاً، اولین قدم به سمت تخصص، تشخیص این است که یک نفر برای بررسی و تحلیل آینده، به ما پول می‌دهد. بیان قصد خود جهت تفکر در مورد آینده برای دیگران و درنهایت، رسمی کردن آن در شرح شغلمان، هر دو گام‌هایی کوچک هستند که سفر </w:t>
      </w:r>
      <w:r w:rsidRPr="0025250D">
        <w:rPr>
          <w:rtl/>
        </w:rPr>
        <w:t>آینده‌نگاری</w:t>
      </w:r>
      <w:r w:rsidRPr="0025250D">
        <w:rPr>
          <w:rFonts w:hint="cs"/>
          <w:rtl/>
        </w:rPr>
        <w:t xml:space="preserve"> تخصصی ما را آغاز خواهند کرد. </w:t>
      </w:r>
      <w:r w:rsidRPr="0025250D">
        <w:rPr>
          <w:rtl/>
        </w:rPr>
        <w:t>کوتس</w:t>
      </w:r>
      <w:r w:rsidRPr="0025250D">
        <w:rPr>
          <w:rFonts w:hint="cs"/>
          <w:rtl/>
        </w:rPr>
        <w:t xml:space="preserve"> به ما گفت که تلاقی مهارت‌ها و علایق ما و نیاز‌ها و خواسته‌های کارسپار همان جایی است که همه کار‌های خوب و مناسب </w:t>
      </w:r>
      <w:r w:rsidRPr="0025250D">
        <w:rPr>
          <w:rtl/>
        </w:rPr>
        <w:t>آینده‌نگاری</w:t>
      </w:r>
      <w:r w:rsidRPr="0025250D">
        <w:rPr>
          <w:rFonts w:hint="cs"/>
          <w:rtl/>
        </w:rPr>
        <w:t xml:space="preserve"> انجام می‌شوند. آینده‌نگار </w:t>
      </w:r>
      <w:r w:rsidRPr="0025250D">
        <w:rPr>
          <w:rtl/>
        </w:rPr>
        <w:t>ار</w:t>
      </w:r>
      <w:r w:rsidRPr="0025250D">
        <w:rPr>
          <w:rFonts w:hint="cs"/>
          <w:rtl/>
        </w:rPr>
        <w:t>ی</w:t>
      </w:r>
      <w:r w:rsidRPr="0025250D">
        <w:rPr>
          <w:rFonts w:hint="eastAsia"/>
          <w:rtl/>
        </w:rPr>
        <w:t>ک</w:t>
      </w:r>
      <w:r w:rsidRPr="0025250D">
        <w:rPr>
          <w:rtl/>
        </w:rPr>
        <w:t xml:space="preserve"> گارلند</w:t>
      </w:r>
      <w:r w:rsidRPr="0025250D">
        <w:rPr>
          <w:vertAlign w:val="superscript"/>
          <w:rtl/>
        </w:rPr>
        <w:footnoteReference w:id="90"/>
      </w:r>
      <w:r w:rsidRPr="0025250D">
        <w:rPr>
          <w:rFonts w:hint="cs"/>
          <w:rtl/>
        </w:rPr>
        <w:t xml:space="preserve"> که با </w:t>
      </w:r>
      <w:r w:rsidRPr="0025250D">
        <w:rPr>
          <w:rtl/>
        </w:rPr>
        <w:t>کوتس</w:t>
      </w:r>
      <w:r w:rsidRPr="0025250D">
        <w:rPr>
          <w:rFonts w:hint="cs"/>
          <w:rtl/>
        </w:rPr>
        <w:t xml:space="preserve"> کار کرده است، مرثیه‌ای</w:t>
      </w:r>
      <w:r w:rsidRPr="0025250D">
        <w:rPr>
          <w:vertAlign w:val="superscript"/>
          <w:rtl/>
        </w:rPr>
        <w:footnoteReference w:id="91"/>
      </w:r>
      <w:r w:rsidRPr="0025250D">
        <w:rPr>
          <w:rFonts w:hint="cs"/>
          <w:rtl/>
        </w:rPr>
        <w:t xml:space="preserve"> دوست‌داشتنی برای او نوشته است. </w:t>
      </w:r>
      <w:r w:rsidRPr="0025250D">
        <w:rPr>
          <w:rtl/>
        </w:rPr>
        <w:t>جو</w:t>
      </w:r>
      <w:r w:rsidRPr="0025250D">
        <w:rPr>
          <w:rFonts w:hint="cs"/>
          <w:rtl/>
        </w:rPr>
        <w:t xml:space="preserve"> </w:t>
      </w:r>
      <w:r w:rsidR="0020589F" w:rsidRPr="0025250D">
        <w:rPr>
          <w:rtl/>
        </w:rPr>
        <w:t>«</w:t>
      </w:r>
      <w:r w:rsidRPr="0025250D">
        <w:rPr>
          <w:rFonts w:hint="cs"/>
          <w:rtl/>
        </w:rPr>
        <w:t>یک آینده‌پژوه نترس</w:t>
      </w:r>
      <w:r w:rsidR="0020589F" w:rsidRPr="0025250D">
        <w:rPr>
          <w:rtl/>
        </w:rPr>
        <w:t>»</w:t>
      </w:r>
      <w:r w:rsidRPr="0025250D">
        <w:rPr>
          <w:rFonts w:hint="cs"/>
          <w:rtl/>
        </w:rPr>
        <w:t xml:space="preserve"> بود که تمایل داشت علاوه بر تحسین، انتقاد کند و هرازگاهی کارسپارانی را </w:t>
      </w:r>
      <w:r w:rsidRPr="0025250D">
        <w:rPr>
          <w:rtl/>
        </w:rPr>
        <w:t>درنت</w:t>
      </w:r>
      <w:r w:rsidRPr="0025250D">
        <w:rPr>
          <w:rFonts w:hint="cs"/>
          <w:rtl/>
        </w:rPr>
        <w:t>ی</w:t>
      </w:r>
      <w:r w:rsidRPr="0025250D">
        <w:rPr>
          <w:rFonts w:hint="eastAsia"/>
          <w:rtl/>
        </w:rPr>
        <w:t>جه</w:t>
      </w:r>
      <w:r w:rsidRPr="0025250D">
        <w:rPr>
          <w:rFonts w:hint="cs"/>
          <w:rtl/>
        </w:rPr>
        <w:t xml:space="preserve"> این مسئله از دست می‌داد. </w:t>
      </w:r>
      <w:r w:rsidRPr="0025250D">
        <w:rPr>
          <w:rtl/>
        </w:rPr>
        <w:t>گارلند</w:t>
      </w:r>
      <w:r w:rsidRPr="0025250D">
        <w:rPr>
          <w:rFonts w:hint="cs"/>
          <w:rtl/>
        </w:rPr>
        <w:t xml:space="preserve"> روش </w:t>
      </w:r>
      <w:r w:rsidRPr="0025250D">
        <w:rPr>
          <w:rtl/>
        </w:rPr>
        <w:t>کوتس</w:t>
      </w:r>
      <w:r w:rsidRPr="0025250D">
        <w:rPr>
          <w:rFonts w:hint="cs"/>
          <w:rtl/>
        </w:rPr>
        <w:t xml:space="preserve"> را ادامه می‌دهد. خواهیم دید که این رفتار چیزهای زیادی به ما خواهد آموخت.</w:t>
      </w:r>
    </w:p>
    <w:p w14:paraId="221C07E2" w14:textId="77777777" w:rsidR="0020732A" w:rsidRPr="0025250D" w:rsidRDefault="0020732A" w:rsidP="0020732A">
      <w:pPr>
        <w:rPr>
          <w:rtl/>
        </w:rPr>
      </w:pPr>
      <w:r w:rsidRPr="0025250D">
        <w:rPr>
          <w:rFonts w:hint="cs"/>
          <w:rtl/>
        </w:rPr>
        <w:t xml:space="preserve">با توجه به این‌که هر متخصصی به دنبال این است که حداقل گاهی بابت کار </w:t>
      </w:r>
      <w:r w:rsidRPr="0025250D">
        <w:rPr>
          <w:rtl/>
        </w:rPr>
        <w:t>آینده‌نگاری</w:t>
      </w:r>
      <w:r w:rsidRPr="0025250D">
        <w:rPr>
          <w:rFonts w:hint="cs"/>
          <w:rtl/>
        </w:rPr>
        <w:t xml:space="preserve"> خود پول بگیرد، حتی اگر تنها چند دقیقه یا چند ساعت در هفته این کار را انجام دهد، باید پرسش‌هایی مانند موارد زیر را مطرح نماییم:</w:t>
      </w:r>
    </w:p>
    <w:p w14:paraId="286730A9" w14:textId="77777777" w:rsidR="0020732A" w:rsidRPr="0025250D" w:rsidRDefault="0020732A" w:rsidP="00492C47">
      <w:pPr>
        <w:numPr>
          <w:ilvl w:val="0"/>
          <w:numId w:val="4"/>
        </w:numPr>
      </w:pPr>
      <w:r w:rsidRPr="0025250D">
        <w:rPr>
          <w:rFonts w:hint="cs"/>
          <w:rtl/>
        </w:rPr>
        <w:t xml:space="preserve">من مشخصاً به چه نوع کار </w:t>
      </w:r>
      <w:r w:rsidRPr="0025250D">
        <w:rPr>
          <w:rtl/>
        </w:rPr>
        <w:t>آینده‌نگاری</w:t>
      </w:r>
      <w:r w:rsidRPr="0025250D">
        <w:rPr>
          <w:rFonts w:hint="cs"/>
          <w:rtl/>
        </w:rPr>
        <w:t xml:space="preserve"> علاقه‌مند هستم؟</w:t>
      </w:r>
    </w:p>
    <w:p w14:paraId="19C288C8" w14:textId="086B9DF4" w:rsidR="0020732A" w:rsidRPr="0025250D" w:rsidRDefault="0020732A" w:rsidP="00492C47">
      <w:pPr>
        <w:numPr>
          <w:ilvl w:val="0"/>
          <w:numId w:val="4"/>
        </w:numPr>
      </w:pPr>
      <w:r w:rsidRPr="0025250D">
        <w:rPr>
          <w:rFonts w:hint="cs"/>
          <w:rtl/>
        </w:rPr>
        <w:t xml:space="preserve">چه </w:t>
      </w:r>
      <w:r w:rsidR="0015494E" w:rsidRPr="0025250D">
        <w:rPr>
          <w:rFonts w:hint="cs"/>
          <w:rtl/>
        </w:rPr>
        <w:t>نوع</w:t>
      </w:r>
      <w:r w:rsidRPr="0025250D">
        <w:rPr>
          <w:rFonts w:hint="cs"/>
          <w:rtl/>
        </w:rPr>
        <w:t xml:space="preserve"> </w:t>
      </w:r>
      <w:r w:rsidR="0020589F" w:rsidRPr="0025250D">
        <w:rPr>
          <w:rtl/>
        </w:rPr>
        <w:t>«</w:t>
      </w:r>
      <w:r w:rsidRPr="0025250D">
        <w:rPr>
          <w:rFonts w:hint="cs"/>
          <w:rtl/>
        </w:rPr>
        <w:t>جهانی</w:t>
      </w:r>
      <w:r w:rsidR="0020589F" w:rsidRPr="0025250D">
        <w:rPr>
          <w:rtl/>
        </w:rPr>
        <w:t>»</w:t>
      </w:r>
      <w:r w:rsidRPr="0025250D">
        <w:rPr>
          <w:rFonts w:hint="cs"/>
          <w:rtl/>
        </w:rPr>
        <w:t xml:space="preserve"> را باید علیرغم علاقه‌مندی‌هایم دنبال کنم؟</w:t>
      </w:r>
    </w:p>
    <w:p w14:paraId="57061BC6" w14:textId="77777777" w:rsidR="0020732A" w:rsidRPr="0025250D" w:rsidRDefault="0020732A" w:rsidP="00492C47">
      <w:pPr>
        <w:numPr>
          <w:ilvl w:val="0"/>
          <w:numId w:val="4"/>
        </w:numPr>
      </w:pPr>
      <w:r w:rsidRPr="0025250D">
        <w:rPr>
          <w:rFonts w:hint="cs"/>
          <w:rtl/>
        </w:rPr>
        <w:t xml:space="preserve">چه مقدار و چه انواعی از </w:t>
      </w:r>
      <w:r w:rsidRPr="0025250D">
        <w:rPr>
          <w:rtl/>
        </w:rPr>
        <w:t>آینده‌نگاری</w:t>
      </w:r>
      <w:r w:rsidRPr="0025250D">
        <w:rPr>
          <w:rFonts w:hint="cs"/>
          <w:rtl/>
        </w:rPr>
        <w:t xml:space="preserve"> را باید در کار خود به کار گیرم؟</w:t>
      </w:r>
    </w:p>
    <w:p w14:paraId="206460D6" w14:textId="77777777" w:rsidR="0020732A" w:rsidRPr="0025250D" w:rsidRDefault="0020732A" w:rsidP="00492C47">
      <w:pPr>
        <w:numPr>
          <w:ilvl w:val="0"/>
          <w:numId w:val="4"/>
        </w:numPr>
      </w:pPr>
      <w:r w:rsidRPr="0025250D">
        <w:rPr>
          <w:rFonts w:hint="cs"/>
          <w:rtl/>
        </w:rPr>
        <w:lastRenderedPageBreak/>
        <w:t xml:space="preserve">کارسپاران مناسب، درون و بیرون سازمانِ من، برای کار </w:t>
      </w:r>
      <w:r w:rsidRPr="0025250D">
        <w:rPr>
          <w:rtl/>
        </w:rPr>
        <w:t>آینده‌نگاری</w:t>
      </w:r>
      <w:r w:rsidRPr="0025250D">
        <w:rPr>
          <w:rFonts w:hint="cs"/>
          <w:rtl/>
        </w:rPr>
        <w:t xml:space="preserve"> چه کسانی هستند؟</w:t>
      </w:r>
    </w:p>
    <w:p w14:paraId="45E3A66B" w14:textId="1947B2CB" w:rsidR="0020732A" w:rsidRPr="0025250D" w:rsidRDefault="0020732A" w:rsidP="00492C47">
      <w:pPr>
        <w:numPr>
          <w:ilvl w:val="0"/>
          <w:numId w:val="4"/>
        </w:numPr>
      </w:pPr>
      <w:r w:rsidRPr="0025250D">
        <w:rPr>
          <w:rFonts w:hint="cs"/>
          <w:rtl/>
        </w:rPr>
        <w:t xml:space="preserve">کارسپاران من انتظار چه نوع </w:t>
      </w:r>
      <w:r w:rsidRPr="0025250D">
        <w:rPr>
          <w:rtl/>
        </w:rPr>
        <w:t>آینده‌نگاری</w:t>
      </w:r>
      <w:r w:rsidRPr="0025250D">
        <w:rPr>
          <w:rFonts w:hint="cs"/>
          <w:rtl/>
        </w:rPr>
        <w:t xml:space="preserve"> را دارند؟ آن‌ها در حقیقت به چه نوع</w:t>
      </w:r>
      <w:r w:rsidR="0015494E" w:rsidRPr="0025250D">
        <w:rPr>
          <w:rFonts w:hint="cs"/>
          <w:rtl/>
        </w:rPr>
        <w:t xml:space="preserve"> آینده‌نگاری</w:t>
      </w:r>
      <w:r w:rsidRPr="0025250D">
        <w:rPr>
          <w:rFonts w:hint="cs"/>
          <w:rtl/>
        </w:rPr>
        <w:t xml:space="preserve"> نیاز دارند؟</w:t>
      </w:r>
    </w:p>
    <w:p w14:paraId="497424F2" w14:textId="77777777" w:rsidR="0020732A" w:rsidRPr="0025250D" w:rsidRDefault="0020732A" w:rsidP="00492C47">
      <w:pPr>
        <w:numPr>
          <w:ilvl w:val="0"/>
          <w:numId w:val="4"/>
        </w:numPr>
      </w:pPr>
      <w:r w:rsidRPr="0025250D">
        <w:rPr>
          <w:rFonts w:hint="cs"/>
          <w:rtl/>
        </w:rPr>
        <w:t>چگونه می‌توانم بفهمم که کار من مؤثر است؟ چگونه ارزش آن را اثبات نمایم؟</w:t>
      </w:r>
    </w:p>
    <w:p w14:paraId="07BA3C19" w14:textId="77777777" w:rsidR="0020732A" w:rsidRPr="0025250D" w:rsidRDefault="0020732A" w:rsidP="00492C47">
      <w:pPr>
        <w:numPr>
          <w:ilvl w:val="0"/>
          <w:numId w:val="4"/>
        </w:numPr>
      </w:pPr>
      <w:r w:rsidRPr="0025250D">
        <w:rPr>
          <w:rFonts w:hint="cs"/>
          <w:rtl/>
        </w:rPr>
        <w:t xml:space="preserve">همکاران من در </w:t>
      </w:r>
      <w:r w:rsidRPr="0025250D">
        <w:rPr>
          <w:rtl/>
        </w:rPr>
        <w:t>آینده‌نگاری</w:t>
      </w:r>
      <w:r w:rsidRPr="0025250D">
        <w:rPr>
          <w:rFonts w:hint="cs"/>
          <w:rtl/>
        </w:rPr>
        <w:t xml:space="preserve"> چه کسانی هستند و چگونه می‌توانند از کار من حمایت نمایند؟</w:t>
      </w:r>
    </w:p>
    <w:p w14:paraId="0EA038F1" w14:textId="7508CD25" w:rsidR="0020732A" w:rsidRPr="0025250D" w:rsidRDefault="0020732A" w:rsidP="0020732A">
      <w:pPr>
        <w:rPr>
          <w:rtl/>
        </w:rPr>
      </w:pPr>
      <w:r w:rsidRPr="0025250D">
        <w:rPr>
          <w:rFonts w:hint="cs"/>
          <w:rtl/>
        </w:rPr>
        <w:t xml:space="preserve">ما برخی پاسخ‌های کلی را برای چنین پرسش‌هایی در این کتاب ارائه خواهیم کرد، اما شما باید پاسخ‌های فردی خود را در طول فعالیت در زمینه </w:t>
      </w:r>
      <w:r w:rsidRPr="0025250D">
        <w:rPr>
          <w:rtl/>
        </w:rPr>
        <w:t>آینده‌نگاری</w:t>
      </w:r>
      <w:r w:rsidRPr="0025250D">
        <w:rPr>
          <w:rFonts w:hint="cs"/>
          <w:rtl/>
        </w:rPr>
        <w:t xml:space="preserve"> بیابید. امیدواریم که قدر بینش </w:t>
      </w:r>
      <w:r w:rsidRPr="0025250D">
        <w:rPr>
          <w:rtl/>
        </w:rPr>
        <w:t>کسب‌شده</w:t>
      </w:r>
      <w:r w:rsidRPr="0025250D">
        <w:rPr>
          <w:rFonts w:hint="cs"/>
          <w:rtl/>
        </w:rPr>
        <w:t xml:space="preserve"> خود را بدانید و از این مسیر لذت ببرید.</w:t>
      </w:r>
    </w:p>
    <w:p w14:paraId="33B52F52" w14:textId="77777777" w:rsidR="0020732A" w:rsidRPr="0025250D" w:rsidRDefault="0020732A" w:rsidP="0020732A">
      <w:pPr>
        <w:rPr>
          <w:rtl/>
        </w:rPr>
      </w:pPr>
    </w:p>
    <w:p w14:paraId="48E5385A" w14:textId="77777777" w:rsidR="0020732A" w:rsidRPr="0025250D" w:rsidRDefault="0020732A" w:rsidP="0020732A">
      <w:pPr>
        <w:rPr>
          <w:rtl/>
        </w:rPr>
      </w:pPr>
    </w:p>
    <w:p w14:paraId="1CAFAD30" w14:textId="77777777" w:rsidR="0020732A" w:rsidRPr="0025250D" w:rsidRDefault="0020732A" w:rsidP="0020732A">
      <w:pPr>
        <w:rPr>
          <w:rtl/>
        </w:rPr>
      </w:pPr>
    </w:p>
    <w:p w14:paraId="1A93D1C6" w14:textId="77777777" w:rsidR="0020732A" w:rsidRPr="0025250D" w:rsidRDefault="0020732A" w:rsidP="0020732A">
      <w:pPr>
        <w:rPr>
          <w:rtl/>
        </w:rPr>
      </w:pPr>
    </w:p>
    <w:p w14:paraId="33E34969" w14:textId="77777777" w:rsidR="0020732A" w:rsidRPr="0025250D" w:rsidRDefault="0020732A" w:rsidP="0020732A">
      <w:pPr>
        <w:rPr>
          <w:rtl/>
        </w:rPr>
      </w:pPr>
    </w:p>
    <w:p w14:paraId="3219A9EB" w14:textId="77777777" w:rsidR="0020732A" w:rsidRPr="0025250D" w:rsidRDefault="0020732A" w:rsidP="00537CC8">
      <w:pPr>
        <w:pStyle w:val="Heading2"/>
        <w:rPr>
          <w:rtl/>
        </w:rPr>
      </w:pPr>
      <w:bookmarkStart w:id="4" w:name="_Toc127831270"/>
      <w:r w:rsidRPr="0025250D">
        <w:rPr>
          <w:rFonts w:hint="cs"/>
          <w:rtl/>
        </w:rPr>
        <w:lastRenderedPageBreak/>
        <w:t xml:space="preserve">زمینه </w:t>
      </w:r>
      <w:r w:rsidRPr="0025250D">
        <w:rPr>
          <w:rtl/>
        </w:rPr>
        <w:t>آینده‌نگاری</w:t>
      </w:r>
      <w:r w:rsidRPr="0025250D">
        <w:rPr>
          <w:rFonts w:hint="cs"/>
          <w:rtl/>
        </w:rPr>
        <w:t xml:space="preserve"> چیست؟</w:t>
      </w:r>
      <w:bookmarkEnd w:id="4"/>
    </w:p>
    <w:p w14:paraId="1D987071" w14:textId="0AA43890" w:rsidR="0020732A" w:rsidRPr="0025250D" w:rsidRDefault="0020732A" w:rsidP="0020732A">
      <w:pPr>
        <w:rPr>
          <w:rtl/>
        </w:rPr>
      </w:pPr>
      <w:r w:rsidRPr="0025250D">
        <w:rPr>
          <w:rtl/>
        </w:rPr>
        <w:t>آینده‌نگاری</w:t>
      </w:r>
      <w:r w:rsidRPr="0025250D">
        <w:rPr>
          <w:rFonts w:hint="cs"/>
          <w:rtl/>
        </w:rPr>
        <w:t xml:space="preserve"> که به‌عنوان آینده‌شناسی</w:t>
      </w:r>
      <w:r w:rsidRPr="0025250D">
        <w:rPr>
          <w:vertAlign w:val="superscript"/>
          <w:rtl/>
        </w:rPr>
        <w:footnoteReference w:id="92"/>
      </w:r>
      <w:r w:rsidRPr="0025250D">
        <w:rPr>
          <w:rFonts w:hint="cs"/>
          <w:rtl/>
        </w:rPr>
        <w:t>، آینده‌پژوهی</w:t>
      </w:r>
      <w:r w:rsidRPr="0025250D">
        <w:rPr>
          <w:vertAlign w:val="superscript"/>
          <w:rtl/>
        </w:rPr>
        <w:footnoteReference w:id="93"/>
      </w:r>
      <w:r w:rsidRPr="0025250D">
        <w:rPr>
          <w:rFonts w:hint="cs"/>
          <w:rtl/>
        </w:rPr>
        <w:t>، آینده‌گرایی</w:t>
      </w:r>
      <w:r w:rsidRPr="0025250D">
        <w:rPr>
          <w:vertAlign w:val="superscript"/>
          <w:rtl/>
        </w:rPr>
        <w:footnoteReference w:id="94"/>
      </w:r>
      <w:r w:rsidRPr="0025250D">
        <w:rPr>
          <w:rFonts w:hint="cs"/>
          <w:rtl/>
        </w:rPr>
        <w:t xml:space="preserve"> یا آینده‌ورزی</w:t>
      </w:r>
      <w:r w:rsidRPr="0025250D">
        <w:rPr>
          <w:vertAlign w:val="superscript"/>
          <w:rtl/>
        </w:rPr>
        <w:footnoteReference w:id="95"/>
      </w:r>
      <w:r w:rsidRPr="0025250D">
        <w:rPr>
          <w:rFonts w:hint="cs"/>
          <w:rtl/>
        </w:rPr>
        <w:t xml:space="preserve"> نیز شناخته می‌شود، هنر و فعالیت نگاه به آینده است. قدیمی‌ترین شکل نوشتاری ما از تفکر </w:t>
      </w:r>
      <w:r w:rsidRPr="0025250D">
        <w:rPr>
          <w:rtl/>
        </w:rPr>
        <w:t>آینده‌نگاری</w:t>
      </w:r>
      <w:r w:rsidRPr="0025250D">
        <w:rPr>
          <w:rFonts w:hint="cs"/>
          <w:rtl/>
        </w:rPr>
        <w:t xml:space="preserve">، </w:t>
      </w:r>
      <w:r w:rsidRPr="0025250D">
        <w:rPr>
          <w:rtl/>
        </w:rPr>
        <w:t>تبل</w:t>
      </w:r>
      <w:r w:rsidRPr="0025250D">
        <w:rPr>
          <w:rFonts w:hint="cs"/>
          <w:rtl/>
        </w:rPr>
        <w:t>ی</w:t>
      </w:r>
      <w:r w:rsidRPr="0025250D">
        <w:rPr>
          <w:rFonts w:hint="eastAsia"/>
          <w:rtl/>
        </w:rPr>
        <w:t>غات</w:t>
      </w:r>
      <w:r w:rsidRPr="0025250D">
        <w:rPr>
          <w:rtl/>
        </w:rPr>
        <w:t xml:space="preserve"> س</w:t>
      </w:r>
      <w:r w:rsidRPr="0025250D">
        <w:rPr>
          <w:rFonts w:hint="cs"/>
          <w:rtl/>
        </w:rPr>
        <w:t>ی</w:t>
      </w:r>
      <w:r w:rsidRPr="0025250D">
        <w:rPr>
          <w:rFonts w:hint="eastAsia"/>
          <w:rtl/>
        </w:rPr>
        <w:t>اس</w:t>
      </w:r>
      <w:r w:rsidRPr="0025250D">
        <w:rPr>
          <w:rFonts w:hint="cs"/>
          <w:rtl/>
        </w:rPr>
        <w:t>ی</w:t>
      </w:r>
      <w:r w:rsidRPr="0025250D">
        <w:rPr>
          <w:vertAlign w:val="superscript"/>
          <w:rtl/>
        </w:rPr>
        <w:footnoteReference w:id="96"/>
      </w:r>
      <w:r w:rsidRPr="0025250D">
        <w:rPr>
          <w:rFonts w:hint="cs"/>
          <w:rtl/>
        </w:rPr>
        <w:t xml:space="preserve">، مانند پیشگویی </w:t>
      </w:r>
      <w:r w:rsidRPr="0025250D">
        <w:rPr>
          <w:rtl/>
        </w:rPr>
        <w:t>ن</w:t>
      </w:r>
      <w:r w:rsidRPr="0025250D">
        <w:rPr>
          <w:rFonts w:hint="cs"/>
          <w:rtl/>
        </w:rPr>
        <w:t>ِ</w:t>
      </w:r>
      <w:r w:rsidRPr="0025250D">
        <w:rPr>
          <w:rtl/>
        </w:rPr>
        <w:t>ف</w:t>
      </w:r>
      <w:r w:rsidRPr="0025250D">
        <w:rPr>
          <w:rFonts w:hint="cs"/>
          <w:rtl/>
        </w:rPr>
        <w:t>ِ</w:t>
      </w:r>
      <w:r w:rsidRPr="0025250D">
        <w:rPr>
          <w:rtl/>
        </w:rPr>
        <w:t>رت</w:t>
      </w:r>
      <w:r w:rsidRPr="0025250D">
        <w:rPr>
          <w:rFonts w:hint="cs"/>
          <w:rtl/>
        </w:rPr>
        <w:t>ی</w:t>
      </w:r>
      <w:r w:rsidRPr="0025250D">
        <w:rPr>
          <w:vertAlign w:val="superscript"/>
          <w:rtl/>
        </w:rPr>
        <w:footnoteReference w:id="97"/>
      </w:r>
      <w:r w:rsidRPr="0025250D">
        <w:rPr>
          <w:rFonts w:hint="cs"/>
          <w:rtl/>
        </w:rPr>
        <w:t xml:space="preserve"> در 1960 پیش از میلاد، در مصر باستان است. مورد بعدی</w:t>
      </w:r>
      <w:r w:rsidR="0015494E" w:rsidRPr="0025250D">
        <w:rPr>
          <w:rFonts w:hint="cs"/>
          <w:rtl/>
        </w:rPr>
        <w:t>،</w:t>
      </w:r>
      <w:r w:rsidRPr="0025250D">
        <w:rPr>
          <w:rFonts w:hint="cs"/>
          <w:rtl/>
        </w:rPr>
        <w:t xml:space="preserve"> پیشگویی‌های مذهبی، مانند پیشگویی‌های معبد دلفی آپولو</w:t>
      </w:r>
      <w:r w:rsidRPr="0025250D">
        <w:rPr>
          <w:vertAlign w:val="superscript"/>
          <w:rtl/>
        </w:rPr>
        <w:footnoteReference w:id="98"/>
      </w:r>
      <w:r w:rsidRPr="0025250D">
        <w:rPr>
          <w:rFonts w:hint="cs"/>
          <w:rtl/>
        </w:rPr>
        <w:t xml:space="preserve"> در یونان باستان (1400 پیش</w:t>
      </w:r>
      <w:r w:rsidRPr="0025250D">
        <w:rPr>
          <w:rtl/>
        </w:rPr>
        <w:t xml:space="preserve"> </w:t>
      </w:r>
      <w:r w:rsidRPr="0025250D">
        <w:rPr>
          <w:rFonts w:hint="cs"/>
          <w:rtl/>
        </w:rPr>
        <w:t>از</w:t>
      </w:r>
      <w:r w:rsidRPr="0025250D">
        <w:rPr>
          <w:rtl/>
        </w:rPr>
        <w:t xml:space="preserve"> </w:t>
      </w:r>
      <w:r w:rsidRPr="0025250D">
        <w:rPr>
          <w:rFonts w:hint="cs"/>
          <w:rtl/>
        </w:rPr>
        <w:t>میلاد</w:t>
      </w:r>
      <w:r w:rsidRPr="0025250D">
        <w:rPr>
          <w:rtl/>
        </w:rPr>
        <w:t xml:space="preserve"> </w:t>
      </w:r>
      <w:r w:rsidRPr="0025250D">
        <w:rPr>
          <w:rFonts w:hint="cs"/>
          <w:rtl/>
        </w:rPr>
        <w:t>مسیح</w:t>
      </w:r>
      <w:r w:rsidRPr="0025250D">
        <w:rPr>
          <w:rtl/>
        </w:rPr>
        <w:t xml:space="preserve"> </w:t>
      </w:r>
      <w:r w:rsidRPr="0025250D">
        <w:rPr>
          <w:rFonts w:hint="cs"/>
          <w:rtl/>
        </w:rPr>
        <w:t xml:space="preserve">تا 395 پس از میلاد مسیح) و پیشگویی‌هایی در قرن‌های بعدی در میان یونانیان، </w:t>
      </w:r>
      <w:r w:rsidRPr="0025250D">
        <w:rPr>
          <w:rtl/>
        </w:rPr>
        <w:t>مزد</w:t>
      </w:r>
      <w:r w:rsidRPr="0025250D">
        <w:rPr>
          <w:rFonts w:hint="cs"/>
          <w:rtl/>
        </w:rPr>
        <w:t>ی</w:t>
      </w:r>
      <w:r w:rsidRPr="0025250D">
        <w:rPr>
          <w:rFonts w:hint="eastAsia"/>
          <w:rtl/>
        </w:rPr>
        <w:t>سنا</w:t>
      </w:r>
      <w:r w:rsidRPr="0025250D">
        <w:rPr>
          <w:rFonts w:hint="cs"/>
          <w:rtl/>
        </w:rPr>
        <w:t>ها</w:t>
      </w:r>
      <w:r w:rsidRPr="0025250D">
        <w:rPr>
          <w:vertAlign w:val="superscript"/>
          <w:rtl/>
        </w:rPr>
        <w:footnoteReference w:id="99"/>
      </w:r>
      <w:r w:rsidRPr="0025250D">
        <w:rPr>
          <w:rFonts w:hint="cs"/>
          <w:rtl/>
        </w:rPr>
        <w:t xml:space="preserve">، رومی‌ها، زرتشتی‌ها، یهودی‌ها، مسیحی‌ها، مسلمانان، هندوها، کنفوسیوسی‌ها و ادیان جدید‌تر است. یک شکل باستانی دیگر از </w:t>
      </w:r>
      <w:r w:rsidRPr="0025250D">
        <w:rPr>
          <w:rtl/>
        </w:rPr>
        <w:t>آینده‌نگاری</w:t>
      </w:r>
      <w:r w:rsidRPr="0025250D">
        <w:rPr>
          <w:rFonts w:hint="cs"/>
          <w:rtl/>
        </w:rPr>
        <w:t>، آرمان‌شهرگرایی</w:t>
      </w:r>
      <w:r w:rsidRPr="0025250D">
        <w:rPr>
          <w:vertAlign w:val="superscript"/>
          <w:rtl/>
        </w:rPr>
        <w:footnoteReference w:id="100"/>
      </w:r>
      <w:r w:rsidRPr="0025250D">
        <w:rPr>
          <w:rFonts w:hint="cs"/>
          <w:rtl/>
        </w:rPr>
        <w:t xml:space="preserve"> یا فلسفه سیاسی آرمان‌گرا می‌باشد. ما </w:t>
      </w:r>
      <w:r w:rsidRPr="0025250D">
        <w:rPr>
          <w:rtl/>
        </w:rPr>
        <w:t>آینده‌نگاری</w:t>
      </w:r>
      <w:r w:rsidRPr="0025250D">
        <w:rPr>
          <w:rFonts w:hint="cs"/>
          <w:rtl/>
        </w:rPr>
        <w:t xml:space="preserve"> آرمان‌شهری</w:t>
      </w:r>
      <w:r w:rsidRPr="0025250D">
        <w:rPr>
          <w:vertAlign w:val="superscript"/>
          <w:rtl/>
        </w:rPr>
        <w:footnoteReference w:id="101"/>
      </w:r>
      <w:r w:rsidRPr="0025250D">
        <w:rPr>
          <w:rFonts w:hint="cs"/>
          <w:rtl/>
        </w:rPr>
        <w:t xml:space="preserve"> را در کتاب جمهور</w:t>
      </w:r>
      <w:r w:rsidRPr="0025250D">
        <w:rPr>
          <w:vertAlign w:val="superscript"/>
          <w:rtl/>
        </w:rPr>
        <w:footnoteReference w:id="102"/>
      </w:r>
      <w:r w:rsidRPr="0025250D">
        <w:rPr>
          <w:rFonts w:hint="cs"/>
          <w:rtl/>
        </w:rPr>
        <w:t xml:space="preserve"> افلاطون</w:t>
      </w:r>
      <w:r w:rsidR="0015494E" w:rsidRPr="0025250D">
        <w:rPr>
          <w:rFonts w:hint="cs"/>
          <w:rtl/>
        </w:rPr>
        <w:t xml:space="preserve"> در</w:t>
      </w:r>
      <w:r w:rsidRPr="0025250D">
        <w:rPr>
          <w:rFonts w:hint="cs"/>
          <w:rtl/>
        </w:rPr>
        <w:t xml:space="preserve"> 380 سال پیش از میلاد مسیح (در یونان)، کتاب آرمان‌شهر</w:t>
      </w:r>
      <w:r w:rsidRPr="0025250D">
        <w:rPr>
          <w:vertAlign w:val="superscript"/>
          <w:rtl/>
        </w:rPr>
        <w:footnoteReference w:id="103"/>
      </w:r>
      <w:r w:rsidRPr="0025250D">
        <w:rPr>
          <w:rFonts w:hint="cs"/>
          <w:rtl/>
        </w:rPr>
        <w:t xml:space="preserve"> نوشته </w:t>
      </w:r>
      <w:r w:rsidRPr="0025250D">
        <w:rPr>
          <w:rtl/>
        </w:rPr>
        <w:t>توماس مور</w:t>
      </w:r>
      <w:r w:rsidRPr="0025250D">
        <w:rPr>
          <w:vertAlign w:val="superscript"/>
          <w:rtl/>
        </w:rPr>
        <w:footnoteReference w:id="104"/>
      </w:r>
      <w:r w:rsidRPr="0025250D">
        <w:rPr>
          <w:rFonts w:hint="cs"/>
          <w:rtl/>
        </w:rPr>
        <w:t xml:space="preserve"> در 1516 (انگلستان) و فلسفه نویسندگان سیاسی مانند کارل مارکس (آلمان) و مائو زدونگ</w:t>
      </w:r>
      <w:r w:rsidRPr="0025250D">
        <w:rPr>
          <w:vertAlign w:val="superscript"/>
          <w:rtl/>
        </w:rPr>
        <w:footnoteReference w:id="105"/>
      </w:r>
      <w:r w:rsidRPr="0025250D">
        <w:rPr>
          <w:rFonts w:hint="cs"/>
          <w:rtl/>
        </w:rPr>
        <w:t xml:space="preserve"> (چین) می‌یابیم.</w:t>
      </w:r>
    </w:p>
    <w:p w14:paraId="7C1E713E" w14:textId="09854AFE" w:rsidR="0020732A" w:rsidRPr="0025250D" w:rsidRDefault="0020589F" w:rsidP="0020732A">
      <w:pPr>
        <w:rPr>
          <w:rtl/>
        </w:rPr>
      </w:pPr>
      <w:r w:rsidRPr="0025250D">
        <w:rPr>
          <w:rtl/>
        </w:rPr>
        <w:t>اما</w:t>
      </w:r>
      <w:r w:rsidR="0020732A" w:rsidRPr="0025250D">
        <w:rPr>
          <w:rFonts w:hint="cs"/>
          <w:rtl/>
        </w:rPr>
        <w:t xml:space="preserve"> درحالی‌که </w:t>
      </w:r>
      <w:r w:rsidR="0020732A" w:rsidRPr="0025250D">
        <w:rPr>
          <w:rtl/>
        </w:rPr>
        <w:t>تبل</w:t>
      </w:r>
      <w:r w:rsidR="0020732A" w:rsidRPr="0025250D">
        <w:rPr>
          <w:rFonts w:hint="cs"/>
          <w:rtl/>
        </w:rPr>
        <w:t>ی</w:t>
      </w:r>
      <w:r w:rsidR="0020732A" w:rsidRPr="0025250D">
        <w:rPr>
          <w:rFonts w:hint="eastAsia"/>
          <w:rtl/>
        </w:rPr>
        <w:t>غات</w:t>
      </w:r>
      <w:r w:rsidR="0020732A" w:rsidRPr="0025250D">
        <w:rPr>
          <w:rtl/>
        </w:rPr>
        <w:t xml:space="preserve"> س</w:t>
      </w:r>
      <w:r w:rsidR="0020732A" w:rsidRPr="0025250D">
        <w:rPr>
          <w:rFonts w:hint="cs"/>
          <w:rtl/>
        </w:rPr>
        <w:t>ی</w:t>
      </w:r>
      <w:r w:rsidR="0020732A" w:rsidRPr="0025250D">
        <w:rPr>
          <w:rFonts w:hint="eastAsia"/>
          <w:rtl/>
        </w:rPr>
        <w:t>اس</w:t>
      </w:r>
      <w:r w:rsidR="0020732A" w:rsidRPr="0025250D">
        <w:rPr>
          <w:rFonts w:hint="cs"/>
          <w:rtl/>
        </w:rPr>
        <w:t xml:space="preserve">ی، پیشگویی مذهبی و </w:t>
      </w:r>
      <w:r w:rsidR="0020732A" w:rsidRPr="0025250D">
        <w:rPr>
          <w:rtl/>
        </w:rPr>
        <w:t>آینده‌نگاری</w:t>
      </w:r>
      <w:r w:rsidR="0020732A" w:rsidRPr="0025250D">
        <w:rPr>
          <w:rFonts w:hint="cs"/>
          <w:rtl/>
        </w:rPr>
        <w:t xml:space="preserve"> آرمان‌شهری همگی برای توسعه انسان و شکل‌گیری جوامع مدرن ما نقش محوری داشته‌اند، هیچ‌یک از این موارد موضوع اصلی این کتاب نیستند. ما در اصل بر </w:t>
      </w:r>
      <w:r w:rsidR="0020732A" w:rsidRPr="0025250D">
        <w:rPr>
          <w:rtl/>
        </w:rPr>
        <w:t>آینده‌نگاری</w:t>
      </w:r>
      <w:r w:rsidR="0020732A" w:rsidRPr="0025250D">
        <w:rPr>
          <w:rFonts w:hint="cs"/>
          <w:rtl/>
        </w:rPr>
        <w:t xml:space="preserve"> سکولار</w:t>
      </w:r>
      <w:r w:rsidR="0020732A" w:rsidRPr="0025250D">
        <w:rPr>
          <w:vertAlign w:val="superscript"/>
          <w:rtl/>
        </w:rPr>
        <w:footnoteReference w:id="106"/>
      </w:r>
      <w:r w:rsidR="0020732A" w:rsidRPr="0025250D">
        <w:rPr>
          <w:rFonts w:hint="cs"/>
          <w:rtl/>
        </w:rPr>
        <w:t xml:space="preserve">، یک نحوه تفکر که در دوره روشنگری اروپا </w:t>
      </w:r>
      <w:r w:rsidR="0020732A" w:rsidRPr="0025250D">
        <w:rPr>
          <w:rtl/>
        </w:rPr>
        <w:t>(1650-1850)</w:t>
      </w:r>
      <w:r w:rsidR="0020732A" w:rsidRPr="0025250D">
        <w:rPr>
          <w:rFonts w:hint="cs"/>
          <w:rtl/>
        </w:rPr>
        <w:t xml:space="preserve"> محبوب شد، تمرکز می‌کنیم. </w:t>
      </w:r>
      <w:r w:rsidR="0020732A" w:rsidRPr="0025250D">
        <w:rPr>
          <w:rtl/>
        </w:rPr>
        <w:t>آینده‌نگاری</w:t>
      </w:r>
      <w:r w:rsidR="0020732A" w:rsidRPr="0025250D">
        <w:rPr>
          <w:rFonts w:hint="cs"/>
          <w:rtl/>
        </w:rPr>
        <w:t xml:space="preserve"> سکولار نه‌تنها از آرمان‌های </w:t>
      </w:r>
      <w:r w:rsidR="0020732A" w:rsidRPr="0025250D">
        <w:rPr>
          <w:rtl/>
        </w:rPr>
        <w:t>چشم‌اندازگرا</w:t>
      </w:r>
      <w:r w:rsidR="0020732A" w:rsidRPr="0025250D">
        <w:rPr>
          <w:rFonts w:hint="cs"/>
          <w:rtl/>
        </w:rPr>
        <w:t xml:space="preserve"> بر پایه تبلیغات سیاسی، پیشگویی و تفکر آرمان‌شهری استفاده می‌کند، بلکه همچنین از شهود</w:t>
      </w:r>
      <w:r w:rsidR="0020732A" w:rsidRPr="0025250D">
        <w:rPr>
          <w:vertAlign w:val="superscript"/>
          <w:rtl/>
        </w:rPr>
        <w:footnoteReference w:id="107"/>
      </w:r>
      <w:r w:rsidR="0020732A" w:rsidRPr="0025250D">
        <w:rPr>
          <w:rFonts w:hint="cs"/>
          <w:rtl/>
        </w:rPr>
        <w:t>، دلیل</w:t>
      </w:r>
      <w:r w:rsidR="0020732A" w:rsidRPr="0025250D">
        <w:rPr>
          <w:vertAlign w:val="superscript"/>
          <w:rtl/>
        </w:rPr>
        <w:footnoteReference w:id="108"/>
      </w:r>
      <w:r w:rsidR="0020732A" w:rsidRPr="0025250D">
        <w:rPr>
          <w:rFonts w:hint="cs"/>
          <w:rtl/>
        </w:rPr>
        <w:t>، مدرک، گفتمان، نقد و آزمایش به‌منظور راهنمای</w:t>
      </w:r>
      <w:r w:rsidR="0015494E" w:rsidRPr="0025250D">
        <w:rPr>
          <w:rFonts w:hint="cs"/>
          <w:rtl/>
        </w:rPr>
        <w:t>ی</w:t>
      </w:r>
      <w:r w:rsidR="0020732A" w:rsidRPr="0025250D">
        <w:rPr>
          <w:rFonts w:hint="cs"/>
          <w:rtl/>
        </w:rPr>
        <w:t xml:space="preserve"> جهت تعیین ارزش‌ها، تحلیل، </w:t>
      </w:r>
      <w:r w:rsidR="00701E03" w:rsidRPr="0025250D">
        <w:rPr>
          <w:rFonts w:hint="cs"/>
          <w:rtl/>
        </w:rPr>
        <w:t>راهبرد</w:t>
      </w:r>
      <w:r w:rsidR="0020732A" w:rsidRPr="0025250D">
        <w:rPr>
          <w:rFonts w:hint="cs"/>
          <w:rtl/>
        </w:rPr>
        <w:t>، تنظیم اهداف، برنامه‌ریزی و اقدام عملی جمعی و فردی بهره می‌گیرد.</w:t>
      </w:r>
    </w:p>
    <w:p w14:paraId="36EB61B1" w14:textId="081D1690" w:rsidR="0020732A" w:rsidRPr="0025250D" w:rsidRDefault="0020732A" w:rsidP="0020732A">
      <w:pPr>
        <w:rPr>
          <w:rtl/>
        </w:rPr>
      </w:pPr>
      <w:r w:rsidRPr="0025250D">
        <w:rPr>
          <w:rFonts w:hint="cs"/>
          <w:rtl/>
        </w:rPr>
        <w:t xml:space="preserve">در </w:t>
      </w:r>
      <w:r w:rsidRPr="0025250D">
        <w:rPr>
          <w:rtl/>
        </w:rPr>
        <w:t>آینده‌نگاری</w:t>
      </w:r>
      <w:r w:rsidRPr="0025250D">
        <w:rPr>
          <w:rFonts w:hint="cs"/>
          <w:rtl/>
        </w:rPr>
        <w:t xml:space="preserve"> سکولار، تمرکز اول ما بر </w:t>
      </w:r>
      <w:r w:rsidRPr="0025250D">
        <w:rPr>
          <w:rtl/>
        </w:rPr>
        <w:t>آینده‌نگاری</w:t>
      </w:r>
      <w:r w:rsidRPr="0025250D">
        <w:rPr>
          <w:rFonts w:hint="cs"/>
          <w:rtl/>
        </w:rPr>
        <w:t xml:space="preserve"> </w:t>
      </w:r>
      <w:r w:rsidR="00701E03" w:rsidRPr="0025250D">
        <w:rPr>
          <w:rFonts w:hint="cs"/>
          <w:rtl/>
        </w:rPr>
        <w:t>راهبردی</w:t>
      </w:r>
      <w:r w:rsidRPr="0025250D">
        <w:rPr>
          <w:vertAlign w:val="superscript"/>
          <w:rtl/>
        </w:rPr>
        <w:footnoteReference w:id="109"/>
      </w:r>
      <w:r w:rsidRPr="0025250D">
        <w:rPr>
          <w:rFonts w:hint="cs"/>
          <w:rtl/>
        </w:rPr>
        <w:t xml:space="preserve"> می‌باشد - مجموعه‌ای از فعالیت‌ها و روش‌ها که پس از جنگ جهانی دوم در آمریکا، اروپا و آسیا به کار گرفته شدند.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با هدف بهبود مدیریت </w:t>
      </w:r>
      <w:r w:rsidR="00701E03" w:rsidRPr="0025250D">
        <w:rPr>
          <w:rFonts w:hint="cs"/>
          <w:rtl/>
        </w:rPr>
        <w:t>راهبردی</w:t>
      </w:r>
      <w:r w:rsidRPr="0025250D">
        <w:rPr>
          <w:rFonts w:hint="cs"/>
          <w:rtl/>
        </w:rPr>
        <w:t xml:space="preserve"> انجام می‌شود.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از اقداماتی مانند پویش محیطی</w:t>
      </w:r>
      <w:r w:rsidRPr="0025250D">
        <w:rPr>
          <w:vertAlign w:val="superscript"/>
          <w:rtl/>
        </w:rPr>
        <w:footnoteReference w:id="110"/>
      </w:r>
      <w:r w:rsidRPr="0025250D">
        <w:rPr>
          <w:rFonts w:hint="cs"/>
          <w:rtl/>
        </w:rPr>
        <w:t>، اطلاعات، روندها، پیش‌نگری‌ها، پیش‌بینی‌های احتمالی، استدلال‌نگاشت</w:t>
      </w:r>
      <w:r w:rsidRPr="0025250D">
        <w:rPr>
          <w:vertAlign w:val="superscript"/>
          <w:rtl/>
        </w:rPr>
        <w:footnoteReference w:id="111"/>
      </w:r>
      <w:r w:rsidRPr="0025250D">
        <w:rPr>
          <w:rFonts w:hint="cs"/>
          <w:rtl/>
        </w:rPr>
        <w:t>، فرانامه‌ها</w:t>
      </w:r>
      <w:r w:rsidR="007A53FD" w:rsidRPr="0025250D">
        <w:rPr>
          <w:rStyle w:val="FootnoteReference"/>
          <w:rtl/>
        </w:rPr>
        <w:footnoteReference w:id="112"/>
      </w:r>
      <w:r w:rsidRPr="0025250D">
        <w:rPr>
          <w:rFonts w:hint="cs"/>
          <w:rtl/>
        </w:rPr>
        <w:t>، تفکر طراحی، چشم‌انداز</w:t>
      </w:r>
      <w:r w:rsidRPr="0025250D">
        <w:rPr>
          <w:rtl/>
        </w:rPr>
        <w:t>ساز</w:t>
      </w:r>
      <w:r w:rsidRPr="0025250D">
        <w:rPr>
          <w:rFonts w:hint="cs"/>
          <w:rtl/>
        </w:rPr>
        <w:t>ی</w:t>
      </w:r>
      <w:r w:rsidR="0015494E" w:rsidRPr="0025250D">
        <w:rPr>
          <w:rStyle w:val="FootnoteReference"/>
          <w:rtl/>
        </w:rPr>
        <w:footnoteReference w:id="113"/>
      </w:r>
      <w:r w:rsidRPr="0025250D">
        <w:rPr>
          <w:rFonts w:hint="cs"/>
          <w:rtl/>
        </w:rPr>
        <w:t xml:space="preserve">، تحلیل و بازخورد جهت بهبود </w:t>
      </w:r>
      <w:r w:rsidR="00701E03" w:rsidRPr="0025250D">
        <w:rPr>
          <w:rFonts w:hint="cs"/>
          <w:rtl/>
        </w:rPr>
        <w:t>راهبرد</w:t>
      </w:r>
      <w:r w:rsidRPr="0025250D">
        <w:rPr>
          <w:rFonts w:hint="cs"/>
          <w:rtl/>
        </w:rPr>
        <w:t xml:space="preserve"> و اقدام عملی فردی، تیمی یا سازمانی استفاده می‌کند.</w:t>
      </w:r>
    </w:p>
    <w:p w14:paraId="7F0F9B0A" w14:textId="25D12294" w:rsidR="0020732A" w:rsidRPr="0025250D" w:rsidRDefault="0020732A" w:rsidP="0020732A">
      <w:pPr>
        <w:rPr>
          <w:rtl/>
        </w:rPr>
      </w:pPr>
      <w:r w:rsidRPr="0025250D">
        <w:rPr>
          <w:rFonts w:hint="cs"/>
          <w:rtl/>
        </w:rPr>
        <w:t xml:space="preserve">به‌طور مشخص‌تر،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از روش‌های </w:t>
      </w:r>
      <w:r w:rsidRPr="0025250D">
        <w:rPr>
          <w:rtl/>
        </w:rPr>
        <w:t>آینده‌نگاری</w:t>
      </w:r>
      <w:r w:rsidRPr="0025250D">
        <w:rPr>
          <w:rFonts w:hint="cs"/>
          <w:rtl/>
        </w:rPr>
        <w:t xml:space="preserve"> و آینده‌اندیشی</w:t>
      </w:r>
      <w:r w:rsidRPr="0025250D">
        <w:rPr>
          <w:vertAlign w:val="superscript"/>
          <w:rtl/>
        </w:rPr>
        <w:footnoteReference w:id="114"/>
      </w:r>
      <w:r w:rsidRPr="0025250D">
        <w:rPr>
          <w:rFonts w:hint="cs"/>
          <w:rtl/>
        </w:rPr>
        <w:t xml:space="preserve"> به‌منظور ایجاد، تأیید یا تغییر </w:t>
      </w:r>
      <w:r w:rsidR="00701E03" w:rsidRPr="0025250D">
        <w:rPr>
          <w:rFonts w:hint="cs"/>
          <w:rtl/>
        </w:rPr>
        <w:t>راهبرد</w:t>
      </w:r>
      <w:r w:rsidRPr="0025250D">
        <w:rPr>
          <w:rFonts w:hint="cs"/>
          <w:rtl/>
        </w:rPr>
        <w:t>‌ها و اغلب پیشایندها</w:t>
      </w:r>
      <w:r w:rsidRPr="0025250D">
        <w:rPr>
          <w:vertAlign w:val="superscript"/>
          <w:rtl/>
        </w:rPr>
        <w:footnoteReference w:id="115"/>
      </w:r>
      <w:r w:rsidRPr="0025250D">
        <w:rPr>
          <w:rFonts w:hint="cs"/>
          <w:rtl/>
        </w:rPr>
        <w:t xml:space="preserve"> (اهداف، ارزش‌ها، چشم‌اندازها) و وابسته‌های</w:t>
      </w:r>
      <w:r w:rsidRPr="0025250D">
        <w:rPr>
          <w:vertAlign w:val="superscript"/>
          <w:rtl/>
        </w:rPr>
        <w:footnoteReference w:id="116"/>
      </w:r>
      <w:r w:rsidRPr="0025250D">
        <w:rPr>
          <w:rFonts w:hint="cs"/>
          <w:rtl/>
        </w:rPr>
        <w:t xml:space="preserve"> (برنامه‌ها و اقدامات) </w:t>
      </w:r>
      <w:r w:rsidR="00701E03" w:rsidRPr="0025250D">
        <w:rPr>
          <w:rFonts w:hint="cs"/>
          <w:rtl/>
        </w:rPr>
        <w:t>راهبرد</w:t>
      </w:r>
      <w:r w:rsidRPr="0025250D">
        <w:rPr>
          <w:rFonts w:hint="cs"/>
          <w:rtl/>
        </w:rPr>
        <w:t xml:space="preserve"> استفاده می‌کند. در صوتی که آینده‌اندیشی ما بر </w:t>
      </w:r>
      <w:r w:rsidR="00701E03" w:rsidRPr="0025250D">
        <w:rPr>
          <w:rFonts w:hint="cs"/>
          <w:rtl/>
        </w:rPr>
        <w:t>راهبرد</w:t>
      </w:r>
      <w:r w:rsidRPr="0025250D">
        <w:rPr>
          <w:rFonts w:hint="cs"/>
          <w:rtl/>
        </w:rPr>
        <w:t xml:space="preserve"> تأثیرگذار </w:t>
      </w:r>
      <w:r w:rsidRPr="0025250D">
        <w:rPr>
          <w:rFonts w:hint="cs"/>
          <w:rtl/>
        </w:rPr>
        <w:lastRenderedPageBreak/>
        <w:t xml:space="preserve">نباشد، می‌تواند به‌عنوان تصور، سرگرمی یا حتی تحصیل محسوب شود؛ </w:t>
      </w:r>
      <w:r w:rsidR="0020589F" w:rsidRPr="0025250D">
        <w:rPr>
          <w:rtl/>
        </w:rPr>
        <w:t>اما</w:t>
      </w:r>
      <w:r w:rsidRPr="0025250D">
        <w:rPr>
          <w:rFonts w:hint="cs"/>
          <w:rtl/>
        </w:rPr>
        <w:t xml:space="preserve">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نخواهد بود. به‌طور خاص‌تر،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به دنبال این است که به ما بگوید که برای مؤثر بودن در دست‌یابی به اهداف یا چشم‌اندازهای مشخصی که انتخاب کرده‌ایم باید چه کنیم.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مانند </w:t>
      </w:r>
      <w:r w:rsidR="00701E03" w:rsidRPr="0025250D">
        <w:rPr>
          <w:rFonts w:hint="cs"/>
          <w:rtl/>
        </w:rPr>
        <w:t>راهبرد</w:t>
      </w:r>
      <w:r w:rsidRPr="0025250D">
        <w:rPr>
          <w:rFonts w:hint="cs"/>
          <w:rtl/>
        </w:rPr>
        <w:t>، تجویزکننده</w:t>
      </w:r>
      <w:r w:rsidRPr="0025250D">
        <w:rPr>
          <w:vertAlign w:val="superscript"/>
          <w:rtl/>
        </w:rPr>
        <w:footnoteReference w:id="117"/>
      </w:r>
      <w:r w:rsidRPr="0025250D">
        <w:rPr>
          <w:rFonts w:hint="cs"/>
          <w:rtl/>
        </w:rPr>
        <w:t xml:space="preserve"> است، اما کاملاً مشابه آن نیست. </w:t>
      </w:r>
      <w:r w:rsidR="00701E03" w:rsidRPr="0025250D">
        <w:rPr>
          <w:rFonts w:hint="cs"/>
          <w:rtl/>
        </w:rPr>
        <w:t>راهبرد</w:t>
      </w:r>
      <w:r w:rsidRPr="0025250D">
        <w:rPr>
          <w:rFonts w:hint="cs"/>
          <w:rtl/>
        </w:rPr>
        <w:t xml:space="preserve"> به ما می‌گوید که برای رسیدن به آنچه می‌خواهیم چه کاری انجام دهیم، اما به ما نمی‌گوید که آیا اهداف و چشم‌اندازهای ما برای خودمان، دیگران و سیاره زمین در بلندمدت بهترین موارد هستند یا خیر.</w:t>
      </w:r>
    </w:p>
    <w:p w14:paraId="14BBC360" w14:textId="69AA9D70" w:rsidR="0020732A" w:rsidRPr="0025250D" w:rsidRDefault="0020732A" w:rsidP="0020732A">
      <w:pPr>
        <w:rPr>
          <w:rtl/>
        </w:rPr>
      </w:pPr>
      <w:r w:rsidRPr="0025250D">
        <w:rPr>
          <w:rFonts w:hint="cs"/>
          <w:rtl/>
        </w:rPr>
        <w:t xml:space="preserve">تمرکز دوم ما بر </w:t>
      </w:r>
      <w:r w:rsidRPr="0025250D">
        <w:rPr>
          <w:rtl/>
        </w:rPr>
        <w:t>آینده‌نگاری</w:t>
      </w:r>
      <w:r w:rsidRPr="0025250D">
        <w:rPr>
          <w:rFonts w:hint="cs"/>
          <w:rtl/>
        </w:rPr>
        <w:t xml:space="preserve"> </w:t>
      </w:r>
      <w:r w:rsidR="0015494E" w:rsidRPr="0025250D">
        <w:rPr>
          <w:rFonts w:hint="cs"/>
          <w:rtl/>
        </w:rPr>
        <w:t>انطباقی</w:t>
      </w:r>
      <w:r w:rsidRPr="0025250D">
        <w:rPr>
          <w:vertAlign w:val="superscript"/>
          <w:rtl/>
        </w:rPr>
        <w:footnoteReference w:id="118"/>
      </w:r>
      <w:r w:rsidRPr="0025250D">
        <w:rPr>
          <w:rFonts w:hint="cs"/>
          <w:rtl/>
        </w:rPr>
        <w:t xml:space="preserve"> است</w:t>
      </w:r>
      <w:r w:rsidR="008D6F97" w:rsidRPr="0025250D">
        <w:rPr>
          <w:rtl/>
        </w:rPr>
        <w:t xml:space="preserve">؛ </w:t>
      </w:r>
      <w:r w:rsidRPr="0025250D">
        <w:rPr>
          <w:rFonts w:hint="cs"/>
          <w:rtl/>
        </w:rPr>
        <w:t xml:space="preserve">مانند </w:t>
      </w:r>
      <w:r w:rsidR="0015494E" w:rsidRPr="0025250D">
        <w:rPr>
          <w:rFonts w:hint="cs"/>
          <w:rtl/>
        </w:rPr>
        <w:t>انطباق</w:t>
      </w:r>
      <w:r w:rsidRPr="0025250D">
        <w:rPr>
          <w:rFonts w:hint="cs"/>
          <w:rtl/>
        </w:rPr>
        <w:t xml:space="preserve"> زیستی، </w:t>
      </w:r>
      <w:r w:rsidRPr="0025250D">
        <w:rPr>
          <w:rtl/>
        </w:rPr>
        <w:t>آینده‌نگاری</w:t>
      </w:r>
      <w:r w:rsidRPr="0025250D">
        <w:rPr>
          <w:rFonts w:hint="cs"/>
          <w:rtl/>
        </w:rPr>
        <w:t xml:space="preserve"> </w:t>
      </w:r>
      <w:r w:rsidR="0015494E" w:rsidRPr="0025250D">
        <w:rPr>
          <w:rFonts w:hint="cs"/>
          <w:rtl/>
        </w:rPr>
        <w:t>انطباقی</w:t>
      </w:r>
      <w:r w:rsidRPr="0025250D">
        <w:rPr>
          <w:rFonts w:hint="cs"/>
          <w:rtl/>
        </w:rPr>
        <w:t xml:space="preserve"> هر </w:t>
      </w:r>
      <w:r w:rsidR="00701E03" w:rsidRPr="0025250D">
        <w:rPr>
          <w:rFonts w:hint="cs"/>
          <w:rtl/>
        </w:rPr>
        <w:t>راهبرد</w:t>
      </w:r>
      <w:r w:rsidRPr="0025250D">
        <w:rPr>
          <w:rFonts w:hint="cs"/>
          <w:rtl/>
        </w:rPr>
        <w:t>، برنامه یا اقدام</w:t>
      </w:r>
      <w:r w:rsidR="0015494E" w:rsidRPr="0025250D">
        <w:rPr>
          <w:rFonts w:hint="cs"/>
          <w:rtl/>
        </w:rPr>
        <w:t>ی</w:t>
      </w:r>
      <w:r w:rsidRPr="0025250D">
        <w:rPr>
          <w:rFonts w:hint="cs"/>
          <w:rtl/>
        </w:rPr>
        <w:t xml:space="preserve"> است که به ما برای رشد و ترقی (که به‌عنوان پیشرفت</w:t>
      </w:r>
      <w:r w:rsidRPr="0025250D">
        <w:rPr>
          <w:vertAlign w:val="superscript"/>
          <w:rtl/>
        </w:rPr>
        <w:footnoteReference w:id="119"/>
      </w:r>
      <w:r w:rsidRPr="0025250D">
        <w:rPr>
          <w:rFonts w:hint="cs"/>
          <w:rtl/>
        </w:rPr>
        <w:t>، بهبود</w:t>
      </w:r>
      <w:r w:rsidRPr="0025250D">
        <w:rPr>
          <w:vertAlign w:val="superscript"/>
          <w:rtl/>
        </w:rPr>
        <w:footnoteReference w:id="120"/>
      </w:r>
      <w:r w:rsidRPr="0025250D">
        <w:rPr>
          <w:rFonts w:hint="cs"/>
          <w:rtl/>
        </w:rPr>
        <w:t>، پیشروی</w:t>
      </w:r>
      <w:r w:rsidRPr="0025250D">
        <w:rPr>
          <w:vertAlign w:val="superscript"/>
          <w:rtl/>
        </w:rPr>
        <w:footnoteReference w:id="121"/>
      </w:r>
      <w:r w:rsidRPr="0025250D">
        <w:rPr>
          <w:rFonts w:hint="cs"/>
          <w:rtl/>
        </w:rPr>
        <w:t xml:space="preserve"> نیز شناخته می‌شود) در بلندمدت کمک کند. این مورد قدرت تجویز بالاتری دارد. </w:t>
      </w:r>
      <w:r w:rsidRPr="0025250D">
        <w:rPr>
          <w:rtl/>
        </w:rPr>
        <w:t>آینده‌نگاری</w:t>
      </w:r>
      <w:r w:rsidRPr="0025250D">
        <w:rPr>
          <w:rFonts w:hint="cs"/>
          <w:rtl/>
        </w:rPr>
        <w:t xml:space="preserve"> </w:t>
      </w:r>
      <w:r w:rsidR="002F3C14" w:rsidRPr="0025250D">
        <w:rPr>
          <w:rFonts w:hint="cs"/>
          <w:rtl/>
        </w:rPr>
        <w:t>انطباقی</w:t>
      </w:r>
      <w:r w:rsidRPr="0025250D">
        <w:rPr>
          <w:rFonts w:hint="cs"/>
          <w:rtl/>
        </w:rPr>
        <w:t xml:space="preserve"> به دنبال پاسخگویی به این پرسش است که: ما، تیم‌هایمان و سازمان‌هایمان</w:t>
      </w:r>
      <w:r w:rsidR="008D6F97" w:rsidRPr="0025250D">
        <w:rPr>
          <w:rtl/>
        </w:rPr>
        <w:t xml:space="preserve"> </w:t>
      </w:r>
      <w:r w:rsidRPr="0025250D">
        <w:rPr>
          <w:rFonts w:hint="cs"/>
          <w:rtl/>
        </w:rPr>
        <w:t>باید چه اهداف، ارزش‌ها و چشم‌اندازهایی را برای انجام بهترین کاری که می‌توانیم</w:t>
      </w:r>
      <w:r w:rsidR="002F3C14" w:rsidRPr="0025250D">
        <w:rPr>
          <w:rFonts w:hint="cs"/>
          <w:rtl/>
        </w:rPr>
        <w:t xml:space="preserve"> انجام دهیم،</w:t>
      </w:r>
      <w:r w:rsidRPr="0025250D">
        <w:rPr>
          <w:rFonts w:hint="cs"/>
          <w:rtl/>
        </w:rPr>
        <w:t xml:space="preserve"> داشته باشیم؟ </w:t>
      </w:r>
      <w:r w:rsidR="007118DE" w:rsidRPr="0025250D">
        <w:rPr>
          <w:rFonts w:hint="cs"/>
          <w:rtl/>
        </w:rPr>
        <w:t>همان‌طور</w:t>
      </w:r>
      <w:r w:rsidRPr="0025250D">
        <w:rPr>
          <w:rFonts w:hint="cs"/>
          <w:rtl/>
        </w:rPr>
        <w:t xml:space="preserve"> که خواهیم دید، باید تلاش کنیم که اهدافمان مجموع مثبت و ارزش‌هایمان تا حد امکان </w:t>
      </w:r>
      <w:r w:rsidR="002F3C14" w:rsidRPr="0025250D">
        <w:rPr>
          <w:rFonts w:hint="cs"/>
          <w:rtl/>
        </w:rPr>
        <w:t>فراگیر</w:t>
      </w:r>
      <w:r w:rsidRPr="0025250D">
        <w:rPr>
          <w:rFonts w:hint="cs"/>
          <w:rtl/>
        </w:rPr>
        <w:t xml:space="preserve"> باشند</w:t>
      </w:r>
      <w:r w:rsidR="008D6F97" w:rsidRPr="0025250D">
        <w:rPr>
          <w:rtl/>
        </w:rPr>
        <w:t xml:space="preserve"> </w:t>
      </w:r>
      <w:r w:rsidRPr="0025250D">
        <w:rPr>
          <w:rFonts w:hint="cs"/>
          <w:rtl/>
        </w:rPr>
        <w:t xml:space="preserve">تا بهترین مزایای بلندمدت را از </w:t>
      </w:r>
      <w:r w:rsidR="00701E03" w:rsidRPr="0025250D">
        <w:rPr>
          <w:rFonts w:hint="cs"/>
          <w:rtl/>
        </w:rPr>
        <w:t>راهبرد</w:t>
      </w:r>
      <w:r w:rsidRPr="0025250D">
        <w:rPr>
          <w:rFonts w:hint="cs"/>
          <w:rtl/>
        </w:rPr>
        <w:t xml:space="preserve">‌مان </w:t>
      </w:r>
      <w:r w:rsidR="002F3C14" w:rsidRPr="0025250D">
        <w:rPr>
          <w:rFonts w:hint="cs"/>
          <w:rtl/>
        </w:rPr>
        <w:t>بدست آوریم</w:t>
      </w:r>
      <w:r w:rsidRPr="0025250D">
        <w:rPr>
          <w:rFonts w:hint="cs"/>
          <w:rtl/>
        </w:rPr>
        <w:t>.</w:t>
      </w:r>
    </w:p>
    <w:p w14:paraId="0242ED5B" w14:textId="704CD3C5" w:rsidR="0020732A" w:rsidRPr="0025250D" w:rsidRDefault="0020732A" w:rsidP="0020732A">
      <w:pPr>
        <w:rPr>
          <w:rtl/>
        </w:rPr>
      </w:pPr>
      <w:r w:rsidRPr="0025250D">
        <w:rPr>
          <w:rtl/>
        </w:rPr>
        <w:t>آینده‌نگاری</w:t>
      </w:r>
      <w:r w:rsidRPr="0025250D">
        <w:rPr>
          <w:rFonts w:hint="cs"/>
          <w:rtl/>
        </w:rPr>
        <w:t xml:space="preserve"> </w:t>
      </w:r>
      <w:r w:rsidR="002F3C14" w:rsidRPr="0025250D">
        <w:rPr>
          <w:rFonts w:hint="cs"/>
          <w:rtl/>
        </w:rPr>
        <w:t>انطباقی</w:t>
      </w:r>
      <w:r w:rsidRPr="0025250D">
        <w:rPr>
          <w:rFonts w:hint="cs"/>
          <w:rtl/>
        </w:rPr>
        <w:t xml:space="preserve"> نهایتاً هنجاری</w:t>
      </w:r>
      <w:r w:rsidRPr="0025250D">
        <w:rPr>
          <w:vertAlign w:val="superscript"/>
          <w:rtl/>
        </w:rPr>
        <w:footnoteReference w:id="122"/>
      </w:r>
      <w:r w:rsidRPr="0025250D">
        <w:rPr>
          <w:rFonts w:hint="cs"/>
          <w:rtl/>
        </w:rPr>
        <w:t xml:space="preserve"> است، به این معنی که اهداف، ارزش‌ها</w:t>
      </w:r>
      <w:r w:rsidR="008D6F97" w:rsidRPr="0025250D">
        <w:rPr>
          <w:rtl/>
        </w:rPr>
        <w:t xml:space="preserve"> </w:t>
      </w:r>
      <w:r w:rsidRPr="0025250D">
        <w:rPr>
          <w:rFonts w:hint="cs"/>
          <w:rtl/>
        </w:rPr>
        <w:t xml:space="preserve">و سلسله‌مراتب ارزشی مشخصی را اولویت‌بندی می‌کند. </w:t>
      </w:r>
      <w:r w:rsidR="002F3C14" w:rsidRPr="0025250D">
        <w:rPr>
          <w:rFonts w:hint="cs"/>
          <w:rtl/>
        </w:rPr>
        <w:t xml:space="preserve">یک </w:t>
      </w:r>
      <w:r w:rsidRPr="0025250D">
        <w:rPr>
          <w:rtl/>
        </w:rPr>
        <w:t>آینده‌نگاری</w:t>
      </w:r>
      <w:r w:rsidRPr="0025250D">
        <w:rPr>
          <w:rFonts w:hint="cs"/>
          <w:rtl/>
        </w:rPr>
        <w:t xml:space="preserve"> هنجاری خوب باید بر اساسی یک نظریه کارآمد از </w:t>
      </w:r>
      <w:r w:rsidR="002F3C14" w:rsidRPr="0025250D">
        <w:rPr>
          <w:rFonts w:hint="cs"/>
          <w:rtl/>
        </w:rPr>
        <w:t>انطباق</w:t>
      </w:r>
      <w:r w:rsidRPr="0025250D">
        <w:rPr>
          <w:rFonts w:hint="cs"/>
          <w:rtl/>
        </w:rPr>
        <w:t xml:space="preserve"> باشد؛ یک نظریه که بتواند </w:t>
      </w:r>
      <w:r w:rsidRPr="0025250D">
        <w:rPr>
          <w:rtl/>
        </w:rPr>
        <w:t>به‌مرورزمان</w:t>
      </w:r>
      <w:r w:rsidRPr="0025250D">
        <w:rPr>
          <w:rFonts w:hint="cs"/>
          <w:rtl/>
        </w:rPr>
        <w:t xml:space="preserve"> نقد شود، آزموده شود و بهبود داده شود. ما پیش‌نویسی از چنین نظریه‌ای را، یعنی توسعه تکاملی یا </w:t>
      </w:r>
      <w:r w:rsidRPr="0025250D">
        <w:rPr>
          <w:rtl/>
        </w:rPr>
        <w:t>آینده‌نگاری</w:t>
      </w:r>
      <w:r w:rsidRPr="0025250D">
        <w:rPr>
          <w:rFonts w:hint="cs"/>
          <w:rtl/>
        </w:rPr>
        <w:t xml:space="preserve"> تکاملی</w:t>
      </w:r>
      <w:r w:rsidR="00D87CD8" w:rsidRPr="0025250D">
        <w:rPr>
          <w:rFonts w:hint="cs"/>
          <w:rtl/>
        </w:rPr>
        <w:t>-توسعه‌ای</w:t>
      </w:r>
      <w:r w:rsidRPr="0025250D">
        <w:rPr>
          <w:vertAlign w:val="superscript"/>
          <w:rtl/>
        </w:rPr>
        <w:footnoteReference w:id="123"/>
      </w:r>
      <w:r w:rsidRPr="0025250D">
        <w:rPr>
          <w:rFonts w:hint="cs"/>
          <w:rtl/>
        </w:rPr>
        <w:t>، در کتاب ارائه خواهیم کرد. ما از تفکر توسعه‌ای-تکاملی به‌منظور ایجاد مدل‌های ساده‌ای از اهداف و</w:t>
      </w:r>
      <w:r w:rsidR="008D6F97" w:rsidRPr="0025250D">
        <w:rPr>
          <w:rtl/>
        </w:rPr>
        <w:t xml:space="preserve"> </w:t>
      </w:r>
      <w:r w:rsidRPr="0025250D">
        <w:rPr>
          <w:rFonts w:hint="cs"/>
          <w:rtl/>
        </w:rPr>
        <w:t xml:space="preserve">ارزش‌های </w:t>
      </w:r>
      <w:r w:rsidR="002F3C14" w:rsidRPr="0025250D">
        <w:rPr>
          <w:rFonts w:hint="cs"/>
          <w:rtl/>
        </w:rPr>
        <w:t>انطباقی</w:t>
      </w:r>
      <w:r w:rsidRPr="0025250D">
        <w:rPr>
          <w:rFonts w:hint="cs"/>
          <w:rtl/>
        </w:rPr>
        <w:t xml:space="preserve"> استفاده خواهیم کرد و این مدل‌ها را به حالات دلخواهی مانند موفقیت فردی و سازمانی و پیشرفت اجتماعی ارتباط می‌دهیم. این موارد موضوعاتی چالش‌برانگیز و نظری</w:t>
      </w:r>
      <w:r w:rsidRPr="0025250D">
        <w:rPr>
          <w:vertAlign w:val="superscript"/>
          <w:rtl/>
        </w:rPr>
        <w:footnoteReference w:id="124"/>
      </w:r>
      <w:r w:rsidRPr="0025250D">
        <w:rPr>
          <w:rFonts w:hint="cs"/>
          <w:rtl/>
        </w:rPr>
        <w:t xml:space="preserve"> هستند که علم برای آن‌ها هم‌اکنون تنها بینش</w:t>
      </w:r>
      <w:r w:rsidR="002F3C14" w:rsidRPr="0025250D">
        <w:rPr>
          <w:rFonts w:hint="cs"/>
          <w:rtl/>
        </w:rPr>
        <w:t>ی</w:t>
      </w:r>
      <w:r w:rsidRPr="0025250D">
        <w:rPr>
          <w:rFonts w:hint="cs"/>
          <w:rtl/>
        </w:rPr>
        <w:t xml:space="preserve"> تجربی و ناکامل دارد. بااین‌وجود، بهترین استدلال و مدارکی را که تا به امروز </w:t>
      </w:r>
      <w:r w:rsidR="002F3C14" w:rsidRPr="0025250D">
        <w:rPr>
          <w:rFonts w:hint="cs"/>
          <w:rtl/>
        </w:rPr>
        <w:t>توانسته‌ایم</w:t>
      </w:r>
      <w:r w:rsidRPr="0025250D">
        <w:rPr>
          <w:rFonts w:hint="cs"/>
          <w:rtl/>
        </w:rPr>
        <w:t xml:space="preserve"> به دست آوریم ارائه خواهیم داد. لطفاً نظرات خود را در مورد نقص‌های کارما</w:t>
      </w:r>
      <w:r w:rsidR="002F3C14" w:rsidRPr="0025250D">
        <w:rPr>
          <w:rFonts w:hint="cs"/>
          <w:rtl/>
        </w:rPr>
        <w:t>ن</w:t>
      </w:r>
      <w:r w:rsidRPr="0025250D">
        <w:rPr>
          <w:rFonts w:hint="cs"/>
          <w:rtl/>
        </w:rPr>
        <w:t xml:space="preserve"> اطلاع دهید.</w:t>
      </w:r>
    </w:p>
    <w:p w14:paraId="5C98675E" w14:textId="4773F2D9" w:rsidR="0020732A" w:rsidRPr="0025250D" w:rsidRDefault="0020732A" w:rsidP="0020732A">
      <w:pPr>
        <w:rPr>
          <w:rtl/>
        </w:rPr>
      </w:pPr>
      <w:r w:rsidRPr="0025250D">
        <w:rPr>
          <w:rFonts w:hint="cs"/>
          <w:rtl/>
        </w:rPr>
        <w:t xml:space="preserve">به‌بیان‌دیگر، تفکر </w:t>
      </w:r>
      <w:r w:rsidR="00701E03" w:rsidRPr="0025250D">
        <w:rPr>
          <w:rFonts w:hint="cs"/>
          <w:rtl/>
        </w:rPr>
        <w:t>راهبردی</w:t>
      </w:r>
      <w:r w:rsidRPr="0025250D">
        <w:rPr>
          <w:rFonts w:hint="cs"/>
          <w:rtl/>
        </w:rPr>
        <w:t xml:space="preserve"> به ارزش‌های ابزاری (یافتن شیوه مؤثری برای رسیدن به یک هدف، در کوتاه‌مدت) مربوط می‌شود. تفکر </w:t>
      </w:r>
      <w:r w:rsidR="002F3C14" w:rsidRPr="0025250D">
        <w:rPr>
          <w:rFonts w:hint="cs"/>
          <w:rtl/>
        </w:rPr>
        <w:t>انطباقی</w:t>
      </w:r>
      <w:r w:rsidRPr="0025250D">
        <w:rPr>
          <w:rFonts w:hint="cs"/>
          <w:rtl/>
        </w:rPr>
        <w:t xml:space="preserve"> به ارزش‌های </w:t>
      </w:r>
      <w:r w:rsidRPr="0025250D">
        <w:rPr>
          <w:rtl/>
        </w:rPr>
        <w:t>درون خ</w:t>
      </w:r>
      <w:r w:rsidRPr="0025250D">
        <w:rPr>
          <w:rFonts w:hint="cs"/>
          <w:rtl/>
        </w:rPr>
        <w:t>ی</w:t>
      </w:r>
      <w:r w:rsidRPr="0025250D">
        <w:rPr>
          <w:rFonts w:hint="eastAsia"/>
          <w:rtl/>
        </w:rPr>
        <w:t>ز</w:t>
      </w:r>
      <w:r w:rsidRPr="0025250D">
        <w:rPr>
          <w:vertAlign w:val="superscript"/>
          <w:rtl/>
        </w:rPr>
        <w:footnoteReference w:id="125"/>
      </w:r>
      <w:r w:rsidRPr="0025250D">
        <w:rPr>
          <w:rFonts w:hint="cs"/>
          <w:rtl/>
        </w:rPr>
        <w:t xml:space="preserve"> یا یافتن اقدامات و اهدافی که بیش‌ترین ارزش‌ها را در بلندمدت فراهم خواهند آورد مربوط می‌شود. نبرد کلاسیک میان مدیریت شرکتی سنتی که اساساً بر سود مالی تمرکز دارد و مدیریت پایدار که شرکت را بر منافع بلندمدت رقابتی، ازجمله برآمدهای اجتماعی، دولتی، محیطی و منافع</w:t>
      </w:r>
      <w:r w:rsidR="008D6F97" w:rsidRPr="0025250D">
        <w:rPr>
          <w:rtl/>
        </w:rPr>
        <w:t xml:space="preserve"> </w:t>
      </w:r>
      <w:r w:rsidRPr="0025250D">
        <w:rPr>
          <w:rFonts w:hint="cs"/>
          <w:rtl/>
        </w:rPr>
        <w:t xml:space="preserve">متمرکز می‌سازد، بر تفاوت میان </w:t>
      </w:r>
      <w:r w:rsidRPr="0025250D">
        <w:rPr>
          <w:rtl/>
        </w:rPr>
        <w:t>آینده‌نگاری</w:t>
      </w:r>
      <w:r w:rsidRPr="0025250D">
        <w:rPr>
          <w:rFonts w:hint="cs"/>
          <w:rtl/>
        </w:rPr>
        <w:t xml:space="preserve"> </w:t>
      </w:r>
      <w:r w:rsidR="002F3C14" w:rsidRPr="0025250D">
        <w:rPr>
          <w:rFonts w:hint="cs"/>
          <w:rtl/>
        </w:rPr>
        <w:t>انطباقی</w:t>
      </w:r>
      <w:r w:rsidRPr="0025250D">
        <w:rPr>
          <w:rFonts w:hint="cs"/>
          <w:rtl/>
        </w:rPr>
        <w:t xml:space="preserve"> و </w:t>
      </w:r>
      <w:r w:rsidR="00701E03" w:rsidRPr="0025250D">
        <w:rPr>
          <w:rFonts w:hint="cs"/>
          <w:rtl/>
        </w:rPr>
        <w:t>راهبردی</w:t>
      </w:r>
      <w:r w:rsidRPr="0025250D">
        <w:rPr>
          <w:rFonts w:hint="cs"/>
          <w:rtl/>
        </w:rPr>
        <w:t xml:space="preserve"> تأکید دارد</w:t>
      </w:r>
      <w:r w:rsidR="008D6F97" w:rsidRPr="0025250D">
        <w:rPr>
          <w:rtl/>
        </w:rPr>
        <w:t xml:space="preserve">؛ </w:t>
      </w:r>
      <w:r w:rsidRPr="0025250D">
        <w:rPr>
          <w:rFonts w:hint="cs"/>
          <w:rtl/>
        </w:rPr>
        <w:t xml:space="preserve">بنابراین تناقضی میان سرمایه گذری سنتی و </w:t>
      </w:r>
      <w:r w:rsidRPr="0025250D">
        <w:t>ESG</w:t>
      </w:r>
      <w:r w:rsidRPr="0025250D">
        <w:rPr>
          <w:rFonts w:hint="cs"/>
          <w:rtl/>
        </w:rPr>
        <w:t xml:space="preserve"> (زیست‌محیطی، اجتماعی و دولتی) ایجاد می‌نماید. یک مدیر یا سرمایه‌گذار، همواره باید میان تفکر راهبردی (اثربخشی کوتاه‌مدت) یا </w:t>
      </w:r>
      <w:r w:rsidR="002F3C14" w:rsidRPr="0025250D">
        <w:rPr>
          <w:rFonts w:hint="cs"/>
          <w:rtl/>
        </w:rPr>
        <w:t>انطباقی</w:t>
      </w:r>
      <w:r w:rsidRPr="0025250D">
        <w:rPr>
          <w:rFonts w:hint="cs"/>
          <w:rtl/>
        </w:rPr>
        <w:t xml:space="preserve"> (ترقی بلندمدت) انتخاب کند. برخی اوقات ما باید تنها به‌صورت کوتاه‌مدت برای بقا تلاش کنیم</w:t>
      </w:r>
      <w:r w:rsidR="008D6F97" w:rsidRPr="0025250D">
        <w:rPr>
          <w:rtl/>
        </w:rPr>
        <w:t xml:space="preserve">؛ </w:t>
      </w:r>
      <w:r w:rsidRPr="0025250D">
        <w:rPr>
          <w:rFonts w:hint="cs"/>
          <w:rtl/>
        </w:rPr>
        <w:t>اما به‌محض این‌که بتوانیم، باید همچنین برای دیدن این‌که چگونه می‌توانیم تصویر کلان‌تر را بهبود بخشیم تلاش نماییم. ما هر دو دیدگاه را در این کتاب پوشش خواهیم داد.</w:t>
      </w:r>
    </w:p>
    <w:p w14:paraId="5DC25A8A" w14:textId="3F6B980A" w:rsidR="0020732A" w:rsidRPr="0025250D" w:rsidRDefault="0020732A" w:rsidP="0020732A">
      <w:pPr>
        <w:rPr>
          <w:rtl/>
        </w:rPr>
      </w:pPr>
      <w:r w:rsidRPr="0025250D">
        <w:rPr>
          <w:rFonts w:hint="cs"/>
          <w:rtl/>
        </w:rPr>
        <w:t xml:space="preserve">بنابراین درحالی‌که </w:t>
      </w:r>
      <w:r w:rsidRPr="0025250D">
        <w:rPr>
          <w:rtl/>
        </w:rPr>
        <w:t>آینده‌نگاری</w:t>
      </w:r>
      <w:r w:rsidRPr="0025250D">
        <w:rPr>
          <w:rFonts w:hint="cs"/>
          <w:rtl/>
        </w:rPr>
        <w:t xml:space="preserve"> اغلب با اثربخشی (</w:t>
      </w:r>
      <w:r w:rsidR="0020589F" w:rsidRPr="0025250D">
        <w:rPr>
          <w:rtl/>
        </w:rPr>
        <w:t>«</w:t>
      </w:r>
      <w:r w:rsidRPr="0025250D">
        <w:rPr>
          <w:rFonts w:hint="cs"/>
          <w:rtl/>
        </w:rPr>
        <w:t>بقا</w:t>
      </w:r>
      <w:r w:rsidRPr="0025250D">
        <w:rPr>
          <w:vertAlign w:val="superscript"/>
          <w:rtl/>
        </w:rPr>
        <w:footnoteReference w:id="126"/>
      </w:r>
      <w:r w:rsidR="0020589F" w:rsidRPr="0025250D">
        <w:rPr>
          <w:rtl/>
        </w:rPr>
        <w:t>»</w:t>
      </w:r>
      <w:r w:rsidRPr="0025250D">
        <w:rPr>
          <w:rFonts w:hint="cs"/>
          <w:rtl/>
        </w:rPr>
        <w:t xml:space="preserve">) آغاز می‌شود، بزرگ‌ترین چالش ما پیشرفت به سمت </w:t>
      </w:r>
      <w:r w:rsidR="002F3C14" w:rsidRPr="0025250D">
        <w:rPr>
          <w:rFonts w:hint="cs"/>
          <w:rtl/>
        </w:rPr>
        <w:t>انطباق</w:t>
      </w:r>
      <w:r w:rsidRPr="0025250D">
        <w:rPr>
          <w:rFonts w:hint="cs"/>
          <w:rtl/>
        </w:rPr>
        <w:t xml:space="preserve"> (</w:t>
      </w:r>
      <w:r w:rsidR="0020589F" w:rsidRPr="0025250D">
        <w:rPr>
          <w:rtl/>
        </w:rPr>
        <w:t>«</w:t>
      </w:r>
      <w:r w:rsidRPr="0025250D">
        <w:rPr>
          <w:rFonts w:hint="cs"/>
          <w:rtl/>
        </w:rPr>
        <w:t>ترقی</w:t>
      </w:r>
      <w:r w:rsidRPr="0025250D">
        <w:rPr>
          <w:vertAlign w:val="superscript"/>
          <w:rtl/>
        </w:rPr>
        <w:footnoteReference w:id="127"/>
      </w:r>
      <w:r w:rsidR="0020589F" w:rsidRPr="0025250D">
        <w:rPr>
          <w:rtl/>
        </w:rPr>
        <w:t>»</w:t>
      </w:r>
      <w:r w:rsidRPr="0025250D">
        <w:rPr>
          <w:rFonts w:hint="cs"/>
          <w:rtl/>
        </w:rPr>
        <w:t xml:space="preserve">) است. ما همچنین باید دقیقاً از یک دیدگاه شبکه‌ای، ببینیم که چه کسی بقا می‌یابد و ترقی می‌کند. در </w:t>
      </w:r>
      <w:r w:rsidR="002F3C14" w:rsidRPr="0025250D">
        <w:rPr>
          <w:rFonts w:hint="cs"/>
          <w:rtl/>
        </w:rPr>
        <w:t>انطباق</w:t>
      </w:r>
      <w:r w:rsidRPr="0025250D">
        <w:rPr>
          <w:rFonts w:hint="cs"/>
          <w:rtl/>
        </w:rPr>
        <w:t xml:space="preserve"> زیستی، یک سبک‌سنگین</w:t>
      </w:r>
      <w:r w:rsidRPr="0025250D">
        <w:rPr>
          <w:vertAlign w:val="superscript"/>
          <w:rtl/>
        </w:rPr>
        <w:footnoteReference w:id="128"/>
      </w:r>
      <w:r w:rsidRPr="0025250D">
        <w:rPr>
          <w:rFonts w:hint="cs"/>
          <w:rtl/>
        </w:rPr>
        <w:t xml:space="preserve"> دائمی میان موفقیت فردی و گروهی وجود دارد. برخی اوقات </w:t>
      </w:r>
      <w:r w:rsidR="002F3C14" w:rsidRPr="0025250D">
        <w:rPr>
          <w:rFonts w:hint="cs"/>
          <w:rtl/>
        </w:rPr>
        <w:t>انطباق</w:t>
      </w:r>
      <w:r w:rsidRPr="0025250D">
        <w:rPr>
          <w:rFonts w:hint="cs"/>
          <w:rtl/>
        </w:rPr>
        <w:t xml:space="preserve"> گروهی (شبکه‌ای) بهتر در ازای کاهش </w:t>
      </w:r>
      <w:r w:rsidR="002F3C14" w:rsidRPr="0025250D">
        <w:rPr>
          <w:rFonts w:hint="cs"/>
          <w:rtl/>
        </w:rPr>
        <w:t>انطباق</w:t>
      </w:r>
      <w:r w:rsidRPr="0025250D">
        <w:rPr>
          <w:rFonts w:hint="cs"/>
          <w:rtl/>
        </w:rPr>
        <w:t xml:space="preserve"> فردی حاصل می‌شود، مانند وقتی‌که برای رسیدن به یک هدف کاری زمان خود برای فرزندانمان را قربانی می‌کنیم یا زندگی خود را در جنگ برای یک هدف اخلاقی فدا می‌نماییم. </w:t>
      </w:r>
      <w:r w:rsidRPr="0025250D">
        <w:rPr>
          <w:rFonts w:hint="cs"/>
          <w:rtl/>
        </w:rPr>
        <w:lastRenderedPageBreak/>
        <w:t>یک تنش دیگر، میان افراد و گروه‌های در حال رقابت است. در بلندمدت و تنها به‌صورت میانگین، محیط</w:t>
      </w:r>
      <w:r w:rsidR="002F3C14" w:rsidRPr="0025250D">
        <w:rPr>
          <w:rFonts w:hint="cs"/>
          <w:rtl/>
        </w:rPr>
        <w:t>ِ</w:t>
      </w:r>
      <w:r w:rsidRPr="0025250D">
        <w:rPr>
          <w:rFonts w:hint="cs"/>
          <w:rtl/>
        </w:rPr>
        <w:t xml:space="preserve"> انتخاب‌کننده</w:t>
      </w:r>
      <w:r w:rsidRPr="0025250D">
        <w:rPr>
          <w:vertAlign w:val="superscript"/>
          <w:rtl/>
        </w:rPr>
        <w:footnoteReference w:id="129"/>
      </w:r>
      <w:r w:rsidRPr="0025250D">
        <w:rPr>
          <w:rFonts w:hint="cs"/>
          <w:rtl/>
        </w:rPr>
        <w:t xml:space="preserve"> تعیین خواهد کر</w:t>
      </w:r>
      <w:r w:rsidR="002F3C14" w:rsidRPr="0025250D">
        <w:rPr>
          <w:rFonts w:hint="cs"/>
          <w:rtl/>
        </w:rPr>
        <w:t>د</w:t>
      </w:r>
      <w:r w:rsidRPr="0025250D">
        <w:rPr>
          <w:rFonts w:hint="cs"/>
          <w:rtl/>
        </w:rPr>
        <w:t xml:space="preserve"> که کدام </w:t>
      </w:r>
      <w:r w:rsidR="00701E03" w:rsidRPr="0025250D">
        <w:rPr>
          <w:rFonts w:hint="cs"/>
          <w:rtl/>
        </w:rPr>
        <w:t>راهبرد</w:t>
      </w:r>
      <w:r w:rsidRPr="0025250D">
        <w:rPr>
          <w:rFonts w:hint="cs"/>
          <w:rtl/>
        </w:rPr>
        <w:t xml:space="preserve">‌ها و اقدامات </w:t>
      </w:r>
      <w:r w:rsidR="002F3C14" w:rsidRPr="0025250D">
        <w:rPr>
          <w:rFonts w:hint="cs"/>
          <w:rtl/>
        </w:rPr>
        <w:t>انطباقی</w:t>
      </w:r>
      <w:r w:rsidRPr="0025250D">
        <w:rPr>
          <w:rFonts w:hint="cs"/>
          <w:rtl/>
        </w:rPr>
        <w:t>‌ترین موارد هستند.</w:t>
      </w:r>
    </w:p>
    <w:p w14:paraId="0418455D" w14:textId="177E9C3D" w:rsidR="0020732A" w:rsidRPr="0025250D" w:rsidRDefault="0020732A" w:rsidP="0020732A">
      <w:pPr>
        <w:rPr>
          <w:rtl/>
        </w:rPr>
      </w:pPr>
      <w:r w:rsidRPr="0025250D">
        <w:rPr>
          <w:rFonts w:hint="cs"/>
          <w:rtl/>
        </w:rPr>
        <w:t xml:space="preserve">خواهیم دید که </w:t>
      </w:r>
      <w:r w:rsidRPr="0025250D">
        <w:rPr>
          <w:rtl/>
        </w:rPr>
        <w:t>آینده‌نگاری</w:t>
      </w:r>
      <w:r w:rsidRPr="0025250D">
        <w:rPr>
          <w:rFonts w:hint="cs"/>
          <w:rtl/>
        </w:rPr>
        <w:t xml:space="preserve"> به چهار مهارت (مهارت‌های </w:t>
      </w:r>
      <w:r w:rsidRPr="0025250D">
        <w:t>LAIS</w:t>
      </w:r>
      <w:r w:rsidRPr="0025250D">
        <w:rPr>
          <w:rFonts w:hint="cs"/>
          <w:rtl/>
        </w:rPr>
        <w:t xml:space="preserve">) بستگی خواهد داشت که می‌تواند در پنج گام (چرخه </w:t>
      </w:r>
      <w:r w:rsidRPr="0025250D">
        <w:t>REOPS</w:t>
      </w:r>
      <w:r w:rsidRPr="0025250D">
        <w:rPr>
          <w:rFonts w:hint="cs"/>
          <w:rtl/>
        </w:rPr>
        <w:t>) و در هر یک از شش دامنه موجود (خود، تیم‌ها، سازمان‌ها، جوامع، جهان</w:t>
      </w:r>
      <w:r w:rsidRPr="0025250D">
        <w:rPr>
          <w:vertAlign w:val="superscript"/>
          <w:rtl/>
        </w:rPr>
        <w:footnoteReference w:id="130"/>
      </w:r>
      <w:r w:rsidRPr="0025250D">
        <w:rPr>
          <w:rFonts w:hint="cs"/>
          <w:rtl/>
        </w:rPr>
        <w:t>، فراگیر</w:t>
      </w:r>
      <w:r w:rsidRPr="0025250D">
        <w:rPr>
          <w:vertAlign w:val="superscript"/>
          <w:rtl/>
        </w:rPr>
        <w:footnoteReference w:id="131"/>
      </w:r>
      <w:r w:rsidRPr="0025250D">
        <w:rPr>
          <w:rFonts w:hint="cs"/>
          <w:rtl/>
        </w:rPr>
        <w:t xml:space="preserve">)، در هر صنعتی با استفاده از گستره وسیعی از متخصصین و روش‌های عملی انجام شود. دیدگاه </w:t>
      </w:r>
      <w:r w:rsidRPr="0025250D">
        <w:rPr>
          <w:rtl/>
        </w:rPr>
        <w:t>روبه‌جلو</w:t>
      </w:r>
      <w:r w:rsidRPr="0025250D">
        <w:rPr>
          <w:rFonts w:hint="cs"/>
          <w:rtl/>
        </w:rPr>
        <w:t xml:space="preserve">ی آن می‌تواند در هر افق زمانی، از چند ثانیه بعد در </w:t>
      </w:r>
      <w:r w:rsidRPr="0025250D">
        <w:rPr>
          <w:rtl/>
        </w:rPr>
        <w:t>معاملات آت</w:t>
      </w:r>
      <w:r w:rsidRPr="0025250D">
        <w:rPr>
          <w:rFonts w:hint="cs"/>
          <w:rtl/>
        </w:rPr>
        <w:t>ی</w:t>
      </w:r>
      <w:r w:rsidRPr="0025250D">
        <w:rPr>
          <w:rtl/>
        </w:rPr>
        <w:t xml:space="preserve"> سهام</w:t>
      </w:r>
      <w:r w:rsidRPr="0025250D">
        <w:rPr>
          <w:rFonts w:hint="cs"/>
          <w:rtl/>
        </w:rPr>
        <w:t xml:space="preserve"> تا قرن بعد در برنامه‌ریزی شهری یا مدل‌سازی اقلیمی، پیش نمایی</w:t>
      </w:r>
      <w:r w:rsidRPr="0025250D">
        <w:rPr>
          <w:rtl/>
        </w:rPr>
        <w:t xml:space="preserve"> </w:t>
      </w:r>
      <w:r w:rsidRPr="0025250D">
        <w:rPr>
          <w:rFonts w:hint="cs"/>
          <w:rtl/>
        </w:rPr>
        <w:t xml:space="preserve">شود. مهارت‌ها و دامنه‌های مشترک </w:t>
      </w:r>
      <w:r w:rsidRPr="0025250D">
        <w:rPr>
          <w:rtl/>
        </w:rPr>
        <w:t>استفاده‌شده</w:t>
      </w:r>
      <w:r w:rsidRPr="0025250D">
        <w:rPr>
          <w:rFonts w:hint="cs"/>
          <w:rtl/>
        </w:rPr>
        <w:t xml:space="preserve"> در مسائل </w:t>
      </w:r>
      <w:r w:rsidRPr="0025250D">
        <w:rPr>
          <w:rtl/>
        </w:rPr>
        <w:t>آینده‌نگاری</w:t>
      </w:r>
      <w:r w:rsidRPr="0025250D">
        <w:rPr>
          <w:rFonts w:hint="cs"/>
          <w:rtl/>
        </w:rPr>
        <w:t xml:space="preserve"> و روش‌های منحصربه‌فرد توسعه‌یافته در هر صنعت و کاربرد، این زمینه را تعریف کرده و ارتقا می‌دهند.</w:t>
      </w:r>
    </w:p>
    <w:p w14:paraId="3229C379" w14:textId="38F94BC5" w:rsidR="0020732A" w:rsidRPr="0025250D" w:rsidRDefault="0020732A" w:rsidP="0020732A">
      <w:pPr>
        <w:rPr>
          <w:rtl/>
        </w:rPr>
      </w:pPr>
      <w:r w:rsidRPr="0025250D">
        <w:rPr>
          <w:rFonts w:hint="cs"/>
          <w:rtl/>
        </w:rPr>
        <w:t xml:space="preserve">در دهه‌های پیش رو، با ادامه بهبود پلتفرم‌های دیجیتال و هوش مصنوعی با نرخ </w:t>
      </w:r>
      <w:r w:rsidR="007B3B35" w:rsidRPr="0025250D">
        <w:rPr>
          <w:rFonts w:hint="cs"/>
          <w:rtl/>
        </w:rPr>
        <w:t>شتاب‌گیر</w:t>
      </w:r>
      <w:r w:rsidRPr="0025250D">
        <w:rPr>
          <w:rFonts w:hint="cs"/>
          <w:rtl/>
        </w:rPr>
        <w:t xml:space="preserve">نده قابل پیش‌بینی و انجام آزمایش‌های بیش‌تر با روش‌های خود، عناصر بیش‌تری در فعالیت‌های ما وجود خواهند داشت که در علوم اجتماعی و اقتصادی تدریس خواهند شد. برای انجام یک بررسی در این زمینه در حال ظهور و استدلال‌ها و بحث‌ها و پیشنهاد‌هایی برای تخصصی کردن آن، مقاله </w:t>
      </w:r>
      <w:r w:rsidRPr="0025250D">
        <w:rPr>
          <w:rtl/>
        </w:rPr>
        <w:t>اند</w:t>
      </w:r>
      <w:r w:rsidRPr="0025250D">
        <w:rPr>
          <w:rFonts w:hint="cs"/>
          <w:rtl/>
        </w:rPr>
        <w:t>ی</w:t>
      </w:r>
      <w:r w:rsidRPr="0025250D">
        <w:rPr>
          <w:rtl/>
        </w:rPr>
        <w:t xml:space="preserve"> ها</w:t>
      </w:r>
      <w:r w:rsidRPr="0025250D">
        <w:rPr>
          <w:rFonts w:hint="cs"/>
          <w:rtl/>
        </w:rPr>
        <w:t>ی</w:t>
      </w:r>
      <w:r w:rsidRPr="0025250D">
        <w:rPr>
          <w:rFonts w:hint="eastAsia"/>
          <w:rtl/>
        </w:rPr>
        <w:t>نز</w:t>
      </w:r>
      <w:r w:rsidRPr="0025250D">
        <w:rPr>
          <w:vertAlign w:val="superscript"/>
          <w:rtl/>
        </w:rPr>
        <w:footnoteReference w:id="132"/>
      </w:r>
      <w:r w:rsidRPr="0025250D">
        <w:rPr>
          <w:rFonts w:hint="cs"/>
          <w:rtl/>
        </w:rPr>
        <w:t xml:space="preserve"> و </w:t>
      </w:r>
      <w:r w:rsidRPr="0025250D">
        <w:rPr>
          <w:rtl/>
        </w:rPr>
        <w:t>جف گلد</w:t>
      </w:r>
      <w:r w:rsidRPr="0025250D">
        <w:rPr>
          <w:vertAlign w:val="superscript"/>
          <w:rtl/>
        </w:rPr>
        <w:footnoteReference w:id="133"/>
      </w:r>
      <w:r w:rsidRPr="0025250D">
        <w:rPr>
          <w:rFonts w:hint="cs"/>
          <w:rtl/>
        </w:rPr>
        <w:t xml:space="preserve"> به نام </w:t>
      </w:r>
      <w:r w:rsidR="0020589F" w:rsidRPr="0025250D">
        <w:rPr>
          <w:rtl/>
        </w:rPr>
        <w:t>«</w:t>
      </w:r>
      <w:r w:rsidRPr="0025250D">
        <w:rPr>
          <w:rFonts w:hint="cs"/>
          <w:rtl/>
        </w:rPr>
        <w:t xml:space="preserve">تخصصی سازی </w:t>
      </w:r>
      <w:r w:rsidRPr="0025250D">
        <w:rPr>
          <w:rtl/>
        </w:rPr>
        <w:t>آینده‌نگاری</w:t>
      </w:r>
      <w:r w:rsidR="002F3C14" w:rsidRPr="0025250D">
        <w:rPr>
          <w:rStyle w:val="FootnoteReference"/>
          <w:rtl/>
        </w:rPr>
        <w:footnoteReference w:id="134"/>
      </w:r>
      <w:r w:rsidR="0020589F" w:rsidRPr="0025250D">
        <w:rPr>
          <w:rtl/>
        </w:rPr>
        <w:t>»</w:t>
      </w:r>
      <w:r w:rsidRPr="0025250D">
        <w:rPr>
          <w:rFonts w:hint="cs"/>
          <w:rtl/>
        </w:rPr>
        <w:t xml:space="preserve"> (نشریه آینده‌پژوهی</w:t>
      </w:r>
      <w:r w:rsidRPr="0025250D">
        <w:rPr>
          <w:vertAlign w:val="superscript"/>
          <w:rtl/>
        </w:rPr>
        <w:footnoteReference w:id="135"/>
      </w:r>
      <w:r w:rsidRPr="0025250D">
        <w:rPr>
          <w:rFonts w:hint="cs"/>
          <w:rtl/>
        </w:rPr>
        <w:t>، 2013) را مطالعه نمایید.</w:t>
      </w:r>
    </w:p>
    <w:p w14:paraId="073CC5C3" w14:textId="40D5B4B4" w:rsidR="0020732A" w:rsidRPr="0025250D" w:rsidRDefault="0020732A" w:rsidP="0020732A">
      <w:pPr>
        <w:rPr>
          <w:rtl/>
        </w:rPr>
      </w:pPr>
      <w:r w:rsidRPr="0025250D">
        <w:rPr>
          <w:rFonts w:hint="cs"/>
          <w:rtl/>
        </w:rPr>
        <w:t xml:space="preserve">در یک مقاله قدیمی در مورد </w:t>
      </w:r>
      <w:r w:rsidRPr="0025250D">
        <w:rPr>
          <w:rtl/>
        </w:rPr>
        <w:t>آینده‌نگاری</w:t>
      </w:r>
      <w:r w:rsidRPr="0025250D">
        <w:rPr>
          <w:rFonts w:hint="cs"/>
          <w:rtl/>
        </w:rPr>
        <w:t xml:space="preserve"> در سال 1999، در پایان هزاره قبلی، ویراستار اکونومیست</w:t>
      </w:r>
      <w:r w:rsidRPr="0025250D">
        <w:rPr>
          <w:vertAlign w:val="superscript"/>
          <w:rtl/>
        </w:rPr>
        <w:footnoteReference w:id="136"/>
      </w:r>
      <w:r w:rsidRPr="0025250D">
        <w:rPr>
          <w:rFonts w:hint="cs"/>
          <w:rtl/>
        </w:rPr>
        <w:t xml:space="preserve"> مشاهده کرد که </w:t>
      </w:r>
      <w:r w:rsidR="0020589F" w:rsidRPr="0025250D">
        <w:rPr>
          <w:rtl/>
        </w:rPr>
        <w:t>«</w:t>
      </w:r>
      <w:r w:rsidRPr="0025250D">
        <w:rPr>
          <w:rFonts w:hint="cs"/>
          <w:rtl/>
        </w:rPr>
        <w:t xml:space="preserve"> مردم، شرکت‌ها و دولت‌ها</w:t>
      </w:r>
      <w:r w:rsidR="002F3C14" w:rsidRPr="0025250D">
        <w:rPr>
          <w:rFonts w:hint="cs"/>
          <w:rtl/>
        </w:rPr>
        <w:t>یی که به شکلی</w:t>
      </w:r>
      <w:r w:rsidRPr="0025250D">
        <w:rPr>
          <w:rFonts w:hint="cs"/>
          <w:rtl/>
        </w:rPr>
        <w:t xml:space="preserve"> برنامه‌ریزی کرده و عمل می‌کنند، </w:t>
      </w:r>
      <w:r w:rsidRPr="0025250D">
        <w:rPr>
          <w:rtl/>
        </w:rPr>
        <w:t>در حال</w:t>
      </w:r>
      <w:r w:rsidRPr="0025250D">
        <w:rPr>
          <w:rFonts w:hint="cs"/>
          <w:rtl/>
        </w:rPr>
        <w:t xml:space="preserve"> انجام پیش‌نگری‌هایی در مورد آینده هستند</w:t>
      </w:r>
      <w:r w:rsidR="0020589F" w:rsidRPr="0025250D">
        <w:rPr>
          <w:rFonts w:hint="cs"/>
          <w:rtl/>
        </w:rPr>
        <w:t>»</w:t>
      </w:r>
      <w:r w:rsidRPr="0025250D">
        <w:rPr>
          <w:rFonts w:hint="cs"/>
          <w:rtl/>
        </w:rPr>
        <w:t>. یک چالش کلیدی در این هزاره این است که پیش‌نگری‌ها، تصورات و نحوه تعیین اهداف</w:t>
      </w:r>
      <w:r w:rsidR="0020589F" w:rsidRPr="0025250D">
        <w:rPr>
          <w:rFonts w:hint="cs"/>
          <w:rtl/>
        </w:rPr>
        <w:t>ِ</w:t>
      </w:r>
      <w:r w:rsidRPr="0025250D">
        <w:rPr>
          <w:rFonts w:hint="cs"/>
          <w:rtl/>
        </w:rPr>
        <w:t xml:space="preserve"> اغلب ضمنی و ناخودآگاه خود را صریح‌تر، مشارکتی‌تر، مبتنی مدارک، ازنظر شناختی متنوع‌تر و آگاهانه‌تر نماییم. ما باید بیاموزیم که چگونه بهترین روش‌های </w:t>
      </w:r>
      <w:r w:rsidRPr="0025250D">
        <w:rPr>
          <w:rtl/>
        </w:rPr>
        <w:t>آینده‌نگاری</w:t>
      </w:r>
      <w:r w:rsidRPr="0025250D">
        <w:rPr>
          <w:rFonts w:hint="cs"/>
          <w:rtl/>
        </w:rPr>
        <w:t xml:space="preserve"> را در زمینه‌ها و شرایط متنوع بیابیم. ما باید </w:t>
      </w:r>
      <w:r w:rsidR="002F3C14" w:rsidRPr="0025250D">
        <w:rPr>
          <w:rFonts w:hint="cs"/>
          <w:rtl/>
        </w:rPr>
        <w:t>برآورد نماییم</w:t>
      </w:r>
      <w:r w:rsidRPr="0025250D">
        <w:rPr>
          <w:rFonts w:hint="cs"/>
          <w:rtl/>
        </w:rPr>
        <w:t xml:space="preserve"> که چه مقدار </w:t>
      </w:r>
      <w:r w:rsidRPr="0025250D">
        <w:rPr>
          <w:rtl/>
        </w:rPr>
        <w:t>آینده‌نگاری</w:t>
      </w:r>
      <w:r w:rsidRPr="0025250D">
        <w:rPr>
          <w:rFonts w:hint="cs"/>
          <w:rtl/>
        </w:rPr>
        <w:t xml:space="preserve">ِ پنهانِ مفید مطالبه نشده باقی مانده است. ما باید بپرسیم که کسب آن چقدر هزینه می‌تواند داشته باشد و چه بازه زمانی بازگشت سرمایه احتمالی مطالعات و فعالیت‌های </w:t>
      </w:r>
      <w:r w:rsidRPr="0025250D">
        <w:rPr>
          <w:rtl/>
        </w:rPr>
        <w:t>آینده‌نگاری</w:t>
      </w:r>
      <w:r w:rsidRPr="0025250D">
        <w:rPr>
          <w:rFonts w:hint="cs"/>
          <w:rtl/>
        </w:rPr>
        <w:t xml:space="preserve"> بیش‌تر را توجیه می‌کند. ما دورنمایی از این موارد و دیگر چالش‌های ارزشمند در این کتابِ راهنما ارائه خواهیم نمود.</w:t>
      </w:r>
    </w:p>
    <w:p w14:paraId="417B8449" w14:textId="2C11ABE3" w:rsidR="0020732A" w:rsidRPr="0025250D" w:rsidRDefault="0020732A" w:rsidP="0020732A">
      <w:pPr>
        <w:rPr>
          <w:rtl/>
        </w:rPr>
      </w:pPr>
      <w:r w:rsidRPr="0025250D">
        <w:rPr>
          <w:rFonts w:hint="cs"/>
          <w:rtl/>
        </w:rPr>
        <w:t xml:space="preserve"> </w:t>
      </w:r>
      <w:r w:rsidRPr="0025250D">
        <w:rPr>
          <w:rtl/>
        </w:rPr>
        <w:t>پ</w:t>
      </w:r>
      <w:r w:rsidRPr="0025250D">
        <w:rPr>
          <w:rFonts w:hint="cs"/>
          <w:rtl/>
        </w:rPr>
        <w:t>ی</w:t>
      </w:r>
      <w:r w:rsidRPr="0025250D">
        <w:rPr>
          <w:rFonts w:hint="eastAsia"/>
          <w:rtl/>
        </w:rPr>
        <w:t>تر</w:t>
      </w:r>
      <w:r w:rsidRPr="0025250D">
        <w:rPr>
          <w:rtl/>
        </w:rPr>
        <w:t xml:space="preserve"> ب</w:t>
      </w:r>
      <w:r w:rsidRPr="0025250D">
        <w:rPr>
          <w:rFonts w:hint="cs"/>
          <w:rtl/>
        </w:rPr>
        <w:t>ی</w:t>
      </w:r>
      <w:r w:rsidRPr="0025250D">
        <w:rPr>
          <w:rFonts w:hint="eastAsia"/>
          <w:rtl/>
        </w:rPr>
        <w:t>شاپ</w:t>
      </w:r>
      <w:r w:rsidRPr="0025250D">
        <w:rPr>
          <w:vertAlign w:val="superscript"/>
          <w:rtl/>
        </w:rPr>
        <w:footnoteReference w:id="137"/>
      </w:r>
      <w:r w:rsidRPr="0025250D">
        <w:rPr>
          <w:rFonts w:hint="cs"/>
          <w:rtl/>
        </w:rPr>
        <w:t xml:space="preserve">، مدیر پیشین برنامه کارشناسی ارشد آینده‌نگاری دانشگاه </w:t>
      </w:r>
      <w:r w:rsidRPr="0025250D">
        <w:rPr>
          <w:rtl/>
        </w:rPr>
        <w:t>ه</w:t>
      </w:r>
      <w:r w:rsidRPr="0025250D">
        <w:rPr>
          <w:rFonts w:hint="cs"/>
          <w:rtl/>
        </w:rPr>
        <w:t>ی</w:t>
      </w:r>
      <w:r w:rsidRPr="0025250D">
        <w:rPr>
          <w:rFonts w:hint="eastAsia"/>
          <w:rtl/>
        </w:rPr>
        <w:t>وست</w:t>
      </w:r>
      <w:r w:rsidRPr="0025250D">
        <w:rPr>
          <w:rFonts w:hint="cs"/>
          <w:rtl/>
        </w:rPr>
        <w:t>ن</w:t>
      </w:r>
      <w:r w:rsidRPr="0025250D">
        <w:rPr>
          <w:vertAlign w:val="superscript"/>
          <w:rtl/>
        </w:rPr>
        <w:footnoteReference w:id="138"/>
      </w:r>
      <w:r w:rsidRPr="0025250D">
        <w:rPr>
          <w:rFonts w:hint="cs"/>
          <w:rtl/>
        </w:rPr>
        <w:t xml:space="preserve">، از یک جمله بسیار خوب در امضای ایمیل خود استفاده می‌کند: </w:t>
      </w:r>
      <w:r w:rsidR="0020589F" w:rsidRPr="0025250D">
        <w:rPr>
          <w:rtl/>
        </w:rPr>
        <w:t>«</w:t>
      </w:r>
      <w:r w:rsidRPr="0025250D">
        <w:rPr>
          <w:rFonts w:hint="cs"/>
          <w:rtl/>
        </w:rPr>
        <w:t>تغییر دشوار است، اما سکون و ایستایی کشنده است</w:t>
      </w:r>
      <w:r w:rsidR="0020589F" w:rsidRPr="0025250D">
        <w:rPr>
          <w:rtl/>
        </w:rPr>
        <w:t>»</w:t>
      </w:r>
      <w:r w:rsidRPr="0025250D">
        <w:rPr>
          <w:rFonts w:hint="cs"/>
          <w:rtl/>
        </w:rPr>
        <w:t xml:space="preserve">. همه ما باید برای بقا درگیر تغییرات دوره‌ای شویم. به‌صورت </w:t>
      </w:r>
      <w:r w:rsidRPr="0025250D">
        <w:rPr>
          <w:rtl/>
        </w:rPr>
        <w:t>ا</w:t>
      </w:r>
      <w:r w:rsidRPr="0025250D">
        <w:rPr>
          <w:rFonts w:hint="cs"/>
          <w:rtl/>
        </w:rPr>
        <w:t>ی</w:t>
      </w:r>
      <w:r w:rsidRPr="0025250D">
        <w:rPr>
          <w:rFonts w:hint="eastAsia"/>
          <w:rtl/>
        </w:rPr>
        <w:t>دئال</w:t>
      </w:r>
      <w:r w:rsidRPr="0025250D">
        <w:rPr>
          <w:rFonts w:hint="cs"/>
          <w:rtl/>
        </w:rPr>
        <w:t xml:space="preserve">، ما همچنین خواهیم آموخت که چگونه ترقی کنیم، چگونه از </w:t>
      </w:r>
      <w:r w:rsidRPr="0025250D">
        <w:rPr>
          <w:rtl/>
        </w:rPr>
        <w:t>آینده‌نگاری</w:t>
      </w:r>
      <w:r w:rsidRPr="0025250D">
        <w:rPr>
          <w:rFonts w:hint="cs"/>
          <w:rtl/>
        </w:rPr>
        <w:t xml:space="preserve"> در جهت موفقیت ماندگار برای کارسپاران و خودمان و پیشرفت حقیقی برای جهان استفاده کنیم. استفاده از </w:t>
      </w:r>
      <w:r w:rsidRPr="0025250D">
        <w:rPr>
          <w:rtl/>
        </w:rPr>
        <w:t>آینده‌نگاری</w:t>
      </w:r>
      <w:r w:rsidRPr="0025250D">
        <w:rPr>
          <w:rFonts w:hint="cs"/>
          <w:rtl/>
        </w:rPr>
        <w:t xml:space="preserve"> برای هر دو هدف یک سفر چالش‌برانگیز، متواضعانه، هیجان‌انگیز و ثمربخش است.</w:t>
      </w:r>
    </w:p>
    <w:p w14:paraId="3A8EB212" w14:textId="77777777" w:rsidR="0020732A" w:rsidRPr="0025250D" w:rsidRDefault="0020732A" w:rsidP="0020732A">
      <w:pPr>
        <w:rPr>
          <w:rtl/>
        </w:rPr>
      </w:pPr>
    </w:p>
    <w:p w14:paraId="0F52364E" w14:textId="77777777" w:rsidR="0020732A" w:rsidRPr="0025250D" w:rsidRDefault="0020732A" w:rsidP="0020732A">
      <w:pPr>
        <w:rPr>
          <w:rtl/>
        </w:rPr>
      </w:pPr>
    </w:p>
    <w:p w14:paraId="5FFA190A" w14:textId="77777777" w:rsidR="0020732A" w:rsidRPr="0025250D" w:rsidRDefault="0020732A" w:rsidP="0020732A">
      <w:pPr>
        <w:rPr>
          <w:rtl/>
        </w:rPr>
      </w:pPr>
    </w:p>
    <w:p w14:paraId="189F7225" w14:textId="77777777" w:rsidR="0020732A" w:rsidRPr="0025250D" w:rsidRDefault="0020732A" w:rsidP="0020732A">
      <w:pPr>
        <w:rPr>
          <w:rtl/>
        </w:rPr>
      </w:pPr>
    </w:p>
    <w:p w14:paraId="37EAC34B" w14:textId="77777777" w:rsidR="0020732A" w:rsidRPr="0025250D" w:rsidRDefault="0020732A" w:rsidP="0020732A">
      <w:pPr>
        <w:rPr>
          <w:rtl/>
        </w:rPr>
      </w:pPr>
    </w:p>
    <w:p w14:paraId="4452E385" w14:textId="77777777" w:rsidR="0020732A" w:rsidRPr="0025250D" w:rsidRDefault="0020732A" w:rsidP="0020732A">
      <w:pPr>
        <w:rPr>
          <w:rtl/>
        </w:rPr>
      </w:pPr>
    </w:p>
    <w:p w14:paraId="3AEF45E6" w14:textId="77777777" w:rsidR="0020732A" w:rsidRPr="0025250D" w:rsidRDefault="0020732A" w:rsidP="0020732A">
      <w:pPr>
        <w:rPr>
          <w:rtl/>
        </w:rPr>
      </w:pPr>
    </w:p>
    <w:p w14:paraId="08596791" w14:textId="77777777" w:rsidR="0020732A" w:rsidRPr="0025250D" w:rsidRDefault="0020732A" w:rsidP="0020732A">
      <w:pPr>
        <w:rPr>
          <w:rtl/>
        </w:rPr>
      </w:pPr>
    </w:p>
    <w:p w14:paraId="68E6E570" w14:textId="77777777" w:rsidR="0020732A" w:rsidRPr="0025250D" w:rsidRDefault="0020732A" w:rsidP="0020732A">
      <w:pPr>
        <w:rPr>
          <w:rtl/>
        </w:rPr>
      </w:pPr>
    </w:p>
    <w:p w14:paraId="7CFCE9A1" w14:textId="77777777" w:rsidR="0020732A" w:rsidRPr="0025250D" w:rsidRDefault="0020732A" w:rsidP="0020732A">
      <w:pPr>
        <w:rPr>
          <w:rtl/>
        </w:rPr>
      </w:pPr>
    </w:p>
    <w:p w14:paraId="0D9BAD91" w14:textId="77777777" w:rsidR="0020732A" w:rsidRPr="0025250D" w:rsidRDefault="0020732A" w:rsidP="0020732A">
      <w:pPr>
        <w:rPr>
          <w:rtl/>
        </w:rPr>
      </w:pPr>
    </w:p>
    <w:p w14:paraId="3CA85697" w14:textId="77777777" w:rsidR="0020732A" w:rsidRPr="0025250D" w:rsidRDefault="0020732A" w:rsidP="0020732A">
      <w:pPr>
        <w:rPr>
          <w:rtl/>
        </w:rPr>
      </w:pPr>
    </w:p>
    <w:p w14:paraId="210EA55D" w14:textId="77777777" w:rsidR="0020732A" w:rsidRPr="0025250D" w:rsidRDefault="0020732A" w:rsidP="00537CC8">
      <w:pPr>
        <w:pStyle w:val="Heading2"/>
        <w:rPr>
          <w:rtl/>
        </w:rPr>
      </w:pPr>
      <w:bookmarkStart w:id="5" w:name="_Toc127831271"/>
      <w:r w:rsidRPr="0025250D">
        <w:rPr>
          <w:rFonts w:hint="cs"/>
          <w:rtl/>
        </w:rPr>
        <w:lastRenderedPageBreak/>
        <w:t xml:space="preserve">قاعده آنا کارنینا </w:t>
      </w:r>
      <w:r w:rsidRPr="0025250D">
        <w:rPr>
          <w:rFonts w:ascii="Times New Roman" w:hAnsi="Times New Roman" w:cs="Times New Roman" w:hint="cs"/>
          <w:rtl/>
        </w:rPr>
        <w:t>–</w:t>
      </w:r>
      <w:r w:rsidRPr="0025250D">
        <w:rPr>
          <w:rFonts w:hint="cs"/>
          <w:rtl/>
        </w:rPr>
        <w:t xml:space="preserve"> یک فرض اساسی این کتاب راهنما</w:t>
      </w:r>
      <w:bookmarkEnd w:id="5"/>
    </w:p>
    <w:p w14:paraId="49EAB7B4" w14:textId="3C463956" w:rsidR="0020732A" w:rsidRPr="0025250D" w:rsidRDefault="0020732A" w:rsidP="0020732A">
      <w:pPr>
        <w:rPr>
          <w:rtl/>
        </w:rPr>
      </w:pPr>
      <w:r w:rsidRPr="0025250D">
        <w:rPr>
          <w:rFonts w:hint="cs"/>
          <w:rtl/>
        </w:rPr>
        <w:t>نویسنده روس، لئو تولستوی</w:t>
      </w:r>
      <w:r w:rsidRPr="0025250D">
        <w:rPr>
          <w:vertAlign w:val="superscript"/>
          <w:rtl/>
        </w:rPr>
        <w:footnoteReference w:id="139"/>
      </w:r>
      <w:r w:rsidRPr="0025250D">
        <w:rPr>
          <w:rFonts w:hint="cs"/>
          <w:rtl/>
        </w:rPr>
        <w:t xml:space="preserve"> رمان خود به نام آنا کارنینا</w:t>
      </w:r>
      <w:r w:rsidRPr="0025250D">
        <w:rPr>
          <w:vertAlign w:val="superscript"/>
          <w:rtl/>
        </w:rPr>
        <w:footnoteReference w:id="140"/>
      </w:r>
      <w:r w:rsidRPr="0025250D">
        <w:rPr>
          <w:rFonts w:hint="cs"/>
          <w:rtl/>
        </w:rPr>
        <w:t xml:space="preserve"> در سال 1878 را که برخی آن را بهترین اثر تخیلی </w:t>
      </w:r>
      <w:r w:rsidRPr="0025250D">
        <w:rPr>
          <w:rtl/>
        </w:rPr>
        <w:t>نوشته‌شده</w:t>
      </w:r>
      <w:r w:rsidRPr="0025250D">
        <w:rPr>
          <w:rFonts w:hint="cs"/>
          <w:rtl/>
        </w:rPr>
        <w:t xml:space="preserve"> تا به امروز می‌دانند، با یک جمله عمیق آغاز می‌کند: </w:t>
      </w:r>
      <w:r w:rsidR="0020589F" w:rsidRPr="0025250D">
        <w:rPr>
          <w:rtl/>
        </w:rPr>
        <w:t>«</w:t>
      </w:r>
      <w:r w:rsidRPr="0025250D">
        <w:rPr>
          <w:rFonts w:hint="cs"/>
          <w:rtl/>
        </w:rPr>
        <w:t>خانواده‌های شاد همه مثل هم هستند و خانواده‌های غمگین هر یک به شکل منحصربه‌فرد خود غمگین هستند</w:t>
      </w:r>
      <w:r w:rsidR="0020589F" w:rsidRPr="0025250D">
        <w:rPr>
          <w:rtl/>
        </w:rPr>
        <w:t>»</w:t>
      </w:r>
      <w:r w:rsidRPr="0025250D">
        <w:rPr>
          <w:rFonts w:hint="cs"/>
          <w:rtl/>
        </w:rPr>
        <w:t xml:space="preserve">. این بینش در روانشناسی اجتماعی اکنون قاعده آنا کارنینا نامیده می‌شود (قاعده </w:t>
      </w:r>
      <w:r w:rsidRPr="0025250D">
        <w:t>AK</w:t>
      </w:r>
      <w:r w:rsidRPr="0025250D">
        <w:rPr>
          <w:rFonts w:hint="cs"/>
          <w:rtl/>
        </w:rPr>
        <w:t xml:space="preserve">). این یک ایده محوری در </w:t>
      </w:r>
      <w:r w:rsidRPr="0025250D">
        <w:rPr>
          <w:rtl/>
        </w:rPr>
        <w:t>آینده‌نگاری</w:t>
      </w:r>
      <w:r w:rsidRPr="0025250D">
        <w:rPr>
          <w:rFonts w:hint="cs"/>
          <w:rtl/>
        </w:rPr>
        <w:t xml:space="preserve"> تکاملی-توسعه‌ای و یک فرض اساسی در این کتاب راهنما می‌باشد.</w:t>
      </w:r>
    </w:p>
    <w:p w14:paraId="4C9642D7" w14:textId="77777777" w:rsidR="0020732A" w:rsidRPr="0025250D" w:rsidRDefault="0020732A" w:rsidP="00537CC8">
      <w:pPr>
        <w:jc w:val="center"/>
        <w:rPr>
          <w:rtl/>
        </w:rPr>
      </w:pPr>
      <w:r w:rsidRPr="0025250D">
        <w:rPr>
          <w:noProof/>
          <w:lang w:bidi="ar-SA"/>
        </w:rPr>
        <w:drawing>
          <wp:inline distT="0" distB="0" distL="0" distR="0" wp14:anchorId="17D5EE7F" wp14:editId="14840CC7">
            <wp:extent cx="2173175" cy="3077155"/>
            <wp:effectExtent l="0" t="0" r="0" b="9525"/>
            <wp:docPr id="11" name="Picture 11" descr="The First Color Portrait of Leo Tolstoy, and Other Amazing Color Photos of  Czarist Russia (1908) | Open Cul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First Color Portrait of Leo Tolstoy, and Other Amazing Color Photos of  Czarist Russia (1908) | Open Culture"/>
                    <pic:cNvPicPr>
                      <a:picLocks noChangeAspect="1" noChangeArrowheads="1"/>
                    </pic:cNvPicPr>
                  </pic:nvPicPr>
                  <pic:blipFill>
                    <a:blip r:embed="rId14" cstate="screen">
                      <a:extLst>
                        <a:ext uri="{BEBA8EAE-BF5A-486C-A8C5-ECC9F3942E4B}">
                          <a14:imgProps xmlns:a14="http://schemas.microsoft.com/office/drawing/2010/main">
                            <a14:imgLayer r:embed="rId15">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2194556" cy="3107430"/>
                    </a:xfrm>
                    <a:prstGeom prst="rect">
                      <a:avLst/>
                    </a:prstGeom>
                    <a:noFill/>
                    <a:ln>
                      <a:noFill/>
                    </a:ln>
                  </pic:spPr>
                </pic:pic>
              </a:graphicData>
            </a:graphic>
          </wp:inline>
        </w:drawing>
      </w:r>
    </w:p>
    <w:p w14:paraId="3B8F12C3" w14:textId="77777777" w:rsidR="0020732A" w:rsidRPr="0025250D" w:rsidRDefault="0020732A" w:rsidP="00537CC8">
      <w:pPr>
        <w:jc w:val="center"/>
        <w:rPr>
          <w:rtl/>
        </w:rPr>
      </w:pPr>
      <w:r w:rsidRPr="0025250D">
        <w:rPr>
          <w:rtl/>
        </w:rPr>
        <w:t>لئو تولستو</w:t>
      </w:r>
      <w:r w:rsidRPr="0025250D">
        <w:rPr>
          <w:rFonts w:hint="cs"/>
          <w:rtl/>
        </w:rPr>
        <w:t>ی در خانه، 1908</w:t>
      </w:r>
    </w:p>
    <w:p w14:paraId="7ACFA8D0" w14:textId="26406419" w:rsidR="0020732A" w:rsidRPr="0025250D" w:rsidRDefault="0020732A" w:rsidP="0020732A">
      <w:pPr>
        <w:rPr>
          <w:rtl/>
        </w:rPr>
      </w:pPr>
      <w:r w:rsidRPr="0025250D">
        <w:rPr>
          <w:rFonts w:hint="cs"/>
          <w:rtl/>
        </w:rPr>
        <w:t xml:space="preserve">ما باور داریم که در فعالیت </w:t>
      </w:r>
      <w:r w:rsidRPr="0025250D">
        <w:rPr>
          <w:rtl/>
        </w:rPr>
        <w:t>آینده‌نگاری</w:t>
      </w:r>
      <w:r w:rsidRPr="0025250D">
        <w:rPr>
          <w:rFonts w:hint="cs"/>
          <w:rtl/>
        </w:rPr>
        <w:t>، راه‌های بسیاری متنوعی برای شکست خوردن وجود دارند و فقط چند راه اندک اثربخش با قابلیت اطمینان</w:t>
      </w:r>
      <w:r w:rsidR="00727D10" w:rsidRPr="0025250D">
        <w:rPr>
          <w:rFonts w:hint="cs"/>
          <w:rtl/>
        </w:rPr>
        <w:t xml:space="preserve"> بالا</w:t>
      </w:r>
      <w:r w:rsidRPr="0025250D">
        <w:rPr>
          <w:rFonts w:hint="cs"/>
          <w:rtl/>
        </w:rPr>
        <w:t xml:space="preserve"> برای موفق شدن وجود دارند. ما این بینش را در زمینه </w:t>
      </w:r>
      <w:r w:rsidRPr="0025250D">
        <w:rPr>
          <w:rtl/>
        </w:rPr>
        <w:t>آینده‌نگاری</w:t>
      </w:r>
      <w:r w:rsidRPr="0025250D">
        <w:rPr>
          <w:rFonts w:hint="cs"/>
          <w:rtl/>
        </w:rPr>
        <w:t xml:space="preserve"> تکاملی-توسعه‌ای، مدلی عملی که از زیست‌شناسی تکاملی-توسعه‌ای استنتاج می‌کنیم، </w:t>
      </w:r>
      <w:r w:rsidR="00727D10" w:rsidRPr="0025250D">
        <w:rPr>
          <w:rFonts w:hint="cs"/>
          <w:rtl/>
        </w:rPr>
        <w:t>کاوش</w:t>
      </w:r>
      <w:r w:rsidRPr="0025250D">
        <w:rPr>
          <w:rtl/>
        </w:rPr>
        <w:t xml:space="preserve"> </w:t>
      </w:r>
      <w:r w:rsidRPr="0025250D">
        <w:rPr>
          <w:rFonts w:hint="cs"/>
          <w:rtl/>
        </w:rPr>
        <w:t>خواهیم</w:t>
      </w:r>
      <w:r w:rsidRPr="0025250D">
        <w:rPr>
          <w:rtl/>
        </w:rPr>
        <w:t xml:space="preserve"> </w:t>
      </w:r>
      <w:r w:rsidRPr="0025250D">
        <w:rPr>
          <w:rFonts w:hint="cs"/>
          <w:rtl/>
        </w:rPr>
        <w:t>کرد. در مدل‌های تکاملی-توسعه‌ای مورد بررسی، رسالت</w:t>
      </w:r>
      <w:r w:rsidRPr="0025250D">
        <w:rPr>
          <w:vertAlign w:val="superscript"/>
          <w:rtl/>
        </w:rPr>
        <w:footnoteReference w:id="141"/>
      </w:r>
      <w:r w:rsidRPr="0025250D">
        <w:rPr>
          <w:rFonts w:hint="cs"/>
          <w:rtl/>
        </w:rPr>
        <w:t xml:space="preserve"> محوری فرایند‌های تکاملی، چه از دید یک </w:t>
      </w:r>
      <w:r w:rsidR="00516B66" w:rsidRPr="0025250D">
        <w:rPr>
          <w:rFonts w:hint="cs"/>
          <w:rtl/>
        </w:rPr>
        <w:t>ارگانیسم</w:t>
      </w:r>
      <w:r w:rsidRPr="0025250D">
        <w:rPr>
          <w:rFonts w:hint="cs"/>
          <w:rtl/>
        </w:rPr>
        <w:t xml:space="preserve">، سازمان یا جامعه باشد، آزمایش به روش‌های </w:t>
      </w:r>
      <w:r w:rsidRPr="0025250D">
        <w:rPr>
          <w:rtl/>
        </w:rPr>
        <w:t>غیرقابل‌پیش‌بینی</w:t>
      </w:r>
      <w:r w:rsidRPr="0025250D">
        <w:rPr>
          <w:rFonts w:hint="cs"/>
          <w:rtl/>
        </w:rPr>
        <w:t xml:space="preserve"> می‌باشد که اغلب به شکست می‌انجامند و به‌صورت آرمان‌گرایانه، باید از آن‌ها درس گرفت. رسالت محوری فرایند‌های توسعه‌ای حفاظت از </w:t>
      </w:r>
      <w:r w:rsidR="00947B39" w:rsidRPr="0025250D">
        <w:rPr>
          <w:rFonts w:hint="cs"/>
          <w:rtl/>
        </w:rPr>
        <w:t>سامانه</w:t>
      </w:r>
      <w:r w:rsidRPr="0025250D">
        <w:rPr>
          <w:rFonts w:hint="cs"/>
          <w:rtl/>
        </w:rPr>
        <w:t xml:space="preserve"> در جهت پیشبرد</w:t>
      </w:r>
      <w:r w:rsidRPr="0025250D">
        <w:rPr>
          <w:vertAlign w:val="superscript"/>
          <w:rtl/>
        </w:rPr>
        <w:footnoteReference w:id="142"/>
      </w:r>
      <w:r w:rsidRPr="0025250D">
        <w:rPr>
          <w:rFonts w:hint="cs"/>
          <w:rtl/>
        </w:rPr>
        <w:t xml:space="preserve"> قابل پیش‌بینی یک </w:t>
      </w:r>
      <w:r w:rsidR="00947B39" w:rsidRPr="0025250D">
        <w:rPr>
          <w:rFonts w:hint="cs"/>
          <w:rtl/>
        </w:rPr>
        <w:t>سامانه</w:t>
      </w:r>
      <w:r w:rsidRPr="0025250D">
        <w:rPr>
          <w:rFonts w:hint="cs"/>
          <w:rtl/>
        </w:rPr>
        <w:t xml:space="preserve"> پیچیده در طی مراحل یک چرخه زندگی</w:t>
      </w:r>
      <w:r w:rsidR="00727D10" w:rsidRPr="0025250D">
        <w:rPr>
          <w:rFonts w:hint="cs"/>
          <w:rtl/>
        </w:rPr>
        <w:t xml:space="preserve"> می‌باشد</w:t>
      </w:r>
      <w:r w:rsidRPr="0025250D">
        <w:rPr>
          <w:rFonts w:hint="cs"/>
          <w:rtl/>
        </w:rPr>
        <w:t xml:space="preserve">، مراحلی که در محیط‌های گذشته موفقیت خود را ثابت کرده‌اند و </w:t>
      </w:r>
      <w:r w:rsidR="00727D10" w:rsidRPr="0025250D">
        <w:rPr>
          <w:rFonts w:hint="cs"/>
          <w:rtl/>
        </w:rPr>
        <w:t xml:space="preserve">این اطمینان را می‌دهد که </w:t>
      </w:r>
      <w:r w:rsidRPr="0025250D">
        <w:rPr>
          <w:rFonts w:hint="cs"/>
          <w:rtl/>
        </w:rPr>
        <w:t xml:space="preserve">این </w:t>
      </w:r>
      <w:r w:rsidR="00947B39" w:rsidRPr="0025250D">
        <w:rPr>
          <w:rFonts w:hint="cs"/>
          <w:rtl/>
        </w:rPr>
        <w:t>سامانه</w:t>
      </w:r>
      <w:r w:rsidRPr="0025250D">
        <w:rPr>
          <w:rFonts w:hint="cs"/>
          <w:rtl/>
        </w:rPr>
        <w:t xml:space="preserve"> </w:t>
      </w:r>
      <w:r w:rsidR="00727D10" w:rsidRPr="0025250D">
        <w:rPr>
          <w:rFonts w:hint="cs"/>
          <w:rtl/>
        </w:rPr>
        <w:t>همتاساز</w:t>
      </w:r>
      <w:r w:rsidRPr="0025250D">
        <w:rPr>
          <w:vertAlign w:val="superscript"/>
          <w:rtl/>
        </w:rPr>
        <w:footnoteReference w:id="143"/>
      </w:r>
      <w:r w:rsidRPr="0025250D">
        <w:rPr>
          <w:rFonts w:hint="cs"/>
          <w:rtl/>
        </w:rPr>
        <w:t xml:space="preserve"> است تا شبکه سامانه‌ها بیشترین شانس را برای بقا داشته باشد.</w:t>
      </w:r>
    </w:p>
    <w:p w14:paraId="0B8C3BEF" w14:textId="1224AE33" w:rsidR="0020732A" w:rsidRPr="0025250D" w:rsidRDefault="0020732A" w:rsidP="0020732A">
      <w:pPr>
        <w:rPr>
          <w:rtl/>
        </w:rPr>
      </w:pPr>
      <w:r w:rsidRPr="0025250D">
        <w:rPr>
          <w:rFonts w:hint="cs"/>
          <w:rtl/>
        </w:rPr>
        <w:t xml:space="preserve">فرایند‌های توسعه‌ای محافظه‌کارانه و قابل پیش‌بینی هستند، اما تنها می‌توانند حالات گذشته </w:t>
      </w:r>
      <w:r w:rsidR="002F3C14" w:rsidRPr="0025250D">
        <w:rPr>
          <w:rFonts w:hint="cs"/>
          <w:rtl/>
        </w:rPr>
        <w:t>انطباق</w:t>
      </w:r>
      <w:r w:rsidRPr="0025250D">
        <w:rPr>
          <w:rFonts w:hint="cs"/>
          <w:rtl/>
        </w:rPr>
        <w:t xml:space="preserve"> را حفظ و نگهداری کنند؛ آن‌ها نمی‌توانند این حالات را بهبود بخشند. فرایند‌های تکاملی، در مقابل، برای پاسخ به تغییرات موردنیاز هستند و در صورت انتخاب، حتی می‌توانند </w:t>
      </w:r>
      <w:r w:rsidR="002F3C14" w:rsidRPr="0025250D">
        <w:rPr>
          <w:rFonts w:hint="cs"/>
          <w:rtl/>
        </w:rPr>
        <w:t>انطباق</w:t>
      </w:r>
      <w:r w:rsidRPr="0025250D">
        <w:rPr>
          <w:rFonts w:hint="cs"/>
          <w:rtl/>
        </w:rPr>
        <w:t xml:space="preserve"> بیش‌تری را ایجاد نمایند</w:t>
      </w:r>
      <w:r w:rsidR="008D6F97" w:rsidRPr="0025250D">
        <w:rPr>
          <w:rtl/>
        </w:rPr>
        <w:t xml:space="preserve">؛ </w:t>
      </w:r>
      <w:r w:rsidRPr="0025250D">
        <w:rPr>
          <w:rFonts w:hint="cs"/>
          <w:rtl/>
        </w:rPr>
        <w:t xml:space="preserve">اما به این دلیل که هیچ </w:t>
      </w:r>
      <w:r w:rsidR="00947B39" w:rsidRPr="0025250D">
        <w:rPr>
          <w:rFonts w:hint="cs"/>
          <w:rtl/>
        </w:rPr>
        <w:t>سامانه</w:t>
      </w:r>
      <w:r w:rsidRPr="0025250D">
        <w:rPr>
          <w:rFonts w:hint="cs"/>
          <w:rtl/>
        </w:rPr>
        <w:t xml:space="preserve"> پیچیده‌ای نمی‌تواند همیشه به همه‌چیز واقف</w:t>
      </w:r>
      <w:r w:rsidRPr="0025250D">
        <w:rPr>
          <w:vertAlign w:val="superscript"/>
          <w:rtl/>
        </w:rPr>
        <w:footnoteReference w:id="144"/>
      </w:r>
      <w:r w:rsidRPr="0025250D">
        <w:rPr>
          <w:rFonts w:hint="cs"/>
          <w:rtl/>
        </w:rPr>
        <w:t xml:space="preserve"> باشد (دانش کاملی از آینده داشته باشد)، مستقل از </w:t>
      </w:r>
      <w:r w:rsidRPr="0025250D">
        <w:rPr>
          <w:rFonts w:hint="cs"/>
          <w:rtl/>
        </w:rPr>
        <w:lastRenderedPageBreak/>
        <w:t xml:space="preserve">این‌که چقدر پیچیده باشد، بیش‌تر </w:t>
      </w:r>
      <w:r w:rsidRPr="0025250D">
        <w:rPr>
          <w:rtl/>
        </w:rPr>
        <w:t>آزما</w:t>
      </w:r>
      <w:r w:rsidRPr="0025250D">
        <w:rPr>
          <w:rFonts w:hint="cs"/>
          <w:rtl/>
        </w:rPr>
        <w:t>ی</w:t>
      </w:r>
      <w:r w:rsidRPr="0025250D">
        <w:rPr>
          <w:rFonts w:hint="eastAsia"/>
          <w:rtl/>
        </w:rPr>
        <w:t>ش‌ها</w:t>
      </w:r>
      <w:r w:rsidRPr="0025250D">
        <w:rPr>
          <w:rFonts w:hint="cs"/>
          <w:rtl/>
        </w:rPr>
        <w:t xml:space="preserve">ی تکاملی </w:t>
      </w:r>
      <w:r w:rsidR="002F3C14" w:rsidRPr="0025250D">
        <w:rPr>
          <w:rFonts w:hint="cs"/>
          <w:rtl/>
        </w:rPr>
        <w:t>انطباق</w:t>
      </w:r>
      <w:r w:rsidRPr="0025250D">
        <w:rPr>
          <w:rFonts w:hint="cs"/>
          <w:rtl/>
        </w:rPr>
        <w:t xml:space="preserve"> را بهبود نخواهند بخشید. در آینده، همواره راه‌های بسیار بیش‌تری برای شکست وجود خواهند داشت که هر یک در نوع خود یک حالت شکست منحصربه‌فرد نسبت به موفقیت است.</w:t>
      </w:r>
    </w:p>
    <w:p w14:paraId="1DE409C8" w14:textId="4803A50C" w:rsidR="0020732A" w:rsidRPr="0025250D" w:rsidRDefault="0020732A" w:rsidP="0020732A">
      <w:pPr>
        <w:rPr>
          <w:rtl/>
        </w:rPr>
      </w:pPr>
      <w:r w:rsidRPr="0025250D">
        <w:rPr>
          <w:rFonts w:hint="cs"/>
          <w:rtl/>
        </w:rPr>
        <w:t xml:space="preserve">به این دلیل که به قاعده </w:t>
      </w:r>
      <w:r w:rsidRPr="0025250D">
        <w:t>AK</w:t>
      </w:r>
      <w:r w:rsidRPr="0025250D">
        <w:rPr>
          <w:rFonts w:hint="cs"/>
          <w:rtl/>
        </w:rPr>
        <w:t xml:space="preserve"> باور داریم، در بیش‌تر صفحات این کتاب به دنبال مدل‌های فراگیر (توسعه‌ای) برای توصیف این</w:t>
      </w:r>
      <w:r w:rsidR="00727D10" w:rsidRPr="0025250D">
        <w:rPr>
          <w:rFonts w:hint="cs"/>
          <w:rtl/>
        </w:rPr>
        <w:t xml:space="preserve"> خواهیم بود </w:t>
      </w:r>
      <w:r w:rsidRPr="0025250D">
        <w:rPr>
          <w:rFonts w:hint="cs"/>
          <w:rtl/>
        </w:rPr>
        <w:t>‌که</w:t>
      </w:r>
      <w:r w:rsidR="008D6F97" w:rsidRPr="0025250D">
        <w:t xml:space="preserve"> </w:t>
      </w:r>
      <w:r w:rsidRPr="0025250D">
        <w:rPr>
          <w:rtl/>
        </w:rPr>
        <w:t>آینده‌نگاری</w:t>
      </w:r>
      <w:r w:rsidRPr="0025250D">
        <w:rPr>
          <w:rFonts w:hint="cs"/>
          <w:rtl/>
        </w:rPr>
        <w:t xml:space="preserve"> موفق (</w:t>
      </w:r>
      <w:r w:rsidR="0020589F" w:rsidRPr="0025250D">
        <w:rPr>
          <w:rtl/>
        </w:rPr>
        <w:t>«</w:t>
      </w:r>
      <w:r w:rsidR="00127C91" w:rsidRPr="0025250D">
        <w:rPr>
          <w:rFonts w:hint="cs"/>
          <w:rtl/>
        </w:rPr>
        <w:t>خوشحال</w:t>
      </w:r>
      <w:r w:rsidRPr="0025250D">
        <w:rPr>
          <w:vertAlign w:val="superscript"/>
          <w:rtl/>
        </w:rPr>
        <w:footnoteReference w:id="145"/>
      </w:r>
      <w:r w:rsidR="0020589F" w:rsidRPr="0025250D">
        <w:rPr>
          <w:rtl/>
        </w:rPr>
        <w:t>»</w:t>
      </w:r>
      <w:r w:rsidRPr="0025250D">
        <w:rPr>
          <w:rFonts w:hint="cs"/>
          <w:rtl/>
        </w:rPr>
        <w:t xml:space="preserve">) چیست و چگونه می‌توانیم آن را به‌خوبی انجام دهیم. وقتی در مورد شکست‌های </w:t>
      </w:r>
      <w:r w:rsidRPr="0025250D">
        <w:rPr>
          <w:rtl/>
        </w:rPr>
        <w:t>آینده‌نگاری</w:t>
      </w:r>
      <w:r w:rsidRPr="0025250D">
        <w:rPr>
          <w:rFonts w:hint="cs"/>
          <w:rtl/>
        </w:rPr>
        <w:t xml:space="preserve"> صحبت می‌کنیم، تلاش خواهیم کرد تا بر انواع قابل پیش‌بینی شکست (سوگیری، نقش‌های مشکل‌ساز</w:t>
      </w:r>
      <w:r w:rsidRPr="0025250D">
        <w:rPr>
          <w:vertAlign w:val="superscript"/>
          <w:rtl/>
        </w:rPr>
        <w:footnoteReference w:id="146"/>
      </w:r>
      <w:r w:rsidRPr="0025250D">
        <w:rPr>
          <w:rFonts w:hint="cs"/>
          <w:rtl/>
        </w:rPr>
        <w:t xml:space="preserve">، به‌کارگیری نادرست </w:t>
      </w:r>
      <w:r w:rsidR="00B13F65" w:rsidRPr="0025250D">
        <w:rPr>
          <w:rFonts w:hint="cs"/>
          <w:rtl/>
        </w:rPr>
        <w:t>چارچوب</w:t>
      </w:r>
      <w:r w:rsidRPr="0025250D">
        <w:rPr>
          <w:rFonts w:hint="cs"/>
          <w:rtl/>
        </w:rPr>
        <w:t>‌ها)، بیش از موضوع گسترده‌تر انواع شکست</w:t>
      </w:r>
      <w:r w:rsidR="00727D10" w:rsidRPr="0025250D">
        <w:rPr>
          <w:rFonts w:hint="cs"/>
          <w:rtl/>
        </w:rPr>
        <w:t>‌های</w:t>
      </w:r>
      <w:r w:rsidRPr="0025250D">
        <w:rPr>
          <w:rFonts w:hint="cs"/>
          <w:rtl/>
        </w:rPr>
        <w:t xml:space="preserve"> غیرقابل‌پیش‌بینی تمرکز نماییم. به‌بیان‌دیگر، تأکید اصلی ما بر تنوع تکاملی در فعالیت </w:t>
      </w:r>
      <w:r w:rsidRPr="0025250D">
        <w:rPr>
          <w:rtl/>
        </w:rPr>
        <w:t>آینده‌نگاری</w:t>
      </w:r>
      <w:r w:rsidR="00727D10" w:rsidRPr="0025250D">
        <w:rPr>
          <w:rFonts w:hint="cs"/>
          <w:rtl/>
        </w:rPr>
        <w:t xml:space="preserve"> نمی‌باشد</w:t>
      </w:r>
      <w:r w:rsidRPr="0025250D">
        <w:rPr>
          <w:rFonts w:hint="cs"/>
          <w:rtl/>
        </w:rPr>
        <w:t xml:space="preserve"> که بخش زیادی از آن ناسازگار</w:t>
      </w:r>
      <w:r w:rsidRPr="0025250D">
        <w:rPr>
          <w:vertAlign w:val="superscript"/>
          <w:rtl/>
        </w:rPr>
        <w:footnoteReference w:id="147"/>
      </w:r>
      <w:r w:rsidRPr="0025250D">
        <w:rPr>
          <w:rFonts w:hint="cs"/>
          <w:rtl/>
        </w:rPr>
        <w:t xml:space="preserve"> خواهد بود؛ بلکه بر حالت بهینه توسعه‌ای خواهد بود؛ بر مدل‌ها و فعالیت‌هایی که به نظر بیش‌ترین فواید را در بیش‌ترین زمینه‌ها دارند.</w:t>
      </w:r>
    </w:p>
    <w:p w14:paraId="5057FBD9" w14:textId="4FA74D76" w:rsidR="0020732A" w:rsidRPr="0025250D" w:rsidRDefault="0020732A" w:rsidP="0020732A">
      <w:pPr>
        <w:rPr>
          <w:rtl/>
        </w:rPr>
      </w:pPr>
      <w:r w:rsidRPr="0025250D">
        <w:rPr>
          <w:rFonts w:hint="cs"/>
          <w:rtl/>
        </w:rPr>
        <w:t xml:space="preserve">مدل‌هایی که در این فصل ابتدایی معرفی می‌کنیم، همگی به نظر ما به‌طور مشخص ارزش </w:t>
      </w:r>
      <w:r w:rsidRPr="0025250D">
        <w:rPr>
          <w:rtl/>
        </w:rPr>
        <w:t>فراگیر</w:t>
      </w:r>
      <w:r w:rsidRPr="0025250D">
        <w:rPr>
          <w:rFonts w:hint="cs"/>
          <w:rtl/>
        </w:rPr>
        <w:t xml:space="preserve"> دارند. در صورت عدم موافقت در این موارد به ما اطلاع دهید. ما باور داریم که این مدل‌ها اساس و پایه‌ای مستحکم را برای آزمایش‌های تکاملی در فرایند و عملکرد‌های </w:t>
      </w:r>
      <w:r w:rsidRPr="0025250D">
        <w:rPr>
          <w:rtl/>
        </w:rPr>
        <w:t>آینده‌نگاری</w:t>
      </w:r>
      <w:r w:rsidRPr="0025250D">
        <w:rPr>
          <w:rFonts w:hint="cs"/>
          <w:rtl/>
        </w:rPr>
        <w:t xml:space="preserve"> در اختیار خواننده می‌گذارند. بیش‌تر آزمایش‌های </w:t>
      </w:r>
      <w:r w:rsidRPr="0025250D">
        <w:rPr>
          <w:rtl/>
        </w:rPr>
        <w:t>آینده‌نگاری</w:t>
      </w:r>
      <w:r w:rsidRPr="0025250D">
        <w:rPr>
          <w:rFonts w:hint="cs"/>
          <w:rtl/>
        </w:rPr>
        <w:t xml:space="preserve">، هر یک به شکل منحصربه‌فرد خود، </w:t>
      </w:r>
      <w:r w:rsidRPr="0025250D">
        <w:rPr>
          <w:rtl/>
        </w:rPr>
        <w:t>به صورت</w:t>
      </w:r>
      <w:r w:rsidRPr="0025250D">
        <w:rPr>
          <w:rFonts w:hint="cs"/>
          <w:rtl/>
        </w:rPr>
        <w:t>ی قابل‌پیش‌بینی اهدافی که ما برای آن‌ها تعیین نموده‌ایم را برآورده نمی‌کنند</w:t>
      </w:r>
      <w:r w:rsidR="008D6F97" w:rsidRPr="0025250D">
        <w:rPr>
          <w:rtl/>
        </w:rPr>
        <w:t xml:space="preserve">؛ </w:t>
      </w:r>
      <w:r w:rsidRPr="0025250D">
        <w:rPr>
          <w:rFonts w:hint="cs"/>
          <w:rtl/>
        </w:rPr>
        <w:t>اما باید به یاد داشته باشیم که تنها با داشتن شجاعت آزمایش کردن است که می‌توانیم خود را به مقدار قابل‌توجهی بهبود دهیم.</w:t>
      </w:r>
    </w:p>
    <w:p w14:paraId="4C16891A" w14:textId="77777777" w:rsidR="0020732A" w:rsidRPr="0025250D" w:rsidRDefault="0020732A" w:rsidP="0020732A">
      <w:pPr>
        <w:rPr>
          <w:rtl/>
        </w:rPr>
      </w:pPr>
    </w:p>
    <w:p w14:paraId="17968AA8" w14:textId="77777777" w:rsidR="0020732A" w:rsidRPr="0025250D" w:rsidRDefault="0020732A" w:rsidP="00537CC8">
      <w:pPr>
        <w:pStyle w:val="Heading2"/>
        <w:rPr>
          <w:rtl/>
        </w:rPr>
      </w:pPr>
      <w:bookmarkStart w:id="6" w:name="_Toc127831272"/>
      <w:r w:rsidRPr="0025250D">
        <w:rPr>
          <w:rFonts w:hint="cs"/>
          <w:rtl/>
        </w:rPr>
        <w:lastRenderedPageBreak/>
        <w:t xml:space="preserve">شش دامنه عمل </w:t>
      </w:r>
      <w:r w:rsidRPr="0025250D">
        <w:rPr>
          <w:rtl/>
        </w:rPr>
        <w:t>آینده‌نگاری</w:t>
      </w:r>
      <w:bookmarkEnd w:id="6"/>
    </w:p>
    <w:p w14:paraId="05520B34" w14:textId="2EB7D9D9" w:rsidR="0020732A" w:rsidRPr="0025250D" w:rsidRDefault="0020732A" w:rsidP="0020732A">
      <w:pPr>
        <w:rPr>
          <w:rtl/>
        </w:rPr>
      </w:pPr>
      <w:r w:rsidRPr="0025250D">
        <w:rPr>
          <w:rFonts w:hint="cs"/>
          <w:rtl/>
        </w:rPr>
        <w:t xml:space="preserve">فعالیت </w:t>
      </w:r>
      <w:r w:rsidRPr="0025250D">
        <w:rPr>
          <w:rtl/>
        </w:rPr>
        <w:t>آینده‌نگاری</w:t>
      </w:r>
      <w:r w:rsidRPr="0025250D">
        <w:rPr>
          <w:rFonts w:hint="cs"/>
          <w:rtl/>
        </w:rPr>
        <w:t xml:space="preserve"> را می‌توان در شش گام که به‌سادگی از هم قابل‌تشخیص هستند، با افزایش مقیاس و پیچیدگی انجام داد. ما این مراحل را شش دامنه </w:t>
      </w:r>
      <w:r w:rsidRPr="0025250D">
        <w:rPr>
          <w:rtl/>
        </w:rPr>
        <w:t>آینده‌نگاری</w:t>
      </w:r>
      <w:r w:rsidRPr="0025250D">
        <w:rPr>
          <w:rFonts w:hint="cs"/>
          <w:rtl/>
        </w:rPr>
        <w:t xml:space="preserve"> می‌نامیم. ما همه این شش مورد را ضمن تلاش برای داشتن نگاهی جامع به زمینه خود در این کتاب راهنما بررسی خواهیم کرد.</w:t>
      </w:r>
    </w:p>
    <w:p w14:paraId="378477E6" w14:textId="0352CB22" w:rsidR="0020732A" w:rsidRPr="0025250D" w:rsidRDefault="0020732A" w:rsidP="0020732A">
      <w:pPr>
        <w:rPr>
          <w:rtl/>
        </w:rPr>
      </w:pPr>
      <w:r w:rsidRPr="0025250D">
        <w:rPr>
          <w:rFonts w:hint="cs"/>
          <w:rtl/>
        </w:rPr>
        <w:t xml:space="preserve">شش دامنه فعالیت </w:t>
      </w:r>
      <w:r w:rsidRPr="0025250D">
        <w:rPr>
          <w:rtl/>
        </w:rPr>
        <w:t>آینده‌نگاری</w:t>
      </w:r>
      <w:r w:rsidRPr="0025250D">
        <w:rPr>
          <w:rFonts w:hint="cs"/>
          <w:rtl/>
        </w:rPr>
        <w:t xml:space="preserve"> (دامنه‌های </w:t>
      </w:r>
      <w:r w:rsidRPr="0025250D">
        <w:t>STOSGU</w:t>
      </w:r>
      <w:r w:rsidRPr="0025250D">
        <w:rPr>
          <w:rFonts w:hint="cs"/>
          <w:rtl/>
        </w:rPr>
        <w:t xml:space="preserve">) این موارد هستند: (1) </w:t>
      </w:r>
      <w:r w:rsidRPr="0025250D">
        <w:rPr>
          <w:rtl/>
        </w:rPr>
        <w:t>آینده‌نگاری</w:t>
      </w:r>
      <w:r w:rsidRPr="0025250D">
        <w:rPr>
          <w:rFonts w:hint="cs"/>
          <w:rtl/>
        </w:rPr>
        <w:t xml:space="preserve"> خود (فردی)، بهبود آگاهی و رهبری خود؛ (2) </w:t>
      </w:r>
      <w:r w:rsidRPr="0025250D">
        <w:rPr>
          <w:rtl/>
        </w:rPr>
        <w:t>آینده‌نگاری</w:t>
      </w:r>
      <w:r w:rsidRPr="0025250D">
        <w:rPr>
          <w:rFonts w:hint="cs"/>
          <w:rtl/>
        </w:rPr>
        <w:t xml:space="preserve"> تیمی، بهبود روابط، خانواده‌ها و راهبری گروه‌های کوچک در آینده؛ (3)</w:t>
      </w:r>
      <w:r w:rsidR="008D6F97" w:rsidRPr="0025250D">
        <w:rPr>
          <w:rtl/>
        </w:rPr>
        <w:t xml:space="preserve"> </w:t>
      </w:r>
      <w:r w:rsidRPr="0025250D">
        <w:rPr>
          <w:rtl/>
        </w:rPr>
        <w:t>آینده‌نگاری</w:t>
      </w:r>
      <w:r w:rsidRPr="0025250D">
        <w:rPr>
          <w:rFonts w:hint="cs"/>
          <w:rtl/>
        </w:rPr>
        <w:t xml:space="preserve"> سازمانی، بهبود توانایی‌های شرکت‌ها و مؤسسات برای ایجاد آینده‌های دلخواه آن‌ها؛ (4) </w:t>
      </w:r>
      <w:r w:rsidRPr="0025250D">
        <w:rPr>
          <w:rtl/>
        </w:rPr>
        <w:t>آینده‌نگاری</w:t>
      </w:r>
      <w:r w:rsidRPr="0025250D">
        <w:rPr>
          <w:rFonts w:hint="cs"/>
          <w:rtl/>
        </w:rPr>
        <w:t xml:space="preserve"> اجتماعی، بهبود ظرفیت اقتصادی، سیاسی و فرهنگی هر جامعه برای ایجاد آینده‌های دلخواه آن‌ها؛ (5) </w:t>
      </w:r>
      <w:r w:rsidRPr="0025250D">
        <w:rPr>
          <w:rtl/>
        </w:rPr>
        <w:t>آینده‌نگاری</w:t>
      </w:r>
      <w:r w:rsidRPr="0025250D">
        <w:rPr>
          <w:rFonts w:hint="cs"/>
          <w:rtl/>
        </w:rPr>
        <w:t xml:space="preserve"> جهانی، بهبود توانایی همه جوامع سیاره‌مان برای همکاری، رقابت اخلاقی و حفظ محیط‌زیستمان و (6) </w:t>
      </w:r>
      <w:r w:rsidRPr="0025250D">
        <w:rPr>
          <w:rtl/>
        </w:rPr>
        <w:t>آینده‌نگاری</w:t>
      </w:r>
      <w:r w:rsidRPr="0025250D">
        <w:rPr>
          <w:rFonts w:hint="cs"/>
          <w:rtl/>
        </w:rPr>
        <w:t xml:space="preserve"> </w:t>
      </w:r>
      <w:r w:rsidRPr="0025250D">
        <w:rPr>
          <w:rtl/>
        </w:rPr>
        <w:t>فراگیر</w:t>
      </w:r>
      <w:r w:rsidRPr="0025250D">
        <w:rPr>
          <w:rFonts w:hint="cs"/>
          <w:rtl/>
        </w:rPr>
        <w:t xml:space="preserve"> که شامل علم، </w:t>
      </w:r>
      <w:r w:rsidRPr="0025250D">
        <w:rPr>
          <w:rtl/>
        </w:rPr>
        <w:t>فلسفه سامانه‌ها،</w:t>
      </w:r>
      <w:r w:rsidRPr="0025250D">
        <w:rPr>
          <w:rFonts w:hint="cs"/>
          <w:rtl/>
        </w:rPr>
        <w:t xml:space="preserve"> مطالعات پیچیدگی و بهترین مدل‌هایمان برای تغییر </w:t>
      </w:r>
      <w:r w:rsidRPr="0025250D">
        <w:rPr>
          <w:rtl/>
        </w:rPr>
        <w:t>فراگیر</w:t>
      </w:r>
      <w:r w:rsidRPr="0025250D">
        <w:rPr>
          <w:rFonts w:hint="cs"/>
          <w:rtl/>
        </w:rPr>
        <w:t xml:space="preserve"> است.</w:t>
      </w:r>
    </w:p>
    <w:p w14:paraId="6FF87A42" w14:textId="726FE3D3" w:rsidR="0020732A" w:rsidRPr="0025250D" w:rsidRDefault="002A25C3" w:rsidP="00537CC8">
      <w:pPr>
        <w:jc w:val="center"/>
        <w:rPr>
          <w:rtl/>
        </w:rPr>
      </w:pPr>
      <w:bookmarkStart w:id="7" w:name="_Hlk110291658"/>
      <w:r w:rsidRPr="0025250D">
        <w:rPr>
          <w:noProof/>
        </w:rPr>
        <w:drawing>
          <wp:inline distT="0" distB="0" distL="0" distR="0" wp14:anchorId="4E6BECC6" wp14:editId="5A357BFB">
            <wp:extent cx="2918128" cy="3355182"/>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2921153" cy="3358659"/>
                    </a:xfrm>
                    <a:prstGeom prst="rect">
                      <a:avLst/>
                    </a:prstGeom>
                    <a:noFill/>
                  </pic:spPr>
                </pic:pic>
              </a:graphicData>
            </a:graphic>
          </wp:inline>
        </w:drawing>
      </w:r>
    </w:p>
    <w:p w14:paraId="2A772FA9" w14:textId="77777777" w:rsidR="0020732A" w:rsidRPr="0025250D" w:rsidRDefault="0020732A" w:rsidP="00537CC8">
      <w:pPr>
        <w:jc w:val="center"/>
        <w:rPr>
          <w:rtl/>
        </w:rPr>
      </w:pPr>
      <w:r w:rsidRPr="0025250D">
        <w:rPr>
          <w:rFonts w:hint="cs"/>
          <w:rtl/>
        </w:rPr>
        <w:t>شش دامنه فعالیت آینده‌نگاری</w:t>
      </w:r>
    </w:p>
    <w:bookmarkEnd w:id="7"/>
    <w:p w14:paraId="396C3FA3" w14:textId="0F87DD21" w:rsidR="0020732A" w:rsidRPr="0025250D" w:rsidRDefault="0020732A" w:rsidP="0020732A">
      <w:pPr>
        <w:rPr>
          <w:rtl/>
        </w:rPr>
      </w:pPr>
      <w:r w:rsidRPr="0025250D">
        <w:rPr>
          <w:rFonts w:hint="cs"/>
          <w:rtl/>
        </w:rPr>
        <w:t xml:space="preserve">به‌طور خلاصه خواهیم دید که این دامنه‌ها به‌طور دقیقی بر هرم </w:t>
      </w:r>
      <w:r w:rsidRPr="0025250D">
        <w:rPr>
          <w:rtl/>
        </w:rPr>
        <w:t>آینده‌نگاری</w:t>
      </w:r>
      <w:r w:rsidRPr="0025250D">
        <w:rPr>
          <w:vertAlign w:val="superscript"/>
          <w:rtl/>
        </w:rPr>
        <w:footnoteReference w:id="148"/>
      </w:r>
      <w:r w:rsidRPr="0025250D">
        <w:rPr>
          <w:rFonts w:hint="cs"/>
          <w:rtl/>
        </w:rPr>
        <w:t xml:space="preserve"> (که در تصویر بالا نشان داده شده است) که یک راه کلی برای درک چگونگی نگاه به آینده و راهبری آن توسط سامانه‌های هوشمند است، نگاشت</w:t>
      </w:r>
      <w:r w:rsidRPr="0025250D">
        <w:rPr>
          <w:vertAlign w:val="superscript"/>
          <w:rtl/>
        </w:rPr>
        <w:footnoteReference w:id="149"/>
      </w:r>
      <w:r w:rsidRPr="0025250D">
        <w:rPr>
          <w:rFonts w:hint="cs"/>
          <w:rtl/>
        </w:rPr>
        <w:t xml:space="preserve"> می‌شوند. در زبان تکاملی-توسعه‌ای، ما گمان می‌کنیم که این شش دامنه نه‌تنها ابداعاتی تکاملی هستند که بر روی کره زمین پایه‌گذاری شده‌اند، بلکه مقاصدی توسعه‌ای می‌باشند؛ به این معنی که احتمالاً در همه سیارات دارای حیات هوشمند در جهان ما وجود دارند. این امر این شش دامنه را به یک راه ساده عالی برای توصیف </w:t>
      </w:r>
      <w:r w:rsidR="00D87CD8" w:rsidRPr="0025250D">
        <w:rPr>
          <w:rFonts w:hint="cs"/>
          <w:rtl/>
        </w:rPr>
        <w:t>محدوده‌</w:t>
      </w:r>
      <w:r w:rsidRPr="0025250D">
        <w:rPr>
          <w:vertAlign w:val="superscript"/>
          <w:rtl/>
        </w:rPr>
        <w:footnoteReference w:id="150"/>
      </w:r>
      <w:r w:rsidRPr="0025250D">
        <w:rPr>
          <w:rFonts w:hint="cs"/>
          <w:rtl/>
        </w:rPr>
        <w:t xml:space="preserve"> و اهداف فعالیت </w:t>
      </w:r>
      <w:r w:rsidRPr="0025250D">
        <w:rPr>
          <w:rtl/>
        </w:rPr>
        <w:t>آینده‌نگاری</w:t>
      </w:r>
      <w:r w:rsidRPr="0025250D">
        <w:rPr>
          <w:rFonts w:hint="cs"/>
          <w:rtl/>
        </w:rPr>
        <w:t xml:space="preserve"> تبدیل می‌کند.</w:t>
      </w:r>
    </w:p>
    <w:p w14:paraId="08D21082" w14:textId="42D71905" w:rsidR="0020732A" w:rsidRPr="0025250D" w:rsidRDefault="0020732A" w:rsidP="0020732A">
      <w:pPr>
        <w:rPr>
          <w:rtl/>
        </w:rPr>
      </w:pPr>
      <w:r w:rsidRPr="0025250D">
        <w:rPr>
          <w:rFonts w:hint="cs"/>
          <w:rtl/>
        </w:rPr>
        <w:lastRenderedPageBreak/>
        <w:t xml:space="preserve">سه مورد اول از این شش دامنه، </w:t>
      </w:r>
      <w:r w:rsidRPr="0025250D">
        <w:rPr>
          <w:rtl/>
        </w:rPr>
        <w:t>آینده‌نگاری</w:t>
      </w:r>
      <w:r w:rsidRPr="0025250D">
        <w:rPr>
          <w:rFonts w:hint="cs"/>
          <w:rtl/>
        </w:rPr>
        <w:t xml:space="preserve"> فردی، تیمی و سازمانی، اهداف اصلی این کتاب به نام مقدمه‌ای بر </w:t>
      </w:r>
      <w:r w:rsidRPr="0025250D">
        <w:rPr>
          <w:rtl/>
        </w:rPr>
        <w:t>آینده‌نگاری</w:t>
      </w:r>
      <w:r w:rsidRPr="0025250D">
        <w:rPr>
          <w:vertAlign w:val="superscript"/>
          <w:rtl/>
        </w:rPr>
        <w:footnoteReference w:id="151"/>
      </w:r>
      <w:r w:rsidRPr="0025250D">
        <w:rPr>
          <w:rFonts w:hint="cs"/>
          <w:rtl/>
        </w:rPr>
        <w:t xml:space="preserve"> هستند. سه مورد آخر، </w:t>
      </w:r>
      <w:r w:rsidRPr="0025250D">
        <w:rPr>
          <w:rtl/>
        </w:rPr>
        <w:t>آینده‌نگاری</w:t>
      </w:r>
      <w:r w:rsidRPr="0025250D">
        <w:rPr>
          <w:rFonts w:hint="cs"/>
          <w:rtl/>
        </w:rPr>
        <w:t xml:space="preserve"> اجتماعی، جهانی و </w:t>
      </w:r>
      <w:r w:rsidRPr="0025250D">
        <w:rPr>
          <w:rtl/>
        </w:rPr>
        <w:t>فراگیر</w:t>
      </w:r>
      <w:r w:rsidRPr="0025250D">
        <w:rPr>
          <w:rFonts w:hint="cs"/>
          <w:rtl/>
        </w:rPr>
        <w:t xml:space="preserve"> اهداف اصلی کتاب 2، </w:t>
      </w:r>
      <w:r w:rsidRPr="0025250D">
        <w:rPr>
          <w:rtl/>
        </w:rPr>
        <w:t>آینده‌نگاری</w:t>
      </w:r>
      <w:r w:rsidRPr="0025250D">
        <w:rPr>
          <w:rFonts w:hint="cs"/>
          <w:rtl/>
        </w:rPr>
        <w:t xml:space="preserve"> تصویر کلان</w:t>
      </w:r>
      <w:r w:rsidRPr="0025250D">
        <w:rPr>
          <w:vertAlign w:val="superscript"/>
          <w:rtl/>
        </w:rPr>
        <w:footnoteReference w:id="152"/>
      </w:r>
      <w:r w:rsidRPr="0025250D">
        <w:rPr>
          <w:rFonts w:hint="cs"/>
          <w:rtl/>
        </w:rPr>
        <w:t xml:space="preserve"> می‌باشند. بیایید اکنون اندکی در مورد هر دامنه صحبت کنیم.</w:t>
      </w:r>
    </w:p>
    <w:p w14:paraId="7DCFF8DB" w14:textId="3D664150" w:rsidR="0020732A" w:rsidRPr="0025250D" w:rsidRDefault="0020732A" w:rsidP="0020732A">
      <w:pPr>
        <w:rPr>
          <w:rtl/>
        </w:rPr>
      </w:pPr>
      <w:r w:rsidRPr="0025250D">
        <w:rPr>
          <w:rFonts w:hint="cs"/>
          <w:rtl/>
        </w:rPr>
        <w:t xml:space="preserve">1. </w:t>
      </w:r>
      <w:r w:rsidRPr="0025250D">
        <w:rPr>
          <w:rtl/>
        </w:rPr>
        <w:t>آینده‌نگاری</w:t>
      </w:r>
      <w:r w:rsidRPr="0025250D">
        <w:rPr>
          <w:rFonts w:hint="cs"/>
          <w:rtl/>
        </w:rPr>
        <w:t xml:space="preserve"> خود (فردی) همان جایی است که آینده‌اندیشی خوب آغاز می‌شود. برای مؤثر بودن، باید در پیش‌انگاری، </w:t>
      </w:r>
      <w:r w:rsidR="0020589F" w:rsidRPr="0025250D">
        <w:rPr>
          <w:rtl/>
        </w:rPr>
        <w:t>«</w:t>
      </w:r>
      <w:r w:rsidRPr="0025250D">
        <w:rPr>
          <w:rFonts w:hint="cs"/>
          <w:rtl/>
        </w:rPr>
        <w:t>اگر - آنگاه</w:t>
      </w:r>
      <w:r w:rsidRPr="0025250D">
        <w:rPr>
          <w:vertAlign w:val="superscript"/>
          <w:rtl/>
        </w:rPr>
        <w:footnoteReference w:id="153"/>
      </w:r>
      <w:r w:rsidR="0020589F" w:rsidRPr="0025250D">
        <w:rPr>
          <w:rtl/>
        </w:rPr>
        <w:t>»</w:t>
      </w:r>
      <w:r w:rsidRPr="0025250D">
        <w:rPr>
          <w:rFonts w:hint="cs"/>
          <w:rtl/>
        </w:rPr>
        <w:t xml:space="preserve"> و پیش برد آینده‌های فردی خودمان بهتر شویم. تفکر و احساس بهتر که تا حد امکان از سوگیری‌های شناختی و اجتماعی و انحرافات به دور باشند، همان راهی هستند که ما را به اقدام بهتر می‌رسانند. ما باید بیاموزیم که افکار و احساسات اشتباه یا منسوخ و هر باور ناخودآگاهی را که پتانسیل ما برای دیدن واقعیت و مسئول بودن نسبت به خود و دیگران را محدود می‌نماید، تشخیص دهیم. هر چه در </w:t>
      </w:r>
      <w:r w:rsidRPr="0025250D">
        <w:rPr>
          <w:rtl/>
        </w:rPr>
        <w:t>آینده‌نگاری</w:t>
      </w:r>
      <w:r w:rsidRPr="0025250D">
        <w:rPr>
          <w:rFonts w:hint="cs"/>
          <w:rtl/>
        </w:rPr>
        <w:t xml:space="preserve"> فردی و در تفکر و احساس خود بهتر شویم، می‌توانیم در کمک به دیگران برای تبدیل‌شدن به بهترین خودشان بهتر عمل کنیم.</w:t>
      </w:r>
    </w:p>
    <w:p w14:paraId="2E8ADB27" w14:textId="3F041726" w:rsidR="0020732A" w:rsidRPr="0025250D" w:rsidRDefault="0020732A" w:rsidP="0020732A">
      <w:pPr>
        <w:rPr>
          <w:rtl/>
        </w:rPr>
      </w:pPr>
      <w:r w:rsidRPr="0025250D">
        <w:rPr>
          <w:rFonts w:hint="cs"/>
          <w:rtl/>
        </w:rPr>
        <w:t xml:space="preserve">2. </w:t>
      </w:r>
      <w:r w:rsidRPr="0025250D">
        <w:rPr>
          <w:rtl/>
        </w:rPr>
        <w:t>آینده‌نگاری</w:t>
      </w:r>
      <w:r w:rsidRPr="0025250D">
        <w:rPr>
          <w:rFonts w:hint="cs"/>
          <w:rtl/>
        </w:rPr>
        <w:t xml:space="preserve"> تیمی دامنه مهم بعدی است. این مورد شامل روابط و همه گروه‌های مختلفی می‌شود که در آن‌ها مشارکت داریم، ازجمله خانواده‌ها، دوستان و همکاران. اخلاق و آداب معاشرت و </w:t>
      </w:r>
      <w:r w:rsidR="00202882" w:rsidRPr="0025250D">
        <w:rPr>
          <w:rFonts w:hint="cs"/>
          <w:rtl/>
        </w:rPr>
        <w:t>همدلی</w:t>
      </w:r>
      <w:r w:rsidRPr="0025250D">
        <w:rPr>
          <w:rFonts w:hint="cs"/>
          <w:rtl/>
        </w:rPr>
        <w:t xml:space="preserve"> و هوش هیجانی</w:t>
      </w:r>
      <w:r w:rsidRPr="0025250D">
        <w:rPr>
          <w:vertAlign w:val="superscript"/>
          <w:rtl/>
        </w:rPr>
        <w:footnoteReference w:id="154"/>
      </w:r>
      <w:r w:rsidRPr="0025250D">
        <w:rPr>
          <w:rFonts w:hint="cs"/>
          <w:rtl/>
        </w:rPr>
        <w:t xml:space="preserve"> ما در اینجا واقعاً اهمیت دارد. یک علم در حال ظهور در مورد این‌که چگونه تیم‌های مؤثری را ایجاد و مدیریت کنیم وجود دارد. تیم‌ها اغلب </w:t>
      </w:r>
      <w:r w:rsidR="0020589F" w:rsidRPr="0025250D">
        <w:rPr>
          <w:rtl/>
        </w:rPr>
        <w:t>«</w:t>
      </w:r>
      <w:r w:rsidRPr="0025250D">
        <w:rPr>
          <w:rFonts w:hint="cs"/>
          <w:rtl/>
        </w:rPr>
        <w:t>ابرقدرت</w:t>
      </w:r>
      <w:r w:rsidRPr="0025250D">
        <w:rPr>
          <w:vertAlign w:val="superscript"/>
          <w:rtl/>
        </w:rPr>
        <w:footnoteReference w:id="155"/>
      </w:r>
      <w:r w:rsidR="0020589F" w:rsidRPr="0025250D">
        <w:rPr>
          <w:rtl/>
        </w:rPr>
        <w:t>»</w:t>
      </w:r>
      <w:r w:rsidRPr="0025250D">
        <w:rPr>
          <w:rFonts w:hint="cs"/>
          <w:rtl/>
        </w:rPr>
        <w:t xml:space="preserve"> برتر انسان‌ها نامیده می‌شوند. ما تیم‌ها را پس از </w:t>
      </w:r>
      <w:r w:rsidRPr="0025250D">
        <w:rPr>
          <w:rtl/>
        </w:rPr>
        <w:t>آینده‌نگاری</w:t>
      </w:r>
      <w:r w:rsidRPr="0025250D">
        <w:rPr>
          <w:rFonts w:hint="cs"/>
          <w:rtl/>
        </w:rPr>
        <w:t xml:space="preserve"> </w:t>
      </w:r>
      <w:r w:rsidR="00202882" w:rsidRPr="0025250D">
        <w:rPr>
          <w:rFonts w:hint="cs"/>
          <w:rtl/>
        </w:rPr>
        <w:t>فردی</w:t>
      </w:r>
      <w:r w:rsidRPr="0025250D">
        <w:rPr>
          <w:rFonts w:hint="cs"/>
          <w:rtl/>
        </w:rPr>
        <w:t xml:space="preserve"> قرار می‌دهیم. با همکاری با یکدیگر، با اعتماد و بازخورد، می‌توانیم بسیار آینده‌نگارانه‌تر و مؤثر‌تر از خودمان </w:t>
      </w:r>
      <w:r w:rsidRPr="0025250D">
        <w:rPr>
          <w:rtl/>
        </w:rPr>
        <w:t>به‌تنها</w:t>
      </w:r>
      <w:r w:rsidRPr="0025250D">
        <w:rPr>
          <w:rFonts w:hint="cs"/>
          <w:rtl/>
        </w:rPr>
        <w:t>یی باشیم.</w:t>
      </w:r>
    </w:p>
    <w:p w14:paraId="200628BC" w14:textId="36BD47C5" w:rsidR="0020732A" w:rsidRPr="0025250D" w:rsidRDefault="0020732A" w:rsidP="0020732A">
      <w:pPr>
        <w:rPr>
          <w:rtl/>
        </w:rPr>
      </w:pPr>
      <w:r w:rsidRPr="0025250D">
        <w:rPr>
          <w:rFonts w:hint="cs"/>
          <w:rtl/>
        </w:rPr>
        <w:t xml:space="preserve">3. </w:t>
      </w:r>
      <w:r w:rsidRPr="0025250D">
        <w:rPr>
          <w:rtl/>
        </w:rPr>
        <w:t>آینده‌نگاری</w:t>
      </w:r>
      <w:r w:rsidRPr="0025250D">
        <w:rPr>
          <w:rFonts w:hint="cs"/>
          <w:rtl/>
        </w:rPr>
        <w:t xml:space="preserve"> سازمانی دامنه مهم بعدی است. برای </w:t>
      </w:r>
      <w:r w:rsidR="00AE5BE0" w:rsidRPr="0025250D">
        <w:rPr>
          <w:rFonts w:hint="cs"/>
          <w:rtl/>
        </w:rPr>
        <w:t>انطباقی</w:t>
      </w:r>
      <w:r w:rsidRPr="0025250D">
        <w:rPr>
          <w:rFonts w:hint="cs"/>
          <w:rtl/>
        </w:rPr>
        <w:t xml:space="preserve"> بودن، همه سازمان‌ها باید تیم‌های مؤثری حول یک رسالت سازمانی ایجاد کنند، از فعالیت‌ها و اقدامات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خوبی استفاده کنند و به‌طور ایدئال </w:t>
      </w:r>
      <w:r w:rsidRPr="0025250D">
        <w:rPr>
          <w:rtl/>
        </w:rPr>
        <w:t>آینده‌نگاری</w:t>
      </w:r>
      <w:r w:rsidRPr="0025250D">
        <w:rPr>
          <w:rFonts w:hint="cs"/>
          <w:rtl/>
        </w:rPr>
        <w:t xml:space="preserve"> را به مسئولیت مشترک همه تبدیل کنند </w:t>
      </w:r>
      <w:r w:rsidRPr="0025250D">
        <w:rPr>
          <w:rFonts w:cs="Times New Roman" w:hint="cs"/>
          <w:rtl/>
        </w:rPr>
        <w:t>–</w:t>
      </w:r>
      <w:r w:rsidRPr="0025250D">
        <w:rPr>
          <w:rFonts w:hint="cs"/>
          <w:rtl/>
        </w:rPr>
        <w:t xml:space="preserve"> یک فرهنگ </w:t>
      </w:r>
      <w:r w:rsidRPr="0025250D">
        <w:rPr>
          <w:rtl/>
        </w:rPr>
        <w:t>آینده‌نگاری</w:t>
      </w:r>
      <w:r w:rsidRPr="0025250D">
        <w:rPr>
          <w:rFonts w:hint="cs"/>
          <w:rtl/>
        </w:rPr>
        <w:t xml:space="preserve"> ایجاد نمایند. ما بیش‌تر این کتاب را به این حوزه اختصاص خواهیم داد. در هر بافتی</w:t>
      </w:r>
      <w:r w:rsidRPr="0025250D">
        <w:rPr>
          <w:vertAlign w:val="superscript"/>
          <w:rtl/>
        </w:rPr>
        <w:footnoteReference w:id="156"/>
      </w:r>
      <w:r w:rsidRPr="0025250D">
        <w:rPr>
          <w:rFonts w:hint="cs"/>
          <w:rtl/>
        </w:rPr>
        <w:t xml:space="preserve"> و در هر مقیاس زمانی، سازمان‌ها می‌توانند دارای </w:t>
      </w:r>
      <w:r w:rsidRPr="0025250D">
        <w:rPr>
          <w:rtl/>
        </w:rPr>
        <w:t>آینده‌نگاری</w:t>
      </w:r>
      <w:r w:rsidRPr="0025250D">
        <w:rPr>
          <w:rFonts w:hint="cs"/>
          <w:rtl/>
        </w:rPr>
        <w:t xml:space="preserve"> باشند یا نباشند. این امر تا حد زیادی به تجربیات گذشته، اولویت‌ها، فرایندها، شبکه‌ها و فرهنگ آن‌ها بستگی دارد.</w:t>
      </w:r>
    </w:p>
    <w:p w14:paraId="2755654D" w14:textId="624DC800" w:rsidR="0020732A" w:rsidRPr="0025250D" w:rsidRDefault="0020732A" w:rsidP="0020732A">
      <w:pPr>
        <w:rPr>
          <w:rtl/>
        </w:rPr>
      </w:pPr>
      <w:r w:rsidRPr="0025250D">
        <w:rPr>
          <w:rFonts w:hint="cs"/>
          <w:rtl/>
        </w:rPr>
        <w:t xml:space="preserve">4. </w:t>
      </w:r>
      <w:r w:rsidRPr="0025250D">
        <w:rPr>
          <w:rtl/>
        </w:rPr>
        <w:t>آینده‌نگاری</w:t>
      </w:r>
      <w:r w:rsidRPr="0025250D">
        <w:rPr>
          <w:rFonts w:hint="cs"/>
          <w:rtl/>
        </w:rPr>
        <w:t xml:space="preserve"> اجتماعی دامنه مهم بعدی است. هر جامعه‌ای آینده‌های مرجح</w:t>
      </w:r>
      <w:r w:rsidRPr="0025250D">
        <w:rPr>
          <w:vertAlign w:val="superscript"/>
          <w:rtl/>
        </w:rPr>
        <w:footnoteReference w:id="157"/>
      </w:r>
      <w:r w:rsidRPr="0025250D">
        <w:rPr>
          <w:rFonts w:hint="cs"/>
          <w:rtl/>
        </w:rPr>
        <w:t xml:space="preserve"> خود را دنبال می‌کند که گستره‌ای غنی از اولویت‌های سیاسی، مدل‌های اقتصادی و ارزش‌های فرهنگی را در بر می‌گیرد</w:t>
      </w:r>
      <w:r w:rsidR="008D6F97" w:rsidRPr="0025250D">
        <w:rPr>
          <w:rtl/>
        </w:rPr>
        <w:t xml:space="preserve">؛ </w:t>
      </w:r>
      <w:r w:rsidRPr="0025250D">
        <w:rPr>
          <w:rFonts w:hint="cs"/>
          <w:rtl/>
        </w:rPr>
        <w:t xml:space="preserve">مانند سازمان‌ها، تنوع اجتماعی می‌تواند </w:t>
      </w:r>
      <w:r w:rsidR="00AE5BE0" w:rsidRPr="0025250D">
        <w:rPr>
          <w:rFonts w:hint="cs"/>
          <w:rtl/>
        </w:rPr>
        <w:t>انطباق</w:t>
      </w:r>
      <w:r w:rsidRPr="0025250D">
        <w:rPr>
          <w:rFonts w:hint="cs"/>
          <w:rtl/>
        </w:rPr>
        <w:t xml:space="preserve"> شبکه را بهبود بخشد، اما می‌تواند برای جوامع منفرد مثبت یا منفی باشد.</w:t>
      </w:r>
    </w:p>
    <w:p w14:paraId="121C0CDF" w14:textId="00D631AC" w:rsidR="0020732A" w:rsidRPr="0025250D" w:rsidRDefault="0020732A" w:rsidP="0020732A">
      <w:pPr>
        <w:rPr>
          <w:rtl/>
        </w:rPr>
      </w:pPr>
      <w:r w:rsidRPr="0025250D">
        <w:rPr>
          <w:rFonts w:hint="cs"/>
          <w:rtl/>
        </w:rPr>
        <w:t xml:space="preserve">5. </w:t>
      </w:r>
      <w:r w:rsidRPr="0025250D">
        <w:rPr>
          <w:rtl/>
        </w:rPr>
        <w:t>آینده‌نگاری</w:t>
      </w:r>
      <w:r w:rsidRPr="0025250D">
        <w:rPr>
          <w:rFonts w:hint="cs"/>
          <w:rtl/>
        </w:rPr>
        <w:t xml:space="preserve"> جهانی دامنه مهم بعدی است. این مورد با مسائل و روندهای بین‌المللی و جهانی سروکار دارد. درحالی‌که آینده‌های ممکن</w:t>
      </w:r>
      <w:r w:rsidRPr="0025250D">
        <w:rPr>
          <w:vertAlign w:val="superscript"/>
          <w:rtl/>
        </w:rPr>
        <w:footnoteReference w:id="158"/>
      </w:r>
      <w:r w:rsidRPr="0025250D">
        <w:rPr>
          <w:rFonts w:hint="cs"/>
          <w:rtl/>
        </w:rPr>
        <w:t xml:space="preserve"> را نیز شامل می‌شود، خواهیم آموخت که بیشتر به سمت آینده‌های محتمل</w:t>
      </w:r>
      <w:r w:rsidRPr="0025250D">
        <w:rPr>
          <w:vertAlign w:val="superscript"/>
          <w:rtl/>
        </w:rPr>
        <w:footnoteReference w:id="159"/>
      </w:r>
      <w:r w:rsidRPr="0025250D">
        <w:rPr>
          <w:rFonts w:hint="cs"/>
          <w:rtl/>
        </w:rPr>
        <w:t xml:space="preserve"> متمایل است؛ به سمت فرایند‌ها و مقاصدی که به همه ما برای تبدیل‌شدن به خدمت</w:t>
      </w:r>
      <w:r w:rsidR="00202882" w:rsidRPr="0025250D">
        <w:rPr>
          <w:rFonts w:hint="cs"/>
          <w:rtl/>
        </w:rPr>
        <w:t>‌</w:t>
      </w:r>
      <w:r w:rsidRPr="0025250D">
        <w:rPr>
          <w:rFonts w:hint="cs"/>
          <w:rtl/>
        </w:rPr>
        <w:t>گ</w:t>
      </w:r>
      <w:r w:rsidR="00202882" w:rsidRPr="0025250D">
        <w:rPr>
          <w:rFonts w:hint="cs"/>
          <w:rtl/>
        </w:rPr>
        <w:t>ز</w:t>
      </w:r>
      <w:r w:rsidRPr="0025250D">
        <w:rPr>
          <w:rFonts w:hint="cs"/>
          <w:rtl/>
        </w:rPr>
        <w:t>اران بهتری برای سیاره‌مان کمک می‌کنند.</w:t>
      </w:r>
    </w:p>
    <w:p w14:paraId="59268EF1" w14:textId="77777777" w:rsidR="0020732A" w:rsidRPr="0025250D" w:rsidRDefault="0020732A" w:rsidP="0020732A">
      <w:pPr>
        <w:rPr>
          <w:rtl/>
        </w:rPr>
      </w:pPr>
      <w:r w:rsidRPr="0025250D">
        <w:rPr>
          <w:rFonts w:hint="cs"/>
          <w:rtl/>
        </w:rPr>
        <w:t xml:space="preserve">6. </w:t>
      </w:r>
      <w:r w:rsidRPr="0025250D">
        <w:rPr>
          <w:rtl/>
        </w:rPr>
        <w:t>آینده‌نگاری</w:t>
      </w:r>
      <w:r w:rsidRPr="0025250D">
        <w:rPr>
          <w:rFonts w:hint="cs"/>
          <w:rtl/>
        </w:rPr>
        <w:t xml:space="preserve"> </w:t>
      </w:r>
      <w:r w:rsidRPr="0025250D">
        <w:rPr>
          <w:rtl/>
        </w:rPr>
        <w:t>فراگیر</w:t>
      </w:r>
      <w:r w:rsidRPr="0025250D">
        <w:rPr>
          <w:rFonts w:hint="cs"/>
          <w:rtl/>
        </w:rPr>
        <w:t xml:space="preserve"> دامنه نهایی ماست. این مورد به استفاده از علم و تفکر سامانه‌ای (که به نام فلسفه طبیعی</w:t>
      </w:r>
      <w:r w:rsidRPr="0025250D">
        <w:rPr>
          <w:vertAlign w:val="superscript"/>
          <w:rtl/>
        </w:rPr>
        <w:footnoteReference w:id="160"/>
      </w:r>
      <w:r w:rsidRPr="0025250D">
        <w:rPr>
          <w:rFonts w:hint="cs"/>
          <w:rtl/>
        </w:rPr>
        <w:t xml:space="preserve"> هم شناخته می‌شود) جهت دیدن و مدیریت بهتر آینده‌های سامانه‌های پیچیده در همه مقیاس‌ها مربوط می‌شود. درحالی‌که شامل تفکر در مورد موارد ممکن</w:t>
      </w:r>
      <w:r w:rsidRPr="0025250D">
        <w:rPr>
          <w:vertAlign w:val="superscript"/>
          <w:rtl/>
        </w:rPr>
        <w:footnoteReference w:id="161"/>
      </w:r>
      <w:r w:rsidRPr="0025250D">
        <w:rPr>
          <w:rFonts w:hint="cs"/>
          <w:rtl/>
        </w:rPr>
        <w:t xml:space="preserve"> و عدم قطعیت نیز می‌شود، خواهیم دید که دامنه </w:t>
      </w:r>
      <w:r w:rsidRPr="0025250D">
        <w:rPr>
          <w:rtl/>
        </w:rPr>
        <w:t>فراگیر</w:t>
      </w:r>
      <w:r w:rsidRPr="0025250D">
        <w:rPr>
          <w:rFonts w:hint="cs"/>
          <w:rtl/>
        </w:rPr>
        <w:t xml:space="preserve"> به‌طور مشخص برای درک آنچه احتمالاً در همه سیارات مانند زمین، به دلیل ذات فیزیک و پیچیدگی روی خواهد داد، مفید می‌باشد.</w:t>
      </w:r>
    </w:p>
    <w:p w14:paraId="37469BC7" w14:textId="4F26D735" w:rsidR="0020732A" w:rsidRPr="0025250D" w:rsidRDefault="0020732A" w:rsidP="0020732A">
      <w:pPr>
        <w:rPr>
          <w:rtl/>
        </w:rPr>
      </w:pPr>
      <w:r w:rsidRPr="0025250D">
        <w:rPr>
          <w:rFonts w:hint="cs"/>
          <w:rtl/>
        </w:rPr>
        <w:lastRenderedPageBreak/>
        <w:t xml:space="preserve">درحالی‌که هر یک از ما می‌توانیم تمایل داشته باشیم که در یک </w:t>
      </w:r>
      <w:r w:rsidRPr="0025250D">
        <w:rPr>
          <w:rtl/>
        </w:rPr>
        <w:t>ز</w:t>
      </w:r>
      <w:r w:rsidRPr="0025250D">
        <w:rPr>
          <w:rFonts w:hint="cs"/>
          <w:rtl/>
        </w:rPr>
        <w:t>ی</w:t>
      </w:r>
      <w:r w:rsidRPr="0025250D">
        <w:rPr>
          <w:rFonts w:hint="eastAsia"/>
          <w:rtl/>
        </w:rPr>
        <w:t>رمجموعه</w:t>
      </w:r>
      <w:r w:rsidRPr="0025250D">
        <w:rPr>
          <w:rFonts w:hint="cs"/>
          <w:rtl/>
        </w:rPr>
        <w:t xml:space="preserve"> از این دامنه‌ها کار کنیم، باید به دنبال کسب شایستگی و توانایی اساسی در همه این شش مورد باشیم، زیرا هر یک از آن‌ها برای </w:t>
      </w:r>
      <w:r w:rsidR="00701E03" w:rsidRPr="0025250D">
        <w:rPr>
          <w:rFonts w:hint="cs"/>
          <w:rtl/>
        </w:rPr>
        <w:t>راهبرد</w:t>
      </w:r>
      <w:r w:rsidRPr="0025250D">
        <w:rPr>
          <w:rFonts w:hint="cs"/>
          <w:rtl/>
        </w:rPr>
        <w:t xml:space="preserve"> بلندمدت اهمیت دارد. ما این امر را فعالیت </w:t>
      </w:r>
      <w:r w:rsidRPr="0025250D">
        <w:rPr>
          <w:rtl/>
        </w:rPr>
        <w:t>آینده‌نگاری</w:t>
      </w:r>
      <w:r w:rsidRPr="0025250D">
        <w:rPr>
          <w:rFonts w:hint="cs"/>
          <w:rtl/>
        </w:rPr>
        <w:t xml:space="preserve"> جامع</w:t>
      </w:r>
      <w:r w:rsidRPr="0025250D">
        <w:rPr>
          <w:vertAlign w:val="superscript"/>
          <w:rtl/>
        </w:rPr>
        <w:footnoteReference w:id="162"/>
      </w:r>
      <w:r w:rsidRPr="0025250D">
        <w:rPr>
          <w:rFonts w:hint="cs"/>
          <w:rtl/>
        </w:rPr>
        <w:t xml:space="preserve">، یا </w:t>
      </w:r>
      <w:r w:rsidR="0020589F" w:rsidRPr="0025250D">
        <w:rPr>
          <w:rtl/>
        </w:rPr>
        <w:t>«</w:t>
      </w:r>
      <w:r w:rsidRPr="0025250D">
        <w:rPr>
          <w:rFonts w:hint="cs"/>
          <w:rtl/>
        </w:rPr>
        <w:t>طیف کامل</w:t>
      </w:r>
      <w:r w:rsidRPr="0025250D">
        <w:rPr>
          <w:vertAlign w:val="superscript"/>
          <w:rtl/>
        </w:rPr>
        <w:footnoteReference w:id="163"/>
      </w:r>
      <w:r w:rsidR="0020589F" w:rsidRPr="0025250D">
        <w:rPr>
          <w:rtl/>
        </w:rPr>
        <w:t>»</w:t>
      </w:r>
      <w:r w:rsidRPr="0025250D">
        <w:rPr>
          <w:rFonts w:hint="cs"/>
          <w:rtl/>
        </w:rPr>
        <w:t xml:space="preserve"> می‌نامیم. برای رهبری خود و تیم‌هایمان در بلندمدت، به روش‌های خوب در هر شش دامنه نیاز داریم.</w:t>
      </w:r>
    </w:p>
    <w:p w14:paraId="2AD2EE2C" w14:textId="060C0326" w:rsidR="0020732A" w:rsidRPr="0025250D" w:rsidRDefault="0020732A" w:rsidP="0020732A">
      <w:pPr>
        <w:rPr>
          <w:rtl/>
        </w:rPr>
      </w:pPr>
      <w:r w:rsidRPr="0025250D">
        <w:rPr>
          <w:rFonts w:hint="cs"/>
          <w:rtl/>
        </w:rPr>
        <w:t xml:space="preserve">آینده‌پژوه پیشرو </w:t>
      </w:r>
      <w:r w:rsidRPr="0025250D">
        <w:rPr>
          <w:rtl/>
        </w:rPr>
        <w:t xml:space="preserve">باب </w:t>
      </w:r>
      <w:r w:rsidRPr="0025250D">
        <w:rPr>
          <w:rFonts w:hint="cs"/>
          <w:rtl/>
        </w:rPr>
        <w:t>ی</w:t>
      </w:r>
      <w:r w:rsidRPr="0025250D">
        <w:rPr>
          <w:rFonts w:hint="eastAsia"/>
          <w:rtl/>
        </w:rPr>
        <w:t>وهانسن</w:t>
      </w:r>
      <w:r w:rsidRPr="0025250D">
        <w:rPr>
          <w:vertAlign w:val="superscript"/>
          <w:rtl/>
        </w:rPr>
        <w:footnoteReference w:id="164"/>
      </w:r>
      <w:r w:rsidRPr="0025250D">
        <w:rPr>
          <w:rFonts w:hint="cs"/>
          <w:rtl/>
        </w:rPr>
        <w:t>، در کتاب آخر خود به نام تفکر طیف کامل</w:t>
      </w:r>
      <w:r w:rsidRPr="0025250D">
        <w:rPr>
          <w:vertAlign w:val="superscript"/>
          <w:rtl/>
        </w:rPr>
        <w:footnoteReference w:id="165"/>
      </w:r>
      <w:r w:rsidRPr="0025250D">
        <w:rPr>
          <w:rFonts w:hint="cs"/>
          <w:rtl/>
        </w:rPr>
        <w:t>، در سال 2020، تفکر</w:t>
      </w:r>
      <w:r w:rsidRPr="0025250D">
        <w:rPr>
          <w:rtl/>
        </w:rPr>
        <w:t xml:space="preserve"> </w:t>
      </w:r>
      <w:r w:rsidRPr="0025250D">
        <w:rPr>
          <w:rFonts w:hint="cs"/>
          <w:rtl/>
        </w:rPr>
        <w:t>طیف</w:t>
      </w:r>
      <w:r w:rsidRPr="0025250D">
        <w:rPr>
          <w:rtl/>
        </w:rPr>
        <w:t xml:space="preserve"> </w:t>
      </w:r>
      <w:r w:rsidRPr="0025250D">
        <w:rPr>
          <w:rFonts w:hint="cs"/>
          <w:rtl/>
        </w:rPr>
        <w:t>کامل را به‌عنوان اجتناب از مدل‌های خطی و مقوله‌های ثابت تعریف می‌کند. او می‌گوید که ما به تفکری نیاز داریم که به‌اندازه کافی گسترده، متنوع و منعطف باشد تا برای دنیای آشوبناک</w:t>
      </w:r>
      <w:r w:rsidRPr="0025250D">
        <w:rPr>
          <w:vertAlign w:val="superscript"/>
          <w:rtl/>
        </w:rPr>
        <w:footnoteReference w:id="166"/>
      </w:r>
      <w:r w:rsidRPr="0025250D">
        <w:rPr>
          <w:rFonts w:hint="cs"/>
          <w:rtl/>
        </w:rPr>
        <w:t xml:space="preserve"> و غیرقابل‌پیش‌بینی ما مناسب باشد. هم‌زمان، ی</w:t>
      </w:r>
      <w:r w:rsidRPr="0025250D">
        <w:rPr>
          <w:rFonts w:hint="eastAsia"/>
          <w:rtl/>
        </w:rPr>
        <w:t>وهانسن</w:t>
      </w:r>
      <w:r w:rsidRPr="0025250D">
        <w:rPr>
          <w:rFonts w:hint="cs"/>
          <w:rtl/>
        </w:rPr>
        <w:t xml:space="preserve"> تصدیق می‌کند که برخی بینش‌ها، ارزش‌ها و مدل‌ها </w:t>
      </w:r>
      <w:r w:rsidR="008F0DD8" w:rsidRPr="0025250D">
        <w:rPr>
          <w:rFonts w:hint="cs"/>
          <w:rtl/>
        </w:rPr>
        <w:t>آن‌قدر</w:t>
      </w:r>
      <w:r w:rsidRPr="0025250D">
        <w:rPr>
          <w:rFonts w:hint="cs"/>
          <w:rtl/>
        </w:rPr>
        <w:t xml:space="preserve"> </w:t>
      </w:r>
      <w:r w:rsidRPr="0025250D">
        <w:rPr>
          <w:rtl/>
        </w:rPr>
        <w:t>فراگیر</w:t>
      </w:r>
      <w:r w:rsidRPr="0025250D">
        <w:rPr>
          <w:rFonts w:hint="cs"/>
          <w:rtl/>
        </w:rPr>
        <w:t xml:space="preserve"> هستند که در هر بافتی ارزشمند می‌باشند. مدل شش دامنه، چنین مدلی است. ازنظر ما، می‌توانیم همه آینده‌اندیشی خود را در تحلیل این شش دسته‌بندی از </w:t>
      </w:r>
      <w:r w:rsidRPr="0025250D">
        <w:rPr>
          <w:rtl/>
        </w:rPr>
        <w:t>سامان</w:t>
      </w:r>
      <w:r w:rsidRPr="0025250D">
        <w:rPr>
          <w:rFonts w:hint="cs"/>
          <w:rtl/>
        </w:rPr>
        <w:t>ۀ</w:t>
      </w:r>
      <w:r w:rsidRPr="0025250D">
        <w:rPr>
          <w:rtl/>
        </w:rPr>
        <w:t xml:space="preserve"> پ</w:t>
      </w:r>
      <w:r w:rsidRPr="0025250D">
        <w:rPr>
          <w:rFonts w:hint="cs"/>
          <w:rtl/>
        </w:rPr>
        <w:t>ی</w:t>
      </w:r>
      <w:r w:rsidRPr="0025250D">
        <w:rPr>
          <w:rFonts w:hint="eastAsia"/>
          <w:rtl/>
        </w:rPr>
        <w:t>چ</w:t>
      </w:r>
      <w:r w:rsidRPr="0025250D">
        <w:rPr>
          <w:rFonts w:hint="cs"/>
          <w:rtl/>
        </w:rPr>
        <w:t>ی</w:t>
      </w:r>
      <w:r w:rsidRPr="0025250D">
        <w:rPr>
          <w:rFonts w:hint="eastAsia"/>
          <w:rtl/>
        </w:rPr>
        <w:t>د</w:t>
      </w:r>
      <w:r w:rsidRPr="0025250D">
        <w:rPr>
          <w:rFonts w:hint="cs"/>
          <w:rtl/>
        </w:rPr>
        <w:t>ۀ</w:t>
      </w:r>
      <w:r w:rsidRPr="0025250D">
        <w:rPr>
          <w:rtl/>
        </w:rPr>
        <w:t xml:space="preserve"> </w:t>
      </w:r>
      <w:r w:rsidR="00F036C1" w:rsidRPr="0025250D">
        <w:rPr>
          <w:rFonts w:hint="cs"/>
          <w:rtl/>
        </w:rPr>
        <w:t>انطباقی</w:t>
      </w:r>
      <w:r w:rsidRPr="0025250D">
        <w:rPr>
          <w:vertAlign w:val="superscript"/>
          <w:rtl/>
        </w:rPr>
        <w:footnoteReference w:id="167"/>
      </w:r>
      <w:r w:rsidRPr="0025250D">
        <w:rPr>
          <w:rFonts w:hint="cs"/>
          <w:rtl/>
        </w:rPr>
        <w:t xml:space="preserve"> پایه‌گذاری کنیم.</w:t>
      </w:r>
    </w:p>
    <w:p w14:paraId="7907CF65" w14:textId="5CE8964D" w:rsidR="0020732A" w:rsidRPr="0025250D" w:rsidRDefault="0020732A" w:rsidP="0020732A">
      <w:pPr>
        <w:rPr>
          <w:rtl/>
        </w:rPr>
      </w:pPr>
      <w:r w:rsidRPr="0025250D">
        <w:rPr>
          <w:rFonts w:hint="cs"/>
          <w:rtl/>
        </w:rPr>
        <w:t xml:space="preserve">کسب آینده‌نگاری در هر یک از این دامنه‌ها به اتخاذ دیدگاه‌های پیچیده، متنوع و گسترده مکانی و زمانی در مورد تغییر نیاز دارد. درنظرگرفتن عواقب تصویر کلان تصمیمات محلی و روزانه خود در دهه‌های اخیر، با </w:t>
      </w:r>
      <w:r w:rsidR="00F036C1" w:rsidRPr="0025250D">
        <w:rPr>
          <w:rFonts w:hint="cs"/>
          <w:rtl/>
        </w:rPr>
        <w:t>افزایش</w:t>
      </w:r>
      <w:r w:rsidRPr="0025250D">
        <w:rPr>
          <w:rFonts w:hint="cs"/>
          <w:rtl/>
        </w:rPr>
        <w:t xml:space="preserve"> سرعت تغییرات و پیچیدگی اجتماعی و با لحظه‌ای‌تر شدن و جهانی‌تر شدن فزاینده اثرات بسیاری از اشکال تغییر (مانند، دیجیتالی شدن، مردم‌سالاری</w:t>
      </w:r>
      <w:r w:rsidRPr="0025250D">
        <w:rPr>
          <w:vertAlign w:val="superscript"/>
          <w:rtl/>
        </w:rPr>
        <w:footnoteReference w:id="168"/>
      </w:r>
      <w:r w:rsidRPr="0025250D">
        <w:rPr>
          <w:rFonts w:hint="cs"/>
          <w:rtl/>
        </w:rPr>
        <w:t>، کارآفرینی، آلودگی گاز‌های گلخانه‌ای، همه‌گیری‌ها) اهمیت بیش‌تری یافته است.</w:t>
      </w:r>
    </w:p>
    <w:p w14:paraId="3BAC457C" w14:textId="6EE85C82" w:rsidR="0020732A" w:rsidRPr="0025250D" w:rsidRDefault="0020732A" w:rsidP="0020732A">
      <w:pPr>
        <w:rPr>
          <w:rtl/>
        </w:rPr>
      </w:pPr>
      <w:r w:rsidRPr="0025250D">
        <w:rPr>
          <w:rtl/>
        </w:rPr>
        <w:t>آینده‌نگاری</w:t>
      </w:r>
      <w:r w:rsidRPr="0025250D">
        <w:rPr>
          <w:rFonts w:hint="cs"/>
          <w:rtl/>
        </w:rPr>
        <w:t xml:space="preserve"> </w:t>
      </w:r>
      <w:r w:rsidRPr="0025250D">
        <w:rPr>
          <w:rtl/>
        </w:rPr>
        <w:t>فراگیر</w:t>
      </w:r>
      <w:r w:rsidRPr="0025250D">
        <w:rPr>
          <w:rFonts w:hint="cs"/>
          <w:rtl/>
        </w:rPr>
        <w:t xml:space="preserve"> اغلب کم‌ترین توجه را در میان این شش دامنه به خود اختصاص داده است. بااین‌حال تفکر در مورد فرایند‌های بلندمدت در محیط‌زیستمان ازجمله تکامل، توسعه، هوشمندی، سازگاری و تغییرات</w:t>
      </w:r>
      <w:r w:rsidR="00F036C1" w:rsidRPr="0025250D">
        <w:rPr>
          <w:rFonts w:hint="cs"/>
          <w:rtl/>
        </w:rPr>
        <w:t>ِ</w:t>
      </w:r>
      <w:r w:rsidRPr="0025250D">
        <w:rPr>
          <w:rFonts w:hint="cs"/>
          <w:rtl/>
        </w:rPr>
        <w:t xml:space="preserve"> در حال </w:t>
      </w:r>
      <w:r w:rsidR="00B56611" w:rsidRPr="0025250D">
        <w:rPr>
          <w:rFonts w:hint="cs"/>
          <w:rtl/>
        </w:rPr>
        <w:t>شتاب‌گیری</w:t>
      </w:r>
      <w:r w:rsidRPr="0025250D">
        <w:rPr>
          <w:rFonts w:hint="cs"/>
          <w:rtl/>
        </w:rPr>
        <w:t xml:space="preserve"> سودمند است. شروع از درک بهتر از فرایند‌های </w:t>
      </w:r>
      <w:r w:rsidRPr="0025250D">
        <w:rPr>
          <w:rtl/>
        </w:rPr>
        <w:t>فراگیر</w:t>
      </w:r>
      <w:r w:rsidRPr="0025250D">
        <w:rPr>
          <w:rFonts w:hint="cs"/>
          <w:rtl/>
        </w:rPr>
        <w:t xml:space="preserve"> می‌تواند اغلب بهترین راه برای پایه‌ریزی مطالعه </w:t>
      </w:r>
      <w:r w:rsidRPr="0025250D">
        <w:rPr>
          <w:rtl/>
        </w:rPr>
        <w:t>آینده‌نگاری</w:t>
      </w:r>
      <w:r w:rsidRPr="0025250D">
        <w:rPr>
          <w:rFonts w:hint="cs"/>
          <w:rtl/>
        </w:rPr>
        <w:t xml:space="preserve"> ما باشد. می‌توانیم اغلب از آنچه در این بزرگ‌ترین مقیاس از پیچیدگی و تغییر می‌بینیم </w:t>
      </w:r>
      <w:r w:rsidR="0020589F" w:rsidRPr="0025250D">
        <w:rPr>
          <w:rtl/>
        </w:rPr>
        <w:t>«</w:t>
      </w:r>
      <w:r w:rsidRPr="0025250D">
        <w:rPr>
          <w:rFonts w:hint="cs"/>
          <w:rtl/>
        </w:rPr>
        <w:t>پس‌نگری</w:t>
      </w:r>
      <w:r w:rsidRPr="0025250D">
        <w:rPr>
          <w:vertAlign w:val="superscript"/>
          <w:rtl/>
        </w:rPr>
        <w:footnoteReference w:id="169"/>
      </w:r>
      <w:r w:rsidR="0020589F" w:rsidRPr="0025250D">
        <w:rPr>
          <w:rtl/>
        </w:rPr>
        <w:t>»</w:t>
      </w:r>
      <w:r w:rsidRPr="0025250D">
        <w:rPr>
          <w:rFonts w:hint="cs"/>
          <w:rtl/>
        </w:rPr>
        <w:t xml:space="preserve"> نماییم و بپرسیم که برای جوامع، سازمان‌ها، تیم‌ها و زندگی‌های </w:t>
      </w:r>
      <w:r w:rsidR="001A3F0A" w:rsidRPr="0025250D">
        <w:rPr>
          <w:rFonts w:hint="cs"/>
          <w:rtl/>
        </w:rPr>
        <w:t>فردی</w:t>
      </w:r>
      <w:r w:rsidRPr="0025250D">
        <w:rPr>
          <w:rFonts w:hint="cs"/>
          <w:rtl/>
        </w:rPr>
        <w:t xml:space="preserve"> ما چه معانی در بر دارد. </w:t>
      </w:r>
      <w:r w:rsidR="007118DE" w:rsidRPr="0025250D">
        <w:rPr>
          <w:rFonts w:hint="cs"/>
          <w:rtl/>
        </w:rPr>
        <w:t>همان‌طور</w:t>
      </w:r>
      <w:r w:rsidRPr="0025250D">
        <w:rPr>
          <w:rFonts w:hint="cs"/>
          <w:rtl/>
        </w:rPr>
        <w:t xml:space="preserve"> که پیشنهاد خواهیم کرد، مفاهیم انسانی از </w:t>
      </w:r>
      <w:r w:rsidRPr="0025250D">
        <w:rPr>
          <w:rtl/>
        </w:rPr>
        <w:t>آینده‌نگاری</w:t>
      </w:r>
      <w:r w:rsidRPr="0025250D">
        <w:rPr>
          <w:rFonts w:hint="cs"/>
          <w:rtl/>
        </w:rPr>
        <w:t xml:space="preserve"> </w:t>
      </w:r>
      <w:r w:rsidRPr="0025250D">
        <w:rPr>
          <w:rtl/>
        </w:rPr>
        <w:t>فراگیر</w:t>
      </w:r>
      <w:r w:rsidRPr="0025250D">
        <w:rPr>
          <w:rFonts w:hint="cs"/>
          <w:rtl/>
        </w:rPr>
        <w:t xml:space="preserve"> در هیچ کجا واضح‌تر و مهم‌تر از موضوع تغییرات در حال </w:t>
      </w:r>
      <w:r w:rsidR="00B56611" w:rsidRPr="0025250D">
        <w:rPr>
          <w:rFonts w:hint="cs"/>
          <w:rtl/>
        </w:rPr>
        <w:t>شتاب‌گیری</w:t>
      </w:r>
      <w:r w:rsidRPr="0025250D">
        <w:rPr>
          <w:rFonts w:hint="cs"/>
          <w:rtl/>
        </w:rPr>
        <w:t xml:space="preserve"> نیست.</w:t>
      </w:r>
    </w:p>
    <w:p w14:paraId="5AF2802F" w14:textId="51074785" w:rsidR="0020732A" w:rsidRPr="0025250D" w:rsidRDefault="0020732A" w:rsidP="0020732A">
      <w:pPr>
        <w:rPr>
          <w:rtl/>
        </w:rPr>
      </w:pPr>
      <w:r w:rsidRPr="0025250D">
        <w:rPr>
          <w:rFonts w:hint="cs"/>
          <w:rtl/>
        </w:rPr>
        <w:t>گاهی اوقات بزرگ‌ترها به ما یادآوری می‌کنند که زندگی یک ورزش دارای بیننده نیست. هر یک از ما تنها یک بار زندگی می‌کنیم و اگر بخواهیم خوب زندگی کنیم، باید در مورد آینده همه زمینه‌هایی که برای ما اهمیت دارند فکر کنیم. هر دامنه به بهتر کردن پیش‌انگاری، خلق</w:t>
      </w:r>
      <w:r w:rsidRPr="0025250D">
        <w:rPr>
          <w:vertAlign w:val="superscript"/>
          <w:rtl/>
        </w:rPr>
        <w:footnoteReference w:id="170"/>
      </w:r>
      <w:r w:rsidRPr="0025250D">
        <w:rPr>
          <w:rFonts w:hint="cs"/>
          <w:rtl/>
        </w:rPr>
        <w:t xml:space="preserve"> و رهبری آینده ما کمک می‌کند. هر یک از آن‌ها در زندگی‌های فردی، جوامع و انسانی ما تفاوت ایجاد می‌کند. </w:t>
      </w:r>
      <w:r w:rsidRPr="0025250D">
        <w:rPr>
          <w:rtl/>
        </w:rPr>
        <w:t>آینده‌نگاری</w:t>
      </w:r>
      <w:r w:rsidRPr="0025250D">
        <w:rPr>
          <w:rFonts w:hint="cs"/>
          <w:rtl/>
        </w:rPr>
        <w:t xml:space="preserve"> خوب در هر یک از این دامنه‌ها همواره بر میزانی از تجربه و تمرین در هر یک از دامنه‌های باقیمانده دیگر نیاز دارد.</w:t>
      </w:r>
    </w:p>
    <w:p w14:paraId="242C789F" w14:textId="7CF0408C" w:rsidR="0020732A" w:rsidRPr="0025250D" w:rsidRDefault="0020732A" w:rsidP="0020732A">
      <w:pPr>
        <w:rPr>
          <w:rtl/>
        </w:rPr>
      </w:pPr>
      <w:r w:rsidRPr="0025250D">
        <w:rPr>
          <w:rFonts w:hint="cs"/>
          <w:rtl/>
        </w:rPr>
        <w:t>بهترین کارگزاران</w:t>
      </w:r>
      <w:r w:rsidRPr="0025250D">
        <w:rPr>
          <w:vertAlign w:val="superscript"/>
          <w:rtl/>
        </w:rPr>
        <w:footnoteReference w:id="171"/>
      </w:r>
      <w:r w:rsidRPr="0025250D">
        <w:rPr>
          <w:rFonts w:hint="cs"/>
          <w:rtl/>
        </w:rPr>
        <w:t xml:space="preserve"> </w:t>
      </w:r>
      <w:r w:rsidRPr="0025250D">
        <w:rPr>
          <w:rtl/>
        </w:rPr>
        <w:t>آینده‌نگاری</w:t>
      </w:r>
      <w:r w:rsidRPr="0025250D">
        <w:rPr>
          <w:rFonts w:hint="cs"/>
          <w:rtl/>
        </w:rPr>
        <w:t xml:space="preserve"> کشف می‌کنند که کدام دامنه‌ها حوزه‌های ضعف آن‌ها هستند و سپس از دیگر افرادی که در آن دامنه‌ها قوی‌تر هستند آموزش می‌بینند یا با آن‌ها به‌صورت گروهی کار می‌کنند. همه ما می‌توانیم از یک </w:t>
      </w:r>
      <w:r w:rsidR="00701E03" w:rsidRPr="0025250D">
        <w:rPr>
          <w:rFonts w:hint="cs"/>
          <w:rtl/>
        </w:rPr>
        <w:t>راهبرد</w:t>
      </w:r>
      <w:r w:rsidRPr="0025250D">
        <w:rPr>
          <w:rFonts w:hint="cs"/>
          <w:rtl/>
        </w:rPr>
        <w:t xml:space="preserve"> تیم</w:t>
      </w:r>
      <w:r w:rsidR="00F036C1" w:rsidRPr="0025250D">
        <w:rPr>
          <w:rFonts w:hint="cs"/>
          <w:rtl/>
        </w:rPr>
        <w:t>‌</w:t>
      </w:r>
      <w:r w:rsidRPr="0025250D">
        <w:rPr>
          <w:rFonts w:hint="cs"/>
          <w:rtl/>
        </w:rPr>
        <w:t xml:space="preserve">گرا و شبکه محور برای انجام </w:t>
      </w:r>
      <w:r w:rsidRPr="0025250D">
        <w:rPr>
          <w:rtl/>
        </w:rPr>
        <w:t>آینده‌نگاری</w:t>
      </w:r>
      <w:r w:rsidRPr="0025250D">
        <w:rPr>
          <w:rFonts w:hint="cs"/>
          <w:rtl/>
        </w:rPr>
        <w:t xml:space="preserve"> جامع‌تر، متوازن‌تر و مفیدتر نسبت به آنچه به‌تنهایی قادر به آن هستیم بهره بگیریم. بار دیگر، درک این</w:t>
      </w:r>
      <w:r w:rsidR="00F036C1" w:rsidRPr="0025250D">
        <w:rPr>
          <w:rFonts w:hint="cs"/>
          <w:rtl/>
        </w:rPr>
        <w:t xml:space="preserve"> امر</w:t>
      </w:r>
      <w:r w:rsidRPr="0025250D">
        <w:rPr>
          <w:rFonts w:hint="cs"/>
          <w:rtl/>
        </w:rPr>
        <w:t xml:space="preserve"> اهمیت دارد که افرادی که به تفکر در یک یا دو مورد از این شش دامنه علاقه‌مند هستند، ممکن است به برخی از موارد دیگر علاقه‌مند نبوده یا از آن‌ها آگاه نباشند. درصورتی‌که جانب‌داری یا ضعفی در هر یک از این دامنه‌ها داشته باشیم، اتخاذ گام‌هایی برای بهبود توانایی‌هایمان در آن‌ها و ساختن و ایجاد همکاری‌ها و تیم‌هایی که بتوانند حوزه‌های ضعف ما را تقویت کنند منطقی می‌باشد. این کتاب راهنما بیش‌ترین تلاش خود را برای کمک به همه ما جهت تبدیل‌شدن به کارگزارانی جامع‌تر که قادر به استفاده و بهره‌گیری از همه این شش دامنه باشیم، برحسب نیاز خواهد </w:t>
      </w:r>
      <w:r w:rsidR="00F036C1" w:rsidRPr="0025250D">
        <w:rPr>
          <w:rFonts w:hint="cs"/>
          <w:rtl/>
        </w:rPr>
        <w:t>داشت</w:t>
      </w:r>
      <w:r w:rsidRPr="0025250D">
        <w:rPr>
          <w:rFonts w:hint="cs"/>
          <w:rtl/>
        </w:rPr>
        <w:t>.</w:t>
      </w:r>
    </w:p>
    <w:p w14:paraId="591C34AA" w14:textId="085E053F" w:rsidR="0020732A" w:rsidRPr="0025250D" w:rsidRDefault="0020732A" w:rsidP="0020732A">
      <w:pPr>
        <w:rPr>
          <w:rtl/>
        </w:rPr>
      </w:pPr>
      <w:r w:rsidRPr="0025250D">
        <w:rPr>
          <w:rFonts w:hint="cs"/>
          <w:rtl/>
        </w:rPr>
        <w:lastRenderedPageBreak/>
        <w:t xml:space="preserve">برخی پرسش‌ها که باید برای خود در نظر بگیرید این موارد هستند: کدام‌یک از این شش دامنه موردعلاقه شما هستند؟ آیا ارزش هر یک از این موارد را در بافت‌های متفاوت می‌دانید؟ آیا سعی می‌کنید که دامنه‌های ضعیف‌تر خود را بهبود بخشید؟ چگونه؟ چه زمانی متوجه می‌شوید که به‌صورت ذهنی تفکر خود را از یک دامنه به </w:t>
      </w:r>
      <w:r w:rsidR="0057430A" w:rsidRPr="0025250D">
        <w:rPr>
          <w:rFonts w:hint="cs"/>
          <w:rtl/>
        </w:rPr>
        <w:t xml:space="preserve">دامنه </w:t>
      </w:r>
      <w:r w:rsidRPr="0025250D">
        <w:rPr>
          <w:rFonts w:hint="cs"/>
          <w:rtl/>
        </w:rPr>
        <w:t xml:space="preserve">دیگر در راستای دستیابی به ارزش </w:t>
      </w:r>
      <w:r w:rsidRPr="0025250D">
        <w:rPr>
          <w:rtl/>
        </w:rPr>
        <w:t>آینده‌نگاری</w:t>
      </w:r>
      <w:r w:rsidRPr="0025250D">
        <w:rPr>
          <w:rFonts w:hint="cs"/>
          <w:rtl/>
        </w:rPr>
        <w:t xml:space="preserve"> بیش‌تر تغییر می‌دهید؟ آیا به شهود خود در مورد این‌که چه زمانی در مورد </w:t>
      </w:r>
      <w:r w:rsidR="0020589F" w:rsidRPr="0025250D">
        <w:rPr>
          <w:rtl/>
        </w:rPr>
        <w:t>«</w:t>
      </w:r>
      <w:r w:rsidRPr="0025250D">
        <w:rPr>
          <w:rFonts w:hint="cs"/>
          <w:rtl/>
        </w:rPr>
        <w:t>تصویر کلان</w:t>
      </w:r>
      <w:r w:rsidR="0020589F" w:rsidRPr="0025250D">
        <w:rPr>
          <w:rtl/>
        </w:rPr>
        <w:t>»</w:t>
      </w:r>
      <w:r w:rsidRPr="0025250D">
        <w:rPr>
          <w:rFonts w:hint="cs"/>
          <w:rtl/>
        </w:rPr>
        <w:t xml:space="preserve"> مسئله یا مشکل تفکر نمایید و این‌که چه زمانی به تفکر فردی، تیمی و سازمانی بازگردید، اعتماد دارید؟ شبکه شما تا چه حد همه دامنه‌ها را در بر می‌گیرد؟ آیا مربیان یا مشاورانی در دامنه‌های ضعیف‌تر خود دارید؟ در ازای کمک آن‌ها شما چگونه به آن‌ها کمک می‌کنید؟ تیم شما تا چه حد نسبت به دامنه‌ها جامعیت دارد؟</w:t>
      </w:r>
    </w:p>
    <w:p w14:paraId="2A1D53D9" w14:textId="77777777" w:rsidR="0020732A" w:rsidRPr="0025250D" w:rsidRDefault="0020732A" w:rsidP="0020732A">
      <w:pPr>
        <w:rPr>
          <w:rtl/>
        </w:rPr>
      </w:pPr>
    </w:p>
    <w:p w14:paraId="42266980" w14:textId="77777777" w:rsidR="0020732A" w:rsidRPr="0025250D" w:rsidRDefault="0020732A" w:rsidP="0020732A">
      <w:pPr>
        <w:rPr>
          <w:rtl/>
        </w:rPr>
      </w:pPr>
    </w:p>
    <w:p w14:paraId="56AA19C8" w14:textId="77777777" w:rsidR="0020732A" w:rsidRPr="0025250D" w:rsidRDefault="0020732A" w:rsidP="0020732A">
      <w:pPr>
        <w:rPr>
          <w:rtl/>
        </w:rPr>
      </w:pPr>
    </w:p>
    <w:p w14:paraId="56ABF608" w14:textId="77777777" w:rsidR="0020732A" w:rsidRPr="0025250D" w:rsidRDefault="0020732A" w:rsidP="0020732A">
      <w:pPr>
        <w:rPr>
          <w:rtl/>
        </w:rPr>
      </w:pPr>
    </w:p>
    <w:p w14:paraId="1E0A6BB9" w14:textId="77777777" w:rsidR="0020732A" w:rsidRPr="0025250D" w:rsidRDefault="0020732A" w:rsidP="0020732A">
      <w:pPr>
        <w:rPr>
          <w:rtl/>
        </w:rPr>
      </w:pPr>
    </w:p>
    <w:p w14:paraId="10D35161" w14:textId="77777777" w:rsidR="0020732A" w:rsidRPr="0025250D" w:rsidRDefault="0020732A" w:rsidP="0020732A">
      <w:pPr>
        <w:rPr>
          <w:rtl/>
        </w:rPr>
      </w:pPr>
    </w:p>
    <w:p w14:paraId="4E07A813" w14:textId="77777777" w:rsidR="0020732A" w:rsidRPr="0025250D" w:rsidRDefault="0020732A" w:rsidP="0020732A">
      <w:pPr>
        <w:rPr>
          <w:rtl/>
        </w:rPr>
      </w:pPr>
    </w:p>
    <w:p w14:paraId="07371DFE" w14:textId="33CD6B06" w:rsidR="0020732A" w:rsidRPr="0025250D" w:rsidRDefault="0020732A" w:rsidP="00537CC8">
      <w:pPr>
        <w:pStyle w:val="Heading2"/>
        <w:rPr>
          <w:rtl/>
        </w:rPr>
      </w:pPr>
      <w:bookmarkStart w:id="8" w:name="_Toc127831273"/>
      <w:r w:rsidRPr="0025250D">
        <w:rPr>
          <w:rFonts w:hint="cs"/>
          <w:rtl/>
        </w:rPr>
        <w:lastRenderedPageBreak/>
        <w:t xml:space="preserve">آینده‌پژوهان در مقابل </w:t>
      </w:r>
      <w:r w:rsidRPr="0025250D">
        <w:rPr>
          <w:rtl/>
        </w:rPr>
        <w:t>آینده‌نگار</w:t>
      </w:r>
      <w:r w:rsidRPr="0025250D">
        <w:rPr>
          <w:rFonts w:hint="cs"/>
          <w:rtl/>
        </w:rPr>
        <w:t>ان (</w:t>
      </w:r>
      <w:r w:rsidR="00516B66" w:rsidRPr="0025250D">
        <w:rPr>
          <w:rFonts w:hint="cs"/>
          <w:rtl/>
        </w:rPr>
        <w:t>راهبردشناسان</w:t>
      </w:r>
      <w:r w:rsidRPr="0025250D">
        <w:rPr>
          <w:rFonts w:hint="cs"/>
          <w:rtl/>
        </w:rPr>
        <w:t>): شما کدام مورد هستید؟</w:t>
      </w:r>
      <w:bookmarkEnd w:id="8"/>
    </w:p>
    <w:p w14:paraId="68864F25" w14:textId="73FD2295" w:rsidR="0020732A" w:rsidRPr="0025250D" w:rsidRDefault="0020732A" w:rsidP="00516B66">
      <w:pPr>
        <w:rPr>
          <w:rtl/>
        </w:rPr>
      </w:pPr>
      <w:r w:rsidRPr="0025250D">
        <w:rPr>
          <w:rFonts w:hint="cs"/>
          <w:rtl/>
        </w:rPr>
        <w:t xml:space="preserve">دو نوع رایج از کارگزاران </w:t>
      </w:r>
      <w:r w:rsidRPr="0025250D">
        <w:rPr>
          <w:rtl/>
        </w:rPr>
        <w:t>آینده‌نگاری</w:t>
      </w:r>
      <w:r w:rsidRPr="0025250D">
        <w:rPr>
          <w:rFonts w:hint="cs"/>
          <w:rtl/>
        </w:rPr>
        <w:t xml:space="preserve"> وجود دارند. مورد اول آینده‌پژوه</w:t>
      </w:r>
      <w:r w:rsidRPr="0025250D">
        <w:rPr>
          <w:vertAlign w:val="superscript"/>
          <w:rtl/>
        </w:rPr>
        <w:footnoteReference w:id="172"/>
      </w:r>
      <w:r w:rsidRPr="0025250D">
        <w:rPr>
          <w:rFonts w:hint="cs"/>
          <w:rtl/>
        </w:rPr>
        <w:t xml:space="preserve"> است. آینده‌پژوهان نسبتاً در میان عموم مردم </w:t>
      </w:r>
      <w:r w:rsidRPr="0025250D">
        <w:rPr>
          <w:rtl/>
        </w:rPr>
        <w:t>شناخته‌شده</w:t>
      </w:r>
      <w:r w:rsidRPr="0025250D">
        <w:rPr>
          <w:rFonts w:hint="cs"/>
          <w:rtl/>
        </w:rPr>
        <w:t xml:space="preserve"> هستند، اما به‌ندرت در یک مکان کاری شناخته شده می‌باشند. </w:t>
      </w:r>
      <w:r w:rsidRPr="0025250D">
        <w:rPr>
          <w:rtl/>
        </w:rPr>
        <w:t>آینده‌نگار</w:t>
      </w:r>
      <w:r w:rsidRPr="0025250D">
        <w:rPr>
          <w:vertAlign w:val="superscript"/>
          <w:rtl/>
        </w:rPr>
        <w:footnoteReference w:id="173"/>
      </w:r>
      <w:r w:rsidRPr="0025250D">
        <w:rPr>
          <w:rFonts w:hint="cs"/>
          <w:rtl/>
        </w:rPr>
        <w:t xml:space="preserve"> اصطلاحی است که توسط </w:t>
      </w:r>
      <w:r w:rsidRPr="0025250D">
        <w:rPr>
          <w:rtl/>
        </w:rPr>
        <w:t>اند</w:t>
      </w:r>
      <w:r w:rsidRPr="0025250D">
        <w:rPr>
          <w:rFonts w:hint="cs"/>
          <w:rtl/>
        </w:rPr>
        <w:t>ی</w:t>
      </w:r>
      <w:r w:rsidRPr="0025250D">
        <w:rPr>
          <w:rtl/>
        </w:rPr>
        <w:t xml:space="preserve"> ها</w:t>
      </w:r>
      <w:r w:rsidRPr="0025250D">
        <w:rPr>
          <w:rFonts w:hint="cs"/>
          <w:rtl/>
        </w:rPr>
        <w:t>ی</w:t>
      </w:r>
      <w:r w:rsidRPr="0025250D">
        <w:rPr>
          <w:rFonts w:hint="eastAsia"/>
          <w:rtl/>
        </w:rPr>
        <w:t>نز</w:t>
      </w:r>
      <w:r w:rsidRPr="0025250D">
        <w:rPr>
          <w:vertAlign w:val="superscript"/>
          <w:rtl/>
        </w:rPr>
        <w:footnoteReference w:id="174"/>
      </w:r>
      <w:r w:rsidRPr="0025250D">
        <w:rPr>
          <w:rFonts w:hint="cs"/>
          <w:rtl/>
        </w:rPr>
        <w:t xml:space="preserve"> و </w:t>
      </w:r>
      <w:r w:rsidRPr="0025250D">
        <w:rPr>
          <w:rtl/>
        </w:rPr>
        <w:t>جان اسمارت</w:t>
      </w:r>
      <w:r w:rsidRPr="0025250D">
        <w:rPr>
          <w:vertAlign w:val="superscript"/>
          <w:rtl/>
        </w:rPr>
        <w:footnoteReference w:id="175"/>
      </w:r>
      <w:r w:rsidRPr="0025250D">
        <w:rPr>
          <w:rFonts w:hint="cs"/>
          <w:rtl/>
        </w:rPr>
        <w:t xml:space="preserve"> در سال 2014 در این گفتمان ایجاد شد. ما به دنبال لغت واحدی بودیم که نه‌تنها کسانی را که در مورد آینده تفکر و صحبت می‌کنند، بلکه کسانی را که از روش‌ها و </w:t>
      </w:r>
      <w:r w:rsidR="00B13F65" w:rsidRPr="0025250D">
        <w:rPr>
          <w:rFonts w:hint="cs"/>
          <w:rtl/>
        </w:rPr>
        <w:t>چارچوب</w:t>
      </w:r>
      <w:r w:rsidRPr="0025250D">
        <w:rPr>
          <w:rFonts w:hint="cs"/>
          <w:rtl/>
        </w:rPr>
        <w:t xml:space="preserve">‌های رسمی برای این کار استفاده می‌کنند را توصیف کند. یک لغت جایگزین برای چنین افرادی </w:t>
      </w:r>
      <w:r w:rsidR="00516B66" w:rsidRPr="0025250D">
        <w:rPr>
          <w:rFonts w:hint="cs"/>
          <w:rtl/>
        </w:rPr>
        <w:t xml:space="preserve">راهبردشناس </w:t>
      </w:r>
      <w:r w:rsidRPr="0025250D">
        <w:rPr>
          <w:rFonts w:hint="cs"/>
          <w:rtl/>
        </w:rPr>
        <w:t xml:space="preserve">است، اما این مورد کاملاً صحیح نیست. بسیاری از افراد در زمینه </w:t>
      </w:r>
      <w:r w:rsidR="00701E03" w:rsidRPr="0025250D">
        <w:rPr>
          <w:rFonts w:hint="cs"/>
          <w:rtl/>
        </w:rPr>
        <w:t>راهبرد</w:t>
      </w:r>
      <w:r w:rsidRPr="0025250D">
        <w:rPr>
          <w:rFonts w:hint="cs"/>
          <w:rtl/>
        </w:rPr>
        <w:t xml:space="preserve"> فعالیت می‌کنند، اما بیش‌تر آن‌ها از روش‌های رسمی نگاه به آینده پیش از ایجاد </w:t>
      </w:r>
      <w:r w:rsidR="00701E03" w:rsidRPr="0025250D">
        <w:rPr>
          <w:rFonts w:hint="cs"/>
          <w:rtl/>
        </w:rPr>
        <w:t>راهبرد</w:t>
      </w:r>
      <w:r w:rsidRPr="0025250D">
        <w:rPr>
          <w:rFonts w:hint="cs"/>
          <w:rtl/>
        </w:rPr>
        <w:t xml:space="preserve"> استفاده نمی‌کنند. </w:t>
      </w:r>
      <w:r w:rsidRPr="0025250D">
        <w:rPr>
          <w:rtl/>
        </w:rPr>
        <w:t>آینده‌نگار</w:t>
      </w:r>
      <w:r w:rsidRPr="0025250D">
        <w:rPr>
          <w:rFonts w:hint="cs"/>
          <w:rtl/>
        </w:rPr>
        <w:t>ان که کم‌تر برای عموم مردم شناخته شده هستند</w:t>
      </w:r>
      <w:r w:rsidR="009B16C9" w:rsidRPr="0025250D">
        <w:rPr>
          <w:rFonts w:hint="cs"/>
          <w:rtl/>
        </w:rPr>
        <w:t>،</w:t>
      </w:r>
      <w:r w:rsidRPr="0025250D">
        <w:rPr>
          <w:rFonts w:hint="cs"/>
          <w:rtl/>
        </w:rPr>
        <w:t xml:space="preserve"> گروه اصلی کارگزاران </w:t>
      </w:r>
      <w:r w:rsidRPr="0025250D">
        <w:rPr>
          <w:rtl/>
        </w:rPr>
        <w:t>آینده‌نگاری</w:t>
      </w:r>
      <w:r w:rsidR="009B16C9" w:rsidRPr="0025250D">
        <w:rPr>
          <w:rFonts w:hint="cs"/>
          <w:rtl/>
        </w:rPr>
        <w:t xml:space="preserve"> را در بر می‌گیرند</w:t>
      </w:r>
      <w:r w:rsidRPr="0025250D">
        <w:rPr>
          <w:rFonts w:hint="cs"/>
          <w:rtl/>
        </w:rPr>
        <w:t xml:space="preserve">. این کتاب به دنبال کمک به هر یک از ما برای تبدیل‌شدن به آینده‌پژوهان‌ و </w:t>
      </w:r>
      <w:r w:rsidRPr="0025250D">
        <w:rPr>
          <w:rtl/>
        </w:rPr>
        <w:t>آینده‌نگار</w:t>
      </w:r>
      <w:r w:rsidRPr="0025250D">
        <w:rPr>
          <w:rFonts w:hint="cs"/>
          <w:rtl/>
        </w:rPr>
        <w:t>ان بهتر است. همه ما اندکی از این دو را در زندگی‌هایمان انجام می‌دهیم و هر دو نقش لازم هستند، اما مورد دوم به‌مراتب برای ایجاد ارزش مهم‌تر است.</w:t>
      </w:r>
    </w:p>
    <w:p w14:paraId="03972F4A" w14:textId="77777777" w:rsidR="0020732A" w:rsidRPr="0025250D" w:rsidRDefault="0020732A" w:rsidP="0020732A">
      <w:pPr>
        <w:rPr>
          <w:rtl/>
        </w:rPr>
      </w:pPr>
      <w:r w:rsidRPr="0025250D">
        <w:rPr>
          <w:rFonts w:hint="cs"/>
          <w:rtl/>
        </w:rPr>
        <w:t>یک آینده‌پژوه هر کسی است که به‌صورت عمومی در مورد آینده هر موضوعی می‌نویسد یا صحبت می‌کند. ممکن است این کار را به‌ندرت انجام دهیم، اما اگر چیزی که می‌گوییم تأثیری داشته باشد، ممکن است توسط برخی آینده‌پژوه نامیده شویم، چه این برچسب را بخواهیم و چه نخواهیم. اصطلاح آینده‌پژوه معمولاً به‌صورت ضمنی بر یک رویکرد کیفی و داستان محور</w:t>
      </w:r>
      <w:r w:rsidRPr="0025250D">
        <w:rPr>
          <w:vertAlign w:val="superscript"/>
          <w:rtl/>
        </w:rPr>
        <w:footnoteReference w:id="176"/>
      </w:r>
      <w:r w:rsidRPr="0025250D">
        <w:rPr>
          <w:rFonts w:hint="cs"/>
          <w:rtl/>
        </w:rPr>
        <w:t xml:space="preserve"> نسبت به آینده دلالت دارد. این اصطلاح معمولاً برای افرادی که تفکر و تجربه عمومی</w:t>
      </w:r>
      <w:r w:rsidRPr="0025250D">
        <w:rPr>
          <w:vertAlign w:val="superscript"/>
          <w:rtl/>
        </w:rPr>
        <w:footnoteReference w:id="177"/>
      </w:r>
      <w:r w:rsidRPr="0025250D">
        <w:rPr>
          <w:rFonts w:hint="cs"/>
          <w:rtl/>
        </w:rPr>
        <w:t xml:space="preserve"> دارند، به کار می‌رود. در مقابل، اقلیتی از آینده‌پژوهان در روایت داستان خود کمّی، مبتنی بر مدارک و کاملاً تخصصی عمل می‌کنند.</w:t>
      </w:r>
    </w:p>
    <w:p w14:paraId="59FDCC20" w14:textId="5E314196" w:rsidR="0020732A" w:rsidRPr="0025250D" w:rsidRDefault="0020732A" w:rsidP="0020732A">
      <w:pPr>
        <w:rPr>
          <w:rtl/>
        </w:rPr>
      </w:pPr>
      <w:r w:rsidRPr="0025250D">
        <w:rPr>
          <w:rFonts w:hint="cs"/>
          <w:rtl/>
        </w:rPr>
        <w:t>آینده‌پژوهان برای این‌که داستان خود را به‌خوبی بازگو کنند، می‌توانند بر بینش‌های فردی، شهود، روایت</w:t>
      </w:r>
      <w:r w:rsidR="008D6F97" w:rsidRPr="0025250D">
        <w:rPr>
          <w:rtl/>
        </w:rPr>
        <w:t xml:space="preserve"> </w:t>
      </w:r>
      <w:r w:rsidRPr="0025250D">
        <w:rPr>
          <w:rFonts w:hint="cs"/>
          <w:rtl/>
        </w:rPr>
        <w:t>و تجارب حکایتی</w:t>
      </w:r>
      <w:r w:rsidRPr="0025250D">
        <w:rPr>
          <w:vertAlign w:val="superscript"/>
          <w:rtl/>
        </w:rPr>
        <w:footnoteReference w:id="178"/>
      </w:r>
      <w:r w:rsidRPr="0025250D">
        <w:rPr>
          <w:rFonts w:hint="cs"/>
          <w:rtl/>
        </w:rPr>
        <w:t xml:space="preserve"> تکیه داشته باشند. آینده‌پژوهانی که بهتر شناخته شده باشند، معمولاً زمان زیادی را به مصرف، تولید، نقد و گفت‌وگو در مورد محتوای آینده </w:t>
      </w:r>
      <w:r w:rsidRPr="0025250D">
        <w:rPr>
          <w:rtl/>
        </w:rPr>
        <w:t>م</w:t>
      </w:r>
      <w:r w:rsidRPr="0025250D">
        <w:rPr>
          <w:rFonts w:hint="cs"/>
          <w:rtl/>
        </w:rPr>
        <w:t>ی‌</w:t>
      </w:r>
      <w:r w:rsidRPr="0025250D">
        <w:rPr>
          <w:rFonts w:hint="eastAsia"/>
          <w:rtl/>
        </w:rPr>
        <w:t>گذرانند</w:t>
      </w:r>
      <w:r w:rsidRPr="0025250D">
        <w:rPr>
          <w:rFonts w:hint="cs"/>
          <w:rtl/>
        </w:rPr>
        <w:t xml:space="preserve">. به‌عنوان یک قاعده، آینده‌پژوهان تمایل دارند از تفکر در مورد آینده لذت ببرند. این لذت بردن نیز می‌تواند شیوه‌ای برای شناسایی آن‌ها باشد. بیش‌تر آینده‌پژوهان ادعای دانستن آینده را ندارند، اما ادعا می‌کنند که بسیاری از داستان‌های آینده که در حوزه تخصصشان </w:t>
      </w:r>
      <w:r w:rsidRPr="0025250D">
        <w:rPr>
          <w:rtl/>
        </w:rPr>
        <w:t>نقل</w:t>
      </w:r>
      <w:r w:rsidRPr="0025250D">
        <w:rPr>
          <w:rFonts w:hint="cs"/>
          <w:rtl/>
        </w:rPr>
        <w:t xml:space="preserve"> می‌شود را می‌دانند و در این داستان‌ها به نمونه‌ای بازنمایی کننده از داده‌ها، روندها، مدل‌ها، استدلال‌ها و دغدغه‌ها ارجاع می‌دهند. همچنین آینده‌پژوهان موفق‌تر در ارائه این داستان‌ها به شیوه‌ای سرگرم‌کننده نیز مهارت دارند.</w:t>
      </w:r>
    </w:p>
    <w:p w14:paraId="788CC1D6" w14:textId="3BA99398" w:rsidR="0020732A" w:rsidRPr="0025250D" w:rsidRDefault="0020732A" w:rsidP="0020732A">
      <w:pPr>
        <w:rPr>
          <w:rtl/>
        </w:rPr>
      </w:pPr>
      <w:r w:rsidRPr="0025250D">
        <w:rPr>
          <w:rFonts w:hint="cs"/>
          <w:rtl/>
        </w:rPr>
        <w:t>یک متخصص</w:t>
      </w:r>
      <w:r w:rsidR="008D6F97" w:rsidRPr="0025250D">
        <w:rPr>
          <w:rtl/>
        </w:rPr>
        <w:t xml:space="preserve"> </w:t>
      </w:r>
      <w:r w:rsidRPr="0025250D">
        <w:rPr>
          <w:rtl/>
        </w:rPr>
        <w:t>آینده‌نگاری</w:t>
      </w:r>
      <w:r w:rsidRPr="0025250D">
        <w:rPr>
          <w:rFonts w:hint="cs"/>
          <w:rtl/>
        </w:rPr>
        <w:t xml:space="preserve"> (</w:t>
      </w:r>
      <w:r w:rsidRPr="0025250D">
        <w:rPr>
          <w:rtl/>
        </w:rPr>
        <w:t>آینده‌نگار</w:t>
      </w:r>
      <w:r w:rsidRPr="0025250D">
        <w:rPr>
          <w:rFonts w:hint="cs"/>
          <w:rtl/>
        </w:rPr>
        <w:t xml:space="preserve">) هر کسی است که برای کار </w:t>
      </w:r>
      <w:r w:rsidRPr="0025250D">
        <w:rPr>
          <w:rtl/>
        </w:rPr>
        <w:t>آینده‌نگاری</w:t>
      </w:r>
      <w:r w:rsidRPr="0025250D">
        <w:rPr>
          <w:rFonts w:hint="cs"/>
          <w:rtl/>
        </w:rPr>
        <w:t xml:space="preserve"> برای دیگران با</w:t>
      </w:r>
      <w:r w:rsidRPr="0025250D">
        <w:rPr>
          <w:rtl/>
        </w:rPr>
        <w:t xml:space="preserve"> </w:t>
      </w:r>
      <w:r w:rsidRPr="0025250D">
        <w:rPr>
          <w:rFonts w:hint="cs"/>
          <w:rtl/>
        </w:rPr>
        <w:t>استفاده</w:t>
      </w:r>
      <w:r w:rsidRPr="0025250D">
        <w:rPr>
          <w:rtl/>
        </w:rPr>
        <w:t xml:space="preserve"> </w:t>
      </w:r>
      <w:r w:rsidRPr="0025250D">
        <w:rPr>
          <w:rFonts w:hint="cs"/>
          <w:rtl/>
        </w:rPr>
        <w:t>از</w:t>
      </w:r>
      <w:r w:rsidRPr="0025250D">
        <w:rPr>
          <w:rtl/>
        </w:rPr>
        <w:t xml:space="preserve"> </w:t>
      </w:r>
      <w:r w:rsidRPr="0025250D">
        <w:rPr>
          <w:rFonts w:hint="cs"/>
          <w:rtl/>
        </w:rPr>
        <w:t>گستره</w:t>
      </w:r>
      <w:r w:rsidRPr="0025250D">
        <w:rPr>
          <w:rtl/>
        </w:rPr>
        <w:t xml:space="preserve"> </w:t>
      </w:r>
      <w:r w:rsidRPr="0025250D">
        <w:rPr>
          <w:rFonts w:hint="cs"/>
          <w:rtl/>
        </w:rPr>
        <w:t>وسیعی</w:t>
      </w:r>
      <w:r w:rsidRPr="0025250D">
        <w:rPr>
          <w:rtl/>
        </w:rPr>
        <w:t xml:space="preserve"> </w:t>
      </w:r>
      <w:r w:rsidRPr="0025250D">
        <w:rPr>
          <w:rFonts w:hint="cs"/>
          <w:rtl/>
        </w:rPr>
        <w:t>از</w:t>
      </w:r>
      <w:r w:rsidRPr="0025250D">
        <w:rPr>
          <w:rtl/>
        </w:rPr>
        <w:t xml:space="preserve"> </w:t>
      </w:r>
      <w:r w:rsidRPr="0025250D">
        <w:rPr>
          <w:rFonts w:hint="cs"/>
          <w:rtl/>
        </w:rPr>
        <w:t>اقدامات</w:t>
      </w:r>
      <w:r w:rsidRPr="0025250D">
        <w:rPr>
          <w:rtl/>
        </w:rPr>
        <w:t xml:space="preserve"> </w:t>
      </w:r>
      <w:r w:rsidRPr="0025250D">
        <w:rPr>
          <w:rFonts w:hint="cs"/>
          <w:rtl/>
        </w:rPr>
        <w:t>و</w:t>
      </w:r>
      <w:r w:rsidRPr="0025250D">
        <w:rPr>
          <w:rtl/>
        </w:rPr>
        <w:t xml:space="preserve"> </w:t>
      </w:r>
      <w:r w:rsidRPr="0025250D">
        <w:rPr>
          <w:rFonts w:hint="cs"/>
          <w:rtl/>
        </w:rPr>
        <w:t>روش</w:t>
      </w:r>
      <w:r w:rsidRPr="0025250D">
        <w:rPr>
          <w:rtl/>
        </w:rPr>
        <w:t xml:space="preserve">‌های </w:t>
      </w:r>
      <w:r w:rsidRPr="0025250D">
        <w:rPr>
          <w:rFonts w:hint="cs"/>
          <w:rtl/>
        </w:rPr>
        <w:t>تخصصی که بعداً در مورد آن‌ها صحبت خواهیم کرد،</w:t>
      </w:r>
      <w:r w:rsidRPr="0025250D">
        <w:rPr>
          <w:rtl/>
        </w:rPr>
        <w:t xml:space="preserve"> </w:t>
      </w:r>
      <w:r w:rsidRPr="0025250D">
        <w:rPr>
          <w:rFonts w:hint="cs"/>
          <w:rtl/>
        </w:rPr>
        <w:t xml:space="preserve">پول دریافت می‌کند. معمولاً، این کار در صنایع، سازمان‌ها و بافت‌های تخصصی انجام می‌شود. ازنظر ما </w:t>
      </w:r>
      <w:r w:rsidR="0020589F" w:rsidRPr="0025250D">
        <w:rPr>
          <w:rtl/>
        </w:rPr>
        <w:t>«</w:t>
      </w:r>
      <w:r w:rsidRPr="0025250D">
        <w:rPr>
          <w:rtl/>
        </w:rPr>
        <w:t>آینده‌نگار</w:t>
      </w:r>
      <w:r w:rsidR="0020589F" w:rsidRPr="0025250D">
        <w:rPr>
          <w:rtl/>
        </w:rPr>
        <w:t>»</w:t>
      </w:r>
      <w:r w:rsidRPr="0025250D">
        <w:rPr>
          <w:rFonts w:hint="cs"/>
          <w:rtl/>
        </w:rPr>
        <w:t xml:space="preserve"> بهترین کلمه برای توصیف چنین افرادی است. ما از استفاده از این عبارت توسط همه کارگزاران دفاع می‌کنیم. به‌طور مشابه، افسر</w:t>
      </w:r>
      <w:r w:rsidRPr="0025250D">
        <w:rPr>
          <w:vertAlign w:val="superscript"/>
          <w:rtl/>
        </w:rPr>
        <w:footnoteReference w:id="179"/>
      </w:r>
      <w:r w:rsidRPr="0025250D">
        <w:rPr>
          <w:rFonts w:hint="cs"/>
          <w:rtl/>
        </w:rPr>
        <w:t>، بیمه کننده</w:t>
      </w:r>
      <w:r w:rsidRPr="0025250D">
        <w:rPr>
          <w:vertAlign w:val="superscript"/>
          <w:rtl/>
        </w:rPr>
        <w:footnoteReference w:id="180"/>
      </w:r>
      <w:r w:rsidRPr="0025250D">
        <w:rPr>
          <w:rFonts w:hint="cs"/>
          <w:rtl/>
        </w:rPr>
        <w:t>، خزانه دار</w:t>
      </w:r>
      <w:r w:rsidRPr="0025250D">
        <w:rPr>
          <w:vertAlign w:val="superscript"/>
          <w:rtl/>
        </w:rPr>
        <w:footnoteReference w:id="181"/>
      </w:r>
      <w:r w:rsidRPr="0025250D">
        <w:rPr>
          <w:rFonts w:hint="cs"/>
          <w:rtl/>
        </w:rPr>
        <w:t xml:space="preserve">، مدیر، رهبر و دیگر کلمات تخصصی و عمومی را که با پسوند </w:t>
      </w:r>
      <w:r w:rsidRPr="0025250D">
        <w:t>–er</w:t>
      </w:r>
      <w:r w:rsidRPr="0025250D">
        <w:rPr>
          <w:rFonts w:hint="cs"/>
          <w:rtl/>
        </w:rPr>
        <w:t xml:space="preserve"> در زبان انگلیسی پایان می‌یابند را در نظر بگیرید که برای توصیف هر کارکرد سازمانی حیاتی از آن استفاده می‌کنیم. </w:t>
      </w:r>
      <w:r w:rsidRPr="0025250D">
        <w:rPr>
          <w:rtl/>
        </w:rPr>
        <w:t>آینده‌نگاری</w:t>
      </w:r>
      <w:r w:rsidRPr="0025250D">
        <w:rPr>
          <w:rFonts w:hint="cs"/>
          <w:rtl/>
        </w:rPr>
        <w:t xml:space="preserve"> چنین کارکردی است.</w:t>
      </w:r>
    </w:p>
    <w:p w14:paraId="4AF52341" w14:textId="5F9B339B" w:rsidR="0020732A" w:rsidRPr="0025250D" w:rsidRDefault="0020732A" w:rsidP="0020732A">
      <w:pPr>
        <w:rPr>
          <w:rtl/>
        </w:rPr>
      </w:pPr>
      <w:r w:rsidRPr="0025250D">
        <w:rPr>
          <w:rFonts w:hint="cs"/>
          <w:rtl/>
        </w:rPr>
        <w:t xml:space="preserve">اصطلاح </w:t>
      </w:r>
      <w:r w:rsidRPr="0025250D">
        <w:rPr>
          <w:rtl/>
        </w:rPr>
        <w:t>آینده‌نگار</w:t>
      </w:r>
      <w:r w:rsidRPr="0025250D">
        <w:rPr>
          <w:rFonts w:hint="cs"/>
          <w:rtl/>
        </w:rPr>
        <w:t xml:space="preserve"> به‌صورت ضمنی نه‌تنها بر فعالیت تخصصی، بلکه بر یک استفاده متوازن‌تر از رویکرد‌های کمّی و کیفی برای </w:t>
      </w:r>
      <w:r w:rsidRPr="0025250D">
        <w:rPr>
          <w:rtl/>
        </w:rPr>
        <w:t>آینده‌نگاری</w:t>
      </w:r>
      <w:r w:rsidRPr="0025250D">
        <w:rPr>
          <w:rFonts w:hint="cs"/>
          <w:rtl/>
        </w:rPr>
        <w:t xml:space="preserve"> در مقایسه با کلمه معمول‌تر آینده‌پژوه دلالت دارد. </w:t>
      </w:r>
      <w:r w:rsidRPr="0025250D">
        <w:rPr>
          <w:rtl/>
        </w:rPr>
        <w:t>آینده‌نگار</w:t>
      </w:r>
      <w:r w:rsidRPr="0025250D">
        <w:rPr>
          <w:rFonts w:hint="cs"/>
          <w:rtl/>
        </w:rPr>
        <w:t xml:space="preserve"> تمایل دارد ابتدا منطق و مدارک را در اولویت اول و تفکر آرمانی</w:t>
      </w:r>
      <w:r w:rsidRPr="0025250D">
        <w:rPr>
          <w:vertAlign w:val="superscript"/>
          <w:rtl/>
        </w:rPr>
        <w:footnoteReference w:id="182"/>
      </w:r>
      <w:r w:rsidRPr="0025250D">
        <w:rPr>
          <w:rFonts w:hint="cs"/>
          <w:rtl/>
        </w:rPr>
        <w:t xml:space="preserve"> را در اولویت دوم قرار دهد و از نقد و روش‌های رسمی برای استدلال یا تفسیر استفاده می‌کند. </w:t>
      </w:r>
      <w:r w:rsidRPr="0025250D">
        <w:rPr>
          <w:rtl/>
        </w:rPr>
        <w:t>آینده‌نگار</w:t>
      </w:r>
      <w:r w:rsidRPr="0025250D">
        <w:rPr>
          <w:rFonts w:hint="cs"/>
          <w:rtl/>
        </w:rPr>
        <w:t xml:space="preserve">ان در فعالیت در یک یا چند صنعت محدود فعالیت </w:t>
      </w:r>
      <w:r w:rsidRPr="0025250D">
        <w:rPr>
          <w:rFonts w:hint="cs"/>
          <w:rtl/>
        </w:rPr>
        <w:lastRenderedPageBreak/>
        <w:t xml:space="preserve">می‌کنند و تنها یک یا چند کارسپار که معمولاً کارفرمای آن‌ها هستند، دارند. اگر این روش‌ها آکادمیک باشند و نگاه رو به جلوی آن‌ها بلندمدت‌تر باشد، </w:t>
      </w:r>
      <w:r w:rsidRPr="0025250D">
        <w:rPr>
          <w:rtl/>
        </w:rPr>
        <w:t>آینده‌نگار</w:t>
      </w:r>
      <w:r w:rsidRPr="0025250D">
        <w:rPr>
          <w:rFonts w:hint="cs"/>
          <w:rtl/>
        </w:rPr>
        <w:t xml:space="preserve"> را می‌توان </w:t>
      </w:r>
      <w:r w:rsidR="0020589F" w:rsidRPr="0025250D">
        <w:rPr>
          <w:rtl/>
        </w:rPr>
        <w:t>«</w:t>
      </w:r>
      <w:r w:rsidRPr="0025250D">
        <w:rPr>
          <w:rFonts w:hint="cs"/>
          <w:rtl/>
        </w:rPr>
        <w:t>آینده شناس</w:t>
      </w:r>
      <w:r w:rsidR="009B16C9" w:rsidRPr="0025250D">
        <w:rPr>
          <w:rStyle w:val="FootnoteReference"/>
          <w:rtl/>
        </w:rPr>
        <w:footnoteReference w:id="183"/>
      </w:r>
      <w:r w:rsidR="0020589F" w:rsidRPr="0025250D">
        <w:rPr>
          <w:rtl/>
        </w:rPr>
        <w:t>»</w:t>
      </w:r>
      <w:r w:rsidRPr="0025250D">
        <w:rPr>
          <w:rFonts w:hint="cs"/>
          <w:rtl/>
        </w:rPr>
        <w:t xml:space="preserve"> نامید. در صورت کمّی‌تر بودن و کوتاه‌مدت‌تر بودن این روش، </w:t>
      </w:r>
      <w:r w:rsidRPr="0025250D">
        <w:rPr>
          <w:rtl/>
        </w:rPr>
        <w:t>آینده‌نگار</w:t>
      </w:r>
      <w:r w:rsidRPr="0025250D">
        <w:rPr>
          <w:rFonts w:hint="cs"/>
          <w:rtl/>
        </w:rPr>
        <w:t xml:space="preserve"> را می‌توان یک </w:t>
      </w:r>
      <w:r w:rsidR="0020589F" w:rsidRPr="0025250D">
        <w:rPr>
          <w:rtl/>
        </w:rPr>
        <w:t>«</w:t>
      </w:r>
      <w:r w:rsidRPr="0025250D">
        <w:rPr>
          <w:rFonts w:hint="cs"/>
          <w:rtl/>
        </w:rPr>
        <w:t>تحلیلگر</w:t>
      </w:r>
      <w:r w:rsidRPr="0025250D">
        <w:rPr>
          <w:vertAlign w:val="superscript"/>
          <w:rtl/>
        </w:rPr>
        <w:footnoteReference w:id="184"/>
      </w:r>
      <w:r w:rsidR="0020589F" w:rsidRPr="0025250D">
        <w:rPr>
          <w:rtl/>
        </w:rPr>
        <w:t>»</w:t>
      </w:r>
      <w:r w:rsidRPr="0025250D">
        <w:rPr>
          <w:rFonts w:hint="cs"/>
          <w:rtl/>
        </w:rPr>
        <w:t xml:space="preserve"> نامید. اگر بیش‌تر روندبنیان</w:t>
      </w:r>
      <w:r w:rsidRPr="0025250D">
        <w:rPr>
          <w:vertAlign w:val="superscript"/>
          <w:rtl/>
        </w:rPr>
        <w:footnoteReference w:id="185"/>
      </w:r>
      <w:r w:rsidRPr="0025250D">
        <w:rPr>
          <w:rFonts w:hint="cs"/>
          <w:rtl/>
        </w:rPr>
        <w:t xml:space="preserve"> باشد، یک </w:t>
      </w:r>
      <w:r w:rsidR="0020589F" w:rsidRPr="0025250D">
        <w:rPr>
          <w:rtl/>
        </w:rPr>
        <w:t>«</w:t>
      </w:r>
      <w:r w:rsidR="0008779C" w:rsidRPr="0025250D">
        <w:rPr>
          <w:rFonts w:hint="cs"/>
          <w:rtl/>
        </w:rPr>
        <w:t>پیش‌نگر</w:t>
      </w:r>
      <w:r w:rsidR="0020589F" w:rsidRPr="0025250D">
        <w:rPr>
          <w:rtl/>
        </w:rPr>
        <w:t>»</w:t>
      </w:r>
      <w:r w:rsidRPr="0025250D">
        <w:rPr>
          <w:rFonts w:hint="cs"/>
          <w:rtl/>
        </w:rPr>
        <w:t xml:space="preserve"> نامیده می‌شود. درصورتی‌که به‌صورتی خلاقانه‌تر عمل نماید، یک </w:t>
      </w:r>
      <w:r w:rsidR="0020589F" w:rsidRPr="0025250D">
        <w:rPr>
          <w:rtl/>
        </w:rPr>
        <w:t>«</w:t>
      </w:r>
      <w:r w:rsidRPr="0025250D">
        <w:rPr>
          <w:rFonts w:hint="cs"/>
          <w:rtl/>
        </w:rPr>
        <w:t>طراح</w:t>
      </w:r>
      <w:r w:rsidRPr="0025250D">
        <w:rPr>
          <w:vertAlign w:val="superscript"/>
          <w:rtl/>
        </w:rPr>
        <w:footnoteReference w:id="186"/>
      </w:r>
      <w:r w:rsidR="0020589F" w:rsidRPr="0025250D">
        <w:rPr>
          <w:rtl/>
        </w:rPr>
        <w:t>»</w:t>
      </w:r>
      <w:r w:rsidRPr="0025250D">
        <w:rPr>
          <w:rFonts w:hint="cs"/>
          <w:rtl/>
        </w:rPr>
        <w:t xml:space="preserve"> نامیده می‌شود. همه این موارد و بسیاری از برچسب‌های دیگری که بحث خواهیم کرد مثال‌هایی از فعالیت تخصصی </w:t>
      </w:r>
      <w:r w:rsidRPr="0025250D">
        <w:rPr>
          <w:rtl/>
        </w:rPr>
        <w:t>آینده‌نگاری</w:t>
      </w:r>
      <w:r w:rsidRPr="0025250D">
        <w:rPr>
          <w:rFonts w:hint="cs"/>
          <w:rtl/>
        </w:rPr>
        <w:t xml:space="preserve"> هستند.</w:t>
      </w:r>
    </w:p>
    <w:p w14:paraId="39565FD6" w14:textId="480B767E" w:rsidR="0020732A" w:rsidRPr="0025250D" w:rsidRDefault="0020732A" w:rsidP="0020732A">
      <w:pPr>
        <w:rPr>
          <w:rtl/>
        </w:rPr>
      </w:pPr>
      <w:r w:rsidRPr="0025250D">
        <w:rPr>
          <w:rtl/>
        </w:rPr>
        <w:t>آینده‌نگار</w:t>
      </w:r>
      <w:r w:rsidRPr="0025250D">
        <w:rPr>
          <w:rFonts w:hint="cs"/>
          <w:rtl/>
        </w:rPr>
        <w:t>ان بیشتر درگروه کوچکی از روش‌ها مانند پویش، تحلیل ریسک، فرانامه‌ها، تسهیل گری</w:t>
      </w:r>
      <w:r w:rsidRPr="0025250D">
        <w:rPr>
          <w:vertAlign w:val="superscript"/>
          <w:rtl/>
        </w:rPr>
        <w:footnoteReference w:id="187"/>
      </w:r>
      <w:r w:rsidRPr="0025250D">
        <w:rPr>
          <w:rFonts w:hint="cs"/>
          <w:rtl/>
        </w:rPr>
        <w:t xml:space="preserve">، </w:t>
      </w:r>
      <w:r w:rsidR="00FB6A7E" w:rsidRPr="0025250D">
        <w:rPr>
          <w:rFonts w:hint="cs"/>
          <w:rtl/>
        </w:rPr>
        <w:t>پیش‌نگری</w:t>
      </w:r>
      <w:r w:rsidRPr="0025250D">
        <w:rPr>
          <w:rFonts w:hint="cs"/>
          <w:rtl/>
        </w:rPr>
        <w:t xml:space="preserve">، </w:t>
      </w:r>
      <w:r w:rsidR="00701E03" w:rsidRPr="0025250D">
        <w:rPr>
          <w:rFonts w:hint="cs"/>
          <w:rtl/>
        </w:rPr>
        <w:t>راهبرد</w:t>
      </w:r>
      <w:r w:rsidRPr="0025250D">
        <w:rPr>
          <w:rFonts w:hint="cs"/>
          <w:rtl/>
        </w:rPr>
        <w:t xml:space="preserve"> یا برنامه‌ریزی تخصص دارند. این امر می‌تواند آن‌ها را برای مسائل و بافت‌های مشخصی بسیار مؤثر سازد، اما همچنین این‌که با شبکه‌ها و تیم‌های دارای مهارت‌ها و روش‌های متنوع کار کنند را پر اهمیت می‌سازد. تیم‌های خوب می‌توانند به آن‌ها کمک کنند تا تخصص خارجی را به کار گیرند و دیدگاه وسیع تری را قبل از عمل اتخاذ کنند که ممکن است به‌صورت فردی آن را نادیده گرفته یا به آن بی توجه باشند.</w:t>
      </w:r>
    </w:p>
    <w:p w14:paraId="41A76BCF" w14:textId="46387778" w:rsidR="0020732A" w:rsidRPr="0025250D" w:rsidRDefault="0020732A" w:rsidP="0020732A">
      <w:pPr>
        <w:rPr>
          <w:rtl/>
        </w:rPr>
      </w:pPr>
      <w:r w:rsidRPr="0025250D">
        <w:rPr>
          <w:rFonts w:hint="cs"/>
          <w:rtl/>
        </w:rPr>
        <w:t>هر یک از ما هرازگاهی، اغلب در بحث با دوستان و همکاران در مورد برخی موضوعات جالب در</w:t>
      </w:r>
      <w:r w:rsidRPr="0025250D">
        <w:rPr>
          <w:rtl/>
        </w:rPr>
        <w:t xml:space="preserve"> </w:t>
      </w:r>
      <w:r w:rsidRPr="0025250D">
        <w:rPr>
          <w:rFonts w:hint="cs"/>
          <w:rtl/>
        </w:rPr>
        <w:t>نقش</w:t>
      </w:r>
      <w:r w:rsidRPr="0025250D">
        <w:rPr>
          <w:rtl/>
        </w:rPr>
        <w:t xml:space="preserve"> </w:t>
      </w:r>
      <w:r w:rsidRPr="0025250D">
        <w:rPr>
          <w:rFonts w:hint="cs"/>
          <w:rtl/>
        </w:rPr>
        <w:t>یک</w:t>
      </w:r>
      <w:r w:rsidRPr="0025250D">
        <w:rPr>
          <w:rtl/>
        </w:rPr>
        <w:t xml:space="preserve"> </w:t>
      </w:r>
      <w:r w:rsidRPr="0025250D">
        <w:rPr>
          <w:rFonts w:hint="cs"/>
          <w:rtl/>
        </w:rPr>
        <w:t>آینده‌پژوه</w:t>
      </w:r>
      <w:r w:rsidRPr="0025250D">
        <w:rPr>
          <w:rtl/>
        </w:rPr>
        <w:t xml:space="preserve"> </w:t>
      </w:r>
      <w:r w:rsidRPr="0025250D">
        <w:rPr>
          <w:rFonts w:hint="cs"/>
          <w:rtl/>
        </w:rPr>
        <w:t>ظاهر شده</w:t>
      </w:r>
      <w:r w:rsidR="009B16C9" w:rsidRPr="0025250D">
        <w:rPr>
          <w:rFonts w:hint="cs"/>
          <w:rtl/>
        </w:rPr>
        <w:t>‌</w:t>
      </w:r>
      <w:r w:rsidRPr="0025250D">
        <w:rPr>
          <w:rFonts w:hint="cs"/>
          <w:rtl/>
        </w:rPr>
        <w:t xml:space="preserve">ایم. به همین شکل است که بسیاری از ما در ابتدا در آینده‌اندیشی مشارکت می‌کنیم. اگرچه اغلب، همگی در نقش یک </w:t>
      </w:r>
      <w:r w:rsidRPr="0025250D">
        <w:rPr>
          <w:rtl/>
        </w:rPr>
        <w:t>آینده‌نگار</w:t>
      </w:r>
      <w:r w:rsidRPr="0025250D">
        <w:rPr>
          <w:rFonts w:hint="cs"/>
          <w:rtl/>
        </w:rPr>
        <w:t xml:space="preserve"> نیز برای دیگران، در برخی زمینه‌ها یا ظرفیت‌های تخصصی به آینده نگاه کرده‌ایم و آن را تحلیل کرده‌ایم. ما تعداد افرادی را که امروزه رسما به‌عنوان </w:t>
      </w:r>
      <w:r w:rsidRPr="0025250D">
        <w:rPr>
          <w:rtl/>
        </w:rPr>
        <w:t>آینده‌نگار</w:t>
      </w:r>
      <w:r w:rsidRPr="0025250D">
        <w:rPr>
          <w:rFonts w:hint="cs"/>
          <w:rtl/>
        </w:rPr>
        <w:t xml:space="preserve"> فعال هستند حداقل صد هزار برابر بیش از تعداد آینده‌پژوهان می‌دانیم. ارزش مالی کار </w:t>
      </w:r>
      <w:r w:rsidRPr="0025250D">
        <w:rPr>
          <w:rtl/>
        </w:rPr>
        <w:t>آینده‌نگار</w:t>
      </w:r>
      <w:r w:rsidRPr="0025250D">
        <w:rPr>
          <w:rFonts w:hint="cs"/>
          <w:rtl/>
        </w:rPr>
        <w:t xml:space="preserve">ان قطعا بیشتر از این مقدار است. روش‌های </w:t>
      </w:r>
      <w:r w:rsidRPr="0025250D">
        <w:rPr>
          <w:rtl/>
        </w:rPr>
        <w:t>آینده‌نگاری</w:t>
      </w:r>
      <w:r w:rsidRPr="0025250D">
        <w:rPr>
          <w:rFonts w:hint="cs"/>
          <w:rtl/>
        </w:rPr>
        <w:t xml:space="preserve"> رسمی نیز بسیار متنوع‌تر و تخصصی‌تر از روش‌های آینده‌اندیشی هستند. هر دو نقش حیاتی هستند و همپوشانی دارند، اما </w:t>
      </w:r>
      <w:r w:rsidRPr="0025250D">
        <w:rPr>
          <w:rtl/>
        </w:rPr>
        <w:t>آینده‌نگاری</w:t>
      </w:r>
      <w:r w:rsidRPr="0025250D">
        <w:rPr>
          <w:rFonts w:hint="cs"/>
          <w:rtl/>
        </w:rPr>
        <w:t xml:space="preserve"> تخصصی در خدمت مجموعه بسیار ارزشمند‌تر و متنوع تری از نیاز‌های اجتماعی نسبت به </w:t>
      </w:r>
      <w:r w:rsidRPr="0025250D">
        <w:rPr>
          <w:rtl/>
        </w:rPr>
        <w:t>آ</w:t>
      </w:r>
      <w:r w:rsidRPr="0025250D">
        <w:rPr>
          <w:rFonts w:hint="cs"/>
          <w:rtl/>
        </w:rPr>
        <w:t>ی</w:t>
      </w:r>
      <w:r w:rsidRPr="0025250D">
        <w:rPr>
          <w:rFonts w:hint="eastAsia"/>
          <w:rtl/>
        </w:rPr>
        <w:t>نده‌ورز</w:t>
      </w:r>
      <w:r w:rsidRPr="0025250D">
        <w:rPr>
          <w:rFonts w:hint="cs"/>
          <w:rtl/>
        </w:rPr>
        <w:t>ی می‌باشد.</w:t>
      </w:r>
    </w:p>
    <w:p w14:paraId="4EDFC096" w14:textId="583C421B" w:rsidR="0020732A" w:rsidRPr="0025250D" w:rsidRDefault="0020732A" w:rsidP="0020589F">
      <w:pPr>
        <w:rPr>
          <w:rtl/>
        </w:rPr>
      </w:pPr>
      <w:r w:rsidRPr="0025250D">
        <w:rPr>
          <w:rFonts w:hint="cs"/>
          <w:rtl/>
        </w:rPr>
        <w:t xml:space="preserve">ازنظر شخصیتی، بیش‌تر آینده‌پژوهان مانند روباه هستند؛ علاقه زیادی دارند که مطالب اندکی در مورد موضوعات مختلف بدانند و به دنبال آن هستند. تعداد کمی از آن‌ها مانند جوجه تیغی‌ها هستند که مطالب زیادی در مورد مواردی محدود می‌دانند. بیش‌تر </w:t>
      </w:r>
      <w:r w:rsidRPr="0025250D">
        <w:rPr>
          <w:rtl/>
        </w:rPr>
        <w:t>آینده‌نگار</w:t>
      </w:r>
      <w:r w:rsidRPr="0025250D">
        <w:rPr>
          <w:rFonts w:hint="cs"/>
          <w:rtl/>
        </w:rPr>
        <w:t>ان، در مقابل</w:t>
      </w:r>
      <w:r w:rsidR="008D6F97" w:rsidRPr="0025250D">
        <w:rPr>
          <w:rtl/>
        </w:rPr>
        <w:t xml:space="preserve"> </w:t>
      </w:r>
      <w:r w:rsidRPr="0025250D">
        <w:rPr>
          <w:rFonts w:hint="cs"/>
          <w:rtl/>
        </w:rPr>
        <w:t>تا</w:t>
      </w:r>
      <w:r w:rsidRPr="0025250D">
        <w:rPr>
          <w:rtl/>
        </w:rPr>
        <w:t xml:space="preserve"> </w:t>
      </w:r>
      <w:r w:rsidRPr="0025250D">
        <w:rPr>
          <w:rFonts w:hint="cs"/>
          <w:rtl/>
        </w:rPr>
        <w:t>جایی</w:t>
      </w:r>
      <w:r w:rsidRPr="0025250D">
        <w:rPr>
          <w:rtl/>
        </w:rPr>
        <w:t xml:space="preserve"> </w:t>
      </w:r>
      <w:r w:rsidRPr="0025250D">
        <w:rPr>
          <w:rFonts w:hint="cs"/>
          <w:rtl/>
        </w:rPr>
        <w:t>که</w:t>
      </w:r>
      <w:r w:rsidRPr="0025250D">
        <w:rPr>
          <w:rtl/>
        </w:rPr>
        <w:t xml:space="preserve"> </w:t>
      </w:r>
      <w:r w:rsidRPr="0025250D">
        <w:rPr>
          <w:rFonts w:hint="cs"/>
          <w:rtl/>
        </w:rPr>
        <w:t>تجارب</w:t>
      </w:r>
      <w:r w:rsidRPr="0025250D">
        <w:rPr>
          <w:rtl/>
        </w:rPr>
        <w:t xml:space="preserve"> </w:t>
      </w:r>
      <w:r w:rsidRPr="0025250D">
        <w:rPr>
          <w:rFonts w:hint="cs"/>
          <w:rtl/>
        </w:rPr>
        <w:t>گذشته</w:t>
      </w:r>
      <w:r w:rsidRPr="0025250D">
        <w:rPr>
          <w:rtl/>
        </w:rPr>
        <w:t xml:space="preserve"> </w:t>
      </w:r>
      <w:r w:rsidRPr="0025250D">
        <w:rPr>
          <w:rFonts w:hint="cs"/>
          <w:rtl/>
        </w:rPr>
        <w:t>و</w:t>
      </w:r>
      <w:r w:rsidRPr="0025250D">
        <w:rPr>
          <w:rtl/>
        </w:rPr>
        <w:t xml:space="preserve"> </w:t>
      </w:r>
      <w:r w:rsidRPr="0025250D">
        <w:rPr>
          <w:rFonts w:hint="cs"/>
          <w:rtl/>
        </w:rPr>
        <w:t>تخصصی</w:t>
      </w:r>
      <w:r w:rsidRPr="0025250D">
        <w:rPr>
          <w:rtl/>
        </w:rPr>
        <w:t xml:space="preserve"> </w:t>
      </w:r>
      <w:r w:rsidRPr="0025250D">
        <w:rPr>
          <w:rFonts w:hint="cs"/>
          <w:rtl/>
        </w:rPr>
        <w:t>آن‌ها</w:t>
      </w:r>
      <w:r w:rsidRPr="0025250D">
        <w:rPr>
          <w:rtl/>
        </w:rPr>
        <w:t xml:space="preserve"> </w:t>
      </w:r>
      <w:r w:rsidRPr="0025250D">
        <w:rPr>
          <w:rFonts w:hint="cs"/>
          <w:rtl/>
        </w:rPr>
        <w:t>اجازه</w:t>
      </w:r>
      <w:r w:rsidRPr="0025250D">
        <w:rPr>
          <w:rtl/>
        </w:rPr>
        <w:t xml:space="preserve"> </w:t>
      </w:r>
      <w:r w:rsidRPr="0025250D">
        <w:rPr>
          <w:rFonts w:hint="cs"/>
          <w:rtl/>
        </w:rPr>
        <w:t xml:space="preserve">دهد اول جوجه تیغی هستند و در درجه دوم روباه. برای مشاهده نوشته اصلی در مورد این دو نوع شخصیت به نوشته </w:t>
      </w:r>
      <w:r w:rsidR="0020589F" w:rsidRPr="0025250D">
        <w:rPr>
          <w:rtl/>
        </w:rPr>
        <w:t>«</w:t>
      </w:r>
      <w:r w:rsidRPr="0025250D">
        <w:rPr>
          <w:rFonts w:hint="cs"/>
          <w:rtl/>
        </w:rPr>
        <w:t>جوجه تیغی و روباه</w:t>
      </w:r>
      <w:r w:rsidRPr="0025250D">
        <w:rPr>
          <w:vertAlign w:val="superscript"/>
          <w:rtl/>
        </w:rPr>
        <w:footnoteReference w:id="188"/>
      </w:r>
      <w:r w:rsidR="0020589F" w:rsidRPr="0025250D">
        <w:rPr>
          <w:rtl/>
        </w:rPr>
        <w:t>»</w:t>
      </w:r>
      <w:r w:rsidRPr="0025250D">
        <w:rPr>
          <w:rFonts w:hint="cs"/>
          <w:rtl/>
        </w:rPr>
        <w:t xml:space="preserve"> (1953) توسط </w:t>
      </w:r>
      <w:r w:rsidRPr="0025250D">
        <w:rPr>
          <w:rtl/>
        </w:rPr>
        <w:t>آ</w:t>
      </w:r>
      <w:r w:rsidRPr="0025250D">
        <w:rPr>
          <w:rFonts w:hint="cs"/>
          <w:rtl/>
        </w:rPr>
        <w:t>ی</w:t>
      </w:r>
      <w:r w:rsidRPr="0025250D">
        <w:rPr>
          <w:rFonts w:hint="eastAsia"/>
          <w:rtl/>
        </w:rPr>
        <w:t>زا</w:t>
      </w:r>
      <w:r w:rsidRPr="0025250D">
        <w:rPr>
          <w:rFonts w:hint="cs"/>
          <w:rtl/>
        </w:rPr>
        <w:t>ی</w:t>
      </w:r>
      <w:r w:rsidRPr="0025250D">
        <w:rPr>
          <w:rFonts w:hint="eastAsia"/>
          <w:rtl/>
        </w:rPr>
        <w:t>ا</w:t>
      </w:r>
      <w:r w:rsidRPr="0025250D">
        <w:rPr>
          <w:rtl/>
        </w:rPr>
        <w:t xml:space="preserve"> برل</w:t>
      </w:r>
      <w:r w:rsidRPr="0025250D">
        <w:rPr>
          <w:rFonts w:hint="cs"/>
          <w:rtl/>
        </w:rPr>
        <w:t>ی</w:t>
      </w:r>
      <w:r w:rsidRPr="0025250D">
        <w:rPr>
          <w:rFonts w:hint="eastAsia"/>
          <w:rtl/>
        </w:rPr>
        <w:t>ن</w:t>
      </w:r>
      <w:r w:rsidRPr="0025250D">
        <w:rPr>
          <w:vertAlign w:val="superscript"/>
          <w:rtl/>
        </w:rPr>
        <w:footnoteReference w:id="189"/>
      </w:r>
      <w:r w:rsidRPr="0025250D">
        <w:rPr>
          <w:rFonts w:hint="cs"/>
          <w:rtl/>
        </w:rPr>
        <w:t xml:space="preserve"> مراجعه نمایید. چه خود را</w:t>
      </w:r>
      <w:r w:rsidRPr="0025250D">
        <w:t xml:space="preserve"> </w:t>
      </w:r>
      <w:r w:rsidRPr="0025250D">
        <w:rPr>
          <w:rFonts w:hint="cs"/>
          <w:rtl/>
        </w:rPr>
        <w:t xml:space="preserve">آینده‌پژوه بنامیم و چه </w:t>
      </w:r>
      <w:r w:rsidRPr="0025250D">
        <w:rPr>
          <w:rtl/>
        </w:rPr>
        <w:t>آینده‌نگار</w:t>
      </w:r>
      <w:r w:rsidRPr="0025250D">
        <w:rPr>
          <w:rFonts w:hint="cs"/>
          <w:rtl/>
        </w:rPr>
        <w:t xml:space="preserve">، مطابق اصطلاح ایجاد شده توسط </w:t>
      </w:r>
      <w:r w:rsidRPr="0025250D">
        <w:rPr>
          <w:rtl/>
        </w:rPr>
        <w:t>د</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rtl/>
        </w:rPr>
        <w:t xml:space="preserve"> </w:t>
      </w:r>
      <w:r w:rsidRPr="0025250D">
        <w:rPr>
          <w:rFonts w:hint="cs"/>
          <w:rtl/>
        </w:rPr>
        <w:t>گست</w:t>
      </w:r>
      <w:r w:rsidRPr="0025250D">
        <w:rPr>
          <w:vertAlign w:val="superscript"/>
          <w:rtl/>
        </w:rPr>
        <w:footnoteReference w:id="190"/>
      </w:r>
      <w:r w:rsidRPr="0025250D">
        <w:rPr>
          <w:rFonts w:hint="cs"/>
          <w:rtl/>
        </w:rPr>
        <w:t xml:space="preserve">، باید به دنبال این باشیم که به شکل </w:t>
      </w:r>
      <w:r w:rsidR="0020589F" w:rsidRPr="0025250D">
        <w:rPr>
          <w:rFonts w:hint="cs"/>
          <w:rtl/>
        </w:rPr>
        <w:t>«</w:t>
      </w:r>
      <w:r w:rsidRPr="0025250D">
        <w:t>T</w:t>
      </w:r>
      <w:r w:rsidR="0020589F" w:rsidRPr="0025250D">
        <w:rPr>
          <w:rFonts w:hint="cs"/>
          <w:rtl/>
        </w:rPr>
        <w:t>»</w:t>
      </w:r>
      <w:r w:rsidRPr="0025250D">
        <w:rPr>
          <w:rFonts w:hint="cs"/>
          <w:rtl/>
        </w:rPr>
        <w:t xml:space="preserve"> (</w:t>
      </w:r>
      <w:r w:rsidR="0020589F" w:rsidRPr="0025250D">
        <w:rPr>
          <w:rFonts w:hint="cs"/>
          <w:rtl/>
        </w:rPr>
        <w:t>ی</w:t>
      </w:r>
      <w:r w:rsidR="0020589F" w:rsidRPr="0025250D">
        <w:rPr>
          <w:rFonts w:hint="eastAsia"/>
          <w:rtl/>
        </w:rPr>
        <w:t>ا</w:t>
      </w:r>
      <w:r w:rsidRPr="0025250D">
        <w:rPr>
          <w:rFonts w:hint="cs"/>
          <w:rtl/>
        </w:rPr>
        <w:t xml:space="preserve"> </w:t>
      </w:r>
      <w:r w:rsidR="0020589F" w:rsidRPr="0025250D">
        <w:rPr>
          <w:rtl/>
        </w:rPr>
        <w:t>«</w:t>
      </w:r>
      <w:r w:rsidR="00EB4C46" w:rsidRPr="0025250D">
        <w:rPr>
          <w:rFonts w:hint="cs"/>
          <w:rtl/>
        </w:rPr>
        <w:t xml:space="preserve"> شکل </w:t>
      </w:r>
      <w:r w:rsidRPr="0025250D">
        <w:rPr>
          <w:rFonts w:hint="cs"/>
          <w:rtl/>
        </w:rPr>
        <w:t>سپر و شمشیر</w:t>
      </w:r>
      <w:r w:rsidRPr="0025250D">
        <w:rPr>
          <w:vertAlign w:val="superscript"/>
          <w:rtl/>
        </w:rPr>
        <w:footnoteReference w:id="191"/>
      </w:r>
      <w:r w:rsidR="0020589F" w:rsidRPr="0025250D">
        <w:rPr>
          <w:rtl/>
        </w:rPr>
        <w:t>»</w:t>
      </w:r>
      <w:r w:rsidRPr="0025250D">
        <w:rPr>
          <w:rFonts w:hint="cs"/>
          <w:rtl/>
        </w:rPr>
        <w:t xml:space="preserve">) باشیم. خط افقی </w:t>
      </w:r>
      <w:r w:rsidRPr="0025250D">
        <w:t>T</w:t>
      </w:r>
      <w:r w:rsidRPr="0025250D">
        <w:rPr>
          <w:rFonts w:hint="cs"/>
          <w:rtl/>
        </w:rPr>
        <w:t xml:space="preserve"> (سپر ما، یا قبضه شمشیر ما) ویژگی‌های </w:t>
      </w:r>
      <w:r w:rsidR="0020589F" w:rsidRPr="0025250D">
        <w:rPr>
          <w:rtl/>
        </w:rPr>
        <w:t>«</w:t>
      </w:r>
      <w:r w:rsidRPr="0025250D">
        <w:rPr>
          <w:rFonts w:hint="cs"/>
          <w:rtl/>
        </w:rPr>
        <w:t>روباه مانند</w:t>
      </w:r>
      <w:r w:rsidR="0020589F" w:rsidRPr="0025250D">
        <w:rPr>
          <w:rtl/>
        </w:rPr>
        <w:t>»</w:t>
      </w:r>
      <w:r w:rsidRPr="0025250D">
        <w:rPr>
          <w:rFonts w:hint="cs"/>
          <w:rtl/>
        </w:rPr>
        <w:t xml:space="preserve"> ما را نشان می‌دهد </w:t>
      </w:r>
      <w:r w:rsidRPr="0025250D">
        <w:rPr>
          <w:rFonts w:cs="Times New Roman" w:hint="cs"/>
          <w:rtl/>
        </w:rPr>
        <w:t>–</w:t>
      </w:r>
      <w:r w:rsidRPr="0025250D">
        <w:rPr>
          <w:rFonts w:hint="cs"/>
          <w:rtl/>
        </w:rPr>
        <w:t xml:space="preserve"> که به معنی میزان درک گسترده ما از روش‌های </w:t>
      </w:r>
      <w:r w:rsidRPr="0025250D">
        <w:rPr>
          <w:rtl/>
        </w:rPr>
        <w:t>آینده‌نگاری</w:t>
      </w:r>
      <w:r w:rsidRPr="0025250D">
        <w:rPr>
          <w:rFonts w:hint="cs"/>
          <w:rtl/>
        </w:rPr>
        <w:t xml:space="preserve"> مرتبط، موضوعات آینده و همکاری ما در رشته‌هایی خارج از رشته خودمان است. خط عمودی </w:t>
      </w:r>
      <w:r w:rsidRPr="0025250D">
        <w:t>T</w:t>
      </w:r>
      <w:r w:rsidRPr="0025250D">
        <w:rPr>
          <w:rFonts w:hint="cs"/>
          <w:rtl/>
        </w:rPr>
        <w:t xml:space="preserve"> (تیغه شمشیرمان) نشان دهنده ویژگی‌های </w:t>
      </w:r>
      <w:r w:rsidR="0020589F" w:rsidRPr="0025250D">
        <w:rPr>
          <w:rtl/>
        </w:rPr>
        <w:t>«</w:t>
      </w:r>
      <w:r w:rsidRPr="0025250D">
        <w:rPr>
          <w:rFonts w:hint="cs"/>
          <w:rtl/>
        </w:rPr>
        <w:t>جوجه تیغی مانند</w:t>
      </w:r>
      <w:r w:rsidR="0020589F" w:rsidRPr="0025250D">
        <w:rPr>
          <w:rtl/>
        </w:rPr>
        <w:t>»</w:t>
      </w:r>
      <w:r w:rsidRPr="0025250D">
        <w:rPr>
          <w:rFonts w:hint="cs"/>
          <w:rtl/>
        </w:rPr>
        <w:t xml:space="preserve"> ماست </w:t>
      </w:r>
      <w:r w:rsidRPr="0025250D">
        <w:rPr>
          <w:rFonts w:cs="Times New Roman" w:hint="cs"/>
          <w:rtl/>
        </w:rPr>
        <w:t>–</w:t>
      </w:r>
      <w:r w:rsidRPr="0025250D">
        <w:rPr>
          <w:rFonts w:hint="cs"/>
          <w:rtl/>
        </w:rPr>
        <w:t xml:space="preserve"> یعنی، توانایی‌های تخصصی، اعتبارنامه‌ها و روش‌های عملی ما. همین استعداد‌های جوجه تیغی مانند است که برای </w:t>
      </w:r>
      <w:r w:rsidR="0020589F" w:rsidRPr="0025250D">
        <w:rPr>
          <w:rtl/>
        </w:rPr>
        <w:t>«</w:t>
      </w:r>
      <w:r w:rsidRPr="0025250D">
        <w:rPr>
          <w:rFonts w:hint="cs"/>
          <w:rtl/>
        </w:rPr>
        <w:t>برش</w:t>
      </w:r>
      <w:r w:rsidR="0020589F" w:rsidRPr="0025250D">
        <w:rPr>
          <w:rtl/>
        </w:rPr>
        <w:t>»</w:t>
      </w:r>
      <w:r w:rsidRPr="0025250D">
        <w:rPr>
          <w:rFonts w:hint="cs"/>
          <w:rtl/>
        </w:rPr>
        <w:t xml:space="preserve"> مسائل و معمولاً برای ایجاد بیش‌ترین ارزش برای دیگران از آن‌ها استفاده می‌کنیم.</w:t>
      </w:r>
    </w:p>
    <w:p w14:paraId="78EC12E8" w14:textId="77777777" w:rsidR="0020732A" w:rsidRPr="0025250D" w:rsidRDefault="0020732A" w:rsidP="00EB4C46">
      <w:pPr>
        <w:jc w:val="center"/>
        <w:rPr>
          <w:rtl/>
        </w:rPr>
      </w:pPr>
      <w:r w:rsidRPr="0025250D">
        <w:rPr>
          <w:noProof/>
          <w:rtl/>
          <w:lang w:bidi="ar-SA"/>
        </w:rPr>
        <w:lastRenderedPageBreak/>
        <w:drawing>
          <wp:inline distT="0" distB="0" distL="0" distR="0" wp14:anchorId="5F2649E5" wp14:editId="5AEDCB01">
            <wp:extent cx="4660895" cy="2289175"/>
            <wp:effectExtent l="0" t="0" r="6985" b="0"/>
            <wp:docPr id="24" name="Picture 24" descr="D:\کار\مستقل\3 ( ترجمه ی دانشگاه تهران  )\Introduction to Foresight\part1\6-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کار\مستقل\3 ( ترجمه ی دانشگاه تهران  )\Introduction to Foresight\part1\6-new.png"/>
                    <pic:cNvPicPr>
                      <a:picLocks noChangeAspect="1" noChangeArrowheads="1"/>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4666710" cy="2292031"/>
                    </a:xfrm>
                    <a:prstGeom prst="rect">
                      <a:avLst/>
                    </a:prstGeom>
                    <a:noFill/>
                    <a:ln>
                      <a:noFill/>
                    </a:ln>
                    <a:extLst>
                      <a:ext uri="{53640926-AAD7-44D8-BBD7-CCE9431645EC}">
                        <a14:shadowObscured xmlns:a14="http://schemas.microsoft.com/office/drawing/2010/main"/>
                      </a:ext>
                    </a:extLst>
                  </pic:spPr>
                </pic:pic>
              </a:graphicData>
            </a:graphic>
          </wp:inline>
        </w:drawing>
      </w:r>
    </w:p>
    <w:p w14:paraId="139E3503" w14:textId="5CD1434B" w:rsidR="0020732A" w:rsidRPr="0025250D" w:rsidRDefault="0020732A" w:rsidP="0020732A">
      <w:pPr>
        <w:rPr>
          <w:rtl/>
        </w:rPr>
      </w:pPr>
      <w:r w:rsidRPr="0025250D">
        <w:rPr>
          <w:rFonts w:hint="cs"/>
          <w:rtl/>
        </w:rPr>
        <w:t>رهبران خوب هر دو نوع ویژگی را دارند.</w:t>
      </w:r>
      <w:r w:rsidR="0020589F" w:rsidRPr="0025250D">
        <w:rPr>
          <w:rtl/>
        </w:rPr>
        <w:t xml:space="preserve"> آن</w:t>
      </w:r>
      <w:r w:rsidRPr="0025250D">
        <w:rPr>
          <w:rFonts w:hint="cs"/>
          <w:rtl/>
        </w:rPr>
        <w:t>‌ها از سپرها و شمشیر‌ها استفاده می‌کنند. پس از این‌که به شکل</w:t>
      </w:r>
      <w:r w:rsidR="008D6F97" w:rsidRPr="0025250D">
        <w:rPr>
          <w:rtl/>
        </w:rPr>
        <w:t xml:space="preserve"> </w:t>
      </w:r>
      <w:r w:rsidRPr="0025250D">
        <w:t>T</w:t>
      </w:r>
      <w:r w:rsidRPr="0025250D">
        <w:rPr>
          <w:rFonts w:hint="cs"/>
          <w:rtl/>
        </w:rPr>
        <w:t xml:space="preserve"> درآمدیم، با درکی کارآمد و گسترده از سازمان و محیط خود و یک تیغه برنده خوب (تخصصی که در آن به مهارت رسیده ایم)، می‌توانیم برای تبدیل‌شدن به شکل </w:t>
      </w:r>
      <w:r w:rsidR="0020589F" w:rsidRPr="0025250D">
        <w:rPr>
          <w:rtl/>
        </w:rPr>
        <w:t>«</w:t>
      </w:r>
      <w:r w:rsidRPr="0025250D">
        <w:rPr>
          <w:rFonts w:hint="cs"/>
          <w:rtl/>
        </w:rPr>
        <w:t>ستاره</w:t>
      </w:r>
      <w:r w:rsidRPr="0025250D">
        <w:rPr>
          <w:vertAlign w:val="superscript"/>
          <w:rtl/>
        </w:rPr>
        <w:footnoteReference w:id="192"/>
      </w:r>
      <w:r w:rsidR="0020589F" w:rsidRPr="0025250D">
        <w:rPr>
          <w:rtl/>
        </w:rPr>
        <w:t>»</w:t>
      </w:r>
      <w:r w:rsidRPr="0025250D">
        <w:rPr>
          <w:rFonts w:hint="cs"/>
          <w:rtl/>
        </w:rPr>
        <w:t xml:space="preserve"> تلاش کنیم و تجربه و اعتبار بیش‌تری در زمینه‌های تخصصی بیش‌تر کسب کنیم. یک هدف اقدام بلندمدت این است که به فردی همه‌چیز دان</w:t>
      </w:r>
      <w:r w:rsidRPr="0025250D">
        <w:rPr>
          <w:vertAlign w:val="superscript"/>
          <w:rtl/>
        </w:rPr>
        <w:footnoteReference w:id="193"/>
      </w:r>
      <w:r w:rsidR="008D6F97" w:rsidRPr="0025250D">
        <w:rPr>
          <w:rtl/>
        </w:rPr>
        <w:t xml:space="preserve"> </w:t>
      </w:r>
      <w:r w:rsidRPr="0025250D">
        <w:rPr>
          <w:rFonts w:hint="cs"/>
          <w:rtl/>
        </w:rPr>
        <w:t xml:space="preserve">(یا </w:t>
      </w:r>
      <w:r w:rsidR="0020589F" w:rsidRPr="0025250D">
        <w:rPr>
          <w:rtl/>
        </w:rPr>
        <w:t>«</w:t>
      </w:r>
      <w:r w:rsidRPr="0025250D">
        <w:rPr>
          <w:rFonts w:hint="cs"/>
          <w:rtl/>
        </w:rPr>
        <w:t>مردم رنسانس</w:t>
      </w:r>
      <w:r w:rsidRPr="0025250D">
        <w:rPr>
          <w:vertAlign w:val="superscript"/>
          <w:rtl/>
        </w:rPr>
        <w:footnoteReference w:id="194"/>
      </w:r>
      <w:r w:rsidR="0020589F" w:rsidRPr="0025250D">
        <w:rPr>
          <w:rtl/>
        </w:rPr>
        <w:t>»</w:t>
      </w:r>
      <w:r w:rsidRPr="0025250D">
        <w:rPr>
          <w:rFonts w:hint="cs"/>
          <w:rtl/>
        </w:rPr>
        <w:t xml:space="preserve">) تبدیل شویم و در تعداد زیادی از رشته ‌ها، صنایع و تخصص‌های </w:t>
      </w:r>
      <w:r w:rsidRPr="0025250D">
        <w:rPr>
          <w:rtl/>
        </w:rPr>
        <w:t>آینده‌نگاری</w:t>
      </w:r>
      <w:r w:rsidRPr="0025250D">
        <w:rPr>
          <w:rFonts w:hint="cs"/>
          <w:rtl/>
        </w:rPr>
        <w:t xml:space="preserve"> تجربه کسب کنیم. برای هر کسی که خودآموخته</w:t>
      </w:r>
      <w:r w:rsidRPr="0025250D">
        <w:rPr>
          <w:vertAlign w:val="superscript"/>
          <w:rtl/>
        </w:rPr>
        <w:footnoteReference w:id="195"/>
      </w:r>
      <w:r w:rsidR="0020589F" w:rsidRPr="0025250D">
        <w:rPr>
          <w:rtl/>
        </w:rPr>
        <w:t xml:space="preserve"> باشد</w:t>
      </w:r>
      <w:r w:rsidRPr="0025250D">
        <w:rPr>
          <w:rFonts w:hint="cs"/>
          <w:rtl/>
        </w:rPr>
        <w:t xml:space="preserve"> (فردی که از یادگیری خودآموز لذت می‌برد)، تبدیل‌شدن به یک فرد همه‌چیز دان هدفی قابل دسترس و مطلوب است.</w:t>
      </w:r>
    </w:p>
    <w:p w14:paraId="376468C4" w14:textId="7B06367D" w:rsidR="0020732A" w:rsidRPr="0025250D" w:rsidRDefault="0020732A" w:rsidP="0020732A">
      <w:pPr>
        <w:rPr>
          <w:rtl/>
        </w:rPr>
      </w:pPr>
      <w:r w:rsidRPr="0025250D">
        <w:rPr>
          <w:rFonts w:hint="cs"/>
          <w:rtl/>
        </w:rPr>
        <w:t xml:space="preserve">در فصل 2، بیست تخصص را برای کار </w:t>
      </w:r>
      <w:r w:rsidRPr="0025250D">
        <w:rPr>
          <w:rtl/>
        </w:rPr>
        <w:t>آینده‌نگاری</w:t>
      </w:r>
      <w:r w:rsidRPr="0025250D">
        <w:rPr>
          <w:rFonts w:hint="cs"/>
          <w:rtl/>
        </w:rPr>
        <w:t xml:space="preserve"> در مدیریت </w:t>
      </w:r>
      <w:r w:rsidR="00701E03" w:rsidRPr="0025250D">
        <w:rPr>
          <w:rFonts w:hint="cs"/>
          <w:rtl/>
        </w:rPr>
        <w:t>راهبردی</w:t>
      </w:r>
      <w:r w:rsidRPr="0025250D">
        <w:rPr>
          <w:rFonts w:hint="cs"/>
          <w:rtl/>
        </w:rPr>
        <w:t xml:space="preserve"> معرفی خواهیم کرد. اصولا، این موارد چهل تخصص را دربرمی گیرند که هر یک مجموعه‌ای از دو تخصص هستند که به‌خوبی با هم در یک سازمان کار می‌کنند</w:t>
      </w:r>
      <w:r w:rsidR="008D6F97" w:rsidRPr="0025250D">
        <w:rPr>
          <w:rtl/>
        </w:rPr>
        <w:t xml:space="preserve">؛ </w:t>
      </w:r>
      <w:r w:rsidR="0020589F" w:rsidRPr="0025250D">
        <w:rPr>
          <w:rtl/>
        </w:rPr>
        <w:t>اما</w:t>
      </w:r>
      <w:r w:rsidRPr="0025250D">
        <w:rPr>
          <w:rFonts w:hint="cs"/>
          <w:rtl/>
        </w:rPr>
        <w:t xml:space="preserve"> از آنجا که هر جفت تخصص ارتباط نزدیکی با هم دارند، ما آن‌ها را برای سادگی بیست تخصص در نظر می‌گیریم. کسب مهارت در هر یک از این تخصص‌ها دروازه خوبی برای ورود به کار </w:t>
      </w:r>
      <w:r w:rsidRPr="0025250D">
        <w:rPr>
          <w:rtl/>
        </w:rPr>
        <w:t>آینده‌نگاری</w:t>
      </w:r>
      <w:r w:rsidRPr="0025250D">
        <w:rPr>
          <w:rFonts w:hint="cs"/>
          <w:rtl/>
        </w:rPr>
        <w:t xml:space="preserve"> تخصصی در یک تیم و یک سازمان است. کسب تجربه در موارد متعدد می‌تواند ارزش، اعتبار</w:t>
      </w:r>
      <w:r w:rsidR="008D6F97" w:rsidRPr="0025250D">
        <w:rPr>
          <w:rtl/>
        </w:rPr>
        <w:t xml:space="preserve"> </w:t>
      </w:r>
      <w:r w:rsidRPr="0025250D">
        <w:rPr>
          <w:rFonts w:hint="cs"/>
          <w:rtl/>
        </w:rPr>
        <w:t xml:space="preserve">و </w:t>
      </w:r>
      <w:r w:rsidR="00923DDB" w:rsidRPr="0025250D">
        <w:rPr>
          <w:rFonts w:hint="cs"/>
          <w:rtl/>
        </w:rPr>
        <w:t>اثربخشی</w:t>
      </w:r>
      <w:r w:rsidRPr="0025250D">
        <w:rPr>
          <w:rFonts w:hint="cs"/>
          <w:rtl/>
        </w:rPr>
        <w:t xml:space="preserve"> ما را به‌عنوان کارمند، مدیر و رهبر بهبود بخشد.</w:t>
      </w:r>
    </w:p>
    <w:p w14:paraId="2213F548" w14:textId="0B436766" w:rsidR="0020732A" w:rsidRPr="0025250D" w:rsidRDefault="007118DE" w:rsidP="0020732A">
      <w:pPr>
        <w:rPr>
          <w:rtl/>
        </w:rPr>
      </w:pPr>
      <w:r w:rsidRPr="0025250D">
        <w:rPr>
          <w:rFonts w:hint="cs"/>
          <w:rtl/>
        </w:rPr>
        <w:t>همان‌طور</w:t>
      </w:r>
      <w:r w:rsidR="0020732A" w:rsidRPr="0025250D">
        <w:rPr>
          <w:rFonts w:hint="cs"/>
          <w:rtl/>
        </w:rPr>
        <w:t>که تخصص</w:t>
      </w:r>
      <w:r w:rsidR="00EB4C46" w:rsidRPr="0025250D">
        <w:rPr>
          <w:rFonts w:hint="cs"/>
          <w:rtl/>
        </w:rPr>
        <w:t>‌</w:t>
      </w:r>
      <w:r w:rsidR="0020732A" w:rsidRPr="0025250D">
        <w:rPr>
          <w:rFonts w:hint="cs"/>
          <w:rtl/>
        </w:rPr>
        <w:t xml:space="preserve">هایمان را می‌آموزیم، باید مراقب باشیم که بیش از حد تخصصی نشویم. اسطوره کتاب‌های علمی تخیلی </w:t>
      </w:r>
      <w:r w:rsidR="0020732A" w:rsidRPr="0025250D">
        <w:rPr>
          <w:rtl/>
        </w:rPr>
        <w:t>رابرت ها</w:t>
      </w:r>
      <w:r w:rsidR="0020732A" w:rsidRPr="0025250D">
        <w:rPr>
          <w:rFonts w:hint="cs"/>
          <w:rtl/>
        </w:rPr>
        <w:t>ی</w:t>
      </w:r>
      <w:r w:rsidR="0020732A" w:rsidRPr="0025250D">
        <w:rPr>
          <w:rFonts w:hint="eastAsia"/>
          <w:rtl/>
        </w:rPr>
        <w:t>ن</w:t>
      </w:r>
      <w:r w:rsidR="0020732A" w:rsidRPr="0025250D">
        <w:rPr>
          <w:rtl/>
        </w:rPr>
        <w:t xml:space="preserve"> لا</w:t>
      </w:r>
      <w:r w:rsidR="0020732A" w:rsidRPr="0025250D">
        <w:rPr>
          <w:rFonts w:hint="cs"/>
          <w:rtl/>
        </w:rPr>
        <w:t>ی</w:t>
      </w:r>
      <w:r w:rsidR="0020732A" w:rsidRPr="0025250D">
        <w:rPr>
          <w:rFonts w:hint="eastAsia"/>
          <w:rtl/>
        </w:rPr>
        <w:t>ن</w:t>
      </w:r>
      <w:r w:rsidR="0020732A" w:rsidRPr="0025250D">
        <w:rPr>
          <w:vertAlign w:val="superscript"/>
          <w:rtl/>
        </w:rPr>
        <w:footnoteReference w:id="196"/>
      </w:r>
      <w:r w:rsidR="0020732A" w:rsidRPr="0025250D">
        <w:rPr>
          <w:rFonts w:hint="cs"/>
          <w:rtl/>
        </w:rPr>
        <w:t xml:space="preserve"> در سخن مشهور خود می‌گوید: </w:t>
      </w:r>
      <w:r w:rsidR="0020589F" w:rsidRPr="0025250D">
        <w:rPr>
          <w:rtl/>
        </w:rPr>
        <w:t>«</w:t>
      </w:r>
      <w:r w:rsidR="0020732A" w:rsidRPr="0025250D">
        <w:rPr>
          <w:rFonts w:hint="cs"/>
          <w:rtl/>
        </w:rPr>
        <w:t>تخصصی شدن بیش از حد برای حشرات است</w:t>
      </w:r>
      <w:r w:rsidR="0020589F" w:rsidRPr="0025250D">
        <w:rPr>
          <w:rtl/>
        </w:rPr>
        <w:t>»</w:t>
      </w:r>
      <w:r w:rsidR="0020732A" w:rsidRPr="0025250D">
        <w:rPr>
          <w:rFonts w:hint="cs"/>
          <w:rtl/>
        </w:rPr>
        <w:t>. درسی که پیشرفت خیره کننده بشریت به ما می‌دهد این است که هوش عمومی</w:t>
      </w:r>
      <w:r w:rsidR="0020732A" w:rsidRPr="0025250D">
        <w:rPr>
          <w:vertAlign w:val="superscript"/>
          <w:rtl/>
        </w:rPr>
        <w:footnoteReference w:id="197"/>
      </w:r>
      <w:r w:rsidR="0020732A" w:rsidRPr="0025250D">
        <w:rPr>
          <w:rFonts w:hint="cs"/>
          <w:rtl/>
        </w:rPr>
        <w:t xml:space="preserve"> ما را قادر می‌سازد که </w:t>
      </w:r>
      <w:r w:rsidR="00AE5BE0" w:rsidRPr="0025250D">
        <w:rPr>
          <w:rFonts w:hint="cs"/>
          <w:rtl/>
        </w:rPr>
        <w:t>انطباق</w:t>
      </w:r>
      <w:r w:rsidR="0020732A" w:rsidRPr="0025250D">
        <w:rPr>
          <w:rFonts w:hint="cs"/>
          <w:rtl/>
        </w:rPr>
        <w:t xml:space="preserve"> عمومی داشته باشیم. بشریت یک هوش عمومی مشخص را به‌مرور زمان توسعه داده است؛ هوشی که به ما برای تلاش </w:t>
      </w:r>
      <w:r w:rsidR="00EB4C46" w:rsidRPr="0025250D">
        <w:rPr>
          <w:rFonts w:hint="cs"/>
          <w:rtl/>
        </w:rPr>
        <w:t>جهت</w:t>
      </w:r>
      <w:r w:rsidR="0020732A" w:rsidRPr="0025250D">
        <w:rPr>
          <w:rFonts w:hint="cs"/>
          <w:rtl/>
        </w:rPr>
        <w:t xml:space="preserve"> ترقی در وسیع‌ترین گستره محیط</w:t>
      </w:r>
      <w:r w:rsidR="00EB4C46" w:rsidRPr="0025250D">
        <w:rPr>
          <w:rFonts w:hint="cs"/>
          <w:rtl/>
        </w:rPr>
        <w:t>‌</w:t>
      </w:r>
      <w:r w:rsidR="0020732A" w:rsidRPr="0025250D">
        <w:rPr>
          <w:rFonts w:hint="cs"/>
          <w:rtl/>
        </w:rPr>
        <w:t>ها، تحت چالش‌های متنوع کمک می‌کند. در جهان رقابتی ما، همه ما باید تخصص‌هایی را برای پرداختن هزینه قبض‌ها و زندگیمان یاد بگیریم</w:t>
      </w:r>
      <w:r w:rsidR="008D6F97" w:rsidRPr="0025250D">
        <w:rPr>
          <w:rtl/>
        </w:rPr>
        <w:t xml:space="preserve">؛ </w:t>
      </w:r>
      <w:r w:rsidR="0020732A" w:rsidRPr="0025250D">
        <w:rPr>
          <w:rFonts w:hint="cs"/>
          <w:rtl/>
        </w:rPr>
        <w:t xml:space="preserve">اما هم </w:t>
      </w:r>
      <w:r w:rsidR="0020732A" w:rsidRPr="0025250D">
        <w:rPr>
          <w:rtl/>
        </w:rPr>
        <w:t>آ</w:t>
      </w:r>
      <w:r w:rsidR="0020732A" w:rsidRPr="0025250D">
        <w:rPr>
          <w:rFonts w:hint="cs"/>
          <w:rtl/>
        </w:rPr>
        <w:t>ی</w:t>
      </w:r>
      <w:r w:rsidR="0020732A" w:rsidRPr="0025250D">
        <w:rPr>
          <w:rFonts w:hint="eastAsia"/>
          <w:rtl/>
        </w:rPr>
        <w:t>نده‏گرا</w:t>
      </w:r>
      <w:r w:rsidR="0020732A" w:rsidRPr="0025250D">
        <w:rPr>
          <w:rFonts w:hint="cs"/>
          <w:rtl/>
        </w:rPr>
        <w:t xml:space="preserve">یی و هم </w:t>
      </w:r>
      <w:r w:rsidR="0020732A" w:rsidRPr="0025250D">
        <w:rPr>
          <w:rtl/>
        </w:rPr>
        <w:t>آینده‌نگاری</w:t>
      </w:r>
      <w:r w:rsidR="0020732A" w:rsidRPr="0025250D">
        <w:rPr>
          <w:rFonts w:hint="cs"/>
          <w:rtl/>
        </w:rPr>
        <w:t xml:space="preserve"> تخصصی نیز به دانش عمومی در شش دامنه بیان شده و شبکه‌ای متنوع از حیث تجربه، مهارت و شناخت از کارسپاران و همکارانی که بتوانند با ما برای حل مسائل همکاری و مشارکت کرده و بازخورد منتقدانه‌ای برای </w:t>
      </w:r>
      <w:r w:rsidR="0020732A" w:rsidRPr="0025250D">
        <w:rPr>
          <w:rtl/>
        </w:rPr>
        <w:t>آینده‌نگاری</w:t>
      </w:r>
      <w:r w:rsidR="0020732A" w:rsidRPr="0025250D">
        <w:rPr>
          <w:rFonts w:hint="cs"/>
          <w:rtl/>
        </w:rPr>
        <w:t xml:space="preserve"> ایجاد شده توسط ما ارائه دهند، نیاز دارند.</w:t>
      </w:r>
    </w:p>
    <w:p w14:paraId="72B588F8" w14:textId="77777777" w:rsidR="0020732A" w:rsidRPr="0025250D" w:rsidRDefault="0020732A" w:rsidP="00EB4C46">
      <w:pPr>
        <w:jc w:val="center"/>
        <w:rPr>
          <w:rtl/>
        </w:rPr>
      </w:pPr>
      <w:r w:rsidRPr="0025250D">
        <w:rPr>
          <w:noProof/>
          <w:lang w:bidi="ar-SA"/>
        </w:rPr>
        <w:lastRenderedPageBreak/>
        <w:drawing>
          <wp:inline distT="0" distB="0" distL="0" distR="0" wp14:anchorId="6F91C605" wp14:editId="50E227D2">
            <wp:extent cx="4611756" cy="23633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screen">
                      <a:extLst>
                        <a:ext uri="{BEBA8EAE-BF5A-486C-A8C5-ECC9F3942E4B}">
                          <a14:imgProps xmlns:a14="http://schemas.microsoft.com/office/drawing/2010/main">
                            <a14:imgLayer r:embed="rId19">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4632634" cy="2374009"/>
                    </a:xfrm>
                    <a:prstGeom prst="rect">
                      <a:avLst/>
                    </a:prstGeom>
                    <a:noFill/>
                  </pic:spPr>
                </pic:pic>
              </a:graphicData>
            </a:graphic>
          </wp:inline>
        </w:drawing>
      </w:r>
    </w:p>
    <w:p w14:paraId="39548CAD" w14:textId="04B4FAED" w:rsidR="0020732A" w:rsidRPr="0025250D" w:rsidRDefault="0020732A" w:rsidP="00537CC8">
      <w:pPr>
        <w:jc w:val="center"/>
        <w:rPr>
          <w:rtl/>
        </w:rPr>
      </w:pPr>
      <w:r w:rsidRPr="0025250D">
        <w:rPr>
          <w:rFonts w:hint="cs"/>
          <w:rtl/>
        </w:rPr>
        <w:t>یک دیدگاه از یک فرد ستاره</w:t>
      </w:r>
      <w:r w:rsidR="00050985" w:rsidRPr="0025250D">
        <w:rPr>
          <w:rFonts w:hint="cs"/>
          <w:rtl/>
        </w:rPr>
        <w:t xml:space="preserve"> </w:t>
      </w:r>
      <w:r w:rsidRPr="0025250D">
        <w:rPr>
          <w:rFonts w:hint="cs"/>
          <w:rtl/>
        </w:rPr>
        <w:t>شکل</w:t>
      </w:r>
    </w:p>
    <w:p w14:paraId="7BA5A8FA" w14:textId="60E7C46E" w:rsidR="0020732A" w:rsidRPr="0025250D" w:rsidRDefault="0020732A" w:rsidP="00516B66">
      <w:pPr>
        <w:rPr>
          <w:rtl/>
        </w:rPr>
      </w:pPr>
      <w:r w:rsidRPr="0025250D">
        <w:rPr>
          <w:rFonts w:hint="cs"/>
          <w:rtl/>
        </w:rPr>
        <w:t>بار دیگر، همه ما این دو نقش را بار‌ها بازی می‌کنیم، نقش آینده‌پژوه (آینده‌اندیش، چشم‌اندازگرا</w:t>
      </w:r>
      <w:r w:rsidR="00582E8D" w:rsidRPr="0025250D">
        <w:rPr>
          <w:rStyle w:val="FootnoteReference"/>
          <w:rtl/>
        </w:rPr>
        <w:footnoteReference w:id="198"/>
      </w:r>
      <w:r w:rsidRPr="0025250D">
        <w:rPr>
          <w:rFonts w:hint="cs"/>
          <w:rtl/>
        </w:rPr>
        <w:t xml:space="preserve">، داستان سرا، تحریک کننده) و </w:t>
      </w:r>
      <w:r w:rsidRPr="0025250D">
        <w:rPr>
          <w:rtl/>
        </w:rPr>
        <w:t>آینده‌نگار</w:t>
      </w:r>
      <w:r w:rsidRPr="0025250D">
        <w:rPr>
          <w:rFonts w:hint="cs"/>
          <w:rtl/>
        </w:rPr>
        <w:t xml:space="preserve"> (متخصص، محقق، </w:t>
      </w:r>
      <w:r w:rsidR="00516B66" w:rsidRPr="0025250D">
        <w:rPr>
          <w:rFonts w:hint="cs"/>
          <w:rtl/>
        </w:rPr>
        <w:t>راهبردشناس</w:t>
      </w:r>
      <w:r w:rsidRPr="0025250D">
        <w:rPr>
          <w:rFonts w:hint="cs"/>
          <w:rtl/>
        </w:rPr>
        <w:t xml:space="preserve">، مشاور). اثر بخش بودن در هر یک از این نقش‌ها به توسعه بینشی در مورد مسائل کارسپاران، تمرین آداب معاشرت و </w:t>
      </w:r>
      <w:r w:rsidR="00A936B3" w:rsidRPr="0025250D">
        <w:rPr>
          <w:rFonts w:hint="cs"/>
          <w:rtl/>
        </w:rPr>
        <w:t>همدلی</w:t>
      </w:r>
      <w:r w:rsidRPr="0025250D">
        <w:rPr>
          <w:rFonts w:hint="cs"/>
          <w:rtl/>
        </w:rPr>
        <w:t xml:space="preserve"> خوب، یادگیری </w:t>
      </w:r>
      <w:r w:rsidR="00A20CCB" w:rsidRPr="0025250D">
        <w:rPr>
          <w:rFonts w:hint="cs"/>
          <w:rtl/>
        </w:rPr>
        <w:t>جهان‌بینی</w:t>
      </w:r>
      <w:r w:rsidRPr="0025250D">
        <w:rPr>
          <w:rFonts w:hint="cs"/>
          <w:rtl/>
        </w:rPr>
        <w:t xml:space="preserve"> و زبان آن‌ها، کسب اعتماد و نشان دادن ارزش نیاز دارد</w:t>
      </w:r>
      <w:r w:rsidR="008D6F97" w:rsidRPr="0025250D">
        <w:rPr>
          <w:rtl/>
        </w:rPr>
        <w:t xml:space="preserve">؛ </w:t>
      </w:r>
      <w:r w:rsidR="0020589F" w:rsidRPr="0025250D">
        <w:rPr>
          <w:rtl/>
        </w:rPr>
        <w:t>اما</w:t>
      </w:r>
      <w:r w:rsidRPr="0025250D">
        <w:rPr>
          <w:rFonts w:hint="cs"/>
          <w:rtl/>
        </w:rPr>
        <w:t xml:space="preserve"> هر چه میزان اعداد و ارقام بیشتر باشد، تمرکز بیشتر و خاص‌تری بر مدارک وجود داشته باشد و از عنوان </w:t>
      </w:r>
      <w:r w:rsidRPr="0025250D">
        <w:rPr>
          <w:rtl/>
        </w:rPr>
        <w:t>آینده‌نگار</w:t>
      </w:r>
      <w:r w:rsidRPr="0025250D">
        <w:rPr>
          <w:rFonts w:hint="cs"/>
          <w:rtl/>
        </w:rPr>
        <w:t xml:space="preserve"> با چشم</w:t>
      </w:r>
      <w:r w:rsidR="00582E8D" w:rsidRPr="0025250D">
        <w:rPr>
          <w:rFonts w:hint="cs"/>
          <w:rtl/>
        </w:rPr>
        <w:t>‌</w:t>
      </w:r>
      <w:r w:rsidRPr="0025250D">
        <w:rPr>
          <w:rFonts w:hint="cs"/>
          <w:rtl/>
        </w:rPr>
        <w:t>گیری کمتر استفاده شود، اعتماد کارسپاران بیشتر جلب شده و موفقیت بیشتر آینده‌نگاران در محیط‌های کسب‌وکار را به همراه دارد.</w:t>
      </w:r>
    </w:p>
    <w:p w14:paraId="1D5080C0" w14:textId="37805142" w:rsidR="0020732A" w:rsidRPr="0025250D" w:rsidRDefault="0020732A" w:rsidP="0020732A">
      <w:pPr>
        <w:rPr>
          <w:rtl/>
        </w:rPr>
      </w:pPr>
      <w:r w:rsidRPr="0025250D">
        <w:rPr>
          <w:rFonts w:hint="cs"/>
          <w:rtl/>
        </w:rPr>
        <w:t xml:space="preserve">اصطلاح آینده‌پژوه به این دلیل که برای توصیف هر کسی که داستان‌هایی در مورد آینده نقل می‌کند استفاده می‌شود، اغلب در بین رؤسا و در سازمان‌ها که </w:t>
      </w:r>
      <w:r w:rsidR="00582E8D" w:rsidRPr="0025250D">
        <w:rPr>
          <w:rFonts w:hint="cs"/>
          <w:rtl/>
        </w:rPr>
        <w:t xml:space="preserve">در آن‌ها </w:t>
      </w:r>
      <w:r w:rsidRPr="0025250D">
        <w:rPr>
          <w:rFonts w:hint="cs"/>
          <w:rtl/>
        </w:rPr>
        <w:t>عملگرایی غالب است مورد تمسخر قرار می‌گیرد. جامعه آینده‌پژوه ما از آینده‌پژوهان خیال پرداز</w:t>
      </w:r>
      <w:r w:rsidRPr="0025250D">
        <w:rPr>
          <w:vertAlign w:val="superscript"/>
          <w:rtl/>
        </w:rPr>
        <w:footnoteReference w:id="199"/>
      </w:r>
      <w:r w:rsidRPr="0025250D">
        <w:rPr>
          <w:rFonts w:hint="cs"/>
          <w:rtl/>
        </w:rPr>
        <w:t xml:space="preserve"> که داستان‌های آن‌ها از آینده جالب و سرگرم‌کننده هستند اما همواره مبتنی بر مدارک نیستند، آینده‌پژوهان آرمان‌شهری</w:t>
      </w:r>
      <w:r w:rsidRPr="0025250D">
        <w:rPr>
          <w:vertAlign w:val="superscript"/>
          <w:rtl/>
        </w:rPr>
        <w:footnoteReference w:id="200"/>
      </w:r>
      <w:r w:rsidRPr="0025250D">
        <w:rPr>
          <w:rFonts w:hint="cs"/>
          <w:rtl/>
        </w:rPr>
        <w:t xml:space="preserve"> و </w:t>
      </w:r>
      <w:r w:rsidR="0060055A" w:rsidRPr="0025250D">
        <w:rPr>
          <w:rFonts w:hint="cs"/>
          <w:rtl/>
        </w:rPr>
        <w:t>ویران‌شهری</w:t>
      </w:r>
      <w:r w:rsidRPr="0025250D">
        <w:rPr>
          <w:vertAlign w:val="superscript"/>
          <w:rtl/>
        </w:rPr>
        <w:footnoteReference w:id="201"/>
      </w:r>
      <w:r w:rsidRPr="0025250D">
        <w:rPr>
          <w:rFonts w:hint="cs"/>
          <w:rtl/>
        </w:rPr>
        <w:t xml:space="preserve"> که چشم‌اندازهایی را ارائه می‌دهند که می‌توانند الهام بخش ما بوده یا ما را بترسانند اما احتمال اندکی برای وقوع آن‌ها وجود داشته باشد یا هیچ احتمالی برای تحقق آن‌ها وجود نداشته باشد و آینده‌پژوهان </w:t>
      </w:r>
      <w:r w:rsidR="00BC7179" w:rsidRPr="0025250D">
        <w:rPr>
          <w:rtl/>
        </w:rPr>
        <w:t>پ</w:t>
      </w:r>
      <w:r w:rsidR="00BC7179" w:rsidRPr="0025250D">
        <w:rPr>
          <w:rFonts w:hint="cs"/>
          <w:rtl/>
        </w:rPr>
        <w:t>ی</w:t>
      </w:r>
      <w:r w:rsidR="00BC7179" w:rsidRPr="0025250D">
        <w:rPr>
          <w:rFonts w:hint="eastAsia"/>
          <w:rtl/>
        </w:rPr>
        <w:t>ش</w:t>
      </w:r>
      <w:r w:rsidR="00BC7179" w:rsidRPr="0025250D">
        <w:rPr>
          <w:rtl/>
        </w:rPr>
        <w:t xml:space="preserve"> متعارف </w:t>
      </w:r>
      <w:r w:rsidRPr="0025250D">
        <w:rPr>
          <w:vertAlign w:val="superscript"/>
          <w:rtl/>
        </w:rPr>
        <w:footnoteReference w:id="202"/>
      </w:r>
      <w:r w:rsidRPr="0025250D">
        <w:rPr>
          <w:rFonts w:hint="cs"/>
          <w:rtl/>
        </w:rPr>
        <w:t xml:space="preserve">، رؤیاپردازان و افراد غیر عادی که با اشتیاق چشم‌اندازهای فردی را خارج از هنجارها و سنت‌های جامعه دنبال می‌کنند، تشکیل شده است. آخرین برچسب از سوی آینده‌پژوه </w:t>
      </w:r>
      <w:r w:rsidRPr="0025250D">
        <w:rPr>
          <w:rtl/>
        </w:rPr>
        <w:t>پ</w:t>
      </w:r>
      <w:r w:rsidRPr="0025250D">
        <w:rPr>
          <w:rFonts w:hint="cs"/>
          <w:rtl/>
        </w:rPr>
        <w:t>ی</w:t>
      </w:r>
      <w:r w:rsidRPr="0025250D">
        <w:rPr>
          <w:rFonts w:hint="eastAsia"/>
          <w:rtl/>
        </w:rPr>
        <w:t>تر</w:t>
      </w:r>
      <w:r w:rsidRPr="0025250D">
        <w:rPr>
          <w:rtl/>
        </w:rPr>
        <w:t xml:space="preserve"> ه</w:t>
      </w:r>
      <w:r w:rsidRPr="0025250D">
        <w:rPr>
          <w:rFonts w:hint="cs"/>
          <w:rtl/>
        </w:rPr>
        <w:t>ی</w:t>
      </w:r>
      <w:r w:rsidRPr="0025250D">
        <w:rPr>
          <w:rFonts w:hint="eastAsia"/>
          <w:rtl/>
        </w:rPr>
        <w:t>وارد</w:t>
      </w:r>
      <w:r w:rsidRPr="0025250D">
        <w:rPr>
          <w:vertAlign w:val="superscript"/>
          <w:rtl/>
        </w:rPr>
        <w:footnoteReference w:id="203"/>
      </w:r>
      <w:r w:rsidRPr="0025250D">
        <w:rPr>
          <w:rFonts w:hint="cs"/>
          <w:rtl/>
        </w:rPr>
        <w:t xml:space="preserve"> ار </w:t>
      </w:r>
      <w:r w:rsidRPr="0025250D">
        <w:rPr>
          <w:rtl/>
        </w:rPr>
        <w:t>دانشگاه صنعت</w:t>
      </w:r>
      <w:r w:rsidRPr="0025250D">
        <w:rPr>
          <w:rFonts w:hint="cs"/>
          <w:rtl/>
        </w:rPr>
        <w:t>ی</w:t>
      </w:r>
      <w:r w:rsidRPr="0025250D">
        <w:rPr>
          <w:rtl/>
        </w:rPr>
        <w:t xml:space="preserve"> سوئ</w:t>
      </w:r>
      <w:r w:rsidRPr="0025250D">
        <w:rPr>
          <w:rFonts w:hint="cs"/>
          <w:rtl/>
        </w:rPr>
        <w:t>ی</w:t>
      </w:r>
      <w:r w:rsidRPr="0025250D">
        <w:rPr>
          <w:rFonts w:hint="eastAsia"/>
          <w:rtl/>
        </w:rPr>
        <w:t>نبرن</w:t>
      </w:r>
      <w:r w:rsidRPr="0025250D">
        <w:rPr>
          <w:rFonts w:hint="cs"/>
          <w:rtl/>
        </w:rPr>
        <w:t xml:space="preserve"> در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مطرح</w:t>
      </w:r>
      <w:r w:rsidRPr="0025250D">
        <w:rPr>
          <w:rtl/>
        </w:rPr>
        <w:t xml:space="preserve"> </w:t>
      </w:r>
      <w:r w:rsidRPr="0025250D">
        <w:rPr>
          <w:rFonts w:hint="cs"/>
          <w:rtl/>
        </w:rPr>
        <w:t>شده</w:t>
      </w:r>
      <w:r w:rsidRPr="0025250D">
        <w:rPr>
          <w:rtl/>
        </w:rPr>
        <w:t xml:space="preserve"> </w:t>
      </w:r>
      <w:r w:rsidRPr="0025250D">
        <w:rPr>
          <w:rFonts w:hint="cs"/>
          <w:rtl/>
        </w:rPr>
        <w:t>است</w:t>
      </w:r>
      <w:r w:rsidRPr="0025250D">
        <w:rPr>
          <w:rtl/>
        </w:rPr>
        <w:t>.</w:t>
      </w:r>
      <w:r w:rsidRPr="0025250D">
        <w:rPr>
          <w:rFonts w:hint="cs"/>
          <w:rtl/>
        </w:rPr>
        <w:t xml:space="preserve"> </w:t>
      </w:r>
      <w:r w:rsidR="007118DE" w:rsidRPr="0025250D">
        <w:rPr>
          <w:rFonts w:hint="cs"/>
          <w:rtl/>
        </w:rPr>
        <w:t>همان‌طور</w:t>
      </w:r>
      <w:r w:rsidRPr="0025250D">
        <w:rPr>
          <w:rFonts w:hint="cs"/>
          <w:rtl/>
        </w:rPr>
        <w:t xml:space="preserve"> که </w:t>
      </w:r>
      <w:r w:rsidRPr="0025250D">
        <w:rPr>
          <w:rtl/>
        </w:rPr>
        <w:t>ه</w:t>
      </w:r>
      <w:r w:rsidRPr="0025250D">
        <w:rPr>
          <w:rFonts w:hint="cs"/>
          <w:rtl/>
        </w:rPr>
        <w:t>ی</w:t>
      </w:r>
      <w:r w:rsidRPr="0025250D">
        <w:rPr>
          <w:rFonts w:hint="eastAsia"/>
          <w:rtl/>
        </w:rPr>
        <w:t>وارد</w:t>
      </w:r>
      <w:r w:rsidRPr="0025250D">
        <w:rPr>
          <w:rFonts w:hint="cs"/>
          <w:rtl/>
        </w:rPr>
        <w:t xml:space="preserve"> می‌گوید، این افراد همواره با ما خواهند بود</w:t>
      </w:r>
      <w:r w:rsidR="0020589F" w:rsidRPr="0025250D">
        <w:rPr>
          <w:rtl/>
        </w:rPr>
        <w:t xml:space="preserve"> و</w:t>
      </w:r>
      <w:r w:rsidRPr="0025250D">
        <w:rPr>
          <w:rFonts w:hint="cs"/>
          <w:rtl/>
        </w:rPr>
        <w:t xml:space="preserve"> به‌صورت اجتماعی اهمیت دارند؛ </w:t>
      </w:r>
      <w:r w:rsidR="0020589F" w:rsidRPr="0025250D">
        <w:rPr>
          <w:rtl/>
        </w:rPr>
        <w:t>اما</w:t>
      </w:r>
      <w:r w:rsidRPr="0025250D">
        <w:rPr>
          <w:rFonts w:hint="cs"/>
          <w:rtl/>
        </w:rPr>
        <w:t xml:space="preserve"> تأثیر سازمانی جامعه آینده‌پژوهی را محدود می‌کنند.</w:t>
      </w:r>
    </w:p>
    <w:p w14:paraId="3467F807" w14:textId="77777777" w:rsidR="0020732A" w:rsidRPr="0025250D" w:rsidRDefault="0020732A" w:rsidP="00537CC8">
      <w:pPr>
        <w:jc w:val="center"/>
        <w:rPr>
          <w:rtl/>
        </w:rPr>
      </w:pPr>
      <w:r w:rsidRPr="0025250D">
        <w:rPr>
          <w:noProof/>
          <w:rtl/>
          <w:lang w:bidi="ar-SA"/>
        </w:rPr>
        <w:lastRenderedPageBreak/>
        <w:drawing>
          <wp:inline distT="0" distB="0" distL="0" distR="0" wp14:anchorId="6840B4D3" wp14:editId="1565F9F1">
            <wp:extent cx="3223260" cy="2764465"/>
            <wp:effectExtent l="0" t="0" r="0" b="0"/>
            <wp:docPr id="33" name="Picture 33" descr="D:\کار\مستقل\3 ( ترجمه ی دانشگاه تهران  )\Introduction to Foresight\part1\8-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کار\مستقل\3 ( ترجمه ی دانشگاه تهران  )\Introduction to Foresight\part1\8-new.png"/>
                    <pic:cNvPicPr>
                      <a:picLocks noChangeAspect="1" noChangeArrowheads="1"/>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3223260" cy="2764465"/>
                    </a:xfrm>
                    <a:prstGeom prst="rect">
                      <a:avLst/>
                    </a:prstGeom>
                    <a:noFill/>
                    <a:ln>
                      <a:noFill/>
                    </a:ln>
                    <a:extLst>
                      <a:ext uri="{53640926-AAD7-44D8-BBD7-CCE9431645EC}">
                        <a14:shadowObscured xmlns:a14="http://schemas.microsoft.com/office/drawing/2010/main"/>
                      </a:ext>
                    </a:extLst>
                  </pic:spPr>
                </pic:pic>
              </a:graphicData>
            </a:graphic>
          </wp:inline>
        </w:drawing>
      </w:r>
    </w:p>
    <w:p w14:paraId="13A2F9D0" w14:textId="77777777" w:rsidR="0020732A" w:rsidRPr="0025250D" w:rsidRDefault="0020732A" w:rsidP="00537CC8">
      <w:pPr>
        <w:jc w:val="center"/>
        <w:rPr>
          <w:rtl/>
        </w:rPr>
      </w:pPr>
      <w:r w:rsidRPr="0025250D">
        <w:rPr>
          <w:rFonts w:hint="cs"/>
          <w:rtl/>
        </w:rPr>
        <w:t>بهتر است از اصطلاح آینده‌پژوه کمتر در فضای کسب‌وکار استفاده شود</w:t>
      </w:r>
    </w:p>
    <w:p w14:paraId="6E566F29" w14:textId="17717B2D" w:rsidR="0020732A" w:rsidRPr="0025250D" w:rsidRDefault="0020732A" w:rsidP="0020732A">
      <w:pPr>
        <w:rPr>
          <w:rtl/>
        </w:rPr>
      </w:pPr>
      <w:r w:rsidRPr="0025250D">
        <w:rPr>
          <w:rFonts w:hint="cs"/>
          <w:rtl/>
        </w:rPr>
        <w:t xml:space="preserve">به علاوه، چون رهبران می‌دانند که یکی از وظایف آن‌هاست که برای سازمان خود چشم‌انداز ایجاد کنند، آینده‌پژوهانی که </w:t>
      </w:r>
      <w:r w:rsidR="00701E03" w:rsidRPr="0025250D">
        <w:rPr>
          <w:rFonts w:hint="cs"/>
          <w:rtl/>
        </w:rPr>
        <w:t>راهبرد</w:t>
      </w:r>
      <w:r w:rsidRPr="0025250D">
        <w:rPr>
          <w:rFonts w:hint="cs"/>
          <w:rtl/>
        </w:rPr>
        <w:t xml:space="preserve"> را مورد بحث قرار می‌دهند، درصورتی‌که زبانی بیش از حد تجویزی یا پیش‌بینی کننده داشته باشند، ممکن است به‌عنوان رقیبان مدیران در بازی تخصیص منابع و قدرت دیده شوند. آینده‌های سازمانی سیاسی هستند. اثر بخش‌ترین آینده‌پژوهان و </w:t>
      </w:r>
      <w:r w:rsidRPr="0025250D">
        <w:rPr>
          <w:rtl/>
        </w:rPr>
        <w:t>آینده‌نگار</w:t>
      </w:r>
      <w:r w:rsidRPr="0025250D">
        <w:rPr>
          <w:rFonts w:hint="cs"/>
          <w:rtl/>
        </w:rPr>
        <w:t>ان این موضوعات را نادیده</w:t>
      </w:r>
      <w:r w:rsidR="00EE4B64" w:rsidRPr="0025250D">
        <w:rPr>
          <w:rFonts w:hint="cs"/>
          <w:rtl/>
        </w:rPr>
        <w:t xml:space="preserve"> نمی‌</w:t>
      </w:r>
      <w:r w:rsidRPr="0025250D">
        <w:rPr>
          <w:rFonts w:hint="cs"/>
          <w:rtl/>
        </w:rPr>
        <w:t xml:space="preserve">گیرند، اما یاد می‌گیرند که چگونه آن‌ها را با </w:t>
      </w:r>
      <w:r w:rsidR="00A936B3" w:rsidRPr="0025250D">
        <w:rPr>
          <w:rFonts w:hint="cs"/>
          <w:rtl/>
        </w:rPr>
        <w:t>همدلی</w:t>
      </w:r>
      <w:r w:rsidRPr="0025250D">
        <w:rPr>
          <w:rFonts w:hint="cs"/>
          <w:rtl/>
        </w:rPr>
        <w:t xml:space="preserve"> و آداب به بحث بگذارند.</w:t>
      </w:r>
    </w:p>
    <w:p w14:paraId="04F3667E" w14:textId="6B3512E6" w:rsidR="0020732A" w:rsidRPr="0025250D" w:rsidRDefault="0020732A" w:rsidP="0020732A">
      <w:pPr>
        <w:rPr>
          <w:rtl/>
        </w:rPr>
      </w:pPr>
      <w:r w:rsidRPr="0025250D">
        <w:rPr>
          <w:rFonts w:hint="cs"/>
          <w:rtl/>
        </w:rPr>
        <w:t xml:space="preserve">داستان‌های آینده می‌توانند، به ویژه از لحاظ تأثیرگذاری و سرگرم کنندگی، ارزشمند باشند، اما همچنین می‌توانند محدود بوده و تفکر ما را منحرف نمایند. آن‌ها تنها یک ابزار در جعبه ابزار رهبران هستند. برخی اوقات، یک مقدار اندک از داده‌های انتقادی شفاف کننده، یک مدل خوب یا یک استنتاج عادی می‌تواند به‌اندازه هزار داستان برای گروهی که به </w:t>
      </w:r>
      <w:r w:rsidR="00701E03" w:rsidRPr="0025250D">
        <w:rPr>
          <w:rFonts w:hint="cs"/>
          <w:rtl/>
        </w:rPr>
        <w:t>راهبرد</w:t>
      </w:r>
      <w:r w:rsidRPr="0025250D">
        <w:rPr>
          <w:rFonts w:hint="cs"/>
          <w:rtl/>
        </w:rPr>
        <w:t xml:space="preserve"> بهتری نیاز دارد یا برای رهبری که به چشم‌انداز بهتری نیاز دارد ارزشمند باشد. به همین دلیل است که وقتی به‌عنوان آینده‌پژوه صحبت می‌کنیم، باید تلاش کنیم که مبتنی مدارک، هم به‌صورت کیفی و هم به‌صورت کمّی، عمل کنیم تا داستان‌های خود را به مفاهیم </w:t>
      </w:r>
      <w:r w:rsidR="00701E03" w:rsidRPr="0025250D">
        <w:rPr>
          <w:rFonts w:hint="cs"/>
          <w:rtl/>
        </w:rPr>
        <w:t>راهبردی</w:t>
      </w:r>
      <w:r w:rsidRPr="0025250D">
        <w:rPr>
          <w:rFonts w:hint="cs"/>
          <w:rtl/>
        </w:rPr>
        <w:t xml:space="preserve">، انتخاب‌ها و اقدامات به‌منظور ارائه مثال‌هایی از اهداف </w:t>
      </w:r>
      <w:r w:rsidRPr="0025250D">
        <w:t>SMART</w:t>
      </w:r>
      <w:r w:rsidRPr="0025250D">
        <w:rPr>
          <w:rFonts w:hint="cs"/>
          <w:rtl/>
        </w:rPr>
        <w:t xml:space="preserve"> (مشخص</w:t>
      </w:r>
      <w:r w:rsidRPr="0025250D">
        <w:rPr>
          <w:vertAlign w:val="superscript"/>
          <w:rtl/>
        </w:rPr>
        <w:footnoteReference w:id="204"/>
      </w:r>
      <w:r w:rsidRPr="0025250D">
        <w:rPr>
          <w:rFonts w:hint="cs"/>
          <w:rtl/>
        </w:rPr>
        <w:t>، قابل اندازه گیری</w:t>
      </w:r>
      <w:r w:rsidRPr="0025250D">
        <w:rPr>
          <w:vertAlign w:val="superscript"/>
          <w:rtl/>
        </w:rPr>
        <w:footnoteReference w:id="205"/>
      </w:r>
      <w:r w:rsidRPr="0025250D">
        <w:rPr>
          <w:rFonts w:hint="cs"/>
          <w:rtl/>
        </w:rPr>
        <w:t>، قابل دستیابی</w:t>
      </w:r>
      <w:r w:rsidRPr="0025250D">
        <w:rPr>
          <w:vertAlign w:val="superscript"/>
          <w:rtl/>
        </w:rPr>
        <w:footnoteReference w:id="206"/>
      </w:r>
      <w:r w:rsidRPr="0025250D">
        <w:rPr>
          <w:rFonts w:hint="cs"/>
          <w:rtl/>
        </w:rPr>
        <w:t>، متناسب</w:t>
      </w:r>
      <w:r w:rsidRPr="0025250D">
        <w:rPr>
          <w:vertAlign w:val="superscript"/>
          <w:rtl/>
        </w:rPr>
        <w:footnoteReference w:id="207"/>
      </w:r>
      <w:r w:rsidRPr="0025250D">
        <w:rPr>
          <w:rFonts w:hint="cs"/>
          <w:rtl/>
        </w:rPr>
        <w:t>، محدود به زمان</w:t>
      </w:r>
      <w:r w:rsidRPr="0025250D">
        <w:rPr>
          <w:vertAlign w:val="superscript"/>
          <w:rtl/>
        </w:rPr>
        <w:footnoteReference w:id="208"/>
      </w:r>
      <w:r w:rsidRPr="0025250D">
        <w:rPr>
          <w:rFonts w:hint="cs"/>
          <w:rtl/>
        </w:rPr>
        <w:t>) و به‌منظور خودداری از این‌که بیش از حد سیاسی باشیم، گره بزنیم.</w:t>
      </w:r>
    </w:p>
    <w:p w14:paraId="08AFA726" w14:textId="13AA71F3" w:rsidR="0020732A" w:rsidRPr="0025250D" w:rsidRDefault="0020732A" w:rsidP="00516B66">
      <w:pPr>
        <w:rPr>
          <w:rtl/>
        </w:rPr>
      </w:pPr>
      <w:r w:rsidRPr="0025250D">
        <w:rPr>
          <w:rFonts w:hint="cs"/>
          <w:rtl/>
        </w:rPr>
        <w:t>بنابراین برای توصیف ما</w:t>
      </w:r>
      <w:r w:rsidR="00582E8D" w:rsidRPr="0025250D">
        <w:rPr>
          <w:rFonts w:hint="cs"/>
          <w:rtl/>
        </w:rPr>
        <w:t>،</w:t>
      </w:r>
      <w:r w:rsidRPr="0025250D">
        <w:rPr>
          <w:rFonts w:hint="cs"/>
          <w:rtl/>
        </w:rPr>
        <w:t xml:space="preserve"> کلمه </w:t>
      </w:r>
      <w:r w:rsidR="0020589F" w:rsidRPr="0025250D">
        <w:rPr>
          <w:rtl/>
        </w:rPr>
        <w:t>«</w:t>
      </w:r>
      <w:r w:rsidRPr="0025250D">
        <w:rPr>
          <w:rFonts w:hint="cs"/>
          <w:rtl/>
        </w:rPr>
        <w:t>آینده‌پژوه</w:t>
      </w:r>
      <w:r w:rsidR="0020589F" w:rsidRPr="0025250D">
        <w:rPr>
          <w:rtl/>
        </w:rPr>
        <w:t>»</w:t>
      </w:r>
      <w:r w:rsidRPr="0025250D">
        <w:rPr>
          <w:rFonts w:hint="cs"/>
          <w:rtl/>
        </w:rPr>
        <w:t xml:space="preserve"> توسط سخنرانان عمومی، نویسندگان یا هر کس دیگری که از گفتن داستان‌هایی در مورد آینده لذت می‌برد، چه آن را دوست داشته باشیم چه نه</w:t>
      </w:r>
      <w:r w:rsidR="00582E8D" w:rsidRPr="0025250D">
        <w:rPr>
          <w:rFonts w:hint="cs"/>
          <w:rtl/>
        </w:rPr>
        <w:t>،</w:t>
      </w:r>
      <w:r w:rsidRPr="0025250D">
        <w:rPr>
          <w:rFonts w:hint="cs"/>
          <w:rtl/>
        </w:rPr>
        <w:t xml:space="preserve"> استفاده می‌شود</w:t>
      </w:r>
      <w:r w:rsidR="008D6F97" w:rsidRPr="0025250D">
        <w:rPr>
          <w:rtl/>
        </w:rPr>
        <w:t xml:space="preserve">؛ </w:t>
      </w:r>
      <w:r w:rsidRPr="0025250D">
        <w:rPr>
          <w:rFonts w:hint="cs"/>
          <w:rtl/>
        </w:rPr>
        <w:t xml:space="preserve">اما در نقش‌های سازمانی، به‌عنوان متخصصین </w:t>
      </w:r>
      <w:r w:rsidRPr="0025250D">
        <w:rPr>
          <w:rtl/>
        </w:rPr>
        <w:t>آینده‌نگاری</w:t>
      </w:r>
      <w:r w:rsidRPr="0025250D">
        <w:rPr>
          <w:rFonts w:hint="cs"/>
          <w:rtl/>
        </w:rPr>
        <w:t xml:space="preserve">، معمولاً بسیار بهتر است که عنوان شغلی شناخته شده‌تر و کم‌تر بحث برانگیزی نسبت به آینده‌پژوه داشته باشیم. عناوینی مانند </w:t>
      </w:r>
      <w:r w:rsidR="00516B66" w:rsidRPr="0025250D">
        <w:rPr>
          <w:rFonts w:hint="cs"/>
          <w:rtl/>
        </w:rPr>
        <w:t>راهبردشناس</w:t>
      </w:r>
      <w:r w:rsidRPr="0025250D">
        <w:rPr>
          <w:rFonts w:hint="cs"/>
          <w:rtl/>
        </w:rPr>
        <w:t>، پیش</w:t>
      </w:r>
      <w:r w:rsidR="00582E8D" w:rsidRPr="0025250D">
        <w:rPr>
          <w:rFonts w:hint="cs"/>
          <w:rtl/>
        </w:rPr>
        <w:t>‌</w:t>
      </w:r>
      <w:r w:rsidRPr="0025250D">
        <w:rPr>
          <w:rFonts w:hint="cs"/>
          <w:rtl/>
        </w:rPr>
        <w:t>نگر، طراح، تحلیلگر، محقق روندها، دیده</w:t>
      </w:r>
      <w:r w:rsidR="00582E8D" w:rsidRPr="0025250D">
        <w:rPr>
          <w:rFonts w:hint="cs"/>
          <w:rtl/>
        </w:rPr>
        <w:t>‌</w:t>
      </w:r>
      <w:r w:rsidRPr="0025250D">
        <w:rPr>
          <w:rFonts w:hint="cs"/>
          <w:rtl/>
        </w:rPr>
        <w:t>بان فناوری، مدیر ریسک، برنامه‌ریز، تحلیلگر اطلاعات، مدیر نوآوری، مدیر سرمایه‌گذاری، واعظ، مدیر جامعه و بسیاری دیگر از عناوین می‌توانند کارایی خوبی داشته باشند</w:t>
      </w:r>
      <w:r w:rsidR="008D6F97" w:rsidRPr="0025250D">
        <w:rPr>
          <w:rtl/>
        </w:rPr>
        <w:t xml:space="preserve">؛ </w:t>
      </w:r>
      <w:r w:rsidRPr="0025250D">
        <w:rPr>
          <w:rFonts w:hint="cs"/>
          <w:rtl/>
        </w:rPr>
        <w:t xml:space="preserve">بنابراین بیش‌تر آینده‌نگاران کار </w:t>
      </w:r>
      <w:r w:rsidRPr="0025250D">
        <w:rPr>
          <w:rtl/>
        </w:rPr>
        <w:t>آینده‌نگاری</w:t>
      </w:r>
      <w:r w:rsidRPr="0025250D">
        <w:rPr>
          <w:rFonts w:hint="cs"/>
          <w:rtl/>
        </w:rPr>
        <w:t xml:space="preserve"> خود را بدون توصیف خود</w:t>
      </w:r>
      <w:r w:rsidRPr="0025250D">
        <w:rPr>
          <w:vertAlign w:val="superscript"/>
          <w:rtl/>
        </w:rPr>
        <w:footnoteReference w:id="209"/>
      </w:r>
      <w:r w:rsidRPr="0025250D">
        <w:rPr>
          <w:rFonts w:hint="cs"/>
          <w:rtl/>
        </w:rPr>
        <w:t xml:space="preserve"> که اقدامات آن‌ها را بیش از حد واضح </w:t>
      </w:r>
      <w:r w:rsidR="00EA27E9" w:rsidRPr="0025250D">
        <w:rPr>
          <w:rFonts w:hint="cs"/>
          <w:rtl/>
        </w:rPr>
        <w:t>می‌</w:t>
      </w:r>
      <w:r w:rsidRPr="0025250D">
        <w:rPr>
          <w:rFonts w:hint="cs"/>
          <w:rtl/>
        </w:rPr>
        <w:t>سازد</w:t>
      </w:r>
      <w:r w:rsidR="00EA27E9" w:rsidRPr="0025250D">
        <w:rPr>
          <w:rFonts w:hint="cs"/>
          <w:rtl/>
        </w:rPr>
        <w:t>،</w:t>
      </w:r>
      <w:r w:rsidRPr="0025250D">
        <w:rPr>
          <w:rFonts w:hint="cs"/>
          <w:rtl/>
        </w:rPr>
        <w:t xml:space="preserve"> انجام می‌دهند. اتخاذ یک رخ‌نمای نازل‌تر در کار </w:t>
      </w:r>
      <w:r w:rsidRPr="0025250D">
        <w:rPr>
          <w:rtl/>
        </w:rPr>
        <w:t>آینده‌نگاری</w:t>
      </w:r>
      <w:r w:rsidRPr="0025250D">
        <w:rPr>
          <w:rFonts w:hint="cs"/>
          <w:rtl/>
        </w:rPr>
        <w:t>، به ویژه در سازمان‌های شخصیت محور، مخالف تغییر، دارای ریسک بالا یا دچار مشکل که آینده رسمی اغلب یک موضوعی است که به‌شدت مورد مخالفت قرار می‌گیرد، می‌تواند</w:t>
      </w:r>
      <w:r w:rsidRPr="0025250D">
        <w:rPr>
          <w:rtl/>
        </w:rPr>
        <w:t xml:space="preserve"> </w:t>
      </w:r>
      <w:r w:rsidRPr="0025250D">
        <w:rPr>
          <w:rFonts w:hint="cs"/>
          <w:rtl/>
        </w:rPr>
        <w:t>یک</w:t>
      </w:r>
      <w:r w:rsidRPr="0025250D">
        <w:rPr>
          <w:rtl/>
        </w:rPr>
        <w:t xml:space="preserve"> </w:t>
      </w:r>
      <w:r w:rsidRPr="0025250D">
        <w:rPr>
          <w:rFonts w:hint="cs"/>
          <w:rtl/>
        </w:rPr>
        <w:t>مزیت</w:t>
      </w:r>
      <w:r w:rsidRPr="0025250D">
        <w:rPr>
          <w:rtl/>
        </w:rPr>
        <w:t xml:space="preserve"> </w:t>
      </w:r>
      <w:r w:rsidRPr="0025250D">
        <w:rPr>
          <w:rFonts w:hint="cs"/>
          <w:rtl/>
        </w:rPr>
        <w:t>شغلی</w:t>
      </w:r>
      <w:r w:rsidRPr="0025250D">
        <w:rPr>
          <w:rtl/>
        </w:rPr>
        <w:t xml:space="preserve"> </w:t>
      </w:r>
      <w:r w:rsidRPr="0025250D">
        <w:rPr>
          <w:rFonts w:hint="cs"/>
          <w:rtl/>
        </w:rPr>
        <w:t>باشد.</w:t>
      </w:r>
    </w:p>
    <w:p w14:paraId="55AC1932" w14:textId="3EB5AE5D" w:rsidR="0020732A" w:rsidRPr="0025250D" w:rsidRDefault="0020732A" w:rsidP="0020732A">
      <w:pPr>
        <w:rPr>
          <w:rtl/>
        </w:rPr>
      </w:pPr>
      <w:r w:rsidRPr="0025250D">
        <w:rPr>
          <w:rFonts w:hint="cs"/>
          <w:rtl/>
        </w:rPr>
        <w:lastRenderedPageBreak/>
        <w:t xml:space="preserve">افرادی که به بالا بردن قابلیت دیده شدن خود علاقه دارند، به سازمان‌های خود کمک می‌کنند و </w:t>
      </w:r>
      <w:r w:rsidR="0020589F" w:rsidRPr="0025250D">
        <w:rPr>
          <w:rFonts w:hint="cs"/>
          <w:rtl/>
        </w:rPr>
        <w:t>ض</w:t>
      </w:r>
      <w:r w:rsidRPr="0025250D">
        <w:rPr>
          <w:rFonts w:hint="cs"/>
          <w:rtl/>
        </w:rPr>
        <w:t xml:space="preserve">من این‌که می‌خواهند از مسائل مرتبط با کلمه </w:t>
      </w:r>
      <w:r w:rsidR="0020589F" w:rsidRPr="0025250D">
        <w:rPr>
          <w:rtl/>
        </w:rPr>
        <w:t>«</w:t>
      </w:r>
      <w:r w:rsidRPr="0025250D">
        <w:rPr>
          <w:rFonts w:hint="cs"/>
          <w:rtl/>
        </w:rPr>
        <w:t>آینده‌پژوه</w:t>
      </w:r>
      <w:r w:rsidR="0020589F" w:rsidRPr="0025250D">
        <w:rPr>
          <w:rFonts w:hint="cs"/>
          <w:rtl/>
        </w:rPr>
        <w:t>»</w:t>
      </w:r>
      <w:r w:rsidRPr="0025250D">
        <w:rPr>
          <w:rFonts w:hint="cs"/>
          <w:rtl/>
        </w:rPr>
        <w:t xml:space="preserve"> عبور کنند</w:t>
      </w:r>
      <w:r w:rsidR="00CF59DF" w:rsidRPr="0025250D">
        <w:rPr>
          <w:rFonts w:hint="cs"/>
          <w:rtl/>
        </w:rPr>
        <w:t>،</w:t>
      </w:r>
      <w:r w:rsidRPr="0025250D">
        <w:rPr>
          <w:rFonts w:hint="cs"/>
          <w:rtl/>
        </w:rPr>
        <w:t xml:space="preserve"> در کار </w:t>
      </w:r>
      <w:r w:rsidRPr="0025250D">
        <w:rPr>
          <w:rtl/>
        </w:rPr>
        <w:t>آینده‌نگاری</w:t>
      </w:r>
      <w:r w:rsidRPr="0025250D">
        <w:rPr>
          <w:rFonts w:hint="cs"/>
          <w:rtl/>
        </w:rPr>
        <w:t xml:space="preserve"> خود </w:t>
      </w:r>
      <w:r w:rsidR="00CF59DF" w:rsidRPr="0025250D">
        <w:rPr>
          <w:rFonts w:hint="cs"/>
          <w:rtl/>
        </w:rPr>
        <w:t xml:space="preserve">نیز </w:t>
      </w:r>
      <w:r w:rsidRPr="0025250D">
        <w:rPr>
          <w:rFonts w:hint="cs"/>
          <w:rtl/>
        </w:rPr>
        <w:t>آگاه‌تر</w:t>
      </w:r>
      <w:r w:rsidR="00CF59DF" w:rsidRPr="0025250D">
        <w:rPr>
          <w:rFonts w:hint="cs"/>
          <w:rtl/>
        </w:rPr>
        <w:t xml:space="preserve"> </w:t>
      </w:r>
      <w:r w:rsidRPr="0025250D">
        <w:rPr>
          <w:rFonts w:hint="cs"/>
          <w:rtl/>
        </w:rPr>
        <w:t xml:space="preserve">‌شوند، باید استفاده از کلمه </w:t>
      </w:r>
      <w:r w:rsidR="00116646" w:rsidRPr="0025250D">
        <w:rPr>
          <w:rtl/>
        </w:rPr>
        <w:t>«</w:t>
      </w:r>
      <w:r w:rsidRPr="0025250D">
        <w:rPr>
          <w:rtl/>
        </w:rPr>
        <w:t>آینده‌نگار</w:t>
      </w:r>
      <w:r w:rsidRPr="0025250D">
        <w:rPr>
          <w:rFonts w:hint="cs"/>
          <w:rtl/>
        </w:rPr>
        <w:t>ی</w:t>
      </w:r>
      <w:r w:rsidR="00116646" w:rsidRPr="0025250D">
        <w:rPr>
          <w:rtl/>
        </w:rPr>
        <w:t>»</w:t>
      </w:r>
      <w:r w:rsidRPr="0025250D">
        <w:rPr>
          <w:rFonts w:hint="cs"/>
          <w:rtl/>
        </w:rPr>
        <w:t xml:space="preserve"> را در عنوان رسمی شغلی خود در نظر بگیرند. با توجه به این‌که این اصطلاح هم چند جنبه‌ای و هم کم‌تر شناخته شده است، می‌تواند به‌صورت ساده تری برای اهداف ما نسبت به بسیاری از وارد دیگر شکل گیرد. به‌عنوان نکاتی در مورد مزایای حضور در </w:t>
      </w:r>
      <w:r w:rsidR="00116646" w:rsidRPr="0025250D">
        <w:rPr>
          <w:rtl/>
        </w:rPr>
        <w:t>«</w:t>
      </w:r>
      <w:r w:rsidRPr="0025250D">
        <w:rPr>
          <w:rFonts w:hint="cs"/>
          <w:rtl/>
        </w:rPr>
        <w:t>فضای سفید</w:t>
      </w:r>
      <w:r w:rsidRPr="0025250D">
        <w:rPr>
          <w:vertAlign w:val="superscript"/>
          <w:rtl/>
        </w:rPr>
        <w:footnoteReference w:id="210"/>
      </w:r>
      <w:r w:rsidR="00116646" w:rsidRPr="0025250D">
        <w:rPr>
          <w:rtl/>
        </w:rPr>
        <w:t>»</w:t>
      </w:r>
      <w:r w:rsidR="008D6F97" w:rsidRPr="0025250D">
        <w:rPr>
          <w:rtl/>
        </w:rPr>
        <w:t xml:space="preserve"> </w:t>
      </w:r>
      <w:r w:rsidRPr="0025250D">
        <w:rPr>
          <w:rFonts w:hint="cs"/>
          <w:rtl/>
        </w:rPr>
        <w:t xml:space="preserve">در محیط (نواحی بدون رقابت)، </w:t>
      </w:r>
      <w:r w:rsidR="00701E03" w:rsidRPr="0025250D">
        <w:rPr>
          <w:rFonts w:hint="cs"/>
          <w:rtl/>
        </w:rPr>
        <w:t>راهبرد</w:t>
      </w:r>
      <w:r w:rsidRPr="0025250D">
        <w:rPr>
          <w:rFonts w:hint="cs"/>
          <w:rtl/>
        </w:rPr>
        <w:t xml:space="preserve"> اقیانوس آبی</w:t>
      </w:r>
      <w:r w:rsidRPr="0025250D">
        <w:rPr>
          <w:vertAlign w:val="superscript"/>
          <w:rtl/>
        </w:rPr>
        <w:footnoteReference w:id="211"/>
      </w:r>
      <w:r w:rsidRPr="0025250D">
        <w:rPr>
          <w:rFonts w:hint="cs"/>
          <w:rtl/>
        </w:rPr>
        <w:t xml:space="preserve">، 2015، نوشته </w:t>
      </w:r>
      <w:r w:rsidRPr="0025250D">
        <w:rPr>
          <w:rtl/>
        </w:rPr>
        <w:t>ک</w:t>
      </w:r>
      <w:r w:rsidRPr="0025250D">
        <w:rPr>
          <w:rFonts w:hint="cs"/>
          <w:rtl/>
        </w:rPr>
        <w:t>ی</w:t>
      </w:r>
      <w:r w:rsidRPr="0025250D">
        <w:rPr>
          <w:rFonts w:hint="eastAsia"/>
          <w:rtl/>
        </w:rPr>
        <w:t>م</w:t>
      </w:r>
      <w:r w:rsidRPr="0025250D">
        <w:rPr>
          <w:vertAlign w:val="superscript"/>
          <w:rtl/>
        </w:rPr>
        <w:footnoteReference w:id="212"/>
      </w:r>
      <w:r w:rsidRPr="0025250D">
        <w:rPr>
          <w:rFonts w:hint="cs"/>
          <w:rtl/>
        </w:rPr>
        <w:t xml:space="preserve"> و </w:t>
      </w:r>
      <w:r w:rsidRPr="0025250D">
        <w:rPr>
          <w:rtl/>
        </w:rPr>
        <w:t>موبورن</w:t>
      </w:r>
      <w:r w:rsidRPr="0025250D">
        <w:rPr>
          <w:vertAlign w:val="superscript"/>
          <w:rtl/>
        </w:rPr>
        <w:footnoteReference w:id="213"/>
      </w:r>
      <w:r w:rsidRPr="0025250D">
        <w:rPr>
          <w:rFonts w:hint="cs"/>
          <w:rtl/>
        </w:rPr>
        <w:t xml:space="preserve"> را مطالعه نمایید. عیب اصطلاح </w:t>
      </w:r>
      <w:r w:rsidRPr="0025250D">
        <w:rPr>
          <w:rtl/>
        </w:rPr>
        <w:t>آینده‌نگاری</w:t>
      </w:r>
      <w:r w:rsidRPr="0025250D">
        <w:rPr>
          <w:rFonts w:hint="cs"/>
          <w:rtl/>
        </w:rPr>
        <w:t>، از طرف دیگر، این است که به آموزش بیش‌تری برای مخاطبین جهت درک چیستی آن و این‌که چه کاری انجام می‌دهد، نیاز است. خوشبختانه، کتاب‌هایی مانند این</w:t>
      </w:r>
      <w:r w:rsidR="00CF59DF" w:rsidRPr="0025250D">
        <w:rPr>
          <w:rFonts w:hint="cs"/>
          <w:rtl/>
        </w:rPr>
        <w:t xml:space="preserve"> کتاب</w:t>
      </w:r>
      <w:r w:rsidRPr="0025250D">
        <w:rPr>
          <w:rFonts w:hint="cs"/>
          <w:rtl/>
        </w:rPr>
        <w:t xml:space="preserve"> می‌توانند به ما برای این آموزش کمک کنند.</w:t>
      </w:r>
    </w:p>
    <w:p w14:paraId="464F7C70" w14:textId="215F0382" w:rsidR="0020732A" w:rsidRPr="0025250D" w:rsidRDefault="0020732A" w:rsidP="0020732A">
      <w:pPr>
        <w:rPr>
          <w:rtl/>
        </w:rPr>
      </w:pPr>
      <w:r w:rsidRPr="0025250D">
        <w:rPr>
          <w:rFonts w:hint="cs"/>
          <w:rtl/>
        </w:rPr>
        <w:t xml:space="preserve">یک تعریف کلی از یک شغل </w:t>
      </w:r>
      <w:r w:rsidRPr="0025250D">
        <w:rPr>
          <w:rtl/>
        </w:rPr>
        <w:t>آینده‌نگاری</w:t>
      </w:r>
      <w:r w:rsidRPr="0025250D">
        <w:rPr>
          <w:rFonts w:hint="cs"/>
          <w:rtl/>
        </w:rPr>
        <w:t xml:space="preserve"> می‌تواند هر جایگاه، حرفه یا نقشی باشد که به‌صورت ارادی و روش</w:t>
      </w:r>
      <w:r w:rsidR="00CF59DF" w:rsidRPr="0025250D">
        <w:rPr>
          <w:rFonts w:hint="cs"/>
          <w:rtl/>
        </w:rPr>
        <w:t>‌</w:t>
      </w:r>
      <w:r w:rsidRPr="0025250D">
        <w:rPr>
          <w:rFonts w:hint="cs"/>
          <w:rtl/>
        </w:rPr>
        <w:t xml:space="preserve">مند در تحلیل آینده برای یک کارسپار مشارکت دارد و این کار بر </w:t>
      </w:r>
      <w:r w:rsidR="00701E03" w:rsidRPr="0025250D">
        <w:rPr>
          <w:rFonts w:hint="cs"/>
          <w:rtl/>
        </w:rPr>
        <w:t>راهبرد</w:t>
      </w:r>
      <w:r w:rsidRPr="0025250D">
        <w:rPr>
          <w:rFonts w:hint="cs"/>
          <w:rtl/>
        </w:rPr>
        <w:t>‌ها و اغلب بر پیشایندها و وابسته‌های آن‌ها، به‌عنوان بخشی از کارکرد آن تأثیر می‌گذارد. به شکل ایدئال، مسئولیت این تحلیل آینده صر</w:t>
      </w:r>
      <w:r w:rsidR="00CF59DF" w:rsidRPr="0025250D">
        <w:rPr>
          <w:rFonts w:hint="cs"/>
          <w:rtl/>
        </w:rPr>
        <w:t>احتاً</w:t>
      </w:r>
      <w:r w:rsidRPr="0025250D">
        <w:rPr>
          <w:rFonts w:hint="cs"/>
          <w:rtl/>
        </w:rPr>
        <w:t xml:space="preserve"> در شرح وظایف شغلی ما بیان خواهد شد. هدف اصلی این کتاب کمک به </w:t>
      </w:r>
      <w:r w:rsidRPr="0025250D">
        <w:rPr>
          <w:rtl/>
        </w:rPr>
        <w:t>آینده‌نگار</w:t>
      </w:r>
      <w:r w:rsidRPr="0025250D">
        <w:rPr>
          <w:rFonts w:hint="cs"/>
          <w:rtl/>
        </w:rPr>
        <w:t>ان جهان برای شناخت شدن و یادگیری این‌</w:t>
      </w:r>
      <w:r w:rsidR="00CF59DF" w:rsidRPr="0025250D">
        <w:rPr>
          <w:rFonts w:hint="cs"/>
          <w:rtl/>
        </w:rPr>
        <w:t xml:space="preserve"> است </w:t>
      </w:r>
      <w:r w:rsidRPr="0025250D">
        <w:rPr>
          <w:rFonts w:hint="cs"/>
          <w:rtl/>
        </w:rPr>
        <w:t>که چگونه می‌توانند بهتر شوند.</w:t>
      </w:r>
    </w:p>
    <w:p w14:paraId="7265B664" w14:textId="77777777" w:rsidR="0020732A" w:rsidRPr="0025250D" w:rsidRDefault="0020732A" w:rsidP="0020732A">
      <w:pPr>
        <w:rPr>
          <w:rtl/>
        </w:rPr>
      </w:pPr>
    </w:p>
    <w:p w14:paraId="43131523" w14:textId="77777777" w:rsidR="0020732A" w:rsidRPr="0025250D" w:rsidRDefault="0020732A" w:rsidP="0020732A">
      <w:pPr>
        <w:rPr>
          <w:rtl/>
        </w:rPr>
      </w:pPr>
    </w:p>
    <w:p w14:paraId="4E1EAE77" w14:textId="77777777" w:rsidR="0020732A" w:rsidRPr="0025250D" w:rsidRDefault="0020732A" w:rsidP="0020732A">
      <w:pPr>
        <w:rPr>
          <w:rtl/>
        </w:rPr>
      </w:pPr>
    </w:p>
    <w:p w14:paraId="0A17E167" w14:textId="77777777" w:rsidR="0020732A" w:rsidRPr="0025250D" w:rsidRDefault="0020732A" w:rsidP="0020732A">
      <w:pPr>
        <w:rPr>
          <w:rtl/>
        </w:rPr>
      </w:pPr>
    </w:p>
    <w:p w14:paraId="512EDB8C" w14:textId="77777777" w:rsidR="0020732A" w:rsidRPr="0025250D" w:rsidRDefault="0020732A" w:rsidP="0020732A">
      <w:pPr>
        <w:rPr>
          <w:rtl/>
        </w:rPr>
      </w:pPr>
    </w:p>
    <w:p w14:paraId="0DA96D5E" w14:textId="77777777" w:rsidR="0020732A" w:rsidRPr="0025250D" w:rsidRDefault="0020732A" w:rsidP="0020732A">
      <w:pPr>
        <w:rPr>
          <w:rtl/>
        </w:rPr>
      </w:pPr>
    </w:p>
    <w:p w14:paraId="17D308A7" w14:textId="77777777" w:rsidR="0020732A" w:rsidRPr="0025250D" w:rsidRDefault="0020732A" w:rsidP="0020732A">
      <w:pPr>
        <w:rPr>
          <w:rtl/>
        </w:rPr>
      </w:pPr>
    </w:p>
    <w:p w14:paraId="05A98803" w14:textId="77777777" w:rsidR="0020732A" w:rsidRPr="0025250D" w:rsidRDefault="0020732A" w:rsidP="00537CC8">
      <w:pPr>
        <w:pStyle w:val="Heading2"/>
        <w:rPr>
          <w:rtl/>
        </w:rPr>
      </w:pPr>
      <w:bookmarkStart w:id="9" w:name="_Toc127831274"/>
      <w:r w:rsidRPr="0025250D">
        <w:rPr>
          <w:rFonts w:hint="cs"/>
          <w:rtl/>
        </w:rPr>
        <w:lastRenderedPageBreak/>
        <w:t>تحلیل تغییر: هرم زمان (گذشته، آینده، حال)</w:t>
      </w:r>
      <w:bookmarkEnd w:id="9"/>
    </w:p>
    <w:p w14:paraId="53D3A172" w14:textId="6D91C10F" w:rsidR="0020732A" w:rsidRPr="0025250D" w:rsidRDefault="0020732A" w:rsidP="0020732A">
      <w:pPr>
        <w:rPr>
          <w:rtl/>
        </w:rPr>
      </w:pPr>
      <w:r w:rsidRPr="0025250D">
        <w:rPr>
          <w:rFonts w:hint="cs"/>
          <w:rtl/>
        </w:rPr>
        <w:t xml:space="preserve">علم شناخت به ما می‌گوید که هر حیات هوشمند از سه دیدگاه زمانی برای </w:t>
      </w:r>
      <w:r w:rsidR="00AE5BE0" w:rsidRPr="0025250D">
        <w:rPr>
          <w:rFonts w:hint="cs"/>
          <w:rtl/>
        </w:rPr>
        <w:t>انطباق</w:t>
      </w:r>
      <w:r w:rsidRPr="0025250D">
        <w:rPr>
          <w:rFonts w:hint="cs"/>
          <w:rtl/>
        </w:rPr>
        <w:t xml:space="preserve"> با محیط خود استفاده می‌کند: (1) زمان گذشته (</w:t>
      </w:r>
      <w:r w:rsidR="00116646" w:rsidRPr="0025250D">
        <w:rPr>
          <w:rtl/>
        </w:rPr>
        <w:t>«</w:t>
      </w:r>
      <w:r w:rsidRPr="0025250D">
        <w:rPr>
          <w:rFonts w:hint="cs"/>
          <w:rtl/>
        </w:rPr>
        <w:t>قبل</w:t>
      </w:r>
      <w:r w:rsidRPr="0025250D">
        <w:rPr>
          <w:vertAlign w:val="superscript"/>
          <w:rtl/>
        </w:rPr>
        <w:footnoteReference w:id="214"/>
      </w:r>
      <w:r w:rsidR="00116646" w:rsidRPr="0025250D">
        <w:rPr>
          <w:rtl/>
        </w:rPr>
        <w:t>»</w:t>
      </w:r>
      <w:r w:rsidRPr="0025250D">
        <w:rPr>
          <w:rFonts w:hint="cs"/>
          <w:rtl/>
        </w:rPr>
        <w:t xml:space="preserve">) یا </w:t>
      </w:r>
      <w:r w:rsidR="00BC7179" w:rsidRPr="0025250D">
        <w:rPr>
          <w:rtl/>
        </w:rPr>
        <w:t>گذشته‌نگار</w:t>
      </w:r>
      <w:r w:rsidR="00BC7179" w:rsidRPr="0025250D">
        <w:rPr>
          <w:rFonts w:hint="cs"/>
          <w:rtl/>
        </w:rPr>
        <w:t>ی</w:t>
      </w:r>
      <w:r w:rsidRPr="0025250D">
        <w:rPr>
          <w:vertAlign w:val="superscript"/>
          <w:rtl/>
        </w:rPr>
        <w:footnoteReference w:id="215"/>
      </w:r>
      <w:r w:rsidRPr="0025250D">
        <w:rPr>
          <w:rFonts w:hint="cs"/>
          <w:rtl/>
        </w:rPr>
        <w:t>: تاریخ، تجربه، داده‌ها، روندها، اقدامات، فرضیه ‌ها، مدل ها</w:t>
      </w:r>
      <w:r w:rsidR="00CF59DF" w:rsidRPr="0025250D">
        <w:rPr>
          <w:rFonts w:hint="cs"/>
          <w:rtl/>
        </w:rPr>
        <w:t>،</w:t>
      </w:r>
      <w:r w:rsidRPr="0025250D">
        <w:rPr>
          <w:rFonts w:hint="cs"/>
          <w:rtl/>
        </w:rPr>
        <w:t xml:space="preserve"> (2) زمان حال (</w:t>
      </w:r>
      <w:r w:rsidR="00116646" w:rsidRPr="0025250D">
        <w:rPr>
          <w:rtl/>
        </w:rPr>
        <w:t>«</w:t>
      </w:r>
      <w:r w:rsidRPr="0025250D">
        <w:rPr>
          <w:rFonts w:hint="cs"/>
          <w:rtl/>
        </w:rPr>
        <w:t>اکنون</w:t>
      </w:r>
      <w:r w:rsidRPr="0025250D">
        <w:rPr>
          <w:vertAlign w:val="superscript"/>
          <w:rtl/>
        </w:rPr>
        <w:footnoteReference w:id="216"/>
      </w:r>
      <w:r w:rsidR="00116646" w:rsidRPr="0025250D">
        <w:rPr>
          <w:rtl/>
        </w:rPr>
        <w:t>»</w:t>
      </w:r>
      <w:r w:rsidRPr="0025250D">
        <w:rPr>
          <w:rFonts w:hint="cs"/>
          <w:rtl/>
        </w:rPr>
        <w:t>) یا بینش: درون نگری</w:t>
      </w:r>
      <w:r w:rsidRPr="0025250D">
        <w:rPr>
          <w:vertAlign w:val="superscript"/>
          <w:rtl/>
        </w:rPr>
        <w:footnoteReference w:id="217"/>
      </w:r>
      <w:r w:rsidRPr="0025250D">
        <w:rPr>
          <w:rFonts w:hint="cs"/>
          <w:rtl/>
        </w:rPr>
        <w:t xml:space="preserve"> یا آگاهی و درک خود؛ و برون نگری</w:t>
      </w:r>
      <w:r w:rsidRPr="0025250D">
        <w:rPr>
          <w:vertAlign w:val="superscript"/>
          <w:rtl/>
        </w:rPr>
        <w:footnoteReference w:id="218"/>
      </w:r>
      <w:r w:rsidRPr="0025250D">
        <w:rPr>
          <w:rFonts w:hint="cs"/>
          <w:rtl/>
        </w:rPr>
        <w:t xml:space="preserve"> یا آگاهی و درک اجتماعی و موقعیتی</w:t>
      </w:r>
      <w:r w:rsidR="00CF59DF" w:rsidRPr="0025250D">
        <w:rPr>
          <w:rFonts w:hint="cs"/>
          <w:rtl/>
        </w:rPr>
        <w:t>،</w:t>
      </w:r>
      <w:r w:rsidRPr="0025250D">
        <w:rPr>
          <w:rFonts w:hint="cs"/>
          <w:rtl/>
        </w:rPr>
        <w:t xml:space="preserve"> (3) آینده (</w:t>
      </w:r>
      <w:r w:rsidR="00116646" w:rsidRPr="0025250D">
        <w:rPr>
          <w:rtl/>
        </w:rPr>
        <w:t>«</w:t>
      </w:r>
      <w:r w:rsidRPr="0025250D">
        <w:rPr>
          <w:rFonts w:hint="cs"/>
          <w:rtl/>
        </w:rPr>
        <w:t>بعد</w:t>
      </w:r>
      <w:r w:rsidRPr="0025250D">
        <w:rPr>
          <w:vertAlign w:val="superscript"/>
          <w:rtl/>
        </w:rPr>
        <w:footnoteReference w:id="219"/>
      </w:r>
      <w:r w:rsidR="00116646" w:rsidRPr="0025250D">
        <w:rPr>
          <w:rtl/>
        </w:rPr>
        <w:t>»</w:t>
      </w:r>
      <w:r w:rsidRPr="0025250D">
        <w:rPr>
          <w:rFonts w:hint="cs"/>
          <w:rtl/>
        </w:rPr>
        <w:t xml:space="preserve">) یا </w:t>
      </w:r>
      <w:r w:rsidRPr="0025250D">
        <w:rPr>
          <w:rtl/>
        </w:rPr>
        <w:t>آینده‌نگاری</w:t>
      </w:r>
      <w:r w:rsidRPr="0025250D">
        <w:rPr>
          <w:rFonts w:hint="cs"/>
          <w:rtl/>
        </w:rPr>
        <w:t xml:space="preserve">: احتمالات، موارد </w:t>
      </w:r>
      <w:r w:rsidR="00B453C0" w:rsidRPr="0025250D">
        <w:rPr>
          <w:rFonts w:hint="cs"/>
          <w:rtl/>
        </w:rPr>
        <w:t>امکان‌پذیر</w:t>
      </w:r>
      <w:r w:rsidRPr="0025250D">
        <w:rPr>
          <w:rFonts w:hint="cs"/>
          <w:rtl/>
        </w:rPr>
        <w:t>، ترجیحات و آینده‌های قابل اجتناب</w:t>
      </w:r>
      <w:r w:rsidRPr="0025250D">
        <w:rPr>
          <w:vertAlign w:val="superscript"/>
          <w:rtl/>
        </w:rPr>
        <w:footnoteReference w:id="220"/>
      </w:r>
      <w:r w:rsidRPr="0025250D">
        <w:rPr>
          <w:rFonts w:hint="cs"/>
          <w:rtl/>
        </w:rPr>
        <w:t xml:space="preserve"> امروز، کوتاه‌مدت، میان مدت و بلندمدت (این چهار دوره زمانی را به‌صورت خلاصه تعریف خواهیم کرد). شکل زیر به‌عنوان ساعت شنی </w:t>
      </w:r>
      <w:r w:rsidRPr="0025250D">
        <w:rPr>
          <w:rtl/>
        </w:rPr>
        <w:t>آینده‌نگاری</w:t>
      </w:r>
      <w:r w:rsidRPr="0025250D">
        <w:rPr>
          <w:vertAlign w:val="superscript"/>
        </w:rPr>
        <w:footnoteReference w:id="221"/>
      </w:r>
      <w:r w:rsidRPr="0025250D">
        <w:rPr>
          <w:rFonts w:hint="cs"/>
          <w:rtl/>
        </w:rPr>
        <w:t xml:space="preserve"> شناخته می‌شود. این شکل به ما یادآوری می‌کند که گذشته به زمان حال همگرا شده و آینده همواره در حال واگرا شدن با یک مجموعه در حال انبساط از احتمالات است. بااین‌حال وقتی عمیق‌تر نگاه می‌کنیم، می‌آموزیم که این ساعت شنی بیش از حد ساده سازی شده است. در واقعیت، گذشته هم از طریق فرایند‌های توسعه‌ای به زمان حال همگرا شده است و هم از طریق فرایند‌های تکاملی به زمان‌های حال متعددی واگرا شده است. به‌طور مشابه، مدل‌های تکاملی-توسعه‌ای به ما می‌گویند که آینده همواره مخلوطی از واگرایی تکاملی و همگرایی توسعه‌ای خواهد بود. به‌بیان‌دیگر، هم </w:t>
      </w:r>
      <w:r w:rsidR="00116646" w:rsidRPr="0025250D">
        <w:rPr>
          <w:rtl/>
        </w:rPr>
        <w:t>«</w:t>
      </w:r>
      <w:r w:rsidRPr="0025250D">
        <w:rPr>
          <w:rFonts w:hint="cs"/>
          <w:rtl/>
        </w:rPr>
        <w:t>آینده</w:t>
      </w:r>
      <w:r w:rsidR="00CF59DF" w:rsidRPr="0025250D">
        <w:rPr>
          <w:rFonts w:hint="cs"/>
          <w:rtl/>
        </w:rPr>
        <w:t>‌</w:t>
      </w:r>
      <w:r w:rsidRPr="0025250D">
        <w:rPr>
          <w:rFonts w:hint="cs"/>
          <w:rtl/>
        </w:rPr>
        <w:t>ها</w:t>
      </w:r>
      <w:r w:rsidR="00116646" w:rsidRPr="0025250D">
        <w:rPr>
          <w:rtl/>
        </w:rPr>
        <w:t>»</w:t>
      </w:r>
      <w:r w:rsidRPr="0025250D">
        <w:rPr>
          <w:rFonts w:hint="cs"/>
          <w:rtl/>
        </w:rPr>
        <w:t xml:space="preserve"> و هم </w:t>
      </w:r>
      <w:r w:rsidR="00116646" w:rsidRPr="0025250D">
        <w:rPr>
          <w:rtl/>
        </w:rPr>
        <w:t>«</w:t>
      </w:r>
      <w:r w:rsidRPr="0025250D">
        <w:rPr>
          <w:rFonts w:hint="cs"/>
          <w:rtl/>
        </w:rPr>
        <w:t>آینده</w:t>
      </w:r>
      <w:r w:rsidR="00116646" w:rsidRPr="0025250D">
        <w:rPr>
          <w:rtl/>
        </w:rPr>
        <w:t>»</w:t>
      </w:r>
      <w:r w:rsidRPr="0025250D">
        <w:rPr>
          <w:rFonts w:hint="cs"/>
          <w:rtl/>
        </w:rPr>
        <w:t xml:space="preserve"> هم‌زمان با هم وجود خواهند داشت.</w:t>
      </w:r>
    </w:p>
    <w:p w14:paraId="78E581C1" w14:textId="02123B75" w:rsidR="0020732A" w:rsidRPr="0025250D" w:rsidRDefault="002A25C3" w:rsidP="0020732A">
      <w:pPr>
        <w:rPr>
          <w:rtl/>
        </w:rPr>
      </w:pPr>
      <w:r w:rsidRPr="0025250D">
        <w:rPr>
          <w:noProof/>
        </w:rPr>
        <w:drawing>
          <wp:inline distT="0" distB="0" distL="0" distR="0" wp14:anchorId="539F1758" wp14:editId="0C2A947C">
            <wp:extent cx="5701086" cy="2008209"/>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5712688" cy="2012296"/>
                    </a:xfrm>
                    <a:prstGeom prst="rect">
                      <a:avLst/>
                    </a:prstGeom>
                    <a:noFill/>
                  </pic:spPr>
                </pic:pic>
              </a:graphicData>
            </a:graphic>
          </wp:inline>
        </w:drawing>
      </w:r>
    </w:p>
    <w:p w14:paraId="17AFC62C" w14:textId="77777777" w:rsidR="0020732A" w:rsidRPr="0025250D" w:rsidRDefault="0020732A" w:rsidP="00537CC8">
      <w:pPr>
        <w:jc w:val="center"/>
        <w:rPr>
          <w:rtl/>
        </w:rPr>
      </w:pPr>
      <w:r w:rsidRPr="0025250D">
        <w:rPr>
          <w:rFonts w:hint="cs"/>
          <w:rtl/>
        </w:rPr>
        <w:t>ساعت شنی آینده‌نگاری. (موسسه، مک گینس</w:t>
      </w:r>
      <w:r w:rsidRPr="0025250D">
        <w:rPr>
          <w:vertAlign w:val="superscript"/>
          <w:rtl/>
        </w:rPr>
        <w:footnoteReference w:id="222"/>
      </w:r>
      <w:r w:rsidRPr="0025250D">
        <w:rPr>
          <w:rFonts w:hint="cs"/>
          <w:rtl/>
        </w:rPr>
        <w:t>)</w:t>
      </w:r>
    </w:p>
    <w:p w14:paraId="4D523F9B" w14:textId="35B2E2FA" w:rsidR="0020732A" w:rsidRPr="0025250D" w:rsidRDefault="0020732A" w:rsidP="0020732A">
      <w:pPr>
        <w:rPr>
          <w:rtl/>
        </w:rPr>
      </w:pPr>
      <w:r w:rsidRPr="0025250D">
        <w:rPr>
          <w:rFonts w:hint="cs"/>
          <w:rtl/>
        </w:rPr>
        <w:t>این</w:t>
      </w:r>
      <w:r w:rsidRPr="0025250D">
        <w:rPr>
          <w:rtl/>
        </w:rPr>
        <w:t xml:space="preserve"> </w:t>
      </w:r>
      <w:r w:rsidRPr="0025250D">
        <w:rPr>
          <w:rFonts w:hint="cs"/>
          <w:rtl/>
        </w:rPr>
        <w:t>ساعت</w:t>
      </w:r>
      <w:r w:rsidRPr="0025250D">
        <w:rPr>
          <w:rtl/>
        </w:rPr>
        <w:t xml:space="preserve"> </w:t>
      </w:r>
      <w:r w:rsidRPr="0025250D">
        <w:rPr>
          <w:rFonts w:hint="cs"/>
          <w:rtl/>
        </w:rPr>
        <w:t>شنی</w:t>
      </w:r>
      <w:r w:rsidRPr="0025250D">
        <w:rPr>
          <w:rtl/>
        </w:rPr>
        <w:t xml:space="preserve"> </w:t>
      </w:r>
      <w:r w:rsidRPr="0025250D">
        <w:rPr>
          <w:rFonts w:hint="cs"/>
          <w:rtl/>
        </w:rPr>
        <w:t>به</w:t>
      </w:r>
      <w:r w:rsidRPr="0025250D">
        <w:rPr>
          <w:rtl/>
        </w:rPr>
        <w:t xml:space="preserve"> </w:t>
      </w:r>
      <w:r w:rsidRPr="0025250D">
        <w:rPr>
          <w:rFonts w:hint="cs"/>
          <w:rtl/>
        </w:rPr>
        <w:t>ما</w:t>
      </w:r>
      <w:r w:rsidRPr="0025250D">
        <w:rPr>
          <w:rtl/>
        </w:rPr>
        <w:t xml:space="preserve"> </w:t>
      </w:r>
      <w:r w:rsidRPr="0025250D">
        <w:rPr>
          <w:rFonts w:hint="cs"/>
          <w:rtl/>
        </w:rPr>
        <w:t>یادآوری</w:t>
      </w:r>
      <w:r w:rsidRPr="0025250D">
        <w:rPr>
          <w:rtl/>
        </w:rPr>
        <w:t xml:space="preserve"> می‌</w:t>
      </w:r>
      <w:r w:rsidRPr="0025250D">
        <w:rPr>
          <w:rFonts w:hint="cs"/>
          <w:rtl/>
        </w:rPr>
        <w:t>کند</w:t>
      </w:r>
      <w:r w:rsidRPr="0025250D">
        <w:rPr>
          <w:rtl/>
        </w:rPr>
        <w:t xml:space="preserve"> </w:t>
      </w:r>
      <w:r w:rsidRPr="0025250D">
        <w:rPr>
          <w:rFonts w:hint="cs"/>
          <w:rtl/>
        </w:rPr>
        <w:t>که</w:t>
      </w:r>
      <w:r w:rsidRPr="0025250D">
        <w:rPr>
          <w:rtl/>
        </w:rPr>
        <w:t xml:space="preserve"> </w:t>
      </w:r>
      <w:r w:rsidRPr="0025250D">
        <w:rPr>
          <w:rFonts w:hint="cs"/>
          <w:rtl/>
        </w:rPr>
        <w:t>سه</w:t>
      </w:r>
      <w:r w:rsidRPr="0025250D">
        <w:rPr>
          <w:rtl/>
        </w:rPr>
        <w:t xml:space="preserve"> </w:t>
      </w:r>
      <w:r w:rsidRPr="0025250D">
        <w:rPr>
          <w:rFonts w:hint="cs"/>
          <w:rtl/>
        </w:rPr>
        <w:t>جهت</w:t>
      </w:r>
      <w:r w:rsidR="00CF59DF" w:rsidRPr="0025250D">
        <w:rPr>
          <w:rFonts w:hint="cs"/>
          <w:rtl/>
        </w:rPr>
        <w:t>‌</w:t>
      </w:r>
      <w:r w:rsidRPr="0025250D">
        <w:rPr>
          <w:rFonts w:hint="cs"/>
          <w:rtl/>
        </w:rPr>
        <w:t>گیری</w:t>
      </w:r>
      <w:r w:rsidRPr="0025250D">
        <w:rPr>
          <w:rtl/>
        </w:rPr>
        <w:t xml:space="preserve"> </w:t>
      </w:r>
      <w:r w:rsidRPr="0025250D">
        <w:rPr>
          <w:rFonts w:hint="cs"/>
          <w:rtl/>
        </w:rPr>
        <w:t>زمانی</w:t>
      </w:r>
      <w:r w:rsidRPr="0025250D">
        <w:rPr>
          <w:rtl/>
        </w:rPr>
        <w:t xml:space="preserve"> </w:t>
      </w:r>
      <w:r w:rsidRPr="0025250D">
        <w:rPr>
          <w:rFonts w:hint="cs"/>
          <w:rtl/>
        </w:rPr>
        <w:t>وجود</w:t>
      </w:r>
      <w:r w:rsidRPr="0025250D">
        <w:rPr>
          <w:rtl/>
        </w:rPr>
        <w:t xml:space="preserve"> </w:t>
      </w:r>
      <w:r w:rsidRPr="0025250D">
        <w:rPr>
          <w:rFonts w:hint="cs"/>
          <w:rtl/>
        </w:rPr>
        <w:t>دارند</w:t>
      </w:r>
      <w:r w:rsidRPr="0025250D">
        <w:rPr>
          <w:rtl/>
        </w:rPr>
        <w:t xml:space="preserve">: </w:t>
      </w:r>
      <w:r w:rsidRPr="0025250D">
        <w:rPr>
          <w:rFonts w:hint="cs"/>
          <w:rtl/>
        </w:rPr>
        <w:t xml:space="preserve">پس‌نگری ما (دانش ما از گذشته)، بینش ما (آگاهی از واقعیت کنونی) و </w:t>
      </w:r>
      <w:r w:rsidRPr="0025250D">
        <w:rPr>
          <w:rtl/>
        </w:rPr>
        <w:t>آینده‌نگاری</w:t>
      </w:r>
      <w:r w:rsidRPr="0025250D">
        <w:rPr>
          <w:rFonts w:hint="cs"/>
          <w:rtl/>
        </w:rPr>
        <w:t xml:space="preserve"> (توانایی ما برای پیش‌انگاری، خلق و بهبود آینده) برای </w:t>
      </w:r>
      <w:r w:rsidR="00AE5BE0" w:rsidRPr="0025250D">
        <w:rPr>
          <w:rFonts w:hint="cs"/>
          <w:rtl/>
        </w:rPr>
        <w:t>انطباق</w:t>
      </w:r>
      <w:r w:rsidRPr="0025250D">
        <w:rPr>
          <w:rFonts w:hint="cs"/>
          <w:rtl/>
        </w:rPr>
        <w:t xml:space="preserve">. توجه کنید که آخرین مورد از این سه جهتگیری، یعنی </w:t>
      </w:r>
      <w:r w:rsidRPr="0025250D">
        <w:rPr>
          <w:rtl/>
        </w:rPr>
        <w:t>آینده‌نگاری</w:t>
      </w:r>
      <w:r w:rsidRPr="0025250D">
        <w:rPr>
          <w:rFonts w:hint="cs"/>
          <w:rtl/>
        </w:rPr>
        <w:t xml:space="preserve">، بر خلاف بقیه، ما را ملزم می‌کند که هر دو مورد دیگر را نیز به‌خوبی تمرین کنیم. این امر </w:t>
      </w:r>
      <w:r w:rsidR="00CF59DF" w:rsidRPr="0025250D">
        <w:rPr>
          <w:rFonts w:hint="cs"/>
          <w:rtl/>
        </w:rPr>
        <w:t>آینده‌نگاری</w:t>
      </w:r>
      <w:r w:rsidRPr="0025250D">
        <w:rPr>
          <w:rFonts w:hint="cs"/>
          <w:rtl/>
        </w:rPr>
        <w:t xml:space="preserve"> را به سخت‌ترین مورد از این سه تبدیل می‌کند</w:t>
      </w:r>
      <w:r w:rsidR="008D6F97" w:rsidRPr="0025250D">
        <w:rPr>
          <w:rtl/>
        </w:rPr>
        <w:t xml:space="preserve">؛ </w:t>
      </w:r>
      <w:r w:rsidR="0020589F" w:rsidRPr="0025250D">
        <w:rPr>
          <w:rtl/>
        </w:rPr>
        <w:t>اما</w:t>
      </w:r>
      <w:r w:rsidRPr="0025250D">
        <w:rPr>
          <w:rFonts w:hint="cs"/>
          <w:rtl/>
        </w:rPr>
        <w:t xml:space="preserve"> </w:t>
      </w:r>
      <w:r w:rsidRPr="0025250D">
        <w:rPr>
          <w:rtl/>
        </w:rPr>
        <w:t>آینده‌نگاری</w:t>
      </w:r>
      <w:r w:rsidRPr="0025250D">
        <w:rPr>
          <w:rFonts w:hint="cs"/>
          <w:rtl/>
        </w:rPr>
        <w:t xml:space="preserve"> بیش‌ترین پاداش را نیز برای ما فراهم می‌کند: یک چشم‌انداز واضح‌تر و </w:t>
      </w:r>
      <w:r w:rsidR="00AE5BE0" w:rsidRPr="0025250D">
        <w:rPr>
          <w:rFonts w:hint="cs"/>
          <w:rtl/>
        </w:rPr>
        <w:t>منطبق‌تر</w:t>
      </w:r>
      <w:r w:rsidRPr="0025250D">
        <w:rPr>
          <w:rFonts w:hint="cs"/>
          <w:rtl/>
        </w:rPr>
        <w:t xml:space="preserve"> از آنچه می‌تواند رخ دهد و </w:t>
      </w:r>
      <w:r w:rsidR="00701E03" w:rsidRPr="0025250D">
        <w:rPr>
          <w:rFonts w:hint="cs"/>
          <w:rtl/>
        </w:rPr>
        <w:t>راهبرد</w:t>
      </w:r>
      <w:r w:rsidRPr="0025250D">
        <w:rPr>
          <w:rFonts w:hint="cs"/>
          <w:rtl/>
        </w:rPr>
        <w:t xml:space="preserve"> برای آنچه می‌توانیم پس از آن با زندگی خود انجام دهیم. بار دیگر، به این دلیل که </w:t>
      </w:r>
      <w:r w:rsidRPr="0025250D">
        <w:rPr>
          <w:rtl/>
        </w:rPr>
        <w:t>آینده‌نگاری</w:t>
      </w:r>
      <w:r w:rsidRPr="0025250D">
        <w:rPr>
          <w:rFonts w:hint="cs"/>
          <w:rtl/>
        </w:rPr>
        <w:t xml:space="preserve"> بسیار ارزشمند است، مغز‌های ما بیش</w:t>
      </w:r>
      <w:r w:rsidRPr="0025250D">
        <w:rPr>
          <w:rtl/>
        </w:rPr>
        <w:t xml:space="preserve">‌تر </w:t>
      </w:r>
      <w:r w:rsidRPr="0025250D">
        <w:rPr>
          <w:rFonts w:hint="cs"/>
          <w:rtl/>
        </w:rPr>
        <w:t>در</w:t>
      </w:r>
      <w:r w:rsidRPr="0025250D">
        <w:rPr>
          <w:rtl/>
        </w:rPr>
        <w:t xml:space="preserve"> </w:t>
      </w:r>
      <w:r w:rsidRPr="0025250D">
        <w:rPr>
          <w:rFonts w:hint="cs"/>
          <w:rtl/>
        </w:rPr>
        <w:t>سطح</w:t>
      </w:r>
      <w:r w:rsidRPr="0025250D">
        <w:rPr>
          <w:rtl/>
        </w:rPr>
        <w:t xml:space="preserve"> </w:t>
      </w:r>
      <w:r w:rsidRPr="0025250D">
        <w:rPr>
          <w:rFonts w:hint="cs"/>
          <w:rtl/>
        </w:rPr>
        <w:t>ناخودآگاه</w:t>
      </w:r>
      <w:r w:rsidRPr="0025250D">
        <w:rPr>
          <w:rtl/>
        </w:rPr>
        <w:t xml:space="preserve"> </w:t>
      </w:r>
      <w:r w:rsidRPr="0025250D">
        <w:rPr>
          <w:rFonts w:hint="cs"/>
          <w:rtl/>
        </w:rPr>
        <w:t>و</w:t>
      </w:r>
      <w:r w:rsidRPr="0025250D">
        <w:rPr>
          <w:rtl/>
        </w:rPr>
        <w:t xml:space="preserve"> </w:t>
      </w:r>
      <w:r w:rsidRPr="0025250D">
        <w:rPr>
          <w:rFonts w:hint="cs"/>
          <w:rtl/>
        </w:rPr>
        <w:t xml:space="preserve">آنی، برای نگاه دائمی رو به جلو سازماندهی شده‌اند. آینده‌نگاری آگاهانه‌تر و افزایش افق زمانی و متوازن ساختن آن با تفکر گذشته و حال، کلید‌های </w:t>
      </w:r>
      <w:r w:rsidR="00CF59DF" w:rsidRPr="0025250D">
        <w:rPr>
          <w:rFonts w:hint="cs"/>
          <w:rtl/>
        </w:rPr>
        <w:t>انطباقی</w:t>
      </w:r>
      <w:r w:rsidRPr="0025250D">
        <w:rPr>
          <w:rFonts w:hint="cs"/>
          <w:rtl/>
        </w:rPr>
        <w:t xml:space="preserve"> بودن هستند.</w:t>
      </w:r>
    </w:p>
    <w:p w14:paraId="675EEAEF" w14:textId="34A3A9A7" w:rsidR="0020732A" w:rsidRPr="0025250D" w:rsidRDefault="0020732A" w:rsidP="0020732A">
      <w:pPr>
        <w:rPr>
          <w:rtl/>
        </w:rPr>
      </w:pPr>
      <w:r w:rsidRPr="0025250D">
        <w:rPr>
          <w:rFonts w:hint="cs"/>
          <w:rtl/>
        </w:rPr>
        <w:t xml:space="preserve">شکل زیر که از سایت </w:t>
      </w:r>
      <w:r w:rsidRPr="0025250D">
        <w:t>MindTime.com</w:t>
      </w:r>
      <w:r w:rsidRPr="0025250D">
        <w:rPr>
          <w:rFonts w:hint="cs"/>
          <w:rtl/>
        </w:rPr>
        <w:t xml:space="preserve"> گرفته شده است، صفاتی</w:t>
      </w:r>
      <w:r w:rsidRPr="0025250D">
        <w:rPr>
          <w:vertAlign w:val="superscript"/>
          <w:rtl/>
        </w:rPr>
        <w:footnoteReference w:id="223"/>
      </w:r>
      <w:r w:rsidRPr="0025250D">
        <w:rPr>
          <w:rFonts w:hint="cs"/>
          <w:rtl/>
        </w:rPr>
        <w:t xml:space="preserve"> را که معمولاً با هر یک از این سه جهت</w:t>
      </w:r>
      <w:r w:rsidR="00CF59DF" w:rsidRPr="0025250D">
        <w:rPr>
          <w:rFonts w:hint="cs"/>
          <w:rtl/>
        </w:rPr>
        <w:t>‌</w:t>
      </w:r>
      <w:r w:rsidRPr="0025250D">
        <w:rPr>
          <w:rFonts w:hint="cs"/>
          <w:rtl/>
        </w:rPr>
        <w:t xml:space="preserve">گیری پیوند دارند ارائه می‌دهد. ما به سرعت میان هر سه </w:t>
      </w:r>
      <w:r w:rsidR="00CF59DF" w:rsidRPr="0025250D">
        <w:rPr>
          <w:rFonts w:hint="cs"/>
          <w:rtl/>
        </w:rPr>
        <w:t>جهت‌گیری</w:t>
      </w:r>
      <w:r w:rsidRPr="0025250D">
        <w:rPr>
          <w:rFonts w:hint="cs"/>
          <w:rtl/>
        </w:rPr>
        <w:t xml:space="preserve"> بر روی این هرم در طول روز حرکت می‌کنیم، بااین‌حال بیش‌تر ما می‌توانیم به یک یا دو </w:t>
      </w:r>
      <w:r w:rsidR="00CF59DF" w:rsidRPr="0025250D">
        <w:rPr>
          <w:rFonts w:hint="cs"/>
          <w:rtl/>
        </w:rPr>
        <w:t>جهت‌گیری</w:t>
      </w:r>
      <w:r w:rsidRPr="0025250D">
        <w:rPr>
          <w:rFonts w:hint="cs"/>
          <w:rtl/>
        </w:rPr>
        <w:t xml:space="preserve">، </w:t>
      </w:r>
      <w:r w:rsidRPr="0025250D">
        <w:rPr>
          <w:rFonts w:hint="cs"/>
          <w:rtl/>
        </w:rPr>
        <w:lastRenderedPageBreak/>
        <w:t xml:space="preserve">به‌طور میانگین، علاقه بیش‌تری داشته باشیم. درصورتی‌که به‌خوبی تمرین کنیم، </w:t>
      </w:r>
      <w:r w:rsidR="00CF59DF" w:rsidRPr="0025250D">
        <w:rPr>
          <w:rFonts w:hint="cs"/>
          <w:rtl/>
        </w:rPr>
        <w:t>جهت‌گیری</w:t>
      </w:r>
      <w:r w:rsidRPr="0025250D">
        <w:rPr>
          <w:rFonts w:hint="cs"/>
          <w:rtl/>
        </w:rPr>
        <w:t xml:space="preserve"> زمانی مرجح ما می‌تواند مزایای خاصی را برای ما به همراه داشته باشد.</w:t>
      </w:r>
    </w:p>
    <w:p w14:paraId="3F67B38F" w14:textId="77777777" w:rsidR="0020732A" w:rsidRPr="0025250D" w:rsidRDefault="0020732A" w:rsidP="00492C47">
      <w:pPr>
        <w:numPr>
          <w:ilvl w:val="0"/>
          <w:numId w:val="5"/>
        </w:numPr>
      </w:pPr>
      <w:r w:rsidRPr="0025250D">
        <w:rPr>
          <w:rFonts w:hint="cs"/>
          <w:rtl/>
        </w:rPr>
        <w:t>متفکرین گذشته گرا می‌توانند در دیدین این‌که چه چیزی تا به حال به‌خوبی کار کرده است مهارتی برتر داشته باشند.</w:t>
      </w:r>
    </w:p>
    <w:p w14:paraId="08603B89" w14:textId="77777777" w:rsidR="0020732A" w:rsidRPr="0025250D" w:rsidRDefault="0020732A" w:rsidP="00492C47">
      <w:pPr>
        <w:numPr>
          <w:ilvl w:val="0"/>
          <w:numId w:val="5"/>
        </w:numPr>
      </w:pPr>
      <w:r w:rsidRPr="0025250D">
        <w:rPr>
          <w:rFonts w:hint="cs"/>
          <w:rtl/>
        </w:rPr>
        <w:t>متفکرین حال گرا می‌توانند در انجام امور مهارت بهتری داشته باشند.</w:t>
      </w:r>
    </w:p>
    <w:p w14:paraId="6ED8AE4A" w14:textId="77777777" w:rsidR="0020732A" w:rsidRPr="0025250D" w:rsidRDefault="0020732A" w:rsidP="00492C47">
      <w:pPr>
        <w:numPr>
          <w:ilvl w:val="0"/>
          <w:numId w:val="5"/>
        </w:numPr>
      </w:pPr>
      <w:r w:rsidRPr="0025250D">
        <w:rPr>
          <w:rFonts w:hint="cs"/>
          <w:rtl/>
        </w:rPr>
        <w:t>متفکرین آینده گرا می‌توانند در دیدن آنچه باید انجام شود بهتر باشند.</w:t>
      </w:r>
    </w:p>
    <w:p w14:paraId="09A33D94" w14:textId="17704C1E" w:rsidR="0020732A" w:rsidRPr="0025250D" w:rsidRDefault="002A25C3" w:rsidP="00D73692">
      <w:pPr>
        <w:jc w:val="center"/>
        <w:rPr>
          <w:rtl/>
        </w:rPr>
      </w:pPr>
      <w:r w:rsidRPr="0025250D">
        <w:rPr>
          <w:noProof/>
        </w:rPr>
        <w:drawing>
          <wp:inline distT="0" distB="0" distL="0" distR="0" wp14:anchorId="625D7E5A" wp14:editId="605F9CFA">
            <wp:extent cx="4421875" cy="284762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4438329" cy="2858221"/>
                    </a:xfrm>
                    <a:prstGeom prst="rect">
                      <a:avLst/>
                    </a:prstGeom>
                    <a:noFill/>
                  </pic:spPr>
                </pic:pic>
              </a:graphicData>
            </a:graphic>
          </wp:inline>
        </w:drawing>
      </w:r>
    </w:p>
    <w:p w14:paraId="567E116F" w14:textId="7730FDDF" w:rsidR="0020732A" w:rsidRPr="0025250D" w:rsidRDefault="0020732A" w:rsidP="0020732A">
      <w:pPr>
        <w:rPr>
          <w:rtl/>
        </w:rPr>
      </w:pPr>
      <w:r w:rsidRPr="0025250D">
        <w:rPr>
          <w:rFonts w:hint="cs"/>
          <w:rtl/>
        </w:rPr>
        <w:t>یک تست 18 سؤالی آنلاین در مایندتایم</w:t>
      </w:r>
      <w:r w:rsidRPr="0025250D">
        <w:rPr>
          <w:vertAlign w:val="superscript"/>
          <w:rtl/>
        </w:rPr>
        <w:footnoteReference w:id="224"/>
      </w:r>
      <w:r w:rsidRPr="0025250D">
        <w:rPr>
          <w:rFonts w:hint="cs"/>
          <w:rtl/>
        </w:rPr>
        <w:t xml:space="preserve"> ترجیح ما را نسبت به </w:t>
      </w:r>
      <w:r w:rsidR="00CF59DF" w:rsidRPr="0025250D">
        <w:rPr>
          <w:rFonts w:hint="cs"/>
          <w:rtl/>
        </w:rPr>
        <w:t>جهت‌گیری</w:t>
      </w:r>
      <w:r w:rsidRPr="0025250D">
        <w:rPr>
          <w:rFonts w:hint="cs"/>
          <w:rtl/>
        </w:rPr>
        <w:t xml:space="preserve">‌های بالا نشان می‌دهد. مرکز این تصاویر 33/33/33% است. کلمه </w:t>
      </w:r>
      <w:r w:rsidR="00116646" w:rsidRPr="0025250D">
        <w:rPr>
          <w:rtl/>
        </w:rPr>
        <w:t>«</w:t>
      </w:r>
      <w:r w:rsidRPr="0025250D">
        <w:rPr>
          <w:rFonts w:hint="cs"/>
          <w:rtl/>
        </w:rPr>
        <w:t>شما</w:t>
      </w:r>
      <w:r w:rsidRPr="0025250D">
        <w:rPr>
          <w:vertAlign w:val="superscript"/>
          <w:rtl/>
        </w:rPr>
        <w:footnoteReference w:id="225"/>
      </w:r>
      <w:r w:rsidR="00116646" w:rsidRPr="0025250D">
        <w:rPr>
          <w:rtl/>
        </w:rPr>
        <w:t>»</w:t>
      </w:r>
      <w:r w:rsidRPr="0025250D">
        <w:rPr>
          <w:rFonts w:hint="cs"/>
          <w:rtl/>
        </w:rPr>
        <w:t xml:space="preserve"> که در شکل زیر نشان داده شده (در این مورد، </w:t>
      </w:r>
      <w:r w:rsidRPr="0025250D">
        <w:rPr>
          <w:rtl/>
        </w:rPr>
        <w:t>جان</w:t>
      </w:r>
      <w:r w:rsidRPr="0025250D">
        <w:rPr>
          <w:rFonts w:hint="cs"/>
          <w:rtl/>
        </w:rPr>
        <w:t>) تمایل دارد که یک متفکر آینده گرا&gt;گذشته گرا&gt;حال گرا باشد (تقریباً 40 درصد آینده، 35 درصد گذشته، 25 درصد حال در تفکر خود، به‌طور میانگین</w:t>
      </w:r>
      <w:r w:rsidR="008D6F97" w:rsidRPr="0025250D">
        <w:rPr>
          <w:rtl/>
        </w:rPr>
        <w:t xml:space="preserve"> </w:t>
      </w:r>
      <w:r w:rsidRPr="0025250D">
        <w:rPr>
          <w:rFonts w:hint="cs"/>
          <w:rtl/>
        </w:rPr>
        <w:t>که با انحراف از مرکز تخمین زده شده است). این سلسله</w:t>
      </w:r>
      <w:r w:rsidR="00D73692" w:rsidRPr="0025250D">
        <w:rPr>
          <w:rFonts w:hint="cs"/>
          <w:rtl/>
        </w:rPr>
        <w:t>‌</w:t>
      </w:r>
      <w:r w:rsidRPr="0025250D">
        <w:rPr>
          <w:rFonts w:hint="cs"/>
          <w:rtl/>
        </w:rPr>
        <w:t>مراتب</w:t>
      </w:r>
      <w:r w:rsidR="00D73692" w:rsidRPr="0025250D">
        <w:rPr>
          <w:rFonts w:hint="cs"/>
          <w:rtl/>
        </w:rPr>
        <w:t xml:space="preserve"> که</w:t>
      </w:r>
      <w:r w:rsidRPr="0025250D">
        <w:rPr>
          <w:rFonts w:hint="cs"/>
          <w:rtl/>
        </w:rPr>
        <w:t xml:space="preserve"> به‌طور ضمنی در این تصویر نشان داده شده است، یک بینش کلیدی را بیان می‌کند. زمان حال مهم‌ترین مورد در بین این سه </w:t>
      </w:r>
      <w:r w:rsidR="00CF59DF" w:rsidRPr="0025250D">
        <w:rPr>
          <w:rFonts w:hint="cs"/>
          <w:rtl/>
        </w:rPr>
        <w:t>جهت‌گیری</w:t>
      </w:r>
      <w:r w:rsidRPr="0025250D">
        <w:rPr>
          <w:rFonts w:hint="cs"/>
          <w:rtl/>
        </w:rPr>
        <w:t xml:space="preserve"> ازنظر اجتماعی است. این مورد به جایی که نشان داده شده تعلق دارد، در بالای هرم زمانی ما. در همه سامانه‌های </w:t>
      </w:r>
      <w:r w:rsidR="00AE5BE0" w:rsidRPr="0025250D">
        <w:rPr>
          <w:rFonts w:hint="cs"/>
          <w:rtl/>
        </w:rPr>
        <w:t>انطباقی</w:t>
      </w:r>
      <w:r w:rsidRPr="0025250D">
        <w:rPr>
          <w:rFonts w:hint="cs"/>
          <w:rtl/>
        </w:rPr>
        <w:t xml:space="preserve"> (مردم، تیم‌ها، شرکت ‌ها، جوامع)، تفکر گذشته گرای ما (حافظه) و تفکر آینده گرا (</w:t>
      </w:r>
      <w:r w:rsidRPr="0025250D">
        <w:rPr>
          <w:rtl/>
        </w:rPr>
        <w:t>آینده‌نگاری</w:t>
      </w:r>
      <w:r w:rsidRPr="0025250D">
        <w:rPr>
          <w:rFonts w:hint="cs"/>
          <w:rtl/>
        </w:rPr>
        <w:t xml:space="preserve">) باید در خدمت تفکر حال گرای ما برای </w:t>
      </w:r>
      <w:r w:rsidR="00AE5BE0" w:rsidRPr="0025250D">
        <w:rPr>
          <w:rFonts w:hint="cs"/>
          <w:rtl/>
        </w:rPr>
        <w:t>انطباق</w:t>
      </w:r>
      <w:r w:rsidRPr="0025250D">
        <w:rPr>
          <w:rFonts w:hint="cs"/>
          <w:rtl/>
        </w:rPr>
        <w:t xml:space="preserve"> قرار گیرند.</w:t>
      </w:r>
    </w:p>
    <w:p w14:paraId="3D6FB1C8" w14:textId="16730E58" w:rsidR="0020732A" w:rsidRPr="0025250D" w:rsidRDefault="002A25C3" w:rsidP="002A25C3">
      <w:pPr>
        <w:jc w:val="center"/>
        <w:rPr>
          <w:rtl/>
        </w:rPr>
      </w:pPr>
      <w:r w:rsidRPr="0025250D">
        <w:rPr>
          <w:noProof/>
        </w:rPr>
        <w:drawing>
          <wp:inline distT="0" distB="0" distL="0" distR="0" wp14:anchorId="25FF5568" wp14:editId="4F5FEE63">
            <wp:extent cx="4069082" cy="2299648"/>
            <wp:effectExtent l="0" t="0" r="7620" b="571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4091670" cy="2312414"/>
                    </a:xfrm>
                    <a:prstGeom prst="rect">
                      <a:avLst/>
                    </a:prstGeom>
                    <a:noFill/>
                  </pic:spPr>
                </pic:pic>
              </a:graphicData>
            </a:graphic>
          </wp:inline>
        </w:drawing>
      </w:r>
    </w:p>
    <w:p w14:paraId="01041310" w14:textId="0342A365" w:rsidR="0020732A" w:rsidRPr="0025250D" w:rsidRDefault="0020732A" w:rsidP="00007A85">
      <w:pPr>
        <w:rPr>
          <w:rtl/>
        </w:rPr>
      </w:pPr>
      <w:r w:rsidRPr="0025250D">
        <w:rPr>
          <w:rFonts w:hint="cs"/>
          <w:rtl/>
        </w:rPr>
        <w:lastRenderedPageBreak/>
        <w:t xml:space="preserve">ما می‌توانیم به‌سادگی این بینش را فراموش کنیم. به‌عنوان یک فرد، ماندن در گذشته یا رؤیاپردازی در مورد آینده ساده است. این هرم به ما یادآوری می‌کند که تفکر گذشته گرا و آینده‌گرایی خوب هم سازماندهی شده است و هم برای زمان حال، یعنی </w:t>
      </w:r>
      <w:r w:rsidR="00D87CD8" w:rsidRPr="0025250D">
        <w:rPr>
          <w:rFonts w:hint="cs"/>
          <w:rtl/>
        </w:rPr>
        <w:t>محدوده</w:t>
      </w:r>
      <w:r w:rsidRPr="0025250D">
        <w:rPr>
          <w:rFonts w:hint="cs"/>
          <w:rtl/>
        </w:rPr>
        <w:t xml:space="preserve"> عمل، مفید است. به‌عنوان رهبران و خودرهبران</w:t>
      </w:r>
      <w:r w:rsidRPr="0025250D">
        <w:rPr>
          <w:vertAlign w:val="superscript"/>
          <w:rtl/>
        </w:rPr>
        <w:footnoteReference w:id="226"/>
      </w:r>
      <w:r w:rsidRPr="0025250D">
        <w:rPr>
          <w:rFonts w:hint="cs"/>
          <w:rtl/>
        </w:rPr>
        <w:t xml:space="preserve">، ما باید ارزش و دام‌های هر یک از بازوهای هرم زمان را بشناسیم و بتوانیم به تیم خود برای حرکت میان </w:t>
      </w:r>
      <w:r w:rsidR="00CF59DF" w:rsidRPr="0025250D">
        <w:rPr>
          <w:rFonts w:hint="cs"/>
          <w:rtl/>
        </w:rPr>
        <w:t>جهت‌گیری</w:t>
      </w:r>
      <w:r w:rsidRPr="0025250D">
        <w:rPr>
          <w:rFonts w:hint="cs"/>
          <w:rtl/>
        </w:rPr>
        <w:t xml:space="preserve">‌های زمانی برحسب نیاز کمک کنیم؛ درست </w:t>
      </w:r>
      <w:r w:rsidR="007118DE" w:rsidRPr="0025250D">
        <w:rPr>
          <w:rFonts w:hint="cs"/>
          <w:rtl/>
        </w:rPr>
        <w:t>همان‌طور</w:t>
      </w:r>
      <w:r w:rsidRPr="0025250D">
        <w:rPr>
          <w:rFonts w:hint="cs"/>
          <w:rtl/>
        </w:rPr>
        <w:t xml:space="preserve"> که ما باید به آن‌ها برای حرکت میان </w:t>
      </w:r>
      <w:r w:rsidR="00007A85" w:rsidRPr="0025250D">
        <w:rPr>
          <w:rtl/>
        </w:rPr>
        <w:t>حس‌داد</w:t>
      </w:r>
      <w:r w:rsidR="00007A85" w:rsidRPr="0025250D">
        <w:rPr>
          <w:rFonts w:hint="cs"/>
          <w:rtl/>
        </w:rPr>
        <w:t>ها</w:t>
      </w:r>
      <w:r w:rsidRPr="0025250D">
        <w:rPr>
          <w:rFonts w:hint="cs"/>
          <w:rtl/>
        </w:rPr>
        <w:t xml:space="preserve"> کمک نماییم (که در این باره بحث خواهد شد). ما باید همچنین تناقضات میان </w:t>
      </w:r>
      <w:r w:rsidR="00CF59DF" w:rsidRPr="0025250D">
        <w:rPr>
          <w:rFonts w:hint="cs"/>
          <w:rtl/>
        </w:rPr>
        <w:t>جهت‌گیری</w:t>
      </w:r>
      <w:r w:rsidRPr="0025250D">
        <w:rPr>
          <w:rFonts w:hint="cs"/>
          <w:rtl/>
        </w:rPr>
        <w:t>‌های زمانی و شغل‌های مطلوبمان را دیده و مدیریت کنیم.</w:t>
      </w:r>
    </w:p>
    <w:p w14:paraId="145BF248" w14:textId="6FF3C6B5" w:rsidR="0020732A" w:rsidRPr="0025250D" w:rsidRDefault="0020732A" w:rsidP="0020732A">
      <w:pPr>
        <w:rPr>
          <w:rtl/>
        </w:rPr>
      </w:pPr>
      <w:r w:rsidRPr="0025250D">
        <w:rPr>
          <w:rFonts w:hint="cs"/>
          <w:rtl/>
        </w:rPr>
        <w:t xml:space="preserve">وقتی از تفکر گذشته گرا، حال گرا و آینده گرای خود به‌اندازه‌ای که می‌توانیم استفاده نکنیم، ممکن است نیاز باشد که تفکرمان را تغییر دهیم (راه سخت) یا شرح وظایف شغلی، تیم‌ها یا روال هایمان را تغییر دهیم (راه ساده تر) تا </w:t>
      </w:r>
      <w:r w:rsidR="00CE6A51" w:rsidRPr="0025250D">
        <w:rPr>
          <w:rFonts w:hint="cs"/>
          <w:rtl/>
        </w:rPr>
        <w:t>انطباقی‌تر</w:t>
      </w:r>
      <w:r w:rsidRPr="0025250D">
        <w:rPr>
          <w:rFonts w:hint="cs"/>
          <w:rtl/>
        </w:rPr>
        <w:t xml:space="preserve"> باشیم. اکنون در مورد ترجیحات زمانی خود فکر کنید: دوست دارید در کجای این هرم قرار بگیرید؟ تیمتان چطور؟ ترجیحات زمانی خود را چگونه رتبه بندی می‌کنید؟ آیا تمایل دارید که بیش‌تر در مورد گذشته فکر کنید؟ یا حال؟ یا آینده؟ در چه بافت</w:t>
      </w:r>
      <w:r w:rsidR="00CE6A51" w:rsidRPr="0025250D">
        <w:rPr>
          <w:rFonts w:hint="cs"/>
          <w:rtl/>
        </w:rPr>
        <w:t>‌</w:t>
      </w:r>
      <w:r w:rsidRPr="0025250D">
        <w:rPr>
          <w:rFonts w:hint="cs"/>
          <w:rtl/>
        </w:rPr>
        <w:t>هایی؟ شناخت نقاط ضعف و قوت زمانی</w:t>
      </w:r>
      <w:r w:rsidR="00CE6A51" w:rsidRPr="0025250D">
        <w:rPr>
          <w:rFonts w:hint="cs"/>
          <w:rtl/>
        </w:rPr>
        <w:t>‌</w:t>
      </w:r>
      <w:r w:rsidRPr="0025250D">
        <w:rPr>
          <w:rFonts w:hint="cs"/>
          <w:rtl/>
        </w:rPr>
        <w:t xml:space="preserve">تان می‌تواند به شما کمک کند که آنچه را نیاز دارید انجام دهید تا به متفکری اثربخش‌تر و </w:t>
      </w:r>
      <w:r w:rsidR="00701E03" w:rsidRPr="0025250D">
        <w:rPr>
          <w:rFonts w:hint="cs"/>
          <w:rtl/>
        </w:rPr>
        <w:t>راهبرد</w:t>
      </w:r>
      <w:r w:rsidRPr="0025250D">
        <w:rPr>
          <w:rFonts w:hint="cs"/>
          <w:rtl/>
        </w:rPr>
        <w:t xml:space="preserve"> پرداز</w:t>
      </w:r>
      <w:r w:rsidRPr="0025250D">
        <w:rPr>
          <w:vertAlign w:val="superscript"/>
          <w:rtl/>
        </w:rPr>
        <w:footnoteReference w:id="227"/>
      </w:r>
      <w:r w:rsidRPr="0025250D">
        <w:rPr>
          <w:rFonts w:hint="cs"/>
          <w:rtl/>
        </w:rPr>
        <w:t xml:space="preserve"> تبدیل شوید.</w:t>
      </w:r>
    </w:p>
    <w:p w14:paraId="266A60BE" w14:textId="0CB1476E" w:rsidR="0020732A" w:rsidRPr="0025250D" w:rsidRDefault="007118DE" w:rsidP="0020732A">
      <w:pPr>
        <w:rPr>
          <w:rtl/>
        </w:rPr>
      </w:pPr>
      <w:r w:rsidRPr="0025250D">
        <w:rPr>
          <w:rFonts w:hint="cs"/>
          <w:rtl/>
        </w:rPr>
        <w:t>همان‌طور</w:t>
      </w:r>
      <w:r w:rsidR="0020732A" w:rsidRPr="0025250D">
        <w:rPr>
          <w:rFonts w:hint="cs"/>
          <w:rtl/>
        </w:rPr>
        <w:t xml:space="preserve"> که ممکن است انتظار داشته باشید، این سه </w:t>
      </w:r>
      <w:r w:rsidR="00CF59DF" w:rsidRPr="0025250D">
        <w:rPr>
          <w:rFonts w:hint="cs"/>
          <w:rtl/>
        </w:rPr>
        <w:t>جهت‌گیری</w:t>
      </w:r>
      <w:r w:rsidR="0020732A" w:rsidRPr="0025250D">
        <w:rPr>
          <w:rFonts w:hint="cs"/>
          <w:rtl/>
        </w:rPr>
        <w:t xml:space="preserve"> زمانی در ارزیابی‌های </w:t>
      </w:r>
      <w:r w:rsidR="00CE6A51" w:rsidRPr="0025250D">
        <w:rPr>
          <w:rFonts w:hint="cs"/>
          <w:rtl/>
        </w:rPr>
        <w:t xml:space="preserve">متعدد </w:t>
      </w:r>
      <w:r w:rsidR="0020732A" w:rsidRPr="0025250D">
        <w:rPr>
          <w:rFonts w:hint="cs"/>
          <w:rtl/>
        </w:rPr>
        <w:t xml:space="preserve">مفید محل کار و تیم به‌صورت ضمنی وجود دارند. یک مورد ارزیابی سبک‌های محل کار </w:t>
      </w:r>
      <w:r w:rsidR="0020732A" w:rsidRPr="0025250D">
        <w:rPr>
          <w:rtl/>
        </w:rPr>
        <w:t>ش</w:t>
      </w:r>
      <w:r w:rsidR="0020732A" w:rsidRPr="0025250D">
        <w:rPr>
          <w:rFonts w:hint="cs"/>
          <w:rtl/>
        </w:rPr>
        <w:t>ی</w:t>
      </w:r>
      <w:r w:rsidR="0020732A" w:rsidRPr="0025250D">
        <w:rPr>
          <w:rFonts w:hint="eastAsia"/>
          <w:rtl/>
        </w:rPr>
        <w:t>م</w:t>
      </w:r>
      <w:r w:rsidR="0020732A" w:rsidRPr="0025250D">
        <w:rPr>
          <w:rFonts w:hint="cs"/>
          <w:rtl/>
        </w:rPr>
        <w:t>ی</w:t>
      </w:r>
      <w:r w:rsidR="0020732A" w:rsidRPr="0025250D">
        <w:rPr>
          <w:rtl/>
        </w:rPr>
        <w:t xml:space="preserve"> کسب‌وکار د</w:t>
      </w:r>
      <w:r w:rsidR="0020732A" w:rsidRPr="0025250D">
        <w:rPr>
          <w:rFonts w:hint="cs"/>
          <w:rtl/>
        </w:rPr>
        <w:t>ی</w:t>
      </w:r>
      <w:r w:rsidR="0020732A" w:rsidRPr="0025250D">
        <w:rPr>
          <w:rFonts w:hint="eastAsia"/>
          <w:rtl/>
        </w:rPr>
        <w:t>لو</w:t>
      </w:r>
      <w:r w:rsidR="0020732A" w:rsidRPr="0025250D">
        <w:rPr>
          <w:rFonts w:hint="cs"/>
          <w:rtl/>
        </w:rPr>
        <w:t>ی</w:t>
      </w:r>
      <w:r w:rsidR="0020732A" w:rsidRPr="0025250D">
        <w:rPr>
          <w:rFonts w:hint="eastAsia"/>
          <w:rtl/>
        </w:rPr>
        <w:t>ت</w:t>
      </w:r>
      <w:r w:rsidR="0020732A" w:rsidRPr="0025250D">
        <w:rPr>
          <w:vertAlign w:val="superscript"/>
          <w:rtl/>
        </w:rPr>
        <w:footnoteReference w:id="228"/>
      </w:r>
      <w:r w:rsidR="0020732A" w:rsidRPr="0025250D">
        <w:rPr>
          <w:rFonts w:hint="cs"/>
          <w:rtl/>
        </w:rPr>
        <w:t xml:space="preserve"> می‌باشد (در شکل پایین). یک مثال دیگر </w:t>
      </w:r>
      <w:r w:rsidR="0020732A" w:rsidRPr="0025250D">
        <w:rPr>
          <w:rtl/>
        </w:rPr>
        <w:t>سبک‌های خلق و خو</w:t>
      </w:r>
      <w:r w:rsidR="0020732A" w:rsidRPr="0025250D">
        <w:rPr>
          <w:rFonts w:hint="cs"/>
          <w:rtl/>
        </w:rPr>
        <w:t>ی</w:t>
      </w:r>
      <w:r w:rsidR="0020732A" w:rsidRPr="0025250D">
        <w:rPr>
          <w:rtl/>
        </w:rPr>
        <w:t xml:space="preserve"> ک</w:t>
      </w:r>
      <w:r w:rsidR="0020732A" w:rsidRPr="0025250D">
        <w:rPr>
          <w:rFonts w:hint="cs"/>
          <w:rtl/>
        </w:rPr>
        <w:t xml:space="preserve">یرسی است (که بعداً، در بخش چهار </w:t>
      </w:r>
      <w:r w:rsidR="0020732A" w:rsidRPr="0025250D">
        <w:t>P</w:t>
      </w:r>
      <w:r w:rsidR="0020732A" w:rsidRPr="0025250D">
        <w:rPr>
          <w:vertAlign w:val="superscript"/>
        </w:rPr>
        <w:footnoteReference w:id="229"/>
      </w:r>
      <w:r w:rsidR="0020732A" w:rsidRPr="0025250D">
        <w:rPr>
          <w:rFonts w:hint="cs"/>
          <w:rtl/>
        </w:rPr>
        <w:t xml:space="preserve"> بحث خواهد شد). هر دو بر اساس مدل‌های روانشناسی و علم اعصاب هستند. </w:t>
      </w:r>
      <w:r w:rsidR="0020732A" w:rsidRPr="0025250D">
        <w:rPr>
          <w:rtl/>
        </w:rPr>
        <w:t>د</w:t>
      </w:r>
      <w:r w:rsidR="0020732A" w:rsidRPr="0025250D">
        <w:rPr>
          <w:rFonts w:hint="cs"/>
          <w:rtl/>
        </w:rPr>
        <w:t>ی</w:t>
      </w:r>
      <w:r w:rsidR="0020732A" w:rsidRPr="0025250D">
        <w:rPr>
          <w:rFonts w:hint="eastAsia"/>
          <w:rtl/>
        </w:rPr>
        <w:t>لو</w:t>
      </w:r>
      <w:r w:rsidR="0020732A" w:rsidRPr="0025250D">
        <w:rPr>
          <w:rFonts w:hint="cs"/>
          <w:rtl/>
        </w:rPr>
        <w:t>ی</w:t>
      </w:r>
      <w:r w:rsidR="0020732A" w:rsidRPr="0025250D">
        <w:rPr>
          <w:rFonts w:hint="eastAsia"/>
          <w:rtl/>
        </w:rPr>
        <w:t>ت</w:t>
      </w:r>
      <w:r w:rsidR="0020732A" w:rsidRPr="0025250D">
        <w:rPr>
          <w:rFonts w:hint="cs"/>
          <w:rtl/>
        </w:rPr>
        <w:t xml:space="preserve"> به‌صورت مستقل هرم زمانی را در داده‌های خود کشف کرد. محافظین</w:t>
      </w:r>
      <w:r w:rsidR="0020732A" w:rsidRPr="0025250D">
        <w:rPr>
          <w:vertAlign w:val="superscript"/>
          <w:rtl/>
        </w:rPr>
        <w:footnoteReference w:id="230"/>
      </w:r>
      <w:r w:rsidR="0020732A" w:rsidRPr="0025250D">
        <w:rPr>
          <w:rFonts w:hint="cs"/>
          <w:rtl/>
        </w:rPr>
        <w:t>، پیشر</w:t>
      </w:r>
      <w:r w:rsidR="00CE6A51" w:rsidRPr="0025250D">
        <w:rPr>
          <w:rFonts w:hint="cs"/>
          <w:rtl/>
        </w:rPr>
        <w:t>ا</w:t>
      </w:r>
      <w:r w:rsidR="0020732A" w:rsidRPr="0025250D">
        <w:rPr>
          <w:rFonts w:hint="cs"/>
          <w:rtl/>
        </w:rPr>
        <w:t>ن‌ها</w:t>
      </w:r>
      <w:r w:rsidR="0020732A" w:rsidRPr="0025250D">
        <w:rPr>
          <w:vertAlign w:val="superscript"/>
          <w:rtl/>
        </w:rPr>
        <w:footnoteReference w:id="231"/>
      </w:r>
      <w:r w:rsidR="0020732A" w:rsidRPr="0025250D">
        <w:rPr>
          <w:rFonts w:hint="cs"/>
          <w:rtl/>
        </w:rPr>
        <w:t xml:space="preserve"> و پیشتازان</w:t>
      </w:r>
      <w:r w:rsidR="0020732A" w:rsidRPr="0025250D">
        <w:rPr>
          <w:vertAlign w:val="superscript"/>
          <w:rtl/>
        </w:rPr>
        <w:footnoteReference w:id="232"/>
      </w:r>
      <w:r w:rsidR="0020732A" w:rsidRPr="0025250D">
        <w:rPr>
          <w:rFonts w:hint="cs"/>
          <w:rtl/>
        </w:rPr>
        <w:t xml:space="preserve"> سبک‌های محل کار گذشته گرا، حال گرا و آینده گرا هستند. آن‌ها همچنین یک سبک کاری </w:t>
      </w:r>
      <w:r w:rsidR="00116646" w:rsidRPr="0025250D">
        <w:rPr>
          <w:rtl/>
        </w:rPr>
        <w:t>«</w:t>
      </w:r>
      <w:r w:rsidR="0020732A" w:rsidRPr="0025250D">
        <w:rPr>
          <w:rFonts w:hint="cs"/>
          <w:rtl/>
        </w:rPr>
        <w:t>ترکیبی</w:t>
      </w:r>
      <w:r w:rsidR="0020732A" w:rsidRPr="0025250D">
        <w:rPr>
          <w:vertAlign w:val="superscript"/>
          <w:rtl/>
        </w:rPr>
        <w:footnoteReference w:id="233"/>
      </w:r>
      <w:r w:rsidR="00116646" w:rsidRPr="0025250D">
        <w:rPr>
          <w:rtl/>
        </w:rPr>
        <w:t>»</w:t>
      </w:r>
      <w:r w:rsidR="0020732A" w:rsidRPr="0025250D">
        <w:rPr>
          <w:rFonts w:hint="cs"/>
          <w:rtl/>
        </w:rPr>
        <w:t>، به نام یکپارچه سازان</w:t>
      </w:r>
      <w:r w:rsidR="0020732A" w:rsidRPr="0025250D">
        <w:rPr>
          <w:vertAlign w:val="superscript"/>
          <w:rtl/>
        </w:rPr>
        <w:footnoteReference w:id="234"/>
      </w:r>
      <w:r w:rsidR="0020732A" w:rsidRPr="0025250D">
        <w:rPr>
          <w:rFonts w:hint="cs"/>
          <w:rtl/>
        </w:rPr>
        <w:t xml:space="preserve"> یافتند که به معنی افرادی است که دوست دارند همکاری و وابستگی متقابل را میان سه سبکی که ازنظر زمانی متمایز هستند، ترویج دهند. بسیاری از افراد ترجیح می‌دهند که تنها یک یا دو مورد از این سبک‌ها را داشته باشند.</w:t>
      </w:r>
    </w:p>
    <w:p w14:paraId="5A0E1AEC" w14:textId="65007898" w:rsidR="0020732A" w:rsidRPr="0025250D" w:rsidRDefault="0020732A" w:rsidP="0020732A">
      <w:pPr>
        <w:rPr>
          <w:rtl/>
        </w:rPr>
      </w:pPr>
      <w:r w:rsidRPr="0025250D">
        <w:rPr>
          <w:rFonts w:hint="cs"/>
          <w:rtl/>
        </w:rPr>
        <w:t>پیشران‌ها با توجه به ارزش خاص آن‌ها برای افزایش عملکرد گروه و ذات رقابتی آن‌ها، اغلب دارای بیش‌ترین دستمزد در سازمان هستند</w:t>
      </w:r>
      <w:r w:rsidRPr="0025250D">
        <w:rPr>
          <w:vertAlign w:val="superscript"/>
          <w:rtl/>
        </w:rPr>
        <w:footnoteReference w:id="235"/>
      </w:r>
      <w:r w:rsidRPr="0025250D">
        <w:rPr>
          <w:rFonts w:hint="cs"/>
          <w:rtl/>
        </w:rPr>
        <w:t xml:space="preserve">. ما آن‌ها را در بالاترین نقطه هرم در بسیاری از جداول سازمانی شرکتی قرار می‌دهیم. </w:t>
      </w:r>
      <w:r w:rsidRPr="0025250D">
        <w:rPr>
          <w:rtl/>
        </w:rPr>
        <w:t>ش</w:t>
      </w:r>
      <w:r w:rsidRPr="0025250D">
        <w:rPr>
          <w:rFonts w:hint="cs"/>
          <w:rtl/>
        </w:rPr>
        <w:t>ی</w:t>
      </w:r>
      <w:r w:rsidRPr="0025250D">
        <w:rPr>
          <w:rFonts w:hint="eastAsia"/>
          <w:rtl/>
        </w:rPr>
        <w:t>م</w:t>
      </w:r>
      <w:r w:rsidRPr="0025250D">
        <w:rPr>
          <w:rFonts w:hint="cs"/>
          <w:rtl/>
        </w:rPr>
        <w:t>ی</w:t>
      </w:r>
      <w:r w:rsidRPr="0025250D">
        <w:rPr>
          <w:rtl/>
        </w:rPr>
        <w:t xml:space="preserve"> کسب‌وکار</w:t>
      </w:r>
      <w:r w:rsidRPr="0025250D">
        <w:rPr>
          <w:rFonts w:hint="cs"/>
          <w:rtl/>
        </w:rPr>
        <w:t xml:space="preserve"> برای 200 هزار نفر از سال 2010 به بعد استفاده شده است. در اینجا یک آزمون 20 سؤالی آنلاین رایگان برای تشخیص فردی </w:t>
      </w:r>
      <w:r w:rsidR="00CE6A51" w:rsidRPr="0025250D">
        <w:rPr>
          <w:rFonts w:hint="cs"/>
          <w:rtl/>
        </w:rPr>
        <w:t>شما</w:t>
      </w:r>
      <w:r w:rsidRPr="0025250D">
        <w:rPr>
          <w:rFonts w:hint="cs"/>
          <w:rtl/>
        </w:rPr>
        <w:t xml:space="preserve"> و تیمتان از این سبک‌ها وجود دارد. </w:t>
      </w:r>
      <w:r w:rsidR="00116646" w:rsidRPr="0025250D">
        <w:rPr>
          <w:rtl/>
        </w:rPr>
        <w:t>«</w:t>
      </w:r>
      <w:r w:rsidRPr="0025250D">
        <w:rPr>
          <w:rtl/>
        </w:rPr>
        <w:t>ش</w:t>
      </w:r>
      <w:r w:rsidRPr="0025250D">
        <w:rPr>
          <w:rFonts w:hint="cs"/>
          <w:rtl/>
        </w:rPr>
        <w:t>ی</w:t>
      </w:r>
      <w:r w:rsidRPr="0025250D">
        <w:rPr>
          <w:rFonts w:hint="eastAsia"/>
          <w:rtl/>
        </w:rPr>
        <w:t>م</w:t>
      </w:r>
      <w:r w:rsidRPr="0025250D">
        <w:rPr>
          <w:rFonts w:hint="cs"/>
          <w:rtl/>
        </w:rPr>
        <w:t>ی</w:t>
      </w:r>
      <w:r w:rsidRPr="0025250D">
        <w:rPr>
          <w:rtl/>
        </w:rPr>
        <w:t xml:space="preserve"> کسب‌وکار: ا</w:t>
      </w:r>
      <w:r w:rsidRPr="0025250D">
        <w:rPr>
          <w:rFonts w:hint="cs"/>
          <w:rtl/>
        </w:rPr>
        <w:t>ی</w:t>
      </w:r>
      <w:r w:rsidRPr="0025250D">
        <w:rPr>
          <w:rFonts w:hint="eastAsia"/>
          <w:rtl/>
        </w:rPr>
        <w:t>جاد</w:t>
      </w:r>
      <w:r w:rsidRPr="0025250D">
        <w:rPr>
          <w:rtl/>
        </w:rPr>
        <w:t xml:space="preserve"> روابط کار</w:t>
      </w:r>
      <w:r w:rsidRPr="0025250D">
        <w:rPr>
          <w:rFonts w:hint="cs"/>
          <w:rtl/>
        </w:rPr>
        <w:t>ی</w:t>
      </w:r>
      <w:r w:rsidRPr="0025250D">
        <w:rPr>
          <w:rtl/>
        </w:rPr>
        <w:t xml:space="preserve"> قدرتمند</w:t>
      </w:r>
      <w:r w:rsidRPr="0025250D">
        <w:rPr>
          <w:vertAlign w:val="superscript"/>
          <w:rtl/>
        </w:rPr>
        <w:footnoteReference w:id="236"/>
      </w:r>
      <w:r w:rsidR="00116646" w:rsidRPr="0025250D">
        <w:rPr>
          <w:rtl/>
        </w:rPr>
        <w:t>»</w:t>
      </w:r>
      <w:r w:rsidRPr="0025250D">
        <w:rPr>
          <w:rFonts w:hint="cs"/>
          <w:rtl/>
        </w:rPr>
        <w:t xml:space="preserve"> اثر </w:t>
      </w:r>
      <w:r w:rsidRPr="0025250D">
        <w:rPr>
          <w:rtl/>
        </w:rPr>
        <w:t>کر</w:t>
      </w:r>
      <w:r w:rsidRPr="0025250D">
        <w:rPr>
          <w:rFonts w:hint="cs"/>
          <w:rtl/>
        </w:rPr>
        <w:t>ی</w:t>
      </w:r>
      <w:r w:rsidRPr="0025250D">
        <w:rPr>
          <w:rFonts w:hint="eastAsia"/>
          <w:rtl/>
        </w:rPr>
        <w:t>ستفورت</w:t>
      </w:r>
      <w:r w:rsidRPr="0025250D">
        <w:rPr>
          <w:vertAlign w:val="superscript"/>
          <w:rtl/>
        </w:rPr>
        <w:footnoteReference w:id="237"/>
      </w:r>
      <w:r w:rsidRPr="0025250D">
        <w:rPr>
          <w:rFonts w:hint="cs"/>
          <w:rtl/>
        </w:rPr>
        <w:t xml:space="preserve"> و </w:t>
      </w:r>
      <w:r w:rsidRPr="0025250D">
        <w:rPr>
          <w:rtl/>
        </w:rPr>
        <w:t>و</w:t>
      </w:r>
      <w:r w:rsidRPr="0025250D">
        <w:rPr>
          <w:rFonts w:hint="cs"/>
          <w:rtl/>
        </w:rPr>
        <w:t>ی</w:t>
      </w:r>
      <w:r w:rsidRPr="0025250D">
        <w:rPr>
          <w:rFonts w:hint="eastAsia"/>
          <w:rtl/>
        </w:rPr>
        <w:t>کبرگ</w:t>
      </w:r>
      <w:r w:rsidRPr="0025250D">
        <w:rPr>
          <w:vertAlign w:val="superscript"/>
          <w:rtl/>
        </w:rPr>
        <w:footnoteReference w:id="238"/>
      </w:r>
      <w:r w:rsidRPr="0025250D">
        <w:rPr>
          <w:rFonts w:hint="cs"/>
          <w:rtl/>
        </w:rPr>
        <w:t xml:space="preserve"> در سال 2018 این سبک‌ها را بررسی کرده و پیشنهاد‌هایی برای همکاری میان آن‌ها ارائه می‌دهد.</w:t>
      </w:r>
    </w:p>
    <w:p w14:paraId="6A2BB346" w14:textId="31E73213" w:rsidR="0020732A" w:rsidRPr="0025250D" w:rsidRDefault="0020732A" w:rsidP="0020732A">
      <w:pPr>
        <w:rPr>
          <w:rtl/>
        </w:rPr>
      </w:pPr>
      <w:r w:rsidRPr="0025250D">
        <w:rPr>
          <w:rFonts w:hint="cs"/>
          <w:rtl/>
        </w:rPr>
        <w:t xml:space="preserve">کدامیک از این چهار سبکِ محل کار به بهترین شکل شما را توصیف می‌کند؟ در چه بافت هایی؟ آیا می‌توانید بافت‌های سازمانی را شناسایی کنید که قدرت نسبی در هر یک از این سبک‌ها برای خوب کار کردن حیاتی باشد؟ آیا می‌توانید مسائل و مشکلات را به کسانی که در یک سبک مشخص از شما بهتر هستند واگذار کنید؟ آیا می‌توانید با شایستگی </w:t>
      </w:r>
      <w:r w:rsidR="00CE6A51" w:rsidRPr="0025250D">
        <w:rPr>
          <w:rFonts w:hint="cs"/>
          <w:rtl/>
        </w:rPr>
        <w:t>متوسط</w:t>
      </w:r>
      <w:r w:rsidRPr="0025250D">
        <w:rPr>
          <w:rFonts w:hint="cs"/>
          <w:rtl/>
        </w:rPr>
        <w:t xml:space="preserve"> در هر یک از این سبک ‌ها، درصورت نیاز کار کنید؟ چه روال</w:t>
      </w:r>
      <w:r w:rsidR="00CE6A51" w:rsidRPr="0025250D">
        <w:rPr>
          <w:rFonts w:hint="cs"/>
          <w:rtl/>
        </w:rPr>
        <w:t>‌</w:t>
      </w:r>
      <w:r w:rsidRPr="0025250D">
        <w:rPr>
          <w:rFonts w:hint="cs"/>
          <w:rtl/>
        </w:rPr>
        <w:t xml:space="preserve">ها، </w:t>
      </w:r>
      <w:r w:rsidR="00701E03" w:rsidRPr="0025250D">
        <w:rPr>
          <w:rFonts w:hint="cs"/>
          <w:rtl/>
        </w:rPr>
        <w:t>راهبرد</w:t>
      </w:r>
      <w:r w:rsidRPr="0025250D">
        <w:rPr>
          <w:rFonts w:hint="cs"/>
          <w:rtl/>
        </w:rPr>
        <w:t>‌های استخدامی یا روابطی به تیم شما برای کسب شایستگی در همه این سبک‌ها کمک خواهد کرد؟</w:t>
      </w:r>
    </w:p>
    <w:p w14:paraId="29897D5E" w14:textId="6A91BC15" w:rsidR="0020732A" w:rsidRPr="0025250D" w:rsidRDefault="00204A33" w:rsidP="00B227D1">
      <w:pPr>
        <w:jc w:val="center"/>
        <w:rPr>
          <w:rtl/>
        </w:rPr>
      </w:pPr>
      <w:r w:rsidRPr="0025250D">
        <w:rPr>
          <w:noProof/>
        </w:rPr>
        <w:lastRenderedPageBreak/>
        <w:drawing>
          <wp:inline distT="0" distB="0" distL="0" distR="0" wp14:anchorId="634EDD61" wp14:editId="52B7DBE3">
            <wp:extent cx="3579034" cy="3398293"/>
            <wp:effectExtent l="0" t="0" r="254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3600891" cy="3419046"/>
                    </a:xfrm>
                    <a:prstGeom prst="rect">
                      <a:avLst/>
                    </a:prstGeom>
                    <a:noFill/>
                  </pic:spPr>
                </pic:pic>
              </a:graphicData>
            </a:graphic>
          </wp:inline>
        </w:drawing>
      </w:r>
    </w:p>
    <w:p w14:paraId="1A9B3912" w14:textId="77777777" w:rsidR="0020732A" w:rsidRPr="0025250D" w:rsidRDefault="0020732A" w:rsidP="00537CC8">
      <w:pPr>
        <w:jc w:val="center"/>
        <w:rPr>
          <w:rtl/>
        </w:rPr>
      </w:pPr>
      <w:r w:rsidRPr="0025250D">
        <w:rPr>
          <w:rFonts w:hint="cs"/>
          <w:rtl/>
        </w:rPr>
        <w:t xml:space="preserve">چهار سبک کاری دیلویت (تشخیص </w:t>
      </w:r>
      <w:r w:rsidRPr="0025250D">
        <w:rPr>
          <w:rtl/>
        </w:rPr>
        <w:t>ش</w:t>
      </w:r>
      <w:r w:rsidRPr="0025250D">
        <w:rPr>
          <w:rFonts w:hint="cs"/>
          <w:rtl/>
        </w:rPr>
        <w:t>ی</w:t>
      </w:r>
      <w:r w:rsidRPr="0025250D">
        <w:rPr>
          <w:rFonts w:hint="eastAsia"/>
          <w:rtl/>
        </w:rPr>
        <w:t>م</w:t>
      </w:r>
      <w:r w:rsidRPr="0025250D">
        <w:rPr>
          <w:rFonts w:hint="cs"/>
          <w:rtl/>
        </w:rPr>
        <w:t>ی</w:t>
      </w:r>
      <w:r w:rsidRPr="0025250D">
        <w:rPr>
          <w:rtl/>
        </w:rPr>
        <w:t xml:space="preserve"> کسب‌وکار</w:t>
      </w:r>
      <w:r w:rsidRPr="0025250D">
        <w:rPr>
          <w:rFonts w:hint="cs"/>
          <w:rtl/>
        </w:rPr>
        <w:t>، 2010)</w:t>
      </w:r>
    </w:p>
    <w:p w14:paraId="4FE92AAD" w14:textId="77777777" w:rsidR="0020732A" w:rsidRPr="0025250D" w:rsidRDefault="0020732A" w:rsidP="0020732A">
      <w:pPr>
        <w:rPr>
          <w:rtl/>
        </w:rPr>
      </w:pPr>
    </w:p>
    <w:p w14:paraId="3F16FF19" w14:textId="77777777" w:rsidR="0020732A" w:rsidRPr="0025250D" w:rsidRDefault="0020732A" w:rsidP="0020732A">
      <w:pPr>
        <w:rPr>
          <w:rtl/>
        </w:rPr>
      </w:pPr>
    </w:p>
    <w:p w14:paraId="70452A29" w14:textId="77777777" w:rsidR="0020732A" w:rsidRPr="0025250D" w:rsidRDefault="0020732A" w:rsidP="0020732A">
      <w:pPr>
        <w:rPr>
          <w:rtl/>
        </w:rPr>
      </w:pPr>
    </w:p>
    <w:p w14:paraId="286F5D0F" w14:textId="77777777" w:rsidR="0020732A" w:rsidRPr="0025250D" w:rsidRDefault="0020732A" w:rsidP="0020732A">
      <w:pPr>
        <w:rPr>
          <w:rtl/>
        </w:rPr>
      </w:pPr>
    </w:p>
    <w:p w14:paraId="5351CD28" w14:textId="77777777" w:rsidR="0020732A" w:rsidRPr="0025250D" w:rsidRDefault="0020732A" w:rsidP="0020732A">
      <w:pPr>
        <w:rPr>
          <w:rtl/>
        </w:rPr>
      </w:pPr>
    </w:p>
    <w:p w14:paraId="04386707" w14:textId="77777777" w:rsidR="0020732A" w:rsidRPr="0025250D" w:rsidRDefault="0020732A" w:rsidP="0020732A">
      <w:pPr>
        <w:rPr>
          <w:rtl/>
        </w:rPr>
      </w:pPr>
    </w:p>
    <w:p w14:paraId="79FF2EE5" w14:textId="39A2EB4D" w:rsidR="0020732A" w:rsidRPr="0025250D" w:rsidRDefault="00B13F65" w:rsidP="00537CC8">
      <w:pPr>
        <w:pStyle w:val="Heading2"/>
        <w:rPr>
          <w:rtl/>
        </w:rPr>
      </w:pPr>
      <w:bookmarkStart w:id="10" w:name="_Toc127831275"/>
      <w:r w:rsidRPr="0025250D">
        <w:rPr>
          <w:rFonts w:hint="cs"/>
          <w:rtl/>
        </w:rPr>
        <w:lastRenderedPageBreak/>
        <w:t>یکپارچه‌سازی</w:t>
      </w:r>
      <w:r w:rsidR="0020732A" w:rsidRPr="0025250D">
        <w:rPr>
          <w:rFonts w:hint="cs"/>
          <w:rtl/>
        </w:rPr>
        <w:t xml:space="preserve"> </w:t>
      </w:r>
      <w:r w:rsidR="0020732A" w:rsidRPr="0025250D">
        <w:rPr>
          <w:rtl/>
        </w:rPr>
        <w:t>آینده‌نگاری</w:t>
      </w:r>
      <w:r w:rsidR="0020732A" w:rsidRPr="0025250D">
        <w:rPr>
          <w:rFonts w:hint="cs"/>
          <w:rtl/>
        </w:rPr>
        <w:t xml:space="preserve"> و عمل: حلقه انجام (حلقه </w:t>
      </w:r>
      <w:r w:rsidR="0020732A" w:rsidRPr="0025250D">
        <w:t>LFAR</w:t>
      </w:r>
      <w:r w:rsidR="0020732A" w:rsidRPr="0025250D">
        <w:rPr>
          <w:rFonts w:hint="cs"/>
          <w:rtl/>
        </w:rPr>
        <w:t>)</w:t>
      </w:r>
      <w:bookmarkEnd w:id="10"/>
    </w:p>
    <w:p w14:paraId="4DB70E36" w14:textId="78FFEE4B" w:rsidR="0020732A" w:rsidRPr="0025250D" w:rsidRDefault="0020732A" w:rsidP="0020732A">
      <w:pPr>
        <w:rPr>
          <w:rtl/>
        </w:rPr>
      </w:pPr>
      <w:r w:rsidRPr="0025250D">
        <w:rPr>
          <w:rFonts w:hint="cs"/>
          <w:rtl/>
        </w:rPr>
        <w:t xml:space="preserve">علوم شناختی به ما می‌گوید که با استفاده از یک چرخه </w:t>
      </w:r>
      <w:r w:rsidR="00116646" w:rsidRPr="0025250D">
        <w:rPr>
          <w:rtl/>
        </w:rPr>
        <w:t>«</w:t>
      </w:r>
      <w:r w:rsidRPr="0025250D">
        <w:rPr>
          <w:rFonts w:hint="cs"/>
          <w:rtl/>
        </w:rPr>
        <w:t>ادراک-عمل</w:t>
      </w:r>
      <w:r w:rsidRPr="0025250D">
        <w:rPr>
          <w:vertAlign w:val="superscript"/>
          <w:rtl/>
        </w:rPr>
        <w:footnoteReference w:id="239"/>
      </w:r>
      <w:r w:rsidRPr="0025250D">
        <w:rPr>
          <w:rFonts w:hint="cs"/>
          <w:rtl/>
        </w:rPr>
        <w:t xml:space="preserve"> (</w:t>
      </w:r>
      <w:r w:rsidRPr="0025250D">
        <w:t>PA</w:t>
      </w:r>
      <w:r w:rsidRPr="0025250D">
        <w:rPr>
          <w:rFonts w:hint="cs"/>
          <w:rtl/>
        </w:rPr>
        <w:t>)</w:t>
      </w:r>
      <w:r w:rsidR="00116646" w:rsidRPr="0025250D">
        <w:rPr>
          <w:rtl/>
        </w:rPr>
        <w:t>»</w:t>
      </w:r>
      <w:r w:rsidRPr="0025250D">
        <w:rPr>
          <w:rFonts w:hint="cs"/>
          <w:rtl/>
        </w:rPr>
        <w:t xml:space="preserve"> با محیط خود </w:t>
      </w:r>
      <w:r w:rsidR="002F3C14" w:rsidRPr="0025250D">
        <w:rPr>
          <w:rFonts w:hint="cs"/>
          <w:rtl/>
        </w:rPr>
        <w:t>انطباق</w:t>
      </w:r>
      <w:r w:rsidRPr="0025250D">
        <w:rPr>
          <w:rFonts w:hint="cs"/>
          <w:rtl/>
        </w:rPr>
        <w:t xml:space="preserve"> </w:t>
      </w:r>
      <w:r w:rsidR="00B13F65" w:rsidRPr="0025250D">
        <w:rPr>
          <w:rFonts w:hint="cs"/>
          <w:rtl/>
        </w:rPr>
        <w:t>می‌یابیم</w:t>
      </w:r>
      <w:r w:rsidRPr="0025250D">
        <w:rPr>
          <w:rFonts w:hint="cs"/>
          <w:rtl/>
        </w:rPr>
        <w:t>. نظریه مدیریت آن را یک چرخه تصمیم‌گیری می‌نامد. این چرخه چهار گام مجزا دارد: ادراک، تصمیم، عمل و دریافت بازخورد</w:t>
      </w:r>
      <w:r w:rsidRPr="0025250D">
        <w:rPr>
          <w:vertAlign w:val="superscript"/>
          <w:rtl/>
        </w:rPr>
        <w:footnoteReference w:id="240"/>
      </w:r>
      <w:r w:rsidRPr="0025250D">
        <w:rPr>
          <w:rFonts w:hint="cs"/>
          <w:rtl/>
        </w:rPr>
        <w:t xml:space="preserve"> (</w:t>
      </w:r>
      <w:r w:rsidRPr="0025250D">
        <w:t>PDAF</w:t>
      </w:r>
      <w:r w:rsidRPr="0025250D">
        <w:rPr>
          <w:rFonts w:hint="cs"/>
          <w:rtl/>
        </w:rPr>
        <w:t xml:space="preserve">). با بیان این مراحل با استفاده از اصطلاحات مدیریتی، مراحل کلیدی که همه ما برای </w:t>
      </w:r>
      <w:r w:rsidR="00AE5BE0" w:rsidRPr="0025250D">
        <w:rPr>
          <w:rFonts w:hint="cs"/>
          <w:rtl/>
        </w:rPr>
        <w:t>انطباق</w:t>
      </w:r>
      <w:r w:rsidRPr="0025250D">
        <w:rPr>
          <w:rFonts w:hint="cs"/>
          <w:rtl/>
        </w:rPr>
        <w:t xml:space="preserve"> پویا اتخاذ می‌کنیم شامل یادگیری، </w:t>
      </w:r>
      <w:r w:rsidRPr="0025250D">
        <w:rPr>
          <w:rtl/>
        </w:rPr>
        <w:t>آینده‌نگاری</w:t>
      </w:r>
      <w:r w:rsidRPr="0025250D">
        <w:rPr>
          <w:rFonts w:hint="cs"/>
          <w:rtl/>
        </w:rPr>
        <w:t>، عمل و بازبینی</w:t>
      </w:r>
      <w:r w:rsidRPr="0025250D">
        <w:rPr>
          <w:vertAlign w:val="superscript"/>
          <w:rtl/>
        </w:rPr>
        <w:footnoteReference w:id="241"/>
      </w:r>
      <w:r w:rsidRPr="0025250D">
        <w:rPr>
          <w:rFonts w:hint="cs"/>
          <w:rtl/>
        </w:rPr>
        <w:t xml:space="preserve"> (</w:t>
      </w:r>
      <w:r w:rsidRPr="0025250D">
        <w:t>LFAR</w:t>
      </w:r>
      <w:r w:rsidRPr="0025250D">
        <w:rPr>
          <w:rFonts w:hint="cs"/>
          <w:rtl/>
        </w:rPr>
        <w:t>) هستند</w:t>
      </w:r>
      <w:r w:rsidR="008D6F97" w:rsidRPr="0025250D">
        <w:rPr>
          <w:rtl/>
        </w:rPr>
        <w:t xml:space="preserve">؛ </w:t>
      </w:r>
      <w:r w:rsidRPr="0025250D">
        <w:rPr>
          <w:rFonts w:hint="cs"/>
          <w:rtl/>
        </w:rPr>
        <w:t xml:space="preserve">بنابراین ما این حلقه را به‌طور خلاصه چرخه </w:t>
      </w:r>
      <w:r w:rsidRPr="0025250D">
        <w:rPr>
          <w:rtl/>
        </w:rPr>
        <w:t>آینده‌نگاری</w:t>
      </w:r>
      <w:r w:rsidRPr="0025250D">
        <w:rPr>
          <w:rFonts w:hint="cs"/>
          <w:rtl/>
        </w:rPr>
        <w:t xml:space="preserve">-عمل، حلقه </w:t>
      </w:r>
      <w:r w:rsidRPr="0025250D">
        <w:t>LFAR</w:t>
      </w:r>
      <w:r w:rsidRPr="0025250D">
        <w:rPr>
          <w:rFonts w:hint="cs"/>
          <w:rtl/>
        </w:rPr>
        <w:t xml:space="preserve"> یا </w:t>
      </w:r>
      <w:r w:rsidR="00116646" w:rsidRPr="0025250D">
        <w:rPr>
          <w:rtl/>
        </w:rPr>
        <w:t>«</w:t>
      </w:r>
      <w:r w:rsidRPr="0025250D">
        <w:rPr>
          <w:rFonts w:hint="cs"/>
          <w:rtl/>
        </w:rPr>
        <w:t>حلقه انجام</w:t>
      </w:r>
      <w:r w:rsidRPr="0025250D">
        <w:rPr>
          <w:vertAlign w:val="superscript"/>
          <w:rtl/>
        </w:rPr>
        <w:footnoteReference w:id="242"/>
      </w:r>
      <w:r w:rsidR="00116646" w:rsidRPr="0025250D">
        <w:rPr>
          <w:rtl/>
        </w:rPr>
        <w:t>»</w:t>
      </w:r>
      <w:r w:rsidRPr="0025250D">
        <w:rPr>
          <w:rFonts w:hint="cs"/>
          <w:rtl/>
        </w:rPr>
        <w:t xml:space="preserve"> می‌نامیم.</w:t>
      </w:r>
    </w:p>
    <w:p w14:paraId="02A913C0" w14:textId="1DD42F43" w:rsidR="0020732A" w:rsidRPr="0025250D" w:rsidRDefault="0020732A" w:rsidP="0020732A">
      <w:pPr>
        <w:rPr>
          <w:rtl/>
        </w:rPr>
      </w:pPr>
      <w:r w:rsidRPr="0025250D">
        <w:rPr>
          <w:rFonts w:hint="cs"/>
          <w:rtl/>
        </w:rPr>
        <w:t xml:space="preserve">حلقه انجام جامع‌ترین مدلی است که برای چگونگی </w:t>
      </w:r>
      <w:r w:rsidR="00B13F65" w:rsidRPr="0025250D">
        <w:rPr>
          <w:rFonts w:hint="cs"/>
          <w:rtl/>
        </w:rPr>
        <w:t>یکپارچه‌سازی</w:t>
      </w:r>
      <w:r w:rsidRPr="0025250D">
        <w:rPr>
          <w:rFonts w:hint="cs"/>
          <w:rtl/>
        </w:rPr>
        <w:t xml:space="preserve"> </w:t>
      </w:r>
      <w:r w:rsidRPr="0025250D">
        <w:rPr>
          <w:rtl/>
        </w:rPr>
        <w:t>آینده‌نگاری</w:t>
      </w:r>
      <w:r w:rsidRPr="0025250D">
        <w:rPr>
          <w:rFonts w:hint="cs"/>
          <w:rtl/>
        </w:rPr>
        <w:t xml:space="preserve"> و عمل انسان‌ها برای ایجاد نتایج </w:t>
      </w:r>
      <w:r w:rsidR="00AE5BE0" w:rsidRPr="0025250D">
        <w:rPr>
          <w:rFonts w:hint="cs"/>
          <w:rtl/>
        </w:rPr>
        <w:t>انطباقی</w:t>
      </w:r>
      <w:r w:rsidRPr="0025250D">
        <w:rPr>
          <w:rFonts w:hint="cs"/>
          <w:rtl/>
        </w:rPr>
        <w:t xml:space="preserve"> می‌شناسیم. این حلقه مدل بنیادی این کتاب است. </w:t>
      </w:r>
      <w:r w:rsidR="007118DE" w:rsidRPr="0025250D">
        <w:rPr>
          <w:rFonts w:hint="cs"/>
          <w:rtl/>
        </w:rPr>
        <w:t>همان‌طور</w:t>
      </w:r>
      <w:r w:rsidRPr="0025250D">
        <w:rPr>
          <w:rFonts w:hint="cs"/>
          <w:rtl/>
        </w:rPr>
        <w:t xml:space="preserve"> که خواهیم دید، همه ما از این حلقه هم به‌صورت آگاهانه و هم به‌صورت ناخودآگاه به‌صورت روزانه، در فعالیت‌های متنوع، استفاده می‌کنیم. هر بار که یک حلقه انجام را با بازخورد خود (گام بازبینی) کامل می‌کنیم و دوباره آغاز می‌کنیم، شانس این را داریم که شایستگی خود را در یک فعالیت مشخص افزایش دهیم. تبدیل‌شدن به یک مدیر و رهبر به این بستگی دارد که ما و تیممان چقدر خوب و مکرر از این حلقه استفاده می‌کنیم.</w:t>
      </w:r>
    </w:p>
    <w:p w14:paraId="2B674FF8" w14:textId="2B19E19C" w:rsidR="0020732A" w:rsidRPr="0025250D" w:rsidRDefault="00204A33" w:rsidP="00537CC8">
      <w:pPr>
        <w:jc w:val="center"/>
        <w:rPr>
          <w:rtl/>
        </w:rPr>
      </w:pPr>
      <w:r w:rsidRPr="0025250D">
        <w:rPr>
          <w:noProof/>
        </w:rPr>
        <w:drawing>
          <wp:inline distT="0" distB="0" distL="0" distR="0" wp14:anchorId="08A69B04" wp14:editId="5D8F93D2">
            <wp:extent cx="4866071" cy="3616656"/>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4888279" cy="3633162"/>
                    </a:xfrm>
                    <a:prstGeom prst="rect">
                      <a:avLst/>
                    </a:prstGeom>
                    <a:noFill/>
                    <a:ln>
                      <a:noFill/>
                    </a:ln>
                    <a:extLst>
                      <a:ext uri="{53640926-AAD7-44D8-BBD7-CCE9431645EC}">
                        <a14:shadowObscured xmlns:a14="http://schemas.microsoft.com/office/drawing/2010/main"/>
                      </a:ext>
                    </a:extLst>
                  </pic:spPr>
                </pic:pic>
              </a:graphicData>
            </a:graphic>
          </wp:inline>
        </w:drawing>
      </w:r>
    </w:p>
    <w:p w14:paraId="35739ECF" w14:textId="77777777" w:rsidR="0020732A" w:rsidRPr="0025250D" w:rsidRDefault="0020732A" w:rsidP="00537CC8">
      <w:pPr>
        <w:jc w:val="center"/>
        <w:rPr>
          <w:rtl/>
        </w:rPr>
      </w:pPr>
      <w:r w:rsidRPr="0025250D">
        <w:rPr>
          <w:rFonts w:hint="cs"/>
          <w:rtl/>
        </w:rPr>
        <w:t xml:space="preserve">چرخه آینده‌نگاری-عمل فراگیر (حلقه </w:t>
      </w:r>
      <w:r w:rsidRPr="0025250D">
        <w:t>LAFR</w:t>
      </w:r>
      <w:r w:rsidRPr="0025250D">
        <w:rPr>
          <w:rFonts w:hint="cs"/>
          <w:rtl/>
        </w:rPr>
        <w:t>، حلقه انجام)</w:t>
      </w:r>
    </w:p>
    <w:p w14:paraId="2FA04125" w14:textId="5B5CA648" w:rsidR="0020732A" w:rsidRPr="0025250D" w:rsidRDefault="0020732A" w:rsidP="0020732A">
      <w:pPr>
        <w:rPr>
          <w:rtl/>
        </w:rPr>
      </w:pPr>
      <w:r w:rsidRPr="0025250D">
        <w:rPr>
          <w:rFonts w:hint="cs"/>
          <w:rtl/>
        </w:rPr>
        <w:t xml:space="preserve">در فصل 2، هر یک از دو گام میانی </w:t>
      </w:r>
      <w:r w:rsidRPr="0025250D">
        <w:t>LFAR</w:t>
      </w:r>
      <w:r w:rsidRPr="0025250D">
        <w:rPr>
          <w:rFonts w:hint="cs"/>
          <w:rtl/>
        </w:rPr>
        <w:t xml:space="preserve">، یعنی </w:t>
      </w:r>
      <w:r w:rsidRPr="0025250D">
        <w:rPr>
          <w:rtl/>
        </w:rPr>
        <w:t>آینده‌نگاری</w:t>
      </w:r>
      <w:r w:rsidRPr="0025250D">
        <w:rPr>
          <w:rFonts w:hint="cs"/>
          <w:rtl/>
        </w:rPr>
        <w:t xml:space="preserve"> و عمل را به سه مهارت تقسیم خواهیم کرد. با استفاده از هرم </w:t>
      </w:r>
      <w:r w:rsidRPr="0025250D">
        <w:rPr>
          <w:rtl/>
        </w:rPr>
        <w:t>آینده‌نگاری</w:t>
      </w:r>
      <w:r w:rsidRPr="0025250D">
        <w:rPr>
          <w:rFonts w:hint="cs"/>
          <w:rtl/>
        </w:rPr>
        <w:t xml:space="preserve"> (که به‌طور خلاصه توضیح داده خواهد شد)، </w:t>
      </w:r>
      <w:r w:rsidRPr="0025250D">
        <w:rPr>
          <w:rtl/>
        </w:rPr>
        <w:t>آینده‌نگاری</w:t>
      </w:r>
      <w:r w:rsidRPr="0025250D">
        <w:rPr>
          <w:rFonts w:hint="cs"/>
          <w:rtl/>
        </w:rPr>
        <w:t xml:space="preserve"> را به سه مهارت کلیدی تقسیم می‌کنیم: پیش‌انگاری، نوآوری و </w:t>
      </w:r>
      <w:r w:rsidR="00701E03" w:rsidRPr="0025250D">
        <w:rPr>
          <w:rFonts w:hint="cs"/>
          <w:rtl/>
        </w:rPr>
        <w:t>راهبرد</w:t>
      </w:r>
      <w:r w:rsidRPr="0025250D">
        <w:rPr>
          <w:rFonts w:hint="cs"/>
          <w:rtl/>
        </w:rPr>
        <w:t xml:space="preserve">. با استفاده از مطالعات </w:t>
      </w:r>
      <w:r w:rsidRPr="0025250D">
        <w:rPr>
          <w:rtl/>
        </w:rPr>
        <w:t>گالوپ</w:t>
      </w:r>
      <w:r w:rsidRPr="0025250D">
        <w:rPr>
          <w:vertAlign w:val="superscript"/>
          <w:rtl/>
        </w:rPr>
        <w:footnoteReference w:id="243"/>
      </w:r>
      <w:r w:rsidRPr="0025250D">
        <w:rPr>
          <w:rFonts w:hint="cs"/>
          <w:rtl/>
        </w:rPr>
        <w:t>، یک شرکت مشاوره مدیریتی، عمل را نیز به سه مهارت کلیدی تقسیم می‌کنیم: اجرا</w:t>
      </w:r>
      <w:r w:rsidRPr="0025250D">
        <w:rPr>
          <w:vertAlign w:val="superscript"/>
          <w:rtl/>
        </w:rPr>
        <w:footnoteReference w:id="244"/>
      </w:r>
      <w:r w:rsidRPr="0025250D">
        <w:rPr>
          <w:rFonts w:hint="cs"/>
          <w:rtl/>
        </w:rPr>
        <w:t>، تأثیرگذاری</w:t>
      </w:r>
      <w:r w:rsidRPr="0025250D">
        <w:rPr>
          <w:vertAlign w:val="superscript"/>
          <w:rtl/>
        </w:rPr>
        <w:footnoteReference w:id="245"/>
      </w:r>
      <w:r w:rsidRPr="0025250D">
        <w:rPr>
          <w:rFonts w:hint="cs"/>
          <w:rtl/>
        </w:rPr>
        <w:t xml:space="preserve"> و </w:t>
      </w:r>
      <w:r w:rsidR="0008779C" w:rsidRPr="0025250D">
        <w:rPr>
          <w:rFonts w:hint="cs"/>
          <w:rtl/>
        </w:rPr>
        <w:t>ارتباط‌دهی</w:t>
      </w:r>
      <w:r w:rsidRPr="0025250D">
        <w:rPr>
          <w:rFonts w:hint="cs"/>
          <w:rtl/>
        </w:rPr>
        <w:t xml:space="preserve">. این موارد </w:t>
      </w:r>
      <w:r w:rsidRPr="0025250D">
        <w:rPr>
          <w:rFonts w:hint="cs"/>
          <w:rtl/>
        </w:rPr>
        <w:lastRenderedPageBreak/>
        <w:t xml:space="preserve">به همراه یادگیری و بازبینی، 8 مهارت را ایجاد می‌کنند که به همه تیم‌ها پیشنهاد می‌کنیم که به‌منظور </w:t>
      </w:r>
      <w:r w:rsidR="00B13F65" w:rsidRPr="0025250D">
        <w:rPr>
          <w:rFonts w:hint="cs"/>
          <w:rtl/>
        </w:rPr>
        <w:t>یکپارچه‌سازی</w:t>
      </w:r>
      <w:r w:rsidRPr="0025250D">
        <w:rPr>
          <w:rFonts w:hint="cs"/>
          <w:rtl/>
        </w:rPr>
        <w:t xml:space="preserve"> دائمی </w:t>
      </w:r>
      <w:r w:rsidRPr="0025250D">
        <w:rPr>
          <w:rtl/>
        </w:rPr>
        <w:t>آینده‌نگاری</w:t>
      </w:r>
      <w:r w:rsidRPr="0025250D">
        <w:rPr>
          <w:rFonts w:hint="cs"/>
          <w:rtl/>
        </w:rPr>
        <w:t xml:space="preserve"> و عمل و </w:t>
      </w:r>
      <w:r w:rsidR="00AE5BE0" w:rsidRPr="0025250D">
        <w:rPr>
          <w:rFonts w:hint="cs"/>
          <w:rtl/>
        </w:rPr>
        <w:t>انطباق</w:t>
      </w:r>
      <w:r w:rsidRPr="0025250D">
        <w:rPr>
          <w:rFonts w:hint="cs"/>
          <w:rtl/>
        </w:rPr>
        <w:t xml:space="preserve"> </w:t>
      </w:r>
      <w:r w:rsidR="0008779C" w:rsidRPr="0025250D">
        <w:rPr>
          <w:rFonts w:hint="cs"/>
          <w:rtl/>
        </w:rPr>
        <w:t>موفقیت‌آمیز</w:t>
      </w:r>
      <w:r w:rsidRPr="0025250D">
        <w:rPr>
          <w:rFonts w:hint="cs"/>
          <w:rtl/>
        </w:rPr>
        <w:t>، در آن‌ها تخصص یابند.</w:t>
      </w:r>
    </w:p>
    <w:p w14:paraId="31EFE908" w14:textId="77777777" w:rsidR="0020732A" w:rsidRPr="0025250D" w:rsidRDefault="0020732A" w:rsidP="0020732A">
      <w:pPr>
        <w:rPr>
          <w:rtl/>
        </w:rPr>
      </w:pPr>
      <w:r w:rsidRPr="0025250D">
        <w:rPr>
          <w:rFonts w:hint="cs"/>
          <w:rtl/>
        </w:rPr>
        <w:t xml:space="preserve">در زیر چهار گام حلقه </w:t>
      </w:r>
      <w:r w:rsidRPr="0025250D">
        <w:t>LFAR</w:t>
      </w:r>
      <w:r w:rsidRPr="0025250D">
        <w:rPr>
          <w:rFonts w:hint="cs"/>
          <w:rtl/>
        </w:rPr>
        <w:t xml:space="preserve"> در شکل گرافیکی آورده شده‌اند:</w:t>
      </w:r>
    </w:p>
    <w:p w14:paraId="5BCBA169" w14:textId="4839332D" w:rsidR="0020732A" w:rsidRPr="0025250D" w:rsidRDefault="00AE7945" w:rsidP="00050985">
      <w:pPr>
        <w:jc w:val="center"/>
        <w:rPr>
          <w:rtl/>
        </w:rPr>
      </w:pPr>
      <w:r w:rsidRPr="0025250D">
        <w:rPr>
          <w:noProof/>
        </w:rPr>
        <w:drawing>
          <wp:inline distT="0" distB="0" distL="0" distR="0" wp14:anchorId="27CC2183" wp14:editId="58EF10C0">
            <wp:extent cx="5740842" cy="3640001"/>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5751342" cy="3646658"/>
                    </a:xfrm>
                    <a:prstGeom prst="rect">
                      <a:avLst/>
                    </a:prstGeom>
                    <a:noFill/>
                  </pic:spPr>
                </pic:pic>
              </a:graphicData>
            </a:graphic>
          </wp:inline>
        </w:drawing>
      </w:r>
    </w:p>
    <w:p w14:paraId="2DFC1A41" w14:textId="71B72509" w:rsidR="0020732A" w:rsidRPr="0025250D" w:rsidRDefault="0020732A" w:rsidP="0020732A">
      <w:pPr>
        <w:rPr>
          <w:rtl/>
        </w:rPr>
      </w:pPr>
      <w:r w:rsidRPr="0025250D">
        <w:rPr>
          <w:rFonts w:hint="cs"/>
          <w:rtl/>
        </w:rPr>
        <w:t xml:space="preserve">این چهار گام یک </w:t>
      </w:r>
      <w:r w:rsidR="00B13F65" w:rsidRPr="0025250D">
        <w:rPr>
          <w:rFonts w:hint="cs"/>
          <w:rtl/>
        </w:rPr>
        <w:t>چارچوب</w:t>
      </w:r>
      <w:r w:rsidRPr="0025250D">
        <w:rPr>
          <w:rFonts w:hint="cs"/>
          <w:rtl/>
        </w:rPr>
        <w:t xml:space="preserve"> </w:t>
      </w:r>
      <w:r w:rsidRPr="0025250D">
        <w:rPr>
          <w:rtl/>
        </w:rPr>
        <w:t>آینده‌نگاری</w:t>
      </w:r>
      <w:r w:rsidRPr="0025250D">
        <w:rPr>
          <w:rFonts w:hint="cs"/>
          <w:rtl/>
        </w:rPr>
        <w:t xml:space="preserve">-عمل ساده‌تر (به‌اندازه نصف) نسبت به </w:t>
      </w:r>
      <w:r w:rsidR="00B13F65" w:rsidRPr="0025250D">
        <w:rPr>
          <w:rFonts w:hint="cs"/>
          <w:rtl/>
        </w:rPr>
        <w:t>چارچوب</w:t>
      </w:r>
      <w:r w:rsidRPr="0025250D">
        <w:rPr>
          <w:rFonts w:hint="cs"/>
          <w:rtl/>
        </w:rPr>
        <w:t xml:space="preserve"> هشت مهارتی را تشکیل می‌دهند. هر دو، حلقه انجام را با سطوح متفاوتی از جزئیات توصیف می‌کنند. برحسب تجربه ما، این چهار گام سطح مناسبی از جزئیات را برای بیش‌تر آینده‌اندیشی انجام شده توسط افراد و تیم‌های کوچک فراهم می‌کنند. گام‌های </w:t>
      </w:r>
      <w:r w:rsidRPr="0025250D">
        <w:t>LFAR</w:t>
      </w:r>
      <w:r w:rsidRPr="0025250D">
        <w:rPr>
          <w:rFonts w:hint="cs"/>
          <w:rtl/>
        </w:rPr>
        <w:t xml:space="preserve"> به‌سادگی به خاطر سپرده می‌شوند. با تمرکز بر حرکت چرخه‌ای میان این چهار گام، می‌توانیم تا حد زیادی برآمدهای فردی و تیم کوچک خودمان را بهبود بخشیم. هشت مهارت، در مقابل، مدلی عالی برای </w:t>
      </w:r>
      <w:r w:rsidRPr="0025250D">
        <w:rPr>
          <w:rtl/>
        </w:rPr>
        <w:t>آینده‌نگاری</w:t>
      </w:r>
      <w:r w:rsidRPr="0025250D">
        <w:rPr>
          <w:rFonts w:hint="cs"/>
          <w:rtl/>
        </w:rPr>
        <w:t xml:space="preserve"> سازمانی و تیم‌های بزرگتر ارائه می‌دهند. این‌که از کدام مدل استفاده می‌کنید باید </w:t>
      </w:r>
      <w:r w:rsidR="00B13F65" w:rsidRPr="0025250D">
        <w:rPr>
          <w:rFonts w:hint="cs"/>
          <w:rtl/>
        </w:rPr>
        <w:t>مبتنی بر</w:t>
      </w:r>
      <w:r w:rsidRPr="0025250D">
        <w:rPr>
          <w:rFonts w:hint="cs"/>
          <w:rtl/>
        </w:rPr>
        <w:t xml:space="preserve"> نتایجی</w:t>
      </w:r>
      <w:r w:rsidR="00B13F65" w:rsidRPr="0025250D">
        <w:rPr>
          <w:rFonts w:hint="cs"/>
          <w:rtl/>
        </w:rPr>
        <w:t xml:space="preserve"> باشد</w:t>
      </w:r>
      <w:r w:rsidRPr="0025250D">
        <w:rPr>
          <w:rFonts w:hint="cs"/>
          <w:rtl/>
        </w:rPr>
        <w:t xml:space="preserve"> که از هر یک به دست می‌آورید که در گام بازبینی ارزیابی می‌شود. از سطحی از پیچیدگی استفاده کنید که به بهترین شکل برای بافت مورد نظر شما مناسب است.</w:t>
      </w:r>
    </w:p>
    <w:p w14:paraId="3B87F2AD" w14:textId="77777777" w:rsidR="0020732A" w:rsidRPr="0025250D" w:rsidRDefault="0020732A" w:rsidP="0020732A">
      <w:pPr>
        <w:rPr>
          <w:rtl/>
        </w:rPr>
      </w:pPr>
      <w:r w:rsidRPr="0025250D">
        <w:rPr>
          <w:rFonts w:hint="cs"/>
          <w:rtl/>
        </w:rPr>
        <w:t xml:space="preserve">بیایید به هر یک از گام‌های </w:t>
      </w:r>
      <w:r w:rsidRPr="0025250D">
        <w:t>LFAR</w:t>
      </w:r>
      <w:r w:rsidRPr="0025250D">
        <w:rPr>
          <w:rFonts w:hint="cs"/>
          <w:rtl/>
        </w:rPr>
        <w:t xml:space="preserve"> و مهارت‌های مرتبط با آن‌ها نگاهی داشته باشیم (شایستگی‌های محوری):</w:t>
      </w:r>
    </w:p>
    <w:p w14:paraId="6975A020" w14:textId="06278ACE" w:rsidR="0020732A" w:rsidRPr="0025250D" w:rsidRDefault="0020732A" w:rsidP="00492C47">
      <w:pPr>
        <w:numPr>
          <w:ilvl w:val="0"/>
          <w:numId w:val="6"/>
        </w:numPr>
      </w:pPr>
      <w:r w:rsidRPr="0025250D">
        <w:rPr>
          <w:rFonts w:hint="cs"/>
          <w:rtl/>
        </w:rPr>
        <w:t xml:space="preserve">یادگیری شامل درک گذشته و حال، برای بهتر دیدن آینده است. یادگیری اصولا </w:t>
      </w:r>
      <w:r w:rsidR="00D92F6E" w:rsidRPr="0025250D">
        <w:rPr>
          <w:rFonts w:hint="cs"/>
          <w:rtl/>
        </w:rPr>
        <w:t>آماده‌سازی</w:t>
      </w:r>
      <w:r w:rsidRPr="0025250D">
        <w:rPr>
          <w:rFonts w:hint="cs"/>
          <w:rtl/>
        </w:rPr>
        <w:t xml:space="preserve"> برای </w:t>
      </w:r>
      <w:r w:rsidRPr="0025250D">
        <w:rPr>
          <w:rtl/>
        </w:rPr>
        <w:t>آینده‌نگاری</w:t>
      </w:r>
      <w:r w:rsidRPr="0025250D">
        <w:rPr>
          <w:rFonts w:hint="cs"/>
          <w:rtl/>
        </w:rPr>
        <w:t xml:space="preserve"> است، اما برای تولید </w:t>
      </w:r>
      <w:r w:rsidR="008F0DD8" w:rsidRPr="0025250D">
        <w:rPr>
          <w:rFonts w:hint="cs"/>
          <w:rtl/>
        </w:rPr>
        <w:t>آن‌قدر</w:t>
      </w:r>
      <w:r w:rsidR="00B13F65" w:rsidRPr="0025250D">
        <w:rPr>
          <w:rFonts w:hint="cs"/>
          <w:rtl/>
        </w:rPr>
        <w:t xml:space="preserve"> </w:t>
      </w:r>
      <w:r w:rsidRPr="0025250D">
        <w:rPr>
          <w:rtl/>
        </w:rPr>
        <w:t>آینده‌نگاری</w:t>
      </w:r>
      <w:r w:rsidRPr="0025250D">
        <w:rPr>
          <w:rFonts w:hint="cs"/>
          <w:rtl/>
        </w:rPr>
        <w:t xml:space="preserve"> حیاتی است که یادگیری را یکی از چهار مهارت </w:t>
      </w:r>
      <w:r w:rsidRPr="0025250D">
        <w:rPr>
          <w:rtl/>
        </w:rPr>
        <w:t>آینده‌نگاری</w:t>
      </w:r>
      <w:r w:rsidRPr="0025250D">
        <w:rPr>
          <w:rFonts w:hint="cs"/>
          <w:rtl/>
        </w:rPr>
        <w:t xml:space="preserve"> ضروری در مدل خود می‌نامیم.</w:t>
      </w:r>
    </w:p>
    <w:p w14:paraId="608CDE30" w14:textId="4686E099" w:rsidR="0020732A" w:rsidRPr="0025250D" w:rsidRDefault="0020732A" w:rsidP="00492C47">
      <w:pPr>
        <w:numPr>
          <w:ilvl w:val="0"/>
          <w:numId w:val="6"/>
        </w:numPr>
      </w:pPr>
      <w:r w:rsidRPr="0025250D">
        <w:rPr>
          <w:rtl/>
        </w:rPr>
        <w:t>آینده‌نگاری</w:t>
      </w:r>
      <w:r w:rsidRPr="0025250D">
        <w:rPr>
          <w:rFonts w:hint="cs"/>
          <w:rtl/>
        </w:rPr>
        <w:t xml:space="preserve"> شامل استفاده از داده‌ها، مدل‌ها و </w:t>
      </w:r>
      <w:r w:rsidR="00B13F65" w:rsidRPr="0025250D">
        <w:rPr>
          <w:rFonts w:hint="cs"/>
          <w:rtl/>
        </w:rPr>
        <w:t>چارچوب</w:t>
      </w:r>
      <w:r w:rsidRPr="0025250D">
        <w:rPr>
          <w:rFonts w:hint="cs"/>
          <w:rtl/>
        </w:rPr>
        <w:t xml:space="preserve">‌های متنوعی برای نگاه به جلو می‌باشد. ساده‌ترین </w:t>
      </w:r>
      <w:r w:rsidR="00B13F65" w:rsidRPr="0025250D">
        <w:rPr>
          <w:rFonts w:hint="cs"/>
          <w:rtl/>
        </w:rPr>
        <w:t>چارچوب</w:t>
      </w:r>
      <w:r w:rsidRPr="0025250D">
        <w:rPr>
          <w:rFonts w:hint="cs"/>
          <w:rtl/>
        </w:rPr>
        <w:t xml:space="preserve"> </w:t>
      </w:r>
      <w:r w:rsidRPr="0025250D">
        <w:rPr>
          <w:rtl/>
        </w:rPr>
        <w:t>آینده‌نگاری</w:t>
      </w:r>
      <w:r w:rsidRPr="0025250D">
        <w:rPr>
          <w:rFonts w:hint="cs"/>
          <w:rtl/>
        </w:rPr>
        <w:t xml:space="preserve"> که آن را مفید می‌دانیم هرم </w:t>
      </w:r>
      <w:r w:rsidRPr="0025250D">
        <w:rPr>
          <w:rtl/>
        </w:rPr>
        <w:t>آینده‌نگاری</w:t>
      </w:r>
      <w:r w:rsidRPr="0025250D">
        <w:rPr>
          <w:rFonts w:hint="cs"/>
          <w:rtl/>
        </w:rPr>
        <w:t xml:space="preserve"> کلاسیک است (که به زودی در مورد آن بحث خواهد شد). این هرم سه مهارت </w:t>
      </w:r>
      <w:r w:rsidRPr="0025250D">
        <w:rPr>
          <w:rtl/>
        </w:rPr>
        <w:t>آینده‌نگاری</w:t>
      </w:r>
      <w:r w:rsidRPr="0025250D">
        <w:rPr>
          <w:rFonts w:hint="cs"/>
          <w:rtl/>
        </w:rPr>
        <w:t xml:space="preserve"> </w:t>
      </w:r>
      <w:r w:rsidR="00116646" w:rsidRPr="0025250D">
        <w:rPr>
          <w:rtl/>
        </w:rPr>
        <w:t>«</w:t>
      </w:r>
      <w:r w:rsidRPr="0025250D">
        <w:rPr>
          <w:rFonts w:hint="cs"/>
          <w:rtl/>
        </w:rPr>
        <w:t>محوری</w:t>
      </w:r>
      <w:r w:rsidR="00116646" w:rsidRPr="0025250D">
        <w:rPr>
          <w:rtl/>
        </w:rPr>
        <w:t>»</w:t>
      </w:r>
      <w:r w:rsidRPr="0025250D">
        <w:rPr>
          <w:rFonts w:hint="cs"/>
          <w:rtl/>
        </w:rPr>
        <w:t xml:space="preserve"> را به ما ارائه می‌دهد: پیش‌انگاری، نوآوری و </w:t>
      </w:r>
      <w:r w:rsidR="00701E03" w:rsidRPr="0025250D">
        <w:rPr>
          <w:rFonts w:hint="cs"/>
          <w:rtl/>
        </w:rPr>
        <w:t>راهبرد</w:t>
      </w:r>
      <w:r w:rsidRPr="0025250D">
        <w:rPr>
          <w:rFonts w:hint="cs"/>
          <w:rtl/>
        </w:rPr>
        <w:t xml:space="preserve">. به همراه یادگیری، این موارد چهار مهارت </w:t>
      </w:r>
      <w:r w:rsidRPr="0025250D">
        <w:rPr>
          <w:rtl/>
        </w:rPr>
        <w:t>آینده‌نگاری</w:t>
      </w:r>
      <w:r w:rsidRPr="0025250D">
        <w:rPr>
          <w:rFonts w:hint="cs"/>
          <w:rtl/>
        </w:rPr>
        <w:t xml:space="preserve"> ضروری هستند.</w:t>
      </w:r>
    </w:p>
    <w:p w14:paraId="1734CD3A" w14:textId="37FB0AA4" w:rsidR="0020732A" w:rsidRPr="0025250D" w:rsidRDefault="0020732A" w:rsidP="00492C47">
      <w:pPr>
        <w:numPr>
          <w:ilvl w:val="0"/>
          <w:numId w:val="6"/>
        </w:numPr>
      </w:pPr>
      <w:r w:rsidRPr="0025250D">
        <w:rPr>
          <w:rFonts w:hint="cs"/>
          <w:rtl/>
        </w:rPr>
        <w:t xml:space="preserve">عمل در تیم‌ها به سه مهارت مجزا، یعنی اجرا، تأثیرگذاری و </w:t>
      </w:r>
      <w:r w:rsidR="0008779C" w:rsidRPr="0025250D">
        <w:rPr>
          <w:rFonts w:hint="cs"/>
          <w:rtl/>
        </w:rPr>
        <w:t>ارتباط‌دهی</w:t>
      </w:r>
      <w:r w:rsidRPr="0025250D">
        <w:rPr>
          <w:rFonts w:hint="cs"/>
          <w:rtl/>
        </w:rPr>
        <w:t xml:space="preserve"> (قوی نگهداشتن تیم ها) نیاز دارد. تحقیقات </w:t>
      </w:r>
      <w:r w:rsidRPr="0025250D">
        <w:rPr>
          <w:rtl/>
        </w:rPr>
        <w:t>گالوپ</w:t>
      </w:r>
      <w:r w:rsidRPr="0025250D">
        <w:rPr>
          <w:rFonts w:hint="cs"/>
          <w:rtl/>
        </w:rPr>
        <w:t xml:space="preserve"> پیشنهاد می‌کنند که این موارد سه مهارت عملی محوری هم در محل کار و هم در زندگی هستند.</w:t>
      </w:r>
    </w:p>
    <w:p w14:paraId="5FB1F23A" w14:textId="7029B457" w:rsidR="0020732A" w:rsidRPr="0025250D" w:rsidRDefault="0020732A" w:rsidP="00492C47">
      <w:pPr>
        <w:numPr>
          <w:ilvl w:val="0"/>
          <w:numId w:val="6"/>
        </w:numPr>
      </w:pPr>
      <w:r w:rsidRPr="0025250D">
        <w:rPr>
          <w:rFonts w:hint="cs"/>
          <w:rtl/>
        </w:rPr>
        <w:lastRenderedPageBreak/>
        <w:t xml:space="preserve">بازبینی (یا </w:t>
      </w:r>
      <w:r w:rsidR="00116646" w:rsidRPr="0025250D">
        <w:rPr>
          <w:rtl/>
        </w:rPr>
        <w:t>«</w:t>
      </w:r>
      <w:r w:rsidRPr="0025250D">
        <w:rPr>
          <w:rFonts w:hint="cs"/>
          <w:rtl/>
        </w:rPr>
        <w:t>بازبینی پس از عمل</w:t>
      </w:r>
      <w:r w:rsidR="00116646" w:rsidRPr="0025250D">
        <w:rPr>
          <w:rtl/>
        </w:rPr>
        <w:t>»</w:t>
      </w:r>
      <w:r w:rsidRPr="0025250D">
        <w:rPr>
          <w:rFonts w:hint="cs"/>
          <w:rtl/>
        </w:rPr>
        <w:t xml:space="preserve">) شامل </w:t>
      </w:r>
      <w:r w:rsidR="00B124DE" w:rsidRPr="0025250D">
        <w:rPr>
          <w:rFonts w:hint="cs"/>
          <w:rtl/>
        </w:rPr>
        <w:t>جمع‌آوری</w:t>
      </w:r>
      <w:r w:rsidRPr="0025250D">
        <w:rPr>
          <w:rFonts w:hint="cs"/>
          <w:rtl/>
        </w:rPr>
        <w:t xml:space="preserve"> و تفسیر نتایج اعمال ما می‌باشد. ازنظر فنی، بازبینی یک عمل نیست، بلکه می‌تواند تا حد زیادی اعمال و اقدامات ما را در چرخه بعد بهبود دهد</w:t>
      </w:r>
      <w:r w:rsidR="008D6F97" w:rsidRPr="0025250D">
        <w:rPr>
          <w:rtl/>
        </w:rPr>
        <w:t xml:space="preserve">؛ </w:t>
      </w:r>
      <w:r w:rsidRPr="0025250D">
        <w:rPr>
          <w:rFonts w:hint="cs"/>
          <w:rtl/>
        </w:rPr>
        <w:t xml:space="preserve">مانند یادگیری و </w:t>
      </w:r>
      <w:r w:rsidRPr="0025250D">
        <w:rPr>
          <w:rtl/>
        </w:rPr>
        <w:t>آینده‌نگاری</w:t>
      </w:r>
      <w:r w:rsidRPr="0025250D">
        <w:rPr>
          <w:rFonts w:hint="cs"/>
          <w:rtl/>
        </w:rPr>
        <w:t xml:space="preserve">، بازبینی </w:t>
      </w:r>
      <w:r w:rsidR="008F0DD8" w:rsidRPr="0025250D">
        <w:rPr>
          <w:rFonts w:hint="cs"/>
          <w:rtl/>
        </w:rPr>
        <w:t>آن‌قدر</w:t>
      </w:r>
      <w:r w:rsidRPr="0025250D">
        <w:rPr>
          <w:rFonts w:hint="cs"/>
          <w:rtl/>
        </w:rPr>
        <w:t xml:space="preserve"> برای عمل </w:t>
      </w:r>
      <w:r w:rsidR="00AE5BE0" w:rsidRPr="0025250D">
        <w:rPr>
          <w:rFonts w:hint="cs"/>
          <w:rtl/>
        </w:rPr>
        <w:t>انطباقی</w:t>
      </w:r>
      <w:r w:rsidRPr="0025250D">
        <w:rPr>
          <w:rFonts w:hint="cs"/>
          <w:rtl/>
        </w:rPr>
        <w:t xml:space="preserve"> حیاتی است که آن را با سه مهارت عملی محوری گروه بندی می‌کنیم</w:t>
      </w:r>
      <w:r w:rsidR="008D6F97" w:rsidRPr="0025250D">
        <w:rPr>
          <w:rtl/>
        </w:rPr>
        <w:t xml:space="preserve"> </w:t>
      </w:r>
      <w:r w:rsidRPr="0025250D">
        <w:rPr>
          <w:rFonts w:hint="cs"/>
          <w:rtl/>
        </w:rPr>
        <w:t>و چهار مهارت عملی ضروری را در مدل خود ارائه می‌دهیم.</w:t>
      </w:r>
    </w:p>
    <w:p w14:paraId="48A671D6" w14:textId="6A7B6CCB" w:rsidR="0020732A" w:rsidRPr="0025250D" w:rsidRDefault="0020732A" w:rsidP="0020732A">
      <w:pPr>
        <w:rPr>
          <w:rtl/>
        </w:rPr>
      </w:pPr>
      <w:r w:rsidRPr="0025250D">
        <w:rPr>
          <w:rFonts w:hint="cs"/>
          <w:rtl/>
        </w:rPr>
        <w:t xml:space="preserve">یک نکته کلیدی برای استفاده از حلقه انجام توجه به این امر است که هر یک از چهار گام </w:t>
      </w:r>
      <w:r w:rsidRPr="0025250D">
        <w:t>LFAR</w:t>
      </w:r>
      <w:r w:rsidRPr="0025250D">
        <w:rPr>
          <w:rFonts w:hint="cs"/>
          <w:rtl/>
        </w:rPr>
        <w:t xml:space="preserve"> </w:t>
      </w:r>
      <w:r w:rsidR="00B13F65" w:rsidRPr="0025250D">
        <w:rPr>
          <w:rFonts w:hint="cs"/>
          <w:rtl/>
        </w:rPr>
        <w:t>به منظور</w:t>
      </w:r>
      <w:r w:rsidRPr="0025250D">
        <w:rPr>
          <w:rFonts w:hint="cs"/>
          <w:rtl/>
        </w:rPr>
        <w:t xml:space="preserve"> بهبود گام بعدی به بهترین نحو انجام شود. یاد می‌گیریم (گذشته و حال) تا </w:t>
      </w:r>
      <w:r w:rsidRPr="0025250D">
        <w:rPr>
          <w:rtl/>
        </w:rPr>
        <w:t>آینده‌نگاری</w:t>
      </w:r>
      <w:r w:rsidRPr="0025250D">
        <w:rPr>
          <w:rFonts w:hint="cs"/>
          <w:rtl/>
        </w:rPr>
        <w:t xml:space="preserve"> خود را بهبود بخشیم. </w:t>
      </w:r>
      <w:r w:rsidR="008F6490" w:rsidRPr="0025250D">
        <w:rPr>
          <w:rFonts w:hint="cs"/>
          <w:rtl/>
        </w:rPr>
        <w:t>فراپایی</w:t>
      </w:r>
      <w:r w:rsidR="008F6490" w:rsidRPr="0025250D">
        <w:rPr>
          <w:rStyle w:val="FootnoteReference"/>
          <w:rtl/>
        </w:rPr>
        <w:footnoteReference w:id="246"/>
      </w:r>
      <w:r w:rsidRPr="0025250D">
        <w:rPr>
          <w:rFonts w:hint="cs"/>
          <w:rtl/>
        </w:rPr>
        <w:t xml:space="preserve"> انجام می‌دهیم تا بهتر عمل کنیم. بازبینی می‌کنیم تا بفهمیم که چه چیزی و به چه میزان بهتر شده و چه چیزی بهتر نشده است و چه یادگیری جدیدی ممکن است به ما در دور بعدی حلقه کمک کند. در عمل، این امر به این سادگی که به نظر می‌رسد نیست. هم ما و هم تیممان می‌توانیم به‌سادگی این گام‌ها را رد کرده، وارونه کنیم یا به شکل نادرستی به کار ببریم.</w:t>
      </w:r>
    </w:p>
    <w:p w14:paraId="346A059F" w14:textId="4A69B84C" w:rsidR="0020732A" w:rsidRPr="0025250D" w:rsidRDefault="0020732A" w:rsidP="0020732A">
      <w:pPr>
        <w:rPr>
          <w:rtl/>
        </w:rPr>
      </w:pPr>
      <w:r w:rsidRPr="0025250D">
        <w:rPr>
          <w:rFonts w:hint="cs"/>
          <w:rtl/>
        </w:rPr>
        <w:t xml:space="preserve">شاید رایج‌ترین گامی که در میان این چهار گام نادیده گرفته می‌شود بازبینی است. دریافت بازخورد با کیفیت و مکرر اغلب کلید بهبود است. بازخورد خوب شامل نقد و نیز تحسین می‌شود و بسیاری از ما بازخورد منفی را به تأخیر می‌اندازیم یا از آن اجتناب می‌کنیم. خوب است به یاد داشته باشیم که ناراحتی و سختی‌های بازبینی می‌تواند به ما انگیزه دهد تا یادگیری، </w:t>
      </w:r>
      <w:r w:rsidRPr="0025250D">
        <w:rPr>
          <w:rtl/>
        </w:rPr>
        <w:t>آینده‌نگاری</w:t>
      </w:r>
      <w:r w:rsidRPr="0025250D">
        <w:rPr>
          <w:rFonts w:hint="cs"/>
          <w:rtl/>
        </w:rPr>
        <w:t xml:space="preserve"> و عمل را بهبود بخشیم. هم لذت و هم درد، وقتی از آن‌ها درس گرفته شود، کمک‌های قدرتمندی برای </w:t>
      </w:r>
      <w:r w:rsidR="00AE5BE0" w:rsidRPr="0025250D">
        <w:rPr>
          <w:rFonts w:hint="cs"/>
          <w:rtl/>
        </w:rPr>
        <w:t>انطباق</w:t>
      </w:r>
      <w:r w:rsidRPr="0025250D">
        <w:rPr>
          <w:rFonts w:hint="cs"/>
          <w:rtl/>
        </w:rPr>
        <w:t xml:space="preserve"> هستند. بدون </w:t>
      </w:r>
      <w:r w:rsidRPr="0025250D">
        <w:rPr>
          <w:rtl/>
        </w:rPr>
        <w:t>آینده‌نگاری</w:t>
      </w:r>
      <w:r w:rsidRPr="0025250D">
        <w:rPr>
          <w:rFonts w:hint="cs"/>
          <w:rtl/>
        </w:rPr>
        <w:t xml:space="preserve"> و بازبینی مناسب، اشتباه گرفتن تلاش (عمل) با اثربخشی آسان است. بسیاری از ما می‌توانیم به یادگیری </w:t>
      </w:r>
      <w:r w:rsidR="00B13F65" w:rsidRPr="0025250D">
        <w:rPr>
          <w:rFonts w:hint="cs"/>
          <w:rtl/>
        </w:rPr>
        <w:t>اخیر خود</w:t>
      </w:r>
      <w:r w:rsidRPr="0025250D">
        <w:rPr>
          <w:rFonts w:hint="cs"/>
          <w:rtl/>
        </w:rPr>
        <w:t xml:space="preserve"> اشاره کنیم</w:t>
      </w:r>
      <w:r w:rsidR="008D6F97" w:rsidRPr="0025250D">
        <w:rPr>
          <w:rtl/>
        </w:rPr>
        <w:t xml:space="preserve">؛ </w:t>
      </w:r>
      <w:r w:rsidRPr="0025250D">
        <w:rPr>
          <w:rFonts w:hint="cs"/>
          <w:rtl/>
        </w:rPr>
        <w:t xml:space="preserve">اما اگر یادگیری ما در خدمت </w:t>
      </w:r>
      <w:r w:rsidRPr="0025250D">
        <w:rPr>
          <w:rtl/>
        </w:rPr>
        <w:t>آینده‌نگاری</w:t>
      </w:r>
      <w:r w:rsidRPr="0025250D">
        <w:rPr>
          <w:rFonts w:hint="cs"/>
          <w:rtl/>
        </w:rPr>
        <w:t xml:space="preserve"> بهتر نباشد، اغلب تنها سرگرمی، تعلل یا وقت تلف کردن </w:t>
      </w:r>
      <w:r w:rsidR="00B13F65" w:rsidRPr="0025250D">
        <w:rPr>
          <w:rFonts w:hint="cs"/>
          <w:rtl/>
        </w:rPr>
        <w:t>خواهد بود</w:t>
      </w:r>
      <w:r w:rsidRPr="0025250D">
        <w:rPr>
          <w:rFonts w:hint="cs"/>
          <w:rtl/>
        </w:rPr>
        <w:t>.</w:t>
      </w:r>
    </w:p>
    <w:p w14:paraId="6266674C" w14:textId="77777777" w:rsidR="0020732A" w:rsidRPr="0025250D" w:rsidRDefault="0020732A" w:rsidP="0020732A">
      <w:pPr>
        <w:rPr>
          <w:rtl/>
        </w:rPr>
      </w:pPr>
      <w:r w:rsidRPr="0025250D">
        <w:rPr>
          <w:rFonts w:hint="cs"/>
          <w:rtl/>
        </w:rPr>
        <w:t xml:space="preserve">برای عمیق‌تر نمودن درکمان از فراگیری چهار گام حلقه انجام، حلقه‌های </w:t>
      </w:r>
      <w:r w:rsidRPr="0025250D">
        <w:t>LFAR</w:t>
      </w:r>
      <w:r w:rsidRPr="0025250D">
        <w:rPr>
          <w:rFonts w:hint="cs"/>
          <w:rtl/>
        </w:rPr>
        <w:t xml:space="preserve"> زیر را در نظر بگیرید که از رفتارها، دامنه‌های مسائل و سامانه‌های متنوعی انتخاب شده‌اند. در هر یک از این مثال ‌ها، می‌توانیم یک حلقه </w:t>
      </w:r>
      <w:r w:rsidRPr="0025250D">
        <w:rPr>
          <w:rtl/>
        </w:rPr>
        <w:t>آینده‌نگاری</w:t>
      </w:r>
      <w:r w:rsidRPr="0025250D">
        <w:rPr>
          <w:rFonts w:hint="cs"/>
          <w:rtl/>
        </w:rPr>
        <w:t>-عمل فراگیر را شناسایی کنیم. نام گام‌هایی که در زیر ارائه شده‌اند در هر مورد متفاوت است، اما خود حلقه فراگیر است. همه حلقه‌های زیر توسط ما به‌صورت چهار گامی بازنمایی شده‌اند، اگرچه برخی مدل‌های اصلی ممکن است پنج گام یا بیش‌تر را به تصویر بکشند. تعدادی از این حلقه‌ها را با عمق بیش‌تری در فصل‌های بعد بررسی خواهیم کرد:</w:t>
      </w:r>
    </w:p>
    <w:p w14:paraId="0D95B3D7" w14:textId="7768936F" w:rsidR="0020732A" w:rsidRPr="0025250D" w:rsidRDefault="0020732A" w:rsidP="00492C47">
      <w:pPr>
        <w:numPr>
          <w:ilvl w:val="0"/>
          <w:numId w:val="7"/>
        </w:numPr>
      </w:pPr>
      <w:r w:rsidRPr="0025250D">
        <w:rPr>
          <w:rFonts w:hint="cs"/>
          <w:rtl/>
        </w:rPr>
        <w:t>حلقه پردازش پیش‌بین</w:t>
      </w:r>
      <w:r w:rsidRPr="0025250D">
        <w:rPr>
          <w:vertAlign w:val="superscript"/>
          <w:rtl/>
        </w:rPr>
        <w:footnoteReference w:id="247"/>
      </w:r>
      <w:r w:rsidRPr="0025250D">
        <w:rPr>
          <w:rFonts w:hint="cs"/>
          <w:rtl/>
        </w:rPr>
        <w:t xml:space="preserve"> ارائه شده توسط </w:t>
      </w:r>
      <w:r w:rsidRPr="0025250D">
        <w:rPr>
          <w:rtl/>
        </w:rPr>
        <w:t>رائو</w:t>
      </w:r>
      <w:r w:rsidRPr="0025250D">
        <w:rPr>
          <w:vertAlign w:val="superscript"/>
          <w:rtl/>
        </w:rPr>
        <w:footnoteReference w:id="248"/>
      </w:r>
      <w:r w:rsidRPr="0025250D">
        <w:rPr>
          <w:rFonts w:hint="cs"/>
          <w:rtl/>
        </w:rPr>
        <w:t xml:space="preserve"> و </w:t>
      </w:r>
      <w:r w:rsidRPr="0025250D">
        <w:rPr>
          <w:rtl/>
        </w:rPr>
        <w:t>بالارد</w:t>
      </w:r>
      <w:r w:rsidRPr="0025250D">
        <w:rPr>
          <w:vertAlign w:val="superscript"/>
          <w:rtl/>
        </w:rPr>
        <w:footnoteReference w:id="249"/>
      </w:r>
      <w:r w:rsidRPr="0025250D">
        <w:rPr>
          <w:rFonts w:hint="cs"/>
          <w:rtl/>
        </w:rPr>
        <w:t>. (</w:t>
      </w:r>
      <w:r w:rsidR="00A20CCB" w:rsidRPr="0025250D">
        <w:rPr>
          <w:rFonts w:hint="cs"/>
          <w:rtl/>
        </w:rPr>
        <w:t>به‌روزرسانی</w:t>
      </w:r>
      <w:r w:rsidRPr="0025250D">
        <w:rPr>
          <w:rFonts w:hint="cs"/>
          <w:rtl/>
        </w:rPr>
        <w:t xml:space="preserve">=یادگیری، پیش‌بینی= </w:t>
      </w:r>
      <w:r w:rsidR="0060055A" w:rsidRPr="0025250D">
        <w:rPr>
          <w:rtl/>
        </w:rPr>
        <w:t>فراپایی</w:t>
      </w:r>
      <w:r w:rsidRPr="0025250D">
        <w:rPr>
          <w:rFonts w:hint="cs"/>
          <w:rtl/>
        </w:rPr>
        <w:t>، حس کردن</w:t>
      </w:r>
      <w:r w:rsidRPr="0025250D">
        <w:rPr>
          <w:vertAlign w:val="superscript"/>
          <w:rtl/>
        </w:rPr>
        <w:footnoteReference w:id="250"/>
      </w:r>
      <w:r w:rsidRPr="0025250D">
        <w:rPr>
          <w:rFonts w:hint="cs"/>
          <w:rtl/>
        </w:rPr>
        <w:t xml:space="preserve">=عمل، مقایسه=بازبینی). یک چرخه </w:t>
      </w:r>
      <w:r w:rsidRPr="0025250D">
        <w:rPr>
          <w:rtl/>
        </w:rPr>
        <w:t>آینده‌نگاری</w:t>
      </w:r>
      <w:r w:rsidRPr="0025250D">
        <w:rPr>
          <w:rFonts w:hint="cs"/>
          <w:rtl/>
        </w:rPr>
        <w:t>-عمل</w:t>
      </w:r>
      <w:r w:rsidR="00B13F65" w:rsidRPr="0025250D">
        <w:rPr>
          <w:rFonts w:hint="cs"/>
          <w:rtl/>
        </w:rPr>
        <w:t xml:space="preserve"> </w:t>
      </w:r>
      <w:r w:rsidRPr="0025250D">
        <w:rPr>
          <w:rFonts w:hint="cs"/>
          <w:rtl/>
        </w:rPr>
        <w:t>بسیار سریع (میلی ثانیه ای). این چرخه تعیین می‌کند که چگونه مغز پستانداران، اغلب به‌صورت ناخودآگاه، می‌بیند و فکر می‌کند. این مورد همچنین نقشی محوری برای طراحی یادگیری ماشین عمیق</w:t>
      </w:r>
      <w:r w:rsidRPr="0025250D">
        <w:rPr>
          <w:vertAlign w:val="superscript"/>
          <w:rtl/>
        </w:rPr>
        <w:footnoteReference w:id="251"/>
      </w:r>
      <w:r w:rsidRPr="0025250D">
        <w:rPr>
          <w:rFonts w:hint="cs"/>
          <w:rtl/>
        </w:rPr>
        <w:t xml:space="preserve"> دارد.</w:t>
      </w:r>
    </w:p>
    <w:p w14:paraId="432101CB" w14:textId="6224CCF8" w:rsidR="0020732A" w:rsidRPr="0025250D" w:rsidRDefault="0020732A" w:rsidP="00492C47">
      <w:pPr>
        <w:numPr>
          <w:ilvl w:val="0"/>
          <w:numId w:val="7"/>
        </w:numPr>
      </w:pPr>
      <w:r w:rsidRPr="0025250D">
        <w:rPr>
          <w:rFonts w:hint="cs"/>
          <w:rtl/>
        </w:rPr>
        <w:t xml:space="preserve">حلقه </w:t>
      </w:r>
      <w:r w:rsidRPr="0025250D">
        <w:t>OODA</w:t>
      </w:r>
      <w:r w:rsidRPr="0025250D">
        <w:rPr>
          <w:rFonts w:hint="cs"/>
          <w:rtl/>
        </w:rPr>
        <w:t xml:space="preserve"> ارائه شده توسط </w:t>
      </w:r>
      <w:r w:rsidRPr="0025250D">
        <w:rPr>
          <w:rtl/>
        </w:rPr>
        <w:t>جان بو</w:t>
      </w:r>
      <w:r w:rsidRPr="0025250D">
        <w:rPr>
          <w:rFonts w:hint="cs"/>
          <w:rtl/>
        </w:rPr>
        <w:t>ی</w:t>
      </w:r>
      <w:r w:rsidRPr="0025250D">
        <w:rPr>
          <w:rFonts w:hint="eastAsia"/>
          <w:rtl/>
        </w:rPr>
        <w:t>د</w:t>
      </w:r>
      <w:r w:rsidRPr="0025250D">
        <w:rPr>
          <w:vertAlign w:val="superscript"/>
          <w:rtl/>
        </w:rPr>
        <w:footnoteReference w:id="252"/>
      </w:r>
      <w:r w:rsidRPr="0025250D">
        <w:rPr>
          <w:rFonts w:hint="cs"/>
          <w:rtl/>
        </w:rPr>
        <w:t xml:space="preserve"> (</w:t>
      </w:r>
      <w:r w:rsidR="00CF59DF" w:rsidRPr="0025250D">
        <w:rPr>
          <w:rFonts w:hint="cs"/>
          <w:rtl/>
        </w:rPr>
        <w:t>جهت‌گیری</w:t>
      </w:r>
      <w:r w:rsidRPr="0025250D">
        <w:rPr>
          <w:vertAlign w:val="superscript"/>
          <w:rtl/>
        </w:rPr>
        <w:footnoteReference w:id="253"/>
      </w:r>
      <w:r w:rsidRPr="0025250D">
        <w:rPr>
          <w:rFonts w:hint="cs"/>
          <w:rtl/>
        </w:rPr>
        <w:t xml:space="preserve">= یادگیری؛ تصمیم‌گیری= </w:t>
      </w:r>
      <w:r w:rsidR="0060055A" w:rsidRPr="0025250D">
        <w:rPr>
          <w:rtl/>
        </w:rPr>
        <w:t>فراپایی</w:t>
      </w:r>
      <w:r w:rsidRPr="0025250D">
        <w:rPr>
          <w:rFonts w:hint="cs"/>
          <w:rtl/>
        </w:rPr>
        <w:t>؛ عمل= انجام؛ مشاهده =بازبینی</w:t>
      </w:r>
      <w:r w:rsidR="00116646" w:rsidRPr="0025250D">
        <w:rPr>
          <w:rFonts w:hint="cs"/>
          <w:rtl/>
        </w:rPr>
        <w:t>)</w:t>
      </w:r>
      <w:r w:rsidRPr="0025250D">
        <w:rPr>
          <w:rFonts w:hint="cs"/>
          <w:rtl/>
        </w:rPr>
        <w:t>.</w:t>
      </w:r>
      <w:r w:rsidRPr="0025250D">
        <w:rPr>
          <w:rFonts w:hint="cs"/>
          <w:vertAlign w:val="superscript"/>
          <w:rtl/>
        </w:rPr>
        <w:t xml:space="preserve"> </w:t>
      </w:r>
      <w:r w:rsidRPr="0025250D">
        <w:rPr>
          <w:rFonts w:hint="cs"/>
          <w:rtl/>
        </w:rPr>
        <w:t xml:space="preserve">یک چرخه </w:t>
      </w:r>
      <w:r w:rsidRPr="0025250D">
        <w:rPr>
          <w:rtl/>
        </w:rPr>
        <w:t>آینده‌نگاری</w:t>
      </w:r>
      <w:r w:rsidRPr="0025250D">
        <w:rPr>
          <w:rFonts w:hint="cs"/>
          <w:rtl/>
        </w:rPr>
        <w:t>-عمل</w:t>
      </w:r>
      <w:r w:rsidR="008D6F97" w:rsidRPr="0025250D">
        <w:t xml:space="preserve"> </w:t>
      </w:r>
      <w:r w:rsidRPr="0025250D">
        <w:rPr>
          <w:rFonts w:hint="cs"/>
          <w:rtl/>
        </w:rPr>
        <w:t>سریع و تاحدی آگاهانه (چند ثانیه تا چند دقیقه) که برای غلبه رقابتی در یک محیط تهدید آمیز ضروری است.</w:t>
      </w:r>
    </w:p>
    <w:p w14:paraId="644E958C" w14:textId="07DCE2C0" w:rsidR="0020732A" w:rsidRPr="0025250D" w:rsidRDefault="0020732A" w:rsidP="00492C47">
      <w:pPr>
        <w:numPr>
          <w:ilvl w:val="0"/>
          <w:numId w:val="7"/>
        </w:numPr>
      </w:pPr>
      <w:r w:rsidRPr="0025250D">
        <w:rPr>
          <w:rFonts w:hint="cs"/>
          <w:rtl/>
        </w:rPr>
        <w:t>حلقه مدیریت جریان کاری</w:t>
      </w:r>
      <w:r w:rsidRPr="0025250D">
        <w:rPr>
          <w:vertAlign w:val="superscript"/>
          <w:rtl/>
        </w:rPr>
        <w:footnoteReference w:id="254"/>
      </w:r>
      <w:r w:rsidRPr="0025250D">
        <w:rPr>
          <w:rFonts w:hint="cs"/>
          <w:rtl/>
        </w:rPr>
        <w:t xml:space="preserve"> ارائه شده توسط </w:t>
      </w:r>
      <w:r w:rsidRPr="0025250D">
        <w:rPr>
          <w:rtl/>
        </w:rPr>
        <w:t>د</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rtl/>
        </w:rPr>
        <w:t xml:space="preserve"> آلن</w:t>
      </w:r>
      <w:r w:rsidRPr="0025250D">
        <w:rPr>
          <w:vertAlign w:val="superscript"/>
          <w:rtl/>
        </w:rPr>
        <w:footnoteReference w:id="255"/>
      </w:r>
      <w:r w:rsidRPr="0025250D">
        <w:rPr>
          <w:rFonts w:hint="cs"/>
          <w:rtl/>
        </w:rPr>
        <w:t xml:space="preserve"> (</w:t>
      </w:r>
      <w:r w:rsidR="00B124DE" w:rsidRPr="0025250D">
        <w:rPr>
          <w:rFonts w:hint="cs"/>
          <w:rtl/>
        </w:rPr>
        <w:t>جمع‌آوری</w:t>
      </w:r>
      <w:r w:rsidRPr="0025250D">
        <w:rPr>
          <w:rFonts w:hint="cs"/>
          <w:rtl/>
        </w:rPr>
        <w:t xml:space="preserve"> و پردازش= یادگیری، سازماندهی=</w:t>
      </w:r>
      <w:r w:rsidR="0060055A" w:rsidRPr="0025250D">
        <w:rPr>
          <w:rtl/>
        </w:rPr>
        <w:t>فراپایی</w:t>
      </w:r>
      <w:r w:rsidRPr="0025250D">
        <w:rPr>
          <w:rFonts w:hint="cs"/>
          <w:rtl/>
        </w:rPr>
        <w:t>، عمل، بازبینی) در مدیریت جریان کار (اطلاعات، وظایف، زمان). برای مدیریت وظایف روزانه بسیار مفید است.</w:t>
      </w:r>
    </w:p>
    <w:p w14:paraId="35CBFCAB" w14:textId="63681EDA" w:rsidR="0020732A" w:rsidRPr="0025250D" w:rsidRDefault="0020732A" w:rsidP="00492C47">
      <w:pPr>
        <w:numPr>
          <w:ilvl w:val="0"/>
          <w:numId w:val="7"/>
        </w:numPr>
      </w:pPr>
      <w:r w:rsidRPr="0025250D">
        <w:rPr>
          <w:rFonts w:hint="cs"/>
          <w:rtl/>
        </w:rPr>
        <w:lastRenderedPageBreak/>
        <w:t xml:space="preserve">حلقه یادگیری عملی (تجربی) ارائه شده توسط </w:t>
      </w:r>
      <w:r w:rsidRPr="0025250D">
        <w:rPr>
          <w:rtl/>
        </w:rPr>
        <w:t>د</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rtl/>
        </w:rPr>
        <w:t xml:space="preserve"> کولب</w:t>
      </w:r>
      <w:r w:rsidRPr="0025250D">
        <w:rPr>
          <w:vertAlign w:val="superscript"/>
          <w:rtl/>
        </w:rPr>
        <w:footnoteReference w:id="256"/>
      </w:r>
      <w:r w:rsidRPr="0025250D">
        <w:rPr>
          <w:rFonts w:hint="cs"/>
          <w:rtl/>
        </w:rPr>
        <w:t xml:space="preserve"> (مدل= یادگیری، برنامه‌ریزی یک آزمایش=</w:t>
      </w:r>
      <w:r w:rsidR="0060055A" w:rsidRPr="0025250D">
        <w:rPr>
          <w:rtl/>
        </w:rPr>
        <w:t>فراپایی</w:t>
      </w:r>
      <w:r w:rsidRPr="0025250D">
        <w:rPr>
          <w:rFonts w:hint="cs"/>
          <w:rtl/>
        </w:rPr>
        <w:t>، تجربه=عمل، بازتاب</w:t>
      </w:r>
      <w:r w:rsidRPr="0025250D">
        <w:rPr>
          <w:vertAlign w:val="superscript"/>
          <w:rtl/>
        </w:rPr>
        <w:footnoteReference w:id="257"/>
      </w:r>
      <w:r w:rsidRPr="0025250D">
        <w:rPr>
          <w:rFonts w:hint="cs"/>
          <w:rtl/>
        </w:rPr>
        <w:t>=بازبینی).</w:t>
      </w:r>
      <w:r w:rsidRPr="0025250D">
        <w:rPr>
          <w:rFonts w:hint="cs"/>
          <w:vertAlign w:val="superscript"/>
          <w:rtl/>
        </w:rPr>
        <w:t xml:space="preserve"> </w:t>
      </w:r>
      <w:r w:rsidRPr="0025250D">
        <w:rPr>
          <w:rFonts w:hint="cs"/>
          <w:rtl/>
        </w:rPr>
        <w:t>یک مدل مبتنی بر مدارک از چگونگی یادگیری انسان.</w:t>
      </w:r>
    </w:p>
    <w:p w14:paraId="545F031A" w14:textId="1AA9D7CF" w:rsidR="0020732A" w:rsidRPr="0025250D" w:rsidRDefault="0020732A" w:rsidP="004F67D4">
      <w:pPr>
        <w:numPr>
          <w:ilvl w:val="0"/>
          <w:numId w:val="7"/>
        </w:numPr>
        <w:rPr>
          <w:rtl/>
        </w:rPr>
      </w:pPr>
      <w:r w:rsidRPr="0025250D">
        <w:rPr>
          <w:rFonts w:hint="cs"/>
          <w:rtl/>
        </w:rPr>
        <w:t>حلقه شکل‌گیری/شکستن عادت ارائه شده توسط کیلیر</w:t>
      </w:r>
      <w:r w:rsidRPr="0025250D">
        <w:rPr>
          <w:vertAlign w:val="superscript"/>
          <w:rtl/>
        </w:rPr>
        <w:footnoteReference w:id="258"/>
      </w:r>
      <w:r w:rsidRPr="0025250D">
        <w:rPr>
          <w:rFonts w:hint="cs"/>
          <w:rtl/>
        </w:rPr>
        <w:t xml:space="preserve"> و </w:t>
      </w:r>
      <w:r w:rsidRPr="0025250D">
        <w:rPr>
          <w:rtl/>
        </w:rPr>
        <w:t>داه</w:t>
      </w:r>
      <w:r w:rsidRPr="0025250D">
        <w:rPr>
          <w:rFonts w:hint="cs"/>
          <w:rtl/>
        </w:rPr>
        <w:t>ی</w:t>
      </w:r>
      <w:r w:rsidRPr="0025250D">
        <w:rPr>
          <w:rFonts w:hint="eastAsia"/>
          <w:rtl/>
        </w:rPr>
        <w:t>گ</w:t>
      </w:r>
      <w:r w:rsidRPr="0025250D">
        <w:rPr>
          <w:vertAlign w:val="superscript"/>
          <w:rtl/>
        </w:rPr>
        <w:footnoteReference w:id="259"/>
      </w:r>
      <w:r w:rsidRPr="0025250D">
        <w:rPr>
          <w:rFonts w:hint="cs"/>
          <w:rtl/>
        </w:rPr>
        <w:t>. (نشانه‌های محیطی=یادگیری، تمایل</w:t>
      </w:r>
      <w:r w:rsidRPr="0025250D">
        <w:rPr>
          <w:vertAlign w:val="superscript"/>
          <w:rtl/>
        </w:rPr>
        <w:footnoteReference w:id="260"/>
      </w:r>
      <w:r w:rsidRPr="0025250D">
        <w:rPr>
          <w:rFonts w:hint="cs"/>
          <w:rtl/>
        </w:rPr>
        <w:t>=</w:t>
      </w:r>
      <w:r w:rsidR="0060055A" w:rsidRPr="0025250D">
        <w:rPr>
          <w:rtl/>
        </w:rPr>
        <w:t>فراپایی</w:t>
      </w:r>
      <w:r w:rsidRPr="0025250D">
        <w:rPr>
          <w:rFonts w:hint="cs"/>
          <w:rtl/>
        </w:rPr>
        <w:t>، پاسخ=عمل، پاداش=بازبینی). یک</w:t>
      </w:r>
      <w:r w:rsidRPr="0025250D">
        <w:rPr>
          <w:rtl/>
        </w:rPr>
        <w:t xml:space="preserve"> </w:t>
      </w:r>
      <w:r w:rsidRPr="0025250D">
        <w:rPr>
          <w:rFonts w:hint="cs"/>
          <w:rtl/>
        </w:rPr>
        <w:t>مدل</w:t>
      </w:r>
      <w:r w:rsidRPr="0025250D">
        <w:rPr>
          <w:rtl/>
        </w:rPr>
        <w:t xml:space="preserve"> </w:t>
      </w:r>
      <w:r w:rsidRPr="0025250D">
        <w:rPr>
          <w:rFonts w:hint="cs"/>
          <w:rtl/>
        </w:rPr>
        <w:t>کلیدی</w:t>
      </w:r>
      <w:r w:rsidRPr="0025250D">
        <w:rPr>
          <w:rtl/>
        </w:rPr>
        <w:t xml:space="preserve"> </w:t>
      </w:r>
      <w:r w:rsidRPr="0025250D">
        <w:rPr>
          <w:rFonts w:hint="cs"/>
          <w:rtl/>
        </w:rPr>
        <w:t>در</w:t>
      </w:r>
      <w:r w:rsidRPr="0025250D">
        <w:rPr>
          <w:rtl/>
        </w:rPr>
        <w:t xml:space="preserve"> </w:t>
      </w:r>
      <w:r w:rsidRPr="0025250D">
        <w:rPr>
          <w:rFonts w:hint="cs"/>
          <w:rtl/>
        </w:rPr>
        <w:t>شکل‌گیری</w:t>
      </w:r>
      <w:r w:rsidRPr="0025250D">
        <w:rPr>
          <w:rtl/>
        </w:rPr>
        <w:t xml:space="preserve"> </w:t>
      </w:r>
      <w:r w:rsidRPr="0025250D">
        <w:rPr>
          <w:rFonts w:hint="cs"/>
          <w:rtl/>
        </w:rPr>
        <w:t>عادات</w:t>
      </w:r>
      <w:r w:rsidRPr="0025250D">
        <w:rPr>
          <w:rtl/>
        </w:rPr>
        <w:t xml:space="preserve"> </w:t>
      </w:r>
      <w:r w:rsidRPr="0025250D">
        <w:rPr>
          <w:rFonts w:hint="cs"/>
          <w:rtl/>
        </w:rPr>
        <w:t>و</w:t>
      </w:r>
      <w:r w:rsidRPr="0025250D">
        <w:rPr>
          <w:rtl/>
        </w:rPr>
        <w:t xml:space="preserve"> </w:t>
      </w:r>
      <w:r w:rsidRPr="0025250D">
        <w:rPr>
          <w:rFonts w:hint="cs"/>
          <w:rtl/>
        </w:rPr>
        <w:t>از</w:t>
      </w:r>
      <w:r w:rsidRPr="0025250D">
        <w:rPr>
          <w:rtl/>
        </w:rPr>
        <w:t xml:space="preserve"> </w:t>
      </w:r>
      <w:r w:rsidRPr="0025250D">
        <w:rPr>
          <w:rFonts w:hint="cs"/>
          <w:rtl/>
        </w:rPr>
        <w:t>بین</w:t>
      </w:r>
      <w:r w:rsidRPr="0025250D">
        <w:rPr>
          <w:rtl/>
        </w:rPr>
        <w:t xml:space="preserve"> </w:t>
      </w:r>
      <w:r w:rsidRPr="0025250D">
        <w:rPr>
          <w:rFonts w:hint="cs"/>
          <w:rtl/>
        </w:rPr>
        <w:t>رفتن</w:t>
      </w:r>
      <w:r w:rsidRPr="0025250D">
        <w:rPr>
          <w:rtl/>
        </w:rPr>
        <w:t xml:space="preserve"> </w:t>
      </w:r>
      <w:r w:rsidRPr="0025250D">
        <w:rPr>
          <w:rFonts w:hint="cs"/>
          <w:rtl/>
        </w:rPr>
        <w:t>عادات</w:t>
      </w:r>
      <w:r w:rsidRPr="0025250D">
        <w:rPr>
          <w:rtl/>
        </w:rPr>
        <w:t xml:space="preserve"> </w:t>
      </w:r>
      <w:r w:rsidRPr="0025250D">
        <w:rPr>
          <w:rFonts w:hint="cs"/>
          <w:rtl/>
        </w:rPr>
        <w:t>در</w:t>
      </w:r>
      <w:r w:rsidRPr="0025250D">
        <w:rPr>
          <w:rtl/>
        </w:rPr>
        <w:t xml:space="preserve"> </w:t>
      </w:r>
      <w:r w:rsidRPr="0025250D">
        <w:rPr>
          <w:rFonts w:hint="cs"/>
          <w:rtl/>
        </w:rPr>
        <w:t>تغییر</w:t>
      </w:r>
      <w:r w:rsidRPr="0025250D">
        <w:rPr>
          <w:rtl/>
        </w:rPr>
        <w:t xml:space="preserve"> </w:t>
      </w:r>
      <w:r w:rsidRPr="0025250D">
        <w:rPr>
          <w:rFonts w:hint="cs"/>
          <w:rtl/>
        </w:rPr>
        <w:t>رفتاری</w:t>
      </w:r>
      <w:r w:rsidRPr="0025250D">
        <w:rPr>
          <w:rtl/>
        </w:rPr>
        <w:t>.</w:t>
      </w:r>
    </w:p>
    <w:p w14:paraId="5C06E7E4" w14:textId="5F9A4E1F" w:rsidR="0020732A" w:rsidRPr="0025250D" w:rsidRDefault="00AE7945" w:rsidP="00537CC8">
      <w:pPr>
        <w:jc w:val="center"/>
        <w:rPr>
          <w:rtl/>
        </w:rPr>
      </w:pPr>
      <w:r w:rsidRPr="0025250D">
        <w:rPr>
          <w:noProof/>
        </w:rPr>
        <w:drawing>
          <wp:inline distT="0" distB="0" distL="0" distR="0" wp14:anchorId="5AFDFA5B" wp14:editId="5C88619E">
            <wp:extent cx="3760967" cy="3472403"/>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3762643" cy="3473951"/>
                    </a:xfrm>
                    <a:prstGeom prst="rect">
                      <a:avLst/>
                    </a:prstGeom>
                    <a:noFill/>
                  </pic:spPr>
                </pic:pic>
              </a:graphicData>
            </a:graphic>
          </wp:inline>
        </w:drawing>
      </w:r>
    </w:p>
    <w:p w14:paraId="0FFB01CE" w14:textId="77777777" w:rsidR="0020732A" w:rsidRPr="0025250D" w:rsidRDefault="0020732A" w:rsidP="00537CC8">
      <w:pPr>
        <w:jc w:val="center"/>
      </w:pPr>
      <w:r w:rsidRPr="0025250D">
        <w:rPr>
          <w:rFonts w:hint="cs"/>
          <w:rtl/>
        </w:rPr>
        <w:t>(کلیر، 2018)</w:t>
      </w:r>
    </w:p>
    <w:p w14:paraId="2B80E57F" w14:textId="17D8E9E7" w:rsidR="0020732A" w:rsidRPr="0025250D" w:rsidRDefault="0020732A" w:rsidP="00492C47">
      <w:pPr>
        <w:numPr>
          <w:ilvl w:val="0"/>
          <w:numId w:val="7"/>
        </w:numPr>
      </w:pPr>
      <w:r w:rsidRPr="0025250D">
        <w:rPr>
          <w:rFonts w:hint="cs"/>
          <w:rtl/>
        </w:rPr>
        <w:t xml:space="preserve">حلقه تمرین ارادی ارائه شده توسط </w:t>
      </w:r>
      <w:r w:rsidRPr="0025250D">
        <w:rPr>
          <w:rtl/>
        </w:rPr>
        <w:t>ار</w:t>
      </w:r>
      <w:r w:rsidRPr="0025250D">
        <w:rPr>
          <w:rFonts w:hint="cs"/>
          <w:rtl/>
        </w:rPr>
        <w:t>ی</w:t>
      </w:r>
      <w:r w:rsidRPr="0025250D">
        <w:rPr>
          <w:rFonts w:hint="eastAsia"/>
          <w:rtl/>
        </w:rPr>
        <w:t>ک</w:t>
      </w:r>
      <w:r w:rsidRPr="0025250D">
        <w:rPr>
          <w:rtl/>
        </w:rPr>
        <w:t xml:space="preserve"> ار</w:t>
      </w:r>
      <w:r w:rsidRPr="0025250D">
        <w:rPr>
          <w:rFonts w:hint="cs"/>
          <w:rtl/>
        </w:rPr>
        <w:t>ی</w:t>
      </w:r>
      <w:r w:rsidRPr="0025250D">
        <w:rPr>
          <w:rFonts w:hint="eastAsia"/>
          <w:rtl/>
        </w:rPr>
        <w:t>کسون</w:t>
      </w:r>
      <w:r w:rsidRPr="0025250D">
        <w:rPr>
          <w:vertAlign w:val="superscript"/>
          <w:rtl/>
        </w:rPr>
        <w:footnoteReference w:id="261"/>
      </w:r>
      <w:r w:rsidRPr="0025250D">
        <w:rPr>
          <w:rFonts w:hint="cs"/>
          <w:rtl/>
        </w:rPr>
        <w:t xml:space="preserve"> (ارزیابی ضعف ها= یادگیری، برنامه‌ریزی تمرین هدفمند=</w:t>
      </w:r>
      <w:r w:rsidR="0060055A" w:rsidRPr="0025250D">
        <w:rPr>
          <w:rtl/>
        </w:rPr>
        <w:t>فراپایی</w:t>
      </w:r>
      <w:r w:rsidRPr="0025250D">
        <w:rPr>
          <w:rFonts w:hint="cs"/>
          <w:rtl/>
        </w:rPr>
        <w:t>، اقدام و شکست=عمل، بازبینی خطاها=بازبینی). یک مدل مبتنی بر مدارک برای چگونگی رسیدن به حداکثر عملکرد.</w:t>
      </w:r>
    </w:p>
    <w:p w14:paraId="0AF112AE" w14:textId="2C748363" w:rsidR="0020732A" w:rsidRPr="0025250D" w:rsidRDefault="0020732A" w:rsidP="00492C47">
      <w:pPr>
        <w:numPr>
          <w:ilvl w:val="0"/>
          <w:numId w:val="7"/>
        </w:numPr>
      </w:pPr>
      <w:r w:rsidRPr="0025250D">
        <w:rPr>
          <w:rFonts w:hint="cs"/>
          <w:rtl/>
        </w:rPr>
        <w:t>حلقه استارتاپ ناب</w:t>
      </w:r>
      <w:r w:rsidRPr="0025250D">
        <w:rPr>
          <w:vertAlign w:val="superscript"/>
          <w:rtl/>
        </w:rPr>
        <w:footnoteReference w:id="262"/>
      </w:r>
      <w:r w:rsidRPr="0025250D">
        <w:rPr>
          <w:rFonts w:hint="cs"/>
          <w:rtl/>
        </w:rPr>
        <w:t xml:space="preserve"> ارائه شده توسط </w:t>
      </w:r>
      <w:r w:rsidRPr="0025250D">
        <w:rPr>
          <w:rtl/>
        </w:rPr>
        <w:t>ار</w:t>
      </w:r>
      <w:r w:rsidRPr="0025250D">
        <w:rPr>
          <w:rFonts w:hint="cs"/>
          <w:rtl/>
        </w:rPr>
        <w:t>ی</w:t>
      </w:r>
      <w:r w:rsidRPr="0025250D">
        <w:rPr>
          <w:rFonts w:hint="eastAsia"/>
          <w:rtl/>
        </w:rPr>
        <w:t>ک</w:t>
      </w:r>
      <w:r w:rsidRPr="0025250D">
        <w:rPr>
          <w:rtl/>
        </w:rPr>
        <w:t xml:space="preserve"> ر</w:t>
      </w:r>
      <w:r w:rsidRPr="0025250D">
        <w:rPr>
          <w:rFonts w:hint="cs"/>
          <w:rtl/>
        </w:rPr>
        <w:t>ی</w:t>
      </w:r>
      <w:r w:rsidRPr="0025250D">
        <w:rPr>
          <w:rFonts w:hint="eastAsia"/>
          <w:rtl/>
        </w:rPr>
        <w:t>س</w:t>
      </w:r>
      <w:r w:rsidRPr="0025250D">
        <w:rPr>
          <w:vertAlign w:val="superscript"/>
          <w:rtl/>
        </w:rPr>
        <w:footnoteReference w:id="263"/>
      </w:r>
      <w:r w:rsidRPr="0025250D">
        <w:rPr>
          <w:rFonts w:hint="cs"/>
          <w:rtl/>
        </w:rPr>
        <w:t xml:space="preserve"> (یادگیری، چشم‌اندازسازی، ایجاد، اندازه گیری=بازبینی) در کارآفرینی. همچنین یک مدل کلیدی برای نوآوری دائمی مدل کسب‌وکار.</w:t>
      </w:r>
    </w:p>
    <w:p w14:paraId="5D665302" w14:textId="028FA081" w:rsidR="0020732A" w:rsidRPr="0025250D" w:rsidRDefault="0020732A" w:rsidP="00492C47">
      <w:pPr>
        <w:numPr>
          <w:ilvl w:val="0"/>
          <w:numId w:val="7"/>
        </w:numPr>
      </w:pPr>
      <w:r w:rsidRPr="0025250D">
        <w:rPr>
          <w:rFonts w:hint="cs"/>
          <w:rtl/>
        </w:rPr>
        <w:t xml:space="preserve">حلقه طراحی ارائه شده توسط </w:t>
      </w:r>
      <w:r w:rsidRPr="0025250D">
        <w:rPr>
          <w:rtl/>
        </w:rPr>
        <w:t>هربرت سا</w:t>
      </w:r>
      <w:r w:rsidRPr="0025250D">
        <w:rPr>
          <w:rFonts w:hint="cs"/>
          <w:rtl/>
        </w:rPr>
        <w:t>ی</w:t>
      </w:r>
      <w:r w:rsidRPr="0025250D">
        <w:rPr>
          <w:rFonts w:hint="eastAsia"/>
          <w:rtl/>
        </w:rPr>
        <w:t>مون</w:t>
      </w:r>
      <w:r w:rsidRPr="0025250D">
        <w:rPr>
          <w:vertAlign w:val="superscript"/>
          <w:rtl/>
        </w:rPr>
        <w:footnoteReference w:id="264"/>
      </w:r>
      <w:r w:rsidRPr="0025250D">
        <w:rPr>
          <w:rFonts w:hint="cs"/>
          <w:rtl/>
        </w:rPr>
        <w:t xml:space="preserve"> (تعریف و تحقیق=یادگیری؛ ایده پردازی، نمونه اولیه و انتخاب=</w:t>
      </w:r>
      <w:r w:rsidR="0060055A" w:rsidRPr="0025250D">
        <w:rPr>
          <w:rtl/>
        </w:rPr>
        <w:t>فراپایی</w:t>
      </w:r>
      <w:r w:rsidRPr="0025250D">
        <w:rPr>
          <w:rFonts w:hint="cs"/>
          <w:rtl/>
        </w:rPr>
        <w:t xml:space="preserve">؛ </w:t>
      </w:r>
      <w:r w:rsidR="00206F11" w:rsidRPr="0025250D">
        <w:rPr>
          <w:rFonts w:hint="cs"/>
          <w:rtl/>
        </w:rPr>
        <w:t>پیاده‌سازی</w:t>
      </w:r>
      <w:r w:rsidRPr="0025250D">
        <w:rPr>
          <w:rFonts w:hint="cs"/>
          <w:rtl/>
        </w:rPr>
        <w:t>=عمل، یادگیری=بازبینی</w:t>
      </w:r>
      <w:r w:rsidR="00116646" w:rsidRPr="0025250D">
        <w:rPr>
          <w:rtl/>
        </w:rPr>
        <w:t>) در</w:t>
      </w:r>
      <w:r w:rsidRPr="0025250D">
        <w:rPr>
          <w:rFonts w:hint="cs"/>
          <w:rtl/>
        </w:rPr>
        <w:t xml:space="preserve"> نوآوری. به‌طور مشخص برای طراحی و نمونه سازی فردی و تیمی مفید است.</w:t>
      </w:r>
    </w:p>
    <w:p w14:paraId="398B5D9A" w14:textId="77777777" w:rsidR="0020732A" w:rsidRPr="0025250D" w:rsidRDefault="0020732A" w:rsidP="00492C47">
      <w:pPr>
        <w:numPr>
          <w:ilvl w:val="0"/>
          <w:numId w:val="7"/>
        </w:numPr>
      </w:pPr>
      <w:r w:rsidRPr="0025250D">
        <w:rPr>
          <w:rFonts w:hint="cs"/>
          <w:rtl/>
        </w:rPr>
        <w:lastRenderedPageBreak/>
        <w:t>حلقه توسعه چابک</w:t>
      </w:r>
      <w:r w:rsidRPr="0025250D">
        <w:rPr>
          <w:vertAlign w:val="superscript"/>
          <w:rtl/>
        </w:rPr>
        <w:footnoteReference w:id="265"/>
      </w:r>
      <w:r w:rsidRPr="0025250D">
        <w:rPr>
          <w:rFonts w:hint="cs"/>
          <w:rtl/>
        </w:rPr>
        <w:t xml:space="preserve"> ارائه شده توسط </w:t>
      </w:r>
      <w:r w:rsidRPr="0025250D">
        <w:rPr>
          <w:rtl/>
        </w:rPr>
        <w:t>کنت بک</w:t>
      </w:r>
      <w:r w:rsidRPr="0025250D">
        <w:rPr>
          <w:vertAlign w:val="superscript"/>
          <w:rtl/>
        </w:rPr>
        <w:footnoteReference w:id="266"/>
      </w:r>
      <w:r w:rsidRPr="0025250D">
        <w:rPr>
          <w:rFonts w:hint="cs"/>
          <w:rtl/>
        </w:rPr>
        <w:t xml:space="preserve"> (کشف، طراحی، توسعه، آزمون) در مهندسی، با استفاده از فرایند‌هایی مانند اسکرام</w:t>
      </w:r>
      <w:r w:rsidRPr="0025250D">
        <w:rPr>
          <w:vertAlign w:val="superscript"/>
          <w:rtl/>
        </w:rPr>
        <w:footnoteReference w:id="267"/>
      </w:r>
      <w:r w:rsidRPr="0025250D">
        <w:rPr>
          <w:rFonts w:hint="cs"/>
          <w:rtl/>
        </w:rPr>
        <w:t>، کانبان</w:t>
      </w:r>
      <w:r w:rsidRPr="0025250D">
        <w:rPr>
          <w:vertAlign w:val="superscript"/>
          <w:rtl/>
        </w:rPr>
        <w:footnoteReference w:id="268"/>
      </w:r>
      <w:r w:rsidRPr="0025250D">
        <w:rPr>
          <w:rFonts w:hint="cs"/>
          <w:rtl/>
        </w:rPr>
        <w:t xml:space="preserve"> و تولید ناب</w:t>
      </w:r>
      <w:r w:rsidRPr="0025250D">
        <w:rPr>
          <w:vertAlign w:val="superscript"/>
          <w:rtl/>
        </w:rPr>
        <w:footnoteReference w:id="269"/>
      </w:r>
      <w:r w:rsidRPr="0025250D">
        <w:rPr>
          <w:rFonts w:hint="cs"/>
          <w:rtl/>
        </w:rPr>
        <w:t>.</w:t>
      </w:r>
    </w:p>
    <w:p w14:paraId="3292A9AC" w14:textId="0CE13FEA" w:rsidR="0020732A" w:rsidRPr="0025250D" w:rsidRDefault="0020732A" w:rsidP="00492C47">
      <w:pPr>
        <w:numPr>
          <w:ilvl w:val="0"/>
          <w:numId w:val="7"/>
        </w:numPr>
      </w:pPr>
      <w:r w:rsidRPr="0025250D">
        <w:rPr>
          <w:rFonts w:hint="cs"/>
          <w:rtl/>
        </w:rPr>
        <w:t xml:space="preserve">حلقه کیفیت ارائه شده توسط </w:t>
      </w:r>
      <w:r w:rsidRPr="0025250D">
        <w:rPr>
          <w:rtl/>
        </w:rPr>
        <w:t>ادواردز دم</w:t>
      </w:r>
      <w:r w:rsidRPr="0025250D">
        <w:rPr>
          <w:rFonts w:hint="cs"/>
          <w:rtl/>
        </w:rPr>
        <w:t>ی</w:t>
      </w:r>
      <w:r w:rsidRPr="0025250D">
        <w:rPr>
          <w:rFonts w:hint="eastAsia"/>
          <w:rtl/>
        </w:rPr>
        <w:t>نگ</w:t>
      </w:r>
      <w:r w:rsidRPr="0025250D">
        <w:rPr>
          <w:vertAlign w:val="superscript"/>
          <w:rtl/>
        </w:rPr>
        <w:footnoteReference w:id="270"/>
      </w:r>
      <w:r w:rsidRPr="0025250D">
        <w:rPr>
          <w:rFonts w:hint="cs"/>
          <w:rtl/>
        </w:rPr>
        <w:t xml:space="preserve"> (مشاهده=یادگیری؛ برنامه‌ریزی=</w:t>
      </w:r>
      <w:r w:rsidR="0060055A" w:rsidRPr="0025250D">
        <w:rPr>
          <w:rtl/>
        </w:rPr>
        <w:t>فراپایی</w:t>
      </w:r>
      <w:r w:rsidRPr="0025250D">
        <w:rPr>
          <w:rFonts w:hint="cs"/>
          <w:rtl/>
        </w:rPr>
        <w:t>، انجام=عمل، بررسی و تنظیم= بازبینی) در تضمین کیفیت. این حلقه به ما کمک می‌کنند که کیفیت محصولات، خدمات و فرایند‌های را ارزیابی و مدیریت کنیم.</w:t>
      </w:r>
    </w:p>
    <w:p w14:paraId="3F840553" w14:textId="385DAA68" w:rsidR="0020732A" w:rsidRPr="0025250D" w:rsidRDefault="0020732A" w:rsidP="00492C47">
      <w:pPr>
        <w:numPr>
          <w:ilvl w:val="0"/>
          <w:numId w:val="7"/>
        </w:numPr>
      </w:pPr>
      <w:r w:rsidRPr="0025250D">
        <w:rPr>
          <w:rFonts w:hint="cs"/>
          <w:rtl/>
        </w:rPr>
        <w:t>حلقه روش علمی (مشاهده=یادگیری، فرضیه سازی و پیش‌بینی=</w:t>
      </w:r>
      <w:r w:rsidR="0060055A" w:rsidRPr="0025250D">
        <w:rPr>
          <w:rtl/>
        </w:rPr>
        <w:t>فراپایی</w:t>
      </w:r>
      <w:r w:rsidRPr="0025250D">
        <w:rPr>
          <w:rFonts w:hint="cs"/>
          <w:rtl/>
        </w:rPr>
        <w:t>، آزمایش=عمل، نتایج=بازبینی). این حلقه همان راهی است که به حقیقت نزدیک‌تر می‌شویم.</w:t>
      </w:r>
    </w:p>
    <w:p w14:paraId="46CD12D3" w14:textId="7A7D1D68" w:rsidR="0020732A" w:rsidRPr="0025250D" w:rsidRDefault="0020732A" w:rsidP="0020732A">
      <w:pPr>
        <w:rPr>
          <w:rtl/>
        </w:rPr>
      </w:pPr>
      <w:r w:rsidRPr="0025250D">
        <w:rPr>
          <w:rFonts w:hint="cs"/>
          <w:rtl/>
        </w:rPr>
        <w:t xml:space="preserve">در مورد بسیاری از این حلقه‌ها در فصل‌های بعدی صحبت خواهیم کرد. اکنون، تنها ارزش گسترده گام‌های </w:t>
      </w:r>
      <w:r w:rsidRPr="0025250D">
        <w:t>LFAR</w:t>
      </w:r>
      <w:r w:rsidRPr="0025250D">
        <w:rPr>
          <w:rFonts w:hint="cs"/>
          <w:rtl/>
        </w:rPr>
        <w:t xml:space="preserve"> را در نظر بگیرید و توجه داشته باشید که هر یک از این گام‌ها می‌توانند سریع‌تر و آرام‌تر بسته به بافت </w:t>
      </w:r>
      <w:r w:rsidR="00923DDB" w:rsidRPr="0025250D">
        <w:rPr>
          <w:rFonts w:hint="cs"/>
          <w:rtl/>
        </w:rPr>
        <w:t>به‌کارگیری</w:t>
      </w:r>
      <w:r w:rsidRPr="0025250D">
        <w:rPr>
          <w:rFonts w:hint="cs"/>
          <w:rtl/>
        </w:rPr>
        <w:t xml:space="preserve"> آن‌ها طی شوند. در برخی شرایط و بافت ‌ها، مانند حلقه پردازش پیش‌بینی (تفکر ناخودآگاه)، حلقه </w:t>
      </w:r>
      <w:r w:rsidRPr="0025250D">
        <w:t>OODA</w:t>
      </w:r>
      <w:r w:rsidRPr="0025250D">
        <w:rPr>
          <w:rFonts w:hint="cs"/>
          <w:rtl/>
        </w:rPr>
        <w:t>، یا حلقه استارتاپ ناب، ما معمولاً حلقه‌های انجام خود را بسیار سریع طی می‌کنیم. در یک حلقه یادگیری تجربی، در مقابل، ممکن است بخواهیم در یک فرایند راهنمایی شده یادگیری، عمل و بازبینی، برای رسیدن به عملکرد حداکثر، حلقه‌های خود را در ابتدا آرام‌تر طی کنیم. در حلقه‌های کیفیتی، در حین کار در بافت‌های پیچیده، گرانقیمت یا با قبلیت اطمینان بالا، ممکن است حلقه‌های انجام را با سرعت</w:t>
      </w:r>
      <w:r w:rsidR="00B13F65" w:rsidRPr="0025250D">
        <w:rPr>
          <w:rFonts w:hint="cs"/>
          <w:rtl/>
        </w:rPr>
        <w:t>ی معادل</w:t>
      </w:r>
      <w:r w:rsidRPr="0025250D">
        <w:rPr>
          <w:rFonts w:hint="cs"/>
          <w:rtl/>
        </w:rPr>
        <w:t xml:space="preserve"> روزها، هفته‌ها یا حتی ماه‌ها برای هر گام طی کنیم</w:t>
      </w:r>
      <w:r w:rsidR="008D6F97" w:rsidRPr="0025250D">
        <w:rPr>
          <w:rtl/>
        </w:rPr>
        <w:t xml:space="preserve">؛ </w:t>
      </w:r>
      <w:r w:rsidRPr="0025250D">
        <w:rPr>
          <w:rFonts w:hint="cs"/>
          <w:rtl/>
        </w:rPr>
        <w:t xml:space="preserve">اما در همه موارد، </w:t>
      </w:r>
      <w:r w:rsidR="007118DE" w:rsidRPr="0025250D">
        <w:rPr>
          <w:rFonts w:hint="cs"/>
          <w:rtl/>
        </w:rPr>
        <w:t>همان‌طور</w:t>
      </w:r>
      <w:r w:rsidRPr="0025250D">
        <w:rPr>
          <w:rFonts w:hint="cs"/>
          <w:rtl/>
        </w:rPr>
        <w:t xml:space="preserve"> که </w:t>
      </w:r>
      <w:r w:rsidR="00B227D1" w:rsidRPr="0025250D">
        <w:rPr>
          <w:rFonts w:hint="cs"/>
          <w:rtl/>
        </w:rPr>
        <w:t>بوید</w:t>
      </w:r>
      <w:r w:rsidRPr="0025250D">
        <w:rPr>
          <w:rFonts w:hint="cs"/>
          <w:rtl/>
        </w:rPr>
        <w:t xml:space="preserve"> بیان می‌کند، باید حلقه‌های خود را سریع‌تر از تغییرات محیطی مرتبط، ازجمله رقبایمان اجرا کنیم یا در غیر این صورت به جای این‌که خودمان متحول کننده باشیم، تحت تحول قرار خواهیم گرفت.</w:t>
      </w:r>
    </w:p>
    <w:p w14:paraId="4458020B" w14:textId="36623ECA" w:rsidR="0020732A" w:rsidRPr="0025250D" w:rsidRDefault="0020732A" w:rsidP="0020732A">
      <w:pPr>
        <w:rPr>
          <w:rtl/>
        </w:rPr>
      </w:pPr>
      <w:r w:rsidRPr="0025250D">
        <w:rPr>
          <w:rFonts w:hint="cs"/>
          <w:rtl/>
        </w:rPr>
        <w:t xml:space="preserve">کلید تخصصی سازی زمینه </w:t>
      </w:r>
      <w:r w:rsidRPr="0025250D">
        <w:rPr>
          <w:rtl/>
        </w:rPr>
        <w:t>آینده‌نگاری</w:t>
      </w:r>
      <w:r w:rsidRPr="0025250D">
        <w:rPr>
          <w:rFonts w:hint="cs"/>
          <w:rtl/>
        </w:rPr>
        <w:t xml:space="preserve"> یافتن تعاریف بهتر از این است که کار </w:t>
      </w:r>
      <w:r w:rsidRPr="0025250D">
        <w:rPr>
          <w:rtl/>
        </w:rPr>
        <w:t>آینده‌نگاری</w:t>
      </w:r>
      <w:r w:rsidRPr="0025250D">
        <w:rPr>
          <w:rFonts w:hint="cs"/>
          <w:rtl/>
        </w:rPr>
        <w:t xml:space="preserve"> در حقیقت چیست، چگونه با عمل مرتبط می‌شود و چه کسی در </w:t>
      </w:r>
      <w:r w:rsidR="00B13F65" w:rsidRPr="0025250D">
        <w:rPr>
          <w:rFonts w:hint="cs"/>
          <w:rtl/>
        </w:rPr>
        <w:t>آن</w:t>
      </w:r>
      <w:r w:rsidRPr="0025250D">
        <w:rPr>
          <w:rFonts w:hint="cs"/>
          <w:rtl/>
        </w:rPr>
        <w:t xml:space="preserve"> مشارکت می‌کند. اکنون زمان جالبی برای اقدام </w:t>
      </w:r>
      <w:r w:rsidRPr="0025250D">
        <w:rPr>
          <w:rtl/>
        </w:rPr>
        <w:t>آینده‌نگاری</w:t>
      </w:r>
      <w:r w:rsidRPr="0025250D">
        <w:rPr>
          <w:rFonts w:hint="cs"/>
          <w:rtl/>
        </w:rPr>
        <w:t xml:space="preserve"> است، زیرا سازمان‌های تخصصی ما همگی به دنبال تعاریف جدید و فراگیر تری از این زمینه هستند. این زمینه باید همه بخش‌های خود را در حین رشدش بشناسد تا بتوانیم بهتر مدل‌ها و روش‌ها را به اشتراک بگذاریم و مقایسه کنیم و کار مشارکتی بر مسائل </w:t>
      </w:r>
      <w:r w:rsidRPr="0025250D">
        <w:rPr>
          <w:rtl/>
        </w:rPr>
        <w:t>آینده‌نگاری</w:t>
      </w:r>
      <w:r w:rsidRPr="0025250D">
        <w:rPr>
          <w:rFonts w:hint="cs"/>
          <w:rtl/>
        </w:rPr>
        <w:t xml:space="preserve"> را بهبود دهیم. حلقه انجام از دید ما مدل دیگری است که زمینه </w:t>
      </w:r>
      <w:r w:rsidR="00B13F65" w:rsidRPr="0025250D">
        <w:rPr>
          <w:rFonts w:hint="cs"/>
          <w:rtl/>
        </w:rPr>
        <w:t>آینده‌نگاری</w:t>
      </w:r>
      <w:r w:rsidRPr="0025250D">
        <w:rPr>
          <w:rFonts w:hint="cs"/>
          <w:rtl/>
        </w:rPr>
        <w:t xml:space="preserve"> را پایه‌ریزی می‌کند. معتقدیم که چهار گام حلقه انجام </w:t>
      </w:r>
      <w:r w:rsidR="00116646" w:rsidRPr="0025250D">
        <w:rPr>
          <w:rtl/>
        </w:rPr>
        <w:t>«</w:t>
      </w:r>
      <w:r w:rsidRPr="0025250D">
        <w:rPr>
          <w:rFonts w:hint="cs"/>
          <w:rtl/>
        </w:rPr>
        <w:t xml:space="preserve">یک مجموعه </w:t>
      </w:r>
      <w:r w:rsidR="00B453C0" w:rsidRPr="0025250D">
        <w:rPr>
          <w:rFonts w:hint="cs"/>
          <w:rtl/>
        </w:rPr>
        <w:t>امکان‌پذیر</w:t>
      </w:r>
      <w:r w:rsidRPr="0025250D">
        <w:rPr>
          <w:rFonts w:hint="cs"/>
          <w:rtl/>
        </w:rPr>
        <w:t xml:space="preserve"> حداقلی</w:t>
      </w:r>
      <w:r w:rsidRPr="0025250D">
        <w:rPr>
          <w:vertAlign w:val="superscript"/>
          <w:rtl/>
        </w:rPr>
        <w:footnoteReference w:id="271"/>
      </w:r>
      <w:r w:rsidR="00116646" w:rsidRPr="0025250D">
        <w:rPr>
          <w:rtl/>
        </w:rPr>
        <w:t>»</w:t>
      </w:r>
      <w:r w:rsidRPr="0025250D">
        <w:rPr>
          <w:rFonts w:hint="cs"/>
          <w:rtl/>
        </w:rPr>
        <w:t xml:space="preserve"> از فعالیت‌هایی هستند که </w:t>
      </w:r>
      <w:r w:rsidR="00AE5BE0" w:rsidRPr="0025250D">
        <w:rPr>
          <w:rFonts w:hint="cs"/>
          <w:rtl/>
        </w:rPr>
        <w:t>انطباق</w:t>
      </w:r>
      <w:r w:rsidRPr="0025250D">
        <w:rPr>
          <w:rFonts w:hint="cs"/>
          <w:rtl/>
        </w:rPr>
        <w:t xml:space="preserve"> را بهبود می‌بخشند. با ارزیابی استفاده از آن‌ها، می‌توانیم فورا آغاز به تشخیص نقص‌های فرایندی در هر تیم یا سازمان نماییم و </w:t>
      </w:r>
      <w:r w:rsidR="00701E03" w:rsidRPr="0025250D">
        <w:rPr>
          <w:rFonts w:hint="cs"/>
          <w:rtl/>
        </w:rPr>
        <w:t>راهبرد</w:t>
      </w:r>
      <w:r w:rsidRPr="0025250D">
        <w:rPr>
          <w:rFonts w:hint="cs"/>
          <w:rtl/>
        </w:rPr>
        <w:t>‌های سریعی را برای بهبود پیدا کنیم.</w:t>
      </w:r>
    </w:p>
    <w:p w14:paraId="7F532E38" w14:textId="77777777" w:rsidR="0020732A" w:rsidRPr="0025250D" w:rsidRDefault="0020732A" w:rsidP="0020732A">
      <w:pPr>
        <w:rPr>
          <w:rtl/>
        </w:rPr>
      </w:pPr>
    </w:p>
    <w:p w14:paraId="35210C76" w14:textId="77777777" w:rsidR="0020732A" w:rsidRPr="0025250D" w:rsidRDefault="0020732A" w:rsidP="0020732A">
      <w:pPr>
        <w:rPr>
          <w:rtl/>
        </w:rPr>
      </w:pPr>
    </w:p>
    <w:p w14:paraId="4FE7D6EB" w14:textId="77777777" w:rsidR="0020732A" w:rsidRPr="0025250D" w:rsidRDefault="0020732A" w:rsidP="0020732A">
      <w:pPr>
        <w:rPr>
          <w:rtl/>
        </w:rPr>
      </w:pPr>
    </w:p>
    <w:p w14:paraId="0C2CDD3A" w14:textId="77777777" w:rsidR="0020732A" w:rsidRPr="0025250D" w:rsidRDefault="0020732A" w:rsidP="0020732A">
      <w:pPr>
        <w:rPr>
          <w:rtl/>
        </w:rPr>
      </w:pPr>
    </w:p>
    <w:p w14:paraId="302FA41B" w14:textId="77777777" w:rsidR="0020732A" w:rsidRPr="0025250D" w:rsidRDefault="0020732A" w:rsidP="0020732A">
      <w:pPr>
        <w:rPr>
          <w:rtl/>
        </w:rPr>
      </w:pPr>
    </w:p>
    <w:p w14:paraId="2EB775D4" w14:textId="77777777" w:rsidR="0020732A" w:rsidRPr="0025250D" w:rsidRDefault="0020732A" w:rsidP="0020732A">
      <w:pPr>
        <w:rPr>
          <w:rtl/>
        </w:rPr>
      </w:pPr>
    </w:p>
    <w:p w14:paraId="4F300D92" w14:textId="77777777" w:rsidR="0020732A" w:rsidRPr="0025250D" w:rsidRDefault="0020732A" w:rsidP="0020732A">
      <w:pPr>
        <w:rPr>
          <w:rtl/>
        </w:rPr>
      </w:pPr>
    </w:p>
    <w:p w14:paraId="018585CA" w14:textId="77777777" w:rsidR="0020732A" w:rsidRPr="0025250D" w:rsidRDefault="0020732A" w:rsidP="0020732A">
      <w:pPr>
        <w:rPr>
          <w:rtl/>
        </w:rPr>
      </w:pPr>
    </w:p>
    <w:p w14:paraId="7A6A517F" w14:textId="77777777" w:rsidR="0020732A" w:rsidRPr="0025250D" w:rsidRDefault="0020732A" w:rsidP="0020732A">
      <w:pPr>
        <w:rPr>
          <w:rtl/>
        </w:rPr>
      </w:pPr>
    </w:p>
    <w:p w14:paraId="5BC58167" w14:textId="77777777" w:rsidR="0020732A" w:rsidRPr="0025250D" w:rsidRDefault="0020732A" w:rsidP="0020732A">
      <w:pPr>
        <w:rPr>
          <w:rtl/>
        </w:rPr>
      </w:pPr>
    </w:p>
    <w:p w14:paraId="430232FF" w14:textId="77777777" w:rsidR="0020732A" w:rsidRPr="0025250D" w:rsidRDefault="0020732A" w:rsidP="0020732A">
      <w:pPr>
        <w:rPr>
          <w:rtl/>
        </w:rPr>
      </w:pPr>
    </w:p>
    <w:p w14:paraId="18C3A21C" w14:textId="6A41BAF8" w:rsidR="0020732A" w:rsidRPr="0025250D" w:rsidRDefault="0020732A" w:rsidP="00537CC8">
      <w:pPr>
        <w:pStyle w:val="Heading2"/>
        <w:rPr>
          <w:rtl/>
        </w:rPr>
      </w:pPr>
      <w:bookmarkStart w:id="11" w:name="_Toc127831276"/>
      <w:r w:rsidRPr="0025250D">
        <w:rPr>
          <w:rFonts w:hint="cs"/>
          <w:rtl/>
        </w:rPr>
        <w:lastRenderedPageBreak/>
        <w:t>افق‌های حلقه انجام: قانون توانی آینده‌اندیشی</w:t>
      </w:r>
      <w:bookmarkEnd w:id="11"/>
    </w:p>
    <w:p w14:paraId="242ECD5D" w14:textId="603ABC96" w:rsidR="0020732A" w:rsidRPr="0025250D" w:rsidRDefault="0020732A" w:rsidP="0020732A">
      <w:pPr>
        <w:rPr>
          <w:rtl/>
        </w:rPr>
      </w:pPr>
      <w:r w:rsidRPr="0025250D">
        <w:rPr>
          <w:rFonts w:hint="cs"/>
          <w:rtl/>
        </w:rPr>
        <w:t xml:space="preserve"> حلقه‌های انجام می‌توانند به شکل مؤثری به حداقل چهار افق زمانی تقسیم شوند. </w:t>
      </w:r>
      <w:r w:rsidR="007118DE" w:rsidRPr="0025250D">
        <w:rPr>
          <w:rFonts w:hint="cs"/>
          <w:rtl/>
        </w:rPr>
        <w:t>همان‌طور</w:t>
      </w:r>
      <w:r w:rsidRPr="0025250D">
        <w:rPr>
          <w:rFonts w:hint="cs"/>
          <w:rtl/>
        </w:rPr>
        <w:t xml:space="preserve"> که خواهیم دید، چرخه‌های یادگیری، </w:t>
      </w:r>
      <w:r w:rsidRPr="0025250D">
        <w:rPr>
          <w:rtl/>
        </w:rPr>
        <w:t>آینده‌نگاری</w:t>
      </w:r>
      <w:r w:rsidRPr="0025250D">
        <w:rPr>
          <w:rFonts w:hint="cs"/>
          <w:rtl/>
        </w:rPr>
        <w:t>، عمل و بازبینی که در هر یک از این افق‌های زمانی رخ می‌دهند، اغلب به شکل کیفی از یکدیگر متفاوت هستند.</w:t>
      </w:r>
    </w:p>
    <w:p w14:paraId="32891D50" w14:textId="0A676C48" w:rsidR="0020732A" w:rsidRPr="0025250D" w:rsidRDefault="0020732A" w:rsidP="0020732A">
      <w:pPr>
        <w:rPr>
          <w:rtl/>
        </w:rPr>
      </w:pPr>
      <w:r w:rsidRPr="0025250D">
        <w:rPr>
          <w:rFonts w:hint="cs"/>
          <w:rtl/>
        </w:rPr>
        <w:t xml:space="preserve">چهار افق زمانی </w:t>
      </w:r>
      <w:r w:rsidRPr="0025250D">
        <w:rPr>
          <w:rtl/>
        </w:rPr>
        <w:t>آینده‌نگاری</w:t>
      </w:r>
      <w:r w:rsidRPr="0025250D">
        <w:rPr>
          <w:rFonts w:hint="cs"/>
          <w:rtl/>
        </w:rPr>
        <w:t xml:space="preserve"> این موارد هستند: (1) </w:t>
      </w:r>
      <w:r w:rsidRPr="0025250D">
        <w:rPr>
          <w:rtl/>
        </w:rPr>
        <w:t>آینده‌نگاری</w:t>
      </w:r>
      <w:r w:rsidRPr="0025250D">
        <w:rPr>
          <w:rFonts w:hint="cs"/>
          <w:rtl/>
        </w:rPr>
        <w:t xml:space="preserve"> امروز (</w:t>
      </w:r>
      <w:r w:rsidR="00116646" w:rsidRPr="0025250D">
        <w:rPr>
          <w:rtl/>
        </w:rPr>
        <w:t>«</w:t>
      </w:r>
      <w:r w:rsidRPr="0025250D">
        <w:rPr>
          <w:rFonts w:hint="cs"/>
          <w:rtl/>
        </w:rPr>
        <w:t>حال</w:t>
      </w:r>
      <w:r w:rsidR="00116646" w:rsidRPr="0025250D">
        <w:rPr>
          <w:rtl/>
        </w:rPr>
        <w:t>»</w:t>
      </w:r>
      <w:r w:rsidRPr="0025250D">
        <w:rPr>
          <w:rFonts w:hint="cs"/>
          <w:rtl/>
        </w:rPr>
        <w:t xml:space="preserve">: اکنون تا پایان روز)؛ (2) </w:t>
      </w:r>
      <w:r w:rsidRPr="0025250D">
        <w:rPr>
          <w:rtl/>
        </w:rPr>
        <w:t>آینده‌نگاری</w:t>
      </w:r>
      <w:r w:rsidRPr="0025250D">
        <w:rPr>
          <w:rFonts w:hint="cs"/>
          <w:rtl/>
        </w:rPr>
        <w:t xml:space="preserve"> کوتاه‌مدت (فردا تا سه ماه بعد)؛ (3) </w:t>
      </w:r>
      <w:r w:rsidRPr="0025250D">
        <w:rPr>
          <w:rtl/>
        </w:rPr>
        <w:t>آینده‌نگاری</w:t>
      </w:r>
      <w:r w:rsidRPr="0025250D">
        <w:rPr>
          <w:rFonts w:hint="cs"/>
          <w:rtl/>
        </w:rPr>
        <w:t xml:space="preserve"> میان مدت (چهار ماه تا چهارسال بعد</w:t>
      </w:r>
      <w:r w:rsidR="00116646" w:rsidRPr="0025250D">
        <w:rPr>
          <w:rtl/>
        </w:rPr>
        <w:t>) و</w:t>
      </w:r>
      <w:r w:rsidRPr="0025250D">
        <w:rPr>
          <w:rFonts w:hint="cs"/>
          <w:rtl/>
        </w:rPr>
        <w:t xml:space="preserve"> (4) </w:t>
      </w:r>
      <w:r w:rsidRPr="0025250D">
        <w:rPr>
          <w:rtl/>
        </w:rPr>
        <w:t>آینده‌نگاری</w:t>
      </w:r>
      <w:r w:rsidRPr="0025250D">
        <w:rPr>
          <w:rFonts w:hint="cs"/>
          <w:rtl/>
        </w:rPr>
        <w:t xml:space="preserve"> بلندمدت (بیش از 4 سال، یک دهه، یک طول عمر، نسل‌های آینده)</w:t>
      </w:r>
    </w:p>
    <w:p w14:paraId="51364633" w14:textId="77777777" w:rsidR="0020732A" w:rsidRPr="0025250D" w:rsidRDefault="0020732A" w:rsidP="00537CC8">
      <w:pPr>
        <w:jc w:val="center"/>
        <w:rPr>
          <w:rtl/>
        </w:rPr>
      </w:pPr>
      <w:r w:rsidRPr="0025250D">
        <w:rPr>
          <w:noProof/>
          <w:rtl/>
          <w:lang w:bidi="ar-SA"/>
        </w:rPr>
        <w:drawing>
          <wp:inline distT="0" distB="0" distL="0" distR="0" wp14:anchorId="435EB9B7" wp14:editId="7715DE89">
            <wp:extent cx="2758440" cy="1549613"/>
            <wp:effectExtent l="0" t="0" r="3810" b="0"/>
            <wp:docPr id="6" name="Picture 6" descr="D:\کار\مستقل\3 ( ترجمه ی دانشگاه تهران  )\Introduction to Foresight\part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کار\مستقل\3 ( ترجمه ی دانشگاه تهران  )\Introduction to Foresight\part1\16.png"/>
                    <pic:cNvPicPr>
                      <a:picLocks noChangeAspect="1" noChangeArrowheads="1"/>
                    </pic:cNvPicPr>
                  </pic:nvPicPr>
                  <pic:blipFill>
                    <a:blip r:embed="rId28">
                      <a:extLst>
                        <a:ext uri="{BEBA8EAE-BF5A-486C-A8C5-ECC9F3942E4B}">
                          <a14:imgProps xmlns:a14="http://schemas.microsoft.com/office/drawing/2010/main">
                            <a14:imgLayer r:embed="rId29">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2765718" cy="1553702"/>
                    </a:xfrm>
                    <a:prstGeom prst="rect">
                      <a:avLst/>
                    </a:prstGeom>
                    <a:noFill/>
                    <a:ln>
                      <a:noFill/>
                    </a:ln>
                  </pic:spPr>
                </pic:pic>
              </a:graphicData>
            </a:graphic>
          </wp:inline>
        </w:drawing>
      </w:r>
    </w:p>
    <w:p w14:paraId="2A2FFEF3" w14:textId="6CFFA3CF" w:rsidR="0020732A" w:rsidRPr="0025250D" w:rsidRDefault="0020732A" w:rsidP="0020732A">
      <w:pPr>
        <w:rPr>
          <w:rtl/>
        </w:rPr>
      </w:pPr>
      <w:r w:rsidRPr="0025250D">
        <w:rPr>
          <w:rFonts w:hint="cs"/>
          <w:rtl/>
        </w:rPr>
        <w:t>گفتیم که ما انسان آینده‌نگر هستیم، یک گونه آینده گرا. مدل پردازش پیش‌بین ذهن به ما می‌گوید که ما دائما در حال نگاه رو به جلو هستیم</w:t>
      </w:r>
      <w:r w:rsidR="008D6F97" w:rsidRPr="0025250D">
        <w:rPr>
          <w:rtl/>
        </w:rPr>
        <w:t xml:space="preserve">؛ </w:t>
      </w:r>
      <w:r w:rsidRPr="0025250D">
        <w:rPr>
          <w:rFonts w:hint="cs"/>
          <w:rtl/>
        </w:rPr>
        <w:t xml:space="preserve">اما روانشناس </w:t>
      </w:r>
      <w:r w:rsidRPr="0025250D">
        <w:rPr>
          <w:rtl/>
        </w:rPr>
        <w:t>بنجام</w:t>
      </w:r>
      <w:r w:rsidRPr="0025250D">
        <w:rPr>
          <w:rFonts w:hint="cs"/>
          <w:rtl/>
        </w:rPr>
        <w:t>ی</w:t>
      </w:r>
      <w:r w:rsidRPr="0025250D">
        <w:rPr>
          <w:rFonts w:hint="eastAsia"/>
          <w:rtl/>
        </w:rPr>
        <w:t>ن</w:t>
      </w:r>
      <w:r w:rsidRPr="0025250D">
        <w:rPr>
          <w:rtl/>
        </w:rPr>
        <w:t xml:space="preserve"> ل</w:t>
      </w:r>
      <w:r w:rsidRPr="0025250D">
        <w:rPr>
          <w:rFonts w:hint="cs"/>
          <w:rtl/>
        </w:rPr>
        <w:t>ی</w:t>
      </w:r>
      <w:r w:rsidRPr="0025250D">
        <w:rPr>
          <w:rFonts w:hint="eastAsia"/>
          <w:rtl/>
        </w:rPr>
        <w:t>بت</w:t>
      </w:r>
      <w:r w:rsidRPr="0025250D">
        <w:rPr>
          <w:vertAlign w:val="superscript"/>
          <w:rtl/>
        </w:rPr>
        <w:footnoteReference w:id="272"/>
      </w:r>
      <w:r w:rsidRPr="0025250D">
        <w:rPr>
          <w:rFonts w:hint="cs"/>
          <w:rtl/>
        </w:rPr>
        <w:t xml:space="preserve"> در مایندتایم، 2005، توضیح می‌دهد که اکثر آینده‌اندیشی ما تنها چند میلی ثانیه تا چند دقیقه جلو‌تر از زمان حال را در بر می‌گیرد و تا حد زیادی ناآگاهانه است. به‌بیان‌دیگر، همه ما عمدتا </w:t>
      </w:r>
      <w:r w:rsidR="00B13F65" w:rsidRPr="0025250D">
        <w:rPr>
          <w:rFonts w:hint="cs"/>
          <w:rtl/>
        </w:rPr>
        <w:t>مبتنی بر</w:t>
      </w:r>
      <w:r w:rsidRPr="0025250D">
        <w:rPr>
          <w:rFonts w:hint="cs"/>
          <w:rtl/>
        </w:rPr>
        <w:t xml:space="preserve"> </w:t>
      </w:r>
      <w:r w:rsidRPr="0025250D">
        <w:rPr>
          <w:rtl/>
        </w:rPr>
        <w:t>آینده‌نگاری</w:t>
      </w:r>
      <w:r w:rsidRPr="0025250D">
        <w:rPr>
          <w:rFonts w:hint="cs"/>
          <w:rtl/>
        </w:rPr>
        <w:t xml:space="preserve"> امروز و اغلب به‌صورت ناآگاهانه تفکر می‌کنیم. این افق زمانی اولیه حلقه انجام همانجایی است که بیش‌ترین تعداد موفقیت‌ها یا شکست‌ها در اقدام </w:t>
      </w:r>
      <w:r w:rsidRPr="0025250D">
        <w:rPr>
          <w:rtl/>
        </w:rPr>
        <w:t>آینده‌نگاری</w:t>
      </w:r>
      <w:r w:rsidRPr="0025250D">
        <w:rPr>
          <w:rFonts w:hint="cs"/>
          <w:rtl/>
        </w:rPr>
        <w:t xml:space="preserve"> رخ می‌دهد. این یک بینش قدرتمند است</w:t>
      </w:r>
      <w:r w:rsidR="00B13F65" w:rsidRPr="0025250D">
        <w:rPr>
          <w:rFonts w:hint="cs"/>
          <w:rtl/>
        </w:rPr>
        <w:t xml:space="preserve"> که</w:t>
      </w:r>
      <w:r w:rsidRPr="0025250D">
        <w:rPr>
          <w:rFonts w:hint="cs"/>
          <w:rtl/>
        </w:rPr>
        <w:t xml:space="preserve"> به ما می‌گوید که بهبود کیفیت چشم‌انداز ما در طول چند دقیقه، چند ساعت یا چند روز بعدی، در بسیاری از دور‌های حلقه انجام، معمولاً بهترین </w:t>
      </w:r>
      <w:r w:rsidR="00701E03" w:rsidRPr="0025250D">
        <w:rPr>
          <w:rFonts w:hint="cs"/>
          <w:rtl/>
        </w:rPr>
        <w:t>راهبرد</w:t>
      </w:r>
      <w:r w:rsidRPr="0025250D">
        <w:rPr>
          <w:rFonts w:hint="cs"/>
          <w:rtl/>
        </w:rPr>
        <w:t xml:space="preserve"> ما برای تولید چشم‌انداز سازگار و بلندمدت با کیفیت است.</w:t>
      </w:r>
    </w:p>
    <w:p w14:paraId="0E5483C0" w14:textId="65B7FE62" w:rsidR="0020732A" w:rsidRPr="0025250D" w:rsidRDefault="0020732A" w:rsidP="0020732A">
      <w:pPr>
        <w:rPr>
          <w:rtl/>
        </w:rPr>
      </w:pPr>
      <w:r w:rsidRPr="0025250D">
        <w:rPr>
          <w:rFonts w:hint="cs"/>
          <w:rtl/>
        </w:rPr>
        <w:t>ما این بینش را قانون توانی</w:t>
      </w:r>
      <w:r w:rsidRPr="0025250D">
        <w:rPr>
          <w:vertAlign w:val="superscript"/>
          <w:rtl/>
        </w:rPr>
        <w:footnoteReference w:id="273"/>
      </w:r>
      <w:r w:rsidRPr="0025250D">
        <w:rPr>
          <w:rFonts w:hint="cs"/>
          <w:rtl/>
        </w:rPr>
        <w:t xml:space="preserve"> آینده‌اندیشی می‌نامیم. این یک ایده کلیدی در روانشناسی </w:t>
      </w:r>
      <w:r w:rsidRPr="0025250D">
        <w:rPr>
          <w:rtl/>
        </w:rPr>
        <w:t>آینده‌نگاری</w:t>
      </w:r>
      <w:r w:rsidRPr="0025250D">
        <w:rPr>
          <w:rFonts w:hint="cs"/>
          <w:rtl/>
        </w:rPr>
        <w:t xml:space="preserve"> است. در بیش‌تر بافت ‌ها، به دلایل مختلف، ما برای تفکر توانی کم‌تر (ازنظر فنی، تکرر کمتر قانون توانی) در مورد رویداد‌های بعدیِ پیش رو در زمان ساخته شده ایم. یک مفهوم قانون توانی این است که بهتر شدن در </w:t>
      </w:r>
      <w:r w:rsidRPr="0025250D">
        <w:rPr>
          <w:rtl/>
        </w:rPr>
        <w:t>آینده‌نگاری</w:t>
      </w:r>
      <w:r w:rsidRPr="0025250D">
        <w:rPr>
          <w:rFonts w:hint="cs"/>
          <w:rtl/>
        </w:rPr>
        <w:t xml:space="preserve"> امروز معمولاً بهترین </w:t>
      </w:r>
      <w:r w:rsidR="00701E03" w:rsidRPr="0025250D">
        <w:rPr>
          <w:rFonts w:hint="cs"/>
          <w:rtl/>
        </w:rPr>
        <w:t>راهبرد</w:t>
      </w:r>
      <w:r w:rsidRPr="0025250D">
        <w:rPr>
          <w:rFonts w:hint="cs"/>
          <w:rtl/>
        </w:rPr>
        <w:t xml:space="preserve"> ما برای بهبود عمومی در فرایند </w:t>
      </w:r>
      <w:r w:rsidRPr="0025250D">
        <w:rPr>
          <w:rtl/>
        </w:rPr>
        <w:t>آینده‌نگاری</w:t>
      </w:r>
      <w:r w:rsidRPr="0025250D">
        <w:rPr>
          <w:rFonts w:hint="cs"/>
          <w:rtl/>
        </w:rPr>
        <w:t xml:space="preserve"> است. </w:t>
      </w:r>
      <w:r w:rsidR="007118DE" w:rsidRPr="0025250D">
        <w:rPr>
          <w:rFonts w:hint="cs"/>
          <w:rtl/>
        </w:rPr>
        <w:t>همان‌طور</w:t>
      </w:r>
      <w:r w:rsidRPr="0025250D">
        <w:rPr>
          <w:rFonts w:hint="cs"/>
          <w:rtl/>
        </w:rPr>
        <w:t xml:space="preserve"> که خواهیم آموخت، به‌طور کلی کارآمد‌ترین راه برای بهبود </w:t>
      </w:r>
      <w:r w:rsidRPr="0025250D">
        <w:rPr>
          <w:rtl/>
        </w:rPr>
        <w:t>آینده‌نگاری</w:t>
      </w:r>
      <w:r w:rsidRPr="0025250D">
        <w:rPr>
          <w:rFonts w:hint="cs"/>
          <w:rtl/>
        </w:rPr>
        <w:t xml:space="preserve"> کوتاه‌مدت و میان مدت که بیش‌ترین ارزش را برای کارراهه ما دارد، اولویت‌بندی بهبود آگاهی، کنترل و مالکیت </w:t>
      </w:r>
      <w:r w:rsidRPr="0025250D">
        <w:rPr>
          <w:rtl/>
        </w:rPr>
        <w:t>آینده‌نگاری</w:t>
      </w:r>
      <w:r w:rsidRPr="0025250D">
        <w:rPr>
          <w:rFonts w:hint="cs"/>
          <w:rtl/>
        </w:rPr>
        <w:t xml:space="preserve"> امروز است که از زمان حال تا دفعه بعدی از دست رفتن آگاهی ما ادامه می‌یابد. این بینش اغلب </w:t>
      </w:r>
      <w:r w:rsidR="00B56611" w:rsidRPr="0025250D">
        <w:rPr>
          <w:rFonts w:hint="cs"/>
          <w:rtl/>
        </w:rPr>
        <w:t>مورد غفلت واقع شده است</w:t>
      </w:r>
      <w:r w:rsidRPr="0025250D">
        <w:rPr>
          <w:rFonts w:hint="cs"/>
          <w:rtl/>
        </w:rPr>
        <w:t>، به ویژه توسط کسانی که ترجیح می‌دهند به بلندمدت نگاه کنند.</w:t>
      </w:r>
    </w:p>
    <w:p w14:paraId="5B4F1D90" w14:textId="33E98958" w:rsidR="0020732A" w:rsidRPr="0025250D" w:rsidRDefault="00AE7945" w:rsidP="00050985">
      <w:pPr>
        <w:jc w:val="center"/>
        <w:rPr>
          <w:rtl/>
        </w:rPr>
      </w:pPr>
      <w:r w:rsidRPr="0025250D">
        <w:rPr>
          <w:noProof/>
        </w:rPr>
        <w:lastRenderedPageBreak/>
        <w:drawing>
          <wp:inline distT="0" distB="0" distL="0" distR="0" wp14:anchorId="4AD58FD5" wp14:editId="77AFF127">
            <wp:extent cx="5560891" cy="3824578"/>
            <wp:effectExtent l="0" t="0" r="1905"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5573684" cy="3833376"/>
                    </a:xfrm>
                    <a:prstGeom prst="rect">
                      <a:avLst/>
                    </a:prstGeom>
                    <a:noFill/>
                  </pic:spPr>
                </pic:pic>
              </a:graphicData>
            </a:graphic>
          </wp:inline>
        </w:drawing>
      </w:r>
    </w:p>
    <w:p w14:paraId="052DFBBA" w14:textId="77777777" w:rsidR="0020732A" w:rsidRPr="0025250D" w:rsidRDefault="0020732A" w:rsidP="009F165F">
      <w:pPr>
        <w:jc w:val="center"/>
        <w:rPr>
          <w:rtl/>
        </w:rPr>
      </w:pPr>
      <w:r w:rsidRPr="0025250D">
        <w:rPr>
          <w:rFonts w:hint="cs"/>
          <w:rtl/>
        </w:rPr>
        <w:t>بنجامین لیبت، زمان ذهن: عامل زمانی در ناخودآگاه، 2005</w:t>
      </w:r>
    </w:p>
    <w:p w14:paraId="501EBCF3" w14:textId="39940F1D" w:rsidR="0020732A" w:rsidRPr="0025250D" w:rsidRDefault="0020732A" w:rsidP="0020732A">
      <w:pPr>
        <w:rPr>
          <w:rtl/>
        </w:rPr>
      </w:pPr>
      <w:r w:rsidRPr="0025250D">
        <w:rPr>
          <w:rFonts w:hint="cs"/>
          <w:rtl/>
        </w:rPr>
        <w:t xml:space="preserve">افرادی که در </w:t>
      </w:r>
      <w:r w:rsidRPr="0025250D">
        <w:rPr>
          <w:rtl/>
        </w:rPr>
        <w:t>آینده‌نگاری</w:t>
      </w:r>
      <w:r w:rsidRPr="0025250D">
        <w:rPr>
          <w:rFonts w:hint="cs"/>
          <w:rtl/>
        </w:rPr>
        <w:t xml:space="preserve"> امروز</w:t>
      </w:r>
      <w:r w:rsidRPr="0025250D">
        <w:rPr>
          <w:vertAlign w:val="superscript"/>
          <w:rtl/>
        </w:rPr>
        <w:footnoteReference w:id="274"/>
      </w:r>
      <w:r w:rsidRPr="0025250D">
        <w:rPr>
          <w:rFonts w:hint="cs"/>
          <w:rtl/>
        </w:rPr>
        <w:t xml:space="preserve"> بهتر عمل می‌کنند بیشتر </w:t>
      </w:r>
      <w:r w:rsidR="00116646" w:rsidRPr="0025250D">
        <w:rPr>
          <w:rtl/>
        </w:rPr>
        <w:t>«</w:t>
      </w:r>
      <w:r w:rsidRPr="0025250D">
        <w:rPr>
          <w:rFonts w:hint="cs"/>
          <w:rtl/>
        </w:rPr>
        <w:t>حال گرا</w:t>
      </w:r>
      <w:r w:rsidRPr="0025250D">
        <w:rPr>
          <w:vertAlign w:val="superscript"/>
          <w:rtl/>
        </w:rPr>
        <w:footnoteReference w:id="275"/>
      </w:r>
      <w:r w:rsidR="00116646" w:rsidRPr="0025250D">
        <w:rPr>
          <w:rtl/>
        </w:rPr>
        <w:t>»</w:t>
      </w:r>
      <w:r w:rsidRPr="0025250D">
        <w:rPr>
          <w:rFonts w:hint="cs"/>
          <w:rtl/>
        </w:rPr>
        <w:t xml:space="preserve"> هستند تا </w:t>
      </w:r>
      <w:r w:rsidR="00116646" w:rsidRPr="0025250D">
        <w:rPr>
          <w:rtl/>
        </w:rPr>
        <w:t>«</w:t>
      </w:r>
      <w:r w:rsidRPr="0025250D">
        <w:rPr>
          <w:rFonts w:hint="cs"/>
          <w:rtl/>
        </w:rPr>
        <w:t>آینده‌پژوه</w:t>
      </w:r>
      <w:r w:rsidR="00116646" w:rsidRPr="0025250D">
        <w:rPr>
          <w:rtl/>
        </w:rPr>
        <w:t>»</w:t>
      </w:r>
      <w:r w:rsidRPr="0025250D">
        <w:rPr>
          <w:rFonts w:hint="cs"/>
          <w:rtl/>
        </w:rPr>
        <w:t xml:space="preserve">. آن‌ها آگاهی از و عمل در محیط اطراف فعلی خود را با تفکر از </w:t>
      </w:r>
      <w:r w:rsidR="00116646" w:rsidRPr="0025250D">
        <w:rPr>
          <w:rtl/>
        </w:rPr>
        <w:t>«</w:t>
      </w:r>
      <w:r w:rsidRPr="0025250D">
        <w:rPr>
          <w:rFonts w:hint="cs"/>
          <w:rtl/>
        </w:rPr>
        <w:t>زمان حال به بعد</w:t>
      </w:r>
      <w:r w:rsidR="00116646" w:rsidRPr="0025250D">
        <w:rPr>
          <w:rtl/>
        </w:rPr>
        <w:t>»</w:t>
      </w:r>
      <w:r w:rsidRPr="0025250D">
        <w:rPr>
          <w:rFonts w:hint="cs"/>
          <w:rtl/>
        </w:rPr>
        <w:t xml:space="preserve"> تمرین می‌کنند. هرگاه از ابزارهای پردازشی مانند یادآور‌های روزانه، فهرست اولویت‌ها، فهرست وظایف، برنامه‌های زمانی و برنامه‌ها استفاده می‌کنیم، روز خودمان را پیش تصویر سازی</w:t>
      </w:r>
      <w:r w:rsidRPr="0025250D">
        <w:rPr>
          <w:vertAlign w:val="superscript"/>
          <w:rtl/>
        </w:rPr>
        <w:footnoteReference w:id="276"/>
      </w:r>
      <w:r w:rsidRPr="0025250D">
        <w:rPr>
          <w:rFonts w:hint="cs"/>
          <w:rtl/>
        </w:rPr>
        <w:t xml:space="preserve"> می‌کنیم. وقتی چنین ابزارهایی را به‌اندازه کافی برای استفاده ساده سازی نماییم و چندین بار در روز مورد بازبینی قرار دهیم، دائما </w:t>
      </w:r>
      <w:r w:rsidR="00116646" w:rsidRPr="0025250D">
        <w:rPr>
          <w:rtl/>
        </w:rPr>
        <w:t>«</w:t>
      </w:r>
      <w:r w:rsidRPr="0025250D">
        <w:rPr>
          <w:rFonts w:hint="cs"/>
          <w:rtl/>
        </w:rPr>
        <w:t>حلقه‌های خود را تکمیل می‌کنیم</w:t>
      </w:r>
      <w:r w:rsidR="00116646" w:rsidRPr="0025250D">
        <w:rPr>
          <w:rtl/>
        </w:rPr>
        <w:t>»</w:t>
      </w:r>
      <w:r w:rsidRPr="0025250D">
        <w:rPr>
          <w:rFonts w:hint="cs"/>
          <w:rtl/>
        </w:rPr>
        <w:t xml:space="preserve"> و بازخورد مفیدی در مورد اقداماتمان می‌گیریم. این امر امکان می‌دهد که عادات </w:t>
      </w:r>
      <w:r w:rsidRPr="0025250D">
        <w:rPr>
          <w:rtl/>
        </w:rPr>
        <w:t>آینده‌نگاری</w:t>
      </w:r>
      <w:r w:rsidRPr="0025250D">
        <w:rPr>
          <w:rFonts w:hint="cs"/>
          <w:rtl/>
        </w:rPr>
        <w:t xml:space="preserve"> خود را تقویت کنیم و مهارت‌های کلیدی خود را توسعه دهیم.</w:t>
      </w:r>
    </w:p>
    <w:p w14:paraId="4643A0D3" w14:textId="39BBFFFD" w:rsidR="0020732A" w:rsidRPr="0025250D" w:rsidRDefault="0020732A" w:rsidP="0020732A">
      <w:pPr>
        <w:rPr>
          <w:rtl/>
        </w:rPr>
      </w:pPr>
      <w:r w:rsidRPr="0025250D">
        <w:rPr>
          <w:rFonts w:hint="cs"/>
          <w:rtl/>
        </w:rPr>
        <w:t xml:space="preserve">به‌عنوان متخصصان </w:t>
      </w:r>
      <w:r w:rsidRPr="0025250D">
        <w:rPr>
          <w:rtl/>
        </w:rPr>
        <w:t>آینده‌نگاری</w:t>
      </w:r>
      <w:r w:rsidRPr="0025250D">
        <w:rPr>
          <w:rFonts w:hint="cs"/>
          <w:rtl/>
        </w:rPr>
        <w:t xml:space="preserve">، چالشی که بیش‌ترین مزایا را برای ما و کارسپارانمان به همراه دارد، این است که به جهت دهنده‌های آگاه به </w:t>
      </w:r>
      <w:r w:rsidR="00A20CCB" w:rsidRPr="0025250D">
        <w:rPr>
          <w:rFonts w:hint="cs"/>
          <w:rtl/>
        </w:rPr>
        <w:t>زمان‌بندی</w:t>
      </w:r>
      <w:r w:rsidRPr="0025250D">
        <w:rPr>
          <w:rFonts w:hint="cs"/>
          <w:rtl/>
        </w:rPr>
        <w:t xml:space="preserve"> و اولویت‌های روزانه خود و به مدیرانی جزئیات گرا برای هیجانات، افکار، اعمال، زمان و انرژی خودمان از حالا تا پایان روز تبدیل شویم. وقتی </w:t>
      </w:r>
      <w:r w:rsidRPr="0025250D">
        <w:rPr>
          <w:rtl/>
        </w:rPr>
        <w:t>آینده‌نگاری</w:t>
      </w:r>
      <w:r w:rsidRPr="0025250D">
        <w:rPr>
          <w:rFonts w:hint="cs"/>
          <w:rtl/>
        </w:rPr>
        <w:t xml:space="preserve"> امروز را انجام می‌دهیم، چرخه‌های حلقه انجام روزانه و ساعتیمان بسیار سریع‌تر از دیگر افق‌های زمانی هستند. می‌توانیم دقت، اولویت‌ها و ظرفیت را بسیار سریع‌تر ارتقا دهیم و از اشتباهات امروز بیاموزیم. بیش‌تر درس‌ها و عاداتی که از </w:t>
      </w:r>
      <w:r w:rsidRPr="0025250D">
        <w:rPr>
          <w:rtl/>
        </w:rPr>
        <w:t>آینده‌نگاری</w:t>
      </w:r>
      <w:r w:rsidRPr="0025250D">
        <w:rPr>
          <w:rFonts w:hint="cs"/>
          <w:rtl/>
        </w:rPr>
        <w:t xml:space="preserve"> امروز می‌آموزیم، مستقیما برای </w:t>
      </w:r>
      <w:r w:rsidRPr="0025250D">
        <w:rPr>
          <w:rtl/>
        </w:rPr>
        <w:t>آینده‌نگاری</w:t>
      </w:r>
      <w:r w:rsidRPr="0025250D">
        <w:rPr>
          <w:rFonts w:hint="cs"/>
          <w:rtl/>
        </w:rPr>
        <w:t xml:space="preserve"> فردا نیز قابل استفاده هستند. تمرین و انجام </w:t>
      </w:r>
      <w:r w:rsidRPr="0025250D">
        <w:rPr>
          <w:rtl/>
        </w:rPr>
        <w:t>آینده‌نگاری</w:t>
      </w:r>
      <w:r w:rsidRPr="0025250D">
        <w:rPr>
          <w:rFonts w:hint="cs"/>
          <w:rtl/>
        </w:rPr>
        <w:t xml:space="preserve"> کوتاه‌مدت در عوض کار </w:t>
      </w:r>
      <w:r w:rsidRPr="0025250D">
        <w:rPr>
          <w:rtl/>
        </w:rPr>
        <w:t>آینده‌نگاری</w:t>
      </w:r>
      <w:r w:rsidRPr="0025250D">
        <w:rPr>
          <w:rFonts w:hint="cs"/>
          <w:rtl/>
        </w:rPr>
        <w:t xml:space="preserve"> میان مدت و بلندمدت ما را بهبود می‌بخشد. قدم گذاشتن در این راه و گسترش افق‌های زمانیمان تنها به مقدار نیاز، یک دستورالعمل کلیدی برای </w:t>
      </w:r>
      <w:r w:rsidR="00AE5BE0" w:rsidRPr="0025250D">
        <w:rPr>
          <w:rFonts w:hint="cs"/>
          <w:rtl/>
        </w:rPr>
        <w:t>انطباق</w:t>
      </w:r>
      <w:r w:rsidRPr="0025250D">
        <w:rPr>
          <w:rFonts w:hint="cs"/>
          <w:rtl/>
        </w:rPr>
        <w:t xml:space="preserve"> است.</w:t>
      </w:r>
    </w:p>
    <w:p w14:paraId="2B7DA3BB" w14:textId="546A70CD" w:rsidR="0020732A" w:rsidRPr="0025250D" w:rsidRDefault="0020732A" w:rsidP="006E0EEC">
      <w:pPr>
        <w:rPr>
          <w:rtl/>
        </w:rPr>
      </w:pPr>
      <w:r w:rsidRPr="0025250D">
        <w:rPr>
          <w:rFonts w:hint="cs"/>
          <w:rtl/>
        </w:rPr>
        <w:t xml:space="preserve">یک ضرب المثل وجود دارد که می‌گوید اگر می‌خواهیم کاری به‌خوبی و سریع انجام شود </w:t>
      </w:r>
      <w:r w:rsidRPr="0025250D">
        <w:rPr>
          <w:rFonts w:cs="Times New Roman" w:hint="cs"/>
          <w:rtl/>
        </w:rPr>
        <w:t>–</w:t>
      </w:r>
      <w:r w:rsidRPr="0025250D">
        <w:rPr>
          <w:rFonts w:hint="cs"/>
          <w:rtl/>
        </w:rPr>
        <w:t xml:space="preserve"> مهارت اجرا </w:t>
      </w:r>
      <w:r w:rsidRPr="0025250D">
        <w:rPr>
          <w:rFonts w:cs="Times New Roman" w:hint="cs"/>
          <w:rtl/>
        </w:rPr>
        <w:t>–</w:t>
      </w:r>
      <w:r w:rsidRPr="0025250D">
        <w:rPr>
          <w:rFonts w:hint="cs"/>
          <w:rtl/>
        </w:rPr>
        <w:t xml:space="preserve"> باید آن را به یک فرد پر مشغله بسپاریم. به همین ترتیب، اگر بخواهید کار </w:t>
      </w:r>
      <w:r w:rsidRPr="0025250D">
        <w:rPr>
          <w:rtl/>
        </w:rPr>
        <w:t>آینده‌نگاری</w:t>
      </w:r>
      <w:r w:rsidRPr="0025250D">
        <w:rPr>
          <w:rFonts w:hint="cs"/>
          <w:rtl/>
        </w:rPr>
        <w:t xml:space="preserve"> بلندمدت و میان</w:t>
      </w:r>
      <w:r w:rsidR="006E0EEC" w:rsidRPr="0025250D">
        <w:rPr>
          <w:rFonts w:hint="cs"/>
          <w:rtl/>
        </w:rPr>
        <w:t>‌</w:t>
      </w:r>
      <w:r w:rsidRPr="0025250D">
        <w:rPr>
          <w:rFonts w:hint="cs"/>
          <w:rtl/>
        </w:rPr>
        <w:t xml:space="preserve">مدتتان به‌خوبی و به سرعت انجام شود، آن را به کسی بسپارید که از قبل در </w:t>
      </w:r>
      <w:r w:rsidRPr="0025250D">
        <w:rPr>
          <w:rtl/>
        </w:rPr>
        <w:t>آینده‌نگاری</w:t>
      </w:r>
      <w:r w:rsidRPr="0025250D">
        <w:rPr>
          <w:rFonts w:hint="cs"/>
          <w:rtl/>
        </w:rPr>
        <w:t xml:space="preserve"> و عمل امروز و کوتاه‌مدت خوب عمل می‌کند. اگر چنین فردی خود یک متفکر بلندمدت نباشند، یادگیری این‌که باید از چه کسی کمک بگیرد را در اولویت قرار خواهد داد. یک متفکر بلندمدت کلاسیک، درصورتی‌که توسط یک متفکر کوتاه‌مدت خوب یاری نشود، ممکن است هیچگاه کار خود را به‌خوبی انجام ندهد. پیوست 1 و نسخه دانشجوی</w:t>
      </w:r>
      <w:r w:rsidR="0090736C" w:rsidRPr="0025250D">
        <w:rPr>
          <w:rFonts w:hint="cs"/>
          <w:rtl/>
        </w:rPr>
        <w:t>ی</w:t>
      </w:r>
      <w:r w:rsidRPr="0025250D">
        <w:rPr>
          <w:rFonts w:hint="cs"/>
          <w:rtl/>
        </w:rPr>
        <w:t xml:space="preserve"> </w:t>
      </w:r>
      <w:r w:rsidRPr="0025250D">
        <w:t>ITF</w:t>
      </w:r>
      <w:r w:rsidRPr="0025250D">
        <w:rPr>
          <w:rFonts w:hint="cs"/>
          <w:rtl/>
        </w:rPr>
        <w:t xml:space="preserve"> را برای مطالب بیش‌تری در مورد این موضوعات ببینید.</w:t>
      </w:r>
    </w:p>
    <w:p w14:paraId="0DFF180D" w14:textId="77777777" w:rsidR="0020732A" w:rsidRPr="0025250D" w:rsidRDefault="0020732A" w:rsidP="0020732A">
      <w:pPr>
        <w:rPr>
          <w:rtl/>
        </w:rPr>
      </w:pPr>
    </w:p>
    <w:p w14:paraId="0E4A5968" w14:textId="77777777" w:rsidR="0020732A" w:rsidRPr="0025250D" w:rsidRDefault="0020732A" w:rsidP="0020732A">
      <w:pPr>
        <w:rPr>
          <w:rtl/>
        </w:rPr>
      </w:pPr>
    </w:p>
    <w:p w14:paraId="5554A47A" w14:textId="77777777" w:rsidR="0020732A" w:rsidRPr="0025250D" w:rsidRDefault="0020732A" w:rsidP="0020732A">
      <w:pPr>
        <w:rPr>
          <w:rtl/>
        </w:rPr>
      </w:pPr>
    </w:p>
    <w:p w14:paraId="2B36B0EA" w14:textId="77777777" w:rsidR="0020732A" w:rsidRPr="0025250D" w:rsidRDefault="0020732A" w:rsidP="0020732A">
      <w:pPr>
        <w:rPr>
          <w:rtl/>
        </w:rPr>
      </w:pPr>
    </w:p>
    <w:p w14:paraId="6C2DDD9E" w14:textId="77777777" w:rsidR="0020732A" w:rsidRPr="0025250D" w:rsidRDefault="0020732A" w:rsidP="0020732A">
      <w:pPr>
        <w:rPr>
          <w:rtl/>
        </w:rPr>
      </w:pPr>
    </w:p>
    <w:p w14:paraId="369BE3B8" w14:textId="77777777" w:rsidR="0020732A" w:rsidRPr="0025250D" w:rsidRDefault="0020732A" w:rsidP="0020732A">
      <w:pPr>
        <w:rPr>
          <w:rtl/>
        </w:rPr>
      </w:pPr>
    </w:p>
    <w:p w14:paraId="157BE449" w14:textId="77777777" w:rsidR="0020732A" w:rsidRPr="0025250D" w:rsidRDefault="0020732A" w:rsidP="0020732A">
      <w:pPr>
        <w:rPr>
          <w:rtl/>
        </w:rPr>
      </w:pPr>
    </w:p>
    <w:p w14:paraId="12CF9B51" w14:textId="77777777" w:rsidR="0020732A" w:rsidRPr="0025250D" w:rsidRDefault="0020732A" w:rsidP="009F165F">
      <w:pPr>
        <w:pStyle w:val="Heading2"/>
        <w:rPr>
          <w:rtl/>
        </w:rPr>
      </w:pPr>
      <w:bookmarkStart w:id="12" w:name="_Toc127831277"/>
      <w:r w:rsidRPr="0025250D">
        <w:rPr>
          <w:rFonts w:hint="cs"/>
          <w:rtl/>
        </w:rPr>
        <w:lastRenderedPageBreak/>
        <w:t>مدیریت تغییر: هرم تکاملی-توسعه‌ای</w:t>
      </w:r>
      <w:bookmarkEnd w:id="12"/>
    </w:p>
    <w:p w14:paraId="41863231" w14:textId="288038E6" w:rsidR="0020732A" w:rsidRPr="0025250D" w:rsidRDefault="0020732A" w:rsidP="0020732A">
      <w:pPr>
        <w:rPr>
          <w:rtl/>
        </w:rPr>
      </w:pPr>
      <w:r w:rsidRPr="0025250D">
        <w:rPr>
          <w:rFonts w:hint="cs"/>
          <w:rtl/>
        </w:rPr>
        <w:t xml:space="preserve">علوم شناختی به ما می‌گوید که حلقه انجام یک راه بنیادی است که ما به کمک آن تغییرات را به‌صورت یک چرخه مدیریت می‌کنیم. یک فلسفه پیچیدگی به نام زیست‌شناسی تکاملی-توسعه‌ای راه بنیادی دیگری را که موجودات هوشمند به وسیله آن تغییرات را مدیریت می‌کنند، در اختیار ما قرار می‌دهد. این روش چرخه نیست، بلکه یک هرم است. هر دو مدل از نگاه ما، به یک اندازی بنیادی به نظر می‌رسند. هر رهبر یا دانشجویی که به دنبال </w:t>
      </w:r>
      <w:r w:rsidR="00AE5BE0" w:rsidRPr="0025250D">
        <w:rPr>
          <w:rFonts w:hint="cs"/>
          <w:rtl/>
        </w:rPr>
        <w:t>انطباق</w:t>
      </w:r>
      <w:r w:rsidRPr="0025250D">
        <w:rPr>
          <w:rFonts w:hint="cs"/>
          <w:rtl/>
        </w:rPr>
        <w:t xml:space="preserve"> بیش‌تر است باید هر دو مدل را درک کند. این هرم شامل یک تعامل و تناقض بین دو فرایند اساسی است (قاعده هرم) که با هم یک فرایند پدیدار شونده سوم را ایجاد می‌کنند. ما این فرایند سوم را در یک سلسله‌مراتب پیچیدگی، در بالای هرم قرار می‌دهیم و تمایل داریم که بیش از همه در جامعه برای آن ارزش قائل شویم. حال بیایید به سه کاربرد مشخصا مفید این هرم تکاملی-توسعه‌ای نگاهی داشته باشیم. ما چندین مورد دیگر را نیز در این کتاب بررسی خواهیم کرد.</w:t>
      </w:r>
    </w:p>
    <w:p w14:paraId="54404B61" w14:textId="77777777" w:rsidR="0020732A" w:rsidRPr="0025250D" w:rsidRDefault="0020732A" w:rsidP="00053811">
      <w:pPr>
        <w:pStyle w:val="Heading3"/>
        <w:rPr>
          <w:rtl/>
        </w:rPr>
      </w:pPr>
      <w:r w:rsidRPr="0025250D">
        <w:rPr>
          <w:rFonts w:hint="cs"/>
          <w:rtl/>
        </w:rPr>
        <w:t xml:space="preserve">تفکر رو به جلو: هرم </w:t>
      </w:r>
      <w:r w:rsidRPr="0025250D">
        <w:rPr>
          <w:rtl/>
        </w:rPr>
        <w:t>آینده‌نگاری</w:t>
      </w:r>
      <w:r w:rsidRPr="0025250D">
        <w:rPr>
          <w:rFonts w:hint="cs"/>
          <w:rtl/>
        </w:rPr>
        <w:t xml:space="preserve"> (محتمل، ممکن، مرجح)</w:t>
      </w:r>
    </w:p>
    <w:p w14:paraId="4198B050" w14:textId="014C0D58" w:rsidR="0020732A" w:rsidRPr="0025250D" w:rsidRDefault="0020732A" w:rsidP="0020732A">
      <w:pPr>
        <w:rPr>
          <w:rtl/>
        </w:rPr>
      </w:pPr>
      <w:r w:rsidRPr="0025250D">
        <w:rPr>
          <w:rFonts w:hint="cs"/>
          <w:rtl/>
        </w:rPr>
        <w:t xml:space="preserve">اولین مدل فراگیر </w:t>
      </w:r>
      <w:r w:rsidRPr="0025250D">
        <w:rPr>
          <w:rtl/>
        </w:rPr>
        <w:t>آینده‌نگاری</w:t>
      </w:r>
      <w:r w:rsidRPr="0025250D">
        <w:rPr>
          <w:rFonts w:hint="cs"/>
          <w:rtl/>
        </w:rPr>
        <w:t xml:space="preserve"> توسط </w:t>
      </w:r>
      <w:r w:rsidRPr="0025250D">
        <w:rPr>
          <w:rtl/>
        </w:rPr>
        <w:t>آلو</w:t>
      </w:r>
      <w:r w:rsidRPr="0025250D">
        <w:rPr>
          <w:rFonts w:hint="cs"/>
          <w:rtl/>
        </w:rPr>
        <w:t>ی</w:t>
      </w:r>
      <w:r w:rsidRPr="0025250D">
        <w:rPr>
          <w:rFonts w:hint="eastAsia"/>
          <w:rtl/>
        </w:rPr>
        <w:t>ن</w:t>
      </w:r>
      <w:r w:rsidRPr="0025250D">
        <w:rPr>
          <w:rtl/>
        </w:rPr>
        <w:t xml:space="preserve"> تافلر</w:t>
      </w:r>
      <w:r w:rsidRPr="0025250D">
        <w:rPr>
          <w:vertAlign w:val="superscript"/>
          <w:rtl/>
        </w:rPr>
        <w:footnoteReference w:id="277"/>
      </w:r>
      <w:r w:rsidRPr="0025250D">
        <w:rPr>
          <w:rFonts w:hint="cs"/>
          <w:rtl/>
        </w:rPr>
        <w:t xml:space="preserve"> در سال 1970 معرفی شد. </w:t>
      </w:r>
      <w:r w:rsidRPr="0025250D">
        <w:rPr>
          <w:rtl/>
        </w:rPr>
        <w:t>تافلر</w:t>
      </w:r>
      <w:r w:rsidRPr="0025250D">
        <w:rPr>
          <w:rFonts w:hint="cs"/>
          <w:rtl/>
        </w:rPr>
        <w:t xml:space="preserve"> یکی از شناخته‌شده‌ترین و تأثیرگذار‌ترین آینده‌پژوهان قرن بیستم بود. او در کتاب پر فروش خود به نام شوک آینده</w:t>
      </w:r>
      <w:r w:rsidRPr="0025250D">
        <w:rPr>
          <w:vertAlign w:val="superscript"/>
          <w:rtl/>
        </w:rPr>
        <w:footnoteReference w:id="278"/>
      </w:r>
      <w:r w:rsidRPr="0025250D">
        <w:rPr>
          <w:rFonts w:hint="cs"/>
          <w:rtl/>
        </w:rPr>
        <w:t xml:space="preserve">، 1970، به ما کمک کرد که اثرات روانشناختی و اجتماعی تغییرات پر شتاب را در نظر بگیریم. </w:t>
      </w:r>
      <w:r w:rsidR="00B56611" w:rsidRPr="0025250D">
        <w:rPr>
          <w:rFonts w:hint="cs"/>
          <w:rtl/>
        </w:rPr>
        <w:t>شتاب‌گیری</w:t>
      </w:r>
      <w:r w:rsidRPr="0025250D">
        <w:rPr>
          <w:rFonts w:hint="cs"/>
          <w:rtl/>
        </w:rPr>
        <w:t xml:space="preserve"> </w:t>
      </w:r>
      <w:r w:rsidR="007A53FD" w:rsidRPr="0025250D">
        <w:rPr>
          <w:rFonts w:hint="cs"/>
          <w:rtl/>
        </w:rPr>
        <w:t>فناورانه</w:t>
      </w:r>
      <w:r w:rsidRPr="0025250D">
        <w:rPr>
          <w:rFonts w:hint="cs"/>
          <w:rtl/>
        </w:rPr>
        <w:t xml:space="preserve">، اقتصادی و اجتماعی موضوعی است که تعداد انگشت شماری از نویسندگان از اواخر دهه 1800 مورد بحث قرار داده‌اند. تفسیر </w:t>
      </w:r>
      <w:r w:rsidRPr="0025250D">
        <w:rPr>
          <w:rtl/>
        </w:rPr>
        <w:t>تافلر</w:t>
      </w:r>
      <w:r w:rsidRPr="0025250D">
        <w:rPr>
          <w:rFonts w:hint="cs"/>
          <w:rtl/>
        </w:rPr>
        <w:t xml:space="preserve"> در زمان مناسبی ارائه شد و بلافاصله پس از یک دهه آشفتگی اجتماعی و نگرانی در آمریکا مطرح شد. او </w:t>
      </w:r>
      <w:r w:rsidR="00B56611" w:rsidRPr="0025250D">
        <w:rPr>
          <w:rFonts w:hint="cs"/>
          <w:rtl/>
        </w:rPr>
        <w:t>شتاب‌گیری</w:t>
      </w:r>
      <w:r w:rsidRPr="0025250D">
        <w:rPr>
          <w:rFonts w:hint="cs"/>
          <w:rtl/>
        </w:rPr>
        <w:t xml:space="preserve"> جالب تغییرات در طول تاریخ انسان را توصیف کرد و بر نیاز به </w:t>
      </w:r>
      <w:r w:rsidRPr="0025250D">
        <w:rPr>
          <w:rtl/>
        </w:rPr>
        <w:t>آینده‌نگاری</w:t>
      </w:r>
      <w:r w:rsidRPr="0025250D">
        <w:rPr>
          <w:rFonts w:hint="cs"/>
          <w:rtl/>
        </w:rPr>
        <w:t xml:space="preserve"> بهتر </w:t>
      </w:r>
      <w:r w:rsidR="00B56611" w:rsidRPr="0025250D">
        <w:rPr>
          <w:rFonts w:hint="cs"/>
          <w:rtl/>
        </w:rPr>
        <w:t>به‌منظور</w:t>
      </w:r>
      <w:r w:rsidRPr="0025250D">
        <w:rPr>
          <w:rFonts w:hint="cs"/>
          <w:rtl/>
        </w:rPr>
        <w:t xml:space="preserve"> درک ذات و معنای </w:t>
      </w:r>
      <w:r w:rsidR="00B56611" w:rsidRPr="0025250D">
        <w:rPr>
          <w:rFonts w:hint="cs"/>
          <w:rtl/>
        </w:rPr>
        <w:t>شتاب‌گیری</w:t>
      </w:r>
      <w:r w:rsidRPr="0025250D">
        <w:rPr>
          <w:rFonts w:hint="cs"/>
          <w:rtl/>
        </w:rPr>
        <w:t xml:space="preserve"> و آگاهی بخشی در زمینه انتخاب‌های اخلاقیمان در </w:t>
      </w:r>
      <w:r w:rsidR="00B56611" w:rsidRPr="0025250D">
        <w:rPr>
          <w:rFonts w:hint="cs"/>
          <w:rtl/>
        </w:rPr>
        <w:t>بافت</w:t>
      </w:r>
      <w:r w:rsidRPr="0025250D">
        <w:rPr>
          <w:rFonts w:hint="cs"/>
          <w:rtl/>
        </w:rPr>
        <w:t xml:space="preserve"> استفاده از فنّاوری تأکید کرد.</w:t>
      </w:r>
    </w:p>
    <w:p w14:paraId="19B0D25E" w14:textId="5D3C6DF6" w:rsidR="0020732A" w:rsidRPr="0025250D" w:rsidRDefault="0020732A" w:rsidP="0020732A">
      <w:pPr>
        <w:rPr>
          <w:rtl/>
        </w:rPr>
      </w:pPr>
      <w:r w:rsidRPr="0025250D">
        <w:rPr>
          <w:rFonts w:hint="cs"/>
          <w:rtl/>
        </w:rPr>
        <w:t xml:space="preserve">در سال 2003، </w:t>
      </w:r>
      <w:r w:rsidRPr="0025250D">
        <w:rPr>
          <w:rtl/>
        </w:rPr>
        <w:t>جان</w:t>
      </w:r>
      <w:r w:rsidRPr="0025250D">
        <w:rPr>
          <w:rFonts w:hint="cs"/>
          <w:rtl/>
        </w:rPr>
        <w:t xml:space="preserve"> یک مؤسسه غیر انتفاعی</w:t>
      </w:r>
      <w:r w:rsidRPr="0025250D">
        <w:rPr>
          <w:vertAlign w:val="superscript"/>
          <w:rtl/>
        </w:rPr>
        <w:footnoteReference w:id="279"/>
      </w:r>
      <w:r w:rsidRPr="0025250D">
        <w:rPr>
          <w:rFonts w:hint="cs"/>
          <w:rtl/>
        </w:rPr>
        <w:t xml:space="preserve"> را به نام بنیاد مطالعات </w:t>
      </w:r>
      <w:r w:rsidR="00B56611" w:rsidRPr="0025250D">
        <w:rPr>
          <w:rFonts w:hint="cs"/>
          <w:rtl/>
        </w:rPr>
        <w:t>شتاب‌گیری</w:t>
      </w:r>
      <w:r w:rsidRPr="0025250D">
        <w:rPr>
          <w:vertAlign w:val="superscript"/>
          <w:rtl/>
        </w:rPr>
        <w:footnoteReference w:id="280"/>
      </w:r>
      <w:r w:rsidRPr="0025250D">
        <w:rPr>
          <w:rFonts w:hint="cs"/>
          <w:rtl/>
        </w:rPr>
        <w:t xml:space="preserve"> (</w:t>
      </w:r>
      <w:r w:rsidRPr="0025250D">
        <w:t>ASF</w:t>
      </w:r>
      <w:r w:rsidRPr="0025250D">
        <w:rPr>
          <w:rFonts w:hint="cs"/>
          <w:rtl/>
        </w:rPr>
        <w:t xml:space="preserve">)، به‌منظور حمایت از مطالعه بهتر و مدیریت فرایند‌های جهانی تغییرات در حال </w:t>
      </w:r>
      <w:r w:rsidR="00B56611" w:rsidRPr="0025250D">
        <w:rPr>
          <w:rFonts w:hint="cs"/>
          <w:rtl/>
        </w:rPr>
        <w:t>شتاب‌گیری</w:t>
      </w:r>
      <w:r w:rsidRPr="0025250D">
        <w:rPr>
          <w:rFonts w:hint="cs"/>
          <w:rtl/>
        </w:rPr>
        <w:t xml:space="preserve"> پایه‌گذاری کرد. ما به دنبال درک تغییرات </w:t>
      </w:r>
      <w:r w:rsidR="007B3B35" w:rsidRPr="0025250D">
        <w:rPr>
          <w:rFonts w:hint="cs"/>
          <w:rtl/>
        </w:rPr>
        <w:t>شتاب‌گیر</w:t>
      </w:r>
      <w:r w:rsidRPr="0025250D">
        <w:rPr>
          <w:rFonts w:hint="cs"/>
          <w:rtl/>
        </w:rPr>
        <w:t xml:space="preserve">نده هم از دیدگاه </w:t>
      </w:r>
      <w:r w:rsidRPr="0025250D">
        <w:rPr>
          <w:rtl/>
        </w:rPr>
        <w:t>تافلر</w:t>
      </w:r>
      <w:r w:rsidRPr="0025250D">
        <w:rPr>
          <w:rFonts w:hint="cs"/>
          <w:rtl/>
        </w:rPr>
        <w:t xml:space="preserve"> که به تاریخ انسان می‌نگرد و هم از دیدگاه اخترشناس </w:t>
      </w:r>
      <w:r w:rsidRPr="0025250D">
        <w:rPr>
          <w:rtl/>
        </w:rPr>
        <w:t>کارل س</w:t>
      </w:r>
      <w:r w:rsidRPr="0025250D">
        <w:rPr>
          <w:rFonts w:hint="cs"/>
          <w:rtl/>
        </w:rPr>
        <w:t>ی</w:t>
      </w:r>
      <w:r w:rsidRPr="0025250D">
        <w:rPr>
          <w:rFonts w:hint="eastAsia"/>
          <w:rtl/>
        </w:rPr>
        <w:t>گان</w:t>
      </w:r>
      <w:r w:rsidRPr="0025250D">
        <w:rPr>
          <w:vertAlign w:val="superscript"/>
          <w:rtl/>
        </w:rPr>
        <w:footnoteReference w:id="281"/>
      </w:r>
      <w:r w:rsidRPr="0025250D">
        <w:rPr>
          <w:rFonts w:hint="cs"/>
          <w:rtl/>
        </w:rPr>
        <w:t xml:space="preserve"> به‌عنوان یک فرایند ظاهرا فراگیر، تحت تأثیر قوانین فیزیکی و اطلاعاتی که هنوز به‌خوبی درک نشده‌اند، هستیم. </w:t>
      </w:r>
      <w:r w:rsidRPr="0025250D">
        <w:rPr>
          <w:rtl/>
        </w:rPr>
        <w:t>س</w:t>
      </w:r>
      <w:r w:rsidRPr="0025250D">
        <w:rPr>
          <w:rFonts w:hint="cs"/>
          <w:rtl/>
        </w:rPr>
        <w:t>ی</w:t>
      </w:r>
      <w:r w:rsidRPr="0025250D">
        <w:rPr>
          <w:rFonts w:hint="eastAsia"/>
          <w:rtl/>
        </w:rPr>
        <w:t>گان</w:t>
      </w:r>
      <w:r w:rsidRPr="0025250D">
        <w:rPr>
          <w:rFonts w:hint="cs"/>
          <w:rtl/>
        </w:rPr>
        <w:t xml:space="preserve"> پدیده تغییر </w:t>
      </w:r>
      <w:r w:rsidR="007B3B35" w:rsidRPr="0025250D">
        <w:rPr>
          <w:rFonts w:hint="cs"/>
          <w:rtl/>
        </w:rPr>
        <w:t>شتاب‌گیر</w:t>
      </w:r>
      <w:r w:rsidRPr="0025250D">
        <w:rPr>
          <w:rFonts w:hint="cs"/>
          <w:rtl/>
        </w:rPr>
        <w:t>نده فراگیر را در استعاره خود از تقویم کیهانی، ابتدا در کتاب خود با عنوان اژدهاهای عدن</w:t>
      </w:r>
      <w:r w:rsidRPr="0025250D">
        <w:rPr>
          <w:vertAlign w:val="superscript"/>
          <w:rtl/>
        </w:rPr>
        <w:footnoteReference w:id="282"/>
      </w:r>
      <w:r w:rsidR="00B56611" w:rsidRPr="0025250D">
        <w:rPr>
          <w:rFonts w:hint="cs"/>
          <w:rtl/>
        </w:rPr>
        <w:t xml:space="preserve"> در سال</w:t>
      </w:r>
      <w:r w:rsidRPr="0025250D">
        <w:rPr>
          <w:rFonts w:hint="cs"/>
          <w:rtl/>
        </w:rPr>
        <w:t xml:space="preserve"> 1977 و سپس در سریال تلویزیونی تحسین شده خود به نام </w:t>
      </w:r>
      <w:r w:rsidRPr="0025250D">
        <w:rPr>
          <w:rtl/>
        </w:rPr>
        <w:t>ک</w:t>
      </w:r>
      <w:r w:rsidRPr="0025250D">
        <w:rPr>
          <w:rFonts w:hint="cs"/>
          <w:rtl/>
        </w:rPr>
        <w:t>ی</w:t>
      </w:r>
      <w:r w:rsidRPr="0025250D">
        <w:rPr>
          <w:rFonts w:hint="eastAsia"/>
          <w:rtl/>
        </w:rPr>
        <w:t>هان</w:t>
      </w:r>
      <w:r w:rsidRPr="0025250D">
        <w:rPr>
          <w:vertAlign w:val="superscript"/>
          <w:rtl/>
        </w:rPr>
        <w:footnoteReference w:id="283"/>
      </w:r>
      <w:r w:rsidRPr="0025250D">
        <w:rPr>
          <w:rFonts w:hint="cs"/>
          <w:rtl/>
        </w:rPr>
        <w:t xml:space="preserve"> در سال 1980، ترویج داد. در انتهای این فصل به تقویم کیهانی باز خواهیم گشت. ما معتقدیم که این یک تصویر سازی از توسعه تکاملی پیچیدگی است که در آن رشد ساختار و کارکرد فیزیکی و اطلاعاتی </w:t>
      </w:r>
      <w:r w:rsidR="00AE5BE0" w:rsidRPr="0025250D">
        <w:rPr>
          <w:rFonts w:hint="cs"/>
          <w:rtl/>
        </w:rPr>
        <w:t>انطباقی</w:t>
      </w:r>
      <w:r w:rsidRPr="0025250D">
        <w:rPr>
          <w:rFonts w:hint="cs"/>
          <w:rtl/>
        </w:rPr>
        <w:t>، از زمان پیدایش اولین کهکش</w:t>
      </w:r>
      <w:r w:rsidR="00B56611" w:rsidRPr="0025250D">
        <w:rPr>
          <w:rFonts w:hint="cs"/>
          <w:rtl/>
        </w:rPr>
        <w:t>ا</w:t>
      </w:r>
      <w:r w:rsidRPr="0025250D">
        <w:rPr>
          <w:rFonts w:hint="cs"/>
          <w:rtl/>
        </w:rPr>
        <w:t xml:space="preserve">ن‌ها، به شکل فزاینده‌ای سریع در مکان‌های محلی فزاینده در جهان ما رخ می‌دهد. بعداً در این کتاب و به تفصیل در کتاب 2، دو پیشران کلیدی تغییرات </w:t>
      </w:r>
      <w:r w:rsidR="007B3B35" w:rsidRPr="0025250D">
        <w:rPr>
          <w:rFonts w:hint="cs"/>
          <w:rtl/>
        </w:rPr>
        <w:t>شتاب‌گیر</w:t>
      </w:r>
      <w:r w:rsidRPr="0025250D">
        <w:rPr>
          <w:rFonts w:hint="cs"/>
          <w:rtl/>
        </w:rPr>
        <w:t xml:space="preserve">نده در تاریخ انسان، یعنی متراکم </w:t>
      </w:r>
      <w:r w:rsidR="00EC25F0" w:rsidRPr="0025250D">
        <w:rPr>
          <w:rFonts w:hint="cs"/>
          <w:rtl/>
        </w:rPr>
        <w:t>سازی</w:t>
      </w:r>
      <w:r w:rsidRPr="0025250D">
        <w:rPr>
          <w:rFonts w:hint="cs"/>
          <w:rtl/>
        </w:rPr>
        <w:t xml:space="preserve"> و </w:t>
      </w:r>
      <w:r w:rsidR="000B4A71" w:rsidRPr="0025250D">
        <w:rPr>
          <w:rFonts w:hint="cs"/>
          <w:rtl/>
        </w:rPr>
        <w:t>مادی‌زدایی</w:t>
      </w:r>
      <w:r w:rsidRPr="0025250D">
        <w:rPr>
          <w:vertAlign w:val="superscript"/>
          <w:rtl/>
        </w:rPr>
        <w:footnoteReference w:id="284"/>
      </w:r>
      <w:r w:rsidRPr="0025250D">
        <w:rPr>
          <w:rFonts w:hint="cs"/>
          <w:rtl/>
        </w:rPr>
        <w:t xml:space="preserve"> (</w:t>
      </w:r>
      <w:r w:rsidRPr="0025250D">
        <w:t>D&amp;D</w:t>
      </w:r>
      <w:r w:rsidRPr="0025250D">
        <w:rPr>
          <w:rFonts w:hint="cs"/>
          <w:rtl/>
        </w:rPr>
        <w:t xml:space="preserve">) را معرفی خواهیم کرد. ما پیش‌بینی می‌کنیم این فرایند‌های </w:t>
      </w:r>
      <w:r w:rsidRPr="0025250D">
        <w:t>D&amp;D</w:t>
      </w:r>
      <w:r w:rsidRPr="0025250D">
        <w:rPr>
          <w:rFonts w:hint="cs"/>
          <w:rtl/>
        </w:rPr>
        <w:t xml:space="preserve"> فراگیر هستند و بنابراین ذات آینده را در همه سیارات مشابه زمین در جهانمان محدود می‌نمایند.</w:t>
      </w:r>
    </w:p>
    <w:p w14:paraId="2F8329CE" w14:textId="37964080" w:rsidR="0020732A" w:rsidRPr="0025250D" w:rsidRDefault="0020732A" w:rsidP="00116646">
      <w:pPr>
        <w:rPr>
          <w:rtl/>
        </w:rPr>
      </w:pPr>
      <w:r w:rsidRPr="0025250D">
        <w:rPr>
          <w:rtl/>
        </w:rPr>
        <w:t>تافلر</w:t>
      </w:r>
      <w:r w:rsidRPr="0025250D">
        <w:rPr>
          <w:rFonts w:hint="cs"/>
          <w:rtl/>
        </w:rPr>
        <w:t xml:space="preserve"> در انتهای کتاب شوک آینده بیان کرد که تفکر </w:t>
      </w:r>
      <w:r w:rsidRPr="0025250D">
        <w:rPr>
          <w:rtl/>
        </w:rPr>
        <w:t>آینده‌نگاری</w:t>
      </w:r>
      <w:r w:rsidRPr="0025250D">
        <w:rPr>
          <w:rFonts w:hint="cs"/>
          <w:rtl/>
        </w:rPr>
        <w:t xml:space="preserve"> می‌تواند به سه نوع کلیدی تقسیم شود. او همچنین بیان کرد که این تقسیم بندی به ما برای تخصصی سازی زمینه مان کمک خواهد کرد. در اینجا متن اصلی کتاب او را مشاهده می‌کنیم که کلمات پررنگ را خودمان اضافه کرده‌ایم: هر جامعه‌ای نه‌تنها با یک توالی از آینده‌های </w:t>
      </w:r>
      <w:r w:rsidRPr="0025250D">
        <w:rPr>
          <w:rFonts w:hint="cs"/>
          <w:b/>
          <w:bCs/>
          <w:rtl/>
        </w:rPr>
        <w:t>محتمل</w:t>
      </w:r>
      <w:r w:rsidRPr="0025250D">
        <w:rPr>
          <w:rFonts w:hint="cs"/>
          <w:rtl/>
        </w:rPr>
        <w:t xml:space="preserve">، بلکه با آرایه‌ای از آینده‌های </w:t>
      </w:r>
      <w:r w:rsidRPr="0025250D">
        <w:rPr>
          <w:rFonts w:hint="cs"/>
          <w:b/>
          <w:bCs/>
          <w:rtl/>
        </w:rPr>
        <w:t>ممکن</w:t>
      </w:r>
      <w:r w:rsidRPr="0025250D">
        <w:rPr>
          <w:rFonts w:hint="cs"/>
          <w:rtl/>
        </w:rPr>
        <w:t xml:space="preserve"> و تناقضی از آینده‌های </w:t>
      </w:r>
      <w:r w:rsidRPr="0025250D">
        <w:rPr>
          <w:rFonts w:hint="cs"/>
          <w:b/>
          <w:bCs/>
          <w:rtl/>
        </w:rPr>
        <w:t>مرجح</w:t>
      </w:r>
      <w:r w:rsidRPr="0025250D">
        <w:rPr>
          <w:rFonts w:hint="cs"/>
          <w:rtl/>
        </w:rPr>
        <w:t xml:space="preserve"> مواجه است... تعیین آینده‌های </w:t>
      </w:r>
      <w:r w:rsidRPr="0025250D">
        <w:rPr>
          <w:rFonts w:hint="cs"/>
          <w:b/>
          <w:bCs/>
          <w:rtl/>
        </w:rPr>
        <w:t>محتمل</w:t>
      </w:r>
      <w:r w:rsidRPr="0025250D">
        <w:rPr>
          <w:rFonts w:hint="cs"/>
          <w:rtl/>
        </w:rPr>
        <w:t xml:space="preserve"> نیاز به یک </w:t>
      </w:r>
      <w:r w:rsidRPr="0025250D">
        <w:rPr>
          <w:rFonts w:hint="cs"/>
          <w:b/>
          <w:bCs/>
          <w:rtl/>
        </w:rPr>
        <w:t>علم</w:t>
      </w:r>
      <w:r w:rsidRPr="0025250D">
        <w:rPr>
          <w:rFonts w:hint="cs"/>
          <w:rtl/>
        </w:rPr>
        <w:t xml:space="preserve"> آینده‌گرایی را برجسته می‌کند. ترسیم آینده‌های </w:t>
      </w:r>
      <w:r w:rsidRPr="0025250D">
        <w:rPr>
          <w:rFonts w:hint="cs"/>
          <w:b/>
          <w:bCs/>
          <w:rtl/>
        </w:rPr>
        <w:t>ممکن</w:t>
      </w:r>
      <w:r w:rsidRPr="0025250D">
        <w:rPr>
          <w:rFonts w:hint="cs"/>
          <w:rtl/>
        </w:rPr>
        <w:t xml:space="preserve"> نیاز به یک </w:t>
      </w:r>
      <w:r w:rsidRPr="0025250D">
        <w:rPr>
          <w:rFonts w:hint="cs"/>
          <w:b/>
          <w:bCs/>
          <w:rtl/>
        </w:rPr>
        <w:t>هنر</w:t>
      </w:r>
      <w:r w:rsidRPr="0025250D">
        <w:rPr>
          <w:rFonts w:hint="cs"/>
          <w:rtl/>
        </w:rPr>
        <w:t xml:space="preserve"> آینده‌گرایی را برجسته می‌کند. تعریف آینده‌های </w:t>
      </w:r>
      <w:r w:rsidR="00B56611" w:rsidRPr="0025250D">
        <w:rPr>
          <w:rFonts w:hint="cs"/>
          <w:b/>
          <w:bCs/>
          <w:rtl/>
        </w:rPr>
        <w:t>مرجح</w:t>
      </w:r>
      <w:r w:rsidRPr="0025250D">
        <w:rPr>
          <w:rFonts w:hint="cs"/>
          <w:rtl/>
        </w:rPr>
        <w:t xml:space="preserve"> نیاز به یک </w:t>
      </w:r>
      <w:r w:rsidRPr="0025250D">
        <w:rPr>
          <w:rFonts w:hint="cs"/>
          <w:b/>
          <w:bCs/>
          <w:rtl/>
        </w:rPr>
        <w:t>سیاست</w:t>
      </w:r>
      <w:r w:rsidRPr="0025250D">
        <w:rPr>
          <w:rFonts w:hint="cs"/>
          <w:rtl/>
        </w:rPr>
        <w:t xml:space="preserve"> آینده‌گرایی را برجسته می‌نماید. حرکت آینده‌پژوهی امروزی هنوز تمایز واضحی میان </w:t>
      </w:r>
      <w:r w:rsidRPr="0025250D">
        <w:rPr>
          <w:rFonts w:hint="cs"/>
          <w:rtl/>
        </w:rPr>
        <w:lastRenderedPageBreak/>
        <w:t xml:space="preserve">این کارکردها قائل </w:t>
      </w:r>
      <w:r w:rsidR="00B56611" w:rsidRPr="0025250D">
        <w:rPr>
          <w:rFonts w:hint="cs"/>
          <w:rtl/>
        </w:rPr>
        <w:t>نمی‌شود</w:t>
      </w:r>
      <w:r w:rsidRPr="0025250D">
        <w:rPr>
          <w:rFonts w:hint="cs"/>
          <w:rtl/>
        </w:rPr>
        <w:t xml:space="preserve"> (صفحه 407، نسخه اول). پیشنهاد </w:t>
      </w:r>
      <w:r w:rsidRPr="0025250D">
        <w:rPr>
          <w:rtl/>
        </w:rPr>
        <w:t>تافلر</w:t>
      </w:r>
      <w:r w:rsidRPr="0025250D">
        <w:rPr>
          <w:rFonts w:hint="cs"/>
          <w:rtl/>
        </w:rPr>
        <w:t xml:space="preserve"> یک دهه بعد توسط </w:t>
      </w:r>
      <w:r w:rsidRPr="0025250D">
        <w:rPr>
          <w:rtl/>
        </w:rPr>
        <w:t>رو</w:t>
      </w:r>
      <w:r w:rsidRPr="0025250D">
        <w:rPr>
          <w:rFonts w:hint="cs"/>
          <w:rtl/>
        </w:rPr>
        <w:t>ی</w:t>
      </w:r>
      <w:r w:rsidRPr="0025250D">
        <w:rPr>
          <w:rtl/>
        </w:rPr>
        <w:t xml:space="preserve"> آمارا</w:t>
      </w:r>
      <w:r w:rsidRPr="0025250D">
        <w:rPr>
          <w:vertAlign w:val="superscript"/>
          <w:rtl/>
        </w:rPr>
        <w:footnoteReference w:id="285"/>
      </w:r>
      <w:r w:rsidRPr="0025250D">
        <w:rPr>
          <w:rFonts w:hint="cs"/>
          <w:rtl/>
        </w:rPr>
        <w:t xml:space="preserve">، یک کارگزار پیشرو در زمینه </w:t>
      </w:r>
      <w:r w:rsidRPr="0025250D">
        <w:rPr>
          <w:rtl/>
        </w:rPr>
        <w:t>آینده‌نگاری</w:t>
      </w:r>
      <w:r w:rsidRPr="0025250D">
        <w:rPr>
          <w:rFonts w:hint="cs"/>
          <w:rtl/>
        </w:rPr>
        <w:t xml:space="preserve"> و رئیس مؤسسه آینده</w:t>
      </w:r>
      <w:r w:rsidRPr="0025250D">
        <w:rPr>
          <w:vertAlign w:val="superscript"/>
          <w:rtl/>
        </w:rPr>
        <w:footnoteReference w:id="286"/>
      </w:r>
      <w:r w:rsidRPr="0025250D">
        <w:rPr>
          <w:rFonts w:hint="cs"/>
          <w:rtl/>
        </w:rPr>
        <w:t xml:space="preserve"> (</w:t>
      </w:r>
      <w:r w:rsidRPr="0025250D">
        <w:t>IFTF</w:t>
      </w:r>
      <w:r w:rsidRPr="0025250D">
        <w:rPr>
          <w:rFonts w:hint="cs"/>
          <w:rtl/>
        </w:rPr>
        <w:t xml:space="preserve">)، یکی از اولین اندیشکده‌های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و آینده‌پژوهی که در سال 1968 تأسیس شد، تأیید گشت. </w:t>
      </w:r>
      <w:r w:rsidRPr="0025250D">
        <w:rPr>
          <w:rtl/>
        </w:rPr>
        <w:t>آمارا</w:t>
      </w:r>
      <w:r w:rsidRPr="0025250D">
        <w:rPr>
          <w:rFonts w:hint="cs"/>
          <w:rtl/>
        </w:rPr>
        <w:t xml:space="preserve"> در سال 1981، در مقاله‌ای در آینده‌پژوه</w:t>
      </w:r>
      <w:r w:rsidRPr="0025250D">
        <w:rPr>
          <w:vertAlign w:val="superscript"/>
          <w:rtl/>
        </w:rPr>
        <w:footnoteReference w:id="287"/>
      </w:r>
      <w:r w:rsidRPr="0025250D">
        <w:rPr>
          <w:rFonts w:hint="cs"/>
          <w:rtl/>
        </w:rPr>
        <w:t>، مجله متعلق به جامعه آینده‌نگاری جهان</w:t>
      </w:r>
      <w:r w:rsidRPr="0025250D">
        <w:rPr>
          <w:vertAlign w:val="superscript"/>
          <w:rtl/>
        </w:rPr>
        <w:footnoteReference w:id="288"/>
      </w:r>
      <w:r w:rsidRPr="0025250D">
        <w:rPr>
          <w:rFonts w:hint="cs"/>
          <w:rtl/>
        </w:rPr>
        <w:t xml:space="preserve">، با عنوان </w:t>
      </w:r>
      <w:r w:rsidR="00116646" w:rsidRPr="0025250D">
        <w:rPr>
          <w:rtl/>
        </w:rPr>
        <w:t>«</w:t>
      </w:r>
      <w:r w:rsidRPr="0025250D">
        <w:rPr>
          <w:rFonts w:hint="cs"/>
          <w:rtl/>
        </w:rPr>
        <w:t>زمینه مطالعات آینده: جستجو برای تعاریف و مرزها</w:t>
      </w:r>
      <w:r w:rsidRPr="0025250D">
        <w:rPr>
          <w:vertAlign w:val="superscript"/>
          <w:rtl/>
        </w:rPr>
        <w:footnoteReference w:id="289"/>
      </w:r>
      <w:r w:rsidR="00116646" w:rsidRPr="0025250D">
        <w:rPr>
          <w:rtl/>
        </w:rPr>
        <w:t>»</w:t>
      </w:r>
      <w:r w:rsidRPr="0025250D">
        <w:rPr>
          <w:rFonts w:hint="cs"/>
          <w:rtl/>
        </w:rPr>
        <w:t xml:space="preserve">، اولویت این سه رویکرد، یعنی محتمل، ممکن و </w:t>
      </w:r>
      <w:r w:rsidR="00B56611" w:rsidRPr="0025250D">
        <w:rPr>
          <w:rFonts w:hint="cs"/>
          <w:rtl/>
        </w:rPr>
        <w:t>مرجح</w:t>
      </w:r>
      <w:r w:rsidRPr="0025250D">
        <w:rPr>
          <w:rFonts w:hint="cs"/>
          <w:rtl/>
        </w:rPr>
        <w:t xml:space="preserve"> را بیان کرد. در زمان کوتاهی پس از آن، کارگزاران در این زمینه آغاز به نامیدن این مورد به نام مدل </w:t>
      </w:r>
      <w:r w:rsidRPr="0025250D">
        <w:rPr>
          <w:rtl/>
        </w:rPr>
        <w:t>آینده‌نگاری</w:t>
      </w:r>
      <w:r w:rsidRPr="0025250D">
        <w:rPr>
          <w:rFonts w:hint="cs"/>
          <w:rtl/>
        </w:rPr>
        <w:t xml:space="preserve"> </w:t>
      </w:r>
      <w:r w:rsidR="00116646" w:rsidRPr="0025250D">
        <w:rPr>
          <w:rtl/>
        </w:rPr>
        <w:t>«</w:t>
      </w:r>
      <w:r w:rsidRPr="0025250D">
        <w:rPr>
          <w:rFonts w:hint="cs"/>
          <w:rtl/>
        </w:rPr>
        <w:t xml:space="preserve">سه </w:t>
      </w:r>
      <w:r w:rsidRPr="0025250D">
        <w:t>P</w:t>
      </w:r>
      <w:r w:rsidR="00116646" w:rsidRPr="0025250D">
        <w:rPr>
          <w:rFonts w:hint="cs"/>
          <w:rtl/>
        </w:rPr>
        <w:t>»</w:t>
      </w:r>
      <w:r w:rsidRPr="0025250D">
        <w:rPr>
          <w:rFonts w:hint="cs"/>
          <w:rtl/>
        </w:rPr>
        <w:t xml:space="preserve"> کردند.</w:t>
      </w:r>
    </w:p>
    <w:p w14:paraId="55E78C84" w14:textId="43A9EE9B" w:rsidR="0020732A" w:rsidRPr="0025250D" w:rsidRDefault="007118DE" w:rsidP="00007A85">
      <w:pPr>
        <w:rPr>
          <w:rtl/>
        </w:rPr>
      </w:pPr>
      <w:r w:rsidRPr="0025250D">
        <w:rPr>
          <w:rFonts w:hint="cs"/>
          <w:rtl/>
        </w:rPr>
        <w:t>همان‌طور</w:t>
      </w:r>
      <w:r w:rsidR="0020732A" w:rsidRPr="0025250D">
        <w:rPr>
          <w:rFonts w:hint="cs"/>
          <w:rtl/>
        </w:rPr>
        <w:t xml:space="preserve"> که اکنون خواهیم دید، این مدل اساس بسیار مستحکمی دارد. این مدل هم ویژگی‌های اساسی جهان فیزیکی ما و هم هوشمندی در سامانه‌های زنده را ارائه می‌دهد. علم به ما می‌گوید که یک مجموعه از قوانین و فرایند‌های فیزیکی، آینده‌های محتمل و همگرا ایجاد می‌نمایند. برای مثال، در مورد فیزیک کلاسیک </w:t>
      </w:r>
      <w:r w:rsidR="00B56611" w:rsidRPr="0025250D">
        <w:rPr>
          <w:rFonts w:hint="cs"/>
          <w:rtl/>
        </w:rPr>
        <w:t>بیندیشید</w:t>
      </w:r>
      <w:r w:rsidR="0020732A" w:rsidRPr="0025250D">
        <w:rPr>
          <w:rFonts w:hint="cs"/>
          <w:rtl/>
        </w:rPr>
        <w:t xml:space="preserve"> که در سال 1687 توسط آیزاک نیوتون</w:t>
      </w:r>
      <w:r w:rsidR="0020732A" w:rsidRPr="0025250D">
        <w:rPr>
          <w:vertAlign w:val="superscript"/>
          <w:rtl/>
        </w:rPr>
        <w:footnoteReference w:id="290"/>
      </w:r>
      <w:r w:rsidR="0020732A" w:rsidRPr="0025250D">
        <w:rPr>
          <w:rFonts w:hint="cs"/>
          <w:rtl/>
        </w:rPr>
        <w:t xml:space="preserve"> کشف شد. می‌دانیم که مجموعه مجزای دیگری از قوانین و فرایند‌ها آینده‌های ممکن واگرایی را ایجاد می‌نمایند. در مورد فیزیک کوانتوم بیندیشید که در دهه 1930 کشف شد. ما همچنین می‌دانیم که این دو فرایندِ مخالف به نحوی با </w:t>
      </w:r>
      <w:r w:rsidR="0020589F" w:rsidRPr="0025250D">
        <w:rPr>
          <w:rtl/>
        </w:rPr>
        <w:t>هم</w:t>
      </w:r>
      <w:r w:rsidR="0020732A" w:rsidRPr="0025250D">
        <w:rPr>
          <w:rFonts w:hint="cs"/>
          <w:rtl/>
        </w:rPr>
        <w:t xml:space="preserve"> در طول تاریخ جهان، کار کرده‌اند تا حیات، یک </w:t>
      </w:r>
      <w:r w:rsidR="00947B39" w:rsidRPr="0025250D">
        <w:rPr>
          <w:rFonts w:hint="cs"/>
          <w:rtl/>
        </w:rPr>
        <w:t>سامانه</w:t>
      </w:r>
      <w:r w:rsidR="0020732A" w:rsidRPr="0025250D">
        <w:rPr>
          <w:rFonts w:hint="cs"/>
          <w:rtl/>
        </w:rPr>
        <w:t xml:space="preserve"> </w:t>
      </w:r>
      <w:r w:rsidR="00AE5BE0" w:rsidRPr="0025250D">
        <w:rPr>
          <w:rFonts w:hint="cs"/>
          <w:rtl/>
        </w:rPr>
        <w:t>انطباقی</w:t>
      </w:r>
      <w:r w:rsidR="0020732A" w:rsidRPr="0025250D">
        <w:rPr>
          <w:rFonts w:hint="cs"/>
          <w:rtl/>
        </w:rPr>
        <w:t xml:space="preserve"> پیچیده بسیار خاص</w:t>
      </w:r>
      <w:r w:rsidR="008D6F97" w:rsidRPr="0025250D">
        <w:rPr>
          <w:rtl/>
        </w:rPr>
        <w:t xml:space="preserve"> </w:t>
      </w:r>
      <w:r w:rsidR="0020732A" w:rsidRPr="0025250D">
        <w:rPr>
          <w:rFonts w:hint="cs"/>
          <w:rtl/>
        </w:rPr>
        <w:t xml:space="preserve">را ایجاد کنند که به‌تنهایی </w:t>
      </w:r>
      <w:r w:rsidR="00007A85" w:rsidRPr="0025250D">
        <w:rPr>
          <w:rFonts w:hint="cs"/>
          <w:rtl/>
        </w:rPr>
        <w:t>حس‌دادها</w:t>
      </w:r>
      <w:r w:rsidR="0020732A" w:rsidRPr="0025250D">
        <w:rPr>
          <w:rFonts w:hint="cs"/>
          <w:rtl/>
        </w:rPr>
        <w:t xml:space="preserve"> (مثبت و منفی) و ترجیحاتی دارد. تمام حیات موجود </w:t>
      </w:r>
      <w:r w:rsidR="00B56611" w:rsidRPr="0025250D">
        <w:rPr>
          <w:rFonts w:hint="cs"/>
          <w:rtl/>
        </w:rPr>
        <w:t>به</w:t>
      </w:r>
      <w:r w:rsidR="0020732A" w:rsidRPr="0025250D">
        <w:rPr>
          <w:rFonts w:hint="cs"/>
          <w:rtl/>
        </w:rPr>
        <w:t xml:space="preserve"> این سه فرایند فراگیر وابسته است. حتی ساده‌ترین باکتری توسط ژن‌ها و ساختار‌های تکامل یافته‌ای زنده نگاه داشته می‌شود که رفتار‌هایی غیرقابل‌پیش‌بینی و افکاری اولیه (</w:t>
      </w:r>
      <w:r w:rsidR="00116646" w:rsidRPr="0025250D">
        <w:rPr>
          <w:rtl/>
        </w:rPr>
        <w:t>«</w:t>
      </w:r>
      <w:r w:rsidR="0020732A" w:rsidRPr="0025250D">
        <w:rPr>
          <w:rFonts w:hint="cs"/>
          <w:rtl/>
        </w:rPr>
        <w:t>اختیار</w:t>
      </w:r>
      <w:r w:rsidR="00116646" w:rsidRPr="0025250D">
        <w:rPr>
          <w:rtl/>
        </w:rPr>
        <w:t>»</w:t>
      </w:r>
      <w:r w:rsidR="0020732A" w:rsidRPr="0025250D">
        <w:rPr>
          <w:rFonts w:hint="cs"/>
          <w:rtl/>
        </w:rPr>
        <w:t>) تولید می‌کنند؛ با ژن‌ها و ساختار‌هایی که پیش‌بینی می‌کنند (یک مدل نزدیک به جهان</w:t>
      </w:r>
      <w:r w:rsidR="0020732A" w:rsidRPr="0025250D">
        <w:rPr>
          <w:vertAlign w:val="superscript"/>
          <w:rtl/>
        </w:rPr>
        <w:footnoteReference w:id="291"/>
      </w:r>
      <w:r w:rsidR="0020732A" w:rsidRPr="0025250D">
        <w:rPr>
          <w:rFonts w:hint="cs"/>
          <w:rtl/>
        </w:rPr>
        <w:t xml:space="preserve"> ایجاد می‌کنند) و با ژن‌ها و ساختار‌هایی که </w:t>
      </w:r>
      <w:r w:rsidR="00007A85" w:rsidRPr="0025250D">
        <w:rPr>
          <w:rtl/>
        </w:rPr>
        <w:t>حس‌داد</w:t>
      </w:r>
      <w:r w:rsidR="00007A85" w:rsidRPr="0025250D">
        <w:rPr>
          <w:rFonts w:hint="cs"/>
          <w:rtl/>
        </w:rPr>
        <w:t>های</w:t>
      </w:r>
      <w:r w:rsidR="0020732A" w:rsidRPr="0025250D">
        <w:rPr>
          <w:rFonts w:hint="cs"/>
          <w:rtl/>
        </w:rPr>
        <w:t xml:space="preserve"> اصلی را بروز می‌دهند (رفتارهای اجتنابی</w:t>
      </w:r>
      <w:r w:rsidR="0020732A" w:rsidRPr="0025250D">
        <w:rPr>
          <w:vertAlign w:val="superscript"/>
          <w:rtl/>
        </w:rPr>
        <w:footnoteReference w:id="292"/>
      </w:r>
      <w:r w:rsidR="0020732A" w:rsidRPr="0025250D">
        <w:rPr>
          <w:rFonts w:hint="cs"/>
          <w:rtl/>
        </w:rPr>
        <w:t xml:space="preserve"> و جذبی</w:t>
      </w:r>
      <w:r w:rsidR="0020732A" w:rsidRPr="0025250D">
        <w:rPr>
          <w:vertAlign w:val="superscript"/>
          <w:rtl/>
        </w:rPr>
        <w:footnoteReference w:id="293"/>
      </w:r>
      <w:r w:rsidR="0020732A" w:rsidRPr="0025250D">
        <w:rPr>
          <w:rFonts w:hint="cs"/>
          <w:rtl/>
        </w:rPr>
        <w:t xml:space="preserve">). یک تصویر گرافیکی از این هرم </w:t>
      </w:r>
      <w:r w:rsidR="0020732A" w:rsidRPr="0025250D">
        <w:rPr>
          <w:rtl/>
        </w:rPr>
        <w:t>آینده‌نگاری</w:t>
      </w:r>
      <w:r w:rsidR="0020732A" w:rsidRPr="0025250D">
        <w:rPr>
          <w:rFonts w:hint="cs"/>
          <w:rtl/>
        </w:rPr>
        <w:t xml:space="preserve"> کلاسیک در زیر ارائه شده است:</w:t>
      </w:r>
    </w:p>
    <w:p w14:paraId="2F068523" w14:textId="1B22ECA6" w:rsidR="0020732A" w:rsidRPr="0025250D" w:rsidRDefault="00AE7945" w:rsidP="00053811">
      <w:pPr>
        <w:jc w:val="center"/>
        <w:rPr>
          <w:rtl/>
          <w:lang w:bidi="ar-SA"/>
        </w:rPr>
      </w:pPr>
      <w:r w:rsidRPr="0025250D">
        <w:rPr>
          <w:noProof/>
          <w:lang w:bidi="ar-SA"/>
        </w:rPr>
        <w:drawing>
          <wp:inline distT="0" distB="0" distL="0" distR="0" wp14:anchorId="5CE9C7FB" wp14:editId="3C634B6C">
            <wp:extent cx="2711395" cy="1916487"/>
            <wp:effectExtent l="0" t="0" r="0" b="762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2717269" cy="1920639"/>
                    </a:xfrm>
                    <a:prstGeom prst="rect">
                      <a:avLst/>
                    </a:prstGeom>
                    <a:noFill/>
                  </pic:spPr>
                </pic:pic>
              </a:graphicData>
            </a:graphic>
          </wp:inline>
        </w:drawing>
      </w:r>
    </w:p>
    <w:p w14:paraId="282E59BF" w14:textId="77777777" w:rsidR="0020732A" w:rsidRPr="0025250D" w:rsidRDefault="0020732A" w:rsidP="00053811">
      <w:pPr>
        <w:jc w:val="center"/>
        <w:rPr>
          <w:rtl/>
        </w:rPr>
      </w:pPr>
      <w:r w:rsidRPr="0025250D">
        <w:rPr>
          <w:rFonts w:hint="cs"/>
          <w:rtl/>
          <w:lang w:bidi="ar-SA"/>
        </w:rPr>
        <w:t>هرم آینده‌نگاری کلاسیک</w:t>
      </w:r>
    </w:p>
    <w:p w14:paraId="1535B98C" w14:textId="7A307AFF" w:rsidR="0020732A" w:rsidRPr="0025250D" w:rsidRDefault="0020732A" w:rsidP="0020732A">
      <w:r w:rsidRPr="0025250D">
        <w:rPr>
          <w:rFonts w:hint="cs"/>
          <w:rtl/>
        </w:rPr>
        <w:t xml:space="preserve">هرم </w:t>
      </w:r>
      <w:r w:rsidRPr="0025250D">
        <w:rPr>
          <w:rtl/>
        </w:rPr>
        <w:t>آینده‌نگاری</w:t>
      </w:r>
      <w:r w:rsidRPr="0025250D">
        <w:rPr>
          <w:rFonts w:hint="cs"/>
          <w:rtl/>
        </w:rPr>
        <w:t xml:space="preserve"> کلاسیک به ما می‌گوید که اگرچه سه فرایند فراگیر مرتبط با آینده وجود دارند، دو مورد از آن‌ها زیربنایی هستند و مورد سوم (حیات، درک</w:t>
      </w:r>
      <w:r w:rsidRPr="0025250D">
        <w:rPr>
          <w:vertAlign w:val="superscript"/>
          <w:rtl/>
        </w:rPr>
        <w:footnoteReference w:id="294"/>
      </w:r>
      <w:r w:rsidRPr="0025250D">
        <w:rPr>
          <w:rFonts w:hint="cs"/>
          <w:rtl/>
        </w:rPr>
        <w:t xml:space="preserve">) یک ترکیب پدیدارشونده و ارزشمند‌تر از این دو مورد است. در تاریخ کیهانی، قوانین فیزیکِ احتمال و </w:t>
      </w:r>
      <w:r w:rsidR="00B56611" w:rsidRPr="0025250D">
        <w:rPr>
          <w:rFonts w:hint="cs"/>
          <w:rtl/>
        </w:rPr>
        <w:t xml:space="preserve">موارد </w:t>
      </w:r>
      <w:r w:rsidRPr="0025250D">
        <w:rPr>
          <w:rFonts w:hint="cs"/>
          <w:rtl/>
        </w:rPr>
        <w:t xml:space="preserve">ممکن، از موارد قابل پیش‌بینی و غیرقابل‌پیش‌بینی به‌صورت آماری، هر دو مدت زمان بسیاری پیش از آغاز حیات در کار </w:t>
      </w:r>
      <w:r w:rsidR="00B124DE" w:rsidRPr="0025250D">
        <w:rPr>
          <w:rFonts w:hint="cs"/>
          <w:rtl/>
        </w:rPr>
        <w:t>بوده‌اند</w:t>
      </w:r>
      <w:r w:rsidRPr="0025250D">
        <w:rPr>
          <w:rFonts w:hint="cs"/>
          <w:rtl/>
        </w:rPr>
        <w:t xml:space="preserve"> و ترجیحات آن ایجاد شده‌اند. این امر دو دلیل به‌منظور درک جایگاه ترجیحات در </w:t>
      </w:r>
      <w:r w:rsidR="00116646" w:rsidRPr="0025250D">
        <w:rPr>
          <w:rtl/>
        </w:rPr>
        <w:t>«</w:t>
      </w:r>
      <w:r w:rsidRPr="0025250D">
        <w:rPr>
          <w:rFonts w:hint="cs"/>
          <w:rtl/>
        </w:rPr>
        <w:t>رأس هرم</w:t>
      </w:r>
      <w:r w:rsidR="00116646" w:rsidRPr="0025250D">
        <w:rPr>
          <w:rtl/>
        </w:rPr>
        <w:t>»</w:t>
      </w:r>
      <w:r w:rsidRPr="0025250D">
        <w:rPr>
          <w:rFonts w:hint="cs"/>
          <w:rtl/>
        </w:rPr>
        <w:t xml:space="preserve"> ارائه می‌دهد. اول، حیات و ترجیحات آن به‌عنوان ترکیبی خاص از این دو </w:t>
      </w:r>
      <w:r w:rsidRPr="0025250D">
        <w:rPr>
          <w:rFonts w:hint="cs"/>
          <w:rtl/>
        </w:rPr>
        <w:lastRenderedPageBreak/>
        <w:t xml:space="preserve">فرایند فیزیکی قدیمی‌تر و پایه ای‌تر پدیدار شده‌اند. دوم، حیات، همه انواع آن، همان چیزی است که بیش از همه به آن توجه می‌کنیم. حیات در رأس سلسله‌مراتب ارزشی ما قرار دارد، </w:t>
      </w:r>
      <w:r w:rsidR="007118DE" w:rsidRPr="0025250D">
        <w:rPr>
          <w:rFonts w:hint="cs"/>
          <w:rtl/>
        </w:rPr>
        <w:t>همان‌طور</w:t>
      </w:r>
      <w:r w:rsidRPr="0025250D">
        <w:rPr>
          <w:rFonts w:hint="cs"/>
          <w:rtl/>
        </w:rPr>
        <w:t xml:space="preserve"> که باید باشد.</w:t>
      </w:r>
    </w:p>
    <w:p w14:paraId="491BFC70" w14:textId="2C1C260E" w:rsidR="0020732A" w:rsidRPr="0025250D" w:rsidRDefault="0020732A" w:rsidP="0020732A">
      <w:pPr>
        <w:rPr>
          <w:rtl/>
        </w:rPr>
      </w:pPr>
      <w:r w:rsidRPr="0025250D">
        <w:rPr>
          <w:rFonts w:hint="cs"/>
          <w:rtl/>
        </w:rPr>
        <w:t xml:space="preserve">این هرم کاربردی از </w:t>
      </w:r>
      <w:r w:rsidRPr="0025250D">
        <w:rPr>
          <w:rtl/>
        </w:rPr>
        <w:t>آینده‌نگاری</w:t>
      </w:r>
      <w:r w:rsidRPr="0025250D">
        <w:rPr>
          <w:rFonts w:hint="cs"/>
          <w:rtl/>
        </w:rPr>
        <w:t xml:space="preserve"> تکاملی-توسعه‌ای می‌باشد، یک مدل پیش علمی</w:t>
      </w:r>
      <w:r w:rsidRPr="0025250D">
        <w:rPr>
          <w:vertAlign w:val="superscript"/>
          <w:rtl/>
        </w:rPr>
        <w:footnoteReference w:id="295"/>
      </w:r>
      <w:r w:rsidRPr="0025250D">
        <w:rPr>
          <w:rFonts w:hint="cs"/>
          <w:rtl/>
        </w:rPr>
        <w:t xml:space="preserve"> از این‌که سامانه‌های پیچیده چگونه </w:t>
      </w:r>
      <w:r w:rsidR="002F3C14" w:rsidRPr="0025250D">
        <w:rPr>
          <w:rFonts w:hint="cs"/>
          <w:rtl/>
        </w:rPr>
        <w:t>انطباق</w:t>
      </w:r>
      <w:r w:rsidRPr="0025250D">
        <w:rPr>
          <w:rFonts w:hint="cs"/>
          <w:rtl/>
        </w:rPr>
        <w:t xml:space="preserve"> می‌یابند و از آن در این کتاب استفاده می‌کنیم. این هرم به ما یادآوری می‌کند که همه سامانه‌های زنده تحت تأثیر ترکیبی از دو نوع اساسی از تغییرات هستند </w:t>
      </w:r>
      <w:r w:rsidRPr="0025250D">
        <w:rPr>
          <w:rFonts w:cs="Times New Roman" w:hint="cs"/>
          <w:rtl/>
        </w:rPr>
        <w:t>–</w:t>
      </w:r>
      <w:r w:rsidRPr="0025250D">
        <w:rPr>
          <w:rFonts w:hint="cs"/>
          <w:rtl/>
        </w:rPr>
        <w:t xml:space="preserve"> قابل پیش‌بینی و غیرقابل‌پیش‌بینی. این هرم به ما می‌گوید که سه مورد از مهم‌ترین انواع تفکر </w:t>
      </w:r>
      <w:r w:rsidRPr="0025250D">
        <w:rPr>
          <w:rtl/>
        </w:rPr>
        <w:t>آینده‌نگاری</w:t>
      </w:r>
      <w:r w:rsidRPr="0025250D">
        <w:rPr>
          <w:rFonts w:hint="cs"/>
          <w:rtl/>
        </w:rPr>
        <w:t xml:space="preserve">، مفهوم سازی آنچه رخ خواهد داد (محتمل)، آنچه می‌تواند رخ دهد (ممکن) و آنچه باید رخ دهد (مرجح) به‌منظور </w:t>
      </w:r>
      <w:r w:rsidR="00AE5BE0" w:rsidRPr="0025250D">
        <w:rPr>
          <w:rFonts w:hint="cs"/>
          <w:rtl/>
        </w:rPr>
        <w:t>انطباق</w:t>
      </w:r>
      <w:r w:rsidRPr="0025250D">
        <w:rPr>
          <w:rFonts w:hint="cs"/>
          <w:rtl/>
        </w:rPr>
        <w:t xml:space="preserve"> بهتر می‌باشند.</w:t>
      </w:r>
    </w:p>
    <w:p w14:paraId="51B02097" w14:textId="524B81D4" w:rsidR="0020732A" w:rsidRPr="0025250D" w:rsidRDefault="0020732A" w:rsidP="0020732A">
      <w:pPr>
        <w:rPr>
          <w:rtl/>
        </w:rPr>
      </w:pPr>
      <w:r w:rsidRPr="0025250D">
        <w:rPr>
          <w:rFonts w:hint="cs"/>
          <w:rtl/>
        </w:rPr>
        <w:t xml:space="preserve">در اینجا هرم </w:t>
      </w:r>
      <w:r w:rsidRPr="0025250D">
        <w:rPr>
          <w:rtl/>
        </w:rPr>
        <w:t>آینده‌نگاری</w:t>
      </w:r>
      <w:r w:rsidRPr="0025250D">
        <w:rPr>
          <w:rFonts w:hint="cs"/>
          <w:rtl/>
        </w:rPr>
        <w:t xml:space="preserve"> کلاسیک بار دیگر به‌صورت فهرست ارائه شده است: (1) آینده‌های محتمل (مولد</w:t>
      </w:r>
      <w:r w:rsidRPr="0025250D">
        <w:rPr>
          <w:rtl/>
        </w:rPr>
        <w:t xml:space="preserve"> محدود</w:t>
      </w:r>
      <w:r w:rsidRPr="0025250D">
        <w:rPr>
          <w:rFonts w:hint="cs"/>
          <w:rtl/>
        </w:rPr>
        <w:t>ی</w:t>
      </w:r>
      <w:r w:rsidRPr="0025250D">
        <w:rPr>
          <w:rFonts w:hint="eastAsia"/>
          <w:rtl/>
        </w:rPr>
        <w:t>ت</w:t>
      </w:r>
      <w:r w:rsidRPr="0025250D">
        <w:rPr>
          <w:rFonts w:hint="cs"/>
          <w:rtl/>
        </w:rPr>
        <w:t>، مولد</w:t>
      </w:r>
      <w:r w:rsidRPr="0025250D">
        <w:rPr>
          <w:rtl/>
        </w:rPr>
        <w:t xml:space="preserve"> </w:t>
      </w:r>
      <w:r w:rsidRPr="0025250D">
        <w:rPr>
          <w:rFonts w:hint="cs"/>
          <w:rtl/>
        </w:rPr>
        <w:t>ی</w:t>
      </w:r>
      <w:r w:rsidRPr="0025250D">
        <w:rPr>
          <w:rFonts w:hint="eastAsia"/>
          <w:rtl/>
        </w:rPr>
        <w:t>کنواخت</w:t>
      </w:r>
      <w:r w:rsidRPr="0025250D">
        <w:rPr>
          <w:rFonts w:hint="cs"/>
          <w:rtl/>
        </w:rPr>
        <w:t>ی، قابل پیش‌بینی، امن، مورد انتظار، آشنا)؛ (2) آینده‌های ممکن (مولد</w:t>
      </w:r>
      <w:r w:rsidRPr="0025250D">
        <w:rPr>
          <w:rtl/>
        </w:rPr>
        <w:t xml:space="preserve"> </w:t>
      </w:r>
      <w:r w:rsidRPr="0025250D">
        <w:rPr>
          <w:rFonts w:hint="cs"/>
          <w:rtl/>
        </w:rPr>
        <w:t>آزادی، مولد</w:t>
      </w:r>
      <w:r w:rsidRPr="0025250D">
        <w:rPr>
          <w:rtl/>
        </w:rPr>
        <w:t xml:space="preserve"> </w:t>
      </w:r>
      <w:r w:rsidRPr="0025250D">
        <w:rPr>
          <w:rFonts w:hint="cs"/>
          <w:rtl/>
        </w:rPr>
        <w:t xml:space="preserve">تنوع، غیرقابل‌پیش‌بینی، خلاقانه، </w:t>
      </w:r>
      <w:r w:rsidR="00127288" w:rsidRPr="0025250D">
        <w:rPr>
          <w:rFonts w:hint="cs"/>
          <w:rtl/>
        </w:rPr>
        <w:t>بدیل</w:t>
      </w:r>
      <w:r w:rsidRPr="0025250D">
        <w:rPr>
          <w:rFonts w:hint="cs"/>
          <w:rtl/>
        </w:rPr>
        <w:t xml:space="preserve">، جدید)؛ (3) آینده‌های مرجح (ارزش‌ها، اهداف و برنامه‌های ترجیح داده شده فردی یا گروهی برای آینده). ما بهبودی برای این مدل، به نام هرم </w:t>
      </w:r>
      <w:r w:rsidRPr="0025250D">
        <w:rPr>
          <w:rtl/>
        </w:rPr>
        <w:t>آینده‌نگاری</w:t>
      </w:r>
      <w:r w:rsidRPr="0025250D">
        <w:rPr>
          <w:rFonts w:hint="cs"/>
          <w:rtl/>
        </w:rPr>
        <w:t xml:space="preserve"> مدرن، با یک نوع چهارم از آینده، یعنی </w:t>
      </w:r>
      <w:r w:rsidR="00E6564A" w:rsidRPr="0025250D">
        <w:rPr>
          <w:rtl/>
        </w:rPr>
        <w:t>حس‌داد</w:t>
      </w:r>
      <w:r w:rsidRPr="0025250D">
        <w:rPr>
          <w:rFonts w:hint="cs"/>
          <w:rtl/>
        </w:rPr>
        <w:t xml:space="preserve"> منفی</w:t>
      </w:r>
      <w:r w:rsidRPr="0025250D">
        <w:rPr>
          <w:vertAlign w:val="superscript"/>
          <w:rtl/>
        </w:rPr>
        <w:footnoteReference w:id="296"/>
      </w:r>
      <w:r w:rsidRPr="0025250D">
        <w:rPr>
          <w:rFonts w:hint="cs"/>
          <w:rtl/>
        </w:rPr>
        <w:t>، ارائه خواهیم کرد</w:t>
      </w:r>
      <w:r w:rsidR="008D6F97" w:rsidRPr="0025250D">
        <w:rPr>
          <w:rtl/>
        </w:rPr>
        <w:t xml:space="preserve">؛ </w:t>
      </w:r>
      <w:r w:rsidRPr="0025250D">
        <w:rPr>
          <w:rFonts w:hint="cs"/>
          <w:rtl/>
        </w:rPr>
        <w:t xml:space="preserve">اما ابتدا، </w:t>
      </w:r>
      <w:r w:rsidR="00B56611" w:rsidRPr="0025250D">
        <w:rPr>
          <w:rFonts w:hint="cs"/>
          <w:rtl/>
        </w:rPr>
        <w:t>بیایید</w:t>
      </w:r>
      <w:r w:rsidRPr="0025250D">
        <w:rPr>
          <w:rFonts w:hint="cs"/>
          <w:rtl/>
        </w:rPr>
        <w:t xml:space="preserve"> نگاهی دقیق‌تر به هر یک از این سه نوع آینده داشته باشیم</w:t>
      </w:r>
      <w:r w:rsidR="008D6F97" w:rsidRPr="0025250D">
        <w:rPr>
          <w:rtl/>
        </w:rPr>
        <w:t xml:space="preserve"> </w:t>
      </w:r>
      <w:r w:rsidRPr="0025250D">
        <w:rPr>
          <w:rFonts w:hint="cs"/>
          <w:rtl/>
        </w:rPr>
        <w:t>تا آن‌ها را بهتر درک کنیم:</w:t>
      </w:r>
    </w:p>
    <w:p w14:paraId="6CDF1AC4" w14:textId="29A41266" w:rsidR="0020732A" w:rsidRPr="0025250D" w:rsidRDefault="0020732A" w:rsidP="0020732A">
      <w:pPr>
        <w:rPr>
          <w:rtl/>
        </w:rPr>
      </w:pPr>
      <w:r w:rsidRPr="0025250D">
        <w:rPr>
          <w:rFonts w:hint="cs"/>
          <w:b/>
          <w:bCs/>
          <w:rtl/>
        </w:rPr>
        <w:t>محتمل</w:t>
      </w:r>
      <w:r w:rsidRPr="0025250D">
        <w:rPr>
          <w:rFonts w:hint="cs"/>
          <w:rtl/>
        </w:rPr>
        <w:t xml:space="preserve">. اولین نوع </w:t>
      </w:r>
      <w:r w:rsidRPr="0025250D">
        <w:rPr>
          <w:rtl/>
        </w:rPr>
        <w:t>آینده‌نگاری</w:t>
      </w:r>
      <w:r w:rsidRPr="0025250D">
        <w:rPr>
          <w:rFonts w:hint="cs"/>
          <w:rtl/>
        </w:rPr>
        <w:t>، آینده‌نگاری</w:t>
      </w:r>
      <w:r w:rsidR="00127C91" w:rsidRPr="0025250D">
        <w:rPr>
          <w:rFonts w:hint="cs"/>
          <w:rtl/>
        </w:rPr>
        <w:t xml:space="preserve"> موارد</w:t>
      </w:r>
      <w:r w:rsidRPr="0025250D">
        <w:rPr>
          <w:rFonts w:hint="cs"/>
          <w:rtl/>
        </w:rPr>
        <w:t xml:space="preserve"> محتمل است </w:t>
      </w:r>
      <w:r w:rsidRPr="0025250D">
        <w:rPr>
          <w:rFonts w:cs="Times New Roman" w:hint="cs"/>
          <w:rtl/>
        </w:rPr>
        <w:t>–</w:t>
      </w:r>
      <w:r w:rsidRPr="0025250D">
        <w:rPr>
          <w:rFonts w:hint="cs"/>
          <w:rtl/>
        </w:rPr>
        <w:t xml:space="preserve"> این آینده‌ای است که احتمالاً فردا رخ خواهد داد، چه بخواهیم چه نخواهیم. همچنین می‌تواند آینده مورد انتظار باشد؛ اما تنها وقتی‌که انتظارات ما (و اولویت‌ها و ترجیحاتمان) مدل‌های خوبی از واقعیت باشند</w:t>
      </w:r>
      <w:r w:rsidR="008D6F97" w:rsidRPr="0025250D">
        <w:rPr>
          <w:rtl/>
        </w:rPr>
        <w:t xml:space="preserve"> </w:t>
      </w:r>
      <w:r w:rsidRPr="0025250D">
        <w:rPr>
          <w:rFonts w:hint="cs"/>
          <w:rtl/>
        </w:rPr>
        <w:t xml:space="preserve">که اغلب اینطور نیست. اگر یک آینده مستقل از مطلوبیت‌های ما رخ دهد، فلاسفه آن را </w:t>
      </w:r>
      <w:r w:rsidR="00116646" w:rsidRPr="0025250D">
        <w:rPr>
          <w:rtl/>
        </w:rPr>
        <w:t>«</w:t>
      </w:r>
      <w:r w:rsidRPr="0025250D">
        <w:rPr>
          <w:rtl/>
        </w:rPr>
        <w:t>ناگز</w:t>
      </w:r>
      <w:r w:rsidRPr="0025250D">
        <w:rPr>
          <w:rFonts w:hint="cs"/>
          <w:rtl/>
        </w:rPr>
        <w:t>ی</w:t>
      </w:r>
      <w:r w:rsidRPr="0025250D">
        <w:rPr>
          <w:rFonts w:hint="eastAsia"/>
          <w:rtl/>
        </w:rPr>
        <w:t>ر</w:t>
      </w:r>
      <w:r w:rsidRPr="0025250D">
        <w:rPr>
          <w:vertAlign w:val="superscript"/>
          <w:rtl/>
        </w:rPr>
        <w:footnoteReference w:id="297"/>
      </w:r>
      <w:r w:rsidR="00116646" w:rsidRPr="0025250D">
        <w:rPr>
          <w:rtl/>
        </w:rPr>
        <w:t>»</w:t>
      </w:r>
      <w:r w:rsidRPr="0025250D">
        <w:rPr>
          <w:rFonts w:hint="cs"/>
          <w:rtl/>
        </w:rPr>
        <w:t xml:space="preserve"> می‌نامند. آینده محتمل تحت سلطه فرایند‌های فیزیکی و تفکر همگرا</w:t>
      </w:r>
      <w:r w:rsidRPr="0025250D">
        <w:rPr>
          <w:vertAlign w:val="superscript"/>
          <w:rtl/>
        </w:rPr>
        <w:footnoteReference w:id="298"/>
      </w:r>
      <w:r w:rsidRPr="0025250D">
        <w:rPr>
          <w:rFonts w:hint="cs"/>
          <w:rtl/>
        </w:rPr>
        <w:t xml:space="preserve"> است. تفکر احتمالی و پیش‌بین در تلاش است تا حقیقت و حالت‌های بهینه را بیابد و تمایل دارد تا درنهایت به علمی قابل محاسبه تبدیل شود، حتی با این‌که این نوع تفکر همواره با داده‌ها یا دقت علمی خوبی آغاز </w:t>
      </w:r>
      <w:r w:rsidR="00B56611" w:rsidRPr="0025250D">
        <w:rPr>
          <w:rFonts w:hint="cs"/>
          <w:rtl/>
        </w:rPr>
        <w:t>نمی‌شود</w:t>
      </w:r>
      <w:r w:rsidRPr="0025250D">
        <w:rPr>
          <w:rFonts w:hint="cs"/>
          <w:rtl/>
        </w:rPr>
        <w:t xml:space="preserve">. اگرچه این کار دشوار است، این نوعی از </w:t>
      </w:r>
      <w:r w:rsidRPr="0025250D">
        <w:rPr>
          <w:rtl/>
        </w:rPr>
        <w:t>آینده‌نگاری</w:t>
      </w:r>
      <w:r w:rsidRPr="0025250D">
        <w:rPr>
          <w:rFonts w:hint="cs"/>
          <w:rtl/>
        </w:rPr>
        <w:t xml:space="preserve"> است که در زمان مواجهه با هر مسئله‌ای توصیه می‌کنیم کار آز آن آغاز شود، زیرا به ما برای یافتن قوانین، محدودیت ‌ها، قیدها، روندها و مرزهای مرتبط احتمالی که برای همگرایی و نزدیک کردن ما به سمت یک مجموعه مشخص از آینده‌ها </w:t>
      </w:r>
      <w:r w:rsidR="00B56611" w:rsidRPr="0025250D">
        <w:rPr>
          <w:rFonts w:hint="cs"/>
          <w:rtl/>
        </w:rPr>
        <w:t>وجود دارند</w:t>
      </w:r>
      <w:r w:rsidRPr="0025250D">
        <w:rPr>
          <w:rFonts w:hint="cs"/>
          <w:rtl/>
        </w:rPr>
        <w:t>، کمک می‌کند.</w:t>
      </w:r>
    </w:p>
    <w:p w14:paraId="4612D035" w14:textId="4E0526E9" w:rsidR="0020732A" w:rsidRPr="0025250D" w:rsidRDefault="0020732A" w:rsidP="0020732A">
      <w:pPr>
        <w:rPr>
          <w:rtl/>
        </w:rPr>
      </w:pPr>
      <w:r w:rsidRPr="0025250D">
        <w:rPr>
          <w:rFonts w:hint="cs"/>
          <w:rtl/>
        </w:rPr>
        <w:t>برای مثال‌هایی از فرایند‌های قابل پیش‌بینی، همگرا و مولد</w:t>
      </w:r>
      <w:r w:rsidRPr="0025250D">
        <w:rPr>
          <w:rtl/>
        </w:rPr>
        <w:t xml:space="preserve"> </w:t>
      </w:r>
      <w:r w:rsidRPr="0025250D">
        <w:rPr>
          <w:rFonts w:hint="cs"/>
          <w:rtl/>
        </w:rPr>
        <w:t>فراگیری</w:t>
      </w:r>
      <w:r w:rsidRPr="0025250D">
        <w:rPr>
          <w:vertAlign w:val="superscript"/>
          <w:rtl/>
        </w:rPr>
        <w:footnoteReference w:id="299"/>
      </w:r>
      <w:r w:rsidRPr="0025250D">
        <w:rPr>
          <w:rFonts w:hint="cs"/>
          <w:rtl/>
        </w:rPr>
        <w:t>، بار دیگر فیزیک کلاسیک یا قوانین ترمودینامیک</w:t>
      </w:r>
      <w:r w:rsidRPr="0025250D">
        <w:rPr>
          <w:vertAlign w:val="superscript"/>
          <w:rtl/>
        </w:rPr>
        <w:footnoteReference w:id="300"/>
      </w:r>
      <w:r w:rsidRPr="0025250D">
        <w:rPr>
          <w:rFonts w:hint="cs"/>
          <w:rtl/>
        </w:rPr>
        <w:t xml:space="preserve"> را در نظر بگیرید. همچنین می‌توانیم توسعه زیستی، توسعه روانشناختی، جنبه‌های قابل پیش‌بینی توسعه اقتصادی، توسعه فناورانه و توسعه اجتماعی و سیاسی شامل همه اهداف، ارزش‌ها، </w:t>
      </w:r>
      <w:r w:rsidR="008F0DD8" w:rsidRPr="0025250D">
        <w:rPr>
          <w:rFonts w:hint="cs"/>
          <w:rtl/>
        </w:rPr>
        <w:t>برنامه‌ها</w:t>
      </w:r>
      <w:r w:rsidRPr="0025250D">
        <w:rPr>
          <w:rFonts w:hint="cs"/>
          <w:rtl/>
        </w:rPr>
        <w:t xml:space="preserve">، رفتارها و قوانینی که ازنظر فرهنگی فراگیر به نظر می‌رسند را در نظر بگیریم </w:t>
      </w:r>
      <w:r w:rsidRPr="0025250D">
        <w:rPr>
          <w:rFonts w:cs="Times New Roman" w:hint="cs"/>
          <w:rtl/>
        </w:rPr>
        <w:t>–</w:t>
      </w:r>
      <w:r w:rsidRPr="0025250D">
        <w:rPr>
          <w:rFonts w:hint="cs"/>
          <w:rtl/>
        </w:rPr>
        <w:t xml:space="preserve"> مانند ترجیح فزاینده ازنظر آماری برای مردم‌سالاری</w:t>
      </w:r>
      <w:r w:rsidRPr="0025250D">
        <w:rPr>
          <w:vertAlign w:val="superscript"/>
          <w:rtl/>
        </w:rPr>
        <w:footnoteReference w:id="301"/>
      </w:r>
      <w:r w:rsidRPr="0025250D">
        <w:rPr>
          <w:rFonts w:hint="cs"/>
          <w:rtl/>
        </w:rPr>
        <w:t xml:space="preserve"> نسبت به حکومت یکه‌سالاری</w:t>
      </w:r>
      <w:r w:rsidRPr="0025250D">
        <w:rPr>
          <w:vertAlign w:val="superscript"/>
          <w:rtl/>
        </w:rPr>
        <w:footnoteReference w:id="302"/>
      </w:r>
      <w:r w:rsidRPr="0025250D">
        <w:rPr>
          <w:rFonts w:hint="cs"/>
          <w:rtl/>
        </w:rPr>
        <w:t xml:space="preserve"> در طول چند صد سال اخیر از توسعه انسان. هر منحنی، چرخه، یا روند تاریخی در آمارهای جمعیت شناختی، سیاست ‌ها، اقتصاد و فناوری و همه روابط محتمل آینده در یک صنعت یا محیط مشارکتی و رقابتی یک شرکت همگی جنبه‌هایی از این نوع </w:t>
      </w:r>
      <w:r w:rsidRPr="0025250D">
        <w:rPr>
          <w:rtl/>
        </w:rPr>
        <w:t>آینده‌نگاری</w:t>
      </w:r>
      <w:r w:rsidRPr="0025250D">
        <w:rPr>
          <w:rFonts w:hint="cs"/>
          <w:rtl/>
        </w:rPr>
        <w:t xml:space="preserve"> پایه‌ای هستند.</w:t>
      </w:r>
    </w:p>
    <w:p w14:paraId="5ACA5699" w14:textId="56C95AC4" w:rsidR="0020732A" w:rsidRPr="0025250D" w:rsidRDefault="0020732A" w:rsidP="0020732A">
      <w:pPr>
        <w:rPr>
          <w:rtl/>
        </w:rPr>
      </w:pPr>
      <w:r w:rsidRPr="0025250D">
        <w:rPr>
          <w:rFonts w:hint="cs"/>
          <w:b/>
          <w:bCs/>
          <w:rtl/>
        </w:rPr>
        <w:t>ممکن</w:t>
      </w:r>
      <w:r w:rsidRPr="0025250D">
        <w:rPr>
          <w:rFonts w:hint="cs"/>
          <w:rtl/>
        </w:rPr>
        <w:t xml:space="preserve">. دومین نوع </w:t>
      </w:r>
      <w:r w:rsidRPr="0025250D">
        <w:rPr>
          <w:rtl/>
        </w:rPr>
        <w:t>آینده‌نگاری</w:t>
      </w:r>
      <w:r w:rsidRPr="0025250D">
        <w:rPr>
          <w:rFonts w:hint="cs"/>
          <w:rtl/>
        </w:rPr>
        <w:t xml:space="preserve">، آینده‌نگاری </w:t>
      </w:r>
      <w:r w:rsidR="00127C91" w:rsidRPr="0025250D">
        <w:rPr>
          <w:rFonts w:hint="cs"/>
          <w:rtl/>
        </w:rPr>
        <w:t xml:space="preserve">موارد </w:t>
      </w:r>
      <w:r w:rsidRPr="0025250D">
        <w:rPr>
          <w:rFonts w:hint="cs"/>
          <w:rtl/>
        </w:rPr>
        <w:t xml:space="preserve">ممکن است </w:t>
      </w:r>
      <w:r w:rsidRPr="0025250D">
        <w:rPr>
          <w:rFonts w:cs="Times New Roman" w:hint="cs"/>
          <w:rtl/>
        </w:rPr>
        <w:t>–</w:t>
      </w:r>
      <w:r w:rsidRPr="0025250D">
        <w:rPr>
          <w:rFonts w:hint="cs"/>
          <w:rtl/>
        </w:rPr>
        <w:t xml:space="preserve"> همچنین اغلب آینده‌های </w:t>
      </w:r>
      <w:r w:rsidR="00127288" w:rsidRPr="0025250D">
        <w:rPr>
          <w:rFonts w:hint="cs"/>
          <w:rtl/>
        </w:rPr>
        <w:t>بدیل</w:t>
      </w:r>
      <w:r w:rsidRPr="0025250D">
        <w:rPr>
          <w:vertAlign w:val="superscript"/>
          <w:rtl/>
        </w:rPr>
        <w:footnoteReference w:id="303"/>
      </w:r>
      <w:r w:rsidRPr="0025250D">
        <w:rPr>
          <w:rFonts w:hint="cs"/>
          <w:rtl/>
        </w:rPr>
        <w:t xml:space="preserve"> نامیده می‌شود. این مجموعه از مواردی تشکیل شده که فکر می‌کنیم می‌توانند فردا رخ دهند یا آنچه فلاسفه </w:t>
      </w:r>
      <w:r w:rsidR="00116646" w:rsidRPr="0025250D">
        <w:rPr>
          <w:rtl/>
        </w:rPr>
        <w:t>«</w:t>
      </w:r>
      <w:r w:rsidRPr="0025250D">
        <w:rPr>
          <w:rFonts w:hint="cs"/>
          <w:rtl/>
        </w:rPr>
        <w:t>شانس</w:t>
      </w:r>
      <w:r w:rsidRPr="0025250D">
        <w:rPr>
          <w:vertAlign w:val="superscript"/>
          <w:rtl/>
        </w:rPr>
        <w:footnoteReference w:id="304"/>
      </w:r>
      <w:r w:rsidR="00116646" w:rsidRPr="0025250D">
        <w:rPr>
          <w:rtl/>
        </w:rPr>
        <w:t>»</w:t>
      </w:r>
      <w:r w:rsidRPr="0025250D">
        <w:rPr>
          <w:rFonts w:hint="cs"/>
          <w:rtl/>
        </w:rPr>
        <w:t xml:space="preserve"> می‌نامند. این مورد تحت سلطه تفکر و فرایند‌های فیزیکی منحصربه‌فرد محلی و واگرا است. فیزیک کوانتوم، فرایندی که تا حدی غیر قطعی است و با عدم قطعیت غیرقابل کاهش شناخته می‌شود، یکی از مدل‌های بنیادی از فرایند‌های فراگیر غیرقابل‌پیش‌بینی، واگرا و مولد تنوع است. آشوب</w:t>
      </w:r>
      <w:r w:rsidRPr="0025250D">
        <w:rPr>
          <w:vertAlign w:val="superscript"/>
          <w:rtl/>
        </w:rPr>
        <w:footnoteReference w:id="305"/>
      </w:r>
      <w:r w:rsidRPr="0025250D">
        <w:rPr>
          <w:rFonts w:hint="cs"/>
          <w:rtl/>
        </w:rPr>
        <w:t xml:space="preserve"> که تنها برای برخی فرایند‌ها و سامانه‌های فیزیکی در </w:t>
      </w:r>
      <w:r w:rsidRPr="0025250D">
        <w:rPr>
          <w:rFonts w:hint="cs"/>
          <w:rtl/>
        </w:rPr>
        <w:lastRenderedPageBreak/>
        <w:t xml:space="preserve">برخی مقیاس‌های فضایی و زمانی کاربرد دارد نیز همینطور است. پیچیده‌ترین مثال بر روی زمین، انشعاب تصادفی، واگرا و غیرقابل‌پیش‌بینی است که در تکامل زیستی و </w:t>
      </w:r>
      <w:r w:rsidR="00116646" w:rsidRPr="0025250D">
        <w:rPr>
          <w:rtl/>
        </w:rPr>
        <w:t>«</w:t>
      </w:r>
      <w:r w:rsidRPr="0025250D">
        <w:rPr>
          <w:rFonts w:hint="cs"/>
          <w:rtl/>
        </w:rPr>
        <w:t>درخت زندگی</w:t>
      </w:r>
      <w:r w:rsidRPr="0025250D">
        <w:rPr>
          <w:vertAlign w:val="superscript"/>
          <w:rtl/>
        </w:rPr>
        <w:footnoteReference w:id="306"/>
      </w:r>
      <w:r w:rsidR="00116646" w:rsidRPr="0025250D">
        <w:rPr>
          <w:rtl/>
        </w:rPr>
        <w:t>»</w:t>
      </w:r>
      <w:r w:rsidRPr="0025250D">
        <w:rPr>
          <w:rFonts w:hint="cs"/>
          <w:rtl/>
        </w:rPr>
        <w:t xml:space="preserve"> می‌بینیم. یک مثال کلیدی در روانشناسی، غیرقابل‌پیش‌بینی بودن اختیار و تصور فردی ماست. در سطح سیاره ای</w:t>
      </w:r>
      <w:r w:rsidRPr="0025250D">
        <w:rPr>
          <w:vertAlign w:val="superscript"/>
          <w:rtl/>
        </w:rPr>
        <w:footnoteReference w:id="307"/>
      </w:r>
      <w:r w:rsidRPr="0025250D">
        <w:rPr>
          <w:rFonts w:hint="cs"/>
          <w:rtl/>
        </w:rPr>
        <w:t>، هر یک از تغییرات محیطی را که</w:t>
      </w:r>
      <w:r w:rsidR="00EE4B64" w:rsidRPr="0025250D">
        <w:rPr>
          <w:rFonts w:hint="cs"/>
          <w:rtl/>
        </w:rPr>
        <w:t xml:space="preserve"> نمی‌</w:t>
      </w:r>
      <w:r w:rsidRPr="0025250D">
        <w:rPr>
          <w:rFonts w:hint="cs"/>
          <w:rtl/>
        </w:rPr>
        <w:t>توانیم از قبل پیش‌بینی کنیم در نظر بگیرید.</w:t>
      </w:r>
    </w:p>
    <w:p w14:paraId="1F690127" w14:textId="48017318" w:rsidR="0020732A" w:rsidRPr="0025250D" w:rsidRDefault="0020732A" w:rsidP="0020732A">
      <w:pPr>
        <w:rPr>
          <w:rtl/>
        </w:rPr>
      </w:pPr>
      <w:r w:rsidRPr="0025250D">
        <w:rPr>
          <w:rFonts w:hint="cs"/>
          <w:rtl/>
        </w:rPr>
        <w:t>برای مثال‌های سازمانی، هر انتخاب و تصمیمی را که ممکن است اتخاذ کنیم یا فعالیتی را که ممکن است انجام دهیم که ما را به آینده‌ای می‌برد که یک آزمایش تکاملی</w:t>
      </w:r>
      <w:r w:rsidRPr="0025250D">
        <w:rPr>
          <w:vertAlign w:val="superscript"/>
          <w:rtl/>
        </w:rPr>
        <w:footnoteReference w:id="308"/>
      </w:r>
      <w:r w:rsidRPr="0025250D">
        <w:rPr>
          <w:rFonts w:hint="cs"/>
          <w:rtl/>
        </w:rPr>
        <w:t xml:space="preserve"> است، در نظر بگیرید. بررسی مسیرهای ممکن یا واکنش نشان دادن به هر رویداد محلی، همواره به شکل غیرقابل‌پیش‌بینی برخی جنبه‌های راهبرد، برنامه‌ها یا اعمال ما را تغییر خواهد داد. آینده‌های ممکن </w:t>
      </w:r>
      <w:r w:rsidR="00D87CD8" w:rsidRPr="0025250D">
        <w:rPr>
          <w:rFonts w:hint="cs"/>
          <w:rtl/>
        </w:rPr>
        <w:t>محدوده</w:t>
      </w:r>
      <w:r w:rsidRPr="0025250D">
        <w:rPr>
          <w:rFonts w:hint="cs"/>
          <w:rtl/>
        </w:rPr>
        <w:t xml:space="preserve"> </w:t>
      </w:r>
      <w:r w:rsidR="008E4DB3" w:rsidRPr="0025250D">
        <w:rPr>
          <w:rFonts w:hint="cs"/>
          <w:rtl/>
        </w:rPr>
        <w:t>احتیاطی</w:t>
      </w:r>
      <w:r w:rsidRPr="0025250D">
        <w:rPr>
          <w:vertAlign w:val="superscript"/>
          <w:rtl/>
        </w:rPr>
        <w:footnoteReference w:id="309"/>
      </w:r>
      <w:r w:rsidRPr="0025250D">
        <w:rPr>
          <w:rFonts w:hint="cs"/>
          <w:rtl/>
        </w:rPr>
        <w:t xml:space="preserve">، خلاقیت، تصور، تنوع، ریسک پذیری و آزمایش هستند. هنرمندان، طراحان، </w:t>
      </w:r>
      <w:r w:rsidR="0008779C" w:rsidRPr="0025250D">
        <w:rPr>
          <w:rFonts w:hint="cs"/>
          <w:rtl/>
        </w:rPr>
        <w:t>آزمایش‌کنندگان</w:t>
      </w:r>
      <w:r w:rsidRPr="0025250D">
        <w:rPr>
          <w:rFonts w:hint="cs"/>
          <w:rtl/>
        </w:rPr>
        <w:t>، افراد ریسک پذیر و کارآفرینان معمولاً در ابتدا به دنبال دانستن</w:t>
      </w:r>
      <w:r w:rsidRPr="0025250D">
        <w:rPr>
          <w:vertAlign w:val="superscript"/>
          <w:rtl/>
        </w:rPr>
        <w:footnoteReference w:id="310"/>
      </w:r>
      <w:r w:rsidRPr="0025250D">
        <w:rPr>
          <w:rFonts w:hint="cs"/>
          <w:rtl/>
        </w:rPr>
        <w:t xml:space="preserve"> آینده نیستند </w:t>
      </w:r>
      <w:r w:rsidR="00116646" w:rsidRPr="0025250D">
        <w:rPr>
          <w:rtl/>
        </w:rPr>
        <w:t>(</w:t>
      </w:r>
      <w:r w:rsidRPr="0025250D">
        <w:rPr>
          <w:rFonts w:hint="cs"/>
          <w:rtl/>
        </w:rPr>
        <w:t>دنبال کردن آنچه را که یک اولویت توسعه‌ای</w:t>
      </w:r>
      <w:r w:rsidRPr="0025250D">
        <w:rPr>
          <w:vertAlign w:val="superscript"/>
          <w:rtl/>
        </w:rPr>
        <w:footnoteReference w:id="311"/>
      </w:r>
      <w:r w:rsidRPr="0025250D">
        <w:rPr>
          <w:rFonts w:hint="cs"/>
          <w:rtl/>
        </w:rPr>
        <w:t xml:space="preserve"> می‌نامیم). درعوض، آن‌ها در تلاشند تا آینده‌ای را خلق</w:t>
      </w:r>
      <w:r w:rsidRPr="0025250D">
        <w:rPr>
          <w:vertAlign w:val="superscript"/>
          <w:rtl/>
        </w:rPr>
        <w:footnoteReference w:id="312"/>
      </w:r>
      <w:r w:rsidRPr="0025250D">
        <w:rPr>
          <w:rFonts w:hint="cs"/>
          <w:rtl/>
        </w:rPr>
        <w:t xml:space="preserve"> کنند (دنبال کردن یک اولویت تکاملی</w:t>
      </w:r>
      <w:r w:rsidRPr="0025250D">
        <w:rPr>
          <w:vertAlign w:val="superscript"/>
          <w:rtl/>
        </w:rPr>
        <w:footnoteReference w:id="313"/>
      </w:r>
      <w:r w:rsidRPr="0025250D">
        <w:rPr>
          <w:rFonts w:hint="cs"/>
          <w:rtl/>
        </w:rPr>
        <w:t>). هر دو ازنظر ما به یک اندازه اهدافی بنیادی و قابل تحسین هستند.</w:t>
      </w:r>
    </w:p>
    <w:p w14:paraId="1A5DF948" w14:textId="7CB98D7B" w:rsidR="0020732A" w:rsidRPr="0025250D" w:rsidRDefault="0020732A" w:rsidP="0020732A">
      <w:pPr>
        <w:rPr>
          <w:rtl/>
        </w:rPr>
      </w:pPr>
      <w:r w:rsidRPr="0025250D">
        <w:rPr>
          <w:rFonts w:hint="cs"/>
          <w:b/>
          <w:bCs/>
          <w:rtl/>
        </w:rPr>
        <w:t>مرجح</w:t>
      </w:r>
      <w:r w:rsidRPr="0025250D">
        <w:rPr>
          <w:rFonts w:hint="cs"/>
          <w:rtl/>
        </w:rPr>
        <w:t xml:space="preserve">. سومین نوع </w:t>
      </w:r>
      <w:r w:rsidRPr="0025250D">
        <w:rPr>
          <w:rtl/>
        </w:rPr>
        <w:t>آینده‌نگاری</w:t>
      </w:r>
      <w:r w:rsidRPr="0025250D">
        <w:rPr>
          <w:rFonts w:hint="cs"/>
          <w:rtl/>
        </w:rPr>
        <w:t xml:space="preserve"> همان چیزی است که ما یا سازمان‌هایمان می‌خواهیم. همه ما ترجیحاتی را به‌عنوان موجودات هوشمند تولید می‌کنیم. فعالیت‌هایی مانند </w:t>
      </w:r>
      <w:r w:rsidR="00EE4B64" w:rsidRPr="0025250D">
        <w:rPr>
          <w:rFonts w:hint="cs"/>
          <w:rtl/>
        </w:rPr>
        <w:t>چشم‌اندازسازی</w:t>
      </w:r>
      <w:r w:rsidRPr="0025250D">
        <w:rPr>
          <w:vertAlign w:val="superscript"/>
          <w:rtl/>
        </w:rPr>
        <w:footnoteReference w:id="314"/>
      </w:r>
      <w:r w:rsidRPr="0025250D">
        <w:rPr>
          <w:rFonts w:hint="cs"/>
          <w:rtl/>
        </w:rPr>
        <w:t xml:space="preserve">، تنظیم اهداف، راهبرد و برنامه‌ریزی جنبه‌های کلیدی آینده‌نگاری مرجح هستند. در </w:t>
      </w:r>
      <w:r w:rsidR="00EE4B64" w:rsidRPr="0025250D">
        <w:rPr>
          <w:rFonts w:hint="cs"/>
          <w:rtl/>
        </w:rPr>
        <w:t>آینده‌نگاری مرجح</w:t>
      </w:r>
      <w:r w:rsidRPr="0025250D">
        <w:rPr>
          <w:rFonts w:hint="cs"/>
          <w:rtl/>
        </w:rPr>
        <w:t xml:space="preserve">، ما به دنبال گسترش </w:t>
      </w:r>
      <w:r w:rsidR="00116646" w:rsidRPr="0025250D">
        <w:rPr>
          <w:rtl/>
        </w:rPr>
        <w:t>«</w:t>
      </w:r>
      <w:r w:rsidRPr="0025250D">
        <w:rPr>
          <w:rFonts w:hint="cs"/>
          <w:rtl/>
        </w:rPr>
        <w:t>خوبی</w:t>
      </w:r>
      <w:r w:rsidR="00116646" w:rsidRPr="0025250D">
        <w:rPr>
          <w:rtl/>
        </w:rPr>
        <w:t>»</w:t>
      </w:r>
      <w:r w:rsidRPr="0025250D">
        <w:rPr>
          <w:rFonts w:hint="cs"/>
          <w:rtl/>
        </w:rPr>
        <w:t xml:space="preserve"> و حداقل کردن بدی هستیم. حتی ساده‌ترین </w:t>
      </w:r>
      <w:r w:rsidR="00516B66" w:rsidRPr="0025250D">
        <w:rPr>
          <w:rFonts w:hint="cs"/>
          <w:rtl/>
        </w:rPr>
        <w:t>ارگانیسم ها</w:t>
      </w:r>
      <w:r w:rsidRPr="0025250D">
        <w:rPr>
          <w:rFonts w:hint="cs"/>
          <w:rtl/>
        </w:rPr>
        <w:t xml:space="preserve"> نیز با لذت و درد برانگیخته می‌شوند. اولویت‌های </w:t>
      </w:r>
      <w:r w:rsidR="00AE5BE0" w:rsidRPr="0025250D">
        <w:rPr>
          <w:rFonts w:hint="cs"/>
          <w:rtl/>
        </w:rPr>
        <w:t>انطباق</w:t>
      </w:r>
      <w:r w:rsidRPr="0025250D">
        <w:rPr>
          <w:rFonts w:hint="cs"/>
          <w:rtl/>
        </w:rPr>
        <w:t xml:space="preserve"> ما زیرمجموعه‌ای از چشم‌اندازها، اهداف، ارزش‌ها و </w:t>
      </w:r>
      <w:r w:rsidR="00701E03" w:rsidRPr="0025250D">
        <w:rPr>
          <w:rFonts w:hint="cs"/>
          <w:rtl/>
        </w:rPr>
        <w:t>راهبرد</w:t>
      </w:r>
      <w:r w:rsidRPr="0025250D">
        <w:rPr>
          <w:rFonts w:hint="cs"/>
          <w:rtl/>
        </w:rPr>
        <w:t>‌های ما هستند. آن‌ها مواردی هستند که به ما هم برای بقا و هم برای ترقی در محیط‌های مشارکتی و رقابتی کمک می‌کنند.</w:t>
      </w:r>
    </w:p>
    <w:p w14:paraId="2230F6E8" w14:textId="5893FEEA" w:rsidR="0020732A" w:rsidRPr="0025250D" w:rsidRDefault="007118DE" w:rsidP="0020732A">
      <w:pPr>
        <w:rPr>
          <w:rtl/>
        </w:rPr>
      </w:pPr>
      <w:r w:rsidRPr="0025250D">
        <w:rPr>
          <w:rFonts w:hint="cs"/>
          <w:rtl/>
        </w:rPr>
        <w:t>همان‌طور</w:t>
      </w:r>
      <w:r w:rsidR="0020732A" w:rsidRPr="0025250D">
        <w:rPr>
          <w:rFonts w:hint="cs"/>
          <w:rtl/>
        </w:rPr>
        <w:t xml:space="preserve"> که </w:t>
      </w:r>
      <w:r w:rsidR="0020732A" w:rsidRPr="0025250D">
        <w:rPr>
          <w:rtl/>
        </w:rPr>
        <w:t>تافلر</w:t>
      </w:r>
      <w:r w:rsidR="0020732A" w:rsidRPr="0025250D">
        <w:rPr>
          <w:rFonts w:hint="cs"/>
          <w:rtl/>
        </w:rPr>
        <w:t xml:space="preserve"> یاد آوری می‌کند، </w:t>
      </w:r>
      <w:r w:rsidR="0020732A" w:rsidRPr="0025250D">
        <w:rPr>
          <w:rtl/>
        </w:rPr>
        <w:t>آینده‌نگاری</w:t>
      </w:r>
      <w:r w:rsidR="0020732A" w:rsidRPr="0025250D">
        <w:rPr>
          <w:rFonts w:hint="cs"/>
          <w:rtl/>
        </w:rPr>
        <w:t xml:space="preserve"> مرجح، هنجاری</w:t>
      </w:r>
      <w:r w:rsidR="0020732A" w:rsidRPr="0025250D">
        <w:rPr>
          <w:vertAlign w:val="superscript"/>
          <w:rtl/>
        </w:rPr>
        <w:footnoteReference w:id="315"/>
      </w:r>
      <w:r w:rsidR="0020732A" w:rsidRPr="0025250D">
        <w:rPr>
          <w:rFonts w:hint="cs"/>
          <w:rtl/>
        </w:rPr>
        <w:t xml:space="preserve"> (ارزش بنیان) و سیاسی نیز </w:t>
      </w:r>
      <w:r w:rsidR="00EE4B64" w:rsidRPr="0025250D">
        <w:rPr>
          <w:rFonts w:hint="cs"/>
          <w:rtl/>
        </w:rPr>
        <w:t>می‌باشد</w:t>
      </w:r>
      <w:r w:rsidR="0020732A" w:rsidRPr="0025250D">
        <w:rPr>
          <w:rFonts w:hint="cs"/>
          <w:rtl/>
        </w:rPr>
        <w:t>. آینده‌های مرجح زیرمجموعه‌ای از آینده‌های محتمل و ممکن هستند که فکر می‌کنیم بهترین نتایج را بر اساس اهداف و ارزش‌های مشخص ما ایجاد خواهند کرد. ما یک مدل تجربی</w:t>
      </w:r>
      <w:r w:rsidR="0020732A" w:rsidRPr="0025250D">
        <w:rPr>
          <w:vertAlign w:val="superscript"/>
          <w:rtl/>
        </w:rPr>
        <w:footnoteReference w:id="316"/>
      </w:r>
      <w:r w:rsidR="0020732A" w:rsidRPr="0025250D">
        <w:rPr>
          <w:rFonts w:hint="cs"/>
          <w:rtl/>
        </w:rPr>
        <w:t xml:space="preserve"> از برخی اهداف و ارزش‌های </w:t>
      </w:r>
      <w:r w:rsidR="00AE5BE0" w:rsidRPr="0025250D">
        <w:rPr>
          <w:rFonts w:hint="cs"/>
          <w:rtl/>
        </w:rPr>
        <w:t>انطباقی</w:t>
      </w:r>
      <w:r w:rsidR="0020732A" w:rsidRPr="0025250D">
        <w:rPr>
          <w:rFonts w:hint="cs"/>
          <w:rtl/>
        </w:rPr>
        <w:t xml:space="preserve"> را بعداً ارائه خواهیم کرد. اگرچه فهمیدن این‌که چگونه اهداف، ارزش‌ها و چشم‌اندازهای خود را از طریق راهبرد‌ها و اعمالمان اولویت‌بندی و متوازن سازیم به‌ندرت واضح است. همواره تنشی میان آنچه برای ما، گروهمان یا همه بهتر است، وجود دارد (</w:t>
      </w:r>
      <w:r w:rsidR="0020732A" w:rsidRPr="0025250D">
        <w:rPr>
          <w:rtl/>
        </w:rPr>
        <w:t>فا</w:t>
      </w:r>
      <w:r w:rsidR="0020732A" w:rsidRPr="0025250D">
        <w:rPr>
          <w:rFonts w:hint="cs"/>
          <w:rtl/>
        </w:rPr>
        <w:t>ی</w:t>
      </w:r>
      <w:r w:rsidR="0020732A" w:rsidRPr="0025250D">
        <w:rPr>
          <w:rFonts w:hint="eastAsia"/>
          <w:rtl/>
        </w:rPr>
        <w:t>ده‌گرا</w:t>
      </w:r>
      <w:r w:rsidR="0020732A" w:rsidRPr="0025250D">
        <w:rPr>
          <w:rFonts w:hint="cs"/>
          <w:rtl/>
        </w:rPr>
        <w:t>یی</w:t>
      </w:r>
      <w:r w:rsidR="0020732A" w:rsidRPr="0025250D">
        <w:rPr>
          <w:vertAlign w:val="superscript"/>
          <w:rtl/>
        </w:rPr>
        <w:footnoteReference w:id="317"/>
      </w:r>
      <w:r w:rsidR="0020732A" w:rsidRPr="0025250D">
        <w:rPr>
          <w:rFonts w:hint="cs"/>
          <w:rtl/>
        </w:rPr>
        <w:t>).</w:t>
      </w:r>
    </w:p>
    <w:p w14:paraId="4B7CDB27" w14:textId="0F60B690" w:rsidR="0020732A" w:rsidRPr="0025250D" w:rsidRDefault="0020732A" w:rsidP="0020732A">
      <w:pPr>
        <w:rPr>
          <w:rtl/>
        </w:rPr>
      </w:pPr>
      <w:r w:rsidRPr="0025250D">
        <w:rPr>
          <w:rFonts w:hint="cs"/>
          <w:rtl/>
        </w:rPr>
        <w:t xml:space="preserve">اکنون پیش نمایشی از محتوای کتاب را ارائه می‌نماییم. در فصل 3 مدل سه </w:t>
      </w:r>
      <w:r w:rsidRPr="0025250D">
        <w:t>P</w:t>
      </w:r>
      <w:r w:rsidRPr="0025250D">
        <w:rPr>
          <w:rFonts w:hint="cs"/>
          <w:rtl/>
        </w:rPr>
        <w:t xml:space="preserve"> را به‌عنوان نسخه‌ای از یک مدل پیچیده فراگیر</w:t>
      </w:r>
      <w:r w:rsidRPr="0025250D">
        <w:rPr>
          <w:vertAlign w:val="superscript"/>
          <w:rtl/>
        </w:rPr>
        <w:footnoteReference w:id="318"/>
      </w:r>
      <w:r w:rsidRPr="0025250D">
        <w:rPr>
          <w:rFonts w:hint="cs"/>
          <w:rtl/>
        </w:rPr>
        <w:t>، هرم تکاملی-توسعه‌ای، در نظر خواهیم گرفت. ما نسخه‌های متعددی از این هرم را در آن فصل معرفی خواهیم کرد. پیشنهاد می‌کنیم که این مدل‌های تکاملی-توسعه‌ای</w:t>
      </w:r>
      <w:r w:rsidR="00EE4B64" w:rsidRPr="0025250D">
        <w:rPr>
          <w:rFonts w:hint="cs"/>
          <w:rtl/>
        </w:rPr>
        <w:t>،</w:t>
      </w:r>
      <w:r w:rsidRPr="0025250D">
        <w:rPr>
          <w:rFonts w:hint="cs"/>
          <w:rtl/>
        </w:rPr>
        <w:t xml:space="preserve"> قدرتمند‌ترین راه برای درک </w:t>
      </w:r>
      <w:r w:rsidR="00AE5BE0" w:rsidRPr="0025250D">
        <w:rPr>
          <w:rFonts w:hint="cs"/>
          <w:rtl/>
        </w:rPr>
        <w:t>انطباق</w:t>
      </w:r>
      <w:r w:rsidRPr="0025250D">
        <w:rPr>
          <w:rFonts w:hint="cs"/>
          <w:rtl/>
        </w:rPr>
        <w:t xml:space="preserve"> در کار </w:t>
      </w:r>
      <w:r w:rsidRPr="0025250D">
        <w:rPr>
          <w:rtl/>
        </w:rPr>
        <w:t>آینده‌نگاری</w:t>
      </w:r>
      <w:r w:rsidR="00EE4B64" w:rsidRPr="0025250D">
        <w:rPr>
          <w:rFonts w:hint="cs"/>
          <w:rtl/>
        </w:rPr>
        <w:t xml:space="preserve"> را</w:t>
      </w:r>
      <w:r w:rsidRPr="0025250D">
        <w:rPr>
          <w:rFonts w:hint="cs"/>
          <w:rtl/>
        </w:rPr>
        <w:t xml:space="preserve"> ارائه می‌دهند. خواهیم دید که هر گوشه از این هرم مجموعه متفاوتی از بازیگران، کارکردها و اهداف فراگیر را که رهبران باید تشخیص داده و متوازن سازند بازنمایی می‌کند. این موارد در شکل زیر خلاصه شده‌اند:</w:t>
      </w:r>
    </w:p>
    <w:p w14:paraId="0FF03BD7" w14:textId="164CB1A2" w:rsidR="0020732A" w:rsidRPr="0025250D" w:rsidRDefault="00AE7945" w:rsidP="00053811">
      <w:pPr>
        <w:jc w:val="center"/>
        <w:rPr>
          <w:rtl/>
        </w:rPr>
      </w:pPr>
      <w:r w:rsidRPr="0025250D">
        <w:rPr>
          <w:noProof/>
        </w:rPr>
        <w:lastRenderedPageBreak/>
        <w:drawing>
          <wp:inline distT="0" distB="0" distL="0" distR="0" wp14:anchorId="33EB2638" wp14:editId="7031423F">
            <wp:extent cx="3745065" cy="3476867"/>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3752382" cy="3483660"/>
                    </a:xfrm>
                    <a:prstGeom prst="rect">
                      <a:avLst/>
                    </a:prstGeom>
                    <a:noFill/>
                  </pic:spPr>
                </pic:pic>
              </a:graphicData>
            </a:graphic>
          </wp:inline>
        </w:drawing>
      </w:r>
    </w:p>
    <w:p w14:paraId="0E346453" w14:textId="5310AA0D" w:rsidR="0020732A" w:rsidRPr="0025250D" w:rsidRDefault="0020732A" w:rsidP="0020732A">
      <w:pPr>
        <w:rPr>
          <w:rtl/>
        </w:rPr>
      </w:pPr>
      <w:r w:rsidRPr="0025250D">
        <w:rPr>
          <w:rFonts w:hint="cs"/>
          <w:rtl/>
        </w:rPr>
        <w:t>این مدل را یک نسخه بازیگر-کارکرد-هدف</w:t>
      </w:r>
      <w:r w:rsidRPr="0025250D">
        <w:rPr>
          <w:vertAlign w:val="superscript"/>
          <w:rtl/>
        </w:rPr>
        <w:footnoteReference w:id="319"/>
      </w:r>
      <w:r w:rsidRPr="0025250D">
        <w:rPr>
          <w:rFonts w:hint="cs"/>
          <w:rtl/>
        </w:rPr>
        <w:t xml:space="preserve"> از هرم تکاملی-توسعه‌ای می‌نامیم. پیشنهاد می‌دهیم که هر یک از این مجموعه‌های بازیگران، کارکردها و اهداف در مرکز همه سامانه‌های پیچیدة سازگار خودپایدار</w:t>
      </w:r>
      <w:r w:rsidRPr="0025250D">
        <w:rPr>
          <w:vertAlign w:val="superscript"/>
          <w:rtl/>
        </w:rPr>
        <w:footnoteReference w:id="320"/>
      </w:r>
      <w:r w:rsidRPr="0025250D">
        <w:rPr>
          <w:rFonts w:hint="cs"/>
          <w:rtl/>
        </w:rPr>
        <w:t xml:space="preserve"> قرار دارند. خواهیم دید که افراد (تجرد</w:t>
      </w:r>
      <w:r w:rsidRPr="0025250D">
        <w:rPr>
          <w:vertAlign w:val="superscript"/>
          <w:rtl/>
        </w:rPr>
        <w:footnoteReference w:id="321"/>
      </w:r>
      <w:r w:rsidRPr="0025250D">
        <w:rPr>
          <w:rFonts w:hint="cs"/>
          <w:rtl/>
        </w:rPr>
        <w:t>)، گروه‌ها (تجمع</w:t>
      </w:r>
      <w:r w:rsidRPr="0025250D">
        <w:rPr>
          <w:vertAlign w:val="superscript"/>
          <w:rtl/>
        </w:rPr>
        <w:footnoteReference w:id="322"/>
      </w:r>
      <w:r w:rsidRPr="0025250D">
        <w:rPr>
          <w:rFonts w:hint="cs"/>
          <w:rtl/>
        </w:rPr>
        <w:t xml:space="preserve">) و شبکه‌ها (وابستگی متقابل، یکپارچگی) به سامانه‌های پیچیده برای </w:t>
      </w:r>
      <w:r w:rsidR="00AE5BE0" w:rsidRPr="0025250D">
        <w:rPr>
          <w:rFonts w:hint="cs"/>
          <w:rtl/>
        </w:rPr>
        <w:t>انطباق</w:t>
      </w:r>
      <w:r w:rsidRPr="0025250D">
        <w:rPr>
          <w:rFonts w:hint="cs"/>
          <w:rtl/>
        </w:rPr>
        <w:t xml:space="preserve"> در همه مقیاس‌ها کمک می‌کنند. در کتاب 2، همچنین خواهیم آموخت که هر مجموعه از سامانه‌های فیزیکی که قادر به </w:t>
      </w:r>
      <w:r w:rsidRPr="0025250D">
        <w:rPr>
          <w:rtl/>
        </w:rPr>
        <w:t>دگرگون</w:t>
      </w:r>
      <w:r w:rsidRPr="0025250D">
        <w:rPr>
          <w:rFonts w:hint="cs"/>
          <w:rtl/>
        </w:rPr>
        <w:t>ی</w:t>
      </w:r>
      <w:r w:rsidRPr="0025250D">
        <w:rPr>
          <w:vertAlign w:val="superscript"/>
          <w:rtl/>
        </w:rPr>
        <w:footnoteReference w:id="323"/>
      </w:r>
      <w:r w:rsidRPr="0025250D">
        <w:rPr>
          <w:rFonts w:hint="cs"/>
          <w:rtl/>
        </w:rPr>
        <w:t>، همگرایی، همتاسازی</w:t>
      </w:r>
      <w:r w:rsidRPr="0025250D">
        <w:rPr>
          <w:vertAlign w:val="superscript"/>
          <w:rtl/>
        </w:rPr>
        <w:footnoteReference w:id="324"/>
      </w:r>
      <w:r w:rsidRPr="0025250D">
        <w:rPr>
          <w:rFonts w:hint="cs"/>
          <w:rtl/>
        </w:rPr>
        <w:t xml:space="preserve">، وراثت و انتخاب باشد، مدل تکاملی-توسعه </w:t>
      </w:r>
      <w:r w:rsidRPr="0025250D">
        <w:t>VCRIS</w:t>
      </w:r>
      <w:r w:rsidRPr="0025250D">
        <w:rPr>
          <w:vertAlign w:val="superscript"/>
        </w:rPr>
        <w:footnoteReference w:id="325"/>
      </w:r>
      <w:r w:rsidRPr="0025250D">
        <w:rPr>
          <w:rFonts w:hint="cs"/>
          <w:rtl/>
        </w:rPr>
        <w:t xml:space="preserve">، می‌تواند به‌عنوان یک </w:t>
      </w:r>
      <w:r w:rsidR="00947B39" w:rsidRPr="0025250D">
        <w:rPr>
          <w:rFonts w:hint="cs"/>
          <w:rtl/>
        </w:rPr>
        <w:t>سامانه</w:t>
      </w:r>
      <w:r w:rsidRPr="0025250D">
        <w:rPr>
          <w:rFonts w:hint="cs"/>
          <w:rtl/>
        </w:rPr>
        <w:t xml:space="preserve"> پیچیدة سازگار درک شود؛ مانند خورشید‌های همتاساز در یک کهکشان، </w:t>
      </w:r>
      <w:r w:rsidR="00516B66" w:rsidRPr="0025250D">
        <w:rPr>
          <w:rFonts w:hint="cs"/>
          <w:rtl/>
        </w:rPr>
        <w:t>ارگانیسم های</w:t>
      </w:r>
      <w:r w:rsidRPr="0025250D">
        <w:rPr>
          <w:rFonts w:hint="cs"/>
          <w:rtl/>
        </w:rPr>
        <w:t xml:space="preserve"> همتاساز در یک </w:t>
      </w:r>
      <w:r w:rsidRPr="0025250D">
        <w:rPr>
          <w:rtl/>
        </w:rPr>
        <w:t>بوم‏شناس</w:t>
      </w:r>
      <w:r w:rsidRPr="0025250D">
        <w:rPr>
          <w:rFonts w:hint="cs"/>
          <w:rtl/>
        </w:rPr>
        <w:t>ی</w:t>
      </w:r>
      <w:r w:rsidRPr="0025250D">
        <w:rPr>
          <w:vertAlign w:val="superscript"/>
          <w:rtl/>
        </w:rPr>
        <w:footnoteReference w:id="326"/>
      </w:r>
      <w:r w:rsidRPr="0025250D">
        <w:rPr>
          <w:rFonts w:hint="cs"/>
          <w:rtl/>
        </w:rPr>
        <w:t>، ایده‌های همتاساز در مغز انسان، سامانه‌های سازمانی همتاساز در یک فرهنگ یا فناوری‌های همتاساز درجامعه.</w:t>
      </w:r>
    </w:p>
    <w:p w14:paraId="0AF986FE" w14:textId="4158911C" w:rsidR="0020732A" w:rsidRPr="0025250D" w:rsidRDefault="0020732A" w:rsidP="0020732A">
      <w:pPr>
        <w:rPr>
          <w:rtl/>
        </w:rPr>
      </w:pPr>
      <w:r w:rsidRPr="0025250D">
        <w:rPr>
          <w:rFonts w:hint="cs"/>
          <w:rtl/>
        </w:rPr>
        <w:t xml:space="preserve">بار دیگر، این تصویر به ما یادآوری می‌کند که شبکه‌های سامانه‌های پیچیده اهمیت خاصی دارند. آن‌ها متعلق به رأس هرم </w:t>
      </w:r>
      <w:r w:rsidR="00AE5BE0" w:rsidRPr="0025250D">
        <w:rPr>
          <w:rFonts w:hint="cs"/>
          <w:rtl/>
        </w:rPr>
        <w:t>انطباق</w:t>
      </w:r>
      <w:r w:rsidRPr="0025250D">
        <w:rPr>
          <w:rFonts w:hint="cs"/>
          <w:rtl/>
        </w:rPr>
        <w:t xml:space="preserve"> هستند. آن‌ها حاوی نوع کلیِ مشخصی از هوشمندی و </w:t>
      </w:r>
      <w:r w:rsidR="00AE5BE0" w:rsidRPr="0025250D">
        <w:rPr>
          <w:rFonts w:hint="cs"/>
          <w:rtl/>
        </w:rPr>
        <w:t>انطباق</w:t>
      </w:r>
      <w:r w:rsidRPr="0025250D">
        <w:rPr>
          <w:rFonts w:hint="cs"/>
          <w:rtl/>
        </w:rPr>
        <w:t xml:space="preserve"> هستند. بعداً خواهیم آموخت که چگونه این هرم را برای افراد، تیم‌ها، سازمان‌ها، جوامع و تمدن جهانی خود به‌عنوان سامانه‌های پیچیده به کار ببریم. ادعا می‌کنیم که درک فراگیری این سه بازیگر، درک نقش‌هایی که هر یک در طبیعت و زندگی انسان‌ها بازی می‌کنند و یادگیری چگونگی تعامل آن‌ها، می‌تواند به‌شدت </w:t>
      </w:r>
      <w:r w:rsidRPr="0025250D">
        <w:rPr>
          <w:rtl/>
        </w:rPr>
        <w:t>آینده‌نگاری</w:t>
      </w:r>
      <w:r w:rsidRPr="0025250D">
        <w:rPr>
          <w:rFonts w:hint="cs"/>
          <w:rtl/>
        </w:rPr>
        <w:t xml:space="preserve"> و عمل ما را ارتقا دهد.</w:t>
      </w:r>
    </w:p>
    <w:p w14:paraId="21BC72A7" w14:textId="77777777" w:rsidR="0020732A" w:rsidRPr="0025250D" w:rsidRDefault="0020732A" w:rsidP="0020732A">
      <w:pPr>
        <w:rPr>
          <w:rtl/>
        </w:rPr>
      </w:pPr>
      <w:r w:rsidRPr="0025250D">
        <w:rPr>
          <w:rFonts w:hint="cs"/>
          <w:rtl/>
        </w:rPr>
        <w:t xml:space="preserve">بگذارید اکنون به‌طور خلاصه 6 دامنه را مرور کنیم و آن‌ها را ازنظر هرم </w:t>
      </w:r>
      <w:r w:rsidRPr="0025250D">
        <w:rPr>
          <w:rtl/>
        </w:rPr>
        <w:t>آینده‌نگاری</w:t>
      </w:r>
      <w:r w:rsidRPr="0025250D">
        <w:rPr>
          <w:rFonts w:hint="cs"/>
          <w:rtl/>
        </w:rPr>
        <w:t xml:space="preserve"> کلاسیک بازبینی نماییم. تفکر تکاملی-توسعه‌ای به ما امکان می‌دهد که موارد مهمی را در مورد این شش دامنه بیان نماییم. درحالی‌که بازیگران در هر یک از این شش دامنه باید همه گوشه‌های این هرم را راهبری نمایند، بااین‌وجود می‌توانیم سه رسالت تکاملی-توسعه‌ای مشخص را برای سه گروه از این شش دامنه، وقتی به‌عنوان سامانه‌های پیچیده در نظر گرفته شوند بیان نماییم. به‌طور مشخص، می‌توانیم بگوییم که:</w:t>
      </w:r>
    </w:p>
    <w:p w14:paraId="558722DE" w14:textId="165FBF3E" w:rsidR="0020732A" w:rsidRPr="0025250D" w:rsidRDefault="0020732A" w:rsidP="00492C47">
      <w:pPr>
        <w:numPr>
          <w:ilvl w:val="0"/>
          <w:numId w:val="8"/>
        </w:numPr>
      </w:pPr>
      <w:r w:rsidRPr="0025250D">
        <w:rPr>
          <w:rFonts w:hint="cs"/>
          <w:b/>
          <w:bCs/>
          <w:rtl/>
        </w:rPr>
        <w:lastRenderedPageBreak/>
        <w:t>افراد و تیم‌ها،</w:t>
      </w:r>
      <w:r w:rsidRPr="0025250D">
        <w:rPr>
          <w:rFonts w:hint="cs"/>
          <w:rtl/>
        </w:rPr>
        <w:t xml:space="preserve"> به‌عنوان سامانه‌های زنده پیچیده، به نظر یک رسالت اصلی برای بررسی و ایجاد امکان‌های تکاملی</w:t>
      </w:r>
      <w:r w:rsidRPr="0025250D">
        <w:rPr>
          <w:vertAlign w:val="superscript"/>
          <w:rtl/>
        </w:rPr>
        <w:footnoteReference w:id="327"/>
      </w:r>
      <w:r w:rsidRPr="0025250D">
        <w:rPr>
          <w:rFonts w:hint="cs"/>
          <w:rtl/>
        </w:rPr>
        <w:t xml:space="preserve"> در تفکر و عمل دارند. بیش از هر </w:t>
      </w:r>
      <w:r w:rsidR="00947B39" w:rsidRPr="0025250D">
        <w:rPr>
          <w:rFonts w:hint="cs"/>
          <w:rtl/>
        </w:rPr>
        <w:t>سامانه</w:t>
      </w:r>
      <w:r w:rsidRPr="0025250D">
        <w:rPr>
          <w:rFonts w:hint="cs"/>
          <w:rtl/>
        </w:rPr>
        <w:t xml:space="preserve"> دیگری، این سامانه‌ها تنوع گسترده‌ای از آینده‌های ممکن را ایجاد می‌کنند که سپس توسط محیط انتخاب می‌شوند.</w:t>
      </w:r>
    </w:p>
    <w:p w14:paraId="3C519350" w14:textId="77777777" w:rsidR="0020732A" w:rsidRPr="0025250D" w:rsidRDefault="0020732A" w:rsidP="00492C47">
      <w:pPr>
        <w:numPr>
          <w:ilvl w:val="0"/>
          <w:numId w:val="8"/>
        </w:numPr>
      </w:pPr>
      <w:r w:rsidRPr="0025250D">
        <w:rPr>
          <w:rFonts w:hint="cs"/>
          <w:b/>
          <w:bCs/>
          <w:rtl/>
        </w:rPr>
        <w:t>سامانه‌های جهانی و فراگیر</w:t>
      </w:r>
      <w:r w:rsidRPr="0025250D">
        <w:rPr>
          <w:rFonts w:hint="cs"/>
          <w:rtl/>
        </w:rPr>
        <w:t>، در مقابل، به نظر یک رسالت اصلی برای یافتن و تحمیل احتمالات توسعه‌ای</w:t>
      </w:r>
      <w:r w:rsidRPr="0025250D">
        <w:rPr>
          <w:vertAlign w:val="superscript"/>
          <w:rtl/>
        </w:rPr>
        <w:footnoteReference w:id="328"/>
      </w:r>
      <w:r w:rsidRPr="0025250D">
        <w:rPr>
          <w:rFonts w:hint="cs"/>
          <w:rtl/>
        </w:rPr>
        <w:t xml:space="preserve"> دارند. بیش از هر مورد دیگر، این سامانه‌ها برای همگرایی همه بازیگران در یک مجموعه کلی از آینده‌های معمول عمل می‌کنند، آینده‌هایی که همچنین از پیچیدگی کل حفاظت می‌کنند.</w:t>
      </w:r>
    </w:p>
    <w:p w14:paraId="208D36C9" w14:textId="5AE98868" w:rsidR="0020732A" w:rsidRPr="0025250D" w:rsidRDefault="0020732A" w:rsidP="00492C47">
      <w:pPr>
        <w:numPr>
          <w:ilvl w:val="0"/>
          <w:numId w:val="8"/>
        </w:numPr>
      </w:pPr>
      <w:r w:rsidRPr="0025250D">
        <w:rPr>
          <w:rFonts w:hint="cs"/>
          <w:b/>
          <w:bCs/>
          <w:rtl/>
        </w:rPr>
        <w:t>سازمان‌ها و جوامع</w:t>
      </w:r>
      <w:r w:rsidRPr="0025250D">
        <w:rPr>
          <w:rFonts w:hint="cs"/>
          <w:rtl/>
        </w:rPr>
        <w:t xml:space="preserve"> که میان این دو حد اساسی‌تر از هرم </w:t>
      </w:r>
      <w:r w:rsidRPr="0025250D">
        <w:rPr>
          <w:rtl/>
        </w:rPr>
        <w:t>آینده‌نگاری</w:t>
      </w:r>
      <w:r w:rsidRPr="0025250D">
        <w:rPr>
          <w:rFonts w:hint="cs"/>
          <w:rtl/>
        </w:rPr>
        <w:t xml:space="preserve"> قرار می‌گیرند، به نظر یک رسالت اصلی برای کمک به شبکه‌ها برای انتخاب و مدیریت ترجیحات </w:t>
      </w:r>
      <w:r w:rsidR="00AE5BE0" w:rsidRPr="0025250D">
        <w:rPr>
          <w:rFonts w:hint="cs"/>
          <w:rtl/>
        </w:rPr>
        <w:t>انطباقی</w:t>
      </w:r>
      <w:r w:rsidRPr="0025250D">
        <w:rPr>
          <w:rFonts w:hint="cs"/>
          <w:rtl/>
        </w:rPr>
        <w:t xml:space="preserve"> دارند. این دو بیش از هر </w:t>
      </w:r>
      <w:r w:rsidR="00947B39" w:rsidRPr="0025250D">
        <w:rPr>
          <w:rFonts w:hint="cs"/>
          <w:rtl/>
        </w:rPr>
        <w:t>سامانه</w:t>
      </w:r>
      <w:r w:rsidRPr="0025250D">
        <w:rPr>
          <w:rFonts w:hint="cs"/>
          <w:rtl/>
        </w:rPr>
        <w:t xml:space="preserve"> دیگری، تناقض میان </w:t>
      </w:r>
      <w:r w:rsidR="00B453C0" w:rsidRPr="0025250D">
        <w:rPr>
          <w:rFonts w:hint="cs"/>
          <w:rtl/>
        </w:rPr>
        <w:t>امکان‌پذیر</w:t>
      </w:r>
      <w:r w:rsidRPr="0025250D">
        <w:rPr>
          <w:rFonts w:hint="cs"/>
          <w:rtl/>
        </w:rPr>
        <w:t>ی و</w:t>
      </w:r>
      <w:r w:rsidR="008D6F97" w:rsidRPr="0025250D">
        <w:rPr>
          <w:rtl/>
        </w:rPr>
        <w:t xml:space="preserve"> </w:t>
      </w:r>
      <w:r w:rsidRPr="0025250D">
        <w:rPr>
          <w:rFonts w:hint="cs"/>
          <w:rtl/>
        </w:rPr>
        <w:t xml:space="preserve">احتمال (آینده‌ها و آینده) را مدیریت می‌کنند. آن‌ها </w:t>
      </w:r>
      <w:r w:rsidR="00116646" w:rsidRPr="0025250D">
        <w:rPr>
          <w:rtl/>
        </w:rPr>
        <w:t>همچن</w:t>
      </w:r>
      <w:r w:rsidR="00116646" w:rsidRPr="0025250D">
        <w:rPr>
          <w:rFonts w:hint="cs"/>
          <w:rtl/>
        </w:rPr>
        <w:t>ی</w:t>
      </w:r>
      <w:r w:rsidR="00116646" w:rsidRPr="0025250D">
        <w:rPr>
          <w:rFonts w:hint="eastAsia"/>
          <w:rtl/>
        </w:rPr>
        <w:t>ن</w:t>
      </w:r>
      <w:r w:rsidR="00116646" w:rsidRPr="0025250D">
        <w:rPr>
          <w:rtl/>
        </w:rPr>
        <w:t xml:space="preserve"> «</w:t>
      </w:r>
      <w:r w:rsidRPr="0025250D">
        <w:rPr>
          <w:rFonts w:hint="cs"/>
          <w:rtl/>
        </w:rPr>
        <w:t>پلی</w:t>
      </w:r>
      <w:r w:rsidRPr="0025250D">
        <w:rPr>
          <w:vertAlign w:val="superscript"/>
          <w:rtl/>
        </w:rPr>
        <w:footnoteReference w:id="329"/>
      </w:r>
      <w:r w:rsidR="00116646" w:rsidRPr="0025250D">
        <w:rPr>
          <w:rtl/>
        </w:rPr>
        <w:t>»</w:t>
      </w:r>
      <w:r w:rsidR="008D6F97" w:rsidRPr="0025250D">
        <w:rPr>
          <w:rtl/>
        </w:rPr>
        <w:t xml:space="preserve"> </w:t>
      </w:r>
      <w:r w:rsidRPr="0025250D">
        <w:rPr>
          <w:rFonts w:hint="cs"/>
          <w:rtl/>
        </w:rPr>
        <w:t>میان بازیگران کوچک و بزرگ در محیط ما ایجاد می‌کنند.</w:t>
      </w:r>
    </w:p>
    <w:p w14:paraId="647B84E0" w14:textId="77777777" w:rsidR="0020732A" w:rsidRPr="0025250D" w:rsidRDefault="0020732A" w:rsidP="0020732A">
      <w:pPr>
        <w:rPr>
          <w:rtl/>
        </w:rPr>
      </w:pPr>
    </w:p>
    <w:p w14:paraId="20349CAF" w14:textId="0FA9FB50" w:rsidR="00D54462" w:rsidRPr="0025250D" w:rsidRDefault="00AE7945" w:rsidP="00D54462">
      <w:pPr>
        <w:jc w:val="center"/>
        <w:rPr>
          <w:rtl/>
        </w:rPr>
      </w:pPr>
      <w:r w:rsidRPr="0025250D">
        <w:rPr>
          <w:noProof/>
        </w:rPr>
        <w:drawing>
          <wp:inline distT="0" distB="0" distL="0" distR="0" wp14:anchorId="7B7E9AC3" wp14:editId="09375894">
            <wp:extent cx="3001348" cy="3450866"/>
            <wp:effectExtent l="0" t="0" r="889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3009528" cy="3460271"/>
                    </a:xfrm>
                    <a:prstGeom prst="rect">
                      <a:avLst/>
                    </a:prstGeom>
                    <a:noFill/>
                  </pic:spPr>
                </pic:pic>
              </a:graphicData>
            </a:graphic>
          </wp:inline>
        </w:drawing>
      </w:r>
    </w:p>
    <w:p w14:paraId="1D6BA591" w14:textId="77777777" w:rsidR="00D54462" w:rsidRPr="0025250D" w:rsidRDefault="00D54462" w:rsidP="00D54462">
      <w:pPr>
        <w:jc w:val="center"/>
        <w:rPr>
          <w:rtl/>
        </w:rPr>
      </w:pPr>
      <w:r w:rsidRPr="0025250D">
        <w:rPr>
          <w:rFonts w:hint="cs"/>
          <w:rtl/>
        </w:rPr>
        <w:t>شش دامنه فعالیت آینده‌نگاری</w:t>
      </w:r>
    </w:p>
    <w:p w14:paraId="61E8EF0F" w14:textId="2DA6890B" w:rsidR="0020732A" w:rsidRPr="0025250D" w:rsidRDefault="0020732A" w:rsidP="0020732A">
      <w:pPr>
        <w:rPr>
          <w:rtl/>
        </w:rPr>
      </w:pPr>
      <w:r w:rsidRPr="0025250D">
        <w:rPr>
          <w:rFonts w:hint="cs"/>
          <w:rtl/>
        </w:rPr>
        <w:t xml:space="preserve">چه ارزش مدل‌های تکاملی-توسعه‌ای را بپذیرید یا </w:t>
      </w:r>
      <w:r w:rsidR="0020589F" w:rsidRPr="0025250D">
        <w:rPr>
          <w:rtl/>
        </w:rPr>
        <w:t>نه</w:t>
      </w:r>
      <w:r w:rsidRPr="0025250D">
        <w:rPr>
          <w:rFonts w:hint="cs"/>
          <w:rtl/>
        </w:rPr>
        <w:t xml:space="preserve"> این شش دامنه به راحتی در راهبرد، برنامه‌ریزی و سیاست انسان قابل‌تشخیص هستند. همه این شش مورد مشخصا اهمیت دارند. آن‌ها پایه خوبی هستند که می‌توان از آن‌ها برای تعریف دامنه زمینه خود و انجام کار‌های مطالعاتیمان استفاده کرد. ما خوانندگانی را که به این نکته شک دارند دعوت به ایجاد یک مدل جایگزین مفید‌تر می‌نماییم.</w:t>
      </w:r>
    </w:p>
    <w:p w14:paraId="4027FAAD" w14:textId="1E0E26C3" w:rsidR="0020732A" w:rsidRPr="0025250D" w:rsidRDefault="0020732A" w:rsidP="0020732A">
      <w:pPr>
        <w:rPr>
          <w:rtl/>
        </w:rPr>
      </w:pPr>
      <w:r w:rsidRPr="0025250D">
        <w:rPr>
          <w:rFonts w:hint="cs"/>
          <w:rtl/>
        </w:rPr>
        <w:t xml:space="preserve">به طرز جالبی، حتی معماری عصبی ما نیز به نظر همراستا با هرم </w:t>
      </w:r>
      <w:r w:rsidRPr="0025250D">
        <w:rPr>
          <w:rtl/>
        </w:rPr>
        <w:t>آینده‌نگاری</w:t>
      </w:r>
      <w:r w:rsidRPr="0025250D">
        <w:rPr>
          <w:rFonts w:hint="cs"/>
          <w:rtl/>
        </w:rPr>
        <w:t xml:space="preserve"> کلاسیک سازماندهی شده است. یک مدل فکری به نام استنتاج فعال</w:t>
      </w:r>
      <w:r w:rsidRPr="0025250D">
        <w:rPr>
          <w:vertAlign w:val="superscript"/>
          <w:rtl/>
        </w:rPr>
        <w:footnoteReference w:id="330"/>
      </w:r>
      <w:r w:rsidRPr="0025250D">
        <w:rPr>
          <w:rFonts w:hint="cs"/>
          <w:rtl/>
        </w:rPr>
        <w:t xml:space="preserve"> که توسط دانشمند علوم اعصاب </w:t>
      </w:r>
      <w:r w:rsidRPr="0025250D">
        <w:rPr>
          <w:rtl/>
        </w:rPr>
        <w:t>کارل فر</w:t>
      </w:r>
      <w:r w:rsidRPr="0025250D">
        <w:rPr>
          <w:rFonts w:hint="cs"/>
          <w:rtl/>
        </w:rPr>
        <w:t>ی</w:t>
      </w:r>
      <w:r w:rsidRPr="0025250D">
        <w:rPr>
          <w:rFonts w:hint="eastAsia"/>
          <w:rtl/>
        </w:rPr>
        <w:t>ستون</w:t>
      </w:r>
      <w:r w:rsidR="00053811" w:rsidRPr="0025250D">
        <w:rPr>
          <w:rFonts w:hint="cs"/>
          <w:vertAlign w:val="superscript"/>
          <w:rtl/>
        </w:rPr>
        <w:t xml:space="preserve"> </w:t>
      </w:r>
      <w:r w:rsidRPr="0025250D">
        <w:rPr>
          <w:rFonts w:hint="cs"/>
          <w:rtl/>
        </w:rPr>
        <w:t xml:space="preserve">توسعه‌یافته است، مدارکی را برای این فرضیه ارائه می‌دهد. این مدل امروزه در توسعه هوش </w:t>
      </w:r>
      <w:r w:rsidRPr="0025250D">
        <w:rPr>
          <w:rFonts w:hint="cs"/>
          <w:rtl/>
        </w:rPr>
        <w:lastRenderedPageBreak/>
        <w:t xml:space="preserve">مصنوعی پیشرو استفاده می‌شود. ما این مدل را در کتاب 2 بیش‌تر بررسی خواهیم کرد. در تفسیرمان از مطالعات </w:t>
      </w:r>
      <w:r w:rsidRPr="0025250D">
        <w:rPr>
          <w:rtl/>
        </w:rPr>
        <w:t>فر</w:t>
      </w:r>
      <w:r w:rsidRPr="0025250D">
        <w:rPr>
          <w:rFonts w:hint="cs"/>
          <w:rtl/>
        </w:rPr>
        <w:t>ی</w:t>
      </w:r>
      <w:r w:rsidRPr="0025250D">
        <w:rPr>
          <w:rFonts w:hint="eastAsia"/>
          <w:rtl/>
        </w:rPr>
        <w:t>ستون</w:t>
      </w:r>
      <w:r w:rsidRPr="0025250D">
        <w:rPr>
          <w:rFonts w:hint="cs"/>
          <w:rtl/>
        </w:rPr>
        <w:t>، شبکه‌های عصبی کارکردی، چه ازنظر زیستی و چه مصنوعی، به دنبال بهبود سه چیز هستیم:</w:t>
      </w:r>
    </w:p>
    <w:p w14:paraId="58C88BB9" w14:textId="77777777" w:rsidR="0020732A" w:rsidRPr="0025250D" w:rsidRDefault="0020732A" w:rsidP="00492C47">
      <w:pPr>
        <w:numPr>
          <w:ilvl w:val="0"/>
          <w:numId w:val="10"/>
        </w:numPr>
      </w:pPr>
      <w:r w:rsidRPr="0025250D">
        <w:rPr>
          <w:rFonts w:hint="cs"/>
          <w:rtl/>
        </w:rPr>
        <w:t>پیش‌بینی به شکل‌های صحیح فراگیر (دیدن آینده‌های محتمل)</w:t>
      </w:r>
    </w:p>
    <w:p w14:paraId="20A51FFC" w14:textId="18895D96" w:rsidR="0020732A" w:rsidRPr="0025250D" w:rsidRDefault="0020732A" w:rsidP="00492C47">
      <w:pPr>
        <w:numPr>
          <w:ilvl w:val="0"/>
          <w:numId w:val="10"/>
        </w:numPr>
      </w:pPr>
      <w:r w:rsidRPr="0025250D">
        <w:rPr>
          <w:rFonts w:hint="cs"/>
          <w:rtl/>
        </w:rPr>
        <w:t xml:space="preserve">خلق استنتاج‌های </w:t>
      </w:r>
      <w:r w:rsidR="00EE4B64" w:rsidRPr="0025250D">
        <w:rPr>
          <w:rFonts w:hint="cs"/>
          <w:rtl/>
        </w:rPr>
        <w:t>رقابتی</w:t>
      </w:r>
      <w:r w:rsidRPr="0025250D">
        <w:rPr>
          <w:rFonts w:hint="cs"/>
          <w:rtl/>
        </w:rPr>
        <w:t xml:space="preserve"> متعدد (تشخیص آینده‌های ممکن)</w:t>
      </w:r>
    </w:p>
    <w:p w14:paraId="79C8CFF9" w14:textId="68D7EF79" w:rsidR="0020732A" w:rsidRPr="0025250D" w:rsidRDefault="0020732A" w:rsidP="00492C47">
      <w:pPr>
        <w:numPr>
          <w:ilvl w:val="0"/>
          <w:numId w:val="10"/>
        </w:numPr>
      </w:pPr>
      <w:r w:rsidRPr="0025250D">
        <w:rPr>
          <w:rFonts w:hint="cs"/>
          <w:rtl/>
        </w:rPr>
        <w:t>انتخاب و دستیابی به چشم‌انداز‌ها</w:t>
      </w:r>
      <w:r w:rsidR="00EE4B64" w:rsidRPr="0025250D">
        <w:rPr>
          <w:rFonts w:hint="cs"/>
          <w:rtl/>
        </w:rPr>
        <w:t>ی</w:t>
      </w:r>
      <w:r w:rsidRPr="0025250D">
        <w:rPr>
          <w:rFonts w:hint="cs"/>
          <w:rtl/>
        </w:rPr>
        <w:t xml:space="preserve"> مثبت ضمن کاهش خطاهای پیش‌بینی (اجتناب از چشم‌اندازهای منفی) (آینده‌های مرجح).</w:t>
      </w:r>
    </w:p>
    <w:p w14:paraId="2829809B" w14:textId="7C06A3A2" w:rsidR="0020732A" w:rsidRPr="0025250D" w:rsidRDefault="0020732A" w:rsidP="00D54462">
      <w:pPr>
        <w:rPr>
          <w:rtl/>
        </w:rPr>
      </w:pPr>
      <w:r w:rsidRPr="0025250D">
        <w:rPr>
          <w:rFonts w:hint="cs"/>
          <w:rtl/>
        </w:rPr>
        <w:t xml:space="preserve">ازنظر فنی هر یک از شبکه‌های عصبی مغز ما پیش‌بینی‌های </w:t>
      </w:r>
      <w:r w:rsidR="00116646" w:rsidRPr="0025250D">
        <w:rPr>
          <w:rtl/>
        </w:rPr>
        <w:t>«</w:t>
      </w:r>
      <w:r w:rsidR="00116646" w:rsidRPr="0025250D">
        <w:rPr>
          <w:rFonts w:hint="cs"/>
          <w:rtl/>
        </w:rPr>
        <w:t>پایین‌به‌بالا</w:t>
      </w:r>
      <w:r w:rsidRPr="0025250D">
        <w:rPr>
          <w:rFonts w:hint="cs"/>
          <w:rtl/>
        </w:rPr>
        <w:t>ی</w:t>
      </w:r>
      <w:r w:rsidRPr="0025250D">
        <w:rPr>
          <w:vertAlign w:val="superscript"/>
          <w:rtl/>
        </w:rPr>
        <w:footnoteReference w:id="331"/>
      </w:r>
      <w:r w:rsidR="00116646" w:rsidRPr="0025250D">
        <w:rPr>
          <w:rtl/>
        </w:rPr>
        <w:t>»</w:t>
      </w:r>
      <w:r w:rsidRPr="0025250D">
        <w:rPr>
          <w:rFonts w:hint="cs"/>
          <w:rtl/>
        </w:rPr>
        <w:t xml:space="preserve"> خود را انجام می‌دهد و ما این پیش‌بینی‌ها را به شکلی </w:t>
      </w:r>
      <w:r w:rsidR="00116646" w:rsidRPr="0025250D">
        <w:rPr>
          <w:rtl/>
        </w:rPr>
        <w:t>«</w:t>
      </w:r>
      <w:r w:rsidR="009D17DA" w:rsidRPr="0025250D">
        <w:rPr>
          <w:rFonts w:hint="cs"/>
          <w:rtl/>
        </w:rPr>
        <w:t>بالا‌به‌پایین</w:t>
      </w:r>
      <w:r w:rsidRPr="0025250D">
        <w:rPr>
          <w:vertAlign w:val="superscript"/>
          <w:rtl/>
        </w:rPr>
        <w:footnoteReference w:id="332"/>
      </w:r>
      <w:r w:rsidR="00116646" w:rsidRPr="0025250D">
        <w:rPr>
          <w:rtl/>
        </w:rPr>
        <w:t>»</w:t>
      </w:r>
      <w:r w:rsidRPr="0025250D">
        <w:rPr>
          <w:rFonts w:hint="cs"/>
          <w:rtl/>
        </w:rPr>
        <w:t xml:space="preserve"> و سراسری، با استفاده از روش‌های بیزی</w:t>
      </w:r>
      <w:r w:rsidRPr="0025250D">
        <w:rPr>
          <w:vertAlign w:val="superscript"/>
          <w:rtl/>
        </w:rPr>
        <w:footnoteReference w:id="333"/>
      </w:r>
      <w:r w:rsidRPr="0025250D">
        <w:rPr>
          <w:rFonts w:hint="cs"/>
          <w:rtl/>
        </w:rPr>
        <w:t xml:space="preserve"> </w:t>
      </w:r>
      <w:r w:rsidR="00A20CCB" w:rsidRPr="0025250D">
        <w:rPr>
          <w:rFonts w:hint="cs"/>
          <w:rtl/>
        </w:rPr>
        <w:t>به‌روزرسانی</w:t>
      </w:r>
      <w:r w:rsidRPr="0025250D">
        <w:rPr>
          <w:rFonts w:hint="cs"/>
          <w:rtl/>
        </w:rPr>
        <w:t xml:space="preserve"> می‌کنیم </w:t>
      </w:r>
      <w:r w:rsidRPr="0025250D">
        <w:rPr>
          <w:rFonts w:cs="Times New Roman" w:hint="cs"/>
          <w:rtl/>
        </w:rPr>
        <w:t>–</w:t>
      </w:r>
      <w:r w:rsidRPr="0025250D">
        <w:rPr>
          <w:rFonts w:hint="cs"/>
          <w:rtl/>
        </w:rPr>
        <w:t xml:space="preserve"> در تلاش برای حداقل سازی خطای پیش‌بینی </w:t>
      </w:r>
      <w:r w:rsidRPr="0025250D">
        <w:rPr>
          <w:rFonts w:cs="Times New Roman" w:hint="cs"/>
          <w:rtl/>
        </w:rPr>
        <w:t>–</w:t>
      </w:r>
      <w:r w:rsidRPr="0025250D">
        <w:rPr>
          <w:rFonts w:hint="cs"/>
          <w:rtl/>
        </w:rPr>
        <w:t xml:space="preserve"> تا آینده‌های محتمل را ببینیم. هم‌زمان، شبکه‌ها</w:t>
      </w:r>
      <w:r w:rsidR="00EE4B64" w:rsidRPr="0025250D">
        <w:rPr>
          <w:rFonts w:hint="cs"/>
          <w:rtl/>
        </w:rPr>
        <w:t>ی</w:t>
      </w:r>
      <w:r w:rsidRPr="0025250D">
        <w:rPr>
          <w:rFonts w:hint="cs"/>
          <w:rtl/>
        </w:rPr>
        <w:t xml:space="preserve"> متنوع ما دائما مدل‌های آینده ممکن را تولید می‌کنند </w:t>
      </w:r>
      <w:r w:rsidRPr="0025250D">
        <w:rPr>
          <w:rFonts w:cs="Times New Roman" w:hint="cs"/>
          <w:rtl/>
        </w:rPr>
        <w:t>–</w:t>
      </w:r>
      <w:r w:rsidRPr="0025250D">
        <w:rPr>
          <w:rFonts w:hint="cs"/>
          <w:rtl/>
        </w:rPr>
        <w:t xml:space="preserve"> مثلا، وقتی با خودمان درباره یک مسئله از چند نقطه نظر مختلف بحث می‌کنیم.</w:t>
      </w:r>
    </w:p>
    <w:p w14:paraId="5B377859" w14:textId="5A82494C" w:rsidR="0020732A" w:rsidRPr="0025250D" w:rsidRDefault="0020732A" w:rsidP="0020732A">
      <w:pPr>
        <w:rPr>
          <w:rtl/>
        </w:rPr>
      </w:pPr>
      <w:r w:rsidRPr="0025250D">
        <w:rPr>
          <w:rFonts w:hint="cs"/>
          <w:rtl/>
        </w:rPr>
        <w:t>ما به‌طور هم‌زمان، به شکلی اولا مشارکتی و ثانیا رقابتی چشم‌اندازهای مرجح خود را تولید کرده و سعی می‌کنیم آن‌ها را رتبه بندی و همگام</w:t>
      </w:r>
      <w:r w:rsidRPr="0025250D">
        <w:rPr>
          <w:vertAlign w:val="superscript"/>
          <w:rtl/>
        </w:rPr>
        <w:footnoteReference w:id="334"/>
      </w:r>
      <w:r w:rsidRPr="0025250D">
        <w:rPr>
          <w:rFonts w:hint="cs"/>
          <w:rtl/>
        </w:rPr>
        <w:t xml:space="preserve"> کنیم </w:t>
      </w:r>
      <w:r w:rsidRPr="0025250D">
        <w:rPr>
          <w:rFonts w:cs="Times New Roman" w:hint="cs"/>
          <w:rtl/>
        </w:rPr>
        <w:t>–</w:t>
      </w:r>
      <w:r w:rsidRPr="0025250D">
        <w:rPr>
          <w:rFonts w:hint="cs"/>
          <w:rtl/>
        </w:rPr>
        <w:t xml:space="preserve"> همان فرایند شبکه‌ای که در این کتاب آن را </w:t>
      </w:r>
      <w:r w:rsidR="00116646" w:rsidRPr="0025250D">
        <w:rPr>
          <w:rtl/>
        </w:rPr>
        <w:t>«</w:t>
      </w:r>
      <w:r w:rsidRPr="0025250D">
        <w:rPr>
          <w:rFonts w:hint="cs"/>
          <w:rtl/>
        </w:rPr>
        <w:t>هم‌رقابتی</w:t>
      </w:r>
      <w:r w:rsidRPr="0025250D">
        <w:rPr>
          <w:vertAlign w:val="superscript"/>
          <w:rtl/>
        </w:rPr>
        <w:footnoteReference w:id="335"/>
      </w:r>
      <w:r w:rsidR="00116646" w:rsidRPr="0025250D">
        <w:rPr>
          <w:rtl/>
        </w:rPr>
        <w:t>»</w:t>
      </w:r>
      <w:r w:rsidRPr="0025250D">
        <w:rPr>
          <w:rFonts w:hint="cs"/>
          <w:rtl/>
        </w:rPr>
        <w:t xml:space="preserve"> می‌نامیم. ما خود را درگیر خودگزینی</w:t>
      </w:r>
      <w:r w:rsidRPr="0025250D">
        <w:rPr>
          <w:vertAlign w:val="superscript"/>
          <w:rtl/>
        </w:rPr>
        <w:footnoteReference w:id="336"/>
      </w:r>
      <w:r w:rsidRPr="0025250D">
        <w:rPr>
          <w:rFonts w:hint="cs"/>
          <w:rtl/>
        </w:rPr>
        <w:t xml:space="preserve"> (گلچین کردن و فیلتر کردن) آن چشم‌اندازها، هم در مغز خودمان و هم در جوامع خود، با استفاده از فرایند‌های رأی گیری </w:t>
      </w:r>
      <w:r w:rsidR="00EE4B64" w:rsidRPr="0025250D">
        <w:rPr>
          <w:rFonts w:hint="cs"/>
          <w:rtl/>
        </w:rPr>
        <w:t>مردم‌سالار</w:t>
      </w:r>
      <w:r w:rsidRPr="0025250D">
        <w:rPr>
          <w:rFonts w:hint="cs"/>
          <w:rtl/>
        </w:rPr>
        <w:t xml:space="preserve"> می‌</w:t>
      </w:r>
      <w:r w:rsidR="00EE4B64" w:rsidRPr="0025250D">
        <w:rPr>
          <w:rFonts w:hint="cs"/>
          <w:rtl/>
        </w:rPr>
        <w:t>نماییم</w:t>
      </w:r>
      <w:r w:rsidRPr="0025250D">
        <w:rPr>
          <w:rFonts w:hint="cs"/>
          <w:rtl/>
        </w:rPr>
        <w:t xml:space="preserve"> که بسیار مشابه با همان چیزی است که در کندوی زنبور عسل و گله‌های حیوانات می‌بینیم. سپس، برای تحقق بخشیدن به این چشم‌انداز‌ها تلاش می‌کنیم.</w:t>
      </w:r>
    </w:p>
    <w:p w14:paraId="7A10D774" w14:textId="64A82839" w:rsidR="0020732A" w:rsidRPr="0025250D" w:rsidRDefault="0020732A" w:rsidP="0020732A">
      <w:pPr>
        <w:rPr>
          <w:rtl/>
        </w:rPr>
      </w:pPr>
      <w:r w:rsidRPr="0025250D">
        <w:rPr>
          <w:rFonts w:hint="cs"/>
          <w:rtl/>
        </w:rPr>
        <w:t xml:space="preserve">در آخر، پیش‌بینی‌ها و چشم‌اندازهای خود را در یک حلقه خود گزینی، با استفاده بازخورد </w:t>
      </w:r>
      <w:r w:rsidR="00A20CCB" w:rsidRPr="0025250D">
        <w:rPr>
          <w:rFonts w:hint="cs"/>
          <w:rtl/>
        </w:rPr>
        <w:t>به‌روزرسانی</w:t>
      </w:r>
      <w:r w:rsidRPr="0025250D">
        <w:rPr>
          <w:rFonts w:hint="cs"/>
          <w:rtl/>
        </w:rPr>
        <w:t xml:space="preserve"> کرده و باز هم اقدام به حداقل سازی خطای پیش‌بینی می‌کنیم. این </w:t>
      </w:r>
      <w:r w:rsidR="00116646" w:rsidRPr="0025250D">
        <w:rPr>
          <w:rtl/>
        </w:rPr>
        <w:t>«</w:t>
      </w:r>
      <w:r w:rsidRPr="0025250D">
        <w:rPr>
          <w:rFonts w:hint="cs"/>
          <w:rtl/>
        </w:rPr>
        <w:t>حلقه انجام</w:t>
      </w:r>
      <w:r w:rsidR="00116646" w:rsidRPr="0025250D">
        <w:rPr>
          <w:rtl/>
        </w:rPr>
        <w:t>»</w:t>
      </w:r>
      <w:r w:rsidRPr="0025250D">
        <w:rPr>
          <w:rFonts w:hint="cs"/>
          <w:rtl/>
        </w:rPr>
        <w:t xml:space="preserve"> از یادگیری، </w:t>
      </w:r>
      <w:r w:rsidRPr="0025250D">
        <w:rPr>
          <w:rtl/>
        </w:rPr>
        <w:t>آینده‌نگاری</w:t>
      </w:r>
      <w:r w:rsidRPr="0025250D">
        <w:rPr>
          <w:rFonts w:hint="cs"/>
          <w:rtl/>
        </w:rPr>
        <w:t xml:space="preserve">، عمل و بازخورد فراگیر است: به همین طریق است که به‌مرور زمان </w:t>
      </w:r>
      <w:r w:rsidR="002F3C14" w:rsidRPr="0025250D">
        <w:rPr>
          <w:rFonts w:hint="cs"/>
          <w:rtl/>
        </w:rPr>
        <w:t>انطباق</w:t>
      </w:r>
      <w:r w:rsidRPr="0025250D">
        <w:rPr>
          <w:rFonts w:hint="cs"/>
          <w:rtl/>
        </w:rPr>
        <w:t xml:space="preserve"> می‌یابیم.</w:t>
      </w:r>
    </w:p>
    <w:p w14:paraId="73267745" w14:textId="6C42C163" w:rsidR="0020732A" w:rsidRPr="0025250D" w:rsidRDefault="0020732A" w:rsidP="0020732A">
      <w:pPr>
        <w:rPr>
          <w:rtl/>
        </w:rPr>
      </w:pPr>
      <w:r w:rsidRPr="0025250D">
        <w:rPr>
          <w:rFonts w:hint="cs"/>
          <w:rtl/>
        </w:rPr>
        <w:t xml:space="preserve">با توجه به ذات اساسی </w:t>
      </w:r>
      <w:r w:rsidR="00B124DE" w:rsidRPr="0025250D">
        <w:rPr>
          <w:rFonts w:hint="cs"/>
          <w:rtl/>
        </w:rPr>
        <w:t>آینده‌اندیش</w:t>
      </w:r>
      <w:r w:rsidRPr="0025250D">
        <w:rPr>
          <w:rFonts w:hint="cs"/>
          <w:rtl/>
        </w:rPr>
        <w:t xml:space="preserve">ی، </w:t>
      </w:r>
      <w:r w:rsidR="007118DE" w:rsidRPr="0025250D">
        <w:rPr>
          <w:rFonts w:hint="cs"/>
          <w:rtl/>
        </w:rPr>
        <w:t>همان‌طور</w:t>
      </w:r>
      <w:r w:rsidRPr="0025250D">
        <w:rPr>
          <w:rFonts w:hint="cs"/>
          <w:rtl/>
        </w:rPr>
        <w:t xml:space="preserve"> که هم در هرم زمانی و هم در هرم </w:t>
      </w:r>
      <w:r w:rsidRPr="0025250D">
        <w:rPr>
          <w:rtl/>
        </w:rPr>
        <w:t>آینده‌نگاری</w:t>
      </w:r>
      <w:r w:rsidRPr="0025250D">
        <w:rPr>
          <w:rFonts w:hint="cs"/>
          <w:rtl/>
        </w:rPr>
        <w:t xml:space="preserve"> دیدیم، ممکن است انتظار داشته باشیم که </w:t>
      </w:r>
      <w:r w:rsidR="00B124DE" w:rsidRPr="0025250D">
        <w:rPr>
          <w:rFonts w:hint="cs"/>
          <w:rtl/>
        </w:rPr>
        <w:t>آینده‌اندیش</w:t>
      </w:r>
      <w:r w:rsidRPr="0025250D">
        <w:rPr>
          <w:rFonts w:hint="cs"/>
          <w:rtl/>
        </w:rPr>
        <w:t xml:space="preserve">ی در مدارس ما به‌صورت هدفمند آموزش داده شده و در راهبرد سازمانی ما ادغام شود. متأسفانه، چنین توسعه‌ای هنوز در جوامع مدرن رخ نداده است. در زمان حال، بسیاری از ما انجام آگاهانه </w:t>
      </w:r>
      <w:r w:rsidRPr="0025250D">
        <w:rPr>
          <w:rtl/>
        </w:rPr>
        <w:t>آینده‌نگاری</w:t>
      </w:r>
      <w:r w:rsidRPr="0025250D">
        <w:rPr>
          <w:rFonts w:hint="cs"/>
          <w:rtl/>
        </w:rPr>
        <w:t xml:space="preserve"> را در زندگی خود، تیم‌هایمان و سازمان‌هایمان نادیده می‌گیریم. این امر می‌تواند تا حدی به این دلیل باشد که برای انجام مناسب </w:t>
      </w:r>
      <w:r w:rsidR="00B124DE" w:rsidRPr="0025250D">
        <w:rPr>
          <w:rFonts w:hint="cs"/>
          <w:rtl/>
        </w:rPr>
        <w:t>آینده‌اندیش</w:t>
      </w:r>
      <w:r w:rsidRPr="0025250D">
        <w:rPr>
          <w:rFonts w:hint="cs"/>
          <w:rtl/>
        </w:rPr>
        <w:t xml:space="preserve">ی، باید همچنین گذشته و آینده مرتبط را نیز به‌خوبی بررسی کرده و تفکر احتمالی، </w:t>
      </w:r>
      <w:r w:rsidR="00B453C0" w:rsidRPr="0025250D">
        <w:rPr>
          <w:rFonts w:hint="cs"/>
          <w:rtl/>
        </w:rPr>
        <w:t>امکان‌پذیر</w:t>
      </w:r>
      <w:r w:rsidRPr="0025250D">
        <w:rPr>
          <w:rFonts w:hint="cs"/>
          <w:rtl/>
        </w:rPr>
        <w:t xml:space="preserve"> و مرجح را متوازن سازیم. </w:t>
      </w:r>
      <w:r w:rsidRPr="0025250D">
        <w:rPr>
          <w:rtl/>
        </w:rPr>
        <w:t>آینده‌نگاری</w:t>
      </w:r>
      <w:r w:rsidRPr="0025250D">
        <w:rPr>
          <w:rFonts w:hint="cs"/>
          <w:rtl/>
        </w:rPr>
        <w:t xml:space="preserve"> راحت نیست، اما وقتی در حلقه انجام استفاده می‌شود، با اختلاف بهترین مزایا را ایجاد می‌کند </w:t>
      </w:r>
      <w:r w:rsidRPr="0025250D">
        <w:rPr>
          <w:rFonts w:cs="Times New Roman" w:hint="cs"/>
          <w:rtl/>
        </w:rPr>
        <w:t>–</w:t>
      </w:r>
      <w:r w:rsidRPr="0025250D">
        <w:rPr>
          <w:rFonts w:hint="cs"/>
          <w:rtl/>
        </w:rPr>
        <w:t xml:space="preserve"> یعنی توانایی حفظ و افزایش </w:t>
      </w:r>
      <w:r w:rsidR="00AE5BE0" w:rsidRPr="0025250D">
        <w:rPr>
          <w:rFonts w:hint="cs"/>
          <w:rtl/>
        </w:rPr>
        <w:t>انطباق</w:t>
      </w:r>
      <w:r w:rsidRPr="0025250D">
        <w:rPr>
          <w:rFonts w:hint="cs"/>
          <w:rtl/>
        </w:rPr>
        <w:t>مان.</w:t>
      </w:r>
    </w:p>
    <w:p w14:paraId="25BA9545" w14:textId="2C5F674D" w:rsidR="0020732A" w:rsidRPr="0025250D" w:rsidRDefault="0020732A" w:rsidP="0020732A">
      <w:pPr>
        <w:rPr>
          <w:rtl/>
        </w:rPr>
      </w:pPr>
      <w:r w:rsidRPr="0025250D">
        <w:rPr>
          <w:rFonts w:hint="cs"/>
          <w:rtl/>
        </w:rPr>
        <w:t xml:space="preserve">وقتی رابطه خود با هرم </w:t>
      </w:r>
      <w:r w:rsidRPr="0025250D">
        <w:rPr>
          <w:rtl/>
        </w:rPr>
        <w:t>آینده‌نگاری</w:t>
      </w:r>
      <w:r w:rsidRPr="0025250D">
        <w:rPr>
          <w:rFonts w:hint="cs"/>
          <w:rtl/>
        </w:rPr>
        <w:t xml:space="preserve"> کلاسیک</w:t>
      </w:r>
      <w:r w:rsidR="00EE4B64" w:rsidRPr="0025250D">
        <w:rPr>
          <w:rFonts w:hint="cs"/>
          <w:rtl/>
        </w:rPr>
        <w:t xml:space="preserve"> را</w:t>
      </w:r>
      <w:r w:rsidRPr="0025250D">
        <w:rPr>
          <w:rFonts w:hint="cs"/>
          <w:rtl/>
        </w:rPr>
        <w:t xml:space="preserve"> در نظر می‌گیرید از خود بپرسید: چگونه هر یک از این انواع تفکر </w:t>
      </w:r>
      <w:r w:rsidRPr="0025250D">
        <w:rPr>
          <w:rtl/>
        </w:rPr>
        <w:t>آینده‌نگاری</w:t>
      </w:r>
      <w:r w:rsidRPr="0025250D">
        <w:rPr>
          <w:rFonts w:hint="cs"/>
          <w:rtl/>
        </w:rPr>
        <w:t xml:space="preserve"> را رتبه بندی می‌کنید؟ ترجیح می‌دهید بیش‌تر کدام مورد را انجام دهید؟ کدام را کم‌تر از همه ترجیح می‌دهید؟ در چه زمینه هایی؟ چگونه این سه مورد را در هر زمینه‌ای متوازن می‌کنید؟ چگونه تصمیم می‌گیرید که چه زمانی حرکت از یک نوع </w:t>
      </w:r>
      <w:r w:rsidR="00B124DE" w:rsidRPr="0025250D">
        <w:rPr>
          <w:rFonts w:hint="cs"/>
          <w:rtl/>
        </w:rPr>
        <w:t>آینده‌اندیش</w:t>
      </w:r>
      <w:r w:rsidRPr="0025250D">
        <w:rPr>
          <w:rFonts w:hint="cs"/>
          <w:rtl/>
        </w:rPr>
        <w:t xml:space="preserve">ی به </w:t>
      </w:r>
      <w:r w:rsidR="00B124DE" w:rsidRPr="0025250D">
        <w:rPr>
          <w:rFonts w:hint="cs"/>
          <w:rtl/>
        </w:rPr>
        <w:t>آینده‌اندیش</w:t>
      </w:r>
      <w:r w:rsidRPr="0025250D">
        <w:rPr>
          <w:rFonts w:hint="cs"/>
          <w:rtl/>
        </w:rPr>
        <w:t>ی دیگر بهتر است؟ چه زمانی بیش از حد بر نوع مرجح خود تکیه می‌کنید؟ چگونه می‌توانید به بهترین شکل نامطلوب</w:t>
      </w:r>
      <w:r w:rsidR="00B453C0" w:rsidRPr="0025250D">
        <w:rPr>
          <w:rFonts w:hint="cs"/>
          <w:rtl/>
        </w:rPr>
        <w:t>‌ترین مورد مرجح</w:t>
      </w:r>
      <w:r w:rsidRPr="0025250D">
        <w:rPr>
          <w:rFonts w:hint="cs"/>
          <w:rtl/>
        </w:rPr>
        <w:t xml:space="preserve"> را بهبود دهید؟ در مورد تیمتان چطور؟ در این کتاب با چنین سؤالات مهمی دست و پنجه نرم خواهیم کرد.</w:t>
      </w:r>
    </w:p>
    <w:p w14:paraId="01FD2DA5" w14:textId="77777777" w:rsidR="0020732A" w:rsidRPr="0025250D" w:rsidRDefault="0020732A" w:rsidP="00D54462">
      <w:pPr>
        <w:pStyle w:val="Heading3"/>
        <w:rPr>
          <w:rtl/>
        </w:rPr>
      </w:pPr>
      <w:r w:rsidRPr="0025250D">
        <w:rPr>
          <w:rtl/>
        </w:rPr>
        <w:lastRenderedPageBreak/>
        <w:t>آینده‌نگاری</w:t>
      </w:r>
      <w:r w:rsidRPr="0025250D">
        <w:rPr>
          <w:rFonts w:hint="cs"/>
          <w:rtl/>
        </w:rPr>
        <w:t xml:space="preserve"> هنجاری: هرم ارزش‌ها (درست</w:t>
      </w:r>
      <w:r w:rsidRPr="0025250D">
        <w:rPr>
          <w:vertAlign w:val="superscript"/>
          <w:rtl/>
        </w:rPr>
        <w:footnoteReference w:id="337"/>
      </w:r>
      <w:r w:rsidRPr="0025250D">
        <w:rPr>
          <w:rFonts w:hint="cs"/>
          <w:rtl/>
        </w:rPr>
        <w:t>، زیبا، خوب)</w:t>
      </w:r>
    </w:p>
    <w:p w14:paraId="68CCC18B" w14:textId="0E232556" w:rsidR="0020732A" w:rsidRPr="0025250D" w:rsidRDefault="0020732A" w:rsidP="0020732A">
      <w:pPr>
        <w:rPr>
          <w:rtl/>
        </w:rPr>
      </w:pPr>
      <w:r w:rsidRPr="0025250D">
        <w:rPr>
          <w:rFonts w:hint="cs"/>
          <w:rtl/>
        </w:rPr>
        <w:t>ممکن است درنظرگرفتن محتمل و ممکن به‌عنوان اساسی‌ترین راه‌های تحلیل تغییر، اولین بار توسط فیلسوف یونانی دموکریت</w:t>
      </w:r>
      <w:r w:rsidRPr="0025250D">
        <w:rPr>
          <w:vertAlign w:val="superscript"/>
          <w:rtl/>
        </w:rPr>
        <w:footnoteReference w:id="338"/>
      </w:r>
      <w:r w:rsidRPr="0025250D">
        <w:rPr>
          <w:rFonts w:hint="cs"/>
          <w:rtl/>
        </w:rPr>
        <w:t xml:space="preserve"> (370-460 پیش از میلاد مسیح) آغاز شده باشد که گفت: </w:t>
      </w:r>
      <w:r w:rsidR="00116646" w:rsidRPr="0025250D">
        <w:rPr>
          <w:rtl/>
        </w:rPr>
        <w:t>«</w:t>
      </w:r>
      <w:r w:rsidRPr="0025250D">
        <w:rPr>
          <w:rFonts w:hint="cs"/>
          <w:rtl/>
        </w:rPr>
        <w:t>هر چیزی که در جهان وجود دارد ثمره ناگزیری و شانس است</w:t>
      </w:r>
      <w:r w:rsidR="00116646" w:rsidRPr="0025250D">
        <w:rPr>
          <w:rtl/>
        </w:rPr>
        <w:t>»</w:t>
      </w:r>
      <w:r w:rsidRPr="0025250D">
        <w:rPr>
          <w:rFonts w:hint="cs"/>
          <w:rtl/>
        </w:rPr>
        <w:t xml:space="preserve">. حدودا در همان دوران، معدودی از فلاسفه شرقی و غربی دیگری به‌صورت مستقل اهمیت خاص سه هدف انسانی، یا مجموعه‌هایی از ارزش‌ها یعنی درست، زیبا و خوب را پیشنهاد کرده‌اند. برای سادگی، این موارد را </w:t>
      </w:r>
      <w:r w:rsidR="00116646" w:rsidRPr="0025250D">
        <w:rPr>
          <w:rtl/>
        </w:rPr>
        <w:t>«</w:t>
      </w:r>
      <w:r w:rsidRPr="0025250D">
        <w:rPr>
          <w:rFonts w:hint="cs"/>
          <w:rtl/>
        </w:rPr>
        <w:t>ارزش ها</w:t>
      </w:r>
      <w:r w:rsidRPr="0025250D">
        <w:rPr>
          <w:vertAlign w:val="superscript"/>
          <w:rtl/>
        </w:rPr>
        <w:footnoteReference w:id="339"/>
      </w:r>
      <w:r w:rsidR="00116646" w:rsidRPr="0025250D">
        <w:rPr>
          <w:rtl/>
        </w:rPr>
        <w:t>»</w:t>
      </w:r>
      <w:r w:rsidRPr="0025250D">
        <w:rPr>
          <w:rFonts w:hint="cs"/>
          <w:rtl/>
        </w:rPr>
        <w:t xml:space="preserve"> می‌نامیم.</w:t>
      </w:r>
    </w:p>
    <w:p w14:paraId="1229F0F4" w14:textId="622A8BC2" w:rsidR="0020732A" w:rsidRPr="0025250D" w:rsidRDefault="0020732A" w:rsidP="0020732A">
      <w:pPr>
        <w:rPr>
          <w:rtl/>
        </w:rPr>
      </w:pPr>
      <w:r w:rsidRPr="0025250D">
        <w:rPr>
          <w:rFonts w:hint="cs"/>
          <w:rtl/>
        </w:rPr>
        <w:t>در شرق، باگودا گیتا</w:t>
      </w:r>
      <w:r w:rsidRPr="0025250D">
        <w:rPr>
          <w:vertAlign w:val="superscript"/>
          <w:rtl/>
        </w:rPr>
        <w:footnoteReference w:id="340"/>
      </w:r>
      <w:r w:rsidRPr="0025250D">
        <w:rPr>
          <w:rFonts w:hint="cs"/>
          <w:rtl/>
        </w:rPr>
        <w:t xml:space="preserve">، 400 سال قبل از میلاد مسیح، بر ارزش </w:t>
      </w:r>
      <w:r w:rsidR="00116646" w:rsidRPr="0025250D">
        <w:rPr>
          <w:rtl/>
        </w:rPr>
        <w:t>«</w:t>
      </w:r>
      <w:r w:rsidRPr="0025250D">
        <w:rPr>
          <w:rFonts w:hint="cs"/>
          <w:rtl/>
        </w:rPr>
        <w:t>کلماتی که خوب، زیبا و درست هستند</w:t>
      </w:r>
      <w:r w:rsidR="00116646" w:rsidRPr="0025250D">
        <w:rPr>
          <w:rtl/>
        </w:rPr>
        <w:t>»</w:t>
      </w:r>
      <w:r w:rsidRPr="0025250D">
        <w:rPr>
          <w:rFonts w:hint="cs"/>
          <w:rtl/>
        </w:rPr>
        <w:t xml:space="preserve"> تأکید کرد. در غرب، افلاطون</w:t>
      </w:r>
      <w:r w:rsidRPr="0025250D">
        <w:rPr>
          <w:vertAlign w:val="superscript"/>
          <w:rtl/>
        </w:rPr>
        <w:footnoteReference w:id="341"/>
      </w:r>
      <w:r w:rsidRPr="0025250D">
        <w:rPr>
          <w:rFonts w:hint="cs"/>
          <w:rtl/>
        </w:rPr>
        <w:t xml:space="preserve"> (390 سال پیش از میلاد مسیح) و شاگردش ارسطو</w:t>
      </w:r>
      <w:r w:rsidRPr="0025250D">
        <w:rPr>
          <w:vertAlign w:val="superscript"/>
          <w:rtl/>
        </w:rPr>
        <w:footnoteReference w:id="342"/>
      </w:r>
      <w:r w:rsidRPr="0025250D">
        <w:rPr>
          <w:rFonts w:hint="cs"/>
          <w:rtl/>
        </w:rPr>
        <w:t xml:space="preserve"> (350 سال پیش از میلاد مسیح) هر دو این سه ارزش را ارزش‌های متعالی</w:t>
      </w:r>
      <w:r w:rsidRPr="0025250D">
        <w:rPr>
          <w:vertAlign w:val="superscript"/>
          <w:rtl/>
        </w:rPr>
        <w:footnoteReference w:id="343"/>
      </w:r>
      <w:r w:rsidRPr="0025250D">
        <w:rPr>
          <w:rFonts w:hint="cs"/>
          <w:rtl/>
        </w:rPr>
        <w:t xml:space="preserve"> یا ویژگی‌های وجودی فراگیر نامیدند. یکی از مدل‌های ارسطو هوش انسان را به هوش نظری</w:t>
      </w:r>
      <w:r w:rsidRPr="0025250D">
        <w:rPr>
          <w:vertAlign w:val="superscript"/>
          <w:rtl/>
        </w:rPr>
        <w:footnoteReference w:id="344"/>
      </w:r>
      <w:r w:rsidRPr="0025250D">
        <w:rPr>
          <w:rFonts w:hint="cs"/>
          <w:rtl/>
        </w:rPr>
        <w:t>، هوش مولد</w:t>
      </w:r>
      <w:r w:rsidRPr="0025250D">
        <w:rPr>
          <w:vertAlign w:val="superscript"/>
          <w:rtl/>
        </w:rPr>
        <w:footnoteReference w:id="345"/>
      </w:r>
      <w:r w:rsidRPr="0025250D">
        <w:rPr>
          <w:rFonts w:hint="cs"/>
          <w:rtl/>
        </w:rPr>
        <w:t xml:space="preserve"> و هوش کاربردی</w:t>
      </w:r>
      <w:r w:rsidRPr="0025250D">
        <w:rPr>
          <w:vertAlign w:val="superscript"/>
          <w:rtl/>
        </w:rPr>
        <w:footnoteReference w:id="346"/>
      </w:r>
      <w:r w:rsidRPr="0025250D">
        <w:rPr>
          <w:rFonts w:hint="cs"/>
          <w:rtl/>
        </w:rPr>
        <w:t xml:space="preserve"> تقسیم کرد. در این مدل، ذهن نظری ما به دانش و حقیقت، ذهن مولد ما به خلق اشیای منحصربه‌فرد و زیبا و ذهن کاربردی ما به اخلاقیات، </w:t>
      </w:r>
      <w:r w:rsidR="00202882" w:rsidRPr="0025250D">
        <w:rPr>
          <w:rFonts w:hint="cs"/>
          <w:rtl/>
        </w:rPr>
        <w:t>همدلی</w:t>
      </w:r>
      <w:r w:rsidRPr="0025250D">
        <w:rPr>
          <w:rFonts w:hint="cs"/>
          <w:rtl/>
        </w:rPr>
        <w:t xml:space="preserve"> و ذات خوبی می‌پردازد.</w:t>
      </w:r>
    </w:p>
    <w:p w14:paraId="6E0D89FE" w14:textId="77777777" w:rsidR="0020732A" w:rsidRPr="0025250D" w:rsidRDefault="0020732A" w:rsidP="00D54462">
      <w:pPr>
        <w:jc w:val="center"/>
        <w:rPr>
          <w:rtl/>
        </w:rPr>
      </w:pPr>
      <w:r w:rsidRPr="0025250D">
        <w:rPr>
          <w:noProof/>
          <w:rtl/>
          <w:lang w:bidi="ar-SA"/>
        </w:rPr>
        <w:drawing>
          <wp:inline distT="0" distB="0" distL="0" distR="0" wp14:anchorId="79E7BB1B" wp14:editId="2B4DD772">
            <wp:extent cx="3005593" cy="2275039"/>
            <wp:effectExtent l="0" t="0" r="4445" b="0"/>
            <wp:docPr id="31" name="Picture 31" descr="D:\کار\مستقل\3 ( ترجمه ی دانشگاه تهران  )\Introduction to Foresight\part1\21-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کار\مستقل\3 ( ترجمه ی دانشگاه تهران  )\Introduction to Foresight\part1\21-new.png"/>
                    <pic:cNvPicPr>
                      <a:picLocks noChangeAspect="1" noChangeArrowheads="1"/>
                    </pic:cNvPicPr>
                  </pic:nvPicPr>
                  <pic:blipFill>
                    <a:blip r:embed="rId34" cstate="screen">
                      <a:extLst>
                        <a:ext uri="{BEBA8EAE-BF5A-486C-A8C5-ECC9F3942E4B}">
                          <a14:imgProps xmlns:a14="http://schemas.microsoft.com/office/drawing/2010/main">
                            <a14:imgLayer r:embed="rId35">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3019273" cy="2285394"/>
                    </a:xfrm>
                    <a:prstGeom prst="rect">
                      <a:avLst/>
                    </a:prstGeom>
                    <a:noFill/>
                    <a:ln>
                      <a:noFill/>
                    </a:ln>
                  </pic:spPr>
                </pic:pic>
              </a:graphicData>
            </a:graphic>
          </wp:inline>
        </w:drawing>
      </w:r>
    </w:p>
    <w:p w14:paraId="1873CECF" w14:textId="160FD19E" w:rsidR="0020732A" w:rsidRPr="0025250D" w:rsidRDefault="0020732A" w:rsidP="0020732A">
      <w:pPr>
        <w:rPr>
          <w:rtl/>
        </w:rPr>
      </w:pPr>
      <w:r w:rsidRPr="0025250D">
        <w:rPr>
          <w:rFonts w:hint="cs"/>
          <w:rtl/>
        </w:rPr>
        <w:t>در این کتاب راهنما، ما این سه مجموعه ارزشی خاص را هرم افلاطون و به شکل ساده تر، هرم ارزش ها</w:t>
      </w:r>
      <w:r w:rsidRPr="0025250D">
        <w:rPr>
          <w:vertAlign w:val="superscript"/>
          <w:rtl/>
        </w:rPr>
        <w:footnoteReference w:id="347"/>
      </w:r>
      <w:r w:rsidRPr="0025250D">
        <w:rPr>
          <w:rFonts w:hint="cs"/>
          <w:rtl/>
        </w:rPr>
        <w:t xml:space="preserve"> می‌نامیم. توجه کنید که هرم افلاطون یک بازگویی</w:t>
      </w:r>
      <w:r w:rsidRPr="0025250D">
        <w:rPr>
          <w:vertAlign w:val="superscript"/>
          <w:rtl/>
        </w:rPr>
        <w:footnoteReference w:id="348"/>
      </w:r>
      <w:r w:rsidRPr="0025250D">
        <w:rPr>
          <w:rFonts w:hint="cs"/>
          <w:rtl/>
        </w:rPr>
        <w:t xml:space="preserve"> از هرم </w:t>
      </w:r>
      <w:r w:rsidRPr="0025250D">
        <w:rPr>
          <w:rtl/>
        </w:rPr>
        <w:t>آینده‌نگاری</w:t>
      </w:r>
      <w:r w:rsidRPr="0025250D">
        <w:rPr>
          <w:rFonts w:hint="cs"/>
          <w:rtl/>
        </w:rPr>
        <w:t>، از یک دیدگاه ارزشی است. چیز‌های درست بسیار محتمل هستند، چیز‌های زیبا موارد ممکن را کاوش می‌کنند و چیز‌های خوب موارد مرجح هستند. در حقیقت، این دو مدل به مو</w:t>
      </w:r>
      <w:r w:rsidR="00B453C0" w:rsidRPr="0025250D">
        <w:rPr>
          <w:rFonts w:hint="cs"/>
          <w:rtl/>
        </w:rPr>
        <w:t>ا</w:t>
      </w:r>
      <w:r w:rsidRPr="0025250D">
        <w:rPr>
          <w:rFonts w:hint="cs"/>
          <w:rtl/>
        </w:rPr>
        <w:t>رد</w:t>
      </w:r>
      <w:r w:rsidR="00B453C0" w:rsidRPr="0025250D">
        <w:rPr>
          <w:rFonts w:hint="cs"/>
          <w:rtl/>
        </w:rPr>
        <w:t>ی</w:t>
      </w:r>
      <w:r w:rsidRPr="0025250D">
        <w:rPr>
          <w:rFonts w:hint="cs"/>
          <w:rtl/>
        </w:rPr>
        <w:t xml:space="preserve"> یکسان، یعنی پیچیدگی و تغییر، از دو دیدگاه بسیار مرتبط به هم می‌نگرند.</w:t>
      </w:r>
    </w:p>
    <w:p w14:paraId="2DD1A6A7" w14:textId="73FA918A" w:rsidR="0020732A" w:rsidRPr="0025250D" w:rsidRDefault="0020732A" w:rsidP="0020732A">
      <w:pPr>
        <w:rPr>
          <w:rtl/>
        </w:rPr>
      </w:pPr>
      <w:r w:rsidRPr="0025250D">
        <w:rPr>
          <w:rFonts w:hint="cs"/>
          <w:rtl/>
        </w:rPr>
        <w:t xml:space="preserve">چگونگی ارتباط هرم افلاطون را با هرم </w:t>
      </w:r>
      <w:r w:rsidRPr="0025250D">
        <w:rPr>
          <w:rtl/>
        </w:rPr>
        <w:t>آینده‌نگاری</w:t>
      </w:r>
      <w:r w:rsidRPr="0025250D">
        <w:rPr>
          <w:rFonts w:hint="cs"/>
          <w:rtl/>
        </w:rPr>
        <w:t xml:space="preserve"> کلاسیک در نظر بگیرید:</w:t>
      </w:r>
    </w:p>
    <w:p w14:paraId="5EF32B22" w14:textId="6EAE3F3C" w:rsidR="0020732A" w:rsidRPr="0025250D" w:rsidRDefault="0020732A" w:rsidP="00492C47">
      <w:pPr>
        <w:numPr>
          <w:ilvl w:val="0"/>
          <w:numId w:val="10"/>
        </w:numPr>
        <w:rPr>
          <w:rtl/>
        </w:rPr>
      </w:pPr>
      <w:r w:rsidRPr="0025250D">
        <w:rPr>
          <w:rtl/>
        </w:rPr>
        <w:t>آینده‌نگاری</w:t>
      </w:r>
      <w:r w:rsidRPr="0025250D">
        <w:rPr>
          <w:rFonts w:hint="cs"/>
          <w:rtl/>
        </w:rPr>
        <w:t xml:space="preserve"> موارد محتمل</w:t>
      </w:r>
      <w:r w:rsidRPr="0025250D">
        <w:rPr>
          <w:vertAlign w:val="superscript"/>
          <w:rtl/>
        </w:rPr>
        <w:footnoteReference w:id="349"/>
      </w:r>
      <w:r w:rsidRPr="0025250D">
        <w:rPr>
          <w:rFonts w:hint="cs"/>
          <w:rtl/>
        </w:rPr>
        <w:t xml:space="preserve"> توسط ارزش‌های مرتبط با درستی</w:t>
      </w:r>
      <w:r w:rsidRPr="0025250D">
        <w:rPr>
          <w:vertAlign w:val="superscript"/>
          <w:rtl/>
        </w:rPr>
        <w:footnoteReference w:id="350"/>
      </w:r>
      <w:r w:rsidRPr="0025250D">
        <w:rPr>
          <w:rFonts w:hint="cs"/>
          <w:rtl/>
        </w:rPr>
        <w:t xml:space="preserve"> و اکتشاف برانگیخته می‌شود.</w:t>
      </w:r>
    </w:p>
    <w:p w14:paraId="31CAA8B8" w14:textId="77777777" w:rsidR="0020732A" w:rsidRPr="0025250D" w:rsidRDefault="0020732A" w:rsidP="00492C47">
      <w:pPr>
        <w:numPr>
          <w:ilvl w:val="0"/>
          <w:numId w:val="10"/>
        </w:numPr>
      </w:pPr>
      <w:r w:rsidRPr="0025250D">
        <w:rPr>
          <w:rtl/>
        </w:rPr>
        <w:lastRenderedPageBreak/>
        <w:t>آینده‌نگاری</w:t>
      </w:r>
      <w:r w:rsidRPr="0025250D">
        <w:rPr>
          <w:rFonts w:hint="cs"/>
          <w:rtl/>
        </w:rPr>
        <w:t xml:space="preserve"> موارد ممکن</w:t>
      </w:r>
      <w:r w:rsidRPr="0025250D">
        <w:rPr>
          <w:vertAlign w:val="superscript"/>
          <w:rtl/>
        </w:rPr>
        <w:footnoteReference w:id="351"/>
      </w:r>
      <w:r w:rsidRPr="0025250D">
        <w:rPr>
          <w:rFonts w:hint="cs"/>
          <w:rtl/>
        </w:rPr>
        <w:t xml:space="preserve"> با ارزش‌های مرتبط با زیبایی و خلاقیت برانگیخته می‌شود</w:t>
      </w:r>
    </w:p>
    <w:p w14:paraId="46B76DDD" w14:textId="3B395F0A" w:rsidR="0020732A" w:rsidRPr="0025250D" w:rsidRDefault="0020732A" w:rsidP="00492C47">
      <w:pPr>
        <w:numPr>
          <w:ilvl w:val="0"/>
          <w:numId w:val="10"/>
        </w:numPr>
      </w:pPr>
      <w:r w:rsidRPr="0025250D">
        <w:rPr>
          <w:rtl/>
        </w:rPr>
        <w:t>آینده‌نگاری</w:t>
      </w:r>
      <w:r w:rsidRPr="0025250D">
        <w:rPr>
          <w:rFonts w:hint="cs"/>
          <w:rtl/>
        </w:rPr>
        <w:t xml:space="preserve"> موارد مرجح با ارزش‌های خوبی و </w:t>
      </w:r>
      <w:r w:rsidR="00AE5BE0" w:rsidRPr="0025250D">
        <w:rPr>
          <w:rFonts w:hint="cs"/>
          <w:rtl/>
        </w:rPr>
        <w:t>انطباق</w:t>
      </w:r>
      <w:r w:rsidRPr="0025250D">
        <w:rPr>
          <w:rFonts w:hint="cs"/>
          <w:rtl/>
        </w:rPr>
        <w:t xml:space="preserve"> برانگیخته می‌شود.</w:t>
      </w:r>
    </w:p>
    <w:p w14:paraId="05FE9B05" w14:textId="4195380F" w:rsidR="0020732A" w:rsidRPr="0025250D" w:rsidRDefault="0020732A" w:rsidP="0020732A">
      <w:pPr>
        <w:rPr>
          <w:rtl/>
        </w:rPr>
      </w:pPr>
      <w:r w:rsidRPr="0025250D">
        <w:rPr>
          <w:rFonts w:hint="cs"/>
          <w:rtl/>
        </w:rPr>
        <w:t xml:space="preserve">بنابراین هرم افلاطون ساده‌ترین مدل ارزش‌های فراگیر و </w:t>
      </w:r>
      <w:r w:rsidRPr="0025250D">
        <w:rPr>
          <w:rtl/>
        </w:rPr>
        <w:t>آینده‌نگاری</w:t>
      </w:r>
      <w:r w:rsidRPr="0025250D">
        <w:rPr>
          <w:rFonts w:hint="cs"/>
          <w:rtl/>
        </w:rPr>
        <w:t xml:space="preserve"> هنجاری است که می‌شناسیم. ما این هرم را به شکل‌های متعددی در این کتاب استفاده خواهیم کرد. در فصل 3، خواهیم دید که این هرم ارزش‌ها با مجموعه‌ای از سه سبک تصمیم‌گیری کلاسیک سازگار است. این سبک‌ها می‌توانند با پرسشنامه </w:t>
      </w:r>
      <w:r w:rsidR="00AE5BE0" w:rsidRPr="0025250D">
        <w:rPr>
          <w:rFonts w:hint="cs"/>
          <w:rtl/>
        </w:rPr>
        <w:t>انطباق</w:t>
      </w:r>
      <w:r w:rsidRPr="0025250D">
        <w:rPr>
          <w:rFonts w:hint="cs"/>
          <w:rtl/>
        </w:rPr>
        <w:t xml:space="preserve">-نوآوری </w:t>
      </w:r>
      <w:r w:rsidRPr="0025250D">
        <w:rPr>
          <w:rtl/>
        </w:rPr>
        <w:t>کرتون</w:t>
      </w:r>
      <w:r w:rsidRPr="0025250D">
        <w:rPr>
          <w:vertAlign w:val="superscript"/>
          <w:rtl/>
        </w:rPr>
        <w:footnoteReference w:id="352"/>
      </w:r>
      <w:r w:rsidRPr="0025250D">
        <w:rPr>
          <w:rFonts w:hint="cs"/>
          <w:rtl/>
        </w:rPr>
        <w:t xml:space="preserve"> (</w:t>
      </w:r>
      <w:r w:rsidRPr="0025250D">
        <w:t>KAI</w:t>
      </w:r>
      <w:r w:rsidRPr="0025250D">
        <w:rPr>
          <w:rFonts w:hint="cs"/>
          <w:rtl/>
        </w:rPr>
        <w:t xml:space="preserve">) ارزیابی شوند. روانشانس </w:t>
      </w:r>
      <w:r w:rsidRPr="0025250D">
        <w:rPr>
          <w:rtl/>
        </w:rPr>
        <w:t>ما</w:t>
      </w:r>
      <w:r w:rsidRPr="0025250D">
        <w:rPr>
          <w:rFonts w:hint="cs"/>
          <w:rtl/>
        </w:rPr>
        <w:t>ی</w:t>
      </w:r>
      <w:r w:rsidRPr="0025250D">
        <w:rPr>
          <w:rFonts w:hint="eastAsia"/>
          <w:rtl/>
        </w:rPr>
        <w:t>کل</w:t>
      </w:r>
      <w:r w:rsidRPr="0025250D">
        <w:rPr>
          <w:rtl/>
        </w:rPr>
        <w:t xml:space="preserve"> کرتون</w:t>
      </w:r>
      <w:r w:rsidRPr="0025250D">
        <w:rPr>
          <w:vertAlign w:val="superscript"/>
          <w:rtl/>
        </w:rPr>
        <w:footnoteReference w:id="353"/>
      </w:r>
      <w:r w:rsidRPr="0025250D">
        <w:rPr>
          <w:rFonts w:hint="cs"/>
          <w:rtl/>
        </w:rPr>
        <w:t xml:space="preserve"> دریافت که بیش‌تر افراد (</w:t>
      </w:r>
      <w:r w:rsidR="00116646" w:rsidRPr="0025250D">
        <w:rPr>
          <w:rtl/>
        </w:rPr>
        <w:t>«</w:t>
      </w:r>
      <w:r w:rsidRPr="0025250D">
        <w:rPr>
          <w:rFonts w:hint="cs"/>
          <w:rtl/>
        </w:rPr>
        <w:t>رأس هرم</w:t>
      </w:r>
      <w:r w:rsidR="00116646" w:rsidRPr="0025250D">
        <w:rPr>
          <w:rtl/>
        </w:rPr>
        <w:t>»</w:t>
      </w:r>
      <w:r w:rsidRPr="0025250D">
        <w:rPr>
          <w:rFonts w:hint="cs"/>
          <w:rtl/>
        </w:rPr>
        <w:t xml:space="preserve">، در فراوانی جمعیت) متفکرین ترجیحی هستند. او چنین افرادی را </w:t>
      </w:r>
      <w:r w:rsidR="00116646" w:rsidRPr="0025250D">
        <w:rPr>
          <w:rtl/>
        </w:rPr>
        <w:t>«</w:t>
      </w:r>
      <w:r w:rsidR="0053184A" w:rsidRPr="0025250D">
        <w:rPr>
          <w:rFonts w:hint="cs"/>
          <w:rtl/>
        </w:rPr>
        <w:t>پیونددهندگان</w:t>
      </w:r>
      <w:r w:rsidRPr="0025250D">
        <w:rPr>
          <w:vertAlign w:val="superscript"/>
          <w:rtl/>
        </w:rPr>
        <w:footnoteReference w:id="354"/>
      </w:r>
      <w:r w:rsidR="00116646" w:rsidRPr="0025250D">
        <w:rPr>
          <w:rtl/>
        </w:rPr>
        <w:t>»</w:t>
      </w:r>
      <w:r w:rsidRPr="0025250D">
        <w:rPr>
          <w:rFonts w:hint="cs"/>
          <w:rtl/>
        </w:rPr>
        <w:t xml:space="preserve"> می‌نامد، زیرا یکی از نقش‌های اصلی اجتماعی آنان میانجی</w:t>
      </w:r>
      <w:r w:rsidR="00B453C0" w:rsidRPr="0025250D">
        <w:rPr>
          <w:rFonts w:hint="cs"/>
          <w:rtl/>
        </w:rPr>
        <w:t>‌</w:t>
      </w:r>
      <w:r w:rsidRPr="0025250D">
        <w:rPr>
          <w:rFonts w:hint="cs"/>
          <w:rtl/>
        </w:rPr>
        <w:t xml:space="preserve">گری در تناقضات میان افراد با دو نوع پایه ای‌تر و منحصربه‌فرد‌تر است. آن انواع دیگر از افراد یا به‌صورت متعادل یا </w:t>
      </w:r>
      <w:r w:rsidR="00B453C0" w:rsidRPr="0025250D">
        <w:rPr>
          <w:rFonts w:hint="cs"/>
          <w:rtl/>
        </w:rPr>
        <w:t>با شدت بیشتری</w:t>
      </w:r>
      <w:r w:rsidRPr="0025250D">
        <w:rPr>
          <w:rFonts w:hint="cs"/>
          <w:rtl/>
        </w:rPr>
        <w:t xml:space="preserve"> تفکر امکان</w:t>
      </w:r>
      <w:r w:rsidR="00B453C0" w:rsidRPr="0025250D">
        <w:rPr>
          <w:rFonts w:hint="cs"/>
          <w:rtl/>
        </w:rPr>
        <w:t>‌</w:t>
      </w:r>
      <w:r w:rsidRPr="0025250D">
        <w:rPr>
          <w:rFonts w:hint="cs"/>
          <w:rtl/>
        </w:rPr>
        <w:t>پذیر (</w:t>
      </w:r>
      <w:r w:rsidR="00116646" w:rsidRPr="0025250D">
        <w:rPr>
          <w:rtl/>
        </w:rPr>
        <w:t>«</w:t>
      </w:r>
      <w:r w:rsidRPr="0025250D">
        <w:rPr>
          <w:rFonts w:hint="cs"/>
          <w:rtl/>
        </w:rPr>
        <w:t>نوآوران</w:t>
      </w:r>
      <w:r w:rsidR="00116646" w:rsidRPr="0025250D">
        <w:rPr>
          <w:rtl/>
        </w:rPr>
        <w:t>»</w:t>
      </w:r>
      <w:r w:rsidRPr="0025250D">
        <w:rPr>
          <w:rFonts w:hint="cs"/>
          <w:rtl/>
        </w:rPr>
        <w:t xml:space="preserve">) یا تفکر احتمالی را ترجیح می‌دهند (او این افراد را </w:t>
      </w:r>
      <w:r w:rsidR="00116646" w:rsidRPr="0025250D">
        <w:rPr>
          <w:rtl/>
        </w:rPr>
        <w:t>«</w:t>
      </w:r>
      <w:r w:rsidR="00AE5BE0" w:rsidRPr="0025250D">
        <w:rPr>
          <w:rFonts w:hint="cs"/>
          <w:rtl/>
        </w:rPr>
        <w:t>انطباقی</w:t>
      </w:r>
      <w:r w:rsidRPr="0025250D">
        <w:rPr>
          <w:rFonts w:hint="cs"/>
          <w:rtl/>
        </w:rPr>
        <w:t>ان</w:t>
      </w:r>
      <w:r w:rsidRPr="0025250D">
        <w:rPr>
          <w:vertAlign w:val="superscript"/>
          <w:rtl/>
        </w:rPr>
        <w:footnoteReference w:id="355"/>
      </w:r>
      <w:r w:rsidR="00116646" w:rsidRPr="0025250D">
        <w:rPr>
          <w:rtl/>
        </w:rPr>
        <w:t>»</w:t>
      </w:r>
      <w:r w:rsidRPr="0025250D">
        <w:rPr>
          <w:rFonts w:hint="cs"/>
          <w:rtl/>
        </w:rPr>
        <w:t xml:space="preserve"> می‌نامد، ما آن‌ها را </w:t>
      </w:r>
      <w:r w:rsidR="00116646" w:rsidRPr="0025250D">
        <w:rPr>
          <w:rtl/>
        </w:rPr>
        <w:t>«</w:t>
      </w:r>
      <w:r w:rsidRPr="0025250D">
        <w:rPr>
          <w:rFonts w:hint="cs"/>
          <w:rtl/>
        </w:rPr>
        <w:t>محافظت کنندگان</w:t>
      </w:r>
      <w:r w:rsidRPr="0025250D">
        <w:rPr>
          <w:vertAlign w:val="superscript"/>
          <w:rtl/>
        </w:rPr>
        <w:footnoteReference w:id="356"/>
      </w:r>
      <w:r w:rsidR="00116646" w:rsidRPr="0025250D">
        <w:rPr>
          <w:rtl/>
        </w:rPr>
        <w:t>»</w:t>
      </w:r>
      <w:r w:rsidRPr="0025250D">
        <w:rPr>
          <w:rFonts w:hint="cs"/>
          <w:rtl/>
        </w:rPr>
        <w:t xml:space="preserve"> می‌نامیم).</w:t>
      </w:r>
      <w:r w:rsidR="008D6F97" w:rsidRPr="0025250D">
        <w:rPr>
          <w:rtl/>
        </w:rPr>
        <w:t xml:space="preserve"> </w:t>
      </w:r>
      <w:r w:rsidRPr="0025250D">
        <w:rPr>
          <w:rFonts w:hint="cs"/>
          <w:rtl/>
        </w:rPr>
        <w:t xml:space="preserve">این دو گروه اغلب با یکدیگر در تیم‌ها اختلاف نظر دارند، بااین‌حال هر دو برای </w:t>
      </w:r>
      <w:r w:rsidR="00AE5BE0" w:rsidRPr="0025250D">
        <w:rPr>
          <w:rFonts w:hint="cs"/>
          <w:rtl/>
        </w:rPr>
        <w:t>انطباق</w:t>
      </w:r>
      <w:r w:rsidRPr="0025250D">
        <w:rPr>
          <w:rFonts w:hint="cs"/>
          <w:rtl/>
        </w:rPr>
        <w:t xml:space="preserve"> حیاتی هستند. یک رهبر خوب اطمینان حاصل می‌کند که ایمنی روانشناختی برای هر سه نوع از این تصمیم گیرندگان در تیم وجود دارد.</w:t>
      </w:r>
    </w:p>
    <w:p w14:paraId="138DB93B" w14:textId="142F5B0D" w:rsidR="0020732A" w:rsidRPr="0025250D" w:rsidRDefault="0020732A" w:rsidP="0020732A">
      <w:pPr>
        <w:rPr>
          <w:rtl/>
        </w:rPr>
      </w:pPr>
      <w:r w:rsidRPr="0025250D">
        <w:rPr>
          <w:rFonts w:hint="cs"/>
          <w:rtl/>
        </w:rPr>
        <w:t xml:space="preserve">اسلاید زیر مدل </w:t>
      </w:r>
      <w:r w:rsidRPr="0025250D">
        <w:rPr>
          <w:rtl/>
        </w:rPr>
        <w:t>کرتون</w:t>
      </w:r>
      <w:r w:rsidRPr="0025250D">
        <w:rPr>
          <w:rFonts w:hint="cs"/>
          <w:rtl/>
        </w:rPr>
        <w:t xml:space="preserve"> را با جایگزینی اصطلاح محافظت</w:t>
      </w:r>
      <w:r w:rsidRPr="0025250D">
        <w:rPr>
          <w:rtl/>
        </w:rPr>
        <w:t xml:space="preserve"> </w:t>
      </w:r>
      <w:r w:rsidRPr="0025250D">
        <w:rPr>
          <w:rFonts w:hint="cs"/>
          <w:rtl/>
        </w:rPr>
        <w:t>کننده</w:t>
      </w:r>
      <w:r w:rsidRPr="0025250D">
        <w:rPr>
          <w:rtl/>
        </w:rPr>
        <w:t xml:space="preserve"> </w:t>
      </w:r>
      <w:r w:rsidRPr="0025250D">
        <w:rPr>
          <w:rFonts w:hint="cs"/>
          <w:rtl/>
        </w:rPr>
        <w:t xml:space="preserve">ما بجای اصطلاح </w:t>
      </w:r>
      <w:r w:rsidR="00AE5BE0" w:rsidRPr="0025250D">
        <w:rPr>
          <w:rFonts w:hint="cs"/>
          <w:rtl/>
        </w:rPr>
        <w:t>انطباقی</w:t>
      </w:r>
      <w:r w:rsidRPr="0025250D">
        <w:rPr>
          <w:rtl/>
        </w:rPr>
        <w:t xml:space="preserve"> کرتون</w:t>
      </w:r>
      <w:r w:rsidRPr="0025250D">
        <w:rPr>
          <w:rFonts w:hint="cs"/>
          <w:rtl/>
        </w:rPr>
        <w:t xml:space="preserve"> خلاصه می‌کند.</w:t>
      </w:r>
    </w:p>
    <w:p w14:paraId="3F07B891" w14:textId="25088300" w:rsidR="0020732A" w:rsidRPr="0025250D" w:rsidRDefault="00AE7945" w:rsidP="00AE7945">
      <w:pPr>
        <w:jc w:val="center"/>
        <w:rPr>
          <w:rtl/>
        </w:rPr>
      </w:pPr>
      <w:r w:rsidRPr="0025250D">
        <w:rPr>
          <w:noProof/>
        </w:rPr>
        <w:drawing>
          <wp:inline distT="0" distB="0" distL="0" distR="0" wp14:anchorId="275D64F2" wp14:editId="1C058DD6">
            <wp:extent cx="5761244" cy="4285753"/>
            <wp:effectExtent l="0" t="0" r="0" b="63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5778150" cy="4298329"/>
                    </a:xfrm>
                    <a:prstGeom prst="rect">
                      <a:avLst/>
                    </a:prstGeom>
                    <a:noFill/>
                  </pic:spPr>
                </pic:pic>
              </a:graphicData>
            </a:graphic>
          </wp:inline>
        </w:drawing>
      </w:r>
    </w:p>
    <w:p w14:paraId="26406BFE" w14:textId="524C9990" w:rsidR="0020732A" w:rsidRPr="0025250D" w:rsidRDefault="0020732A" w:rsidP="0020732A">
      <w:pPr>
        <w:rPr>
          <w:rtl/>
        </w:rPr>
      </w:pPr>
      <w:r w:rsidRPr="0025250D">
        <w:rPr>
          <w:rFonts w:hint="cs"/>
          <w:rtl/>
        </w:rPr>
        <w:t xml:space="preserve">خوانندگان هوشیار اکنون متوجه می‌شوند که هرم زمانی، هرم </w:t>
      </w:r>
      <w:r w:rsidRPr="0025250D">
        <w:rPr>
          <w:rtl/>
        </w:rPr>
        <w:t>آینده‌نگاری</w:t>
      </w:r>
      <w:r w:rsidRPr="0025250D">
        <w:rPr>
          <w:rFonts w:hint="cs"/>
          <w:rtl/>
        </w:rPr>
        <w:t xml:space="preserve"> و هرم ارزش‌ها و این هرم سبک‌های شناختی همگی همبستگی بالایی با هم دارند. افرادی که به‌خوبی و به‌طور مکرر در مورد گذشته فکر می‌کنند می‌توانند اغلب متفکرین احتمالی بسیار خوبی باشند: آن‌ها اغلب </w:t>
      </w:r>
      <w:r w:rsidRPr="0025250D">
        <w:rPr>
          <w:rFonts w:hint="cs"/>
          <w:rtl/>
        </w:rPr>
        <w:lastRenderedPageBreak/>
        <w:t xml:space="preserve">برای کشف </w:t>
      </w:r>
      <w:r w:rsidR="00116646" w:rsidRPr="0025250D">
        <w:rPr>
          <w:rtl/>
        </w:rPr>
        <w:t>«</w:t>
      </w:r>
      <w:r w:rsidRPr="0025250D">
        <w:rPr>
          <w:rFonts w:hint="cs"/>
          <w:rtl/>
        </w:rPr>
        <w:t>درستی</w:t>
      </w:r>
      <w:r w:rsidRPr="0025250D">
        <w:rPr>
          <w:vertAlign w:val="superscript"/>
          <w:rtl/>
        </w:rPr>
        <w:footnoteReference w:id="357"/>
      </w:r>
      <w:r w:rsidR="00116646" w:rsidRPr="0025250D">
        <w:rPr>
          <w:rtl/>
        </w:rPr>
        <w:t>»</w:t>
      </w:r>
      <w:r w:rsidRPr="0025250D">
        <w:rPr>
          <w:rFonts w:hint="cs"/>
          <w:rtl/>
        </w:rPr>
        <w:t xml:space="preserve"> انگیزه دارند و می‌توانند مدل‌ها، منحنی ‌ها</w:t>
      </w:r>
      <w:r w:rsidR="008D6F97" w:rsidRPr="0025250D">
        <w:rPr>
          <w:rtl/>
        </w:rPr>
        <w:t xml:space="preserve"> </w:t>
      </w:r>
      <w:r w:rsidRPr="0025250D">
        <w:rPr>
          <w:rFonts w:hint="cs"/>
          <w:rtl/>
        </w:rPr>
        <w:t>و روندهای معمول را ببینند. افرادی که مکررا و به‌خوبی در مورد آینده فکر می‌کنند می‌توانند متفکران خوبی</w:t>
      </w:r>
      <w:r w:rsidR="00B453C0" w:rsidRPr="0025250D">
        <w:rPr>
          <w:rFonts w:hint="cs"/>
          <w:rtl/>
        </w:rPr>
        <w:t xml:space="preserve"> در زمینه موارد ممکن</w:t>
      </w:r>
      <w:r w:rsidRPr="0025250D">
        <w:rPr>
          <w:rFonts w:hint="cs"/>
          <w:rtl/>
        </w:rPr>
        <w:t xml:space="preserve"> باشند: آن‌ها اغلب برای خلق زیبایی انگیزه دارند و می‌توانند گزینه‌ها و عدم قطعیت‌های موجود را ببینند. افرادی که مکررا و به‌خوبی در مورد زمان حال فکر می‌کنند، می‌توانند متفکرین ترجیحی خوبی باشند: آن‌ها می‌توانند چشم‌انداز‌ها و ترس‌های مشترک ذینفعان را ببینند. آن‌ها اغلب برای حرکت به سمت خوبی انگیزه دارند، درحالی‌که از بدی اجتناب می‌کنند و پیشرفت خود را از این نظر اندازه گیری می‌کنند.</w:t>
      </w:r>
    </w:p>
    <w:p w14:paraId="107BB689" w14:textId="08114B7A" w:rsidR="0020732A" w:rsidRPr="0025250D" w:rsidRDefault="0020732A" w:rsidP="0020732A">
      <w:pPr>
        <w:rPr>
          <w:rtl/>
        </w:rPr>
      </w:pPr>
      <w:r w:rsidRPr="0025250D">
        <w:rPr>
          <w:rFonts w:hint="cs"/>
          <w:rtl/>
        </w:rPr>
        <w:t xml:space="preserve">از دید ما، این هرم‌ها با هم سازگارند زیرا هر یک دیدگاه‌هایی متفاوت در مورد فرایند‌های تکاملی-توسعه‌ای فراگیر یکسان هستند که توسط سامانه‌های زنده مورد استفاده قرار می‌گیرند. انتظار داریم که همه سامانه‌های پیچیده هوشمند، بر روی زمین و فرضا در هر جای دیگر در کهکشان، مجبور باشند این روابط را بین زمان، </w:t>
      </w:r>
      <w:r w:rsidRPr="0025250D">
        <w:rPr>
          <w:rtl/>
        </w:rPr>
        <w:t>آینده‌نگاری</w:t>
      </w:r>
      <w:r w:rsidRPr="0025250D">
        <w:rPr>
          <w:rFonts w:hint="cs"/>
          <w:rtl/>
        </w:rPr>
        <w:t xml:space="preserve"> و ارزش‌ها مجسم</w:t>
      </w:r>
      <w:r w:rsidRPr="0025250D">
        <w:rPr>
          <w:vertAlign w:val="superscript"/>
          <w:rtl/>
        </w:rPr>
        <w:footnoteReference w:id="358"/>
      </w:r>
      <w:r w:rsidRPr="0025250D">
        <w:rPr>
          <w:rFonts w:hint="cs"/>
          <w:rtl/>
        </w:rPr>
        <w:t xml:space="preserve"> کنند. هر سه گوشه این هرم‌ها به نظر برای نحوه مدیریت پیچیدگی و تغییر توسط حیات اساسی هستند.</w:t>
      </w:r>
    </w:p>
    <w:p w14:paraId="75164F47" w14:textId="05AE0F0A" w:rsidR="0020732A" w:rsidRPr="0025250D" w:rsidRDefault="0020732A" w:rsidP="0020732A">
      <w:pPr>
        <w:rPr>
          <w:rtl/>
        </w:rPr>
      </w:pPr>
      <w:r w:rsidRPr="0025250D">
        <w:rPr>
          <w:rFonts w:hint="cs"/>
          <w:rtl/>
        </w:rPr>
        <w:t xml:space="preserve">اکنون لحظه‌ای را به مقایسه تفکرات خود در مورد هر هرم (زمان، </w:t>
      </w:r>
      <w:r w:rsidRPr="0025250D">
        <w:rPr>
          <w:rtl/>
        </w:rPr>
        <w:t>آینده‌نگاری</w:t>
      </w:r>
      <w:r w:rsidRPr="0025250D">
        <w:rPr>
          <w:rFonts w:hint="cs"/>
          <w:rtl/>
        </w:rPr>
        <w:t xml:space="preserve"> و ارزش ها) اختصاص دهید: از کدام هرم آگاه بودید؟ آگاه‌تر بودن در مورد هر یک از این</w:t>
      </w:r>
      <w:r w:rsidR="00AF54F7" w:rsidRPr="0025250D">
        <w:rPr>
          <w:rFonts w:hint="cs"/>
          <w:rtl/>
        </w:rPr>
        <w:t xml:space="preserve"> موارد</w:t>
      </w:r>
      <w:r w:rsidRPr="0025250D">
        <w:rPr>
          <w:rFonts w:hint="cs"/>
          <w:rtl/>
        </w:rPr>
        <w:t xml:space="preserve"> چگونه به تفکر شما کمک خواهد کرد؟ آیا تمایل دارید که گوشه‌های یکسانی را در هر هرم ترجیح دهید؟ این امر چه زمانی نادرست است؟ آیا درک خوبی از زمان مناسب برای استفاده از هر گوشه هر هرم و زمان تغییر دیدگاه‌ها دارید؟ در مورد تیمتان چطور؟ کِی و کجا در تغییر از گوشه‌های موردعلاقه خود در هر یک از هرم‌ها دچار مشکل هستید؟ در کدامیک توانایی بیش‌تری برای تخصیص وظایف به دیگر افرادی که در برخی از این گوشه‌ها از شما توان مند‌تر هستند دارید؟ در کدامیک کم‌ترین توانایی را دارید؟ چرا؟ ما این چالش‌ها را در سر تا سر این کتاب مورد بحث قرار خواهیم داد.</w:t>
      </w:r>
    </w:p>
    <w:p w14:paraId="73EC48C2" w14:textId="77777777" w:rsidR="0020732A" w:rsidRPr="0025250D" w:rsidRDefault="0020732A" w:rsidP="00D54462">
      <w:pPr>
        <w:pStyle w:val="Heading3"/>
        <w:rPr>
          <w:rtl/>
        </w:rPr>
      </w:pPr>
      <w:r w:rsidRPr="0025250D">
        <w:rPr>
          <w:rFonts w:hint="cs"/>
          <w:rtl/>
        </w:rPr>
        <w:t>رهبری دیگران: هرم رهبری (جوجه تیغی، روباه، عقاب)</w:t>
      </w:r>
    </w:p>
    <w:p w14:paraId="4AB01EF5" w14:textId="7DB865B9" w:rsidR="0020732A" w:rsidRPr="0025250D" w:rsidRDefault="0020732A" w:rsidP="0020732A">
      <w:pPr>
        <w:rPr>
          <w:rtl/>
        </w:rPr>
      </w:pPr>
      <w:r w:rsidRPr="0025250D">
        <w:rPr>
          <w:rFonts w:hint="cs"/>
          <w:rtl/>
        </w:rPr>
        <w:t xml:space="preserve">ما اکنون می‌توانیم سه سبک (جهانی) از مدل سازی آینده را که همگی از آن‌ها استفاده می‌کنیم توصیف کنیم، چه خود را رهبری نماییم و چه دیگران را. این سبک‌ها همچنین با هرم‌هایی که به تازگی مورد بحث قرار دادیم سازگاری دارند. ما همچنین یک سبک چهارم که در خارج از این هرم رخ می‌دهد و معمولاً </w:t>
      </w:r>
      <w:r w:rsidR="008E4DB3" w:rsidRPr="0025250D">
        <w:rPr>
          <w:rFonts w:hint="cs"/>
          <w:rtl/>
        </w:rPr>
        <w:t>غیرانطباقی</w:t>
      </w:r>
      <w:r w:rsidRPr="0025250D">
        <w:rPr>
          <w:vertAlign w:val="superscript"/>
          <w:rtl/>
        </w:rPr>
        <w:footnoteReference w:id="359"/>
      </w:r>
      <w:r w:rsidRPr="0025250D">
        <w:rPr>
          <w:rFonts w:hint="cs"/>
          <w:rtl/>
        </w:rPr>
        <w:t xml:space="preserve"> است را مورد بحث قرار خواهیم داد. روانشناسان و محققین رهبری نام‌های حیواناتی را برای توصیف این سبک‌ها اختصاص داده‌اند: جوجه</w:t>
      </w:r>
      <w:r w:rsidRPr="0025250D">
        <w:rPr>
          <w:rtl/>
        </w:rPr>
        <w:t xml:space="preserve"> </w:t>
      </w:r>
      <w:r w:rsidRPr="0025250D">
        <w:rPr>
          <w:rFonts w:hint="cs"/>
          <w:rtl/>
        </w:rPr>
        <w:t>تیغی،</w:t>
      </w:r>
      <w:r w:rsidRPr="0025250D">
        <w:rPr>
          <w:rtl/>
        </w:rPr>
        <w:t xml:space="preserve"> </w:t>
      </w:r>
      <w:r w:rsidRPr="0025250D">
        <w:rPr>
          <w:rFonts w:hint="cs"/>
          <w:rtl/>
        </w:rPr>
        <w:t>روباه،</w:t>
      </w:r>
      <w:r w:rsidRPr="0025250D">
        <w:rPr>
          <w:rtl/>
        </w:rPr>
        <w:t xml:space="preserve"> </w:t>
      </w:r>
      <w:r w:rsidRPr="0025250D">
        <w:rPr>
          <w:rFonts w:hint="cs"/>
          <w:rtl/>
        </w:rPr>
        <w:t>عقاب و شترمرغ. بار دیگر، الگوهای آنان به نظر فراگیر می‌رسد، به همین دلیل ما معتقدیم که ارزش به خاطر سپاری و استفاده را دارند.</w:t>
      </w:r>
    </w:p>
    <w:p w14:paraId="61A066CE" w14:textId="33BBE402" w:rsidR="0020732A" w:rsidRPr="0025250D" w:rsidRDefault="0020732A" w:rsidP="0020732A">
      <w:pPr>
        <w:rPr>
          <w:rtl/>
        </w:rPr>
      </w:pPr>
      <w:r w:rsidRPr="0025250D">
        <w:rPr>
          <w:rFonts w:hint="cs"/>
          <w:rtl/>
        </w:rPr>
        <w:t xml:space="preserve">ما قبلا روباه و جوجه تیغی را از بیان فیلسوف </w:t>
      </w:r>
      <w:r w:rsidRPr="0025250D">
        <w:rPr>
          <w:rtl/>
        </w:rPr>
        <w:t>آ</w:t>
      </w:r>
      <w:r w:rsidRPr="0025250D">
        <w:rPr>
          <w:rFonts w:hint="cs"/>
          <w:rtl/>
        </w:rPr>
        <w:t>ی</w:t>
      </w:r>
      <w:r w:rsidRPr="0025250D">
        <w:rPr>
          <w:rFonts w:hint="eastAsia"/>
          <w:rtl/>
        </w:rPr>
        <w:t>زا</w:t>
      </w:r>
      <w:r w:rsidRPr="0025250D">
        <w:rPr>
          <w:rFonts w:hint="cs"/>
          <w:rtl/>
        </w:rPr>
        <w:t>ی</w:t>
      </w:r>
      <w:r w:rsidRPr="0025250D">
        <w:rPr>
          <w:rFonts w:hint="eastAsia"/>
          <w:rtl/>
        </w:rPr>
        <w:t>ا</w:t>
      </w:r>
      <w:r w:rsidRPr="0025250D">
        <w:rPr>
          <w:rtl/>
        </w:rPr>
        <w:t xml:space="preserve"> برل</w:t>
      </w:r>
      <w:r w:rsidRPr="0025250D">
        <w:rPr>
          <w:rFonts w:hint="cs"/>
          <w:rtl/>
        </w:rPr>
        <w:t>ی</w:t>
      </w:r>
      <w:r w:rsidRPr="0025250D">
        <w:rPr>
          <w:rFonts w:hint="eastAsia"/>
          <w:rtl/>
        </w:rPr>
        <w:t>ن</w:t>
      </w:r>
      <w:r w:rsidRPr="0025250D">
        <w:rPr>
          <w:rFonts w:hint="cs"/>
          <w:rtl/>
        </w:rPr>
        <w:t xml:space="preserve"> معرفی کرده‌ایم. به خاطر داشته باشید که روباه‌ها امکان گرا هستند و نسبت به نظریه‌های </w:t>
      </w:r>
      <w:r w:rsidRPr="0025250D">
        <w:rPr>
          <w:rtl/>
        </w:rPr>
        <w:t>فراگ</w:t>
      </w:r>
      <w:r w:rsidRPr="0025250D">
        <w:rPr>
          <w:rFonts w:hint="cs"/>
          <w:rtl/>
        </w:rPr>
        <w:t>ی</w:t>
      </w:r>
      <w:r w:rsidRPr="0025250D">
        <w:rPr>
          <w:rFonts w:hint="eastAsia"/>
          <w:rtl/>
        </w:rPr>
        <w:t>ر</w:t>
      </w:r>
      <w:r w:rsidRPr="0025250D">
        <w:rPr>
          <w:vertAlign w:val="superscript"/>
          <w:rtl/>
        </w:rPr>
        <w:footnoteReference w:id="360"/>
      </w:r>
      <w:r w:rsidRPr="0025250D">
        <w:rPr>
          <w:rFonts w:hint="cs"/>
          <w:rtl/>
        </w:rPr>
        <w:t xml:space="preserve"> بدبینند. آن‌ها دوست دارند که از میان مجموعه وسیعی از ایده‌ها و روش‌ها که از منابع متنوعی حاصل شده‌اند، انتخاب کنند. </w:t>
      </w:r>
      <w:r w:rsidRPr="0025250D">
        <w:rPr>
          <w:rtl/>
        </w:rPr>
        <w:t xml:space="preserve">آن‌ها از </w:t>
      </w:r>
      <w:r w:rsidR="00116646" w:rsidRPr="0025250D">
        <w:rPr>
          <w:rtl/>
        </w:rPr>
        <w:t>«</w:t>
      </w:r>
      <w:r w:rsidRPr="0025250D">
        <w:rPr>
          <w:rtl/>
        </w:rPr>
        <w:t>کاوش عدم قطع</w:t>
      </w:r>
      <w:r w:rsidRPr="0025250D">
        <w:rPr>
          <w:rFonts w:hint="cs"/>
          <w:rtl/>
        </w:rPr>
        <w:t>ی</w:t>
      </w:r>
      <w:r w:rsidRPr="0025250D">
        <w:rPr>
          <w:rFonts w:hint="eastAsia"/>
          <w:rtl/>
        </w:rPr>
        <w:t>ت</w:t>
      </w:r>
      <w:r w:rsidR="00116646" w:rsidRPr="0025250D">
        <w:rPr>
          <w:rtl/>
        </w:rPr>
        <w:t>»</w:t>
      </w:r>
      <w:r w:rsidRPr="0025250D">
        <w:rPr>
          <w:rtl/>
        </w:rPr>
        <w:t xml:space="preserve"> لذت می‌برند</w:t>
      </w:r>
      <w:r w:rsidRPr="0025250D">
        <w:rPr>
          <w:rFonts w:hint="cs"/>
          <w:rtl/>
        </w:rPr>
        <w:t xml:space="preserve"> و برای خلاقیت ارزش قائل می‌شوند. آن‌ها می‌توانند غیرقابل‌پیش‌بینی و غیر مطیع باشند. ما اشاره کردیم که اکثریت آینده‌پژوهان خود-خوانده</w:t>
      </w:r>
      <w:r w:rsidRPr="0025250D">
        <w:rPr>
          <w:vertAlign w:val="superscript"/>
          <w:rtl/>
        </w:rPr>
        <w:footnoteReference w:id="361"/>
      </w:r>
      <w:r w:rsidRPr="0025250D">
        <w:rPr>
          <w:rFonts w:hint="cs"/>
          <w:rtl/>
        </w:rPr>
        <w:t xml:space="preserve"> روباه هستند، اما قطعا همه آن‌ها اینگونه نیستند.</w:t>
      </w:r>
    </w:p>
    <w:p w14:paraId="6194E9D1" w14:textId="59B86C1A" w:rsidR="0020732A" w:rsidRPr="0025250D" w:rsidRDefault="0020732A" w:rsidP="00116646">
      <w:pPr>
        <w:rPr>
          <w:rtl/>
        </w:rPr>
      </w:pPr>
      <w:r w:rsidRPr="0025250D">
        <w:rPr>
          <w:rFonts w:hint="cs"/>
          <w:rtl/>
        </w:rPr>
        <w:t xml:space="preserve">جوجه تیغی‌ها بیش‌تر احتمال گرا هستند. آن‌ها استفاده از مدل‌ها و </w:t>
      </w:r>
      <w:r w:rsidR="00B13F65" w:rsidRPr="0025250D">
        <w:rPr>
          <w:rFonts w:hint="cs"/>
          <w:rtl/>
        </w:rPr>
        <w:t>چارچوب</w:t>
      </w:r>
      <w:r w:rsidRPr="0025250D">
        <w:rPr>
          <w:rFonts w:hint="cs"/>
          <w:rtl/>
        </w:rPr>
        <w:t>‌ها را ترجیح می‌دهند. آن‌ها اغلب از یک ایده، مدل، نظریه، باور یا ساختار قدرت واحد طرفداری می‌کنند. آن‌ها به دنبال قطعیت و ارزش‌های مرتبط با حقیقت هستند. آن‌ها در حوزه تخصص خود، می‌توانند قابل پیش‌بینی و پیرو</w:t>
      </w:r>
      <w:r w:rsidRPr="0025250D">
        <w:rPr>
          <w:vertAlign w:val="superscript"/>
          <w:rtl/>
        </w:rPr>
        <w:footnoteReference w:id="362"/>
      </w:r>
      <w:r w:rsidRPr="0025250D">
        <w:rPr>
          <w:rFonts w:hint="cs"/>
          <w:rtl/>
        </w:rPr>
        <w:t xml:space="preserve"> باشند. آن‌ها کار با فرایندها، </w:t>
      </w:r>
      <w:r w:rsidR="00B13F65" w:rsidRPr="0025250D">
        <w:rPr>
          <w:rFonts w:hint="cs"/>
          <w:rtl/>
        </w:rPr>
        <w:t>چارچوب</w:t>
      </w:r>
      <w:r w:rsidRPr="0025250D">
        <w:rPr>
          <w:rFonts w:hint="cs"/>
          <w:rtl/>
        </w:rPr>
        <w:t xml:space="preserve">‌ها و گام‌ها و </w:t>
      </w:r>
      <w:r w:rsidR="00116646" w:rsidRPr="0025250D">
        <w:rPr>
          <w:rtl/>
        </w:rPr>
        <w:t>«</w:t>
      </w:r>
      <w:r w:rsidR="00116646" w:rsidRPr="0025250D">
        <w:rPr>
          <w:rFonts w:hint="cs"/>
          <w:rtl/>
        </w:rPr>
        <w:t>حل مسئله</w:t>
      </w:r>
      <w:r w:rsidR="00116646" w:rsidRPr="0025250D">
        <w:rPr>
          <w:rtl/>
        </w:rPr>
        <w:t>»</w:t>
      </w:r>
      <w:r w:rsidRPr="0025250D">
        <w:rPr>
          <w:rFonts w:hint="cs"/>
          <w:rtl/>
        </w:rPr>
        <w:t xml:space="preserve"> شناخته شده را دوست دارند. ما اشاره کردیم که اکثریت </w:t>
      </w:r>
      <w:r w:rsidRPr="0025250D">
        <w:rPr>
          <w:rtl/>
        </w:rPr>
        <w:t>آینده‌نگار</w:t>
      </w:r>
      <w:r w:rsidRPr="0025250D">
        <w:rPr>
          <w:rFonts w:hint="cs"/>
          <w:rtl/>
        </w:rPr>
        <w:t xml:space="preserve">ان (متخصصین </w:t>
      </w:r>
      <w:r w:rsidRPr="0025250D">
        <w:rPr>
          <w:rtl/>
        </w:rPr>
        <w:t>آینده‌نگاری</w:t>
      </w:r>
      <w:r w:rsidRPr="0025250D">
        <w:rPr>
          <w:rFonts w:hint="cs"/>
          <w:rtl/>
        </w:rPr>
        <w:t xml:space="preserve">)، افرادی که برای نگاه و تحلیل آینده برای دیگران پول می‌گیرند، جوجه تیغی هستند. آن‌ها مدل‌ها، ساز و کارها و دستورالعمل‌های مختلفی را برای کار </w:t>
      </w:r>
      <w:r w:rsidRPr="0025250D">
        <w:rPr>
          <w:rtl/>
        </w:rPr>
        <w:t>آینده‌نگاری</w:t>
      </w:r>
      <w:r w:rsidRPr="0025250D">
        <w:rPr>
          <w:rFonts w:hint="cs"/>
          <w:rtl/>
        </w:rPr>
        <w:t xml:space="preserve"> آموخته اند و آن‌ها را برای زمینه‌های متنوع مختلفی به کار می‌برند.</w:t>
      </w:r>
    </w:p>
    <w:p w14:paraId="28DACFDE" w14:textId="2F70A176" w:rsidR="0020732A" w:rsidRPr="0025250D" w:rsidRDefault="0020732A" w:rsidP="00116646">
      <w:pPr>
        <w:rPr>
          <w:rtl/>
        </w:rPr>
      </w:pPr>
      <w:r w:rsidRPr="0025250D">
        <w:rPr>
          <w:rFonts w:hint="cs"/>
          <w:rtl/>
        </w:rPr>
        <w:lastRenderedPageBreak/>
        <w:t xml:space="preserve">توجه داشته باشید که ما تنها دو گوشه بنیادی یا </w:t>
      </w:r>
      <w:r w:rsidR="00116646" w:rsidRPr="0025250D">
        <w:rPr>
          <w:rtl/>
        </w:rPr>
        <w:t>«</w:t>
      </w:r>
      <w:r w:rsidRPr="0025250D">
        <w:rPr>
          <w:rFonts w:hint="cs"/>
          <w:rtl/>
        </w:rPr>
        <w:t>قاعده</w:t>
      </w:r>
      <w:r w:rsidR="00116646" w:rsidRPr="0025250D">
        <w:rPr>
          <w:rtl/>
        </w:rPr>
        <w:t>»</w:t>
      </w:r>
      <w:r w:rsidRPr="0025250D">
        <w:rPr>
          <w:rFonts w:hint="cs"/>
          <w:rtl/>
        </w:rPr>
        <w:t xml:space="preserve"> هرم‌های زمانی، </w:t>
      </w:r>
      <w:r w:rsidRPr="0025250D">
        <w:rPr>
          <w:rtl/>
        </w:rPr>
        <w:t>آینده‌نگاری</w:t>
      </w:r>
      <w:r w:rsidRPr="0025250D">
        <w:rPr>
          <w:rFonts w:hint="cs"/>
          <w:rtl/>
        </w:rPr>
        <w:t xml:space="preserve">، ارزشی و سبک‌های شناختی را توصیف کرده‌ایم، تفکر تکاملی-توسعه‌ای به ما می‌گوید که یک سبک رهبری برای رأس </w:t>
      </w:r>
      <w:r w:rsidR="00116646" w:rsidRPr="0025250D">
        <w:rPr>
          <w:rtl/>
        </w:rPr>
        <w:t>«</w:t>
      </w:r>
      <w:r w:rsidRPr="0025250D">
        <w:rPr>
          <w:rFonts w:hint="cs"/>
          <w:rtl/>
        </w:rPr>
        <w:t>بالایی</w:t>
      </w:r>
      <w:r w:rsidR="00116646" w:rsidRPr="0025250D">
        <w:rPr>
          <w:rtl/>
        </w:rPr>
        <w:t>»</w:t>
      </w:r>
      <w:r w:rsidRPr="0025250D">
        <w:rPr>
          <w:rFonts w:hint="cs"/>
          <w:rtl/>
        </w:rPr>
        <w:t xml:space="preserve"> (و رایج تر) این هرم نیز باید وجود داشته باشد. با توجه به این‌که این مورد در تلاش برای </w:t>
      </w:r>
      <w:r w:rsidR="00B13F65" w:rsidRPr="0025250D">
        <w:rPr>
          <w:rFonts w:hint="cs"/>
          <w:rtl/>
        </w:rPr>
        <w:t>یکپارچه‌سازی</w:t>
      </w:r>
      <w:r w:rsidRPr="0025250D">
        <w:rPr>
          <w:rFonts w:hint="cs"/>
          <w:rtl/>
        </w:rPr>
        <w:t xml:space="preserve"> دو نوع اساسی‌تر و متناقض دیگر است، می‌تواند ارزشمندترین نوع ازنظر اجتماعی باشد. این نوع سوم از رهبری عقاب</w:t>
      </w:r>
      <w:r w:rsidRPr="0025250D">
        <w:rPr>
          <w:vertAlign w:val="superscript"/>
          <w:rtl/>
        </w:rPr>
        <w:footnoteReference w:id="363"/>
      </w:r>
      <w:r w:rsidRPr="0025250D">
        <w:rPr>
          <w:rFonts w:hint="cs"/>
          <w:rtl/>
        </w:rPr>
        <w:t xml:space="preserve"> نامیده می‌شود. سبک عقاب مرتبط با </w:t>
      </w:r>
      <w:r w:rsidR="00B124DE" w:rsidRPr="0025250D">
        <w:rPr>
          <w:rFonts w:hint="cs"/>
          <w:rtl/>
        </w:rPr>
        <w:t>آینده‌اندیش</w:t>
      </w:r>
      <w:r w:rsidRPr="0025250D">
        <w:rPr>
          <w:rFonts w:hint="cs"/>
          <w:rtl/>
        </w:rPr>
        <w:t xml:space="preserve"> و رهبری است که بیش‌تر یک حال گرا</w:t>
      </w:r>
      <w:r w:rsidRPr="0025250D">
        <w:rPr>
          <w:vertAlign w:val="superscript"/>
          <w:rtl/>
        </w:rPr>
        <w:footnoteReference w:id="364"/>
      </w:r>
      <w:r w:rsidRPr="0025250D">
        <w:rPr>
          <w:rFonts w:hint="cs"/>
          <w:rtl/>
        </w:rPr>
        <w:t xml:space="preserve"> است تا یک آینده گرا</w:t>
      </w:r>
      <w:r w:rsidRPr="0025250D">
        <w:rPr>
          <w:vertAlign w:val="superscript"/>
          <w:rtl/>
        </w:rPr>
        <w:footnoteReference w:id="365"/>
      </w:r>
      <w:r w:rsidRPr="0025250D">
        <w:rPr>
          <w:rFonts w:hint="cs"/>
          <w:rtl/>
        </w:rPr>
        <w:t xml:space="preserve">. رهبری که به‌طور مشخص </w:t>
      </w:r>
      <w:r w:rsidR="00AF54F7" w:rsidRPr="0025250D">
        <w:rPr>
          <w:rFonts w:hint="cs"/>
          <w:rtl/>
        </w:rPr>
        <w:t>جهت</w:t>
      </w:r>
      <w:r w:rsidRPr="0025250D">
        <w:rPr>
          <w:rFonts w:hint="cs"/>
          <w:rtl/>
        </w:rPr>
        <w:t xml:space="preserve"> جست و جو برای خوبی و تشخیص آن ارزش قائل است، </w:t>
      </w:r>
      <w:r w:rsidR="00AF54F7" w:rsidRPr="0025250D">
        <w:rPr>
          <w:rFonts w:hint="cs"/>
          <w:rtl/>
        </w:rPr>
        <w:t>با</w:t>
      </w:r>
      <w:r w:rsidRPr="0025250D">
        <w:rPr>
          <w:rFonts w:hint="cs"/>
          <w:rtl/>
        </w:rPr>
        <w:t xml:space="preserve"> ترکیبی از حقیقت (قطعیت و بهینه بودن) و زیبایی (آزادی، آزمایش) </w:t>
      </w:r>
      <w:r w:rsidR="00AF54F7" w:rsidRPr="0025250D">
        <w:rPr>
          <w:rFonts w:hint="cs"/>
          <w:rtl/>
        </w:rPr>
        <w:t xml:space="preserve">همراه </w:t>
      </w:r>
      <w:r w:rsidRPr="0025250D">
        <w:rPr>
          <w:rFonts w:hint="cs"/>
          <w:rtl/>
        </w:rPr>
        <w:t xml:space="preserve">خواهد بود. عقاب رهبری است که به دنبال </w:t>
      </w:r>
      <w:r w:rsidR="00116646" w:rsidRPr="0025250D">
        <w:rPr>
          <w:rtl/>
        </w:rPr>
        <w:t>«</w:t>
      </w:r>
      <w:r w:rsidR="00116646" w:rsidRPr="0025250D">
        <w:rPr>
          <w:rFonts w:hint="cs"/>
          <w:rtl/>
        </w:rPr>
        <w:t>پیوند</w:t>
      </w:r>
      <w:r w:rsidR="00116646" w:rsidRPr="0025250D">
        <w:rPr>
          <w:rtl/>
        </w:rPr>
        <w:t>»</w:t>
      </w:r>
      <w:r w:rsidRPr="0025250D">
        <w:rPr>
          <w:rFonts w:hint="cs"/>
          <w:rtl/>
        </w:rPr>
        <w:t xml:space="preserve"> میان دو نوع پایه ای‌تر از تفکر آینده است و به دنبال اولویت‌ها و چشم‌اندازهای مشترک و راهبرد یکپارچه‌تر می‌باشد.</w:t>
      </w:r>
    </w:p>
    <w:p w14:paraId="6D65426D" w14:textId="77268C0B" w:rsidR="0020732A" w:rsidRPr="0025250D" w:rsidRDefault="0020732A" w:rsidP="0020732A">
      <w:pPr>
        <w:rPr>
          <w:rtl/>
        </w:rPr>
      </w:pPr>
      <w:r w:rsidRPr="0025250D">
        <w:rPr>
          <w:rFonts w:hint="cs"/>
          <w:rtl/>
        </w:rPr>
        <w:t>نوع عقاب</w:t>
      </w:r>
      <w:r w:rsidR="008D6F97" w:rsidRPr="0025250D">
        <w:rPr>
          <w:rtl/>
        </w:rPr>
        <w:t xml:space="preserve"> </w:t>
      </w:r>
      <w:r w:rsidRPr="0025250D">
        <w:rPr>
          <w:rFonts w:hint="cs"/>
          <w:rtl/>
        </w:rPr>
        <w:t xml:space="preserve">تا جایی که ما می‌دانیم، اولین بار توسط آینده‌پژوه </w:t>
      </w:r>
      <w:r w:rsidRPr="0025250D">
        <w:rPr>
          <w:rtl/>
        </w:rPr>
        <w:t>پاتر</w:t>
      </w:r>
      <w:r w:rsidRPr="0025250D">
        <w:rPr>
          <w:rFonts w:hint="cs"/>
          <w:rtl/>
        </w:rPr>
        <w:t>ی</w:t>
      </w:r>
      <w:r w:rsidRPr="0025250D">
        <w:rPr>
          <w:rFonts w:hint="eastAsia"/>
          <w:rtl/>
        </w:rPr>
        <w:t>ش</w:t>
      </w:r>
      <w:r w:rsidRPr="0025250D">
        <w:rPr>
          <w:rFonts w:hint="cs"/>
          <w:rtl/>
        </w:rPr>
        <w:t>ی</w:t>
      </w:r>
      <w:r w:rsidRPr="0025250D">
        <w:rPr>
          <w:rFonts w:hint="eastAsia"/>
          <w:rtl/>
        </w:rPr>
        <w:t>ا</w:t>
      </w:r>
      <w:r w:rsidRPr="0025250D">
        <w:rPr>
          <w:rtl/>
        </w:rPr>
        <w:t xml:space="preserve"> لوست</w:t>
      </w:r>
      <w:r w:rsidRPr="0025250D">
        <w:rPr>
          <w:rFonts w:hint="cs"/>
          <w:rtl/>
        </w:rPr>
        <w:t>ی</w:t>
      </w:r>
      <w:r w:rsidRPr="0025250D">
        <w:rPr>
          <w:rFonts w:hint="eastAsia"/>
          <w:rtl/>
        </w:rPr>
        <w:t>گ</w:t>
      </w:r>
      <w:r w:rsidRPr="0025250D">
        <w:rPr>
          <w:vertAlign w:val="superscript"/>
          <w:rtl/>
        </w:rPr>
        <w:footnoteReference w:id="366"/>
      </w:r>
      <w:r w:rsidRPr="0025250D">
        <w:rPr>
          <w:rFonts w:hint="cs"/>
          <w:rtl/>
        </w:rPr>
        <w:t xml:space="preserve"> در کتاب خلاصه او بر این زمینه به نام آینده‌نگاری راهبردی، در سال 2015 شناسایی شد. </w:t>
      </w:r>
      <w:r w:rsidR="007118DE" w:rsidRPr="0025250D">
        <w:rPr>
          <w:rFonts w:hint="cs"/>
          <w:rtl/>
        </w:rPr>
        <w:t>همان‌طور</w:t>
      </w:r>
      <w:r w:rsidRPr="0025250D">
        <w:rPr>
          <w:rFonts w:hint="cs"/>
          <w:rtl/>
        </w:rPr>
        <w:t xml:space="preserve"> که </w:t>
      </w:r>
      <w:r w:rsidRPr="0025250D">
        <w:rPr>
          <w:rtl/>
        </w:rPr>
        <w:t>لوست</w:t>
      </w:r>
      <w:r w:rsidRPr="0025250D">
        <w:rPr>
          <w:rFonts w:hint="cs"/>
          <w:rtl/>
        </w:rPr>
        <w:t>ی</w:t>
      </w:r>
      <w:r w:rsidRPr="0025250D">
        <w:rPr>
          <w:rFonts w:hint="eastAsia"/>
          <w:rtl/>
        </w:rPr>
        <w:t>گ</w:t>
      </w:r>
      <w:r w:rsidRPr="0025250D">
        <w:rPr>
          <w:rFonts w:hint="cs"/>
          <w:rtl/>
        </w:rPr>
        <w:t xml:space="preserve"> توصیف می‌کند، عقاب به دنبال ترکیب کردن دو دیدگاه روباه و جوجه تیغی می‌باشد. برای انجام</w:t>
      </w:r>
      <w:r w:rsidR="008D6F97" w:rsidRPr="0025250D">
        <w:rPr>
          <w:rtl/>
        </w:rPr>
        <w:t xml:space="preserve"> </w:t>
      </w:r>
      <w:r w:rsidRPr="0025250D">
        <w:rPr>
          <w:rFonts w:hint="cs"/>
          <w:rtl/>
        </w:rPr>
        <w:t xml:space="preserve">این کار به‌صورتی مناسب، این </w:t>
      </w:r>
      <w:r w:rsidR="00B124DE" w:rsidRPr="0025250D">
        <w:rPr>
          <w:rFonts w:hint="cs"/>
          <w:rtl/>
        </w:rPr>
        <w:t>آینده‌اندیش</w:t>
      </w:r>
      <w:r w:rsidRPr="0025250D">
        <w:rPr>
          <w:rFonts w:hint="cs"/>
          <w:rtl/>
        </w:rPr>
        <w:t xml:space="preserve"> و رهبر باید بلند پرواز باشد، دیدگاه‌های مختلف را به هم پیوند دهد و تصویر کلان و دیدگاه سامانه‌ای داشته باشد. آن‌ها باید هرسه گوشه‌های این هرم‌ها را در بر بگیرند. به بیان تکاملی-توسعه‌ای، عقاب ارزش‌های فردی و اجتماعی را با اولویت بهبود شبکه متوازن می‌سازد. آن‌ها می‌دانند که سامانه‌های پیچیده تا حدی غیرقابل‌پیش‌بینی (</w:t>
      </w:r>
      <w:r w:rsidR="00116646" w:rsidRPr="0025250D">
        <w:rPr>
          <w:rtl/>
        </w:rPr>
        <w:t>«</w:t>
      </w:r>
      <w:r w:rsidRPr="0025250D">
        <w:rPr>
          <w:rFonts w:hint="cs"/>
          <w:rtl/>
        </w:rPr>
        <w:t>در حال تکامل</w:t>
      </w:r>
      <w:r w:rsidR="00116646" w:rsidRPr="0025250D">
        <w:rPr>
          <w:rtl/>
        </w:rPr>
        <w:t>»</w:t>
      </w:r>
      <w:r w:rsidRPr="0025250D">
        <w:rPr>
          <w:rFonts w:hint="cs"/>
          <w:rtl/>
        </w:rPr>
        <w:t>) و تا حدی قابل پیش‌بینی (</w:t>
      </w:r>
      <w:r w:rsidR="00116646" w:rsidRPr="0025250D">
        <w:rPr>
          <w:rtl/>
        </w:rPr>
        <w:t>«</w:t>
      </w:r>
      <w:r w:rsidRPr="0025250D">
        <w:rPr>
          <w:rFonts w:hint="cs"/>
          <w:rtl/>
        </w:rPr>
        <w:t>در حال توسعه</w:t>
      </w:r>
      <w:r w:rsidR="00116646" w:rsidRPr="0025250D">
        <w:rPr>
          <w:rtl/>
        </w:rPr>
        <w:t>»</w:t>
      </w:r>
      <w:r w:rsidRPr="0025250D">
        <w:rPr>
          <w:rFonts w:hint="cs"/>
          <w:rtl/>
        </w:rPr>
        <w:t xml:space="preserve">) هستند و به دنبال یادگیری عمیق از هر دو دیدگاه می‌باشند. </w:t>
      </w:r>
      <w:r w:rsidR="007118DE" w:rsidRPr="0025250D">
        <w:rPr>
          <w:rFonts w:hint="cs"/>
          <w:rtl/>
        </w:rPr>
        <w:t>همان‌طور</w:t>
      </w:r>
      <w:r w:rsidRPr="0025250D">
        <w:rPr>
          <w:rFonts w:hint="cs"/>
          <w:rtl/>
        </w:rPr>
        <w:t xml:space="preserve"> که روانشناس </w:t>
      </w:r>
      <w:r w:rsidRPr="0025250D">
        <w:rPr>
          <w:rtl/>
        </w:rPr>
        <w:t>ما</w:t>
      </w:r>
      <w:r w:rsidRPr="0025250D">
        <w:rPr>
          <w:rFonts w:hint="cs"/>
          <w:rtl/>
        </w:rPr>
        <w:t>ی</w:t>
      </w:r>
      <w:r w:rsidRPr="0025250D">
        <w:rPr>
          <w:rFonts w:hint="eastAsia"/>
          <w:rtl/>
        </w:rPr>
        <w:t>کل</w:t>
      </w:r>
      <w:r w:rsidRPr="0025250D">
        <w:rPr>
          <w:rtl/>
        </w:rPr>
        <w:t xml:space="preserve"> کرتون</w:t>
      </w:r>
      <w:r w:rsidRPr="0025250D">
        <w:rPr>
          <w:rFonts w:hint="cs"/>
          <w:rtl/>
        </w:rPr>
        <w:t xml:space="preserve"> (فصل 3) دریافت، عقاب (</w:t>
      </w:r>
      <w:r w:rsidR="00116646" w:rsidRPr="0025250D">
        <w:rPr>
          <w:rtl/>
        </w:rPr>
        <w:t>«</w:t>
      </w:r>
      <w:r w:rsidRPr="0025250D">
        <w:rPr>
          <w:rFonts w:hint="cs"/>
          <w:rtl/>
        </w:rPr>
        <w:t>پیوند دهنده</w:t>
      </w:r>
      <w:r w:rsidR="00116646" w:rsidRPr="0025250D">
        <w:rPr>
          <w:rtl/>
        </w:rPr>
        <w:t>»</w:t>
      </w:r>
      <w:r w:rsidRPr="0025250D">
        <w:rPr>
          <w:rFonts w:hint="cs"/>
          <w:rtl/>
        </w:rPr>
        <w:t>) همچنین رایج‌ترین سبک در بین این سه مورد است.</w:t>
      </w:r>
    </w:p>
    <w:p w14:paraId="60B23413" w14:textId="77777777" w:rsidR="0020732A" w:rsidRPr="0025250D" w:rsidRDefault="0020732A" w:rsidP="00D54462">
      <w:pPr>
        <w:jc w:val="center"/>
        <w:rPr>
          <w:rtl/>
        </w:rPr>
      </w:pPr>
      <w:r w:rsidRPr="0025250D">
        <w:rPr>
          <w:noProof/>
          <w:lang w:bidi="ar-SA"/>
        </w:rPr>
        <w:drawing>
          <wp:inline distT="0" distB="0" distL="0" distR="0" wp14:anchorId="76F86CD9" wp14:editId="48BB2668">
            <wp:extent cx="1872691" cy="187269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BEBA8EAE-BF5A-486C-A8C5-ECC9F3942E4B}">
                          <a14:imgProps xmlns:a14="http://schemas.microsoft.com/office/drawing/2010/main">
                            <a14:imgLayer r:embed="rId38">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75892" cy="1875892"/>
                    </a:xfrm>
                    <a:prstGeom prst="rect">
                      <a:avLst/>
                    </a:prstGeom>
                    <a:noFill/>
                  </pic:spPr>
                </pic:pic>
              </a:graphicData>
            </a:graphic>
          </wp:inline>
        </w:drawing>
      </w:r>
    </w:p>
    <w:p w14:paraId="2F84AD12" w14:textId="77777777" w:rsidR="0020732A" w:rsidRPr="0025250D" w:rsidRDefault="0020732A" w:rsidP="00D54462">
      <w:pPr>
        <w:jc w:val="center"/>
        <w:rPr>
          <w:rtl/>
        </w:rPr>
      </w:pPr>
      <w:r w:rsidRPr="0025250D">
        <w:rPr>
          <w:rFonts w:hint="cs"/>
          <w:rtl/>
        </w:rPr>
        <w:t>پاتریشیا لاستیگ</w:t>
      </w:r>
    </w:p>
    <w:p w14:paraId="0FF06229" w14:textId="3237A8DE" w:rsidR="0020732A" w:rsidRPr="0025250D" w:rsidRDefault="0020732A" w:rsidP="0020732A">
      <w:pPr>
        <w:rPr>
          <w:rtl/>
        </w:rPr>
      </w:pPr>
      <w:r w:rsidRPr="0025250D">
        <w:rPr>
          <w:rFonts w:hint="cs"/>
          <w:rtl/>
        </w:rPr>
        <w:t xml:space="preserve">هر سه نوع سبک رهبری، </w:t>
      </w:r>
      <w:r w:rsidRPr="0025250D">
        <w:rPr>
          <w:rtl/>
        </w:rPr>
        <w:t>آینده‌نگاری</w:t>
      </w:r>
      <w:r w:rsidRPr="0025250D">
        <w:rPr>
          <w:rFonts w:hint="cs"/>
          <w:rtl/>
        </w:rPr>
        <w:t xml:space="preserve"> راهبردی ایجاد می‌کنند و هر سه می‌توانند رهبران خوبی باشند. این تنوع سبک‌ها یک نقطه قوت سامانه‌های تکاملی-توسعه‌ای می‌باشد، نه یک نقطه ضعف آن. بااین‌وجود، عقاب احتمالاً بهترین یکپارچه ساز </w:t>
      </w:r>
      <w:r w:rsidRPr="0025250D">
        <w:rPr>
          <w:rtl/>
        </w:rPr>
        <w:t>آینده‌نگاری</w:t>
      </w:r>
      <w:r w:rsidRPr="0025250D">
        <w:rPr>
          <w:rFonts w:hint="cs"/>
          <w:rtl/>
        </w:rPr>
        <w:t xml:space="preserve"> راهبردی است و این افراد می‌توانند بهترین رهبران باشند</w:t>
      </w:r>
      <w:r w:rsidR="008D6F97" w:rsidRPr="0025250D">
        <w:rPr>
          <w:rtl/>
        </w:rPr>
        <w:t xml:space="preserve">؛ </w:t>
      </w:r>
      <w:r w:rsidRPr="0025250D">
        <w:rPr>
          <w:rFonts w:hint="cs"/>
          <w:rtl/>
        </w:rPr>
        <w:t xml:space="preserve">اما این‌که به یک سبک خاص علاقه داریم، به این معنی نیست که آن را به‌خوبی انجام می‌دهیم. بسیاری از عقاب‌ها پیش از این‌که به تفکر ترجیحی موردعلاقه (و محبوب تر) خود روی بیاورند، موارد ممکن یا محتمل یا هر دو را کم‌تر از حد لازم بررسی کرده یا برای آن‌ها ارزش بیش از حد قائل می‌شوند. عقاب‌ها نمی‌توانند هیچ چیز را به‌خوبی ببینند یا بدون روباه‌ها و جوجه تیغی‌ها که بینش متمایز خود را در تیم ایجاد می‌کنند، </w:t>
      </w:r>
      <w:r w:rsidR="00701E03" w:rsidRPr="0025250D">
        <w:rPr>
          <w:rFonts w:hint="cs"/>
          <w:rtl/>
        </w:rPr>
        <w:t>راهبرد</w:t>
      </w:r>
      <w:r w:rsidRPr="0025250D">
        <w:rPr>
          <w:rFonts w:hint="cs"/>
          <w:rtl/>
        </w:rPr>
        <w:t xml:space="preserve"> خوبی تولید نمایند. چالش دیگر برای عقاب‌ها این است که آن‌ها، برخی اوقات، به‌اندازه کافی بلند پرواز نمی‌کنند. تصویر کلان آن‌ها اغلب کوچکتر از اندازه لازم است.</w:t>
      </w:r>
    </w:p>
    <w:p w14:paraId="13F27179" w14:textId="43AD6BDC" w:rsidR="0020732A" w:rsidRPr="0025250D" w:rsidRDefault="0020732A" w:rsidP="0020732A">
      <w:pPr>
        <w:rPr>
          <w:rtl/>
        </w:rPr>
      </w:pPr>
      <w:r w:rsidRPr="0025250D">
        <w:rPr>
          <w:rFonts w:hint="cs"/>
          <w:rtl/>
        </w:rPr>
        <w:lastRenderedPageBreak/>
        <w:t>در یک مطالعه روشنگرانه در مورد رهبری با عنوان زمان رهبری: درس‌هایی برای رهبران امروز</w:t>
      </w:r>
      <w:r w:rsidRPr="0025250D">
        <w:rPr>
          <w:vertAlign w:val="superscript"/>
          <w:rtl/>
        </w:rPr>
        <w:footnoteReference w:id="367"/>
      </w:r>
      <w:r w:rsidRPr="0025250D">
        <w:rPr>
          <w:rFonts w:hint="cs"/>
          <w:rtl/>
        </w:rPr>
        <w:t xml:space="preserve"> در سال 2020، استاد مدرسه کسب‌وکار </w:t>
      </w:r>
      <w:r w:rsidRPr="0025250D">
        <w:rPr>
          <w:rtl/>
        </w:rPr>
        <w:t>است</w:t>
      </w:r>
      <w:r w:rsidRPr="0025250D">
        <w:rPr>
          <w:rFonts w:hint="cs"/>
          <w:rtl/>
        </w:rPr>
        <w:t>ی</w:t>
      </w:r>
      <w:r w:rsidRPr="0025250D">
        <w:rPr>
          <w:rFonts w:hint="eastAsia"/>
          <w:rtl/>
        </w:rPr>
        <w:t>ن</w:t>
      </w:r>
      <w:r w:rsidRPr="0025250D">
        <w:rPr>
          <w:rFonts w:hint="cs"/>
          <w:rtl/>
        </w:rPr>
        <w:t>‌</w:t>
      </w:r>
      <w:r w:rsidRPr="0025250D">
        <w:rPr>
          <w:rtl/>
        </w:rPr>
        <w:t>کمپ</w:t>
      </w:r>
      <w:r w:rsidRPr="0025250D">
        <w:rPr>
          <w:vertAlign w:val="superscript"/>
          <w:rtl/>
        </w:rPr>
        <w:footnoteReference w:id="368"/>
      </w:r>
      <w:r w:rsidRPr="0025250D">
        <w:rPr>
          <w:rFonts w:hint="cs"/>
          <w:rtl/>
        </w:rPr>
        <w:t xml:space="preserve"> ی</w:t>
      </w:r>
      <w:r w:rsidRPr="0025250D">
        <w:rPr>
          <w:rFonts w:hint="eastAsia"/>
          <w:rtl/>
        </w:rPr>
        <w:t>ان</w:t>
      </w:r>
      <w:r w:rsidRPr="0025250D">
        <w:rPr>
          <w:rtl/>
        </w:rPr>
        <w:t xml:space="preserve"> بند</w:t>
      </w:r>
      <w:r w:rsidRPr="0025250D">
        <w:rPr>
          <w:rFonts w:hint="cs"/>
          <w:rtl/>
        </w:rPr>
        <w:t>ی</w:t>
      </w:r>
      <w:r w:rsidRPr="0025250D">
        <w:rPr>
          <w:rFonts w:hint="eastAsia"/>
          <w:rtl/>
        </w:rPr>
        <w:t>کت</w:t>
      </w:r>
      <w:r w:rsidRPr="0025250D">
        <w:rPr>
          <w:vertAlign w:val="superscript"/>
          <w:rtl/>
        </w:rPr>
        <w:footnoteReference w:id="369"/>
      </w:r>
      <w:r w:rsidRPr="0025250D">
        <w:rPr>
          <w:rFonts w:hint="cs"/>
          <w:rtl/>
        </w:rPr>
        <w:t xml:space="preserve"> شانزده مثال از رهبران را از هفت سبک رهبری مختلف (</w:t>
      </w:r>
      <w:r w:rsidR="00AE5BE0" w:rsidRPr="0025250D">
        <w:rPr>
          <w:rFonts w:hint="cs"/>
          <w:rtl/>
        </w:rPr>
        <w:t>انطباقی</w:t>
      </w:r>
      <w:r w:rsidRPr="0025250D">
        <w:rPr>
          <w:rFonts w:hint="cs"/>
          <w:rtl/>
        </w:rPr>
        <w:t>، متقاعد کننده، جهت دهنده</w:t>
      </w:r>
      <w:r w:rsidRPr="0025250D">
        <w:rPr>
          <w:vertAlign w:val="superscript"/>
          <w:rtl/>
        </w:rPr>
        <w:footnoteReference w:id="370"/>
      </w:r>
      <w:r w:rsidRPr="0025250D">
        <w:rPr>
          <w:rFonts w:hint="cs"/>
          <w:rtl/>
        </w:rPr>
        <w:t xml:space="preserve">، </w:t>
      </w:r>
      <w:r w:rsidR="00D92F6E" w:rsidRPr="0025250D">
        <w:rPr>
          <w:rFonts w:hint="cs"/>
          <w:rtl/>
        </w:rPr>
        <w:t>بنیان‌افکن</w:t>
      </w:r>
      <w:r w:rsidRPr="0025250D">
        <w:rPr>
          <w:vertAlign w:val="superscript"/>
          <w:rtl/>
        </w:rPr>
        <w:footnoteReference w:id="371"/>
      </w:r>
      <w:r w:rsidRPr="0025250D">
        <w:rPr>
          <w:rFonts w:hint="cs"/>
          <w:rtl/>
        </w:rPr>
        <w:t xml:space="preserve">، </w:t>
      </w:r>
      <w:r w:rsidR="00AF54F7" w:rsidRPr="0025250D">
        <w:rPr>
          <w:rFonts w:hint="cs"/>
          <w:rtl/>
        </w:rPr>
        <w:t>کاراکتر</w:t>
      </w:r>
      <w:r w:rsidRPr="0025250D">
        <w:rPr>
          <w:vertAlign w:val="superscript"/>
          <w:rtl/>
        </w:rPr>
        <w:footnoteReference w:id="372"/>
      </w:r>
      <w:r w:rsidRPr="0025250D">
        <w:rPr>
          <w:rFonts w:hint="cs"/>
          <w:rtl/>
        </w:rPr>
        <w:t>، خدمت گزار</w:t>
      </w:r>
      <w:r w:rsidRPr="0025250D">
        <w:rPr>
          <w:vertAlign w:val="superscript"/>
          <w:rtl/>
        </w:rPr>
        <w:footnoteReference w:id="373"/>
      </w:r>
      <w:r w:rsidRPr="0025250D">
        <w:rPr>
          <w:rFonts w:hint="cs"/>
          <w:rtl/>
        </w:rPr>
        <w:t xml:space="preserve"> و کاریزماتیک</w:t>
      </w:r>
      <w:r w:rsidRPr="0025250D">
        <w:rPr>
          <w:vertAlign w:val="superscript"/>
          <w:rtl/>
        </w:rPr>
        <w:footnoteReference w:id="374"/>
      </w:r>
      <w:r w:rsidRPr="0025250D">
        <w:rPr>
          <w:rFonts w:hint="cs"/>
          <w:rtl/>
        </w:rPr>
        <w:t xml:space="preserve">) ارائه می‌دهد که به مسائل براساس این‌که سبک جوجه تیغی، روباه، یا عقاب داشته‌اند، پرداخته اند. او همچنین نوع رهبری اساسی چهارم، یعنی شتر مرغ‌ها را معرفی می‌کند که افرادی هستند که از </w:t>
      </w:r>
      <w:r w:rsidR="00B124DE" w:rsidRPr="0025250D">
        <w:rPr>
          <w:rFonts w:hint="cs"/>
          <w:rtl/>
        </w:rPr>
        <w:t>آینده‌اندیش</w:t>
      </w:r>
      <w:r w:rsidRPr="0025250D">
        <w:rPr>
          <w:rFonts w:hint="cs"/>
          <w:rtl/>
        </w:rPr>
        <w:t xml:space="preserve">ی جدی خودداری می‌کنند و ترجیح می‌دهند که </w:t>
      </w:r>
      <w:r w:rsidR="00116646" w:rsidRPr="0025250D">
        <w:rPr>
          <w:rtl/>
        </w:rPr>
        <w:t>«</w:t>
      </w:r>
      <w:r w:rsidRPr="0025250D">
        <w:rPr>
          <w:rFonts w:hint="cs"/>
          <w:rtl/>
        </w:rPr>
        <w:t>سر خود را در ماسه فرو کنند</w:t>
      </w:r>
      <w:r w:rsidRPr="0025250D">
        <w:rPr>
          <w:vertAlign w:val="superscript"/>
          <w:rtl/>
        </w:rPr>
        <w:footnoteReference w:id="375"/>
      </w:r>
      <w:r w:rsidR="00116646" w:rsidRPr="0025250D">
        <w:rPr>
          <w:rtl/>
        </w:rPr>
        <w:t>»</w:t>
      </w:r>
      <w:r w:rsidRPr="0025250D">
        <w:rPr>
          <w:rFonts w:hint="cs"/>
          <w:rtl/>
        </w:rPr>
        <w:t>. در فصل 5، یک سبک مهم مرتبط با شتر مرغ، یعنی فیل را که کسی است که اصولا یک یادگیرنده (گذشته و حال گرا) است و مانند شتر مرغ، یک رهبر بی میل است معرفی خواهیم کرد.</w:t>
      </w:r>
    </w:p>
    <w:p w14:paraId="56F7F9BC" w14:textId="79B70536" w:rsidR="0020732A" w:rsidRPr="0025250D" w:rsidRDefault="0020732A" w:rsidP="0020732A">
      <w:pPr>
        <w:rPr>
          <w:rtl/>
        </w:rPr>
      </w:pPr>
      <w:r w:rsidRPr="0025250D">
        <w:rPr>
          <w:rtl/>
        </w:rPr>
        <w:t>است</w:t>
      </w:r>
      <w:r w:rsidRPr="0025250D">
        <w:rPr>
          <w:rFonts w:hint="cs"/>
          <w:rtl/>
        </w:rPr>
        <w:t>ی</w:t>
      </w:r>
      <w:r w:rsidRPr="0025250D">
        <w:rPr>
          <w:rFonts w:hint="eastAsia"/>
          <w:rtl/>
        </w:rPr>
        <w:t>ن</w:t>
      </w:r>
      <w:r w:rsidRPr="0025250D">
        <w:rPr>
          <w:rFonts w:hint="cs"/>
          <w:rtl/>
        </w:rPr>
        <w:t>‌</w:t>
      </w:r>
      <w:r w:rsidRPr="0025250D">
        <w:rPr>
          <w:rtl/>
        </w:rPr>
        <w:t>کمپ</w:t>
      </w:r>
      <w:r w:rsidRPr="0025250D">
        <w:rPr>
          <w:rFonts w:hint="cs"/>
          <w:rtl/>
        </w:rPr>
        <w:t xml:space="preserve"> شتر مرغ‌ها را </w:t>
      </w:r>
      <w:r w:rsidR="00116646" w:rsidRPr="0025250D">
        <w:rPr>
          <w:rtl/>
        </w:rPr>
        <w:t>«</w:t>
      </w:r>
      <w:r w:rsidRPr="0025250D">
        <w:rPr>
          <w:rFonts w:hint="cs"/>
          <w:rtl/>
        </w:rPr>
        <w:t xml:space="preserve">رهبران </w:t>
      </w:r>
      <w:r w:rsidRPr="0025250D">
        <w:rPr>
          <w:rtl/>
        </w:rPr>
        <w:t>نگون بخت</w:t>
      </w:r>
      <w:r w:rsidRPr="0025250D">
        <w:rPr>
          <w:vertAlign w:val="superscript"/>
          <w:rtl/>
        </w:rPr>
        <w:footnoteReference w:id="376"/>
      </w:r>
      <w:r w:rsidR="00116646" w:rsidRPr="0025250D">
        <w:rPr>
          <w:rtl/>
        </w:rPr>
        <w:t>»</w:t>
      </w:r>
      <w:r w:rsidRPr="0025250D">
        <w:rPr>
          <w:rFonts w:hint="cs"/>
          <w:rtl/>
        </w:rPr>
        <w:t xml:space="preserve"> می‌نامد. ما همگی چنین افرادی را می‌شناسیم و همگی در مواقعی شتر مرغ بوده ایم. این افراد، واکنشی</w:t>
      </w:r>
      <w:r w:rsidRPr="0025250D">
        <w:rPr>
          <w:vertAlign w:val="superscript"/>
          <w:rtl/>
        </w:rPr>
        <w:footnoteReference w:id="377"/>
      </w:r>
      <w:r w:rsidRPr="0025250D">
        <w:rPr>
          <w:rFonts w:hint="cs"/>
          <w:rtl/>
        </w:rPr>
        <w:t xml:space="preserve"> و بدون </w:t>
      </w:r>
      <w:r w:rsidRPr="0025250D">
        <w:rPr>
          <w:rtl/>
        </w:rPr>
        <w:t>آینده‌نگاری</w:t>
      </w:r>
      <w:r w:rsidRPr="0025250D">
        <w:rPr>
          <w:rFonts w:hint="cs"/>
          <w:rtl/>
        </w:rPr>
        <w:t xml:space="preserve"> هستند و تمایل دارند که </w:t>
      </w:r>
      <w:r w:rsidR="00116646" w:rsidRPr="0025250D">
        <w:rPr>
          <w:rtl/>
        </w:rPr>
        <w:t>«</w:t>
      </w:r>
      <w:r w:rsidRPr="0025250D">
        <w:rPr>
          <w:rFonts w:hint="cs"/>
          <w:rtl/>
        </w:rPr>
        <w:t>با جریان حرکت کنند</w:t>
      </w:r>
      <w:r w:rsidR="00116646" w:rsidRPr="0025250D">
        <w:rPr>
          <w:rtl/>
        </w:rPr>
        <w:t>»</w:t>
      </w:r>
      <w:r w:rsidRPr="0025250D">
        <w:rPr>
          <w:rFonts w:hint="cs"/>
          <w:rtl/>
        </w:rPr>
        <w:t>. رفتار شتر مرغی، بسته به مسئله و بافت رایج است، اما به ویژه در سازمان‌های بزرگ و دیوان سالار رواج دارد</w:t>
      </w:r>
      <w:r w:rsidR="008D6F97" w:rsidRPr="0025250D">
        <w:rPr>
          <w:rtl/>
        </w:rPr>
        <w:t xml:space="preserve">؛ </w:t>
      </w:r>
      <w:r w:rsidRPr="0025250D">
        <w:rPr>
          <w:rFonts w:hint="cs"/>
          <w:rtl/>
        </w:rPr>
        <w:t xml:space="preserve">اما همچنین رفتار شتر مرغی را تحت شرایط استرس و چالش و هر جایی که مسئولیت پذیری و بازخورد کمی وجود دارد می‌بینیم. کتاب </w:t>
      </w:r>
      <w:r w:rsidRPr="0025250D">
        <w:rPr>
          <w:rtl/>
        </w:rPr>
        <w:t>است</w:t>
      </w:r>
      <w:r w:rsidRPr="0025250D">
        <w:rPr>
          <w:rFonts w:hint="cs"/>
          <w:rtl/>
        </w:rPr>
        <w:t>ی</w:t>
      </w:r>
      <w:r w:rsidRPr="0025250D">
        <w:rPr>
          <w:rFonts w:hint="eastAsia"/>
          <w:rtl/>
        </w:rPr>
        <w:t>ن</w:t>
      </w:r>
      <w:r w:rsidRPr="0025250D">
        <w:rPr>
          <w:rFonts w:hint="cs"/>
          <w:rtl/>
        </w:rPr>
        <w:t>‌</w:t>
      </w:r>
      <w:r w:rsidRPr="0025250D">
        <w:rPr>
          <w:rtl/>
        </w:rPr>
        <w:t>کمپ</w:t>
      </w:r>
      <w:r w:rsidRPr="0025250D">
        <w:rPr>
          <w:rFonts w:hint="cs"/>
          <w:rtl/>
        </w:rPr>
        <w:t xml:space="preserve"> یک </w:t>
      </w:r>
      <w:r w:rsidR="00116646" w:rsidRPr="0025250D">
        <w:rPr>
          <w:rtl/>
        </w:rPr>
        <w:t>«</w:t>
      </w:r>
      <w:r w:rsidRPr="0025250D">
        <w:rPr>
          <w:rFonts w:hint="cs"/>
          <w:rtl/>
        </w:rPr>
        <w:t>ارزیابی جوجه تیغی-روباه</w:t>
      </w:r>
      <w:r w:rsidRPr="0025250D">
        <w:rPr>
          <w:vertAlign w:val="superscript"/>
          <w:rtl/>
        </w:rPr>
        <w:footnoteReference w:id="378"/>
      </w:r>
      <w:r w:rsidR="00116646" w:rsidRPr="0025250D">
        <w:rPr>
          <w:rtl/>
        </w:rPr>
        <w:t>»</w:t>
      </w:r>
      <w:r w:rsidRPr="0025250D">
        <w:rPr>
          <w:rFonts w:hint="cs"/>
          <w:rtl/>
        </w:rPr>
        <w:t xml:space="preserve"> بیست سؤالی برای کمک به ما برای تعیین این‌که آیا ترجیحات مان در میان این چهار نوع شخصیت جای دارند یا </w:t>
      </w:r>
      <w:r w:rsidRPr="0025250D">
        <w:rPr>
          <w:rFonts w:hint="cs"/>
          <w:noProof/>
          <w:rtl/>
          <w:lang w:bidi="ar-SA"/>
        </w:rPr>
        <mc:AlternateContent>
          <mc:Choice Requires="wps">
            <w:drawing>
              <wp:anchor distT="0" distB="0" distL="114300" distR="114300" simplePos="0" relativeHeight="251659264" behindDoc="0" locked="0" layoutInCell="1" allowOverlap="1" wp14:anchorId="21DBFF7C" wp14:editId="0FE4EE99">
                <wp:simplePos x="0" y="0"/>
                <wp:positionH relativeFrom="column">
                  <wp:posOffset>579120</wp:posOffset>
                </wp:positionH>
                <wp:positionV relativeFrom="paragraph">
                  <wp:posOffset>4305300</wp:posOffset>
                </wp:positionV>
                <wp:extent cx="1219200" cy="754380"/>
                <wp:effectExtent l="0" t="0" r="0" b="7620"/>
                <wp:wrapNone/>
                <wp:docPr id="57" name="Text Box 57"/>
                <wp:cNvGraphicFramePr/>
                <a:graphic xmlns:a="http://schemas.openxmlformats.org/drawingml/2006/main">
                  <a:graphicData uri="http://schemas.microsoft.com/office/word/2010/wordprocessingShape">
                    <wps:wsp>
                      <wps:cNvSpPr txBox="1"/>
                      <wps:spPr>
                        <a:xfrm>
                          <a:off x="0" y="0"/>
                          <a:ext cx="1219200" cy="754380"/>
                        </a:xfrm>
                        <a:prstGeom prst="rect">
                          <a:avLst/>
                        </a:prstGeom>
                        <a:noFill/>
                        <a:ln w="6350">
                          <a:noFill/>
                        </a:ln>
                        <a:effectLst/>
                      </wps:spPr>
                      <wps:txbx>
                        <w:txbxContent>
                          <w:p w14:paraId="10E056E3" w14:textId="77777777" w:rsidR="00B47FF5" w:rsidRPr="005137ED" w:rsidRDefault="00B47FF5" w:rsidP="0020732A">
                            <w:pPr>
                              <w:contextualSpacing/>
                              <w:jc w:val="center"/>
                              <w:rPr>
                                <w:b/>
                                <w:bCs/>
                                <w:color w:val="FFFFFF"/>
                                <w:sz w:val="28"/>
                              </w:rPr>
                            </w:pPr>
                            <w:r w:rsidRPr="005137ED">
                              <w:rPr>
                                <w:rFonts w:hint="cs"/>
                                <w:b/>
                                <w:bCs/>
                                <w:color w:val="FFFFFF"/>
                                <w:sz w:val="28"/>
                                <w:rtl/>
                              </w:rPr>
                              <w:t>محتمل</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type w14:anchorId="21DBFF7C" id="_x0000_t202" coordsize="21600,21600" o:spt="202" path="m,l,21600r21600,l21600,xe">
                <v:stroke joinstyle="miter"/>
                <v:path gradientshapeok="t" o:connecttype="rect"/>
              </v:shapetype>
              <v:shape id="Text Box 57" o:spid="_x0000_s1026" type="#_x0000_t202" style="position:absolute;left:0;text-align:left;margin-left:45.6pt;margin-top:339pt;width:96pt;height:59.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" filled="f" stroked="f" strokeweight=".5pt">
                <v:textbox>
                  <w:txbxContent>
                    <w:p w14:paraId="10E056E3" w14:textId="77777777" w:rsidR="00B47FF5" w:rsidRPr="005137ED" w:rsidRDefault="00B47FF5" w:rsidP="0020732A">
                      <w:pPr>
                        <w:contextualSpacing/>
                        <w:jc w:val="center"/>
                        <w:rPr>
                          <w:b/>
                          <w:bCs/>
                          <w:color w:val="FFFFFF"/>
                          <w:sz w:val="28"/>
                        </w:rPr>
                      </w:pPr>
                      <w:r w:rsidRPr="005137ED">
                        <w:rPr>
                          <w:rFonts w:hint="cs"/>
                          <w:b/>
                          <w:bCs/>
                          <w:color w:val="FFFFFF"/>
                          <w:sz w:val="28"/>
                          <w:rtl/>
                        </w:rPr>
                        <w:t>محتمل</w:t>
                      </w:r>
                    </w:p>
                  </w:txbxContent>
                </v:textbox>
              </v:shape>
            </w:pict>
          </mc:Fallback>
        </mc:AlternateContent>
      </w:r>
      <w:r w:rsidRPr="0025250D">
        <w:rPr>
          <w:rFonts w:hint="cs"/>
          <w:noProof/>
          <w:rtl/>
          <w:lang w:bidi="ar-SA"/>
        </w:rPr>
        <mc:AlternateContent>
          <mc:Choice Requires="wps">
            <w:drawing>
              <wp:anchor distT="0" distB="0" distL="114300" distR="114300" simplePos="0" relativeHeight="251660288" behindDoc="0" locked="0" layoutInCell="1" allowOverlap="1" wp14:anchorId="5CA2200C" wp14:editId="52B45C9A">
                <wp:simplePos x="0" y="0"/>
                <wp:positionH relativeFrom="column">
                  <wp:posOffset>3543300</wp:posOffset>
                </wp:positionH>
                <wp:positionV relativeFrom="paragraph">
                  <wp:posOffset>4305300</wp:posOffset>
                </wp:positionV>
                <wp:extent cx="1219200" cy="762000"/>
                <wp:effectExtent l="0" t="0" r="0" b="0"/>
                <wp:wrapNone/>
                <wp:docPr id="58" name="Text Box 58"/>
                <wp:cNvGraphicFramePr/>
                <a:graphic xmlns:a="http://schemas.openxmlformats.org/drawingml/2006/main">
                  <a:graphicData uri="http://schemas.microsoft.com/office/word/2010/wordprocessingShape">
                    <wps:wsp>
                      <wps:cNvSpPr txBox="1"/>
                      <wps:spPr>
                        <a:xfrm>
                          <a:off x="0" y="0"/>
                          <a:ext cx="1219200" cy="762000"/>
                        </a:xfrm>
                        <a:prstGeom prst="rect">
                          <a:avLst/>
                        </a:prstGeom>
                        <a:noFill/>
                        <a:ln w="6350">
                          <a:noFill/>
                        </a:ln>
                        <a:effectLst/>
                      </wps:spPr>
                      <wps:txbx>
                        <w:txbxContent>
                          <w:p w14:paraId="09720F45" w14:textId="77777777" w:rsidR="00B47FF5" w:rsidRPr="005137ED" w:rsidRDefault="00B47FF5" w:rsidP="0020732A">
                            <w:pPr>
                              <w:contextualSpacing/>
                              <w:jc w:val="center"/>
                              <w:rPr>
                                <w:b/>
                                <w:bCs/>
                                <w:color w:val="FFFFFF"/>
                                <w:sz w:val="28"/>
                              </w:rPr>
                            </w:pPr>
                            <w:r w:rsidRPr="005137ED">
                              <w:rPr>
                                <w:rFonts w:hint="cs"/>
                                <w:b/>
                                <w:bCs/>
                                <w:color w:val="FFFFFF"/>
                                <w:sz w:val="28"/>
                                <w:rtl/>
                              </w:rPr>
                              <w:t>ممکن</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CA2200C" id="Text Box 58" o:spid="_x0000_s1027" type="#_x0000_t202" style="position:absolute;left:0;text-align:left;margin-left:279pt;margin-top:339pt;width:96pt;height:60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" filled="f" stroked="f" strokeweight=".5pt">
                <v:textbox>
                  <w:txbxContent>
                    <w:p w14:paraId="09720F45" w14:textId="77777777" w:rsidR="00B47FF5" w:rsidRPr="005137ED" w:rsidRDefault="00B47FF5" w:rsidP="0020732A">
                      <w:pPr>
                        <w:contextualSpacing/>
                        <w:jc w:val="center"/>
                        <w:rPr>
                          <w:b/>
                          <w:bCs/>
                          <w:color w:val="FFFFFF"/>
                          <w:sz w:val="28"/>
                        </w:rPr>
                      </w:pPr>
                      <w:r w:rsidRPr="005137ED">
                        <w:rPr>
                          <w:rFonts w:hint="cs"/>
                          <w:b/>
                          <w:bCs/>
                          <w:color w:val="FFFFFF"/>
                          <w:sz w:val="28"/>
                          <w:rtl/>
                        </w:rPr>
                        <w:t>ممکن</w:t>
                      </w:r>
                    </w:p>
                  </w:txbxContent>
                </v:textbox>
              </v:shape>
            </w:pict>
          </mc:Fallback>
        </mc:AlternateContent>
      </w:r>
      <w:r w:rsidRPr="0025250D">
        <w:rPr>
          <w:rFonts w:hint="cs"/>
          <w:rtl/>
        </w:rPr>
        <w:t>خیر ارائه می‌دهد.</w:t>
      </w:r>
    </w:p>
    <w:p w14:paraId="023485C8" w14:textId="7843C89D" w:rsidR="0020732A" w:rsidRPr="0025250D" w:rsidRDefault="001E6C16" w:rsidP="0037035F">
      <w:pPr>
        <w:jc w:val="center"/>
        <w:rPr>
          <w:rtl/>
        </w:rPr>
      </w:pPr>
      <w:r w:rsidRPr="0025250D">
        <w:rPr>
          <w:noProof/>
        </w:rPr>
        <w:drawing>
          <wp:inline distT="0" distB="0" distL="0" distR="0" wp14:anchorId="12A8DDD2" wp14:editId="429C62D6">
            <wp:extent cx="5701085" cy="409433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5709070" cy="4100065"/>
                    </a:xfrm>
                    <a:prstGeom prst="rect">
                      <a:avLst/>
                    </a:prstGeom>
                    <a:noFill/>
                  </pic:spPr>
                </pic:pic>
              </a:graphicData>
            </a:graphic>
          </wp:inline>
        </w:drawing>
      </w:r>
    </w:p>
    <w:p w14:paraId="33FCED06" w14:textId="4D9F3FD9" w:rsidR="0020732A" w:rsidRPr="0025250D" w:rsidRDefault="0020732A" w:rsidP="0020732A">
      <w:pPr>
        <w:rPr>
          <w:rtl/>
        </w:rPr>
      </w:pPr>
      <w:r w:rsidRPr="0025250D">
        <w:rPr>
          <w:rFonts w:hint="cs"/>
          <w:rtl/>
        </w:rPr>
        <w:lastRenderedPageBreak/>
        <w:t xml:space="preserve">هرم رهبری (تصویر بالا) به ما یادآوری می‌کند که سه مورد از این سبک‌های رهبری به‌طور مشخص </w:t>
      </w:r>
      <w:r w:rsidR="00AE5BE0" w:rsidRPr="0025250D">
        <w:rPr>
          <w:rFonts w:hint="cs"/>
          <w:rtl/>
        </w:rPr>
        <w:t>انطباقی</w:t>
      </w:r>
      <w:r w:rsidRPr="0025250D">
        <w:rPr>
          <w:rFonts w:hint="cs"/>
          <w:rtl/>
        </w:rPr>
        <w:t xml:space="preserve"> هستند. این تصویر به ما نشان می‌دهد که مؤثرترین رهبران در حقیقت </w:t>
      </w:r>
      <w:r w:rsidR="00AF54F7" w:rsidRPr="0025250D">
        <w:rPr>
          <w:rFonts w:hint="cs"/>
          <w:rtl/>
        </w:rPr>
        <w:t xml:space="preserve">موارد </w:t>
      </w:r>
      <w:r w:rsidRPr="0025250D">
        <w:rPr>
          <w:rFonts w:hint="cs"/>
          <w:rtl/>
        </w:rPr>
        <w:t>مرجح را به چیز‌هایی که می‌خواهیم (مرجح) و دام‌های باور</w:t>
      </w:r>
      <w:r w:rsidR="008E4DB3" w:rsidRPr="0025250D">
        <w:rPr>
          <w:rFonts w:hint="cs"/>
          <w:rtl/>
        </w:rPr>
        <w:t>پذیری</w:t>
      </w:r>
      <w:r w:rsidRPr="0025250D">
        <w:rPr>
          <w:vertAlign w:val="superscript"/>
          <w:rtl/>
        </w:rPr>
        <w:footnoteReference w:id="379"/>
      </w:r>
      <w:r w:rsidRPr="0025250D">
        <w:rPr>
          <w:rFonts w:hint="cs"/>
          <w:rtl/>
        </w:rPr>
        <w:t xml:space="preserve"> که می‌خواهیم از آن‌ها اجتناب کنیم (اجتناب پذیر) تقسیم می‌کنند. به‌بیان‌دیگر، تنها دو نوع از عقاب‌ها وجود دارند، آن‌هایی که ترجیح می‌دهند بیش‌تر در مورد فرصت‌ها فکر کنند و آن‌هایی که بیش‌تر تفکر دفاعی در مورد درد و دام‌ها برای جلوگیری از آن‌ها دارند. این هرم </w:t>
      </w:r>
      <w:r w:rsidRPr="0025250D">
        <w:rPr>
          <w:rtl/>
        </w:rPr>
        <w:t>آینده‌نگاری</w:t>
      </w:r>
      <w:r w:rsidRPr="0025250D">
        <w:rPr>
          <w:rFonts w:hint="cs"/>
          <w:rtl/>
        </w:rPr>
        <w:t xml:space="preserve"> مدرن</w:t>
      </w:r>
      <w:r w:rsidRPr="0025250D">
        <w:rPr>
          <w:vertAlign w:val="superscript"/>
          <w:rtl/>
        </w:rPr>
        <w:footnoteReference w:id="380"/>
      </w:r>
      <w:r w:rsidRPr="0025250D">
        <w:rPr>
          <w:rFonts w:hint="cs"/>
          <w:rtl/>
        </w:rPr>
        <w:t xml:space="preserve"> یا چهار </w:t>
      </w:r>
      <w:r w:rsidRPr="0025250D">
        <w:t>P</w:t>
      </w:r>
      <w:r w:rsidRPr="0025250D">
        <w:rPr>
          <w:rFonts w:hint="cs"/>
          <w:rtl/>
        </w:rPr>
        <w:t xml:space="preserve"> نامیده می‌شود. ما این بهبود در هرم کلاسیک را به‌طور خلاصه معرفی خواهیم کرد.</w:t>
      </w:r>
    </w:p>
    <w:p w14:paraId="091DCED6" w14:textId="1551CEF7" w:rsidR="0020732A" w:rsidRPr="0025250D" w:rsidRDefault="0020732A" w:rsidP="0020732A">
      <w:pPr>
        <w:rPr>
          <w:rtl/>
        </w:rPr>
      </w:pPr>
      <w:r w:rsidRPr="0025250D">
        <w:rPr>
          <w:rFonts w:hint="cs"/>
          <w:rtl/>
        </w:rPr>
        <w:t xml:space="preserve">رهبران در هر سبک برای این‌که به بهترین </w:t>
      </w:r>
      <w:r w:rsidR="00AF54F7" w:rsidRPr="0025250D">
        <w:rPr>
          <w:rFonts w:hint="cs"/>
          <w:rtl/>
        </w:rPr>
        <w:t xml:space="preserve">نسخه از </w:t>
      </w:r>
      <w:r w:rsidRPr="0025250D">
        <w:rPr>
          <w:rFonts w:hint="cs"/>
          <w:rtl/>
        </w:rPr>
        <w:t xml:space="preserve">خود تبدیل شوند، باید بدانند که چگونه با دیگرانی که سبک متفاوتی دارند کار کرده و وظایفی را به آنان واگذار کنند. همه ما باید در مواقعی همانند روباه ‌ها، جوجه تیغی‌ها و عقاب ‌ها، باسطح تلاش مختلف، به‌منظور ایجاد </w:t>
      </w:r>
      <w:r w:rsidRPr="0025250D">
        <w:rPr>
          <w:rtl/>
        </w:rPr>
        <w:t>آینده‌نگاری</w:t>
      </w:r>
      <w:r w:rsidRPr="0025250D">
        <w:rPr>
          <w:rFonts w:hint="cs"/>
          <w:rtl/>
        </w:rPr>
        <w:t xml:space="preserve"> و عملِ </w:t>
      </w:r>
      <w:r w:rsidR="00AE5BE0" w:rsidRPr="0025250D">
        <w:rPr>
          <w:rFonts w:hint="cs"/>
          <w:rtl/>
        </w:rPr>
        <w:t>انطباقی</w:t>
      </w:r>
      <w:r w:rsidRPr="0025250D">
        <w:rPr>
          <w:rFonts w:hint="cs"/>
          <w:rtl/>
        </w:rPr>
        <w:t xml:space="preserve"> فکر کنیم. به‌بیان‌دیگر، درحالی‌که ترجیحاتی برای یک یا چند مورد از این سبک‌ها در زمینه‌های مختلف داریم، همه ما باید هر روز از هر یک از این سه سبک </w:t>
      </w:r>
      <w:r w:rsidR="00B124DE" w:rsidRPr="0025250D">
        <w:rPr>
          <w:rFonts w:hint="cs"/>
          <w:rtl/>
        </w:rPr>
        <w:t>آینده‌اندیش</w:t>
      </w:r>
      <w:r w:rsidRPr="0025250D">
        <w:rPr>
          <w:rFonts w:hint="cs"/>
          <w:rtl/>
        </w:rPr>
        <w:t xml:space="preserve">ی به‌صورت خلاقانه‌ای استفاده کنیم و باید تلاش کنیم تا در همه آن‌ها بهتر شویم. حتی وقتی به‌طور مشخص در یکی از این انواع با تجربه و مؤثر هستیم، باید همواره با دیگر انواع سبک‌ها در تیممان به‌خوبی کار کنیم، وظایفی را به آنان واگذار کنیم و برای آن‌ها ارزش قائل شویم. در غیر این صورت به زودی </w:t>
      </w:r>
      <w:r w:rsidR="002F3C14" w:rsidRPr="0025250D">
        <w:rPr>
          <w:rFonts w:hint="cs"/>
          <w:rtl/>
        </w:rPr>
        <w:t>انطباق</w:t>
      </w:r>
      <w:r w:rsidRPr="0025250D">
        <w:rPr>
          <w:rFonts w:hint="cs"/>
          <w:rtl/>
        </w:rPr>
        <w:t xml:space="preserve"> ناپذیر و ناهنجار خواهیم شد.</w:t>
      </w:r>
    </w:p>
    <w:p w14:paraId="57948F14" w14:textId="13CFE316" w:rsidR="0020732A" w:rsidRPr="0025250D" w:rsidRDefault="0020732A" w:rsidP="0020732A">
      <w:pPr>
        <w:rPr>
          <w:rtl/>
        </w:rPr>
      </w:pPr>
      <w:r w:rsidRPr="0025250D">
        <w:rPr>
          <w:rFonts w:hint="cs"/>
          <w:rtl/>
        </w:rPr>
        <w:t xml:space="preserve">درصورتی‌که فرایند‌های </w:t>
      </w:r>
      <w:r w:rsidRPr="0025250D">
        <w:rPr>
          <w:rtl/>
        </w:rPr>
        <w:t>آینده‌نگاری</w:t>
      </w:r>
      <w:r w:rsidRPr="0025250D">
        <w:rPr>
          <w:rFonts w:hint="cs"/>
          <w:rtl/>
        </w:rPr>
        <w:t xml:space="preserve"> حیاتی و تصمیم‌گیری‌ها را به دیگران واگذار کرده و آن‌ها را به‌خوبی توسعه دهیم، می‌توانیم حتی شتر مرغ‌ها یا فیل‌های موفقی باشیم. </w:t>
      </w:r>
      <w:r w:rsidR="007118DE" w:rsidRPr="0025250D">
        <w:rPr>
          <w:rFonts w:hint="cs"/>
          <w:rtl/>
        </w:rPr>
        <w:t>همان‌طور</w:t>
      </w:r>
      <w:r w:rsidRPr="0025250D">
        <w:rPr>
          <w:rFonts w:hint="cs"/>
          <w:rtl/>
        </w:rPr>
        <w:t xml:space="preserve"> که قاعده آنا کارنینا به ما یادآوری می‌کند، راه‌های (تکاملی) بسیاری برای شکست خوردن وجود دارند، اما تنها چند راه معدود (توسعه‌ای) برای موفقیت وجود دارند. راه‌های متعددی برای اجتناب از </w:t>
      </w:r>
      <w:r w:rsidRPr="0025250D">
        <w:rPr>
          <w:rtl/>
        </w:rPr>
        <w:t>آینده‌نگاری</w:t>
      </w:r>
      <w:r w:rsidRPr="0025250D">
        <w:rPr>
          <w:rFonts w:hint="cs"/>
          <w:rtl/>
        </w:rPr>
        <w:t xml:space="preserve"> و شتر مرغ بودن وجود دارند</w:t>
      </w:r>
      <w:r w:rsidR="008D6F97" w:rsidRPr="0025250D">
        <w:rPr>
          <w:rtl/>
        </w:rPr>
        <w:t xml:space="preserve">؛ </w:t>
      </w:r>
      <w:r w:rsidRPr="0025250D">
        <w:rPr>
          <w:rFonts w:hint="cs"/>
          <w:rtl/>
        </w:rPr>
        <w:t xml:space="preserve">اما تنها چند راه کلاسیک برای موفقیت وجود دارند. جوجه تیغی ‌ها، روباه‌ها و عقاب‌ها این راه‌ها را توصیف می‌نمایند. وقتی یک شتر مرغ یا فیل باشیم باید یادبگیریم که وظایف </w:t>
      </w:r>
      <w:r w:rsidRPr="0025250D">
        <w:rPr>
          <w:rtl/>
        </w:rPr>
        <w:t>آینده‌نگاری</w:t>
      </w:r>
      <w:r w:rsidRPr="0025250D">
        <w:rPr>
          <w:rFonts w:hint="cs"/>
          <w:rtl/>
        </w:rPr>
        <w:t xml:space="preserve"> تیم را به نمایندگانی که در انواع دیگر سبک‌های رهبری قدرتمند هستند واگذار نماییم.</w:t>
      </w:r>
    </w:p>
    <w:p w14:paraId="7941D9F7" w14:textId="653F1B1E" w:rsidR="0020732A" w:rsidRPr="0025250D" w:rsidRDefault="0020732A" w:rsidP="00116646">
      <w:pPr>
        <w:rPr>
          <w:rtl/>
        </w:rPr>
      </w:pPr>
      <w:r w:rsidRPr="0025250D">
        <w:rPr>
          <w:rFonts w:hint="cs"/>
          <w:rtl/>
        </w:rPr>
        <w:t xml:space="preserve">در فصل 3 مدل معماری رهبری </w:t>
      </w:r>
      <w:r w:rsidRPr="0025250D">
        <w:rPr>
          <w:rtl/>
        </w:rPr>
        <w:t>کورن فر</w:t>
      </w:r>
      <w:r w:rsidRPr="0025250D">
        <w:rPr>
          <w:rFonts w:hint="cs"/>
          <w:rtl/>
        </w:rPr>
        <w:t>ی</w:t>
      </w:r>
      <w:r w:rsidRPr="0025250D">
        <w:rPr>
          <w:vertAlign w:val="superscript"/>
          <w:rtl/>
        </w:rPr>
        <w:footnoteReference w:id="381"/>
      </w:r>
      <w:r w:rsidRPr="0025250D">
        <w:rPr>
          <w:rFonts w:hint="cs"/>
          <w:rtl/>
        </w:rPr>
        <w:t xml:space="preserve"> را بررسی خواهیم کرد که در کتاب </w:t>
      </w:r>
      <w:r w:rsidR="00116646" w:rsidRPr="0025250D">
        <w:rPr>
          <w:rFonts w:hint="cs"/>
          <w:rtl/>
        </w:rPr>
        <w:t>«</w:t>
      </w:r>
      <w:r w:rsidRPr="0025250D">
        <w:t>FYI</w:t>
      </w:r>
      <w:r w:rsidRPr="0025250D">
        <w:rPr>
          <w:rFonts w:hint="cs"/>
          <w:rtl/>
        </w:rPr>
        <w:t xml:space="preserve">: برای بهبود </w:t>
      </w:r>
      <w:r w:rsidR="00116646" w:rsidRPr="0025250D">
        <w:rPr>
          <w:rtl/>
        </w:rPr>
        <w:t>شما</w:t>
      </w:r>
      <w:r w:rsidR="00116646" w:rsidRPr="0025250D">
        <w:rPr>
          <w:rFonts w:hint="cs"/>
          <w:rtl/>
        </w:rPr>
        <w:t>»</w:t>
      </w:r>
      <w:r w:rsidR="00AF54F7" w:rsidRPr="0025250D">
        <w:rPr>
          <w:rFonts w:hint="cs"/>
          <w:rtl/>
        </w:rPr>
        <w:t xml:space="preserve"> در سال</w:t>
      </w:r>
      <w:r w:rsidRPr="0025250D">
        <w:rPr>
          <w:rFonts w:hint="cs"/>
          <w:rtl/>
        </w:rPr>
        <w:t xml:space="preserve"> 2017 که اکنون ویرایش ششم آن منتشر شده است، بررسی شده است. بیایید به‌طور خلاصه در این جا مقدمه‌ای بر آن ارائه کنیم. این مدلِ مبتنی بر مدارک شامل 38 شایستگی و ارزیابی‌های مفید متنوعی می‌شود.</w:t>
      </w:r>
    </w:p>
    <w:p w14:paraId="6E53C18D" w14:textId="77777777" w:rsidR="0020732A" w:rsidRPr="0025250D" w:rsidRDefault="0020732A" w:rsidP="00D54462">
      <w:pPr>
        <w:jc w:val="center"/>
        <w:rPr>
          <w:rtl/>
        </w:rPr>
      </w:pPr>
      <w:r w:rsidRPr="0025250D">
        <w:rPr>
          <w:noProof/>
          <w:lang w:bidi="ar-SA"/>
        </w:rPr>
        <w:drawing>
          <wp:inline distT="0" distB="0" distL="0" distR="0" wp14:anchorId="64B51F39" wp14:editId="77BF473E">
            <wp:extent cx="2210463" cy="2210463"/>
            <wp:effectExtent l="0" t="0" r="0" b="0"/>
            <wp:docPr id="59" name="Picture 5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 the source image"/>
                    <pic:cNvPicPr>
                      <a:picLocks noChangeAspect="1" noChangeArrowheads="1"/>
                    </pic:cNvPicPr>
                  </pic:nvPicPr>
                  <pic:blipFill>
                    <a:blip r:embed="rId40">
                      <a:extLst>
                        <a:ext uri="{BEBA8EAE-BF5A-486C-A8C5-ECC9F3942E4B}">
                          <a14:imgProps xmlns:a14="http://schemas.microsoft.com/office/drawing/2010/main">
                            <a14:imgLayer r:embed="rId41">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2221721" cy="2221721"/>
                    </a:xfrm>
                    <a:prstGeom prst="rect">
                      <a:avLst/>
                    </a:prstGeom>
                    <a:noFill/>
                    <a:ln>
                      <a:noFill/>
                    </a:ln>
                  </pic:spPr>
                </pic:pic>
              </a:graphicData>
            </a:graphic>
          </wp:inline>
        </w:drawing>
      </w:r>
    </w:p>
    <w:p w14:paraId="1E3542EC" w14:textId="77777777" w:rsidR="0020732A" w:rsidRPr="0025250D" w:rsidRDefault="0020732A" w:rsidP="00D54462">
      <w:pPr>
        <w:jc w:val="center"/>
        <w:rPr>
          <w:rtl/>
        </w:rPr>
      </w:pPr>
      <w:r w:rsidRPr="0025250D">
        <w:rPr>
          <w:rFonts w:hint="cs"/>
          <w:rtl/>
        </w:rPr>
        <w:t>کورن فری، 2017</w:t>
      </w:r>
    </w:p>
    <w:p w14:paraId="7C552595" w14:textId="5B2E9267" w:rsidR="0020732A" w:rsidRPr="0025250D" w:rsidRDefault="0020732A" w:rsidP="0020732A">
      <w:pPr>
        <w:rPr>
          <w:rtl/>
        </w:rPr>
      </w:pPr>
      <w:r w:rsidRPr="0025250D">
        <w:rPr>
          <w:rFonts w:hint="cs"/>
          <w:rtl/>
        </w:rPr>
        <w:lastRenderedPageBreak/>
        <w:t xml:space="preserve">مدل </w:t>
      </w:r>
      <w:r w:rsidRPr="0025250D">
        <w:rPr>
          <w:rtl/>
        </w:rPr>
        <w:t>کورن فر</w:t>
      </w:r>
      <w:r w:rsidRPr="0025250D">
        <w:rPr>
          <w:rFonts w:hint="cs"/>
          <w:rtl/>
        </w:rPr>
        <w:t xml:space="preserve">ی چهار شایستگی رهبری را توصیف می‌کند: (1) </w:t>
      </w:r>
      <w:r w:rsidRPr="0025250D">
        <w:rPr>
          <w:rtl/>
        </w:rPr>
        <w:t>رهبر</w:t>
      </w:r>
      <w:r w:rsidRPr="0025250D">
        <w:rPr>
          <w:rFonts w:hint="cs"/>
          <w:rtl/>
        </w:rPr>
        <w:t>ی</w:t>
      </w:r>
      <w:r w:rsidRPr="0025250D">
        <w:rPr>
          <w:rtl/>
        </w:rPr>
        <w:t xml:space="preserve"> </w:t>
      </w:r>
      <w:r w:rsidRPr="0025250D">
        <w:rPr>
          <w:rFonts w:hint="cs"/>
          <w:rtl/>
        </w:rPr>
        <w:t>تفکرگرا</w:t>
      </w:r>
      <w:r w:rsidRPr="0025250D">
        <w:rPr>
          <w:vertAlign w:val="superscript"/>
          <w:rtl/>
        </w:rPr>
        <w:footnoteReference w:id="382"/>
      </w:r>
      <w:r w:rsidRPr="0025250D">
        <w:rPr>
          <w:rFonts w:hint="cs"/>
          <w:rtl/>
        </w:rPr>
        <w:t xml:space="preserve"> (راهبردی بودن) تمرکز خارجی؛ (2) رهبری نتیجه گرا</w:t>
      </w:r>
      <w:r w:rsidRPr="0025250D">
        <w:rPr>
          <w:vertAlign w:val="superscript"/>
          <w:rtl/>
        </w:rPr>
        <w:footnoteReference w:id="383"/>
      </w:r>
      <w:r w:rsidRPr="0025250D">
        <w:rPr>
          <w:rFonts w:hint="cs"/>
          <w:rtl/>
        </w:rPr>
        <w:t xml:space="preserve"> (وابسته به برآمد) تمرکز خارجی؛ (3) رهبری مردم گرا</w:t>
      </w:r>
      <w:r w:rsidRPr="0025250D">
        <w:rPr>
          <w:vertAlign w:val="superscript"/>
          <w:rtl/>
        </w:rPr>
        <w:footnoteReference w:id="384"/>
      </w:r>
      <w:r w:rsidRPr="0025250D">
        <w:rPr>
          <w:rFonts w:hint="cs"/>
          <w:rtl/>
        </w:rPr>
        <w:t xml:space="preserve"> (توسعه دهنده بودن) تمرکز درونی؛ (4) رهبری </w:t>
      </w:r>
      <w:r w:rsidR="008E4DB3" w:rsidRPr="0025250D">
        <w:rPr>
          <w:rFonts w:hint="cs"/>
          <w:rtl/>
        </w:rPr>
        <w:t>فرد</w:t>
      </w:r>
      <w:r w:rsidRPr="0025250D">
        <w:rPr>
          <w:rFonts w:hint="cs"/>
          <w:rtl/>
        </w:rPr>
        <w:t xml:space="preserve"> گرا</w:t>
      </w:r>
      <w:r w:rsidRPr="0025250D">
        <w:rPr>
          <w:vertAlign w:val="superscript"/>
          <w:rtl/>
        </w:rPr>
        <w:footnoteReference w:id="385"/>
      </w:r>
      <w:r w:rsidRPr="0025250D">
        <w:rPr>
          <w:rFonts w:hint="cs"/>
          <w:rtl/>
        </w:rPr>
        <w:t xml:space="preserve"> (هوش هیجانی</w:t>
      </w:r>
      <w:r w:rsidRPr="0025250D">
        <w:rPr>
          <w:vertAlign w:val="superscript"/>
          <w:rtl/>
        </w:rPr>
        <w:footnoteReference w:id="386"/>
      </w:r>
      <w:r w:rsidRPr="0025250D">
        <w:rPr>
          <w:rFonts w:hint="cs"/>
          <w:rtl/>
        </w:rPr>
        <w:t xml:space="preserve"> (</w:t>
      </w:r>
      <w:r w:rsidRPr="0025250D">
        <w:t>EQ</w:t>
      </w:r>
      <w:r w:rsidRPr="0025250D">
        <w:rPr>
          <w:rFonts w:hint="cs"/>
          <w:rtl/>
        </w:rPr>
        <w:t xml:space="preserve">)، اخلاقیات، </w:t>
      </w:r>
      <w:r w:rsidR="00AE5BE0" w:rsidRPr="0025250D">
        <w:rPr>
          <w:rFonts w:hint="cs"/>
          <w:rtl/>
        </w:rPr>
        <w:t>انطباق</w:t>
      </w:r>
      <w:r w:rsidRPr="0025250D">
        <w:rPr>
          <w:rFonts w:hint="cs"/>
          <w:rtl/>
        </w:rPr>
        <w:t>) تمرکز درونی.</w:t>
      </w:r>
      <w:r w:rsidR="008D6F97" w:rsidRPr="0025250D">
        <w:rPr>
          <w:rtl/>
        </w:rPr>
        <w:t xml:space="preserve"> </w:t>
      </w:r>
      <w:r w:rsidRPr="0025250D">
        <w:rPr>
          <w:rFonts w:hint="cs"/>
          <w:rtl/>
        </w:rPr>
        <w:t xml:space="preserve">محقق سامانه‌های پیچیده و آینده‌پژوه </w:t>
      </w:r>
      <w:r w:rsidRPr="0025250D">
        <w:rPr>
          <w:rtl/>
        </w:rPr>
        <w:t>د</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rtl/>
        </w:rPr>
        <w:t xml:space="preserve"> اسنودن</w:t>
      </w:r>
      <w:r w:rsidRPr="0025250D">
        <w:rPr>
          <w:vertAlign w:val="superscript"/>
          <w:rtl/>
        </w:rPr>
        <w:footnoteReference w:id="387"/>
      </w:r>
      <w:r w:rsidRPr="0025250D">
        <w:rPr>
          <w:rFonts w:hint="cs"/>
          <w:rtl/>
        </w:rPr>
        <w:t xml:space="preserve">، خالق </w:t>
      </w:r>
      <w:r w:rsidR="00B13F65" w:rsidRPr="0025250D">
        <w:rPr>
          <w:rFonts w:hint="cs"/>
          <w:rtl/>
        </w:rPr>
        <w:t>چارچوب</w:t>
      </w:r>
      <w:r w:rsidRPr="0025250D">
        <w:rPr>
          <w:rFonts w:hint="cs"/>
          <w:rtl/>
        </w:rPr>
        <w:t xml:space="preserve"> تفهیم سازی </w:t>
      </w:r>
      <w:r w:rsidRPr="0025250D">
        <w:rPr>
          <w:rtl/>
        </w:rPr>
        <w:t>کانو</w:t>
      </w:r>
      <w:r w:rsidRPr="0025250D">
        <w:rPr>
          <w:rFonts w:hint="cs"/>
          <w:rtl/>
        </w:rPr>
        <w:t>ی</w:t>
      </w:r>
      <w:r w:rsidRPr="0025250D">
        <w:rPr>
          <w:rFonts w:hint="eastAsia"/>
          <w:rtl/>
        </w:rPr>
        <w:t>ن</w:t>
      </w:r>
      <w:r w:rsidRPr="0025250D">
        <w:rPr>
          <w:vertAlign w:val="superscript"/>
          <w:rtl/>
        </w:rPr>
        <w:footnoteReference w:id="388"/>
      </w:r>
      <w:r w:rsidRPr="0025250D">
        <w:rPr>
          <w:rFonts w:hint="cs"/>
          <w:rtl/>
        </w:rPr>
        <w:t xml:space="preserve"> که بعداً مورد بحث قرار خواهد گرفت، مشاهده می‌کند که این چهار شایستگی اهمیت برابری ندارند. برخی رهبران، درصورتی‌که بتوانند به‌صورت </w:t>
      </w:r>
      <w:r w:rsidR="0008779C" w:rsidRPr="0025250D">
        <w:rPr>
          <w:rFonts w:hint="cs"/>
          <w:rtl/>
        </w:rPr>
        <w:t>موفقیت‌آمیز</w:t>
      </w:r>
      <w:r w:rsidRPr="0025250D">
        <w:rPr>
          <w:rFonts w:hint="cs"/>
          <w:rtl/>
        </w:rPr>
        <w:t xml:space="preserve">ی وظایف را اختصاص داده و نمایندگانی برگزینند، می‌توانند تنها در دو مورد آخر از بین این چهار مورد تخصص یابند. </w:t>
      </w:r>
      <w:r w:rsidRPr="0025250D">
        <w:rPr>
          <w:rtl/>
        </w:rPr>
        <w:t>اسنودن</w:t>
      </w:r>
      <w:r w:rsidRPr="0025250D">
        <w:rPr>
          <w:rFonts w:hint="cs"/>
          <w:rtl/>
        </w:rPr>
        <w:t xml:space="preserve"> رهبران موفق را افرادی توصیف می‌کند که </w:t>
      </w:r>
      <w:r w:rsidR="00116646" w:rsidRPr="0025250D">
        <w:rPr>
          <w:rtl/>
        </w:rPr>
        <w:t>«</w:t>
      </w:r>
      <w:r w:rsidRPr="0025250D">
        <w:rPr>
          <w:rFonts w:hint="cs"/>
          <w:rtl/>
        </w:rPr>
        <w:t>هماهنگ کنندگان</w:t>
      </w:r>
      <w:r w:rsidRPr="0025250D">
        <w:rPr>
          <w:vertAlign w:val="superscript"/>
          <w:rtl/>
        </w:rPr>
        <w:footnoteReference w:id="389"/>
      </w:r>
      <w:r w:rsidR="00116646" w:rsidRPr="0025250D">
        <w:rPr>
          <w:rtl/>
        </w:rPr>
        <w:t>»</w:t>
      </w:r>
      <w:r w:rsidRPr="0025250D">
        <w:rPr>
          <w:rFonts w:hint="cs"/>
          <w:rtl/>
        </w:rPr>
        <w:t xml:space="preserve"> خوبی هستند. آن‌ها بر رهبری مردم گرا و شخص گرا، بر توسعه و حفاظت از افراد برتر خود تمرکز می‌کنند. نمایندگان آن‌ها رهبران تفکرگرای حقیقی (خالقان راهبرد) و رهبران نتیجه گرا (تصمیم گیرندگان) در همه یا بیش‌تر زمینه‌ها و شرایط سازمانی هستند. چنین تخصصی می‌تواند به‌طور مشخص در سازمان‌های بزرگ یا بسیار پیچیده که هم راهبرد و هم عملیات می‌توانند ظرفیت‌های شناختی رهبران را درهم بشکنند </w:t>
      </w:r>
      <w:r w:rsidR="00AE5BE0" w:rsidRPr="0025250D">
        <w:rPr>
          <w:rFonts w:hint="cs"/>
          <w:rtl/>
        </w:rPr>
        <w:t>انطباقی</w:t>
      </w:r>
      <w:r w:rsidRPr="0025250D">
        <w:rPr>
          <w:rFonts w:hint="cs"/>
          <w:rtl/>
        </w:rPr>
        <w:t xml:space="preserve"> باشد.</w:t>
      </w:r>
    </w:p>
    <w:p w14:paraId="698FBAC4" w14:textId="2E35A23B" w:rsidR="0020732A" w:rsidRPr="0025250D" w:rsidRDefault="0020732A" w:rsidP="0020732A">
      <w:pPr>
        <w:rPr>
          <w:rtl/>
        </w:rPr>
      </w:pPr>
      <w:r w:rsidRPr="0025250D">
        <w:rPr>
          <w:rFonts w:hint="cs"/>
          <w:rtl/>
        </w:rPr>
        <w:t xml:space="preserve">در حقیقت، همه رهبران در برخی حوزه‌های سازمانی شتر مرغ هستند. همه ما با پیچیدگی، تنوع و تخصصی بودن زیادی مواجهیم. این‌که چگونه با این حقیقت مواجه می‌شویم تعیین می‌کند که آیا تیم ما </w:t>
      </w:r>
      <w:r w:rsidR="00AE5BE0" w:rsidRPr="0025250D">
        <w:rPr>
          <w:rFonts w:hint="cs"/>
          <w:rtl/>
        </w:rPr>
        <w:t>انطباقی</w:t>
      </w:r>
      <w:r w:rsidRPr="0025250D">
        <w:rPr>
          <w:rFonts w:hint="cs"/>
          <w:rtl/>
        </w:rPr>
        <w:t xml:space="preserve"> است یا خیر. جدای از این‌که جوجه تیغی، روباه، عقاب، شتر مرغ یا حیوانات دیگری باشیم، همواره راه‌هایی برای رهبری به‌صورتی مطلوب وجود دارند. هر چه بهتر درک کنیم، احترام بگذاریم و از سه گوشه هرم رهبری استفاده کنیم، </w:t>
      </w:r>
      <w:r w:rsidRPr="0025250D">
        <w:rPr>
          <w:rtl/>
        </w:rPr>
        <w:t>آینده‌نگاری</w:t>
      </w:r>
      <w:r w:rsidRPr="0025250D">
        <w:rPr>
          <w:rFonts w:hint="cs"/>
          <w:rtl/>
        </w:rPr>
        <w:t xml:space="preserve"> ما بهتر خواهد بود.</w:t>
      </w:r>
    </w:p>
    <w:p w14:paraId="49FCD1EF" w14:textId="77777777" w:rsidR="0020732A" w:rsidRPr="0025250D" w:rsidRDefault="0020732A" w:rsidP="0020732A">
      <w:pPr>
        <w:rPr>
          <w:rtl/>
        </w:rPr>
      </w:pPr>
    </w:p>
    <w:p w14:paraId="030EAAC6" w14:textId="77777777" w:rsidR="0020732A" w:rsidRPr="0025250D" w:rsidRDefault="0020732A" w:rsidP="0020732A">
      <w:pPr>
        <w:rPr>
          <w:rtl/>
        </w:rPr>
      </w:pPr>
    </w:p>
    <w:p w14:paraId="64BA2573" w14:textId="77777777" w:rsidR="0020732A" w:rsidRPr="0025250D" w:rsidRDefault="0020732A" w:rsidP="0020732A">
      <w:pPr>
        <w:rPr>
          <w:rtl/>
        </w:rPr>
      </w:pPr>
    </w:p>
    <w:p w14:paraId="543B9D79" w14:textId="77777777" w:rsidR="0020732A" w:rsidRPr="0025250D" w:rsidRDefault="0020732A" w:rsidP="0020732A">
      <w:pPr>
        <w:rPr>
          <w:rtl/>
        </w:rPr>
      </w:pPr>
    </w:p>
    <w:p w14:paraId="0E14FCA2" w14:textId="77777777" w:rsidR="0020732A" w:rsidRPr="0025250D" w:rsidRDefault="0020732A" w:rsidP="0020732A">
      <w:pPr>
        <w:rPr>
          <w:rtl/>
        </w:rPr>
      </w:pPr>
    </w:p>
    <w:p w14:paraId="562C85E0" w14:textId="77777777" w:rsidR="0020732A" w:rsidRPr="0025250D" w:rsidRDefault="0020732A" w:rsidP="00165822">
      <w:pPr>
        <w:pStyle w:val="Heading2"/>
        <w:rPr>
          <w:rtl/>
        </w:rPr>
      </w:pPr>
      <w:bookmarkStart w:id="13" w:name="_Toc127831278"/>
      <w:r w:rsidRPr="0025250D">
        <w:rPr>
          <w:rFonts w:hint="cs"/>
          <w:rtl/>
        </w:rPr>
        <w:lastRenderedPageBreak/>
        <w:t>قوانین 80/20 و 95/5 تغییر</w:t>
      </w:r>
      <w:bookmarkEnd w:id="13"/>
    </w:p>
    <w:p w14:paraId="0518D6F8" w14:textId="22DD5AA1" w:rsidR="0020732A" w:rsidRPr="0025250D" w:rsidRDefault="0020732A" w:rsidP="0020732A">
      <w:pPr>
        <w:rPr>
          <w:rtl/>
        </w:rPr>
      </w:pPr>
      <w:r w:rsidRPr="0025250D">
        <w:rPr>
          <w:rFonts w:hint="cs"/>
          <w:rtl/>
        </w:rPr>
        <w:t>آیا در مورد قاعده پارتو</w:t>
      </w:r>
      <w:r w:rsidRPr="0025250D">
        <w:rPr>
          <w:vertAlign w:val="superscript"/>
          <w:rtl/>
        </w:rPr>
        <w:footnoteReference w:id="390"/>
      </w:r>
      <w:r w:rsidRPr="0025250D">
        <w:rPr>
          <w:rFonts w:hint="cs"/>
          <w:rtl/>
        </w:rPr>
        <w:t xml:space="preserve"> چیزی شنیده اید که قانون 80/20 نیز نامیده می‌شود؟ این یک محدودیت طبیعی اساسی است که همه کارگزاران </w:t>
      </w:r>
      <w:r w:rsidRPr="0025250D">
        <w:rPr>
          <w:rtl/>
        </w:rPr>
        <w:t>آینده‌نگاری</w:t>
      </w:r>
      <w:r w:rsidRPr="0025250D">
        <w:rPr>
          <w:rFonts w:hint="cs"/>
          <w:rtl/>
        </w:rPr>
        <w:t xml:space="preserve"> باید درک کنند. محققین پیچیدگی این موضوع را با یک عنوان محرمانه تر، یعنی قانون توانی</w:t>
      </w:r>
      <w:r w:rsidRPr="0025250D">
        <w:rPr>
          <w:vertAlign w:val="superscript"/>
          <w:rtl/>
        </w:rPr>
        <w:footnoteReference w:id="391"/>
      </w:r>
      <w:r w:rsidRPr="0025250D">
        <w:rPr>
          <w:rFonts w:hint="cs"/>
          <w:rtl/>
        </w:rPr>
        <w:t xml:space="preserve"> می‌شناسند. قوانین توانی توزیع متغیر‌ها را در سامانه‌های پیچیده متعددی توصیف می‌کنند. در سامانه‌های با قوانین توانی، 80 درصد از </w:t>
      </w:r>
      <w:r w:rsidRPr="0025250D">
        <w:rPr>
          <w:rtl/>
        </w:rPr>
        <w:t>بحث برانگ</w:t>
      </w:r>
      <w:r w:rsidRPr="0025250D">
        <w:rPr>
          <w:rFonts w:hint="cs"/>
          <w:rtl/>
        </w:rPr>
        <w:t>ی</w:t>
      </w:r>
      <w:r w:rsidRPr="0025250D">
        <w:rPr>
          <w:rFonts w:hint="eastAsia"/>
          <w:rtl/>
        </w:rPr>
        <w:t>زتر</w:t>
      </w:r>
      <w:r w:rsidRPr="0025250D">
        <w:rPr>
          <w:rFonts w:hint="cs"/>
          <w:rtl/>
        </w:rPr>
        <w:t>ی</w:t>
      </w:r>
      <w:r w:rsidRPr="0025250D">
        <w:rPr>
          <w:rFonts w:hint="eastAsia"/>
          <w:rtl/>
        </w:rPr>
        <w:t>ن</w:t>
      </w:r>
      <w:r w:rsidRPr="0025250D">
        <w:rPr>
          <w:rtl/>
        </w:rPr>
        <w:t xml:space="preserve"> اثرات</w:t>
      </w:r>
      <w:r w:rsidRPr="0025250D">
        <w:rPr>
          <w:vertAlign w:val="superscript"/>
          <w:rtl/>
        </w:rPr>
        <w:footnoteReference w:id="392"/>
      </w:r>
      <w:r w:rsidRPr="0025250D">
        <w:rPr>
          <w:rFonts w:hint="cs"/>
          <w:rtl/>
        </w:rPr>
        <w:t xml:space="preserve"> (رقابتی، منتخب) معمولاً از 20 درصد از بازیگران (سمت راست تصویر) ناشی می‌شوند.</w:t>
      </w:r>
    </w:p>
    <w:p w14:paraId="24FB8D7C" w14:textId="07507130" w:rsidR="0020732A" w:rsidRPr="0025250D" w:rsidRDefault="001E6C16" w:rsidP="00165822">
      <w:pPr>
        <w:jc w:val="center"/>
        <w:rPr>
          <w:rtl/>
        </w:rPr>
      </w:pPr>
      <w:r w:rsidRPr="0025250D">
        <w:rPr>
          <w:noProof/>
        </w:rPr>
        <w:drawing>
          <wp:inline distT="0" distB="0" distL="0" distR="0" wp14:anchorId="0BC383C2" wp14:editId="6FAD16ED">
            <wp:extent cx="4905955" cy="2579593"/>
            <wp:effectExtent l="0" t="0" r="952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4916492" cy="2585134"/>
                    </a:xfrm>
                    <a:prstGeom prst="rect">
                      <a:avLst/>
                    </a:prstGeom>
                    <a:noFill/>
                  </pic:spPr>
                </pic:pic>
              </a:graphicData>
            </a:graphic>
          </wp:inline>
        </w:drawing>
      </w:r>
    </w:p>
    <w:p w14:paraId="616F9A06" w14:textId="77777777" w:rsidR="0020732A" w:rsidRPr="0025250D" w:rsidRDefault="0020732A" w:rsidP="00165822">
      <w:pPr>
        <w:jc w:val="center"/>
        <w:rPr>
          <w:rtl/>
        </w:rPr>
      </w:pPr>
      <w:r w:rsidRPr="0025250D">
        <w:rPr>
          <w:rFonts w:hint="cs"/>
          <w:rtl/>
        </w:rPr>
        <w:t>یک توزیع قانون توانی، یک منحنی پیچیدگی فراگیر</w:t>
      </w:r>
    </w:p>
    <w:p w14:paraId="1174B911" w14:textId="0AA1F544" w:rsidR="0020732A" w:rsidRPr="0025250D" w:rsidRDefault="0020732A" w:rsidP="0020732A">
      <w:pPr>
        <w:rPr>
          <w:rtl/>
        </w:rPr>
      </w:pPr>
      <w:r w:rsidRPr="0025250D">
        <w:rPr>
          <w:rFonts w:hint="cs"/>
          <w:rtl/>
        </w:rPr>
        <w:t xml:space="preserve">برای مثال، در نظر بگیرید که 20 درصد از شهروندان در اقتصاد‌های </w:t>
      </w:r>
      <w:r w:rsidR="00B0171C" w:rsidRPr="0025250D">
        <w:rPr>
          <w:rFonts w:hint="cs"/>
          <w:rtl/>
        </w:rPr>
        <w:t xml:space="preserve"> سرمایه‌دار</w:t>
      </w:r>
      <w:r w:rsidRPr="0025250D">
        <w:rPr>
          <w:rFonts w:hint="cs"/>
          <w:rtl/>
        </w:rPr>
        <w:t>ی معمولاً چیزی در حدود 80 درصد از ثروت را در اختیار دارند. به‌عنوان مثالی دیگر، حتی با تغییر و رشد سطح شهری سازی</w:t>
      </w:r>
      <w:r w:rsidRPr="0025250D">
        <w:rPr>
          <w:vertAlign w:val="superscript"/>
          <w:rtl/>
        </w:rPr>
        <w:footnoteReference w:id="393"/>
      </w:r>
      <w:r w:rsidRPr="0025250D">
        <w:rPr>
          <w:rFonts w:hint="cs"/>
          <w:rtl/>
        </w:rPr>
        <w:t xml:space="preserve">،20 درصد از شهر‌های </w:t>
      </w:r>
      <w:r w:rsidR="00116646" w:rsidRPr="0025250D">
        <w:rPr>
          <w:rtl/>
        </w:rPr>
        <w:t>«</w:t>
      </w:r>
      <w:r w:rsidRPr="0025250D">
        <w:rPr>
          <w:rFonts w:hint="cs"/>
          <w:rtl/>
        </w:rPr>
        <w:t>پیشرو</w:t>
      </w:r>
      <w:r w:rsidRPr="0025250D">
        <w:rPr>
          <w:vertAlign w:val="superscript"/>
          <w:rtl/>
        </w:rPr>
        <w:footnoteReference w:id="394"/>
      </w:r>
      <w:r w:rsidR="00116646" w:rsidRPr="0025250D">
        <w:rPr>
          <w:rtl/>
        </w:rPr>
        <w:t>»</w:t>
      </w:r>
      <w:r w:rsidRPr="0025250D">
        <w:rPr>
          <w:rFonts w:hint="cs"/>
          <w:rtl/>
        </w:rPr>
        <w:t xml:space="preserve"> معمولاً 80 درصد از جمعیت شهر نشین یک کشور را در بر دارند. در کتابفروشی ‌ها،20 درصد از عناوین 80 درصد از حجم فروش را به خود اختصاص می‌دهند. وقتی مسائل را حل می‌کنیم، 20 درصد از تلاش (به شکل ایدئال، اقدامات دارای بالاترین اولویت ما) اغلب 80 درصد از نتایجی را که می‌خواهیم برای ما به ارمغان می‌آورند.</w:t>
      </w:r>
    </w:p>
    <w:p w14:paraId="45EC6F55" w14:textId="1C0DB23A" w:rsidR="0020732A" w:rsidRPr="0025250D" w:rsidRDefault="0020732A" w:rsidP="0020732A">
      <w:pPr>
        <w:rPr>
          <w:rtl/>
        </w:rPr>
      </w:pPr>
      <w:r w:rsidRPr="0025250D">
        <w:rPr>
          <w:rFonts w:hint="cs"/>
          <w:rtl/>
        </w:rPr>
        <w:t xml:space="preserve">در هر مورد، حدودا 20 درصد از بازیگران یا اقدامات </w:t>
      </w:r>
      <w:r w:rsidR="00947B39" w:rsidRPr="0025250D">
        <w:rPr>
          <w:rFonts w:hint="cs"/>
          <w:rtl/>
        </w:rPr>
        <w:t>سامانه</w:t>
      </w:r>
      <w:r w:rsidRPr="0025250D">
        <w:rPr>
          <w:rFonts w:hint="cs"/>
          <w:rtl/>
        </w:rPr>
        <w:t xml:space="preserve"> </w:t>
      </w:r>
      <w:r w:rsidR="00116646" w:rsidRPr="0025250D">
        <w:rPr>
          <w:rtl/>
        </w:rPr>
        <w:t>«</w:t>
      </w:r>
      <w:r w:rsidR="0053184A" w:rsidRPr="0025250D">
        <w:rPr>
          <w:rFonts w:hint="cs"/>
          <w:rtl/>
        </w:rPr>
        <w:t>بخش چاق</w:t>
      </w:r>
      <w:r w:rsidRPr="0025250D">
        <w:rPr>
          <w:vertAlign w:val="superscript"/>
          <w:rtl/>
        </w:rPr>
        <w:footnoteReference w:id="395"/>
      </w:r>
      <w:r w:rsidR="00116646" w:rsidRPr="0025250D">
        <w:rPr>
          <w:rtl/>
        </w:rPr>
        <w:t>»</w:t>
      </w:r>
      <w:r w:rsidRPr="0025250D">
        <w:rPr>
          <w:rFonts w:hint="cs"/>
          <w:rtl/>
        </w:rPr>
        <w:t xml:space="preserve"> قانون توانی نامیده می‌شوند. در مقابل، 80 درصد مابقی شهروندان، شهر ‌ها، کتاب‌ها و فعالیت‌های حل مسئله، درحالی‌که تنها 20 درصد از تأثیر را بر متغیر‌های سامانه‌ای بحث برانگیز (رقابتی، منتخب) </w:t>
      </w:r>
      <w:r w:rsidR="00AF54F7" w:rsidRPr="0025250D">
        <w:rPr>
          <w:rFonts w:hint="cs"/>
          <w:rtl/>
        </w:rPr>
        <w:t>دارند</w:t>
      </w:r>
      <w:r w:rsidRPr="0025250D">
        <w:rPr>
          <w:rFonts w:hint="cs"/>
          <w:rtl/>
        </w:rPr>
        <w:t xml:space="preserve">، حاوی اکثریت تنوع در میان کل مجموعه متغیر‌های </w:t>
      </w:r>
      <w:r w:rsidR="00947B39" w:rsidRPr="0025250D">
        <w:rPr>
          <w:rFonts w:hint="cs"/>
          <w:rtl/>
        </w:rPr>
        <w:t>سامانه</w:t>
      </w:r>
      <w:r w:rsidRPr="0025250D">
        <w:rPr>
          <w:rFonts w:hint="cs"/>
          <w:rtl/>
        </w:rPr>
        <w:t xml:space="preserve"> هستند. این 80 درصد </w:t>
      </w:r>
      <w:r w:rsidR="00116646" w:rsidRPr="0025250D">
        <w:rPr>
          <w:rtl/>
        </w:rPr>
        <w:t>«</w:t>
      </w:r>
      <w:r w:rsidRPr="0025250D">
        <w:rPr>
          <w:rFonts w:hint="cs"/>
          <w:rtl/>
        </w:rPr>
        <w:t>دنباله بلند</w:t>
      </w:r>
      <w:r w:rsidRPr="0025250D">
        <w:rPr>
          <w:vertAlign w:val="superscript"/>
          <w:rtl/>
        </w:rPr>
        <w:footnoteReference w:id="396"/>
      </w:r>
      <w:r w:rsidR="00116646" w:rsidRPr="0025250D">
        <w:rPr>
          <w:rtl/>
        </w:rPr>
        <w:t>»</w:t>
      </w:r>
      <w:r w:rsidRPr="0025250D">
        <w:rPr>
          <w:rFonts w:hint="cs"/>
          <w:rtl/>
        </w:rPr>
        <w:t xml:space="preserve"> قانون توانی نامیده می‌شود. تنوع زیبا و تحسین برانگیزِ دنباله بلند هر گاه که شرایط تغییر کنند یا هرگاه که </w:t>
      </w:r>
      <w:r w:rsidR="00923DDB" w:rsidRPr="0025250D">
        <w:rPr>
          <w:rFonts w:hint="cs"/>
          <w:rtl/>
        </w:rPr>
        <w:t>راه‌حل</w:t>
      </w:r>
      <w:r w:rsidRPr="0025250D">
        <w:rPr>
          <w:rFonts w:hint="cs"/>
          <w:rtl/>
        </w:rPr>
        <w:t xml:space="preserve">‌های موجود دیگر </w:t>
      </w:r>
      <w:r w:rsidR="00AE5BE0" w:rsidRPr="0025250D">
        <w:rPr>
          <w:rFonts w:hint="cs"/>
          <w:rtl/>
        </w:rPr>
        <w:t>انطباقی</w:t>
      </w:r>
      <w:r w:rsidRPr="0025250D">
        <w:rPr>
          <w:rFonts w:hint="cs"/>
          <w:rtl/>
        </w:rPr>
        <w:t xml:space="preserve"> نباشند، از</w:t>
      </w:r>
      <w:r w:rsidRPr="0025250D">
        <w:rPr>
          <w:rtl/>
        </w:rPr>
        <w:t xml:space="preserve"> </w:t>
      </w:r>
      <w:r w:rsidRPr="0025250D">
        <w:rPr>
          <w:rFonts w:hint="cs"/>
          <w:rtl/>
        </w:rPr>
        <w:t>شبکه</w:t>
      </w:r>
      <w:r w:rsidRPr="0025250D">
        <w:rPr>
          <w:rtl/>
        </w:rPr>
        <w:t xml:space="preserve"> </w:t>
      </w:r>
      <w:r w:rsidRPr="0025250D">
        <w:rPr>
          <w:rFonts w:hint="cs"/>
          <w:rtl/>
        </w:rPr>
        <w:t xml:space="preserve">حفاظت می‌کند. در اینصورت، رهبران فعلی ممکن است قدرت و اعتماد خود را از دست بدهند و یک یا چند مورد از بازیگران در دنباله بلند می‌توانند به </w:t>
      </w:r>
      <w:r w:rsidR="0053184A" w:rsidRPr="0025250D">
        <w:rPr>
          <w:rFonts w:hint="cs"/>
          <w:rtl/>
        </w:rPr>
        <w:t>بخش چاق</w:t>
      </w:r>
      <w:r w:rsidRPr="0025250D">
        <w:rPr>
          <w:rFonts w:hint="cs"/>
          <w:rtl/>
        </w:rPr>
        <w:t xml:space="preserve"> جدید بپیوندند. ظرفیت برتر دنباله بلند برای اقدام جمعی</w:t>
      </w:r>
      <w:r w:rsidRPr="0025250D">
        <w:rPr>
          <w:vertAlign w:val="superscript"/>
          <w:rtl/>
        </w:rPr>
        <w:footnoteReference w:id="397"/>
      </w:r>
      <w:r w:rsidRPr="0025250D">
        <w:rPr>
          <w:rFonts w:hint="cs"/>
          <w:rtl/>
        </w:rPr>
        <w:t>، وقتی‌که بیش از اندازه در قسمت بالای خود ضخیم شود (</w:t>
      </w:r>
      <w:r w:rsidRPr="0025250D">
        <w:rPr>
          <w:rtl/>
        </w:rPr>
        <w:t>زرسالار</w:t>
      </w:r>
      <w:r w:rsidRPr="0025250D">
        <w:rPr>
          <w:vertAlign w:val="superscript"/>
          <w:rtl/>
        </w:rPr>
        <w:footnoteReference w:id="398"/>
      </w:r>
      <w:r w:rsidRPr="0025250D">
        <w:rPr>
          <w:rFonts w:hint="cs"/>
          <w:rtl/>
        </w:rPr>
        <w:t>، محدود کننده</w:t>
      </w:r>
      <w:r w:rsidRPr="0025250D">
        <w:rPr>
          <w:vertAlign w:val="superscript"/>
          <w:rtl/>
        </w:rPr>
        <w:footnoteReference w:id="399"/>
      </w:r>
      <w:r w:rsidRPr="0025250D">
        <w:rPr>
          <w:rFonts w:hint="cs"/>
          <w:rtl/>
        </w:rPr>
        <w:t>، ی</w:t>
      </w:r>
      <w:r w:rsidRPr="0025250D">
        <w:rPr>
          <w:rFonts w:hint="eastAsia"/>
          <w:rtl/>
        </w:rPr>
        <w:t>که‌سالار</w:t>
      </w:r>
      <w:r w:rsidRPr="0025250D">
        <w:rPr>
          <w:vertAlign w:val="superscript"/>
          <w:rtl/>
        </w:rPr>
        <w:footnoteReference w:id="400"/>
      </w:r>
      <w:r w:rsidRPr="0025250D">
        <w:rPr>
          <w:rFonts w:hint="cs"/>
          <w:rtl/>
        </w:rPr>
        <w:t xml:space="preserve">) که اغلب هم این اتفاق رخ می‌دهد، شبکه را به سوی شکل قانون توانی باز می‌گرداند. متأسفانه، آمریکا و بسیاری دیگر از </w:t>
      </w:r>
      <w:r w:rsidRPr="0025250D">
        <w:rPr>
          <w:rtl/>
        </w:rPr>
        <w:t>حکومت</w:t>
      </w:r>
      <w:r w:rsidRPr="0025250D">
        <w:rPr>
          <w:rFonts w:hint="cs"/>
          <w:rtl/>
        </w:rPr>
        <w:t xml:space="preserve">‌های </w:t>
      </w:r>
      <w:r w:rsidR="00EE4B64" w:rsidRPr="0025250D">
        <w:rPr>
          <w:rtl/>
        </w:rPr>
        <w:t>مردم‌سالار</w:t>
      </w:r>
      <w:r w:rsidRPr="0025250D">
        <w:rPr>
          <w:rFonts w:hint="cs"/>
          <w:rtl/>
        </w:rPr>
        <w:t xml:space="preserve"> </w:t>
      </w:r>
      <w:r w:rsidRPr="0025250D">
        <w:rPr>
          <w:rFonts w:hint="cs"/>
          <w:rtl/>
        </w:rPr>
        <w:lastRenderedPageBreak/>
        <w:t xml:space="preserve">پیشرفته از میانه‌های قرن بیستم به سمت </w:t>
      </w:r>
      <w:r w:rsidRPr="0025250D">
        <w:rPr>
          <w:rtl/>
        </w:rPr>
        <w:t>زرسالار</w:t>
      </w:r>
      <w:r w:rsidRPr="0025250D">
        <w:rPr>
          <w:rFonts w:hint="cs"/>
          <w:rtl/>
        </w:rPr>
        <w:t xml:space="preserve">ی، با شرایطی که اکنون تنها 20 درصد از افراد 80 درصد از ثروت ملی را در اختیار دارند، حرکت کردند. در </w:t>
      </w:r>
      <w:r w:rsidRPr="0025250D">
        <w:t>BPF</w:t>
      </w:r>
      <w:r w:rsidRPr="0025250D">
        <w:rPr>
          <w:rFonts w:hint="cs"/>
          <w:rtl/>
        </w:rPr>
        <w:t>، ما در مورد کنشگری</w:t>
      </w:r>
      <w:r w:rsidRPr="0025250D">
        <w:rPr>
          <w:vertAlign w:val="superscript"/>
          <w:rtl/>
        </w:rPr>
        <w:footnoteReference w:id="401"/>
      </w:r>
      <w:r w:rsidRPr="0025250D">
        <w:rPr>
          <w:rFonts w:hint="cs"/>
          <w:rtl/>
        </w:rPr>
        <w:t xml:space="preserve"> دنباله بلند صحبت خواهیم کرد که پیش‌بینی می‌کنیم به ما برای کاهش سطح بدکارکردی</w:t>
      </w:r>
      <w:r w:rsidRPr="0025250D">
        <w:rPr>
          <w:vertAlign w:val="superscript"/>
          <w:rtl/>
        </w:rPr>
        <w:footnoteReference w:id="402"/>
      </w:r>
      <w:r w:rsidRPr="0025250D">
        <w:rPr>
          <w:rFonts w:hint="cs"/>
          <w:rtl/>
        </w:rPr>
        <w:t xml:space="preserve"> </w:t>
      </w:r>
      <w:r w:rsidRPr="0025250D">
        <w:rPr>
          <w:rtl/>
        </w:rPr>
        <w:t>زرسالار</w:t>
      </w:r>
      <w:r w:rsidRPr="0025250D">
        <w:rPr>
          <w:rFonts w:hint="cs"/>
          <w:rtl/>
        </w:rPr>
        <w:t>ی کمک کند و آمریکا را به یک توزیع فراگیر قانون توانی ثروت و قدرت بازگرداند.</w:t>
      </w:r>
    </w:p>
    <w:p w14:paraId="1A77E586" w14:textId="5529423D" w:rsidR="0020732A" w:rsidRPr="0025250D" w:rsidRDefault="0020732A" w:rsidP="0020732A">
      <w:pPr>
        <w:rPr>
          <w:rtl/>
        </w:rPr>
      </w:pPr>
      <w:r w:rsidRPr="0025250D">
        <w:rPr>
          <w:rFonts w:hint="cs"/>
          <w:rtl/>
        </w:rPr>
        <w:t xml:space="preserve">از دید ما، قانون 80/20 یک رابطه فراگیر را میان فرایند‌های تکاملی و توسعه‌ای توصیف می‌کند. از دیدگاه انتخاب طبیعی، می‌توانیم بیان کنیم که </w:t>
      </w:r>
      <w:r w:rsidR="00116646" w:rsidRPr="0025250D">
        <w:rPr>
          <w:rtl/>
        </w:rPr>
        <w:t>«</w:t>
      </w:r>
      <w:r w:rsidR="0053184A" w:rsidRPr="0025250D">
        <w:rPr>
          <w:rFonts w:hint="cs"/>
          <w:rtl/>
        </w:rPr>
        <w:t>بخش چاق</w:t>
      </w:r>
      <w:r w:rsidR="00116646" w:rsidRPr="0025250D">
        <w:rPr>
          <w:rtl/>
        </w:rPr>
        <w:t>»</w:t>
      </w:r>
      <w:r w:rsidRPr="0025250D">
        <w:rPr>
          <w:rFonts w:hint="cs"/>
          <w:rtl/>
        </w:rPr>
        <w:t xml:space="preserve"> در هر جامعه از بازیگران وابسته به قانون توانی، چرخه‌های خودسازماندهی</w:t>
      </w:r>
      <w:r w:rsidR="00AF54F7" w:rsidRPr="0025250D">
        <w:rPr>
          <w:rFonts w:hint="cs"/>
          <w:rtl/>
        </w:rPr>
        <w:t>‌</w:t>
      </w:r>
      <w:r w:rsidRPr="0025250D">
        <w:rPr>
          <w:rFonts w:hint="cs"/>
          <w:rtl/>
        </w:rPr>
        <w:t>شده</w:t>
      </w:r>
      <w:r w:rsidR="00AF54F7" w:rsidRPr="0025250D">
        <w:rPr>
          <w:rFonts w:hint="cs"/>
          <w:rtl/>
        </w:rPr>
        <w:t>‌</w:t>
      </w:r>
      <w:r w:rsidRPr="0025250D">
        <w:rPr>
          <w:rFonts w:hint="cs"/>
          <w:rtl/>
        </w:rPr>
        <w:t>ای</w:t>
      </w:r>
      <w:r w:rsidRPr="0025250D">
        <w:rPr>
          <w:vertAlign w:val="superscript"/>
          <w:rtl/>
        </w:rPr>
        <w:footnoteReference w:id="403"/>
      </w:r>
      <w:r w:rsidRPr="0025250D">
        <w:rPr>
          <w:rFonts w:hint="cs"/>
          <w:rtl/>
        </w:rPr>
        <w:t xml:space="preserve"> </w:t>
      </w:r>
      <w:r w:rsidR="00AF54F7" w:rsidRPr="0025250D">
        <w:rPr>
          <w:rFonts w:hint="cs"/>
          <w:rtl/>
        </w:rPr>
        <w:t>به‌منظور</w:t>
      </w:r>
      <w:r w:rsidRPr="0025250D">
        <w:rPr>
          <w:rFonts w:hint="cs"/>
          <w:rtl/>
        </w:rPr>
        <w:t xml:space="preserve"> ایجاد بیش‌ترین تأثیرگذاری بر همه متغیر‌های اجتماعی دارد که اکنون تحت بیش‌ترین فشار انتخابی هستند. </w:t>
      </w:r>
      <w:r w:rsidR="00116646" w:rsidRPr="0025250D">
        <w:rPr>
          <w:rtl/>
        </w:rPr>
        <w:t>«</w:t>
      </w:r>
      <w:r w:rsidRPr="0025250D">
        <w:rPr>
          <w:rFonts w:hint="cs"/>
          <w:rtl/>
        </w:rPr>
        <w:t>دنباله بلند</w:t>
      </w:r>
      <w:r w:rsidR="00116646" w:rsidRPr="0025250D">
        <w:rPr>
          <w:rtl/>
        </w:rPr>
        <w:t>»</w:t>
      </w:r>
      <w:r w:rsidRPr="0025250D">
        <w:rPr>
          <w:rFonts w:hint="cs"/>
          <w:rtl/>
        </w:rPr>
        <w:t xml:space="preserve">، در مقابل، برای این‌که به یک منبع برای اکثریت تنوع اجتماعی مفید تبدیل شود، خود سازماندهی شده است. هم تأثیر و هم تنوع برای </w:t>
      </w:r>
      <w:r w:rsidR="00AE5BE0" w:rsidRPr="0025250D">
        <w:rPr>
          <w:rFonts w:hint="cs"/>
          <w:rtl/>
        </w:rPr>
        <w:t>انطباق</w:t>
      </w:r>
      <w:r w:rsidRPr="0025250D">
        <w:rPr>
          <w:rFonts w:hint="cs"/>
          <w:rtl/>
        </w:rPr>
        <w:t xml:space="preserve"> در یک جهان پیچیده غیرقابل‌پیش‌بینی حیاتی هستند. آن‌ها دو پایانه یک پیوستار هستند. برای</w:t>
      </w:r>
      <w:r w:rsidRPr="0025250D">
        <w:rPr>
          <w:rtl/>
        </w:rPr>
        <w:t xml:space="preserve"> </w:t>
      </w:r>
      <w:r w:rsidR="00AE5BE0" w:rsidRPr="0025250D">
        <w:rPr>
          <w:rFonts w:hint="cs"/>
          <w:rtl/>
        </w:rPr>
        <w:t>انطباق</w:t>
      </w:r>
      <w:r w:rsidRPr="0025250D">
        <w:rPr>
          <w:rFonts w:hint="cs"/>
          <w:rtl/>
        </w:rPr>
        <w:t>، دیدن و ترویج هر دو پایانه این منحنی قانون توانی ضروری است.</w:t>
      </w:r>
    </w:p>
    <w:p w14:paraId="04AD10C3" w14:textId="7D2C3120" w:rsidR="0020732A" w:rsidRPr="0025250D" w:rsidRDefault="0020732A" w:rsidP="0020732A">
      <w:pPr>
        <w:rPr>
          <w:rtl/>
        </w:rPr>
      </w:pPr>
      <w:r w:rsidRPr="0025250D">
        <w:rPr>
          <w:rFonts w:hint="cs"/>
          <w:rtl/>
        </w:rPr>
        <w:t xml:space="preserve">این قاعده مشخصا برای </w:t>
      </w:r>
      <w:r w:rsidRPr="0025250D">
        <w:rPr>
          <w:rtl/>
        </w:rPr>
        <w:t>آینده‌نگاری</w:t>
      </w:r>
      <w:r w:rsidRPr="0025250D">
        <w:rPr>
          <w:rFonts w:hint="cs"/>
          <w:rtl/>
        </w:rPr>
        <w:t xml:space="preserve"> بسیار مهم است. این قاعده ما را به چالش می‌کشد تا به به دنبال روابط قانون توانی و آن تعداد کوچکی از اقدامات و راهبرد‌هایی باشیم که اکنون در حال تولید بیش‌ترین تأثیر بر بیش‌تر متغیر‌های بحث برانگیز هستند. این امر همچنین ما را برای آگاهی از و پرورش گستره وسیع تری از گزینه‌های مفید محدود‌تر برای اقدامات و راهبرد هایمان به چالش می‌کشد، زیرا هر یک از آن‌ها می‌توانند فردا </w:t>
      </w:r>
      <w:r w:rsidR="00116646" w:rsidRPr="0025250D">
        <w:rPr>
          <w:rtl/>
        </w:rPr>
        <w:t>«</w:t>
      </w:r>
      <w:r w:rsidR="0053184A" w:rsidRPr="0025250D">
        <w:rPr>
          <w:rFonts w:hint="cs"/>
          <w:rtl/>
        </w:rPr>
        <w:t>بخش چاق</w:t>
      </w:r>
      <w:r w:rsidR="00116646" w:rsidRPr="0025250D">
        <w:rPr>
          <w:rtl/>
        </w:rPr>
        <w:t>»</w:t>
      </w:r>
      <w:r w:rsidRPr="0025250D">
        <w:rPr>
          <w:rFonts w:hint="cs"/>
          <w:rtl/>
        </w:rPr>
        <w:t xml:space="preserve"> باشند، درصورتی که محیط ما تغییر کند. کتاب‌هایی مانند قاعده 80/20</w:t>
      </w:r>
      <w:r w:rsidRPr="0025250D">
        <w:rPr>
          <w:vertAlign w:val="superscript"/>
          <w:rtl/>
        </w:rPr>
        <w:footnoteReference w:id="404"/>
      </w:r>
      <w:r w:rsidRPr="0025250D">
        <w:rPr>
          <w:rFonts w:hint="cs"/>
          <w:rtl/>
        </w:rPr>
        <w:t xml:space="preserve"> نوشته </w:t>
      </w:r>
      <w:r w:rsidRPr="0025250D">
        <w:rPr>
          <w:rtl/>
        </w:rPr>
        <w:t>ر</w:t>
      </w:r>
      <w:r w:rsidRPr="0025250D">
        <w:rPr>
          <w:rFonts w:hint="cs"/>
          <w:rtl/>
        </w:rPr>
        <w:t>ی</w:t>
      </w:r>
      <w:r w:rsidRPr="0025250D">
        <w:rPr>
          <w:rFonts w:hint="eastAsia"/>
          <w:rtl/>
        </w:rPr>
        <w:t>چارد</w:t>
      </w:r>
      <w:r w:rsidRPr="0025250D">
        <w:rPr>
          <w:rtl/>
        </w:rPr>
        <w:t xml:space="preserve"> کخ</w:t>
      </w:r>
      <w:r w:rsidRPr="0025250D">
        <w:rPr>
          <w:vertAlign w:val="superscript"/>
          <w:rtl/>
        </w:rPr>
        <w:footnoteReference w:id="405"/>
      </w:r>
      <w:r w:rsidRPr="0025250D">
        <w:rPr>
          <w:rFonts w:hint="cs"/>
          <w:rtl/>
        </w:rPr>
        <w:t xml:space="preserve"> در سال 1999، زندگی به شیوه 80/20</w:t>
      </w:r>
      <w:r w:rsidRPr="0025250D">
        <w:rPr>
          <w:vertAlign w:val="superscript"/>
          <w:rtl/>
        </w:rPr>
        <w:footnoteReference w:id="406"/>
      </w:r>
      <w:r w:rsidRPr="0025250D">
        <w:rPr>
          <w:rFonts w:hint="cs"/>
          <w:rtl/>
        </w:rPr>
        <w:t xml:space="preserve"> در سال 2004 و مدیر 80/20</w:t>
      </w:r>
      <w:r w:rsidRPr="0025250D">
        <w:rPr>
          <w:vertAlign w:val="superscript"/>
          <w:rtl/>
        </w:rPr>
        <w:footnoteReference w:id="407"/>
      </w:r>
      <w:r w:rsidRPr="0025250D">
        <w:rPr>
          <w:rFonts w:hint="cs"/>
          <w:rtl/>
        </w:rPr>
        <w:t xml:space="preserve"> در سال 2013، پیشنهاد</w:t>
      </w:r>
      <w:r w:rsidR="00AF54F7" w:rsidRPr="0025250D">
        <w:rPr>
          <w:rFonts w:hint="cs"/>
          <w:rtl/>
        </w:rPr>
        <w:t>های</w:t>
      </w:r>
      <w:r w:rsidRPr="0025250D">
        <w:rPr>
          <w:rFonts w:hint="cs"/>
          <w:rtl/>
        </w:rPr>
        <w:t xml:space="preserve"> خوبی را در مورد استفاده از راهبرد قانون 80/20 در زندگی و مدیریت ارائه می‌دهند. کتاب خوب دیگری که مطالب مفیدی در مورد استفاده از راهبرد قانون توانی در کسب‌وکار ارائه می‌دهد و بر ارزش بازاری 80 درصد متمرکز است، کتاب دنباله بلند</w:t>
      </w:r>
      <w:r w:rsidRPr="0025250D">
        <w:rPr>
          <w:vertAlign w:val="superscript"/>
          <w:rtl/>
        </w:rPr>
        <w:footnoteReference w:id="408"/>
      </w:r>
      <w:r w:rsidRPr="0025250D">
        <w:rPr>
          <w:rFonts w:hint="cs"/>
          <w:rtl/>
        </w:rPr>
        <w:t xml:space="preserve"> نوشته </w:t>
      </w:r>
      <w:r w:rsidRPr="0025250D">
        <w:rPr>
          <w:rtl/>
        </w:rPr>
        <w:t>کر</w:t>
      </w:r>
      <w:r w:rsidRPr="0025250D">
        <w:rPr>
          <w:rFonts w:hint="cs"/>
          <w:rtl/>
        </w:rPr>
        <w:t>ی</w:t>
      </w:r>
      <w:r w:rsidRPr="0025250D">
        <w:rPr>
          <w:rFonts w:hint="eastAsia"/>
          <w:rtl/>
        </w:rPr>
        <w:t>س</w:t>
      </w:r>
      <w:r w:rsidRPr="0025250D">
        <w:rPr>
          <w:rtl/>
        </w:rPr>
        <w:t xml:space="preserve"> اندرسون</w:t>
      </w:r>
      <w:r w:rsidRPr="0025250D">
        <w:rPr>
          <w:vertAlign w:val="superscript"/>
          <w:rtl/>
        </w:rPr>
        <w:footnoteReference w:id="409"/>
      </w:r>
      <w:r w:rsidRPr="0025250D">
        <w:rPr>
          <w:rFonts w:hint="cs"/>
          <w:rtl/>
        </w:rPr>
        <w:t xml:space="preserve"> در سال 2006 است.</w:t>
      </w:r>
    </w:p>
    <w:p w14:paraId="7E68BC76" w14:textId="36D1FD2C" w:rsidR="0020732A" w:rsidRPr="0025250D" w:rsidRDefault="0020732A" w:rsidP="0020732A">
      <w:pPr>
        <w:rPr>
          <w:rtl/>
        </w:rPr>
      </w:pPr>
      <w:r w:rsidRPr="0025250D">
        <w:rPr>
          <w:rFonts w:hint="cs"/>
          <w:rtl/>
        </w:rPr>
        <w:t xml:space="preserve">ما معتقدیم که قانون 95/5 یک رابطه فراگیر دیگر میان فرایند‌های تکاملی و توسعه‌ای است. جان آن را در یک مقاله در مورد ذات تکاملی-توسعه‌ای جهان ما در سال 2008 توسعه داد. در نتیجه، این قانون در مقایسه با قانون 80/20 عملا ناشناخته است، اما معتقدیم که اهمیت آن کم‌تر نیست. قاعده 95/5 تعامل میان فرایند‌های ممکن (غیرقابل‌پیش‌بینی) و محتمل (قابل پیش‌بینی) در سامانه‌های زنده و بسیاری از فعالیت‌های سازمانی و اجتماعی بشریت را توصیف می‌کند. همچنین معتقدیم که این قانون برای پیچیده‌ترین و هوشمندانه‌ترین فناوری‌های ما که </w:t>
      </w:r>
      <w:r w:rsidR="007118DE" w:rsidRPr="0025250D">
        <w:rPr>
          <w:rFonts w:hint="cs"/>
          <w:rtl/>
        </w:rPr>
        <w:t>همان‌طور</w:t>
      </w:r>
      <w:r w:rsidRPr="0025250D">
        <w:rPr>
          <w:rFonts w:hint="cs"/>
          <w:rtl/>
        </w:rPr>
        <w:t xml:space="preserve"> که خواهیم دید، به شکل فزاینده‌ای بر اساس فرایند‌های تکاملی-توسعه‌ای مورد استفاده در سامانه‌های زنده می‌باشند، کاربرد دارد.</w:t>
      </w:r>
    </w:p>
    <w:p w14:paraId="131300D8" w14:textId="0569C317" w:rsidR="0020732A" w:rsidRPr="0025250D" w:rsidRDefault="004F67D4" w:rsidP="0020732A">
      <w:pPr>
        <w:rPr>
          <w:rtl/>
        </w:rPr>
      </w:pPr>
      <w:r w:rsidRPr="0025250D">
        <w:rPr>
          <w:rFonts w:hint="cs"/>
          <w:rtl/>
        </w:rPr>
        <w:t>جان</w:t>
      </w:r>
      <w:r w:rsidR="00AF54F7" w:rsidRPr="0025250D">
        <w:rPr>
          <w:rFonts w:hint="cs"/>
          <w:rtl/>
        </w:rPr>
        <w:t xml:space="preserve"> اسمارت</w:t>
      </w:r>
      <w:r w:rsidR="0020732A" w:rsidRPr="0025250D">
        <w:rPr>
          <w:rFonts w:hint="cs"/>
          <w:rtl/>
        </w:rPr>
        <w:t xml:space="preserve"> این قانون را با تشخیص این‌که در ارگانیسم زیستی تقریباً 95 درصد از ژن‌های ما در ترکیب مجدد</w:t>
      </w:r>
      <w:r w:rsidR="0020732A" w:rsidRPr="0025250D">
        <w:rPr>
          <w:vertAlign w:val="superscript"/>
          <w:rtl/>
        </w:rPr>
        <w:footnoteReference w:id="410"/>
      </w:r>
      <w:r w:rsidR="0020732A" w:rsidRPr="0025250D">
        <w:rPr>
          <w:rFonts w:hint="cs"/>
          <w:rtl/>
        </w:rPr>
        <w:t xml:space="preserve"> یا جهش‌های غیرقابل‌پیش‌بینی، در طول زمان تکامل کلان</w:t>
      </w:r>
      <w:r w:rsidR="0020732A" w:rsidRPr="0025250D">
        <w:rPr>
          <w:vertAlign w:val="superscript"/>
          <w:rtl/>
        </w:rPr>
        <w:footnoteReference w:id="411"/>
      </w:r>
      <w:r w:rsidR="0020732A" w:rsidRPr="0025250D">
        <w:rPr>
          <w:rFonts w:hint="cs"/>
          <w:rtl/>
        </w:rPr>
        <w:t xml:space="preserve"> درگیر هستند</w:t>
      </w:r>
      <w:r w:rsidR="00AF54F7" w:rsidRPr="0025250D">
        <w:rPr>
          <w:rFonts w:hint="cs"/>
          <w:rtl/>
        </w:rPr>
        <w:t>، کشف نمود</w:t>
      </w:r>
      <w:r w:rsidR="0020732A" w:rsidRPr="0025250D">
        <w:rPr>
          <w:rFonts w:hint="cs"/>
          <w:rtl/>
        </w:rPr>
        <w:t xml:space="preserve">. درست مانند دنباله بلند قانون توانی، این </w:t>
      </w:r>
      <w:r w:rsidR="00116646" w:rsidRPr="0025250D">
        <w:rPr>
          <w:rtl/>
        </w:rPr>
        <w:t>«</w:t>
      </w:r>
      <w:r w:rsidR="0020732A" w:rsidRPr="0025250D">
        <w:rPr>
          <w:rFonts w:hint="cs"/>
          <w:rtl/>
        </w:rPr>
        <w:t>ژن‌های تکاملی</w:t>
      </w:r>
      <w:r w:rsidR="0020732A" w:rsidRPr="0025250D">
        <w:rPr>
          <w:vertAlign w:val="superscript"/>
          <w:rtl/>
        </w:rPr>
        <w:footnoteReference w:id="412"/>
      </w:r>
      <w:r w:rsidR="00116646" w:rsidRPr="0025250D">
        <w:rPr>
          <w:rtl/>
        </w:rPr>
        <w:t>»</w:t>
      </w:r>
      <w:r w:rsidR="0020732A" w:rsidRPr="0025250D">
        <w:rPr>
          <w:rFonts w:hint="cs"/>
          <w:rtl/>
        </w:rPr>
        <w:t xml:space="preserve"> کاوش آشوبناک و آزمایشی فضاهای </w:t>
      </w:r>
      <w:r w:rsidR="00B453C0" w:rsidRPr="0025250D">
        <w:rPr>
          <w:rFonts w:hint="cs"/>
          <w:rtl/>
        </w:rPr>
        <w:t>امکان‌پذیر</w:t>
      </w:r>
      <w:r w:rsidR="0020732A" w:rsidRPr="0025250D">
        <w:rPr>
          <w:rFonts w:hint="cs"/>
          <w:rtl/>
        </w:rPr>
        <w:t xml:space="preserve"> از شکل‌ها و کارکردها و نوآوری گسترده تحت شرایط استرس محیطی را ممکن می‌سازند. 5 درصد بقیه ژن‌های ما (به‌صورت تقریبی در </w:t>
      </w:r>
      <w:r w:rsidR="0020732A" w:rsidRPr="0025250D">
        <w:rPr>
          <w:rtl/>
        </w:rPr>
        <w:t>هوهسته‏ا</w:t>
      </w:r>
      <w:r w:rsidR="0020732A" w:rsidRPr="0025250D">
        <w:rPr>
          <w:rFonts w:hint="cs"/>
          <w:rtl/>
        </w:rPr>
        <w:t>ی</w:t>
      </w:r>
      <w:r w:rsidR="00AF54F7" w:rsidRPr="0025250D">
        <w:rPr>
          <w:rFonts w:hint="cs"/>
          <w:rtl/>
        </w:rPr>
        <w:t>‌</w:t>
      </w:r>
      <w:r w:rsidR="0020732A" w:rsidRPr="0025250D">
        <w:rPr>
          <w:rFonts w:hint="cs"/>
          <w:rtl/>
        </w:rPr>
        <w:t>ها</w:t>
      </w:r>
      <w:r w:rsidR="0020732A" w:rsidRPr="0025250D">
        <w:rPr>
          <w:vertAlign w:val="superscript"/>
          <w:rtl/>
        </w:rPr>
        <w:footnoteReference w:id="413"/>
      </w:r>
      <w:r w:rsidR="0020732A" w:rsidRPr="0025250D">
        <w:rPr>
          <w:rFonts w:hint="cs"/>
          <w:rtl/>
        </w:rPr>
        <w:t xml:space="preserve">) در حفاظت توسعه‌ای قابل پیش‌بینی دخیل هستند. آن‌ها در طول تاریخ تکاملی خود به‌شدت محفوظ می‌مانند. درست مانند </w:t>
      </w:r>
      <w:r w:rsidR="0053184A" w:rsidRPr="0025250D">
        <w:rPr>
          <w:rFonts w:hint="cs"/>
          <w:rtl/>
        </w:rPr>
        <w:t>بخش چاق</w:t>
      </w:r>
      <w:r w:rsidR="0020732A" w:rsidRPr="0025250D">
        <w:rPr>
          <w:rFonts w:hint="cs"/>
          <w:rtl/>
        </w:rPr>
        <w:t xml:space="preserve"> قانون توانی، این </w:t>
      </w:r>
      <w:r w:rsidR="00116646" w:rsidRPr="0025250D">
        <w:rPr>
          <w:rtl/>
        </w:rPr>
        <w:t>«</w:t>
      </w:r>
      <w:r w:rsidR="0020732A" w:rsidRPr="0025250D">
        <w:rPr>
          <w:rFonts w:hint="cs"/>
          <w:rtl/>
        </w:rPr>
        <w:t>ژن‌های توسعه‌ای</w:t>
      </w:r>
      <w:r w:rsidR="00116646" w:rsidRPr="0025250D">
        <w:rPr>
          <w:rtl/>
        </w:rPr>
        <w:t>»</w:t>
      </w:r>
      <w:r w:rsidR="0020732A" w:rsidRPr="0025250D">
        <w:rPr>
          <w:rFonts w:hint="cs"/>
          <w:rtl/>
        </w:rPr>
        <w:t xml:space="preserve"> برای یک نوع خاص از تأثیر قابل پیش‌بینی خود-سازماندهی شده‌اند که رشد، پختگی و همتاسازی سلسله‌مراتبی </w:t>
      </w:r>
      <w:r w:rsidR="00516B66" w:rsidRPr="0025250D">
        <w:rPr>
          <w:rFonts w:hint="cs"/>
          <w:rtl/>
        </w:rPr>
        <w:t>ارگانیسم ها</w:t>
      </w:r>
      <w:r w:rsidR="0020732A" w:rsidRPr="0025250D">
        <w:rPr>
          <w:rFonts w:hint="cs"/>
          <w:rtl/>
        </w:rPr>
        <w:t xml:space="preserve"> را به یک فرایند همگرا با احتمال بالا، حتی تحت شرایط آشوب، انتخاب و تغییر محیط تبدیل می‌کند.</w:t>
      </w:r>
    </w:p>
    <w:p w14:paraId="5B140940" w14:textId="56E70EAD" w:rsidR="0020732A" w:rsidRPr="0025250D" w:rsidRDefault="0020732A" w:rsidP="0020732A">
      <w:pPr>
        <w:rPr>
          <w:rtl/>
        </w:rPr>
      </w:pPr>
      <w:r w:rsidRPr="0025250D">
        <w:rPr>
          <w:rFonts w:hint="cs"/>
          <w:rtl/>
        </w:rPr>
        <w:lastRenderedPageBreak/>
        <w:t xml:space="preserve">ما می‌توانیم این قانون 95/5 را در همه انواع سامانه‌های پیچیده در طبیعت به‌صورت یک نسبت 95 درصد به 5 درصد تکاملی به توسعه‌ای، پایین‌به‌بالا به </w:t>
      </w:r>
      <w:r w:rsidR="009D17DA" w:rsidRPr="0025250D">
        <w:rPr>
          <w:rFonts w:hint="cs"/>
          <w:rtl/>
        </w:rPr>
        <w:t>بالا‌به‌پایین</w:t>
      </w:r>
      <w:r w:rsidRPr="0025250D">
        <w:rPr>
          <w:rFonts w:hint="cs"/>
          <w:rtl/>
        </w:rPr>
        <w:t>، واگرا به همگرا، غیرقابل‌پیش‌بینی به قابل پیش‌بینی مشاهده کنیم. بیایید نگاهی مختصر به چند مثال داشته باشیم تا گستره وسیع عملکرد این قاعده تغییرِ ظاهرا فراگیر را ببینیم:</w:t>
      </w:r>
    </w:p>
    <w:p w14:paraId="2AB3D197" w14:textId="57D2B202" w:rsidR="0020732A" w:rsidRPr="0025250D" w:rsidRDefault="0020732A" w:rsidP="00492C47">
      <w:pPr>
        <w:numPr>
          <w:ilvl w:val="0"/>
          <w:numId w:val="10"/>
        </w:numPr>
        <w:rPr>
          <w:rtl/>
        </w:rPr>
      </w:pPr>
      <w:r w:rsidRPr="0025250D">
        <w:rPr>
          <w:rFonts w:hint="cs"/>
          <w:b/>
          <w:bCs/>
          <w:rtl/>
        </w:rPr>
        <w:t>فعالیت ژنتیکی</w:t>
      </w:r>
      <w:r w:rsidRPr="0025250D">
        <w:rPr>
          <w:rFonts w:hint="cs"/>
          <w:rtl/>
        </w:rPr>
        <w:t>: یک زیرمجموعه بسیار کوچک از مواد</w:t>
      </w:r>
      <w:r w:rsidRPr="0025250D">
        <w:rPr>
          <w:vertAlign w:val="superscript"/>
          <w:rtl/>
        </w:rPr>
        <w:footnoteReference w:id="414"/>
      </w:r>
      <w:r w:rsidRPr="0025250D">
        <w:rPr>
          <w:rFonts w:hint="cs"/>
          <w:rtl/>
        </w:rPr>
        <w:t xml:space="preserve"> ژنتیکی ما، تقریباً 5 درصد، در میان </w:t>
      </w:r>
      <w:r w:rsidR="00516B66" w:rsidRPr="0025250D">
        <w:rPr>
          <w:rFonts w:hint="cs"/>
          <w:rtl/>
        </w:rPr>
        <w:t>ارگانیسم های</w:t>
      </w:r>
      <w:r w:rsidRPr="0025250D">
        <w:rPr>
          <w:rFonts w:hint="cs"/>
          <w:rtl/>
        </w:rPr>
        <w:t xml:space="preserve"> پیچیده‌ای، مانند موش‌ها و انس</w:t>
      </w:r>
      <w:r w:rsidR="00516B66" w:rsidRPr="0025250D">
        <w:rPr>
          <w:rFonts w:hint="cs"/>
          <w:rtl/>
        </w:rPr>
        <w:t>ا</w:t>
      </w:r>
      <w:r w:rsidRPr="0025250D">
        <w:rPr>
          <w:rFonts w:hint="cs"/>
          <w:rtl/>
        </w:rPr>
        <w:t xml:space="preserve">ن‌ها، فوق العاده حفاظت شده است و برای نحوه همگرایی </w:t>
      </w:r>
      <w:r w:rsidR="009D17DA" w:rsidRPr="0025250D">
        <w:rPr>
          <w:rFonts w:hint="cs"/>
          <w:rtl/>
        </w:rPr>
        <w:t>بالا‌به‌پایین</w:t>
      </w:r>
      <w:r w:rsidRPr="0025250D">
        <w:rPr>
          <w:rFonts w:hint="cs"/>
          <w:rtl/>
        </w:rPr>
        <w:t xml:space="preserve"> آن </w:t>
      </w:r>
      <w:r w:rsidR="00516B66" w:rsidRPr="0025250D">
        <w:rPr>
          <w:rFonts w:hint="cs"/>
          <w:rtl/>
        </w:rPr>
        <w:t>ارگانیسم</w:t>
      </w:r>
      <w:r w:rsidRPr="0025250D">
        <w:rPr>
          <w:rFonts w:hint="cs"/>
          <w:rtl/>
        </w:rPr>
        <w:t xml:space="preserve"> در مجموعه‌ای از حالات آینده قابل پیش‌بینی در چرخه‌های زندگی‌شان ضروری است. برای مثال، با وجود این‌که اکثر ژن‌های ما در یک </w:t>
      </w:r>
      <w:r w:rsidR="00516B66" w:rsidRPr="0025250D">
        <w:rPr>
          <w:rFonts w:hint="cs"/>
          <w:rtl/>
        </w:rPr>
        <w:t>ارگانیسم</w:t>
      </w:r>
      <w:r w:rsidRPr="0025250D">
        <w:rPr>
          <w:rFonts w:hint="cs"/>
          <w:rtl/>
        </w:rPr>
        <w:t xml:space="preserve"> در طول توسعه به میزانی تغییر می‌یابند، می‌توانیم اشاره کنیم که هر چیزی که به شکلی قابل پیش‌بینی به‌صورت مشابه برای هر مجموعه‌ای از دوقلو‌های </w:t>
      </w:r>
      <w:r w:rsidR="00116646" w:rsidRPr="0025250D">
        <w:rPr>
          <w:rtl/>
        </w:rPr>
        <w:t>«</w:t>
      </w:r>
      <w:r w:rsidRPr="0025250D">
        <w:rPr>
          <w:rFonts w:hint="cs"/>
          <w:rtl/>
        </w:rPr>
        <w:t>همسان ازنظر ژتیکی</w:t>
      </w:r>
      <w:r w:rsidR="00116646" w:rsidRPr="0025250D">
        <w:rPr>
          <w:rtl/>
        </w:rPr>
        <w:t>»</w:t>
      </w:r>
      <w:r w:rsidRPr="0025250D">
        <w:rPr>
          <w:rFonts w:hint="cs"/>
          <w:rtl/>
        </w:rPr>
        <w:t xml:space="preserve"> در طول زندگی‌شان رخ می‌دهد، به دلیل مجموعه بسیار کوچک و خاصی از ژن‌ها و فرایند‌های جهت دهنده حفاظت شده و </w:t>
      </w:r>
      <w:r w:rsidR="009D17DA" w:rsidRPr="0025250D">
        <w:rPr>
          <w:rFonts w:hint="cs"/>
          <w:rtl/>
        </w:rPr>
        <w:t>بالا‌به‌پایین</w:t>
      </w:r>
      <w:r w:rsidRPr="0025250D">
        <w:rPr>
          <w:rFonts w:hint="cs"/>
          <w:rtl/>
        </w:rPr>
        <w:t xml:space="preserve"> است. زیست شناسان پایه ای‌ترین موارد در بین ژن‌ها را </w:t>
      </w:r>
      <w:r w:rsidR="00116646" w:rsidRPr="0025250D">
        <w:rPr>
          <w:rtl/>
        </w:rPr>
        <w:t>«</w:t>
      </w:r>
      <w:r w:rsidRPr="0025250D">
        <w:rPr>
          <w:rFonts w:hint="cs"/>
          <w:rtl/>
        </w:rPr>
        <w:t>جعبه ابزار ژنتیکی توسعه‌ای (یا تکاملی-توسعه‌ای)</w:t>
      </w:r>
      <w:r w:rsidR="00116646" w:rsidRPr="0025250D">
        <w:rPr>
          <w:rtl/>
        </w:rPr>
        <w:t>»</w:t>
      </w:r>
      <w:r w:rsidRPr="0025250D">
        <w:rPr>
          <w:rFonts w:hint="cs"/>
          <w:rtl/>
        </w:rPr>
        <w:t xml:space="preserve"> می‌نامند. در مقابل، اکثریت ژن‌های ما، یعنی 95 درصد باقیمانده، دائما در حال تغییرند، به ویژه در مقیاس‌های زمانی طولانی. در دو فرد دوقلوی همسان، این </w:t>
      </w:r>
      <w:r w:rsidR="00116646" w:rsidRPr="0025250D">
        <w:rPr>
          <w:rtl/>
        </w:rPr>
        <w:t>«</w:t>
      </w:r>
      <w:r w:rsidRPr="0025250D">
        <w:rPr>
          <w:rFonts w:hint="cs"/>
          <w:rtl/>
        </w:rPr>
        <w:t>ژن‌های تکاملی</w:t>
      </w:r>
      <w:r w:rsidR="00116646" w:rsidRPr="0025250D">
        <w:rPr>
          <w:rtl/>
        </w:rPr>
        <w:t>»</w:t>
      </w:r>
      <w:r w:rsidRPr="0025250D">
        <w:rPr>
          <w:rFonts w:hint="cs"/>
          <w:rtl/>
        </w:rPr>
        <w:t xml:space="preserve"> (در تعریف ما) به شکلی پایین‌به‌بالا، آشوبناک و رقابتی کار می‌کنند. آن‌ها مغز و معماری بافت ‌ها، اثر انگشت‌ها و هویت‌های هر کدام از دوقلوهای همسان را به شکلی غیرقابل‌پیش‌بینی از یکدگیر متفاوت می‌سازند. آن‌ها همچنین هر عضوی از گونه انسان را به شکل مفیدی از دیگری و از والدین متفاوت می‌سازند. این ژن‌های تکاملی هر ارگانیسم زنده‌ای را در تریلیون‌ها آزمایش محلی غیرقابل‌پیش‌بینی شرکت می‌دهند و وقتی به ما به‌عنوان یک شبکه پیچیده نگاه شود، ما را به‌شدت متنوع و مصون</w:t>
      </w:r>
      <w:r w:rsidRPr="0025250D">
        <w:rPr>
          <w:vertAlign w:val="superscript"/>
          <w:rtl/>
        </w:rPr>
        <w:footnoteReference w:id="415"/>
      </w:r>
      <w:r w:rsidRPr="0025250D">
        <w:rPr>
          <w:rFonts w:hint="cs"/>
          <w:rtl/>
        </w:rPr>
        <w:t xml:space="preserve"> می‌سازند. مقاله جان در سال 2008 در مورد </w:t>
      </w:r>
      <w:r w:rsidR="00116646" w:rsidRPr="0025250D">
        <w:rPr>
          <w:rtl/>
        </w:rPr>
        <w:t>«</w:t>
      </w:r>
      <w:r w:rsidRPr="0025250D">
        <w:rPr>
          <w:rFonts w:hint="cs"/>
          <w:rtl/>
        </w:rPr>
        <w:t>جهان تکاملی-توسعه‌ای؟</w:t>
      </w:r>
      <w:r w:rsidRPr="0025250D">
        <w:rPr>
          <w:vertAlign w:val="superscript"/>
          <w:rtl/>
        </w:rPr>
        <w:footnoteReference w:id="416"/>
      </w:r>
      <w:r w:rsidR="00116646" w:rsidRPr="0025250D">
        <w:rPr>
          <w:rtl/>
        </w:rPr>
        <w:t>»</w:t>
      </w:r>
      <w:r w:rsidRPr="0025250D">
        <w:rPr>
          <w:rFonts w:hint="cs"/>
          <w:rtl/>
        </w:rPr>
        <w:t xml:space="preserve"> را برای جزئیات بیش‌تر مطالعه نمایید.</w:t>
      </w:r>
    </w:p>
    <w:p w14:paraId="4F7C5290" w14:textId="31B2E45E" w:rsidR="0020732A" w:rsidRPr="0025250D" w:rsidRDefault="0020732A" w:rsidP="00AF54F7">
      <w:pPr>
        <w:numPr>
          <w:ilvl w:val="0"/>
          <w:numId w:val="9"/>
        </w:numPr>
      </w:pPr>
      <w:r w:rsidRPr="0025250D">
        <w:rPr>
          <w:rFonts w:hint="cs"/>
          <w:b/>
          <w:bCs/>
          <w:rtl/>
        </w:rPr>
        <w:t>تفکر انسان</w:t>
      </w:r>
      <w:r w:rsidRPr="0025250D">
        <w:rPr>
          <w:rFonts w:hint="cs"/>
          <w:rtl/>
        </w:rPr>
        <w:t xml:space="preserve">. فیزیکدان لئونارد </w:t>
      </w:r>
      <w:r w:rsidRPr="0025250D">
        <w:rPr>
          <w:rtl/>
        </w:rPr>
        <w:t>ملود</w:t>
      </w:r>
      <w:r w:rsidRPr="0025250D">
        <w:rPr>
          <w:rFonts w:hint="cs"/>
          <w:rtl/>
        </w:rPr>
        <w:t>ی</w:t>
      </w:r>
      <w:r w:rsidRPr="0025250D">
        <w:rPr>
          <w:rFonts w:hint="eastAsia"/>
          <w:rtl/>
        </w:rPr>
        <w:t>نو</w:t>
      </w:r>
      <w:r w:rsidRPr="0025250D">
        <w:rPr>
          <w:vertAlign w:val="superscript"/>
          <w:rtl/>
        </w:rPr>
        <w:footnoteReference w:id="417"/>
      </w:r>
      <w:r w:rsidRPr="0025250D">
        <w:rPr>
          <w:rFonts w:hint="cs"/>
          <w:rtl/>
        </w:rPr>
        <w:t xml:space="preserve"> در سال 2013 یک نسبت 95/5 را در نیمه خودآگاه</w:t>
      </w:r>
      <w:r w:rsidRPr="0025250D">
        <w:rPr>
          <w:vertAlign w:val="superscript"/>
          <w:rtl/>
        </w:rPr>
        <w:footnoteReference w:id="418"/>
      </w:r>
      <w:r w:rsidRPr="0025250D">
        <w:rPr>
          <w:rFonts w:hint="cs"/>
          <w:rtl/>
        </w:rPr>
        <w:t xml:space="preserve"> توصیف می‌کند و توضیح می‌دهد که اکثریت (شاید 95 درصد) تفکر انسان پایین‌به‌بالا، خلاق و غیرقابل‌پیش‌بینی و تحت هدایت شبکه‌های هَمایه‏ای</w:t>
      </w:r>
      <w:r w:rsidRPr="0025250D">
        <w:rPr>
          <w:vertAlign w:val="superscript"/>
          <w:rtl/>
        </w:rPr>
        <w:footnoteReference w:id="419"/>
      </w:r>
      <w:r w:rsidRPr="0025250D">
        <w:rPr>
          <w:rFonts w:hint="cs"/>
          <w:rtl/>
        </w:rPr>
        <w:t xml:space="preserve"> ناخودآگاه ماست. تنها یک زیرمجموعه حیاتی (فرضا 5 درصد) از تفکر انسان </w:t>
      </w:r>
      <w:r w:rsidR="009D17DA" w:rsidRPr="0025250D">
        <w:rPr>
          <w:rFonts w:hint="cs"/>
          <w:rtl/>
        </w:rPr>
        <w:t>بالا‌به‌پایین</w:t>
      </w:r>
      <w:r w:rsidRPr="0025250D">
        <w:rPr>
          <w:rFonts w:hint="cs"/>
          <w:rtl/>
        </w:rPr>
        <w:t xml:space="preserve">، بهینه گرا و خودآگاه است. روانشناسان این زمان </w:t>
      </w:r>
      <w:r w:rsidR="00116646" w:rsidRPr="0025250D">
        <w:rPr>
          <w:rtl/>
        </w:rPr>
        <w:t>«</w:t>
      </w:r>
      <w:r w:rsidRPr="0025250D">
        <w:rPr>
          <w:rFonts w:hint="cs"/>
          <w:rtl/>
        </w:rPr>
        <w:t>خودآگاه</w:t>
      </w:r>
      <w:r w:rsidR="00116646" w:rsidRPr="0025250D">
        <w:rPr>
          <w:rtl/>
        </w:rPr>
        <w:t>»</w:t>
      </w:r>
      <w:r w:rsidRPr="0025250D">
        <w:rPr>
          <w:rFonts w:hint="cs"/>
          <w:rtl/>
        </w:rPr>
        <w:t xml:space="preserve"> یا </w:t>
      </w:r>
      <w:r w:rsidR="00116646" w:rsidRPr="0025250D">
        <w:rPr>
          <w:rtl/>
        </w:rPr>
        <w:t>«</w:t>
      </w:r>
      <w:r w:rsidRPr="0025250D">
        <w:rPr>
          <w:rFonts w:hint="cs"/>
          <w:rtl/>
        </w:rPr>
        <w:t>ارادی</w:t>
      </w:r>
      <w:r w:rsidR="00116646" w:rsidRPr="0025250D">
        <w:rPr>
          <w:rtl/>
        </w:rPr>
        <w:t>»</w:t>
      </w:r>
      <w:r w:rsidRPr="0025250D">
        <w:rPr>
          <w:rFonts w:hint="cs"/>
          <w:rtl/>
        </w:rPr>
        <w:t xml:space="preserve"> را در حد چند دقیقه در یک روز معمولی در مقابل ساعت‌هایی که صرف رفتار‌های ناخودآگاه، پایین‌به‌بالا و با محرک محلی می‌شوند، </w:t>
      </w:r>
      <w:r w:rsidR="00AF54F7" w:rsidRPr="0025250D">
        <w:rPr>
          <w:rFonts w:hint="cs"/>
          <w:rtl/>
        </w:rPr>
        <w:t>برآورد می‌نمایند</w:t>
      </w:r>
      <w:r w:rsidRPr="0025250D">
        <w:rPr>
          <w:rFonts w:hint="cs"/>
          <w:rtl/>
        </w:rPr>
        <w:t>.</w:t>
      </w:r>
    </w:p>
    <w:p w14:paraId="6F784DCE" w14:textId="253929DD" w:rsidR="0020732A" w:rsidRPr="0025250D" w:rsidRDefault="0020732A" w:rsidP="00492C47">
      <w:pPr>
        <w:numPr>
          <w:ilvl w:val="0"/>
          <w:numId w:val="9"/>
        </w:numPr>
      </w:pPr>
      <w:r w:rsidRPr="0025250D">
        <w:rPr>
          <w:rFonts w:hint="cs"/>
          <w:b/>
          <w:bCs/>
          <w:rtl/>
        </w:rPr>
        <w:t>پویایی‌های سازمانی</w:t>
      </w:r>
      <w:r w:rsidRPr="0025250D">
        <w:rPr>
          <w:rFonts w:hint="cs"/>
          <w:rtl/>
        </w:rPr>
        <w:t xml:space="preserve">. آینده‌پژوه </w:t>
      </w:r>
      <w:r w:rsidRPr="0025250D">
        <w:rPr>
          <w:rtl/>
        </w:rPr>
        <w:t>کو</w:t>
      </w:r>
      <w:r w:rsidRPr="0025250D">
        <w:rPr>
          <w:rFonts w:hint="cs"/>
          <w:rtl/>
        </w:rPr>
        <w:t>ی</w:t>
      </w:r>
      <w:r w:rsidRPr="0025250D">
        <w:rPr>
          <w:rFonts w:hint="eastAsia"/>
          <w:rtl/>
        </w:rPr>
        <w:t>ن</w:t>
      </w:r>
      <w:r w:rsidRPr="0025250D">
        <w:rPr>
          <w:rtl/>
        </w:rPr>
        <w:t xml:space="preserve"> کل</w:t>
      </w:r>
      <w:r w:rsidRPr="0025250D">
        <w:rPr>
          <w:rFonts w:hint="cs"/>
          <w:rtl/>
        </w:rPr>
        <w:t>ی</w:t>
      </w:r>
      <w:r w:rsidRPr="0025250D">
        <w:rPr>
          <w:vertAlign w:val="superscript"/>
          <w:rtl/>
        </w:rPr>
        <w:footnoteReference w:id="420"/>
      </w:r>
      <w:r w:rsidRPr="0025250D">
        <w:rPr>
          <w:rFonts w:hint="cs"/>
          <w:rtl/>
        </w:rPr>
        <w:t xml:space="preserve"> قانون 95/5 را در کتاب خارج از کنترل</w:t>
      </w:r>
      <w:r w:rsidRPr="0025250D">
        <w:rPr>
          <w:vertAlign w:val="superscript"/>
          <w:rtl/>
        </w:rPr>
        <w:footnoteReference w:id="421"/>
      </w:r>
      <w:r w:rsidRPr="0025250D">
        <w:rPr>
          <w:rFonts w:hint="cs"/>
          <w:rtl/>
        </w:rPr>
        <w:t xml:space="preserve"> در سال 1994 توصیف می‌کند و توضیح می‌دهد که اکثریت تصمیمات ما در سازمان‌ها (باز </w:t>
      </w:r>
      <w:r w:rsidR="0020589F" w:rsidRPr="0025250D">
        <w:rPr>
          <w:rtl/>
        </w:rPr>
        <w:t>هم</w:t>
      </w:r>
      <w:r w:rsidRPr="0025250D">
        <w:rPr>
          <w:rFonts w:hint="cs"/>
          <w:rtl/>
        </w:rPr>
        <w:t xml:space="preserve"> حدس می‌زنیم 95 درصد) حتی در سازمان‌های به‌شدت سلسله‌مراتبی مانند سازمان‌های نظامی، به شکل‌هایی پایین‌به‌بالا و خلاقانه، بر اساس ابتکار و قضاوت عوامل فردی رخ می‌دهند. رهبران به دنبال ایجاد قوانین و دستورات منصفانه و مفید </w:t>
      </w:r>
      <w:r w:rsidR="009D17DA" w:rsidRPr="0025250D">
        <w:rPr>
          <w:rFonts w:hint="cs"/>
          <w:rtl/>
        </w:rPr>
        <w:t>بالا‌به‌پایین</w:t>
      </w:r>
      <w:r w:rsidRPr="0025250D">
        <w:rPr>
          <w:rFonts w:hint="cs"/>
          <w:rtl/>
        </w:rPr>
        <w:t xml:space="preserve"> هستند (5 درصد باقیمانده)، اما زمان و انرژی که افراد در بیش‌تر سازمان‌ها صرف توجه به آن دستورات و رهنمود‌ها می‌کنند، در مقابل اتخاذ تصمیمات پایین‌به‌بالای محلی خودشان، احتمالاً به‌اندازه تفکر آگاهانه در مقابل تفکر ناخودآگاهی که هر یک از ما در طول یک روز معمولی انجام می‌دهیم، کوتاه است.</w:t>
      </w:r>
    </w:p>
    <w:p w14:paraId="754DBC76" w14:textId="77777777" w:rsidR="0020732A" w:rsidRPr="0025250D" w:rsidRDefault="0020732A" w:rsidP="00492C47">
      <w:pPr>
        <w:numPr>
          <w:ilvl w:val="0"/>
          <w:numId w:val="9"/>
        </w:numPr>
      </w:pPr>
      <w:r w:rsidRPr="0025250D">
        <w:rPr>
          <w:rFonts w:hint="cs"/>
          <w:b/>
          <w:bCs/>
          <w:rtl/>
        </w:rPr>
        <w:t>ایده‌هایی برای تغییر</w:t>
      </w:r>
      <w:r w:rsidRPr="0025250D">
        <w:rPr>
          <w:rFonts w:hint="cs"/>
          <w:rtl/>
        </w:rPr>
        <w:t>. رابینسن</w:t>
      </w:r>
      <w:r w:rsidRPr="0025250D">
        <w:rPr>
          <w:vertAlign w:val="superscript"/>
          <w:rtl/>
        </w:rPr>
        <w:footnoteReference w:id="422"/>
      </w:r>
      <w:r w:rsidRPr="0025250D">
        <w:rPr>
          <w:rFonts w:hint="cs"/>
          <w:rtl/>
        </w:rPr>
        <w:t xml:space="preserve"> و </w:t>
      </w:r>
      <w:r w:rsidRPr="0025250D">
        <w:rPr>
          <w:rtl/>
        </w:rPr>
        <w:t>شرودر</w:t>
      </w:r>
      <w:r w:rsidRPr="0025250D">
        <w:rPr>
          <w:vertAlign w:val="superscript"/>
          <w:rtl/>
        </w:rPr>
        <w:footnoteReference w:id="423"/>
      </w:r>
      <w:r w:rsidRPr="0025250D">
        <w:rPr>
          <w:rFonts w:hint="cs"/>
          <w:rtl/>
        </w:rPr>
        <w:t xml:space="preserve"> در کتاب سازمان ایده محور</w:t>
      </w:r>
      <w:r w:rsidRPr="0025250D">
        <w:rPr>
          <w:vertAlign w:val="superscript"/>
          <w:rtl/>
        </w:rPr>
        <w:footnoteReference w:id="424"/>
      </w:r>
      <w:r w:rsidRPr="0025250D">
        <w:rPr>
          <w:rFonts w:hint="cs"/>
          <w:rtl/>
        </w:rPr>
        <w:t xml:space="preserve"> نشان می‌دهند که اکثریت ایده‌های مفید برای تغییر نیز از پایین‌به‌بالا، از کارمندان، ذینفعان و مشتریان به مدیریت سطح بالا‌تر جاری می‌شوند. البته این‌که این ایده‌ها شنیده شده و به کار بسته </w:t>
      </w:r>
      <w:r w:rsidRPr="0025250D">
        <w:rPr>
          <w:rFonts w:hint="cs"/>
          <w:rtl/>
        </w:rPr>
        <w:lastRenderedPageBreak/>
        <w:t>شوند یا خیر، یک مسئله دیگر است. بحث ما در مورد پلتفرم‌های مدیریت نوآوری را در فصل 4 برای توضیح بیش‌تر در مورد این فرایند حیاتی ببینید.</w:t>
      </w:r>
    </w:p>
    <w:p w14:paraId="4243F8F9" w14:textId="2586720C" w:rsidR="0020732A" w:rsidRPr="0025250D" w:rsidRDefault="0020732A" w:rsidP="00492C47">
      <w:pPr>
        <w:numPr>
          <w:ilvl w:val="0"/>
          <w:numId w:val="9"/>
        </w:numPr>
      </w:pPr>
      <w:r w:rsidRPr="0025250D">
        <w:rPr>
          <w:rFonts w:hint="cs"/>
          <w:b/>
          <w:bCs/>
          <w:rtl/>
        </w:rPr>
        <w:t>فرایند‌های اجتماعی</w:t>
      </w:r>
      <w:r w:rsidRPr="0025250D">
        <w:rPr>
          <w:rFonts w:hint="cs"/>
          <w:rtl/>
        </w:rPr>
        <w:t xml:space="preserve">. بسیاری از این فرایندها نیز تحت قانون 95/5 قرار دارند. اگر در یک تخمین اولیه بیش‌تر فرایند‌های اجتماعی 95 درصد تکاملی و تنها 5 درصد توسعه‌ای باشند، به ما کمک می‌کند که درک کنیم چرا دیدن </w:t>
      </w:r>
      <w:r w:rsidR="00116646" w:rsidRPr="0025250D">
        <w:rPr>
          <w:rtl/>
        </w:rPr>
        <w:t>«</w:t>
      </w:r>
      <w:r w:rsidRPr="0025250D">
        <w:rPr>
          <w:rFonts w:hint="cs"/>
          <w:rtl/>
        </w:rPr>
        <w:t>نویز تکاملی</w:t>
      </w:r>
      <w:r w:rsidRPr="0025250D">
        <w:rPr>
          <w:vertAlign w:val="superscript"/>
          <w:rtl/>
        </w:rPr>
        <w:footnoteReference w:id="425"/>
      </w:r>
      <w:r w:rsidR="00116646" w:rsidRPr="0025250D">
        <w:rPr>
          <w:rtl/>
        </w:rPr>
        <w:t>»</w:t>
      </w:r>
      <w:r w:rsidRPr="0025250D">
        <w:rPr>
          <w:rFonts w:hint="cs"/>
          <w:rtl/>
        </w:rPr>
        <w:t xml:space="preserve"> خلاق و غیرقابل‌پیش‌بینی در اطراف ما بسیار آسان است و دیدن </w:t>
      </w:r>
      <w:r w:rsidR="00116646" w:rsidRPr="0025250D">
        <w:rPr>
          <w:rtl/>
        </w:rPr>
        <w:t>«</w:t>
      </w:r>
      <w:r w:rsidRPr="0025250D">
        <w:rPr>
          <w:rFonts w:hint="cs"/>
          <w:rtl/>
        </w:rPr>
        <w:t>نشانک توسعه‌ای</w:t>
      </w:r>
      <w:r w:rsidRPr="0025250D">
        <w:rPr>
          <w:vertAlign w:val="superscript"/>
          <w:rtl/>
        </w:rPr>
        <w:footnoteReference w:id="426"/>
      </w:r>
      <w:r w:rsidR="00116646" w:rsidRPr="0025250D">
        <w:rPr>
          <w:rtl/>
        </w:rPr>
        <w:t>»</w:t>
      </w:r>
      <w:r w:rsidRPr="0025250D">
        <w:rPr>
          <w:rFonts w:hint="cs"/>
          <w:rtl/>
        </w:rPr>
        <w:t xml:space="preserve"> همگرا و قابل پیش‌بینی بسیار دشوار می‌باشد. برخی محققین به اشتباه نتیجه می‌گیرند که همه تغییر اجتماعی پایین‌به‌بالا، تصادفی و غیرقابل‌پیش‌بینی هستند</w:t>
      </w:r>
      <w:r w:rsidR="008D6F97" w:rsidRPr="0025250D">
        <w:rPr>
          <w:rtl/>
        </w:rPr>
        <w:t xml:space="preserve">؛ </w:t>
      </w:r>
      <w:r w:rsidRPr="0025250D">
        <w:rPr>
          <w:rFonts w:hint="cs"/>
          <w:rtl/>
        </w:rPr>
        <w:t xml:space="preserve">اما </w:t>
      </w:r>
      <w:r w:rsidR="007118DE" w:rsidRPr="0025250D">
        <w:rPr>
          <w:rFonts w:hint="cs"/>
          <w:rtl/>
        </w:rPr>
        <w:t>همان‌طور</w:t>
      </w:r>
      <w:r w:rsidRPr="0025250D">
        <w:rPr>
          <w:rFonts w:hint="cs"/>
          <w:rtl/>
        </w:rPr>
        <w:t xml:space="preserve"> که در این کتاب خواهیم دید، 5 درصد باقیمانده از فرایند‌های توسعه‌ای در هر </w:t>
      </w:r>
      <w:r w:rsidR="00947B39" w:rsidRPr="0025250D">
        <w:rPr>
          <w:rFonts w:hint="cs"/>
          <w:rtl/>
        </w:rPr>
        <w:t>سامانه</w:t>
      </w:r>
      <w:r w:rsidRPr="0025250D">
        <w:rPr>
          <w:rFonts w:hint="cs"/>
          <w:rtl/>
        </w:rPr>
        <w:t xml:space="preserve"> پیچیده‌ای، هر چقدر هم که کم باشند، حداقل به‌اندازه دیگر فرایند‌های تکاملی، در </w:t>
      </w:r>
      <w:r w:rsidR="00B124DE" w:rsidRPr="0025250D">
        <w:rPr>
          <w:rFonts w:hint="cs"/>
          <w:rtl/>
        </w:rPr>
        <w:t>شکل‌دهی</w:t>
      </w:r>
      <w:r w:rsidRPr="0025250D">
        <w:rPr>
          <w:rFonts w:hint="cs"/>
          <w:rtl/>
        </w:rPr>
        <w:t xml:space="preserve"> آینده در سامانه‌های زنده، سامانه‌های اجتماعی، سامانه‌های فناورانه و کل جهان به‌عنوان یک </w:t>
      </w:r>
      <w:r w:rsidR="00947B39" w:rsidRPr="0025250D">
        <w:rPr>
          <w:rFonts w:hint="cs"/>
          <w:rtl/>
        </w:rPr>
        <w:t>سامانه</w:t>
      </w:r>
      <w:r w:rsidRPr="0025250D">
        <w:rPr>
          <w:rFonts w:hint="cs"/>
          <w:rtl/>
        </w:rPr>
        <w:t xml:space="preserve">، اهمیت دارند. فرایند‌های توسعه‌ای با وجود این‌که اقلیتی اندک هستند، تأثیر شگرفی بر آینده‌های </w:t>
      </w:r>
      <w:r w:rsidR="00516B66" w:rsidRPr="0025250D">
        <w:rPr>
          <w:rFonts w:hint="cs"/>
          <w:rtl/>
        </w:rPr>
        <w:t>ارگانیسم های</w:t>
      </w:r>
      <w:r w:rsidRPr="0025250D">
        <w:rPr>
          <w:rFonts w:hint="cs"/>
          <w:rtl/>
        </w:rPr>
        <w:t xml:space="preserve"> زنده دارند.</w:t>
      </w:r>
    </w:p>
    <w:p w14:paraId="44B336E8" w14:textId="5C06F031" w:rsidR="0020732A" w:rsidRPr="0025250D" w:rsidRDefault="0020732A" w:rsidP="00116646">
      <w:pPr>
        <w:rPr>
          <w:rtl/>
        </w:rPr>
      </w:pPr>
      <w:r w:rsidRPr="0025250D">
        <w:rPr>
          <w:rFonts w:hint="cs"/>
          <w:rtl/>
        </w:rPr>
        <w:t xml:space="preserve">قانون 95/5 مشابه با نسبت 19:1 برای غیرقابل‌پیش‌بینی بودن در مقابل قابل پیش‌بینی بودن در تحلیل تغییر در هر </w:t>
      </w:r>
      <w:r w:rsidR="00947B39" w:rsidRPr="0025250D">
        <w:rPr>
          <w:rFonts w:hint="cs"/>
          <w:rtl/>
        </w:rPr>
        <w:t>سامانه</w:t>
      </w:r>
      <w:r w:rsidRPr="0025250D">
        <w:rPr>
          <w:rFonts w:hint="cs"/>
          <w:rtl/>
        </w:rPr>
        <w:t xml:space="preserve"> پیچیده است. برای سادگی، این مقدار را به یک </w:t>
      </w:r>
      <w:r w:rsidR="00116646" w:rsidRPr="0025250D">
        <w:rPr>
          <w:rtl/>
        </w:rPr>
        <w:t>«</w:t>
      </w:r>
      <w:r w:rsidRPr="0025250D">
        <w:rPr>
          <w:rFonts w:hint="cs"/>
          <w:rtl/>
        </w:rPr>
        <w:t>نسبت 20:1</w:t>
      </w:r>
      <w:r w:rsidR="00116646" w:rsidRPr="0025250D">
        <w:rPr>
          <w:rFonts w:hint="cs"/>
          <w:rtl/>
        </w:rPr>
        <w:t>»</w:t>
      </w:r>
      <w:r w:rsidRPr="0025250D">
        <w:rPr>
          <w:rFonts w:hint="cs"/>
          <w:rtl/>
        </w:rPr>
        <w:t xml:space="preserve"> برای فرایند‌های معمول تکاملی-توسعه‌ای در هر </w:t>
      </w:r>
      <w:r w:rsidR="00947B39" w:rsidRPr="0025250D">
        <w:rPr>
          <w:rFonts w:hint="cs"/>
          <w:rtl/>
        </w:rPr>
        <w:t>سامانه</w:t>
      </w:r>
      <w:r w:rsidRPr="0025250D">
        <w:rPr>
          <w:rFonts w:hint="cs"/>
          <w:rtl/>
        </w:rPr>
        <w:t xml:space="preserve"> پیچیده گرد می‌کنیم. به‌طور خلاصه، قانون 95/5 به ما می‌گوید که اکثریت تغییر در هر </w:t>
      </w:r>
      <w:r w:rsidR="00947B39" w:rsidRPr="0025250D">
        <w:rPr>
          <w:rFonts w:hint="cs"/>
          <w:rtl/>
        </w:rPr>
        <w:t>سامانه</w:t>
      </w:r>
      <w:r w:rsidRPr="0025250D">
        <w:rPr>
          <w:rFonts w:hint="cs"/>
          <w:rtl/>
        </w:rPr>
        <w:t xml:space="preserve"> پیچیده همتاساز، تکاملی، واگرا و به شکل سریعی غیرقابل‌پیش‌بینی است، اما یک زیر مجموعه مهم، درست بر خلاف آن، به شکل توسعه‌ای، همگرا و ذاتا قابل پیش‌بینی، هم به‌صورت میانگین و هم در بلندمدت است. در سامانه‌های زنده، هر دو فرایند تغییر به یک اندازه برای </w:t>
      </w:r>
      <w:r w:rsidR="00AE5BE0" w:rsidRPr="0025250D">
        <w:rPr>
          <w:rFonts w:hint="cs"/>
          <w:rtl/>
        </w:rPr>
        <w:t>انطباق</w:t>
      </w:r>
      <w:r w:rsidRPr="0025250D">
        <w:rPr>
          <w:rFonts w:hint="cs"/>
          <w:rtl/>
        </w:rPr>
        <w:t xml:space="preserve"> مهم</w:t>
      </w:r>
      <w:r w:rsidR="003B1CE0" w:rsidRPr="0025250D">
        <w:rPr>
          <w:rFonts w:hint="cs"/>
          <w:rtl/>
        </w:rPr>
        <w:t xml:space="preserve"> به نظر</w:t>
      </w:r>
      <w:r w:rsidRPr="0025250D">
        <w:rPr>
          <w:rFonts w:hint="cs"/>
          <w:rtl/>
        </w:rPr>
        <w:t xml:space="preserve"> می‌رسند. به‌بیان‌دیگر، فرایند‌های توسعه‌ای، اگرچه ازنظر آماری نادرتر هستند و اغلب دیدن و اثبات آن‌ها بسیار دشوار‌تر است، دقیقاً به‌اندازه فرایند‌های تکاملی برای بقای یک </w:t>
      </w:r>
      <w:r w:rsidR="00516B66" w:rsidRPr="0025250D">
        <w:rPr>
          <w:rFonts w:hint="cs"/>
          <w:rtl/>
        </w:rPr>
        <w:t>ارگانیسم</w:t>
      </w:r>
      <w:r w:rsidRPr="0025250D">
        <w:rPr>
          <w:rFonts w:hint="cs"/>
          <w:rtl/>
        </w:rPr>
        <w:t xml:space="preserve"> اهمیت دارند.</w:t>
      </w:r>
    </w:p>
    <w:p w14:paraId="2A4E42F1" w14:textId="609F3EE6" w:rsidR="0020732A" w:rsidRPr="0025250D" w:rsidRDefault="0020732A" w:rsidP="0020732A">
      <w:pPr>
        <w:rPr>
          <w:rtl/>
        </w:rPr>
      </w:pPr>
      <w:r w:rsidRPr="0025250D">
        <w:rPr>
          <w:rFonts w:hint="cs"/>
          <w:rtl/>
        </w:rPr>
        <w:t>اگر سازمان‌ها، جوامع</w:t>
      </w:r>
      <w:r w:rsidR="008D6F97" w:rsidRPr="0025250D">
        <w:rPr>
          <w:rtl/>
        </w:rPr>
        <w:t xml:space="preserve"> </w:t>
      </w:r>
      <w:r w:rsidRPr="0025250D">
        <w:rPr>
          <w:rFonts w:hint="cs"/>
          <w:rtl/>
        </w:rPr>
        <w:t xml:space="preserve">و پیشرفته‌ترین فناوری‌ها نیز سامانه‌های </w:t>
      </w:r>
      <w:r w:rsidR="00AE5BE0" w:rsidRPr="0025250D">
        <w:rPr>
          <w:rFonts w:hint="cs"/>
          <w:rtl/>
        </w:rPr>
        <w:t>انطباقی</w:t>
      </w:r>
      <w:r w:rsidRPr="0025250D">
        <w:rPr>
          <w:rFonts w:hint="cs"/>
          <w:rtl/>
        </w:rPr>
        <w:t xml:space="preserve"> پیچیده‌ای باشند که شکلی از انتخاب طبیعی را تجربه می‌کنند، </w:t>
      </w:r>
      <w:r w:rsidR="007118DE" w:rsidRPr="0025250D">
        <w:rPr>
          <w:rFonts w:hint="cs"/>
          <w:rtl/>
        </w:rPr>
        <w:t>همان‌طور</w:t>
      </w:r>
      <w:r w:rsidRPr="0025250D">
        <w:rPr>
          <w:rFonts w:hint="cs"/>
          <w:rtl/>
        </w:rPr>
        <w:t xml:space="preserve"> که در طول این کتاب در این باره صحبت می‌کنیم، آن‌ها نیز تحت تأثیر فرایند‌های تغییر غیرقابل‌پیش‌بینی پایین‌به‌بالا و نیز فرایند‌های تغییر قابل پیش‌بینی </w:t>
      </w:r>
      <w:r w:rsidR="009D17DA" w:rsidRPr="0025250D">
        <w:rPr>
          <w:rFonts w:hint="cs"/>
          <w:rtl/>
        </w:rPr>
        <w:t>بالا‌به‌پایین</w:t>
      </w:r>
      <w:r w:rsidRPr="0025250D">
        <w:rPr>
          <w:rFonts w:hint="cs"/>
          <w:rtl/>
        </w:rPr>
        <w:t xml:space="preserve"> هستند. اگر در چنین </w:t>
      </w:r>
      <w:r w:rsidR="00116646" w:rsidRPr="0025250D">
        <w:rPr>
          <w:rtl/>
        </w:rPr>
        <w:t>«</w:t>
      </w:r>
      <w:r w:rsidRPr="0025250D">
        <w:rPr>
          <w:rFonts w:hint="cs"/>
          <w:rtl/>
        </w:rPr>
        <w:t>جهان تکاملی-توسعه‌ای</w:t>
      </w:r>
      <w:r w:rsidR="00116646" w:rsidRPr="0025250D">
        <w:rPr>
          <w:rtl/>
        </w:rPr>
        <w:t>»</w:t>
      </w:r>
      <w:r w:rsidRPr="0025250D">
        <w:rPr>
          <w:rFonts w:hint="cs"/>
          <w:rtl/>
        </w:rPr>
        <w:t xml:space="preserve"> زندگی می‌کنیم و اگر بخواهیم کار </w:t>
      </w:r>
      <w:r w:rsidRPr="0025250D">
        <w:rPr>
          <w:rtl/>
        </w:rPr>
        <w:t>آینده‌نگاری</w:t>
      </w:r>
      <w:r w:rsidRPr="0025250D">
        <w:rPr>
          <w:rFonts w:hint="cs"/>
          <w:rtl/>
        </w:rPr>
        <w:t xml:space="preserve"> را به‌خوبی انجام دهیم، به دیدن و مدیریت بهتر هر دو دسته از فرایند‌ها نیاز داریم.</w:t>
      </w:r>
    </w:p>
    <w:p w14:paraId="176AD72B" w14:textId="78DE45F2" w:rsidR="0020732A" w:rsidRPr="0025250D" w:rsidRDefault="0020732A" w:rsidP="0020732A">
      <w:pPr>
        <w:rPr>
          <w:rtl/>
        </w:rPr>
      </w:pPr>
      <w:r w:rsidRPr="0025250D">
        <w:rPr>
          <w:rFonts w:hint="cs"/>
          <w:rtl/>
        </w:rPr>
        <w:t xml:space="preserve">چند مفهوم قانون 95/5 را برای سازمان‌ها در نظر بگیرید. در سازمان‌های </w:t>
      </w:r>
      <w:r w:rsidR="00AE5BE0" w:rsidRPr="0025250D">
        <w:rPr>
          <w:rFonts w:hint="cs"/>
          <w:rtl/>
        </w:rPr>
        <w:t>انطباقی</w:t>
      </w:r>
      <w:r w:rsidRPr="0025250D">
        <w:rPr>
          <w:rFonts w:hint="cs"/>
          <w:rtl/>
        </w:rPr>
        <w:t xml:space="preserve">، تنها یک زیرمجموعه مهم، چیزی در حدود 5 درصد از فعالیت‌های سازمانی تحت هدایت دستورات و قیود </w:t>
      </w:r>
      <w:r w:rsidR="009D17DA" w:rsidRPr="0025250D">
        <w:rPr>
          <w:rFonts w:hint="cs"/>
          <w:rtl/>
        </w:rPr>
        <w:t>بالا‌به‌پایین</w:t>
      </w:r>
      <w:r w:rsidRPr="0025250D">
        <w:rPr>
          <w:rFonts w:hint="cs"/>
          <w:rtl/>
        </w:rPr>
        <w:t>، ابتکارات و مجموعه قوانین ایجاد شده توسط رهبران هستند. در مقابل اکثریت تغییرات همواره در بافت‌های محلی و پایین‌به‌بالا و تحت تأثیر انتخاب و ابتکار فردی رخ می‌دهند. این حقیقت ذاتی دلیلی است برای این‌که کنترل بیش از حد</w:t>
      </w:r>
      <w:r w:rsidRPr="0025250D">
        <w:rPr>
          <w:vertAlign w:val="superscript"/>
          <w:rtl/>
        </w:rPr>
        <w:footnoteReference w:id="427"/>
      </w:r>
      <w:r w:rsidRPr="0025250D">
        <w:rPr>
          <w:rFonts w:hint="cs"/>
          <w:rtl/>
        </w:rPr>
        <w:t xml:space="preserve"> از بالا در یک سازمان به سرعت به دستورالعملی برای عدم مشارکت کارمندان، عدم </w:t>
      </w:r>
      <w:r w:rsidR="00795397" w:rsidRPr="0025250D">
        <w:rPr>
          <w:rFonts w:hint="cs"/>
          <w:rtl/>
        </w:rPr>
        <w:t>انعطاف‌پذیر</w:t>
      </w:r>
      <w:r w:rsidRPr="0025250D">
        <w:rPr>
          <w:rFonts w:hint="cs"/>
          <w:rtl/>
        </w:rPr>
        <w:t>ی و سیاست‌های قدرت غارتگرانه</w:t>
      </w:r>
      <w:r w:rsidRPr="0025250D">
        <w:rPr>
          <w:vertAlign w:val="superscript"/>
          <w:rtl/>
        </w:rPr>
        <w:footnoteReference w:id="428"/>
      </w:r>
      <w:r w:rsidRPr="0025250D">
        <w:rPr>
          <w:rFonts w:hint="cs"/>
          <w:rtl/>
        </w:rPr>
        <w:t xml:space="preserve"> در مدیریت سطح بالا تبدیل می‌شود. در عین حال، نبود </w:t>
      </w:r>
      <w:r w:rsidR="00B13F65" w:rsidRPr="0025250D">
        <w:rPr>
          <w:rFonts w:hint="cs"/>
          <w:rtl/>
        </w:rPr>
        <w:t>چارچوب</w:t>
      </w:r>
      <w:r w:rsidRPr="0025250D">
        <w:rPr>
          <w:rFonts w:hint="cs"/>
          <w:rtl/>
        </w:rPr>
        <w:t xml:space="preserve">‌ها و مجموعه قوانین کلیدی در بالا نیز دستورالعملی برای هرج و مرج و نبود </w:t>
      </w:r>
      <w:r w:rsidR="00CF59DF" w:rsidRPr="0025250D">
        <w:rPr>
          <w:rFonts w:hint="cs"/>
          <w:rtl/>
        </w:rPr>
        <w:t>جهت‌گیری</w:t>
      </w:r>
      <w:r w:rsidRPr="0025250D">
        <w:rPr>
          <w:rFonts w:hint="cs"/>
          <w:rtl/>
        </w:rPr>
        <w:t xml:space="preserve"> است.</w:t>
      </w:r>
    </w:p>
    <w:p w14:paraId="78CD4843" w14:textId="15967DBF" w:rsidR="0020732A" w:rsidRPr="0025250D" w:rsidRDefault="0020732A" w:rsidP="0020732A">
      <w:pPr>
        <w:rPr>
          <w:rtl/>
        </w:rPr>
      </w:pPr>
      <w:r w:rsidRPr="0025250D">
        <w:rPr>
          <w:rFonts w:hint="cs"/>
          <w:rtl/>
        </w:rPr>
        <w:t xml:space="preserve">حفظ مشوق ‌ها، هنجارها، فرایند‌ها و سیاست‌های به‌خوبی طراحی شده می‌تواند تنها 5 درصد از کار مدیریت باشد، اما انجام درست این 5 درصد کلید اجتناب از اختلال کارکرد سازمانی است. یک قانون به نام تیغ </w:t>
      </w:r>
      <w:r w:rsidRPr="0025250D">
        <w:rPr>
          <w:rtl/>
        </w:rPr>
        <w:t>هانلون</w:t>
      </w:r>
      <w:r w:rsidRPr="0025250D">
        <w:rPr>
          <w:vertAlign w:val="superscript"/>
          <w:rtl/>
        </w:rPr>
        <w:footnoteReference w:id="429"/>
      </w:r>
      <w:r w:rsidRPr="0025250D">
        <w:rPr>
          <w:rFonts w:hint="cs"/>
          <w:rtl/>
        </w:rPr>
        <w:t xml:space="preserve"> وجود دارد که بیان می‌کند </w:t>
      </w:r>
      <w:r w:rsidR="00116646" w:rsidRPr="0025250D">
        <w:rPr>
          <w:rtl/>
        </w:rPr>
        <w:t>«</w:t>
      </w:r>
      <w:r w:rsidRPr="0025250D">
        <w:rPr>
          <w:rFonts w:hint="cs"/>
          <w:rtl/>
        </w:rPr>
        <w:t>هیچگاه آنچه بتواند با حماقت توضیح داده شود را به بدخواهی نسبت ندهید</w:t>
      </w:r>
      <w:r w:rsidR="00116646" w:rsidRPr="0025250D">
        <w:rPr>
          <w:rtl/>
        </w:rPr>
        <w:t>»</w:t>
      </w:r>
      <w:r w:rsidRPr="0025250D">
        <w:rPr>
          <w:rFonts w:hint="cs"/>
          <w:rtl/>
        </w:rPr>
        <w:t xml:space="preserve">. مدیر ریسک </w:t>
      </w:r>
      <w:r w:rsidRPr="0025250D">
        <w:rPr>
          <w:rtl/>
        </w:rPr>
        <w:t>داگلاس هابارد</w:t>
      </w:r>
      <w:r w:rsidRPr="0025250D">
        <w:rPr>
          <w:vertAlign w:val="superscript"/>
          <w:rtl/>
        </w:rPr>
        <w:footnoteReference w:id="430"/>
      </w:r>
      <w:r w:rsidRPr="0025250D">
        <w:rPr>
          <w:rFonts w:hint="cs"/>
          <w:rtl/>
        </w:rPr>
        <w:t xml:space="preserve"> یک نتیجه فرعی را از گفته </w:t>
      </w:r>
      <w:r w:rsidRPr="0025250D">
        <w:rPr>
          <w:rtl/>
        </w:rPr>
        <w:t>هانلون</w:t>
      </w:r>
      <w:r w:rsidRPr="0025250D">
        <w:rPr>
          <w:rFonts w:hint="cs"/>
          <w:rtl/>
        </w:rPr>
        <w:t xml:space="preserve"> استنباط می‌کند: </w:t>
      </w:r>
      <w:r w:rsidR="00116646" w:rsidRPr="0025250D">
        <w:rPr>
          <w:rtl/>
        </w:rPr>
        <w:t>«</w:t>
      </w:r>
      <w:r w:rsidRPr="0025250D">
        <w:rPr>
          <w:rFonts w:hint="cs"/>
          <w:rtl/>
        </w:rPr>
        <w:t xml:space="preserve">هیچگاه آنچه می‌تواند توسط افراد نسبتاً منطقی که از مشوق ‌ها، هنجارها، فرایند‌ها یا سیاست‌های ناهم تراز در یک </w:t>
      </w:r>
      <w:r w:rsidR="00947B39" w:rsidRPr="0025250D">
        <w:rPr>
          <w:rFonts w:hint="cs"/>
          <w:rtl/>
        </w:rPr>
        <w:t>سامانه</w:t>
      </w:r>
      <w:r w:rsidRPr="0025250D">
        <w:rPr>
          <w:rFonts w:hint="cs"/>
          <w:rtl/>
        </w:rPr>
        <w:t xml:space="preserve"> پیچیده پیروی می‌کنند، توضیح داده شود را به بدخواهی یا حماقت نسبت ندهید</w:t>
      </w:r>
      <w:r w:rsidR="00116646" w:rsidRPr="0025250D">
        <w:rPr>
          <w:rtl/>
        </w:rPr>
        <w:t>»</w:t>
      </w:r>
      <w:r w:rsidRPr="0025250D">
        <w:rPr>
          <w:rFonts w:hint="cs"/>
          <w:rtl/>
        </w:rPr>
        <w:t xml:space="preserve">. متخصصین رفتاسازمانی به ما می‌گویند که سوگیری نظام مند در مجموعه قوانین </w:t>
      </w:r>
      <w:r w:rsidR="009D17DA" w:rsidRPr="0025250D">
        <w:rPr>
          <w:rFonts w:hint="cs"/>
          <w:rtl/>
        </w:rPr>
        <w:t>بالا‌به‌پایین</w:t>
      </w:r>
      <w:r w:rsidRPr="0025250D">
        <w:rPr>
          <w:rFonts w:hint="cs"/>
          <w:rtl/>
        </w:rPr>
        <w:t xml:space="preserve"> یک علت ریشه‌ای برای بسیاری از مشکلات اجتماعی، سازمانی و تیمی ما هستند.</w:t>
      </w:r>
    </w:p>
    <w:p w14:paraId="765A22A8" w14:textId="6C3B1A0A" w:rsidR="0020732A" w:rsidRPr="0025250D" w:rsidRDefault="00116646" w:rsidP="0020732A">
      <w:pPr>
        <w:rPr>
          <w:rtl/>
        </w:rPr>
      </w:pPr>
      <w:r w:rsidRPr="0025250D">
        <w:rPr>
          <w:rtl/>
        </w:rPr>
        <w:lastRenderedPageBreak/>
        <w:t>«</w:t>
      </w:r>
      <w:r w:rsidR="0020732A" w:rsidRPr="0025250D">
        <w:rPr>
          <w:rFonts w:hint="cs"/>
          <w:rtl/>
        </w:rPr>
        <w:t>بازآفرینی سازمان</w:t>
      </w:r>
      <w:r w:rsidR="0020732A" w:rsidRPr="0025250D">
        <w:rPr>
          <w:vertAlign w:val="superscript"/>
          <w:rtl/>
        </w:rPr>
        <w:footnoteReference w:id="431"/>
      </w:r>
      <w:r w:rsidRPr="0025250D">
        <w:rPr>
          <w:rtl/>
        </w:rPr>
        <w:t>»</w:t>
      </w:r>
      <w:r w:rsidR="0020732A" w:rsidRPr="0025250D">
        <w:rPr>
          <w:rFonts w:hint="cs"/>
          <w:rtl/>
        </w:rPr>
        <w:t xml:space="preserve"> اثر </w:t>
      </w:r>
      <w:r w:rsidR="0020732A" w:rsidRPr="0025250D">
        <w:rPr>
          <w:rtl/>
        </w:rPr>
        <w:t>فردر</w:t>
      </w:r>
      <w:r w:rsidR="0020732A" w:rsidRPr="0025250D">
        <w:rPr>
          <w:rFonts w:hint="cs"/>
          <w:rtl/>
        </w:rPr>
        <w:t>ی</w:t>
      </w:r>
      <w:r w:rsidR="0020732A" w:rsidRPr="0025250D">
        <w:rPr>
          <w:rFonts w:hint="eastAsia"/>
          <w:rtl/>
        </w:rPr>
        <w:t>ک</w:t>
      </w:r>
      <w:r w:rsidR="0020732A" w:rsidRPr="0025250D">
        <w:rPr>
          <w:rtl/>
        </w:rPr>
        <w:t xml:space="preserve"> لالوکس</w:t>
      </w:r>
      <w:r w:rsidR="0020732A" w:rsidRPr="0025250D">
        <w:rPr>
          <w:vertAlign w:val="superscript"/>
          <w:rtl/>
        </w:rPr>
        <w:footnoteReference w:id="432"/>
      </w:r>
      <w:r w:rsidR="0020732A" w:rsidRPr="0025250D">
        <w:rPr>
          <w:rFonts w:hint="cs"/>
          <w:rtl/>
        </w:rPr>
        <w:t xml:space="preserve"> در سال 2014 بیان می‌کند که ساختار‌های پایین‌به‌بالای سازمانی بیش‌تر شبیه به سامانه‌های زیستی کار می‌کنند و این موارد معمولاً در محیط‌های بیش‌تری، نسبت به سلسله‌مراتب سنگین سطح بالا، </w:t>
      </w:r>
      <w:r w:rsidR="009D17DA" w:rsidRPr="0025250D">
        <w:rPr>
          <w:rFonts w:hint="cs"/>
          <w:rtl/>
        </w:rPr>
        <w:t>انطباق دارند</w:t>
      </w:r>
      <w:r w:rsidR="0020732A" w:rsidRPr="0025250D">
        <w:rPr>
          <w:rFonts w:hint="cs"/>
          <w:rtl/>
        </w:rPr>
        <w:t xml:space="preserve">. مورد دوم وقتی بهتر کار می‌کند که کنترل و ظرفیت قدرت، نه تنوع نوآوری، نیاز‌های سازمانی برتر باشند. متأسفانه، پس از آن </w:t>
      </w:r>
      <w:r w:rsidR="0020732A" w:rsidRPr="0025250D">
        <w:rPr>
          <w:rtl/>
        </w:rPr>
        <w:t>لالوکس</w:t>
      </w:r>
      <w:r w:rsidR="0020732A" w:rsidRPr="0025250D">
        <w:rPr>
          <w:rFonts w:hint="cs"/>
          <w:rtl/>
        </w:rPr>
        <w:t xml:space="preserve"> بیان می‌کند که مدیریت پایین‌به‌بالا و سازمان‌های بدون رهبر اکنون در بیش‌تر زمینه‌ها و شرایط ایدئال ما هستند. قانون 95/5 به ما می‌گوید که این ادعا و مفاهیم</w:t>
      </w:r>
      <w:r w:rsidR="0020732A" w:rsidRPr="0025250D">
        <w:rPr>
          <w:rtl/>
        </w:rPr>
        <w:t xml:space="preserve"> </w:t>
      </w:r>
      <w:r w:rsidR="0020732A" w:rsidRPr="0025250D">
        <w:rPr>
          <w:rFonts w:hint="cs"/>
          <w:rtl/>
        </w:rPr>
        <w:t>مد</w:t>
      </w:r>
      <w:r w:rsidR="0020732A" w:rsidRPr="0025250D">
        <w:rPr>
          <w:rtl/>
        </w:rPr>
        <w:t xml:space="preserve"> </w:t>
      </w:r>
      <w:r w:rsidR="0020732A" w:rsidRPr="0025250D">
        <w:rPr>
          <w:rFonts w:hint="cs"/>
          <w:rtl/>
        </w:rPr>
        <w:t xml:space="preserve">روز مانند </w:t>
      </w:r>
      <w:r w:rsidRPr="0025250D">
        <w:rPr>
          <w:rtl/>
        </w:rPr>
        <w:t>«</w:t>
      </w:r>
      <w:r w:rsidR="0020732A" w:rsidRPr="0025250D">
        <w:rPr>
          <w:rFonts w:hint="cs"/>
          <w:rtl/>
        </w:rPr>
        <w:t>هولاکراسی</w:t>
      </w:r>
      <w:r w:rsidR="0020732A" w:rsidRPr="0025250D">
        <w:rPr>
          <w:vertAlign w:val="superscript"/>
          <w:rtl/>
        </w:rPr>
        <w:footnoteReference w:id="433"/>
      </w:r>
      <w:r w:rsidRPr="0025250D">
        <w:rPr>
          <w:rtl/>
        </w:rPr>
        <w:t>»</w:t>
      </w:r>
      <w:r w:rsidR="0020732A" w:rsidRPr="0025250D">
        <w:rPr>
          <w:rFonts w:hint="cs"/>
          <w:rtl/>
        </w:rPr>
        <w:t xml:space="preserve"> (سازمان‌های کاملاً غیرمتمرکز) به‌شدت اغراق شده هستند. در همه شبکه‌های پیچیده، هم مرکز زدایی و هم مرکز گرایی ضروری هستند. یک توازن قدرت </w:t>
      </w:r>
      <w:r w:rsidR="009D17DA" w:rsidRPr="0025250D">
        <w:rPr>
          <w:rFonts w:hint="cs"/>
          <w:rtl/>
        </w:rPr>
        <w:t>بالا‌به‌پایین</w:t>
      </w:r>
      <w:r w:rsidR="0020732A" w:rsidRPr="0025250D">
        <w:rPr>
          <w:rFonts w:hint="cs"/>
          <w:rtl/>
        </w:rPr>
        <w:t xml:space="preserve"> و پایین‌به‌بالا همواره باید وجود داشته باشد و جزئیات همواره بسیار مهم هستند.</w:t>
      </w:r>
    </w:p>
    <w:p w14:paraId="7AF06BA8" w14:textId="51DE0925" w:rsidR="0020732A" w:rsidRPr="0025250D" w:rsidRDefault="0020732A" w:rsidP="0020732A">
      <w:pPr>
        <w:rPr>
          <w:rtl/>
        </w:rPr>
      </w:pPr>
      <w:r w:rsidRPr="0025250D">
        <w:rPr>
          <w:rFonts w:hint="cs"/>
          <w:rtl/>
        </w:rPr>
        <w:t>در مقابل، کتاب ستاره دریایی و عنکبوت</w:t>
      </w:r>
      <w:r w:rsidRPr="0025250D">
        <w:rPr>
          <w:vertAlign w:val="superscript"/>
          <w:rtl/>
        </w:rPr>
        <w:footnoteReference w:id="434"/>
      </w:r>
      <w:r w:rsidRPr="0025250D">
        <w:rPr>
          <w:rFonts w:hint="cs"/>
          <w:rtl/>
        </w:rPr>
        <w:t xml:space="preserve"> نوشته </w:t>
      </w:r>
      <w:r w:rsidRPr="0025250D">
        <w:rPr>
          <w:rtl/>
        </w:rPr>
        <w:t>برافمن</w:t>
      </w:r>
      <w:r w:rsidRPr="0025250D">
        <w:rPr>
          <w:vertAlign w:val="superscript"/>
          <w:rtl/>
        </w:rPr>
        <w:footnoteReference w:id="435"/>
      </w:r>
      <w:r w:rsidRPr="0025250D">
        <w:rPr>
          <w:rFonts w:hint="cs"/>
          <w:rtl/>
        </w:rPr>
        <w:t xml:space="preserve"> و </w:t>
      </w:r>
      <w:r w:rsidRPr="0025250D">
        <w:rPr>
          <w:rtl/>
        </w:rPr>
        <w:t>بکستروم</w:t>
      </w:r>
      <w:r w:rsidRPr="0025250D">
        <w:rPr>
          <w:vertAlign w:val="superscript"/>
          <w:rtl/>
        </w:rPr>
        <w:footnoteReference w:id="436"/>
      </w:r>
      <w:r w:rsidRPr="0025250D">
        <w:rPr>
          <w:rFonts w:hint="cs"/>
          <w:rtl/>
        </w:rPr>
        <w:t xml:space="preserve"> در سال 2008، فرایند‌های سازمانی پایین‌به‌بالا و ستاره دریایی مانند را با فرایند‌های عنکبوتی </w:t>
      </w:r>
      <w:r w:rsidR="009D17DA" w:rsidRPr="0025250D">
        <w:rPr>
          <w:rFonts w:hint="cs"/>
          <w:rtl/>
        </w:rPr>
        <w:t>بالا‌به‌پایین</w:t>
      </w:r>
      <w:r w:rsidRPr="0025250D">
        <w:rPr>
          <w:rFonts w:hint="cs"/>
          <w:rtl/>
        </w:rPr>
        <w:t xml:space="preserve"> مقایسه می‌کند. این کتاب بیان می‌کند که هر فرایندی به دیگری کمک می‌کند و معمولاً ترکیبی از هر دو در سازمان‌ها بهترین گزینه است. قوانین کاری!</w:t>
      </w:r>
      <w:r w:rsidRPr="0025250D">
        <w:rPr>
          <w:vertAlign w:val="superscript"/>
          <w:rtl/>
        </w:rPr>
        <w:footnoteReference w:id="437"/>
      </w:r>
      <w:r w:rsidRPr="0025250D">
        <w:rPr>
          <w:rFonts w:hint="cs"/>
          <w:rtl/>
        </w:rPr>
        <w:t xml:space="preserve"> اثر </w:t>
      </w:r>
      <w:r w:rsidRPr="0025250D">
        <w:rPr>
          <w:rtl/>
        </w:rPr>
        <w:t>لازلو بوک</w:t>
      </w:r>
      <w:r w:rsidRPr="0025250D">
        <w:rPr>
          <w:vertAlign w:val="superscript"/>
          <w:rtl/>
        </w:rPr>
        <w:footnoteReference w:id="438"/>
      </w:r>
      <w:r w:rsidRPr="0025250D">
        <w:rPr>
          <w:rFonts w:hint="cs"/>
          <w:rtl/>
        </w:rPr>
        <w:t xml:space="preserve"> در سال 2016 نیز بر ارزش متوازن سازی کنترل پایین‌به‌بالا و </w:t>
      </w:r>
      <w:r w:rsidR="009D17DA" w:rsidRPr="0025250D">
        <w:rPr>
          <w:rFonts w:hint="cs"/>
          <w:rtl/>
        </w:rPr>
        <w:t>بالا‌به‌پایین</w:t>
      </w:r>
      <w:r w:rsidRPr="0025250D">
        <w:rPr>
          <w:rFonts w:hint="cs"/>
          <w:rtl/>
        </w:rPr>
        <w:t xml:space="preserve"> تاکید می‌کند. این کتاب تجربه گوگل با اهداف و نتایج کلیدی</w:t>
      </w:r>
      <w:r w:rsidRPr="0025250D">
        <w:rPr>
          <w:vertAlign w:val="superscript"/>
          <w:rtl/>
        </w:rPr>
        <w:footnoteReference w:id="439"/>
      </w:r>
      <w:r w:rsidRPr="0025250D">
        <w:rPr>
          <w:rFonts w:hint="cs"/>
          <w:rtl/>
        </w:rPr>
        <w:t xml:space="preserve"> (</w:t>
      </w:r>
      <w:r w:rsidRPr="0025250D">
        <w:t>OKR</w:t>
      </w:r>
      <w:r w:rsidRPr="0025250D">
        <w:rPr>
          <w:rFonts w:hint="cs"/>
          <w:rtl/>
        </w:rPr>
        <w:t xml:space="preserve"> ها) را توصیف می‌کند که یک شکل پایین‌به‌بالا و توانمند</w:t>
      </w:r>
      <w:r w:rsidR="009D17DA" w:rsidRPr="0025250D">
        <w:rPr>
          <w:rFonts w:hint="cs"/>
          <w:rtl/>
        </w:rPr>
        <w:t xml:space="preserve">ساز </w:t>
      </w:r>
      <w:r w:rsidRPr="0025250D">
        <w:rPr>
          <w:rFonts w:hint="cs"/>
          <w:rtl/>
        </w:rPr>
        <w:t xml:space="preserve">از مدیریت مردمی است که در آن کارمندان اهداف خود (تا حدی) و نتایج کلیدی را که در رسیدن به این اهداف از طریق آن‌ها مقایسه می‌شوند (به میزان بیش‌تری) تعیین می‌نمایند. سپس بجای این‌که استاندارد‌های عملکردی وجود داشته باشند که بیش‌تر به‌صورت </w:t>
      </w:r>
      <w:r w:rsidR="009D17DA" w:rsidRPr="0025250D">
        <w:rPr>
          <w:rFonts w:hint="cs"/>
          <w:rtl/>
        </w:rPr>
        <w:t>بالا‌به‌پایین</w:t>
      </w:r>
      <w:r w:rsidRPr="0025250D">
        <w:rPr>
          <w:rFonts w:hint="cs"/>
          <w:rtl/>
        </w:rPr>
        <w:t xml:space="preserve"> تعیین شده باشند، شکلی که در سازمان‌های سنتی دیده می‌شود، این </w:t>
      </w:r>
      <w:r w:rsidRPr="0025250D">
        <w:t>OKR</w:t>
      </w:r>
      <w:r w:rsidRPr="0025250D">
        <w:rPr>
          <w:rFonts w:hint="cs"/>
          <w:rtl/>
        </w:rPr>
        <w:t>‌ها به مدیران ارائه می‌شوند.</w:t>
      </w:r>
    </w:p>
    <w:p w14:paraId="745F0A22" w14:textId="26229C69" w:rsidR="0020732A" w:rsidRPr="0025250D" w:rsidRDefault="0020732A" w:rsidP="0020732A">
      <w:pPr>
        <w:rPr>
          <w:rtl/>
        </w:rPr>
      </w:pPr>
      <w:r w:rsidRPr="0025250D">
        <w:rPr>
          <w:rFonts w:hint="cs"/>
          <w:rtl/>
        </w:rPr>
        <w:t xml:space="preserve">در یک مثال موضوعی، تلاش‌های اخیر توسط چشم‌انداز سازان برای </w:t>
      </w:r>
      <w:r w:rsidR="00923DDB" w:rsidRPr="0025250D">
        <w:rPr>
          <w:rFonts w:hint="cs"/>
          <w:rtl/>
        </w:rPr>
        <w:t>به‌کارگیری</w:t>
      </w:r>
      <w:r w:rsidRPr="0025250D">
        <w:rPr>
          <w:rFonts w:hint="cs"/>
          <w:rtl/>
        </w:rPr>
        <w:t xml:space="preserve"> فناوری بلاکچین </w:t>
      </w:r>
      <w:r w:rsidR="00EC25F0" w:rsidRPr="0025250D">
        <w:rPr>
          <w:rFonts w:hint="cs"/>
          <w:rtl/>
        </w:rPr>
        <w:t>غیرمتمرکز</w:t>
      </w:r>
      <w:r w:rsidRPr="0025250D">
        <w:rPr>
          <w:vertAlign w:val="superscript"/>
          <w:rtl/>
        </w:rPr>
        <w:footnoteReference w:id="440"/>
      </w:r>
      <w:r w:rsidRPr="0025250D">
        <w:rPr>
          <w:rFonts w:hint="cs"/>
          <w:rtl/>
        </w:rPr>
        <w:t xml:space="preserve"> برای هر چیز آنلاین، مثال خوبی از افراط و تفریط در تفکر پایین‌به‌بالا است. بشریت قطعا به </w:t>
      </w:r>
      <w:r w:rsidR="00EC25F0" w:rsidRPr="0025250D">
        <w:rPr>
          <w:rFonts w:hint="cs"/>
          <w:rtl/>
        </w:rPr>
        <w:t>غیرمتمرکزسازی</w:t>
      </w:r>
      <w:r w:rsidRPr="0025250D">
        <w:rPr>
          <w:rFonts w:hint="cs"/>
          <w:rtl/>
        </w:rPr>
        <w:t xml:space="preserve"> بسیار بیش‌تری در سامانه‌های حیاتی نیاز دارد تا انتفاع از سامانه‌های مرکزگرا را در حکومت‌های زرسالار ما محدود کند</w:t>
      </w:r>
      <w:r w:rsidR="008D6F97" w:rsidRPr="0025250D">
        <w:rPr>
          <w:rtl/>
        </w:rPr>
        <w:t xml:space="preserve">؛ </w:t>
      </w:r>
      <w:r w:rsidRPr="0025250D">
        <w:rPr>
          <w:rFonts w:hint="cs"/>
          <w:rtl/>
        </w:rPr>
        <w:t xml:space="preserve">اما اغراق بیش از حد در مورد آنچه در حقیقت کار خواهد کرد به قیمت کارایی، قدرت و مقیاس سامانه‌های مرکز گرای حیاتی (5 درصد) ساده است. </w:t>
      </w:r>
      <w:r w:rsidR="007118DE" w:rsidRPr="0025250D">
        <w:rPr>
          <w:rFonts w:hint="cs"/>
          <w:rtl/>
        </w:rPr>
        <w:t>همان‌طور</w:t>
      </w:r>
      <w:r w:rsidRPr="0025250D">
        <w:rPr>
          <w:rFonts w:hint="cs"/>
          <w:rtl/>
        </w:rPr>
        <w:t xml:space="preserve"> که </w:t>
      </w:r>
      <w:r w:rsidRPr="0025250D">
        <w:rPr>
          <w:rtl/>
        </w:rPr>
        <w:t>کا</w:t>
      </w:r>
      <w:r w:rsidRPr="0025250D">
        <w:rPr>
          <w:rFonts w:hint="cs"/>
          <w:rtl/>
        </w:rPr>
        <w:t>ی</w:t>
      </w:r>
      <w:r w:rsidRPr="0025250D">
        <w:rPr>
          <w:rtl/>
        </w:rPr>
        <w:t xml:space="preserve"> است</w:t>
      </w:r>
      <w:r w:rsidRPr="0025250D">
        <w:rPr>
          <w:rFonts w:hint="cs"/>
          <w:rtl/>
        </w:rPr>
        <w:t>ی</w:t>
      </w:r>
      <w:r w:rsidRPr="0025250D">
        <w:rPr>
          <w:rFonts w:hint="eastAsia"/>
          <w:rtl/>
        </w:rPr>
        <w:t>نچکامب</w:t>
      </w:r>
      <w:r w:rsidRPr="0025250D">
        <w:rPr>
          <w:vertAlign w:val="superscript"/>
          <w:rtl/>
        </w:rPr>
        <w:footnoteReference w:id="441"/>
      </w:r>
      <w:r w:rsidRPr="0025250D">
        <w:rPr>
          <w:rFonts w:hint="cs"/>
          <w:rtl/>
        </w:rPr>
        <w:t xml:space="preserve"> به شکل متقاعد کننده‌ای در سال 2017 بیان کرد، همه پلت فرم‌های بلاکچین، در طراحی خود، نسبت به فناوری اطلاعات مرکز گرای فناوری اطلاعات، دارای کارایی و اعتماد سازی بسیار</w:t>
      </w:r>
      <w:r w:rsidR="00BB406C" w:rsidRPr="0025250D">
        <w:rPr>
          <w:rFonts w:hint="cs"/>
          <w:rtl/>
        </w:rPr>
        <w:t xml:space="preserve"> کم‌تر</w:t>
      </w:r>
      <w:r w:rsidRPr="0025250D">
        <w:rPr>
          <w:rFonts w:hint="cs"/>
          <w:rtl/>
        </w:rPr>
        <w:t xml:space="preserve">ی هستند. </w:t>
      </w:r>
      <w:r w:rsidR="007118DE" w:rsidRPr="0025250D">
        <w:rPr>
          <w:rFonts w:hint="cs"/>
          <w:rtl/>
        </w:rPr>
        <w:t>همان‌طور</w:t>
      </w:r>
      <w:r w:rsidRPr="0025250D">
        <w:rPr>
          <w:rFonts w:hint="cs"/>
          <w:rtl/>
        </w:rPr>
        <w:t xml:space="preserve"> که جان در کتاب </w:t>
      </w:r>
      <w:r w:rsidR="00116646" w:rsidRPr="0025250D">
        <w:rPr>
          <w:rtl/>
        </w:rPr>
        <w:t>«</w:t>
      </w:r>
      <w:r w:rsidRPr="0025250D">
        <w:rPr>
          <w:rFonts w:hint="cs"/>
          <w:rtl/>
        </w:rPr>
        <w:t>حقیقت در مورد بیت کوین و بلاچین</w:t>
      </w:r>
      <w:r w:rsidRPr="0025250D">
        <w:rPr>
          <w:vertAlign w:val="superscript"/>
          <w:rtl/>
        </w:rPr>
        <w:footnoteReference w:id="442"/>
      </w:r>
      <w:r w:rsidR="00116646" w:rsidRPr="0025250D">
        <w:rPr>
          <w:rtl/>
        </w:rPr>
        <w:t>»</w:t>
      </w:r>
      <w:r w:rsidRPr="0025250D">
        <w:rPr>
          <w:rFonts w:hint="cs"/>
          <w:rtl/>
        </w:rPr>
        <w:t xml:space="preserve"> در سال 2017 بیان می‌کند، اکثریت این آزمایش‌های پایین‌به‌بالا شکست خواهند خورد و موفقیت‌های آن‌ها دامنه بسیار محدودتری از آنچه اکنون سرمایه‌گذاران تصور می‌کنند، خواه</w:t>
      </w:r>
      <w:r w:rsidR="009D17DA" w:rsidRPr="0025250D">
        <w:rPr>
          <w:rFonts w:hint="cs"/>
          <w:rtl/>
        </w:rPr>
        <w:t>ن</w:t>
      </w:r>
      <w:r w:rsidRPr="0025250D">
        <w:rPr>
          <w:rFonts w:hint="cs"/>
          <w:rtl/>
        </w:rPr>
        <w:t>د داشت.</w:t>
      </w:r>
    </w:p>
    <w:p w14:paraId="7D14AF29" w14:textId="440499FE" w:rsidR="0020732A" w:rsidRPr="0025250D" w:rsidRDefault="0020732A" w:rsidP="0020732A">
      <w:pPr>
        <w:rPr>
          <w:rtl/>
        </w:rPr>
      </w:pPr>
      <w:r w:rsidRPr="0025250D">
        <w:rPr>
          <w:rFonts w:hint="cs"/>
          <w:rtl/>
        </w:rPr>
        <w:t xml:space="preserve">در یک محیط با سرعت تغییرات اندک، قوانین، سیاست‌ها و فرایند‌های کنترلی </w:t>
      </w:r>
      <w:r w:rsidR="009D17DA" w:rsidRPr="0025250D">
        <w:rPr>
          <w:rFonts w:hint="cs"/>
          <w:rtl/>
        </w:rPr>
        <w:t>بالا‌به‌پایین</w:t>
      </w:r>
      <w:r w:rsidRPr="0025250D">
        <w:rPr>
          <w:rFonts w:hint="cs"/>
          <w:rtl/>
        </w:rPr>
        <w:t xml:space="preserve"> یک مدیر می‌توانند بیش از 5 درصد که </w:t>
      </w:r>
      <w:r w:rsidR="00AE5BE0" w:rsidRPr="0025250D">
        <w:rPr>
          <w:rFonts w:hint="cs"/>
          <w:rtl/>
        </w:rPr>
        <w:t>منطبق‌ترین</w:t>
      </w:r>
      <w:r w:rsidRPr="0025250D">
        <w:rPr>
          <w:rFonts w:hint="cs"/>
          <w:rtl/>
        </w:rPr>
        <w:t xml:space="preserve"> حالت در بیش‌تر مواقع است، باشند</w:t>
      </w:r>
      <w:r w:rsidR="008D6F97" w:rsidRPr="0025250D">
        <w:rPr>
          <w:rtl/>
        </w:rPr>
        <w:t xml:space="preserve">؛ </w:t>
      </w:r>
      <w:r w:rsidRPr="0025250D">
        <w:rPr>
          <w:rFonts w:hint="cs"/>
          <w:rtl/>
        </w:rPr>
        <w:t xml:space="preserve">اما آن‌طور که مربی مدیریت تغییر </w:t>
      </w:r>
      <w:r w:rsidRPr="0025250D">
        <w:rPr>
          <w:rtl/>
        </w:rPr>
        <w:t>جان کوتر</w:t>
      </w:r>
      <w:r w:rsidRPr="0025250D">
        <w:rPr>
          <w:vertAlign w:val="superscript"/>
          <w:rtl/>
        </w:rPr>
        <w:footnoteReference w:id="443"/>
      </w:r>
      <w:r w:rsidRPr="0025250D">
        <w:rPr>
          <w:rFonts w:hint="cs"/>
          <w:rtl/>
        </w:rPr>
        <w:t xml:space="preserve"> در </w:t>
      </w:r>
      <w:r w:rsidR="00116646" w:rsidRPr="0025250D">
        <w:rPr>
          <w:rtl/>
        </w:rPr>
        <w:t>«</w:t>
      </w:r>
      <w:r w:rsidRPr="0025250D">
        <w:rPr>
          <w:rFonts w:hint="cs"/>
          <w:rtl/>
        </w:rPr>
        <w:t>شتاب گرفتن</w:t>
      </w:r>
      <w:r w:rsidRPr="0025250D">
        <w:rPr>
          <w:vertAlign w:val="superscript"/>
          <w:rtl/>
        </w:rPr>
        <w:footnoteReference w:id="444"/>
      </w:r>
      <w:r w:rsidR="00116646" w:rsidRPr="0025250D">
        <w:rPr>
          <w:rtl/>
        </w:rPr>
        <w:t>»</w:t>
      </w:r>
      <w:r w:rsidRPr="0025250D">
        <w:rPr>
          <w:rtl/>
        </w:rPr>
        <w:t xml:space="preserve"> </w:t>
      </w:r>
      <w:r w:rsidRPr="0025250D">
        <w:rPr>
          <w:rFonts w:hint="cs"/>
          <w:rtl/>
        </w:rPr>
        <w:t xml:space="preserve">در سال </w:t>
      </w:r>
      <w:r w:rsidRPr="0025250D">
        <w:rPr>
          <w:rtl/>
        </w:rPr>
        <w:t>2014</w:t>
      </w:r>
      <w:r w:rsidRPr="0025250D">
        <w:rPr>
          <w:rFonts w:hint="cs"/>
          <w:rtl/>
        </w:rPr>
        <w:t xml:space="preserve"> بیان می‌کند، با بیش‌تر شدن سرعت تغییرات، هزینه عملکردی حفظ سلسله‌مراتب </w:t>
      </w:r>
      <w:r w:rsidR="009D17DA" w:rsidRPr="0025250D">
        <w:rPr>
          <w:rFonts w:hint="cs"/>
          <w:rtl/>
        </w:rPr>
        <w:t>بالا‌به‌پایین</w:t>
      </w:r>
      <w:r w:rsidRPr="0025250D">
        <w:rPr>
          <w:rFonts w:hint="cs"/>
          <w:rtl/>
        </w:rPr>
        <w:t xml:space="preserve"> همواره در حال افزایش است تا جایی که این سلسله‌مراتب بقای شرکت را تهدید می‌کند و به شبکه‌های پایین‌به‌بالای بیش‌تری، چه با اصلاح داخلی و چه در حالت رایج‌تر از طریق رقابت، بازار، ادغام، کاهش اندازه یا ورشکستگی شرکتی با سنگینی بیش از حد سطوح بالا، شکسته شود.</w:t>
      </w:r>
    </w:p>
    <w:p w14:paraId="1D90BEFE" w14:textId="06F93A48" w:rsidR="0020732A" w:rsidRPr="0025250D" w:rsidRDefault="007118DE" w:rsidP="0020732A">
      <w:pPr>
        <w:rPr>
          <w:rtl/>
        </w:rPr>
      </w:pPr>
      <w:r w:rsidRPr="0025250D">
        <w:rPr>
          <w:rFonts w:hint="cs"/>
          <w:rtl/>
        </w:rPr>
        <w:lastRenderedPageBreak/>
        <w:t>همان‌طور</w:t>
      </w:r>
      <w:r w:rsidR="0020732A" w:rsidRPr="0025250D">
        <w:rPr>
          <w:rFonts w:hint="cs"/>
          <w:rtl/>
        </w:rPr>
        <w:t xml:space="preserve"> که هرم </w:t>
      </w:r>
      <w:r w:rsidR="0020732A" w:rsidRPr="0025250D">
        <w:rPr>
          <w:rtl/>
        </w:rPr>
        <w:t>آینده‌نگاری</w:t>
      </w:r>
      <w:r w:rsidR="0020732A" w:rsidRPr="0025250D">
        <w:rPr>
          <w:rFonts w:hint="cs"/>
          <w:rtl/>
        </w:rPr>
        <w:t xml:space="preserve"> کلاسیک به ما می‌گوید، پیش‌انگاری 5 درصد روندها، فرایند‌ها و مقاصد یکی از دو اساس </w:t>
      </w:r>
      <w:r w:rsidR="0020732A" w:rsidRPr="0025250D">
        <w:rPr>
          <w:rtl/>
        </w:rPr>
        <w:t>آینده‌نگاری</w:t>
      </w:r>
      <w:r w:rsidR="0020732A" w:rsidRPr="0025250D">
        <w:rPr>
          <w:rFonts w:hint="cs"/>
          <w:rtl/>
        </w:rPr>
        <w:t xml:space="preserve"> خوب است. مورد دیگر بررسی 95 درصد موارد غیرقابل‌پیش‌بینی دیگر است تا آنچه واقعاً </w:t>
      </w:r>
      <w:r w:rsidR="00B453C0" w:rsidRPr="0025250D">
        <w:rPr>
          <w:rFonts w:hint="cs"/>
          <w:rtl/>
        </w:rPr>
        <w:t>امکان‌پذیر</w:t>
      </w:r>
      <w:r w:rsidR="0020732A" w:rsidRPr="0025250D">
        <w:rPr>
          <w:rFonts w:hint="cs"/>
          <w:rtl/>
        </w:rPr>
        <w:t xml:space="preserve"> است را ببینیم. هرچه بیش‌تر چنین تفکری را قبل از ایجاد راهبرد و اقدام داشته باشیم، می‌توانیم </w:t>
      </w:r>
      <w:r w:rsidR="009D17DA" w:rsidRPr="0025250D">
        <w:rPr>
          <w:rFonts w:hint="cs"/>
          <w:rtl/>
        </w:rPr>
        <w:t>انطباق بیشتری داشته</w:t>
      </w:r>
      <w:r w:rsidR="0020732A" w:rsidRPr="0025250D">
        <w:rPr>
          <w:rFonts w:hint="cs"/>
          <w:rtl/>
        </w:rPr>
        <w:t xml:space="preserve"> باشیم.</w:t>
      </w:r>
    </w:p>
    <w:p w14:paraId="54FBDCEE" w14:textId="7F5327E7" w:rsidR="0020732A" w:rsidRPr="0025250D" w:rsidRDefault="0020732A" w:rsidP="0020732A">
      <w:pPr>
        <w:rPr>
          <w:rtl/>
        </w:rPr>
      </w:pPr>
      <w:r w:rsidRPr="0025250D">
        <w:rPr>
          <w:rFonts w:hint="cs"/>
          <w:rtl/>
        </w:rPr>
        <w:t>دانستن قانون 95/5</w:t>
      </w:r>
      <w:r w:rsidR="008D6F97" w:rsidRPr="0025250D">
        <w:rPr>
          <w:rtl/>
        </w:rPr>
        <w:t xml:space="preserve"> </w:t>
      </w:r>
      <w:r w:rsidRPr="0025250D">
        <w:rPr>
          <w:rFonts w:hint="cs"/>
          <w:rtl/>
        </w:rPr>
        <w:t xml:space="preserve">و مشاهده عملکرد آن در سامانه‌های انسانی و دیگر سامانه‌ها، به‌شدت به </w:t>
      </w:r>
      <w:r w:rsidRPr="0025250D">
        <w:rPr>
          <w:rtl/>
        </w:rPr>
        <w:t>آینده‌نگاری</w:t>
      </w:r>
      <w:r w:rsidRPr="0025250D">
        <w:rPr>
          <w:rFonts w:hint="cs"/>
          <w:rtl/>
        </w:rPr>
        <w:t xml:space="preserve"> و راهبرد رهبران کمک خواهد کرد. در این کتاب، بیان خواهیم کرد که درک و استفاده از آینده‌های توسعه‌ای ما، یعنی زیرمجموعه کوچکی از فرایند‌های اجتماعی که </w:t>
      </w:r>
      <w:r w:rsidR="009D17DA" w:rsidRPr="0025250D">
        <w:rPr>
          <w:rFonts w:hint="cs"/>
          <w:rtl/>
        </w:rPr>
        <w:t>بالا‌به‌پایین</w:t>
      </w:r>
      <w:r w:rsidRPr="0025250D">
        <w:rPr>
          <w:rFonts w:hint="cs"/>
          <w:rtl/>
        </w:rPr>
        <w:t xml:space="preserve">، بهینه ساز، همگرا و به‌شدت محتمل هستند، به‌اندازه توجه به فرصت ‌ها، ریسک ‌ها، انتخاب‌ها و آینده‌های </w:t>
      </w:r>
      <w:r w:rsidR="00127288" w:rsidRPr="0025250D">
        <w:rPr>
          <w:rFonts w:hint="cs"/>
          <w:rtl/>
        </w:rPr>
        <w:t>بدیل</w:t>
      </w:r>
      <w:r w:rsidRPr="0025250D">
        <w:rPr>
          <w:rFonts w:hint="cs"/>
          <w:rtl/>
        </w:rPr>
        <w:t xml:space="preserve"> تکاملی اهمیت دارد. هم ممکن و هم محتمل، هم </w:t>
      </w:r>
      <w:r w:rsidR="00116646" w:rsidRPr="0025250D">
        <w:rPr>
          <w:rtl/>
        </w:rPr>
        <w:t>«</w:t>
      </w:r>
      <w:r w:rsidRPr="0025250D">
        <w:rPr>
          <w:rFonts w:hint="cs"/>
          <w:rtl/>
        </w:rPr>
        <w:t>تکاملی</w:t>
      </w:r>
      <w:r w:rsidR="00116646" w:rsidRPr="0025250D">
        <w:rPr>
          <w:rtl/>
        </w:rPr>
        <w:t>»</w:t>
      </w:r>
      <w:r w:rsidRPr="0025250D">
        <w:rPr>
          <w:rFonts w:hint="cs"/>
          <w:rtl/>
        </w:rPr>
        <w:t xml:space="preserve"> و هم </w:t>
      </w:r>
      <w:r w:rsidR="00116646" w:rsidRPr="0025250D">
        <w:rPr>
          <w:rtl/>
        </w:rPr>
        <w:t>«</w:t>
      </w:r>
      <w:r w:rsidRPr="0025250D">
        <w:rPr>
          <w:rFonts w:hint="cs"/>
          <w:rtl/>
        </w:rPr>
        <w:t>توسعه‌ای</w:t>
      </w:r>
      <w:r w:rsidR="00116646" w:rsidRPr="0025250D">
        <w:rPr>
          <w:rtl/>
        </w:rPr>
        <w:t>»</w:t>
      </w:r>
      <w:r w:rsidRPr="0025250D">
        <w:rPr>
          <w:rFonts w:hint="cs"/>
          <w:rtl/>
        </w:rPr>
        <w:t>، به نظر به یک اندازه برای زندگی، جامعه و جهان ما اهمیت دارند.</w:t>
      </w:r>
    </w:p>
    <w:p w14:paraId="5D577B50" w14:textId="77777777" w:rsidR="0020732A" w:rsidRPr="0025250D" w:rsidRDefault="0020732A" w:rsidP="0020732A">
      <w:pPr>
        <w:rPr>
          <w:rtl/>
        </w:rPr>
      </w:pPr>
    </w:p>
    <w:p w14:paraId="002298A3" w14:textId="77777777" w:rsidR="0020732A" w:rsidRPr="0025250D" w:rsidRDefault="0020732A" w:rsidP="0020732A">
      <w:pPr>
        <w:rPr>
          <w:rtl/>
        </w:rPr>
      </w:pPr>
    </w:p>
    <w:p w14:paraId="4A466042" w14:textId="77777777" w:rsidR="0020732A" w:rsidRPr="0025250D" w:rsidRDefault="0020732A" w:rsidP="0020732A">
      <w:pPr>
        <w:rPr>
          <w:rtl/>
        </w:rPr>
      </w:pPr>
    </w:p>
    <w:p w14:paraId="08E7A2EA" w14:textId="77777777" w:rsidR="0020732A" w:rsidRPr="0025250D" w:rsidRDefault="0020732A" w:rsidP="0020732A">
      <w:pPr>
        <w:rPr>
          <w:rtl/>
        </w:rPr>
      </w:pPr>
    </w:p>
    <w:p w14:paraId="3961B231" w14:textId="77777777" w:rsidR="0020732A" w:rsidRPr="0025250D" w:rsidRDefault="0020732A" w:rsidP="0020732A">
      <w:pPr>
        <w:rPr>
          <w:rtl/>
        </w:rPr>
      </w:pPr>
    </w:p>
    <w:p w14:paraId="73FDCAB4" w14:textId="77777777" w:rsidR="0020732A" w:rsidRPr="0025250D" w:rsidRDefault="0020732A" w:rsidP="0020732A">
      <w:pPr>
        <w:rPr>
          <w:rtl/>
        </w:rPr>
      </w:pPr>
    </w:p>
    <w:p w14:paraId="6A56517A" w14:textId="77777777" w:rsidR="0020732A" w:rsidRPr="0025250D" w:rsidRDefault="0020732A" w:rsidP="0020732A">
      <w:pPr>
        <w:rPr>
          <w:rtl/>
        </w:rPr>
      </w:pPr>
    </w:p>
    <w:p w14:paraId="0C80995A" w14:textId="77777777" w:rsidR="0020732A" w:rsidRPr="0025250D" w:rsidRDefault="0020732A" w:rsidP="0020732A">
      <w:pPr>
        <w:rPr>
          <w:rtl/>
        </w:rPr>
      </w:pPr>
    </w:p>
    <w:p w14:paraId="3C87D7FB" w14:textId="33E53830" w:rsidR="0020732A" w:rsidRPr="0025250D" w:rsidRDefault="004F67D4" w:rsidP="00165822">
      <w:pPr>
        <w:pStyle w:val="Heading2"/>
        <w:rPr>
          <w:rtl/>
        </w:rPr>
      </w:pPr>
      <w:bookmarkStart w:id="14" w:name="_Toc127831279"/>
      <w:r w:rsidRPr="0025250D">
        <w:rPr>
          <w:rFonts w:hint="cs"/>
          <w:rtl/>
        </w:rPr>
        <w:lastRenderedPageBreak/>
        <w:t xml:space="preserve">تفکر </w:t>
      </w:r>
      <w:r w:rsidR="0020732A" w:rsidRPr="0025250D">
        <w:rPr>
          <w:rFonts w:hint="cs"/>
          <w:rtl/>
        </w:rPr>
        <w:t>شهود</w:t>
      </w:r>
      <w:r w:rsidRPr="0025250D">
        <w:rPr>
          <w:rFonts w:hint="cs"/>
          <w:rtl/>
        </w:rPr>
        <w:t>ی</w:t>
      </w:r>
      <w:r w:rsidR="0020732A" w:rsidRPr="0025250D">
        <w:rPr>
          <w:rFonts w:hint="cs"/>
          <w:rtl/>
        </w:rPr>
        <w:t xml:space="preserve"> و سنجید</w:t>
      </w:r>
      <w:r w:rsidRPr="0025250D">
        <w:rPr>
          <w:rFonts w:hint="cs"/>
          <w:rtl/>
        </w:rPr>
        <w:t>ه</w:t>
      </w:r>
      <w:r w:rsidR="0020732A" w:rsidRPr="0025250D">
        <w:rPr>
          <w:vertAlign w:val="superscript"/>
          <w:rtl/>
        </w:rPr>
        <w:footnoteReference w:id="445"/>
      </w:r>
      <w:r w:rsidR="0020732A" w:rsidRPr="0025250D">
        <w:rPr>
          <w:rFonts w:hint="cs"/>
          <w:rtl/>
        </w:rPr>
        <w:t>:</w:t>
      </w:r>
      <w:r w:rsidR="00116646" w:rsidRPr="0025250D">
        <w:rPr>
          <w:rtl/>
        </w:rPr>
        <w:t xml:space="preserve"> </w:t>
      </w:r>
      <w:r w:rsidR="00116646" w:rsidRPr="0025250D">
        <w:rPr>
          <w:rFonts w:hint="eastAsia"/>
          <w:rtl/>
        </w:rPr>
        <w:t>دو</w:t>
      </w:r>
      <w:r w:rsidR="0020732A" w:rsidRPr="0025250D">
        <w:rPr>
          <w:rFonts w:hint="cs"/>
          <w:rtl/>
        </w:rPr>
        <w:t xml:space="preserve"> </w:t>
      </w:r>
      <w:r w:rsidR="00947B39" w:rsidRPr="0025250D">
        <w:rPr>
          <w:rFonts w:hint="cs"/>
          <w:rtl/>
        </w:rPr>
        <w:t>سامانه</w:t>
      </w:r>
      <w:r w:rsidR="0020732A" w:rsidRPr="0025250D">
        <w:rPr>
          <w:rFonts w:hint="cs"/>
          <w:rtl/>
        </w:rPr>
        <w:t xml:space="preserve"> فکری ما</w:t>
      </w:r>
      <w:bookmarkEnd w:id="14"/>
    </w:p>
    <w:p w14:paraId="42757A32" w14:textId="16CF5BB6" w:rsidR="0020732A" w:rsidRPr="0025250D" w:rsidRDefault="0020732A" w:rsidP="0020732A">
      <w:pPr>
        <w:rPr>
          <w:rtl/>
        </w:rPr>
      </w:pPr>
      <w:r w:rsidRPr="0025250D">
        <w:rPr>
          <w:rFonts w:hint="cs"/>
          <w:rtl/>
        </w:rPr>
        <w:t xml:space="preserve"> علم اعصاب </w:t>
      </w:r>
      <w:r w:rsidRPr="0025250D">
        <w:rPr>
          <w:rtl/>
        </w:rPr>
        <w:t>آینده‌نگاری</w:t>
      </w:r>
      <w:r w:rsidRPr="0025250D">
        <w:rPr>
          <w:rFonts w:hint="cs"/>
          <w:rtl/>
        </w:rPr>
        <w:t xml:space="preserve"> از زمان اختراع ابزارها و روش‌های جدید، مانند </w:t>
      </w:r>
      <w:r w:rsidRPr="0025250D">
        <w:t>fMRI</w:t>
      </w:r>
      <w:r w:rsidRPr="0025250D">
        <w:rPr>
          <w:rFonts w:hint="cs"/>
          <w:rtl/>
        </w:rPr>
        <w:t xml:space="preserve"> و اپتوژنتیک</w:t>
      </w:r>
      <w:r w:rsidRPr="0025250D">
        <w:rPr>
          <w:vertAlign w:val="superscript"/>
          <w:rtl/>
        </w:rPr>
        <w:footnoteReference w:id="446"/>
      </w:r>
      <w:r w:rsidRPr="0025250D">
        <w:rPr>
          <w:rFonts w:hint="cs"/>
          <w:rtl/>
        </w:rPr>
        <w:t xml:space="preserve"> در اواخر دهه‌های 1990 و 2000، به سرعت در حال پیشرفت بوده است. داستان چگونگی پدیدار شدن ذهن‌های هوشمند ما </w:t>
      </w:r>
      <w:r w:rsidRPr="0025250D">
        <w:rPr>
          <w:rFonts w:cs="Times New Roman" w:hint="cs"/>
          <w:rtl/>
        </w:rPr>
        <w:t>–</w:t>
      </w:r>
      <w:r w:rsidRPr="0025250D">
        <w:rPr>
          <w:rFonts w:hint="cs"/>
          <w:rtl/>
        </w:rPr>
        <w:t xml:space="preserve"> و این‌که چه زمانی و چگونه به‌خوبی کار می‌کنند یا شکست می‌خورند </w:t>
      </w:r>
      <w:r w:rsidRPr="0025250D">
        <w:rPr>
          <w:rFonts w:cs="Times New Roman" w:hint="cs"/>
          <w:rtl/>
        </w:rPr>
        <w:t>–</w:t>
      </w:r>
      <w:r w:rsidRPr="0025250D">
        <w:rPr>
          <w:rFonts w:hint="cs"/>
          <w:rtl/>
        </w:rPr>
        <w:t xml:space="preserve"> هر ساله روشن‌تر می‌شود. بیایید اکنون نگاهی کوتاه به برخی از این علوم داشته باشیم. در کنار استنتاج فعال</w:t>
      </w:r>
      <w:r w:rsidRPr="0025250D">
        <w:rPr>
          <w:vertAlign w:val="superscript"/>
          <w:rtl/>
        </w:rPr>
        <w:footnoteReference w:id="447"/>
      </w:r>
      <w:r w:rsidRPr="0025250D">
        <w:rPr>
          <w:rFonts w:hint="cs"/>
          <w:rtl/>
        </w:rPr>
        <w:t xml:space="preserve"> (مانند، هرم </w:t>
      </w:r>
      <w:r w:rsidRPr="0025250D">
        <w:rPr>
          <w:rtl/>
        </w:rPr>
        <w:t>آینده‌نگاری</w:t>
      </w:r>
      <w:r w:rsidRPr="0025250D">
        <w:rPr>
          <w:rFonts w:hint="cs"/>
          <w:rtl/>
        </w:rPr>
        <w:t xml:space="preserve"> کلاسیک)، یک مدل مبتنی بر مدارک</w:t>
      </w:r>
      <w:r w:rsidRPr="0025250D">
        <w:rPr>
          <w:vertAlign w:val="superscript"/>
          <w:rtl/>
        </w:rPr>
        <w:footnoteReference w:id="448"/>
      </w:r>
      <w:r w:rsidRPr="0025250D">
        <w:rPr>
          <w:rFonts w:hint="cs"/>
          <w:rtl/>
        </w:rPr>
        <w:t xml:space="preserve"> دیگر نیز در روانشناسی وجود دارد که ذهن ما را به‌عنوان دو </w:t>
      </w:r>
      <w:r w:rsidR="00947B39" w:rsidRPr="0025250D">
        <w:rPr>
          <w:rFonts w:hint="cs"/>
          <w:rtl/>
        </w:rPr>
        <w:t>سامانه</w:t>
      </w:r>
      <w:r w:rsidRPr="0025250D">
        <w:rPr>
          <w:rFonts w:hint="cs"/>
          <w:rtl/>
        </w:rPr>
        <w:t xml:space="preserve"> حسی و فکری مختلف توصیف می‌کند: نظریه فرایند دوگانه</w:t>
      </w:r>
      <w:r w:rsidRPr="0025250D">
        <w:rPr>
          <w:vertAlign w:val="superscript"/>
          <w:rtl/>
        </w:rPr>
        <w:footnoteReference w:id="449"/>
      </w:r>
      <w:r w:rsidRPr="0025250D">
        <w:rPr>
          <w:rFonts w:hint="cs"/>
          <w:rtl/>
        </w:rPr>
        <w:t xml:space="preserve">. این مدل ما را به سمت هرم </w:t>
      </w:r>
      <w:r w:rsidRPr="0025250D">
        <w:rPr>
          <w:rtl/>
        </w:rPr>
        <w:t>آینده‌نگاری</w:t>
      </w:r>
      <w:r w:rsidRPr="0025250D">
        <w:rPr>
          <w:rFonts w:hint="cs"/>
          <w:rtl/>
        </w:rPr>
        <w:t xml:space="preserve"> مدرن هدایت خواهد کرد. این یک ساده سازی مفید از یک قانون توانی دیگر است که به‌طور مشخص در مغز انسان اهمیت دارد. نظریه فرایند دوگانه به ما می‌گوید که ذهن‌های ما پیش‌انگاری کرده و تصمیماتی در مورد آینده به دو روش اساسی می‌گیرند. روش اول بسیا</w:t>
      </w:r>
      <w:r w:rsidR="009D17DA" w:rsidRPr="0025250D">
        <w:rPr>
          <w:rFonts w:hint="cs"/>
          <w:rtl/>
        </w:rPr>
        <w:t>ر</w:t>
      </w:r>
      <w:r w:rsidRPr="0025250D">
        <w:rPr>
          <w:rFonts w:hint="cs"/>
          <w:rtl/>
        </w:rPr>
        <w:t xml:space="preserve"> سریع</w:t>
      </w:r>
      <w:r w:rsidRPr="0025250D">
        <w:rPr>
          <w:rFonts w:cs="Times New Roman" w:hint="cs"/>
          <w:rtl/>
        </w:rPr>
        <w:t>–</w:t>
      </w:r>
      <w:r w:rsidRPr="0025250D">
        <w:rPr>
          <w:rFonts w:hint="cs"/>
          <w:rtl/>
        </w:rPr>
        <w:t xml:space="preserve"> هیجانی‌تر و شهودی‌تر نسبت به منطق </w:t>
      </w:r>
      <w:r w:rsidRPr="0025250D">
        <w:rPr>
          <w:rFonts w:cs="Times New Roman" w:hint="cs"/>
          <w:rtl/>
        </w:rPr>
        <w:t>–</w:t>
      </w:r>
      <w:r w:rsidRPr="0025250D">
        <w:rPr>
          <w:rFonts w:hint="cs"/>
          <w:rtl/>
        </w:rPr>
        <w:t xml:space="preserve"> و تا حد زیادی ناخودآگاه است. روش دوم بسیار آهسته</w:t>
      </w:r>
      <w:r w:rsidRPr="0025250D">
        <w:rPr>
          <w:rFonts w:cs="Times New Roman" w:hint="cs"/>
          <w:rtl/>
        </w:rPr>
        <w:t>–</w:t>
      </w:r>
      <w:r w:rsidRPr="0025250D">
        <w:rPr>
          <w:rFonts w:hint="cs"/>
          <w:rtl/>
        </w:rPr>
        <w:t xml:space="preserve"> سنجیده و منطق محور‌تر نسبت به هیجانی </w:t>
      </w:r>
      <w:r w:rsidRPr="0025250D">
        <w:rPr>
          <w:rFonts w:cs="Times New Roman" w:hint="cs"/>
          <w:rtl/>
        </w:rPr>
        <w:t>–</w:t>
      </w:r>
      <w:r w:rsidRPr="0025250D">
        <w:rPr>
          <w:rFonts w:hint="cs"/>
          <w:rtl/>
        </w:rPr>
        <w:t xml:space="preserve"> و به شکل قابل‌توجهی خود آگاه‌تر است.</w:t>
      </w:r>
    </w:p>
    <w:p w14:paraId="2FDDAAFA" w14:textId="0D9CDE1F" w:rsidR="0020732A" w:rsidRPr="0025250D" w:rsidRDefault="0020732A" w:rsidP="0020732A">
      <w:pPr>
        <w:rPr>
          <w:rtl/>
        </w:rPr>
      </w:pPr>
      <w:r w:rsidRPr="0025250D">
        <w:rPr>
          <w:rFonts w:hint="cs"/>
          <w:rtl/>
        </w:rPr>
        <w:t xml:space="preserve">برنده جایزه نوبل و اقتصاد دان رفتاری </w:t>
      </w:r>
      <w:r w:rsidRPr="0025250D">
        <w:rPr>
          <w:rtl/>
        </w:rPr>
        <w:t>دان</w:t>
      </w:r>
      <w:r w:rsidRPr="0025250D">
        <w:rPr>
          <w:rFonts w:hint="cs"/>
          <w:rtl/>
        </w:rPr>
        <w:t>ی</w:t>
      </w:r>
      <w:r w:rsidRPr="0025250D">
        <w:rPr>
          <w:rFonts w:hint="eastAsia"/>
          <w:rtl/>
        </w:rPr>
        <w:t>ل</w:t>
      </w:r>
      <w:r w:rsidRPr="0025250D">
        <w:rPr>
          <w:rtl/>
        </w:rPr>
        <w:t xml:space="preserve"> کانمن</w:t>
      </w:r>
      <w:r w:rsidRPr="0025250D">
        <w:rPr>
          <w:vertAlign w:val="superscript"/>
          <w:rtl/>
        </w:rPr>
        <w:footnoteReference w:id="450"/>
      </w:r>
      <w:r w:rsidRPr="0025250D">
        <w:rPr>
          <w:rFonts w:hint="cs"/>
          <w:rtl/>
        </w:rPr>
        <w:t xml:space="preserve"> در کتاب پر فروش خود، به نام تفکر سریع و آهسته</w:t>
      </w:r>
      <w:r w:rsidRPr="0025250D">
        <w:rPr>
          <w:vertAlign w:val="superscript"/>
          <w:rtl/>
        </w:rPr>
        <w:footnoteReference w:id="451"/>
      </w:r>
      <w:r w:rsidRPr="0025250D">
        <w:rPr>
          <w:rFonts w:hint="cs"/>
          <w:rtl/>
        </w:rPr>
        <w:t xml:space="preserve"> درسال 2012 به این دو </w:t>
      </w:r>
      <w:r w:rsidR="00947B39" w:rsidRPr="0025250D">
        <w:rPr>
          <w:rFonts w:hint="cs"/>
          <w:rtl/>
        </w:rPr>
        <w:t>سامانه</w:t>
      </w:r>
      <w:r w:rsidRPr="0025250D">
        <w:rPr>
          <w:rFonts w:hint="cs"/>
          <w:rtl/>
        </w:rPr>
        <w:t xml:space="preserve"> تصمیم‌گیری اشاره کرد. به این دلیل که از هیجان و منطق به درجات مختلفی در هر دو </w:t>
      </w:r>
      <w:r w:rsidR="008D6F97" w:rsidRPr="0025250D">
        <w:rPr>
          <w:rFonts w:hint="cs"/>
          <w:rtl/>
        </w:rPr>
        <w:t>سامانه</w:t>
      </w:r>
      <w:r w:rsidRPr="0025250D">
        <w:rPr>
          <w:rFonts w:hint="cs"/>
          <w:rtl/>
        </w:rPr>
        <w:t xml:space="preserve"> استفاده می‌کنیم و هنوز مدلی</w:t>
      </w:r>
      <w:r w:rsidR="009D17DA" w:rsidRPr="0025250D">
        <w:rPr>
          <w:rFonts w:hint="cs"/>
          <w:rtl/>
        </w:rPr>
        <w:t xml:space="preserve"> با پذیرش گسترده</w:t>
      </w:r>
      <w:r w:rsidRPr="0025250D">
        <w:rPr>
          <w:rFonts w:hint="cs"/>
          <w:rtl/>
        </w:rPr>
        <w:t xml:space="preserve"> در مورد این‌که آگاهی در مقابل فرایند‌های ناخودآگاه چیست ارائه نشده است، </w:t>
      </w:r>
      <w:r w:rsidRPr="0025250D">
        <w:rPr>
          <w:rtl/>
        </w:rPr>
        <w:t>کانمن</w:t>
      </w:r>
      <w:r w:rsidRPr="0025250D">
        <w:rPr>
          <w:rFonts w:hint="cs"/>
          <w:rtl/>
        </w:rPr>
        <w:t xml:space="preserve"> آن‌ها را </w:t>
      </w:r>
      <w:r w:rsidR="008D6F97" w:rsidRPr="0025250D">
        <w:rPr>
          <w:rFonts w:hint="cs"/>
          <w:rtl/>
        </w:rPr>
        <w:t>سامانه</w:t>
      </w:r>
      <w:r w:rsidRPr="0025250D">
        <w:rPr>
          <w:rFonts w:hint="cs"/>
          <w:rtl/>
        </w:rPr>
        <w:t xml:space="preserve"> 1 و </w:t>
      </w:r>
      <w:r w:rsidR="008D6F97" w:rsidRPr="0025250D">
        <w:rPr>
          <w:rFonts w:hint="cs"/>
          <w:rtl/>
        </w:rPr>
        <w:t>سامانه</w:t>
      </w:r>
      <w:r w:rsidRPr="0025250D">
        <w:rPr>
          <w:rFonts w:hint="cs"/>
          <w:rtl/>
        </w:rPr>
        <w:t xml:space="preserve"> 2 می‌نامد. در حقیقت، این دو، دو انتهای یک پیوستار هستند. ازنظر تجربی، تفاوت در سرعت این دو </w:t>
      </w:r>
      <w:r w:rsidR="008D6F97" w:rsidRPr="0025250D">
        <w:rPr>
          <w:rFonts w:hint="cs"/>
          <w:rtl/>
        </w:rPr>
        <w:t>سامانه</w:t>
      </w:r>
      <w:r w:rsidRPr="0025250D">
        <w:rPr>
          <w:rFonts w:hint="cs"/>
          <w:rtl/>
        </w:rPr>
        <w:t xml:space="preserve"> ساده‌ترین راه برای جداسازی آن‌هاست.</w:t>
      </w:r>
    </w:p>
    <w:p w14:paraId="65F5185A" w14:textId="51B0F688" w:rsidR="0020732A" w:rsidRPr="0025250D" w:rsidRDefault="008D6F97" w:rsidP="00165822">
      <w:pPr>
        <w:pStyle w:val="Heading3"/>
        <w:rPr>
          <w:rtl/>
        </w:rPr>
      </w:pPr>
      <w:r w:rsidRPr="0025250D">
        <w:rPr>
          <w:rFonts w:hint="cs"/>
          <w:rtl/>
        </w:rPr>
        <w:t>سامانه</w:t>
      </w:r>
      <w:r w:rsidR="0020732A" w:rsidRPr="0025250D">
        <w:rPr>
          <w:rFonts w:hint="cs"/>
          <w:rtl/>
        </w:rPr>
        <w:t xml:space="preserve"> 1 </w:t>
      </w:r>
      <w:r w:rsidR="0020732A" w:rsidRPr="0025250D">
        <w:rPr>
          <w:rFonts w:ascii="Times New Roman" w:hAnsi="Times New Roman" w:cs="Times New Roman" w:hint="cs"/>
          <w:rtl/>
        </w:rPr>
        <w:t>–</w:t>
      </w:r>
      <w:r w:rsidR="0020732A" w:rsidRPr="0025250D">
        <w:rPr>
          <w:rFonts w:hint="cs"/>
          <w:rtl/>
        </w:rPr>
        <w:t xml:space="preserve"> تفکر </w:t>
      </w:r>
      <w:r w:rsidR="00116646" w:rsidRPr="0025250D">
        <w:rPr>
          <w:rFonts w:hint="eastAsia"/>
          <w:rtl/>
        </w:rPr>
        <w:t>«</w:t>
      </w:r>
      <w:r w:rsidR="0020732A" w:rsidRPr="0025250D">
        <w:rPr>
          <w:rFonts w:hint="cs"/>
          <w:rtl/>
        </w:rPr>
        <w:t>شهودی</w:t>
      </w:r>
      <w:r w:rsidR="00116646" w:rsidRPr="0025250D">
        <w:rPr>
          <w:rFonts w:hint="eastAsia"/>
          <w:rtl/>
        </w:rPr>
        <w:t>»</w:t>
      </w:r>
      <w:r w:rsidR="0020732A" w:rsidRPr="0025250D">
        <w:rPr>
          <w:rFonts w:hint="cs"/>
          <w:rtl/>
        </w:rPr>
        <w:t>، سریع، ناخودآگاه، هیجانی</w:t>
      </w:r>
    </w:p>
    <w:p w14:paraId="06B4253E" w14:textId="2822ECFA" w:rsidR="0020732A" w:rsidRPr="0025250D" w:rsidRDefault="0020732A" w:rsidP="0020732A">
      <w:pPr>
        <w:rPr>
          <w:rtl/>
        </w:rPr>
      </w:pPr>
      <w:r w:rsidRPr="0025250D">
        <w:rPr>
          <w:rFonts w:hint="cs"/>
          <w:rtl/>
        </w:rPr>
        <w:t xml:space="preserve">شهود اصطلاحی است که به‌خوبی تعیین کننده </w:t>
      </w:r>
      <w:r w:rsidR="008D6F97" w:rsidRPr="0025250D">
        <w:rPr>
          <w:rFonts w:hint="cs"/>
          <w:rtl/>
        </w:rPr>
        <w:t>سامانه</w:t>
      </w:r>
      <w:r w:rsidRPr="0025250D">
        <w:rPr>
          <w:rFonts w:hint="cs"/>
          <w:rtl/>
        </w:rPr>
        <w:t xml:space="preserve"> 1 است. این </w:t>
      </w:r>
      <w:r w:rsidR="008D6F97" w:rsidRPr="0025250D">
        <w:rPr>
          <w:rFonts w:hint="cs"/>
          <w:rtl/>
        </w:rPr>
        <w:t>سامانه</w:t>
      </w:r>
      <w:r w:rsidRPr="0025250D">
        <w:rPr>
          <w:rFonts w:hint="cs"/>
          <w:rtl/>
        </w:rPr>
        <w:t xml:space="preserve"> مطالب آموخته شده پیشین و تا حد زیادی ناخودآگاه و در درجه اول فرایند‌های تفکر هیجانی و در درجه دوم عقلانی را در بر می‌گیرد. یک جزء اصلی شهود غریزه است که یادگیری ژنتیکی در یک چرخه زندگی قبلی است که از طریق انتخاب طبیعی به ارث رسیده است و در ساختار عصبی ما به‌صورت توسعه‌ای کدگذاری شده است (</w:t>
      </w:r>
      <w:r w:rsidR="009004D1" w:rsidRPr="0025250D">
        <w:rPr>
          <w:rtl/>
        </w:rPr>
        <w:t>«</w:t>
      </w:r>
      <w:r w:rsidRPr="0025250D">
        <w:rPr>
          <w:rFonts w:hint="cs"/>
          <w:rtl/>
        </w:rPr>
        <w:t>طبیعت</w:t>
      </w:r>
      <w:r w:rsidR="009004D1" w:rsidRPr="0025250D">
        <w:rPr>
          <w:rtl/>
        </w:rPr>
        <w:t>»</w:t>
      </w:r>
      <w:r w:rsidRPr="0025250D">
        <w:rPr>
          <w:rFonts w:hint="cs"/>
          <w:rtl/>
        </w:rPr>
        <w:t>). یک جزء دیگر تجارب یاد</w:t>
      </w:r>
      <w:r w:rsidR="009D17DA" w:rsidRPr="0025250D">
        <w:rPr>
          <w:rFonts w:hint="cs"/>
          <w:rtl/>
        </w:rPr>
        <w:t xml:space="preserve"> </w:t>
      </w:r>
      <w:r w:rsidRPr="0025250D">
        <w:rPr>
          <w:rFonts w:hint="cs"/>
          <w:rtl/>
        </w:rPr>
        <w:t>گرفته شده پیشین ما در زندگی است (</w:t>
      </w:r>
      <w:r w:rsidR="009004D1" w:rsidRPr="0025250D">
        <w:rPr>
          <w:rtl/>
        </w:rPr>
        <w:t>«</w:t>
      </w:r>
      <w:r w:rsidRPr="0025250D">
        <w:rPr>
          <w:rFonts w:hint="cs"/>
          <w:rtl/>
        </w:rPr>
        <w:t>پرورش</w:t>
      </w:r>
      <w:r w:rsidR="009004D1" w:rsidRPr="0025250D">
        <w:rPr>
          <w:rtl/>
        </w:rPr>
        <w:t>»</w:t>
      </w:r>
      <w:r w:rsidRPr="0025250D">
        <w:rPr>
          <w:rFonts w:hint="cs"/>
          <w:rtl/>
        </w:rPr>
        <w:t>). بسیاری از قدرتمندترین موارد از این تجارب در دوران جوانی و نوجوانی ما و در ابتدای توسعه رخ می‌دهند و به سرعت در ناخود آگاه ما قرار می‌گیرند.</w:t>
      </w:r>
    </w:p>
    <w:p w14:paraId="48056841" w14:textId="2F969F49" w:rsidR="0020732A" w:rsidRPr="0025250D" w:rsidRDefault="0020732A" w:rsidP="0020732A">
      <w:pPr>
        <w:rPr>
          <w:rtl/>
        </w:rPr>
      </w:pPr>
      <w:r w:rsidRPr="0025250D">
        <w:rPr>
          <w:rFonts w:hint="cs"/>
          <w:rtl/>
        </w:rPr>
        <w:t xml:space="preserve">همه حیوانات حداقل هیجانات اساسی درد و لذت را دارند که در تضاد با </w:t>
      </w:r>
      <w:r w:rsidR="009D17DA" w:rsidRPr="0025250D">
        <w:rPr>
          <w:rFonts w:hint="cs"/>
          <w:rtl/>
        </w:rPr>
        <w:t>یکدیگر</w:t>
      </w:r>
      <w:r w:rsidRPr="0025250D">
        <w:rPr>
          <w:rFonts w:hint="cs"/>
          <w:rtl/>
        </w:rPr>
        <w:t xml:space="preserve"> کار می‌کنند. در حیوانات سطح بالا تر، هیجانات به مدل‌های ما از درد یا پاداش در آینده پیوند خورده اند و معمولاً به‌صورت ناخودآگاه، زیر سطح هوشیاری خودآگاه ما، برانگیخته می‌شوند. هرچه مغز‌های ما پیچیده‌تر می‌شوند، ترکیبات لذت و درد شهودی و هیجانی ما وابستگی بیش‌تری به تفکر و بافت پیدا می‌کنند. این دو پیشران تفکر رو به جلو</w:t>
      </w:r>
      <w:r w:rsidRPr="0025250D">
        <w:rPr>
          <w:rFonts w:cs="Times New Roman" w:hint="cs"/>
          <w:rtl/>
        </w:rPr>
        <w:t>–</w:t>
      </w:r>
      <w:r w:rsidRPr="0025250D">
        <w:rPr>
          <w:rFonts w:hint="cs"/>
          <w:rtl/>
        </w:rPr>
        <w:t xml:space="preserve"> ابتدا به شکل شهودی و ناخودآگاه و سپس به شکل ارادی و آگاهانه </w:t>
      </w:r>
      <w:r w:rsidRPr="0025250D">
        <w:rPr>
          <w:rFonts w:cs="Times New Roman" w:hint="cs"/>
          <w:rtl/>
        </w:rPr>
        <w:t>–</w:t>
      </w:r>
      <w:r w:rsidRPr="0025250D">
        <w:rPr>
          <w:rFonts w:hint="cs"/>
          <w:rtl/>
        </w:rPr>
        <w:t xml:space="preserve"> در همه حیوانات متعالی‌تر یافت می‌شوند.</w:t>
      </w:r>
    </w:p>
    <w:p w14:paraId="127D7050" w14:textId="522A2E9A" w:rsidR="0020732A" w:rsidRPr="0025250D" w:rsidRDefault="0020732A" w:rsidP="0020732A">
      <w:pPr>
        <w:rPr>
          <w:rtl/>
        </w:rPr>
      </w:pPr>
      <w:r w:rsidRPr="0025250D">
        <w:rPr>
          <w:rFonts w:hint="cs"/>
          <w:rtl/>
        </w:rPr>
        <w:t xml:space="preserve">می دانیم که عبارت </w:t>
      </w:r>
      <w:r w:rsidR="009004D1" w:rsidRPr="0025250D">
        <w:rPr>
          <w:rtl/>
        </w:rPr>
        <w:t>«</w:t>
      </w:r>
      <w:r w:rsidRPr="0025250D">
        <w:rPr>
          <w:rFonts w:hint="cs"/>
          <w:rtl/>
        </w:rPr>
        <w:t>حیوان متعالی</w:t>
      </w:r>
      <w:r w:rsidRPr="0025250D">
        <w:rPr>
          <w:vertAlign w:val="superscript"/>
          <w:rtl/>
        </w:rPr>
        <w:footnoteReference w:id="452"/>
      </w:r>
      <w:r w:rsidR="009004D1" w:rsidRPr="0025250D">
        <w:rPr>
          <w:rtl/>
        </w:rPr>
        <w:t>»</w:t>
      </w:r>
      <w:r w:rsidRPr="0025250D">
        <w:rPr>
          <w:rFonts w:hint="cs"/>
          <w:rtl/>
        </w:rPr>
        <w:t xml:space="preserve"> برای برخی خوانندگان توهین آمیز به نظر می‌رسد. تلاش خواهیم کرد تا نشان دهیم که در حقیقت این یک مفهوم مبتنی بر مدارک است. در حقیقت کمانی از پیچیدگی توسعه‌ای</w:t>
      </w:r>
      <w:r w:rsidRPr="0025250D">
        <w:rPr>
          <w:vertAlign w:val="superscript"/>
          <w:rtl/>
        </w:rPr>
        <w:footnoteReference w:id="453"/>
      </w:r>
      <w:r w:rsidRPr="0025250D">
        <w:rPr>
          <w:rFonts w:hint="cs"/>
          <w:rtl/>
        </w:rPr>
        <w:t xml:space="preserve"> را می‌توان در تاریخ توسعه تکاملی یافت. ظرفیت </w:t>
      </w:r>
      <w:r w:rsidRPr="0025250D">
        <w:rPr>
          <w:rtl/>
        </w:rPr>
        <w:t>آینده‌نگاری</w:t>
      </w:r>
      <w:r w:rsidRPr="0025250D">
        <w:rPr>
          <w:rFonts w:hint="cs"/>
          <w:rtl/>
        </w:rPr>
        <w:t xml:space="preserve">، عمومی بودن هوش، ظرفیت استفاده از فناوری و میزان و پایداری خودآگاهی گونه‌های پیشتاز تنها برخی از راه‌های واضح تری هستند که اکنون، حتی به‌طور تقریبی، می‌توانیم به کمک آن‌ها سطوح بالاتر ظهور پیچیدگی در انسان‌ها و تعداد معدودی از گونه‌های دیگر و به ویژه در شبکه‌های </w:t>
      </w:r>
      <w:r w:rsidR="00AE5BE0" w:rsidRPr="0025250D">
        <w:rPr>
          <w:rFonts w:hint="cs"/>
          <w:rtl/>
        </w:rPr>
        <w:t>انطباقی</w:t>
      </w:r>
      <w:r w:rsidRPr="0025250D">
        <w:rPr>
          <w:rFonts w:hint="cs"/>
          <w:rtl/>
        </w:rPr>
        <w:t xml:space="preserve"> آن‌ها را شناسایی کنیم.</w:t>
      </w:r>
    </w:p>
    <w:p w14:paraId="714A79B6" w14:textId="646109CC" w:rsidR="0020732A" w:rsidRPr="0025250D" w:rsidRDefault="0020732A" w:rsidP="0020732A">
      <w:pPr>
        <w:rPr>
          <w:rtl/>
        </w:rPr>
      </w:pPr>
      <w:r w:rsidRPr="0025250D">
        <w:rPr>
          <w:rFonts w:hint="cs"/>
          <w:rtl/>
        </w:rPr>
        <w:lastRenderedPageBreak/>
        <w:t xml:space="preserve">کتاب‌هایی مانند </w:t>
      </w:r>
      <w:r w:rsidR="009004D1" w:rsidRPr="0025250D">
        <w:rPr>
          <w:rtl/>
        </w:rPr>
        <w:t>«</w:t>
      </w:r>
      <w:r w:rsidRPr="0025250D">
        <w:rPr>
          <w:rFonts w:hint="cs"/>
          <w:rtl/>
        </w:rPr>
        <w:t>توهم کاربر</w:t>
      </w:r>
      <w:r w:rsidRPr="0025250D">
        <w:rPr>
          <w:vertAlign w:val="superscript"/>
          <w:rtl/>
        </w:rPr>
        <w:footnoteReference w:id="454"/>
      </w:r>
      <w:r w:rsidR="009004D1" w:rsidRPr="0025250D">
        <w:rPr>
          <w:rtl/>
        </w:rPr>
        <w:t>»</w:t>
      </w:r>
      <w:r w:rsidRPr="0025250D">
        <w:rPr>
          <w:rFonts w:hint="cs"/>
          <w:rtl/>
        </w:rPr>
        <w:t xml:space="preserve"> اثر </w:t>
      </w:r>
      <w:r w:rsidRPr="0025250D">
        <w:rPr>
          <w:rtl/>
        </w:rPr>
        <w:t>تور نورترندر</w:t>
      </w:r>
      <w:r w:rsidRPr="0025250D">
        <w:rPr>
          <w:vertAlign w:val="superscript"/>
          <w:rtl/>
        </w:rPr>
        <w:footnoteReference w:id="455"/>
      </w:r>
      <w:r w:rsidRPr="0025250D">
        <w:rPr>
          <w:rFonts w:hint="cs"/>
          <w:rtl/>
        </w:rPr>
        <w:t xml:space="preserve"> در سال 1999 و </w:t>
      </w:r>
      <w:r w:rsidR="009004D1" w:rsidRPr="0025250D">
        <w:rPr>
          <w:rtl/>
        </w:rPr>
        <w:t>«</w:t>
      </w:r>
      <w:r w:rsidRPr="0025250D">
        <w:rPr>
          <w:rFonts w:hint="cs"/>
          <w:rtl/>
        </w:rPr>
        <w:t>نیمه</w:t>
      </w:r>
      <w:r w:rsidRPr="0025250D">
        <w:rPr>
          <w:rtl/>
        </w:rPr>
        <w:t xml:space="preserve"> </w:t>
      </w:r>
      <w:r w:rsidRPr="0025250D">
        <w:rPr>
          <w:rFonts w:hint="cs"/>
          <w:rtl/>
        </w:rPr>
        <w:t>خوداگاه</w:t>
      </w:r>
      <w:r w:rsidRPr="0025250D">
        <w:rPr>
          <w:vertAlign w:val="superscript"/>
          <w:rtl/>
        </w:rPr>
        <w:footnoteReference w:id="456"/>
      </w:r>
      <w:r w:rsidR="009004D1" w:rsidRPr="0025250D">
        <w:rPr>
          <w:rtl/>
        </w:rPr>
        <w:t>»</w:t>
      </w:r>
      <w:r w:rsidRPr="0025250D">
        <w:rPr>
          <w:rFonts w:hint="cs"/>
          <w:rtl/>
        </w:rPr>
        <w:t xml:space="preserve"> اثر </w:t>
      </w:r>
      <w:r w:rsidRPr="0025250D">
        <w:rPr>
          <w:rtl/>
        </w:rPr>
        <w:t>لئونارد ملود</w:t>
      </w:r>
      <w:r w:rsidRPr="0025250D">
        <w:rPr>
          <w:rFonts w:hint="cs"/>
          <w:rtl/>
        </w:rPr>
        <w:t>ی</w:t>
      </w:r>
      <w:r w:rsidRPr="0025250D">
        <w:rPr>
          <w:rFonts w:hint="eastAsia"/>
          <w:rtl/>
        </w:rPr>
        <w:t>نو</w:t>
      </w:r>
      <w:r w:rsidRPr="0025250D">
        <w:rPr>
          <w:vertAlign w:val="superscript"/>
          <w:rtl/>
        </w:rPr>
        <w:footnoteReference w:id="457"/>
      </w:r>
      <w:r w:rsidRPr="0025250D">
        <w:rPr>
          <w:rFonts w:hint="cs"/>
          <w:rtl/>
        </w:rPr>
        <w:t xml:space="preserve"> در سال 2012 به ما می‌گویند که بخش‌های متنوعی از ذهن ناخودآگاه ما به شکل بی پایانی برای پیش‌انگاری بهتر جهان در حال مشارکت و رقابت هستند. آزمایش‌های </w:t>
      </w:r>
      <w:r w:rsidRPr="0025250D">
        <w:t>EEG</w:t>
      </w:r>
      <w:r w:rsidRPr="0025250D">
        <w:rPr>
          <w:rFonts w:hint="cs"/>
          <w:rtl/>
        </w:rPr>
        <w:t xml:space="preserve"> </w:t>
      </w:r>
      <w:r w:rsidRPr="0025250D">
        <w:rPr>
          <w:rFonts w:cs="Times New Roman" w:hint="cs"/>
          <w:rtl/>
        </w:rPr>
        <w:t>–</w:t>
      </w:r>
      <w:r w:rsidRPr="0025250D">
        <w:rPr>
          <w:rFonts w:hint="cs"/>
          <w:rtl/>
        </w:rPr>
        <w:t xml:space="preserve"> مواردی که فعالیت مغزی را آزمون می‌کنند </w:t>
      </w:r>
      <w:r w:rsidRPr="0025250D">
        <w:rPr>
          <w:rFonts w:cs="Times New Roman" w:hint="cs"/>
          <w:rtl/>
        </w:rPr>
        <w:t>–</w:t>
      </w:r>
      <w:r w:rsidRPr="0025250D">
        <w:rPr>
          <w:rFonts w:hint="cs"/>
          <w:rtl/>
        </w:rPr>
        <w:t xml:space="preserve"> نشان داده‌اند که درصورتی که جهان برخلاف هر یک از پیش‌بینی‌های ناخودآگاه ما رفتار کند، به شکل لحظه ای، در سطح ناخودآگاه غافل گیر می‌شویم.</w:t>
      </w:r>
    </w:p>
    <w:p w14:paraId="512C345A" w14:textId="77777777" w:rsidR="0020732A" w:rsidRPr="0025250D" w:rsidRDefault="0020732A" w:rsidP="00165822">
      <w:pPr>
        <w:jc w:val="center"/>
        <w:rPr>
          <w:rtl/>
        </w:rPr>
      </w:pPr>
      <w:r w:rsidRPr="0025250D">
        <w:rPr>
          <w:noProof/>
          <w:rtl/>
          <w:lang w:bidi="ar-SA"/>
        </w:rPr>
        <w:drawing>
          <wp:inline distT="0" distB="0" distL="0" distR="0" wp14:anchorId="3432A499" wp14:editId="5E556DD8">
            <wp:extent cx="1365644" cy="1773141"/>
            <wp:effectExtent l="0" t="0" r="6350" b="0"/>
            <wp:docPr id="3" name="Picture 3" descr="D:\کار\مستقل\3 ( ترجمه ی دانشگاه تهران  )\Introduction to Foresight\part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1\27.png"/>
                    <pic:cNvPicPr>
                      <a:picLocks noChangeAspect="1" noChangeArrowheads="1"/>
                    </pic:cNvPicPr>
                  </pic:nvPicPr>
                  <pic:blipFill rotWithShape="1">
                    <a:blip r:embed="rId43" cstate="screen">
                      <a:extLst>
                        <a:ext uri="{BEBA8EAE-BF5A-486C-A8C5-ECC9F3942E4B}">
                          <a14:imgProps xmlns:a14="http://schemas.microsoft.com/office/drawing/2010/main">
                            <a14:imgLayer r:embed="rId44">
                              <a14:imgEffect>
                                <a14:saturation sat="0"/>
                              </a14:imgEffect>
                            </a14:imgLayer>
                          </a14:imgProps>
                        </a:ext>
                        <a:ext uri="{28A0092B-C50C-407E-A947-70E740481C1C}">
                          <a14:useLocalDpi xmlns:a14="http://schemas.microsoft.com/office/drawing/2010/main"/>
                        </a:ext>
                      </a:extLst>
                    </a:blip>
                    <a:srcRect b="8889"/>
                    <a:stretch/>
                  </pic:blipFill>
                  <pic:spPr bwMode="auto">
                    <a:xfrm>
                      <a:off x="0" y="0"/>
                      <a:ext cx="1379970" cy="1791742"/>
                    </a:xfrm>
                    <a:prstGeom prst="rect">
                      <a:avLst/>
                    </a:prstGeom>
                    <a:noFill/>
                    <a:ln>
                      <a:noFill/>
                    </a:ln>
                    <a:extLst>
                      <a:ext uri="{53640926-AAD7-44D8-BBD7-CCE9431645EC}">
                        <a14:shadowObscured xmlns:a14="http://schemas.microsoft.com/office/drawing/2010/main"/>
                      </a:ext>
                    </a:extLst>
                  </pic:spPr>
                </pic:pic>
              </a:graphicData>
            </a:graphic>
          </wp:inline>
        </w:drawing>
      </w:r>
    </w:p>
    <w:p w14:paraId="27E136A4" w14:textId="77777777" w:rsidR="0020732A" w:rsidRPr="0025250D" w:rsidRDefault="0020732A" w:rsidP="00165822">
      <w:pPr>
        <w:jc w:val="center"/>
        <w:rPr>
          <w:rtl/>
        </w:rPr>
      </w:pPr>
      <w:r w:rsidRPr="0025250D">
        <w:rPr>
          <w:rtl/>
        </w:rPr>
        <w:t>ملود</w:t>
      </w:r>
      <w:r w:rsidRPr="0025250D">
        <w:rPr>
          <w:rFonts w:hint="cs"/>
          <w:rtl/>
        </w:rPr>
        <w:t>ی</w:t>
      </w:r>
      <w:r w:rsidRPr="0025250D">
        <w:rPr>
          <w:rFonts w:hint="eastAsia"/>
          <w:rtl/>
        </w:rPr>
        <w:t>نو</w:t>
      </w:r>
      <w:r w:rsidRPr="0025250D">
        <w:rPr>
          <w:rFonts w:hint="cs"/>
          <w:rtl/>
        </w:rPr>
        <w:t>، 2012</w:t>
      </w:r>
    </w:p>
    <w:p w14:paraId="05F9F22C" w14:textId="40698F15" w:rsidR="0020732A" w:rsidRPr="0025250D" w:rsidRDefault="0020732A" w:rsidP="0020732A">
      <w:pPr>
        <w:rPr>
          <w:rtl/>
        </w:rPr>
      </w:pPr>
      <w:r w:rsidRPr="0025250D">
        <w:rPr>
          <w:rFonts w:hint="cs"/>
          <w:rtl/>
        </w:rPr>
        <w:t xml:space="preserve">در یک آزمایش معروف، وقتی به سوژه‌های آزمایش کلیپی از یک سگ که صدای اردک در می‌آورد نشان داده شد، آن‌ها به طرز ناخودآگاهی غافل گیر شدند؛ سپس، مطابق با آنچه در </w:t>
      </w:r>
      <w:r w:rsidRPr="0025250D">
        <w:t>EEG</w:t>
      </w:r>
      <w:r w:rsidRPr="0025250D">
        <w:rPr>
          <w:rFonts w:hint="cs"/>
          <w:rtl/>
        </w:rPr>
        <w:t xml:space="preserve"> نشان داده شد، در حدود نیم ثانیه بعد، به‌صورت آگاهانه غافل گیر شدند. به‌صورت ناخودآگاه، همه ما آموخته‌ایم که سگ‌ها به‌طور کلی وقتی دهان خود را حرکت می‌دهند، پارس می‌کنند. وقتی این حرکت را می‌بینیم، شهود ما یک پیش‌بینی تولید می‌کند. این پیش‌بینی صدها میلی ثانیه سریع‌تر از آگاهی هوشیارانه ما رخ می‌دهد. آزمایش‌هایی مانند این مورد به ما می‌گویند که آگاهی انسان یک فرافرایند</w:t>
      </w:r>
      <w:r w:rsidRPr="0025250D">
        <w:rPr>
          <w:vertAlign w:val="superscript"/>
          <w:rtl/>
        </w:rPr>
        <w:footnoteReference w:id="458"/>
      </w:r>
      <w:r w:rsidRPr="0025250D">
        <w:rPr>
          <w:rFonts w:hint="cs"/>
          <w:rtl/>
        </w:rPr>
        <w:t xml:space="preserve"> پدیدار شونده است که همواره پس از همه فعالیت‌های پیش‌بین، ناخودآگاه و بیزی</w:t>
      </w:r>
      <w:r w:rsidRPr="0025250D">
        <w:rPr>
          <w:vertAlign w:val="superscript"/>
          <w:rtl/>
        </w:rPr>
        <w:footnoteReference w:id="459"/>
      </w:r>
      <w:r w:rsidRPr="0025250D">
        <w:rPr>
          <w:rFonts w:hint="cs"/>
          <w:rtl/>
        </w:rPr>
        <w:t xml:space="preserve"> مغز ما رخ می‌دهد و معمولاً تابع آن‌ها است. این فعالیت ‌ها، نه خودآگاه ما، اکثریت فرایند‌های احساسی و فکری ما را تشکیل می‌ده</w:t>
      </w:r>
      <w:r w:rsidR="009D17DA" w:rsidRPr="0025250D">
        <w:rPr>
          <w:rFonts w:hint="cs"/>
          <w:rtl/>
        </w:rPr>
        <w:t>ن</w:t>
      </w:r>
      <w:r w:rsidRPr="0025250D">
        <w:rPr>
          <w:rFonts w:hint="cs"/>
          <w:rtl/>
        </w:rPr>
        <w:t>د.</w:t>
      </w:r>
    </w:p>
    <w:p w14:paraId="60CC2520" w14:textId="2CF4EE88" w:rsidR="0020732A" w:rsidRPr="0025250D" w:rsidRDefault="0020732A" w:rsidP="0020732A">
      <w:pPr>
        <w:rPr>
          <w:rtl/>
        </w:rPr>
      </w:pPr>
      <w:r w:rsidRPr="0025250D">
        <w:rPr>
          <w:rFonts w:hint="cs"/>
          <w:rtl/>
        </w:rPr>
        <w:t>سیرت اخلاقی</w:t>
      </w:r>
      <w:r w:rsidRPr="0025250D">
        <w:rPr>
          <w:vertAlign w:val="superscript"/>
          <w:rtl/>
        </w:rPr>
        <w:footnoteReference w:id="460"/>
      </w:r>
      <w:r w:rsidRPr="0025250D">
        <w:rPr>
          <w:rFonts w:hint="cs"/>
          <w:rtl/>
        </w:rPr>
        <w:t xml:space="preserve"> ما که علاقه داریم آن را تاحد زیادی آگاهانه و ارادی بدانیم نیز به‌عنوان یک فرایند غریزی، شهودی و ناخودآگاه آغاز می‌شود. برای مثال، هر گونه‌ای از میمون‌ها که مورد آزمایش قرار گرفته است یک حس ذاتی عدالت اخلاقی را نشان می‌دهد. همه آن‌ها سلسله‌مراتب جایگاه اجتماعی بر اساس قضاوت‌های اجتماعی دارند. اگر آن‌ها میمون دیگری با جایگاه یکسان را ببینند که جایزه بهتری برای فعالیت مشابه دریافت می‌کند (مثلا یک انگور بجای خیار)، معمولاً عصبانی می‌شوند یا احساساتشان جریحه دار می‌شود و دیگر در بازی آزمایش کننده مشارکت نمی‌کنند. پیش‌بینی آن‌ها از عدالت نقض شده و هیجاناتشان آن‌ها را به سمت یک پاسخ </w:t>
      </w:r>
      <w:r w:rsidR="002F3C14" w:rsidRPr="0025250D">
        <w:rPr>
          <w:rFonts w:hint="cs"/>
          <w:rtl/>
        </w:rPr>
        <w:t>انطباقی</w:t>
      </w:r>
      <w:r w:rsidRPr="0025250D">
        <w:rPr>
          <w:rFonts w:hint="cs"/>
          <w:rtl/>
        </w:rPr>
        <w:t xml:space="preserve"> هدایت می‌کند.</w:t>
      </w:r>
    </w:p>
    <w:p w14:paraId="12B91DBC" w14:textId="2CA2F11F" w:rsidR="0020732A" w:rsidRPr="0025250D" w:rsidRDefault="0020732A" w:rsidP="0020732A">
      <w:pPr>
        <w:rPr>
          <w:rtl/>
        </w:rPr>
      </w:pPr>
      <w:r w:rsidRPr="0025250D">
        <w:rPr>
          <w:rFonts w:hint="cs"/>
          <w:rtl/>
        </w:rPr>
        <w:t>انسان‌هایی که دارای آسیب‌های مغزی در بادامک مغزشان</w:t>
      </w:r>
      <w:r w:rsidRPr="0025250D">
        <w:rPr>
          <w:vertAlign w:val="superscript"/>
          <w:rtl/>
        </w:rPr>
        <w:footnoteReference w:id="461"/>
      </w:r>
      <w:r w:rsidRPr="0025250D">
        <w:rPr>
          <w:rFonts w:hint="cs"/>
          <w:rtl/>
        </w:rPr>
        <w:t xml:space="preserve"> هستند </w:t>
      </w:r>
      <w:r w:rsidRPr="0025250D">
        <w:rPr>
          <w:rFonts w:cs="Times New Roman" w:hint="cs"/>
          <w:rtl/>
        </w:rPr>
        <w:t>–</w:t>
      </w:r>
      <w:r w:rsidRPr="0025250D">
        <w:rPr>
          <w:rFonts w:hint="cs"/>
          <w:rtl/>
        </w:rPr>
        <w:t xml:space="preserve"> یک ایستگاه تقویتی کلیدی که از پردازش هیجانی پشتیبانی می‌کند </w:t>
      </w:r>
      <w:r w:rsidRPr="0025250D">
        <w:rPr>
          <w:rFonts w:cs="Times New Roman" w:hint="cs"/>
          <w:rtl/>
        </w:rPr>
        <w:t>–</w:t>
      </w:r>
      <w:r w:rsidRPr="0025250D">
        <w:rPr>
          <w:rFonts w:hint="cs"/>
          <w:rtl/>
        </w:rPr>
        <w:t xml:space="preserve"> اغلب به‌صورت منطقی در مورد اقدامات ممکن می‌اندیشند، بااین‌حال هیچگاه به تصمیم نهایی</w:t>
      </w:r>
      <w:r w:rsidR="00EE4B64" w:rsidRPr="0025250D">
        <w:rPr>
          <w:rFonts w:hint="cs"/>
          <w:rtl/>
        </w:rPr>
        <w:t xml:space="preserve"> نمی‌</w:t>
      </w:r>
      <w:r w:rsidRPr="0025250D">
        <w:rPr>
          <w:rFonts w:hint="cs"/>
          <w:rtl/>
        </w:rPr>
        <w:t xml:space="preserve">رسند. آن‌ها در شرایط </w:t>
      </w:r>
      <w:r w:rsidR="009004D1" w:rsidRPr="0025250D">
        <w:rPr>
          <w:rtl/>
        </w:rPr>
        <w:t>«</w:t>
      </w:r>
      <w:r w:rsidRPr="0025250D">
        <w:rPr>
          <w:rFonts w:hint="cs"/>
          <w:rtl/>
        </w:rPr>
        <w:t>فلج تحلیلی</w:t>
      </w:r>
      <w:r w:rsidRPr="0025250D">
        <w:rPr>
          <w:vertAlign w:val="superscript"/>
          <w:rtl/>
        </w:rPr>
        <w:footnoteReference w:id="462"/>
      </w:r>
      <w:r w:rsidR="009004D1" w:rsidRPr="0025250D">
        <w:rPr>
          <w:rtl/>
        </w:rPr>
        <w:t>»</w:t>
      </w:r>
      <w:r w:rsidRPr="0025250D">
        <w:rPr>
          <w:rFonts w:hint="cs"/>
          <w:rtl/>
        </w:rPr>
        <w:t xml:space="preserve"> گرفتار می‌شوند زیرا آن‌ها نمی‌توانند به جرأت</w:t>
      </w:r>
      <w:r w:rsidRPr="0025250D">
        <w:rPr>
          <w:vertAlign w:val="superscript"/>
          <w:rtl/>
        </w:rPr>
        <w:footnoteReference w:id="463"/>
      </w:r>
      <w:r w:rsidRPr="0025250D">
        <w:rPr>
          <w:rFonts w:hint="cs"/>
          <w:rtl/>
        </w:rPr>
        <w:t xml:space="preserve"> - فرایند‌های شهودی </w:t>
      </w:r>
      <w:r w:rsidR="008D6F97" w:rsidRPr="0025250D">
        <w:rPr>
          <w:rFonts w:hint="cs"/>
          <w:rtl/>
        </w:rPr>
        <w:t>سامانه</w:t>
      </w:r>
      <w:r w:rsidRPr="0025250D">
        <w:rPr>
          <w:rFonts w:hint="cs"/>
          <w:rtl/>
        </w:rPr>
        <w:t xml:space="preserve"> 1 که برای انجام یک انتخاب به ما انگیزه می‌دهند - دسترسی داشته باشند یا بر آن متکی باشند. برای مطالعه نکات بیش‌تر در مورد این‌که چگونه شکل‌های مختلف پیش‌بینی هیجانی و ناخودآگاه برای تفکر ضروری هستند، </w:t>
      </w:r>
      <w:r w:rsidRPr="0025250D">
        <w:rPr>
          <w:rFonts w:hint="cs"/>
          <w:rtl/>
        </w:rPr>
        <w:lastRenderedPageBreak/>
        <w:t>کتاب خطای دکارتی</w:t>
      </w:r>
      <w:r w:rsidRPr="0025250D">
        <w:rPr>
          <w:vertAlign w:val="superscript"/>
          <w:rtl/>
        </w:rPr>
        <w:footnoteReference w:id="464"/>
      </w:r>
      <w:r w:rsidRPr="0025250D">
        <w:rPr>
          <w:rFonts w:hint="cs"/>
          <w:rtl/>
        </w:rPr>
        <w:t xml:space="preserve"> اثر </w:t>
      </w:r>
      <w:r w:rsidRPr="0025250D">
        <w:rPr>
          <w:rtl/>
        </w:rPr>
        <w:t>آنتون</w:t>
      </w:r>
      <w:r w:rsidRPr="0025250D">
        <w:rPr>
          <w:rFonts w:hint="cs"/>
          <w:rtl/>
        </w:rPr>
        <w:t>ی</w:t>
      </w:r>
      <w:r w:rsidRPr="0025250D">
        <w:rPr>
          <w:rFonts w:hint="eastAsia"/>
          <w:rtl/>
        </w:rPr>
        <w:t>و</w:t>
      </w:r>
      <w:r w:rsidRPr="0025250D">
        <w:rPr>
          <w:rtl/>
        </w:rPr>
        <w:t xml:space="preserve"> داماس</w:t>
      </w:r>
      <w:r w:rsidRPr="0025250D">
        <w:rPr>
          <w:rFonts w:hint="cs"/>
          <w:rtl/>
        </w:rPr>
        <w:t>ی</w:t>
      </w:r>
      <w:r w:rsidRPr="0025250D">
        <w:rPr>
          <w:rFonts w:hint="eastAsia"/>
          <w:rtl/>
        </w:rPr>
        <w:t>و</w:t>
      </w:r>
      <w:r w:rsidR="008D6F97" w:rsidRPr="0025250D">
        <w:rPr>
          <w:rtl/>
        </w:rPr>
        <w:t xml:space="preserve"> </w:t>
      </w:r>
      <w:r w:rsidRPr="0025250D">
        <w:rPr>
          <w:rFonts w:hint="cs"/>
          <w:rtl/>
        </w:rPr>
        <w:t>در سال 2005 را ببینید. همین فرایند‌های شهودی هستند که به ما امکان می‌دهند تا وقتی منطق نمی‌تواند پاسخ واضحی ارائه دهد که اغلب در یک جهان پیچیده</w:t>
      </w:r>
      <w:r w:rsidR="009D17DA" w:rsidRPr="0025250D">
        <w:rPr>
          <w:rFonts w:hint="cs"/>
          <w:rtl/>
        </w:rPr>
        <w:t xml:space="preserve"> </w:t>
      </w:r>
      <w:r w:rsidRPr="0025250D">
        <w:rPr>
          <w:rFonts w:hint="cs"/>
          <w:rtl/>
        </w:rPr>
        <w:t xml:space="preserve">‌اینچنین است، تصمیم‌گیری کنیم. در مجموع، </w:t>
      </w:r>
      <w:r w:rsidR="008D6F97" w:rsidRPr="0025250D">
        <w:rPr>
          <w:rFonts w:hint="cs"/>
          <w:rtl/>
        </w:rPr>
        <w:t>سامانه</w:t>
      </w:r>
      <w:r w:rsidRPr="0025250D">
        <w:rPr>
          <w:rFonts w:hint="cs"/>
          <w:rtl/>
        </w:rPr>
        <w:t xml:space="preserve"> 1، شهود ناخودآگاه، هیجانات و </w:t>
      </w:r>
      <w:r w:rsidR="00202882" w:rsidRPr="0025250D">
        <w:rPr>
          <w:rFonts w:hint="cs"/>
          <w:rtl/>
        </w:rPr>
        <w:t>همدلی</w:t>
      </w:r>
      <w:r w:rsidRPr="0025250D">
        <w:rPr>
          <w:rFonts w:hint="cs"/>
          <w:rtl/>
        </w:rPr>
        <w:t>، در کانون هوشمندی متعالی در سامانه‌های زنده قرار دارند. پیامدهای بسیار زیادی برای این بینش وجود دارند.</w:t>
      </w:r>
    </w:p>
    <w:p w14:paraId="62B6785B" w14:textId="359C2BD8" w:rsidR="0020732A" w:rsidRPr="0025250D" w:rsidRDefault="0020732A" w:rsidP="0020732A">
      <w:pPr>
        <w:rPr>
          <w:rtl/>
        </w:rPr>
      </w:pPr>
      <w:r w:rsidRPr="0025250D">
        <w:rPr>
          <w:rFonts w:hint="cs"/>
          <w:rtl/>
        </w:rPr>
        <w:t xml:space="preserve">برای مثال، </w:t>
      </w:r>
      <w:r w:rsidR="007118DE" w:rsidRPr="0025250D">
        <w:rPr>
          <w:rFonts w:hint="cs"/>
          <w:rtl/>
        </w:rPr>
        <w:t>همان‌طور</w:t>
      </w:r>
      <w:r w:rsidRPr="0025250D">
        <w:rPr>
          <w:rFonts w:hint="cs"/>
          <w:rtl/>
        </w:rPr>
        <w:t xml:space="preserve"> که در کتاب 2 توضیح خواهیم داد، پیش‌بینی می‌کنیم که فرایند‌های هیجانی، شهودی و ناخودآگاه باید در کانون هر هوش ماشینی متعالی در آینده باشند</w:t>
      </w:r>
      <w:r w:rsidR="008D6F97" w:rsidRPr="0025250D">
        <w:rPr>
          <w:rtl/>
        </w:rPr>
        <w:t xml:space="preserve">؛ </w:t>
      </w:r>
      <w:r w:rsidRPr="0025250D">
        <w:rPr>
          <w:rFonts w:hint="cs"/>
          <w:rtl/>
        </w:rPr>
        <w:t xml:space="preserve">مانند ما، شبکه‌های عصبی مصنوعی آنان باید سامانه‌های </w:t>
      </w:r>
      <w:r w:rsidRPr="0025250D">
        <w:rPr>
          <w:rtl/>
        </w:rPr>
        <w:t>تکاملی-توسعه‌ای</w:t>
      </w:r>
      <w:r w:rsidRPr="0025250D">
        <w:rPr>
          <w:rFonts w:hint="cs"/>
          <w:rtl/>
        </w:rPr>
        <w:t xml:space="preserve">، تکامل یافته، توسعه‌یافته و دائما انتخاب شونده برای </w:t>
      </w:r>
      <w:r w:rsidR="00AE5BE0" w:rsidRPr="0025250D">
        <w:rPr>
          <w:rFonts w:hint="cs"/>
          <w:rtl/>
        </w:rPr>
        <w:t>انطباق</w:t>
      </w:r>
      <w:r w:rsidRPr="0025250D">
        <w:rPr>
          <w:rFonts w:hint="cs"/>
          <w:rtl/>
        </w:rPr>
        <w:t xml:space="preserve"> بیش‌تر باشند</w:t>
      </w:r>
      <w:r w:rsidR="008D6F97" w:rsidRPr="0025250D">
        <w:rPr>
          <w:rtl/>
        </w:rPr>
        <w:t xml:space="preserve">؛ </w:t>
      </w:r>
      <w:r w:rsidRPr="0025250D">
        <w:rPr>
          <w:rFonts w:hint="cs"/>
          <w:rtl/>
        </w:rPr>
        <w:t>مانند ما، آن‌ها محدود</w:t>
      </w:r>
      <w:r w:rsidRPr="0025250D">
        <w:rPr>
          <w:vertAlign w:val="superscript"/>
          <w:rtl/>
        </w:rPr>
        <w:footnoteReference w:id="465"/>
      </w:r>
      <w:r w:rsidRPr="0025250D">
        <w:rPr>
          <w:rFonts w:hint="cs"/>
          <w:rtl/>
        </w:rPr>
        <w:t xml:space="preserve"> و ازنظر محاسباتی ناقص خواهند بود (داشتن پرسش‌های بسیار بدون پاسخ‌های خوب)</w:t>
      </w:r>
      <w:r w:rsidR="008D6F97" w:rsidRPr="0025250D">
        <w:rPr>
          <w:rtl/>
        </w:rPr>
        <w:t xml:space="preserve">؛ </w:t>
      </w:r>
      <w:r w:rsidRPr="0025250D">
        <w:rPr>
          <w:rFonts w:hint="cs"/>
          <w:rtl/>
        </w:rPr>
        <w:t xml:space="preserve">مانند ما، آینده‌های آن‌ها پر از عدم قطعیت و </w:t>
      </w:r>
      <w:r w:rsidR="009004D1" w:rsidRPr="0025250D">
        <w:rPr>
          <w:rtl/>
        </w:rPr>
        <w:t>«</w:t>
      </w:r>
      <w:r w:rsidRPr="0025250D">
        <w:rPr>
          <w:rFonts w:hint="cs"/>
          <w:rtl/>
        </w:rPr>
        <w:t>مسائل بدخیم</w:t>
      </w:r>
      <w:r w:rsidRPr="0025250D">
        <w:rPr>
          <w:vertAlign w:val="superscript"/>
          <w:rtl/>
        </w:rPr>
        <w:footnoteReference w:id="466"/>
      </w:r>
      <w:r w:rsidR="009004D1" w:rsidRPr="0025250D">
        <w:rPr>
          <w:rtl/>
        </w:rPr>
        <w:t>»</w:t>
      </w:r>
      <w:r w:rsidRPr="0025250D">
        <w:rPr>
          <w:rFonts w:hint="cs"/>
          <w:rtl/>
        </w:rPr>
        <w:t xml:space="preserve"> خواهد بود. به این دلیل که منطق همچنان محدود آن‌ها </w:t>
      </w:r>
      <w:r w:rsidR="007118DE" w:rsidRPr="0025250D">
        <w:rPr>
          <w:rFonts w:hint="cs"/>
          <w:rtl/>
        </w:rPr>
        <w:t>همان‌طور</w:t>
      </w:r>
      <w:r w:rsidRPr="0025250D">
        <w:rPr>
          <w:rFonts w:hint="cs"/>
          <w:rtl/>
        </w:rPr>
        <w:t xml:space="preserve"> که ما را نا امید می‌کند، آن‌ها را نیز نا امید خواهد کرد، آن‌ها نیز باید بر شهود، هیجانات و </w:t>
      </w:r>
      <w:r w:rsidR="00202882" w:rsidRPr="0025250D">
        <w:rPr>
          <w:rFonts w:hint="cs"/>
          <w:rtl/>
        </w:rPr>
        <w:t>همدلی</w:t>
      </w:r>
      <w:r w:rsidRPr="0025250D">
        <w:rPr>
          <w:rFonts w:hint="cs"/>
          <w:rtl/>
        </w:rPr>
        <w:t xml:space="preserve"> ذاتی خود برای هدایت تصمیم‌گیری هایشان اعتماد کنند. آینده‌پژوه </w:t>
      </w:r>
      <w:r w:rsidRPr="0025250D">
        <w:rPr>
          <w:rtl/>
        </w:rPr>
        <w:t>ر</w:t>
      </w:r>
      <w:r w:rsidRPr="0025250D">
        <w:rPr>
          <w:rFonts w:hint="cs"/>
          <w:rtl/>
        </w:rPr>
        <w:t>ی</w:t>
      </w:r>
      <w:r w:rsidRPr="0025250D">
        <w:rPr>
          <w:rFonts w:hint="eastAsia"/>
          <w:rtl/>
        </w:rPr>
        <w:t>چارد</w:t>
      </w:r>
      <w:r w:rsidRPr="0025250D">
        <w:rPr>
          <w:rtl/>
        </w:rPr>
        <w:t xml:space="preserve"> </w:t>
      </w:r>
      <w:r w:rsidRPr="0025250D">
        <w:rPr>
          <w:rFonts w:hint="cs"/>
          <w:rtl/>
        </w:rPr>
        <w:t>ی</w:t>
      </w:r>
      <w:r w:rsidRPr="0025250D">
        <w:rPr>
          <w:rFonts w:hint="eastAsia"/>
          <w:rtl/>
        </w:rPr>
        <w:t>ونک</w:t>
      </w:r>
      <w:r w:rsidRPr="0025250D">
        <w:rPr>
          <w:vertAlign w:val="superscript"/>
          <w:rtl/>
        </w:rPr>
        <w:footnoteReference w:id="467"/>
      </w:r>
      <w:r w:rsidRPr="0025250D">
        <w:rPr>
          <w:rFonts w:hint="cs"/>
          <w:rtl/>
        </w:rPr>
        <w:t xml:space="preserve"> این ایده را در کتاب قلب ماشین: آینده ما در دنیایی از هوش هیجانی مصنوعی</w:t>
      </w:r>
      <w:r w:rsidRPr="0025250D">
        <w:rPr>
          <w:vertAlign w:val="superscript"/>
          <w:rtl/>
        </w:rPr>
        <w:footnoteReference w:id="468"/>
      </w:r>
      <w:r w:rsidRPr="0025250D">
        <w:rPr>
          <w:rFonts w:hint="cs"/>
          <w:rtl/>
        </w:rPr>
        <w:t xml:space="preserve"> در سال 2017، کاوش می‌کند. درست </w:t>
      </w:r>
      <w:r w:rsidR="007118DE" w:rsidRPr="0025250D">
        <w:rPr>
          <w:rFonts w:hint="cs"/>
          <w:rtl/>
        </w:rPr>
        <w:t>همان‌طور</w:t>
      </w:r>
      <w:r w:rsidRPr="0025250D">
        <w:rPr>
          <w:rFonts w:hint="cs"/>
          <w:rtl/>
        </w:rPr>
        <w:t xml:space="preserve"> که به دنبال تحصیل فرزندانمان تا حد امکان هستیم</w:t>
      </w:r>
      <w:r w:rsidR="008D6F97" w:rsidRPr="0025250D">
        <w:rPr>
          <w:rtl/>
        </w:rPr>
        <w:t xml:space="preserve"> </w:t>
      </w:r>
      <w:r w:rsidRPr="0025250D">
        <w:rPr>
          <w:rFonts w:hint="cs"/>
          <w:rtl/>
        </w:rPr>
        <w:t>تا حد امکان نیز وظیفه‌ای در قبال شهود و هیجانات هوش مصنوعیمان خواهیم داشت. دوران جالبی خواهد بود.</w:t>
      </w:r>
    </w:p>
    <w:p w14:paraId="0D342AB5" w14:textId="77398AFA" w:rsidR="0020732A" w:rsidRPr="0025250D" w:rsidRDefault="008D6F97" w:rsidP="00165822">
      <w:pPr>
        <w:pStyle w:val="Heading3"/>
        <w:rPr>
          <w:rtl/>
        </w:rPr>
      </w:pPr>
      <w:r w:rsidRPr="0025250D">
        <w:rPr>
          <w:rFonts w:hint="cs"/>
          <w:rtl/>
        </w:rPr>
        <w:t>سامانه</w:t>
      </w:r>
      <w:r w:rsidR="0020732A" w:rsidRPr="0025250D">
        <w:rPr>
          <w:rFonts w:hint="cs"/>
          <w:rtl/>
        </w:rPr>
        <w:t xml:space="preserve"> 2- تفکر </w:t>
      </w:r>
      <w:r w:rsidR="009004D1" w:rsidRPr="0025250D">
        <w:rPr>
          <w:rFonts w:hint="eastAsia"/>
          <w:rtl/>
        </w:rPr>
        <w:t>«</w:t>
      </w:r>
      <w:r w:rsidR="0020732A" w:rsidRPr="0025250D">
        <w:rPr>
          <w:rFonts w:hint="cs"/>
          <w:rtl/>
        </w:rPr>
        <w:t>سنجیده</w:t>
      </w:r>
      <w:r w:rsidR="009004D1" w:rsidRPr="0025250D">
        <w:rPr>
          <w:rFonts w:hint="eastAsia"/>
          <w:rtl/>
        </w:rPr>
        <w:t>»</w:t>
      </w:r>
      <w:r w:rsidR="0020732A" w:rsidRPr="0025250D">
        <w:rPr>
          <w:rFonts w:hint="cs"/>
          <w:rtl/>
        </w:rPr>
        <w:t>، آهسته تر، آگاهانه، منطقی</w:t>
      </w:r>
    </w:p>
    <w:p w14:paraId="25570798" w14:textId="765E5496" w:rsidR="0020732A" w:rsidRPr="0025250D" w:rsidRDefault="0020732A" w:rsidP="0020732A">
      <w:pPr>
        <w:rPr>
          <w:rtl/>
        </w:rPr>
      </w:pPr>
      <w:r w:rsidRPr="0025250D">
        <w:rPr>
          <w:rFonts w:hint="cs"/>
          <w:rtl/>
        </w:rPr>
        <w:t>در حیوانات دارای مغز‌های پیچیده‌تر، خودآگاهی و آگاهی محیطی</w:t>
      </w:r>
      <w:r w:rsidRPr="0025250D">
        <w:rPr>
          <w:vertAlign w:val="superscript"/>
          <w:rtl/>
        </w:rPr>
        <w:footnoteReference w:id="469"/>
      </w:r>
      <w:r w:rsidRPr="0025250D">
        <w:rPr>
          <w:rFonts w:hint="cs"/>
          <w:rtl/>
        </w:rPr>
        <w:t xml:space="preserve"> به شکل تدریجی پدیدار می‌شود. آگاهی ما نسبت به خود و دیگران </w:t>
      </w:r>
      <w:r w:rsidRPr="0025250D">
        <w:rPr>
          <w:rFonts w:cs="Times New Roman" w:hint="cs"/>
          <w:rtl/>
        </w:rPr>
        <w:t>–</w:t>
      </w:r>
      <w:r w:rsidRPr="0025250D">
        <w:rPr>
          <w:rFonts w:hint="cs"/>
          <w:rtl/>
        </w:rPr>
        <w:t xml:space="preserve"> تفکر سنجیده آهسته‌تر که در ذهن‌های خودآگاهمان در مورد خود و جهان اطرافمان انجام می‌دهیم </w:t>
      </w:r>
      <w:r w:rsidRPr="0025250D">
        <w:rPr>
          <w:rFonts w:cs="Times New Roman" w:hint="cs"/>
          <w:rtl/>
        </w:rPr>
        <w:t>–</w:t>
      </w:r>
      <w:r w:rsidRPr="0025250D">
        <w:rPr>
          <w:rFonts w:hint="cs"/>
          <w:rtl/>
        </w:rPr>
        <w:t xml:space="preserve"> به شکل </w:t>
      </w:r>
      <w:r w:rsidR="009004D1" w:rsidRPr="0025250D">
        <w:rPr>
          <w:rtl/>
        </w:rPr>
        <w:t>«</w:t>
      </w:r>
      <w:r w:rsidR="009D17DA" w:rsidRPr="0025250D">
        <w:rPr>
          <w:rFonts w:hint="cs"/>
          <w:rtl/>
        </w:rPr>
        <w:t>بالا‌به‌پایین</w:t>
      </w:r>
      <w:r w:rsidR="009004D1" w:rsidRPr="0025250D">
        <w:rPr>
          <w:rtl/>
        </w:rPr>
        <w:t>»</w:t>
      </w:r>
      <w:r w:rsidRPr="0025250D">
        <w:rPr>
          <w:rFonts w:hint="cs"/>
          <w:rtl/>
        </w:rPr>
        <w:t xml:space="preserve"> کلاسیک (همگرا، قابل پیش‌بینی، توسعه‌ای) رخ می‌دهد. آگاهی در همه مغز‌های پیچیده به شکل قابل اتکایی در یک فرایند همگام سازی عصبی گروه‌های بزرگ‌تر فرایند‌های ناخودآگاه، رخ می‌دهد. در تنظیم مقررات</w:t>
      </w:r>
      <w:r w:rsidRPr="0025250D">
        <w:rPr>
          <w:vertAlign w:val="superscript"/>
          <w:rtl/>
        </w:rPr>
        <w:footnoteReference w:id="470"/>
      </w:r>
      <w:r w:rsidRPr="0025250D">
        <w:rPr>
          <w:rFonts w:hint="cs"/>
          <w:rtl/>
        </w:rPr>
        <w:t xml:space="preserve"> برای خودمان که این یک </w:t>
      </w:r>
      <w:r w:rsidR="008D6F97" w:rsidRPr="0025250D">
        <w:rPr>
          <w:rFonts w:hint="cs"/>
          <w:rtl/>
        </w:rPr>
        <w:t>سامانه</w:t>
      </w:r>
      <w:r w:rsidRPr="0025250D">
        <w:rPr>
          <w:rFonts w:hint="cs"/>
          <w:rtl/>
        </w:rPr>
        <w:t xml:space="preserve"> </w:t>
      </w:r>
      <w:r w:rsidR="009004D1" w:rsidRPr="0025250D">
        <w:rPr>
          <w:rtl/>
        </w:rPr>
        <w:t>«</w:t>
      </w:r>
      <w:r w:rsidR="009D17DA" w:rsidRPr="0025250D">
        <w:rPr>
          <w:rFonts w:hint="cs"/>
          <w:rtl/>
        </w:rPr>
        <w:t>بالا‌به‌پایین</w:t>
      </w:r>
      <w:r w:rsidR="009004D1" w:rsidRPr="0025250D">
        <w:rPr>
          <w:rtl/>
        </w:rPr>
        <w:t>»</w:t>
      </w:r>
      <w:r w:rsidRPr="0025250D">
        <w:rPr>
          <w:rFonts w:hint="cs"/>
          <w:rtl/>
        </w:rPr>
        <w:t xml:space="preserve"> است، از آگاهی خود و ابداعات آن (زبان، منطق، فرهنگ، فناوری) برای عمل به شکل پایین‌به‌بالا (واگرا، غیرقابل‌پیش‌بینی، تکاملی) بهره می‌گیریم. ذهن سنجیده، ما را به همه جهات منحصربه‌فرد می‌برد و تنوع خیر</w:t>
      </w:r>
      <w:r w:rsidR="009D17DA" w:rsidRPr="0025250D">
        <w:rPr>
          <w:rFonts w:hint="cs"/>
          <w:rtl/>
        </w:rPr>
        <w:t>ه</w:t>
      </w:r>
      <w:r w:rsidRPr="0025250D">
        <w:rPr>
          <w:rFonts w:hint="cs"/>
          <w:rtl/>
        </w:rPr>
        <w:t xml:space="preserve"> کننده‌ای از ایده‌ها و رفتار‌ها ایجاد می‌نماید. این همان نوعی از تفکر است که </w:t>
      </w:r>
      <w:r w:rsidRPr="0025250D">
        <w:rPr>
          <w:rtl/>
        </w:rPr>
        <w:t>کانمن</w:t>
      </w:r>
      <w:r w:rsidRPr="0025250D">
        <w:rPr>
          <w:rFonts w:hint="cs"/>
          <w:rtl/>
        </w:rPr>
        <w:t xml:space="preserve"> </w:t>
      </w:r>
      <w:r w:rsidR="008D6F97" w:rsidRPr="0025250D">
        <w:rPr>
          <w:rFonts w:hint="cs"/>
          <w:rtl/>
        </w:rPr>
        <w:t>سامانه</w:t>
      </w:r>
      <w:r w:rsidRPr="0025250D">
        <w:rPr>
          <w:rFonts w:hint="cs"/>
          <w:rtl/>
        </w:rPr>
        <w:t xml:space="preserve"> 2 می‌نامد. این مورد در بسیاری از حیوانات متعالی (دارای </w:t>
      </w:r>
      <w:r w:rsidR="00AE5BE0" w:rsidRPr="0025250D">
        <w:rPr>
          <w:rFonts w:hint="cs"/>
          <w:rtl/>
        </w:rPr>
        <w:t>انطباق</w:t>
      </w:r>
      <w:r w:rsidRPr="0025250D">
        <w:rPr>
          <w:rFonts w:hint="cs"/>
          <w:rtl/>
        </w:rPr>
        <w:t xml:space="preserve"> عمومی</w:t>
      </w:r>
      <w:r w:rsidR="0008779C" w:rsidRPr="0025250D">
        <w:rPr>
          <w:rFonts w:hint="cs"/>
          <w:rtl/>
        </w:rPr>
        <w:t xml:space="preserve"> بیش‌تر</w:t>
      </w:r>
      <w:r w:rsidRPr="0025250D">
        <w:rPr>
          <w:rFonts w:hint="cs"/>
          <w:rtl/>
        </w:rPr>
        <w:t>) بر روی زمین و نه فقط در میان انس</w:t>
      </w:r>
      <w:r w:rsidR="009D17DA" w:rsidRPr="0025250D">
        <w:rPr>
          <w:rFonts w:hint="cs"/>
          <w:rtl/>
        </w:rPr>
        <w:t>ا</w:t>
      </w:r>
      <w:r w:rsidRPr="0025250D">
        <w:rPr>
          <w:rFonts w:hint="cs"/>
          <w:rtl/>
        </w:rPr>
        <w:t>ن‌ها، رخ می‌دهد.</w:t>
      </w:r>
    </w:p>
    <w:p w14:paraId="16CB21A5" w14:textId="7366D9DB" w:rsidR="0020732A" w:rsidRPr="0025250D" w:rsidRDefault="0020732A" w:rsidP="0020732A">
      <w:pPr>
        <w:rPr>
          <w:rtl/>
        </w:rPr>
      </w:pPr>
      <w:r w:rsidRPr="0025250D">
        <w:rPr>
          <w:rFonts w:hint="cs"/>
          <w:rtl/>
        </w:rPr>
        <w:t xml:space="preserve">علم اعصاب مدرن به ما می‌گوید که حتی هوشیاری و آگاهی ما و نیز همه فرایند‌های فکری ارادی ما، بر پیش‌بینی‌های پایین‌به‌بالای رقابت کننده و مشارکت کننده متعددی وابسته هستند که به‌صورت موازی در مناطق مختلف مغزمان کار می‌کنند. وقتی‌که به‌صورت آگاهانه (سنجیده) با خودمان در مورد این‌که سپس چه کاری انجام دهیم استدلال و بحث می‌کنیم، این کار را با استفاده از شبکه‌های عصبی </w:t>
      </w:r>
      <w:r w:rsidR="009004D1" w:rsidRPr="0025250D">
        <w:rPr>
          <w:rtl/>
        </w:rPr>
        <w:t>«</w:t>
      </w:r>
      <w:r w:rsidRPr="0025250D">
        <w:rPr>
          <w:rFonts w:hint="cs"/>
          <w:rtl/>
        </w:rPr>
        <w:t>مشارکت کننده</w:t>
      </w:r>
      <w:r w:rsidR="009004D1" w:rsidRPr="0025250D">
        <w:rPr>
          <w:rtl/>
        </w:rPr>
        <w:t>»</w:t>
      </w:r>
      <w:r w:rsidRPr="0025250D">
        <w:rPr>
          <w:rFonts w:hint="cs"/>
          <w:rtl/>
        </w:rPr>
        <w:t xml:space="preserve"> که ازنظر مکانی مجزا هستند، انجام می‌دهیم. فرض می‌شود که این فرایند بسیار شبیه به روشی است که شبکه‌های ناخودآگاه ما برای پیش‌بینی آنچه </w:t>
      </w:r>
      <w:r w:rsidR="009004D1" w:rsidRPr="0025250D">
        <w:rPr>
          <w:rtl/>
        </w:rPr>
        <w:t>«</w:t>
      </w:r>
      <w:r w:rsidRPr="0025250D">
        <w:rPr>
          <w:rFonts w:hint="cs"/>
          <w:rtl/>
        </w:rPr>
        <w:t>باید</w:t>
      </w:r>
      <w:r w:rsidR="009004D1" w:rsidRPr="0025250D">
        <w:rPr>
          <w:rtl/>
        </w:rPr>
        <w:t>»</w:t>
      </w:r>
      <w:r w:rsidRPr="0025250D">
        <w:rPr>
          <w:rFonts w:hint="cs"/>
          <w:rtl/>
        </w:rPr>
        <w:t xml:space="preserve"> پس از این رخ دهد مشارکت و رقابت می‌کنند، مانند آنچه در ویدئوی سگی که به جای پارس کردن صدای اردک ایجاد می‌کند، رخ می‌دهد.</w:t>
      </w:r>
    </w:p>
    <w:p w14:paraId="09D67F1A" w14:textId="3649B9ED" w:rsidR="0020732A" w:rsidRPr="0025250D" w:rsidRDefault="0020732A" w:rsidP="0020732A">
      <w:pPr>
        <w:rPr>
          <w:rtl/>
        </w:rPr>
      </w:pPr>
      <w:r w:rsidRPr="0025250D">
        <w:rPr>
          <w:rtl/>
        </w:rPr>
        <w:t>گرابو</w:t>
      </w:r>
      <w:r w:rsidRPr="0025250D">
        <w:rPr>
          <w:rFonts w:hint="cs"/>
          <w:rtl/>
        </w:rPr>
        <w:t>ی</w:t>
      </w:r>
      <w:r w:rsidRPr="0025250D">
        <w:rPr>
          <w:vertAlign w:val="superscript"/>
          <w:rtl/>
        </w:rPr>
        <w:footnoteReference w:id="471"/>
      </w:r>
      <w:r w:rsidRPr="0025250D">
        <w:rPr>
          <w:rFonts w:hint="cs"/>
          <w:rtl/>
        </w:rPr>
        <w:t xml:space="preserve"> و </w:t>
      </w:r>
      <w:r w:rsidRPr="0025250D">
        <w:rPr>
          <w:rtl/>
        </w:rPr>
        <w:t>ل</w:t>
      </w:r>
      <w:r w:rsidRPr="0025250D">
        <w:rPr>
          <w:rFonts w:hint="cs"/>
          <w:rtl/>
        </w:rPr>
        <w:t>ی</w:t>
      </w:r>
      <w:r w:rsidRPr="0025250D">
        <w:rPr>
          <w:rFonts w:hint="eastAsia"/>
          <w:rtl/>
        </w:rPr>
        <w:t>سمن</w:t>
      </w:r>
      <w:r w:rsidRPr="0025250D">
        <w:rPr>
          <w:vertAlign w:val="superscript"/>
          <w:rtl/>
        </w:rPr>
        <w:footnoteReference w:id="472"/>
      </w:r>
      <w:r w:rsidRPr="0025250D">
        <w:rPr>
          <w:rFonts w:hint="cs"/>
          <w:rtl/>
        </w:rPr>
        <w:t xml:space="preserve"> در سال 2003 در مقاله خود با عنوان </w:t>
      </w:r>
      <w:r w:rsidR="009004D1" w:rsidRPr="0025250D">
        <w:rPr>
          <w:rtl/>
        </w:rPr>
        <w:t>«</w:t>
      </w:r>
      <w:r w:rsidRPr="0025250D">
        <w:rPr>
          <w:rFonts w:hint="cs"/>
          <w:rtl/>
        </w:rPr>
        <w:t>شناخت توسط پردازش بالابه پایین و پایین‌به‌بالا در قشا</w:t>
      </w:r>
      <w:r w:rsidR="009D17DA" w:rsidRPr="0025250D">
        <w:rPr>
          <w:rFonts w:hint="cs"/>
          <w:rtl/>
        </w:rPr>
        <w:t>ی</w:t>
      </w:r>
      <w:r w:rsidRPr="0025250D">
        <w:rPr>
          <w:rFonts w:hint="cs"/>
          <w:rtl/>
        </w:rPr>
        <w:t xml:space="preserve"> مغزی: کنترل توجه انتخابی</w:t>
      </w:r>
      <w:r w:rsidRPr="0025250D">
        <w:rPr>
          <w:vertAlign w:val="superscript"/>
          <w:rtl/>
        </w:rPr>
        <w:footnoteReference w:id="473"/>
      </w:r>
      <w:r w:rsidR="009004D1" w:rsidRPr="0025250D">
        <w:rPr>
          <w:rtl/>
        </w:rPr>
        <w:t>»</w:t>
      </w:r>
      <w:r w:rsidRPr="0025250D">
        <w:rPr>
          <w:rFonts w:hint="cs"/>
          <w:rtl/>
        </w:rPr>
        <w:t xml:space="preserve">، مدارکی را ارائه می‌دهند که مناطق مغزی آگاه‌تر ما دائما پیش‌بینی </w:t>
      </w:r>
      <w:r w:rsidR="009D17DA" w:rsidRPr="0025250D">
        <w:rPr>
          <w:rFonts w:hint="cs"/>
          <w:rtl/>
        </w:rPr>
        <w:t>بالا‌به‌پایین</w:t>
      </w:r>
      <w:r w:rsidRPr="0025250D">
        <w:rPr>
          <w:rFonts w:hint="cs"/>
          <w:rtl/>
        </w:rPr>
        <w:t xml:space="preserve"> (سراسری، پدیدار شونده، همگرا) پیچیده خود را انجام می‌دهند، درحالی‌که به‌عنوان منابع پایین‌به‌بالا تنوع ذهنی در جهان عمل می‌کنند. خروجی آگاهانه ما به‌شدت تحت تأثیر آنچه به آن توسط مناطق مغزی و </w:t>
      </w:r>
      <w:r w:rsidRPr="0025250D">
        <w:rPr>
          <w:rFonts w:hint="cs"/>
          <w:rtl/>
        </w:rPr>
        <w:lastRenderedPageBreak/>
        <w:t>حسی پایین‌تر در سلسله‌مراتب عصبی خورانده می‌شود، قرار دارد. این مناطق فعالیت‌های شدید پیش‌بینی پایین‌به‌بالای موازی را انجام می‌دهند و الگوها را می‌یابند، جهان را درک می‌کنند و نشانک‌ها را از نویز‌ها جدا می‌کنند. خطاهای پیش‌بینی در سطوح متعددی از این سلسله‌مراتب رخ می‌دهند؛ هر جایی که اختلافی میان آنچه مدل‌های ما پیش‌بینی می‌کنند و آنچه حس‌های ما در مورد حالات درونی و بیرونی</w:t>
      </w:r>
      <w:r w:rsidR="009D17DA" w:rsidRPr="0025250D">
        <w:rPr>
          <w:rFonts w:hint="cs"/>
          <w:rtl/>
        </w:rPr>
        <w:t xml:space="preserve"> ما</w:t>
      </w:r>
      <w:r w:rsidRPr="0025250D">
        <w:rPr>
          <w:rFonts w:hint="cs"/>
          <w:rtl/>
        </w:rPr>
        <w:t xml:space="preserve"> می‌گوی</w:t>
      </w:r>
      <w:r w:rsidR="009D17DA" w:rsidRPr="0025250D">
        <w:rPr>
          <w:rFonts w:hint="cs"/>
          <w:rtl/>
        </w:rPr>
        <w:t>ن</w:t>
      </w:r>
      <w:r w:rsidRPr="0025250D">
        <w:rPr>
          <w:rFonts w:hint="cs"/>
          <w:rtl/>
        </w:rPr>
        <w:t>د، مشاهده می‌کنیم. ما از بازخورد خطا در جهت تلاش برای به حداقل رساندن این خطاهای پیش‌بینی به‌مرور زمان استفاده می‌کنیم، به شکلی که مدل‌های ما به شکل بهتری واقعیت را بازتاب دهند. ما هنوز همه جزئیات و سطوح این فرایند پیش‌بین را</w:t>
      </w:r>
      <w:r w:rsidR="00EE4B64" w:rsidRPr="0025250D">
        <w:rPr>
          <w:rFonts w:hint="cs"/>
          <w:rtl/>
        </w:rPr>
        <w:t xml:space="preserve"> نمی‌</w:t>
      </w:r>
      <w:r w:rsidRPr="0025250D">
        <w:rPr>
          <w:rFonts w:hint="cs"/>
          <w:rtl/>
        </w:rPr>
        <w:t>دانیم، اما این مدل به‌طور تقریبی درست به نظر می‌رسد.</w:t>
      </w:r>
    </w:p>
    <w:p w14:paraId="04D6B8DA" w14:textId="3C33E86E" w:rsidR="0020732A" w:rsidRPr="0025250D" w:rsidRDefault="0020732A" w:rsidP="0020732A">
      <w:pPr>
        <w:rPr>
          <w:rtl/>
        </w:rPr>
      </w:pPr>
      <w:r w:rsidRPr="0025250D">
        <w:rPr>
          <w:rFonts w:hint="cs"/>
          <w:rtl/>
        </w:rPr>
        <w:t xml:space="preserve">عصب شناس و روانشناس </w:t>
      </w:r>
      <w:r w:rsidRPr="0025250D">
        <w:rPr>
          <w:rtl/>
        </w:rPr>
        <w:t>ل</w:t>
      </w:r>
      <w:r w:rsidRPr="0025250D">
        <w:rPr>
          <w:rFonts w:hint="cs"/>
          <w:rtl/>
        </w:rPr>
        <w:t>ی</w:t>
      </w:r>
      <w:r w:rsidRPr="0025250D">
        <w:rPr>
          <w:rFonts w:hint="eastAsia"/>
          <w:rtl/>
        </w:rPr>
        <w:t>زا</w:t>
      </w:r>
      <w:r w:rsidRPr="0025250D">
        <w:rPr>
          <w:rtl/>
        </w:rPr>
        <w:t xml:space="preserve"> بارت</w:t>
      </w:r>
      <w:r w:rsidRPr="0025250D">
        <w:rPr>
          <w:vertAlign w:val="superscript"/>
          <w:rtl/>
        </w:rPr>
        <w:footnoteReference w:id="474"/>
      </w:r>
      <w:r w:rsidRPr="0025250D">
        <w:rPr>
          <w:rFonts w:hint="cs"/>
          <w:rtl/>
        </w:rPr>
        <w:t xml:space="preserve"> درک دقیق تری از سامانه‌های 1 و 2 در کاوش خود از </w:t>
      </w:r>
      <w:r w:rsidR="00B13F65" w:rsidRPr="0025250D">
        <w:rPr>
          <w:rFonts w:hint="cs"/>
          <w:rtl/>
        </w:rPr>
        <w:t>چارچوب</w:t>
      </w:r>
      <w:r w:rsidRPr="0025250D">
        <w:rPr>
          <w:rFonts w:hint="cs"/>
          <w:rtl/>
        </w:rPr>
        <w:t xml:space="preserve"> پردازشی پیش‌بین پدیدار شونده از ذهن</w:t>
      </w:r>
      <w:r w:rsidRPr="0025250D">
        <w:rPr>
          <w:vertAlign w:val="superscript"/>
          <w:rtl/>
        </w:rPr>
        <w:footnoteReference w:id="475"/>
      </w:r>
      <w:r w:rsidRPr="0025250D">
        <w:rPr>
          <w:rFonts w:hint="cs"/>
          <w:rtl/>
        </w:rPr>
        <w:t xml:space="preserve"> به ما می‌دهد. او در کتاب خود به نام هفت و نیم درس در مورد مغز</w:t>
      </w:r>
      <w:r w:rsidRPr="0025250D">
        <w:rPr>
          <w:vertAlign w:val="superscript"/>
          <w:rtl/>
        </w:rPr>
        <w:footnoteReference w:id="476"/>
      </w:r>
      <w:r w:rsidRPr="0025250D">
        <w:rPr>
          <w:rFonts w:hint="cs"/>
          <w:rtl/>
        </w:rPr>
        <w:t xml:space="preserve"> در سال 2020، در کتاب فنی خود به نام هیجانات چگونه ایجاد می‌شوند</w:t>
      </w:r>
      <w:r w:rsidRPr="0025250D">
        <w:rPr>
          <w:vertAlign w:val="superscript"/>
          <w:rtl/>
        </w:rPr>
        <w:footnoteReference w:id="477"/>
      </w:r>
      <w:r w:rsidRPr="0025250D">
        <w:rPr>
          <w:rFonts w:hint="cs"/>
          <w:rtl/>
        </w:rPr>
        <w:t xml:space="preserve"> در سال 2018 و در یک مقاله علمی با عنوان </w:t>
      </w:r>
      <w:r w:rsidR="009004D1" w:rsidRPr="0025250D">
        <w:rPr>
          <w:rtl/>
        </w:rPr>
        <w:t>«</w:t>
      </w:r>
      <w:r w:rsidRPr="0025250D">
        <w:rPr>
          <w:rFonts w:hint="cs"/>
          <w:rtl/>
        </w:rPr>
        <w:t>قدرت پیش‌بینی ها</w:t>
      </w:r>
      <w:r w:rsidRPr="0025250D">
        <w:rPr>
          <w:vertAlign w:val="superscript"/>
          <w:rtl/>
        </w:rPr>
        <w:footnoteReference w:id="478"/>
      </w:r>
      <w:r w:rsidR="009004D1" w:rsidRPr="0025250D">
        <w:rPr>
          <w:rtl/>
        </w:rPr>
        <w:t>»</w:t>
      </w:r>
      <w:r w:rsidRPr="0025250D">
        <w:rPr>
          <w:rFonts w:hint="cs"/>
          <w:rtl/>
        </w:rPr>
        <w:t xml:space="preserve"> (</w:t>
      </w:r>
      <w:r w:rsidRPr="0025250D">
        <w:rPr>
          <w:rtl/>
        </w:rPr>
        <w:t>هاچ</w:t>
      </w:r>
      <w:r w:rsidRPr="0025250D">
        <w:rPr>
          <w:rFonts w:hint="cs"/>
          <w:rtl/>
        </w:rPr>
        <w:t>ی</w:t>
      </w:r>
      <w:r w:rsidRPr="0025250D">
        <w:rPr>
          <w:rFonts w:hint="eastAsia"/>
          <w:rtl/>
        </w:rPr>
        <w:t>نسون</w:t>
      </w:r>
      <w:r w:rsidRPr="0025250D">
        <w:rPr>
          <w:rtl/>
        </w:rPr>
        <w:t xml:space="preserve"> و بار</w:t>
      </w:r>
      <w:r w:rsidRPr="0025250D">
        <w:rPr>
          <w:vertAlign w:val="superscript"/>
          <w:rtl/>
        </w:rPr>
        <w:footnoteReference w:id="479"/>
      </w:r>
      <w:r w:rsidRPr="0025250D">
        <w:rPr>
          <w:rtl/>
        </w:rPr>
        <w:t>، 2019</w:t>
      </w:r>
      <w:r w:rsidRPr="0025250D">
        <w:rPr>
          <w:rFonts w:hint="cs"/>
          <w:rtl/>
        </w:rPr>
        <w:t>) در مجله رهنمودهای</w:t>
      </w:r>
      <w:r w:rsidRPr="0025250D">
        <w:rPr>
          <w:rtl/>
        </w:rPr>
        <w:t xml:space="preserve"> </w:t>
      </w:r>
      <w:r w:rsidRPr="0025250D">
        <w:rPr>
          <w:rFonts w:hint="cs"/>
          <w:rtl/>
        </w:rPr>
        <w:t>فعلی</w:t>
      </w:r>
      <w:r w:rsidRPr="0025250D">
        <w:rPr>
          <w:rtl/>
        </w:rPr>
        <w:t xml:space="preserve"> </w:t>
      </w:r>
      <w:r w:rsidRPr="0025250D">
        <w:rPr>
          <w:rFonts w:hint="cs"/>
          <w:rtl/>
        </w:rPr>
        <w:t>در</w:t>
      </w:r>
      <w:r w:rsidRPr="0025250D">
        <w:rPr>
          <w:rtl/>
        </w:rPr>
        <w:t xml:space="preserve"> </w:t>
      </w:r>
      <w:r w:rsidRPr="0025250D">
        <w:rPr>
          <w:rFonts w:hint="cs"/>
          <w:rtl/>
        </w:rPr>
        <w:t>علم</w:t>
      </w:r>
      <w:r w:rsidRPr="0025250D">
        <w:rPr>
          <w:rtl/>
        </w:rPr>
        <w:t xml:space="preserve"> </w:t>
      </w:r>
      <w:r w:rsidRPr="0025250D">
        <w:rPr>
          <w:rFonts w:hint="cs"/>
          <w:rtl/>
        </w:rPr>
        <w:t>روانشناسی</w:t>
      </w:r>
      <w:r w:rsidRPr="0025250D">
        <w:rPr>
          <w:vertAlign w:val="superscript"/>
          <w:rtl/>
        </w:rPr>
        <w:footnoteReference w:id="480"/>
      </w:r>
      <w:r w:rsidRPr="0025250D">
        <w:rPr>
          <w:rFonts w:hint="cs"/>
          <w:rtl/>
        </w:rPr>
        <w:t xml:space="preserve"> توضیح می‌دهد که در حقیقت هیچ تمایز واضحی میان این دو </w:t>
      </w:r>
      <w:r w:rsidR="008D6F97" w:rsidRPr="0025250D">
        <w:rPr>
          <w:rFonts w:hint="cs"/>
          <w:rtl/>
        </w:rPr>
        <w:t>سامانه</w:t>
      </w:r>
      <w:r w:rsidRPr="0025250D">
        <w:rPr>
          <w:rFonts w:hint="cs"/>
          <w:rtl/>
        </w:rPr>
        <w:t xml:space="preserve"> احساسی و فکری وجود ندارد. سامانه‌های 1 و 2 تنها دو انتهای یک پیوستار از تفکر پیش‌بین هستند. یک انتها سریع، ناخودآگاه و هیجانی و دیگری آهسته، آگاهانه‌تر و منطقی‌تر است.</w:t>
      </w:r>
    </w:p>
    <w:p w14:paraId="3C7E43B6" w14:textId="7E4D0366" w:rsidR="0020732A" w:rsidRPr="0025250D" w:rsidRDefault="0020732A" w:rsidP="0020732A">
      <w:pPr>
        <w:rPr>
          <w:rtl/>
        </w:rPr>
      </w:pPr>
      <w:r w:rsidRPr="0025250D">
        <w:rPr>
          <w:rFonts w:hint="cs"/>
          <w:rtl/>
        </w:rPr>
        <w:t xml:space="preserve">با یادآوری قانون توانی </w:t>
      </w:r>
      <w:r w:rsidR="00B124DE" w:rsidRPr="0025250D">
        <w:rPr>
          <w:rFonts w:hint="cs"/>
          <w:rtl/>
        </w:rPr>
        <w:t>آینده‌اندیش</w:t>
      </w:r>
      <w:r w:rsidRPr="0025250D">
        <w:rPr>
          <w:rFonts w:hint="cs"/>
          <w:rtl/>
        </w:rPr>
        <w:t xml:space="preserve">ی، بیان می‌کنیم که </w:t>
      </w:r>
      <w:r w:rsidR="008D6F97" w:rsidRPr="0025250D">
        <w:rPr>
          <w:rFonts w:hint="cs"/>
          <w:rtl/>
        </w:rPr>
        <w:t>سامانه</w:t>
      </w:r>
      <w:r w:rsidRPr="0025250D">
        <w:rPr>
          <w:rFonts w:hint="cs"/>
          <w:rtl/>
        </w:rPr>
        <w:t xml:space="preserve"> 1 به‌شدت در </w:t>
      </w:r>
      <w:r w:rsidR="009004D1" w:rsidRPr="0025250D">
        <w:rPr>
          <w:rtl/>
        </w:rPr>
        <w:t>«</w:t>
      </w:r>
      <w:r w:rsidR="0053184A" w:rsidRPr="0025250D">
        <w:rPr>
          <w:rFonts w:hint="cs"/>
          <w:rtl/>
        </w:rPr>
        <w:t>بخش چاق</w:t>
      </w:r>
      <w:r w:rsidR="009004D1" w:rsidRPr="0025250D">
        <w:rPr>
          <w:rtl/>
        </w:rPr>
        <w:t>»</w:t>
      </w:r>
      <w:r w:rsidRPr="0025250D">
        <w:rPr>
          <w:rFonts w:hint="cs"/>
          <w:rtl/>
        </w:rPr>
        <w:t xml:space="preserve"> قانون توانی، یعنی انتهای سمت چپ منحنی در شکل قرار می‌گیرد. این قسمت همه پیش‌بینی‌های سریع و اغلب ناخودآگاه و خودکار که مغز‌های ما انجام می‌دهند را در بر می‌گیرد. </w:t>
      </w:r>
      <w:r w:rsidR="008D6F97" w:rsidRPr="0025250D">
        <w:rPr>
          <w:rFonts w:hint="cs"/>
          <w:rtl/>
        </w:rPr>
        <w:t>سامانه</w:t>
      </w:r>
      <w:r w:rsidRPr="0025250D">
        <w:rPr>
          <w:rFonts w:hint="cs"/>
          <w:rtl/>
        </w:rPr>
        <w:t xml:space="preserve"> 2، در مقابل، بیش‌تر در </w:t>
      </w:r>
      <w:r w:rsidR="009004D1" w:rsidRPr="0025250D">
        <w:rPr>
          <w:rtl/>
        </w:rPr>
        <w:t>«</w:t>
      </w:r>
      <w:r w:rsidRPr="0025250D">
        <w:rPr>
          <w:rFonts w:hint="cs"/>
          <w:rtl/>
        </w:rPr>
        <w:t>دنباله بلند</w:t>
      </w:r>
      <w:r w:rsidR="009004D1" w:rsidRPr="0025250D">
        <w:rPr>
          <w:rtl/>
        </w:rPr>
        <w:t>»</w:t>
      </w:r>
      <w:r w:rsidRPr="0025250D">
        <w:rPr>
          <w:rFonts w:hint="cs"/>
          <w:rtl/>
        </w:rPr>
        <w:t xml:space="preserve"> </w:t>
      </w:r>
      <w:r w:rsidR="00B124DE" w:rsidRPr="0025250D">
        <w:rPr>
          <w:rFonts w:hint="cs"/>
          <w:rtl/>
        </w:rPr>
        <w:t>آینده‌اندیش</w:t>
      </w:r>
      <w:r w:rsidRPr="0025250D">
        <w:rPr>
          <w:rFonts w:hint="cs"/>
          <w:rtl/>
        </w:rPr>
        <w:t xml:space="preserve">ی تجلی می‌یابد. این مورد در همه انواع کند تر، متنوع تر، سنجیده‌تر و کم تعدادتر از تفکری که انجام می‌دهیم تجلی می‌یابد. </w:t>
      </w:r>
      <w:r w:rsidRPr="0025250D">
        <w:rPr>
          <w:rtl/>
        </w:rPr>
        <w:t>بارت</w:t>
      </w:r>
      <w:r w:rsidRPr="0025250D">
        <w:rPr>
          <w:rFonts w:hint="cs"/>
          <w:rtl/>
        </w:rPr>
        <w:t xml:space="preserve"> این نظریه را مطرح می‌کند که تفکر سنجیده عمدتا وقتی رخ می‌دهد که متوجه خطاهای پیش‌بینی (</w:t>
      </w:r>
      <w:r w:rsidR="009004D1" w:rsidRPr="0025250D">
        <w:rPr>
          <w:rtl/>
        </w:rPr>
        <w:t>«</w:t>
      </w:r>
      <w:r w:rsidRPr="0025250D">
        <w:rPr>
          <w:rFonts w:hint="cs"/>
          <w:rtl/>
        </w:rPr>
        <w:t>غافل‌گیری ها</w:t>
      </w:r>
      <w:r w:rsidRPr="0025250D">
        <w:rPr>
          <w:vertAlign w:val="superscript"/>
          <w:rtl/>
        </w:rPr>
        <w:footnoteReference w:id="481"/>
      </w:r>
      <w:r w:rsidR="009004D1" w:rsidRPr="0025250D">
        <w:rPr>
          <w:rtl/>
        </w:rPr>
        <w:t>»</w:t>
      </w:r>
      <w:r w:rsidRPr="0025250D">
        <w:rPr>
          <w:rFonts w:hint="cs"/>
          <w:rtl/>
        </w:rPr>
        <w:t xml:space="preserve">) بین مدل‌های شهودی و درکمان از واقعیت می‌شویم. در این مورد، خطای بازخورد (حلقه انجام) سبب می‌شود که این سوال را مطرح کنیم که چگونه باید مدل‌هایمان را </w:t>
      </w:r>
      <w:r w:rsidR="00A20CCB" w:rsidRPr="0025250D">
        <w:rPr>
          <w:rFonts w:hint="cs"/>
          <w:rtl/>
        </w:rPr>
        <w:t>به‌روزرسانی</w:t>
      </w:r>
      <w:r w:rsidRPr="0025250D">
        <w:rPr>
          <w:rFonts w:hint="cs"/>
          <w:rtl/>
        </w:rPr>
        <w:t xml:space="preserve"> کنیم. در هر دو صورت، آگاهانه‌تر ساختن مدل‌های پیش‌بینی مان و جستجو برای داده‌هایی برای تأیید یا رد آن‌ها، اهداف کلیدی </w:t>
      </w:r>
      <w:r w:rsidRPr="0025250D">
        <w:rPr>
          <w:rtl/>
        </w:rPr>
        <w:t>آینده‌نگاری</w:t>
      </w:r>
      <w:r w:rsidRPr="0025250D">
        <w:rPr>
          <w:rFonts w:hint="cs"/>
          <w:rtl/>
        </w:rPr>
        <w:t xml:space="preserve"> خوب هستند.</w:t>
      </w:r>
    </w:p>
    <w:p w14:paraId="52F85FA7" w14:textId="06C9D8FA" w:rsidR="0020732A" w:rsidRPr="0025250D" w:rsidRDefault="001E6C16" w:rsidP="00165822">
      <w:pPr>
        <w:jc w:val="center"/>
        <w:rPr>
          <w:rtl/>
        </w:rPr>
      </w:pPr>
      <w:r w:rsidRPr="0025250D">
        <w:rPr>
          <w:noProof/>
        </w:rPr>
        <w:lastRenderedPageBreak/>
        <w:drawing>
          <wp:inline distT="0" distB="0" distL="0" distR="0" wp14:anchorId="55473B87" wp14:editId="4BDA7995">
            <wp:extent cx="5685183" cy="3910062"/>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5701122" cy="3921024"/>
                    </a:xfrm>
                    <a:prstGeom prst="rect">
                      <a:avLst/>
                    </a:prstGeom>
                    <a:noFill/>
                  </pic:spPr>
                </pic:pic>
              </a:graphicData>
            </a:graphic>
          </wp:inline>
        </w:drawing>
      </w:r>
    </w:p>
    <w:p w14:paraId="1D7A6EE6" w14:textId="28EAE69B" w:rsidR="0020732A" w:rsidRPr="0025250D" w:rsidRDefault="0020732A" w:rsidP="0020732A">
      <w:pPr>
        <w:rPr>
          <w:rtl/>
        </w:rPr>
      </w:pPr>
      <w:r w:rsidRPr="0025250D">
        <w:rPr>
          <w:rFonts w:hint="cs"/>
          <w:rtl/>
        </w:rPr>
        <w:t>عصبشناسان محاسباتی</w:t>
      </w:r>
      <w:r w:rsidRPr="0025250D">
        <w:rPr>
          <w:vertAlign w:val="superscript"/>
          <w:rtl/>
        </w:rPr>
        <w:footnoteReference w:id="482"/>
      </w:r>
      <w:r w:rsidRPr="0025250D">
        <w:rPr>
          <w:rFonts w:hint="cs"/>
          <w:rtl/>
        </w:rPr>
        <w:t xml:space="preserve">، مانند </w:t>
      </w:r>
      <w:r w:rsidRPr="0025250D">
        <w:rPr>
          <w:rtl/>
        </w:rPr>
        <w:t>راجش رائو</w:t>
      </w:r>
      <w:r w:rsidRPr="0025250D">
        <w:rPr>
          <w:vertAlign w:val="superscript"/>
          <w:rtl/>
        </w:rPr>
        <w:footnoteReference w:id="483"/>
      </w:r>
      <w:r w:rsidRPr="0025250D">
        <w:rPr>
          <w:rFonts w:hint="cs"/>
          <w:rtl/>
        </w:rPr>
        <w:t>، این فرایند پیش‌بینی را در شبکه‌های عصبی مصنوعی</w:t>
      </w:r>
      <w:r w:rsidRPr="0025250D">
        <w:rPr>
          <w:vertAlign w:val="superscript"/>
          <w:rtl/>
        </w:rPr>
        <w:footnoteReference w:id="484"/>
      </w:r>
      <w:r w:rsidRPr="0025250D">
        <w:rPr>
          <w:rFonts w:hint="cs"/>
          <w:rtl/>
        </w:rPr>
        <w:t xml:space="preserve"> مدل‌سازی می‌کنند. </w:t>
      </w:r>
      <w:r w:rsidR="007118DE" w:rsidRPr="0025250D">
        <w:rPr>
          <w:rFonts w:hint="cs"/>
          <w:rtl/>
        </w:rPr>
        <w:t>همان‌طور</w:t>
      </w:r>
      <w:r w:rsidRPr="0025250D">
        <w:rPr>
          <w:rFonts w:hint="cs"/>
          <w:rtl/>
        </w:rPr>
        <w:t xml:space="preserve"> که در </w:t>
      </w:r>
      <w:r w:rsidRPr="0025250D">
        <w:t>BPF</w:t>
      </w:r>
      <w:r w:rsidRPr="0025250D">
        <w:rPr>
          <w:rFonts w:hint="cs"/>
          <w:rtl/>
        </w:rPr>
        <w:t xml:space="preserve"> خواهیم دید، هوش مصنوعی الهام</w:t>
      </w:r>
      <w:r w:rsidRPr="0025250D">
        <w:rPr>
          <w:rtl/>
        </w:rPr>
        <w:t xml:space="preserve"> </w:t>
      </w:r>
      <w:r w:rsidRPr="0025250D">
        <w:rPr>
          <w:rFonts w:hint="cs"/>
          <w:rtl/>
        </w:rPr>
        <w:t>گرفته</w:t>
      </w:r>
      <w:r w:rsidRPr="0025250D">
        <w:rPr>
          <w:rtl/>
        </w:rPr>
        <w:t xml:space="preserve"> </w:t>
      </w:r>
      <w:r w:rsidRPr="0025250D">
        <w:rPr>
          <w:rFonts w:hint="cs"/>
          <w:rtl/>
        </w:rPr>
        <w:t>از</w:t>
      </w:r>
      <w:r w:rsidRPr="0025250D">
        <w:rPr>
          <w:rtl/>
        </w:rPr>
        <w:t xml:space="preserve"> </w:t>
      </w:r>
      <w:r w:rsidRPr="0025250D">
        <w:rPr>
          <w:rFonts w:hint="cs"/>
          <w:rtl/>
        </w:rPr>
        <w:t>شبکه عصبی (</w:t>
      </w:r>
      <w:r w:rsidR="009004D1" w:rsidRPr="0025250D">
        <w:rPr>
          <w:rtl/>
        </w:rPr>
        <w:t>«</w:t>
      </w:r>
      <w:r w:rsidRPr="0025250D">
        <w:rPr>
          <w:rFonts w:hint="cs"/>
          <w:rtl/>
        </w:rPr>
        <w:t>مغزمانند</w:t>
      </w:r>
      <w:r w:rsidR="009004D1" w:rsidRPr="0025250D">
        <w:rPr>
          <w:rtl/>
        </w:rPr>
        <w:t>»</w:t>
      </w:r>
      <w:r w:rsidRPr="0025250D">
        <w:rPr>
          <w:rFonts w:hint="cs"/>
          <w:rtl/>
        </w:rPr>
        <w:t>) از همه هوش‌های مصنوعی کلاسیک (</w:t>
      </w:r>
      <w:r w:rsidR="009004D1" w:rsidRPr="0025250D">
        <w:rPr>
          <w:rtl/>
        </w:rPr>
        <w:t>«</w:t>
      </w:r>
      <w:r w:rsidRPr="0025250D">
        <w:rPr>
          <w:rFonts w:hint="cs"/>
          <w:rtl/>
        </w:rPr>
        <w:t>مهندسی شده</w:t>
      </w:r>
      <w:r w:rsidR="009004D1" w:rsidRPr="0025250D">
        <w:rPr>
          <w:rtl/>
        </w:rPr>
        <w:t>»</w:t>
      </w:r>
      <w:r w:rsidRPr="0025250D">
        <w:rPr>
          <w:rFonts w:hint="cs"/>
          <w:rtl/>
        </w:rPr>
        <w:t>) ما از حدود سال 2010 به بعد بهتر کار کرده است. از</w:t>
      </w:r>
      <w:r w:rsidR="009D17DA" w:rsidRPr="0025250D">
        <w:rPr>
          <w:rFonts w:hint="cs"/>
          <w:rtl/>
        </w:rPr>
        <w:t xml:space="preserve"> </w:t>
      </w:r>
      <w:r w:rsidRPr="0025250D">
        <w:rPr>
          <w:rFonts w:hint="cs"/>
          <w:rtl/>
        </w:rPr>
        <w:t>نظر ما این</w:t>
      </w:r>
      <w:r w:rsidR="009D17DA" w:rsidRPr="0025250D">
        <w:rPr>
          <w:rFonts w:hint="cs"/>
          <w:rtl/>
        </w:rPr>
        <w:t xml:space="preserve"> امر</w:t>
      </w:r>
      <w:r w:rsidRPr="0025250D">
        <w:rPr>
          <w:rFonts w:hint="cs"/>
          <w:rtl/>
        </w:rPr>
        <w:t xml:space="preserve"> شواهد اولیه</w:t>
      </w:r>
      <w:r w:rsidR="009D17DA" w:rsidRPr="0025250D">
        <w:rPr>
          <w:rFonts w:hint="cs"/>
          <w:rtl/>
        </w:rPr>
        <w:t>‌ای از</w:t>
      </w:r>
      <w:r w:rsidRPr="0025250D">
        <w:rPr>
          <w:rFonts w:hint="cs"/>
          <w:rtl/>
        </w:rPr>
        <w:t xml:space="preserve"> این است که روش‌های </w:t>
      </w:r>
      <w:r w:rsidRPr="0025250D">
        <w:rPr>
          <w:rtl/>
        </w:rPr>
        <w:t xml:space="preserve">تکاملی-توسعه‌ای </w:t>
      </w:r>
      <w:r w:rsidRPr="0025250D">
        <w:rPr>
          <w:rFonts w:hint="cs"/>
          <w:rtl/>
        </w:rPr>
        <w:t xml:space="preserve">که نه‌تنها طراحی مغز را تقلید می‌کنند، بلکه چگونگی ساخته شدن مغز را با استفاده از ژنتیک </w:t>
      </w:r>
      <w:r w:rsidRPr="0025250D">
        <w:rPr>
          <w:rtl/>
        </w:rPr>
        <w:t xml:space="preserve">تکاملی-توسعه‌ای </w:t>
      </w:r>
      <w:r w:rsidRPr="0025250D">
        <w:rPr>
          <w:rFonts w:hint="cs"/>
          <w:rtl/>
        </w:rPr>
        <w:t xml:space="preserve">تقلید می‌نمایند، آینده حتمی هوش مصنوعی هستند. ما از زمان اولین کامپیوتر هایمان که توسط دانشمند بزرگ </w:t>
      </w:r>
      <w:r w:rsidRPr="0025250D">
        <w:rPr>
          <w:rtl/>
        </w:rPr>
        <w:t>جان فون نو</w:t>
      </w:r>
      <w:r w:rsidRPr="0025250D">
        <w:rPr>
          <w:rFonts w:hint="cs"/>
          <w:rtl/>
        </w:rPr>
        <w:t>ی</w:t>
      </w:r>
      <w:r w:rsidRPr="0025250D">
        <w:rPr>
          <w:rFonts w:hint="eastAsia"/>
          <w:rtl/>
        </w:rPr>
        <w:t>مان</w:t>
      </w:r>
      <w:r w:rsidRPr="0025250D">
        <w:rPr>
          <w:vertAlign w:val="superscript"/>
          <w:rtl/>
        </w:rPr>
        <w:footnoteReference w:id="485"/>
      </w:r>
      <w:r w:rsidRPr="0025250D">
        <w:rPr>
          <w:rFonts w:hint="cs"/>
          <w:rtl/>
        </w:rPr>
        <w:t xml:space="preserve"> در دهه 1940 اختراع شدند تا به امروز از تقلید ژنتیکی استفاده کرده‌ایم. او دریافت که حلقه‌های </w:t>
      </w:r>
      <w:r w:rsidRPr="0025250D">
        <w:t>AND</w:t>
      </w:r>
      <w:r w:rsidRPr="0025250D">
        <w:rPr>
          <w:rFonts w:hint="cs"/>
          <w:rtl/>
        </w:rPr>
        <w:t xml:space="preserve">، </w:t>
      </w:r>
      <w:r w:rsidRPr="0025250D">
        <w:t>OR</w:t>
      </w:r>
      <w:r w:rsidRPr="0025250D">
        <w:rPr>
          <w:rFonts w:hint="cs"/>
          <w:rtl/>
        </w:rPr>
        <w:t xml:space="preserve"> و </w:t>
      </w:r>
      <w:r w:rsidRPr="0025250D">
        <w:t>NOT</w:t>
      </w:r>
      <w:r w:rsidRPr="0025250D">
        <w:rPr>
          <w:rFonts w:hint="cs"/>
          <w:rtl/>
        </w:rPr>
        <w:t xml:space="preserve"> بهترین مدل از شبکه‌های عصبی زیستی در آن زمان بودند و آن مدل را در کامپیوتر‌های دیجیتال، به‌عنوان یک </w:t>
      </w:r>
      <w:r w:rsidR="009004D1" w:rsidRPr="0025250D">
        <w:rPr>
          <w:rtl/>
        </w:rPr>
        <w:t>«</w:t>
      </w:r>
      <w:r w:rsidRPr="0025250D">
        <w:rPr>
          <w:rFonts w:hint="cs"/>
          <w:rtl/>
        </w:rPr>
        <w:t>طراحی برای یک مغز</w:t>
      </w:r>
      <w:r w:rsidRPr="0025250D">
        <w:rPr>
          <w:vertAlign w:val="superscript"/>
          <w:rtl/>
        </w:rPr>
        <w:footnoteReference w:id="486"/>
      </w:r>
      <w:r w:rsidR="009004D1" w:rsidRPr="0025250D">
        <w:rPr>
          <w:rtl/>
        </w:rPr>
        <w:t>»</w:t>
      </w:r>
      <w:r w:rsidRPr="0025250D">
        <w:rPr>
          <w:rFonts w:hint="cs"/>
          <w:rtl/>
        </w:rPr>
        <w:t xml:space="preserve"> به کار گرفت. البته، مغز‌های ما بسیار پیچیده‌تر از چنین مدلهای ساده‌ای هستند. در فرضیه هوش طبیعی</w:t>
      </w:r>
      <w:r w:rsidRPr="0025250D">
        <w:rPr>
          <w:vertAlign w:val="superscript"/>
          <w:rtl/>
        </w:rPr>
        <w:footnoteReference w:id="487"/>
      </w:r>
      <w:r w:rsidRPr="0025250D">
        <w:rPr>
          <w:rFonts w:hint="cs"/>
          <w:rtl/>
        </w:rPr>
        <w:t xml:space="preserve"> در </w:t>
      </w:r>
      <w:r w:rsidRPr="0025250D">
        <w:t>BPF</w:t>
      </w:r>
      <w:r w:rsidRPr="0025250D">
        <w:rPr>
          <w:rFonts w:hint="cs"/>
          <w:rtl/>
        </w:rPr>
        <w:t>، پیش‌بینی خواهیم کرد که همه بهترین هوش‌های مصنوعی در آینده، وادار خواهند شد که به شکل فزاینده‌ای مانند هوش طبیعی (زیستی) باشند. ما باور داریم که هیچ مسیر طراحی دیگری که به‌سادگی قابل دسترسی باشد برای دانشمندان علوم کامپیوتر برای ایجاد آنچه اکنون هوش عمومی مصنوعی</w:t>
      </w:r>
      <w:r w:rsidRPr="0025250D">
        <w:rPr>
          <w:vertAlign w:val="superscript"/>
          <w:rtl/>
        </w:rPr>
        <w:footnoteReference w:id="488"/>
      </w:r>
      <w:r w:rsidRPr="0025250D">
        <w:rPr>
          <w:rFonts w:hint="cs"/>
          <w:rtl/>
        </w:rPr>
        <w:t xml:space="preserve"> (</w:t>
      </w:r>
      <w:r w:rsidRPr="0025250D">
        <w:t>AGI</w:t>
      </w:r>
      <w:r w:rsidRPr="0025250D">
        <w:rPr>
          <w:rFonts w:hint="cs"/>
          <w:rtl/>
        </w:rPr>
        <w:t xml:space="preserve">) نامیده می‌شود، وجود ندارد. تکامل در ابتدا به هوشمندی عمومی و به اخلاق و </w:t>
      </w:r>
      <w:r w:rsidR="00A936B3" w:rsidRPr="0025250D">
        <w:rPr>
          <w:rFonts w:hint="cs"/>
          <w:rtl/>
        </w:rPr>
        <w:t>همدلی</w:t>
      </w:r>
      <w:r w:rsidRPr="0025250D">
        <w:rPr>
          <w:rFonts w:hint="cs"/>
          <w:rtl/>
        </w:rPr>
        <w:t xml:space="preserve"> جمعی رسیده است و پیش‌بینی می‌کنیم که همه مفید‌ترین و </w:t>
      </w:r>
      <w:r w:rsidR="00AE5BE0" w:rsidRPr="0025250D">
        <w:rPr>
          <w:rFonts w:hint="cs"/>
          <w:rtl/>
        </w:rPr>
        <w:t>منطبق‌ترین</w:t>
      </w:r>
      <w:r w:rsidRPr="0025250D">
        <w:rPr>
          <w:rFonts w:hint="cs"/>
          <w:rtl/>
        </w:rPr>
        <w:t xml:space="preserve"> هوش‌های مصنوعی ما، طبق طبیعت جهان ما، مجبور خواهند بود که از مسیر تکامل-توسعه‌ای مشابهی پیروی کنند. خواهیم دید.</w:t>
      </w:r>
    </w:p>
    <w:p w14:paraId="7CFD303D" w14:textId="1581E896" w:rsidR="0020732A" w:rsidRPr="0025250D" w:rsidRDefault="0020732A" w:rsidP="0020732A">
      <w:pPr>
        <w:rPr>
          <w:rtl/>
        </w:rPr>
      </w:pPr>
      <w:r w:rsidRPr="0025250D">
        <w:rPr>
          <w:rFonts w:hint="cs"/>
          <w:rtl/>
        </w:rPr>
        <w:lastRenderedPageBreak/>
        <w:t xml:space="preserve">انتزاعی‌ترین شبکه‌های </w:t>
      </w:r>
      <w:r w:rsidR="008D6F97" w:rsidRPr="0025250D">
        <w:rPr>
          <w:rFonts w:hint="cs"/>
          <w:rtl/>
        </w:rPr>
        <w:t>سامانه</w:t>
      </w:r>
      <w:r w:rsidRPr="0025250D">
        <w:rPr>
          <w:rFonts w:hint="cs"/>
          <w:rtl/>
        </w:rPr>
        <w:t xml:space="preserve"> 2 ما در نواحی کارکرد اجرایی</w:t>
      </w:r>
      <w:r w:rsidRPr="0025250D">
        <w:rPr>
          <w:vertAlign w:val="superscript"/>
          <w:rtl/>
        </w:rPr>
        <w:footnoteReference w:id="489"/>
      </w:r>
      <w:r w:rsidRPr="0025250D">
        <w:rPr>
          <w:rFonts w:hint="cs"/>
          <w:rtl/>
        </w:rPr>
        <w:t xml:space="preserve"> مغز هایمان قرار دارند. </w:t>
      </w:r>
      <w:r w:rsidRPr="0025250D">
        <w:rPr>
          <w:rtl/>
        </w:rPr>
        <w:t>سادندورف</w:t>
      </w:r>
      <w:r w:rsidRPr="0025250D">
        <w:rPr>
          <w:vertAlign w:val="superscript"/>
          <w:rtl/>
        </w:rPr>
        <w:footnoteReference w:id="490"/>
      </w:r>
      <w:r w:rsidRPr="0025250D">
        <w:rPr>
          <w:rFonts w:hint="cs"/>
          <w:rtl/>
        </w:rPr>
        <w:t xml:space="preserve"> و </w:t>
      </w:r>
      <w:r w:rsidRPr="0025250D">
        <w:rPr>
          <w:rtl/>
        </w:rPr>
        <w:t>کوربال</w:t>
      </w:r>
      <w:r w:rsidRPr="0025250D">
        <w:rPr>
          <w:rFonts w:hint="cs"/>
          <w:rtl/>
        </w:rPr>
        <w:t>ی</w:t>
      </w:r>
      <w:r w:rsidRPr="0025250D">
        <w:rPr>
          <w:rFonts w:hint="eastAsia"/>
          <w:rtl/>
        </w:rPr>
        <w:t>س</w:t>
      </w:r>
      <w:r w:rsidRPr="0025250D">
        <w:rPr>
          <w:vertAlign w:val="superscript"/>
          <w:rtl/>
        </w:rPr>
        <w:footnoteReference w:id="491"/>
      </w:r>
      <w:r w:rsidRPr="0025250D">
        <w:rPr>
          <w:rFonts w:hint="cs"/>
          <w:rtl/>
        </w:rPr>
        <w:t xml:space="preserve"> در کتاب </w:t>
      </w:r>
      <w:r w:rsidR="009004D1" w:rsidRPr="0025250D">
        <w:rPr>
          <w:rtl/>
        </w:rPr>
        <w:t>«</w:t>
      </w:r>
      <w:r w:rsidRPr="0025250D">
        <w:rPr>
          <w:rFonts w:hint="cs"/>
          <w:rtl/>
        </w:rPr>
        <w:t xml:space="preserve">تکامل </w:t>
      </w:r>
      <w:r w:rsidRPr="0025250D">
        <w:rPr>
          <w:rtl/>
        </w:rPr>
        <w:t>آینده‌نگاری</w:t>
      </w:r>
      <w:r w:rsidRPr="0025250D">
        <w:rPr>
          <w:vertAlign w:val="superscript"/>
          <w:rtl/>
        </w:rPr>
        <w:footnoteReference w:id="492"/>
      </w:r>
      <w:r w:rsidR="009004D1" w:rsidRPr="0025250D">
        <w:rPr>
          <w:rtl/>
        </w:rPr>
        <w:t>»</w:t>
      </w:r>
      <w:r w:rsidRPr="0025250D">
        <w:rPr>
          <w:rFonts w:hint="cs"/>
          <w:rtl/>
        </w:rPr>
        <w:t xml:space="preserve"> در سال 2007، طرح کلی سامانه‌های اجرایی در ل</w:t>
      </w:r>
      <w:r w:rsidR="009D17DA" w:rsidRPr="0025250D">
        <w:rPr>
          <w:rFonts w:hint="cs"/>
          <w:rtl/>
        </w:rPr>
        <w:t>وب</w:t>
      </w:r>
      <w:r w:rsidRPr="0025250D">
        <w:rPr>
          <w:rFonts w:hint="cs"/>
          <w:rtl/>
        </w:rPr>
        <w:t xml:space="preserve"> پیشانی</w:t>
      </w:r>
      <w:r w:rsidRPr="0025250D">
        <w:rPr>
          <w:vertAlign w:val="superscript"/>
          <w:rtl/>
        </w:rPr>
        <w:footnoteReference w:id="493"/>
      </w:r>
      <w:r w:rsidRPr="0025250D">
        <w:rPr>
          <w:rFonts w:hint="cs"/>
          <w:rtl/>
        </w:rPr>
        <w:t xml:space="preserve"> (</w:t>
      </w:r>
      <w:r w:rsidR="009004D1" w:rsidRPr="0025250D">
        <w:rPr>
          <w:rtl/>
        </w:rPr>
        <w:t>«</w:t>
      </w:r>
      <w:r w:rsidRPr="0025250D">
        <w:rPr>
          <w:rtl/>
        </w:rPr>
        <w:t>آینده‌نگاری</w:t>
      </w:r>
      <w:r w:rsidR="009004D1" w:rsidRPr="0025250D">
        <w:rPr>
          <w:rtl/>
        </w:rPr>
        <w:t>»</w:t>
      </w:r>
      <w:r w:rsidRPr="0025250D">
        <w:rPr>
          <w:rFonts w:hint="cs"/>
          <w:rtl/>
        </w:rPr>
        <w:t xml:space="preserve">) مغز ما را مشخص می‌کنند </w:t>
      </w:r>
      <w:r w:rsidRPr="0025250D">
        <w:rPr>
          <w:rFonts w:cs="Times New Roman" w:hint="cs"/>
          <w:rtl/>
        </w:rPr>
        <w:t>–</w:t>
      </w:r>
      <w:r w:rsidRPr="0025250D">
        <w:rPr>
          <w:rFonts w:hint="cs"/>
          <w:rtl/>
        </w:rPr>
        <w:t xml:space="preserve"> همان ناحیه آبی رنگ در تصویر. همه ما از این سامانه‌های اجرایی برای مدل سازی اقدامات آینده در جهان و برای مشارکت در </w:t>
      </w:r>
      <w:r w:rsidR="009004D1" w:rsidRPr="0025250D">
        <w:rPr>
          <w:rtl/>
        </w:rPr>
        <w:t>«</w:t>
      </w:r>
      <w:r w:rsidRPr="0025250D">
        <w:rPr>
          <w:rFonts w:hint="cs"/>
          <w:rtl/>
        </w:rPr>
        <w:t>سفر زمانی ذهنی</w:t>
      </w:r>
      <w:r w:rsidRPr="0025250D">
        <w:rPr>
          <w:vertAlign w:val="superscript"/>
          <w:rtl/>
        </w:rPr>
        <w:footnoteReference w:id="494"/>
      </w:r>
      <w:r w:rsidR="009004D1" w:rsidRPr="0025250D">
        <w:rPr>
          <w:rtl/>
        </w:rPr>
        <w:t>»</w:t>
      </w:r>
      <w:r w:rsidRPr="0025250D">
        <w:rPr>
          <w:rFonts w:hint="cs"/>
          <w:rtl/>
        </w:rPr>
        <w:t xml:space="preserve"> استفاده می‌کنیم. کارکردهای اجرایی پیچیده بشر مزیتی منحصربه‌فرد در انجام </w:t>
      </w:r>
      <w:r w:rsidRPr="0025250D">
        <w:rPr>
          <w:rtl/>
        </w:rPr>
        <w:t>آینده‌نگاری</w:t>
      </w:r>
      <w:r w:rsidRPr="0025250D">
        <w:rPr>
          <w:rFonts w:hint="cs"/>
          <w:rtl/>
        </w:rPr>
        <w:t xml:space="preserve"> را نسبت به دیگر حیوانات در اختیار ما می‌گذارند.</w:t>
      </w:r>
    </w:p>
    <w:p w14:paraId="18308754" w14:textId="295E9916" w:rsidR="0020732A" w:rsidRPr="0025250D" w:rsidRDefault="000818CA" w:rsidP="00165822">
      <w:pPr>
        <w:jc w:val="center"/>
        <w:rPr>
          <w:rtl/>
        </w:rPr>
      </w:pPr>
      <w:r w:rsidRPr="0025250D">
        <w:rPr>
          <w:noProof/>
        </w:rPr>
        <w:drawing>
          <wp:inline distT="0" distB="0" distL="0" distR="0" wp14:anchorId="38B363C8" wp14:editId="3F93C094">
            <wp:extent cx="5715000" cy="28575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a:extLst>
                        <a:ext uri="{BEBA8EAE-BF5A-486C-A8C5-ECC9F3942E4B}">
                          <a14:imgProps xmlns:a14="http://schemas.microsoft.com/office/drawing/2010/main">
                            <a14:imgLayer r:embed="rId46">
                              <a14:imgEffect>
                                <a14:saturation sat="0"/>
                              </a14:imgEffect>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5715000" cy="2857500"/>
                    </a:xfrm>
                    <a:prstGeom prst="rect">
                      <a:avLst/>
                    </a:prstGeom>
                    <a:noFill/>
                  </pic:spPr>
                </pic:pic>
              </a:graphicData>
            </a:graphic>
          </wp:inline>
        </w:drawing>
      </w:r>
    </w:p>
    <w:p w14:paraId="18C45C0A" w14:textId="1112DBBB" w:rsidR="0020732A" w:rsidRPr="0025250D" w:rsidRDefault="0020732A" w:rsidP="0020732A">
      <w:pPr>
        <w:rPr>
          <w:rtl/>
        </w:rPr>
      </w:pPr>
      <w:r w:rsidRPr="0025250D">
        <w:rPr>
          <w:rFonts w:hint="cs"/>
          <w:rtl/>
        </w:rPr>
        <w:t>کتاب ذهن</w:t>
      </w:r>
      <w:r w:rsidRPr="0025250D">
        <w:rPr>
          <w:rtl/>
        </w:rPr>
        <w:t xml:space="preserve"> </w:t>
      </w:r>
      <w:r w:rsidRPr="0025250D">
        <w:rPr>
          <w:rFonts w:hint="cs"/>
          <w:rtl/>
        </w:rPr>
        <w:t>بازگشتی</w:t>
      </w:r>
      <w:r w:rsidRPr="0025250D">
        <w:rPr>
          <w:vertAlign w:val="superscript"/>
          <w:rtl/>
        </w:rPr>
        <w:footnoteReference w:id="495"/>
      </w:r>
      <w:r w:rsidRPr="0025250D">
        <w:rPr>
          <w:rFonts w:hint="cs"/>
          <w:rtl/>
        </w:rPr>
        <w:t xml:space="preserve"> اثر </w:t>
      </w:r>
      <w:r w:rsidRPr="0025250D">
        <w:rPr>
          <w:rtl/>
        </w:rPr>
        <w:t>کوربال</w:t>
      </w:r>
      <w:r w:rsidRPr="0025250D">
        <w:rPr>
          <w:rFonts w:hint="cs"/>
          <w:rtl/>
        </w:rPr>
        <w:t>ی</w:t>
      </w:r>
      <w:r w:rsidRPr="0025250D">
        <w:rPr>
          <w:rFonts w:hint="eastAsia"/>
          <w:rtl/>
        </w:rPr>
        <w:t>س</w:t>
      </w:r>
      <w:r w:rsidRPr="0025250D">
        <w:rPr>
          <w:rFonts w:hint="cs"/>
          <w:rtl/>
        </w:rPr>
        <w:t xml:space="preserve"> در سال 2014 را برای مروری در مورد این‌که چگونه از این ویژگی خاص هوشمان استفاده می‌کنیم و گزینه‌های </w:t>
      </w:r>
      <w:r w:rsidR="00127288" w:rsidRPr="0025250D">
        <w:rPr>
          <w:rFonts w:hint="cs"/>
          <w:rtl/>
        </w:rPr>
        <w:t>بدیل</w:t>
      </w:r>
      <w:r w:rsidRPr="0025250D">
        <w:rPr>
          <w:rFonts w:hint="cs"/>
          <w:rtl/>
        </w:rPr>
        <w:t xml:space="preserve">، زمان‌ها و مکان‌های مختلف در گذشته، حال و آینده را کاوش می‌کنیم، ببینید. بر اساس مطالعات </w:t>
      </w:r>
      <w:r w:rsidRPr="0025250D">
        <w:t>fMRI</w:t>
      </w:r>
      <w:r w:rsidRPr="0025250D">
        <w:rPr>
          <w:rFonts w:hint="cs"/>
          <w:rtl/>
        </w:rPr>
        <w:t xml:space="preserve"> در مورد مغز متفکر، عصب شناس </w:t>
      </w:r>
      <w:r w:rsidRPr="0025250D">
        <w:rPr>
          <w:rtl/>
        </w:rPr>
        <w:t>ما</w:t>
      </w:r>
      <w:r w:rsidRPr="0025250D">
        <w:rPr>
          <w:rFonts w:hint="cs"/>
          <w:rtl/>
        </w:rPr>
        <w:t>ی</w:t>
      </w:r>
      <w:r w:rsidRPr="0025250D">
        <w:rPr>
          <w:rFonts w:hint="eastAsia"/>
          <w:rtl/>
        </w:rPr>
        <w:t>کل</w:t>
      </w:r>
      <w:r w:rsidRPr="0025250D">
        <w:rPr>
          <w:rtl/>
        </w:rPr>
        <w:t xml:space="preserve"> گازان</w:t>
      </w:r>
      <w:r w:rsidRPr="0025250D">
        <w:rPr>
          <w:rFonts w:hint="cs"/>
          <w:rtl/>
        </w:rPr>
        <w:t>ی</w:t>
      </w:r>
      <w:r w:rsidRPr="0025250D">
        <w:rPr>
          <w:rFonts w:hint="eastAsia"/>
          <w:rtl/>
        </w:rPr>
        <w:t>گا</w:t>
      </w:r>
      <w:r w:rsidRPr="0025250D">
        <w:rPr>
          <w:vertAlign w:val="superscript"/>
          <w:rtl/>
        </w:rPr>
        <w:footnoteReference w:id="496"/>
      </w:r>
      <w:r w:rsidRPr="0025250D">
        <w:rPr>
          <w:rFonts w:hint="cs"/>
          <w:rtl/>
        </w:rPr>
        <w:t xml:space="preserve"> یک ناحیه خاص از ل</w:t>
      </w:r>
      <w:r w:rsidR="009D17DA" w:rsidRPr="0025250D">
        <w:rPr>
          <w:rFonts w:hint="cs"/>
          <w:rtl/>
        </w:rPr>
        <w:t>وب</w:t>
      </w:r>
      <w:r w:rsidRPr="0025250D">
        <w:rPr>
          <w:rFonts w:hint="cs"/>
          <w:rtl/>
        </w:rPr>
        <w:t xml:space="preserve"> پیشانی مغز ما، ناحیه 10 در قشر</w:t>
      </w:r>
      <w:r w:rsidRPr="0025250D">
        <w:rPr>
          <w:rtl/>
        </w:rPr>
        <w:t xml:space="preserve"> </w:t>
      </w:r>
      <w:r w:rsidRPr="0025250D">
        <w:rPr>
          <w:rFonts w:hint="cs"/>
          <w:rtl/>
        </w:rPr>
        <w:t>پیش‌پیشانی مغز</w:t>
      </w:r>
      <w:r w:rsidRPr="0025250D">
        <w:rPr>
          <w:rFonts w:cs="Times New Roman" w:hint="cs"/>
          <w:rtl/>
        </w:rPr>
        <w:t>–</w:t>
      </w:r>
      <w:r w:rsidRPr="0025250D">
        <w:rPr>
          <w:rFonts w:hint="cs"/>
          <w:rtl/>
        </w:rPr>
        <w:t xml:space="preserve"> ناحیه‌ای دو برابر بزرگتر در انسان‌ها نسبت به شامپانزه‌ها </w:t>
      </w:r>
      <w:r w:rsidRPr="0025250D">
        <w:rPr>
          <w:rFonts w:cs="Times New Roman" w:hint="cs"/>
          <w:rtl/>
        </w:rPr>
        <w:t>–</w:t>
      </w:r>
      <w:r w:rsidRPr="0025250D">
        <w:rPr>
          <w:rFonts w:hint="cs"/>
          <w:rtl/>
        </w:rPr>
        <w:t xml:space="preserve"> را به‌عنوان محلی که جزئی‌ترین شبیه سازی‌های سنجیده از آینده بلندمدت ما در آن رخ می‌ده</w:t>
      </w:r>
      <w:r w:rsidR="009D17DA" w:rsidRPr="0025250D">
        <w:rPr>
          <w:rFonts w:hint="cs"/>
          <w:rtl/>
        </w:rPr>
        <w:t>ن</w:t>
      </w:r>
      <w:r w:rsidRPr="0025250D">
        <w:rPr>
          <w:rFonts w:hint="cs"/>
          <w:rtl/>
        </w:rPr>
        <w:t>د، معرفی می‌کند</w:t>
      </w:r>
      <w:r w:rsidR="008D6F97" w:rsidRPr="0025250D">
        <w:rPr>
          <w:rtl/>
        </w:rPr>
        <w:t xml:space="preserve">؛ </w:t>
      </w:r>
      <w:r w:rsidRPr="0025250D">
        <w:rPr>
          <w:rFonts w:hint="cs"/>
          <w:rtl/>
        </w:rPr>
        <w:t xml:space="preserve">بنابراین اجرای </w:t>
      </w:r>
      <w:r w:rsidRPr="0025250D">
        <w:rPr>
          <w:rtl/>
        </w:rPr>
        <w:t>آینده‌نگاری</w:t>
      </w:r>
      <w:r w:rsidRPr="0025250D">
        <w:rPr>
          <w:rFonts w:hint="cs"/>
          <w:rtl/>
        </w:rPr>
        <w:t xml:space="preserve"> نه فقط برای ذهن ناخودآگاه، شهودی و هیجانی ما، بلکه برای فرایند‌های فکری سطح بالا‌تر (</w:t>
      </w:r>
      <w:r w:rsidR="008D6F97" w:rsidRPr="0025250D">
        <w:rPr>
          <w:rFonts w:hint="cs"/>
          <w:rtl/>
        </w:rPr>
        <w:t>سامانه</w:t>
      </w:r>
      <w:r w:rsidRPr="0025250D">
        <w:rPr>
          <w:rFonts w:hint="cs"/>
          <w:rtl/>
        </w:rPr>
        <w:t xml:space="preserve"> 2) ما نیز نقشی محوری دارد.</w:t>
      </w:r>
    </w:p>
    <w:p w14:paraId="400B99CA" w14:textId="1B844BA2" w:rsidR="0020732A" w:rsidRPr="0025250D" w:rsidRDefault="0020732A" w:rsidP="0020732A">
      <w:pPr>
        <w:rPr>
          <w:rtl/>
        </w:rPr>
      </w:pPr>
      <w:r w:rsidRPr="0025250D">
        <w:rPr>
          <w:rFonts w:hint="cs"/>
          <w:rtl/>
        </w:rPr>
        <w:t>چنین مطالعاتی از این نظریه پشتیبانی می‌کن</w:t>
      </w:r>
      <w:r w:rsidR="009D17DA" w:rsidRPr="0025250D">
        <w:rPr>
          <w:rFonts w:hint="cs"/>
          <w:rtl/>
        </w:rPr>
        <w:t>ن</w:t>
      </w:r>
      <w:r w:rsidRPr="0025250D">
        <w:rPr>
          <w:rFonts w:hint="cs"/>
          <w:rtl/>
        </w:rPr>
        <w:t xml:space="preserve">د که </w:t>
      </w:r>
      <w:r w:rsidRPr="0025250D">
        <w:rPr>
          <w:rtl/>
        </w:rPr>
        <w:t>آینده‌نگاری</w:t>
      </w:r>
      <w:r w:rsidRPr="0025250D">
        <w:rPr>
          <w:rFonts w:hint="cs"/>
          <w:rtl/>
        </w:rPr>
        <w:t xml:space="preserve"> اجرایی</w:t>
      </w:r>
      <w:r w:rsidRPr="0025250D">
        <w:rPr>
          <w:vertAlign w:val="superscript"/>
          <w:rtl/>
        </w:rPr>
        <w:footnoteReference w:id="497"/>
      </w:r>
      <w:r w:rsidRPr="0025250D">
        <w:rPr>
          <w:rFonts w:hint="cs"/>
          <w:rtl/>
        </w:rPr>
        <w:t xml:space="preserve"> گونه ما، مهارت ما در استفاده از فناوری و </w:t>
      </w:r>
      <w:r w:rsidR="00202882" w:rsidRPr="0025250D">
        <w:rPr>
          <w:rFonts w:hint="cs"/>
          <w:rtl/>
        </w:rPr>
        <w:t>همدلی</w:t>
      </w:r>
      <w:r w:rsidRPr="0025250D">
        <w:rPr>
          <w:rFonts w:hint="cs"/>
          <w:rtl/>
        </w:rPr>
        <w:t xml:space="preserve"> (ارتباط) و اخلاق (وابستگی متقابل) ما، سر، دستان و قلب ما، ضروری‌ترین ویژگی‌های هوشمندی و آگاهی متعالی، نه فقط در انسان‌ها بلکه در هر شکلی از زندگی که به‌اندازه کافی پیچیده باشد، هستند. در کتاب 2، بیان خواهیم کرد که ظرفیت‌های ما در این سه حوزه، از یک دیدگاه شبکه‌ای به</w:t>
      </w:r>
      <w:r w:rsidRPr="0025250D">
        <w:rPr>
          <w:rtl/>
        </w:rPr>
        <w:t xml:space="preserve"> </w:t>
      </w:r>
      <w:r w:rsidRPr="0025250D">
        <w:rPr>
          <w:rFonts w:hint="cs"/>
          <w:rtl/>
        </w:rPr>
        <w:t>بهترین</w:t>
      </w:r>
      <w:r w:rsidRPr="0025250D">
        <w:rPr>
          <w:rtl/>
        </w:rPr>
        <w:t xml:space="preserve"> </w:t>
      </w:r>
      <w:r w:rsidRPr="0025250D">
        <w:rPr>
          <w:rFonts w:hint="cs"/>
          <w:rtl/>
        </w:rPr>
        <w:t>شکل</w:t>
      </w:r>
      <w:r w:rsidRPr="0025250D">
        <w:rPr>
          <w:rtl/>
        </w:rPr>
        <w:t xml:space="preserve"> </w:t>
      </w:r>
      <w:r w:rsidRPr="0025250D">
        <w:rPr>
          <w:rFonts w:hint="cs"/>
          <w:rtl/>
        </w:rPr>
        <w:t>توضیح</w:t>
      </w:r>
      <w:r w:rsidRPr="0025250D">
        <w:rPr>
          <w:rtl/>
        </w:rPr>
        <w:t xml:space="preserve"> می‌</w:t>
      </w:r>
      <w:r w:rsidRPr="0025250D">
        <w:rPr>
          <w:rFonts w:hint="cs"/>
          <w:rtl/>
        </w:rPr>
        <w:t>دهند</w:t>
      </w:r>
      <w:r w:rsidRPr="0025250D">
        <w:rPr>
          <w:rtl/>
        </w:rPr>
        <w:t xml:space="preserve"> </w:t>
      </w:r>
      <w:r w:rsidRPr="0025250D">
        <w:rPr>
          <w:rFonts w:hint="cs"/>
          <w:rtl/>
        </w:rPr>
        <w:t xml:space="preserve">که چرا تمدن بشری تحت مصیبت‌ها بسیار منعطف و مقاوم بوده است و چرا دائما در </w:t>
      </w:r>
      <w:r w:rsidR="00AE5BE0" w:rsidRPr="0025250D">
        <w:rPr>
          <w:rFonts w:hint="cs"/>
          <w:rtl/>
        </w:rPr>
        <w:t>انطباق</w:t>
      </w:r>
      <w:r w:rsidRPr="0025250D">
        <w:rPr>
          <w:rFonts w:hint="cs"/>
          <w:rtl/>
        </w:rPr>
        <w:t xml:space="preserve"> عمومی شتاب گرفته است.</w:t>
      </w:r>
    </w:p>
    <w:p w14:paraId="1817B007" w14:textId="7125369B" w:rsidR="0020732A" w:rsidRPr="0025250D" w:rsidRDefault="0020732A" w:rsidP="00165822">
      <w:pPr>
        <w:pStyle w:val="Heading3"/>
        <w:rPr>
          <w:rtl/>
        </w:rPr>
      </w:pPr>
      <w:r w:rsidRPr="0025250D">
        <w:rPr>
          <w:rFonts w:hint="cs"/>
          <w:rtl/>
        </w:rPr>
        <w:t xml:space="preserve">هم رقابتی </w:t>
      </w:r>
      <w:r w:rsidR="008D6F97" w:rsidRPr="0025250D">
        <w:rPr>
          <w:rFonts w:hint="cs"/>
          <w:rtl/>
        </w:rPr>
        <w:t>سامانه</w:t>
      </w:r>
      <w:r w:rsidRPr="0025250D">
        <w:rPr>
          <w:rFonts w:hint="cs"/>
          <w:rtl/>
        </w:rPr>
        <w:t xml:space="preserve"> 1 و 2 </w:t>
      </w:r>
      <w:r w:rsidRPr="0025250D">
        <w:rPr>
          <w:rFonts w:ascii="Times New Roman" w:hAnsi="Times New Roman" w:cs="Times New Roman" w:hint="cs"/>
          <w:rtl/>
        </w:rPr>
        <w:t>–</w:t>
      </w:r>
      <w:r w:rsidRPr="0025250D">
        <w:rPr>
          <w:rFonts w:hint="cs"/>
          <w:rtl/>
        </w:rPr>
        <w:t xml:space="preserve"> چرخه‌های هیجان-شناخت-عمل</w:t>
      </w:r>
    </w:p>
    <w:p w14:paraId="5FC8C79F" w14:textId="7478C4A1" w:rsidR="0020732A" w:rsidRPr="0025250D" w:rsidRDefault="0020732A" w:rsidP="0020732A">
      <w:pPr>
        <w:rPr>
          <w:rtl/>
        </w:rPr>
      </w:pPr>
      <w:r w:rsidRPr="0025250D">
        <w:rPr>
          <w:rFonts w:hint="cs"/>
          <w:rtl/>
        </w:rPr>
        <w:t xml:space="preserve">اصطلاحاتی مانند هیجان و شناخت و سامانه‌های 1 و 2 مفید هستند، اما </w:t>
      </w:r>
      <w:r w:rsidR="007118DE" w:rsidRPr="0025250D">
        <w:rPr>
          <w:rFonts w:hint="cs"/>
          <w:rtl/>
        </w:rPr>
        <w:t>همان‌طور</w:t>
      </w:r>
      <w:r w:rsidRPr="0025250D">
        <w:rPr>
          <w:rFonts w:hint="cs"/>
          <w:rtl/>
        </w:rPr>
        <w:t xml:space="preserve"> که </w:t>
      </w:r>
      <w:r w:rsidRPr="0025250D">
        <w:rPr>
          <w:rtl/>
        </w:rPr>
        <w:t>ل</w:t>
      </w:r>
      <w:r w:rsidRPr="0025250D">
        <w:rPr>
          <w:rFonts w:hint="cs"/>
          <w:rtl/>
        </w:rPr>
        <w:t>ی</w:t>
      </w:r>
      <w:r w:rsidRPr="0025250D">
        <w:rPr>
          <w:rFonts w:hint="eastAsia"/>
          <w:rtl/>
        </w:rPr>
        <w:t>زا</w:t>
      </w:r>
      <w:r w:rsidRPr="0025250D">
        <w:rPr>
          <w:rtl/>
        </w:rPr>
        <w:t xml:space="preserve"> بارت</w:t>
      </w:r>
      <w:r w:rsidRPr="0025250D">
        <w:rPr>
          <w:rFonts w:hint="cs"/>
          <w:rtl/>
        </w:rPr>
        <w:t xml:space="preserve"> یادآوری می‌کند، تنها مدل‌هایی تقریبی هستند. مغزهای ما پیچیده‌ترین سامانه‌ها در جهان شناخته شده ما هستند. آن‌ها عمق و جزئیات بسیار بیش‌تری نسبت به آنچه بتوانیم با این دسته‌بندی‌های </w:t>
      </w:r>
      <w:r w:rsidRPr="0025250D">
        <w:rPr>
          <w:rFonts w:hint="cs"/>
          <w:rtl/>
        </w:rPr>
        <w:lastRenderedPageBreak/>
        <w:t xml:space="preserve">دو تایی توصیف کنیم دارند. یک کتاب عالی که استعاره‌های دائما در حال بهبود ما برای مغز و ذهن را بررسی می‌کند اثر عصب شناس </w:t>
      </w:r>
      <w:r w:rsidRPr="0025250D">
        <w:rPr>
          <w:rtl/>
        </w:rPr>
        <w:t>مت کاب</w:t>
      </w:r>
      <w:r w:rsidRPr="0025250D">
        <w:rPr>
          <w:vertAlign w:val="superscript"/>
          <w:rtl/>
        </w:rPr>
        <w:footnoteReference w:id="498"/>
      </w:r>
      <w:r w:rsidRPr="0025250D">
        <w:rPr>
          <w:rFonts w:hint="cs"/>
          <w:rtl/>
        </w:rPr>
        <w:t xml:space="preserve"> به نام ایده مغز: گذشته و آینده علم اعصاب</w:t>
      </w:r>
      <w:r w:rsidRPr="0025250D">
        <w:rPr>
          <w:vertAlign w:val="superscript"/>
          <w:rtl/>
        </w:rPr>
        <w:footnoteReference w:id="499"/>
      </w:r>
      <w:r w:rsidRPr="0025250D">
        <w:rPr>
          <w:rFonts w:hint="cs"/>
          <w:rtl/>
        </w:rPr>
        <w:t xml:space="preserve"> در سال 2020 است. بااین‌وجود، </w:t>
      </w:r>
      <w:r w:rsidR="007118DE" w:rsidRPr="0025250D">
        <w:rPr>
          <w:rFonts w:hint="cs"/>
          <w:rtl/>
        </w:rPr>
        <w:t>همان‌طور</w:t>
      </w:r>
      <w:r w:rsidRPr="0025250D">
        <w:rPr>
          <w:rFonts w:hint="cs"/>
          <w:rtl/>
        </w:rPr>
        <w:t xml:space="preserve"> که خواهیم دید، حتی مدل‌های ساده، درصورتی‌که بنیان داشته باشند، می‌توانند بینش مفید بسیار زیادی برای انجام </w:t>
      </w:r>
      <w:r w:rsidRPr="0025250D">
        <w:rPr>
          <w:rtl/>
        </w:rPr>
        <w:t>آینده‌نگاری</w:t>
      </w:r>
      <w:r w:rsidRPr="0025250D">
        <w:rPr>
          <w:rFonts w:hint="cs"/>
          <w:rtl/>
        </w:rPr>
        <w:t xml:space="preserve"> ارائه دهند. در اصطلاح رایج، استفاده از سامانه‌های 1 و 2 برای تولید عمل می‌تواند یک چرخه </w:t>
      </w:r>
      <w:r w:rsidRPr="0025250D">
        <w:t>ECA</w:t>
      </w:r>
      <w:r w:rsidRPr="0025250D">
        <w:rPr>
          <w:rFonts w:hint="cs"/>
          <w:rtl/>
        </w:rPr>
        <w:t xml:space="preserve"> (هیجان-شناخت-عمل</w:t>
      </w:r>
      <w:r w:rsidRPr="0025250D">
        <w:rPr>
          <w:vertAlign w:val="superscript"/>
          <w:rtl/>
        </w:rPr>
        <w:footnoteReference w:id="500"/>
      </w:r>
      <w:r w:rsidRPr="0025250D">
        <w:rPr>
          <w:rFonts w:hint="cs"/>
          <w:rtl/>
        </w:rPr>
        <w:t>) نامیده شود. روانشناسان</w:t>
      </w:r>
      <w:r w:rsidRPr="0025250D">
        <w:rPr>
          <w:rtl/>
        </w:rPr>
        <w:t xml:space="preserve"> </w:t>
      </w:r>
      <w:r w:rsidRPr="0025250D">
        <w:rPr>
          <w:rFonts w:hint="cs"/>
          <w:rtl/>
        </w:rPr>
        <w:t>عامه‌پسند</w:t>
      </w:r>
      <w:r w:rsidRPr="0025250D">
        <w:rPr>
          <w:vertAlign w:val="superscript"/>
          <w:rtl/>
        </w:rPr>
        <w:footnoteReference w:id="501"/>
      </w:r>
      <w:r w:rsidRPr="0025250D">
        <w:rPr>
          <w:rFonts w:hint="cs"/>
          <w:rtl/>
        </w:rPr>
        <w:t xml:space="preserve"> در گذشته به هیجان و شناخت با عنوان تفکر </w:t>
      </w:r>
      <w:r w:rsidR="009004D1" w:rsidRPr="0025250D">
        <w:rPr>
          <w:rtl/>
        </w:rPr>
        <w:t>«</w:t>
      </w:r>
      <w:r w:rsidRPr="0025250D">
        <w:rPr>
          <w:rFonts w:hint="cs"/>
          <w:rtl/>
        </w:rPr>
        <w:t>مغز راست</w:t>
      </w:r>
      <w:r w:rsidRPr="0025250D">
        <w:rPr>
          <w:vertAlign w:val="superscript"/>
          <w:rtl/>
        </w:rPr>
        <w:footnoteReference w:id="502"/>
      </w:r>
      <w:r w:rsidR="009004D1" w:rsidRPr="0025250D">
        <w:rPr>
          <w:rtl/>
        </w:rPr>
        <w:t>»</w:t>
      </w:r>
      <w:r w:rsidRPr="0025250D">
        <w:rPr>
          <w:rFonts w:hint="cs"/>
          <w:rtl/>
        </w:rPr>
        <w:t xml:space="preserve"> و </w:t>
      </w:r>
      <w:r w:rsidR="009004D1" w:rsidRPr="0025250D">
        <w:rPr>
          <w:rtl/>
        </w:rPr>
        <w:t>«</w:t>
      </w:r>
      <w:r w:rsidRPr="0025250D">
        <w:rPr>
          <w:rFonts w:hint="cs"/>
          <w:rtl/>
        </w:rPr>
        <w:t>مغز چپ</w:t>
      </w:r>
      <w:r w:rsidRPr="0025250D">
        <w:rPr>
          <w:vertAlign w:val="superscript"/>
          <w:rtl/>
        </w:rPr>
        <w:footnoteReference w:id="503"/>
      </w:r>
      <w:r w:rsidR="009004D1" w:rsidRPr="0025250D">
        <w:rPr>
          <w:rtl/>
        </w:rPr>
        <w:t>»</w:t>
      </w:r>
      <w:r w:rsidRPr="0025250D">
        <w:rPr>
          <w:rFonts w:hint="cs"/>
          <w:rtl/>
        </w:rPr>
        <w:t xml:space="preserve"> اشاره می‌کردند. در واقعیت، هر دو </w:t>
      </w:r>
      <w:r w:rsidR="008D6F97" w:rsidRPr="0025250D">
        <w:rPr>
          <w:rFonts w:hint="cs"/>
          <w:rtl/>
        </w:rPr>
        <w:t>سامانه</w:t>
      </w:r>
      <w:r w:rsidRPr="0025250D">
        <w:rPr>
          <w:rFonts w:hint="cs"/>
          <w:rtl/>
        </w:rPr>
        <w:t xml:space="preserve"> در هر دو سمت مغز، با استفاده از مسیر‌های عصبی در هم تنیده کار می‌کنند. شکل زیر کارکرد‌های سامانه‌های 1 و 2 را که به شکل متقارن در کنار هم توزیع شده‌اند نشان می‌دهد. سویابی</w:t>
      </w:r>
      <w:r w:rsidRPr="0025250D">
        <w:rPr>
          <w:vertAlign w:val="superscript"/>
          <w:rtl/>
        </w:rPr>
        <w:footnoteReference w:id="504"/>
      </w:r>
      <w:r w:rsidRPr="0025250D">
        <w:rPr>
          <w:rFonts w:hint="cs"/>
          <w:rtl/>
        </w:rPr>
        <w:t xml:space="preserve"> کارکرد مغز رخ می‌دهد، اما به شیوه‌های کاملاً خاص و پیچیده و پس از درنظرگرفتن </w:t>
      </w:r>
      <w:r w:rsidR="00B13F65" w:rsidRPr="0025250D">
        <w:rPr>
          <w:rFonts w:hint="cs"/>
          <w:rtl/>
        </w:rPr>
        <w:t>یکپارچه‌سازی</w:t>
      </w:r>
      <w:r w:rsidRPr="0025250D">
        <w:rPr>
          <w:rFonts w:hint="cs"/>
          <w:rtl/>
        </w:rPr>
        <w:t xml:space="preserve"> به‌عنوان مضمون اصلی</w:t>
      </w:r>
      <w:r w:rsidRPr="0025250D">
        <w:rPr>
          <w:vertAlign w:val="superscript"/>
          <w:rtl/>
        </w:rPr>
        <w:footnoteReference w:id="505"/>
      </w:r>
      <w:r w:rsidRPr="0025250D">
        <w:rPr>
          <w:rFonts w:hint="cs"/>
          <w:rtl/>
        </w:rPr>
        <w:t xml:space="preserve"> مغز. برای مثال، میزانی سویابی آگاهی</w:t>
      </w:r>
      <w:r w:rsidRPr="0025250D">
        <w:rPr>
          <w:vertAlign w:val="superscript"/>
          <w:rtl/>
        </w:rPr>
        <w:footnoteReference w:id="506"/>
      </w:r>
      <w:r w:rsidRPr="0025250D">
        <w:rPr>
          <w:rFonts w:hint="cs"/>
          <w:rtl/>
        </w:rPr>
        <w:t xml:space="preserve"> وجود دارد. </w:t>
      </w:r>
      <w:r w:rsidRPr="0025250D">
        <w:rPr>
          <w:rtl/>
        </w:rPr>
        <w:t>لوب آه</w:t>
      </w:r>
      <w:r w:rsidRPr="0025250D">
        <w:rPr>
          <w:rFonts w:hint="cs"/>
          <w:rtl/>
        </w:rPr>
        <w:t>ی</w:t>
      </w:r>
      <w:r w:rsidRPr="0025250D">
        <w:rPr>
          <w:rFonts w:hint="eastAsia"/>
          <w:rtl/>
        </w:rPr>
        <w:t>انه‌ا</w:t>
      </w:r>
      <w:r w:rsidRPr="0025250D">
        <w:rPr>
          <w:rFonts w:hint="cs"/>
          <w:rtl/>
        </w:rPr>
        <w:t>ی</w:t>
      </w:r>
      <w:r w:rsidRPr="0025250D">
        <w:rPr>
          <w:vertAlign w:val="superscript"/>
          <w:rtl/>
        </w:rPr>
        <w:footnoteReference w:id="507"/>
      </w:r>
      <w:r w:rsidRPr="0025250D">
        <w:rPr>
          <w:rFonts w:hint="cs"/>
          <w:rtl/>
        </w:rPr>
        <w:t xml:space="preserve"> سمت چپ ما معمولاً وقتی به‌صورت اول شخص خودمان را تصور می‌کنیم فعال‌تر است و لوب سمت راست معمولاً وقتی خود را به شکل سوم شخص، از دیدگاهی خارج از بدن خودمان، تصور می‌کنیم فعالیت بیش‌تری دارد. ما در آنچه پارادوکس</w:t>
      </w:r>
      <w:r w:rsidRPr="0025250D">
        <w:rPr>
          <w:rtl/>
        </w:rPr>
        <w:t xml:space="preserve"> </w:t>
      </w:r>
      <w:r w:rsidRPr="0025250D">
        <w:rPr>
          <w:rFonts w:hint="cs"/>
          <w:rtl/>
        </w:rPr>
        <w:t>سلیمان</w:t>
      </w:r>
      <w:r w:rsidRPr="0025250D">
        <w:rPr>
          <w:vertAlign w:val="superscript"/>
          <w:rtl/>
        </w:rPr>
        <w:footnoteReference w:id="508"/>
      </w:r>
      <w:r w:rsidRPr="0025250D">
        <w:rPr>
          <w:rFonts w:hint="cs"/>
          <w:rtl/>
        </w:rPr>
        <w:t xml:space="preserve"> نامیده می‌شود، معمولاً در قبول پیشنهادهای خودمان بسیار ضعیف عمل می‌کنیم. برای مبارزه با آن، می‌توانیم از فاصله گذاری فردی استفاده کنیم، یک دیدگاه سوم شخص اتخاذ کنیم و به خودمان از خارج مشاوره داده و با خودمان مثل یک فرد دیگر رفتار کنیم. این همان پیشنهادی است که ما در حقیقت استفاده خواهیم کرد.</w:t>
      </w:r>
    </w:p>
    <w:p w14:paraId="349EF8C0" w14:textId="3351B59D" w:rsidR="0020732A" w:rsidRPr="0025250D" w:rsidRDefault="0020732A" w:rsidP="0020732A">
      <w:pPr>
        <w:rPr>
          <w:rtl/>
        </w:rPr>
      </w:pPr>
      <w:r w:rsidRPr="0025250D">
        <w:rPr>
          <w:rFonts w:hint="cs"/>
          <w:rtl/>
        </w:rPr>
        <w:t xml:space="preserve">چرخه </w:t>
      </w:r>
      <w:r w:rsidRPr="0025250D">
        <w:t>ECA</w:t>
      </w:r>
      <w:r w:rsidRPr="0025250D">
        <w:rPr>
          <w:rFonts w:hint="cs"/>
          <w:rtl/>
        </w:rPr>
        <w:t xml:space="preserve"> به ما یادآوری می‌کند که ما معمولاً ابتدا حالات و نشانک‌های هیجانی خود را </w:t>
      </w:r>
      <w:r w:rsidR="006335B8" w:rsidRPr="0025250D">
        <w:rPr>
          <w:rtl/>
        </w:rPr>
        <w:t>(</w:t>
      </w:r>
      <w:r w:rsidRPr="0025250D">
        <w:rPr>
          <w:rFonts w:hint="cs"/>
          <w:rtl/>
        </w:rPr>
        <w:t xml:space="preserve">و اگر هوش هیجانی داشته باشیم، حالات و نشانک‌های هیجانی دیگران را نیز) به‌صورت شهودی درک می‌کنیم، سپس حالات و نشانک‌های شناختی خود </w:t>
      </w:r>
      <w:r w:rsidR="006335B8" w:rsidRPr="0025250D">
        <w:rPr>
          <w:rtl/>
        </w:rPr>
        <w:t>(</w:t>
      </w:r>
      <w:r w:rsidRPr="0025250D">
        <w:rPr>
          <w:rFonts w:hint="cs"/>
          <w:rtl/>
        </w:rPr>
        <w:t>و در حال ایدئال، دیگران) را به‌صورت شهودی درک می‌کنیم و سپس عمل می‌نماییم. یا این چرخه را میانبر زده و مستقیما از هیجان شخصی به عمل جهش می‌کنیم. هیجانات بیان کننده شیوه راهبری ما در این جهان، به‌عنوان حیوانات هوشمند، پیش از این‌که زب</w:t>
      </w:r>
      <w:r w:rsidR="009D17DA" w:rsidRPr="0025250D">
        <w:rPr>
          <w:rFonts w:hint="cs"/>
          <w:rtl/>
        </w:rPr>
        <w:t>ا</w:t>
      </w:r>
      <w:r w:rsidRPr="0025250D">
        <w:rPr>
          <w:rFonts w:hint="cs"/>
          <w:rtl/>
        </w:rPr>
        <w:t>ن‌ها، علوم و فناوری‌های پیچیده‌ای داشته باشیم، هستند. خُلق</w:t>
      </w:r>
      <w:r w:rsidRPr="0025250D">
        <w:rPr>
          <w:vertAlign w:val="superscript"/>
          <w:rtl/>
        </w:rPr>
        <w:footnoteReference w:id="509"/>
      </w:r>
      <w:r w:rsidRPr="0025250D">
        <w:rPr>
          <w:rFonts w:hint="cs"/>
          <w:rtl/>
        </w:rPr>
        <w:t xml:space="preserve"> ما حتی کیفیت تفکر ما را تعیین می‌کند. این تقدم هیجانات در تفکر ما دلیل اهمیت بیش‌تر هوش هیجانی (</w:t>
      </w:r>
      <w:r w:rsidRPr="0025250D">
        <w:t>EQ</w:t>
      </w:r>
      <w:r w:rsidRPr="0025250D">
        <w:rPr>
          <w:rFonts w:hint="cs"/>
          <w:rtl/>
        </w:rPr>
        <w:t>) ما برای موفقیت شغلی نسبت به هوش تحلیلی</w:t>
      </w:r>
      <w:r w:rsidRPr="0025250D">
        <w:rPr>
          <w:vertAlign w:val="superscript"/>
          <w:rtl/>
        </w:rPr>
        <w:footnoteReference w:id="510"/>
      </w:r>
      <w:r w:rsidRPr="0025250D">
        <w:rPr>
          <w:rFonts w:hint="cs"/>
          <w:rtl/>
        </w:rPr>
        <w:t xml:space="preserve"> (</w:t>
      </w:r>
      <w:r w:rsidRPr="0025250D">
        <w:t>EQ</w:t>
      </w:r>
      <w:r w:rsidRPr="0025250D">
        <w:rPr>
          <w:rFonts w:hint="cs"/>
          <w:rtl/>
        </w:rPr>
        <w:t xml:space="preserve">) است. خوشبختانه، هم </w:t>
      </w:r>
      <w:r w:rsidRPr="0025250D">
        <w:t>EQ</w:t>
      </w:r>
      <w:r w:rsidRPr="0025250D">
        <w:rPr>
          <w:rFonts w:hint="cs"/>
          <w:rtl/>
        </w:rPr>
        <w:t xml:space="preserve"> و هم </w:t>
      </w:r>
      <w:r w:rsidRPr="0025250D">
        <w:t>IQ</w:t>
      </w:r>
      <w:r w:rsidR="008D6F97" w:rsidRPr="0025250D">
        <w:rPr>
          <w:rtl/>
        </w:rPr>
        <w:t xml:space="preserve"> </w:t>
      </w:r>
      <w:r w:rsidRPr="0025250D">
        <w:rPr>
          <w:rFonts w:hint="cs"/>
          <w:rtl/>
        </w:rPr>
        <w:t>ما می‌توانند در عمل، هم از طریق درمان تخصصی و هم از طریق درمان فردی بهبود یابند.</w:t>
      </w:r>
    </w:p>
    <w:p w14:paraId="51B9BD5C" w14:textId="2CDB62E7" w:rsidR="0020732A" w:rsidRPr="0025250D" w:rsidRDefault="009520C8" w:rsidP="0037035F">
      <w:pPr>
        <w:jc w:val="center"/>
        <w:rPr>
          <w:rtl/>
        </w:rPr>
      </w:pPr>
      <w:r w:rsidRPr="0025250D">
        <w:rPr>
          <w:noProof/>
          <w:lang w:bidi="ar-SA"/>
        </w:rPr>
        <w:lastRenderedPageBreak/>
        <w:drawing>
          <wp:inline distT="0" distB="0" distL="0" distR="0" wp14:anchorId="7D67480A" wp14:editId="224FB420">
            <wp:extent cx="4655128" cy="311215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screen">
                      <a:extLst>
                        <a:ext uri="{BEBA8EAE-BF5A-486C-A8C5-ECC9F3942E4B}">
                          <a14:imgProps xmlns:a14="http://schemas.microsoft.com/office/drawing/2010/main">
                            <a14:imgLayer r:embed="rId48">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4660967" cy="3116054"/>
                    </a:xfrm>
                    <a:prstGeom prst="rect">
                      <a:avLst/>
                    </a:prstGeom>
                    <a:noFill/>
                  </pic:spPr>
                </pic:pic>
              </a:graphicData>
            </a:graphic>
          </wp:inline>
        </w:drawing>
      </w:r>
    </w:p>
    <w:p w14:paraId="5DA24391" w14:textId="245F1D2F" w:rsidR="0020732A" w:rsidRPr="0025250D" w:rsidRDefault="0020732A" w:rsidP="00165822">
      <w:pPr>
        <w:jc w:val="center"/>
        <w:rPr>
          <w:rtl/>
        </w:rPr>
      </w:pPr>
      <w:r w:rsidRPr="0025250D">
        <w:rPr>
          <w:rFonts w:hint="cs"/>
          <w:rtl/>
        </w:rPr>
        <w:t>هوش شهودی (</w:t>
      </w:r>
      <w:r w:rsidR="008D6F97" w:rsidRPr="0025250D">
        <w:rPr>
          <w:rFonts w:hint="cs"/>
          <w:rtl/>
        </w:rPr>
        <w:t>سامانه</w:t>
      </w:r>
      <w:r w:rsidRPr="0025250D">
        <w:rPr>
          <w:rFonts w:hint="cs"/>
          <w:rtl/>
        </w:rPr>
        <w:t xml:space="preserve"> 1) و سنجیده (</w:t>
      </w:r>
      <w:r w:rsidR="008D6F97" w:rsidRPr="0025250D">
        <w:rPr>
          <w:rFonts w:hint="cs"/>
          <w:rtl/>
        </w:rPr>
        <w:t>سامانه</w:t>
      </w:r>
      <w:r w:rsidRPr="0025250D">
        <w:rPr>
          <w:rFonts w:hint="cs"/>
          <w:rtl/>
        </w:rPr>
        <w:t xml:space="preserve"> 2) ما؛ هر کدام در دو بخش از مغز ما عمل می‌کنند</w:t>
      </w:r>
    </w:p>
    <w:p w14:paraId="35070704" w14:textId="54707FC4" w:rsidR="0020732A" w:rsidRPr="0025250D" w:rsidRDefault="0020732A" w:rsidP="0020732A">
      <w:pPr>
        <w:rPr>
          <w:rtl/>
        </w:rPr>
      </w:pPr>
      <w:r w:rsidRPr="0025250D">
        <w:rPr>
          <w:rFonts w:hint="cs"/>
          <w:rtl/>
        </w:rPr>
        <w:t>کتاب عقلانیت</w:t>
      </w:r>
      <w:r w:rsidRPr="0025250D">
        <w:rPr>
          <w:vertAlign w:val="superscript"/>
          <w:rtl/>
        </w:rPr>
        <w:footnoteReference w:id="511"/>
      </w:r>
      <w:r w:rsidRPr="0025250D">
        <w:rPr>
          <w:rFonts w:hint="cs"/>
          <w:rtl/>
        </w:rPr>
        <w:t xml:space="preserve"> اثر </w:t>
      </w:r>
      <w:r w:rsidRPr="0025250D">
        <w:rPr>
          <w:rtl/>
        </w:rPr>
        <w:t>است</w:t>
      </w:r>
      <w:r w:rsidRPr="0025250D">
        <w:rPr>
          <w:rFonts w:hint="cs"/>
          <w:rtl/>
        </w:rPr>
        <w:t>ی</w:t>
      </w:r>
      <w:r w:rsidRPr="0025250D">
        <w:rPr>
          <w:rFonts w:hint="eastAsia"/>
          <w:rtl/>
        </w:rPr>
        <w:t>ون</w:t>
      </w:r>
      <w:r w:rsidRPr="0025250D">
        <w:rPr>
          <w:rtl/>
        </w:rPr>
        <w:t xml:space="preserve"> پ</w:t>
      </w:r>
      <w:r w:rsidRPr="0025250D">
        <w:rPr>
          <w:rFonts w:hint="cs"/>
          <w:rtl/>
        </w:rPr>
        <w:t>ی</w:t>
      </w:r>
      <w:r w:rsidRPr="0025250D">
        <w:rPr>
          <w:rFonts w:hint="eastAsia"/>
          <w:rtl/>
        </w:rPr>
        <w:t>نکر</w:t>
      </w:r>
      <w:r w:rsidRPr="0025250D">
        <w:rPr>
          <w:vertAlign w:val="superscript"/>
          <w:rtl/>
        </w:rPr>
        <w:footnoteReference w:id="512"/>
      </w:r>
      <w:r w:rsidRPr="0025250D">
        <w:rPr>
          <w:rFonts w:hint="cs"/>
          <w:rtl/>
        </w:rPr>
        <w:t xml:space="preserve"> در سال 2021، یک بررسی</w:t>
      </w:r>
      <w:r w:rsidRPr="0025250D">
        <w:rPr>
          <w:rtl/>
        </w:rPr>
        <w:t xml:space="preserve"> </w:t>
      </w:r>
      <w:r w:rsidRPr="0025250D">
        <w:rPr>
          <w:rFonts w:hint="cs"/>
          <w:rtl/>
        </w:rPr>
        <w:t xml:space="preserve">اجمالی استادانه مبتنی بر مدارک از ارزش و چالش‌های احساسات و باور‌ها ارائه می‌دهد. در سال 1950، روانشاس </w:t>
      </w:r>
      <w:r w:rsidRPr="0025250D">
        <w:rPr>
          <w:rtl/>
        </w:rPr>
        <w:t>آلبرت ال</w:t>
      </w:r>
      <w:r w:rsidRPr="0025250D">
        <w:rPr>
          <w:rFonts w:hint="cs"/>
          <w:rtl/>
        </w:rPr>
        <w:t>ی</w:t>
      </w:r>
      <w:r w:rsidRPr="0025250D">
        <w:rPr>
          <w:rFonts w:hint="eastAsia"/>
          <w:rtl/>
        </w:rPr>
        <w:t>س</w:t>
      </w:r>
      <w:r w:rsidRPr="0025250D">
        <w:rPr>
          <w:vertAlign w:val="superscript"/>
          <w:rtl/>
        </w:rPr>
        <w:footnoteReference w:id="513"/>
      </w:r>
      <w:r w:rsidRPr="0025250D">
        <w:rPr>
          <w:rFonts w:hint="cs"/>
          <w:rtl/>
        </w:rPr>
        <w:t xml:space="preserve"> درمان رفتاریِ منطقی-عاطفی</w:t>
      </w:r>
      <w:r w:rsidRPr="0025250D">
        <w:rPr>
          <w:vertAlign w:val="superscript"/>
          <w:rtl/>
        </w:rPr>
        <w:footnoteReference w:id="514"/>
      </w:r>
      <w:r w:rsidR="006335B8" w:rsidRPr="0025250D">
        <w:rPr>
          <w:rtl/>
        </w:rPr>
        <w:t xml:space="preserve"> (</w:t>
      </w:r>
      <w:r w:rsidRPr="0025250D">
        <w:t>REBT</w:t>
      </w:r>
      <w:r w:rsidRPr="0025250D">
        <w:rPr>
          <w:rFonts w:hint="cs"/>
          <w:rtl/>
        </w:rPr>
        <w:t xml:space="preserve">) که یک مجموعه بسیار مفید از اقدامات است را توسعه داد. </w:t>
      </w:r>
      <w:r w:rsidRPr="0025250D">
        <w:t>REBT</w:t>
      </w:r>
      <w:r w:rsidRPr="0025250D">
        <w:rPr>
          <w:rFonts w:hint="cs"/>
          <w:rtl/>
        </w:rPr>
        <w:t xml:space="preserve"> فرض می‌کند که ما هم باورهای منطقی و هم باور‌های غیر منطقی داریم که بسیاری از آن‌ها نا خود آگاه هستند و این باور ‌ها، احساسات و رفتارهای ما را هم به شکل </w:t>
      </w:r>
      <w:r w:rsidR="00AE5BE0" w:rsidRPr="0025250D">
        <w:rPr>
          <w:rFonts w:hint="cs"/>
          <w:rtl/>
        </w:rPr>
        <w:t>انطباقی</w:t>
      </w:r>
      <w:r w:rsidRPr="0025250D">
        <w:rPr>
          <w:rFonts w:hint="cs"/>
          <w:rtl/>
        </w:rPr>
        <w:t xml:space="preserve"> و هم به‌صورت غیر </w:t>
      </w:r>
      <w:r w:rsidR="00AE5BE0" w:rsidRPr="0025250D">
        <w:rPr>
          <w:rFonts w:hint="cs"/>
          <w:rtl/>
        </w:rPr>
        <w:t>انطباقی</w:t>
      </w:r>
      <w:r w:rsidRPr="0025250D">
        <w:rPr>
          <w:rFonts w:hint="cs"/>
          <w:rtl/>
        </w:rPr>
        <w:t xml:space="preserve"> (ناهنجار) تحریک می‌کنند. وقتی احساسات مثبت و منفی خود را بررسی می‌کنیم (بخش بعد را</w:t>
      </w:r>
      <w:r w:rsidR="009D17DA" w:rsidRPr="0025250D">
        <w:rPr>
          <w:rFonts w:hint="cs"/>
          <w:rtl/>
        </w:rPr>
        <w:t xml:space="preserve"> ب</w:t>
      </w:r>
      <w:r w:rsidRPr="0025250D">
        <w:rPr>
          <w:rFonts w:hint="cs"/>
          <w:rtl/>
        </w:rPr>
        <w:t xml:space="preserve">بینید) می‌توانیم اغلب مجموعه کوچکی از باور‌های غیر منطقی را کشف کنیم که دائما احساسات، افکار و رفتار‌های ناهنجار ما را تحریک می‌کنند. باورهای غیر منطقی رایجی که </w:t>
      </w:r>
      <w:r w:rsidRPr="0025250D">
        <w:rPr>
          <w:rtl/>
        </w:rPr>
        <w:t>ال</w:t>
      </w:r>
      <w:r w:rsidRPr="0025250D">
        <w:rPr>
          <w:rFonts w:hint="cs"/>
          <w:rtl/>
        </w:rPr>
        <w:t>ی</w:t>
      </w:r>
      <w:r w:rsidRPr="0025250D">
        <w:rPr>
          <w:rFonts w:hint="eastAsia"/>
          <w:rtl/>
        </w:rPr>
        <w:t>س</w:t>
      </w:r>
      <w:r w:rsidRPr="0025250D">
        <w:rPr>
          <w:rFonts w:hint="cs"/>
          <w:rtl/>
        </w:rPr>
        <w:t xml:space="preserve"> کشف کرد این موارد بودند: (1) این‌که باید همواره عملکرد خوبی داشته باشیم و تأیید اکثر افراد را جلب کنیم، (2) این‌که همواره مستحق این هستیم که با ملاحظه و منصفانه با ما رفتارشود و (3) این‌که همواره مستحق این هستیم که در یک حالت وجودی امن، آسان و بی دردسر زندگی کنیم. </w:t>
      </w:r>
      <w:r w:rsidRPr="0025250D">
        <w:t>REBT</w:t>
      </w:r>
      <w:r w:rsidRPr="0025250D">
        <w:rPr>
          <w:rFonts w:hint="cs"/>
          <w:rtl/>
        </w:rPr>
        <w:t xml:space="preserve"> شکلی از درمان رفتاری شناختی (</w:t>
      </w:r>
      <w:r w:rsidRPr="0025250D">
        <w:t>CBT</w:t>
      </w:r>
      <w:r w:rsidRPr="0025250D">
        <w:rPr>
          <w:rFonts w:hint="cs"/>
          <w:rtl/>
        </w:rPr>
        <w:t>) می‌باشد که به ما برای دیدن و برنامه‌ریزی مجدد باورهای نادرست مضرمان کمک می‌کند. کتاب‌های متعدد الیس</w:t>
      </w:r>
      <w:r w:rsidRPr="0025250D">
        <w:rPr>
          <w:vertAlign w:val="superscript"/>
          <w:rtl/>
        </w:rPr>
        <w:footnoteReference w:id="515"/>
      </w:r>
      <w:r w:rsidRPr="0025250D">
        <w:rPr>
          <w:rFonts w:hint="cs"/>
          <w:rtl/>
        </w:rPr>
        <w:t xml:space="preserve"> ازجمله افسانه عزت نفس</w:t>
      </w:r>
      <w:r w:rsidRPr="0025250D">
        <w:rPr>
          <w:vertAlign w:val="superscript"/>
          <w:rtl/>
        </w:rPr>
        <w:footnoteReference w:id="516"/>
      </w:r>
      <w:r w:rsidRPr="0025250D">
        <w:rPr>
          <w:rFonts w:hint="cs"/>
          <w:rtl/>
        </w:rPr>
        <w:t xml:space="preserve"> در سال 2005 و غلبه بر باورها، احساسات</w:t>
      </w:r>
      <w:r w:rsidR="008D6F97" w:rsidRPr="0025250D">
        <w:rPr>
          <w:rtl/>
        </w:rPr>
        <w:t xml:space="preserve"> </w:t>
      </w:r>
      <w:r w:rsidRPr="0025250D">
        <w:rPr>
          <w:rFonts w:hint="cs"/>
          <w:rtl/>
        </w:rPr>
        <w:t>و رفتارهای مخرب</w:t>
      </w:r>
      <w:r w:rsidRPr="0025250D">
        <w:rPr>
          <w:vertAlign w:val="superscript"/>
          <w:rtl/>
        </w:rPr>
        <w:footnoteReference w:id="517"/>
      </w:r>
      <w:r w:rsidRPr="0025250D">
        <w:rPr>
          <w:rFonts w:hint="cs"/>
          <w:rtl/>
        </w:rPr>
        <w:t xml:space="preserve"> در سال 2001، راهنماهایی عالی برای این فرایند مهم هستند. برای کتاب‌های مفید بیش‌تر در مورد </w:t>
      </w:r>
      <w:r w:rsidRPr="0025250D">
        <w:t>CBT</w:t>
      </w:r>
      <w:r w:rsidRPr="0025250D">
        <w:rPr>
          <w:rFonts w:hint="cs"/>
          <w:rtl/>
        </w:rPr>
        <w:t xml:space="preserve"> و </w:t>
      </w:r>
      <w:r w:rsidRPr="0025250D">
        <w:t>REBT</w:t>
      </w:r>
      <w:r w:rsidRPr="0025250D">
        <w:rPr>
          <w:rFonts w:hint="cs"/>
          <w:rtl/>
        </w:rPr>
        <w:t xml:space="preserve"> پیوست 3 را مشاهده نمایید. این فعالیت‌های رشد فردی</w:t>
      </w:r>
      <w:r w:rsidRPr="0025250D">
        <w:rPr>
          <w:vertAlign w:val="superscript"/>
          <w:rtl/>
        </w:rPr>
        <w:footnoteReference w:id="518"/>
      </w:r>
      <w:r w:rsidRPr="0025250D">
        <w:rPr>
          <w:rFonts w:hint="cs"/>
          <w:rtl/>
        </w:rPr>
        <w:t xml:space="preserve"> می‌توانند به‌عنوان خوددرمانی انجام شوند، اما وقتی‌که در بافت یک گروه مسئولیت پذیر (هم گروه) انجام شوند نیز بسیار قدرتمند هستند.</w:t>
      </w:r>
    </w:p>
    <w:p w14:paraId="69A4E929" w14:textId="7E77B345" w:rsidR="0020732A" w:rsidRPr="0025250D" w:rsidRDefault="0020732A" w:rsidP="0020732A">
      <w:pPr>
        <w:rPr>
          <w:rtl/>
        </w:rPr>
      </w:pPr>
      <w:r w:rsidRPr="0025250D">
        <w:rPr>
          <w:rFonts w:hint="cs"/>
          <w:rtl/>
        </w:rPr>
        <w:t xml:space="preserve">اشتباهات هیجانی رایج شامل این موارد هستند: تحت کنترل قرارگرفتن توسط ترس‌ها و خیال پردازی‌ها بجای چشم‌اندازهای عملی، عدم داشتن ذهنیت باز نسبت به نشانک‌های دیگران، عدم برقراری ارتباط و بیش از حد عجول بودن و قرار داشتن در منطقه امن هیجانی (بجای آسیب پذیر و غیر قطعی باقی ماندن) نسبت به قضاوت هایمان. اشتباهات شناختی رایج شامل این موارد هستند: عدم شناخت سوگیری‌های شهودی مان و </w:t>
      </w:r>
      <w:r w:rsidRPr="0025250D">
        <w:rPr>
          <w:rFonts w:hint="cs"/>
          <w:rtl/>
        </w:rPr>
        <w:lastRenderedPageBreak/>
        <w:t xml:space="preserve">تلاش برای </w:t>
      </w:r>
      <w:r w:rsidR="002F3C14" w:rsidRPr="0025250D">
        <w:rPr>
          <w:rFonts w:hint="cs"/>
          <w:rtl/>
        </w:rPr>
        <w:t>انطباق</w:t>
      </w:r>
      <w:r w:rsidRPr="0025250D">
        <w:rPr>
          <w:rFonts w:hint="cs"/>
          <w:rtl/>
        </w:rPr>
        <w:t xml:space="preserve"> با آن‌ها از طریق فرایند‌های سنجیده، عدم ارزش قائل شدن برای تنوع شناختی، عدم جستجو برای مدارک نقیض، عدم توسعه اهداف، عدم اولویت‌بندی اقداماتمان و عدم استفاده از </w:t>
      </w:r>
      <w:r w:rsidR="00B13F65" w:rsidRPr="0025250D">
        <w:rPr>
          <w:rFonts w:hint="cs"/>
          <w:rtl/>
        </w:rPr>
        <w:t>چارچوب</w:t>
      </w:r>
      <w:r w:rsidRPr="0025250D">
        <w:rPr>
          <w:rFonts w:hint="cs"/>
          <w:rtl/>
        </w:rPr>
        <w:t xml:space="preserve">‌های </w:t>
      </w:r>
      <w:r w:rsidR="00AE5BE0" w:rsidRPr="0025250D">
        <w:rPr>
          <w:rFonts w:hint="cs"/>
          <w:rtl/>
        </w:rPr>
        <w:t>انطباقی</w:t>
      </w:r>
      <w:r w:rsidRPr="0025250D">
        <w:rPr>
          <w:rFonts w:hint="cs"/>
          <w:rtl/>
        </w:rPr>
        <w:t>، مانند هشت مهارت (فصل 2).</w:t>
      </w:r>
    </w:p>
    <w:p w14:paraId="7691B963" w14:textId="3CC46B1F" w:rsidR="0020732A" w:rsidRPr="0025250D" w:rsidRDefault="0020732A" w:rsidP="0020732A">
      <w:pPr>
        <w:rPr>
          <w:rtl/>
        </w:rPr>
      </w:pPr>
      <w:r w:rsidRPr="0025250D">
        <w:rPr>
          <w:rFonts w:hint="cs"/>
          <w:rtl/>
        </w:rPr>
        <w:t xml:space="preserve">درمود </w:t>
      </w:r>
      <w:r w:rsidR="00CF59DF" w:rsidRPr="0025250D">
        <w:rPr>
          <w:rFonts w:hint="cs"/>
          <w:rtl/>
        </w:rPr>
        <w:t>جهت‌گیری</w:t>
      </w:r>
      <w:r w:rsidRPr="0025250D">
        <w:rPr>
          <w:rFonts w:hint="cs"/>
          <w:rtl/>
        </w:rPr>
        <w:t xml:space="preserve"> زمانی، علم اعصاب اخیرا نشان داده است که ما اغلب از نواحی عصبی یکسانی برای به یادآوردن گذشته و تصور آینده استفاده می‌کنیم</w:t>
      </w:r>
      <w:r w:rsidR="008D6F97" w:rsidRPr="0025250D">
        <w:rPr>
          <w:rtl/>
        </w:rPr>
        <w:t xml:space="preserve">؛ </w:t>
      </w:r>
      <w:r w:rsidRPr="0025250D">
        <w:rPr>
          <w:rFonts w:hint="cs"/>
          <w:rtl/>
        </w:rPr>
        <w:t>به</w:t>
      </w:r>
      <w:r w:rsidRPr="0025250D">
        <w:rPr>
          <w:rtl/>
        </w:rPr>
        <w:t xml:space="preserve"> </w:t>
      </w:r>
      <w:r w:rsidRPr="0025250D">
        <w:rPr>
          <w:rFonts w:hint="cs"/>
          <w:rtl/>
        </w:rPr>
        <w:t>عبارت</w:t>
      </w:r>
      <w:r w:rsidRPr="0025250D">
        <w:rPr>
          <w:rtl/>
        </w:rPr>
        <w:t xml:space="preserve"> </w:t>
      </w:r>
      <w:r w:rsidRPr="0025250D">
        <w:rPr>
          <w:rFonts w:hint="cs"/>
          <w:rtl/>
        </w:rPr>
        <w:t>دیگر،</w:t>
      </w:r>
      <w:r w:rsidRPr="0025250D">
        <w:rPr>
          <w:rtl/>
        </w:rPr>
        <w:t xml:space="preserve"> </w:t>
      </w:r>
      <w:r w:rsidRPr="0025250D">
        <w:rPr>
          <w:rFonts w:hint="cs"/>
          <w:rtl/>
        </w:rPr>
        <w:t>اینکه</w:t>
      </w:r>
      <w:r w:rsidRPr="0025250D">
        <w:rPr>
          <w:rtl/>
        </w:rPr>
        <w:t xml:space="preserve"> </w:t>
      </w:r>
      <w:r w:rsidRPr="0025250D">
        <w:rPr>
          <w:rFonts w:hint="cs"/>
          <w:rtl/>
        </w:rPr>
        <w:t>به چه میزان</w:t>
      </w:r>
      <w:r w:rsidRPr="0025250D">
        <w:rPr>
          <w:rtl/>
        </w:rPr>
        <w:t xml:space="preserve"> </w:t>
      </w:r>
      <w:r w:rsidRPr="0025250D">
        <w:rPr>
          <w:rFonts w:hint="cs"/>
          <w:rtl/>
        </w:rPr>
        <w:t>خوب</w:t>
      </w:r>
      <w:r w:rsidRPr="0025250D">
        <w:rPr>
          <w:rtl/>
        </w:rPr>
        <w:t xml:space="preserve"> </w:t>
      </w:r>
      <w:r w:rsidRPr="0025250D">
        <w:rPr>
          <w:rFonts w:hint="cs"/>
          <w:rtl/>
        </w:rPr>
        <w:t>و</w:t>
      </w:r>
      <w:r w:rsidRPr="0025250D">
        <w:rPr>
          <w:rtl/>
        </w:rPr>
        <w:t xml:space="preserve"> </w:t>
      </w:r>
      <w:r w:rsidRPr="0025250D">
        <w:rPr>
          <w:rFonts w:hint="cs"/>
          <w:rtl/>
        </w:rPr>
        <w:t>دقیق</w:t>
      </w:r>
      <w:r w:rsidRPr="0025250D">
        <w:rPr>
          <w:rtl/>
        </w:rPr>
        <w:t xml:space="preserve"> می‌</w:t>
      </w:r>
      <w:r w:rsidRPr="0025250D">
        <w:rPr>
          <w:rFonts w:hint="cs"/>
          <w:rtl/>
        </w:rPr>
        <w:t>توانیم</w:t>
      </w:r>
      <w:r w:rsidRPr="0025250D">
        <w:rPr>
          <w:rtl/>
        </w:rPr>
        <w:t xml:space="preserve"> </w:t>
      </w:r>
      <w:r w:rsidRPr="0025250D">
        <w:rPr>
          <w:rFonts w:hint="cs"/>
          <w:rtl/>
        </w:rPr>
        <w:t>گذشته</w:t>
      </w:r>
      <w:r w:rsidRPr="0025250D">
        <w:rPr>
          <w:rtl/>
        </w:rPr>
        <w:t xml:space="preserve"> </w:t>
      </w:r>
      <w:r w:rsidRPr="0025250D">
        <w:rPr>
          <w:rFonts w:hint="cs"/>
          <w:rtl/>
        </w:rPr>
        <w:t>خود</w:t>
      </w:r>
      <w:r w:rsidRPr="0025250D">
        <w:rPr>
          <w:rtl/>
        </w:rPr>
        <w:t xml:space="preserve"> </w:t>
      </w:r>
      <w:r w:rsidRPr="0025250D">
        <w:rPr>
          <w:rFonts w:hint="cs"/>
          <w:rtl/>
        </w:rPr>
        <w:t>را</w:t>
      </w:r>
      <w:r w:rsidRPr="0025250D">
        <w:rPr>
          <w:rtl/>
        </w:rPr>
        <w:t xml:space="preserve"> </w:t>
      </w:r>
      <w:r w:rsidRPr="0025250D">
        <w:rPr>
          <w:rFonts w:hint="cs"/>
          <w:rtl/>
        </w:rPr>
        <w:t>به</w:t>
      </w:r>
      <w:r w:rsidRPr="0025250D">
        <w:rPr>
          <w:rtl/>
        </w:rPr>
        <w:t xml:space="preserve"> </w:t>
      </w:r>
      <w:r w:rsidRPr="0025250D">
        <w:rPr>
          <w:rFonts w:hint="cs"/>
          <w:rtl/>
        </w:rPr>
        <w:t>خاطر</w:t>
      </w:r>
      <w:r w:rsidRPr="0025250D">
        <w:rPr>
          <w:rtl/>
        </w:rPr>
        <w:t xml:space="preserve"> </w:t>
      </w:r>
      <w:r w:rsidRPr="0025250D">
        <w:rPr>
          <w:rFonts w:hint="cs"/>
          <w:rtl/>
        </w:rPr>
        <w:t>بسپاریم،</w:t>
      </w:r>
      <w:r w:rsidRPr="0025250D">
        <w:rPr>
          <w:rtl/>
        </w:rPr>
        <w:t xml:space="preserve"> </w:t>
      </w:r>
      <w:r w:rsidRPr="0025250D">
        <w:rPr>
          <w:rFonts w:hint="cs"/>
          <w:rtl/>
        </w:rPr>
        <w:t>تأثیر</w:t>
      </w:r>
      <w:r w:rsidRPr="0025250D">
        <w:rPr>
          <w:rtl/>
        </w:rPr>
        <w:t xml:space="preserve"> </w:t>
      </w:r>
      <w:r w:rsidRPr="0025250D">
        <w:rPr>
          <w:rFonts w:hint="cs"/>
          <w:rtl/>
        </w:rPr>
        <w:t>عمیقی</w:t>
      </w:r>
      <w:r w:rsidRPr="0025250D">
        <w:rPr>
          <w:rtl/>
        </w:rPr>
        <w:t xml:space="preserve"> </w:t>
      </w:r>
      <w:r w:rsidRPr="0025250D">
        <w:rPr>
          <w:rFonts w:hint="cs"/>
          <w:rtl/>
        </w:rPr>
        <w:t>بر</w:t>
      </w:r>
      <w:r w:rsidRPr="0025250D">
        <w:rPr>
          <w:rtl/>
        </w:rPr>
        <w:t xml:space="preserve"> </w:t>
      </w:r>
      <w:r w:rsidRPr="0025250D">
        <w:rPr>
          <w:rFonts w:hint="cs"/>
          <w:rtl/>
        </w:rPr>
        <w:t>آنچه</w:t>
      </w:r>
      <w:r w:rsidRPr="0025250D">
        <w:rPr>
          <w:rtl/>
        </w:rPr>
        <w:t xml:space="preserve"> می‌</w:t>
      </w:r>
      <w:r w:rsidRPr="0025250D">
        <w:rPr>
          <w:rFonts w:hint="cs"/>
          <w:rtl/>
        </w:rPr>
        <w:t>توانیم</w:t>
      </w:r>
      <w:r w:rsidRPr="0025250D">
        <w:rPr>
          <w:rtl/>
        </w:rPr>
        <w:t xml:space="preserve"> </w:t>
      </w:r>
      <w:r w:rsidR="0060055A" w:rsidRPr="0025250D">
        <w:rPr>
          <w:rtl/>
        </w:rPr>
        <w:t>فراپایی</w:t>
      </w:r>
      <w:r w:rsidRPr="0025250D">
        <w:rPr>
          <w:rFonts w:hint="cs"/>
          <w:rtl/>
        </w:rPr>
        <w:t xml:space="preserve"> کنیم</w:t>
      </w:r>
      <w:r w:rsidRPr="0025250D">
        <w:rPr>
          <w:rtl/>
        </w:rPr>
        <w:t xml:space="preserve"> </w:t>
      </w:r>
      <w:r w:rsidRPr="0025250D">
        <w:rPr>
          <w:rFonts w:hint="cs"/>
          <w:rtl/>
        </w:rPr>
        <w:t>دارد</w:t>
      </w:r>
      <w:r w:rsidRPr="0025250D">
        <w:rPr>
          <w:rtl/>
        </w:rPr>
        <w:t>.</w:t>
      </w:r>
      <w:r w:rsidRPr="0025250D">
        <w:rPr>
          <w:rFonts w:hint="cs"/>
          <w:rtl/>
        </w:rPr>
        <w:t xml:space="preserve"> در جهان پیش روی ما که در آن همواره تجهیزات کمکی دیجیتالی در اختیار داریم که اطلاعات زندگی‌های ما را ثبت می‌کنند، می‌توانیم تصور کنیم که چگونه خاطرات دیجیتالی بهتر و هوش مصنوعی (</w:t>
      </w:r>
      <w:r w:rsidRPr="0025250D">
        <w:t>AI</w:t>
      </w:r>
      <w:r w:rsidRPr="0025250D">
        <w:rPr>
          <w:rFonts w:hint="cs"/>
          <w:rtl/>
        </w:rPr>
        <w:t xml:space="preserve">) که می‌توانند از همه داده‌ها تاریخی بیاموزند، به شکل قابل‌توجهی توانایی ما را برای درک خودمان و </w:t>
      </w:r>
      <w:r w:rsidR="00FB6A7E" w:rsidRPr="0025250D">
        <w:rPr>
          <w:rFonts w:hint="cs"/>
          <w:rtl/>
        </w:rPr>
        <w:t>پیش‌نگری</w:t>
      </w:r>
      <w:r w:rsidRPr="0025250D">
        <w:rPr>
          <w:rFonts w:hint="cs"/>
          <w:rtl/>
        </w:rPr>
        <w:t xml:space="preserve"> آینده مان در هر شش دامنه افزایش دهند.</w:t>
      </w:r>
    </w:p>
    <w:p w14:paraId="4F81EF98" w14:textId="68860079" w:rsidR="0020732A" w:rsidRPr="0025250D" w:rsidRDefault="0020732A" w:rsidP="0020732A">
      <w:pPr>
        <w:rPr>
          <w:rtl/>
        </w:rPr>
      </w:pPr>
      <w:r w:rsidRPr="0025250D">
        <w:rPr>
          <w:rFonts w:hint="cs"/>
          <w:rtl/>
        </w:rPr>
        <w:t xml:space="preserve">نکات روانشناختی خوب متعددی وجود دارند که امروزه می‌توانیم مورد استفاده قرار دهیم. آینده‌پژوه </w:t>
      </w:r>
      <w:r w:rsidRPr="0025250D">
        <w:rPr>
          <w:rtl/>
        </w:rPr>
        <w:t>ج</w:t>
      </w:r>
      <w:r w:rsidRPr="0025250D">
        <w:rPr>
          <w:rFonts w:hint="cs"/>
          <w:rtl/>
        </w:rPr>
        <w:t>ی</w:t>
      </w:r>
      <w:r w:rsidRPr="0025250D">
        <w:rPr>
          <w:rFonts w:hint="eastAsia"/>
          <w:rtl/>
        </w:rPr>
        <w:t>ن</w:t>
      </w:r>
      <w:r w:rsidRPr="0025250D">
        <w:rPr>
          <w:rtl/>
        </w:rPr>
        <w:t xml:space="preserve"> مک گون</w:t>
      </w:r>
      <w:r w:rsidRPr="0025250D">
        <w:rPr>
          <w:rFonts w:hint="cs"/>
          <w:rtl/>
        </w:rPr>
        <w:t>ی</w:t>
      </w:r>
      <w:r w:rsidRPr="0025250D">
        <w:rPr>
          <w:rFonts w:hint="eastAsia"/>
          <w:rtl/>
        </w:rPr>
        <w:t>گال</w:t>
      </w:r>
      <w:r w:rsidRPr="0025250D">
        <w:rPr>
          <w:vertAlign w:val="superscript"/>
          <w:rtl/>
        </w:rPr>
        <w:footnoteReference w:id="519"/>
      </w:r>
      <w:r w:rsidRPr="0025250D">
        <w:rPr>
          <w:rFonts w:hint="cs"/>
          <w:rtl/>
        </w:rPr>
        <w:t xml:space="preserve">، در کتاب </w:t>
      </w:r>
      <w:r w:rsidR="006335B8" w:rsidRPr="0025250D">
        <w:rPr>
          <w:rtl/>
        </w:rPr>
        <w:t>«</w:t>
      </w:r>
      <w:r w:rsidRPr="0025250D">
        <w:rPr>
          <w:rFonts w:hint="cs"/>
          <w:rtl/>
        </w:rPr>
        <w:t>مغز‌های ما در تفکر در مورد آینده بسیار</w:t>
      </w:r>
      <w:r w:rsidR="009D17DA" w:rsidRPr="0025250D">
        <w:rPr>
          <w:rFonts w:hint="cs"/>
          <w:rtl/>
        </w:rPr>
        <w:t xml:space="preserve"> </w:t>
      </w:r>
      <w:r w:rsidRPr="0025250D">
        <w:rPr>
          <w:rFonts w:hint="cs"/>
          <w:rtl/>
        </w:rPr>
        <w:t>بد هستند</w:t>
      </w:r>
      <w:r w:rsidRPr="0025250D">
        <w:rPr>
          <w:vertAlign w:val="superscript"/>
          <w:rtl/>
        </w:rPr>
        <w:footnoteReference w:id="520"/>
      </w:r>
      <w:r w:rsidR="006335B8" w:rsidRPr="0025250D">
        <w:rPr>
          <w:rtl/>
        </w:rPr>
        <w:t>»</w:t>
      </w:r>
      <w:r w:rsidRPr="0025250D">
        <w:rPr>
          <w:rFonts w:hint="cs"/>
          <w:rtl/>
        </w:rPr>
        <w:t xml:space="preserve"> در سال 2017، به ما می‌گوید که مطالعات </w:t>
      </w:r>
      <w:r w:rsidRPr="0025250D">
        <w:t>fMRI</w:t>
      </w:r>
      <w:r w:rsidRPr="0025250D">
        <w:rPr>
          <w:rFonts w:hint="cs"/>
          <w:rtl/>
        </w:rPr>
        <w:t xml:space="preserve"> پیشنهاد می‌کنند که وقتی بیش‌تر افراد خود را در آینده تصور می‌کنند، آن را به‌عنوان فردی غریبه در نظر می‌گیرند. در چنین مواردی ما دیگر از قشر</w:t>
      </w:r>
      <w:r w:rsidRPr="0025250D">
        <w:rPr>
          <w:rtl/>
        </w:rPr>
        <w:t xml:space="preserve"> </w:t>
      </w:r>
      <w:r w:rsidRPr="0025250D">
        <w:rPr>
          <w:rFonts w:hint="cs"/>
          <w:rtl/>
        </w:rPr>
        <w:t>پیش‌پیشانی</w:t>
      </w:r>
      <w:r w:rsidRPr="0025250D">
        <w:rPr>
          <w:vertAlign w:val="superscript"/>
          <w:rtl/>
        </w:rPr>
        <w:footnoteReference w:id="521"/>
      </w:r>
      <w:r w:rsidRPr="0025250D">
        <w:rPr>
          <w:rFonts w:hint="cs"/>
          <w:rtl/>
        </w:rPr>
        <w:t xml:space="preserve"> خود و نقاط قوت برنامه‌ریزی آن استفاده</w:t>
      </w:r>
      <w:r w:rsidR="00EE4B64" w:rsidRPr="0025250D">
        <w:rPr>
          <w:rFonts w:hint="cs"/>
          <w:rtl/>
        </w:rPr>
        <w:t xml:space="preserve"> نمی‌</w:t>
      </w:r>
      <w:r w:rsidRPr="0025250D">
        <w:rPr>
          <w:rFonts w:hint="cs"/>
          <w:rtl/>
        </w:rPr>
        <w:t xml:space="preserve">کنیم. یک راه برای </w:t>
      </w:r>
      <w:r w:rsidR="00923DDB" w:rsidRPr="0025250D">
        <w:rPr>
          <w:rFonts w:hint="cs"/>
          <w:rtl/>
        </w:rPr>
        <w:t>به‌کارگیری</w:t>
      </w:r>
      <w:r w:rsidRPr="0025250D">
        <w:rPr>
          <w:rFonts w:hint="cs"/>
          <w:rtl/>
        </w:rPr>
        <w:t xml:space="preserve"> مجدد فرایند‌های قشر</w:t>
      </w:r>
      <w:r w:rsidRPr="0025250D">
        <w:rPr>
          <w:rtl/>
        </w:rPr>
        <w:t xml:space="preserve"> </w:t>
      </w:r>
      <w:r w:rsidRPr="0025250D">
        <w:rPr>
          <w:rFonts w:hint="cs"/>
          <w:rtl/>
        </w:rPr>
        <w:t>پیش‌پیشانی، تقویت تصاویر خود در آینده با استفاده از هیجانات مثبت و منفی می‌باشد. استفاده از هیجانات در تصویر سازی‌های خود از موفقیت و شکست، حس آشنایی، جزئیات و وضوح بیش‌تری را به تصویر خود در آینده می‌دهد و این می‌تواند به ما برای ایجاد تغییر دردناک اما لازم انگیزه دهد.</w:t>
      </w:r>
    </w:p>
    <w:p w14:paraId="46D171F6" w14:textId="4E0A3421" w:rsidR="0020732A" w:rsidRPr="0025250D" w:rsidRDefault="007118DE" w:rsidP="0020732A">
      <w:pPr>
        <w:rPr>
          <w:rtl/>
        </w:rPr>
      </w:pPr>
      <w:r w:rsidRPr="0025250D">
        <w:rPr>
          <w:rFonts w:hint="cs"/>
          <w:rtl/>
        </w:rPr>
        <w:t>همان‌طور</w:t>
      </w:r>
      <w:r w:rsidR="0020732A" w:rsidRPr="0025250D">
        <w:rPr>
          <w:rFonts w:hint="cs"/>
          <w:rtl/>
        </w:rPr>
        <w:t xml:space="preserve"> که آینده‌پژوه برجسته </w:t>
      </w:r>
      <w:r w:rsidR="0020732A" w:rsidRPr="0025250D">
        <w:rPr>
          <w:rtl/>
        </w:rPr>
        <w:t>فرد پولاک</w:t>
      </w:r>
      <w:r w:rsidR="0020732A" w:rsidRPr="0025250D">
        <w:rPr>
          <w:vertAlign w:val="superscript"/>
          <w:rtl/>
        </w:rPr>
        <w:footnoteReference w:id="522"/>
      </w:r>
      <w:r w:rsidR="0020732A" w:rsidRPr="0025250D">
        <w:rPr>
          <w:rFonts w:hint="cs"/>
          <w:rtl/>
        </w:rPr>
        <w:t xml:space="preserve"> در اثر کلاسیک خود به نام تصویر آینده</w:t>
      </w:r>
      <w:r w:rsidR="0020732A" w:rsidRPr="0025250D">
        <w:rPr>
          <w:vertAlign w:val="superscript"/>
          <w:rtl/>
        </w:rPr>
        <w:footnoteReference w:id="523"/>
      </w:r>
      <w:r w:rsidR="0020732A" w:rsidRPr="0025250D">
        <w:rPr>
          <w:rFonts w:hint="cs"/>
          <w:rtl/>
        </w:rPr>
        <w:t xml:space="preserve"> در سال 1973 توصیف می‌کند، یک تصویر دارای جزئیات از آینده </w:t>
      </w:r>
      <w:r w:rsidR="0020732A" w:rsidRPr="0025250D">
        <w:rPr>
          <w:rFonts w:cs="Times New Roman" w:hint="cs"/>
          <w:rtl/>
        </w:rPr>
        <w:t>–</w:t>
      </w:r>
      <w:r w:rsidR="0020732A" w:rsidRPr="0025250D">
        <w:rPr>
          <w:rFonts w:hint="cs"/>
          <w:rtl/>
        </w:rPr>
        <w:t xml:space="preserve"> و</w:t>
      </w:r>
      <w:r w:rsidR="008D6F97" w:rsidRPr="0025250D">
        <w:rPr>
          <w:rtl/>
        </w:rPr>
        <w:t xml:space="preserve"> </w:t>
      </w:r>
      <w:r w:rsidR="0020732A" w:rsidRPr="0025250D">
        <w:rPr>
          <w:rFonts w:hint="cs"/>
          <w:rtl/>
        </w:rPr>
        <w:t xml:space="preserve">هر چه واضح تر، مکرر تر، هیجانی‌تر و منطقی‌تر وعده‌ها و خطرات آن را تصور کنیم </w:t>
      </w:r>
      <w:r w:rsidR="0020732A" w:rsidRPr="0025250D">
        <w:rPr>
          <w:rFonts w:cs="Times New Roman" w:hint="cs"/>
          <w:rtl/>
        </w:rPr>
        <w:t>–</w:t>
      </w:r>
      <w:r w:rsidR="0020732A" w:rsidRPr="0025250D">
        <w:rPr>
          <w:rFonts w:hint="cs"/>
          <w:rtl/>
        </w:rPr>
        <w:t xml:space="preserve"> می‌تواند ما را به سمت آن سوق دهد و به ما برای تحقق بخشیدن به آن انگیزه دهد. ما همچنین باید توجه داشته باشیم که تصویر سازی ما یک چشم‌انداز به‌خوبی نقد شده، اخلاقی و مبتنی بر مدارک باشد؛ چرا که در غیر اینصورت سبب نتایج نامطلوب متعددی می‌شود. در تاریخ ما چشم‌اندازهای متعددی از آینده که باور شدیدی به آن‌ها وجود داشته است، افراد، شرکت‌ها و جوامع را به مقاصد غیر همدلانه</w:t>
      </w:r>
      <w:r w:rsidR="0020732A" w:rsidRPr="0025250D">
        <w:rPr>
          <w:vertAlign w:val="superscript"/>
          <w:rtl/>
        </w:rPr>
        <w:footnoteReference w:id="524"/>
      </w:r>
      <w:r w:rsidR="0020732A" w:rsidRPr="0025250D">
        <w:rPr>
          <w:rFonts w:hint="cs"/>
          <w:rtl/>
        </w:rPr>
        <w:t xml:space="preserve"> و غیر اخلاقی هدایت کرده است.</w:t>
      </w:r>
    </w:p>
    <w:p w14:paraId="6C0DB8BD" w14:textId="49FA0335" w:rsidR="0020732A" w:rsidRPr="0025250D" w:rsidRDefault="0020732A" w:rsidP="0020732A">
      <w:pPr>
        <w:rPr>
          <w:rtl/>
        </w:rPr>
      </w:pPr>
      <w:r w:rsidRPr="0025250D">
        <w:rPr>
          <w:rFonts w:hint="cs"/>
          <w:rtl/>
        </w:rPr>
        <w:t>برای بازبینی سه موهبت بشریت (</w:t>
      </w:r>
      <w:r w:rsidRPr="0025250D">
        <w:rPr>
          <w:rtl/>
        </w:rPr>
        <w:t>آینده‌نگاری</w:t>
      </w:r>
      <w:r w:rsidRPr="0025250D">
        <w:rPr>
          <w:rFonts w:hint="cs"/>
          <w:rtl/>
        </w:rPr>
        <w:t xml:space="preserve">، علم و فناوری، اخلاق و </w:t>
      </w:r>
      <w:r w:rsidR="00A936B3" w:rsidRPr="0025250D">
        <w:rPr>
          <w:rFonts w:hint="cs"/>
          <w:rtl/>
        </w:rPr>
        <w:t>همدلی</w:t>
      </w:r>
      <w:r w:rsidRPr="0025250D">
        <w:rPr>
          <w:rFonts w:hint="cs"/>
          <w:rtl/>
        </w:rPr>
        <w:t xml:space="preserve">)، آنچه امروزه در مورد مغز یاد می‌گیریم به ما نه فقط برای بهبود </w:t>
      </w:r>
      <w:r w:rsidRPr="0025250D">
        <w:rPr>
          <w:rtl/>
        </w:rPr>
        <w:t>آینده‌نگاری</w:t>
      </w:r>
      <w:r w:rsidRPr="0025250D">
        <w:rPr>
          <w:rFonts w:hint="cs"/>
          <w:rtl/>
        </w:rPr>
        <w:t xml:space="preserve"> و سلامت ذهنیمان کمک می‌کند، بلکه همچنین به ما برای ایجاد هوش‌های ماشینی بسیار توانمند‌تر (و نهایتاً اخلاقی‌تر و همدلانه تر) کمک می‌کند. ما فکر</w:t>
      </w:r>
      <w:r w:rsidR="00EE4B64" w:rsidRPr="0025250D">
        <w:rPr>
          <w:rFonts w:hint="cs"/>
          <w:rtl/>
        </w:rPr>
        <w:t xml:space="preserve"> نمی‌</w:t>
      </w:r>
      <w:r w:rsidRPr="0025250D">
        <w:rPr>
          <w:rFonts w:hint="cs"/>
          <w:rtl/>
        </w:rPr>
        <w:t xml:space="preserve">کنیم که بتوانیم از آینده ترسناک و عجیب اجتناب کنیم، اما می‌توانیم بسیار بهتر و آگاهانه‌تر از امروز آن را </w:t>
      </w:r>
      <w:r w:rsidR="0060055A" w:rsidRPr="0025250D">
        <w:rPr>
          <w:rtl/>
        </w:rPr>
        <w:t>فراپایی</w:t>
      </w:r>
      <w:r w:rsidRPr="0025250D">
        <w:rPr>
          <w:rFonts w:hint="cs"/>
          <w:rtl/>
        </w:rPr>
        <w:t xml:space="preserve"> و هدایت کنیم.</w:t>
      </w:r>
    </w:p>
    <w:p w14:paraId="65752AB6" w14:textId="77777777" w:rsidR="0020732A" w:rsidRPr="0025250D" w:rsidRDefault="0020732A" w:rsidP="0020732A">
      <w:pPr>
        <w:rPr>
          <w:rtl/>
        </w:rPr>
      </w:pPr>
    </w:p>
    <w:p w14:paraId="5AF4724A" w14:textId="77777777" w:rsidR="0020732A" w:rsidRPr="0025250D" w:rsidRDefault="0020732A" w:rsidP="0020732A">
      <w:pPr>
        <w:rPr>
          <w:rtl/>
        </w:rPr>
      </w:pPr>
    </w:p>
    <w:p w14:paraId="6ED1697B" w14:textId="77777777" w:rsidR="0020732A" w:rsidRPr="0025250D" w:rsidRDefault="0020732A" w:rsidP="0020732A">
      <w:pPr>
        <w:rPr>
          <w:rtl/>
        </w:rPr>
      </w:pPr>
    </w:p>
    <w:p w14:paraId="72C88366" w14:textId="77777777" w:rsidR="0020732A" w:rsidRPr="0025250D" w:rsidRDefault="0020732A" w:rsidP="0020732A">
      <w:pPr>
        <w:rPr>
          <w:rtl/>
        </w:rPr>
      </w:pPr>
    </w:p>
    <w:p w14:paraId="1165D9AB" w14:textId="77777777" w:rsidR="0020732A" w:rsidRPr="0025250D" w:rsidRDefault="0020732A" w:rsidP="0020732A">
      <w:pPr>
        <w:rPr>
          <w:rtl/>
        </w:rPr>
      </w:pPr>
    </w:p>
    <w:p w14:paraId="0B5C211C" w14:textId="77777777" w:rsidR="0020732A" w:rsidRPr="0025250D" w:rsidRDefault="0020732A" w:rsidP="0020732A">
      <w:pPr>
        <w:rPr>
          <w:rtl/>
        </w:rPr>
      </w:pPr>
    </w:p>
    <w:p w14:paraId="686ED42F" w14:textId="77777777" w:rsidR="0020732A" w:rsidRPr="0025250D" w:rsidRDefault="0020732A" w:rsidP="0020732A">
      <w:pPr>
        <w:rPr>
          <w:rtl/>
        </w:rPr>
      </w:pPr>
    </w:p>
    <w:p w14:paraId="7ECF04EF" w14:textId="77777777" w:rsidR="0020732A" w:rsidRPr="0025250D" w:rsidRDefault="0020732A" w:rsidP="0020732A">
      <w:pPr>
        <w:rPr>
          <w:rtl/>
        </w:rPr>
      </w:pPr>
    </w:p>
    <w:p w14:paraId="66FD3A4F" w14:textId="77777777" w:rsidR="0020732A" w:rsidRPr="0025250D" w:rsidRDefault="0020732A" w:rsidP="0020732A">
      <w:pPr>
        <w:rPr>
          <w:rtl/>
        </w:rPr>
      </w:pPr>
    </w:p>
    <w:p w14:paraId="34672CA6" w14:textId="2A5E37B3" w:rsidR="0020732A" w:rsidRPr="0025250D" w:rsidRDefault="0020732A" w:rsidP="00BE0DDD">
      <w:pPr>
        <w:pStyle w:val="Heading2"/>
        <w:rPr>
          <w:rtl/>
        </w:rPr>
      </w:pPr>
      <w:bookmarkStart w:id="15" w:name="_Toc127831280"/>
      <w:r w:rsidRPr="0025250D">
        <w:rPr>
          <w:rtl/>
        </w:rPr>
        <w:lastRenderedPageBreak/>
        <w:t>آینده‌نگاری</w:t>
      </w:r>
      <w:r w:rsidRPr="0025250D">
        <w:rPr>
          <w:rFonts w:hint="cs"/>
          <w:rtl/>
        </w:rPr>
        <w:t xml:space="preserve"> هیجانی: </w:t>
      </w:r>
      <w:r w:rsidR="00BE0DDD" w:rsidRPr="0025250D">
        <w:rPr>
          <w:rtl/>
        </w:rPr>
        <w:t>حس‌داد</w:t>
      </w:r>
      <w:r w:rsidR="00BE0DDD" w:rsidRPr="0025250D">
        <w:rPr>
          <w:rFonts w:hint="cs"/>
          <w:rtl/>
        </w:rPr>
        <w:t xml:space="preserve">های </w:t>
      </w:r>
      <w:r w:rsidRPr="0025250D">
        <w:rPr>
          <w:rFonts w:hint="cs"/>
          <w:rtl/>
        </w:rPr>
        <w:t>مثبت و منفی آینده</w:t>
      </w:r>
      <w:bookmarkEnd w:id="15"/>
    </w:p>
    <w:p w14:paraId="7528A0DC" w14:textId="2D91152D" w:rsidR="0020732A" w:rsidRPr="0025250D" w:rsidRDefault="0020732A" w:rsidP="0020732A">
      <w:pPr>
        <w:rPr>
          <w:rtl/>
        </w:rPr>
      </w:pPr>
      <w:r w:rsidRPr="0025250D">
        <w:rPr>
          <w:rFonts w:hint="cs"/>
          <w:rtl/>
        </w:rPr>
        <w:t xml:space="preserve">بگذارید اکنون بیش‌تر در مورد </w:t>
      </w:r>
      <w:r w:rsidRPr="0025250D">
        <w:rPr>
          <w:rtl/>
        </w:rPr>
        <w:t>آینده‌نگاری</w:t>
      </w:r>
      <w:r w:rsidRPr="0025250D">
        <w:rPr>
          <w:rFonts w:hint="cs"/>
          <w:rtl/>
        </w:rPr>
        <w:t xml:space="preserve"> هیجانی صحبت کنیم و در نظر بگیریم که چگونه هیجانات اولویت‌های ما و رأس هرم </w:t>
      </w:r>
      <w:r w:rsidRPr="0025250D">
        <w:rPr>
          <w:rtl/>
        </w:rPr>
        <w:t>آینده‌نگاری</w:t>
      </w:r>
      <w:r w:rsidRPr="0025250D">
        <w:rPr>
          <w:rFonts w:hint="cs"/>
          <w:rtl/>
        </w:rPr>
        <w:t xml:space="preserve"> ما را شکل می‌دهند. دیدیم که تمایل داریم که ابتدا و به سریع‌ترین و قوی‌ترین شکل احساس کنیم و سپس در درجه دوم با سرعت و قدرت کم‌تر در مورد وعده و خطر پیش رو فکر کنیم. فراگیر‌ترین مدل برای هیجانات، آن‌ها را به </w:t>
      </w:r>
      <w:r w:rsidR="00E6564A" w:rsidRPr="0025250D">
        <w:rPr>
          <w:rtl/>
        </w:rPr>
        <w:t>حس‌داد</w:t>
      </w:r>
      <w:r w:rsidRPr="0025250D">
        <w:rPr>
          <w:rFonts w:hint="cs"/>
          <w:rtl/>
        </w:rPr>
        <w:t xml:space="preserve"> مثبت و منفی می‌شکند. با استفاده از </w:t>
      </w:r>
      <w:r w:rsidR="008D6F97" w:rsidRPr="0025250D">
        <w:rPr>
          <w:rFonts w:hint="cs"/>
          <w:rtl/>
        </w:rPr>
        <w:t>سامانه</w:t>
      </w:r>
      <w:r w:rsidRPr="0025250D">
        <w:rPr>
          <w:rFonts w:hint="cs"/>
          <w:rtl/>
        </w:rPr>
        <w:t xml:space="preserve"> 1 و سپس </w:t>
      </w:r>
      <w:r w:rsidR="008D6F97" w:rsidRPr="0025250D">
        <w:rPr>
          <w:rFonts w:hint="cs"/>
          <w:rtl/>
        </w:rPr>
        <w:t>سامانه</w:t>
      </w:r>
      <w:r w:rsidRPr="0025250D">
        <w:rPr>
          <w:rFonts w:hint="cs"/>
          <w:rtl/>
        </w:rPr>
        <w:t xml:space="preserve"> 2، دو</w:t>
      </w:r>
      <w:r w:rsidRPr="0025250D">
        <w:rPr>
          <w:rtl/>
        </w:rPr>
        <w:t xml:space="preserve"> </w:t>
      </w:r>
      <w:r w:rsidRPr="0025250D">
        <w:rPr>
          <w:rFonts w:hint="cs"/>
          <w:rtl/>
        </w:rPr>
        <w:t>راه</w:t>
      </w:r>
      <w:r w:rsidRPr="0025250D">
        <w:rPr>
          <w:rtl/>
        </w:rPr>
        <w:t xml:space="preserve"> </w:t>
      </w:r>
      <w:r w:rsidRPr="0025250D">
        <w:rPr>
          <w:rFonts w:hint="cs"/>
          <w:rtl/>
        </w:rPr>
        <w:t>وجود</w:t>
      </w:r>
      <w:r w:rsidRPr="0025250D">
        <w:rPr>
          <w:rtl/>
        </w:rPr>
        <w:t xml:space="preserve"> </w:t>
      </w:r>
      <w:r w:rsidRPr="0025250D">
        <w:rPr>
          <w:rFonts w:hint="cs"/>
          <w:rtl/>
        </w:rPr>
        <w:t>دارد</w:t>
      </w:r>
      <w:r w:rsidRPr="0025250D">
        <w:rPr>
          <w:rtl/>
        </w:rPr>
        <w:t xml:space="preserve"> </w:t>
      </w:r>
      <w:r w:rsidRPr="0025250D">
        <w:rPr>
          <w:rFonts w:hint="cs"/>
          <w:rtl/>
        </w:rPr>
        <w:t>که</w:t>
      </w:r>
      <w:r w:rsidRPr="0025250D">
        <w:rPr>
          <w:rtl/>
        </w:rPr>
        <w:t xml:space="preserve"> </w:t>
      </w:r>
      <w:r w:rsidRPr="0025250D">
        <w:rPr>
          <w:rFonts w:hint="cs"/>
          <w:rtl/>
        </w:rPr>
        <w:t>ما</w:t>
      </w:r>
      <w:r w:rsidRPr="0025250D">
        <w:rPr>
          <w:rtl/>
        </w:rPr>
        <w:t xml:space="preserve"> </w:t>
      </w:r>
      <w:r w:rsidRPr="0025250D">
        <w:rPr>
          <w:rFonts w:hint="cs"/>
          <w:rtl/>
        </w:rPr>
        <w:t>راه</w:t>
      </w:r>
      <w:r w:rsidRPr="0025250D">
        <w:rPr>
          <w:rtl/>
        </w:rPr>
        <w:t xml:space="preserve"> </w:t>
      </w:r>
      <w:r w:rsidRPr="0025250D">
        <w:rPr>
          <w:rFonts w:hint="cs"/>
          <w:rtl/>
        </w:rPr>
        <w:t>خود</w:t>
      </w:r>
      <w:r w:rsidRPr="0025250D">
        <w:rPr>
          <w:rtl/>
        </w:rPr>
        <w:t xml:space="preserve"> </w:t>
      </w:r>
      <w:r w:rsidRPr="0025250D">
        <w:rPr>
          <w:rFonts w:hint="cs"/>
          <w:rtl/>
        </w:rPr>
        <w:t>را</w:t>
      </w:r>
      <w:r w:rsidRPr="0025250D">
        <w:rPr>
          <w:rtl/>
        </w:rPr>
        <w:t xml:space="preserve"> </w:t>
      </w:r>
      <w:r w:rsidRPr="0025250D">
        <w:rPr>
          <w:rFonts w:hint="cs"/>
          <w:rtl/>
        </w:rPr>
        <w:t>به</w:t>
      </w:r>
      <w:r w:rsidRPr="0025250D">
        <w:rPr>
          <w:rtl/>
        </w:rPr>
        <w:t xml:space="preserve"> </w:t>
      </w:r>
      <w:r w:rsidRPr="0025250D">
        <w:rPr>
          <w:rFonts w:hint="cs"/>
          <w:rtl/>
        </w:rPr>
        <w:t>آینده</w:t>
      </w:r>
      <w:r w:rsidRPr="0025250D">
        <w:rPr>
          <w:rtl/>
        </w:rPr>
        <w:t xml:space="preserve"> </w:t>
      </w:r>
      <w:r w:rsidRPr="0025250D">
        <w:rPr>
          <w:rFonts w:hint="cs"/>
          <w:rtl/>
        </w:rPr>
        <w:t>پیدا</w:t>
      </w:r>
      <w:r w:rsidRPr="0025250D">
        <w:rPr>
          <w:rtl/>
        </w:rPr>
        <w:t xml:space="preserve"> می‌</w:t>
      </w:r>
      <w:r w:rsidRPr="0025250D">
        <w:rPr>
          <w:rFonts w:hint="cs"/>
          <w:rtl/>
        </w:rPr>
        <w:t>کنیم - خوش بینی</w:t>
      </w:r>
      <w:r w:rsidRPr="0025250D">
        <w:rPr>
          <w:vertAlign w:val="superscript"/>
          <w:rtl/>
        </w:rPr>
        <w:footnoteReference w:id="525"/>
      </w:r>
      <w:r w:rsidRPr="0025250D">
        <w:rPr>
          <w:rFonts w:hint="cs"/>
          <w:rtl/>
        </w:rPr>
        <w:t xml:space="preserve"> و </w:t>
      </w:r>
      <w:r w:rsidR="00D92F6E" w:rsidRPr="0025250D">
        <w:rPr>
          <w:rFonts w:hint="cs"/>
          <w:rtl/>
        </w:rPr>
        <w:t>بدبینی</w:t>
      </w:r>
      <w:r w:rsidRPr="0025250D">
        <w:rPr>
          <w:vertAlign w:val="superscript"/>
          <w:rtl/>
        </w:rPr>
        <w:footnoteReference w:id="526"/>
      </w:r>
      <w:r w:rsidRPr="0025250D">
        <w:rPr>
          <w:rFonts w:hint="cs"/>
          <w:rtl/>
        </w:rPr>
        <w:t xml:space="preserve">. هر یک از ما نه‌تنها در مورد آنچه آرزو داریم، بلکه همچنین در مورد آنچه می‌خواهیم از آن جلوگیری کنیم فکر می‌کنیم. روانشناسان اولین </w:t>
      </w:r>
      <w:r w:rsidR="00E6564A" w:rsidRPr="0025250D">
        <w:rPr>
          <w:rtl/>
        </w:rPr>
        <w:t>حس‌داد</w:t>
      </w:r>
      <w:r w:rsidRPr="0025250D">
        <w:rPr>
          <w:rFonts w:hint="cs"/>
          <w:rtl/>
        </w:rPr>
        <w:t xml:space="preserve"> را خوش بینی راهبردی</w:t>
      </w:r>
      <w:r w:rsidRPr="0025250D">
        <w:rPr>
          <w:vertAlign w:val="superscript"/>
          <w:rtl/>
        </w:rPr>
        <w:footnoteReference w:id="527"/>
      </w:r>
      <w:r w:rsidRPr="0025250D">
        <w:rPr>
          <w:rFonts w:hint="cs"/>
          <w:rtl/>
        </w:rPr>
        <w:t xml:space="preserve"> و </w:t>
      </w:r>
      <w:r w:rsidR="00E6564A" w:rsidRPr="0025250D">
        <w:rPr>
          <w:rtl/>
        </w:rPr>
        <w:t>حس‌داد</w:t>
      </w:r>
      <w:r w:rsidRPr="0025250D">
        <w:rPr>
          <w:rFonts w:hint="cs"/>
          <w:rtl/>
        </w:rPr>
        <w:t xml:space="preserve"> دوم را بدبینی</w:t>
      </w:r>
      <w:r w:rsidRPr="0025250D">
        <w:rPr>
          <w:rtl/>
        </w:rPr>
        <w:t xml:space="preserve"> </w:t>
      </w:r>
      <w:r w:rsidRPr="0025250D">
        <w:rPr>
          <w:rFonts w:hint="cs"/>
          <w:rtl/>
        </w:rPr>
        <w:t>تدافعی</w:t>
      </w:r>
      <w:r w:rsidRPr="0025250D">
        <w:rPr>
          <w:vertAlign w:val="superscript"/>
          <w:rtl/>
        </w:rPr>
        <w:footnoteReference w:id="528"/>
      </w:r>
      <w:r w:rsidRPr="0025250D">
        <w:rPr>
          <w:rFonts w:hint="cs"/>
          <w:rtl/>
        </w:rPr>
        <w:t xml:space="preserve"> می‌نامند.</w:t>
      </w:r>
    </w:p>
    <w:p w14:paraId="32B01FD8" w14:textId="2A0A9CD8" w:rsidR="0020732A" w:rsidRPr="0025250D" w:rsidRDefault="0020732A" w:rsidP="0020732A">
      <w:pPr>
        <w:rPr>
          <w:rtl/>
        </w:rPr>
      </w:pPr>
      <w:r w:rsidRPr="0025250D">
        <w:rPr>
          <w:rFonts w:hint="cs"/>
          <w:rtl/>
        </w:rPr>
        <w:t xml:space="preserve">بنابراین مدیریت و استفاده خوب از این جفت </w:t>
      </w:r>
      <w:r w:rsidR="00E6564A" w:rsidRPr="0025250D">
        <w:rPr>
          <w:rtl/>
        </w:rPr>
        <w:t>حس‌داد</w:t>
      </w:r>
      <w:r w:rsidRPr="0025250D">
        <w:rPr>
          <w:rFonts w:hint="cs"/>
          <w:rtl/>
        </w:rPr>
        <w:t xml:space="preserve"> کلیدی برای </w:t>
      </w:r>
      <w:r w:rsidRPr="0025250D">
        <w:rPr>
          <w:rtl/>
        </w:rPr>
        <w:t>آینده‌نگاری</w:t>
      </w:r>
      <w:r w:rsidRPr="0025250D">
        <w:rPr>
          <w:rFonts w:hint="cs"/>
          <w:rtl/>
        </w:rPr>
        <w:t xml:space="preserve"> بهتر است. هر </w:t>
      </w:r>
      <w:r w:rsidR="00E6564A" w:rsidRPr="0025250D">
        <w:rPr>
          <w:rtl/>
        </w:rPr>
        <w:t>حس‌داد</w:t>
      </w:r>
      <w:r w:rsidRPr="0025250D">
        <w:rPr>
          <w:rFonts w:hint="cs"/>
          <w:rtl/>
        </w:rPr>
        <w:t xml:space="preserve"> در زمینه‌های مختلف کاملاً </w:t>
      </w:r>
      <w:r w:rsidR="00AE5BE0" w:rsidRPr="0025250D">
        <w:rPr>
          <w:rFonts w:hint="cs"/>
          <w:rtl/>
        </w:rPr>
        <w:t>انطباقی</w:t>
      </w:r>
      <w:r w:rsidRPr="0025250D">
        <w:rPr>
          <w:rFonts w:hint="cs"/>
          <w:rtl/>
        </w:rPr>
        <w:t xml:space="preserve"> است. </w:t>
      </w:r>
      <w:r w:rsidR="007118DE" w:rsidRPr="0025250D">
        <w:rPr>
          <w:rFonts w:hint="cs"/>
          <w:rtl/>
        </w:rPr>
        <w:t>همان‌طور</w:t>
      </w:r>
      <w:r w:rsidRPr="0025250D">
        <w:rPr>
          <w:rFonts w:hint="cs"/>
          <w:rtl/>
        </w:rPr>
        <w:t xml:space="preserve"> که روانشناس و عصب شناس </w:t>
      </w:r>
      <w:r w:rsidRPr="0025250D">
        <w:rPr>
          <w:rtl/>
        </w:rPr>
        <w:t>د</w:t>
      </w:r>
      <w:r w:rsidRPr="0025250D">
        <w:rPr>
          <w:rFonts w:hint="cs"/>
          <w:rtl/>
        </w:rPr>
        <w:t>ی</w:t>
      </w:r>
      <w:r w:rsidRPr="0025250D">
        <w:rPr>
          <w:rFonts w:hint="eastAsia"/>
          <w:rtl/>
        </w:rPr>
        <w:t>ل</w:t>
      </w:r>
      <w:r w:rsidRPr="0025250D">
        <w:rPr>
          <w:rFonts w:hint="cs"/>
          <w:rtl/>
        </w:rPr>
        <w:t>ی</w:t>
      </w:r>
      <w:r w:rsidRPr="0025250D">
        <w:rPr>
          <w:rFonts w:hint="eastAsia"/>
          <w:rtl/>
        </w:rPr>
        <w:t>پ</w:t>
      </w:r>
      <w:r w:rsidRPr="0025250D">
        <w:rPr>
          <w:rtl/>
        </w:rPr>
        <w:t xml:space="preserve"> جسته</w:t>
      </w:r>
      <w:r w:rsidRPr="0025250D">
        <w:rPr>
          <w:vertAlign w:val="superscript"/>
          <w:rtl/>
        </w:rPr>
        <w:footnoteReference w:id="529"/>
      </w:r>
      <w:r w:rsidRPr="0025250D">
        <w:rPr>
          <w:rFonts w:hint="cs"/>
          <w:rtl/>
        </w:rPr>
        <w:t xml:space="preserve"> در اثر خود به نام خردمندتر</w:t>
      </w:r>
      <w:r w:rsidRPr="0025250D">
        <w:rPr>
          <w:vertAlign w:val="superscript"/>
          <w:rtl/>
        </w:rPr>
        <w:footnoteReference w:id="530"/>
      </w:r>
      <w:r w:rsidRPr="0025250D">
        <w:rPr>
          <w:rFonts w:hint="cs"/>
          <w:rtl/>
        </w:rPr>
        <w:t xml:space="preserve"> در سال 2020 بیان می‌کند، برخی از افراد یک تمایل طبیعی به بدبینی تدافعی دارند. </w:t>
      </w:r>
      <w:r w:rsidR="007118DE" w:rsidRPr="0025250D">
        <w:rPr>
          <w:rFonts w:hint="cs"/>
          <w:rtl/>
        </w:rPr>
        <w:t>همان‌طور</w:t>
      </w:r>
      <w:r w:rsidRPr="0025250D">
        <w:rPr>
          <w:rFonts w:hint="cs"/>
          <w:rtl/>
        </w:rPr>
        <w:t xml:space="preserve"> که خواهیم دید، چنین افرادی می‌توانند به‌طور مشخص در دیدن پتانسیل </w:t>
      </w:r>
      <w:r w:rsidR="00D92F6E" w:rsidRPr="0025250D">
        <w:rPr>
          <w:rFonts w:hint="cs"/>
          <w:rtl/>
        </w:rPr>
        <w:t>بنیان‌افکن</w:t>
      </w:r>
      <w:r w:rsidRPr="0025250D">
        <w:rPr>
          <w:rFonts w:hint="cs"/>
          <w:rtl/>
        </w:rPr>
        <w:t>ی</w:t>
      </w:r>
      <w:r w:rsidRPr="0025250D">
        <w:rPr>
          <w:vertAlign w:val="superscript"/>
          <w:rtl/>
        </w:rPr>
        <w:footnoteReference w:id="531"/>
      </w:r>
      <w:r w:rsidRPr="0025250D">
        <w:rPr>
          <w:rFonts w:hint="cs"/>
          <w:rtl/>
        </w:rPr>
        <w:t xml:space="preserve"> و ریسک، قبل و دقیق‌تر از هر کس دیگر، عملکرد خوبی باشند. در مقابل، دیگران یک تمایل طبیعی برای خوشبینی راهبردی دارند. آن‌ها در یافتن مزایا و فرصت ‌ها، قبل و دقیق‌تر از دیگران، بهتر عمل می‌کنند.</w:t>
      </w:r>
    </w:p>
    <w:p w14:paraId="29C26821" w14:textId="42F435FA" w:rsidR="0020732A" w:rsidRPr="0025250D" w:rsidRDefault="0020732A" w:rsidP="00BE0DDD">
      <w:pPr>
        <w:rPr>
          <w:rtl/>
        </w:rPr>
      </w:pPr>
      <w:r w:rsidRPr="0025250D">
        <w:rPr>
          <w:rFonts w:hint="cs"/>
          <w:rtl/>
        </w:rPr>
        <w:t xml:space="preserve">ترکیب خوب این دو </w:t>
      </w:r>
      <w:r w:rsidR="00BE0DDD" w:rsidRPr="0025250D">
        <w:rPr>
          <w:rtl/>
        </w:rPr>
        <w:t>حس‌داد</w:t>
      </w:r>
      <w:r w:rsidR="00BE0DDD" w:rsidRPr="0025250D">
        <w:rPr>
          <w:rFonts w:hint="cs"/>
          <w:rtl/>
        </w:rPr>
        <w:t xml:space="preserve"> </w:t>
      </w:r>
      <w:r w:rsidRPr="0025250D">
        <w:rPr>
          <w:rFonts w:hint="cs"/>
          <w:rtl/>
        </w:rPr>
        <w:t xml:space="preserve">و توازن فعال آن‌ها، یک حالت </w:t>
      </w:r>
      <w:r w:rsidR="00E6564A" w:rsidRPr="0025250D">
        <w:rPr>
          <w:rtl/>
        </w:rPr>
        <w:t>حس‌داد</w:t>
      </w:r>
      <w:r w:rsidRPr="0025250D">
        <w:rPr>
          <w:rFonts w:hint="cs"/>
          <w:rtl/>
        </w:rPr>
        <w:t xml:space="preserve"> سوم، یعنی واقع‌گرایی</w:t>
      </w:r>
      <w:r w:rsidRPr="0025250D">
        <w:rPr>
          <w:vertAlign w:val="superscript"/>
          <w:rtl/>
        </w:rPr>
        <w:footnoteReference w:id="532"/>
      </w:r>
      <w:r w:rsidRPr="0025250D">
        <w:rPr>
          <w:rFonts w:hint="cs"/>
          <w:rtl/>
        </w:rPr>
        <w:t xml:space="preserve"> است. واقع‌گرایی، آن‌طور که برخی به اشتباه می‌پندارند، بدگمانی</w:t>
      </w:r>
      <w:r w:rsidRPr="0025250D">
        <w:rPr>
          <w:vertAlign w:val="superscript"/>
          <w:rtl/>
        </w:rPr>
        <w:footnoteReference w:id="533"/>
      </w:r>
      <w:r w:rsidRPr="0025250D">
        <w:rPr>
          <w:rFonts w:hint="cs"/>
          <w:rtl/>
        </w:rPr>
        <w:t xml:space="preserve"> یا بدبینی نیست. همچنین </w:t>
      </w:r>
      <w:r w:rsidR="006335B8" w:rsidRPr="0025250D">
        <w:rPr>
          <w:rtl/>
        </w:rPr>
        <w:t>«</w:t>
      </w:r>
      <w:r w:rsidRPr="0025250D">
        <w:rPr>
          <w:rFonts w:hint="cs"/>
          <w:rtl/>
        </w:rPr>
        <w:t>سیاست</w:t>
      </w:r>
      <w:r w:rsidRPr="0025250D">
        <w:rPr>
          <w:rtl/>
        </w:rPr>
        <w:t xml:space="preserve"> </w:t>
      </w:r>
      <w:r w:rsidRPr="0025250D">
        <w:rPr>
          <w:rFonts w:hint="cs"/>
          <w:rtl/>
        </w:rPr>
        <w:t>واقع‌گرا</w:t>
      </w:r>
      <w:r w:rsidRPr="0025250D">
        <w:rPr>
          <w:vertAlign w:val="superscript"/>
          <w:rtl/>
        </w:rPr>
        <w:footnoteReference w:id="534"/>
      </w:r>
      <w:r w:rsidR="006335B8" w:rsidRPr="0025250D">
        <w:rPr>
          <w:rtl/>
        </w:rPr>
        <w:t>»</w:t>
      </w:r>
      <w:r w:rsidRPr="0025250D">
        <w:rPr>
          <w:rFonts w:hint="cs"/>
          <w:rtl/>
        </w:rPr>
        <w:t xml:space="preserve"> که سیاست بر مبنای فرصت طلبی بجای ملاحظات اخلاقی است نیز نمی‌باشد. ما واقع‌گرایی را به‌عنوان توانایی دیدن و تحلیل هم‌زمان هر مشکل و مسئله‌ای با استفاده از هر دو </w:t>
      </w:r>
      <w:r w:rsidR="00E6564A" w:rsidRPr="0025250D">
        <w:rPr>
          <w:rtl/>
        </w:rPr>
        <w:t>حس‌داد</w:t>
      </w:r>
      <w:r w:rsidRPr="0025250D">
        <w:rPr>
          <w:rFonts w:hint="cs"/>
          <w:rtl/>
        </w:rPr>
        <w:t xml:space="preserve"> و حرکت آسان و سریع میان هر یک برحسب نیاز و عدم گرفتاری در هیچ‌یک از این دو نگاه </w:t>
      </w:r>
      <w:r w:rsidR="009D17DA" w:rsidRPr="0025250D">
        <w:rPr>
          <w:rFonts w:hint="cs"/>
          <w:rtl/>
        </w:rPr>
        <w:t>در نظر می‌گیریم</w:t>
      </w:r>
      <w:r w:rsidRPr="0025250D">
        <w:rPr>
          <w:rFonts w:hint="cs"/>
          <w:rtl/>
        </w:rPr>
        <w:t xml:space="preserve">. واقع‌گرایی تفکر متوازن </w:t>
      </w:r>
      <w:r w:rsidRPr="0025250D">
        <w:t>ADOR</w:t>
      </w:r>
      <w:r w:rsidRPr="0025250D">
        <w:rPr>
          <w:rFonts w:hint="cs"/>
          <w:rtl/>
        </w:rPr>
        <w:t xml:space="preserve"> (تحلیل </w:t>
      </w:r>
      <w:r w:rsidRPr="0025250D">
        <w:t>ADOR</w:t>
      </w:r>
      <w:r w:rsidRPr="0025250D">
        <w:rPr>
          <w:rFonts w:hint="cs"/>
          <w:rtl/>
        </w:rPr>
        <w:t xml:space="preserve"> را به‌طور خلاصه مورد بحث قرار خواهیم داد) </w:t>
      </w:r>
      <w:r w:rsidR="009D17DA" w:rsidRPr="0025250D">
        <w:rPr>
          <w:rFonts w:hint="cs"/>
          <w:rtl/>
        </w:rPr>
        <w:t>می‌باشد</w:t>
      </w:r>
      <w:r w:rsidRPr="0025250D">
        <w:rPr>
          <w:rFonts w:hint="cs"/>
          <w:rtl/>
        </w:rPr>
        <w:t xml:space="preserve">. واقع‌گرایی توانایی تحلیل پیامدهای آینده یک مشکل یا مسئله با استفاده از هر دو </w:t>
      </w:r>
      <w:r w:rsidR="00E6564A" w:rsidRPr="0025250D">
        <w:rPr>
          <w:rtl/>
        </w:rPr>
        <w:t>حس‌داد</w:t>
      </w:r>
      <w:r w:rsidRPr="0025250D">
        <w:rPr>
          <w:rFonts w:hint="cs"/>
          <w:rtl/>
        </w:rPr>
        <w:t xml:space="preserve"> و استفاده از مزایای هر یک است.</w:t>
      </w:r>
    </w:p>
    <w:p w14:paraId="2221787B" w14:textId="77777777" w:rsidR="0020732A" w:rsidRPr="0025250D" w:rsidRDefault="0020732A" w:rsidP="000818CA">
      <w:pPr>
        <w:jc w:val="center"/>
        <w:rPr>
          <w:rtl/>
        </w:rPr>
      </w:pPr>
      <w:r w:rsidRPr="0025250D">
        <w:rPr>
          <w:noProof/>
          <w:lang w:bidi="ar-SA"/>
        </w:rPr>
        <w:drawing>
          <wp:inline distT="0" distB="0" distL="0" distR="0" wp14:anchorId="797D8AD2" wp14:editId="44ECC4E9">
            <wp:extent cx="4675367" cy="237187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screen">
                      <a:extLst>
                        <a:ext uri="{BEBA8EAE-BF5A-486C-A8C5-ECC9F3942E4B}">
                          <a14:imgProps xmlns:a14="http://schemas.microsoft.com/office/drawing/2010/main">
                            <a14:imgLayer r:embed="rId50">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4689609" cy="2379104"/>
                    </a:xfrm>
                    <a:prstGeom prst="rect">
                      <a:avLst/>
                    </a:prstGeom>
                    <a:noFill/>
                  </pic:spPr>
                </pic:pic>
              </a:graphicData>
            </a:graphic>
          </wp:inline>
        </w:drawing>
      </w:r>
    </w:p>
    <w:p w14:paraId="7917CCE3" w14:textId="3BAD2985" w:rsidR="0020732A" w:rsidRPr="0025250D" w:rsidRDefault="0020732A" w:rsidP="001312B6">
      <w:pPr>
        <w:jc w:val="center"/>
        <w:rPr>
          <w:rtl/>
        </w:rPr>
      </w:pPr>
      <w:r w:rsidRPr="0025250D">
        <w:rPr>
          <w:rFonts w:hint="cs"/>
          <w:rtl/>
        </w:rPr>
        <w:lastRenderedPageBreak/>
        <w:t xml:space="preserve">سه </w:t>
      </w:r>
      <w:r w:rsidR="0053184A" w:rsidRPr="0025250D">
        <w:rPr>
          <w:rFonts w:hint="cs"/>
          <w:rtl/>
        </w:rPr>
        <w:t>حالت</w:t>
      </w:r>
      <w:r w:rsidRPr="0025250D">
        <w:rPr>
          <w:rFonts w:hint="cs"/>
          <w:rtl/>
        </w:rPr>
        <w:t xml:space="preserve"> </w:t>
      </w:r>
      <w:r w:rsidR="00E6564A" w:rsidRPr="0025250D">
        <w:rPr>
          <w:rtl/>
        </w:rPr>
        <w:t>حس‌داد</w:t>
      </w:r>
      <w:r w:rsidRPr="0025250D">
        <w:rPr>
          <w:rFonts w:hint="cs"/>
          <w:rtl/>
        </w:rPr>
        <w:t xml:space="preserve"> بنیادی ما</w:t>
      </w:r>
    </w:p>
    <w:p w14:paraId="211C283D" w14:textId="7AA4DC7C" w:rsidR="0020732A" w:rsidRPr="0025250D" w:rsidRDefault="0020732A" w:rsidP="0020732A">
      <w:pPr>
        <w:rPr>
          <w:rtl/>
        </w:rPr>
      </w:pPr>
      <w:r w:rsidRPr="0025250D">
        <w:rPr>
          <w:rFonts w:hint="cs"/>
          <w:rtl/>
        </w:rPr>
        <w:t xml:space="preserve">بنابراین </w:t>
      </w:r>
      <w:r w:rsidR="006335B8" w:rsidRPr="0025250D">
        <w:rPr>
          <w:rtl/>
        </w:rPr>
        <w:t>«</w:t>
      </w:r>
      <w:r w:rsidRPr="0025250D">
        <w:rPr>
          <w:rFonts w:hint="cs"/>
          <w:rtl/>
        </w:rPr>
        <w:t>احساس آینده ما</w:t>
      </w:r>
      <w:r w:rsidR="006335B8" w:rsidRPr="0025250D">
        <w:rPr>
          <w:rtl/>
        </w:rPr>
        <w:t>»</w:t>
      </w:r>
      <w:r w:rsidRPr="0025250D">
        <w:rPr>
          <w:rFonts w:hint="cs"/>
          <w:rtl/>
        </w:rPr>
        <w:t xml:space="preserve"> دائما دو چشم‌انداز اساسی برای اهداف، راهبرد‌ها و برنامه‌ها و یک چشم‌انداز پدیدار شونده سوم را که این دو مورد را ترکیب می‌کند به ما ارائه می‌دهد. رهبران موفق و خودرهبران</w:t>
      </w:r>
      <w:r w:rsidRPr="0025250D">
        <w:rPr>
          <w:vertAlign w:val="superscript"/>
          <w:rtl/>
        </w:rPr>
        <w:footnoteReference w:id="535"/>
      </w:r>
      <w:r w:rsidRPr="0025250D">
        <w:rPr>
          <w:rFonts w:hint="cs"/>
          <w:rtl/>
        </w:rPr>
        <w:t xml:space="preserve"> می‌آموزند که چگونه و چه زمانی از چشم‌اندازهای خوش بینانه و بدبینانه برای هدایت راهبرد و عمل استفاده کنند. برخی ذینفعان وقتی </w:t>
      </w:r>
      <w:r w:rsidR="006335B8" w:rsidRPr="0025250D">
        <w:rPr>
          <w:rtl/>
        </w:rPr>
        <w:t>«</w:t>
      </w:r>
      <w:r w:rsidRPr="0025250D">
        <w:rPr>
          <w:rFonts w:hint="cs"/>
          <w:rtl/>
        </w:rPr>
        <w:t>روشنایی را ببینند</w:t>
      </w:r>
      <w:r w:rsidRPr="0025250D">
        <w:rPr>
          <w:vertAlign w:val="superscript"/>
          <w:rtl/>
        </w:rPr>
        <w:footnoteReference w:id="536"/>
      </w:r>
      <w:r w:rsidR="006335B8" w:rsidRPr="0025250D">
        <w:rPr>
          <w:rtl/>
        </w:rPr>
        <w:t>»</w:t>
      </w:r>
      <w:r w:rsidRPr="0025250D">
        <w:rPr>
          <w:rFonts w:hint="cs"/>
          <w:rtl/>
        </w:rPr>
        <w:t xml:space="preserve"> یا درگیر چشم‌اندازهای مثبت شوند، تغییر خواهند کرد. برخی دیگر تنها وقتی تغییر می‌کنند که </w:t>
      </w:r>
      <w:r w:rsidR="006335B8" w:rsidRPr="0025250D">
        <w:rPr>
          <w:rtl/>
        </w:rPr>
        <w:t>«</w:t>
      </w:r>
      <w:r w:rsidRPr="0025250D">
        <w:rPr>
          <w:rFonts w:hint="cs"/>
          <w:rtl/>
        </w:rPr>
        <w:t>گرما را احساس کنند</w:t>
      </w:r>
      <w:r w:rsidRPr="0025250D">
        <w:rPr>
          <w:vertAlign w:val="superscript"/>
          <w:rtl/>
        </w:rPr>
        <w:footnoteReference w:id="537"/>
      </w:r>
      <w:r w:rsidR="006335B8" w:rsidRPr="0025250D">
        <w:rPr>
          <w:rtl/>
        </w:rPr>
        <w:t>»</w:t>
      </w:r>
      <w:r w:rsidRPr="0025250D">
        <w:rPr>
          <w:rFonts w:hint="cs"/>
          <w:rtl/>
        </w:rPr>
        <w:t xml:space="preserve"> یا چشم‌اندازهای منفی را تجربه نمایند. یک گروه سوم هم تنها وقتی هر دو چشم‌انداز را تجربه کنند تغییر می‌کنند. این موارد، </w:t>
      </w:r>
      <w:r w:rsidR="007118DE" w:rsidRPr="0025250D">
        <w:rPr>
          <w:rFonts w:hint="cs"/>
          <w:rtl/>
        </w:rPr>
        <w:t>همان‌طور</w:t>
      </w:r>
      <w:r w:rsidRPr="0025250D">
        <w:rPr>
          <w:rFonts w:hint="cs"/>
          <w:rtl/>
        </w:rPr>
        <w:t xml:space="preserve"> که ممکن است حدس زده باشید، یک هرم </w:t>
      </w:r>
      <w:r w:rsidR="00E6564A" w:rsidRPr="0025250D">
        <w:rPr>
          <w:rtl/>
        </w:rPr>
        <w:t>حس‌داد</w:t>
      </w:r>
      <w:r w:rsidRPr="0025250D">
        <w:rPr>
          <w:rFonts w:hint="cs"/>
          <w:rtl/>
        </w:rPr>
        <w:t xml:space="preserve"> هستند. چشم‌اندازهای خوش بینانه خوب بر آینده، چشم‌اندازهای بدبینانه بر گذشته (به یاد آوردن مشکلات، محدودیت‌ها و عقبگرد‌های گذشته) و چشم‌اندازهای </w:t>
      </w:r>
      <w:r w:rsidR="0008779C" w:rsidRPr="0025250D">
        <w:rPr>
          <w:rFonts w:hint="cs"/>
          <w:rtl/>
        </w:rPr>
        <w:t>واقع‌گرا</w:t>
      </w:r>
      <w:r w:rsidRPr="0025250D">
        <w:rPr>
          <w:rFonts w:hint="cs"/>
          <w:rtl/>
        </w:rPr>
        <w:t xml:space="preserve">یانه خوب بر زمان حال (عمل) متمرکز می‌باشند. </w:t>
      </w:r>
      <w:r w:rsidR="007118DE" w:rsidRPr="0025250D">
        <w:rPr>
          <w:rFonts w:hint="cs"/>
          <w:rtl/>
        </w:rPr>
        <w:t>همان‌طور</w:t>
      </w:r>
      <w:r w:rsidRPr="0025250D">
        <w:rPr>
          <w:rFonts w:hint="cs"/>
          <w:rtl/>
        </w:rPr>
        <w:t xml:space="preserve"> که خواهیم دید، آغاز با خوش بینی، بعد بدبینی و سپس نقد هر دو و ایجاد </w:t>
      </w:r>
      <w:r w:rsidR="008F0DD8" w:rsidRPr="0025250D">
        <w:rPr>
          <w:rFonts w:hint="cs"/>
          <w:rtl/>
        </w:rPr>
        <w:t>برنامه‌ها</w:t>
      </w:r>
      <w:r w:rsidRPr="0025250D">
        <w:rPr>
          <w:rFonts w:hint="cs"/>
          <w:rtl/>
        </w:rPr>
        <w:t xml:space="preserve">، معمولاً بهترین رویکرد است. این امر را تقابل </w:t>
      </w:r>
      <w:r w:rsidR="00E6564A" w:rsidRPr="0025250D">
        <w:rPr>
          <w:rtl/>
        </w:rPr>
        <w:t>حس‌داد</w:t>
      </w:r>
      <w:r w:rsidRPr="0025250D">
        <w:rPr>
          <w:vertAlign w:val="superscript"/>
        </w:rPr>
        <w:footnoteReference w:id="538"/>
      </w:r>
      <w:r w:rsidRPr="0025250D">
        <w:rPr>
          <w:rFonts w:hint="cs"/>
          <w:rtl/>
        </w:rPr>
        <w:t xml:space="preserve"> می‌نامیم.</w:t>
      </w:r>
    </w:p>
    <w:p w14:paraId="504064BB" w14:textId="399BE57E" w:rsidR="0020732A" w:rsidRPr="0025250D" w:rsidRDefault="0020732A" w:rsidP="00BE0DDD">
      <w:pPr>
        <w:rPr>
          <w:rtl/>
        </w:rPr>
      </w:pPr>
      <w:r w:rsidRPr="0025250D">
        <w:rPr>
          <w:rFonts w:hint="cs"/>
          <w:rtl/>
        </w:rPr>
        <w:t xml:space="preserve">هر دو بازوی این جفت </w:t>
      </w:r>
      <w:r w:rsidR="00E6564A" w:rsidRPr="0025250D">
        <w:rPr>
          <w:rtl/>
        </w:rPr>
        <w:t>حس‌داد</w:t>
      </w:r>
      <w:r w:rsidRPr="0025250D">
        <w:rPr>
          <w:rFonts w:hint="cs"/>
          <w:rtl/>
        </w:rPr>
        <w:t xml:space="preserve"> </w:t>
      </w:r>
      <w:r w:rsidRPr="0025250D">
        <w:rPr>
          <w:rFonts w:cs="Times New Roman" w:hint="cs"/>
          <w:rtl/>
        </w:rPr>
        <w:t>–</w:t>
      </w:r>
      <w:r w:rsidRPr="0025250D">
        <w:rPr>
          <w:rFonts w:hint="cs"/>
          <w:rtl/>
        </w:rPr>
        <w:t xml:space="preserve"> خوش بینی و بدبینی، تحسین و انتقاد، هویج و چماق</w:t>
      </w:r>
      <w:r w:rsidRPr="0025250D">
        <w:rPr>
          <w:vertAlign w:val="superscript"/>
          <w:rtl/>
        </w:rPr>
        <w:footnoteReference w:id="539"/>
      </w:r>
      <w:r w:rsidRPr="0025250D">
        <w:rPr>
          <w:rFonts w:hint="cs"/>
          <w:rtl/>
        </w:rPr>
        <w:t>، لذت و رنج</w:t>
      </w:r>
      <w:r w:rsidR="009D17DA" w:rsidRPr="0025250D">
        <w:rPr>
          <w:rFonts w:hint="cs"/>
          <w:rtl/>
        </w:rPr>
        <w:t xml:space="preserve"> -</w:t>
      </w:r>
      <w:r w:rsidRPr="0025250D">
        <w:rPr>
          <w:rFonts w:hint="cs"/>
          <w:rtl/>
        </w:rPr>
        <w:t xml:space="preserve"> برای </w:t>
      </w:r>
      <w:r w:rsidR="00AE5BE0" w:rsidRPr="0025250D">
        <w:rPr>
          <w:rFonts w:hint="cs"/>
          <w:rtl/>
        </w:rPr>
        <w:t>انطباق</w:t>
      </w:r>
      <w:r w:rsidRPr="0025250D">
        <w:rPr>
          <w:rFonts w:hint="cs"/>
          <w:rtl/>
        </w:rPr>
        <w:t xml:space="preserve"> لازم هستند. ما ادعا می‌کنیم که آن‌ها ذاتا فراگیر هستند. فیزیکدان آینده‌پژوه </w:t>
      </w:r>
      <w:r w:rsidRPr="0025250D">
        <w:rPr>
          <w:rtl/>
        </w:rPr>
        <w:t>د</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rtl/>
        </w:rPr>
        <w:t xml:space="preserve"> بر</w:t>
      </w:r>
      <w:r w:rsidRPr="0025250D">
        <w:rPr>
          <w:rFonts w:hint="cs"/>
          <w:rtl/>
        </w:rPr>
        <w:t>ی</w:t>
      </w:r>
      <w:r w:rsidRPr="0025250D">
        <w:rPr>
          <w:rFonts w:hint="eastAsia"/>
          <w:rtl/>
        </w:rPr>
        <w:t>ن</w:t>
      </w:r>
      <w:r w:rsidRPr="0025250D">
        <w:rPr>
          <w:vertAlign w:val="superscript"/>
          <w:rtl/>
        </w:rPr>
        <w:footnoteReference w:id="540"/>
      </w:r>
      <w:r w:rsidRPr="0025250D">
        <w:rPr>
          <w:rFonts w:hint="cs"/>
          <w:rtl/>
        </w:rPr>
        <w:t xml:space="preserve"> اصطلاح </w:t>
      </w:r>
      <w:r w:rsidR="006335B8" w:rsidRPr="0025250D">
        <w:rPr>
          <w:rtl/>
        </w:rPr>
        <w:t>«</w:t>
      </w:r>
      <w:r w:rsidRPr="0025250D">
        <w:rPr>
          <w:rFonts w:hint="cs"/>
          <w:rtl/>
        </w:rPr>
        <w:t>پیشگویی خود بازدارنده</w:t>
      </w:r>
      <w:r w:rsidRPr="0025250D">
        <w:rPr>
          <w:vertAlign w:val="superscript"/>
          <w:rtl/>
        </w:rPr>
        <w:footnoteReference w:id="541"/>
      </w:r>
      <w:r w:rsidR="006335B8" w:rsidRPr="0025250D">
        <w:rPr>
          <w:rtl/>
        </w:rPr>
        <w:t>»</w:t>
      </w:r>
      <w:r w:rsidRPr="0025250D">
        <w:rPr>
          <w:rFonts w:hint="cs"/>
          <w:rtl/>
        </w:rPr>
        <w:t xml:space="preserve"> را در مقاله‌ای با همین نام در سال 1999 معرفی کرد. </w:t>
      </w:r>
      <w:r w:rsidRPr="0025250D">
        <w:rPr>
          <w:rtl/>
        </w:rPr>
        <w:t>بر</w:t>
      </w:r>
      <w:r w:rsidRPr="0025250D">
        <w:rPr>
          <w:rFonts w:hint="cs"/>
          <w:rtl/>
        </w:rPr>
        <w:t>ی</w:t>
      </w:r>
      <w:r w:rsidRPr="0025250D">
        <w:rPr>
          <w:rFonts w:hint="eastAsia"/>
          <w:rtl/>
        </w:rPr>
        <w:t>ن</w:t>
      </w:r>
      <w:r w:rsidRPr="0025250D">
        <w:rPr>
          <w:rFonts w:hint="cs"/>
          <w:rtl/>
        </w:rPr>
        <w:t xml:space="preserve"> بیان کرد که پیشگویی‌های خود بازدارنده (آینده‌های منفی قابل جلوگیری و اجتناب پذیر) رقیبی برای پیشگویی‌های خود بهبوددهنده</w:t>
      </w:r>
      <w:r w:rsidRPr="0025250D">
        <w:rPr>
          <w:vertAlign w:val="superscript"/>
          <w:rtl/>
        </w:rPr>
        <w:footnoteReference w:id="542"/>
      </w:r>
      <w:r w:rsidRPr="0025250D">
        <w:rPr>
          <w:rFonts w:hint="cs"/>
          <w:rtl/>
        </w:rPr>
        <w:t xml:space="preserve"> (آینده‌های مثبت مرجح و قابل دست‌یابی) هستند. هر دو نوع داستان ارزش عمیقی دارند. </w:t>
      </w:r>
      <w:r w:rsidR="007118DE" w:rsidRPr="0025250D">
        <w:rPr>
          <w:rFonts w:hint="cs"/>
          <w:rtl/>
        </w:rPr>
        <w:t>همان‌طور</w:t>
      </w:r>
      <w:r w:rsidRPr="0025250D">
        <w:rPr>
          <w:rFonts w:hint="cs"/>
          <w:rtl/>
        </w:rPr>
        <w:t xml:space="preserve"> که خواهیم دید، رهبران و خودرهبران</w:t>
      </w:r>
      <w:r w:rsidR="0090736C" w:rsidRPr="0025250D">
        <w:rPr>
          <w:rStyle w:val="FootnoteReference"/>
          <w:rtl/>
        </w:rPr>
        <w:footnoteReference w:id="543"/>
      </w:r>
      <w:r w:rsidRPr="0025250D">
        <w:rPr>
          <w:rFonts w:hint="cs"/>
          <w:rtl/>
        </w:rPr>
        <w:t xml:space="preserve"> باید بیاموزند که هر داستان را، برای ایجاد </w:t>
      </w:r>
      <w:r w:rsidRPr="0025250D">
        <w:rPr>
          <w:rtl/>
        </w:rPr>
        <w:t>آینده‌نگاری</w:t>
      </w:r>
      <w:r w:rsidRPr="0025250D">
        <w:rPr>
          <w:rFonts w:hint="cs"/>
          <w:rtl/>
        </w:rPr>
        <w:t xml:space="preserve"> خود و مدیریت تغییر به‌خوبی بیان کنند. در فصل 3 بیش‌تر در مورد تقابل </w:t>
      </w:r>
      <w:r w:rsidR="00E6564A" w:rsidRPr="0025250D">
        <w:rPr>
          <w:rtl/>
        </w:rPr>
        <w:t>حس‌داد</w:t>
      </w:r>
      <w:r w:rsidRPr="0025250D">
        <w:rPr>
          <w:rFonts w:hint="cs"/>
          <w:rtl/>
        </w:rPr>
        <w:t xml:space="preserve"> و </w:t>
      </w:r>
      <w:r w:rsidR="009E09A9" w:rsidRPr="0025250D">
        <w:rPr>
          <w:rFonts w:hint="cs"/>
          <w:rtl/>
        </w:rPr>
        <w:t xml:space="preserve">نسبت های </w:t>
      </w:r>
      <w:r w:rsidR="00BE0DDD" w:rsidRPr="0025250D">
        <w:rPr>
          <w:rtl/>
        </w:rPr>
        <w:t>حس‌داد</w:t>
      </w:r>
      <w:r w:rsidR="00BE0DDD" w:rsidRPr="0025250D">
        <w:rPr>
          <w:rFonts w:hint="cs"/>
          <w:rtl/>
        </w:rPr>
        <w:t xml:space="preserve"> </w:t>
      </w:r>
      <w:r w:rsidRPr="0025250D">
        <w:rPr>
          <w:rFonts w:hint="cs"/>
          <w:rtl/>
        </w:rPr>
        <w:t xml:space="preserve">صحبت خواهیم کرد. در بخش بعدی، چند کاربرد این مدل فراگیر را در انجام </w:t>
      </w:r>
      <w:r w:rsidRPr="0025250D">
        <w:rPr>
          <w:rtl/>
        </w:rPr>
        <w:t>آینده‌نگاری</w:t>
      </w:r>
      <w:r w:rsidRPr="0025250D">
        <w:rPr>
          <w:rFonts w:hint="cs"/>
          <w:rtl/>
        </w:rPr>
        <w:t xml:space="preserve"> در نظر خواهیم گرفت.</w:t>
      </w:r>
    </w:p>
    <w:p w14:paraId="51653917" w14:textId="77777777" w:rsidR="0020732A" w:rsidRPr="0025250D" w:rsidRDefault="0020732A" w:rsidP="001312B6">
      <w:pPr>
        <w:jc w:val="center"/>
        <w:rPr>
          <w:rtl/>
        </w:rPr>
      </w:pPr>
      <w:r w:rsidRPr="0025250D">
        <w:rPr>
          <w:noProof/>
          <w:rtl/>
          <w:lang w:bidi="ar-SA"/>
        </w:rPr>
        <w:drawing>
          <wp:inline distT="0" distB="0" distL="0" distR="0" wp14:anchorId="1BD58D98" wp14:editId="4A4AE54D">
            <wp:extent cx="1798270" cy="2067339"/>
            <wp:effectExtent l="0" t="0" r="0" b="0"/>
            <wp:docPr id="43" name="Picture 43" descr="D:\کار\مستقل\3 ( ترجمه ی دانشگاه تهران  )\Introduction to Foresight\part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کار\مستقل\3 ( ترجمه ی دانشگاه تهران  )\Introduction to Foresight\part1\31.png"/>
                    <pic:cNvPicPr>
                      <a:picLocks noChangeAspect="1" noChangeArrowheads="1"/>
                    </pic:cNvPicPr>
                  </pic:nvPicPr>
                  <pic:blipFill rotWithShape="1">
                    <a:blip r:embed="rId51" cstate="screen">
                      <a:extLst>
                        <a:ext uri="{BEBA8EAE-BF5A-486C-A8C5-ECC9F3942E4B}">
                          <a14:imgProps xmlns:a14="http://schemas.microsoft.com/office/drawing/2010/main">
                            <a14:imgLayer r:embed="rId52">
                              <a14:imgEffect>
                                <a14:saturation sat="0"/>
                              </a14:imgEffect>
                            </a14:imgLayer>
                          </a14:imgProps>
                        </a:ext>
                        <a:ext uri="{28A0092B-C50C-407E-A947-70E740481C1C}">
                          <a14:useLocalDpi xmlns:a14="http://schemas.microsoft.com/office/drawing/2010/main"/>
                        </a:ext>
                      </a:extLst>
                    </a:blip>
                    <a:srcRect/>
                    <a:stretch/>
                  </pic:blipFill>
                  <pic:spPr bwMode="auto">
                    <a:xfrm>
                      <a:off x="0" y="0"/>
                      <a:ext cx="1803458" cy="2073303"/>
                    </a:xfrm>
                    <a:prstGeom prst="rect">
                      <a:avLst/>
                    </a:prstGeom>
                    <a:noFill/>
                    <a:ln>
                      <a:noFill/>
                    </a:ln>
                    <a:extLst>
                      <a:ext uri="{53640926-AAD7-44D8-BBD7-CCE9431645EC}">
                        <a14:shadowObscured xmlns:a14="http://schemas.microsoft.com/office/drawing/2010/main"/>
                      </a:ext>
                    </a:extLst>
                  </pic:spPr>
                </pic:pic>
              </a:graphicData>
            </a:graphic>
          </wp:inline>
        </w:drawing>
      </w:r>
    </w:p>
    <w:p w14:paraId="334C1B6C" w14:textId="77777777" w:rsidR="0020732A" w:rsidRPr="0025250D" w:rsidRDefault="0020732A" w:rsidP="001312B6">
      <w:pPr>
        <w:jc w:val="center"/>
        <w:rPr>
          <w:rtl/>
        </w:rPr>
      </w:pPr>
      <w:r w:rsidRPr="0025250D">
        <w:rPr>
          <w:rFonts w:hint="cs"/>
          <w:rtl/>
        </w:rPr>
        <w:t>دیوید برین</w:t>
      </w:r>
      <w:r w:rsidRPr="0025250D">
        <w:rPr>
          <w:vertAlign w:val="superscript"/>
          <w:rtl/>
        </w:rPr>
        <w:footnoteReference w:id="544"/>
      </w:r>
    </w:p>
    <w:p w14:paraId="09C4BF93" w14:textId="77777777" w:rsidR="0020732A" w:rsidRPr="0025250D" w:rsidRDefault="0020732A" w:rsidP="0020732A">
      <w:pPr>
        <w:rPr>
          <w:rtl/>
        </w:rPr>
      </w:pPr>
    </w:p>
    <w:p w14:paraId="5BF62CDD" w14:textId="2E4B004F" w:rsidR="0020732A" w:rsidRPr="0025250D" w:rsidRDefault="0020732A" w:rsidP="0020732A">
      <w:pPr>
        <w:rPr>
          <w:rtl/>
        </w:rPr>
      </w:pPr>
    </w:p>
    <w:p w14:paraId="0E57A980" w14:textId="540E3BF6" w:rsidR="0020732A" w:rsidRPr="0025250D" w:rsidRDefault="0020732A" w:rsidP="0020732A">
      <w:pPr>
        <w:rPr>
          <w:rtl/>
        </w:rPr>
      </w:pPr>
    </w:p>
    <w:p w14:paraId="2913D18B" w14:textId="77777777" w:rsidR="0020732A" w:rsidRPr="0025250D" w:rsidRDefault="0020732A" w:rsidP="001312B6">
      <w:pPr>
        <w:pStyle w:val="Heading2"/>
        <w:rPr>
          <w:rtl/>
        </w:rPr>
      </w:pPr>
      <w:bookmarkStart w:id="16" w:name="_Toc127831281"/>
      <w:r w:rsidRPr="0025250D">
        <w:rPr>
          <w:rFonts w:hint="cs"/>
          <w:rtl/>
        </w:rPr>
        <w:lastRenderedPageBreak/>
        <w:t>رشد هیجانی-شناختی: صعود در هرم‌های توسعه</w:t>
      </w:r>
      <w:bookmarkEnd w:id="16"/>
    </w:p>
    <w:p w14:paraId="785A90EB" w14:textId="4F98BF0A" w:rsidR="0020732A" w:rsidRPr="0025250D" w:rsidRDefault="0020732A" w:rsidP="0020732A">
      <w:pPr>
        <w:rPr>
          <w:rtl/>
        </w:rPr>
      </w:pPr>
      <w:r w:rsidRPr="0025250D">
        <w:rPr>
          <w:rFonts w:hint="cs"/>
          <w:rtl/>
        </w:rPr>
        <w:t>ما چندین هرم سه‌گانه (زمان، آینده‌نگاری، ارزش‌ها، سبک‌های شناختی، رهبری</w:t>
      </w:r>
      <w:r w:rsidR="008D6F97" w:rsidRPr="0025250D">
        <w:rPr>
          <w:rtl/>
        </w:rPr>
        <w:t xml:space="preserve"> </w:t>
      </w:r>
      <w:r w:rsidRPr="0025250D">
        <w:rPr>
          <w:rFonts w:hint="cs"/>
          <w:rtl/>
        </w:rPr>
        <w:t xml:space="preserve">و </w:t>
      </w:r>
      <w:r w:rsidR="00E6564A" w:rsidRPr="0025250D">
        <w:rPr>
          <w:rtl/>
        </w:rPr>
        <w:t>حس‌داد</w:t>
      </w:r>
      <w:r w:rsidRPr="0025250D">
        <w:rPr>
          <w:rFonts w:hint="cs"/>
          <w:rtl/>
        </w:rPr>
        <w:t>) را که رهبران و خودرهبران خردمند</w:t>
      </w:r>
      <w:r w:rsidRPr="0025250D">
        <w:rPr>
          <w:rFonts w:hint="cs"/>
        </w:rPr>
        <w:t>‌</w:t>
      </w:r>
      <w:r w:rsidRPr="0025250D">
        <w:rPr>
          <w:rFonts w:hint="cs"/>
          <w:rtl/>
        </w:rPr>
        <w:t xml:space="preserve"> می‌توانند برای مدیریت بیاموزند توصیف کردیم. در هرم‌های سه‌گانه، ما ارزش سه فرایند و نحوه ایجاد یک فرایند سوم پیچیده و ارزشمند توسط دو فرایند مقابل پایه‌ای را در نظر</w:t>
      </w:r>
      <w:r w:rsidRPr="0025250D">
        <w:t>‌</w:t>
      </w:r>
      <w:r w:rsidRPr="0025250D">
        <w:rPr>
          <w:rtl/>
        </w:rPr>
        <w:t xml:space="preserve"> می‌</w:t>
      </w:r>
      <w:r w:rsidRPr="0025250D">
        <w:rPr>
          <w:rFonts w:hint="cs"/>
          <w:rtl/>
        </w:rPr>
        <w:t>گیریم. در فصل 3، این موارد را به‌عنوان سویه‌هایی از هرم تکاملی-توسعه‌ای، به‌عنوان راهی فراگیر برای تفکر در مورد مدیریت پیچیدگی و تغییر</w:t>
      </w:r>
      <w:r w:rsidRPr="0025250D">
        <w:rPr>
          <w:rFonts w:hint="cs"/>
        </w:rPr>
        <w:t>‌</w:t>
      </w:r>
      <w:r w:rsidRPr="0025250D">
        <w:rPr>
          <w:rFonts w:hint="cs"/>
          <w:rtl/>
        </w:rPr>
        <w:t xml:space="preserve"> می‌بینیم.</w:t>
      </w:r>
    </w:p>
    <w:p w14:paraId="457675E4" w14:textId="4D755E59" w:rsidR="0020732A" w:rsidRPr="0025250D" w:rsidRDefault="0020732A" w:rsidP="0020732A">
      <w:pPr>
        <w:rPr>
          <w:rtl/>
        </w:rPr>
      </w:pPr>
      <w:r w:rsidRPr="0025250D">
        <w:rPr>
          <w:rFonts w:hint="cs"/>
          <w:rtl/>
        </w:rPr>
        <w:t>اکنون آماده صحبت در مورد هرم‌های توسعه‌ای هستیم. این موارد نسخه‌های چندگامی</w:t>
      </w:r>
      <w:r w:rsidRPr="0025250D">
        <w:rPr>
          <w:vertAlign w:val="superscript"/>
          <w:rtl/>
        </w:rPr>
        <w:footnoteReference w:id="545"/>
      </w:r>
      <w:r w:rsidRPr="0025250D">
        <w:rPr>
          <w:rFonts w:hint="cs"/>
          <w:rtl/>
        </w:rPr>
        <w:t xml:space="preserve"> از هرم‌های سه‌گانه تک‌گامی</w:t>
      </w:r>
      <w:r w:rsidRPr="0025250D">
        <w:rPr>
          <w:vertAlign w:val="superscript"/>
          <w:rtl/>
        </w:rPr>
        <w:footnoteReference w:id="546"/>
      </w:r>
      <w:r w:rsidRPr="0025250D">
        <w:rPr>
          <w:rFonts w:hint="cs"/>
          <w:rtl/>
        </w:rPr>
        <w:t xml:space="preserve"> هستند که تابه‌حال در مورد آن‌ها بحث</w:t>
      </w:r>
      <w:r w:rsidRPr="0025250D">
        <w:rPr>
          <w:rFonts w:hint="cs"/>
        </w:rPr>
        <w:t>‌</w:t>
      </w:r>
      <w:r w:rsidRPr="0025250D">
        <w:rPr>
          <w:rFonts w:hint="cs"/>
          <w:rtl/>
        </w:rPr>
        <w:t xml:space="preserve"> می‌کردیم. در هرم‌های توسعه‌ای، از ما خواسته</w:t>
      </w:r>
      <w:r w:rsidRPr="0025250D">
        <w:rPr>
          <w:rFonts w:hint="cs"/>
        </w:rPr>
        <w:t>‌</w:t>
      </w:r>
      <w:r w:rsidRPr="0025250D">
        <w:rPr>
          <w:rFonts w:hint="cs"/>
          <w:rtl/>
        </w:rPr>
        <w:t xml:space="preserve"> می‌شود که نحوه‌ای که سطوح (گام‌ها) پایین‌تر و کم‌ارزش‌تر در یک سلسله‌مراتب باید برای امکان‌پذیر کردن پدیداری سطوح ارزشمند‌تر و بالاتر در یک هرم توسعه‌ای مدیریت شوند را در نظر بگیریم. هم هرم‌های تک‌گامی و هم چندگامی</w:t>
      </w:r>
      <w:r w:rsidR="00D92F6E" w:rsidRPr="0025250D">
        <w:rPr>
          <w:rFonts w:hint="cs"/>
          <w:rtl/>
        </w:rPr>
        <w:t>،</w:t>
      </w:r>
      <w:r w:rsidRPr="0025250D">
        <w:rPr>
          <w:rFonts w:hint="cs"/>
          <w:rtl/>
        </w:rPr>
        <w:t xml:space="preserve"> سلسله‌مراتبی از </w:t>
      </w:r>
      <w:r w:rsidR="00AE5BE0" w:rsidRPr="0025250D">
        <w:rPr>
          <w:rFonts w:hint="cs"/>
          <w:rtl/>
        </w:rPr>
        <w:t>انطباق</w:t>
      </w:r>
      <w:r w:rsidRPr="0025250D">
        <w:rPr>
          <w:rFonts w:hint="cs"/>
          <w:rtl/>
        </w:rPr>
        <w:t xml:space="preserve"> را ارائه</w:t>
      </w:r>
      <w:r w:rsidRPr="0025250D">
        <w:rPr>
          <w:rFonts w:hint="cs"/>
        </w:rPr>
        <w:t>‌</w:t>
      </w:r>
      <w:r w:rsidRPr="0025250D">
        <w:rPr>
          <w:rFonts w:hint="cs"/>
          <w:rtl/>
        </w:rPr>
        <w:t xml:space="preserve"> می‌دهند. هر دو بیان</w:t>
      </w:r>
      <w:r w:rsidRPr="0025250D">
        <w:rPr>
          <w:rFonts w:hint="cs"/>
        </w:rPr>
        <w:t>‌</w:t>
      </w:r>
      <w:r w:rsidRPr="0025250D">
        <w:rPr>
          <w:rFonts w:hint="cs"/>
          <w:rtl/>
        </w:rPr>
        <w:t xml:space="preserve"> می‌کنند که بهترین رهبران، دانشجویان توسعه انسانی و اجتماعی هستند و تلاش</w:t>
      </w:r>
      <w:r w:rsidRPr="0025250D">
        <w:rPr>
          <w:rFonts w:hint="cs"/>
        </w:rPr>
        <w:t>‌</w:t>
      </w:r>
      <w:r w:rsidRPr="0025250D">
        <w:rPr>
          <w:rFonts w:hint="cs"/>
          <w:rtl/>
        </w:rPr>
        <w:t xml:space="preserve"> می‌کنند تا </w:t>
      </w:r>
      <w:r w:rsidR="006335B8" w:rsidRPr="0025250D">
        <w:rPr>
          <w:rtl/>
        </w:rPr>
        <w:t>«</w:t>
      </w:r>
      <w:r w:rsidRPr="0025250D">
        <w:rPr>
          <w:rFonts w:hint="cs"/>
          <w:rtl/>
        </w:rPr>
        <w:t>توسعه‌دهنده</w:t>
      </w:r>
      <w:r w:rsidR="006335B8" w:rsidRPr="0025250D">
        <w:rPr>
          <w:rtl/>
        </w:rPr>
        <w:t>»</w:t>
      </w:r>
      <w:r w:rsidRPr="0025250D">
        <w:rPr>
          <w:rFonts w:hint="cs"/>
          <w:rtl/>
        </w:rPr>
        <w:t xml:space="preserve"> دیگران باشند. بیایید اکنون به چند هرم توسعه‌ای نگاهی داشته باشیم و برخی از درس‌های آن‌ها برای آینده‌نگاری </w:t>
      </w:r>
      <w:r w:rsidR="00AE5BE0" w:rsidRPr="0025250D">
        <w:rPr>
          <w:rFonts w:hint="cs"/>
          <w:rtl/>
        </w:rPr>
        <w:t>انطباقی</w:t>
      </w:r>
      <w:r w:rsidRPr="0025250D">
        <w:rPr>
          <w:rFonts w:hint="cs"/>
          <w:rtl/>
        </w:rPr>
        <w:t xml:space="preserve"> </w:t>
      </w:r>
      <w:r w:rsidRPr="0025250D">
        <w:rPr>
          <w:rtl/>
        </w:rPr>
        <w:t xml:space="preserve">رشد </w:t>
      </w:r>
      <w:r w:rsidRPr="0025250D">
        <w:rPr>
          <w:rFonts w:hint="cs"/>
          <w:rtl/>
        </w:rPr>
        <w:t>ی</w:t>
      </w:r>
      <w:r w:rsidRPr="0025250D">
        <w:rPr>
          <w:rFonts w:hint="eastAsia"/>
          <w:rtl/>
        </w:rPr>
        <w:t>ابنده</w:t>
      </w:r>
      <w:r w:rsidRPr="0025250D">
        <w:rPr>
          <w:rFonts w:hint="cs"/>
          <w:rtl/>
        </w:rPr>
        <w:t xml:space="preserve"> برای تیم‌هایمان را در نظر بگیریم.</w:t>
      </w:r>
    </w:p>
    <w:p w14:paraId="6C9582AB" w14:textId="5ECAADFE" w:rsidR="0020732A" w:rsidRPr="0025250D" w:rsidRDefault="0020732A" w:rsidP="008D57CC">
      <w:pPr>
        <w:rPr>
          <w:rtl/>
        </w:rPr>
      </w:pPr>
      <w:r w:rsidRPr="0025250D">
        <w:rPr>
          <w:rFonts w:hint="cs"/>
          <w:rtl/>
        </w:rPr>
        <w:t xml:space="preserve">دیدیم که ما موجوداتی هیجانی-شناختی هستیم و به‌گونه‌ای تکامل یافته‌ایم که ابتدا احساس کنیم و سپس فکر کنیم. ما چالش متوازن‌سازی خوش‌بینی و بدبینی، دوگانگی </w:t>
      </w:r>
      <w:r w:rsidR="00E6564A" w:rsidRPr="0025250D">
        <w:rPr>
          <w:rtl/>
        </w:rPr>
        <w:t>حس‌داد</w:t>
      </w:r>
      <w:r w:rsidRPr="0025250D">
        <w:rPr>
          <w:rFonts w:hint="cs"/>
          <w:rtl/>
        </w:rPr>
        <w:t xml:space="preserve"> فراگیر ما و این پیشنهاد که واقع‌گرایی توازن خوبی میان این دو </w:t>
      </w:r>
      <w:r w:rsidR="00E6564A" w:rsidRPr="0025250D">
        <w:rPr>
          <w:rtl/>
        </w:rPr>
        <w:t>حس‌داد</w:t>
      </w:r>
      <w:r w:rsidRPr="0025250D">
        <w:rPr>
          <w:rFonts w:hint="cs"/>
          <w:rtl/>
        </w:rPr>
        <w:t xml:space="preserve"> برقرار</w:t>
      </w:r>
      <w:r w:rsidRPr="0025250D">
        <w:rPr>
          <w:rFonts w:hint="cs"/>
        </w:rPr>
        <w:t>‌</w:t>
      </w:r>
      <w:r w:rsidRPr="0025250D">
        <w:rPr>
          <w:rFonts w:hint="cs"/>
          <w:rtl/>
        </w:rPr>
        <w:t xml:space="preserve"> می‌کند را بیان کردیم. در فصل 3، در مورد رهبری </w:t>
      </w:r>
      <w:r w:rsidR="00E6564A" w:rsidRPr="0025250D">
        <w:rPr>
          <w:rtl/>
        </w:rPr>
        <w:t>حس‌داد</w:t>
      </w:r>
      <w:r w:rsidRPr="0025250D">
        <w:rPr>
          <w:rFonts w:hint="cs"/>
          <w:rtl/>
        </w:rPr>
        <w:t xml:space="preserve">، این‌که چگونه تشخیص دهیم که کدام </w:t>
      </w:r>
      <w:r w:rsidR="00963A7B" w:rsidRPr="0025250D">
        <w:rPr>
          <w:rFonts w:hint="cs"/>
          <w:rtl/>
        </w:rPr>
        <w:t xml:space="preserve">نسبت‌های </w:t>
      </w:r>
      <w:r w:rsidR="008D57CC" w:rsidRPr="0025250D">
        <w:rPr>
          <w:rtl/>
        </w:rPr>
        <w:t>حس‌داد</w:t>
      </w:r>
      <w:r w:rsidR="008D57CC" w:rsidRPr="0025250D">
        <w:rPr>
          <w:rFonts w:hint="cs"/>
          <w:rtl/>
        </w:rPr>
        <w:t xml:space="preserve"> </w:t>
      </w:r>
      <w:r w:rsidRPr="0025250D">
        <w:rPr>
          <w:rFonts w:hint="cs"/>
          <w:rtl/>
        </w:rPr>
        <w:t>برای کدام بافت‌ها بهتر هستند و وقتی از مسیر منحرف</w:t>
      </w:r>
      <w:r w:rsidRPr="0025250D">
        <w:rPr>
          <w:rFonts w:hint="cs"/>
        </w:rPr>
        <w:t>‌</w:t>
      </w:r>
      <w:r w:rsidRPr="0025250D">
        <w:rPr>
          <w:rFonts w:hint="cs"/>
          <w:rtl/>
        </w:rPr>
        <w:t xml:space="preserve"> می‌شویم، چگونه</w:t>
      </w:r>
      <w:r w:rsidRPr="0025250D">
        <w:rPr>
          <w:rFonts w:hint="cs"/>
        </w:rPr>
        <w:t>‌</w:t>
      </w:r>
      <w:r w:rsidRPr="0025250D">
        <w:rPr>
          <w:rFonts w:hint="cs"/>
          <w:rtl/>
        </w:rPr>
        <w:t xml:space="preserve"> می‌توانیم به‌صورت اخلاقی خود و تیم‌هایمان را به سمت نسبت‌های بهتر هدایت کنیم، بحث خواهیم کرد. این‌ها موضوعات کلیدی در هوش هیجانی هستند.</w:t>
      </w:r>
    </w:p>
    <w:p w14:paraId="3EC2C7F7" w14:textId="3A1F0B76" w:rsidR="0020732A" w:rsidRPr="0025250D" w:rsidRDefault="0020732A" w:rsidP="0020732A">
      <w:pPr>
        <w:rPr>
          <w:rtl/>
        </w:rPr>
      </w:pPr>
      <w:r w:rsidRPr="0025250D">
        <w:rPr>
          <w:rFonts w:hint="cs"/>
          <w:rtl/>
        </w:rPr>
        <w:t>روانشناس دانیل</w:t>
      </w:r>
      <w:r w:rsidRPr="0025250D">
        <w:rPr>
          <w:rtl/>
        </w:rPr>
        <w:t xml:space="preserve"> </w:t>
      </w:r>
      <w:r w:rsidRPr="0025250D">
        <w:rPr>
          <w:rFonts w:hint="cs"/>
          <w:rtl/>
        </w:rPr>
        <w:t>گلمن</w:t>
      </w:r>
      <w:r w:rsidRPr="0025250D">
        <w:rPr>
          <w:vertAlign w:val="superscript"/>
          <w:rtl/>
        </w:rPr>
        <w:footnoteReference w:id="547"/>
      </w:r>
      <w:r w:rsidRPr="0025250D">
        <w:rPr>
          <w:rFonts w:hint="cs"/>
          <w:rtl/>
        </w:rPr>
        <w:t xml:space="preserve"> در کتاب پرفروش خود به نام </w:t>
      </w:r>
      <w:r w:rsidR="006335B8" w:rsidRPr="0025250D">
        <w:rPr>
          <w:rtl/>
        </w:rPr>
        <w:t>«</w:t>
      </w:r>
      <w:r w:rsidRPr="0025250D">
        <w:rPr>
          <w:rFonts w:hint="cs"/>
          <w:rtl/>
        </w:rPr>
        <w:t>هوش هیجانی</w:t>
      </w:r>
      <w:r w:rsidRPr="0025250D">
        <w:rPr>
          <w:vertAlign w:val="superscript"/>
          <w:rtl/>
        </w:rPr>
        <w:footnoteReference w:id="548"/>
      </w:r>
      <w:r w:rsidR="006335B8" w:rsidRPr="0025250D">
        <w:rPr>
          <w:rtl/>
        </w:rPr>
        <w:t>»</w:t>
      </w:r>
      <w:r w:rsidRPr="0025250D">
        <w:rPr>
          <w:rFonts w:hint="cs"/>
          <w:rtl/>
        </w:rPr>
        <w:t xml:space="preserve"> در سال 1995/2005، این مفهوم که در موفقیت شغلی </w:t>
      </w:r>
      <w:r w:rsidRPr="0025250D">
        <w:t>EQ</w:t>
      </w:r>
      <w:r w:rsidRPr="0025250D">
        <w:rPr>
          <w:rFonts w:hint="cs"/>
          <w:rtl/>
        </w:rPr>
        <w:t xml:space="preserve"> مهم‌تر از </w:t>
      </w:r>
      <w:r w:rsidRPr="0025250D">
        <w:t>IQ</w:t>
      </w:r>
      <w:r w:rsidRPr="0025250D">
        <w:rPr>
          <w:rFonts w:hint="cs"/>
        </w:rPr>
        <w:t>‌</w:t>
      </w:r>
      <w:r w:rsidRPr="0025250D">
        <w:rPr>
          <w:rFonts w:hint="cs"/>
          <w:rtl/>
        </w:rPr>
        <w:t xml:space="preserve"> می‌باشد را بیان کرد. ما به همه توصیه</w:t>
      </w:r>
      <w:r w:rsidRPr="0025250D">
        <w:rPr>
          <w:rFonts w:hint="cs"/>
        </w:rPr>
        <w:t>‌</w:t>
      </w:r>
      <w:r w:rsidRPr="0025250D">
        <w:rPr>
          <w:rFonts w:hint="cs"/>
          <w:rtl/>
        </w:rPr>
        <w:t xml:space="preserve"> می‌کنیم که در یک آزمون </w:t>
      </w:r>
      <w:r w:rsidRPr="0025250D">
        <w:t>EQ</w:t>
      </w:r>
      <w:r w:rsidRPr="0025250D">
        <w:rPr>
          <w:rFonts w:hint="cs"/>
          <w:rtl/>
        </w:rPr>
        <w:t xml:space="preserve"> خوب، مانند آزمون </w:t>
      </w:r>
      <w:r w:rsidR="006335B8" w:rsidRPr="0025250D">
        <w:rPr>
          <w:rtl/>
        </w:rPr>
        <w:t>«</w:t>
      </w:r>
      <w:r w:rsidRPr="0025250D">
        <w:rPr>
          <w:rFonts w:hint="cs"/>
          <w:rtl/>
        </w:rPr>
        <w:t>هوش هیجانی 2.0</w:t>
      </w:r>
      <w:r w:rsidRPr="0025250D">
        <w:rPr>
          <w:vertAlign w:val="superscript"/>
          <w:rtl/>
        </w:rPr>
        <w:footnoteReference w:id="549"/>
      </w:r>
      <w:r w:rsidR="006335B8" w:rsidRPr="0025250D">
        <w:rPr>
          <w:rtl/>
        </w:rPr>
        <w:t>»</w:t>
      </w:r>
      <w:r w:rsidRPr="0025250D">
        <w:rPr>
          <w:rFonts w:hint="cs"/>
          <w:rtl/>
        </w:rPr>
        <w:t xml:space="preserve"> اثر بردبری</w:t>
      </w:r>
      <w:r w:rsidRPr="0025250D">
        <w:rPr>
          <w:vertAlign w:val="superscript"/>
          <w:rtl/>
        </w:rPr>
        <w:footnoteReference w:id="550"/>
      </w:r>
      <w:r w:rsidRPr="0025250D">
        <w:rPr>
          <w:rFonts w:hint="cs"/>
          <w:rtl/>
        </w:rPr>
        <w:t xml:space="preserve"> و گریو</w:t>
      </w:r>
      <w:r w:rsidRPr="0025250D">
        <w:rPr>
          <w:vertAlign w:val="superscript"/>
          <w:rtl/>
        </w:rPr>
        <w:footnoteReference w:id="551"/>
      </w:r>
      <w:r w:rsidRPr="0025250D">
        <w:rPr>
          <w:rFonts w:hint="cs"/>
          <w:rtl/>
        </w:rPr>
        <w:t xml:space="preserve"> در سال 2009، شرکت کنند. این کار</w:t>
      </w:r>
      <w:r w:rsidRPr="0025250D">
        <w:rPr>
          <w:rFonts w:hint="cs"/>
        </w:rPr>
        <w:t>‌</w:t>
      </w:r>
      <w:r w:rsidRPr="0025250D">
        <w:rPr>
          <w:rFonts w:hint="cs"/>
          <w:rtl/>
        </w:rPr>
        <w:t xml:space="preserve"> می‌تواند به ما برای مدیریت هیجانات، </w:t>
      </w:r>
      <w:r w:rsidR="00202882" w:rsidRPr="0025250D">
        <w:rPr>
          <w:rFonts w:hint="cs"/>
          <w:rtl/>
        </w:rPr>
        <w:t>همدلی</w:t>
      </w:r>
      <w:r w:rsidRPr="0025250D">
        <w:rPr>
          <w:rFonts w:hint="cs"/>
          <w:rtl/>
        </w:rPr>
        <w:t xml:space="preserve"> و روابط در زندگی کمک کند. کتاب کم‌تر شناخته شده گلمن به نام </w:t>
      </w:r>
      <w:r w:rsidR="006335B8" w:rsidRPr="0025250D">
        <w:rPr>
          <w:rtl/>
        </w:rPr>
        <w:t>«</w:t>
      </w:r>
      <w:r w:rsidRPr="0025250D">
        <w:rPr>
          <w:rFonts w:hint="cs"/>
          <w:rtl/>
        </w:rPr>
        <w:t>هوش اجتماعی</w:t>
      </w:r>
      <w:r w:rsidRPr="0025250D">
        <w:rPr>
          <w:vertAlign w:val="superscript"/>
          <w:rtl/>
        </w:rPr>
        <w:footnoteReference w:id="552"/>
      </w:r>
      <w:r w:rsidR="006335B8" w:rsidRPr="0025250D">
        <w:rPr>
          <w:rtl/>
        </w:rPr>
        <w:t>»</w:t>
      </w:r>
      <w:r w:rsidRPr="0025250D">
        <w:rPr>
          <w:rFonts w:hint="cs"/>
          <w:rtl/>
        </w:rPr>
        <w:t xml:space="preserve"> در سال 2007، توازن میان هیجان و شناخت (</w:t>
      </w:r>
      <w:r w:rsidRPr="0025250D">
        <w:t>EQ</w:t>
      </w:r>
      <w:r w:rsidRPr="0025250D">
        <w:rPr>
          <w:rFonts w:hint="cs"/>
          <w:rtl/>
        </w:rPr>
        <w:t xml:space="preserve"> و </w:t>
      </w:r>
      <w:r w:rsidRPr="0025250D">
        <w:t>IQ</w:t>
      </w:r>
      <w:r w:rsidRPr="0025250D">
        <w:rPr>
          <w:rFonts w:hint="cs"/>
          <w:rtl/>
        </w:rPr>
        <w:t xml:space="preserve">) و استفاده از </w:t>
      </w:r>
      <w:r w:rsidR="00202882" w:rsidRPr="0025250D">
        <w:rPr>
          <w:rFonts w:hint="cs"/>
          <w:rtl/>
        </w:rPr>
        <w:t>همدلی</w:t>
      </w:r>
      <w:r w:rsidRPr="0025250D">
        <w:rPr>
          <w:rFonts w:hint="cs"/>
          <w:rtl/>
        </w:rPr>
        <w:t>، اخلاق و شناخت در گروه‌ها را کاوش</w:t>
      </w:r>
      <w:r w:rsidRPr="0025250D">
        <w:rPr>
          <w:rFonts w:hint="cs"/>
        </w:rPr>
        <w:t>‌</w:t>
      </w:r>
      <w:r w:rsidRPr="0025250D">
        <w:rPr>
          <w:rFonts w:hint="cs"/>
          <w:rtl/>
        </w:rPr>
        <w:t xml:space="preserve"> می‌کند. هدایت خود و گروه‌هایمان به سمت هوش اجتماعیِ (شبکه‌ای) بهتر بزرگ‌ترین چالش و مسئولیت ما از دید خود است.</w:t>
      </w:r>
    </w:p>
    <w:p w14:paraId="517E33A8" w14:textId="40AEF120" w:rsidR="0020732A" w:rsidRPr="0025250D" w:rsidRDefault="0020732A" w:rsidP="0020732A">
      <w:pPr>
        <w:rPr>
          <w:rtl/>
        </w:rPr>
      </w:pPr>
      <w:r w:rsidRPr="0025250D">
        <w:rPr>
          <w:rFonts w:hint="cs"/>
          <w:rtl/>
        </w:rPr>
        <w:t>هم روانشناسی توسعه‌ای و هم روانشناسی اجتماعی و همچنین ادبیات مدیریت، هرم‌های توسعه‌ای نظری</w:t>
      </w:r>
      <w:r w:rsidRPr="0025250D">
        <w:rPr>
          <w:vertAlign w:val="superscript"/>
          <w:rtl/>
        </w:rPr>
        <w:footnoteReference w:id="553"/>
      </w:r>
      <w:r w:rsidRPr="0025250D">
        <w:rPr>
          <w:rFonts w:hint="cs"/>
          <w:rtl/>
        </w:rPr>
        <w:t xml:space="preserve"> اما مفیدی را ارائه </w:t>
      </w:r>
      <w:r w:rsidR="00D92F6E" w:rsidRPr="0025250D">
        <w:rPr>
          <w:rFonts w:hint="cs"/>
          <w:rtl/>
        </w:rPr>
        <w:t>نموده‌اند</w:t>
      </w:r>
      <w:r w:rsidRPr="0025250D">
        <w:rPr>
          <w:rFonts w:hint="cs"/>
          <w:rtl/>
        </w:rPr>
        <w:t>. بیایید به طور مختصر تنها سه مورد از این هرم‌ها و برخی درس‌های قابل آموختن از هر یک را در نظر بگیریم. مورد اول، هرم مازلو</w:t>
      </w:r>
      <w:r w:rsidRPr="0025250D">
        <w:rPr>
          <w:vertAlign w:val="superscript"/>
          <w:rtl/>
        </w:rPr>
        <w:footnoteReference w:id="554"/>
      </w:r>
      <w:r w:rsidRPr="0025250D">
        <w:rPr>
          <w:rFonts w:hint="cs"/>
          <w:rtl/>
        </w:rPr>
        <w:t xml:space="preserve"> است که شرایط لازم برای رشد روان‌شناختی را ارائه</w:t>
      </w:r>
      <w:r w:rsidRPr="0025250D">
        <w:rPr>
          <w:rFonts w:hint="cs"/>
        </w:rPr>
        <w:t>‌</w:t>
      </w:r>
      <w:r w:rsidRPr="0025250D">
        <w:rPr>
          <w:rFonts w:hint="cs"/>
          <w:rtl/>
        </w:rPr>
        <w:t xml:space="preserve"> می‌کند. مورد دوم، </w:t>
      </w:r>
      <w:r w:rsidRPr="0025250D">
        <w:rPr>
          <w:rtl/>
        </w:rPr>
        <w:t>هرم لنس</w:t>
      </w:r>
      <w:r w:rsidRPr="0025250D">
        <w:rPr>
          <w:rFonts w:hint="cs"/>
          <w:rtl/>
        </w:rPr>
        <w:t>ی</w:t>
      </w:r>
      <w:r w:rsidRPr="0025250D">
        <w:rPr>
          <w:rFonts w:hint="eastAsia"/>
          <w:rtl/>
        </w:rPr>
        <w:t>ون</w:t>
      </w:r>
      <w:r w:rsidRPr="0025250D">
        <w:rPr>
          <w:rFonts w:hint="cs"/>
          <w:rtl/>
        </w:rPr>
        <w:t>ی</w:t>
      </w:r>
      <w:r w:rsidRPr="0025250D">
        <w:rPr>
          <w:vertAlign w:val="superscript"/>
          <w:rtl/>
        </w:rPr>
        <w:footnoteReference w:id="555"/>
      </w:r>
      <w:r w:rsidRPr="0025250D">
        <w:rPr>
          <w:rFonts w:hint="cs"/>
          <w:rtl/>
        </w:rPr>
        <w:t>، عوامل هیجانی در گروه‌های مؤثر را توصیف</w:t>
      </w:r>
      <w:r w:rsidRPr="0025250D">
        <w:rPr>
          <w:rFonts w:hint="cs"/>
        </w:rPr>
        <w:t>‌</w:t>
      </w:r>
      <w:r w:rsidRPr="0025250D">
        <w:rPr>
          <w:rFonts w:hint="cs"/>
          <w:rtl/>
        </w:rPr>
        <w:t xml:space="preserve"> می‌کند. مورد سوم، </w:t>
      </w:r>
      <w:r w:rsidRPr="0025250D">
        <w:rPr>
          <w:rtl/>
        </w:rPr>
        <w:t>هرم سنگه</w:t>
      </w:r>
      <w:r w:rsidRPr="0025250D">
        <w:rPr>
          <w:vertAlign w:val="superscript"/>
          <w:rtl/>
        </w:rPr>
        <w:footnoteReference w:id="556"/>
      </w:r>
      <w:r w:rsidRPr="0025250D">
        <w:rPr>
          <w:rFonts w:hint="cs"/>
          <w:rtl/>
        </w:rPr>
        <w:t>، عوامل شناختی در گروه‌های مؤثر را توصیف</w:t>
      </w:r>
      <w:r w:rsidRPr="0025250D">
        <w:rPr>
          <w:rFonts w:hint="cs"/>
        </w:rPr>
        <w:t>‌</w:t>
      </w:r>
      <w:r w:rsidRPr="0025250D">
        <w:rPr>
          <w:rFonts w:hint="cs"/>
          <w:rtl/>
        </w:rPr>
        <w:t xml:space="preserve"> می‌کند. بعداً در این فصل، یک هرم چهارم هم ارائه خواهیم کرد که سلسله‌مراتبی از تفکر </w:t>
      </w:r>
      <w:r w:rsidRPr="0025250D">
        <w:rPr>
          <w:rFonts w:hint="cs"/>
          <w:rtl/>
        </w:rPr>
        <w:lastRenderedPageBreak/>
        <w:t xml:space="preserve">آینده‌نگاری </w:t>
      </w:r>
      <w:r w:rsidR="00AE5BE0" w:rsidRPr="0025250D">
        <w:rPr>
          <w:rFonts w:hint="cs"/>
          <w:rtl/>
        </w:rPr>
        <w:t>انطباقی</w:t>
      </w:r>
      <w:r w:rsidRPr="0025250D">
        <w:rPr>
          <w:vertAlign w:val="superscript"/>
          <w:rtl/>
        </w:rPr>
        <w:footnoteReference w:id="557"/>
      </w:r>
      <w:r w:rsidRPr="0025250D">
        <w:rPr>
          <w:rFonts w:hint="cs"/>
          <w:rtl/>
        </w:rPr>
        <w:t xml:space="preserve"> است. در نسخه مناسب دانشجویان </w:t>
      </w:r>
      <w:r w:rsidRPr="0025250D">
        <w:t>ITF</w:t>
      </w:r>
      <w:r w:rsidRPr="0025250D">
        <w:rPr>
          <w:rFonts w:hint="cs"/>
          <w:rtl/>
        </w:rPr>
        <w:t xml:space="preserve">، ما هرم </w:t>
      </w:r>
      <w:r w:rsidRPr="0025250D">
        <w:t>ASOFA</w:t>
      </w:r>
      <w:r w:rsidRPr="0025250D">
        <w:rPr>
          <w:rFonts w:hint="cs"/>
          <w:rtl/>
        </w:rPr>
        <w:t xml:space="preserve">، شامل پنج </w:t>
      </w:r>
      <w:r w:rsidRPr="0025250D">
        <w:rPr>
          <w:rtl/>
        </w:rPr>
        <w:t>توانمندساز</w:t>
      </w:r>
      <w:r w:rsidRPr="0025250D">
        <w:rPr>
          <w:vertAlign w:val="superscript"/>
          <w:rtl/>
        </w:rPr>
        <w:footnoteReference w:id="558"/>
      </w:r>
      <w:r w:rsidRPr="0025250D">
        <w:rPr>
          <w:rFonts w:hint="cs"/>
          <w:rtl/>
        </w:rPr>
        <w:t xml:space="preserve"> و بلوک را برای عمل و آینده‌نگاری </w:t>
      </w:r>
      <w:r w:rsidR="001A3F0A" w:rsidRPr="0025250D">
        <w:rPr>
          <w:rFonts w:hint="cs"/>
          <w:rtl/>
        </w:rPr>
        <w:t>فردی</w:t>
      </w:r>
      <w:r w:rsidRPr="0025250D">
        <w:rPr>
          <w:rFonts w:hint="cs"/>
          <w:rtl/>
        </w:rPr>
        <w:t xml:space="preserve"> ارائه</w:t>
      </w:r>
      <w:r w:rsidRPr="0025250D">
        <w:rPr>
          <w:rFonts w:hint="cs"/>
        </w:rPr>
        <w:t>‌</w:t>
      </w:r>
      <w:r w:rsidRPr="0025250D">
        <w:rPr>
          <w:rFonts w:hint="cs"/>
          <w:rtl/>
        </w:rPr>
        <w:t xml:space="preserve"> می‌کنیم.</w:t>
      </w:r>
    </w:p>
    <w:p w14:paraId="7190A791" w14:textId="5807EA2D" w:rsidR="0020732A" w:rsidRPr="0025250D" w:rsidRDefault="0020732A" w:rsidP="0020732A">
      <w:pPr>
        <w:rPr>
          <w:rtl/>
        </w:rPr>
      </w:pPr>
      <w:r w:rsidRPr="0025250D">
        <w:rPr>
          <w:rFonts w:hint="cs"/>
          <w:rtl/>
        </w:rPr>
        <w:t>هرگاه یک هرم توسعه‌ای را</w:t>
      </w:r>
      <w:r w:rsidRPr="0025250D">
        <w:rPr>
          <w:rFonts w:hint="cs"/>
        </w:rPr>
        <w:t>‌</w:t>
      </w:r>
      <w:r w:rsidRPr="0025250D">
        <w:rPr>
          <w:rFonts w:hint="cs"/>
          <w:rtl/>
        </w:rPr>
        <w:t xml:space="preserve"> می‌بینیم،</w:t>
      </w:r>
      <w:r w:rsidRPr="0025250D">
        <w:rPr>
          <w:rFonts w:hint="cs"/>
        </w:rPr>
        <w:t>‌</w:t>
      </w:r>
      <w:r w:rsidRPr="0025250D">
        <w:rPr>
          <w:rFonts w:hint="cs"/>
          <w:rtl/>
        </w:rPr>
        <w:t xml:space="preserve"> می‌توانیم بپرسیم که آیا مبتنی بر مدارک به نظر</w:t>
      </w:r>
      <w:r w:rsidRPr="0025250D">
        <w:rPr>
          <w:rFonts w:hint="cs"/>
        </w:rPr>
        <w:t>‌</w:t>
      </w:r>
      <w:r w:rsidRPr="0025250D">
        <w:rPr>
          <w:rFonts w:hint="cs"/>
          <w:rtl/>
        </w:rPr>
        <w:t xml:space="preserve"> می‌رسد یا خیر و آیا راهبرد‌های قابل‌آزمایش و عملی برای توسعه آینده‌نگاری ارائه</w:t>
      </w:r>
      <w:r w:rsidRPr="0025250D">
        <w:rPr>
          <w:rFonts w:hint="cs"/>
        </w:rPr>
        <w:t>‌</w:t>
      </w:r>
      <w:r w:rsidRPr="0025250D">
        <w:rPr>
          <w:rFonts w:hint="cs"/>
          <w:rtl/>
        </w:rPr>
        <w:t xml:space="preserve"> می‌دهد یا خیر. در اولین وضعیت ما در علوم اجتماعی، نباید هیچ هرم توسعه‌ای را بیش‌ازحد جدی بگیریم. بااین‌وجود، ارزش زیادی در تفکر سلسله‌مراتبی در مورد اولویت‌های رهبری ما برای افزایش </w:t>
      </w:r>
      <w:r w:rsidR="00AE5BE0" w:rsidRPr="0025250D">
        <w:rPr>
          <w:rFonts w:hint="cs"/>
          <w:rtl/>
        </w:rPr>
        <w:t>انطباق</w:t>
      </w:r>
      <w:r w:rsidRPr="0025250D">
        <w:rPr>
          <w:rFonts w:hint="cs"/>
          <w:rtl/>
        </w:rPr>
        <w:t xml:space="preserve"> فردی و گروهی وجود دارد. به همین طریق است که</w:t>
      </w:r>
      <w:r w:rsidRPr="0025250D">
        <w:rPr>
          <w:rFonts w:hint="cs"/>
        </w:rPr>
        <w:t>‌</w:t>
      </w:r>
      <w:r w:rsidRPr="0025250D">
        <w:rPr>
          <w:rFonts w:hint="cs"/>
          <w:rtl/>
        </w:rPr>
        <w:t xml:space="preserve"> می‌توانیم بهترین هوش اجتماعی ممکن را ایجاد کنیم. به‌بیان‌دیگر، رهبری خوب ما را ملزم</w:t>
      </w:r>
      <w:r w:rsidRPr="0025250D">
        <w:rPr>
          <w:rFonts w:hint="cs"/>
        </w:rPr>
        <w:t>‌</w:t>
      </w:r>
      <w:r w:rsidRPr="0025250D">
        <w:rPr>
          <w:rFonts w:hint="cs"/>
          <w:rtl/>
        </w:rPr>
        <w:t xml:space="preserve"> می‌سازد که هرم‌هایی را که ارزشمند</w:t>
      </w:r>
      <w:r w:rsidRPr="0025250D">
        <w:rPr>
          <w:rFonts w:hint="cs"/>
        </w:rPr>
        <w:t>‌</w:t>
      </w:r>
      <w:r w:rsidRPr="0025250D">
        <w:rPr>
          <w:rFonts w:hint="cs"/>
          <w:rtl/>
        </w:rPr>
        <w:t xml:space="preserve"> می‌یابیم، نه‌تنها هرم‌های تک گامی سه‌گانه‌مان، بلکه همچنین هرم‌های توسعه‌ای چند گامی را به</w:t>
      </w:r>
      <w:r w:rsidRPr="0025250D">
        <w:rPr>
          <w:rtl/>
        </w:rPr>
        <w:t xml:space="preserve"> </w:t>
      </w:r>
      <w:r w:rsidRPr="0025250D">
        <w:rPr>
          <w:rFonts w:hint="cs"/>
          <w:rtl/>
        </w:rPr>
        <w:t>بهترین</w:t>
      </w:r>
      <w:r w:rsidRPr="0025250D">
        <w:rPr>
          <w:rtl/>
        </w:rPr>
        <w:t xml:space="preserve"> </w:t>
      </w:r>
      <w:r w:rsidRPr="0025250D">
        <w:rPr>
          <w:rFonts w:hint="cs"/>
          <w:rtl/>
        </w:rPr>
        <w:t>شکل</w:t>
      </w:r>
      <w:r w:rsidRPr="0025250D">
        <w:rPr>
          <w:rtl/>
        </w:rPr>
        <w:t xml:space="preserve"> </w:t>
      </w:r>
      <w:r w:rsidRPr="0025250D">
        <w:rPr>
          <w:rFonts w:hint="cs"/>
          <w:rtl/>
        </w:rPr>
        <w:t>مدیریت</w:t>
      </w:r>
      <w:r w:rsidRPr="0025250D">
        <w:rPr>
          <w:rtl/>
        </w:rPr>
        <w:t xml:space="preserve"> </w:t>
      </w:r>
      <w:r w:rsidRPr="0025250D">
        <w:rPr>
          <w:rFonts w:hint="cs"/>
          <w:rtl/>
        </w:rPr>
        <w:t>کنیم. هر چه تعداد هرم‌های مرتبطی که دیده و از آن‌ها درس</w:t>
      </w:r>
      <w:r w:rsidRPr="0025250D">
        <w:rPr>
          <w:rFonts w:hint="cs"/>
        </w:rPr>
        <w:t>‌</w:t>
      </w:r>
      <w:r w:rsidRPr="0025250D">
        <w:rPr>
          <w:rFonts w:hint="cs"/>
          <w:rtl/>
        </w:rPr>
        <w:t xml:space="preserve"> می‌گیریم بیش‌تر</w:t>
      </w:r>
      <w:r w:rsidRPr="0025250D">
        <w:rPr>
          <w:rtl/>
        </w:rPr>
        <w:t xml:space="preserve"> باشند</w:t>
      </w:r>
      <w:r w:rsidRPr="0025250D">
        <w:rPr>
          <w:rFonts w:hint="cs"/>
          <w:rtl/>
        </w:rPr>
        <w:t xml:space="preserve">، بهتر است. </w:t>
      </w:r>
      <w:r w:rsidR="007118DE" w:rsidRPr="0025250D">
        <w:rPr>
          <w:rFonts w:hint="cs"/>
          <w:rtl/>
        </w:rPr>
        <w:t>همان‌طور</w:t>
      </w:r>
      <w:r w:rsidRPr="0025250D">
        <w:rPr>
          <w:rFonts w:hint="cs"/>
          <w:rtl/>
        </w:rPr>
        <w:t xml:space="preserve"> که خواهیم دید، هرم تکاملی-توسعه‌ای بیان</w:t>
      </w:r>
      <w:r w:rsidRPr="0025250D">
        <w:rPr>
          <w:rFonts w:hint="cs"/>
        </w:rPr>
        <w:t>‌</w:t>
      </w:r>
      <w:r w:rsidRPr="0025250D">
        <w:rPr>
          <w:rFonts w:hint="cs"/>
          <w:rtl/>
        </w:rPr>
        <w:t xml:space="preserve"> می‌کند که باید هر یک از این گام‌ها را هم به شکل‌های تکاملی (آزاد، متنوع، آزمایشی) و هم به شکل‌های توسعه‌ای (مقید</w:t>
      </w:r>
      <w:r w:rsidRPr="0025250D">
        <w:rPr>
          <w:vertAlign w:val="superscript"/>
          <w:rtl/>
        </w:rPr>
        <w:footnoteReference w:id="559"/>
      </w:r>
      <w:r w:rsidRPr="0025250D">
        <w:rPr>
          <w:rFonts w:hint="cs"/>
          <w:rtl/>
        </w:rPr>
        <w:t xml:space="preserve">، همگرا، </w:t>
      </w:r>
      <w:r w:rsidRPr="0025250D">
        <w:rPr>
          <w:rtl/>
        </w:rPr>
        <w:t>مترق</w:t>
      </w:r>
      <w:r w:rsidRPr="0025250D">
        <w:rPr>
          <w:rFonts w:hint="cs"/>
          <w:rtl/>
        </w:rPr>
        <w:t>ی) به طور هم‌زمان طی کنیم.</w:t>
      </w:r>
    </w:p>
    <w:p w14:paraId="55796953" w14:textId="6E5C4FD5" w:rsidR="0020732A" w:rsidRPr="0025250D" w:rsidRDefault="0020732A" w:rsidP="0020732A">
      <w:pPr>
        <w:rPr>
          <w:rtl/>
        </w:rPr>
      </w:pPr>
      <w:r w:rsidRPr="0025250D">
        <w:rPr>
          <w:rFonts w:hint="cs"/>
          <w:rtl/>
        </w:rPr>
        <w:t>شاید معروف‌ترین هرم توسعه‌ای، سلسله‌مراتب نیازهای</w:t>
      </w:r>
      <w:r w:rsidRPr="0025250D">
        <w:rPr>
          <w:vertAlign w:val="superscript"/>
          <w:rtl/>
        </w:rPr>
        <w:footnoteReference w:id="560"/>
      </w:r>
      <w:r w:rsidRPr="0025250D">
        <w:rPr>
          <w:rFonts w:hint="cs"/>
          <w:rtl/>
        </w:rPr>
        <w:t xml:space="preserve"> </w:t>
      </w:r>
      <w:r w:rsidRPr="0025250D">
        <w:rPr>
          <w:rtl/>
        </w:rPr>
        <w:t>آبراهام م</w:t>
      </w:r>
      <w:r w:rsidRPr="0025250D">
        <w:rPr>
          <w:rFonts w:hint="cs"/>
          <w:rtl/>
        </w:rPr>
        <w:t>ا</w:t>
      </w:r>
      <w:r w:rsidRPr="0025250D">
        <w:rPr>
          <w:rtl/>
        </w:rPr>
        <w:t>زلو</w:t>
      </w:r>
      <w:r w:rsidRPr="0025250D">
        <w:rPr>
          <w:rFonts w:hint="cs"/>
          <w:rtl/>
        </w:rPr>
        <w:t xml:space="preserve"> باشد. این سلسله‌مراتب به ما</w:t>
      </w:r>
      <w:r w:rsidRPr="0025250D">
        <w:rPr>
          <w:rFonts w:hint="cs"/>
        </w:rPr>
        <w:t>‌</w:t>
      </w:r>
      <w:r w:rsidRPr="0025250D">
        <w:rPr>
          <w:rFonts w:hint="cs"/>
          <w:rtl/>
        </w:rPr>
        <w:t xml:space="preserve"> می‌گوید که باید توجه داشته باشیم تا به بالا‌ترین پله، خودشکوفایی</w:t>
      </w:r>
      <w:r w:rsidRPr="0025250D">
        <w:rPr>
          <w:vertAlign w:val="superscript"/>
          <w:rtl/>
        </w:rPr>
        <w:footnoteReference w:id="561"/>
      </w:r>
      <w:r w:rsidRPr="0025250D">
        <w:rPr>
          <w:rFonts w:hint="cs"/>
          <w:rtl/>
        </w:rPr>
        <w:t>، برسیم. یک درس کم‌تر شناخته شده که</w:t>
      </w:r>
      <w:r w:rsidRPr="0025250D">
        <w:rPr>
          <w:rFonts w:hint="cs"/>
        </w:rPr>
        <w:t>‌</w:t>
      </w:r>
      <w:r w:rsidRPr="0025250D">
        <w:rPr>
          <w:rFonts w:hint="cs"/>
          <w:rtl/>
        </w:rPr>
        <w:t xml:space="preserve"> می‌توانیم از این هرم دریافت کنیم، آن‌طور که مازلو</w:t>
      </w:r>
      <w:r w:rsidRPr="0025250D">
        <w:t xml:space="preserve"> </w:t>
      </w:r>
      <w:r w:rsidRPr="0025250D">
        <w:rPr>
          <w:rFonts w:hint="cs"/>
        </w:rPr>
        <w:t>‌</w:t>
      </w:r>
      <w:r w:rsidRPr="0025250D">
        <w:rPr>
          <w:rFonts w:hint="cs"/>
          <w:rtl/>
        </w:rPr>
        <w:t xml:space="preserve"> می‌گوید، این است که ارضای چهار گام اول</w:t>
      </w:r>
      <w:r w:rsidRPr="0025250D">
        <w:rPr>
          <w:rFonts w:hint="cs"/>
        </w:rPr>
        <w:t>‌</w:t>
      </w:r>
      <w:r w:rsidRPr="0025250D">
        <w:rPr>
          <w:rFonts w:hint="cs"/>
          <w:rtl/>
        </w:rPr>
        <w:t xml:space="preserve"> می‌تواند انگیزه ما را به شکل تدریجی کاهش دهد. تنها وقتی به خودشکوفایی</w:t>
      </w:r>
      <w:r w:rsidRPr="0025250D">
        <w:rPr>
          <w:rFonts w:hint="cs"/>
        </w:rPr>
        <w:t>‌</w:t>
      </w:r>
      <w:r w:rsidRPr="0025250D">
        <w:rPr>
          <w:rFonts w:hint="cs"/>
          <w:rtl/>
        </w:rPr>
        <w:t xml:space="preserve"> می‌رسیم و آینده‌نگاری </w:t>
      </w:r>
      <w:r w:rsidR="001A3F0A" w:rsidRPr="0025250D">
        <w:rPr>
          <w:rFonts w:hint="cs"/>
          <w:rtl/>
        </w:rPr>
        <w:t>فردی</w:t>
      </w:r>
      <w:r w:rsidRPr="0025250D">
        <w:rPr>
          <w:rFonts w:hint="cs"/>
          <w:rtl/>
        </w:rPr>
        <w:t xml:space="preserve"> تولید</w:t>
      </w:r>
      <w:r w:rsidRPr="0025250D">
        <w:rPr>
          <w:rFonts w:hint="cs"/>
        </w:rPr>
        <w:t>‌</w:t>
      </w:r>
      <w:r w:rsidRPr="0025250D">
        <w:rPr>
          <w:rFonts w:hint="cs"/>
          <w:rtl/>
        </w:rPr>
        <w:t xml:space="preserve"> می‌کنیم که احساس امنیت کنیم و از همه مهم‌تر، هنگامی </w:t>
      </w:r>
      <w:r w:rsidRPr="0025250D">
        <w:rPr>
          <w:rtl/>
        </w:rPr>
        <w:t>بدون ق</w:t>
      </w:r>
      <w:r w:rsidRPr="0025250D">
        <w:rPr>
          <w:rFonts w:hint="cs"/>
          <w:rtl/>
        </w:rPr>
        <w:t>ی</w:t>
      </w:r>
      <w:r w:rsidRPr="0025250D">
        <w:rPr>
          <w:rFonts w:hint="eastAsia"/>
          <w:rtl/>
        </w:rPr>
        <w:t>د</w:t>
      </w:r>
      <w:r w:rsidRPr="0025250D">
        <w:rPr>
          <w:rtl/>
        </w:rPr>
        <w:t xml:space="preserve"> و شرط</w:t>
      </w:r>
      <w:r w:rsidRPr="0025250D">
        <w:rPr>
          <w:rFonts w:hint="cs"/>
          <w:rtl/>
        </w:rPr>
        <w:t xml:space="preserve"> خود پذیرنده</w:t>
      </w:r>
      <w:r w:rsidRPr="0025250D">
        <w:rPr>
          <w:vertAlign w:val="superscript"/>
          <w:rtl/>
        </w:rPr>
        <w:footnoteReference w:id="562"/>
      </w:r>
      <w:r w:rsidRPr="0025250D">
        <w:rPr>
          <w:rFonts w:hint="cs"/>
          <w:rtl/>
        </w:rPr>
        <w:t xml:space="preserve"> (</w:t>
      </w:r>
      <w:r w:rsidRPr="0025250D">
        <w:t>USA</w:t>
      </w:r>
      <w:r w:rsidRPr="0025250D">
        <w:rPr>
          <w:rFonts w:hint="cs"/>
          <w:rtl/>
        </w:rPr>
        <w:t xml:space="preserve">) خواهیم بود که انگیزه ما درونی (و ذاتی) باشد و بتوانیم همواره کنشگرانه عمل کنیم. رهبران خوب یک </w:t>
      </w:r>
      <w:r w:rsidR="006335B8" w:rsidRPr="0025250D">
        <w:rPr>
          <w:rtl/>
        </w:rPr>
        <w:t>«</w:t>
      </w:r>
      <w:r w:rsidRPr="0025250D">
        <w:rPr>
          <w:rFonts w:hint="cs"/>
          <w:rtl/>
        </w:rPr>
        <w:t>تأخیر</w:t>
      </w:r>
      <w:r w:rsidR="006335B8" w:rsidRPr="0025250D">
        <w:rPr>
          <w:rtl/>
        </w:rPr>
        <w:t>»</w:t>
      </w:r>
      <w:r w:rsidRPr="0025250D">
        <w:rPr>
          <w:rFonts w:hint="cs"/>
          <w:rtl/>
        </w:rPr>
        <w:t xml:space="preserve"> طبیعی میان احساس </w:t>
      </w:r>
      <w:r w:rsidRPr="0025250D">
        <w:rPr>
          <w:rtl/>
        </w:rPr>
        <w:t>موردپذ</w:t>
      </w:r>
      <w:r w:rsidRPr="0025250D">
        <w:rPr>
          <w:rFonts w:hint="cs"/>
          <w:rtl/>
        </w:rPr>
        <w:t>ی</w:t>
      </w:r>
      <w:r w:rsidRPr="0025250D">
        <w:rPr>
          <w:rFonts w:hint="eastAsia"/>
          <w:rtl/>
        </w:rPr>
        <w:t>رش</w:t>
      </w:r>
      <w:r w:rsidRPr="0025250D">
        <w:rPr>
          <w:rFonts w:hint="cs"/>
          <w:rtl/>
        </w:rPr>
        <w:t xml:space="preserve"> بودن و احترام یک عضو گروه و مشارکت حقیقی آن فرد در مأموریت و اهداف آن گروه قائل هستند. هر یک از کتاب‌های خردمندانه</w:t>
      </w:r>
      <w:r w:rsidR="008D6F97" w:rsidRPr="0025250D">
        <w:rPr>
          <w:rtl/>
        </w:rPr>
        <w:t xml:space="preserve"> </w:t>
      </w:r>
      <w:r w:rsidRPr="0025250D">
        <w:rPr>
          <w:rFonts w:hint="cs"/>
          <w:rtl/>
        </w:rPr>
        <w:t>آلبرت</w:t>
      </w:r>
      <w:r w:rsidRPr="0025250D">
        <w:rPr>
          <w:rtl/>
        </w:rPr>
        <w:t xml:space="preserve"> </w:t>
      </w:r>
      <w:r w:rsidRPr="0025250D">
        <w:rPr>
          <w:rFonts w:hint="cs"/>
          <w:rtl/>
        </w:rPr>
        <w:t xml:space="preserve">الیس (پیوست 3) در مورد نقش کلیدی خودپذیرشی در شادی، رشد و </w:t>
      </w:r>
      <w:r w:rsidR="00AE5BE0" w:rsidRPr="0025250D">
        <w:rPr>
          <w:rFonts w:hint="cs"/>
          <w:rtl/>
        </w:rPr>
        <w:t>انطباق</w:t>
      </w:r>
      <w:r w:rsidRPr="0025250D">
        <w:rPr>
          <w:rFonts w:hint="cs"/>
          <w:rtl/>
        </w:rPr>
        <w:t xml:space="preserve"> </w:t>
      </w:r>
      <w:r w:rsidR="001A3F0A" w:rsidRPr="0025250D">
        <w:rPr>
          <w:rFonts w:hint="cs"/>
          <w:rtl/>
        </w:rPr>
        <w:t>فردی</w:t>
      </w:r>
      <w:r w:rsidRPr="0025250D">
        <w:rPr>
          <w:rFonts w:hint="cs"/>
          <w:rtl/>
        </w:rPr>
        <w:t xml:space="preserve"> را بخوانید. ما نکات بیش‌تری در مورد مطالعات او در نسخه دانشجوی</w:t>
      </w:r>
      <w:r w:rsidR="0090736C" w:rsidRPr="0025250D">
        <w:rPr>
          <w:rFonts w:hint="cs"/>
          <w:rtl/>
        </w:rPr>
        <w:t>ی</w:t>
      </w:r>
      <w:r w:rsidRPr="0025250D">
        <w:rPr>
          <w:rFonts w:hint="cs"/>
          <w:rtl/>
        </w:rPr>
        <w:t xml:space="preserve"> این کتاب ارائه</w:t>
      </w:r>
      <w:r w:rsidRPr="0025250D">
        <w:rPr>
          <w:rFonts w:hint="cs"/>
        </w:rPr>
        <w:t>‌</w:t>
      </w:r>
      <w:r w:rsidRPr="0025250D">
        <w:rPr>
          <w:rFonts w:hint="cs"/>
          <w:rtl/>
        </w:rPr>
        <w:t xml:space="preserve"> می‌دهیم.</w:t>
      </w:r>
    </w:p>
    <w:p w14:paraId="2DCA748A" w14:textId="77777777" w:rsidR="0020732A" w:rsidRPr="0025250D" w:rsidRDefault="0020732A" w:rsidP="0020732A">
      <w:pPr>
        <w:rPr>
          <w:rtl/>
        </w:rPr>
      </w:pPr>
      <w:r w:rsidRPr="0025250D">
        <w:rPr>
          <w:noProof/>
          <w:lang w:bidi="ar-SA"/>
        </w:rPr>
        <mc:AlternateContent>
          <mc:Choice Requires="wps">
            <w:drawing>
              <wp:inline distT="0" distB="0" distL="0" distR="0" wp14:anchorId="3F829757" wp14:editId="0FF4B874">
                <wp:extent cx="302260" cy="302260"/>
                <wp:effectExtent l="0" t="0" r="0" b="0"/>
                <wp:docPr id="4" name="Rectangle 4" descr="هرم مازلو چیست ؟ راهنمای جامع سلسله مراتب نیاز های مازلو | مجله ای سنج"/>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rect w14:anchorId="302BA8E8" id="Rectangle 4" o:spid="_x0000_s1026" alt="هرم مازلو چیست ؟ راهنمای جامع سلسله مراتب نیاز های مازلو | مجله ای سنج"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" filled="f" stroked="f">
                <o:lock v:ext="edit" aspectratio="t"/>
                <w10:anchorlock/>
              </v:rect>
            </w:pict>
          </mc:Fallback>
        </mc:AlternateContent>
      </w:r>
      <w:r w:rsidRPr="0025250D">
        <w:rPr>
          <w:noProof/>
          <w:lang w:bidi="ar-SA"/>
        </w:rPr>
        <w:drawing>
          <wp:inline distT="0" distB="0" distL="0" distR="0" wp14:anchorId="3A54F76F" wp14:editId="364B9FD4">
            <wp:extent cx="4643561" cy="2694557"/>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screen">
                      <a:extLst>
                        <a:ext uri="{BEBA8EAE-BF5A-486C-A8C5-ECC9F3942E4B}">
                          <a14:imgProps xmlns:a14="http://schemas.microsoft.com/office/drawing/2010/main">
                            <a14:imgLayer r:embed="rId54">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4668514" cy="2709037"/>
                    </a:xfrm>
                    <a:prstGeom prst="rect">
                      <a:avLst/>
                    </a:prstGeom>
                    <a:noFill/>
                  </pic:spPr>
                </pic:pic>
              </a:graphicData>
            </a:graphic>
          </wp:inline>
        </w:drawing>
      </w:r>
    </w:p>
    <w:p w14:paraId="4AE58E60" w14:textId="3312CE69" w:rsidR="0020732A" w:rsidRPr="0025250D" w:rsidRDefault="0020732A" w:rsidP="0020732A">
      <w:pPr>
        <w:rPr>
          <w:rtl/>
        </w:rPr>
      </w:pPr>
      <w:r w:rsidRPr="0025250D">
        <w:rPr>
          <w:rFonts w:hint="cs"/>
          <w:rtl/>
        </w:rPr>
        <w:t>برای رسیدن به خودشکوفایی، عشق، تعلق و عزت‌نفس نسبت به خود و دیگران، نباید قید و شرط داشته باشند. تنها وقتی عملکرد بدون قید و شرط و بدون انتظار جبران متقابل باشد، این عضو از گروه در مسیر خودشکوفایی قرار خواهد داشت. به همین دلیل است که حیواناتمان را عمیقاً دوست داریم. دوست داشتن آن‌ها بدون قید و شرط است. به‌صورت ایدئال، خانواده و دوستانمان نیز ما را به همین شکل دوست دارند. رهبران</w:t>
      </w:r>
      <w:r w:rsidRPr="0025250D">
        <w:rPr>
          <w:rFonts w:hint="cs"/>
        </w:rPr>
        <w:t>‌</w:t>
      </w:r>
      <w:r w:rsidRPr="0025250D">
        <w:rPr>
          <w:rFonts w:hint="cs"/>
          <w:rtl/>
        </w:rPr>
        <w:t xml:space="preserve"> </w:t>
      </w:r>
      <w:r w:rsidRPr="0025250D">
        <w:rPr>
          <w:rFonts w:hint="cs"/>
          <w:rtl/>
        </w:rPr>
        <w:lastRenderedPageBreak/>
        <w:t xml:space="preserve">می‌توانند آرزوی چنین عشقی را داشته باشند. کتاب کلاسیک در زمینه عشق، تعلق و احترام کتاب </w:t>
      </w:r>
      <w:r w:rsidR="006335B8" w:rsidRPr="0025250D">
        <w:rPr>
          <w:rtl/>
        </w:rPr>
        <w:t>«</w:t>
      </w:r>
      <w:r w:rsidRPr="0025250D">
        <w:rPr>
          <w:rFonts w:hint="cs"/>
          <w:rtl/>
        </w:rPr>
        <w:t>راه‌ها و قدرت عشق</w:t>
      </w:r>
      <w:r w:rsidRPr="0025250D">
        <w:rPr>
          <w:vertAlign w:val="superscript"/>
          <w:rtl/>
        </w:rPr>
        <w:footnoteReference w:id="563"/>
      </w:r>
      <w:r w:rsidR="006335B8" w:rsidRPr="0025250D">
        <w:rPr>
          <w:rtl/>
        </w:rPr>
        <w:t>»</w:t>
      </w:r>
      <w:r w:rsidRPr="0025250D">
        <w:rPr>
          <w:rFonts w:hint="cs"/>
          <w:rtl/>
        </w:rPr>
        <w:t xml:space="preserve"> در سال 1954 است که توسط جامعه‌شناس بزرگ پیتیریم</w:t>
      </w:r>
      <w:r w:rsidRPr="0025250D">
        <w:rPr>
          <w:rtl/>
        </w:rPr>
        <w:t xml:space="preserve"> </w:t>
      </w:r>
      <w:r w:rsidRPr="0025250D">
        <w:rPr>
          <w:rFonts w:hint="cs"/>
          <w:rtl/>
        </w:rPr>
        <w:t>سوروکین</w:t>
      </w:r>
      <w:r w:rsidRPr="0025250D">
        <w:rPr>
          <w:vertAlign w:val="superscript"/>
          <w:rtl/>
        </w:rPr>
        <w:footnoteReference w:id="564"/>
      </w:r>
      <w:r w:rsidRPr="0025250D">
        <w:rPr>
          <w:rFonts w:hint="cs"/>
          <w:rtl/>
        </w:rPr>
        <w:t xml:space="preserve"> نوشته شده است. به‌عنوان یک منبع به روز مدرن در این موضوع، ما قویاً کتاب بشریت</w:t>
      </w:r>
      <w:r w:rsidRPr="0025250D">
        <w:rPr>
          <w:vertAlign w:val="superscript"/>
          <w:rtl/>
        </w:rPr>
        <w:footnoteReference w:id="565"/>
      </w:r>
      <w:r w:rsidRPr="0025250D">
        <w:rPr>
          <w:rFonts w:hint="cs"/>
          <w:rtl/>
        </w:rPr>
        <w:t xml:space="preserve"> در سال 2020، اثر راتگر</w:t>
      </w:r>
      <w:r w:rsidRPr="0025250D">
        <w:rPr>
          <w:rtl/>
        </w:rPr>
        <w:t xml:space="preserve"> </w:t>
      </w:r>
      <w:r w:rsidRPr="0025250D">
        <w:rPr>
          <w:rFonts w:hint="cs"/>
          <w:rtl/>
        </w:rPr>
        <w:t>برگمن</w:t>
      </w:r>
      <w:r w:rsidRPr="0025250D">
        <w:rPr>
          <w:vertAlign w:val="superscript"/>
          <w:rtl/>
        </w:rPr>
        <w:footnoteReference w:id="566"/>
      </w:r>
      <w:r w:rsidRPr="0025250D">
        <w:rPr>
          <w:rFonts w:hint="cs"/>
          <w:rtl/>
        </w:rPr>
        <w:t xml:space="preserve"> را پیشنهاد</w:t>
      </w:r>
      <w:r w:rsidRPr="0025250D">
        <w:rPr>
          <w:rFonts w:hint="cs"/>
        </w:rPr>
        <w:t>‌</w:t>
      </w:r>
      <w:r w:rsidRPr="0025250D">
        <w:rPr>
          <w:rFonts w:hint="cs"/>
          <w:rtl/>
        </w:rPr>
        <w:t xml:space="preserve"> می‌کنیم. به طور ساده‌تر، همه رهبرانی که</w:t>
      </w:r>
      <w:r w:rsidRPr="0025250D">
        <w:rPr>
          <w:rFonts w:hint="cs"/>
        </w:rPr>
        <w:t>‌</w:t>
      </w:r>
      <w:r w:rsidRPr="0025250D">
        <w:rPr>
          <w:rFonts w:hint="cs"/>
          <w:rtl/>
        </w:rPr>
        <w:t xml:space="preserve"> می‌خواهند قدرت </w:t>
      </w:r>
      <w:r w:rsidR="00D92F6E" w:rsidRPr="0025250D">
        <w:rPr>
          <w:rFonts w:hint="cs"/>
          <w:rtl/>
        </w:rPr>
        <w:t>همدردی</w:t>
      </w:r>
      <w:r w:rsidRPr="0025250D">
        <w:rPr>
          <w:rFonts w:hint="cs"/>
          <w:rtl/>
        </w:rPr>
        <w:t xml:space="preserve"> و همدلی، اخلاق</w:t>
      </w:r>
      <w:r w:rsidR="008D6F97" w:rsidRPr="0025250D">
        <w:rPr>
          <w:rtl/>
        </w:rPr>
        <w:t xml:space="preserve"> </w:t>
      </w:r>
      <w:r w:rsidRPr="0025250D">
        <w:rPr>
          <w:rFonts w:hint="cs"/>
          <w:rtl/>
        </w:rPr>
        <w:t xml:space="preserve">و ارتباط انسانی را درک کنند باید اولین شعار </w:t>
      </w:r>
      <w:r w:rsidRPr="0025250D">
        <w:t>4U</w:t>
      </w:r>
      <w:r w:rsidRPr="0025250D">
        <w:rPr>
          <w:rFonts w:hint="cs"/>
          <w:rtl/>
        </w:rPr>
        <w:t xml:space="preserve"> را به یاد داشته باشند: اول مردم!</w:t>
      </w:r>
    </w:p>
    <w:p w14:paraId="6393D436" w14:textId="20106DB4" w:rsidR="0020732A" w:rsidRPr="0025250D" w:rsidRDefault="0020732A" w:rsidP="00BD658B">
      <w:pPr>
        <w:rPr>
          <w:rtl/>
        </w:rPr>
      </w:pPr>
      <w:r w:rsidRPr="0025250D">
        <w:rPr>
          <w:rFonts w:hint="cs"/>
          <w:rtl/>
        </w:rPr>
        <w:t xml:space="preserve">یک هرم توسعه‌ای مفید دیگر به نام </w:t>
      </w:r>
      <w:r w:rsidRPr="0025250D">
        <w:rPr>
          <w:rtl/>
        </w:rPr>
        <w:t xml:space="preserve">پنج اختلال در عملکرد </w:t>
      </w:r>
      <w:r w:rsidRPr="0025250D">
        <w:rPr>
          <w:rFonts w:hint="cs"/>
          <w:rtl/>
        </w:rPr>
        <w:t>ی</w:t>
      </w:r>
      <w:r w:rsidRPr="0025250D">
        <w:rPr>
          <w:rFonts w:hint="eastAsia"/>
          <w:rtl/>
        </w:rPr>
        <w:t>ک</w:t>
      </w:r>
      <w:r w:rsidRPr="0025250D">
        <w:rPr>
          <w:rtl/>
        </w:rPr>
        <w:t xml:space="preserve"> ت</w:t>
      </w:r>
      <w:r w:rsidRPr="0025250D">
        <w:rPr>
          <w:rFonts w:hint="cs"/>
          <w:rtl/>
        </w:rPr>
        <w:t>ی</w:t>
      </w:r>
      <w:r w:rsidRPr="0025250D">
        <w:rPr>
          <w:rFonts w:hint="eastAsia"/>
          <w:rtl/>
        </w:rPr>
        <w:t>م</w:t>
      </w:r>
      <w:r w:rsidRPr="0025250D">
        <w:rPr>
          <w:vertAlign w:val="superscript"/>
          <w:rtl/>
        </w:rPr>
        <w:footnoteReference w:id="567"/>
      </w:r>
      <w:r w:rsidRPr="0025250D">
        <w:rPr>
          <w:rFonts w:hint="cs"/>
          <w:rtl/>
        </w:rPr>
        <w:t xml:space="preserve"> در کتاب پرفروش </w:t>
      </w:r>
      <w:r w:rsidR="006335B8" w:rsidRPr="0025250D">
        <w:rPr>
          <w:rtl/>
        </w:rPr>
        <w:t>«</w:t>
      </w:r>
      <w:r w:rsidRPr="0025250D">
        <w:rPr>
          <w:rFonts w:hint="cs"/>
          <w:rtl/>
        </w:rPr>
        <w:t>داستان آموزنده مدیریت</w:t>
      </w:r>
      <w:r w:rsidRPr="0025250D">
        <w:rPr>
          <w:vertAlign w:val="superscript"/>
          <w:rtl/>
        </w:rPr>
        <w:footnoteReference w:id="568"/>
      </w:r>
      <w:r w:rsidR="006335B8" w:rsidRPr="0025250D">
        <w:rPr>
          <w:rtl/>
        </w:rPr>
        <w:t>»</w:t>
      </w:r>
      <w:r w:rsidRPr="0025250D">
        <w:rPr>
          <w:rFonts w:hint="cs"/>
          <w:rtl/>
        </w:rPr>
        <w:t xml:space="preserve"> نوشته پاتریک</w:t>
      </w:r>
      <w:r w:rsidRPr="0025250D">
        <w:rPr>
          <w:rtl/>
        </w:rPr>
        <w:t xml:space="preserve"> </w:t>
      </w:r>
      <w:r w:rsidRPr="0025250D">
        <w:rPr>
          <w:rFonts w:hint="cs"/>
          <w:rtl/>
        </w:rPr>
        <w:t>لنسیونی</w:t>
      </w:r>
      <w:r w:rsidRPr="0025250D">
        <w:rPr>
          <w:vertAlign w:val="superscript"/>
          <w:rtl/>
        </w:rPr>
        <w:footnoteReference w:id="569"/>
      </w:r>
      <w:r w:rsidRPr="0025250D">
        <w:rPr>
          <w:rFonts w:hint="cs"/>
          <w:rtl/>
        </w:rPr>
        <w:t xml:space="preserve"> در سال 2002 ارائه شده است. این کتاب سلسله‌مراتبی از پنج عامل وابسته به </w:t>
      </w:r>
      <w:r w:rsidR="00BD658B" w:rsidRPr="0025250D">
        <w:rPr>
          <w:rFonts w:hint="cs"/>
          <w:rtl/>
        </w:rPr>
        <w:t>هیجانات</w:t>
      </w:r>
      <w:r w:rsidRPr="0025250D">
        <w:rPr>
          <w:rFonts w:hint="cs"/>
          <w:rtl/>
        </w:rPr>
        <w:t xml:space="preserve"> را که تیم‌ها را از دست‌یابی به پتانسیل خود باز</w:t>
      </w:r>
      <w:r w:rsidRPr="0025250D">
        <w:rPr>
          <w:rFonts w:hint="cs"/>
        </w:rPr>
        <w:t>‌</w:t>
      </w:r>
      <w:r w:rsidRPr="0025250D">
        <w:rPr>
          <w:rFonts w:hint="cs"/>
          <w:rtl/>
        </w:rPr>
        <w:t xml:space="preserve"> می‌دارد پیشنهاد</w:t>
      </w:r>
      <w:r w:rsidRPr="0025250D">
        <w:rPr>
          <w:rFonts w:hint="cs"/>
        </w:rPr>
        <w:t>‌</w:t>
      </w:r>
      <w:r w:rsidRPr="0025250D">
        <w:rPr>
          <w:rFonts w:hint="cs"/>
          <w:rtl/>
        </w:rPr>
        <w:t xml:space="preserve"> می‌کند. لنسیونی این موارد را به‌عنوان یک سلسله‌مراتب توسعه‌ای پیشنهاد</w:t>
      </w:r>
      <w:r w:rsidRPr="0025250D">
        <w:rPr>
          <w:rFonts w:hint="cs"/>
        </w:rPr>
        <w:t>‌</w:t>
      </w:r>
      <w:r w:rsidRPr="0025250D">
        <w:rPr>
          <w:rFonts w:hint="cs"/>
          <w:rtl/>
        </w:rPr>
        <w:t xml:space="preserve"> می‌کند و ادعا دارد که باید بر چالش‌های سطح پایین‌تر قبل از این‌که بتوان به چالش‌های سطح بالا‌تر پرداخت، غلبه کرد. هرم لنسیونی به </w:t>
      </w:r>
      <w:r w:rsidR="00AE5BE0" w:rsidRPr="0025250D">
        <w:rPr>
          <w:rFonts w:hint="cs"/>
          <w:rtl/>
        </w:rPr>
        <w:t>انطباق</w:t>
      </w:r>
      <w:r w:rsidRPr="0025250D">
        <w:rPr>
          <w:rFonts w:hint="cs"/>
          <w:rtl/>
        </w:rPr>
        <w:t xml:space="preserve"> گروهی از سمت </w:t>
      </w:r>
      <w:r w:rsidRPr="0025250D">
        <w:t>EQ</w:t>
      </w:r>
      <w:r w:rsidRPr="0025250D">
        <w:rPr>
          <w:rFonts w:hint="cs"/>
          <w:rtl/>
        </w:rPr>
        <w:t xml:space="preserve"> معادلات اجتماعی</w:t>
      </w:r>
      <w:r w:rsidRPr="0025250D">
        <w:rPr>
          <w:vertAlign w:val="superscript"/>
          <w:rtl/>
        </w:rPr>
        <w:footnoteReference w:id="570"/>
      </w:r>
      <w:r w:rsidRPr="0025250D">
        <w:rPr>
          <w:rFonts w:hint="cs"/>
        </w:rPr>
        <w:t>‌</w:t>
      </w:r>
      <w:r w:rsidRPr="0025250D">
        <w:rPr>
          <w:rFonts w:hint="cs"/>
          <w:rtl/>
        </w:rPr>
        <w:t xml:space="preserve"> می‌نگرد و از لنز بدبینی تدافعی استفاده</w:t>
      </w:r>
      <w:r w:rsidRPr="0025250D">
        <w:rPr>
          <w:rFonts w:hint="cs"/>
        </w:rPr>
        <w:t>‌</w:t>
      </w:r>
      <w:r w:rsidRPr="0025250D">
        <w:rPr>
          <w:rFonts w:hint="cs"/>
          <w:rtl/>
        </w:rPr>
        <w:t xml:space="preserve"> می‌کند و به ما در مورد دام‌ها و مخاطراتی که باید از آن‌ها بپرهیزیم اطلاعات</w:t>
      </w:r>
      <w:r w:rsidRPr="0025250D">
        <w:rPr>
          <w:rFonts w:hint="cs"/>
        </w:rPr>
        <w:t>‌</w:t>
      </w:r>
      <w:r w:rsidRPr="0025250D">
        <w:rPr>
          <w:rFonts w:hint="cs"/>
          <w:rtl/>
        </w:rPr>
        <w:t xml:space="preserve"> می‌دهد. این هرم بر گام‌های دیدن، انجام دادن و بازبینی حلقه انجام تأکید دارد و بنابراین گام یادگیری را در بر نمی‌گیرد. هیچ هرم توسعه‌ای کامل نخواهد بود، اما اگر مبتنی بر منطق، مرتبط و دارای بینش‌هایی قابل انجام باشد،</w:t>
      </w:r>
      <w:r w:rsidRPr="0025250D">
        <w:rPr>
          <w:rFonts w:hint="cs"/>
        </w:rPr>
        <w:t>‌</w:t>
      </w:r>
      <w:r w:rsidRPr="0025250D">
        <w:rPr>
          <w:rFonts w:hint="cs"/>
          <w:rtl/>
        </w:rPr>
        <w:t xml:space="preserve"> می‌تواند به تیم‌ها برای تقویت </w:t>
      </w:r>
      <w:r w:rsidR="00AE5BE0" w:rsidRPr="0025250D">
        <w:rPr>
          <w:rFonts w:hint="cs"/>
          <w:rtl/>
        </w:rPr>
        <w:t>انطباق</w:t>
      </w:r>
      <w:r w:rsidRPr="0025250D">
        <w:rPr>
          <w:rFonts w:hint="cs"/>
          <w:rtl/>
        </w:rPr>
        <w:t xml:space="preserve"> بهتر کمک کند.</w:t>
      </w:r>
    </w:p>
    <w:p w14:paraId="39410591" w14:textId="77777777" w:rsidR="0020732A" w:rsidRPr="0025250D" w:rsidRDefault="0020732A" w:rsidP="004F67D4">
      <w:pPr>
        <w:jc w:val="center"/>
        <w:rPr>
          <w:rtl/>
        </w:rPr>
      </w:pPr>
      <w:r w:rsidRPr="0025250D">
        <w:rPr>
          <w:noProof/>
          <w:lang w:bidi="ar-SA"/>
        </w:rPr>
        <w:drawing>
          <wp:inline distT="0" distB="0" distL="0" distR="0" wp14:anchorId="22DAF39C" wp14:editId="0E3F4E3A">
            <wp:extent cx="3422650" cy="3076693"/>
            <wp:effectExtent l="0" t="0" r="635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screen">
                      <a:extLst>
                        <a:ext uri="{BEBA8EAE-BF5A-486C-A8C5-ECC9F3942E4B}">
                          <a14:imgProps xmlns:a14="http://schemas.microsoft.com/office/drawing/2010/main">
                            <a14:imgLayer r:embed="rId56">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3427055" cy="3080653"/>
                    </a:xfrm>
                    <a:prstGeom prst="rect">
                      <a:avLst/>
                    </a:prstGeom>
                    <a:noFill/>
                  </pic:spPr>
                </pic:pic>
              </a:graphicData>
            </a:graphic>
          </wp:inline>
        </w:drawing>
      </w:r>
    </w:p>
    <w:p w14:paraId="0E7F5F60" w14:textId="77777777" w:rsidR="0020732A" w:rsidRPr="0025250D" w:rsidRDefault="0020732A" w:rsidP="001312B6">
      <w:pPr>
        <w:jc w:val="center"/>
      </w:pPr>
      <w:r w:rsidRPr="0025250D">
        <w:rPr>
          <w:rFonts w:hint="cs"/>
          <w:rtl/>
        </w:rPr>
        <w:t>پنج کج کارکرد تیم (لنسیونی، 2002)</w:t>
      </w:r>
    </w:p>
    <w:p w14:paraId="477A953B" w14:textId="5A3EA429" w:rsidR="0020732A" w:rsidRPr="0025250D" w:rsidRDefault="0020732A" w:rsidP="0020732A">
      <w:pPr>
        <w:rPr>
          <w:rtl/>
        </w:rPr>
      </w:pPr>
      <w:r w:rsidRPr="0025250D">
        <w:rPr>
          <w:rFonts w:hint="cs"/>
          <w:rtl/>
        </w:rPr>
        <w:t>یکی از درس‌هایی که از هرم لنسیونی</w:t>
      </w:r>
      <w:r w:rsidRPr="0025250D">
        <w:rPr>
          <w:rFonts w:hint="cs"/>
        </w:rPr>
        <w:t>‌</w:t>
      </w:r>
      <w:r w:rsidRPr="0025250D">
        <w:rPr>
          <w:rFonts w:hint="cs"/>
          <w:rtl/>
        </w:rPr>
        <w:t xml:space="preserve"> می‌گیریم این است که اعتماد اغلب اولین بلوک لازم برای عملکرد تیمی است. کتاب کلاسیک سرعت اعتماد</w:t>
      </w:r>
      <w:r w:rsidRPr="0025250D">
        <w:rPr>
          <w:vertAlign w:val="superscript"/>
          <w:rtl/>
        </w:rPr>
        <w:footnoteReference w:id="571"/>
      </w:r>
      <w:r w:rsidRPr="0025250D">
        <w:rPr>
          <w:rFonts w:hint="cs"/>
          <w:rtl/>
        </w:rPr>
        <w:t xml:space="preserve"> در سال 2008، اثر استفان</w:t>
      </w:r>
      <w:r w:rsidRPr="0025250D">
        <w:rPr>
          <w:rtl/>
        </w:rPr>
        <w:t xml:space="preserve"> </w:t>
      </w:r>
      <w:r w:rsidRPr="0025250D">
        <w:rPr>
          <w:rFonts w:hint="cs"/>
          <w:rtl/>
        </w:rPr>
        <w:t>کاوی</w:t>
      </w:r>
      <w:r w:rsidRPr="0025250D">
        <w:rPr>
          <w:vertAlign w:val="superscript"/>
          <w:rtl/>
        </w:rPr>
        <w:footnoteReference w:id="572"/>
      </w:r>
      <w:r w:rsidRPr="0025250D">
        <w:rPr>
          <w:rFonts w:hint="cs"/>
          <w:rtl/>
        </w:rPr>
        <w:t xml:space="preserve"> در مورد این چالش بحث</w:t>
      </w:r>
      <w:r w:rsidRPr="0025250D">
        <w:rPr>
          <w:rFonts w:hint="cs"/>
        </w:rPr>
        <w:t>‌</w:t>
      </w:r>
      <w:r w:rsidRPr="0025250D">
        <w:rPr>
          <w:rFonts w:hint="cs"/>
          <w:rtl/>
        </w:rPr>
        <w:t xml:space="preserve"> می‌کند. امروزه ادبیات روانشناسی اعتماد را با اصطلاح دیگری به نام امنیت </w:t>
      </w:r>
      <w:r w:rsidRPr="0025250D">
        <w:rPr>
          <w:rFonts w:hint="cs"/>
          <w:rtl/>
        </w:rPr>
        <w:lastRenderedPageBreak/>
        <w:t>روان‌شناختی</w:t>
      </w:r>
      <w:r w:rsidRPr="0025250D">
        <w:rPr>
          <w:vertAlign w:val="superscript"/>
          <w:rtl/>
        </w:rPr>
        <w:footnoteReference w:id="573"/>
      </w:r>
      <w:r w:rsidRPr="0025250D">
        <w:rPr>
          <w:rFonts w:hint="cs"/>
        </w:rPr>
        <w:t>‌</w:t>
      </w:r>
      <w:r w:rsidRPr="0025250D">
        <w:rPr>
          <w:rFonts w:hint="cs"/>
          <w:rtl/>
        </w:rPr>
        <w:t xml:space="preserve"> می‌نامد. امی</w:t>
      </w:r>
      <w:r w:rsidRPr="0025250D">
        <w:rPr>
          <w:rtl/>
        </w:rPr>
        <w:t xml:space="preserve"> </w:t>
      </w:r>
      <w:r w:rsidRPr="0025250D">
        <w:rPr>
          <w:rFonts w:hint="cs"/>
          <w:rtl/>
        </w:rPr>
        <w:t>ادمونسون</w:t>
      </w:r>
      <w:r w:rsidRPr="0025250D">
        <w:rPr>
          <w:vertAlign w:val="superscript"/>
          <w:rtl/>
        </w:rPr>
        <w:footnoteReference w:id="574"/>
      </w:r>
      <w:r w:rsidRPr="0025250D">
        <w:rPr>
          <w:rFonts w:hint="cs"/>
          <w:rtl/>
        </w:rPr>
        <w:t xml:space="preserve"> محققی برجسته در امنیت روان‌شناختی است. ما به شدت کتاب او به نام سازمان بی باک</w:t>
      </w:r>
      <w:r w:rsidRPr="0025250D">
        <w:rPr>
          <w:vertAlign w:val="superscript"/>
          <w:rtl/>
        </w:rPr>
        <w:footnoteReference w:id="575"/>
      </w:r>
      <w:r w:rsidRPr="0025250D">
        <w:rPr>
          <w:rFonts w:hint="cs"/>
          <w:rtl/>
        </w:rPr>
        <w:t xml:space="preserve"> در سال 2018 را توصیه</w:t>
      </w:r>
      <w:r w:rsidRPr="0025250D">
        <w:rPr>
          <w:rFonts w:hint="cs"/>
        </w:rPr>
        <w:t>‌</w:t>
      </w:r>
      <w:r w:rsidRPr="0025250D">
        <w:rPr>
          <w:rFonts w:hint="cs"/>
          <w:rtl/>
        </w:rPr>
        <w:t xml:space="preserve"> می‌کنیم. این کتاب سرشار از نصایحی عملی برای رهبران در حفاظت از امنیت روان‌شناختی است تا اع</w:t>
      </w:r>
      <w:r w:rsidR="00D92F6E" w:rsidRPr="0025250D">
        <w:rPr>
          <w:rFonts w:hint="cs"/>
          <w:rtl/>
        </w:rPr>
        <w:t>ض</w:t>
      </w:r>
      <w:r w:rsidRPr="0025250D">
        <w:rPr>
          <w:rFonts w:hint="cs"/>
          <w:rtl/>
        </w:rPr>
        <w:t>ای تیم برای بحث در مورد ایده‌ها، مسائل و شکست‌های احتمالی، بدون عواقب منفی از جمله تبعیض، تهدید، طعنه و کنایه احساس امنیت کنند. در سال 2015 گروه اجرایی مردمی گوگل</w:t>
      </w:r>
      <w:r w:rsidR="008D6F97" w:rsidRPr="0025250D">
        <w:rPr>
          <w:rtl/>
        </w:rPr>
        <w:t xml:space="preserve"> </w:t>
      </w:r>
      <w:r w:rsidRPr="0025250D">
        <w:rPr>
          <w:rFonts w:hint="cs"/>
          <w:rtl/>
        </w:rPr>
        <w:t>از 100000 نفر از کارمندان نظر سنجی کرد و به دنبال برترین مشخصات مدیران بزرگ بود. آن‌ها دریافتند که امنیت روان‌شناختی ضروری‌ترین هنجار گروهی بود که عملکرد تیم را بهتر</w:t>
      </w:r>
      <w:r w:rsidRPr="0025250D">
        <w:rPr>
          <w:rFonts w:hint="cs"/>
        </w:rPr>
        <w:t>‌</w:t>
      </w:r>
      <w:r w:rsidRPr="0025250D">
        <w:rPr>
          <w:rFonts w:hint="cs"/>
          <w:rtl/>
        </w:rPr>
        <w:t xml:space="preserve"> می‌کرد. آن‌ها این هنجار را به این صورت که </w:t>
      </w:r>
      <w:r w:rsidR="006335B8" w:rsidRPr="0025250D">
        <w:rPr>
          <w:rtl/>
        </w:rPr>
        <w:t>«</w:t>
      </w:r>
      <w:r w:rsidRPr="0025250D">
        <w:rPr>
          <w:rFonts w:hint="cs"/>
          <w:rtl/>
        </w:rPr>
        <w:t>اعضای تیم برای ریسک کردن و آسیب پذیر بودن در مقابل دیگران احساس امنیت</w:t>
      </w:r>
      <w:r w:rsidRPr="0025250D">
        <w:rPr>
          <w:rFonts w:hint="cs"/>
        </w:rPr>
        <w:t>‌</w:t>
      </w:r>
      <w:r w:rsidRPr="0025250D">
        <w:rPr>
          <w:rFonts w:hint="cs"/>
          <w:rtl/>
        </w:rPr>
        <w:t xml:space="preserve"> می‌کنند</w:t>
      </w:r>
      <w:r w:rsidR="006335B8" w:rsidRPr="0025250D">
        <w:rPr>
          <w:rtl/>
        </w:rPr>
        <w:t>»</w:t>
      </w:r>
      <w:r w:rsidRPr="0025250D">
        <w:rPr>
          <w:rFonts w:hint="cs"/>
          <w:rtl/>
        </w:rPr>
        <w:t xml:space="preserve"> تعریف کردند. آن‌ها چهار هنجار رایج دیگر برای مدیران و تیم‌های خوب، یعنی قابلیت اتکا</w:t>
      </w:r>
      <w:r w:rsidRPr="0025250D">
        <w:rPr>
          <w:vertAlign w:val="superscript"/>
          <w:rtl/>
        </w:rPr>
        <w:footnoteReference w:id="576"/>
      </w:r>
      <w:r w:rsidRPr="0025250D">
        <w:rPr>
          <w:rFonts w:hint="cs"/>
          <w:rtl/>
        </w:rPr>
        <w:t xml:space="preserve"> (برای رهبران و اعضای تیم)، ساختار و شفافیت، معنای کار</w:t>
      </w:r>
      <w:r w:rsidRPr="0025250D">
        <w:rPr>
          <w:vertAlign w:val="superscript"/>
          <w:rtl/>
        </w:rPr>
        <w:footnoteReference w:id="577"/>
      </w:r>
      <w:r w:rsidRPr="0025250D">
        <w:rPr>
          <w:rFonts w:hint="cs"/>
          <w:rtl/>
        </w:rPr>
        <w:t xml:space="preserve"> و تاثیر کار</w:t>
      </w:r>
      <w:r w:rsidRPr="0025250D">
        <w:rPr>
          <w:vertAlign w:val="superscript"/>
          <w:rtl/>
        </w:rPr>
        <w:footnoteReference w:id="578"/>
      </w:r>
      <w:r w:rsidRPr="0025250D">
        <w:rPr>
          <w:rFonts w:hint="cs"/>
          <w:rtl/>
        </w:rPr>
        <w:t xml:space="preserve"> را مشخص کردند</w:t>
      </w:r>
      <w:r w:rsidR="008D6F97" w:rsidRPr="0025250D">
        <w:rPr>
          <w:rtl/>
        </w:rPr>
        <w:t xml:space="preserve">؛ </w:t>
      </w:r>
      <w:r w:rsidRPr="0025250D">
        <w:rPr>
          <w:rFonts w:hint="cs"/>
          <w:rtl/>
        </w:rPr>
        <w:t>مانند لنسیونی</w:t>
      </w:r>
      <w:r w:rsidRPr="0025250D">
        <w:rPr>
          <w:vertAlign w:val="superscript"/>
          <w:rtl/>
        </w:rPr>
        <w:footnoteReference w:id="579"/>
      </w:r>
      <w:r w:rsidRPr="0025250D">
        <w:rPr>
          <w:rFonts w:hint="cs"/>
          <w:rtl/>
        </w:rPr>
        <w:t>، آن‌ها این عوامل را به‌عنوان یک پیشرفت توسعه‌ای</w:t>
      </w:r>
      <w:r w:rsidRPr="0025250D">
        <w:rPr>
          <w:vertAlign w:val="superscript"/>
          <w:rtl/>
        </w:rPr>
        <w:footnoteReference w:id="580"/>
      </w:r>
      <w:r w:rsidRPr="0025250D">
        <w:rPr>
          <w:rFonts w:hint="cs"/>
          <w:rtl/>
        </w:rPr>
        <w:t xml:space="preserve"> (هرم) و ایمنی روان‌شناختی به‌عنوان اولین گام (قاعده) پیشنهاد کردند.</w:t>
      </w:r>
    </w:p>
    <w:p w14:paraId="44BBCA7B" w14:textId="6EBF1ED4" w:rsidR="0020732A" w:rsidRPr="0025250D" w:rsidRDefault="0020732A" w:rsidP="008D57CC">
      <w:pPr>
        <w:rPr>
          <w:rtl/>
        </w:rPr>
      </w:pPr>
      <w:r w:rsidRPr="0025250D">
        <w:rPr>
          <w:rFonts w:hint="cs"/>
          <w:rtl/>
        </w:rPr>
        <w:t>یک درس کلیدی دیگر در مورد اعتماد و تیم‌ها در کتاب انقلاب دورکاری</w:t>
      </w:r>
      <w:r w:rsidRPr="0025250D">
        <w:rPr>
          <w:vertAlign w:val="superscript"/>
          <w:rtl/>
        </w:rPr>
        <w:footnoteReference w:id="581"/>
      </w:r>
      <w:r w:rsidRPr="0025250D">
        <w:rPr>
          <w:rFonts w:hint="cs"/>
          <w:rtl/>
        </w:rPr>
        <w:t xml:space="preserve"> اثر تدال</w:t>
      </w:r>
      <w:r w:rsidRPr="0025250D">
        <w:rPr>
          <w:rtl/>
        </w:rPr>
        <w:t xml:space="preserve"> </w:t>
      </w:r>
      <w:r w:rsidRPr="0025250D">
        <w:rPr>
          <w:rFonts w:hint="cs"/>
          <w:rtl/>
        </w:rPr>
        <w:t>نیلی</w:t>
      </w:r>
      <w:r w:rsidRPr="0025250D">
        <w:rPr>
          <w:vertAlign w:val="superscript"/>
          <w:rtl/>
        </w:rPr>
        <w:footnoteReference w:id="582"/>
      </w:r>
      <w:r w:rsidRPr="0025250D">
        <w:rPr>
          <w:rFonts w:hint="cs"/>
          <w:rtl/>
        </w:rPr>
        <w:t xml:space="preserve"> در سال 2021 یافت</w:t>
      </w:r>
      <w:r w:rsidRPr="0025250D">
        <w:rPr>
          <w:rFonts w:hint="cs"/>
        </w:rPr>
        <w:t>‌</w:t>
      </w:r>
      <w:r w:rsidRPr="0025250D">
        <w:rPr>
          <w:rFonts w:hint="cs"/>
          <w:rtl/>
        </w:rPr>
        <w:t xml:space="preserve"> می‌شود. نیلی به ما یادآوری</w:t>
      </w:r>
      <w:r w:rsidRPr="0025250D">
        <w:rPr>
          <w:rFonts w:hint="cs"/>
        </w:rPr>
        <w:t>‌</w:t>
      </w:r>
      <w:r w:rsidRPr="0025250D">
        <w:rPr>
          <w:rFonts w:hint="cs"/>
          <w:rtl/>
        </w:rPr>
        <w:t xml:space="preserve"> می‌کند که در تیم سازی معمول، اعتماد شناختی</w:t>
      </w:r>
      <w:r w:rsidRPr="0025250D">
        <w:rPr>
          <w:vertAlign w:val="superscript"/>
          <w:rtl/>
        </w:rPr>
        <w:footnoteReference w:id="583"/>
      </w:r>
      <w:r w:rsidRPr="0025250D">
        <w:rPr>
          <w:rFonts w:hint="cs"/>
          <w:rtl/>
        </w:rPr>
        <w:t xml:space="preserve"> به سرعت انجام</w:t>
      </w:r>
      <w:r w:rsidRPr="0025250D">
        <w:rPr>
          <w:rFonts w:hint="cs"/>
        </w:rPr>
        <w:t>‌</w:t>
      </w:r>
      <w:r w:rsidRPr="0025250D">
        <w:rPr>
          <w:rFonts w:hint="cs"/>
          <w:rtl/>
        </w:rPr>
        <w:t xml:space="preserve"> می‌شود اما اعتماد هیجانی</w:t>
      </w:r>
      <w:r w:rsidRPr="0025250D">
        <w:rPr>
          <w:vertAlign w:val="superscript"/>
          <w:rtl/>
        </w:rPr>
        <w:footnoteReference w:id="584"/>
      </w:r>
      <w:r w:rsidRPr="0025250D">
        <w:rPr>
          <w:rFonts w:hint="cs"/>
          <w:rtl/>
        </w:rPr>
        <w:t xml:space="preserve"> به کندی شکل</w:t>
      </w:r>
      <w:r w:rsidRPr="0025250D">
        <w:rPr>
          <w:rFonts w:hint="cs"/>
        </w:rPr>
        <w:t>‌</w:t>
      </w:r>
      <w:r w:rsidRPr="0025250D">
        <w:rPr>
          <w:rFonts w:hint="cs"/>
          <w:rtl/>
        </w:rPr>
        <w:t xml:space="preserve"> می‌گیرد. به‌بیان‌دیگر، ما ابتدا در </w:t>
      </w:r>
      <w:r w:rsidR="008D6F97" w:rsidRPr="0025250D">
        <w:rPr>
          <w:rFonts w:hint="cs"/>
          <w:rtl/>
        </w:rPr>
        <w:t>سامانه</w:t>
      </w:r>
      <w:r w:rsidRPr="0025250D">
        <w:rPr>
          <w:rFonts w:hint="cs"/>
          <w:rtl/>
        </w:rPr>
        <w:t xml:space="preserve"> 1 گفتگو</w:t>
      </w:r>
      <w:r w:rsidRPr="0025250D">
        <w:rPr>
          <w:rFonts w:hint="cs"/>
        </w:rPr>
        <w:t>‌</w:t>
      </w:r>
      <w:r w:rsidRPr="0025250D">
        <w:rPr>
          <w:rFonts w:hint="cs"/>
          <w:rtl/>
        </w:rPr>
        <w:t xml:space="preserve"> می‌کنیم و به‌صورت باز در </w:t>
      </w:r>
      <w:r w:rsidR="008D6F97" w:rsidRPr="0025250D">
        <w:rPr>
          <w:rFonts w:hint="cs"/>
          <w:rtl/>
        </w:rPr>
        <w:t>سامانه</w:t>
      </w:r>
      <w:r w:rsidRPr="0025250D">
        <w:rPr>
          <w:rFonts w:hint="cs"/>
          <w:rtl/>
        </w:rPr>
        <w:t xml:space="preserve"> 2 بحث</w:t>
      </w:r>
      <w:r w:rsidR="00EE4B64" w:rsidRPr="0025250D">
        <w:rPr>
          <w:rFonts w:hint="cs"/>
          <w:rtl/>
        </w:rPr>
        <w:t xml:space="preserve"> نمی‌</w:t>
      </w:r>
      <w:r w:rsidRPr="0025250D">
        <w:rPr>
          <w:rFonts w:hint="cs"/>
          <w:rtl/>
        </w:rPr>
        <w:t>نماییم. این امر قطعا از نحوه تفکر ما حاصل</w:t>
      </w:r>
      <w:r w:rsidRPr="0025250D">
        <w:rPr>
          <w:rFonts w:hint="cs"/>
        </w:rPr>
        <w:t>‌</w:t>
      </w:r>
      <w:r w:rsidRPr="0025250D">
        <w:rPr>
          <w:rFonts w:hint="cs"/>
          <w:rtl/>
        </w:rPr>
        <w:t xml:space="preserve"> می‌شود. دور کاری تأخیر میان تثبیت اعتماد شناختی و </w:t>
      </w:r>
      <w:r w:rsidR="008D57CC" w:rsidRPr="0025250D">
        <w:rPr>
          <w:rFonts w:hint="cs"/>
          <w:rtl/>
        </w:rPr>
        <w:t>هیجانی</w:t>
      </w:r>
      <w:r w:rsidRPr="0025250D">
        <w:rPr>
          <w:rFonts w:hint="cs"/>
          <w:rtl/>
        </w:rPr>
        <w:t xml:space="preserve"> را حتی طولانی‌تر نیز</w:t>
      </w:r>
      <w:r w:rsidRPr="0025250D">
        <w:rPr>
          <w:rFonts w:hint="cs"/>
        </w:rPr>
        <w:t>‌</w:t>
      </w:r>
      <w:r w:rsidRPr="0025250D">
        <w:rPr>
          <w:rFonts w:hint="cs"/>
          <w:rtl/>
        </w:rPr>
        <w:t xml:space="preserve"> می‌سازد، زیرا علائم غیر زبانی کم‌تر وجود دارند. یک رهبر خوب برای تیم </w:t>
      </w:r>
      <w:r w:rsidR="00A936B3" w:rsidRPr="0025250D">
        <w:rPr>
          <w:rFonts w:hint="cs"/>
          <w:rtl/>
        </w:rPr>
        <w:t>همدلی</w:t>
      </w:r>
      <w:r w:rsidRPr="0025250D">
        <w:rPr>
          <w:rFonts w:hint="cs"/>
          <w:rtl/>
        </w:rPr>
        <w:t xml:space="preserve"> را مدلسازی خواهد کرد، شرایط امنی را برای بی پرده سخن گفتن افراد فراهم خواهد کرد و از تکنیک‌های متنوعی برای غلبه برمحدودیت‌های هیجانی در پلتفرم‌های دور کاری استفاده خواهد کرد. به مرور زمان، مکالمات حول مسائل هیجانی و شناختی مربوط به تیم</w:t>
      </w:r>
      <w:r w:rsidRPr="0025250D">
        <w:rPr>
          <w:rFonts w:hint="cs"/>
        </w:rPr>
        <w:t>‌</w:t>
      </w:r>
      <w:r w:rsidRPr="0025250D">
        <w:rPr>
          <w:rFonts w:hint="cs"/>
          <w:rtl/>
        </w:rPr>
        <w:t xml:space="preserve"> می‌توانند بسیار متوازن‌تر شوند و انگیزه و عملکرد بهبود خواهند یافت.</w:t>
      </w:r>
    </w:p>
    <w:p w14:paraId="7353A68C" w14:textId="72950ED2" w:rsidR="0020732A" w:rsidRPr="0025250D" w:rsidRDefault="0037035F" w:rsidP="001312B6">
      <w:pPr>
        <w:jc w:val="center"/>
        <w:rPr>
          <w:rtl/>
        </w:rPr>
      </w:pPr>
      <w:r w:rsidRPr="0025250D">
        <w:rPr>
          <w:noProof/>
        </w:rPr>
        <w:drawing>
          <wp:inline distT="0" distB="0" distL="0" distR="0" wp14:anchorId="697C0EDF" wp14:editId="492A308B">
            <wp:extent cx="5401310" cy="3017520"/>
            <wp:effectExtent l="0" t="0" r="88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5401310" cy="3017520"/>
                    </a:xfrm>
                    <a:prstGeom prst="rect">
                      <a:avLst/>
                    </a:prstGeom>
                    <a:noFill/>
                  </pic:spPr>
                </pic:pic>
              </a:graphicData>
            </a:graphic>
          </wp:inline>
        </w:drawing>
      </w:r>
    </w:p>
    <w:p w14:paraId="6B294F34" w14:textId="77777777" w:rsidR="0020732A" w:rsidRPr="0025250D" w:rsidRDefault="0020732A" w:rsidP="001312B6">
      <w:pPr>
        <w:jc w:val="center"/>
        <w:rPr>
          <w:rtl/>
        </w:rPr>
      </w:pPr>
      <w:r w:rsidRPr="0025250D">
        <w:rPr>
          <w:rFonts w:hint="cs"/>
          <w:rtl/>
        </w:rPr>
        <w:lastRenderedPageBreak/>
        <w:t>منحنی تعارض و عملکرد (گلدبرگ و اوری، 1994)</w:t>
      </w:r>
    </w:p>
    <w:p w14:paraId="2AD071F5" w14:textId="77FB59C4" w:rsidR="0020732A" w:rsidRPr="0025250D" w:rsidRDefault="0020732A" w:rsidP="0020732A">
      <w:pPr>
        <w:rPr>
          <w:rtl/>
        </w:rPr>
      </w:pPr>
      <w:r w:rsidRPr="0025250D">
        <w:rPr>
          <w:rFonts w:hint="cs"/>
          <w:rtl/>
        </w:rPr>
        <w:t>درس دیگری که از هرم لنسیونی برداشت</w:t>
      </w:r>
      <w:r w:rsidRPr="0025250D">
        <w:rPr>
          <w:rFonts w:hint="cs"/>
        </w:rPr>
        <w:t>‌</w:t>
      </w:r>
      <w:r w:rsidRPr="0025250D">
        <w:rPr>
          <w:rFonts w:hint="cs"/>
          <w:rtl/>
        </w:rPr>
        <w:t xml:space="preserve"> می‌شود، این است که بلوک رایج بعدی برای عملکرد تیمی، پس از امنیت روان‌شناختی، یک ترس پنهان از تضاد است. او به ما</w:t>
      </w:r>
      <w:r w:rsidRPr="0025250D">
        <w:rPr>
          <w:rFonts w:hint="cs"/>
        </w:rPr>
        <w:t>‌</w:t>
      </w:r>
      <w:r w:rsidRPr="0025250D">
        <w:rPr>
          <w:rFonts w:hint="cs"/>
          <w:rtl/>
        </w:rPr>
        <w:t xml:space="preserve"> می‌گوید که یک وظیفه کلیدی رهبر خوب این است که به تیم کمک کند </w:t>
      </w:r>
      <w:r w:rsidR="00D92F6E" w:rsidRPr="0025250D">
        <w:rPr>
          <w:rFonts w:hint="cs"/>
          <w:rtl/>
        </w:rPr>
        <w:t>تا</w:t>
      </w:r>
      <w:r w:rsidRPr="0025250D">
        <w:rPr>
          <w:rFonts w:hint="cs"/>
          <w:rtl/>
        </w:rPr>
        <w:t xml:space="preserve"> تشخیص دهد که یک تضاد قابل اطمینان تا حدی مشخص، در حقیقت برای تیم مفید است. در دنیای پیچیده غیر قطعی، داشتن دیدگاه‌های متنوع و تضاد‌های اخلاقی، همدلانه و سازنده در تدوین راهبرد بسیار مفید است. در سال 1994، گلدبرگ</w:t>
      </w:r>
      <w:r w:rsidRPr="0025250D">
        <w:rPr>
          <w:vertAlign w:val="superscript"/>
          <w:rtl/>
        </w:rPr>
        <w:footnoteReference w:id="585"/>
      </w:r>
      <w:r w:rsidRPr="0025250D">
        <w:rPr>
          <w:rFonts w:hint="cs"/>
          <w:rtl/>
        </w:rPr>
        <w:t xml:space="preserve"> و اوری</w:t>
      </w:r>
      <w:r w:rsidRPr="0025250D">
        <w:rPr>
          <w:vertAlign w:val="superscript"/>
          <w:rtl/>
        </w:rPr>
        <w:footnoteReference w:id="586"/>
      </w:r>
      <w:r w:rsidRPr="0025250D">
        <w:rPr>
          <w:rFonts w:hint="cs"/>
          <w:rtl/>
        </w:rPr>
        <w:t xml:space="preserve"> تصویر بالا را در مورد رابطه میان تضاد و عملکرد تیمی منتشر کردند. این منحنی پیشنهاد</w:t>
      </w:r>
      <w:r w:rsidRPr="0025250D">
        <w:rPr>
          <w:rFonts w:hint="cs"/>
        </w:rPr>
        <w:t>‌</w:t>
      </w:r>
      <w:r w:rsidRPr="0025250D">
        <w:rPr>
          <w:rFonts w:hint="cs"/>
          <w:rtl/>
        </w:rPr>
        <w:t xml:space="preserve"> می‌کند که یک تناوب و ارتفاع بهینه برای تضاد (نقطه ب) در تیم‌ها، گروه‌ها و شرکت‌ها وجود دارد و این عملکرد در هر سوی دیگری از نقطه بهینه کاهش</w:t>
      </w:r>
      <w:r w:rsidRPr="0025250D">
        <w:rPr>
          <w:rFonts w:hint="cs"/>
        </w:rPr>
        <w:t>‌</w:t>
      </w:r>
      <w:r w:rsidRPr="0025250D">
        <w:rPr>
          <w:rFonts w:hint="cs"/>
          <w:rtl/>
        </w:rPr>
        <w:t xml:space="preserve"> می‌یابد. تضاد بسیار زیاد یا بسیار کم یا انواع نادرستی از تضاد به عملکرد لطمه خواهند زد. به‌بیان‌دیگر، به این دلیل که هر یک از ما منحصر به فرد و ناکامل هستیم و با چالش‌هایی بیش از توانایی</w:t>
      </w:r>
      <w:r w:rsidR="008D6F97" w:rsidRPr="0025250D">
        <w:rPr>
          <w:rtl/>
        </w:rPr>
        <w:t xml:space="preserve"> </w:t>
      </w:r>
      <w:r w:rsidRPr="0025250D">
        <w:rPr>
          <w:rFonts w:hint="cs"/>
          <w:rtl/>
        </w:rPr>
        <w:t>خودمان مواجهیم، تضاد‌های سازنده در مورد آنچه</w:t>
      </w:r>
      <w:r w:rsidR="00EE4B64" w:rsidRPr="0025250D">
        <w:rPr>
          <w:rFonts w:hint="cs"/>
          <w:rtl/>
        </w:rPr>
        <w:t xml:space="preserve"> نمی‌</w:t>
      </w:r>
      <w:r w:rsidRPr="0025250D">
        <w:rPr>
          <w:rFonts w:hint="cs"/>
          <w:rtl/>
        </w:rPr>
        <w:t>دانیم یا فکر</w:t>
      </w:r>
      <w:r w:rsidRPr="0025250D">
        <w:rPr>
          <w:rFonts w:hint="cs"/>
        </w:rPr>
        <w:t>‌</w:t>
      </w:r>
      <w:r w:rsidRPr="0025250D">
        <w:rPr>
          <w:rFonts w:hint="cs"/>
          <w:rtl/>
        </w:rPr>
        <w:t xml:space="preserve"> می‌کنیم که</w:t>
      </w:r>
      <w:r w:rsidRPr="0025250D">
        <w:rPr>
          <w:rFonts w:hint="cs"/>
        </w:rPr>
        <w:t>‌</w:t>
      </w:r>
      <w:r w:rsidRPr="0025250D">
        <w:rPr>
          <w:rFonts w:hint="cs"/>
          <w:rtl/>
        </w:rPr>
        <w:t xml:space="preserve"> می‌دانیم،</w:t>
      </w:r>
      <w:r w:rsidRPr="0025250D">
        <w:rPr>
          <w:rFonts w:hint="cs"/>
        </w:rPr>
        <w:t>‌</w:t>
      </w:r>
      <w:r w:rsidRPr="0025250D">
        <w:rPr>
          <w:rFonts w:hint="cs"/>
          <w:rtl/>
        </w:rPr>
        <w:t xml:space="preserve"> می‌تواند به شدت آینده‌نگاری و عمل جمعی را بهبود دهد.</w:t>
      </w:r>
    </w:p>
    <w:p w14:paraId="19B0856B" w14:textId="20A2C637" w:rsidR="0020732A" w:rsidRPr="0025250D" w:rsidRDefault="0020732A" w:rsidP="0020732A">
      <w:pPr>
        <w:rPr>
          <w:rtl/>
        </w:rPr>
      </w:pPr>
      <w:r w:rsidRPr="0025250D">
        <w:rPr>
          <w:rFonts w:hint="cs"/>
          <w:rtl/>
        </w:rPr>
        <w:t>منحنی زیر پیشنهاد</w:t>
      </w:r>
      <w:r w:rsidRPr="0025250D">
        <w:rPr>
          <w:rFonts w:hint="cs"/>
        </w:rPr>
        <w:t>‌</w:t>
      </w:r>
      <w:r w:rsidRPr="0025250D">
        <w:rPr>
          <w:rFonts w:hint="cs"/>
          <w:rtl/>
        </w:rPr>
        <w:t xml:space="preserve"> می‌کند که مدیریت بهتر تضاد‌ها، هم نرخ عملکرد بالا‌تر و هم نرخ تضاد قابل اعتماد سازنده بالاتر را ممکن</w:t>
      </w:r>
      <w:r w:rsidRPr="0025250D">
        <w:rPr>
          <w:rFonts w:hint="cs"/>
        </w:rPr>
        <w:t>‌</w:t>
      </w:r>
      <w:r w:rsidRPr="0025250D">
        <w:rPr>
          <w:rFonts w:hint="cs"/>
          <w:rtl/>
        </w:rPr>
        <w:t xml:space="preserve"> می‌سازد. این امر به ما یادآوری</w:t>
      </w:r>
      <w:r w:rsidRPr="0025250D">
        <w:rPr>
          <w:rFonts w:hint="cs"/>
        </w:rPr>
        <w:t>‌</w:t>
      </w:r>
      <w:r w:rsidRPr="0025250D">
        <w:rPr>
          <w:rFonts w:hint="cs"/>
          <w:rtl/>
        </w:rPr>
        <w:t xml:space="preserve"> می‌کند که بهترین تصمیمات تیمی اغلب از نبرد‌های شدید میان دیدگاه‌های متفاوت مبتنی بر مدارک که هر یک تحت شرایط خاصی از ابهام و عدم قطعیت کار</w:t>
      </w:r>
      <w:r w:rsidRPr="0025250D">
        <w:rPr>
          <w:rFonts w:hint="cs"/>
        </w:rPr>
        <w:t>‌</w:t>
      </w:r>
      <w:r w:rsidRPr="0025250D">
        <w:rPr>
          <w:rFonts w:hint="cs"/>
          <w:rtl/>
        </w:rPr>
        <w:t xml:space="preserve"> می‌کنند و هر یک حلقه‌های </w:t>
      </w:r>
      <w:r w:rsidRPr="0025250D">
        <w:t>LFAR</w:t>
      </w:r>
      <w:r w:rsidRPr="0025250D">
        <w:rPr>
          <w:rFonts w:hint="cs"/>
          <w:rtl/>
        </w:rPr>
        <w:t xml:space="preserve"> خاص خود را دارند، تحت هدایت آزاد رهبران حاصل</w:t>
      </w:r>
      <w:r w:rsidRPr="0025250D">
        <w:rPr>
          <w:rFonts w:hint="cs"/>
        </w:rPr>
        <w:t>‌</w:t>
      </w:r>
      <w:r w:rsidRPr="0025250D">
        <w:rPr>
          <w:rFonts w:hint="cs"/>
          <w:rtl/>
        </w:rPr>
        <w:t xml:space="preserve"> می‌شوند.</w:t>
      </w:r>
    </w:p>
    <w:p w14:paraId="23FB234E" w14:textId="58618E49" w:rsidR="0020732A" w:rsidRPr="0025250D" w:rsidRDefault="004F67D4" w:rsidP="0037035F">
      <w:pPr>
        <w:jc w:val="center"/>
        <w:rPr>
          <w:rtl/>
        </w:rPr>
      </w:pPr>
      <w:r w:rsidRPr="0025250D">
        <w:rPr>
          <w:noProof/>
          <w:lang w:bidi="ar-SA"/>
        </w:rPr>
        <w:drawing>
          <wp:inline distT="0" distB="0" distL="0" distR="0" wp14:anchorId="6EE14F87" wp14:editId="62D6755E">
            <wp:extent cx="4346575" cy="3072765"/>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4346575" cy="3072765"/>
                    </a:xfrm>
                    <a:prstGeom prst="rect">
                      <a:avLst/>
                    </a:prstGeom>
                    <a:noFill/>
                  </pic:spPr>
                </pic:pic>
              </a:graphicData>
            </a:graphic>
          </wp:inline>
        </w:drawing>
      </w:r>
    </w:p>
    <w:p w14:paraId="74861B1C" w14:textId="77777777" w:rsidR="0020732A" w:rsidRPr="0025250D" w:rsidRDefault="0020732A" w:rsidP="001312B6">
      <w:pPr>
        <w:jc w:val="center"/>
        <w:rPr>
          <w:rtl/>
        </w:rPr>
      </w:pPr>
      <w:r w:rsidRPr="0025250D">
        <w:rPr>
          <w:rFonts w:hint="cs"/>
          <w:rtl/>
        </w:rPr>
        <w:t>پتانسیل بهبود تعارض (گلدبرگ و اوری، 1994)</w:t>
      </w:r>
    </w:p>
    <w:p w14:paraId="57CAEEB7" w14:textId="64B28101" w:rsidR="0020732A" w:rsidRPr="0025250D" w:rsidRDefault="007118DE" w:rsidP="0020732A">
      <w:pPr>
        <w:rPr>
          <w:rtl/>
        </w:rPr>
      </w:pPr>
      <w:r w:rsidRPr="0025250D">
        <w:rPr>
          <w:rFonts w:hint="cs"/>
          <w:rtl/>
        </w:rPr>
        <w:t>همان‌طور</w:t>
      </w:r>
      <w:r w:rsidR="0020732A" w:rsidRPr="0025250D">
        <w:rPr>
          <w:rFonts w:hint="cs"/>
          <w:rtl/>
        </w:rPr>
        <w:t xml:space="preserve"> که در بخش بعد خواهیم دید، هرم آینده‌نگاری مدرن (چهار </w:t>
      </w:r>
      <w:r w:rsidR="0020732A" w:rsidRPr="0025250D">
        <w:t>P</w:t>
      </w:r>
      <w:r w:rsidR="0020732A" w:rsidRPr="0025250D">
        <w:rPr>
          <w:rFonts w:hint="cs"/>
          <w:rtl/>
        </w:rPr>
        <w:t>) پیشنهاد</w:t>
      </w:r>
      <w:r w:rsidR="0020732A" w:rsidRPr="0025250D">
        <w:rPr>
          <w:rFonts w:hint="cs"/>
        </w:rPr>
        <w:t>‌</w:t>
      </w:r>
      <w:r w:rsidR="0020732A" w:rsidRPr="0025250D">
        <w:rPr>
          <w:rFonts w:hint="cs"/>
          <w:rtl/>
        </w:rPr>
        <w:t xml:space="preserve"> می‌کند تقابل </w:t>
      </w:r>
      <w:r w:rsidR="00D92F6E" w:rsidRPr="0025250D">
        <w:rPr>
          <w:rFonts w:hint="cs"/>
          <w:rtl/>
        </w:rPr>
        <w:t>پیش‌بین</w:t>
      </w:r>
      <w:r w:rsidR="0020732A" w:rsidRPr="0025250D">
        <w:rPr>
          <w:vertAlign w:val="superscript"/>
          <w:rtl/>
        </w:rPr>
        <w:footnoteReference w:id="587"/>
      </w:r>
      <w:r w:rsidR="0020732A" w:rsidRPr="0025250D">
        <w:rPr>
          <w:rFonts w:hint="cs"/>
          <w:rtl/>
        </w:rPr>
        <w:t xml:space="preserve"> و تقابل </w:t>
      </w:r>
      <w:r w:rsidR="00E6564A" w:rsidRPr="0025250D">
        <w:rPr>
          <w:rtl/>
        </w:rPr>
        <w:t>حس‌داد</w:t>
      </w:r>
      <w:r w:rsidR="0020732A" w:rsidRPr="0025250D">
        <w:rPr>
          <w:vertAlign w:val="superscript"/>
        </w:rPr>
        <w:footnoteReference w:id="588"/>
      </w:r>
      <w:r w:rsidR="0020732A" w:rsidRPr="0025250D">
        <w:rPr>
          <w:rFonts w:hint="cs"/>
          <w:rtl/>
        </w:rPr>
        <w:t xml:space="preserve"> مهم‌ترین انواع تضاد هستند که باید برای ایجاد آینده‌نگاری راهبردی آن‌ها را مدیریت کنیم. همچنین به ما یادآوری</w:t>
      </w:r>
      <w:r w:rsidR="0020732A" w:rsidRPr="0025250D">
        <w:rPr>
          <w:rFonts w:hint="cs"/>
        </w:rPr>
        <w:t>‌</w:t>
      </w:r>
      <w:r w:rsidR="0020732A" w:rsidRPr="0025250D">
        <w:rPr>
          <w:rFonts w:hint="cs"/>
          <w:rtl/>
        </w:rPr>
        <w:t xml:space="preserve"> می‌کند که هم افراد و هم تیم تمایل خواهند داشت که ارزش</w:t>
      </w:r>
      <w:r w:rsidR="00BB406C" w:rsidRPr="0025250D">
        <w:rPr>
          <w:rFonts w:hint="cs"/>
          <w:rtl/>
        </w:rPr>
        <w:t xml:space="preserve"> کم‌تر</w:t>
      </w:r>
      <w:r w:rsidR="0020732A" w:rsidRPr="0025250D">
        <w:rPr>
          <w:rFonts w:hint="cs"/>
          <w:rtl/>
        </w:rPr>
        <w:t xml:space="preserve">ی برای تقابل </w:t>
      </w:r>
      <w:r w:rsidR="00D92F6E" w:rsidRPr="0025250D">
        <w:rPr>
          <w:rFonts w:hint="cs"/>
          <w:rtl/>
        </w:rPr>
        <w:t>پیش‌بین</w:t>
      </w:r>
      <w:r w:rsidR="0020732A" w:rsidRPr="0025250D">
        <w:rPr>
          <w:rFonts w:hint="cs"/>
          <w:rtl/>
        </w:rPr>
        <w:t xml:space="preserve">، یعنی تضاد موجود در </w:t>
      </w:r>
      <w:r w:rsidR="006335B8" w:rsidRPr="0025250D">
        <w:rPr>
          <w:rtl/>
        </w:rPr>
        <w:t>«</w:t>
      </w:r>
      <w:r w:rsidR="0020732A" w:rsidRPr="0025250D">
        <w:rPr>
          <w:rFonts w:hint="cs"/>
          <w:rtl/>
        </w:rPr>
        <w:t>پایین هرم</w:t>
      </w:r>
      <w:r w:rsidR="006335B8" w:rsidRPr="0025250D">
        <w:rPr>
          <w:rtl/>
        </w:rPr>
        <w:t>»</w:t>
      </w:r>
      <w:r w:rsidR="0020732A" w:rsidRPr="0025250D">
        <w:rPr>
          <w:rFonts w:hint="cs"/>
          <w:rtl/>
        </w:rPr>
        <w:t xml:space="preserve"> قائل شده و آن را نادیده بگیرند، حتی با وجود این‌که تقابل </w:t>
      </w:r>
      <w:r w:rsidR="00D92F6E" w:rsidRPr="0025250D">
        <w:rPr>
          <w:rFonts w:hint="cs"/>
          <w:rtl/>
        </w:rPr>
        <w:t>پیش‌بین</w:t>
      </w:r>
      <w:r w:rsidR="0020732A" w:rsidRPr="0025250D">
        <w:rPr>
          <w:rFonts w:hint="cs"/>
          <w:rtl/>
        </w:rPr>
        <w:t xml:space="preserve"> شرایط را برای تقابل </w:t>
      </w:r>
      <w:r w:rsidR="00E6564A" w:rsidRPr="0025250D">
        <w:rPr>
          <w:rtl/>
        </w:rPr>
        <w:t>حس‌داد</w:t>
      </w:r>
      <w:r w:rsidR="0020732A" w:rsidRPr="0025250D">
        <w:rPr>
          <w:rFonts w:hint="cs"/>
          <w:rtl/>
        </w:rPr>
        <w:t xml:space="preserve"> و تضادهای هنجاری ما در مورد راهبرد فراهم</w:t>
      </w:r>
      <w:r w:rsidR="0020732A" w:rsidRPr="0025250D">
        <w:rPr>
          <w:rFonts w:hint="cs"/>
        </w:rPr>
        <w:t>‌</w:t>
      </w:r>
      <w:r w:rsidR="0020732A" w:rsidRPr="0025250D">
        <w:rPr>
          <w:rFonts w:hint="cs"/>
          <w:rtl/>
        </w:rPr>
        <w:t xml:space="preserve"> می‌کند. رهبران مؤثر باید بیاموزند که این سوگیری‌ها را تعدیل کنند و به تیم‌های خود برای تشخیص و غلبه بر آن‌ها کمک کنند.</w:t>
      </w:r>
    </w:p>
    <w:p w14:paraId="1F34D1E7" w14:textId="6904D554" w:rsidR="0020732A" w:rsidRPr="0025250D" w:rsidRDefault="0020732A" w:rsidP="0020732A">
      <w:pPr>
        <w:rPr>
          <w:rtl/>
        </w:rPr>
      </w:pPr>
      <w:r w:rsidRPr="0025250D">
        <w:rPr>
          <w:rFonts w:hint="cs"/>
          <w:rtl/>
        </w:rPr>
        <w:lastRenderedPageBreak/>
        <w:t>یک کتاب خوب در مورد رهبری تضاد سازنده که بر تضاد اجتماعی تمرکز دارد، کتاب تضاد‌های سازنده</w:t>
      </w:r>
      <w:r w:rsidRPr="0025250D">
        <w:rPr>
          <w:vertAlign w:val="superscript"/>
          <w:rtl/>
        </w:rPr>
        <w:footnoteReference w:id="589"/>
      </w:r>
      <w:r w:rsidRPr="0025250D">
        <w:rPr>
          <w:rFonts w:hint="cs"/>
          <w:rtl/>
        </w:rPr>
        <w:t>، ویرایش پنجم در سال 2016 اثر کریزبرگ</w:t>
      </w:r>
      <w:r w:rsidRPr="0025250D">
        <w:rPr>
          <w:vertAlign w:val="superscript"/>
          <w:rtl/>
        </w:rPr>
        <w:footnoteReference w:id="590"/>
      </w:r>
      <w:r w:rsidRPr="0025250D">
        <w:rPr>
          <w:rFonts w:hint="cs"/>
          <w:rtl/>
        </w:rPr>
        <w:t xml:space="preserve"> و دیتون</w:t>
      </w:r>
      <w:r w:rsidRPr="0025250D">
        <w:rPr>
          <w:vertAlign w:val="superscript"/>
          <w:rtl/>
        </w:rPr>
        <w:footnoteReference w:id="591"/>
      </w:r>
      <w:r w:rsidRPr="0025250D">
        <w:rPr>
          <w:rFonts w:hint="cs"/>
          <w:rtl/>
        </w:rPr>
        <w:t xml:space="preserve"> است</w:t>
      </w:r>
      <w:r w:rsidR="008D6F97" w:rsidRPr="0025250D">
        <w:rPr>
          <w:rtl/>
        </w:rPr>
        <w:t xml:space="preserve">؛ </w:t>
      </w:r>
      <w:r w:rsidRPr="0025250D">
        <w:rPr>
          <w:rFonts w:hint="cs"/>
          <w:rtl/>
        </w:rPr>
        <w:t>مانند همه متون (و خود کتاب ما) این کتاب ممکن است توسط دانشجویان به‌صورت دقیق مطالعه شده و توسط رهبران نیز مرور شود. این کتاب مطالعات موردی از تضاد گروهی با کارکرد خوب و بد را ارائه</w:t>
      </w:r>
      <w:r w:rsidRPr="0025250D">
        <w:rPr>
          <w:rFonts w:hint="cs"/>
        </w:rPr>
        <w:t>‌</w:t>
      </w:r>
      <w:r w:rsidRPr="0025250D">
        <w:rPr>
          <w:rFonts w:hint="cs"/>
          <w:rtl/>
        </w:rPr>
        <w:t xml:space="preserve"> می‌دهد. همه کتاب‌های مربوط به تضاد سازنده برای تضاد اخلاقی و همدلانه، در فرهنگی با ایمنی روان‌شناختی ارزش قائل هستند. رهبران باید تلاش کنند تا تضادهایی را که برای مأموریت و راهبرد اهمیت دارند برای اعضای تیم شفاف کنند و تیم را از تضاد‌های </w:t>
      </w:r>
      <w:r w:rsidR="001A3F0A" w:rsidRPr="0025250D">
        <w:rPr>
          <w:rFonts w:hint="cs"/>
          <w:rtl/>
        </w:rPr>
        <w:t>فردی</w:t>
      </w:r>
      <w:r w:rsidRPr="0025250D">
        <w:rPr>
          <w:rFonts w:hint="cs"/>
          <w:rtl/>
        </w:rPr>
        <w:t xml:space="preserve">‌تر و حاشیه‌ای (از نظر راهبرد) حفظ کنند. آنها باید از فرایند‌های </w:t>
      </w:r>
      <w:r w:rsidR="00EE4B64" w:rsidRPr="0025250D">
        <w:rPr>
          <w:rFonts w:hint="cs"/>
          <w:rtl/>
        </w:rPr>
        <w:t>مردم‌سالار</w:t>
      </w:r>
      <w:r w:rsidRPr="0025250D">
        <w:rPr>
          <w:rFonts w:hint="cs"/>
          <w:rtl/>
        </w:rPr>
        <w:t xml:space="preserve"> و یکه سالار برای حل و فصل تضاد‌های تیمی، بر حسب نیاز استفاده کنند. در قانون 95/5، ما معتقدیم که 95 درصد از زمان‌ها، به‌صورت تقریبی، حل تضاد‌ها باید تا حد امکان </w:t>
      </w:r>
      <w:r w:rsidR="00EE4B64" w:rsidRPr="0025250D">
        <w:rPr>
          <w:rFonts w:hint="cs"/>
          <w:rtl/>
        </w:rPr>
        <w:t>مردم‌سالار</w:t>
      </w:r>
      <w:r w:rsidRPr="0025250D">
        <w:rPr>
          <w:rFonts w:hint="cs"/>
          <w:rtl/>
        </w:rPr>
        <w:t xml:space="preserve"> باشد. </w:t>
      </w:r>
      <w:r w:rsidRPr="0025250D">
        <w:rPr>
          <w:rtl/>
        </w:rPr>
        <w:t>در هر شبکه پ</w:t>
      </w:r>
      <w:r w:rsidRPr="0025250D">
        <w:rPr>
          <w:rFonts w:hint="cs"/>
          <w:rtl/>
        </w:rPr>
        <w:t>ی</w:t>
      </w:r>
      <w:r w:rsidRPr="0025250D">
        <w:rPr>
          <w:rFonts w:hint="eastAsia"/>
          <w:rtl/>
        </w:rPr>
        <w:t>چ</w:t>
      </w:r>
      <w:r w:rsidRPr="0025250D">
        <w:rPr>
          <w:rFonts w:hint="cs"/>
          <w:rtl/>
        </w:rPr>
        <w:t>ی</w:t>
      </w:r>
      <w:r w:rsidRPr="0025250D">
        <w:rPr>
          <w:rFonts w:hint="eastAsia"/>
          <w:rtl/>
        </w:rPr>
        <w:t>ده</w:t>
      </w:r>
      <w:r w:rsidRPr="0025250D">
        <w:rPr>
          <w:rFonts w:hint="cs"/>
          <w:rtl/>
        </w:rPr>
        <w:t xml:space="preserve"> به ندرت 5 درصد افراد (رهبران، رسمی و غیر رسمی) باهوش‌تر از 95 درصد دیگر (همه ذینفعان، به‌صورت جمعی) هستند.</w:t>
      </w:r>
    </w:p>
    <w:p w14:paraId="48654237" w14:textId="77777777" w:rsidR="0020732A" w:rsidRPr="0025250D" w:rsidRDefault="0020732A" w:rsidP="001312B6">
      <w:pPr>
        <w:jc w:val="center"/>
        <w:rPr>
          <w:rtl/>
        </w:rPr>
      </w:pPr>
      <w:r w:rsidRPr="0025250D">
        <w:rPr>
          <w:noProof/>
          <w:rtl/>
          <w:lang w:bidi="ar-SA"/>
        </w:rPr>
        <w:drawing>
          <wp:inline distT="0" distB="0" distL="0" distR="0" wp14:anchorId="7B691C4E" wp14:editId="2DA8C21E">
            <wp:extent cx="1547734" cy="2226365"/>
            <wp:effectExtent l="0" t="0" r="0" b="2540"/>
            <wp:docPr id="34" name="Picture 34" descr="D:\کار\مستقل\3 ( ترجمه ی دانشگاه تهران  )\Introduction to Foresight\part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کار\مستقل\3 ( ترجمه ی دانشگاه تهران  )\Introduction to Foresight\part2\5.png"/>
                    <pic:cNvPicPr>
                      <a:picLocks noChangeAspect="1" noChangeArrowheads="1"/>
                    </pic:cNvPicPr>
                  </pic:nvPicPr>
                  <pic:blipFill rotWithShape="1">
                    <a:blip r:embed="rId59" cstate="screen">
                      <a:extLst>
                        <a:ext uri="{BEBA8EAE-BF5A-486C-A8C5-ECC9F3942E4B}">
                          <a14:imgProps xmlns:a14="http://schemas.microsoft.com/office/drawing/2010/main">
                            <a14:imgLayer r:embed="rId60">
                              <a14:imgEffect>
                                <a14:saturation sat="0"/>
                              </a14:imgEffect>
                            </a14:imgLayer>
                          </a14:imgProps>
                        </a:ext>
                        <a:ext uri="{28A0092B-C50C-407E-A947-70E740481C1C}">
                          <a14:useLocalDpi xmlns:a14="http://schemas.microsoft.com/office/drawing/2010/main"/>
                        </a:ext>
                      </a:extLst>
                    </a:blip>
                    <a:srcRect/>
                    <a:stretch/>
                  </pic:blipFill>
                  <pic:spPr bwMode="auto">
                    <a:xfrm>
                      <a:off x="0" y="0"/>
                      <a:ext cx="1555282" cy="2237223"/>
                    </a:xfrm>
                    <a:prstGeom prst="rect">
                      <a:avLst/>
                    </a:prstGeom>
                    <a:noFill/>
                    <a:ln>
                      <a:noFill/>
                    </a:ln>
                    <a:extLst>
                      <a:ext uri="{53640926-AAD7-44D8-BBD7-CCE9431645EC}">
                        <a14:shadowObscured xmlns:a14="http://schemas.microsoft.com/office/drawing/2010/main"/>
                      </a:ext>
                    </a:extLst>
                  </pic:spPr>
                </pic:pic>
              </a:graphicData>
            </a:graphic>
          </wp:inline>
        </w:drawing>
      </w:r>
    </w:p>
    <w:p w14:paraId="6FAA13C4" w14:textId="77777777" w:rsidR="0020732A" w:rsidRPr="0025250D" w:rsidRDefault="0020732A" w:rsidP="001312B6">
      <w:pPr>
        <w:jc w:val="center"/>
        <w:rPr>
          <w:rtl/>
        </w:rPr>
      </w:pPr>
      <w:r w:rsidRPr="0025250D">
        <w:rPr>
          <w:rFonts w:hint="cs"/>
          <w:rtl/>
        </w:rPr>
        <w:t>کریزبرگ و دیتون، 2016</w:t>
      </w:r>
    </w:p>
    <w:p w14:paraId="6AC53399" w14:textId="212ED4C1" w:rsidR="0020732A" w:rsidRPr="0025250D" w:rsidRDefault="0020732A" w:rsidP="0020732A">
      <w:pPr>
        <w:rPr>
          <w:rtl/>
        </w:rPr>
      </w:pPr>
      <w:r w:rsidRPr="0025250D">
        <w:rPr>
          <w:rFonts w:hint="cs"/>
          <w:rtl/>
        </w:rPr>
        <w:t>تشخیص سبک مورد علاقه فعلی ما نیز</w:t>
      </w:r>
      <w:r w:rsidRPr="0025250D">
        <w:rPr>
          <w:rFonts w:hint="cs"/>
        </w:rPr>
        <w:t>‌</w:t>
      </w:r>
      <w:r w:rsidRPr="0025250D">
        <w:rPr>
          <w:rFonts w:hint="cs"/>
          <w:rtl/>
        </w:rPr>
        <w:t xml:space="preserve"> می‌تواند در بهبود مدیریت تضاد مفید باشد. ابزار توماس-کیلمن</w:t>
      </w:r>
      <w:r w:rsidRPr="0025250D">
        <w:rPr>
          <w:vertAlign w:val="superscript"/>
          <w:rtl/>
        </w:rPr>
        <w:footnoteReference w:id="592"/>
      </w:r>
      <w:r w:rsidRPr="0025250D">
        <w:rPr>
          <w:rFonts w:hint="cs"/>
          <w:rtl/>
        </w:rPr>
        <w:t xml:space="preserve"> (</w:t>
      </w:r>
      <w:r w:rsidRPr="0025250D">
        <w:t>TKI</w:t>
      </w:r>
      <w:r w:rsidRPr="0025250D">
        <w:rPr>
          <w:rFonts w:hint="cs"/>
          <w:rtl/>
        </w:rPr>
        <w:t xml:space="preserve">) پنج سبک مدیریت تضاد قابل </w:t>
      </w:r>
      <w:r w:rsidR="00D92F6E" w:rsidRPr="0025250D">
        <w:rPr>
          <w:rFonts w:hint="cs"/>
          <w:rtl/>
        </w:rPr>
        <w:t>پیش‌بین</w:t>
      </w:r>
      <w:r w:rsidRPr="0025250D">
        <w:rPr>
          <w:rFonts w:hint="cs"/>
          <w:rtl/>
        </w:rPr>
        <w:t>ی</w:t>
      </w:r>
      <w:r w:rsidRPr="0025250D">
        <w:rPr>
          <w:vertAlign w:val="superscript"/>
          <w:rtl/>
        </w:rPr>
        <w:footnoteReference w:id="593"/>
      </w:r>
      <w:r w:rsidRPr="0025250D">
        <w:rPr>
          <w:rFonts w:hint="cs"/>
          <w:rtl/>
        </w:rPr>
        <w:t xml:space="preserve"> را مشخص</w:t>
      </w:r>
      <w:r w:rsidRPr="0025250D">
        <w:rPr>
          <w:rFonts w:hint="cs"/>
        </w:rPr>
        <w:t>‌</w:t>
      </w:r>
      <w:r w:rsidRPr="0025250D">
        <w:rPr>
          <w:rFonts w:hint="cs"/>
          <w:rtl/>
        </w:rPr>
        <w:t xml:space="preserve"> می‌کند. </w:t>
      </w:r>
      <w:r w:rsidRPr="0025250D">
        <w:t>TKI</w:t>
      </w:r>
      <w:r w:rsidRPr="0025250D">
        <w:rPr>
          <w:rFonts w:hint="cs"/>
          <w:rtl/>
        </w:rPr>
        <w:t xml:space="preserve"> هم یک مدل توسعه‌ای و هم یک ارزیابی است. این ابزار از رهبران</w:t>
      </w:r>
      <w:r w:rsidRPr="0025250D">
        <w:rPr>
          <w:rFonts w:hint="cs"/>
        </w:rPr>
        <w:t>‌</w:t>
      </w:r>
      <w:r w:rsidRPr="0025250D">
        <w:rPr>
          <w:rFonts w:hint="cs"/>
          <w:rtl/>
        </w:rPr>
        <w:t xml:space="preserve"> می‌خواهد که برای حرکت رو به بالا و به سمت راست در دو محور ارزش قائل شوند: </w:t>
      </w:r>
      <w:r w:rsidRPr="0025250D">
        <w:rPr>
          <w:rtl/>
        </w:rPr>
        <w:t>ابرازمند</w:t>
      </w:r>
      <w:r w:rsidRPr="0025250D">
        <w:rPr>
          <w:rFonts w:hint="cs"/>
          <w:rtl/>
        </w:rPr>
        <w:t>ی</w:t>
      </w:r>
      <w:r w:rsidRPr="0025250D">
        <w:rPr>
          <w:vertAlign w:val="superscript"/>
          <w:rtl/>
        </w:rPr>
        <w:footnoteReference w:id="594"/>
      </w:r>
      <w:r w:rsidRPr="0025250D">
        <w:rPr>
          <w:rFonts w:hint="cs"/>
          <w:rtl/>
        </w:rPr>
        <w:t xml:space="preserve"> و همکاری</w:t>
      </w:r>
      <w:r w:rsidRPr="0025250D">
        <w:rPr>
          <w:vertAlign w:val="superscript"/>
          <w:rtl/>
        </w:rPr>
        <w:footnoteReference w:id="595"/>
      </w:r>
      <w:r w:rsidRPr="0025250D">
        <w:rPr>
          <w:rFonts w:hint="cs"/>
          <w:rtl/>
        </w:rPr>
        <w:t xml:space="preserve">، به سمت یک </w:t>
      </w:r>
      <w:r w:rsidRPr="0025250D">
        <w:rPr>
          <w:rtl/>
        </w:rPr>
        <w:t>سبک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تعارض مشارکت</w:t>
      </w:r>
      <w:r w:rsidRPr="0025250D">
        <w:rPr>
          <w:rFonts w:hint="cs"/>
          <w:rtl/>
        </w:rPr>
        <w:t>ی</w:t>
      </w:r>
      <w:r w:rsidRPr="0025250D">
        <w:rPr>
          <w:vertAlign w:val="superscript"/>
          <w:rtl/>
        </w:rPr>
        <w:footnoteReference w:id="596"/>
      </w:r>
      <w:r w:rsidRPr="0025250D">
        <w:rPr>
          <w:rFonts w:hint="cs"/>
          <w:rtl/>
        </w:rPr>
        <w:t>.</w:t>
      </w:r>
    </w:p>
    <w:p w14:paraId="2A5955EA" w14:textId="2C577254" w:rsidR="0020732A" w:rsidRPr="0025250D" w:rsidRDefault="001F5BB0" w:rsidP="000818CA">
      <w:pPr>
        <w:jc w:val="center"/>
        <w:rPr>
          <w:rtl/>
        </w:rPr>
      </w:pPr>
      <w:r w:rsidRPr="0025250D">
        <w:rPr>
          <w:noProof/>
          <w:lang w:bidi="ar-SA"/>
        </w:rPr>
        <w:lastRenderedPageBreak/>
        <w:drawing>
          <wp:inline distT="0" distB="0" distL="0" distR="0" wp14:anchorId="49C6B061" wp14:editId="3E2BB178">
            <wp:extent cx="4610100" cy="2468788"/>
            <wp:effectExtent l="0" t="0" r="0" b="825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screen">
                      <a:extLst>
                        <a:ext uri="{BEBA8EAE-BF5A-486C-A8C5-ECC9F3942E4B}">
                          <a14:imgProps xmlns:a14="http://schemas.microsoft.com/office/drawing/2010/main">
                            <a14:imgLayer r:embed="rId62">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4624237" cy="2476359"/>
                    </a:xfrm>
                    <a:prstGeom prst="rect">
                      <a:avLst/>
                    </a:prstGeom>
                    <a:noFill/>
                  </pic:spPr>
                </pic:pic>
              </a:graphicData>
            </a:graphic>
          </wp:inline>
        </w:drawing>
      </w:r>
    </w:p>
    <w:p w14:paraId="4041CA0D" w14:textId="0E0A2AAC" w:rsidR="0020732A" w:rsidRPr="0025250D" w:rsidRDefault="0020732A" w:rsidP="0020732A">
      <w:pPr>
        <w:rPr>
          <w:rtl/>
        </w:rPr>
      </w:pPr>
      <w:r w:rsidRPr="0025250D">
        <w:rPr>
          <w:rFonts w:hint="cs"/>
          <w:rtl/>
        </w:rPr>
        <w:t>تصویر بالا این پنج سبک رایج را به‌صورت خلاصه نشان</w:t>
      </w:r>
      <w:r w:rsidRPr="0025250D">
        <w:rPr>
          <w:rFonts w:hint="cs"/>
        </w:rPr>
        <w:t>‌</w:t>
      </w:r>
      <w:r w:rsidRPr="0025250D">
        <w:rPr>
          <w:rFonts w:hint="cs"/>
          <w:rtl/>
        </w:rPr>
        <w:t xml:space="preserve"> می‌دهد. ما ارزیابی </w:t>
      </w:r>
      <w:r w:rsidRPr="0025250D">
        <w:t>TKI</w:t>
      </w:r>
      <w:r w:rsidRPr="0025250D">
        <w:rPr>
          <w:rFonts w:hint="cs"/>
          <w:rtl/>
        </w:rPr>
        <w:t xml:space="preserve"> را برای همه تیم‌ها پیشنهاد</w:t>
      </w:r>
      <w:r w:rsidRPr="0025250D">
        <w:rPr>
          <w:rFonts w:hint="cs"/>
        </w:rPr>
        <w:t>‌</w:t>
      </w:r>
      <w:r w:rsidRPr="0025250D">
        <w:rPr>
          <w:rFonts w:hint="cs"/>
          <w:rtl/>
        </w:rPr>
        <w:t xml:space="preserve"> می‌کنیم. همه ما</w:t>
      </w:r>
      <w:r w:rsidRPr="0025250D">
        <w:rPr>
          <w:rFonts w:hint="cs"/>
        </w:rPr>
        <w:t>‌</w:t>
      </w:r>
      <w:r w:rsidRPr="0025250D">
        <w:rPr>
          <w:rFonts w:hint="cs"/>
          <w:rtl/>
        </w:rPr>
        <w:t xml:space="preserve"> می‌توانیم این ابزار را برای کشف سبک مدیریت تضاد مطلوب فعلی خودمان </w:t>
      </w:r>
      <w:r w:rsidR="00923DDB" w:rsidRPr="0025250D">
        <w:rPr>
          <w:rFonts w:hint="cs"/>
          <w:rtl/>
        </w:rPr>
        <w:t>به‌کارگیری</w:t>
      </w:r>
      <w:r w:rsidRPr="0025250D">
        <w:rPr>
          <w:rFonts w:hint="cs"/>
          <w:rtl/>
        </w:rPr>
        <w:t>م. شما کدامیک هستید؟ درست مانند رهبران با سبک عقاب، سبک مشارکتی (بالا سمت راست)</w:t>
      </w:r>
      <w:r w:rsidRPr="0025250D">
        <w:rPr>
          <w:rFonts w:hint="cs"/>
        </w:rPr>
        <w:t>‌</w:t>
      </w:r>
      <w:r w:rsidRPr="0025250D">
        <w:rPr>
          <w:rFonts w:hint="cs"/>
          <w:rtl/>
        </w:rPr>
        <w:t xml:space="preserve"> می‌تواند بیش‌ترین گستره از انتخاب‌ها را داشته باشند و به ساده‌ترین شکل تفاوت‌ها را به منظور یافتن نتایج </w:t>
      </w:r>
      <w:r w:rsidR="00D92F6E" w:rsidRPr="0025250D">
        <w:rPr>
          <w:rFonts w:hint="cs"/>
          <w:rtl/>
        </w:rPr>
        <w:t>مجموع</w:t>
      </w:r>
      <w:r w:rsidRPr="0025250D">
        <w:rPr>
          <w:rFonts w:hint="cs"/>
          <w:rtl/>
        </w:rPr>
        <w:t xml:space="preserve"> مثبت</w:t>
      </w:r>
      <w:r w:rsidRPr="0025250D">
        <w:rPr>
          <w:vertAlign w:val="superscript"/>
          <w:rtl/>
        </w:rPr>
        <w:footnoteReference w:id="597"/>
      </w:r>
      <w:r w:rsidRPr="0025250D">
        <w:rPr>
          <w:rFonts w:hint="cs"/>
          <w:rtl/>
        </w:rPr>
        <w:t xml:space="preserve"> در گروه به هم متصل کند. وقتی سبک فردی خودمان را بدانیم،</w:t>
      </w:r>
      <w:r w:rsidRPr="0025250D">
        <w:rPr>
          <w:rFonts w:hint="cs"/>
        </w:rPr>
        <w:t>‌</w:t>
      </w:r>
      <w:r w:rsidRPr="0025250D">
        <w:rPr>
          <w:rFonts w:hint="cs"/>
          <w:rtl/>
        </w:rPr>
        <w:t xml:space="preserve"> می‌توانیم از </w:t>
      </w:r>
      <w:r w:rsidR="0008779C" w:rsidRPr="0025250D">
        <w:rPr>
          <w:rFonts w:hint="cs"/>
          <w:rtl/>
        </w:rPr>
        <w:t>تاثیرگذاری</w:t>
      </w:r>
      <w:r w:rsidRPr="0025250D">
        <w:rPr>
          <w:rFonts w:hint="cs"/>
          <w:rtl/>
        </w:rPr>
        <w:t xml:space="preserve"> منفی آن بر روی تضاد‌های تیمی جلوگیری کنیم و</w:t>
      </w:r>
      <w:r w:rsidRPr="0025250D">
        <w:rPr>
          <w:rFonts w:hint="cs"/>
        </w:rPr>
        <w:t>‌</w:t>
      </w:r>
      <w:r w:rsidRPr="0025250D">
        <w:rPr>
          <w:rFonts w:hint="cs"/>
          <w:rtl/>
        </w:rPr>
        <w:t xml:space="preserve"> می‌توانیم راه‌های موجود برای سوق دادن تیم به سمت یک سبک مشارکتی </w:t>
      </w:r>
      <w:r w:rsidR="00D92F6E" w:rsidRPr="0025250D">
        <w:rPr>
          <w:rFonts w:hint="cs"/>
          <w:rtl/>
        </w:rPr>
        <w:t>مجموع</w:t>
      </w:r>
      <w:r w:rsidRPr="0025250D">
        <w:rPr>
          <w:rFonts w:hint="cs"/>
          <w:rtl/>
        </w:rPr>
        <w:t xml:space="preserve"> مثبت را بهتر ببینیم. در </w:t>
      </w:r>
      <w:r w:rsidRPr="0025250D">
        <w:t>BPF</w:t>
      </w:r>
      <w:r w:rsidRPr="0025250D">
        <w:rPr>
          <w:rFonts w:hint="cs"/>
          <w:rtl/>
        </w:rPr>
        <w:t xml:space="preserve">، تفکر و مجموعه قوانین </w:t>
      </w:r>
      <w:r w:rsidR="00D92F6E" w:rsidRPr="0025250D">
        <w:rPr>
          <w:rFonts w:hint="cs"/>
          <w:rtl/>
        </w:rPr>
        <w:t>مجموع</w:t>
      </w:r>
      <w:r w:rsidRPr="0025250D">
        <w:rPr>
          <w:rFonts w:hint="cs"/>
          <w:rtl/>
        </w:rPr>
        <w:t xml:space="preserve"> مثبت را به‌عنوان اساسی برای همه شبکه‌های انسانی</w:t>
      </w:r>
      <w:r w:rsidR="00D92F6E" w:rsidRPr="0025250D">
        <w:rPr>
          <w:rFonts w:hint="cs"/>
          <w:rtl/>
        </w:rPr>
        <w:t xml:space="preserve"> با بیشترین انطباق</w:t>
      </w:r>
      <w:r w:rsidRPr="0025250D">
        <w:rPr>
          <w:rFonts w:hint="cs"/>
          <w:rtl/>
        </w:rPr>
        <w:t xml:space="preserve"> مورد بحث قرار خواهیم داد.</w:t>
      </w:r>
    </w:p>
    <w:p w14:paraId="36F1189C" w14:textId="76B100A8" w:rsidR="0020732A" w:rsidRPr="0025250D" w:rsidRDefault="0020732A" w:rsidP="0020732A">
      <w:pPr>
        <w:rPr>
          <w:rtl/>
        </w:rPr>
      </w:pPr>
      <w:r w:rsidRPr="0025250D">
        <w:rPr>
          <w:rFonts w:hint="cs"/>
          <w:rtl/>
        </w:rPr>
        <w:t xml:space="preserve">یک نقش کلیدی رهبر دانستن سبک مدیریت تضاد و اهمیت تیمی است که تفکر </w:t>
      </w:r>
      <w:r w:rsidR="00D92F6E" w:rsidRPr="0025250D">
        <w:rPr>
          <w:rFonts w:hint="cs"/>
          <w:rtl/>
        </w:rPr>
        <w:t>مجموع</w:t>
      </w:r>
      <w:r w:rsidRPr="0025250D">
        <w:rPr>
          <w:rFonts w:hint="cs"/>
          <w:rtl/>
        </w:rPr>
        <w:t xml:space="preserve"> مثبت دارد و همچنین این‌که کدام تضاد‌ها باید ترویج داده شده و مدیریت شوند و چگونه باید آن‌ها را</w:t>
      </w:r>
      <w:r w:rsidR="008D6F97" w:rsidRPr="0025250D">
        <w:rPr>
          <w:rtl/>
        </w:rPr>
        <w:t xml:space="preserve"> </w:t>
      </w:r>
      <w:r w:rsidRPr="0025250D">
        <w:rPr>
          <w:rFonts w:hint="cs"/>
          <w:rtl/>
        </w:rPr>
        <w:t>به‌صورتی سازنده و نه مخرب، حفظ کرد. به طور خلاصه، ما هرم آینده‌نگاری مدرن، مدلی از ایجاد آینده‌نگاری را که شامل مدیریت دو تضاد جداگانه در گروه</w:t>
      </w:r>
      <w:r w:rsidRPr="0025250D">
        <w:rPr>
          <w:rFonts w:hint="cs"/>
        </w:rPr>
        <w:t>‌</w:t>
      </w:r>
      <w:r w:rsidRPr="0025250D">
        <w:rPr>
          <w:rFonts w:hint="cs"/>
          <w:rtl/>
        </w:rPr>
        <w:t xml:space="preserve"> می‌شود را توصیف خواهیم کرد: تضاد ذهنی (</w:t>
      </w:r>
      <w:r w:rsidR="006335B8" w:rsidRPr="0025250D">
        <w:rPr>
          <w:rtl/>
        </w:rPr>
        <w:t>«</w:t>
      </w:r>
      <w:r w:rsidRPr="0025250D">
        <w:rPr>
          <w:rFonts w:hint="cs"/>
          <w:rtl/>
        </w:rPr>
        <w:t>شناختی</w:t>
      </w:r>
      <w:r w:rsidR="006335B8" w:rsidRPr="0025250D">
        <w:rPr>
          <w:rtl/>
        </w:rPr>
        <w:t>»</w:t>
      </w:r>
      <w:r w:rsidRPr="0025250D">
        <w:rPr>
          <w:rFonts w:hint="cs"/>
          <w:rtl/>
        </w:rPr>
        <w:t xml:space="preserve">) میان آینده‌های محتمل و ممکن (تقابل </w:t>
      </w:r>
      <w:r w:rsidR="00D92F6E" w:rsidRPr="0025250D">
        <w:rPr>
          <w:rFonts w:hint="cs"/>
          <w:rtl/>
        </w:rPr>
        <w:t>پیش‌بین</w:t>
      </w:r>
      <w:r w:rsidRPr="0025250D">
        <w:rPr>
          <w:rFonts w:hint="cs"/>
          <w:rtl/>
        </w:rPr>
        <w:t xml:space="preserve">) و تضاد هیجانی میان آینده‌های مرجح و اجتناب پذیر (تقابل </w:t>
      </w:r>
      <w:r w:rsidR="00E6564A" w:rsidRPr="0025250D">
        <w:rPr>
          <w:rtl/>
        </w:rPr>
        <w:t>حس‌داد</w:t>
      </w:r>
      <w:r w:rsidRPr="0025250D">
        <w:rPr>
          <w:rFonts w:hint="cs"/>
          <w:rtl/>
        </w:rPr>
        <w:t>).</w:t>
      </w:r>
    </w:p>
    <w:p w14:paraId="5A49E1E0" w14:textId="198DC307" w:rsidR="0020732A" w:rsidRPr="0025250D" w:rsidRDefault="0020732A" w:rsidP="0020732A">
      <w:pPr>
        <w:rPr>
          <w:rtl/>
        </w:rPr>
      </w:pPr>
      <w:r w:rsidRPr="0025250D">
        <w:rPr>
          <w:rFonts w:hint="cs"/>
          <w:rtl/>
        </w:rPr>
        <w:t>به یاد آورید که نظریه فرایند دوگانه بیان</w:t>
      </w:r>
      <w:r w:rsidRPr="0025250D">
        <w:rPr>
          <w:rFonts w:hint="cs"/>
        </w:rPr>
        <w:t>‌</w:t>
      </w:r>
      <w:r w:rsidRPr="0025250D">
        <w:rPr>
          <w:rFonts w:hint="cs"/>
          <w:rtl/>
        </w:rPr>
        <w:t xml:space="preserve"> می‌کند که فرایند‌های هیجانی-شهودی و شناختی-سنجیده دو راه کلیدی تفکر هستند. با استفاده از نظریه فرایند دوگانه و هرم آینده‌نگاری مدرن، پیشنهاد</w:t>
      </w:r>
      <w:r w:rsidRPr="0025250D">
        <w:rPr>
          <w:rFonts w:hint="cs"/>
        </w:rPr>
        <w:t>‌</w:t>
      </w:r>
      <w:r w:rsidRPr="0025250D">
        <w:rPr>
          <w:rFonts w:hint="cs"/>
          <w:rtl/>
        </w:rPr>
        <w:t xml:space="preserve"> می‌کنیم که تقابل </w:t>
      </w:r>
      <w:r w:rsidR="00D92F6E" w:rsidRPr="0025250D">
        <w:rPr>
          <w:rFonts w:hint="cs"/>
          <w:rtl/>
        </w:rPr>
        <w:t>پیش‌بین</w:t>
      </w:r>
      <w:r w:rsidRPr="0025250D">
        <w:rPr>
          <w:rFonts w:hint="cs"/>
          <w:rtl/>
        </w:rPr>
        <w:t xml:space="preserve"> و </w:t>
      </w:r>
      <w:r w:rsidR="00E6564A" w:rsidRPr="0025250D">
        <w:rPr>
          <w:rtl/>
        </w:rPr>
        <w:t>حس‌داد</w:t>
      </w:r>
      <w:r w:rsidRPr="0025250D">
        <w:rPr>
          <w:rFonts w:hint="cs"/>
          <w:rtl/>
        </w:rPr>
        <w:t xml:space="preserve"> دو تضاد آینده‌نگاری اساسی هستند که ما باید آن‌ها را در خودمان و در تیم‌هایمان مدیریت</w:t>
      </w:r>
      <w:r w:rsidRPr="0025250D">
        <w:rPr>
          <w:rtl/>
        </w:rPr>
        <w:t xml:space="preserve"> </w:t>
      </w:r>
      <w:r w:rsidRPr="0025250D">
        <w:rPr>
          <w:rFonts w:hint="cs"/>
          <w:rtl/>
        </w:rPr>
        <w:t xml:space="preserve">نماییم. برای کمک به چالش تقابل </w:t>
      </w:r>
      <w:r w:rsidR="00E6564A" w:rsidRPr="0025250D">
        <w:rPr>
          <w:rtl/>
        </w:rPr>
        <w:t>حس‌داد</w:t>
      </w:r>
      <w:r w:rsidRPr="0025250D">
        <w:rPr>
          <w:rFonts w:hint="cs"/>
          <w:rtl/>
        </w:rPr>
        <w:t xml:space="preserve">، ما چند </w:t>
      </w:r>
      <w:r w:rsidR="00B13F65" w:rsidRPr="0025250D">
        <w:rPr>
          <w:rFonts w:hint="cs"/>
          <w:rtl/>
        </w:rPr>
        <w:t>چارچوب</w:t>
      </w:r>
      <w:r w:rsidRPr="0025250D">
        <w:rPr>
          <w:rFonts w:hint="cs"/>
          <w:rtl/>
        </w:rPr>
        <w:t xml:space="preserve"> را توسعه داده و بر روی دانشجویان آزمون </w:t>
      </w:r>
      <w:r w:rsidR="00950293" w:rsidRPr="0025250D">
        <w:rPr>
          <w:rFonts w:hint="cs"/>
          <w:rtl/>
        </w:rPr>
        <w:t>کرده‌ایم</w:t>
      </w:r>
      <w:r w:rsidRPr="0025250D">
        <w:rPr>
          <w:rFonts w:hint="cs"/>
          <w:rtl/>
        </w:rPr>
        <w:t xml:space="preserve">، از جمله تفکر </w:t>
      </w:r>
      <w:r w:rsidRPr="0025250D">
        <w:t>GRASP</w:t>
      </w:r>
      <w:r w:rsidRPr="0025250D">
        <w:rPr>
          <w:vertAlign w:val="superscript"/>
        </w:rPr>
        <w:footnoteReference w:id="598"/>
      </w:r>
      <w:r w:rsidRPr="0025250D">
        <w:rPr>
          <w:rFonts w:hint="cs"/>
          <w:rtl/>
        </w:rPr>
        <w:t xml:space="preserve"> و تحلیل </w:t>
      </w:r>
      <w:r w:rsidRPr="0025250D">
        <w:t>ADOR</w:t>
      </w:r>
      <w:r w:rsidRPr="0025250D">
        <w:rPr>
          <w:vertAlign w:val="superscript"/>
        </w:rPr>
        <w:footnoteReference w:id="599"/>
      </w:r>
      <w:r w:rsidRPr="0025250D">
        <w:rPr>
          <w:rFonts w:hint="cs"/>
          <w:rtl/>
        </w:rPr>
        <w:t xml:space="preserve"> (که هر دو به طور خلاصه توضیح داده</w:t>
      </w:r>
      <w:r w:rsidRPr="0025250D">
        <w:rPr>
          <w:rFonts w:hint="cs"/>
        </w:rPr>
        <w:t>‌</w:t>
      </w:r>
      <w:r w:rsidRPr="0025250D">
        <w:rPr>
          <w:rFonts w:hint="cs"/>
          <w:rtl/>
        </w:rPr>
        <w:t xml:space="preserve"> می‌شوند). ما امیدواریم که برای شما نیز مفید باشند.</w:t>
      </w:r>
    </w:p>
    <w:p w14:paraId="5F6B39F8" w14:textId="7A33EBE1" w:rsidR="0020732A" w:rsidRPr="0025250D" w:rsidRDefault="0020732A" w:rsidP="0020732A">
      <w:pPr>
        <w:rPr>
          <w:rtl/>
        </w:rPr>
      </w:pPr>
      <w:r w:rsidRPr="0025250D">
        <w:rPr>
          <w:rFonts w:hint="cs"/>
          <w:rtl/>
        </w:rPr>
        <w:t xml:space="preserve">آخرین هرم توسعه‌ای ما بر یادگیری، اولین گام حلقه انجام تمرکز دارد. این هرم همچنین از دیدگاه </w:t>
      </w:r>
      <w:r w:rsidRPr="0025250D">
        <w:t>IQ</w:t>
      </w:r>
      <w:r w:rsidRPr="0025250D">
        <w:rPr>
          <w:rFonts w:hint="cs"/>
          <w:rtl/>
        </w:rPr>
        <w:t xml:space="preserve"> (بسیار بیش از </w:t>
      </w:r>
      <w:r w:rsidRPr="0025250D">
        <w:t>EQ</w:t>
      </w:r>
      <w:r w:rsidRPr="0025250D">
        <w:rPr>
          <w:rFonts w:hint="cs"/>
          <w:rtl/>
        </w:rPr>
        <w:t>) به یادگیری</w:t>
      </w:r>
      <w:r w:rsidRPr="0025250D">
        <w:rPr>
          <w:rFonts w:hint="cs"/>
        </w:rPr>
        <w:t>‌</w:t>
      </w:r>
      <w:r w:rsidRPr="0025250D">
        <w:rPr>
          <w:rFonts w:hint="cs"/>
          <w:rtl/>
        </w:rPr>
        <w:t xml:space="preserve"> می‌نگرد و تضاد‌ها را عمدتا از دیدگاه خوش‌بینی راهبردی </w:t>
      </w:r>
      <w:r w:rsidR="00B13F65" w:rsidRPr="0025250D">
        <w:rPr>
          <w:rFonts w:hint="cs"/>
          <w:rtl/>
        </w:rPr>
        <w:t>چارچوب</w:t>
      </w:r>
      <w:r w:rsidRPr="0025250D">
        <w:rPr>
          <w:rFonts w:hint="cs"/>
          <w:rtl/>
        </w:rPr>
        <w:t xml:space="preserve"> بندی</w:t>
      </w:r>
      <w:r w:rsidRPr="0025250D">
        <w:rPr>
          <w:rFonts w:hint="cs"/>
        </w:rPr>
        <w:t>‌</w:t>
      </w:r>
      <w:r w:rsidRPr="0025250D">
        <w:rPr>
          <w:rFonts w:hint="cs"/>
          <w:rtl/>
        </w:rPr>
        <w:t xml:space="preserve"> می‌کند</w:t>
      </w:r>
      <w:r w:rsidR="008D6F97" w:rsidRPr="0025250D">
        <w:rPr>
          <w:rtl/>
        </w:rPr>
        <w:t xml:space="preserve">؛ </w:t>
      </w:r>
      <w:r w:rsidRPr="0025250D">
        <w:rPr>
          <w:rFonts w:hint="cs"/>
          <w:rtl/>
        </w:rPr>
        <w:t>بنابراین این هرم را یک مکمل خوب برای هرم لنسیونی</w:t>
      </w:r>
      <w:r w:rsidRPr="0025250D">
        <w:rPr>
          <w:rFonts w:hint="cs"/>
        </w:rPr>
        <w:t>‌</w:t>
      </w:r>
      <w:r w:rsidRPr="0025250D">
        <w:rPr>
          <w:rFonts w:hint="cs"/>
          <w:rtl/>
        </w:rPr>
        <w:t xml:space="preserve"> می‌دانیم. این هرم در کتاب مدیریت کلاسیک پیتر</w:t>
      </w:r>
      <w:r w:rsidRPr="0025250D">
        <w:rPr>
          <w:rtl/>
        </w:rPr>
        <w:t xml:space="preserve"> </w:t>
      </w:r>
      <w:r w:rsidRPr="0025250D">
        <w:rPr>
          <w:rFonts w:hint="cs"/>
          <w:rtl/>
        </w:rPr>
        <w:t>سنگه</w:t>
      </w:r>
      <w:r w:rsidRPr="0025250D">
        <w:rPr>
          <w:vertAlign w:val="superscript"/>
          <w:rtl/>
        </w:rPr>
        <w:footnoteReference w:id="600"/>
      </w:r>
      <w:r w:rsidRPr="0025250D">
        <w:rPr>
          <w:rFonts w:hint="cs"/>
          <w:rtl/>
        </w:rPr>
        <w:t xml:space="preserve"> به نام پنجمین</w:t>
      </w:r>
      <w:r w:rsidRPr="0025250D">
        <w:rPr>
          <w:rtl/>
        </w:rPr>
        <w:t xml:space="preserve"> </w:t>
      </w:r>
      <w:r w:rsidRPr="0025250D">
        <w:rPr>
          <w:rFonts w:hint="cs"/>
          <w:rtl/>
        </w:rPr>
        <w:t>فرمان</w:t>
      </w:r>
      <w:r w:rsidRPr="0025250D">
        <w:rPr>
          <w:rtl/>
        </w:rPr>
        <w:t xml:space="preserve">: </w:t>
      </w:r>
      <w:r w:rsidRPr="0025250D">
        <w:rPr>
          <w:rFonts w:hint="cs"/>
          <w:rtl/>
        </w:rPr>
        <w:t>خلق</w:t>
      </w:r>
      <w:r w:rsidRPr="0025250D">
        <w:rPr>
          <w:rtl/>
        </w:rPr>
        <w:t xml:space="preserve"> </w:t>
      </w:r>
      <w:r w:rsidRPr="0025250D">
        <w:rPr>
          <w:rFonts w:hint="cs"/>
          <w:rtl/>
        </w:rPr>
        <w:t>سازمان</w:t>
      </w:r>
      <w:r w:rsidRPr="0025250D">
        <w:rPr>
          <w:rtl/>
        </w:rPr>
        <w:t xml:space="preserve"> </w:t>
      </w:r>
      <w:r w:rsidRPr="0025250D">
        <w:rPr>
          <w:rFonts w:hint="cs"/>
          <w:rtl/>
        </w:rPr>
        <w:t>یادگیرنده</w:t>
      </w:r>
      <w:r w:rsidRPr="0025250D">
        <w:rPr>
          <w:vertAlign w:val="superscript"/>
          <w:rtl/>
        </w:rPr>
        <w:footnoteReference w:id="601"/>
      </w:r>
      <w:r w:rsidRPr="0025250D">
        <w:rPr>
          <w:rFonts w:hint="cs"/>
          <w:rtl/>
        </w:rPr>
        <w:t>، 1999/2005 یافت</w:t>
      </w:r>
      <w:r w:rsidRPr="0025250D">
        <w:rPr>
          <w:rFonts w:hint="cs"/>
        </w:rPr>
        <w:t>‌</w:t>
      </w:r>
      <w:r w:rsidRPr="0025250D">
        <w:rPr>
          <w:rFonts w:hint="cs"/>
          <w:rtl/>
        </w:rPr>
        <w:t xml:space="preserve"> می‌شود. </w:t>
      </w:r>
      <w:r w:rsidR="007118DE" w:rsidRPr="0025250D">
        <w:rPr>
          <w:rFonts w:hint="cs"/>
          <w:rtl/>
        </w:rPr>
        <w:t>همان‌طور</w:t>
      </w:r>
      <w:r w:rsidRPr="0025250D">
        <w:rPr>
          <w:rFonts w:hint="cs"/>
          <w:rtl/>
        </w:rPr>
        <w:t xml:space="preserve"> که در فصل 4 خواهیم دید، سنگه پیشنهاد</w:t>
      </w:r>
      <w:r w:rsidRPr="0025250D">
        <w:rPr>
          <w:rFonts w:hint="cs"/>
        </w:rPr>
        <w:t>‌</w:t>
      </w:r>
      <w:r w:rsidRPr="0025250D">
        <w:rPr>
          <w:rFonts w:hint="cs"/>
          <w:rtl/>
        </w:rPr>
        <w:t xml:space="preserve"> می‌کند که تبدیل شدن به یک سازمان یادگیرنده بهترین راه برای رقابتی ماندن در یک محیط تجاری پیچیده، غیر قطعی و </w:t>
      </w:r>
      <w:r w:rsidR="007B3B35" w:rsidRPr="0025250D">
        <w:rPr>
          <w:rFonts w:hint="cs"/>
          <w:rtl/>
        </w:rPr>
        <w:t>شتاب‌گیر</w:t>
      </w:r>
      <w:r w:rsidRPr="0025250D">
        <w:rPr>
          <w:rFonts w:hint="cs"/>
          <w:rtl/>
        </w:rPr>
        <w:t>نده است. ما با دیدگاه او، به‌عنوان یک گام اولیه موافقیم. به شکل دقیق‌تر، پیشنهاد</w:t>
      </w:r>
      <w:r w:rsidRPr="0025250D">
        <w:rPr>
          <w:rFonts w:hint="cs"/>
        </w:rPr>
        <w:t>‌</w:t>
      </w:r>
      <w:r w:rsidRPr="0025250D">
        <w:rPr>
          <w:rFonts w:hint="cs"/>
          <w:rtl/>
        </w:rPr>
        <w:t xml:space="preserve"> می‌کنیم که تبدیل شدن به یک سازمان یادگیرنده، انجام دهنده آینده‌نگاری، عمل کننده و بازبینی (</w:t>
      </w:r>
      <w:r w:rsidRPr="0025250D">
        <w:t>LFAR</w:t>
      </w:r>
      <w:r w:rsidRPr="0025250D">
        <w:rPr>
          <w:rFonts w:hint="cs"/>
          <w:rtl/>
        </w:rPr>
        <w:t xml:space="preserve">) در حقیقت </w:t>
      </w:r>
      <w:r w:rsidR="00D92F6E" w:rsidRPr="0025250D">
        <w:rPr>
          <w:rFonts w:hint="cs"/>
          <w:rtl/>
        </w:rPr>
        <w:t>انطباقی‌ترین</w:t>
      </w:r>
      <w:r w:rsidRPr="0025250D">
        <w:rPr>
          <w:rFonts w:hint="cs"/>
          <w:rtl/>
        </w:rPr>
        <w:t xml:space="preserve"> مدل است.</w:t>
      </w:r>
    </w:p>
    <w:p w14:paraId="2F9BD901" w14:textId="573638B8" w:rsidR="0020732A" w:rsidRPr="0025250D" w:rsidRDefault="0020732A" w:rsidP="0020732A">
      <w:pPr>
        <w:rPr>
          <w:rtl/>
        </w:rPr>
      </w:pPr>
      <w:r w:rsidRPr="0025250D">
        <w:rPr>
          <w:rFonts w:hint="cs"/>
          <w:rtl/>
        </w:rPr>
        <w:lastRenderedPageBreak/>
        <w:t>سنگه پنج فرمان یادگیری سازمانی را در یک پیشرفت توسعه‌ای ارائه</w:t>
      </w:r>
      <w:r w:rsidRPr="0025250D">
        <w:rPr>
          <w:rFonts w:hint="cs"/>
        </w:rPr>
        <w:t>‌</w:t>
      </w:r>
      <w:r w:rsidRPr="0025250D">
        <w:rPr>
          <w:rFonts w:hint="cs"/>
          <w:rtl/>
        </w:rPr>
        <w:t xml:space="preserve"> می‌دهد. مارک</w:t>
      </w:r>
      <w:r w:rsidRPr="0025250D">
        <w:rPr>
          <w:rtl/>
        </w:rPr>
        <w:t xml:space="preserve"> </w:t>
      </w:r>
      <w:r w:rsidRPr="0025250D">
        <w:rPr>
          <w:rFonts w:hint="cs"/>
          <w:rtl/>
        </w:rPr>
        <w:t>اسمیت</w:t>
      </w:r>
      <w:r w:rsidRPr="0025250D">
        <w:rPr>
          <w:vertAlign w:val="superscript"/>
          <w:rtl/>
        </w:rPr>
        <w:footnoteReference w:id="602"/>
      </w:r>
      <w:r w:rsidRPr="0025250D">
        <w:rPr>
          <w:rFonts w:hint="cs"/>
          <w:rtl/>
        </w:rPr>
        <w:t xml:space="preserve"> فرمان‌های سنگه را به‌عنوان هرم یادگیری (تصویر زیر) به تصویر</w:t>
      </w:r>
      <w:r w:rsidRPr="0025250D">
        <w:rPr>
          <w:rFonts w:hint="cs"/>
        </w:rPr>
        <w:t>‌</w:t>
      </w:r>
      <w:r w:rsidRPr="0025250D">
        <w:rPr>
          <w:rFonts w:hint="cs"/>
          <w:rtl/>
        </w:rPr>
        <w:t xml:space="preserve"> می‌کشد. در قاعده مدل سنگه، تفکر </w:t>
      </w:r>
      <w:r w:rsidR="008D6F97" w:rsidRPr="0025250D">
        <w:rPr>
          <w:rFonts w:hint="cs"/>
          <w:rtl/>
        </w:rPr>
        <w:t>سامانه‌ای قرار دارد. تفکر سامانه‌ای</w:t>
      </w:r>
      <w:r w:rsidRPr="0025250D">
        <w:rPr>
          <w:rFonts w:hint="cs"/>
          <w:rtl/>
        </w:rPr>
        <w:t xml:space="preserve"> وقتی رخ</w:t>
      </w:r>
      <w:r w:rsidRPr="0025250D">
        <w:rPr>
          <w:rFonts w:hint="cs"/>
        </w:rPr>
        <w:t>‌</w:t>
      </w:r>
      <w:r w:rsidRPr="0025250D">
        <w:rPr>
          <w:rFonts w:hint="cs"/>
          <w:rtl/>
        </w:rPr>
        <w:t xml:space="preserve"> می‌دهد که تیم به دنبال شناسایی بازیگران، روابط و قیود مرتبط در سازمان باشد. ما چند نمونه اولیه خوب برای تفکر </w:t>
      </w:r>
      <w:r w:rsidR="008D6F97" w:rsidRPr="0025250D">
        <w:rPr>
          <w:rFonts w:hint="cs"/>
          <w:rtl/>
        </w:rPr>
        <w:t>سامانه‌ای</w:t>
      </w:r>
      <w:r w:rsidRPr="0025250D">
        <w:rPr>
          <w:rFonts w:hint="cs"/>
          <w:rtl/>
        </w:rPr>
        <w:t xml:space="preserve"> را در پیوست 3 فهرست</w:t>
      </w:r>
      <w:r w:rsidRPr="0025250D">
        <w:rPr>
          <w:rFonts w:hint="cs"/>
        </w:rPr>
        <w:t>‌</w:t>
      </w:r>
      <w:r w:rsidRPr="0025250D">
        <w:rPr>
          <w:rFonts w:hint="cs"/>
          <w:rtl/>
        </w:rPr>
        <w:t xml:space="preserve"> می‌کنیم. کتاب تفکر </w:t>
      </w:r>
      <w:r w:rsidR="008D6F97" w:rsidRPr="0025250D">
        <w:rPr>
          <w:rFonts w:hint="cs"/>
          <w:rtl/>
        </w:rPr>
        <w:t>سامانه‌ای</w:t>
      </w:r>
      <w:r w:rsidRPr="0025250D">
        <w:rPr>
          <w:rFonts w:hint="cs"/>
          <w:rtl/>
        </w:rPr>
        <w:t xml:space="preserve"> برای مدیران کنجکاو</w:t>
      </w:r>
      <w:r w:rsidRPr="0025250D">
        <w:rPr>
          <w:vertAlign w:val="superscript"/>
          <w:rtl/>
        </w:rPr>
        <w:footnoteReference w:id="603"/>
      </w:r>
      <w:r w:rsidRPr="0025250D">
        <w:rPr>
          <w:rFonts w:hint="cs"/>
          <w:rtl/>
        </w:rPr>
        <w:t xml:space="preserve"> در سال 2010 اثر آکوف</w:t>
      </w:r>
      <w:r w:rsidRPr="0025250D">
        <w:rPr>
          <w:vertAlign w:val="superscript"/>
          <w:rtl/>
        </w:rPr>
        <w:footnoteReference w:id="604"/>
      </w:r>
      <w:r w:rsidRPr="0025250D">
        <w:rPr>
          <w:rFonts w:hint="cs"/>
          <w:rtl/>
        </w:rPr>
        <w:t xml:space="preserve"> و ادیسون</w:t>
      </w:r>
      <w:r w:rsidRPr="0025250D">
        <w:rPr>
          <w:vertAlign w:val="superscript"/>
          <w:rtl/>
        </w:rPr>
        <w:footnoteReference w:id="605"/>
      </w:r>
      <w:r w:rsidRPr="0025250D">
        <w:rPr>
          <w:rFonts w:hint="cs"/>
          <w:rtl/>
        </w:rPr>
        <w:t xml:space="preserve"> در حال حاضر از محبوبیت بالایی برخوردار است. راهبردی‌ترین برنامه‌های آینده‌نگاری تفکر </w:t>
      </w:r>
      <w:r w:rsidR="008D6F97" w:rsidRPr="0025250D">
        <w:rPr>
          <w:rFonts w:hint="cs"/>
          <w:rtl/>
        </w:rPr>
        <w:t>سامانه‌ای</w:t>
      </w:r>
      <w:r w:rsidRPr="0025250D">
        <w:rPr>
          <w:rFonts w:hint="cs"/>
          <w:rtl/>
        </w:rPr>
        <w:t xml:space="preserve"> را به‌عنوان یک دوره اساسی در توسعه توانایی‌های منطقی تدریس</w:t>
      </w:r>
      <w:r w:rsidRPr="0025250D">
        <w:rPr>
          <w:rFonts w:hint="cs"/>
        </w:rPr>
        <w:t>‌</w:t>
      </w:r>
      <w:r w:rsidRPr="0025250D">
        <w:rPr>
          <w:rFonts w:hint="cs"/>
          <w:rtl/>
        </w:rPr>
        <w:t xml:space="preserve"> می‌کنند. آن‌ها بینش سنگه را درونی سازی کرده‌اند و شما نیز</w:t>
      </w:r>
      <w:r w:rsidRPr="0025250D">
        <w:rPr>
          <w:rFonts w:hint="cs"/>
        </w:rPr>
        <w:t>‌</w:t>
      </w:r>
      <w:r w:rsidRPr="0025250D">
        <w:rPr>
          <w:rFonts w:hint="cs"/>
          <w:rtl/>
        </w:rPr>
        <w:t xml:space="preserve"> می‌توانید این کار را انجام دهید.</w:t>
      </w:r>
    </w:p>
    <w:p w14:paraId="08E0C326" w14:textId="187B52F7" w:rsidR="0020732A" w:rsidRPr="0025250D" w:rsidRDefault="0020732A" w:rsidP="0020732A">
      <w:pPr>
        <w:rPr>
          <w:rtl/>
        </w:rPr>
      </w:pPr>
      <w:r w:rsidRPr="0025250D">
        <w:rPr>
          <w:rFonts w:hint="cs"/>
          <w:rtl/>
        </w:rPr>
        <w:t>نکته دیگر در مورد این هرم این است که</w:t>
      </w:r>
      <w:r w:rsidRPr="0025250D">
        <w:rPr>
          <w:rFonts w:hint="cs"/>
        </w:rPr>
        <w:t>‌</w:t>
      </w:r>
      <w:r w:rsidRPr="0025250D">
        <w:rPr>
          <w:rFonts w:hint="cs"/>
          <w:rtl/>
        </w:rPr>
        <w:t xml:space="preserve"> می‌توانیم از تفکر </w:t>
      </w:r>
      <w:r w:rsidR="008D6F97" w:rsidRPr="0025250D">
        <w:rPr>
          <w:rFonts w:hint="cs"/>
          <w:rtl/>
        </w:rPr>
        <w:t>سامانه‌ای</w:t>
      </w:r>
      <w:r w:rsidRPr="0025250D">
        <w:rPr>
          <w:rFonts w:hint="cs"/>
          <w:rtl/>
        </w:rPr>
        <w:t xml:space="preserve"> برای ایجاد مدل‌های ذهنی (به‌صورت جمعی، یک دیدگاه جهانی) استفاده کنیم که درک ما و مهارت‌هایی که برای آن‌ها ارزش قائل هستیم را هدایت کنند. کتاب خوب دیگری که به مدیران برای افزایش دانش آن‌ها از مدل و داده بیش‌تر کمک</w:t>
      </w:r>
      <w:r w:rsidRPr="0025250D">
        <w:rPr>
          <w:rFonts w:hint="cs"/>
        </w:rPr>
        <w:t>‌</w:t>
      </w:r>
      <w:r w:rsidRPr="0025250D">
        <w:rPr>
          <w:rFonts w:hint="cs"/>
          <w:rtl/>
        </w:rPr>
        <w:t xml:space="preserve"> می‌کند کتاب متفکر مدل محور</w:t>
      </w:r>
      <w:r w:rsidRPr="0025250D">
        <w:rPr>
          <w:vertAlign w:val="superscript"/>
          <w:rtl/>
        </w:rPr>
        <w:footnoteReference w:id="606"/>
      </w:r>
      <w:r w:rsidR="00D92F6E" w:rsidRPr="0025250D">
        <w:rPr>
          <w:rFonts w:hint="cs"/>
          <w:rtl/>
        </w:rPr>
        <w:t xml:space="preserve"> در سال</w:t>
      </w:r>
      <w:r w:rsidRPr="0025250D">
        <w:rPr>
          <w:rFonts w:hint="cs"/>
          <w:rtl/>
        </w:rPr>
        <w:t xml:space="preserve"> 2018، اثر </w:t>
      </w:r>
      <w:r w:rsidRPr="0025250D">
        <w:rPr>
          <w:rtl/>
        </w:rPr>
        <w:t>اسکات پ</w:t>
      </w:r>
      <w:r w:rsidRPr="0025250D">
        <w:rPr>
          <w:rFonts w:hint="cs"/>
          <w:rtl/>
        </w:rPr>
        <w:t>ی</w:t>
      </w:r>
      <w:r w:rsidRPr="0025250D">
        <w:rPr>
          <w:rFonts w:hint="eastAsia"/>
          <w:rtl/>
        </w:rPr>
        <w:t>ج</w:t>
      </w:r>
      <w:r w:rsidRPr="0025250D">
        <w:rPr>
          <w:vertAlign w:val="superscript"/>
          <w:rtl/>
        </w:rPr>
        <w:footnoteReference w:id="607"/>
      </w:r>
      <w:r w:rsidRPr="0025250D">
        <w:rPr>
          <w:rFonts w:hint="cs"/>
          <w:rtl/>
        </w:rPr>
        <w:t xml:space="preserve"> است. در نسخه دانشجوی این کتاب، فصل‌های 8 و 9 مدل‌ها، منحنی‌ها و چرخه‌های دیگری را که برای آینده‌نگاری سازمانی مفید هستند پوشش</w:t>
      </w:r>
      <w:r w:rsidRPr="0025250D">
        <w:rPr>
          <w:rFonts w:hint="cs"/>
        </w:rPr>
        <w:t>‌</w:t>
      </w:r>
      <w:r w:rsidRPr="0025250D">
        <w:rPr>
          <w:rFonts w:hint="cs"/>
          <w:rtl/>
        </w:rPr>
        <w:t xml:space="preserve"> می‌دهند. از نگاه </w:t>
      </w:r>
      <w:r w:rsidRPr="0025250D">
        <w:rPr>
          <w:rtl/>
        </w:rPr>
        <w:t>سنگه</w:t>
      </w:r>
      <w:r w:rsidRPr="0025250D">
        <w:rPr>
          <w:rFonts w:hint="cs"/>
          <w:rtl/>
        </w:rPr>
        <w:t xml:space="preserve">، ما از تفکر </w:t>
      </w:r>
      <w:r w:rsidR="008D6F97" w:rsidRPr="0025250D">
        <w:rPr>
          <w:rFonts w:hint="cs"/>
          <w:rtl/>
        </w:rPr>
        <w:t>سامانه‌ای</w:t>
      </w:r>
      <w:r w:rsidRPr="0025250D">
        <w:rPr>
          <w:rFonts w:hint="cs"/>
          <w:rtl/>
        </w:rPr>
        <w:t xml:space="preserve">، مدل‌ها و فرضیات ضمنی به منظور یافتن یا ایجاد </w:t>
      </w:r>
      <w:r w:rsidR="00B13F65" w:rsidRPr="0025250D">
        <w:rPr>
          <w:rFonts w:hint="cs"/>
          <w:rtl/>
        </w:rPr>
        <w:t>چارچوب</w:t>
      </w:r>
      <w:r w:rsidRPr="0025250D">
        <w:rPr>
          <w:rFonts w:hint="cs"/>
          <w:rtl/>
        </w:rPr>
        <w:t xml:space="preserve">‌ها (مدل‌های عملی) و روش‌ها (در سر تا سر مراحل </w:t>
      </w:r>
      <w:r w:rsidRPr="0025250D">
        <w:t>LFAR</w:t>
      </w:r>
      <w:r w:rsidRPr="0025250D">
        <w:rPr>
          <w:rFonts w:hint="cs"/>
          <w:rtl/>
        </w:rPr>
        <w:t>) استفاده</w:t>
      </w:r>
      <w:r w:rsidRPr="0025250D">
        <w:rPr>
          <w:rFonts w:hint="cs"/>
        </w:rPr>
        <w:t>‌</w:t>
      </w:r>
      <w:r w:rsidRPr="0025250D">
        <w:rPr>
          <w:rFonts w:hint="cs"/>
          <w:rtl/>
        </w:rPr>
        <w:t xml:space="preserve"> می‌کنیم. سپس به دنبال کسب مهارت در اجرای آن‌ها، در</w:t>
      </w:r>
      <w:r w:rsidR="008D6F97" w:rsidRPr="0025250D">
        <w:rPr>
          <w:rtl/>
        </w:rPr>
        <w:t xml:space="preserve"> </w:t>
      </w:r>
      <w:r w:rsidRPr="0025250D">
        <w:rPr>
          <w:rFonts w:hint="cs"/>
          <w:rtl/>
        </w:rPr>
        <w:t>زمینه‌های مختلف خواهیم بود. کار</w:t>
      </w:r>
      <w:r w:rsidR="008D6F97" w:rsidRPr="0025250D">
        <w:rPr>
          <w:rtl/>
        </w:rPr>
        <w:t xml:space="preserve"> </w:t>
      </w:r>
      <w:r w:rsidRPr="0025250D">
        <w:rPr>
          <w:rFonts w:hint="cs"/>
          <w:rtl/>
        </w:rPr>
        <w:t xml:space="preserve">گروهی و توسعه </w:t>
      </w:r>
      <w:r w:rsidR="00B56611" w:rsidRPr="0025250D">
        <w:rPr>
          <w:rFonts w:hint="cs"/>
          <w:rtl/>
        </w:rPr>
        <w:t>چشم‌انداز</w:t>
      </w:r>
      <w:r w:rsidRPr="0025250D">
        <w:rPr>
          <w:rFonts w:hint="cs"/>
          <w:rtl/>
        </w:rPr>
        <w:t xml:space="preserve"> مشترک بالاترین مراحل (فرامین) توسعه‌ای از دید او هستند. در فصل 2، ما بیست تخصص که سازمان‌های </w:t>
      </w:r>
      <w:r w:rsidR="00AE5BE0" w:rsidRPr="0025250D">
        <w:rPr>
          <w:rFonts w:hint="cs"/>
          <w:rtl/>
        </w:rPr>
        <w:t>انطباقی</w:t>
      </w:r>
      <w:r w:rsidRPr="0025250D">
        <w:rPr>
          <w:rFonts w:hint="cs"/>
        </w:rPr>
        <w:t>‌</w:t>
      </w:r>
      <w:r w:rsidRPr="0025250D">
        <w:rPr>
          <w:rFonts w:hint="cs"/>
          <w:rtl/>
        </w:rPr>
        <w:t xml:space="preserve"> می‌توانند در آن‌ها مهارت یابند را پیشنهاد خواهیم کرد. در بخش بعد، چندین </w:t>
      </w:r>
      <w:r w:rsidR="00B13F65" w:rsidRPr="0025250D">
        <w:rPr>
          <w:rFonts w:hint="cs"/>
          <w:rtl/>
        </w:rPr>
        <w:t>چارچوب</w:t>
      </w:r>
      <w:r w:rsidRPr="0025250D">
        <w:rPr>
          <w:rFonts w:hint="cs"/>
          <w:rtl/>
        </w:rPr>
        <w:t xml:space="preserve"> آینده‌نگاری مفید و در فصل 5، </w:t>
      </w:r>
      <w:r w:rsidR="00B13F65" w:rsidRPr="0025250D">
        <w:rPr>
          <w:rFonts w:hint="cs"/>
          <w:rtl/>
        </w:rPr>
        <w:t>چارچوب</w:t>
      </w:r>
      <w:r w:rsidRPr="0025250D">
        <w:rPr>
          <w:rFonts w:hint="cs"/>
          <w:rtl/>
        </w:rPr>
        <w:t>‌های مفید بیش‌تر و 150 روش دیگر را ارائه خواهیم کرد. امیدواریم آن‌ها به سفر آینده‌نگاری شما کنند.</w:t>
      </w:r>
    </w:p>
    <w:p w14:paraId="31AB3CBB" w14:textId="28461986" w:rsidR="0020732A" w:rsidRPr="0025250D" w:rsidRDefault="0020732A" w:rsidP="0020732A">
      <w:pPr>
        <w:rPr>
          <w:rtl/>
        </w:rPr>
      </w:pPr>
      <w:r w:rsidRPr="0025250D">
        <w:rPr>
          <w:rFonts w:hint="cs"/>
          <w:rtl/>
        </w:rPr>
        <w:t>هرم سنگه چالش‌های هیجانی را به‌عنوان بالاترین موارد در نظر</w:t>
      </w:r>
      <w:r w:rsidRPr="0025250D">
        <w:rPr>
          <w:rFonts w:hint="cs"/>
        </w:rPr>
        <w:t>‌</w:t>
      </w:r>
      <w:r w:rsidRPr="0025250D">
        <w:rPr>
          <w:rFonts w:hint="cs"/>
          <w:rtl/>
        </w:rPr>
        <w:t xml:space="preserve"> می‌گیرد. </w:t>
      </w:r>
      <w:r w:rsidRPr="0025250D">
        <w:rPr>
          <w:rtl/>
        </w:rPr>
        <w:t>لنس</w:t>
      </w:r>
      <w:r w:rsidRPr="0025250D">
        <w:rPr>
          <w:rFonts w:hint="cs"/>
          <w:rtl/>
        </w:rPr>
        <w:t>ی</w:t>
      </w:r>
      <w:r w:rsidRPr="0025250D">
        <w:rPr>
          <w:rFonts w:hint="eastAsia"/>
          <w:rtl/>
        </w:rPr>
        <w:t>ون</w:t>
      </w:r>
      <w:r w:rsidRPr="0025250D">
        <w:rPr>
          <w:rFonts w:hint="cs"/>
          <w:rtl/>
        </w:rPr>
        <w:t>ی معکوس این ترتیب یعنی ابتدا احساس کردن و سپس تفکر را که با واقعیت سازگاری بیش‌تری دارد، در نظر</w:t>
      </w:r>
      <w:r w:rsidRPr="0025250D">
        <w:rPr>
          <w:rFonts w:hint="cs"/>
        </w:rPr>
        <w:t>‌</w:t>
      </w:r>
      <w:r w:rsidRPr="0025250D">
        <w:rPr>
          <w:rFonts w:hint="cs"/>
          <w:rtl/>
        </w:rPr>
        <w:t xml:space="preserve"> می‌گیرد. با این حال هر دو هرم کاملا مفید هستند. هرم </w:t>
      </w:r>
      <w:r w:rsidRPr="0025250D">
        <w:rPr>
          <w:rtl/>
        </w:rPr>
        <w:t>لنس</w:t>
      </w:r>
      <w:r w:rsidRPr="0025250D">
        <w:rPr>
          <w:rFonts w:hint="cs"/>
          <w:rtl/>
        </w:rPr>
        <w:t>ی</w:t>
      </w:r>
      <w:r w:rsidRPr="0025250D">
        <w:rPr>
          <w:rFonts w:hint="eastAsia"/>
          <w:rtl/>
        </w:rPr>
        <w:t>ون</w:t>
      </w:r>
      <w:r w:rsidRPr="0025250D">
        <w:rPr>
          <w:rFonts w:hint="cs"/>
          <w:rtl/>
        </w:rPr>
        <w:t xml:space="preserve">ی به ما در مدیریت و توسعه تیم‌ها از دیدگاه </w:t>
      </w:r>
      <w:r w:rsidR="008D6F97" w:rsidRPr="0025250D">
        <w:rPr>
          <w:rFonts w:hint="cs"/>
          <w:rtl/>
        </w:rPr>
        <w:t>سامانه‌</w:t>
      </w:r>
      <w:r w:rsidRPr="0025250D">
        <w:rPr>
          <w:rFonts w:hint="cs"/>
          <w:rtl/>
        </w:rPr>
        <w:t xml:space="preserve"> 1 (شهود و هیجان) کمک</w:t>
      </w:r>
      <w:r w:rsidRPr="0025250D">
        <w:rPr>
          <w:rFonts w:hint="cs"/>
        </w:rPr>
        <w:t>‌</w:t>
      </w:r>
      <w:r w:rsidRPr="0025250D">
        <w:rPr>
          <w:rFonts w:hint="cs"/>
          <w:rtl/>
        </w:rPr>
        <w:t xml:space="preserve"> می‌کند. هرم سنگه به ما در مدیریت و توسعه تیم‌ها از نظر </w:t>
      </w:r>
      <w:r w:rsidR="008D6F97" w:rsidRPr="0025250D">
        <w:rPr>
          <w:rFonts w:hint="cs"/>
          <w:rtl/>
        </w:rPr>
        <w:t>سامانه‌</w:t>
      </w:r>
      <w:r w:rsidRPr="0025250D">
        <w:rPr>
          <w:rFonts w:hint="cs"/>
          <w:rtl/>
        </w:rPr>
        <w:t xml:space="preserve"> 2 (سنجیده و شناخت) کمک</w:t>
      </w:r>
      <w:r w:rsidRPr="0025250D">
        <w:rPr>
          <w:rFonts w:hint="cs"/>
        </w:rPr>
        <w:t>‌</w:t>
      </w:r>
      <w:r w:rsidRPr="0025250D">
        <w:rPr>
          <w:rFonts w:hint="cs"/>
          <w:rtl/>
        </w:rPr>
        <w:t xml:space="preserve"> می‌کند. ما بار دیگر در فصل 4 هرم سنگه را مورد بحث قرار خواهیم داد. هر دو مورد </w:t>
      </w:r>
      <w:r w:rsidR="00D92F6E" w:rsidRPr="0025250D">
        <w:rPr>
          <w:rFonts w:hint="cs"/>
          <w:rtl/>
        </w:rPr>
        <w:t>مطالب</w:t>
      </w:r>
      <w:r w:rsidRPr="0025250D">
        <w:rPr>
          <w:rFonts w:hint="cs"/>
          <w:rtl/>
        </w:rPr>
        <w:t xml:space="preserve"> زیادی را به ما</w:t>
      </w:r>
      <w:r w:rsidRPr="0025250D">
        <w:rPr>
          <w:rFonts w:hint="cs"/>
        </w:rPr>
        <w:t>‌</w:t>
      </w:r>
      <w:r w:rsidRPr="0025250D">
        <w:rPr>
          <w:rFonts w:hint="cs"/>
          <w:rtl/>
        </w:rPr>
        <w:t xml:space="preserve"> می‌آموزند.</w:t>
      </w:r>
    </w:p>
    <w:p w14:paraId="1145A70E" w14:textId="77777777" w:rsidR="0020732A" w:rsidRPr="0025250D" w:rsidRDefault="0020732A" w:rsidP="001312B6">
      <w:pPr>
        <w:jc w:val="center"/>
        <w:rPr>
          <w:rtl/>
        </w:rPr>
      </w:pPr>
      <w:r w:rsidRPr="0025250D">
        <w:rPr>
          <w:noProof/>
          <w:lang w:bidi="ar-SA"/>
        </w:rPr>
        <w:drawing>
          <wp:inline distT="0" distB="0" distL="0" distR="0" wp14:anchorId="73443A6A" wp14:editId="2D4427C1">
            <wp:extent cx="2876550" cy="2585791"/>
            <wp:effectExtent l="0" t="0" r="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cstate="screen">
                      <a:extLst>
                        <a:ext uri="{BEBA8EAE-BF5A-486C-A8C5-ECC9F3942E4B}">
                          <a14:imgProps xmlns:a14="http://schemas.microsoft.com/office/drawing/2010/main">
                            <a14:imgLayer r:embed="rId64">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2882554" cy="2591188"/>
                    </a:xfrm>
                    <a:prstGeom prst="rect">
                      <a:avLst/>
                    </a:prstGeom>
                    <a:noFill/>
                  </pic:spPr>
                </pic:pic>
              </a:graphicData>
            </a:graphic>
          </wp:inline>
        </w:drawing>
      </w:r>
    </w:p>
    <w:p w14:paraId="382684C0" w14:textId="77777777" w:rsidR="0020732A" w:rsidRPr="0025250D" w:rsidRDefault="0020732A" w:rsidP="001312B6">
      <w:pPr>
        <w:jc w:val="center"/>
        <w:rPr>
          <w:rtl/>
        </w:rPr>
      </w:pPr>
      <w:r w:rsidRPr="0025250D">
        <w:rPr>
          <w:rFonts w:hint="cs"/>
          <w:rtl/>
        </w:rPr>
        <w:t>پنج فرمان سازمان یادگیرنده؛ اسمیت، 2001، مبتنی بر سنگه، 1999</w:t>
      </w:r>
    </w:p>
    <w:p w14:paraId="38BF8A39" w14:textId="77777777" w:rsidR="0020732A" w:rsidRPr="0025250D" w:rsidRDefault="0020732A" w:rsidP="0020732A">
      <w:pPr>
        <w:rPr>
          <w:rtl/>
        </w:rPr>
      </w:pPr>
    </w:p>
    <w:p w14:paraId="272689B2" w14:textId="77777777" w:rsidR="0020732A" w:rsidRPr="0025250D" w:rsidRDefault="0020732A" w:rsidP="0020732A">
      <w:pPr>
        <w:rPr>
          <w:rtl/>
        </w:rPr>
      </w:pPr>
    </w:p>
    <w:p w14:paraId="4A578E0B" w14:textId="77777777" w:rsidR="00E8039A" w:rsidRPr="0025250D" w:rsidRDefault="0020732A" w:rsidP="003F125B">
      <w:pPr>
        <w:pStyle w:val="Heading2"/>
      </w:pPr>
      <w:bookmarkStart w:id="17" w:name="_Toc127831282"/>
      <w:r w:rsidRPr="0025250D">
        <w:rPr>
          <w:rFonts w:hint="cs"/>
          <w:rtl/>
        </w:rPr>
        <w:lastRenderedPageBreak/>
        <w:t xml:space="preserve">چند </w:t>
      </w:r>
      <w:r w:rsidR="00B13F65" w:rsidRPr="0025250D">
        <w:rPr>
          <w:rFonts w:hint="cs"/>
          <w:rtl/>
        </w:rPr>
        <w:t>چارچوب</w:t>
      </w:r>
      <w:r w:rsidRPr="0025250D">
        <w:rPr>
          <w:rFonts w:hint="cs"/>
          <w:rtl/>
        </w:rPr>
        <w:t xml:space="preserve"> مفید آینده‌نگاری</w:t>
      </w:r>
      <w:bookmarkEnd w:id="17"/>
    </w:p>
    <w:p w14:paraId="3A6AEC34" w14:textId="4C393949" w:rsidR="0020732A" w:rsidRPr="0025250D" w:rsidRDefault="0020732A" w:rsidP="00E8039A">
      <w:pPr>
        <w:rPr>
          <w:rtl/>
        </w:rPr>
      </w:pPr>
      <w:r w:rsidRPr="0025250D">
        <w:rPr>
          <w:rFonts w:hint="cs"/>
          <w:rtl/>
        </w:rPr>
        <w:t xml:space="preserve">ما اکنون آماده در نظر گرفتن چند </w:t>
      </w:r>
      <w:r w:rsidR="00B13F65" w:rsidRPr="0025250D">
        <w:rPr>
          <w:rFonts w:hint="cs"/>
          <w:rtl/>
        </w:rPr>
        <w:t>چارچوب</w:t>
      </w:r>
      <w:r w:rsidRPr="0025250D">
        <w:rPr>
          <w:rFonts w:hint="cs"/>
          <w:rtl/>
        </w:rPr>
        <w:t xml:space="preserve"> (رویه) آینده‌نگاری عمومی و مشخصا ارزشمند برای خودمان، تیم‌هایمان و سازمان هایمان هستیم. </w:t>
      </w:r>
      <w:r w:rsidR="00B13F65" w:rsidRPr="0025250D">
        <w:rPr>
          <w:rFonts w:hint="cs"/>
          <w:rtl/>
        </w:rPr>
        <w:t>چارچوب</w:t>
      </w:r>
      <w:r w:rsidRPr="0025250D">
        <w:rPr>
          <w:rFonts w:hint="cs"/>
          <w:rtl/>
        </w:rPr>
        <w:t xml:space="preserve"> اول، چهار </w:t>
      </w:r>
      <w:r w:rsidRPr="0025250D">
        <w:t>P</w:t>
      </w:r>
      <w:r w:rsidRPr="0025250D">
        <w:rPr>
          <w:rFonts w:hint="cs"/>
          <w:rtl/>
        </w:rPr>
        <w:t xml:space="preserve"> (هرم آینده‌نگاری مدرن)، یک </w:t>
      </w:r>
      <w:r w:rsidR="00B13F65" w:rsidRPr="0025250D">
        <w:rPr>
          <w:rFonts w:hint="cs"/>
          <w:rtl/>
        </w:rPr>
        <w:t>چارچوب</w:t>
      </w:r>
      <w:r w:rsidRPr="0025250D">
        <w:rPr>
          <w:rFonts w:hint="cs"/>
          <w:rtl/>
        </w:rPr>
        <w:t xml:space="preserve"> مدیریت تضاد آینده‌نگاری است. هنگامی که آن را با حلقه انجام ترکیب</w:t>
      </w:r>
      <w:r w:rsidRPr="0025250D">
        <w:rPr>
          <w:rFonts w:hint="cs"/>
        </w:rPr>
        <w:t>‌</w:t>
      </w:r>
      <w:r w:rsidRPr="0025250D">
        <w:rPr>
          <w:rFonts w:hint="cs"/>
          <w:rtl/>
        </w:rPr>
        <w:t xml:space="preserve"> می‌کنیم، </w:t>
      </w:r>
      <w:r w:rsidRPr="0025250D">
        <w:t>REOPS</w:t>
      </w:r>
      <w:r w:rsidRPr="0025250D">
        <w:rPr>
          <w:rFonts w:hint="cs"/>
          <w:rtl/>
        </w:rPr>
        <w:t xml:space="preserve"> حاصل</w:t>
      </w:r>
      <w:r w:rsidRPr="0025250D">
        <w:rPr>
          <w:rFonts w:hint="cs"/>
        </w:rPr>
        <w:t>‌</w:t>
      </w:r>
      <w:r w:rsidRPr="0025250D">
        <w:rPr>
          <w:rFonts w:hint="cs"/>
          <w:rtl/>
        </w:rPr>
        <w:t xml:space="preserve"> می‌شود که </w:t>
      </w:r>
      <w:r w:rsidR="00B13F65" w:rsidRPr="0025250D">
        <w:rPr>
          <w:rFonts w:hint="cs"/>
          <w:rtl/>
        </w:rPr>
        <w:t>چارچوب</w:t>
      </w:r>
      <w:r w:rsidRPr="0025250D">
        <w:rPr>
          <w:rFonts w:hint="cs"/>
          <w:rtl/>
        </w:rPr>
        <w:t xml:space="preserve"> تولید آینده‌نگاری مورد علاقه </w:t>
      </w:r>
      <w:r w:rsidRPr="0025250D">
        <w:t>4U</w:t>
      </w:r>
      <w:r w:rsidRPr="0025250D">
        <w:rPr>
          <w:rFonts w:hint="cs"/>
        </w:rPr>
        <w:t>‌</w:t>
      </w:r>
      <w:r w:rsidRPr="0025250D">
        <w:rPr>
          <w:rFonts w:hint="cs"/>
          <w:rtl/>
        </w:rPr>
        <w:t xml:space="preserve"> می‌باشد. در فصل 2، </w:t>
      </w:r>
      <w:r w:rsidR="00B13F65" w:rsidRPr="0025250D">
        <w:rPr>
          <w:rFonts w:hint="cs"/>
          <w:rtl/>
        </w:rPr>
        <w:t>چارچوب</w:t>
      </w:r>
      <w:r w:rsidRPr="0025250D">
        <w:rPr>
          <w:rFonts w:hint="cs"/>
          <w:rtl/>
        </w:rPr>
        <w:t xml:space="preserve"> آینده‌نگاری </w:t>
      </w:r>
      <w:r w:rsidR="00AE5BE0" w:rsidRPr="0025250D">
        <w:rPr>
          <w:rFonts w:hint="cs"/>
          <w:rtl/>
        </w:rPr>
        <w:t>انطباقی</w:t>
      </w:r>
      <w:r w:rsidRPr="0025250D">
        <w:rPr>
          <w:rFonts w:hint="cs"/>
          <w:rtl/>
        </w:rPr>
        <w:t xml:space="preserve"> تیمی و سازمانی </w:t>
      </w:r>
      <w:r w:rsidRPr="0025250D">
        <w:t>4U</w:t>
      </w:r>
      <w:r w:rsidRPr="0025250D">
        <w:rPr>
          <w:rFonts w:hint="cs"/>
          <w:rtl/>
        </w:rPr>
        <w:t xml:space="preserve"> به نام هشت مهارت</w:t>
      </w:r>
      <w:r w:rsidRPr="0025250D">
        <w:rPr>
          <w:vertAlign w:val="superscript"/>
          <w:rtl/>
        </w:rPr>
        <w:footnoteReference w:id="608"/>
      </w:r>
      <w:r w:rsidRPr="0025250D">
        <w:rPr>
          <w:rFonts w:hint="cs"/>
          <w:rtl/>
        </w:rPr>
        <w:t xml:space="preserve"> را معرفی</w:t>
      </w:r>
      <w:r w:rsidRPr="0025250D">
        <w:rPr>
          <w:rFonts w:hint="cs"/>
        </w:rPr>
        <w:t>‌</w:t>
      </w:r>
      <w:r w:rsidRPr="0025250D">
        <w:rPr>
          <w:rFonts w:hint="cs"/>
          <w:rtl/>
        </w:rPr>
        <w:t xml:space="preserve"> می‌کنیم. </w:t>
      </w:r>
      <w:r w:rsidR="00B13F65" w:rsidRPr="0025250D">
        <w:rPr>
          <w:rFonts w:hint="cs"/>
          <w:rtl/>
        </w:rPr>
        <w:t>چارچوب</w:t>
      </w:r>
      <w:r w:rsidRPr="0025250D">
        <w:rPr>
          <w:rFonts w:hint="cs"/>
          <w:rtl/>
        </w:rPr>
        <w:t>‌های مفید دیگری را در فصل 5 خواهیم دید.</w:t>
      </w:r>
    </w:p>
    <w:p w14:paraId="32F464DA" w14:textId="6DA58506" w:rsidR="0020732A" w:rsidRPr="0025250D" w:rsidRDefault="0020732A" w:rsidP="0020732A">
      <w:pPr>
        <w:rPr>
          <w:rtl/>
        </w:rPr>
      </w:pPr>
      <w:r w:rsidRPr="0025250D">
        <w:rPr>
          <w:rFonts w:hint="cs"/>
          <w:rtl/>
        </w:rPr>
        <w:t xml:space="preserve">می توانیم </w:t>
      </w:r>
      <w:r w:rsidR="00B13F65" w:rsidRPr="0025250D">
        <w:rPr>
          <w:rFonts w:hint="cs"/>
          <w:rtl/>
        </w:rPr>
        <w:t>چارچوب</w:t>
      </w:r>
      <w:r w:rsidRPr="0025250D">
        <w:rPr>
          <w:rFonts w:hint="cs"/>
          <w:rtl/>
        </w:rPr>
        <w:t>‌ها را مانند دستورالعمل‌ها در نظر بگیریم. همه آشپز‌های خوب آموزش خود را با این دستورالعمل‌ها آغاز</w:t>
      </w:r>
      <w:r w:rsidRPr="0025250D">
        <w:rPr>
          <w:rFonts w:hint="cs"/>
        </w:rPr>
        <w:t>‌</w:t>
      </w:r>
      <w:r w:rsidRPr="0025250D">
        <w:rPr>
          <w:rFonts w:hint="cs"/>
          <w:rtl/>
        </w:rPr>
        <w:t xml:space="preserve"> می‌کنند و اغلب از آن‌ها به همان شکلی که هستند استفاده</w:t>
      </w:r>
      <w:r w:rsidRPr="0025250D">
        <w:rPr>
          <w:rFonts w:hint="cs"/>
        </w:rPr>
        <w:t>‌</w:t>
      </w:r>
      <w:r w:rsidRPr="0025250D">
        <w:rPr>
          <w:rFonts w:hint="cs"/>
          <w:rtl/>
        </w:rPr>
        <w:t xml:space="preserve"> می‌کنند، اما همچنین در عمل به شکل خلاقانه‌ای از آن‌ها فاصله</w:t>
      </w:r>
      <w:r w:rsidRPr="0025250D">
        <w:rPr>
          <w:rFonts w:hint="cs"/>
        </w:rPr>
        <w:t>‌</w:t>
      </w:r>
      <w:r w:rsidRPr="0025250D">
        <w:rPr>
          <w:rFonts w:hint="cs"/>
          <w:rtl/>
        </w:rPr>
        <w:t xml:space="preserve"> می‌گیرند. این‌که از کدام </w:t>
      </w:r>
      <w:r w:rsidR="00B13F65" w:rsidRPr="0025250D">
        <w:rPr>
          <w:rFonts w:hint="cs"/>
          <w:rtl/>
        </w:rPr>
        <w:t>چارچوب</w:t>
      </w:r>
      <w:r w:rsidRPr="0025250D">
        <w:rPr>
          <w:rFonts w:hint="cs"/>
          <w:rtl/>
        </w:rPr>
        <w:t>‌ها، در هر شرایطی استفاده</w:t>
      </w:r>
      <w:r w:rsidRPr="0025250D">
        <w:rPr>
          <w:rFonts w:hint="cs"/>
        </w:rPr>
        <w:t>‌</w:t>
      </w:r>
      <w:r w:rsidRPr="0025250D">
        <w:rPr>
          <w:rFonts w:hint="cs"/>
          <w:rtl/>
        </w:rPr>
        <w:t xml:space="preserve"> می‌کنید و این‌که چگونه آن‌ها را اصلاح</w:t>
      </w:r>
      <w:r w:rsidRPr="0025250D">
        <w:rPr>
          <w:rFonts w:hint="cs"/>
        </w:rPr>
        <w:t>‌</w:t>
      </w:r>
      <w:r w:rsidRPr="0025250D">
        <w:rPr>
          <w:rFonts w:hint="cs"/>
          <w:rtl/>
        </w:rPr>
        <w:t xml:space="preserve"> می‌کنید، توسط شهود، ترجیحات و نتایج شما هدایت خواهد شد. هر چه در تحلیل آینده برای دیگران و دریافت بازخورد تجربه بیش‌تری پیدا کنید، در استفاده از </w:t>
      </w:r>
      <w:r w:rsidR="00B13F65" w:rsidRPr="0025250D">
        <w:rPr>
          <w:rFonts w:hint="cs"/>
          <w:rtl/>
        </w:rPr>
        <w:t>چارچوب</w:t>
      </w:r>
      <w:r w:rsidRPr="0025250D">
        <w:rPr>
          <w:rFonts w:hint="cs"/>
          <w:rtl/>
        </w:rPr>
        <w:t xml:space="preserve">‌ها و </w:t>
      </w:r>
      <w:r w:rsidR="00B13F65" w:rsidRPr="0025250D">
        <w:rPr>
          <w:rFonts w:hint="cs"/>
          <w:rtl/>
        </w:rPr>
        <w:t>یکپارچه‌سازی</w:t>
      </w:r>
      <w:r w:rsidRPr="0025250D">
        <w:rPr>
          <w:rFonts w:hint="cs"/>
          <w:rtl/>
        </w:rPr>
        <w:t xml:space="preserve"> آینده‌نگاری و عمل برای کسب نتایج </w:t>
      </w:r>
      <w:r w:rsidR="00AE5BE0" w:rsidRPr="0025250D">
        <w:rPr>
          <w:rFonts w:hint="cs"/>
          <w:rtl/>
        </w:rPr>
        <w:t>انطباقی</w:t>
      </w:r>
      <w:r w:rsidRPr="0025250D">
        <w:rPr>
          <w:rFonts w:hint="cs"/>
          <w:rtl/>
        </w:rPr>
        <w:t>، بهتر خواهید شد.</w:t>
      </w:r>
    </w:p>
    <w:p w14:paraId="64CDD07E" w14:textId="77777777" w:rsidR="0020732A" w:rsidRPr="0025250D" w:rsidRDefault="0020732A" w:rsidP="001312B6">
      <w:pPr>
        <w:pStyle w:val="Heading3"/>
        <w:rPr>
          <w:rtl/>
        </w:rPr>
      </w:pPr>
      <w:r w:rsidRPr="0025250D">
        <w:rPr>
          <w:rFonts w:hint="cs"/>
          <w:rtl/>
        </w:rPr>
        <w:t xml:space="preserve">چهار </w:t>
      </w:r>
      <w:r w:rsidRPr="0025250D">
        <w:t>P</w:t>
      </w:r>
      <w:r w:rsidRPr="0025250D">
        <w:rPr>
          <w:rFonts w:hint="cs"/>
          <w:rtl/>
        </w:rPr>
        <w:t xml:space="preserve"> (هرم آینده‌نگاری مدرن): مدیریت تضاد و تقابل ذهنی</w:t>
      </w:r>
    </w:p>
    <w:p w14:paraId="46C44EAF" w14:textId="6B192233" w:rsidR="0020732A" w:rsidRPr="0025250D" w:rsidRDefault="0020732A" w:rsidP="008D57CC">
      <w:pPr>
        <w:rPr>
          <w:rtl/>
        </w:rPr>
      </w:pPr>
      <w:r w:rsidRPr="0025250D">
        <w:rPr>
          <w:rFonts w:hint="cs"/>
          <w:rtl/>
        </w:rPr>
        <w:t>هرم آینده‌نگاری کلاسیک را به‌عنوان یک مدل آینده‌نگاری فراگیر در مورد چگونگی کارکرد طبیعت که ریشه در فیزیک دارد، توصیف کردیم</w:t>
      </w:r>
      <w:r w:rsidR="008D6F97" w:rsidRPr="0025250D">
        <w:rPr>
          <w:rtl/>
        </w:rPr>
        <w:t xml:space="preserve">؛ </w:t>
      </w:r>
      <w:r w:rsidRPr="0025250D">
        <w:rPr>
          <w:rFonts w:hint="cs"/>
          <w:rtl/>
        </w:rPr>
        <w:t xml:space="preserve">اما وقتی آن را بر </w:t>
      </w:r>
      <w:r w:rsidR="008D6F97" w:rsidRPr="0025250D">
        <w:rPr>
          <w:rFonts w:hint="cs"/>
          <w:rtl/>
        </w:rPr>
        <w:t>سامانه‌</w:t>
      </w:r>
      <w:r w:rsidRPr="0025250D">
        <w:rPr>
          <w:rFonts w:hint="cs"/>
          <w:rtl/>
        </w:rPr>
        <w:t>‌های زنده اعمال</w:t>
      </w:r>
      <w:r w:rsidRPr="0025250D">
        <w:rPr>
          <w:rFonts w:hint="cs"/>
        </w:rPr>
        <w:t>‌</w:t>
      </w:r>
      <w:r w:rsidRPr="0025250D">
        <w:rPr>
          <w:rFonts w:hint="cs"/>
          <w:rtl/>
        </w:rPr>
        <w:t xml:space="preserve"> می‌کنیم، یک نقص بزرگ در این مدل وجود دارد. این مدل </w:t>
      </w:r>
      <w:r w:rsidR="00E6564A" w:rsidRPr="0025250D">
        <w:rPr>
          <w:rtl/>
        </w:rPr>
        <w:t>حس‌داد</w:t>
      </w:r>
      <w:r w:rsidRPr="0025250D">
        <w:rPr>
          <w:rFonts w:hint="cs"/>
          <w:rtl/>
        </w:rPr>
        <w:t xml:space="preserve"> و دوگانگی</w:t>
      </w:r>
      <w:r w:rsidRPr="0025250D">
        <w:rPr>
          <w:vertAlign w:val="superscript"/>
          <w:rtl/>
        </w:rPr>
        <w:footnoteReference w:id="609"/>
      </w:r>
      <w:r w:rsidRPr="0025250D">
        <w:rPr>
          <w:rFonts w:hint="cs"/>
          <w:rtl/>
        </w:rPr>
        <w:t xml:space="preserve"> هیجانات ما که همچنین دوگانگی نتایج ما از نظر ارزش‌ها</w:t>
      </w:r>
      <w:r w:rsidRPr="0025250D">
        <w:rPr>
          <w:rFonts w:hint="cs"/>
        </w:rPr>
        <w:t>‌</w:t>
      </w:r>
      <w:r w:rsidRPr="0025250D">
        <w:rPr>
          <w:rFonts w:hint="cs"/>
          <w:rtl/>
        </w:rPr>
        <w:t xml:space="preserve"> می‌باشد را تصدیق</w:t>
      </w:r>
      <w:r w:rsidR="00EE4B64" w:rsidRPr="0025250D">
        <w:rPr>
          <w:rFonts w:hint="cs"/>
          <w:rtl/>
        </w:rPr>
        <w:t xml:space="preserve"> نمی‌</w:t>
      </w:r>
      <w:r w:rsidRPr="0025250D">
        <w:rPr>
          <w:rFonts w:hint="cs"/>
          <w:rtl/>
        </w:rPr>
        <w:t xml:space="preserve">کند. همه </w:t>
      </w:r>
      <w:r w:rsidR="008D6F97" w:rsidRPr="0025250D">
        <w:rPr>
          <w:rFonts w:hint="cs"/>
          <w:rtl/>
        </w:rPr>
        <w:t>سامانه‌</w:t>
      </w:r>
      <w:r w:rsidRPr="0025250D">
        <w:rPr>
          <w:rFonts w:hint="cs"/>
          <w:rtl/>
        </w:rPr>
        <w:t>‌های زنده دارای مغز‌های پیچیده، رفتار خود را از طریق تضاد‌های میان جستجوی لذت و اجتناب از رنج تنظیم</w:t>
      </w:r>
      <w:r w:rsidRPr="0025250D">
        <w:rPr>
          <w:rFonts w:hint="cs"/>
        </w:rPr>
        <w:t>‌</w:t>
      </w:r>
      <w:r w:rsidRPr="0025250D">
        <w:rPr>
          <w:rFonts w:hint="cs"/>
          <w:rtl/>
        </w:rPr>
        <w:t xml:space="preserve"> می‌کنند. در حیوانات سطح پایین‌تر، بخش زیادی از این تضاد به‌صورت ژنتیکی و غریزی تنظیم</w:t>
      </w:r>
      <w:r w:rsidRPr="0025250D">
        <w:rPr>
          <w:rFonts w:hint="cs"/>
        </w:rPr>
        <w:t>‌</w:t>
      </w:r>
      <w:r w:rsidRPr="0025250D">
        <w:rPr>
          <w:rFonts w:hint="cs"/>
          <w:rtl/>
        </w:rPr>
        <w:t xml:space="preserve"> می‌شود. در حیوانات سطح بالا‌تر، ما درگیر مدیریت تضاد دائمی میان </w:t>
      </w:r>
      <w:r w:rsidR="008D57CC" w:rsidRPr="0025250D">
        <w:rPr>
          <w:rtl/>
        </w:rPr>
        <w:t>حس‌داد</w:t>
      </w:r>
      <w:r w:rsidR="008D57CC" w:rsidRPr="0025250D">
        <w:rPr>
          <w:rFonts w:hint="cs"/>
          <w:rtl/>
        </w:rPr>
        <w:t>های</w:t>
      </w:r>
      <w:r w:rsidRPr="0025250D">
        <w:rPr>
          <w:rFonts w:hint="cs"/>
          <w:rtl/>
        </w:rPr>
        <w:t xml:space="preserve"> درونی و گروهی مثبت و منفی هستیم که حلقه‌های انجام ما را هدایت</w:t>
      </w:r>
      <w:r w:rsidRPr="0025250D">
        <w:rPr>
          <w:rFonts w:hint="cs"/>
        </w:rPr>
        <w:t>‌</w:t>
      </w:r>
      <w:r w:rsidRPr="0025250D">
        <w:rPr>
          <w:rFonts w:hint="cs"/>
          <w:rtl/>
        </w:rPr>
        <w:t xml:space="preserve"> می‌کنند.</w:t>
      </w:r>
    </w:p>
    <w:p w14:paraId="740B7267" w14:textId="1696E777" w:rsidR="0020732A" w:rsidRPr="0025250D" w:rsidRDefault="0020732A" w:rsidP="0020732A">
      <w:pPr>
        <w:rPr>
          <w:rtl/>
        </w:rPr>
      </w:pPr>
      <w:r w:rsidRPr="0025250D">
        <w:rPr>
          <w:rFonts w:hint="cs"/>
          <w:rtl/>
        </w:rPr>
        <w:t>هرم آینده‌نگاری مدرن که دراین کتاب آن را هرم آینده‌نگاری</w:t>
      </w:r>
      <w:r w:rsidRPr="0025250D">
        <w:rPr>
          <w:rFonts w:hint="cs"/>
        </w:rPr>
        <w:t>‌</w:t>
      </w:r>
      <w:r w:rsidRPr="0025250D">
        <w:rPr>
          <w:rFonts w:hint="cs"/>
          <w:rtl/>
        </w:rPr>
        <w:t xml:space="preserve"> می‌نامیم، راهبرد را به این عناصر مثبت و منفی تقسیم</w:t>
      </w:r>
      <w:r w:rsidRPr="0025250D">
        <w:rPr>
          <w:rFonts w:hint="cs"/>
        </w:rPr>
        <w:t>‌</w:t>
      </w:r>
      <w:r w:rsidRPr="0025250D">
        <w:rPr>
          <w:rFonts w:hint="cs"/>
          <w:rtl/>
        </w:rPr>
        <w:t xml:space="preserve"> می‌کند. در این هرم، چهار ارزیابی (چهار </w:t>
      </w:r>
      <w:r w:rsidRPr="0025250D">
        <w:t>P</w:t>
      </w:r>
      <w:r w:rsidRPr="0025250D">
        <w:rPr>
          <w:rFonts w:hint="cs"/>
          <w:rtl/>
        </w:rPr>
        <w:t xml:space="preserve">) برای تولید آینده‌نگاری نقشی محوری دارند: (1) آینده‌های محتمل (روندها، همگرایی‌ها، </w:t>
      </w:r>
      <w:r w:rsidR="00FB6A7E" w:rsidRPr="0025250D">
        <w:rPr>
          <w:rFonts w:hint="cs"/>
          <w:rtl/>
        </w:rPr>
        <w:t>پیش‌نگری</w:t>
      </w:r>
      <w:r w:rsidRPr="0025250D">
        <w:rPr>
          <w:rFonts w:hint="cs"/>
          <w:rtl/>
        </w:rPr>
        <w:t xml:space="preserve">، </w:t>
      </w:r>
      <w:r w:rsidR="00D92F6E" w:rsidRPr="0025250D">
        <w:rPr>
          <w:rFonts w:hint="cs"/>
          <w:rtl/>
        </w:rPr>
        <w:t>پیش‌بین</w:t>
      </w:r>
      <w:r w:rsidRPr="0025250D">
        <w:rPr>
          <w:rFonts w:hint="cs"/>
          <w:rtl/>
        </w:rPr>
        <w:t xml:space="preserve">ی)؛ (2) آینده‌های ممکن (تصور، ترکیبات، عدم قطعیت‌ها، ناشناخته ها)؛ آینده‌های مرجح (خوش‌بینی، فرصت‌ها، </w:t>
      </w:r>
      <w:r w:rsidR="00B56611" w:rsidRPr="0025250D">
        <w:rPr>
          <w:rFonts w:hint="cs"/>
          <w:rtl/>
        </w:rPr>
        <w:t>چشم‌انداز</w:t>
      </w:r>
      <w:r w:rsidRPr="0025250D">
        <w:rPr>
          <w:rFonts w:hint="cs"/>
          <w:rtl/>
        </w:rPr>
        <w:t xml:space="preserve">‌ها، اهداف، اولویت ها) و (4) آینده‌های قابل اجتناب (بدبینی، تهدید‌ها، ریسک‌ها، </w:t>
      </w:r>
      <w:r w:rsidR="00D92F6E" w:rsidRPr="0025250D">
        <w:rPr>
          <w:rFonts w:hint="cs"/>
          <w:rtl/>
        </w:rPr>
        <w:t>بنیان‌افکن</w:t>
      </w:r>
      <w:r w:rsidRPr="0025250D">
        <w:rPr>
          <w:rFonts w:hint="cs"/>
          <w:rtl/>
        </w:rPr>
        <w:t>‌ها، موانع). هرم آینده‌نگاری مدرن به‌صورت شکل زیر</w:t>
      </w:r>
      <w:r w:rsidRPr="0025250D">
        <w:rPr>
          <w:rFonts w:hint="cs"/>
        </w:rPr>
        <w:t>‌</w:t>
      </w:r>
      <w:r w:rsidRPr="0025250D">
        <w:rPr>
          <w:rFonts w:hint="cs"/>
          <w:rtl/>
        </w:rPr>
        <w:t xml:space="preserve"> می‌باشد:</w:t>
      </w:r>
    </w:p>
    <w:p w14:paraId="7630C9A8" w14:textId="292CBE4E" w:rsidR="0020732A" w:rsidRPr="0025250D" w:rsidRDefault="000E42CA" w:rsidP="001312B6">
      <w:pPr>
        <w:jc w:val="center"/>
        <w:rPr>
          <w:rtl/>
        </w:rPr>
      </w:pPr>
      <w:r w:rsidRPr="0025250D">
        <w:rPr>
          <w:noProof/>
        </w:rPr>
        <w:lastRenderedPageBreak/>
        <w:drawing>
          <wp:inline distT="0" distB="0" distL="0" distR="0" wp14:anchorId="438D0AFC" wp14:editId="6C2E732B">
            <wp:extent cx="5692588" cy="3029447"/>
            <wp:effectExtent l="0" t="0" r="381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5702584" cy="3034767"/>
                    </a:xfrm>
                    <a:prstGeom prst="rect">
                      <a:avLst/>
                    </a:prstGeom>
                    <a:noFill/>
                  </pic:spPr>
                </pic:pic>
              </a:graphicData>
            </a:graphic>
          </wp:inline>
        </w:drawing>
      </w:r>
    </w:p>
    <w:p w14:paraId="48B53621" w14:textId="77777777" w:rsidR="0020732A" w:rsidRPr="0025250D" w:rsidRDefault="0020732A" w:rsidP="001312B6">
      <w:pPr>
        <w:jc w:val="center"/>
      </w:pPr>
      <w:r w:rsidRPr="0025250D">
        <w:rPr>
          <w:rFonts w:hint="cs"/>
          <w:rtl/>
        </w:rPr>
        <w:t xml:space="preserve">هرم آینده‌نگاری مدرن: تقابل ذهنی / تفکر چهار </w:t>
      </w:r>
      <w:r w:rsidRPr="0025250D">
        <w:t>P</w:t>
      </w:r>
    </w:p>
    <w:p w14:paraId="6AEA72D1" w14:textId="47857D0A" w:rsidR="0020732A" w:rsidRPr="0025250D" w:rsidRDefault="0020732A" w:rsidP="0020732A">
      <w:pPr>
        <w:rPr>
          <w:rtl/>
        </w:rPr>
      </w:pPr>
      <w:r w:rsidRPr="0025250D">
        <w:rPr>
          <w:rFonts w:hint="cs"/>
          <w:rtl/>
        </w:rPr>
        <w:t>در این مدل، دو تقابل (تضاد) ذهنی کلاسیک وجود دارند که همگی در حین تفکر آینده‌نگاری درگیر آن‌ها</w:t>
      </w:r>
      <w:r w:rsidRPr="0025250D">
        <w:rPr>
          <w:rFonts w:hint="cs"/>
        </w:rPr>
        <w:t>‌</w:t>
      </w:r>
      <w:r w:rsidRPr="0025250D">
        <w:rPr>
          <w:rFonts w:hint="cs"/>
          <w:rtl/>
        </w:rPr>
        <w:t xml:space="preserve"> می‌شویم. اولین مورد که تقابل </w:t>
      </w:r>
      <w:r w:rsidR="00D92F6E" w:rsidRPr="0025250D">
        <w:rPr>
          <w:rFonts w:hint="cs"/>
          <w:rtl/>
        </w:rPr>
        <w:t>پیش‌بین</w:t>
      </w:r>
      <w:r w:rsidRPr="0025250D">
        <w:rPr>
          <w:rFonts w:hint="cs"/>
          <w:rtl/>
        </w:rPr>
        <w:t>ی</w:t>
      </w:r>
      <w:r w:rsidRPr="0025250D">
        <w:rPr>
          <w:rFonts w:hint="cs"/>
        </w:rPr>
        <w:t>‌</w:t>
      </w:r>
      <w:r w:rsidRPr="0025250D">
        <w:rPr>
          <w:rFonts w:hint="cs"/>
          <w:rtl/>
        </w:rPr>
        <w:t xml:space="preserve"> می‌نامیم، به احتمالات (فرایند‌های قابل </w:t>
      </w:r>
      <w:r w:rsidR="00D92F6E" w:rsidRPr="0025250D">
        <w:rPr>
          <w:rFonts w:hint="cs"/>
          <w:rtl/>
        </w:rPr>
        <w:t>پیش‌بین</w:t>
      </w:r>
      <w:r w:rsidRPr="0025250D">
        <w:rPr>
          <w:rFonts w:hint="cs"/>
          <w:rtl/>
        </w:rPr>
        <w:t>ی و مورد انتظار)</w:t>
      </w:r>
      <w:r w:rsidRPr="0025250D">
        <w:rPr>
          <w:rFonts w:hint="cs"/>
        </w:rPr>
        <w:t>‌</w:t>
      </w:r>
      <w:r w:rsidRPr="0025250D">
        <w:rPr>
          <w:rFonts w:hint="cs"/>
          <w:rtl/>
        </w:rPr>
        <w:t xml:space="preserve"> می‌نگرد و آن‌ها را در تقابل با موارد ممکن (فرایند‌های غیر قابل </w:t>
      </w:r>
      <w:r w:rsidR="00D92F6E" w:rsidRPr="0025250D">
        <w:rPr>
          <w:rFonts w:hint="cs"/>
          <w:rtl/>
        </w:rPr>
        <w:t>پیش‌بین</w:t>
      </w:r>
      <w:r w:rsidRPr="0025250D">
        <w:rPr>
          <w:rFonts w:hint="cs"/>
          <w:rtl/>
        </w:rPr>
        <w:t>ی و غیر منتظره) هم در محیط و هم در خودمان قرار</w:t>
      </w:r>
      <w:r w:rsidRPr="0025250D">
        <w:rPr>
          <w:rFonts w:hint="cs"/>
        </w:rPr>
        <w:t>‌</w:t>
      </w:r>
      <w:r w:rsidRPr="0025250D">
        <w:rPr>
          <w:rFonts w:hint="cs"/>
          <w:rtl/>
        </w:rPr>
        <w:t xml:space="preserve"> می‌دهد. دومین مورد </w:t>
      </w:r>
      <w:r w:rsidR="00E6564A" w:rsidRPr="0025250D">
        <w:rPr>
          <w:rtl/>
        </w:rPr>
        <w:t>حس‌داد</w:t>
      </w:r>
      <w:r w:rsidRPr="0025250D">
        <w:rPr>
          <w:rFonts w:hint="cs"/>
          <w:rtl/>
        </w:rPr>
        <w:t xml:space="preserve"> مثبت و منفی در مورد راهبرد‌ها و آینده‌ها را در تقابل قرار</w:t>
      </w:r>
      <w:r w:rsidRPr="0025250D">
        <w:rPr>
          <w:rFonts w:hint="cs"/>
        </w:rPr>
        <w:t>‌</w:t>
      </w:r>
      <w:r w:rsidRPr="0025250D">
        <w:rPr>
          <w:rFonts w:hint="cs"/>
          <w:rtl/>
        </w:rPr>
        <w:t xml:space="preserve"> می‌دهد.</w:t>
      </w:r>
    </w:p>
    <w:p w14:paraId="3F43AC2B" w14:textId="68C2A5D5" w:rsidR="0020732A" w:rsidRPr="0025250D" w:rsidRDefault="0020732A" w:rsidP="0020732A">
      <w:pPr>
        <w:rPr>
          <w:rtl/>
        </w:rPr>
      </w:pPr>
      <w:r w:rsidRPr="0025250D">
        <w:rPr>
          <w:rFonts w:hint="cs"/>
          <w:rtl/>
        </w:rPr>
        <w:t>اکنون</w:t>
      </w:r>
      <w:r w:rsidRPr="0025250D">
        <w:rPr>
          <w:rFonts w:hint="cs"/>
        </w:rPr>
        <w:t>‌</w:t>
      </w:r>
      <w:r w:rsidRPr="0025250D">
        <w:rPr>
          <w:rFonts w:hint="cs"/>
          <w:rtl/>
        </w:rPr>
        <w:t xml:space="preserve"> می‌توانیم چهار </w:t>
      </w:r>
      <w:r w:rsidRPr="0025250D">
        <w:t>P</w:t>
      </w:r>
      <w:r w:rsidRPr="0025250D">
        <w:rPr>
          <w:rFonts w:hint="cs"/>
          <w:rtl/>
        </w:rPr>
        <w:t xml:space="preserve"> را به‌عنوان دو فعالیت تقابل ذهنی کلاسیک بیان کنیم:</w:t>
      </w:r>
    </w:p>
    <w:p w14:paraId="2230CB5C" w14:textId="0B3E4FA1" w:rsidR="0020732A" w:rsidRPr="0025250D" w:rsidRDefault="0020732A" w:rsidP="00492C47">
      <w:pPr>
        <w:numPr>
          <w:ilvl w:val="0"/>
          <w:numId w:val="15"/>
        </w:numPr>
      </w:pPr>
      <w:r w:rsidRPr="0025250D">
        <w:rPr>
          <w:rFonts w:hint="cs"/>
          <w:rtl/>
        </w:rPr>
        <w:t xml:space="preserve">تقابل </w:t>
      </w:r>
      <w:r w:rsidR="00D92F6E" w:rsidRPr="0025250D">
        <w:rPr>
          <w:rFonts w:hint="cs"/>
          <w:rtl/>
        </w:rPr>
        <w:t>پیش‌بین</w:t>
      </w:r>
    </w:p>
    <w:p w14:paraId="44F644D0" w14:textId="7ECE51E2" w:rsidR="0020732A" w:rsidRPr="0025250D" w:rsidRDefault="0020732A" w:rsidP="00492C47">
      <w:pPr>
        <w:numPr>
          <w:ilvl w:val="1"/>
          <w:numId w:val="16"/>
        </w:numPr>
      </w:pPr>
      <w:r w:rsidRPr="0025250D">
        <w:rPr>
          <w:rFonts w:hint="cs"/>
          <w:rtl/>
        </w:rPr>
        <w:t xml:space="preserve">آینده‌های محتمل (روند‌ها، همگرایی‌ها، </w:t>
      </w:r>
      <w:r w:rsidR="00FB6A7E" w:rsidRPr="0025250D">
        <w:rPr>
          <w:rFonts w:hint="cs"/>
          <w:rtl/>
        </w:rPr>
        <w:t>پیش‌نگری</w:t>
      </w:r>
      <w:r w:rsidRPr="0025250D">
        <w:rPr>
          <w:rFonts w:hint="cs"/>
          <w:rtl/>
        </w:rPr>
        <w:t xml:space="preserve">، </w:t>
      </w:r>
      <w:r w:rsidR="00D92F6E" w:rsidRPr="0025250D">
        <w:rPr>
          <w:rFonts w:hint="cs"/>
          <w:rtl/>
        </w:rPr>
        <w:t>پیش‌بین</w:t>
      </w:r>
      <w:r w:rsidRPr="0025250D">
        <w:rPr>
          <w:rFonts w:hint="cs"/>
          <w:rtl/>
        </w:rPr>
        <w:t>ی)،</w:t>
      </w:r>
    </w:p>
    <w:p w14:paraId="36BAC8D6" w14:textId="30100A72" w:rsidR="0020732A" w:rsidRPr="0025250D" w:rsidRDefault="0020732A" w:rsidP="00492C47">
      <w:pPr>
        <w:numPr>
          <w:ilvl w:val="1"/>
          <w:numId w:val="16"/>
        </w:numPr>
      </w:pPr>
      <w:r w:rsidRPr="0025250D">
        <w:rPr>
          <w:rFonts w:hint="cs"/>
          <w:rtl/>
        </w:rPr>
        <w:t>آینده‌های ممکن (تصور، ترکیبات، عدم قطعیت‌ها، ناشناخته ها)</w:t>
      </w:r>
    </w:p>
    <w:p w14:paraId="36B79B73" w14:textId="55D390DE" w:rsidR="0020732A" w:rsidRPr="0025250D" w:rsidRDefault="0020732A" w:rsidP="00492C47">
      <w:pPr>
        <w:numPr>
          <w:ilvl w:val="0"/>
          <w:numId w:val="15"/>
        </w:numPr>
      </w:pPr>
      <w:r w:rsidRPr="0025250D">
        <w:rPr>
          <w:rFonts w:hint="cs"/>
          <w:rtl/>
        </w:rPr>
        <w:t xml:space="preserve">تقابل </w:t>
      </w:r>
      <w:r w:rsidR="00E6564A" w:rsidRPr="0025250D">
        <w:rPr>
          <w:rtl/>
        </w:rPr>
        <w:t>حس‌داد</w:t>
      </w:r>
    </w:p>
    <w:p w14:paraId="3CD35F39" w14:textId="734C6C57" w:rsidR="0020732A" w:rsidRPr="0025250D" w:rsidRDefault="0020732A" w:rsidP="00492C47">
      <w:pPr>
        <w:numPr>
          <w:ilvl w:val="1"/>
          <w:numId w:val="17"/>
        </w:numPr>
      </w:pPr>
      <w:r w:rsidRPr="0025250D">
        <w:rPr>
          <w:rFonts w:hint="cs"/>
          <w:rtl/>
        </w:rPr>
        <w:t xml:space="preserve">آینده‌های مرجح (خوش‌بینی، فرصت‌ها، </w:t>
      </w:r>
      <w:r w:rsidR="00B56611" w:rsidRPr="0025250D">
        <w:rPr>
          <w:rFonts w:hint="cs"/>
          <w:rtl/>
        </w:rPr>
        <w:t>چشم‌انداز</w:t>
      </w:r>
      <w:r w:rsidRPr="0025250D">
        <w:rPr>
          <w:rFonts w:hint="cs"/>
          <w:rtl/>
        </w:rPr>
        <w:t>‌ها، اهداف، اولویت ها)</w:t>
      </w:r>
    </w:p>
    <w:p w14:paraId="13F8DC62" w14:textId="4E2C4079" w:rsidR="0020732A" w:rsidRPr="0025250D" w:rsidRDefault="0020732A" w:rsidP="00492C47">
      <w:pPr>
        <w:numPr>
          <w:ilvl w:val="1"/>
          <w:numId w:val="17"/>
        </w:numPr>
      </w:pPr>
      <w:r w:rsidRPr="0025250D">
        <w:rPr>
          <w:rFonts w:hint="cs"/>
          <w:rtl/>
        </w:rPr>
        <w:t xml:space="preserve">آینده‌های </w:t>
      </w:r>
      <w:r w:rsidR="006C4DCD" w:rsidRPr="0025250D">
        <w:rPr>
          <w:rFonts w:hint="cs"/>
          <w:rtl/>
        </w:rPr>
        <w:t xml:space="preserve">قابل </w:t>
      </w:r>
      <w:r w:rsidRPr="0025250D">
        <w:rPr>
          <w:rFonts w:hint="cs"/>
          <w:rtl/>
        </w:rPr>
        <w:t>اجتناب (بدبینی،</w:t>
      </w:r>
      <w:r w:rsidR="006335B8" w:rsidRPr="0025250D">
        <w:rPr>
          <w:rtl/>
        </w:rPr>
        <w:t xml:space="preserve"> تهد</w:t>
      </w:r>
      <w:r w:rsidR="006335B8" w:rsidRPr="0025250D">
        <w:rPr>
          <w:rFonts w:hint="cs"/>
          <w:rtl/>
        </w:rPr>
        <w:t>ی</w:t>
      </w:r>
      <w:r w:rsidR="006335B8" w:rsidRPr="0025250D">
        <w:rPr>
          <w:rFonts w:hint="eastAsia"/>
          <w:rtl/>
        </w:rPr>
        <w:t>د</w:t>
      </w:r>
      <w:r w:rsidRPr="0025250D">
        <w:rPr>
          <w:rFonts w:hint="cs"/>
          <w:rtl/>
        </w:rPr>
        <w:t xml:space="preserve">‌ها، ریسک‌ها، </w:t>
      </w:r>
      <w:r w:rsidR="00D92F6E" w:rsidRPr="0025250D">
        <w:rPr>
          <w:rFonts w:hint="cs"/>
          <w:rtl/>
        </w:rPr>
        <w:t>بنیان‌افکن</w:t>
      </w:r>
      <w:r w:rsidRPr="0025250D">
        <w:rPr>
          <w:rFonts w:hint="cs"/>
          <w:rtl/>
        </w:rPr>
        <w:t>‌ها، موانع).</w:t>
      </w:r>
    </w:p>
    <w:p w14:paraId="4D2B6ACD" w14:textId="5CACF1EB" w:rsidR="0020732A" w:rsidRPr="0025250D" w:rsidRDefault="00D30084" w:rsidP="0020732A">
      <w:pPr>
        <w:rPr>
          <w:rtl/>
        </w:rPr>
      </w:pPr>
      <w:r w:rsidRPr="0025250D">
        <w:rPr>
          <w:rFonts w:hint="cs"/>
          <w:rtl/>
        </w:rPr>
        <w:t>آینده‌نگار</w:t>
      </w:r>
      <w:r w:rsidR="0020732A" w:rsidRPr="0025250D">
        <w:rPr>
          <w:rFonts w:hint="cs"/>
          <w:rtl/>
        </w:rPr>
        <w:t xml:space="preserve"> بازنشسته آرت شوستاک</w:t>
      </w:r>
      <w:r w:rsidR="0020732A" w:rsidRPr="0025250D">
        <w:rPr>
          <w:vertAlign w:val="superscript"/>
          <w:rtl/>
        </w:rPr>
        <w:footnoteReference w:id="610"/>
      </w:r>
      <w:r w:rsidR="0020732A" w:rsidRPr="0025250D">
        <w:rPr>
          <w:rFonts w:hint="cs"/>
          <w:rtl/>
        </w:rPr>
        <w:t xml:space="preserve"> مدل چهار </w:t>
      </w:r>
      <w:r w:rsidR="0020732A" w:rsidRPr="0025250D">
        <w:t>P</w:t>
      </w:r>
      <w:r w:rsidR="0020732A" w:rsidRPr="0025250D">
        <w:rPr>
          <w:rFonts w:hint="cs"/>
          <w:rtl/>
        </w:rPr>
        <w:t xml:space="preserve"> را در سال 2001 ارائه کرد. او بیان کرد که هر بحثی در مورد موارد مرجح، بدون در نظر گرفتن موارد اجتناب پذیر، به شکل خطرناکی ناکامل است. سهم ما ارائه مدل شوستاک به‌عنوان یک </w:t>
      </w:r>
      <w:r w:rsidR="00B13F65" w:rsidRPr="0025250D">
        <w:rPr>
          <w:rFonts w:hint="cs"/>
          <w:rtl/>
        </w:rPr>
        <w:t>چارچوب</w:t>
      </w:r>
      <w:r w:rsidR="0020732A" w:rsidRPr="0025250D">
        <w:rPr>
          <w:rFonts w:hint="cs"/>
          <w:rtl/>
        </w:rPr>
        <w:t xml:space="preserve"> مدیریت تضاد و تقابل ذهنی، با استفاده از تفکر تکاملی-توسعه‌ای می‌باشد. هرم آینده‌نگاری مدرن به ما</w:t>
      </w:r>
      <w:r w:rsidR="0020732A" w:rsidRPr="0025250D">
        <w:rPr>
          <w:rFonts w:hint="cs"/>
        </w:rPr>
        <w:t>‌</w:t>
      </w:r>
      <w:r w:rsidR="0020732A" w:rsidRPr="0025250D">
        <w:rPr>
          <w:rFonts w:hint="cs"/>
          <w:rtl/>
        </w:rPr>
        <w:t xml:space="preserve"> می‌گوید که تقابل </w:t>
      </w:r>
      <w:r w:rsidR="00E6564A" w:rsidRPr="0025250D">
        <w:rPr>
          <w:rtl/>
        </w:rPr>
        <w:t>حس‌داد</w:t>
      </w:r>
      <w:r w:rsidR="0020732A" w:rsidRPr="0025250D">
        <w:rPr>
          <w:rFonts w:hint="cs"/>
          <w:rtl/>
        </w:rPr>
        <w:t xml:space="preserve"> در مورد آینده‌های مثبت و منفی معمولا ارزشمند‌ترین فعالیت ماست (</w:t>
      </w:r>
      <w:r w:rsidR="006335B8" w:rsidRPr="0025250D">
        <w:rPr>
          <w:rtl/>
        </w:rPr>
        <w:t>«</w:t>
      </w:r>
      <w:r w:rsidR="0020732A" w:rsidRPr="0025250D">
        <w:rPr>
          <w:rFonts w:hint="cs"/>
          <w:rtl/>
        </w:rPr>
        <w:t>در بالای هرم</w:t>
      </w:r>
      <w:r w:rsidR="006335B8" w:rsidRPr="0025250D">
        <w:rPr>
          <w:rtl/>
        </w:rPr>
        <w:t>»</w:t>
      </w:r>
      <w:r w:rsidR="0020732A" w:rsidRPr="0025250D">
        <w:rPr>
          <w:rFonts w:hint="cs"/>
          <w:rtl/>
        </w:rPr>
        <w:t>). همچنین به ما</w:t>
      </w:r>
      <w:r w:rsidR="0020732A" w:rsidRPr="0025250D">
        <w:rPr>
          <w:rFonts w:hint="cs"/>
        </w:rPr>
        <w:t>‌</w:t>
      </w:r>
      <w:r w:rsidR="0020732A" w:rsidRPr="0025250D">
        <w:rPr>
          <w:rFonts w:hint="cs"/>
          <w:rtl/>
        </w:rPr>
        <w:t xml:space="preserve"> می‌گوید که چنین تقابلی بر انجام تقابل </w:t>
      </w:r>
      <w:r w:rsidR="00D92F6E" w:rsidRPr="0025250D">
        <w:rPr>
          <w:rFonts w:hint="cs"/>
          <w:rtl/>
        </w:rPr>
        <w:t>پیش‌بین</w:t>
      </w:r>
      <w:r w:rsidR="0020732A" w:rsidRPr="0025250D">
        <w:rPr>
          <w:rFonts w:hint="cs"/>
          <w:rtl/>
        </w:rPr>
        <w:t xml:space="preserve"> (بررسی آینده‌نگاری </w:t>
      </w:r>
      <w:r w:rsidR="00127C91" w:rsidRPr="0025250D">
        <w:rPr>
          <w:rFonts w:hint="cs"/>
          <w:rtl/>
        </w:rPr>
        <w:t xml:space="preserve">موارد </w:t>
      </w:r>
      <w:r w:rsidR="0020732A" w:rsidRPr="0025250D">
        <w:rPr>
          <w:rFonts w:hint="cs"/>
          <w:rtl/>
        </w:rPr>
        <w:t xml:space="preserve">محتمل و ممکن) قبل از این‌که به شکل عمیقی درگیر </w:t>
      </w:r>
      <w:r w:rsidR="00E6564A" w:rsidRPr="0025250D">
        <w:rPr>
          <w:rtl/>
        </w:rPr>
        <w:t>حس‌داد</w:t>
      </w:r>
      <w:r w:rsidR="0020732A" w:rsidRPr="0025250D">
        <w:rPr>
          <w:rFonts w:hint="cs"/>
          <w:rtl/>
        </w:rPr>
        <w:t xml:space="preserve"> و راهبرد شویم، وابسته است. به‌بیان‌دیگر، مفید‌ترین </w:t>
      </w:r>
      <w:r w:rsidR="00B56611" w:rsidRPr="0025250D">
        <w:rPr>
          <w:rFonts w:hint="cs"/>
          <w:rtl/>
        </w:rPr>
        <w:t>چشم‌انداز</w:t>
      </w:r>
      <w:r w:rsidR="0020732A" w:rsidRPr="0025250D">
        <w:rPr>
          <w:rFonts w:hint="cs"/>
          <w:rtl/>
        </w:rPr>
        <w:t>‌های مثبت و منفی ما تنها پس از این‌که هم مواردی که بیش‌ترین احتمال وقوع را بدون مداخله ما دارند و هم انواعی مختلفی از عدم قطعیت که</w:t>
      </w:r>
      <w:r w:rsidR="0020732A" w:rsidRPr="0025250D">
        <w:rPr>
          <w:rFonts w:hint="cs"/>
        </w:rPr>
        <w:t>‌</w:t>
      </w:r>
      <w:r w:rsidR="0020732A" w:rsidRPr="0025250D">
        <w:rPr>
          <w:rFonts w:hint="cs"/>
          <w:rtl/>
        </w:rPr>
        <w:t xml:space="preserve"> می‌توانند بر راهبرد ما تأثیر بگذارند را ارزیابی کرده باشیم، پدیدار</w:t>
      </w:r>
      <w:r w:rsidR="0020732A" w:rsidRPr="0025250D">
        <w:rPr>
          <w:rFonts w:hint="cs"/>
        </w:rPr>
        <w:t>‌</w:t>
      </w:r>
      <w:r w:rsidR="0020732A" w:rsidRPr="0025250D">
        <w:rPr>
          <w:rFonts w:hint="cs"/>
          <w:rtl/>
        </w:rPr>
        <w:t xml:space="preserve"> می‌شوند.</w:t>
      </w:r>
    </w:p>
    <w:p w14:paraId="15AD1417" w14:textId="77777777" w:rsidR="0020732A" w:rsidRPr="0025250D" w:rsidRDefault="0020732A" w:rsidP="001312B6">
      <w:pPr>
        <w:jc w:val="center"/>
        <w:rPr>
          <w:rtl/>
        </w:rPr>
      </w:pPr>
      <w:r w:rsidRPr="0025250D">
        <w:rPr>
          <w:noProof/>
          <w:rtl/>
          <w:lang w:bidi="ar-SA"/>
        </w:rPr>
        <w:lastRenderedPageBreak/>
        <w:drawing>
          <wp:inline distT="0" distB="0" distL="0" distR="0" wp14:anchorId="0A304882" wp14:editId="4D05183B">
            <wp:extent cx="2128520" cy="2324100"/>
            <wp:effectExtent l="0" t="0" r="5080" b="0"/>
            <wp:docPr id="40" name="Picture 40" descr="D:\کار\مستقل\3 ( ترجمه ی دانشگاه تهران  )\Introduction to Foresight\part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کار\مستقل\3 ( ترجمه ی دانشگاه تهران  )\Introduction to Foresight\part2\9.png"/>
                    <pic:cNvPicPr>
                      <a:picLocks noChangeAspect="1" noChangeArrowheads="1"/>
                    </pic:cNvPicPr>
                  </pic:nvPicPr>
                  <pic:blipFill rotWithShape="1">
                    <a:blip r:embed="rId66" cstate="screen">
                      <a:extLst>
                        <a:ext uri="{BEBA8EAE-BF5A-486C-A8C5-ECC9F3942E4B}">
                          <a14:imgProps xmlns:a14="http://schemas.microsoft.com/office/drawing/2010/main">
                            <a14:imgLayer r:embed="rId67">
                              <a14:imgEffect>
                                <a14:saturation sat="0"/>
                              </a14:imgEffect>
                            </a14:imgLayer>
                          </a14:imgProps>
                        </a:ext>
                        <a:ext uri="{28A0092B-C50C-407E-A947-70E740481C1C}">
                          <a14:useLocalDpi xmlns:a14="http://schemas.microsoft.com/office/drawing/2010/main"/>
                        </a:ext>
                      </a:extLst>
                    </a:blip>
                    <a:srcRect/>
                    <a:stretch/>
                  </pic:blipFill>
                  <pic:spPr bwMode="auto">
                    <a:xfrm>
                      <a:off x="0" y="0"/>
                      <a:ext cx="2134470" cy="2330597"/>
                    </a:xfrm>
                    <a:prstGeom prst="rect">
                      <a:avLst/>
                    </a:prstGeom>
                    <a:noFill/>
                    <a:ln>
                      <a:noFill/>
                    </a:ln>
                    <a:extLst>
                      <a:ext uri="{53640926-AAD7-44D8-BBD7-CCE9431645EC}">
                        <a14:shadowObscured xmlns:a14="http://schemas.microsoft.com/office/drawing/2010/main"/>
                      </a:ext>
                    </a:extLst>
                  </pic:spPr>
                </pic:pic>
              </a:graphicData>
            </a:graphic>
          </wp:inline>
        </w:drawing>
      </w:r>
    </w:p>
    <w:p w14:paraId="2BE87320" w14:textId="77777777" w:rsidR="0020732A" w:rsidRPr="0025250D" w:rsidRDefault="0020732A" w:rsidP="001312B6">
      <w:pPr>
        <w:jc w:val="center"/>
        <w:rPr>
          <w:rtl/>
        </w:rPr>
      </w:pPr>
      <w:r w:rsidRPr="0025250D">
        <w:rPr>
          <w:rFonts w:hint="cs"/>
          <w:rtl/>
        </w:rPr>
        <w:t>آرت شوستاک، 2020</w:t>
      </w:r>
    </w:p>
    <w:p w14:paraId="0F955205" w14:textId="0708E821" w:rsidR="0020732A" w:rsidRPr="0025250D" w:rsidRDefault="0020732A" w:rsidP="006335B8">
      <w:pPr>
        <w:rPr>
          <w:rtl/>
        </w:rPr>
      </w:pPr>
      <w:r w:rsidRPr="0025250D">
        <w:rPr>
          <w:rFonts w:hint="cs"/>
          <w:rtl/>
        </w:rPr>
        <w:t>بدون مطالعات رسمی برای پشتیبانی از این ادعا، با استفاده از مدلهای تکاملی-توسعه‌ای برای هدایت مان، پیشنهاد</w:t>
      </w:r>
      <w:r w:rsidRPr="0025250D">
        <w:rPr>
          <w:rFonts w:hint="cs"/>
        </w:rPr>
        <w:t>‌</w:t>
      </w:r>
      <w:r w:rsidRPr="0025250D">
        <w:rPr>
          <w:rFonts w:hint="cs"/>
          <w:rtl/>
        </w:rPr>
        <w:t xml:space="preserve"> می‌کنیم که تفکر آینده</w:t>
      </w:r>
      <w:r w:rsidR="00D92F6E" w:rsidRPr="0025250D">
        <w:rPr>
          <w:rFonts w:hint="cs"/>
          <w:rtl/>
        </w:rPr>
        <w:t>‌</w:t>
      </w:r>
      <w:r w:rsidRPr="0025250D">
        <w:rPr>
          <w:rFonts w:hint="cs"/>
          <w:rtl/>
        </w:rPr>
        <w:t xml:space="preserve"> </w:t>
      </w:r>
      <w:r w:rsidR="00D92F6E" w:rsidRPr="0025250D">
        <w:rPr>
          <w:rFonts w:hint="cs"/>
          <w:rtl/>
        </w:rPr>
        <w:t>مبتنی بر</w:t>
      </w:r>
      <w:r w:rsidRPr="0025250D">
        <w:rPr>
          <w:rFonts w:hint="cs"/>
          <w:rtl/>
        </w:rPr>
        <w:t xml:space="preserve"> تقابل </w:t>
      </w:r>
      <w:r w:rsidR="00D92F6E" w:rsidRPr="0025250D">
        <w:rPr>
          <w:rFonts w:hint="cs"/>
          <w:rtl/>
        </w:rPr>
        <w:t>پیش‌بین</w:t>
      </w:r>
      <w:r w:rsidRPr="0025250D">
        <w:rPr>
          <w:rFonts w:hint="cs"/>
          <w:rtl/>
        </w:rPr>
        <w:t xml:space="preserve">، آغاز با ارزیابی آینده‌های محتمل مرتبط و سپس آینده‌های ممکن مرتبط، معمولا بهترین </w:t>
      </w:r>
      <w:r w:rsidR="00D92F6E" w:rsidRPr="0025250D">
        <w:rPr>
          <w:rFonts w:hint="cs"/>
          <w:rtl/>
        </w:rPr>
        <w:t>آماده‌سازی</w:t>
      </w:r>
      <w:r w:rsidRPr="0025250D">
        <w:rPr>
          <w:rFonts w:hint="cs"/>
          <w:rtl/>
        </w:rPr>
        <w:t xml:space="preserve"> برای تفکر راهبردی است. به همین ترتیب، ادعا</w:t>
      </w:r>
      <w:r w:rsidRPr="0025250D">
        <w:rPr>
          <w:rFonts w:hint="cs"/>
        </w:rPr>
        <w:t>‌</w:t>
      </w:r>
      <w:r w:rsidRPr="0025250D">
        <w:rPr>
          <w:rFonts w:hint="cs"/>
          <w:rtl/>
        </w:rPr>
        <w:t xml:space="preserve"> می‌کنیم که مؤثر‌ترین برنامه‌های راهبردی از آنچه روانشناس </w:t>
      </w:r>
      <w:r w:rsidRPr="0025250D">
        <w:rPr>
          <w:rtl/>
        </w:rPr>
        <w:t>گابر</w:t>
      </w:r>
      <w:r w:rsidRPr="0025250D">
        <w:rPr>
          <w:rFonts w:hint="cs"/>
          <w:rtl/>
        </w:rPr>
        <w:t>ی</w:t>
      </w:r>
      <w:r w:rsidRPr="0025250D">
        <w:rPr>
          <w:rFonts w:hint="eastAsia"/>
          <w:rtl/>
        </w:rPr>
        <w:t>ل</w:t>
      </w:r>
      <w:r w:rsidRPr="0025250D">
        <w:rPr>
          <w:rtl/>
        </w:rPr>
        <w:t xml:space="preserve"> اوت</w:t>
      </w:r>
      <w:r w:rsidRPr="0025250D">
        <w:rPr>
          <w:rFonts w:hint="cs"/>
          <w:rtl/>
        </w:rPr>
        <w:t>ی</w:t>
      </w:r>
      <w:r w:rsidRPr="0025250D">
        <w:rPr>
          <w:rFonts w:hint="eastAsia"/>
          <w:rtl/>
        </w:rPr>
        <w:t>نگن</w:t>
      </w:r>
      <w:r w:rsidRPr="0025250D">
        <w:rPr>
          <w:vertAlign w:val="superscript"/>
          <w:rtl/>
        </w:rPr>
        <w:footnoteReference w:id="611"/>
      </w:r>
      <w:r w:rsidRPr="0025250D">
        <w:rPr>
          <w:rFonts w:hint="cs"/>
          <w:rtl/>
        </w:rPr>
        <w:t xml:space="preserve"> </w:t>
      </w:r>
      <w:r w:rsidR="006335B8" w:rsidRPr="0025250D">
        <w:rPr>
          <w:rtl/>
        </w:rPr>
        <w:t>«</w:t>
      </w:r>
      <w:r w:rsidRPr="0025250D">
        <w:rPr>
          <w:rFonts w:hint="cs"/>
          <w:rtl/>
        </w:rPr>
        <w:t>تقابل ذهنی</w:t>
      </w:r>
      <w:r w:rsidR="006335B8" w:rsidRPr="0025250D">
        <w:rPr>
          <w:rFonts w:hint="cs"/>
          <w:rtl/>
        </w:rPr>
        <w:t>»</w:t>
      </w:r>
      <w:r w:rsidRPr="0025250D">
        <w:rPr>
          <w:rFonts w:hint="cs"/>
          <w:rtl/>
        </w:rPr>
        <w:t xml:space="preserve"> می‌نامد پدیدار</w:t>
      </w:r>
      <w:r w:rsidRPr="0025250D">
        <w:rPr>
          <w:rFonts w:hint="cs"/>
        </w:rPr>
        <w:t>‌</w:t>
      </w:r>
      <w:r w:rsidRPr="0025250D">
        <w:rPr>
          <w:rFonts w:hint="cs"/>
          <w:rtl/>
        </w:rPr>
        <w:t xml:space="preserve"> می‌شوند که با تفکر خوش بینانه آغاز</w:t>
      </w:r>
      <w:r w:rsidRPr="0025250D">
        <w:rPr>
          <w:rFonts w:hint="cs"/>
        </w:rPr>
        <w:t>‌</w:t>
      </w:r>
      <w:r w:rsidRPr="0025250D">
        <w:rPr>
          <w:rFonts w:hint="cs"/>
          <w:rtl/>
        </w:rPr>
        <w:t xml:space="preserve"> می‌شود و با تفکر بدبینانه دنبال</w:t>
      </w:r>
      <w:r w:rsidRPr="0025250D">
        <w:rPr>
          <w:rFonts w:hint="cs"/>
        </w:rPr>
        <w:t>‌</w:t>
      </w:r>
      <w:r w:rsidRPr="0025250D">
        <w:rPr>
          <w:rFonts w:hint="cs"/>
          <w:rtl/>
        </w:rPr>
        <w:t xml:space="preserve"> می‌شود. خوشبختانه، </w:t>
      </w:r>
      <w:r w:rsidR="007118DE" w:rsidRPr="0025250D">
        <w:rPr>
          <w:rFonts w:hint="cs"/>
          <w:rtl/>
        </w:rPr>
        <w:t>همان‌طور</w:t>
      </w:r>
      <w:r w:rsidRPr="0025250D">
        <w:rPr>
          <w:rFonts w:hint="cs"/>
          <w:rtl/>
        </w:rPr>
        <w:t xml:space="preserve"> که خواهیم گفت، مدارک قابل توجهی برای این ادعای دوم وجود دارند.</w:t>
      </w:r>
    </w:p>
    <w:p w14:paraId="6E78308D" w14:textId="3680707B" w:rsidR="0020732A" w:rsidRPr="0025250D" w:rsidRDefault="0020732A" w:rsidP="0020732A">
      <w:pPr>
        <w:rPr>
          <w:rtl/>
        </w:rPr>
      </w:pPr>
      <w:r w:rsidRPr="0025250D">
        <w:rPr>
          <w:rFonts w:hint="cs"/>
          <w:rtl/>
        </w:rPr>
        <w:t xml:space="preserve">در این کتاب، از اصطلاح </w:t>
      </w:r>
      <w:r w:rsidR="006335B8" w:rsidRPr="0025250D">
        <w:rPr>
          <w:rtl/>
        </w:rPr>
        <w:t>«</w:t>
      </w:r>
      <w:r w:rsidRPr="0025250D">
        <w:rPr>
          <w:rFonts w:hint="cs"/>
          <w:rtl/>
        </w:rPr>
        <w:t xml:space="preserve">تقابل </w:t>
      </w:r>
      <w:r w:rsidR="00E6564A" w:rsidRPr="0025250D">
        <w:rPr>
          <w:rtl/>
        </w:rPr>
        <w:t>حس‌داد</w:t>
      </w:r>
      <w:r w:rsidR="006335B8" w:rsidRPr="0025250D">
        <w:rPr>
          <w:rFonts w:hint="cs"/>
          <w:rtl/>
        </w:rPr>
        <w:t xml:space="preserve">» </w:t>
      </w:r>
      <w:r w:rsidRPr="0025250D">
        <w:rPr>
          <w:rFonts w:hint="cs"/>
          <w:rtl/>
        </w:rPr>
        <w:t>برای اشاره به تفکر ابتدا خوشبینانه و سپس بدبینانه</w:t>
      </w:r>
      <w:r w:rsidRPr="0025250D">
        <w:rPr>
          <w:vertAlign w:val="superscript"/>
          <w:rtl/>
        </w:rPr>
        <w:footnoteReference w:id="612"/>
      </w:r>
      <w:r w:rsidRPr="0025250D">
        <w:rPr>
          <w:rFonts w:hint="cs"/>
          <w:rtl/>
        </w:rPr>
        <w:t xml:space="preserve"> </w:t>
      </w:r>
      <w:r w:rsidRPr="0025250D">
        <w:rPr>
          <w:rtl/>
        </w:rPr>
        <w:t>اوت</w:t>
      </w:r>
      <w:r w:rsidRPr="0025250D">
        <w:rPr>
          <w:rFonts w:hint="cs"/>
          <w:rtl/>
        </w:rPr>
        <w:t>ی</w:t>
      </w:r>
      <w:r w:rsidRPr="0025250D">
        <w:rPr>
          <w:rFonts w:hint="eastAsia"/>
          <w:rtl/>
        </w:rPr>
        <w:t>نگن</w:t>
      </w:r>
      <w:r w:rsidRPr="0025250D">
        <w:rPr>
          <w:rFonts w:hint="cs"/>
          <w:rtl/>
        </w:rPr>
        <w:t xml:space="preserve"> استفاده</w:t>
      </w:r>
      <w:r w:rsidRPr="0025250D">
        <w:rPr>
          <w:rFonts w:hint="cs"/>
        </w:rPr>
        <w:t>‌</w:t>
      </w:r>
      <w:r w:rsidRPr="0025250D">
        <w:rPr>
          <w:rFonts w:hint="cs"/>
          <w:rtl/>
        </w:rPr>
        <w:t xml:space="preserve"> می‌کنیم. ما اصطلاح تقابل ذهنی را برای در بر گرفتن هر دو نوع از تقابل </w:t>
      </w:r>
      <w:r w:rsidRPr="0025250D">
        <w:rPr>
          <w:rFonts w:cs="Times New Roman" w:hint="cs"/>
          <w:rtl/>
        </w:rPr>
        <w:t>–</w:t>
      </w:r>
      <w:r w:rsidRPr="0025250D">
        <w:rPr>
          <w:rFonts w:hint="cs"/>
          <w:rtl/>
        </w:rPr>
        <w:t xml:space="preserve"> تقابل </w:t>
      </w:r>
      <w:r w:rsidR="00D92F6E" w:rsidRPr="0025250D">
        <w:rPr>
          <w:rFonts w:hint="cs"/>
          <w:rtl/>
        </w:rPr>
        <w:t>پیش‌بین</w:t>
      </w:r>
      <w:r w:rsidRPr="0025250D">
        <w:rPr>
          <w:rFonts w:hint="cs"/>
          <w:rtl/>
        </w:rPr>
        <w:t xml:space="preserve"> و به دنبال آن تقابل</w:t>
      </w:r>
      <w:r w:rsidR="008D6F97" w:rsidRPr="0025250D">
        <w:rPr>
          <w:rtl/>
        </w:rPr>
        <w:t xml:space="preserve"> </w:t>
      </w:r>
      <w:r w:rsidR="00E6564A" w:rsidRPr="0025250D">
        <w:rPr>
          <w:rtl/>
        </w:rPr>
        <w:t>حس‌داد</w:t>
      </w:r>
      <w:r w:rsidRPr="0025250D">
        <w:rPr>
          <w:rFonts w:hint="cs"/>
          <w:rtl/>
        </w:rPr>
        <w:t xml:space="preserve"> </w:t>
      </w:r>
      <w:r w:rsidRPr="0025250D">
        <w:rPr>
          <w:rFonts w:cs="Times New Roman" w:hint="cs"/>
          <w:rtl/>
        </w:rPr>
        <w:t>–</w:t>
      </w:r>
      <w:r w:rsidRPr="0025250D">
        <w:rPr>
          <w:rFonts w:hint="cs"/>
          <w:rtl/>
        </w:rPr>
        <w:t xml:space="preserve"> به‌بیان‌دیگر، با استفاده از چهار </w:t>
      </w:r>
      <w:r w:rsidRPr="0025250D">
        <w:t>P</w:t>
      </w:r>
      <w:r w:rsidRPr="0025250D">
        <w:rPr>
          <w:rFonts w:hint="cs"/>
          <w:rtl/>
        </w:rPr>
        <w:t>، مجددا تعریف</w:t>
      </w:r>
      <w:r w:rsidRPr="0025250D">
        <w:rPr>
          <w:rFonts w:hint="cs"/>
        </w:rPr>
        <w:t>‌</w:t>
      </w:r>
      <w:r w:rsidRPr="0025250D">
        <w:rPr>
          <w:rFonts w:hint="cs"/>
          <w:rtl/>
        </w:rPr>
        <w:t xml:space="preserve"> می‌کنیم. در هر دو فرایند تقابل، ما یک تضاد </w:t>
      </w:r>
      <w:r w:rsidR="00D92F6E" w:rsidRPr="0025250D">
        <w:rPr>
          <w:rFonts w:hint="cs"/>
          <w:rtl/>
        </w:rPr>
        <w:t>پیش‌بین</w:t>
      </w:r>
      <w:r w:rsidRPr="0025250D">
        <w:rPr>
          <w:rFonts w:hint="cs"/>
          <w:rtl/>
        </w:rPr>
        <w:t xml:space="preserve"> را بین دو روش تفکر مخالف حفظ</w:t>
      </w:r>
      <w:r w:rsidRPr="0025250D">
        <w:rPr>
          <w:rFonts w:hint="cs"/>
        </w:rPr>
        <w:t>‌</w:t>
      </w:r>
      <w:r w:rsidRPr="0025250D">
        <w:rPr>
          <w:rFonts w:hint="cs"/>
          <w:rtl/>
        </w:rPr>
        <w:t xml:space="preserve"> می‌کنیم. چه تفکر و احساس چهار </w:t>
      </w:r>
      <w:r w:rsidRPr="0025250D">
        <w:t>P</w:t>
      </w:r>
      <w:r w:rsidRPr="0025250D">
        <w:rPr>
          <w:vertAlign w:val="superscript"/>
        </w:rPr>
        <w:footnoteReference w:id="613"/>
      </w:r>
      <w:r w:rsidRPr="0025250D">
        <w:rPr>
          <w:rFonts w:hint="cs"/>
          <w:rtl/>
        </w:rPr>
        <w:t xml:space="preserve"> را درون ذهن</w:t>
      </w:r>
      <w:r w:rsidR="00D92F6E" w:rsidRPr="0025250D">
        <w:rPr>
          <w:rFonts w:hint="cs"/>
          <w:rtl/>
        </w:rPr>
        <w:t>‌</w:t>
      </w:r>
      <w:r w:rsidRPr="0025250D">
        <w:rPr>
          <w:rFonts w:hint="cs"/>
          <w:rtl/>
        </w:rPr>
        <w:t>هایمان و چه در تیم‌هایمان انجام</w:t>
      </w:r>
      <w:r w:rsidRPr="0025250D">
        <w:rPr>
          <w:rtl/>
        </w:rPr>
        <w:t xml:space="preserve"> </w:t>
      </w:r>
      <w:r w:rsidRPr="0025250D">
        <w:rPr>
          <w:rFonts w:hint="cs"/>
          <w:rtl/>
        </w:rPr>
        <w:t xml:space="preserve">دهیم، به عقیده ما </w:t>
      </w:r>
      <w:r w:rsidR="00AE5BE0" w:rsidRPr="0025250D">
        <w:rPr>
          <w:rFonts w:hint="cs"/>
          <w:rtl/>
        </w:rPr>
        <w:t>منطبق‌ترین</w:t>
      </w:r>
      <w:r w:rsidRPr="0025250D">
        <w:rPr>
          <w:rFonts w:hint="cs"/>
          <w:rtl/>
        </w:rPr>
        <w:t xml:space="preserve"> شکل مدیریت تضاد آینده‌نگاری می‌باشد.</w:t>
      </w:r>
    </w:p>
    <w:p w14:paraId="13EB8DE8" w14:textId="1F77F38D" w:rsidR="0020732A" w:rsidRPr="0025250D" w:rsidRDefault="0020732A" w:rsidP="0020732A">
      <w:pPr>
        <w:rPr>
          <w:rtl/>
        </w:rPr>
      </w:pPr>
      <w:r w:rsidRPr="0025250D">
        <w:rPr>
          <w:rFonts w:hint="cs"/>
          <w:rtl/>
        </w:rPr>
        <w:t xml:space="preserve">تقابل </w:t>
      </w:r>
      <w:r w:rsidR="00D92F6E" w:rsidRPr="0025250D">
        <w:rPr>
          <w:rFonts w:hint="cs"/>
          <w:rtl/>
        </w:rPr>
        <w:t>پیش‌بین</w:t>
      </w:r>
      <w:r w:rsidRPr="0025250D">
        <w:rPr>
          <w:rFonts w:hint="cs"/>
          <w:rtl/>
        </w:rPr>
        <w:t xml:space="preserve"> عمدتا تحت هدایت منطق (</w:t>
      </w:r>
      <w:r w:rsidR="008D6F97" w:rsidRPr="0025250D">
        <w:rPr>
          <w:rFonts w:hint="cs"/>
          <w:rtl/>
        </w:rPr>
        <w:t>سامانه‌</w:t>
      </w:r>
      <w:r w:rsidRPr="0025250D">
        <w:rPr>
          <w:rFonts w:hint="cs"/>
          <w:rtl/>
        </w:rPr>
        <w:t xml:space="preserve"> 2) است، اما هیجان و شهود (</w:t>
      </w:r>
      <w:r w:rsidR="008D6F97" w:rsidRPr="0025250D">
        <w:rPr>
          <w:rFonts w:hint="cs"/>
          <w:rtl/>
        </w:rPr>
        <w:t>سامانه‌</w:t>
      </w:r>
      <w:r w:rsidRPr="0025250D">
        <w:rPr>
          <w:rFonts w:hint="cs"/>
          <w:rtl/>
        </w:rPr>
        <w:t xml:space="preserve"> 1) نیز</w:t>
      </w:r>
      <w:r w:rsidRPr="0025250D">
        <w:rPr>
          <w:rFonts w:hint="cs"/>
        </w:rPr>
        <w:t>‌</w:t>
      </w:r>
      <w:r w:rsidRPr="0025250D">
        <w:rPr>
          <w:rFonts w:hint="cs"/>
          <w:rtl/>
        </w:rPr>
        <w:t xml:space="preserve"> می‌توا</w:t>
      </w:r>
      <w:r w:rsidR="00D30084" w:rsidRPr="0025250D">
        <w:rPr>
          <w:rFonts w:hint="cs"/>
          <w:rtl/>
        </w:rPr>
        <w:t>ن</w:t>
      </w:r>
      <w:r w:rsidRPr="0025250D">
        <w:rPr>
          <w:rFonts w:hint="cs"/>
          <w:rtl/>
        </w:rPr>
        <w:t>ند مانع ما در استفاده از آن به‌صورت مؤثر شو</w:t>
      </w:r>
      <w:r w:rsidR="00D30084" w:rsidRPr="0025250D">
        <w:rPr>
          <w:rFonts w:hint="cs"/>
          <w:rtl/>
        </w:rPr>
        <w:t>ن</w:t>
      </w:r>
      <w:r w:rsidRPr="0025250D">
        <w:rPr>
          <w:rFonts w:hint="cs"/>
          <w:rtl/>
        </w:rPr>
        <w:t xml:space="preserve">د. بیش‌تر افراد، از جمله بسیاری از متخصصین آینده‌نگاری، در حال حاضر توجه کافی به تقابل </w:t>
      </w:r>
      <w:r w:rsidR="00D92F6E" w:rsidRPr="0025250D">
        <w:rPr>
          <w:rFonts w:hint="cs"/>
          <w:rtl/>
        </w:rPr>
        <w:t>پیش‌بین</w:t>
      </w:r>
      <w:r w:rsidRPr="0025250D">
        <w:rPr>
          <w:rFonts w:hint="cs"/>
          <w:rtl/>
        </w:rPr>
        <w:t xml:space="preserve">، یا ترتیب آن ندارند. با </w:t>
      </w:r>
      <w:r w:rsidR="0060055A" w:rsidRPr="0025250D">
        <w:rPr>
          <w:rFonts w:hint="cs"/>
          <w:rtl/>
        </w:rPr>
        <w:t>صرف</w:t>
      </w:r>
      <w:r w:rsidRPr="0025250D">
        <w:rPr>
          <w:rFonts w:hint="cs"/>
          <w:rtl/>
        </w:rPr>
        <w:t xml:space="preserve"> هیجان در این‌که چقدر خوب تقابل </w:t>
      </w:r>
      <w:r w:rsidR="00D92F6E" w:rsidRPr="0025250D">
        <w:rPr>
          <w:rFonts w:hint="cs"/>
          <w:rtl/>
        </w:rPr>
        <w:t>پیش‌بین</w:t>
      </w:r>
      <w:r w:rsidRPr="0025250D">
        <w:rPr>
          <w:rFonts w:hint="cs"/>
          <w:rtl/>
        </w:rPr>
        <w:t xml:space="preserve"> را انجام</w:t>
      </w:r>
      <w:r w:rsidRPr="0025250D">
        <w:rPr>
          <w:rFonts w:hint="cs"/>
        </w:rPr>
        <w:t>‌</w:t>
      </w:r>
      <w:r w:rsidRPr="0025250D">
        <w:rPr>
          <w:rFonts w:hint="cs"/>
          <w:rtl/>
        </w:rPr>
        <w:t xml:space="preserve"> می‌دهیم،</w:t>
      </w:r>
      <w:r w:rsidRPr="0025250D">
        <w:rPr>
          <w:rFonts w:hint="cs"/>
        </w:rPr>
        <w:t>‌</w:t>
      </w:r>
      <w:r w:rsidRPr="0025250D">
        <w:rPr>
          <w:rFonts w:hint="cs"/>
          <w:rtl/>
        </w:rPr>
        <w:t xml:space="preserve"> می‌توانیم به خوبی آن را بهبود دهیم. تقابل </w:t>
      </w:r>
      <w:r w:rsidR="00E6564A" w:rsidRPr="0025250D">
        <w:rPr>
          <w:rtl/>
        </w:rPr>
        <w:t>حس‌داد</w:t>
      </w:r>
      <w:r w:rsidRPr="0025250D">
        <w:rPr>
          <w:rFonts w:hint="cs"/>
          <w:rtl/>
        </w:rPr>
        <w:t>، در مقابل، به‌عنوان یک فرایند تحت هدایت هیجانات (</w:t>
      </w:r>
      <w:r w:rsidR="008D6F97" w:rsidRPr="0025250D">
        <w:rPr>
          <w:rFonts w:hint="cs"/>
          <w:rtl/>
        </w:rPr>
        <w:t>سامانه‌</w:t>
      </w:r>
      <w:r w:rsidRPr="0025250D">
        <w:rPr>
          <w:rFonts w:hint="cs"/>
          <w:rtl/>
        </w:rPr>
        <w:t xml:space="preserve"> 1) آغاز</w:t>
      </w:r>
      <w:r w:rsidRPr="0025250D">
        <w:rPr>
          <w:rFonts w:hint="cs"/>
        </w:rPr>
        <w:t>‌</w:t>
      </w:r>
      <w:r w:rsidRPr="0025250D">
        <w:rPr>
          <w:rFonts w:hint="cs"/>
          <w:rtl/>
        </w:rPr>
        <w:t xml:space="preserve"> می‌شود. نیاز داریم که این فرایند به‌صورتی سنجیده‌تر انجام شود (</w:t>
      </w:r>
      <w:r w:rsidR="008D6F97" w:rsidRPr="0025250D">
        <w:rPr>
          <w:rFonts w:hint="cs"/>
          <w:rtl/>
        </w:rPr>
        <w:t>سامانه‌</w:t>
      </w:r>
      <w:r w:rsidRPr="0025250D">
        <w:rPr>
          <w:rFonts w:hint="cs"/>
          <w:rtl/>
        </w:rPr>
        <w:t xml:space="preserve"> 2). برای ارتقاء و بهبود هر دو، ما</w:t>
      </w:r>
      <w:r w:rsidRPr="0025250D">
        <w:rPr>
          <w:rFonts w:hint="cs"/>
        </w:rPr>
        <w:t>‌</w:t>
      </w:r>
      <w:r w:rsidRPr="0025250D">
        <w:rPr>
          <w:rFonts w:hint="cs"/>
          <w:rtl/>
        </w:rPr>
        <w:t xml:space="preserve"> می‌توانیم آن‌ها را با یادگیری پیش ببریم و در مورد خروجی‌های آن‌ها بازخورد بگیریم. به‌بیان‌دیگر، آن‌ها را در یک حلقه انجام درگیر نماییم.</w:t>
      </w:r>
    </w:p>
    <w:p w14:paraId="4EAFBA59" w14:textId="4A2E75B8" w:rsidR="0020732A" w:rsidRPr="0025250D" w:rsidRDefault="0020732A" w:rsidP="0020732A">
      <w:pPr>
        <w:rPr>
          <w:rtl/>
        </w:rPr>
      </w:pPr>
      <w:r w:rsidRPr="0025250D">
        <w:rPr>
          <w:rFonts w:hint="cs"/>
          <w:rtl/>
        </w:rPr>
        <w:t xml:space="preserve">در تقابل </w:t>
      </w:r>
      <w:r w:rsidR="00E6564A" w:rsidRPr="0025250D">
        <w:rPr>
          <w:rtl/>
        </w:rPr>
        <w:t>حس‌داد</w:t>
      </w:r>
      <w:r w:rsidRPr="0025250D">
        <w:rPr>
          <w:rFonts w:hint="cs"/>
          <w:rtl/>
        </w:rPr>
        <w:t xml:space="preserve">، ما ابتدا آینده‌های مرجح را </w:t>
      </w:r>
      <w:r w:rsidR="007118DE" w:rsidRPr="0025250D">
        <w:rPr>
          <w:rFonts w:hint="cs"/>
          <w:rtl/>
        </w:rPr>
        <w:t>اولویت‌بندی</w:t>
      </w:r>
      <w:r w:rsidRPr="0025250D">
        <w:rPr>
          <w:rFonts w:hint="cs"/>
        </w:rPr>
        <w:t>‌</w:t>
      </w:r>
      <w:r w:rsidRPr="0025250D">
        <w:rPr>
          <w:rFonts w:hint="cs"/>
          <w:rtl/>
        </w:rPr>
        <w:t xml:space="preserve"> می‌کنیم (آنچه را که</w:t>
      </w:r>
      <w:r w:rsidRPr="0025250D">
        <w:rPr>
          <w:rFonts w:hint="cs"/>
        </w:rPr>
        <w:t>‌</w:t>
      </w:r>
      <w:r w:rsidRPr="0025250D">
        <w:rPr>
          <w:rFonts w:hint="cs"/>
          <w:rtl/>
        </w:rPr>
        <w:t xml:space="preserve"> می‌خواهیم) و سپس آینده‌های اجتناب پذیر (دام‌ها، ریسک‌ها</w:t>
      </w:r>
      <w:r w:rsidR="008D6F97" w:rsidRPr="0025250D">
        <w:rPr>
          <w:rtl/>
        </w:rPr>
        <w:t xml:space="preserve"> </w:t>
      </w:r>
      <w:r w:rsidRPr="0025250D">
        <w:rPr>
          <w:rFonts w:hint="cs"/>
          <w:rtl/>
        </w:rPr>
        <w:t xml:space="preserve">و عقبگردهای </w:t>
      </w:r>
      <w:r w:rsidR="00923DDB" w:rsidRPr="0025250D">
        <w:rPr>
          <w:rFonts w:hint="cs"/>
          <w:rtl/>
        </w:rPr>
        <w:t>باورپذیر</w:t>
      </w:r>
      <w:r w:rsidRPr="0025250D">
        <w:rPr>
          <w:rFonts w:hint="cs"/>
          <w:rtl/>
        </w:rPr>
        <w:t>) را که</w:t>
      </w:r>
      <w:r w:rsidRPr="0025250D">
        <w:rPr>
          <w:rFonts w:hint="cs"/>
        </w:rPr>
        <w:t>‌</w:t>
      </w:r>
      <w:r w:rsidRPr="0025250D">
        <w:rPr>
          <w:rFonts w:hint="cs"/>
          <w:rtl/>
        </w:rPr>
        <w:t xml:space="preserve"> می‌توانند از دست‌یابی ما به اهدافمان جلوگیری کنند کاوش</w:t>
      </w:r>
      <w:r w:rsidRPr="0025250D">
        <w:rPr>
          <w:rFonts w:hint="cs"/>
        </w:rPr>
        <w:t>‌</w:t>
      </w:r>
      <w:r w:rsidRPr="0025250D">
        <w:rPr>
          <w:rFonts w:hint="cs"/>
          <w:rtl/>
        </w:rPr>
        <w:t xml:space="preserve"> می‌کنیم. </w:t>
      </w:r>
      <w:r w:rsidR="007118DE" w:rsidRPr="0025250D">
        <w:rPr>
          <w:rFonts w:hint="cs"/>
          <w:rtl/>
        </w:rPr>
        <w:t>همان‌طور</w:t>
      </w:r>
      <w:r w:rsidRPr="0025250D">
        <w:rPr>
          <w:rFonts w:hint="cs"/>
          <w:rtl/>
        </w:rPr>
        <w:t xml:space="preserve"> که تحقیق روانشناس </w:t>
      </w:r>
      <w:r w:rsidRPr="0025250D">
        <w:rPr>
          <w:rtl/>
        </w:rPr>
        <w:t>گابر</w:t>
      </w:r>
      <w:r w:rsidRPr="0025250D">
        <w:rPr>
          <w:rFonts w:hint="cs"/>
          <w:rtl/>
        </w:rPr>
        <w:t>ی</w:t>
      </w:r>
      <w:r w:rsidRPr="0025250D">
        <w:rPr>
          <w:rFonts w:hint="eastAsia"/>
          <w:rtl/>
        </w:rPr>
        <w:t>ل</w:t>
      </w:r>
      <w:r w:rsidRPr="0025250D">
        <w:rPr>
          <w:rtl/>
        </w:rPr>
        <w:t xml:space="preserve"> اوت</w:t>
      </w:r>
      <w:r w:rsidRPr="0025250D">
        <w:rPr>
          <w:rFonts w:hint="cs"/>
          <w:rtl/>
        </w:rPr>
        <w:t>ی</w:t>
      </w:r>
      <w:r w:rsidRPr="0025250D">
        <w:rPr>
          <w:rFonts w:hint="eastAsia"/>
          <w:rtl/>
        </w:rPr>
        <w:t>نگن</w:t>
      </w:r>
      <w:r w:rsidRPr="0025250D">
        <w:rPr>
          <w:rFonts w:hint="cs"/>
          <w:rtl/>
        </w:rPr>
        <w:t xml:space="preserve"> (که تحت بخش </w:t>
      </w:r>
      <w:r w:rsidR="006335B8" w:rsidRPr="0025250D">
        <w:rPr>
          <w:rtl/>
        </w:rPr>
        <w:t xml:space="preserve">تفکر </w:t>
      </w:r>
      <w:r w:rsidR="006335B8" w:rsidRPr="0025250D">
        <w:t>GRASP</w:t>
      </w:r>
      <w:r w:rsidRPr="0025250D">
        <w:rPr>
          <w:rFonts w:hint="cs"/>
          <w:rtl/>
        </w:rPr>
        <w:t xml:space="preserve"> توضیح داده شد) نشان داد افراد و گروه‌هایی که تقابل </w:t>
      </w:r>
      <w:r w:rsidR="00E6564A" w:rsidRPr="0025250D">
        <w:rPr>
          <w:rFonts w:hint="cs"/>
          <w:rtl/>
        </w:rPr>
        <w:t>حس‌داد</w:t>
      </w:r>
      <w:r w:rsidRPr="0025250D">
        <w:rPr>
          <w:rFonts w:hint="cs"/>
          <w:rtl/>
        </w:rPr>
        <w:t xml:space="preserve"> را انجام</w:t>
      </w:r>
      <w:r w:rsidRPr="0025250D">
        <w:rPr>
          <w:rFonts w:hint="cs"/>
        </w:rPr>
        <w:t>‌</w:t>
      </w:r>
      <w:r w:rsidRPr="0025250D">
        <w:rPr>
          <w:rFonts w:hint="cs"/>
          <w:rtl/>
        </w:rPr>
        <w:t xml:space="preserve"> می‌دهند و با خوش‌بینی آغاز</w:t>
      </w:r>
      <w:r w:rsidRPr="0025250D">
        <w:rPr>
          <w:rFonts w:hint="cs"/>
        </w:rPr>
        <w:t>‌</w:t>
      </w:r>
      <w:r w:rsidRPr="0025250D">
        <w:rPr>
          <w:rFonts w:hint="cs"/>
          <w:rtl/>
        </w:rPr>
        <w:t xml:space="preserve"> می‌کنند، بسته به فعالیت در دست انجام، 50 تا 100 درصد دقت </w:t>
      </w:r>
      <w:r w:rsidR="00D92F6E" w:rsidRPr="0025250D">
        <w:rPr>
          <w:rFonts w:hint="cs"/>
          <w:rtl/>
        </w:rPr>
        <w:t>پیش‌بین</w:t>
      </w:r>
      <w:r w:rsidRPr="0025250D">
        <w:rPr>
          <w:rFonts w:hint="cs"/>
          <w:rtl/>
        </w:rPr>
        <w:t xml:space="preserve">ی بهتری در مورد </w:t>
      </w:r>
      <w:r w:rsidR="008F0DD8" w:rsidRPr="0025250D">
        <w:rPr>
          <w:rFonts w:hint="cs"/>
          <w:rtl/>
        </w:rPr>
        <w:t>برنامه‌ها</w:t>
      </w:r>
      <w:r w:rsidRPr="0025250D">
        <w:rPr>
          <w:rFonts w:hint="cs"/>
          <w:rtl/>
        </w:rPr>
        <w:t>یشان در هر افق زمانی دارند. آن‌ها همچنین 30 تا 150 درصد کار بیش‌تری انجام</w:t>
      </w:r>
      <w:r w:rsidRPr="0025250D">
        <w:rPr>
          <w:rFonts w:hint="cs"/>
        </w:rPr>
        <w:t>‌</w:t>
      </w:r>
      <w:r w:rsidRPr="0025250D">
        <w:rPr>
          <w:rFonts w:hint="cs"/>
          <w:rtl/>
        </w:rPr>
        <w:t xml:space="preserve"> می‌دهند! آنها</w:t>
      </w:r>
      <w:r w:rsidRPr="0025250D">
        <w:rPr>
          <w:rtl/>
        </w:rPr>
        <w:t xml:space="preserve"> </w:t>
      </w:r>
      <w:r w:rsidRPr="0025250D">
        <w:rPr>
          <w:rFonts w:hint="cs"/>
          <w:rtl/>
        </w:rPr>
        <w:t>همچنین</w:t>
      </w:r>
      <w:r w:rsidRPr="0025250D">
        <w:rPr>
          <w:rtl/>
        </w:rPr>
        <w:t xml:space="preserve"> </w:t>
      </w:r>
      <w:r w:rsidRPr="0025250D">
        <w:rPr>
          <w:rFonts w:hint="cs"/>
          <w:rtl/>
        </w:rPr>
        <w:t>انگیزه</w:t>
      </w:r>
      <w:r w:rsidRPr="0025250D">
        <w:rPr>
          <w:rtl/>
        </w:rPr>
        <w:t xml:space="preserve"> </w:t>
      </w:r>
      <w:r w:rsidRPr="0025250D">
        <w:rPr>
          <w:rFonts w:hint="cs"/>
          <w:rtl/>
        </w:rPr>
        <w:t>بیشتری</w:t>
      </w:r>
      <w:r w:rsidRPr="0025250D">
        <w:rPr>
          <w:rtl/>
        </w:rPr>
        <w:t xml:space="preserve"> </w:t>
      </w:r>
      <w:r w:rsidRPr="0025250D">
        <w:rPr>
          <w:rFonts w:hint="cs"/>
          <w:rtl/>
        </w:rPr>
        <w:t>برای</w:t>
      </w:r>
      <w:r w:rsidRPr="0025250D">
        <w:rPr>
          <w:rtl/>
        </w:rPr>
        <w:t xml:space="preserve"> </w:t>
      </w:r>
      <w:r w:rsidRPr="0025250D">
        <w:rPr>
          <w:rFonts w:hint="cs"/>
          <w:rtl/>
        </w:rPr>
        <w:t>کار</w:t>
      </w:r>
      <w:r w:rsidRPr="0025250D">
        <w:rPr>
          <w:rtl/>
        </w:rPr>
        <w:t xml:space="preserve"> </w:t>
      </w:r>
      <w:r w:rsidRPr="0025250D">
        <w:rPr>
          <w:rFonts w:hint="cs"/>
          <w:rtl/>
        </w:rPr>
        <w:t>بر روی</w:t>
      </w:r>
      <w:r w:rsidRPr="0025250D">
        <w:rPr>
          <w:rtl/>
        </w:rPr>
        <w:t xml:space="preserve"> </w:t>
      </w:r>
      <w:r w:rsidRPr="0025250D">
        <w:rPr>
          <w:rFonts w:hint="cs"/>
          <w:rtl/>
        </w:rPr>
        <w:t>مشکلات</w:t>
      </w:r>
      <w:r w:rsidRPr="0025250D">
        <w:rPr>
          <w:rtl/>
        </w:rPr>
        <w:t xml:space="preserve"> </w:t>
      </w:r>
      <w:r w:rsidR="00923DDB" w:rsidRPr="0025250D">
        <w:rPr>
          <w:rFonts w:hint="cs"/>
          <w:rtl/>
        </w:rPr>
        <w:t>پیش‌انگاری</w:t>
      </w:r>
      <w:r w:rsidRPr="0025250D">
        <w:rPr>
          <w:rtl/>
        </w:rPr>
        <w:t xml:space="preserve"> </w:t>
      </w:r>
      <w:r w:rsidRPr="0025250D">
        <w:rPr>
          <w:rFonts w:hint="cs"/>
          <w:rtl/>
        </w:rPr>
        <w:t>شده</w:t>
      </w:r>
      <w:r w:rsidRPr="0025250D">
        <w:rPr>
          <w:rtl/>
        </w:rPr>
        <w:t xml:space="preserve"> </w:t>
      </w:r>
      <w:r w:rsidRPr="0025250D">
        <w:rPr>
          <w:rFonts w:hint="cs"/>
          <w:rtl/>
        </w:rPr>
        <w:t xml:space="preserve">دارند. به‌بیان‌دیگر، افزایش دقت </w:t>
      </w:r>
      <w:r w:rsidR="00D92F6E" w:rsidRPr="0025250D">
        <w:rPr>
          <w:rFonts w:hint="cs"/>
          <w:rtl/>
        </w:rPr>
        <w:t>پیش‌بین</w:t>
      </w:r>
      <w:r w:rsidRPr="0025250D">
        <w:rPr>
          <w:rFonts w:hint="cs"/>
          <w:rtl/>
        </w:rPr>
        <w:t xml:space="preserve">ی، خلاقیت و انگیزه سه مزیت اصلی برای </w:t>
      </w:r>
      <w:r w:rsidR="00AE5BE0" w:rsidRPr="0025250D">
        <w:rPr>
          <w:rFonts w:hint="cs"/>
          <w:rtl/>
        </w:rPr>
        <w:t>انطباق</w:t>
      </w:r>
      <w:r w:rsidRPr="0025250D">
        <w:rPr>
          <w:rFonts w:hint="cs"/>
          <w:rtl/>
        </w:rPr>
        <w:t xml:space="preserve"> در اثر استفاده از این فرایند تقابل </w:t>
      </w:r>
      <w:r w:rsidR="00E6564A" w:rsidRPr="0025250D">
        <w:rPr>
          <w:rFonts w:hint="cs"/>
          <w:rtl/>
        </w:rPr>
        <w:t>حس‌داد</w:t>
      </w:r>
      <w:r w:rsidRPr="0025250D">
        <w:rPr>
          <w:rFonts w:hint="cs"/>
          <w:rtl/>
        </w:rPr>
        <w:t xml:space="preserve"> هستند. به نظر ما مزایای مشابهی</w:t>
      </w:r>
      <w:r w:rsidRPr="0025250D">
        <w:rPr>
          <w:rFonts w:hint="cs"/>
        </w:rPr>
        <w:t>‌</w:t>
      </w:r>
      <w:r w:rsidRPr="0025250D">
        <w:rPr>
          <w:rFonts w:hint="cs"/>
          <w:rtl/>
        </w:rPr>
        <w:t xml:space="preserve"> می‌توانند برای استفاده از تقابل </w:t>
      </w:r>
      <w:r w:rsidR="00D92F6E" w:rsidRPr="0025250D">
        <w:rPr>
          <w:rFonts w:hint="cs"/>
          <w:rtl/>
        </w:rPr>
        <w:t>پیش‌بین</w:t>
      </w:r>
      <w:r w:rsidRPr="0025250D">
        <w:rPr>
          <w:rFonts w:hint="cs"/>
          <w:rtl/>
        </w:rPr>
        <w:t xml:space="preserve"> کمی سازی شوند. هنوز چنین مطالعاتی انجام ن</w:t>
      </w:r>
      <w:r w:rsidR="00185F3E" w:rsidRPr="0025250D">
        <w:rPr>
          <w:rFonts w:hint="cs"/>
          <w:rtl/>
        </w:rPr>
        <w:t>شده‌اند</w:t>
      </w:r>
      <w:r w:rsidRPr="0025250D">
        <w:rPr>
          <w:rFonts w:hint="cs"/>
          <w:rtl/>
        </w:rPr>
        <w:t>.</w:t>
      </w:r>
    </w:p>
    <w:p w14:paraId="468CC398" w14:textId="6A7C8C2F" w:rsidR="0020732A" w:rsidRPr="0025250D" w:rsidRDefault="0020732A" w:rsidP="0020732A">
      <w:pPr>
        <w:rPr>
          <w:rtl/>
        </w:rPr>
      </w:pPr>
      <w:r w:rsidRPr="0025250D">
        <w:rPr>
          <w:rFonts w:hint="cs"/>
          <w:rtl/>
        </w:rPr>
        <w:lastRenderedPageBreak/>
        <w:t>وقتی از این دو شکل تقابل ذهنی استفاده</w:t>
      </w:r>
      <w:r w:rsidRPr="0025250D">
        <w:rPr>
          <w:rFonts w:hint="cs"/>
        </w:rPr>
        <w:t>‌</w:t>
      </w:r>
      <w:r w:rsidRPr="0025250D">
        <w:rPr>
          <w:rFonts w:hint="cs"/>
          <w:rtl/>
        </w:rPr>
        <w:t xml:space="preserve"> می‌کنیم، درگیر شکل قدرتمندی از آینده‌نگاری راهبردی</w:t>
      </w:r>
      <w:r w:rsidRPr="0025250D">
        <w:rPr>
          <w:rFonts w:hint="cs"/>
        </w:rPr>
        <w:t>‌</w:t>
      </w:r>
      <w:r w:rsidRPr="0025250D">
        <w:rPr>
          <w:rFonts w:hint="cs"/>
          <w:rtl/>
        </w:rPr>
        <w:t xml:space="preserve"> می‌شویم. </w:t>
      </w:r>
      <w:r w:rsidR="00701E03" w:rsidRPr="0025250D">
        <w:rPr>
          <w:rFonts w:hint="cs"/>
          <w:rtl/>
        </w:rPr>
        <w:t>راهبرد</w:t>
      </w:r>
      <w:r w:rsidRPr="0025250D">
        <w:rPr>
          <w:rFonts w:hint="cs"/>
        </w:rPr>
        <w:t>‌</w:t>
      </w:r>
      <w:r w:rsidRPr="0025250D">
        <w:rPr>
          <w:rFonts w:hint="cs"/>
          <w:rtl/>
        </w:rPr>
        <w:t xml:space="preserve"> می‌تواند هم به شکل فرصت طلبانه (برای رسیدن به آینده‌های مرجح) و هم به شکل تدافعی (برای اجتناب از دام‌ها و تهدید ها) تعریف شود. </w:t>
      </w:r>
      <w:r w:rsidR="007118DE" w:rsidRPr="0025250D">
        <w:rPr>
          <w:rFonts w:hint="cs"/>
          <w:rtl/>
        </w:rPr>
        <w:t>همان‌طور</w:t>
      </w:r>
      <w:r w:rsidRPr="0025250D">
        <w:rPr>
          <w:rFonts w:hint="cs"/>
          <w:rtl/>
        </w:rPr>
        <w:t xml:space="preserve"> که </w:t>
      </w:r>
      <w:r w:rsidRPr="0025250D">
        <w:rPr>
          <w:rtl/>
        </w:rPr>
        <w:t>اوت</w:t>
      </w:r>
      <w:r w:rsidRPr="0025250D">
        <w:rPr>
          <w:rFonts w:hint="cs"/>
          <w:rtl/>
        </w:rPr>
        <w:t>ی</w:t>
      </w:r>
      <w:r w:rsidRPr="0025250D">
        <w:rPr>
          <w:rFonts w:hint="eastAsia"/>
          <w:rtl/>
        </w:rPr>
        <w:t>نگن</w:t>
      </w:r>
      <w:r w:rsidRPr="0025250D">
        <w:rPr>
          <w:rFonts w:hint="cs"/>
          <w:rtl/>
        </w:rPr>
        <w:t xml:space="preserve"> و همسرش، روانشناس </w:t>
      </w:r>
      <w:r w:rsidRPr="0025250D">
        <w:rPr>
          <w:rtl/>
        </w:rPr>
        <w:t>پ</w:t>
      </w:r>
      <w:r w:rsidRPr="0025250D">
        <w:rPr>
          <w:rFonts w:hint="cs"/>
          <w:rtl/>
        </w:rPr>
        <w:t>ی</w:t>
      </w:r>
      <w:r w:rsidRPr="0025250D">
        <w:rPr>
          <w:rFonts w:hint="eastAsia"/>
          <w:rtl/>
        </w:rPr>
        <w:t>تر</w:t>
      </w:r>
      <w:r w:rsidRPr="0025250D">
        <w:rPr>
          <w:rtl/>
        </w:rPr>
        <w:t xml:space="preserve"> گولو</w:t>
      </w:r>
      <w:r w:rsidRPr="0025250D">
        <w:rPr>
          <w:rFonts w:hint="cs"/>
          <w:rtl/>
        </w:rPr>
        <w:t>ی</w:t>
      </w:r>
      <w:r w:rsidRPr="0025250D">
        <w:rPr>
          <w:rFonts w:hint="eastAsia"/>
          <w:rtl/>
        </w:rPr>
        <w:t>تزر</w:t>
      </w:r>
      <w:r w:rsidRPr="0025250D">
        <w:rPr>
          <w:vertAlign w:val="superscript"/>
          <w:rtl/>
        </w:rPr>
        <w:footnoteReference w:id="614"/>
      </w:r>
      <w:r w:rsidRPr="0025250D">
        <w:rPr>
          <w:rFonts w:hint="cs"/>
          <w:rtl/>
        </w:rPr>
        <w:t xml:space="preserve"> بیان</w:t>
      </w:r>
      <w:r w:rsidRPr="0025250D">
        <w:rPr>
          <w:rFonts w:hint="cs"/>
        </w:rPr>
        <w:t>‌</w:t>
      </w:r>
      <w:r w:rsidRPr="0025250D">
        <w:rPr>
          <w:rFonts w:hint="cs"/>
          <w:rtl/>
        </w:rPr>
        <w:t xml:space="preserve"> می‌کنند، برنامه‌های </w:t>
      </w:r>
      <w:r w:rsidR="00701E03" w:rsidRPr="0025250D">
        <w:rPr>
          <w:rFonts w:hint="cs"/>
          <w:rtl/>
        </w:rPr>
        <w:t>راهبردی</w:t>
      </w:r>
      <w:r w:rsidRPr="0025250D">
        <w:rPr>
          <w:rFonts w:hint="cs"/>
          <w:rtl/>
        </w:rPr>
        <w:t xml:space="preserve"> مؤثر شامل بیانیه‌ها در مورد کسب و مدیریت منابع (چیز‌های مثبتی که</w:t>
      </w:r>
      <w:r w:rsidRPr="0025250D">
        <w:rPr>
          <w:rFonts w:hint="cs"/>
        </w:rPr>
        <w:t>‌</w:t>
      </w:r>
      <w:r w:rsidRPr="0025250D">
        <w:rPr>
          <w:rFonts w:hint="cs"/>
          <w:rtl/>
        </w:rPr>
        <w:t xml:space="preserve"> می‌توانند به ما کمک کنند) و استفاده از عبارات اگر-آنگاه در </w:t>
      </w:r>
      <w:r w:rsidR="008F0DD8" w:rsidRPr="0025250D">
        <w:rPr>
          <w:rFonts w:hint="cs"/>
          <w:rtl/>
        </w:rPr>
        <w:t>برنامه‌ها</w:t>
      </w:r>
      <w:r w:rsidRPr="0025250D">
        <w:rPr>
          <w:rFonts w:hint="cs"/>
          <w:rtl/>
        </w:rPr>
        <w:t xml:space="preserve">یمان برای اجتناب از عقبگرد‌ها و موانع (نتایج منفی </w:t>
      </w:r>
      <w:r w:rsidR="00923DDB" w:rsidRPr="0025250D">
        <w:rPr>
          <w:rFonts w:hint="cs"/>
          <w:rtl/>
        </w:rPr>
        <w:t>باورپذیر</w:t>
      </w:r>
      <w:r w:rsidRPr="0025250D">
        <w:rPr>
          <w:rFonts w:hint="cs"/>
          <w:rtl/>
        </w:rPr>
        <w:t xml:space="preserve">) بر اساس </w:t>
      </w:r>
      <w:r w:rsidR="00923DDB" w:rsidRPr="0025250D">
        <w:rPr>
          <w:rFonts w:hint="cs"/>
          <w:rtl/>
        </w:rPr>
        <w:t>پیش‌انگاری</w:t>
      </w:r>
      <w:r w:rsidRPr="0025250D">
        <w:rPr>
          <w:rFonts w:hint="cs"/>
          <w:rtl/>
        </w:rPr>
        <w:t xml:space="preserve"> یا تجارب گذشته هستند. این تحلیل </w:t>
      </w:r>
      <w:r w:rsidR="00E6564A" w:rsidRPr="0025250D">
        <w:rPr>
          <w:rtl/>
        </w:rPr>
        <w:t>حس‌داد</w:t>
      </w:r>
      <w:r w:rsidRPr="0025250D">
        <w:rPr>
          <w:rFonts w:hint="cs"/>
          <w:rtl/>
        </w:rPr>
        <w:t xml:space="preserve"> ابتدا مثبت و سپس منفی، قبل از ایجاد </w:t>
      </w:r>
      <w:r w:rsidR="008F0DD8" w:rsidRPr="0025250D">
        <w:rPr>
          <w:rFonts w:hint="cs"/>
          <w:rtl/>
        </w:rPr>
        <w:t>برنامه‌ها</w:t>
      </w:r>
      <w:r w:rsidRPr="0025250D">
        <w:rPr>
          <w:rFonts w:hint="cs"/>
          <w:rtl/>
        </w:rPr>
        <w:t>یمان، کلید ایجاد آینده‌نگاری بهتر برای خودمان، تیم‌هایمان، شرکت هایمان و کل جامعه در مقیاس بزرگ است.</w:t>
      </w:r>
    </w:p>
    <w:p w14:paraId="21388134" w14:textId="38DBC1BA" w:rsidR="0020732A" w:rsidRPr="0025250D" w:rsidRDefault="0020732A" w:rsidP="008D57CC">
      <w:pPr>
        <w:rPr>
          <w:rtl/>
        </w:rPr>
      </w:pPr>
      <w:r w:rsidRPr="0025250D">
        <w:rPr>
          <w:rFonts w:hint="cs"/>
          <w:rtl/>
        </w:rPr>
        <w:t xml:space="preserve">بعداً در مورد این‌که </w:t>
      </w:r>
      <w:r w:rsidR="00701E03" w:rsidRPr="0025250D">
        <w:rPr>
          <w:rFonts w:hint="cs"/>
          <w:rtl/>
        </w:rPr>
        <w:t>راهبرد</w:t>
      </w:r>
      <w:r w:rsidRPr="0025250D">
        <w:rPr>
          <w:rFonts w:hint="cs"/>
          <w:rtl/>
        </w:rPr>
        <w:t xml:space="preserve"> چیست بیش‌تر صحبت خواهیم کرد. اکنون، در نظر بگیرید که همه </w:t>
      </w:r>
      <w:r w:rsidR="00701E03" w:rsidRPr="0025250D">
        <w:rPr>
          <w:rFonts w:hint="cs"/>
          <w:rtl/>
        </w:rPr>
        <w:t>راهبرد</w:t>
      </w:r>
      <w:r w:rsidRPr="0025250D">
        <w:rPr>
          <w:rFonts w:hint="cs"/>
          <w:rtl/>
        </w:rPr>
        <w:t xml:space="preserve">‌های خوب باید به دو هدف اساسی یا رسالت‌های آینده‌نگاری بپردازند. این کار باید به ما برای پیشروی و جلوگیری از آسیب‌ها کمک کند. </w:t>
      </w:r>
      <w:r w:rsidR="00701E03" w:rsidRPr="0025250D">
        <w:rPr>
          <w:rFonts w:hint="cs"/>
          <w:rtl/>
        </w:rPr>
        <w:t>راهبرد</w:t>
      </w:r>
      <w:r w:rsidRPr="0025250D">
        <w:rPr>
          <w:rFonts w:hint="cs"/>
          <w:rtl/>
        </w:rPr>
        <w:t xml:space="preserve"> خوب همواره در مورد مدیریت برآمدهای مثبت و منفی و </w:t>
      </w:r>
      <w:r w:rsidR="008D57CC" w:rsidRPr="0025250D">
        <w:rPr>
          <w:rtl/>
        </w:rPr>
        <w:t>حس‌داد</w:t>
      </w:r>
      <w:r w:rsidR="008D57CC" w:rsidRPr="0025250D">
        <w:rPr>
          <w:rFonts w:hint="cs"/>
          <w:rtl/>
        </w:rPr>
        <w:t xml:space="preserve">های </w:t>
      </w:r>
      <w:r w:rsidRPr="0025250D">
        <w:rPr>
          <w:rFonts w:hint="cs"/>
          <w:rtl/>
        </w:rPr>
        <w:t>مثبت و منفی در ارتباط با این برآمدها</w:t>
      </w:r>
      <w:r w:rsidRPr="0025250D">
        <w:rPr>
          <w:rFonts w:hint="cs"/>
        </w:rPr>
        <w:t>‌</w:t>
      </w:r>
      <w:r w:rsidRPr="0025250D">
        <w:rPr>
          <w:rFonts w:hint="cs"/>
          <w:rtl/>
        </w:rPr>
        <w:t xml:space="preserve"> می‌باشد. به این دلیل که این مدیریت تضاد ذهنی نحوه حقیقی تفکر ماست، چهار </w:t>
      </w:r>
      <w:r w:rsidRPr="0025250D">
        <w:t>P</w:t>
      </w:r>
      <w:r w:rsidRPr="0025250D">
        <w:rPr>
          <w:rFonts w:hint="cs"/>
          <w:rtl/>
        </w:rPr>
        <w:t xml:space="preserve"> مجموعه بهتری از ارزیابی‌ها نسبت به سه </w:t>
      </w:r>
      <w:r w:rsidRPr="0025250D">
        <w:t>P</w:t>
      </w:r>
      <w:r w:rsidRPr="0025250D">
        <w:rPr>
          <w:rFonts w:hint="cs"/>
          <w:rtl/>
        </w:rPr>
        <w:t xml:space="preserve"> برای نگاه به آینده و تحلیل آن است.</w:t>
      </w:r>
    </w:p>
    <w:p w14:paraId="0FC15959" w14:textId="2079D3B5" w:rsidR="0020732A" w:rsidRPr="0025250D" w:rsidRDefault="0020732A" w:rsidP="0020732A">
      <w:pPr>
        <w:rPr>
          <w:rtl/>
        </w:rPr>
      </w:pPr>
      <w:r w:rsidRPr="0025250D">
        <w:rPr>
          <w:rFonts w:hint="cs"/>
          <w:rtl/>
        </w:rPr>
        <w:t>متخصصین خوب</w:t>
      </w:r>
      <w:r w:rsidRPr="0025250D">
        <w:rPr>
          <w:rFonts w:hint="cs"/>
        </w:rPr>
        <w:t>‌</w:t>
      </w:r>
      <w:r w:rsidRPr="0025250D">
        <w:rPr>
          <w:rFonts w:hint="cs"/>
          <w:rtl/>
        </w:rPr>
        <w:t xml:space="preserve"> می‌دانند که تنها دو </w:t>
      </w:r>
      <w:r w:rsidRPr="0025250D">
        <w:t>P</w:t>
      </w:r>
      <w:r w:rsidRPr="0025250D">
        <w:rPr>
          <w:rFonts w:hint="cs"/>
          <w:rtl/>
        </w:rPr>
        <w:t xml:space="preserve"> آخر اهمیت قابل توجهی برای ذینفعان یا کارسپار معمول دارند. بیش‌تر افراد اصلا توجه خاصی به موارد محتمل و ممکن (</w:t>
      </w:r>
      <w:r w:rsidR="006335B8" w:rsidRPr="0025250D">
        <w:rPr>
          <w:rtl/>
        </w:rPr>
        <w:t>«</w:t>
      </w:r>
      <w:r w:rsidRPr="0025250D">
        <w:rPr>
          <w:rFonts w:hint="cs"/>
          <w:rtl/>
        </w:rPr>
        <w:t>پایین هرم</w:t>
      </w:r>
      <w:r w:rsidR="006335B8" w:rsidRPr="0025250D">
        <w:rPr>
          <w:rtl/>
        </w:rPr>
        <w:t>»</w:t>
      </w:r>
      <w:r w:rsidRPr="0025250D">
        <w:rPr>
          <w:rFonts w:hint="cs"/>
          <w:rtl/>
        </w:rPr>
        <w:t>) ندارند یا نیاز به تقابل آن‌ها را درک</w:t>
      </w:r>
      <w:r w:rsidR="00EE4B64" w:rsidRPr="0025250D">
        <w:rPr>
          <w:rFonts w:hint="cs"/>
          <w:rtl/>
        </w:rPr>
        <w:t xml:space="preserve"> نمی‌</w:t>
      </w:r>
      <w:r w:rsidRPr="0025250D">
        <w:rPr>
          <w:rFonts w:hint="cs"/>
          <w:rtl/>
        </w:rPr>
        <w:t xml:space="preserve">کنند. افرادی که </w:t>
      </w:r>
      <w:r w:rsidR="0008779C" w:rsidRPr="0025250D">
        <w:rPr>
          <w:rFonts w:hint="cs"/>
          <w:rtl/>
        </w:rPr>
        <w:t>علاقه‌مند</w:t>
      </w:r>
      <w:r w:rsidRPr="0025250D">
        <w:rPr>
          <w:rFonts w:hint="cs"/>
          <w:rtl/>
        </w:rPr>
        <w:t xml:space="preserve"> هستند، اغلب تنها به یکی از این‌ها توجه دارند. در فرهنگ غربی مدرن، موارد ممکن (تصور، طراحی) معمولا بسیار محبوب‌تر از موارد محتمل هستند. ما این حالت ذهنی را سوگیری آزادی</w:t>
      </w:r>
      <w:r w:rsidRPr="0025250D">
        <w:rPr>
          <w:vertAlign w:val="superscript"/>
          <w:rtl/>
        </w:rPr>
        <w:footnoteReference w:id="615"/>
      </w:r>
      <w:r w:rsidRPr="0025250D">
        <w:rPr>
          <w:rFonts w:hint="cs"/>
          <w:rtl/>
        </w:rPr>
        <w:t xml:space="preserve"> (سوگیری ضد </w:t>
      </w:r>
      <w:r w:rsidR="00D92F6E" w:rsidRPr="0025250D">
        <w:rPr>
          <w:rFonts w:hint="cs"/>
          <w:rtl/>
        </w:rPr>
        <w:t>پیش‌بین</w:t>
      </w:r>
      <w:r w:rsidRPr="0025250D">
        <w:rPr>
          <w:rFonts w:hint="cs"/>
          <w:rtl/>
        </w:rPr>
        <w:t>ی</w:t>
      </w:r>
      <w:r w:rsidRPr="0025250D">
        <w:rPr>
          <w:vertAlign w:val="superscript"/>
          <w:rtl/>
        </w:rPr>
        <w:footnoteReference w:id="616"/>
      </w:r>
      <w:r w:rsidRPr="0025250D">
        <w:rPr>
          <w:rFonts w:hint="cs"/>
          <w:rtl/>
        </w:rPr>
        <w:t>) نامیده و بعداً</w:t>
      </w:r>
      <w:r w:rsidR="008D6F97" w:rsidRPr="0025250D">
        <w:rPr>
          <w:rtl/>
        </w:rPr>
        <w:t xml:space="preserve"> </w:t>
      </w:r>
      <w:r w:rsidRPr="0025250D">
        <w:rPr>
          <w:rFonts w:hint="cs"/>
          <w:rtl/>
        </w:rPr>
        <w:t>و در ادامه کتاب در این باره صحبت خواهیم کرد. رهبران خوب به تیم‌های خود برای مبارزه با این جانب داری کمک</w:t>
      </w:r>
      <w:r w:rsidRPr="0025250D">
        <w:rPr>
          <w:rFonts w:hint="cs"/>
        </w:rPr>
        <w:t>‌</w:t>
      </w:r>
      <w:r w:rsidRPr="0025250D">
        <w:rPr>
          <w:rFonts w:hint="cs"/>
          <w:rtl/>
        </w:rPr>
        <w:t xml:space="preserve"> می‌کنند و به استادان تفکر احتمالی تبدیل</w:t>
      </w:r>
      <w:r w:rsidRPr="0025250D">
        <w:rPr>
          <w:rFonts w:hint="cs"/>
        </w:rPr>
        <w:t>‌</w:t>
      </w:r>
      <w:r w:rsidRPr="0025250D">
        <w:rPr>
          <w:rFonts w:hint="cs"/>
          <w:rtl/>
        </w:rPr>
        <w:t xml:space="preserve"> می‌شوند.</w:t>
      </w:r>
    </w:p>
    <w:p w14:paraId="078D5A51" w14:textId="18F49B91" w:rsidR="0020732A" w:rsidRPr="0025250D" w:rsidRDefault="0020732A" w:rsidP="00D30084">
      <w:pPr>
        <w:rPr>
          <w:rtl/>
        </w:rPr>
      </w:pPr>
      <w:r w:rsidRPr="0025250D">
        <w:rPr>
          <w:rFonts w:hint="cs"/>
          <w:rtl/>
        </w:rPr>
        <w:t>در ابتدای کار آینده‌نگاری، ادعا</w:t>
      </w:r>
      <w:r w:rsidRPr="0025250D">
        <w:rPr>
          <w:rFonts w:hint="cs"/>
        </w:rPr>
        <w:t>‌</w:t>
      </w:r>
      <w:r w:rsidRPr="0025250D">
        <w:rPr>
          <w:rFonts w:hint="cs"/>
          <w:rtl/>
        </w:rPr>
        <w:t xml:space="preserve"> می‌کنیم که بهترین </w:t>
      </w:r>
      <w:r w:rsidR="00D30084" w:rsidRPr="0025250D">
        <w:rPr>
          <w:rFonts w:hint="cs"/>
          <w:rtl/>
        </w:rPr>
        <w:t>رویه،</w:t>
      </w:r>
      <w:r w:rsidRPr="0025250D">
        <w:rPr>
          <w:rFonts w:hint="cs"/>
          <w:rtl/>
        </w:rPr>
        <w:t xml:space="preserve"> تفکر و احساس در مورد موارد محتمل در ابتدا و سپس در مورد موارد ممکن (تقابل </w:t>
      </w:r>
      <w:r w:rsidR="00D92F6E" w:rsidRPr="0025250D">
        <w:rPr>
          <w:rFonts w:hint="cs"/>
          <w:rtl/>
        </w:rPr>
        <w:t>پیش‌بین</w:t>
      </w:r>
      <w:r w:rsidRPr="0025250D">
        <w:rPr>
          <w:rFonts w:hint="cs"/>
          <w:rtl/>
        </w:rPr>
        <w:t xml:space="preserve">) است و سپس تفکر و احساس در مورد آینده‌های مثبت و منفی (تقابل </w:t>
      </w:r>
      <w:r w:rsidR="00E6564A" w:rsidRPr="0025250D">
        <w:rPr>
          <w:rtl/>
        </w:rPr>
        <w:t>حس‌داد</w:t>
      </w:r>
      <w:r w:rsidRPr="0025250D">
        <w:rPr>
          <w:rFonts w:hint="cs"/>
          <w:rtl/>
        </w:rPr>
        <w:t>)</w:t>
      </w:r>
      <w:r w:rsidR="008D6F97" w:rsidRPr="0025250D">
        <w:rPr>
          <w:rtl/>
        </w:rPr>
        <w:t xml:space="preserve">؛ </w:t>
      </w:r>
      <w:r w:rsidRPr="0025250D">
        <w:rPr>
          <w:rFonts w:hint="cs"/>
          <w:rtl/>
        </w:rPr>
        <w:t xml:space="preserve">اما </w:t>
      </w:r>
      <w:r w:rsidR="007118DE" w:rsidRPr="0025250D">
        <w:rPr>
          <w:rFonts w:hint="cs"/>
          <w:rtl/>
        </w:rPr>
        <w:t>همان‌طور</w:t>
      </w:r>
      <w:r w:rsidRPr="0025250D">
        <w:rPr>
          <w:rFonts w:hint="cs"/>
          <w:rtl/>
        </w:rPr>
        <w:t xml:space="preserve"> که نظریه فرایند دوگانه (</w:t>
      </w:r>
      <w:r w:rsidR="008D6F97" w:rsidRPr="0025250D">
        <w:rPr>
          <w:rFonts w:hint="cs"/>
          <w:rtl/>
        </w:rPr>
        <w:t>سامانه‌</w:t>
      </w:r>
      <w:r w:rsidRPr="0025250D">
        <w:rPr>
          <w:rFonts w:hint="cs"/>
          <w:rtl/>
        </w:rPr>
        <w:t xml:space="preserve"> 1 و 2) و </w:t>
      </w:r>
      <w:r w:rsidR="00E46C90" w:rsidRPr="0025250D">
        <w:rPr>
          <w:rFonts w:hint="cs"/>
          <w:rtl/>
        </w:rPr>
        <w:t>سوگیری منفی‌نگر‌نگر</w:t>
      </w:r>
      <w:r w:rsidRPr="0025250D">
        <w:rPr>
          <w:vertAlign w:val="superscript"/>
          <w:rtl/>
        </w:rPr>
        <w:footnoteReference w:id="617"/>
      </w:r>
      <w:r w:rsidRPr="0025250D">
        <w:rPr>
          <w:rFonts w:hint="cs"/>
          <w:rtl/>
        </w:rPr>
        <w:t xml:space="preserve"> (که بعداً به طور خلاصه توضیح داده</w:t>
      </w:r>
      <w:r w:rsidRPr="0025250D">
        <w:rPr>
          <w:rFonts w:hint="cs"/>
        </w:rPr>
        <w:t>‌</w:t>
      </w:r>
      <w:r w:rsidRPr="0025250D">
        <w:rPr>
          <w:rFonts w:hint="cs"/>
          <w:rtl/>
        </w:rPr>
        <w:t xml:space="preserve"> می‌شود) به ما</w:t>
      </w:r>
      <w:r w:rsidRPr="0025250D">
        <w:rPr>
          <w:rFonts w:hint="cs"/>
        </w:rPr>
        <w:t>‌</w:t>
      </w:r>
      <w:r w:rsidRPr="0025250D">
        <w:rPr>
          <w:rFonts w:hint="cs"/>
          <w:rtl/>
        </w:rPr>
        <w:t xml:space="preserve"> می‌گویند، ما معمولا این ترتیب را معکوس</w:t>
      </w:r>
      <w:r w:rsidRPr="0025250D">
        <w:rPr>
          <w:rFonts w:hint="cs"/>
        </w:rPr>
        <w:t>‌</w:t>
      </w:r>
      <w:r w:rsidRPr="0025250D">
        <w:rPr>
          <w:rFonts w:hint="cs"/>
          <w:rtl/>
        </w:rPr>
        <w:t xml:space="preserve"> می‌کنیم. به طورکلی ما اغلب ابتدا با بیش‌ترین قدرت و طولانی‌ترین افق زمانی در مورد موارد منفی، قبل از این‌که در مورد موارد مثبت فکرکنیم،</w:t>
      </w:r>
      <w:r w:rsidRPr="0025250D">
        <w:rPr>
          <w:rFonts w:hint="cs"/>
        </w:rPr>
        <w:t>‌</w:t>
      </w:r>
      <w:r w:rsidRPr="0025250D">
        <w:rPr>
          <w:rFonts w:hint="cs"/>
          <w:rtl/>
        </w:rPr>
        <w:t xml:space="preserve"> می‌اندیشیم. تحت </w:t>
      </w:r>
      <w:r w:rsidR="00E46C90" w:rsidRPr="0025250D">
        <w:rPr>
          <w:rFonts w:hint="cs"/>
          <w:rtl/>
        </w:rPr>
        <w:t xml:space="preserve">سوگیری منفی‌نگر‌نگر </w:t>
      </w:r>
      <w:r w:rsidRPr="0025250D">
        <w:rPr>
          <w:rFonts w:hint="cs"/>
          <w:rtl/>
        </w:rPr>
        <w:t>زمان کافی برای تولید آینده‌های مرجح را اختصاص</w:t>
      </w:r>
      <w:r w:rsidR="00EE4B64" w:rsidRPr="0025250D">
        <w:rPr>
          <w:rFonts w:hint="cs"/>
          <w:rtl/>
        </w:rPr>
        <w:t xml:space="preserve"> نمی‌</w:t>
      </w:r>
      <w:r w:rsidRPr="0025250D">
        <w:rPr>
          <w:rFonts w:hint="cs"/>
          <w:rtl/>
        </w:rPr>
        <w:t xml:space="preserve">دهیم و به اندازه کافی در مورد آینده‌های اجتناب پذیر، یعنی </w:t>
      </w:r>
      <w:r w:rsidR="00D92F6E" w:rsidRPr="0025250D">
        <w:rPr>
          <w:rFonts w:hint="cs"/>
          <w:rtl/>
        </w:rPr>
        <w:t>بنیان‌افکن</w:t>
      </w:r>
      <w:r w:rsidRPr="0025250D">
        <w:rPr>
          <w:rFonts w:hint="cs"/>
          <w:rtl/>
        </w:rPr>
        <w:t>‌ها، تهدید‌ها، دام‌ها و عقبگرد‌هایی که</w:t>
      </w:r>
      <w:r w:rsidRPr="0025250D">
        <w:rPr>
          <w:rFonts w:hint="cs"/>
        </w:rPr>
        <w:t>‌</w:t>
      </w:r>
      <w:r w:rsidRPr="0025250D">
        <w:rPr>
          <w:rFonts w:hint="cs"/>
          <w:rtl/>
        </w:rPr>
        <w:t xml:space="preserve"> می‌توانند راه ما را در رسیدن به اهدافمان مسدود کنند، تفکر</w:t>
      </w:r>
      <w:r w:rsidR="00EE4B64" w:rsidRPr="0025250D">
        <w:rPr>
          <w:rFonts w:hint="cs"/>
          <w:rtl/>
        </w:rPr>
        <w:t xml:space="preserve"> نمی‌</w:t>
      </w:r>
      <w:r w:rsidRPr="0025250D">
        <w:rPr>
          <w:rFonts w:hint="cs"/>
          <w:rtl/>
        </w:rPr>
        <w:t>کنیم. به‌بیان‌دیگر، ما اغلب تفکر منفی خود را منتشر</w:t>
      </w:r>
      <w:r w:rsidRPr="0025250D">
        <w:rPr>
          <w:vertAlign w:val="superscript"/>
          <w:rtl/>
        </w:rPr>
        <w:footnoteReference w:id="618"/>
      </w:r>
      <w:r w:rsidRPr="0025250D">
        <w:rPr>
          <w:rFonts w:hint="cs"/>
        </w:rPr>
        <w:t>‌</w:t>
      </w:r>
      <w:r w:rsidRPr="0025250D">
        <w:rPr>
          <w:rFonts w:hint="cs"/>
          <w:rtl/>
        </w:rPr>
        <w:t xml:space="preserve"> می‌کنیم و عمدتا برموارد منفی </w:t>
      </w:r>
      <w:r w:rsidR="006335B8" w:rsidRPr="0025250D">
        <w:rPr>
          <w:rtl/>
        </w:rPr>
        <w:t>«</w:t>
      </w:r>
      <w:r w:rsidRPr="0025250D">
        <w:rPr>
          <w:rFonts w:hint="cs"/>
          <w:rtl/>
        </w:rPr>
        <w:t>امن</w:t>
      </w:r>
      <w:r w:rsidRPr="0025250D">
        <w:rPr>
          <w:vertAlign w:val="superscript"/>
          <w:rtl/>
        </w:rPr>
        <w:footnoteReference w:id="619"/>
      </w:r>
      <w:r w:rsidR="006335B8" w:rsidRPr="0025250D">
        <w:rPr>
          <w:rtl/>
        </w:rPr>
        <w:t>»</w:t>
      </w:r>
      <w:r w:rsidRPr="0025250D">
        <w:rPr>
          <w:rFonts w:hint="cs"/>
          <w:rtl/>
        </w:rPr>
        <w:t xml:space="preserve"> که برای </w:t>
      </w:r>
      <w:r w:rsidR="00701E03" w:rsidRPr="0025250D">
        <w:rPr>
          <w:rFonts w:hint="cs"/>
          <w:rtl/>
        </w:rPr>
        <w:t>راهبرد</w:t>
      </w:r>
      <w:r w:rsidRPr="0025250D">
        <w:rPr>
          <w:rFonts w:hint="cs"/>
          <w:rtl/>
        </w:rPr>
        <w:t xml:space="preserve"> اهمیت ندارند، بجای موارد مرتبط، مواردی که آسیب جدی وارد</w:t>
      </w:r>
      <w:r w:rsidRPr="0025250D">
        <w:rPr>
          <w:rFonts w:hint="cs"/>
        </w:rPr>
        <w:t>‌</w:t>
      </w:r>
      <w:r w:rsidRPr="0025250D">
        <w:rPr>
          <w:rFonts w:hint="cs"/>
          <w:rtl/>
        </w:rPr>
        <w:t xml:space="preserve"> می‌کنند و نقص‌ها و ضعف‌های حقیقی ما را آشکار</w:t>
      </w:r>
      <w:r w:rsidRPr="0025250D">
        <w:rPr>
          <w:rFonts w:hint="cs"/>
        </w:rPr>
        <w:t>‌</w:t>
      </w:r>
      <w:r w:rsidRPr="0025250D">
        <w:rPr>
          <w:rFonts w:hint="cs"/>
          <w:rtl/>
        </w:rPr>
        <w:t xml:space="preserve"> می‌کنند، تمرکز</w:t>
      </w:r>
      <w:r w:rsidRPr="0025250D">
        <w:rPr>
          <w:rFonts w:hint="cs"/>
        </w:rPr>
        <w:t>‌</w:t>
      </w:r>
      <w:r w:rsidRPr="0025250D">
        <w:rPr>
          <w:rFonts w:hint="cs"/>
          <w:rtl/>
        </w:rPr>
        <w:t xml:space="preserve"> می‌کنیم. اجتناب از مرتبط‌ترین موارد منفی (اجتناب از رنج) یک محرک روان‌شناختی رایج است</w:t>
      </w:r>
      <w:r w:rsidR="008D6F97" w:rsidRPr="0025250D">
        <w:rPr>
          <w:rtl/>
        </w:rPr>
        <w:t xml:space="preserve">؛ </w:t>
      </w:r>
      <w:r w:rsidRPr="0025250D">
        <w:rPr>
          <w:rFonts w:hint="cs"/>
          <w:rtl/>
        </w:rPr>
        <w:t>اما برای این‌که رهبران و خودرهبران مؤثری باشیم، تحمل مقداری درد و رنج همواره برای رسیدن به اهداف خود لازم است. ما حقیقتا وقتی بتوانیم این نوع درد و رنج</w:t>
      </w:r>
      <w:r w:rsidR="00D30084" w:rsidRPr="0025250D">
        <w:rPr>
          <w:rFonts w:hint="cs"/>
          <w:rtl/>
        </w:rPr>
        <w:t>ی که</w:t>
      </w:r>
      <w:r w:rsidRPr="0025250D">
        <w:rPr>
          <w:rFonts w:hint="cs"/>
          <w:rtl/>
        </w:rPr>
        <w:t xml:space="preserve"> </w:t>
      </w:r>
      <w:r w:rsidR="00D30084" w:rsidRPr="0025250D">
        <w:rPr>
          <w:rFonts w:hint="cs"/>
          <w:rtl/>
        </w:rPr>
        <w:t>برای پیش‌بینی</w:t>
      </w:r>
      <w:r w:rsidRPr="0025250D">
        <w:rPr>
          <w:rFonts w:hint="cs"/>
          <w:rtl/>
        </w:rPr>
        <w:t xml:space="preserve"> رسیدن به اهدافمان تجربه </w:t>
      </w:r>
      <w:r w:rsidR="00D30084" w:rsidRPr="0025250D">
        <w:rPr>
          <w:rFonts w:hint="cs"/>
          <w:rtl/>
        </w:rPr>
        <w:t>می‌</w:t>
      </w:r>
      <w:r w:rsidRPr="0025250D">
        <w:rPr>
          <w:rFonts w:hint="cs"/>
          <w:rtl/>
        </w:rPr>
        <w:t>کنیم</w:t>
      </w:r>
      <w:r w:rsidR="00D30084" w:rsidRPr="0025250D">
        <w:rPr>
          <w:rFonts w:hint="cs"/>
          <w:rtl/>
        </w:rPr>
        <w:t>،</w:t>
      </w:r>
      <w:r w:rsidRPr="0025250D">
        <w:rPr>
          <w:rFonts w:hint="cs"/>
          <w:rtl/>
        </w:rPr>
        <w:t xml:space="preserve"> </w:t>
      </w:r>
      <w:r w:rsidR="00D30084" w:rsidRPr="0025250D">
        <w:rPr>
          <w:rFonts w:hint="cs"/>
          <w:rtl/>
        </w:rPr>
        <w:t xml:space="preserve">بپذیریم </w:t>
      </w:r>
      <w:r w:rsidRPr="0025250D">
        <w:rPr>
          <w:rFonts w:hint="cs"/>
          <w:rtl/>
        </w:rPr>
        <w:t>، حداقل سازی کنیم و هدایت کنیم خود را هدایت خواهیم کرد.</w:t>
      </w:r>
    </w:p>
    <w:p w14:paraId="54CE84A1" w14:textId="3A705C3E" w:rsidR="0020732A" w:rsidRPr="0025250D" w:rsidRDefault="0020732A" w:rsidP="0020732A">
      <w:pPr>
        <w:rPr>
          <w:rtl/>
        </w:rPr>
      </w:pPr>
      <w:r w:rsidRPr="0025250D">
        <w:rPr>
          <w:rFonts w:hint="cs"/>
          <w:rtl/>
        </w:rPr>
        <w:t>شکل زیر نسخه‌ای از هرم آینده‌نگاری مدرن است که چهار گروه تضاد اصلی در کار آینده‌نگاری را فهرست</w:t>
      </w:r>
      <w:r w:rsidRPr="0025250D">
        <w:rPr>
          <w:rFonts w:hint="cs"/>
        </w:rPr>
        <w:t>‌</w:t>
      </w:r>
      <w:r w:rsidRPr="0025250D">
        <w:rPr>
          <w:rFonts w:hint="cs"/>
          <w:rtl/>
        </w:rPr>
        <w:t xml:space="preserve"> می‌کند. ما تا کنون انواع خوش بین و </w:t>
      </w:r>
      <w:r w:rsidR="00C76006" w:rsidRPr="0025250D">
        <w:rPr>
          <w:rFonts w:hint="cs"/>
          <w:rtl/>
        </w:rPr>
        <w:t>بدبین</w:t>
      </w:r>
      <w:r w:rsidRPr="0025250D">
        <w:rPr>
          <w:rFonts w:hint="cs"/>
          <w:rtl/>
        </w:rPr>
        <w:t xml:space="preserve"> را دیده ایم. همچنین انواع پیش انگار و نوآور را مورد بحث قرار </w:t>
      </w:r>
      <w:r w:rsidR="00892D13" w:rsidRPr="0025250D">
        <w:rPr>
          <w:rFonts w:hint="cs"/>
          <w:rtl/>
        </w:rPr>
        <w:t>داده‌ایم</w:t>
      </w:r>
      <w:r w:rsidRPr="0025250D">
        <w:rPr>
          <w:rFonts w:hint="cs"/>
          <w:rtl/>
        </w:rPr>
        <w:t xml:space="preserve"> و آن‌ها را به شکل عمیق در فصل 2 و در بافت هشت مهارت بررسی خواهیم کرد. افراد مختلف</w:t>
      </w:r>
      <w:r w:rsidRPr="0025250D">
        <w:rPr>
          <w:rFonts w:hint="cs"/>
        </w:rPr>
        <w:t>‌</w:t>
      </w:r>
      <w:r w:rsidRPr="0025250D">
        <w:rPr>
          <w:rFonts w:hint="cs"/>
          <w:rtl/>
        </w:rPr>
        <w:t xml:space="preserve"> می‌توانند جایگاه‌های مختلفی را میان چهار </w:t>
      </w:r>
      <w:r w:rsidRPr="0025250D">
        <w:t>P</w:t>
      </w:r>
      <w:r w:rsidRPr="0025250D">
        <w:rPr>
          <w:rFonts w:hint="cs"/>
          <w:rtl/>
        </w:rPr>
        <w:t xml:space="preserve"> داشته باشند</w:t>
      </w:r>
      <w:r w:rsidR="008D6F97" w:rsidRPr="0025250D">
        <w:rPr>
          <w:rtl/>
        </w:rPr>
        <w:t xml:space="preserve"> </w:t>
      </w:r>
      <w:r w:rsidRPr="0025250D">
        <w:rPr>
          <w:rFonts w:hint="cs"/>
          <w:rtl/>
        </w:rPr>
        <w:t xml:space="preserve">که </w:t>
      </w:r>
      <w:r w:rsidR="007118DE" w:rsidRPr="0025250D">
        <w:rPr>
          <w:rFonts w:hint="cs"/>
          <w:rtl/>
        </w:rPr>
        <w:t>همان‌طور</w:t>
      </w:r>
      <w:r w:rsidRPr="0025250D">
        <w:rPr>
          <w:rFonts w:hint="cs"/>
          <w:rtl/>
        </w:rPr>
        <w:t xml:space="preserve"> که خواهیم دید، اغلب بر اساس شخصیت‌های آن هاست. رهبران مؤثر باید این جایگاه‌های مختلف را بشناسند و تضاد‌های آن‌ها را برای ایجاد آینده‌نگاری خوب مدیریت کنند.</w:t>
      </w:r>
    </w:p>
    <w:p w14:paraId="11C2FEF7" w14:textId="0A7D52A3" w:rsidR="0020732A" w:rsidRPr="0025250D" w:rsidRDefault="000E42CA" w:rsidP="001312B6">
      <w:pPr>
        <w:jc w:val="center"/>
        <w:rPr>
          <w:rtl/>
        </w:rPr>
      </w:pPr>
      <w:r w:rsidRPr="0025250D">
        <w:rPr>
          <w:noProof/>
        </w:rPr>
        <w:lastRenderedPageBreak/>
        <w:drawing>
          <wp:inline distT="0" distB="0" distL="0" distR="0" wp14:anchorId="0AE8E785" wp14:editId="22C78290">
            <wp:extent cx="3307535" cy="2631882"/>
            <wp:effectExtent l="0" t="0" r="762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3312079" cy="2635498"/>
                    </a:xfrm>
                    <a:prstGeom prst="rect">
                      <a:avLst/>
                    </a:prstGeom>
                    <a:noFill/>
                  </pic:spPr>
                </pic:pic>
              </a:graphicData>
            </a:graphic>
          </wp:inline>
        </w:drawing>
      </w:r>
    </w:p>
    <w:p w14:paraId="00BC017B" w14:textId="77777777" w:rsidR="0020732A" w:rsidRPr="0025250D" w:rsidRDefault="0020732A" w:rsidP="001312B6">
      <w:pPr>
        <w:jc w:val="center"/>
        <w:rPr>
          <w:rtl/>
        </w:rPr>
      </w:pPr>
      <w:r w:rsidRPr="0025250D">
        <w:rPr>
          <w:rFonts w:hint="cs"/>
          <w:rtl/>
        </w:rPr>
        <w:t>چهار گروه تعارض اصلی در کار آینده‌نگاری</w:t>
      </w:r>
    </w:p>
    <w:p w14:paraId="4791848E" w14:textId="6A0CD0A9" w:rsidR="0020732A" w:rsidRPr="0025250D" w:rsidRDefault="0020732A" w:rsidP="0020732A">
      <w:pPr>
        <w:rPr>
          <w:rtl/>
        </w:rPr>
      </w:pPr>
      <w:r w:rsidRPr="0025250D">
        <w:rPr>
          <w:rFonts w:hint="cs"/>
          <w:rtl/>
        </w:rPr>
        <w:t>خوشبختانه،</w:t>
      </w:r>
      <w:r w:rsidRPr="0025250D">
        <w:rPr>
          <w:rFonts w:hint="cs"/>
        </w:rPr>
        <w:t>‌</w:t>
      </w:r>
      <w:r w:rsidRPr="0025250D">
        <w:rPr>
          <w:rFonts w:hint="cs"/>
          <w:rtl/>
        </w:rPr>
        <w:t xml:space="preserve"> می‌توانیم </w:t>
      </w:r>
      <w:r w:rsidR="00B0171C" w:rsidRPr="0025250D">
        <w:rPr>
          <w:rFonts w:hint="cs"/>
          <w:rtl/>
        </w:rPr>
        <w:t>به‌سادگی</w:t>
      </w:r>
      <w:r w:rsidRPr="0025250D">
        <w:rPr>
          <w:rFonts w:hint="cs"/>
          <w:rtl/>
        </w:rPr>
        <w:t xml:space="preserve"> این چهار نوع از رهبران تضاد سازنده و گروه‌های مربوط به آن‌ها را با توجه به زبان و رفتارهایشان و با استفاده از ارزیابی‌های رسمی شناسایی کنیم. در متجانس‌ترین ارزیابی چهار </w:t>
      </w:r>
      <w:r w:rsidRPr="0025250D">
        <w:t>P</w:t>
      </w:r>
      <w:r w:rsidRPr="0025250D">
        <w:rPr>
          <w:rFonts w:hint="cs"/>
          <w:rtl/>
        </w:rPr>
        <w:t xml:space="preserve"> شناخته شده، انواع متفاوتی از شخصیت‌ها به هر یک از این چهار طرز </w:t>
      </w:r>
      <w:r w:rsidR="00D30084" w:rsidRPr="0025250D">
        <w:rPr>
          <w:rFonts w:hint="cs"/>
          <w:rtl/>
        </w:rPr>
        <w:t>ت</w:t>
      </w:r>
      <w:r w:rsidRPr="0025250D">
        <w:rPr>
          <w:rFonts w:hint="cs"/>
          <w:rtl/>
        </w:rPr>
        <w:t>فکر در مورد آینده جلب</w:t>
      </w:r>
      <w:r w:rsidRPr="0025250D">
        <w:rPr>
          <w:rFonts w:hint="cs"/>
        </w:rPr>
        <w:t>‌</w:t>
      </w:r>
      <w:r w:rsidRPr="0025250D">
        <w:rPr>
          <w:rFonts w:hint="cs"/>
          <w:rtl/>
        </w:rPr>
        <w:t xml:space="preserve"> می‌شوند. روانشناس </w:t>
      </w:r>
      <w:r w:rsidRPr="0025250D">
        <w:rPr>
          <w:rtl/>
        </w:rPr>
        <w:t>د</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rtl/>
        </w:rPr>
        <w:t xml:space="preserve"> ک</w:t>
      </w:r>
      <w:r w:rsidRPr="0025250D">
        <w:rPr>
          <w:rFonts w:hint="cs"/>
          <w:rtl/>
        </w:rPr>
        <w:t>ی</w:t>
      </w:r>
      <w:r w:rsidRPr="0025250D">
        <w:rPr>
          <w:rFonts w:hint="eastAsia"/>
          <w:rtl/>
        </w:rPr>
        <w:t>رس</w:t>
      </w:r>
      <w:r w:rsidRPr="0025250D">
        <w:rPr>
          <w:rFonts w:hint="cs"/>
          <w:rtl/>
        </w:rPr>
        <w:t>ی</w:t>
      </w:r>
      <w:r w:rsidRPr="0025250D">
        <w:rPr>
          <w:vertAlign w:val="superscript"/>
          <w:rtl/>
        </w:rPr>
        <w:footnoteReference w:id="620"/>
      </w:r>
      <w:r w:rsidRPr="0025250D">
        <w:rPr>
          <w:rFonts w:hint="cs"/>
          <w:rtl/>
        </w:rPr>
        <w:t xml:space="preserve"> مدلی عالی به نام </w:t>
      </w:r>
      <w:r w:rsidR="00D30084" w:rsidRPr="0025250D">
        <w:rPr>
          <w:rFonts w:hint="cs"/>
          <w:rtl/>
        </w:rPr>
        <w:t>خلق و خوی</w:t>
      </w:r>
      <w:r w:rsidRPr="0025250D">
        <w:rPr>
          <w:rFonts w:hint="cs"/>
          <w:rtl/>
        </w:rPr>
        <w:t xml:space="preserve"> چهارگانه</w:t>
      </w:r>
      <w:r w:rsidRPr="0025250D">
        <w:rPr>
          <w:vertAlign w:val="superscript"/>
          <w:rtl/>
        </w:rPr>
        <w:footnoteReference w:id="621"/>
      </w:r>
      <w:r w:rsidRPr="0025250D">
        <w:rPr>
          <w:rFonts w:hint="cs"/>
          <w:rtl/>
        </w:rPr>
        <w:t xml:space="preserve"> ارائه داده است که مورد تغییر یافته‌ای از آزمون انواع شخصیت </w:t>
      </w:r>
      <w:r w:rsidRPr="0025250D">
        <w:rPr>
          <w:rtl/>
        </w:rPr>
        <w:t>ما</w:t>
      </w:r>
      <w:r w:rsidRPr="0025250D">
        <w:rPr>
          <w:rFonts w:hint="cs"/>
          <w:rtl/>
        </w:rPr>
        <w:t>ی</w:t>
      </w:r>
      <w:r w:rsidRPr="0025250D">
        <w:rPr>
          <w:rFonts w:hint="eastAsia"/>
          <w:rtl/>
        </w:rPr>
        <w:t>رز</w:t>
      </w:r>
      <w:r w:rsidRPr="0025250D">
        <w:rPr>
          <w:rtl/>
        </w:rPr>
        <w:t>-بر</w:t>
      </w:r>
      <w:r w:rsidRPr="0025250D">
        <w:rPr>
          <w:rFonts w:hint="cs"/>
          <w:rtl/>
        </w:rPr>
        <w:t>ی</w:t>
      </w:r>
      <w:r w:rsidRPr="0025250D">
        <w:rPr>
          <w:rFonts w:hint="eastAsia"/>
          <w:rtl/>
        </w:rPr>
        <w:t>گز</w:t>
      </w:r>
      <w:r w:rsidRPr="0025250D">
        <w:rPr>
          <w:vertAlign w:val="superscript"/>
          <w:rtl/>
        </w:rPr>
        <w:footnoteReference w:id="622"/>
      </w:r>
      <w:r w:rsidRPr="0025250D">
        <w:rPr>
          <w:rFonts w:hint="cs"/>
          <w:rtl/>
        </w:rPr>
        <w:t xml:space="preserve"> </w:t>
      </w:r>
      <w:r w:rsidRPr="0025250D">
        <w:rPr>
          <w:rtl/>
        </w:rPr>
        <w:t>(</w:t>
      </w:r>
      <w:r w:rsidRPr="0025250D">
        <w:t>MBTI</w:t>
      </w:r>
      <w:r w:rsidRPr="0025250D">
        <w:rPr>
          <w:rtl/>
        </w:rPr>
        <w:t xml:space="preserve">) </w:t>
      </w:r>
      <w:r w:rsidRPr="0025250D">
        <w:rPr>
          <w:rFonts w:hint="cs"/>
          <w:rtl/>
        </w:rPr>
        <w:t xml:space="preserve">معروف است. ما هم استفاده از ارزیابی </w:t>
      </w:r>
      <w:r w:rsidRPr="0025250D">
        <w:rPr>
          <w:rtl/>
        </w:rPr>
        <w:t>ک</w:t>
      </w:r>
      <w:r w:rsidRPr="0025250D">
        <w:rPr>
          <w:rFonts w:hint="cs"/>
          <w:rtl/>
        </w:rPr>
        <w:t>ی</w:t>
      </w:r>
      <w:r w:rsidRPr="0025250D">
        <w:rPr>
          <w:rFonts w:hint="eastAsia"/>
          <w:rtl/>
        </w:rPr>
        <w:t>رس</w:t>
      </w:r>
      <w:r w:rsidRPr="0025250D">
        <w:rPr>
          <w:rFonts w:hint="cs"/>
          <w:rtl/>
        </w:rPr>
        <w:t xml:space="preserve">ی و هم </w:t>
      </w:r>
      <w:r w:rsidRPr="0025250D">
        <w:t>MBTI</w:t>
      </w:r>
      <w:r w:rsidRPr="0025250D">
        <w:rPr>
          <w:rFonts w:hint="cs"/>
          <w:rtl/>
        </w:rPr>
        <w:t xml:space="preserve"> را برای خودشناسی پیشنهاد</w:t>
      </w:r>
      <w:r w:rsidRPr="0025250D">
        <w:rPr>
          <w:rFonts w:hint="cs"/>
        </w:rPr>
        <w:t>‌</w:t>
      </w:r>
      <w:r w:rsidRPr="0025250D">
        <w:rPr>
          <w:rFonts w:hint="cs"/>
          <w:rtl/>
        </w:rPr>
        <w:t xml:space="preserve"> می‌کنیم.</w:t>
      </w:r>
    </w:p>
    <w:p w14:paraId="34971042" w14:textId="67F6107D" w:rsidR="0020732A" w:rsidRPr="0025250D" w:rsidRDefault="0020732A" w:rsidP="0020732A">
      <w:pPr>
        <w:rPr>
          <w:rtl/>
        </w:rPr>
      </w:pPr>
      <w:r w:rsidRPr="0025250D">
        <w:t>MBTI</w:t>
      </w:r>
      <w:r w:rsidRPr="0025250D">
        <w:rPr>
          <w:rFonts w:hint="cs"/>
          <w:rtl/>
        </w:rPr>
        <w:t xml:space="preserve"> در میانه قرن بیستم توسط دو شخص خودآموز یعنی</w:t>
      </w:r>
      <w:r w:rsidRPr="0025250D">
        <w:t xml:space="preserve"> </w:t>
      </w:r>
      <w:r w:rsidRPr="0025250D">
        <w:rPr>
          <w:rtl/>
        </w:rPr>
        <w:t>ا</w:t>
      </w:r>
      <w:r w:rsidRPr="0025250D">
        <w:rPr>
          <w:rFonts w:hint="cs"/>
          <w:rtl/>
        </w:rPr>
        <w:t>ی</w:t>
      </w:r>
      <w:r w:rsidRPr="0025250D">
        <w:rPr>
          <w:rFonts w:hint="eastAsia"/>
          <w:rtl/>
        </w:rPr>
        <w:t>زابل</w:t>
      </w:r>
      <w:r w:rsidRPr="0025250D">
        <w:rPr>
          <w:rtl/>
        </w:rPr>
        <w:t xml:space="preserve"> ما</w:t>
      </w:r>
      <w:r w:rsidRPr="0025250D">
        <w:rPr>
          <w:rFonts w:hint="cs"/>
          <w:rtl/>
        </w:rPr>
        <w:t>ی</w:t>
      </w:r>
      <w:r w:rsidRPr="0025250D">
        <w:rPr>
          <w:rFonts w:hint="eastAsia"/>
          <w:rtl/>
        </w:rPr>
        <w:t>رز</w:t>
      </w:r>
      <w:r w:rsidRPr="0025250D">
        <w:rPr>
          <w:vertAlign w:val="superscript"/>
          <w:rtl/>
        </w:rPr>
        <w:footnoteReference w:id="623"/>
      </w:r>
      <w:r w:rsidRPr="0025250D">
        <w:rPr>
          <w:rFonts w:hint="cs"/>
          <w:rtl/>
        </w:rPr>
        <w:t xml:space="preserve"> و مادرش، </w:t>
      </w:r>
      <w:r w:rsidRPr="0025250D">
        <w:rPr>
          <w:rtl/>
        </w:rPr>
        <w:t>کاتر</w:t>
      </w:r>
      <w:r w:rsidRPr="0025250D">
        <w:rPr>
          <w:rFonts w:hint="cs"/>
          <w:rtl/>
        </w:rPr>
        <w:t>ی</w:t>
      </w:r>
      <w:r w:rsidRPr="0025250D">
        <w:rPr>
          <w:rFonts w:hint="eastAsia"/>
          <w:rtl/>
        </w:rPr>
        <w:t>ن</w:t>
      </w:r>
      <w:r w:rsidRPr="0025250D">
        <w:rPr>
          <w:rtl/>
        </w:rPr>
        <w:t xml:space="preserve"> بر</w:t>
      </w:r>
      <w:r w:rsidRPr="0025250D">
        <w:rPr>
          <w:rFonts w:hint="cs"/>
          <w:rtl/>
        </w:rPr>
        <w:t>ی</w:t>
      </w:r>
      <w:r w:rsidRPr="0025250D">
        <w:rPr>
          <w:rFonts w:hint="eastAsia"/>
          <w:rtl/>
        </w:rPr>
        <w:t>گز</w:t>
      </w:r>
      <w:r w:rsidRPr="0025250D">
        <w:rPr>
          <w:vertAlign w:val="superscript"/>
          <w:rtl/>
        </w:rPr>
        <w:footnoteReference w:id="624"/>
      </w:r>
      <w:r w:rsidRPr="0025250D">
        <w:rPr>
          <w:rFonts w:hint="cs"/>
          <w:rtl/>
        </w:rPr>
        <w:t xml:space="preserve">، با تعمیم کار روانشناس تحلیلی </w:t>
      </w:r>
      <w:r w:rsidRPr="0025250D">
        <w:rPr>
          <w:rtl/>
        </w:rPr>
        <w:t xml:space="preserve">کارل </w:t>
      </w:r>
      <w:r w:rsidRPr="0025250D">
        <w:rPr>
          <w:rFonts w:hint="cs"/>
          <w:rtl/>
        </w:rPr>
        <w:t>ی</w:t>
      </w:r>
      <w:r w:rsidRPr="0025250D">
        <w:rPr>
          <w:rFonts w:hint="eastAsia"/>
          <w:rtl/>
        </w:rPr>
        <w:t>ونگ</w:t>
      </w:r>
      <w:r w:rsidRPr="0025250D">
        <w:rPr>
          <w:vertAlign w:val="superscript"/>
          <w:rtl/>
        </w:rPr>
        <w:footnoteReference w:id="625"/>
      </w:r>
      <w:r w:rsidRPr="0025250D">
        <w:rPr>
          <w:rFonts w:hint="cs"/>
          <w:rtl/>
        </w:rPr>
        <w:t xml:space="preserve"> ایجاد شد. در حالی که </w:t>
      </w:r>
      <w:r w:rsidRPr="0025250D">
        <w:t>MBTI</w:t>
      </w:r>
      <w:r w:rsidRPr="0025250D">
        <w:rPr>
          <w:rFonts w:hint="cs"/>
          <w:rtl/>
        </w:rPr>
        <w:t xml:space="preserve"> شانزده ترکیب از انواع شخصیت را ارائه</w:t>
      </w:r>
      <w:r w:rsidRPr="0025250D">
        <w:rPr>
          <w:rFonts w:hint="cs"/>
        </w:rPr>
        <w:t>‌</w:t>
      </w:r>
      <w:r w:rsidRPr="0025250D">
        <w:rPr>
          <w:rFonts w:hint="cs"/>
          <w:rtl/>
        </w:rPr>
        <w:t xml:space="preserve"> می‌دهد، آزمون تقسیم بندی </w:t>
      </w:r>
      <w:r w:rsidR="00D30084" w:rsidRPr="0025250D">
        <w:rPr>
          <w:rFonts w:hint="cs"/>
          <w:rtl/>
        </w:rPr>
        <w:t xml:space="preserve">خلق و خوی </w:t>
      </w:r>
      <w:r w:rsidRPr="0025250D">
        <w:rPr>
          <w:rtl/>
        </w:rPr>
        <w:t>ک</w:t>
      </w:r>
      <w:r w:rsidRPr="0025250D">
        <w:rPr>
          <w:rFonts w:hint="cs"/>
          <w:rtl/>
        </w:rPr>
        <w:t>ی</w:t>
      </w:r>
      <w:r w:rsidRPr="0025250D">
        <w:rPr>
          <w:rFonts w:hint="eastAsia"/>
          <w:rtl/>
        </w:rPr>
        <w:t>رس</w:t>
      </w:r>
      <w:r w:rsidRPr="0025250D">
        <w:rPr>
          <w:rFonts w:hint="cs"/>
          <w:rtl/>
        </w:rPr>
        <w:t>ی چهار نوع کلاسیک و شانزده زیر مجموعه از این انواع را شناسایی</w:t>
      </w:r>
      <w:r w:rsidRPr="0025250D">
        <w:rPr>
          <w:rFonts w:hint="cs"/>
        </w:rPr>
        <w:t>‌</w:t>
      </w:r>
      <w:r w:rsidRPr="0025250D">
        <w:rPr>
          <w:rFonts w:hint="cs"/>
          <w:rtl/>
        </w:rPr>
        <w:t xml:space="preserve"> می‌کند. در ارزیابی </w:t>
      </w:r>
      <w:r w:rsidRPr="0025250D">
        <w:t>4U</w:t>
      </w:r>
      <w:r w:rsidRPr="0025250D">
        <w:rPr>
          <w:rFonts w:hint="cs"/>
          <w:rtl/>
        </w:rPr>
        <w:t xml:space="preserve">، چهار </w:t>
      </w:r>
      <w:r w:rsidR="00D30084" w:rsidRPr="0025250D">
        <w:rPr>
          <w:rFonts w:hint="cs"/>
          <w:rtl/>
        </w:rPr>
        <w:t xml:space="preserve">خلق و خوی </w:t>
      </w:r>
      <w:r w:rsidRPr="0025250D">
        <w:rPr>
          <w:rtl/>
        </w:rPr>
        <w:t>ک</w:t>
      </w:r>
      <w:r w:rsidRPr="0025250D">
        <w:rPr>
          <w:rFonts w:hint="cs"/>
          <w:rtl/>
        </w:rPr>
        <w:t>ی</w:t>
      </w:r>
      <w:r w:rsidRPr="0025250D">
        <w:rPr>
          <w:rFonts w:hint="eastAsia"/>
          <w:rtl/>
        </w:rPr>
        <w:t>رس</w:t>
      </w:r>
      <w:r w:rsidRPr="0025250D">
        <w:rPr>
          <w:rFonts w:hint="cs"/>
          <w:rtl/>
        </w:rPr>
        <w:t xml:space="preserve">ی ارتباط نزدیکی با چهار نوع ارزیابی آینده‌نگاری و همچنین هرم تکاملی-توسعه‌ای دارند. درحالی که هیچ مدلی کامل نیست، به نظر ما </w:t>
      </w:r>
      <w:r w:rsidRPr="0025250D">
        <w:rPr>
          <w:rtl/>
        </w:rPr>
        <w:t>ک</w:t>
      </w:r>
      <w:r w:rsidRPr="0025250D">
        <w:rPr>
          <w:rFonts w:hint="cs"/>
          <w:rtl/>
        </w:rPr>
        <w:t>ی</w:t>
      </w:r>
      <w:r w:rsidRPr="0025250D">
        <w:rPr>
          <w:rFonts w:hint="eastAsia"/>
          <w:rtl/>
        </w:rPr>
        <w:t>رس</w:t>
      </w:r>
      <w:r w:rsidRPr="0025250D">
        <w:rPr>
          <w:rFonts w:hint="cs"/>
          <w:rtl/>
        </w:rPr>
        <w:t>ی چهار نوع مشخصا عمومی (فراگیر) از انواع شخصیت را کشف کرده است</w:t>
      </w:r>
      <w:r w:rsidR="008D6F97" w:rsidRPr="0025250D">
        <w:rPr>
          <w:rtl/>
        </w:rPr>
        <w:t xml:space="preserve">؛ </w:t>
      </w:r>
      <w:r w:rsidRPr="0025250D">
        <w:rPr>
          <w:rFonts w:hint="cs"/>
          <w:rtl/>
        </w:rPr>
        <w:t xml:space="preserve">بنابراین مدل </w:t>
      </w:r>
      <w:r w:rsidR="00D30084" w:rsidRPr="0025250D">
        <w:rPr>
          <w:rFonts w:hint="cs"/>
          <w:rtl/>
        </w:rPr>
        <w:t xml:space="preserve">خلق و خوی </w:t>
      </w:r>
      <w:r w:rsidRPr="0025250D">
        <w:rPr>
          <w:rFonts w:hint="cs"/>
          <w:rtl/>
        </w:rPr>
        <w:t>چهارگانه ساده‌ترین مدل شخصیتی است که</w:t>
      </w:r>
      <w:r w:rsidRPr="0025250D">
        <w:rPr>
          <w:rFonts w:hint="cs"/>
        </w:rPr>
        <w:t>‌</w:t>
      </w:r>
      <w:r w:rsidRPr="0025250D">
        <w:rPr>
          <w:rFonts w:hint="cs"/>
          <w:rtl/>
        </w:rPr>
        <w:t xml:space="preserve"> می‌شناسیم که برای رهبری پویایی‌های گروهی مفید است.</w:t>
      </w:r>
    </w:p>
    <w:p w14:paraId="22577CA9" w14:textId="58F57FF1" w:rsidR="0020732A" w:rsidRPr="0025250D" w:rsidRDefault="0020732A" w:rsidP="0020732A">
      <w:pPr>
        <w:rPr>
          <w:rtl/>
        </w:rPr>
      </w:pPr>
      <w:r w:rsidRPr="0025250D">
        <w:rPr>
          <w:rFonts w:hint="cs"/>
          <w:rtl/>
        </w:rPr>
        <w:t xml:space="preserve">در مدل شخصیتی </w:t>
      </w:r>
      <w:r w:rsidRPr="0025250D">
        <w:rPr>
          <w:rtl/>
        </w:rPr>
        <w:t>ک</w:t>
      </w:r>
      <w:r w:rsidRPr="0025250D">
        <w:rPr>
          <w:rFonts w:hint="cs"/>
          <w:rtl/>
        </w:rPr>
        <w:t>ی</w:t>
      </w:r>
      <w:r w:rsidRPr="0025250D">
        <w:rPr>
          <w:rFonts w:hint="eastAsia"/>
          <w:rtl/>
        </w:rPr>
        <w:t>رس</w:t>
      </w:r>
      <w:r w:rsidRPr="0025250D">
        <w:rPr>
          <w:rFonts w:hint="cs"/>
          <w:rtl/>
        </w:rPr>
        <w:t xml:space="preserve">ی، </w:t>
      </w:r>
      <w:r w:rsidR="0076586B" w:rsidRPr="0025250D">
        <w:rPr>
          <w:rFonts w:hint="cs"/>
          <w:rtl/>
        </w:rPr>
        <w:t>محافظین</w:t>
      </w:r>
      <w:r w:rsidRPr="0025250D">
        <w:rPr>
          <w:vertAlign w:val="superscript"/>
          <w:rtl/>
        </w:rPr>
        <w:footnoteReference w:id="626"/>
      </w:r>
      <w:r w:rsidRPr="0025250D">
        <w:rPr>
          <w:rFonts w:hint="cs"/>
          <w:rtl/>
        </w:rPr>
        <w:t xml:space="preserve"> اساس جامعه هستند. آن‌ها به دنبال حفظ وضعیت موجود و آنچه در گذشته کارایی داشته است،</w:t>
      </w:r>
      <w:r w:rsidRPr="0025250D">
        <w:rPr>
          <w:rFonts w:hint="cs"/>
        </w:rPr>
        <w:t>‌</w:t>
      </w:r>
      <w:r w:rsidRPr="0025250D">
        <w:rPr>
          <w:rFonts w:hint="cs"/>
          <w:rtl/>
        </w:rPr>
        <w:t xml:space="preserve"> می‌باشند. آن‌ها</w:t>
      </w:r>
      <w:r w:rsidRPr="0025250D">
        <w:rPr>
          <w:rFonts w:hint="cs"/>
        </w:rPr>
        <w:t>‌</w:t>
      </w:r>
      <w:r w:rsidRPr="0025250D">
        <w:rPr>
          <w:rFonts w:hint="cs"/>
          <w:rtl/>
        </w:rPr>
        <w:t xml:space="preserve"> می‌توانند به شدت جدی باشند. صنعتگران</w:t>
      </w:r>
      <w:r w:rsidRPr="0025250D">
        <w:rPr>
          <w:vertAlign w:val="superscript"/>
          <w:rtl/>
        </w:rPr>
        <w:footnoteReference w:id="627"/>
      </w:r>
      <w:r w:rsidRPr="0025250D">
        <w:rPr>
          <w:rFonts w:hint="cs"/>
          <w:rtl/>
        </w:rPr>
        <w:t xml:space="preserve"> خلاق و خودانگیخته‌تر هستند و از خوشی لذت</w:t>
      </w:r>
      <w:r w:rsidRPr="0025250D">
        <w:rPr>
          <w:rFonts w:hint="cs"/>
        </w:rPr>
        <w:t>‌</w:t>
      </w:r>
      <w:r w:rsidRPr="0025250D">
        <w:rPr>
          <w:rFonts w:hint="cs"/>
          <w:rtl/>
        </w:rPr>
        <w:t xml:space="preserve"> می‌برند. </w:t>
      </w:r>
      <w:r w:rsidR="00D30084" w:rsidRPr="0025250D">
        <w:rPr>
          <w:rFonts w:hint="cs"/>
          <w:rtl/>
        </w:rPr>
        <w:t>آرمان‌گرا</w:t>
      </w:r>
      <w:r w:rsidRPr="0025250D">
        <w:rPr>
          <w:rFonts w:hint="cs"/>
          <w:rtl/>
        </w:rPr>
        <w:t>یان</w:t>
      </w:r>
      <w:r w:rsidRPr="0025250D">
        <w:rPr>
          <w:vertAlign w:val="superscript"/>
          <w:rtl/>
        </w:rPr>
        <w:footnoteReference w:id="628"/>
      </w:r>
      <w:r w:rsidRPr="0025250D">
        <w:rPr>
          <w:rFonts w:hint="cs"/>
          <w:rtl/>
        </w:rPr>
        <w:t xml:space="preserve"> در مورد </w:t>
      </w:r>
      <w:r w:rsidR="00B56611" w:rsidRPr="0025250D">
        <w:rPr>
          <w:rFonts w:hint="cs"/>
          <w:rtl/>
        </w:rPr>
        <w:t>چشم‌انداز</w:t>
      </w:r>
      <w:r w:rsidRPr="0025250D">
        <w:rPr>
          <w:rFonts w:hint="cs"/>
          <w:rtl/>
        </w:rPr>
        <w:t>‌های مثبت، رشد و توسعه فردی مشتاق هستند. افراد منطقی</w:t>
      </w:r>
      <w:r w:rsidRPr="0025250D">
        <w:rPr>
          <w:vertAlign w:val="superscript"/>
          <w:rtl/>
        </w:rPr>
        <w:footnoteReference w:id="629"/>
      </w:r>
      <w:r w:rsidRPr="0025250D">
        <w:rPr>
          <w:rFonts w:hint="cs"/>
          <w:rtl/>
        </w:rPr>
        <w:t xml:space="preserve"> حلال مشکلات و منطقی هستند و برای شایستگی و نبوغ ارزش قائل هستند. درصد‌های مختلفی از این چهار نوع</w:t>
      </w:r>
      <w:r w:rsidRPr="0025250D">
        <w:rPr>
          <w:rFonts w:hint="cs"/>
        </w:rPr>
        <w:t>‌</w:t>
      </w:r>
      <w:r w:rsidRPr="0025250D">
        <w:rPr>
          <w:rFonts w:hint="cs"/>
          <w:rtl/>
        </w:rPr>
        <w:t xml:space="preserve"> می‌توانند در افراد، دوره‌ها، فرهنگ‌ها، سازمان‌ها و مشاغل مختلف یافت شوند. در سال‌های اخیر، </w:t>
      </w:r>
      <w:r w:rsidRPr="0025250D">
        <w:rPr>
          <w:rtl/>
        </w:rPr>
        <w:t>ک</w:t>
      </w:r>
      <w:r w:rsidRPr="0025250D">
        <w:rPr>
          <w:rFonts w:hint="cs"/>
          <w:rtl/>
        </w:rPr>
        <w:t>ی</w:t>
      </w:r>
      <w:r w:rsidRPr="0025250D">
        <w:rPr>
          <w:rFonts w:hint="eastAsia"/>
          <w:rtl/>
        </w:rPr>
        <w:t>رس</w:t>
      </w:r>
      <w:r w:rsidRPr="0025250D">
        <w:rPr>
          <w:rFonts w:hint="cs"/>
          <w:rtl/>
        </w:rPr>
        <w:t xml:space="preserve">ی تخمین زده که جمعیت آمریکا 45 درصد </w:t>
      </w:r>
      <w:r w:rsidR="00D30084" w:rsidRPr="0025250D">
        <w:rPr>
          <w:rFonts w:hint="cs"/>
          <w:rtl/>
        </w:rPr>
        <w:t>محافظ</w:t>
      </w:r>
      <w:r w:rsidRPr="0025250D">
        <w:rPr>
          <w:rFonts w:hint="cs"/>
          <w:rtl/>
        </w:rPr>
        <w:t xml:space="preserve">، 30 درصد صنعتگر، 15 درصد </w:t>
      </w:r>
      <w:r w:rsidR="00D30084" w:rsidRPr="0025250D">
        <w:rPr>
          <w:rFonts w:hint="cs"/>
          <w:rtl/>
        </w:rPr>
        <w:t>آرمان‌گرا</w:t>
      </w:r>
      <w:r w:rsidRPr="0025250D">
        <w:rPr>
          <w:rFonts w:hint="cs"/>
          <w:rtl/>
        </w:rPr>
        <w:t xml:space="preserve"> و 10 درصد منطقی هستند. تقسیم بندی </w:t>
      </w:r>
      <w:r w:rsidR="00D30084" w:rsidRPr="0025250D">
        <w:rPr>
          <w:rFonts w:hint="cs"/>
          <w:rtl/>
        </w:rPr>
        <w:t xml:space="preserve">خلق و خوی </w:t>
      </w:r>
      <w:r w:rsidRPr="0025250D">
        <w:rPr>
          <w:rtl/>
        </w:rPr>
        <w:t>ک</w:t>
      </w:r>
      <w:r w:rsidRPr="0025250D">
        <w:rPr>
          <w:rFonts w:hint="cs"/>
          <w:rtl/>
        </w:rPr>
        <w:t>ی</w:t>
      </w:r>
      <w:r w:rsidRPr="0025250D">
        <w:rPr>
          <w:rFonts w:hint="eastAsia"/>
          <w:rtl/>
        </w:rPr>
        <w:t>رس</w:t>
      </w:r>
      <w:r w:rsidRPr="0025250D">
        <w:rPr>
          <w:rFonts w:hint="cs"/>
          <w:rtl/>
        </w:rPr>
        <w:t>ی</w:t>
      </w:r>
      <w:r w:rsidRPr="0025250D">
        <w:rPr>
          <w:vertAlign w:val="superscript"/>
          <w:rtl/>
        </w:rPr>
        <w:footnoteReference w:id="630"/>
      </w:r>
      <w:r w:rsidRPr="0025250D">
        <w:rPr>
          <w:rFonts w:hint="cs"/>
          <w:rtl/>
        </w:rPr>
        <w:t xml:space="preserve"> شامل هفتاد پرسش رایگان است که یک ارزیابی </w:t>
      </w:r>
      <w:r w:rsidR="001A3F0A" w:rsidRPr="0025250D">
        <w:rPr>
          <w:rFonts w:hint="cs"/>
          <w:rtl/>
        </w:rPr>
        <w:t>فردی</w:t>
      </w:r>
      <w:r w:rsidRPr="0025250D">
        <w:rPr>
          <w:rFonts w:hint="cs"/>
          <w:rtl/>
        </w:rPr>
        <w:t xml:space="preserve"> آنلاین است که</w:t>
      </w:r>
      <w:r w:rsidRPr="0025250D">
        <w:rPr>
          <w:rFonts w:hint="cs"/>
        </w:rPr>
        <w:t>‌</w:t>
      </w:r>
      <w:r w:rsidRPr="0025250D">
        <w:rPr>
          <w:rFonts w:hint="cs"/>
          <w:rtl/>
        </w:rPr>
        <w:t xml:space="preserve"> می‌توانید آن را در 15 دقیقه انجام دهید. این آزمون نوع (انواع) </w:t>
      </w:r>
      <w:r w:rsidR="00D30084" w:rsidRPr="0025250D">
        <w:rPr>
          <w:rFonts w:hint="cs"/>
          <w:rtl/>
        </w:rPr>
        <w:t xml:space="preserve">خلق و </w:t>
      </w:r>
      <w:r w:rsidR="00D30084" w:rsidRPr="0025250D">
        <w:rPr>
          <w:rFonts w:hint="cs"/>
          <w:rtl/>
        </w:rPr>
        <w:lastRenderedPageBreak/>
        <w:t xml:space="preserve">خوی </w:t>
      </w:r>
      <w:r w:rsidRPr="0025250D">
        <w:rPr>
          <w:rFonts w:hint="cs"/>
          <w:rtl/>
        </w:rPr>
        <w:t>اصلی شما و برخی انواع جزئی‌تر هوش</w:t>
      </w:r>
      <w:r w:rsidRPr="0025250D">
        <w:rPr>
          <w:vertAlign w:val="superscript"/>
          <w:rtl/>
        </w:rPr>
        <w:footnoteReference w:id="631"/>
      </w:r>
      <w:r w:rsidRPr="0025250D">
        <w:rPr>
          <w:rFonts w:hint="cs"/>
          <w:rtl/>
        </w:rPr>
        <w:t xml:space="preserve"> مربوط به </w:t>
      </w:r>
      <w:r w:rsidRPr="0025250D">
        <w:t>MBTI</w:t>
      </w:r>
      <w:r w:rsidRPr="0025250D">
        <w:rPr>
          <w:rFonts w:hint="cs"/>
          <w:rtl/>
        </w:rPr>
        <w:t xml:space="preserve"> را به شما</w:t>
      </w:r>
      <w:r w:rsidRPr="0025250D">
        <w:rPr>
          <w:rFonts w:hint="cs"/>
        </w:rPr>
        <w:t>‌</w:t>
      </w:r>
      <w:r w:rsidRPr="0025250D">
        <w:rPr>
          <w:rFonts w:hint="cs"/>
          <w:rtl/>
        </w:rPr>
        <w:t xml:space="preserve"> می‌گوید. شما</w:t>
      </w:r>
      <w:r w:rsidRPr="0025250D">
        <w:rPr>
          <w:rFonts w:hint="cs"/>
        </w:rPr>
        <w:t>‌</w:t>
      </w:r>
      <w:r w:rsidRPr="0025250D">
        <w:rPr>
          <w:rFonts w:hint="cs"/>
          <w:rtl/>
        </w:rPr>
        <w:t xml:space="preserve"> می‌توانید همچنین از تیم و سازمانتان بخواهید که این آزمون رایگان یا انواع غیر رایگان آن را در سایت </w:t>
      </w:r>
      <w:r w:rsidRPr="0025250D">
        <w:t>Keirsey.com</w:t>
      </w:r>
      <w:r w:rsidRPr="0025250D">
        <w:rPr>
          <w:rFonts w:hint="cs"/>
          <w:rtl/>
        </w:rPr>
        <w:t xml:space="preserve"> انجام دهند. کتاب لطفا مرا درک کن 2</w:t>
      </w:r>
      <w:r w:rsidRPr="0025250D">
        <w:rPr>
          <w:vertAlign w:val="superscript"/>
          <w:rtl/>
        </w:rPr>
        <w:footnoteReference w:id="632"/>
      </w:r>
      <w:r w:rsidRPr="0025250D">
        <w:rPr>
          <w:rFonts w:hint="cs"/>
          <w:rtl/>
        </w:rPr>
        <w:t xml:space="preserve">، 1998، اثر </w:t>
      </w:r>
      <w:r w:rsidRPr="0025250D">
        <w:rPr>
          <w:rtl/>
        </w:rPr>
        <w:t>ک</w:t>
      </w:r>
      <w:r w:rsidRPr="0025250D">
        <w:rPr>
          <w:rFonts w:hint="cs"/>
          <w:rtl/>
        </w:rPr>
        <w:t>ی</w:t>
      </w:r>
      <w:r w:rsidRPr="0025250D">
        <w:rPr>
          <w:rFonts w:hint="eastAsia"/>
          <w:rtl/>
        </w:rPr>
        <w:t>رس</w:t>
      </w:r>
      <w:r w:rsidRPr="0025250D">
        <w:rPr>
          <w:rFonts w:hint="cs"/>
          <w:rtl/>
        </w:rPr>
        <w:t xml:space="preserve">ی، متن کلاسیک برای کاوش این چهار نوع </w:t>
      </w:r>
      <w:r w:rsidR="00D30084" w:rsidRPr="0025250D">
        <w:rPr>
          <w:rFonts w:hint="cs"/>
          <w:rtl/>
        </w:rPr>
        <w:t xml:space="preserve">خلق و خو </w:t>
      </w:r>
      <w:r w:rsidRPr="0025250D">
        <w:rPr>
          <w:rFonts w:hint="cs"/>
          <w:rtl/>
        </w:rPr>
        <w:t xml:space="preserve">در جامعه و در تیم هاست. کتاب تصاویری از </w:t>
      </w:r>
      <w:r w:rsidR="00D30084" w:rsidRPr="0025250D">
        <w:rPr>
          <w:rFonts w:hint="cs"/>
          <w:rtl/>
        </w:rPr>
        <w:t>خلق و خو</w:t>
      </w:r>
      <w:r w:rsidRPr="0025250D">
        <w:rPr>
          <w:vertAlign w:val="superscript"/>
          <w:rtl/>
        </w:rPr>
        <w:footnoteReference w:id="633"/>
      </w:r>
      <w:r w:rsidRPr="0025250D">
        <w:rPr>
          <w:rFonts w:hint="cs"/>
          <w:rtl/>
        </w:rPr>
        <w:t xml:space="preserve"> اثر </w:t>
      </w:r>
      <w:r w:rsidRPr="0025250D">
        <w:rPr>
          <w:rtl/>
        </w:rPr>
        <w:t>ک</w:t>
      </w:r>
      <w:r w:rsidRPr="0025250D">
        <w:rPr>
          <w:rFonts w:hint="cs"/>
          <w:rtl/>
        </w:rPr>
        <w:t>ی</w:t>
      </w:r>
      <w:r w:rsidRPr="0025250D">
        <w:rPr>
          <w:rFonts w:hint="eastAsia"/>
          <w:rtl/>
        </w:rPr>
        <w:t>رس</w:t>
      </w:r>
      <w:r w:rsidRPr="0025250D">
        <w:rPr>
          <w:rFonts w:hint="cs"/>
          <w:rtl/>
        </w:rPr>
        <w:t>ی، ویرایش دوم، 1998، یک مقدمه مختصر‌تر ارائه</w:t>
      </w:r>
      <w:r w:rsidRPr="0025250D">
        <w:rPr>
          <w:rFonts w:hint="cs"/>
        </w:rPr>
        <w:t>‌</w:t>
      </w:r>
      <w:r w:rsidRPr="0025250D">
        <w:rPr>
          <w:rFonts w:hint="cs"/>
          <w:rtl/>
        </w:rPr>
        <w:t xml:space="preserve"> می‌دهد.</w:t>
      </w:r>
    </w:p>
    <w:p w14:paraId="11561A37" w14:textId="53D0F046" w:rsidR="0020732A" w:rsidRPr="0025250D" w:rsidRDefault="0020732A" w:rsidP="0020732A">
      <w:pPr>
        <w:rPr>
          <w:rtl/>
        </w:rPr>
      </w:pPr>
      <w:r w:rsidRPr="0025250D">
        <w:rPr>
          <w:rFonts w:hint="cs"/>
          <w:rtl/>
        </w:rPr>
        <w:t xml:space="preserve">تصویر زیر انواع </w:t>
      </w:r>
      <w:r w:rsidR="00D30084" w:rsidRPr="0025250D">
        <w:rPr>
          <w:rFonts w:hint="cs"/>
          <w:rtl/>
        </w:rPr>
        <w:t xml:space="preserve">خلق و خوی </w:t>
      </w:r>
      <w:r w:rsidRPr="0025250D">
        <w:rPr>
          <w:rFonts w:hint="cs"/>
          <w:rtl/>
        </w:rPr>
        <w:t xml:space="preserve">معرفی شده توسط </w:t>
      </w:r>
      <w:r w:rsidRPr="0025250D">
        <w:rPr>
          <w:rtl/>
        </w:rPr>
        <w:t>ک</w:t>
      </w:r>
      <w:r w:rsidRPr="0025250D">
        <w:rPr>
          <w:rFonts w:hint="cs"/>
          <w:rtl/>
        </w:rPr>
        <w:t>ی</w:t>
      </w:r>
      <w:r w:rsidRPr="0025250D">
        <w:rPr>
          <w:rFonts w:hint="eastAsia"/>
          <w:rtl/>
        </w:rPr>
        <w:t>رس</w:t>
      </w:r>
      <w:r w:rsidRPr="0025250D">
        <w:rPr>
          <w:rFonts w:hint="cs"/>
          <w:rtl/>
        </w:rPr>
        <w:t xml:space="preserve">ی و روابط نزدیک آن‌ها با مدل چهار </w:t>
      </w:r>
      <w:r w:rsidRPr="0025250D">
        <w:t>P</w:t>
      </w:r>
      <w:r w:rsidRPr="0025250D">
        <w:rPr>
          <w:rFonts w:hint="cs"/>
          <w:rtl/>
        </w:rPr>
        <w:t xml:space="preserve"> را بیان</w:t>
      </w:r>
      <w:r w:rsidRPr="0025250D">
        <w:rPr>
          <w:rFonts w:hint="cs"/>
        </w:rPr>
        <w:t>‌</w:t>
      </w:r>
      <w:r w:rsidRPr="0025250D">
        <w:rPr>
          <w:rFonts w:hint="cs"/>
          <w:rtl/>
        </w:rPr>
        <w:t xml:space="preserve"> می‌کند. دانستن این‌که چه کسی در تیم شما</w:t>
      </w:r>
      <w:r w:rsidRPr="0025250D">
        <w:rPr>
          <w:rFonts w:hint="cs"/>
        </w:rPr>
        <w:t>‌</w:t>
      </w:r>
      <w:r w:rsidRPr="0025250D">
        <w:rPr>
          <w:rFonts w:hint="cs"/>
          <w:rtl/>
        </w:rPr>
        <w:t xml:space="preserve"> می‌تواند با کدام یک از این </w:t>
      </w:r>
      <w:r w:rsidR="00D30084" w:rsidRPr="0025250D">
        <w:rPr>
          <w:rFonts w:hint="cs"/>
          <w:rtl/>
        </w:rPr>
        <w:t xml:space="preserve">خلق و خوها </w:t>
      </w:r>
      <w:r w:rsidRPr="0025250D">
        <w:rPr>
          <w:rFonts w:hint="cs"/>
          <w:rtl/>
        </w:rPr>
        <w:t xml:space="preserve">یا ترکیبات </w:t>
      </w:r>
      <w:r w:rsidR="00D30084" w:rsidRPr="0025250D">
        <w:rPr>
          <w:rFonts w:hint="cs"/>
          <w:rtl/>
        </w:rPr>
        <w:t xml:space="preserve">خلق و خوها </w:t>
      </w:r>
      <w:r w:rsidRPr="0025250D">
        <w:rPr>
          <w:rFonts w:hint="cs"/>
          <w:rtl/>
        </w:rPr>
        <w:t xml:space="preserve">توصیف شود و اطمینان از این‌که هر </w:t>
      </w:r>
      <w:r w:rsidR="00D30084" w:rsidRPr="0025250D">
        <w:rPr>
          <w:rFonts w:hint="cs"/>
          <w:rtl/>
        </w:rPr>
        <w:t xml:space="preserve">خلق و خویی </w:t>
      </w:r>
      <w:r w:rsidRPr="0025250D">
        <w:rPr>
          <w:rFonts w:hint="cs"/>
          <w:rtl/>
        </w:rPr>
        <w:t>به اندازه کافی در بحث‌ها امکان اظهار خود را دارد،</w:t>
      </w:r>
      <w:r w:rsidRPr="0025250D">
        <w:rPr>
          <w:rFonts w:hint="cs"/>
        </w:rPr>
        <w:t>‌</w:t>
      </w:r>
      <w:r w:rsidRPr="0025250D">
        <w:rPr>
          <w:rFonts w:hint="cs"/>
          <w:rtl/>
        </w:rPr>
        <w:t xml:space="preserve"> می‌تواند کمک شایانی به رهبران در مدیریت تضاد آینده‌نگاری نماید.</w:t>
      </w:r>
    </w:p>
    <w:p w14:paraId="2F387A03" w14:textId="3603DA94" w:rsidR="0020732A" w:rsidRPr="0025250D" w:rsidRDefault="001F5BB0" w:rsidP="001312B6">
      <w:pPr>
        <w:jc w:val="center"/>
        <w:rPr>
          <w:rtl/>
        </w:rPr>
      </w:pPr>
      <w:r w:rsidRPr="0025250D">
        <w:rPr>
          <w:noProof/>
          <w:lang w:bidi="ar-SA"/>
        </w:rPr>
        <w:drawing>
          <wp:inline distT="0" distB="0" distL="0" distR="0" wp14:anchorId="6AC14882" wp14:editId="2157EB23">
            <wp:extent cx="4567522" cy="4039262"/>
            <wp:effectExtent l="0" t="0" r="508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print">
                      <a:extLst>
                        <a:ext uri="{BEBA8EAE-BF5A-486C-A8C5-ECC9F3942E4B}">
                          <a14:imgProps xmlns:a14="http://schemas.microsoft.com/office/drawing/2010/main">
                            <a14:imgLayer r:embed="rId70">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4599323" cy="4067385"/>
                    </a:xfrm>
                    <a:prstGeom prst="rect">
                      <a:avLst/>
                    </a:prstGeom>
                    <a:noFill/>
                  </pic:spPr>
                </pic:pic>
              </a:graphicData>
            </a:graphic>
          </wp:inline>
        </w:drawing>
      </w:r>
    </w:p>
    <w:p w14:paraId="24AD8A40" w14:textId="77777777" w:rsidR="0020732A" w:rsidRPr="0025250D" w:rsidRDefault="0020732A" w:rsidP="001312B6">
      <w:pPr>
        <w:jc w:val="center"/>
        <w:rPr>
          <w:rtl/>
        </w:rPr>
      </w:pPr>
      <w:r w:rsidRPr="0025250D">
        <w:rPr>
          <w:rFonts w:hint="cs"/>
          <w:rtl/>
        </w:rPr>
        <w:t xml:space="preserve">چهار خلق و خوی کیرسی </w:t>
      </w:r>
      <w:r w:rsidRPr="0025250D">
        <w:rPr>
          <w:rFonts w:cs="Times New Roman" w:hint="cs"/>
          <w:rtl/>
        </w:rPr>
        <w:t>–</w:t>
      </w:r>
      <w:r w:rsidRPr="0025250D">
        <w:rPr>
          <w:rFonts w:hint="cs"/>
          <w:rtl/>
        </w:rPr>
        <w:t xml:space="preserve"> ترجیحات برای چهار </w:t>
      </w:r>
      <w:r w:rsidRPr="0025250D">
        <w:t>P</w:t>
      </w:r>
      <w:r w:rsidRPr="0025250D">
        <w:rPr>
          <w:rFonts w:hint="cs"/>
          <w:rtl/>
        </w:rPr>
        <w:t xml:space="preserve"> (لطفا مرا بفهمید 2، 1998)</w:t>
      </w:r>
    </w:p>
    <w:p w14:paraId="309D85D4" w14:textId="5F822D5D" w:rsidR="0020732A" w:rsidRPr="0025250D" w:rsidRDefault="0020732A" w:rsidP="0020732A">
      <w:pPr>
        <w:rPr>
          <w:rtl/>
        </w:rPr>
      </w:pPr>
      <w:r w:rsidRPr="0025250D">
        <w:rPr>
          <w:rFonts w:hint="cs"/>
          <w:rtl/>
        </w:rPr>
        <w:t>درس‌های زیادی در زمینه تقابل ذهنی</w:t>
      </w:r>
      <w:r w:rsidRPr="0025250D">
        <w:rPr>
          <w:rFonts w:hint="cs"/>
        </w:rPr>
        <w:t>‌</w:t>
      </w:r>
      <w:r w:rsidRPr="0025250D">
        <w:rPr>
          <w:rFonts w:hint="cs"/>
          <w:rtl/>
        </w:rPr>
        <w:t xml:space="preserve"> می‌توان از مدل </w:t>
      </w:r>
      <w:r w:rsidRPr="0025250D">
        <w:rPr>
          <w:rtl/>
        </w:rPr>
        <w:t>ک</w:t>
      </w:r>
      <w:r w:rsidRPr="0025250D">
        <w:rPr>
          <w:rFonts w:hint="cs"/>
          <w:rtl/>
        </w:rPr>
        <w:t>ی</w:t>
      </w:r>
      <w:r w:rsidRPr="0025250D">
        <w:rPr>
          <w:rFonts w:hint="eastAsia"/>
          <w:rtl/>
        </w:rPr>
        <w:t>رس</w:t>
      </w:r>
      <w:r w:rsidRPr="0025250D">
        <w:rPr>
          <w:rFonts w:hint="cs"/>
          <w:rtl/>
        </w:rPr>
        <w:t xml:space="preserve">ی آموخت. برای مثال، اگر ما خود را </w:t>
      </w:r>
      <w:r w:rsidR="00D30084" w:rsidRPr="0025250D">
        <w:rPr>
          <w:rFonts w:hint="cs"/>
          <w:rtl/>
        </w:rPr>
        <w:t>آرمان‌گرا</w:t>
      </w:r>
      <w:r w:rsidRPr="0025250D">
        <w:rPr>
          <w:rFonts w:hint="cs"/>
          <w:rtl/>
        </w:rPr>
        <w:t xml:space="preserve"> تشخیص دهیم که برخی (اما قطعا نه همه) از </w:t>
      </w:r>
      <w:r w:rsidR="00D30084" w:rsidRPr="0025250D">
        <w:rPr>
          <w:rFonts w:hint="cs"/>
          <w:rtl/>
        </w:rPr>
        <w:t>آینده‌نگار</w:t>
      </w:r>
      <w:r w:rsidRPr="0025250D">
        <w:rPr>
          <w:rFonts w:hint="cs"/>
          <w:rtl/>
        </w:rPr>
        <w:t xml:space="preserve">ان این چنین هستند، ما باید به خود یادآوری کنیم که عملی‌ترین و ارزشمند‌ترین شکل </w:t>
      </w:r>
      <w:r w:rsidR="00D30084" w:rsidRPr="0025250D">
        <w:rPr>
          <w:rFonts w:hint="cs"/>
          <w:rtl/>
        </w:rPr>
        <w:t>آرمان‌گرا</w:t>
      </w:r>
      <w:r w:rsidRPr="0025250D">
        <w:rPr>
          <w:rFonts w:hint="cs"/>
          <w:rtl/>
        </w:rPr>
        <w:t xml:space="preserve">یی خوش‌بینی راهبردی، بیش‌تر در زمان حال و کوتاه مدت و فقط مقدار کمی تفکر ترجیحی، در هر قانون توانی برای تفکر آینده و جهت دهی شده به سمت آینده بلند مدت است. به‌عنوان افراد </w:t>
      </w:r>
      <w:r w:rsidR="00D30084" w:rsidRPr="0025250D">
        <w:rPr>
          <w:rFonts w:hint="cs"/>
          <w:rtl/>
        </w:rPr>
        <w:t>آرمان‌گرا</w:t>
      </w:r>
      <w:r w:rsidRPr="0025250D">
        <w:rPr>
          <w:rFonts w:hint="cs"/>
          <w:rtl/>
        </w:rPr>
        <w:t xml:space="preserve">، ما همچنین باید تفکر زیادی در مورد این‌که باید از چه دام‌ها و مخاطراتی جلوگیری کنیم داشته باشیم و به‌صورت نزدیکی با همکاران منطقی مان برای یافتن تعداد بیش‌تری از این دام‌ها و با همکاران </w:t>
      </w:r>
      <w:r w:rsidR="00D30084" w:rsidRPr="0025250D">
        <w:rPr>
          <w:rFonts w:hint="cs"/>
          <w:rtl/>
        </w:rPr>
        <w:t>محافظ</w:t>
      </w:r>
      <w:r w:rsidRPr="0025250D">
        <w:rPr>
          <w:rFonts w:hint="cs"/>
          <w:rtl/>
        </w:rPr>
        <w:t xml:space="preserve"> و صنعتگرمان برای بررسی محدودیت‌ها و شرایط محتمل و موارد ممکن و عدم قطعی پنهانِ پیش رو کار کنیم. اگر خود را به‌عنوان فردی منطقی شناسایی کنیم، در مقابل،</w:t>
      </w:r>
      <w:r w:rsidRPr="0025250D">
        <w:rPr>
          <w:rFonts w:hint="cs"/>
        </w:rPr>
        <w:t>‌</w:t>
      </w:r>
      <w:r w:rsidRPr="0025250D">
        <w:rPr>
          <w:rFonts w:hint="cs"/>
          <w:rtl/>
        </w:rPr>
        <w:t xml:space="preserve"> می‌توانیم از قدرت طبیعی مان در بدبینی تدافعی استفاده کنیم. ما دوست داریم که مسائل و مشکلات را شناسایی و حل کنیم، اما باید به یاد داشته باشیم که </w:t>
      </w:r>
      <w:r w:rsidRPr="0025250D">
        <w:rPr>
          <w:rFonts w:hint="cs"/>
          <w:rtl/>
        </w:rPr>
        <w:lastRenderedPageBreak/>
        <w:t>تفکر فرصت گرایانه</w:t>
      </w:r>
      <w:r w:rsidRPr="0025250D">
        <w:rPr>
          <w:vertAlign w:val="superscript"/>
          <w:rtl/>
        </w:rPr>
        <w:footnoteReference w:id="634"/>
      </w:r>
      <w:r w:rsidRPr="0025250D">
        <w:rPr>
          <w:rFonts w:hint="cs"/>
          <w:rtl/>
        </w:rPr>
        <w:t xml:space="preserve"> و کار با همکاران </w:t>
      </w:r>
      <w:r w:rsidR="00D30084" w:rsidRPr="0025250D">
        <w:rPr>
          <w:rFonts w:hint="cs"/>
          <w:rtl/>
        </w:rPr>
        <w:t>آرمان‌گرا</w:t>
      </w:r>
      <w:r w:rsidRPr="0025250D">
        <w:rPr>
          <w:rFonts w:hint="cs"/>
        </w:rPr>
        <w:t>‌</w:t>
      </w:r>
      <w:r w:rsidRPr="0025250D">
        <w:rPr>
          <w:rFonts w:hint="cs"/>
          <w:rtl/>
        </w:rPr>
        <w:t xml:space="preserve"> می‌تواند به ما برای یافتن بهترین مسائل برای حل، یعنی مسائلی که بیش‌ترین فواید را برای ما و تیممان دارند، کمک کند. اگر افرادی </w:t>
      </w:r>
      <w:r w:rsidR="00D30084" w:rsidRPr="0025250D">
        <w:rPr>
          <w:rFonts w:hint="cs"/>
          <w:rtl/>
        </w:rPr>
        <w:t>محافظ</w:t>
      </w:r>
      <w:r w:rsidRPr="0025250D">
        <w:rPr>
          <w:rFonts w:hint="cs"/>
          <w:rtl/>
        </w:rPr>
        <w:t xml:space="preserve"> یا صنعتگر باشیم،</w:t>
      </w:r>
      <w:r w:rsidRPr="0025250D">
        <w:rPr>
          <w:rFonts w:hint="cs"/>
        </w:rPr>
        <w:t>‌</w:t>
      </w:r>
      <w:r w:rsidRPr="0025250D">
        <w:rPr>
          <w:rFonts w:hint="cs"/>
          <w:rtl/>
        </w:rPr>
        <w:t xml:space="preserve"> می‌توانیم باز هم قدرت‌های منحصر به فرد خود را بیابیم و ارزش انواع دیگر را درک کنیم. </w:t>
      </w:r>
      <w:r w:rsidR="0076586B" w:rsidRPr="0025250D">
        <w:rPr>
          <w:rFonts w:hint="cs"/>
          <w:rtl/>
        </w:rPr>
        <w:t>محافظین</w:t>
      </w:r>
      <w:r w:rsidRPr="0025250D">
        <w:rPr>
          <w:rFonts w:hint="cs"/>
        </w:rPr>
        <w:t>‌</w:t>
      </w:r>
      <w:r w:rsidRPr="0025250D">
        <w:rPr>
          <w:rFonts w:hint="cs"/>
          <w:rtl/>
        </w:rPr>
        <w:t xml:space="preserve"> می‌توانند به ما بگویند که تابه‌حال چه مواردی به خوبی کار کرده‌اند و صنعتگران</w:t>
      </w:r>
      <w:r w:rsidRPr="0025250D">
        <w:rPr>
          <w:rFonts w:hint="cs"/>
        </w:rPr>
        <w:t>‌</w:t>
      </w:r>
      <w:r w:rsidRPr="0025250D">
        <w:rPr>
          <w:rFonts w:hint="cs"/>
          <w:rtl/>
        </w:rPr>
        <w:t xml:space="preserve"> می‌توانند آنچه را که </w:t>
      </w:r>
      <w:r w:rsidR="00B56611" w:rsidRPr="0025250D">
        <w:rPr>
          <w:rFonts w:hint="cs"/>
          <w:rtl/>
        </w:rPr>
        <w:t>چشم‌انداز</w:t>
      </w:r>
      <w:r w:rsidRPr="0025250D">
        <w:rPr>
          <w:rFonts w:hint="cs"/>
          <w:rtl/>
        </w:rPr>
        <w:t>‌ها، منطق و مدارک ما</w:t>
      </w:r>
      <w:r w:rsidR="00EE4B64" w:rsidRPr="0025250D">
        <w:rPr>
          <w:rFonts w:hint="cs"/>
          <w:rtl/>
        </w:rPr>
        <w:t xml:space="preserve"> نمی‌</w:t>
      </w:r>
      <w:r w:rsidRPr="0025250D">
        <w:rPr>
          <w:rFonts w:hint="cs"/>
          <w:rtl/>
        </w:rPr>
        <w:t>توانند ببینند، به ما نشان دهند. این مدل ارزش هر چهار نوع ارزیابی را در ایجاد آینده‌نگاری به ما یادآوری</w:t>
      </w:r>
      <w:r w:rsidRPr="0025250D">
        <w:rPr>
          <w:rFonts w:hint="cs"/>
        </w:rPr>
        <w:t>‌</w:t>
      </w:r>
      <w:r w:rsidRPr="0025250D">
        <w:rPr>
          <w:rFonts w:hint="cs"/>
          <w:rtl/>
        </w:rPr>
        <w:t xml:space="preserve"> می‌کند.</w:t>
      </w:r>
    </w:p>
    <w:p w14:paraId="2623E1EB" w14:textId="0D7058BE" w:rsidR="0020732A" w:rsidRPr="0025250D" w:rsidRDefault="0020732A" w:rsidP="0020732A">
      <w:pPr>
        <w:rPr>
          <w:rtl/>
        </w:rPr>
      </w:pPr>
      <w:r w:rsidRPr="0025250D">
        <w:rPr>
          <w:rFonts w:hint="cs"/>
          <w:rtl/>
        </w:rPr>
        <w:t>کدام یک از روحیات را برای استفاده در آینده‌نگاری ترجیح</w:t>
      </w:r>
      <w:r w:rsidRPr="0025250D">
        <w:rPr>
          <w:rFonts w:hint="cs"/>
        </w:rPr>
        <w:t>‌</w:t>
      </w:r>
      <w:r w:rsidRPr="0025250D">
        <w:rPr>
          <w:rFonts w:hint="cs"/>
          <w:rtl/>
        </w:rPr>
        <w:t xml:space="preserve"> می‌دهید؟ در کدام دامنه ها؟ آزمون </w:t>
      </w:r>
      <w:r w:rsidRPr="0025250D">
        <w:rPr>
          <w:rtl/>
        </w:rPr>
        <w:t>ک</w:t>
      </w:r>
      <w:r w:rsidRPr="0025250D">
        <w:rPr>
          <w:rFonts w:hint="cs"/>
          <w:rtl/>
        </w:rPr>
        <w:t>ی</w:t>
      </w:r>
      <w:r w:rsidRPr="0025250D">
        <w:rPr>
          <w:rFonts w:hint="eastAsia"/>
          <w:rtl/>
        </w:rPr>
        <w:t>رس</w:t>
      </w:r>
      <w:r w:rsidRPr="0025250D">
        <w:rPr>
          <w:rFonts w:hint="cs"/>
          <w:rtl/>
        </w:rPr>
        <w:t xml:space="preserve">ی را برای درک ترجیحات معمولتان در همه این شش دامنه انجام دهید. هنوز هیچ آزمون </w:t>
      </w:r>
      <w:r w:rsidRPr="0025250D">
        <w:rPr>
          <w:rtl/>
        </w:rPr>
        <w:t>ک</w:t>
      </w:r>
      <w:r w:rsidRPr="0025250D">
        <w:rPr>
          <w:rFonts w:hint="cs"/>
          <w:rtl/>
        </w:rPr>
        <w:t>ی</w:t>
      </w:r>
      <w:r w:rsidRPr="0025250D">
        <w:rPr>
          <w:rFonts w:hint="eastAsia"/>
          <w:rtl/>
        </w:rPr>
        <w:t>رس</w:t>
      </w:r>
      <w:r w:rsidRPr="0025250D">
        <w:rPr>
          <w:rFonts w:hint="cs"/>
          <w:rtl/>
        </w:rPr>
        <w:t xml:space="preserve">ی که خاص هر دامنه باشد موجود نیست. در مدل‌های تکاملی-توسعه‌ای، دامنه‌های </w:t>
      </w:r>
      <w:r w:rsidR="001A3F0A" w:rsidRPr="0025250D">
        <w:rPr>
          <w:rFonts w:hint="cs"/>
          <w:rtl/>
        </w:rPr>
        <w:t>فردی</w:t>
      </w:r>
      <w:r w:rsidRPr="0025250D">
        <w:rPr>
          <w:rFonts w:hint="cs"/>
          <w:rtl/>
        </w:rPr>
        <w:t xml:space="preserve"> و تیمی غالبا تکاملی هستند، دامنه‌های جهانی و فراگیر غالبا توسعه‌ای هستند و دامنه‌های سازمانی و اجتماعی غالبا به‌صورت ترکیبی یا </w:t>
      </w:r>
      <w:r w:rsidRPr="0025250D">
        <w:rPr>
          <w:rtl/>
        </w:rPr>
        <w:t xml:space="preserve">تکاملی-توسعه‌ای </w:t>
      </w:r>
      <w:r w:rsidRPr="0025250D">
        <w:rPr>
          <w:rFonts w:hint="cs"/>
          <w:rtl/>
        </w:rPr>
        <w:t xml:space="preserve">هستند. این به این معنی است که ممکن است مجموعه نسبتا متفاوتی از </w:t>
      </w:r>
      <w:r w:rsidR="00D30084" w:rsidRPr="0025250D">
        <w:rPr>
          <w:rFonts w:hint="cs"/>
          <w:rtl/>
        </w:rPr>
        <w:t>خلق و خوها</w:t>
      </w:r>
      <w:r w:rsidRPr="0025250D">
        <w:rPr>
          <w:rFonts w:hint="cs"/>
          <w:rtl/>
        </w:rPr>
        <w:t xml:space="preserve"> را در هر یک از این سه مجموعه از دامنه‌های آینده‌نگاری داشته باشیم.</w:t>
      </w:r>
    </w:p>
    <w:p w14:paraId="499ECE49" w14:textId="0DA5E870" w:rsidR="0020732A" w:rsidRPr="0025250D" w:rsidRDefault="0020732A" w:rsidP="0020732A">
      <w:pPr>
        <w:rPr>
          <w:rtl/>
        </w:rPr>
      </w:pPr>
      <w:r w:rsidRPr="0025250D">
        <w:rPr>
          <w:rFonts w:hint="cs"/>
          <w:rtl/>
        </w:rPr>
        <w:t xml:space="preserve">به‌عنوان یک مثال </w:t>
      </w:r>
      <w:r w:rsidR="001A3F0A" w:rsidRPr="0025250D">
        <w:rPr>
          <w:rFonts w:hint="cs"/>
          <w:rtl/>
        </w:rPr>
        <w:t>فردی</w:t>
      </w:r>
      <w:r w:rsidRPr="0025250D">
        <w:rPr>
          <w:rFonts w:hint="cs"/>
          <w:rtl/>
        </w:rPr>
        <w:t xml:space="preserve">، به زبان شش دامنه، </w:t>
      </w:r>
      <w:r w:rsidRPr="0025250D">
        <w:rPr>
          <w:rtl/>
        </w:rPr>
        <w:t>جان</w:t>
      </w:r>
      <w:r w:rsidRPr="0025250D">
        <w:rPr>
          <w:rFonts w:hint="cs"/>
          <w:rtl/>
        </w:rPr>
        <w:t xml:space="preserve"> تمایل دارد که در جستجو برای یافتن و حفاظت از دانش فراگیر یک </w:t>
      </w:r>
      <w:r w:rsidR="00D30084" w:rsidRPr="0025250D">
        <w:rPr>
          <w:rFonts w:hint="cs"/>
          <w:rtl/>
        </w:rPr>
        <w:t>محافظ</w:t>
      </w:r>
      <w:r w:rsidRPr="0025250D">
        <w:rPr>
          <w:rFonts w:hint="cs"/>
          <w:rtl/>
        </w:rPr>
        <w:t xml:space="preserve"> باشد، در جستجوی </w:t>
      </w:r>
      <w:r w:rsidR="00B56611" w:rsidRPr="0025250D">
        <w:rPr>
          <w:rFonts w:hint="cs"/>
          <w:rtl/>
        </w:rPr>
        <w:t>چشم‌انداز</w:t>
      </w:r>
      <w:r w:rsidRPr="0025250D">
        <w:rPr>
          <w:rFonts w:hint="cs"/>
          <w:rtl/>
        </w:rPr>
        <w:t xml:space="preserve">‌های اجتماعی و فراگیر یک </w:t>
      </w:r>
      <w:r w:rsidR="00D30084" w:rsidRPr="0025250D">
        <w:rPr>
          <w:rFonts w:hint="cs"/>
          <w:rtl/>
        </w:rPr>
        <w:t>آرمان‌گرا</w:t>
      </w:r>
      <w:r w:rsidRPr="0025250D">
        <w:rPr>
          <w:rFonts w:hint="cs"/>
          <w:rtl/>
        </w:rPr>
        <w:t xml:space="preserve"> باشد و در تحلیل مسائل سازمانی و اجتماعی یک فرد منطقی باشد. در شرایط جدید در تیم‌های کوچک، او اغلب یک صنعتگر است و بنابراین</w:t>
      </w:r>
      <w:r w:rsidRPr="0025250D">
        <w:rPr>
          <w:rFonts w:hint="cs"/>
        </w:rPr>
        <w:t>‌</w:t>
      </w:r>
      <w:r w:rsidRPr="0025250D">
        <w:rPr>
          <w:rFonts w:hint="cs"/>
          <w:rtl/>
        </w:rPr>
        <w:t xml:space="preserve"> می‌تواند </w:t>
      </w:r>
      <w:r w:rsidR="00B0171C" w:rsidRPr="0025250D">
        <w:rPr>
          <w:rFonts w:hint="cs"/>
          <w:rtl/>
        </w:rPr>
        <w:t>به‌سادگی</w:t>
      </w:r>
      <w:r w:rsidRPr="0025250D">
        <w:rPr>
          <w:rFonts w:hint="cs"/>
          <w:rtl/>
        </w:rPr>
        <w:t xml:space="preserve"> در آزمایش‌ها و ایده پردازی‌ها زیاده روی کند و باید به خود یادآوری کند که نظر و توافق گروه را قبل از عمل کسب کند. در حقیقت، همه ما، بسته به بافت در گسترده‌ای از این هرم قرار داریم. هرچه بهتر استفاده خود و دیگران را از این چهار روحیه ببینیم، تفکر و عمل ما بهتر خواهد بود.</w:t>
      </w:r>
    </w:p>
    <w:p w14:paraId="6C5C9F28" w14:textId="36CB46C0" w:rsidR="0020732A" w:rsidRPr="0025250D" w:rsidRDefault="0020732A" w:rsidP="0020732A">
      <w:pPr>
        <w:rPr>
          <w:rtl/>
        </w:rPr>
      </w:pPr>
      <w:r w:rsidRPr="0025250D">
        <w:rPr>
          <w:rFonts w:hint="cs"/>
          <w:rtl/>
        </w:rPr>
        <w:t xml:space="preserve">چهار </w:t>
      </w:r>
      <w:r w:rsidRPr="0025250D">
        <w:t>P</w:t>
      </w:r>
      <w:r w:rsidRPr="0025250D">
        <w:rPr>
          <w:rFonts w:hint="cs"/>
          <w:rtl/>
        </w:rPr>
        <w:t xml:space="preserve"> با همه مزایای خود مدل کاملی از آینده‌نگاری </w:t>
      </w:r>
      <w:r w:rsidR="00701E03" w:rsidRPr="0025250D">
        <w:rPr>
          <w:rFonts w:hint="cs"/>
          <w:rtl/>
        </w:rPr>
        <w:t>راهبردی</w:t>
      </w:r>
      <w:r w:rsidRPr="0025250D">
        <w:rPr>
          <w:rFonts w:hint="cs"/>
          <w:rtl/>
        </w:rPr>
        <w:t xml:space="preserve"> نیست. یک تعریف کامل از کار آینده‌نگاری به افزودن یک مرحله کلیدی قبل از چهار </w:t>
      </w:r>
      <w:r w:rsidRPr="0025250D">
        <w:t>P</w:t>
      </w:r>
      <w:r w:rsidRPr="0025250D">
        <w:rPr>
          <w:rFonts w:hint="cs"/>
          <w:rtl/>
        </w:rPr>
        <w:t xml:space="preserve">، یعنی یادگیری و سپس قرار دهی همه این عناصر در یک حلقه انجام نیاز دارد که در آن محصول </w:t>
      </w:r>
      <w:r w:rsidRPr="0025250D">
        <w:rPr>
          <w:rtl/>
        </w:rPr>
        <w:t>آینده‌نگاری</w:t>
      </w:r>
      <w:r w:rsidRPr="0025250D">
        <w:rPr>
          <w:rFonts w:hint="cs"/>
          <w:rtl/>
        </w:rPr>
        <w:t xml:space="preserve"> ما اظهار شده</w:t>
      </w:r>
      <w:r w:rsidRPr="0025250D">
        <w:rPr>
          <w:vertAlign w:val="superscript"/>
          <w:rtl/>
        </w:rPr>
        <w:footnoteReference w:id="635"/>
      </w:r>
      <w:r w:rsidRPr="0025250D">
        <w:rPr>
          <w:rFonts w:hint="cs"/>
          <w:rtl/>
        </w:rPr>
        <w:t xml:space="preserve"> (عمل) و به شکل انتقادی بازبینی</w:t>
      </w:r>
      <w:r w:rsidRPr="0025250D">
        <w:rPr>
          <w:rFonts w:hint="cs"/>
        </w:rPr>
        <w:t>‌</w:t>
      </w:r>
      <w:r w:rsidRPr="0025250D">
        <w:rPr>
          <w:rFonts w:hint="cs"/>
          <w:rtl/>
        </w:rPr>
        <w:t xml:space="preserve"> می‌شود (بازبینی). از نظر فنی، یادگیری، آمادگی برای </w:t>
      </w:r>
      <w:r w:rsidRPr="0025250D">
        <w:rPr>
          <w:rtl/>
        </w:rPr>
        <w:t>آینده‌نگاری</w:t>
      </w:r>
      <w:r w:rsidRPr="0025250D">
        <w:rPr>
          <w:rFonts w:hint="cs"/>
          <w:rtl/>
        </w:rPr>
        <w:t xml:space="preserve"> با استفاده از دو بازوی دیگر هرم زمان، گذشته و زمان حال مرتبط، است. مشخصا، یادگیری به اولین </w:t>
      </w:r>
      <w:r w:rsidRPr="0025250D">
        <w:t>P</w:t>
      </w:r>
      <w:r w:rsidRPr="0025250D">
        <w:rPr>
          <w:rFonts w:hint="cs"/>
          <w:rtl/>
        </w:rPr>
        <w:t>، یعنی ارزیابی آینده محتمل از طریق یافتن الگوها، مدلها و روندهای تاریخی مبتنی بر مدارک کمک</w:t>
      </w:r>
      <w:r w:rsidRPr="0025250D">
        <w:rPr>
          <w:rFonts w:hint="cs"/>
        </w:rPr>
        <w:t>‌</w:t>
      </w:r>
      <w:r w:rsidRPr="0025250D">
        <w:rPr>
          <w:rFonts w:hint="cs"/>
          <w:rtl/>
        </w:rPr>
        <w:t xml:space="preserve"> می‌کند. به شکل کم‌تر واضحی، همچنین از یادگیری برای بهبود ارزیابی‌ها از آینده ممکن، مرجح و اجتناب پذیرم خود از طریق درک تاریخ‌ها، موفقیت‌ها، شکست‌ها</w:t>
      </w:r>
      <w:r w:rsidR="008D6F97" w:rsidRPr="0025250D">
        <w:rPr>
          <w:rtl/>
        </w:rPr>
        <w:t xml:space="preserve"> </w:t>
      </w:r>
      <w:r w:rsidRPr="0025250D">
        <w:rPr>
          <w:rFonts w:hint="cs"/>
          <w:rtl/>
        </w:rPr>
        <w:t>و فرضیات آن‌ها استفاده</w:t>
      </w:r>
      <w:r w:rsidRPr="0025250D">
        <w:rPr>
          <w:rFonts w:hint="cs"/>
        </w:rPr>
        <w:t>‌</w:t>
      </w:r>
      <w:r w:rsidRPr="0025250D">
        <w:rPr>
          <w:rFonts w:hint="cs"/>
          <w:rtl/>
        </w:rPr>
        <w:t xml:space="preserve"> می‌کنیم.</w:t>
      </w:r>
    </w:p>
    <w:p w14:paraId="3852BD2A" w14:textId="635EF033" w:rsidR="0020732A" w:rsidRPr="0025250D" w:rsidRDefault="0020732A" w:rsidP="0020732A">
      <w:pPr>
        <w:rPr>
          <w:rtl/>
        </w:rPr>
      </w:pPr>
      <w:r w:rsidRPr="0025250D">
        <w:rPr>
          <w:rFonts w:hint="cs"/>
          <w:rtl/>
        </w:rPr>
        <w:t xml:space="preserve">بنابراین یادگیری و مدل چهار </w:t>
      </w:r>
      <w:r w:rsidRPr="0025250D">
        <w:t>P</w:t>
      </w:r>
      <w:r w:rsidRPr="0025250D">
        <w:rPr>
          <w:rFonts w:hint="cs"/>
          <w:rtl/>
        </w:rPr>
        <w:t xml:space="preserve"> که در یک حلقه انجام از اظهار و بازبینی ادغام شده باشند، مدل پایه‌ای ما از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هستند. ما این مدل را چرخه </w:t>
      </w:r>
      <w:r w:rsidRPr="0025250D">
        <w:t>REOPS</w:t>
      </w:r>
      <w:r w:rsidRPr="0025250D">
        <w:rPr>
          <w:rFonts w:hint="cs"/>
          <w:rtl/>
        </w:rPr>
        <w:t xml:space="preserve"> (که به طور خلاصه توضیح داده شد)</w:t>
      </w:r>
      <w:r w:rsidRPr="0025250D">
        <w:rPr>
          <w:rFonts w:hint="cs"/>
        </w:rPr>
        <w:t>‌</w:t>
      </w:r>
      <w:r w:rsidRPr="0025250D">
        <w:rPr>
          <w:rFonts w:hint="cs"/>
          <w:rtl/>
        </w:rPr>
        <w:t xml:space="preserve"> می‌نامیم که </w:t>
      </w:r>
      <w:r w:rsidR="00B13F65" w:rsidRPr="0025250D">
        <w:rPr>
          <w:rFonts w:hint="cs"/>
          <w:rtl/>
        </w:rPr>
        <w:t>چارچوب</w:t>
      </w:r>
      <w:r w:rsidRPr="0025250D">
        <w:rPr>
          <w:rFonts w:hint="cs"/>
          <w:rtl/>
        </w:rPr>
        <w:t xml:space="preserve"> ما برای پنج گام حیاتی در ایجاد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است. البته، </w:t>
      </w:r>
      <w:r w:rsidRPr="0025250D">
        <w:rPr>
          <w:rtl/>
        </w:rPr>
        <w:t>آینده‌نگاری</w:t>
      </w:r>
      <w:r w:rsidR="008D6F97" w:rsidRPr="0025250D">
        <w:rPr>
          <w:rtl/>
        </w:rPr>
        <w:t xml:space="preserve"> </w:t>
      </w:r>
      <w:r w:rsidR="00AE5BE0" w:rsidRPr="0025250D">
        <w:rPr>
          <w:rFonts w:hint="cs"/>
          <w:rtl/>
        </w:rPr>
        <w:t>انطباقی</w:t>
      </w:r>
      <w:r w:rsidRPr="0025250D">
        <w:rPr>
          <w:rFonts w:hint="cs"/>
          <w:rtl/>
        </w:rPr>
        <w:t xml:space="preserve"> نه‌تنها به تولید </w:t>
      </w:r>
      <w:r w:rsidRPr="0025250D">
        <w:rPr>
          <w:rtl/>
        </w:rPr>
        <w:t>آینده‌نگاری</w:t>
      </w:r>
      <w:r w:rsidRPr="0025250D">
        <w:rPr>
          <w:rFonts w:hint="cs"/>
          <w:rtl/>
        </w:rPr>
        <w:t xml:space="preserve"> بلکه همچنین به اقدام مؤثر نیاز دارد. ما این چالش، چرخه </w:t>
      </w:r>
      <w:r w:rsidRPr="0025250D">
        <w:rPr>
          <w:rtl/>
        </w:rPr>
        <w:t xml:space="preserve">آینده‌نگاری </w:t>
      </w:r>
      <w:r w:rsidRPr="0025250D">
        <w:rPr>
          <w:rFonts w:hint="cs"/>
          <w:rtl/>
        </w:rPr>
        <w:t>-عمل و هشت مهارت آن را در فصل 2 مورد بحث قرار</w:t>
      </w:r>
      <w:r w:rsidRPr="0025250D">
        <w:rPr>
          <w:rFonts w:hint="cs"/>
        </w:rPr>
        <w:t>‌</w:t>
      </w:r>
      <w:r w:rsidRPr="0025250D">
        <w:rPr>
          <w:rFonts w:hint="cs"/>
          <w:rtl/>
        </w:rPr>
        <w:t xml:space="preserve"> می‌دهیم.</w:t>
      </w:r>
    </w:p>
    <w:p w14:paraId="592FC302" w14:textId="3276F94F" w:rsidR="0020732A" w:rsidRPr="0025250D" w:rsidRDefault="0020732A" w:rsidP="001312B6">
      <w:pPr>
        <w:pStyle w:val="Heading3"/>
        <w:rPr>
          <w:rtl/>
        </w:rPr>
      </w:pPr>
      <w:r w:rsidRPr="0025250D">
        <w:rPr>
          <w:rFonts w:hint="cs"/>
          <w:rtl/>
        </w:rPr>
        <w:t xml:space="preserve">تفکر </w:t>
      </w:r>
      <w:r w:rsidRPr="0025250D">
        <w:t>GRASP</w:t>
      </w:r>
      <w:r w:rsidRPr="0025250D">
        <w:rPr>
          <w:rFonts w:hint="cs"/>
          <w:rtl/>
        </w:rPr>
        <w:t xml:space="preserve">: ایجاد </w:t>
      </w:r>
      <w:r w:rsidRPr="0025250D">
        <w:rPr>
          <w:rtl/>
        </w:rPr>
        <w:t>آینده‌نگاری</w:t>
      </w:r>
      <w:r w:rsidR="008D6F97" w:rsidRPr="0025250D">
        <w:rPr>
          <w:rtl/>
        </w:rPr>
        <w:t xml:space="preserve"> </w:t>
      </w:r>
      <w:r w:rsidR="001A3F0A" w:rsidRPr="0025250D">
        <w:rPr>
          <w:rFonts w:hint="cs"/>
          <w:rtl/>
        </w:rPr>
        <w:t>فردی</w:t>
      </w:r>
    </w:p>
    <w:p w14:paraId="1858F9E6" w14:textId="5B77B1CD" w:rsidR="0020732A" w:rsidRPr="0025250D" w:rsidRDefault="007118DE" w:rsidP="00E6564A">
      <w:pPr>
        <w:rPr>
          <w:rtl/>
        </w:rPr>
      </w:pPr>
      <w:r w:rsidRPr="0025250D">
        <w:rPr>
          <w:rFonts w:hint="cs"/>
          <w:rtl/>
        </w:rPr>
        <w:t>همان‌طور</w:t>
      </w:r>
      <w:r w:rsidR="0020732A" w:rsidRPr="0025250D">
        <w:rPr>
          <w:rFonts w:hint="cs"/>
          <w:rtl/>
        </w:rPr>
        <w:t xml:space="preserve"> که گفتیم، تقابل </w:t>
      </w:r>
      <w:r w:rsidR="00E6564A" w:rsidRPr="0025250D">
        <w:rPr>
          <w:rFonts w:hint="cs"/>
          <w:rtl/>
        </w:rPr>
        <w:t>حس‌داد</w:t>
      </w:r>
      <w:r w:rsidR="0020732A" w:rsidRPr="0025250D">
        <w:rPr>
          <w:rFonts w:hint="cs"/>
          <w:rtl/>
        </w:rPr>
        <w:t xml:space="preserve"> نوع خاصی از واقع‌گرایی و </w:t>
      </w:r>
      <w:r w:rsidR="0020732A" w:rsidRPr="0025250D">
        <w:rPr>
          <w:rtl/>
        </w:rPr>
        <w:t>آینده‌نگاری</w:t>
      </w:r>
      <w:r w:rsidR="0020732A" w:rsidRPr="0025250D">
        <w:rPr>
          <w:rFonts w:hint="cs"/>
          <w:rtl/>
        </w:rPr>
        <w:t xml:space="preserve"> فردی است که در آن حالات </w:t>
      </w:r>
      <w:r w:rsidR="00E6564A" w:rsidRPr="0025250D">
        <w:rPr>
          <w:rtl/>
        </w:rPr>
        <w:t>حس‌داد</w:t>
      </w:r>
      <w:r w:rsidR="0020732A" w:rsidRPr="0025250D">
        <w:rPr>
          <w:rFonts w:hint="cs"/>
          <w:rtl/>
        </w:rPr>
        <w:t xml:space="preserve"> خود را میان خوش‌بینی راهبردی و بدبینی تدافعی در تقابل قرار دهیم تا منافع آن‌ها را برای </w:t>
      </w:r>
      <w:r w:rsidR="00FB6A7E" w:rsidRPr="0025250D">
        <w:rPr>
          <w:rFonts w:hint="cs"/>
          <w:rtl/>
        </w:rPr>
        <w:t>پیش‌نگری</w:t>
      </w:r>
      <w:r w:rsidR="0020732A" w:rsidRPr="0025250D">
        <w:rPr>
          <w:rFonts w:hint="cs"/>
          <w:rtl/>
        </w:rPr>
        <w:t xml:space="preserve"> برنامه‌ها و اعمالمان به حداکثر برسانیم. در مطالعات 30 سال گذشته این مدل با تکنیک‌های </w:t>
      </w:r>
      <w:r w:rsidR="00B124DE" w:rsidRPr="0025250D">
        <w:rPr>
          <w:rFonts w:hint="cs"/>
          <w:rtl/>
        </w:rPr>
        <w:t>برنامه‌ریزی</w:t>
      </w:r>
      <w:r w:rsidR="0020732A" w:rsidRPr="0025250D">
        <w:rPr>
          <w:rFonts w:hint="cs"/>
          <w:rtl/>
        </w:rPr>
        <w:t xml:space="preserve"> </w:t>
      </w:r>
      <w:r w:rsidR="00E6564A" w:rsidRPr="0025250D">
        <w:rPr>
          <w:rFonts w:hint="cs"/>
          <w:rtl/>
        </w:rPr>
        <w:t>غیرحس‌دادی</w:t>
      </w:r>
      <w:r w:rsidR="00E6564A" w:rsidRPr="0025250D">
        <w:rPr>
          <w:rStyle w:val="FootnoteReference"/>
          <w:rtl/>
        </w:rPr>
        <w:footnoteReference w:id="636"/>
      </w:r>
      <w:r w:rsidR="0020732A" w:rsidRPr="0025250D">
        <w:rPr>
          <w:rFonts w:hint="cs"/>
          <w:rtl/>
        </w:rPr>
        <w:t xml:space="preserve"> مختلف و استفاده از انواع مختلفی از خوش‌بینی و بدبینی به تنهایی پیش از ایجاد برنامه‌های </w:t>
      </w:r>
      <w:r w:rsidR="00701E03" w:rsidRPr="0025250D">
        <w:rPr>
          <w:rFonts w:hint="cs"/>
          <w:rtl/>
        </w:rPr>
        <w:t>راهبردی</w:t>
      </w:r>
      <w:r w:rsidR="0020732A" w:rsidRPr="0025250D">
        <w:rPr>
          <w:rFonts w:hint="cs"/>
          <w:rtl/>
        </w:rPr>
        <w:t xml:space="preserve"> مختصر و انجام اقدامات مقایسه شده است.</w:t>
      </w:r>
    </w:p>
    <w:p w14:paraId="28779BB0" w14:textId="47C903E6" w:rsidR="0020732A" w:rsidRPr="0025250D" w:rsidRDefault="0020732A" w:rsidP="0020732A">
      <w:pPr>
        <w:rPr>
          <w:rtl/>
        </w:rPr>
      </w:pPr>
      <w:r w:rsidRPr="0025250D">
        <w:rPr>
          <w:rFonts w:hint="cs"/>
          <w:rtl/>
        </w:rPr>
        <w:t xml:space="preserve">بیش‌تر این مطالعات توسط یکی از روانشناسان </w:t>
      </w:r>
      <w:r w:rsidRPr="0025250D">
        <w:rPr>
          <w:rtl/>
        </w:rPr>
        <w:t>آینده‌نگاری</w:t>
      </w:r>
      <w:r w:rsidR="008D6F97" w:rsidRPr="0025250D">
        <w:rPr>
          <w:rtl/>
        </w:rPr>
        <w:t xml:space="preserve"> </w:t>
      </w:r>
      <w:r w:rsidRPr="0025250D">
        <w:rPr>
          <w:rFonts w:hint="cs"/>
          <w:rtl/>
        </w:rPr>
        <w:t>برجسته ما،</w:t>
      </w:r>
      <w:r w:rsidR="008D6F97" w:rsidRPr="0025250D">
        <w:rPr>
          <w:rtl/>
        </w:rPr>
        <w:t xml:space="preserve"> </w:t>
      </w:r>
      <w:r w:rsidRPr="0025250D">
        <w:rPr>
          <w:rtl/>
        </w:rPr>
        <w:t>گابر</w:t>
      </w:r>
      <w:r w:rsidRPr="0025250D">
        <w:rPr>
          <w:rFonts w:hint="cs"/>
          <w:rtl/>
        </w:rPr>
        <w:t>ی</w:t>
      </w:r>
      <w:r w:rsidRPr="0025250D">
        <w:rPr>
          <w:rFonts w:hint="eastAsia"/>
          <w:rtl/>
        </w:rPr>
        <w:t>ل</w:t>
      </w:r>
      <w:r w:rsidRPr="0025250D">
        <w:rPr>
          <w:rtl/>
        </w:rPr>
        <w:t xml:space="preserve"> اوت</w:t>
      </w:r>
      <w:r w:rsidRPr="0025250D">
        <w:rPr>
          <w:rFonts w:hint="cs"/>
          <w:rtl/>
        </w:rPr>
        <w:t>ی</w:t>
      </w:r>
      <w:r w:rsidRPr="0025250D">
        <w:rPr>
          <w:rFonts w:hint="eastAsia"/>
          <w:rtl/>
        </w:rPr>
        <w:t>نگن</w:t>
      </w:r>
      <w:r w:rsidRPr="0025250D">
        <w:rPr>
          <w:rFonts w:hint="cs"/>
          <w:rtl/>
        </w:rPr>
        <w:t xml:space="preserve"> انجام </w:t>
      </w:r>
      <w:r w:rsidR="00185F3E" w:rsidRPr="0025250D">
        <w:rPr>
          <w:rFonts w:hint="cs"/>
          <w:rtl/>
        </w:rPr>
        <w:t>شده‌اند</w:t>
      </w:r>
      <w:r w:rsidRPr="0025250D">
        <w:rPr>
          <w:rFonts w:hint="cs"/>
          <w:rtl/>
        </w:rPr>
        <w:t>. کتاب او، تفکر مجدد در مورد تفکر مثبت</w:t>
      </w:r>
      <w:r w:rsidRPr="0025250D">
        <w:rPr>
          <w:vertAlign w:val="superscript"/>
          <w:rtl/>
        </w:rPr>
        <w:footnoteReference w:id="637"/>
      </w:r>
      <w:r w:rsidR="00D30084" w:rsidRPr="0025250D">
        <w:rPr>
          <w:rFonts w:hint="cs"/>
          <w:rtl/>
        </w:rPr>
        <w:t xml:space="preserve"> در سال</w:t>
      </w:r>
      <w:r w:rsidRPr="0025250D">
        <w:rPr>
          <w:rFonts w:hint="cs"/>
          <w:rtl/>
        </w:rPr>
        <w:t xml:space="preserve"> 2014 و نقش او در ویرایش کتاب آکادمیک روانشناسی تفکر در مورد آینده</w:t>
      </w:r>
      <w:r w:rsidRPr="0025250D">
        <w:rPr>
          <w:vertAlign w:val="superscript"/>
          <w:rtl/>
        </w:rPr>
        <w:footnoteReference w:id="638"/>
      </w:r>
      <w:r w:rsidR="00D30084" w:rsidRPr="0025250D">
        <w:rPr>
          <w:rFonts w:hint="cs"/>
          <w:rtl/>
        </w:rPr>
        <w:t xml:space="preserve"> در سال</w:t>
      </w:r>
      <w:r w:rsidRPr="0025250D">
        <w:rPr>
          <w:rFonts w:hint="cs"/>
          <w:rtl/>
        </w:rPr>
        <w:t xml:space="preserve"> 2018، هر دو طرح کلی فعالیت‌های وی را ترسیم</w:t>
      </w:r>
      <w:r w:rsidRPr="0025250D">
        <w:rPr>
          <w:rFonts w:hint="cs"/>
        </w:rPr>
        <w:t>‌</w:t>
      </w:r>
      <w:r w:rsidRPr="0025250D">
        <w:rPr>
          <w:rFonts w:hint="cs"/>
          <w:rtl/>
        </w:rPr>
        <w:t xml:space="preserve"> </w:t>
      </w:r>
      <w:r w:rsidRPr="0025250D">
        <w:rPr>
          <w:rFonts w:hint="cs"/>
          <w:rtl/>
        </w:rPr>
        <w:lastRenderedPageBreak/>
        <w:t xml:space="preserve">می‌کنند. </w:t>
      </w:r>
      <w:r w:rsidRPr="0025250D">
        <w:rPr>
          <w:rtl/>
        </w:rPr>
        <w:t>اوت</w:t>
      </w:r>
      <w:r w:rsidRPr="0025250D">
        <w:rPr>
          <w:rFonts w:hint="cs"/>
          <w:rtl/>
        </w:rPr>
        <w:t>ی</w:t>
      </w:r>
      <w:r w:rsidRPr="0025250D">
        <w:rPr>
          <w:rFonts w:hint="eastAsia"/>
          <w:rtl/>
        </w:rPr>
        <w:t>نگن</w:t>
      </w:r>
      <w:r w:rsidRPr="0025250D">
        <w:rPr>
          <w:rFonts w:hint="cs"/>
          <w:rtl/>
        </w:rPr>
        <w:t xml:space="preserve"> کار </w:t>
      </w:r>
      <w:r w:rsidRPr="0025250D">
        <w:rPr>
          <w:rtl/>
        </w:rPr>
        <w:t>آینده‌نگاری</w:t>
      </w:r>
      <w:r w:rsidR="008D6F97" w:rsidRPr="0025250D">
        <w:rPr>
          <w:rtl/>
        </w:rPr>
        <w:t xml:space="preserve"> </w:t>
      </w:r>
      <w:r w:rsidR="001A3F0A" w:rsidRPr="0025250D">
        <w:rPr>
          <w:rFonts w:hint="cs"/>
          <w:rtl/>
        </w:rPr>
        <w:t>فردی</w:t>
      </w:r>
      <w:r w:rsidRPr="0025250D">
        <w:rPr>
          <w:rFonts w:hint="cs"/>
          <w:rtl/>
        </w:rPr>
        <w:t xml:space="preserve"> را با آزمودن دانشجویان در دانشگاه هامبورگ و </w:t>
      </w:r>
      <w:r w:rsidRPr="0025250D">
        <w:rPr>
          <w:rtl/>
        </w:rPr>
        <w:t>دانشگاه ن</w:t>
      </w:r>
      <w:r w:rsidRPr="0025250D">
        <w:rPr>
          <w:rFonts w:hint="cs"/>
          <w:rtl/>
        </w:rPr>
        <w:t>ی</w:t>
      </w:r>
      <w:r w:rsidRPr="0025250D">
        <w:rPr>
          <w:rFonts w:hint="eastAsia"/>
          <w:rtl/>
        </w:rPr>
        <w:t>و</w:t>
      </w:r>
      <w:r w:rsidRPr="0025250D">
        <w:rPr>
          <w:rFonts w:hint="cs"/>
          <w:rtl/>
        </w:rPr>
        <w:t>ی</w:t>
      </w:r>
      <w:r w:rsidRPr="0025250D">
        <w:rPr>
          <w:rFonts w:hint="eastAsia"/>
          <w:rtl/>
        </w:rPr>
        <w:t>ورک</w:t>
      </w:r>
      <w:r w:rsidRPr="0025250D">
        <w:rPr>
          <w:vertAlign w:val="superscript"/>
          <w:rtl/>
        </w:rPr>
        <w:footnoteReference w:id="639"/>
      </w:r>
      <w:r w:rsidRPr="0025250D">
        <w:rPr>
          <w:rFonts w:hint="cs"/>
          <w:rtl/>
        </w:rPr>
        <w:t xml:space="preserve"> آغاز کرد و سپس آن را به عموم مردم نیز تعمیم داد.</w:t>
      </w:r>
    </w:p>
    <w:p w14:paraId="0F9C6C15" w14:textId="77777777" w:rsidR="0020732A" w:rsidRPr="0025250D" w:rsidRDefault="0020732A" w:rsidP="001312B6">
      <w:pPr>
        <w:jc w:val="center"/>
        <w:rPr>
          <w:rtl/>
        </w:rPr>
      </w:pPr>
      <w:r w:rsidRPr="0025250D">
        <w:rPr>
          <w:noProof/>
          <w:rtl/>
          <w:lang w:bidi="ar-SA"/>
        </w:rPr>
        <w:drawing>
          <wp:inline distT="0" distB="0" distL="0" distR="0" wp14:anchorId="78991478" wp14:editId="44E46319">
            <wp:extent cx="1851660" cy="1789043"/>
            <wp:effectExtent l="0" t="0" r="0" b="1905"/>
            <wp:docPr id="38" name="Picture 38" descr="D:\کار\مستقل\3 ( ترجمه ی دانشگاه تهران  )\Introduction to Foresight\part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کار\مستقل\3 ( ترجمه ی دانشگاه تهران  )\Introduction to Foresight\part2\12.png"/>
                    <pic:cNvPicPr>
                      <a:picLocks noChangeAspect="1" noChangeArrowheads="1"/>
                    </pic:cNvPicPr>
                  </pic:nvPicPr>
                  <pic:blipFill rotWithShape="1">
                    <a:blip r:embed="rId71" cstate="screen">
                      <a:extLst>
                        <a:ext uri="{BEBA8EAE-BF5A-486C-A8C5-ECC9F3942E4B}">
                          <a14:imgProps xmlns:a14="http://schemas.microsoft.com/office/drawing/2010/main">
                            <a14:imgLayer r:embed="rId72">
                              <a14:imgEffect>
                                <a14:saturation sat="0"/>
                              </a14:imgEffect>
                            </a14:imgLayer>
                          </a14:imgProps>
                        </a:ext>
                        <a:ext uri="{28A0092B-C50C-407E-A947-70E740481C1C}">
                          <a14:useLocalDpi xmlns:a14="http://schemas.microsoft.com/office/drawing/2010/main"/>
                        </a:ext>
                      </a:extLst>
                    </a:blip>
                    <a:srcRect/>
                    <a:stretch/>
                  </pic:blipFill>
                  <pic:spPr bwMode="auto">
                    <a:xfrm>
                      <a:off x="0" y="0"/>
                      <a:ext cx="1852172" cy="1789538"/>
                    </a:xfrm>
                    <a:prstGeom prst="rect">
                      <a:avLst/>
                    </a:prstGeom>
                    <a:noFill/>
                    <a:ln>
                      <a:noFill/>
                    </a:ln>
                    <a:extLst>
                      <a:ext uri="{53640926-AAD7-44D8-BBD7-CCE9431645EC}">
                        <a14:shadowObscured xmlns:a14="http://schemas.microsoft.com/office/drawing/2010/main"/>
                      </a:ext>
                    </a:extLst>
                  </pic:spPr>
                </pic:pic>
              </a:graphicData>
            </a:graphic>
          </wp:inline>
        </w:drawing>
      </w:r>
    </w:p>
    <w:p w14:paraId="7EEB1D7E" w14:textId="77777777" w:rsidR="0020732A" w:rsidRPr="0025250D" w:rsidRDefault="0020732A" w:rsidP="001312B6">
      <w:pPr>
        <w:jc w:val="center"/>
        <w:rPr>
          <w:rtl/>
        </w:rPr>
      </w:pPr>
      <w:r w:rsidRPr="0025250D">
        <w:rPr>
          <w:rFonts w:hint="cs"/>
          <w:rtl/>
        </w:rPr>
        <w:t>گبریل اوتینگن</w:t>
      </w:r>
    </w:p>
    <w:p w14:paraId="1CD77000" w14:textId="3443B947" w:rsidR="0020732A" w:rsidRPr="0025250D" w:rsidRDefault="0020732A" w:rsidP="007D3F11">
      <w:pPr>
        <w:rPr>
          <w:rtl/>
        </w:rPr>
      </w:pPr>
      <w:r w:rsidRPr="0025250D">
        <w:rPr>
          <w:rFonts w:hint="cs"/>
          <w:rtl/>
        </w:rPr>
        <w:t xml:space="preserve">در ابتدا، </w:t>
      </w:r>
      <w:r w:rsidRPr="0025250D">
        <w:rPr>
          <w:rtl/>
        </w:rPr>
        <w:t>اوت</w:t>
      </w:r>
      <w:r w:rsidRPr="0025250D">
        <w:rPr>
          <w:rFonts w:hint="cs"/>
          <w:rtl/>
        </w:rPr>
        <w:t>ی</w:t>
      </w:r>
      <w:r w:rsidRPr="0025250D">
        <w:rPr>
          <w:rFonts w:hint="eastAsia"/>
          <w:rtl/>
        </w:rPr>
        <w:t>نگن</w:t>
      </w:r>
      <w:r w:rsidRPr="0025250D">
        <w:rPr>
          <w:rFonts w:hint="cs"/>
          <w:rtl/>
        </w:rPr>
        <w:t xml:space="preserve"> آموخت که استفاده از تفکر مثبت به تنهایی پیش از </w:t>
      </w:r>
      <w:r w:rsidR="00B124DE" w:rsidRPr="0025250D">
        <w:rPr>
          <w:rFonts w:hint="cs"/>
          <w:rtl/>
        </w:rPr>
        <w:t>برنامه‌ریزی</w:t>
      </w:r>
      <w:r w:rsidRPr="0025250D">
        <w:rPr>
          <w:rFonts w:hint="cs"/>
          <w:rtl/>
        </w:rPr>
        <w:t>، انگیزه را برای انجام اقداماتی که تصویر سازی شده بودند کاهش</w:t>
      </w:r>
      <w:r w:rsidRPr="0025250D">
        <w:rPr>
          <w:rFonts w:hint="cs"/>
        </w:rPr>
        <w:t>‌</w:t>
      </w:r>
      <w:r w:rsidRPr="0025250D">
        <w:rPr>
          <w:rFonts w:hint="cs"/>
          <w:rtl/>
        </w:rPr>
        <w:t xml:space="preserve"> می‌دهد. اگر بیش‌ازحد در یک حالت خوش بینانه باقی بمانیم،</w:t>
      </w:r>
      <w:r w:rsidRPr="0025250D">
        <w:rPr>
          <w:rFonts w:hint="cs"/>
        </w:rPr>
        <w:t>‌</w:t>
      </w:r>
      <w:r w:rsidRPr="0025250D">
        <w:rPr>
          <w:rFonts w:hint="cs"/>
          <w:rtl/>
        </w:rPr>
        <w:t xml:space="preserve"> می‌توانیم </w:t>
      </w:r>
      <w:r w:rsidR="00B0171C" w:rsidRPr="0025250D">
        <w:rPr>
          <w:rFonts w:hint="cs"/>
          <w:rtl/>
        </w:rPr>
        <w:t>به‌سادگی</w:t>
      </w:r>
      <w:r w:rsidRPr="0025250D">
        <w:rPr>
          <w:rFonts w:hint="cs"/>
          <w:rtl/>
        </w:rPr>
        <w:t xml:space="preserve"> احساس کنیم که به هدفمان رسیده ایم، حتی با این‌که هنوز حتی آغاز هم ن</w:t>
      </w:r>
      <w:r w:rsidR="00950293" w:rsidRPr="0025250D">
        <w:rPr>
          <w:rFonts w:hint="cs"/>
          <w:rtl/>
        </w:rPr>
        <w:t>کرده‌ایم</w:t>
      </w:r>
      <w:r w:rsidRPr="0025250D">
        <w:rPr>
          <w:rFonts w:hint="cs"/>
          <w:rtl/>
        </w:rPr>
        <w:t xml:space="preserve">. تفکر منفی به تنهایی پیش از </w:t>
      </w:r>
      <w:r w:rsidR="00B124DE" w:rsidRPr="0025250D">
        <w:rPr>
          <w:rFonts w:hint="cs"/>
          <w:rtl/>
        </w:rPr>
        <w:t>برنامه‌ریزی</w:t>
      </w:r>
      <w:r w:rsidRPr="0025250D">
        <w:rPr>
          <w:rFonts w:hint="cs"/>
          <w:rtl/>
        </w:rPr>
        <w:t xml:space="preserve"> مشکلات متفاوتی، از جمله منصرف کردن خودمان از اهداف، ایجاد برنامه‌های کم‌تر جاه طلبانه و کم‌تر تأثیر گذار و کاهش انگیزه برای آغاز اقدامات را به همراه دارد. او دریافت که استفاده از یک نسبت </w:t>
      </w:r>
      <w:r w:rsidRPr="0025250D">
        <w:rPr>
          <w:rtl/>
        </w:rPr>
        <w:t>آینده‌نگاری</w:t>
      </w:r>
      <w:r w:rsidRPr="0025250D">
        <w:rPr>
          <w:rFonts w:hint="cs"/>
          <w:rtl/>
        </w:rPr>
        <w:t xml:space="preserve"> </w:t>
      </w:r>
      <w:r w:rsidR="007D3F11" w:rsidRPr="0025250D">
        <w:rPr>
          <w:rtl/>
        </w:rPr>
        <w:t>حس‌داد</w:t>
      </w:r>
      <w:r w:rsidRPr="0025250D">
        <w:rPr>
          <w:rFonts w:hint="cs"/>
          <w:rtl/>
        </w:rPr>
        <w:t xml:space="preserve"> تقریبا 50:50، ابتدا خوش‌بینی </w:t>
      </w:r>
      <w:r w:rsidR="00701E03" w:rsidRPr="0025250D">
        <w:rPr>
          <w:rFonts w:hint="cs"/>
          <w:rtl/>
        </w:rPr>
        <w:t>راهبردی</w:t>
      </w:r>
      <w:r w:rsidRPr="0025250D">
        <w:rPr>
          <w:rFonts w:hint="cs"/>
          <w:rtl/>
        </w:rPr>
        <w:t xml:space="preserve"> و </w:t>
      </w:r>
      <w:r w:rsidR="00D30084" w:rsidRPr="0025250D">
        <w:rPr>
          <w:rFonts w:hint="cs"/>
          <w:rtl/>
        </w:rPr>
        <w:t>بعد</w:t>
      </w:r>
      <w:r w:rsidRPr="0025250D">
        <w:rPr>
          <w:rFonts w:hint="cs"/>
          <w:rtl/>
        </w:rPr>
        <w:t xml:space="preserve"> بدبینی تدافعی و سپس ایجاد برنامه‌ها و اقدام</w:t>
      </w:r>
      <w:r w:rsidR="00FB6A7E" w:rsidRPr="0025250D">
        <w:rPr>
          <w:rFonts w:hint="cs"/>
          <w:rtl/>
        </w:rPr>
        <w:t>،</w:t>
      </w:r>
      <w:r w:rsidRPr="0025250D">
        <w:rPr>
          <w:rFonts w:hint="cs"/>
          <w:rtl/>
        </w:rPr>
        <w:t xml:space="preserve"> به طور </w:t>
      </w:r>
      <w:r w:rsidR="00FB6A7E" w:rsidRPr="0025250D">
        <w:rPr>
          <w:rFonts w:hint="cs"/>
          <w:rtl/>
        </w:rPr>
        <w:t xml:space="preserve">مشخص مؤثر </w:t>
      </w:r>
      <w:r w:rsidRPr="0025250D">
        <w:rPr>
          <w:rFonts w:hint="cs"/>
          <w:rtl/>
        </w:rPr>
        <w:t>است.</w:t>
      </w:r>
    </w:p>
    <w:p w14:paraId="0FF061FB" w14:textId="584C5979" w:rsidR="0020732A" w:rsidRPr="0025250D" w:rsidRDefault="0020732A" w:rsidP="002B6515">
      <w:pPr>
        <w:rPr>
          <w:rtl/>
        </w:rPr>
      </w:pPr>
      <w:r w:rsidRPr="0025250D">
        <w:rPr>
          <w:rFonts w:hint="cs"/>
          <w:rtl/>
        </w:rPr>
        <w:t xml:space="preserve">در بسیاری از مطالعات تصادفی و کنترل شده، با مقایسه روش‌های </w:t>
      </w:r>
      <w:r w:rsidRPr="0025250D">
        <w:rPr>
          <w:rtl/>
        </w:rPr>
        <w:t>آینده‌نگاری</w:t>
      </w:r>
      <w:r w:rsidR="008D6F97" w:rsidRPr="0025250D">
        <w:rPr>
          <w:rtl/>
        </w:rPr>
        <w:t xml:space="preserve"> </w:t>
      </w:r>
      <w:r w:rsidR="001A3F0A" w:rsidRPr="0025250D">
        <w:rPr>
          <w:rFonts w:hint="cs"/>
          <w:rtl/>
        </w:rPr>
        <w:t>فردی</w:t>
      </w:r>
      <w:r w:rsidRPr="0025250D">
        <w:rPr>
          <w:rFonts w:hint="cs"/>
          <w:rtl/>
        </w:rPr>
        <w:t xml:space="preserve"> مختلف دیگر، نشان داده شده که تقابل </w:t>
      </w:r>
      <w:r w:rsidR="002B6515" w:rsidRPr="0025250D">
        <w:rPr>
          <w:rtl/>
        </w:rPr>
        <w:t>حس‌داد</w:t>
      </w:r>
      <w:r w:rsidRPr="0025250D">
        <w:rPr>
          <w:rFonts w:hint="cs"/>
          <w:rtl/>
        </w:rPr>
        <w:t xml:space="preserve"> به شکل قابل توجهی سه مورد را بهبود</w:t>
      </w:r>
      <w:r w:rsidRPr="0025250D">
        <w:rPr>
          <w:rFonts w:hint="cs"/>
        </w:rPr>
        <w:t>‌</w:t>
      </w:r>
      <w:r w:rsidRPr="0025250D">
        <w:rPr>
          <w:rFonts w:hint="cs"/>
          <w:rtl/>
        </w:rPr>
        <w:t xml:space="preserve"> می‌</w:t>
      </w:r>
      <w:r w:rsidR="006335B8" w:rsidRPr="0025250D">
        <w:rPr>
          <w:rtl/>
        </w:rPr>
        <w:t xml:space="preserve">بخشد </w:t>
      </w:r>
      <w:r w:rsidR="006335B8" w:rsidRPr="0025250D">
        <w:rPr>
          <w:rFonts w:hint="cs"/>
          <w:vertAlign w:val="superscript"/>
          <w:rtl/>
        </w:rPr>
        <w:t>(</w:t>
      </w:r>
      <w:r w:rsidRPr="0025250D">
        <w:rPr>
          <w:rFonts w:hint="cs"/>
          <w:vertAlign w:val="superscript"/>
          <w:rtl/>
        </w:rPr>
        <w:t>11)</w:t>
      </w:r>
      <w:r w:rsidRPr="0025250D">
        <w:rPr>
          <w:rFonts w:hint="cs"/>
          <w:rtl/>
        </w:rPr>
        <w:t>:</w:t>
      </w:r>
    </w:p>
    <w:p w14:paraId="13EB9395" w14:textId="69F73E9E" w:rsidR="0020732A" w:rsidRPr="0025250D" w:rsidRDefault="0020732A" w:rsidP="00492C47">
      <w:pPr>
        <w:numPr>
          <w:ilvl w:val="0"/>
          <w:numId w:val="11"/>
        </w:numPr>
      </w:pPr>
      <w:r w:rsidRPr="0025250D">
        <w:rPr>
          <w:rFonts w:hint="cs"/>
          <w:rtl/>
        </w:rPr>
        <w:t xml:space="preserve">دقت </w:t>
      </w:r>
      <w:r w:rsidRPr="0025250D">
        <w:rPr>
          <w:rtl/>
        </w:rPr>
        <w:t>آینده‌نگاری</w:t>
      </w:r>
      <w:r w:rsidR="008D6F97" w:rsidRPr="0025250D">
        <w:rPr>
          <w:rtl/>
        </w:rPr>
        <w:t xml:space="preserve"> </w:t>
      </w:r>
      <w:r w:rsidRPr="0025250D">
        <w:rPr>
          <w:rFonts w:hint="cs"/>
          <w:rtl/>
        </w:rPr>
        <w:t xml:space="preserve">(50-100 درصد خطای کم‌تر در </w:t>
      </w:r>
      <w:r w:rsidR="00D92F6E" w:rsidRPr="0025250D">
        <w:rPr>
          <w:rFonts w:hint="cs"/>
          <w:rtl/>
        </w:rPr>
        <w:t>پیش‌بین</w:t>
      </w:r>
      <w:r w:rsidRPr="0025250D">
        <w:rPr>
          <w:rFonts w:hint="cs"/>
          <w:rtl/>
        </w:rPr>
        <w:t>ی آنچه هم امروز و هم در کوتاه مدت انجام خواهد شد)،</w:t>
      </w:r>
    </w:p>
    <w:p w14:paraId="4F8973D9" w14:textId="67A11774" w:rsidR="0020732A" w:rsidRPr="0025250D" w:rsidRDefault="0020732A" w:rsidP="00492C47">
      <w:pPr>
        <w:numPr>
          <w:ilvl w:val="0"/>
          <w:numId w:val="11"/>
        </w:numPr>
      </w:pPr>
      <w:r w:rsidRPr="0025250D">
        <w:rPr>
          <w:rFonts w:hint="cs"/>
          <w:rtl/>
        </w:rPr>
        <w:t>بهره</w:t>
      </w:r>
      <w:r w:rsidRPr="0025250D">
        <w:rPr>
          <w:rtl/>
        </w:rPr>
        <w:t xml:space="preserve"> </w:t>
      </w:r>
      <w:r w:rsidRPr="0025250D">
        <w:rPr>
          <w:rFonts w:hint="cs"/>
          <w:rtl/>
        </w:rPr>
        <w:t>وری (30 تا 150 درصد بهره</w:t>
      </w:r>
      <w:r w:rsidRPr="0025250D">
        <w:rPr>
          <w:rtl/>
        </w:rPr>
        <w:t xml:space="preserve"> </w:t>
      </w:r>
      <w:r w:rsidRPr="0025250D">
        <w:rPr>
          <w:rFonts w:hint="cs"/>
          <w:rtl/>
        </w:rPr>
        <w:t xml:space="preserve">وری بیش‌تر در فعالیت‌های </w:t>
      </w:r>
      <w:r w:rsidR="00A20CCB" w:rsidRPr="0025250D">
        <w:rPr>
          <w:rFonts w:hint="cs"/>
          <w:rtl/>
        </w:rPr>
        <w:t>زمان‌بندی</w:t>
      </w:r>
      <w:r w:rsidRPr="0025250D">
        <w:rPr>
          <w:rFonts w:hint="cs"/>
          <w:rtl/>
        </w:rPr>
        <w:t xml:space="preserve"> شده متنوع) و</w:t>
      </w:r>
    </w:p>
    <w:p w14:paraId="672E38ED" w14:textId="77777777" w:rsidR="0020732A" w:rsidRPr="0025250D" w:rsidRDefault="0020732A" w:rsidP="00492C47">
      <w:pPr>
        <w:numPr>
          <w:ilvl w:val="0"/>
          <w:numId w:val="11"/>
        </w:numPr>
      </w:pPr>
      <w:r w:rsidRPr="0025250D">
        <w:rPr>
          <w:rFonts w:hint="cs"/>
          <w:rtl/>
        </w:rPr>
        <w:t>انگیزه برای پایداری (هنوز به شکل کمّی بیان نشده است) افزایش</w:t>
      </w:r>
      <w:r w:rsidRPr="0025250D">
        <w:rPr>
          <w:rFonts w:hint="cs"/>
        </w:rPr>
        <w:t>‌</w:t>
      </w:r>
      <w:r w:rsidRPr="0025250D">
        <w:rPr>
          <w:rFonts w:hint="cs"/>
          <w:rtl/>
        </w:rPr>
        <w:t xml:space="preserve"> می‌یابد، حتی وقتی با موانع دشوار مواجه باشیم.</w:t>
      </w:r>
    </w:p>
    <w:p w14:paraId="734AC7EB" w14:textId="320E7167" w:rsidR="0020732A" w:rsidRPr="0025250D" w:rsidRDefault="0020732A" w:rsidP="002B6515">
      <w:pPr>
        <w:rPr>
          <w:rtl/>
        </w:rPr>
      </w:pPr>
      <w:r w:rsidRPr="0025250D">
        <w:rPr>
          <w:rtl/>
        </w:rPr>
        <w:t>اوت</w:t>
      </w:r>
      <w:r w:rsidRPr="0025250D">
        <w:rPr>
          <w:rFonts w:hint="cs"/>
          <w:rtl/>
        </w:rPr>
        <w:t>ی</w:t>
      </w:r>
      <w:r w:rsidRPr="0025250D">
        <w:rPr>
          <w:rFonts w:hint="eastAsia"/>
          <w:rtl/>
        </w:rPr>
        <w:t>نگن</w:t>
      </w:r>
      <w:r w:rsidRPr="0025250D">
        <w:rPr>
          <w:rFonts w:hint="cs"/>
          <w:rtl/>
        </w:rPr>
        <w:t xml:space="preserve"> همچنین ادعا</w:t>
      </w:r>
      <w:r w:rsidRPr="0025250D">
        <w:rPr>
          <w:rFonts w:hint="cs"/>
        </w:rPr>
        <w:t>‌</w:t>
      </w:r>
      <w:r w:rsidRPr="0025250D">
        <w:rPr>
          <w:rFonts w:hint="cs"/>
          <w:rtl/>
        </w:rPr>
        <w:t xml:space="preserve"> می‌کند که تقابل </w:t>
      </w:r>
      <w:r w:rsidR="002B6515" w:rsidRPr="0025250D">
        <w:rPr>
          <w:rtl/>
        </w:rPr>
        <w:t>حس‌داد</w:t>
      </w:r>
      <w:r w:rsidRPr="0025250D">
        <w:rPr>
          <w:rFonts w:hint="cs"/>
          <w:rtl/>
        </w:rPr>
        <w:t xml:space="preserve"> همچنین اضطراب و پشیمانی را بدون توجه به برآمد، با ایجاد یک برنامه ریز و اجرا کننده منعطف‌تر، کاهش</w:t>
      </w:r>
      <w:r w:rsidRPr="0025250D">
        <w:rPr>
          <w:rFonts w:hint="cs"/>
        </w:rPr>
        <w:t>‌</w:t>
      </w:r>
      <w:r w:rsidRPr="0025250D">
        <w:rPr>
          <w:rFonts w:hint="cs"/>
          <w:rtl/>
        </w:rPr>
        <w:t xml:space="preserve"> می‌دهد. </w:t>
      </w:r>
      <w:r w:rsidR="00303635" w:rsidRPr="0025250D">
        <w:rPr>
          <w:rtl/>
        </w:rPr>
        <w:t>به نظر م</w:t>
      </w:r>
      <w:r w:rsidR="00303635" w:rsidRPr="0025250D">
        <w:rPr>
          <w:rFonts w:hint="cs"/>
          <w:rtl/>
        </w:rPr>
        <w:t>ی‌</w:t>
      </w:r>
      <w:r w:rsidR="00303635" w:rsidRPr="0025250D">
        <w:rPr>
          <w:rFonts w:hint="eastAsia"/>
          <w:rtl/>
        </w:rPr>
        <w:t>رسد</w:t>
      </w:r>
      <w:r w:rsidR="00303635" w:rsidRPr="0025250D">
        <w:rPr>
          <w:rtl/>
        </w:rPr>
        <w:t xml:space="preserve"> که ا</w:t>
      </w:r>
      <w:r w:rsidR="00303635" w:rsidRPr="0025250D">
        <w:rPr>
          <w:rFonts w:hint="cs"/>
          <w:rtl/>
        </w:rPr>
        <w:t>ی</w:t>
      </w:r>
      <w:r w:rsidR="00303635" w:rsidRPr="0025250D">
        <w:rPr>
          <w:rFonts w:hint="eastAsia"/>
          <w:rtl/>
        </w:rPr>
        <w:t>ن</w:t>
      </w:r>
      <w:r w:rsidR="00303635" w:rsidRPr="0025250D">
        <w:rPr>
          <w:rtl/>
        </w:rPr>
        <w:t xml:space="preserve"> اثر بس</w:t>
      </w:r>
      <w:r w:rsidR="00303635" w:rsidRPr="0025250D">
        <w:rPr>
          <w:rFonts w:hint="cs"/>
          <w:rtl/>
        </w:rPr>
        <w:t>ی</w:t>
      </w:r>
      <w:r w:rsidR="00303635" w:rsidRPr="0025250D">
        <w:rPr>
          <w:rFonts w:hint="eastAsia"/>
          <w:rtl/>
        </w:rPr>
        <w:t>ار</w:t>
      </w:r>
      <w:r w:rsidR="00303635" w:rsidRPr="0025250D">
        <w:rPr>
          <w:rtl/>
        </w:rPr>
        <w:t xml:space="preserve"> ساده‌تر است و در حال حاضر به‌طور گسترده‌تر پشت</w:t>
      </w:r>
      <w:r w:rsidR="00303635" w:rsidRPr="0025250D">
        <w:rPr>
          <w:rFonts w:hint="cs"/>
          <w:rtl/>
        </w:rPr>
        <w:t>ی</w:t>
      </w:r>
      <w:r w:rsidR="00303635" w:rsidRPr="0025250D">
        <w:rPr>
          <w:rFonts w:hint="eastAsia"/>
          <w:rtl/>
        </w:rPr>
        <w:t>بان</w:t>
      </w:r>
      <w:r w:rsidR="00303635" w:rsidRPr="0025250D">
        <w:rPr>
          <w:rFonts w:hint="cs"/>
          <w:rtl/>
        </w:rPr>
        <w:t>ی</w:t>
      </w:r>
      <w:r w:rsidR="00303635" w:rsidRPr="0025250D">
        <w:rPr>
          <w:rtl/>
        </w:rPr>
        <w:t xml:space="preserve"> م</w:t>
      </w:r>
      <w:r w:rsidR="00303635" w:rsidRPr="0025250D">
        <w:rPr>
          <w:rFonts w:hint="cs"/>
          <w:rtl/>
        </w:rPr>
        <w:t>ی‌</w:t>
      </w:r>
      <w:r w:rsidR="00303635" w:rsidRPr="0025250D">
        <w:rPr>
          <w:rFonts w:hint="eastAsia"/>
          <w:rtl/>
        </w:rPr>
        <w:t>شود</w:t>
      </w:r>
      <w:r w:rsidR="008D6F97" w:rsidRPr="0025250D">
        <w:rPr>
          <w:rtl/>
        </w:rPr>
        <w:t xml:space="preserve">؛ </w:t>
      </w:r>
      <w:r w:rsidRPr="0025250D">
        <w:rPr>
          <w:rFonts w:hint="cs"/>
          <w:rtl/>
        </w:rPr>
        <w:t xml:space="preserve">بنابراین اکنون آن را به‌عنوان راهی برای بهبود </w:t>
      </w:r>
      <w:r w:rsidR="00D92F6E" w:rsidRPr="0025250D">
        <w:rPr>
          <w:rFonts w:hint="cs"/>
          <w:rtl/>
        </w:rPr>
        <w:t>پیش‌بین</w:t>
      </w:r>
      <w:r w:rsidRPr="0025250D">
        <w:rPr>
          <w:rFonts w:hint="cs"/>
          <w:rtl/>
        </w:rPr>
        <w:t xml:space="preserve">ی، بهره وری و پایداری، به ویژه در برنامه‌ها و اقدامات روزمره در نظر بگیرید. </w:t>
      </w:r>
      <w:r w:rsidRPr="0025250D">
        <w:rPr>
          <w:rtl/>
        </w:rPr>
        <w:t>اوت</w:t>
      </w:r>
      <w:r w:rsidRPr="0025250D">
        <w:rPr>
          <w:rFonts w:hint="cs"/>
          <w:rtl/>
        </w:rPr>
        <w:t>ی</w:t>
      </w:r>
      <w:r w:rsidRPr="0025250D">
        <w:rPr>
          <w:rFonts w:hint="eastAsia"/>
          <w:rtl/>
        </w:rPr>
        <w:t>نگن</w:t>
      </w:r>
      <w:r w:rsidRPr="0025250D">
        <w:rPr>
          <w:rFonts w:hint="cs"/>
          <w:rtl/>
        </w:rPr>
        <w:t xml:space="preserve"> از یک فرایند تقابل </w:t>
      </w:r>
      <w:r w:rsidR="002B6515" w:rsidRPr="0025250D">
        <w:rPr>
          <w:rFonts w:hint="cs"/>
          <w:rtl/>
        </w:rPr>
        <w:t>حس‌داد</w:t>
      </w:r>
      <w:r w:rsidRPr="0025250D">
        <w:rPr>
          <w:rFonts w:hint="cs"/>
          <w:rtl/>
        </w:rPr>
        <w:t xml:space="preserve"> چهار گامی که او </w:t>
      </w:r>
      <w:r w:rsidRPr="0025250D">
        <w:t>WOOP</w:t>
      </w:r>
      <w:r w:rsidRPr="0025250D">
        <w:rPr>
          <w:rFonts w:hint="cs"/>
        </w:rPr>
        <w:t>‌</w:t>
      </w:r>
      <w:r w:rsidRPr="0025250D">
        <w:rPr>
          <w:rFonts w:hint="cs"/>
          <w:rtl/>
        </w:rPr>
        <w:t xml:space="preserve"> می‌نامد، استفاده</w:t>
      </w:r>
      <w:r w:rsidRPr="0025250D">
        <w:rPr>
          <w:rFonts w:hint="cs"/>
        </w:rPr>
        <w:t>‌</w:t>
      </w:r>
      <w:r w:rsidRPr="0025250D">
        <w:rPr>
          <w:rFonts w:hint="cs"/>
          <w:rtl/>
        </w:rPr>
        <w:t xml:space="preserve"> می‌کند. این نام نشان دهنده آرزو</w:t>
      </w:r>
      <w:r w:rsidRPr="0025250D">
        <w:rPr>
          <w:vertAlign w:val="superscript"/>
          <w:rtl/>
        </w:rPr>
        <w:footnoteReference w:id="640"/>
      </w:r>
      <w:r w:rsidRPr="0025250D">
        <w:rPr>
          <w:rFonts w:hint="cs"/>
          <w:rtl/>
        </w:rPr>
        <w:t xml:space="preserve"> (یا هدف)، برآمد (منفعت مثبت)، موانع</w:t>
      </w:r>
      <w:r w:rsidRPr="0025250D">
        <w:rPr>
          <w:vertAlign w:val="superscript"/>
          <w:rtl/>
        </w:rPr>
        <w:footnoteReference w:id="641"/>
      </w:r>
      <w:r w:rsidRPr="0025250D">
        <w:rPr>
          <w:rFonts w:hint="cs"/>
          <w:rtl/>
        </w:rPr>
        <w:t xml:space="preserve"> (عقبگرد‌های احتمالی) و برنامه</w:t>
      </w:r>
      <w:r w:rsidRPr="0025250D">
        <w:rPr>
          <w:rFonts w:hint="cs"/>
        </w:rPr>
        <w:t>‌</w:t>
      </w:r>
      <w:r w:rsidRPr="0025250D">
        <w:rPr>
          <w:rFonts w:hint="cs"/>
          <w:rtl/>
        </w:rPr>
        <w:t xml:space="preserve"> می‌باشد. برنامه ریز با استفاده از </w:t>
      </w:r>
      <w:r w:rsidRPr="0025250D">
        <w:t>WOOP</w:t>
      </w:r>
      <w:r w:rsidRPr="0025250D">
        <w:rPr>
          <w:rFonts w:hint="cs"/>
          <w:rtl/>
        </w:rPr>
        <w:t xml:space="preserve"> ملزم به انتخاب یک آرزوی (هدف) مهم اما دشوار و سپس تفکر مثبت در مورد برآمد، تصور منافع آینده آن و سپس تفکر </w:t>
      </w:r>
      <w:r w:rsidR="00FB6A7E" w:rsidRPr="0025250D">
        <w:rPr>
          <w:rFonts w:hint="cs"/>
          <w:rtl/>
        </w:rPr>
        <w:t>تدافعی</w:t>
      </w:r>
      <w:r w:rsidRPr="0025250D">
        <w:rPr>
          <w:rFonts w:hint="cs"/>
          <w:rtl/>
        </w:rPr>
        <w:t xml:space="preserve"> در مورد همه راه‌های </w:t>
      </w:r>
      <w:r w:rsidR="00923DDB" w:rsidRPr="0025250D">
        <w:rPr>
          <w:rFonts w:hint="cs"/>
          <w:rtl/>
        </w:rPr>
        <w:t>باورپذیر</w:t>
      </w:r>
      <w:r w:rsidRPr="0025250D">
        <w:rPr>
          <w:rFonts w:hint="cs"/>
          <w:rtl/>
        </w:rPr>
        <w:t>ی که این هدف ممکن است حاصل نگردد و در آخر ایجاد یک برنامه اگر</w:t>
      </w:r>
      <w:r w:rsidR="00FB6A7E" w:rsidRPr="0025250D">
        <w:rPr>
          <w:rFonts w:hint="cs"/>
          <w:rtl/>
        </w:rPr>
        <w:t>-</w:t>
      </w:r>
      <w:r w:rsidRPr="0025250D">
        <w:rPr>
          <w:rFonts w:hint="cs"/>
          <w:rtl/>
        </w:rPr>
        <w:t>آنگاه (</w:t>
      </w:r>
      <w:r w:rsidR="006335B8" w:rsidRPr="0025250D">
        <w:rPr>
          <w:rtl/>
        </w:rPr>
        <w:t>«</w:t>
      </w:r>
      <w:r w:rsidRPr="0025250D">
        <w:rPr>
          <w:rFonts w:hint="cs"/>
          <w:rtl/>
        </w:rPr>
        <w:t>قصد</w:t>
      </w:r>
      <w:r w:rsidRPr="0025250D">
        <w:rPr>
          <w:vertAlign w:val="superscript"/>
          <w:rtl/>
        </w:rPr>
        <w:footnoteReference w:id="642"/>
      </w:r>
      <w:r w:rsidR="006335B8" w:rsidRPr="0025250D">
        <w:rPr>
          <w:rtl/>
        </w:rPr>
        <w:t>»</w:t>
      </w:r>
      <w:r w:rsidRPr="0025250D">
        <w:rPr>
          <w:rFonts w:hint="cs"/>
          <w:rtl/>
        </w:rPr>
        <w:t>)</w:t>
      </w:r>
      <w:r w:rsidRPr="0025250D">
        <w:rPr>
          <w:rFonts w:hint="cs"/>
        </w:rPr>
        <w:t>‌</w:t>
      </w:r>
      <w:r w:rsidR="00FB6A7E" w:rsidRPr="0025250D">
        <w:rPr>
          <w:rFonts w:hint="cs"/>
          <w:rtl/>
        </w:rPr>
        <w:t>،</w:t>
      </w:r>
      <w:r w:rsidRPr="0025250D">
        <w:rPr>
          <w:rFonts w:hint="cs"/>
          <w:rtl/>
        </w:rPr>
        <w:t xml:space="preserve"> می‌شود. در ادبیات، </w:t>
      </w:r>
      <w:r w:rsidRPr="0025250D">
        <w:t>WOOP</w:t>
      </w:r>
      <w:r w:rsidRPr="0025250D">
        <w:rPr>
          <w:rFonts w:hint="cs"/>
          <w:rtl/>
        </w:rPr>
        <w:t xml:space="preserve"> تقابل ذهنی با مقاصد</w:t>
      </w:r>
      <w:r w:rsidR="00FB6A7E" w:rsidRPr="0025250D">
        <w:rPr>
          <w:rFonts w:hint="cs"/>
          <w:rtl/>
        </w:rPr>
        <w:t xml:space="preserve"> پیاده‌سازی</w:t>
      </w:r>
      <w:r w:rsidRPr="0025250D">
        <w:rPr>
          <w:vertAlign w:val="superscript"/>
          <w:rtl/>
        </w:rPr>
        <w:footnoteReference w:id="643"/>
      </w:r>
      <w:r w:rsidRPr="0025250D">
        <w:rPr>
          <w:rFonts w:hint="cs"/>
          <w:rtl/>
        </w:rPr>
        <w:t xml:space="preserve"> (</w:t>
      </w:r>
      <w:r w:rsidRPr="0025250D">
        <w:t>MCII</w:t>
      </w:r>
      <w:r w:rsidRPr="0025250D">
        <w:rPr>
          <w:rFonts w:hint="cs"/>
          <w:rtl/>
        </w:rPr>
        <w:t>) نامیده</w:t>
      </w:r>
      <w:r w:rsidRPr="0025250D">
        <w:rPr>
          <w:rFonts w:hint="cs"/>
        </w:rPr>
        <w:t>‌</w:t>
      </w:r>
      <w:r w:rsidRPr="0025250D">
        <w:rPr>
          <w:rFonts w:hint="cs"/>
          <w:rtl/>
        </w:rPr>
        <w:t xml:space="preserve"> می‌شود. </w:t>
      </w:r>
      <w:r w:rsidR="007118DE" w:rsidRPr="0025250D">
        <w:rPr>
          <w:rFonts w:hint="cs"/>
          <w:rtl/>
        </w:rPr>
        <w:t>همان‌طور</w:t>
      </w:r>
      <w:r w:rsidRPr="0025250D">
        <w:rPr>
          <w:rFonts w:hint="cs"/>
          <w:rtl/>
        </w:rPr>
        <w:t xml:space="preserve"> که گفتیم، به این دلیل که باور داریم که چهار </w:t>
      </w:r>
      <w:r w:rsidRPr="0025250D">
        <w:t>P</w:t>
      </w:r>
      <w:r w:rsidRPr="0025250D">
        <w:rPr>
          <w:rFonts w:hint="cs"/>
          <w:rtl/>
        </w:rPr>
        <w:t xml:space="preserve"> یک مدل اساسی‌تر برای تقابل </w:t>
      </w:r>
      <w:r w:rsidRPr="0025250D">
        <w:rPr>
          <w:rtl/>
        </w:rPr>
        <w:t>آینده‌نگاری</w:t>
      </w:r>
      <w:r w:rsidR="008D6F97" w:rsidRPr="0025250D">
        <w:rPr>
          <w:rtl/>
        </w:rPr>
        <w:t xml:space="preserve"> </w:t>
      </w:r>
      <w:r w:rsidR="00FB6A7E" w:rsidRPr="0025250D">
        <w:rPr>
          <w:rFonts w:hint="cs"/>
          <w:rtl/>
        </w:rPr>
        <w:t>است</w:t>
      </w:r>
      <w:r w:rsidRPr="0025250D">
        <w:rPr>
          <w:rFonts w:hint="cs"/>
          <w:rtl/>
        </w:rPr>
        <w:t xml:space="preserve">، ما از اصطلاح تقابل ذهنی برای توصیف تقابل </w:t>
      </w:r>
      <w:r w:rsidR="00D92F6E" w:rsidRPr="0025250D">
        <w:rPr>
          <w:rFonts w:hint="cs"/>
          <w:rtl/>
        </w:rPr>
        <w:t>پیش‌بین</w:t>
      </w:r>
      <w:r w:rsidRPr="0025250D">
        <w:rPr>
          <w:rFonts w:hint="cs"/>
          <w:rtl/>
        </w:rPr>
        <w:t xml:space="preserve"> </w:t>
      </w:r>
      <w:r w:rsidRPr="0025250D">
        <w:rPr>
          <w:rFonts w:hint="cs"/>
          <w:rtl/>
        </w:rPr>
        <w:lastRenderedPageBreak/>
        <w:t xml:space="preserve">(تفکر آینده‌های محتمل و سپس ممکن) و تقابل </w:t>
      </w:r>
      <w:r w:rsidR="002B6515" w:rsidRPr="0025250D">
        <w:rPr>
          <w:rFonts w:hint="cs"/>
          <w:rtl/>
        </w:rPr>
        <w:t>حس‌داد</w:t>
      </w:r>
      <w:r w:rsidRPr="0025250D">
        <w:rPr>
          <w:rFonts w:hint="cs"/>
          <w:rtl/>
        </w:rPr>
        <w:t xml:space="preserve"> (اصطلاح ما برای مطالعه </w:t>
      </w:r>
      <w:r w:rsidRPr="0025250D">
        <w:rPr>
          <w:rtl/>
        </w:rPr>
        <w:t>اوت</w:t>
      </w:r>
      <w:r w:rsidRPr="0025250D">
        <w:rPr>
          <w:rFonts w:hint="cs"/>
          <w:rtl/>
        </w:rPr>
        <w:t>ی</w:t>
      </w:r>
      <w:r w:rsidRPr="0025250D">
        <w:rPr>
          <w:rFonts w:hint="eastAsia"/>
          <w:rtl/>
        </w:rPr>
        <w:t>نگن</w:t>
      </w:r>
      <w:r w:rsidRPr="0025250D">
        <w:rPr>
          <w:rFonts w:hint="cs"/>
          <w:rtl/>
        </w:rPr>
        <w:t>) استفاده</w:t>
      </w:r>
      <w:r w:rsidRPr="0025250D">
        <w:rPr>
          <w:rFonts w:hint="cs"/>
        </w:rPr>
        <w:t>‌</w:t>
      </w:r>
      <w:r w:rsidRPr="0025250D">
        <w:rPr>
          <w:rFonts w:hint="cs"/>
          <w:rtl/>
        </w:rPr>
        <w:t xml:space="preserve"> می‌کنیم. فرایند تفکر </w:t>
      </w:r>
      <w:r w:rsidRPr="0025250D">
        <w:t>GRASP</w:t>
      </w:r>
      <w:r w:rsidRPr="0025250D">
        <w:rPr>
          <w:rFonts w:hint="cs"/>
          <w:rtl/>
        </w:rPr>
        <w:t xml:space="preserve"> ما که به طور خلاصه معرفی خواهیم کرد، بر اساس چهار </w:t>
      </w:r>
      <w:r w:rsidRPr="0025250D">
        <w:t>P</w:t>
      </w:r>
      <w:r w:rsidRPr="0025250D">
        <w:rPr>
          <w:rFonts w:hint="cs"/>
        </w:rPr>
        <w:t>‌</w:t>
      </w:r>
      <w:r w:rsidRPr="0025250D">
        <w:rPr>
          <w:rFonts w:hint="cs"/>
          <w:rtl/>
        </w:rPr>
        <w:t xml:space="preserve"> می‌باشد.</w:t>
      </w:r>
    </w:p>
    <w:p w14:paraId="16E46AD3" w14:textId="22981E9E" w:rsidR="0020732A" w:rsidRPr="0025250D" w:rsidRDefault="0020732A" w:rsidP="0020732A">
      <w:pPr>
        <w:rPr>
          <w:rtl/>
        </w:rPr>
      </w:pPr>
      <w:r w:rsidRPr="0025250D">
        <w:rPr>
          <w:rtl/>
        </w:rPr>
        <w:t>اوت</w:t>
      </w:r>
      <w:r w:rsidRPr="0025250D">
        <w:rPr>
          <w:rFonts w:hint="cs"/>
          <w:rtl/>
        </w:rPr>
        <w:t>ی</w:t>
      </w:r>
      <w:r w:rsidRPr="0025250D">
        <w:rPr>
          <w:rFonts w:hint="eastAsia"/>
          <w:rtl/>
        </w:rPr>
        <w:t>نگن</w:t>
      </w:r>
      <w:r w:rsidRPr="0025250D">
        <w:rPr>
          <w:rFonts w:hint="cs"/>
          <w:rtl/>
        </w:rPr>
        <w:t xml:space="preserve"> در آزمایش‌های بالینی دریافت که تقابل معکوس</w:t>
      </w:r>
      <w:r w:rsidRPr="0025250D">
        <w:rPr>
          <w:vertAlign w:val="superscript"/>
          <w:rtl/>
        </w:rPr>
        <w:footnoteReference w:id="644"/>
      </w:r>
      <w:r w:rsidRPr="0025250D">
        <w:rPr>
          <w:rFonts w:hint="cs"/>
          <w:rtl/>
        </w:rPr>
        <w:t xml:space="preserve"> یا آغاز با </w:t>
      </w:r>
      <w:r w:rsidR="002B6515" w:rsidRPr="0025250D">
        <w:rPr>
          <w:rtl/>
        </w:rPr>
        <w:t>حس‌داد</w:t>
      </w:r>
      <w:r w:rsidRPr="0025250D">
        <w:rPr>
          <w:rFonts w:hint="cs"/>
          <w:rtl/>
        </w:rPr>
        <w:t xml:space="preserve"> منفی و سپس تغییر رویه به سمت </w:t>
      </w:r>
      <w:r w:rsidR="002B6515" w:rsidRPr="0025250D">
        <w:rPr>
          <w:rtl/>
        </w:rPr>
        <w:t>حس‌داد</w:t>
      </w:r>
      <w:r w:rsidRPr="0025250D">
        <w:rPr>
          <w:rFonts w:hint="cs"/>
          <w:rtl/>
        </w:rPr>
        <w:t xml:space="preserve"> مثبت، به طور میانگین، تنها به میزان نصف حالت معکوس تأثیر داشت. به‌بیان‌دیگر، وقتی تسلیم </w:t>
      </w:r>
      <w:r w:rsidR="00E46C90" w:rsidRPr="0025250D">
        <w:rPr>
          <w:rFonts w:hint="cs"/>
          <w:rtl/>
        </w:rPr>
        <w:t xml:space="preserve">سوگیری منفی‌نگر‌نگر </w:t>
      </w:r>
      <w:r w:rsidRPr="0025250D">
        <w:rPr>
          <w:rFonts w:hint="cs"/>
          <w:rtl/>
        </w:rPr>
        <w:t xml:space="preserve">می‌شویم، تقریبا 50 درصد دقت </w:t>
      </w:r>
      <w:r w:rsidRPr="0025250D">
        <w:rPr>
          <w:rtl/>
        </w:rPr>
        <w:t xml:space="preserve">آینده‌نگاری </w:t>
      </w:r>
      <w:r w:rsidRPr="0025250D">
        <w:rPr>
          <w:rFonts w:hint="cs"/>
          <w:rtl/>
        </w:rPr>
        <w:t xml:space="preserve">و بهره وری کم‌تر نسبت به این‌که با </w:t>
      </w:r>
      <w:r w:rsidR="00B56611" w:rsidRPr="0025250D">
        <w:rPr>
          <w:rFonts w:hint="cs"/>
          <w:rtl/>
        </w:rPr>
        <w:t>چشم‌انداز</w:t>
      </w:r>
      <w:r w:rsidRPr="0025250D">
        <w:rPr>
          <w:rFonts w:hint="cs"/>
          <w:rtl/>
        </w:rPr>
        <w:t xml:space="preserve"> مثبت آغاز کنیم و سپس آن </w:t>
      </w:r>
      <w:r w:rsidR="00B56611" w:rsidRPr="0025250D">
        <w:rPr>
          <w:rFonts w:hint="cs"/>
          <w:rtl/>
        </w:rPr>
        <w:t>چشم‌انداز</w:t>
      </w:r>
      <w:r w:rsidR="00FB6A7E" w:rsidRPr="0025250D">
        <w:rPr>
          <w:rFonts w:hint="cs"/>
          <w:rtl/>
        </w:rPr>
        <w:t xml:space="preserve"> را</w:t>
      </w:r>
      <w:r w:rsidRPr="0025250D">
        <w:rPr>
          <w:rFonts w:hint="cs"/>
          <w:rtl/>
        </w:rPr>
        <w:t xml:space="preserve"> با همه راه‌های شکست ممکن در تقابل قرار دهیم و </w:t>
      </w:r>
      <w:r w:rsidR="00FB6A7E" w:rsidRPr="0025250D">
        <w:rPr>
          <w:rFonts w:hint="cs"/>
          <w:rtl/>
        </w:rPr>
        <w:t>بعد</w:t>
      </w:r>
      <w:r w:rsidRPr="0025250D">
        <w:rPr>
          <w:rFonts w:hint="cs"/>
          <w:rtl/>
        </w:rPr>
        <w:t xml:space="preserve"> </w:t>
      </w:r>
      <w:r w:rsidR="008F0DD8" w:rsidRPr="0025250D">
        <w:rPr>
          <w:rFonts w:hint="cs"/>
          <w:rtl/>
        </w:rPr>
        <w:t>برنامه‌ها</w:t>
      </w:r>
      <w:r w:rsidRPr="0025250D">
        <w:rPr>
          <w:rFonts w:hint="cs"/>
          <w:rtl/>
        </w:rPr>
        <w:t xml:space="preserve">یمان را ایجاد نماییم، خواهیم داشت. متأسفانه، </w:t>
      </w:r>
      <w:r w:rsidR="00E46C90" w:rsidRPr="0025250D">
        <w:rPr>
          <w:rFonts w:hint="cs"/>
          <w:rtl/>
        </w:rPr>
        <w:t xml:space="preserve">سوگیری منفی‌نگر‌نگر </w:t>
      </w:r>
      <w:r w:rsidRPr="0025250D">
        <w:rPr>
          <w:rFonts w:hint="cs"/>
          <w:rtl/>
        </w:rPr>
        <w:t>امروزه در بسیاری از فرهنگ‌ها و بافت‌ها رایج است. رهبرانی که با آن مبارزه</w:t>
      </w:r>
      <w:r w:rsidRPr="0025250D">
        <w:rPr>
          <w:rFonts w:hint="cs"/>
        </w:rPr>
        <w:t>‌</w:t>
      </w:r>
      <w:r w:rsidRPr="0025250D">
        <w:rPr>
          <w:rFonts w:hint="cs"/>
          <w:rtl/>
        </w:rPr>
        <w:t xml:space="preserve"> می‌کنند نیاز‌های فراوانی دارند.</w:t>
      </w:r>
    </w:p>
    <w:p w14:paraId="53E2DC38" w14:textId="4A7080C0" w:rsidR="0020732A" w:rsidRPr="0025250D" w:rsidRDefault="0020732A" w:rsidP="0020732A">
      <w:pPr>
        <w:rPr>
          <w:rtl/>
        </w:rPr>
      </w:pPr>
      <w:r w:rsidRPr="0025250D">
        <w:rPr>
          <w:rFonts w:hint="cs"/>
          <w:rtl/>
        </w:rPr>
        <w:t xml:space="preserve">در یک مطالعه پیشتاز در سال 1991، </w:t>
      </w:r>
      <w:r w:rsidRPr="0025250D">
        <w:rPr>
          <w:rtl/>
        </w:rPr>
        <w:t>اوت</w:t>
      </w:r>
      <w:r w:rsidRPr="0025250D">
        <w:rPr>
          <w:rFonts w:hint="cs"/>
          <w:rtl/>
        </w:rPr>
        <w:t>ی</w:t>
      </w:r>
      <w:r w:rsidRPr="0025250D">
        <w:rPr>
          <w:rFonts w:hint="eastAsia"/>
          <w:rtl/>
        </w:rPr>
        <w:t>نگن</w:t>
      </w:r>
      <w:r w:rsidRPr="0025250D">
        <w:rPr>
          <w:rFonts w:hint="cs"/>
          <w:rtl/>
        </w:rPr>
        <w:t xml:space="preserve"> دریافت که زنان دارای اضافه وزنی که تصاویر مثبت و منفی (انتظارات آینده) از برآمدهای کاهش وزن خود را در تقابل قرار دادند، به طور میانگین 26 پوند بیش‌تر در یک سال بعد، نسبت به زنانی که تنها تصویری مثبت از برآمد آینده خود داشتند، وزن کم کردند. این اولین باری بود که او دریافت تقابل </w:t>
      </w:r>
      <w:r w:rsidR="002B6515" w:rsidRPr="0025250D">
        <w:rPr>
          <w:rFonts w:hint="cs"/>
          <w:rtl/>
        </w:rPr>
        <w:t>حس‌داد</w:t>
      </w:r>
      <w:r w:rsidRPr="0025250D">
        <w:rPr>
          <w:rFonts w:hint="cs"/>
          <w:rtl/>
        </w:rPr>
        <w:t xml:space="preserve"> پیش از عمل، هم </w:t>
      </w:r>
      <w:r w:rsidR="00FB6A7E" w:rsidRPr="0025250D">
        <w:rPr>
          <w:rFonts w:hint="cs"/>
          <w:rtl/>
        </w:rPr>
        <w:t>پیش‌نگری</w:t>
      </w:r>
      <w:r w:rsidRPr="0025250D">
        <w:rPr>
          <w:rFonts w:hint="cs"/>
          <w:rtl/>
        </w:rPr>
        <w:t xml:space="preserve"> واقع بینانه‌تر و هم نتایج</w:t>
      </w:r>
      <w:r w:rsidR="008D6F97" w:rsidRPr="0025250D">
        <w:rPr>
          <w:rtl/>
        </w:rPr>
        <w:t xml:space="preserve"> </w:t>
      </w:r>
      <w:r w:rsidRPr="0025250D">
        <w:rPr>
          <w:rFonts w:hint="cs"/>
          <w:rtl/>
        </w:rPr>
        <w:t xml:space="preserve">مفید تری را ایجاد </w:t>
      </w:r>
      <w:r w:rsidR="00FB6A7E" w:rsidRPr="0025250D">
        <w:rPr>
          <w:rFonts w:hint="cs"/>
          <w:rtl/>
        </w:rPr>
        <w:t>می‌نماید</w:t>
      </w:r>
      <w:r w:rsidRPr="0025250D">
        <w:rPr>
          <w:rFonts w:hint="cs"/>
          <w:rtl/>
        </w:rPr>
        <w:t xml:space="preserve">. در یک مطالعه دیگر، یک نسخه یک ساعته از </w:t>
      </w:r>
      <w:r w:rsidR="00B124DE" w:rsidRPr="0025250D">
        <w:rPr>
          <w:rFonts w:hint="cs"/>
          <w:rtl/>
        </w:rPr>
        <w:t>برنامه‌ریزی</w:t>
      </w:r>
      <w:r w:rsidRPr="0025250D">
        <w:rPr>
          <w:rFonts w:hint="cs"/>
          <w:rtl/>
        </w:rPr>
        <w:t xml:space="preserve"> </w:t>
      </w:r>
      <w:r w:rsidRPr="0025250D">
        <w:t>WOOP</w:t>
      </w:r>
      <w:r w:rsidR="008D6F97" w:rsidRPr="0025250D">
        <w:rPr>
          <w:rtl/>
        </w:rPr>
        <w:t xml:space="preserve"> </w:t>
      </w:r>
      <w:r w:rsidRPr="0025250D">
        <w:rPr>
          <w:rFonts w:hint="cs"/>
          <w:rtl/>
        </w:rPr>
        <w:t>که با دانشجویان پیش از انجام آزمون‌های استاندارد انجام</w:t>
      </w:r>
      <w:r w:rsidRPr="0025250D">
        <w:rPr>
          <w:rFonts w:hint="cs"/>
        </w:rPr>
        <w:t>‌</w:t>
      </w:r>
      <w:r w:rsidRPr="0025250D">
        <w:rPr>
          <w:rFonts w:hint="cs"/>
          <w:rtl/>
        </w:rPr>
        <w:t xml:space="preserve"> می‌شد، سبب شد آن‌ها 40 تا 60 درصد بیش‌تر به پرسش‌های عملی در طول چند هفته مطالعه پاسخ دهند. آن‌ها همچنین انگیزه بیش‌تری برای پایداری و مقاومت در مسائل دشوار داشتند. مداخلات </w:t>
      </w:r>
      <w:r w:rsidRPr="0025250D">
        <w:t>WOOP</w:t>
      </w:r>
      <w:r w:rsidRPr="0025250D">
        <w:rPr>
          <w:rFonts w:hint="cs"/>
          <w:rtl/>
        </w:rPr>
        <w:t xml:space="preserve"> دارای طول بیش‌تر نیز نمرات آکادمیک را در مقابل مداخلات کنترلی در طول چند سال افزایش دادند. در یک مطالعه، یک نسخه یک ساعته از تقابل </w:t>
      </w:r>
      <w:r w:rsidR="002B6515" w:rsidRPr="0025250D">
        <w:rPr>
          <w:rFonts w:hint="cs"/>
          <w:rtl/>
        </w:rPr>
        <w:t>حس‌داد</w:t>
      </w:r>
      <w:r w:rsidRPr="0025250D">
        <w:rPr>
          <w:rFonts w:hint="cs"/>
          <w:rtl/>
        </w:rPr>
        <w:t xml:space="preserve"> با استفاده از </w:t>
      </w:r>
      <w:r w:rsidRPr="0025250D">
        <w:t>WOOP</w:t>
      </w:r>
      <w:r w:rsidRPr="0025250D">
        <w:rPr>
          <w:rFonts w:hint="cs"/>
          <w:rtl/>
        </w:rPr>
        <w:t>، در ترکیب با اطلاعات حقیقی در مورد مزایای خوردن میوه و سبزیجات بیش‌تر برای سلامتی سبب شد شرکت کنندگان میوه و سبزیجات بیش‌تری را تا دو سال پس از مداخله، در مقایسه با ارائه اطلاعات حقیقی صرف، مصرف کنند.</w:t>
      </w:r>
    </w:p>
    <w:p w14:paraId="412739B1" w14:textId="6EB6D6E2" w:rsidR="0020732A" w:rsidRPr="0025250D" w:rsidRDefault="0020732A" w:rsidP="0020732A">
      <w:pPr>
        <w:rPr>
          <w:rtl/>
        </w:rPr>
      </w:pPr>
      <w:r w:rsidRPr="0025250D">
        <w:rPr>
          <w:rFonts w:hint="cs"/>
          <w:rtl/>
        </w:rPr>
        <w:t xml:space="preserve">در نظر داشته باشید که در یک نسخه یک ساعته از تقابل </w:t>
      </w:r>
      <w:r w:rsidR="002B6515" w:rsidRPr="0025250D">
        <w:rPr>
          <w:rFonts w:hint="cs"/>
          <w:rtl/>
        </w:rPr>
        <w:t>حس‌داد</w:t>
      </w:r>
      <w:r w:rsidRPr="0025250D">
        <w:rPr>
          <w:rFonts w:hint="cs"/>
          <w:rtl/>
        </w:rPr>
        <w:t>، زمان کافی برای ما جهت جزئی سازی و هیجانی سازی تصویر سازی هایمان وجود دارد. این یعنی رسیدن به سطحی از تصویر سازی‌ها که بسیاری از بهترین ورزشکاران حرفه‌ای قبل از رقابت از آن‌ها استفاده</w:t>
      </w:r>
      <w:r w:rsidRPr="0025250D">
        <w:rPr>
          <w:rFonts w:hint="cs"/>
        </w:rPr>
        <w:t>‌</w:t>
      </w:r>
      <w:r w:rsidRPr="0025250D">
        <w:rPr>
          <w:rFonts w:hint="cs"/>
          <w:rtl/>
        </w:rPr>
        <w:t xml:space="preserve"> می‌کنند. آخرین باری که 15 دقیقه به انتخاب یک هدف </w:t>
      </w:r>
      <w:r w:rsidR="001A3F0A" w:rsidRPr="0025250D">
        <w:rPr>
          <w:rFonts w:hint="cs"/>
          <w:rtl/>
        </w:rPr>
        <w:t>فردی</w:t>
      </w:r>
      <w:r w:rsidRPr="0025250D">
        <w:rPr>
          <w:rFonts w:hint="cs"/>
          <w:rtl/>
        </w:rPr>
        <w:t xml:space="preserve"> کوتاه مدت ارزشمند، 15 دقیقه تصویر سازی دست‌یابی به آن،</w:t>
      </w:r>
      <w:r w:rsidR="008D6F97" w:rsidRPr="0025250D">
        <w:rPr>
          <w:rtl/>
        </w:rPr>
        <w:t xml:space="preserve"> </w:t>
      </w:r>
      <w:r w:rsidRPr="0025250D">
        <w:rPr>
          <w:rFonts w:hint="cs"/>
          <w:rtl/>
        </w:rPr>
        <w:t>15 دقیقه تصور موارد منفی که</w:t>
      </w:r>
      <w:r w:rsidRPr="0025250D">
        <w:rPr>
          <w:rFonts w:hint="cs"/>
        </w:rPr>
        <w:t>‌</w:t>
      </w:r>
      <w:r w:rsidRPr="0025250D">
        <w:rPr>
          <w:rFonts w:hint="cs"/>
          <w:rtl/>
        </w:rPr>
        <w:t xml:space="preserve"> می‌توانند شما را از رسیدن به آن بازدارند و 15 دقیقه برای ایجاد یک برنامه </w:t>
      </w:r>
      <w:r w:rsidR="00FB6A7E" w:rsidRPr="0025250D">
        <w:rPr>
          <w:rFonts w:hint="cs"/>
          <w:rtl/>
        </w:rPr>
        <w:t>اگر-آنگاه</w:t>
      </w:r>
      <w:r w:rsidRPr="0025250D">
        <w:rPr>
          <w:rFonts w:hint="cs"/>
          <w:rtl/>
        </w:rPr>
        <w:t xml:space="preserve"> اختصاص دادید چه زمانی بوده است؟ اگر شما برای هر یک از اهداف خود چنین </w:t>
      </w:r>
      <w:r w:rsidR="00F50EB4" w:rsidRPr="0025250D">
        <w:rPr>
          <w:rFonts w:hint="cs"/>
          <w:rtl/>
        </w:rPr>
        <w:t>سرمایه‌گذاری</w:t>
      </w:r>
      <w:r w:rsidRPr="0025250D">
        <w:rPr>
          <w:rFonts w:hint="cs"/>
          <w:rtl/>
        </w:rPr>
        <w:t xml:space="preserve"> هیجانی داشته باشید، آیا فکر</w:t>
      </w:r>
      <w:r w:rsidRPr="0025250D">
        <w:rPr>
          <w:rFonts w:hint="cs"/>
        </w:rPr>
        <w:t>‌</w:t>
      </w:r>
      <w:r w:rsidRPr="0025250D">
        <w:rPr>
          <w:rFonts w:hint="cs"/>
          <w:rtl/>
        </w:rPr>
        <w:t xml:space="preserve"> می‌کنید که دقت، بهره وری و انگیزه شما را برای بازبینی برنامه</w:t>
      </w:r>
      <w:r w:rsidR="00FB6A7E" w:rsidRPr="0025250D">
        <w:rPr>
          <w:rFonts w:hint="cs"/>
          <w:rtl/>
        </w:rPr>
        <w:t>‌</w:t>
      </w:r>
      <w:r w:rsidRPr="0025250D">
        <w:rPr>
          <w:rFonts w:hint="cs"/>
          <w:rtl/>
        </w:rPr>
        <w:t>تان (انجام یک حلقه انجام) در طول روز افزایش</w:t>
      </w:r>
      <w:r w:rsidRPr="0025250D">
        <w:rPr>
          <w:rFonts w:hint="cs"/>
        </w:rPr>
        <w:t>‌</w:t>
      </w:r>
      <w:r w:rsidRPr="0025250D">
        <w:rPr>
          <w:rFonts w:hint="cs"/>
          <w:rtl/>
        </w:rPr>
        <w:t xml:space="preserve"> می‌دهد؟ اگر تا کنون این کار را برای هیچ یک از برنامه‌های امروز انجام نداده اید، اکنون</w:t>
      </w:r>
      <w:r w:rsidRPr="0025250D">
        <w:rPr>
          <w:rFonts w:hint="cs"/>
        </w:rPr>
        <w:t>‌</w:t>
      </w:r>
      <w:r w:rsidRPr="0025250D">
        <w:rPr>
          <w:rFonts w:hint="cs"/>
          <w:rtl/>
        </w:rPr>
        <w:t xml:space="preserve"> می‌تواند زمان بسیار خوبی برای شروع باشد!</w:t>
      </w:r>
    </w:p>
    <w:p w14:paraId="18DD23FA" w14:textId="6DBA6ADA" w:rsidR="0020732A" w:rsidRPr="0025250D" w:rsidRDefault="007118DE" w:rsidP="0020732A">
      <w:pPr>
        <w:rPr>
          <w:rtl/>
        </w:rPr>
      </w:pPr>
      <w:r w:rsidRPr="0025250D">
        <w:rPr>
          <w:rFonts w:hint="cs"/>
          <w:rtl/>
        </w:rPr>
        <w:t>همان‌طور</w:t>
      </w:r>
      <w:r w:rsidR="0020732A" w:rsidRPr="0025250D">
        <w:rPr>
          <w:rFonts w:hint="cs"/>
          <w:rtl/>
        </w:rPr>
        <w:t xml:space="preserve"> که </w:t>
      </w:r>
      <w:r w:rsidR="0020732A" w:rsidRPr="0025250D">
        <w:rPr>
          <w:rtl/>
        </w:rPr>
        <w:t>فرد پولاک</w:t>
      </w:r>
      <w:r w:rsidR="0020732A" w:rsidRPr="0025250D">
        <w:rPr>
          <w:vertAlign w:val="superscript"/>
          <w:rtl/>
        </w:rPr>
        <w:footnoteReference w:id="645"/>
      </w:r>
      <w:r w:rsidR="0020732A" w:rsidRPr="0025250D">
        <w:rPr>
          <w:rFonts w:hint="cs"/>
          <w:rtl/>
        </w:rPr>
        <w:t xml:space="preserve"> در کتاب تصویر آینده</w:t>
      </w:r>
      <w:r w:rsidR="0020732A" w:rsidRPr="0025250D">
        <w:rPr>
          <w:vertAlign w:val="superscript"/>
          <w:rtl/>
        </w:rPr>
        <w:footnoteReference w:id="646"/>
      </w:r>
      <w:r w:rsidR="0020732A" w:rsidRPr="0025250D">
        <w:rPr>
          <w:rFonts w:hint="cs"/>
          <w:rtl/>
        </w:rPr>
        <w:t xml:space="preserve"> در سال 1973 بیان کرده است، بزرگ‌ترین وظیفه ما ایجاد یک تصویر مثبت شفاف، </w:t>
      </w:r>
      <w:r w:rsidR="00923DDB" w:rsidRPr="0025250D">
        <w:rPr>
          <w:rFonts w:hint="cs"/>
          <w:rtl/>
        </w:rPr>
        <w:t>باورپذیر</w:t>
      </w:r>
      <w:r w:rsidR="0020732A" w:rsidRPr="0025250D">
        <w:rPr>
          <w:rFonts w:hint="cs"/>
          <w:rtl/>
        </w:rPr>
        <w:t xml:space="preserve"> و متقاعد کننده از آینده مان است </w:t>
      </w:r>
      <w:r w:rsidR="0020732A" w:rsidRPr="0025250D">
        <w:rPr>
          <w:rFonts w:cs="Times New Roman" w:hint="cs"/>
          <w:rtl/>
        </w:rPr>
        <w:t>–</w:t>
      </w:r>
      <w:r w:rsidR="0020732A" w:rsidRPr="0025250D">
        <w:rPr>
          <w:rFonts w:hint="cs"/>
          <w:rtl/>
        </w:rPr>
        <w:t xml:space="preserve"> تصویری که ما را با شفافیت و مزایای خود به سمت خود بکشاند. ما به کیفیت </w:t>
      </w:r>
      <w:r w:rsidR="00B56611" w:rsidRPr="0025250D">
        <w:rPr>
          <w:rFonts w:hint="cs"/>
          <w:rtl/>
        </w:rPr>
        <w:t>چشم‌انداز</w:t>
      </w:r>
      <w:r w:rsidR="0020732A" w:rsidRPr="0025250D">
        <w:rPr>
          <w:vertAlign w:val="superscript"/>
          <w:rtl/>
        </w:rPr>
        <w:footnoteReference w:id="647"/>
      </w:r>
      <w:r w:rsidR="0020732A" w:rsidRPr="0025250D">
        <w:rPr>
          <w:rFonts w:hint="cs"/>
          <w:rtl/>
        </w:rPr>
        <w:t xml:space="preserve"> نیاز داریم. ما به </w:t>
      </w:r>
      <w:r w:rsidR="00B56611" w:rsidRPr="0025250D">
        <w:rPr>
          <w:rFonts w:hint="cs"/>
          <w:rtl/>
        </w:rPr>
        <w:t>چشم‌انداز</w:t>
      </w:r>
      <w:r w:rsidR="0020732A" w:rsidRPr="0025250D">
        <w:rPr>
          <w:rFonts w:hint="cs"/>
          <w:rtl/>
        </w:rPr>
        <w:t>‌های مثبت در هر افق زمانی مرتبطی</w:t>
      </w:r>
      <w:r w:rsidR="00FB6A7E" w:rsidRPr="0025250D">
        <w:rPr>
          <w:rFonts w:hint="cs"/>
          <w:rtl/>
        </w:rPr>
        <w:t xml:space="preserve"> مانند</w:t>
      </w:r>
      <w:r w:rsidR="0020732A" w:rsidRPr="0025250D">
        <w:rPr>
          <w:rFonts w:hint="cs"/>
          <w:rtl/>
        </w:rPr>
        <w:t xml:space="preserve"> امروز، فردا، فصل بعد، سال آینده و دهه بعدی و نیز برای مشاغل، فرزندان و میراثمان نیاز داریم. چنین </w:t>
      </w:r>
      <w:r w:rsidR="00B56611" w:rsidRPr="0025250D">
        <w:rPr>
          <w:rFonts w:hint="cs"/>
          <w:rtl/>
        </w:rPr>
        <w:t>چشم‌انداز</w:t>
      </w:r>
      <w:r w:rsidR="0020732A" w:rsidRPr="0025250D">
        <w:rPr>
          <w:rFonts w:hint="cs"/>
          <w:rtl/>
        </w:rPr>
        <w:t xml:space="preserve">‌هایی به طور مشخص برای تصویر ما از خودمان اهمیت دارند. ما در همه </w:t>
      </w:r>
      <w:r w:rsidR="00B56611" w:rsidRPr="0025250D">
        <w:rPr>
          <w:rFonts w:hint="cs"/>
          <w:rtl/>
        </w:rPr>
        <w:t>چشم‌انداز</w:t>
      </w:r>
      <w:r w:rsidR="0020732A" w:rsidRPr="0025250D">
        <w:rPr>
          <w:rFonts w:hint="cs"/>
          <w:rtl/>
        </w:rPr>
        <w:t xml:space="preserve">‌های بلند مدت ترمان نیز باید از اینکه ارزش‌های خوب به آن‌ها متصل </w:t>
      </w:r>
      <w:r w:rsidR="00185F3E" w:rsidRPr="0025250D">
        <w:rPr>
          <w:rFonts w:hint="cs"/>
          <w:rtl/>
        </w:rPr>
        <w:t>شده‌اند</w:t>
      </w:r>
      <w:r w:rsidR="0020732A" w:rsidRPr="0025250D">
        <w:rPr>
          <w:rFonts w:hint="cs"/>
          <w:rtl/>
        </w:rPr>
        <w:t xml:space="preserve"> اطمینان حاصل کنیم. </w:t>
      </w:r>
      <w:r w:rsidR="0020732A" w:rsidRPr="0025250D">
        <w:rPr>
          <w:rtl/>
        </w:rPr>
        <w:t>اوت</w:t>
      </w:r>
      <w:r w:rsidR="0020732A" w:rsidRPr="0025250D">
        <w:rPr>
          <w:rFonts w:hint="cs"/>
          <w:rtl/>
        </w:rPr>
        <w:t>ی</w:t>
      </w:r>
      <w:r w:rsidR="0020732A" w:rsidRPr="0025250D">
        <w:rPr>
          <w:rFonts w:hint="eastAsia"/>
          <w:rtl/>
        </w:rPr>
        <w:t>نگن</w:t>
      </w:r>
      <w:r w:rsidR="0020732A" w:rsidRPr="0025250D">
        <w:rPr>
          <w:rFonts w:hint="cs"/>
          <w:rtl/>
        </w:rPr>
        <w:t xml:space="preserve"> به ما نشان داد که یک فرایند، یعنی تقابل </w:t>
      </w:r>
      <w:r w:rsidR="002B6515" w:rsidRPr="0025250D">
        <w:rPr>
          <w:rFonts w:hint="cs"/>
          <w:rtl/>
        </w:rPr>
        <w:t>حس‌داد</w:t>
      </w:r>
      <w:r w:rsidR="0020732A" w:rsidRPr="0025250D">
        <w:rPr>
          <w:rFonts w:hint="cs"/>
          <w:rtl/>
        </w:rPr>
        <w:t>، وجود دارد که قدرت تصویر سازی‌ها را به حداکثر</w:t>
      </w:r>
      <w:r w:rsidR="0020732A" w:rsidRPr="0025250D">
        <w:rPr>
          <w:rFonts w:hint="cs"/>
        </w:rPr>
        <w:t>‌</w:t>
      </w:r>
      <w:r w:rsidR="0020732A" w:rsidRPr="0025250D">
        <w:rPr>
          <w:rFonts w:hint="cs"/>
          <w:rtl/>
        </w:rPr>
        <w:t xml:space="preserve"> می‌رساند. ما باور داریم که تفکر </w:t>
      </w:r>
      <w:r w:rsidR="0020732A" w:rsidRPr="0025250D">
        <w:t>GRASP</w:t>
      </w:r>
      <w:r w:rsidR="0020732A" w:rsidRPr="0025250D">
        <w:rPr>
          <w:rFonts w:hint="cs"/>
          <w:rtl/>
        </w:rPr>
        <w:t xml:space="preserve"> که تقابل </w:t>
      </w:r>
      <w:r w:rsidR="002B6515" w:rsidRPr="0025250D">
        <w:rPr>
          <w:rFonts w:hint="cs"/>
          <w:rtl/>
        </w:rPr>
        <w:t>حس‌داد</w:t>
      </w:r>
      <w:r w:rsidR="0020732A" w:rsidRPr="0025250D">
        <w:rPr>
          <w:rFonts w:hint="cs"/>
          <w:rtl/>
        </w:rPr>
        <w:t xml:space="preserve"> و </w:t>
      </w:r>
      <w:r w:rsidR="006335B8" w:rsidRPr="0025250D">
        <w:rPr>
          <w:rtl/>
        </w:rPr>
        <w:t xml:space="preserve">چهار </w:t>
      </w:r>
      <w:r w:rsidR="006335B8" w:rsidRPr="0025250D">
        <w:t>P</w:t>
      </w:r>
      <w:r w:rsidR="0020732A" w:rsidRPr="0025250D">
        <w:rPr>
          <w:rFonts w:hint="cs"/>
          <w:rtl/>
        </w:rPr>
        <w:t xml:space="preserve"> را ترکیب</w:t>
      </w:r>
      <w:r w:rsidR="0020732A" w:rsidRPr="0025250D">
        <w:rPr>
          <w:rFonts w:hint="cs"/>
        </w:rPr>
        <w:t>‌</w:t>
      </w:r>
      <w:r w:rsidR="0020732A" w:rsidRPr="0025250D">
        <w:rPr>
          <w:rFonts w:hint="cs"/>
          <w:rtl/>
        </w:rPr>
        <w:t xml:space="preserve"> می‌کند، این قدرت را افزایش</w:t>
      </w:r>
      <w:r w:rsidR="0020732A" w:rsidRPr="0025250D">
        <w:rPr>
          <w:rFonts w:hint="cs"/>
        </w:rPr>
        <w:t>‌</w:t>
      </w:r>
      <w:r w:rsidR="0020732A" w:rsidRPr="0025250D">
        <w:rPr>
          <w:rFonts w:hint="cs"/>
          <w:rtl/>
        </w:rPr>
        <w:t xml:space="preserve"> می‌دهد و</w:t>
      </w:r>
      <w:r w:rsidR="0020732A" w:rsidRPr="0025250D">
        <w:rPr>
          <w:rFonts w:hint="cs"/>
        </w:rPr>
        <w:t>‌</w:t>
      </w:r>
      <w:r w:rsidR="0020732A" w:rsidRPr="0025250D">
        <w:rPr>
          <w:rFonts w:hint="cs"/>
          <w:rtl/>
        </w:rPr>
        <w:t xml:space="preserve"> می‌تواند به‌صورت روزانه در زندگی هایمان استفاده شود.</w:t>
      </w:r>
    </w:p>
    <w:p w14:paraId="76B9FE24" w14:textId="08AA474E" w:rsidR="0020732A" w:rsidRPr="0025250D" w:rsidRDefault="0020732A" w:rsidP="0020732A">
      <w:pPr>
        <w:rPr>
          <w:rtl/>
        </w:rPr>
      </w:pPr>
      <w:r w:rsidRPr="0025250D">
        <w:lastRenderedPageBreak/>
        <w:t>GRASP</w:t>
      </w:r>
      <w:r w:rsidRPr="0025250D">
        <w:rPr>
          <w:rFonts w:hint="cs"/>
          <w:rtl/>
        </w:rPr>
        <w:t xml:space="preserve"> ترکیب </w:t>
      </w:r>
      <w:r w:rsidRPr="0025250D">
        <w:t>4U</w:t>
      </w:r>
      <w:r w:rsidRPr="0025250D">
        <w:rPr>
          <w:rFonts w:hint="cs"/>
          <w:rtl/>
        </w:rPr>
        <w:t xml:space="preserve"> از </w:t>
      </w:r>
      <w:r w:rsidRPr="0025250D">
        <w:t>WOOP</w:t>
      </w:r>
      <w:r w:rsidRPr="0025250D">
        <w:rPr>
          <w:rFonts w:hint="cs"/>
          <w:rtl/>
        </w:rPr>
        <w:t xml:space="preserve">، مدل چهار </w:t>
      </w:r>
      <w:r w:rsidRPr="0025250D">
        <w:t>P</w:t>
      </w:r>
      <w:r w:rsidRPr="0025250D">
        <w:rPr>
          <w:rFonts w:hint="cs"/>
          <w:rtl/>
        </w:rPr>
        <w:t xml:space="preserve"> و مدل </w:t>
      </w:r>
      <w:r w:rsidR="00B124DE" w:rsidRPr="0025250D">
        <w:rPr>
          <w:rFonts w:hint="cs"/>
          <w:rtl/>
        </w:rPr>
        <w:t>برنامه‌ریزی</w:t>
      </w:r>
      <w:r w:rsidRPr="0025250D">
        <w:rPr>
          <w:rFonts w:hint="cs"/>
          <w:rtl/>
        </w:rPr>
        <w:t xml:space="preserve"> </w:t>
      </w:r>
      <w:r w:rsidRPr="0025250D">
        <w:t>GROW</w:t>
      </w:r>
      <w:r w:rsidRPr="0025250D">
        <w:rPr>
          <w:rFonts w:hint="cs"/>
          <w:rtl/>
        </w:rPr>
        <w:t xml:space="preserve"> (هدف، واقعیت، موانع/گزینه‌ها، مسیر رو به جلو</w:t>
      </w:r>
      <w:r w:rsidRPr="0025250D">
        <w:rPr>
          <w:vertAlign w:val="superscript"/>
          <w:rtl/>
        </w:rPr>
        <w:footnoteReference w:id="648"/>
      </w:r>
      <w:r w:rsidRPr="0025250D">
        <w:rPr>
          <w:rFonts w:hint="cs"/>
          <w:rtl/>
        </w:rPr>
        <w:t>) از دهه 1970</w:t>
      </w:r>
      <w:r w:rsidRPr="0025250D">
        <w:rPr>
          <w:rFonts w:hint="cs"/>
        </w:rPr>
        <w:t>‌</w:t>
      </w:r>
      <w:r w:rsidRPr="0025250D">
        <w:rPr>
          <w:rFonts w:hint="cs"/>
          <w:rtl/>
        </w:rPr>
        <w:t xml:space="preserve"> می‌باشد. </w:t>
      </w:r>
      <w:r w:rsidRPr="0025250D">
        <w:t>GROW</w:t>
      </w:r>
      <w:r w:rsidRPr="0025250D">
        <w:rPr>
          <w:rFonts w:hint="cs"/>
          <w:rtl/>
        </w:rPr>
        <w:t xml:space="preserve"> توسط مربی ورزشی </w:t>
      </w:r>
      <w:r w:rsidRPr="0025250D">
        <w:rPr>
          <w:rtl/>
        </w:rPr>
        <w:t>ت</w:t>
      </w:r>
      <w:r w:rsidRPr="0025250D">
        <w:rPr>
          <w:rFonts w:hint="cs"/>
          <w:rtl/>
        </w:rPr>
        <w:t>ی</w:t>
      </w:r>
      <w:r w:rsidRPr="0025250D">
        <w:rPr>
          <w:rFonts w:hint="eastAsia"/>
          <w:rtl/>
        </w:rPr>
        <w:t>م</w:t>
      </w:r>
      <w:r w:rsidRPr="0025250D">
        <w:rPr>
          <w:rtl/>
        </w:rPr>
        <w:t xml:space="preserve"> گالو</w:t>
      </w:r>
      <w:r w:rsidRPr="0025250D">
        <w:rPr>
          <w:rFonts w:hint="cs"/>
          <w:rtl/>
        </w:rPr>
        <w:t>ی</w:t>
      </w:r>
      <w:r w:rsidRPr="0025250D">
        <w:rPr>
          <w:vertAlign w:val="superscript"/>
          <w:rtl/>
        </w:rPr>
        <w:footnoteReference w:id="649"/>
      </w:r>
      <w:r w:rsidRPr="0025250D">
        <w:rPr>
          <w:rFonts w:hint="cs"/>
          <w:rtl/>
        </w:rPr>
        <w:t xml:space="preserve"> در کتاب کلاسیک خود به نام بازی تنیس </w:t>
      </w:r>
      <w:r w:rsidR="00FB6A7E" w:rsidRPr="0025250D">
        <w:rPr>
          <w:rFonts w:hint="cs"/>
          <w:rtl/>
        </w:rPr>
        <w:t>درونی</w:t>
      </w:r>
      <w:r w:rsidRPr="0025250D">
        <w:rPr>
          <w:vertAlign w:val="superscript"/>
          <w:rtl/>
        </w:rPr>
        <w:footnoteReference w:id="650"/>
      </w:r>
      <w:r w:rsidR="00FB6A7E" w:rsidRPr="0025250D">
        <w:rPr>
          <w:rFonts w:hint="cs"/>
          <w:rtl/>
        </w:rPr>
        <w:t xml:space="preserve"> در سال</w:t>
      </w:r>
      <w:r w:rsidRPr="0025250D">
        <w:rPr>
          <w:rFonts w:hint="cs"/>
          <w:rtl/>
        </w:rPr>
        <w:t xml:space="preserve"> 1974، معرفی شد که بازی ذهنی را که همه ما ابتدا به‌صورت درونی، برای بهتر شدن در بازی فیزیکی سعی در مهارت یافتن در آن داریم، توصیف کرد. </w:t>
      </w:r>
      <w:r w:rsidR="00B124DE" w:rsidRPr="0025250D">
        <w:rPr>
          <w:rFonts w:hint="cs"/>
          <w:rtl/>
        </w:rPr>
        <w:t>برنامه‌ریزی</w:t>
      </w:r>
      <w:r w:rsidRPr="0025250D">
        <w:rPr>
          <w:rFonts w:hint="cs"/>
          <w:rtl/>
        </w:rPr>
        <w:t xml:space="preserve"> </w:t>
      </w:r>
      <w:r w:rsidRPr="0025250D">
        <w:t>GROW</w:t>
      </w:r>
      <w:r w:rsidRPr="0025250D">
        <w:rPr>
          <w:rFonts w:hint="cs"/>
          <w:rtl/>
        </w:rPr>
        <w:t xml:space="preserve"> همچنین در کتاب آموزش برای عملکرد</w:t>
      </w:r>
      <w:r w:rsidRPr="0025250D">
        <w:rPr>
          <w:vertAlign w:val="superscript"/>
          <w:rtl/>
        </w:rPr>
        <w:footnoteReference w:id="651"/>
      </w:r>
      <w:r w:rsidR="00FB6A7E" w:rsidRPr="0025250D">
        <w:rPr>
          <w:rFonts w:hint="cs"/>
          <w:rtl/>
        </w:rPr>
        <w:t xml:space="preserve"> در سال</w:t>
      </w:r>
      <w:r w:rsidRPr="0025250D">
        <w:rPr>
          <w:rFonts w:hint="cs"/>
          <w:rtl/>
        </w:rPr>
        <w:t xml:space="preserve"> 1992، یک کتاب کلاسیک در مورد آموزش رهبری و </w:t>
      </w:r>
      <w:r w:rsidR="00B124DE" w:rsidRPr="0025250D">
        <w:rPr>
          <w:rFonts w:hint="cs"/>
          <w:rtl/>
        </w:rPr>
        <w:t>کسب‌و‌کار</w:t>
      </w:r>
      <w:r w:rsidRPr="0025250D">
        <w:rPr>
          <w:rFonts w:hint="cs"/>
          <w:rtl/>
        </w:rPr>
        <w:t xml:space="preserve"> استفاده شد</w:t>
      </w:r>
      <w:r w:rsidR="00FB6A7E" w:rsidRPr="0025250D">
        <w:rPr>
          <w:rFonts w:hint="cs"/>
          <w:rtl/>
        </w:rPr>
        <w:t>ه است</w:t>
      </w:r>
      <w:r w:rsidRPr="0025250D">
        <w:rPr>
          <w:rFonts w:hint="cs"/>
          <w:rtl/>
        </w:rPr>
        <w:t>.</w:t>
      </w:r>
    </w:p>
    <w:p w14:paraId="5857A07D" w14:textId="2304B6D1" w:rsidR="0020732A" w:rsidRPr="0025250D" w:rsidRDefault="0020732A" w:rsidP="006335B8">
      <w:pPr>
        <w:rPr>
          <w:rtl/>
        </w:rPr>
      </w:pPr>
      <w:r w:rsidRPr="0025250D">
        <w:rPr>
          <w:rFonts w:hint="cs"/>
          <w:rtl/>
        </w:rPr>
        <w:t xml:space="preserve">تقابل ذهنی </w:t>
      </w:r>
      <w:r w:rsidRPr="0025250D">
        <w:t>GRASP</w:t>
      </w:r>
      <w:r w:rsidRPr="0025250D">
        <w:rPr>
          <w:rFonts w:hint="cs"/>
          <w:rtl/>
        </w:rPr>
        <w:t xml:space="preserve">، یا </w:t>
      </w:r>
      <w:r w:rsidR="006335B8" w:rsidRPr="0025250D">
        <w:rPr>
          <w:rtl/>
        </w:rPr>
        <w:t>«</w:t>
      </w:r>
      <w:r w:rsidRPr="0025250D">
        <w:rPr>
          <w:rFonts w:hint="cs"/>
          <w:rtl/>
        </w:rPr>
        <w:t xml:space="preserve">تفکر </w:t>
      </w:r>
      <w:r w:rsidRPr="0025250D">
        <w:t>GRASP</w:t>
      </w:r>
      <w:r w:rsidR="006335B8" w:rsidRPr="0025250D">
        <w:rPr>
          <w:rFonts w:hint="cs"/>
          <w:rtl/>
        </w:rPr>
        <w:t>»</w:t>
      </w:r>
      <w:r w:rsidRPr="0025250D">
        <w:rPr>
          <w:rFonts w:hint="cs"/>
          <w:rtl/>
        </w:rPr>
        <w:t xml:space="preserve"> پنج مرحله به شکل زیر دارد:</w:t>
      </w:r>
    </w:p>
    <w:p w14:paraId="34B4CD87" w14:textId="7B52CB46" w:rsidR="0020732A" w:rsidRPr="0025250D" w:rsidRDefault="0020732A" w:rsidP="00492C47">
      <w:pPr>
        <w:numPr>
          <w:ilvl w:val="0"/>
          <w:numId w:val="12"/>
        </w:numPr>
      </w:pPr>
      <w:r w:rsidRPr="0025250D">
        <w:rPr>
          <w:rFonts w:hint="cs"/>
          <w:b/>
          <w:bCs/>
          <w:rtl/>
        </w:rPr>
        <w:t>هدف</w:t>
      </w:r>
      <w:r w:rsidRPr="0025250D">
        <w:rPr>
          <w:rFonts w:hint="cs"/>
          <w:rtl/>
        </w:rPr>
        <w:t xml:space="preserve">. ابتدا از میان گزینه‌های </w:t>
      </w:r>
      <w:r w:rsidR="00701E03" w:rsidRPr="0025250D">
        <w:rPr>
          <w:rFonts w:hint="cs"/>
          <w:rtl/>
        </w:rPr>
        <w:t>راهبردی</w:t>
      </w:r>
      <w:r w:rsidRPr="0025250D">
        <w:rPr>
          <w:rFonts w:hint="cs"/>
          <w:rtl/>
        </w:rPr>
        <w:t xml:space="preserve"> فعلی مان، هدفی را بر</w:t>
      </w:r>
      <w:r w:rsidRPr="0025250D">
        <w:rPr>
          <w:rFonts w:hint="cs"/>
        </w:rPr>
        <w:t>‌</w:t>
      </w:r>
      <w:r w:rsidRPr="0025250D">
        <w:rPr>
          <w:rFonts w:hint="cs"/>
          <w:rtl/>
        </w:rPr>
        <w:t xml:space="preserve"> می‌گزینیم. ما این هدف را طوری انتخاب</w:t>
      </w:r>
      <w:r w:rsidRPr="0025250D">
        <w:rPr>
          <w:rFonts w:hint="cs"/>
        </w:rPr>
        <w:t>‌</w:t>
      </w:r>
      <w:r w:rsidRPr="0025250D">
        <w:rPr>
          <w:rFonts w:hint="cs"/>
          <w:rtl/>
        </w:rPr>
        <w:t xml:space="preserve"> می‌کنیم که مهم و دشوار، اما قابل دست‌یابی باشد. ما احتمال این‌که بتوانیم در یک زمان مشخص به آن دست‌یابیم را ارزیابی</w:t>
      </w:r>
      <w:r w:rsidRPr="0025250D">
        <w:rPr>
          <w:rFonts w:hint="cs"/>
        </w:rPr>
        <w:t>‌</w:t>
      </w:r>
      <w:r w:rsidRPr="0025250D">
        <w:rPr>
          <w:rFonts w:hint="cs"/>
          <w:rtl/>
        </w:rPr>
        <w:t xml:space="preserve"> می‌نماییم. از نظر هیجانی، باید در مورد انتخابمان خوش بین و مطمئن باشیم.</w:t>
      </w:r>
    </w:p>
    <w:p w14:paraId="173D8006" w14:textId="52032E5B" w:rsidR="0020732A" w:rsidRPr="0025250D" w:rsidRDefault="0020732A" w:rsidP="00492C47">
      <w:pPr>
        <w:numPr>
          <w:ilvl w:val="0"/>
          <w:numId w:val="12"/>
        </w:numPr>
      </w:pPr>
      <w:r w:rsidRPr="0025250D">
        <w:rPr>
          <w:rFonts w:hint="cs"/>
          <w:b/>
          <w:bCs/>
          <w:rtl/>
        </w:rPr>
        <w:t>واقعیت</w:t>
      </w:r>
      <w:r w:rsidRPr="0025250D">
        <w:rPr>
          <w:rFonts w:hint="cs"/>
          <w:rtl/>
        </w:rPr>
        <w:t>. سپس در مورد واقعیت موجودمان</w:t>
      </w:r>
      <w:r w:rsidRPr="0025250D">
        <w:rPr>
          <w:rFonts w:hint="cs"/>
        </w:rPr>
        <w:t>‌</w:t>
      </w:r>
      <w:r w:rsidRPr="0025250D">
        <w:rPr>
          <w:rFonts w:hint="cs"/>
          <w:rtl/>
        </w:rPr>
        <w:t xml:space="preserve"> می‌اندیشیم. فاصله فعلی خودمان را از هدف در همه جوانبِ دارای اهمیت</w:t>
      </w:r>
      <w:r w:rsidRPr="0025250D">
        <w:rPr>
          <w:rFonts w:hint="cs"/>
        </w:rPr>
        <w:t>‌</w:t>
      </w:r>
      <w:r w:rsidRPr="0025250D">
        <w:rPr>
          <w:rFonts w:hint="cs"/>
          <w:rtl/>
        </w:rPr>
        <w:t xml:space="preserve"> می‌سنجیم. ما چندین نتیجه ممکن دیگر را که شامل دست‌یابی به هدفمان</w:t>
      </w:r>
      <w:r w:rsidR="00EE4B64" w:rsidRPr="0025250D">
        <w:rPr>
          <w:rFonts w:hint="cs"/>
          <w:rtl/>
        </w:rPr>
        <w:t xml:space="preserve"> نمی‌</w:t>
      </w:r>
      <w:r w:rsidRPr="0025250D">
        <w:rPr>
          <w:rFonts w:hint="cs"/>
          <w:rtl/>
        </w:rPr>
        <w:t>شوند را نیز در نظر</w:t>
      </w:r>
      <w:r w:rsidRPr="0025250D">
        <w:rPr>
          <w:rFonts w:hint="cs"/>
        </w:rPr>
        <w:t>‌</w:t>
      </w:r>
      <w:r w:rsidRPr="0025250D">
        <w:rPr>
          <w:rFonts w:hint="cs"/>
          <w:rtl/>
        </w:rPr>
        <w:t xml:space="preserve"> می‌گیریم. از نظر هیجانی، باید در مورد بسیاری از نتایج </w:t>
      </w:r>
      <w:r w:rsidR="0008779C" w:rsidRPr="0025250D">
        <w:rPr>
          <w:rFonts w:hint="cs"/>
          <w:rtl/>
        </w:rPr>
        <w:t>واقع‌گرا</w:t>
      </w:r>
      <w:r w:rsidRPr="0025250D">
        <w:rPr>
          <w:rFonts w:hint="cs"/>
          <w:rtl/>
        </w:rPr>
        <w:t>یانه‌ای که ما را به هدفمان</w:t>
      </w:r>
      <w:r w:rsidR="00EE4B64" w:rsidRPr="0025250D">
        <w:rPr>
          <w:rFonts w:hint="cs"/>
          <w:rtl/>
        </w:rPr>
        <w:t xml:space="preserve"> نمی‌</w:t>
      </w:r>
      <w:r w:rsidRPr="0025250D">
        <w:rPr>
          <w:rFonts w:hint="cs"/>
          <w:rtl/>
        </w:rPr>
        <w:t>رسانند احساس ناامنی داشته باشیم.</w:t>
      </w:r>
    </w:p>
    <w:p w14:paraId="2D6520B3" w14:textId="324D3597" w:rsidR="0020732A" w:rsidRPr="0025250D" w:rsidRDefault="0020732A" w:rsidP="00492C47">
      <w:pPr>
        <w:numPr>
          <w:ilvl w:val="0"/>
          <w:numId w:val="12"/>
        </w:numPr>
      </w:pPr>
      <w:r w:rsidRPr="0025250D">
        <w:rPr>
          <w:rFonts w:hint="cs"/>
          <w:b/>
          <w:bCs/>
          <w:rtl/>
        </w:rPr>
        <w:t>مزایا</w:t>
      </w:r>
      <w:r w:rsidRPr="0025250D">
        <w:rPr>
          <w:rFonts w:hint="cs"/>
          <w:rtl/>
        </w:rPr>
        <w:t>. سپس تفکر خوش بینانه داشته و برخی از مزایایی را که وقتی به هدفمان دست‌یابیم به دست خواهیم آورد با جزئیات تصور</w:t>
      </w:r>
      <w:r w:rsidRPr="0025250D">
        <w:rPr>
          <w:rFonts w:hint="cs"/>
        </w:rPr>
        <w:t>‌</w:t>
      </w:r>
      <w:r w:rsidRPr="0025250D">
        <w:rPr>
          <w:rFonts w:hint="cs"/>
          <w:rtl/>
        </w:rPr>
        <w:t xml:space="preserve"> می‌کنیم. ما مشخصا تصور</w:t>
      </w:r>
      <w:r w:rsidRPr="0025250D">
        <w:rPr>
          <w:rFonts w:hint="cs"/>
        </w:rPr>
        <w:t>‌</w:t>
      </w:r>
      <w:r w:rsidRPr="0025250D">
        <w:rPr>
          <w:rFonts w:hint="cs"/>
          <w:rtl/>
        </w:rPr>
        <w:t xml:space="preserve"> می‌کنیم که زندگی‌ها و انتخاب و گزینه‌های آینده مان هم متفاوت و هم از جهاتی بهتر خواهند بود. از نظر هیجانی، باید در مورد مزایای آینده‌ای که ممکن است به دست آوریم هیجان زده باشیم.</w:t>
      </w:r>
    </w:p>
    <w:p w14:paraId="1BA4478D" w14:textId="4E9E23DA" w:rsidR="0020732A" w:rsidRPr="0025250D" w:rsidRDefault="0020732A" w:rsidP="00492C47">
      <w:pPr>
        <w:numPr>
          <w:ilvl w:val="0"/>
          <w:numId w:val="12"/>
        </w:numPr>
      </w:pPr>
      <w:r w:rsidRPr="0025250D">
        <w:rPr>
          <w:rFonts w:hint="cs"/>
          <w:b/>
          <w:bCs/>
          <w:rtl/>
        </w:rPr>
        <w:t>عقبگرد ها</w:t>
      </w:r>
      <w:r w:rsidRPr="0025250D">
        <w:rPr>
          <w:rFonts w:hint="cs"/>
          <w:rtl/>
        </w:rPr>
        <w:t xml:space="preserve">. سپس تفکر تدافعی خواهیم داشت و محتمل‌ترین عقبگرد‌هایی </w:t>
      </w:r>
      <w:r w:rsidR="006335B8" w:rsidRPr="0025250D">
        <w:rPr>
          <w:rtl/>
        </w:rPr>
        <w:t>(</w:t>
      </w:r>
      <w:r w:rsidRPr="0025250D">
        <w:rPr>
          <w:rFonts w:hint="cs"/>
          <w:rtl/>
        </w:rPr>
        <w:t>موانعی) را که در مسیر رسیدن به هدف، با توجه به تاریخ، عادات و محیط فعلی به آن‌ها برخورد خواهیم کرد، با جزئیات درنظر</w:t>
      </w:r>
      <w:r w:rsidRPr="0025250D">
        <w:rPr>
          <w:rFonts w:hint="cs"/>
        </w:rPr>
        <w:t>‌</w:t>
      </w:r>
      <w:r w:rsidRPr="0025250D">
        <w:rPr>
          <w:rFonts w:hint="cs"/>
          <w:rtl/>
        </w:rPr>
        <w:t xml:space="preserve"> می‌گیریم. این یک زیرمجموعه کوچک از برآمدهای ممکن است. از نظر هیجانی، باید نسبت به </w:t>
      </w:r>
      <w:r w:rsidR="00923DDB" w:rsidRPr="0025250D">
        <w:rPr>
          <w:rFonts w:hint="cs"/>
          <w:rtl/>
        </w:rPr>
        <w:t>باورپذیر</w:t>
      </w:r>
      <w:r w:rsidRPr="0025250D">
        <w:rPr>
          <w:rFonts w:hint="cs"/>
          <w:rtl/>
        </w:rPr>
        <w:t>‌ترین راه‌هایی که شکست</w:t>
      </w:r>
      <w:r w:rsidRPr="0025250D">
        <w:rPr>
          <w:rFonts w:hint="cs"/>
        </w:rPr>
        <w:t>‌</w:t>
      </w:r>
      <w:r w:rsidRPr="0025250D">
        <w:rPr>
          <w:rFonts w:hint="cs"/>
          <w:rtl/>
        </w:rPr>
        <w:t xml:space="preserve"> می‌خوریم آگاه باشیم.</w:t>
      </w:r>
    </w:p>
    <w:p w14:paraId="08599B82" w14:textId="5C3B7939" w:rsidR="0020732A" w:rsidRPr="0025250D" w:rsidRDefault="0020732A" w:rsidP="00492C47">
      <w:pPr>
        <w:numPr>
          <w:ilvl w:val="0"/>
          <w:numId w:val="12"/>
        </w:numPr>
      </w:pPr>
      <w:r w:rsidRPr="0025250D">
        <w:rPr>
          <w:rFonts w:hint="cs"/>
          <w:b/>
          <w:bCs/>
          <w:rtl/>
        </w:rPr>
        <w:t>برنامه</w:t>
      </w:r>
      <w:r w:rsidRPr="0025250D">
        <w:rPr>
          <w:rFonts w:hint="cs"/>
          <w:rtl/>
        </w:rPr>
        <w:t xml:space="preserve">. در آخر، برنامه </w:t>
      </w:r>
      <w:r w:rsidR="00701E03" w:rsidRPr="0025250D">
        <w:rPr>
          <w:rFonts w:hint="cs"/>
          <w:rtl/>
        </w:rPr>
        <w:t>راهبردی</w:t>
      </w:r>
      <w:r w:rsidRPr="0025250D">
        <w:rPr>
          <w:rFonts w:hint="cs"/>
          <w:rtl/>
        </w:rPr>
        <w:t xml:space="preserve"> خود را با گام‌هایی برای مدیریت و تملک منابع کلیدی که</w:t>
      </w:r>
      <w:r w:rsidRPr="0025250D">
        <w:rPr>
          <w:rFonts w:hint="cs"/>
        </w:rPr>
        <w:t>‌</w:t>
      </w:r>
      <w:r w:rsidRPr="0025250D">
        <w:rPr>
          <w:rFonts w:hint="cs"/>
          <w:rtl/>
        </w:rPr>
        <w:t xml:space="preserve"> می‌توانند به ما برای اجرای برنامه کمک کنند و عبارات </w:t>
      </w:r>
      <w:r w:rsidR="00FB6A7E" w:rsidRPr="0025250D">
        <w:rPr>
          <w:rFonts w:hint="cs"/>
          <w:rtl/>
        </w:rPr>
        <w:t>اگر-آنگاه</w:t>
      </w:r>
      <w:r w:rsidRPr="0025250D">
        <w:rPr>
          <w:rFonts w:hint="cs"/>
          <w:rtl/>
        </w:rPr>
        <w:t xml:space="preserve"> که</w:t>
      </w:r>
      <w:r w:rsidRPr="0025250D">
        <w:rPr>
          <w:rFonts w:hint="cs"/>
        </w:rPr>
        <w:t>‌</w:t>
      </w:r>
      <w:r w:rsidRPr="0025250D">
        <w:rPr>
          <w:rFonts w:hint="cs"/>
          <w:rtl/>
        </w:rPr>
        <w:t xml:space="preserve"> می‌توانند به ما برای مواجهه با واکنشمان نسبت به موانعِ ممکن در مسیر کمک کنند، ایجاد</w:t>
      </w:r>
      <w:r w:rsidRPr="0025250D">
        <w:rPr>
          <w:rFonts w:hint="cs"/>
        </w:rPr>
        <w:t>‌</w:t>
      </w:r>
      <w:r w:rsidRPr="0025250D">
        <w:rPr>
          <w:rFonts w:hint="cs"/>
          <w:rtl/>
        </w:rPr>
        <w:t xml:space="preserve"> می‌کنیم. از نظر هیجانی، پس از تکمیل این گام، باید به خود اجازه دهیم تا در مورد کیفیت برنامه مان احساس اطمینان داشته باشیم و سپس به سرعت از این انرژی مثبت برای عمل، قبل از فروکش کردن این انرژی استفاده کنیم.</w:t>
      </w:r>
    </w:p>
    <w:p w14:paraId="70AF6EF0" w14:textId="11CD1687" w:rsidR="0020732A" w:rsidRPr="0025250D" w:rsidRDefault="0020732A" w:rsidP="0020732A">
      <w:pPr>
        <w:rPr>
          <w:rtl/>
        </w:rPr>
      </w:pPr>
      <w:r w:rsidRPr="0025250D">
        <w:rPr>
          <w:rFonts w:hint="cs"/>
          <w:rtl/>
        </w:rPr>
        <w:t>در اینجا یک یادداشت مفید وجود دارد (تصویر زیر را ببینید): یک فرد چگونه از یک کوه بالا</w:t>
      </w:r>
      <w:r w:rsidRPr="0025250D">
        <w:rPr>
          <w:rFonts w:hint="cs"/>
        </w:rPr>
        <w:t>‌</w:t>
      </w:r>
      <w:r w:rsidRPr="0025250D">
        <w:rPr>
          <w:rFonts w:hint="cs"/>
          <w:rtl/>
        </w:rPr>
        <w:t xml:space="preserve"> می‌رود؟ </w:t>
      </w:r>
      <w:r w:rsidR="006335B8" w:rsidRPr="0025250D">
        <w:rPr>
          <w:rtl/>
        </w:rPr>
        <w:t>«</w:t>
      </w:r>
      <w:r w:rsidRPr="0025250D">
        <w:rPr>
          <w:rFonts w:hint="cs"/>
          <w:rtl/>
        </w:rPr>
        <w:t xml:space="preserve">هر بار یک </w:t>
      </w:r>
      <w:r w:rsidRPr="0025250D">
        <w:t>GRASP</w:t>
      </w:r>
      <w:r w:rsidRPr="0025250D">
        <w:rPr>
          <w:rFonts w:hint="cs"/>
          <w:rtl/>
        </w:rPr>
        <w:t xml:space="preserve"> (چنگ زدن)</w:t>
      </w:r>
      <w:r w:rsidR="006335B8" w:rsidRPr="0025250D">
        <w:rPr>
          <w:rtl/>
        </w:rPr>
        <w:t>»</w:t>
      </w:r>
      <w:r w:rsidRPr="0025250D">
        <w:rPr>
          <w:rFonts w:hint="cs"/>
          <w:rtl/>
        </w:rPr>
        <w:t>.</w:t>
      </w:r>
    </w:p>
    <w:p w14:paraId="153FED8B" w14:textId="24DC8BBF" w:rsidR="0020732A" w:rsidRPr="0025250D" w:rsidRDefault="0020732A" w:rsidP="0020732A">
      <w:pPr>
        <w:rPr>
          <w:rtl/>
        </w:rPr>
      </w:pPr>
      <w:r w:rsidRPr="0025250D">
        <w:rPr>
          <w:rFonts w:hint="cs"/>
          <w:rtl/>
        </w:rPr>
        <w:t>پیوست 1 شامل فعالیتی</w:t>
      </w:r>
      <w:r w:rsidRPr="0025250D">
        <w:rPr>
          <w:rFonts w:hint="cs"/>
        </w:rPr>
        <w:t>‌</w:t>
      </w:r>
      <w:r w:rsidRPr="0025250D">
        <w:rPr>
          <w:rFonts w:hint="cs"/>
          <w:rtl/>
        </w:rPr>
        <w:t xml:space="preserve"> می‌شود که ما را برای </w:t>
      </w:r>
      <w:r w:rsidR="00923DDB" w:rsidRPr="0025250D">
        <w:rPr>
          <w:rFonts w:hint="cs"/>
          <w:rtl/>
        </w:rPr>
        <w:t>به‌کارگیری</w:t>
      </w:r>
      <w:r w:rsidRPr="0025250D">
        <w:rPr>
          <w:rFonts w:hint="cs"/>
          <w:rtl/>
        </w:rPr>
        <w:t xml:space="preserve"> پنج دقیقه تفکر </w:t>
      </w:r>
      <w:r w:rsidRPr="0025250D">
        <w:t>GRASP</w:t>
      </w:r>
      <w:r w:rsidRPr="0025250D">
        <w:rPr>
          <w:rFonts w:hint="cs"/>
          <w:rtl/>
        </w:rPr>
        <w:t>، زمانی</w:t>
      </w:r>
      <w:r w:rsidRPr="0025250D">
        <w:rPr>
          <w:rtl/>
        </w:rPr>
        <w:t xml:space="preserve"> </w:t>
      </w:r>
      <w:r w:rsidRPr="0025250D">
        <w:rPr>
          <w:rFonts w:hint="cs"/>
          <w:rtl/>
        </w:rPr>
        <w:t>کافی</w:t>
      </w:r>
      <w:r w:rsidRPr="0025250D">
        <w:rPr>
          <w:rtl/>
        </w:rPr>
        <w:t xml:space="preserve"> </w:t>
      </w:r>
      <w:r w:rsidRPr="0025250D">
        <w:rPr>
          <w:rFonts w:hint="cs"/>
          <w:rtl/>
        </w:rPr>
        <w:t>برای</w:t>
      </w:r>
      <w:r w:rsidRPr="0025250D">
        <w:rPr>
          <w:rtl/>
        </w:rPr>
        <w:t xml:space="preserve"> </w:t>
      </w:r>
      <w:r w:rsidRPr="0025250D">
        <w:rPr>
          <w:rFonts w:hint="cs"/>
          <w:rtl/>
        </w:rPr>
        <w:t>تبدیل</w:t>
      </w:r>
      <w:r w:rsidRPr="0025250D">
        <w:rPr>
          <w:rtl/>
        </w:rPr>
        <w:t xml:space="preserve"> </w:t>
      </w:r>
      <w:r w:rsidRPr="0025250D">
        <w:rPr>
          <w:rFonts w:hint="cs"/>
          <w:rtl/>
        </w:rPr>
        <w:t>آن</w:t>
      </w:r>
      <w:r w:rsidRPr="0025250D">
        <w:rPr>
          <w:rtl/>
        </w:rPr>
        <w:t xml:space="preserve"> </w:t>
      </w:r>
      <w:r w:rsidRPr="0025250D">
        <w:rPr>
          <w:rFonts w:hint="cs"/>
          <w:rtl/>
        </w:rPr>
        <w:t>به</w:t>
      </w:r>
      <w:r w:rsidRPr="0025250D">
        <w:rPr>
          <w:rtl/>
        </w:rPr>
        <w:t xml:space="preserve"> </w:t>
      </w:r>
      <w:r w:rsidRPr="0025250D">
        <w:rPr>
          <w:rFonts w:hint="cs"/>
          <w:rtl/>
        </w:rPr>
        <w:t>یک</w:t>
      </w:r>
      <w:r w:rsidRPr="0025250D">
        <w:rPr>
          <w:rtl/>
        </w:rPr>
        <w:t xml:space="preserve"> </w:t>
      </w:r>
      <w:r w:rsidRPr="0025250D">
        <w:rPr>
          <w:rFonts w:hint="cs"/>
          <w:rtl/>
        </w:rPr>
        <w:t>عادت</w:t>
      </w:r>
      <w:r w:rsidRPr="0025250D">
        <w:rPr>
          <w:rtl/>
        </w:rPr>
        <w:t xml:space="preserve"> </w:t>
      </w:r>
      <w:r w:rsidRPr="0025250D">
        <w:rPr>
          <w:rFonts w:hint="cs"/>
          <w:rtl/>
        </w:rPr>
        <w:t>روزانه</w:t>
      </w:r>
      <w:r w:rsidRPr="0025250D">
        <w:rPr>
          <w:rtl/>
        </w:rPr>
        <w:t xml:space="preserve"> </w:t>
      </w:r>
      <w:r w:rsidRPr="0025250D">
        <w:rPr>
          <w:rFonts w:hint="cs"/>
          <w:rtl/>
        </w:rPr>
        <w:t>و</w:t>
      </w:r>
      <w:r w:rsidRPr="0025250D">
        <w:rPr>
          <w:rtl/>
        </w:rPr>
        <w:t xml:space="preserve"> </w:t>
      </w:r>
      <w:r w:rsidRPr="0025250D">
        <w:rPr>
          <w:rFonts w:hint="cs"/>
          <w:rtl/>
        </w:rPr>
        <w:t>سپس</w:t>
      </w:r>
      <w:r w:rsidRPr="0025250D">
        <w:rPr>
          <w:rtl/>
        </w:rPr>
        <w:t xml:space="preserve"> </w:t>
      </w:r>
      <w:r w:rsidRPr="0025250D">
        <w:rPr>
          <w:rFonts w:hint="cs"/>
          <w:rtl/>
        </w:rPr>
        <w:t>ارزیابی</w:t>
      </w:r>
      <w:r w:rsidRPr="0025250D">
        <w:rPr>
          <w:rtl/>
        </w:rPr>
        <w:t xml:space="preserve"> </w:t>
      </w:r>
      <w:r w:rsidRPr="0025250D">
        <w:rPr>
          <w:rFonts w:hint="cs"/>
          <w:rtl/>
        </w:rPr>
        <w:t>برآمد،</w:t>
      </w:r>
      <w:r w:rsidRPr="0025250D">
        <w:rPr>
          <w:rtl/>
        </w:rPr>
        <w:t xml:space="preserve"> </w:t>
      </w:r>
      <w:r w:rsidRPr="0025250D">
        <w:rPr>
          <w:rFonts w:hint="cs"/>
          <w:rtl/>
        </w:rPr>
        <w:t>برای هر هدف کوتاه مدت (امروز یا فردا) مهمی تحریک</w:t>
      </w:r>
      <w:r w:rsidRPr="0025250D">
        <w:rPr>
          <w:rFonts w:hint="cs"/>
        </w:rPr>
        <w:t>‌</w:t>
      </w:r>
      <w:r w:rsidRPr="0025250D">
        <w:rPr>
          <w:rFonts w:hint="cs"/>
          <w:rtl/>
        </w:rPr>
        <w:t xml:space="preserve"> می‌کند. ما امیدواریم که برای شما نیز مفید باشد. </w:t>
      </w:r>
      <w:r w:rsidR="007118DE" w:rsidRPr="0025250D">
        <w:rPr>
          <w:rFonts w:hint="cs"/>
          <w:rtl/>
        </w:rPr>
        <w:t>همان‌طور</w:t>
      </w:r>
      <w:r w:rsidRPr="0025250D">
        <w:rPr>
          <w:rFonts w:hint="cs"/>
          <w:rtl/>
        </w:rPr>
        <w:t xml:space="preserve"> که روانشناس </w:t>
      </w:r>
      <w:r w:rsidRPr="0025250D">
        <w:rPr>
          <w:rtl/>
        </w:rPr>
        <w:t>پ</w:t>
      </w:r>
      <w:r w:rsidRPr="0025250D">
        <w:rPr>
          <w:rFonts w:hint="cs"/>
          <w:rtl/>
        </w:rPr>
        <w:t>ی</w:t>
      </w:r>
      <w:r w:rsidRPr="0025250D">
        <w:rPr>
          <w:rFonts w:hint="eastAsia"/>
          <w:rtl/>
        </w:rPr>
        <w:t>تر</w:t>
      </w:r>
      <w:r w:rsidRPr="0025250D">
        <w:rPr>
          <w:rtl/>
        </w:rPr>
        <w:t xml:space="preserve"> گولو</w:t>
      </w:r>
      <w:r w:rsidRPr="0025250D">
        <w:rPr>
          <w:rFonts w:hint="cs"/>
          <w:rtl/>
        </w:rPr>
        <w:t>ی</w:t>
      </w:r>
      <w:r w:rsidRPr="0025250D">
        <w:rPr>
          <w:rFonts w:hint="eastAsia"/>
          <w:rtl/>
        </w:rPr>
        <w:t>تر</w:t>
      </w:r>
      <w:r w:rsidRPr="0025250D">
        <w:rPr>
          <w:vertAlign w:val="superscript"/>
          <w:rtl/>
        </w:rPr>
        <w:footnoteReference w:id="652"/>
      </w:r>
      <w:r w:rsidRPr="0025250D">
        <w:rPr>
          <w:rFonts w:hint="cs"/>
          <w:rtl/>
        </w:rPr>
        <w:t xml:space="preserve"> در دانشگاه نیویورک نشان داد، </w:t>
      </w:r>
      <w:r w:rsidR="00923DDB" w:rsidRPr="0025250D">
        <w:rPr>
          <w:rFonts w:hint="cs"/>
          <w:rtl/>
        </w:rPr>
        <w:t>پیش‌انگاری</w:t>
      </w:r>
      <w:r w:rsidRPr="0025250D">
        <w:rPr>
          <w:rFonts w:hint="cs"/>
          <w:rtl/>
        </w:rPr>
        <w:t xml:space="preserve"> اگر/آنگاه موانع، یکی از دو الزام کلیدی در گام </w:t>
      </w:r>
      <w:r w:rsidR="00B124DE" w:rsidRPr="0025250D">
        <w:rPr>
          <w:rFonts w:hint="cs"/>
          <w:rtl/>
        </w:rPr>
        <w:t>برنامه‌ریزی</w:t>
      </w:r>
      <w:r w:rsidRPr="0025250D">
        <w:rPr>
          <w:rFonts w:hint="cs"/>
          <w:rtl/>
        </w:rPr>
        <w:t xml:space="preserve"> در تفکر </w:t>
      </w:r>
      <w:r w:rsidRPr="0025250D">
        <w:t>GRASP</w:t>
      </w:r>
      <w:r w:rsidRPr="0025250D">
        <w:rPr>
          <w:rFonts w:hint="cs"/>
          <w:rtl/>
        </w:rPr>
        <w:t xml:space="preserve"> و راهی قدرتمند برای افزایش انگیزه و بهره وری است. </w:t>
      </w:r>
      <w:r w:rsidR="00923DDB" w:rsidRPr="0025250D">
        <w:rPr>
          <w:rFonts w:hint="cs"/>
          <w:rtl/>
        </w:rPr>
        <w:t>پیش‌انگاری</w:t>
      </w:r>
      <w:r w:rsidRPr="0025250D">
        <w:rPr>
          <w:rFonts w:hint="cs"/>
          <w:rtl/>
        </w:rPr>
        <w:t xml:space="preserve"> اگر/آنگاه به ویژه برای افرادی که معمولا در متمرکز کردن توجه خود، صبور بودن یا تمرین کنترل تکانه‌های آنی</w:t>
      </w:r>
      <w:r w:rsidRPr="0025250D">
        <w:rPr>
          <w:vertAlign w:val="superscript"/>
          <w:rtl/>
        </w:rPr>
        <w:footnoteReference w:id="653"/>
      </w:r>
      <w:r w:rsidRPr="0025250D">
        <w:rPr>
          <w:rFonts w:hint="cs"/>
          <w:rtl/>
        </w:rPr>
        <w:t xml:space="preserve"> دچار مشکل هستند مفید است. به این دلیل که این روشی برای </w:t>
      </w:r>
      <w:r w:rsidR="00D92F6E" w:rsidRPr="0025250D">
        <w:rPr>
          <w:rFonts w:hint="cs"/>
          <w:rtl/>
        </w:rPr>
        <w:t>پیش‌بین</w:t>
      </w:r>
      <w:r w:rsidRPr="0025250D">
        <w:rPr>
          <w:rFonts w:hint="cs"/>
          <w:rtl/>
        </w:rPr>
        <w:t>ی حواس</w:t>
      </w:r>
      <w:r w:rsidRPr="0025250D">
        <w:rPr>
          <w:rtl/>
        </w:rPr>
        <w:t xml:space="preserve"> </w:t>
      </w:r>
      <w:r w:rsidRPr="0025250D">
        <w:rPr>
          <w:rFonts w:hint="cs"/>
          <w:rtl/>
        </w:rPr>
        <w:t xml:space="preserve">پرتی‌های محتمل و چگونگی </w:t>
      </w:r>
      <w:r w:rsidRPr="0025250D">
        <w:rPr>
          <w:rFonts w:hint="cs"/>
          <w:rtl/>
        </w:rPr>
        <w:lastRenderedPageBreak/>
        <w:t xml:space="preserve">جلوگیری از آن هاست، </w:t>
      </w:r>
      <w:r w:rsidR="00923DDB" w:rsidRPr="0025250D">
        <w:rPr>
          <w:rFonts w:hint="cs"/>
          <w:rtl/>
        </w:rPr>
        <w:t>پیش‌انگاری</w:t>
      </w:r>
      <w:r w:rsidRPr="0025250D">
        <w:rPr>
          <w:rtl/>
        </w:rPr>
        <w:t xml:space="preserve"> </w:t>
      </w:r>
      <w:r w:rsidRPr="0025250D">
        <w:rPr>
          <w:rFonts w:hint="cs"/>
          <w:rtl/>
        </w:rPr>
        <w:t>اگر</w:t>
      </w:r>
      <w:r w:rsidRPr="0025250D">
        <w:rPr>
          <w:rtl/>
        </w:rPr>
        <w:t>/</w:t>
      </w:r>
      <w:r w:rsidRPr="0025250D">
        <w:rPr>
          <w:rFonts w:hint="cs"/>
          <w:rtl/>
        </w:rPr>
        <w:t xml:space="preserve">آنگاه به شدت برای دست‌یابی به اهداف بلند مدت دشوار مفید است. برای جزیئات بیش‌تر در مورد </w:t>
      </w:r>
      <w:r w:rsidR="00923DDB" w:rsidRPr="0025250D">
        <w:rPr>
          <w:rFonts w:hint="cs"/>
          <w:rtl/>
        </w:rPr>
        <w:t>پیش‌انگاری</w:t>
      </w:r>
      <w:r w:rsidRPr="0025250D">
        <w:rPr>
          <w:rtl/>
        </w:rPr>
        <w:t xml:space="preserve"> </w:t>
      </w:r>
      <w:r w:rsidRPr="0025250D">
        <w:rPr>
          <w:rFonts w:hint="cs"/>
          <w:rtl/>
        </w:rPr>
        <w:t>اگر</w:t>
      </w:r>
      <w:r w:rsidRPr="0025250D">
        <w:rPr>
          <w:rtl/>
        </w:rPr>
        <w:t>/</w:t>
      </w:r>
      <w:r w:rsidRPr="0025250D">
        <w:rPr>
          <w:rFonts w:hint="cs"/>
          <w:rtl/>
        </w:rPr>
        <w:t xml:space="preserve">آنگاه، کتاب اهداف </w:t>
      </w:r>
      <w:r w:rsidR="00206F11" w:rsidRPr="0025250D">
        <w:rPr>
          <w:rFonts w:hint="cs"/>
          <w:rtl/>
        </w:rPr>
        <w:t>پیاده‌سازی</w:t>
      </w:r>
      <w:r w:rsidRPr="0025250D">
        <w:rPr>
          <w:vertAlign w:val="superscript"/>
          <w:rtl/>
        </w:rPr>
        <w:footnoteReference w:id="654"/>
      </w:r>
      <w:r w:rsidR="00FB6A7E" w:rsidRPr="0025250D">
        <w:rPr>
          <w:rFonts w:hint="cs"/>
          <w:rtl/>
        </w:rPr>
        <w:t xml:space="preserve"> در سال </w:t>
      </w:r>
      <w:r w:rsidRPr="0025250D">
        <w:rPr>
          <w:rFonts w:hint="cs"/>
          <w:rtl/>
        </w:rPr>
        <w:t>2013</w:t>
      </w:r>
      <w:r w:rsidR="00FB6A7E" w:rsidRPr="0025250D">
        <w:rPr>
          <w:rFonts w:hint="cs"/>
          <w:rtl/>
        </w:rPr>
        <w:t>،</w:t>
      </w:r>
      <w:r w:rsidRPr="0025250D">
        <w:rPr>
          <w:rFonts w:hint="cs"/>
          <w:rtl/>
        </w:rPr>
        <w:t xml:space="preserve"> نوشته </w:t>
      </w:r>
      <w:r w:rsidRPr="0025250D">
        <w:rPr>
          <w:rtl/>
        </w:rPr>
        <w:t>گولو</w:t>
      </w:r>
      <w:r w:rsidRPr="0025250D">
        <w:rPr>
          <w:rFonts w:hint="cs"/>
          <w:rtl/>
        </w:rPr>
        <w:t>ی</w:t>
      </w:r>
      <w:r w:rsidRPr="0025250D">
        <w:rPr>
          <w:rFonts w:hint="eastAsia"/>
          <w:rtl/>
        </w:rPr>
        <w:t>تزر</w:t>
      </w:r>
      <w:r w:rsidRPr="0025250D">
        <w:rPr>
          <w:vertAlign w:val="superscript"/>
          <w:rtl/>
        </w:rPr>
        <w:footnoteReference w:id="655"/>
      </w:r>
      <w:r w:rsidRPr="0025250D">
        <w:rPr>
          <w:rFonts w:hint="cs"/>
          <w:rtl/>
        </w:rPr>
        <w:t xml:space="preserve"> و </w:t>
      </w:r>
      <w:r w:rsidRPr="0025250D">
        <w:rPr>
          <w:rtl/>
        </w:rPr>
        <w:t>اوت</w:t>
      </w:r>
      <w:r w:rsidRPr="0025250D">
        <w:rPr>
          <w:rFonts w:hint="cs"/>
          <w:rtl/>
        </w:rPr>
        <w:t>ی</w:t>
      </w:r>
      <w:r w:rsidRPr="0025250D">
        <w:rPr>
          <w:rFonts w:hint="eastAsia"/>
          <w:rtl/>
        </w:rPr>
        <w:t>نگن</w:t>
      </w:r>
      <w:r w:rsidRPr="0025250D">
        <w:rPr>
          <w:rFonts w:hint="cs"/>
          <w:rtl/>
        </w:rPr>
        <w:t xml:space="preserve"> را مطالعه کنید.</w:t>
      </w:r>
    </w:p>
    <w:p w14:paraId="5088A6D1" w14:textId="77777777" w:rsidR="0020732A" w:rsidRPr="0025250D" w:rsidRDefault="0020732A" w:rsidP="000E42CA">
      <w:pPr>
        <w:jc w:val="center"/>
        <w:rPr>
          <w:rtl/>
        </w:rPr>
      </w:pPr>
      <w:r w:rsidRPr="0025250D">
        <w:rPr>
          <w:noProof/>
          <w:rtl/>
          <w:lang w:bidi="ar-SA"/>
        </w:rPr>
        <w:drawing>
          <wp:inline distT="0" distB="0" distL="0" distR="0" wp14:anchorId="2E474AFF" wp14:editId="08BA9791">
            <wp:extent cx="4659464" cy="2756516"/>
            <wp:effectExtent l="0" t="0" r="8255" b="6350"/>
            <wp:docPr id="39" name="Picture 39" descr="D:\کار\مستقل\3 ( ترجمه ی دانشگاه تهران  )\Introduction to Foresight\part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کار\مستقل\3 ( ترجمه ی دانشگاه تهران  )\Introduction to Foresight\part2\13.png"/>
                    <pic:cNvPicPr>
                      <a:picLocks noChangeAspect="1" noChangeArrowheads="1"/>
                    </pic:cNvPicPr>
                  </pic:nvPicPr>
                  <pic:blipFill rotWithShape="1">
                    <a:blip r:embed="rId73" cstate="screen">
                      <a:extLst>
                        <a:ext uri="{BEBA8EAE-BF5A-486C-A8C5-ECC9F3942E4B}">
                          <a14:imgProps xmlns:a14="http://schemas.microsoft.com/office/drawing/2010/main">
                            <a14:imgLayer r:embed="rId74">
                              <a14:imgEffect>
                                <a14:saturation sat="0"/>
                              </a14:imgEffect>
                            </a14:imgLayer>
                          </a14:imgProps>
                        </a:ext>
                        <a:ext uri="{28A0092B-C50C-407E-A947-70E740481C1C}">
                          <a14:useLocalDpi xmlns:a14="http://schemas.microsoft.com/office/drawing/2010/main"/>
                        </a:ext>
                      </a:extLst>
                    </a:blip>
                    <a:srcRect/>
                    <a:stretch/>
                  </pic:blipFill>
                  <pic:spPr bwMode="auto">
                    <a:xfrm>
                      <a:off x="0" y="0"/>
                      <a:ext cx="4675191" cy="2765820"/>
                    </a:xfrm>
                    <a:prstGeom prst="rect">
                      <a:avLst/>
                    </a:prstGeom>
                    <a:noFill/>
                    <a:ln>
                      <a:noFill/>
                    </a:ln>
                    <a:extLst>
                      <a:ext uri="{53640926-AAD7-44D8-BBD7-CCE9431645EC}">
                        <a14:shadowObscured xmlns:a14="http://schemas.microsoft.com/office/drawing/2010/main"/>
                      </a:ext>
                    </a:extLst>
                  </pic:spPr>
                </pic:pic>
              </a:graphicData>
            </a:graphic>
          </wp:inline>
        </w:drawing>
      </w:r>
    </w:p>
    <w:p w14:paraId="2574780B" w14:textId="77777777" w:rsidR="0020732A" w:rsidRPr="0025250D" w:rsidRDefault="0020732A" w:rsidP="001312B6">
      <w:pPr>
        <w:jc w:val="center"/>
        <w:rPr>
          <w:rtl/>
        </w:rPr>
      </w:pPr>
      <w:r w:rsidRPr="0025250D">
        <w:rPr>
          <w:rFonts w:hint="cs"/>
          <w:rtl/>
        </w:rPr>
        <w:t>الکس هونولد، در انفرادی رایگان، چین و واسارهلیی، 2018</w:t>
      </w:r>
    </w:p>
    <w:p w14:paraId="002E08DB" w14:textId="14ABE37C" w:rsidR="0020732A" w:rsidRPr="0025250D" w:rsidRDefault="0020732A" w:rsidP="0020732A">
      <w:pPr>
        <w:rPr>
          <w:rtl/>
        </w:rPr>
      </w:pPr>
      <w:r w:rsidRPr="0025250D">
        <w:rPr>
          <w:rFonts w:hint="cs"/>
          <w:rtl/>
        </w:rPr>
        <w:t xml:space="preserve">از نظر ما، در ایجاد یک برنامه سریع، نه‌تنها باید موانع (منفی) بلکه ابتدا </w:t>
      </w:r>
      <w:r w:rsidR="00FB6A7E" w:rsidRPr="0025250D">
        <w:rPr>
          <w:rFonts w:hint="cs"/>
          <w:rtl/>
        </w:rPr>
        <w:t xml:space="preserve">باید </w:t>
      </w:r>
      <w:r w:rsidRPr="0025250D">
        <w:rPr>
          <w:rFonts w:hint="cs"/>
          <w:rtl/>
        </w:rPr>
        <w:t>منابع کلیدی (مثبت) را که</w:t>
      </w:r>
      <w:r w:rsidRPr="0025250D">
        <w:rPr>
          <w:rFonts w:hint="cs"/>
        </w:rPr>
        <w:t>‌</w:t>
      </w:r>
      <w:r w:rsidRPr="0025250D">
        <w:rPr>
          <w:rFonts w:hint="cs"/>
          <w:rtl/>
        </w:rPr>
        <w:t xml:space="preserve"> می‌توانند به ما کمک کنند و </w:t>
      </w:r>
      <w:r w:rsidR="00701E03" w:rsidRPr="0025250D">
        <w:rPr>
          <w:rFonts w:hint="cs"/>
          <w:rtl/>
        </w:rPr>
        <w:t>راهبرد</w:t>
      </w:r>
      <w:r w:rsidRPr="0025250D">
        <w:rPr>
          <w:rFonts w:hint="cs"/>
          <w:rtl/>
        </w:rPr>
        <w:t xml:space="preserve">‌هایی برای رسیدن به آن‌ها یا مدیریتشان را </w:t>
      </w:r>
      <w:r w:rsidR="00923DDB" w:rsidRPr="0025250D">
        <w:rPr>
          <w:rFonts w:hint="cs"/>
          <w:rtl/>
        </w:rPr>
        <w:t>پیش‌انگاری</w:t>
      </w:r>
      <w:r w:rsidRPr="0025250D">
        <w:rPr>
          <w:rFonts w:hint="cs"/>
          <w:rtl/>
        </w:rPr>
        <w:t xml:space="preserve"> کنیم. یک منبع کلیدی</w:t>
      </w:r>
      <w:r w:rsidRPr="0025250D">
        <w:rPr>
          <w:rFonts w:hint="cs"/>
        </w:rPr>
        <w:t>‌</w:t>
      </w:r>
      <w:r w:rsidRPr="0025250D">
        <w:rPr>
          <w:rFonts w:hint="cs"/>
          <w:rtl/>
        </w:rPr>
        <w:t xml:space="preserve"> می‌تواند چیزی </w:t>
      </w:r>
      <w:r w:rsidR="00B0171C" w:rsidRPr="0025250D">
        <w:rPr>
          <w:rFonts w:hint="cs"/>
          <w:rtl/>
        </w:rPr>
        <w:t>به‌سادگی</w:t>
      </w:r>
      <w:r w:rsidRPr="0025250D">
        <w:rPr>
          <w:rFonts w:hint="cs"/>
          <w:rtl/>
        </w:rPr>
        <w:t xml:space="preserve"> داشتن خواب کافی در شب قبل از یک عمل </w:t>
      </w:r>
      <w:r w:rsidR="00B124DE" w:rsidRPr="0025250D">
        <w:rPr>
          <w:rFonts w:hint="cs"/>
          <w:rtl/>
        </w:rPr>
        <w:t>برنامه‌ریزی</w:t>
      </w:r>
      <w:r w:rsidRPr="0025250D">
        <w:rPr>
          <w:rFonts w:hint="cs"/>
          <w:rtl/>
        </w:rPr>
        <w:t xml:space="preserve"> شده یا به پیچیدگی </w:t>
      </w:r>
      <w:r w:rsidR="00B13F65" w:rsidRPr="0025250D">
        <w:rPr>
          <w:rFonts w:hint="cs"/>
          <w:rtl/>
        </w:rPr>
        <w:t>چارچوب</w:t>
      </w:r>
      <w:r w:rsidRPr="0025250D">
        <w:rPr>
          <w:rFonts w:hint="cs"/>
          <w:rtl/>
        </w:rPr>
        <w:t xml:space="preserve"> یا ابزار یا یک شبکه حمایتی باشد. وقتی روابط، محیط‌ها، عادات و فرایند‌هایی را که ما را اثر بخش‌تر می‌سازند</w:t>
      </w:r>
      <w:r w:rsidRPr="0025250D">
        <w:rPr>
          <w:rFonts w:hint="cs"/>
        </w:rPr>
        <w:t>‌</w:t>
      </w:r>
      <w:r w:rsidRPr="0025250D">
        <w:rPr>
          <w:rFonts w:hint="cs"/>
          <w:rtl/>
        </w:rPr>
        <w:t xml:space="preserve"> می‌یابیم، باید سعی کنیم که تعداد بیش‌تری از آن‌ها را در اختیار داشته باشیم. برای مثال، اگر بدانیم که بیدار شدن دو ساعت قبل از بقیه افراد خانواده در حال حاضر بهترین راه ما برای داشتن زمان بدون مداخله برای بهره وری بیشتر است، باید به‌صورت آگاهانه‌ای نیازمان به این منبع کلیدی را شناسایی کنیم و برنامه‌هایی برای دست‌یابی به آن ایجاد نماییم (برای مثال، </w:t>
      </w:r>
      <w:r w:rsidR="00701E03" w:rsidRPr="0025250D">
        <w:rPr>
          <w:rFonts w:hint="cs"/>
          <w:rtl/>
        </w:rPr>
        <w:t>راهبرد</w:t>
      </w:r>
      <w:r w:rsidRPr="0025250D">
        <w:rPr>
          <w:rFonts w:hint="cs"/>
          <w:rtl/>
        </w:rPr>
        <w:t xml:space="preserve">‌هایی برای داشتن یک خواب کوتاه در بعد از ظهر و/یا زود‌تر خوابیدن در شب قبل). به‌بیان‌دیگر، ما باید از </w:t>
      </w:r>
      <w:r w:rsidR="00923DDB" w:rsidRPr="0025250D">
        <w:rPr>
          <w:rFonts w:hint="cs"/>
          <w:rtl/>
        </w:rPr>
        <w:t>پیش‌انگاری</w:t>
      </w:r>
      <w:r w:rsidRPr="0025250D">
        <w:rPr>
          <w:rtl/>
        </w:rPr>
        <w:t xml:space="preserve"> </w:t>
      </w:r>
      <w:r w:rsidRPr="0025250D">
        <w:rPr>
          <w:rFonts w:hint="cs"/>
          <w:rtl/>
        </w:rPr>
        <w:t>اگر</w:t>
      </w:r>
      <w:r w:rsidRPr="0025250D">
        <w:rPr>
          <w:rtl/>
        </w:rPr>
        <w:t>/</w:t>
      </w:r>
      <w:r w:rsidRPr="0025250D">
        <w:rPr>
          <w:rFonts w:hint="cs"/>
          <w:rtl/>
        </w:rPr>
        <w:t>آنگاه</w:t>
      </w:r>
      <w:r w:rsidRPr="0025250D">
        <w:rPr>
          <w:rtl/>
        </w:rPr>
        <w:t xml:space="preserve"> </w:t>
      </w:r>
      <w:r w:rsidRPr="0025250D">
        <w:rPr>
          <w:rFonts w:hint="cs"/>
          <w:rtl/>
        </w:rPr>
        <w:t xml:space="preserve">هردو کمک‌های مثبت و موانع منفی در گام </w:t>
      </w:r>
      <w:r w:rsidR="00B124DE" w:rsidRPr="0025250D">
        <w:rPr>
          <w:rFonts w:hint="cs"/>
          <w:rtl/>
        </w:rPr>
        <w:t>برنامه‌ریزی</w:t>
      </w:r>
      <w:r w:rsidRPr="0025250D">
        <w:rPr>
          <w:rFonts w:hint="cs"/>
          <w:rtl/>
        </w:rPr>
        <w:t xml:space="preserve"> استفاده کنیم.</w:t>
      </w:r>
    </w:p>
    <w:p w14:paraId="01165849" w14:textId="13CB805A" w:rsidR="0020732A" w:rsidRPr="0025250D" w:rsidRDefault="0020732A" w:rsidP="00FB6A7E">
      <w:pPr>
        <w:rPr>
          <w:rtl/>
        </w:rPr>
      </w:pPr>
      <w:r w:rsidRPr="0025250D">
        <w:rPr>
          <w:rFonts w:hint="cs"/>
          <w:rtl/>
        </w:rPr>
        <w:t>در مورد کمک‌های مثبت، بسیاری از ما به دنبال کمک خارجی برای کمک به رشد خودمان</w:t>
      </w:r>
      <w:r w:rsidR="00FB6A7E" w:rsidRPr="0025250D">
        <w:rPr>
          <w:rFonts w:hint="cs"/>
          <w:rtl/>
        </w:rPr>
        <w:t xml:space="preserve"> نیز</w:t>
      </w:r>
      <w:r w:rsidRPr="0025250D">
        <w:rPr>
          <w:rFonts w:hint="cs"/>
          <w:rtl/>
        </w:rPr>
        <w:t xml:space="preserve"> نیستیم. امروزه، مربیانی برای هر موضوعی در </w:t>
      </w:r>
      <w:r w:rsidR="00FB6A7E" w:rsidRPr="0025250D">
        <w:rPr>
          <w:rFonts w:hint="cs"/>
          <w:rtl/>
        </w:rPr>
        <w:t>پلتفرم‌های</w:t>
      </w:r>
      <w:r w:rsidRPr="0025250D">
        <w:rPr>
          <w:rFonts w:hint="cs"/>
          <w:rtl/>
        </w:rPr>
        <w:t xml:space="preserve"> آنلاین </w:t>
      </w:r>
      <w:r w:rsidR="00FB6A7E" w:rsidRPr="0025250D">
        <w:rPr>
          <w:rFonts w:hint="cs"/>
          <w:rtl/>
        </w:rPr>
        <w:t>یافت می‌شوند</w:t>
      </w:r>
      <w:r w:rsidRPr="0025250D">
        <w:rPr>
          <w:rFonts w:hint="cs"/>
          <w:rtl/>
        </w:rPr>
        <w:t>. یک مربی خوب به ما یاد</w:t>
      </w:r>
      <w:r w:rsidRPr="0025250D">
        <w:rPr>
          <w:rFonts w:hint="cs"/>
        </w:rPr>
        <w:t>‌</w:t>
      </w:r>
      <w:r w:rsidRPr="0025250D">
        <w:rPr>
          <w:rFonts w:hint="cs"/>
          <w:rtl/>
        </w:rPr>
        <w:t xml:space="preserve"> می‌دهد که چگونه خودمان را هدایت کنیم. با رشد مهارتمان، درهر زمینه‌ای، مربی درونمان</w:t>
      </w:r>
      <w:r w:rsidRPr="0025250D">
        <w:rPr>
          <w:rFonts w:hint="cs"/>
        </w:rPr>
        <w:t>‌</w:t>
      </w:r>
      <w:r w:rsidRPr="0025250D">
        <w:rPr>
          <w:rFonts w:hint="cs"/>
          <w:rtl/>
        </w:rPr>
        <w:t xml:space="preserve"> می‌تواند به شکل فزاینده‌ای به بهترین راهنما برای پیشرفت بیش‌تر تبدیل شود. افراد دیگر</w:t>
      </w:r>
      <w:r w:rsidRPr="0025250D">
        <w:rPr>
          <w:rFonts w:hint="cs"/>
        </w:rPr>
        <w:t>‌</w:t>
      </w:r>
      <w:r w:rsidRPr="0025250D">
        <w:rPr>
          <w:rFonts w:hint="cs"/>
          <w:rtl/>
        </w:rPr>
        <w:t xml:space="preserve"> می‌توانند در شروع هر چالش جدیدی کمک بزرگی باشند، اما هیچگاه</w:t>
      </w:r>
      <w:r w:rsidR="00EE4B64" w:rsidRPr="0025250D">
        <w:rPr>
          <w:rFonts w:hint="cs"/>
          <w:rtl/>
        </w:rPr>
        <w:t xml:space="preserve"> نمی‌</w:t>
      </w:r>
      <w:r w:rsidRPr="0025250D">
        <w:rPr>
          <w:rFonts w:hint="cs"/>
          <w:rtl/>
        </w:rPr>
        <w:t>توانند به اندازه خودمان در بلند مدت بهترین نتیجه را حاصل کنند.</w:t>
      </w:r>
    </w:p>
    <w:p w14:paraId="514587C4" w14:textId="22AC998D" w:rsidR="0020732A" w:rsidRPr="0025250D" w:rsidRDefault="0020732A" w:rsidP="0020732A">
      <w:pPr>
        <w:rPr>
          <w:rtl/>
        </w:rPr>
      </w:pPr>
      <w:r w:rsidRPr="0025250D">
        <w:rPr>
          <w:rFonts w:hint="cs"/>
          <w:rtl/>
        </w:rPr>
        <w:t xml:space="preserve">برخی ممکن است سادگی </w:t>
      </w:r>
      <w:r w:rsidRPr="0025250D">
        <w:t>WOOP</w:t>
      </w:r>
      <w:r w:rsidRPr="0025250D">
        <w:rPr>
          <w:rFonts w:hint="cs"/>
          <w:rtl/>
        </w:rPr>
        <w:t xml:space="preserve"> را دوست داشته باشند و دیگران ممکن است آنچه را که دقت بیش‌تر </w:t>
      </w:r>
      <w:r w:rsidRPr="0025250D">
        <w:t>GRASP</w:t>
      </w:r>
      <w:r w:rsidRPr="0025250D">
        <w:rPr>
          <w:rFonts w:hint="cs"/>
        </w:rPr>
        <w:t>‌</w:t>
      </w:r>
      <w:r w:rsidRPr="0025250D">
        <w:rPr>
          <w:rFonts w:hint="cs"/>
          <w:rtl/>
        </w:rPr>
        <w:t xml:space="preserve"> می‌دانیم ترجیح دهند. هر </w:t>
      </w:r>
      <w:r w:rsidR="00B13F65" w:rsidRPr="0025250D">
        <w:rPr>
          <w:rFonts w:hint="cs"/>
          <w:rtl/>
        </w:rPr>
        <w:t>چارچوب</w:t>
      </w:r>
      <w:r w:rsidRPr="0025250D">
        <w:rPr>
          <w:rFonts w:hint="cs"/>
          <w:rtl/>
        </w:rPr>
        <w:t>ی را که برای خودتان مفید و ساده است استفاده کنید</w:t>
      </w:r>
      <w:r w:rsidR="008D6F97" w:rsidRPr="0025250D">
        <w:rPr>
          <w:rtl/>
        </w:rPr>
        <w:t xml:space="preserve">؛ </w:t>
      </w:r>
      <w:r w:rsidRPr="0025250D">
        <w:rPr>
          <w:rFonts w:hint="cs"/>
          <w:rtl/>
        </w:rPr>
        <w:t xml:space="preserve">اما لطفا تقابل را به یاد داشته باشید. ما هم به تقابل </w:t>
      </w:r>
      <w:r w:rsidR="002B6515" w:rsidRPr="0025250D">
        <w:rPr>
          <w:rFonts w:hint="cs"/>
          <w:rtl/>
        </w:rPr>
        <w:t>حس‌داد</w:t>
      </w:r>
      <w:r w:rsidRPr="0025250D">
        <w:rPr>
          <w:rFonts w:hint="cs"/>
          <w:rtl/>
        </w:rPr>
        <w:t xml:space="preserve"> و هم به تقابل </w:t>
      </w:r>
      <w:r w:rsidR="00D92F6E" w:rsidRPr="0025250D">
        <w:rPr>
          <w:rFonts w:hint="cs"/>
          <w:rtl/>
        </w:rPr>
        <w:t>پیش‌بین</w:t>
      </w:r>
      <w:r w:rsidRPr="0025250D">
        <w:rPr>
          <w:rFonts w:hint="cs"/>
          <w:rtl/>
        </w:rPr>
        <w:t xml:space="preserve"> (مدیریت تضاد داخلی) برای اثر بخش کردن حلقه‌های انجام تا حد امکان نیاز داریم. درحالی که در هر صورت داده‌های لازم برای تقابل </w:t>
      </w:r>
      <w:r w:rsidR="00D92F6E" w:rsidRPr="0025250D">
        <w:rPr>
          <w:rFonts w:hint="cs"/>
          <w:rtl/>
        </w:rPr>
        <w:t>پیش‌بین</w:t>
      </w:r>
      <w:r w:rsidRPr="0025250D">
        <w:rPr>
          <w:rFonts w:hint="cs"/>
          <w:rtl/>
        </w:rPr>
        <w:t xml:space="preserve"> در مطالعات کنترلی را در اختیار نداریم، به یاد داشته باشید که تقابل </w:t>
      </w:r>
      <w:r w:rsidR="002B6515" w:rsidRPr="0025250D">
        <w:rPr>
          <w:rFonts w:hint="cs"/>
          <w:rtl/>
        </w:rPr>
        <w:t>حس‌داد</w:t>
      </w:r>
      <w:r w:rsidRPr="0025250D">
        <w:rPr>
          <w:rFonts w:hint="cs"/>
          <w:rtl/>
        </w:rPr>
        <w:t xml:space="preserve"> به شدت دقت، بهره وری</w:t>
      </w:r>
      <w:r w:rsidR="008D6F97" w:rsidRPr="0025250D">
        <w:rPr>
          <w:rtl/>
        </w:rPr>
        <w:t xml:space="preserve"> </w:t>
      </w:r>
      <w:r w:rsidRPr="0025250D">
        <w:rPr>
          <w:rFonts w:hint="cs"/>
          <w:rtl/>
        </w:rPr>
        <w:t xml:space="preserve">و انگیره </w:t>
      </w:r>
      <w:r w:rsidRPr="0025250D">
        <w:rPr>
          <w:rtl/>
        </w:rPr>
        <w:t>آینده‌نگاری</w:t>
      </w:r>
      <w:r w:rsidRPr="0025250D">
        <w:rPr>
          <w:rFonts w:hint="cs"/>
          <w:rtl/>
        </w:rPr>
        <w:t xml:space="preserve"> را </w:t>
      </w:r>
      <w:r w:rsidRPr="0025250D">
        <w:rPr>
          <w:rFonts w:cs="Times New Roman" w:hint="cs"/>
          <w:rtl/>
        </w:rPr>
        <w:t>–</w:t>
      </w:r>
      <w:r w:rsidRPr="0025250D">
        <w:rPr>
          <w:rFonts w:hint="cs"/>
          <w:rtl/>
        </w:rPr>
        <w:t xml:space="preserve"> نسبت به خوش‌بینی یا بدبینی صرف - افزایش</w:t>
      </w:r>
      <w:r w:rsidRPr="0025250D">
        <w:rPr>
          <w:rFonts w:hint="cs"/>
        </w:rPr>
        <w:t>‌</w:t>
      </w:r>
      <w:r w:rsidRPr="0025250D">
        <w:rPr>
          <w:rFonts w:hint="cs"/>
          <w:rtl/>
        </w:rPr>
        <w:t xml:space="preserve"> می‌دهد. در نظر داشته باشید که هر چه بیش‌تر از تفکر </w:t>
      </w:r>
      <w:r w:rsidRPr="0025250D">
        <w:t>GRASP</w:t>
      </w:r>
      <w:r w:rsidRPr="0025250D">
        <w:rPr>
          <w:rFonts w:hint="cs"/>
          <w:rtl/>
        </w:rPr>
        <w:t xml:space="preserve"> در روز استفاده کنیم و با </w:t>
      </w:r>
      <w:r w:rsidRPr="0025250D">
        <w:rPr>
          <w:rtl/>
        </w:rPr>
        <w:t>آینده‌نگاری</w:t>
      </w:r>
      <w:r w:rsidRPr="0025250D">
        <w:rPr>
          <w:rFonts w:hint="cs"/>
          <w:rtl/>
        </w:rPr>
        <w:t xml:space="preserve"> </w:t>
      </w:r>
      <w:r w:rsidRPr="0025250D">
        <w:rPr>
          <w:rFonts w:hint="cs"/>
          <w:rtl/>
        </w:rPr>
        <w:lastRenderedPageBreak/>
        <w:t>امروز آغاز کنیم، سریع‌تر به بازخوردی مفید از برنامه‌ها و اقداماتمان دست</w:t>
      </w:r>
      <w:r w:rsidRPr="0025250D">
        <w:rPr>
          <w:rFonts w:hint="cs"/>
        </w:rPr>
        <w:t>‌</w:t>
      </w:r>
      <w:r w:rsidRPr="0025250D">
        <w:rPr>
          <w:rFonts w:hint="cs"/>
          <w:rtl/>
        </w:rPr>
        <w:t xml:space="preserve"> می‌یابیم.</w:t>
      </w:r>
      <w:r w:rsidRPr="0025250D">
        <w:rPr>
          <w:rFonts w:hint="cs"/>
        </w:rPr>
        <w:t>‌</w:t>
      </w:r>
      <w:r w:rsidRPr="0025250D">
        <w:rPr>
          <w:rFonts w:hint="cs"/>
          <w:rtl/>
        </w:rPr>
        <w:t xml:space="preserve"> می‌توانیم از این بازخورد برای بهبود احساسات، افکار، </w:t>
      </w:r>
      <w:r w:rsidR="00FB6A7E" w:rsidRPr="0025250D">
        <w:rPr>
          <w:rFonts w:hint="cs"/>
          <w:rtl/>
        </w:rPr>
        <w:t>پیش‌نگری</w:t>
      </w:r>
      <w:r w:rsidRPr="0025250D">
        <w:rPr>
          <w:rFonts w:hint="cs"/>
          <w:rtl/>
        </w:rPr>
        <w:t>‌ها، برنامه‌ها و اقداماتمان استفاده کنیم. این جوهره حلقه انجام</w:t>
      </w:r>
      <w:r w:rsidRPr="0025250D">
        <w:rPr>
          <w:rFonts w:hint="cs"/>
        </w:rPr>
        <w:t>‌</w:t>
      </w:r>
      <w:r w:rsidRPr="0025250D">
        <w:rPr>
          <w:rFonts w:hint="cs"/>
          <w:rtl/>
        </w:rPr>
        <w:t xml:space="preserve"> می‌باشد.</w:t>
      </w:r>
    </w:p>
    <w:p w14:paraId="73764899" w14:textId="27C08FB4" w:rsidR="0020732A" w:rsidRPr="0025250D" w:rsidRDefault="0020732A" w:rsidP="0020732A">
      <w:pPr>
        <w:rPr>
          <w:rtl/>
        </w:rPr>
      </w:pPr>
      <w:r w:rsidRPr="0025250D">
        <w:rPr>
          <w:rFonts w:hint="cs"/>
          <w:rtl/>
        </w:rPr>
        <w:t xml:space="preserve">ما همه افراد را به اختصاص یک یا دو دقیقه به هریک از گام‌های </w:t>
      </w:r>
      <w:r w:rsidRPr="0025250D">
        <w:t>GRASP</w:t>
      </w:r>
      <w:r w:rsidRPr="0025250D">
        <w:rPr>
          <w:rFonts w:hint="cs"/>
          <w:rtl/>
        </w:rPr>
        <w:t xml:space="preserve"> یا </w:t>
      </w:r>
      <w:r w:rsidRPr="0025250D">
        <w:t>WOOP</w:t>
      </w:r>
      <w:r w:rsidRPr="0025250D">
        <w:rPr>
          <w:rFonts w:hint="cs"/>
          <w:rtl/>
        </w:rPr>
        <w:t xml:space="preserve"> در برخی از چالش‌های </w:t>
      </w:r>
      <w:r w:rsidRPr="0025250D">
        <w:rPr>
          <w:rtl/>
        </w:rPr>
        <w:t>آینده‌نگاری</w:t>
      </w:r>
      <w:r w:rsidRPr="0025250D">
        <w:rPr>
          <w:rFonts w:hint="cs"/>
          <w:rtl/>
        </w:rPr>
        <w:t xml:space="preserve"> امروز (اکنون تا پایان روز) که برای ما در طول هفته بعد رخ</w:t>
      </w:r>
      <w:r w:rsidRPr="0025250D">
        <w:rPr>
          <w:rFonts w:hint="cs"/>
        </w:rPr>
        <w:t>‌</w:t>
      </w:r>
      <w:r w:rsidRPr="0025250D">
        <w:rPr>
          <w:rFonts w:hint="cs"/>
          <w:rtl/>
        </w:rPr>
        <w:t xml:space="preserve"> می‌دهند دعوت</w:t>
      </w:r>
      <w:r w:rsidRPr="0025250D">
        <w:rPr>
          <w:rFonts w:hint="cs"/>
        </w:rPr>
        <w:t>‌</w:t>
      </w:r>
      <w:r w:rsidRPr="0025250D">
        <w:rPr>
          <w:rFonts w:hint="cs"/>
          <w:rtl/>
        </w:rPr>
        <w:t xml:space="preserve"> می‌کنیم. توصیه</w:t>
      </w:r>
      <w:r w:rsidRPr="0025250D">
        <w:rPr>
          <w:rFonts w:hint="cs"/>
        </w:rPr>
        <w:t>‌</w:t>
      </w:r>
      <w:r w:rsidRPr="0025250D">
        <w:rPr>
          <w:rFonts w:hint="cs"/>
          <w:rtl/>
        </w:rPr>
        <w:t xml:space="preserve"> می‌کنیم که هر یک از ما حداقل یک دقیقه برای هر گام با استفاده از </w:t>
      </w:r>
      <w:r w:rsidR="006335B8" w:rsidRPr="0025250D">
        <w:rPr>
          <w:rtl/>
        </w:rPr>
        <w:t xml:space="preserve">تفکر </w:t>
      </w:r>
      <w:r w:rsidR="006335B8" w:rsidRPr="0025250D">
        <w:t>GRASP</w:t>
      </w:r>
      <w:r w:rsidRPr="0025250D">
        <w:rPr>
          <w:rFonts w:hint="cs"/>
          <w:rtl/>
        </w:rPr>
        <w:t xml:space="preserve"> حول مهم‌ترین اهدافمان برای امروز بنویسیم، پیش از این‌که وارد عمل شده و حداقل چند کلمه‌ای برای خلاصه کردن یک برنامه عملی کوتاه مدت، صرف کنیم. پنج دقیقه نشستن در سکوت، با داشتن ابزار نوشتار در دست خواسته زیادی، در مقابل منافع قدرتمندی که تا پایان امروز و همچنین فردا خواهد داشت، نیست. </w:t>
      </w:r>
      <w:r w:rsidRPr="0025250D">
        <w:rPr>
          <w:rtl/>
        </w:rPr>
        <w:t>آینده‌نگاری</w:t>
      </w:r>
      <w:r w:rsidR="008D6F97" w:rsidRPr="0025250D">
        <w:rPr>
          <w:rtl/>
        </w:rPr>
        <w:t xml:space="preserve"> </w:t>
      </w:r>
      <w:r w:rsidRPr="0025250D">
        <w:rPr>
          <w:rFonts w:hint="cs"/>
          <w:rtl/>
        </w:rPr>
        <w:t>بهتر اینگونه برای هر یک از ما آغاز</w:t>
      </w:r>
      <w:r w:rsidRPr="0025250D">
        <w:rPr>
          <w:rFonts w:hint="cs"/>
        </w:rPr>
        <w:t>‌</w:t>
      </w:r>
      <w:r w:rsidRPr="0025250D">
        <w:rPr>
          <w:rFonts w:hint="cs"/>
          <w:rtl/>
        </w:rPr>
        <w:t xml:space="preserve"> می‌شود </w:t>
      </w:r>
      <w:r w:rsidRPr="0025250D">
        <w:rPr>
          <w:rFonts w:cs="Times New Roman" w:hint="cs"/>
          <w:rtl/>
        </w:rPr>
        <w:t>–</w:t>
      </w:r>
      <w:r w:rsidRPr="0025250D">
        <w:rPr>
          <w:rFonts w:hint="cs"/>
          <w:rtl/>
        </w:rPr>
        <w:t xml:space="preserve"> این کار از فعالیت‌های روزانه دائما تکرار شونده زندگی ما آغاز</w:t>
      </w:r>
      <w:r w:rsidRPr="0025250D">
        <w:rPr>
          <w:rFonts w:hint="cs"/>
        </w:rPr>
        <w:t>‌</w:t>
      </w:r>
      <w:r w:rsidRPr="0025250D">
        <w:rPr>
          <w:rFonts w:hint="cs"/>
          <w:rtl/>
        </w:rPr>
        <w:t xml:space="preserve"> می‌شود.</w:t>
      </w:r>
    </w:p>
    <w:p w14:paraId="1BCC054D" w14:textId="05990846" w:rsidR="0020732A" w:rsidRPr="0025250D" w:rsidRDefault="0020732A" w:rsidP="001312B6">
      <w:pPr>
        <w:pStyle w:val="Heading3"/>
        <w:rPr>
          <w:rtl/>
        </w:rPr>
      </w:pPr>
      <w:r w:rsidRPr="0025250D">
        <w:rPr>
          <w:rFonts w:hint="cs"/>
          <w:rtl/>
        </w:rPr>
        <w:t xml:space="preserve">چرخه </w:t>
      </w:r>
      <w:r w:rsidRPr="0025250D">
        <w:t>REOPS</w:t>
      </w:r>
      <w:r w:rsidRPr="0025250D">
        <w:rPr>
          <w:rFonts w:hint="cs"/>
          <w:rtl/>
        </w:rPr>
        <w:t xml:space="preserve">: تولید </w:t>
      </w:r>
      <w:r w:rsidRPr="0025250D">
        <w:rPr>
          <w:rtl/>
        </w:rPr>
        <w:t>آینده‌نگاری</w:t>
      </w:r>
      <w:r w:rsidR="008D6F97" w:rsidRPr="0025250D">
        <w:rPr>
          <w:rtl/>
        </w:rPr>
        <w:t xml:space="preserve"> </w:t>
      </w:r>
      <w:r w:rsidRPr="0025250D">
        <w:rPr>
          <w:rFonts w:hint="cs"/>
          <w:rtl/>
        </w:rPr>
        <w:t>تیمی و سازمانی</w:t>
      </w:r>
    </w:p>
    <w:p w14:paraId="7CF42E37" w14:textId="6AAB7095" w:rsidR="0020732A" w:rsidRPr="0025250D" w:rsidRDefault="0020732A" w:rsidP="0020732A">
      <w:pPr>
        <w:rPr>
          <w:rtl/>
        </w:rPr>
      </w:pPr>
      <w:r w:rsidRPr="0025250D">
        <w:rPr>
          <w:rFonts w:hint="cs"/>
          <w:rtl/>
        </w:rPr>
        <w:t xml:space="preserve">در ترکیب یادگیری و چهار </w:t>
      </w:r>
      <w:r w:rsidRPr="0025250D">
        <w:t>P</w:t>
      </w:r>
      <w:r w:rsidRPr="0025250D">
        <w:rPr>
          <w:rFonts w:hint="cs"/>
          <w:rtl/>
        </w:rPr>
        <w:t>،</w:t>
      </w:r>
      <w:r w:rsidRPr="0025250D">
        <w:rPr>
          <w:rFonts w:hint="cs"/>
        </w:rPr>
        <w:t>‌</w:t>
      </w:r>
      <w:r w:rsidRPr="0025250D">
        <w:rPr>
          <w:rFonts w:hint="cs"/>
          <w:rtl/>
        </w:rPr>
        <w:t xml:space="preserve"> می‌توانیم گام‌های محوری تولید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را در یک کلمه مخفف، </w:t>
      </w:r>
      <w:r w:rsidRPr="0025250D">
        <w:t>REOPS</w:t>
      </w:r>
      <w:r w:rsidRPr="0025250D">
        <w:rPr>
          <w:rFonts w:hint="cs"/>
          <w:rtl/>
        </w:rPr>
        <w:t xml:space="preserve">، به یاد آوریم. چرخه </w:t>
      </w:r>
      <w:r w:rsidRPr="0025250D">
        <w:t>REOPS</w:t>
      </w:r>
      <w:r w:rsidRPr="0025250D">
        <w:rPr>
          <w:rFonts w:hint="cs"/>
          <w:rtl/>
        </w:rPr>
        <w:t xml:space="preserve"> تولید </w:t>
      </w:r>
      <w:r w:rsidRPr="0025250D">
        <w:rPr>
          <w:rtl/>
        </w:rPr>
        <w:t>آینده‌نگاری</w:t>
      </w:r>
      <w:r w:rsidRPr="0025250D">
        <w:rPr>
          <w:rFonts w:hint="cs"/>
          <w:rtl/>
        </w:rPr>
        <w:t xml:space="preserve"> را، در هر افق زمانی، پیش از استفاده از آن در عمل پوشش</w:t>
      </w:r>
      <w:r w:rsidRPr="0025250D">
        <w:rPr>
          <w:rFonts w:hint="cs"/>
        </w:rPr>
        <w:t>‌</w:t>
      </w:r>
      <w:r w:rsidRPr="0025250D">
        <w:rPr>
          <w:rFonts w:hint="cs"/>
          <w:rtl/>
        </w:rPr>
        <w:t xml:space="preserve"> می‌دهد. این چرخه پنج گام دارد که اغلب به بهترین شکل به ترتیب، به‌عنوان یک چرخه انجام</w:t>
      </w:r>
      <w:r w:rsidRPr="0025250D">
        <w:rPr>
          <w:rFonts w:hint="cs"/>
        </w:rPr>
        <w:t>‌</w:t>
      </w:r>
      <w:r w:rsidRPr="0025250D">
        <w:rPr>
          <w:rFonts w:hint="cs"/>
          <w:rtl/>
        </w:rPr>
        <w:t xml:space="preserve"> می‌شوند و با برنامه‌های اگر-آنگاه ارزیابی شده پایان</w:t>
      </w:r>
      <w:r w:rsidRPr="0025250D">
        <w:rPr>
          <w:rFonts w:hint="cs"/>
        </w:rPr>
        <w:t>‌</w:t>
      </w:r>
      <w:r w:rsidRPr="0025250D">
        <w:rPr>
          <w:rFonts w:hint="cs"/>
          <w:rtl/>
        </w:rPr>
        <w:t xml:space="preserve"> می‌یابد. توجه به ترتیب و کیفیت هر یک از این مراحل و حرکت از میان آن‌ها به مدت مورد نیاز برای پرداختن به انتقادات، به شکل قابل اتکایی </w:t>
      </w:r>
      <w:r w:rsidR="00701E03" w:rsidRPr="0025250D">
        <w:rPr>
          <w:rFonts w:hint="cs"/>
          <w:rtl/>
        </w:rPr>
        <w:t>راهبرد</w:t>
      </w:r>
      <w:r w:rsidRPr="0025250D">
        <w:rPr>
          <w:rFonts w:hint="cs"/>
          <w:rtl/>
        </w:rPr>
        <w:t xml:space="preserve"> مؤثر تری ایجاد خواهد کرد. اگر </w:t>
      </w:r>
      <w:r w:rsidRPr="0025250D">
        <w:rPr>
          <w:rtl/>
        </w:rPr>
        <w:t>آینده‌نگاری</w:t>
      </w:r>
      <w:r w:rsidR="008D6F97" w:rsidRPr="0025250D">
        <w:rPr>
          <w:rtl/>
        </w:rPr>
        <w:t xml:space="preserve"> </w:t>
      </w:r>
      <w:r w:rsidRPr="0025250D">
        <w:rPr>
          <w:rFonts w:hint="cs"/>
          <w:rtl/>
        </w:rPr>
        <w:t>ما با اقدام مؤثر ادامه یاب</w:t>
      </w:r>
      <w:r w:rsidR="008D6F97" w:rsidRPr="0025250D">
        <w:rPr>
          <w:rtl/>
        </w:rPr>
        <w:t xml:space="preserve"> </w:t>
      </w:r>
      <w:r w:rsidRPr="0025250D">
        <w:rPr>
          <w:rFonts w:hint="cs"/>
          <w:rtl/>
        </w:rPr>
        <w:t>و با ارزش‌های خوب هدایت شود،</w:t>
      </w:r>
      <w:r w:rsidRPr="0025250D">
        <w:rPr>
          <w:rFonts w:hint="cs"/>
        </w:rPr>
        <w:t>‌</w:t>
      </w:r>
      <w:r w:rsidRPr="0025250D">
        <w:rPr>
          <w:rFonts w:hint="cs"/>
          <w:rtl/>
        </w:rPr>
        <w:t xml:space="preserve"> می‌تواند بعداً ما را </w:t>
      </w:r>
      <w:r w:rsidR="00AE5BE0" w:rsidRPr="0025250D">
        <w:rPr>
          <w:rFonts w:hint="cs"/>
          <w:rtl/>
        </w:rPr>
        <w:t>منطبق‌تر</w:t>
      </w:r>
      <w:r w:rsidRPr="0025250D">
        <w:rPr>
          <w:rFonts w:hint="cs"/>
          <w:rtl/>
        </w:rPr>
        <w:t xml:space="preserve"> سازد. به‌عنوان یک نسخه تغییر یافته از حلقه انجام، ذات تکرار شونده چرخه </w:t>
      </w:r>
      <w:r w:rsidRPr="0025250D">
        <w:t>REOPS</w:t>
      </w:r>
      <w:r w:rsidRPr="0025250D">
        <w:rPr>
          <w:rFonts w:hint="cs"/>
          <w:rtl/>
        </w:rPr>
        <w:t xml:space="preserve"> را در نظر بگیرید. همه انواع </w:t>
      </w:r>
      <w:r w:rsidRPr="0025250D">
        <w:rPr>
          <w:rtl/>
        </w:rPr>
        <w:t>آینده‌نگاری</w:t>
      </w:r>
      <w:r w:rsidRPr="0025250D">
        <w:rPr>
          <w:rFonts w:hint="cs"/>
          <w:rtl/>
        </w:rPr>
        <w:t xml:space="preserve"> با ضعف آغاز</w:t>
      </w:r>
      <w:r w:rsidRPr="0025250D">
        <w:rPr>
          <w:rFonts w:hint="cs"/>
        </w:rPr>
        <w:t>‌</w:t>
      </w:r>
      <w:r w:rsidRPr="0025250D">
        <w:rPr>
          <w:rFonts w:hint="cs"/>
          <w:rtl/>
        </w:rPr>
        <w:t xml:space="preserve"> می‌شوند. تنها چرخه‌های بازخورد، با نقد متنوع، محکم و صادقانه هستند که برای داشتن </w:t>
      </w:r>
      <w:r w:rsidR="00701E03" w:rsidRPr="0025250D">
        <w:rPr>
          <w:rFonts w:hint="cs"/>
          <w:rtl/>
        </w:rPr>
        <w:t>راهبرد</w:t>
      </w:r>
      <w:r w:rsidRPr="0025250D">
        <w:rPr>
          <w:rFonts w:hint="cs"/>
          <w:rtl/>
        </w:rPr>
        <w:t xml:space="preserve"> و برنامه‌های بهتر به ما کمک</w:t>
      </w:r>
      <w:r w:rsidRPr="0025250D">
        <w:rPr>
          <w:rFonts w:hint="cs"/>
        </w:rPr>
        <w:t>‌</w:t>
      </w:r>
      <w:r w:rsidRPr="0025250D">
        <w:rPr>
          <w:rFonts w:hint="cs"/>
          <w:rtl/>
        </w:rPr>
        <w:t xml:space="preserve"> می‌کنند.</w:t>
      </w:r>
    </w:p>
    <w:p w14:paraId="3E9DEC9E" w14:textId="425C3396" w:rsidR="0020732A" w:rsidRPr="0025250D" w:rsidRDefault="0020732A" w:rsidP="0020732A">
      <w:pPr>
        <w:rPr>
          <w:rtl/>
        </w:rPr>
      </w:pPr>
      <w:r w:rsidRPr="0025250D">
        <w:rPr>
          <w:rFonts w:hint="cs"/>
          <w:rtl/>
        </w:rPr>
        <w:t xml:space="preserve">چرخه </w:t>
      </w:r>
      <w:r w:rsidRPr="0025250D">
        <w:t>REOPS</w:t>
      </w:r>
      <w:r w:rsidRPr="0025250D">
        <w:rPr>
          <w:rFonts w:hint="cs"/>
          <w:rtl/>
        </w:rPr>
        <w:t xml:space="preserve"> به ما</w:t>
      </w:r>
      <w:r w:rsidRPr="0025250D">
        <w:rPr>
          <w:rFonts w:hint="cs"/>
        </w:rPr>
        <w:t>‌</w:t>
      </w:r>
      <w:r w:rsidRPr="0025250D">
        <w:rPr>
          <w:rFonts w:hint="cs"/>
          <w:rtl/>
        </w:rPr>
        <w:t xml:space="preserve"> می‌گوید که ایجاد </w:t>
      </w:r>
      <w:r w:rsidRPr="0025250D">
        <w:rPr>
          <w:rtl/>
        </w:rPr>
        <w:t>آینده‌نگاری</w:t>
      </w:r>
      <w:r w:rsidRPr="0025250D">
        <w:rPr>
          <w:rFonts w:hint="cs"/>
          <w:rtl/>
        </w:rPr>
        <w:t xml:space="preserve"> به پنج گام نیاز دارد که در یک حلقه انجام از </w:t>
      </w:r>
      <w:r w:rsidR="00274907" w:rsidRPr="0025250D">
        <w:rPr>
          <w:rFonts w:hint="cs"/>
          <w:rtl/>
        </w:rPr>
        <w:t>به‌اشتراک‌گذار</w:t>
      </w:r>
      <w:r w:rsidRPr="0025250D">
        <w:rPr>
          <w:rFonts w:hint="cs"/>
          <w:rtl/>
        </w:rPr>
        <w:t xml:space="preserve">ی </w:t>
      </w:r>
      <w:r w:rsidR="00FB6A7E" w:rsidRPr="0025250D">
        <w:rPr>
          <w:rFonts w:hint="cs"/>
          <w:rtl/>
        </w:rPr>
        <w:t xml:space="preserve">شروع </w:t>
      </w:r>
      <w:r w:rsidR="00274907" w:rsidRPr="0025250D">
        <w:rPr>
          <w:rFonts w:hint="cs"/>
          <w:rtl/>
        </w:rPr>
        <w:t>شده</w:t>
      </w:r>
      <w:r w:rsidR="00FB6A7E" w:rsidRPr="0025250D">
        <w:rPr>
          <w:rFonts w:hint="cs"/>
          <w:rtl/>
        </w:rPr>
        <w:t xml:space="preserve"> و تا</w:t>
      </w:r>
      <w:r w:rsidRPr="0025250D">
        <w:rPr>
          <w:rFonts w:hint="cs"/>
          <w:rtl/>
        </w:rPr>
        <w:t xml:space="preserve"> بازبینی انتقادی </w:t>
      </w:r>
      <w:r w:rsidR="00FB6A7E" w:rsidRPr="0025250D">
        <w:rPr>
          <w:rFonts w:hint="cs"/>
          <w:rtl/>
        </w:rPr>
        <w:t>ادامه می‌یابد</w:t>
      </w:r>
      <w:r w:rsidRPr="0025250D">
        <w:rPr>
          <w:rFonts w:hint="cs"/>
          <w:rtl/>
        </w:rPr>
        <w:t xml:space="preserve">: (1) تحقیق (یادگیری گذشته و حال مرتبط با دامنه عمل احتمالی ما)؛ (2) انتظارات، یا آینده‌های محتمل (احتمالات، روندها، محدودیت‌ها، همگرایی‌ها، </w:t>
      </w:r>
      <w:r w:rsidR="00FB6A7E" w:rsidRPr="0025250D">
        <w:rPr>
          <w:rFonts w:hint="cs"/>
          <w:rtl/>
        </w:rPr>
        <w:t>پیش‌نگری</w:t>
      </w:r>
      <w:r w:rsidRPr="0025250D">
        <w:rPr>
          <w:rFonts w:hint="cs"/>
          <w:rtl/>
        </w:rPr>
        <w:t xml:space="preserve">‌ها </w:t>
      </w:r>
      <w:r w:rsidRPr="0025250D">
        <w:rPr>
          <w:rFonts w:cs="Times New Roman" w:hint="cs"/>
          <w:rtl/>
        </w:rPr>
        <w:t>–</w:t>
      </w:r>
      <w:r w:rsidRPr="0025250D">
        <w:rPr>
          <w:rFonts w:hint="cs"/>
          <w:rtl/>
        </w:rPr>
        <w:t xml:space="preserve"> </w:t>
      </w:r>
      <w:r w:rsidR="006335B8" w:rsidRPr="0025250D">
        <w:rPr>
          <w:rtl/>
        </w:rPr>
        <w:t>«</w:t>
      </w:r>
      <w:r w:rsidRPr="0025250D">
        <w:rPr>
          <w:rFonts w:hint="cs"/>
          <w:rtl/>
        </w:rPr>
        <w:t>آینده‌های توسعه‌ای</w:t>
      </w:r>
      <w:r w:rsidR="006335B8" w:rsidRPr="0025250D">
        <w:rPr>
          <w:rtl/>
        </w:rPr>
        <w:t>»</w:t>
      </w:r>
      <w:r w:rsidRPr="0025250D">
        <w:rPr>
          <w:rFonts w:hint="cs"/>
          <w:rtl/>
        </w:rPr>
        <w:t>)؛ (3) گزینه‌ها یا آینده‌های ممکن (موارد امکان‌پذیر، ایده‌ها، اقدامات بالقوه، آزمایش‌ها، فرانامه ها</w:t>
      </w:r>
      <w:r w:rsidRPr="0025250D">
        <w:rPr>
          <w:rFonts w:cs="Times New Roman" w:hint="cs"/>
          <w:rtl/>
        </w:rPr>
        <w:t>–</w:t>
      </w:r>
      <w:r w:rsidRPr="0025250D">
        <w:rPr>
          <w:rFonts w:hint="cs"/>
          <w:rtl/>
        </w:rPr>
        <w:t xml:space="preserve"> </w:t>
      </w:r>
      <w:r w:rsidR="006335B8" w:rsidRPr="0025250D">
        <w:rPr>
          <w:rtl/>
        </w:rPr>
        <w:t>«</w:t>
      </w:r>
      <w:r w:rsidRPr="0025250D">
        <w:rPr>
          <w:rFonts w:hint="cs"/>
          <w:rtl/>
        </w:rPr>
        <w:t>آینده‌های تکاملی</w:t>
      </w:r>
      <w:r w:rsidR="006335B8" w:rsidRPr="0025250D">
        <w:rPr>
          <w:rtl/>
        </w:rPr>
        <w:t>»</w:t>
      </w:r>
      <w:r w:rsidRPr="0025250D">
        <w:rPr>
          <w:rFonts w:hint="cs"/>
          <w:rtl/>
        </w:rPr>
        <w:t xml:space="preserve">)؛ (4) اولویت‌ها یا آینده‌های مرجح (فرصت‌ها، </w:t>
      </w:r>
      <w:r w:rsidR="00B56611" w:rsidRPr="0025250D">
        <w:rPr>
          <w:rFonts w:hint="cs"/>
          <w:rtl/>
        </w:rPr>
        <w:t>چشم‌انداز</w:t>
      </w:r>
      <w:r w:rsidRPr="0025250D">
        <w:rPr>
          <w:rFonts w:hint="cs"/>
          <w:rtl/>
        </w:rPr>
        <w:t xml:space="preserve">‌ها، اهداف، برنامه‌های اساسی </w:t>
      </w:r>
      <w:r w:rsidRPr="0025250D">
        <w:rPr>
          <w:rFonts w:cs="Times New Roman" w:hint="cs"/>
          <w:rtl/>
        </w:rPr>
        <w:t>–</w:t>
      </w:r>
      <w:r w:rsidRPr="0025250D">
        <w:rPr>
          <w:rFonts w:hint="cs"/>
          <w:rtl/>
        </w:rPr>
        <w:t xml:space="preserve"> خوش‌بینی </w:t>
      </w:r>
      <w:r w:rsidR="00701E03" w:rsidRPr="0025250D">
        <w:rPr>
          <w:rFonts w:hint="cs"/>
          <w:rtl/>
        </w:rPr>
        <w:t>راهبردی</w:t>
      </w:r>
      <w:r w:rsidRPr="0025250D">
        <w:rPr>
          <w:rFonts w:hint="cs"/>
          <w:rtl/>
        </w:rPr>
        <w:t xml:space="preserve">)؛ (5) عقبگرد‌ها یا آینده‌های اجتناب پذیر (ریسک‌ها، موانع، دام‌ها، </w:t>
      </w:r>
      <w:r w:rsidR="00923DDB" w:rsidRPr="0025250D">
        <w:rPr>
          <w:rFonts w:hint="cs"/>
          <w:rtl/>
        </w:rPr>
        <w:t>شگفتی‌ساز</w:t>
      </w:r>
      <w:r w:rsidRPr="0025250D">
        <w:rPr>
          <w:rFonts w:hint="cs"/>
          <w:rtl/>
        </w:rPr>
        <w:t xml:space="preserve">ها، عدم قطعیت‌ها، برنامه‌های اگر-آنگاه </w:t>
      </w:r>
      <w:r w:rsidRPr="0025250D">
        <w:rPr>
          <w:rFonts w:cs="Times New Roman" w:hint="cs"/>
          <w:rtl/>
        </w:rPr>
        <w:t>–</w:t>
      </w:r>
      <w:r w:rsidRPr="0025250D">
        <w:rPr>
          <w:rFonts w:hint="cs"/>
          <w:rtl/>
        </w:rPr>
        <w:t xml:space="preserve"> بدبینی تدافعی).</w:t>
      </w:r>
    </w:p>
    <w:p w14:paraId="4B8B2DF5" w14:textId="77777777" w:rsidR="0020732A" w:rsidRPr="0025250D" w:rsidRDefault="0020732A" w:rsidP="0020732A">
      <w:pPr>
        <w:rPr>
          <w:rFonts w:ascii="B Zar"/>
          <w:sz w:val="22"/>
          <w:rtl/>
          <w:lang w:bidi="x-none"/>
        </w:rPr>
      </w:pPr>
      <w:r w:rsidRPr="0025250D">
        <w:rPr>
          <w:rFonts w:hint="cs"/>
          <w:rtl/>
        </w:rPr>
        <w:t>در زیر تصویری از این چرخه نشان داده شده است:</w:t>
      </w:r>
    </w:p>
    <w:p w14:paraId="356EF190" w14:textId="17EF6324" w:rsidR="0020732A" w:rsidRPr="0025250D" w:rsidRDefault="000E42CA" w:rsidP="009520C8">
      <w:pPr>
        <w:jc w:val="center"/>
        <w:rPr>
          <w:rtl/>
        </w:rPr>
      </w:pPr>
      <w:r w:rsidRPr="0025250D">
        <w:rPr>
          <w:noProof/>
        </w:rPr>
        <w:drawing>
          <wp:inline distT="0" distB="0" distL="0" distR="0" wp14:anchorId="422E5FF8" wp14:editId="75A919CC">
            <wp:extent cx="5756744" cy="2017363"/>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5784729" cy="2027170"/>
                    </a:xfrm>
                    <a:prstGeom prst="rect">
                      <a:avLst/>
                    </a:prstGeom>
                    <a:noFill/>
                  </pic:spPr>
                </pic:pic>
              </a:graphicData>
            </a:graphic>
          </wp:inline>
        </w:drawing>
      </w:r>
    </w:p>
    <w:p w14:paraId="7C35E7D1" w14:textId="0175214A" w:rsidR="0020732A" w:rsidRPr="0025250D" w:rsidRDefault="0020732A" w:rsidP="0020732A">
      <w:pPr>
        <w:rPr>
          <w:rtl/>
        </w:rPr>
      </w:pPr>
      <w:r w:rsidRPr="0025250D">
        <w:t>REOPS</w:t>
      </w:r>
      <w:r w:rsidRPr="0025250D">
        <w:rPr>
          <w:rFonts w:hint="cs"/>
          <w:rtl/>
        </w:rPr>
        <w:t xml:space="preserve"> یک روند تدریجی (و در تصویر ما یک پلکان) است، زیرا این پنج گام تولید </w:t>
      </w:r>
      <w:r w:rsidRPr="0025250D">
        <w:rPr>
          <w:rtl/>
        </w:rPr>
        <w:t>آینده‌نگاری</w:t>
      </w:r>
      <w:r w:rsidRPr="0025250D">
        <w:rPr>
          <w:rFonts w:hint="cs"/>
          <w:rtl/>
        </w:rPr>
        <w:t xml:space="preserve"> معمولا به این ترتیب به بهترین شکل انجام</w:t>
      </w:r>
      <w:r w:rsidRPr="0025250D">
        <w:rPr>
          <w:rFonts w:hint="cs"/>
        </w:rPr>
        <w:t>‌</w:t>
      </w:r>
      <w:r w:rsidRPr="0025250D">
        <w:rPr>
          <w:rFonts w:hint="cs"/>
          <w:rtl/>
        </w:rPr>
        <w:t xml:space="preserve"> می‌شوند و با برنامه‌های اگر-آنگاه به پایان</w:t>
      </w:r>
      <w:r w:rsidRPr="0025250D">
        <w:rPr>
          <w:rFonts w:hint="cs"/>
        </w:rPr>
        <w:t>‌</w:t>
      </w:r>
      <w:r w:rsidRPr="0025250D">
        <w:rPr>
          <w:rFonts w:hint="cs"/>
          <w:rtl/>
        </w:rPr>
        <w:t xml:space="preserve"> می‌رسند</w:t>
      </w:r>
      <w:r w:rsidR="008D6F97" w:rsidRPr="0025250D">
        <w:rPr>
          <w:rtl/>
        </w:rPr>
        <w:t xml:space="preserve">؛ </w:t>
      </w:r>
      <w:r w:rsidR="0020589F" w:rsidRPr="0025250D">
        <w:rPr>
          <w:rtl/>
        </w:rPr>
        <w:t>اما</w:t>
      </w:r>
      <w:r w:rsidRPr="0025250D">
        <w:rPr>
          <w:rFonts w:hint="cs"/>
          <w:rtl/>
        </w:rPr>
        <w:t xml:space="preserve"> به شکل اساسی‌تر، </w:t>
      </w:r>
      <w:r w:rsidRPr="0025250D">
        <w:t>REOPS</w:t>
      </w:r>
      <w:r w:rsidRPr="0025250D">
        <w:rPr>
          <w:rFonts w:hint="cs"/>
          <w:rtl/>
        </w:rPr>
        <w:t xml:space="preserve"> یک چرخه است، زیرا ما </w:t>
      </w:r>
      <w:r w:rsidR="00701E03" w:rsidRPr="0025250D">
        <w:rPr>
          <w:rFonts w:hint="cs"/>
          <w:rtl/>
        </w:rPr>
        <w:t>راهبرد</w:t>
      </w:r>
      <w:r w:rsidRPr="0025250D">
        <w:rPr>
          <w:rFonts w:hint="cs"/>
          <w:rtl/>
        </w:rPr>
        <w:t xml:space="preserve"> پیشنهادی خود را در مقابل عقبگرد‌های احتمالی که معمولا سبب آغاز تحقیقات جدید</w:t>
      </w:r>
      <w:r w:rsidRPr="0025250D">
        <w:rPr>
          <w:rFonts w:hint="cs"/>
        </w:rPr>
        <w:t>‌</w:t>
      </w:r>
      <w:r w:rsidRPr="0025250D">
        <w:rPr>
          <w:rFonts w:hint="cs"/>
          <w:rtl/>
        </w:rPr>
        <w:t xml:space="preserve"> می‌شوند آغاز</w:t>
      </w:r>
      <w:r w:rsidRPr="0025250D">
        <w:rPr>
          <w:rFonts w:hint="cs"/>
        </w:rPr>
        <w:t>‌</w:t>
      </w:r>
      <w:r w:rsidRPr="0025250D">
        <w:rPr>
          <w:rFonts w:hint="cs"/>
          <w:rtl/>
        </w:rPr>
        <w:t xml:space="preserve"> می‌کنیم و برنامه‌های اگر-آنگاه خودمان را در مقابل یک جامعه </w:t>
      </w:r>
      <w:r w:rsidRPr="0025250D">
        <w:rPr>
          <w:rFonts w:hint="cs"/>
          <w:rtl/>
        </w:rPr>
        <w:lastRenderedPageBreak/>
        <w:t>حیاتی، قبل از این‌که آن‌ها را عملی کنیم ارزیابی</w:t>
      </w:r>
      <w:r w:rsidRPr="0025250D">
        <w:rPr>
          <w:rFonts w:hint="cs"/>
        </w:rPr>
        <w:t>‌</w:t>
      </w:r>
      <w:r w:rsidRPr="0025250D">
        <w:rPr>
          <w:rFonts w:hint="cs"/>
          <w:rtl/>
        </w:rPr>
        <w:t xml:space="preserve"> می‌کنیم. از نظر فنی، </w:t>
      </w:r>
      <w:r w:rsidRPr="0025250D">
        <w:t>REOPSSR</w:t>
      </w:r>
      <w:r w:rsidRPr="0025250D">
        <w:rPr>
          <w:rFonts w:hint="cs"/>
          <w:rtl/>
        </w:rPr>
        <w:t xml:space="preserve"> کلمه مخفف کامل برای چرخه تولید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پایه‌ای است. ارزیابی </w:t>
      </w:r>
      <w:r w:rsidRPr="0025250D">
        <w:t>REOPS</w:t>
      </w:r>
      <w:r w:rsidRPr="0025250D">
        <w:rPr>
          <w:rFonts w:hint="cs"/>
          <w:rtl/>
        </w:rPr>
        <w:t xml:space="preserve"> همواره با </w:t>
      </w:r>
      <w:r w:rsidR="00274907" w:rsidRPr="0025250D">
        <w:rPr>
          <w:rFonts w:hint="cs"/>
          <w:rtl/>
        </w:rPr>
        <w:t>به‌اشتراک‌گذار</w:t>
      </w:r>
      <w:r w:rsidRPr="0025250D">
        <w:rPr>
          <w:rFonts w:hint="cs"/>
          <w:rtl/>
        </w:rPr>
        <w:t xml:space="preserve">ی کار </w:t>
      </w:r>
      <w:r w:rsidRPr="0025250D">
        <w:rPr>
          <w:rtl/>
        </w:rPr>
        <w:t>آینده‌نگاری</w:t>
      </w:r>
      <w:r w:rsidRPr="0025250D">
        <w:rPr>
          <w:rFonts w:hint="cs"/>
          <w:rtl/>
        </w:rPr>
        <w:t xml:space="preserve"> (عمل تولید </w:t>
      </w:r>
      <w:r w:rsidR="00923DDB" w:rsidRPr="0025250D">
        <w:rPr>
          <w:rFonts w:hint="cs"/>
          <w:rtl/>
        </w:rPr>
        <w:t>کننده‌ای</w:t>
      </w:r>
      <w:r w:rsidRPr="0025250D">
        <w:rPr>
          <w:rtl/>
        </w:rPr>
        <w:t>نده‌نگاری</w:t>
      </w:r>
      <w:r w:rsidRPr="0025250D">
        <w:rPr>
          <w:rFonts w:hint="cs"/>
          <w:rtl/>
        </w:rPr>
        <w:t>) و سپس با بازبینی (بازخورد انتقادی) ادامه</w:t>
      </w:r>
      <w:r w:rsidRPr="0025250D">
        <w:rPr>
          <w:rFonts w:hint="cs"/>
        </w:rPr>
        <w:t>‌</w:t>
      </w:r>
      <w:r w:rsidRPr="0025250D">
        <w:rPr>
          <w:rFonts w:hint="cs"/>
          <w:rtl/>
        </w:rPr>
        <w:t xml:space="preserve"> می‌یابد که به تحقیقات جدید منجر</w:t>
      </w:r>
      <w:r w:rsidRPr="0025250D">
        <w:rPr>
          <w:rFonts w:hint="cs"/>
        </w:rPr>
        <w:t>‌</w:t>
      </w:r>
      <w:r w:rsidRPr="0025250D">
        <w:rPr>
          <w:rFonts w:hint="cs"/>
          <w:rtl/>
        </w:rPr>
        <w:t xml:space="preserve"> می‌شوند. در عمل، ما </w:t>
      </w:r>
      <w:r w:rsidRPr="0025250D">
        <w:t>SR</w:t>
      </w:r>
      <w:r w:rsidRPr="0025250D">
        <w:rPr>
          <w:rFonts w:hint="cs"/>
          <w:rtl/>
        </w:rPr>
        <w:t xml:space="preserve"> آخر را به این دلیل که این مراحل در درک </w:t>
      </w:r>
      <w:r w:rsidRPr="0025250D">
        <w:t>REOPS</w:t>
      </w:r>
      <w:r w:rsidRPr="0025250D">
        <w:rPr>
          <w:rFonts w:hint="cs"/>
          <w:rtl/>
        </w:rPr>
        <w:t xml:space="preserve"> به‌عنوان یک چرخه ضمنی هستند حذف</w:t>
      </w:r>
      <w:r w:rsidRPr="0025250D">
        <w:rPr>
          <w:rFonts w:hint="cs"/>
        </w:rPr>
        <w:t>‌</w:t>
      </w:r>
      <w:r w:rsidRPr="0025250D">
        <w:rPr>
          <w:rFonts w:hint="cs"/>
          <w:rtl/>
        </w:rPr>
        <w:t xml:space="preserve"> می‌کنیم.</w:t>
      </w:r>
    </w:p>
    <w:p w14:paraId="3B0B3A35" w14:textId="429B6AE1" w:rsidR="0020732A" w:rsidRPr="0025250D" w:rsidRDefault="000E42CA" w:rsidP="001312B6">
      <w:pPr>
        <w:jc w:val="center"/>
        <w:rPr>
          <w:rtl/>
        </w:rPr>
      </w:pPr>
      <w:r w:rsidRPr="0025250D">
        <w:rPr>
          <w:noProof/>
        </w:rPr>
        <w:drawing>
          <wp:inline distT="0" distB="0" distL="0" distR="0" wp14:anchorId="7F92F1FD" wp14:editId="4F08D27F">
            <wp:extent cx="3490622" cy="3129199"/>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3504393" cy="3141544"/>
                    </a:xfrm>
                    <a:prstGeom prst="rect">
                      <a:avLst/>
                    </a:prstGeom>
                    <a:noFill/>
                  </pic:spPr>
                </pic:pic>
              </a:graphicData>
            </a:graphic>
          </wp:inline>
        </w:drawing>
      </w:r>
    </w:p>
    <w:p w14:paraId="38C4D1B4" w14:textId="3796D9E7" w:rsidR="0020732A" w:rsidRPr="0025250D" w:rsidRDefault="0020732A" w:rsidP="0020732A">
      <w:pPr>
        <w:rPr>
          <w:rtl/>
        </w:rPr>
      </w:pPr>
      <w:r w:rsidRPr="0025250D">
        <w:rPr>
          <w:rFonts w:hint="cs"/>
          <w:rtl/>
        </w:rPr>
        <w:t xml:space="preserve">تا کنون یک نسخه ساده‌تر از چرخه </w:t>
      </w:r>
      <w:r w:rsidRPr="0025250D">
        <w:t>REOPS</w:t>
      </w:r>
      <w:r w:rsidRPr="0025250D">
        <w:rPr>
          <w:rFonts w:hint="cs"/>
          <w:rtl/>
        </w:rPr>
        <w:t xml:space="preserve"> را که در عمل در </w:t>
      </w:r>
      <w:r w:rsidRPr="0025250D">
        <w:rPr>
          <w:rtl/>
        </w:rPr>
        <w:t>آینده‌نگاری</w:t>
      </w:r>
      <w:r w:rsidRPr="0025250D">
        <w:rPr>
          <w:rFonts w:hint="cs"/>
          <w:rtl/>
        </w:rPr>
        <w:t xml:space="preserve"> </w:t>
      </w:r>
      <w:r w:rsidR="001A3F0A" w:rsidRPr="0025250D">
        <w:rPr>
          <w:rFonts w:hint="cs"/>
          <w:rtl/>
        </w:rPr>
        <w:t>فردی</w:t>
      </w:r>
      <w:r w:rsidRPr="0025250D">
        <w:rPr>
          <w:rFonts w:hint="cs"/>
          <w:rtl/>
        </w:rPr>
        <w:t xml:space="preserve"> مفید است، به نام تفکر </w:t>
      </w:r>
      <w:r w:rsidRPr="0025250D">
        <w:t>GRASP</w:t>
      </w:r>
      <w:r w:rsidRPr="0025250D">
        <w:rPr>
          <w:rFonts w:hint="cs"/>
          <w:rtl/>
        </w:rPr>
        <w:t xml:space="preserve"> معرفی کردیم. جدای از این‌که ترجیح</w:t>
      </w:r>
      <w:r w:rsidRPr="0025250D">
        <w:rPr>
          <w:rFonts w:hint="cs"/>
        </w:rPr>
        <w:t>‌</w:t>
      </w:r>
      <w:r w:rsidRPr="0025250D">
        <w:rPr>
          <w:rFonts w:hint="cs"/>
          <w:rtl/>
        </w:rPr>
        <w:t xml:space="preserve"> می‌دهیم از کدام یک از این </w:t>
      </w:r>
      <w:r w:rsidR="00B13F65" w:rsidRPr="0025250D">
        <w:rPr>
          <w:rFonts w:hint="cs"/>
          <w:rtl/>
        </w:rPr>
        <w:t>چارچوب</w:t>
      </w:r>
      <w:r w:rsidRPr="0025250D">
        <w:rPr>
          <w:rFonts w:hint="cs"/>
          <w:rtl/>
        </w:rPr>
        <w:t xml:space="preserve">‌های </w:t>
      </w:r>
      <w:r w:rsidRPr="0025250D">
        <w:rPr>
          <w:rtl/>
        </w:rPr>
        <w:t>آینده‌نگاری</w:t>
      </w:r>
      <w:r w:rsidRPr="0025250D">
        <w:rPr>
          <w:rFonts w:hint="cs"/>
          <w:rtl/>
        </w:rPr>
        <w:t xml:space="preserve"> استفاده کنیم، </w:t>
      </w:r>
      <w:r w:rsidRPr="0025250D">
        <w:t>REOPS</w:t>
      </w:r>
      <w:r w:rsidRPr="0025250D">
        <w:rPr>
          <w:rFonts w:hint="cs"/>
          <w:rtl/>
        </w:rPr>
        <w:t xml:space="preserve">، </w:t>
      </w:r>
      <w:r w:rsidRPr="0025250D">
        <w:t>GRASP</w:t>
      </w:r>
      <w:r w:rsidRPr="0025250D">
        <w:rPr>
          <w:rFonts w:hint="cs"/>
          <w:rtl/>
        </w:rPr>
        <w:t xml:space="preserve"> یا یک مورد دیگر، حلقه انجام به ما یادآوری</w:t>
      </w:r>
      <w:r w:rsidRPr="0025250D">
        <w:rPr>
          <w:rFonts w:hint="cs"/>
        </w:rPr>
        <w:t>‌</w:t>
      </w:r>
      <w:r w:rsidRPr="0025250D">
        <w:rPr>
          <w:rFonts w:hint="cs"/>
          <w:rtl/>
        </w:rPr>
        <w:t xml:space="preserve"> می‌کند که باید دائما </w:t>
      </w:r>
      <w:r w:rsidRPr="0025250D">
        <w:rPr>
          <w:rtl/>
        </w:rPr>
        <w:t>آینده‌نگاری</w:t>
      </w:r>
      <w:r w:rsidR="008D6F97" w:rsidRPr="0025250D">
        <w:rPr>
          <w:rtl/>
        </w:rPr>
        <w:t xml:space="preserve"> </w:t>
      </w:r>
      <w:r w:rsidRPr="0025250D">
        <w:rPr>
          <w:rFonts w:hint="cs"/>
          <w:rtl/>
        </w:rPr>
        <w:t xml:space="preserve">و عمل خود را تحت بازبینی انتقادی قرار دهیم. یک جامعه به اندازه کافی متنوع و تخصصی به شکل تغییر ناپذیری عقبگرد‌ها و </w:t>
      </w:r>
      <w:r w:rsidR="00B56611" w:rsidRPr="0025250D">
        <w:rPr>
          <w:rFonts w:hint="cs"/>
          <w:rtl/>
        </w:rPr>
        <w:t>چشم‌انداز</w:t>
      </w:r>
      <w:r w:rsidRPr="0025250D">
        <w:rPr>
          <w:rFonts w:hint="cs"/>
          <w:rtl/>
        </w:rPr>
        <w:t xml:space="preserve">‌های منفی احتمالی (موانع، تهدید‌ها، ریسک‌ها، </w:t>
      </w:r>
      <w:r w:rsidR="00D92F6E" w:rsidRPr="0025250D">
        <w:rPr>
          <w:rFonts w:hint="cs"/>
          <w:rtl/>
        </w:rPr>
        <w:t>بنیان‌افکن</w:t>
      </w:r>
      <w:r w:rsidRPr="0025250D">
        <w:rPr>
          <w:rFonts w:hint="cs"/>
          <w:rtl/>
        </w:rPr>
        <w:t xml:space="preserve">‌ها، </w:t>
      </w:r>
      <w:r w:rsidR="00923DDB" w:rsidRPr="0025250D">
        <w:rPr>
          <w:rFonts w:hint="cs"/>
          <w:rtl/>
        </w:rPr>
        <w:t>شگفتی‌ساز</w:t>
      </w:r>
      <w:r w:rsidRPr="0025250D">
        <w:rPr>
          <w:rFonts w:hint="cs"/>
          <w:rtl/>
        </w:rPr>
        <w:t xml:space="preserve">ها، ناشناخته‌ها و عدم قطعیت ها) را که در اولین ارزیابی مان ندیده بودیم و نقص‌های احتمالی دیگر برای </w:t>
      </w:r>
      <w:r w:rsidR="008F0DD8" w:rsidRPr="0025250D">
        <w:rPr>
          <w:rFonts w:hint="cs"/>
          <w:rtl/>
        </w:rPr>
        <w:t>برنامه‌ها</w:t>
      </w:r>
      <w:r w:rsidRPr="0025250D">
        <w:rPr>
          <w:rFonts w:hint="cs"/>
          <w:rtl/>
        </w:rPr>
        <w:t>یمان را به ما نشان خواهد داد. این بازخورد ما را دوباره به تحقیق بازخواهد گرداند و انتظارات، گزینه‌ها، اولویت‌ها و تحلیل عقبگرد ما را که سبب برنامه‌های بهتر و جدید</w:t>
      </w:r>
      <w:r w:rsidRPr="0025250D">
        <w:rPr>
          <w:rFonts w:hint="cs"/>
        </w:rPr>
        <w:t>‌</w:t>
      </w:r>
      <w:r w:rsidRPr="0025250D">
        <w:rPr>
          <w:rFonts w:hint="cs"/>
          <w:rtl/>
        </w:rPr>
        <w:t xml:space="preserve"> می‌شود، تغییر</w:t>
      </w:r>
      <w:r w:rsidRPr="0025250D">
        <w:rPr>
          <w:rFonts w:hint="cs"/>
        </w:rPr>
        <w:t>‌</w:t>
      </w:r>
      <w:r w:rsidRPr="0025250D">
        <w:rPr>
          <w:rFonts w:hint="cs"/>
          <w:rtl/>
        </w:rPr>
        <w:t xml:space="preserve"> می‌دهد.</w:t>
      </w:r>
    </w:p>
    <w:p w14:paraId="71ADC70C" w14:textId="4D76180A" w:rsidR="0020732A" w:rsidRPr="0025250D" w:rsidRDefault="0020732A" w:rsidP="0020732A">
      <w:pPr>
        <w:rPr>
          <w:rtl/>
        </w:rPr>
      </w:pPr>
      <w:r w:rsidRPr="0025250D">
        <w:rPr>
          <w:rFonts w:hint="cs"/>
          <w:rtl/>
        </w:rPr>
        <w:t>تصویر بالا به ما یادآوری</w:t>
      </w:r>
      <w:r w:rsidRPr="0025250D">
        <w:rPr>
          <w:rFonts w:hint="cs"/>
        </w:rPr>
        <w:t>‌</w:t>
      </w:r>
      <w:r w:rsidRPr="0025250D">
        <w:rPr>
          <w:rFonts w:hint="cs"/>
          <w:rtl/>
        </w:rPr>
        <w:t xml:space="preserve"> می‌کند که چرخه </w:t>
      </w:r>
      <w:r w:rsidRPr="0025250D">
        <w:t>REOPS</w:t>
      </w:r>
      <w:r w:rsidRPr="0025250D">
        <w:rPr>
          <w:rFonts w:hint="cs"/>
          <w:rtl/>
        </w:rPr>
        <w:t xml:space="preserve"> یادگیری گذشته و حال مرتبط با دامنه اقدام احتمالی ماست که با چهار </w:t>
      </w:r>
      <w:r w:rsidRPr="0025250D">
        <w:t>P</w:t>
      </w:r>
      <w:r w:rsidRPr="0025250D">
        <w:rPr>
          <w:rFonts w:hint="cs"/>
          <w:rtl/>
        </w:rPr>
        <w:t xml:space="preserve"> و سپس با اظهار و بازخورد در مورد </w:t>
      </w:r>
      <w:r w:rsidRPr="0025250D">
        <w:rPr>
          <w:rtl/>
        </w:rPr>
        <w:t>آینده‌نگاری</w:t>
      </w:r>
      <w:r w:rsidRPr="0025250D">
        <w:rPr>
          <w:rFonts w:hint="cs"/>
          <w:rtl/>
        </w:rPr>
        <w:t xml:space="preserve"> که</w:t>
      </w:r>
      <w:r w:rsidRPr="0025250D">
        <w:rPr>
          <w:rFonts w:hint="cs"/>
        </w:rPr>
        <w:t>‌</w:t>
      </w:r>
      <w:r w:rsidRPr="0025250D">
        <w:rPr>
          <w:rFonts w:hint="cs"/>
          <w:rtl/>
        </w:rPr>
        <w:t xml:space="preserve"> می‌توانیم ایجاد کنیم، ادامه</w:t>
      </w:r>
      <w:r w:rsidRPr="0025250D">
        <w:rPr>
          <w:rFonts w:hint="cs"/>
        </w:rPr>
        <w:t>‌</w:t>
      </w:r>
      <w:r w:rsidRPr="0025250D">
        <w:rPr>
          <w:rFonts w:hint="cs"/>
          <w:rtl/>
        </w:rPr>
        <w:t xml:space="preserve"> می‌یابد. </w:t>
      </w:r>
      <w:r w:rsidR="007118DE" w:rsidRPr="0025250D">
        <w:rPr>
          <w:rFonts w:hint="cs"/>
          <w:rtl/>
        </w:rPr>
        <w:t>همان‌طور</w:t>
      </w:r>
      <w:r w:rsidRPr="0025250D">
        <w:rPr>
          <w:rFonts w:hint="cs"/>
          <w:rtl/>
        </w:rPr>
        <w:t xml:space="preserve"> که تقابل </w:t>
      </w:r>
      <w:r w:rsidR="002B6515" w:rsidRPr="0025250D">
        <w:rPr>
          <w:rFonts w:hint="cs"/>
          <w:rtl/>
        </w:rPr>
        <w:t>حس‌داد</w:t>
      </w:r>
      <w:r w:rsidRPr="0025250D">
        <w:rPr>
          <w:rFonts w:hint="cs"/>
          <w:rtl/>
        </w:rPr>
        <w:t xml:space="preserve"> به ما</w:t>
      </w:r>
      <w:r w:rsidRPr="0025250D">
        <w:rPr>
          <w:rFonts w:hint="cs"/>
        </w:rPr>
        <w:t>‌</w:t>
      </w:r>
      <w:r w:rsidRPr="0025250D">
        <w:rPr>
          <w:rFonts w:hint="cs"/>
          <w:rtl/>
        </w:rPr>
        <w:t xml:space="preserve"> می‌گوید، کار </w:t>
      </w:r>
      <w:r w:rsidRPr="0025250D">
        <w:rPr>
          <w:rtl/>
        </w:rPr>
        <w:t>آینده‌نگاری</w:t>
      </w:r>
      <w:r w:rsidRPr="0025250D">
        <w:rPr>
          <w:rFonts w:hint="cs"/>
          <w:rtl/>
        </w:rPr>
        <w:t xml:space="preserve"> خوب با یک </w:t>
      </w:r>
      <w:r w:rsidR="00701E03" w:rsidRPr="0025250D">
        <w:rPr>
          <w:rFonts w:hint="cs"/>
          <w:rtl/>
        </w:rPr>
        <w:t>راهبرد</w:t>
      </w:r>
      <w:r w:rsidRPr="0025250D">
        <w:rPr>
          <w:rFonts w:hint="cs"/>
          <w:rtl/>
        </w:rPr>
        <w:t xml:space="preserve"> که هم فرصت‌های </w:t>
      </w:r>
      <w:r w:rsidR="00701E03" w:rsidRPr="0025250D">
        <w:rPr>
          <w:rFonts w:hint="cs"/>
          <w:rtl/>
        </w:rPr>
        <w:t>راهبردی</w:t>
      </w:r>
      <w:r w:rsidRPr="0025250D">
        <w:rPr>
          <w:rFonts w:hint="cs"/>
          <w:rtl/>
        </w:rPr>
        <w:t xml:space="preserve"> و هم بدبینی تدافعی را برای به حداکثر رساندن شانس موفقیت ما در نظر</w:t>
      </w:r>
      <w:r w:rsidRPr="0025250D">
        <w:rPr>
          <w:rFonts w:hint="cs"/>
        </w:rPr>
        <w:t>‌</w:t>
      </w:r>
      <w:r w:rsidRPr="0025250D">
        <w:rPr>
          <w:rFonts w:hint="cs"/>
          <w:rtl/>
        </w:rPr>
        <w:t xml:space="preserve"> می‌گیرد، پایان</w:t>
      </w:r>
      <w:r w:rsidRPr="0025250D">
        <w:rPr>
          <w:rFonts w:hint="cs"/>
        </w:rPr>
        <w:t>‌</w:t>
      </w:r>
      <w:r w:rsidRPr="0025250D">
        <w:rPr>
          <w:rFonts w:hint="cs"/>
          <w:rtl/>
        </w:rPr>
        <w:t xml:space="preserve"> می‌یابد.</w:t>
      </w:r>
    </w:p>
    <w:p w14:paraId="32B9FD57" w14:textId="7BE4CAA4" w:rsidR="0020732A" w:rsidRPr="0025250D" w:rsidRDefault="0020732A" w:rsidP="0020732A">
      <w:pPr>
        <w:rPr>
          <w:rtl/>
        </w:rPr>
      </w:pPr>
      <w:r w:rsidRPr="0025250D">
        <w:rPr>
          <w:rFonts w:hint="cs"/>
          <w:rtl/>
        </w:rPr>
        <w:t xml:space="preserve">در چرخه </w:t>
      </w:r>
      <w:r w:rsidRPr="0025250D">
        <w:t>REOPS</w:t>
      </w:r>
      <w:r w:rsidRPr="0025250D">
        <w:rPr>
          <w:rFonts w:hint="cs"/>
          <w:rtl/>
        </w:rPr>
        <w:t xml:space="preserve">، گام‌های تولید </w:t>
      </w:r>
      <w:r w:rsidRPr="0025250D">
        <w:rPr>
          <w:rtl/>
        </w:rPr>
        <w:t>آینده‌نگاری</w:t>
      </w:r>
      <w:r w:rsidRPr="0025250D">
        <w:rPr>
          <w:rFonts w:hint="cs"/>
          <w:rtl/>
        </w:rPr>
        <w:t xml:space="preserve"> ما از مهارت‌های </w:t>
      </w:r>
      <w:r w:rsidRPr="0025250D">
        <w:t>LAIS</w:t>
      </w:r>
      <w:r w:rsidRPr="0025250D">
        <w:rPr>
          <w:rFonts w:hint="cs"/>
          <w:rtl/>
        </w:rPr>
        <w:t xml:space="preserve"> (فصل 2) به علاوه تقابل </w:t>
      </w:r>
      <w:r w:rsidR="002B6515" w:rsidRPr="0025250D">
        <w:rPr>
          <w:rFonts w:hint="cs"/>
          <w:rtl/>
        </w:rPr>
        <w:t>حس‌داد</w:t>
      </w:r>
      <w:r w:rsidRPr="0025250D">
        <w:rPr>
          <w:rFonts w:hint="cs"/>
          <w:rtl/>
        </w:rPr>
        <w:t xml:space="preserve"> در قالب یک مخفف ساده برای به خاطر سپردن توسط مدیران، نامگذاری شده است. درست </w:t>
      </w:r>
      <w:r w:rsidR="007118DE" w:rsidRPr="0025250D">
        <w:rPr>
          <w:rFonts w:hint="cs"/>
          <w:rtl/>
        </w:rPr>
        <w:t>همان‌طور</w:t>
      </w:r>
      <w:r w:rsidRPr="0025250D">
        <w:rPr>
          <w:rFonts w:hint="cs"/>
          <w:rtl/>
        </w:rPr>
        <w:t xml:space="preserve"> که </w:t>
      </w:r>
      <w:r w:rsidRPr="0025250D">
        <w:t>GRASP</w:t>
      </w:r>
      <w:r w:rsidRPr="0025250D">
        <w:rPr>
          <w:rFonts w:hint="cs"/>
          <w:rtl/>
        </w:rPr>
        <w:t xml:space="preserve"> برای به خاطر سپاری و استفاده راحت است، </w:t>
      </w:r>
      <w:r w:rsidRPr="0025250D">
        <w:t>REOPS</w:t>
      </w:r>
      <w:r w:rsidRPr="0025250D">
        <w:rPr>
          <w:rFonts w:hint="cs"/>
          <w:rtl/>
        </w:rPr>
        <w:t xml:space="preserve"> یک کلمه اختصاری حقیقی است که برای توصیف </w:t>
      </w:r>
      <w:r w:rsidR="006335B8" w:rsidRPr="0025250D">
        <w:rPr>
          <w:rtl/>
        </w:rPr>
        <w:t>«</w:t>
      </w:r>
      <w:r w:rsidRPr="0025250D">
        <w:rPr>
          <w:rFonts w:hint="cs"/>
          <w:rtl/>
        </w:rPr>
        <w:t>ساز و کار‌های تکرارشونده</w:t>
      </w:r>
      <w:r w:rsidRPr="0025250D">
        <w:rPr>
          <w:vertAlign w:val="superscript"/>
          <w:rtl/>
        </w:rPr>
        <w:footnoteReference w:id="656"/>
      </w:r>
      <w:r w:rsidR="006335B8" w:rsidRPr="0025250D">
        <w:rPr>
          <w:rtl/>
        </w:rPr>
        <w:t>»</w:t>
      </w:r>
      <w:r w:rsidRPr="0025250D">
        <w:rPr>
          <w:rFonts w:hint="cs"/>
          <w:rtl/>
        </w:rPr>
        <w:t xml:space="preserve"> در جریان کار استفاده</w:t>
      </w:r>
      <w:r w:rsidRPr="0025250D">
        <w:rPr>
          <w:rFonts w:hint="cs"/>
        </w:rPr>
        <w:t>‌</w:t>
      </w:r>
      <w:r w:rsidRPr="0025250D">
        <w:rPr>
          <w:rFonts w:hint="cs"/>
          <w:rtl/>
        </w:rPr>
        <w:t xml:space="preserve"> می‌شود. </w:t>
      </w:r>
      <w:r w:rsidRPr="0025250D">
        <w:t>REOPS</w:t>
      </w:r>
      <w:r w:rsidRPr="0025250D">
        <w:rPr>
          <w:rFonts w:hint="cs"/>
          <w:rtl/>
        </w:rPr>
        <w:t xml:space="preserve"> به ما یادآوری</w:t>
      </w:r>
      <w:r w:rsidRPr="0025250D">
        <w:rPr>
          <w:rFonts w:hint="cs"/>
        </w:rPr>
        <w:t>‌</w:t>
      </w:r>
      <w:r w:rsidRPr="0025250D">
        <w:rPr>
          <w:rFonts w:hint="cs"/>
          <w:rtl/>
        </w:rPr>
        <w:t xml:space="preserve"> می‌کند که </w:t>
      </w:r>
      <w:r w:rsidRPr="0025250D">
        <w:rPr>
          <w:rtl/>
        </w:rPr>
        <w:t>آینده‌نگاری</w:t>
      </w:r>
      <w:r w:rsidRPr="0025250D">
        <w:rPr>
          <w:rFonts w:hint="cs"/>
          <w:rtl/>
        </w:rPr>
        <w:t xml:space="preserve"> خوب به چرخه‌های تکرار شونده (ساز و کارها) انجام، بیان و بازخورد </w:t>
      </w:r>
      <w:r w:rsidRPr="0025250D">
        <w:rPr>
          <w:rtl/>
        </w:rPr>
        <w:t>آینده‌نگاری</w:t>
      </w:r>
      <w:r w:rsidRPr="0025250D">
        <w:rPr>
          <w:rFonts w:hint="cs"/>
          <w:rtl/>
        </w:rPr>
        <w:t xml:space="preserve"> نیاز دارد. در فصل 2، ما </w:t>
      </w:r>
      <w:r w:rsidRPr="0025250D">
        <w:t>REOPS</w:t>
      </w:r>
      <w:r w:rsidRPr="0025250D">
        <w:rPr>
          <w:rFonts w:hint="cs"/>
          <w:rtl/>
        </w:rPr>
        <w:t xml:space="preserve"> را با چهار مهارت عملی برای </w:t>
      </w:r>
      <w:r w:rsidR="00B124DE" w:rsidRPr="0025250D">
        <w:rPr>
          <w:rFonts w:hint="cs"/>
          <w:rtl/>
        </w:rPr>
        <w:t>شکل‌دهی</w:t>
      </w:r>
      <w:r w:rsidRPr="0025250D">
        <w:rPr>
          <w:rFonts w:hint="cs"/>
          <w:rtl/>
        </w:rPr>
        <w:t xml:space="preserve"> هشت مهارت حلقه انجام، یک چرخه </w:t>
      </w:r>
      <w:r w:rsidRPr="0025250D">
        <w:rPr>
          <w:rtl/>
        </w:rPr>
        <w:t xml:space="preserve">آینده‌نگاری </w:t>
      </w:r>
      <w:r w:rsidRPr="0025250D">
        <w:rPr>
          <w:rFonts w:hint="cs"/>
          <w:rtl/>
        </w:rPr>
        <w:t xml:space="preserve">-عمل فراگیر، ترکیب خواهیم کرد. در فصل 3، این پنج گام تولید </w:t>
      </w:r>
      <w:r w:rsidRPr="0025250D">
        <w:rPr>
          <w:rtl/>
        </w:rPr>
        <w:t>آینده‌نگاری</w:t>
      </w:r>
      <w:r w:rsidRPr="0025250D">
        <w:rPr>
          <w:rFonts w:hint="cs"/>
          <w:rtl/>
        </w:rPr>
        <w:t xml:space="preserve"> را به هفت فعالیت یک متخصص </w:t>
      </w:r>
      <w:r w:rsidRPr="0025250D">
        <w:rPr>
          <w:rtl/>
        </w:rPr>
        <w:t>آینده‌نگاری</w:t>
      </w:r>
      <w:r w:rsidRPr="0025250D">
        <w:rPr>
          <w:rFonts w:hint="cs"/>
          <w:rtl/>
        </w:rPr>
        <w:t xml:space="preserve"> گسترش خواهیم داد. این هفت فعالیت پنج گام </w:t>
      </w:r>
      <w:r w:rsidRPr="0025250D">
        <w:t>REOPS</w:t>
      </w:r>
      <w:r w:rsidRPr="0025250D">
        <w:rPr>
          <w:rFonts w:hint="cs"/>
          <w:rtl/>
        </w:rPr>
        <w:t xml:space="preserve"> هستند که با استفاده از کارمان (عمل) و ارزیابی (بازبینی) نتایج آن دنبال</w:t>
      </w:r>
      <w:r w:rsidRPr="0025250D">
        <w:rPr>
          <w:rFonts w:hint="cs"/>
        </w:rPr>
        <w:t>‌</w:t>
      </w:r>
      <w:r w:rsidRPr="0025250D">
        <w:rPr>
          <w:rFonts w:hint="cs"/>
          <w:rtl/>
        </w:rPr>
        <w:t xml:space="preserve"> می‌شود.</w:t>
      </w:r>
    </w:p>
    <w:p w14:paraId="2438AE53" w14:textId="2AD076F8" w:rsidR="0020732A" w:rsidRPr="0025250D" w:rsidRDefault="0020732A" w:rsidP="0020732A">
      <w:pPr>
        <w:rPr>
          <w:rtl/>
        </w:rPr>
      </w:pPr>
      <w:r w:rsidRPr="0025250D">
        <w:rPr>
          <w:rFonts w:hint="cs"/>
          <w:rtl/>
        </w:rPr>
        <w:lastRenderedPageBreak/>
        <w:t xml:space="preserve">افراد مختلف در برخی از گام‌های </w:t>
      </w:r>
      <w:r w:rsidRPr="0025250D">
        <w:t>REOPS</w:t>
      </w:r>
      <w:r w:rsidRPr="0025250D">
        <w:rPr>
          <w:rFonts w:hint="cs"/>
          <w:rtl/>
        </w:rPr>
        <w:t xml:space="preserve"> بهتر از دیگران هستند. هر یک یا چند مورد از این گام‌ها</w:t>
      </w:r>
      <w:r w:rsidRPr="0025250D">
        <w:rPr>
          <w:rFonts w:hint="cs"/>
        </w:rPr>
        <w:t>‌</w:t>
      </w:r>
      <w:r w:rsidRPr="0025250D">
        <w:rPr>
          <w:rFonts w:hint="cs"/>
          <w:rtl/>
        </w:rPr>
        <w:t xml:space="preserve"> می‌توان</w:t>
      </w:r>
      <w:r w:rsidR="00274907" w:rsidRPr="0025250D">
        <w:rPr>
          <w:rFonts w:hint="cs"/>
          <w:rtl/>
        </w:rPr>
        <w:t>ن</w:t>
      </w:r>
      <w:r w:rsidRPr="0025250D">
        <w:rPr>
          <w:rFonts w:hint="cs"/>
          <w:rtl/>
        </w:rPr>
        <w:t>د توسط خودمان یا تیممان مورد بی توجهی قرار گیر</w:t>
      </w:r>
      <w:r w:rsidR="00274907" w:rsidRPr="0025250D">
        <w:rPr>
          <w:rFonts w:hint="cs"/>
          <w:rtl/>
        </w:rPr>
        <w:t>ن</w:t>
      </w:r>
      <w:r w:rsidRPr="0025250D">
        <w:rPr>
          <w:rFonts w:hint="cs"/>
          <w:rtl/>
        </w:rPr>
        <w:t>د. ما باید با این سوگیری بجنگیم. هر پنج گام مهم هستند. بهترین رهبران ترجیحات خود و دیگران را</w:t>
      </w:r>
      <w:r w:rsidRPr="0025250D">
        <w:rPr>
          <w:rFonts w:hint="cs"/>
        </w:rPr>
        <w:t>‌</w:t>
      </w:r>
      <w:r w:rsidRPr="0025250D">
        <w:rPr>
          <w:rFonts w:hint="cs"/>
          <w:rtl/>
        </w:rPr>
        <w:t xml:space="preserve"> می‌دانند و یاد</w:t>
      </w:r>
      <w:r w:rsidRPr="0025250D">
        <w:rPr>
          <w:rFonts w:hint="cs"/>
        </w:rPr>
        <w:t>‌</w:t>
      </w:r>
      <w:r w:rsidRPr="0025250D">
        <w:rPr>
          <w:rFonts w:hint="cs"/>
          <w:rtl/>
        </w:rPr>
        <w:t xml:space="preserve"> می‌گیرند که با تیم‌هایی که در این گام‌ها متوازن هستند برای ایجاد </w:t>
      </w:r>
      <w:r w:rsidR="00701E03" w:rsidRPr="0025250D">
        <w:rPr>
          <w:rFonts w:hint="cs"/>
          <w:rtl/>
        </w:rPr>
        <w:t>راهبرد</w:t>
      </w:r>
      <w:r w:rsidRPr="0025250D">
        <w:rPr>
          <w:rFonts w:hint="cs"/>
          <w:rtl/>
        </w:rPr>
        <w:t xml:space="preserve"> کار کنند. به طور مشابه، اگر یک فرد متخصص در عمل (بیان و اظهار کار خود) یا بازبینی (درخواست انتقادی) ضعیف باشد، حلقه‌های انجام آن‌ها در ریسک قرار دارند و ممکن است بهبود و ارتقاء متوقف شود.</w:t>
      </w:r>
    </w:p>
    <w:p w14:paraId="2D847714" w14:textId="7FA67EAA" w:rsidR="0020732A" w:rsidRPr="0025250D" w:rsidRDefault="0020732A" w:rsidP="0020732A">
      <w:pPr>
        <w:rPr>
          <w:rtl/>
        </w:rPr>
      </w:pPr>
      <w:r w:rsidRPr="0025250D">
        <w:rPr>
          <w:rFonts w:hint="cs"/>
          <w:rtl/>
        </w:rPr>
        <w:t xml:space="preserve">به طور خلاصه خواهیم دید که </w:t>
      </w:r>
      <w:r w:rsidR="00E46C90" w:rsidRPr="0025250D">
        <w:rPr>
          <w:rFonts w:hint="cs"/>
          <w:rtl/>
        </w:rPr>
        <w:t>سوگیری منفی‌نگر</w:t>
      </w:r>
      <w:r w:rsidRPr="0025250D">
        <w:rPr>
          <w:rFonts w:hint="cs"/>
          <w:rtl/>
        </w:rPr>
        <w:t xml:space="preserve"> (سوگیری </w:t>
      </w:r>
      <w:r w:rsidRPr="0025250D">
        <w:t>DROA</w:t>
      </w:r>
      <w:r w:rsidRPr="0025250D">
        <w:rPr>
          <w:rFonts w:hint="cs"/>
          <w:rtl/>
        </w:rPr>
        <w:t>) اغلب ما را به تفکر در مورد موارد منفی در ابتدا به شکلی پراکنده‌تر و بی فایده‌تر و سپس تفکر در مورد موارد مثبت، با زمان و انرژی اندک باقی مانده هدایت</w:t>
      </w:r>
      <w:r w:rsidRPr="0025250D">
        <w:rPr>
          <w:rFonts w:hint="cs"/>
        </w:rPr>
        <w:t>‌</w:t>
      </w:r>
      <w:r w:rsidRPr="0025250D">
        <w:rPr>
          <w:rFonts w:hint="cs"/>
          <w:rtl/>
        </w:rPr>
        <w:t xml:space="preserve"> می‌کند. اگر بخواهیم به اندازه کافی کنشگرانه عمل کنیم نه واکنشی، باید به‌صورت آگاهانه این ترتیب را معکوس کنیم. همچنین، سازمان‌های دارای قابلیت اطمینان بالا</w:t>
      </w:r>
      <w:r w:rsidRPr="0025250D">
        <w:rPr>
          <w:vertAlign w:val="superscript"/>
          <w:rtl/>
        </w:rPr>
        <w:footnoteReference w:id="657"/>
      </w:r>
      <w:r w:rsidRPr="0025250D">
        <w:rPr>
          <w:rFonts w:hint="cs"/>
          <w:rtl/>
        </w:rPr>
        <w:t xml:space="preserve"> (</w:t>
      </w:r>
      <w:r w:rsidRPr="0025250D">
        <w:t>HRO</w:t>
      </w:r>
      <w:r w:rsidRPr="0025250D">
        <w:rPr>
          <w:rFonts w:hint="cs"/>
          <w:rtl/>
        </w:rPr>
        <w:t xml:space="preserve"> ها) در صنایع دفاعی، امنیتی، دولتی، مراقبت‌های درمانی و دیگر صنایع برخی اوقات سه گام اول </w:t>
      </w:r>
      <w:r w:rsidRPr="0025250D">
        <w:t>REOPS</w:t>
      </w:r>
      <w:r w:rsidRPr="0025250D">
        <w:rPr>
          <w:rFonts w:hint="cs"/>
          <w:rtl/>
        </w:rPr>
        <w:t xml:space="preserve"> را برای رسیدن سریع به </w:t>
      </w:r>
      <w:r w:rsidR="006335B8" w:rsidRPr="0025250D">
        <w:rPr>
          <w:rtl/>
        </w:rPr>
        <w:t>«</w:t>
      </w:r>
      <w:r w:rsidRPr="0025250D">
        <w:rPr>
          <w:rFonts w:hint="cs"/>
          <w:rtl/>
        </w:rPr>
        <w:t>حوزه آشنای</w:t>
      </w:r>
      <w:r w:rsidRPr="0025250D">
        <w:rPr>
          <w:vertAlign w:val="superscript"/>
          <w:rtl/>
        </w:rPr>
        <w:footnoteReference w:id="658"/>
      </w:r>
      <w:r w:rsidR="006335B8" w:rsidRPr="0025250D">
        <w:rPr>
          <w:rtl/>
        </w:rPr>
        <w:t>»</w:t>
      </w:r>
      <w:r w:rsidRPr="0025250D">
        <w:rPr>
          <w:rFonts w:hint="cs"/>
          <w:rtl/>
        </w:rPr>
        <w:t xml:space="preserve"> اهداف، </w:t>
      </w:r>
      <w:r w:rsidR="00701E03" w:rsidRPr="0025250D">
        <w:rPr>
          <w:rFonts w:hint="cs"/>
          <w:rtl/>
        </w:rPr>
        <w:t>راهبرد</w:t>
      </w:r>
      <w:r w:rsidRPr="0025250D">
        <w:rPr>
          <w:rFonts w:hint="cs"/>
          <w:rtl/>
        </w:rPr>
        <w:t>‌ها و اقدامات مستحکم کوتاه</w:t>
      </w:r>
      <w:r w:rsidRPr="0025250D">
        <w:rPr>
          <w:rFonts w:hint="cs"/>
        </w:rPr>
        <w:t>‌</w:t>
      </w:r>
      <w:r w:rsidRPr="0025250D">
        <w:rPr>
          <w:rFonts w:hint="cs"/>
          <w:rtl/>
        </w:rPr>
        <w:t xml:space="preserve"> می‌کنند. در مقابل، </w:t>
      </w:r>
      <w:r w:rsidRPr="0025250D">
        <w:t>HRO</w:t>
      </w:r>
      <w:r w:rsidRPr="0025250D">
        <w:rPr>
          <w:rFonts w:hint="cs"/>
          <w:rtl/>
        </w:rPr>
        <w:t>‌ها ممکن است در ارزیابی تهدید‌ها و اجتناب از شکست گرفتار شوند و فرصت‌های دارای ریسک متعادل برای رشد را نبینند.</w:t>
      </w:r>
    </w:p>
    <w:p w14:paraId="4DD8F456" w14:textId="39AC441C" w:rsidR="0020732A" w:rsidRPr="0025250D" w:rsidRDefault="0020732A" w:rsidP="0020732A">
      <w:pPr>
        <w:rPr>
          <w:rtl/>
        </w:rPr>
      </w:pPr>
      <w:r w:rsidRPr="0025250D">
        <w:rPr>
          <w:rFonts w:hint="cs"/>
          <w:rtl/>
        </w:rPr>
        <w:t xml:space="preserve">برای بازبینی چرخه </w:t>
      </w:r>
      <w:r w:rsidRPr="0025250D">
        <w:t>REOPS</w:t>
      </w:r>
      <w:r w:rsidRPr="0025250D">
        <w:rPr>
          <w:rFonts w:hint="cs"/>
          <w:rtl/>
        </w:rPr>
        <w:t xml:space="preserve">، ایجاد </w:t>
      </w:r>
      <w:r w:rsidRPr="0025250D">
        <w:rPr>
          <w:rtl/>
        </w:rPr>
        <w:t>آینده‌نگاری</w:t>
      </w:r>
      <w:r w:rsidR="008D6F97" w:rsidRPr="0025250D">
        <w:rPr>
          <w:rtl/>
        </w:rPr>
        <w:t xml:space="preserve"> </w:t>
      </w:r>
      <w:r w:rsidRPr="0025250D">
        <w:rPr>
          <w:rFonts w:hint="cs"/>
          <w:rtl/>
        </w:rPr>
        <w:t>خوب اغلب:</w:t>
      </w:r>
    </w:p>
    <w:p w14:paraId="17225851" w14:textId="121A6951" w:rsidR="0020732A" w:rsidRPr="0025250D" w:rsidRDefault="0020732A" w:rsidP="00492C47">
      <w:pPr>
        <w:numPr>
          <w:ilvl w:val="0"/>
          <w:numId w:val="18"/>
        </w:numPr>
        <w:rPr>
          <w:rtl/>
        </w:rPr>
      </w:pPr>
      <w:r w:rsidRPr="0025250D">
        <w:rPr>
          <w:rFonts w:hint="cs"/>
          <w:rtl/>
        </w:rPr>
        <w:t>با تحقیق (یادگیری)،</w:t>
      </w:r>
      <w:r w:rsidR="006335B8" w:rsidRPr="0025250D">
        <w:rPr>
          <w:rtl/>
        </w:rPr>
        <w:t xml:space="preserve"> کشف</w:t>
      </w:r>
      <w:r w:rsidRPr="0025250D">
        <w:rPr>
          <w:rFonts w:hint="cs"/>
          <w:rtl/>
        </w:rPr>
        <w:t xml:space="preserve"> داده‌ها، روندها، مدل‌ها و متغیر‌های گذشته که به موضوع </w:t>
      </w:r>
      <w:r w:rsidRPr="0025250D">
        <w:rPr>
          <w:rtl/>
        </w:rPr>
        <w:t>آینده‌نگاری</w:t>
      </w:r>
      <w:r w:rsidRPr="0025250D">
        <w:rPr>
          <w:rFonts w:hint="cs"/>
          <w:rtl/>
        </w:rPr>
        <w:t xml:space="preserve"> ما مربوط هستند و تخمین شرایط فعلی مربوط به این عوامل آغاز خواهد شد. این چرخه از ما</w:t>
      </w:r>
      <w:r w:rsidRPr="0025250D">
        <w:rPr>
          <w:rFonts w:hint="cs"/>
        </w:rPr>
        <w:t>‌</w:t>
      </w:r>
      <w:r w:rsidRPr="0025250D">
        <w:rPr>
          <w:rFonts w:hint="cs"/>
          <w:rtl/>
        </w:rPr>
        <w:t xml:space="preserve"> می‌خواهد که موضوعی (یک مسئله، یا مشکل) را بررسی کرده و عوامل معمول همبسته را که بیش از همه بر آن تأثیر</w:t>
      </w:r>
      <w:r w:rsidRPr="0025250D">
        <w:rPr>
          <w:rFonts w:hint="cs"/>
        </w:rPr>
        <w:t>‌</w:t>
      </w:r>
      <w:r w:rsidRPr="0025250D">
        <w:rPr>
          <w:rFonts w:hint="cs"/>
          <w:rtl/>
        </w:rPr>
        <w:t xml:space="preserve"> می‌گذارند کشف کنیم. برای این‌که این کار را به خوبی انجام دهیم، ممکن است مجبور باشیم که از علوم مختلف کمک بگیریم و نگاهی گسترده و بلند به گذشته برای یافتن مدارکی برای مدل‌ها و فرضیه‌های خود داشته باشیم. ممکن است در صورتی که داده‌های مورد نیاز برای پاسخ دادن به یک پرسش را در اختیار نداشته باشیم نیاز داشته باشیم تا آزمایش‌هایی را انجام دهیم. در حین انجام تحقیق، </w:t>
      </w:r>
      <w:r w:rsidR="00701E03" w:rsidRPr="0025250D">
        <w:rPr>
          <w:rFonts w:hint="cs"/>
          <w:rtl/>
        </w:rPr>
        <w:t>راهبرد</w:t>
      </w:r>
      <w:r w:rsidRPr="0025250D">
        <w:rPr>
          <w:rFonts w:hint="cs"/>
          <w:rtl/>
        </w:rPr>
        <w:t xml:space="preserve">‌ها و </w:t>
      </w:r>
      <w:r w:rsidR="00923DDB" w:rsidRPr="0025250D">
        <w:rPr>
          <w:rFonts w:hint="cs"/>
          <w:rtl/>
        </w:rPr>
        <w:t>راه‌حل</w:t>
      </w:r>
      <w:r w:rsidRPr="0025250D">
        <w:rPr>
          <w:rFonts w:hint="cs"/>
          <w:rtl/>
        </w:rPr>
        <w:t xml:space="preserve">‌هایی را که از قبل در زمان حال یا گذشته وجود </w:t>
      </w:r>
      <w:r w:rsidR="00274907" w:rsidRPr="0025250D">
        <w:rPr>
          <w:rFonts w:hint="cs"/>
          <w:rtl/>
        </w:rPr>
        <w:t>داشته‌اند</w:t>
      </w:r>
      <w:r w:rsidRPr="0025250D">
        <w:rPr>
          <w:rFonts w:hint="cs"/>
          <w:rtl/>
        </w:rPr>
        <w:t>، کشف</w:t>
      </w:r>
      <w:r w:rsidRPr="0025250D">
        <w:rPr>
          <w:rFonts w:hint="cs"/>
        </w:rPr>
        <w:t>‌</w:t>
      </w:r>
      <w:r w:rsidRPr="0025250D">
        <w:rPr>
          <w:rFonts w:hint="cs"/>
          <w:rtl/>
        </w:rPr>
        <w:t xml:space="preserve"> می‌کنیم. اغلب، این مرحله را </w:t>
      </w:r>
      <w:r w:rsidR="00B0171C" w:rsidRPr="0025250D">
        <w:rPr>
          <w:rFonts w:hint="cs"/>
          <w:rtl/>
        </w:rPr>
        <w:t>به‌سادگی</w:t>
      </w:r>
      <w:r w:rsidRPr="0025250D">
        <w:rPr>
          <w:rFonts w:hint="cs"/>
          <w:rtl/>
        </w:rPr>
        <w:t xml:space="preserve"> تغییر</w:t>
      </w:r>
      <w:r w:rsidRPr="0025250D">
        <w:rPr>
          <w:rFonts w:hint="cs"/>
        </w:rPr>
        <w:t>‌</w:t>
      </w:r>
      <w:r w:rsidRPr="0025250D">
        <w:rPr>
          <w:rFonts w:hint="cs"/>
          <w:rtl/>
        </w:rPr>
        <w:t xml:space="preserve"> می‌دهیم و درگیر فرایندی کند‌تر، گرانقیمت‌تر و ضعیف‌تر، اصطلاحا </w:t>
      </w:r>
      <w:r w:rsidR="006335B8" w:rsidRPr="0025250D">
        <w:rPr>
          <w:rtl/>
        </w:rPr>
        <w:t>«</w:t>
      </w:r>
      <w:r w:rsidRPr="0025250D">
        <w:rPr>
          <w:rFonts w:hint="cs"/>
          <w:rtl/>
        </w:rPr>
        <w:t>اختراع دوباره چرخ</w:t>
      </w:r>
      <w:r w:rsidR="006335B8" w:rsidRPr="0025250D">
        <w:rPr>
          <w:rtl/>
        </w:rPr>
        <w:t>»</w:t>
      </w:r>
      <w:r w:rsidRPr="0025250D">
        <w:rPr>
          <w:rFonts w:hint="cs"/>
          <w:rtl/>
        </w:rPr>
        <w:t>،</w:t>
      </w:r>
      <w:r w:rsidRPr="0025250D">
        <w:rPr>
          <w:rFonts w:hint="cs"/>
        </w:rPr>
        <w:t>‌</w:t>
      </w:r>
      <w:r w:rsidRPr="0025250D">
        <w:rPr>
          <w:rFonts w:hint="cs"/>
          <w:rtl/>
        </w:rPr>
        <w:t xml:space="preserve"> می‌شویم. وقتی تحقیق اولیه خود را تکمیل نمودیم، میتوانیم از آن برای:</w:t>
      </w:r>
    </w:p>
    <w:p w14:paraId="1BA2E36F" w14:textId="7EB9E677" w:rsidR="0020732A" w:rsidRPr="0025250D" w:rsidRDefault="0020732A" w:rsidP="00492C47">
      <w:pPr>
        <w:numPr>
          <w:ilvl w:val="0"/>
          <w:numId w:val="18"/>
        </w:numPr>
      </w:pPr>
      <w:r w:rsidRPr="0025250D">
        <w:rPr>
          <w:rFonts w:hint="cs"/>
          <w:rtl/>
        </w:rPr>
        <w:t>توصیف آینده‌های مورد انتظار (</w:t>
      </w:r>
      <w:r w:rsidR="00FB6A7E" w:rsidRPr="0025250D">
        <w:rPr>
          <w:rFonts w:hint="cs"/>
          <w:rtl/>
        </w:rPr>
        <w:t>پیش‌نگری</w:t>
      </w:r>
      <w:r w:rsidRPr="0025250D">
        <w:rPr>
          <w:rFonts w:hint="cs"/>
          <w:rtl/>
        </w:rPr>
        <w:t xml:space="preserve"> موارد محتمل)، از جمله همگرایی‌ها، محدودیت‌ها، روند‌ها، </w:t>
      </w:r>
      <w:r w:rsidR="00D92F6E" w:rsidRPr="0025250D">
        <w:rPr>
          <w:rFonts w:hint="cs"/>
          <w:rtl/>
        </w:rPr>
        <w:t>پیش‌بین</w:t>
      </w:r>
      <w:r w:rsidRPr="0025250D">
        <w:rPr>
          <w:rFonts w:hint="cs"/>
          <w:rtl/>
        </w:rPr>
        <w:t xml:space="preserve">ی‌ها، شروط و </w:t>
      </w:r>
      <w:r w:rsidR="00F50EB4" w:rsidRPr="0025250D">
        <w:rPr>
          <w:rFonts w:hint="cs"/>
          <w:rtl/>
        </w:rPr>
        <w:t>سرمایه‌گذاری</w:t>
      </w:r>
      <w:r w:rsidRPr="0025250D">
        <w:rPr>
          <w:rFonts w:hint="cs"/>
          <w:rtl/>
        </w:rPr>
        <w:t xml:space="preserve">‌های مرتبط توسط رقبا و ذینفعان استفاده کنیم. این تنها آینده مورد انتظار یک رهبر یا یک سازمان نیست، بلکه آینده‌ای را که کار </w:t>
      </w:r>
      <w:r w:rsidRPr="0025250D">
        <w:rPr>
          <w:rtl/>
        </w:rPr>
        <w:t>آینده‌نگاری</w:t>
      </w:r>
      <w:r w:rsidRPr="0025250D">
        <w:rPr>
          <w:rFonts w:hint="cs"/>
          <w:rtl/>
        </w:rPr>
        <w:t xml:space="preserve"> ما محتمل بودن آن را نشان</w:t>
      </w:r>
      <w:r w:rsidRPr="0025250D">
        <w:rPr>
          <w:rFonts w:hint="cs"/>
        </w:rPr>
        <w:t>‌</w:t>
      </w:r>
      <w:r w:rsidRPr="0025250D">
        <w:rPr>
          <w:rFonts w:hint="cs"/>
          <w:rtl/>
        </w:rPr>
        <w:t xml:space="preserve"> می‌دهد نیز در بر</w:t>
      </w:r>
      <w:r w:rsidRPr="0025250D">
        <w:rPr>
          <w:rFonts w:hint="cs"/>
        </w:rPr>
        <w:t>‌</w:t>
      </w:r>
      <w:r w:rsidRPr="0025250D">
        <w:rPr>
          <w:rFonts w:hint="cs"/>
          <w:rtl/>
        </w:rPr>
        <w:t xml:space="preserve"> می‌گیرد، چه کارسپاران ما به‌صورت آگاهانه</w:t>
      </w:r>
      <w:r w:rsidR="008D6F97" w:rsidRPr="0025250D">
        <w:rPr>
          <w:rtl/>
        </w:rPr>
        <w:t xml:space="preserve"> </w:t>
      </w:r>
      <w:r w:rsidRPr="0025250D">
        <w:rPr>
          <w:rFonts w:hint="cs"/>
          <w:rtl/>
        </w:rPr>
        <w:t>انتظار آن را داشته باشند و چه نداشته باشند. یک چالش این گام تشخیص این است که چه مقدار از آینده را امروز</w:t>
      </w:r>
      <w:r w:rsidRPr="0025250D">
        <w:rPr>
          <w:rFonts w:hint="cs"/>
        </w:rPr>
        <w:t>‌</w:t>
      </w:r>
      <w:r w:rsidRPr="0025250D">
        <w:rPr>
          <w:rFonts w:hint="cs"/>
          <w:rtl/>
        </w:rPr>
        <w:t xml:space="preserve"> می‌توانیم در حقیقت به خوبی برآورد نماییم. دنیا و آینده‌های ما، بسیار قابل </w:t>
      </w:r>
      <w:r w:rsidR="00D92F6E" w:rsidRPr="0025250D">
        <w:rPr>
          <w:rFonts w:hint="cs"/>
          <w:rtl/>
        </w:rPr>
        <w:t>پیش‌بین</w:t>
      </w:r>
      <w:r w:rsidRPr="0025250D">
        <w:rPr>
          <w:rFonts w:hint="cs"/>
          <w:rtl/>
        </w:rPr>
        <w:t xml:space="preserve">ی‌تر از آن چیزی هستند که بسیاری از ما حاضر به پذیرش آن هستیم. تفکر </w:t>
      </w:r>
      <w:r w:rsidR="00923DDB" w:rsidRPr="0025250D">
        <w:rPr>
          <w:rFonts w:hint="cs"/>
          <w:rtl/>
        </w:rPr>
        <w:t>پیش‌انگاری</w:t>
      </w:r>
      <w:r w:rsidRPr="0025250D">
        <w:rPr>
          <w:rFonts w:hint="cs"/>
          <w:rtl/>
        </w:rPr>
        <w:t xml:space="preserve"> خوب ما را در </w:t>
      </w:r>
      <w:r w:rsidR="006335B8" w:rsidRPr="0025250D">
        <w:rPr>
          <w:rtl/>
        </w:rPr>
        <w:t>«</w:t>
      </w:r>
      <w:r w:rsidR="00B13F65" w:rsidRPr="0025250D">
        <w:rPr>
          <w:rFonts w:hint="cs"/>
          <w:rtl/>
        </w:rPr>
        <w:t>چارچوب</w:t>
      </w:r>
      <w:r w:rsidRPr="0025250D">
        <w:rPr>
          <w:rFonts w:hint="cs"/>
          <w:rtl/>
        </w:rPr>
        <w:t xml:space="preserve"> موارد محتمل</w:t>
      </w:r>
      <w:r w:rsidR="006335B8" w:rsidRPr="0025250D">
        <w:rPr>
          <w:rtl/>
        </w:rPr>
        <w:t>»</w:t>
      </w:r>
      <w:r w:rsidRPr="0025250D">
        <w:rPr>
          <w:rFonts w:hint="cs"/>
          <w:rtl/>
        </w:rPr>
        <w:t xml:space="preserve"> نگاه</w:t>
      </w:r>
      <w:r w:rsidRPr="0025250D">
        <w:rPr>
          <w:rFonts w:hint="cs"/>
        </w:rPr>
        <w:t>‌</w:t>
      </w:r>
      <w:r w:rsidRPr="0025250D">
        <w:rPr>
          <w:rFonts w:hint="cs"/>
          <w:rtl/>
        </w:rPr>
        <w:t xml:space="preserve"> می‌دارد. تحقیقات و انتظارات خوب ما را برای:</w:t>
      </w:r>
    </w:p>
    <w:p w14:paraId="52FBE227" w14:textId="0AF122BD" w:rsidR="0020732A" w:rsidRPr="0025250D" w:rsidRDefault="0020732A" w:rsidP="00492C47">
      <w:pPr>
        <w:numPr>
          <w:ilvl w:val="0"/>
          <w:numId w:val="18"/>
        </w:numPr>
      </w:pPr>
      <w:r w:rsidRPr="0025250D">
        <w:rPr>
          <w:rFonts w:hint="cs"/>
          <w:rtl/>
        </w:rPr>
        <w:t>تولید گزینه‌ها (تصور موارد ممکن)، جستجو برای گزینه‌ها، آزمایش‌ها، ایده‌ها و نوآوری‌های باورپذیر آماده</w:t>
      </w:r>
      <w:r w:rsidRPr="0025250D">
        <w:rPr>
          <w:rFonts w:hint="cs"/>
        </w:rPr>
        <w:t>‌</w:t>
      </w:r>
      <w:r w:rsidRPr="0025250D">
        <w:rPr>
          <w:rFonts w:hint="cs"/>
          <w:rtl/>
        </w:rPr>
        <w:t xml:space="preserve"> می‌کند. ما باید برخی موارد ممکن دارای احتمال کم اما با تأثیر مثبت زیاد را (</w:t>
      </w:r>
      <w:r w:rsidR="00923DDB" w:rsidRPr="0025250D">
        <w:rPr>
          <w:rFonts w:hint="cs"/>
          <w:rtl/>
        </w:rPr>
        <w:t>شگفتی‌ساز</w:t>
      </w:r>
      <w:r w:rsidRPr="0025250D">
        <w:rPr>
          <w:rFonts w:hint="cs"/>
          <w:rtl/>
        </w:rPr>
        <w:t>ها/ قو‌های سیاه) که</w:t>
      </w:r>
      <w:r w:rsidRPr="0025250D">
        <w:rPr>
          <w:rFonts w:hint="cs"/>
        </w:rPr>
        <w:t>‌</w:t>
      </w:r>
      <w:r w:rsidRPr="0025250D">
        <w:rPr>
          <w:rFonts w:hint="cs"/>
          <w:rtl/>
        </w:rPr>
        <w:t xml:space="preserve"> می‌توانند به ما برای تولید </w:t>
      </w:r>
      <w:r w:rsidR="00B56611" w:rsidRPr="0025250D">
        <w:rPr>
          <w:rFonts w:hint="cs"/>
          <w:rtl/>
        </w:rPr>
        <w:t>چشم‌انداز</w:t>
      </w:r>
      <w:r w:rsidRPr="0025250D">
        <w:rPr>
          <w:rFonts w:hint="cs"/>
          <w:rtl/>
        </w:rPr>
        <w:t>‌های جاه طلبانه‌تر کمک کنند، در نظر بگیریم. تحقیق (یادگیری) و انتظارات (</w:t>
      </w:r>
      <w:r w:rsidR="00923DDB" w:rsidRPr="0025250D">
        <w:rPr>
          <w:rFonts w:hint="cs"/>
          <w:rtl/>
        </w:rPr>
        <w:t>پیش‌انگاری</w:t>
      </w:r>
      <w:r w:rsidRPr="0025250D">
        <w:rPr>
          <w:rFonts w:hint="cs"/>
          <w:rtl/>
        </w:rPr>
        <w:t>) به شکل مفیدی تفکر ممکن</w:t>
      </w:r>
      <w:r w:rsidRPr="0025250D">
        <w:rPr>
          <w:vertAlign w:val="superscript"/>
          <w:rtl/>
        </w:rPr>
        <w:footnoteReference w:id="659"/>
      </w:r>
      <w:r w:rsidRPr="0025250D">
        <w:rPr>
          <w:rFonts w:hint="cs"/>
          <w:rtl/>
        </w:rPr>
        <w:t xml:space="preserve"> مثبتی را که باید </w:t>
      </w:r>
      <w:r w:rsidR="00274907" w:rsidRPr="0025250D">
        <w:rPr>
          <w:rFonts w:hint="cs"/>
          <w:rtl/>
        </w:rPr>
        <w:t>داشته باشیم</w:t>
      </w:r>
      <w:r w:rsidRPr="0025250D">
        <w:rPr>
          <w:rFonts w:hint="cs"/>
          <w:rtl/>
        </w:rPr>
        <w:t xml:space="preserve"> به‌صورت مفیدی محدود</w:t>
      </w:r>
      <w:r w:rsidRPr="0025250D">
        <w:rPr>
          <w:rFonts w:hint="cs"/>
        </w:rPr>
        <w:t>‌</w:t>
      </w:r>
      <w:r w:rsidRPr="0025250D">
        <w:rPr>
          <w:rFonts w:hint="cs"/>
          <w:rtl/>
        </w:rPr>
        <w:t xml:space="preserve"> می‌کنند. آن‌ها تخیل ما را مستحکم و متمرکز</w:t>
      </w:r>
      <w:r w:rsidRPr="0025250D">
        <w:rPr>
          <w:rFonts w:hint="cs"/>
        </w:rPr>
        <w:t>‌</w:t>
      </w:r>
      <w:r w:rsidRPr="0025250D">
        <w:rPr>
          <w:rFonts w:hint="cs"/>
          <w:rtl/>
        </w:rPr>
        <w:t xml:space="preserve"> می‌سازند. اگر این دو گام اول را انجام ندهیم، ممکن است </w:t>
      </w:r>
      <w:r w:rsidR="00B0171C" w:rsidRPr="0025250D">
        <w:rPr>
          <w:rFonts w:hint="cs"/>
          <w:rtl/>
        </w:rPr>
        <w:t>به‌سادگی</w:t>
      </w:r>
      <w:r w:rsidRPr="0025250D">
        <w:rPr>
          <w:rFonts w:hint="cs"/>
          <w:rtl/>
        </w:rPr>
        <w:t xml:space="preserve"> در حدس و گمان‌های غیر واقعی گم شویم، مانند بسیاری از فعالیت‌های آینده‌نگاری که امروزه انجام</w:t>
      </w:r>
      <w:r w:rsidRPr="0025250D">
        <w:rPr>
          <w:rFonts w:hint="cs"/>
        </w:rPr>
        <w:t>‌</w:t>
      </w:r>
      <w:r w:rsidRPr="0025250D">
        <w:rPr>
          <w:rFonts w:hint="cs"/>
          <w:rtl/>
        </w:rPr>
        <w:t xml:space="preserve"> می‌شوند. این سه گام ما را برای:</w:t>
      </w:r>
    </w:p>
    <w:p w14:paraId="241FE14A" w14:textId="1E674725" w:rsidR="0020732A" w:rsidRPr="0025250D" w:rsidRDefault="0020732A" w:rsidP="00492C47">
      <w:pPr>
        <w:numPr>
          <w:ilvl w:val="0"/>
          <w:numId w:val="18"/>
        </w:numPr>
      </w:pPr>
      <w:r w:rsidRPr="0025250D">
        <w:rPr>
          <w:rFonts w:hint="cs"/>
          <w:rtl/>
        </w:rPr>
        <w:t xml:space="preserve">همگرایی بر روی اولویت‌ها (انتخاب آینده‌های مرجح)، </w:t>
      </w:r>
      <w:r w:rsidR="0008779C" w:rsidRPr="0025250D">
        <w:rPr>
          <w:rFonts w:hint="cs"/>
          <w:rtl/>
        </w:rPr>
        <w:t>تصمیم‌گیری</w:t>
      </w:r>
      <w:r w:rsidRPr="0025250D">
        <w:rPr>
          <w:rFonts w:hint="cs"/>
          <w:rtl/>
        </w:rPr>
        <w:t xml:space="preserve"> در مورد اهداف، </w:t>
      </w:r>
      <w:r w:rsidR="00B56611" w:rsidRPr="0025250D">
        <w:rPr>
          <w:rFonts w:hint="cs"/>
          <w:rtl/>
        </w:rPr>
        <w:t>چشم‌انداز</w:t>
      </w:r>
      <w:r w:rsidRPr="0025250D">
        <w:rPr>
          <w:rFonts w:hint="cs"/>
          <w:rtl/>
        </w:rPr>
        <w:t xml:space="preserve">‌ها، فرصت‌ها، </w:t>
      </w:r>
      <w:r w:rsidR="00701E03" w:rsidRPr="0025250D">
        <w:rPr>
          <w:rFonts w:hint="cs"/>
          <w:rtl/>
        </w:rPr>
        <w:t>راهبرد</w:t>
      </w:r>
      <w:r w:rsidRPr="0025250D">
        <w:rPr>
          <w:rFonts w:hint="cs"/>
          <w:rtl/>
        </w:rPr>
        <w:t>‌ها و برنامه‌ها، درمیان همه گزینه‌های موجود</w:t>
      </w:r>
      <w:r w:rsidR="00274907" w:rsidRPr="0025250D">
        <w:rPr>
          <w:rFonts w:hint="cs"/>
          <w:rtl/>
        </w:rPr>
        <w:t xml:space="preserve"> را</w:t>
      </w:r>
      <w:r w:rsidRPr="0025250D">
        <w:rPr>
          <w:rFonts w:hint="cs"/>
          <w:rtl/>
        </w:rPr>
        <w:t xml:space="preserve"> آماده </w:t>
      </w:r>
      <w:r w:rsidR="00274907" w:rsidRPr="0025250D">
        <w:rPr>
          <w:rFonts w:hint="cs"/>
          <w:rtl/>
        </w:rPr>
        <w:t>می‌</w:t>
      </w:r>
      <w:r w:rsidRPr="0025250D">
        <w:rPr>
          <w:rFonts w:hint="cs"/>
          <w:rtl/>
        </w:rPr>
        <w:t xml:space="preserve">سازد. به طور مشخص اولویت‌ها </w:t>
      </w:r>
      <w:r w:rsidR="00B56611" w:rsidRPr="0025250D">
        <w:rPr>
          <w:rFonts w:hint="cs"/>
          <w:rtl/>
        </w:rPr>
        <w:t>چشم‌انداز</w:t>
      </w:r>
      <w:r w:rsidRPr="0025250D">
        <w:rPr>
          <w:rFonts w:hint="cs"/>
          <w:rtl/>
        </w:rPr>
        <w:t xml:space="preserve">‌های مشترک و انگیزشی از شرایط و حالاتی </w:t>
      </w:r>
      <w:r w:rsidRPr="0025250D">
        <w:rPr>
          <w:rFonts w:hint="cs"/>
          <w:rtl/>
        </w:rPr>
        <w:lastRenderedPageBreak/>
        <w:t>که</w:t>
      </w:r>
      <w:r w:rsidRPr="0025250D">
        <w:rPr>
          <w:rFonts w:hint="cs"/>
        </w:rPr>
        <w:t>‌</w:t>
      </w:r>
      <w:r w:rsidRPr="0025250D">
        <w:rPr>
          <w:rFonts w:hint="cs"/>
          <w:rtl/>
        </w:rPr>
        <w:t xml:space="preserve"> می‌خواهیم به آن‌ها برسیم و</w:t>
      </w:r>
      <w:r w:rsidR="008D6F97" w:rsidRPr="0025250D">
        <w:rPr>
          <w:rtl/>
        </w:rPr>
        <w:t xml:space="preserve"> </w:t>
      </w:r>
      <w:r w:rsidR="00701E03" w:rsidRPr="0025250D">
        <w:rPr>
          <w:rFonts w:hint="cs"/>
          <w:rtl/>
        </w:rPr>
        <w:t>راهبرد</w:t>
      </w:r>
      <w:r w:rsidRPr="0025250D">
        <w:rPr>
          <w:rFonts w:hint="cs"/>
          <w:rtl/>
        </w:rPr>
        <w:t>‌ها و برنامه‌هایی که</w:t>
      </w:r>
      <w:r w:rsidRPr="0025250D">
        <w:rPr>
          <w:rFonts w:hint="cs"/>
        </w:rPr>
        <w:t>‌</w:t>
      </w:r>
      <w:r w:rsidRPr="0025250D">
        <w:rPr>
          <w:rFonts w:hint="cs"/>
          <w:rtl/>
        </w:rPr>
        <w:t xml:space="preserve"> می‌توانند ما را به آنجا برسانند، هستند. اولویت‌ها، فرصت‌ها، اهداف و </w:t>
      </w:r>
      <w:r w:rsidR="00B56611" w:rsidRPr="0025250D">
        <w:rPr>
          <w:rFonts w:hint="cs"/>
          <w:rtl/>
        </w:rPr>
        <w:t>چشم‌انداز</w:t>
      </w:r>
      <w:r w:rsidRPr="0025250D">
        <w:rPr>
          <w:rFonts w:hint="cs"/>
          <w:rtl/>
        </w:rPr>
        <w:t>‌های منتخب ما را در مجموعه‌ای مشخص از نتایج مطلوب نگاه</w:t>
      </w:r>
      <w:r w:rsidRPr="0025250D">
        <w:rPr>
          <w:rFonts w:hint="cs"/>
        </w:rPr>
        <w:t>‌</w:t>
      </w:r>
      <w:r w:rsidRPr="0025250D">
        <w:rPr>
          <w:rFonts w:hint="cs"/>
          <w:rtl/>
        </w:rPr>
        <w:t xml:space="preserve"> می‌دارند. خوش‌بینی </w:t>
      </w:r>
      <w:r w:rsidR="00701E03" w:rsidRPr="0025250D">
        <w:rPr>
          <w:rFonts w:hint="cs"/>
          <w:rtl/>
        </w:rPr>
        <w:t>راهبردی</w:t>
      </w:r>
      <w:r w:rsidRPr="0025250D">
        <w:rPr>
          <w:rFonts w:hint="cs"/>
          <w:rtl/>
        </w:rPr>
        <w:t xml:space="preserve"> این گام ارزیابی فرصت، </w:t>
      </w:r>
      <w:r w:rsidR="007118DE" w:rsidRPr="0025250D">
        <w:rPr>
          <w:rFonts w:hint="cs"/>
          <w:rtl/>
        </w:rPr>
        <w:t>اولویت‌بندی</w:t>
      </w:r>
      <w:r w:rsidRPr="0025250D">
        <w:rPr>
          <w:rFonts w:hint="cs"/>
          <w:rtl/>
        </w:rPr>
        <w:t xml:space="preserve">، </w:t>
      </w:r>
      <w:r w:rsidR="0008779C" w:rsidRPr="0025250D">
        <w:rPr>
          <w:rFonts w:hint="cs"/>
          <w:rtl/>
        </w:rPr>
        <w:t>تصمیم‌گیری</w:t>
      </w:r>
      <w:r w:rsidRPr="0025250D">
        <w:rPr>
          <w:rFonts w:hint="cs"/>
          <w:rtl/>
        </w:rPr>
        <w:t xml:space="preserve"> و </w:t>
      </w:r>
      <w:r w:rsidR="00B124DE" w:rsidRPr="0025250D">
        <w:rPr>
          <w:rFonts w:hint="cs"/>
          <w:rtl/>
        </w:rPr>
        <w:t>برنامه‌ریزی</w:t>
      </w:r>
      <w:r w:rsidRPr="0025250D">
        <w:rPr>
          <w:rFonts w:hint="cs"/>
          <w:rtl/>
        </w:rPr>
        <w:t xml:space="preserve"> اولیه را هدایت</w:t>
      </w:r>
      <w:r w:rsidRPr="0025250D">
        <w:rPr>
          <w:rFonts w:hint="cs"/>
        </w:rPr>
        <w:t>‌</w:t>
      </w:r>
      <w:r w:rsidRPr="0025250D">
        <w:rPr>
          <w:rFonts w:hint="cs"/>
          <w:rtl/>
        </w:rPr>
        <w:t xml:space="preserve"> می‌کند. این چهار مرحله ما را برای:</w:t>
      </w:r>
    </w:p>
    <w:p w14:paraId="761295AB" w14:textId="0942A7CC" w:rsidR="0020732A" w:rsidRPr="0025250D" w:rsidRDefault="0020732A" w:rsidP="00492C47">
      <w:pPr>
        <w:numPr>
          <w:ilvl w:val="0"/>
          <w:numId w:val="18"/>
        </w:numPr>
        <w:rPr>
          <w:rtl/>
        </w:rPr>
      </w:pPr>
      <w:r w:rsidRPr="0025250D">
        <w:rPr>
          <w:rFonts w:hint="cs"/>
          <w:rtl/>
        </w:rPr>
        <w:t xml:space="preserve">در نظر گرفتن عقبگرد‌های (آینده‌های اجتناب پذیر باورپذیر) مربوط به اهداف و برنامه‌های </w:t>
      </w:r>
      <w:r w:rsidR="00701E03" w:rsidRPr="0025250D">
        <w:rPr>
          <w:rFonts w:hint="cs"/>
          <w:rtl/>
        </w:rPr>
        <w:t>راهبردی</w:t>
      </w:r>
      <w:r w:rsidRPr="0025250D">
        <w:rPr>
          <w:rFonts w:hint="cs"/>
          <w:rtl/>
        </w:rPr>
        <w:t xml:space="preserve"> مان آماده</w:t>
      </w:r>
      <w:r w:rsidRPr="0025250D">
        <w:rPr>
          <w:rFonts w:hint="cs"/>
        </w:rPr>
        <w:t>‌</w:t>
      </w:r>
      <w:r w:rsidRPr="0025250D">
        <w:rPr>
          <w:rFonts w:hint="cs"/>
          <w:rtl/>
        </w:rPr>
        <w:t xml:space="preserve"> می‌کنند. برای این گام، ما کلاه تفکر تدافعی خود را بر سر</w:t>
      </w:r>
      <w:r w:rsidRPr="0025250D">
        <w:rPr>
          <w:rFonts w:hint="cs"/>
        </w:rPr>
        <w:t>‌</w:t>
      </w:r>
      <w:r w:rsidRPr="0025250D">
        <w:rPr>
          <w:rFonts w:hint="cs"/>
          <w:rtl/>
        </w:rPr>
        <w:t xml:space="preserve"> می‌گذاریم و موانع، دام‌ها، تهدید‌ها، عدم قطعیت‌ها و برآمدهای منفی محتمل را تصور</w:t>
      </w:r>
      <w:r w:rsidRPr="0025250D">
        <w:rPr>
          <w:rFonts w:hint="cs"/>
        </w:rPr>
        <w:t>‌</w:t>
      </w:r>
      <w:r w:rsidRPr="0025250D">
        <w:rPr>
          <w:rFonts w:hint="cs"/>
          <w:rtl/>
        </w:rPr>
        <w:t xml:space="preserve"> می‌کنیم </w:t>
      </w:r>
      <w:r w:rsidRPr="0025250D">
        <w:rPr>
          <w:rFonts w:cs="Times New Roman" w:hint="cs"/>
          <w:rtl/>
        </w:rPr>
        <w:t>–</w:t>
      </w:r>
      <w:r w:rsidRPr="0025250D">
        <w:rPr>
          <w:rFonts w:hint="cs"/>
          <w:rtl/>
        </w:rPr>
        <w:t xml:space="preserve"> از جمله </w:t>
      </w:r>
      <w:r w:rsidR="00923DDB" w:rsidRPr="0025250D">
        <w:rPr>
          <w:rFonts w:hint="cs"/>
          <w:rtl/>
        </w:rPr>
        <w:t>شگفتی‌ساز</w:t>
      </w:r>
      <w:r w:rsidRPr="0025250D">
        <w:rPr>
          <w:rFonts w:hint="cs"/>
          <w:rtl/>
        </w:rPr>
        <w:t>های منفی (دارای تأثیر منفی بالا و احتمال کم) را که</w:t>
      </w:r>
      <w:r w:rsidRPr="0025250D">
        <w:rPr>
          <w:rFonts w:hint="cs"/>
        </w:rPr>
        <w:t>‌</w:t>
      </w:r>
      <w:r w:rsidRPr="0025250D">
        <w:rPr>
          <w:rFonts w:hint="cs"/>
          <w:rtl/>
        </w:rPr>
        <w:t xml:space="preserve"> می‌توانند در صورت بدشانسی یا مراقب نبودن ما را از خط خارج کنند. </w:t>
      </w:r>
      <w:r w:rsidR="00B56611" w:rsidRPr="0025250D">
        <w:rPr>
          <w:rFonts w:hint="cs"/>
          <w:rtl/>
        </w:rPr>
        <w:t>چشم‌انداز</w:t>
      </w:r>
      <w:r w:rsidRPr="0025250D">
        <w:rPr>
          <w:rFonts w:hint="cs"/>
          <w:rtl/>
        </w:rPr>
        <w:t>‌های منفی بهتر تصور شده ما را</w:t>
      </w:r>
      <w:r w:rsidRPr="0025250D">
        <w:rPr>
          <w:rFonts w:hint="cs"/>
        </w:rPr>
        <w:t>‌</w:t>
      </w:r>
      <w:r w:rsidRPr="0025250D">
        <w:rPr>
          <w:rFonts w:hint="cs"/>
          <w:rtl/>
        </w:rPr>
        <w:t xml:space="preserve"> می‌ترسانند و متعاقبا ما را به بازگشت به گام 1 برای انجام تحقیقات بیش‌تر بر روی مدارک یا مدل‌هایی که</w:t>
      </w:r>
      <w:r w:rsidRPr="0025250D">
        <w:rPr>
          <w:rFonts w:hint="cs"/>
        </w:rPr>
        <w:t>‌</w:t>
      </w:r>
      <w:r w:rsidRPr="0025250D">
        <w:rPr>
          <w:rFonts w:hint="cs"/>
          <w:rtl/>
        </w:rPr>
        <w:t xml:space="preserve"> می‌توانند ما را برای حل و فصل عدم قطعیت‌ها یا ابزارها یا </w:t>
      </w:r>
      <w:r w:rsidR="00701E03" w:rsidRPr="0025250D">
        <w:rPr>
          <w:rFonts w:hint="cs"/>
          <w:rtl/>
        </w:rPr>
        <w:t>راهبرد</w:t>
      </w:r>
      <w:r w:rsidRPr="0025250D">
        <w:rPr>
          <w:rFonts w:hint="cs"/>
          <w:rtl/>
        </w:rPr>
        <w:t>‌هایی که</w:t>
      </w:r>
      <w:r w:rsidRPr="0025250D">
        <w:rPr>
          <w:rFonts w:hint="cs"/>
        </w:rPr>
        <w:t>‌</w:t>
      </w:r>
      <w:r w:rsidRPr="0025250D">
        <w:rPr>
          <w:rFonts w:hint="cs"/>
          <w:rtl/>
        </w:rPr>
        <w:t xml:space="preserve"> می‌توانند به ما برای مدیریت تهدید‌های احتمالی کمک کنند،</w:t>
      </w:r>
      <w:r w:rsidR="008D6F97" w:rsidRPr="0025250D">
        <w:rPr>
          <w:rtl/>
        </w:rPr>
        <w:t xml:space="preserve"> </w:t>
      </w:r>
      <w:r w:rsidRPr="0025250D">
        <w:rPr>
          <w:rFonts w:hint="cs"/>
          <w:rtl/>
        </w:rPr>
        <w:t>تشویق</w:t>
      </w:r>
      <w:r w:rsidRPr="0025250D">
        <w:t>‌</w:t>
      </w:r>
      <w:r w:rsidRPr="0025250D">
        <w:rPr>
          <w:rtl/>
        </w:rPr>
        <w:t xml:space="preserve"> می‌</w:t>
      </w:r>
      <w:r w:rsidRPr="0025250D">
        <w:rPr>
          <w:rFonts w:hint="cs"/>
          <w:rtl/>
        </w:rPr>
        <w:t xml:space="preserve">نمایند. وقتی عقبگرد‌های متصور شده ما دیگر سبب شروع مجدد چرخه نشوند، آماده </w:t>
      </w:r>
      <w:r w:rsidR="00274907" w:rsidRPr="0025250D">
        <w:rPr>
          <w:rFonts w:hint="cs"/>
          <w:rtl/>
        </w:rPr>
        <w:t>به‌اشتراک‌گذار</w:t>
      </w:r>
      <w:r w:rsidRPr="0025250D">
        <w:rPr>
          <w:rFonts w:hint="cs"/>
          <w:rtl/>
        </w:rPr>
        <w:t xml:space="preserve">ی کار </w:t>
      </w:r>
      <w:r w:rsidRPr="0025250D">
        <w:rPr>
          <w:rtl/>
        </w:rPr>
        <w:t>آینده‌نگاری</w:t>
      </w:r>
      <w:r w:rsidRPr="0025250D">
        <w:rPr>
          <w:rFonts w:hint="cs"/>
          <w:rtl/>
        </w:rPr>
        <w:t xml:space="preserve"> خود و جستجو برای بازخورد از جامعه حیاتی خود خواهیم بود. وقتی نقد‌های متنوع و صادقانه آن‌ها از اولویت‌ها، </w:t>
      </w:r>
      <w:r w:rsidR="00701E03" w:rsidRPr="0025250D">
        <w:rPr>
          <w:rFonts w:hint="cs"/>
          <w:rtl/>
        </w:rPr>
        <w:t>راهبرد</w:t>
      </w:r>
      <w:r w:rsidRPr="0025250D">
        <w:rPr>
          <w:rFonts w:hint="cs"/>
          <w:rtl/>
        </w:rPr>
        <w:t>‌ها و برنامه‌های آزمایشی ما دیگر ما را به مرحله 1 باز نگردانند و یا وقتی تصمیم بگیریم که</w:t>
      </w:r>
      <w:r w:rsidRPr="0025250D">
        <w:rPr>
          <w:rFonts w:hint="cs"/>
        </w:rPr>
        <w:t>‌</w:t>
      </w:r>
      <w:r w:rsidRPr="0025250D">
        <w:rPr>
          <w:rFonts w:hint="cs"/>
          <w:rtl/>
        </w:rPr>
        <w:t xml:space="preserve"> می‌توانیم با آن‌ها کنار بیاییم، </w:t>
      </w:r>
      <w:r w:rsidRPr="0025250D">
        <w:rPr>
          <w:rtl/>
        </w:rPr>
        <w:t>آینده‌نگاری</w:t>
      </w:r>
      <w:r w:rsidRPr="0025250D">
        <w:rPr>
          <w:rFonts w:hint="cs"/>
          <w:rtl/>
        </w:rPr>
        <w:t xml:space="preserve"> خود را به عمل تبدیل</w:t>
      </w:r>
      <w:r w:rsidRPr="0025250D">
        <w:rPr>
          <w:rFonts w:hint="cs"/>
        </w:rPr>
        <w:t>‌</w:t>
      </w:r>
      <w:r w:rsidRPr="0025250D">
        <w:rPr>
          <w:rFonts w:hint="cs"/>
          <w:rtl/>
        </w:rPr>
        <w:t xml:space="preserve"> می‌کنیم.</w:t>
      </w:r>
    </w:p>
    <w:p w14:paraId="4204AD65" w14:textId="50B9495B" w:rsidR="0020732A" w:rsidRPr="0025250D" w:rsidRDefault="0020732A" w:rsidP="0020732A">
      <w:pPr>
        <w:rPr>
          <w:rtl/>
        </w:rPr>
      </w:pPr>
      <w:r w:rsidRPr="0025250D">
        <w:rPr>
          <w:rFonts w:hint="cs"/>
          <w:rtl/>
        </w:rPr>
        <w:t>مواقع زیادی هستند که تصمیم</w:t>
      </w:r>
      <w:r w:rsidRPr="0025250D">
        <w:rPr>
          <w:rFonts w:hint="cs"/>
        </w:rPr>
        <w:t>‌</w:t>
      </w:r>
      <w:r w:rsidRPr="0025250D">
        <w:rPr>
          <w:rFonts w:hint="cs"/>
          <w:rtl/>
        </w:rPr>
        <w:t xml:space="preserve"> می‌گیریم که گام‌های </w:t>
      </w:r>
      <w:r w:rsidRPr="0025250D">
        <w:t>REOPS</w:t>
      </w:r>
      <w:r w:rsidRPr="0025250D">
        <w:rPr>
          <w:rFonts w:hint="cs"/>
          <w:rtl/>
        </w:rPr>
        <w:t xml:space="preserve"> و مهارت‌های </w:t>
      </w:r>
      <w:r w:rsidRPr="0025250D">
        <w:t>LAIS</w:t>
      </w:r>
      <w:r w:rsidRPr="0025250D">
        <w:rPr>
          <w:rFonts w:hint="cs"/>
          <w:rtl/>
        </w:rPr>
        <w:t xml:space="preserve"> را به‌صورت غیرمتوالی طی کنیم</w:t>
      </w:r>
      <w:r w:rsidR="008D6F97" w:rsidRPr="0025250D">
        <w:rPr>
          <w:rtl/>
        </w:rPr>
        <w:t xml:space="preserve">؛ </w:t>
      </w:r>
      <w:r w:rsidRPr="0025250D">
        <w:rPr>
          <w:rFonts w:hint="cs"/>
          <w:rtl/>
        </w:rPr>
        <w:t xml:space="preserve">اما در آغاز کار </w:t>
      </w:r>
      <w:r w:rsidRPr="0025250D">
        <w:rPr>
          <w:rtl/>
        </w:rPr>
        <w:t>آینده‌نگاری</w:t>
      </w:r>
      <w:r w:rsidRPr="0025250D">
        <w:rPr>
          <w:rFonts w:hint="cs"/>
          <w:rtl/>
        </w:rPr>
        <w:t>، ترتیب این گام‌ها ما را به خوبی هدایت خواهند کرد. به یاد داشته باشید که بسیاری از مشتریان علاقه</w:t>
      </w:r>
      <w:r w:rsidR="00BB406C" w:rsidRPr="0025250D">
        <w:rPr>
          <w:rFonts w:hint="cs"/>
          <w:rtl/>
        </w:rPr>
        <w:t xml:space="preserve"> کم‌تر</w:t>
      </w:r>
      <w:r w:rsidRPr="0025250D">
        <w:rPr>
          <w:rFonts w:hint="cs"/>
          <w:rtl/>
        </w:rPr>
        <w:t xml:space="preserve">ی به سه مورد اول از گام‌های </w:t>
      </w:r>
      <w:r w:rsidRPr="0025250D">
        <w:t>REOPS</w:t>
      </w:r>
      <w:r w:rsidRPr="0025250D">
        <w:rPr>
          <w:rFonts w:hint="cs"/>
          <w:rtl/>
        </w:rPr>
        <w:t xml:space="preserve"> دارند. آن‌ها ممکن است انگیزه‌ای برای یادگیری از گذشته یا زمان حال مرتبط یا تفکر در مورد آینده‌های محتمل نداشته باشند. آن‌ها ممکن است تنها اندکی به کاوش آینده‌های ممکن علاقه داشته باشند. هر یک از این گام‌ها ممکن است از سوی کارسپارانی که</w:t>
      </w:r>
      <w:r w:rsidRPr="0025250D">
        <w:rPr>
          <w:rFonts w:hint="cs"/>
        </w:rPr>
        <w:t>‌</w:t>
      </w:r>
      <w:r w:rsidRPr="0025250D">
        <w:rPr>
          <w:rFonts w:hint="cs"/>
          <w:rtl/>
        </w:rPr>
        <w:t xml:space="preserve"> می‌خواهند به سرعت به </w:t>
      </w:r>
      <w:r w:rsidR="00701E03" w:rsidRPr="0025250D">
        <w:rPr>
          <w:rFonts w:hint="cs"/>
          <w:rtl/>
        </w:rPr>
        <w:t>راهبرد</w:t>
      </w:r>
      <w:r w:rsidRPr="0025250D">
        <w:rPr>
          <w:rFonts w:hint="cs"/>
          <w:rtl/>
        </w:rPr>
        <w:t xml:space="preserve"> (فرصت و خطر) و عمل برسند کم ارزش تلقی شوند. در میان سه گام اول </w:t>
      </w:r>
      <w:r w:rsidRPr="0025250D">
        <w:t>REOPS</w:t>
      </w:r>
      <w:r w:rsidRPr="0025250D">
        <w:rPr>
          <w:rFonts w:hint="cs"/>
          <w:rtl/>
        </w:rPr>
        <w:t xml:space="preserve">، </w:t>
      </w:r>
      <w:r w:rsidRPr="0025250D">
        <w:rPr>
          <w:rtl/>
        </w:rPr>
        <w:t>آینده‌نگاری</w:t>
      </w:r>
      <w:r w:rsidR="008D6F97" w:rsidRPr="0025250D">
        <w:rPr>
          <w:rtl/>
        </w:rPr>
        <w:t xml:space="preserve"> </w:t>
      </w:r>
      <w:r w:rsidRPr="0025250D">
        <w:rPr>
          <w:rFonts w:hint="cs"/>
          <w:rtl/>
        </w:rPr>
        <w:t>محتمل (</w:t>
      </w:r>
      <w:r w:rsidR="00923DDB" w:rsidRPr="0025250D">
        <w:rPr>
          <w:rFonts w:hint="cs"/>
          <w:rtl/>
        </w:rPr>
        <w:t>پیش‌انگاری</w:t>
      </w:r>
      <w:r w:rsidRPr="0025250D">
        <w:rPr>
          <w:rFonts w:hint="cs"/>
          <w:rtl/>
        </w:rPr>
        <w:t xml:space="preserve">، آینده مورد انتظار) معمولا بیش از همه هم در حرفه </w:t>
      </w:r>
      <w:r w:rsidRPr="0025250D">
        <w:rPr>
          <w:rtl/>
        </w:rPr>
        <w:t>آینده‌نگاری</w:t>
      </w:r>
      <w:r w:rsidRPr="0025250D">
        <w:rPr>
          <w:rFonts w:hint="cs"/>
          <w:rtl/>
        </w:rPr>
        <w:t xml:space="preserve"> و هم در فرهنگ‌های مدرن دست کم گرفته</w:t>
      </w:r>
      <w:r w:rsidRPr="0025250D">
        <w:rPr>
          <w:rFonts w:hint="cs"/>
        </w:rPr>
        <w:t>‌</w:t>
      </w:r>
      <w:r w:rsidRPr="0025250D">
        <w:rPr>
          <w:rFonts w:hint="cs"/>
          <w:rtl/>
        </w:rPr>
        <w:t xml:space="preserve"> می‌شود. ما در مورد این چالش</w:t>
      </w:r>
      <w:r w:rsidR="00274907" w:rsidRPr="0025250D">
        <w:rPr>
          <w:rFonts w:hint="cs"/>
          <w:rtl/>
        </w:rPr>
        <w:t xml:space="preserve"> با عنوان </w:t>
      </w:r>
      <w:r w:rsidRPr="0025250D">
        <w:rPr>
          <w:rFonts w:hint="cs"/>
          <w:rtl/>
        </w:rPr>
        <w:t>سوگیری آزادی</w:t>
      </w:r>
      <w:r w:rsidRPr="0025250D">
        <w:rPr>
          <w:vertAlign w:val="superscript"/>
          <w:rtl/>
        </w:rPr>
        <w:footnoteReference w:id="660"/>
      </w:r>
      <w:r w:rsidRPr="0025250D">
        <w:rPr>
          <w:rFonts w:hint="cs"/>
          <w:rtl/>
        </w:rPr>
        <w:t>، به طور خلاصه توضیح خواهیم داد.</w:t>
      </w:r>
    </w:p>
    <w:p w14:paraId="487CC14D" w14:textId="77777777" w:rsidR="0020732A" w:rsidRPr="0025250D" w:rsidRDefault="0020732A" w:rsidP="001312B6">
      <w:pPr>
        <w:pStyle w:val="Heading3"/>
        <w:rPr>
          <w:rtl/>
        </w:rPr>
      </w:pPr>
      <w:r w:rsidRPr="0025250D">
        <w:rPr>
          <w:rFonts w:hint="cs"/>
          <w:rtl/>
        </w:rPr>
        <w:t xml:space="preserve">تحلیل </w:t>
      </w:r>
      <w:r w:rsidRPr="0025250D">
        <w:t>ADOR</w:t>
      </w:r>
      <w:r w:rsidRPr="0025250D">
        <w:rPr>
          <w:rFonts w:hint="cs"/>
          <w:rtl/>
        </w:rPr>
        <w:t xml:space="preserve"> (</w:t>
      </w:r>
      <w:r w:rsidRPr="0025250D">
        <w:t>SWOT 2.0</w:t>
      </w:r>
      <w:r w:rsidRPr="0025250D">
        <w:rPr>
          <w:rFonts w:hint="cs"/>
          <w:rtl/>
        </w:rPr>
        <w:t>): تحلیل وظایف ساده</w:t>
      </w:r>
    </w:p>
    <w:p w14:paraId="751076FE" w14:textId="3634E08D" w:rsidR="0020732A" w:rsidRPr="0025250D" w:rsidRDefault="0020732A" w:rsidP="0020732A">
      <w:pPr>
        <w:rPr>
          <w:rtl/>
        </w:rPr>
      </w:pPr>
      <w:r w:rsidRPr="0025250D">
        <w:rPr>
          <w:rFonts w:hint="cs"/>
          <w:rtl/>
        </w:rPr>
        <w:t xml:space="preserve">تحلیل </w:t>
      </w:r>
      <w:r w:rsidRPr="0025250D">
        <w:t>ADOR</w:t>
      </w:r>
      <w:r w:rsidRPr="0025250D">
        <w:rPr>
          <w:rFonts w:hint="cs"/>
          <w:rtl/>
        </w:rPr>
        <w:t xml:space="preserve"> که توسط تیم ما در </w:t>
      </w:r>
      <w:r w:rsidRPr="0025250D">
        <w:t>4U</w:t>
      </w:r>
      <w:r w:rsidRPr="0025250D">
        <w:rPr>
          <w:rFonts w:hint="cs"/>
          <w:rtl/>
        </w:rPr>
        <w:t xml:space="preserve"> توسعه یافته است، یک </w:t>
      </w:r>
      <w:r w:rsidR="00B13F65" w:rsidRPr="0025250D">
        <w:rPr>
          <w:rFonts w:hint="cs"/>
          <w:rtl/>
        </w:rPr>
        <w:t>چارچوب</w:t>
      </w:r>
      <w:r w:rsidRPr="0025250D">
        <w:rPr>
          <w:rFonts w:hint="cs"/>
          <w:rtl/>
        </w:rPr>
        <w:t xml:space="preserve"> تقابل </w:t>
      </w:r>
      <w:r w:rsidR="002B6515" w:rsidRPr="0025250D">
        <w:rPr>
          <w:rFonts w:hint="cs"/>
          <w:rtl/>
        </w:rPr>
        <w:t>حس‌داد</w:t>
      </w:r>
      <w:r w:rsidRPr="0025250D">
        <w:rPr>
          <w:rFonts w:hint="cs"/>
          <w:rtl/>
        </w:rPr>
        <w:t xml:space="preserve"> برای تحلیل وظایف و ایجاد </w:t>
      </w:r>
      <w:r w:rsidR="00701E03" w:rsidRPr="0025250D">
        <w:rPr>
          <w:rFonts w:hint="cs"/>
          <w:rtl/>
        </w:rPr>
        <w:t>راهبرد</w:t>
      </w:r>
      <w:r w:rsidRPr="0025250D">
        <w:rPr>
          <w:rFonts w:hint="cs"/>
          <w:rtl/>
        </w:rPr>
        <w:t xml:space="preserve"> روزانه و سریع است.</w:t>
      </w:r>
    </w:p>
    <w:p w14:paraId="13B1EE2E" w14:textId="77777777" w:rsidR="0020732A" w:rsidRPr="0025250D" w:rsidRDefault="0020732A" w:rsidP="0020732A">
      <w:pPr>
        <w:rPr>
          <w:rtl/>
        </w:rPr>
      </w:pPr>
      <w:r w:rsidRPr="0025250D">
        <w:rPr>
          <w:rFonts w:hint="cs"/>
          <w:rtl/>
        </w:rPr>
        <w:t xml:space="preserve">تحلیل </w:t>
      </w:r>
      <w:r w:rsidRPr="0025250D">
        <w:t>ADOR</w:t>
      </w:r>
      <w:r w:rsidRPr="0025250D">
        <w:rPr>
          <w:rFonts w:hint="cs"/>
          <w:rtl/>
        </w:rPr>
        <w:t xml:space="preserve"> دو پرسش بنیادی (اهداف و مقاصد) از کار </w:t>
      </w:r>
      <w:r w:rsidRPr="0025250D">
        <w:rPr>
          <w:rtl/>
        </w:rPr>
        <w:t>آینده‌نگاری</w:t>
      </w:r>
      <w:r w:rsidRPr="0025250D">
        <w:rPr>
          <w:rFonts w:hint="cs"/>
          <w:rtl/>
        </w:rPr>
        <w:t xml:space="preserve"> که اولی فرصت طلبانه و دومی تدافعی است را پیشنهاد</w:t>
      </w:r>
      <w:r w:rsidRPr="0025250D">
        <w:rPr>
          <w:rFonts w:hint="cs"/>
        </w:rPr>
        <w:t>‌</w:t>
      </w:r>
      <w:r w:rsidRPr="0025250D">
        <w:rPr>
          <w:rFonts w:hint="cs"/>
          <w:rtl/>
        </w:rPr>
        <w:t xml:space="preserve"> می‌کند. هر یک از این دو پرسش اساسی</w:t>
      </w:r>
      <w:r w:rsidRPr="0025250D">
        <w:rPr>
          <w:rFonts w:hint="cs"/>
        </w:rPr>
        <w:t>‌</w:t>
      </w:r>
      <w:r w:rsidRPr="0025250D">
        <w:rPr>
          <w:rFonts w:hint="cs"/>
          <w:rtl/>
        </w:rPr>
        <w:t xml:space="preserve"> می‌توانند به شکل مفیدی به دو ارزیابی تقسیم شوند. دو ارزیابی اول تمرکز بیش‌تری بر محیط خارجی ما دارند و عمدتا از پویش محیطی</w:t>
      </w:r>
      <w:r w:rsidRPr="0025250D">
        <w:rPr>
          <w:vertAlign w:val="superscript"/>
          <w:rtl/>
        </w:rPr>
        <w:footnoteReference w:id="661"/>
      </w:r>
      <w:r w:rsidRPr="0025250D">
        <w:rPr>
          <w:rFonts w:hint="cs"/>
          <w:rtl/>
        </w:rPr>
        <w:t xml:space="preserve"> برای انجام آنها بهره خواهیم گرفت. دو ارزیابی دوم تمرکز بیش‌تری بر خودمان، تیممان و سازمانمان دارند و باید از هر دو تحلیل داخلی و خارجی برای پاسخ به آن‌ها استفاده کنیم.</w:t>
      </w:r>
    </w:p>
    <w:p w14:paraId="2C0B1096" w14:textId="4515BC28" w:rsidR="0020732A" w:rsidRPr="0025250D" w:rsidRDefault="0020732A" w:rsidP="0020732A">
      <w:pPr>
        <w:rPr>
          <w:rtl/>
        </w:rPr>
      </w:pPr>
      <w:r w:rsidRPr="0025250D">
        <w:rPr>
          <w:rFonts w:hint="cs"/>
          <w:rtl/>
        </w:rPr>
        <w:t xml:space="preserve">به طور خلاصه در تحلیل </w:t>
      </w:r>
      <w:r w:rsidRPr="0025250D">
        <w:t>ADOR</w:t>
      </w:r>
      <w:r w:rsidRPr="0025250D">
        <w:rPr>
          <w:rFonts w:hint="cs"/>
          <w:rtl/>
        </w:rPr>
        <w:t xml:space="preserve">، پرسش اولی که همه ما به دنبال پاسخ دادن به آن با استفاده از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هستیم این است:</w:t>
      </w:r>
    </w:p>
    <w:p w14:paraId="3F8814F9" w14:textId="63D13C2A" w:rsidR="0020732A" w:rsidRPr="0025250D" w:rsidRDefault="0020732A" w:rsidP="00492C47">
      <w:pPr>
        <w:numPr>
          <w:ilvl w:val="0"/>
          <w:numId w:val="19"/>
        </w:numPr>
      </w:pPr>
      <w:r w:rsidRPr="0025250D">
        <w:rPr>
          <w:rFonts w:hint="cs"/>
          <w:b/>
          <w:bCs/>
          <w:rtl/>
        </w:rPr>
        <w:t xml:space="preserve">بهترین راه </w:t>
      </w:r>
      <w:r w:rsidR="00AE5BE0" w:rsidRPr="0025250D">
        <w:rPr>
          <w:rFonts w:hint="cs"/>
          <w:b/>
          <w:bCs/>
          <w:rtl/>
        </w:rPr>
        <w:t>انطباق</w:t>
      </w:r>
      <w:r w:rsidRPr="0025250D">
        <w:rPr>
          <w:rFonts w:hint="cs"/>
          <w:b/>
          <w:bCs/>
          <w:rtl/>
        </w:rPr>
        <w:t xml:space="preserve"> و پیشرفت کدام است؟</w:t>
      </w:r>
    </w:p>
    <w:p w14:paraId="62995D10" w14:textId="4CE2AB09" w:rsidR="0020732A" w:rsidRPr="0025250D" w:rsidRDefault="0020732A" w:rsidP="0020732A">
      <w:pPr>
        <w:rPr>
          <w:rtl/>
        </w:rPr>
      </w:pPr>
      <w:r w:rsidRPr="0025250D">
        <w:rPr>
          <w:rFonts w:hint="cs"/>
          <w:rtl/>
        </w:rPr>
        <w:t>این پرسش</w:t>
      </w:r>
      <w:r w:rsidRPr="0025250D">
        <w:rPr>
          <w:rFonts w:hint="cs"/>
        </w:rPr>
        <w:t>‌</w:t>
      </w:r>
      <w:r w:rsidRPr="0025250D">
        <w:rPr>
          <w:rFonts w:hint="cs"/>
          <w:rtl/>
        </w:rPr>
        <w:t xml:space="preserve"> می‌تواند با دو ارزیابی مدیریت شود: ارزیابی مزیت</w:t>
      </w:r>
      <w:r w:rsidRPr="0025250D">
        <w:rPr>
          <w:vertAlign w:val="superscript"/>
          <w:rtl/>
        </w:rPr>
        <w:footnoteReference w:id="662"/>
      </w:r>
      <w:r w:rsidRPr="0025250D">
        <w:rPr>
          <w:rFonts w:hint="cs"/>
          <w:rtl/>
        </w:rPr>
        <w:t xml:space="preserve"> و ارزیابی فرصت</w:t>
      </w:r>
      <w:r w:rsidRPr="0025250D">
        <w:rPr>
          <w:vertAlign w:val="superscript"/>
          <w:rtl/>
        </w:rPr>
        <w:footnoteReference w:id="663"/>
      </w:r>
      <w:r w:rsidRPr="0025250D">
        <w:rPr>
          <w:rFonts w:hint="cs"/>
          <w:rtl/>
        </w:rPr>
        <w:t>.</w:t>
      </w:r>
    </w:p>
    <w:p w14:paraId="30940907" w14:textId="2EC848F8" w:rsidR="0020732A" w:rsidRPr="0025250D" w:rsidRDefault="0020732A" w:rsidP="00492C47">
      <w:pPr>
        <w:numPr>
          <w:ilvl w:val="0"/>
          <w:numId w:val="20"/>
        </w:numPr>
      </w:pPr>
      <w:r w:rsidRPr="0025250D">
        <w:rPr>
          <w:rFonts w:hint="cs"/>
          <w:b/>
          <w:bCs/>
          <w:rtl/>
        </w:rPr>
        <w:lastRenderedPageBreak/>
        <w:t>مزیت</w:t>
      </w:r>
      <w:r w:rsidRPr="0025250D">
        <w:rPr>
          <w:b/>
          <w:bCs/>
          <w:vertAlign w:val="superscript"/>
          <w:rtl/>
        </w:rPr>
        <w:footnoteReference w:id="664"/>
      </w:r>
      <w:r w:rsidRPr="0025250D">
        <w:rPr>
          <w:rFonts w:hint="cs"/>
          <w:rtl/>
        </w:rPr>
        <w:t xml:space="preserve"> به تعریف و اندازه گیری منافع، محک‌ها، پیشرفت، تغییرات مفید یا بهبود در محیط ما </w:t>
      </w:r>
      <w:r w:rsidRPr="0025250D">
        <w:rPr>
          <w:rFonts w:cs="Times New Roman" w:hint="cs"/>
          <w:rtl/>
        </w:rPr>
        <w:t>–</w:t>
      </w:r>
      <w:r w:rsidRPr="0025250D">
        <w:rPr>
          <w:rFonts w:hint="cs"/>
          <w:rtl/>
        </w:rPr>
        <w:t xml:space="preserve"> هم در میان رقبا و هم همکاران بالقوه ما - یک شکل کلیدی از یادگیری هدایت شده که</w:t>
      </w:r>
      <w:r w:rsidRPr="0025250D">
        <w:rPr>
          <w:rFonts w:hint="cs"/>
        </w:rPr>
        <w:t>‌</w:t>
      </w:r>
      <w:r w:rsidRPr="0025250D">
        <w:rPr>
          <w:rFonts w:hint="cs"/>
          <w:rtl/>
        </w:rPr>
        <w:t xml:space="preserve"> می‌توانیم از آن به‌عنوان درونداد برای </w:t>
      </w:r>
      <w:r w:rsidR="00701E03" w:rsidRPr="0025250D">
        <w:rPr>
          <w:rFonts w:hint="cs"/>
          <w:rtl/>
        </w:rPr>
        <w:t>راهبرد</w:t>
      </w:r>
      <w:r w:rsidRPr="0025250D">
        <w:rPr>
          <w:rFonts w:hint="cs"/>
          <w:rtl/>
        </w:rPr>
        <w:t>‌های خود استفاده کنیم، مرتبط است.</w:t>
      </w:r>
    </w:p>
    <w:p w14:paraId="3A2B1FB2" w14:textId="73A383A9" w:rsidR="0020732A" w:rsidRPr="0025250D" w:rsidRDefault="0020732A" w:rsidP="00492C47">
      <w:pPr>
        <w:numPr>
          <w:ilvl w:val="0"/>
          <w:numId w:val="13"/>
        </w:numPr>
      </w:pPr>
      <w:r w:rsidRPr="0025250D">
        <w:rPr>
          <w:rFonts w:hint="cs"/>
          <w:b/>
          <w:bCs/>
          <w:rtl/>
        </w:rPr>
        <w:t>فرصت</w:t>
      </w:r>
      <w:r w:rsidRPr="0025250D">
        <w:rPr>
          <w:rFonts w:hint="cs"/>
          <w:rtl/>
        </w:rPr>
        <w:t xml:space="preserve"> تشخیص </w:t>
      </w:r>
      <w:r w:rsidR="00701E03" w:rsidRPr="0025250D">
        <w:rPr>
          <w:rFonts w:hint="cs"/>
          <w:rtl/>
        </w:rPr>
        <w:t>راهبرد</w:t>
      </w:r>
      <w:r w:rsidRPr="0025250D">
        <w:rPr>
          <w:rFonts w:hint="cs"/>
          <w:rtl/>
        </w:rPr>
        <w:t>‌ها، نوآوری‌ها، آزمایش‌ها و رفتارهای ب</w:t>
      </w:r>
      <w:r w:rsidR="00274907" w:rsidRPr="0025250D">
        <w:rPr>
          <w:rFonts w:hint="cs"/>
          <w:rtl/>
        </w:rPr>
        <w:t>ا</w:t>
      </w:r>
      <w:r w:rsidRPr="0025250D">
        <w:rPr>
          <w:rFonts w:hint="cs"/>
          <w:rtl/>
        </w:rPr>
        <w:t>لقوه خوب برای ما است. فرصت‌ها</w:t>
      </w:r>
      <w:r w:rsidRPr="0025250D">
        <w:rPr>
          <w:rFonts w:hint="cs"/>
        </w:rPr>
        <w:t>‌</w:t>
      </w:r>
      <w:r w:rsidRPr="0025250D">
        <w:rPr>
          <w:rFonts w:hint="cs"/>
          <w:rtl/>
        </w:rPr>
        <w:t xml:space="preserve"> می‌توانند هم در تجمیع منافع و هم در کاهش ریسک وجود داشته باشند و اغلب به </w:t>
      </w:r>
      <w:r w:rsidR="00D92F6E" w:rsidRPr="0025250D">
        <w:rPr>
          <w:rFonts w:hint="cs"/>
          <w:rtl/>
        </w:rPr>
        <w:t>بنیان‌افکن</w:t>
      </w:r>
      <w:r w:rsidRPr="0025250D">
        <w:rPr>
          <w:rFonts w:hint="cs"/>
          <w:rtl/>
        </w:rPr>
        <w:t>‌ها که اکنون در اطراف ما در حال وقوع هستند مرتبط</w:t>
      </w:r>
      <w:r w:rsidRPr="0025250D">
        <w:rPr>
          <w:rFonts w:hint="cs"/>
        </w:rPr>
        <w:t>‌</w:t>
      </w:r>
      <w:r w:rsidRPr="0025250D">
        <w:rPr>
          <w:rFonts w:hint="cs"/>
          <w:rtl/>
        </w:rPr>
        <w:t xml:space="preserve"> می‌باشند.</w:t>
      </w:r>
    </w:p>
    <w:p w14:paraId="236BB473" w14:textId="54A41D9F" w:rsidR="0020732A" w:rsidRPr="0025250D" w:rsidRDefault="0020732A" w:rsidP="0020732A">
      <w:pPr>
        <w:rPr>
          <w:rtl/>
        </w:rPr>
      </w:pPr>
      <w:r w:rsidRPr="0025250D">
        <w:rPr>
          <w:rFonts w:hint="cs"/>
          <w:rtl/>
        </w:rPr>
        <w:t xml:space="preserve">پرسش دومی که همه ما برای پاسخ به آن باید از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استفاده کنیم این است که:</w:t>
      </w:r>
    </w:p>
    <w:p w14:paraId="75F66FDF" w14:textId="4FF19780" w:rsidR="0020732A" w:rsidRPr="0025250D" w:rsidRDefault="0020732A" w:rsidP="00492C47">
      <w:pPr>
        <w:numPr>
          <w:ilvl w:val="0"/>
          <w:numId w:val="19"/>
        </w:numPr>
      </w:pPr>
      <w:r w:rsidRPr="0025250D">
        <w:rPr>
          <w:rFonts w:hint="cs"/>
          <w:b/>
          <w:bCs/>
          <w:rtl/>
        </w:rPr>
        <w:t>چه چیزی</w:t>
      </w:r>
      <w:r w:rsidRPr="0025250D">
        <w:rPr>
          <w:rFonts w:hint="cs"/>
          <w:b/>
          <w:bCs/>
        </w:rPr>
        <w:t>‌</w:t>
      </w:r>
      <w:r w:rsidRPr="0025250D">
        <w:rPr>
          <w:rFonts w:hint="cs"/>
          <w:b/>
          <w:bCs/>
          <w:rtl/>
        </w:rPr>
        <w:t xml:space="preserve"> می‌تواند به ما آسیب زده یا </w:t>
      </w:r>
      <w:r w:rsidR="00D92F6E" w:rsidRPr="0025250D">
        <w:rPr>
          <w:rFonts w:hint="cs"/>
          <w:b/>
          <w:bCs/>
          <w:rtl/>
        </w:rPr>
        <w:t>بنیان‌افکن</w:t>
      </w:r>
      <w:r w:rsidRPr="0025250D">
        <w:rPr>
          <w:rFonts w:hint="cs"/>
          <w:b/>
          <w:bCs/>
          <w:rtl/>
        </w:rPr>
        <w:t>ی نماید؟</w:t>
      </w:r>
    </w:p>
    <w:p w14:paraId="0A2EC4E3" w14:textId="01E0893B" w:rsidR="0020732A" w:rsidRPr="0025250D" w:rsidRDefault="0020732A" w:rsidP="0020732A">
      <w:pPr>
        <w:rPr>
          <w:rtl/>
        </w:rPr>
      </w:pPr>
      <w:r w:rsidRPr="0025250D">
        <w:rPr>
          <w:rFonts w:hint="cs"/>
          <w:rtl/>
        </w:rPr>
        <w:t>این پرسش نیز</w:t>
      </w:r>
      <w:r w:rsidRPr="0025250D">
        <w:rPr>
          <w:rFonts w:hint="cs"/>
        </w:rPr>
        <w:t>‌</w:t>
      </w:r>
      <w:r w:rsidRPr="0025250D">
        <w:rPr>
          <w:rFonts w:hint="cs"/>
          <w:rtl/>
        </w:rPr>
        <w:t xml:space="preserve"> می‌تواند با دو ارزیابی مدیریت شود: ارزیابی </w:t>
      </w:r>
      <w:r w:rsidR="00D92F6E" w:rsidRPr="0025250D">
        <w:rPr>
          <w:rFonts w:hint="cs"/>
          <w:rtl/>
        </w:rPr>
        <w:t>بنیان‌افکن</w:t>
      </w:r>
      <w:r w:rsidRPr="0025250D">
        <w:rPr>
          <w:vertAlign w:val="superscript"/>
          <w:rtl/>
        </w:rPr>
        <w:footnoteReference w:id="665"/>
      </w:r>
      <w:r w:rsidRPr="0025250D">
        <w:rPr>
          <w:rFonts w:hint="cs"/>
          <w:rtl/>
        </w:rPr>
        <w:t xml:space="preserve"> و ارزیابی ریسک</w:t>
      </w:r>
      <w:r w:rsidRPr="0025250D">
        <w:rPr>
          <w:vertAlign w:val="superscript"/>
          <w:rtl/>
        </w:rPr>
        <w:footnoteReference w:id="666"/>
      </w:r>
    </w:p>
    <w:p w14:paraId="3F43EA25" w14:textId="07BD8D66" w:rsidR="0020732A" w:rsidRPr="0025250D" w:rsidRDefault="00D92F6E" w:rsidP="00492C47">
      <w:pPr>
        <w:numPr>
          <w:ilvl w:val="0"/>
          <w:numId w:val="14"/>
        </w:numPr>
      </w:pPr>
      <w:r w:rsidRPr="0025250D">
        <w:rPr>
          <w:rFonts w:hint="cs"/>
          <w:rtl/>
        </w:rPr>
        <w:t>بنیان‌افکن</w:t>
      </w:r>
      <w:r w:rsidR="0020732A" w:rsidRPr="0025250D">
        <w:rPr>
          <w:rFonts w:hint="cs"/>
          <w:rtl/>
        </w:rPr>
        <w:t>ی به تغییرات اجباری مربوط</w:t>
      </w:r>
      <w:r w:rsidR="0020732A" w:rsidRPr="0025250D">
        <w:rPr>
          <w:rFonts w:hint="cs"/>
        </w:rPr>
        <w:t>‌</w:t>
      </w:r>
      <w:r w:rsidR="0020732A" w:rsidRPr="0025250D">
        <w:rPr>
          <w:rFonts w:hint="cs"/>
          <w:rtl/>
        </w:rPr>
        <w:t xml:space="preserve"> می‌شود که در هر جایی از محیط ما رخ</w:t>
      </w:r>
      <w:r w:rsidR="0020732A" w:rsidRPr="0025250D">
        <w:rPr>
          <w:rFonts w:hint="cs"/>
        </w:rPr>
        <w:t>‌</w:t>
      </w:r>
      <w:r w:rsidR="0020732A" w:rsidRPr="0025250D">
        <w:rPr>
          <w:rFonts w:hint="cs"/>
          <w:rtl/>
        </w:rPr>
        <w:t xml:space="preserve"> می‌دهند و</w:t>
      </w:r>
      <w:r w:rsidR="0020732A" w:rsidRPr="0025250D">
        <w:rPr>
          <w:rFonts w:hint="cs"/>
        </w:rPr>
        <w:t>‌</w:t>
      </w:r>
      <w:r w:rsidR="0020732A" w:rsidRPr="0025250D">
        <w:rPr>
          <w:rFonts w:hint="cs"/>
          <w:rtl/>
        </w:rPr>
        <w:t xml:space="preserve"> می‌توانند نا مطلوب (</w:t>
      </w:r>
      <w:r w:rsidRPr="0025250D">
        <w:rPr>
          <w:rFonts w:hint="cs"/>
          <w:rtl/>
        </w:rPr>
        <w:t>بنیان‌افکن</w:t>
      </w:r>
      <w:r w:rsidR="0020732A" w:rsidRPr="0025250D">
        <w:rPr>
          <w:rFonts w:hint="cs"/>
          <w:rtl/>
        </w:rPr>
        <w:t xml:space="preserve">) یا </w:t>
      </w:r>
      <w:r w:rsidR="00923DDB" w:rsidRPr="0025250D">
        <w:rPr>
          <w:rFonts w:hint="cs"/>
          <w:rtl/>
        </w:rPr>
        <w:t>پیش‌انگاری</w:t>
      </w:r>
      <w:r w:rsidR="0020732A" w:rsidRPr="0025250D">
        <w:rPr>
          <w:rFonts w:hint="cs"/>
          <w:rtl/>
        </w:rPr>
        <w:t xml:space="preserve"> نشده (که همچنین </w:t>
      </w:r>
      <w:r w:rsidR="006335B8" w:rsidRPr="0025250D">
        <w:rPr>
          <w:rtl/>
        </w:rPr>
        <w:t>«</w:t>
      </w:r>
      <w:r w:rsidR="0020732A" w:rsidRPr="0025250D">
        <w:rPr>
          <w:rFonts w:hint="cs"/>
          <w:rtl/>
        </w:rPr>
        <w:t>غافل گیری</w:t>
      </w:r>
      <w:r w:rsidR="006335B8" w:rsidRPr="0025250D">
        <w:rPr>
          <w:rtl/>
        </w:rPr>
        <w:t>»</w:t>
      </w:r>
      <w:r w:rsidR="0020732A" w:rsidRPr="0025250D">
        <w:rPr>
          <w:rFonts w:hint="cs"/>
          <w:rtl/>
        </w:rPr>
        <w:t xml:space="preserve"> نامیده</w:t>
      </w:r>
      <w:r w:rsidR="0020732A" w:rsidRPr="0025250D">
        <w:rPr>
          <w:rFonts w:hint="cs"/>
        </w:rPr>
        <w:t>‌</w:t>
      </w:r>
      <w:r w:rsidR="0020732A" w:rsidRPr="0025250D">
        <w:rPr>
          <w:rFonts w:hint="cs"/>
          <w:rtl/>
        </w:rPr>
        <w:t xml:space="preserve"> می‌شود) باشند. </w:t>
      </w:r>
      <w:r w:rsidRPr="0025250D">
        <w:rPr>
          <w:rFonts w:hint="cs"/>
          <w:rtl/>
        </w:rPr>
        <w:t>بنیان‌افکن</w:t>
      </w:r>
      <w:r w:rsidR="0020732A" w:rsidRPr="0025250D">
        <w:rPr>
          <w:rFonts w:hint="cs"/>
          <w:rtl/>
        </w:rPr>
        <w:t xml:space="preserve">ی به شکل اجتناب ناپذیری برای برخی مثبت و برای برخی دیگر منفی است. به شکل ایدئال، ما تلاش خواهیم کرد تا از اثرات مثبت </w:t>
      </w:r>
      <w:r w:rsidRPr="0025250D">
        <w:rPr>
          <w:rFonts w:hint="cs"/>
          <w:rtl/>
        </w:rPr>
        <w:t>بنیان‌افکن</w:t>
      </w:r>
      <w:r w:rsidR="0020732A" w:rsidRPr="0025250D">
        <w:rPr>
          <w:rFonts w:hint="cs"/>
          <w:rtl/>
        </w:rPr>
        <w:t xml:space="preserve"> بهره بگیریم، در حالی که هم‌زمان به دنبال کاهش اثرات منفی آن هستیم.</w:t>
      </w:r>
    </w:p>
    <w:p w14:paraId="2B7A5154" w14:textId="49AEB0AC" w:rsidR="0020732A" w:rsidRPr="0025250D" w:rsidRDefault="0020732A" w:rsidP="00492C47">
      <w:pPr>
        <w:numPr>
          <w:ilvl w:val="0"/>
          <w:numId w:val="14"/>
        </w:numPr>
      </w:pPr>
      <w:r w:rsidRPr="0025250D">
        <w:rPr>
          <w:rFonts w:hint="cs"/>
          <w:b/>
          <w:bCs/>
          <w:rtl/>
        </w:rPr>
        <w:t>ریسک</w:t>
      </w:r>
      <w:r w:rsidRPr="0025250D">
        <w:rPr>
          <w:rFonts w:hint="cs"/>
          <w:rtl/>
        </w:rPr>
        <w:t xml:space="preserve"> به چیز‌های بدی مربوط</w:t>
      </w:r>
      <w:r w:rsidRPr="0025250D">
        <w:rPr>
          <w:rFonts w:hint="cs"/>
        </w:rPr>
        <w:t>‌</w:t>
      </w:r>
      <w:r w:rsidRPr="0025250D">
        <w:rPr>
          <w:rFonts w:hint="cs"/>
          <w:rtl/>
        </w:rPr>
        <w:t xml:space="preserve"> می‌شود که</w:t>
      </w:r>
      <w:r w:rsidRPr="0025250D">
        <w:rPr>
          <w:rFonts w:hint="cs"/>
        </w:rPr>
        <w:t>‌</w:t>
      </w:r>
      <w:r w:rsidRPr="0025250D">
        <w:rPr>
          <w:rFonts w:hint="cs"/>
          <w:rtl/>
        </w:rPr>
        <w:t xml:space="preserve"> می‌توانند </w:t>
      </w:r>
      <w:r w:rsidRPr="0025250D">
        <w:rPr>
          <w:rFonts w:cs="Times New Roman" w:hint="cs"/>
          <w:rtl/>
        </w:rPr>
        <w:t>–</w:t>
      </w:r>
      <w:r w:rsidRPr="0025250D">
        <w:rPr>
          <w:rFonts w:hint="cs"/>
          <w:rtl/>
        </w:rPr>
        <w:t xml:space="preserve"> عمدتا برای خودمان </w:t>
      </w:r>
      <w:r w:rsidRPr="0025250D">
        <w:rPr>
          <w:rFonts w:cs="Times New Roman" w:hint="cs"/>
          <w:rtl/>
        </w:rPr>
        <w:t>–</w:t>
      </w:r>
      <w:r w:rsidRPr="0025250D">
        <w:rPr>
          <w:rFonts w:hint="cs"/>
          <w:rtl/>
        </w:rPr>
        <w:t xml:space="preserve"> رخ دهند. ما از تعریف منفی ریسک در اینجا استفاده</w:t>
      </w:r>
      <w:r w:rsidRPr="0025250D">
        <w:rPr>
          <w:rFonts w:hint="cs"/>
        </w:rPr>
        <w:t>‌</w:t>
      </w:r>
      <w:r w:rsidRPr="0025250D">
        <w:rPr>
          <w:rFonts w:hint="cs"/>
          <w:rtl/>
        </w:rPr>
        <w:t xml:space="preserve"> می‌کنیم که همچنین</w:t>
      </w:r>
      <w:r w:rsidRPr="0025250D">
        <w:rPr>
          <w:rFonts w:hint="cs"/>
        </w:rPr>
        <w:t>‌</w:t>
      </w:r>
      <w:r w:rsidRPr="0025250D">
        <w:rPr>
          <w:rFonts w:hint="cs"/>
          <w:rtl/>
        </w:rPr>
        <w:t xml:space="preserve"> </w:t>
      </w:r>
      <w:r w:rsidR="006335B8" w:rsidRPr="0025250D">
        <w:rPr>
          <w:rtl/>
        </w:rPr>
        <w:t>«</w:t>
      </w:r>
      <w:r w:rsidRPr="0025250D">
        <w:rPr>
          <w:rFonts w:hint="cs"/>
          <w:rtl/>
        </w:rPr>
        <w:t>تهدیدات</w:t>
      </w:r>
      <w:r w:rsidRPr="0025250D">
        <w:rPr>
          <w:vertAlign w:val="superscript"/>
          <w:rtl/>
        </w:rPr>
        <w:footnoteReference w:id="667"/>
      </w:r>
      <w:r w:rsidR="006335B8" w:rsidRPr="0025250D">
        <w:rPr>
          <w:rtl/>
        </w:rPr>
        <w:t>»</w:t>
      </w:r>
      <w:r w:rsidRPr="0025250D">
        <w:rPr>
          <w:rFonts w:hint="cs"/>
          <w:rtl/>
        </w:rPr>
        <w:t xml:space="preserve"> نامیده </w:t>
      </w:r>
      <w:r w:rsidR="00274907" w:rsidRPr="0025250D">
        <w:rPr>
          <w:rFonts w:hint="cs"/>
          <w:rtl/>
        </w:rPr>
        <w:t>می‌</w:t>
      </w:r>
      <w:r w:rsidRPr="0025250D">
        <w:rPr>
          <w:rFonts w:hint="cs"/>
          <w:rtl/>
        </w:rPr>
        <w:t>شود. ما باید احتمال وقوع</w:t>
      </w:r>
      <w:r w:rsidRPr="0025250D">
        <w:rPr>
          <w:vertAlign w:val="superscript"/>
          <w:rtl/>
        </w:rPr>
        <w:footnoteReference w:id="668"/>
      </w:r>
      <w:r w:rsidRPr="0025250D">
        <w:rPr>
          <w:rFonts w:hint="cs"/>
          <w:rtl/>
        </w:rPr>
        <w:t>، بزرگی</w:t>
      </w:r>
      <w:r w:rsidRPr="0025250D">
        <w:rPr>
          <w:rtl/>
        </w:rPr>
        <w:t xml:space="preserve"> </w:t>
      </w:r>
      <w:r w:rsidRPr="0025250D">
        <w:rPr>
          <w:rFonts w:hint="cs"/>
          <w:rtl/>
        </w:rPr>
        <w:t>بالقوه</w:t>
      </w:r>
      <w:r w:rsidRPr="0025250D">
        <w:rPr>
          <w:rtl/>
        </w:rPr>
        <w:t xml:space="preserve"> </w:t>
      </w:r>
      <w:r w:rsidRPr="0025250D">
        <w:rPr>
          <w:rFonts w:hint="cs"/>
          <w:rtl/>
        </w:rPr>
        <w:t>آنها</w:t>
      </w:r>
      <w:r w:rsidRPr="0025250D">
        <w:rPr>
          <w:vertAlign w:val="superscript"/>
          <w:rtl/>
        </w:rPr>
        <w:footnoteReference w:id="669"/>
      </w:r>
      <w:r w:rsidRPr="0025250D">
        <w:rPr>
          <w:rFonts w:hint="cs"/>
          <w:rtl/>
        </w:rPr>
        <w:t xml:space="preserve"> و </w:t>
      </w:r>
      <w:r w:rsidR="00701E03" w:rsidRPr="0025250D">
        <w:rPr>
          <w:rFonts w:hint="cs"/>
          <w:rtl/>
        </w:rPr>
        <w:t>راهبرد</w:t>
      </w:r>
      <w:r w:rsidRPr="0025250D">
        <w:rPr>
          <w:rFonts w:hint="cs"/>
          <w:rtl/>
        </w:rPr>
        <w:t>‌هایی برای مدیریت و کاهش آن‌ها را بدانیم.</w:t>
      </w:r>
    </w:p>
    <w:p w14:paraId="0E8ECCB9" w14:textId="6FD55D82" w:rsidR="0020732A" w:rsidRPr="0025250D" w:rsidRDefault="0020732A" w:rsidP="0020732A">
      <w:pPr>
        <w:rPr>
          <w:rtl/>
        </w:rPr>
      </w:pPr>
      <w:r w:rsidRPr="0025250D">
        <w:rPr>
          <w:rFonts w:hint="cs"/>
          <w:rtl/>
        </w:rPr>
        <w:t xml:space="preserve">این دو پرسش به </w:t>
      </w:r>
      <w:r w:rsidR="006335B8" w:rsidRPr="0025250D">
        <w:rPr>
          <w:rtl/>
        </w:rPr>
        <w:t>«</w:t>
      </w:r>
      <w:r w:rsidRPr="0025250D">
        <w:rPr>
          <w:rFonts w:hint="cs"/>
          <w:rtl/>
        </w:rPr>
        <w:t>چرایی</w:t>
      </w:r>
      <w:r w:rsidR="006335B8" w:rsidRPr="0025250D">
        <w:rPr>
          <w:rtl/>
        </w:rPr>
        <w:t>»</w:t>
      </w:r>
      <w:r w:rsidRPr="0025250D">
        <w:rPr>
          <w:rFonts w:hint="cs"/>
          <w:rtl/>
        </w:rPr>
        <w:t xml:space="preserve"> انجام کار </w:t>
      </w:r>
      <w:r w:rsidRPr="0025250D">
        <w:rPr>
          <w:rtl/>
        </w:rPr>
        <w:t>آینده‌نگاری</w:t>
      </w:r>
      <w:r w:rsidRPr="0025250D">
        <w:rPr>
          <w:rFonts w:hint="cs"/>
          <w:rtl/>
        </w:rPr>
        <w:t xml:space="preserve"> پاسخ</w:t>
      </w:r>
      <w:r w:rsidRPr="0025250D">
        <w:rPr>
          <w:rFonts w:hint="cs"/>
        </w:rPr>
        <w:t>‌</w:t>
      </w:r>
      <w:r w:rsidRPr="0025250D">
        <w:rPr>
          <w:rFonts w:hint="cs"/>
          <w:rtl/>
        </w:rPr>
        <w:t xml:space="preserve"> می‌دهند. آن‌ها به ما</w:t>
      </w:r>
      <w:r w:rsidRPr="0025250D">
        <w:rPr>
          <w:rFonts w:hint="cs"/>
        </w:rPr>
        <w:t>‌</w:t>
      </w:r>
      <w:r w:rsidRPr="0025250D">
        <w:rPr>
          <w:rFonts w:hint="cs"/>
          <w:rtl/>
        </w:rPr>
        <w:t xml:space="preserve"> می‌گویند که چرا </w:t>
      </w:r>
      <w:r w:rsidRPr="0025250D">
        <w:rPr>
          <w:rtl/>
        </w:rPr>
        <w:t>آینده‌نگاری</w:t>
      </w:r>
      <w:r w:rsidRPr="0025250D">
        <w:rPr>
          <w:rFonts w:hint="cs"/>
          <w:rtl/>
        </w:rPr>
        <w:t xml:space="preserve"> برای افراد، تیم‌ها، سازمان‌ها و جوامع اهمیت دارد. این چهار ارزیابی، به شکل گسترده، به پرسش </w:t>
      </w:r>
      <w:r w:rsidR="006335B8" w:rsidRPr="0025250D">
        <w:rPr>
          <w:rtl/>
        </w:rPr>
        <w:t>«</w:t>
      </w:r>
      <w:r w:rsidRPr="0025250D">
        <w:rPr>
          <w:rFonts w:hint="cs"/>
          <w:rtl/>
        </w:rPr>
        <w:t>چه چیزی</w:t>
      </w:r>
      <w:r w:rsidRPr="0025250D">
        <w:rPr>
          <w:vertAlign w:val="superscript"/>
          <w:rtl/>
        </w:rPr>
        <w:footnoteReference w:id="670"/>
      </w:r>
      <w:r w:rsidR="006335B8" w:rsidRPr="0025250D">
        <w:rPr>
          <w:rtl/>
        </w:rPr>
        <w:t>»</w:t>
      </w:r>
      <w:r w:rsidRPr="0025250D">
        <w:rPr>
          <w:rFonts w:hint="cs"/>
          <w:rtl/>
        </w:rPr>
        <w:t xml:space="preserve"> در تفکر و انجام </w:t>
      </w:r>
      <w:r w:rsidRPr="0025250D">
        <w:rPr>
          <w:rtl/>
        </w:rPr>
        <w:t>آینده‌نگاری</w:t>
      </w:r>
      <w:r w:rsidR="008D6F97" w:rsidRPr="0025250D">
        <w:rPr>
          <w:rtl/>
        </w:rPr>
        <w:t xml:space="preserve"> </w:t>
      </w:r>
      <w:r w:rsidRPr="0025250D">
        <w:rPr>
          <w:rFonts w:hint="cs"/>
          <w:rtl/>
        </w:rPr>
        <w:t>پاسخ</w:t>
      </w:r>
      <w:r w:rsidRPr="0025250D">
        <w:rPr>
          <w:rFonts w:hint="cs"/>
        </w:rPr>
        <w:t>‌</w:t>
      </w:r>
      <w:r w:rsidRPr="0025250D">
        <w:rPr>
          <w:rFonts w:hint="cs"/>
          <w:rtl/>
        </w:rPr>
        <w:t xml:space="preserve"> می‌دهند. آن‌ها به ما</w:t>
      </w:r>
      <w:r w:rsidRPr="0025250D">
        <w:rPr>
          <w:rFonts w:hint="cs"/>
        </w:rPr>
        <w:t>‌</w:t>
      </w:r>
      <w:r w:rsidRPr="0025250D">
        <w:rPr>
          <w:rFonts w:hint="cs"/>
          <w:rtl/>
        </w:rPr>
        <w:t xml:space="preserve"> می‌گویند که باید دائما چه ارزیابی‌هایی را به‌عنوان اهداف اصلی کار خود انجام دهیم. ما در این کتاب بار‌ها به </w:t>
      </w:r>
      <w:r w:rsidRPr="0025250D">
        <w:t>ADOR</w:t>
      </w:r>
      <w:r w:rsidRPr="0025250D">
        <w:rPr>
          <w:rFonts w:hint="cs"/>
          <w:rtl/>
        </w:rPr>
        <w:t xml:space="preserve"> اشاره خواهیم کرد. به دلیل انجام </w:t>
      </w:r>
      <w:r w:rsidRPr="0025250D">
        <w:t>ADOR</w:t>
      </w:r>
      <w:r w:rsidRPr="0025250D">
        <w:rPr>
          <w:rFonts w:hint="cs"/>
          <w:rtl/>
        </w:rPr>
        <w:t xml:space="preserve"> در محیطمان است که</w:t>
      </w:r>
      <w:r w:rsidRPr="0025250D">
        <w:rPr>
          <w:rFonts w:hint="cs"/>
        </w:rPr>
        <w:t>‌</w:t>
      </w:r>
      <w:r w:rsidRPr="0025250D">
        <w:rPr>
          <w:rFonts w:hint="cs"/>
          <w:rtl/>
        </w:rPr>
        <w:t xml:space="preserve"> می‌توانیم به طور پیوسته </w:t>
      </w:r>
      <w:r w:rsidR="002F3C14" w:rsidRPr="0025250D">
        <w:rPr>
          <w:rFonts w:hint="cs"/>
          <w:rtl/>
        </w:rPr>
        <w:t>انطباق</w:t>
      </w:r>
      <w:r w:rsidRPr="0025250D">
        <w:rPr>
          <w:rFonts w:hint="cs"/>
          <w:rtl/>
        </w:rPr>
        <w:t xml:space="preserve"> یابیم. </w:t>
      </w:r>
      <w:r w:rsidR="007118DE" w:rsidRPr="0025250D">
        <w:rPr>
          <w:rFonts w:hint="cs"/>
          <w:rtl/>
        </w:rPr>
        <w:t>همان‌طور</w:t>
      </w:r>
      <w:r w:rsidRPr="0025250D">
        <w:rPr>
          <w:rFonts w:hint="cs"/>
          <w:rtl/>
        </w:rPr>
        <w:t xml:space="preserve"> که شکل زیر نشان</w:t>
      </w:r>
      <w:r w:rsidRPr="0025250D">
        <w:rPr>
          <w:rFonts w:hint="cs"/>
        </w:rPr>
        <w:t>‌</w:t>
      </w:r>
      <w:r w:rsidRPr="0025250D">
        <w:rPr>
          <w:rFonts w:hint="cs"/>
          <w:rtl/>
        </w:rPr>
        <w:t xml:space="preserve"> می‌دهد، تحلیل </w:t>
      </w:r>
      <w:r w:rsidRPr="0025250D">
        <w:t>ADOR</w:t>
      </w:r>
      <w:r w:rsidRPr="0025250D">
        <w:rPr>
          <w:rFonts w:hint="cs"/>
          <w:rtl/>
        </w:rPr>
        <w:t xml:space="preserve"> (مزایا، </w:t>
      </w:r>
      <w:r w:rsidR="00D92F6E" w:rsidRPr="0025250D">
        <w:rPr>
          <w:rFonts w:hint="cs"/>
          <w:rtl/>
        </w:rPr>
        <w:t>بنیان‌افکن</w:t>
      </w:r>
      <w:r w:rsidRPr="0025250D">
        <w:rPr>
          <w:rFonts w:hint="cs"/>
          <w:rtl/>
        </w:rPr>
        <w:t xml:space="preserve">‌ها، فرصتها و ریسک ها) ما را در وهله اول بر خوش‌بینی </w:t>
      </w:r>
      <w:r w:rsidR="00701E03" w:rsidRPr="0025250D">
        <w:rPr>
          <w:rFonts w:hint="cs"/>
          <w:rtl/>
        </w:rPr>
        <w:t>راهبردی</w:t>
      </w:r>
      <w:r w:rsidRPr="0025250D">
        <w:rPr>
          <w:rFonts w:hint="cs"/>
          <w:rtl/>
        </w:rPr>
        <w:t xml:space="preserve"> و سپس بر بدبینی تدافعی متمرکز</w:t>
      </w:r>
      <w:r w:rsidRPr="0025250D">
        <w:rPr>
          <w:rFonts w:hint="cs"/>
        </w:rPr>
        <w:t>‌</w:t>
      </w:r>
      <w:r w:rsidRPr="0025250D">
        <w:rPr>
          <w:rFonts w:hint="cs"/>
          <w:rtl/>
        </w:rPr>
        <w:t xml:space="preserve"> می‌سازد. </w:t>
      </w:r>
      <w:r w:rsidRPr="0025250D">
        <w:t>ADOR</w:t>
      </w:r>
      <w:r w:rsidRPr="0025250D">
        <w:rPr>
          <w:rFonts w:hint="cs"/>
          <w:rtl/>
        </w:rPr>
        <w:t xml:space="preserve"> به ما یادآوری</w:t>
      </w:r>
      <w:r w:rsidRPr="0025250D">
        <w:rPr>
          <w:rFonts w:hint="cs"/>
        </w:rPr>
        <w:t>‌</w:t>
      </w:r>
      <w:r w:rsidRPr="0025250D">
        <w:rPr>
          <w:rFonts w:hint="cs"/>
          <w:rtl/>
        </w:rPr>
        <w:t xml:space="preserve"> می‌کند که تحلیل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خود را با پویش محیطی آغاز کنیم و سپس با ارزیابی داخلی</w:t>
      </w:r>
      <w:r w:rsidRPr="0025250D">
        <w:rPr>
          <w:vertAlign w:val="superscript"/>
          <w:rtl/>
        </w:rPr>
        <w:footnoteReference w:id="671"/>
      </w:r>
      <w:r w:rsidRPr="0025250D">
        <w:rPr>
          <w:rFonts w:hint="cs"/>
          <w:rtl/>
        </w:rPr>
        <w:t xml:space="preserve"> ادامه دهیم.</w:t>
      </w:r>
    </w:p>
    <w:p w14:paraId="17509A72" w14:textId="08F744E7" w:rsidR="0020732A" w:rsidRPr="0025250D" w:rsidRDefault="0020732A" w:rsidP="0020732A">
      <w:pPr>
        <w:rPr>
          <w:rtl/>
        </w:rPr>
      </w:pPr>
      <w:r w:rsidRPr="0025250D">
        <w:rPr>
          <w:rFonts w:hint="cs"/>
          <w:rtl/>
        </w:rPr>
        <w:t xml:space="preserve">خوانندگان دقیق متوجه خواهند شد که تحلیل </w:t>
      </w:r>
      <w:r w:rsidRPr="0025250D">
        <w:t>ADOR</w:t>
      </w:r>
      <w:r w:rsidRPr="0025250D">
        <w:rPr>
          <w:rFonts w:hint="cs"/>
          <w:rtl/>
        </w:rPr>
        <w:t xml:space="preserve"> یک </w:t>
      </w:r>
      <w:r w:rsidR="00A20CCB" w:rsidRPr="0025250D">
        <w:rPr>
          <w:rFonts w:hint="cs"/>
          <w:rtl/>
        </w:rPr>
        <w:t>به‌روزرسانی</w:t>
      </w:r>
      <w:r w:rsidRPr="0025250D">
        <w:rPr>
          <w:rFonts w:hint="cs"/>
          <w:rtl/>
        </w:rPr>
        <w:t xml:space="preserve"> از یک ابزار تحلیلی دوگانه قدیمی‌تر یعنی تحلیل </w:t>
      </w:r>
      <w:r w:rsidRPr="0025250D">
        <w:t>SWOT</w:t>
      </w:r>
      <w:r w:rsidRPr="0025250D">
        <w:rPr>
          <w:rFonts w:hint="cs"/>
          <w:rtl/>
        </w:rPr>
        <w:t xml:space="preserve"> (ضعف‌ها، قوت‌ها، فرصتها و تهدیدها</w:t>
      </w:r>
      <w:r w:rsidRPr="0025250D">
        <w:rPr>
          <w:vertAlign w:val="superscript"/>
          <w:rtl/>
        </w:rPr>
        <w:footnoteReference w:id="672"/>
      </w:r>
      <w:r w:rsidRPr="0025250D">
        <w:rPr>
          <w:rFonts w:hint="cs"/>
          <w:rtl/>
        </w:rPr>
        <w:t xml:space="preserve">) است که توسط </w:t>
      </w:r>
      <w:r w:rsidRPr="0025250D">
        <w:rPr>
          <w:rtl/>
        </w:rPr>
        <w:t>آلبرت همفر</w:t>
      </w:r>
      <w:r w:rsidRPr="0025250D">
        <w:rPr>
          <w:rFonts w:hint="cs"/>
          <w:rtl/>
        </w:rPr>
        <w:t>ی</w:t>
      </w:r>
      <w:r w:rsidRPr="0025250D">
        <w:rPr>
          <w:vertAlign w:val="superscript"/>
          <w:rtl/>
        </w:rPr>
        <w:footnoteReference w:id="673"/>
      </w:r>
      <w:r w:rsidRPr="0025250D">
        <w:rPr>
          <w:rFonts w:hint="cs"/>
          <w:rtl/>
        </w:rPr>
        <w:t xml:space="preserve"> در </w:t>
      </w:r>
      <w:r w:rsidRPr="0025250D">
        <w:t>SRI</w:t>
      </w:r>
      <w:r w:rsidRPr="0025250D">
        <w:rPr>
          <w:rFonts w:hint="cs"/>
          <w:rtl/>
        </w:rPr>
        <w:t xml:space="preserve"> در سال 1966 معرفی شد. تحلیل </w:t>
      </w:r>
      <w:r w:rsidRPr="0025250D">
        <w:t>SWOT</w:t>
      </w:r>
      <w:r w:rsidRPr="0025250D">
        <w:rPr>
          <w:rFonts w:hint="cs"/>
          <w:rtl/>
        </w:rPr>
        <w:t xml:space="preserve"> همچنین به چهار ارزیابی </w:t>
      </w:r>
      <w:r w:rsidR="00701E03" w:rsidRPr="0025250D">
        <w:rPr>
          <w:rFonts w:hint="cs"/>
          <w:rtl/>
        </w:rPr>
        <w:t>راهبردی</w:t>
      </w:r>
      <w:r w:rsidRPr="0025250D">
        <w:rPr>
          <w:rFonts w:hint="cs"/>
          <w:rtl/>
        </w:rPr>
        <w:t xml:space="preserve"> نیاز دارد: ابتدا ارزیابی نقاط ضعف و قوتمان و سپس ارزیابی فرصت‌ها و تهدید‌های خارجی. </w:t>
      </w:r>
      <w:r w:rsidRPr="0025250D">
        <w:t>SWOT</w:t>
      </w:r>
      <w:r w:rsidRPr="0025250D">
        <w:rPr>
          <w:rFonts w:hint="cs"/>
          <w:rtl/>
        </w:rPr>
        <w:t xml:space="preserve"> هنوز هم محبوبیت و کاربرد دارد.</w:t>
      </w:r>
    </w:p>
    <w:p w14:paraId="0A41B499" w14:textId="1F0CD010" w:rsidR="0020732A" w:rsidRPr="0025250D" w:rsidRDefault="00993A1E" w:rsidP="0020732A">
      <w:pPr>
        <w:rPr>
          <w:rtl/>
        </w:rPr>
      </w:pPr>
      <w:r w:rsidRPr="0025250D">
        <w:rPr>
          <w:noProof/>
        </w:rPr>
        <w:lastRenderedPageBreak/>
        <w:drawing>
          <wp:inline distT="0" distB="0" distL="0" distR="0" wp14:anchorId="20DA4612" wp14:editId="5E0665F2">
            <wp:extent cx="5740842" cy="5144555"/>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5750396" cy="5153117"/>
                    </a:xfrm>
                    <a:prstGeom prst="rect">
                      <a:avLst/>
                    </a:prstGeom>
                    <a:noFill/>
                  </pic:spPr>
                </pic:pic>
              </a:graphicData>
            </a:graphic>
          </wp:inline>
        </w:drawing>
      </w:r>
    </w:p>
    <w:p w14:paraId="15BA195E" w14:textId="250BB843" w:rsidR="0020732A" w:rsidRPr="0025250D" w:rsidRDefault="0020732A" w:rsidP="0020732A">
      <w:pPr>
        <w:rPr>
          <w:rtl/>
        </w:rPr>
      </w:pPr>
      <w:r w:rsidRPr="0025250D">
        <w:rPr>
          <w:rFonts w:hint="cs"/>
          <w:rtl/>
        </w:rPr>
        <w:t>از</w:t>
      </w:r>
      <w:r w:rsidRPr="0025250D">
        <w:rPr>
          <w:rtl/>
        </w:rPr>
        <w:t xml:space="preserve"> </w:t>
      </w:r>
      <w:r w:rsidRPr="0025250D">
        <w:rPr>
          <w:rFonts w:hint="cs"/>
          <w:rtl/>
        </w:rPr>
        <w:t>نظر</w:t>
      </w:r>
      <w:r w:rsidRPr="0025250D">
        <w:rPr>
          <w:rtl/>
        </w:rPr>
        <w:t xml:space="preserve"> </w:t>
      </w:r>
      <w:r w:rsidRPr="0025250D">
        <w:rPr>
          <w:rFonts w:hint="cs"/>
          <w:rtl/>
        </w:rPr>
        <w:t>ما</w:t>
      </w:r>
      <w:r w:rsidRPr="0025250D">
        <w:rPr>
          <w:rtl/>
        </w:rPr>
        <w:t xml:space="preserve"> </w:t>
      </w:r>
      <w:r w:rsidRPr="0025250D">
        <w:t>SWOT</w:t>
      </w:r>
      <w:r w:rsidRPr="0025250D">
        <w:rPr>
          <w:rtl/>
        </w:rPr>
        <w:t xml:space="preserve"> </w:t>
      </w:r>
      <w:r w:rsidRPr="0025250D">
        <w:rPr>
          <w:rFonts w:hint="cs"/>
          <w:rtl/>
        </w:rPr>
        <w:t>برای</w:t>
      </w:r>
      <w:r w:rsidRPr="0025250D">
        <w:rPr>
          <w:rtl/>
        </w:rPr>
        <w:t xml:space="preserve"> </w:t>
      </w:r>
      <w:r w:rsidRPr="0025250D">
        <w:rPr>
          <w:rFonts w:hint="cs"/>
          <w:rtl/>
        </w:rPr>
        <w:t>ارزیابی</w:t>
      </w:r>
      <w:r w:rsidRPr="0025250D">
        <w:rPr>
          <w:rtl/>
        </w:rPr>
        <w:t xml:space="preserve">‌های </w:t>
      </w:r>
      <w:r w:rsidRPr="0025250D">
        <w:rPr>
          <w:rFonts w:hint="cs"/>
          <w:rtl/>
        </w:rPr>
        <w:t>چند</w:t>
      </w:r>
      <w:r w:rsidRPr="0025250D">
        <w:rPr>
          <w:rtl/>
        </w:rPr>
        <w:t xml:space="preserve"> </w:t>
      </w:r>
      <w:r w:rsidRPr="0025250D">
        <w:rPr>
          <w:rFonts w:hint="cs"/>
          <w:rtl/>
        </w:rPr>
        <w:t>وقت</w:t>
      </w:r>
      <w:r w:rsidRPr="0025250D">
        <w:rPr>
          <w:rtl/>
        </w:rPr>
        <w:t xml:space="preserve"> </w:t>
      </w:r>
      <w:r w:rsidRPr="0025250D">
        <w:rPr>
          <w:rFonts w:hint="cs"/>
          <w:rtl/>
        </w:rPr>
        <w:t>یک</w:t>
      </w:r>
      <w:r w:rsidRPr="0025250D">
        <w:rPr>
          <w:rtl/>
        </w:rPr>
        <w:t xml:space="preserve"> </w:t>
      </w:r>
      <w:r w:rsidRPr="0025250D">
        <w:rPr>
          <w:rFonts w:hint="cs"/>
          <w:rtl/>
        </w:rPr>
        <w:t>بار</w:t>
      </w:r>
      <w:r w:rsidRPr="0025250D">
        <w:rPr>
          <w:rtl/>
        </w:rPr>
        <w:t xml:space="preserve"> </w:t>
      </w:r>
      <w:r w:rsidRPr="0025250D">
        <w:rPr>
          <w:rFonts w:hint="cs"/>
          <w:rtl/>
        </w:rPr>
        <w:t>کل</w:t>
      </w:r>
      <w:r w:rsidRPr="0025250D">
        <w:rPr>
          <w:rtl/>
        </w:rPr>
        <w:t xml:space="preserve"> </w:t>
      </w:r>
      <w:r w:rsidRPr="0025250D">
        <w:rPr>
          <w:rFonts w:hint="cs"/>
          <w:rtl/>
        </w:rPr>
        <w:t>سازمان</w:t>
      </w:r>
      <w:r w:rsidRPr="0025250D">
        <w:rPr>
          <w:rtl/>
        </w:rPr>
        <w:t xml:space="preserve"> </w:t>
      </w:r>
      <w:r w:rsidRPr="0025250D">
        <w:rPr>
          <w:rFonts w:hint="cs"/>
          <w:rtl/>
        </w:rPr>
        <w:t>مفید</w:t>
      </w:r>
      <w:r w:rsidRPr="0025250D">
        <w:rPr>
          <w:rtl/>
        </w:rPr>
        <w:t xml:space="preserve"> </w:t>
      </w:r>
      <w:r w:rsidRPr="0025250D">
        <w:rPr>
          <w:rFonts w:hint="cs"/>
          <w:rtl/>
        </w:rPr>
        <w:t>است،</w:t>
      </w:r>
      <w:r w:rsidRPr="0025250D">
        <w:rPr>
          <w:rtl/>
        </w:rPr>
        <w:t xml:space="preserve"> </w:t>
      </w:r>
      <w:r w:rsidRPr="0025250D">
        <w:rPr>
          <w:rFonts w:hint="cs"/>
          <w:rtl/>
        </w:rPr>
        <w:t>اما</w:t>
      </w:r>
      <w:r w:rsidRPr="0025250D">
        <w:rPr>
          <w:rtl/>
        </w:rPr>
        <w:t xml:space="preserve"> </w:t>
      </w:r>
      <w:r w:rsidRPr="0025250D">
        <w:rPr>
          <w:rFonts w:hint="cs"/>
          <w:rtl/>
        </w:rPr>
        <w:t>معایب</w:t>
      </w:r>
      <w:r w:rsidRPr="0025250D">
        <w:rPr>
          <w:rtl/>
        </w:rPr>
        <w:t xml:space="preserve"> </w:t>
      </w:r>
      <w:r w:rsidRPr="0025250D">
        <w:rPr>
          <w:rFonts w:hint="cs"/>
          <w:rtl/>
        </w:rPr>
        <w:t>متعددی</w:t>
      </w:r>
      <w:r w:rsidRPr="0025250D">
        <w:rPr>
          <w:rtl/>
        </w:rPr>
        <w:t xml:space="preserve"> </w:t>
      </w:r>
      <w:r w:rsidRPr="0025250D">
        <w:rPr>
          <w:rFonts w:hint="cs"/>
          <w:rtl/>
        </w:rPr>
        <w:t>برای</w:t>
      </w:r>
      <w:r w:rsidRPr="0025250D">
        <w:rPr>
          <w:rtl/>
        </w:rPr>
        <w:t xml:space="preserve"> </w:t>
      </w:r>
      <w:r w:rsidRPr="0025250D">
        <w:rPr>
          <w:rFonts w:hint="cs"/>
          <w:rtl/>
        </w:rPr>
        <w:t>استفاده</w:t>
      </w:r>
      <w:r w:rsidRPr="0025250D">
        <w:rPr>
          <w:rtl/>
        </w:rPr>
        <w:t xml:space="preserve"> </w:t>
      </w:r>
      <w:r w:rsidRPr="0025250D">
        <w:rPr>
          <w:rFonts w:hint="cs"/>
          <w:rtl/>
        </w:rPr>
        <w:t>در</w:t>
      </w:r>
      <w:r w:rsidRPr="0025250D">
        <w:rPr>
          <w:rtl/>
        </w:rPr>
        <w:t xml:space="preserve"> </w:t>
      </w:r>
      <w:r w:rsidRPr="0025250D">
        <w:rPr>
          <w:rFonts w:hint="cs"/>
          <w:rtl/>
        </w:rPr>
        <w:t>فعالیت</w:t>
      </w:r>
      <w:r w:rsidRPr="0025250D">
        <w:rPr>
          <w:rtl/>
        </w:rPr>
        <w:t xml:space="preserve">‌های </w:t>
      </w:r>
      <w:r w:rsidRPr="0025250D">
        <w:rPr>
          <w:rFonts w:hint="cs"/>
          <w:rtl/>
        </w:rPr>
        <w:t>روزانه</w:t>
      </w:r>
      <w:r w:rsidRPr="0025250D">
        <w:rPr>
          <w:rtl/>
        </w:rPr>
        <w:t xml:space="preserve"> </w:t>
      </w:r>
      <w:r w:rsidRPr="0025250D">
        <w:rPr>
          <w:rFonts w:hint="cs"/>
          <w:rtl/>
        </w:rPr>
        <w:t>و</w:t>
      </w:r>
      <w:r w:rsidRPr="0025250D">
        <w:rPr>
          <w:rtl/>
        </w:rPr>
        <w:t xml:space="preserve"> </w:t>
      </w:r>
      <w:r w:rsidRPr="0025250D">
        <w:rPr>
          <w:rFonts w:hint="cs"/>
          <w:rtl/>
        </w:rPr>
        <w:t>هفتگی</w:t>
      </w:r>
      <w:r w:rsidRPr="0025250D">
        <w:rPr>
          <w:rtl/>
        </w:rPr>
        <w:t xml:space="preserve"> </w:t>
      </w:r>
      <w:r w:rsidRPr="0025250D">
        <w:rPr>
          <w:rFonts w:hint="cs"/>
          <w:rtl/>
        </w:rPr>
        <w:t>دارد</w:t>
      </w:r>
      <w:r w:rsidRPr="0025250D">
        <w:rPr>
          <w:rtl/>
        </w:rPr>
        <w:t xml:space="preserve">. </w:t>
      </w:r>
      <w:r w:rsidRPr="0025250D">
        <w:rPr>
          <w:rFonts w:hint="cs"/>
          <w:rtl/>
        </w:rPr>
        <w:t>ترتیب</w:t>
      </w:r>
      <w:r w:rsidRPr="0025250D">
        <w:rPr>
          <w:rtl/>
        </w:rPr>
        <w:t xml:space="preserve"> </w:t>
      </w:r>
      <w:r w:rsidRPr="0025250D">
        <w:t>SWOT</w:t>
      </w:r>
      <w:r w:rsidRPr="0025250D">
        <w:rPr>
          <w:rtl/>
        </w:rPr>
        <w:t xml:space="preserve"> </w:t>
      </w:r>
      <w:r w:rsidRPr="0025250D">
        <w:rPr>
          <w:rFonts w:hint="cs"/>
          <w:rtl/>
        </w:rPr>
        <w:t>که</w:t>
      </w:r>
      <w:r w:rsidRPr="0025250D">
        <w:rPr>
          <w:rtl/>
        </w:rPr>
        <w:t xml:space="preserve"> </w:t>
      </w:r>
      <w:r w:rsidRPr="0025250D">
        <w:rPr>
          <w:rFonts w:hint="cs"/>
          <w:rtl/>
        </w:rPr>
        <w:t>با</w:t>
      </w:r>
      <w:r w:rsidRPr="0025250D">
        <w:rPr>
          <w:rtl/>
        </w:rPr>
        <w:t xml:space="preserve"> </w:t>
      </w:r>
      <w:r w:rsidRPr="0025250D">
        <w:rPr>
          <w:rFonts w:hint="cs"/>
          <w:rtl/>
        </w:rPr>
        <w:t>ارزیابی</w:t>
      </w:r>
      <w:r w:rsidRPr="0025250D">
        <w:rPr>
          <w:rtl/>
        </w:rPr>
        <w:t xml:space="preserve">‌های </w:t>
      </w:r>
      <w:r w:rsidRPr="0025250D">
        <w:rPr>
          <w:rFonts w:hint="cs"/>
          <w:rtl/>
        </w:rPr>
        <w:t>داخلی ابتدایی</w:t>
      </w:r>
      <w:r w:rsidRPr="0025250D">
        <w:rPr>
          <w:rtl/>
        </w:rPr>
        <w:t xml:space="preserve"> </w:t>
      </w:r>
      <w:r w:rsidRPr="0025250D">
        <w:rPr>
          <w:rFonts w:hint="cs"/>
          <w:rtl/>
        </w:rPr>
        <w:t>و</w:t>
      </w:r>
      <w:r w:rsidRPr="0025250D">
        <w:rPr>
          <w:rtl/>
        </w:rPr>
        <w:t xml:space="preserve"> </w:t>
      </w:r>
      <w:r w:rsidRPr="0025250D">
        <w:rPr>
          <w:rFonts w:hint="cs"/>
          <w:rtl/>
        </w:rPr>
        <w:t>سپس</w:t>
      </w:r>
      <w:r w:rsidRPr="0025250D">
        <w:rPr>
          <w:rtl/>
        </w:rPr>
        <w:t xml:space="preserve"> </w:t>
      </w:r>
      <w:r w:rsidRPr="0025250D">
        <w:rPr>
          <w:rFonts w:hint="cs"/>
          <w:rtl/>
        </w:rPr>
        <w:t>خارجی</w:t>
      </w:r>
      <w:r w:rsidRPr="0025250D">
        <w:rPr>
          <w:rtl/>
        </w:rPr>
        <w:t xml:space="preserve"> </w:t>
      </w:r>
      <w:r w:rsidRPr="0025250D">
        <w:rPr>
          <w:rFonts w:hint="cs"/>
          <w:rtl/>
        </w:rPr>
        <w:t>آغاز</w:t>
      </w:r>
      <w:r w:rsidRPr="0025250D">
        <w:t>‌</w:t>
      </w:r>
      <w:r w:rsidRPr="0025250D">
        <w:rPr>
          <w:rtl/>
        </w:rPr>
        <w:t xml:space="preserve"> می‌</w:t>
      </w:r>
      <w:r w:rsidRPr="0025250D">
        <w:rPr>
          <w:rFonts w:hint="cs"/>
          <w:rtl/>
        </w:rPr>
        <w:t>شود،</w:t>
      </w:r>
      <w:r w:rsidRPr="0025250D">
        <w:rPr>
          <w:rtl/>
        </w:rPr>
        <w:t xml:space="preserve"> </w:t>
      </w:r>
      <w:r w:rsidRPr="0025250D">
        <w:rPr>
          <w:rFonts w:hint="cs"/>
          <w:rtl/>
        </w:rPr>
        <w:t>برای</w:t>
      </w:r>
      <w:r w:rsidRPr="0025250D">
        <w:rPr>
          <w:rtl/>
        </w:rPr>
        <w:t xml:space="preserve"> </w:t>
      </w:r>
      <w:r w:rsidRPr="0025250D">
        <w:rPr>
          <w:rFonts w:hint="cs"/>
          <w:rtl/>
        </w:rPr>
        <w:t>ارزیابی</w:t>
      </w:r>
      <w:r w:rsidRPr="0025250D">
        <w:rPr>
          <w:rtl/>
        </w:rPr>
        <w:t xml:space="preserve"> </w:t>
      </w:r>
      <w:r w:rsidRPr="0025250D">
        <w:rPr>
          <w:rFonts w:hint="cs"/>
          <w:rtl/>
        </w:rPr>
        <w:t>تغییرات</w:t>
      </w:r>
      <w:r w:rsidRPr="0025250D">
        <w:rPr>
          <w:rtl/>
        </w:rPr>
        <w:t xml:space="preserve"> </w:t>
      </w:r>
      <w:r w:rsidRPr="0025250D">
        <w:rPr>
          <w:rFonts w:hint="cs"/>
          <w:rtl/>
        </w:rPr>
        <w:t>خارجی</w:t>
      </w:r>
      <w:r w:rsidRPr="0025250D">
        <w:rPr>
          <w:rtl/>
        </w:rPr>
        <w:t xml:space="preserve"> </w:t>
      </w:r>
      <w:r w:rsidRPr="0025250D">
        <w:rPr>
          <w:rFonts w:hint="cs"/>
          <w:rtl/>
        </w:rPr>
        <w:t xml:space="preserve">مرتبط </w:t>
      </w:r>
      <w:r w:rsidR="00923DDB" w:rsidRPr="0025250D">
        <w:rPr>
          <w:rFonts w:hint="cs"/>
          <w:rtl/>
        </w:rPr>
        <w:t>اثربخشی</w:t>
      </w:r>
      <w:r w:rsidR="00BB406C" w:rsidRPr="0025250D">
        <w:rPr>
          <w:rtl/>
        </w:rPr>
        <w:t xml:space="preserve"> کم‌تر</w:t>
      </w:r>
      <w:r w:rsidRPr="0025250D">
        <w:rPr>
          <w:rFonts w:hint="cs"/>
          <w:rtl/>
        </w:rPr>
        <w:t>ی</w:t>
      </w:r>
      <w:r w:rsidRPr="0025250D">
        <w:rPr>
          <w:rtl/>
        </w:rPr>
        <w:t xml:space="preserve"> </w:t>
      </w:r>
      <w:r w:rsidRPr="0025250D">
        <w:rPr>
          <w:rFonts w:hint="cs"/>
          <w:rtl/>
        </w:rPr>
        <w:t xml:space="preserve">نسبت به </w:t>
      </w:r>
      <w:r w:rsidRPr="0025250D">
        <w:t>ADOR</w:t>
      </w:r>
      <w:r w:rsidRPr="0025250D">
        <w:rPr>
          <w:rtl/>
        </w:rPr>
        <w:t xml:space="preserve"> </w:t>
      </w:r>
      <w:r w:rsidRPr="0025250D">
        <w:rPr>
          <w:rFonts w:hint="cs"/>
          <w:rtl/>
        </w:rPr>
        <w:t xml:space="preserve">دارد. در تحلیل </w:t>
      </w:r>
      <w:r w:rsidRPr="0025250D">
        <w:t>ADOR</w:t>
      </w:r>
      <w:r w:rsidRPr="0025250D">
        <w:rPr>
          <w:rFonts w:hint="cs"/>
          <w:rtl/>
        </w:rPr>
        <w:t>،</w:t>
      </w:r>
      <w:r w:rsidRPr="0025250D">
        <w:rPr>
          <w:rtl/>
        </w:rPr>
        <w:t xml:space="preserve"> </w:t>
      </w:r>
      <w:r w:rsidRPr="0025250D">
        <w:rPr>
          <w:rFonts w:hint="cs"/>
          <w:rtl/>
        </w:rPr>
        <w:t>از متخصصین</w:t>
      </w:r>
      <w:r w:rsidRPr="0025250D">
        <w:rPr>
          <w:rtl/>
        </w:rPr>
        <w:t xml:space="preserve"> آینده‌نگاری</w:t>
      </w:r>
      <w:r w:rsidR="008D6F97" w:rsidRPr="0025250D">
        <w:rPr>
          <w:rtl/>
        </w:rPr>
        <w:t xml:space="preserve"> </w:t>
      </w:r>
      <w:r w:rsidRPr="0025250D">
        <w:rPr>
          <w:rFonts w:hint="cs"/>
          <w:rtl/>
        </w:rPr>
        <w:t>خواسته</w:t>
      </w:r>
      <w:r w:rsidRPr="0025250D">
        <w:rPr>
          <w:rFonts w:hint="cs"/>
        </w:rPr>
        <w:t>‌</w:t>
      </w:r>
      <w:r w:rsidRPr="0025250D">
        <w:rPr>
          <w:rFonts w:hint="cs"/>
          <w:rtl/>
        </w:rPr>
        <w:t xml:space="preserve"> می‌شود که مزایای خارجی، سپس </w:t>
      </w:r>
      <w:r w:rsidR="00D92F6E" w:rsidRPr="0025250D">
        <w:rPr>
          <w:rFonts w:hint="cs"/>
          <w:rtl/>
        </w:rPr>
        <w:t>بنیان‌افکن</w:t>
      </w:r>
      <w:r w:rsidRPr="0025250D">
        <w:rPr>
          <w:rFonts w:hint="cs"/>
          <w:rtl/>
        </w:rPr>
        <w:t xml:space="preserve">‌های خارجی و سپس فرصت‌های داخلی و در آخر ریسک‌های داخلی را به ترتیب بررسی کنند. </w:t>
      </w:r>
      <w:r w:rsidRPr="0025250D">
        <w:rPr>
          <w:rtl/>
        </w:rPr>
        <w:t>آینده‌نگاری</w:t>
      </w:r>
      <w:r w:rsidRPr="0025250D">
        <w:rPr>
          <w:rFonts w:hint="cs"/>
          <w:rtl/>
        </w:rPr>
        <w:t xml:space="preserve"> خوب معمولا با ارزیابی‌های محیطی مربوط به وظایف آغاز</w:t>
      </w:r>
      <w:r w:rsidRPr="0025250D">
        <w:rPr>
          <w:rFonts w:hint="cs"/>
        </w:rPr>
        <w:t>‌</w:t>
      </w:r>
      <w:r w:rsidRPr="0025250D">
        <w:rPr>
          <w:rFonts w:hint="cs"/>
          <w:rtl/>
        </w:rPr>
        <w:t xml:space="preserve"> می‌شود و سپس به سمت داخل حرکت</w:t>
      </w:r>
      <w:r w:rsidRPr="0025250D">
        <w:rPr>
          <w:rFonts w:hint="cs"/>
        </w:rPr>
        <w:t>‌</w:t>
      </w:r>
      <w:r w:rsidRPr="0025250D">
        <w:rPr>
          <w:rFonts w:hint="cs"/>
          <w:rtl/>
        </w:rPr>
        <w:t xml:space="preserve"> می‌کند. اصطلاحات </w:t>
      </w:r>
      <w:r w:rsidR="006335B8" w:rsidRPr="0025250D">
        <w:rPr>
          <w:rtl/>
        </w:rPr>
        <w:t>«</w:t>
      </w:r>
      <w:r w:rsidRPr="0025250D">
        <w:rPr>
          <w:rFonts w:hint="cs"/>
          <w:rtl/>
        </w:rPr>
        <w:t>نقاط قوت</w:t>
      </w:r>
      <w:r w:rsidR="006335B8" w:rsidRPr="0025250D">
        <w:rPr>
          <w:rtl/>
        </w:rPr>
        <w:t>»</w:t>
      </w:r>
      <w:r w:rsidRPr="0025250D">
        <w:rPr>
          <w:rFonts w:hint="cs"/>
          <w:rtl/>
        </w:rPr>
        <w:t xml:space="preserve"> و </w:t>
      </w:r>
      <w:r w:rsidR="006335B8" w:rsidRPr="0025250D">
        <w:rPr>
          <w:rtl/>
        </w:rPr>
        <w:t>«</w:t>
      </w:r>
      <w:r w:rsidRPr="0025250D">
        <w:rPr>
          <w:rFonts w:hint="cs"/>
          <w:rtl/>
        </w:rPr>
        <w:t>نقاط ضعف</w:t>
      </w:r>
      <w:r w:rsidR="006335B8" w:rsidRPr="0025250D">
        <w:rPr>
          <w:rtl/>
        </w:rPr>
        <w:t>»</w:t>
      </w:r>
      <w:r w:rsidRPr="0025250D">
        <w:rPr>
          <w:rFonts w:hint="cs"/>
          <w:rtl/>
        </w:rPr>
        <w:t xml:space="preserve"> </w:t>
      </w:r>
      <w:r w:rsidRPr="0025250D">
        <w:t>SWOT</w:t>
      </w:r>
      <w:r w:rsidRPr="0025250D">
        <w:rPr>
          <w:rFonts w:hint="cs"/>
          <w:rtl/>
        </w:rPr>
        <w:t xml:space="preserve"> برای اشاره به موارد مثبت و منفی داخلی نیز دسته بندی ضعیفی برای استفاده هستند. نقاط ضعف و قوت باید در ارتباط با فرصت‌ها و ریسک‌های (تهدیدات) فعلی ما ارزیابی شوند. ما اغلب نیاز داریم که با دیگران برای کسب یک فرصت یا کاهش یک ریسک همکاری کنیم. به طور خلاصه، </w:t>
      </w:r>
      <w:r w:rsidRPr="0025250D">
        <w:t>ADOR</w:t>
      </w:r>
      <w:r w:rsidRPr="0025250D">
        <w:rPr>
          <w:rFonts w:hint="cs"/>
          <w:rtl/>
        </w:rPr>
        <w:t xml:space="preserve"> یک </w:t>
      </w:r>
      <w:r w:rsidR="00B13F65" w:rsidRPr="0025250D">
        <w:rPr>
          <w:rFonts w:hint="cs"/>
          <w:rtl/>
        </w:rPr>
        <w:t>چارچوب</w:t>
      </w:r>
      <w:r w:rsidRPr="0025250D">
        <w:rPr>
          <w:rFonts w:hint="cs"/>
          <w:rtl/>
        </w:rPr>
        <w:t xml:space="preserve"> تحلیل </w:t>
      </w:r>
      <w:r w:rsidR="00701E03" w:rsidRPr="0025250D">
        <w:rPr>
          <w:rFonts w:hint="cs"/>
          <w:rtl/>
        </w:rPr>
        <w:t>راهبردی</w:t>
      </w:r>
      <w:r w:rsidRPr="0025250D">
        <w:rPr>
          <w:rFonts w:hint="cs"/>
          <w:rtl/>
        </w:rPr>
        <w:t xml:space="preserve"> مفید‌تر است.</w:t>
      </w:r>
    </w:p>
    <w:p w14:paraId="1F6BDF13" w14:textId="51777EA1" w:rsidR="0020732A" w:rsidRPr="0025250D" w:rsidRDefault="0020732A" w:rsidP="0020732A">
      <w:pPr>
        <w:rPr>
          <w:rtl/>
        </w:rPr>
      </w:pPr>
      <w:r w:rsidRPr="0025250D">
        <w:rPr>
          <w:rFonts w:hint="cs"/>
          <w:rtl/>
        </w:rPr>
        <w:t xml:space="preserve">همچنین به یاد داشته باشید که مزایا ظرفیت‌های </w:t>
      </w:r>
      <w:r w:rsidR="002F3C14" w:rsidRPr="0025250D">
        <w:rPr>
          <w:rFonts w:hint="cs"/>
          <w:rtl/>
        </w:rPr>
        <w:t>انطباقی</w:t>
      </w:r>
      <w:r w:rsidRPr="0025250D">
        <w:rPr>
          <w:rFonts w:hint="cs"/>
          <w:rtl/>
        </w:rPr>
        <w:t xml:space="preserve"> جدیدی هستند که توسط دیگران کسب </w:t>
      </w:r>
      <w:r w:rsidR="00185F3E" w:rsidRPr="0025250D">
        <w:rPr>
          <w:rFonts w:hint="cs"/>
          <w:rtl/>
        </w:rPr>
        <w:t>شده‌اند</w:t>
      </w:r>
      <w:r w:rsidRPr="0025250D">
        <w:rPr>
          <w:rFonts w:hint="cs"/>
          <w:rtl/>
        </w:rPr>
        <w:t>، اما هنوز توسط ما کسب ن</w:t>
      </w:r>
      <w:r w:rsidR="00185F3E" w:rsidRPr="0025250D">
        <w:rPr>
          <w:rFonts w:hint="cs"/>
          <w:rtl/>
        </w:rPr>
        <w:t>شده‌اند</w:t>
      </w:r>
      <w:r w:rsidRPr="0025250D">
        <w:rPr>
          <w:rFonts w:hint="cs"/>
          <w:rtl/>
        </w:rPr>
        <w:t>. کلمه مزیت به ما یادآوری</w:t>
      </w:r>
      <w:r w:rsidRPr="0025250D">
        <w:rPr>
          <w:rFonts w:hint="cs"/>
        </w:rPr>
        <w:t>‌</w:t>
      </w:r>
      <w:r w:rsidRPr="0025250D">
        <w:rPr>
          <w:rFonts w:hint="cs"/>
          <w:rtl/>
        </w:rPr>
        <w:t xml:space="preserve"> می‌کند که در </w:t>
      </w:r>
      <w:r w:rsidRPr="0025250D">
        <w:rPr>
          <w:rtl/>
        </w:rPr>
        <w:t>آینده‌نگاری</w:t>
      </w:r>
      <w:r w:rsidR="008D6F97" w:rsidRPr="0025250D">
        <w:rPr>
          <w:rtl/>
        </w:rPr>
        <w:t xml:space="preserve"> </w:t>
      </w:r>
      <w:r w:rsidRPr="0025250D">
        <w:rPr>
          <w:rFonts w:hint="cs"/>
          <w:rtl/>
        </w:rPr>
        <w:t>یک مسئولیت اصلی و مهم برای پویش تغییر مثبت روزانه که به‌صورت خارجی رخ</w:t>
      </w:r>
      <w:r w:rsidRPr="0025250D">
        <w:rPr>
          <w:rFonts w:hint="cs"/>
        </w:rPr>
        <w:t>‌</w:t>
      </w:r>
      <w:r w:rsidRPr="0025250D">
        <w:rPr>
          <w:rFonts w:hint="cs"/>
          <w:rtl/>
        </w:rPr>
        <w:t xml:space="preserve"> می‌دهد، داریم. </w:t>
      </w:r>
      <w:r w:rsidR="00D92F6E" w:rsidRPr="0025250D">
        <w:rPr>
          <w:rFonts w:hint="cs"/>
          <w:rtl/>
        </w:rPr>
        <w:t>بنیان‌افکن</w:t>
      </w:r>
      <w:r w:rsidRPr="0025250D">
        <w:rPr>
          <w:rFonts w:hint="cs"/>
          <w:rtl/>
        </w:rPr>
        <w:t>‌ها تغییرات و فجایع اجباری</w:t>
      </w:r>
      <w:r w:rsidRPr="0025250D">
        <w:rPr>
          <w:vertAlign w:val="superscript"/>
          <w:rtl/>
        </w:rPr>
        <w:footnoteReference w:id="674"/>
      </w:r>
      <w:r w:rsidRPr="0025250D">
        <w:rPr>
          <w:rFonts w:hint="cs"/>
          <w:rtl/>
        </w:rPr>
        <w:t xml:space="preserve"> هستند که به برخی آسیب</w:t>
      </w:r>
      <w:r w:rsidRPr="0025250D">
        <w:rPr>
          <w:rFonts w:hint="cs"/>
        </w:rPr>
        <w:t>‌</w:t>
      </w:r>
      <w:r w:rsidRPr="0025250D">
        <w:rPr>
          <w:rFonts w:hint="cs"/>
          <w:rtl/>
        </w:rPr>
        <w:t xml:space="preserve"> می‌زنند، در حالی که مزایای جدیدی برای برخی دیگر به همراه دارند. فجایع تقریبا همیشه برای برخی مثبت هستند</w:t>
      </w:r>
      <w:r w:rsidR="00274907" w:rsidRPr="0025250D">
        <w:rPr>
          <w:rFonts w:hint="cs"/>
          <w:rtl/>
        </w:rPr>
        <w:t xml:space="preserve"> و </w:t>
      </w:r>
      <w:r w:rsidRPr="0025250D">
        <w:rPr>
          <w:rFonts w:hint="cs"/>
          <w:rtl/>
        </w:rPr>
        <w:t xml:space="preserve">برای </w:t>
      </w:r>
      <w:r w:rsidR="00274907" w:rsidRPr="0025250D">
        <w:rPr>
          <w:rFonts w:hint="cs"/>
          <w:rtl/>
        </w:rPr>
        <w:t xml:space="preserve">برخی افراد </w:t>
      </w:r>
      <w:r w:rsidRPr="0025250D">
        <w:rPr>
          <w:rFonts w:hint="cs"/>
          <w:rtl/>
        </w:rPr>
        <w:t>دیگر منفی</w:t>
      </w:r>
      <w:r w:rsidRPr="0025250D">
        <w:rPr>
          <w:rFonts w:hint="cs"/>
        </w:rPr>
        <w:t>‌</w:t>
      </w:r>
      <w:r w:rsidRPr="0025250D">
        <w:rPr>
          <w:rFonts w:hint="cs"/>
          <w:rtl/>
        </w:rPr>
        <w:t xml:space="preserve"> می‌باشند. کلمه </w:t>
      </w:r>
      <w:r w:rsidR="00D92F6E" w:rsidRPr="0025250D">
        <w:rPr>
          <w:rFonts w:hint="cs"/>
          <w:rtl/>
        </w:rPr>
        <w:t>بنیان‌افکن</w:t>
      </w:r>
      <w:r w:rsidRPr="0025250D">
        <w:rPr>
          <w:rFonts w:hint="cs"/>
          <w:rtl/>
        </w:rPr>
        <w:t xml:space="preserve"> به ما یادآوری</w:t>
      </w:r>
      <w:r w:rsidRPr="0025250D">
        <w:rPr>
          <w:rFonts w:hint="cs"/>
        </w:rPr>
        <w:t>‌</w:t>
      </w:r>
      <w:r w:rsidRPr="0025250D">
        <w:rPr>
          <w:rFonts w:hint="cs"/>
          <w:rtl/>
        </w:rPr>
        <w:t xml:space="preserve"> می‌کند که نکات مثبت و منفی همه تغییرات اجباری را بیابیم.</w:t>
      </w:r>
    </w:p>
    <w:p w14:paraId="0859B106" w14:textId="42219EAB" w:rsidR="0020732A" w:rsidRPr="0025250D" w:rsidRDefault="0020732A" w:rsidP="0020732A">
      <w:pPr>
        <w:rPr>
          <w:rtl/>
        </w:rPr>
      </w:pPr>
      <w:r w:rsidRPr="0025250D">
        <w:rPr>
          <w:rFonts w:hint="cs"/>
          <w:rtl/>
        </w:rPr>
        <w:lastRenderedPageBreak/>
        <w:t xml:space="preserve">ما باید دائما در تحلیل </w:t>
      </w:r>
      <w:r w:rsidRPr="0025250D">
        <w:t>ADOR</w:t>
      </w:r>
      <w:r w:rsidRPr="0025250D">
        <w:rPr>
          <w:rFonts w:hint="cs"/>
          <w:rtl/>
        </w:rPr>
        <w:t xml:space="preserve"> دو ذهنیت داشته باشیم و هم خوش‌بینی‌های </w:t>
      </w:r>
      <w:r w:rsidR="00701E03" w:rsidRPr="0025250D">
        <w:rPr>
          <w:rFonts w:hint="cs"/>
          <w:rtl/>
        </w:rPr>
        <w:t>راهبردی</w:t>
      </w:r>
      <w:r w:rsidRPr="0025250D">
        <w:rPr>
          <w:rFonts w:hint="cs"/>
          <w:rtl/>
        </w:rPr>
        <w:t xml:space="preserve"> و هم بدبینی‌های تدافعی خودمان را تصدیق کرده و پاداش دهیم. باید بیاموزیم که چگونه این ذهنیت‌های مخالف را برای </w:t>
      </w:r>
      <w:r w:rsidR="00701E03" w:rsidRPr="0025250D">
        <w:rPr>
          <w:rFonts w:hint="cs"/>
          <w:rtl/>
        </w:rPr>
        <w:t>راهبرد</w:t>
      </w:r>
      <w:r w:rsidRPr="0025250D">
        <w:rPr>
          <w:rFonts w:hint="cs"/>
          <w:rtl/>
        </w:rPr>
        <w:t xml:space="preserve"> و عمل </w:t>
      </w:r>
      <w:r w:rsidR="00AE5BE0" w:rsidRPr="0025250D">
        <w:rPr>
          <w:rFonts w:hint="cs"/>
          <w:rtl/>
        </w:rPr>
        <w:t>انطباقی</w:t>
      </w:r>
      <w:r w:rsidRPr="0025250D">
        <w:rPr>
          <w:rFonts w:hint="cs"/>
          <w:rtl/>
        </w:rPr>
        <w:t xml:space="preserve"> با هم ادغام و </w:t>
      </w:r>
      <w:r w:rsidR="00B13F65" w:rsidRPr="0025250D">
        <w:rPr>
          <w:rFonts w:hint="cs"/>
          <w:rtl/>
        </w:rPr>
        <w:t>یکپارچه‌سازی</w:t>
      </w:r>
      <w:r w:rsidRPr="0025250D">
        <w:rPr>
          <w:rFonts w:hint="cs"/>
          <w:rtl/>
        </w:rPr>
        <w:t xml:space="preserve"> کنیم. کتاب </w:t>
      </w:r>
      <w:r w:rsidR="006335B8" w:rsidRPr="0025250D">
        <w:rPr>
          <w:rtl/>
        </w:rPr>
        <w:t>«</w:t>
      </w:r>
      <w:r w:rsidRPr="0025250D">
        <w:rPr>
          <w:rFonts w:hint="cs"/>
          <w:rtl/>
        </w:rPr>
        <w:t>ذهنیت</w:t>
      </w:r>
      <w:r w:rsidRPr="0025250D">
        <w:rPr>
          <w:rtl/>
        </w:rPr>
        <w:t xml:space="preserve"> </w:t>
      </w:r>
      <w:r w:rsidRPr="0025250D">
        <w:rPr>
          <w:rFonts w:hint="cs"/>
          <w:rtl/>
        </w:rPr>
        <w:t>مخالف</w:t>
      </w:r>
      <w:r w:rsidRPr="0025250D">
        <w:rPr>
          <w:rtl/>
        </w:rPr>
        <w:t xml:space="preserve">: </w:t>
      </w:r>
      <w:r w:rsidRPr="0025250D">
        <w:rPr>
          <w:rFonts w:hint="cs"/>
          <w:rtl/>
        </w:rPr>
        <w:t>چگونه</w:t>
      </w:r>
      <w:r w:rsidRPr="0025250D">
        <w:rPr>
          <w:rtl/>
        </w:rPr>
        <w:t xml:space="preserve"> </w:t>
      </w:r>
      <w:r w:rsidRPr="0025250D">
        <w:rPr>
          <w:rFonts w:hint="cs"/>
          <w:rtl/>
        </w:rPr>
        <w:t>رهبرانِ</w:t>
      </w:r>
      <w:r w:rsidRPr="0025250D">
        <w:rPr>
          <w:rtl/>
        </w:rPr>
        <w:t xml:space="preserve"> </w:t>
      </w:r>
      <w:r w:rsidRPr="0025250D">
        <w:rPr>
          <w:rFonts w:hint="cs"/>
          <w:rtl/>
        </w:rPr>
        <w:t>موفق</w:t>
      </w:r>
      <w:r w:rsidRPr="0025250D">
        <w:rPr>
          <w:rtl/>
        </w:rPr>
        <w:t xml:space="preserve"> </w:t>
      </w:r>
      <w:r w:rsidRPr="0025250D">
        <w:rPr>
          <w:rFonts w:hint="cs"/>
          <w:rtl/>
        </w:rPr>
        <w:t>از</w:t>
      </w:r>
      <w:r w:rsidRPr="0025250D">
        <w:rPr>
          <w:rtl/>
        </w:rPr>
        <w:t xml:space="preserve"> </w:t>
      </w:r>
      <w:r w:rsidRPr="0025250D">
        <w:rPr>
          <w:rFonts w:hint="cs"/>
          <w:rtl/>
        </w:rPr>
        <w:t>طریق</w:t>
      </w:r>
      <w:r w:rsidRPr="0025250D">
        <w:rPr>
          <w:rtl/>
        </w:rPr>
        <w:t xml:space="preserve"> </w:t>
      </w:r>
      <w:r w:rsidRPr="0025250D">
        <w:rPr>
          <w:rFonts w:hint="cs"/>
          <w:rtl/>
        </w:rPr>
        <w:t>تفکر</w:t>
      </w:r>
      <w:r w:rsidRPr="0025250D">
        <w:rPr>
          <w:rtl/>
        </w:rPr>
        <w:t xml:space="preserve"> </w:t>
      </w:r>
      <w:r w:rsidRPr="0025250D">
        <w:rPr>
          <w:rFonts w:hint="cs"/>
          <w:rtl/>
        </w:rPr>
        <w:t>یکپارچه ساز</w:t>
      </w:r>
      <w:r w:rsidRPr="0025250D">
        <w:rPr>
          <w:rtl/>
        </w:rPr>
        <w:t xml:space="preserve"> </w:t>
      </w:r>
      <w:r w:rsidRPr="0025250D">
        <w:rPr>
          <w:rFonts w:hint="cs"/>
          <w:rtl/>
        </w:rPr>
        <w:t>پیروز</w:t>
      </w:r>
      <w:r w:rsidRPr="0025250D">
        <w:t>‌</w:t>
      </w:r>
      <w:r w:rsidRPr="0025250D">
        <w:rPr>
          <w:rtl/>
        </w:rPr>
        <w:t xml:space="preserve"> می‌</w:t>
      </w:r>
      <w:r w:rsidRPr="0025250D">
        <w:rPr>
          <w:rFonts w:hint="cs"/>
          <w:rtl/>
        </w:rPr>
        <w:t>شوند</w:t>
      </w:r>
      <w:r w:rsidR="006335B8" w:rsidRPr="0025250D">
        <w:rPr>
          <w:rtl/>
        </w:rPr>
        <w:t>»</w:t>
      </w:r>
      <w:r w:rsidR="00274907" w:rsidRPr="0025250D">
        <w:rPr>
          <w:rFonts w:hint="cs"/>
          <w:rtl/>
        </w:rPr>
        <w:t xml:space="preserve"> در سال</w:t>
      </w:r>
      <w:r w:rsidRPr="0025250D">
        <w:rPr>
          <w:rFonts w:hint="cs"/>
          <w:rtl/>
        </w:rPr>
        <w:t xml:space="preserve"> 2007، اثر </w:t>
      </w:r>
      <w:r w:rsidRPr="0025250D">
        <w:rPr>
          <w:rtl/>
        </w:rPr>
        <w:t>راجر مارت</w:t>
      </w:r>
      <w:r w:rsidRPr="0025250D">
        <w:rPr>
          <w:rFonts w:hint="cs"/>
          <w:rtl/>
        </w:rPr>
        <w:t>ی</w:t>
      </w:r>
      <w:r w:rsidRPr="0025250D">
        <w:rPr>
          <w:rFonts w:hint="eastAsia"/>
          <w:rtl/>
        </w:rPr>
        <w:t>ن</w:t>
      </w:r>
      <w:r w:rsidRPr="0025250D">
        <w:rPr>
          <w:vertAlign w:val="superscript"/>
          <w:rtl/>
        </w:rPr>
        <w:footnoteReference w:id="675"/>
      </w:r>
      <w:r w:rsidRPr="0025250D">
        <w:rPr>
          <w:rFonts w:hint="cs"/>
          <w:rtl/>
        </w:rPr>
        <w:t xml:space="preserve"> یک مقدمه عالی برای سبک‌های تفکر مخالف</w:t>
      </w:r>
      <w:r w:rsidRPr="0025250D">
        <w:rPr>
          <w:vertAlign w:val="superscript"/>
          <w:rtl/>
        </w:rPr>
        <w:footnoteReference w:id="676"/>
      </w:r>
      <w:r w:rsidRPr="0025250D">
        <w:rPr>
          <w:rFonts w:hint="cs"/>
          <w:rtl/>
        </w:rPr>
        <w:t xml:space="preserve"> و یکپارچه ساز ارائه</w:t>
      </w:r>
      <w:r w:rsidRPr="0025250D">
        <w:rPr>
          <w:rFonts w:hint="cs"/>
        </w:rPr>
        <w:t>‌</w:t>
      </w:r>
      <w:r w:rsidRPr="0025250D">
        <w:rPr>
          <w:rFonts w:hint="cs"/>
          <w:rtl/>
        </w:rPr>
        <w:t xml:space="preserve"> می‌دهد.</w:t>
      </w:r>
    </w:p>
    <w:p w14:paraId="73E8F3D7" w14:textId="6077D753" w:rsidR="0020732A" w:rsidRPr="0025250D" w:rsidRDefault="0020732A" w:rsidP="0020732A">
      <w:pPr>
        <w:rPr>
          <w:rtl/>
        </w:rPr>
      </w:pPr>
      <w:r w:rsidRPr="0025250D">
        <w:rPr>
          <w:rFonts w:hint="cs"/>
          <w:rtl/>
        </w:rPr>
        <w:t xml:space="preserve">در </w:t>
      </w:r>
      <w:r w:rsidRPr="0025250D">
        <w:t>ADOR</w:t>
      </w:r>
      <w:r w:rsidRPr="0025250D">
        <w:rPr>
          <w:rFonts w:hint="cs"/>
          <w:rtl/>
        </w:rPr>
        <w:t xml:space="preserve"> از ما خواسته</w:t>
      </w:r>
      <w:r w:rsidRPr="0025250D">
        <w:rPr>
          <w:rFonts w:hint="cs"/>
        </w:rPr>
        <w:t>‌</w:t>
      </w:r>
      <w:r w:rsidRPr="0025250D">
        <w:rPr>
          <w:rFonts w:hint="cs"/>
          <w:rtl/>
        </w:rPr>
        <w:t xml:space="preserve"> می‌شود که از خارج به داخل کار کنیم و ابتدا تغییرات خارجی مرتبط </w:t>
      </w:r>
      <w:r w:rsidRPr="0025250D">
        <w:rPr>
          <w:rFonts w:cs="Times New Roman" w:hint="cs"/>
          <w:rtl/>
        </w:rPr>
        <w:t>–</w:t>
      </w:r>
      <w:r w:rsidRPr="0025250D">
        <w:rPr>
          <w:rFonts w:hint="cs"/>
          <w:rtl/>
        </w:rPr>
        <w:t xml:space="preserve"> مثبت و منفی - برای دیگران را پویش کنیم. سپس، این تغییرات را با توجه به بافت موجود به فرصت‌ها و ریسک‌های احتمالی برای خودمان ترجمه کنیم</w:t>
      </w:r>
      <w:r w:rsidR="008D6F97" w:rsidRPr="0025250D">
        <w:rPr>
          <w:rtl/>
        </w:rPr>
        <w:t xml:space="preserve">؛ </w:t>
      </w:r>
      <w:r w:rsidRPr="0025250D">
        <w:rPr>
          <w:rFonts w:hint="cs"/>
          <w:rtl/>
        </w:rPr>
        <w:t>بنابراین افق‌پویی</w:t>
      </w:r>
      <w:r w:rsidRPr="0025250D">
        <w:rPr>
          <w:vertAlign w:val="superscript"/>
          <w:rtl/>
        </w:rPr>
        <w:footnoteReference w:id="677"/>
      </w:r>
      <w:r w:rsidRPr="0025250D">
        <w:rPr>
          <w:rFonts w:hint="cs"/>
          <w:rtl/>
        </w:rPr>
        <w:t xml:space="preserve"> (</w:t>
      </w:r>
      <w:r w:rsidRPr="0025250D">
        <w:t>STEEPLES, DIMEFIL</w:t>
      </w:r>
      <w:r w:rsidRPr="0025250D">
        <w:rPr>
          <w:rFonts w:hint="cs"/>
          <w:rtl/>
        </w:rPr>
        <w:t xml:space="preserve"> و غیره) و تحلیل</w:t>
      </w:r>
      <w:r w:rsidRPr="0025250D">
        <w:rPr>
          <w:rtl/>
        </w:rPr>
        <w:t xml:space="preserve"> </w:t>
      </w:r>
      <w:r w:rsidRPr="0025250D">
        <w:rPr>
          <w:rFonts w:hint="cs"/>
          <w:rtl/>
        </w:rPr>
        <w:t>موضوع‌های</w:t>
      </w:r>
      <w:r w:rsidRPr="0025250D">
        <w:rPr>
          <w:rtl/>
        </w:rPr>
        <w:t xml:space="preserve"> </w:t>
      </w:r>
      <w:r w:rsidRPr="0025250D">
        <w:rPr>
          <w:rFonts w:hint="cs"/>
          <w:rtl/>
        </w:rPr>
        <w:t>نوآیند</w:t>
      </w:r>
      <w:r w:rsidRPr="0025250D">
        <w:rPr>
          <w:vertAlign w:val="superscript"/>
          <w:rtl/>
        </w:rPr>
        <w:footnoteReference w:id="678"/>
      </w:r>
      <w:r w:rsidRPr="0025250D">
        <w:rPr>
          <w:rFonts w:hint="cs"/>
          <w:rtl/>
        </w:rPr>
        <w:t xml:space="preserve"> دو گام اول تحلیل </w:t>
      </w:r>
      <w:r w:rsidRPr="0025250D">
        <w:t>ADOR</w:t>
      </w:r>
      <w:r w:rsidRPr="0025250D">
        <w:rPr>
          <w:rFonts w:hint="cs"/>
          <w:rtl/>
        </w:rPr>
        <w:t xml:space="preserve"> هستند. شناسایی تهدیدات کلی</w:t>
      </w:r>
      <w:r w:rsidRPr="0025250D">
        <w:rPr>
          <w:vertAlign w:val="superscript"/>
          <w:rtl/>
        </w:rPr>
        <w:footnoteReference w:id="679"/>
      </w:r>
      <w:r w:rsidRPr="0025250D">
        <w:rPr>
          <w:rFonts w:hint="cs"/>
          <w:rtl/>
        </w:rPr>
        <w:t xml:space="preserve"> تحت </w:t>
      </w:r>
      <w:r w:rsidR="00D92F6E" w:rsidRPr="0025250D">
        <w:rPr>
          <w:rFonts w:hint="cs"/>
          <w:rtl/>
        </w:rPr>
        <w:t>بنیان‌افکن</w:t>
      </w:r>
      <w:r w:rsidRPr="0025250D">
        <w:rPr>
          <w:rFonts w:hint="cs"/>
          <w:rtl/>
        </w:rPr>
        <w:t>ی‌ها بازبینی</w:t>
      </w:r>
      <w:r w:rsidRPr="0025250D">
        <w:rPr>
          <w:rFonts w:hint="cs"/>
        </w:rPr>
        <w:t>‌</w:t>
      </w:r>
      <w:r w:rsidRPr="0025250D">
        <w:rPr>
          <w:rFonts w:hint="cs"/>
          <w:rtl/>
        </w:rPr>
        <w:t xml:space="preserve"> می‌شود اما ارزیابی ریسک حقیقی به‌عنوان آخرین ارزیابی انجام</w:t>
      </w:r>
      <w:r w:rsidRPr="0025250D">
        <w:rPr>
          <w:rFonts w:hint="cs"/>
        </w:rPr>
        <w:t>‌</w:t>
      </w:r>
      <w:r w:rsidRPr="0025250D">
        <w:rPr>
          <w:rFonts w:hint="cs"/>
          <w:rtl/>
        </w:rPr>
        <w:t xml:space="preserve"> می‌شود؛ وقتی که بهترین زمینه را برای تعیین ریسک اقدام و عدم اقدام در اختیار داریم. اغلب</w:t>
      </w:r>
      <w:r w:rsidRPr="0025250D">
        <w:rPr>
          <w:rtl/>
        </w:rPr>
        <w:t xml:space="preserve"> </w:t>
      </w:r>
      <w:r w:rsidRPr="0025250D">
        <w:rPr>
          <w:rFonts w:hint="cs"/>
          <w:rtl/>
        </w:rPr>
        <w:t>ما</w:t>
      </w:r>
      <w:r w:rsidRPr="0025250D">
        <w:rPr>
          <w:rtl/>
        </w:rPr>
        <w:t xml:space="preserve"> </w:t>
      </w:r>
      <w:r w:rsidRPr="0025250D">
        <w:rPr>
          <w:rFonts w:hint="cs"/>
          <w:rtl/>
        </w:rPr>
        <w:t>با</w:t>
      </w:r>
      <w:r w:rsidRPr="0025250D">
        <w:rPr>
          <w:rtl/>
        </w:rPr>
        <w:t xml:space="preserve"> </w:t>
      </w:r>
      <w:r w:rsidRPr="0025250D">
        <w:rPr>
          <w:rFonts w:hint="cs"/>
          <w:rtl/>
        </w:rPr>
        <w:t>امتناع</w:t>
      </w:r>
      <w:r w:rsidRPr="0025250D">
        <w:rPr>
          <w:rtl/>
        </w:rPr>
        <w:t xml:space="preserve"> </w:t>
      </w:r>
      <w:r w:rsidRPr="0025250D">
        <w:rPr>
          <w:rFonts w:hint="cs"/>
          <w:rtl/>
        </w:rPr>
        <w:t>از</w:t>
      </w:r>
      <w:r w:rsidRPr="0025250D">
        <w:rPr>
          <w:rtl/>
        </w:rPr>
        <w:t xml:space="preserve"> </w:t>
      </w:r>
      <w:r w:rsidRPr="0025250D">
        <w:rPr>
          <w:rFonts w:hint="cs"/>
          <w:rtl/>
        </w:rPr>
        <w:t>اقدام،</w:t>
      </w:r>
      <w:r w:rsidRPr="0025250D">
        <w:rPr>
          <w:rtl/>
        </w:rPr>
        <w:t xml:space="preserve"> </w:t>
      </w:r>
      <w:r w:rsidRPr="0025250D">
        <w:rPr>
          <w:rFonts w:hint="cs"/>
          <w:rtl/>
        </w:rPr>
        <w:t>ریسک</w:t>
      </w:r>
      <w:r w:rsidRPr="0025250D">
        <w:rPr>
          <w:rtl/>
        </w:rPr>
        <w:t xml:space="preserve"> </w:t>
      </w:r>
      <w:r w:rsidRPr="0025250D">
        <w:rPr>
          <w:rFonts w:hint="cs"/>
          <w:rtl/>
        </w:rPr>
        <w:t>آینده</w:t>
      </w:r>
      <w:r w:rsidRPr="0025250D">
        <w:rPr>
          <w:rtl/>
        </w:rPr>
        <w:t xml:space="preserve"> </w:t>
      </w:r>
      <w:r w:rsidRPr="0025250D">
        <w:rPr>
          <w:rFonts w:hint="cs"/>
          <w:rtl/>
        </w:rPr>
        <w:t>را</w:t>
      </w:r>
      <w:r w:rsidRPr="0025250D">
        <w:rPr>
          <w:rtl/>
        </w:rPr>
        <w:t xml:space="preserve"> </w:t>
      </w:r>
      <w:r w:rsidRPr="0025250D">
        <w:rPr>
          <w:rFonts w:hint="cs"/>
          <w:rtl/>
        </w:rPr>
        <w:t>برای</w:t>
      </w:r>
      <w:r w:rsidRPr="0025250D">
        <w:rPr>
          <w:rtl/>
        </w:rPr>
        <w:t xml:space="preserve"> </w:t>
      </w:r>
      <w:r w:rsidRPr="0025250D">
        <w:rPr>
          <w:rFonts w:hint="cs"/>
          <w:rtl/>
        </w:rPr>
        <w:t>خود</w:t>
      </w:r>
      <w:r w:rsidRPr="0025250D">
        <w:rPr>
          <w:rtl/>
        </w:rPr>
        <w:t xml:space="preserve"> </w:t>
      </w:r>
      <w:r w:rsidRPr="0025250D">
        <w:rPr>
          <w:rFonts w:hint="cs"/>
          <w:rtl/>
        </w:rPr>
        <w:t>ایجاد</w:t>
      </w:r>
      <w:r w:rsidRPr="0025250D">
        <w:t>‌</w:t>
      </w:r>
      <w:r w:rsidRPr="0025250D">
        <w:rPr>
          <w:rtl/>
        </w:rPr>
        <w:t xml:space="preserve"> می‌</w:t>
      </w:r>
      <w:r w:rsidRPr="0025250D">
        <w:rPr>
          <w:rFonts w:hint="cs"/>
          <w:rtl/>
        </w:rPr>
        <w:t>کنیم،</w:t>
      </w:r>
      <w:r w:rsidRPr="0025250D">
        <w:rPr>
          <w:rtl/>
        </w:rPr>
        <w:t xml:space="preserve"> </w:t>
      </w:r>
      <w:r w:rsidRPr="0025250D">
        <w:rPr>
          <w:rFonts w:hint="cs"/>
          <w:rtl/>
        </w:rPr>
        <w:t>زیرا</w:t>
      </w:r>
      <w:r w:rsidRPr="0025250D">
        <w:rPr>
          <w:rtl/>
        </w:rPr>
        <w:t xml:space="preserve"> </w:t>
      </w:r>
      <w:r w:rsidRPr="0025250D">
        <w:rPr>
          <w:rFonts w:hint="cs"/>
          <w:rtl/>
        </w:rPr>
        <w:t>بیش‌ازحد</w:t>
      </w:r>
      <w:r w:rsidRPr="0025250D">
        <w:rPr>
          <w:rtl/>
        </w:rPr>
        <w:t xml:space="preserve"> </w:t>
      </w:r>
      <w:r w:rsidRPr="0025250D">
        <w:rPr>
          <w:rFonts w:hint="cs"/>
          <w:rtl/>
        </w:rPr>
        <w:t>محتاط</w:t>
      </w:r>
      <w:r w:rsidRPr="0025250D">
        <w:rPr>
          <w:rtl/>
        </w:rPr>
        <w:t xml:space="preserve"> </w:t>
      </w:r>
      <w:r w:rsidRPr="0025250D">
        <w:rPr>
          <w:rFonts w:hint="cs"/>
          <w:rtl/>
        </w:rPr>
        <w:t>یا</w:t>
      </w:r>
      <w:r w:rsidRPr="0025250D">
        <w:rPr>
          <w:rtl/>
        </w:rPr>
        <w:t xml:space="preserve"> </w:t>
      </w:r>
      <w:r w:rsidRPr="0025250D">
        <w:rPr>
          <w:rFonts w:hint="cs"/>
          <w:rtl/>
        </w:rPr>
        <w:t>محافظه</w:t>
      </w:r>
      <w:r w:rsidRPr="0025250D">
        <w:rPr>
          <w:rtl/>
        </w:rPr>
        <w:t xml:space="preserve"> </w:t>
      </w:r>
      <w:r w:rsidRPr="0025250D">
        <w:rPr>
          <w:rFonts w:hint="cs"/>
          <w:rtl/>
        </w:rPr>
        <w:t>کار</w:t>
      </w:r>
      <w:r w:rsidRPr="0025250D">
        <w:rPr>
          <w:rtl/>
        </w:rPr>
        <w:t xml:space="preserve"> </w:t>
      </w:r>
      <w:r w:rsidRPr="0025250D">
        <w:rPr>
          <w:rFonts w:hint="cs"/>
          <w:rtl/>
        </w:rPr>
        <w:t>هستیم.</w:t>
      </w:r>
    </w:p>
    <w:p w14:paraId="4ADF75F1" w14:textId="653AC4D6" w:rsidR="0020732A" w:rsidRPr="0025250D" w:rsidRDefault="0020732A" w:rsidP="0020732A">
      <w:pPr>
        <w:rPr>
          <w:rtl/>
        </w:rPr>
      </w:pPr>
      <w:r w:rsidRPr="0025250D">
        <w:rPr>
          <w:rFonts w:hint="cs"/>
          <w:rtl/>
        </w:rPr>
        <w:t xml:space="preserve">در اینجا خواهیم گفت که </w:t>
      </w:r>
      <w:r w:rsidRPr="0025250D">
        <w:t>ADOR</w:t>
      </w:r>
      <w:r w:rsidRPr="0025250D">
        <w:rPr>
          <w:rFonts w:hint="cs"/>
          <w:rtl/>
        </w:rPr>
        <w:t xml:space="preserve"> در عمل چگونه کار</w:t>
      </w:r>
      <w:r w:rsidRPr="0025250D">
        <w:rPr>
          <w:rFonts w:hint="cs"/>
        </w:rPr>
        <w:t>‌</w:t>
      </w:r>
      <w:r w:rsidRPr="0025250D">
        <w:rPr>
          <w:rFonts w:hint="cs"/>
          <w:rtl/>
        </w:rPr>
        <w:t xml:space="preserve"> می‌کند. توجه داشته باشید که دو گام اول گام‌های یادگیری و گام‌های دوم گام‌های محوری </w:t>
      </w:r>
      <w:r w:rsidRPr="0025250D">
        <w:rPr>
          <w:rtl/>
        </w:rPr>
        <w:t>آینده‌نگاری</w:t>
      </w:r>
      <w:r w:rsidR="008D6F97" w:rsidRPr="0025250D">
        <w:rPr>
          <w:rtl/>
        </w:rPr>
        <w:t xml:space="preserve"> </w:t>
      </w:r>
      <w:r w:rsidRPr="0025250D">
        <w:rPr>
          <w:rFonts w:hint="cs"/>
          <w:rtl/>
        </w:rPr>
        <w:t>هستند.</w:t>
      </w:r>
    </w:p>
    <w:p w14:paraId="79BC7BAF" w14:textId="77777777" w:rsidR="0020732A" w:rsidRPr="0025250D" w:rsidRDefault="0020732A" w:rsidP="00492C47">
      <w:pPr>
        <w:numPr>
          <w:ilvl w:val="0"/>
          <w:numId w:val="21"/>
        </w:numPr>
      </w:pPr>
      <w:r w:rsidRPr="0025250D">
        <w:rPr>
          <w:rFonts w:hint="cs"/>
          <w:b/>
          <w:bCs/>
          <w:rtl/>
        </w:rPr>
        <w:t>پویش مزایا</w:t>
      </w:r>
      <w:r w:rsidRPr="0025250D">
        <w:rPr>
          <w:rFonts w:hint="cs"/>
          <w:rtl/>
        </w:rPr>
        <w:t xml:space="preserve">. محک‌ها، تخصص‌ها، داده‌ها و پیشرفت‌های خارجی مرتبط با وظیفه را بیابید </w:t>
      </w:r>
      <w:r w:rsidRPr="0025250D">
        <w:rPr>
          <w:rFonts w:cs="Times New Roman" w:hint="cs"/>
          <w:rtl/>
        </w:rPr>
        <w:t>–</w:t>
      </w:r>
      <w:r w:rsidRPr="0025250D">
        <w:rPr>
          <w:rFonts w:hint="cs"/>
          <w:rtl/>
        </w:rPr>
        <w:t>گذشته و حال</w:t>
      </w:r>
    </w:p>
    <w:p w14:paraId="4EE1E04F" w14:textId="566FA5E8" w:rsidR="0020732A" w:rsidRPr="0025250D" w:rsidRDefault="0020732A" w:rsidP="00492C47">
      <w:pPr>
        <w:numPr>
          <w:ilvl w:val="0"/>
          <w:numId w:val="21"/>
        </w:numPr>
      </w:pPr>
      <w:r w:rsidRPr="0025250D">
        <w:rPr>
          <w:rFonts w:hint="cs"/>
          <w:b/>
          <w:bCs/>
          <w:rtl/>
        </w:rPr>
        <w:t xml:space="preserve">پویش </w:t>
      </w:r>
      <w:r w:rsidR="00D92F6E" w:rsidRPr="0025250D">
        <w:rPr>
          <w:rFonts w:hint="cs"/>
          <w:b/>
          <w:bCs/>
          <w:rtl/>
        </w:rPr>
        <w:t>بنیان‌افکن</w:t>
      </w:r>
      <w:r w:rsidRPr="0025250D">
        <w:rPr>
          <w:rFonts w:hint="cs"/>
          <w:b/>
          <w:bCs/>
          <w:rtl/>
        </w:rPr>
        <w:t>ی ها</w:t>
      </w:r>
      <w:r w:rsidRPr="0025250D">
        <w:rPr>
          <w:rFonts w:hint="cs"/>
          <w:rtl/>
        </w:rPr>
        <w:t>. تغییرات اجباری خارجی مرتبط با وظیفه را برای دیگران، بیابید - حال و گذشته</w:t>
      </w:r>
    </w:p>
    <w:p w14:paraId="4A671ABA" w14:textId="1A9E2DAC" w:rsidR="0020732A" w:rsidRPr="0025250D" w:rsidRDefault="0020732A" w:rsidP="00492C47">
      <w:pPr>
        <w:numPr>
          <w:ilvl w:val="0"/>
          <w:numId w:val="21"/>
        </w:numPr>
      </w:pPr>
      <w:r w:rsidRPr="0025250D">
        <w:rPr>
          <w:rFonts w:hint="cs"/>
          <w:b/>
          <w:bCs/>
          <w:rtl/>
        </w:rPr>
        <w:t>ارزیابی فرصت ها</w:t>
      </w:r>
      <w:r w:rsidRPr="0025250D">
        <w:rPr>
          <w:rFonts w:hint="cs"/>
          <w:rtl/>
        </w:rPr>
        <w:t xml:space="preserve">. فرصت‌های انجام وظیفه را برای خود و تیمتان ارزیابی کنید </w:t>
      </w:r>
      <w:r w:rsidRPr="0025250D">
        <w:rPr>
          <w:rFonts w:cs="Times New Roman" w:hint="cs"/>
          <w:rtl/>
        </w:rPr>
        <w:t>–</w:t>
      </w:r>
      <w:r w:rsidRPr="0025250D">
        <w:rPr>
          <w:rFonts w:hint="cs"/>
          <w:rtl/>
        </w:rPr>
        <w:t>آینده</w:t>
      </w:r>
    </w:p>
    <w:p w14:paraId="70793E37" w14:textId="414AD07D" w:rsidR="0020732A" w:rsidRPr="0025250D" w:rsidRDefault="0020732A" w:rsidP="00492C47">
      <w:pPr>
        <w:numPr>
          <w:ilvl w:val="0"/>
          <w:numId w:val="21"/>
        </w:numPr>
      </w:pPr>
      <w:r w:rsidRPr="0025250D">
        <w:rPr>
          <w:rFonts w:hint="cs"/>
          <w:b/>
          <w:bCs/>
          <w:rtl/>
        </w:rPr>
        <w:t>ارزیابی ریسک ها</w:t>
      </w:r>
      <w:r w:rsidRPr="0025250D">
        <w:rPr>
          <w:rFonts w:hint="cs"/>
          <w:rtl/>
        </w:rPr>
        <w:t xml:space="preserve">. ریسک‌های انجام وظیفه را برای خود و تیمتان ارزیابی کنید </w:t>
      </w:r>
      <w:r w:rsidRPr="0025250D">
        <w:rPr>
          <w:rFonts w:cs="Times New Roman" w:hint="cs"/>
          <w:rtl/>
        </w:rPr>
        <w:t>–</w:t>
      </w:r>
      <w:r w:rsidRPr="0025250D">
        <w:rPr>
          <w:rFonts w:hint="cs"/>
          <w:rtl/>
        </w:rPr>
        <w:t xml:space="preserve"> آینده</w:t>
      </w:r>
    </w:p>
    <w:p w14:paraId="7654AC5A" w14:textId="69299DFF" w:rsidR="0020732A" w:rsidRPr="0025250D" w:rsidRDefault="0020732A" w:rsidP="0020732A">
      <w:pPr>
        <w:rPr>
          <w:rtl/>
        </w:rPr>
      </w:pPr>
      <w:r w:rsidRPr="0025250D">
        <w:rPr>
          <w:rFonts w:hint="cs"/>
          <w:rtl/>
        </w:rPr>
        <w:t xml:space="preserve">تحلیل </w:t>
      </w:r>
      <w:r w:rsidRPr="0025250D">
        <w:t>ADOR</w:t>
      </w:r>
      <w:r w:rsidRPr="0025250D">
        <w:rPr>
          <w:rFonts w:hint="cs"/>
          <w:rtl/>
        </w:rPr>
        <w:t xml:space="preserve"> هم آگاهی موقعیتی و هم گزینه‌های </w:t>
      </w:r>
      <w:r w:rsidR="00701E03" w:rsidRPr="0025250D">
        <w:rPr>
          <w:rFonts w:hint="cs"/>
          <w:rtl/>
        </w:rPr>
        <w:t>راهبردی</w:t>
      </w:r>
      <w:r w:rsidRPr="0025250D">
        <w:rPr>
          <w:rFonts w:hint="cs"/>
          <w:rtl/>
        </w:rPr>
        <w:t xml:space="preserve"> را به حداکثر</w:t>
      </w:r>
      <w:r w:rsidRPr="0025250D">
        <w:rPr>
          <w:rFonts w:hint="cs"/>
        </w:rPr>
        <w:t>‌</w:t>
      </w:r>
      <w:r w:rsidRPr="0025250D">
        <w:rPr>
          <w:rFonts w:hint="cs"/>
          <w:rtl/>
        </w:rPr>
        <w:t xml:space="preserve"> می‌رساند. دنباله</w:t>
      </w:r>
      <w:r w:rsidRPr="0025250D">
        <w:rPr>
          <w:rtl/>
        </w:rPr>
        <w:t xml:space="preserve">‌های </w:t>
      </w:r>
      <w:r w:rsidRPr="0025250D">
        <w:rPr>
          <w:rFonts w:hint="cs"/>
          <w:rtl/>
        </w:rPr>
        <w:t>متناوب</w:t>
      </w:r>
      <w:r w:rsidRPr="0025250D">
        <w:rPr>
          <w:vertAlign w:val="superscript"/>
          <w:rtl/>
        </w:rPr>
        <w:footnoteReference w:id="680"/>
      </w:r>
      <w:r w:rsidRPr="0025250D">
        <w:rPr>
          <w:rFonts w:hint="cs"/>
          <w:rtl/>
        </w:rPr>
        <w:t xml:space="preserve">، مانند تقابل </w:t>
      </w:r>
      <w:r w:rsidR="002B6515" w:rsidRPr="0025250D">
        <w:rPr>
          <w:rFonts w:hint="cs"/>
          <w:rtl/>
        </w:rPr>
        <w:t>حس‌داد</w:t>
      </w:r>
      <w:r w:rsidRPr="0025250D">
        <w:rPr>
          <w:rFonts w:hint="cs"/>
          <w:rtl/>
        </w:rPr>
        <w:t xml:space="preserve"> و تحلیل </w:t>
      </w:r>
      <w:r w:rsidRPr="0025250D">
        <w:t>ADOR</w:t>
      </w:r>
      <w:r w:rsidRPr="0025250D">
        <w:rPr>
          <w:rFonts w:hint="cs"/>
          <w:rtl/>
        </w:rPr>
        <w:t xml:space="preserve"> نیز در مهارت‌های </w:t>
      </w:r>
      <w:r w:rsidRPr="0025250D">
        <w:rPr>
          <w:rtl/>
        </w:rPr>
        <w:t>آینده‌نگاری</w:t>
      </w:r>
      <w:r w:rsidRPr="0025250D">
        <w:rPr>
          <w:rFonts w:hint="cs"/>
          <w:rtl/>
        </w:rPr>
        <w:t xml:space="preserve"> </w:t>
      </w:r>
      <w:r w:rsidRPr="0025250D">
        <w:t>LAIS</w:t>
      </w:r>
      <w:r w:rsidRPr="0025250D">
        <w:rPr>
          <w:rFonts w:hint="cs"/>
          <w:rtl/>
        </w:rPr>
        <w:t xml:space="preserve"> یافت</w:t>
      </w:r>
      <w:r w:rsidRPr="0025250D">
        <w:rPr>
          <w:rFonts w:hint="cs"/>
        </w:rPr>
        <w:t>‌</w:t>
      </w:r>
      <w:r w:rsidRPr="0025250D">
        <w:rPr>
          <w:rFonts w:hint="cs"/>
          <w:rtl/>
        </w:rPr>
        <w:t xml:space="preserve"> می‌شوند (فصل 2). خواهیم دید که مهارت‌های </w:t>
      </w:r>
      <w:r w:rsidRPr="0025250D">
        <w:t>LAIS</w:t>
      </w:r>
      <w:r w:rsidRPr="0025250D">
        <w:rPr>
          <w:rFonts w:hint="cs"/>
          <w:rtl/>
        </w:rPr>
        <w:t xml:space="preserve"> یک دنباله متناوب از انواع</w:t>
      </w:r>
      <w:r w:rsidRPr="0025250D">
        <w:rPr>
          <w:rtl/>
        </w:rPr>
        <w:t xml:space="preserve"> </w:t>
      </w:r>
      <w:r w:rsidRPr="0025250D">
        <w:rPr>
          <w:rFonts w:hint="cs"/>
          <w:rtl/>
        </w:rPr>
        <w:t>واگرا،</w:t>
      </w:r>
      <w:r w:rsidRPr="0025250D">
        <w:rPr>
          <w:rtl/>
        </w:rPr>
        <w:t xml:space="preserve"> </w:t>
      </w:r>
      <w:r w:rsidRPr="0025250D">
        <w:rPr>
          <w:rFonts w:hint="cs"/>
          <w:rtl/>
        </w:rPr>
        <w:t>همگرا،</w:t>
      </w:r>
      <w:r w:rsidRPr="0025250D">
        <w:rPr>
          <w:rtl/>
        </w:rPr>
        <w:t xml:space="preserve"> </w:t>
      </w:r>
      <w:r w:rsidRPr="0025250D">
        <w:rPr>
          <w:rFonts w:hint="cs"/>
          <w:rtl/>
        </w:rPr>
        <w:t>واگرا</w:t>
      </w:r>
      <w:r w:rsidRPr="0025250D">
        <w:rPr>
          <w:rtl/>
        </w:rPr>
        <w:t xml:space="preserve"> </w:t>
      </w:r>
      <w:r w:rsidRPr="0025250D">
        <w:rPr>
          <w:rFonts w:hint="cs"/>
          <w:rtl/>
        </w:rPr>
        <w:t>و</w:t>
      </w:r>
      <w:r w:rsidRPr="0025250D">
        <w:rPr>
          <w:rtl/>
        </w:rPr>
        <w:t xml:space="preserve"> </w:t>
      </w:r>
      <w:r w:rsidRPr="0025250D">
        <w:rPr>
          <w:rFonts w:hint="cs"/>
          <w:rtl/>
        </w:rPr>
        <w:t>همگرای</w:t>
      </w:r>
      <w:r w:rsidRPr="0025250D">
        <w:rPr>
          <w:rtl/>
        </w:rPr>
        <w:t xml:space="preserve"> </w:t>
      </w:r>
      <w:r w:rsidR="00B124DE" w:rsidRPr="0025250D">
        <w:rPr>
          <w:rFonts w:hint="cs"/>
          <w:rtl/>
        </w:rPr>
        <w:t>آینده‌اندیش</w:t>
      </w:r>
      <w:r w:rsidRPr="0025250D">
        <w:rPr>
          <w:rFonts w:hint="cs"/>
          <w:rtl/>
        </w:rPr>
        <w:t>ی هستند.</w:t>
      </w:r>
    </w:p>
    <w:p w14:paraId="2964F9F3" w14:textId="1ED0CEE1" w:rsidR="0020732A" w:rsidRPr="0025250D" w:rsidRDefault="0020732A" w:rsidP="0020732A">
      <w:pPr>
        <w:rPr>
          <w:rtl/>
        </w:rPr>
      </w:pPr>
      <w:r w:rsidRPr="0025250D">
        <w:rPr>
          <w:rFonts w:hint="cs"/>
          <w:rtl/>
        </w:rPr>
        <w:t>به طرز جالبی، دنباله‌های متناوب</w:t>
      </w:r>
      <w:r w:rsidR="00274907" w:rsidRPr="0025250D">
        <w:rPr>
          <w:rFonts w:hint="cs"/>
          <w:rtl/>
        </w:rPr>
        <w:t>ی</w:t>
      </w:r>
      <w:r w:rsidRPr="0025250D">
        <w:rPr>
          <w:rFonts w:hint="cs"/>
          <w:rtl/>
        </w:rPr>
        <w:t xml:space="preserve"> از دو فرایند مخالف و چندین الگوی فراگیر دیگر که بعداً با آن‌ها مواجه خواهیم شد (مانند، چرخه‌ها، بازخورد مثبت و منفی، آستانه‌ها، تمایز، </w:t>
      </w:r>
      <w:r w:rsidR="00B13F65" w:rsidRPr="0025250D">
        <w:rPr>
          <w:rFonts w:hint="cs"/>
          <w:rtl/>
        </w:rPr>
        <w:t>یکپارچه‌سازی</w:t>
      </w:r>
      <w:r w:rsidRPr="0025250D">
        <w:rPr>
          <w:rFonts w:hint="cs"/>
          <w:rtl/>
        </w:rPr>
        <w:t xml:space="preserve">) در همه </w:t>
      </w:r>
      <w:r w:rsidR="008D6F97" w:rsidRPr="0025250D">
        <w:rPr>
          <w:rFonts w:hint="cs"/>
          <w:rtl/>
        </w:rPr>
        <w:t>سامانه‌</w:t>
      </w:r>
      <w:r w:rsidRPr="0025250D">
        <w:rPr>
          <w:rFonts w:hint="cs"/>
          <w:rtl/>
        </w:rPr>
        <w:t>‌های زنده یافت</w:t>
      </w:r>
      <w:r w:rsidRPr="0025250D">
        <w:rPr>
          <w:rFonts w:hint="cs"/>
        </w:rPr>
        <w:t>‌</w:t>
      </w:r>
      <w:r w:rsidRPr="0025250D">
        <w:rPr>
          <w:rFonts w:hint="cs"/>
          <w:rtl/>
        </w:rPr>
        <w:t xml:space="preserve"> می‌شوند. آن‌ها برای متوازن، واکنشی و </w:t>
      </w:r>
      <w:r w:rsidR="00AE5BE0" w:rsidRPr="0025250D">
        <w:rPr>
          <w:rFonts w:hint="cs"/>
          <w:rtl/>
        </w:rPr>
        <w:t>انطباقی</w:t>
      </w:r>
      <w:r w:rsidRPr="0025250D">
        <w:rPr>
          <w:rFonts w:hint="cs"/>
          <w:rtl/>
        </w:rPr>
        <w:t xml:space="preserve"> نگاه داشتن </w:t>
      </w:r>
      <w:r w:rsidR="008D6F97" w:rsidRPr="0025250D">
        <w:rPr>
          <w:rFonts w:hint="cs"/>
          <w:rtl/>
        </w:rPr>
        <w:t>سامانه‌</w:t>
      </w:r>
      <w:r w:rsidRPr="0025250D">
        <w:rPr>
          <w:rFonts w:hint="cs"/>
          <w:rtl/>
        </w:rPr>
        <w:t>‌های پیچیده حیاتی هستند. ما باور داریم که جهان به مدل‌های زیست بنیان</w:t>
      </w:r>
      <w:r w:rsidRPr="0025250D">
        <w:rPr>
          <w:vertAlign w:val="superscript"/>
          <w:rtl/>
        </w:rPr>
        <w:footnoteReference w:id="681"/>
      </w:r>
      <w:r w:rsidRPr="0025250D">
        <w:rPr>
          <w:rFonts w:hint="cs"/>
          <w:rtl/>
        </w:rPr>
        <w:t xml:space="preserve"> بیش‌تری از </w:t>
      </w:r>
      <w:r w:rsidRPr="0025250D">
        <w:rPr>
          <w:rtl/>
        </w:rPr>
        <w:t>آینده‌نگاری</w:t>
      </w:r>
      <w:r w:rsidR="008D6F97" w:rsidRPr="0025250D">
        <w:rPr>
          <w:rtl/>
        </w:rPr>
        <w:t xml:space="preserve"> </w:t>
      </w:r>
      <w:r w:rsidRPr="0025250D">
        <w:rPr>
          <w:rFonts w:hint="cs"/>
          <w:rtl/>
        </w:rPr>
        <w:t xml:space="preserve">و عمل </w:t>
      </w:r>
      <w:r w:rsidRPr="0025250D">
        <w:rPr>
          <w:rFonts w:cs="Times New Roman" w:hint="cs"/>
          <w:rtl/>
        </w:rPr>
        <w:t>–</w:t>
      </w:r>
      <w:r w:rsidRPr="0025250D">
        <w:rPr>
          <w:rFonts w:hint="cs"/>
          <w:rtl/>
        </w:rPr>
        <w:t xml:space="preserve"> مبتنی</w:t>
      </w:r>
      <w:r w:rsidRPr="0025250D">
        <w:rPr>
          <w:rtl/>
        </w:rPr>
        <w:t xml:space="preserve"> </w:t>
      </w:r>
      <w:r w:rsidRPr="0025250D">
        <w:rPr>
          <w:rFonts w:hint="cs"/>
          <w:rtl/>
        </w:rPr>
        <w:t>بر</w:t>
      </w:r>
      <w:r w:rsidRPr="0025250D">
        <w:rPr>
          <w:rtl/>
        </w:rPr>
        <w:t xml:space="preserve"> </w:t>
      </w:r>
      <w:r w:rsidRPr="0025250D">
        <w:rPr>
          <w:rFonts w:hint="cs"/>
          <w:rtl/>
        </w:rPr>
        <w:t>مدارک</w:t>
      </w:r>
      <w:r w:rsidRPr="0025250D">
        <w:rPr>
          <w:rtl/>
        </w:rPr>
        <w:t xml:space="preserve"> </w:t>
      </w:r>
      <w:r w:rsidRPr="0025250D">
        <w:rPr>
          <w:rFonts w:hint="cs"/>
          <w:rtl/>
        </w:rPr>
        <w:t>و</w:t>
      </w:r>
      <w:r w:rsidRPr="0025250D">
        <w:rPr>
          <w:rtl/>
        </w:rPr>
        <w:t xml:space="preserve"> </w:t>
      </w:r>
      <w:r w:rsidRPr="0025250D">
        <w:rPr>
          <w:rFonts w:hint="cs"/>
          <w:rtl/>
        </w:rPr>
        <w:t>علم،</w:t>
      </w:r>
      <w:r w:rsidRPr="0025250D">
        <w:rPr>
          <w:rtl/>
        </w:rPr>
        <w:t xml:space="preserve"> </w:t>
      </w:r>
      <w:r w:rsidRPr="0025250D">
        <w:rPr>
          <w:rFonts w:hint="cs"/>
          <w:rtl/>
        </w:rPr>
        <w:t>به</w:t>
      </w:r>
      <w:r w:rsidRPr="0025250D">
        <w:rPr>
          <w:rtl/>
        </w:rPr>
        <w:t xml:space="preserve"> </w:t>
      </w:r>
      <w:r w:rsidRPr="0025250D">
        <w:rPr>
          <w:rFonts w:hint="cs"/>
          <w:rtl/>
        </w:rPr>
        <w:t>ویژه</w:t>
      </w:r>
      <w:r w:rsidRPr="0025250D">
        <w:rPr>
          <w:rtl/>
        </w:rPr>
        <w:t xml:space="preserve"> </w:t>
      </w:r>
      <w:r w:rsidRPr="0025250D">
        <w:rPr>
          <w:rFonts w:hint="cs"/>
          <w:rtl/>
        </w:rPr>
        <w:t>علم</w:t>
      </w:r>
      <w:r w:rsidRPr="0025250D">
        <w:rPr>
          <w:rtl/>
        </w:rPr>
        <w:t xml:space="preserve"> </w:t>
      </w:r>
      <w:r w:rsidR="008D6F97" w:rsidRPr="0025250D">
        <w:rPr>
          <w:rFonts w:hint="cs"/>
          <w:rtl/>
        </w:rPr>
        <w:t>سامانه‌</w:t>
      </w:r>
      <w:r w:rsidRPr="0025250D">
        <w:rPr>
          <w:rtl/>
        </w:rPr>
        <w:t xml:space="preserve">‌های </w:t>
      </w:r>
      <w:r w:rsidRPr="0025250D">
        <w:rPr>
          <w:rFonts w:hint="cs"/>
          <w:rtl/>
        </w:rPr>
        <w:t xml:space="preserve">پیچیده </w:t>
      </w:r>
      <w:r w:rsidRPr="0025250D">
        <w:rPr>
          <w:rFonts w:cs="Times New Roman" w:hint="cs"/>
          <w:rtl/>
        </w:rPr>
        <w:t>–</w:t>
      </w:r>
      <w:r w:rsidRPr="0025250D">
        <w:rPr>
          <w:rFonts w:hint="cs"/>
          <w:rtl/>
        </w:rPr>
        <w:t xml:space="preserve"> برای بهبود </w:t>
      </w:r>
      <w:r w:rsidRPr="0025250D">
        <w:rPr>
          <w:rtl/>
        </w:rPr>
        <w:t>آینده‌نگاری</w:t>
      </w:r>
      <w:r w:rsidR="008D6F97" w:rsidRPr="0025250D">
        <w:rPr>
          <w:rtl/>
        </w:rPr>
        <w:t xml:space="preserve"> </w:t>
      </w:r>
      <w:r w:rsidRPr="0025250D">
        <w:rPr>
          <w:rFonts w:hint="cs"/>
          <w:rtl/>
        </w:rPr>
        <w:t xml:space="preserve">و </w:t>
      </w:r>
      <w:r w:rsidR="00AE5BE0" w:rsidRPr="0025250D">
        <w:rPr>
          <w:rFonts w:hint="cs"/>
          <w:rtl/>
        </w:rPr>
        <w:t>منطبق‌تر</w:t>
      </w:r>
      <w:r w:rsidRPr="0025250D">
        <w:rPr>
          <w:rFonts w:hint="cs"/>
          <w:rtl/>
        </w:rPr>
        <w:t xml:space="preserve"> کردن آن نیاز دارد.</w:t>
      </w:r>
    </w:p>
    <w:p w14:paraId="21D59F7E" w14:textId="0C557390" w:rsidR="0020732A" w:rsidRPr="0025250D" w:rsidRDefault="007118DE" w:rsidP="0020732A">
      <w:pPr>
        <w:rPr>
          <w:rtl/>
        </w:rPr>
      </w:pPr>
      <w:r w:rsidRPr="0025250D">
        <w:rPr>
          <w:rFonts w:hint="cs"/>
          <w:rtl/>
        </w:rPr>
        <w:t>همان‌طور</w:t>
      </w:r>
      <w:r w:rsidR="0020732A" w:rsidRPr="0025250D">
        <w:rPr>
          <w:rFonts w:hint="cs"/>
          <w:rtl/>
        </w:rPr>
        <w:t xml:space="preserve"> که خواهیم گفت، تحلیل </w:t>
      </w:r>
      <w:r w:rsidR="0020732A" w:rsidRPr="0025250D">
        <w:t>ADOR</w:t>
      </w:r>
      <w:r w:rsidR="0020732A" w:rsidRPr="0025250D">
        <w:rPr>
          <w:rFonts w:hint="cs"/>
          <w:rtl/>
        </w:rPr>
        <w:t xml:space="preserve"> به ما برای مبارزه با یک سوگیری رایج در روانشناسی تکاملی، رسانه‌ها و فرهنگ هایمان، یعنی سوگیری </w:t>
      </w:r>
      <w:r w:rsidR="0020732A" w:rsidRPr="0025250D">
        <w:t>DROA</w:t>
      </w:r>
      <w:r w:rsidR="0020732A" w:rsidRPr="0025250D">
        <w:rPr>
          <w:rFonts w:hint="cs"/>
          <w:rtl/>
        </w:rPr>
        <w:t xml:space="preserve"> </w:t>
      </w:r>
      <w:r w:rsidR="00274907" w:rsidRPr="0025250D">
        <w:rPr>
          <w:rFonts w:hint="cs"/>
          <w:rtl/>
        </w:rPr>
        <w:t>کمک</w:t>
      </w:r>
      <w:r w:rsidR="00274907" w:rsidRPr="0025250D">
        <w:rPr>
          <w:rFonts w:hint="cs"/>
        </w:rPr>
        <w:t>‌</w:t>
      </w:r>
      <w:r w:rsidR="00274907" w:rsidRPr="0025250D">
        <w:rPr>
          <w:rFonts w:hint="cs"/>
          <w:rtl/>
        </w:rPr>
        <w:t xml:space="preserve"> می‌کند </w:t>
      </w:r>
      <w:r w:rsidR="0020732A" w:rsidRPr="0025250D">
        <w:rPr>
          <w:rFonts w:hint="cs"/>
          <w:rtl/>
        </w:rPr>
        <w:t xml:space="preserve">که مطابق آن تمایل داریم تا ابتدا به قوی‌ترین شکل ممکن به شیوه شهودی و تدافعی در مورد </w:t>
      </w:r>
      <w:r w:rsidR="00D92F6E" w:rsidRPr="0025250D">
        <w:rPr>
          <w:rFonts w:hint="cs"/>
          <w:rtl/>
        </w:rPr>
        <w:t>بنیان‌افکن</w:t>
      </w:r>
      <w:r w:rsidR="0020732A" w:rsidRPr="0025250D">
        <w:rPr>
          <w:rFonts w:hint="cs"/>
          <w:rtl/>
        </w:rPr>
        <w:t>ی و ریسک فکر و احساس کنیم (</w:t>
      </w:r>
      <w:r w:rsidR="008D6F97" w:rsidRPr="0025250D">
        <w:rPr>
          <w:rFonts w:hint="cs"/>
          <w:rtl/>
        </w:rPr>
        <w:t>سامانه‌</w:t>
      </w:r>
      <w:r w:rsidR="0020732A" w:rsidRPr="0025250D">
        <w:rPr>
          <w:rFonts w:hint="cs"/>
          <w:rtl/>
        </w:rPr>
        <w:t xml:space="preserve"> 1) که در آن احساس و تفکر سنجیده و آرمانی پاسخ‌هایی بسیار ضعیف‌تر و ثانویه هستند (</w:t>
      </w:r>
      <w:r w:rsidR="008D6F97" w:rsidRPr="0025250D">
        <w:rPr>
          <w:rFonts w:hint="cs"/>
          <w:rtl/>
        </w:rPr>
        <w:t>سامانه‌</w:t>
      </w:r>
      <w:r w:rsidR="0020732A" w:rsidRPr="0025250D">
        <w:rPr>
          <w:rFonts w:hint="cs"/>
          <w:rtl/>
        </w:rPr>
        <w:t xml:space="preserve"> 2). </w:t>
      </w:r>
      <w:r w:rsidRPr="0025250D">
        <w:rPr>
          <w:rFonts w:hint="cs"/>
          <w:rtl/>
        </w:rPr>
        <w:t>همان‌طور</w:t>
      </w:r>
      <w:r w:rsidR="0020732A" w:rsidRPr="0025250D">
        <w:rPr>
          <w:rFonts w:hint="cs"/>
          <w:rtl/>
        </w:rPr>
        <w:t xml:space="preserve"> که خواهیم گفت، این سوگیری بسیار خطرناک است.</w:t>
      </w:r>
    </w:p>
    <w:p w14:paraId="1B5471CD" w14:textId="1E6E3268" w:rsidR="0020732A" w:rsidRPr="0025250D" w:rsidRDefault="0020732A" w:rsidP="00726D31">
      <w:pPr>
        <w:pStyle w:val="Heading3"/>
        <w:rPr>
          <w:rtl/>
        </w:rPr>
      </w:pPr>
      <w:r w:rsidRPr="0025250D">
        <w:rPr>
          <w:rFonts w:hint="cs"/>
          <w:rtl/>
        </w:rPr>
        <w:lastRenderedPageBreak/>
        <w:t xml:space="preserve">مخروط آینده‌ها (هفت </w:t>
      </w:r>
      <w:r w:rsidRPr="0025250D">
        <w:t>P</w:t>
      </w:r>
      <w:r w:rsidRPr="0025250D">
        <w:rPr>
          <w:rFonts w:hint="cs"/>
          <w:rtl/>
        </w:rPr>
        <w:t>): قضاوت‌های آینده پیچیده</w:t>
      </w:r>
    </w:p>
    <w:p w14:paraId="119E94D3" w14:textId="5211258E" w:rsidR="0020732A" w:rsidRPr="0025250D" w:rsidRDefault="0020732A" w:rsidP="0020732A">
      <w:pPr>
        <w:rPr>
          <w:rtl/>
        </w:rPr>
      </w:pPr>
      <w:r w:rsidRPr="0025250D">
        <w:rPr>
          <w:rFonts w:hint="cs"/>
          <w:rtl/>
        </w:rPr>
        <w:t xml:space="preserve">آخرین </w:t>
      </w:r>
      <w:r w:rsidR="00B13F65" w:rsidRPr="0025250D">
        <w:rPr>
          <w:rFonts w:hint="cs"/>
          <w:rtl/>
        </w:rPr>
        <w:t>چارچوب</w:t>
      </w:r>
      <w:r w:rsidRPr="0025250D">
        <w:rPr>
          <w:rFonts w:hint="cs"/>
          <w:rtl/>
        </w:rPr>
        <w:t xml:space="preserve"> و مدل، مخروط آینده</w:t>
      </w:r>
      <w:r w:rsidRPr="0025250D">
        <w:rPr>
          <w:vertAlign w:val="superscript"/>
          <w:rtl/>
        </w:rPr>
        <w:footnoteReference w:id="682"/>
      </w:r>
      <w:r w:rsidRPr="0025250D">
        <w:rPr>
          <w:rFonts w:hint="cs"/>
          <w:rtl/>
        </w:rPr>
        <w:t xml:space="preserve">، شایسته قرارگیری در فصل اول این کتاب است. این مورد برگرفته از ساعت شنی </w:t>
      </w:r>
      <w:r w:rsidRPr="0025250D">
        <w:rPr>
          <w:rtl/>
        </w:rPr>
        <w:t>آینده‌نگاری</w:t>
      </w:r>
      <w:r w:rsidRPr="0025250D">
        <w:rPr>
          <w:rFonts w:hint="cs"/>
          <w:rtl/>
        </w:rPr>
        <w:t xml:space="preserve"> است که بر ارزشمند‌ترین انواع قضاوت‌های آینده‌ای که</w:t>
      </w:r>
      <w:r w:rsidRPr="0025250D">
        <w:rPr>
          <w:rFonts w:hint="cs"/>
        </w:rPr>
        <w:t>‌</w:t>
      </w:r>
      <w:r w:rsidRPr="0025250D">
        <w:rPr>
          <w:rFonts w:hint="cs"/>
          <w:rtl/>
        </w:rPr>
        <w:t xml:space="preserve"> می‌توانیم قبل از </w:t>
      </w:r>
      <w:r w:rsidR="00701E03" w:rsidRPr="0025250D">
        <w:rPr>
          <w:rFonts w:hint="cs"/>
          <w:rtl/>
        </w:rPr>
        <w:t>راهبرد</w:t>
      </w:r>
      <w:r w:rsidRPr="0025250D">
        <w:rPr>
          <w:rFonts w:hint="cs"/>
          <w:rtl/>
        </w:rPr>
        <w:t xml:space="preserve"> داشته باشیم، تمرکز دارد. فیزیکدان و </w:t>
      </w:r>
      <w:r w:rsidR="00D92F6E" w:rsidRPr="0025250D">
        <w:rPr>
          <w:rFonts w:hint="cs"/>
          <w:rtl/>
        </w:rPr>
        <w:t>آینده‌پژوه</w:t>
      </w:r>
      <w:r w:rsidRPr="0025250D">
        <w:rPr>
          <w:rFonts w:hint="cs"/>
          <w:rtl/>
        </w:rPr>
        <w:t xml:space="preserve"> </w:t>
      </w:r>
      <w:r w:rsidRPr="0025250D">
        <w:rPr>
          <w:rtl/>
        </w:rPr>
        <w:t>جوزف وروس</w:t>
      </w:r>
      <w:r w:rsidRPr="0025250D">
        <w:rPr>
          <w:vertAlign w:val="superscript"/>
          <w:rtl/>
        </w:rPr>
        <w:footnoteReference w:id="683"/>
      </w:r>
      <w:r w:rsidRPr="0025250D">
        <w:rPr>
          <w:rFonts w:hint="cs"/>
          <w:rtl/>
        </w:rPr>
        <w:t xml:space="preserve"> تاریخچه این مخروط را در </w:t>
      </w:r>
      <w:r w:rsidR="006335B8" w:rsidRPr="0025250D">
        <w:rPr>
          <w:rtl/>
        </w:rPr>
        <w:t>«</w:t>
      </w:r>
      <w:r w:rsidRPr="0025250D">
        <w:rPr>
          <w:rFonts w:hint="cs"/>
          <w:rtl/>
        </w:rPr>
        <w:t>مخروط آینده، کاربرد و تاریخچه</w:t>
      </w:r>
      <w:r w:rsidR="00274907" w:rsidRPr="0025250D">
        <w:rPr>
          <w:rStyle w:val="FootnoteReference"/>
          <w:rtl/>
        </w:rPr>
        <w:footnoteReference w:id="684"/>
      </w:r>
      <w:r w:rsidR="006335B8" w:rsidRPr="0025250D">
        <w:rPr>
          <w:rtl/>
        </w:rPr>
        <w:t>»</w:t>
      </w:r>
      <w:r w:rsidRPr="0025250D">
        <w:rPr>
          <w:rFonts w:hint="cs"/>
          <w:rtl/>
        </w:rPr>
        <w:t xml:space="preserve"> در سال 2017 بیان</w:t>
      </w:r>
      <w:r w:rsidRPr="0025250D">
        <w:rPr>
          <w:rFonts w:hint="cs"/>
        </w:rPr>
        <w:t>‌</w:t>
      </w:r>
      <w:r w:rsidRPr="0025250D">
        <w:rPr>
          <w:rFonts w:hint="cs"/>
          <w:rtl/>
        </w:rPr>
        <w:t xml:space="preserve"> می‌کند. در سال 1990، </w:t>
      </w:r>
      <w:r w:rsidRPr="0025250D">
        <w:rPr>
          <w:rtl/>
        </w:rPr>
        <w:t>چارلز ت</w:t>
      </w:r>
      <w:r w:rsidRPr="0025250D">
        <w:rPr>
          <w:rFonts w:hint="cs"/>
          <w:rtl/>
        </w:rPr>
        <w:t>ی</w:t>
      </w:r>
      <w:r w:rsidRPr="0025250D">
        <w:rPr>
          <w:rFonts w:hint="eastAsia"/>
          <w:rtl/>
        </w:rPr>
        <w:t>لور</w:t>
      </w:r>
      <w:r w:rsidRPr="0025250D">
        <w:rPr>
          <w:vertAlign w:val="superscript"/>
          <w:rtl/>
        </w:rPr>
        <w:footnoteReference w:id="685"/>
      </w:r>
      <w:r w:rsidRPr="0025250D">
        <w:rPr>
          <w:rFonts w:hint="cs"/>
          <w:rtl/>
        </w:rPr>
        <w:t xml:space="preserve"> ساعت شنی </w:t>
      </w:r>
      <w:r w:rsidRPr="0025250D">
        <w:rPr>
          <w:rtl/>
        </w:rPr>
        <w:t>آینده‌نگاری</w:t>
      </w:r>
      <w:r w:rsidRPr="0025250D">
        <w:rPr>
          <w:rFonts w:hint="cs"/>
          <w:rtl/>
        </w:rPr>
        <w:t xml:space="preserve"> را به شکل یک </w:t>
      </w:r>
      <w:r w:rsidR="006335B8" w:rsidRPr="0025250D">
        <w:rPr>
          <w:rtl/>
        </w:rPr>
        <w:t>«</w:t>
      </w:r>
      <w:r w:rsidRPr="0025250D">
        <w:rPr>
          <w:rFonts w:hint="cs"/>
          <w:rtl/>
        </w:rPr>
        <w:t xml:space="preserve">مخروط </w:t>
      </w:r>
      <w:r w:rsidR="00923DDB" w:rsidRPr="0025250D">
        <w:rPr>
          <w:rFonts w:hint="cs"/>
          <w:rtl/>
        </w:rPr>
        <w:t>باورپذیر</w:t>
      </w:r>
      <w:r w:rsidRPr="0025250D">
        <w:rPr>
          <w:rFonts w:hint="cs"/>
          <w:rtl/>
        </w:rPr>
        <w:t>ی</w:t>
      </w:r>
      <w:r w:rsidRPr="0025250D">
        <w:rPr>
          <w:vertAlign w:val="superscript"/>
          <w:rtl/>
        </w:rPr>
        <w:footnoteReference w:id="686"/>
      </w:r>
      <w:r w:rsidR="006335B8" w:rsidRPr="0025250D">
        <w:rPr>
          <w:rtl/>
        </w:rPr>
        <w:t>»</w:t>
      </w:r>
      <w:r w:rsidRPr="0025250D">
        <w:rPr>
          <w:rFonts w:hint="cs"/>
          <w:rtl/>
        </w:rPr>
        <w:t xml:space="preserve"> که شعاع آن با طولانی‌تر شدن افق زمانی افزایش</w:t>
      </w:r>
      <w:r w:rsidRPr="0025250D">
        <w:rPr>
          <w:rFonts w:hint="cs"/>
        </w:rPr>
        <w:t>‌</w:t>
      </w:r>
      <w:r w:rsidRPr="0025250D">
        <w:rPr>
          <w:rFonts w:hint="cs"/>
          <w:rtl/>
        </w:rPr>
        <w:t xml:space="preserve"> می‌یابد و یک </w:t>
      </w:r>
      <w:r w:rsidR="006335B8" w:rsidRPr="0025250D">
        <w:rPr>
          <w:rtl/>
        </w:rPr>
        <w:t>«</w:t>
      </w:r>
      <w:r w:rsidRPr="0025250D">
        <w:rPr>
          <w:rFonts w:hint="cs"/>
          <w:rtl/>
        </w:rPr>
        <w:t>مخروط پشتی</w:t>
      </w:r>
      <w:r w:rsidRPr="0025250D">
        <w:rPr>
          <w:vertAlign w:val="superscript"/>
          <w:rtl/>
        </w:rPr>
        <w:footnoteReference w:id="687"/>
      </w:r>
      <w:r w:rsidR="006335B8" w:rsidRPr="0025250D">
        <w:rPr>
          <w:rtl/>
        </w:rPr>
        <w:t>»</w:t>
      </w:r>
      <w:r w:rsidRPr="0025250D">
        <w:rPr>
          <w:rFonts w:hint="cs"/>
          <w:rtl/>
        </w:rPr>
        <w:t xml:space="preserve"> از موارد ممکن در گذشته که به زمان حال</w:t>
      </w:r>
      <w:r w:rsidRPr="0025250D">
        <w:rPr>
          <w:rFonts w:hint="cs"/>
        </w:rPr>
        <w:t>‌</w:t>
      </w:r>
      <w:r w:rsidRPr="0025250D">
        <w:rPr>
          <w:rFonts w:hint="cs"/>
          <w:rtl/>
        </w:rPr>
        <w:t xml:space="preserve"> می‌رسند، به</w:t>
      </w:r>
      <w:r w:rsidRPr="0025250D">
        <w:rPr>
          <w:rtl/>
        </w:rPr>
        <w:t xml:space="preserve"> </w:t>
      </w:r>
      <w:r w:rsidRPr="0025250D">
        <w:rPr>
          <w:rFonts w:hint="cs"/>
          <w:rtl/>
        </w:rPr>
        <w:t>تصویر</w:t>
      </w:r>
      <w:r w:rsidRPr="0025250D">
        <w:rPr>
          <w:rtl/>
        </w:rPr>
        <w:t xml:space="preserve"> </w:t>
      </w:r>
      <w:r w:rsidRPr="0025250D">
        <w:rPr>
          <w:rFonts w:hint="cs"/>
          <w:rtl/>
        </w:rPr>
        <w:t xml:space="preserve">کشید. </w:t>
      </w:r>
      <w:r w:rsidR="00D92F6E" w:rsidRPr="0025250D">
        <w:rPr>
          <w:rFonts w:hint="cs"/>
          <w:rtl/>
        </w:rPr>
        <w:t>آینده‌پژوه</w:t>
      </w:r>
      <w:r w:rsidRPr="0025250D">
        <w:rPr>
          <w:rFonts w:hint="cs"/>
          <w:rtl/>
        </w:rPr>
        <w:t xml:space="preserve">ان </w:t>
      </w:r>
      <w:r w:rsidRPr="0025250D">
        <w:rPr>
          <w:rtl/>
        </w:rPr>
        <w:t>ترور هنکاک</w:t>
      </w:r>
      <w:r w:rsidRPr="0025250D">
        <w:rPr>
          <w:vertAlign w:val="superscript"/>
          <w:rtl/>
        </w:rPr>
        <w:footnoteReference w:id="688"/>
      </w:r>
      <w:r w:rsidRPr="0025250D">
        <w:rPr>
          <w:rFonts w:hint="cs"/>
          <w:rtl/>
        </w:rPr>
        <w:t xml:space="preserve"> و </w:t>
      </w:r>
      <w:r w:rsidRPr="0025250D">
        <w:rPr>
          <w:rtl/>
        </w:rPr>
        <w:t>کلمنت بزولد</w:t>
      </w:r>
      <w:r w:rsidRPr="0025250D">
        <w:rPr>
          <w:vertAlign w:val="superscript"/>
          <w:rtl/>
        </w:rPr>
        <w:footnoteReference w:id="689"/>
      </w:r>
      <w:r w:rsidRPr="0025250D">
        <w:rPr>
          <w:rFonts w:hint="cs"/>
          <w:rtl/>
        </w:rPr>
        <w:t xml:space="preserve"> انواع متعدد دیگری از آینده‌ها را در سال 1994 به این مخروط افزودند. </w:t>
      </w:r>
      <w:r w:rsidRPr="0025250D">
        <w:rPr>
          <w:rtl/>
        </w:rPr>
        <w:t>وروس</w:t>
      </w:r>
      <w:r w:rsidRPr="0025250D">
        <w:rPr>
          <w:rFonts w:hint="cs"/>
          <w:rtl/>
        </w:rPr>
        <w:t xml:space="preserve"> نسخه خود را در سال 2000 معرفی کرد که تا سال 2017 به 6 قضاوت رسید. ما هفتمین قضاوت (آینده‌های اجتناب پذیر) را به مدل توصیف شده افزوده ایم.</w:t>
      </w:r>
    </w:p>
    <w:p w14:paraId="0BC023D8" w14:textId="77777777" w:rsidR="0020732A" w:rsidRPr="0025250D" w:rsidRDefault="0020732A" w:rsidP="00726D31">
      <w:pPr>
        <w:jc w:val="center"/>
        <w:rPr>
          <w:rtl/>
        </w:rPr>
      </w:pPr>
      <w:r w:rsidRPr="0025250D">
        <w:rPr>
          <w:noProof/>
          <w:lang w:bidi="ar-SA"/>
        </w:rPr>
        <w:drawing>
          <wp:inline distT="0" distB="0" distL="0" distR="0" wp14:anchorId="60860F07" wp14:editId="4496C03A">
            <wp:extent cx="5741072" cy="4508390"/>
            <wp:effectExtent l="0" t="0" r="0"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BEBA8EAE-BF5A-486C-A8C5-ECC9F3942E4B}">
                          <a14:imgProps xmlns:a14="http://schemas.microsoft.com/office/drawing/2010/main">
                            <a14:imgLayer r:embed="rId79">
                              <a14:imgEffect>
                                <a14:saturation sat="0"/>
                              </a14:imgEffect>
                            </a14:imgLayer>
                          </a14:imgProps>
                        </a:ext>
                      </a:extLst>
                    </a:blip>
                    <a:stretch>
                      <a:fillRect/>
                    </a:stretch>
                  </pic:blipFill>
                  <pic:spPr>
                    <a:xfrm>
                      <a:off x="0" y="0"/>
                      <a:ext cx="5765107" cy="4527264"/>
                    </a:xfrm>
                    <a:prstGeom prst="rect">
                      <a:avLst/>
                    </a:prstGeom>
                  </pic:spPr>
                </pic:pic>
              </a:graphicData>
            </a:graphic>
          </wp:inline>
        </w:drawing>
      </w:r>
    </w:p>
    <w:p w14:paraId="652BC9FE" w14:textId="3FD6D450" w:rsidR="0020732A" w:rsidRPr="0025250D" w:rsidRDefault="0020732A" w:rsidP="00726D31">
      <w:pPr>
        <w:jc w:val="center"/>
        <w:rPr>
          <w:rtl/>
        </w:rPr>
      </w:pPr>
      <w:r w:rsidRPr="0025250D">
        <w:rPr>
          <w:rFonts w:hint="cs"/>
          <w:rtl/>
        </w:rPr>
        <w:t xml:space="preserve">اقتباس شده از ووروس (2003). یک </w:t>
      </w:r>
      <w:r w:rsidR="00B13F65" w:rsidRPr="0025250D">
        <w:rPr>
          <w:rFonts w:hint="cs"/>
          <w:rtl/>
        </w:rPr>
        <w:t>چارچوب</w:t>
      </w:r>
      <w:r w:rsidRPr="0025250D">
        <w:rPr>
          <w:rFonts w:hint="cs"/>
          <w:rtl/>
        </w:rPr>
        <w:t xml:space="preserve"> فرایند آینده‌نگاری عمومی، آینده‌نگاری 5(3)10-21</w:t>
      </w:r>
    </w:p>
    <w:p w14:paraId="5BF0FBC6" w14:textId="3AEB08DD" w:rsidR="0020732A" w:rsidRPr="0025250D" w:rsidRDefault="0020732A" w:rsidP="0020732A">
      <w:pPr>
        <w:rPr>
          <w:rtl/>
        </w:rPr>
      </w:pPr>
      <w:r w:rsidRPr="0025250D">
        <w:rPr>
          <w:rFonts w:hint="cs"/>
          <w:rtl/>
        </w:rPr>
        <w:t xml:space="preserve">با توجه به مدل اصلی </w:t>
      </w:r>
      <w:r w:rsidRPr="0025250D">
        <w:rPr>
          <w:rtl/>
        </w:rPr>
        <w:t>ت</w:t>
      </w:r>
      <w:r w:rsidRPr="0025250D">
        <w:rPr>
          <w:rFonts w:hint="cs"/>
          <w:rtl/>
        </w:rPr>
        <w:t>ی</w:t>
      </w:r>
      <w:r w:rsidRPr="0025250D">
        <w:rPr>
          <w:rFonts w:hint="eastAsia"/>
          <w:rtl/>
        </w:rPr>
        <w:t>لور</w:t>
      </w:r>
      <w:r w:rsidRPr="0025250D">
        <w:rPr>
          <w:rFonts w:hint="cs"/>
          <w:rtl/>
        </w:rPr>
        <w:t>، این نمودار از موارد ممکن گسترش یابنده از آینده</w:t>
      </w:r>
      <w:r w:rsidR="007D4A49" w:rsidRPr="0025250D">
        <w:rPr>
          <w:rFonts w:hint="cs"/>
          <w:rtl/>
        </w:rPr>
        <w:t>،</w:t>
      </w:r>
      <w:r w:rsidRPr="0025250D">
        <w:rPr>
          <w:rFonts w:hint="cs"/>
          <w:rtl/>
        </w:rPr>
        <w:t xml:space="preserve"> به طور گسترده </w:t>
      </w:r>
      <w:r w:rsidR="006335B8" w:rsidRPr="0025250D">
        <w:rPr>
          <w:rtl/>
        </w:rPr>
        <w:t>«</w:t>
      </w:r>
      <w:r w:rsidRPr="0025250D">
        <w:rPr>
          <w:rFonts w:hint="cs"/>
          <w:rtl/>
        </w:rPr>
        <w:t>مخروط باورپذیری</w:t>
      </w:r>
      <w:r w:rsidR="006335B8" w:rsidRPr="0025250D">
        <w:rPr>
          <w:rtl/>
        </w:rPr>
        <w:t>»</w:t>
      </w:r>
      <w:r w:rsidRPr="0025250D">
        <w:rPr>
          <w:rFonts w:hint="cs"/>
          <w:rtl/>
        </w:rPr>
        <w:t xml:space="preserve"> نامیده</w:t>
      </w:r>
      <w:r w:rsidRPr="0025250D">
        <w:rPr>
          <w:rFonts w:hint="cs"/>
        </w:rPr>
        <w:t>‌</w:t>
      </w:r>
      <w:r w:rsidRPr="0025250D">
        <w:rPr>
          <w:rFonts w:hint="cs"/>
          <w:rtl/>
        </w:rPr>
        <w:t xml:space="preserve"> می‌شود. این اصطلاح به شکل غلطی نامگذاری شده است. باورپذیری تنها سومین محدوده بزرگ در این نمودار است. آینده‌های </w:t>
      </w:r>
      <w:r w:rsidR="00923DDB" w:rsidRPr="0025250D">
        <w:rPr>
          <w:rFonts w:hint="cs"/>
          <w:rtl/>
        </w:rPr>
        <w:t>باورپذیر</w:t>
      </w:r>
      <w:r w:rsidRPr="0025250D">
        <w:rPr>
          <w:rFonts w:hint="cs"/>
          <w:rtl/>
        </w:rPr>
        <w:t xml:space="preserve"> همواره زیرمجموعه‌ای از </w:t>
      </w:r>
      <w:r w:rsidRPr="0025250D">
        <w:rPr>
          <w:rFonts w:hint="cs"/>
          <w:rtl/>
        </w:rPr>
        <w:lastRenderedPageBreak/>
        <w:t xml:space="preserve">آینده‌های ممکن هستند. به نظر ما مخروط قضاوت‌های آینده و اصطلاح خلاصه </w:t>
      </w:r>
      <w:r w:rsidRPr="0025250D">
        <w:rPr>
          <w:rtl/>
        </w:rPr>
        <w:t>وروس</w:t>
      </w:r>
      <w:r w:rsidRPr="0025250D">
        <w:rPr>
          <w:rFonts w:hint="cs"/>
          <w:rtl/>
        </w:rPr>
        <w:t xml:space="preserve"> </w:t>
      </w:r>
      <w:r w:rsidRPr="0025250D">
        <w:rPr>
          <w:rFonts w:cs="Times New Roman" w:hint="cs"/>
          <w:rtl/>
        </w:rPr>
        <w:t>–</w:t>
      </w:r>
      <w:r w:rsidRPr="0025250D">
        <w:rPr>
          <w:rFonts w:hint="cs"/>
          <w:rtl/>
        </w:rPr>
        <w:t xml:space="preserve"> مخروط آینده ها</w:t>
      </w:r>
      <w:r w:rsidRPr="0025250D">
        <w:rPr>
          <w:vertAlign w:val="superscript"/>
          <w:rtl/>
        </w:rPr>
        <w:footnoteReference w:id="690"/>
      </w:r>
      <w:r w:rsidRPr="0025250D">
        <w:rPr>
          <w:rFonts w:hint="cs"/>
          <w:rtl/>
        </w:rPr>
        <w:t xml:space="preserve"> </w:t>
      </w:r>
      <w:r w:rsidRPr="0025250D">
        <w:rPr>
          <w:rFonts w:cs="Times New Roman" w:hint="cs"/>
          <w:rtl/>
        </w:rPr>
        <w:t>–</w:t>
      </w:r>
      <w:r w:rsidRPr="0025250D">
        <w:rPr>
          <w:rFonts w:hint="cs"/>
          <w:rtl/>
        </w:rPr>
        <w:t xml:space="preserve"> بهترین موارد برای توصیف این نمودار هستند. مخروط آینده هفت ارزیابی را که</w:t>
      </w:r>
      <w:r w:rsidRPr="0025250D">
        <w:rPr>
          <w:rFonts w:hint="cs"/>
        </w:rPr>
        <w:t>‌</w:t>
      </w:r>
      <w:r w:rsidRPr="0025250D">
        <w:rPr>
          <w:rFonts w:hint="cs"/>
          <w:rtl/>
        </w:rPr>
        <w:t xml:space="preserve"> می‌توانند در اتخاذ تصمیمات پر ریسک آینده مفید باشند به ما یادآوری</w:t>
      </w:r>
      <w:r w:rsidRPr="0025250D">
        <w:rPr>
          <w:rFonts w:hint="cs"/>
        </w:rPr>
        <w:t>‌</w:t>
      </w:r>
      <w:r w:rsidRPr="0025250D">
        <w:rPr>
          <w:rFonts w:hint="cs"/>
          <w:rtl/>
        </w:rPr>
        <w:t xml:space="preserve"> می‌کند. برخی منافع و چالش‌های انجام هر یک از این ارزیابی‌ها به طور خلاصه در ذیل بیان </w:t>
      </w:r>
      <w:r w:rsidR="00185F3E" w:rsidRPr="0025250D">
        <w:rPr>
          <w:rFonts w:hint="cs"/>
          <w:rtl/>
        </w:rPr>
        <w:t>شده‌اند</w:t>
      </w:r>
      <w:r w:rsidRPr="0025250D">
        <w:rPr>
          <w:rFonts w:hint="cs"/>
          <w:rtl/>
        </w:rPr>
        <w:t>:</w:t>
      </w:r>
    </w:p>
    <w:p w14:paraId="46F7C75A" w14:textId="68ACEFB1" w:rsidR="0020732A" w:rsidRPr="0025250D" w:rsidRDefault="0020732A" w:rsidP="00492C47">
      <w:pPr>
        <w:numPr>
          <w:ilvl w:val="0"/>
          <w:numId w:val="22"/>
        </w:numPr>
      </w:pPr>
      <w:r w:rsidRPr="0025250D">
        <w:rPr>
          <w:rFonts w:hint="cs"/>
          <w:b/>
          <w:bCs/>
          <w:rtl/>
        </w:rPr>
        <w:t>آینده‌های نامعقول</w:t>
      </w:r>
      <w:r w:rsidRPr="0025250D">
        <w:rPr>
          <w:vertAlign w:val="superscript"/>
          <w:rtl/>
        </w:rPr>
        <w:footnoteReference w:id="691"/>
      </w:r>
      <w:r w:rsidRPr="0025250D">
        <w:rPr>
          <w:rFonts w:hint="cs"/>
          <w:rtl/>
        </w:rPr>
        <w:t>. برخی اوقات، ما آینده محتمل، ممکن، اجتناب پذیر یا مرجح را باور</w:t>
      </w:r>
      <w:r w:rsidR="00EE4B64" w:rsidRPr="0025250D">
        <w:rPr>
          <w:rFonts w:hint="cs"/>
          <w:rtl/>
        </w:rPr>
        <w:t xml:space="preserve"> نمی‌</w:t>
      </w:r>
      <w:r w:rsidRPr="0025250D">
        <w:rPr>
          <w:rFonts w:hint="cs"/>
          <w:rtl/>
        </w:rPr>
        <w:t>کنیم. عدم باور</w:t>
      </w:r>
      <w:r w:rsidRPr="0025250D">
        <w:rPr>
          <w:rFonts w:hint="cs"/>
        </w:rPr>
        <w:t>‌</w:t>
      </w:r>
      <w:r w:rsidRPr="0025250D">
        <w:rPr>
          <w:rFonts w:hint="cs"/>
          <w:rtl/>
        </w:rPr>
        <w:t xml:space="preserve"> می‌تواند ما را از دیدن روند‌ها و پدیداری‌ها، رشد </w:t>
      </w:r>
      <w:r w:rsidR="0008779C" w:rsidRPr="0025250D">
        <w:rPr>
          <w:rFonts w:hint="cs"/>
          <w:rtl/>
        </w:rPr>
        <w:t>تاب‌آور</w:t>
      </w:r>
      <w:r w:rsidRPr="0025250D">
        <w:rPr>
          <w:rFonts w:hint="cs"/>
          <w:rtl/>
        </w:rPr>
        <w:t xml:space="preserve">ی در مقابل عدم قطعیت، جلوگیری از تهدید‌ها یا دیدن آینده‌های مثبت قابل دست‌یابی باز دارد. یکی از اهداف این قضاوت کاهش یا گسترش خط </w:t>
      </w:r>
      <w:r w:rsidR="00E46C90" w:rsidRPr="0025250D">
        <w:rPr>
          <w:rFonts w:hint="cs"/>
          <w:rtl/>
        </w:rPr>
        <w:t>نامعقول بودن</w:t>
      </w:r>
      <w:r w:rsidRPr="0025250D">
        <w:rPr>
          <w:vertAlign w:val="superscript"/>
          <w:rtl/>
        </w:rPr>
        <w:footnoteReference w:id="692"/>
      </w:r>
      <w:r w:rsidRPr="0025250D">
        <w:rPr>
          <w:rFonts w:hint="cs"/>
          <w:rtl/>
        </w:rPr>
        <w:t xml:space="preserve"> نسبت به خط امکان‌پذیری است.</w:t>
      </w:r>
    </w:p>
    <w:p w14:paraId="2AA79B2B" w14:textId="2046A020" w:rsidR="0020732A" w:rsidRPr="0025250D" w:rsidRDefault="0020732A" w:rsidP="00492C47">
      <w:pPr>
        <w:numPr>
          <w:ilvl w:val="0"/>
          <w:numId w:val="22"/>
        </w:numPr>
        <w:rPr>
          <w:rtl/>
        </w:rPr>
      </w:pPr>
      <w:r w:rsidRPr="0025250D">
        <w:rPr>
          <w:rFonts w:hint="cs"/>
          <w:b/>
          <w:bCs/>
          <w:rtl/>
        </w:rPr>
        <w:t>آینده‌های ممکن</w:t>
      </w:r>
      <w:r w:rsidRPr="0025250D">
        <w:rPr>
          <w:rFonts w:hint="cs"/>
          <w:rtl/>
        </w:rPr>
        <w:t xml:space="preserve">. دانش و تخیل انسان محدود هستند. </w:t>
      </w:r>
      <w:r w:rsidR="007118DE" w:rsidRPr="0025250D">
        <w:rPr>
          <w:rFonts w:hint="cs"/>
          <w:rtl/>
        </w:rPr>
        <w:t>همان‌طور</w:t>
      </w:r>
      <w:r w:rsidRPr="0025250D">
        <w:rPr>
          <w:rFonts w:hint="cs"/>
          <w:rtl/>
        </w:rPr>
        <w:t xml:space="preserve"> که شکسپیر</w:t>
      </w:r>
      <w:r w:rsidRPr="0025250D">
        <w:rPr>
          <w:vertAlign w:val="superscript"/>
          <w:rtl/>
        </w:rPr>
        <w:footnoteReference w:id="693"/>
      </w:r>
      <w:r w:rsidRPr="0025250D">
        <w:rPr>
          <w:rFonts w:hint="cs"/>
          <w:rtl/>
        </w:rPr>
        <w:t xml:space="preserve"> در هملت</w:t>
      </w:r>
      <w:r w:rsidRPr="0025250D">
        <w:rPr>
          <w:vertAlign w:val="superscript"/>
          <w:rtl/>
        </w:rPr>
        <w:footnoteReference w:id="694"/>
      </w:r>
      <w:r w:rsidRPr="0025250D">
        <w:rPr>
          <w:rFonts w:hint="cs"/>
        </w:rPr>
        <w:t>‌</w:t>
      </w:r>
      <w:r w:rsidRPr="0025250D">
        <w:rPr>
          <w:rFonts w:hint="cs"/>
          <w:rtl/>
        </w:rPr>
        <w:t xml:space="preserve"> می‌گوید، </w:t>
      </w:r>
      <w:r w:rsidR="006335B8" w:rsidRPr="0025250D">
        <w:rPr>
          <w:rtl/>
        </w:rPr>
        <w:t>«</w:t>
      </w:r>
      <w:r w:rsidRPr="0025250D">
        <w:rPr>
          <w:rFonts w:hint="cs"/>
          <w:rtl/>
        </w:rPr>
        <w:t>هوراتیو</w:t>
      </w:r>
      <w:r w:rsidRPr="0025250D">
        <w:rPr>
          <w:vertAlign w:val="superscript"/>
          <w:rtl/>
        </w:rPr>
        <w:footnoteReference w:id="695"/>
      </w:r>
      <w:r w:rsidRPr="0025250D">
        <w:rPr>
          <w:rFonts w:hint="cs"/>
          <w:rtl/>
        </w:rPr>
        <w:t>، در زمین و بهشت چیز‌های بیش‌تری از آنچه مطابق فلسفه خودت رؤیا پردازی</w:t>
      </w:r>
      <w:r w:rsidRPr="0025250D">
        <w:rPr>
          <w:rFonts w:hint="cs"/>
        </w:rPr>
        <w:t>‌</w:t>
      </w:r>
      <w:r w:rsidRPr="0025250D">
        <w:rPr>
          <w:rFonts w:hint="cs"/>
          <w:rtl/>
        </w:rPr>
        <w:t xml:space="preserve"> می‌کنی وجود دارند</w:t>
      </w:r>
      <w:r w:rsidR="006335B8" w:rsidRPr="0025250D">
        <w:rPr>
          <w:rtl/>
        </w:rPr>
        <w:t>»</w:t>
      </w:r>
      <w:r w:rsidRPr="0025250D">
        <w:rPr>
          <w:rFonts w:hint="cs"/>
          <w:rtl/>
        </w:rPr>
        <w:t>. یک هدف این قضاوت گسترش دانش و تصور ما برای دیدن مجموعه کامل تری از این آینده هاست. به طور مشخص، ما</w:t>
      </w:r>
      <w:r w:rsidRPr="0025250D">
        <w:rPr>
          <w:rFonts w:hint="cs"/>
        </w:rPr>
        <w:t>‌</w:t>
      </w:r>
      <w:r w:rsidRPr="0025250D">
        <w:rPr>
          <w:rFonts w:hint="cs"/>
          <w:rtl/>
        </w:rPr>
        <w:t xml:space="preserve"> می‌خواهیم که </w:t>
      </w:r>
      <w:r w:rsidR="00923DDB" w:rsidRPr="0025250D">
        <w:rPr>
          <w:rFonts w:hint="cs"/>
          <w:rtl/>
        </w:rPr>
        <w:t>شگفتی‌ساز</w:t>
      </w:r>
      <w:r w:rsidRPr="0025250D">
        <w:rPr>
          <w:rFonts w:hint="cs"/>
          <w:rtl/>
        </w:rPr>
        <w:t>ها (آینده</w:t>
      </w:r>
      <w:r w:rsidR="007D4A49" w:rsidRPr="0025250D">
        <w:rPr>
          <w:rFonts w:hint="cs"/>
          <w:rtl/>
        </w:rPr>
        <w:t>‌</w:t>
      </w:r>
      <w:r w:rsidRPr="0025250D">
        <w:rPr>
          <w:rFonts w:hint="cs"/>
          <w:rtl/>
        </w:rPr>
        <w:t>های مثبت یا منفی، غیر محتمل اما به شدت تأثیرگذار) را</w:t>
      </w:r>
      <w:r w:rsidRPr="0025250D">
        <w:rPr>
          <w:rtl/>
        </w:rPr>
        <w:t xml:space="preserve"> </w:t>
      </w:r>
      <w:r w:rsidRPr="0025250D">
        <w:rPr>
          <w:rFonts w:hint="cs"/>
          <w:rtl/>
        </w:rPr>
        <w:t>ببینیم.</w:t>
      </w:r>
    </w:p>
    <w:p w14:paraId="7AF8816E" w14:textId="0D117CC8" w:rsidR="0020732A" w:rsidRPr="0025250D" w:rsidRDefault="0020732A" w:rsidP="00492C47">
      <w:pPr>
        <w:pStyle w:val="ListParagraph"/>
        <w:numPr>
          <w:ilvl w:val="0"/>
          <w:numId w:val="22"/>
        </w:numPr>
        <w:rPr>
          <w:rtl/>
        </w:rPr>
      </w:pPr>
      <w:r w:rsidRPr="0025250D">
        <w:rPr>
          <w:rFonts w:hint="cs"/>
          <w:b/>
          <w:bCs/>
          <w:rtl/>
        </w:rPr>
        <w:t xml:space="preserve">آینده‌های </w:t>
      </w:r>
      <w:r w:rsidR="00923DDB" w:rsidRPr="0025250D">
        <w:rPr>
          <w:rFonts w:hint="cs"/>
          <w:b/>
          <w:bCs/>
          <w:rtl/>
        </w:rPr>
        <w:t>باورپذیر</w:t>
      </w:r>
      <w:r w:rsidRPr="0025250D">
        <w:rPr>
          <w:rFonts w:hint="cs"/>
          <w:rtl/>
        </w:rPr>
        <w:t>. اغلب، آینده ما را غافل گیر</w:t>
      </w:r>
      <w:r w:rsidRPr="0025250D">
        <w:rPr>
          <w:rFonts w:hint="cs"/>
        </w:rPr>
        <w:t>‌</w:t>
      </w:r>
      <w:r w:rsidRPr="0025250D">
        <w:rPr>
          <w:rFonts w:hint="cs"/>
          <w:rtl/>
        </w:rPr>
        <w:t xml:space="preserve"> می‌کند. ما مدل به اندازه کافی خوبی از آنچه</w:t>
      </w:r>
      <w:r w:rsidRPr="0025250D">
        <w:rPr>
          <w:rFonts w:hint="cs"/>
        </w:rPr>
        <w:t>‌</w:t>
      </w:r>
      <w:r w:rsidRPr="0025250D">
        <w:rPr>
          <w:rFonts w:hint="cs"/>
          <w:rtl/>
        </w:rPr>
        <w:t xml:space="preserve"> می‌تواند رخ دهد </w:t>
      </w:r>
      <w:r w:rsidR="007D4A49" w:rsidRPr="0025250D">
        <w:rPr>
          <w:rFonts w:hint="cs"/>
          <w:rtl/>
        </w:rPr>
        <w:t>نداشته‌ایم</w:t>
      </w:r>
      <w:r w:rsidRPr="0025250D">
        <w:rPr>
          <w:rFonts w:hint="cs"/>
          <w:rtl/>
        </w:rPr>
        <w:t>. با کار کافی بر روی موارد ممکن، کار بر روی فرضیات و سوگیری‌های نادرست و تنوع دروندادها،</w:t>
      </w:r>
      <w:r w:rsidRPr="0025250D">
        <w:rPr>
          <w:rFonts w:hint="cs"/>
        </w:rPr>
        <w:t>‌</w:t>
      </w:r>
      <w:r w:rsidRPr="0025250D">
        <w:rPr>
          <w:rFonts w:hint="cs"/>
          <w:rtl/>
        </w:rPr>
        <w:t xml:space="preserve"> می‌توانیم غافل گیری را کاهش دهیم. یک هدف این قضاوت گسترش باورپذیری برای نزدیک‌تر شدن به لبه ممکن بودن است، اما نه فراتر رفتن از آن.</w:t>
      </w:r>
    </w:p>
    <w:p w14:paraId="2A8A5DBC" w14:textId="17B317AA" w:rsidR="0020732A" w:rsidRPr="0025250D" w:rsidRDefault="0020732A" w:rsidP="00492C47">
      <w:pPr>
        <w:pStyle w:val="ListParagraph"/>
        <w:numPr>
          <w:ilvl w:val="0"/>
          <w:numId w:val="22"/>
        </w:numPr>
        <w:rPr>
          <w:rtl/>
        </w:rPr>
      </w:pPr>
      <w:r w:rsidRPr="0025250D">
        <w:rPr>
          <w:rFonts w:hint="cs"/>
          <w:b/>
          <w:bCs/>
          <w:rtl/>
        </w:rPr>
        <w:t>آینده‌های محتمل</w:t>
      </w:r>
      <w:r w:rsidRPr="0025250D">
        <w:rPr>
          <w:rFonts w:hint="cs"/>
          <w:rtl/>
        </w:rPr>
        <w:t>. دانستن برخی از مواردی که رخ دادن آن‌ها بسیار محتمل است ما را متمرکز</w:t>
      </w:r>
      <w:r w:rsidRPr="0025250D">
        <w:rPr>
          <w:rFonts w:hint="cs"/>
        </w:rPr>
        <w:t>‌</w:t>
      </w:r>
      <w:r w:rsidRPr="0025250D">
        <w:rPr>
          <w:rFonts w:hint="cs"/>
          <w:rtl/>
        </w:rPr>
        <w:t xml:space="preserve"> می‌کند. در بهترین حالت، یک گام اولیه و هدایت کننده است که به شکل مفیدی جست و جوی ما را هدایت</w:t>
      </w:r>
      <w:r w:rsidRPr="0025250D">
        <w:rPr>
          <w:rFonts w:hint="cs"/>
        </w:rPr>
        <w:t>‌</w:t>
      </w:r>
      <w:r w:rsidRPr="0025250D">
        <w:rPr>
          <w:rFonts w:hint="cs"/>
          <w:rtl/>
        </w:rPr>
        <w:t xml:space="preserve"> می‌کند و یک </w:t>
      </w:r>
      <w:r w:rsidR="00B13F65" w:rsidRPr="0025250D">
        <w:rPr>
          <w:rFonts w:hint="cs"/>
          <w:rtl/>
        </w:rPr>
        <w:t>چارچوب</w:t>
      </w:r>
      <w:r w:rsidRPr="0025250D">
        <w:rPr>
          <w:rFonts w:hint="cs"/>
          <w:rtl/>
        </w:rPr>
        <w:t xml:space="preserve"> تقابل</w:t>
      </w:r>
      <w:r w:rsidRPr="0025250D">
        <w:rPr>
          <w:rFonts w:hint="cs"/>
        </w:rPr>
        <w:t>‌</w:t>
      </w:r>
      <w:r w:rsidRPr="0025250D">
        <w:rPr>
          <w:rFonts w:hint="cs"/>
          <w:rtl/>
        </w:rPr>
        <w:t xml:space="preserve"> می‌باشد برای آنچه</w:t>
      </w:r>
      <w:r w:rsidRPr="0025250D">
        <w:rPr>
          <w:rFonts w:hint="cs"/>
        </w:rPr>
        <w:t>‌</w:t>
      </w:r>
      <w:r w:rsidRPr="0025250D">
        <w:rPr>
          <w:rFonts w:hint="cs"/>
          <w:rtl/>
        </w:rPr>
        <w:t xml:space="preserve"> می‌تواند رخ دهد. یک هدف این قضاوت تا حد امکان تبدیل این </w:t>
      </w:r>
      <w:r w:rsidR="00B13F65" w:rsidRPr="0025250D">
        <w:rPr>
          <w:rFonts w:hint="cs"/>
          <w:rtl/>
        </w:rPr>
        <w:t>چارچوب</w:t>
      </w:r>
      <w:r w:rsidRPr="0025250D">
        <w:rPr>
          <w:rFonts w:hint="cs"/>
          <w:rtl/>
        </w:rPr>
        <w:t xml:space="preserve"> احتمالی</w:t>
      </w:r>
      <w:r w:rsidR="008D6F97" w:rsidRPr="0025250D">
        <w:rPr>
          <w:rtl/>
        </w:rPr>
        <w:t xml:space="preserve"> </w:t>
      </w:r>
      <w:r w:rsidRPr="0025250D">
        <w:rPr>
          <w:rFonts w:hint="cs"/>
          <w:rtl/>
        </w:rPr>
        <w:t xml:space="preserve">به </w:t>
      </w:r>
      <w:r w:rsidR="00B13F65" w:rsidRPr="0025250D">
        <w:rPr>
          <w:rFonts w:hint="cs"/>
          <w:rtl/>
        </w:rPr>
        <w:t>چارچوب</w:t>
      </w:r>
      <w:r w:rsidRPr="0025250D">
        <w:rPr>
          <w:rFonts w:hint="cs"/>
          <w:rtl/>
        </w:rPr>
        <w:t>ی مبتنی بر مدارک و به خوبی نقد شده است.</w:t>
      </w:r>
    </w:p>
    <w:p w14:paraId="193ACA0B" w14:textId="61BDEA8D" w:rsidR="0020732A" w:rsidRPr="0025250D" w:rsidRDefault="0020732A" w:rsidP="00492C47">
      <w:pPr>
        <w:pStyle w:val="ListParagraph"/>
        <w:numPr>
          <w:ilvl w:val="0"/>
          <w:numId w:val="22"/>
        </w:numPr>
        <w:rPr>
          <w:rtl/>
        </w:rPr>
      </w:pPr>
      <w:r w:rsidRPr="0025250D">
        <w:rPr>
          <w:rFonts w:hint="cs"/>
          <w:b/>
          <w:bCs/>
          <w:rtl/>
        </w:rPr>
        <w:t>آینده‌های پیش نمایی شده</w:t>
      </w:r>
      <w:r w:rsidRPr="0025250D">
        <w:rPr>
          <w:rFonts w:hint="cs"/>
          <w:rtl/>
        </w:rPr>
        <w:t xml:space="preserve">. آینده‌های مورد انتظار ما مواردی هستند که بیش‌ترین </w:t>
      </w:r>
      <w:r w:rsidR="00F50EB4" w:rsidRPr="0025250D">
        <w:rPr>
          <w:rFonts w:hint="cs"/>
          <w:rtl/>
        </w:rPr>
        <w:t>سرمایه‌گذاری</w:t>
      </w:r>
      <w:r w:rsidRPr="0025250D">
        <w:rPr>
          <w:rFonts w:hint="cs"/>
          <w:rtl/>
        </w:rPr>
        <w:t>‌ها و نفوذها به‌صورت سیاسی به سمت آن‌ها هدایت</w:t>
      </w:r>
      <w:r w:rsidRPr="0025250D">
        <w:rPr>
          <w:rFonts w:hint="cs"/>
        </w:rPr>
        <w:t>‌</w:t>
      </w:r>
      <w:r w:rsidRPr="0025250D">
        <w:rPr>
          <w:rFonts w:hint="cs"/>
          <w:rtl/>
        </w:rPr>
        <w:t xml:space="preserve"> می‌شوند. مخالفت با آن‌ها</w:t>
      </w:r>
      <w:r w:rsidRPr="0025250D">
        <w:rPr>
          <w:rFonts w:hint="cs"/>
        </w:rPr>
        <w:t>‌</w:t>
      </w:r>
      <w:r w:rsidRPr="0025250D">
        <w:rPr>
          <w:rFonts w:hint="cs"/>
          <w:rtl/>
        </w:rPr>
        <w:t xml:space="preserve"> می‌تواند ریسک به همراه داشته باشد و اغلب برای منحرف کردن آنها به یک مسیر بهتر به تلاش زیادی نیاز است. یک هدف این قضاوت نزدیک‌تر کردن آینده پیش نمایی شده به آینده مرجح است.</w:t>
      </w:r>
      <w:r w:rsidRPr="0025250D">
        <w:rPr>
          <w:rFonts w:hint="cs"/>
        </w:rPr>
        <w:t>‌</w:t>
      </w:r>
      <w:r w:rsidRPr="0025250D">
        <w:rPr>
          <w:rFonts w:hint="cs"/>
          <w:rtl/>
        </w:rPr>
        <w:t xml:space="preserve"> می‌توانیم به افراد دارای نفوذ کمک کنیم تا آینده حقیقتا مرجح را بهتر ببینند یا اگر این آینده ممکن نیست،</w:t>
      </w:r>
      <w:r w:rsidRPr="0025250D">
        <w:rPr>
          <w:rFonts w:hint="cs"/>
        </w:rPr>
        <w:t>‌</w:t>
      </w:r>
      <w:r w:rsidRPr="0025250D">
        <w:rPr>
          <w:rFonts w:hint="cs"/>
          <w:rtl/>
        </w:rPr>
        <w:t xml:space="preserve"> می‌توانیم خسارات ناشی از آن را محدود کنیم یا از </w:t>
      </w:r>
      <w:r w:rsidRPr="0025250D">
        <w:rPr>
          <w:rtl/>
        </w:rPr>
        <w:t>آینده‌نگاری</w:t>
      </w:r>
      <w:r w:rsidRPr="0025250D">
        <w:rPr>
          <w:rFonts w:hint="cs"/>
          <w:rtl/>
        </w:rPr>
        <w:t xml:space="preserve"> ضعیف رهبر استفاده کنیم.</w:t>
      </w:r>
    </w:p>
    <w:p w14:paraId="7F65CC2D" w14:textId="1EEAA30B" w:rsidR="0020732A" w:rsidRPr="0025250D" w:rsidRDefault="0020732A" w:rsidP="00492C47">
      <w:pPr>
        <w:pStyle w:val="ListParagraph"/>
        <w:numPr>
          <w:ilvl w:val="0"/>
          <w:numId w:val="22"/>
        </w:numPr>
        <w:rPr>
          <w:rtl/>
        </w:rPr>
      </w:pPr>
      <w:r w:rsidRPr="0025250D">
        <w:rPr>
          <w:rFonts w:hint="cs"/>
          <w:b/>
          <w:bCs/>
          <w:rtl/>
        </w:rPr>
        <w:t>آینده‌های مرجح</w:t>
      </w:r>
      <w:r w:rsidRPr="0025250D">
        <w:rPr>
          <w:rFonts w:hint="cs"/>
          <w:rtl/>
        </w:rPr>
        <w:t>. آنچه</w:t>
      </w:r>
      <w:r w:rsidRPr="0025250D">
        <w:rPr>
          <w:rFonts w:hint="cs"/>
        </w:rPr>
        <w:t>‌</w:t>
      </w:r>
      <w:r w:rsidRPr="0025250D">
        <w:rPr>
          <w:rFonts w:hint="cs"/>
          <w:rtl/>
        </w:rPr>
        <w:t xml:space="preserve"> می‌خواهیم باید ممکن و باورپذیر باشد. یک هدف این قضاوت یافتن یک </w:t>
      </w:r>
      <w:r w:rsidR="00B56611" w:rsidRPr="0025250D">
        <w:rPr>
          <w:rFonts w:hint="cs"/>
          <w:rtl/>
        </w:rPr>
        <w:t>چشم‌انداز</w:t>
      </w:r>
      <w:r w:rsidRPr="0025250D">
        <w:rPr>
          <w:rFonts w:hint="cs"/>
          <w:rtl/>
        </w:rPr>
        <w:t xml:space="preserve"> </w:t>
      </w:r>
      <w:r w:rsidR="001A3F0A" w:rsidRPr="0025250D">
        <w:rPr>
          <w:rFonts w:hint="cs"/>
          <w:rtl/>
        </w:rPr>
        <w:t>فردی</w:t>
      </w:r>
      <w:r w:rsidRPr="0025250D">
        <w:rPr>
          <w:rFonts w:hint="cs"/>
          <w:rtl/>
        </w:rPr>
        <w:t xml:space="preserve"> است که به نظر احتمال دارد که ما را </w:t>
      </w:r>
      <w:r w:rsidR="00AE5BE0" w:rsidRPr="0025250D">
        <w:rPr>
          <w:rFonts w:hint="cs"/>
          <w:rtl/>
        </w:rPr>
        <w:t>منطبق‌تر</w:t>
      </w:r>
      <w:r w:rsidRPr="0025250D">
        <w:rPr>
          <w:rFonts w:hint="cs"/>
          <w:rtl/>
        </w:rPr>
        <w:t xml:space="preserve"> سازد. یک هدف عمیق‌تر یافتن </w:t>
      </w:r>
      <w:r w:rsidR="00B56611" w:rsidRPr="0025250D">
        <w:rPr>
          <w:rFonts w:hint="cs"/>
          <w:rtl/>
        </w:rPr>
        <w:t>چشم‌انداز</w:t>
      </w:r>
      <w:r w:rsidRPr="0025250D">
        <w:rPr>
          <w:rFonts w:hint="cs"/>
          <w:rtl/>
        </w:rPr>
        <w:t xml:space="preserve"> مشترک است، </w:t>
      </w:r>
      <w:r w:rsidR="00B56611" w:rsidRPr="0025250D">
        <w:rPr>
          <w:rFonts w:hint="cs"/>
          <w:rtl/>
        </w:rPr>
        <w:t>چشم‌انداز</w:t>
      </w:r>
      <w:r w:rsidRPr="0025250D">
        <w:rPr>
          <w:rFonts w:hint="cs"/>
          <w:rtl/>
        </w:rPr>
        <w:t xml:space="preserve">ی که احتمالا کل شبکه ما را </w:t>
      </w:r>
      <w:r w:rsidR="00AE5BE0" w:rsidRPr="0025250D">
        <w:rPr>
          <w:rFonts w:hint="cs"/>
          <w:rtl/>
        </w:rPr>
        <w:t>منطبق‌تر</w:t>
      </w:r>
      <w:r w:rsidRPr="0025250D">
        <w:rPr>
          <w:rFonts w:hint="cs"/>
          <w:rtl/>
        </w:rPr>
        <w:t xml:space="preserve"> می‌کند.</w:t>
      </w:r>
    </w:p>
    <w:p w14:paraId="7F56E5C9" w14:textId="580CBA29" w:rsidR="0020732A" w:rsidRPr="0025250D" w:rsidRDefault="0020732A" w:rsidP="00492C47">
      <w:pPr>
        <w:pStyle w:val="ListParagraph"/>
        <w:numPr>
          <w:ilvl w:val="0"/>
          <w:numId w:val="22"/>
        </w:numPr>
        <w:rPr>
          <w:rtl/>
        </w:rPr>
      </w:pPr>
      <w:r w:rsidRPr="0025250D">
        <w:rPr>
          <w:rFonts w:hint="cs"/>
          <w:b/>
          <w:bCs/>
          <w:rtl/>
        </w:rPr>
        <w:t>آینده‌های قابل اجتناب</w:t>
      </w:r>
      <w:r w:rsidRPr="0025250D">
        <w:rPr>
          <w:rFonts w:hint="cs"/>
          <w:rtl/>
        </w:rPr>
        <w:t>. آنچه</w:t>
      </w:r>
      <w:r w:rsidRPr="0025250D">
        <w:rPr>
          <w:rFonts w:hint="cs"/>
        </w:rPr>
        <w:t>‌</w:t>
      </w:r>
      <w:r w:rsidRPr="0025250D">
        <w:rPr>
          <w:rFonts w:hint="cs"/>
          <w:rtl/>
        </w:rPr>
        <w:t xml:space="preserve"> می‌خواهیم باید از محتمل‌ترین و واضح‌ترین ریسک‌ها و تهدید‌ها و برخی از موارد با وضوح کمتر دوری کند. یک هدف این قضاوت دیدن </w:t>
      </w:r>
      <w:r w:rsidR="006335B8" w:rsidRPr="0025250D">
        <w:rPr>
          <w:rtl/>
        </w:rPr>
        <w:t>«</w:t>
      </w:r>
      <w:r w:rsidRPr="0025250D">
        <w:rPr>
          <w:rFonts w:hint="cs"/>
          <w:rtl/>
        </w:rPr>
        <w:t>موانع</w:t>
      </w:r>
      <w:r w:rsidR="006335B8" w:rsidRPr="0025250D">
        <w:rPr>
          <w:rtl/>
        </w:rPr>
        <w:t>»</w:t>
      </w:r>
      <w:r w:rsidRPr="0025250D">
        <w:rPr>
          <w:rFonts w:hint="cs"/>
          <w:rtl/>
        </w:rPr>
        <w:t xml:space="preserve"> احتمالی اما کم‌تر مرجح برآمدهایی که حول مرجح‌ترین حالات آینده موجود هستند و یک نمونه بازنمایی کننده</w:t>
      </w:r>
      <w:r w:rsidR="008D6F97" w:rsidRPr="0025250D">
        <w:rPr>
          <w:rtl/>
        </w:rPr>
        <w:t xml:space="preserve"> </w:t>
      </w:r>
      <w:r w:rsidRPr="0025250D">
        <w:rPr>
          <w:rFonts w:hint="cs"/>
          <w:rtl/>
        </w:rPr>
        <w:t>از گروه بزرگی از برآمدهای کم‌تر محتمل اما آسیب زننده‌تر می‌باشد. هر چه بهتر آینده‌های منفی مرتبط را ببینیم، بهتر</w:t>
      </w:r>
      <w:r w:rsidRPr="0025250D">
        <w:rPr>
          <w:rFonts w:hint="cs"/>
        </w:rPr>
        <w:t>‌</w:t>
      </w:r>
      <w:r w:rsidRPr="0025250D">
        <w:rPr>
          <w:rFonts w:hint="cs"/>
          <w:rtl/>
        </w:rPr>
        <w:t xml:space="preserve"> می‌توانیم در مقابل آن‌ها از خود دفاع کنیم.</w:t>
      </w:r>
    </w:p>
    <w:p w14:paraId="43BA5192" w14:textId="3076FBE0" w:rsidR="0020732A" w:rsidRPr="0025250D" w:rsidRDefault="0020732A" w:rsidP="0020732A">
      <w:pPr>
        <w:rPr>
          <w:rtl/>
        </w:rPr>
      </w:pPr>
      <w:r w:rsidRPr="0025250D">
        <w:rPr>
          <w:rFonts w:hint="cs"/>
          <w:rtl/>
        </w:rPr>
        <w:lastRenderedPageBreak/>
        <w:t xml:space="preserve">مخروط آینده ارزش استفاده برای پروژه‌های بزرگ و پرهزینه </w:t>
      </w:r>
      <w:r w:rsidR="007D4A49" w:rsidRPr="0025250D">
        <w:rPr>
          <w:rFonts w:hint="cs"/>
          <w:rtl/>
        </w:rPr>
        <w:t xml:space="preserve">دارد </w:t>
      </w:r>
      <w:r w:rsidRPr="0025250D">
        <w:rPr>
          <w:rFonts w:hint="cs"/>
          <w:rtl/>
        </w:rPr>
        <w:t>و وقتی آماده تفکر عمیق در مورد فرضیات، فرهنگ قضاوت و سوگیری‌ها باشیم برای هر سازمانی نیز کاربرد دارد</w:t>
      </w:r>
      <w:r w:rsidR="008D6F97" w:rsidRPr="0025250D">
        <w:rPr>
          <w:rtl/>
        </w:rPr>
        <w:t xml:space="preserve">؛ </w:t>
      </w:r>
      <w:r w:rsidR="0020589F" w:rsidRPr="0025250D">
        <w:rPr>
          <w:rtl/>
        </w:rPr>
        <w:t>اما</w:t>
      </w:r>
      <w:r w:rsidRPr="0025250D">
        <w:rPr>
          <w:rFonts w:hint="cs"/>
          <w:rtl/>
        </w:rPr>
        <w:t xml:space="preserve"> برای بیش‌تر کاربردها، چهار </w:t>
      </w:r>
      <w:r w:rsidRPr="0025250D">
        <w:t>P</w:t>
      </w:r>
      <w:r w:rsidRPr="0025250D">
        <w:rPr>
          <w:rFonts w:hint="cs"/>
          <w:rtl/>
        </w:rPr>
        <w:t xml:space="preserve"> یا حتی بهتر از آن، چرخه </w:t>
      </w:r>
      <w:r w:rsidRPr="0025250D">
        <w:t>REOPS</w:t>
      </w:r>
      <w:r w:rsidRPr="0025250D">
        <w:rPr>
          <w:rFonts w:hint="cs"/>
          <w:rtl/>
        </w:rPr>
        <w:t xml:space="preserve"> برای انجام یک کار </w:t>
      </w:r>
      <w:r w:rsidRPr="0025250D">
        <w:rPr>
          <w:rtl/>
        </w:rPr>
        <w:t>آینده‌نگاری</w:t>
      </w:r>
      <w:r w:rsidR="008D6F97" w:rsidRPr="0025250D">
        <w:rPr>
          <w:rtl/>
        </w:rPr>
        <w:t xml:space="preserve"> </w:t>
      </w:r>
      <w:r w:rsidRPr="0025250D">
        <w:rPr>
          <w:rFonts w:hint="cs"/>
          <w:rtl/>
        </w:rPr>
        <w:t xml:space="preserve">خوب کاملا کافی هستند. به نظر ما یک کاهش مطلوبیت در طی گام‌های هر </w:t>
      </w:r>
      <w:r w:rsidR="00B13F65" w:rsidRPr="0025250D">
        <w:rPr>
          <w:rFonts w:hint="cs"/>
          <w:rtl/>
        </w:rPr>
        <w:t>چارچوب</w:t>
      </w:r>
      <w:r w:rsidRPr="0025250D">
        <w:rPr>
          <w:rFonts w:hint="cs"/>
          <w:rtl/>
        </w:rPr>
        <w:t xml:space="preserve"> تحلیلی وجود دارد. در بیش‌تر بافت‌ها، مدل هفت </w:t>
      </w:r>
      <w:r w:rsidRPr="0025250D">
        <w:t>p</w:t>
      </w:r>
      <w:r w:rsidRPr="0025250D">
        <w:rPr>
          <w:rFonts w:hint="cs"/>
          <w:rtl/>
        </w:rPr>
        <w:t xml:space="preserve"> دارای سه</w:t>
      </w:r>
      <w:r w:rsidR="007D4A49" w:rsidRPr="0025250D">
        <w:rPr>
          <w:rFonts w:hint="cs"/>
          <w:rtl/>
        </w:rPr>
        <w:t xml:space="preserve"> </w:t>
      </w:r>
      <w:r w:rsidR="007D4A49" w:rsidRPr="0025250D">
        <w:t>p</w:t>
      </w:r>
      <w:r w:rsidRPr="0025250D">
        <w:rPr>
          <w:rFonts w:hint="cs"/>
          <w:rtl/>
        </w:rPr>
        <w:t xml:space="preserve"> اضافی برای </w:t>
      </w:r>
      <w:r w:rsidRPr="0025250D">
        <w:rPr>
          <w:rtl/>
        </w:rPr>
        <w:t>آینده‌نگاری</w:t>
      </w:r>
      <w:r w:rsidRPr="0025250D">
        <w:rPr>
          <w:rFonts w:hint="cs"/>
          <w:rtl/>
        </w:rPr>
        <w:t xml:space="preserve"> است. به‌عنوان یک </w:t>
      </w:r>
      <w:r w:rsidR="00923DDB" w:rsidRPr="0025250D">
        <w:rPr>
          <w:rFonts w:hint="cs"/>
          <w:rtl/>
        </w:rPr>
        <w:t>راه‌حل</w:t>
      </w:r>
      <w:r w:rsidRPr="0025250D">
        <w:rPr>
          <w:rFonts w:hint="cs"/>
          <w:rtl/>
        </w:rPr>
        <w:t xml:space="preserve"> جایگزین برای مخروط آینده، ما هم هشت مهارت (فصل 2) و هم </w:t>
      </w:r>
      <w:r w:rsidR="00B13F65" w:rsidRPr="0025250D">
        <w:rPr>
          <w:rFonts w:hint="cs"/>
          <w:rtl/>
        </w:rPr>
        <w:t>چارچوب</w:t>
      </w:r>
      <w:r w:rsidRPr="0025250D">
        <w:rPr>
          <w:rFonts w:hint="cs"/>
          <w:rtl/>
        </w:rPr>
        <w:t xml:space="preserve">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w:t>
      </w:r>
      <w:r w:rsidRPr="0025250D">
        <w:t>FTI</w:t>
      </w:r>
      <w:r w:rsidRPr="0025250D">
        <w:rPr>
          <w:rFonts w:hint="cs"/>
          <w:rtl/>
        </w:rPr>
        <w:t xml:space="preserve"> (فصل 5) را به طور مشخص برای تیم‌ها و سازمان‌ها مفید</w:t>
      </w:r>
      <w:r w:rsidRPr="0025250D">
        <w:rPr>
          <w:rFonts w:hint="cs"/>
        </w:rPr>
        <w:t>‌</w:t>
      </w:r>
      <w:r w:rsidRPr="0025250D">
        <w:rPr>
          <w:rFonts w:hint="cs"/>
          <w:rtl/>
        </w:rPr>
        <w:t xml:space="preserve"> می‌دانیم.</w:t>
      </w:r>
    </w:p>
    <w:p w14:paraId="5DD82A20" w14:textId="77777777" w:rsidR="0020732A" w:rsidRPr="0025250D" w:rsidRDefault="0020732A" w:rsidP="0020732A">
      <w:pPr>
        <w:rPr>
          <w:rtl/>
        </w:rPr>
      </w:pPr>
    </w:p>
    <w:p w14:paraId="48D4F088" w14:textId="77777777" w:rsidR="0020732A" w:rsidRPr="0025250D" w:rsidRDefault="0020732A" w:rsidP="0020732A">
      <w:pPr>
        <w:rPr>
          <w:rtl/>
        </w:rPr>
      </w:pPr>
    </w:p>
    <w:p w14:paraId="2C1C6241" w14:textId="77777777" w:rsidR="0020732A" w:rsidRPr="0025250D" w:rsidRDefault="0020732A" w:rsidP="0020732A">
      <w:pPr>
        <w:rPr>
          <w:rtl/>
        </w:rPr>
      </w:pPr>
    </w:p>
    <w:p w14:paraId="57F23114" w14:textId="77777777" w:rsidR="0020732A" w:rsidRPr="0025250D" w:rsidRDefault="0020732A" w:rsidP="0020732A">
      <w:pPr>
        <w:rPr>
          <w:rtl/>
        </w:rPr>
      </w:pPr>
    </w:p>
    <w:p w14:paraId="0151A177" w14:textId="77777777" w:rsidR="0020732A" w:rsidRPr="0025250D" w:rsidRDefault="0020732A" w:rsidP="0020732A">
      <w:pPr>
        <w:rPr>
          <w:rtl/>
        </w:rPr>
      </w:pPr>
    </w:p>
    <w:p w14:paraId="33ABF380" w14:textId="77777777" w:rsidR="0020732A" w:rsidRPr="0025250D" w:rsidRDefault="0020732A" w:rsidP="0020732A">
      <w:pPr>
        <w:rPr>
          <w:rtl/>
        </w:rPr>
      </w:pPr>
    </w:p>
    <w:p w14:paraId="63BB6A15" w14:textId="47A2E17D" w:rsidR="0020732A" w:rsidRPr="0025250D" w:rsidRDefault="0020732A" w:rsidP="009E77BD">
      <w:pPr>
        <w:pStyle w:val="Heading2"/>
        <w:rPr>
          <w:rtl/>
        </w:rPr>
      </w:pPr>
      <w:bookmarkStart w:id="18" w:name="_Toc127831283"/>
      <w:r w:rsidRPr="0025250D">
        <w:rPr>
          <w:rFonts w:hint="cs"/>
          <w:rtl/>
        </w:rPr>
        <w:lastRenderedPageBreak/>
        <w:t xml:space="preserve">سوگیری آزادی: چرا </w:t>
      </w:r>
      <w:r w:rsidR="00D92F6E" w:rsidRPr="0025250D">
        <w:rPr>
          <w:rFonts w:hint="cs"/>
          <w:rtl/>
        </w:rPr>
        <w:t>پیش‌بین</w:t>
      </w:r>
      <w:r w:rsidRPr="0025250D">
        <w:rPr>
          <w:rFonts w:hint="cs"/>
          <w:rtl/>
        </w:rPr>
        <w:t>ی این چنین بدنام است؟</w:t>
      </w:r>
      <w:bookmarkEnd w:id="18"/>
    </w:p>
    <w:p w14:paraId="27E1897D" w14:textId="7475E9E1" w:rsidR="0020732A" w:rsidRPr="0025250D" w:rsidRDefault="0020732A" w:rsidP="0020732A">
      <w:pPr>
        <w:rPr>
          <w:rtl/>
        </w:rPr>
      </w:pPr>
      <w:r w:rsidRPr="0025250D">
        <w:rPr>
          <w:rFonts w:hint="cs"/>
          <w:rtl/>
        </w:rPr>
        <w:t xml:space="preserve">امروزه در بسیاری از جوامع فعالان </w:t>
      </w:r>
      <w:r w:rsidRPr="0025250D">
        <w:rPr>
          <w:rtl/>
        </w:rPr>
        <w:t>آینده‌نگاری</w:t>
      </w:r>
      <w:r w:rsidRPr="0025250D">
        <w:rPr>
          <w:rFonts w:hint="cs"/>
          <w:rtl/>
        </w:rPr>
        <w:t xml:space="preserve"> ارزش بسیار اندکی برای آینده محتمل قائل</w:t>
      </w:r>
      <w:r w:rsidRPr="0025250D">
        <w:rPr>
          <w:rFonts w:hint="cs"/>
        </w:rPr>
        <w:t>‌</w:t>
      </w:r>
      <w:r w:rsidRPr="0025250D">
        <w:rPr>
          <w:rFonts w:hint="cs"/>
          <w:rtl/>
        </w:rPr>
        <w:t xml:space="preserve"> می‌شوند. این سوگیری در مقابل کشف موارد محتمل به شدت به استفاده ما از تقابل </w:t>
      </w:r>
      <w:r w:rsidR="00D92F6E" w:rsidRPr="0025250D">
        <w:rPr>
          <w:rFonts w:hint="cs"/>
          <w:rtl/>
        </w:rPr>
        <w:t>پیش‌بین</w:t>
      </w:r>
      <w:r w:rsidRPr="0025250D">
        <w:rPr>
          <w:rFonts w:hint="cs"/>
          <w:rtl/>
        </w:rPr>
        <w:t xml:space="preserve"> و هرم </w:t>
      </w:r>
      <w:r w:rsidRPr="0025250D">
        <w:rPr>
          <w:rtl/>
        </w:rPr>
        <w:t>آینده‌نگاری</w:t>
      </w:r>
      <w:r w:rsidRPr="0025250D">
        <w:rPr>
          <w:rFonts w:hint="cs"/>
          <w:rtl/>
        </w:rPr>
        <w:t xml:space="preserve"> آسیب</w:t>
      </w:r>
      <w:r w:rsidRPr="0025250D">
        <w:rPr>
          <w:rFonts w:hint="cs"/>
        </w:rPr>
        <w:t>‌</w:t>
      </w:r>
      <w:r w:rsidRPr="0025250D">
        <w:rPr>
          <w:rFonts w:hint="cs"/>
          <w:rtl/>
        </w:rPr>
        <w:t xml:space="preserve"> می‌رساند. سوگیری آزادی اساس کار </w:t>
      </w:r>
      <w:r w:rsidRPr="0025250D">
        <w:rPr>
          <w:rtl/>
        </w:rPr>
        <w:t>آینده‌نگاری</w:t>
      </w:r>
      <w:r w:rsidRPr="0025250D">
        <w:rPr>
          <w:rFonts w:hint="cs"/>
          <w:rtl/>
        </w:rPr>
        <w:t xml:space="preserve"> را به شکل خطرناکی نامتوازن و ناکامل</w:t>
      </w:r>
      <w:r w:rsidRPr="0025250D">
        <w:rPr>
          <w:rFonts w:hint="cs"/>
        </w:rPr>
        <w:t>‌</w:t>
      </w:r>
      <w:r w:rsidRPr="0025250D">
        <w:rPr>
          <w:rFonts w:hint="cs"/>
          <w:rtl/>
        </w:rPr>
        <w:t xml:space="preserve"> می‌سازد. چند مثال را در نظر بگیرید.</w:t>
      </w:r>
    </w:p>
    <w:p w14:paraId="12643C6E" w14:textId="6643A9D2" w:rsidR="0020732A" w:rsidRPr="0025250D" w:rsidRDefault="0020732A" w:rsidP="0020732A">
      <w:pPr>
        <w:rPr>
          <w:rtl/>
        </w:rPr>
      </w:pPr>
      <w:r w:rsidRPr="0025250D">
        <w:rPr>
          <w:rtl/>
        </w:rPr>
        <w:t>آ</w:t>
      </w:r>
      <w:r w:rsidRPr="0025250D">
        <w:rPr>
          <w:rFonts w:hint="cs"/>
          <w:rtl/>
        </w:rPr>
        <w:t>ی</w:t>
      </w:r>
      <w:r w:rsidRPr="0025250D">
        <w:rPr>
          <w:rFonts w:hint="eastAsia"/>
          <w:rtl/>
        </w:rPr>
        <w:t>نده</w:t>
      </w:r>
      <w:r w:rsidRPr="0025250D">
        <w:rPr>
          <w:rtl/>
        </w:rPr>
        <w:t xml:space="preserve"> شناس</w:t>
      </w:r>
      <w:r w:rsidRPr="0025250D">
        <w:rPr>
          <w:rFonts w:hint="cs"/>
          <w:rtl/>
        </w:rPr>
        <w:t>ی</w:t>
      </w:r>
      <w:r w:rsidRPr="0025250D">
        <w:rPr>
          <w:rtl/>
        </w:rPr>
        <w:t xml:space="preserve"> رد</w:t>
      </w:r>
      <w:r w:rsidRPr="0025250D">
        <w:rPr>
          <w:rFonts w:hint="cs"/>
          <w:rtl/>
        </w:rPr>
        <w:t>ی</w:t>
      </w:r>
      <w:r w:rsidRPr="0025250D">
        <w:rPr>
          <w:rFonts w:hint="eastAsia"/>
          <w:rtl/>
        </w:rPr>
        <w:t>ت</w:t>
      </w:r>
      <w:r w:rsidRPr="0025250D">
        <w:rPr>
          <w:vertAlign w:val="superscript"/>
          <w:rtl/>
        </w:rPr>
        <w:footnoteReference w:id="696"/>
      </w:r>
      <w:r w:rsidRPr="0025250D">
        <w:rPr>
          <w:rFonts w:hint="cs"/>
          <w:rtl/>
        </w:rPr>
        <w:t xml:space="preserve"> که اکنون بزرگ‌ترین </w:t>
      </w:r>
      <w:r w:rsidR="00280255" w:rsidRPr="0025250D">
        <w:rPr>
          <w:rFonts w:hint="cs"/>
          <w:rtl/>
        </w:rPr>
        <w:t>پلتفرم</w:t>
      </w:r>
      <w:r w:rsidRPr="0025250D">
        <w:rPr>
          <w:rFonts w:hint="cs"/>
          <w:rtl/>
        </w:rPr>
        <w:t xml:space="preserve"> آنلاین اختصاص یافته به آینده است، </w:t>
      </w:r>
      <w:r w:rsidR="006335B8" w:rsidRPr="0025250D">
        <w:rPr>
          <w:rtl/>
        </w:rPr>
        <w:t>«</w:t>
      </w:r>
      <w:r w:rsidR="00D92F6E" w:rsidRPr="0025250D">
        <w:rPr>
          <w:rFonts w:hint="cs"/>
          <w:rtl/>
        </w:rPr>
        <w:t>آینده‌پژوه</w:t>
      </w:r>
      <w:r w:rsidRPr="0025250D">
        <w:rPr>
          <w:rFonts w:hint="cs"/>
          <w:rtl/>
        </w:rPr>
        <w:t>ی</w:t>
      </w:r>
      <w:r w:rsidR="006335B8" w:rsidRPr="0025250D">
        <w:rPr>
          <w:rtl/>
        </w:rPr>
        <w:t>»</w:t>
      </w:r>
      <w:r w:rsidRPr="0025250D">
        <w:rPr>
          <w:rFonts w:hint="cs"/>
          <w:rtl/>
        </w:rPr>
        <w:t xml:space="preserve"> را در صفحه خانگی خود به شکل زیر تعریف</w:t>
      </w:r>
      <w:r w:rsidRPr="0025250D">
        <w:rPr>
          <w:rFonts w:hint="cs"/>
        </w:rPr>
        <w:t>‌</w:t>
      </w:r>
      <w:r w:rsidRPr="0025250D">
        <w:rPr>
          <w:rFonts w:hint="cs"/>
          <w:rtl/>
        </w:rPr>
        <w:t xml:space="preserve"> می‌کند: </w:t>
      </w:r>
      <w:r w:rsidR="006335B8" w:rsidRPr="0025250D">
        <w:rPr>
          <w:rtl/>
        </w:rPr>
        <w:t>«</w:t>
      </w:r>
      <w:r w:rsidRPr="0025250D">
        <w:rPr>
          <w:rFonts w:hint="cs"/>
          <w:rtl/>
        </w:rPr>
        <w:t>کارگزارن</w:t>
      </w:r>
      <w:r w:rsidRPr="0025250D">
        <w:rPr>
          <w:rFonts w:hint="cs"/>
        </w:rPr>
        <w:t>‌</w:t>
      </w:r>
      <w:r w:rsidRPr="0025250D">
        <w:rPr>
          <w:rFonts w:hint="cs"/>
          <w:rtl/>
        </w:rPr>
        <w:t xml:space="preserve"> می‌دانند که هیچ آینده واحدی وجود ندارد، تنها آینده‌های </w:t>
      </w:r>
      <w:r w:rsidR="00127288" w:rsidRPr="0025250D">
        <w:rPr>
          <w:rFonts w:hint="cs"/>
          <w:rtl/>
        </w:rPr>
        <w:t>بدیل</w:t>
      </w:r>
      <w:r w:rsidRPr="0025250D">
        <w:rPr>
          <w:rFonts w:hint="cs"/>
          <w:rtl/>
        </w:rPr>
        <w:t xml:space="preserve"> پیش رو هستند</w:t>
      </w:r>
      <w:r w:rsidR="006335B8" w:rsidRPr="0025250D">
        <w:rPr>
          <w:rtl/>
        </w:rPr>
        <w:t>»</w:t>
      </w:r>
      <w:r w:rsidRPr="0025250D">
        <w:rPr>
          <w:rFonts w:hint="cs"/>
          <w:rtl/>
        </w:rPr>
        <w:t>. بر روی بروشور کنفرانس جامعه آینده جهان</w:t>
      </w:r>
      <w:r w:rsidRPr="0025250D">
        <w:rPr>
          <w:vertAlign w:val="superscript"/>
          <w:rtl/>
        </w:rPr>
        <w:footnoteReference w:id="697"/>
      </w:r>
      <w:r w:rsidRPr="0025250D">
        <w:rPr>
          <w:rFonts w:hint="cs"/>
          <w:rtl/>
        </w:rPr>
        <w:t xml:space="preserve"> در سال 2014 نوشته بود:</w:t>
      </w:r>
      <w:r w:rsidR="006335B8" w:rsidRPr="0025250D">
        <w:rPr>
          <w:rtl/>
        </w:rPr>
        <w:t>«</w:t>
      </w:r>
      <w:r w:rsidRPr="0025250D">
        <w:rPr>
          <w:rFonts w:hint="cs"/>
          <w:rtl/>
        </w:rPr>
        <w:t>آینده یک مقصد نیست. پایان نتیجه اقداماتی است که امروز انجام</w:t>
      </w:r>
      <w:r w:rsidRPr="0025250D">
        <w:rPr>
          <w:rFonts w:hint="cs"/>
        </w:rPr>
        <w:t>‌</w:t>
      </w:r>
      <w:r w:rsidRPr="0025250D">
        <w:rPr>
          <w:rFonts w:hint="cs"/>
          <w:rtl/>
        </w:rPr>
        <w:t xml:space="preserve"> می‌دهیم</w:t>
      </w:r>
      <w:r w:rsidR="006335B8" w:rsidRPr="0025250D">
        <w:rPr>
          <w:rtl/>
        </w:rPr>
        <w:t>»</w:t>
      </w:r>
      <w:r w:rsidRPr="0025250D">
        <w:rPr>
          <w:rFonts w:hint="cs"/>
          <w:rtl/>
        </w:rPr>
        <w:t>. صفحه خانگی مدرسه‌ای برای آینده نوآوری در جامعه</w:t>
      </w:r>
      <w:r w:rsidRPr="0025250D">
        <w:rPr>
          <w:vertAlign w:val="superscript"/>
          <w:rtl/>
        </w:rPr>
        <w:footnoteReference w:id="698"/>
      </w:r>
      <w:r w:rsidRPr="0025250D">
        <w:rPr>
          <w:rFonts w:hint="cs"/>
          <w:rtl/>
        </w:rPr>
        <w:t xml:space="preserve"> در </w:t>
      </w:r>
      <w:r w:rsidRPr="0025250D">
        <w:t>ASU</w:t>
      </w:r>
      <w:r w:rsidRPr="0025250D">
        <w:rPr>
          <w:rFonts w:hint="cs"/>
          <w:rtl/>
        </w:rPr>
        <w:t xml:space="preserve"> با افتخار اقتباسی از ژولیوس سزار اثر شکسپیر را بیان</w:t>
      </w:r>
      <w:r w:rsidRPr="0025250D">
        <w:rPr>
          <w:rFonts w:hint="cs"/>
        </w:rPr>
        <w:t>‌</w:t>
      </w:r>
      <w:r w:rsidRPr="0025250D">
        <w:rPr>
          <w:rFonts w:hint="cs"/>
          <w:rtl/>
        </w:rPr>
        <w:t xml:space="preserve"> می‌کند: </w:t>
      </w:r>
      <w:r w:rsidR="006335B8" w:rsidRPr="0025250D">
        <w:rPr>
          <w:rtl/>
        </w:rPr>
        <w:t>«</w:t>
      </w:r>
      <w:r w:rsidRPr="0025250D">
        <w:rPr>
          <w:rFonts w:hint="cs"/>
          <w:rtl/>
        </w:rPr>
        <w:t>این ستاره‌ها نیستند که سرنوشت ما را تعیین</w:t>
      </w:r>
      <w:r w:rsidRPr="0025250D">
        <w:rPr>
          <w:rFonts w:hint="cs"/>
        </w:rPr>
        <w:t>‌</w:t>
      </w:r>
      <w:r w:rsidRPr="0025250D">
        <w:rPr>
          <w:rFonts w:hint="cs"/>
          <w:rtl/>
        </w:rPr>
        <w:t xml:space="preserve"> می‌کنند، بلکه خودمان هستیم</w:t>
      </w:r>
      <w:r w:rsidR="006335B8" w:rsidRPr="0025250D">
        <w:rPr>
          <w:rtl/>
        </w:rPr>
        <w:t>»</w:t>
      </w:r>
      <w:r w:rsidRPr="0025250D">
        <w:rPr>
          <w:rFonts w:hint="cs"/>
          <w:rtl/>
        </w:rPr>
        <w:t xml:space="preserve">. حتی انجمن </w:t>
      </w:r>
      <w:r w:rsidR="00D92F6E" w:rsidRPr="0025250D">
        <w:rPr>
          <w:rFonts w:hint="cs"/>
          <w:rtl/>
        </w:rPr>
        <w:t>آینده‌پژوه</w:t>
      </w:r>
      <w:r w:rsidRPr="0025250D">
        <w:rPr>
          <w:rFonts w:hint="cs"/>
          <w:rtl/>
        </w:rPr>
        <w:t>ان متخصص</w:t>
      </w:r>
      <w:r w:rsidRPr="0025250D">
        <w:rPr>
          <w:vertAlign w:val="superscript"/>
          <w:rtl/>
        </w:rPr>
        <w:footnoteReference w:id="699"/>
      </w:r>
      <w:r w:rsidRPr="0025250D">
        <w:rPr>
          <w:rFonts w:hint="cs"/>
          <w:rtl/>
        </w:rPr>
        <w:t xml:space="preserve">، توسعه یافته‌ترین سازمان تخصصی در زمینه </w:t>
      </w:r>
      <w:r w:rsidR="00280255" w:rsidRPr="0025250D">
        <w:rPr>
          <w:rFonts w:hint="cs"/>
          <w:rtl/>
        </w:rPr>
        <w:t>آینده‌نگاری</w:t>
      </w:r>
      <w:r w:rsidRPr="0025250D">
        <w:rPr>
          <w:rFonts w:hint="cs"/>
          <w:rtl/>
        </w:rPr>
        <w:t xml:space="preserve">، در حال حاضر در صفحه </w:t>
      </w:r>
      <w:r w:rsidR="00280255" w:rsidRPr="0025250D">
        <w:rPr>
          <w:rFonts w:hint="cs"/>
          <w:rtl/>
        </w:rPr>
        <w:t>سوالات رایج</w:t>
      </w:r>
      <w:r w:rsidRPr="0025250D">
        <w:rPr>
          <w:rFonts w:hint="cs"/>
          <w:rtl/>
        </w:rPr>
        <w:t xml:space="preserve"> خود، تحت تعریف خود از </w:t>
      </w:r>
      <w:r w:rsidR="00D92F6E" w:rsidRPr="0025250D">
        <w:rPr>
          <w:rFonts w:hint="cs"/>
          <w:rtl/>
        </w:rPr>
        <w:t>آینده‌پژوه</w:t>
      </w:r>
      <w:r w:rsidRPr="0025250D">
        <w:rPr>
          <w:rFonts w:hint="cs"/>
          <w:rtl/>
        </w:rPr>
        <w:t xml:space="preserve"> ادعا</w:t>
      </w:r>
      <w:r w:rsidRPr="0025250D">
        <w:rPr>
          <w:rFonts w:hint="cs"/>
        </w:rPr>
        <w:t>‌</w:t>
      </w:r>
      <w:r w:rsidRPr="0025250D">
        <w:rPr>
          <w:rFonts w:hint="cs"/>
          <w:rtl/>
        </w:rPr>
        <w:t xml:space="preserve"> می‌کند که:</w:t>
      </w:r>
      <w:r w:rsidR="006335B8" w:rsidRPr="0025250D">
        <w:rPr>
          <w:rtl/>
        </w:rPr>
        <w:t>«</w:t>
      </w:r>
      <w:r w:rsidRPr="0025250D">
        <w:rPr>
          <w:rFonts w:hint="cs"/>
          <w:rtl/>
        </w:rPr>
        <w:t xml:space="preserve">هدف یک </w:t>
      </w:r>
      <w:r w:rsidR="00D92F6E" w:rsidRPr="0025250D">
        <w:rPr>
          <w:rFonts w:hint="cs"/>
          <w:rtl/>
        </w:rPr>
        <w:t>آینده‌پژوه</w:t>
      </w:r>
      <w:r w:rsidRPr="0025250D">
        <w:rPr>
          <w:rFonts w:hint="cs"/>
          <w:rtl/>
        </w:rPr>
        <w:t xml:space="preserve"> </w:t>
      </w:r>
      <w:r w:rsidR="00D92F6E" w:rsidRPr="0025250D">
        <w:rPr>
          <w:rFonts w:hint="cs"/>
          <w:rtl/>
        </w:rPr>
        <w:t>پیش‌بین</w:t>
      </w:r>
      <w:r w:rsidRPr="0025250D">
        <w:rPr>
          <w:rFonts w:hint="cs"/>
          <w:rtl/>
        </w:rPr>
        <w:t>ی آنچه در آینده اتفاق خواهد افتاد نیست</w:t>
      </w:r>
      <w:r w:rsidR="006335B8" w:rsidRPr="0025250D">
        <w:rPr>
          <w:rtl/>
        </w:rPr>
        <w:t>»</w:t>
      </w:r>
      <w:r w:rsidRPr="0025250D">
        <w:rPr>
          <w:rFonts w:hint="cs"/>
          <w:rtl/>
        </w:rPr>
        <w:t xml:space="preserve">. حتی </w:t>
      </w:r>
      <w:r w:rsidR="00D92F6E" w:rsidRPr="0025250D">
        <w:rPr>
          <w:rFonts w:hint="cs"/>
          <w:rtl/>
        </w:rPr>
        <w:t>آینده‌پژوه</w:t>
      </w:r>
      <w:r w:rsidRPr="0025250D">
        <w:rPr>
          <w:rFonts w:hint="cs"/>
          <w:rtl/>
        </w:rPr>
        <w:t xml:space="preserve"> بزرگ </w:t>
      </w:r>
      <w:r w:rsidRPr="0025250D">
        <w:rPr>
          <w:rtl/>
        </w:rPr>
        <w:t>ام</w:t>
      </w:r>
      <w:r w:rsidRPr="0025250D">
        <w:rPr>
          <w:rFonts w:hint="cs"/>
          <w:rtl/>
        </w:rPr>
        <w:t>ی</w:t>
      </w:r>
      <w:r w:rsidRPr="0025250D">
        <w:rPr>
          <w:rtl/>
        </w:rPr>
        <w:t xml:space="preserve"> وب</w:t>
      </w:r>
      <w:r w:rsidRPr="0025250D">
        <w:rPr>
          <w:vertAlign w:val="superscript"/>
          <w:rtl/>
        </w:rPr>
        <w:footnoteReference w:id="700"/>
      </w:r>
      <w:r w:rsidRPr="0025250D">
        <w:rPr>
          <w:rFonts w:hint="cs"/>
          <w:rtl/>
        </w:rPr>
        <w:t xml:space="preserve">، در کتاب عالی خود در مورد </w:t>
      </w:r>
      <w:r w:rsidRPr="0025250D">
        <w:rPr>
          <w:rtl/>
        </w:rPr>
        <w:t>آینده‌نگاری</w:t>
      </w:r>
      <w:r w:rsidRPr="0025250D">
        <w:rPr>
          <w:rFonts w:hint="cs"/>
          <w:rtl/>
        </w:rPr>
        <w:t xml:space="preserve"> به نام نشانک‌ها صحبت</w:t>
      </w:r>
      <w:r w:rsidRPr="0025250D">
        <w:rPr>
          <w:rFonts w:hint="cs"/>
        </w:rPr>
        <w:t>‌</w:t>
      </w:r>
      <w:r w:rsidRPr="0025250D">
        <w:rPr>
          <w:rFonts w:hint="cs"/>
          <w:rtl/>
        </w:rPr>
        <w:t xml:space="preserve"> می‌کنند</w:t>
      </w:r>
      <w:r w:rsidRPr="0025250D">
        <w:rPr>
          <w:vertAlign w:val="superscript"/>
          <w:rtl/>
        </w:rPr>
        <w:footnoteReference w:id="701"/>
      </w:r>
      <w:r w:rsidRPr="0025250D">
        <w:rPr>
          <w:rFonts w:hint="cs"/>
          <w:rtl/>
        </w:rPr>
        <w:t xml:space="preserve"> در سال 2018 قاعده عدم قطعیت هایزنبرگ</w:t>
      </w:r>
      <w:r w:rsidRPr="0025250D">
        <w:rPr>
          <w:vertAlign w:val="superscript"/>
          <w:rtl/>
        </w:rPr>
        <w:footnoteReference w:id="702"/>
      </w:r>
      <w:r w:rsidRPr="0025250D">
        <w:rPr>
          <w:rFonts w:hint="cs"/>
          <w:rtl/>
        </w:rPr>
        <w:t xml:space="preserve"> در فیزیک کوانتوم را به‌عنوان مثالی برای بیان این نکته نقل</w:t>
      </w:r>
      <w:r w:rsidRPr="0025250D">
        <w:rPr>
          <w:rFonts w:hint="cs"/>
        </w:rPr>
        <w:t>‌</w:t>
      </w:r>
      <w:r w:rsidRPr="0025250D">
        <w:rPr>
          <w:rFonts w:hint="cs"/>
          <w:rtl/>
        </w:rPr>
        <w:t xml:space="preserve"> می‌کند که </w:t>
      </w:r>
      <w:r w:rsidR="006335B8" w:rsidRPr="0025250D">
        <w:rPr>
          <w:rtl/>
        </w:rPr>
        <w:t>«</w:t>
      </w:r>
      <w:r w:rsidRPr="0025250D">
        <w:rPr>
          <w:rFonts w:hint="cs"/>
          <w:rtl/>
        </w:rPr>
        <w:t>ما باید از همان ابتدا بپذیریم که هیچ آینده از پیش تعیین شده واحدی وجود ندارد</w:t>
      </w:r>
      <w:r w:rsidR="006335B8" w:rsidRPr="0025250D">
        <w:rPr>
          <w:rtl/>
        </w:rPr>
        <w:t>»</w:t>
      </w:r>
      <w:r w:rsidRPr="0025250D">
        <w:rPr>
          <w:rFonts w:hint="cs"/>
          <w:rtl/>
        </w:rPr>
        <w:t xml:space="preserve">. </w:t>
      </w:r>
      <w:r w:rsidR="007118DE" w:rsidRPr="0025250D">
        <w:rPr>
          <w:rFonts w:hint="cs"/>
          <w:rtl/>
        </w:rPr>
        <w:t>همان‌طور</w:t>
      </w:r>
      <w:r w:rsidRPr="0025250D">
        <w:rPr>
          <w:rFonts w:hint="cs"/>
          <w:rtl/>
        </w:rPr>
        <w:t xml:space="preserve"> که در این کتاب</w:t>
      </w:r>
      <w:r w:rsidRPr="0025250D">
        <w:rPr>
          <w:rFonts w:hint="cs"/>
        </w:rPr>
        <w:t>‌</w:t>
      </w:r>
      <w:r w:rsidRPr="0025250D">
        <w:rPr>
          <w:rFonts w:hint="cs"/>
          <w:rtl/>
        </w:rPr>
        <w:t xml:space="preserve"> می‌بینیم، هر یک از این دیدگاه‌ها به طور معمول حفظ</w:t>
      </w:r>
      <w:r w:rsidRPr="0025250D">
        <w:rPr>
          <w:rFonts w:hint="cs"/>
        </w:rPr>
        <w:t>‌</w:t>
      </w:r>
      <w:r w:rsidRPr="0025250D">
        <w:rPr>
          <w:rFonts w:hint="cs"/>
          <w:rtl/>
        </w:rPr>
        <w:t xml:space="preserve"> می‌شوند، هر یک برای میل طبیعی ما برای عاملیت</w:t>
      </w:r>
      <w:r w:rsidRPr="0025250D">
        <w:rPr>
          <w:vertAlign w:val="superscript"/>
          <w:rtl/>
        </w:rPr>
        <w:footnoteReference w:id="703"/>
      </w:r>
      <w:r w:rsidRPr="0025250D">
        <w:rPr>
          <w:rFonts w:hint="cs"/>
          <w:rtl/>
        </w:rPr>
        <w:t xml:space="preserve"> در جهان خوشایند هستند، با این حال همه به شکل خطرناکی نامتوازن و ناکامل هستند.</w:t>
      </w:r>
    </w:p>
    <w:p w14:paraId="2A6F0E65" w14:textId="55BCDBC4" w:rsidR="0020732A" w:rsidRPr="0025250D" w:rsidRDefault="0020732A" w:rsidP="0020732A">
      <w:pPr>
        <w:rPr>
          <w:rtl/>
        </w:rPr>
      </w:pPr>
      <w:r w:rsidRPr="0025250D">
        <w:rPr>
          <w:rFonts w:hint="cs"/>
          <w:rtl/>
        </w:rPr>
        <w:t xml:space="preserve">گفتیم که پردازش </w:t>
      </w:r>
      <w:r w:rsidR="00D92F6E" w:rsidRPr="0025250D">
        <w:rPr>
          <w:rFonts w:hint="cs"/>
          <w:rtl/>
        </w:rPr>
        <w:t>پیش‌بین</w:t>
      </w:r>
      <w:r w:rsidRPr="0025250D">
        <w:rPr>
          <w:rFonts w:hint="cs"/>
          <w:rtl/>
        </w:rPr>
        <w:t xml:space="preserve"> و استنتاج فعال ظاهرا دو راه اساسی کارکرد مغزهای ما در سطوح خودآگاه و ناخودآگاه هستند</w:t>
      </w:r>
      <w:r w:rsidR="008D6F97" w:rsidRPr="0025250D">
        <w:rPr>
          <w:rtl/>
        </w:rPr>
        <w:t xml:space="preserve">؛ </w:t>
      </w:r>
      <w:r w:rsidRPr="0025250D">
        <w:rPr>
          <w:rFonts w:hint="cs"/>
          <w:rtl/>
        </w:rPr>
        <w:t xml:space="preserve">بنابراین نادیده گرفتن </w:t>
      </w:r>
      <w:r w:rsidR="00923DDB" w:rsidRPr="0025250D">
        <w:rPr>
          <w:rFonts w:hint="cs"/>
          <w:rtl/>
        </w:rPr>
        <w:t>پیش‌انگاری</w:t>
      </w:r>
      <w:r w:rsidRPr="0025250D">
        <w:rPr>
          <w:rFonts w:hint="cs"/>
          <w:rtl/>
        </w:rPr>
        <w:t xml:space="preserve"> و </w:t>
      </w:r>
      <w:r w:rsidR="00FB6A7E" w:rsidRPr="0025250D">
        <w:rPr>
          <w:rFonts w:hint="cs"/>
          <w:rtl/>
        </w:rPr>
        <w:t>پیش‌نگری</w:t>
      </w:r>
      <w:r w:rsidRPr="0025250D">
        <w:rPr>
          <w:rFonts w:hint="cs"/>
          <w:rtl/>
        </w:rPr>
        <w:t xml:space="preserve">‌ها و </w:t>
      </w:r>
      <w:r w:rsidR="00D92F6E" w:rsidRPr="0025250D">
        <w:rPr>
          <w:rFonts w:hint="cs"/>
          <w:rtl/>
        </w:rPr>
        <w:t>پیش‌بین</w:t>
      </w:r>
      <w:r w:rsidRPr="0025250D">
        <w:rPr>
          <w:rFonts w:hint="cs"/>
          <w:rtl/>
        </w:rPr>
        <w:t xml:space="preserve">ی‌های رایج آن، به دنبال کنار گذاشتن یک بخش سوم از </w:t>
      </w:r>
      <w:r w:rsidR="00280255" w:rsidRPr="0025250D">
        <w:rPr>
          <w:rFonts w:hint="cs"/>
          <w:rtl/>
        </w:rPr>
        <w:t xml:space="preserve">این </w:t>
      </w:r>
      <w:r w:rsidRPr="0025250D">
        <w:rPr>
          <w:rFonts w:hint="cs"/>
          <w:rtl/>
        </w:rPr>
        <w:t xml:space="preserve">زمینه یعنی </w:t>
      </w:r>
      <w:r w:rsidRPr="0025250D">
        <w:rPr>
          <w:rtl/>
        </w:rPr>
        <w:t xml:space="preserve">آینده‌نگاری </w:t>
      </w:r>
      <w:r w:rsidRPr="0025250D">
        <w:rPr>
          <w:rFonts w:hint="cs"/>
          <w:rtl/>
        </w:rPr>
        <w:t>احتمالی</w:t>
      </w:r>
      <w:r w:rsidRPr="0025250D">
        <w:rPr>
          <w:vertAlign w:val="superscript"/>
          <w:rtl/>
        </w:rPr>
        <w:footnoteReference w:id="704"/>
      </w:r>
      <w:r w:rsidRPr="0025250D">
        <w:rPr>
          <w:rFonts w:hint="cs"/>
          <w:rtl/>
        </w:rPr>
        <w:t xml:space="preserve"> است. این کار </w:t>
      </w:r>
      <w:r w:rsidR="00D92F6E" w:rsidRPr="0025250D">
        <w:rPr>
          <w:rFonts w:hint="cs"/>
          <w:rtl/>
        </w:rPr>
        <w:t>آینده‌پژوه</w:t>
      </w:r>
      <w:r w:rsidRPr="0025250D">
        <w:rPr>
          <w:rFonts w:hint="cs"/>
          <w:rtl/>
        </w:rPr>
        <w:t xml:space="preserve">انی مانند </w:t>
      </w:r>
      <w:r w:rsidRPr="0025250D">
        <w:rPr>
          <w:rtl/>
        </w:rPr>
        <w:t>هانس روسل</w:t>
      </w:r>
      <w:r w:rsidRPr="0025250D">
        <w:rPr>
          <w:rFonts w:hint="cs"/>
          <w:rtl/>
        </w:rPr>
        <w:t>ی</w:t>
      </w:r>
      <w:r w:rsidRPr="0025250D">
        <w:rPr>
          <w:rFonts w:hint="eastAsia"/>
          <w:rtl/>
        </w:rPr>
        <w:t>نگ</w:t>
      </w:r>
      <w:r w:rsidRPr="0025250D">
        <w:rPr>
          <w:vertAlign w:val="superscript"/>
          <w:rtl/>
        </w:rPr>
        <w:footnoteReference w:id="705"/>
      </w:r>
      <w:r w:rsidRPr="0025250D">
        <w:rPr>
          <w:rFonts w:hint="cs"/>
          <w:rtl/>
        </w:rPr>
        <w:t xml:space="preserve"> از گپ‌مایندر</w:t>
      </w:r>
      <w:r w:rsidRPr="0025250D">
        <w:rPr>
          <w:vertAlign w:val="superscript"/>
          <w:rtl/>
        </w:rPr>
        <w:footnoteReference w:id="706"/>
      </w:r>
      <w:r w:rsidRPr="0025250D">
        <w:rPr>
          <w:rFonts w:hint="cs"/>
          <w:rtl/>
        </w:rPr>
        <w:t xml:space="preserve"> را که </w:t>
      </w:r>
      <w:r w:rsidR="00D92F6E" w:rsidRPr="0025250D">
        <w:rPr>
          <w:rFonts w:hint="cs"/>
          <w:rtl/>
        </w:rPr>
        <w:t>پیش‌بین</w:t>
      </w:r>
      <w:r w:rsidRPr="0025250D">
        <w:rPr>
          <w:rFonts w:hint="cs"/>
          <w:rtl/>
        </w:rPr>
        <w:t>ی‌های احتمالی ستودنی متعددی از تغییرات اجتماعی در مطالعات و آثار خود انجام داده اند، نادیده</w:t>
      </w:r>
      <w:r w:rsidRPr="0025250D">
        <w:rPr>
          <w:rFonts w:hint="cs"/>
        </w:rPr>
        <w:t>‌</w:t>
      </w:r>
      <w:r w:rsidRPr="0025250D">
        <w:rPr>
          <w:rFonts w:hint="cs"/>
          <w:rtl/>
        </w:rPr>
        <w:t xml:space="preserve"> می‌گیرد.</w:t>
      </w:r>
    </w:p>
    <w:p w14:paraId="018808A5" w14:textId="66D720A8" w:rsidR="0020732A" w:rsidRPr="0025250D" w:rsidRDefault="0020732A" w:rsidP="0020732A">
      <w:pPr>
        <w:rPr>
          <w:rtl/>
        </w:rPr>
      </w:pPr>
      <w:r w:rsidRPr="0025250D">
        <w:rPr>
          <w:rFonts w:hint="cs"/>
          <w:rtl/>
        </w:rPr>
        <w:t xml:space="preserve">برای دیدن خطر این سوگیری در تفکر جمعی، از خود بپرسید: کدامیک برای جهان خطرناک‌تر است: این باور که هیچ قاعده فراگیری در پس اخلاقیات و </w:t>
      </w:r>
      <w:r w:rsidR="00280255" w:rsidRPr="0025250D">
        <w:rPr>
          <w:rFonts w:hint="cs"/>
          <w:rtl/>
        </w:rPr>
        <w:t>همدردی</w:t>
      </w:r>
      <w:r w:rsidRPr="0025250D">
        <w:rPr>
          <w:rFonts w:hint="cs"/>
          <w:rtl/>
        </w:rPr>
        <w:t xml:space="preserve"> و </w:t>
      </w:r>
      <w:r w:rsidR="00202882" w:rsidRPr="0025250D">
        <w:rPr>
          <w:rFonts w:hint="cs"/>
          <w:rtl/>
        </w:rPr>
        <w:t>همدلی</w:t>
      </w:r>
      <w:r w:rsidRPr="0025250D">
        <w:rPr>
          <w:rFonts w:hint="cs"/>
          <w:rtl/>
        </w:rPr>
        <w:t xml:space="preserve"> که همه ما نسبت به یکدیگر از خود نشان</w:t>
      </w:r>
      <w:r w:rsidRPr="0025250D">
        <w:rPr>
          <w:rFonts w:hint="cs"/>
        </w:rPr>
        <w:t>‌</w:t>
      </w:r>
      <w:r w:rsidRPr="0025250D">
        <w:rPr>
          <w:rFonts w:hint="cs"/>
          <w:rtl/>
        </w:rPr>
        <w:t xml:space="preserve"> می‌دهیم، هیچ منحنی پیچیدگی توسعه‌ای در شکل‌های حیات موجود و جوامع آن‌ها</w:t>
      </w:r>
      <w:r w:rsidR="00280255" w:rsidRPr="0025250D">
        <w:rPr>
          <w:rFonts w:hint="cs"/>
          <w:rtl/>
        </w:rPr>
        <w:t xml:space="preserve"> و</w:t>
      </w:r>
      <w:r w:rsidRPr="0025250D">
        <w:rPr>
          <w:rFonts w:hint="cs"/>
          <w:rtl/>
        </w:rPr>
        <w:t xml:space="preserve"> هیچ علم اخلاق و تعاملات توسعه‌ای برای کشف کردن وجود ندارد یا این باور پست</w:t>
      </w:r>
      <w:r w:rsidRPr="0025250D">
        <w:rPr>
          <w:rtl/>
        </w:rPr>
        <w:t xml:space="preserve"> </w:t>
      </w:r>
      <w:r w:rsidRPr="0025250D">
        <w:rPr>
          <w:rFonts w:hint="cs"/>
          <w:rtl/>
        </w:rPr>
        <w:t xml:space="preserve">مدرن که منش اخلاقی و هیجانات ما تنها محصولاتی تصادفی از تکامل هستند که احتمالا در هر سیاره‌ای متفاوت هستند، بدون مجموعه قوانین درونی بهتر یا بدتر و بدون شکل‌های برتر یا پایین‌تر از </w:t>
      </w:r>
      <w:r w:rsidR="00AE5BE0" w:rsidRPr="0025250D">
        <w:rPr>
          <w:rFonts w:hint="cs"/>
          <w:rtl/>
        </w:rPr>
        <w:t>انطباق</w:t>
      </w:r>
      <w:r w:rsidRPr="0025250D">
        <w:rPr>
          <w:rFonts w:hint="cs"/>
          <w:rtl/>
        </w:rPr>
        <w:t xml:space="preserve"> کلی؟ </w:t>
      </w:r>
      <w:r w:rsidR="007118DE" w:rsidRPr="0025250D">
        <w:rPr>
          <w:rFonts w:hint="cs"/>
          <w:rtl/>
        </w:rPr>
        <w:t>همان‌طور</w:t>
      </w:r>
      <w:r w:rsidRPr="0025250D">
        <w:rPr>
          <w:rFonts w:hint="cs"/>
          <w:rtl/>
        </w:rPr>
        <w:t xml:space="preserve"> که بحث خواهیم کرد، حقیقتا به نظر یک منحنی پیشرفت، یک </w:t>
      </w:r>
      <w:r w:rsidR="00CF59DF" w:rsidRPr="0025250D">
        <w:rPr>
          <w:rFonts w:hint="cs"/>
          <w:rtl/>
        </w:rPr>
        <w:t>جهت‌گیری</w:t>
      </w:r>
      <w:r w:rsidRPr="0025250D">
        <w:rPr>
          <w:rFonts w:hint="cs"/>
          <w:rtl/>
        </w:rPr>
        <w:t xml:space="preserve"> قابل </w:t>
      </w:r>
      <w:r w:rsidR="00D92F6E" w:rsidRPr="0025250D">
        <w:rPr>
          <w:rFonts w:hint="cs"/>
          <w:rtl/>
        </w:rPr>
        <w:t>پیش‌بین</w:t>
      </w:r>
      <w:r w:rsidRPr="0025250D">
        <w:rPr>
          <w:rFonts w:hint="cs"/>
          <w:rtl/>
        </w:rPr>
        <w:t>ی، برای تغییر فراگیر وجود دارد. نجات یافتن از شبکه‌های</w:t>
      </w:r>
      <w:r w:rsidRPr="0025250D">
        <w:rPr>
          <w:rtl/>
        </w:rPr>
        <w:t xml:space="preserve"> </w:t>
      </w:r>
      <w:r w:rsidRPr="0025250D">
        <w:rPr>
          <w:rFonts w:hint="cs"/>
          <w:rtl/>
        </w:rPr>
        <w:t>پیچیده</w:t>
      </w:r>
      <w:r w:rsidRPr="0025250D">
        <w:rPr>
          <w:rtl/>
        </w:rPr>
        <w:t xml:space="preserve"> </w:t>
      </w:r>
      <w:r w:rsidRPr="0025250D">
        <w:rPr>
          <w:rFonts w:hint="cs"/>
          <w:rtl/>
        </w:rPr>
        <w:t>بازمانده</w:t>
      </w:r>
      <w:r w:rsidRPr="0025250D">
        <w:rPr>
          <w:rtl/>
        </w:rPr>
        <w:t xml:space="preserve"> </w:t>
      </w:r>
      <w:r w:rsidRPr="0025250D">
        <w:rPr>
          <w:rFonts w:hint="cs"/>
          <w:rtl/>
        </w:rPr>
        <w:t xml:space="preserve">دارای مقررات بیشتری </w:t>
      </w:r>
      <w:r w:rsidR="00280255" w:rsidRPr="0025250D">
        <w:rPr>
          <w:rFonts w:hint="cs"/>
          <w:rtl/>
        </w:rPr>
        <w:t>است</w:t>
      </w:r>
      <w:r w:rsidRPr="0025250D">
        <w:rPr>
          <w:rtl/>
        </w:rPr>
        <w:t xml:space="preserve"> </w:t>
      </w:r>
      <w:r w:rsidRPr="0025250D">
        <w:rPr>
          <w:rFonts w:hint="cs"/>
          <w:rtl/>
        </w:rPr>
        <w:t>و</w:t>
      </w:r>
      <w:r w:rsidRPr="0025250D">
        <w:rPr>
          <w:rtl/>
        </w:rPr>
        <w:t xml:space="preserve"> </w:t>
      </w:r>
      <w:r w:rsidRPr="0025250D">
        <w:rPr>
          <w:rFonts w:hint="cs"/>
          <w:rtl/>
        </w:rPr>
        <w:t>از</w:t>
      </w:r>
      <w:r w:rsidRPr="0025250D">
        <w:rPr>
          <w:rtl/>
        </w:rPr>
        <w:t xml:space="preserve"> </w:t>
      </w:r>
      <w:r w:rsidRPr="0025250D">
        <w:rPr>
          <w:rFonts w:hint="cs"/>
          <w:rtl/>
        </w:rPr>
        <w:t>قضاوت‌های</w:t>
      </w:r>
      <w:r w:rsidRPr="0025250D">
        <w:rPr>
          <w:rtl/>
        </w:rPr>
        <w:t xml:space="preserve"> </w:t>
      </w:r>
      <w:r w:rsidRPr="0025250D">
        <w:rPr>
          <w:rFonts w:hint="cs"/>
          <w:rtl/>
        </w:rPr>
        <w:t>دقیق‌تری</w:t>
      </w:r>
      <w:r w:rsidRPr="0025250D">
        <w:rPr>
          <w:rtl/>
        </w:rPr>
        <w:t xml:space="preserve"> </w:t>
      </w:r>
      <w:r w:rsidRPr="0025250D">
        <w:rPr>
          <w:rFonts w:hint="cs"/>
          <w:rtl/>
        </w:rPr>
        <w:t>درباره</w:t>
      </w:r>
      <w:r w:rsidRPr="0025250D">
        <w:rPr>
          <w:rtl/>
        </w:rPr>
        <w:t xml:space="preserve"> </w:t>
      </w:r>
      <w:r w:rsidRPr="0025250D">
        <w:rPr>
          <w:rFonts w:hint="cs"/>
          <w:rtl/>
        </w:rPr>
        <w:t>همه</w:t>
      </w:r>
      <w:r w:rsidRPr="0025250D">
        <w:rPr>
          <w:rtl/>
        </w:rPr>
        <w:t xml:space="preserve"> </w:t>
      </w:r>
      <w:r w:rsidRPr="0025250D">
        <w:rPr>
          <w:rFonts w:hint="cs"/>
          <w:rtl/>
        </w:rPr>
        <w:t>چیز</w:t>
      </w:r>
      <w:r w:rsidRPr="0025250D">
        <w:rPr>
          <w:rtl/>
        </w:rPr>
        <w:t xml:space="preserve"> </w:t>
      </w:r>
      <w:r w:rsidRPr="0025250D">
        <w:rPr>
          <w:rFonts w:hint="cs"/>
          <w:rtl/>
        </w:rPr>
        <w:t>استفاده</w:t>
      </w:r>
      <w:r w:rsidRPr="0025250D">
        <w:rPr>
          <w:rtl/>
        </w:rPr>
        <w:t xml:space="preserve"> </w:t>
      </w:r>
      <w:r w:rsidRPr="0025250D">
        <w:rPr>
          <w:rFonts w:hint="cs"/>
          <w:rtl/>
        </w:rPr>
        <w:t>می‌کند. باید بیاموزیم که تکامل و توسعه را در کار ببینیم، حتی اگر نتوانیم مورد دوم را بعداً به خوبی در جامعه</w:t>
      </w:r>
      <w:r w:rsidR="00280255" w:rsidRPr="0025250D">
        <w:rPr>
          <w:rFonts w:hint="cs"/>
          <w:rtl/>
        </w:rPr>
        <w:t>‌</w:t>
      </w:r>
      <w:r w:rsidRPr="0025250D">
        <w:rPr>
          <w:rFonts w:hint="cs"/>
          <w:rtl/>
        </w:rPr>
        <w:t>مان مدل سازی کنیم.</w:t>
      </w:r>
    </w:p>
    <w:p w14:paraId="5AC04E26" w14:textId="0ECC464A" w:rsidR="0020732A" w:rsidRPr="0025250D" w:rsidRDefault="0020732A" w:rsidP="0020732A">
      <w:pPr>
        <w:rPr>
          <w:rtl/>
        </w:rPr>
      </w:pPr>
      <w:r w:rsidRPr="0025250D">
        <w:rPr>
          <w:rFonts w:hint="cs"/>
          <w:rtl/>
        </w:rPr>
        <w:t>وقتی انتخاب</w:t>
      </w:r>
      <w:r w:rsidRPr="0025250D">
        <w:rPr>
          <w:rFonts w:hint="cs"/>
        </w:rPr>
        <w:t>‌</w:t>
      </w:r>
      <w:r w:rsidRPr="0025250D">
        <w:rPr>
          <w:rFonts w:hint="cs"/>
          <w:rtl/>
        </w:rPr>
        <w:t xml:space="preserve"> می‌کنیم که </w:t>
      </w:r>
      <w:r w:rsidR="00CF59DF" w:rsidRPr="0025250D">
        <w:rPr>
          <w:rFonts w:hint="cs"/>
          <w:rtl/>
        </w:rPr>
        <w:t>جهت‌گیری</w:t>
      </w:r>
      <w:r w:rsidRPr="0025250D">
        <w:rPr>
          <w:rFonts w:hint="cs"/>
          <w:rtl/>
        </w:rPr>
        <w:t xml:space="preserve"> توسعه‌ای را در تاریخ و آینده خود نبینینم، فردگرایی خودخواهانه، اخلاق موقعیتی</w:t>
      </w:r>
      <w:r w:rsidRPr="0025250D">
        <w:rPr>
          <w:vertAlign w:val="superscript"/>
          <w:rtl/>
        </w:rPr>
        <w:footnoteReference w:id="707"/>
      </w:r>
      <w:r w:rsidRPr="0025250D">
        <w:rPr>
          <w:rFonts w:hint="cs"/>
          <w:rtl/>
        </w:rPr>
        <w:t xml:space="preserve"> و شکل‌های متنوعی از تفکر </w:t>
      </w:r>
      <w:r w:rsidR="00D30084" w:rsidRPr="0025250D">
        <w:rPr>
          <w:rFonts w:hint="cs"/>
          <w:rtl/>
        </w:rPr>
        <w:t>آرمان‌گرا</w:t>
      </w:r>
      <w:r w:rsidRPr="0025250D">
        <w:rPr>
          <w:rFonts w:hint="cs"/>
          <w:rtl/>
        </w:rPr>
        <w:t xml:space="preserve">یانه و ایدئولوژی مبتنی بر مدارک ضعیف </w:t>
      </w:r>
      <w:r w:rsidR="00B0171C" w:rsidRPr="0025250D">
        <w:rPr>
          <w:rFonts w:hint="cs"/>
          <w:rtl/>
        </w:rPr>
        <w:t>به‌سادگی</w:t>
      </w:r>
      <w:r w:rsidRPr="0025250D">
        <w:rPr>
          <w:rFonts w:hint="cs"/>
          <w:rtl/>
        </w:rPr>
        <w:t xml:space="preserve"> زندگی هایمان را به پیش خواهد برد. در آمریکای امروز، در حزب راست </w:t>
      </w:r>
      <w:r w:rsidRPr="0025250D">
        <w:rPr>
          <w:rFonts w:hint="cs"/>
          <w:rtl/>
        </w:rPr>
        <w:lastRenderedPageBreak/>
        <w:t>سیاسی افراد زیادی یک باور غیر</w:t>
      </w:r>
      <w:r w:rsidRPr="0025250D">
        <w:rPr>
          <w:rtl/>
        </w:rPr>
        <w:t xml:space="preserve"> </w:t>
      </w:r>
      <w:r w:rsidRPr="0025250D">
        <w:rPr>
          <w:rFonts w:hint="cs"/>
          <w:rtl/>
        </w:rPr>
        <w:t xml:space="preserve">موجه در مورد </w:t>
      </w:r>
      <w:r w:rsidR="006335B8" w:rsidRPr="0025250D">
        <w:rPr>
          <w:rtl/>
        </w:rPr>
        <w:t>«</w:t>
      </w:r>
      <w:r w:rsidRPr="0025250D">
        <w:rPr>
          <w:rFonts w:hint="cs"/>
          <w:rtl/>
        </w:rPr>
        <w:t>بازار آزاد</w:t>
      </w:r>
      <w:r w:rsidR="006335B8" w:rsidRPr="0025250D">
        <w:rPr>
          <w:rtl/>
        </w:rPr>
        <w:t>»</w:t>
      </w:r>
      <w:r w:rsidRPr="0025250D">
        <w:rPr>
          <w:rFonts w:hint="cs"/>
          <w:rtl/>
        </w:rPr>
        <w:t xml:space="preserve"> بدون مقررات دارند. افراد زیادی از جناح چپ نیز یک باور به همان اندازه غیر</w:t>
      </w:r>
      <w:r w:rsidRPr="0025250D">
        <w:rPr>
          <w:rtl/>
        </w:rPr>
        <w:t xml:space="preserve"> </w:t>
      </w:r>
      <w:r w:rsidRPr="0025250D">
        <w:rPr>
          <w:rFonts w:hint="cs"/>
          <w:rtl/>
        </w:rPr>
        <w:t xml:space="preserve">موجه در </w:t>
      </w:r>
      <w:r w:rsidR="00280255" w:rsidRPr="0025250D">
        <w:rPr>
          <w:rFonts w:hint="cs"/>
          <w:rtl/>
        </w:rPr>
        <w:t xml:space="preserve">مورد </w:t>
      </w:r>
      <w:r w:rsidRPr="0025250D">
        <w:rPr>
          <w:rFonts w:hint="cs"/>
          <w:rtl/>
        </w:rPr>
        <w:t xml:space="preserve">حذف قضاوت‌ها در میان باور‌ها، قواعد، قوانین و اعمال فرهنگی، در جست و جوی </w:t>
      </w:r>
      <w:r w:rsidR="006335B8" w:rsidRPr="0025250D">
        <w:rPr>
          <w:rtl/>
        </w:rPr>
        <w:t>«</w:t>
      </w:r>
      <w:r w:rsidRPr="0025250D">
        <w:rPr>
          <w:rFonts w:hint="cs"/>
          <w:rtl/>
        </w:rPr>
        <w:t>برابری خواهی عمیق</w:t>
      </w:r>
      <w:r w:rsidRPr="0025250D">
        <w:rPr>
          <w:vertAlign w:val="superscript"/>
          <w:rtl/>
        </w:rPr>
        <w:footnoteReference w:id="708"/>
      </w:r>
      <w:r w:rsidRPr="0025250D">
        <w:rPr>
          <w:rFonts w:hint="cs"/>
          <w:rtl/>
        </w:rPr>
        <w:t xml:space="preserve">، دارند. </w:t>
      </w:r>
      <w:r w:rsidR="007118DE" w:rsidRPr="0025250D">
        <w:rPr>
          <w:rFonts w:hint="cs"/>
          <w:rtl/>
        </w:rPr>
        <w:t>همان‌طور</w:t>
      </w:r>
      <w:r w:rsidRPr="0025250D">
        <w:rPr>
          <w:rFonts w:hint="cs"/>
          <w:rtl/>
        </w:rPr>
        <w:t xml:space="preserve"> که در </w:t>
      </w:r>
      <w:r w:rsidRPr="0025250D">
        <w:t>BPE</w:t>
      </w:r>
      <w:r w:rsidRPr="0025250D">
        <w:rPr>
          <w:rFonts w:hint="cs"/>
          <w:rtl/>
        </w:rPr>
        <w:t xml:space="preserve"> خواهیم گفت، آینده توسعه‌ای جوامع </w:t>
      </w:r>
      <w:r w:rsidR="00AE5BE0" w:rsidRPr="0025250D">
        <w:rPr>
          <w:rFonts w:hint="cs"/>
          <w:rtl/>
        </w:rPr>
        <w:t>انطباقی</w:t>
      </w:r>
      <w:r w:rsidRPr="0025250D">
        <w:rPr>
          <w:rFonts w:hint="cs"/>
          <w:rtl/>
        </w:rPr>
        <w:t xml:space="preserve"> احتمالا بسیار مرکزگرا‌تر، مقید‌تر و دقیق‌تر از هر یک از این انتخاب‌های خلاقانه از باور‌های سیاسی به نظر</w:t>
      </w:r>
      <w:r w:rsidRPr="0025250D">
        <w:rPr>
          <w:rFonts w:hint="cs"/>
        </w:rPr>
        <w:t>‌</w:t>
      </w:r>
      <w:r w:rsidRPr="0025250D">
        <w:rPr>
          <w:rFonts w:hint="cs"/>
          <w:rtl/>
        </w:rPr>
        <w:t xml:space="preserve"> می‌رسد.</w:t>
      </w:r>
    </w:p>
    <w:p w14:paraId="1E82E817" w14:textId="54848B5E" w:rsidR="0020732A" w:rsidRPr="0025250D" w:rsidRDefault="0020732A" w:rsidP="0020732A">
      <w:pPr>
        <w:rPr>
          <w:rtl/>
        </w:rPr>
      </w:pPr>
      <w:r w:rsidRPr="0025250D">
        <w:rPr>
          <w:rFonts w:hint="cs"/>
          <w:rtl/>
        </w:rPr>
        <w:t>ما چنین تفکری را سوگیری آزادی</w:t>
      </w:r>
      <w:r w:rsidRPr="0025250D">
        <w:rPr>
          <w:rFonts w:hint="cs"/>
        </w:rPr>
        <w:t>‌</w:t>
      </w:r>
      <w:r w:rsidRPr="0025250D">
        <w:rPr>
          <w:rFonts w:hint="cs"/>
          <w:rtl/>
        </w:rPr>
        <w:t xml:space="preserve"> می‌نامیم. این </w:t>
      </w:r>
      <w:r w:rsidR="00280255" w:rsidRPr="0025250D">
        <w:rPr>
          <w:rFonts w:hint="cs"/>
          <w:rtl/>
        </w:rPr>
        <w:t>تفکر</w:t>
      </w:r>
      <w:r w:rsidRPr="0025250D">
        <w:rPr>
          <w:rFonts w:hint="cs"/>
          <w:rtl/>
        </w:rPr>
        <w:t xml:space="preserve"> نام‌های متعدد دیگری نیز دارد، از جمله سوگیری ضد </w:t>
      </w:r>
      <w:r w:rsidR="00D92F6E" w:rsidRPr="0025250D">
        <w:rPr>
          <w:rFonts w:hint="cs"/>
          <w:rtl/>
        </w:rPr>
        <w:t>پیش‌بین</w:t>
      </w:r>
      <w:r w:rsidRPr="0025250D">
        <w:rPr>
          <w:rFonts w:hint="cs"/>
          <w:rtl/>
        </w:rPr>
        <w:t xml:space="preserve">ی، سوگیری تکاملی، یا سوگیری </w:t>
      </w:r>
      <w:r w:rsidR="00303635" w:rsidRPr="0025250D">
        <w:rPr>
          <w:rFonts w:hint="cs"/>
          <w:rtl/>
        </w:rPr>
        <w:t>عدم تعیّن</w:t>
      </w:r>
      <w:r w:rsidR="00303635" w:rsidRPr="0025250D">
        <w:rPr>
          <w:rStyle w:val="FootnoteReference"/>
          <w:rtl/>
        </w:rPr>
        <w:footnoteReference w:id="709"/>
      </w:r>
      <w:r w:rsidRPr="0025250D">
        <w:rPr>
          <w:rFonts w:hint="cs"/>
          <w:rtl/>
        </w:rPr>
        <w:t>. سوگیری آزادی وقتی ایجاد</w:t>
      </w:r>
      <w:r w:rsidRPr="0025250D">
        <w:rPr>
          <w:rFonts w:hint="cs"/>
        </w:rPr>
        <w:t>‌</w:t>
      </w:r>
      <w:r w:rsidRPr="0025250D">
        <w:rPr>
          <w:rFonts w:hint="cs"/>
          <w:rtl/>
        </w:rPr>
        <w:t xml:space="preserve"> می‌شود که یک کارگزار </w:t>
      </w:r>
      <w:r w:rsidRPr="0025250D">
        <w:rPr>
          <w:rtl/>
        </w:rPr>
        <w:t>آینده‌نگاری</w:t>
      </w:r>
      <w:r w:rsidRPr="0025250D">
        <w:rPr>
          <w:rFonts w:hint="cs"/>
          <w:rtl/>
        </w:rPr>
        <w:t xml:space="preserve"> آینده مرتبط را آزاد‌تر، کم‌تر مقید و کم‌تر قابل </w:t>
      </w:r>
      <w:r w:rsidR="00D92F6E" w:rsidRPr="0025250D">
        <w:rPr>
          <w:rFonts w:hint="cs"/>
          <w:rtl/>
        </w:rPr>
        <w:t>پیش‌بین</w:t>
      </w:r>
      <w:r w:rsidRPr="0025250D">
        <w:rPr>
          <w:rFonts w:hint="cs"/>
          <w:rtl/>
        </w:rPr>
        <w:t>ی نسبت به آنچه واقعا هست تصور</w:t>
      </w:r>
      <w:r w:rsidRPr="0025250D">
        <w:rPr>
          <w:rFonts w:hint="cs"/>
        </w:rPr>
        <w:t>‌</w:t>
      </w:r>
      <w:r w:rsidRPr="0025250D">
        <w:rPr>
          <w:rFonts w:hint="cs"/>
          <w:rtl/>
        </w:rPr>
        <w:t xml:space="preserve"> می‌کند. در واقعیت، مجموعه‌ای از قوانین فیزیکی، شامل فیزیک کوانتوم و آشوب که آینده‌های واگرا و غیر قابل </w:t>
      </w:r>
      <w:r w:rsidR="00D92F6E" w:rsidRPr="0025250D">
        <w:rPr>
          <w:rFonts w:hint="cs"/>
          <w:rtl/>
        </w:rPr>
        <w:t>پیش‌بین</w:t>
      </w:r>
      <w:r w:rsidRPr="0025250D">
        <w:rPr>
          <w:rFonts w:hint="cs"/>
          <w:rtl/>
        </w:rPr>
        <w:t xml:space="preserve">ی و مجموعه‌ای متقابل از قوانین فیزیکی، شامل مکانیک کلاسیک، نسبیت و ترمودینامیک که جهان را به یک آینده قابل </w:t>
      </w:r>
      <w:r w:rsidR="00D92F6E" w:rsidRPr="0025250D">
        <w:rPr>
          <w:rFonts w:hint="cs"/>
          <w:rtl/>
        </w:rPr>
        <w:t>پیش‌بین</w:t>
      </w:r>
      <w:r w:rsidRPr="0025250D">
        <w:rPr>
          <w:rFonts w:hint="cs"/>
          <w:rtl/>
        </w:rPr>
        <w:t xml:space="preserve"> همگرا</w:t>
      </w:r>
      <w:r w:rsidRPr="0025250D">
        <w:rPr>
          <w:rFonts w:hint="cs"/>
        </w:rPr>
        <w:t>‌</w:t>
      </w:r>
      <w:r w:rsidRPr="0025250D">
        <w:rPr>
          <w:rFonts w:hint="cs"/>
          <w:rtl/>
        </w:rPr>
        <w:t xml:space="preserve"> می‌کنند، وجود دارند. نظریه پردازان در زمینه جاذبه کوانتومی تلاش کرده‌اند تا این دو مجموعه از قوانین فیزیکی را به هم پیوند دهند که تا کنون نتایج بسیار محدودی </w:t>
      </w:r>
      <w:r w:rsidR="00B124DE" w:rsidRPr="0025250D">
        <w:rPr>
          <w:rFonts w:hint="cs"/>
          <w:rtl/>
        </w:rPr>
        <w:t>داشته‌اند</w:t>
      </w:r>
      <w:r w:rsidRPr="0025250D">
        <w:rPr>
          <w:rFonts w:hint="cs"/>
          <w:rtl/>
        </w:rPr>
        <w:t>. هر دوی این مجموعه قوانین به یک اندازه بنیادی به نظر</w:t>
      </w:r>
      <w:r w:rsidRPr="0025250D">
        <w:rPr>
          <w:rFonts w:hint="cs"/>
        </w:rPr>
        <w:t>‌</w:t>
      </w:r>
      <w:r w:rsidRPr="0025250D">
        <w:rPr>
          <w:rFonts w:hint="cs"/>
          <w:rtl/>
        </w:rPr>
        <w:t xml:space="preserve"> می‌رسند. در مدل </w:t>
      </w:r>
      <w:r w:rsidRPr="0025250D">
        <w:rPr>
          <w:rtl/>
        </w:rPr>
        <w:t>تکاملی-توسعه‌ای</w:t>
      </w:r>
      <w:r w:rsidRPr="0025250D">
        <w:rPr>
          <w:rFonts w:hint="cs"/>
          <w:rtl/>
        </w:rPr>
        <w:t xml:space="preserve">، ما فرایند‌های غیر قابل </w:t>
      </w:r>
      <w:r w:rsidR="00D92F6E" w:rsidRPr="0025250D">
        <w:rPr>
          <w:rFonts w:hint="cs"/>
          <w:rtl/>
        </w:rPr>
        <w:t>پیش‌بین</w:t>
      </w:r>
      <w:r w:rsidRPr="0025250D">
        <w:rPr>
          <w:rFonts w:hint="cs"/>
          <w:rtl/>
        </w:rPr>
        <w:t xml:space="preserve">ی، واگرا و خلق </w:t>
      </w:r>
      <w:r w:rsidR="00923DDB" w:rsidRPr="0025250D">
        <w:rPr>
          <w:rFonts w:hint="cs"/>
          <w:rtl/>
        </w:rPr>
        <w:t>کننده‌ای</w:t>
      </w:r>
      <w:r w:rsidRPr="0025250D">
        <w:rPr>
          <w:rFonts w:hint="cs"/>
          <w:rtl/>
        </w:rPr>
        <w:t>نده‌ها را تکامل</w:t>
      </w:r>
      <w:r w:rsidRPr="0025250D">
        <w:rPr>
          <w:rFonts w:hint="cs"/>
        </w:rPr>
        <w:t>‌</w:t>
      </w:r>
      <w:r w:rsidRPr="0025250D">
        <w:rPr>
          <w:rFonts w:hint="cs"/>
          <w:rtl/>
        </w:rPr>
        <w:t xml:space="preserve"> می‌نامیم. فرایند‌های قابل </w:t>
      </w:r>
      <w:r w:rsidR="00D92F6E" w:rsidRPr="0025250D">
        <w:rPr>
          <w:rFonts w:hint="cs"/>
          <w:rtl/>
        </w:rPr>
        <w:t>پیش‌بین</w:t>
      </w:r>
      <w:r w:rsidRPr="0025250D">
        <w:rPr>
          <w:rFonts w:hint="cs"/>
          <w:rtl/>
        </w:rPr>
        <w:t xml:space="preserve">ی، همگرا و خلق </w:t>
      </w:r>
      <w:r w:rsidR="00923DDB" w:rsidRPr="0025250D">
        <w:rPr>
          <w:rFonts w:hint="cs"/>
          <w:rtl/>
        </w:rPr>
        <w:t>کننده‌ای</w:t>
      </w:r>
      <w:r w:rsidRPr="0025250D">
        <w:rPr>
          <w:rFonts w:hint="cs"/>
          <w:rtl/>
        </w:rPr>
        <w:t>نده را توسعه</w:t>
      </w:r>
      <w:r w:rsidRPr="0025250D">
        <w:rPr>
          <w:rFonts w:hint="cs"/>
        </w:rPr>
        <w:t>‌</w:t>
      </w:r>
      <w:r w:rsidRPr="0025250D">
        <w:rPr>
          <w:rFonts w:hint="cs"/>
          <w:rtl/>
        </w:rPr>
        <w:t xml:space="preserve"> می‌نامیم.</w:t>
      </w:r>
    </w:p>
    <w:p w14:paraId="1F0E88F5" w14:textId="58F1FD7D" w:rsidR="0020732A" w:rsidRPr="0025250D" w:rsidRDefault="0020732A" w:rsidP="006335B8">
      <w:pPr>
        <w:rPr>
          <w:rtl/>
        </w:rPr>
      </w:pPr>
      <w:r w:rsidRPr="0025250D">
        <w:rPr>
          <w:rFonts w:hint="cs"/>
          <w:rtl/>
        </w:rPr>
        <w:t xml:space="preserve">هر دو واقعیت، آینده‌ها و آینده، به نظر نه‌تنها در فیزیک بلکه در هر </w:t>
      </w:r>
      <w:r w:rsidR="008D6F97" w:rsidRPr="0025250D">
        <w:rPr>
          <w:rFonts w:hint="cs"/>
          <w:rtl/>
        </w:rPr>
        <w:t>سامانه‌</w:t>
      </w:r>
      <w:r w:rsidRPr="0025250D">
        <w:rPr>
          <w:rFonts w:hint="cs"/>
          <w:rtl/>
        </w:rPr>
        <w:t xml:space="preserve"> پیچیده دیگری از جمله شیمی، زیست شناسی، روانشناسی، جامعه و </w:t>
      </w:r>
      <w:r w:rsidR="007A53FD" w:rsidRPr="0025250D">
        <w:rPr>
          <w:rFonts w:hint="cs"/>
          <w:rtl/>
        </w:rPr>
        <w:t>فناوری</w:t>
      </w:r>
      <w:r w:rsidRPr="0025250D">
        <w:rPr>
          <w:rFonts w:hint="cs"/>
          <w:rtl/>
        </w:rPr>
        <w:t xml:space="preserve"> نیز وجود دارند. انتخاب طبیعی بر روی زمین میلیارد‌ها گونه را که به شکل حیرت انگیزی منحصر به فرد هستند و هم‌زمان، </w:t>
      </w:r>
      <w:r w:rsidR="008D6F97" w:rsidRPr="0025250D">
        <w:rPr>
          <w:rFonts w:hint="cs"/>
          <w:rtl/>
        </w:rPr>
        <w:t>سامانه‌</w:t>
      </w:r>
      <w:r w:rsidRPr="0025250D">
        <w:rPr>
          <w:rFonts w:hint="cs"/>
          <w:rtl/>
        </w:rPr>
        <w:t xml:space="preserve">‌ها، شکل‌ها و کارکرد‌های فراگیر متعددی را که اختر-زیستشناسان </w:t>
      </w:r>
      <w:r w:rsidR="00D92F6E" w:rsidRPr="0025250D">
        <w:rPr>
          <w:rFonts w:hint="cs"/>
          <w:rtl/>
        </w:rPr>
        <w:t>پیش‌بین</w:t>
      </w:r>
      <w:r w:rsidRPr="0025250D">
        <w:rPr>
          <w:rFonts w:hint="cs"/>
          <w:rtl/>
        </w:rPr>
        <w:t>ی</w:t>
      </w:r>
      <w:r w:rsidRPr="0025250D">
        <w:rPr>
          <w:rFonts w:hint="cs"/>
        </w:rPr>
        <w:t>‌</w:t>
      </w:r>
      <w:r w:rsidRPr="0025250D">
        <w:rPr>
          <w:rFonts w:hint="cs"/>
          <w:rtl/>
        </w:rPr>
        <w:t xml:space="preserve"> می‌کنند که در همه سیارات مانند زمین در جهان ما یافت خواهند شد، ایجاد</w:t>
      </w:r>
      <w:r w:rsidRPr="0025250D">
        <w:rPr>
          <w:rtl/>
        </w:rPr>
        <w:t xml:space="preserve"> </w:t>
      </w:r>
      <w:r w:rsidRPr="0025250D">
        <w:rPr>
          <w:rFonts w:hint="cs"/>
          <w:rtl/>
        </w:rPr>
        <w:t>کرده</w:t>
      </w:r>
      <w:r w:rsidRPr="0025250D">
        <w:rPr>
          <w:rtl/>
        </w:rPr>
        <w:t xml:space="preserve"> </w:t>
      </w:r>
      <w:r w:rsidRPr="0025250D">
        <w:rPr>
          <w:rFonts w:hint="cs"/>
          <w:rtl/>
        </w:rPr>
        <w:t>است. هر گاه ساختار‌ها و کارکرد‌های مشابهی را در گونه‌ها و بیوم</w:t>
      </w:r>
      <w:r w:rsidRPr="0025250D">
        <w:rPr>
          <w:rtl/>
        </w:rPr>
        <w:t xml:space="preserve"> </w:t>
      </w:r>
      <w:r w:rsidRPr="0025250D">
        <w:rPr>
          <w:rFonts w:hint="cs"/>
          <w:rtl/>
        </w:rPr>
        <w:t>های</w:t>
      </w:r>
      <w:r w:rsidRPr="0025250D">
        <w:rPr>
          <w:vertAlign w:val="superscript"/>
          <w:rtl/>
        </w:rPr>
        <w:footnoteReference w:id="710"/>
      </w:r>
      <w:r w:rsidRPr="0025250D">
        <w:rPr>
          <w:rFonts w:hint="cs"/>
          <w:rtl/>
        </w:rPr>
        <w:t xml:space="preserve"> مختلف در زمین</w:t>
      </w:r>
      <w:r w:rsidRPr="0025250D">
        <w:rPr>
          <w:rFonts w:hint="cs"/>
        </w:rPr>
        <w:t>‌</w:t>
      </w:r>
      <w:r w:rsidRPr="0025250D">
        <w:rPr>
          <w:rFonts w:hint="cs"/>
          <w:rtl/>
        </w:rPr>
        <w:t xml:space="preserve"> می‌بینیم، دانشمندان این فرایند را </w:t>
      </w:r>
      <w:r w:rsidR="006335B8" w:rsidRPr="0025250D">
        <w:rPr>
          <w:rtl/>
        </w:rPr>
        <w:t>«</w:t>
      </w:r>
      <w:r w:rsidRPr="0025250D">
        <w:rPr>
          <w:rFonts w:hint="cs"/>
          <w:rtl/>
        </w:rPr>
        <w:t>تکامل همگرا</w:t>
      </w:r>
      <w:r w:rsidRPr="0025250D">
        <w:rPr>
          <w:vertAlign w:val="superscript"/>
          <w:rtl/>
        </w:rPr>
        <w:footnoteReference w:id="711"/>
      </w:r>
      <w:r w:rsidR="006335B8" w:rsidRPr="0025250D">
        <w:rPr>
          <w:rFonts w:hint="cs"/>
          <w:rtl/>
        </w:rPr>
        <w:t>»</w:t>
      </w:r>
      <w:r w:rsidRPr="0025250D">
        <w:rPr>
          <w:rFonts w:hint="cs"/>
        </w:rPr>
        <w:t>‌</w:t>
      </w:r>
      <w:r w:rsidRPr="0025250D">
        <w:rPr>
          <w:rFonts w:hint="cs"/>
          <w:rtl/>
        </w:rPr>
        <w:t xml:space="preserve"> می‌نامند. ما استدلال</w:t>
      </w:r>
      <w:r w:rsidRPr="0025250D">
        <w:rPr>
          <w:rFonts w:hint="cs"/>
        </w:rPr>
        <w:t>‌</w:t>
      </w:r>
      <w:r w:rsidRPr="0025250D">
        <w:rPr>
          <w:rFonts w:hint="cs"/>
          <w:rtl/>
        </w:rPr>
        <w:t xml:space="preserve"> می‌کنیم که بخش زیادی از همگرایی تکاملی شایسته یک نام دقیق‌تر و بهتر</w:t>
      </w:r>
      <w:r w:rsidR="008D6F97" w:rsidRPr="0025250D">
        <w:rPr>
          <w:rtl/>
        </w:rPr>
        <w:t xml:space="preserve"> </w:t>
      </w:r>
      <w:r w:rsidRPr="0025250D">
        <w:rPr>
          <w:rFonts w:hint="cs"/>
          <w:rtl/>
        </w:rPr>
        <w:t xml:space="preserve">یعنی </w:t>
      </w:r>
      <w:r w:rsidR="006335B8" w:rsidRPr="0025250D">
        <w:rPr>
          <w:rtl/>
        </w:rPr>
        <w:t>«</w:t>
      </w:r>
      <w:r w:rsidRPr="0025250D">
        <w:rPr>
          <w:rFonts w:hint="cs"/>
          <w:rtl/>
        </w:rPr>
        <w:t>توسعه فراگیر</w:t>
      </w:r>
      <w:r w:rsidRPr="0025250D">
        <w:rPr>
          <w:vertAlign w:val="superscript"/>
          <w:rtl/>
        </w:rPr>
        <w:footnoteReference w:id="712"/>
      </w:r>
      <w:r w:rsidR="006335B8" w:rsidRPr="0025250D">
        <w:rPr>
          <w:rtl/>
        </w:rPr>
        <w:t>»</w:t>
      </w:r>
      <w:r w:rsidRPr="0025250D">
        <w:rPr>
          <w:rFonts w:hint="cs"/>
          <w:rtl/>
        </w:rPr>
        <w:t xml:space="preserve"> است.</w:t>
      </w:r>
    </w:p>
    <w:p w14:paraId="0BA8E73D" w14:textId="07043360" w:rsidR="0020732A" w:rsidRPr="0025250D" w:rsidRDefault="0020732A" w:rsidP="00BD658B">
      <w:pPr>
        <w:rPr>
          <w:rtl/>
        </w:rPr>
      </w:pPr>
      <w:r w:rsidRPr="0025250D">
        <w:rPr>
          <w:rFonts w:hint="cs"/>
          <w:rtl/>
        </w:rPr>
        <w:t>به‌عنوان</w:t>
      </w:r>
      <w:r w:rsidRPr="0025250D">
        <w:rPr>
          <w:rtl/>
        </w:rPr>
        <w:t xml:space="preserve"> </w:t>
      </w:r>
      <w:r w:rsidRPr="0025250D">
        <w:rPr>
          <w:rFonts w:hint="cs"/>
          <w:rtl/>
        </w:rPr>
        <w:t>مثال،</w:t>
      </w:r>
      <w:r w:rsidRPr="0025250D">
        <w:rPr>
          <w:rtl/>
        </w:rPr>
        <w:t xml:space="preserve"> </w:t>
      </w:r>
      <w:r w:rsidRPr="0025250D">
        <w:rPr>
          <w:rFonts w:hint="cs"/>
          <w:rtl/>
        </w:rPr>
        <w:t>شبکه</w:t>
      </w:r>
      <w:r w:rsidRPr="0025250D">
        <w:rPr>
          <w:rtl/>
        </w:rPr>
        <w:t xml:space="preserve">‌های </w:t>
      </w:r>
      <w:r w:rsidRPr="0025250D">
        <w:rPr>
          <w:rFonts w:hint="cs"/>
          <w:rtl/>
        </w:rPr>
        <w:t>عصبی</w:t>
      </w:r>
      <w:r w:rsidRPr="0025250D">
        <w:rPr>
          <w:rtl/>
        </w:rPr>
        <w:t xml:space="preserve"> </w:t>
      </w:r>
      <w:r w:rsidRPr="0025250D">
        <w:rPr>
          <w:rFonts w:hint="cs"/>
          <w:rtl/>
        </w:rPr>
        <w:t>به</w:t>
      </w:r>
      <w:r w:rsidRPr="0025250D">
        <w:rPr>
          <w:rtl/>
        </w:rPr>
        <w:t xml:space="preserve"> </w:t>
      </w:r>
      <w:r w:rsidRPr="0025250D">
        <w:rPr>
          <w:rFonts w:hint="cs"/>
          <w:rtl/>
        </w:rPr>
        <w:t>احتمال</w:t>
      </w:r>
      <w:r w:rsidRPr="0025250D">
        <w:rPr>
          <w:rtl/>
        </w:rPr>
        <w:t xml:space="preserve"> </w:t>
      </w:r>
      <w:r w:rsidRPr="0025250D">
        <w:rPr>
          <w:rFonts w:hint="cs"/>
          <w:rtl/>
        </w:rPr>
        <w:t>زیاد</w:t>
      </w:r>
      <w:r w:rsidRPr="0025250D">
        <w:rPr>
          <w:rtl/>
        </w:rPr>
        <w:t xml:space="preserve"> </w:t>
      </w:r>
      <w:r w:rsidRPr="0025250D">
        <w:rPr>
          <w:rFonts w:hint="cs"/>
          <w:rtl/>
        </w:rPr>
        <w:t>شیوه‌ای فراگیر</w:t>
      </w:r>
      <w:r w:rsidRPr="0025250D">
        <w:rPr>
          <w:rtl/>
        </w:rPr>
        <w:t xml:space="preserve"> </w:t>
      </w:r>
      <w:r w:rsidRPr="0025250D">
        <w:rPr>
          <w:rFonts w:hint="cs"/>
          <w:rtl/>
        </w:rPr>
        <w:t>از نحوه‌ای هستند که</w:t>
      </w:r>
      <w:r w:rsidRPr="0025250D">
        <w:rPr>
          <w:rtl/>
        </w:rPr>
        <w:t xml:space="preserve"> </w:t>
      </w:r>
      <w:r w:rsidRPr="0025250D">
        <w:rPr>
          <w:rFonts w:hint="cs"/>
          <w:rtl/>
        </w:rPr>
        <w:t>سلول</w:t>
      </w:r>
      <w:r w:rsidRPr="0025250D">
        <w:rPr>
          <w:rtl/>
        </w:rPr>
        <w:t xml:space="preserve">‌ها ذهن </w:t>
      </w:r>
      <w:r w:rsidRPr="0025250D">
        <w:rPr>
          <w:rFonts w:hint="cs"/>
          <w:rtl/>
        </w:rPr>
        <w:t>و</w:t>
      </w:r>
      <w:r w:rsidRPr="0025250D">
        <w:rPr>
          <w:rtl/>
        </w:rPr>
        <w:t>الاتر</w:t>
      </w:r>
      <w:r w:rsidRPr="0025250D">
        <w:rPr>
          <w:vertAlign w:val="superscript"/>
          <w:rtl/>
        </w:rPr>
        <w:footnoteReference w:id="713"/>
      </w:r>
      <w:r w:rsidRPr="0025250D">
        <w:rPr>
          <w:rFonts w:hint="cs"/>
          <w:rtl/>
        </w:rPr>
        <w:t xml:space="preserve"> را</w:t>
      </w:r>
      <w:r w:rsidRPr="0025250D">
        <w:rPr>
          <w:rtl/>
        </w:rPr>
        <w:t xml:space="preserve"> </w:t>
      </w:r>
      <w:r w:rsidRPr="0025250D">
        <w:rPr>
          <w:rFonts w:hint="cs"/>
          <w:rtl/>
        </w:rPr>
        <w:t>به</w:t>
      </w:r>
      <w:r w:rsidRPr="0025250D">
        <w:rPr>
          <w:rtl/>
        </w:rPr>
        <w:t xml:space="preserve"> </w:t>
      </w:r>
      <w:r w:rsidR="008D6F97" w:rsidRPr="0025250D">
        <w:rPr>
          <w:rFonts w:hint="cs"/>
          <w:rtl/>
        </w:rPr>
        <w:t>سامانه‌</w:t>
      </w:r>
      <w:r w:rsidRPr="0025250D">
        <w:rPr>
          <w:rtl/>
        </w:rPr>
        <w:t xml:space="preserve">‌های </w:t>
      </w:r>
      <w:r w:rsidRPr="0025250D">
        <w:rPr>
          <w:rFonts w:hint="cs"/>
          <w:rtl/>
        </w:rPr>
        <w:t>چند</w:t>
      </w:r>
      <w:r w:rsidRPr="0025250D">
        <w:rPr>
          <w:rtl/>
        </w:rPr>
        <w:t xml:space="preserve"> </w:t>
      </w:r>
      <w:r w:rsidRPr="0025250D">
        <w:rPr>
          <w:rFonts w:hint="cs"/>
          <w:rtl/>
        </w:rPr>
        <w:t>سلولی</w:t>
      </w:r>
      <w:r w:rsidRPr="0025250D">
        <w:t>‌</w:t>
      </w:r>
      <w:r w:rsidRPr="0025250D">
        <w:rPr>
          <w:rtl/>
        </w:rPr>
        <w:t xml:space="preserve"> می‌</w:t>
      </w:r>
      <w:r w:rsidRPr="0025250D">
        <w:rPr>
          <w:rFonts w:hint="cs"/>
          <w:rtl/>
        </w:rPr>
        <w:t>بخشند. اکنون</w:t>
      </w:r>
      <w:r w:rsidRPr="0025250D">
        <w:rPr>
          <w:rFonts w:hint="cs"/>
        </w:rPr>
        <w:t>‌</w:t>
      </w:r>
      <w:r w:rsidRPr="0025250D">
        <w:rPr>
          <w:rFonts w:hint="cs"/>
          <w:rtl/>
        </w:rPr>
        <w:t xml:space="preserve"> می‌دانیم که آن‌ها در حداقل سه مورد در زمین به شکل مستقلی توسط جوامعی از سلول‌ها ایجاد شدند! جای تعجب نیست که ما آن‌ها را ساختار‌هایی بنیادی برای بهترین ماشین‌های یادگیرنده خود</w:t>
      </w:r>
      <w:r w:rsidRPr="0025250D">
        <w:rPr>
          <w:rFonts w:hint="cs"/>
        </w:rPr>
        <w:t>‌</w:t>
      </w:r>
      <w:r w:rsidRPr="0025250D">
        <w:rPr>
          <w:rFonts w:hint="cs"/>
          <w:rtl/>
        </w:rPr>
        <w:t xml:space="preserve"> می‌دانیم. نه‌تنها موارد واضحی مانند جدول تناوبی، بلکه موارد کم‌تر شفافی مانند</w:t>
      </w:r>
      <w:r w:rsidR="00303635" w:rsidRPr="0025250D">
        <w:rPr>
          <w:rFonts w:hint="cs"/>
          <w:rtl/>
        </w:rPr>
        <w:t xml:space="preserve"> سی و پنج کلاسه بدن</w:t>
      </w:r>
      <w:r w:rsidR="00303635" w:rsidRPr="0025250D">
        <w:rPr>
          <w:rStyle w:val="FootnoteReference"/>
          <w:rtl/>
        </w:rPr>
        <w:footnoteReference w:id="714"/>
      </w:r>
      <w:r w:rsidRPr="0025250D">
        <w:rPr>
          <w:rFonts w:hint="cs"/>
          <w:rtl/>
        </w:rPr>
        <w:t xml:space="preserve"> که توسط همه گونه‌های حیات در زمین استفاده </w:t>
      </w:r>
      <w:r w:rsidR="00185F3E" w:rsidRPr="0025250D">
        <w:rPr>
          <w:rFonts w:hint="cs"/>
          <w:rtl/>
        </w:rPr>
        <w:t>شده‌اند</w:t>
      </w:r>
      <w:r w:rsidRPr="0025250D">
        <w:rPr>
          <w:rFonts w:hint="cs"/>
          <w:rtl/>
        </w:rPr>
        <w:t xml:space="preserve">، احتمالا فراگیر هستند. چربی‌ها، پروتئین‌ها، نوکلئیک اسیدها، سلول‌ها، چشم‌ها، عضلات، اسکلت‌ها، </w:t>
      </w:r>
      <w:r w:rsidR="008D6F97" w:rsidRPr="0025250D">
        <w:rPr>
          <w:rFonts w:hint="cs"/>
          <w:rtl/>
        </w:rPr>
        <w:t>سامانه‌</w:t>
      </w:r>
      <w:r w:rsidRPr="0025250D">
        <w:rPr>
          <w:rFonts w:hint="cs"/>
          <w:rtl/>
        </w:rPr>
        <w:t xml:space="preserve">‌های ایمنی، </w:t>
      </w:r>
      <w:r w:rsidR="00BD658B" w:rsidRPr="0025250D">
        <w:rPr>
          <w:rFonts w:hint="cs"/>
          <w:rtl/>
        </w:rPr>
        <w:t>هیجانات</w:t>
      </w:r>
      <w:r w:rsidRPr="0025250D">
        <w:rPr>
          <w:rFonts w:hint="cs"/>
          <w:rtl/>
        </w:rPr>
        <w:t xml:space="preserve">، </w:t>
      </w:r>
      <w:r w:rsidR="00A936B3" w:rsidRPr="0025250D">
        <w:rPr>
          <w:rFonts w:hint="cs"/>
          <w:rtl/>
        </w:rPr>
        <w:t>همدلی</w:t>
      </w:r>
      <w:r w:rsidRPr="0025250D">
        <w:rPr>
          <w:rFonts w:hint="cs"/>
          <w:rtl/>
        </w:rPr>
        <w:t>، اخلاق، جنگ‌ها، قوانین، اهرم‌ها، چرخ‌ها، موتور‌ها و کامپیوتر‌ها نیز به همین شکل هستند. با توجه به محدودیت‌های قوانین فیزیکی مشخص جهان ما، هم موارد شناخته شده و هم موارد ناشناخته،</w:t>
      </w:r>
      <w:r w:rsidRPr="0025250D">
        <w:rPr>
          <w:rFonts w:hint="cs"/>
        </w:rPr>
        <w:t>‌</w:t>
      </w:r>
      <w:r w:rsidRPr="0025250D">
        <w:rPr>
          <w:rFonts w:hint="cs"/>
          <w:rtl/>
        </w:rPr>
        <w:t xml:space="preserve"> می‌توانیم </w:t>
      </w:r>
      <w:r w:rsidR="00D92F6E" w:rsidRPr="0025250D">
        <w:rPr>
          <w:rFonts w:hint="cs"/>
          <w:rtl/>
        </w:rPr>
        <w:t>پیش‌بین</w:t>
      </w:r>
      <w:r w:rsidRPr="0025250D">
        <w:rPr>
          <w:rFonts w:hint="cs"/>
          <w:rtl/>
        </w:rPr>
        <w:t xml:space="preserve">ی کنیم که این موارد و موارد بسیار بیش‌تری در حیات پیچیده، بر روی همه سیارات مانند زمین که خودشان به نظر مهد پیچیدگی مولکولی </w:t>
      </w:r>
      <w:r w:rsidRPr="0025250D">
        <w:rPr>
          <w:rtl/>
        </w:rPr>
        <w:t xml:space="preserve">تکاملی-توسعه‌ای </w:t>
      </w:r>
      <w:r w:rsidRPr="0025250D">
        <w:rPr>
          <w:rFonts w:hint="cs"/>
          <w:rtl/>
        </w:rPr>
        <w:t xml:space="preserve">هستند، توسعه خواهند یافت. در سراسر جهان ما این موارد و </w:t>
      </w:r>
      <w:r w:rsidR="00923DDB" w:rsidRPr="0025250D">
        <w:rPr>
          <w:rFonts w:hint="cs"/>
          <w:rtl/>
        </w:rPr>
        <w:t>راه‌حل</w:t>
      </w:r>
      <w:r w:rsidRPr="0025250D">
        <w:rPr>
          <w:rFonts w:hint="cs"/>
          <w:rtl/>
        </w:rPr>
        <w:t xml:space="preserve">‌های </w:t>
      </w:r>
      <w:r w:rsidR="00AE5BE0" w:rsidRPr="0025250D">
        <w:rPr>
          <w:rFonts w:hint="cs"/>
          <w:rtl/>
        </w:rPr>
        <w:t>انطباقی</w:t>
      </w:r>
      <w:r w:rsidRPr="0025250D">
        <w:rPr>
          <w:rFonts w:hint="cs"/>
          <w:rtl/>
        </w:rPr>
        <w:t xml:space="preserve"> متعدد دیگری ویژگی‌هایی خواهند داشت که از نظر محلی واگرا هستند (آینده ها) و مواردی دیگر ویژگی‌هایی همگرا خواهند داشت (آینده). ما باید همه تلاش خود را انجام دهیم تا هر دو واقعیت را به بهترین شکل ممکن ببینیم. این یک تناقض نیست، طبیعت به این شکل کار</w:t>
      </w:r>
      <w:r w:rsidRPr="0025250D">
        <w:rPr>
          <w:rFonts w:hint="cs"/>
        </w:rPr>
        <w:t>‌</w:t>
      </w:r>
      <w:r w:rsidRPr="0025250D">
        <w:rPr>
          <w:rFonts w:hint="cs"/>
          <w:rtl/>
        </w:rPr>
        <w:t xml:space="preserve"> می‌کند.</w:t>
      </w:r>
    </w:p>
    <w:p w14:paraId="69BBC688" w14:textId="44BEEA2D" w:rsidR="0020732A" w:rsidRPr="0025250D" w:rsidRDefault="0020732A" w:rsidP="0020732A">
      <w:pPr>
        <w:rPr>
          <w:rtl/>
        </w:rPr>
      </w:pPr>
      <w:r w:rsidRPr="0025250D">
        <w:rPr>
          <w:rFonts w:hint="cs"/>
          <w:rtl/>
        </w:rPr>
        <w:t>می توانیم بفهمیم که سوگیری آزادی چگونه ایجاد</w:t>
      </w:r>
      <w:r w:rsidRPr="0025250D">
        <w:rPr>
          <w:rFonts w:hint="cs"/>
        </w:rPr>
        <w:t>‌</w:t>
      </w:r>
      <w:r w:rsidRPr="0025250D">
        <w:rPr>
          <w:rFonts w:hint="cs"/>
          <w:rtl/>
        </w:rPr>
        <w:t xml:space="preserve"> می‌شود. هرچه به افق دورتری در آینده</w:t>
      </w:r>
      <w:r w:rsidRPr="0025250D">
        <w:rPr>
          <w:rFonts w:hint="cs"/>
        </w:rPr>
        <w:t>‌</w:t>
      </w:r>
      <w:r w:rsidRPr="0025250D">
        <w:rPr>
          <w:rFonts w:hint="cs"/>
          <w:rtl/>
        </w:rPr>
        <w:t xml:space="preserve"> می‌نگریم، اکثریت تغییرات در محیط ما به نظر به شکل سریعی غیر قابل </w:t>
      </w:r>
      <w:r w:rsidR="00D92F6E" w:rsidRPr="0025250D">
        <w:rPr>
          <w:rFonts w:hint="cs"/>
          <w:rtl/>
        </w:rPr>
        <w:t>پیش‌بین</w:t>
      </w:r>
      <w:r w:rsidRPr="0025250D">
        <w:rPr>
          <w:rFonts w:hint="cs"/>
          <w:rtl/>
        </w:rPr>
        <w:t>ی</w:t>
      </w:r>
      <w:r w:rsidRPr="0025250D">
        <w:rPr>
          <w:rFonts w:hint="cs"/>
        </w:rPr>
        <w:t>‌</w:t>
      </w:r>
      <w:r w:rsidRPr="0025250D">
        <w:rPr>
          <w:rFonts w:hint="cs"/>
          <w:rtl/>
        </w:rPr>
        <w:t xml:space="preserve"> می‌شوند. قانون 95/5 را به یاد بیاورید که به ما</w:t>
      </w:r>
      <w:r w:rsidRPr="0025250D">
        <w:rPr>
          <w:rFonts w:hint="cs"/>
        </w:rPr>
        <w:t>‌</w:t>
      </w:r>
      <w:r w:rsidRPr="0025250D">
        <w:rPr>
          <w:rFonts w:hint="cs"/>
          <w:rtl/>
        </w:rPr>
        <w:t xml:space="preserve"> می‌گوید که اکثریت تغییراتی که در </w:t>
      </w:r>
      <w:r w:rsidR="008D6F97" w:rsidRPr="0025250D">
        <w:rPr>
          <w:rFonts w:hint="cs"/>
          <w:rtl/>
        </w:rPr>
        <w:t>سامانه‌</w:t>
      </w:r>
      <w:r w:rsidRPr="0025250D">
        <w:rPr>
          <w:rFonts w:hint="cs"/>
          <w:rtl/>
        </w:rPr>
        <w:t>‌های پیچیده</w:t>
      </w:r>
      <w:r w:rsidRPr="0025250D">
        <w:rPr>
          <w:rFonts w:hint="cs"/>
        </w:rPr>
        <w:t>‌</w:t>
      </w:r>
      <w:r w:rsidRPr="0025250D">
        <w:rPr>
          <w:rFonts w:hint="cs"/>
          <w:rtl/>
        </w:rPr>
        <w:t xml:space="preserve"> می‌بینیم، حدود 95 درصد، تکاملی به نظر</w:t>
      </w:r>
      <w:r w:rsidRPr="0025250D">
        <w:rPr>
          <w:rFonts w:hint="cs"/>
        </w:rPr>
        <w:t>‌</w:t>
      </w:r>
      <w:r w:rsidRPr="0025250D">
        <w:rPr>
          <w:rFonts w:hint="cs"/>
          <w:rtl/>
        </w:rPr>
        <w:t xml:space="preserve"> می‌رس</w:t>
      </w:r>
      <w:r w:rsidR="00280255" w:rsidRPr="0025250D">
        <w:rPr>
          <w:rFonts w:hint="cs"/>
          <w:rtl/>
        </w:rPr>
        <w:t>ن</w:t>
      </w:r>
      <w:r w:rsidRPr="0025250D">
        <w:rPr>
          <w:rFonts w:hint="cs"/>
          <w:rtl/>
        </w:rPr>
        <w:t xml:space="preserve">د و بنابراین به شدت غیر قابل </w:t>
      </w:r>
      <w:r w:rsidR="00D92F6E" w:rsidRPr="0025250D">
        <w:rPr>
          <w:rFonts w:hint="cs"/>
          <w:rtl/>
        </w:rPr>
        <w:t>پیش‌بین</w:t>
      </w:r>
      <w:r w:rsidRPr="0025250D">
        <w:rPr>
          <w:rFonts w:hint="cs"/>
          <w:rtl/>
        </w:rPr>
        <w:t xml:space="preserve">ی </w:t>
      </w:r>
      <w:r w:rsidR="00280255" w:rsidRPr="0025250D">
        <w:rPr>
          <w:rFonts w:hint="cs"/>
          <w:rtl/>
        </w:rPr>
        <w:t>هستند</w:t>
      </w:r>
      <w:r w:rsidRPr="0025250D">
        <w:rPr>
          <w:rFonts w:hint="cs"/>
          <w:rtl/>
        </w:rPr>
        <w:t>.</w:t>
      </w:r>
    </w:p>
    <w:p w14:paraId="63BC3229" w14:textId="5B6A209E" w:rsidR="0020732A" w:rsidRPr="0025250D" w:rsidRDefault="0020732A" w:rsidP="0020732A">
      <w:pPr>
        <w:rPr>
          <w:rtl/>
        </w:rPr>
      </w:pPr>
      <w:r w:rsidRPr="0025250D">
        <w:rPr>
          <w:rFonts w:hint="cs"/>
          <w:rtl/>
        </w:rPr>
        <w:t>گفتیم که فرایند‌های تکاملی برای کاوش، آزمایش و ایجاد تنوع</w:t>
      </w:r>
      <w:r w:rsidR="00280255" w:rsidRPr="0025250D">
        <w:rPr>
          <w:rFonts w:hint="cs"/>
          <w:rtl/>
        </w:rPr>
        <w:t>،</w:t>
      </w:r>
      <w:r w:rsidRPr="0025250D">
        <w:rPr>
          <w:rFonts w:hint="cs"/>
          <w:rtl/>
        </w:rPr>
        <w:t xml:space="preserve"> خودسازماندهی شده به نظر</w:t>
      </w:r>
      <w:r w:rsidRPr="0025250D">
        <w:rPr>
          <w:rFonts w:hint="cs"/>
        </w:rPr>
        <w:t>‌</w:t>
      </w:r>
      <w:r w:rsidRPr="0025250D">
        <w:rPr>
          <w:rFonts w:hint="cs"/>
          <w:rtl/>
        </w:rPr>
        <w:t xml:space="preserve"> می‌رسند تا شانس موفقیت انتخابی را افزایش دهند</w:t>
      </w:r>
      <w:r w:rsidR="008D6F97" w:rsidRPr="0025250D">
        <w:rPr>
          <w:rtl/>
        </w:rPr>
        <w:t xml:space="preserve">؛ </w:t>
      </w:r>
      <w:r w:rsidRPr="0025250D">
        <w:rPr>
          <w:rFonts w:hint="cs"/>
          <w:rtl/>
        </w:rPr>
        <w:t xml:space="preserve">اما همه </w:t>
      </w:r>
      <w:r w:rsidR="008D6F97" w:rsidRPr="0025250D">
        <w:rPr>
          <w:rFonts w:hint="cs"/>
          <w:rtl/>
        </w:rPr>
        <w:t>سامانه‌</w:t>
      </w:r>
      <w:r w:rsidRPr="0025250D">
        <w:rPr>
          <w:rFonts w:hint="cs"/>
          <w:rtl/>
        </w:rPr>
        <w:t xml:space="preserve">‌های پیچیده </w:t>
      </w:r>
      <w:r w:rsidR="00AE5BE0" w:rsidRPr="0025250D">
        <w:rPr>
          <w:rFonts w:hint="cs"/>
          <w:rtl/>
        </w:rPr>
        <w:t>انطباقی</w:t>
      </w:r>
      <w:r w:rsidRPr="0025250D">
        <w:rPr>
          <w:rFonts w:hint="cs"/>
          <w:rtl/>
        </w:rPr>
        <w:t xml:space="preserve"> ذاتا </w:t>
      </w:r>
      <w:r w:rsidRPr="0025250D">
        <w:rPr>
          <w:rtl/>
        </w:rPr>
        <w:t xml:space="preserve">تکاملی-توسعه‌ای </w:t>
      </w:r>
      <w:r w:rsidRPr="0025250D">
        <w:rPr>
          <w:rFonts w:hint="cs"/>
          <w:rtl/>
        </w:rPr>
        <w:t xml:space="preserve">هستند. این به این معنی است که آن‌ها در کانون خود حاوی فرایند‌های توسعه‌ای نیز </w:t>
      </w:r>
      <w:r w:rsidRPr="0025250D">
        <w:rPr>
          <w:rFonts w:hint="cs"/>
          <w:rtl/>
        </w:rPr>
        <w:lastRenderedPageBreak/>
        <w:t xml:space="preserve">هستند. این فرایند‌ها زیر مجموعه کوچکی از ویژگی‌های فیزیکی و اطلاعاتی </w:t>
      </w:r>
      <w:r w:rsidR="008D6F97" w:rsidRPr="0025250D">
        <w:rPr>
          <w:rFonts w:hint="cs"/>
          <w:rtl/>
        </w:rPr>
        <w:t>سامانه‌</w:t>
      </w:r>
      <w:r w:rsidRPr="0025250D">
        <w:rPr>
          <w:rFonts w:hint="cs"/>
          <w:rtl/>
        </w:rPr>
        <w:t xml:space="preserve"> را که فرضا پیچیدگی آن را حفظ کرده و به آن امکان</w:t>
      </w:r>
      <w:r w:rsidRPr="0025250D">
        <w:rPr>
          <w:rFonts w:hint="cs"/>
        </w:rPr>
        <w:t>‌</w:t>
      </w:r>
      <w:r w:rsidRPr="0025250D">
        <w:rPr>
          <w:rFonts w:hint="cs"/>
          <w:rtl/>
        </w:rPr>
        <w:t xml:space="preserve"> می‌دهند که بقا یافته و همتاسازی نماید، همگرا، حفظ و پایدار</w:t>
      </w:r>
      <w:r w:rsidRPr="0025250D">
        <w:rPr>
          <w:rFonts w:hint="cs"/>
        </w:rPr>
        <w:t>‌</w:t>
      </w:r>
      <w:r w:rsidRPr="0025250D">
        <w:rPr>
          <w:rFonts w:hint="cs"/>
          <w:rtl/>
        </w:rPr>
        <w:t xml:space="preserve"> می‌کنند. قانون 95/5 به ما</w:t>
      </w:r>
      <w:r w:rsidRPr="0025250D">
        <w:rPr>
          <w:rFonts w:hint="cs"/>
        </w:rPr>
        <w:t>‌</w:t>
      </w:r>
      <w:r w:rsidRPr="0025250D">
        <w:rPr>
          <w:rFonts w:hint="cs"/>
          <w:rtl/>
        </w:rPr>
        <w:t xml:space="preserve"> می‌گوید که اگر ریاضیات و مدل‌های مناسب را در اختیار داشته باشیم یا یک همتای پیشین از این </w:t>
      </w:r>
      <w:r w:rsidR="008D6F97" w:rsidRPr="0025250D">
        <w:rPr>
          <w:rFonts w:hint="cs"/>
          <w:rtl/>
        </w:rPr>
        <w:t>سامانه‌</w:t>
      </w:r>
      <w:r w:rsidRPr="0025250D">
        <w:rPr>
          <w:rFonts w:hint="cs"/>
          <w:rtl/>
        </w:rPr>
        <w:t xml:space="preserve"> را دیده باشیم، یک زیرمجموعه خاص از پیشران‌ها و برآمدهای توسعه‌ای همواره از نظر آماری قابل </w:t>
      </w:r>
      <w:r w:rsidR="00D92F6E" w:rsidRPr="0025250D">
        <w:rPr>
          <w:rFonts w:hint="cs"/>
          <w:rtl/>
        </w:rPr>
        <w:t>پیش‌بین</w:t>
      </w:r>
      <w:r w:rsidRPr="0025250D">
        <w:rPr>
          <w:rFonts w:hint="cs"/>
          <w:rtl/>
        </w:rPr>
        <w:t>ی هستند. آن‌ها از آشوب و احتمالات محلی و کوتاه مدت برای همگرا شدن به سمت مقاصد ساختاری و کارکردی آینده استفاده</w:t>
      </w:r>
      <w:r w:rsidRPr="0025250D">
        <w:rPr>
          <w:rFonts w:hint="cs"/>
        </w:rPr>
        <w:t>‌</w:t>
      </w:r>
      <w:r w:rsidRPr="0025250D">
        <w:rPr>
          <w:rFonts w:hint="cs"/>
          <w:rtl/>
        </w:rPr>
        <w:t xml:space="preserve"> می‌کنند.</w:t>
      </w:r>
    </w:p>
    <w:p w14:paraId="45DD382B" w14:textId="13583F7D" w:rsidR="0020732A" w:rsidRPr="0025250D" w:rsidRDefault="0020732A" w:rsidP="0020732A">
      <w:pPr>
        <w:rPr>
          <w:rtl/>
        </w:rPr>
      </w:pPr>
      <w:r w:rsidRPr="0025250D">
        <w:rPr>
          <w:rFonts w:hint="cs"/>
          <w:rtl/>
        </w:rPr>
        <w:t xml:space="preserve">حتی نظریه آشوب که </w:t>
      </w:r>
      <w:r w:rsidR="008D6F97" w:rsidRPr="0025250D">
        <w:rPr>
          <w:rFonts w:hint="cs"/>
          <w:rtl/>
        </w:rPr>
        <w:t>سامانه‌</w:t>
      </w:r>
      <w:r w:rsidRPr="0025250D">
        <w:rPr>
          <w:rFonts w:hint="cs"/>
          <w:rtl/>
        </w:rPr>
        <w:t>‌های آشوبناک قطعی</w:t>
      </w:r>
      <w:r w:rsidRPr="0025250D">
        <w:rPr>
          <w:vertAlign w:val="superscript"/>
          <w:rtl/>
        </w:rPr>
        <w:footnoteReference w:id="715"/>
      </w:r>
      <w:r w:rsidRPr="0025250D">
        <w:rPr>
          <w:rFonts w:hint="cs"/>
          <w:rtl/>
        </w:rPr>
        <w:t xml:space="preserve"> که یک زیر مجموعه خاص از </w:t>
      </w:r>
      <w:r w:rsidR="008D6F97" w:rsidRPr="0025250D">
        <w:rPr>
          <w:rFonts w:hint="cs"/>
          <w:rtl/>
        </w:rPr>
        <w:t>سامانه‌</w:t>
      </w:r>
      <w:r w:rsidRPr="0025250D">
        <w:rPr>
          <w:rFonts w:hint="cs"/>
          <w:rtl/>
        </w:rPr>
        <w:t>‌ها است را توصیف</w:t>
      </w:r>
      <w:r w:rsidRPr="0025250D">
        <w:rPr>
          <w:rFonts w:hint="cs"/>
        </w:rPr>
        <w:t>‌</w:t>
      </w:r>
      <w:r w:rsidRPr="0025250D">
        <w:rPr>
          <w:rFonts w:hint="cs"/>
          <w:rtl/>
        </w:rPr>
        <w:t xml:space="preserve"> می‌کند، الگوها، چرخه‌ها</w:t>
      </w:r>
      <w:r w:rsidR="008D6F97" w:rsidRPr="0025250D">
        <w:rPr>
          <w:rtl/>
        </w:rPr>
        <w:t xml:space="preserve"> </w:t>
      </w:r>
      <w:r w:rsidRPr="0025250D">
        <w:rPr>
          <w:rFonts w:hint="cs"/>
          <w:rtl/>
        </w:rPr>
        <w:t>و روند‌های متعددی شامل حلقه‌های بازخورد، خودتشابهی</w:t>
      </w:r>
      <w:r w:rsidRPr="0025250D">
        <w:rPr>
          <w:vertAlign w:val="superscript"/>
          <w:rtl/>
        </w:rPr>
        <w:footnoteReference w:id="716"/>
      </w:r>
      <w:r w:rsidRPr="0025250D">
        <w:rPr>
          <w:rFonts w:hint="cs"/>
          <w:rtl/>
        </w:rPr>
        <w:t>، فراکتال ها</w:t>
      </w:r>
      <w:r w:rsidRPr="0025250D">
        <w:rPr>
          <w:vertAlign w:val="superscript"/>
          <w:rtl/>
        </w:rPr>
        <w:footnoteReference w:id="717"/>
      </w:r>
      <w:r w:rsidRPr="0025250D">
        <w:rPr>
          <w:rFonts w:hint="cs"/>
          <w:rtl/>
        </w:rPr>
        <w:t xml:space="preserve"> و خود سازماندهی را در پویایی خود نشان</w:t>
      </w:r>
      <w:r w:rsidRPr="0025250D">
        <w:rPr>
          <w:rFonts w:hint="cs"/>
        </w:rPr>
        <w:t>‌</w:t>
      </w:r>
      <w:r w:rsidRPr="0025250D">
        <w:rPr>
          <w:rFonts w:hint="cs"/>
          <w:rtl/>
        </w:rPr>
        <w:t xml:space="preserve"> می‌دهد. تنها زیرمجموعه‌ای از </w:t>
      </w:r>
      <w:r w:rsidR="008D6F97" w:rsidRPr="0025250D">
        <w:rPr>
          <w:rFonts w:hint="cs"/>
          <w:rtl/>
        </w:rPr>
        <w:t>سامانه‌</w:t>
      </w:r>
      <w:r w:rsidRPr="0025250D">
        <w:rPr>
          <w:rFonts w:hint="cs"/>
          <w:rtl/>
        </w:rPr>
        <w:t xml:space="preserve">‌های فیزیکی تا حدی آشوبناک شناخته </w:t>
      </w:r>
      <w:r w:rsidR="00185F3E" w:rsidRPr="0025250D">
        <w:rPr>
          <w:rFonts w:hint="cs"/>
          <w:rtl/>
        </w:rPr>
        <w:t>شده‌اند</w:t>
      </w:r>
      <w:r w:rsidRPr="0025250D">
        <w:rPr>
          <w:rFonts w:hint="cs"/>
          <w:rtl/>
        </w:rPr>
        <w:t xml:space="preserve">. بسیاری دیگر اینطور نیستند. </w:t>
      </w:r>
      <w:r w:rsidR="00280255" w:rsidRPr="0025250D">
        <w:rPr>
          <w:rFonts w:hint="cs"/>
          <w:rtl/>
        </w:rPr>
        <w:t>می‌توان</w:t>
      </w:r>
      <w:r w:rsidR="00280255" w:rsidRPr="0025250D">
        <w:rPr>
          <w:rtl/>
        </w:rPr>
        <w:t xml:space="preserve"> </w:t>
      </w:r>
      <w:r w:rsidR="00280255" w:rsidRPr="0025250D">
        <w:rPr>
          <w:rFonts w:hint="cs"/>
          <w:rtl/>
        </w:rPr>
        <w:t>نشان</w:t>
      </w:r>
      <w:r w:rsidR="00280255" w:rsidRPr="0025250D">
        <w:rPr>
          <w:rtl/>
        </w:rPr>
        <w:t xml:space="preserve"> </w:t>
      </w:r>
      <w:r w:rsidR="00280255" w:rsidRPr="0025250D">
        <w:rPr>
          <w:rFonts w:hint="cs"/>
          <w:rtl/>
        </w:rPr>
        <w:t>داد</w:t>
      </w:r>
      <w:r w:rsidR="00280255" w:rsidRPr="0025250D">
        <w:rPr>
          <w:rtl/>
        </w:rPr>
        <w:t xml:space="preserve"> </w:t>
      </w:r>
      <w:r w:rsidR="00280255" w:rsidRPr="0025250D">
        <w:rPr>
          <w:rFonts w:hint="cs"/>
          <w:rtl/>
        </w:rPr>
        <w:t>که</w:t>
      </w:r>
      <w:r w:rsidR="00280255" w:rsidRPr="0025250D">
        <w:rPr>
          <w:rtl/>
        </w:rPr>
        <w:t xml:space="preserve"> </w:t>
      </w:r>
      <w:r w:rsidRPr="0025250D">
        <w:rPr>
          <w:rFonts w:hint="cs"/>
          <w:rtl/>
        </w:rPr>
        <w:t xml:space="preserve">همه </w:t>
      </w:r>
      <w:r w:rsidR="008D6F97" w:rsidRPr="0025250D">
        <w:rPr>
          <w:rFonts w:hint="cs"/>
          <w:rtl/>
        </w:rPr>
        <w:t>سامانه‌</w:t>
      </w:r>
      <w:r w:rsidRPr="0025250D">
        <w:rPr>
          <w:rFonts w:hint="cs"/>
          <w:rtl/>
        </w:rPr>
        <w:t>‌های پیچیده سازگار، چه فیزیکی، شیمیایی، زیستی، اجتماعی یا فناورانه،</w:t>
      </w:r>
      <w:r w:rsidRPr="0025250D">
        <w:rPr>
          <w:rFonts w:hint="cs"/>
        </w:rPr>
        <w:t>‌</w:t>
      </w:r>
      <w:r w:rsidRPr="0025250D">
        <w:rPr>
          <w:rFonts w:hint="cs"/>
          <w:rtl/>
        </w:rPr>
        <w:t xml:space="preserve"> دارای</w:t>
      </w:r>
      <w:r w:rsidRPr="0025250D">
        <w:rPr>
          <w:rtl/>
        </w:rPr>
        <w:t xml:space="preserve"> </w:t>
      </w:r>
      <w:r w:rsidRPr="0025250D">
        <w:rPr>
          <w:rFonts w:hint="cs"/>
          <w:rtl/>
        </w:rPr>
        <w:t>حافظه</w:t>
      </w:r>
      <w:r w:rsidRPr="0025250D">
        <w:rPr>
          <w:rtl/>
        </w:rPr>
        <w:t xml:space="preserve"> </w:t>
      </w:r>
      <w:r w:rsidRPr="0025250D">
        <w:rPr>
          <w:rFonts w:hint="cs"/>
          <w:rtl/>
        </w:rPr>
        <w:t>و</w:t>
      </w:r>
      <w:r w:rsidRPr="0025250D">
        <w:rPr>
          <w:rtl/>
        </w:rPr>
        <w:t xml:space="preserve"> </w:t>
      </w:r>
      <w:r w:rsidRPr="0025250D">
        <w:rPr>
          <w:rFonts w:hint="cs"/>
          <w:rtl/>
        </w:rPr>
        <w:t>همتاسازی</w:t>
      </w:r>
      <w:r w:rsidRPr="0025250D">
        <w:rPr>
          <w:rtl/>
        </w:rPr>
        <w:t xml:space="preserve"> </w:t>
      </w:r>
      <w:r w:rsidRPr="0025250D">
        <w:rPr>
          <w:rFonts w:hint="cs"/>
          <w:rtl/>
        </w:rPr>
        <w:t>هستند</w:t>
      </w:r>
      <w:r w:rsidRPr="0025250D">
        <w:rPr>
          <w:rtl/>
        </w:rPr>
        <w:t xml:space="preserve"> </w:t>
      </w:r>
      <w:r w:rsidRPr="0025250D">
        <w:rPr>
          <w:rFonts w:hint="cs"/>
          <w:rtl/>
        </w:rPr>
        <w:t>و</w:t>
      </w:r>
      <w:r w:rsidRPr="0025250D">
        <w:rPr>
          <w:rtl/>
        </w:rPr>
        <w:t xml:space="preserve"> </w:t>
      </w:r>
      <w:r w:rsidRPr="0025250D">
        <w:rPr>
          <w:rFonts w:hint="cs"/>
          <w:rtl/>
        </w:rPr>
        <w:t>شبکه</w:t>
      </w:r>
      <w:r w:rsidRPr="0025250D">
        <w:rPr>
          <w:rtl/>
        </w:rPr>
        <w:t xml:space="preserve">‌هایی </w:t>
      </w:r>
      <w:r w:rsidRPr="0025250D">
        <w:rPr>
          <w:rFonts w:hint="cs"/>
          <w:rtl/>
        </w:rPr>
        <w:t>تحت</w:t>
      </w:r>
      <w:r w:rsidRPr="0025250D">
        <w:rPr>
          <w:rtl/>
        </w:rPr>
        <w:t xml:space="preserve"> </w:t>
      </w:r>
      <w:r w:rsidRPr="0025250D">
        <w:rPr>
          <w:rFonts w:hint="cs"/>
          <w:rtl/>
        </w:rPr>
        <w:t>انتخاب</w:t>
      </w:r>
      <w:r w:rsidRPr="0025250D">
        <w:rPr>
          <w:vertAlign w:val="superscript"/>
          <w:rtl/>
        </w:rPr>
        <w:footnoteReference w:id="718"/>
      </w:r>
      <w:r w:rsidRPr="0025250D">
        <w:rPr>
          <w:rtl/>
        </w:rPr>
        <w:t xml:space="preserve"> </w:t>
      </w:r>
      <w:r w:rsidRPr="0025250D">
        <w:rPr>
          <w:rFonts w:hint="cs"/>
          <w:rtl/>
        </w:rPr>
        <w:t xml:space="preserve">هستند. این امر آینده‌هایی حتی قابل </w:t>
      </w:r>
      <w:r w:rsidR="00D92F6E" w:rsidRPr="0025250D">
        <w:rPr>
          <w:rFonts w:hint="cs"/>
          <w:rtl/>
        </w:rPr>
        <w:t>پیش‌بین</w:t>
      </w:r>
      <w:r w:rsidRPr="0025250D">
        <w:rPr>
          <w:rFonts w:hint="cs"/>
          <w:rtl/>
        </w:rPr>
        <w:t>ی‌تر به آن‌ها</w:t>
      </w:r>
      <w:r w:rsidRPr="0025250D">
        <w:rPr>
          <w:rFonts w:hint="cs"/>
        </w:rPr>
        <w:t>‌</w:t>
      </w:r>
      <w:r w:rsidRPr="0025250D">
        <w:rPr>
          <w:rFonts w:hint="cs"/>
          <w:rtl/>
        </w:rPr>
        <w:t xml:space="preserve"> می‌دهد. اگر همه این عناصر قابل </w:t>
      </w:r>
      <w:r w:rsidR="00D92F6E" w:rsidRPr="0025250D">
        <w:rPr>
          <w:rFonts w:hint="cs"/>
          <w:rtl/>
        </w:rPr>
        <w:t>پیش‌بین</w:t>
      </w:r>
      <w:r w:rsidRPr="0025250D">
        <w:rPr>
          <w:rFonts w:hint="cs"/>
          <w:rtl/>
        </w:rPr>
        <w:t xml:space="preserve">ی آماری را نادیده بگیریم، همه ویژگی‌های </w:t>
      </w:r>
      <w:r w:rsidR="006335B8" w:rsidRPr="0025250D">
        <w:rPr>
          <w:rtl/>
        </w:rPr>
        <w:t>«</w:t>
      </w:r>
      <w:r w:rsidR="009D17DA" w:rsidRPr="0025250D">
        <w:rPr>
          <w:rFonts w:hint="cs"/>
          <w:rtl/>
        </w:rPr>
        <w:t>بالا‌به‌پایین</w:t>
      </w:r>
      <w:r w:rsidR="006335B8" w:rsidRPr="0025250D">
        <w:rPr>
          <w:rtl/>
        </w:rPr>
        <w:t>»</w:t>
      </w:r>
      <w:r w:rsidRPr="0025250D">
        <w:rPr>
          <w:rFonts w:hint="cs"/>
          <w:rtl/>
        </w:rPr>
        <w:t xml:space="preserve"> </w:t>
      </w:r>
      <w:r w:rsidR="008D6F97" w:rsidRPr="0025250D">
        <w:rPr>
          <w:rFonts w:hint="cs"/>
          <w:rtl/>
        </w:rPr>
        <w:t>سامانه‌</w:t>
      </w:r>
      <w:r w:rsidRPr="0025250D">
        <w:rPr>
          <w:rFonts w:hint="cs"/>
          <w:rtl/>
        </w:rPr>
        <w:t>‌های پیچیده را که آن‌ها را مقید و هدایت</w:t>
      </w:r>
      <w:r w:rsidRPr="0025250D">
        <w:rPr>
          <w:rFonts w:hint="cs"/>
        </w:rPr>
        <w:t>‌</w:t>
      </w:r>
      <w:r w:rsidRPr="0025250D">
        <w:rPr>
          <w:rFonts w:hint="cs"/>
          <w:rtl/>
        </w:rPr>
        <w:t xml:space="preserve"> می‌کنند، نادیده</w:t>
      </w:r>
      <w:r w:rsidRPr="0025250D">
        <w:rPr>
          <w:rFonts w:hint="cs"/>
        </w:rPr>
        <w:t>‌</w:t>
      </w:r>
      <w:r w:rsidRPr="0025250D">
        <w:rPr>
          <w:rFonts w:hint="cs"/>
          <w:rtl/>
        </w:rPr>
        <w:t xml:space="preserve"> می‌گیریم. وقتی سوگیری آزادی داشته باشیم، از دیدن جنگل توسعه‌ای غافل شده و در میان درختان تکاملی گم</w:t>
      </w:r>
      <w:r w:rsidRPr="0025250D">
        <w:rPr>
          <w:rFonts w:hint="cs"/>
        </w:rPr>
        <w:t>‌</w:t>
      </w:r>
      <w:r w:rsidRPr="0025250D">
        <w:rPr>
          <w:rFonts w:hint="cs"/>
          <w:rtl/>
        </w:rPr>
        <w:t xml:space="preserve"> می‌شویم.</w:t>
      </w:r>
    </w:p>
    <w:p w14:paraId="52C0AB54" w14:textId="24BA5CDA" w:rsidR="0020732A" w:rsidRPr="0025250D" w:rsidRDefault="0020732A" w:rsidP="0020732A">
      <w:pPr>
        <w:rPr>
          <w:rtl/>
        </w:rPr>
      </w:pPr>
      <w:r w:rsidRPr="0025250D">
        <w:rPr>
          <w:rFonts w:hint="cs"/>
          <w:rtl/>
        </w:rPr>
        <w:t xml:space="preserve">بسیاری از کارگزاران </w:t>
      </w:r>
      <w:r w:rsidRPr="0025250D">
        <w:rPr>
          <w:rtl/>
        </w:rPr>
        <w:t>آینده‌نگاری</w:t>
      </w:r>
      <w:r w:rsidRPr="0025250D">
        <w:rPr>
          <w:rFonts w:hint="cs"/>
          <w:rtl/>
        </w:rPr>
        <w:t xml:space="preserve"> تضمین</w:t>
      </w:r>
      <w:r w:rsidRPr="0025250D">
        <w:rPr>
          <w:rFonts w:hint="cs"/>
        </w:rPr>
        <w:t>‌</w:t>
      </w:r>
      <w:r w:rsidRPr="0025250D">
        <w:rPr>
          <w:rFonts w:hint="cs"/>
          <w:rtl/>
        </w:rPr>
        <w:t xml:space="preserve"> می‌کنند که بخش‌هایی از آینده وجود دارند که قابل </w:t>
      </w:r>
      <w:r w:rsidR="00D92F6E" w:rsidRPr="0025250D">
        <w:rPr>
          <w:rFonts w:hint="cs"/>
          <w:rtl/>
        </w:rPr>
        <w:t>پیش‌بین</w:t>
      </w:r>
      <w:r w:rsidRPr="0025250D">
        <w:rPr>
          <w:rFonts w:hint="cs"/>
          <w:rtl/>
        </w:rPr>
        <w:t xml:space="preserve">ی هستند (آمار‌های جمعیتی، تأثیر منفی انسان بر بایوسفر، رشد اطلاعات، تغییر فناوری پر شتاب)، اما فیزیک کوانتوم، علم غیر خطی و نظریه آشفتگی را برای بیان این‌که اغلب هیچ قابلیت </w:t>
      </w:r>
      <w:r w:rsidR="00D92F6E" w:rsidRPr="0025250D">
        <w:rPr>
          <w:rFonts w:hint="cs"/>
          <w:rtl/>
        </w:rPr>
        <w:t>پیش‌بین</w:t>
      </w:r>
      <w:r w:rsidRPr="0025250D">
        <w:rPr>
          <w:rFonts w:hint="cs"/>
          <w:rtl/>
        </w:rPr>
        <w:t xml:space="preserve">ی </w:t>
      </w:r>
      <w:r w:rsidR="006335B8" w:rsidRPr="0025250D">
        <w:rPr>
          <w:rtl/>
        </w:rPr>
        <w:t>«</w:t>
      </w:r>
      <w:r w:rsidRPr="0025250D">
        <w:rPr>
          <w:rFonts w:hint="cs"/>
          <w:rtl/>
        </w:rPr>
        <w:t>در جایی که اهمیت دارد</w:t>
      </w:r>
      <w:r w:rsidR="006335B8" w:rsidRPr="0025250D">
        <w:rPr>
          <w:rtl/>
        </w:rPr>
        <w:t>»</w:t>
      </w:r>
      <w:r w:rsidRPr="0025250D">
        <w:rPr>
          <w:rFonts w:hint="cs"/>
          <w:rtl/>
        </w:rPr>
        <w:t xml:space="preserve"> وجود ندارد، در دامنه‌های سازمانی و جامعه‌ای انسان، بد تعبیر</w:t>
      </w:r>
      <w:r w:rsidRPr="0025250D">
        <w:rPr>
          <w:rFonts w:hint="cs"/>
        </w:rPr>
        <w:t>‌</w:t>
      </w:r>
      <w:r w:rsidRPr="0025250D">
        <w:rPr>
          <w:rFonts w:hint="cs"/>
          <w:rtl/>
        </w:rPr>
        <w:t xml:space="preserve"> می‌کنند. این دیدگاه مشخصا غلط است، </w:t>
      </w:r>
      <w:r w:rsidR="007118DE" w:rsidRPr="0025250D">
        <w:rPr>
          <w:rFonts w:hint="cs"/>
          <w:rtl/>
        </w:rPr>
        <w:t>همان‌طور</w:t>
      </w:r>
      <w:r w:rsidRPr="0025250D">
        <w:rPr>
          <w:rFonts w:hint="cs"/>
          <w:rtl/>
        </w:rPr>
        <w:t xml:space="preserve"> که برای تغییر اجتماعی در کتاب 2 خواهیم گفت.</w:t>
      </w:r>
    </w:p>
    <w:p w14:paraId="447989F6" w14:textId="3DEC49A3" w:rsidR="0020732A" w:rsidRPr="0025250D" w:rsidRDefault="0020732A" w:rsidP="0020732A">
      <w:pPr>
        <w:rPr>
          <w:rtl/>
        </w:rPr>
      </w:pPr>
      <w:r w:rsidRPr="0025250D">
        <w:rPr>
          <w:rFonts w:hint="cs"/>
          <w:rtl/>
        </w:rPr>
        <w:t xml:space="preserve">همچنین خواهیم گفت که در </w:t>
      </w:r>
      <w:r w:rsidR="008D6F97" w:rsidRPr="0025250D">
        <w:rPr>
          <w:rFonts w:hint="cs"/>
          <w:rtl/>
        </w:rPr>
        <w:t>سامانه‌</w:t>
      </w:r>
      <w:r w:rsidRPr="0025250D">
        <w:rPr>
          <w:rFonts w:hint="cs"/>
          <w:rtl/>
        </w:rPr>
        <w:t>‌های پیچیده متنوع، از جمله ارگانیسم‌ها، سازمان‌ها، جوامع</w:t>
      </w:r>
      <w:r w:rsidR="00280255" w:rsidRPr="0025250D">
        <w:rPr>
          <w:rFonts w:hint="cs"/>
          <w:rtl/>
        </w:rPr>
        <w:t xml:space="preserve"> و</w:t>
      </w:r>
      <w:r w:rsidRPr="0025250D">
        <w:rPr>
          <w:rFonts w:hint="cs"/>
          <w:rtl/>
        </w:rPr>
        <w:t xml:space="preserve"> </w:t>
      </w:r>
      <w:r w:rsidR="007A53FD" w:rsidRPr="0025250D">
        <w:rPr>
          <w:rFonts w:hint="cs"/>
          <w:rtl/>
        </w:rPr>
        <w:t>فناوری</w:t>
      </w:r>
      <w:r w:rsidRPr="0025250D">
        <w:rPr>
          <w:rFonts w:hint="cs"/>
          <w:rtl/>
        </w:rPr>
        <w:t xml:space="preserve">‌ها، 5 درصد فرایند‌های قابل </w:t>
      </w:r>
      <w:r w:rsidR="00D92F6E" w:rsidRPr="0025250D">
        <w:rPr>
          <w:rFonts w:hint="cs"/>
          <w:rtl/>
        </w:rPr>
        <w:t>پیش‌بین</w:t>
      </w:r>
      <w:r w:rsidRPr="0025250D">
        <w:rPr>
          <w:rFonts w:hint="cs"/>
          <w:rtl/>
        </w:rPr>
        <w:t xml:space="preserve">ی به نظر دقیقا به اندازه 95 درصد فرایندهای غیر قابل </w:t>
      </w:r>
      <w:r w:rsidR="00D92F6E" w:rsidRPr="0025250D">
        <w:rPr>
          <w:rFonts w:hint="cs"/>
          <w:rtl/>
        </w:rPr>
        <w:t>پیش‌بین</w:t>
      </w:r>
      <w:r w:rsidRPr="0025250D">
        <w:rPr>
          <w:rFonts w:hint="cs"/>
          <w:rtl/>
        </w:rPr>
        <w:t xml:space="preserve">ی دیگر برای </w:t>
      </w:r>
      <w:r w:rsidR="00AE5BE0" w:rsidRPr="0025250D">
        <w:rPr>
          <w:rFonts w:hint="cs"/>
          <w:rtl/>
        </w:rPr>
        <w:t>انطباق</w:t>
      </w:r>
      <w:r w:rsidRPr="0025250D">
        <w:rPr>
          <w:rFonts w:hint="cs"/>
          <w:rtl/>
        </w:rPr>
        <w:t xml:space="preserve"> ما اهمیت دارند</w:t>
      </w:r>
      <w:r w:rsidR="008D6F97" w:rsidRPr="0025250D">
        <w:rPr>
          <w:rtl/>
        </w:rPr>
        <w:t xml:space="preserve">؛ </w:t>
      </w:r>
      <w:r w:rsidRPr="0025250D">
        <w:rPr>
          <w:rFonts w:hint="cs"/>
          <w:rtl/>
        </w:rPr>
        <w:t xml:space="preserve">بنابراین وقتی 20 برابر تغییر تکاملی غیر قابل </w:t>
      </w:r>
      <w:r w:rsidR="00D92F6E" w:rsidRPr="0025250D">
        <w:rPr>
          <w:rFonts w:hint="cs"/>
          <w:rtl/>
        </w:rPr>
        <w:t>پیش‌بین</w:t>
      </w:r>
      <w:r w:rsidRPr="0025250D">
        <w:rPr>
          <w:rFonts w:hint="cs"/>
          <w:rtl/>
        </w:rPr>
        <w:t xml:space="preserve">ی بیش‌تری نسبت به تغییر توسعه‌ای قابل </w:t>
      </w:r>
      <w:r w:rsidR="00D92F6E" w:rsidRPr="0025250D">
        <w:rPr>
          <w:rFonts w:hint="cs"/>
          <w:rtl/>
        </w:rPr>
        <w:t>پیش‌بین</w:t>
      </w:r>
      <w:r w:rsidRPr="0025250D">
        <w:rPr>
          <w:rFonts w:hint="cs"/>
          <w:rtl/>
        </w:rPr>
        <w:t>ی در اطراف خود</w:t>
      </w:r>
      <w:r w:rsidRPr="0025250D">
        <w:rPr>
          <w:rFonts w:hint="cs"/>
        </w:rPr>
        <w:t>‌</w:t>
      </w:r>
      <w:r w:rsidRPr="0025250D">
        <w:rPr>
          <w:rFonts w:hint="cs"/>
          <w:rtl/>
        </w:rPr>
        <w:t xml:space="preserve"> می‌بینیم، آن 5 درصدی که</w:t>
      </w:r>
      <w:r w:rsidRPr="0025250D">
        <w:rPr>
          <w:rFonts w:hint="cs"/>
        </w:rPr>
        <w:t>‌</w:t>
      </w:r>
      <w:r w:rsidRPr="0025250D">
        <w:rPr>
          <w:rFonts w:hint="cs"/>
          <w:rtl/>
        </w:rPr>
        <w:t xml:space="preserve"> می‌توانیم قاعدتا </w:t>
      </w:r>
      <w:r w:rsidR="00D92F6E" w:rsidRPr="0025250D">
        <w:rPr>
          <w:rFonts w:hint="cs"/>
          <w:rtl/>
        </w:rPr>
        <w:t>پیش‌بین</w:t>
      </w:r>
      <w:r w:rsidRPr="0025250D">
        <w:rPr>
          <w:rFonts w:hint="cs"/>
          <w:rtl/>
        </w:rPr>
        <w:t xml:space="preserve">ی کنیم، درست به اندازه 95 درصد مابقی برای </w:t>
      </w:r>
      <w:r w:rsidR="00AE5BE0" w:rsidRPr="0025250D">
        <w:rPr>
          <w:rFonts w:hint="cs"/>
          <w:rtl/>
        </w:rPr>
        <w:t>انطباق</w:t>
      </w:r>
      <w:r w:rsidRPr="0025250D">
        <w:rPr>
          <w:rFonts w:hint="cs"/>
          <w:rtl/>
        </w:rPr>
        <w:t xml:space="preserve"> ما اهمیت دارند. برای مثال، در همه ارگانیسم‌های پیچیده، تقری</w:t>
      </w:r>
      <w:r w:rsidR="00280255" w:rsidRPr="0025250D">
        <w:rPr>
          <w:rFonts w:hint="cs"/>
          <w:rtl/>
        </w:rPr>
        <w:t>ب</w:t>
      </w:r>
      <w:r w:rsidRPr="0025250D">
        <w:rPr>
          <w:rFonts w:hint="cs"/>
          <w:rtl/>
        </w:rPr>
        <w:t xml:space="preserve">ا 5 درصد از ژن‌ها و فرایند‌های به شدت حفاظت شده (بدون تغییر، توسعه‌ای محوری) به نظر درست به اندازه ژن‌ها و فرایند‌های غیر حفاظت شده (تکاملی) برای </w:t>
      </w:r>
      <w:r w:rsidR="00AE5BE0" w:rsidRPr="0025250D">
        <w:rPr>
          <w:rFonts w:hint="cs"/>
          <w:rtl/>
        </w:rPr>
        <w:t>انطباق</w:t>
      </w:r>
      <w:r w:rsidRPr="0025250D">
        <w:rPr>
          <w:rFonts w:hint="cs"/>
          <w:rtl/>
        </w:rPr>
        <w:t xml:space="preserve"> حیات اهمیت دارند. همچنین در مورد سازمان‌ها و جوامع نیز در صورتی که </w:t>
      </w:r>
      <w:r w:rsidR="008D6F97" w:rsidRPr="0025250D">
        <w:rPr>
          <w:rFonts w:hint="cs"/>
          <w:rtl/>
        </w:rPr>
        <w:t>سامانه‌</w:t>
      </w:r>
      <w:r w:rsidRPr="0025250D">
        <w:rPr>
          <w:rFonts w:hint="cs"/>
          <w:rtl/>
        </w:rPr>
        <w:t xml:space="preserve">‌های پیچیده </w:t>
      </w:r>
      <w:r w:rsidRPr="0025250D">
        <w:rPr>
          <w:rtl/>
        </w:rPr>
        <w:t xml:space="preserve">تکاملی-توسعه‌ای </w:t>
      </w:r>
      <w:r w:rsidRPr="0025250D">
        <w:rPr>
          <w:rFonts w:hint="cs"/>
          <w:rtl/>
        </w:rPr>
        <w:t>تحت انتخاب باشند، همینطور است.</w:t>
      </w:r>
    </w:p>
    <w:p w14:paraId="05AE710C" w14:textId="060756DA" w:rsidR="0020732A" w:rsidRPr="0025250D" w:rsidRDefault="0020732A" w:rsidP="0020732A">
      <w:pPr>
        <w:rPr>
          <w:rtl/>
        </w:rPr>
      </w:pPr>
      <w:r w:rsidRPr="0025250D">
        <w:rPr>
          <w:rFonts w:hint="cs"/>
          <w:rtl/>
        </w:rPr>
        <w:t xml:space="preserve">تابه‌حال، علم قابلیت </w:t>
      </w:r>
      <w:r w:rsidR="00D92F6E" w:rsidRPr="0025250D">
        <w:rPr>
          <w:rFonts w:hint="cs"/>
          <w:rtl/>
        </w:rPr>
        <w:t>پیش‌بین</w:t>
      </w:r>
      <w:r w:rsidRPr="0025250D">
        <w:rPr>
          <w:rFonts w:hint="cs"/>
          <w:rtl/>
        </w:rPr>
        <w:t xml:space="preserve">ی که پیش از این پنهان بوده است را در هر مقیاس و در هر محیط طبیعی یافته است. برای جهان ما به‌عنوان یک </w:t>
      </w:r>
      <w:r w:rsidR="008D6F97" w:rsidRPr="0025250D">
        <w:rPr>
          <w:rFonts w:hint="cs"/>
          <w:rtl/>
        </w:rPr>
        <w:t>سامانه‌</w:t>
      </w:r>
      <w:r w:rsidRPr="0025250D">
        <w:rPr>
          <w:rFonts w:hint="cs"/>
          <w:rtl/>
        </w:rPr>
        <w:t xml:space="preserve">، چنین فرایند‌هایی مانند ترمودینامیک، </w:t>
      </w:r>
      <w:r w:rsidR="00280255" w:rsidRPr="0025250D">
        <w:rPr>
          <w:rFonts w:hint="cs"/>
          <w:rtl/>
        </w:rPr>
        <w:t>فیزیک</w:t>
      </w:r>
      <w:r w:rsidRPr="0025250D">
        <w:rPr>
          <w:rFonts w:hint="cs"/>
          <w:rtl/>
        </w:rPr>
        <w:t xml:space="preserve"> هسته‌ای و مکانیک کلاسیک که به خوبی آن‌ها را درک</w:t>
      </w:r>
      <w:r w:rsidRPr="0025250D">
        <w:rPr>
          <w:rFonts w:hint="cs"/>
        </w:rPr>
        <w:t>‌</w:t>
      </w:r>
      <w:r w:rsidRPr="0025250D">
        <w:rPr>
          <w:rFonts w:hint="cs"/>
          <w:rtl/>
        </w:rPr>
        <w:t xml:space="preserve"> می‌کنیم و فرایند‌هایی مانند انرژی تاریک</w:t>
      </w:r>
      <w:r w:rsidRPr="0025250D">
        <w:rPr>
          <w:vertAlign w:val="superscript"/>
          <w:rtl/>
        </w:rPr>
        <w:footnoteReference w:id="719"/>
      </w:r>
      <w:r w:rsidRPr="0025250D">
        <w:rPr>
          <w:rFonts w:hint="cs"/>
          <w:rtl/>
        </w:rPr>
        <w:t>، تغییر دارای شتاب و رشد اطلاعات و هوشمندی که هنوز به خوبی درک</w:t>
      </w:r>
      <w:r w:rsidR="00EE4B64" w:rsidRPr="0025250D">
        <w:rPr>
          <w:rFonts w:hint="cs"/>
          <w:rtl/>
        </w:rPr>
        <w:t xml:space="preserve"> نمی‌</w:t>
      </w:r>
      <w:r w:rsidRPr="0025250D">
        <w:rPr>
          <w:rFonts w:hint="cs"/>
          <w:rtl/>
        </w:rPr>
        <w:t xml:space="preserve">کنیم، همگی روند‌ها و مقاصدی قابل </w:t>
      </w:r>
      <w:r w:rsidR="00D92F6E" w:rsidRPr="0025250D">
        <w:rPr>
          <w:rFonts w:hint="cs"/>
          <w:rtl/>
        </w:rPr>
        <w:t>پیش‌بین</w:t>
      </w:r>
      <w:r w:rsidRPr="0025250D">
        <w:rPr>
          <w:rFonts w:hint="cs"/>
          <w:rtl/>
        </w:rPr>
        <w:t xml:space="preserve">ی را به ما </w:t>
      </w:r>
      <w:r w:rsidR="00280255" w:rsidRPr="0025250D">
        <w:rPr>
          <w:rFonts w:hint="cs"/>
          <w:rtl/>
        </w:rPr>
        <w:t>ا</w:t>
      </w:r>
      <w:r w:rsidRPr="0025250D">
        <w:rPr>
          <w:rFonts w:hint="cs"/>
          <w:rtl/>
        </w:rPr>
        <w:t>رائه</w:t>
      </w:r>
      <w:r w:rsidRPr="0025250D">
        <w:rPr>
          <w:rFonts w:hint="cs"/>
        </w:rPr>
        <w:t>‌</w:t>
      </w:r>
      <w:r w:rsidRPr="0025250D">
        <w:rPr>
          <w:rFonts w:hint="cs"/>
          <w:rtl/>
        </w:rPr>
        <w:t xml:space="preserve"> می‌دهند که باید بهتر دیدن و مدیریت کردن آن‌ها را بیاموزیم.</w:t>
      </w:r>
    </w:p>
    <w:p w14:paraId="10338233" w14:textId="49C51846" w:rsidR="0020732A" w:rsidRPr="0025250D" w:rsidRDefault="0020732A" w:rsidP="0020732A">
      <w:pPr>
        <w:rPr>
          <w:rtl/>
        </w:rPr>
      </w:pPr>
      <w:r w:rsidRPr="0025250D">
        <w:rPr>
          <w:rFonts w:hint="cs"/>
          <w:rtl/>
        </w:rPr>
        <w:t xml:space="preserve">در دامنه‌های اجتماعی، جهانی، سازمانی، تیمی و فردی ما نیز موارد قابل </w:t>
      </w:r>
      <w:r w:rsidR="00D92F6E" w:rsidRPr="0025250D">
        <w:rPr>
          <w:rFonts w:hint="cs"/>
          <w:rtl/>
        </w:rPr>
        <w:t>پیش‌بین</w:t>
      </w:r>
      <w:r w:rsidRPr="0025250D">
        <w:rPr>
          <w:rFonts w:hint="cs"/>
          <w:rtl/>
        </w:rPr>
        <w:t xml:space="preserve">ی زیادی، </w:t>
      </w:r>
      <w:r w:rsidR="007118DE" w:rsidRPr="0025250D">
        <w:rPr>
          <w:rFonts w:hint="cs"/>
          <w:rtl/>
        </w:rPr>
        <w:t>همان‌طور</w:t>
      </w:r>
      <w:r w:rsidRPr="0025250D">
        <w:rPr>
          <w:rFonts w:hint="cs"/>
          <w:rtl/>
        </w:rPr>
        <w:t xml:space="preserve"> که بحث خواهیم کرد، وجود دارند. علم هم اکنون به ما</w:t>
      </w:r>
      <w:r w:rsidRPr="0025250D">
        <w:rPr>
          <w:rFonts w:hint="cs"/>
        </w:rPr>
        <w:t>‌</w:t>
      </w:r>
      <w:r w:rsidRPr="0025250D">
        <w:rPr>
          <w:rFonts w:hint="cs"/>
          <w:rtl/>
        </w:rPr>
        <w:t xml:space="preserve"> می‌گوید که فرایند‌ها و رویداد‌های متنوعی در شش دامنه</w:t>
      </w:r>
      <w:r w:rsidR="00280255" w:rsidRPr="0025250D">
        <w:rPr>
          <w:rFonts w:hint="cs"/>
          <w:rtl/>
        </w:rPr>
        <w:t>،</w:t>
      </w:r>
      <w:r w:rsidRPr="0025250D">
        <w:rPr>
          <w:rFonts w:hint="cs"/>
          <w:rtl/>
        </w:rPr>
        <w:t xml:space="preserve"> مقاصدی همگرا و واحد و برآمدهایی قابل </w:t>
      </w:r>
      <w:r w:rsidR="00D92F6E" w:rsidRPr="0025250D">
        <w:rPr>
          <w:rFonts w:hint="cs"/>
          <w:rtl/>
        </w:rPr>
        <w:t>پیش‌بین</w:t>
      </w:r>
      <w:r w:rsidRPr="0025250D">
        <w:rPr>
          <w:rFonts w:hint="cs"/>
          <w:rtl/>
        </w:rPr>
        <w:t>ی هستند که جوامع در همه جا به سمت آن‌ها، مستقل از انتخاب‌های فردی ما یا به شکل جالب تری، در نتیجه توزیع میانگین این انتخاب‌ها، در حرکتند.</w:t>
      </w:r>
    </w:p>
    <w:p w14:paraId="231691C8" w14:textId="3F0DA616" w:rsidR="0020732A" w:rsidRPr="0025250D" w:rsidRDefault="0020732A" w:rsidP="0020732A">
      <w:pPr>
        <w:rPr>
          <w:rtl/>
        </w:rPr>
      </w:pPr>
      <w:r w:rsidRPr="0025250D">
        <w:rPr>
          <w:rFonts w:hint="cs"/>
          <w:rtl/>
        </w:rPr>
        <w:t xml:space="preserve">یک رهبر خردمند (و ناشناس) در جامعه </w:t>
      </w:r>
      <w:r w:rsidR="00D92F6E" w:rsidRPr="0025250D">
        <w:rPr>
          <w:rFonts w:hint="cs"/>
          <w:rtl/>
        </w:rPr>
        <w:t>آینده‌پژوه</w:t>
      </w:r>
      <w:r w:rsidRPr="0025250D">
        <w:rPr>
          <w:rFonts w:hint="cs"/>
          <w:rtl/>
        </w:rPr>
        <w:t xml:space="preserve">ان تخصصی به ما گفته است که متقاعد کردن جامعه </w:t>
      </w:r>
      <w:r w:rsidRPr="0025250D">
        <w:rPr>
          <w:rtl/>
        </w:rPr>
        <w:t>آینده‌نگاری</w:t>
      </w:r>
      <w:r w:rsidRPr="0025250D">
        <w:rPr>
          <w:rFonts w:hint="cs"/>
          <w:rtl/>
        </w:rPr>
        <w:t xml:space="preserve"> تخصصی فعلی ما در مورد این‌که تفکر توسعه‌ای دقیقا به اندازه تفکر تکاملی</w:t>
      </w:r>
      <w:r w:rsidRPr="0025250D">
        <w:rPr>
          <w:rFonts w:hint="cs"/>
        </w:rPr>
        <w:t>‌</w:t>
      </w:r>
      <w:r w:rsidRPr="0025250D">
        <w:rPr>
          <w:rFonts w:hint="cs"/>
          <w:rtl/>
        </w:rPr>
        <w:t xml:space="preserve"> می‌تواند اهمیت داشته باشد، </w:t>
      </w:r>
      <w:r w:rsidR="006335B8" w:rsidRPr="0025250D">
        <w:rPr>
          <w:rtl/>
        </w:rPr>
        <w:t>«</w:t>
      </w:r>
      <w:r w:rsidRPr="0025250D">
        <w:rPr>
          <w:rFonts w:hint="cs"/>
          <w:rtl/>
        </w:rPr>
        <w:t>یک</w:t>
      </w:r>
      <w:r w:rsidRPr="0025250D">
        <w:rPr>
          <w:rtl/>
        </w:rPr>
        <w:t xml:space="preserve"> </w:t>
      </w:r>
      <w:r w:rsidRPr="0025250D">
        <w:rPr>
          <w:rFonts w:hint="cs"/>
          <w:rtl/>
        </w:rPr>
        <w:t>تلاش</w:t>
      </w:r>
      <w:r w:rsidRPr="0025250D">
        <w:rPr>
          <w:rtl/>
        </w:rPr>
        <w:t xml:space="preserve"> </w:t>
      </w:r>
      <w:r w:rsidRPr="0025250D">
        <w:rPr>
          <w:rFonts w:hint="cs"/>
          <w:rtl/>
        </w:rPr>
        <w:t>خیالی</w:t>
      </w:r>
      <w:r w:rsidRPr="0025250D">
        <w:rPr>
          <w:rtl/>
        </w:rPr>
        <w:t xml:space="preserve"> </w:t>
      </w:r>
      <w:r w:rsidRPr="0025250D">
        <w:rPr>
          <w:rFonts w:hint="cs"/>
          <w:rtl/>
        </w:rPr>
        <w:t>و</w:t>
      </w:r>
      <w:r w:rsidRPr="0025250D">
        <w:rPr>
          <w:rtl/>
        </w:rPr>
        <w:t xml:space="preserve"> </w:t>
      </w:r>
      <w:r w:rsidRPr="0025250D">
        <w:rPr>
          <w:rFonts w:hint="cs"/>
          <w:rtl/>
        </w:rPr>
        <w:t>آرمانی</w:t>
      </w:r>
      <w:r w:rsidR="006335B8" w:rsidRPr="0025250D">
        <w:rPr>
          <w:rtl/>
        </w:rPr>
        <w:t>»</w:t>
      </w:r>
      <w:r w:rsidRPr="0025250D">
        <w:rPr>
          <w:rFonts w:hint="cs"/>
          <w:rtl/>
        </w:rPr>
        <w:t xml:space="preserve"> است. سوگیری ضد </w:t>
      </w:r>
      <w:r w:rsidR="00D92F6E" w:rsidRPr="0025250D">
        <w:rPr>
          <w:rFonts w:hint="cs"/>
          <w:rtl/>
        </w:rPr>
        <w:t>پیش‌بین</w:t>
      </w:r>
      <w:r w:rsidRPr="0025250D">
        <w:rPr>
          <w:rFonts w:hint="cs"/>
          <w:rtl/>
        </w:rPr>
        <w:t xml:space="preserve">ی </w:t>
      </w:r>
      <w:r w:rsidRPr="0025250D">
        <w:rPr>
          <w:rFonts w:hint="cs"/>
          <w:rtl/>
        </w:rPr>
        <w:lastRenderedPageBreak/>
        <w:t xml:space="preserve">(سوگیری آزادی) در برخی از جوامع عملی </w:t>
      </w:r>
      <w:r w:rsidRPr="0025250D">
        <w:rPr>
          <w:rtl/>
        </w:rPr>
        <w:t>آینده‌نگاری</w:t>
      </w:r>
      <w:r w:rsidRPr="0025250D">
        <w:rPr>
          <w:rFonts w:hint="cs"/>
          <w:rtl/>
        </w:rPr>
        <w:t xml:space="preserve"> ما در حال حاضر به همین اندازه قدرتمند است. بسیاری از اساتید </w:t>
      </w:r>
      <w:r w:rsidRPr="0025250D">
        <w:rPr>
          <w:rtl/>
        </w:rPr>
        <w:t>آینده‌نگاری</w:t>
      </w:r>
      <w:r w:rsidR="008D6F97" w:rsidRPr="0025250D">
        <w:rPr>
          <w:rtl/>
        </w:rPr>
        <w:t xml:space="preserve"> </w:t>
      </w:r>
      <w:r w:rsidRPr="0025250D">
        <w:rPr>
          <w:rFonts w:hint="cs"/>
          <w:rtl/>
        </w:rPr>
        <w:t xml:space="preserve">به اشتباه حتی به </w:t>
      </w:r>
      <w:r w:rsidR="00923DDB" w:rsidRPr="0025250D">
        <w:rPr>
          <w:rFonts w:hint="cs"/>
          <w:rtl/>
        </w:rPr>
        <w:t>دانشجویان</w:t>
      </w:r>
      <w:r w:rsidRPr="0025250D">
        <w:rPr>
          <w:rFonts w:hint="cs"/>
          <w:rtl/>
        </w:rPr>
        <w:t xml:space="preserve"> خود</w:t>
      </w:r>
      <w:r w:rsidRPr="0025250D">
        <w:rPr>
          <w:rFonts w:hint="cs"/>
        </w:rPr>
        <w:t>‌</w:t>
      </w:r>
      <w:r w:rsidRPr="0025250D">
        <w:rPr>
          <w:rFonts w:hint="cs"/>
          <w:rtl/>
        </w:rPr>
        <w:t xml:space="preserve"> می‌گویند که </w:t>
      </w:r>
      <w:r w:rsidR="006335B8" w:rsidRPr="0025250D">
        <w:rPr>
          <w:rtl/>
        </w:rPr>
        <w:t>«</w:t>
      </w:r>
      <w:r w:rsidR="00D92F6E" w:rsidRPr="0025250D">
        <w:rPr>
          <w:rFonts w:hint="cs"/>
          <w:rtl/>
        </w:rPr>
        <w:t>پیش‌بین</w:t>
      </w:r>
      <w:r w:rsidRPr="0025250D">
        <w:rPr>
          <w:rFonts w:hint="cs"/>
          <w:rtl/>
        </w:rPr>
        <w:t>ی کار ضعیفی است</w:t>
      </w:r>
      <w:r w:rsidR="006335B8" w:rsidRPr="0025250D">
        <w:rPr>
          <w:rtl/>
        </w:rPr>
        <w:t>»</w:t>
      </w:r>
      <w:r w:rsidRPr="0025250D">
        <w:rPr>
          <w:rFonts w:hint="cs"/>
          <w:rtl/>
        </w:rPr>
        <w:t xml:space="preserve">. </w:t>
      </w:r>
      <w:r w:rsidR="007118DE" w:rsidRPr="0025250D">
        <w:rPr>
          <w:rFonts w:hint="cs"/>
          <w:rtl/>
        </w:rPr>
        <w:t>همان‌طور</w:t>
      </w:r>
      <w:r w:rsidRPr="0025250D">
        <w:rPr>
          <w:rFonts w:hint="cs"/>
          <w:rtl/>
        </w:rPr>
        <w:t xml:space="preserve"> که توضیح خواهیم داد، کارگزارانی که برای مثال به </w:t>
      </w:r>
      <w:r w:rsidR="00FB6A7E" w:rsidRPr="0025250D">
        <w:rPr>
          <w:rFonts w:hint="cs"/>
          <w:rtl/>
        </w:rPr>
        <w:t>پیش‌نگری</w:t>
      </w:r>
      <w:r w:rsidRPr="0025250D">
        <w:rPr>
          <w:rFonts w:hint="cs"/>
          <w:rtl/>
        </w:rPr>
        <w:t xml:space="preserve"> علاقه دارند، انجمن‌هایی مختص خود مانند مؤسسه بین المللی </w:t>
      </w:r>
      <w:r w:rsidR="0008779C" w:rsidRPr="0025250D">
        <w:rPr>
          <w:rFonts w:hint="cs"/>
          <w:rtl/>
        </w:rPr>
        <w:t>پیش‌نگر</w:t>
      </w:r>
      <w:r w:rsidRPr="0025250D">
        <w:rPr>
          <w:rFonts w:hint="cs"/>
          <w:rtl/>
        </w:rPr>
        <w:t>ان</w:t>
      </w:r>
      <w:r w:rsidRPr="0025250D">
        <w:rPr>
          <w:vertAlign w:val="superscript"/>
          <w:rtl/>
        </w:rPr>
        <w:footnoteReference w:id="720"/>
      </w:r>
      <w:r w:rsidRPr="0025250D">
        <w:rPr>
          <w:rFonts w:hint="cs"/>
          <w:rtl/>
        </w:rPr>
        <w:t xml:space="preserve"> (</w:t>
      </w:r>
      <w:r w:rsidRPr="0025250D">
        <w:t>IIF</w:t>
      </w:r>
      <w:r w:rsidRPr="0025250D">
        <w:rPr>
          <w:rFonts w:hint="cs"/>
          <w:rtl/>
        </w:rPr>
        <w:t xml:space="preserve">) را که در دهه 1980 </w:t>
      </w:r>
      <w:r w:rsidR="00923DDB" w:rsidRPr="0025250D">
        <w:rPr>
          <w:rFonts w:hint="cs"/>
          <w:rtl/>
        </w:rPr>
        <w:t>راه‌اندازی</w:t>
      </w:r>
      <w:r w:rsidRPr="0025250D">
        <w:rPr>
          <w:rFonts w:hint="cs"/>
          <w:rtl/>
        </w:rPr>
        <w:t xml:space="preserve"> شد، تأسیس کردند، زیرا بسیاری از </w:t>
      </w:r>
      <w:r w:rsidR="00D92F6E" w:rsidRPr="0025250D">
        <w:rPr>
          <w:rFonts w:hint="cs"/>
          <w:rtl/>
        </w:rPr>
        <w:t>آینده‌پژوه</w:t>
      </w:r>
      <w:r w:rsidRPr="0025250D">
        <w:rPr>
          <w:rFonts w:hint="cs"/>
          <w:rtl/>
        </w:rPr>
        <w:t xml:space="preserve">ان متخصص روش‌ها و </w:t>
      </w:r>
      <w:r w:rsidR="00A20CCB" w:rsidRPr="0025250D">
        <w:rPr>
          <w:rFonts w:hint="cs"/>
          <w:rtl/>
        </w:rPr>
        <w:t>جهان‌بینی</w:t>
      </w:r>
      <w:r w:rsidRPr="0025250D">
        <w:rPr>
          <w:rFonts w:hint="cs"/>
          <w:rtl/>
        </w:rPr>
        <w:t xml:space="preserve"> آن‌ها را نپذیرفتند.</w:t>
      </w:r>
    </w:p>
    <w:p w14:paraId="33E3626D" w14:textId="42665FBA" w:rsidR="0020732A" w:rsidRPr="0025250D" w:rsidRDefault="0020732A" w:rsidP="0020732A">
      <w:r w:rsidRPr="0025250D">
        <w:rPr>
          <w:rFonts w:hint="cs"/>
          <w:rtl/>
        </w:rPr>
        <w:t xml:space="preserve">در زمانی که استارتاپ‌ها بازارهای </w:t>
      </w:r>
      <w:r w:rsidR="00D92F6E" w:rsidRPr="0025250D">
        <w:rPr>
          <w:rFonts w:hint="cs"/>
          <w:rtl/>
        </w:rPr>
        <w:t>پیش‌بین</w:t>
      </w:r>
      <w:r w:rsidRPr="0025250D">
        <w:rPr>
          <w:rFonts w:hint="cs"/>
          <w:rtl/>
        </w:rPr>
        <w:t xml:space="preserve">ی مبتنی بر بلاکچین و رمز-ارز مانند </w:t>
      </w:r>
      <w:r w:rsidRPr="0025250D">
        <w:rPr>
          <w:rtl/>
        </w:rPr>
        <w:t>متاکولوس</w:t>
      </w:r>
      <w:r w:rsidRPr="0025250D">
        <w:rPr>
          <w:vertAlign w:val="superscript"/>
          <w:rtl/>
        </w:rPr>
        <w:footnoteReference w:id="721"/>
      </w:r>
      <w:r w:rsidRPr="0025250D">
        <w:rPr>
          <w:rFonts w:hint="cs"/>
          <w:rtl/>
        </w:rPr>
        <w:t xml:space="preserve">، </w:t>
      </w:r>
      <w:r w:rsidRPr="0025250D">
        <w:rPr>
          <w:rtl/>
        </w:rPr>
        <w:t>اوگور</w:t>
      </w:r>
      <w:r w:rsidRPr="0025250D">
        <w:rPr>
          <w:vertAlign w:val="superscript"/>
          <w:rtl/>
        </w:rPr>
        <w:footnoteReference w:id="722"/>
      </w:r>
      <w:r w:rsidRPr="0025250D">
        <w:rPr>
          <w:rFonts w:hint="cs"/>
          <w:rtl/>
        </w:rPr>
        <w:t xml:space="preserve"> و پردیکت‌ایت</w:t>
      </w:r>
      <w:r w:rsidRPr="0025250D">
        <w:rPr>
          <w:vertAlign w:val="superscript"/>
          <w:rtl/>
        </w:rPr>
        <w:footnoteReference w:id="723"/>
      </w:r>
      <w:r w:rsidRPr="0025250D">
        <w:rPr>
          <w:rFonts w:hint="cs"/>
          <w:rtl/>
        </w:rPr>
        <w:t xml:space="preserve"> را </w:t>
      </w:r>
      <w:r w:rsidR="00923DDB" w:rsidRPr="0025250D">
        <w:rPr>
          <w:rFonts w:hint="cs"/>
          <w:rtl/>
        </w:rPr>
        <w:t>راه‌اندازی</w:t>
      </w:r>
      <w:r w:rsidRPr="0025250D">
        <w:rPr>
          <w:rFonts w:hint="cs"/>
        </w:rPr>
        <w:t>‌</w:t>
      </w:r>
      <w:r w:rsidRPr="0025250D">
        <w:rPr>
          <w:rFonts w:hint="cs"/>
          <w:rtl/>
        </w:rPr>
        <w:t xml:space="preserve"> می‌کنند، حداقل کارگزاران جوان‌تر </w:t>
      </w:r>
      <w:r w:rsidRPr="0025250D">
        <w:rPr>
          <w:rtl/>
        </w:rPr>
        <w:t>آینده‌نگاری</w:t>
      </w:r>
      <w:r w:rsidRPr="0025250D">
        <w:rPr>
          <w:rFonts w:hint="cs"/>
          <w:rtl/>
        </w:rPr>
        <w:t xml:space="preserve"> باید این نکته که احتمال، </w:t>
      </w:r>
      <w:r w:rsidR="00FB6A7E" w:rsidRPr="0025250D">
        <w:rPr>
          <w:rFonts w:hint="cs"/>
          <w:rtl/>
        </w:rPr>
        <w:t>پیش‌نگری</w:t>
      </w:r>
      <w:r w:rsidRPr="0025250D">
        <w:rPr>
          <w:rFonts w:hint="cs"/>
          <w:rtl/>
        </w:rPr>
        <w:t xml:space="preserve"> و </w:t>
      </w:r>
      <w:r w:rsidR="00D92F6E" w:rsidRPr="0025250D">
        <w:rPr>
          <w:rFonts w:hint="cs"/>
          <w:rtl/>
        </w:rPr>
        <w:t>پیش‌بین</w:t>
      </w:r>
      <w:r w:rsidRPr="0025250D">
        <w:rPr>
          <w:rFonts w:hint="cs"/>
          <w:rtl/>
        </w:rPr>
        <w:t xml:space="preserve">ی همگی مواردی بنیادی در </w:t>
      </w:r>
      <w:r w:rsidRPr="0025250D">
        <w:rPr>
          <w:rtl/>
        </w:rPr>
        <w:t>آینده‌نگاری</w:t>
      </w:r>
      <w:r w:rsidRPr="0025250D">
        <w:rPr>
          <w:rFonts w:hint="cs"/>
          <w:rtl/>
        </w:rPr>
        <w:t xml:space="preserve"> هستند را تصدیق کنند. </w:t>
      </w:r>
      <w:r w:rsidR="007118DE" w:rsidRPr="0025250D">
        <w:rPr>
          <w:rFonts w:hint="cs"/>
          <w:rtl/>
        </w:rPr>
        <w:t>همان‌طور</w:t>
      </w:r>
      <w:r w:rsidRPr="0025250D">
        <w:rPr>
          <w:rFonts w:hint="cs"/>
          <w:rtl/>
        </w:rPr>
        <w:t xml:space="preserve"> که هرم </w:t>
      </w:r>
      <w:r w:rsidRPr="0025250D">
        <w:rPr>
          <w:rtl/>
        </w:rPr>
        <w:t>آینده‌نگاری</w:t>
      </w:r>
      <w:r w:rsidR="008D6F97" w:rsidRPr="0025250D">
        <w:rPr>
          <w:rtl/>
        </w:rPr>
        <w:t xml:space="preserve"> </w:t>
      </w:r>
      <w:r w:rsidRPr="0025250D">
        <w:rPr>
          <w:rFonts w:hint="cs"/>
          <w:rtl/>
        </w:rPr>
        <w:t>به ما یادآوری</w:t>
      </w:r>
      <w:r w:rsidRPr="0025250D">
        <w:rPr>
          <w:rFonts w:hint="cs"/>
        </w:rPr>
        <w:t>‌</w:t>
      </w:r>
      <w:r w:rsidRPr="0025250D">
        <w:rPr>
          <w:rFonts w:hint="cs"/>
          <w:rtl/>
        </w:rPr>
        <w:t xml:space="preserve"> می‌کند، درک تعداد بیش‌تری از مقاصد آینده‌های احتمالی تا حد امکان، پیش از بررسی </w:t>
      </w:r>
      <w:r w:rsidR="00923DDB" w:rsidRPr="0025250D">
        <w:rPr>
          <w:rFonts w:hint="cs"/>
          <w:rtl/>
        </w:rPr>
        <w:t>راه‌حل</w:t>
      </w:r>
      <w:r w:rsidRPr="0025250D">
        <w:rPr>
          <w:rFonts w:hint="cs"/>
          <w:rtl/>
        </w:rPr>
        <w:t xml:space="preserve">‌های مختلف، برای ایجاد </w:t>
      </w:r>
      <w:r w:rsidR="00701E03" w:rsidRPr="0025250D">
        <w:rPr>
          <w:rFonts w:hint="cs"/>
          <w:rtl/>
        </w:rPr>
        <w:t>راهبرد</w:t>
      </w:r>
      <w:r w:rsidRPr="0025250D">
        <w:rPr>
          <w:rFonts w:hint="cs"/>
          <w:rtl/>
        </w:rPr>
        <w:t>‌ها، برنامه‌ها و اقدامات خردمندانه‌تر ضروری است.</w:t>
      </w:r>
    </w:p>
    <w:p w14:paraId="3543AEFD" w14:textId="77777777" w:rsidR="0020732A" w:rsidRPr="0025250D" w:rsidRDefault="0020732A" w:rsidP="009E77BD">
      <w:pPr>
        <w:jc w:val="center"/>
        <w:rPr>
          <w:rtl/>
        </w:rPr>
      </w:pPr>
      <w:r w:rsidRPr="0025250D">
        <w:rPr>
          <w:noProof/>
          <w:lang w:bidi="ar-SA"/>
        </w:rPr>
        <w:drawing>
          <wp:inline distT="0" distB="0" distL="0" distR="0" wp14:anchorId="723C3ACC" wp14:editId="2C2F80E7">
            <wp:extent cx="2194560" cy="1923627"/>
            <wp:effectExtent l="0" t="0" r="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BEBA8EAE-BF5A-486C-A8C5-ECC9F3942E4B}">
                          <a14:imgProps xmlns:a14="http://schemas.microsoft.com/office/drawing/2010/main">
                            <a14:imgLayer r:embed="rId81">
                              <a14:imgEffect>
                                <a14:saturation sat="0"/>
                              </a14:imgEffect>
                            </a14:imgLayer>
                          </a14:imgProps>
                        </a:ext>
                      </a:extLst>
                    </a:blip>
                    <a:stretch>
                      <a:fillRect/>
                    </a:stretch>
                  </pic:blipFill>
                  <pic:spPr>
                    <a:xfrm>
                      <a:off x="0" y="0"/>
                      <a:ext cx="2198319" cy="1926922"/>
                    </a:xfrm>
                    <a:prstGeom prst="rect">
                      <a:avLst/>
                    </a:prstGeom>
                  </pic:spPr>
                </pic:pic>
              </a:graphicData>
            </a:graphic>
          </wp:inline>
        </w:drawing>
      </w:r>
    </w:p>
    <w:p w14:paraId="009CED04" w14:textId="26E4A235" w:rsidR="0020732A" w:rsidRPr="0025250D" w:rsidRDefault="0020732A" w:rsidP="009E77BD">
      <w:pPr>
        <w:jc w:val="center"/>
        <w:rPr>
          <w:rtl/>
        </w:rPr>
      </w:pPr>
      <w:r w:rsidRPr="0025250D">
        <w:rPr>
          <w:rFonts w:hint="cs"/>
          <w:rtl/>
        </w:rPr>
        <w:t>موسسه بین</w:t>
      </w:r>
      <w:r w:rsidR="005E2258" w:rsidRPr="0025250D">
        <w:rPr>
          <w:rFonts w:hint="cs"/>
          <w:rtl/>
        </w:rPr>
        <w:t>‌</w:t>
      </w:r>
      <w:r w:rsidRPr="0025250D">
        <w:rPr>
          <w:rFonts w:hint="cs"/>
          <w:rtl/>
        </w:rPr>
        <w:t xml:space="preserve">المللی </w:t>
      </w:r>
      <w:r w:rsidR="0008779C" w:rsidRPr="0025250D">
        <w:rPr>
          <w:rFonts w:hint="cs"/>
          <w:rtl/>
        </w:rPr>
        <w:t>پیش‌نگر</w:t>
      </w:r>
      <w:r w:rsidRPr="0025250D">
        <w:rPr>
          <w:rFonts w:hint="cs"/>
          <w:rtl/>
        </w:rPr>
        <w:t xml:space="preserve">ها، یک جامعه </w:t>
      </w:r>
      <w:r w:rsidR="00FB6A7E" w:rsidRPr="0025250D">
        <w:rPr>
          <w:rFonts w:hint="cs"/>
          <w:rtl/>
        </w:rPr>
        <w:t>پیش‌نگری</w:t>
      </w:r>
      <w:r w:rsidRPr="0025250D">
        <w:rPr>
          <w:rFonts w:hint="cs"/>
          <w:rtl/>
        </w:rPr>
        <w:t xml:space="preserve"> خوب</w:t>
      </w:r>
    </w:p>
    <w:p w14:paraId="1F3D6269" w14:textId="56730002" w:rsidR="0020732A" w:rsidRPr="0025250D" w:rsidRDefault="00E46C90" w:rsidP="009E77BD">
      <w:pPr>
        <w:pStyle w:val="Heading2"/>
        <w:rPr>
          <w:rtl/>
        </w:rPr>
      </w:pPr>
      <w:bookmarkStart w:id="19" w:name="_Toc127831284"/>
      <w:r w:rsidRPr="0025250D">
        <w:rPr>
          <w:rFonts w:hint="cs"/>
          <w:rtl/>
        </w:rPr>
        <w:lastRenderedPageBreak/>
        <w:t>سوگیری منفی‌نگر</w:t>
      </w:r>
      <w:r w:rsidR="0020732A" w:rsidRPr="0025250D">
        <w:rPr>
          <w:rFonts w:hint="cs"/>
          <w:rtl/>
        </w:rPr>
        <w:t>: چرا احساسات آینده اغلب تحت هدایت موارد منفی هستند</w:t>
      </w:r>
      <w:bookmarkEnd w:id="19"/>
    </w:p>
    <w:p w14:paraId="10F51337" w14:textId="34B1B815" w:rsidR="0020732A" w:rsidRPr="0025250D" w:rsidRDefault="00E46C90" w:rsidP="0020732A">
      <w:pPr>
        <w:rPr>
          <w:rtl/>
        </w:rPr>
      </w:pPr>
      <w:r w:rsidRPr="0025250D">
        <w:rPr>
          <w:rFonts w:hint="cs"/>
          <w:rtl/>
        </w:rPr>
        <w:t>سوگیری منفی‌نگر</w:t>
      </w:r>
      <w:r w:rsidR="0020732A" w:rsidRPr="0025250D">
        <w:rPr>
          <w:rFonts w:hint="cs"/>
          <w:rtl/>
        </w:rPr>
        <w:t xml:space="preserve"> یکی از مهم‌ترین تفکرات انسانی است که کم‌تر شناخته شده است. به دلیل </w:t>
      </w:r>
      <w:r w:rsidRPr="0025250D">
        <w:rPr>
          <w:rFonts w:hint="cs"/>
          <w:rtl/>
        </w:rPr>
        <w:t>سوگیری منفی‌نگر</w:t>
      </w:r>
      <w:r w:rsidR="0020732A" w:rsidRPr="0025250D">
        <w:rPr>
          <w:rFonts w:hint="cs"/>
          <w:rtl/>
        </w:rPr>
        <w:t>، ما اغلب محرک‌های منفی را سریع‌تر و قوی‌تر ثبت</w:t>
      </w:r>
      <w:r w:rsidR="0020732A" w:rsidRPr="0025250D">
        <w:rPr>
          <w:rFonts w:hint="cs"/>
        </w:rPr>
        <w:t>‌</w:t>
      </w:r>
      <w:r w:rsidR="0020732A" w:rsidRPr="0025250D">
        <w:rPr>
          <w:rFonts w:hint="cs"/>
          <w:rtl/>
        </w:rPr>
        <w:t xml:space="preserve"> می‌کنیم و برای مدت طولانی تری به آن‌ها نسبت به محرک‌های مثبت معادل</w:t>
      </w:r>
      <w:r w:rsidR="0020732A" w:rsidRPr="0025250D">
        <w:rPr>
          <w:rFonts w:hint="cs"/>
        </w:rPr>
        <w:t>‌</w:t>
      </w:r>
      <w:r w:rsidR="0020732A" w:rsidRPr="0025250D">
        <w:rPr>
          <w:rFonts w:hint="cs"/>
          <w:rtl/>
        </w:rPr>
        <w:t xml:space="preserve"> می‌پردازیم. این یک سوگیری بسیار رایج است که به دلیل واقعیت قانون </w:t>
      </w:r>
      <w:r w:rsidR="0020732A" w:rsidRPr="0025250D">
        <w:t>AK</w:t>
      </w:r>
      <w:r w:rsidR="0020732A" w:rsidRPr="0025250D">
        <w:rPr>
          <w:vertAlign w:val="superscript"/>
        </w:rPr>
        <w:footnoteReference w:id="724"/>
      </w:r>
      <w:r w:rsidR="0020732A" w:rsidRPr="0025250D">
        <w:rPr>
          <w:rFonts w:hint="cs"/>
          <w:rtl/>
        </w:rPr>
        <w:t xml:space="preserve"> ایجاد</w:t>
      </w:r>
      <w:r w:rsidR="0020732A" w:rsidRPr="0025250D">
        <w:rPr>
          <w:rFonts w:hint="cs"/>
        </w:rPr>
        <w:t>‌</w:t>
      </w:r>
      <w:r w:rsidR="0020732A" w:rsidRPr="0025250D">
        <w:rPr>
          <w:rFonts w:hint="cs"/>
          <w:rtl/>
        </w:rPr>
        <w:t xml:space="preserve"> می‌شود. در هر زمان و در هر محیطی، همواره تعداد راه‌های بسیار بیش‌تری برای از دست دادن برخی یا همه آنچه را که داریم در مقایسه با تعداد راه‌هایی که</w:t>
      </w:r>
      <w:r w:rsidR="0020732A" w:rsidRPr="0025250D">
        <w:rPr>
          <w:rFonts w:hint="cs"/>
        </w:rPr>
        <w:t>‌</w:t>
      </w:r>
      <w:r w:rsidR="0020732A" w:rsidRPr="0025250D">
        <w:rPr>
          <w:rFonts w:hint="cs"/>
          <w:rtl/>
        </w:rPr>
        <w:t xml:space="preserve"> می‌توانیم ببریم و پیشرفت کنیم، وجود دارند. هچنین ما از طریق انتخاب طبیعی به این شکل تکامل یافته‌ایم که توجه بیش‌تری به محرک‌های منفی داشته باشیم، زیرا آن‌ها برای بقای کوتاه مدت ما بیش‌تر اهمیت دارند. محرک‌های مثبت بیش‌تر برای </w:t>
      </w:r>
      <w:r w:rsidR="00AE5BE0" w:rsidRPr="0025250D">
        <w:rPr>
          <w:rFonts w:hint="cs"/>
          <w:rtl/>
        </w:rPr>
        <w:t>انطباق</w:t>
      </w:r>
      <w:r w:rsidR="0020732A" w:rsidRPr="0025250D">
        <w:rPr>
          <w:rFonts w:hint="cs"/>
          <w:rtl/>
        </w:rPr>
        <w:t xml:space="preserve"> بلند مدت اهمیت دارند و بنابراین در روان انسان کم‌تر انتخاب</w:t>
      </w:r>
      <w:r w:rsidR="0020732A" w:rsidRPr="0025250D">
        <w:rPr>
          <w:rFonts w:hint="cs"/>
        </w:rPr>
        <w:t>‌</w:t>
      </w:r>
      <w:r w:rsidR="0020732A" w:rsidRPr="0025250D">
        <w:rPr>
          <w:rFonts w:hint="cs"/>
          <w:rtl/>
        </w:rPr>
        <w:t xml:space="preserve"> می‌شوند. این بینش </w:t>
      </w:r>
      <w:r w:rsidR="0019766B" w:rsidRPr="0025250D">
        <w:rPr>
          <w:rFonts w:hint="cs"/>
          <w:rtl/>
        </w:rPr>
        <w:t>مفاهیم</w:t>
      </w:r>
      <w:r w:rsidR="0020732A" w:rsidRPr="0025250D">
        <w:rPr>
          <w:rFonts w:hint="cs"/>
          <w:rtl/>
        </w:rPr>
        <w:t xml:space="preserve"> گسترده‌ای را برای کار </w:t>
      </w:r>
      <w:r w:rsidR="0020732A" w:rsidRPr="0025250D">
        <w:rPr>
          <w:rtl/>
        </w:rPr>
        <w:t xml:space="preserve">آینده‌نگاری </w:t>
      </w:r>
      <w:r w:rsidR="0020732A" w:rsidRPr="0025250D">
        <w:rPr>
          <w:rFonts w:hint="cs"/>
          <w:rtl/>
        </w:rPr>
        <w:t>خوب در بر دارد.</w:t>
      </w:r>
    </w:p>
    <w:p w14:paraId="24EEE562" w14:textId="3BACF553" w:rsidR="0020732A" w:rsidRPr="0025250D" w:rsidRDefault="0020732A" w:rsidP="0020732A">
      <w:pPr>
        <w:rPr>
          <w:rtl/>
        </w:rPr>
      </w:pPr>
      <w:r w:rsidRPr="0025250D">
        <w:rPr>
          <w:rFonts w:hint="cs"/>
          <w:rtl/>
        </w:rPr>
        <w:t xml:space="preserve">درست </w:t>
      </w:r>
      <w:r w:rsidR="007118DE" w:rsidRPr="0025250D">
        <w:rPr>
          <w:rFonts w:hint="cs"/>
          <w:rtl/>
        </w:rPr>
        <w:t>همان‌طور</w:t>
      </w:r>
      <w:r w:rsidRPr="0025250D">
        <w:rPr>
          <w:rFonts w:hint="cs"/>
          <w:rtl/>
        </w:rPr>
        <w:t xml:space="preserve">که سوگیری آزادی استفاده ما از تقابل </w:t>
      </w:r>
      <w:r w:rsidR="00D92F6E" w:rsidRPr="0025250D">
        <w:rPr>
          <w:rFonts w:hint="cs"/>
          <w:rtl/>
        </w:rPr>
        <w:t>پیش‌بین</w:t>
      </w:r>
      <w:r w:rsidRPr="0025250D">
        <w:rPr>
          <w:rFonts w:hint="cs"/>
          <w:rtl/>
        </w:rPr>
        <w:t xml:space="preserve"> را تضعیف</w:t>
      </w:r>
      <w:r w:rsidRPr="0025250D">
        <w:rPr>
          <w:rFonts w:hint="cs"/>
        </w:rPr>
        <w:t>‌</w:t>
      </w:r>
      <w:r w:rsidRPr="0025250D">
        <w:rPr>
          <w:rFonts w:hint="cs"/>
          <w:rtl/>
        </w:rPr>
        <w:t xml:space="preserve"> می‌کند، </w:t>
      </w:r>
      <w:r w:rsidR="00E46C90" w:rsidRPr="0025250D">
        <w:rPr>
          <w:rFonts w:hint="cs"/>
          <w:rtl/>
        </w:rPr>
        <w:t>سوگیری منفی‌نگر</w:t>
      </w:r>
      <w:r w:rsidRPr="0025250D">
        <w:rPr>
          <w:rFonts w:hint="cs"/>
          <w:rtl/>
        </w:rPr>
        <w:t xml:space="preserve"> نیز استفاده ما از تقابل </w:t>
      </w:r>
      <w:r w:rsidR="002B6515" w:rsidRPr="0025250D">
        <w:rPr>
          <w:rFonts w:hint="cs"/>
          <w:rtl/>
        </w:rPr>
        <w:t>حس‌داد</w:t>
      </w:r>
      <w:r w:rsidRPr="0025250D">
        <w:rPr>
          <w:rFonts w:hint="cs"/>
          <w:rtl/>
        </w:rPr>
        <w:t xml:space="preserve"> را تضعیف</w:t>
      </w:r>
      <w:r w:rsidRPr="0025250D">
        <w:rPr>
          <w:rFonts w:hint="cs"/>
        </w:rPr>
        <w:t>‌</w:t>
      </w:r>
      <w:r w:rsidRPr="0025250D">
        <w:rPr>
          <w:rFonts w:hint="cs"/>
          <w:rtl/>
        </w:rPr>
        <w:t xml:space="preserve"> می‌نماید. درست مانند تفکر صرفا مثبت، </w:t>
      </w:r>
      <w:r w:rsidR="00E46C90" w:rsidRPr="0025250D">
        <w:rPr>
          <w:rFonts w:hint="cs"/>
          <w:rtl/>
        </w:rPr>
        <w:t>سوگیری منفی‌نگر</w:t>
      </w:r>
      <w:r w:rsidRPr="0025250D">
        <w:rPr>
          <w:rFonts w:hint="cs"/>
          <w:rtl/>
        </w:rPr>
        <w:t xml:space="preserve"> نیز </w:t>
      </w:r>
      <w:r w:rsidR="00B56611" w:rsidRPr="0025250D">
        <w:rPr>
          <w:rFonts w:hint="cs"/>
          <w:rtl/>
        </w:rPr>
        <w:t>چشم‌انداز</w:t>
      </w:r>
      <w:r w:rsidRPr="0025250D">
        <w:rPr>
          <w:rFonts w:hint="cs"/>
          <w:rtl/>
        </w:rPr>
        <w:t xml:space="preserve"> ما را به شکل خطرناکی نامتوازن</w:t>
      </w:r>
      <w:r w:rsidRPr="0025250D">
        <w:rPr>
          <w:rFonts w:hint="cs"/>
        </w:rPr>
        <w:t>‌</w:t>
      </w:r>
      <w:r w:rsidRPr="0025250D">
        <w:rPr>
          <w:rFonts w:hint="cs"/>
          <w:rtl/>
        </w:rPr>
        <w:t xml:space="preserve"> می‌سازد. در مدل چهار </w:t>
      </w:r>
      <w:r w:rsidRPr="0025250D">
        <w:t>P</w:t>
      </w:r>
      <w:r w:rsidRPr="0025250D">
        <w:rPr>
          <w:rFonts w:hint="cs"/>
          <w:rtl/>
        </w:rPr>
        <w:t xml:space="preserve">، </w:t>
      </w:r>
      <w:r w:rsidR="00E46C90" w:rsidRPr="0025250D">
        <w:rPr>
          <w:rFonts w:hint="cs"/>
          <w:rtl/>
        </w:rPr>
        <w:t>سوگیری منفی‌نگر</w:t>
      </w:r>
      <w:r w:rsidRPr="0025250D">
        <w:rPr>
          <w:rFonts w:hint="cs"/>
          <w:rtl/>
        </w:rPr>
        <w:t xml:space="preserve"> کار ما را در بالای هرم </w:t>
      </w:r>
      <w:r w:rsidRPr="0025250D">
        <w:rPr>
          <w:rtl/>
        </w:rPr>
        <w:t>آینده‌نگاری</w:t>
      </w:r>
      <w:r w:rsidRPr="0025250D">
        <w:rPr>
          <w:rFonts w:hint="cs"/>
          <w:rtl/>
        </w:rPr>
        <w:t>، یعنی دامنه‌ای که بیش از همه برای آن ارزش قائل هستیم، مختل</w:t>
      </w:r>
      <w:r w:rsidRPr="0025250D">
        <w:rPr>
          <w:rFonts w:hint="cs"/>
        </w:rPr>
        <w:t>‌</w:t>
      </w:r>
      <w:r w:rsidRPr="0025250D">
        <w:rPr>
          <w:rFonts w:hint="cs"/>
          <w:rtl/>
        </w:rPr>
        <w:t xml:space="preserve"> می‌کند. </w:t>
      </w:r>
      <w:r w:rsidRPr="0025250D">
        <w:rPr>
          <w:rtl/>
        </w:rPr>
        <w:t>اوت</w:t>
      </w:r>
      <w:r w:rsidRPr="0025250D">
        <w:rPr>
          <w:rFonts w:hint="cs"/>
          <w:rtl/>
        </w:rPr>
        <w:t>ی</w:t>
      </w:r>
      <w:r w:rsidRPr="0025250D">
        <w:rPr>
          <w:rFonts w:hint="eastAsia"/>
          <w:rtl/>
        </w:rPr>
        <w:t>نگن</w:t>
      </w:r>
      <w:r w:rsidRPr="0025250D">
        <w:rPr>
          <w:rFonts w:hint="cs"/>
          <w:rtl/>
        </w:rPr>
        <w:t xml:space="preserve"> نشان داد که مؤثر‌ترین </w:t>
      </w:r>
      <w:r w:rsidRPr="0025250D">
        <w:rPr>
          <w:rtl/>
        </w:rPr>
        <w:t>آینده‌نگاری</w:t>
      </w:r>
      <w:r w:rsidR="008D6F97" w:rsidRPr="0025250D">
        <w:rPr>
          <w:rtl/>
        </w:rPr>
        <w:t xml:space="preserve"> </w:t>
      </w:r>
      <w:r w:rsidR="002B6515" w:rsidRPr="0025250D">
        <w:rPr>
          <w:rtl/>
        </w:rPr>
        <w:t>حس‌داد</w:t>
      </w:r>
      <w:r w:rsidRPr="0025250D">
        <w:rPr>
          <w:rFonts w:hint="cs"/>
          <w:rtl/>
        </w:rPr>
        <w:t xml:space="preserve"> با تصویرسازی واضحی از موارد مثبت بالقوه آغاز</w:t>
      </w:r>
      <w:r w:rsidRPr="0025250D">
        <w:rPr>
          <w:rFonts w:hint="cs"/>
        </w:rPr>
        <w:t>‌</w:t>
      </w:r>
      <w:r w:rsidRPr="0025250D">
        <w:rPr>
          <w:rFonts w:hint="cs"/>
          <w:rtl/>
        </w:rPr>
        <w:t xml:space="preserve"> می‌شود و سپس بر تفکر منفی در مورد موارد مرتبطی که ممکن است مانع موارد مثبت شوند، تمرکز</w:t>
      </w:r>
      <w:r w:rsidRPr="0025250D">
        <w:rPr>
          <w:rFonts w:hint="cs"/>
        </w:rPr>
        <w:t>‌</w:t>
      </w:r>
      <w:r w:rsidRPr="0025250D">
        <w:rPr>
          <w:rFonts w:hint="cs"/>
          <w:rtl/>
        </w:rPr>
        <w:t xml:space="preserve"> می‌کند. </w:t>
      </w:r>
      <w:r w:rsidR="00E46C90" w:rsidRPr="0025250D">
        <w:rPr>
          <w:rFonts w:hint="cs"/>
          <w:rtl/>
        </w:rPr>
        <w:t>سوگیری منفی‌نگر</w:t>
      </w:r>
      <w:r w:rsidRPr="0025250D">
        <w:rPr>
          <w:rFonts w:hint="cs"/>
          <w:rtl/>
        </w:rPr>
        <w:t xml:space="preserve"> این ترتیب را معکوس</w:t>
      </w:r>
      <w:r w:rsidRPr="0025250D">
        <w:rPr>
          <w:rFonts w:hint="cs"/>
        </w:rPr>
        <w:t>‌</w:t>
      </w:r>
      <w:r w:rsidRPr="0025250D">
        <w:rPr>
          <w:rFonts w:hint="cs"/>
          <w:rtl/>
        </w:rPr>
        <w:t xml:space="preserve"> می‌کند و </w:t>
      </w:r>
      <w:r w:rsidR="0008779C" w:rsidRPr="0025250D">
        <w:rPr>
          <w:rFonts w:hint="cs"/>
          <w:rtl/>
        </w:rPr>
        <w:t>تاثیرگذاری</w:t>
      </w:r>
      <w:r w:rsidRPr="0025250D">
        <w:rPr>
          <w:rFonts w:hint="cs"/>
          <w:rtl/>
        </w:rPr>
        <w:t xml:space="preserve"> </w:t>
      </w:r>
      <w:r w:rsidRPr="0025250D">
        <w:rPr>
          <w:rtl/>
        </w:rPr>
        <w:t>آینده‌نگاری</w:t>
      </w:r>
      <w:r w:rsidRPr="0025250D">
        <w:rPr>
          <w:rFonts w:hint="cs"/>
          <w:rtl/>
        </w:rPr>
        <w:t xml:space="preserve"> ما را به نصف کاهش</w:t>
      </w:r>
      <w:r w:rsidRPr="0025250D">
        <w:rPr>
          <w:rFonts w:hint="cs"/>
        </w:rPr>
        <w:t>‌</w:t>
      </w:r>
      <w:r w:rsidRPr="0025250D">
        <w:rPr>
          <w:rFonts w:hint="cs"/>
          <w:rtl/>
        </w:rPr>
        <w:t xml:space="preserve"> می‌دهد.</w:t>
      </w:r>
    </w:p>
    <w:p w14:paraId="7BE2ABDD" w14:textId="0A2AEC5B" w:rsidR="0020732A" w:rsidRPr="0025250D" w:rsidRDefault="0020732A" w:rsidP="0020732A">
      <w:pPr>
        <w:rPr>
          <w:rtl/>
        </w:rPr>
      </w:pPr>
      <w:r w:rsidRPr="0025250D">
        <w:rPr>
          <w:rFonts w:hint="cs"/>
          <w:rtl/>
        </w:rPr>
        <w:t>کتاب قدرت بدی</w:t>
      </w:r>
      <w:r w:rsidRPr="0025250D">
        <w:rPr>
          <w:vertAlign w:val="superscript"/>
          <w:rtl/>
        </w:rPr>
        <w:footnoteReference w:id="725"/>
      </w:r>
      <w:r w:rsidRPr="0025250D">
        <w:rPr>
          <w:rFonts w:hint="cs"/>
          <w:rtl/>
        </w:rPr>
        <w:t xml:space="preserve"> اثر </w:t>
      </w:r>
      <w:r w:rsidRPr="0025250D">
        <w:rPr>
          <w:rtl/>
        </w:rPr>
        <w:t>ت</w:t>
      </w:r>
      <w:r w:rsidRPr="0025250D">
        <w:rPr>
          <w:rFonts w:hint="cs"/>
          <w:rtl/>
        </w:rPr>
        <w:t>ی</w:t>
      </w:r>
      <w:r w:rsidRPr="0025250D">
        <w:rPr>
          <w:rFonts w:hint="eastAsia"/>
          <w:rtl/>
        </w:rPr>
        <w:t>رن</w:t>
      </w:r>
      <w:r w:rsidRPr="0025250D">
        <w:rPr>
          <w:rFonts w:hint="cs"/>
          <w:rtl/>
        </w:rPr>
        <w:t>ی</w:t>
      </w:r>
      <w:r w:rsidRPr="0025250D">
        <w:rPr>
          <w:vertAlign w:val="superscript"/>
          <w:rtl/>
        </w:rPr>
        <w:footnoteReference w:id="726"/>
      </w:r>
      <w:r w:rsidRPr="0025250D">
        <w:rPr>
          <w:rFonts w:hint="cs"/>
          <w:rtl/>
        </w:rPr>
        <w:t xml:space="preserve"> و </w:t>
      </w:r>
      <w:r w:rsidRPr="0025250D">
        <w:rPr>
          <w:rtl/>
        </w:rPr>
        <w:t>بائرما</w:t>
      </w:r>
      <w:r w:rsidRPr="0025250D">
        <w:rPr>
          <w:rFonts w:hint="cs"/>
          <w:rtl/>
        </w:rPr>
        <w:t>ی</w:t>
      </w:r>
      <w:r w:rsidRPr="0025250D">
        <w:rPr>
          <w:rFonts w:hint="eastAsia"/>
          <w:rtl/>
        </w:rPr>
        <w:t>ستر</w:t>
      </w:r>
      <w:r w:rsidRPr="0025250D">
        <w:rPr>
          <w:vertAlign w:val="superscript"/>
          <w:rtl/>
        </w:rPr>
        <w:footnoteReference w:id="727"/>
      </w:r>
      <w:r w:rsidRPr="0025250D">
        <w:rPr>
          <w:rFonts w:hint="cs"/>
          <w:rtl/>
        </w:rPr>
        <w:t xml:space="preserve"> یک مرور جدید عالی بر این سوگیری و چگونگی مقابله با آن ارائه</w:t>
      </w:r>
      <w:r w:rsidRPr="0025250D">
        <w:rPr>
          <w:rFonts w:hint="cs"/>
        </w:rPr>
        <w:t>‌</w:t>
      </w:r>
      <w:r w:rsidRPr="0025250D">
        <w:rPr>
          <w:rFonts w:hint="cs"/>
          <w:rtl/>
        </w:rPr>
        <w:t xml:space="preserve"> می‌دهد. </w:t>
      </w:r>
      <w:r w:rsidR="00E46C90" w:rsidRPr="0025250D">
        <w:rPr>
          <w:rFonts w:hint="cs"/>
          <w:rtl/>
        </w:rPr>
        <w:t>سوگیری منفی‌نگر</w:t>
      </w:r>
      <w:r w:rsidRPr="0025250D">
        <w:rPr>
          <w:rFonts w:hint="cs"/>
          <w:rtl/>
        </w:rPr>
        <w:t xml:space="preserve"> ارتباط نزدیکی با سوگیری زیان گریزی</w:t>
      </w:r>
      <w:r w:rsidRPr="0025250D">
        <w:rPr>
          <w:vertAlign w:val="superscript"/>
          <w:rtl/>
        </w:rPr>
        <w:footnoteReference w:id="728"/>
      </w:r>
      <w:r w:rsidRPr="0025250D">
        <w:rPr>
          <w:rFonts w:hint="cs"/>
          <w:rtl/>
        </w:rPr>
        <w:t xml:space="preserve"> و سوگیری دراما</w:t>
      </w:r>
      <w:r w:rsidRPr="0025250D">
        <w:rPr>
          <w:vertAlign w:val="superscript"/>
          <w:rtl/>
        </w:rPr>
        <w:footnoteReference w:id="729"/>
      </w:r>
      <w:r w:rsidRPr="0025250D">
        <w:rPr>
          <w:rFonts w:hint="cs"/>
          <w:rtl/>
        </w:rPr>
        <w:t>، یعنی تمایل ما در بیان داستان‌ها و سپس قرار دادن شخصیت‌ها در خطر یا موقعیت‌های منفی بلافاصله پس از جذب علاقه مخاطب به آن‌ها</w:t>
      </w:r>
      <w:r w:rsidRPr="0025250D">
        <w:rPr>
          <w:rFonts w:hint="cs"/>
        </w:rPr>
        <w:t>‌</w:t>
      </w:r>
      <w:r w:rsidRPr="0025250D">
        <w:rPr>
          <w:rFonts w:hint="cs"/>
          <w:rtl/>
        </w:rPr>
        <w:t xml:space="preserve"> می‌باشد. رویداد‌های منفی دراما</w:t>
      </w:r>
      <w:r w:rsidR="0019766B" w:rsidRPr="0025250D">
        <w:rPr>
          <w:rFonts w:hint="cs"/>
          <w:rtl/>
        </w:rPr>
        <w:t>ی</w:t>
      </w:r>
      <w:r w:rsidRPr="0025250D">
        <w:rPr>
          <w:rFonts w:hint="cs"/>
          <w:rtl/>
        </w:rPr>
        <w:t xml:space="preserve"> بسیار بیش‌تری نسبت به رویداد‌های مثب ایجاد</w:t>
      </w:r>
      <w:r w:rsidRPr="0025250D">
        <w:rPr>
          <w:rFonts w:hint="cs"/>
        </w:rPr>
        <w:t>‌</w:t>
      </w:r>
      <w:r w:rsidRPr="0025250D">
        <w:rPr>
          <w:rFonts w:hint="cs"/>
          <w:rtl/>
        </w:rPr>
        <w:t xml:space="preserve"> می‌کنند. </w:t>
      </w:r>
      <w:r w:rsidR="0060055A" w:rsidRPr="0025250D">
        <w:rPr>
          <w:rFonts w:hint="cs"/>
          <w:rtl/>
        </w:rPr>
        <w:t>ویران‌شهر</w:t>
      </w:r>
      <w:r w:rsidRPr="0025250D">
        <w:rPr>
          <w:rFonts w:hint="cs"/>
          <w:rtl/>
        </w:rPr>
        <w:t xml:space="preserve"> ها</w:t>
      </w:r>
      <w:r w:rsidRPr="0025250D">
        <w:rPr>
          <w:vertAlign w:val="superscript"/>
          <w:rtl/>
        </w:rPr>
        <w:footnoteReference w:id="730"/>
      </w:r>
      <w:r w:rsidRPr="0025250D">
        <w:rPr>
          <w:rFonts w:hint="cs"/>
          <w:rtl/>
        </w:rPr>
        <w:t xml:space="preserve"> به شدت بیش از </w:t>
      </w:r>
      <w:r w:rsidR="00303635" w:rsidRPr="0025250D">
        <w:rPr>
          <w:rFonts w:hint="cs"/>
          <w:rtl/>
        </w:rPr>
        <w:t>راستین‌شهرها</w:t>
      </w:r>
      <w:r w:rsidR="00303635" w:rsidRPr="0025250D">
        <w:rPr>
          <w:rStyle w:val="FootnoteReference"/>
          <w:rtl/>
        </w:rPr>
        <w:footnoteReference w:id="731"/>
      </w:r>
      <w:r w:rsidRPr="0025250D">
        <w:rPr>
          <w:rFonts w:hint="cs"/>
          <w:rtl/>
        </w:rPr>
        <w:t xml:space="preserve"> (داستان‌های </w:t>
      </w:r>
      <w:r w:rsidR="00923DDB" w:rsidRPr="0025250D">
        <w:rPr>
          <w:rFonts w:hint="cs"/>
          <w:rtl/>
        </w:rPr>
        <w:t>باورپذیر</w:t>
      </w:r>
      <w:r w:rsidRPr="0025250D">
        <w:rPr>
          <w:rFonts w:hint="cs"/>
          <w:rtl/>
        </w:rPr>
        <w:t xml:space="preserve"> و ممکن از جهان‌های آینده بهتر) هستند. در مورد سوگیری دراما و دیگر سوگیری‌های هیجانی </w:t>
      </w:r>
      <w:r w:rsidRPr="0025250D">
        <w:rPr>
          <w:rFonts w:cs="Times New Roman" w:hint="cs"/>
          <w:rtl/>
        </w:rPr>
        <w:t>–</w:t>
      </w:r>
      <w:r w:rsidRPr="0025250D">
        <w:rPr>
          <w:rFonts w:hint="cs"/>
          <w:rtl/>
        </w:rPr>
        <w:t xml:space="preserve"> شناختی در نسخه </w:t>
      </w:r>
      <w:r w:rsidR="0019766B" w:rsidRPr="0025250D">
        <w:rPr>
          <w:rFonts w:hint="cs"/>
          <w:rtl/>
        </w:rPr>
        <w:t>دانشجوی</w:t>
      </w:r>
      <w:r w:rsidRPr="0025250D">
        <w:rPr>
          <w:rFonts w:hint="cs"/>
          <w:rtl/>
        </w:rPr>
        <w:t xml:space="preserve"> این کتاب بیش‌تر بحث خواهیم کرد.</w:t>
      </w:r>
    </w:p>
    <w:p w14:paraId="41E83BE0" w14:textId="14093D71" w:rsidR="0020732A" w:rsidRPr="0025250D" w:rsidRDefault="0020732A" w:rsidP="0020732A">
      <w:pPr>
        <w:rPr>
          <w:rtl/>
        </w:rPr>
      </w:pPr>
      <w:r w:rsidRPr="0025250D">
        <w:rPr>
          <w:rFonts w:hint="cs"/>
          <w:rtl/>
        </w:rPr>
        <w:t xml:space="preserve">با استفاده از دسته بندی‌های تحلیل </w:t>
      </w:r>
      <w:r w:rsidRPr="0025250D">
        <w:t>ADOR</w:t>
      </w:r>
      <w:r w:rsidRPr="0025250D">
        <w:rPr>
          <w:rFonts w:hint="cs"/>
          <w:rtl/>
        </w:rPr>
        <w:t>،</w:t>
      </w:r>
      <w:r w:rsidRPr="0025250D">
        <w:rPr>
          <w:rFonts w:hint="cs"/>
        </w:rPr>
        <w:t>‌</w:t>
      </w:r>
      <w:r w:rsidRPr="0025250D">
        <w:rPr>
          <w:rFonts w:hint="cs"/>
          <w:rtl/>
        </w:rPr>
        <w:t xml:space="preserve"> می‌توانیم نام‌های مفیدتری را برای </w:t>
      </w:r>
      <w:r w:rsidR="00E46C90" w:rsidRPr="0025250D">
        <w:rPr>
          <w:rFonts w:hint="cs"/>
          <w:rtl/>
        </w:rPr>
        <w:t>سوگیری منفی‌نگر</w:t>
      </w:r>
      <w:r w:rsidRPr="0025250D">
        <w:rPr>
          <w:rFonts w:hint="cs"/>
          <w:rtl/>
        </w:rPr>
        <w:t xml:space="preserve"> در کار </w:t>
      </w:r>
      <w:r w:rsidRPr="0025250D">
        <w:rPr>
          <w:rtl/>
        </w:rPr>
        <w:t>آینده‌نگاری</w:t>
      </w:r>
      <w:r w:rsidRPr="0025250D">
        <w:rPr>
          <w:rFonts w:hint="cs"/>
          <w:rtl/>
        </w:rPr>
        <w:t xml:space="preserve"> در نظر بگیریم. </w:t>
      </w:r>
      <w:r w:rsidR="00E46C90" w:rsidRPr="0025250D">
        <w:rPr>
          <w:rFonts w:hint="cs"/>
          <w:rtl/>
        </w:rPr>
        <w:t>سوگیری منفی‌نگر</w:t>
      </w:r>
      <w:r w:rsidR="0019766B" w:rsidRPr="0025250D">
        <w:rPr>
          <w:rFonts w:hint="cs"/>
          <w:rtl/>
        </w:rPr>
        <w:t>،</w:t>
      </w:r>
      <w:r w:rsidRPr="0025250D">
        <w:rPr>
          <w:rFonts w:hint="cs"/>
          <w:rtl/>
        </w:rPr>
        <w:t xml:space="preserve"> بیش‌تر افراد، تیم‌ها، شرکت‌ها، رسانه‌ها و فرهنگ ما را در بیش‌تر محیط‌ها به احساس و تفکر در مورد </w:t>
      </w:r>
      <w:r w:rsidR="00D92F6E" w:rsidRPr="0025250D">
        <w:rPr>
          <w:rFonts w:hint="cs"/>
          <w:rtl/>
        </w:rPr>
        <w:t>بنیان‌افکن</w:t>
      </w:r>
      <w:r w:rsidRPr="0025250D">
        <w:rPr>
          <w:rFonts w:hint="cs"/>
          <w:rtl/>
        </w:rPr>
        <w:t>ی و ریسک (آینده‌های اجتناب پذیر) در وهله اول و به قوی‌ترین و بلند مدت‌ترین شکل ممکن و تفکر در مورد فرصت و مزیت (آینده‌های مرجح) در وهله دوم و به‌صورت ضعیف‌تر و مختصر‌تر، سوق</w:t>
      </w:r>
      <w:r w:rsidRPr="0025250D">
        <w:rPr>
          <w:rFonts w:hint="cs"/>
        </w:rPr>
        <w:t>‌</w:t>
      </w:r>
      <w:r w:rsidRPr="0025250D">
        <w:rPr>
          <w:rFonts w:hint="cs"/>
          <w:rtl/>
        </w:rPr>
        <w:t xml:space="preserve"> می‌دهد. با استفاده از عبارات </w:t>
      </w:r>
      <w:r w:rsidRPr="0025250D">
        <w:t>ADOR</w:t>
      </w:r>
      <w:r w:rsidRPr="0025250D">
        <w:rPr>
          <w:rFonts w:hint="cs"/>
        </w:rPr>
        <w:t>‌</w:t>
      </w:r>
      <w:r w:rsidRPr="0025250D">
        <w:rPr>
          <w:rFonts w:hint="cs"/>
          <w:rtl/>
        </w:rPr>
        <w:t xml:space="preserve"> می‌توانیم این امر را سوگیری </w:t>
      </w:r>
      <w:r w:rsidRPr="0025250D">
        <w:t>DROA</w:t>
      </w:r>
      <w:r w:rsidRPr="0025250D">
        <w:rPr>
          <w:rFonts w:hint="cs"/>
          <w:rtl/>
        </w:rPr>
        <w:t xml:space="preserve"> بنامیم. تحت سوگیری </w:t>
      </w:r>
      <w:r w:rsidRPr="0025250D">
        <w:t>DROA</w:t>
      </w:r>
      <w:r w:rsidRPr="0025250D">
        <w:rPr>
          <w:rFonts w:hint="cs"/>
          <w:rtl/>
        </w:rPr>
        <w:t xml:space="preserve">، تمایل داریم که به دنبال داستان‌های </w:t>
      </w:r>
      <w:r w:rsidR="00D92F6E" w:rsidRPr="0025250D">
        <w:rPr>
          <w:rFonts w:hint="cs"/>
          <w:rtl/>
        </w:rPr>
        <w:t>بنیان‌افکن</w:t>
      </w:r>
      <w:r w:rsidRPr="0025250D">
        <w:rPr>
          <w:rFonts w:hint="cs"/>
          <w:rtl/>
        </w:rPr>
        <w:t xml:space="preserve"> در ابتدا و به قوی‌ترین شکل باشیم و در مورد آن‌ها با عبارات منفی (به‌عنوان فجایع) و با درامای بسیار زیاد تفکر کنیم. ما همچنین در مورد ریسک‌ها، زیاد اما کاملا پراکنده</w:t>
      </w:r>
      <w:r w:rsidRPr="0025250D">
        <w:rPr>
          <w:rFonts w:hint="cs"/>
        </w:rPr>
        <w:t>‌</w:t>
      </w:r>
      <w:r w:rsidRPr="0025250D">
        <w:rPr>
          <w:rFonts w:hint="cs"/>
          <w:rtl/>
        </w:rPr>
        <w:t xml:space="preserve"> می‌اندیشیم و توجه زیادی به </w:t>
      </w:r>
      <w:r w:rsidR="006335B8" w:rsidRPr="0025250D">
        <w:rPr>
          <w:rtl/>
        </w:rPr>
        <w:t>«</w:t>
      </w:r>
      <w:r w:rsidRPr="0025250D">
        <w:rPr>
          <w:rFonts w:hint="cs"/>
          <w:rtl/>
        </w:rPr>
        <w:t>تهدید‌های روز</w:t>
      </w:r>
      <w:r w:rsidR="006335B8" w:rsidRPr="0025250D">
        <w:rPr>
          <w:rtl/>
        </w:rPr>
        <w:t>»</w:t>
      </w:r>
      <w:r w:rsidRPr="0025250D">
        <w:rPr>
          <w:rFonts w:hint="cs"/>
          <w:rtl/>
        </w:rPr>
        <w:t xml:space="preserve"> و نه تهدید‌هایی </w:t>
      </w:r>
      <w:r w:rsidR="0019766B" w:rsidRPr="0025250D">
        <w:rPr>
          <w:rFonts w:hint="cs"/>
          <w:rtl/>
        </w:rPr>
        <w:t xml:space="preserve">که </w:t>
      </w:r>
      <w:r w:rsidRPr="0025250D">
        <w:rPr>
          <w:rFonts w:hint="cs"/>
          <w:rtl/>
        </w:rPr>
        <w:t>دارای بیش‌ترین ارتباط و احتمال هستند، داریم. تنها آن زمان است که فرصت‌ها و تنها مواردی را که با قضاوت‌های منفی قبلی تناقضی ندارند در نظر</w:t>
      </w:r>
      <w:r w:rsidRPr="0025250D">
        <w:rPr>
          <w:rFonts w:hint="cs"/>
        </w:rPr>
        <w:t>‌</w:t>
      </w:r>
      <w:r w:rsidRPr="0025250D">
        <w:rPr>
          <w:rFonts w:hint="cs"/>
          <w:rtl/>
        </w:rPr>
        <w:t xml:space="preserve"> می‌گیریم. ما کم‌ترین زمان را به ارزیابی مزیت‌های کلیدی جدید (ابزارها، ظرفیت‌ها، ثروت، نوآوری ها) اختصاص</w:t>
      </w:r>
      <w:r w:rsidRPr="0025250D">
        <w:rPr>
          <w:rFonts w:hint="cs"/>
        </w:rPr>
        <w:t>‌</w:t>
      </w:r>
      <w:r w:rsidRPr="0025250D">
        <w:rPr>
          <w:rFonts w:hint="cs"/>
          <w:rtl/>
        </w:rPr>
        <w:t xml:space="preserve"> می‌دهیم، زیرا با دیدگاه منفی ما تناقض دارند.</w:t>
      </w:r>
    </w:p>
    <w:p w14:paraId="054DE8E7" w14:textId="149431CB" w:rsidR="0020732A" w:rsidRPr="0025250D" w:rsidRDefault="005E2258" w:rsidP="009E77BD">
      <w:pPr>
        <w:jc w:val="center"/>
        <w:rPr>
          <w:rtl/>
        </w:rPr>
      </w:pPr>
      <w:r w:rsidRPr="0025250D">
        <w:rPr>
          <w:noProof/>
        </w:rPr>
        <w:lastRenderedPageBreak/>
        <w:drawing>
          <wp:inline distT="0" distB="0" distL="0" distR="0" wp14:anchorId="59E1EAC5" wp14:editId="4F3C06E0">
            <wp:extent cx="4770783" cy="3856163"/>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4777608" cy="3861680"/>
                    </a:xfrm>
                    <a:prstGeom prst="rect">
                      <a:avLst/>
                    </a:prstGeom>
                    <a:noFill/>
                  </pic:spPr>
                </pic:pic>
              </a:graphicData>
            </a:graphic>
          </wp:inline>
        </w:drawing>
      </w:r>
    </w:p>
    <w:p w14:paraId="18ECA84F" w14:textId="77777777" w:rsidR="0020732A" w:rsidRPr="0025250D" w:rsidRDefault="0020732A" w:rsidP="009E77BD">
      <w:pPr>
        <w:jc w:val="center"/>
        <w:rPr>
          <w:rtl/>
        </w:rPr>
      </w:pPr>
      <w:r w:rsidRPr="0025250D">
        <w:rPr>
          <w:rFonts w:hint="cs"/>
          <w:rtl/>
        </w:rPr>
        <w:t xml:space="preserve">گابریل اوتینگن، </w:t>
      </w:r>
      <w:r w:rsidRPr="0025250D">
        <w:rPr>
          <w:rtl/>
        </w:rPr>
        <w:t>بازاند</w:t>
      </w:r>
      <w:r w:rsidRPr="0025250D">
        <w:rPr>
          <w:rFonts w:hint="cs"/>
          <w:rtl/>
        </w:rPr>
        <w:t>ی</w:t>
      </w:r>
      <w:r w:rsidRPr="0025250D">
        <w:rPr>
          <w:rFonts w:hint="eastAsia"/>
          <w:rtl/>
        </w:rPr>
        <w:t>ش</w:t>
      </w:r>
      <w:r w:rsidRPr="0025250D">
        <w:rPr>
          <w:rFonts w:hint="cs"/>
          <w:rtl/>
        </w:rPr>
        <w:t>ی</w:t>
      </w:r>
      <w:r w:rsidRPr="0025250D">
        <w:rPr>
          <w:rtl/>
        </w:rPr>
        <w:t xml:space="preserve"> در تفکر مثبت: علم جد</w:t>
      </w:r>
      <w:r w:rsidRPr="0025250D">
        <w:rPr>
          <w:rFonts w:hint="cs"/>
          <w:rtl/>
        </w:rPr>
        <w:t>ی</w:t>
      </w:r>
      <w:r w:rsidRPr="0025250D">
        <w:rPr>
          <w:rFonts w:hint="eastAsia"/>
          <w:rtl/>
        </w:rPr>
        <w:t>د</w:t>
      </w:r>
      <w:r w:rsidRPr="0025250D">
        <w:rPr>
          <w:rtl/>
        </w:rPr>
        <w:t xml:space="preserve"> انگ</w:t>
      </w:r>
      <w:r w:rsidRPr="0025250D">
        <w:rPr>
          <w:rFonts w:hint="cs"/>
          <w:rtl/>
        </w:rPr>
        <w:t>ی</w:t>
      </w:r>
      <w:r w:rsidRPr="0025250D">
        <w:rPr>
          <w:rFonts w:hint="eastAsia"/>
          <w:rtl/>
        </w:rPr>
        <w:t>زه</w:t>
      </w:r>
      <w:r w:rsidRPr="0025250D">
        <w:rPr>
          <w:rFonts w:hint="cs"/>
          <w:rtl/>
        </w:rPr>
        <w:t>، 2014</w:t>
      </w:r>
    </w:p>
    <w:p w14:paraId="4A018FA1" w14:textId="7BD431AC" w:rsidR="0020732A" w:rsidRPr="0025250D" w:rsidRDefault="0020732A" w:rsidP="0020732A">
      <w:pPr>
        <w:rPr>
          <w:rtl/>
        </w:rPr>
      </w:pPr>
      <w:r w:rsidRPr="0025250D">
        <w:rPr>
          <w:rFonts w:hint="cs"/>
          <w:rtl/>
        </w:rPr>
        <w:t xml:space="preserve">به‌بیان‌دیگر، تمایل داریم که در در مورد هرچیزی به ترتیب </w:t>
      </w:r>
      <w:r w:rsidRPr="0025250D">
        <w:t>DROA</w:t>
      </w:r>
      <w:r w:rsidRPr="0025250D">
        <w:rPr>
          <w:rFonts w:hint="cs"/>
          <w:rtl/>
        </w:rPr>
        <w:t xml:space="preserve"> تفکر کنیم، در حالی که باید به ترتیب </w:t>
      </w:r>
      <w:r w:rsidRPr="0025250D">
        <w:t>ADOR</w:t>
      </w:r>
      <w:r w:rsidRPr="0025250D">
        <w:rPr>
          <w:rFonts w:hint="cs"/>
          <w:rtl/>
        </w:rPr>
        <w:t xml:space="preserve"> تفکر کنیم، مگر در زمان خطر، تناقض یا بحران فوری. بیش‌تر ما دیگر در صحرا همراه با خطراتی که در پشت هر بوته‌ای برای ما کمین کرده</w:t>
      </w:r>
      <w:r w:rsidR="0019766B" w:rsidRPr="0025250D">
        <w:rPr>
          <w:rFonts w:hint="cs"/>
          <w:rtl/>
        </w:rPr>
        <w:t>‌اند</w:t>
      </w:r>
      <w:r w:rsidRPr="0025250D">
        <w:rPr>
          <w:rFonts w:hint="cs"/>
          <w:rtl/>
        </w:rPr>
        <w:t>، زندگی</w:t>
      </w:r>
      <w:r w:rsidR="00EE4B64" w:rsidRPr="0025250D">
        <w:rPr>
          <w:rFonts w:hint="cs"/>
          <w:rtl/>
        </w:rPr>
        <w:t xml:space="preserve"> نمی‌</w:t>
      </w:r>
      <w:r w:rsidRPr="0025250D">
        <w:rPr>
          <w:rFonts w:hint="cs"/>
          <w:rtl/>
        </w:rPr>
        <w:t xml:space="preserve">کنیم. بلکه مزایا و فرصت‌ها در اطراف ما در حال شتاب گرفتن هستند. در حقیقت، امروزه تغییرات مثبت بسیار زیادی در اطراف ما در سطح جهانی در حال رخ دادن هستند، با یک نرخ </w:t>
      </w:r>
      <w:r w:rsidR="007B3B35" w:rsidRPr="0025250D">
        <w:rPr>
          <w:rFonts w:hint="cs"/>
          <w:rtl/>
        </w:rPr>
        <w:t>شتاب‌گیر</w:t>
      </w:r>
      <w:r w:rsidRPr="0025250D">
        <w:rPr>
          <w:rFonts w:hint="cs"/>
          <w:rtl/>
        </w:rPr>
        <w:t xml:space="preserve">نده - و عمدتا برای دیگران، نه برای ما </w:t>
      </w:r>
      <w:r w:rsidRPr="0025250D">
        <w:rPr>
          <w:rFonts w:cs="Times New Roman" w:hint="cs"/>
          <w:rtl/>
        </w:rPr>
        <w:t>–</w:t>
      </w:r>
      <w:r w:rsidRPr="0025250D">
        <w:rPr>
          <w:rFonts w:hint="cs"/>
          <w:rtl/>
        </w:rPr>
        <w:t xml:space="preserve"> که عدم ارزیابی فرصت‌های بالقوه آن‌ها (و درصورت مرتبط بودن </w:t>
      </w:r>
      <w:r w:rsidR="00701E03" w:rsidRPr="0025250D">
        <w:rPr>
          <w:rFonts w:hint="cs"/>
          <w:rtl/>
        </w:rPr>
        <w:t>راهبرد</w:t>
      </w:r>
      <w:r w:rsidRPr="0025250D">
        <w:rPr>
          <w:rFonts w:hint="cs"/>
          <w:rtl/>
        </w:rPr>
        <w:t xml:space="preserve">، ریسک ها) به شدت توانایی ما برای دیدن ابزارها، پلتفرم‌ها، سیاست‌ها، </w:t>
      </w:r>
      <w:r w:rsidR="00701E03" w:rsidRPr="0025250D">
        <w:rPr>
          <w:rFonts w:hint="cs"/>
          <w:rtl/>
        </w:rPr>
        <w:t>راهبرد</w:t>
      </w:r>
      <w:r w:rsidRPr="0025250D">
        <w:rPr>
          <w:rFonts w:hint="cs"/>
          <w:rtl/>
        </w:rPr>
        <w:t>‌ها و همکاری‌هایی را که</w:t>
      </w:r>
      <w:r w:rsidRPr="0025250D">
        <w:rPr>
          <w:rFonts w:hint="cs"/>
        </w:rPr>
        <w:t>‌</w:t>
      </w:r>
      <w:r w:rsidRPr="0025250D">
        <w:rPr>
          <w:rFonts w:hint="cs"/>
          <w:rtl/>
        </w:rPr>
        <w:t xml:space="preserve"> می‌توانند به ما برای </w:t>
      </w:r>
      <w:r w:rsidR="00AE5BE0" w:rsidRPr="0025250D">
        <w:rPr>
          <w:rFonts w:hint="cs"/>
          <w:rtl/>
        </w:rPr>
        <w:t>انطباق</w:t>
      </w:r>
      <w:r w:rsidRPr="0025250D">
        <w:rPr>
          <w:rFonts w:hint="cs"/>
          <w:rtl/>
        </w:rPr>
        <w:t xml:space="preserve"> بهتر کمک کنند، کاهش</w:t>
      </w:r>
      <w:r w:rsidRPr="0025250D">
        <w:rPr>
          <w:rFonts w:hint="cs"/>
        </w:rPr>
        <w:t>‌</w:t>
      </w:r>
      <w:r w:rsidRPr="0025250D">
        <w:rPr>
          <w:rFonts w:hint="cs"/>
          <w:rtl/>
        </w:rPr>
        <w:t xml:space="preserve"> می‌دهد.</w:t>
      </w:r>
    </w:p>
    <w:p w14:paraId="38EFDE6B" w14:textId="6AC21125" w:rsidR="0020732A" w:rsidRPr="0025250D" w:rsidRDefault="0020732A" w:rsidP="0020732A">
      <w:pPr>
        <w:rPr>
          <w:rtl/>
        </w:rPr>
      </w:pPr>
      <w:r w:rsidRPr="0025250D">
        <w:rPr>
          <w:rFonts w:hint="cs"/>
          <w:rtl/>
        </w:rPr>
        <w:t xml:space="preserve">بار دیگر، مطالعات </w:t>
      </w:r>
      <w:r w:rsidRPr="0025250D">
        <w:rPr>
          <w:rtl/>
        </w:rPr>
        <w:t>اوت</w:t>
      </w:r>
      <w:r w:rsidRPr="0025250D">
        <w:rPr>
          <w:rFonts w:hint="cs"/>
          <w:rtl/>
        </w:rPr>
        <w:t>ی</w:t>
      </w:r>
      <w:r w:rsidRPr="0025250D">
        <w:rPr>
          <w:rFonts w:hint="eastAsia"/>
          <w:rtl/>
        </w:rPr>
        <w:t>نگن</w:t>
      </w:r>
      <w:r w:rsidRPr="0025250D">
        <w:rPr>
          <w:rFonts w:hint="cs"/>
          <w:rtl/>
        </w:rPr>
        <w:t xml:space="preserve"> نشان</w:t>
      </w:r>
      <w:r w:rsidRPr="0025250D">
        <w:rPr>
          <w:rFonts w:hint="cs"/>
        </w:rPr>
        <w:t>‌</w:t>
      </w:r>
      <w:r w:rsidRPr="0025250D">
        <w:rPr>
          <w:rFonts w:hint="cs"/>
          <w:rtl/>
        </w:rPr>
        <w:t xml:space="preserve"> می‌دهند که وقتی با </w:t>
      </w:r>
      <w:r w:rsidR="00E46C90" w:rsidRPr="0025250D">
        <w:rPr>
          <w:rFonts w:hint="cs"/>
          <w:rtl/>
        </w:rPr>
        <w:t>سوگیری منفی‌نگر</w:t>
      </w:r>
      <w:r w:rsidRPr="0025250D">
        <w:rPr>
          <w:rFonts w:hint="cs"/>
          <w:rtl/>
        </w:rPr>
        <w:t xml:space="preserve"> مبارزه کرده و بجای آن ابتدا با موارد مثبت آغاز کرده و سپس موارد منفی مرتبط با آن موارد مثبت را در نظر بگیریم، </w:t>
      </w:r>
      <w:r w:rsidRPr="0025250D">
        <w:rPr>
          <w:rtl/>
        </w:rPr>
        <w:t>آینده‌نگاری</w:t>
      </w:r>
      <w:r w:rsidRPr="0025250D">
        <w:rPr>
          <w:rFonts w:hint="cs"/>
          <w:rtl/>
        </w:rPr>
        <w:t xml:space="preserve"> ما</w:t>
      </w:r>
      <w:r w:rsidRPr="0025250D">
        <w:rPr>
          <w:rFonts w:hint="cs"/>
        </w:rPr>
        <w:t>‌</w:t>
      </w:r>
      <w:r w:rsidRPr="0025250D">
        <w:rPr>
          <w:rFonts w:hint="cs"/>
          <w:rtl/>
        </w:rPr>
        <w:t xml:space="preserve"> می‌تواند دو برابر مؤثرتر باشد و برنامه‌های ما دو برابر پرثمرتر باشند. استفاده از تحلیل </w:t>
      </w:r>
      <w:r w:rsidRPr="0025250D">
        <w:t>ADOR</w:t>
      </w:r>
      <w:r w:rsidRPr="0025250D">
        <w:rPr>
          <w:rFonts w:hint="cs"/>
        </w:rPr>
        <w:t>‌</w:t>
      </w:r>
      <w:r w:rsidRPr="0025250D">
        <w:rPr>
          <w:rFonts w:hint="cs"/>
          <w:rtl/>
        </w:rPr>
        <w:t xml:space="preserve"> می‌تواند در اینجا به ما به شدت کمک کند. به یاد داشته باشید که در تحلیل </w:t>
      </w:r>
      <w:r w:rsidRPr="0025250D">
        <w:t>ADOR</w:t>
      </w:r>
      <w:r w:rsidRPr="0025250D">
        <w:rPr>
          <w:rFonts w:hint="cs"/>
          <w:rtl/>
        </w:rPr>
        <w:t>، ما در ابتدا به دنبال پیشرفت مثبت در محیط خود هستیم (مزیت، برای دیگران)، سپس تغییرات اجباری (</w:t>
      </w:r>
      <w:r w:rsidR="00D92F6E" w:rsidRPr="0025250D">
        <w:rPr>
          <w:rFonts w:hint="cs"/>
          <w:rtl/>
        </w:rPr>
        <w:t>بنیان‌افکن</w:t>
      </w:r>
      <w:r w:rsidRPr="0025250D">
        <w:rPr>
          <w:rFonts w:hint="cs"/>
          <w:rtl/>
        </w:rPr>
        <w:t>) را که برای برخی مثبت و برای دیگران منفی هستند در نظر</w:t>
      </w:r>
      <w:r w:rsidRPr="0025250D">
        <w:rPr>
          <w:rFonts w:hint="cs"/>
        </w:rPr>
        <w:t>‌</w:t>
      </w:r>
      <w:r w:rsidRPr="0025250D">
        <w:rPr>
          <w:rFonts w:hint="cs"/>
          <w:rtl/>
        </w:rPr>
        <w:t xml:space="preserve"> می‌گیریم و </w:t>
      </w:r>
      <w:r w:rsidR="0019766B" w:rsidRPr="0025250D">
        <w:rPr>
          <w:rFonts w:hint="cs"/>
          <w:rtl/>
        </w:rPr>
        <w:t>بعد</w:t>
      </w:r>
      <w:r w:rsidRPr="0025250D">
        <w:rPr>
          <w:rFonts w:hint="cs"/>
          <w:rtl/>
        </w:rPr>
        <w:t xml:space="preserve"> </w:t>
      </w:r>
      <w:r w:rsidR="00B56611" w:rsidRPr="0025250D">
        <w:rPr>
          <w:rFonts w:hint="cs"/>
          <w:rtl/>
        </w:rPr>
        <w:t>چشم‌انداز</w:t>
      </w:r>
      <w:r w:rsidRPr="0025250D">
        <w:rPr>
          <w:rFonts w:hint="cs"/>
          <w:rtl/>
        </w:rPr>
        <w:t xml:space="preserve"> مثبتی برای خود (فرصت) ایجاد</w:t>
      </w:r>
      <w:r w:rsidRPr="0025250D">
        <w:rPr>
          <w:rFonts w:hint="cs"/>
        </w:rPr>
        <w:t>‌</w:t>
      </w:r>
      <w:r w:rsidRPr="0025250D">
        <w:rPr>
          <w:rFonts w:hint="cs"/>
          <w:rtl/>
        </w:rPr>
        <w:t xml:space="preserve"> می‌کنیم و تنها آن زمان است که تهدید‌ها و موانع را برای آن </w:t>
      </w:r>
      <w:r w:rsidR="00B56611" w:rsidRPr="0025250D">
        <w:rPr>
          <w:rFonts w:hint="cs"/>
          <w:rtl/>
        </w:rPr>
        <w:t>چشم‌انداز</w:t>
      </w:r>
      <w:r w:rsidRPr="0025250D">
        <w:rPr>
          <w:rFonts w:hint="cs"/>
          <w:rtl/>
        </w:rPr>
        <w:t xml:space="preserve"> (ریسک ها) ارزیابی</w:t>
      </w:r>
      <w:r w:rsidRPr="0025250D">
        <w:rPr>
          <w:rFonts w:hint="cs"/>
        </w:rPr>
        <w:t>‌</w:t>
      </w:r>
      <w:r w:rsidRPr="0025250D">
        <w:rPr>
          <w:rFonts w:hint="cs"/>
          <w:rtl/>
        </w:rPr>
        <w:t xml:space="preserve"> می‌کنیم. به این شکل است که </w:t>
      </w:r>
      <w:r w:rsidR="00701E03" w:rsidRPr="0025250D">
        <w:rPr>
          <w:rFonts w:hint="cs"/>
          <w:rtl/>
        </w:rPr>
        <w:t>راهبرد</w:t>
      </w:r>
      <w:r w:rsidRPr="0025250D">
        <w:rPr>
          <w:rFonts w:hint="cs"/>
          <w:rtl/>
        </w:rPr>
        <w:t xml:space="preserve"> متمرکز و پیشرفت سریع را ایجاد</w:t>
      </w:r>
      <w:r w:rsidRPr="0025250D">
        <w:rPr>
          <w:rFonts w:hint="cs"/>
        </w:rPr>
        <w:t>‌</w:t>
      </w:r>
      <w:r w:rsidRPr="0025250D">
        <w:rPr>
          <w:rFonts w:hint="cs"/>
          <w:rtl/>
        </w:rPr>
        <w:t xml:space="preserve"> می‌نماییم. توسط موارد غیر مرتبط منحرف</w:t>
      </w:r>
      <w:r w:rsidR="00EE4B64" w:rsidRPr="0025250D">
        <w:rPr>
          <w:rFonts w:hint="cs"/>
          <w:rtl/>
        </w:rPr>
        <w:t xml:space="preserve"> نمی‌</w:t>
      </w:r>
      <w:r w:rsidRPr="0025250D">
        <w:rPr>
          <w:rFonts w:hint="cs"/>
          <w:rtl/>
        </w:rPr>
        <w:t>شویم.</w:t>
      </w:r>
    </w:p>
    <w:p w14:paraId="65347AEC" w14:textId="769084B8" w:rsidR="0020732A" w:rsidRPr="0025250D" w:rsidRDefault="00E46C90" w:rsidP="0020732A">
      <w:pPr>
        <w:rPr>
          <w:rtl/>
        </w:rPr>
      </w:pPr>
      <w:r w:rsidRPr="0025250D">
        <w:rPr>
          <w:rFonts w:hint="cs"/>
          <w:rtl/>
        </w:rPr>
        <w:t>سوگیری منفی‌نگر</w:t>
      </w:r>
      <w:r w:rsidR="0020732A" w:rsidRPr="0025250D">
        <w:rPr>
          <w:rFonts w:hint="cs"/>
          <w:rtl/>
        </w:rPr>
        <w:t xml:space="preserve"> دلیل این است که محبوب‌ترین پلتفرم‌های خبری ما بیش‌ترین توجه را به </w:t>
      </w:r>
      <w:r w:rsidR="00D92F6E" w:rsidRPr="0025250D">
        <w:rPr>
          <w:rFonts w:hint="cs"/>
          <w:rtl/>
        </w:rPr>
        <w:t>بنیان‌افکن</w:t>
      </w:r>
      <w:r w:rsidR="0020732A" w:rsidRPr="0025250D">
        <w:rPr>
          <w:rFonts w:hint="cs"/>
          <w:rtl/>
        </w:rPr>
        <w:t>ی‌ها و فجایع اختصاص</w:t>
      </w:r>
      <w:r w:rsidR="0020732A" w:rsidRPr="0025250D">
        <w:rPr>
          <w:rFonts w:hint="cs"/>
        </w:rPr>
        <w:t>‌</w:t>
      </w:r>
      <w:r w:rsidR="0020732A" w:rsidRPr="0025250D">
        <w:rPr>
          <w:rFonts w:hint="cs"/>
          <w:rtl/>
        </w:rPr>
        <w:t xml:space="preserve"> می‌دهند</w:t>
      </w:r>
      <w:r w:rsidR="0019766B" w:rsidRPr="0025250D">
        <w:rPr>
          <w:rFonts w:hint="cs"/>
          <w:rtl/>
        </w:rPr>
        <w:t>؛</w:t>
      </w:r>
      <w:r w:rsidR="0020732A" w:rsidRPr="0025250D">
        <w:rPr>
          <w:rFonts w:hint="cs"/>
          <w:rtl/>
        </w:rPr>
        <w:t xml:space="preserve"> موارد خارج از محدوده</w:t>
      </w:r>
      <w:r w:rsidR="0020732A" w:rsidRPr="0025250D">
        <w:rPr>
          <w:vertAlign w:val="superscript"/>
          <w:rtl/>
        </w:rPr>
        <w:footnoteReference w:id="732"/>
      </w:r>
      <w:r w:rsidR="0020732A" w:rsidRPr="0025250D">
        <w:rPr>
          <w:rFonts w:hint="cs"/>
          <w:rtl/>
        </w:rPr>
        <w:t xml:space="preserve"> یا در مکان‌های دور یا غیر مرتبطی که بعید است بر ما اثر گذار باشند. ما هیچگاه مسائل یا هر مدل </w:t>
      </w:r>
      <w:r w:rsidR="007118DE" w:rsidRPr="0025250D">
        <w:rPr>
          <w:rFonts w:hint="cs"/>
          <w:rtl/>
        </w:rPr>
        <w:t>اولویت‌بندی</w:t>
      </w:r>
      <w:r w:rsidR="0020732A" w:rsidRPr="0025250D">
        <w:rPr>
          <w:rFonts w:hint="cs"/>
          <w:rtl/>
        </w:rPr>
        <w:t xml:space="preserve"> شده‌ای از این مسائل و مشکلات را بر اساس شدت واقعی و تکرر آن‌ها پوشش</w:t>
      </w:r>
      <w:r w:rsidR="00EE4B64" w:rsidRPr="0025250D">
        <w:rPr>
          <w:rFonts w:hint="cs"/>
          <w:rtl/>
        </w:rPr>
        <w:t xml:space="preserve"> نمی‌</w:t>
      </w:r>
      <w:r w:rsidR="0020732A" w:rsidRPr="0025250D">
        <w:rPr>
          <w:rFonts w:hint="cs"/>
          <w:rtl/>
        </w:rPr>
        <w:t>دهیم. ما سطح بعدی توجه خود را به ریسک‌های ممکن اختصاص</w:t>
      </w:r>
      <w:r w:rsidR="0020732A" w:rsidRPr="0025250D">
        <w:rPr>
          <w:rFonts w:hint="cs"/>
        </w:rPr>
        <w:t>‌</w:t>
      </w:r>
      <w:r w:rsidR="0020732A" w:rsidRPr="0025250D">
        <w:rPr>
          <w:rFonts w:hint="cs"/>
          <w:rtl/>
        </w:rPr>
        <w:t xml:space="preserve"> می‌دهیم، اگرچه تمایل داریم مواردی را که بیش از همه به ما مرتبط هستند نادیده بگیریم و آن‌ها را کم‌تر از حد ارزششان ارزیابی کنیم. ما حتی توجه</w:t>
      </w:r>
      <w:r w:rsidR="00BB406C" w:rsidRPr="0025250D">
        <w:rPr>
          <w:rFonts w:hint="cs"/>
          <w:rtl/>
        </w:rPr>
        <w:t xml:space="preserve"> کم‌تر</w:t>
      </w:r>
      <w:r w:rsidR="0020732A" w:rsidRPr="0025250D">
        <w:rPr>
          <w:rFonts w:hint="cs"/>
          <w:rtl/>
        </w:rPr>
        <w:t>ی به فرصت‌های ممکن برای خودمان داریم و در نتیجه بسیاری از آن‌ها را از دست</w:t>
      </w:r>
      <w:r w:rsidR="0020732A" w:rsidRPr="0025250D">
        <w:rPr>
          <w:rFonts w:hint="cs"/>
        </w:rPr>
        <w:t>‌</w:t>
      </w:r>
      <w:r w:rsidR="0020732A" w:rsidRPr="0025250D">
        <w:rPr>
          <w:rFonts w:hint="cs"/>
          <w:rtl/>
        </w:rPr>
        <w:t xml:space="preserve"> می‌دهیم. ما کم‌ترین توجه را به مزایای جدیدی داریم </w:t>
      </w:r>
      <w:r w:rsidR="0020732A" w:rsidRPr="0025250D">
        <w:rPr>
          <w:rFonts w:hint="cs"/>
          <w:rtl/>
        </w:rPr>
        <w:lastRenderedPageBreak/>
        <w:t>که برای دیگران رخ</w:t>
      </w:r>
      <w:r w:rsidR="0020732A" w:rsidRPr="0025250D">
        <w:rPr>
          <w:rFonts w:hint="cs"/>
        </w:rPr>
        <w:t>‌</w:t>
      </w:r>
      <w:r w:rsidR="0020732A" w:rsidRPr="0025250D">
        <w:rPr>
          <w:rFonts w:hint="cs"/>
          <w:rtl/>
        </w:rPr>
        <w:t xml:space="preserve"> می‌دهند، زیرا این موارد</w:t>
      </w:r>
      <w:r w:rsidR="0020732A" w:rsidRPr="0025250D">
        <w:rPr>
          <w:rFonts w:hint="cs"/>
        </w:rPr>
        <w:t>‌</w:t>
      </w:r>
      <w:r w:rsidR="0020732A" w:rsidRPr="0025250D">
        <w:rPr>
          <w:rFonts w:hint="cs"/>
          <w:rtl/>
        </w:rPr>
        <w:t xml:space="preserve"> می‌توانند حسادت، عصبانیت و احساس حقارت ایجاد کنند. گزارش دادن موفقیت‌ها و دستاورد‌های دیگران راه خوبی برای حفظ یک مخاطب برای بلند مدت نیست. کتاب </w:t>
      </w:r>
      <w:r w:rsidR="006335B8" w:rsidRPr="0025250D">
        <w:rPr>
          <w:rtl/>
        </w:rPr>
        <w:t>«</w:t>
      </w:r>
      <w:r w:rsidR="0020732A" w:rsidRPr="0025250D">
        <w:rPr>
          <w:rFonts w:hint="cs"/>
          <w:rtl/>
        </w:rPr>
        <w:t>تاجران توجه: نبرد حماسی برای وارد شدن به ذهن‌های ما</w:t>
      </w:r>
      <w:r w:rsidR="0020732A" w:rsidRPr="0025250D">
        <w:rPr>
          <w:vertAlign w:val="superscript"/>
          <w:rtl/>
        </w:rPr>
        <w:footnoteReference w:id="733"/>
      </w:r>
      <w:r w:rsidR="006335B8" w:rsidRPr="0025250D">
        <w:rPr>
          <w:rtl/>
        </w:rPr>
        <w:t>»</w:t>
      </w:r>
      <w:r w:rsidR="0019766B" w:rsidRPr="0025250D">
        <w:rPr>
          <w:rFonts w:hint="cs"/>
          <w:rtl/>
        </w:rPr>
        <w:t xml:space="preserve"> در سال</w:t>
      </w:r>
      <w:r w:rsidR="0020732A" w:rsidRPr="0025250D">
        <w:rPr>
          <w:rFonts w:hint="cs"/>
          <w:rtl/>
        </w:rPr>
        <w:t xml:space="preserve"> 2010، اثر </w:t>
      </w:r>
      <w:r w:rsidR="0020732A" w:rsidRPr="0025250D">
        <w:rPr>
          <w:rtl/>
        </w:rPr>
        <w:t>ت</w:t>
      </w:r>
      <w:r w:rsidR="0020732A" w:rsidRPr="0025250D">
        <w:rPr>
          <w:rFonts w:hint="cs"/>
          <w:rtl/>
        </w:rPr>
        <w:t>ی</w:t>
      </w:r>
      <w:r w:rsidR="0020732A" w:rsidRPr="0025250D">
        <w:rPr>
          <w:rFonts w:hint="eastAsia"/>
          <w:rtl/>
        </w:rPr>
        <w:t>م</w:t>
      </w:r>
      <w:r w:rsidR="0020732A" w:rsidRPr="0025250D">
        <w:rPr>
          <w:rtl/>
        </w:rPr>
        <w:t xml:space="preserve"> وو</w:t>
      </w:r>
      <w:r w:rsidR="0020732A" w:rsidRPr="0025250D">
        <w:rPr>
          <w:vertAlign w:val="superscript"/>
          <w:rtl/>
        </w:rPr>
        <w:footnoteReference w:id="734"/>
      </w:r>
      <w:r w:rsidR="0020732A" w:rsidRPr="0025250D">
        <w:rPr>
          <w:rFonts w:hint="cs"/>
          <w:rtl/>
        </w:rPr>
        <w:t>، روش‌های مورد استفاده برای منحرف کردن ما از مفید‌ترین اخبار و سرگرم شدن با داستان‌های درامای ساختگی را با جزئیات بیان</w:t>
      </w:r>
      <w:r w:rsidR="0020732A" w:rsidRPr="0025250D">
        <w:rPr>
          <w:rFonts w:hint="cs"/>
        </w:rPr>
        <w:t>‌</w:t>
      </w:r>
      <w:r w:rsidR="0020732A" w:rsidRPr="0025250D">
        <w:rPr>
          <w:rFonts w:hint="cs"/>
          <w:rtl/>
        </w:rPr>
        <w:t xml:space="preserve"> می‌کند. داستان کلاسیک </w:t>
      </w:r>
      <w:r w:rsidR="0020732A" w:rsidRPr="0025250D">
        <w:rPr>
          <w:rtl/>
        </w:rPr>
        <w:t>جول</w:t>
      </w:r>
      <w:r w:rsidR="0020732A" w:rsidRPr="0025250D">
        <w:rPr>
          <w:rFonts w:hint="cs"/>
          <w:rtl/>
        </w:rPr>
        <w:t>ی</w:t>
      </w:r>
      <w:r w:rsidR="0020732A" w:rsidRPr="0025250D">
        <w:rPr>
          <w:rFonts w:hint="eastAsia"/>
          <w:rtl/>
        </w:rPr>
        <w:t>ان</w:t>
      </w:r>
      <w:r w:rsidR="0020732A" w:rsidRPr="0025250D">
        <w:rPr>
          <w:rtl/>
        </w:rPr>
        <w:t xml:space="preserve"> س</w:t>
      </w:r>
      <w:r w:rsidR="0020732A" w:rsidRPr="0025250D">
        <w:rPr>
          <w:rFonts w:hint="cs"/>
          <w:rtl/>
        </w:rPr>
        <w:t>ی</w:t>
      </w:r>
      <w:r w:rsidR="0020732A" w:rsidRPr="0025250D">
        <w:rPr>
          <w:rFonts w:hint="eastAsia"/>
          <w:rtl/>
        </w:rPr>
        <w:t>مون</w:t>
      </w:r>
      <w:r w:rsidR="0020732A" w:rsidRPr="0025250D">
        <w:rPr>
          <w:vertAlign w:val="superscript"/>
          <w:rtl/>
        </w:rPr>
        <w:footnoteReference w:id="735"/>
      </w:r>
      <w:r w:rsidR="0019766B" w:rsidRPr="0025250D">
        <w:rPr>
          <w:rFonts w:hint="cs"/>
          <w:rtl/>
        </w:rPr>
        <w:t xml:space="preserve"> با عنوان</w:t>
      </w:r>
      <w:r w:rsidR="0020732A" w:rsidRPr="0025250D">
        <w:rPr>
          <w:rFonts w:hint="cs"/>
          <w:rtl/>
        </w:rPr>
        <w:t xml:space="preserve"> فریب دادن ملت</w:t>
      </w:r>
      <w:r w:rsidR="0020732A" w:rsidRPr="0025250D">
        <w:rPr>
          <w:vertAlign w:val="superscript"/>
          <w:rtl/>
        </w:rPr>
        <w:footnoteReference w:id="736"/>
      </w:r>
      <w:r w:rsidR="0019766B" w:rsidRPr="0025250D">
        <w:rPr>
          <w:rFonts w:hint="cs"/>
          <w:rtl/>
        </w:rPr>
        <w:t xml:space="preserve"> در سال</w:t>
      </w:r>
      <w:r w:rsidR="0020732A" w:rsidRPr="0025250D">
        <w:rPr>
          <w:rFonts w:hint="cs"/>
          <w:rtl/>
        </w:rPr>
        <w:t xml:space="preserve"> 1999، توضیح</w:t>
      </w:r>
      <w:r w:rsidR="0020732A" w:rsidRPr="0025250D">
        <w:rPr>
          <w:rFonts w:hint="cs"/>
        </w:rPr>
        <w:t>‌</w:t>
      </w:r>
      <w:r w:rsidR="0020732A" w:rsidRPr="0025250D">
        <w:rPr>
          <w:rFonts w:hint="cs"/>
          <w:rtl/>
        </w:rPr>
        <w:t xml:space="preserve"> می‌دهد که چگونه رسانه‌ها، متخصصین</w:t>
      </w:r>
      <w:r w:rsidR="008D6F97" w:rsidRPr="0025250D">
        <w:rPr>
          <w:rtl/>
        </w:rPr>
        <w:t xml:space="preserve"> </w:t>
      </w:r>
      <w:r w:rsidR="0020732A" w:rsidRPr="0025250D">
        <w:rPr>
          <w:rFonts w:hint="cs"/>
          <w:rtl/>
        </w:rPr>
        <w:t>و سیاست مداران از اضطراب‌های طبیعی ما نسبت به دستاورد شخصیمان بهره برداری</w:t>
      </w:r>
      <w:r w:rsidR="0020732A" w:rsidRPr="0025250D">
        <w:rPr>
          <w:rFonts w:hint="cs"/>
        </w:rPr>
        <w:t>‌</w:t>
      </w:r>
      <w:r w:rsidR="0020732A" w:rsidRPr="0025250D">
        <w:rPr>
          <w:rFonts w:hint="cs"/>
          <w:rtl/>
        </w:rPr>
        <w:t xml:space="preserve"> می‌کنند. ما همچنین قربانی این سوگیری در چگونگی پرورش فرزندانمان نیز</w:t>
      </w:r>
      <w:r w:rsidR="0020732A" w:rsidRPr="0025250D">
        <w:rPr>
          <w:rFonts w:hint="cs"/>
        </w:rPr>
        <w:t>‌</w:t>
      </w:r>
      <w:r w:rsidR="0020732A" w:rsidRPr="0025250D">
        <w:rPr>
          <w:rFonts w:hint="cs"/>
          <w:rtl/>
        </w:rPr>
        <w:t xml:space="preserve"> می‌شویم؛ در مواردی که بیش‌ازحد در مورد فرزندانمان محتاط و محافظ هستیم و آن‌ها را بر اجتناب از ریسک، به جای پذیرش ریسک‌های حساب شده برای کسب مزایای جدید، متمرکز</w:t>
      </w:r>
      <w:r w:rsidR="0020732A" w:rsidRPr="0025250D">
        <w:rPr>
          <w:rFonts w:hint="cs"/>
        </w:rPr>
        <w:t>‌</w:t>
      </w:r>
      <w:r w:rsidR="0020732A" w:rsidRPr="0025250D">
        <w:rPr>
          <w:rFonts w:hint="cs"/>
          <w:rtl/>
        </w:rPr>
        <w:t xml:space="preserve"> می‌کنیم. ما در جوامع خود وقتی به سوی ایمنی</w:t>
      </w:r>
      <w:r w:rsidR="0020732A" w:rsidRPr="0025250D">
        <w:rPr>
          <w:rtl/>
        </w:rPr>
        <w:t xml:space="preserve"> </w:t>
      </w:r>
      <w:r w:rsidR="0020732A" w:rsidRPr="0025250D">
        <w:rPr>
          <w:rFonts w:hint="cs"/>
          <w:rtl/>
        </w:rPr>
        <w:t>گرایی</w:t>
      </w:r>
      <w:r w:rsidR="0020732A" w:rsidRPr="0025250D">
        <w:rPr>
          <w:vertAlign w:val="superscript"/>
          <w:rtl/>
        </w:rPr>
        <w:footnoteReference w:id="737"/>
      </w:r>
      <w:r w:rsidR="0020732A" w:rsidRPr="0025250D">
        <w:rPr>
          <w:rFonts w:hint="cs"/>
          <w:rtl/>
        </w:rPr>
        <w:t xml:space="preserve"> عقب نشینی</w:t>
      </w:r>
      <w:r w:rsidR="0020732A" w:rsidRPr="0025250D">
        <w:rPr>
          <w:rFonts w:hint="cs"/>
        </w:rPr>
        <w:t>‌</w:t>
      </w:r>
      <w:r w:rsidR="0020732A" w:rsidRPr="0025250D">
        <w:rPr>
          <w:rFonts w:hint="cs"/>
          <w:rtl/>
        </w:rPr>
        <w:t xml:space="preserve"> می‌کنیم و توهمی نادرست از امنیت را با ایجاد هنجارها، مقررات و مجازات</w:t>
      </w:r>
      <w:r w:rsidR="0020732A" w:rsidRPr="0025250D">
        <w:rPr>
          <w:rtl/>
        </w:rPr>
        <w:t xml:space="preserve">‌های </w:t>
      </w:r>
      <w:r w:rsidR="0020732A" w:rsidRPr="0025250D">
        <w:rPr>
          <w:rFonts w:hint="cs"/>
          <w:rtl/>
        </w:rPr>
        <w:t>مدنی بیش‌ازحد محدود کننده دنبال</w:t>
      </w:r>
      <w:r w:rsidR="0020732A" w:rsidRPr="0025250D">
        <w:rPr>
          <w:rFonts w:hint="cs"/>
        </w:rPr>
        <w:t>‌</w:t>
      </w:r>
      <w:r w:rsidR="0020732A" w:rsidRPr="0025250D">
        <w:rPr>
          <w:rFonts w:hint="cs"/>
          <w:rtl/>
        </w:rPr>
        <w:t xml:space="preserve"> می‌کنیم که ریسک پذیری، آزمایش، شکست و نوآوری را سست</w:t>
      </w:r>
      <w:r w:rsidR="0020732A" w:rsidRPr="0025250D">
        <w:rPr>
          <w:rFonts w:hint="cs"/>
        </w:rPr>
        <w:t>‌</w:t>
      </w:r>
      <w:r w:rsidR="0020732A" w:rsidRPr="0025250D">
        <w:rPr>
          <w:rFonts w:hint="cs"/>
          <w:rtl/>
        </w:rPr>
        <w:t xml:space="preserve"> می‌کنند، قربانی این طرز فکر</w:t>
      </w:r>
      <w:r w:rsidR="0020732A" w:rsidRPr="0025250D">
        <w:rPr>
          <w:rFonts w:hint="cs"/>
        </w:rPr>
        <w:t>‌</w:t>
      </w:r>
      <w:r w:rsidR="0020732A" w:rsidRPr="0025250D">
        <w:rPr>
          <w:rFonts w:hint="cs"/>
          <w:rtl/>
        </w:rPr>
        <w:t xml:space="preserve"> می‌شویم.</w:t>
      </w:r>
    </w:p>
    <w:p w14:paraId="295C9796" w14:textId="57B5261B" w:rsidR="0020732A" w:rsidRPr="0025250D" w:rsidRDefault="0020732A" w:rsidP="0020732A">
      <w:pPr>
        <w:rPr>
          <w:rtl/>
        </w:rPr>
      </w:pPr>
      <w:r w:rsidRPr="0025250D">
        <w:rPr>
          <w:rFonts w:hint="cs"/>
          <w:rtl/>
        </w:rPr>
        <w:t xml:space="preserve">همچنین وقتی دارای یک سوگیری </w:t>
      </w:r>
      <w:r w:rsidRPr="0025250D">
        <w:t>DROA</w:t>
      </w:r>
      <w:r w:rsidRPr="0025250D">
        <w:rPr>
          <w:rFonts w:hint="cs"/>
          <w:rtl/>
        </w:rPr>
        <w:t xml:space="preserve"> هستیم، در دیدن مزایایی که در اطراف ما قرار دارند بسیار ناتوان هستیم. ما همه ابزارها، خدمات و همه راه‌های جدید بهبود زندگی برای دیگران در بافت‌های مختلف را نادیده</w:t>
      </w:r>
      <w:r w:rsidRPr="0025250D">
        <w:rPr>
          <w:rFonts w:hint="cs"/>
        </w:rPr>
        <w:t>‌</w:t>
      </w:r>
      <w:r w:rsidRPr="0025250D">
        <w:rPr>
          <w:rFonts w:hint="cs"/>
          <w:rtl/>
        </w:rPr>
        <w:t xml:space="preserve"> می‌گیریم. وقتی هم برتری‌ها و مزایا را تشخیص دهیم، تمایل داریم بر روی داستان‌های موفقیت خارج از محدوده</w:t>
      </w:r>
      <w:r w:rsidRPr="0025250D">
        <w:rPr>
          <w:vertAlign w:val="superscript"/>
          <w:rtl/>
        </w:rPr>
        <w:footnoteReference w:id="738"/>
      </w:r>
      <w:r w:rsidRPr="0025250D">
        <w:rPr>
          <w:rFonts w:hint="cs"/>
          <w:rtl/>
        </w:rPr>
        <w:t xml:space="preserve"> که اغلب نکات آموزشی اندکی برای ما دارند، متمرکز</w:t>
      </w:r>
      <w:r w:rsidRPr="0025250D">
        <w:rPr>
          <w:rFonts w:hint="cs"/>
        </w:rPr>
        <w:t>‌</w:t>
      </w:r>
      <w:r w:rsidR="0019766B" w:rsidRPr="0025250D">
        <w:rPr>
          <w:rFonts w:hint="cs"/>
          <w:rtl/>
        </w:rPr>
        <w:t xml:space="preserve"> </w:t>
      </w:r>
      <w:r w:rsidRPr="0025250D">
        <w:rPr>
          <w:rFonts w:hint="cs"/>
          <w:rtl/>
        </w:rPr>
        <w:t>‌شویم. بجای این کار باید به دنبال توجه به و یادگیری از افرادی باشیم که چیز‌های کوچک زیادی را بهتر از ما انجام</w:t>
      </w:r>
      <w:r w:rsidRPr="0025250D">
        <w:rPr>
          <w:rFonts w:hint="cs"/>
        </w:rPr>
        <w:t>‌</w:t>
      </w:r>
      <w:r w:rsidRPr="0025250D">
        <w:rPr>
          <w:rFonts w:hint="cs"/>
          <w:rtl/>
        </w:rPr>
        <w:t xml:space="preserve"> می‌دهند، افرادی که مسائل و مشکلات را حل</w:t>
      </w:r>
      <w:r w:rsidRPr="0025250D">
        <w:rPr>
          <w:rFonts w:hint="cs"/>
        </w:rPr>
        <w:t>‌</w:t>
      </w:r>
      <w:r w:rsidRPr="0025250D">
        <w:rPr>
          <w:rFonts w:hint="cs"/>
          <w:rtl/>
        </w:rPr>
        <w:t xml:space="preserve"> می‌کنند، قوانین، ظرفیت‌ها، تخصص‌ها و همکاری‌های جدیدی را ایجاد</w:t>
      </w:r>
      <w:r w:rsidRPr="0025250D">
        <w:rPr>
          <w:rFonts w:hint="cs"/>
        </w:rPr>
        <w:t>‌</w:t>
      </w:r>
      <w:r w:rsidRPr="0025250D">
        <w:rPr>
          <w:rFonts w:hint="cs"/>
          <w:rtl/>
        </w:rPr>
        <w:t xml:space="preserve"> می‌کنند و باید اقدامات خود را با آن‌ها محک بزنیم. ما به یک دیدگاه جهانی برای دیدن این مزایا نیاز داریم. </w:t>
      </w:r>
      <w:r w:rsidRPr="0025250D">
        <w:rPr>
          <w:rtl/>
        </w:rPr>
        <w:t>ما اغلب مجبوریم</w:t>
      </w:r>
      <w:r w:rsidRPr="0025250D">
        <w:rPr>
          <w:rFonts w:hint="cs"/>
          <w:rtl/>
        </w:rPr>
        <w:t xml:space="preserve"> برای دیدن آن‌ها </w:t>
      </w:r>
      <w:r w:rsidRPr="0025250D">
        <w:rPr>
          <w:rtl/>
        </w:rPr>
        <w:t xml:space="preserve">بیرون از گروه‌های </w:t>
      </w:r>
      <w:r w:rsidRPr="0025250D">
        <w:rPr>
          <w:rFonts w:hint="cs"/>
          <w:rtl/>
        </w:rPr>
        <w:t>نزدیک به</w:t>
      </w:r>
      <w:r w:rsidRPr="0025250D">
        <w:rPr>
          <w:rtl/>
        </w:rPr>
        <w:t xml:space="preserve"> خود را خوب نگاه کنیم</w:t>
      </w:r>
      <w:r w:rsidRPr="0025250D">
        <w:rPr>
          <w:rFonts w:hint="cs"/>
          <w:rtl/>
        </w:rPr>
        <w:t>.</w:t>
      </w:r>
    </w:p>
    <w:p w14:paraId="603025E3" w14:textId="0FEEFE43" w:rsidR="0020732A" w:rsidRPr="0025250D" w:rsidRDefault="0020732A" w:rsidP="0020732A">
      <w:pPr>
        <w:rPr>
          <w:rtl/>
        </w:rPr>
      </w:pPr>
      <w:r w:rsidRPr="0025250D">
        <w:rPr>
          <w:rFonts w:hint="cs"/>
          <w:rtl/>
        </w:rPr>
        <w:t>سوگیری‌های منفی دیگری</w:t>
      </w:r>
      <w:r w:rsidRPr="0025250D">
        <w:rPr>
          <w:rFonts w:hint="cs"/>
        </w:rPr>
        <w:t>‌</w:t>
      </w:r>
      <w:r w:rsidRPr="0025250D">
        <w:rPr>
          <w:rFonts w:hint="cs"/>
          <w:rtl/>
        </w:rPr>
        <w:t xml:space="preserve"> می‌توانند به همراه هم وجود داشته باشند و سوگیری </w:t>
      </w:r>
      <w:r w:rsidRPr="0025250D">
        <w:t>DROA</w:t>
      </w:r>
      <w:r w:rsidRPr="0025250D">
        <w:rPr>
          <w:rFonts w:hint="cs"/>
          <w:rtl/>
        </w:rPr>
        <w:t xml:space="preserve"> را تقویت کنند. بسیاری از </w:t>
      </w:r>
      <w:r w:rsidRPr="0025250D">
        <w:t>HRO</w:t>
      </w:r>
      <w:r w:rsidRPr="0025250D">
        <w:rPr>
          <w:rFonts w:hint="cs"/>
          <w:rtl/>
        </w:rPr>
        <w:t>‌ها (سازمان</w:t>
      </w:r>
      <w:r w:rsidRPr="0025250D">
        <w:rPr>
          <w:rtl/>
        </w:rPr>
        <w:t xml:space="preserve">‌های </w:t>
      </w:r>
      <w:r w:rsidRPr="0025250D">
        <w:rPr>
          <w:rFonts w:hint="cs"/>
          <w:rtl/>
        </w:rPr>
        <w:t>با</w:t>
      </w:r>
      <w:r w:rsidRPr="0025250D">
        <w:rPr>
          <w:rtl/>
        </w:rPr>
        <w:t xml:space="preserve"> </w:t>
      </w:r>
      <w:r w:rsidRPr="0025250D">
        <w:rPr>
          <w:rFonts w:hint="cs"/>
          <w:rtl/>
        </w:rPr>
        <w:t>قابلیت</w:t>
      </w:r>
      <w:r w:rsidRPr="0025250D">
        <w:rPr>
          <w:rtl/>
        </w:rPr>
        <w:t xml:space="preserve"> </w:t>
      </w:r>
      <w:r w:rsidRPr="0025250D">
        <w:rPr>
          <w:rFonts w:hint="cs"/>
          <w:rtl/>
        </w:rPr>
        <w:t>اطمینان</w:t>
      </w:r>
      <w:r w:rsidRPr="0025250D">
        <w:rPr>
          <w:rtl/>
        </w:rPr>
        <w:t xml:space="preserve"> </w:t>
      </w:r>
      <w:r w:rsidRPr="0025250D">
        <w:rPr>
          <w:rFonts w:hint="cs"/>
          <w:rtl/>
        </w:rPr>
        <w:t>بالا)، از جمله مواردی که در بخش‌های امنیتی، دفاعی و مراقبت‌های درمانی کار</w:t>
      </w:r>
      <w:r w:rsidRPr="0025250D">
        <w:rPr>
          <w:rFonts w:hint="cs"/>
        </w:rPr>
        <w:t>‌</w:t>
      </w:r>
      <w:r w:rsidRPr="0025250D">
        <w:rPr>
          <w:rFonts w:hint="cs"/>
          <w:rtl/>
        </w:rPr>
        <w:t xml:space="preserve"> می‌کنند، اغلب سوگیری مأموریت</w:t>
      </w:r>
      <w:r w:rsidRPr="0025250D">
        <w:rPr>
          <w:vertAlign w:val="superscript"/>
          <w:rtl/>
        </w:rPr>
        <w:footnoteReference w:id="739"/>
      </w:r>
      <w:r w:rsidRPr="0025250D">
        <w:rPr>
          <w:rFonts w:hint="cs"/>
          <w:rtl/>
        </w:rPr>
        <w:t xml:space="preserve"> دارند و ابتدا تهدیدات و سپس مزایا را</w:t>
      </w:r>
      <w:r w:rsidRPr="0025250D">
        <w:rPr>
          <w:rFonts w:hint="cs"/>
        </w:rPr>
        <w:t>‌</w:t>
      </w:r>
      <w:r w:rsidRPr="0025250D">
        <w:rPr>
          <w:rFonts w:hint="cs"/>
          <w:rtl/>
        </w:rPr>
        <w:t xml:space="preserve"> می‌بینند. برخی از ما (اما خوشبختانه نه همه ما) با مسن‌تر شدن و کسب تجربه بدبین‌تر و متعصب‌تر می‌شویم. امروزه رسانه‌های اجتماعی که اولین نسل خود هستند، بدون فیلتر‌های هوش مصنوعی خوب نیز سوگیری </w:t>
      </w:r>
      <w:r w:rsidRPr="0025250D">
        <w:t>DROA</w:t>
      </w:r>
      <w:r w:rsidRPr="0025250D">
        <w:rPr>
          <w:rFonts w:hint="cs"/>
          <w:rtl/>
        </w:rPr>
        <w:t xml:space="preserve"> را توسط دراما و داستان‌های منفی، مزاحمت اینترنتی و تله‌های کلیکی</w:t>
      </w:r>
      <w:r w:rsidRPr="0025250D">
        <w:rPr>
          <w:vertAlign w:val="superscript"/>
          <w:rtl/>
        </w:rPr>
        <w:footnoteReference w:id="740"/>
      </w:r>
      <w:r w:rsidRPr="0025250D">
        <w:rPr>
          <w:rFonts w:hint="cs"/>
          <w:rtl/>
        </w:rPr>
        <w:t xml:space="preserve"> تغذیه</w:t>
      </w:r>
      <w:r w:rsidRPr="0025250D">
        <w:rPr>
          <w:rFonts w:hint="cs"/>
        </w:rPr>
        <w:t>‌</w:t>
      </w:r>
      <w:r w:rsidRPr="0025250D">
        <w:rPr>
          <w:rFonts w:hint="cs"/>
          <w:rtl/>
        </w:rPr>
        <w:t xml:space="preserve"> می‌کنند. از سال 2010، برخی از کاربران شبکه‌های اجتماعی آموخته اند که عبارات خشمگینانه در آستانه </w:t>
      </w:r>
      <w:r w:rsidR="00923DDB" w:rsidRPr="0025250D">
        <w:rPr>
          <w:rFonts w:hint="cs"/>
          <w:rtl/>
        </w:rPr>
        <w:t>باورپذیر</w:t>
      </w:r>
      <w:r w:rsidRPr="0025250D">
        <w:rPr>
          <w:rFonts w:hint="cs"/>
          <w:rtl/>
        </w:rPr>
        <w:t>ی، بیش‌ترین مشارکت (</w:t>
      </w:r>
      <w:r w:rsidR="006335B8" w:rsidRPr="0025250D">
        <w:rPr>
          <w:rtl/>
        </w:rPr>
        <w:t>«</w:t>
      </w:r>
      <w:r w:rsidRPr="0025250D">
        <w:rPr>
          <w:rFonts w:hint="cs"/>
          <w:rtl/>
        </w:rPr>
        <w:t>خشم فراگیر</w:t>
      </w:r>
      <w:r w:rsidRPr="0025250D">
        <w:rPr>
          <w:vertAlign w:val="superscript"/>
          <w:rtl/>
        </w:rPr>
        <w:footnoteReference w:id="741"/>
      </w:r>
      <w:r w:rsidR="006335B8" w:rsidRPr="0025250D">
        <w:rPr>
          <w:rtl/>
        </w:rPr>
        <w:t>»</w:t>
      </w:r>
      <w:r w:rsidRPr="0025250D">
        <w:rPr>
          <w:rFonts w:hint="cs"/>
          <w:rtl/>
        </w:rPr>
        <w:t>) را در بسیاری از پلتفرم‌ها به دست</w:t>
      </w:r>
      <w:r w:rsidRPr="0025250D">
        <w:rPr>
          <w:rFonts w:hint="cs"/>
        </w:rPr>
        <w:t>‌</w:t>
      </w:r>
      <w:r w:rsidRPr="0025250D">
        <w:rPr>
          <w:rFonts w:hint="cs"/>
          <w:rtl/>
        </w:rPr>
        <w:t xml:space="preserve"> می‌آورند. این امر منجر به مشکل اخبار جعلی شده است. در حال حاضر تشخیص چنین اخباری و خارج کردن آن‌ها از میان اخبار ورودی مان دشوار است. در کتاب 2 خواهیم دید که چگونه هوش‌های مصنوعی شخصی ما ابزاری قدرتمند (اما انتخابی) برای انجام این کار هستند. اخبار جعلی سبب</w:t>
      </w:r>
      <w:r w:rsidRPr="0025250D">
        <w:rPr>
          <w:rFonts w:hint="cs"/>
        </w:rPr>
        <w:t>‌</w:t>
      </w:r>
      <w:r w:rsidRPr="0025250D">
        <w:rPr>
          <w:rFonts w:hint="cs"/>
          <w:rtl/>
        </w:rPr>
        <w:t xml:space="preserve"> می‌شوند که به اخبار حقیقی شک کنیم و انحراف درامای منفی آن انرژی ما را برای ایجاد </w:t>
      </w:r>
      <w:r w:rsidR="00B56611" w:rsidRPr="0025250D">
        <w:rPr>
          <w:rFonts w:hint="cs"/>
          <w:rtl/>
        </w:rPr>
        <w:t>چشم‌انداز</w:t>
      </w:r>
      <w:r w:rsidRPr="0025250D">
        <w:rPr>
          <w:rFonts w:hint="cs"/>
          <w:rtl/>
        </w:rPr>
        <w:t>‌های مثبت تضعیف</w:t>
      </w:r>
      <w:r w:rsidRPr="0025250D">
        <w:rPr>
          <w:rFonts w:hint="cs"/>
        </w:rPr>
        <w:t>‌</w:t>
      </w:r>
      <w:r w:rsidRPr="0025250D">
        <w:rPr>
          <w:rFonts w:hint="cs"/>
          <w:rtl/>
        </w:rPr>
        <w:t xml:space="preserve"> می‌کند.</w:t>
      </w:r>
    </w:p>
    <w:p w14:paraId="322A71D9" w14:textId="043543B0" w:rsidR="0020732A" w:rsidRPr="0025250D" w:rsidRDefault="00B56611" w:rsidP="00947B39">
      <w:pPr>
        <w:rPr>
          <w:rtl/>
        </w:rPr>
      </w:pPr>
      <w:r w:rsidRPr="0025250D">
        <w:rPr>
          <w:rFonts w:hint="cs"/>
          <w:rtl/>
        </w:rPr>
        <w:t>چشم‌انداز</w:t>
      </w:r>
      <w:r w:rsidR="0020732A" w:rsidRPr="0025250D">
        <w:rPr>
          <w:rFonts w:hint="cs"/>
          <w:rtl/>
        </w:rPr>
        <w:t>‌های منفی مبتنی بر مدارک که در زمان درست گفته</w:t>
      </w:r>
      <w:r w:rsidR="0020732A" w:rsidRPr="0025250D">
        <w:rPr>
          <w:rFonts w:hint="cs"/>
        </w:rPr>
        <w:t>‌</w:t>
      </w:r>
      <w:r w:rsidR="0020732A" w:rsidRPr="0025250D">
        <w:rPr>
          <w:rFonts w:hint="cs"/>
          <w:rtl/>
        </w:rPr>
        <w:t xml:space="preserve"> می‌شوند، بسیار مهم هستند. ما مفهوم </w:t>
      </w:r>
      <w:r w:rsidR="0020732A" w:rsidRPr="0025250D">
        <w:rPr>
          <w:rtl/>
        </w:rPr>
        <w:t>د</w:t>
      </w:r>
      <w:r w:rsidR="0020732A" w:rsidRPr="0025250D">
        <w:rPr>
          <w:rFonts w:hint="cs"/>
          <w:rtl/>
        </w:rPr>
        <w:t>ی</w:t>
      </w:r>
      <w:r w:rsidR="0020732A" w:rsidRPr="0025250D">
        <w:rPr>
          <w:rFonts w:hint="eastAsia"/>
          <w:rtl/>
        </w:rPr>
        <w:t>و</w:t>
      </w:r>
      <w:r w:rsidR="0020732A" w:rsidRPr="0025250D">
        <w:rPr>
          <w:rFonts w:hint="cs"/>
          <w:rtl/>
        </w:rPr>
        <w:t>ی</w:t>
      </w:r>
      <w:r w:rsidR="0020732A" w:rsidRPr="0025250D">
        <w:rPr>
          <w:rFonts w:hint="eastAsia"/>
          <w:rtl/>
        </w:rPr>
        <w:t>د</w:t>
      </w:r>
      <w:r w:rsidR="0020732A" w:rsidRPr="0025250D">
        <w:rPr>
          <w:rtl/>
        </w:rPr>
        <w:t xml:space="preserve"> بر</w:t>
      </w:r>
      <w:r w:rsidR="0020732A" w:rsidRPr="0025250D">
        <w:rPr>
          <w:rFonts w:hint="cs"/>
          <w:rtl/>
        </w:rPr>
        <w:t>ی</w:t>
      </w:r>
      <w:r w:rsidR="0020732A" w:rsidRPr="0025250D">
        <w:rPr>
          <w:rFonts w:hint="eastAsia"/>
          <w:rtl/>
        </w:rPr>
        <w:t>ن</w:t>
      </w:r>
      <w:r w:rsidR="0020732A" w:rsidRPr="0025250D">
        <w:rPr>
          <w:vertAlign w:val="superscript"/>
          <w:rtl/>
        </w:rPr>
        <w:footnoteReference w:id="742"/>
      </w:r>
      <w:r w:rsidR="0020732A" w:rsidRPr="0025250D">
        <w:rPr>
          <w:rFonts w:hint="cs"/>
          <w:rtl/>
        </w:rPr>
        <w:t xml:space="preserve"> از پیشگویی‌های خودبازدارنده</w:t>
      </w:r>
      <w:r w:rsidR="0020732A" w:rsidRPr="0025250D">
        <w:rPr>
          <w:vertAlign w:val="superscript"/>
          <w:rtl/>
        </w:rPr>
        <w:footnoteReference w:id="743"/>
      </w:r>
      <w:r w:rsidR="0020732A" w:rsidRPr="0025250D">
        <w:rPr>
          <w:rFonts w:hint="cs"/>
          <w:rtl/>
        </w:rPr>
        <w:t xml:space="preserve"> را به‌عنوان نقطه</w:t>
      </w:r>
      <w:r w:rsidR="0020732A" w:rsidRPr="0025250D">
        <w:rPr>
          <w:rtl/>
        </w:rPr>
        <w:t xml:space="preserve"> </w:t>
      </w:r>
      <w:r w:rsidR="0020732A" w:rsidRPr="0025250D">
        <w:rPr>
          <w:rFonts w:hint="cs"/>
          <w:rtl/>
        </w:rPr>
        <w:t>مقابل پیشگویی‌های خود بهبود دهنده بی</w:t>
      </w:r>
      <w:r w:rsidR="00947B39" w:rsidRPr="0025250D">
        <w:rPr>
          <w:rFonts w:hint="cs"/>
          <w:rtl/>
        </w:rPr>
        <w:t>ان کردیم. یک داستان ترسناک معنا</w:t>
      </w:r>
      <w:r w:rsidR="0020732A" w:rsidRPr="0025250D">
        <w:rPr>
          <w:rFonts w:hint="cs"/>
          <w:rtl/>
        </w:rPr>
        <w:t xml:space="preserve">دار و باورپذیر و با این حال شوکه کننده، مانند این فکر که سیاره ما به طرز </w:t>
      </w:r>
      <w:r w:rsidR="00923DDB" w:rsidRPr="0025250D">
        <w:rPr>
          <w:rFonts w:hint="cs"/>
          <w:rtl/>
        </w:rPr>
        <w:t>باورپذیر</w:t>
      </w:r>
      <w:r w:rsidR="0020732A" w:rsidRPr="0025250D">
        <w:rPr>
          <w:rFonts w:hint="cs"/>
          <w:rtl/>
        </w:rPr>
        <w:t>ی</w:t>
      </w:r>
      <w:r w:rsidR="0020732A" w:rsidRPr="0025250D">
        <w:rPr>
          <w:rFonts w:hint="cs"/>
        </w:rPr>
        <w:t>‌</w:t>
      </w:r>
      <w:r w:rsidR="0020732A" w:rsidRPr="0025250D">
        <w:rPr>
          <w:rFonts w:hint="cs"/>
          <w:rtl/>
        </w:rPr>
        <w:t xml:space="preserve"> می‌تواند چهار تا 6 درجه در سال 2100 گرم‌تر باشد که توسط بسیاری از گروه‌های کربن زدایی اقلیمی</w:t>
      </w:r>
      <w:r w:rsidR="0020732A" w:rsidRPr="0025250D">
        <w:rPr>
          <w:vertAlign w:val="superscript"/>
          <w:rtl/>
        </w:rPr>
        <w:footnoteReference w:id="744"/>
      </w:r>
      <w:r w:rsidR="0020732A" w:rsidRPr="0025250D">
        <w:rPr>
          <w:rFonts w:hint="cs"/>
          <w:rtl/>
        </w:rPr>
        <w:t xml:space="preserve"> اینگونه </w:t>
      </w:r>
      <w:r w:rsidR="00FB6A7E" w:rsidRPr="0025250D">
        <w:rPr>
          <w:rFonts w:hint="cs"/>
          <w:rtl/>
        </w:rPr>
        <w:t>پیش‌نگری</w:t>
      </w:r>
      <w:r w:rsidR="0020732A" w:rsidRPr="0025250D">
        <w:rPr>
          <w:rFonts w:hint="cs"/>
        </w:rPr>
        <w:t>‌</w:t>
      </w:r>
      <w:r w:rsidR="0020732A" w:rsidRPr="0025250D">
        <w:rPr>
          <w:rFonts w:hint="cs"/>
          <w:rtl/>
        </w:rPr>
        <w:t xml:space="preserve"> می‌شود،</w:t>
      </w:r>
      <w:r w:rsidR="0020732A" w:rsidRPr="0025250D">
        <w:rPr>
          <w:rFonts w:hint="cs"/>
        </w:rPr>
        <w:t>‌</w:t>
      </w:r>
      <w:r w:rsidR="0020732A" w:rsidRPr="0025250D">
        <w:rPr>
          <w:rFonts w:hint="cs"/>
          <w:rtl/>
        </w:rPr>
        <w:t xml:space="preserve"> می‌تواند ما را به طرز </w:t>
      </w:r>
      <w:r w:rsidR="0008779C" w:rsidRPr="0025250D">
        <w:rPr>
          <w:rFonts w:hint="cs"/>
          <w:rtl/>
        </w:rPr>
        <w:t>موفقیت‌آمیز</w:t>
      </w:r>
      <w:r w:rsidR="0020732A" w:rsidRPr="0025250D">
        <w:rPr>
          <w:rFonts w:hint="cs"/>
          <w:rtl/>
        </w:rPr>
        <w:t>ی به سمت عمل سوق دهد.</w:t>
      </w:r>
    </w:p>
    <w:p w14:paraId="215E5964" w14:textId="22F35F28" w:rsidR="0020732A" w:rsidRPr="0025250D" w:rsidRDefault="0020732A" w:rsidP="0020732A">
      <w:pPr>
        <w:rPr>
          <w:rtl/>
        </w:rPr>
      </w:pPr>
      <w:r w:rsidRPr="0025250D">
        <w:rPr>
          <w:rFonts w:hint="cs"/>
          <w:rtl/>
        </w:rPr>
        <w:lastRenderedPageBreak/>
        <w:t xml:space="preserve">سازمان‌های مؤثر باید به طور منظم از </w:t>
      </w:r>
      <w:r w:rsidR="00B56611" w:rsidRPr="0025250D">
        <w:rPr>
          <w:rFonts w:hint="cs"/>
          <w:rtl/>
        </w:rPr>
        <w:t>چشم‌انداز</w:t>
      </w:r>
      <w:r w:rsidRPr="0025250D">
        <w:rPr>
          <w:rFonts w:hint="cs"/>
          <w:rtl/>
        </w:rPr>
        <w:t>‌های منفی، به ویژه وقتی خوشنودی از وضعیت موجود یا غرور و و همفکری گروهی، اغلب به دلیل موفقیت گذشته شرکت در یک محیط متفاوت</w:t>
      </w:r>
      <w:r w:rsidR="0019766B" w:rsidRPr="0025250D">
        <w:rPr>
          <w:rFonts w:hint="cs"/>
          <w:rtl/>
        </w:rPr>
        <w:t xml:space="preserve"> غالب باشد</w:t>
      </w:r>
      <w:r w:rsidRPr="0025250D">
        <w:rPr>
          <w:rFonts w:hint="cs"/>
          <w:rtl/>
        </w:rPr>
        <w:t xml:space="preserve">، استفاده کنند. در دهه 1930، متخصص برجسته روانشناسی سازمانی </w:t>
      </w:r>
      <w:r w:rsidRPr="0025250D">
        <w:rPr>
          <w:rtl/>
        </w:rPr>
        <w:t>کرت لو</w:t>
      </w:r>
      <w:r w:rsidRPr="0025250D">
        <w:rPr>
          <w:rFonts w:hint="cs"/>
          <w:rtl/>
        </w:rPr>
        <w:t>ی</w:t>
      </w:r>
      <w:r w:rsidRPr="0025250D">
        <w:rPr>
          <w:rFonts w:hint="eastAsia"/>
          <w:rtl/>
        </w:rPr>
        <w:t>ن</w:t>
      </w:r>
      <w:r w:rsidRPr="0025250D">
        <w:rPr>
          <w:vertAlign w:val="superscript"/>
          <w:rtl/>
        </w:rPr>
        <w:footnoteReference w:id="745"/>
      </w:r>
      <w:r w:rsidRPr="0025250D">
        <w:rPr>
          <w:rFonts w:hint="cs"/>
          <w:rtl/>
        </w:rPr>
        <w:t xml:space="preserve"> به ما گفت که مدیریت تغییر اغلب با خارج ساختن یک تیم یا زمان از ثبات از طریق گفتگو در مورد بحران‌های بالقوه پیش رو آغاز</w:t>
      </w:r>
      <w:r w:rsidRPr="0025250D">
        <w:rPr>
          <w:rFonts w:hint="cs"/>
        </w:rPr>
        <w:t>‌</w:t>
      </w:r>
      <w:r w:rsidRPr="0025250D">
        <w:rPr>
          <w:rFonts w:hint="cs"/>
          <w:rtl/>
        </w:rPr>
        <w:t xml:space="preserve"> می‌شود. در این صورت تیم</w:t>
      </w:r>
      <w:r w:rsidRPr="0025250D">
        <w:rPr>
          <w:rFonts w:hint="cs"/>
        </w:rPr>
        <w:t>‌</w:t>
      </w:r>
      <w:r w:rsidRPr="0025250D">
        <w:rPr>
          <w:rFonts w:hint="cs"/>
          <w:rtl/>
        </w:rPr>
        <w:t xml:space="preserve"> می‌تواند از انرژی حاصل از ادراک بحران برای تغییر به سمت یک </w:t>
      </w:r>
      <w:r w:rsidR="00CF59DF" w:rsidRPr="0025250D">
        <w:rPr>
          <w:rFonts w:hint="cs"/>
          <w:rtl/>
        </w:rPr>
        <w:t>جهت‌گیری</w:t>
      </w:r>
      <w:r w:rsidRPr="0025250D">
        <w:rPr>
          <w:rFonts w:hint="cs"/>
          <w:rtl/>
        </w:rPr>
        <w:t xml:space="preserve"> </w:t>
      </w:r>
      <w:r w:rsidR="00701E03" w:rsidRPr="0025250D">
        <w:rPr>
          <w:rFonts w:hint="cs"/>
          <w:rtl/>
        </w:rPr>
        <w:t>راهبردی</w:t>
      </w:r>
      <w:r w:rsidRPr="0025250D">
        <w:rPr>
          <w:rFonts w:hint="cs"/>
          <w:rtl/>
        </w:rPr>
        <w:t xml:space="preserve"> جدید</w:t>
      </w:r>
      <w:r w:rsidR="008D6F97" w:rsidRPr="0025250D">
        <w:rPr>
          <w:rtl/>
        </w:rPr>
        <w:t xml:space="preserve"> </w:t>
      </w:r>
      <w:r w:rsidRPr="0025250D">
        <w:rPr>
          <w:rFonts w:hint="cs"/>
          <w:rtl/>
        </w:rPr>
        <w:t xml:space="preserve">و سپس ثبات مجدد سیاست‌ها و هنجارها حول این </w:t>
      </w:r>
      <w:r w:rsidR="00CF59DF" w:rsidRPr="0025250D">
        <w:rPr>
          <w:rFonts w:hint="cs"/>
          <w:rtl/>
        </w:rPr>
        <w:t>جهت‌گیری</w:t>
      </w:r>
      <w:r w:rsidRPr="0025250D">
        <w:rPr>
          <w:rFonts w:hint="cs"/>
          <w:rtl/>
        </w:rPr>
        <w:t xml:space="preserve"> تازه برای جلوگیری از بازگشت به روش‌های قدیمی، استفاده کند. در دهه 1980، مربی مدیریت </w:t>
      </w:r>
      <w:r w:rsidRPr="0025250D">
        <w:rPr>
          <w:rtl/>
        </w:rPr>
        <w:t>جان کوتر</w:t>
      </w:r>
      <w:r w:rsidRPr="0025250D">
        <w:rPr>
          <w:vertAlign w:val="superscript"/>
          <w:rtl/>
        </w:rPr>
        <w:footnoteReference w:id="746"/>
      </w:r>
      <w:r w:rsidRPr="0025250D">
        <w:rPr>
          <w:rFonts w:hint="cs"/>
          <w:rtl/>
        </w:rPr>
        <w:t xml:space="preserve"> بینش </w:t>
      </w:r>
      <w:r w:rsidRPr="0025250D">
        <w:rPr>
          <w:rtl/>
        </w:rPr>
        <w:t>لو</w:t>
      </w:r>
      <w:r w:rsidRPr="0025250D">
        <w:rPr>
          <w:rFonts w:hint="cs"/>
          <w:rtl/>
        </w:rPr>
        <w:t>ی</w:t>
      </w:r>
      <w:r w:rsidRPr="0025250D">
        <w:rPr>
          <w:rFonts w:hint="eastAsia"/>
          <w:rtl/>
        </w:rPr>
        <w:t>ن</w:t>
      </w:r>
      <w:r w:rsidRPr="0025250D">
        <w:rPr>
          <w:vertAlign w:val="superscript"/>
          <w:rtl/>
        </w:rPr>
        <w:footnoteReference w:id="747"/>
      </w:r>
      <w:r w:rsidRPr="0025250D">
        <w:rPr>
          <w:rFonts w:hint="cs"/>
          <w:rtl/>
        </w:rPr>
        <w:t xml:space="preserve"> را به یک مدل هشت گامی کلاسیک از مدیریت تغییر که به خوبی در رهبری تغییر</w:t>
      </w:r>
      <w:r w:rsidRPr="0025250D">
        <w:rPr>
          <w:vertAlign w:val="superscript"/>
          <w:rtl/>
        </w:rPr>
        <w:footnoteReference w:id="748"/>
      </w:r>
      <w:r w:rsidR="0019766B" w:rsidRPr="0025250D">
        <w:rPr>
          <w:rFonts w:hint="cs"/>
          <w:rtl/>
        </w:rPr>
        <w:t xml:space="preserve"> در سال</w:t>
      </w:r>
      <w:r w:rsidRPr="0025250D">
        <w:rPr>
          <w:rFonts w:hint="cs"/>
          <w:rtl/>
        </w:rPr>
        <w:t xml:space="preserve"> 2012، توصیف شده است، توسعه داد.</w:t>
      </w:r>
    </w:p>
    <w:p w14:paraId="3B9816B6" w14:textId="60A16D60" w:rsidR="0020732A" w:rsidRPr="0025250D" w:rsidRDefault="0020732A" w:rsidP="0020732A">
      <w:pPr>
        <w:rPr>
          <w:rtl/>
        </w:rPr>
      </w:pPr>
      <w:r w:rsidRPr="0025250D">
        <w:rPr>
          <w:rFonts w:hint="cs"/>
          <w:rtl/>
        </w:rPr>
        <w:t xml:space="preserve">همچنین در نظر داشته باشید که کل کارکرد‌ها و صنایع دفاعی در هر کشور و کارکرد‌ها و صنایع امنیتی در هر سازمان بخش عمده </w:t>
      </w:r>
      <w:r w:rsidRPr="0025250D">
        <w:rPr>
          <w:rtl/>
        </w:rPr>
        <w:t>آینده‌نگاری</w:t>
      </w:r>
      <w:r w:rsidRPr="0025250D">
        <w:rPr>
          <w:rFonts w:hint="cs"/>
          <w:rtl/>
        </w:rPr>
        <w:t xml:space="preserve"> و اقدامات خود را به مدیریت موارد منفی، با تلاش برای </w:t>
      </w:r>
      <w:r w:rsidR="00923DDB" w:rsidRPr="0025250D">
        <w:rPr>
          <w:rFonts w:hint="cs"/>
          <w:rtl/>
        </w:rPr>
        <w:t>پیش‌انگاری</w:t>
      </w:r>
      <w:r w:rsidRPr="0025250D">
        <w:rPr>
          <w:rFonts w:hint="cs"/>
          <w:rtl/>
        </w:rPr>
        <w:t xml:space="preserve">، جلوگیری و </w:t>
      </w:r>
      <w:r w:rsidR="00D92F6E" w:rsidRPr="0025250D">
        <w:rPr>
          <w:rFonts w:hint="cs"/>
          <w:rtl/>
        </w:rPr>
        <w:t>آماده‌سازی</w:t>
      </w:r>
      <w:r w:rsidRPr="0025250D">
        <w:rPr>
          <w:rFonts w:hint="cs"/>
          <w:rtl/>
        </w:rPr>
        <w:t xml:space="preserve"> برای آینده‌های نامطلوب اختصاص</w:t>
      </w:r>
      <w:r w:rsidRPr="0025250D">
        <w:rPr>
          <w:rFonts w:hint="cs"/>
        </w:rPr>
        <w:t>‌</w:t>
      </w:r>
      <w:r w:rsidRPr="0025250D">
        <w:rPr>
          <w:rFonts w:hint="cs"/>
          <w:rtl/>
        </w:rPr>
        <w:t xml:space="preserve"> می‌دهند. نیروهای</w:t>
      </w:r>
      <w:r w:rsidRPr="0025250D">
        <w:rPr>
          <w:rtl/>
        </w:rPr>
        <w:t xml:space="preserve"> </w:t>
      </w:r>
      <w:r w:rsidRPr="0025250D">
        <w:rPr>
          <w:rFonts w:hint="cs"/>
          <w:rtl/>
        </w:rPr>
        <w:t>مسلح</w:t>
      </w:r>
      <w:r w:rsidRPr="0025250D">
        <w:rPr>
          <w:rtl/>
        </w:rPr>
        <w:t xml:space="preserve"> </w:t>
      </w:r>
      <w:r w:rsidRPr="0025250D">
        <w:rPr>
          <w:rFonts w:hint="cs"/>
          <w:rtl/>
        </w:rPr>
        <w:t>ایالات</w:t>
      </w:r>
      <w:r w:rsidRPr="0025250D">
        <w:rPr>
          <w:rtl/>
        </w:rPr>
        <w:t xml:space="preserve"> </w:t>
      </w:r>
      <w:r w:rsidRPr="0025250D">
        <w:rPr>
          <w:rFonts w:hint="cs"/>
          <w:rtl/>
        </w:rPr>
        <w:t>متحده</w:t>
      </w:r>
      <w:r w:rsidRPr="0025250D">
        <w:rPr>
          <w:vertAlign w:val="superscript"/>
          <w:rtl/>
        </w:rPr>
        <w:footnoteReference w:id="749"/>
      </w:r>
      <w:r w:rsidRPr="0025250D">
        <w:rPr>
          <w:rFonts w:hint="cs"/>
          <w:rtl/>
        </w:rPr>
        <w:t xml:space="preserve"> (ارتش، نیروی دریایی، تفنگداران</w:t>
      </w:r>
      <w:r w:rsidRPr="0025250D">
        <w:rPr>
          <w:rtl/>
        </w:rPr>
        <w:t xml:space="preserve"> </w:t>
      </w:r>
      <w:r w:rsidRPr="0025250D">
        <w:rPr>
          <w:rFonts w:hint="cs"/>
          <w:rtl/>
        </w:rPr>
        <w:t>دریایی</w:t>
      </w:r>
      <w:r w:rsidRPr="0025250D">
        <w:rPr>
          <w:vertAlign w:val="superscript"/>
          <w:rtl/>
        </w:rPr>
        <w:footnoteReference w:id="750"/>
      </w:r>
      <w:r w:rsidRPr="0025250D">
        <w:rPr>
          <w:rFonts w:hint="cs"/>
          <w:rtl/>
        </w:rPr>
        <w:t>، نیروی هوایی، گارد ساحلی) و شاخه‌های امنیتی و دفاعی جدید‌تر ما (سلامت عمومی، امنیت داخلی</w:t>
      </w:r>
      <w:r w:rsidRPr="0025250D">
        <w:rPr>
          <w:vertAlign w:val="superscript"/>
          <w:rtl/>
        </w:rPr>
        <w:footnoteReference w:id="751"/>
      </w:r>
      <w:r w:rsidRPr="0025250D">
        <w:rPr>
          <w:rFonts w:hint="cs"/>
          <w:rtl/>
        </w:rPr>
        <w:t xml:space="preserve">، </w:t>
      </w:r>
      <w:r w:rsidRPr="0025250D">
        <w:t>NOAA</w:t>
      </w:r>
      <w:r w:rsidRPr="0025250D">
        <w:rPr>
          <w:rFonts w:hint="cs"/>
          <w:rtl/>
        </w:rPr>
        <w:t>، نیروی فضایی</w:t>
      </w:r>
      <w:r w:rsidRPr="0025250D">
        <w:rPr>
          <w:vertAlign w:val="superscript"/>
          <w:rtl/>
        </w:rPr>
        <w:footnoteReference w:id="752"/>
      </w:r>
      <w:r w:rsidRPr="0025250D">
        <w:rPr>
          <w:rFonts w:hint="cs"/>
          <w:rtl/>
        </w:rPr>
        <w:t xml:space="preserve">) همگی قهرمانان و فعالانی قدرتمند در کار </w:t>
      </w:r>
      <w:r w:rsidRPr="0025250D">
        <w:rPr>
          <w:rtl/>
        </w:rPr>
        <w:t>آینده‌نگاری</w:t>
      </w:r>
      <w:r w:rsidRPr="0025250D">
        <w:rPr>
          <w:rFonts w:hint="cs"/>
          <w:rtl/>
        </w:rPr>
        <w:t xml:space="preserve"> از ابتدای پیدایش این زمینه </w:t>
      </w:r>
      <w:r w:rsidR="00B124DE" w:rsidRPr="0025250D">
        <w:rPr>
          <w:rFonts w:hint="cs"/>
          <w:rtl/>
        </w:rPr>
        <w:t>بوده‌اند</w:t>
      </w:r>
      <w:r w:rsidRPr="0025250D">
        <w:rPr>
          <w:rFonts w:hint="cs"/>
          <w:rtl/>
        </w:rPr>
        <w:t xml:space="preserve">. مأموریت‌های آن‌ها به طور مشخص آن‌ها را به ایجاد ظرفیت </w:t>
      </w:r>
      <w:r w:rsidR="00AE5BE0" w:rsidRPr="0025250D">
        <w:rPr>
          <w:rFonts w:hint="cs"/>
          <w:rtl/>
        </w:rPr>
        <w:t>انطباق</w:t>
      </w:r>
      <w:r w:rsidRPr="0025250D">
        <w:rPr>
          <w:rFonts w:hint="cs"/>
          <w:rtl/>
        </w:rPr>
        <w:t xml:space="preserve"> و جلوگیری از فجایع وابسته</w:t>
      </w:r>
      <w:r w:rsidRPr="0025250D">
        <w:rPr>
          <w:rFonts w:hint="cs"/>
        </w:rPr>
        <w:t>‌</w:t>
      </w:r>
      <w:r w:rsidRPr="0025250D">
        <w:rPr>
          <w:rFonts w:hint="cs"/>
          <w:rtl/>
        </w:rPr>
        <w:t xml:space="preserve"> می‌سازد. آن‌ها همواره </w:t>
      </w:r>
      <w:r w:rsidR="00B56611" w:rsidRPr="0025250D">
        <w:rPr>
          <w:rFonts w:hint="cs"/>
          <w:rtl/>
        </w:rPr>
        <w:t>چشم‌انداز</w:t>
      </w:r>
      <w:r w:rsidRPr="0025250D">
        <w:rPr>
          <w:rFonts w:hint="cs"/>
          <w:rtl/>
        </w:rPr>
        <w:t>‌های آینده منفی و مثبت را مقایسه کرده و مورد تقابل قرار</w:t>
      </w:r>
      <w:r w:rsidRPr="0025250D">
        <w:rPr>
          <w:rFonts w:hint="cs"/>
        </w:rPr>
        <w:t>‌</w:t>
      </w:r>
      <w:r w:rsidRPr="0025250D">
        <w:rPr>
          <w:rFonts w:hint="cs"/>
          <w:rtl/>
        </w:rPr>
        <w:t xml:space="preserve"> می‌دهند. از نظر ما، این کار به بهترین شکل به ترتیب </w:t>
      </w:r>
      <w:r w:rsidRPr="0025250D">
        <w:t>ADOR</w:t>
      </w:r>
      <w:r w:rsidRPr="0025250D">
        <w:rPr>
          <w:rFonts w:hint="cs"/>
          <w:rtl/>
        </w:rPr>
        <w:t xml:space="preserve"> انجام</w:t>
      </w:r>
      <w:r w:rsidRPr="0025250D">
        <w:rPr>
          <w:rFonts w:hint="cs"/>
        </w:rPr>
        <w:t>‌</w:t>
      </w:r>
      <w:r w:rsidRPr="0025250D">
        <w:rPr>
          <w:rFonts w:hint="cs"/>
          <w:rtl/>
        </w:rPr>
        <w:t xml:space="preserve"> می‌شود.</w:t>
      </w:r>
    </w:p>
    <w:p w14:paraId="54AC2599" w14:textId="48902253" w:rsidR="0020732A" w:rsidRPr="0025250D" w:rsidRDefault="0020732A" w:rsidP="0020732A">
      <w:pPr>
        <w:rPr>
          <w:rtl/>
        </w:rPr>
      </w:pPr>
      <w:r w:rsidRPr="0025250D">
        <w:rPr>
          <w:rFonts w:hint="cs"/>
          <w:rtl/>
        </w:rPr>
        <w:t xml:space="preserve">در کوتاه مدت، </w:t>
      </w:r>
      <w:r w:rsidR="00B13F65" w:rsidRPr="0025250D">
        <w:rPr>
          <w:rFonts w:hint="cs"/>
          <w:rtl/>
        </w:rPr>
        <w:t>چارچوب</w:t>
      </w:r>
      <w:r w:rsidRPr="0025250D">
        <w:rPr>
          <w:rFonts w:hint="cs"/>
          <w:rtl/>
        </w:rPr>
        <w:t xml:space="preserve"> بندی بحران و ترس</w:t>
      </w:r>
      <w:r w:rsidRPr="0025250D">
        <w:rPr>
          <w:rFonts w:hint="cs"/>
        </w:rPr>
        <w:t>‌</w:t>
      </w:r>
      <w:r w:rsidRPr="0025250D">
        <w:rPr>
          <w:rFonts w:hint="cs"/>
          <w:rtl/>
        </w:rPr>
        <w:t xml:space="preserve"> می‌توانند بسیار مؤثر باشند</w:t>
      </w:r>
      <w:r w:rsidR="008D6F97" w:rsidRPr="0025250D">
        <w:rPr>
          <w:rtl/>
        </w:rPr>
        <w:t xml:space="preserve">؛ </w:t>
      </w:r>
      <w:r w:rsidRPr="0025250D">
        <w:rPr>
          <w:rFonts w:hint="cs"/>
          <w:rtl/>
        </w:rPr>
        <w:t>اما در بلند مدت، مردم پیام آوری را که همیشه اخبار منفی با خود دارد جدی</w:t>
      </w:r>
      <w:r w:rsidR="00EE4B64" w:rsidRPr="0025250D">
        <w:rPr>
          <w:rFonts w:hint="cs"/>
          <w:rtl/>
        </w:rPr>
        <w:t xml:space="preserve"> نمی‌</w:t>
      </w:r>
      <w:r w:rsidRPr="0025250D">
        <w:rPr>
          <w:rFonts w:hint="cs"/>
          <w:rtl/>
        </w:rPr>
        <w:t xml:space="preserve">گیرند. در </w:t>
      </w:r>
      <w:r w:rsidRPr="0025250D">
        <w:rPr>
          <w:rtl/>
        </w:rPr>
        <w:t>آینده‌نگاری</w:t>
      </w:r>
      <w:r w:rsidRPr="0025250D">
        <w:rPr>
          <w:rFonts w:hint="cs"/>
          <w:rtl/>
        </w:rPr>
        <w:t xml:space="preserve"> سازمانی، ما ترتیب اولویت </w:t>
      </w:r>
      <w:r w:rsidRPr="0025250D">
        <w:t>ADOR</w:t>
      </w:r>
      <w:r w:rsidRPr="0025250D">
        <w:rPr>
          <w:rFonts w:hint="cs"/>
          <w:rtl/>
        </w:rPr>
        <w:t xml:space="preserve"> را به قیمت خطراتی برای خود و دیگران نادیده</w:t>
      </w:r>
      <w:r w:rsidRPr="0025250D">
        <w:rPr>
          <w:rFonts w:hint="cs"/>
        </w:rPr>
        <w:t>‌</w:t>
      </w:r>
      <w:r w:rsidRPr="0025250D">
        <w:rPr>
          <w:rFonts w:hint="cs"/>
          <w:rtl/>
        </w:rPr>
        <w:t xml:space="preserve"> می‌گیریم. حتی در مدیریت تغییر، قبل از گفتمان در مورد بحران، رهبران خوب ابتدا مزایای محیطی و فرصت‌های سازمانی را برای متقاعد کردن اعضای سازمان در مورد این‌که </w:t>
      </w:r>
      <w:r w:rsidR="00923DDB" w:rsidRPr="0025250D">
        <w:rPr>
          <w:rFonts w:hint="cs"/>
          <w:rtl/>
        </w:rPr>
        <w:t>راه‌حل</w:t>
      </w:r>
      <w:r w:rsidRPr="0025250D">
        <w:rPr>
          <w:rFonts w:hint="cs"/>
          <w:rtl/>
        </w:rPr>
        <w:t xml:space="preserve">‌هایی </w:t>
      </w:r>
      <w:r w:rsidR="00701E03" w:rsidRPr="0025250D">
        <w:rPr>
          <w:rFonts w:hint="cs"/>
          <w:rtl/>
        </w:rPr>
        <w:t>راهبردی</w:t>
      </w:r>
      <w:r w:rsidRPr="0025250D">
        <w:rPr>
          <w:rFonts w:hint="cs"/>
          <w:rtl/>
        </w:rPr>
        <w:t xml:space="preserve"> وجود دارند، قبل از به صدا در آوردن آژیر خطر مورد بحث قرار</w:t>
      </w:r>
      <w:r w:rsidRPr="0025250D">
        <w:rPr>
          <w:rFonts w:hint="cs"/>
        </w:rPr>
        <w:t>‌</w:t>
      </w:r>
      <w:r w:rsidRPr="0025250D">
        <w:rPr>
          <w:rFonts w:hint="cs"/>
          <w:rtl/>
        </w:rPr>
        <w:t xml:space="preserve"> می‌دهند. اگر نیاموزیم که ابتدا مزایا و برتری‌ها و </w:t>
      </w:r>
      <w:r w:rsidR="00D92F6E" w:rsidRPr="0025250D">
        <w:rPr>
          <w:rFonts w:hint="cs"/>
          <w:rtl/>
        </w:rPr>
        <w:t>بنیان‌افکن</w:t>
      </w:r>
      <w:r w:rsidRPr="0025250D">
        <w:rPr>
          <w:rFonts w:hint="cs"/>
          <w:rtl/>
        </w:rPr>
        <w:t xml:space="preserve">ی‌های حقیقی دارای شتاب را ببینیم و تحلیل کنیم، اغلب دیدن بهترین </w:t>
      </w:r>
      <w:r w:rsidR="00923DDB" w:rsidRPr="0025250D">
        <w:rPr>
          <w:rFonts w:hint="cs"/>
          <w:rtl/>
        </w:rPr>
        <w:t>راه‌حل</w:t>
      </w:r>
      <w:r w:rsidRPr="0025250D">
        <w:rPr>
          <w:rFonts w:hint="cs"/>
          <w:rtl/>
        </w:rPr>
        <w:t xml:space="preserve"> را از دست</w:t>
      </w:r>
      <w:r w:rsidRPr="0025250D">
        <w:rPr>
          <w:rFonts w:hint="cs"/>
        </w:rPr>
        <w:t>‌</w:t>
      </w:r>
      <w:r w:rsidRPr="0025250D">
        <w:rPr>
          <w:rFonts w:hint="cs"/>
          <w:rtl/>
        </w:rPr>
        <w:t xml:space="preserve"> می‌دهیم. در نتیجه </w:t>
      </w:r>
      <w:r w:rsidR="00701E03" w:rsidRPr="0025250D">
        <w:rPr>
          <w:rFonts w:hint="cs"/>
          <w:rtl/>
        </w:rPr>
        <w:t>راهبرد</w:t>
      </w:r>
      <w:r w:rsidRPr="0025250D">
        <w:rPr>
          <w:rFonts w:hint="cs"/>
          <w:rtl/>
        </w:rPr>
        <w:t xml:space="preserve"> ما ضعیف‌تر و محدود‌تر می‌شود.</w:t>
      </w:r>
    </w:p>
    <w:p w14:paraId="6B2B447B" w14:textId="7BD7E6BB" w:rsidR="0020732A" w:rsidRPr="0025250D" w:rsidRDefault="0020732A" w:rsidP="0020732A">
      <w:pPr>
        <w:rPr>
          <w:rtl/>
        </w:rPr>
      </w:pPr>
      <w:r w:rsidRPr="0025250D">
        <w:rPr>
          <w:rFonts w:hint="cs"/>
          <w:rtl/>
        </w:rPr>
        <w:t xml:space="preserve">خوشبختانه، بسیاری از روال‌های روزمره یک رویکرد تحلیلی </w:t>
      </w:r>
      <w:r w:rsidRPr="0025250D">
        <w:t>ADOR</w:t>
      </w:r>
      <w:r w:rsidRPr="0025250D">
        <w:rPr>
          <w:rFonts w:hint="cs"/>
          <w:rtl/>
        </w:rPr>
        <w:t xml:space="preserve"> متوازن، ابتدا مثبت، سپس منفی و خارج به داخل را تقویت</w:t>
      </w:r>
      <w:r w:rsidRPr="0025250D">
        <w:rPr>
          <w:rFonts w:hint="cs"/>
        </w:rPr>
        <w:t>‌</w:t>
      </w:r>
      <w:r w:rsidRPr="0025250D">
        <w:rPr>
          <w:rFonts w:hint="cs"/>
          <w:rtl/>
        </w:rPr>
        <w:t xml:space="preserve"> می‌کنند. ما یک </w:t>
      </w:r>
      <w:r w:rsidR="00B13F65" w:rsidRPr="0025250D">
        <w:rPr>
          <w:rFonts w:hint="cs"/>
          <w:rtl/>
        </w:rPr>
        <w:t>چارچوب</w:t>
      </w:r>
      <w:r w:rsidRPr="0025250D">
        <w:rPr>
          <w:rFonts w:hint="cs"/>
          <w:rtl/>
        </w:rPr>
        <w:t xml:space="preserve"> تقابل </w:t>
      </w:r>
      <w:r w:rsidR="002B6515" w:rsidRPr="0025250D">
        <w:rPr>
          <w:rFonts w:hint="cs"/>
          <w:rtl/>
        </w:rPr>
        <w:t>حس‌داد</w:t>
      </w:r>
      <w:r w:rsidRPr="0025250D">
        <w:rPr>
          <w:rFonts w:hint="cs"/>
          <w:rtl/>
        </w:rPr>
        <w:t xml:space="preserve"> را </w:t>
      </w:r>
      <w:r w:rsidRPr="0025250D">
        <w:rPr>
          <w:rFonts w:cs="Times New Roman" w:hint="cs"/>
          <w:rtl/>
        </w:rPr>
        <w:t>–</w:t>
      </w:r>
      <w:r w:rsidRPr="0025250D">
        <w:rPr>
          <w:rFonts w:hint="cs"/>
          <w:rtl/>
        </w:rPr>
        <w:t xml:space="preserve"> تفکر </w:t>
      </w:r>
      <w:r w:rsidRPr="0025250D">
        <w:t>GRASP</w:t>
      </w:r>
      <w:r w:rsidRPr="0025250D">
        <w:rPr>
          <w:rFonts w:hint="cs"/>
          <w:rtl/>
        </w:rPr>
        <w:t>- که افراد و تیم‌ها</w:t>
      </w:r>
      <w:r w:rsidRPr="0025250D">
        <w:rPr>
          <w:rFonts w:hint="cs"/>
        </w:rPr>
        <w:t>‌</w:t>
      </w:r>
      <w:r w:rsidRPr="0025250D">
        <w:rPr>
          <w:rFonts w:hint="cs"/>
          <w:rtl/>
        </w:rPr>
        <w:t xml:space="preserve"> می‌توانند از آن برای مقابله با سوگیری </w:t>
      </w:r>
      <w:r w:rsidRPr="0025250D">
        <w:t>DROA</w:t>
      </w:r>
      <w:r w:rsidRPr="0025250D">
        <w:rPr>
          <w:rFonts w:hint="cs"/>
          <w:rtl/>
        </w:rPr>
        <w:t xml:space="preserve"> استفاده کنند، پیشنهاد </w:t>
      </w:r>
      <w:r w:rsidR="00950293" w:rsidRPr="0025250D">
        <w:rPr>
          <w:rFonts w:hint="cs"/>
          <w:rtl/>
        </w:rPr>
        <w:t>کرده‌ایم</w:t>
      </w:r>
      <w:r w:rsidRPr="0025250D">
        <w:rPr>
          <w:rFonts w:hint="cs"/>
          <w:rtl/>
        </w:rPr>
        <w:t xml:space="preserve">. بسیاری از جوامع تخصصی فرایند </w:t>
      </w:r>
      <w:r w:rsidRPr="0025250D">
        <w:t>ADOR</w:t>
      </w:r>
      <w:r w:rsidRPr="0025250D">
        <w:rPr>
          <w:rFonts w:hint="cs"/>
          <w:rtl/>
        </w:rPr>
        <w:t xml:space="preserve"> را انجام</w:t>
      </w:r>
      <w:r w:rsidRPr="0025250D">
        <w:rPr>
          <w:rFonts w:hint="cs"/>
        </w:rPr>
        <w:t>‌</w:t>
      </w:r>
      <w:r w:rsidRPr="0025250D">
        <w:rPr>
          <w:rFonts w:hint="cs"/>
          <w:rtl/>
        </w:rPr>
        <w:t xml:space="preserve"> می‌دهند. زیرمجموعه‌ای از منابع خبری ابتدا اخبار مثبت و مبتنی بر مدارک را گزارش</w:t>
      </w:r>
      <w:r w:rsidRPr="0025250D">
        <w:rPr>
          <w:rFonts w:hint="cs"/>
        </w:rPr>
        <w:t>‌</w:t>
      </w:r>
      <w:r w:rsidRPr="0025250D">
        <w:rPr>
          <w:rFonts w:hint="cs"/>
          <w:rtl/>
        </w:rPr>
        <w:t xml:space="preserve"> می‌کنند. این موارد توازنی حیاتی در مقابل منابع خبری احساس</w:t>
      </w:r>
      <w:r w:rsidRPr="0025250D">
        <w:rPr>
          <w:rtl/>
        </w:rPr>
        <w:t xml:space="preserve"> </w:t>
      </w:r>
      <w:r w:rsidRPr="0025250D">
        <w:rPr>
          <w:rFonts w:hint="cs"/>
          <w:rtl/>
        </w:rPr>
        <w:t>برانگیز معمول ایجاد</w:t>
      </w:r>
      <w:r w:rsidRPr="0025250D">
        <w:rPr>
          <w:rFonts w:hint="cs"/>
        </w:rPr>
        <w:t>‌</w:t>
      </w:r>
      <w:r w:rsidRPr="0025250D">
        <w:rPr>
          <w:rFonts w:hint="cs"/>
          <w:rtl/>
        </w:rPr>
        <w:t xml:space="preserve"> می‌کنند. از نظر ما، حتی پلت</w:t>
      </w:r>
      <w:r w:rsidR="0019766B" w:rsidRPr="0025250D">
        <w:rPr>
          <w:rFonts w:hint="cs"/>
          <w:rtl/>
        </w:rPr>
        <w:t>فر</w:t>
      </w:r>
      <w:r w:rsidRPr="0025250D">
        <w:rPr>
          <w:rFonts w:hint="cs"/>
          <w:rtl/>
        </w:rPr>
        <w:t>م‌هایی که توسط جوامع دفاعی و اطلاعاتی اداره</w:t>
      </w:r>
      <w:r w:rsidRPr="0025250D">
        <w:rPr>
          <w:rFonts w:hint="cs"/>
        </w:rPr>
        <w:t>‌</w:t>
      </w:r>
      <w:r w:rsidRPr="0025250D">
        <w:rPr>
          <w:rFonts w:hint="cs"/>
          <w:rtl/>
        </w:rPr>
        <w:t xml:space="preserve"> می‌شوند که تمایل به تمرکز بر</w:t>
      </w:r>
      <w:r w:rsidR="008D6F97" w:rsidRPr="0025250D">
        <w:rPr>
          <w:rtl/>
        </w:rPr>
        <w:t xml:space="preserve"> </w:t>
      </w:r>
      <w:r w:rsidRPr="0025250D">
        <w:rPr>
          <w:rFonts w:hint="cs"/>
          <w:rtl/>
        </w:rPr>
        <w:t xml:space="preserve">روی ریسک‌ها (تهدید) و </w:t>
      </w:r>
      <w:r w:rsidR="00D92F6E" w:rsidRPr="0025250D">
        <w:rPr>
          <w:rFonts w:hint="cs"/>
          <w:rtl/>
        </w:rPr>
        <w:t>بنیان‌افکن</w:t>
      </w:r>
      <w:r w:rsidRPr="0025250D">
        <w:rPr>
          <w:rFonts w:hint="cs"/>
          <w:rtl/>
        </w:rPr>
        <w:t xml:space="preserve">ی در وهله اول و فرصت‌ها و مزایا در وهله دوم دارند، نسبت به مواردی که </w:t>
      </w:r>
      <w:r w:rsidR="007118DE" w:rsidRPr="0025250D">
        <w:rPr>
          <w:rFonts w:hint="cs"/>
          <w:rtl/>
        </w:rPr>
        <w:t>اولویت‌بندی</w:t>
      </w:r>
      <w:r w:rsidRPr="0025250D">
        <w:rPr>
          <w:rFonts w:hint="cs"/>
          <w:rtl/>
        </w:rPr>
        <w:t xml:space="preserve"> </w:t>
      </w:r>
      <w:r w:rsidRPr="0025250D">
        <w:t>ADOR</w:t>
      </w:r>
      <w:r w:rsidRPr="0025250D">
        <w:rPr>
          <w:rFonts w:hint="cs"/>
          <w:rtl/>
        </w:rPr>
        <w:t xml:space="preserve"> را حفظ</w:t>
      </w:r>
      <w:r w:rsidRPr="0025250D">
        <w:rPr>
          <w:rFonts w:hint="cs"/>
        </w:rPr>
        <w:t>‌</w:t>
      </w:r>
      <w:r w:rsidRPr="0025250D">
        <w:rPr>
          <w:rFonts w:hint="cs"/>
          <w:rtl/>
        </w:rPr>
        <w:t xml:space="preserve"> می‌کنند </w:t>
      </w:r>
      <w:r w:rsidR="00923DDB" w:rsidRPr="0025250D">
        <w:rPr>
          <w:rFonts w:hint="cs"/>
          <w:rtl/>
        </w:rPr>
        <w:t>اثربخشی</w:t>
      </w:r>
      <w:r w:rsidR="00BB406C" w:rsidRPr="0025250D">
        <w:rPr>
          <w:rFonts w:hint="cs"/>
          <w:rtl/>
        </w:rPr>
        <w:t xml:space="preserve"> کم‌تر</w:t>
      </w:r>
      <w:r w:rsidRPr="0025250D">
        <w:rPr>
          <w:rFonts w:hint="cs"/>
          <w:rtl/>
        </w:rPr>
        <w:t>ی دارند.</w:t>
      </w:r>
    </w:p>
    <w:p w14:paraId="75EF2415" w14:textId="38EA32B9" w:rsidR="0020732A" w:rsidRPr="0025250D" w:rsidRDefault="0020732A" w:rsidP="0020732A">
      <w:pPr>
        <w:rPr>
          <w:rtl/>
        </w:rPr>
      </w:pPr>
      <w:r w:rsidRPr="0025250D">
        <w:rPr>
          <w:rFonts w:hint="cs"/>
          <w:rtl/>
        </w:rPr>
        <w:t xml:space="preserve">در فصل 3 بیش‌تر در مورد سوگیری </w:t>
      </w:r>
      <w:r w:rsidRPr="0025250D">
        <w:t>DROA</w:t>
      </w:r>
      <w:r w:rsidRPr="0025250D">
        <w:rPr>
          <w:rFonts w:hint="cs"/>
          <w:rtl/>
        </w:rPr>
        <w:t xml:space="preserve"> در بحث مدیریت </w:t>
      </w:r>
      <w:r w:rsidR="002B6515" w:rsidRPr="0025250D">
        <w:rPr>
          <w:rtl/>
        </w:rPr>
        <w:t>حس‌داد</w:t>
      </w:r>
      <w:r w:rsidRPr="0025250D">
        <w:rPr>
          <w:rFonts w:hint="cs"/>
          <w:rtl/>
        </w:rPr>
        <w:t xml:space="preserve"> در تیم‌هایمان صحبت خواهیم کرد. خوشبختانه، در جهانی از هوش مصنوعی فزاینده،</w:t>
      </w:r>
      <w:r w:rsidRPr="0025250D">
        <w:rPr>
          <w:rFonts w:hint="cs"/>
        </w:rPr>
        <w:t>‌</w:t>
      </w:r>
      <w:r w:rsidRPr="0025250D">
        <w:rPr>
          <w:rFonts w:hint="cs"/>
          <w:rtl/>
        </w:rPr>
        <w:t xml:space="preserve"> می‌توانیم </w:t>
      </w:r>
      <w:r w:rsidR="00D92F6E" w:rsidRPr="0025250D">
        <w:rPr>
          <w:rFonts w:hint="cs"/>
          <w:rtl/>
        </w:rPr>
        <w:t>پیش‌بین</w:t>
      </w:r>
      <w:r w:rsidRPr="0025250D">
        <w:rPr>
          <w:rFonts w:hint="cs"/>
          <w:rtl/>
        </w:rPr>
        <w:t xml:space="preserve">ی کنیم که ابزارهایی قدرتمند به شکل فزاینده‌ای برای کمک به ما در مدیریت سوگیری </w:t>
      </w:r>
      <w:r w:rsidRPr="0025250D">
        <w:t>DROA</w:t>
      </w:r>
      <w:r w:rsidRPr="0025250D">
        <w:rPr>
          <w:rFonts w:hint="cs"/>
          <w:rtl/>
        </w:rPr>
        <w:t xml:space="preserve"> و تغییر به سمت </w:t>
      </w:r>
      <w:r w:rsidR="007118DE" w:rsidRPr="0025250D">
        <w:rPr>
          <w:rFonts w:hint="cs"/>
          <w:rtl/>
        </w:rPr>
        <w:t>اولویت‌بندی</w:t>
      </w:r>
      <w:r w:rsidRPr="0025250D">
        <w:rPr>
          <w:rFonts w:hint="cs"/>
          <w:rtl/>
        </w:rPr>
        <w:t xml:space="preserve"> </w:t>
      </w:r>
      <w:r w:rsidRPr="0025250D">
        <w:t>ADOR</w:t>
      </w:r>
      <w:r w:rsidRPr="0025250D">
        <w:rPr>
          <w:rFonts w:hint="cs"/>
          <w:rtl/>
        </w:rPr>
        <w:t xml:space="preserve">، برای افرادی که به دنبال دقت و ثمر بخشی </w:t>
      </w:r>
      <w:r w:rsidRPr="0025250D">
        <w:rPr>
          <w:rtl/>
        </w:rPr>
        <w:t>آینده‌نگاری</w:t>
      </w:r>
      <w:r w:rsidRPr="0025250D">
        <w:rPr>
          <w:rFonts w:hint="cs"/>
          <w:rtl/>
        </w:rPr>
        <w:t xml:space="preserve"> بالاتر هستند، وجود خواهند داشت</w:t>
      </w:r>
      <w:r w:rsidR="008D6F97" w:rsidRPr="0025250D">
        <w:rPr>
          <w:rtl/>
        </w:rPr>
        <w:t xml:space="preserve">؛ </w:t>
      </w:r>
      <w:r w:rsidRPr="0025250D">
        <w:rPr>
          <w:rFonts w:hint="cs"/>
          <w:rtl/>
        </w:rPr>
        <w:t xml:space="preserve">اما الگوریتم‌ها و فرایند‌های انسانی ما برای اصلاح و رفع این مشکل اکنون در حال توسعه هستند. تا زمانی که ابزارهای هوش مصنوعی به شکل قابل توجهی نسبت </w:t>
      </w:r>
      <w:r w:rsidRPr="0025250D">
        <w:rPr>
          <w:rFonts w:hint="cs"/>
          <w:rtl/>
        </w:rPr>
        <w:lastRenderedPageBreak/>
        <w:t>به نیاز‌های ما شخصی‌تر و واکنشی‌تر شوند، آنچه که هوش مصنوعی شخصی</w:t>
      </w:r>
      <w:r w:rsidRPr="0025250D">
        <w:rPr>
          <w:vertAlign w:val="superscript"/>
          <w:rtl/>
        </w:rPr>
        <w:footnoteReference w:id="753"/>
      </w:r>
      <w:r w:rsidRPr="0025250D">
        <w:rPr>
          <w:rFonts w:hint="cs"/>
        </w:rPr>
        <w:t>‌</w:t>
      </w:r>
      <w:r w:rsidRPr="0025250D">
        <w:rPr>
          <w:rFonts w:hint="cs"/>
          <w:rtl/>
        </w:rPr>
        <w:t xml:space="preserve"> می‌نامیم، باید یاد بگیریم که خودمان سوگیری </w:t>
      </w:r>
      <w:r w:rsidRPr="0025250D">
        <w:t>DROA</w:t>
      </w:r>
      <w:r w:rsidRPr="0025250D">
        <w:rPr>
          <w:rFonts w:hint="cs"/>
          <w:rtl/>
        </w:rPr>
        <w:t xml:space="preserve"> را مدیریت کنیم.</w:t>
      </w:r>
    </w:p>
    <w:p w14:paraId="72482E24" w14:textId="77777777" w:rsidR="0020732A" w:rsidRPr="0025250D" w:rsidRDefault="0020732A" w:rsidP="0020732A">
      <w:pPr>
        <w:rPr>
          <w:rtl/>
        </w:rPr>
      </w:pPr>
    </w:p>
    <w:p w14:paraId="561F064D" w14:textId="77777777" w:rsidR="0020732A" w:rsidRPr="0025250D" w:rsidRDefault="0020732A" w:rsidP="0020732A">
      <w:pPr>
        <w:rPr>
          <w:rtl/>
        </w:rPr>
      </w:pPr>
    </w:p>
    <w:p w14:paraId="7F418F1C" w14:textId="77777777" w:rsidR="0020732A" w:rsidRPr="0025250D" w:rsidRDefault="0020732A" w:rsidP="009E77BD">
      <w:pPr>
        <w:pStyle w:val="Heading2"/>
        <w:rPr>
          <w:rtl/>
        </w:rPr>
      </w:pPr>
      <w:bookmarkStart w:id="20" w:name="_Toc127831285"/>
      <w:r w:rsidRPr="0025250D">
        <w:rPr>
          <w:rFonts w:hint="cs"/>
          <w:rtl/>
        </w:rPr>
        <w:lastRenderedPageBreak/>
        <w:t xml:space="preserve">پیشرفت </w:t>
      </w:r>
      <w:r w:rsidRPr="0025250D">
        <w:rPr>
          <w:rtl/>
        </w:rPr>
        <w:t>آینده‌نگاری</w:t>
      </w:r>
      <w:r w:rsidRPr="0025250D">
        <w:rPr>
          <w:rFonts w:hint="cs"/>
          <w:rtl/>
        </w:rPr>
        <w:t>، رسانه‌ای و اجتماعی</w:t>
      </w:r>
      <w:bookmarkEnd w:id="20"/>
    </w:p>
    <w:p w14:paraId="111C2EE5" w14:textId="0A9C6EF6" w:rsidR="0020732A" w:rsidRPr="0025250D" w:rsidRDefault="007118DE" w:rsidP="006335B8">
      <w:pPr>
        <w:rPr>
          <w:rtl/>
        </w:rPr>
      </w:pPr>
      <w:r w:rsidRPr="0025250D">
        <w:rPr>
          <w:rFonts w:hint="cs"/>
          <w:rtl/>
        </w:rPr>
        <w:t>همان‌طور</w:t>
      </w:r>
      <w:r w:rsidR="0020732A" w:rsidRPr="0025250D">
        <w:rPr>
          <w:rFonts w:hint="cs"/>
          <w:rtl/>
        </w:rPr>
        <w:t xml:space="preserve"> که در </w:t>
      </w:r>
      <w:r w:rsidR="0020732A" w:rsidRPr="0025250D">
        <w:t>BPE</w:t>
      </w:r>
      <w:r w:rsidR="0020732A" w:rsidRPr="0025250D">
        <w:rPr>
          <w:rFonts w:hint="cs"/>
          <w:rtl/>
        </w:rPr>
        <w:t xml:space="preserve"> با جزئیات بیش‌تر توضیح خواهیم داد، جهان ما وقتی آن را به‌عنوان یک شبکه پیچیده واحد در نظر بگیریم، به</w:t>
      </w:r>
      <w:r w:rsidR="0020732A" w:rsidRPr="0025250D">
        <w:rPr>
          <w:rtl/>
        </w:rPr>
        <w:t xml:space="preserve"> </w:t>
      </w:r>
      <w:r w:rsidR="0020732A" w:rsidRPr="0025250D">
        <w:rPr>
          <w:rFonts w:hint="cs"/>
          <w:rtl/>
        </w:rPr>
        <w:t>سرعت</w:t>
      </w:r>
      <w:r w:rsidR="0020732A" w:rsidRPr="0025250D">
        <w:rPr>
          <w:rtl/>
        </w:rPr>
        <w:t xml:space="preserve"> </w:t>
      </w:r>
      <w:r w:rsidR="0020732A" w:rsidRPr="0025250D">
        <w:rPr>
          <w:rFonts w:hint="cs"/>
          <w:rtl/>
        </w:rPr>
        <w:t>و</w:t>
      </w:r>
      <w:r w:rsidR="0020732A" w:rsidRPr="0025250D">
        <w:rPr>
          <w:rtl/>
        </w:rPr>
        <w:t xml:space="preserve"> </w:t>
      </w:r>
      <w:r w:rsidR="0020732A" w:rsidRPr="0025250D">
        <w:rPr>
          <w:rFonts w:hint="cs"/>
          <w:rtl/>
        </w:rPr>
        <w:t>به</w:t>
      </w:r>
      <w:r w:rsidR="0020732A" w:rsidRPr="0025250D">
        <w:rPr>
          <w:rtl/>
        </w:rPr>
        <w:t xml:space="preserve"> </w:t>
      </w:r>
      <w:r w:rsidR="0020732A" w:rsidRPr="0025250D">
        <w:rPr>
          <w:rFonts w:hint="cs"/>
          <w:rtl/>
        </w:rPr>
        <w:t>شکل</w:t>
      </w:r>
      <w:r w:rsidR="0020732A" w:rsidRPr="0025250D">
        <w:rPr>
          <w:rtl/>
        </w:rPr>
        <w:t xml:space="preserve">‌های </w:t>
      </w:r>
      <w:r w:rsidR="0020732A" w:rsidRPr="0025250D">
        <w:rPr>
          <w:rFonts w:hint="cs"/>
          <w:rtl/>
        </w:rPr>
        <w:t>بسیار</w:t>
      </w:r>
      <w:r w:rsidR="0020732A" w:rsidRPr="0025250D">
        <w:rPr>
          <w:rtl/>
        </w:rPr>
        <w:t xml:space="preserve"> </w:t>
      </w:r>
      <w:r w:rsidR="0020732A" w:rsidRPr="0025250D">
        <w:rPr>
          <w:rFonts w:hint="cs"/>
          <w:rtl/>
        </w:rPr>
        <w:t>زیادی</w:t>
      </w:r>
      <w:r w:rsidR="0020732A" w:rsidRPr="0025250D">
        <w:rPr>
          <w:rtl/>
        </w:rPr>
        <w:t xml:space="preserve"> </w:t>
      </w:r>
      <w:r w:rsidR="0020732A" w:rsidRPr="0025250D">
        <w:rPr>
          <w:rFonts w:hint="cs"/>
          <w:rtl/>
        </w:rPr>
        <w:t>در</w:t>
      </w:r>
      <w:r w:rsidR="0020732A" w:rsidRPr="0025250D">
        <w:rPr>
          <w:rtl/>
        </w:rPr>
        <w:t xml:space="preserve"> </w:t>
      </w:r>
      <w:r w:rsidR="0020732A" w:rsidRPr="0025250D">
        <w:rPr>
          <w:rFonts w:hint="cs"/>
          <w:rtl/>
        </w:rPr>
        <w:t>حال</w:t>
      </w:r>
      <w:r w:rsidR="0020732A" w:rsidRPr="0025250D">
        <w:rPr>
          <w:rtl/>
        </w:rPr>
        <w:t xml:space="preserve"> </w:t>
      </w:r>
      <w:r w:rsidR="0020732A" w:rsidRPr="0025250D">
        <w:rPr>
          <w:rFonts w:hint="cs"/>
          <w:rtl/>
        </w:rPr>
        <w:t>بهتر</w:t>
      </w:r>
      <w:r w:rsidR="0020732A" w:rsidRPr="0025250D">
        <w:rPr>
          <w:rtl/>
        </w:rPr>
        <w:t xml:space="preserve"> </w:t>
      </w:r>
      <w:r w:rsidR="0020732A" w:rsidRPr="0025250D">
        <w:rPr>
          <w:rFonts w:hint="cs"/>
          <w:rtl/>
        </w:rPr>
        <w:t>شدن</w:t>
      </w:r>
      <w:r w:rsidR="0020732A" w:rsidRPr="0025250D">
        <w:rPr>
          <w:rtl/>
        </w:rPr>
        <w:t xml:space="preserve"> </w:t>
      </w:r>
      <w:r w:rsidR="0020732A" w:rsidRPr="0025250D">
        <w:rPr>
          <w:rFonts w:hint="cs"/>
          <w:rtl/>
        </w:rPr>
        <w:t>است</w:t>
      </w:r>
      <w:r w:rsidR="0020732A" w:rsidRPr="0025250D">
        <w:rPr>
          <w:rtl/>
        </w:rPr>
        <w:t>.</w:t>
      </w:r>
      <w:r w:rsidR="0020732A" w:rsidRPr="0025250D">
        <w:rPr>
          <w:rFonts w:hint="cs"/>
          <w:rtl/>
        </w:rPr>
        <w:t xml:space="preserve"> کتاب‌هایی مانند </w:t>
      </w:r>
      <w:r w:rsidR="006335B8" w:rsidRPr="0025250D">
        <w:rPr>
          <w:rtl/>
        </w:rPr>
        <w:t>«</w:t>
      </w:r>
      <w:r w:rsidR="0020732A" w:rsidRPr="0025250D">
        <w:rPr>
          <w:rFonts w:hint="cs"/>
          <w:rtl/>
        </w:rPr>
        <w:t>فرشته‌هایی بهتر از ذات خودمان: چرا خشونت کاهش یافته است</w:t>
      </w:r>
      <w:r w:rsidR="0020732A" w:rsidRPr="0025250D">
        <w:rPr>
          <w:vertAlign w:val="superscript"/>
          <w:rtl/>
        </w:rPr>
        <w:footnoteReference w:id="754"/>
      </w:r>
      <w:r w:rsidR="006335B8" w:rsidRPr="0025250D">
        <w:rPr>
          <w:rtl/>
        </w:rPr>
        <w:t>»</w:t>
      </w:r>
      <w:r w:rsidR="0019766B" w:rsidRPr="0025250D">
        <w:rPr>
          <w:rFonts w:hint="cs"/>
          <w:rtl/>
        </w:rPr>
        <w:t xml:space="preserve"> در سال</w:t>
      </w:r>
      <w:r w:rsidR="0020732A" w:rsidRPr="0025250D">
        <w:rPr>
          <w:rFonts w:hint="cs"/>
          <w:rtl/>
        </w:rPr>
        <w:t xml:space="preserve"> 2011، اثر </w:t>
      </w:r>
      <w:r w:rsidR="0020732A" w:rsidRPr="0025250D">
        <w:rPr>
          <w:rtl/>
        </w:rPr>
        <w:t>است</w:t>
      </w:r>
      <w:r w:rsidR="0020732A" w:rsidRPr="0025250D">
        <w:rPr>
          <w:rFonts w:hint="cs"/>
          <w:rtl/>
        </w:rPr>
        <w:t>ی</w:t>
      </w:r>
      <w:r w:rsidR="0020732A" w:rsidRPr="0025250D">
        <w:rPr>
          <w:rFonts w:hint="eastAsia"/>
          <w:rtl/>
        </w:rPr>
        <w:t>ون</w:t>
      </w:r>
      <w:r w:rsidR="0020732A" w:rsidRPr="0025250D">
        <w:rPr>
          <w:rtl/>
        </w:rPr>
        <w:t xml:space="preserve"> پ</w:t>
      </w:r>
      <w:r w:rsidR="0020732A" w:rsidRPr="0025250D">
        <w:rPr>
          <w:rFonts w:hint="cs"/>
          <w:rtl/>
        </w:rPr>
        <w:t>ی</w:t>
      </w:r>
      <w:r w:rsidR="0020732A" w:rsidRPr="0025250D">
        <w:rPr>
          <w:rFonts w:hint="eastAsia"/>
          <w:rtl/>
        </w:rPr>
        <w:t>نکر</w:t>
      </w:r>
      <w:r w:rsidR="0020732A" w:rsidRPr="0025250D">
        <w:rPr>
          <w:vertAlign w:val="superscript"/>
          <w:rtl/>
        </w:rPr>
        <w:footnoteReference w:id="755"/>
      </w:r>
      <w:r w:rsidR="0020732A" w:rsidRPr="0025250D">
        <w:rPr>
          <w:rFonts w:hint="cs"/>
          <w:rtl/>
        </w:rPr>
        <w:t xml:space="preserve"> که روندهای‌های رو به کاهش در خشونت بین فردی در چند هزار سال اخیر را به خوبی مستند</w:t>
      </w:r>
      <w:r w:rsidR="0020732A" w:rsidRPr="0025250D">
        <w:rPr>
          <w:rFonts w:hint="cs"/>
        </w:rPr>
        <w:t>‌</w:t>
      </w:r>
      <w:r w:rsidR="0020732A" w:rsidRPr="0025250D">
        <w:rPr>
          <w:rFonts w:hint="cs"/>
          <w:rtl/>
        </w:rPr>
        <w:t xml:space="preserve"> می‌کنند و آثاری مانند </w:t>
      </w:r>
      <w:r w:rsidR="006335B8" w:rsidRPr="0025250D">
        <w:rPr>
          <w:rtl/>
        </w:rPr>
        <w:t>«</w:t>
      </w:r>
      <w:r w:rsidR="0020732A" w:rsidRPr="0025250D">
        <w:rPr>
          <w:rFonts w:hint="cs"/>
          <w:rtl/>
        </w:rPr>
        <w:t>حقیقت محوری: ده دلیل که درباره دنیا اشتباه فکر</w:t>
      </w:r>
      <w:r w:rsidR="0020732A" w:rsidRPr="0025250D">
        <w:rPr>
          <w:rFonts w:hint="cs"/>
        </w:rPr>
        <w:t>‌</w:t>
      </w:r>
      <w:r w:rsidR="0020732A" w:rsidRPr="0025250D">
        <w:rPr>
          <w:rFonts w:hint="cs"/>
          <w:rtl/>
        </w:rPr>
        <w:t xml:space="preserve"> می‌کنیم و این‌که چرا اوضاع بهتر از آن است که شما فکر</w:t>
      </w:r>
      <w:r w:rsidR="0020732A" w:rsidRPr="0025250D">
        <w:rPr>
          <w:rFonts w:hint="cs"/>
        </w:rPr>
        <w:t>‌</w:t>
      </w:r>
      <w:r w:rsidR="0020732A" w:rsidRPr="0025250D">
        <w:rPr>
          <w:rFonts w:hint="cs"/>
          <w:rtl/>
        </w:rPr>
        <w:t xml:space="preserve"> می‌کنید</w:t>
      </w:r>
      <w:r w:rsidR="0020732A" w:rsidRPr="0025250D">
        <w:rPr>
          <w:vertAlign w:val="superscript"/>
          <w:rtl/>
        </w:rPr>
        <w:footnoteReference w:id="756"/>
      </w:r>
      <w:r w:rsidR="006335B8" w:rsidRPr="0025250D">
        <w:rPr>
          <w:rFonts w:hint="cs"/>
          <w:rtl/>
        </w:rPr>
        <w:t>» در سال</w:t>
      </w:r>
      <w:r w:rsidR="0020732A" w:rsidRPr="0025250D">
        <w:rPr>
          <w:rFonts w:hint="cs"/>
          <w:rtl/>
        </w:rPr>
        <w:t xml:space="preserve"> 2018 از </w:t>
      </w:r>
      <w:r w:rsidR="0020732A" w:rsidRPr="0025250D">
        <w:rPr>
          <w:rtl/>
        </w:rPr>
        <w:t>هانس روسل</w:t>
      </w:r>
      <w:r w:rsidR="0020732A" w:rsidRPr="0025250D">
        <w:rPr>
          <w:rFonts w:hint="cs"/>
          <w:rtl/>
        </w:rPr>
        <w:t>ی</w:t>
      </w:r>
      <w:r w:rsidR="0020732A" w:rsidRPr="0025250D">
        <w:rPr>
          <w:rFonts w:hint="eastAsia"/>
          <w:rtl/>
        </w:rPr>
        <w:t>نگ</w:t>
      </w:r>
      <w:r w:rsidR="0020732A" w:rsidRPr="0025250D">
        <w:rPr>
          <w:vertAlign w:val="superscript"/>
          <w:rtl/>
        </w:rPr>
        <w:footnoteReference w:id="757"/>
      </w:r>
      <w:r w:rsidR="0020732A" w:rsidRPr="0025250D">
        <w:rPr>
          <w:rFonts w:hint="cs"/>
          <w:rtl/>
        </w:rPr>
        <w:t xml:space="preserve"> که روندهای مثبت متعددی در توسعه جهانی را مستند سازی</w:t>
      </w:r>
      <w:r w:rsidR="0020732A" w:rsidRPr="0025250D">
        <w:rPr>
          <w:rFonts w:hint="cs"/>
        </w:rPr>
        <w:t>‌</w:t>
      </w:r>
      <w:r w:rsidR="0020732A" w:rsidRPr="0025250D">
        <w:rPr>
          <w:rFonts w:hint="cs"/>
          <w:rtl/>
        </w:rPr>
        <w:t xml:space="preserve"> می‌کند، این منحنی توسعه‌ای را به خوبی توصیف</w:t>
      </w:r>
      <w:r w:rsidR="0020732A" w:rsidRPr="0025250D">
        <w:rPr>
          <w:rFonts w:hint="cs"/>
        </w:rPr>
        <w:t>‌</w:t>
      </w:r>
      <w:r w:rsidR="0020732A" w:rsidRPr="0025250D">
        <w:rPr>
          <w:rFonts w:hint="cs"/>
          <w:rtl/>
        </w:rPr>
        <w:t xml:space="preserve"> می‌کنند. </w:t>
      </w:r>
      <w:r w:rsidR="0020732A" w:rsidRPr="0025250D">
        <w:rPr>
          <w:rtl/>
        </w:rPr>
        <w:t>ب</w:t>
      </w:r>
      <w:r w:rsidR="0020732A" w:rsidRPr="0025250D">
        <w:rPr>
          <w:rFonts w:hint="cs"/>
          <w:rtl/>
        </w:rPr>
        <w:t>ی</w:t>
      </w:r>
      <w:r w:rsidR="0020732A" w:rsidRPr="0025250D">
        <w:rPr>
          <w:rFonts w:hint="eastAsia"/>
          <w:rtl/>
        </w:rPr>
        <w:t>ل</w:t>
      </w:r>
      <w:r w:rsidR="0020732A" w:rsidRPr="0025250D">
        <w:rPr>
          <w:rFonts w:hint="cs"/>
          <w:rtl/>
        </w:rPr>
        <w:t>ی</w:t>
      </w:r>
      <w:r w:rsidR="0020732A" w:rsidRPr="0025250D">
        <w:rPr>
          <w:vertAlign w:val="superscript"/>
          <w:rtl/>
        </w:rPr>
        <w:footnoteReference w:id="758"/>
      </w:r>
      <w:r w:rsidR="0020732A" w:rsidRPr="0025250D">
        <w:rPr>
          <w:rFonts w:hint="cs"/>
          <w:rtl/>
        </w:rPr>
        <w:t xml:space="preserve"> و </w:t>
      </w:r>
      <w:r w:rsidR="0020732A" w:rsidRPr="0025250D">
        <w:rPr>
          <w:rtl/>
        </w:rPr>
        <w:t>توپ</w:t>
      </w:r>
      <w:r w:rsidR="0020732A" w:rsidRPr="0025250D">
        <w:rPr>
          <w:rFonts w:hint="cs"/>
          <w:rtl/>
        </w:rPr>
        <w:t>ی</w:t>
      </w:r>
      <w:r w:rsidR="0020732A" w:rsidRPr="0025250D">
        <w:rPr>
          <w:vertAlign w:val="superscript"/>
          <w:rtl/>
        </w:rPr>
        <w:footnoteReference w:id="759"/>
      </w:r>
      <w:r w:rsidR="0020732A" w:rsidRPr="0025250D">
        <w:rPr>
          <w:rFonts w:hint="cs"/>
          <w:rtl/>
        </w:rPr>
        <w:t xml:space="preserve"> در </w:t>
      </w:r>
      <w:r w:rsidR="006335B8" w:rsidRPr="0025250D">
        <w:rPr>
          <w:rtl/>
        </w:rPr>
        <w:t>کتاب «</w:t>
      </w:r>
      <w:r w:rsidR="0020732A" w:rsidRPr="0025250D">
        <w:rPr>
          <w:rFonts w:hint="cs"/>
          <w:rtl/>
        </w:rPr>
        <w:t>ده روندی که هر فرد باهوشی باید بداند</w:t>
      </w:r>
      <w:r w:rsidR="0020732A" w:rsidRPr="0025250D">
        <w:rPr>
          <w:vertAlign w:val="superscript"/>
          <w:rtl/>
        </w:rPr>
        <w:footnoteReference w:id="760"/>
      </w:r>
      <w:r w:rsidR="006335B8" w:rsidRPr="0025250D">
        <w:rPr>
          <w:rtl/>
        </w:rPr>
        <w:t>»</w:t>
      </w:r>
      <w:r w:rsidR="0019766B" w:rsidRPr="0025250D">
        <w:rPr>
          <w:rFonts w:hint="cs"/>
          <w:rtl/>
        </w:rPr>
        <w:t xml:space="preserve"> در سال</w:t>
      </w:r>
      <w:r w:rsidR="0020732A" w:rsidRPr="0025250D">
        <w:rPr>
          <w:rFonts w:hint="cs"/>
          <w:rtl/>
        </w:rPr>
        <w:t xml:space="preserve"> 2020، همین کار را انجام</w:t>
      </w:r>
      <w:r w:rsidR="0020732A" w:rsidRPr="0025250D">
        <w:rPr>
          <w:rFonts w:hint="cs"/>
        </w:rPr>
        <w:t>‌</w:t>
      </w:r>
      <w:r w:rsidR="0020732A" w:rsidRPr="0025250D">
        <w:rPr>
          <w:rFonts w:hint="cs"/>
          <w:rtl/>
        </w:rPr>
        <w:t xml:space="preserve"> می‌دهند. چنین کتاب‌هایی می‌توانند خوانندگان خردمند را قانع کنند که جوامع ما به بسیاری شکل‌های مثبت و قابل اندازه گیری نه‌تنها در حال تکامل بلکه در حال توسعه هستند. توسعه جهانی </w:t>
      </w:r>
      <w:r w:rsidR="0019766B" w:rsidRPr="0025250D">
        <w:rPr>
          <w:rFonts w:hint="cs"/>
          <w:rtl/>
        </w:rPr>
        <w:t>متوسط</w:t>
      </w:r>
      <w:r w:rsidR="0020732A" w:rsidRPr="0025250D">
        <w:rPr>
          <w:rFonts w:hint="cs"/>
          <w:rtl/>
        </w:rPr>
        <w:t xml:space="preserve"> اعضای تمدن ما را </w:t>
      </w:r>
      <w:r w:rsidR="0019766B" w:rsidRPr="0025250D">
        <w:rPr>
          <w:rFonts w:hint="cs"/>
          <w:rtl/>
        </w:rPr>
        <w:t>انطباقی‌تر</w:t>
      </w:r>
      <w:r w:rsidR="0020732A" w:rsidRPr="0025250D">
        <w:rPr>
          <w:rFonts w:hint="cs"/>
          <w:rtl/>
        </w:rPr>
        <w:t xml:space="preserve"> می‌سازند.</w:t>
      </w:r>
    </w:p>
    <w:p w14:paraId="013FB547" w14:textId="77777777" w:rsidR="0020732A" w:rsidRPr="0025250D" w:rsidRDefault="0020732A" w:rsidP="009E77BD">
      <w:pPr>
        <w:jc w:val="center"/>
        <w:rPr>
          <w:rtl/>
        </w:rPr>
      </w:pPr>
      <w:r w:rsidRPr="0025250D">
        <w:rPr>
          <w:noProof/>
          <w:rtl/>
          <w:lang w:bidi="ar-SA"/>
        </w:rPr>
        <w:drawing>
          <wp:inline distT="0" distB="0" distL="0" distR="0" wp14:anchorId="31DF5ACA" wp14:editId="4CE0B157">
            <wp:extent cx="1134985" cy="1693628"/>
            <wp:effectExtent l="0" t="0" r="8255" b="1905"/>
            <wp:docPr id="46" name="Picture 46" descr="D:\کار\مستقل\3 ( ترجمه ی دانشگاه تهران  )\Introduction to Foresight\part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2\20.png"/>
                    <pic:cNvPicPr>
                      <a:picLocks noChangeAspect="1" noChangeArrowheads="1"/>
                    </pic:cNvPicPr>
                  </pic:nvPicPr>
                  <pic:blipFill rotWithShape="1">
                    <a:blip r:embed="rId83" cstate="screen">
                      <a:extLst>
                        <a:ext uri="{BEBA8EAE-BF5A-486C-A8C5-ECC9F3942E4B}">
                          <a14:imgProps xmlns:a14="http://schemas.microsoft.com/office/drawing/2010/main">
                            <a14:imgLayer r:embed="rId84">
                              <a14:imgEffect>
                                <a14:saturation sat="0"/>
                              </a14:imgEffect>
                            </a14:imgLayer>
                          </a14:imgProps>
                        </a:ext>
                        <a:ext uri="{28A0092B-C50C-407E-A947-70E740481C1C}">
                          <a14:useLocalDpi xmlns:a14="http://schemas.microsoft.com/office/drawing/2010/main"/>
                        </a:ext>
                      </a:extLst>
                    </a:blip>
                    <a:srcRect/>
                    <a:stretch/>
                  </pic:blipFill>
                  <pic:spPr bwMode="auto">
                    <a:xfrm>
                      <a:off x="0" y="0"/>
                      <a:ext cx="1142743" cy="1705204"/>
                    </a:xfrm>
                    <a:prstGeom prst="rect">
                      <a:avLst/>
                    </a:prstGeom>
                    <a:noFill/>
                    <a:ln>
                      <a:noFill/>
                    </a:ln>
                    <a:extLst>
                      <a:ext uri="{53640926-AAD7-44D8-BBD7-CCE9431645EC}">
                        <a14:shadowObscured xmlns:a14="http://schemas.microsoft.com/office/drawing/2010/main"/>
                      </a:ext>
                    </a:extLst>
                  </pic:spPr>
                </pic:pic>
              </a:graphicData>
            </a:graphic>
          </wp:inline>
        </w:drawing>
      </w:r>
    </w:p>
    <w:p w14:paraId="041A0D1C" w14:textId="77777777" w:rsidR="0020732A" w:rsidRPr="0025250D" w:rsidRDefault="0020732A" w:rsidP="009E77BD">
      <w:pPr>
        <w:jc w:val="center"/>
        <w:rPr>
          <w:rtl/>
        </w:rPr>
      </w:pPr>
      <w:r w:rsidRPr="0025250D">
        <w:rPr>
          <w:rtl/>
        </w:rPr>
        <w:t>روسل</w:t>
      </w:r>
      <w:r w:rsidRPr="0025250D">
        <w:rPr>
          <w:rFonts w:hint="cs"/>
          <w:rtl/>
        </w:rPr>
        <w:t>ی</w:t>
      </w:r>
      <w:r w:rsidRPr="0025250D">
        <w:rPr>
          <w:rFonts w:hint="eastAsia"/>
          <w:rtl/>
        </w:rPr>
        <w:t>نگ</w:t>
      </w:r>
      <w:r w:rsidRPr="0025250D">
        <w:rPr>
          <w:rFonts w:hint="cs"/>
          <w:rtl/>
        </w:rPr>
        <w:t>، 2018</w:t>
      </w:r>
    </w:p>
    <w:p w14:paraId="76759402" w14:textId="77777777" w:rsidR="0020732A" w:rsidRPr="0025250D" w:rsidRDefault="0020732A" w:rsidP="0020732A">
      <w:pPr>
        <w:rPr>
          <w:rtl/>
        </w:rPr>
      </w:pPr>
      <w:r w:rsidRPr="0025250D">
        <w:rPr>
          <w:rFonts w:hint="cs"/>
          <w:rtl/>
        </w:rPr>
        <w:t>متأسفانه آمریکایی‌ها، با وجود اخبار شبکه‌ای زرسالارانه</w:t>
      </w:r>
      <w:r w:rsidRPr="0025250D">
        <w:rPr>
          <w:vertAlign w:val="superscript"/>
          <w:rtl/>
        </w:rPr>
        <w:footnoteReference w:id="761"/>
      </w:r>
      <w:r w:rsidRPr="0025250D">
        <w:rPr>
          <w:rFonts w:hint="cs"/>
          <w:rtl/>
        </w:rPr>
        <w:t>، رسانه‌های اجتماعی نسل اول، آرمان</w:t>
      </w:r>
      <w:r w:rsidRPr="0025250D">
        <w:rPr>
          <w:rtl/>
        </w:rPr>
        <w:t xml:space="preserve">‌های </w:t>
      </w:r>
      <w:r w:rsidRPr="0025250D">
        <w:rPr>
          <w:rFonts w:hint="cs"/>
          <w:rtl/>
        </w:rPr>
        <w:t>فردگرایانه، تحصیل عمومی منسوخ شده و از</w:t>
      </w:r>
      <w:r w:rsidRPr="0025250D">
        <w:rPr>
          <w:rtl/>
        </w:rPr>
        <w:t xml:space="preserve"> </w:t>
      </w:r>
      <w:r w:rsidRPr="0025250D">
        <w:rPr>
          <w:rFonts w:hint="cs"/>
          <w:rtl/>
        </w:rPr>
        <w:t>دست</w:t>
      </w:r>
      <w:r w:rsidRPr="0025250D">
        <w:rPr>
          <w:rtl/>
        </w:rPr>
        <w:t xml:space="preserve"> </w:t>
      </w:r>
      <w:r w:rsidRPr="0025250D">
        <w:rPr>
          <w:rFonts w:hint="cs"/>
          <w:rtl/>
        </w:rPr>
        <w:t>دادن</w:t>
      </w:r>
      <w:r w:rsidRPr="0025250D">
        <w:rPr>
          <w:rtl/>
        </w:rPr>
        <w:t xml:space="preserve"> </w:t>
      </w:r>
      <w:r w:rsidRPr="0025250D">
        <w:rPr>
          <w:rFonts w:hint="cs"/>
          <w:rtl/>
        </w:rPr>
        <w:t>مداوم</w:t>
      </w:r>
      <w:r w:rsidRPr="0025250D">
        <w:rPr>
          <w:rtl/>
        </w:rPr>
        <w:t xml:space="preserve"> </w:t>
      </w:r>
      <w:r w:rsidRPr="0025250D">
        <w:rPr>
          <w:rFonts w:hint="cs"/>
          <w:rtl/>
        </w:rPr>
        <w:t>مشاغل</w:t>
      </w:r>
      <w:r w:rsidRPr="0025250D">
        <w:rPr>
          <w:rtl/>
        </w:rPr>
        <w:t xml:space="preserve"> </w:t>
      </w:r>
      <w:r w:rsidRPr="0025250D">
        <w:rPr>
          <w:rFonts w:hint="cs"/>
          <w:rtl/>
        </w:rPr>
        <w:t xml:space="preserve">تولیدی، در حال حاضر به طور مشخص در معرض سوگیری </w:t>
      </w:r>
      <w:r w:rsidRPr="0025250D">
        <w:t>DROA</w:t>
      </w:r>
      <w:r w:rsidRPr="0025250D">
        <w:rPr>
          <w:rFonts w:hint="cs"/>
          <w:rtl/>
        </w:rPr>
        <w:t xml:space="preserve"> هستند. در یک نظر سنجی توسط یوگوو</w:t>
      </w:r>
      <w:r w:rsidRPr="0025250D">
        <w:rPr>
          <w:vertAlign w:val="superscript"/>
          <w:rtl/>
        </w:rPr>
        <w:footnoteReference w:id="762"/>
      </w:r>
      <w:r w:rsidRPr="0025250D">
        <w:rPr>
          <w:rFonts w:hint="cs"/>
          <w:rtl/>
        </w:rPr>
        <w:t xml:space="preserve"> در</w:t>
      </w:r>
      <w:r w:rsidRPr="0025250D">
        <w:rPr>
          <w:rtl/>
        </w:rPr>
        <w:t xml:space="preserve"> </w:t>
      </w:r>
      <w:r w:rsidRPr="0025250D">
        <w:rPr>
          <w:rFonts w:hint="cs"/>
          <w:rtl/>
        </w:rPr>
        <w:t>سال</w:t>
      </w:r>
      <w:r w:rsidRPr="0025250D">
        <w:rPr>
          <w:rtl/>
        </w:rPr>
        <w:t xml:space="preserve"> 2016</w:t>
      </w:r>
      <w:r w:rsidRPr="0025250D">
        <w:rPr>
          <w:rFonts w:hint="cs"/>
          <w:rtl/>
        </w:rPr>
        <w:t>: 65 درصد از آمریکایی‌ها گفتند که جهان در حال بد‌تر شدن است، 29 درصد گفتند که به همان شکل قبل باقی مانده است و 6 درصد گفتند که به طور کلی در حال بهبود است.</w:t>
      </w:r>
    </w:p>
    <w:p w14:paraId="17BBF5D7" w14:textId="3E937BBE" w:rsidR="0020732A" w:rsidRPr="0025250D" w:rsidRDefault="007118DE" w:rsidP="0020732A">
      <w:pPr>
        <w:rPr>
          <w:rtl/>
        </w:rPr>
      </w:pPr>
      <w:r w:rsidRPr="0025250D">
        <w:rPr>
          <w:rFonts w:hint="cs"/>
          <w:rtl/>
        </w:rPr>
        <w:t>همان‌طور</w:t>
      </w:r>
      <w:r w:rsidR="0020732A" w:rsidRPr="0025250D">
        <w:rPr>
          <w:rFonts w:hint="cs"/>
          <w:rtl/>
        </w:rPr>
        <w:t xml:space="preserve"> که در این کتاب خواهیم آموخت، تنها 6 درصد روندهای حقیقی را</w:t>
      </w:r>
      <w:r w:rsidR="0020732A" w:rsidRPr="0025250D">
        <w:rPr>
          <w:rFonts w:hint="cs"/>
        </w:rPr>
        <w:t>‌</w:t>
      </w:r>
      <w:r w:rsidR="0020732A" w:rsidRPr="0025250D">
        <w:rPr>
          <w:rFonts w:hint="cs"/>
          <w:rtl/>
        </w:rPr>
        <w:t xml:space="preserve"> می‌بینند. بقیه با سرتیترهای خبری، به نقل از </w:t>
      </w:r>
      <w:r w:rsidR="0020732A" w:rsidRPr="0025250D">
        <w:rPr>
          <w:rtl/>
        </w:rPr>
        <w:t>جول</w:t>
      </w:r>
      <w:r w:rsidR="0020732A" w:rsidRPr="0025250D">
        <w:rPr>
          <w:rFonts w:hint="cs"/>
          <w:rtl/>
        </w:rPr>
        <w:t>ی</w:t>
      </w:r>
      <w:r w:rsidR="0020732A" w:rsidRPr="0025250D">
        <w:rPr>
          <w:rFonts w:hint="eastAsia"/>
          <w:rtl/>
        </w:rPr>
        <w:t>ان</w:t>
      </w:r>
      <w:r w:rsidR="0020732A" w:rsidRPr="0025250D">
        <w:rPr>
          <w:rtl/>
        </w:rPr>
        <w:t xml:space="preserve"> س</w:t>
      </w:r>
      <w:r w:rsidR="0020732A" w:rsidRPr="0025250D">
        <w:rPr>
          <w:rFonts w:hint="cs"/>
          <w:rtl/>
        </w:rPr>
        <w:t>ی</w:t>
      </w:r>
      <w:r w:rsidR="0020732A" w:rsidRPr="0025250D">
        <w:rPr>
          <w:rFonts w:hint="eastAsia"/>
          <w:rtl/>
        </w:rPr>
        <w:t>مون</w:t>
      </w:r>
      <w:r w:rsidR="0020732A" w:rsidRPr="0025250D">
        <w:rPr>
          <w:vertAlign w:val="superscript"/>
          <w:rtl/>
        </w:rPr>
        <w:footnoteReference w:id="763"/>
      </w:r>
      <w:r w:rsidR="0020732A" w:rsidRPr="0025250D">
        <w:rPr>
          <w:rFonts w:hint="cs"/>
          <w:rtl/>
        </w:rPr>
        <w:t>، فریب داده</w:t>
      </w:r>
      <w:r w:rsidR="0020732A" w:rsidRPr="0025250D">
        <w:rPr>
          <w:rFonts w:hint="cs"/>
        </w:rPr>
        <w:t>‌</w:t>
      </w:r>
      <w:r w:rsidR="0020732A" w:rsidRPr="0025250D">
        <w:rPr>
          <w:rFonts w:hint="cs"/>
          <w:rtl/>
        </w:rPr>
        <w:t xml:space="preserve"> می‌شوند. این به این معنی نیست که همه روند‌ها مثبت هستند. بسیاری از آن‌ها مثبت نیستند، حتی در جوامعی با رفاه و ثروت زیاد. نابرابری‌های بزرگی که ثروت جدید ایجاد</w:t>
      </w:r>
      <w:r w:rsidR="0020732A" w:rsidRPr="0025250D">
        <w:rPr>
          <w:rFonts w:hint="cs"/>
        </w:rPr>
        <w:t>‌</w:t>
      </w:r>
      <w:r w:rsidR="0020732A" w:rsidRPr="0025250D">
        <w:rPr>
          <w:rFonts w:hint="cs"/>
          <w:rtl/>
        </w:rPr>
        <w:t xml:space="preserve"> می‌کند، در ابتدا، تعداد زیادی از مسائل اجتماعی را ایجاد</w:t>
      </w:r>
      <w:r w:rsidR="0020732A" w:rsidRPr="0025250D">
        <w:rPr>
          <w:rFonts w:hint="cs"/>
        </w:rPr>
        <w:t>‌</w:t>
      </w:r>
      <w:r w:rsidR="0020732A" w:rsidRPr="0025250D">
        <w:rPr>
          <w:rFonts w:hint="cs"/>
          <w:rtl/>
        </w:rPr>
        <w:t xml:space="preserve"> می‌کند که باید با عملگرایی اصلاح شوند. بسیاری دیده اند که رفاه و فراوانی چگونه آزادی‌ها و مشکلات جدیدی، از جمله چاقی، دیابت، مصرف بی رویه و بیگانگی ایجاد</w:t>
      </w:r>
      <w:r w:rsidR="0020732A" w:rsidRPr="0025250D">
        <w:rPr>
          <w:rFonts w:hint="cs"/>
        </w:rPr>
        <w:t>‌</w:t>
      </w:r>
      <w:r w:rsidR="0020732A" w:rsidRPr="0025250D">
        <w:rPr>
          <w:rFonts w:hint="cs"/>
          <w:rtl/>
        </w:rPr>
        <w:t xml:space="preserve"> می‌کنند</w:t>
      </w:r>
      <w:r w:rsidR="008D6F97" w:rsidRPr="0025250D">
        <w:rPr>
          <w:rtl/>
        </w:rPr>
        <w:t xml:space="preserve">؛ </w:t>
      </w:r>
      <w:r w:rsidR="0020732A" w:rsidRPr="0025250D">
        <w:rPr>
          <w:rFonts w:hint="cs"/>
          <w:rtl/>
        </w:rPr>
        <w:t xml:space="preserve">اما برای هر کشور ثروتمندی با یک مشکل مشخص، کشور دیگری مانند نروژ، فنلاند، سنگاپور، اسرائیل یا استرالیا وجود دارد که نشان </w:t>
      </w:r>
      <w:r w:rsidR="0019766B" w:rsidRPr="0025250D">
        <w:rPr>
          <w:rFonts w:hint="cs"/>
          <w:rtl/>
        </w:rPr>
        <w:t>می‌</w:t>
      </w:r>
      <w:r w:rsidR="0020732A" w:rsidRPr="0025250D">
        <w:rPr>
          <w:rFonts w:hint="cs"/>
          <w:rtl/>
        </w:rPr>
        <w:t xml:space="preserve">دهد چگونه این مشکل را بهتر مدیریت کنیم. نه‌تنها آمریکا، بلکه اروپا، چین و روسیه همگی </w:t>
      </w:r>
      <w:r w:rsidR="00923DDB" w:rsidRPr="0025250D">
        <w:rPr>
          <w:rFonts w:hint="cs"/>
          <w:rtl/>
        </w:rPr>
        <w:t>راه‌حل</w:t>
      </w:r>
      <w:r w:rsidR="0020732A" w:rsidRPr="0025250D">
        <w:rPr>
          <w:rFonts w:hint="cs"/>
          <w:rtl/>
        </w:rPr>
        <w:t>‌های هوشمندانه مشخصی را ارائه</w:t>
      </w:r>
      <w:r w:rsidR="0020732A" w:rsidRPr="0025250D">
        <w:rPr>
          <w:rFonts w:hint="cs"/>
        </w:rPr>
        <w:t>‌</w:t>
      </w:r>
      <w:r w:rsidR="0020732A" w:rsidRPr="0025250D">
        <w:rPr>
          <w:rFonts w:hint="cs"/>
          <w:rtl/>
        </w:rPr>
        <w:t xml:space="preserve"> می‌دهند که</w:t>
      </w:r>
      <w:r w:rsidR="0020732A" w:rsidRPr="0025250D">
        <w:rPr>
          <w:rFonts w:hint="cs"/>
        </w:rPr>
        <w:t>‌</w:t>
      </w:r>
      <w:r w:rsidR="0020732A" w:rsidRPr="0025250D">
        <w:rPr>
          <w:rFonts w:hint="cs"/>
          <w:rtl/>
        </w:rPr>
        <w:t xml:space="preserve"> می‌توان از آن‌ها یاد گرفت. گستره وسیع‌تر تاریخ و بیش‌تر روندهای جهانی، به‌صورت کلی یک پیشرفت نمایی را برای بشریت نشان</w:t>
      </w:r>
      <w:r w:rsidR="0020732A" w:rsidRPr="0025250D">
        <w:rPr>
          <w:rFonts w:hint="cs"/>
        </w:rPr>
        <w:t>‌</w:t>
      </w:r>
      <w:r w:rsidR="0020732A" w:rsidRPr="0025250D">
        <w:rPr>
          <w:rFonts w:hint="cs"/>
          <w:rtl/>
        </w:rPr>
        <w:t xml:space="preserve"> می‌دهند.</w:t>
      </w:r>
    </w:p>
    <w:p w14:paraId="20D2FCEB" w14:textId="5D66D529" w:rsidR="0020732A" w:rsidRPr="0025250D" w:rsidRDefault="0020732A" w:rsidP="0020732A">
      <w:pPr>
        <w:rPr>
          <w:rtl/>
        </w:rPr>
      </w:pPr>
      <w:r w:rsidRPr="0025250D">
        <w:rPr>
          <w:rFonts w:hint="cs"/>
          <w:rtl/>
        </w:rPr>
        <w:lastRenderedPageBreak/>
        <w:t>طرح‌های نا هم راستا و شفافیت ناکافی در دولت نیز</w:t>
      </w:r>
      <w:r w:rsidRPr="0025250D">
        <w:rPr>
          <w:rFonts w:hint="cs"/>
        </w:rPr>
        <w:t>‌</w:t>
      </w:r>
      <w:r w:rsidRPr="0025250D">
        <w:rPr>
          <w:rFonts w:hint="cs"/>
          <w:rtl/>
        </w:rPr>
        <w:t xml:space="preserve"> می‌تواند مفاهیم اشتباهی از ریسک را القا کند. برخی افراد تندرو در جامعه دفاعی ما برخی دشمنان را در طول تاریخ خطرناک‌تر از آنچه واقعا هستند نشان داده اند. این سوگیری وقتی نخبگان انتظار دارند- در امنیت، قدرت یا سودآوری </w:t>
      </w:r>
      <w:r w:rsidR="00D92F6E" w:rsidRPr="0025250D">
        <w:rPr>
          <w:rFonts w:hint="cs"/>
          <w:rtl/>
        </w:rPr>
        <w:t>پیش‌بین</w:t>
      </w:r>
      <w:r w:rsidRPr="0025250D">
        <w:rPr>
          <w:rFonts w:hint="cs"/>
          <w:rtl/>
        </w:rPr>
        <w:t xml:space="preserve">ی شده </w:t>
      </w:r>
      <w:r w:rsidRPr="0025250D">
        <w:rPr>
          <w:rFonts w:cs="Times New Roman" w:hint="cs"/>
          <w:rtl/>
        </w:rPr>
        <w:t>–</w:t>
      </w:r>
      <w:r w:rsidRPr="0025250D">
        <w:rPr>
          <w:rFonts w:hint="cs"/>
          <w:rtl/>
        </w:rPr>
        <w:t xml:space="preserve"> از چنین توصیفاتی منتفع شوند تشدید</w:t>
      </w:r>
      <w:r w:rsidRPr="0025250D">
        <w:rPr>
          <w:rFonts w:hint="cs"/>
        </w:rPr>
        <w:t>‌</w:t>
      </w:r>
      <w:r w:rsidRPr="0025250D">
        <w:rPr>
          <w:rFonts w:hint="cs"/>
          <w:rtl/>
        </w:rPr>
        <w:t xml:space="preserve"> می‌شود. در مثال‌های شناخته شده، تندرو‌ترین رهبران آمریکا ما را برای مناقشات گسترده غیر ضروری فریب داده اند، از جمله حادثه خلیج </w:t>
      </w:r>
      <w:r w:rsidRPr="0025250D">
        <w:rPr>
          <w:rtl/>
        </w:rPr>
        <w:t>تونک</w:t>
      </w:r>
      <w:r w:rsidRPr="0025250D">
        <w:rPr>
          <w:rFonts w:hint="cs"/>
          <w:rtl/>
        </w:rPr>
        <w:t>ی</w:t>
      </w:r>
      <w:r w:rsidRPr="0025250D">
        <w:rPr>
          <w:rFonts w:hint="eastAsia"/>
          <w:rtl/>
        </w:rPr>
        <w:t>ن</w:t>
      </w:r>
      <w:r w:rsidRPr="0025250D">
        <w:rPr>
          <w:vertAlign w:val="superscript"/>
          <w:rtl/>
        </w:rPr>
        <w:footnoteReference w:id="764"/>
      </w:r>
      <w:r w:rsidRPr="0025250D">
        <w:rPr>
          <w:rFonts w:hint="cs"/>
          <w:rtl/>
        </w:rPr>
        <w:t xml:space="preserve"> در سال 1964 برای توجیه جنگ ویتنام (1965-1975) که از چنین توصیفاتی استفاده شد و اطلاعات اشتباهی که برای توجیه جنگ عراق (2003-2011) ایجاد شد. جهان جای خطرناکی است، اما به شکل‌هایی که معمولا به اندازه کافی درموردشان فکر</w:t>
      </w:r>
      <w:r w:rsidR="00EE4B64" w:rsidRPr="0025250D">
        <w:rPr>
          <w:rFonts w:hint="cs"/>
          <w:rtl/>
        </w:rPr>
        <w:t xml:space="preserve"> نمی‌</w:t>
      </w:r>
      <w:r w:rsidRPr="0025250D">
        <w:rPr>
          <w:rFonts w:hint="cs"/>
          <w:rtl/>
        </w:rPr>
        <w:t>کنیم. بیماری‌های مسری، برای مثال، ته</w:t>
      </w:r>
      <w:r w:rsidR="0019766B" w:rsidRPr="0025250D">
        <w:rPr>
          <w:rFonts w:hint="cs"/>
          <w:rtl/>
        </w:rPr>
        <w:t>د</w:t>
      </w:r>
      <w:r w:rsidRPr="0025250D">
        <w:rPr>
          <w:rFonts w:hint="cs"/>
          <w:rtl/>
        </w:rPr>
        <w:t xml:space="preserve">ید بسیار بزرگتری برای زندگی انسان و پیشرفت او نسبت به تروریسم گسترده (بجز تروریسم زیستی که خود یک تهدید قدیمی و بسیار جدی و واقعی است) هستند. ما این را از آنفولانزای اسپانیایی در سال 1917 آموخته ایم و افراد بسیاری ما را باز هم در مورد آن در سال‌های اخیر آگاه کرده و به ما هشدار داده اند، از جمله </w:t>
      </w:r>
      <w:r w:rsidRPr="0025250D">
        <w:rPr>
          <w:rtl/>
        </w:rPr>
        <w:t>لر</w:t>
      </w:r>
      <w:r w:rsidRPr="0025250D">
        <w:rPr>
          <w:rFonts w:hint="cs"/>
          <w:rtl/>
        </w:rPr>
        <w:t>ی</w:t>
      </w:r>
      <w:r w:rsidRPr="0025250D">
        <w:rPr>
          <w:rtl/>
        </w:rPr>
        <w:t xml:space="preserve"> برل</w:t>
      </w:r>
      <w:r w:rsidRPr="0025250D">
        <w:rPr>
          <w:rFonts w:hint="cs"/>
          <w:rtl/>
        </w:rPr>
        <w:t>ی</w:t>
      </w:r>
      <w:r w:rsidRPr="0025250D">
        <w:rPr>
          <w:rFonts w:hint="eastAsia"/>
          <w:rtl/>
        </w:rPr>
        <w:t>انت</w:t>
      </w:r>
      <w:r w:rsidRPr="0025250D">
        <w:rPr>
          <w:vertAlign w:val="superscript"/>
          <w:rtl/>
        </w:rPr>
        <w:footnoteReference w:id="765"/>
      </w:r>
      <w:r w:rsidRPr="0025250D">
        <w:rPr>
          <w:rFonts w:hint="cs"/>
          <w:rtl/>
        </w:rPr>
        <w:t xml:space="preserve"> و </w:t>
      </w:r>
      <w:r w:rsidRPr="0025250D">
        <w:rPr>
          <w:rtl/>
        </w:rPr>
        <w:t>ب</w:t>
      </w:r>
      <w:r w:rsidRPr="0025250D">
        <w:rPr>
          <w:rFonts w:hint="cs"/>
          <w:rtl/>
        </w:rPr>
        <w:t>ی</w:t>
      </w:r>
      <w:r w:rsidRPr="0025250D">
        <w:rPr>
          <w:rFonts w:hint="eastAsia"/>
          <w:rtl/>
        </w:rPr>
        <w:t>ل</w:t>
      </w:r>
      <w:r w:rsidRPr="0025250D">
        <w:rPr>
          <w:rtl/>
        </w:rPr>
        <w:t xml:space="preserve"> گ</w:t>
      </w:r>
      <w:r w:rsidRPr="0025250D">
        <w:rPr>
          <w:rFonts w:hint="cs"/>
          <w:rtl/>
        </w:rPr>
        <w:t>ی</w:t>
      </w:r>
      <w:r w:rsidRPr="0025250D">
        <w:rPr>
          <w:rFonts w:hint="eastAsia"/>
          <w:rtl/>
        </w:rPr>
        <w:t>تس</w:t>
      </w:r>
      <w:r w:rsidRPr="0025250D">
        <w:rPr>
          <w:vertAlign w:val="superscript"/>
          <w:rtl/>
        </w:rPr>
        <w:footnoteReference w:id="766"/>
      </w:r>
      <w:r w:rsidR="008D6F97" w:rsidRPr="0025250D">
        <w:rPr>
          <w:rtl/>
        </w:rPr>
        <w:t xml:space="preserve">؛ </w:t>
      </w:r>
      <w:r w:rsidR="0020589F" w:rsidRPr="0025250D">
        <w:rPr>
          <w:rtl/>
        </w:rPr>
        <w:t>اما</w:t>
      </w:r>
      <w:r w:rsidRPr="0025250D">
        <w:rPr>
          <w:rFonts w:hint="cs"/>
          <w:rtl/>
        </w:rPr>
        <w:t xml:space="preserve"> ما هشدار‌های آنان و دیگران را جدی نگرفتیم و اکنون همه گیری کووید 19 بار دیگر این حقیقت را به ما آموخت.</w:t>
      </w:r>
    </w:p>
    <w:p w14:paraId="593D859B" w14:textId="7128A54A" w:rsidR="0020732A" w:rsidRPr="0025250D" w:rsidRDefault="0020732A" w:rsidP="0020732A">
      <w:pPr>
        <w:rPr>
          <w:rtl/>
        </w:rPr>
      </w:pPr>
      <w:r w:rsidRPr="0025250D">
        <w:rPr>
          <w:rFonts w:hint="cs"/>
          <w:rtl/>
        </w:rPr>
        <w:t>همه ما قدرت اراده و توانایی محدودی برای پاسخ به خطرات داریم. اگر زمان بیداری خود را با ترس از و صحبت در مورد چیزهای غلط بگذ</w:t>
      </w:r>
      <w:r w:rsidR="0019766B" w:rsidRPr="0025250D">
        <w:rPr>
          <w:rFonts w:hint="cs"/>
          <w:rtl/>
        </w:rPr>
        <w:t>ر</w:t>
      </w:r>
      <w:r w:rsidRPr="0025250D">
        <w:rPr>
          <w:rFonts w:hint="cs"/>
          <w:rtl/>
        </w:rPr>
        <w:t>انیم، انرژی یا دید لازم برای ارزیابی و پاسخ به چیز‌هایی که حقیقتا خطرناک هستند را نخواهیم داشت. ما همچنین نخواهیم توانست جهان را به شکلی که هست، جهانی درگیر پیشرفت نابرابر اما مداوم، دیده و یاری کنیم.</w:t>
      </w:r>
    </w:p>
    <w:p w14:paraId="283B7B07" w14:textId="61585ED3" w:rsidR="0020732A" w:rsidRPr="0025250D" w:rsidRDefault="0020732A" w:rsidP="0020732A">
      <w:pPr>
        <w:rPr>
          <w:rtl/>
        </w:rPr>
      </w:pPr>
      <w:r w:rsidRPr="0025250D">
        <w:rPr>
          <w:rFonts w:hint="cs"/>
          <w:rtl/>
        </w:rPr>
        <w:t xml:space="preserve">این کتاب تمام تلاش خود را برای کمک به خواننده برای دیدن پیشرفت‌های روزانه تمدن، با نگاهی به‌صورت یک شبکه پیچیده خواهد کرد. همین پیشرفت‌ها، یا ویژگی‌های یک </w:t>
      </w:r>
      <w:r w:rsidR="008D6F97" w:rsidRPr="0025250D">
        <w:rPr>
          <w:rFonts w:hint="cs"/>
          <w:rtl/>
        </w:rPr>
        <w:t>سامانه‌</w:t>
      </w:r>
      <w:r w:rsidRPr="0025250D">
        <w:rPr>
          <w:rFonts w:hint="cs"/>
          <w:rtl/>
        </w:rPr>
        <w:t xml:space="preserve"> به‌صورت کلی هستند که فرصت‌هایی برای ما ایجاد</w:t>
      </w:r>
      <w:r w:rsidRPr="0025250D">
        <w:rPr>
          <w:rFonts w:hint="cs"/>
        </w:rPr>
        <w:t>‌</w:t>
      </w:r>
      <w:r w:rsidRPr="0025250D">
        <w:rPr>
          <w:rFonts w:hint="cs"/>
          <w:rtl/>
        </w:rPr>
        <w:t xml:space="preserve"> می‌کنند و توانایی بالقوه بیش‌تری برای رفع مشکلاتمان به ما</w:t>
      </w:r>
      <w:r w:rsidRPr="0025250D">
        <w:rPr>
          <w:rFonts w:hint="cs"/>
        </w:rPr>
        <w:t>‌</w:t>
      </w:r>
      <w:r w:rsidRPr="0025250D">
        <w:rPr>
          <w:rFonts w:hint="cs"/>
          <w:rtl/>
        </w:rPr>
        <w:t xml:space="preserve"> می‌دهند. وقتی </w:t>
      </w:r>
      <w:r w:rsidR="007118DE" w:rsidRPr="0025250D">
        <w:rPr>
          <w:rFonts w:hint="cs"/>
          <w:rtl/>
        </w:rPr>
        <w:t>اولویت‌بندی</w:t>
      </w:r>
      <w:r w:rsidRPr="0025250D">
        <w:rPr>
          <w:rFonts w:hint="cs"/>
          <w:rtl/>
        </w:rPr>
        <w:t xml:space="preserve"> </w:t>
      </w:r>
      <w:r w:rsidRPr="0025250D">
        <w:t>ADOR</w:t>
      </w:r>
      <w:r w:rsidRPr="0025250D">
        <w:rPr>
          <w:rFonts w:hint="cs"/>
          <w:rtl/>
        </w:rPr>
        <w:t xml:space="preserve"> را داشته باشیم،</w:t>
      </w:r>
      <w:r w:rsidRPr="0025250D">
        <w:rPr>
          <w:rFonts w:hint="cs"/>
        </w:rPr>
        <w:t>‌</w:t>
      </w:r>
      <w:r w:rsidRPr="0025250D">
        <w:rPr>
          <w:rFonts w:hint="cs"/>
          <w:rtl/>
        </w:rPr>
        <w:t xml:space="preserve"> می‌توانیم بسیاری از </w:t>
      </w:r>
      <w:r w:rsidR="00D92F6E" w:rsidRPr="0025250D">
        <w:rPr>
          <w:rFonts w:hint="cs"/>
          <w:rtl/>
        </w:rPr>
        <w:t>بنیان‌افکن</w:t>
      </w:r>
      <w:r w:rsidRPr="0025250D">
        <w:rPr>
          <w:rFonts w:hint="cs"/>
          <w:rtl/>
        </w:rPr>
        <w:t xml:space="preserve">ی‌ها و </w:t>
      </w:r>
      <w:r w:rsidR="006335B8" w:rsidRPr="0025250D">
        <w:rPr>
          <w:rtl/>
        </w:rPr>
        <w:t>«</w:t>
      </w:r>
      <w:r w:rsidRPr="0025250D">
        <w:rPr>
          <w:rFonts w:hint="cs"/>
          <w:rtl/>
        </w:rPr>
        <w:t>مشکلات بر سر راه پیشرفت</w:t>
      </w:r>
      <w:r w:rsidR="006335B8" w:rsidRPr="0025250D">
        <w:rPr>
          <w:rtl/>
        </w:rPr>
        <w:t>»</w:t>
      </w:r>
      <w:r w:rsidRPr="0025250D">
        <w:rPr>
          <w:rFonts w:hint="cs"/>
          <w:rtl/>
        </w:rPr>
        <w:t xml:space="preserve"> را به فرصت تبدیل کنیم. برای این کار باید به ورای تیتر‌ها برای دیدن روند‌های دارای شتاب نگاه کنیم.</w:t>
      </w:r>
    </w:p>
    <w:p w14:paraId="0CEB8EB8" w14:textId="3F5A0816" w:rsidR="0020732A" w:rsidRPr="0025250D" w:rsidRDefault="0020732A" w:rsidP="0020732A">
      <w:pPr>
        <w:rPr>
          <w:rtl/>
        </w:rPr>
      </w:pPr>
      <w:r w:rsidRPr="0025250D">
        <w:rPr>
          <w:rFonts w:hint="cs"/>
          <w:rtl/>
        </w:rPr>
        <w:t>خوشبختانه، هرچه مؤثر‌تر از گذشته‌نگاری</w:t>
      </w:r>
      <w:r w:rsidRPr="0025250D">
        <w:rPr>
          <w:vertAlign w:val="superscript"/>
          <w:rtl/>
        </w:rPr>
        <w:footnoteReference w:id="767"/>
      </w:r>
      <w:r w:rsidRPr="0025250D">
        <w:rPr>
          <w:rFonts w:hint="cs"/>
          <w:rtl/>
        </w:rPr>
        <w:t xml:space="preserve">، بینش و </w:t>
      </w:r>
      <w:r w:rsidRPr="0025250D">
        <w:rPr>
          <w:rtl/>
        </w:rPr>
        <w:t>آینده‌نگاری</w:t>
      </w:r>
      <w:r w:rsidRPr="0025250D">
        <w:rPr>
          <w:rFonts w:hint="cs"/>
          <w:rtl/>
        </w:rPr>
        <w:t xml:space="preserve"> استفاده کنیم، بیش‌تر می‌توانیم آنچه واقعا در حال رخ دادن و پدیدار شدن است را، به جای آنچه مردم</w:t>
      </w:r>
      <w:r w:rsidRPr="0025250D">
        <w:rPr>
          <w:rFonts w:hint="cs"/>
        </w:rPr>
        <w:t>‌</w:t>
      </w:r>
      <w:r w:rsidRPr="0025250D">
        <w:rPr>
          <w:rFonts w:hint="cs"/>
          <w:rtl/>
        </w:rPr>
        <w:t xml:space="preserve"> می‌خواهند در موردش صحبت کنند، ببینیم. هرچه بهتر یاد بگیریم که شکل‌های متعدد پیشرفت روزانه و هفتگی، مزایای جهانی و فرصت‌های</w:t>
      </w:r>
      <w:r w:rsidR="008D6F97" w:rsidRPr="0025250D">
        <w:rPr>
          <w:rtl/>
        </w:rPr>
        <w:t xml:space="preserve"> </w:t>
      </w:r>
      <w:r w:rsidR="001A3F0A" w:rsidRPr="0025250D">
        <w:rPr>
          <w:rFonts w:hint="cs"/>
          <w:rtl/>
        </w:rPr>
        <w:t>فردی</w:t>
      </w:r>
      <w:r w:rsidRPr="0025250D">
        <w:rPr>
          <w:rFonts w:hint="cs"/>
          <w:rtl/>
        </w:rPr>
        <w:t xml:space="preserve"> را در تحلیل </w:t>
      </w:r>
      <w:r w:rsidRPr="0025250D">
        <w:t>ADOR</w:t>
      </w:r>
      <w:r w:rsidRPr="0025250D">
        <w:rPr>
          <w:rFonts w:hint="cs"/>
          <w:rtl/>
        </w:rPr>
        <w:t xml:space="preserve"> ببینیم، بهتر</w:t>
      </w:r>
      <w:r w:rsidRPr="0025250D">
        <w:rPr>
          <w:rFonts w:hint="cs"/>
        </w:rPr>
        <w:t>‌</w:t>
      </w:r>
      <w:r w:rsidRPr="0025250D">
        <w:rPr>
          <w:rFonts w:hint="cs"/>
          <w:rtl/>
        </w:rPr>
        <w:t xml:space="preserve"> می‌توانیم راه‌هایی را که جوامع، سازمان‌ها و افراد سعی در مقابله با پیشرفت و حفظ وضعیت موجود، در جهت خدمت به برنامه‌های خود برای کسب سود و قدرت دارند، ببینیم. در نتیجه، در رهبری خود و دیگران به سمت آینده‌های بهتر و تسریع تغییر مثبت قابل اندازه گیری بهتر</w:t>
      </w:r>
      <w:r w:rsidRPr="0025250D">
        <w:rPr>
          <w:rFonts w:hint="cs"/>
        </w:rPr>
        <w:t>‌</w:t>
      </w:r>
      <w:r w:rsidRPr="0025250D">
        <w:rPr>
          <w:rFonts w:hint="cs"/>
          <w:rtl/>
        </w:rPr>
        <w:t xml:space="preserve"> می‌شویم.</w:t>
      </w:r>
    </w:p>
    <w:p w14:paraId="43CECDC9" w14:textId="77777777" w:rsidR="0020732A" w:rsidRPr="0025250D" w:rsidRDefault="0020732A" w:rsidP="0020732A">
      <w:pPr>
        <w:rPr>
          <w:rtl/>
        </w:rPr>
      </w:pPr>
    </w:p>
    <w:p w14:paraId="6FB9608C" w14:textId="77777777" w:rsidR="0020732A" w:rsidRPr="0025250D" w:rsidRDefault="0020732A" w:rsidP="0020732A">
      <w:pPr>
        <w:rPr>
          <w:rtl/>
        </w:rPr>
      </w:pPr>
    </w:p>
    <w:p w14:paraId="35B9D478" w14:textId="77777777" w:rsidR="0020732A" w:rsidRPr="0025250D" w:rsidRDefault="0020732A" w:rsidP="0020732A">
      <w:pPr>
        <w:rPr>
          <w:rtl/>
        </w:rPr>
      </w:pPr>
    </w:p>
    <w:p w14:paraId="3518D1F1" w14:textId="77777777" w:rsidR="0020732A" w:rsidRPr="0025250D" w:rsidRDefault="0020732A" w:rsidP="0020732A">
      <w:pPr>
        <w:rPr>
          <w:rtl/>
        </w:rPr>
      </w:pPr>
    </w:p>
    <w:p w14:paraId="143AD5EF" w14:textId="77777777" w:rsidR="0020732A" w:rsidRPr="0025250D" w:rsidRDefault="0020732A" w:rsidP="0020732A">
      <w:pPr>
        <w:rPr>
          <w:rtl/>
        </w:rPr>
      </w:pPr>
    </w:p>
    <w:p w14:paraId="627A64A3" w14:textId="3A4EDDAD" w:rsidR="0020732A" w:rsidRPr="0025250D" w:rsidRDefault="001F5BB0" w:rsidP="009E77BD">
      <w:pPr>
        <w:pStyle w:val="Heading2"/>
        <w:rPr>
          <w:rtl/>
        </w:rPr>
      </w:pPr>
      <w:bookmarkStart w:id="21" w:name="_Toc127831286"/>
      <w:r w:rsidRPr="0025250D">
        <w:rPr>
          <w:rFonts w:hint="cs"/>
          <w:rtl/>
        </w:rPr>
        <w:lastRenderedPageBreak/>
        <w:t>د</w:t>
      </w:r>
      <w:r w:rsidR="0020732A" w:rsidRPr="0025250D">
        <w:rPr>
          <w:rFonts w:hint="cs"/>
          <w:rtl/>
        </w:rPr>
        <w:t xml:space="preserve">نیای شگفت انگیز و چالش برانگیز </w:t>
      </w:r>
      <w:r w:rsidR="0020732A" w:rsidRPr="0025250D">
        <w:rPr>
          <w:rtl/>
        </w:rPr>
        <w:t>آینده‌نگاری</w:t>
      </w:r>
      <w:bookmarkEnd w:id="21"/>
    </w:p>
    <w:p w14:paraId="0C73B848" w14:textId="6DF1EC92" w:rsidR="0020732A" w:rsidRPr="0025250D" w:rsidRDefault="0020732A" w:rsidP="0020732A">
      <w:pPr>
        <w:rPr>
          <w:rtl/>
        </w:rPr>
      </w:pPr>
      <w:r w:rsidRPr="0025250D">
        <w:rPr>
          <w:rFonts w:hint="cs"/>
          <w:rtl/>
        </w:rPr>
        <w:t xml:space="preserve">به نظر ما اصطلاح </w:t>
      </w:r>
      <w:r w:rsidR="006335B8" w:rsidRPr="0025250D">
        <w:rPr>
          <w:rtl/>
        </w:rPr>
        <w:t>«</w:t>
      </w:r>
      <w:r w:rsidRPr="0025250D">
        <w:rPr>
          <w:rFonts w:hint="cs"/>
          <w:rtl/>
        </w:rPr>
        <w:t>دنیای</w:t>
      </w:r>
      <w:r w:rsidRPr="0025250D">
        <w:rPr>
          <w:rtl/>
        </w:rPr>
        <w:t xml:space="preserve"> </w:t>
      </w:r>
      <w:r w:rsidRPr="0025250D">
        <w:rPr>
          <w:rFonts w:hint="cs"/>
          <w:rtl/>
        </w:rPr>
        <w:t>شگفت</w:t>
      </w:r>
      <w:r w:rsidRPr="0025250D">
        <w:rPr>
          <w:rtl/>
        </w:rPr>
        <w:t xml:space="preserve"> </w:t>
      </w:r>
      <w:r w:rsidRPr="0025250D">
        <w:rPr>
          <w:rFonts w:hint="cs"/>
          <w:rtl/>
        </w:rPr>
        <w:t>انگیز</w:t>
      </w:r>
      <w:r w:rsidRPr="0025250D">
        <w:rPr>
          <w:rtl/>
        </w:rPr>
        <w:t xml:space="preserve"> </w:t>
      </w:r>
      <w:r w:rsidRPr="0025250D">
        <w:rPr>
          <w:rFonts w:hint="cs"/>
          <w:rtl/>
        </w:rPr>
        <w:t>و</w:t>
      </w:r>
      <w:r w:rsidRPr="0025250D">
        <w:rPr>
          <w:rtl/>
        </w:rPr>
        <w:t xml:space="preserve"> </w:t>
      </w:r>
      <w:r w:rsidRPr="0025250D">
        <w:rPr>
          <w:rFonts w:hint="cs"/>
          <w:rtl/>
        </w:rPr>
        <w:t>چالش</w:t>
      </w:r>
      <w:r w:rsidRPr="0025250D">
        <w:rPr>
          <w:rtl/>
        </w:rPr>
        <w:t xml:space="preserve"> </w:t>
      </w:r>
      <w:r w:rsidRPr="0025250D">
        <w:rPr>
          <w:rFonts w:hint="cs"/>
          <w:rtl/>
        </w:rPr>
        <w:t>برانگیز</w:t>
      </w:r>
      <w:r w:rsidRPr="0025250D">
        <w:rPr>
          <w:rtl/>
        </w:rPr>
        <w:t xml:space="preserve"> آینده‌نگاری</w:t>
      </w:r>
      <w:r w:rsidR="006335B8" w:rsidRPr="0025250D">
        <w:rPr>
          <w:rtl/>
        </w:rPr>
        <w:t>»</w:t>
      </w:r>
      <w:r w:rsidRPr="0025250D">
        <w:rPr>
          <w:rFonts w:hint="cs"/>
          <w:rtl/>
        </w:rPr>
        <w:t xml:space="preserve"> خلاصه خوبی از ذات و طبیعت زمینه </w:t>
      </w:r>
      <w:r w:rsidR="0019766B" w:rsidRPr="0025250D">
        <w:rPr>
          <w:rFonts w:hint="cs"/>
          <w:rtl/>
        </w:rPr>
        <w:t>آینده‌نگاری است</w:t>
      </w:r>
      <w:r w:rsidRPr="0025250D">
        <w:rPr>
          <w:rFonts w:hint="cs"/>
          <w:rtl/>
        </w:rPr>
        <w:t xml:space="preserve">. ما همواره در حال متوازن‌سازی امیدها و مشکلات، </w:t>
      </w:r>
      <w:r w:rsidR="00B56611" w:rsidRPr="0025250D">
        <w:rPr>
          <w:rFonts w:hint="cs"/>
          <w:rtl/>
        </w:rPr>
        <w:t>چشم‌انداز</w:t>
      </w:r>
      <w:r w:rsidRPr="0025250D">
        <w:rPr>
          <w:rFonts w:hint="cs"/>
          <w:rtl/>
        </w:rPr>
        <w:t xml:space="preserve">‌ها و کابوس‌ها هستیم. </w:t>
      </w:r>
      <w:r w:rsidRPr="0025250D">
        <w:rPr>
          <w:rtl/>
        </w:rPr>
        <w:t xml:space="preserve">آینده‌نگاری </w:t>
      </w:r>
      <w:r w:rsidRPr="0025250D">
        <w:rPr>
          <w:rFonts w:hint="cs"/>
        </w:rPr>
        <w:t>‌</w:t>
      </w:r>
      <w:r w:rsidRPr="0025250D">
        <w:rPr>
          <w:rFonts w:hint="cs"/>
          <w:rtl/>
        </w:rPr>
        <w:t xml:space="preserve"> می‌تواند به ما کمک کند که مزایا و فرصت‌های شگفت انگیز جدید را ببینیم و در مقابل </w:t>
      </w:r>
      <w:r w:rsidR="00D92F6E" w:rsidRPr="0025250D">
        <w:rPr>
          <w:rFonts w:hint="cs"/>
          <w:rtl/>
        </w:rPr>
        <w:t>بنیان‌افکن</w:t>
      </w:r>
      <w:r w:rsidRPr="0025250D">
        <w:rPr>
          <w:rFonts w:hint="cs"/>
          <w:rtl/>
        </w:rPr>
        <w:t>ی‌ها و ریسک‌ها از خود دفاع کنیم، اما این کار سا</w:t>
      </w:r>
      <w:r w:rsidR="0019766B" w:rsidRPr="0025250D">
        <w:rPr>
          <w:rFonts w:hint="cs"/>
          <w:rtl/>
        </w:rPr>
        <w:t>د</w:t>
      </w:r>
      <w:r w:rsidRPr="0025250D">
        <w:rPr>
          <w:rFonts w:hint="cs"/>
          <w:rtl/>
        </w:rPr>
        <w:t xml:space="preserve">ه نیست. باید خود را دائما برای </w:t>
      </w:r>
      <w:r w:rsidR="0019766B" w:rsidRPr="0025250D">
        <w:rPr>
          <w:rFonts w:hint="cs"/>
          <w:rtl/>
        </w:rPr>
        <w:t>آ</w:t>
      </w:r>
      <w:r w:rsidRPr="0025250D">
        <w:rPr>
          <w:rFonts w:hint="cs"/>
          <w:rtl/>
        </w:rPr>
        <w:t>شکار</w:t>
      </w:r>
      <w:r w:rsidRPr="0025250D">
        <w:rPr>
          <w:rtl/>
        </w:rPr>
        <w:t xml:space="preserve"> </w:t>
      </w:r>
      <w:r w:rsidRPr="0025250D">
        <w:rPr>
          <w:rFonts w:hint="cs"/>
          <w:rtl/>
        </w:rPr>
        <w:t>کردن</w:t>
      </w:r>
      <w:r w:rsidRPr="0025250D">
        <w:rPr>
          <w:rtl/>
        </w:rPr>
        <w:t xml:space="preserve"> </w:t>
      </w:r>
      <w:r w:rsidRPr="0025250D">
        <w:t>ADOR</w:t>
      </w:r>
      <w:r w:rsidRPr="0025250D">
        <w:rPr>
          <w:rFonts w:hint="cs"/>
          <w:rtl/>
        </w:rPr>
        <w:t xml:space="preserve"> در راستای توسعه </w:t>
      </w:r>
      <w:r w:rsidR="00701E03" w:rsidRPr="0025250D">
        <w:rPr>
          <w:rFonts w:hint="cs"/>
          <w:rtl/>
        </w:rPr>
        <w:t>راهبرد</w:t>
      </w:r>
      <w:r w:rsidRPr="0025250D">
        <w:rPr>
          <w:rFonts w:hint="cs"/>
          <w:rtl/>
        </w:rPr>
        <w:t xml:space="preserve"> برای آن، اقدام مطابق اخلاق و </w:t>
      </w:r>
      <w:r w:rsidR="00A936B3" w:rsidRPr="0025250D">
        <w:rPr>
          <w:rFonts w:hint="cs"/>
          <w:rtl/>
        </w:rPr>
        <w:t>همدلی</w:t>
      </w:r>
      <w:r w:rsidRPr="0025250D">
        <w:rPr>
          <w:rFonts w:hint="cs"/>
          <w:rtl/>
        </w:rPr>
        <w:t xml:space="preserve"> و </w:t>
      </w:r>
      <w:r w:rsidR="00AE5BE0" w:rsidRPr="0025250D">
        <w:rPr>
          <w:rFonts w:hint="cs"/>
          <w:rtl/>
        </w:rPr>
        <w:t>انطباق</w:t>
      </w:r>
      <w:r w:rsidRPr="0025250D">
        <w:rPr>
          <w:rFonts w:hint="cs"/>
          <w:rtl/>
        </w:rPr>
        <w:t xml:space="preserve"> بهتر به چالش بکشیم.</w:t>
      </w:r>
    </w:p>
    <w:p w14:paraId="4E714752" w14:textId="4B909010" w:rsidR="0020732A" w:rsidRPr="0025250D" w:rsidRDefault="0020732A" w:rsidP="0020732A">
      <w:pPr>
        <w:rPr>
          <w:rtl/>
        </w:rPr>
      </w:pPr>
      <w:r w:rsidRPr="0025250D">
        <w:rPr>
          <w:rFonts w:hint="cs"/>
          <w:rtl/>
        </w:rPr>
        <w:t xml:space="preserve">امروز زمان هیجان انگیزی برای کار </w:t>
      </w:r>
      <w:r w:rsidRPr="0025250D">
        <w:rPr>
          <w:rtl/>
        </w:rPr>
        <w:t>آینده‌نگاری</w:t>
      </w:r>
      <w:r w:rsidR="008D6F97" w:rsidRPr="0025250D">
        <w:rPr>
          <w:rtl/>
        </w:rPr>
        <w:t xml:space="preserve"> </w:t>
      </w:r>
      <w:r w:rsidRPr="0025250D">
        <w:rPr>
          <w:rFonts w:hint="cs"/>
          <w:rtl/>
        </w:rPr>
        <w:t xml:space="preserve">است </w:t>
      </w:r>
      <w:r w:rsidRPr="0025250D">
        <w:rPr>
          <w:rFonts w:cs="Times New Roman" w:hint="cs"/>
          <w:rtl/>
        </w:rPr>
        <w:t>–</w:t>
      </w:r>
      <w:r w:rsidRPr="0025250D">
        <w:rPr>
          <w:rFonts w:hint="cs"/>
          <w:rtl/>
        </w:rPr>
        <w:t xml:space="preserve"> جامعه ما هیچگاه پیچیده‌تر و سریع‌تر از اکنون نبوده و هیچگاه ابزارها و فرصت‌های بیش‌تری برای بهبود قابل توجه زندگی‌های خود، تیم‌هایمان، سازمان هایمان و جهانمان نداشته ایم. البته مشکلات و تهدیدی‌های زیادی را نیز باید مدیریت کنیم. به علاوه، </w:t>
      </w:r>
      <w:r w:rsidR="007118DE" w:rsidRPr="0025250D">
        <w:rPr>
          <w:rFonts w:hint="cs"/>
          <w:rtl/>
        </w:rPr>
        <w:t>همان‌طور</w:t>
      </w:r>
      <w:r w:rsidRPr="0025250D">
        <w:rPr>
          <w:rFonts w:hint="cs"/>
          <w:rtl/>
        </w:rPr>
        <w:t xml:space="preserve"> که توانایی‌های فنی ما رشد کرده‌اند، تهدید‌ها و سختی‌های کهنه محیطی از نظر شدت و قدرت کاهش </w:t>
      </w:r>
      <w:r w:rsidR="0008779C" w:rsidRPr="0025250D">
        <w:rPr>
          <w:rFonts w:hint="cs"/>
          <w:rtl/>
        </w:rPr>
        <w:t>یافته‌اند</w:t>
      </w:r>
      <w:r w:rsidRPr="0025250D">
        <w:rPr>
          <w:rFonts w:hint="cs"/>
          <w:rtl/>
        </w:rPr>
        <w:t xml:space="preserve">. بجای </w:t>
      </w:r>
      <w:r w:rsidR="0019766B" w:rsidRPr="0025250D">
        <w:rPr>
          <w:rFonts w:hint="cs"/>
          <w:rtl/>
        </w:rPr>
        <w:t>آ</w:t>
      </w:r>
      <w:r w:rsidRPr="0025250D">
        <w:rPr>
          <w:rFonts w:hint="cs"/>
          <w:rtl/>
        </w:rPr>
        <w:t xml:space="preserve">ن‌ها، مسائل و تحولات جدیدی ایجاد </w:t>
      </w:r>
      <w:r w:rsidR="00185F3E" w:rsidRPr="0025250D">
        <w:rPr>
          <w:rFonts w:hint="cs"/>
          <w:rtl/>
        </w:rPr>
        <w:t>شده‌اند</w:t>
      </w:r>
      <w:r w:rsidRPr="0025250D">
        <w:rPr>
          <w:rFonts w:hint="cs"/>
          <w:rtl/>
        </w:rPr>
        <w:t xml:space="preserve"> و به مرکز توجه تبدیل </w:t>
      </w:r>
      <w:r w:rsidR="00185F3E" w:rsidRPr="0025250D">
        <w:rPr>
          <w:rFonts w:hint="cs"/>
          <w:rtl/>
        </w:rPr>
        <w:t>شده‌اند</w:t>
      </w:r>
      <w:r w:rsidRPr="0025250D">
        <w:rPr>
          <w:rFonts w:hint="cs"/>
          <w:rtl/>
        </w:rPr>
        <w:t xml:space="preserve">؛ مواردی که خودمان برای خودمان به دلیل ظرفیت فزاینده مان برای دستکاری و تغییر محیط ایجاد </w:t>
      </w:r>
      <w:r w:rsidR="00950293" w:rsidRPr="0025250D">
        <w:rPr>
          <w:rFonts w:hint="cs"/>
          <w:rtl/>
        </w:rPr>
        <w:t>کرده‌ایم</w:t>
      </w:r>
      <w:r w:rsidRPr="0025250D">
        <w:rPr>
          <w:rFonts w:hint="cs"/>
          <w:rtl/>
        </w:rPr>
        <w:t>. ما این چالش‌ها را مشکلات پیشرفت</w:t>
      </w:r>
      <w:r w:rsidRPr="0025250D">
        <w:rPr>
          <w:vertAlign w:val="superscript"/>
          <w:rtl/>
        </w:rPr>
        <w:footnoteReference w:id="768"/>
      </w:r>
      <w:r w:rsidRPr="0025250D">
        <w:rPr>
          <w:rFonts w:hint="cs"/>
        </w:rPr>
        <w:t>‌</w:t>
      </w:r>
      <w:r w:rsidRPr="0025250D">
        <w:rPr>
          <w:rFonts w:hint="cs"/>
          <w:rtl/>
        </w:rPr>
        <w:t xml:space="preserve"> می‌نامیم و بسیاری از آن‌ها را در </w:t>
      </w:r>
      <w:r w:rsidRPr="0025250D">
        <w:t>BPE</w:t>
      </w:r>
      <w:r w:rsidRPr="0025250D">
        <w:rPr>
          <w:rFonts w:hint="cs"/>
          <w:rtl/>
        </w:rPr>
        <w:t xml:space="preserve"> بررسی خواهیم کرد.</w:t>
      </w:r>
    </w:p>
    <w:p w14:paraId="6AC9F239" w14:textId="34D48912" w:rsidR="0020732A" w:rsidRPr="0025250D" w:rsidRDefault="0020732A" w:rsidP="0020732A">
      <w:pPr>
        <w:rPr>
          <w:rtl/>
        </w:rPr>
      </w:pPr>
      <w:r w:rsidRPr="0025250D">
        <w:rPr>
          <w:rFonts w:hint="cs"/>
          <w:rtl/>
        </w:rPr>
        <w:t>ما گونه‌ای هستیم که به طرز شگفت انگیزی موفق بوده ایم. به عقیده برخی، از نظر تعداد کل و تأثیرات عمدی و غیر عمدی مان بر جهان بیش‌ازحد موفق بوده ایم. ما</w:t>
      </w:r>
      <w:r w:rsidRPr="0025250D">
        <w:rPr>
          <w:rtl/>
        </w:rPr>
        <w:t xml:space="preserve"> </w:t>
      </w:r>
      <w:r w:rsidRPr="0025250D">
        <w:rPr>
          <w:rFonts w:hint="cs"/>
          <w:rtl/>
        </w:rPr>
        <w:t>اکنون</w:t>
      </w:r>
      <w:r w:rsidRPr="0025250D">
        <w:rPr>
          <w:rtl/>
        </w:rPr>
        <w:t xml:space="preserve"> </w:t>
      </w:r>
      <w:r w:rsidRPr="0025250D">
        <w:rPr>
          <w:rFonts w:hint="cs"/>
          <w:rtl/>
        </w:rPr>
        <w:t>در</w:t>
      </w:r>
      <w:r w:rsidRPr="0025250D">
        <w:rPr>
          <w:rtl/>
        </w:rPr>
        <w:t xml:space="preserve"> </w:t>
      </w:r>
      <w:r w:rsidRPr="0025250D">
        <w:rPr>
          <w:rFonts w:hint="cs"/>
          <w:rtl/>
        </w:rPr>
        <w:t>یک</w:t>
      </w:r>
      <w:r w:rsidRPr="0025250D">
        <w:rPr>
          <w:rtl/>
        </w:rPr>
        <w:t xml:space="preserve"> </w:t>
      </w:r>
      <w:r w:rsidRPr="0025250D">
        <w:rPr>
          <w:rFonts w:hint="cs"/>
          <w:rtl/>
        </w:rPr>
        <w:t>دوره</w:t>
      </w:r>
      <w:r w:rsidRPr="0025250D">
        <w:rPr>
          <w:rtl/>
        </w:rPr>
        <w:t xml:space="preserve"> </w:t>
      </w:r>
      <w:r w:rsidRPr="0025250D">
        <w:rPr>
          <w:rFonts w:hint="cs"/>
          <w:rtl/>
        </w:rPr>
        <w:t>زمین</w:t>
      </w:r>
      <w:r w:rsidRPr="0025250D">
        <w:rPr>
          <w:rtl/>
        </w:rPr>
        <w:t xml:space="preserve"> </w:t>
      </w:r>
      <w:r w:rsidRPr="0025250D">
        <w:rPr>
          <w:rFonts w:hint="cs"/>
          <w:rtl/>
        </w:rPr>
        <w:t>شناسی</w:t>
      </w:r>
      <w:r w:rsidRPr="0025250D">
        <w:rPr>
          <w:rtl/>
        </w:rPr>
        <w:t xml:space="preserve"> </w:t>
      </w:r>
      <w:r w:rsidRPr="0025250D">
        <w:rPr>
          <w:rFonts w:hint="cs"/>
          <w:rtl/>
        </w:rPr>
        <w:t>زندگی</w:t>
      </w:r>
      <w:r w:rsidRPr="0025250D">
        <w:t>‌</w:t>
      </w:r>
      <w:r w:rsidRPr="0025250D">
        <w:rPr>
          <w:rtl/>
        </w:rPr>
        <w:t xml:space="preserve"> می‌</w:t>
      </w:r>
      <w:r w:rsidRPr="0025250D">
        <w:rPr>
          <w:rFonts w:hint="cs"/>
          <w:rtl/>
        </w:rPr>
        <w:t>کنیم</w:t>
      </w:r>
      <w:r w:rsidRPr="0025250D">
        <w:rPr>
          <w:rtl/>
        </w:rPr>
        <w:t xml:space="preserve"> </w:t>
      </w:r>
      <w:r w:rsidRPr="0025250D">
        <w:rPr>
          <w:rFonts w:hint="cs"/>
          <w:rtl/>
        </w:rPr>
        <w:t>که</w:t>
      </w:r>
      <w:r w:rsidRPr="0025250D">
        <w:rPr>
          <w:rtl/>
        </w:rPr>
        <w:t xml:space="preserve"> </w:t>
      </w:r>
      <w:r w:rsidRPr="0025250D">
        <w:rPr>
          <w:rFonts w:hint="cs"/>
          <w:rtl/>
        </w:rPr>
        <w:t>خودمان</w:t>
      </w:r>
      <w:r w:rsidRPr="0025250D">
        <w:rPr>
          <w:rtl/>
        </w:rPr>
        <w:t xml:space="preserve"> </w:t>
      </w:r>
      <w:r w:rsidRPr="0025250D">
        <w:rPr>
          <w:rFonts w:hint="cs"/>
          <w:rtl/>
        </w:rPr>
        <w:t>ساخته</w:t>
      </w:r>
      <w:r w:rsidRPr="0025250D">
        <w:rPr>
          <w:rtl/>
        </w:rPr>
        <w:t xml:space="preserve"> </w:t>
      </w:r>
      <w:r w:rsidRPr="0025250D">
        <w:rPr>
          <w:rFonts w:hint="cs"/>
          <w:rtl/>
        </w:rPr>
        <w:t xml:space="preserve">ایم </w:t>
      </w:r>
      <w:r w:rsidRPr="0025250D">
        <w:rPr>
          <w:rFonts w:cs="Times New Roman" w:hint="cs"/>
          <w:rtl/>
        </w:rPr>
        <w:t>–</w:t>
      </w:r>
      <w:r w:rsidRPr="0025250D">
        <w:rPr>
          <w:rFonts w:hint="cs"/>
          <w:rtl/>
        </w:rPr>
        <w:t xml:space="preserve"> به نام </w:t>
      </w:r>
      <w:r w:rsidRPr="0025250D">
        <w:rPr>
          <w:rtl/>
        </w:rPr>
        <w:t>آنتروپوسن</w:t>
      </w:r>
      <w:r w:rsidRPr="0025250D">
        <w:rPr>
          <w:vertAlign w:val="superscript"/>
          <w:rtl/>
        </w:rPr>
        <w:footnoteReference w:id="769"/>
      </w:r>
      <w:r w:rsidRPr="0025250D">
        <w:rPr>
          <w:rFonts w:hint="cs"/>
          <w:rtl/>
        </w:rPr>
        <w:t xml:space="preserve"> </w:t>
      </w:r>
      <w:r w:rsidRPr="0025250D">
        <w:rPr>
          <w:rFonts w:cs="Times New Roman" w:hint="cs"/>
          <w:rtl/>
        </w:rPr>
        <w:t>–</w:t>
      </w:r>
      <w:r w:rsidRPr="0025250D">
        <w:rPr>
          <w:rFonts w:hint="cs"/>
          <w:rtl/>
        </w:rPr>
        <w:t xml:space="preserve"> دوره‌ای از تغییر محیطی ارادی در مقیاس بزرگ، از جمله تغییرات اقلیمی ساخته دست بشر. </w:t>
      </w:r>
      <w:r w:rsidRPr="0025250D">
        <w:rPr>
          <w:rtl/>
        </w:rPr>
        <w:t>آنتروپوسن</w:t>
      </w:r>
      <w:r w:rsidRPr="0025250D">
        <w:rPr>
          <w:rFonts w:hint="cs"/>
          <w:rtl/>
        </w:rPr>
        <w:t xml:space="preserve"> تقریبا 8000 سال قبل آغاز شد. در آن زمان تنها ده میلیون انسان بر روی زمین زندگی</w:t>
      </w:r>
      <w:r w:rsidRPr="0025250D">
        <w:rPr>
          <w:rFonts w:hint="cs"/>
        </w:rPr>
        <w:t>‌</w:t>
      </w:r>
      <w:r w:rsidRPr="0025250D">
        <w:rPr>
          <w:rFonts w:hint="cs"/>
          <w:rtl/>
        </w:rPr>
        <w:t xml:space="preserve"> می‌کردند. با این حال، حتی آن زمان، تعداد زیادی از انسان‌های اولیه‌ای که عملکرد پایداری نداشتند ظاهرا توانسته</w:t>
      </w:r>
      <w:r w:rsidR="0019766B" w:rsidRPr="0025250D">
        <w:rPr>
          <w:rFonts w:hint="cs"/>
          <w:rtl/>
        </w:rPr>
        <w:t>‌</w:t>
      </w:r>
      <w:r w:rsidRPr="0025250D">
        <w:rPr>
          <w:rFonts w:hint="cs"/>
          <w:rtl/>
        </w:rPr>
        <w:t xml:space="preserve">اند یک پنج سرزمین‌های غیر یخ زده زمین را برای جنگل زدایی و شکار بسوزانند. حتی قبل‌تر از آن، برخی از گونه‌های عظیم الجثه قدیمی بر روی زمین را تا حد انقراض آن‌ها شکار </w:t>
      </w:r>
      <w:r w:rsidR="00950293" w:rsidRPr="0025250D">
        <w:rPr>
          <w:rFonts w:hint="cs"/>
          <w:rtl/>
        </w:rPr>
        <w:t>کرده‌ایم</w:t>
      </w:r>
      <w:r w:rsidRPr="0025250D">
        <w:rPr>
          <w:rFonts w:hint="cs"/>
          <w:rtl/>
        </w:rPr>
        <w:t>.</w:t>
      </w:r>
    </w:p>
    <w:p w14:paraId="605E61F3" w14:textId="35BD20F0" w:rsidR="0020732A" w:rsidRPr="0025250D" w:rsidRDefault="0020732A" w:rsidP="0020732A">
      <w:pPr>
        <w:rPr>
          <w:rtl/>
        </w:rPr>
      </w:pPr>
      <w:r w:rsidRPr="0025250D">
        <w:rPr>
          <w:rFonts w:hint="cs"/>
          <w:rtl/>
        </w:rPr>
        <w:t xml:space="preserve">درحالی که برخی جوامع وجود </w:t>
      </w:r>
      <w:r w:rsidR="00B124DE" w:rsidRPr="0025250D">
        <w:rPr>
          <w:rFonts w:hint="cs"/>
          <w:rtl/>
        </w:rPr>
        <w:t>داشته‌اند</w:t>
      </w:r>
      <w:r w:rsidRPr="0025250D">
        <w:rPr>
          <w:rFonts w:hint="cs"/>
          <w:rtl/>
        </w:rPr>
        <w:t xml:space="preserve"> که در توازن با زمین زندگی</w:t>
      </w:r>
      <w:r w:rsidRPr="0025250D">
        <w:rPr>
          <w:rFonts w:hint="cs"/>
        </w:rPr>
        <w:t>‌</w:t>
      </w:r>
      <w:r w:rsidRPr="0025250D">
        <w:rPr>
          <w:rFonts w:hint="cs"/>
          <w:rtl/>
        </w:rPr>
        <w:t xml:space="preserve"> </w:t>
      </w:r>
      <w:r w:rsidR="0019766B" w:rsidRPr="0025250D">
        <w:rPr>
          <w:rFonts w:hint="cs"/>
          <w:rtl/>
        </w:rPr>
        <w:t>می‌کرده‌اند</w:t>
      </w:r>
      <w:r w:rsidRPr="0025250D">
        <w:rPr>
          <w:rFonts w:hint="cs"/>
          <w:rtl/>
        </w:rPr>
        <w:t xml:space="preserve"> و درحالی که جوامع اولیه بسیار برابرگرا</w:t>
      </w:r>
      <w:r w:rsidRPr="0025250D">
        <w:rPr>
          <w:vertAlign w:val="superscript"/>
          <w:rtl/>
        </w:rPr>
        <w:footnoteReference w:id="770"/>
      </w:r>
      <w:r w:rsidRPr="0025250D">
        <w:rPr>
          <w:rFonts w:hint="cs"/>
          <w:rtl/>
        </w:rPr>
        <w:t xml:space="preserve"> و </w:t>
      </w:r>
      <w:r w:rsidR="00EE4B64" w:rsidRPr="0025250D">
        <w:rPr>
          <w:rFonts w:hint="cs"/>
          <w:rtl/>
        </w:rPr>
        <w:t>مردم‌سالار</w:t>
      </w:r>
      <w:r w:rsidRPr="0025250D">
        <w:rPr>
          <w:rFonts w:hint="cs"/>
          <w:rtl/>
        </w:rPr>
        <w:t>تر از امپراطوری‌ها و دولت‌های بعدی ما بود</w:t>
      </w:r>
      <w:r w:rsidR="0019766B" w:rsidRPr="0025250D">
        <w:rPr>
          <w:rFonts w:hint="cs"/>
          <w:rtl/>
        </w:rPr>
        <w:t>ه‌ا</w:t>
      </w:r>
      <w:r w:rsidRPr="0025250D">
        <w:rPr>
          <w:rFonts w:hint="cs"/>
          <w:rtl/>
        </w:rPr>
        <w:t>ند، بیش‌تر مردم در آن دوران‌های اولیه با عادات به شدت غیر پایداری در ارتباط با محیط خود زندگی کرده‌اند. آن‌ها بهتر از ما نبودند، تنها قدرت</w:t>
      </w:r>
      <w:r w:rsidR="00BB406C" w:rsidRPr="0025250D">
        <w:rPr>
          <w:rFonts w:hint="cs"/>
          <w:rtl/>
        </w:rPr>
        <w:t xml:space="preserve"> کم‌تر</w:t>
      </w:r>
      <w:r w:rsidRPr="0025250D">
        <w:rPr>
          <w:rFonts w:hint="cs"/>
          <w:rtl/>
        </w:rPr>
        <w:t xml:space="preserve">ی داشتند. قدرت جدید ماست که چالش‌های جدیدی را ایجاد کرده است که باید بر </w:t>
      </w:r>
      <w:r w:rsidR="0019766B" w:rsidRPr="0025250D">
        <w:rPr>
          <w:rFonts w:hint="cs"/>
          <w:rtl/>
        </w:rPr>
        <w:t>آ</w:t>
      </w:r>
      <w:r w:rsidRPr="0025250D">
        <w:rPr>
          <w:rFonts w:hint="cs"/>
          <w:rtl/>
        </w:rPr>
        <w:t xml:space="preserve">ن‌ها غلبه </w:t>
      </w:r>
      <w:r w:rsidR="0019766B" w:rsidRPr="0025250D">
        <w:rPr>
          <w:rFonts w:hint="cs"/>
          <w:rtl/>
        </w:rPr>
        <w:t>نماییم</w:t>
      </w:r>
      <w:r w:rsidRPr="0025250D">
        <w:rPr>
          <w:rFonts w:hint="cs"/>
          <w:rtl/>
        </w:rPr>
        <w:t>. خوشبختانه، وقتی تصویر کلان‌تر را</w:t>
      </w:r>
      <w:r w:rsidRPr="0025250D">
        <w:rPr>
          <w:rFonts w:hint="cs"/>
        </w:rPr>
        <w:t>‌</w:t>
      </w:r>
      <w:r w:rsidRPr="0025250D">
        <w:rPr>
          <w:rFonts w:hint="cs"/>
          <w:rtl/>
        </w:rPr>
        <w:t xml:space="preserve"> می‌بینیم،</w:t>
      </w:r>
      <w:r w:rsidRPr="0025250D">
        <w:rPr>
          <w:rFonts w:hint="cs"/>
        </w:rPr>
        <w:t>‌</w:t>
      </w:r>
      <w:r w:rsidRPr="0025250D">
        <w:rPr>
          <w:rFonts w:hint="cs"/>
          <w:rtl/>
        </w:rPr>
        <w:t xml:space="preserve"> می‌توانیم ببینیم که چگونه استفاده ما از منابع که زمانی در حال </w:t>
      </w:r>
      <w:r w:rsidR="00B56611" w:rsidRPr="0025250D">
        <w:rPr>
          <w:rFonts w:hint="cs"/>
          <w:rtl/>
        </w:rPr>
        <w:t>شتاب‌گیری</w:t>
      </w:r>
      <w:r w:rsidRPr="0025250D">
        <w:rPr>
          <w:rFonts w:hint="cs"/>
          <w:rtl/>
        </w:rPr>
        <w:t xml:space="preserve"> بود، اکنون در حال اشباع است، زیرا به شکل فزاینده‌ای به سر حد</w:t>
      </w:r>
      <w:r w:rsidRPr="0025250D">
        <w:rPr>
          <w:vertAlign w:val="superscript"/>
          <w:rtl/>
        </w:rPr>
        <w:footnoteReference w:id="771"/>
      </w:r>
      <w:r w:rsidRPr="0025250D">
        <w:rPr>
          <w:rFonts w:hint="cs"/>
          <w:rtl/>
        </w:rPr>
        <w:t xml:space="preserve"> زیست</w:t>
      </w:r>
      <w:r w:rsidRPr="0025250D">
        <w:rPr>
          <w:rtl/>
        </w:rPr>
        <w:t xml:space="preserve"> </w:t>
      </w:r>
      <w:r w:rsidRPr="0025250D">
        <w:rPr>
          <w:rFonts w:hint="cs"/>
          <w:rtl/>
        </w:rPr>
        <w:t>بوم رسیده ایم.</w:t>
      </w:r>
    </w:p>
    <w:p w14:paraId="1FE0A130" w14:textId="0D89DF09" w:rsidR="0020732A" w:rsidRPr="0025250D" w:rsidRDefault="007118DE" w:rsidP="0020732A">
      <w:pPr>
        <w:rPr>
          <w:rtl/>
        </w:rPr>
      </w:pPr>
      <w:r w:rsidRPr="0025250D">
        <w:rPr>
          <w:rFonts w:hint="cs"/>
          <w:rtl/>
        </w:rPr>
        <w:t>همان‌طور</w:t>
      </w:r>
      <w:r w:rsidR="0020732A" w:rsidRPr="0025250D">
        <w:rPr>
          <w:rFonts w:hint="cs"/>
          <w:rtl/>
        </w:rPr>
        <w:t xml:space="preserve"> که در کتاب 2 خواهیم دید، هر چه جوامع ما پیچیده‌تر می‌شوند، بیت‌ها را بجای اتم‌ها در یک کلان روند جهانی به نام </w:t>
      </w:r>
      <w:r w:rsidR="000B4A71" w:rsidRPr="0025250D">
        <w:rPr>
          <w:rFonts w:hint="cs"/>
          <w:rtl/>
        </w:rPr>
        <w:t>مادی‌زدایی</w:t>
      </w:r>
      <w:r w:rsidR="0020732A" w:rsidRPr="0025250D">
        <w:rPr>
          <w:vertAlign w:val="superscript"/>
          <w:rtl/>
        </w:rPr>
        <w:footnoteReference w:id="772"/>
      </w:r>
      <w:r w:rsidR="0020732A" w:rsidRPr="0025250D">
        <w:rPr>
          <w:rFonts w:hint="cs"/>
          <w:rtl/>
        </w:rPr>
        <w:t xml:space="preserve"> جایگزین</w:t>
      </w:r>
      <w:r w:rsidR="0020732A" w:rsidRPr="0025250D">
        <w:rPr>
          <w:rFonts w:hint="cs"/>
        </w:rPr>
        <w:t>‌</w:t>
      </w:r>
      <w:r w:rsidR="0020732A" w:rsidRPr="0025250D">
        <w:rPr>
          <w:rFonts w:hint="cs"/>
          <w:rtl/>
        </w:rPr>
        <w:t xml:space="preserve"> می‌کنیم. کتاب </w:t>
      </w:r>
      <w:r w:rsidR="0019766B" w:rsidRPr="0025250D">
        <w:rPr>
          <w:rFonts w:hint="cs"/>
          <w:rtl/>
        </w:rPr>
        <w:t>«</w:t>
      </w:r>
      <w:r w:rsidR="0020732A" w:rsidRPr="0025250D">
        <w:rPr>
          <w:rFonts w:hint="cs"/>
          <w:rtl/>
        </w:rPr>
        <w:t>بیش</w:t>
      </w:r>
      <w:r w:rsidR="0019766B" w:rsidRPr="0025250D">
        <w:rPr>
          <w:rFonts w:hint="cs"/>
          <w:rtl/>
        </w:rPr>
        <w:t>‌</w:t>
      </w:r>
      <w:r w:rsidR="0020732A" w:rsidRPr="0025250D">
        <w:rPr>
          <w:rFonts w:hint="cs"/>
          <w:rtl/>
        </w:rPr>
        <w:t>تر از کم</w:t>
      </w:r>
      <w:r w:rsidR="0019766B" w:rsidRPr="0025250D">
        <w:rPr>
          <w:rFonts w:hint="cs"/>
          <w:rtl/>
        </w:rPr>
        <w:t>‌</w:t>
      </w:r>
      <w:r w:rsidR="0020732A" w:rsidRPr="0025250D">
        <w:rPr>
          <w:rFonts w:hint="cs"/>
          <w:rtl/>
        </w:rPr>
        <w:t>تر</w:t>
      </w:r>
      <w:r w:rsidR="0020732A" w:rsidRPr="0025250D">
        <w:rPr>
          <w:vertAlign w:val="superscript"/>
          <w:rtl/>
        </w:rPr>
        <w:footnoteReference w:id="773"/>
      </w:r>
      <w:r w:rsidR="0019766B" w:rsidRPr="0025250D">
        <w:rPr>
          <w:rFonts w:hint="cs"/>
          <w:rtl/>
        </w:rPr>
        <w:t>»</w:t>
      </w:r>
      <w:r w:rsidR="0020732A" w:rsidRPr="0025250D">
        <w:rPr>
          <w:rFonts w:hint="cs"/>
          <w:rtl/>
        </w:rPr>
        <w:t xml:space="preserve"> اثر </w:t>
      </w:r>
      <w:r w:rsidR="0020732A" w:rsidRPr="0025250D">
        <w:rPr>
          <w:rtl/>
        </w:rPr>
        <w:t>اندرو</w:t>
      </w:r>
      <w:r w:rsidR="0020732A" w:rsidRPr="0025250D">
        <w:rPr>
          <w:vertAlign w:val="superscript"/>
          <w:rtl/>
        </w:rPr>
        <w:footnoteReference w:id="774"/>
      </w:r>
      <w:r w:rsidR="0020732A" w:rsidRPr="0025250D">
        <w:rPr>
          <w:rFonts w:hint="cs"/>
          <w:rtl/>
        </w:rPr>
        <w:t xml:space="preserve"> در سال 2019 </w:t>
      </w:r>
      <w:r w:rsidR="006014E8" w:rsidRPr="0025250D">
        <w:rPr>
          <w:rFonts w:hint="cs"/>
          <w:rtl/>
        </w:rPr>
        <w:t xml:space="preserve">اثر </w:t>
      </w:r>
      <w:r w:rsidR="0020732A" w:rsidRPr="0025250D">
        <w:rPr>
          <w:rtl/>
        </w:rPr>
        <w:t>مک آف</w:t>
      </w:r>
      <w:r w:rsidR="0020732A" w:rsidRPr="0025250D">
        <w:rPr>
          <w:rFonts w:hint="cs"/>
          <w:rtl/>
        </w:rPr>
        <w:t>ی</w:t>
      </w:r>
      <w:r w:rsidR="0020732A" w:rsidRPr="0025250D">
        <w:rPr>
          <w:vertAlign w:val="superscript"/>
          <w:rtl/>
        </w:rPr>
        <w:footnoteReference w:id="775"/>
      </w:r>
      <w:r w:rsidR="0020732A" w:rsidRPr="0025250D">
        <w:rPr>
          <w:rFonts w:hint="cs"/>
          <w:rtl/>
        </w:rPr>
        <w:t xml:space="preserve"> را برای مقدمه‌ای بر داستان </w:t>
      </w:r>
      <w:r w:rsidR="000B4A71" w:rsidRPr="0025250D">
        <w:rPr>
          <w:rFonts w:hint="cs"/>
          <w:rtl/>
        </w:rPr>
        <w:t>مادی‌زدایی</w:t>
      </w:r>
      <w:r w:rsidR="0020732A" w:rsidRPr="0025250D">
        <w:rPr>
          <w:rFonts w:hint="cs"/>
          <w:rtl/>
        </w:rPr>
        <w:t xml:space="preserve"> ببینید. </w:t>
      </w:r>
      <w:r w:rsidR="006014E8" w:rsidRPr="0025250D">
        <w:rPr>
          <w:rFonts w:hint="cs"/>
          <w:rtl/>
        </w:rPr>
        <w:t xml:space="preserve">ما </w:t>
      </w:r>
      <w:r w:rsidR="0020732A" w:rsidRPr="0025250D">
        <w:rPr>
          <w:rFonts w:hint="cs"/>
          <w:rtl/>
        </w:rPr>
        <w:t xml:space="preserve">همچنین از </w:t>
      </w:r>
      <w:r w:rsidR="006014E8" w:rsidRPr="0025250D">
        <w:rPr>
          <w:rFonts w:hint="cs"/>
          <w:rtl/>
        </w:rPr>
        <w:t>یک</w:t>
      </w:r>
      <w:r w:rsidR="0020732A" w:rsidRPr="0025250D">
        <w:rPr>
          <w:rFonts w:hint="cs"/>
          <w:rtl/>
        </w:rPr>
        <w:t xml:space="preserve"> روند خطرناکتر دیگری یعنی متراکم سازی</w:t>
      </w:r>
      <w:r w:rsidR="0020732A" w:rsidRPr="0025250D">
        <w:rPr>
          <w:vertAlign w:val="superscript"/>
          <w:rtl/>
        </w:rPr>
        <w:footnoteReference w:id="776"/>
      </w:r>
      <w:r w:rsidR="0020732A" w:rsidRPr="0025250D">
        <w:rPr>
          <w:rFonts w:hint="cs"/>
          <w:rtl/>
        </w:rPr>
        <w:t xml:space="preserve"> برای متراکم </w:t>
      </w:r>
      <w:r w:rsidR="00846157" w:rsidRPr="0025250D">
        <w:rPr>
          <w:rFonts w:hint="cs"/>
          <w:rtl/>
        </w:rPr>
        <w:t>نمودن</w:t>
      </w:r>
      <w:r w:rsidR="0020732A" w:rsidRPr="0025250D">
        <w:rPr>
          <w:rFonts w:hint="cs"/>
          <w:rtl/>
        </w:rPr>
        <w:t xml:space="preserve"> و کوچک</w:t>
      </w:r>
      <w:r w:rsidR="0020732A" w:rsidRPr="0025250D">
        <w:rPr>
          <w:rtl/>
        </w:rPr>
        <w:t xml:space="preserve"> </w:t>
      </w:r>
      <w:r w:rsidR="0020732A" w:rsidRPr="0025250D">
        <w:rPr>
          <w:rFonts w:hint="cs"/>
          <w:rtl/>
        </w:rPr>
        <w:t xml:space="preserve">کردن فزاینده </w:t>
      </w:r>
      <w:r w:rsidR="008D6F97" w:rsidRPr="0025250D">
        <w:rPr>
          <w:rFonts w:hint="cs"/>
          <w:rtl/>
        </w:rPr>
        <w:t>سامانه‌</w:t>
      </w:r>
      <w:r w:rsidR="0020732A" w:rsidRPr="0025250D">
        <w:rPr>
          <w:rFonts w:hint="cs"/>
          <w:rtl/>
        </w:rPr>
        <w:t>‌های پشتیبانی گونه خود استفاده</w:t>
      </w:r>
      <w:r w:rsidR="0020732A" w:rsidRPr="0025250D">
        <w:rPr>
          <w:rFonts w:hint="cs"/>
        </w:rPr>
        <w:t>‌</w:t>
      </w:r>
      <w:r w:rsidR="0020732A" w:rsidRPr="0025250D">
        <w:rPr>
          <w:rFonts w:hint="cs"/>
          <w:rtl/>
        </w:rPr>
        <w:t xml:space="preserve"> می‌کنیم که به شدت هم قدرت و هم کارایی سرانه آن‌ها را افزایش</w:t>
      </w:r>
      <w:r w:rsidR="0020732A" w:rsidRPr="0025250D">
        <w:rPr>
          <w:rFonts w:hint="cs"/>
        </w:rPr>
        <w:t>‌</w:t>
      </w:r>
      <w:r w:rsidR="0020732A" w:rsidRPr="0025250D">
        <w:rPr>
          <w:rFonts w:hint="cs"/>
          <w:rtl/>
        </w:rPr>
        <w:t xml:space="preserve"> می‌دهد. پیشنهاد</w:t>
      </w:r>
      <w:r w:rsidR="0020732A" w:rsidRPr="0025250D">
        <w:rPr>
          <w:rFonts w:hint="cs"/>
        </w:rPr>
        <w:t>‌</w:t>
      </w:r>
      <w:r w:rsidR="0020732A" w:rsidRPr="0025250D">
        <w:rPr>
          <w:rFonts w:hint="cs"/>
          <w:rtl/>
        </w:rPr>
        <w:t xml:space="preserve"> می‌کنیم که این دو روند، متراکم سازی و </w:t>
      </w:r>
      <w:r w:rsidR="000B4A71" w:rsidRPr="0025250D">
        <w:rPr>
          <w:rFonts w:hint="cs"/>
          <w:rtl/>
        </w:rPr>
        <w:t>مادی‌زدایی</w:t>
      </w:r>
      <w:r w:rsidR="0020732A" w:rsidRPr="0025250D">
        <w:rPr>
          <w:rFonts w:hint="cs"/>
          <w:rtl/>
        </w:rPr>
        <w:t xml:space="preserve"> (</w:t>
      </w:r>
      <w:r w:rsidR="0020732A" w:rsidRPr="0025250D">
        <w:t>D&amp;D</w:t>
      </w:r>
      <w:r w:rsidR="0020732A" w:rsidRPr="0025250D">
        <w:rPr>
          <w:rFonts w:hint="cs"/>
          <w:rtl/>
        </w:rPr>
        <w:t>) در قلب تغییر پر شتاب قرار دارند.</w:t>
      </w:r>
    </w:p>
    <w:p w14:paraId="07947639" w14:textId="58BAEFB7" w:rsidR="0020732A" w:rsidRPr="0025250D" w:rsidRDefault="0020732A" w:rsidP="0020732A">
      <w:pPr>
        <w:rPr>
          <w:rtl/>
        </w:rPr>
      </w:pPr>
      <w:r w:rsidRPr="0025250D">
        <w:rPr>
          <w:rFonts w:hint="cs"/>
          <w:rtl/>
        </w:rPr>
        <w:lastRenderedPageBreak/>
        <w:t>اکنون اثرات منفی متعددی در توسعه پر شتاب ما وجود دارند. ما هنوز جنگل‌های بارانی خود را</w:t>
      </w:r>
      <w:r w:rsidRPr="0025250D">
        <w:rPr>
          <w:rFonts w:hint="cs"/>
        </w:rPr>
        <w:t>‌</w:t>
      </w:r>
      <w:r w:rsidRPr="0025250D">
        <w:rPr>
          <w:rFonts w:hint="cs"/>
          <w:rtl/>
        </w:rPr>
        <w:t xml:space="preserve"> می‌بلعیم، اقیانوس‌های خود را آلوده</w:t>
      </w:r>
      <w:r w:rsidRPr="0025250D">
        <w:rPr>
          <w:rFonts w:hint="cs"/>
        </w:rPr>
        <w:t>‌</w:t>
      </w:r>
      <w:r w:rsidRPr="0025250D">
        <w:rPr>
          <w:rFonts w:hint="cs"/>
          <w:rtl/>
        </w:rPr>
        <w:t xml:space="preserve"> می‌کنیم و در آن‌ها به‌صورت بی رویه ماهیگیری</w:t>
      </w:r>
      <w:r w:rsidRPr="0025250D">
        <w:rPr>
          <w:rFonts w:hint="cs"/>
        </w:rPr>
        <w:t>‌</w:t>
      </w:r>
      <w:r w:rsidRPr="0025250D">
        <w:rPr>
          <w:rFonts w:hint="cs"/>
          <w:rtl/>
        </w:rPr>
        <w:t xml:space="preserve"> می‌کنیم و سفره‌های آب‌های زیرزمینی را خشک</w:t>
      </w:r>
      <w:r w:rsidRPr="0025250D">
        <w:rPr>
          <w:rFonts w:hint="cs"/>
        </w:rPr>
        <w:t>‌</w:t>
      </w:r>
      <w:r w:rsidRPr="0025250D">
        <w:rPr>
          <w:rFonts w:hint="cs"/>
          <w:rtl/>
        </w:rPr>
        <w:t xml:space="preserve"> می‌کنیم. تغییرات اقلیمی و خشکسالی نواحی بزرگی از زمین با صد‌ها میلیون ساکن، مانند جنوب غربی آمریکا را تهدید</w:t>
      </w:r>
      <w:r w:rsidRPr="0025250D">
        <w:rPr>
          <w:rFonts w:hint="cs"/>
        </w:rPr>
        <w:t>‌</w:t>
      </w:r>
      <w:r w:rsidRPr="0025250D">
        <w:rPr>
          <w:rFonts w:hint="cs"/>
          <w:rtl/>
        </w:rPr>
        <w:t xml:space="preserve"> می‌کند. امروزه جمعیت 7.6 میلیارد نفری انسان‌ها و تقریبا 25 میلیاردی حیوانات اهلی 97 درصد از جرم کربنی</w:t>
      </w:r>
      <w:r w:rsidRPr="0025250D">
        <w:rPr>
          <w:vertAlign w:val="superscript"/>
          <w:rtl/>
        </w:rPr>
        <w:footnoteReference w:id="777"/>
      </w:r>
      <w:r w:rsidRPr="0025250D">
        <w:rPr>
          <w:rFonts w:hint="cs"/>
          <w:rtl/>
        </w:rPr>
        <w:t xml:space="preserve"> کل پستانداران زمینی را تشکیل</w:t>
      </w:r>
      <w:r w:rsidRPr="0025250D">
        <w:rPr>
          <w:rFonts w:hint="cs"/>
        </w:rPr>
        <w:t>‌</w:t>
      </w:r>
      <w:r w:rsidRPr="0025250D">
        <w:rPr>
          <w:rFonts w:hint="cs"/>
          <w:rtl/>
        </w:rPr>
        <w:t xml:space="preserve"> می‌ده</w:t>
      </w:r>
      <w:r w:rsidR="00A20CCB" w:rsidRPr="0025250D">
        <w:rPr>
          <w:rFonts w:hint="cs"/>
          <w:rtl/>
        </w:rPr>
        <w:t>ند</w:t>
      </w:r>
      <w:r w:rsidRPr="0025250D">
        <w:rPr>
          <w:rFonts w:hint="cs"/>
          <w:rtl/>
        </w:rPr>
        <w:t>. ما</w:t>
      </w:r>
      <w:r w:rsidRPr="0025250D">
        <w:rPr>
          <w:rtl/>
        </w:rPr>
        <w:t xml:space="preserve"> </w:t>
      </w:r>
      <w:r w:rsidRPr="0025250D">
        <w:rPr>
          <w:rFonts w:hint="cs"/>
          <w:rtl/>
        </w:rPr>
        <w:t>در</w:t>
      </w:r>
      <w:r w:rsidRPr="0025250D">
        <w:rPr>
          <w:rtl/>
        </w:rPr>
        <w:t xml:space="preserve"> </w:t>
      </w:r>
      <w:r w:rsidRPr="0025250D">
        <w:rPr>
          <w:rFonts w:hint="cs"/>
          <w:rtl/>
        </w:rPr>
        <w:t>حال</w:t>
      </w:r>
      <w:r w:rsidRPr="0025250D">
        <w:rPr>
          <w:rtl/>
        </w:rPr>
        <w:t xml:space="preserve"> </w:t>
      </w:r>
      <w:r w:rsidRPr="0025250D">
        <w:rPr>
          <w:rFonts w:hint="cs"/>
          <w:rtl/>
        </w:rPr>
        <w:t>تبدیل</w:t>
      </w:r>
      <w:r w:rsidRPr="0025250D">
        <w:rPr>
          <w:rtl/>
        </w:rPr>
        <w:t xml:space="preserve"> </w:t>
      </w:r>
      <w:r w:rsidRPr="0025250D">
        <w:rPr>
          <w:rFonts w:hint="cs"/>
          <w:rtl/>
        </w:rPr>
        <w:t>زیست</w:t>
      </w:r>
      <w:r w:rsidRPr="0025250D">
        <w:rPr>
          <w:rtl/>
        </w:rPr>
        <w:t xml:space="preserve"> </w:t>
      </w:r>
      <w:r w:rsidRPr="0025250D">
        <w:rPr>
          <w:rFonts w:hint="cs"/>
          <w:rtl/>
        </w:rPr>
        <w:t>بوم‌های خود</w:t>
      </w:r>
      <w:r w:rsidRPr="0025250D">
        <w:rPr>
          <w:rtl/>
        </w:rPr>
        <w:t xml:space="preserve"> </w:t>
      </w:r>
      <w:r w:rsidRPr="0025250D">
        <w:rPr>
          <w:rFonts w:hint="cs"/>
          <w:rtl/>
        </w:rPr>
        <w:t>به</w:t>
      </w:r>
      <w:r w:rsidRPr="0025250D">
        <w:rPr>
          <w:rtl/>
        </w:rPr>
        <w:t xml:space="preserve"> </w:t>
      </w:r>
      <w:r w:rsidRPr="0025250D">
        <w:rPr>
          <w:rFonts w:hint="cs"/>
          <w:rtl/>
        </w:rPr>
        <w:t>یک</w:t>
      </w:r>
      <w:r w:rsidRPr="0025250D">
        <w:rPr>
          <w:rtl/>
        </w:rPr>
        <w:t xml:space="preserve"> </w:t>
      </w:r>
      <w:r w:rsidRPr="0025250D">
        <w:rPr>
          <w:rFonts w:hint="cs"/>
          <w:rtl/>
        </w:rPr>
        <w:t xml:space="preserve">تک </w:t>
      </w:r>
      <w:r w:rsidR="00A20CCB" w:rsidRPr="0025250D">
        <w:rPr>
          <w:rFonts w:hint="cs"/>
          <w:rtl/>
        </w:rPr>
        <w:t>فرهنگ</w:t>
      </w:r>
      <w:r w:rsidRPr="0025250D">
        <w:rPr>
          <w:vertAlign w:val="superscript"/>
          <w:rtl/>
        </w:rPr>
        <w:footnoteReference w:id="778"/>
      </w:r>
      <w:r w:rsidRPr="0025250D">
        <w:rPr>
          <w:rtl/>
        </w:rPr>
        <w:t xml:space="preserve"> </w:t>
      </w:r>
      <w:r w:rsidRPr="0025250D">
        <w:rPr>
          <w:rFonts w:hint="cs"/>
          <w:rtl/>
        </w:rPr>
        <w:t>کربن</w:t>
      </w:r>
      <w:r w:rsidRPr="0025250D">
        <w:rPr>
          <w:rtl/>
        </w:rPr>
        <w:t xml:space="preserve"> </w:t>
      </w:r>
      <w:r w:rsidRPr="0025250D">
        <w:rPr>
          <w:rFonts w:hint="cs"/>
          <w:rtl/>
        </w:rPr>
        <w:t>گسترده</w:t>
      </w:r>
      <w:r w:rsidRPr="0025250D">
        <w:rPr>
          <w:rtl/>
        </w:rPr>
        <w:t xml:space="preserve"> </w:t>
      </w:r>
      <w:r w:rsidRPr="0025250D">
        <w:rPr>
          <w:rFonts w:hint="cs"/>
          <w:rtl/>
        </w:rPr>
        <w:t>هستیم. گزارش سیاره زنده</w:t>
      </w:r>
      <w:r w:rsidRPr="0025250D">
        <w:rPr>
          <w:vertAlign w:val="superscript"/>
          <w:rtl/>
        </w:rPr>
        <w:footnoteReference w:id="779"/>
      </w:r>
      <w:r w:rsidRPr="0025250D">
        <w:rPr>
          <w:rFonts w:hint="cs"/>
          <w:rtl/>
        </w:rPr>
        <w:t xml:space="preserve"> </w:t>
      </w:r>
      <w:r w:rsidRPr="0025250D">
        <w:t>WWF</w:t>
      </w:r>
      <w:r w:rsidRPr="0025250D">
        <w:rPr>
          <w:rFonts w:hint="cs"/>
          <w:rtl/>
        </w:rPr>
        <w:t xml:space="preserve"> در سال 2014، برآورد</w:t>
      </w:r>
      <w:r w:rsidRPr="0025250D">
        <w:rPr>
          <w:rFonts w:hint="cs"/>
        </w:rPr>
        <w:t>‌</w:t>
      </w:r>
      <w:r w:rsidRPr="0025250D">
        <w:rPr>
          <w:rFonts w:hint="cs"/>
          <w:rtl/>
        </w:rPr>
        <w:t xml:space="preserve"> می‌کند که جمعیت گونه‌های مهره داران (پستانداران، پرندگان، خزندگان، دوزیستان و ماهی ها) را در چهل سال گذشته تقریبا 50 درصد کاهش داده</w:t>
      </w:r>
      <w:r w:rsidR="00A20CCB" w:rsidRPr="0025250D">
        <w:rPr>
          <w:rFonts w:hint="cs"/>
          <w:rtl/>
        </w:rPr>
        <w:t>‌</w:t>
      </w:r>
      <w:r w:rsidRPr="0025250D">
        <w:rPr>
          <w:rFonts w:hint="cs"/>
          <w:rtl/>
        </w:rPr>
        <w:t>ایم (1970-2010). جمعیت موجودات آب شیرین را حتی به میزانی بیش‌تر، یعنی در حدود 80 درصد، با آلوده کردن، ماهی</w:t>
      </w:r>
      <w:r w:rsidR="00A20CCB" w:rsidRPr="0025250D">
        <w:rPr>
          <w:rFonts w:hint="cs"/>
          <w:rtl/>
        </w:rPr>
        <w:t>‌</w:t>
      </w:r>
      <w:r w:rsidRPr="0025250D">
        <w:rPr>
          <w:rFonts w:hint="cs"/>
          <w:rtl/>
        </w:rPr>
        <w:t>گیری بی</w:t>
      </w:r>
      <w:r w:rsidR="00A20CCB" w:rsidRPr="0025250D">
        <w:rPr>
          <w:rFonts w:hint="cs"/>
          <w:rtl/>
        </w:rPr>
        <w:t>‌</w:t>
      </w:r>
      <w:r w:rsidRPr="0025250D">
        <w:rPr>
          <w:rFonts w:hint="cs"/>
          <w:rtl/>
        </w:rPr>
        <w:t>رویه و انتشار گونه‌های جدید به همه آب‌های ش</w:t>
      </w:r>
      <w:r w:rsidR="00A20CCB" w:rsidRPr="0025250D">
        <w:rPr>
          <w:rFonts w:hint="cs"/>
          <w:rtl/>
        </w:rPr>
        <w:t>ی</w:t>
      </w:r>
      <w:r w:rsidRPr="0025250D">
        <w:rPr>
          <w:rFonts w:hint="cs"/>
          <w:rtl/>
        </w:rPr>
        <w:t>رین که به آن‌ها دسترسی داریم، کاهش داده</w:t>
      </w:r>
      <w:r w:rsidR="00A20CCB" w:rsidRPr="0025250D">
        <w:rPr>
          <w:rFonts w:hint="cs"/>
          <w:rtl/>
        </w:rPr>
        <w:t>‌</w:t>
      </w:r>
      <w:r w:rsidRPr="0025250D">
        <w:rPr>
          <w:rFonts w:hint="cs"/>
          <w:rtl/>
        </w:rPr>
        <w:t>ایم.</w:t>
      </w:r>
    </w:p>
    <w:p w14:paraId="65881CA1" w14:textId="56CD8798" w:rsidR="0020732A" w:rsidRPr="0025250D" w:rsidRDefault="0020732A" w:rsidP="0020732A">
      <w:pPr>
        <w:rPr>
          <w:rtl/>
        </w:rPr>
      </w:pPr>
      <w:r w:rsidRPr="0025250D">
        <w:rPr>
          <w:rFonts w:hint="cs"/>
          <w:rtl/>
        </w:rPr>
        <w:t>ما همچنین به تنوع زیست کره</w:t>
      </w:r>
      <w:r w:rsidRPr="0025250D">
        <w:rPr>
          <w:vertAlign w:val="superscript"/>
          <w:rtl/>
        </w:rPr>
        <w:footnoteReference w:id="780"/>
      </w:r>
      <w:r w:rsidRPr="0025250D">
        <w:rPr>
          <w:rFonts w:hint="cs"/>
          <w:rtl/>
        </w:rPr>
        <w:t xml:space="preserve"> که در حال تخریب آن هستیم بی توجهیم. ما حتی</w:t>
      </w:r>
      <w:r w:rsidR="00EE4B64" w:rsidRPr="0025250D">
        <w:rPr>
          <w:rFonts w:hint="cs"/>
          <w:rtl/>
        </w:rPr>
        <w:t xml:space="preserve"> نمی‌</w:t>
      </w:r>
      <w:r w:rsidRPr="0025250D">
        <w:rPr>
          <w:rFonts w:hint="cs"/>
          <w:rtl/>
        </w:rPr>
        <w:t>دانیم که چه تعداد از گونه‌ها را</w:t>
      </w:r>
      <w:r w:rsidRPr="0025250D">
        <w:rPr>
          <w:rFonts w:hint="cs"/>
        </w:rPr>
        <w:t>‌</w:t>
      </w:r>
      <w:r w:rsidRPr="0025250D">
        <w:rPr>
          <w:rFonts w:hint="cs"/>
          <w:rtl/>
        </w:rPr>
        <w:t xml:space="preserve"> می‌کشیم. شاید چندین عدد در هر روز و 1000 برابر بیش از نرخ پس</w:t>
      </w:r>
      <w:r w:rsidR="00A20CCB" w:rsidRPr="0025250D">
        <w:rPr>
          <w:rFonts w:hint="cs"/>
          <w:rtl/>
        </w:rPr>
        <w:t>‌</w:t>
      </w:r>
      <w:r w:rsidRPr="0025250D">
        <w:rPr>
          <w:rFonts w:hint="cs"/>
          <w:rtl/>
        </w:rPr>
        <w:t>زمینه‌ای</w:t>
      </w:r>
      <w:r w:rsidR="00A20CCB" w:rsidRPr="0025250D">
        <w:rPr>
          <w:rFonts w:hint="cs"/>
          <w:rtl/>
        </w:rPr>
        <w:t xml:space="preserve"> باشد</w:t>
      </w:r>
      <w:r w:rsidRPr="0025250D">
        <w:rPr>
          <w:rFonts w:hint="cs"/>
          <w:rtl/>
        </w:rPr>
        <w:t xml:space="preserve"> که بدون تأثیر ما منقرض خواهند شد. درحالی که تقریبا همه شاخه‌ها، دسته‌ها و گروه‌ها و بیش‌تر خانواده‌ها و طبقه‌ها را در سیاره ارزشمندمان</w:t>
      </w:r>
      <w:r w:rsidRPr="0025250D">
        <w:rPr>
          <w:rFonts w:hint="cs"/>
        </w:rPr>
        <w:t>‌</w:t>
      </w:r>
      <w:r w:rsidRPr="0025250D">
        <w:rPr>
          <w:rFonts w:hint="cs"/>
          <w:rtl/>
        </w:rPr>
        <w:t xml:space="preserve"> می‌شناسیم، تنها 14 درصد از گونه‌ها بر روی خشکی و 9 درصد از گونه‌ها در اقیانوس‌ها را، در صورتی که تعداد تخمینی 8.7 میلیارد گونه (بجز پیش هسته‌ای ها</w:t>
      </w:r>
      <w:r w:rsidRPr="0025250D">
        <w:rPr>
          <w:vertAlign w:val="superscript"/>
          <w:rtl/>
        </w:rPr>
        <w:footnoteReference w:id="781"/>
      </w:r>
      <w:r w:rsidRPr="0025250D">
        <w:rPr>
          <w:rFonts w:hint="cs"/>
          <w:rtl/>
        </w:rPr>
        <w:t xml:space="preserve">) بر روی زمین درست باشد، ترسیم </w:t>
      </w:r>
      <w:r w:rsidR="00950293" w:rsidRPr="0025250D">
        <w:rPr>
          <w:rFonts w:hint="cs"/>
          <w:rtl/>
        </w:rPr>
        <w:t>کرده‌ایم</w:t>
      </w:r>
      <w:r w:rsidRPr="0025250D">
        <w:rPr>
          <w:rFonts w:hint="cs"/>
          <w:rtl/>
        </w:rPr>
        <w:t>. دروکردن زیست‏کُره</w:t>
      </w:r>
      <w:r w:rsidRPr="0025250D">
        <w:rPr>
          <w:vertAlign w:val="superscript"/>
          <w:rtl/>
        </w:rPr>
        <w:footnoteReference w:id="782"/>
      </w:r>
      <w:r w:rsidRPr="0025250D">
        <w:rPr>
          <w:rFonts w:hint="cs"/>
          <w:rtl/>
        </w:rPr>
        <w:t xml:space="preserve"> اثر </w:t>
      </w:r>
      <w:r w:rsidRPr="0025250D">
        <w:rPr>
          <w:rtl/>
        </w:rPr>
        <w:t>واسلاو</w:t>
      </w:r>
      <w:r w:rsidRPr="0025250D">
        <w:rPr>
          <w:rFonts w:hint="cs"/>
          <w:rtl/>
        </w:rPr>
        <w:t xml:space="preserve"> اسمیل</w:t>
      </w:r>
      <w:r w:rsidRPr="0025250D">
        <w:rPr>
          <w:vertAlign w:val="superscript"/>
          <w:rtl/>
        </w:rPr>
        <w:footnoteReference w:id="783"/>
      </w:r>
      <w:r w:rsidRPr="0025250D">
        <w:rPr>
          <w:rFonts w:hint="cs"/>
          <w:rtl/>
        </w:rPr>
        <w:t>، در مجله مرور جمعیت و توسعه</w:t>
      </w:r>
      <w:r w:rsidRPr="0025250D">
        <w:rPr>
          <w:vertAlign w:val="superscript"/>
          <w:rtl/>
        </w:rPr>
        <w:footnoteReference w:id="784"/>
      </w:r>
      <w:r w:rsidRPr="0025250D">
        <w:rPr>
          <w:rFonts w:hint="cs"/>
          <w:rtl/>
        </w:rPr>
        <w:t xml:space="preserve"> در سال 2011 و انقراض جمعی</w:t>
      </w:r>
      <w:r w:rsidRPr="0025250D">
        <w:rPr>
          <w:vertAlign w:val="superscript"/>
          <w:rtl/>
        </w:rPr>
        <w:footnoteReference w:id="785"/>
      </w:r>
      <w:r w:rsidRPr="0025250D">
        <w:rPr>
          <w:rFonts w:hint="cs"/>
          <w:rtl/>
        </w:rPr>
        <w:t xml:space="preserve"> اثر </w:t>
      </w:r>
      <w:r w:rsidRPr="0025250D">
        <w:rPr>
          <w:rtl/>
        </w:rPr>
        <w:t>اسم</w:t>
      </w:r>
      <w:r w:rsidRPr="0025250D">
        <w:rPr>
          <w:rFonts w:hint="cs"/>
          <w:rtl/>
        </w:rPr>
        <w:t>ی</w:t>
      </w:r>
      <w:r w:rsidRPr="0025250D">
        <w:rPr>
          <w:rFonts w:hint="eastAsia"/>
          <w:rtl/>
        </w:rPr>
        <w:t>تسون</w:t>
      </w:r>
      <w:r w:rsidRPr="0025250D">
        <w:rPr>
          <w:rFonts w:hint="cs"/>
          <w:rtl/>
        </w:rPr>
        <w:t>ی</w:t>
      </w:r>
      <w:r w:rsidRPr="0025250D">
        <w:rPr>
          <w:rFonts w:hint="eastAsia"/>
          <w:rtl/>
        </w:rPr>
        <w:t>ان</w:t>
      </w:r>
      <w:r w:rsidRPr="0025250D">
        <w:rPr>
          <w:vertAlign w:val="superscript"/>
          <w:rtl/>
        </w:rPr>
        <w:footnoteReference w:id="786"/>
      </w:r>
      <w:r w:rsidRPr="0025250D">
        <w:rPr>
          <w:rFonts w:hint="cs"/>
          <w:rtl/>
        </w:rPr>
        <w:t xml:space="preserve"> در سال 2014 را به‌عنوان چند مرور خوب بر این مسائل عمیقاً مشکل آفرین بخوانید.</w:t>
      </w:r>
    </w:p>
    <w:p w14:paraId="31BF47F9" w14:textId="7BE66512" w:rsidR="0020732A" w:rsidRPr="0025250D" w:rsidRDefault="0020732A" w:rsidP="0020732A">
      <w:pPr>
        <w:rPr>
          <w:rtl/>
        </w:rPr>
      </w:pPr>
      <w:r w:rsidRPr="0025250D">
        <w:rPr>
          <w:rFonts w:hint="cs"/>
          <w:rtl/>
        </w:rPr>
        <w:t>در همین حین، انتشار کربن جهانی ما به رشد خود</w:t>
      </w:r>
      <w:r w:rsidR="008D6F97" w:rsidRPr="0025250D">
        <w:rPr>
          <w:rtl/>
        </w:rPr>
        <w:t xml:space="preserve"> </w:t>
      </w:r>
      <w:r w:rsidRPr="0025250D">
        <w:rPr>
          <w:rFonts w:hint="cs"/>
          <w:rtl/>
        </w:rPr>
        <w:t>تا سطح دگرگون کننده سیاره ادامه</w:t>
      </w:r>
      <w:r w:rsidRPr="0025250D">
        <w:rPr>
          <w:rFonts w:hint="cs"/>
        </w:rPr>
        <w:t>‌</w:t>
      </w:r>
      <w:r w:rsidRPr="0025250D">
        <w:rPr>
          <w:rFonts w:hint="cs"/>
          <w:rtl/>
        </w:rPr>
        <w:t xml:space="preserve"> می‌دهد. این میزان در سال‌های 2013 تا 2016 تنها رشدی 0.4 درصدی داشت اما پس از آن به یک رشد 2 درصدی نگران کننده در سال 2017 رسید. هنوز به نقطه اوج </w:t>
      </w:r>
      <w:r w:rsidRPr="0025250D">
        <w:t>CO2</w:t>
      </w:r>
      <w:r w:rsidRPr="0025250D">
        <w:rPr>
          <w:rFonts w:hint="cs"/>
          <w:rtl/>
        </w:rPr>
        <w:t xml:space="preserve"> نرسیده ایم، اگرچه برای متفکرینی که به مدارک و شواهد توجه دارند واضح است که این اتفاق رخ خواهد داد. هم‌زمان، به‌عنوان یک پیشگویی خود بازدارنده</w:t>
      </w:r>
      <w:r w:rsidRPr="0025250D">
        <w:rPr>
          <w:vertAlign w:val="superscript"/>
          <w:rtl/>
        </w:rPr>
        <w:footnoteReference w:id="787"/>
      </w:r>
      <w:r w:rsidRPr="0025250D">
        <w:rPr>
          <w:rFonts w:hint="cs"/>
          <w:rtl/>
        </w:rPr>
        <w:t>، رسانه‌های ما قطعیت ما در مورد شدت مشکلی که با آن در دهه‌های آینده مواجه خواهیم بود را بیش‌ازحد گسترش داده اند. در حقیقت، ما اصلا</w:t>
      </w:r>
      <w:r w:rsidR="00EE4B64" w:rsidRPr="0025250D">
        <w:rPr>
          <w:rFonts w:hint="cs"/>
          <w:rtl/>
        </w:rPr>
        <w:t xml:space="preserve"> نمی‌</w:t>
      </w:r>
      <w:r w:rsidRPr="0025250D">
        <w:rPr>
          <w:rFonts w:hint="cs"/>
          <w:rtl/>
        </w:rPr>
        <w:t>دانیم که اوضاع چقدر بد خواهد شد. همه چیزی که</w:t>
      </w:r>
      <w:r w:rsidRPr="0025250D">
        <w:rPr>
          <w:rFonts w:hint="cs"/>
        </w:rPr>
        <w:t>‌</w:t>
      </w:r>
      <w:r w:rsidRPr="0025250D">
        <w:rPr>
          <w:rFonts w:hint="cs"/>
          <w:rtl/>
        </w:rPr>
        <w:t xml:space="preserve"> می‌دانیم آن چیزی است که در حال حاضر بر سر این سیاره</w:t>
      </w:r>
      <w:r w:rsidRPr="0025250D">
        <w:rPr>
          <w:rFonts w:hint="cs"/>
        </w:rPr>
        <w:t>‌</w:t>
      </w:r>
      <w:r w:rsidRPr="0025250D">
        <w:rPr>
          <w:rFonts w:hint="cs"/>
          <w:rtl/>
        </w:rPr>
        <w:t xml:space="preserve"> می‌آوریم که بخش زیادی از آن ناپایدار است.</w:t>
      </w:r>
    </w:p>
    <w:p w14:paraId="1238DC20" w14:textId="6F5869C2" w:rsidR="0020732A" w:rsidRPr="0025250D" w:rsidRDefault="0020732A" w:rsidP="0020732A">
      <w:pPr>
        <w:rPr>
          <w:rtl/>
        </w:rPr>
      </w:pPr>
      <w:r w:rsidRPr="0025250D">
        <w:rPr>
          <w:rFonts w:hint="cs"/>
          <w:rtl/>
        </w:rPr>
        <w:t>خوشبختانه،</w:t>
      </w:r>
      <w:r w:rsidRPr="0025250D">
        <w:rPr>
          <w:rFonts w:hint="cs"/>
        </w:rPr>
        <w:t>‌</w:t>
      </w:r>
      <w:r w:rsidRPr="0025250D">
        <w:rPr>
          <w:rFonts w:hint="cs"/>
          <w:rtl/>
        </w:rPr>
        <w:t xml:space="preserve"> می‌توانیم راه‌های خوبی برای حل این مسائل ببینیم. در این قرن، روند رشد جمعیتی خود را ابتدا متوقف و سپس معکوس خواهیم کرد، به شدت صنایع انرژی، غذا، حمل و نقل و تولید خود را کربن زدایی خواهیم کرد، شهر‌ها را بسیار هوشمند‌تر و پایدار‌تر خواهیم ساخت و بخش زیادی از جهان طبیعی خود را دوباره به طبیعت وحشی باز خواهیم گرداند. به شکل کم‌تر واضحی از نظر برخی، ما همچنین اکثریت تأمین غذای جهانی خود و گوشت پرورش یافته خود را تغییر خواهیم داد</w:t>
      </w:r>
      <w:r w:rsidR="008D6F97" w:rsidRPr="0025250D">
        <w:rPr>
          <w:rtl/>
        </w:rPr>
        <w:t xml:space="preserve">؛ </w:t>
      </w:r>
      <w:r w:rsidRPr="0025250D">
        <w:rPr>
          <w:rFonts w:hint="cs"/>
          <w:rtl/>
        </w:rPr>
        <w:t xml:space="preserve">اما همه این موارد زمان خواهند برد و به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عملگرایی هوشمندانه، تناقض و بحران نیاز دارند. در حالی که </w:t>
      </w:r>
      <w:r w:rsidR="00923DDB" w:rsidRPr="0025250D">
        <w:rPr>
          <w:rFonts w:hint="cs"/>
          <w:rtl/>
        </w:rPr>
        <w:t>راه‌حل</w:t>
      </w:r>
      <w:r w:rsidRPr="0025250D">
        <w:rPr>
          <w:rFonts w:hint="cs"/>
          <w:rtl/>
        </w:rPr>
        <w:t>‌ها را</w:t>
      </w:r>
      <w:r w:rsidRPr="0025250D">
        <w:rPr>
          <w:rFonts w:hint="cs"/>
        </w:rPr>
        <w:t>‌</w:t>
      </w:r>
      <w:r w:rsidRPr="0025250D">
        <w:rPr>
          <w:rFonts w:hint="cs"/>
          <w:rtl/>
        </w:rPr>
        <w:t xml:space="preserve"> می‌بینیم، </w:t>
      </w:r>
      <w:r w:rsidR="00F50EB4" w:rsidRPr="0025250D">
        <w:rPr>
          <w:rFonts w:hint="cs"/>
          <w:rtl/>
        </w:rPr>
        <w:t>سرمایه‌گذاری</w:t>
      </w:r>
      <w:r w:rsidRPr="0025250D">
        <w:rPr>
          <w:rFonts w:hint="cs"/>
          <w:rtl/>
        </w:rPr>
        <w:t xml:space="preserve"> فعلی ما در آن‌ها متأسفانه اندک است</w:t>
      </w:r>
      <w:r w:rsidR="008D6F97" w:rsidRPr="0025250D">
        <w:rPr>
          <w:rtl/>
        </w:rPr>
        <w:t xml:space="preserve">؛ </w:t>
      </w:r>
      <w:r w:rsidRPr="0025250D">
        <w:rPr>
          <w:rFonts w:hint="cs"/>
          <w:rtl/>
        </w:rPr>
        <w:t xml:space="preserve">بنابراین باید بسیار سریع‌تر و هوشمندانه‌تر عمل کرده و </w:t>
      </w:r>
      <w:r w:rsidR="00F50EB4" w:rsidRPr="0025250D">
        <w:rPr>
          <w:rFonts w:hint="cs"/>
          <w:rtl/>
        </w:rPr>
        <w:t>سرمایه‌گذاری</w:t>
      </w:r>
      <w:r w:rsidRPr="0025250D">
        <w:rPr>
          <w:rFonts w:hint="cs"/>
          <w:rtl/>
        </w:rPr>
        <w:t xml:space="preserve"> بسیار بیش‌تری در </w:t>
      </w:r>
      <w:r w:rsidR="00923DDB" w:rsidRPr="0025250D">
        <w:rPr>
          <w:rFonts w:hint="cs"/>
          <w:rtl/>
        </w:rPr>
        <w:t>راه‌حل</w:t>
      </w:r>
      <w:r w:rsidRPr="0025250D">
        <w:rPr>
          <w:rFonts w:hint="cs"/>
          <w:rtl/>
        </w:rPr>
        <w:t>‌های درست داشته باشیم.</w:t>
      </w:r>
    </w:p>
    <w:p w14:paraId="2A6161BD" w14:textId="4A2E92AB" w:rsidR="0020732A" w:rsidRPr="0025250D" w:rsidRDefault="0020732A" w:rsidP="0020732A">
      <w:pPr>
        <w:rPr>
          <w:rtl/>
        </w:rPr>
      </w:pPr>
      <w:r w:rsidRPr="0025250D">
        <w:rPr>
          <w:rFonts w:hint="cs"/>
          <w:rtl/>
        </w:rPr>
        <w:t xml:space="preserve">باز </w:t>
      </w:r>
      <w:r w:rsidR="0020589F" w:rsidRPr="0025250D">
        <w:rPr>
          <w:rtl/>
        </w:rPr>
        <w:t>هم</w:t>
      </w:r>
      <w:r w:rsidRPr="0025250D">
        <w:rPr>
          <w:rFonts w:hint="cs"/>
          <w:rtl/>
        </w:rPr>
        <w:t xml:space="preserve"> بزرگ‌ترین مسائل و مشکلات امروزی ما مشکلات پیشرفت هستند. آن‌ها محصولات جانبی موفقیت‌های چشمگیر ما در هزاره جدید هستند. با این حال افراد بدبین زیادی وجود دارند که از گفتن خلاف این موارد به ما سود</w:t>
      </w:r>
      <w:r w:rsidRPr="0025250D">
        <w:rPr>
          <w:rFonts w:hint="cs"/>
        </w:rPr>
        <w:t>‌</w:t>
      </w:r>
      <w:r w:rsidRPr="0025250D">
        <w:rPr>
          <w:rFonts w:hint="cs"/>
          <w:rtl/>
        </w:rPr>
        <w:t xml:space="preserve"> می‌برند؛ از جمله مواردی که در این کتاب به آن‌ها </w:t>
      </w:r>
      <w:r w:rsidRPr="0025250D">
        <w:rPr>
          <w:rFonts w:hint="cs"/>
          <w:rtl/>
        </w:rPr>
        <w:lastRenderedPageBreak/>
        <w:t>پرداخته و آن‌ها را نقد</w:t>
      </w:r>
      <w:r w:rsidRPr="0025250D">
        <w:rPr>
          <w:rFonts w:hint="cs"/>
        </w:rPr>
        <w:t>‌</w:t>
      </w:r>
      <w:r w:rsidRPr="0025250D">
        <w:rPr>
          <w:rFonts w:hint="cs"/>
          <w:rtl/>
        </w:rPr>
        <w:t xml:space="preserve"> می‌کنیم. با این حال </w:t>
      </w:r>
      <w:r w:rsidRPr="0025250D">
        <w:rPr>
          <w:rtl/>
        </w:rPr>
        <w:t xml:space="preserve">آینده‌نگاری </w:t>
      </w:r>
      <w:r w:rsidRPr="0025250D">
        <w:rPr>
          <w:rFonts w:hint="cs"/>
          <w:rtl/>
        </w:rPr>
        <w:t xml:space="preserve">و عمل جمعی ما هر دو امروزه بسیار پیشرفته‌تر از زمانی هستند که اولین بار در هزاران سال قبل بر روی صحرای آفریقا قدم گذاشتیم. آن‌ها همچنین </w:t>
      </w:r>
      <w:r w:rsidR="007118DE" w:rsidRPr="0025250D">
        <w:rPr>
          <w:rFonts w:hint="cs"/>
          <w:rtl/>
        </w:rPr>
        <w:t>همان‌طور</w:t>
      </w:r>
      <w:r w:rsidRPr="0025250D">
        <w:rPr>
          <w:rFonts w:hint="cs"/>
          <w:rtl/>
        </w:rPr>
        <w:t xml:space="preserve"> که خواهیم دید، به‌صورت جهانی پر شتاب و همسو هستند. </w:t>
      </w:r>
      <w:r w:rsidRPr="0025250D">
        <w:rPr>
          <w:rtl/>
        </w:rPr>
        <w:t>آینده‌نگاری</w:t>
      </w:r>
      <w:r w:rsidRPr="0025250D">
        <w:rPr>
          <w:rFonts w:hint="cs"/>
          <w:rtl/>
        </w:rPr>
        <w:t xml:space="preserve"> بهتر</w:t>
      </w:r>
      <w:r w:rsidRPr="0025250D">
        <w:rPr>
          <w:rFonts w:hint="cs"/>
        </w:rPr>
        <w:t>‌</w:t>
      </w:r>
      <w:r w:rsidRPr="0025250D">
        <w:rPr>
          <w:rFonts w:hint="cs"/>
          <w:rtl/>
        </w:rPr>
        <w:t xml:space="preserve"> می‌تواند ما را به سمت </w:t>
      </w:r>
      <w:r w:rsidR="00923DDB" w:rsidRPr="0025250D">
        <w:rPr>
          <w:rFonts w:hint="cs"/>
          <w:rtl/>
        </w:rPr>
        <w:t>راه‌حل</w:t>
      </w:r>
      <w:r w:rsidRPr="0025250D">
        <w:rPr>
          <w:rFonts w:hint="cs"/>
          <w:rtl/>
        </w:rPr>
        <w:t>‌هایی که نیاز داریم هدایت کند و به ما برای یافتن راه‌هایی برای خروج از دام‌هایی که وقتی خودخواه، حریص و کوته نظر باشیم ایجاد</w:t>
      </w:r>
      <w:r w:rsidRPr="0025250D">
        <w:rPr>
          <w:rFonts w:hint="cs"/>
        </w:rPr>
        <w:t>‌</w:t>
      </w:r>
      <w:r w:rsidRPr="0025250D">
        <w:rPr>
          <w:rFonts w:hint="cs"/>
          <w:rtl/>
        </w:rPr>
        <w:t xml:space="preserve"> می‌کنیم، کمک کند. مثال‌های متعددی از مسیر‌های بهتر و بد‌تر پیش رو را در این کتاب بررسی خواهیم کرد.</w:t>
      </w:r>
    </w:p>
    <w:p w14:paraId="74EF4648" w14:textId="77777777" w:rsidR="0020732A" w:rsidRPr="0025250D" w:rsidRDefault="0020732A" w:rsidP="0020732A">
      <w:pPr>
        <w:rPr>
          <w:rtl/>
        </w:rPr>
      </w:pPr>
    </w:p>
    <w:p w14:paraId="1A6821F5" w14:textId="77777777" w:rsidR="0020732A" w:rsidRPr="0025250D" w:rsidRDefault="0020732A" w:rsidP="0020732A">
      <w:pPr>
        <w:rPr>
          <w:rtl/>
        </w:rPr>
      </w:pPr>
    </w:p>
    <w:p w14:paraId="27EB79C4" w14:textId="77777777" w:rsidR="0020732A" w:rsidRPr="0025250D" w:rsidRDefault="0020732A" w:rsidP="0020732A">
      <w:pPr>
        <w:rPr>
          <w:rtl/>
        </w:rPr>
      </w:pPr>
    </w:p>
    <w:p w14:paraId="0FAB0BCE" w14:textId="77777777" w:rsidR="0020732A" w:rsidRPr="0025250D" w:rsidRDefault="0020732A" w:rsidP="0020732A">
      <w:pPr>
        <w:rPr>
          <w:rtl/>
        </w:rPr>
      </w:pPr>
    </w:p>
    <w:p w14:paraId="2FF088C5" w14:textId="77777777" w:rsidR="0020732A" w:rsidRPr="0025250D" w:rsidRDefault="0020732A" w:rsidP="0020732A">
      <w:pPr>
        <w:rPr>
          <w:rtl/>
        </w:rPr>
      </w:pPr>
    </w:p>
    <w:p w14:paraId="39BBCA7A" w14:textId="77777777" w:rsidR="0020732A" w:rsidRPr="0025250D" w:rsidRDefault="0020732A" w:rsidP="0020732A">
      <w:pPr>
        <w:rPr>
          <w:rtl/>
        </w:rPr>
      </w:pPr>
    </w:p>
    <w:p w14:paraId="74538D26" w14:textId="77777777" w:rsidR="0020732A" w:rsidRPr="0025250D" w:rsidRDefault="0020732A" w:rsidP="0020732A">
      <w:pPr>
        <w:rPr>
          <w:rtl/>
        </w:rPr>
      </w:pPr>
    </w:p>
    <w:p w14:paraId="445ADB0C" w14:textId="77777777" w:rsidR="0020732A" w:rsidRPr="0025250D" w:rsidRDefault="0020732A" w:rsidP="0020732A">
      <w:pPr>
        <w:rPr>
          <w:rtl/>
        </w:rPr>
      </w:pPr>
    </w:p>
    <w:p w14:paraId="6C923918" w14:textId="77777777" w:rsidR="0020732A" w:rsidRPr="0025250D" w:rsidRDefault="0020732A" w:rsidP="0020732A">
      <w:pPr>
        <w:rPr>
          <w:rtl/>
        </w:rPr>
      </w:pPr>
    </w:p>
    <w:p w14:paraId="40A53079" w14:textId="0AC8C12C" w:rsidR="0020732A" w:rsidRPr="0025250D" w:rsidRDefault="0020732A" w:rsidP="009E77BD">
      <w:pPr>
        <w:pStyle w:val="Heading2"/>
        <w:rPr>
          <w:rtl/>
        </w:rPr>
      </w:pPr>
      <w:bookmarkStart w:id="22" w:name="_Toc127831287"/>
      <w:r w:rsidRPr="0025250D">
        <w:rPr>
          <w:rFonts w:hint="cs"/>
          <w:rtl/>
        </w:rPr>
        <w:lastRenderedPageBreak/>
        <w:t xml:space="preserve">تاریخ مهم است! </w:t>
      </w:r>
      <w:r w:rsidRPr="0025250D">
        <w:rPr>
          <w:rFonts w:ascii="Times New Roman" w:hAnsi="Times New Roman" w:cs="Times New Roman" w:hint="cs"/>
          <w:rtl/>
        </w:rPr>
        <w:t>–</w:t>
      </w:r>
      <w:r w:rsidRPr="0025250D">
        <w:rPr>
          <w:rFonts w:hint="cs"/>
          <w:rtl/>
        </w:rPr>
        <w:t xml:space="preserve"> </w:t>
      </w:r>
      <w:r w:rsidRPr="0025250D">
        <w:rPr>
          <w:rtl/>
        </w:rPr>
        <w:t>آینده‌نگاری</w:t>
      </w:r>
      <w:r w:rsidR="008D6F97" w:rsidRPr="0025250D">
        <w:rPr>
          <w:rtl/>
        </w:rPr>
        <w:t xml:space="preserve"> </w:t>
      </w:r>
      <w:r w:rsidRPr="0025250D">
        <w:rPr>
          <w:rFonts w:hint="cs"/>
          <w:rtl/>
        </w:rPr>
        <w:t xml:space="preserve">تاریخی و </w:t>
      </w:r>
      <w:r w:rsidR="00303635" w:rsidRPr="0025250D">
        <w:rPr>
          <w:rFonts w:hint="cs"/>
          <w:rtl/>
        </w:rPr>
        <w:t>چابک‌بین</w:t>
      </w:r>
      <w:r w:rsidR="00303635" w:rsidRPr="0025250D">
        <w:rPr>
          <w:rStyle w:val="FootnoteReference"/>
          <w:rtl/>
        </w:rPr>
        <w:footnoteReference w:id="788"/>
      </w:r>
      <w:bookmarkEnd w:id="22"/>
    </w:p>
    <w:p w14:paraId="1C417B62" w14:textId="3BA26596" w:rsidR="0020732A" w:rsidRPr="0025250D" w:rsidRDefault="001F5BB0" w:rsidP="0020732A">
      <w:pPr>
        <w:rPr>
          <w:rtl/>
        </w:rPr>
      </w:pPr>
      <w:r w:rsidRPr="0025250D">
        <w:rPr>
          <w:rtl/>
        </w:rPr>
        <w:t>پس‌آ</w:t>
      </w:r>
      <w:r w:rsidRPr="0025250D">
        <w:rPr>
          <w:rFonts w:hint="cs"/>
          <w:rtl/>
        </w:rPr>
        <w:t>ی</w:t>
      </w:r>
      <w:r w:rsidRPr="0025250D">
        <w:rPr>
          <w:rFonts w:hint="eastAsia"/>
          <w:rtl/>
        </w:rPr>
        <w:t>نده‌گرا</w:t>
      </w:r>
      <w:r w:rsidRPr="0025250D">
        <w:rPr>
          <w:rFonts w:hint="cs"/>
          <w:rtl/>
        </w:rPr>
        <w:t>یی</w:t>
      </w:r>
      <w:r w:rsidR="0020732A" w:rsidRPr="0025250D">
        <w:rPr>
          <w:vertAlign w:val="superscript"/>
          <w:rtl/>
        </w:rPr>
        <w:footnoteReference w:id="789"/>
      </w:r>
      <w:r w:rsidR="0020732A" w:rsidRPr="0025250D">
        <w:rPr>
          <w:rFonts w:hint="cs"/>
          <w:rtl/>
        </w:rPr>
        <w:t xml:space="preserve"> عمل بازبینی تصاویر گذشته و نوشتن در مورد آینده است. ما از این مرور برای اهداف متعددی، از جمله سرگرمی، هنر و تحصیل استفاده</w:t>
      </w:r>
      <w:r w:rsidR="0020732A" w:rsidRPr="0025250D">
        <w:rPr>
          <w:rFonts w:hint="cs"/>
        </w:rPr>
        <w:t>‌</w:t>
      </w:r>
      <w:r w:rsidR="0020732A" w:rsidRPr="0025250D">
        <w:rPr>
          <w:rFonts w:hint="cs"/>
          <w:rtl/>
        </w:rPr>
        <w:t xml:space="preserve"> می‌کنیم. وبلاگ پلئوفیوچر</w:t>
      </w:r>
      <w:r w:rsidR="0020732A" w:rsidRPr="0025250D">
        <w:rPr>
          <w:vertAlign w:val="superscript"/>
          <w:rtl/>
        </w:rPr>
        <w:footnoteReference w:id="790"/>
      </w:r>
      <w:r w:rsidR="0020732A" w:rsidRPr="0025250D">
        <w:rPr>
          <w:rFonts w:hint="cs"/>
          <w:rtl/>
        </w:rPr>
        <w:t xml:space="preserve"> تصاویر </w:t>
      </w:r>
      <w:r w:rsidRPr="0025250D">
        <w:rPr>
          <w:rtl/>
        </w:rPr>
        <w:t>پس‌آ</w:t>
      </w:r>
      <w:r w:rsidRPr="0025250D">
        <w:rPr>
          <w:rFonts w:hint="cs"/>
          <w:rtl/>
        </w:rPr>
        <w:t>ی</w:t>
      </w:r>
      <w:r w:rsidRPr="0025250D">
        <w:rPr>
          <w:rFonts w:hint="eastAsia"/>
          <w:rtl/>
        </w:rPr>
        <w:t>نده‌گرا</w:t>
      </w:r>
      <w:r w:rsidRPr="0025250D">
        <w:rPr>
          <w:rFonts w:hint="cs"/>
          <w:rtl/>
        </w:rPr>
        <w:t xml:space="preserve">یی </w:t>
      </w:r>
      <w:r w:rsidR="0020732A" w:rsidRPr="0025250D">
        <w:rPr>
          <w:rFonts w:hint="cs"/>
          <w:rtl/>
        </w:rPr>
        <w:t>متعددی با آغاز از دهه 1870 میلادی به ما ارائه</w:t>
      </w:r>
      <w:r w:rsidR="0020732A" w:rsidRPr="0025250D">
        <w:rPr>
          <w:rFonts w:hint="cs"/>
        </w:rPr>
        <w:t>‌</w:t>
      </w:r>
      <w:r w:rsidR="0020732A" w:rsidRPr="0025250D">
        <w:rPr>
          <w:rFonts w:hint="cs"/>
          <w:rtl/>
        </w:rPr>
        <w:t xml:space="preserve"> می‌دهد. نگاه به </w:t>
      </w:r>
      <w:r w:rsidR="00B56611" w:rsidRPr="0025250D">
        <w:rPr>
          <w:rFonts w:hint="cs"/>
          <w:rtl/>
        </w:rPr>
        <w:t>چشم‌انداز</w:t>
      </w:r>
      <w:r w:rsidR="0020732A" w:rsidRPr="0025250D">
        <w:rPr>
          <w:rFonts w:hint="cs"/>
          <w:rtl/>
        </w:rPr>
        <w:t xml:space="preserve">‌های تاریخی آینده ما خنده دار، الهام بخش، آگاهی بخش و آموزنده است. به سایت </w:t>
      </w:r>
      <w:r w:rsidR="0020732A" w:rsidRPr="0025250D">
        <w:t>RetroFuture.com</w:t>
      </w:r>
      <w:r w:rsidR="0020732A" w:rsidRPr="0025250D">
        <w:rPr>
          <w:rFonts w:hint="cs"/>
          <w:rtl/>
        </w:rPr>
        <w:t xml:space="preserve"> برای مشاهده مجموعه خوبی از چنین </w:t>
      </w:r>
      <w:r w:rsidR="00B56611" w:rsidRPr="0025250D">
        <w:rPr>
          <w:rFonts w:hint="cs"/>
          <w:rtl/>
        </w:rPr>
        <w:t>چشم‌انداز</w:t>
      </w:r>
      <w:r w:rsidR="0020732A" w:rsidRPr="0025250D">
        <w:rPr>
          <w:rFonts w:hint="cs"/>
          <w:rtl/>
        </w:rPr>
        <w:t>‌هایی مراجعه نمایید.</w:t>
      </w:r>
    </w:p>
    <w:p w14:paraId="172727E2" w14:textId="04A5E9AD" w:rsidR="0020732A" w:rsidRPr="0025250D" w:rsidRDefault="0020732A" w:rsidP="0020732A">
      <w:pPr>
        <w:rPr>
          <w:rtl/>
        </w:rPr>
      </w:pPr>
      <w:r w:rsidRPr="0025250D">
        <w:rPr>
          <w:rFonts w:hint="cs"/>
          <w:rtl/>
        </w:rPr>
        <w:t xml:space="preserve">تحلیل </w:t>
      </w:r>
      <w:r w:rsidRPr="0025250D">
        <w:rPr>
          <w:rtl/>
        </w:rPr>
        <w:t>آینده‌نگاری</w:t>
      </w:r>
      <w:r w:rsidR="008D6F97" w:rsidRPr="0025250D">
        <w:rPr>
          <w:rtl/>
        </w:rPr>
        <w:t xml:space="preserve"> </w:t>
      </w:r>
      <w:r w:rsidRPr="0025250D">
        <w:rPr>
          <w:rFonts w:hint="cs"/>
          <w:rtl/>
        </w:rPr>
        <w:t>تاریخی</w:t>
      </w:r>
      <w:r w:rsidRPr="0025250D">
        <w:rPr>
          <w:vertAlign w:val="superscript"/>
          <w:rtl/>
        </w:rPr>
        <w:footnoteReference w:id="791"/>
      </w:r>
      <w:r w:rsidRPr="0025250D">
        <w:rPr>
          <w:rFonts w:hint="cs"/>
          <w:rtl/>
        </w:rPr>
        <w:t xml:space="preserve"> (</w:t>
      </w:r>
      <w:r w:rsidRPr="0025250D">
        <w:t>HFA</w:t>
      </w:r>
      <w:r w:rsidRPr="0025250D">
        <w:rPr>
          <w:rFonts w:hint="cs"/>
          <w:rtl/>
        </w:rPr>
        <w:t xml:space="preserve">) </w:t>
      </w:r>
      <w:r w:rsidR="001F5BB0" w:rsidRPr="0025250D">
        <w:rPr>
          <w:rtl/>
        </w:rPr>
        <w:t>پس‌آ</w:t>
      </w:r>
      <w:r w:rsidR="001F5BB0" w:rsidRPr="0025250D">
        <w:rPr>
          <w:rFonts w:hint="cs"/>
          <w:rtl/>
        </w:rPr>
        <w:t>ی</w:t>
      </w:r>
      <w:r w:rsidR="001F5BB0" w:rsidRPr="0025250D">
        <w:rPr>
          <w:rFonts w:hint="eastAsia"/>
          <w:rtl/>
        </w:rPr>
        <w:t>نده‌گرا</w:t>
      </w:r>
      <w:r w:rsidR="001F5BB0" w:rsidRPr="0025250D">
        <w:rPr>
          <w:rFonts w:hint="cs"/>
          <w:rtl/>
        </w:rPr>
        <w:t xml:space="preserve">یی </w:t>
      </w:r>
      <w:r w:rsidRPr="0025250D">
        <w:rPr>
          <w:rFonts w:hint="cs"/>
          <w:rtl/>
        </w:rPr>
        <w:t xml:space="preserve">است که با هدف بهبود عمل </w:t>
      </w:r>
      <w:r w:rsidRPr="0025250D">
        <w:rPr>
          <w:rtl/>
        </w:rPr>
        <w:t>آینده‌نگاری</w:t>
      </w:r>
      <w:r w:rsidRPr="0025250D">
        <w:rPr>
          <w:rFonts w:hint="cs"/>
          <w:rtl/>
        </w:rPr>
        <w:t xml:space="preserve"> امروز انجام</w:t>
      </w:r>
      <w:r w:rsidRPr="0025250D">
        <w:rPr>
          <w:rFonts w:hint="cs"/>
        </w:rPr>
        <w:t>‌</w:t>
      </w:r>
      <w:r w:rsidRPr="0025250D">
        <w:rPr>
          <w:rFonts w:hint="cs"/>
          <w:rtl/>
        </w:rPr>
        <w:t xml:space="preserve"> می‌شود. این کار</w:t>
      </w:r>
      <w:r w:rsidRPr="0025250D">
        <w:rPr>
          <w:rFonts w:hint="cs"/>
        </w:rPr>
        <w:t>‌</w:t>
      </w:r>
      <w:r w:rsidRPr="0025250D">
        <w:rPr>
          <w:rFonts w:hint="cs"/>
          <w:rtl/>
        </w:rPr>
        <w:t xml:space="preserve"> می‌تواند تنها مطالعات </w:t>
      </w:r>
      <w:r w:rsidRPr="0025250D">
        <w:rPr>
          <w:rtl/>
        </w:rPr>
        <w:t xml:space="preserve">آینده‌نگاری </w:t>
      </w:r>
      <w:r w:rsidRPr="0025250D">
        <w:rPr>
          <w:rFonts w:hint="cs"/>
          <w:rtl/>
        </w:rPr>
        <w:t xml:space="preserve">گذشته را مرور کند و یا تاریخچه فردی نویسندگان، روش‌ها، دیدگاه‌ها، فرهنگ‌ها، موفقیت‌ها و شکست‌های آن‌ها و دیگر </w:t>
      </w:r>
      <w:r w:rsidR="00B124DE" w:rsidRPr="0025250D">
        <w:rPr>
          <w:rFonts w:hint="cs"/>
          <w:rtl/>
        </w:rPr>
        <w:t>آینده‌اندیش</w:t>
      </w:r>
      <w:r w:rsidRPr="0025250D">
        <w:rPr>
          <w:rFonts w:hint="cs"/>
          <w:rtl/>
        </w:rPr>
        <w:t xml:space="preserve">ان معاصر را برای آموختن درس‌های عملی از کار آن‌ها مرور کند. </w:t>
      </w:r>
      <w:r w:rsidRPr="0025250D">
        <w:t>HFA</w:t>
      </w:r>
      <w:r w:rsidRPr="0025250D">
        <w:rPr>
          <w:rFonts w:hint="cs"/>
        </w:rPr>
        <w:t>‌</w:t>
      </w:r>
      <w:r w:rsidRPr="0025250D">
        <w:rPr>
          <w:rFonts w:hint="cs"/>
          <w:rtl/>
        </w:rPr>
        <w:t xml:space="preserve"> می‌تواند اطلاعات زیادی در مورد انواع تغییراتی که از مدت‌ها قبل </w:t>
      </w:r>
      <w:r w:rsidR="00D92F6E" w:rsidRPr="0025250D">
        <w:rPr>
          <w:rFonts w:hint="cs"/>
          <w:rtl/>
        </w:rPr>
        <w:t>پیش‌بین</w:t>
      </w:r>
      <w:r w:rsidRPr="0025250D">
        <w:rPr>
          <w:rFonts w:hint="cs"/>
          <w:rtl/>
        </w:rPr>
        <w:t xml:space="preserve">ی </w:t>
      </w:r>
      <w:r w:rsidR="00185F3E" w:rsidRPr="0025250D">
        <w:rPr>
          <w:rFonts w:hint="cs"/>
          <w:rtl/>
        </w:rPr>
        <w:t>شده‌اند</w:t>
      </w:r>
      <w:r w:rsidRPr="0025250D">
        <w:rPr>
          <w:rFonts w:hint="cs"/>
          <w:rtl/>
        </w:rPr>
        <w:t xml:space="preserve"> و انواع تغییراتی که کم‌تر </w:t>
      </w:r>
      <w:r w:rsidR="00D92F6E" w:rsidRPr="0025250D">
        <w:rPr>
          <w:rFonts w:hint="cs"/>
          <w:rtl/>
        </w:rPr>
        <w:t>پیش‌بین</w:t>
      </w:r>
      <w:r w:rsidRPr="0025250D">
        <w:rPr>
          <w:rFonts w:hint="cs"/>
          <w:rtl/>
        </w:rPr>
        <w:t xml:space="preserve">ی </w:t>
      </w:r>
      <w:r w:rsidR="00185F3E" w:rsidRPr="0025250D">
        <w:rPr>
          <w:rFonts w:hint="cs"/>
          <w:rtl/>
        </w:rPr>
        <w:t>شده‌اند</w:t>
      </w:r>
      <w:r w:rsidRPr="0025250D">
        <w:rPr>
          <w:rFonts w:hint="cs"/>
          <w:rtl/>
        </w:rPr>
        <w:t xml:space="preserve"> و با این حال به سرعت تشخیص داده شده و به سرعت در زمان لازم نسبت به آن‌ها، با استفاده از </w:t>
      </w:r>
      <w:r w:rsidR="008D6F97" w:rsidRPr="0025250D">
        <w:rPr>
          <w:rFonts w:hint="cs"/>
          <w:rtl/>
        </w:rPr>
        <w:t>سامانه‌</w:t>
      </w:r>
      <w:r w:rsidRPr="0025250D">
        <w:rPr>
          <w:rFonts w:hint="cs"/>
          <w:rtl/>
        </w:rPr>
        <w:t xml:space="preserve">‌های هوشمند و در شکل ایدئال با حفظ منابع، واکنش نشان داده شده است، </w:t>
      </w:r>
      <w:r w:rsidR="00A20CCB" w:rsidRPr="0025250D">
        <w:rPr>
          <w:rFonts w:hint="cs"/>
          <w:rtl/>
        </w:rPr>
        <w:t>در اختیار ما قرار دهد</w:t>
      </w:r>
      <w:r w:rsidRPr="0025250D">
        <w:rPr>
          <w:rFonts w:hint="cs"/>
          <w:rtl/>
        </w:rPr>
        <w:t>.</w:t>
      </w:r>
      <w:r w:rsidRPr="0025250D">
        <w:rPr>
          <w:rFonts w:hint="cs"/>
        </w:rPr>
        <w:t>‌</w:t>
      </w:r>
      <w:r w:rsidRPr="0025250D">
        <w:rPr>
          <w:rFonts w:hint="cs"/>
          <w:rtl/>
        </w:rPr>
        <w:t xml:space="preserve"> می‌توانیم </w:t>
      </w:r>
      <w:r w:rsidRPr="0025250D">
        <w:t>HFA</w:t>
      </w:r>
      <w:r w:rsidRPr="0025250D">
        <w:rPr>
          <w:rFonts w:hint="cs"/>
          <w:rtl/>
        </w:rPr>
        <w:t xml:space="preserve"> را به هر ده شکل </w:t>
      </w:r>
      <w:r w:rsidRPr="0025250D">
        <w:t>STEEPLECOP</w:t>
      </w:r>
      <w:r w:rsidRPr="0025250D">
        <w:rPr>
          <w:rFonts w:hint="cs"/>
          <w:rtl/>
        </w:rPr>
        <w:t xml:space="preserve"> (علمی، فناورانه، اقتصادی، زیست محیطی، سیاسی، قانونی، اخلاقی، فرهنگی، سازمانی و </w:t>
      </w:r>
      <w:r w:rsidR="001A3F0A" w:rsidRPr="0025250D">
        <w:rPr>
          <w:rFonts w:hint="cs"/>
          <w:rtl/>
        </w:rPr>
        <w:t>فردی</w:t>
      </w:r>
      <w:r w:rsidRPr="0025250D">
        <w:rPr>
          <w:rFonts w:hint="cs"/>
          <w:rtl/>
        </w:rPr>
        <w:t>) از دامنه‌های پویش محیطی انجام دهیم (</w:t>
      </w:r>
      <w:r w:rsidRPr="0025250D">
        <w:t>STEEPLECOP</w:t>
      </w:r>
      <w:r w:rsidRPr="0025250D">
        <w:rPr>
          <w:rFonts w:hint="cs"/>
          <w:rtl/>
        </w:rPr>
        <w:t xml:space="preserve"> را در فصل 5 معرفی خواهیم کرد). </w:t>
      </w:r>
      <w:r w:rsidRPr="0025250D">
        <w:t>HFA</w:t>
      </w:r>
      <w:r w:rsidRPr="0025250D">
        <w:rPr>
          <w:rFonts w:hint="cs"/>
        </w:rPr>
        <w:t>‌</w:t>
      </w:r>
      <w:r w:rsidRPr="0025250D">
        <w:rPr>
          <w:rFonts w:hint="cs"/>
          <w:rtl/>
        </w:rPr>
        <w:t xml:space="preserve"> می‌تواند همچنین به ما در مورد </w:t>
      </w:r>
      <w:r w:rsidR="00A20CCB" w:rsidRPr="0025250D">
        <w:rPr>
          <w:rFonts w:hint="cs"/>
          <w:rtl/>
        </w:rPr>
        <w:t>جهان‌بینی</w:t>
      </w:r>
      <w:r w:rsidRPr="0025250D">
        <w:rPr>
          <w:rFonts w:hint="cs"/>
          <w:rtl/>
        </w:rPr>
        <w:t xml:space="preserve">‌ها، ذهنیت‌ها و فرایند‌هایی که برای تبدیل شدن به </w:t>
      </w:r>
      <w:r w:rsidR="00D92F6E" w:rsidRPr="0025250D">
        <w:rPr>
          <w:rFonts w:hint="cs"/>
          <w:rtl/>
        </w:rPr>
        <w:t>پیش‌بین</w:t>
      </w:r>
      <w:r w:rsidRPr="0025250D">
        <w:rPr>
          <w:rFonts w:hint="cs"/>
          <w:rtl/>
        </w:rPr>
        <w:t>ی کنندگان خوب در مورد رویداد‌های توسعه‌ای و</w:t>
      </w:r>
      <w:r w:rsidR="00A20CCB" w:rsidRPr="0025250D">
        <w:rPr>
          <w:rFonts w:hint="cs"/>
          <w:rtl/>
        </w:rPr>
        <w:t xml:space="preserve"> به</w:t>
      </w:r>
      <w:r w:rsidRPr="0025250D">
        <w:rPr>
          <w:rFonts w:hint="cs"/>
          <w:rtl/>
        </w:rPr>
        <w:t xml:space="preserve"> واکنش دهندگان خوب نسبت به رویداد‌های تکاملی</w:t>
      </w:r>
      <w:r w:rsidR="00A20CCB" w:rsidRPr="0025250D">
        <w:rPr>
          <w:rFonts w:hint="cs"/>
          <w:rtl/>
        </w:rPr>
        <w:t xml:space="preserve"> نیاز داریم</w:t>
      </w:r>
      <w:r w:rsidRPr="0025250D">
        <w:rPr>
          <w:rFonts w:hint="cs"/>
          <w:rtl/>
        </w:rPr>
        <w:t xml:space="preserve"> و نحوه تنظیم تواناییمان برای </w:t>
      </w:r>
      <w:r w:rsidR="001F5BB0" w:rsidRPr="0025250D">
        <w:rPr>
          <w:rFonts w:hint="cs"/>
          <w:rtl/>
        </w:rPr>
        <w:t>فراپایی</w:t>
      </w:r>
      <w:r w:rsidRPr="0025250D">
        <w:rPr>
          <w:vertAlign w:val="superscript"/>
          <w:rtl/>
        </w:rPr>
        <w:footnoteReference w:id="792"/>
      </w:r>
      <w:r w:rsidRPr="0025250D">
        <w:rPr>
          <w:rFonts w:hint="cs"/>
          <w:rtl/>
        </w:rPr>
        <w:t xml:space="preserve"> و پاسخگویی بهتر توسط فرضیات، انگیزه‌ها و تمایلاتمان، اطلاعاتی بدهد.</w:t>
      </w:r>
    </w:p>
    <w:p w14:paraId="5431D54D" w14:textId="287DC4DF" w:rsidR="0020732A" w:rsidRPr="0025250D" w:rsidRDefault="0020732A" w:rsidP="0020732A">
      <w:pPr>
        <w:rPr>
          <w:rtl/>
        </w:rPr>
      </w:pPr>
      <w:r w:rsidRPr="0025250D">
        <w:rPr>
          <w:rFonts w:hint="cs"/>
          <w:rtl/>
        </w:rPr>
        <w:t xml:space="preserve">در ادبیات </w:t>
      </w:r>
      <w:r w:rsidRPr="0025250D">
        <w:rPr>
          <w:rtl/>
        </w:rPr>
        <w:t>آینده‌نگاری</w:t>
      </w:r>
      <w:r w:rsidRPr="0025250D">
        <w:rPr>
          <w:rFonts w:hint="cs"/>
          <w:rtl/>
        </w:rPr>
        <w:t xml:space="preserve">، این‌که یک </w:t>
      </w:r>
      <w:r w:rsidR="00D92F6E" w:rsidRPr="0025250D">
        <w:rPr>
          <w:rFonts w:hint="cs"/>
          <w:rtl/>
        </w:rPr>
        <w:t>پیش‌بین</w:t>
      </w:r>
      <w:r w:rsidRPr="0025250D">
        <w:rPr>
          <w:rFonts w:hint="cs"/>
          <w:rtl/>
        </w:rPr>
        <w:t>ی کننده خوب برای رویداد‌های توسعه‌ای</w:t>
      </w:r>
      <w:r w:rsidR="00A20CCB" w:rsidRPr="0025250D">
        <w:rPr>
          <w:rFonts w:hint="cs"/>
          <w:rtl/>
        </w:rPr>
        <w:t xml:space="preserve"> باشیم</w:t>
      </w:r>
      <w:r w:rsidRPr="0025250D">
        <w:rPr>
          <w:rFonts w:hint="cs"/>
          <w:rtl/>
        </w:rPr>
        <w:t xml:space="preserve"> یا یک سازنده </w:t>
      </w:r>
      <w:r w:rsidR="008D6F97" w:rsidRPr="0025250D">
        <w:rPr>
          <w:rFonts w:hint="cs"/>
          <w:rtl/>
        </w:rPr>
        <w:t>سامانه‌</w:t>
      </w:r>
      <w:r w:rsidRPr="0025250D">
        <w:rPr>
          <w:rFonts w:hint="cs"/>
          <w:rtl/>
        </w:rPr>
        <w:t xml:space="preserve">‌های اطلاعاتی </w:t>
      </w:r>
      <w:r w:rsidR="00A20CCB" w:rsidRPr="0025250D">
        <w:rPr>
          <w:rFonts w:hint="cs"/>
          <w:rtl/>
        </w:rPr>
        <w:t xml:space="preserve">که </w:t>
      </w:r>
      <w:r w:rsidRPr="0025250D">
        <w:rPr>
          <w:rFonts w:hint="cs"/>
          <w:rtl/>
        </w:rPr>
        <w:t>قادر به پاسخگویی سریع به رویداد‌های تکاملی</w:t>
      </w:r>
      <w:r w:rsidR="00A20CCB" w:rsidRPr="0025250D">
        <w:rPr>
          <w:rFonts w:hint="cs"/>
          <w:rtl/>
        </w:rPr>
        <w:t xml:space="preserve"> است</w:t>
      </w:r>
      <w:r w:rsidRPr="0025250D">
        <w:rPr>
          <w:rFonts w:hint="cs"/>
          <w:rtl/>
        </w:rPr>
        <w:t xml:space="preserve">، </w:t>
      </w:r>
      <w:r w:rsidR="00303635" w:rsidRPr="0025250D">
        <w:rPr>
          <w:rtl/>
        </w:rPr>
        <w:t>چابک‌بینی</w:t>
      </w:r>
      <w:r w:rsidRPr="0025250D">
        <w:rPr>
          <w:rFonts w:hint="cs"/>
          <w:rtl/>
        </w:rPr>
        <w:t xml:space="preserve"> نامیده</w:t>
      </w:r>
      <w:r w:rsidRPr="0025250D">
        <w:rPr>
          <w:rFonts w:hint="cs"/>
        </w:rPr>
        <w:t>‌</w:t>
      </w:r>
      <w:r w:rsidRPr="0025250D">
        <w:rPr>
          <w:rFonts w:hint="cs"/>
          <w:rtl/>
        </w:rPr>
        <w:t xml:space="preserve"> می‌شود. دو راه مشخص برای </w:t>
      </w:r>
      <w:r w:rsidR="00303635" w:rsidRPr="0025250D">
        <w:rPr>
          <w:rtl/>
        </w:rPr>
        <w:t>چابک‌بین</w:t>
      </w:r>
      <w:r w:rsidRPr="0025250D">
        <w:rPr>
          <w:rFonts w:hint="cs"/>
          <w:rtl/>
        </w:rPr>
        <w:t xml:space="preserve"> بودن وجود دارند.</w:t>
      </w:r>
      <w:r w:rsidRPr="0025250D">
        <w:rPr>
          <w:rFonts w:hint="cs"/>
        </w:rPr>
        <w:t>‌</w:t>
      </w:r>
      <w:r w:rsidRPr="0025250D">
        <w:rPr>
          <w:rFonts w:hint="cs"/>
          <w:rtl/>
        </w:rPr>
        <w:t xml:space="preserve"> می‌توانیم در یک محیط </w:t>
      </w:r>
      <w:r w:rsidR="00303635" w:rsidRPr="0025250D">
        <w:rPr>
          <w:rtl/>
        </w:rPr>
        <w:t>چابک‌بین</w:t>
      </w:r>
      <w:r w:rsidRPr="0025250D">
        <w:rPr>
          <w:rFonts w:hint="cs"/>
          <w:rtl/>
        </w:rPr>
        <w:t xml:space="preserve">، محیطی که </w:t>
      </w:r>
      <w:r w:rsidR="00D92F6E" w:rsidRPr="0025250D">
        <w:rPr>
          <w:rFonts w:hint="cs"/>
          <w:rtl/>
        </w:rPr>
        <w:t>پیش‌بین</w:t>
      </w:r>
      <w:r w:rsidRPr="0025250D">
        <w:rPr>
          <w:rFonts w:hint="cs"/>
          <w:rtl/>
        </w:rPr>
        <w:t>ی، تشخیص و واکنش مورد تحسین و قدردانی قرار</w:t>
      </w:r>
      <w:r w:rsidRPr="0025250D">
        <w:rPr>
          <w:rFonts w:hint="cs"/>
        </w:rPr>
        <w:t>‌</w:t>
      </w:r>
      <w:r w:rsidRPr="0025250D">
        <w:rPr>
          <w:rFonts w:hint="cs"/>
          <w:rtl/>
        </w:rPr>
        <w:t xml:space="preserve"> می‌گیرد زندگی کنیم یا</w:t>
      </w:r>
      <w:r w:rsidRPr="0025250D">
        <w:rPr>
          <w:rFonts w:hint="cs"/>
        </w:rPr>
        <w:t>‌</w:t>
      </w:r>
      <w:r w:rsidRPr="0025250D">
        <w:rPr>
          <w:rFonts w:hint="cs"/>
          <w:rtl/>
        </w:rPr>
        <w:t xml:space="preserve"> می‌توانیم یک متفکر </w:t>
      </w:r>
      <w:r w:rsidR="00303635" w:rsidRPr="0025250D">
        <w:rPr>
          <w:rtl/>
        </w:rPr>
        <w:t>چابک‌بین</w:t>
      </w:r>
      <w:r w:rsidRPr="0025250D">
        <w:rPr>
          <w:rFonts w:hint="cs"/>
          <w:rtl/>
        </w:rPr>
        <w:t xml:space="preserve"> باشیم یا هر دو. شناسایی شرایطی که متفکرین و محیط‌های </w:t>
      </w:r>
      <w:r w:rsidR="00303635" w:rsidRPr="0025250D">
        <w:rPr>
          <w:rtl/>
        </w:rPr>
        <w:t>چابک‌بین</w:t>
      </w:r>
      <w:r w:rsidR="008D6F97" w:rsidRPr="0025250D">
        <w:rPr>
          <w:rtl/>
        </w:rPr>
        <w:t xml:space="preserve"> </w:t>
      </w:r>
      <w:r w:rsidRPr="0025250D">
        <w:rPr>
          <w:rFonts w:hint="cs"/>
          <w:rtl/>
        </w:rPr>
        <w:t>ایجاد</w:t>
      </w:r>
      <w:r w:rsidRPr="0025250D">
        <w:rPr>
          <w:rFonts w:hint="cs"/>
        </w:rPr>
        <w:t>‌</w:t>
      </w:r>
      <w:r w:rsidRPr="0025250D">
        <w:rPr>
          <w:rFonts w:hint="cs"/>
          <w:rtl/>
        </w:rPr>
        <w:t xml:space="preserve"> می‌کنند</w:t>
      </w:r>
      <w:r w:rsidRPr="0025250D">
        <w:rPr>
          <w:rFonts w:hint="cs"/>
        </w:rPr>
        <w:t>‌</w:t>
      </w:r>
      <w:r w:rsidRPr="0025250D">
        <w:rPr>
          <w:rFonts w:hint="cs"/>
          <w:rtl/>
        </w:rPr>
        <w:t xml:space="preserve"> می‌تواند موارد زیادی را در مورد چگونگی بهبود فرایند </w:t>
      </w:r>
      <w:r w:rsidRPr="0025250D">
        <w:rPr>
          <w:rtl/>
        </w:rPr>
        <w:t>آینده‌نگاری</w:t>
      </w:r>
      <w:r w:rsidRPr="0025250D">
        <w:rPr>
          <w:rFonts w:hint="cs"/>
          <w:rtl/>
        </w:rPr>
        <w:t xml:space="preserve"> خود</w:t>
      </w:r>
      <w:r w:rsidR="00A20CCB" w:rsidRPr="0025250D">
        <w:rPr>
          <w:rFonts w:hint="cs"/>
          <w:rtl/>
        </w:rPr>
        <w:t xml:space="preserve"> به ما</w:t>
      </w:r>
      <w:r w:rsidRPr="0025250D">
        <w:rPr>
          <w:rFonts w:hint="cs"/>
          <w:rtl/>
        </w:rPr>
        <w:t xml:space="preserve"> بگوید.</w:t>
      </w:r>
    </w:p>
    <w:p w14:paraId="16D0E0C3" w14:textId="01784F3F" w:rsidR="0020732A" w:rsidRPr="0025250D" w:rsidRDefault="0020732A" w:rsidP="0020732A">
      <w:pPr>
        <w:rPr>
          <w:rtl/>
        </w:rPr>
      </w:pPr>
      <w:r w:rsidRPr="0025250D">
        <w:t>HFA</w:t>
      </w:r>
      <w:r w:rsidRPr="0025250D">
        <w:rPr>
          <w:rFonts w:hint="cs"/>
          <w:rtl/>
        </w:rPr>
        <w:t xml:space="preserve"> ارزش تجربه تخصصی از زندگی در فرهنگ‌های نوآوری یا زندگی در محیط‌های پیچیده، تحولی و پر ریسک، داشتن درک خوبی از تاریخ و واقعیت موجود، داشتن ظرفیت‌های هوش، منطق و درک و پاسخ دهی و </w:t>
      </w:r>
      <w:r w:rsidR="00D92F6E" w:rsidRPr="0025250D">
        <w:rPr>
          <w:rFonts w:hint="cs"/>
          <w:rtl/>
        </w:rPr>
        <w:t>پیش‌بین</w:t>
      </w:r>
      <w:r w:rsidRPr="0025250D">
        <w:rPr>
          <w:rFonts w:hint="cs"/>
          <w:rtl/>
        </w:rPr>
        <w:t>ی تخصصی دامنه‌های مشخصی در علم و فناوری را به ما آموزش</w:t>
      </w:r>
      <w:r w:rsidRPr="0025250D">
        <w:rPr>
          <w:rFonts w:hint="cs"/>
        </w:rPr>
        <w:t>‌</w:t>
      </w:r>
      <w:r w:rsidRPr="0025250D">
        <w:rPr>
          <w:rFonts w:hint="cs"/>
          <w:rtl/>
        </w:rPr>
        <w:t xml:space="preserve"> می‌دهد.</w:t>
      </w:r>
    </w:p>
    <w:p w14:paraId="664B60FE" w14:textId="5FB3D8D1" w:rsidR="0020732A" w:rsidRPr="0025250D" w:rsidRDefault="0020732A" w:rsidP="0020732A">
      <w:pPr>
        <w:rPr>
          <w:rtl/>
        </w:rPr>
      </w:pPr>
      <w:r w:rsidRPr="0025250D">
        <w:rPr>
          <w:rFonts w:hint="cs"/>
          <w:rtl/>
        </w:rPr>
        <w:t xml:space="preserve">از زمانی که آغاز به جدی گرفتن نوشته‌های </w:t>
      </w:r>
      <w:r w:rsidRPr="0025250D">
        <w:rPr>
          <w:rtl/>
        </w:rPr>
        <w:t>آینده‌نگاری</w:t>
      </w:r>
      <w:r w:rsidRPr="0025250D">
        <w:rPr>
          <w:rFonts w:hint="cs"/>
          <w:rtl/>
        </w:rPr>
        <w:t xml:space="preserve"> در پایان قرن نوزدهم کردیم، گنجینه‌ای غنی از </w:t>
      </w:r>
      <w:r w:rsidRPr="0025250D">
        <w:rPr>
          <w:rtl/>
        </w:rPr>
        <w:t>آینده‌نگاری</w:t>
      </w:r>
      <w:r w:rsidRPr="0025250D">
        <w:rPr>
          <w:rFonts w:hint="cs"/>
          <w:rtl/>
        </w:rPr>
        <w:t xml:space="preserve"> چهار </w:t>
      </w:r>
      <w:r w:rsidRPr="0025250D">
        <w:t>P</w:t>
      </w:r>
      <w:r w:rsidRPr="0025250D">
        <w:rPr>
          <w:rFonts w:hint="cs"/>
          <w:rtl/>
        </w:rPr>
        <w:t xml:space="preserve"> را منتشر </w:t>
      </w:r>
      <w:r w:rsidR="00950293" w:rsidRPr="0025250D">
        <w:rPr>
          <w:rFonts w:hint="cs"/>
          <w:rtl/>
        </w:rPr>
        <w:t>کرده‌ایم</w:t>
      </w:r>
      <w:r w:rsidRPr="0025250D">
        <w:rPr>
          <w:rFonts w:hint="cs"/>
          <w:rtl/>
        </w:rPr>
        <w:t>. در این ادبیات کاوش‌های متعدد به شدت خلاقانه و تخیلی از آینده‌های ممکن</w:t>
      </w:r>
      <w:r w:rsidRPr="0025250D">
        <w:rPr>
          <w:rFonts w:hint="cs"/>
        </w:rPr>
        <w:t>‌</w:t>
      </w:r>
      <w:r w:rsidRPr="0025250D">
        <w:rPr>
          <w:rFonts w:hint="cs"/>
          <w:rtl/>
        </w:rPr>
        <w:t xml:space="preserve"> می‌بینیم. موارد متعددی</w:t>
      </w:r>
      <w:r w:rsidRPr="0025250D">
        <w:rPr>
          <w:rFonts w:hint="cs"/>
        </w:rPr>
        <w:t>‌</w:t>
      </w:r>
      <w:r w:rsidRPr="0025250D">
        <w:rPr>
          <w:rFonts w:hint="cs"/>
          <w:rtl/>
        </w:rPr>
        <w:t xml:space="preserve"> می‌یابیم که </w:t>
      </w:r>
      <w:r w:rsidR="00D30084" w:rsidRPr="0025250D">
        <w:rPr>
          <w:rFonts w:hint="cs"/>
          <w:rtl/>
        </w:rPr>
        <w:t>آرمان‌گرا</w:t>
      </w:r>
      <w:r w:rsidRPr="0025250D">
        <w:rPr>
          <w:rFonts w:hint="cs"/>
          <w:rtl/>
        </w:rPr>
        <w:t>یانه (</w:t>
      </w:r>
      <w:r w:rsidR="00B56611" w:rsidRPr="0025250D">
        <w:rPr>
          <w:rFonts w:hint="cs"/>
          <w:rtl/>
        </w:rPr>
        <w:t>چشم‌انداز</w:t>
      </w:r>
      <w:r w:rsidRPr="0025250D">
        <w:rPr>
          <w:rFonts w:hint="cs"/>
          <w:rtl/>
        </w:rPr>
        <w:t xml:space="preserve">گرا) هستند، آینده‌های مرجح و فجایع و </w:t>
      </w:r>
      <w:r w:rsidR="0060055A" w:rsidRPr="0025250D">
        <w:rPr>
          <w:rFonts w:hint="cs"/>
          <w:rtl/>
        </w:rPr>
        <w:t>ویران‌شهر</w:t>
      </w:r>
      <w:r w:rsidRPr="0025250D">
        <w:rPr>
          <w:rFonts w:hint="cs"/>
          <w:rtl/>
        </w:rPr>
        <w:t>‌های قابل پیشگیری را توصیف</w:t>
      </w:r>
      <w:r w:rsidRPr="0025250D">
        <w:rPr>
          <w:rFonts w:hint="cs"/>
        </w:rPr>
        <w:t>‌</w:t>
      </w:r>
      <w:r w:rsidRPr="0025250D">
        <w:rPr>
          <w:rFonts w:hint="cs"/>
          <w:rtl/>
        </w:rPr>
        <w:t xml:space="preserve"> می‌کنند. برخی از این داستان‌های مرجح یا قابل پیش گیری به نظر حتی امروزه از نظر زمانی نامحدود</w:t>
      </w:r>
      <w:r w:rsidRPr="0025250D">
        <w:rPr>
          <w:rFonts w:hint="cs"/>
        </w:rPr>
        <w:t>‌</w:t>
      </w:r>
      <w:r w:rsidRPr="0025250D">
        <w:rPr>
          <w:rFonts w:hint="cs"/>
          <w:rtl/>
        </w:rPr>
        <w:t xml:space="preserve"> می‌رسند. بیش‌تر مطالعات </w:t>
      </w:r>
      <w:r w:rsidRPr="0025250D">
        <w:rPr>
          <w:rtl/>
        </w:rPr>
        <w:t>آینده‌نگاری</w:t>
      </w:r>
      <w:r w:rsidRPr="0025250D">
        <w:rPr>
          <w:rFonts w:hint="cs"/>
          <w:rtl/>
        </w:rPr>
        <w:t xml:space="preserve"> محصولاتی از محیط‌های محلی خود هستند که در آن زمان مناسب بود</w:t>
      </w:r>
      <w:r w:rsidR="00A20CCB" w:rsidRPr="0025250D">
        <w:rPr>
          <w:rFonts w:hint="cs"/>
          <w:rtl/>
        </w:rPr>
        <w:t>ه‌اند،</w:t>
      </w:r>
      <w:r w:rsidRPr="0025250D">
        <w:rPr>
          <w:rFonts w:hint="cs"/>
          <w:rtl/>
        </w:rPr>
        <w:t xml:space="preserve"> اما اکنون، با تغییر و پیشرفت جامعه بی مورد به نظر</w:t>
      </w:r>
      <w:r w:rsidRPr="0025250D">
        <w:rPr>
          <w:rFonts w:hint="cs"/>
        </w:rPr>
        <w:t>‌</w:t>
      </w:r>
      <w:r w:rsidRPr="0025250D">
        <w:rPr>
          <w:rFonts w:hint="cs"/>
          <w:rtl/>
        </w:rPr>
        <w:t xml:space="preserve"> می‌رسند</w:t>
      </w:r>
      <w:r w:rsidR="008D6F97" w:rsidRPr="0025250D">
        <w:rPr>
          <w:rtl/>
        </w:rPr>
        <w:t xml:space="preserve">؛ </w:t>
      </w:r>
      <w:r w:rsidR="0020589F" w:rsidRPr="0025250D">
        <w:rPr>
          <w:rtl/>
        </w:rPr>
        <w:t>اما</w:t>
      </w:r>
      <w:r w:rsidRPr="0025250D">
        <w:rPr>
          <w:rFonts w:hint="cs"/>
          <w:rtl/>
        </w:rPr>
        <w:t xml:space="preserve"> در مقابل برخی به طور مشخص دامنه و ارتباطی نا محدود و فراگیر دارند. درک پس زمینه‌ها، فرایند‌ها و بافت‌های </w:t>
      </w:r>
      <w:r w:rsidR="00D92F6E" w:rsidRPr="0025250D">
        <w:rPr>
          <w:rFonts w:hint="cs"/>
          <w:rtl/>
        </w:rPr>
        <w:t>پیش‌بین</w:t>
      </w:r>
      <w:r w:rsidRPr="0025250D">
        <w:rPr>
          <w:rFonts w:hint="cs"/>
          <w:rtl/>
        </w:rPr>
        <w:t xml:space="preserve">ی کنندگان بزرگ، افراد خلاق و </w:t>
      </w:r>
      <w:r w:rsidR="00B56611" w:rsidRPr="0025250D">
        <w:rPr>
          <w:rFonts w:hint="cs"/>
          <w:rtl/>
        </w:rPr>
        <w:t>چشم‌انداز</w:t>
      </w:r>
      <w:r w:rsidRPr="0025250D">
        <w:rPr>
          <w:rFonts w:hint="cs"/>
          <w:rtl/>
        </w:rPr>
        <w:t xml:space="preserve"> نگاران برجسته</w:t>
      </w:r>
      <w:r w:rsidRPr="0025250D">
        <w:rPr>
          <w:rFonts w:hint="cs"/>
        </w:rPr>
        <w:t>‌</w:t>
      </w:r>
      <w:r w:rsidRPr="0025250D">
        <w:rPr>
          <w:rFonts w:hint="cs"/>
          <w:rtl/>
        </w:rPr>
        <w:t xml:space="preserve"> می‌تواند به ما برای </w:t>
      </w:r>
      <w:r w:rsidR="00923DDB" w:rsidRPr="0025250D">
        <w:rPr>
          <w:rFonts w:hint="cs"/>
          <w:rtl/>
        </w:rPr>
        <w:t>پیش‌انگاری</w:t>
      </w:r>
      <w:r w:rsidRPr="0025250D">
        <w:rPr>
          <w:rFonts w:hint="cs"/>
          <w:rtl/>
        </w:rPr>
        <w:t xml:space="preserve"> بهتر تغییرات امروزی نیز کمک کند.</w:t>
      </w:r>
    </w:p>
    <w:p w14:paraId="74D4ED67" w14:textId="7DC48E8A" w:rsidR="0020732A" w:rsidRPr="0025250D" w:rsidRDefault="0020732A" w:rsidP="0020732A">
      <w:pPr>
        <w:rPr>
          <w:rtl/>
        </w:rPr>
      </w:pPr>
      <w:r w:rsidRPr="0025250D">
        <w:t>HFA</w:t>
      </w:r>
      <w:r w:rsidRPr="0025250D">
        <w:rPr>
          <w:rFonts w:hint="cs"/>
          <w:rtl/>
        </w:rPr>
        <w:t xml:space="preserve"> به ما</w:t>
      </w:r>
      <w:r w:rsidRPr="0025250D">
        <w:rPr>
          <w:rFonts w:hint="cs"/>
        </w:rPr>
        <w:t>‌</w:t>
      </w:r>
      <w:r w:rsidRPr="0025250D">
        <w:rPr>
          <w:rFonts w:hint="cs"/>
          <w:rtl/>
        </w:rPr>
        <w:t xml:space="preserve"> می‌گوید که تاریخ اهمیت دارد. تاریخ نقطه شروع ما در کار </w:t>
      </w:r>
      <w:r w:rsidRPr="0025250D">
        <w:rPr>
          <w:rtl/>
        </w:rPr>
        <w:t>آینده‌نگاری</w:t>
      </w:r>
      <w:r w:rsidRPr="0025250D">
        <w:rPr>
          <w:rFonts w:hint="cs"/>
          <w:rtl/>
        </w:rPr>
        <w:t xml:space="preserve"> است. هر چه بهتر روند‌ها، چرخه‌ها، مدل‌ها و عوامل معمول در گذشته را بیاموزیم و درک کنیم، بهتر</w:t>
      </w:r>
      <w:r w:rsidRPr="0025250D">
        <w:rPr>
          <w:rFonts w:hint="cs"/>
        </w:rPr>
        <w:t>‌</w:t>
      </w:r>
      <w:r w:rsidRPr="0025250D">
        <w:rPr>
          <w:rFonts w:hint="cs"/>
          <w:rtl/>
        </w:rPr>
        <w:t xml:space="preserve"> می‌توانیم زمان حال خود را تفسیر کنیم و آینده‌های محتمل و ممکن خود را ببینیم. یک مثال خوب از </w:t>
      </w:r>
      <w:r w:rsidRPr="0025250D">
        <w:lastRenderedPageBreak/>
        <w:t>HFA</w:t>
      </w:r>
      <w:r w:rsidRPr="0025250D">
        <w:rPr>
          <w:rFonts w:hint="cs"/>
          <w:rtl/>
        </w:rPr>
        <w:t xml:space="preserve"> در </w:t>
      </w:r>
      <w:r w:rsidRPr="0025250D">
        <w:rPr>
          <w:rtl/>
        </w:rPr>
        <w:t>آینده‌نگاری</w:t>
      </w:r>
      <w:r w:rsidR="00A20CCB" w:rsidRPr="0025250D">
        <w:rPr>
          <w:rFonts w:hint="cs"/>
          <w:rtl/>
        </w:rPr>
        <w:t xml:space="preserve"> </w:t>
      </w:r>
      <w:r w:rsidR="00127C91" w:rsidRPr="0025250D">
        <w:rPr>
          <w:rFonts w:hint="cs"/>
          <w:rtl/>
        </w:rPr>
        <w:t xml:space="preserve">موارد </w:t>
      </w:r>
      <w:r w:rsidRPr="0025250D">
        <w:rPr>
          <w:rFonts w:hint="cs"/>
          <w:rtl/>
        </w:rPr>
        <w:t>محتمل</w:t>
      </w:r>
      <w:r w:rsidR="00A20CCB" w:rsidRPr="0025250D">
        <w:rPr>
          <w:rFonts w:hint="cs"/>
          <w:rtl/>
        </w:rPr>
        <w:t xml:space="preserve"> کتاب</w:t>
      </w:r>
      <w:r w:rsidRPr="0025250D">
        <w:rPr>
          <w:rFonts w:hint="cs"/>
          <w:rtl/>
        </w:rPr>
        <w:t xml:space="preserve"> </w:t>
      </w:r>
      <w:r w:rsidR="00A20CCB" w:rsidRPr="0025250D">
        <w:rPr>
          <w:rFonts w:hint="cs"/>
          <w:rtl/>
        </w:rPr>
        <w:t>«</w:t>
      </w:r>
      <w:r w:rsidR="00FB6A7E" w:rsidRPr="0025250D">
        <w:rPr>
          <w:rFonts w:hint="cs"/>
          <w:rtl/>
        </w:rPr>
        <w:t>پیش‌نگری</w:t>
      </w:r>
      <w:r w:rsidRPr="0025250D">
        <w:rPr>
          <w:rFonts w:hint="cs"/>
          <w:rtl/>
        </w:rPr>
        <w:t xml:space="preserve"> فناورانه: 1970-1993</w:t>
      </w:r>
      <w:r w:rsidR="00A20CCB" w:rsidRPr="0025250D">
        <w:rPr>
          <w:rStyle w:val="FootnoteReference"/>
          <w:rtl/>
        </w:rPr>
        <w:footnoteReference w:id="793"/>
      </w:r>
      <w:r w:rsidR="00A20CCB" w:rsidRPr="0025250D">
        <w:rPr>
          <w:rFonts w:hint="cs"/>
          <w:rtl/>
        </w:rPr>
        <w:t>»</w:t>
      </w:r>
      <w:r w:rsidRPr="0025250D">
        <w:rPr>
          <w:rFonts w:hint="cs"/>
          <w:rtl/>
        </w:rPr>
        <w:t xml:space="preserve"> اثر </w:t>
      </w:r>
      <w:r w:rsidRPr="0025250D">
        <w:rPr>
          <w:rtl/>
        </w:rPr>
        <w:t>کوتس</w:t>
      </w:r>
      <w:r w:rsidRPr="0025250D">
        <w:rPr>
          <w:rFonts w:hint="cs"/>
          <w:rtl/>
        </w:rPr>
        <w:t xml:space="preserve"> و همکاران، در مجله </w:t>
      </w:r>
      <w:r w:rsidR="00FB6A7E" w:rsidRPr="0025250D">
        <w:rPr>
          <w:rtl/>
        </w:rPr>
        <w:t>پیش‌نگری</w:t>
      </w:r>
      <w:r w:rsidRPr="0025250D">
        <w:rPr>
          <w:rtl/>
        </w:rPr>
        <w:t xml:space="preserve"> فناور</w:t>
      </w:r>
      <w:r w:rsidRPr="0025250D">
        <w:rPr>
          <w:rFonts w:hint="cs"/>
          <w:rtl/>
        </w:rPr>
        <w:t>ی</w:t>
      </w:r>
      <w:r w:rsidRPr="0025250D">
        <w:rPr>
          <w:rtl/>
        </w:rPr>
        <w:t xml:space="preserve"> و تغ</w:t>
      </w:r>
      <w:r w:rsidRPr="0025250D">
        <w:rPr>
          <w:rFonts w:hint="cs"/>
          <w:rtl/>
        </w:rPr>
        <w:t>یی</w:t>
      </w:r>
      <w:r w:rsidRPr="0025250D">
        <w:rPr>
          <w:rFonts w:hint="eastAsia"/>
          <w:rtl/>
        </w:rPr>
        <w:t>رات</w:t>
      </w:r>
      <w:r w:rsidRPr="0025250D">
        <w:rPr>
          <w:rtl/>
        </w:rPr>
        <w:t xml:space="preserve"> اجتماع</w:t>
      </w:r>
      <w:r w:rsidRPr="0025250D">
        <w:rPr>
          <w:rFonts w:hint="cs"/>
          <w:rtl/>
        </w:rPr>
        <w:t>ی</w:t>
      </w:r>
      <w:r w:rsidRPr="0025250D">
        <w:rPr>
          <w:vertAlign w:val="superscript"/>
          <w:rtl/>
        </w:rPr>
        <w:footnoteReference w:id="794"/>
      </w:r>
      <w:r w:rsidR="008D6F97" w:rsidRPr="0025250D">
        <w:rPr>
          <w:rtl/>
        </w:rPr>
        <w:t xml:space="preserve"> </w:t>
      </w:r>
      <w:r w:rsidRPr="0025250D">
        <w:rPr>
          <w:rFonts w:hint="cs"/>
          <w:rtl/>
        </w:rPr>
        <w:t xml:space="preserve">در سال 1994 است. این مطالعه یکی از موارد متعددی است که مشاهده کرده است که این توسعه‌ها در دسته‌های </w:t>
      </w:r>
      <w:r w:rsidR="007A53FD" w:rsidRPr="0025250D">
        <w:rPr>
          <w:rFonts w:hint="cs"/>
          <w:rtl/>
        </w:rPr>
        <w:t>فناوری</w:t>
      </w:r>
      <w:r w:rsidRPr="0025250D">
        <w:rPr>
          <w:rFonts w:hint="cs"/>
          <w:rtl/>
        </w:rPr>
        <w:t xml:space="preserve"> مشخص، از جمله </w:t>
      </w:r>
      <w:r w:rsidR="007A53FD" w:rsidRPr="0025250D">
        <w:rPr>
          <w:rFonts w:hint="cs"/>
          <w:rtl/>
        </w:rPr>
        <w:t>فناوری</w:t>
      </w:r>
      <w:r w:rsidRPr="0025250D">
        <w:rPr>
          <w:rFonts w:hint="cs"/>
          <w:rtl/>
        </w:rPr>
        <w:t xml:space="preserve">‌های اطلاعات و ارتباطات ، به شکل قابل توجهی بیش از بقیه در دهه‌های اخیر قابل </w:t>
      </w:r>
      <w:r w:rsidR="00D92F6E" w:rsidRPr="0025250D">
        <w:rPr>
          <w:rFonts w:hint="cs"/>
          <w:rtl/>
        </w:rPr>
        <w:t>پیش‌بین</w:t>
      </w:r>
      <w:r w:rsidRPr="0025250D">
        <w:rPr>
          <w:rFonts w:hint="cs"/>
          <w:rtl/>
        </w:rPr>
        <w:t xml:space="preserve">ی </w:t>
      </w:r>
      <w:r w:rsidR="00B124DE" w:rsidRPr="0025250D">
        <w:rPr>
          <w:rFonts w:hint="cs"/>
          <w:rtl/>
        </w:rPr>
        <w:t>بوده‌اند</w:t>
      </w:r>
      <w:r w:rsidRPr="0025250D">
        <w:rPr>
          <w:rFonts w:hint="cs"/>
          <w:rtl/>
        </w:rPr>
        <w:t>. در کتاب 2، در بحث خود در مورد تغییر دارای شتاب بررسی خواهیم کرد که چرا اینگونه است.</w:t>
      </w:r>
    </w:p>
    <w:p w14:paraId="27A46F4C" w14:textId="5D5DEC72" w:rsidR="0020732A" w:rsidRPr="0025250D" w:rsidRDefault="0020732A" w:rsidP="0020732A">
      <w:pPr>
        <w:rPr>
          <w:rtl/>
        </w:rPr>
      </w:pPr>
      <w:r w:rsidRPr="0025250D">
        <w:rPr>
          <w:rFonts w:hint="cs"/>
          <w:rtl/>
        </w:rPr>
        <w:t xml:space="preserve">قبل از این‌که راه‌های متعدد قابل </w:t>
      </w:r>
      <w:r w:rsidR="00D92F6E" w:rsidRPr="0025250D">
        <w:rPr>
          <w:rFonts w:hint="cs"/>
          <w:rtl/>
        </w:rPr>
        <w:t>پیش‌بین</w:t>
      </w:r>
      <w:r w:rsidRPr="0025250D">
        <w:rPr>
          <w:rFonts w:hint="cs"/>
          <w:rtl/>
        </w:rPr>
        <w:t xml:space="preserve">ی شکست خوردن </w:t>
      </w:r>
      <w:r w:rsidRPr="0025250D">
        <w:rPr>
          <w:rtl/>
        </w:rPr>
        <w:t>آینده‌نگاری</w:t>
      </w:r>
      <w:r w:rsidRPr="0025250D">
        <w:rPr>
          <w:rFonts w:hint="cs"/>
          <w:rtl/>
        </w:rPr>
        <w:t xml:space="preserve"> </w:t>
      </w:r>
      <w:r w:rsidR="00127C91" w:rsidRPr="0025250D">
        <w:rPr>
          <w:rFonts w:hint="cs"/>
          <w:rtl/>
        </w:rPr>
        <w:t xml:space="preserve">موارد </w:t>
      </w:r>
      <w:r w:rsidRPr="0025250D">
        <w:rPr>
          <w:rFonts w:hint="cs"/>
          <w:rtl/>
        </w:rPr>
        <w:t xml:space="preserve">محتمل را بررسی کنیم، بیایید به چند مثال تاریخی از موفقیت </w:t>
      </w:r>
      <w:r w:rsidR="00D92F6E" w:rsidRPr="0025250D">
        <w:rPr>
          <w:rFonts w:hint="cs"/>
          <w:rtl/>
        </w:rPr>
        <w:t>پیش‌بین</w:t>
      </w:r>
      <w:r w:rsidRPr="0025250D">
        <w:rPr>
          <w:rFonts w:hint="cs"/>
          <w:rtl/>
        </w:rPr>
        <w:t>ی برای داشتن درک بهتری از آنچه معمولا برای موفقیت لازم است (</w:t>
      </w:r>
      <w:r w:rsidR="006335B8" w:rsidRPr="0025250D">
        <w:rPr>
          <w:rtl/>
        </w:rPr>
        <w:t>«</w:t>
      </w:r>
      <w:r w:rsidRPr="0025250D">
        <w:rPr>
          <w:rFonts w:hint="cs"/>
          <w:rtl/>
        </w:rPr>
        <w:t>خانواده‌های شاد همه مثل هم هستند</w:t>
      </w:r>
      <w:r w:rsidR="006335B8" w:rsidRPr="0025250D">
        <w:rPr>
          <w:rtl/>
        </w:rPr>
        <w:t>»</w:t>
      </w:r>
      <w:r w:rsidRPr="0025250D">
        <w:rPr>
          <w:rFonts w:hint="cs"/>
          <w:rtl/>
        </w:rPr>
        <w:t xml:space="preserve">) و دانستن ارزشی که </w:t>
      </w:r>
      <w:r w:rsidR="00D92F6E" w:rsidRPr="0025250D">
        <w:rPr>
          <w:rFonts w:hint="cs"/>
          <w:rtl/>
        </w:rPr>
        <w:t>پیش‌بین</w:t>
      </w:r>
      <w:r w:rsidRPr="0025250D">
        <w:rPr>
          <w:rFonts w:hint="cs"/>
          <w:rtl/>
        </w:rPr>
        <w:t>ی بهتر</w:t>
      </w:r>
      <w:r w:rsidRPr="0025250D">
        <w:rPr>
          <w:rFonts w:hint="cs"/>
        </w:rPr>
        <w:t>‌</w:t>
      </w:r>
      <w:r w:rsidRPr="0025250D">
        <w:rPr>
          <w:rFonts w:hint="cs"/>
          <w:rtl/>
        </w:rPr>
        <w:t xml:space="preserve"> می‌تواند برای افراد، سازمان‌ها و جوامع به همراه داشته باشد، نگاهی داشته باشیم.</w:t>
      </w:r>
    </w:p>
    <w:p w14:paraId="6A4E7938" w14:textId="37916176" w:rsidR="0020732A" w:rsidRPr="0025250D" w:rsidRDefault="0020732A" w:rsidP="0020732A">
      <w:pPr>
        <w:rPr>
          <w:rtl/>
        </w:rPr>
      </w:pPr>
      <w:r w:rsidRPr="0025250D">
        <w:rPr>
          <w:rFonts w:hint="cs"/>
          <w:rtl/>
        </w:rPr>
        <w:t>این تصویر از یک مجله آلمانی در اواخر دهه 1930 را در نظر بگیرید که تماس‌های ویدئویی بی</w:t>
      </w:r>
      <w:r w:rsidR="00A20CCB" w:rsidRPr="0025250D">
        <w:rPr>
          <w:rFonts w:hint="cs"/>
          <w:rtl/>
        </w:rPr>
        <w:t>‌</w:t>
      </w:r>
      <w:r w:rsidRPr="0025250D">
        <w:rPr>
          <w:rFonts w:hint="cs"/>
          <w:rtl/>
        </w:rPr>
        <w:t xml:space="preserve">سیم را </w:t>
      </w:r>
      <w:r w:rsidR="00923DDB" w:rsidRPr="0025250D">
        <w:rPr>
          <w:rFonts w:hint="cs"/>
          <w:rtl/>
        </w:rPr>
        <w:t>پیش‌انگاری</w:t>
      </w:r>
      <w:r w:rsidRPr="0025250D">
        <w:rPr>
          <w:rFonts w:hint="cs"/>
        </w:rPr>
        <w:t>‌</w:t>
      </w:r>
      <w:r w:rsidRPr="0025250D">
        <w:rPr>
          <w:rFonts w:hint="cs"/>
          <w:rtl/>
        </w:rPr>
        <w:t xml:space="preserve"> می‌کند. این </w:t>
      </w:r>
      <w:r w:rsidR="00923DDB" w:rsidRPr="0025250D">
        <w:rPr>
          <w:rFonts w:hint="cs"/>
          <w:rtl/>
        </w:rPr>
        <w:t>پیش‌انگاری</w:t>
      </w:r>
      <w:r w:rsidRPr="0025250D">
        <w:rPr>
          <w:rFonts w:hint="cs"/>
          <w:rtl/>
        </w:rPr>
        <w:t xml:space="preserve"> یک جهش ذهنی طبیعی برای نویسنده خود بوده است زیرا مهندسین آلمانی در آن زمان به تازگی از اولین تماس ویدئویی عمومی در جهان توسط صد مایل کابل سه لایه تلفن میان برلین و لایپزیگ</w:t>
      </w:r>
      <w:r w:rsidRPr="0025250D">
        <w:rPr>
          <w:vertAlign w:val="superscript"/>
          <w:rtl/>
        </w:rPr>
        <w:footnoteReference w:id="795"/>
      </w:r>
      <w:r w:rsidRPr="0025250D">
        <w:rPr>
          <w:rFonts w:hint="cs"/>
          <w:rtl/>
        </w:rPr>
        <w:t xml:space="preserve"> در سال 1936 رونمایی کرده بودند. با در نظر داشتن این تصویر ذهنی و کوچک کردن آن در قالب یک دستگاه کوچک در حد یک دستگاه پوشیدنی بی سیم در اندازه یک کیف دستی، این هنرمند به شکل هوشمندانه‌ای چگونگی اغوا کردن ما توسط تلفن‌های هوشمند به سمت مکالمه‌های فردی و مجازی در هفتاد سال قبل از ظهور آیفون</w:t>
      </w:r>
      <w:r w:rsidRPr="0025250D">
        <w:rPr>
          <w:vertAlign w:val="superscript"/>
          <w:rtl/>
        </w:rPr>
        <w:footnoteReference w:id="796"/>
      </w:r>
      <w:r w:rsidRPr="0025250D">
        <w:rPr>
          <w:rFonts w:hint="cs"/>
          <w:rtl/>
        </w:rPr>
        <w:t xml:space="preserve"> را </w:t>
      </w:r>
      <w:r w:rsidR="00A20CCB" w:rsidRPr="0025250D">
        <w:rPr>
          <w:rFonts w:hint="cs"/>
          <w:rtl/>
        </w:rPr>
        <w:t>فراپایی</w:t>
      </w:r>
      <w:r w:rsidRPr="0025250D">
        <w:rPr>
          <w:rFonts w:hint="cs"/>
          <w:rtl/>
        </w:rPr>
        <w:t xml:space="preserve"> کرده است.</w:t>
      </w:r>
    </w:p>
    <w:p w14:paraId="5F8D458A" w14:textId="77777777" w:rsidR="0020732A" w:rsidRPr="0025250D" w:rsidRDefault="0020732A" w:rsidP="009E77BD">
      <w:pPr>
        <w:jc w:val="center"/>
        <w:rPr>
          <w:rtl/>
        </w:rPr>
      </w:pPr>
      <w:r w:rsidRPr="0025250D">
        <w:rPr>
          <w:noProof/>
          <w:rtl/>
          <w:lang w:bidi="ar-SA"/>
        </w:rPr>
        <w:drawing>
          <wp:inline distT="0" distB="0" distL="0" distR="0" wp14:anchorId="1140CAE1" wp14:editId="63003B02">
            <wp:extent cx="4213860" cy="2799736"/>
            <wp:effectExtent l="0" t="0" r="0" b="635"/>
            <wp:docPr id="47" name="Picture 47" descr="D:\کار\مستقل\3 ( ترجمه ی دانشگاه تهران  )\Introduction to Foresight\part2\21-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کار\مستقل\3 ( ترجمه ی دانشگاه تهران  )\Introduction to Foresight\part2\21-new.png"/>
                    <pic:cNvPicPr>
                      <a:picLocks noChangeAspect="1" noChangeArrowheads="1"/>
                    </pic:cNvPicPr>
                  </pic:nvPicPr>
                  <pic:blipFill>
                    <a:blip r:embed="rId85" cstate="screen">
                      <a:extLst>
                        <a:ext uri="{BEBA8EAE-BF5A-486C-A8C5-ECC9F3942E4B}">
                          <a14:imgProps xmlns:a14="http://schemas.microsoft.com/office/drawing/2010/main">
                            <a14:imgLayer r:embed="rId86">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4218622" cy="2802900"/>
                    </a:xfrm>
                    <a:prstGeom prst="rect">
                      <a:avLst/>
                    </a:prstGeom>
                    <a:noFill/>
                    <a:ln>
                      <a:noFill/>
                    </a:ln>
                  </pic:spPr>
                </pic:pic>
              </a:graphicData>
            </a:graphic>
          </wp:inline>
        </w:drawing>
      </w:r>
    </w:p>
    <w:p w14:paraId="49B1A410" w14:textId="6EC53476" w:rsidR="0020732A" w:rsidRPr="0025250D" w:rsidRDefault="0020732A" w:rsidP="0020732A">
      <w:pPr>
        <w:rPr>
          <w:rtl/>
        </w:rPr>
      </w:pPr>
      <w:r w:rsidRPr="0025250D">
        <w:rPr>
          <w:rFonts w:hint="cs"/>
          <w:rtl/>
        </w:rPr>
        <w:t xml:space="preserve">به‌بیان‌دیگر، آلمان در سال 1936 یک </w:t>
      </w:r>
      <w:r w:rsidR="007A53FD" w:rsidRPr="0025250D">
        <w:rPr>
          <w:rFonts w:hint="cs"/>
          <w:rtl/>
        </w:rPr>
        <w:t>فناوری</w:t>
      </w:r>
      <w:r w:rsidRPr="0025250D">
        <w:rPr>
          <w:rFonts w:hint="cs"/>
          <w:rtl/>
        </w:rPr>
        <w:t xml:space="preserve"> که در آینده اجتناب ناپذیر خواهد بود را توسعه داده است، یعنی حضور از راه دور دیجیتال</w:t>
      </w:r>
      <w:r w:rsidRPr="0025250D">
        <w:rPr>
          <w:vertAlign w:val="superscript"/>
          <w:rtl/>
        </w:rPr>
        <w:footnoteReference w:id="797"/>
      </w:r>
      <w:r w:rsidRPr="0025250D">
        <w:rPr>
          <w:rFonts w:hint="cs"/>
          <w:rtl/>
        </w:rPr>
        <w:t xml:space="preserve"> که هر کس با استفاده از آن</w:t>
      </w:r>
      <w:r w:rsidRPr="0025250D">
        <w:rPr>
          <w:rFonts w:hint="cs"/>
        </w:rPr>
        <w:t>‌</w:t>
      </w:r>
      <w:r w:rsidRPr="0025250D">
        <w:rPr>
          <w:rFonts w:hint="cs"/>
          <w:rtl/>
        </w:rPr>
        <w:t xml:space="preserve"> می‌توانست تشخیص دهد که روزی در همه جا یافت خواهد شد. آن‌ها همچنین این کار را بسیار قبل‌تر از هر کس دیگری در جهان انجام دادند. این امر به این دلیل انجام شد که آلمان از 1800 تا 1945 یک محیط نوآوری </w:t>
      </w:r>
      <w:r w:rsidR="00303635" w:rsidRPr="0025250D">
        <w:rPr>
          <w:rtl/>
        </w:rPr>
        <w:t>چابک‌بین</w:t>
      </w:r>
      <w:r w:rsidRPr="0025250D">
        <w:rPr>
          <w:rFonts w:hint="cs"/>
          <w:rtl/>
        </w:rPr>
        <w:t xml:space="preserve"> بود. تنها </w:t>
      </w:r>
      <w:r w:rsidR="00A20CCB" w:rsidRPr="0025250D">
        <w:rPr>
          <w:rFonts w:hint="cs"/>
          <w:rtl/>
        </w:rPr>
        <w:t>زمان‌بندی</w:t>
      </w:r>
      <w:r w:rsidRPr="0025250D">
        <w:rPr>
          <w:rFonts w:hint="cs"/>
          <w:rtl/>
        </w:rPr>
        <w:t xml:space="preserve"> این‌که چه زمانی این توسعه جهانی خواهد شد نامشخص بود. خالقان فراموش شده</w:t>
      </w:r>
      <w:r w:rsidRPr="0025250D">
        <w:rPr>
          <w:vertAlign w:val="superscript"/>
          <w:rtl/>
        </w:rPr>
        <w:footnoteReference w:id="798"/>
      </w:r>
      <w:r w:rsidR="00A20CCB" w:rsidRPr="0025250D">
        <w:rPr>
          <w:rFonts w:hint="cs"/>
          <w:rtl/>
        </w:rPr>
        <w:t xml:space="preserve"> در سال</w:t>
      </w:r>
      <w:r w:rsidRPr="0025250D">
        <w:rPr>
          <w:rFonts w:hint="cs"/>
          <w:rtl/>
        </w:rPr>
        <w:t xml:space="preserve"> 2020، اثر </w:t>
      </w:r>
      <w:r w:rsidRPr="0025250D">
        <w:rPr>
          <w:rtl/>
        </w:rPr>
        <w:t>تاد را</w:t>
      </w:r>
      <w:r w:rsidRPr="0025250D">
        <w:rPr>
          <w:rFonts w:hint="cs"/>
          <w:rtl/>
        </w:rPr>
        <w:t>ی</w:t>
      </w:r>
      <w:r w:rsidRPr="0025250D">
        <w:rPr>
          <w:rFonts w:hint="eastAsia"/>
          <w:rtl/>
        </w:rPr>
        <w:t>در</w:t>
      </w:r>
      <w:r w:rsidRPr="0025250D">
        <w:rPr>
          <w:vertAlign w:val="superscript"/>
          <w:rtl/>
        </w:rPr>
        <w:footnoteReference w:id="799"/>
      </w:r>
      <w:r w:rsidRPr="0025250D">
        <w:rPr>
          <w:rFonts w:hint="cs"/>
          <w:rtl/>
        </w:rPr>
        <w:t xml:space="preserve"> را در مورد تاریخ نوآوری علم و </w:t>
      </w:r>
      <w:r w:rsidR="007A53FD" w:rsidRPr="0025250D">
        <w:rPr>
          <w:rFonts w:hint="cs"/>
          <w:rtl/>
        </w:rPr>
        <w:t>فناوری</w:t>
      </w:r>
      <w:r w:rsidRPr="0025250D">
        <w:rPr>
          <w:rFonts w:hint="cs"/>
          <w:rtl/>
        </w:rPr>
        <w:t xml:space="preserve"> آلمان از 1800 تا 1945 بخوانید. آلمان همواره در جهان در علم، </w:t>
      </w:r>
      <w:r w:rsidR="007A53FD" w:rsidRPr="0025250D">
        <w:rPr>
          <w:rFonts w:hint="cs"/>
          <w:rtl/>
        </w:rPr>
        <w:t>فناوری</w:t>
      </w:r>
      <w:r w:rsidRPr="0025250D">
        <w:rPr>
          <w:rFonts w:hint="cs"/>
          <w:rtl/>
        </w:rPr>
        <w:t xml:space="preserve"> و تجارت پیشتاز بود تا زمانی که ارزش‌هایشان در جنگ‌های جهانی اول و دوم آن‌ها را نا امید کردند. درس‌هایی از شکست آن‌ها هرگز نباید فراموش شوند.</w:t>
      </w:r>
    </w:p>
    <w:p w14:paraId="3EEFC6FD" w14:textId="6C3BB902" w:rsidR="0020732A" w:rsidRPr="0025250D" w:rsidRDefault="0020732A" w:rsidP="0020732A">
      <w:pPr>
        <w:rPr>
          <w:rtl/>
        </w:rPr>
      </w:pPr>
      <w:r w:rsidRPr="0025250D">
        <w:rPr>
          <w:rFonts w:hint="cs"/>
          <w:rtl/>
        </w:rPr>
        <w:lastRenderedPageBreak/>
        <w:t xml:space="preserve">در نظر داشته باشید که در سال 1910، درست قبل از جنگ جهانی اول، </w:t>
      </w:r>
      <w:r w:rsidRPr="0025250D">
        <w:t>GDP</w:t>
      </w:r>
      <w:r w:rsidRPr="0025250D">
        <w:rPr>
          <w:rFonts w:hint="cs"/>
          <w:rtl/>
        </w:rPr>
        <w:t xml:space="preserve"> تجاری آلمان بیش از سه کشور اروپایی بعدی روی هم و متناظر با آمریکا بود. در آن زمان، آن‌ها به شکلی فراگیر در حال پیروزی در نبرد اقتصادی جهانی، یعنی جنگ حقیقی آینده بودند</w:t>
      </w:r>
      <w:r w:rsidR="008D6F97" w:rsidRPr="0025250D">
        <w:rPr>
          <w:rtl/>
        </w:rPr>
        <w:t xml:space="preserve">؛ </w:t>
      </w:r>
      <w:r w:rsidR="0020589F" w:rsidRPr="0025250D">
        <w:rPr>
          <w:rtl/>
        </w:rPr>
        <w:t>اما</w:t>
      </w:r>
      <w:r w:rsidRPr="0025250D">
        <w:rPr>
          <w:rFonts w:hint="cs"/>
          <w:rtl/>
        </w:rPr>
        <w:t xml:space="preserve"> رهبری سیاسی آن‌ها با نگاه روبه عقب</w:t>
      </w:r>
      <w:r w:rsidRPr="0025250D">
        <w:rPr>
          <w:vertAlign w:val="superscript"/>
          <w:rtl/>
        </w:rPr>
        <w:footnoteReference w:id="800"/>
      </w:r>
      <w:r w:rsidRPr="0025250D">
        <w:rPr>
          <w:rFonts w:hint="cs"/>
          <w:rtl/>
        </w:rPr>
        <w:t xml:space="preserve"> خود تشخیص نداد که رقابت اقتصادی محل نبرد حقیقی و لبه توسعه مترقی تمدن خواهد بود. در </w:t>
      </w:r>
      <w:r w:rsidRPr="0025250D">
        <w:rPr>
          <w:rtl/>
        </w:rPr>
        <w:t>آینده‌نگاری</w:t>
      </w:r>
      <w:r w:rsidR="008D6F97" w:rsidRPr="0025250D">
        <w:rPr>
          <w:rtl/>
        </w:rPr>
        <w:t xml:space="preserve"> </w:t>
      </w:r>
      <w:r w:rsidRPr="0025250D">
        <w:rPr>
          <w:rFonts w:hint="cs"/>
          <w:rtl/>
        </w:rPr>
        <w:t>سیاسی</w:t>
      </w:r>
      <w:r w:rsidRPr="0025250D">
        <w:rPr>
          <w:vertAlign w:val="superscript"/>
          <w:rtl/>
        </w:rPr>
        <w:footnoteReference w:id="801"/>
      </w:r>
      <w:r w:rsidRPr="0025250D">
        <w:rPr>
          <w:rFonts w:hint="cs"/>
          <w:rtl/>
        </w:rPr>
        <w:t>، رهبری آن‌ها در ذهنیت سلطه</w:t>
      </w:r>
      <w:r w:rsidR="00A20CCB" w:rsidRPr="0025250D">
        <w:rPr>
          <w:rFonts w:hint="cs"/>
          <w:rtl/>
        </w:rPr>
        <w:t>‌</w:t>
      </w:r>
      <w:r w:rsidRPr="0025250D">
        <w:rPr>
          <w:rFonts w:hint="cs"/>
          <w:rtl/>
        </w:rPr>
        <w:t>جو و مجموع صفر</w:t>
      </w:r>
      <w:r w:rsidRPr="0025250D">
        <w:rPr>
          <w:vertAlign w:val="superscript"/>
          <w:rtl/>
        </w:rPr>
        <w:footnoteReference w:id="802"/>
      </w:r>
      <w:r w:rsidRPr="0025250D">
        <w:rPr>
          <w:rFonts w:hint="cs"/>
          <w:rtl/>
        </w:rPr>
        <w:t xml:space="preserve"> قرن‌های قبل گرفتار شده بود. دیدگاه جهانی نادرستشان، آن‌ها و دیگر ملت‌های محوری را به سمت واقعیت غیر انسانی جنگ جهانی اول و بار دیگر</w:t>
      </w:r>
      <w:r w:rsidR="00A20CCB" w:rsidRPr="0025250D">
        <w:rPr>
          <w:rFonts w:hint="cs"/>
          <w:rtl/>
        </w:rPr>
        <w:t xml:space="preserve"> </w:t>
      </w:r>
      <w:r w:rsidRPr="0025250D">
        <w:rPr>
          <w:rFonts w:hint="cs"/>
          <w:rtl/>
        </w:rPr>
        <w:t xml:space="preserve">به سمت جنایات جنگ جهانی دوم سوق داد. </w:t>
      </w:r>
      <w:r w:rsidRPr="0025250D">
        <w:rPr>
          <w:rtl/>
        </w:rPr>
        <w:t>آینده‌نگاری</w:t>
      </w:r>
      <w:r w:rsidR="008D6F97" w:rsidRPr="0025250D">
        <w:rPr>
          <w:rtl/>
        </w:rPr>
        <w:t xml:space="preserve"> </w:t>
      </w:r>
      <w:r w:rsidRPr="0025250D">
        <w:rPr>
          <w:rFonts w:hint="cs"/>
          <w:rtl/>
        </w:rPr>
        <w:t>اهمیت دارد.</w:t>
      </w:r>
    </w:p>
    <w:p w14:paraId="0FB1B533" w14:textId="356EF732" w:rsidR="0020732A" w:rsidRPr="0025250D" w:rsidRDefault="0020732A" w:rsidP="0020732A">
      <w:pPr>
        <w:rPr>
          <w:rtl/>
        </w:rPr>
      </w:pPr>
      <w:r w:rsidRPr="0025250D">
        <w:rPr>
          <w:rFonts w:hint="cs"/>
          <w:rtl/>
        </w:rPr>
        <w:t xml:space="preserve">در یک یادداشت مثبت‌تر، </w:t>
      </w:r>
      <w:r w:rsidR="00D92F6E" w:rsidRPr="0025250D">
        <w:rPr>
          <w:rFonts w:hint="cs"/>
          <w:rtl/>
        </w:rPr>
        <w:t>پیش‌بین</w:t>
      </w:r>
      <w:r w:rsidRPr="0025250D">
        <w:rPr>
          <w:rFonts w:hint="cs"/>
          <w:rtl/>
        </w:rPr>
        <w:t>ی‌های خوب، به ویژه در مورد آینده‌های به شدت محتمل،</w:t>
      </w:r>
      <w:r w:rsidRPr="0025250D">
        <w:rPr>
          <w:rFonts w:hint="cs"/>
        </w:rPr>
        <w:t>‌</w:t>
      </w:r>
      <w:r w:rsidRPr="0025250D">
        <w:rPr>
          <w:rFonts w:hint="cs"/>
          <w:rtl/>
        </w:rPr>
        <w:t xml:space="preserve"> می‌توانند تصاویر روشنی ایجاد کنند که الهام بخش مردم برای تلاش در جهت تحقق بخشیدن به آن‌ها حتی در چند دهه بعد باشند. </w:t>
      </w:r>
      <w:r w:rsidRPr="0025250D">
        <w:rPr>
          <w:rtl/>
        </w:rPr>
        <w:t>وانوار بوش</w:t>
      </w:r>
      <w:r w:rsidRPr="0025250D">
        <w:rPr>
          <w:vertAlign w:val="superscript"/>
          <w:rtl/>
        </w:rPr>
        <w:footnoteReference w:id="803"/>
      </w:r>
      <w:r w:rsidRPr="0025250D">
        <w:rPr>
          <w:rFonts w:hint="cs"/>
          <w:rtl/>
        </w:rPr>
        <w:t>، مؤسس بنیاد علمی ملی</w:t>
      </w:r>
      <w:r w:rsidRPr="0025250D">
        <w:rPr>
          <w:vertAlign w:val="superscript"/>
          <w:rtl/>
        </w:rPr>
        <w:footnoteReference w:id="804"/>
      </w:r>
      <w:r w:rsidRPr="0025250D">
        <w:rPr>
          <w:rFonts w:hint="cs"/>
          <w:rtl/>
        </w:rPr>
        <w:t xml:space="preserve"> آمریکا</w:t>
      </w:r>
      <w:r w:rsidR="00A20CCB" w:rsidRPr="0025250D">
        <w:rPr>
          <w:rFonts w:hint="cs"/>
          <w:rtl/>
        </w:rPr>
        <w:t xml:space="preserve"> را به‌عنوان یک </w:t>
      </w:r>
      <w:r w:rsidRPr="0025250D">
        <w:rPr>
          <w:rFonts w:hint="cs"/>
          <w:rtl/>
        </w:rPr>
        <w:t xml:space="preserve">متفکر </w:t>
      </w:r>
      <w:r w:rsidR="00303635" w:rsidRPr="0025250D">
        <w:rPr>
          <w:rtl/>
        </w:rPr>
        <w:t>چابک‌بین</w:t>
      </w:r>
      <w:r w:rsidRPr="0025250D">
        <w:rPr>
          <w:rFonts w:hint="cs"/>
          <w:rtl/>
        </w:rPr>
        <w:t xml:space="preserve"> دیگر در نظر بگیرید. در یک نوشته آتلان</w:t>
      </w:r>
      <w:r w:rsidR="00A20CCB" w:rsidRPr="0025250D">
        <w:rPr>
          <w:rFonts w:hint="cs"/>
          <w:rtl/>
        </w:rPr>
        <w:t>ت</w:t>
      </w:r>
      <w:r w:rsidRPr="0025250D">
        <w:rPr>
          <w:rFonts w:hint="cs"/>
          <w:rtl/>
        </w:rPr>
        <w:t>یک</w:t>
      </w:r>
      <w:r w:rsidRPr="0025250D">
        <w:rPr>
          <w:vertAlign w:val="superscript"/>
          <w:rtl/>
        </w:rPr>
        <w:footnoteReference w:id="805"/>
      </w:r>
      <w:r w:rsidRPr="0025250D">
        <w:rPr>
          <w:rFonts w:hint="cs"/>
          <w:rtl/>
        </w:rPr>
        <w:t xml:space="preserve"> معروف با عنوان </w:t>
      </w:r>
      <w:r w:rsidR="006335B8" w:rsidRPr="0025250D">
        <w:rPr>
          <w:rtl/>
        </w:rPr>
        <w:t>«</w:t>
      </w:r>
      <w:r w:rsidRPr="0025250D">
        <w:rPr>
          <w:rFonts w:hint="cs"/>
          <w:rtl/>
        </w:rPr>
        <w:t>آنگونه که ممکن است فکر کنیم</w:t>
      </w:r>
      <w:r w:rsidRPr="0025250D">
        <w:rPr>
          <w:vertAlign w:val="superscript"/>
          <w:rtl/>
        </w:rPr>
        <w:footnoteReference w:id="806"/>
      </w:r>
      <w:r w:rsidR="006335B8" w:rsidRPr="0025250D">
        <w:rPr>
          <w:rtl/>
        </w:rPr>
        <w:t>»</w:t>
      </w:r>
      <w:r w:rsidR="00A20CCB" w:rsidRPr="0025250D">
        <w:rPr>
          <w:rFonts w:hint="cs"/>
          <w:rtl/>
        </w:rPr>
        <w:t xml:space="preserve"> در سال</w:t>
      </w:r>
      <w:r w:rsidRPr="0025250D">
        <w:rPr>
          <w:rFonts w:hint="cs"/>
          <w:rtl/>
        </w:rPr>
        <w:t xml:space="preserve"> 1945، او </w:t>
      </w:r>
      <w:r w:rsidR="00B56611" w:rsidRPr="0025250D">
        <w:rPr>
          <w:rFonts w:hint="cs"/>
          <w:rtl/>
        </w:rPr>
        <w:t>چشم‌انداز</w:t>
      </w:r>
      <w:r w:rsidRPr="0025250D">
        <w:rPr>
          <w:rFonts w:hint="cs"/>
          <w:rtl/>
        </w:rPr>
        <w:t>ی آرمانی از جهان‏وب</w:t>
      </w:r>
      <w:r w:rsidRPr="0025250D">
        <w:rPr>
          <w:vertAlign w:val="superscript"/>
          <w:rtl/>
        </w:rPr>
        <w:footnoteReference w:id="807"/>
      </w:r>
      <w:r w:rsidRPr="0025250D">
        <w:rPr>
          <w:rFonts w:hint="cs"/>
          <w:rtl/>
        </w:rPr>
        <w:t xml:space="preserve"> را به جهان عرضه کرد. این نوشته تا دهه‌ها بعد بر بسیاری از نوآوران تأثیر گذار بود. </w:t>
      </w:r>
      <w:r w:rsidR="00B56611" w:rsidRPr="0025250D">
        <w:rPr>
          <w:rFonts w:hint="cs"/>
          <w:rtl/>
        </w:rPr>
        <w:t>چشم‌انداز</w:t>
      </w:r>
      <w:r w:rsidRPr="0025250D">
        <w:rPr>
          <w:rFonts w:hint="cs"/>
          <w:rtl/>
        </w:rPr>
        <w:t xml:space="preserve"> </w:t>
      </w:r>
      <w:r w:rsidRPr="0025250D">
        <w:rPr>
          <w:rtl/>
        </w:rPr>
        <w:t>بوش</w:t>
      </w:r>
      <w:r w:rsidRPr="0025250D">
        <w:rPr>
          <w:rFonts w:hint="cs"/>
          <w:rtl/>
        </w:rPr>
        <w:t xml:space="preserve"> از یک منبع جهانی پیشرو از صفحه‌های قابل </w:t>
      </w:r>
      <w:r w:rsidR="00A20CCB" w:rsidRPr="0025250D">
        <w:rPr>
          <w:rFonts w:hint="cs"/>
          <w:rtl/>
        </w:rPr>
        <w:t>به‌روزرسانی</w:t>
      </w:r>
      <w:r w:rsidRPr="0025250D">
        <w:rPr>
          <w:rFonts w:hint="cs"/>
          <w:rtl/>
        </w:rPr>
        <w:t xml:space="preserve"> و شبکه‌ای از پیوند‌ها هیجان انگیز و متقاعد کننده بود. رویکرد مهندسی پیشنهادی او از میکرو فیش ها</w:t>
      </w:r>
      <w:r w:rsidRPr="0025250D">
        <w:rPr>
          <w:vertAlign w:val="superscript"/>
          <w:rtl/>
        </w:rPr>
        <w:footnoteReference w:id="808"/>
      </w:r>
      <w:r w:rsidRPr="0025250D">
        <w:rPr>
          <w:rFonts w:hint="cs"/>
          <w:rtl/>
        </w:rPr>
        <w:t xml:space="preserve"> عملی نبود، بااین‌وجود </w:t>
      </w:r>
      <w:r w:rsidR="00B56611" w:rsidRPr="0025250D">
        <w:rPr>
          <w:rFonts w:hint="cs"/>
          <w:rtl/>
        </w:rPr>
        <w:t>چشم‌انداز</w:t>
      </w:r>
      <w:r w:rsidRPr="0025250D">
        <w:rPr>
          <w:rFonts w:hint="cs"/>
          <w:rtl/>
        </w:rPr>
        <w:t xml:space="preserve"> او از این‌که همه دانش جهان به شکل سازماندهی شده و رایگان برای همه در دسترس باشد، به شکل عمیقی انگیزه بخش بود. با پیدایش </w:t>
      </w:r>
      <w:r w:rsidR="007A53FD" w:rsidRPr="0025250D">
        <w:rPr>
          <w:rFonts w:hint="cs"/>
          <w:rtl/>
        </w:rPr>
        <w:t>فناوری</w:t>
      </w:r>
      <w:r w:rsidRPr="0025250D">
        <w:rPr>
          <w:rFonts w:hint="cs"/>
          <w:rtl/>
        </w:rPr>
        <w:t xml:space="preserve">‌های بهتر، مرحله به مرحله، این </w:t>
      </w:r>
      <w:r w:rsidR="00B56611" w:rsidRPr="0025250D">
        <w:rPr>
          <w:rFonts w:hint="cs"/>
          <w:rtl/>
        </w:rPr>
        <w:t>چشم‌انداز</w:t>
      </w:r>
      <w:r w:rsidRPr="0025250D">
        <w:rPr>
          <w:rFonts w:hint="cs"/>
          <w:rtl/>
        </w:rPr>
        <w:t xml:space="preserve"> محقق شد. </w:t>
      </w:r>
      <w:r w:rsidRPr="0025250D">
        <w:rPr>
          <w:rtl/>
        </w:rPr>
        <w:t>بوش</w:t>
      </w:r>
      <w:r w:rsidRPr="0025250D">
        <w:rPr>
          <w:rFonts w:hint="cs"/>
          <w:rtl/>
        </w:rPr>
        <w:t xml:space="preserve"> یک </w:t>
      </w:r>
      <w:r w:rsidR="00D92F6E" w:rsidRPr="0025250D">
        <w:rPr>
          <w:rFonts w:hint="cs"/>
          <w:rtl/>
        </w:rPr>
        <w:t>پیش‌بین</w:t>
      </w:r>
      <w:r w:rsidRPr="0025250D">
        <w:rPr>
          <w:rFonts w:hint="cs"/>
          <w:rtl/>
        </w:rPr>
        <w:t>ی کننده کامل نبود. هیچ کس چنین نیست. معروف است که او فکر</w:t>
      </w:r>
      <w:r w:rsidRPr="0025250D">
        <w:rPr>
          <w:rFonts w:hint="cs"/>
        </w:rPr>
        <w:t>‌</w:t>
      </w:r>
      <w:r w:rsidRPr="0025250D">
        <w:rPr>
          <w:rFonts w:hint="cs"/>
          <w:rtl/>
        </w:rPr>
        <w:t xml:space="preserve"> می‌کرد که پرواز فضایی عملی خواهد شد</w:t>
      </w:r>
      <w:r w:rsidR="008D6F97" w:rsidRPr="0025250D">
        <w:rPr>
          <w:rtl/>
        </w:rPr>
        <w:t xml:space="preserve">؛ </w:t>
      </w:r>
      <w:r w:rsidRPr="0025250D">
        <w:rPr>
          <w:rFonts w:hint="cs"/>
          <w:rtl/>
        </w:rPr>
        <w:t xml:space="preserve">اما نیاز نیست که یک </w:t>
      </w:r>
      <w:r w:rsidR="00D92F6E" w:rsidRPr="0025250D">
        <w:rPr>
          <w:rFonts w:hint="cs"/>
          <w:rtl/>
        </w:rPr>
        <w:t>پیش‌بین</w:t>
      </w:r>
      <w:r w:rsidRPr="0025250D">
        <w:rPr>
          <w:rFonts w:hint="cs"/>
          <w:rtl/>
        </w:rPr>
        <w:t xml:space="preserve">ی کننده کامل و بی نقص باشیم تا به شدت جهان را با </w:t>
      </w:r>
      <w:r w:rsidRPr="0025250D">
        <w:rPr>
          <w:rtl/>
        </w:rPr>
        <w:t>آینده‌نگاری</w:t>
      </w:r>
      <w:r w:rsidRPr="0025250D">
        <w:rPr>
          <w:rFonts w:hint="cs"/>
          <w:rtl/>
        </w:rPr>
        <w:t xml:space="preserve"> </w:t>
      </w:r>
      <w:r w:rsidR="00303635" w:rsidRPr="0025250D">
        <w:rPr>
          <w:rtl/>
        </w:rPr>
        <w:t>چابک‌بین</w:t>
      </w:r>
      <w:r w:rsidRPr="0025250D">
        <w:rPr>
          <w:rFonts w:hint="cs"/>
          <w:rtl/>
        </w:rPr>
        <w:t xml:space="preserve"> بهبود دهیم.</w:t>
      </w:r>
    </w:p>
    <w:p w14:paraId="2F811E79" w14:textId="4B9E5467" w:rsidR="0020732A" w:rsidRPr="0025250D" w:rsidRDefault="0020732A" w:rsidP="0020732A">
      <w:pPr>
        <w:rPr>
          <w:rtl/>
        </w:rPr>
      </w:pPr>
      <w:r w:rsidRPr="0025250D">
        <w:rPr>
          <w:rtl/>
        </w:rPr>
        <w:t>داگ انگلبارت</w:t>
      </w:r>
      <w:r w:rsidRPr="0025250D">
        <w:rPr>
          <w:vertAlign w:val="superscript"/>
          <w:rtl/>
        </w:rPr>
        <w:footnoteReference w:id="809"/>
      </w:r>
      <w:r w:rsidRPr="0025250D">
        <w:rPr>
          <w:rFonts w:hint="cs"/>
          <w:rtl/>
        </w:rPr>
        <w:t xml:space="preserve"> مهندسی بود که به شدت تحت تأثیر نوشته بوش بود. در دهه 1960 او فرا متن‌های الکترونیکی</w:t>
      </w:r>
      <w:r w:rsidRPr="0025250D">
        <w:rPr>
          <w:vertAlign w:val="superscript"/>
          <w:rtl/>
        </w:rPr>
        <w:footnoteReference w:id="810"/>
      </w:r>
      <w:r w:rsidRPr="0025250D">
        <w:rPr>
          <w:rFonts w:hint="cs"/>
          <w:rtl/>
        </w:rPr>
        <w:t xml:space="preserve">، ماوس، کامپیوتر‌های شبکه‌ای و یک رابط کاربری گرافیکی را توسعه داد که همه آن را در آنچه </w:t>
      </w:r>
      <w:r w:rsidRPr="0025250D">
        <w:rPr>
          <w:rtl/>
        </w:rPr>
        <w:t>ما</w:t>
      </w:r>
      <w:r w:rsidR="00185F3E" w:rsidRPr="0025250D">
        <w:rPr>
          <w:rFonts w:hint="cs"/>
          <w:rtl/>
        </w:rPr>
        <w:t xml:space="preserve"> </w:t>
      </w:r>
      <w:r w:rsidRPr="0025250D">
        <w:rPr>
          <w:rtl/>
        </w:rPr>
        <w:t>در همه دموها</w:t>
      </w:r>
      <w:r w:rsidRPr="0025250D">
        <w:rPr>
          <w:vertAlign w:val="superscript"/>
          <w:rtl/>
        </w:rPr>
        <w:footnoteReference w:id="811"/>
      </w:r>
      <w:r w:rsidRPr="0025250D">
        <w:rPr>
          <w:rFonts w:hint="cs"/>
          <w:rtl/>
        </w:rPr>
        <w:t xml:space="preserve"> (ویدئوی شگفت انگیز یوتوب را ببینید) نامیده</w:t>
      </w:r>
      <w:r w:rsidRPr="0025250D">
        <w:rPr>
          <w:rFonts w:hint="cs"/>
        </w:rPr>
        <w:t>‌</w:t>
      </w:r>
      <w:r w:rsidRPr="0025250D">
        <w:rPr>
          <w:rFonts w:hint="cs"/>
          <w:rtl/>
        </w:rPr>
        <w:t xml:space="preserve"> می‌شد در سال 1968 نمایش داد. در سال 1987، </w:t>
      </w:r>
      <w:r w:rsidRPr="0025250D">
        <w:rPr>
          <w:rtl/>
        </w:rPr>
        <w:t>ب</w:t>
      </w:r>
      <w:r w:rsidRPr="0025250D">
        <w:rPr>
          <w:rFonts w:hint="cs"/>
          <w:rtl/>
        </w:rPr>
        <w:t>ی</w:t>
      </w:r>
      <w:r w:rsidRPr="0025250D">
        <w:rPr>
          <w:rFonts w:hint="eastAsia"/>
          <w:rtl/>
        </w:rPr>
        <w:t>ل</w:t>
      </w:r>
      <w:r w:rsidRPr="0025250D">
        <w:rPr>
          <w:rtl/>
        </w:rPr>
        <w:t xml:space="preserve"> اتک</w:t>
      </w:r>
      <w:r w:rsidRPr="0025250D">
        <w:rPr>
          <w:rFonts w:hint="cs"/>
          <w:rtl/>
        </w:rPr>
        <w:t>ی</w:t>
      </w:r>
      <w:r w:rsidRPr="0025250D">
        <w:rPr>
          <w:rFonts w:hint="eastAsia"/>
          <w:rtl/>
        </w:rPr>
        <w:t>نسون</w:t>
      </w:r>
      <w:r w:rsidRPr="0025250D">
        <w:rPr>
          <w:vertAlign w:val="superscript"/>
          <w:rtl/>
        </w:rPr>
        <w:footnoteReference w:id="812"/>
      </w:r>
      <w:r w:rsidRPr="0025250D">
        <w:rPr>
          <w:rFonts w:hint="cs"/>
          <w:rtl/>
        </w:rPr>
        <w:t>، هایپر</w:t>
      </w:r>
      <w:r w:rsidRPr="0025250D">
        <w:rPr>
          <w:rtl/>
        </w:rPr>
        <w:t xml:space="preserve"> </w:t>
      </w:r>
      <w:r w:rsidRPr="0025250D">
        <w:rPr>
          <w:rFonts w:hint="cs"/>
          <w:rtl/>
        </w:rPr>
        <w:t>کارت</w:t>
      </w:r>
      <w:r w:rsidRPr="0025250D">
        <w:rPr>
          <w:vertAlign w:val="superscript"/>
          <w:rtl/>
        </w:rPr>
        <w:footnoteReference w:id="813"/>
      </w:r>
      <w:r w:rsidRPr="0025250D">
        <w:rPr>
          <w:rFonts w:hint="cs"/>
          <w:rtl/>
        </w:rPr>
        <w:t xml:space="preserve"> برای اپل</w:t>
      </w:r>
      <w:r w:rsidRPr="0025250D">
        <w:rPr>
          <w:rtl/>
        </w:rPr>
        <w:t xml:space="preserve"> </w:t>
      </w:r>
      <w:r w:rsidRPr="0025250D">
        <w:rPr>
          <w:rFonts w:hint="cs"/>
          <w:rtl/>
        </w:rPr>
        <w:t>مکینتاش</w:t>
      </w:r>
      <w:r w:rsidRPr="0025250D">
        <w:rPr>
          <w:vertAlign w:val="superscript"/>
          <w:rtl/>
        </w:rPr>
        <w:footnoteReference w:id="814"/>
      </w:r>
      <w:r w:rsidRPr="0025250D">
        <w:rPr>
          <w:rFonts w:hint="cs"/>
          <w:rtl/>
        </w:rPr>
        <w:t>، یک م</w:t>
      </w:r>
      <w:r w:rsidR="00185F3E" w:rsidRPr="0025250D">
        <w:rPr>
          <w:rFonts w:hint="cs"/>
          <w:rtl/>
        </w:rPr>
        <w:t>ِ</w:t>
      </w:r>
      <w:r w:rsidRPr="0025250D">
        <w:rPr>
          <w:rFonts w:hint="cs"/>
          <w:rtl/>
        </w:rPr>
        <w:t>م</w:t>
      </w:r>
      <w:r w:rsidR="00185F3E" w:rsidRPr="0025250D">
        <w:rPr>
          <w:rFonts w:hint="cs"/>
          <w:rtl/>
        </w:rPr>
        <w:t>ِ</w:t>
      </w:r>
      <w:r w:rsidRPr="0025250D">
        <w:rPr>
          <w:rFonts w:hint="cs"/>
          <w:rtl/>
        </w:rPr>
        <w:t>کس</w:t>
      </w:r>
      <w:r w:rsidRPr="0025250D">
        <w:rPr>
          <w:vertAlign w:val="superscript"/>
          <w:rtl/>
        </w:rPr>
        <w:footnoteReference w:id="815"/>
      </w:r>
      <w:r w:rsidRPr="0025250D">
        <w:rPr>
          <w:rFonts w:hint="cs"/>
          <w:rtl/>
        </w:rPr>
        <w:t xml:space="preserve"> برای کامپیوتر‌های شخصی را ایجاد کرد. در سال 1991، </w:t>
      </w:r>
      <w:r w:rsidRPr="0025250D">
        <w:rPr>
          <w:rtl/>
        </w:rPr>
        <w:t>ت</w:t>
      </w:r>
      <w:r w:rsidRPr="0025250D">
        <w:rPr>
          <w:rFonts w:hint="cs"/>
          <w:rtl/>
        </w:rPr>
        <w:t>ی</w:t>
      </w:r>
      <w:r w:rsidRPr="0025250D">
        <w:rPr>
          <w:rFonts w:hint="eastAsia"/>
          <w:rtl/>
        </w:rPr>
        <w:t>م</w:t>
      </w:r>
      <w:r w:rsidRPr="0025250D">
        <w:rPr>
          <w:rtl/>
        </w:rPr>
        <w:t xml:space="preserve"> برنرز ل</w:t>
      </w:r>
      <w:r w:rsidRPr="0025250D">
        <w:rPr>
          <w:rFonts w:hint="cs"/>
          <w:rtl/>
        </w:rPr>
        <w:t>ی</w:t>
      </w:r>
      <w:r w:rsidRPr="0025250D">
        <w:rPr>
          <w:vertAlign w:val="superscript"/>
          <w:rtl/>
        </w:rPr>
        <w:footnoteReference w:id="816"/>
      </w:r>
      <w:r w:rsidRPr="0025250D">
        <w:rPr>
          <w:rFonts w:hint="cs"/>
          <w:rtl/>
        </w:rPr>
        <w:t xml:space="preserve"> اولین جستجوگر اینترنتی ممکس را ایجاد کرد و </w:t>
      </w:r>
      <w:r w:rsidRPr="0025250D">
        <w:t>URL</w:t>
      </w:r>
      <w:r w:rsidRPr="0025250D">
        <w:rPr>
          <w:rFonts w:hint="cs"/>
          <w:rtl/>
        </w:rPr>
        <w:t xml:space="preserve">‌ها را آفرید. در سال 1994، </w:t>
      </w:r>
      <w:r w:rsidRPr="0025250D">
        <w:rPr>
          <w:rtl/>
        </w:rPr>
        <w:t>وارد کان</w:t>
      </w:r>
      <w:r w:rsidRPr="0025250D">
        <w:rPr>
          <w:rFonts w:hint="cs"/>
          <w:rtl/>
        </w:rPr>
        <w:t>ی</w:t>
      </w:r>
      <w:r w:rsidRPr="0025250D">
        <w:rPr>
          <w:rFonts w:hint="eastAsia"/>
          <w:rtl/>
        </w:rPr>
        <w:t>نگهام</w:t>
      </w:r>
      <w:r w:rsidRPr="0025250D">
        <w:rPr>
          <w:vertAlign w:val="superscript"/>
          <w:rtl/>
        </w:rPr>
        <w:footnoteReference w:id="817"/>
      </w:r>
      <w:r w:rsidRPr="0025250D">
        <w:rPr>
          <w:rFonts w:hint="cs"/>
          <w:rtl/>
        </w:rPr>
        <w:t xml:space="preserve"> اولین صفحه اینترنتی قابل ویرایش عمومی را ایجاد کرد. در سال 2001، </w:t>
      </w:r>
      <w:r w:rsidRPr="0025250D">
        <w:rPr>
          <w:rtl/>
        </w:rPr>
        <w:t>ج</w:t>
      </w:r>
      <w:r w:rsidRPr="0025250D">
        <w:rPr>
          <w:rFonts w:hint="cs"/>
          <w:rtl/>
        </w:rPr>
        <w:t>ی</w:t>
      </w:r>
      <w:r w:rsidRPr="0025250D">
        <w:rPr>
          <w:rFonts w:hint="eastAsia"/>
          <w:rtl/>
        </w:rPr>
        <w:t>م</w:t>
      </w:r>
      <w:r w:rsidRPr="0025250D">
        <w:rPr>
          <w:rFonts w:hint="cs"/>
          <w:rtl/>
        </w:rPr>
        <w:t>ی</w:t>
      </w:r>
      <w:r w:rsidRPr="0025250D">
        <w:rPr>
          <w:rtl/>
        </w:rPr>
        <w:t xml:space="preserve"> ولز</w:t>
      </w:r>
      <w:r w:rsidRPr="0025250D">
        <w:rPr>
          <w:vertAlign w:val="superscript"/>
          <w:rtl/>
        </w:rPr>
        <w:footnoteReference w:id="818"/>
      </w:r>
      <w:r w:rsidRPr="0025250D">
        <w:rPr>
          <w:rFonts w:hint="cs"/>
          <w:rtl/>
        </w:rPr>
        <w:t xml:space="preserve"> و </w:t>
      </w:r>
      <w:r w:rsidRPr="0025250D">
        <w:rPr>
          <w:rtl/>
        </w:rPr>
        <w:t>لر</w:t>
      </w:r>
      <w:r w:rsidRPr="0025250D">
        <w:rPr>
          <w:rFonts w:hint="cs"/>
          <w:rtl/>
        </w:rPr>
        <w:t>ی</w:t>
      </w:r>
      <w:r w:rsidRPr="0025250D">
        <w:rPr>
          <w:rtl/>
        </w:rPr>
        <w:t xml:space="preserve"> س</w:t>
      </w:r>
      <w:r w:rsidRPr="0025250D">
        <w:rPr>
          <w:rFonts w:hint="cs"/>
          <w:rtl/>
        </w:rPr>
        <w:t>ی</w:t>
      </w:r>
      <w:r w:rsidRPr="0025250D">
        <w:rPr>
          <w:rFonts w:hint="eastAsia"/>
          <w:rtl/>
        </w:rPr>
        <w:t>نگر</w:t>
      </w:r>
      <w:r w:rsidRPr="0025250D">
        <w:rPr>
          <w:vertAlign w:val="superscript"/>
          <w:rtl/>
        </w:rPr>
        <w:footnoteReference w:id="819"/>
      </w:r>
      <w:r w:rsidRPr="0025250D">
        <w:rPr>
          <w:rFonts w:hint="cs"/>
          <w:rtl/>
        </w:rPr>
        <w:t xml:space="preserve"> ویکی پدیا را </w:t>
      </w:r>
      <w:r w:rsidR="00923DDB" w:rsidRPr="0025250D">
        <w:rPr>
          <w:rFonts w:hint="cs"/>
          <w:rtl/>
        </w:rPr>
        <w:t>راه‌اندازی</w:t>
      </w:r>
      <w:r w:rsidRPr="0025250D">
        <w:rPr>
          <w:rFonts w:hint="cs"/>
          <w:rtl/>
        </w:rPr>
        <w:t xml:space="preserve"> کردند. همه این‌ها اختراعاتی </w:t>
      </w:r>
      <w:r w:rsidR="00303635" w:rsidRPr="0025250D">
        <w:rPr>
          <w:rtl/>
        </w:rPr>
        <w:t>چابک‌بین</w:t>
      </w:r>
      <w:r w:rsidRPr="0025250D">
        <w:rPr>
          <w:rFonts w:hint="cs"/>
          <w:rtl/>
        </w:rPr>
        <w:t xml:space="preserve"> از متفکرینی </w:t>
      </w:r>
      <w:r w:rsidR="00303635" w:rsidRPr="0025250D">
        <w:rPr>
          <w:rtl/>
        </w:rPr>
        <w:t>چابک‌بین</w:t>
      </w:r>
      <w:r w:rsidRPr="0025250D">
        <w:rPr>
          <w:rFonts w:hint="cs"/>
          <w:rtl/>
        </w:rPr>
        <w:t xml:space="preserve"> بودند که هر یک بر </w:t>
      </w:r>
      <w:r w:rsidR="00B56611" w:rsidRPr="0025250D">
        <w:rPr>
          <w:rFonts w:hint="cs"/>
          <w:rtl/>
        </w:rPr>
        <w:t>چشم‌انداز</w:t>
      </w:r>
      <w:r w:rsidRPr="0025250D">
        <w:rPr>
          <w:rFonts w:hint="cs"/>
          <w:rtl/>
        </w:rPr>
        <w:t xml:space="preserve"> بوش استوار بودند و یک قدم توسعه‌ای رو به جلوی دیگر را بر</w:t>
      </w:r>
      <w:r w:rsidRPr="0025250D">
        <w:rPr>
          <w:rFonts w:hint="cs"/>
        </w:rPr>
        <w:t>‌</w:t>
      </w:r>
      <w:r w:rsidRPr="0025250D">
        <w:rPr>
          <w:rFonts w:hint="cs"/>
          <w:rtl/>
        </w:rPr>
        <w:t xml:space="preserve"> می‌داشتند.</w:t>
      </w:r>
    </w:p>
    <w:p w14:paraId="077AE399" w14:textId="5FBEB765" w:rsidR="0020732A" w:rsidRPr="0025250D" w:rsidRDefault="00D92F6E" w:rsidP="0020732A">
      <w:pPr>
        <w:rPr>
          <w:rtl/>
        </w:rPr>
      </w:pPr>
      <w:r w:rsidRPr="0025250D">
        <w:rPr>
          <w:rFonts w:hint="cs"/>
          <w:rtl/>
        </w:rPr>
        <w:lastRenderedPageBreak/>
        <w:t>آینده‌پژوه</w:t>
      </w:r>
      <w:r w:rsidR="0020732A" w:rsidRPr="0025250D">
        <w:rPr>
          <w:rFonts w:hint="cs"/>
          <w:rtl/>
        </w:rPr>
        <w:t xml:space="preserve"> </w:t>
      </w:r>
      <w:r w:rsidR="0020732A" w:rsidRPr="0025250D">
        <w:rPr>
          <w:rtl/>
        </w:rPr>
        <w:t>ام</w:t>
      </w:r>
      <w:r w:rsidR="0020732A" w:rsidRPr="0025250D">
        <w:rPr>
          <w:rFonts w:hint="cs"/>
          <w:rtl/>
        </w:rPr>
        <w:t>ی</w:t>
      </w:r>
      <w:r w:rsidR="0020732A" w:rsidRPr="0025250D">
        <w:rPr>
          <w:rtl/>
        </w:rPr>
        <w:t xml:space="preserve"> وب</w:t>
      </w:r>
      <w:r w:rsidR="0020732A" w:rsidRPr="0025250D">
        <w:rPr>
          <w:vertAlign w:val="superscript"/>
          <w:rtl/>
        </w:rPr>
        <w:footnoteReference w:id="820"/>
      </w:r>
      <w:r w:rsidR="0020732A" w:rsidRPr="0025250D">
        <w:rPr>
          <w:rFonts w:hint="cs"/>
          <w:rtl/>
        </w:rPr>
        <w:t xml:space="preserve"> یک جمله خوب دارد، </w:t>
      </w:r>
      <w:r w:rsidR="006335B8" w:rsidRPr="0025250D">
        <w:rPr>
          <w:rtl/>
        </w:rPr>
        <w:t>«</w:t>
      </w:r>
      <w:r w:rsidR="0020732A" w:rsidRPr="0025250D">
        <w:rPr>
          <w:rFonts w:hint="cs"/>
          <w:rtl/>
        </w:rPr>
        <w:t>حاشیه را پیدا کنید</w:t>
      </w:r>
      <w:r w:rsidR="0020732A" w:rsidRPr="0025250D">
        <w:rPr>
          <w:vertAlign w:val="superscript"/>
          <w:rtl/>
        </w:rPr>
        <w:footnoteReference w:id="821"/>
      </w:r>
      <w:r w:rsidR="006335B8" w:rsidRPr="0025250D">
        <w:rPr>
          <w:rtl/>
        </w:rPr>
        <w:t>»</w:t>
      </w:r>
      <w:r w:rsidR="0020732A" w:rsidRPr="0025250D">
        <w:rPr>
          <w:rFonts w:hint="cs"/>
          <w:rtl/>
        </w:rPr>
        <w:t xml:space="preserve">. هدف او از این گفته ایجاد یک </w:t>
      </w:r>
      <w:r w:rsidR="008D6F97" w:rsidRPr="0025250D">
        <w:rPr>
          <w:rFonts w:hint="cs"/>
          <w:rtl/>
        </w:rPr>
        <w:t>سامانه‌</w:t>
      </w:r>
      <w:r w:rsidR="0020732A" w:rsidRPr="0025250D">
        <w:rPr>
          <w:rFonts w:hint="cs"/>
          <w:rtl/>
        </w:rPr>
        <w:t xml:space="preserve"> اطلاعاتی هوشمند، از جمله شبکه‌ای از متفکرین </w:t>
      </w:r>
      <w:r w:rsidR="00303635" w:rsidRPr="0025250D">
        <w:rPr>
          <w:rtl/>
        </w:rPr>
        <w:t>چابک‌بین</w:t>
      </w:r>
      <w:r w:rsidR="0020732A" w:rsidRPr="0025250D">
        <w:rPr>
          <w:rFonts w:hint="cs"/>
          <w:rtl/>
        </w:rPr>
        <w:t xml:space="preserve"> و منابع اطلاعاتی است. اگر از این شبکه بیاموزید و قدر اعضای آن را بدانید، در نتیجه</w:t>
      </w:r>
      <w:r w:rsidR="0020732A" w:rsidRPr="0025250D">
        <w:rPr>
          <w:rFonts w:hint="cs"/>
        </w:rPr>
        <w:t>‌</w:t>
      </w:r>
      <w:r w:rsidR="0020732A" w:rsidRPr="0025250D">
        <w:rPr>
          <w:rFonts w:hint="cs"/>
          <w:rtl/>
        </w:rPr>
        <w:t xml:space="preserve"> می‌توانید آنچه خواهد آمد و آنچه</w:t>
      </w:r>
      <w:r w:rsidR="0020732A" w:rsidRPr="0025250D">
        <w:rPr>
          <w:rFonts w:hint="cs"/>
        </w:rPr>
        <w:t>‌</w:t>
      </w:r>
      <w:r w:rsidR="0020732A" w:rsidRPr="0025250D">
        <w:rPr>
          <w:rFonts w:hint="cs"/>
          <w:rtl/>
        </w:rPr>
        <w:t xml:space="preserve"> می‌تواند پیش بیاید را ببینید و </w:t>
      </w:r>
      <w:r w:rsidR="00701E03" w:rsidRPr="0025250D">
        <w:rPr>
          <w:rFonts w:hint="cs"/>
          <w:rtl/>
        </w:rPr>
        <w:t>راهبرد</w:t>
      </w:r>
      <w:r w:rsidR="0020732A" w:rsidRPr="0025250D">
        <w:rPr>
          <w:rFonts w:hint="cs"/>
          <w:rtl/>
        </w:rPr>
        <w:t xml:space="preserve">‌هایی را برای بهره برداری از این </w:t>
      </w:r>
      <w:r w:rsidR="0020732A" w:rsidRPr="0025250D">
        <w:rPr>
          <w:rtl/>
        </w:rPr>
        <w:t>آینده‌نگاری</w:t>
      </w:r>
      <w:r w:rsidR="0020732A" w:rsidRPr="0025250D">
        <w:rPr>
          <w:rFonts w:hint="cs"/>
          <w:rtl/>
        </w:rPr>
        <w:t xml:space="preserve"> </w:t>
      </w:r>
      <w:r w:rsidR="00303635" w:rsidRPr="0025250D">
        <w:rPr>
          <w:rtl/>
        </w:rPr>
        <w:t>چابک‌بین</w:t>
      </w:r>
      <w:r w:rsidR="0020732A" w:rsidRPr="0025250D">
        <w:rPr>
          <w:rFonts w:hint="cs"/>
          <w:rtl/>
        </w:rPr>
        <w:t xml:space="preserve"> ایجاد کنید.</w:t>
      </w:r>
    </w:p>
    <w:p w14:paraId="107A1DAE" w14:textId="6AA1E40C" w:rsidR="0020732A" w:rsidRPr="0025250D" w:rsidRDefault="0020732A" w:rsidP="0020732A">
      <w:r w:rsidRPr="0025250D">
        <w:rPr>
          <w:rFonts w:hint="cs"/>
          <w:rtl/>
        </w:rPr>
        <w:t xml:space="preserve">همچنین </w:t>
      </w:r>
      <w:r w:rsidRPr="0025250D">
        <w:rPr>
          <w:rtl/>
        </w:rPr>
        <w:t>و</w:t>
      </w:r>
      <w:r w:rsidRPr="0025250D">
        <w:rPr>
          <w:rFonts w:hint="cs"/>
          <w:rtl/>
        </w:rPr>
        <w:t>ی</w:t>
      </w:r>
      <w:r w:rsidRPr="0025250D">
        <w:rPr>
          <w:rFonts w:hint="eastAsia"/>
          <w:rtl/>
        </w:rPr>
        <w:t>ل</w:t>
      </w:r>
      <w:r w:rsidRPr="0025250D">
        <w:rPr>
          <w:rtl/>
        </w:rPr>
        <w:t xml:space="preserve"> جنک</w:t>
      </w:r>
      <w:r w:rsidRPr="0025250D">
        <w:rPr>
          <w:rFonts w:hint="cs"/>
          <w:rtl/>
        </w:rPr>
        <w:t>ی</w:t>
      </w:r>
      <w:r w:rsidRPr="0025250D">
        <w:rPr>
          <w:rFonts w:hint="eastAsia"/>
          <w:rtl/>
        </w:rPr>
        <w:t>نز</w:t>
      </w:r>
      <w:r w:rsidRPr="0025250D">
        <w:rPr>
          <w:vertAlign w:val="superscript"/>
          <w:rtl/>
        </w:rPr>
        <w:footnoteReference w:id="822"/>
      </w:r>
      <w:r w:rsidRPr="0025250D">
        <w:rPr>
          <w:rFonts w:hint="cs"/>
          <w:rtl/>
        </w:rPr>
        <w:t xml:space="preserve">، یک متفکر </w:t>
      </w:r>
      <w:r w:rsidR="00303635" w:rsidRPr="0025250D">
        <w:rPr>
          <w:rtl/>
        </w:rPr>
        <w:t>چابک‌بین</w:t>
      </w:r>
      <w:r w:rsidRPr="0025250D">
        <w:rPr>
          <w:rFonts w:hint="cs"/>
          <w:rtl/>
        </w:rPr>
        <w:t xml:space="preserve"> کم‌تر شناخته شده را در نظر بگیرید. داستان علمی تخیلی کوتاه او</w:t>
      </w:r>
      <w:r w:rsidR="00185F3E" w:rsidRPr="0025250D">
        <w:rPr>
          <w:rFonts w:hint="cs"/>
          <w:rtl/>
        </w:rPr>
        <w:t xml:space="preserve"> با عنوان</w:t>
      </w:r>
      <w:r w:rsidRPr="0025250D">
        <w:rPr>
          <w:rFonts w:hint="cs"/>
          <w:rtl/>
        </w:rPr>
        <w:t xml:space="preserve"> </w:t>
      </w:r>
      <w:r w:rsidR="006335B8" w:rsidRPr="0025250D">
        <w:rPr>
          <w:rtl/>
        </w:rPr>
        <w:t>«</w:t>
      </w:r>
      <w:r w:rsidRPr="0025250D">
        <w:rPr>
          <w:rFonts w:hint="cs"/>
          <w:rtl/>
        </w:rPr>
        <w:t>منطقی</w:t>
      </w:r>
      <w:r w:rsidRPr="0025250D">
        <w:rPr>
          <w:rtl/>
        </w:rPr>
        <w:t xml:space="preserve"> </w:t>
      </w:r>
      <w:r w:rsidRPr="0025250D">
        <w:rPr>
          <w:rFonts w:hint="cs"/>
          <w:rtl/>
        </w:rPr>
        <w:t>به</w:t>
      </w:r>
      <w:r w:rsidRPr="0025250D">
        <w:rPr>
          <w:rtl/>
        </w:rPr>
        <w:t xml:space="preserve"> </w:t>
      </w:r>
      <w:r w:rsidRPr="0025250D">
        <w:rPr>
          <w:rFonts w:hint="cs"/>
          <w:rtl/>
        </w:rPr>
        <w:t>نام</w:t>
      </w:r>
      <w:r w:rsidRPr="0025250D">
        <w:rPr>
          <w:rtl/>
        </w:rPr>
        <w:t xml:space="preserve"> </w:t>
      </w:r>
      <w:r w:rsidRPr="0025250D">
        <w:rPr>
          <w:rFonts w:hint="cs"/>
          <w:rtl/>
        </w:rPr>
        <w:t>جو</w:t>
      </w:r>
      <w:r w:rsidRPr="0025250D">
        <w:rPr>
          <w:vertAlign w:val="superscript"/>
          <w:rtl/>
        </w:rPr>
        <w:footnoteReference w:id="823"/>
      </w:r>
      <w:r w:rsidR="006335B8" w:rsidRPr="0025250D">
        <w:rPr>
          <w:rtl/>
        </w:rPr>
        <w:t>»</w:t>
      </w:r>
      <w:r w:rsidRPr="0025250D">
        <w:rPr>
          <w:rFonts w:hint="cs"/>
          <w:rtl/>
        </w:rPr>
        <w:t xml:space="preserve"> در سال 1946 که به نام ادبی او یعنی </w:t>
      </w:r>
      <w:r w:rsidRPr="0025250D">
        <w:rPr>
          <w:rtl/>
        </w:rPr>
        <w:t>مور</w:t>
      </w:r>
      <w:r w:rsidRPr="0025250D">
        <w:rPr>
          <w:rFonts w:hint="cs"/>
          <w:rtl/>
        </w:rPr>
        <w:t>ی</w:t>
      </w:r>
      <w:r w:rsidRPr="0025250D">
        <w:rPr>
          <w:rtl/>
        </w:rPr>
        <w:t xml:space="preserve"> ل</w:t>
      </w:r>
      <w:r w:rsidRPr="0025250D">
        <w:rPr>
          <w:rFonts w:hint="cs"/>
          <w:rtl/>
        </w:rPr>
        <w:t>ی</w:t>
      </w:r>
      <w:r w:rsidRPr="0025250D">
        <w:rPr>
          <w:rFonts w:hint="eastAsia"/>
          <w:rtl/>
        </w:rPr>
        <w:t>نستر</w:t>
      </w:r>
      <w:r w:rsidRPr="0025250D">
        <w:rPr>
          <w:vertAlign w:val="superscript"/>
          <w:rtl/>
        </w:rPr>
        <w:footnoteReference w:id="824"/>
      </w:r>
      <w:r w:rsidRPr="0025250D">
        <w:rPr>
          <w:rFonts w:hint="cs"/>
          <w:rtl/>
        </w:rPr>
        <w:t xml:space="preserve"> نوشته شده است، توصیف اولیه خوبی از کامپیوتر‌های شخصی، به نام </w:t>
      </w:r>
      <w:r w:rsidR="006335B8" w:rsidRPr="0025250D">
        <w:rPr>
          <w:rtl/>
        </w:rPr>
        <w:t>«</w:t>
      </w:r>
      <w:r w:rsidRPr="0025250D">
        <w:rPr>
          <w:rFonts w:hint="cs"/>
          <w:rtl/>
        </w:rPr>
        <w:t>لُجیک ها</w:t>
      </w:r>
      <w:r w:rsidRPr="0025250D">
        <w:rPr>
          <w:vertAlign w:val="superscript"/>
          <w:rtl/>
        </w:rPr>
        <w:footnoteReference w:id="825"/>
      </w:r>
      <w:r w:rsidR="006335B8" w:rsidRPr="0025250D">
        <w:rPr>
          <w:rtl/>
        </w:rPr>
        <w:t>»</w:t>
      </w:r>
      <w:r w:rsidRPr="0025250D">
        <w:rPr>
          <w:rFonts w:hint="cs"/>
          <w:rtl/>
        </w:rPr>
        <w:t>، به‌عنوان ترکیب الکترونیکی از یک تایپیست و تلویزیون‌های جدید در آن زمان ارائه</w:t>
      </w:r>
      <w:r w:rsidRPr="0025250D">
        <w:rPr>
          <w:rFonts w:hint="cs"/>
        </w:rPr>
        <w:t>‌</w:t>
      </w:r>
      <w:r w:rsidRPr="0025250D">
        <w:rPr>
          <w:rFonts w:hint="cs"/>
          <w:rtl/>
        </w:rPr>
        <w:t xml:space="preserve"> می‌دهد. به شکل تأثیر گذارتری، او همچنین اینترنت را به‌عنوان شبکه‌های الکترونیکی از لُجیک‌ها که از طریق سرور‌هایی به نام </w:t>
      </w:r>
      <w:r w:rsidR="006335B8" w:rsidRPr="0025250D">
        <w:rPr>
          <w:rtl/>
        </w:rPr>
        <w:t>«</w:t>
      </w:r>
      <w:r w:rsidRPr="0025250D">
        <w:rPr>
          <w:rFonts w:hint="cs"/>
          <w:rtl/>
        </w:rPr>
        <w:t>تانک</w:t>
      </w:r>
      <w:r w:rsidR="00185F3E" w:rsidRPr="0025250D">
        <w:rPr>
          <w:rFonts w:hint="cs"/>
          <w:rtl/>
        </w:rPr>
        <w:t>‌</w:t>
      </w:r>
      <w:r w:rsidRPr="0025250D">
        <w:rPr>
          <w:rFonts w:hint="cs"/>
          <w:rtl/>
        </w:rPr>
        <w:t>ها</w:t>
      </w:r>
      <w:r w:rsidRPr="0025250D">
        <w:rPr>
          <w:vertAlign w:val="superscript"/>
          <w:rtl/>
        </w:rPr>
        <w:footnoteReference w:id="826"/>
      </w:r>
      <w:r w:rsidR="006335B8" w:rsidRPr="0025250D">
        <w:rPr>
          <w:rtl/>
        </w:rPr>
        <w:t>»</w:t>
      </w:r>
      <w:r w:rsidRPr="0025250D">
        <w:rPr>
          <w:rFonts w:hint="cs"/>
          <w:rtl/>
        </w:rPr>
        <w:t xml:space="preserve"> به هم متصل بودند و سبب تغییراتی بزرگ در جامعه آینده</w:t>
      </w:r>
      <w:r w:rsidRPr="0025250D">
        <w:rPr>
          <w:rFonts w:hint="cs"/>
        </w:rPr>
        <w:t>‌</w:t>
      </w:r>
      <w:r w:rsidRPr="0025250D">
        <w:rPr>
          <w:rFonts w:hint="cs"/>
          <w:rtl/>
        </w:rPr>
        <w:t xml:space="preserve"> می‌شوند، توصیف کرد. </w:t>
      </w:r>
      <w:r w:rsidRPr="0025250D">
        <w:rPr>
          <w:rtl/>
        </w:rPr>
        <w:t>ل</w:t>
      </w:r>
      <w:r w:rsidRPr="0025250D">
        <w:rPr>
          <w:rFonts w:hint="cs"/>
          <w:rtl/>
        </w:rPr>
        <w:t>ی</w:t>
      </w:r>
      <w:r w:rsidRPr="0025250D">
        <w:rPr>
          <w:rFonts w:hint="eastAsia"/>
          <w:rtl/>
        </w:rPr>
        <w:t>نستر</w:t>
      </w:r>
      <w:r w:rsidRPr="0025250D">
        <w:rPr>
          <w:rFonts w:hint="cs"/>
          <w:rtl/>
        </w:rPr>
        <w:t xml:space="preserve"> وجود لجیک‌های الکترونیکی را در هر خانه که ارتباطات، سرگرمی، تحصیلات، خرید، قرار گذاشتن و بسیاری از خدمات دیگر را ارائه</w:t>
      </w:r>
      <w:r w:rsidRPr="0025250D">
        <w:rPr>
          <w:rFonts w:hint="cs"/>
        </w:rPr>
        <w:t>‌</w:t>
      </w:r>
      <w:r w:rsidRPr="0025250D">
        <w:rPr>
          <w:rFonts w:hint="cs"/>
          <w:rtl/>
        </w:rPr>
        <w:t xml:space="preserve"> می‌دادند </w:t>
      </w:r>
      <w:r w:rsidR="00185F3E" w:rsidRPr="0025250D">
        <w:rPr>
          <w:rFonts w:hint="cs"/>
          <w:rtl/>
        </w:rPr>
        <w:t>فراپایی</w:t>
      </w:r>
      <w:r w:rsidRPr="0025250D">
        <w:rPr>
          <w:rFonts w:hint="cs"/>
          <w:rtl/>
        </w:rPr>
        <w:t xml:space="preserve"> می‌کرد.</w:t>
      </w:r>
    </w:p>
    <w:p w14:paraId="37D15F6C" w14:textId="77777777" w:rsidR="0020732A" w:rsidRPr="0025250D" w:rsidRDefault="0020732A" w:rsidP="009E77BD">
      <w:pPr>
        <w:jc w:val="center"/>
        <w:rPr>
          <w:rtl/>
        </w:rPr>
      </w:pPr>
      <w:r w:rsidRPr="0025250D">
        <w:rPr>
          <w:noProof/>
          <w:rtl/>
          <w:lang w:bidi="ar-SA"/>
        </w:rPr>
        <w:drawing>
          <wp:inline distT="0" distB="0" distL="0" distR="0" wp14:anchorId="74BDB532" wp14:editId="2CDD28BD">
            <wp:extent cx="4343330" cy="3498574"/>
            <wp:effectExtent l="0" t="0" r="635" b="6985"/>
            <wp:docPr id="9" name="Picture 9" descr="D:\کار\مستقل\3 ( ترجمه ی دانشگاه تهران  )\Introduction to Foresight\part2\22-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کار\مستقل\3 ( ترجمه ی دانشگاه تهران  )\Introduction to Foresight\part2\22-new.png"/>
                    <pic:cNvPicPr>
                      <a:picLocks noChangeAspect="1" noChangeArrowheads="1"/>
                    </pic:cNvPicPr>
                  </pic:nvPicPr>
                  <pic:blipFill rotWithShape="1">
                    <a:blip r:embed="rId87" cstate="screen">
                      <a:extLst>
                        <a:ext uri="{28A0092B-C50C-407E-A947-70E740481C1C}">
                          <a14:useLocalDpi xmlns:a14="http://schemas.microsoft.com/office/drawing/2010/main"/>
                        </a:ext>
                      </a:extLst>
                    </a:blip>
                    <a:srcRect/>
                    <a:stretch/>
                  </pic:blipFill>
                  <pic:spPr bwMode="auto">
                    <a:xfrm>
                      <a:off x="0" y="0"/>
                      <a:ext cx="4345529" cy="3500345"/>
                    </a:xfrm>
                    <a:prstGeom prst="rect">
                      <a:avLst/>
                    </a:prstGeom>
                    <a:noFill/>
                    <a:ln>
                      <a:noFill/>
                    </a:ln>
                    <a:extLst>
                      <a:ext uri="{53640926-AAD7-44D8-BBD7-CCE9431645EC}">
                        <a14:shadowObscured xmlns:a14="http://schemas.microsoft.com/office/drawing/2010/main"/>
                      </a:ext>
                    </a:extLst>
                  </pic:spPr>
                </pic:pic>
              </a:graphicData>
            </a:graphic>
          </wp:inline>
        </w:drawing>
      </w:r>
    </w:p>
    <w:p w14:paraId="76468973" w14:textId="77777777" w:rsidR="0020732A" w:rsidRPr="0025250D" w:rsidRDefault="0020732A" w:rsidP="009E77BD">
      <w:pPr>
        <w:jc w:val="center"/>
        <w:rPr>
          <w:rtl/>
        </w:rPr>
      </w:pPr>
      <w:r w:rsidRPr="0025250D">
        <w:rPr>
          <w:rtl/>
        </w:rPr>
        <w:t>و</w:t>
      </w:r>
      <w:r w:rsidRPr="0025250D">
        <w:rPr>
          <w:rFonts w:hint="cs"/>
          <w:rtl/>
        </w:rPr>
        <w:t>ی</w:t>
      </w:r>
      <w:r w:rsidRPr="0025250D">
        <w:rPr>
          <w:rFonts w:hint="eastAsia"/>
          <w:rtl/>
        </w:rPr>
        <w:t>ل</w:t>
      </w:r>
      <w:r w:rsidRPr="0025250D">
        <w:rPr>
          <w:rtl/>
        </w:rPr>
        <w:t xml:space="preserve"> جنک</w:t>
      </w:r>
      <w:r w:rsidRPr="0025250D">
        <w:rPr>
          <w:rFonts w:hint="cs"/>
          <w:rtl/>
        </w:rPr>
        <w:t>ی</w:t>
      </w:r>
      <w:r w:rsidRPr="0025250D">
        <w:rPr>
          <w:rFonts w:hint="eastAsia"/>
          <w:rtl/>
        </w:rPr>
        <w:t>نز</w:t>
      </w:r>
      <w:r w:rsidRPr="0025250D">
        <w:rPr>
          <w:rtl/>
        </w:rPr>
        <w:t xml:space="preserve"> (معروف به مور</w:t>
      </w:r>
      <w:r w:rsidRPr="0025250D">
        <w:rPr>
          <w:rFonts w:hint="cs"/>
          <w:rtl/>
        </w:rPr>
        <w:t>ی</w:t>
      </w:r>
      <w:r w:rsidRPr="0025250D">
        <w:rPr>
          <w:rtl/>
        </w:rPr>
        <w:t xml:space="preserve"> لن</w:t>
      </w:r>
      <w:r w:rsidRPr="0025250D">
        <w:rPr>
          <w:rFonts w:hint="cs"/>
          <w:rtl/>
        </w:rPr>
        <w:t>ی</w:t>
      </w:r>
      <w:r w:rsidRPr="0025250D">
        <w:rPr>
          <w:rFonts w:hint="eastAsia"/>
          <w:rtl/>
        </w:rPr>
        <w:t>ستر</w:t>
      </w:r>
      <w:r w:rsidRPr="0025250D">
        <w:rPr>
          <w:rtl/>
        </w:rPr>
        <w:t>)، در مطالعه خانگ</w:t>
      </w:r>
      <w:r w:rsidRPr="0025250D">
        <w:rPr>
          <w:rFonts w:hint="cs"/>
          <w:rtl/>
        </w:rPr>
        <w:t>ی</w:t>
      </w:r>
      <w:r w:rsidRPr="0025250D">
        <w:rPr>
          <w:rtl/>
        </w:rPr>
        <w:t xml:space="preserve"> خود، دهه 1930</w:t>
      </w:r>
    </w:p>
    <w:p w14:paraId="0B13EB1B" w14:textId="7620E0CF" w:rsidR="0020732A" w:rsidRPr="0025250D" w:rsidRDefault="0020732A" w:rsidP="0020732A">
      <w:pPr>
        <w:rPr>
          <w:rtl/>
        </w:rPr>
      </w:pPr>
      <w:r w:rsidRPr="0025250D">
        <w:rPr>
          <w:rFonts w:hint="cs"/>
          <w:rtl/>
        </w:rPr>
        <w:t>در حالی که تقریبا هر کس دیگری در آن زمان در مورد بزرگ‏رایانه ها</w:t>
      </w:r>
      <w:r w:rsidRPr="0025250D">
        <w:rPr>
          <w:vertAlign w:val="superscript"/>
          <w:rtl/>
        </w:rPr>
        <w:footnoteReference w:id="827"/>
      </w:r>
      <w:r w:rsidRPr="0025250D">
        <w:rPr>
          <w:rFonts w:hint="cs"/>
          <w:rtl/>
        </w:rPr>
        <w:t xml:space="preserve"> و محاسبات سلسله‌مراتبی متمرکز</w:t>
      </w:r>
      <w:r w:rsidRPr="0025250D">
        <w:rPr>
          <w:rFonts w:hint="cs"/>
        </w:rPr>
        <w:t>‌</w:t>
      </w:r>
      <w:r w:rsidRPr="0025250D">
        <w:rPr>
          <w:rFonts w:hint="cs"/>
          <w:rtl/>
        </w:rPr>
        <w:t xml:space="preserve"> می‌نوشت، </w:t>
      </w:r>
      <w:r w:rsidRPr="0025250D">
        <w:rPr>
          <w:rtl/>
        </w:rPr>
        <w:t>ل</w:t>
      </w:r>
      <w:r w:rsidRPr="0025250D">
        <w:rPr>
          <w:rFonts w:hint="cs"/>
          <w:rtl/>
        </w:rPr>
        <w:t>ی</w:t>
      </w:r>
      <w:r w:rsidRPr="0025250D">
        <w:rPr>
          <w:rFonts w:hint="eastAsia"/>
          <w:rtl/>
        </w:rPr>
        <w:t>نستر</w:t>
      </w:r>
      <w:r w:rsidRPr="0025250D">
        <w:rPr>
          <w:rFonts w:hint="cs"/>
          <w:rtl/>
        </w:rPr>
        <w:t xml:space="preserve"> در مورد شبکه‌های نامتمرکز، </w:t>
      </w:r>
      <w:r w:rsidR="00EE4B64" w:rsidRPr="0025250D">
        <w:rPr>
          <w:rFonts w:hint="cs"/>
          <w:rtl/>
        </w:rPr>
        <w:t>مردم‌سالار</w:t>
      </w:r>
      <w:r w:rsidRPr="0025250D">
        <w:rPr>
          <w:rFonts w:hint="cs"/>
          <w:rtl/>
        </w:rPr>
        <w:t xml:space="preserve"> و کوچک سازی شده و اثرات مفید و مضر آن‌ها بر جامعه</w:t>
      </w:r>
      <w:r w:rsidRPr="0025250D">
        <w:rPr>
          <w:rFonts w:hint="cs"/>
        </w:rPr>
        <w:t>‌</w:t>
      </w:r>
      <w:r w:rsidRPr="0025250D">
        <w:rPr>
          <w:rFonts w:hint="cs"/>
          <w:rtl/>
        </w:rPr>
        <w:t xml:space="preserve"> می‌نوشت. این شبکه </w:t>
      </w:r>
      <w:r w:rsidR="008F0DD8" w:rsidRPr="0025250D">
        <w:rPr>
          <w:rFonts w:hint="cs"/>
          <w:rtl/>
        </w:rPr>
        <w:t>آن‌قدر</w:t>
      </w:r>
      <w:r w:rsidRPr="0025250D">
        <w:rPr>
          <w:rFonts w:hint="cs"/>
          <w:rtl/>
        </w:rPr>
        <w:t xml:space="preserve"> رفتار‌ها را تغییر داد که فردی اشاره</w:t>
      </w:r>
      <w:r w:rsidRPr="0025250D">
        <w:rPr>
          <w:rFonts w:hint="cs"/>
        </w:rPr>
        <w:t>‌</w:t>
      </w:r>
      <w:r w:rsidRPr="0025250D">
        <w:rPr>
          <w:rFonts w:hint="cs"/>
          <w:rtl/>
        </w:rPr>
        <w:t xml:space="preserve"> می‌کند که </w:t>
      </w:r>
      <w:r w:rsidR="006335B8" w:rsidRPr="0025250D">
        <w:rPr>
          <w:rtl/>
        </w:rPr>
        <w:t>«</w:t>
      </w:r>
      <w:r w:rsidRPr="0025250D">
        <w:rPr>
          <w:rFonts w:hint="cs"/>
          <w:rtl/>
        </w:rPr>
        <w:t>لُجیک‌ها تمدن هستند</w:t>
      </w:r>
      <w:r w:rsidR="006335B8" w:rsidRPr="0025250D">
        <w:rPr>
          <w:rtl/>
        </w:rPr>
        <w:t>»</w:t>
      </w:r>
      <w:r w:rsidR="008D6F97" w:rsidRPr="0025250D">
        <w:rPr>
          <w:rtl/>
        </w:rPr>
        <w:t xml:space="preserve">؛ </w:t>
      </w:r>
      <w:r w:rsidRPr="0025250D">
        <w:rPr>
          <w:rFonts w:hint="cs"/>
          <w:rtl/>
        </w:rPr>
        <w:t xml:space="preserve">بنابراین او هم رایانه‌های شخصی و هم وب را </w:t>
      </w:r>
      <w:r w:rsidR="00923DDB" w:rsidRPr="0025250D">
        <w:rPr>
          <w:rFonts w:hint="cs"/>
          <w:rtl/>
        </w:rPr>
        <w:t>پیش‌انگاری</w:t>
      </w:r>
      <w:r w:rsidRPr="0025250D">
        <w:rPr>
          <w:rFonts w:hint="cs"/>
          <w:rtl/>
        </w:rPr>
        <w:t xml:space="preserve"> کرده بود. </w:t>
      </w:r>
      <w:r w:rsidRPr="0025250D">
        <w:rPr>
          <w:rtl/>
        </w:rPr>
        <w:t>ل</w:t>
      </w:r>
      <w:r w:rsidRPr="0025250D">
        <w:rPr>
          <w:rFonts w:hint="cs"/>
          <w:rtl/>
        </w:rPr>
        <w:t>ی</w:t>
      </w:r>
      <w:r w:rsidRPr="0025250D">
        <w:rPr>
          <w:rFonts w:hint="eastAsia"/>
          <w:rtl/>
        </w:rPr>
        <w:t>نستر</w:t>
      </w:r>
      <w:r w:rsidRPr="0025250D">
        <w:rPr>
          <w:rFonts w:hint="cs"/>
          <w:rtl/>
        </w:rPr>
        <w:t xml:space="preserve"> بخشی از این بینش را از مطالعه نوشته ی</w:t>
      </w:r>
      <w:r w:rsidR="00303635" w:rsidRPr="0025250D">
        <w:rPr>
          <w:rtl/>
        </w:rPr>
        <w:t>چابک‌بین</w:t>
      </w:r>
      <w:r w:rsidR="008D6F97" w:rsidRPr="0025250D">
        <w:t xml:space="preserve"> </w:t>
      </w:r>
      <w:r w:rsidRPr="0025250D">
        <w:rPr>
          <w:rFonts w:hint="cs"/>
          <w:rtl/>
        </w:rPr>
        <w:t xml:space="preserve">بوش کسب کرده بود. </w:t>
      </w:r>
      <w:r w:rsidRPr="0025250D">
        <w:rPr>
          <w:rtl/>
        </w:rPr>
        <w:t>آینده‌نگاری</w:t>
      </w:r>
      <w:r w:rsidRPr="0025250D">
        <w:rPr>
          <w:rFonts w:hint="cs"/>
          <w:rtl/>
        </w:rPr>
        <w:t xml:space="preserve"> </w:t>
      </w:r>
      <w:r w:rsidR="00303635" w:rsidRPr="0025250D">
        <w:rPr>
          <w:rtl/>
        </w:rPr>
        <w:t>چابک‌بین</w:t>
      </w:r>
      <w:r w:rsidRPr="0025250D">
        <w:rPr>
          <w:rFonts w:hint="cs"/>
          <w:rtl/>
        </w:rPr>
        <w:t xml:space="preserve">، به‌بیان‌دیگر، از یادگیری </w:t>
      </w:r>
      <w:r w:rsidR="00303635" w:rsidRPr="0025250D">
        <w:rPr>
          <w:rtl/>
        </w:rPr>
        <w:t>چابک‌بین</w:t>
      </w:r>
      <w:r w:rsidRPr="0025250D">
        <w:rPr>
          <w:rFonts w:hint="cs"/>
          <w:rtl/>
        </w:rPr>
        <w:t xml:space="preserve"> با کیفیت، در یک حلقه انجام پدیدار</w:t>
      </w:r>
      <w:r w:rsidRPr="0025250D">
        <w:rPr>
          <w:rFonts w:hint="cs"/>
        </w:rPr>
        <w:t>‌</w:t>
      </w:r>
      <w:r w:rsidRPr="0025250D">
        <w:rPr>
          <w:rFonts w:hint="cs"/>
          <w:rtl/>
        </w:rPr>
        <w:t xml:space="preserve"> می‌شود. درون دادهای خوب برون دادهای خوب را ایجاد</w:t>
      </w:r>
      <w:r w:rsidRPr="0025250D">
        <w:rPr>
          <w:rFonts w:hint="cs"/>
        </w:rPr>
        <w:t>‌</w:t>
      </w:r>
      <w:r w:rsidRPr="0025250D">
        <w:rPr>
          <w:rFonts w:hint="cs"/>
          <w:rtl/>
        </w:rPr>
        <w:t xml:space="preserve"> می‌کنند!</w:t>
      </w:r>
    </w:p>
    <w:p w14:paraId="162F14B2" w14:textId="3A120E8B" w:rsidR="0020732A" w:rsidRPr="0025250D" w:rsidRDefault="0020732A" w:rsidP="0020732A">
      <w:pPr>
        <w:rPr>
          <w:rtl/>
        </w:rPr>
      </w:pPr>
      <w:r w:rsidRPr="0025250D">
        <w:rPr>
          <w:rFonts w:hint="cs"/>
          <w:rtl/>
        </w:rPr>
        <w:lastRenderedPageBreak/>
        <w:t xml:space="preserve">پس از غافلگیری مایکروسافت با رشد سریع اینترنت در دهه 1990، گزارش شده که </w:t>
      </w:r>
      <w:r w:rsidRPr="0025250D">
        <w:rPr>
          <w:rtl/>
        </w:rPr>
        <w:t>ب</w:t>
      </w:r>
      <w:r w:rsidRPr="0025250D">
        <w:rPr>
          <w:rFonts w:hint="cs"/>
          <w:rtl/>
        </w:rPr>
        <w:t>ی</w:t>
      </w:r>
      <w:r w:rsidRPr="0025250D">
        <w:rPr>
          <w:rFonts w:hint="eastAsia"/>
          <w:rtl/>
        </w:rPr>
        <w:t>ل</w:t>
      </w:r>
      <w:r w:rsidRPr="0025250D">
        <w:rPr>
          <w:rtl/>
        </w:rPr>
        <w:t xml:space="preserve"> گ</w:t>
      </w:r>
      <w:r w:rsidRPr="0025250D">
        <w:rPr>
          <w:rFonts w:hint="cs"/>
          <w:rtl/>
        </w:rPr>
        <w:t>ی</w:t>
      </w:r>
      <w:r w:rsidRPr="0025250D">
        <w:rPr>
          <w:rFonts w:hint="eastAsia"/>
          <w:rtl/>
        </w:rPr>
        <w:t>تس</w:t>
      </w:r>
      <w:r w:rsidRPr="0025250D">
        <w:rPr>
          <w:rFonts w:hint="cs"/>
          <w:rtl/>
        </w:rPr>
        <w:t xml:space="preserve"> به تیم </w:t>
      </w:r>
      <w:r w:rsidR="00701E03" w:rsidRPr="0025250D">
        <w:rPr>
          <w:rFonts w:hint="cs"/>
          <w:rtl/>
        </w:rPr>
        <w:t>راهبرد</w:t>
      </w:r>
      <w:r w:rsidRPr="0025250D">
        <w:rPr>
          <w:rFonts w:hint="cs"/>
          <w:rtl/>
        </w:rPr>
        <w:t xml:space="preserve"> خود به شوخی گفته است که </w:t>
      </w:r>
      <w:r w:rsidR="006335B8" w:rsidRPr="0025250D">
        <w:rPr>
          <w:rtl/>
        </w:rPr>
        <w:t>«</w:t>
      </w:r>
      <w:r w:rsidRPr="0025250D">
        <w:rPr>
          <w:rFonts w:hint="cs"/>
          <w:rtl/>
        </w:rPr>
        <w:t xml:space="preserve">کسی را که {ظهور و رشد سریع} وب را </w:t>
      </w:r>
      <w:r w:rsidR="00D92F6E" w:rsidRPr="0025250D">
        <w:rPr>
          <w:rFonts w:hint="cs"/>
          <w:rtl/>
        </w:rPr>
        <w:t>پیش‌بین</w:t>
      </w:r>
      <w:r w:rsidRPr="0025250D">
        <w:rPr>
          <w:rFonts w:hint="cs"/>
          <w:rtl/>
        </w:rPr>
        <w:t>ی کرده باشد پیدا کنید و من او را مدیر عامل خواهم کرد</w:t>
      </w:r>
      <w:r w:rsidR="006335B8" w:rsidRPr="0025250D">
        <w:rPr>
          <w:rtl/>
        </w:rPr>
        <w:t>»</w:t>
      </w:r>
      <w:r w:rsidRPr="0025250D">
        <w:rPr>
          <w:rFonts w:hint="cs"/>
          <w:rtl/>
        </w:rPr>
        <w:t xml:space="preserve">. </w:t>
      </w:r>
      <w:r w:rsidRPr="0025250D">
        <w:t>HFA</w:t>
      </w:r>
      <w:r w:rsidRPr="0025250D">
        <w:rPr>
          <w:rFonts w:hint="cs"/>
          <w:rtl/>
        </w:rPr>
        <w:t xml:space="preserve"> به ما</w:t>
      </w:r>
      <w:r w:rsidRPr="0025250D">
        <w:rPr>
          <w:rFonts w:hint="cs"/>
        </w:rPr>
        <w:t>‌</w:t>
      </w:r>
      <w:r w:rsidRPr="0025250D">
        <w:rPr>
          <w:rFonts w:hint="cs"/>
          <w:rtl/>
        </w:rPr>
        <w:t xml:space="preserve"> می‌گوید که </w:t>
      </w:r>
      <w:r w:rsidRPr="0025250D">
        <w:rPr>
          <w:rtl/>
        </w:rPr>
        <w:t>جنک</w:t>
      </w:r>
      <w:r w:rsidRPr="0025250D">
        <w:rPr>
          <w:rFonts w:hint="cs"/>
          <w:rtl/>
        </w:rPr>
        <w:t>ی</w:t>
      </w:r>
      <w:r w:rsidRPr="0025250D">
        <w:rPr>
          <w:rFonts w:hint="eastAsia"/>
          <w:rtl/>
        </w:rPr>
        <w:t>نز</w:t>
      </w:r>
      <w:r w:rsidRPr="0025250D">
        <w:rPr>
          <w:vertAlign w:val="superscript"/>
          <w:rtl/>
        </w:rPr>
        <w:footnoteReference w:id="828"/>
      </w:r>
      <w:r w:rsidRPr="0025250D">
        <w:rPr>
          <w:rFonts w:hint="cs"/>
          <w:rtl/>
        </w:rPr>
        <w:t xml:space="preserve"> این کار را در سال 1946 انجام داد. جریانی از </w:t>
      </w:r>
      <w:r w:rsidR="00B56611" w:rsidRPr="0025250D">
        <w:rPr>
          <w:rFonts w:hint="cs"/>
          <w:rtl/>
        </w:rPr>
        <w:t>چشم‌انداز</w:t>
      </w:r>
      <w:r w:rsidRPr="0025250D">
        <w:rPr>
          <w:rFonts w:hint="cs"/>
          <w:rtl/>
        </w:rPr>
        <w:t xml:space="preserve">گرایان پس از او نیز این کار را از دهه 1950 تا 1990 انجام دادند، از جمله </w:t>
      </w:r>
      <w:r w:rsidRPr="0025250D">
        <w:rPr>
          <w:rtl/>
        </w:rPr>
        <w:t>داگ انگلبارت</w:t>
      </w:r>
      <w:r w:rsidRPr="0025250D">
        <w:rPr>
          <w:vertAlign w:val="superscript"/>
          <w:rtl/>
        </w:rPr>
        <w:footnoteReference w:id="829"/>
      </w:r>
      <w:r w:rsidRPr="0025250D">
        <w:rPr>
          <w:rFonts w:hint="cs"/>
          <w:rtl/>
        </w:rPr>
        <w:t xml:space="preserve"> و </w:t>
      </w:r>
      <w:r w:rsidRPr="0025250D">
        <w:rPr>
          <w:rtl/>
        </w:rPr>
        <w:t>تد نلسون</w:t>
      </w:r>
      <w:r w:rsidRPr="0025250D">
        <w:rPr>
          <w:vertAlign w:val="superscript"/>
          <w:rtl/>
        </w:rPr>
        <w:footnoteReference w:id="830"/>
      </w:r>
      <w:r w:rsidRPr="0025250D">
        <w:rPr>
          <w:rFonts w:hint="cs"/>
          <w:rtl/>
        </w:rPr>
        <w:t xml:space="preserve"> و سناتور و معاون رئیس جمهور پیشین </w:t>
      </w:r>
      <w:r w:rsidR="00185F3E" w:rsidRPr="0025250D">
        <w:rPr>
          <w:rtl/>
        </w:rPr>
        <w:t>ال گور</w:t>
      </w:r>
      <w:r w:rsidR="00185F3E" w:rsidRPr="0025250D">
        <w:rPr>
          <w:rStyle w:val="FootnoteReference"/>
          <w:rtl/>
        </w:rPr>
        <w:footnoteReference w:id="831"/>
      </w:r>
      <w:r w:rsidRPr="0025250D">
        <w:rPr>
          <w:rFonts w:hint="cs"/>
          <w:rtl/>
        </w:rPr>
        <w:t xml:space="preserve"> (جدای از شوخی او واقعا این کار را انجام داد). آن‌ها و بسیاری از افراد دیگر همگی با میزان دقت‌های متفاوتی، میزان بزرگی تاثیر اینترنت در آینده را </w:t>
      </w:r>
      <w:r w:rsidR="00185F3E" w:rsidRPr="0025250D">
        <w:rPr>
          <w:rFonts w:hint="cs"/>
          <w:rtl/>
        </w:rPr>
        <w:t>فراپایی</w:t>
      </w:r>
      <w:r w:rsidRPr="0025250D">
        <w:rPr>
          <w:rFonts w:hint="cs"/>
          <w:rtl/>
        </w:rPr>
        <w:t xml:space="preserve"> و توصیف کردند.</w:t>
      </w:r>
    </w:p>
    <w:p w14:paraId="2739B8BF" w14:textId="7EEDE388" w:rsidR="0020732A" w:rsidRPr="0025250D" w:rsidRDefault="0020732A" w:rsidP="00DE1A9C">
      <w:pPr>
        <w:rPr>
          <w:rtl/>
        </w:rPr>
      </w:pPr>
      <w:r w:rsidRPr="0025250D">
        <w:rPr>
          <w:rFonts w:hint="cs"/>
          <w:rtl/>
        </w:rPr>
        <w:t xml:space="preserve">امروزه انواع متعددی از محیط‌های </w:t>
      </w:r>
      <w:r w:rsidR="00303635" w:rsidRPr="0025250D">
        <w:rPr>
          <w:rtl/>
        </w:rPr>
        <w:t>چابک‌بین</w:t>
      </w:r>
      <w:r w:rsidRPr="0025250D">
        <w:rPr>
          <w:rFonts w:hint="cs"/>
          <w:rtl/>
        </w:rPr>
        <w:t xml:space="preserve"> وجود دارند. </w:t>
      </w:r>
      <w:r w:rsidR="00EE4B64" w:rsidRPr="0025250D">
        <w:rPr>
          <w:rFonts w:hint="cs"/>
          <w:rtl/>
        </w:rPr>
        <w:t>مردم‌سالار</w:t>
      </w:r>
      <w:r w:rsidRPr="0025250D">
        <w:rPr>
          <w:rFonts w:hint="cs"/>
          <w:rtl/>
        </w:rPr>
        <w:t>ی</w:t>
      </w:r>
      <w:r w:rsidRPr="0025250D">
        <w:rPr>
          <w:rtl/>
        </w:rPr>
        <w:t xml:space="preserve">‌های </w:t>
      </w:r>
      <w:r w:rsidRPr="0025250D">
        <w:rPr>
          <w:rFonts w:hint="cs"/>
          <w:rtl/>
        </w:rPr>
        <w:t>شمال</w:t>
      </w:r>
      <w:r w:rsidRPr="0025250D">
        <w:rPr>
          <w:rtl/>
        </w:rPr>
        <w:t xml:space="preserve"> </w:t>
      </w:r>
      <w:r w:rsidRPr="0025250D">
        <w:rPr>
          <w:rFonts w:hint="cs"/>
          <w:rtl/>
        </w:rPr>
        <w:t xml:space="preserve">اروپا به آینده سیاسی و اداری در جوامع </w:t>
      </w:r>
      <w:r w:rsidR="00B0171C" w:rsidRPr="0025250D">
        <w:rPr>
          <w:rFonts w:hint="cs"/>
          <w:rtl/>
        </w:rPr>
        <w:t xml:space="preserve"> سرمایه‌دار</w:t>
      </w:r>
      <w:r w:rsidRPr="0025250D">
        <w:rPr>
          <w:rFonts w:hint="cs"/>
          <w:rtl/>
        </w:rPr>
        <w:t xml:space="preserve"> </w:t>
      </w:r>
      <w:r w:rsidR="00EE4B64" w:rsidRPr="0025250D">
        <w:rPr>
          <w:rFonts w:hint="cs"/>
          <w:rtl/>
        </w:rPr>
        <w:t>مردم‌سالار</w:t>
      </w:r>
      <w:r w:rsidRPr="0025250D">
        <w:rPr>
          <w:vertAlign w:val="superscript"/>
          <w:rtl/>
        </w:rPr>
        <w:footnoteReference w:id="832"/>
      </w:r>
      <w:r w:rsidRPr="0025250D">
        <w:rPr>
          <w:rFonts w:hint="cs"/>
          <w:rtl/>
        </w:rPr>
        <w:t xml:space="preserve"> اشاره دارند. شهر‌هایی مانند </w:t>
      </w:r>
      <w:r w:rsidRPr="0025250D">
        <w:rPr>
          <w:rtl/>
        </w:rPr>
        <w:t>شنژن</w:t>
      </w:r>
      <w:r w:rsidRPr="0025250D">
        <w:rPr>
          <w:vertAlign w:val="superscript"/>
          <w:rtl/>
        </w:rPr>
        <w:footnoteReference w:id="833"/>
      </w:r>
      <w:r w:rsidRPr="0025250D">
        <w:rPr>
          <w:rFonts w:hint="cs"/>
          <w:rtl/>
        </w:rPr>
        <w:t xml:space="preserve"> و </w:t>
      </w:r>
      <w:r w:rsidRPr="0025250D">
        <w:rPr>
          <w:rtl/>
        </w:rPr>
        <w:t>س</w:t>
      </w:r>
      <w:r w:rsidRPr="0025250D">
        <w:rPr>
          <w:rFonts w:hint="cs"/>
          <w:rtl/>
        </w:rPr>
        <w:t>ی</w:t>
      </w:r>
      <w:r w:rsidRPr="0025250D">
        <w:rPr>
          <w:rFonts w:hint="eastAsia"/>
          <w:rtl/>
        </w:rPr>
        <w:t>ل</w:t>
      </w:r>
      <w:r w:rsidRPr="0025250D">
        <w:rPr>
          <w:rFonts w:hint="cs"/>
          <w:rtl/>
        </w:rPr>
        <w:t>ی</w:t>
      </w:r>
      <w:r w:rsidRPr="0025250D">
        <w:rPr>
          <w:rFonts w:hint="eastAsia"/>
          <w:rtl/>
        </w:rPr>
        <w:t>کون</w:t>
      </w:r>
      <w:r w:rsidRPr="0025250D">
        <w:rPr>
          <w:rtl/>
        </w:rPr>
        <w:t xml:space="preserve"> ول</w:t>
      </w:r>
      <w:r w:rsidRPr="0025250D">
        <w:rPr>
          <w:rFonts w:hint="cs"/>
          <w:rtl/>
        </w:rPr>
        <w:t>ی</w:t>
      </w:r>
      <w:r w:rsidRPr="0025250D">
        <w:rPr>
          <w:vertAlign w:val="superscript"/>
          <w:rtl/>
        </w:rPr>
        <w:footnoteReference w:id="834"/>
      </w:r>
      <w:r w:rsidRPr="0025250D">
        <w:rPr>
          <w:rFonts w:hint="cs"/>
          <w:rtl/>
        </w:rPr>
        <w:t xml:space="preserve"> به آینده کارآفرینی و نوآوری </w:t>
      </w:r>
      <w:r w:rsidR="007A53FD" w:rsidRPr="0025250D">
        <w:rPr>
          <w:rFonts w:hint="cs"/>
          <w:rtl/>
        </w:rPr>
        <w:t>فناوری</w:t>
      </w:r>
      <w:r w:rsidRPr="0025250D">
        <w:rPr>
          <w:rFonts w:hint="cs"/>
          <w:rtl/>
        </w:rPr>
        <w:t xml:space="preserve"> اشاره دارند. امروزه شهر‌ها و مناطقی مانند سنگاپور، اسلو، آمستردام، پکن، نیویورک، آستین، بوستون، لاگوس، بوینس آیرس، سیدنی، ژوهانسبورگ</w:t>
      </w:r>
      <w:r w:rsidRPr="0025250D">
        <w:rPr>
          <w:vertAlign w:val="superscript"/>
          <w:rtl/>
        </w:rPr>
        <w:footnoteReference w:id="835"/>
      </w:r>
      <w:r w:rsidRPr="0025250D">
        <w:rPr>
          <w:rFonts w:hint="cs"/>
          <w:rtl/>
        </w:rPr>
        <w:t xml:space="preserve">، تنها برخی از محیط‌های </w:t>
      </w:r>
      <w:r w:rsidR="00303635" w:rsidRPr="0025250D">
        <w:rPr>
          <w:rtl/>
        </w:rPr>
        <w:t>چابک‌بین</w:t>
      </w:r>
      <w:r w:rsidRPr="0025250D">
        <w:rPr>
          <w:rFonts w:hint="cs"/>
          <w:rtl/>
        </w:rPr>
        <w:t xml:space="preserve"> بهتر شناخت شده برای آینده‌های شهری و اجتماعی متنوع هستند. خبر خوب این است </w:t>
      </w:r>
      <w:r w:rsidR="0020589F" w:rsidRPr="0025250D">
        <w:rPr>
          <w:rtl/>
        </w:rPr>
        <w:t>که</w:t>
      </w:r>
      <w:r w:rsidRPr="0025250D">
        <w:rPr>
          <w:rFonts w:hint="cs"/>
          <w:rtl/>
        </w:rPr>
        <w:t xml:space="preserve"> بر خلاف گذشته،</w:t>
      </w:r>
      <w:r w:rsidRPr="0025250D">
        <w:rPr>
          <w:rFonts w:hint="cs"/>
        </w:rPr>
        <w:t>‌</w:t>
      </w:r>
      <w:r w:rsidRPr="0025250D">
        <w:rPr>
          <w:rFonts w:hint="cs"/>
          <w:rtl/>
        </w:rPr>
        <w:t xml:space="preserve"> می‌توانیم از پلتفرم‌های اطلاعات دیجیتال برای </w:t>
      </w:r>
      <w:r w:rsidR="00B124DE" w:rsidRPr="0025250D">
        <w:rPr>
          <w:rFonts w:hint="cs"/>
          <w:rtl/>
        </w:rPr>
        <w:t>جمع‌آوری</w:t>
      </w:r>
      <w:r w:rsidRPr="0025250D">
        <w:rPr>
          <w:rFonts w:hint="cs"/>
          <w:rtl/>
        </w:rPr>
        <w:t xml:space="preserve">، آموزش، نقد و بهره بردن از </w:t>
      </w:r>
      <w:r w:rsidRPr="0025250D">
        <w:rPr>
          <w:rtl/>
        </w:rPr>
        <w:t>آینده‌نگاری</w:t>
      </w:r>
      <w:r w:rsidRPr="0025250D">
        <w:rPr>
          <w:rFonts w:hint="cs"/>
          <w:rtl/>
        </w:rPr>
        <w:t xml:space="preserve"> این محیط‌ها و متفکرین، بسیار ساده‌تر از هر زمان دیگری در گذشته استفاده کنیم.</w:t>
      </w:r>
    </w:p>
    <w:p w14:paraId="6C71472F" w14:textId="68B7A4AE" w:rsidR="0020732A" w:rsidRPr="0025250D" w:rsidRDefault="0020732A" w:rsidP="0020732A">
      <w:pPr>
        <w:rPr>
          <w:rtl/>
        </w:rPr>
      </w:pPr>
      <w:r w:rsidRPr="0025250D">
        <w:rPr>
          <w:rFonts w:hint="cs"/>
          <w:rtl/>
        </w:rPr>
        <w:t xml:space="preserve">مشکل فرهنگ انسانی این است که حافظه ما برای به یادآوردن </w:t>
      </w:r>
      <w:r w:rsidR="00B56611" w:rsidRPr="0025250D">
        <w:rPr>
          <w:rFonts w:hint="cs"/>
          <w:rtl/>
        </w:rPr>
        <w:t>چشم‌انداز</w:t>
      </w:r>
      <w:r w:rsidRPr="0025250D">
        <w:rPr>
          <w:rFonts w:hint="cs"/>
          <w:rtl/>
        </w:rPr>
        <w:t xml:space="preserve">گرا‌هایی که </w:t>
      </w:r>
      <w:r w:rsidR="006335B8" w:rsidRPr="0025250D">
        <w:rPr>
          <w:rtl/>
        </w:rPr>
        <w:t>«</w:t>
      </w:r>
      <w:r w:rsidRPr="0025250D">
        <w:rPr>
          <w:rFonts w:hint="cs"/>
          <w:rtl/>
        </w:rPr>
        <w:t>ابتدا به آینده رسیدند</w:t>
      </w:r>
      <w:r w:rsidRPr="0025250D">
        <w:rPr>
          <w:vertAlign w:val="superscript"/>
          <w:rtl/>
        </w:rPr>
        <w:footnoteReference w:id="836"/>
      </w:r>
      <w:r w:rsidR="006335B8" w:rsidRPr="0025250D">
        <w:rPr>
          <w:rtl/>
        </w:rPr>
        <w:t>»</w:t>
      </w:r>
      <w:r w:rsidRPr="0025250D">
        <w:rPr>
          <w:rFonts w:hint="cs"/>
          <w:rtl/>
        </w:rPr>
        <w:t xml:space="preserve"> بسیار ضعیف بوده است. به این دلیل که بسیاری از ما </w:t>
      </w:r>
      <w:r w:rsidR="00EE4B64" w:rsidRPr="0025250D">
        <w:rPr>
          <w:rFonts w:hint="cs"/>
          <w:rtl/>
        </w:rPr>
        <w:t>چشم‌اندازسازی</w:t>
      </w:r>
      <w:r w:rsidRPr="0025250D">
        <w:rPr>
          <w:rFonts w:hint="cs"/>
          <w:rtl/>
        </w:rPr>
        <w:t xml:space="preserve"> را دوست نداریم، حداقل به شکل </w:t>
      </w:r>
      <w:r w:rsidR="00D92F6E" w:rsidRPr="0025250D">
        <w:rPr>
          <w:rFonts w:hint="cs"/>
          <w:rtl/>
        </w:rPr>
        <w:t>پیش‌بین</w:t>
      </w:r>
      <w:r w:rsidRPr="0025250D">
        <w:rPr>
          <w:rFonts w:hint="cs"/>
          <w:rtl/>
        </w:rPr>
        <w:t>انه، فرض</w:t>
      </w:r>
      <w:r w:rsidRPr="0025250D">
        <w:rPr>
          <w:rFonts w:hint="cs"/>
        </w:rPr>
        <w:t>‌</w:t>
      </w:r>
      <w:r w:rsidRPr="0025250D">
        <w:rPr>
          <w:rFonts w:hint="cs"/>
          <w:rtl/>
        </w:rPr>
        <w:t xml:space="preserve"> می</w:t>
      </w:r>
      <w:r w:rsidR="00185F3E" w:rsidRPr="0025250D">
        <w:rPr>
          <w:rFonts w:hint="cs"/>
          <w:rtl/>
        </w:rPr>
        <w:t>‌کنیم</w:t>
      </w:r>
      <w:r w:rsidRPr="0025250D">
        <w:rPr>
          <w:rFonts w:hint="cs"/>
          <w:rtl/>
        </w:rPr>
        <w:t xml:space="preserve"> که آن‌هایی که واقعا موارد مهم را درست بیان کرده‌اند تنها به‌صورت تصادفی این کار را کرده‌اند</w:t>
      </w:r>
      <w:r w:rsidR="008D6F97" w:rsidRPr="0025250D">
        <w:rPr>
          <w:rtl/>
        </w:rPr>
        <w:t xml:space="preserve">؛ </w:t>
      </w:r>
      <w:r w:rsidRPr="0025250D">
        <w:rPr>
          <w:rFonts w:hint="cs"/>
          <w:rtl/>
        </w:rPr>
        <w:t xml:space="preserve">اما اغلب اینطور </w:t>
      </w:r>
      <w:r w:rsidR="00185F3E" w:rsidRPr="0025250D">
        <w:rPr>
          <w:rFonts w:hint="cs"/>
          <w:rtl/>
        </w:rPr>
        <w:t>نیست</w:t>
      </w:r>
      <w:r w:rsidRPr="0025250D">
        <w:rPr>
          <w:rFonts w:hint="cs"/>
          <w:rtl/>
        </w:rPr>
        <w:t>. آن‌ها در جای درست</w:t>
      </w:r>
      <w:r w:rsidR="00185F3E" w:rsidRPr="0025250D">
        <w:rPr>
          <w:rFonts w:hint="cs"/>
          <w:rtl/>
        </w:rPr>
        <w:t xml:space="preserve"> قرار داشته‌اند</w:t>
      </w:r>
      <w:r w:rsidRPr="0025250D">
        <w:rPr>
          <w:rFonts w:hint="cs"/>
          <w:rtl/>
        </w:rPr>
        <w:t xml:space="preserve"> و درونداد‌های درستی</w:t>
      </w:r>
      <w:r w:rsidR="00185F3E" w:rsidRPr="0025250D">
        <w:rPr>
          <w:rFonts w:hint="cs"/>
          <w:rtl/>
        </w:rPr>
        <w:t xml:space="preserve"> داشته‌اند</w:t>
      </w:r>
      <w:r w:rsidRPr="0025250D">
        <w:rPr>
          <w:rFonts w:hint="cs"/>
          <w:rtl/>
        </w:rPr>
        <w:t xml:space="preserve"> تا بتوانند نتیجه</w:t>
      </w:r>
      <w:r w:rsidR="00185F3E" w:rsidRPr="0025250D">
        <w:rPr>
          <w:rFonts w:hint="cs"/>
          <w:rtl/>
        </w:rPr>
        <w:t>‌</w:t>
      </w:r>
      <w:r w:rsidRPr="0025250D">
        <w:rPr>
          <w:rFonts w:hint="cs"/>
          <w:rtl/>
        </w:rPr>
        <w:t>گیری‌های درستی داشته باشند.</w:t>
      </w:r>
      <w:r w:rsidRPr="0025250D">
        <w:rPr>
          <w:rFonts w:hint="cs"/>
        </w:rPr>
        <w:t>‌</w:t>
      </w:r>
      <w:r w:rsidRPr="0025250D">
        <w:rPr>
          <w:rFonts w:hint="cs"/>
          <w:rtl/>
        </w:rPr>
        <w:t xml:space="preserve"> می‌توانیم آن‌ها و محیط</w:t>
      </w:r>
      <w:r w:rsidR="00185F3E" w:rsidRPr="0025250D">
        <w:rPr>
          <w:rFonts w:hint="cs"/>
          <w:rtl/>
        </w:rPr>
        <w:t>‌</w:t>
      </w:r>
      <w:r w:rsidRPr="0025250D">
        <w:rPr>
          <w:rFonts w:hint="cs"/>
          <w:rtl/>
        </w:rPr>
        <w:t xml:space="preserve">هایشان را مطالعه کرده و موفقیت آن‌ها را تکرار کنیم. خوشبختانه، به دلیل ابزارهای </w:t>
      </w:r>
      <w:r w:rsidRPr="0025250D">
        <w:rPr>
          <w:rtl/>
        </w:rPr>
        <w:t>آینده‌نگاری</w:t>
      </w:r>
      <w:r w:rsidRPr="0025250D">
        <w:rPr>
          <w:rFonts w:hint="cs"/>
          <w:rtl/>
        </w:rPr>
        <w:t xml:space="preserve"> دیجیتالی و فراوان جدید که مورد بحث قرار خواهیم داد، یافتن </w:t>
      </w:r>
      <w:r w:rsidR="00B56611" w:rsidRPr="0025250D">
        <w:rPr>
          <w:rFonts w:hint="cs"/>
          <w:rtl/>
        </w:rPr>
        <w:t>چشم‌انداز</w:t>
      </w:r>
      <w:r w:rsidRPr="0025250D">
        <w:rPr>
          <w:rFonts w:hint="cs"/>
          <w:rtl/>
        </w:rPr>
        <w:t>گرا‌هایی که به وضوح آنچه خواهد بود، آنچه</w:t>
      </w:r>
      <w:r w:rsidRPr="0025250D">
        <w:rPr>
          <w:rFonts w:hint="cs"/>
        </w:rPr>
        <w:t>‌</w:t>
      </w:r>
      <w:r w:rsidRPr="0025250D">
        <w:rPr>
          <w:rFonts w:hint="cs"/>
          <w:rtl/>
        </w:rPr>
        <w:t xml:space="preserve"> می‌تواند پیش بیاید، آنچه باید پیش بیاید و آنچه باید از آن جلوگیری شود را دیده اند، هر سال بهتر</w:t>
      </w:r>
      <w:r w:rsidRPr="0025250D">
        <w:rPr>
          <w:rFonts w:hint="cs"/>
        </w:rPr>
        <w:t>‌</w:t>
      </w:r>
      <w:r w:rsidRPr="0025250D">
        <w:rPr>
          <w:rFonts w:hint="cs"/>
          <w:rtl/>
        </w:rPr>
        <w:t xml:space="preserve"> می‌شود. ما </w:t>
      </w:r>
      <w:r w:rsidR="00B56611" w:rsidRPr="0025250D">
        <w:rPr>
          <w:rFonts w:hint="cs"/>
          <w:rtl/>
        </w:rPr>
        <w:t>چشم‌انداز</w:t>
      </w:r>
      <w:r w:rsidRPr="0025250D">
        <w:rPr>
          <w:rFonts w:hint="cs"/>
          <w:rtl/>
        </w:rPr>
        <w:t xml:space="preserve">‌های بوش، </w:t>
      </w:r>
      <w:r w:rsidRPr="0025250D">
        <w:rPr>
          <w:rtl/>
        </w:rPr>
        <w:t>جنک</w:t>
      </w:r>
      <w:r w:rsidRPr="0025250D">
        <w:rPr>
          <w:rFonts w:hint="cs"/>
          <w:rtl/>
        </w:rPr>
        <w:t>ی</w:t>
      </w:r>
      <w:r w:rsidRPr="0025250D">
        <w:rPr>
          <w:rFonts w:hint="eastAsia"/>
          <w:rtl/>
        </w:rPr>
        <w:t>نز</w:t>
      </w:r>
      <w:r w:rsidRPr="0025250D">
        <w:rPr>
          <w:rFonts w:hint="cs"/>
          <w:rtl/>
        </w:rPr>
        <w:t xml:space="preserve"> و </w:t>
      </w:r>
      <w:r w:rsidRPr="0025250D">
        <w:rPr>
          <w:rtl/>
        </w:rPr>
        <w:t>نلسون</w:t>
      </w:r>
      <w:r w:rsidRPr="0025250D">
        <w:rPr>
          <w:rFonts w:hint="cs"/>
          <w:rtl/>
        </w:rPr>
        <w:t xml:space="preserve"> را از حافظه تاریخی مان استخراج</w:t>
      </w:r>
      <w:r w:rsidRPr="0025250D">
        <w:rPr>
          <w:rFonts w:hint="cs"/>
        </w:rPr>
        <w:t>‌</w:t>
      </w:r>
      <w:r w:rsidRPr="0025250D">
        <w:rPr>
          <w:rFonts w:hint="cs"/>
          <w:rtl/>
        </w:rPr>
        <w:t xml:space="preserve"> می‌کنیم و داستان‌های عالی آن‌ها را به خوبی تعریف</w:t>
      </w:r>
      <w:r w:rsidRPr="0025250D">
        <w:rPr>
          <w:rFonts w:hint="cs"/>
        </w:rPr>
        <w:t>‌</w:t>
      </w:r>
      <w:r w:rsidRPr="0025250D">
        <w:rPr>
          <w:rFonts w:hint="cs"/>
          <w:rtl/>
        </w:rPr>
        <w:t xml:space="preserve"> می‌کنیم. از دید ما، فرهنگ ما به بهترین شکل از سوگیری خود آسیب</w:t>
      </w:r>
      <w:r w:rsidR="00185F3E" w:rsidRPr="0025250D">
        <w:rPr>
          <w:rFonts w:hint="cs"/>
          <w:rtl/>
        </w:rPr>
        <w:t>‌</w:t>
      </w:r>
      <w:r w:rsidRPr="0025250D">
        <w:rPr>
          <w:rFonts w:hint="cs"/>
          <w:rtl/>
        </w:rPr>
        <w:t>زننده</w:t>
      </w:r>
      <w:r w:rsidR="00185F3E" w:rsidRPr="0025250D">
        <w:rPr>
          <w:rFonts w:hint="cs"/>
          <w:rtl/>
        </w:rPr>
        <w:t>‌</w:t>
      </w:r>
      <w:r w:rsidRPr="0025250D">
        <w:rPr>
          <w:rFonts w:hint="cs"/>
          <w:rtl/>
        </w:rPr>
        <w:t>ای</w:t>
      </w:r>
      <w:r w:rsidRPr="0025250D">
        <w:rPr>
          <w:vertAlign w:val="superscript"/>
          <w:rtl/>
        </w:rPr>
        <w:footnoteReference w:id="837"/>
      </w:r>
      <w:r w:rsidRPr="0025250D">
        <w:rPr>
          <w:rFonts w:hint="cs"/>
          <w:rtl/>
        </w:rPr>
        <w:t xml:space="preserve"> مبنی بر این‌که </w:t>
      </w:r>
      <w:r w:rsidR="006335B8" w:rsidRPr="0025250D">
        <w:rPr>
          <w:rtl/>
        </w:rPr>
        <w:t>«</w:t>
      </w:r>
      <w:r w:rsidR="00D92F6E" w:rsidRPr="0025250D">
        <w:rPr>
          <w:rFonts w:hint="cs"/>
          <w:rtl/>
        </w:rPr>
        <w:t>پیش‌بین</w:t>
      </w:r>
      <w:r w:rsidRPr="0025250D">
        <w:rPr>
          <w:rFonts w:hint="cs"/>
          <w:rtl/>
        </w:rPr>
        <w:t>ی آینده جواب</w:t>
      </w:r>
      <w:r w:rsidR="00EE4B64" w:rsidRPr="0025250D">
        <w:rPr>
          <w:rFonts w:hint="cs"/>
          <w:rtl/>
        </w:rPr>
        <w:t xml:space="preserve"> نمی‌</w:t>
      </w:r>
      <w:r w:rsidRPr="0025250D">
        <w:rPr>
          <w:rFonts w:hint="cs"/>
          <w:rtl/>
        </w:rPr>
        <w:t>دهد</w:t>
      </w:r>
      <w:r w:rsidR="006335B8" w:rsidRPr="0025250D">
        <w:rPr>
          <w:rtl/>
        </w:rPr>
        <w:t>»</w:t>
      </w:r>
      <w:r w:rsidRPr="0025250D">
        <w:rPr>
          <w:rFonts w:hint="cs"/>
          <w:rtl/>
        </w:rPr>
        <w:t xml:space="preserve"> رها خواهد شد. بگذارید بار دیگر بگوییم که: تاریخ اهمیت دارد!</w:t>
      </w:r>
    </w:p>
    <w:p w14:paraId="50C4C112" w14:textId="59503C77" w:rsidR="0020732A" w:rsidRPr="0025250D" w:rsidRDefault="0020732A" w:rsidP="009E77BD">
      <w:pPr>
        <w:pStyle w:val="Heading2"/>
        <w:rPr>
          <w:rtl/>
        </w:rPr>
      </w:pPr>
      <w:bookmarkStart w:id="23" w:name="_Toc127831288"/>
      <w:r w:rsidRPr="0025250D">
        <w:rPr>
          <w:rtl/>
        </w:rPr>
        <w:lastRenderedPageBreak/>
        <w:t>آینده‌نگاری</w:t>
      </w:r>
      <w:r w:rsidR="008D6F97" w:rsidRPr="0025250D">
        <w:rPr>
          <w:rtl/>
        </w:rPr>
        <w:t xml:space="preserve"> </w:t>
      </w:r>
      <w:r w:rsidRPr="0025250D">
        <w:rPr>
          <w:rFonts w:hint="cs"/>
          <w:rtl/>
        </w:rPr>
        <w:t xml:space="preserve">اهمیت دارد! </w:t>
      </w:r>
      <w:r w:rsidRPr="0025250D">
        <w:rPr>
          <w:rFonts w:ascii="Times New Roman" w:hAnsi="Times New Roman" w:cs="Times New Roman" w:hint="cs"/>
          <w:rtl/>
        </w:rPr>
        <w:t>–</w:t>
      </w:r>
      <w:r w:rsidRPr="0025250D">
        <w:rPr>
          <w:rFonts w:hint="cs"/>
          <w:rtl/>
        </w:rPr>
        <w:t xml:space="preserve"> دیدن فرصت‌های پیشرفت از دست رفته (</w:t>
      </w:r>
      <w:r w:rsidRPr="0025250D">
        <w:t>LPO</w:t>
      </w:r>
      <w:r w:rsidRPr="0025250D">
        <w:rPr>
          <w:rFonts w:hint="cs"/>
          <w:rtl/>
        </w:rPr>
        <w:t xml:space="preserve"> ها)</w:t>
      </w:r>
      <w:bookmarkEnd w:id="23"/>
    </w:p>
    <w:p w14:paraId="272FB811" w14:textId="6D6DAA51" w:rsidR="0020732A" w:rsidRPr="0025250D" w:rsidRDefault="00BB406C" w:rsidP="0020732A">
      <w:pPr>
        <w:rPr>
          <w:rtl/>
        </w:rPr>
      </w:pPr>
      <w:r w:rsidRPr="0025250D">
        <w:rPr>
          <w:rFonts w:hint="cs"/>
          <w:rtl/>
        </w:rPr>
        <w:t>خلاف‌آمدی</w:t>
      </w:r>
      <w:r w:rsidR="0020732A" w:rsidRPr="0025250D">
        <w:rPr>
          <w:rFonts w:hint="cs"/>
          <w:rtl/>
        </w:rPr>
        <w:t xml:space="preserve"> ها</w:t>
      </w:r>
      <w:r w:rsidR="0020732A" w:rsidRPr="0025250D">
        <w:rPr>
          <w:vertAlign w:val="superscript"/>
          <w:rtl/>
        </w:rPr>
        <w:footnoteReference w:id="838"/>
      </w:r>
      <w:r w:rsidR="0020732A" w:rsidRPr="0025250D">
        <w:rPr>
          <w:rFonts w:hint="cs"/>
          <w:rtl/>
        </w:rPr>
        <w:t xml:space="preserve"> در امور انسانی همچنین تاریخ</w:t>
      </w:r>
      <w:r w:rsidR="0020732A" w:rsidRPr="0025250D">
        <w:rPr>
          <w:rtl/>
        </w:rPr>
        <w:t xml:space="preserve"> </w:t>
      </w:r>
      <w:r w:rsidR="00127288" w:rsidRPr="0025250D">
        <w:rPr>
          <w:rFonts w:hint="cs"/>
          <w:rtl/>
        </w:rPr>
        <w:t>بدیل</w:t>
      </w:r>
      <w:r w:rsidR="0020732A" w:rsidRPr="0025250D">
        <w:rPr>
          <w:vertAlign w:val="superscript"/>
          <w:rtl/>
        </w:rPr>
        <w:footnoteReference w:id="839"/>
      </w:r>
      <w:r w:rsidR="0020732A" w:rsidRPr="0025250D">
        <w:rPr>
          <w:rFonts w:hint="cs"/>
          <w:rtl/>
        </w:rPr>
        <w:t xml:space="preserve"> نامیده</w:t>
      </w:r>
      <w:r w:rsidR="0020732A" w:rsidRPr="0025250D">
        <w:rPr>
          <w:rFonts w:hint="cs"/>
        </w:rPr>
        <w:t>‌</w:t>
      </w:r>
      <w:r w:rsidR="0020732A" w:rsidRPr="0025250D">
        <w:rPr>
          <w:rFonts w:hint="cs"/>
          <w:rtl/>
        </w:rPr>
        <w:t xml:space="preserve"> می‌شوند. آن‌ها سه نوع دارند:</w:t>
      </w:r>
    </w:p>
    <w:p w14:paraId="6CB5268F" w14:textId="09C36A1C" w:rsidR="0020732A" w:rsidRPr="0025250D" w:rsidRDefault="0020732A" w:rsidP="0020732A">
      <w:pPr>
        <w:rPr>
          <w:rtl/>
        </w:rPr>
      </w:pPr>
      <w:r w:rsidRPr="0025250D">
        <w:rPr>
          <w:rFonts w:hint="cs"/>
          <w:rtl/>
        </w:rPr>
        <w:t>1. واپس‌رو</w:t>
      </w:r>
      <w:r w:rsidRPr="0025250D">
        <w:rPr>
          <w:vertAlign w:val="superscript"/>
          <w:rtl/>
        </w:rPr>
        <w:footnoteReference w:id="840"/>
      </w:r>
      <w:r w:rsidRPr="0025250D">
        <w:rPr>
          <w:rFonts w:hint="cs"/>
          <w:rtl/>
        </w:rPr>
        <w:t xml:space="preserve"> </w:t>
      </w:r>
      <w:r w:rsidRPr="0025250D">
        <w:rPr>
          <w:rFonts w:cs="Times New Roman" w:hint="cs"/>
          <w:rtl/>
        </w:rPr>
        <w:t>–</w:t>
      </w:r>
      <w:r w:rsidRPr="0025250D">
        <w:rPr>
          <w:rFonts w:hint="cs"/>
          <w:rtl/>
        </w:rPr>
        <w:t xml:space="preserve"> مثال: پیروزی‌های هیتلر در جنگ جهانی دوم یا دیگر رویداد‌های گذشته که به یک </w:t>
      </w:r>
      <w:r w:rsidR="0060055A" w:rsidRPr="0025250D">
        <w:rPr>
          <w:rFonts w:hint="cs"/>
          <w:rtl/>
        </w:rPr>
        <w:t>ویران‌شهر</w:t>
      </w:r>
      <w:r w:rsidRPr="0025250D">
        <w:rPr>
          <w:rFonts w:hint="cs"/>
          <w:rtl/>
        </w:rPr>
        <w:t xml:space="preserve"> </w:t>
      </w:r>
      <w:r w:rsidR="00127288" w:rsidRPr="0025250D">
        <w:rPr>
          <w:rFonts w:hint="cs"/>
          <w:rtl/>
        </w:rPr>
        <w:t>بدیل</w:t>
      </w:r>
      <w:r w:rsidRPr="0025250D">
        <w:rPr>
          <w:rFonts w:hint="cs"/>
          <w:rtl/>
        </w:rPr>
        <w:t xml:space="preserve"> در زمان حال منجر</w:t>
      </w:r>
      <w:r w:rsidRPr="0025250D">
        <w:rPr>
          <w:rFonts w:hint="cs"/>
        </w:rPr>
        <w:t>‌</w:t>
      </w:r>
      <w:r w:rsidRPr="0025250D">
        <w:rPr>
          <w:rFonts w:hint="cs"/>
          <w:rtl/>
        </w:rPr>
        <w:t xml:space="preserve"> می‌شدند، مانند</w:t>
      </w:r>
      <w:r w:rsidR="008D6F97" w:rsidRPr="0025250D">
        <w:rPr>
          <w:rtl/>
        </w:rPr>
        <w:t xml:space="preserve"> </w:t>
      </w:r>
      <w:r w:rsidRPr="0025250D">
        <w:rPr>
          <w:rFonts w:hint="cs"/>
          <w:rtl/>
        </w:rPr>
        <w:t>مرد در قلعه بلند</w:t>
      </w:r>
      <w:r w:rsidRPr="0025250D">
        <w:rPr>
          <w:vertAlign w:val="superscript"/>
          <w:rtl/>
        </w:rPr>
        <w:footnoteReference w:id="841"/>
      </w:r>
      <w:r w:rsidRPr="0025250D">
        <w:rPr>
          <w:rFonts w:hint="cs"/>
          <w:rtl/>
        </w:rPr>
        <w:t xml:space="preserve">، اثر </w:t>
      </w:r>
      <w:r w:rsidRPr="0025250D">
        <w:rPr>
          <w:rtl/>
        </w:rPr>
        <w:t>ف</w:t>
      </w:r>
      <w:r w:rsidRPr="0025250D">
        <w:rPr>
          <w:rFonts w:hint="cs"/>
          <w:rtl/>
        </w:rPr>
        <w:t>ی</w:t>
      </w:r>
      <w:r w:rsidRPr="0025250D">
        <w:rPr>
          <w:rFonts w:hint="eastAsia"/>
          <w:rtl/>
        </w:rPr>
        <w:t>ل</w:t>
      </w:r>
      <w:r w:rsidRPr="0025250D">
        <w:rPr>
          <w:rFonts w:hint="cs"/>
          <w:rtl/>
        </w:rPr>
        <w:t>ی</w:t>
      </w:r>
      <w:r w:rsidRPr="0025250D">
        <w:rPr>
          <w:rFonts w:hint="eastAsia"/>
          <w:rtl/>
        </w:rPr>
        <w:t>پ</w:t>
      </w:r>
      <w:r w:rsidRPr="0025250D">
        <w:rPr>
          <w:rtl/>
        </w:rPr>
        <w:t xml:space="preserve"> د</w:t>
      </w:r>
      <w:r w:rsidRPr="0025250D">
        <w:rPr>
          <w:rFonts w:hint="cs"/>
          <w:rtl/>
        </w:rPr>
        <w:t>ی</w:t>
      </w:r>
      <w:r w:rsidRPr="0025250D">
        <w:rPr>
          <w:rFonts w:hint="eastAsia"/>
          <w:rtl/>
        </w:rPr>
        <w:t>ک</w:t>
      </w:r>
      <w:r w:rsidRPr="0025250D">
        <w:rPr>
          <w:vertAlign w:val="superscript"/>
          <w:rtl/>
        </w:rPr>
        <w:footnoteReference w:id="842"/>
      </w:r>
      <w:r w:rsidRPr="0025250D">
        <w:rPr>
          <w:rFonts w:hint="cs"/>
          <w:rtl/>
        </w:rPr>
        <w:t xml:space="preserve"> در سال 1962/2015.</w:t>
      </w:r>
    </w:p>
    <w:p w14:paraId="7C95399A" w14:textId="54634AF0" w:rsidR="0020732A" w:rsidRPr="0025250D" w:rsidRDefault="0020732A" w:rsidP="0020732A">
      <w:pPr>
        <w:rPr>
          <w:rtl/>
        </w:rPr>
      </w:pPr>
      <w:r w:rsidRPr="0025250D">
        <w:rPr>
          <w:rFonts w:hint="cs"/>
          <w:rtl/>
        </w:rPr>
        <w:t xml:space="preserve">2. </w:t>
      </w:r>
      <w:r w:rsidR="00127288" w:rsidRPr="0025250D">
        <w:rPr>
          <w:rFonts w:hint="cs"/>
          <w:rtl/>
        </w:rPr>
        <w:t>بدیل</w:t>
      </w:r>
      <w:r w:rsidRPr="0025250D">
        <w:rPr>
          <w:vertAlign w:val="superscript"/>
          <w:rtl/>
        </w:rPr>
        <w:footnoteReference w:id="843"/>
      </w:r>
      <w:r w:rsidRPr="0025250D">
        <w:rPr>
          <w:rFonts w:hint="cs"/>
          <w:rtl/>
        </w:rPr>
        <w:t xml:space="preserve"> </w:t>
      </w:r>
      <w:r w:rsidRPr="0025250D">
        <w:rPr>
          <w:rFonts w:cs="Times New Roman" w:hint="cs"/>
          <w:rtl/>
        </w:rPr>
        <w:t>–</w:t>
      </w:r>
      <w:r w:rsidRPr="0025250D">
        <w:rPr>
          <w:rFonts w:hint="cs"/>
          <w:rtl/>
        </w:rPr>
        <w:t xml:space="preserve"> مثال ها: بسیاری از جنگ‌ها، تصمیمات و رقابت‌ها در تاریخ، به زمان‌های حال متفاوتی منجر</w:t>
      </w:r>
      <w:r w:rsidRPr="0025250D">
        <w:rPr>
          <w:rFonts w:hint="cs"/>
        </w:rPr>
        <w:t>‌</w:t>
      </w:r>
      <w:r w:rsidRPr="0025250D">
        <w:rPr>
          <w:rFonts w:hint="cs"/>
          <w:rtl/>
        </w:rPr>
        <w:t xml:space="preserve"> می‌شدند، اما نه لزوما به دنیایی که ما به‌صورت هدفمند بهتر یا بد‌تر توصیف کنیم.</w:t>
      </w:r>
    </w:p>
    <w:p w14:paraId="03CFBA51" w14:textId="6CF19D64" w:rsidR="0020732A" w:rsidRPr="0025250D" w:rsidRDefault="0020732A" w:rsidP="0020732A">
      <w:pPr>
        <w:rPr>
          <w:rtl/>
        </w:rPr>
      </w:pPr>
      <w:r w:rsidRPr="0025250D">
        <w:rPr>
          <w:rFonts w:hint="cs"/>
          <w:rtl/>
        </w:rPr>
        <w:t>3. پیش رونده</w:t>
      </w:r>
      <w:r w:rsidRPr="0025250D">
        <w:rPr>
          <w:vertAlign w:val="superscript"/>
          <w:rtl/>
        </w:rPr>
        <w:footnoteReference w:id="844"/>
      </w:r>
      <w:r w:rsidRPr="0025250D">
        <w:rPr>
          <w:rFonts w:hint="cs"/>
          <w:rtl/>
        </w:rPr>
        <w:t xml:space="preserve"> </w:t>
      </w:r>
      <w:r w:rsidRPr="0025250D">
        <w:rPr>
          <w:rFonts w:cs="Times New Roman" w:hint="cs"/>
          <w:rtl/>
        </w:rPr>
        <w:t>–</w:t>
      </w:r>
      <w:r w:rsidRPr="0025250D">
        <w:rPr>
          <w:rFonts w:hint="cs"/>
          <w:rtl/>
        </w:rPr>
        <w:t xml:space="preserve"> تعریف: رویداد‌های </w:t>
      </w:r>
      <w:r w:rsidR="00923DDB" w:rsidRPr="0025250D">
        <w:rPr>
          <w:rFonts w:hint="cs"/>
          <w:rtl/>
        </w:rPr>
        <w:t>باورپذیر</w:t>
      </w:r>
      <w:r w:rsidRPr="0025250D">
        <w:rPr>
          <w:rFonts w:hint="cs"/>
          <w:rtl/>
        </w:rPr>
        <w:t xml:space="preserve"> گذشته که اگر رخ داده بودند</w:t>
      </w:r>
      <w:r w:rsidRPr="0025250D">
        <w:rPr>
          <w:rFonts w:hint="cs"/>
        </w:rPr>
        <w:t>‌</w:t>
      </w:r>
      <w:r w:rsidRPr="0025250D">
        <w:rPr>
          <w:rFonts w:hint="cs"/>
          <w:rtl/>
        </w:rPr>
        <w:t xml:space="preserve"> می‌توانستند به دنیایی منجر شوند که بیش‌تر ما به‌عنوان یک زمان حال بهتر توصیف</w:t>
      </w:r>
      <w:r w:rsidRPr="0025250D">
        <w:rPr>
          <w:rFonts w:hint="cs"/>
        </w:rPr>
        <w:t>‌</w:t>
      </w:r>
      <w:r w:rsidRPr="0025250D">
        <w:rPr>
          <w:rFonts w:hint="cs"/>
          <w:rtl/>
        </w:rPr>
        <w:t xml:space="preserve"> می‌کنیم.</w:t>
      </w:r>
    </w:p>
    <w:p w14:paraId="532B6228" w14:textId="2F461108" w:rsidR="0020732A" w:rsidRPr="0025250D" w:rsidRDefault="0020732A" w:rsidP="006335B8">
      <w:pPr>
        <w:rPr>
          <w:rtl/>
        </w:rPr>
      </w:pPr>
      <w:r w:rsidRPr="0025250D">
        <w:rPr>
          <w:rFonts w:hint="cs"/>
          <w:rtl/>
        </w:rPr>
        <w:t xml:space="preserve">ما نامی دیگر و توصیف کننده‌تر را برای </w:t>
      </w:r>
      <w:r w:rsidR="00BB406C" w:rsidRPr="0025250D">
        <w:rPr>
          <w:rFonts w:hint="cs"/>
          <w:rtl/>
        </w:rPr>
        <w:t>خلاف‌آمدی</w:t>
      </w:r>
      <w:r w:rsidRPr="0025250D">
        <w:rPr>
          <w:rFonts w:hint="cs"/>
          <w:rtl/>
        </w:rPr>
        <w:t>‌های پیش رونده در نظر</w:t>
      </w:r>
      <w:r w:rsidRPr="0025250D">
        <w:rPr>
          <w:rFonts w:hint="cs"/>
        </w:rPr>
        <w:t>‌</w:t>
      </w:r>
      <w:r w:rsidRPr="0025250D">
        <w:rPr>
          <w:rFonts w:hint="cs"/>
          <w:rtl/>
        </w:rPr>
        <w:t xml:space="preserve"> می‌گیریم: فرصت‌های پیشرفت از دست رفته (</w:t>
      </w:r>
      <w:r w:rsidRPr="0025250D">
        <w:t>LPO</w:t>
      </w:r>
      <w:r w:rsidRPr="0025250D">
        <w:rPr>
          <w:rFonts w:hint="cs"/>
          <w:rtl/>
        </w:rPr>
        <w:t xml:space="preserve"> ها</w:t>
      </w:r>
      <w:r w:rsidR="006335B8" w:rsidRPr="0025250D">
        <w:rPr>
          <w:rFonts w:hint="cs"/>
          <w:rtl/>
        </w:rPr>
        <w:t>)</w:t>
      </w:r>
      <w:r w:rsidRPr="0025250D">
        <w:rPr>
          <w:rFonts w:hint="cs"/>
          <w:rtl/>
        </w:rPr>
        <w:t xml:space="preserve">. ما از این نام و شکل مخفف آن یعنی </w:t>
      </w:r>
      <w:r w:rsidRPr="0025250D">
        <w:t>LPO</w:t>
      </w:r>
      <w:r w:rsidRPr="0025250D">
        <w:rPr>
          <w:rFonts w:hint="cs"/>
          <w:rtl/>
        </w:rPr>
        <w:t>‌ها در این کتاب استفاده</w:t>
      </w:r>
      <w:r w:rsidRPr="0025250D">
        <w:rPr>
          <w:rFonts w:hint="cs"/>
        </w:rPr>
        <w:t>‌</w:t>
      </w:r>
      <w:r w:rsidRPr="0025250D">
        <w:rPr>
          <w:rFonts w:hint="cs"/>
          <w:rtl/>
        </w:rPr>
        <w:t xml:space="preserve"> می‌کنیم. یافتن </w:t>
      </w:r>
      <w:r w:rsidRPr="0025250D">
        <w:t>LPO</w:t>
      </w:r>
      <w:r w:rsidRPr="0025250D">
        <w:rPr>
          <w:rFonts w:hint="cs"/>
          <w:rtl/>
        </w:rPr>
        <w:t>‌های عمده یک کار ارزشمند است. این کار نیازمند این است که از گذشته نگاری (یادگیری آنچه حقیقتا رخ داده و آنچه</w:t>
      </w:r>
      <w:r w:rsidRPr="0025250D">
        <w:rPr>
          <w:rFonts w:hint="cs"/>
        </w:rPr>
        <w:t>‌</w:t>
      </w:r>
      <w:r w:rsidRPr="0025250D">
        <w:rPr>
          <w:rFonts w:hint="cs"/>
          <w:rtl/>
        </w:rPr>
        <w:t xml:space="preserve"> می‌توانست به شکل متفاوتی رخ دهد)، بینش (دانش نسبت به شرایط فعلی) و </w:t>
      </w:r>
      <w:r w:rsidRPr="0025250D">
        <w:rPr>
          <w:rtl/>
        </w:rPr>
        <w:t>آینده‌نگاری</w:t>
      </w:r>
      <w:r w:rsidR="008D6F97" w:rsidRPr="0025250D">
        <w:rPr>
          <w:rtl/>
        </w:rPr>
        <w:t xml:space="preserve"> </w:t>
      </w:r>
      <w:r w:rsidRPr="0025250D">
        <w:rPr>
          <w:rFonts w:hint="cs"/>
          <w:rtl/>
        </w:rPr>
        <w:t>(احتمال این‌که انتخاب‌های گذشته</w:t>
      </w:r>
      <w:r w:rsidRPr="0025250D">
        <w:rPr>
          <w:rFonts w:hint="cs"/>
        </w:rPr>
        <w:t>‌</w:t>
      </w:r>
      <w:r w:rsidRPr="0025250D">
        <w:rPr>
          <w:rFonts w:hint="cs"/>
          <w:rtl/>
        </w:rPr>
        <w:t xml:space="preserve"> می‌توانستند دنیای بهتری ایجاد کنند) استفاده کنیم. هرگاه آن‌ها را بیابیم، </w:t>
      </w:r>
      <w:r w:rsidRPr="0025250D">
        <w:t>LPO</w:t>
      </w:r>
      <w:r w:rsidRPr="0025250D">
        <w:rPr>
          <w:rFonts w:hint="cs"/>
          <w:rtl/>
        </w:rPr>
        <w:t>‌ها بیان</w:t>
      </w:r>
      <w:r w:rsidRPr="0025250D">
        <w:rPr>
          <w:rFonts w:hint="cs"/>
        </w:rPr>
        <w:t>‌</w:t>
      </w:r>
      <w:r w:rsidRPr="0025250D">
        <w:rPr>
          <w:rFonts w:hint="cs"/>
          <w:rtl/>
        </w:rPr>
        <w:t xml:space="preserve"> می‌کنند که اگر </w:t>
      </w:r>
      <w:r w:rsidRPr="0025250D">
        <w:rPr>
          <w:rtl/>
        </w:rPr>
        <w:t>آینده‌نگاری</w:t>
      </w:r>
      <w:r w:rsidRPr="0025250D">
        <w:rPr>
          <w:rFonts w:hint="cs"/>
          <w:rtl/>
        </w:rPr>
        <w:t xml:space="preserve"> بهتری به شکلی </w:t>
      </w:r>
      <w:r w:rsidR="00923DDB" w:rsidRPr="0025250D">
        <w:rPr>
          <w:rFonts w:hint="cs"/>
          <w:rtl/>
        </w:rPr>
        <w:t>باورپذیر</w:t>
      </w:r>
      <w:r w:rsidRPr="0025250D">
        <w:rPr>
          <w:rFonts w:hint="cs"/>
          <w:rtl/>
        </w:rPr>
        <w:t xml:space="preserve"> در گذشته در زمان مناسب برای افراد مناسب، به همراه اقدامات </w:t>
      </w:r>
      <w:r w:rsidR="00923DDB" w:rsidRPr="0025250D">
        <w:rPr>
          <w:rFonts w:hint="cs"/>
          <w:rtl/>
        </w:rPr>
        <w:t>باورپذیر</w:t>
      </w:r>
      <w:r w:rsidRPr="0025250D">
        <w:rPr>
          <w:rFonts w:hint="cs"/>
          <w:rtl/>
        </w:rPr>
        <w:t xml:space="preserve"> انجام</w:t>
      </w:r>
      <w:r w:rsidRPr="0025250D">
        <w:rPr>
          <w:rFonts w:hint="cs"/>
        </w:rPr>
        <w:t>‌</w:t>
      </w:r>
      <w:r w:rsidRPr="0025250D">
        <w:rPr>
          <w:rFonts w:hint="cs"/>
          <w:rtl/>
        </w:rPr>
        <w:t xml:space="preserve"> می‌شد،</w:t>
      </w:r>
      <w:r w:rsidRPr="0025250D">
        <w:rPr>
          <w:rFonts w:hint="cs"/>
        </w:rPr>
        <w:t>‌</w:t>
      </w:r>
      <w:r w:rsidRPr="0025250D">
        <w:rPr>
          <w:rFonts w:hint="cs"/>
          <w:rtl/>
        </w:rPr>
        <w:t xml:space="preserve"> می‌توانست به بهبود و ارتقای قابل توجهی در جهان ما منجر شود. </w:t>
      </w:r>
      <w:r w:rsidRPr="0025250D">
        <w:t>LPO</w:t>
      </w:r>
      <w:r w:rsidRPr="0025250D">
        <w:rPr>
          <w:rFonts w:hint="cs"/>
          <w:rtl/>
        </w:rPr>
        <w:t xml:space="preserve">‌ها ما را برای بهبود کیفیت </w:t>
      </w:r>
      <w:r w:rsidR="00B56611" w:rsidRPr="0025250D">
        <w:rPr>
          <w:rFonts w:hint="cs"/>
          <w:rtl/>
        </w:rPr>
        <w:t>چشم‌انداز</w:t>
      </w:r>
      <w:r w:rsidRPr="0025250D">
        <w:rPr>
          <w:rFonts w:hint="cs"/>
          <w:rtl/>
        </w:rPr>
        <w:t>مان به چالش</w:t>
      </w:r>
      <w:r w:rsidRPr="0025250D">
        <w:rPr>
          <w:rFonts w:hint="cs"/>
        </w:rPr>
        <w:t>‌</w:t>
      </w:r>
      <w:r w:rsidRPr="0025250D">
        <w:rPr>
          <w:rFonts w:hint="cs"/>
          <w:rtl/>
        </w:rPr>
        <w:t xml:space="preserve"> می‌کشند. آن‌ها به ما یادآوری</w:t>
      </w:r>
      <w:r w:rsidRPr="0025250D">
        <w:rPr>
          <w:rFonts w:hint="cs"/>
        </w:rPr>
        <w:t>‌</w:t>
      </w:r>
      <w:r w:rsidRPr="0025250D">
        <w:rPr>
          <w:rFonts w:hint="cs"/>
          <w:rtl/>
        </w:rPr>
        <w:t xml:space="preserve"> می‌کنند که </w:t>
      </w:r>
      <w:r w:rsidRPr="0025250D">
        <w:rPr>
          <w:rtl/>
        </w:rPr>
        <w:t>آینده‌نگاری</w:t>
      </w:r>
      <w:r w:rsidRPr="0025250D">
        <w:rPr>
          <w:rFonts w:hint="cs"/>
          <w:rtl/>
        </w:rPr>
        <w:t xml:space="preserve"> بهتر امروز چگونه</w:t>
      </w:r>
      <w:r w:rsidRPr="0025250D">
        <w:rPr>
          <w:rFonts w:hint="cs"/>
        </w:rPr>
        <w:t>‌</w:t>
      </w:r>
      <w:r w:rsidRPr="0025250D">
        <w:rPr>
          <w:rFonts w:hint="cs"/>
          <w:rtl/>
        </w:rPr>
        <w:t xml:space="preserve"> می‌تواند به ما برای دست‌یابی به فردا‌هایی بسیار بهتر کمک کند.</w:t>
      </w:r>
    </w:p>
    <w:p w14:paraId="4261833B" w14:textId="07C53DCD" w:rsidR="0020732A" w:rsidRPr="0025250D" w:rsidRDefault="0020732A" w:rsidP="0020732A">
      <w:pPr>
        <w:rPr>
          <w:rtl/>
        </w:rPr>
      </w:pPr>
      <w:r w:rsidRPr="0025250D">
        <w:rPr>
          <w:rFonts w:hint="cs"/>
          <w:rtl/>
        </w:rPr>
        <w:t xml:space="preserve">مجموعه‌های </w:t>
      </w:r>
      <w:r w:rsidR="00BB406C" w:rsidRPr="0025250D">
        <w:rPr>
          <w:rFonts w:hint="cs"/>
          <w:rtl/>
        </w:rPr>
        <w:t>خلاف‌آمدی</w:t>
      </w:r>
      <w:r w:rsidRPr="0025250D">
        <w:rPr>
          <w:rFonts w:hint="cs"/>
          <w:rtl/>
        </w:rPr>
        <w:t>‌های مدرن، مانند تاریخ مجازی</w:t>
      </w:r>
      <w:r w:rsidRPr="0025250D">
        <w:rPr>
          <w:vertAlign w:val="superscript"/>
          <w:rtl/>
        </w:rPr>
        <w:footnoteReference w:id="845"/>
      </w:r>
      <w:r w:rsidR="00185F3E" w:rsidRPr="0025250D">
        <w:rPr>
          <w:rFonts w:hint="cs"/>
          <w:rtl/>
        </w:rPr>
        <w:t xml:space="preserve"> در سال</w:t>
      </w:r>
      <w:r w:rsidRPr="0025250D">
        <w:rPr>
          <w:rFonts w:hint="cs"/>
          <w:rtl/>
        </w:rPr>
        <w:t xml:space="preserve"> 2000، اثر </w:t>
      </w:r>
      <w:r w:rsidRPr="0025250D">
        <w:rPr>
          <w:rtl/>
        </w:rPr>
        <w:t>نا</w:t>
      </w:r>
      <w:r w:rsidRPr="0025250D">
        <w:rPr>
          <w:rFonts w:hint="cs"/>
          <w:rtl/>
        </w:rPr>
        <w:t>ی</w:t>
      </w:r>
      <w:r w:rsidRPr="0025250D">
        <w:rPr>
          <w:rFonts w:hint="eastAsia"/>
          <w:rtl/>
        </w:rPr>
        <w:t>ل</w:t>
      </w:r>
      <w:r w:rsidRPr="0025250D">
        <w:rPr>
          <w:rtl/>
        </w:rPr>
        <w:t xml:space="preserve"> فرگوسن</w:t>
      </w:r>
      <w:r w:rsidRPr="0025250D">
        <w:rPr>
          <w:vertAlign w:val="superscript"/>
          <w:rtl/>
        </w:rPr>
        <w:footnoteReference w:id="846"/>
      </w:r>
      <w:r w:rsidRPr="0025250D">
        <w:rPr>
          <w:rFonts w:hint="cs"/>
          <w:rtl/>
        </w:rPr>
        <w:t xml:space="preserve"> و اگر-آنگاه‌های </w:t>
      </w:r>
      <w:r w:rsidR="00B124DE" w:rsidRPr="0025250D">
        <w:rPr>
          <w:rFonts w:hint="cs"/>
          <w:rtl/>
        </w:rPr>
        <w:t>جمع‌آوری</w:t>
      </w:r>
      <w:r w:rsidRPr="0025250D">
        <w:rPr>
          <w:rFonts w:hint="cs"/>
          <w:rtl/>
        </w:rPr>
        <w:t xml:space="preserve"> شده؟</w:t>
      </w:r>
      <w:r w:rsidRPr="0025250D">
        <w:rPr>
          <w:vertAlign w:val="superscript"/>
          <w:rtl/>
        </w:rPr>
        <w:footnoteReference w:id="847"/>
      </w:r>
      <w:r w:rsidRPr="0025250D">
        <w:rPr>
          <w:rFonts w:hint="cs"/>
          <w:rtl/>
        </w:rPr>
        <w:t xml:space="preserve"> اثر </w:t>
      </w:r>
      <w:r w:rsidRPr="0025250D">
        <w:rPr>
          <w:rtl/>
        </w:rPr>
        <w:t>رابرت کاول</w:t>
      </w:r>
      <w:r w:rsidRPr="0025250D">
        <w:rPr>
          <w:rFonts w:hint="cs"/>
          <w:rtl/>
        </w:rPr>
        <w:t>ی</w:t>
      </w:r>
      <w:r w:rsidRPr="0025250D">
        <w:rPr>
          <w:vertAlign w:val="superscript"/>
          <w:rtl/>
        </w:rPr>
        <w:footnoteReference w:id="848"/>
      </w:r>
      <w:r w:rsidRPr="0025250D">
        <w:rPr>
          <w:rFonts w:hint="cs"/>
          <w:rtl/>
        </w:rPr>
        <w:t xml:space="preserve"> در سال 2006 معمولا تنها تعداد اندکی از </w:t>
      </w:r>
      <w:r w:rsidRPr="0025250D">
        <w:t>LPO</w:t>
      </w:r>
      <w:r w:rsidRPr="0025250D">
        <w:rPr>
          <w:rFonts w:hint="cs"/>
          <w:rtl/>
        </w:rPr>
        <w:t>‌ها را ارائه</w:t>
      </w:r>
      <w:r w:rsidRPr="0025250D">
        <w:rPr>
          <w:rFonts w:hint="cs"/>
        </w:rPr>
        <w:t>‌</w:t>
      </w:r>
      <w:r w:rsidRPr="0025250D">
        <w:rPr>
          <w:rFonts w:hint="cs"/>
          <w:rtl/>
        </w:rPr>
        <w:t xml:space="preserve"> می‌دهند. بیش‌تر </w:t>
      </w:r>
      <w:r w:rsidR="00BB406C" w:rsidRPr="0025250D">
        <w:rPr>
          <w:rFonts w:hint="cs"/>
          <w:rtl/>
        </w:rPr>
        <w:t>خلاف‌آمدی</w:t>
      </w:r>
      <w:r w:rsidRPr="0025250D">
        <w:rPr>
          <w:rFonts w:hint="cs"/>
          <w:rtl/>
        </w:rPr>
        <w:t xml:space="preserve">‌ها </w:t>
      </w:r>
      <w:r w:rsidR="00127288" w:rsidRPr="0025250D">
        <w:rPr>
          <w:rFonts w:hint="cs"/>
          <w:rtl/>
        </w:rPr>
        <w:t>بدیل</w:t>
      </w:r>
      <w:r w:rsidRPr="0025250D">
        <w:rPr>
          <w:rFonts w:hint="cs"/>
          <w:rtl/>
        </w:rPr>
        <w:t xml:space="preserve"> (نه به شکل مشخصی بهتر، بلکه فقط به طرز جالبی متفاوت) یا واپس‌رو هستند. نوشتن هر دو نوع ساده‌تر است و</w:t>
      </w:r>
      <w:r w:rsidRPr="0025250D">
        <w:rPr>
          <w:rFonts w:hint="cs"/>
        </w:rPr>
        <w:t>‌</w:t>
      </w:r>
      <w:r w:rsidRPr="0025250D">
        <w:rPr>
          <w:rFonts w:hint="cs"/>
          <w:rtl/>
        </w:rPr>
        <w:t xml:space="preserve"> می‌تواند سرگرم کننده و </w:t>
      </w:r>
      <w:r w:rsidRPr="0025250D">
        <w:rPr>
          <w:rtl/>
        </w:rPr>
        <w:t>نما</w:t>
      </w:r>
      <w:r w:rsidRPr="0025250D">
        <w:rPr>
          <w:rFonts w:hint="cs"/>
          <w:rtl/>
        </w:rPr>
        <w:t>ی</w:t>
      </w:r>
      <w:r w:rsidRPr="0025250D">
        <w:rPr>
          <w:rFonts w:hint="eastAsia"/>
          <w:rtl/>
        </w:rPr>
        <w:t>ش</w:t>
      </w:r>
      <w:r w:rsidRPr="0025250D">
        <w:rPr>
          <w:rFonts w:hint="cs"/>
          <w:rtl/>
        </w:rPr>
        <w:t xml:space="preserve">ی باشد، اما کم‌تر برای درک پیشرفت اجتماعی که یکی از اهداف این کتاب است مفید است. بیان داستان‌های </w:t>
      </w:r>
      <w:r w:rsidR="0060055A" w:rsidRPr="0025250D">
        <w:rPr>
          <w:rFonts w:hint="cs"/>
          <w:rtl/>
        </w:rPr>
        <w:t>ویران‌شهر</w:t>
      </w:r>
      <w:r w:rsidRPr="0025250D">
        <w:rPr>
          <w:rFonts w:hint="cs"/>
          <w:rtl/>
        </w:rPr>
        <w:t>ی چیزی در مورد این‌که پیشرفت چه چیزی نیست به ما</w:t>
      </w:r>
      <w:r w:rsidRPr="0025250D">
        <w:rPr>
          <w:rFonts w:hint="cs"/>
        </w:rPr>
        <w:t>‌</w:t>
      </w:r>
      <w:r w:rsidRPr="0025250D">
        <w:rPr>
          <w:rFonts w:hint="cs"/>
          <w:rtl/>
        </w:rPr>
        <w:t xml:space="preserve"> می‌گوید، اما وقتی داستان‌هایی از فرصت‌های از دست رفته</w:t>
      </w:r>
      <w:r w:rsidRPr="0025250D">
        <w:rPr>
          <w:rFonts w:hint="cs"/>
        </w:rPr>
        <w:t>‌</w:t>
      </w:r>
      <w:r w:rsidRPr="0025250D">
        <w:rPr>
          <w:rFonts w:hint="cs"/>
          <w:rtl/>
        </w:rPr>
        <w:t xml:space="preserve"> می‌شنویم که اگر درگذشته رخ داده بودند به شکلی </w:t>
      </w:r>
      <w:r w:rsidR="00923DDB" w:rsidRPr="0025250D">
        <w:rPr>
          <w:rFonts w:hint="cs"/>
          <w:rtl/>
        </w:rPr>
        <w:t>باورپذیر</w:t>
      </w:r>
      <w:r w:rsidRPr="0025250D">
        <w:rPr>
          <w:rFonts w:hint="cs"/>
        </w:rPr>
        <w:t>‌</w:t>
      </w:r>
      <w:r w:rsidRPr="0025250D">
        <w:rPr>
          <w:rFonts w:hint="cs"/>
          <w:rtl/>
        </w:rPr>
        <w:t xml:space="preserve"> می‌توانستند احتمالا به جهان مدرن بسیار بهتری منجر شوند، واقعا آغاز به درک مفهوم پیشرفت</w:t>
      </w:r>
      <w:r w:rsidRPr="0025250D">
        <w:rPr>
          <w:rFonts w:hint="cs"/>
        </w:rPr>
        <w:t>‌</w:t>
      </w:r>
      <w:r w:rsidRPr="0025250D">
        <w:rPr>
          <w:rFonts w:hint="cs"/>
          <w:rtl/>
        </w:rPr>
        <w:t xml:space="preserve"> می‌نماییم و</w:t>
      </w:r>
      <w:r w:rsidRPr="0025250D">
        <w:rPr>
          <w:rFonts w:hint="cs"/>
        </w:rPr>
        <w:t>‌</w:t>
      </w:r>
      <w:r w:rsidRPr="0025250D">
        <w:rPr>
          <w:rFonts w:hint="cs"/>
          <w:rtl/>
        </w:rPr>
        <w:t xml:space="preserve"> می‌توانیم ساده‌تر آن را بر زندگی‌های کنونی خودمان اعمال کنیم.</w:t>
      </w:r>
    </w:p>
    <w:p w14:paraId="31F43B16" w14:textId="3ED8CF1A" w:rsidR="0020732A" w:rsidRPr="0025250D" w:rsidRDefault="0020732A" w:rsidP="0020732A">
      <w:pPr>
        <w:rPr>
          <w:rtl/>
        </w:rPr>
      </w:pPr>
      <w:r w:rsidRPr="0025250D">
        <w:rPr>
          <w:rFonts w:hint="cs"/>
          <w:rtl/>
        </w:rPr>
        <w:t xml:space="preserve">در زیر چند داستان </w:t>
      </w:r>
      <w:r w:rsidRPr="0025250D">
        <w:t>LPO</w:t>
      </w:r>
      <w:r w:rsidRPr="0025250D">
        <w:rPr>
          <w:rFonts w:hint="cs"/>
          <w:rtl/>
        </w:rPr>
        <w:t xml:space="preserve"> بیان </w:t>
      </w:r>
      <w:r w:rsidR="00185F3E" w:rsidRPr="0025250D">
        <w:rPr>
          <w:rFonts w:hint="cs"/>
          <w:rtl/>
        </w:rPr>
        <w:t>شده‌اند</w:t>
      </w:r>
      <w:r w:rsidRPr="0025250D">
        <w:rPr>
          <w:rFonts w:hint="cs"/>
          <w:rtl/>
        </w:rPr>
        <w:t>. موارد بیش‌تری از این موارد</w:t>
      </w:r>
      <w:r w:rsidR="00185F3E" w:rsidRPr="0025250D">
        <w:rPr>
          <w:rFonts w:hint="cs"/>
          <w:rtl/>
        </w:rPr>
        <w:t xml:space="preserve"> را</w:t>
      </w:r>
      <w:r w:rsidRPr="0025250D">
        <w:rPr>
          <w:rFonts w:hint="cs"/>
        </w:rPr>
        <w:t>‌</w:t>
      </w:r>
      <w:r w:rsidRPr="0025250D">
        <w:rPr>
          <w:rFonts w:hint="cs"/>
          <w:rtl/>
        </w:rPr>
        <w:t xml:space="preserve"> می‌توانید در راهنمای آنلاین ما بیابید. ما برنامه داریم که در نهایت برخی از داستان‌های </w:t>
      </w:r>
      <w:r w:rsidRPr="0025250D">
        <w:t>LPO</w:t>
      </w:r>
      <w:r w:rsidRPr="0025250D">
        <w:rPr>
          <w:rFonts w:hint="cs"/>
          <w:rtl/>
        </w:rPr>
        <w:t xml:space="preserve"> </w:t>
      </w:r>
      <w:r w:rsidR="00B124DE" w:rsidRPr="0025250D">
        <w:rPr>
          <w:rFonts w:hint="cs"/>
          <w:rtl/>
        </w:rPr>
        <w:t>جمع‌آوری</w:t>
      </w:r>
      <w:r w:rsidRPr="0025250D">
        <w:rPr>
          <w:rFonts w:hint="cs"/>
          <w:rtl/>
        </w:rPr>
        <w:t xml:space="preserve"> شده خود را به‌عنوان یک کتاب در آینده در سری کتاب‌های راهنمای خود منتشر کنیم. (عنوان آزمایشی ما: پیشرفت از دست رفته). هم‌زمان، ما خوانندگان را تشویق</w:t>
      </w:r>
      <w:r w:rsidRPr="0025250D">
        <w:rPr>
          <w:rFonts w:hint="cs"/>
        </w:rPr>
        <w:t>‌</w:t>
      </w:r>
      <w:r w:rsidRPr="0025250D">
        <w:rPr>
          <w:rFonts w:hint="cs"/>
          <w:rtl/>
        </w:rPr>
        <w:t xml:space="preserve"> می‌کنیم که داستان‌های </w:t>
      </w:r>
      <w:r w:rsidRPr="0025250D">
        <w:t>LPO</w:t>
      </w:r>
      <w:r w:rsidRPr="0025250D">
        <w:rPr>
          <w:rFonts w:hint="cs"/>
          <w:rtl/>
        </w:rPr>
        <w:t xml:space="preserve"> مورد نظر خود را برای ما به نشانی </w:t>
      </w:r>
      <w:r w:rsidRPr="0025250D">
        <w:t>guide@foresightu.com</w:t>
      </w:r>
      <w:r w:rsidR="008D6F97" w:rsidRPr="0025250D">
        <w:rPr>
          <w:rtl/>
        </w:rPr>
        <w:t xml:space="preserve"> </w:t>
      </w:r>
      <w:r w:rsidRPr="0025250D">
        <w:rPr>
          <w:rFonts w:hint="cs"/>
          <w:rtl/>
        </w:rPr>
        <w:t xml:space="preserve">بفرستند. ممکن است ما با قدردانی و ذکر نام، هر یک از این موارد را که احساس کنیم به طور مشخص آموزنده یا قابل توجه هستند اقتباس یا منتشر کنیم. وقتی </w:t>
      </w:r>
      <w:r w:rsidRPr="0025250D">
        <w:t>LPO</w:t>
      </w:r>
      <w:r w:rsidRPr="0025250D">
        <w:rPr>
          <w:rFonts w:hint="cs"/>
          <w:rtl/>
        </w:rPr>
        <w:t>‌ها</w:t>
      </w:r>
      <w:r w:rsidR="00185F3E" w:rsidRPr="0025250D">
        <w:rPr>
          <w:rFonts w:hint="cs"/>
          <w:rtl/>
        </w:rPr>
        <w:t>ی</w:t>
      </w:r>
      <w:r w:rsidRPr="0025250D">
        <w:rPr>
          <w:rFonts w:hint="cs"/>
          <w:rtl/>
        </w:rPr>
        <w:t xml:space="preserve"> زیر را</w:t>
      </w:r>
      <w:r w:rsidRPr="0025250D">
        <w:rPr>
          <w:rFonts w:hint="cs"/>
        </w:rPr>
        <w:t>‌</w:t>
      </w:r>
      <w:r w:rsidRPr="0025250D">
        <w:rPr>
          <w:rFonts w:hint="cs"/>
          <w:rtl/>
        </w:rPr>
        <w:t xml:space="preserve"> می‌خوانید، از خود بپرسید: با چند مورد از آن‌ها موافق هستی</w:t>
      </w:r>
      <w:r w:rsidR="00185F3E" w:rsidRPr="0025250D">
        <w:rPr>
          <w:rFonts w:hint="cs"/>
          <w:rtl/>
        </w:rPr>
        <w:t>م</w:t>
      </w:r>
      <w:r w:rsidRPr="0025250D">
        <w:rPr>
          <w:rFonts w:hint="cs"/>
          <w:rtl/>
        </w:rPr>
        <w:t xml:space="preserve">؟ احتمال این‌که اگر </w:t>
      </w:r>
      <w:r w:rsidRPr="0025250D">
        <w:rPr>
          <w:rFonts w:hint="cs"/>
          <w:rtl/>
        </w:rPr>
        <w:lastRenderedPageBreak/>
        <w:t>هر یک از این</w:t>
      </w:r>
      <w:r w:rsidR="00185F3E" w:rsidRPr="0025250D">
        <w:rPr>
          <w:rFonts w:hint="cs"/>
          <w:rtl/>
        </w:rPr>
        <w:t xml:space="preserve"> موارد</w:t>
      </w:r>
      <w:r w:rsidRPr="0025250D">
        <w:rPr>
          <w:rFonts w:hint="cs"/>
          <w:rtl/>
        </w:rPr>
        <w:t xml:space="preserve"> رخ داده بود امروز در دنیایی بهتر زندگی</w:t>
      </w:r>
      <w:r w:rsidRPr="0025250D">
        <w:rPr>
          <w:rFonts w:hint="cs"/>
        </w:rPr>
        <w:t>‌</w:t>
      </w:r>
      <w:r w:rsidRPr="0025250D">
        <w:rPr>
          <w:rFonts w:hint="cs"/>
          <w:rtl/>
        </w:rPr>
        <w:t xml:space="preserve"> می‌کردیم، چقدر بود؟ به چه شکل‌های مشخصی ممکن بود زندگی‌های فعلی ما </w:t>
      </w:r>
      <w:r w:rsidR="00AE5BE0" w:rsidRPr="0025250D">
        <w:rPr>
          <w:rFonts w:hint="cs"/>
          <w:rtl/>
        </w:rPr>
        <w:t>منطبق‌تر</w:t>
      </w:r>
      <w:r w:rsidRPr="0025250D">
        <w:rPr>
          <w:rFonts w:hint="cs"/>
          <w:rtl/>
        </w:rPr>
        <w:t xml:space="preserve"> باشند؟ در نسخه‌های اولیه این نوآوری‌ها، قبل از این‌که فراگیر‌تر شوند، ممکن بود با چه موانع</w:t>
      </w:r>
      <w:r w:rsidR="00B95054" w:rsidRPr="0025250D">
        <w:rPr>
          <w:rFonts w:hint="cs"/>
          <w:rtl/>
        </w:rPr>
        <w:t>ی</w:t>
      </w:r>
      <w:r w:rsidRPr="0025250D">
        <w:rPr>
          <w:rFonts w:hint="cs"/>
          <w:rtl/>
        </w:rPr>
        <w:t xml:space="preserve"> (مشکلات پیشرفت اولیه) </w:t>
      </w:r>
      <w:r w:rsidR="00B95054" w:rsidRPr="0025250D">
        <w:rPr>
          <w:rFonts w:hint="cs"/>
          <w:rtl/>
        </w:rPr>
        <w:t xml:space="preserve">برای </w:t>
      </w:r>
      <w:r w:rsidR="00AE5BE0" w:rsidRPr="0025250D">
        <w:rPr>
          <w:rFonts w:hint="cs"/>
          <w:rtl/>
        </w:rPr>
        <w:t>انطباق</w:t>
      </w:r>
      <w:r w:rsidRPr="0025250D">
        <w:rPr>
          <w:rFonts w:hint="cs"/>
          <w:rtl/>
        </w:rPr>
        <w:t xml:space="preserve"> مواجه شویم؟ آن‌ها امروز چه درس‌هایی در عمل و </w:t>
      </w:r>
      <w:r w:rsidRPr="0025250D">
        <w:rPr>
          <w:rtl/>
        </w:rPr>
        <w:t>آینده‌نگاری</w:t>
      </w:r>
      <w:r w:rsidRPr="0025250D">
        <w:rPr>
          <w:rFonts w:hint="cs"/>
          <w:rtl/>
        </w:rPr>
        <w:t xml:space="preserve"> بهتر به ما</w:t>
      </w:r>
      <w:r w:rsidRPr="0025250D">
        <w:rPr>
          <w:rFonts w:hint="cs"/>
        </w:rPr>
        <w:t>‌</w:t>
      </w:r>
      <w:r w:rsidRPr="0025250D">
        <w:rPr>
          <w:rFonts w:hint="cs"/>
          <w:rtl/>
        </w:rPr>
        <w:t xml:space="preserve"> می‌دهند؟</w:t>
      </w:r>
    </w:p>
    <w:p w14:paraId="018B8DDE" w14:textId="6BCC8FA0" w:rsidR="0020732A" w:rsidRPr="0025250D" w:rsidRDefault="0020732A" w:rsidP="006335B8">
      <w:pPr>
        <w:rPr>
          <w:rtl/>
        </w:rPr>
      </w:pPr>
      <w:r w:rsidRPr="0025250D">
        <w:rPr>
          <w:rFonts w:hint="cs"/>
          <w:rtl/>
        </w:rPr>
        <w:t>آیا فنیقی ها</w:t>
      </w:r>
      <w:r w:rsidRPr="0025250D">
        <w:rPr>
          <w:vertAlign w:val="superscript"/>
          <w:rtl/>
        </w:rPr>
        <w:footnoteReference w:id="849"/>
      </w:r>
      <w:r w:rsidRPr="0025250D">
        <w:rPr>
          <w:rFonts w:hint="cs"/>
          <w:rtl/>
        </w:rPr>
        <w:t xml:space="preserve">، یونانیان باستان، یهودیان، رومیان اولیه یا یکی دیگر از تمدن‌های ادبی و به شدت تجاری مدیترانه‌ای می‌توانستند دستگاه تایپ قابل حمل را در 200 سال قبل از میلاد مسیح، 600 سال قبل از </w:t>
      </w:r>
      <w:r w:rsidRPr="0025250D">
        <w:rPr>
          <w:rtl/>
        </w:rPr>
        <w:t>گوتنبرگ</w:t>
      </w:r>
      <w:r w:rsidRPr="0025250D">
        <w:rPr>
          <w:vertAlign w:val="superscript"/>
          <w:rtl/>
        </w:rPr>
        <w:footnoteReference w:id="850"/>
      </w:r>
      <w:r w:rsidRPr="0025250D">
        <w:rPr>
          <w:rFonts w:hint="cs"/>
          <w:rtl/>
        </w:rPr>
        <w:t xml:space="preserve"> اختراع کنند؟ قطعا این کار به نظر ما ممکن</w:t>
      </w:r>
      <w:r w:rsidRPr="0025250D">
        <w:rPr>
          <w:rFonts w:hint="cs"/>
        </w:rPr>
        <w:t>‌</w:t>
      </w:r>
      <w:r w:rsidRPr="0025250D">
        <w:rPr>
          <w:rFonts w:hint="cs"/>
          <w:rtl/>
        </w:rPr>
        <w:t xml:space="preserve"> می‌رسد. آن‌ها هم جوهر ارزان و هم کاغذ، سواد گسترده، تجارت آزاد گسترده، زبان‌های به تازگی اختراع شده با یک الفبای 23 حرفی ساده، مهر‌های فلزی و چوبی (که برای ایجاد نقش‌های سفالی و مومی استفاده</w:t>
      </w:r>
      <w:r w:rsidRPr="0025250D">
        <w:rPr>
          <w:rFonts w:hint="cs"/>
        </w:rPr>
        <w:t>‌</w:t>
      </w:r>
      <w:r w:rsidRPr="0025250D">
        <w:rPr>
          <w:rFonts w:hint="cs"/>
          <w:rtl/>
        </w:rPr>
        <w:t xml:space="preserve"> می‌شدند) و حتی ماشین‌های پارچه‌ای و زیتونی در اختیار داشتند. اگر یک دستگاه پرینت کوچک توسط هر یک از تاجران پیش از دوران امپراطوری رومیان برای تجارت پاپیروس، مهر زده شده با نقشه‌ها، نقاشی‌ها، اخبار، شوخی‌ها، داستان‌ها و توصیه‌های عملی اختراع، کپی برداری و استفاده</w:t>
      </w:r>
      <w:r w:rsidRPr="0025250D">
        <w:rPr>
          <w:rFonts w:hint="cs"/>
        </w:rPr>
        <w:t>‌</w:t>
      </w:r>
      <w:r w:rsidRPr="0025250D">
        <w:rPr>
          <w:rFonts w:hint="cs"/>
          <w:rtl/>
        </w:rPr>
        <w:t xml:space="preserve"> می‌شد،</w:t>
      </w:r>
      <w:r w:rsidRPr="0025250D">
        <w:rPr>
          <w:rFonts w:hint="cs"/>
        </w:rPr>
        <w:t>‌</w:t>
      </w:r>
      <w:r w:rsidRPr="0025250D">
        <w:rPr>
          <w:rFonts w:hint="cs"/>
          <w:rtl/>
        </w:rPr>
        <w:t xml:space="preserve"> می‌توانست شکوفایی علم و نوآوری قابل توجهی ایجاد کند. یک صنعت چاپ منطقه‌ای، در عوض</w:t>
      </w:r>
      <w:r w:rsidRPr="0025250D">
        <w:rPr>
          <w:rFonts w:hint="cs"/>
        </w:rPr>
        <w:t>‌</w:t>
      </w:r>
      <w:r w:rsidRPr="0025250D">
        <w:rPr>
          <w:rFonts w:hint="cs"/>
          <w:rtl/>
        </w:rPr>
        <w:t xml:space="preserve"> می‌توانست احتمالا قدرت مذاهب توحیدی</w:t>
      </w:r>
      <w:r w:rsidRPr="0025250D">
        <w:rPr>
          <w:vertAlign w:val="superscript"/>
          <w:rtl/>
        </w:rPr>
        <w:footnoteReference w:id="851"/>
      </w:r>
      <w:r w:rsidRPr="0025250D">
        <w:rPr>
          <w:rFonts w:hint="cs"/>
          <w:rtl/>
        </w:rPr>
        <w:t xml:space="preserve"> (مسیحیت) که بعد‌ها ظهور یافتند را محدود کند و از هزار سال اعصار تاریکی که در غرب پس از سقوط امپراطوری روم در 476 سال پس از میلاد مسیح رخ دادند، جلوگیری کند و پیدایش پر شتاب </w:t>
      </w:r>
      <w:r w:rsidR="00EE4B64" w:rsidRPr="0025250D">
        <w:rPr>
          <w:rFonts w:hint="cs"/>
          <w:rtl/>
        </w:rPr>
        <w:t>مردم‌سالار</w:t>
      </w:r>
      <w:r w:rsidRPr="0025250D">
        <w:rPr>
          <w:rFonts w:hint="cs"/>
          <w:rtl/>
        </w:rPr>
        <w:t xml:space="preserve">ی‌ها که به یک جمعیت تحصیل کرده نیاز داشتند را تسریع کند. برای این داستان </w:t>
      </w:r>
      <w:r w:rsidRPr="0025250D">
        <w:t>LPO</w:t>
      </w:r>
      <w:r w:rsidRPr="0025250D">
        <w:rPr>
          <w:rFonts w:hint="cs"/>
          <w:rtl/>
        </w:rPr>
        <w:t xml:space="preserve"> </w:t>
      </w:r>
      <w:r w:rsidR="006335B8" w:rsidRPr="0025250D">
        <w:rPr>
          <w:rFonts w:hint="cs"/>
          <w:rtl/>
        </w:rPr>
        <w:t>«</w:t>
      </w:r>
      <w:r w:rsidRPr="0025250D">
        <w:rPr>
          <w:rFonts w:hint="cs"/>
          <w:rtl/>
        </w:rPr>
        <w:t>200 سال پیش از میلاد مسیح: یک ماشین چاپ در یونان باستان</w:t>
      </w:r>
      <w:r w:rsidRPr="0025250D">
        <w:rPr>
          <w:vertAlign w:val="superscript"/>
          <w:rtl/>
        </w:rPr>
        <w:footnoteReference w:id="852"/>
      </w:r>
      <w:r w:rsidR="006335B8" w:rsidRPr="0025250D">
        <w:rPr>
          <w:rFonts w:hint="cs"/>
          <w:rtl/>
        </w:rPr>
        <w:t>»</w:t>
      </w:r>
      <w:r w:rsidRPr="0025250D">
        <w:rPr>
          <w:rFonts w:hint="cs"/>
          <w:rtl/>
        </w:rPr>
        <w:t xml:space="preserve"> را ببینید.</w:t>
      </w:r>
      <w:r w:rsidR="008D6F97" w:rsidRPr="0025250D">
        <w:rPr>
          <w:rtl/>
        </w:rPr>
        <w:t xml:space="preserve"> </w:t>
      </w:r>
      <w:r w:rsidRPr="0025250D">
        <w:rPr>
          <w:rFonts w:hint="cs"/>
          <w:rtl/>
        </w:rPr>
        <w:t xml:space="preserve">اگر اندیشمندان و کارآفرینان در این تمدن‌ها تنها اندکی بیش‌تر </w:t>
      </w:r>
      <w:r w:rsidRPr="0025250D">
        <w:rPr>
          <w:rtl/>
        </w:rPr>
        <w:t>آینده‌نگاری</w:t>
      </w:r>
      <w:r w:rsidRPr="0025250D">
        <w:rPr>
          <w:rFonts w:hint="cs"/>
          <w:rtl/>
        </w:rPr>
        <w:t xml:space="preserve"> خود را در مکان و زمان درست توسعه داده بودند، همه ما امروزه در جهانی بسیار پیشرفته‌تر زندگی</w:t>
      </w:r>
      <w:r w:rsidRPr="0025250D">
        <w:rPr>
          <w:rFonts w:hint="cs"/>
        </w:rPr>
        <w:t>‌</w:t>
      </w:r>
      <w:r w:rsidRPr="0025250D">
        <w:rPr>
          <w:rFonts w:hint="cs"/>
          <w:rtl/>
        </w:rPr>
        <w:t xml:space="preserve"> می‌کردیم. </w:t>
      </w:r>
      <w:r w:rsidRPr="0025250D">
        <w:rPr>
          <w:rtl/>
        </w:rPr>
        <w:t>آینده‌نگاری</w:t>
      </w:r>
      <w:r w:rsidRPr="0025250D">
        <w:rPr>
          <w:rFonts w:hint="cs"/>
          <w:rtl/>
        </w:rPr>
        <w:t xml:space="preserve"> تحصیل</w:t>
      </w:r>
      <w:r w:rsidR="00BB406C" w:rsidRPr="0025250D">
        <w:rPr>
          <w:rFonts w:hint="cs"/>
          <w:rtl/>
        </w:rPr>
        <w:t>ی</w:t>
      </w:r>
      <w:r w:rsidR="00BB406C" w:rsidRPr="0025250D">
        <w:rPr>
          <w:rStyle w:val="FootnoteReference"/>
          <w:rtl/>
        </w:rPr>
        <w:footnoteReference w:id="853"/>
      </w:r>
      <w:r w:rsidRPr="0025250D">
        <w:rPr>
          <w:rFonts w:hint="cs"/>
          <w:rtl/>
        </w:rPr>
        <w:t xml:space="preserve"> اهمیت دارد!</w:t>
      </w:r>
    </w:p>
    <w:p w14:paraId="61CE2D14" w14:textId="697F45B4" w:rsidR="0020732A" w:rsidRPr="0025250D" w:rsidRDefault="0020732A" w:rsidP="006335B8">
      <w:pPr>
        <w:rPr>
          <w:rtl/>
        </w:rPr>
      </w:pPr>
      <w:r w:rsidRPr="0025250D">
        <w:rPr>
          <w:rFonts w:hint="cs"/>
          <w:rtl/>
        </w:rPr>
        <w:t>آیا در 50 سال پس از میلاد مسیح، هیرو از اسکندریه</w:t>
      </w:r>
      <w:r w:rsidRPr="0025250D">
        <w:rPr>
          <w:vertAlign w:val="superscript"/>
          <w:rtl/>
        </w:rPr>
        <w:footnoteReference w:id="854"/>
      </w:r>
      <w:r w:rsidRPr="0025250D">
        <w:rPr>
          <w:rFonts w:hint="cs"/>
        </w:rPr>
        <w:t>‌</w:t>
      </w:r>
      <w:r w:rsidRPr="0025250D">
        <w:rPr>
          <w:rFonts w:hint="cs"/>
          <w:rtl/>
        </w:rPr>
        <w:t xml:space="preserve"> می‌توانست اولین موتور بخار عملی را برای پیش رانش کشتی‌های جنگی و پمپ کردن آب، 600 سال قبل از اختراع توربین‌های بخار ضربه‌ای توسط </w:t>
      </w:r>
      <w:r w:rsidRPr="0025250D">
        <w:rPr>
          <w:rtl/>
        </w:rPr>
        <w:t>ج</w:t>
      </w:r>
      <w:r w:rsidRPr="0025250D">
        <w:rPr>
          <w:rFonts w:hint="cs"/>
          <w:rtl/>
        </w:rPr>
        <w:t>ی</w:t>
      </w:r>
      <w:r w:rsidRPr="0025250D">
        <w:rPr>
          <w:rFonts w:hint="eastAsia"/>
          <w:rtl/>
        </w:rPr>
        <w:t>ووان</w:t>
      </w:r>
      <w:r w:rsidRPr="0025250D">
        <w:rPr>
          <w:rFonts w:hint="cs"/>
          <w:rtl/>
        </w:rPr>
        <w:t>ی</w:t>
      </w:r>
      <w:r w:rsidRPr="0025250D">
        <w:rPr>
          <w:rtl/>
        </w:rPr>
        <w:t xml:space="preserve"> برانکا</w:t>
      </w:r>
      <w:r w:rsidRPr="0025250D">
        <w:rPr>
          <w:vertAlign w:val="superscript"/>
          <w:rtl/>
        </w:rPr>
        <w:footnoteReference w:id="855"/>
      </w:r>
      <w:r w:rsidRPr="0025250D">
        <w:rPr>
          <w:rFonts w:hint="cs"/>
          <w:rtl/>
        </w:rPr>
        <w:t xml:space="preserve"> (1629) و </w:t>
      </w:r>
      <w:r w:rsidRPr="0025250D">
        <w:rPr>
          <w:rtl/>
        </w:rPr>
        <w:t>جان و</w:t>
      </w:r>
      <w:r w:rsidRPr="0025250D">
        <w:rPr>
          <w:rFonts w:hint="cs"/>
          <w:rtl/>
        </w:rPr>
        <w:t>ی</w:t>
      </w:r>
      <w:r w:rsidRPr="0025250D">
        <w:rPr>
          <w:rFonts w:hint="eastAsia"/>
          <w:rtl/>
        </w:rPr>
        <w:t>لک</w:t>
      </w:r>
      <w:r w:rsidRPr="0025250D">
        <w:rPr>
          <w:rFonts w:hint="cs"/>
          <w:rtl/>
        </w:rPr>
        <w:t>ی</w:t>
      </w:r>
      <w:r w:rsidRPr="0025250D">
        <w:rPr>
          <w:rFonts w:hint="eastAsia"/>
          <w:rtl/>
        </w:rPr>
        <w:t>نز</w:t>
      </w:r>
      <w:r w:rsidRPr="0025250D">
        <w:rPr>
          <w:vertAlign w:val="superscript"/>
          <w:rtl/>
        </w:rPr>
        <w:footnoteReference w:id="856"/>
      </w:r>
      <w:r w:rsidRPr="0025250D">
        <w:rPr>
          <w:rtl/>
        </w:rPr>
        <w:t xml:space="preserve"> (1648)</w:t>
      </w:r>
      <w:r w:rsidRPr="0025250D">
        <w:rPr>
          <w:rFonts w:hint="cs"/>
          <w:rtl/>
        </w:rPr>
        <w:t>، اختراع کند؟ به نظر این طور</w:t>
      </w:r>
      <w:r w:rsidRPr="0025250D">
        <w:rPr>
          <w:rFonts w:hint="cs"/>
        </w:rPr>
        <w:t>‌</w:t>
      </w:r>
      <w:r w:rsidRPr="0025250D">
        <w:rPr>
          <w:rFonts w:hint="cs"/>
          <w:rtl/>
        </w:rPr>
        <w:t xml:space="preserve"> می‌رسد. هیرو یک موتور بخار دوار ساده، به نام ایلیپایل</w:t>
      </w:r>
      <w:r w:rsidRPr="0025250D">
        <w:rPr>
          <w:vertAlign w:val="superscript"/>
          <w:rtl/>
        </w:rPr>
        <w:footnoteReference w:id="857"/>
      </w:r>
      <w:r w:rsidRPr="0025250D">
        <w:rPr>
          <w:rFonts w:hint="cs"/>
          <w:rtl/>
        </w:rPr>
        <w:t xml:space="preserve"> اختراع کرد و از آن برای باز کردن درهای معبد استفاده کرد. او همچنین پمپ آب دستی مخترع یونانی </w:t>
      </w:r>
      <w:r w:rsidRPr="0025250D">
        <w:rPr>
          <w:rtl/>
        </w:rPr>
        <w:t>کتز</w:t>
      </w:r>
      <w:r w:rsidRPr="0025250D">
        <w:rPr>
          <w:rFonts w:hint="cs"/>
          <w:rtl/>
        </w:rPr>
        <w:t>ی</w:t>
      </w:r>
      <w:r w:rsidRPr="0025250D">
        <w:rPr>
          <w:rFonts w:hint="eastAsia"/>
          <w:rtl/>
        </w:rPr>
        <w:t>ب</w:t>
      </w:r>
      <w:r w:rsidRPr="0025250D">
        <w:rPr>
          <w:rFonts w:hint="cs"/>
          <w:rtl/>
        </w:rPr>
        <w:t>ی</w:t>
      </w:r>
      <w:r w:rsidRPr="0025250D">
        <w:rPr>
          <w:rFonts w:hint="eastAsia"/>
          <w:rtl/>
        </w:rPr>
        <w:t>وس</w:t>
      </w:r>
      <w:r w:rsidRPr="0025250D">
        <w:rPr>
          <w:vertAlign w:val="superscript"/>
          <w:rtl/>
        </w:rPr>
        <w:footnoteReference w:id="858"/>
      </w:r>
      <w:r w:rsidRPr="0025250D">
        <w:rPr>
          <w:rFonts w:hint="cs"/>
          <w:rtl/>
        </w:rPr>
        <w:t xml:space="preserve"> را کامل کرد. رومی‌ها از پمپ فلزی هیرو و یک</w:t>
      </w:r>
      <w:r w:rsidRPr="0025250D">
        <w:rPr>
          <w:rtl/>
        </w:rPr>
        <w:t xml:space="preserve"> </w:t>
      </w:r>
      <w:r w:rsidRPr="0025250D">
        <w:rPr>
          <w:rFonts w:hint="cs"/>
          <w:rtl/>
        </w:rPr>
        <w:t>شلنگ</w:t>
      </w:r>
      <w:r w:rsidRPr="0025250D">
        <w:rPr>
          <w:rtl/>
        </w:rPr>
        <w:t xml:space="preserve"> </w:t>
      </w:r>
      <w:r w:rsidRPr="0025250D">
        <w:rPr>
          <w:rFonts w:hint="cs"/>
          <w:rtl/>
        </w:rPr>
        <w:t>آتش</w:t>
      </w:r>
      <w:r w:rsidRPr="0025250D">
        <w:rPr>
          <w:rtl/>
        </w:rPr>
        <w:t xml:space="preserve"> </w:t>
      </w:r>
      <w:r w:rsidRPr="0025250D">
        <w:rPr>
          <w:rFonts w:hint="cs"/>
          <w:rtl/>
        </w:rPr>
        <w:t>نشانی</w:t>
      </w:r>
      <w:r w:rsidRPr="0025250D">
        <w:rPr>
          <w:rtl/>
        </w:rPr>
        <w:t xml:space="preserve"> </w:t>
      </w:r>
      <w:r w:rsidRPr="0025250D">
        <w:rPr>
          <w:rFonts w:hint="cs"/>
          <w:rtl/>
        </w:rPr>
        <w:t>برای</w:t>
      </w:r>
      <w:r w:rsidRPr="0025250D">
        <w:rPr>
          <w:rtl/>
        </w:rPr>
        <w:t xml:space="preserve"> </w:t>
      </w:r>
      <w:r w:rsidRPr="0025250D">
        <w:rPr>
          <w:rFonts w:hint="cs"/>
          <w:rtl/>
        </w:rPr>
        <w:t>خاموش</w:t>
      </w:r>
      <w:r w:rsidRPr="0025250D">
        <w:rPr>
          <w:rtl/>
        </w:rPr>
        <w:t xml:space="preserve"> </w:t>
      </w:r>
      <w:r w:rsidRPr="0025250D">
        <w:rPr>
          <w:rFonts w:hint="cs"/>
          <w:rtl/>
        </w:rPr>
        <w:t>کردن</w:t>
      </w:r>
      <w:r w:rsidRPr="0025250D">
        <w:rPr>
          <w:rtl/>
        </w:rPr>
        <w:t xml:space="preserve"> </w:t>
      </w:r>
      <w:r w:rsidRPr="0025250D">
        <w:rPr>
          <w:rFonts w:hint="cs"/>
          <w:rtl/>
        </w:rPr>
        <w:t>آتش استفاده کردند. همه آنچه که هیرو به آن نیاز داشت افزودن یک آسیاب بادی فلزی کوچک برای چرخاندن یک محور درون جت بخار خروجی از این دیگ بخار بود. این ارتقاء به تنهایی</w:t>
      </w:r>
      <w:r w:rsidRPr="0025250D">
        <w:rPr>
          <w:rFonts w:hint="cs"/>
        </w:rPr>
        <w:t>‌</w:t>
      </w:r>
      <w:r w:rsidRPr="0025250D">
        <w:rPr>
          <w:rFonts w:hint="cs"/>
          <w:rtl/>
        </w:rPr>
        <w:t xml:space="preserve"> می‌توانست هم اولین موتور کشتی بخار (و پروانه پیشران آن) و هم یک پمپ بخار آب قدرتمند ایجاد کند. راه بهتری برای برده‌های رومی برای پمپ کردن آب به مخازن بزرگ آب</w:t>
      </w:r>
      <w:r w:rsidRPr="0025250D">
        <w:rPr>
          <w:rFonts w:hint="cs"/>
        </w:rPr>
        <w:t>‌</w:t>
      </w:r>
      <w:r w:rsidRPr="0025250D">
        <w:rPr>
          <w:rFonts w:hint="cs"/>
          <w:rtl/>
        </w:rPr>
        <w:t xml:space="preserve"> می‌توانست به شدت </w:t>
      </w:r>
      <w:r w:rsidR="008D6F97" w:rsidRPr="0025250D">
        <w:rPr>
          <w:rFonts w:hint="cs"/>
          <w:rtl/>
        </w:rPr>
        <w:t>سامانه‌</w:t>
      </w:r>
      <w:r w:rsidRPr="0025250D">
        <w:rPr>
          <w:rFonts w:hint="cs"/>
          <w:rtl/>
        </w:rPr>
        <w:t xml:space="preserve"> و کانال‌های آبی رومی‌ها را بهبود بخشد</w:t>
      </w:r>
      <w:r w:rsidR="008D6F97" w:rsidRPr="0025250D">
        <w:rPr>
          <w:rtl/>
        </w:rPr>
        <w:t xml:space="preserve">؛ </w:t>
      </w:r>
      <w:r w:rsidRPr="0025250D">
        <w:rPr>
          <w:rFonts w:hint="cs"/>
          <w:rtl/>
        </w:rPr>
        <w:t>اما واضح</w:t>
      </w:r>
      <w:r w:rsidR="00BB406C" w:rsidRPr="0025250D">
        <w:rPr>
          <w:rFonts w:hint="cs"/>
          <w:rtl/>
        </w:rPr>
        <w:t>‌</w:t>
      </w:r>
      <w:r w:rsidRPr="0025250D">
        <w:rPr>
          <w:rFonts w:hint="cs"/>
          <w:rtl/>
        </w:rPr>
        <w:t>تر</w:t>
      </w:r>
      <w:r w:rsidR="00BB406C" w:rsidRPr="0025250D">
        <w:rPr>
          <w:rFonts w:hint="cs"/>
          <w:rtl/>
        </w:rPr>
        <w:t xml:space="preserve"> </w:t>
      </w:r>
      <w:r w:rsidRPr="0025250D">
        <w:rPr>
          <w:rFonts w:hint="cs"/>
          <w:rtl/>
        </w:rPr>
        <w:t>از همه، داشتن کشتی‌های جنگی رومی سریع‌تر یک دستاورد نظامی مهم بود. حتی نسل اول توربین بخار ایلیپایل که آتش لازم در آن‌ها توسط بردگان با استفاده از زغال چوب رومی ایجاد</w:t>
      </w:r>
      <w:r w:rsidRPr="0025250D">
        <w:rPr>
          <w:rFonts w:hint="cs"/>
        </w:rPr>
        <w:t>‌</w:t>
      </w:r>
      <w:r w:rsidRPr="0025250D">
        <w:rPr>
          <w:rFonts w:hint="cs"/>
          <w:rtl/>
        </w:rPr>
        <w:t xml:space="preserve"> می‌شد (یکی از اختراعات متعدد آن ها)</w:t>
      </w:r>
      <w:r w:rsidRPr="0025250D">
        <w:rPr>
          <w:rFonts w:hint="cs"/>
        </w:rPr>
        <w:t>‌</w:t>
      </w:r>
      <w:r w:rsidRPr="0025250D">
        <w:rPr>
          <w:rFonts w:hint="cs"/>
          <w:rtl/>
        </w:rPr>
        <w:t xml:space="preserve"> می‌توانست بسیار سریع‌تر از کشتی‌های پارویی انسانی باشد. بسیاری از ملل دریانورد</w:t>
      </w:r>
      <w:r w:rsidRPr="0025250D">
        <w:rPr>
          <w:rFonts w:hint="cs"/>
        </w:rPr>
        <w:t>‌</w:t>
      </w:r>
      <w:r w:rsidRPr="0025250D">
        <w:rPr>
          <w:rFonts w:hint="cs"/>
          <w:rtl/>
        </w:rPr>
        <w:t xml:space="preserve"> می‌توانستند نهایتا این موتور را کپی کرده و دائما آن را بهبود بخشند. در واقعیت، </w:t>
      </w:r>
      <w:r w:rsidRPr="0025250D">
        <w:rPr>
          <w:rtl/>
        </w:rPr>
        <w:t>چارلز پارسونز</w:t>
      </w:r>
      <w:r w:rsidRPr="0025250D">
        <w:rPr>
          <w:vertAlign w:val="superscript"/>
          <w:rtl/>
        </w:rPr>
        <w:footnoteReference w:id="859"/>
      </w:r>
      <w:r w:rsidRPr="0025250D">
        <w:rPr>
          <w:rFonts w:hint="cs"/>
          <w:rtl/>
        </w:rPr>
        <w:t xml:space="preserve"> توربین بخار را در 1884 پس از میلاد اختراع کرد. خلاف</w:t>
      </w:r>
      <w:r w:rsidR="00BB406C" w:rsidRPr="0025250D">
        <w:rPr>
          <w:rFonts w:hint="cs"/>
          <w:rtl/>
        </w:rPr>
        <w:t>‌</w:t>
      </w:r>
      <w:r w:rsidRPr="0025250D">
        <w:rPr>
          <w:rFonts w:hint="cs"/>
          <w:rtl/>
        </w:rPr>
        <w:t>آمدی ما</w:t>
      </w:r>
      <w:r w:rsidR="00BB406C" w:rsidRPr="0025250D">
        <w:rPr>
          <w:rFonts w:hint="cs"/>
          <w:rtl/>
        </w:rPr>
        <w:t xml:space="preserve"> با عنوان</w:t>
      </w:r>
      <w:r w:rsidRPr="0025250D">
        <w:rPr>
          <w:rFonts w:hint="cs"/>
          <w:rtl/>
        </w:rPr>
        <w:t xml:space="preserve"> </w:t>
      </w:r>
      <w:r w:rsidR="006335B8" w:rsidRPr="0025250D">
        <w:rPr>
          <w:rFonts w:hint="cs"/>
          <w:rtl/>
        </w:rPr>
        <w:t>«</w:t>
      </w:r>
      <w:r w:rsidRPr="0025250D">
        <w:rPr>
          <w:rFonts w:hint="cs"/>
          <w:rtl/>
        </w:rPr>
        <w:t>50 سال پس از میلاد: یک موتور بخار در روم باستان</w:t>
      </w:r>
      <w:r w:rsidRPr="0025250D">
        <w:rPr>
          <w:vertAlign w:val="superscript"/>
          <w:rtl/>
        </w:rPr>
        <w:footnoteReference w:id="860"/>
      </w:r>
      <w:r w:rsidR="006335B8" w:rsidRPr="0025250D">
        <w:rPr>
          <w:rFonts w:hint="cs"/>
          <w:rtl/>
        </w:rPr>
        <w:t>»</w:t>
      </w:r>
      <w:r w:rsidRPr="0025250D">
        <w:rPr>
          <w:rFonts w:hint="cs"/>
          <w:rtl/>
        </w:rPr>
        <w:t xml:space="preserve"> را برای اطلاعات بیش‌تر در مورد این داستان و این‌که چگونه عصر بخار</w:t>
      </w:r>
      <w:r w:rsidRPr="0025250D">
        <w:rPr>
          <w:rFonts w:hint="cs"/>
        </w:rPr>
        <w:t>‌</w:t>
      </w:r>
      <w:r w:rsidRPr="0025250D">
        <w:rPr>
          <w:rFonts w:hint="cs"/>
          <w:rtl/>
        </w:rPr>
        <w:t xml:space="preserve"> می‌توانست هزار و 500 سال قبل‌تر بر روی زمین رخ دهد، مطالعه کنید. </w:t>
      </w:r>
      <w:r w:rsidRPr="0025250D">
        <w:rPr>
          <w:rtl/>
        </w:rPr>
        <w:t>آینده‌نگاری</w:t>
      </w:r>
      <w:r w:rsidR="008D6F97" w:rsidRPr="0025250D">
        <w:rPr>
          <w:rtl/>
        </w:rPr>
        <w:t xml:space="preserve"> </w:t>
      </w:r>
      <w:r w:rsidRPr="0025250D">
        <w:rPr>
          <w:rFonts w:hint="cs"/>
          <w:rtl/>
        </w:rPr>
        <w:t>مهندسی</w:t>
      </w:r>
      <w:r w:rsidRPr="0025250D">
        <w:rPr>
          <w:vertAlign w:val="superscript"/>
          <w:rtl/>
        </w:rPr>
        <w:footnoteReference w:id="861"/>
      </w:r>
      <w:r w:rsidRPr="0025250D">
        <w:rPr>
          <w:rFonts w:hint="cs"/>
          <w:rtl/>
        </w:rPr>
        <w:t xml:space="preserve"> اهمیت دارد!</w:t>
      </w:r>
    </w:p>
    <w:p w14:paraId="3DA43148" w14:textId="3F8FF99B" w:rsidR="0020732A" w:rsidRPr="0025250D" w:rsidRDefault="0020732A" w:rsidP="006335B8">
      <w:pPr>
        <w:rPr>
          <w:rtl/>
        </w:rPr>
      </w:pPr>
      <w:r w:rsidRPr="0025250D">
        <w:rPr>
          <w:rFonts w:hint="cs"/>
          <w:rtl/>
        </w:rPr>
        <w:lastRenderedPageBreak/>
        <w:t>در 1000 سال پس از میلاد مسیح، آیا وایکینگ‌های اهل اسکاندیناوی</w:t>
      </w:r>
      <w:r w:rsidRPr="0025250D">
        <w:rPr>
          <w:rFonts w:hint="cs"/>
        </w:rPr>
        <w:t>‌</w:t>
      </w:r>
      <w:r w:rsidRPr="0025250D">
        <w:rPr>
          <w:rFonts w:hint="cs"/>
          <w:rtl/>
        </w:rPr>
        <w:t xml:space="preserve"> می‌توانستند </w:t>
      </w:r>
      <w:r w:rsidRPr="0025250D">
        <w:rPr>
          <w:rtl/>
        </w:rPr>
        <w:t>ن</w:t>
      </w:r>
      <w:r w:rsidRPr="0025250D">
        <w:rPr>
          <w:rFonts w:hint="cs"/>
          <w:rtl/>
        </w:rPr>
        <w:t>ی</w:t>
      </w:r>
      <w:r w:rsidRPr="0025250D">
        <w:rPr>
          <w:rFonts w:hint="eastAsia"/>
          <w:rtl/>
        </w:rPr>
        <w:t>وفاندلند</w:t>
      </w:r>
      <w:r w:rsidRPr="0025250D">
        <w:rPr>
          <w:vertAlign w:val="superscript"/>
          <w:rtl/>
        </w:rPr>
        <w:footnoteReference w:id="862"/>
      </w:r>
      <w:r w:rsidRPr="0025250D">
        <w:rPr>
          <w:rFonts w:hint="cs"/>
          <w:rtl/>
        </w:rPr>
        <w:t xml:space="preserve"> را استعمار کنند و یک حکومت </w:t>
      </w:r>
      <w:r w:rsidR="00EE4B64" w:rsidRPr="0025250D">
        <w:rPr>
          <w:rFonts w:hint="cs"/>
          <w:rtl/>
        </w:rPr>
        <w:t>مردم‌سالار</w:t>
      </w:r>
      <w:r w:rsidRPr="0025250D">
        <w:rPr>
          <w:rFonts w:hint="cs"/>
          <w:rtl/>
        </w:rPr>
        <w:t xml:space="preserve"> اسکاندیناویایی را در آمریکای شمالی در 700 سال پیش از ایالات متحده پدید آورند؟ به نظر اینطور</w:t>
      </w:r>
      <w:r w:rsidRPr="0025250D">
        <w:rPr>
          <w:rFonts w:hint="cs"/>
        </w:rPr>
        <w:t>‌</w:t>
      </w:r>
      <w:r w:rsidRPr="0025250D">
        <w:rPr>
          <w:rFonts w:hint="cs"/>
          <w:rtl/>
        </w:rPr>
        <w:t xml:space="preserve"> می‌رسد. </w:t>
      </w:r>
      <w:r w:rsidR="00EE4B64" w:rsidRPr="0025250D">
        <w:rPr>
          <w:rFonts w:hint="cs"/>
          <w:rtl/>
        </w:rPr>
        <w:t>مردم‌سالار</w:t>
      </w:r>
      <w:r w:rsidRPr="0025250D">
        <w:rPr>
          <w:rFonts w:hint="cs"/>
          <w:rtl/>
        </w:rPr>
        <w:t xml:space="preserve">ی اسکاندیناویایی در ایسلند در 930 سال قبل از میلاد مسیح آغاز شد و سکونت آن‌ها در </w:t>
      </w:r>
      <w:r w:rsidRPr="0025250D">
        <w:rPr>
          <w:rtl/>
        </w:rPr>
        <w:t>گر</w:t>
      </w:r>
      <w:r w:rsidRPr="0025250D">
        <w:rPr>
          <w:rFonts w:hint="cs"/>
          <w:rtl/>
        </w:rPr>
        <w:t>ی</w:t>
      </w:r>
      <w:r w:rsidRPr="0025250D">
        <w:rPr>
          <w:rFonts w:hint="eastAsia"/>
          <w:rtl/>
        </w:rPr>
        <w:t>نلند</w:t>
      </w:r>
      <w:r w:rsidRPr="0025250D">
        <w:rPr>
          <w:rFonts w:hint="cs"/>
          <w:rtl/>
        </w:rPr>
        <w:t xml:space="preserve"> در سال 980 میلادی آغاز شد و 500 سال ادامه یافت و حداقل 400 مزرعه با تولید کم و 2500 نفر سکنه داشت. سفر اکتشافی </w:t>
      </w:r>
      <w:r w:rsidRPr="0025250D">
        <w:rPr>
          <w:rtl/>
        </w:rPr>
        <w:t>تورف</w:t>
      </w:r>
      <w:r w:rsidRPr="0025250D">
        <w:rPr>
          <w:rFonts w:hint="cs"/>
          <w:rtl/>
        </w:rPr>
        <w:t>ی</w:t>
      </w:r>
      <w:r w:rsidRPr="0025250D">
        <w:rPr>
          <w:rFonts w:hint="eastAsia"/>
          <w:rtl/>
        </w:rPr>
        <w:t>ن</w:t>
      </w:r>
      <w:r w:rsidRPr="0025250D">
        <w:rPr>
          <w:rtl/>
        </w:rPr>
        <w:t xml:space="preserve"> کارلسفن</w:t>
      </w:r>
      <w:r w:rsidRPr="0025250D">
        <w:rPr>
          <w:rFonts w:hint="cs"/>
          <w:rtl/>
        </w:rPr>
        <w:t>ی</w:t>
      </w:r>
      <w:r w:rsidRPr="0025250D">
        <w:rPr>
          <w:vertAlign w:val="superscript"/>
          <w:rtl/>
        </w:rPr>
        <w:footnoteReference w:id="863"/>
      </w:r>
      <w:r w:rsidRPr="0025250D">
        <w:rPr>
          <w:rFonts w:hint="cs"/>
          <w:rtl/>
        </w:rPr>
        <w:t xml:space="preserve"> از </w:t>
      </w:r>
      <w:r w:rsidRPr="0025250D">
        <w:rPr>
          <w:rtl/>
        </w:rPr>
        <w:t>گر</w:t>
      </w:r>
      <w:r w:rsidRPr="0025250D">
        <w:rPr>
          <w:rFonts w:hint="cs"/>
          <w:rtl/>
        </w:rPr>
        <w:t>ی</w:t>
      </w:r>
      <w:r w:rsidRPr="0025250D">
        <w:rPr>
          <w:rFonts w:hint="eastAsia"/>
          <w:rtl/>
        </w:rPr>
        <w:t>نلند</w:t>
      </w:r>
      <w:r w:rsidRPr="0025250D">
        <w:rPr>
          <w:rFonts w:hint="cs"/>
          <w:rtl/>
        </w:rPr>
        <w:t xml:space="preserve"> به جزیره </w:t>
      </w:r>
      <w:r w:rsidRPr="0025250D">
        <w:rPr>
          <w:rtl/>
        </w:rPr>
        <w:t>ن</w:t>
      </w:r>
      <w:r w:rsidRPr="0025250D">
        <w:rPr>
          <w:rFonts w:hint="cs"/>
          <w:rtl/>
        </w:rPr>
        <w:t>ی</w:t>
      </w:r>
      <w:r w:rsidRPr="0025250D">
        <w:rPr>
          <w:rFonts w:hint="eastAsia"/>
          <w:rtl/>
        </w:rPr>
        <w:t>وفاندلند</w:t>
      </w:r>
      <w:r w:rsidRPr="0025250D">
        <w:rPr>
          <w:rFonts w:hint="cs"/>
          <w:rtl/>
        </w:rPr>
        <w:t xml:space="preserve"> در سال 1009 شامل 160 تا 250 نفر بود و تنها یکی از چندین سفر اکتشافی به آمریکای شمالی از گرینلند بود. اگر در هر نقطه‌ای در آن 500 سال اسکاندیناوی‌ها </w:t>
      </w:r>
      <w:r w:rsidRPr="0025250D">
        <w:rPr>
          <w:rtl/>
        </w:rPr>
        <w:t>آینده‌نگاری</w:t>
      </w:r>
      <w:r w:rsidRPr="0025250D">
        <w:rPr>
          <w:rFonts w:hint="cs"/>
          <w:rtl/>
        </w:rPr>
        <w:t xml:space="preserve"> لازم برای ساختن 5 سکونتگاه یا بیش‌تر را به‌صورت موازی، هر یک بر روی جزایر متفاوتی در قلمرو‌های سرخپوستان داشتند و دائما به دنبال تجارت غذا و ابزار بودند، برخی از سکونتگاه‌های آن‌ها</w:t>
      </w:r>
      <w:r w:rsidRPr="0025250D">
        <w:rPr>
          <w:rFonts w:hint="cs"/>
        </w:rPr>
        <w:t>‌</w:t>
      </w:r>
      <w:r w:rsidRPr="0025250D">
        <w:rPr>
          <w:rFonts w:hint="cs"/>
          <w:rtl/>
        </w:rPr>
        <w:t xml:space="preserve"> می‌توانستند ترقی کنند و ممکن بود </w:t>
      </w:r>
      <w:r w:rsidRPr="0025250D">
        <w:rPr>
          <w:rtl/>
        </w:rPr>
        <w:t>گر</w:t>
      </w:r>
      <w:r w:rsidRPr="0025250D">
        <w:rPr>
          <w:rFonts w:hint="cs"/>
          <w:rtl/>
        </w:rPr>
        <w:t>ی</w:t>
      </w:r>
      <w:r w:rsidRPr="0025250D">
        <w:rPr>
          <w:rFonts w:hint="eastAsia"/>
          <w:rtl/>
        </w:rPr>
        <w:t>نلند</w:t>
      </w:r>
      <w:r w:rsidRPr="0025250D">
        <w:rPr>
          <w:rtl/>
        </w:rPr>
        <w:t xml:space="preserve"> </w:t>
      </w:r>
      <w:r w:rsidR="00303635" w:rsidRPr="0025250D">
        <w:rPr>
          <w:rFonts w:hint="cs"/>
          <w:rtl/>
        </w:rPr>
        <w:t>ایستگاه بین راهی</w:t>
      </w:r>
      <w:r w:rsidRPr="0025250D">
        <w:rPr>
          <w:rFonts w:hint="cs"/>
          <w:rtl/>
        </w:rPr>
        <w:t xml:space="preserve"> متروکه نشود. حملات به سکونتگاه‌ها</w:t>
      </w:r>
      <w:r w:rsidRPr="0025250D">
        <w:rPr>
          <w:rFonts w:hint="cs"/>
        </w:rPr>
        <w:t>‌</w:t>
      </w:r>
      <w:r w:rsidRPr="0025250D">
        <w:rPr>
          <w:rFonts w:hint="cs"/>
          <w:rtl/>
        </w:rPr>
        <w:t xml:space="preserve"> می‌توانستند در زمان‌های مختلفی در مکان‌های مختلف رخ دهند، زیرا هر قبیله بومی از نظر فرهنگ و باورها متفاوت بود و فاقد قایق‌ها، زیرساخت و اعتماد برای ارتباطات گسترده قاره‌ای بود. اسکاندیناویایی‌ها از کشته شدن در اولین رویارویی</w:t>
      </w:r>
      <w:r w:rsidR="00EE4B64" w:rsidRPr="0025250D">
        <w:rPr>
          <w:rFonts w:hint="cs"/>
          <w:rtl/>
        </w:rPr>
        <w:t xml:space="preserve"> نمی‌</w:t>
      </w:r>
      <w:r w:rsidRPr="0025250D">
        <w:rPr>
          <w:rFonts w:hint="cs"/>
          <w:rtl/>
        </w:rPr>
        <w:t>ترسیدند و قبایل متعددی</w:t>
      </w:r>
      <w:r w:rsidRPr="0025250D">
        <w:rPr>
          <w:rFonts w:hint="cs"/>
        </w:rPr>
        <w:t>‌</w:t>
      </w:r>
      <w:r w:rsidRPr="0025250D">
        <w:rPr>
          <w:rFonts w:hint="cs"/>
          <w:rtl/>
        </w:rPr>
        <w:t xml:space="preserve"> می‌توانستند با اروپایی‌ها تجارت داشته و هدایای ارزشمندی به همراه داشته باشند. برخی ملل سرخپوست</w:t>
      </w:r>
      <w:r w:rsidRPr="0025250D">
        <w:rPr>
          <w:rFonts w:hint="cs"/>
        </w:rPr>
        <w:t>‌</w:t>
      </w:r>
      <w:r w:rsidRPr="0025250D">
        <w:rPr>
          <w:rFonts w:hint="cs"/>
          <w:rtl/>
        </w:rPr>
        <w:t xml:space="preserve"> می‌توانستند به متحدان، دیده بانان و مدافعان تبدیل شوند، </w:t>
      </w:r>
      <w:r w:rsidR="007118DE" w:rsidRPr="0025250D">
        <w:rPr>
          <w:rFonts w:hint="cs"/>
          <w:rtl/>
        </w:rPr>
        <w:t>همان‌طور</w:t>
      </w:r>
      <w:r w:rsidRPr="0025250D">
        <w:rPr>
          <w:rFonts w:hint="cs"/>
          <w:rtl/>
        </w:rPr>
        <w:t xml:space="preserve"> که 100‌ها سال بعد این اتفاق رخ داد. اگر اسکاندیناویایی‌ها</w:t>
      </w:r>
      <w:r w:rsidRPr="0025250D">
        <w:rPr>
          <w:rFonts w:hint="cs"/>
        </w:rPr>
        <w:t>‌</w:t>
      </w:r>
      <w:r w:rsidRPr="0025250D">
        <w:rPr>
          <w:rFonts w:hint="cs"/>
          <w:rtl/>
        </w:rPr>
        <w:t xml:space="preserve"> می‌توانستند مزایای تحرک، تجارت و اعتماد </w:t>
      </w:r>
      <w:r w:rsidR="00701E03" w:rsidRPr="0025250D">
        <w:rPr>
          <w:rFonts w:hint="cs"/>
          <w:rtl/>
        </w:rPr>
        <w:t>راهبردی</w:t>
      </w:r>
      <w:r w:rsidRPr="0025250D">
        <w:rPr>
          <w:rFonts w:hint="cs"/>
          <w:rtl/>
        </w:rPr>
        <w:t xml:space="preserve"> را تشخیص دهند و از آن‌ها به شدت در جهان جدید بهره ببرند،</w:t>
      </w:r>
      <w:r w:rsidRPr="0025250D">
        <w:rPr>
          <w:rFonts w:hint="cs"/>
        </w:rPr>
        <w:t>‌</w:t>
      </w:r>
      <w:r w:rsidRPr="0025250D">
        <w:rPr>
          <w:rFonts w:hint="cs"/>
          <w:rtl/>
        </w:rPr>
        <w:t xml:space="preserve"> می‌توانستیم 700 سال قبل‌تر یک </w:t>
      </w:r>
      <w:r w:rsidR="00EE4B64" w:rsidRPr="0025250D">
        <w:rPr>
          <w:rFonts w:hint="cs"/>
          <w:rtl/>
        </w:rPr>
        <w:t>مردم‌سالار</w:t>
      </w:r>
      <w:r w:rsidRPr="0025250D">
        <w:rPr>
          <w:rFonts w:hint="cs"/>
          <w:rtl/>
        </w:rPr>
        <w:t xml:space="preserve">ی </w:t>
      </w:r>
      <w:r w:rsidR="007A53FD" w:rsidRPr="0025250D">
        <w:rPr>
          <w:rFonts w:hint="cs"/>
          <w:rtl/>
        </w:rPr>
        <w:t>فناورانه</w:t>
      </w:r>
      <w:r w:rsidRPr="0025250D">
        <w:rPr>
          <w:rFonts w:hint="cs"/>
          <w:rtl/>
        </w:rPr>
        <w:t xml:space="preserve"> غربی در آمریکای شمالی داشته باشیم</w:t>
      </w:r>
      <w:r w:rsidR="008D6F97" w:rsidRPr="0025250D">
        <w:rPr>
          <w:rtl/>
        </w:rPr>
        <w:t>؛ و</w:t>
      </w:r>
      <w:r w:rsidRPr="0025250D">
        <w:rPr>
          <w:rFonts w:hint="cs"/>
          <w:rtl/>
        </w:rPr>
        <w:t xml:space="preserve"> این چه نتایجی</w:t>
      </w:r>
      <w:r w:rsidRPr="0025250D">
        <w:rPr>
          <w:rFonts w:hint="cs"/>
        </w:rPr>
        <w:t>‌</w:t>
      </w:r>
      <w:r w:rsidRPr="0025250D">
        <w:rPr>
          <w:rFonts w:hint="cs"/>
          <w:rtl/>
        </w:rPr>
        <w:t xml:space="preserve"> می‌توانست برای ما داشته باشد؟ </w:t>
      </w:r>
      <w:r w:rsidR="006335B8" w:rsidRPr="0025250D">
        <w:rPr>
          <w:rFonts w:hint="cs"/>
          <w:rtl/>
        </w:rPr>
        <w:t>«</w:t>
      </w:r>
      <w:r w:rsidRPr="0025250D">
        <w:rPr>
          <w:rFonts w:hint="cs"/>
          <w:rtl/>
        </w:rPr>
        <w:t xml:space="preserve">1000 سال پس از میلاد مسیح: یک </w:t>
      </w:r>
      <w:r w:rsidR="00EE4B64" w:rsidRPr="0025250D">
        <w:rPr>
          <w:rFonts w:hint="cs"/>
          <w:rtl/>
        </w:rPr>
        <w:t>مردم‌سالار</w:t>
      </w:r>
      <w:r w:rsidRPr="0025250D">
        <w:rPr>
          <w:rFonts w:hint="cs"/>
          <w:rtl/>
        </w:rPr>
        <w:t>ی اسکاندیناویایی در آمریکا</w:t>
      </w:r>
      <w:r w:rsidRPr="0025250D">
        <w:rPr>
          <w:vertAlign w:val="superscript"/>
          <w:rtl/>
        </w:rPr>
        <w:footnoteReference w:id="864"/>
      </w:r>
      <w:r w:rsidR="006335B8" w:rsidRPr="0025250D">
        <w:rPr>
          <w:rFonts w:hint="cs"/>
          <w:rtl/>
        </w:rPr>
        <w:t>»</w:t>
      </w:r>
      <w:r w:rsidRPr="0025250D">
        <w:rPr>
          <w:rFonts w:hint="cs"/>
          <w:rtl/>
        </w:rPr>
        <w:t xml:space="preserve"> را برای اطلاعات و جزئیات بیش‌تر مطالعه نمایید. </w:t>
      </w:r>
      <w:r w:rsidRPr="0025250D">
        <w:rPr>
          <w:rtl/>
        </w:rPr>
        <w:t>آینده‌نگاری</w:t>
      </w:r>
      <w:r w:rsidR="008D6F97" w:rsidRPr="0025250D">
        <w:rPr>
          <w:rtl/>
        </w:rPr>
        <w:t xml:space="preserve"> </w:t>
      </w:r>
      <w:r w:rsidRPr="0025250D">
        <w:rPr>
          <w:rFonts w:hint="cs"/>
          <w:rtl/>
        </w:rPr>
        <w:t>اکتشافی</w:t>
      </w:r>
      <w:r w:rsidRPr="0025250D">
        <w:rPr>
          <w:vertAlign w:val="superscript"/>
          <w:rtl/>
        </w:rPr>
        <w:footnoteReference w:id="865"/>
      </w:r>
      <w:r w:rsidRPr="0025250D">
        <w:rPr>
          <w:rFonts w:hint="cs"/>
          <w:rtl/>
        </w:rPr>
        <w:t xml:space="preserve"> اهمیت دارد!</w:t>
      </w:r>
    </w:p>
    <w:p w14:paraId="5F03745E" w14:textId="1BC78F98" w:rsidR="0020732A" w:rsidRPr="0025250D" w:rsidRDefault="0020732A" w:rsidP="006335B8">
      <w:pPr>
        <w:rPr>
          <w:rtl/>
        </w:rPr>
      </w:pPr>
      <w:r w:rsidRPr="0025250D">
        <w:rPr>
          <w:rFonts w:hint="cs"/>
          <w:rtl/>
        </w:rPr>
        <w:t>در سال 1912، آیا همه مسافران کشتی و حتی خود کشتی تایتانیک</w:t>
      </w:r>
      <w:r w:rsidRPr="0025250D">
        <w:rPr>
          <w:rFonts w:hint="cs"/>
        </w:rPr>
        <w:t>‌</w:t>
      </w:r>
      <w:r w:rsidRPr="0025250D">
        <w:rPr>
          <w:rFonts w:hint="cs"/>
          <w:rtl/>
        </w:rPr>
        <w:t xml:space="preserve"> می‌توانستند با تغییر جهت به سمت کوه یخی که کشتی در واقعیت به آن برخورد کرد و با استفاده از جرثقیل‌ها، کابل‌های فولادی، میله‌های فولادی و چکش‌هایی که در جلوی کشتی قرار داشتند به کوه یخ ضربه بزنند و از آب گرفتگی بخش‌های عقبی کشتی جلوگیری کنند؟ قطعا اینطور به نظر</w:t>
      </w:r>
      <w:r w:rsidRPr="0025250D">
        <w:rPr>
          <w:rFonts w:hint="cs"/>
        </w:rPr>
        <w:t>‌</w:t>
      </w:r>
      <w:r w:rsidRPr="0025250D">
        <w:rPr>
          <w:rFonts w:hint="cs"/>
          <w:rtl/>
        </w:rPr>
        <w:t xml:space="preserve"> می‌رسد. حداقل، کشتی با سرعت بسیار</w:t>
      </w:r>
      <w:r w:rsidR="00BB406C" w:rsidRPr="0025250D">
        <w:rPr>
          <w:rFonts w:hint="cs"/>
          <w:rtl/>
        </w:rPr>
        <w:t xml:space="preserve"> کم‌تر</w:t>
      </w:r>
      <w:r w:rsidRPr="0025250D">
        <w:rPr>
          <w:rFonts w:hint="cs"/>
          <w:rtl/>
        </w:rPr>
        <w:t>ی غرق</w:t>
      </w:r>
      <w:r w:rsidRPr="0025250D">
        <w:rPr>
          <w:rFonts w:hint="cs"/>
        </w:rPr>
        <w:t>‌</w:t>
      </w:r>
      <w:r w:rsidRPr="0025250D">
        <w:rPr>
          <w:rFonts w:hint="cs"/>
          <w:rtl/>
        </w:rPr>
        <w:t xml:space="preserve"> می‌شد و صد‌ها مسافر دیگر</w:t>
      </w:r>
      <w:r w:rsidRPr="0025250D">
        <w:rPr>
          <w:rFonts w:hint="cs"/>
        </w:rPr>
        <w:t>‌</w:t>
      </w:r>
      <w:r w:rsidRPr="0025250D">
        <w:rPr>
          <w:rFonts w:hint="cs"/>
          <w:rtl/>
        </w:rPr>
        <w:t xml:space="preserve"> می‌توانستند بر روی خود کوه یخ، قایق‌های نجات و الوار‌ها قبل از غرق شدن کشتی و قبل از رسیدن قایق‌های نجات در صبح روز بعد تخلیه شوند</w:t>
      </w:r>
      <w:r w:rsidR="008D6F97" w:rsidRPr="0025250D">
        <w:rPr>
          <w:rtl/>
        </w:rPr>
        <w:t xml:space="preserve">؛ </w:t>
      </w:r>
      <w:r w:rsidR="0020589F" w:rsidRPr="0025250D">
        <w:rPr>
          <w:rtl/>
        </w:rPr>
        <w:t>اما</w:t>
      </w:r>
      <w:r w:rsidRPr="0025250D">
        <w:rPr>
          <w:rFonts w:hint="cs"/>
          <w:rtl/>
        </w:rPr>
        <w:t xml:space="preserve"> برای یافتن این </w:t>
      </w:r>
      <w:r w:rsidR="00923DDB" w:rsidRPr="0025250D">
        <w:rPr>
          <w:rFonts w:hint="cs"/>
          <w:rtl/>
        </w:rPr>
        <w:t>راه‌حل</w:t>
      </w:r>
      <w:r w:rsidRPr="0025250D">
        <w:rPr>
          <w:rFonts w:hint="cs"/>
          <w:rtl/>
        </w:rPr>
        <w:t xml:space="preserve"> در دو ساعتی که در اختیار داشتند، رهبران کشتی احتمالا به یک فرایند حل مسئله باز‌تر و مشارکتی‌تر نسبت به فرایند‌های بسته، </w:t>
      </w:r>
      <w:r w:rsidR="009D17DA" w:rsidRPr="0025250D">
        <w:rPr>
          <w:rFonts w:hint="cs"/>
          <w:rtl/>
        </w:rPr>
        <w:t>بالا‌به‌پایین</w:t>
      </w:r>
      <w:r w:rsidRPr="0025250D">
        <w:rPr>
          <w:rFonts w:hint="cs"/>
          <w:rtl/>
        </w:rPr>
        <w:t xml:space="preserve"> و بی توجه به اطلاعاتی که کاپیتان کشتی در حقیقت از آن‌ها استفاده کرد، نیاز داشتند.</w:t>
      </w:r>
      <w:r w:rsidR="00BB406C" w:rsidRPr="0025250D">
        <w:rPr>
          <w:rFonts w:hint="cs"/>
          <w:rtl/>
        </w:rPr>
        <w:t xml:space="preserve"> </w:t>
      </w:r>
      <w:r w:rsidR="006335B8" w:rsidRPr="0025250D">
        <w:rPr>
          <w:rFonts w:hint="cs"/>
          <w:rtl/>
        </w:rPr>
        <w:t>«</w:t>
      </w:r>
      <w:r w:rsidRPr="0025250D">
        <w:rPr>
          <w:rFonts w:hint="cs"/>
          <w:rtl/>
        </w:rPr>
        <w:t>1912: نجات تایتانیک (</w:t>
      </w:r>
      <w:r w:rsidRPr="0025250D">
        <w:rPr>
          <w:rtl/>
        </w:rPr>
        <w:t>آینده‌نگاری</w:t>
      </w:r>
      <w:r w:rsidR="008D6F97" w:rsidRPr="0025250D">
        <w:rPr>
          <w:rtl/>
        </w:rPr>
        <w:t xml:space="preserve"> </w:t>
      </w:r>
      <w:r w:rsidRPr="0025250D">
        <w:rPr>
          <w:rFonts w:hint="cs"/>
          <w:rtl/>
        </w:rPr>
        <w:t>مشارکتی)</w:t>
      </w:r>
      <w:r w:rsidRPr="0025250D">
        <w:rPr>
          <w:vertAlign w:val="superscript"/>
          <w:rtl/>
        </w:rPr>
        <w:footnoteReference w:id="866"/>
      </w:r>
      <w:r w:rsidR="006335B8" w:rsidRPr="0025250D">
        <w:rPr>
          <w:rFonts w:hint="cs"/>
          <w:rtl/>
        </w:rPr>
        <w:t>»</w:t>
      </w:r>
      <w:r w:rsidRPr="0025250D">
        <w:rPr>
          <w:rFonts w:hint="cs"/>
          <w:rtl/>
        </w:rPr>
        <w:t xml:space="preserve"> را برای اطلاعات و جزئیات بیش‌تر ببینید. فرایند </w:t>
      </w:r>
      <w:r w:rsidRPr="0025250D">
        <w:rPr>
          <w:rtl/>
        </w:rPr>
        <w:t>آینده‌نگاری</w:t>
      </w:r>
      <w:r w:rsidRPr="0025250D">
        <w:rPr>
          <w:rFonts w:hint="cs"/>
          <w:rtl/>
        </w:rPr>
        <w:t xml:space="preserve"> اهمیت دارد!</w:t>
      </w:r>
    </w:p>
    <w:p w14:paraId="2294127E" w14:textId="175AD330" w:rsidR="0020732A" w:rsidRPr="0025250D" w:rsidRDefault="0020732A" w:rsidP="0020732A">
      <w:pPr>
        <w:rPr>
          <w:rtl/>
        </w:rPr>
      </w:pPr>
      <w:r w:rsidRPr="0025250D">
        <w:rPr>
          <w:rFonts w:hint="cs"/>
          <w:rtl/>
        </w:rPr>
        <w:t>در سال 1938، آیا</w:t>
      </w:r>
      <w:r w:rsidRPr="0025250D">
        <w:rPr>
          <w:rFonts w:hint="cs"/>
        </w:rPr>
        <w:t>‌</w:t>
      </w:r>
      <w:r w:rsidRPr="0025250D">
        <w:rPr>
          <w:rFonts w:hint="cs"/>
          <w:rtl/>
        </w:rPr>
        <w:t xml:space="preserve"> می‌توانستیم یک الحاقیه قانون اساسی آمریکا به رهبری رئیس جمهور فرانکلین روزولت</w:t>
      </w:r>
      <w:r w:rsidRPr="0025250D">
        <w:rPr>
          <w:vertAlign w:val="superscript"/>
          <w:rtl/>
        </w:rPr>
        <w:footnoteReference w:id="867"/>
      </w:r>
      <w:r w:rsidRPr="0025250D">
        <w:rPr>
          <w:rFonts w:hint="cs"/>
          <w:rtl/>
        </w:rPr>
        <w:t xml:space="preserve"> داشته</w:t>
      </w:r>
      <w:r w:rsidRPr="0025250D">
        <w:rPr>
          <w:rtl/>
        </w:rPr>
        <w:t xml:space="preserve"> </w:t>
      </w:r>
      <w:r w:rsidRPr="0025250D">
        <w:rPr>
          <w:rFonts w:hint="cs"/>
          <w:rtl/>
        </w:rPr>
        <w:t>باشیم</w:t>
      </w:r>
      <w:r w:rsidRPr="0025250D">
        <w:rPr>
          <w:rtl/>
        </w:rPr>
        <w:t xml:space="preserve"> </w:t>
      </w:r>
      <w:r w:rsidRPr="0025250D">
        <w:rPr>
          <w:rFonts w:hint="cs"/>
          <w:rtl/>
        </w:rPr>
        <w:t>که ملزم</w:t>
      </w:r>
      <w:r w:rsidRPr="0025250D">
        <w:rPr>
          <w:rFonts w:hint="cs"/>
        </w:rPr>
        <w:t>‌</w:t>
      </w:r>
      <w:r w:rsidRPr="0025250D">
        <w:rPr>
          <w:rFonts w:hint="cs"/>
          <w:rtl/>
        </w:rPr>
        <w:t xml:space="preserve"> می‌کرد که هر رئیس جمهور</w:t>
      </w:r>
      <w:r w:rsidRPr="0025250D">
        <w:rPr>
          <w:rFonts w:hint="cs"/>
        </w:rPr>
        <w:t>‌</w:t>
      </w:r>
      <w:r w:rsidRPr="0025250D">
        <w:rPr>
          <w:rFonts w:hint="cs"/>
          <w:rtl/>
        </w:rPr>
        <w:t xml:space="preserve"> می‌بایست هر جنگ خارجی را در سخنرانی سالانه خود در مورد وضعیت کشور توجیه کند و هر چهار سال یک بار یک همه پرسی ملی در مورد هر جنگی، در مورد این‌که آیا مردمی که با جان و مال خود هزینه آن را</w:t>
      </w:r>
      <w:r w:rsidRPr="0025250D">
        <w:rPr>
          <w:rFonts w:hint="cs"/>
        </w:rPr>
        <w:t>‌</w:t>
      </w:r>
      <w:r w:rsidRPr="0025250D">
        <w:rPr>
          <w:rFonts w:hint="cs"/>
          <w:rtl/>
        </w:rPr>
        <w:t xml:space="preserve"> می‌دهند با ادامه آن موافق هستند یا خیر، برگزار شود؟ ایجاد این </w:t>
      </w:r>
      <w:r w:rsidR="0053184A" w:rsidRPr="0025250D">
        <w:rPr>
          <w:rFonts w:hint="cs"/>
          <w:rtl/>
        </w:rPr>
        <w:t>سازوکار</w:t>
      </w:r>
      <w:r w:rsidRPr="0025250D">
        <w:rPr>
          <w:rFonts w:hint="cs"/>
          <w:rtl/>
        </w:rPr>
        <w:t xml:space="preserve"> نظارتی </w:t>
      </w:r>
      <w:r w:rsidR="00EE4B64" w:rsidRPr="0025250D">
        <w:rPr>
          <w:rFonts w:hint="cs"/>
          <w:rtl/>
        </w:rPr>
        <w:t>مردم‌سالار</w:t>
      </w:r>
      <w:r w:rsidRPr="0025250D">
        <w:rPr>
          <w:rFonts w:hint="cs"/>
          <w:rtl/>
        </w:rPr>
        <w:t xml:space="preserve"> برای تمدید جنگ در حقیقت در آن زمان </w:t>
      </w:r>
      <w:r w:rsidR="00923DDB" w:rsidRPr="0025250D">
        <w:rPr>
          <w:rFonts w:hint="cs"/>
          <w:rtl/>
        </w:rPr>
        <w:t>باورپذیر</w:t>
      </w:r>
      <w:r w:rsidRPr="0025250D">
        <w:rPr>
          <w:rFonts w:hint="cs"/>
          <w:rtl/>
        </w:rPr>
        <w:t xml:space="preserve"> بود. در سال 1934، در پاسخ به دو کتاب رایج و پر مخاطب در مورد سوء استفاده گسترده از جنگ آمریکا و اروپا در طول جنگ جهانی اول، کمیسیون </w:t>
      </w:r>
      <w:r w:rsidRPr="0025250D">
        <w:rPr>
          <w:rtl/>
        </w:rPr>
        <w:t>نا</w:t>
      </w:r>
      <w:r w:rsidRPr="0025250D">
        <w:rPr>
          <w:rFonts w:hint="cs"/>
          <w:rtl/>
        </w:rPr>
        <w:t>ی</w:t>
      </w:r>
      <w:r w:rsidRPr="0025250D">
        <w:rPr>
          <w:vertAlign w:val="superscript"/>
          <w:rtl/>
        </w:rPr>
        <w:footnoteReference w:id="868"/>
      </w:r>
      <w:r w:rsidRPr="0025250D">
        <w:rPr>
          <w:rFonts w:hint="cs"/>
          <w:rtl/>
        </w:rPr>
        <w:t xml:space="preserve"> مجلس سنای آمریکا مدارکی از تثبیت قیمت‌ها و سود غیرموجه صنعت تسلیحات آمریکا در طول جنگ و فشار سیاسی توسط مدیران عامل بانک آمریکا بر رئیس جمهور </w:t>
      </w:r>
      <w:r w:rsidRPr="0025250D">
        <w:rPr>
          <w:rtl/>
        </w:rPr>
        <w:t>وودرو و</w:t>
      </w:r>
      <w:r w:rsidRPr="0025250D">
        <w:rPr>
          <w:rFonts w:hint="cs"/>
          <w:rtl/>
        </w:rPr>
        <w:t>ی</w:t>
      </w:r>
      <w:r w:rsidRPr="0025250D">
        <w:rPr>
          <w:rFonts w:hint="eastAsia"/>
          <w:rtl/>
        </w:rPr>
        <w:t>لسون</w:t>
      </w:r>
      <w:r w:rsidRPr="0025250D">
        <w:rPr>
          <w:vertAlign w:val="superscript"/>
          <w:rtl/>
        </w:rPr>
        <w:footnoteReference w:id="869"/>
      </w:r>
      <w:r w:rsidRPr="0025250D">
        <w:rPr>
          <w:rFonts w:hint="cs"/>
          <w:rtl/>
        </w:rPr>
        <w:t xml:space="preserve"> برای مداخله در جنگ جهانی اول جهت حفاظت از وام‌های خارجی خود یافت. در پاسخ، سناتور </w:t>
      </w:r>
      <w:r w:rsidRPr="0025250D">
        <w:rPr>
          <w:rtl/>
        </w:rPr>
        <w:t>لو</w:t>
      </w:r>
      <w:r w:rsidRPr="0025250D">
        <w:rPr>
          <w:rFonts w:hint="cs"/>
          <w:rtl/>
        </w:rPr>
        <w:t>یی</w:t>
      </w:r>
      <w:r w:rsidRPr="0025250D">
        <w:rPr>
          <w:rtl/>
        </w:rPr>
        <w:t xml:space="preserve"> لودلو</w:t>
      </w:r>
      <w:r w:rsidRPr="0025250D">
        <w:rPr>
          <w:vertAlign w:val="superscript"/>
          <w:rtl/>
        </w:rPr>
        <w:footnoteReference w:id="870"/>
      </w:r>
      <w:r w:rsidRPr="0025250D">
        <w:rPr>
          <w:rFonts w:hint="cs"/>
          <w:rtl/>
        </w:rPr>
        <w:t xml:space="preserve"> الحاقیه </w:t>
      </w:r>
      <w:r w:rsidRPr="0025250D">
        <w:rPr>
          <w:rtl/>
        </w:rPr>
        <w:t>لودلو</w:t>
      </w:r>
      <w:r w:rsidRPr="0025250D">
        <w:rPr>
          <w:rFonts w:hint="cs"/>
          <w:rtl/>
        </w:rPr>
        <w:t xml:space="preserve">، یک همه پرسی عمومی در مورد جنگ را بار‌ها بین سال‌های 1935 و 1940 ارائه نمود. در سال 1938 در کنگره آمریکا در مورد آن رأی گیری شد و محبوبیت عمومی آن تا 75 درصد اوج گرفت. این الحاقیه به شدت مورد مخالفت رئیس جمهور </w:t>
      </w:r>
      <w:r w:rsidRPr="0025250D">
        <w:rPr>
          <w:rtl/>
        </w:rPr>
        <w:t>روزولت</w:t>
      </w:r>
      <w:r w:rsidRPr="0025250D">
        <w:rPr>
          <w:vertAlign w:val="superscript"/>
          <w:rtl/>
        </w:rPr>
        <w:footnoteReference w:id="871"/>
      </w:r>
      <w:r w:rsidRPr="0025250D">
        <w:rPr>
          <w:rFonts w:hint="cs"/>
          <w:rtl/>
        </w:rPr>
        <w:t xml:space="preserve"> قرار گرفت که خواستار آزادی برای </w:t>
      </w:r>
      <w:r w:rsidR="0008779C" w:rsidRPr="0025250D">
        <w:rPr>
          <w:rFonts w:hint="cs"/>
          <w:rtl/>
        </w:rPr>
        <w:lastRenderedPageBreak/>
        <w:t>تصمیم‌گیری</w:t>
      </w:r>
      <w:r w:rsidRPr="0025250D">
        <w:rPr>
          <w:rFonts w:hint="cs"/>
          <w:rtl/>
        </w:rPr>
        <w:t xml:space="preserve"> در مورد ورود به جنگ در هر زمانی که خود صلاح</w:t>
      </w:r>
      <w:r w:rsidRPr="0025250D">
        <w:rPr>
          <w:rFonts w:hint="cs"/>
        </w:rPr>
        <w:t>‌</w:t>
      </w:r>
      <w:r w:rsidRPr="0025250D">
        <w:rPr>
          <w:rFonts w:hint="cs"/>
          <w:rtl/>
        </w:rPr>
        <w:t xml:space="preserve"> می‌دید بود. در تاریخ </w:t>
      </w:r>
      <w:r w:rsidR="00127288" w:rsidRPr="0025250D">
        <w:rPr>
          <w:rFonts w:hint="cs"/>
          <w:rtl/>
        </w:rPr>
        <w:t>بدیل</w:t>
      </w:r>
      <w:r w:rsidRPr="0025250D">
        <w:rPr>
          <w:rFonts w:hint="cs"/>
          <w:rtl/>
        </w:rPr>
        <w:t xml:space="preserve"> ما، رئیس جمهور </w:t>
      </w:r>
      <w:r w:rsidRPr="0025250D">
        <w:rPr>
          <w:rtl/>
        </w:rPr>
        <w:t>روزولت</w:t>
      </w:r>
      <w:r w:rsidRPr="0025250D">
        <w:rPr>
          <w:rFonts w:hint="cs"/>
        </w:rPr>
        <w:t>‌</w:t>
      </w:r>
      <w:r w:rsidRPr="0025250D">
        <w:rPr>
          <w:rFonts w:hint="cs"/>
          <w:rtl/>
        </w:rPr>
        <w:t xml:space="preserve"> می‌توانست با </w:t>
      </w:r>
      <w:r w:rsidR="00B56611" w:rsidRPr="0025250D">
        <w:rPr>
          <w:rFonts w:hint="cs"/>
          <w:rtl/>
        </w:rPr>
        <w:t>چشم‌انداز</w:t>
      </w:r>
      <w:r w:rsidRPr="0025250D">
        <w:rPr>
          <w:rFonts w:hint="cs"/>
          <w:rtl/>
        </w:rPr>
        <w:t xml:space="preserve"> </w:t>
      </w:r>
      <w:r w:rsidRPr="0025250D">
        <w:rPr>
          <w:rtl/>
        </w:rPr>
        <w:t>لودلو</w:t>
      </w:r>
      <w:r w:rsidRPr="0025250D">
        <w:rPr>
          <w:rFonts w:hint="cs"/>
          <w:rtl/>
        </w:rPr>
        <w:t xml:space="preserve"> موافقت کند و تنها زبان الحاقیه او را اندکی بهبود دهد و یک </w:t>
      </w:r>
      <w:r w:rsidR="0053184A" w:rsidRPr="0025250D">
        <w:rPr>
          <w:rFonts w:hint="cs"/>
          <w:rtl/>
        </w:rPr>
        <w:t>سازوکار</w:t>
      </w:r>
      <w:r w:rsidRPr="0025250D">
        <w:rPr>
          <w:rFonts w:hint="cs"/>
          <w:rtl/>
        </w:rPr>
        <w:t xml:space="preserve"> حقیقتا ارزشمند را برای </w:t>
      </w:r>
      <w:r w:rsidR="00EE4B64" w:rsidRPr="0025250D">
        <w:rPr>
          <w:rFonts w:hint="cs"/>
          <w:rtl/>
        </w:rPr>
        <w:t>مردم‌سالار</w:t>
      </w:r>
      <w:r w:rsidRPr="0025250D">
        <w:rPr>
          <w:rFonts w:hint="cs"/>
          <w:rtl/>
        </w:rPr>
        <w:t>ی ما ایجاد کند و به شهروندان آمریکایی قدرت اتمام جنگ‌های طولانی با ارزش مبهم را دهد. آینده</w:t>
      </w:r>
      <w:r w:rsidRPr="0025250D">
        <w:rPr>
          <w:rtl/>
        </w:rPr>
        <w:t xml:space="preserve"> </w:t>
      </w:r>
      <w:r w:rsidRPr="0025250D">
        <w:rPr>
          <w:rFonts w:hint="cs"/>
          <w:rtl/>
        </w:rPr>
        <w:t>نگری</w:t>
      </w:r>
      <w:r w:rsidRPr="0025250D">
        <w:rPr>
          <w:rtl/>
        </w:rPr>
        <w:t xml:space="preserve"> </w:t>
      </w:r>
      <w:r w:rsidRPr="0025250D">
        <w:rPr>
          <w:rFonts w:hint="cs"/>
          <w:rtl/>
        </w:rPr>
        <w:t>حاکمیتی</w:t>
      </w:r>
      <w:r w:rsidRPr="0025250D">
        <w:rPr>
          <w:vertAlign w:val="superscript"/>
          <w:rtl/>
        </w:rPr>
        <w:footnoteReference w:id="872"/>
      </w:r>
      <w:r w:rsidRPr="0025250D">
        <w:rPr>
          <w:rFonts w:hint="cs"/>
          <w:rtl/>
        </w:rPr>
        <w:t xml:space="preserve"> اهمیت دارد!</w:t>
      </w:r>
    </w:p>
    <w:p w14:paraId="2596252C" w14:textId="1BF97FBB" w:rsidR="0020732A" w:rsidRPr="0025250D" w:rsidRDefault="0020732A" w:rsidP="006335B8">
      <w:pPr>
        <w:rPr>
          <w:rtl/>
        </w:rPr>
      </w:pPr>
      <w:r w:rsidRPr="0025250D">
        <w:rPr>
          <w:rFonts w:hint="cs"/>
          <w:rtl/>
        </w:rPr>
        <w:t>در سال 1965، آیا آمریکا</w:t>
      </w:r>
      <w:r w:rsidRPr="0025250D">
        <w:rPr>
          <w:rFonts w:hint="cs"/>
        </w:rPr>
        <w:t>‌</w:t>
      </w:r>
      <w:r w:rsidRPr="0025250D">
        <w:rPr>
          <w:rFonts w:hint="cs"/>
          <w:rtl/>
        </w:rPr>
        <w:t xml:space="preserve"> می‌توانست جنگ ویتنام را با ایجاد یک ایالت کوچک قابل دفاع به نام ویتنام جنوبی جدید</w:t>
      </w:r>
      <w:r w:rsidRPr="0025250D">
        <w:rPr>
          <w:vertAlign w:val="superscript"/>
          <w:rtl/>
        </w:rPr>
        <w:footnoteReference w:id="873"/>
      </w:r>
      <w:r w:rsidRPr="0025250D">
        <w:rPr>
          <w:rFonts w:hint="cs"/>
          <w:rtl/>
        </w:rPr>
        <w:t xml:space="preserve"> با استفاده از سرزمین پایین رودخانه </w:t>
      </w:r>
      <w:r w:rsidRPr="0025250D">
        <w:rPr>
          <w:rtl/>
        </w:rPr>
        <w:t>مکونگ</w:t>
      </w:r>
      <w:r w:rsidRPr="0025250D">
        <w:rPr>
          <w:vertAlign w:val="superscript"/>
          <w:rtl/>
        </w:rPr>
        <w:footnoteReference w:id="874"/>
      </w:r>
      <w:r w:rsidRPr="0025250D">
        <w:rPr>
          <w:rFonts w:hint="cs"/>
          <w:rtl/>
        </w:rPr>
        <w:t xml:space="preserve"> پیروز شود؟ اگر از </w:t>
      </w:r>
      <w:r w:rsidRPr="0025250D">
        <w:rPr>
          <w:rtl/>
        </w:rPr>
        <w:t>مکونگ</w:t>
      </w:r>
      <w:r w:rsidRPr="0025250D">
        <w:rPr>
          <w:rFonts w:hint="cs"/>
          <w:rtl/>
        </w:rPr>
        <w:t xml:space="preserve"> به‌عنوان یک مرز شمالی استفاده</w:t>
      </w:r>
      <w:r w:rsidRPr="0025250D">
        <w:rPr>
          <w:rFonts w:hint="cs"/>
        </w:rPr>
        <w:t>‌</w:t>
      </w:r>
      <w:r w:rsidRPr="0025250D">
        <w:rPr>
          <w:rFonts w:hint="cs"/>
          <w:rtl/>
        </w:rPr>
        <w:t xml:space="preserve"> می‌کردیم،</w:t>
      </w:r>
      <w:r w:rsidRPr="0025250D">
        <w:rPr>
          <w:rFonts w:hint="cs"/>
        </w:rPr>
        <w:t>‌</w:t>
      </w:r>
      <w:r w:rsidRPr="0025250D">
        <w:rPr>
          <w:rFonts w:hint="cs"/>
          <w:rtl/>
        </w:rPr>
        <w:t xml:space="preserve"> می‌توانست حفاظت از یک ناحیه بسیار کوچک‌تر و بسیار قابل دفاع‌تر برای شهروندان غیر کمونیست ویتنام را در اختیار ما قرار دهد. یک</w:t>
      </w:r>
      <w:r w:rsidRPr="0025250D">
        <w:rPr>
          <w:rtl/>
        </w:rPr>
        <w:t xml:space="preserve"> </w:t>
      </w:r>
      <w:r w:rsidRPr="0025250D">
        <w:rPr>
          <w:rFonts w:hint="cs"/>
          <w:rtl/>
        </w:rPr>
        <w:t>ایالت</w:t>
      </w:r>
      <w:r w:rsidRPr="0025250D">
        <w:rPr>
          <w:rtl/>
        </w:rPr>
        <w:t xml:space="preserve"> </w:t>
      </w:r>
      <w:r w:rsidRPr="0025250D">
        <w:rPr>
          <w:rFonts w:hint="cs"/>
          <w:rtl/>
        </w:rPr>
        <w:t>کوچک</w:t>
      </w:r>
      <w:r w:rsidRPr="0025250D">
        <w:rPr>
          <w:rtl/>
        </w:rPr>
        <w:t xml:space="preserve"> </w:t>
      </w:r>
      <w:r w:rsidRPr="0025250D">
        <w:rPr>
          <w:rFonts w:hint="cs"/>
          <w:rtl/>
        </w:rPr>
        <w:t>ویتنام جنوبی جدید</w:t>
      </w:r>
      <w:r w:rsidRPr="0025250D">
        <w:rPr>
          <w:rFonts w:hint="cs"/>
        </w:rPr>
        <w:t>‌</w:t>
      </w:r>
      <w:r w:rsidRPr="0025250D">
        <w:rPr>
          <w:rFonts w:hint="cs"/>
          <w:rtl/>
        </w:rPr>
        <w:t xml:space="preserve"> می‌توانست یک جزیره باشد که</w:t>
      </w:r>
      <w:r w:rsidRPr="0025250D">
        <w:rPr>
          <w:rFonts w:hint="cs"/>
        </w:rPr>
        <w:t>‌</w:t>
      </w:r>
      <w:r w:rsidRPr="0025250D">
        <w:rPr>
          <w:rFonts w:hint="cs"/>
          <w:rtl/>
        </w:rPr>
        <w:t xml:space="preserve"> می‌توانستیم به راحتی از آن برای 20 درصد از مردم ویتنام جنوبی که در حقیقت خواهان </w:t>
      </w:r>
      <w:r w:rsidR="00B0171C" w:rsidRPr="0025250D">
        <w:rPr>
          <w:rFonts w:hint="cs"/>
          <w:rtl/>
        </w:rPr>
        <w:t xml:space="preserve"> سرمایه‌دار</w:t>
      </w:r>
      <w:r w:rsidRPr="0025250D">
        <w:rPr>
          <w:rFonts w:hint="cs"/>
          <w:rtl/>
        </w:rPr>
        <w:t xml:space="preserve">ی بودند دفاع کنیم؛ بسیار شبیه به تایوان، سرزمین کوچک </w:t>
      </w:r>
      <w:r w:rsidR="00B0171C" w:rsidRPr="0025250D">
        <w:rPr>
          <w:rFonts w:hint="cs"/>
          <w:rtl/>
        </w:rPr>
        <w:t xml:space="preserve"> سرمایه‌دار</w:t>
      </w:r>
      <w:r w:rsidRPr="0025250D">
        <w:rPr>
          <w:rFonts w:hint="cs"/>
          <w:rtl/>
        </w:rPr>
        <w:t>ی</w:t>
      </w:r>
      <w:r w:rsidRPr="0025250D">
        <w:rPr>
          <w:rtl/>
        </w:rPr>
        <w:t xml:space="preserve"> </w:t>
      </w:r>
      <w:r w:rsidRPr="0025250D">
        <w:rPr>
          <w:rFonts w:hint="cs"/>
          <w:rtl/>
        </w:rPr>
        <w:t xml:space="preserve">آسیایی که قبلا از آن دفاع </w:t>
      </w:r>
      <w:r w:rsidR="00950293" w:rsidRPr="0025250D">
        <w:rPr>
          <w:rFonts w:hint="cs"/>
          <w:rtl/>
        </w:rPr>
        <w:t>کرده‌ایم</w:t>
      </w:r>
      <w:r w:rsidRPr="0025250D">
        <w:rPr>
          <w:rFonts w:hint="cs"/>
          <w:rtl/>
        </w:rPr>
        <w:t>. رهبران دفاعی آمریکا تنها باید درک</w:t>
      </w:r>
      <w:r w:rsidRPr="0025250D">
        <w:rPr>
          <w:rFonts w:hint="cs"/>
        </w:rPr>
        <w:t>‌</w:t>
      </w:r>
      <w:r w:rsidRPr="0025250D">
        <w:rPr>
          <w:rFonts w:hint="cs"/>
          <w:rtl/>
        </w:rPr>
        <w:t xml:space="preserve"> می‌کردند که اگر</w:t>
      </w:r>
      <w:r w:rsidR="00EE4B64" w:rsidRPr="0025250D">
        <w:rPr>
          <w:rFonts w:hint="cs"/>
          <w:rtl/>
        </w:rPr>
        <w:t xml:space="preserve"> نمی‌</w:t>
      </w:r>
      <w:r w:rsidRPr="0025250D">
        <w:rPr>
          <w:rFonts w:hint="cs"/>
          <w:rtl/>
        </w:rPr>
        <w:t xml:space="preserve">توانیم از منطقه بسیار وسیع‌تر ویتنام جنوبی دفاع کنیم که یک ایالت ساختگیِ به تازگی ایجاد شده بود و در حقیقت 80 درصد مردم آن ملی گرا بودند، این </w:t>
      </w:r>
      <w:r w:rsidR="006335B8" w:rsidRPr="0025250D">
        <w:rPr>
          <w:rtl/>
        </w:rPr>
        <w:t>«</w:t>
      </w:r>
      <w:r w:rsidR="00701E03" w:rsidRPr="0025250D">
        <w:rPr>
          <w:rFonts w:hint="cs"/>
          <w:rtl/>
        </w:rPr>
        <w:t>راهبرد</w:t>
      </w:r>
      <w:r w:rsidRPr="0025250D">
        <w:rPr>
          <w:rFonts w:hint="cs"/>
          <w:rtl/>
        </w:rPr>
        <w:t xml:space="preserve"> جزیره</w:t>
      </w:r>
      <w:r w:rsidR="006335B8" w:rsidRPr="0025250D">
        <w:rPr>
          <w:rFonts w:hint="cs"/>
          <w:rtl/>
        </w:rPr>
        <w:t>»</w:t>
      </w:r>
      <w:r w:rsidRPr="0025250D">
        <w:rPr>
          <w:rFonts w:hint="cs"/>
        </w:rPr>
        <w:t>‌</w:t>
      </w:r>
      <w:r w:rsidRPr="0025250D">
        <w:rPr>
          <w:rFonts w:hint="cs"/>
          <w:rtl/>
        </w:rPr>
        <w:t xml:space="preserve"> می‌توانست </w:t>
      </w:r>
      <w:r w:rsidR="00923DDB" w:rsidRPr="0025250D">
        <w:rPr>
          <w:rFonts w:hint="cs"/>
          <w:rtl/>
        </w:rPr>
        <w:t>راه‌حل</w:t>
      </w:r>
      <w:r w:rsidRPr="0025250D">
        <w:rPr>
          <w:rFonts w:hint="cs"/>
          <w:rtl/>
        </w:rPr>
        <w:t xml:space="preserve"> عقب نشینی طبیعی ما باشد. آسیا و آمریکا، اگر این جنگِ تفرقه انداز را پیروز شده بودیم و از 8 میلیون طرفدار </w:t>
      </w:r>
      <w:r w:rsidR="00B0171C" w:rsidRPr="0025250D">
        <w:rPr>
          <w:rFonts w:hint="cs"/>
          <w:rtl/>
        </w:rPr>
        <w:t xml:space="preserve"> سرمایه‌دار</w:t>
      </w:r>
      <w:r w:rsidRPr="0025250D">
        <w:rPr>
          <w:rFonts w:hint="cs"/>
          <w:rtl/>
        </w:rPr>
        <w:t>ی و کارآفرینی حمایت</w:t>
      </w:r>
      <w:r w:rsidRPr="0025250D">
        <w:rPr>
          <w:rFonts w:hint="cs"/>
        </w:rPr>
        <w:t>‌</w:t>
      </w:r>
      <w:r w:rsidRPr="0025250D">
        <w:rPr>
          <w:rFonts w:hint="cs"/>
          <w:rtl/>
        </w:rPr>
        <w:t xml:space="preserve"> می‌کردیم و یک پایگاه ارتش آمریکا را در دلتای </w:t>
      </w:r>
      <w:r w:rsidRPr="0025250D">
        <w:rPr>
          <w:rtl/>
        </w:rPr>
        <w:t>مکونگ</w:t>
      </w:r>
      <w:r w:rsidRPr="0025250D">
        <w:rPr>
          <w:rFonts w:hint="cs"/>
          <w:rtl/>
        </w:rPr>
        <w:t xml:space="preserve"> در دهه 1960 تأسیس</w:t>
      </w:r>
      <w:r w:rsidRPr="0025250D">
        <w:rPr>
          <w:rFonts w:hint="cs"/>
        </w:rPr>
        <w:t>‌</w:t>
      </w:r>
      <w:r w:rsidRPr="0025250D">
        <w:rPr>
          <w:rFonts w:hint="cs"/>
          <w:rtl/>
        </w:rPr>
        <w:t xml:space="preserve"> می‌کردیم، درست مانند کاری که در تایوان کره جنوبی و ژاپن کردیم، امروز چگونه بودند؟ </w:t>
      </w:r>
      <w:r w:rsidR="006335B8" w:rsidRPr="0025250D">
        <w:rPr>
          <w:rFonts w:hint="cs"/>
          <w:rtl/>
        </w:rPr>
        <w:t>«</w:t>
      </w:r>
      <w:r w:rsidRPr="0025250D">
        <w:rPr>
          <w:rFonts w:hint="cs"/>
          <w:rtl/>
        </w:rPr>
        <w:t>1965: دفاع از ویتنام جنوبی (جنگ ویتنام)</w:t>
      </w:r>
      <w:r w:rsidRPr="0025250D">
        <w:rPr>
          <w:vertAlign w:val="superscript"/>
          <w:rtl/>
        </w:rPr>
        <w:footnoteReference w:id="875"/>
      </w:r>
      <w:r w:rsidR="006335B8" w:rsidRPr="0025250D">
        <w:rPr>
          <w:rFonts w:hint="cs"/>
          <w:rtl/>
        </w:rPr>
        <w:t>»</w:t>
      </w:r>
      <w:r w:rsidRPr="0025250D">
        <w:rPr>
          <w:rFonts w:hint="cs"/>
          <w:rtl/>
        </w:rPr>
        <w:t xml:space="preserve"> را در مورد این خلاف‌آمدی جالب ببینید. </w:t>
      </w:r>
      <w:r w:rsidRPr="0025250D">
        <w:rPr>
          <w:rtl/>
        </w:rPr>
        <w:t>آینده‌نگاری</w:t>
      </w:r>
      <w:r w:rsidRPr="0025250D">
        <w:rPr>
          <w:rFonts w:hint="cs"/>
          <w:rtl/>
        </w:rPr>
        <w:t xml:space="preserve"> دفاعی</w:t>
      </w:r>
      <w:r w:rsidRPr="0025250D">
        <w:rPr>
          <w:vertAlign w:val="superscript"/>
          <w:rtl/>
        </w:rPr>
        <w:footnoteReference w:id="876"/>
      </w:r>
      <w:r w:rsidRPr="0025250D">
        <w:rPr>
          <w:rFonts w:hint="cs"/>
          <w:rtl/>
        </w:rPr>
        <w:t xml:space="preserve"> اهمیت دارد!</w:t>
      </w:r>
    </w:p>
    <w:p w14:paraId="0C1CC1B5" w14:textId="2614CBBB" w:rsidR="0020732A" w:rsidRPr="0025250D" w:rsidRDefault="0020732A" w:rsidP="006335B8">
      <w:pPr>
        <w:rPr>
          <w:rtl/>
        </w:rPr>
      </w:pPr>
      <w:r w:rsidRPr="0025250D">
        <w:rPr>
          <w:rFonts w:hint="cs"/>
          <w:rtl/>
        </w:rPr>
        <w:t>در سال 1970، آیا آمریکا و جهان</w:t>
      </w:r>
      <w:r w:rsidRPr="0025250D">
        <w:rPr>
          <w:rFonts w:hint="cs"/>
        </w:rPr>
        <w:t>‌</w:t>
      </w:r>
      <w:r w:rsidRPr="0025250D">
        <w:rPr>
          <w:rFonts w:hint="cs"/>
          <w:rtl/>
        </w:rPr>
        <w:t xml:space="preserve"> می‌توانستند اولین </w:t>
      </w:r>
      <w:r w:rsidR="006335B8" w:rsidRPr="0025250D">
        <w:rPr>
          <w:rtl/>
        </w:rPr>
        <w:t>«</w:t>
      </w:r>
      <w:r w:rsidRPr="0025250D">
        <w:rPr>
          <w:rFonts w:hint="cs"/>
          <w:rtl/>
        </w:rPr>
        <w:t>شهر نمایشگاهی</w:t>
      </w:r>
      <w:r w:rsidRPr="0025250D">
        <w:rPr>
          <w:vertAlign w:val="superscript"/>
          <w:rtl/>
        </w:rPr>
        <w:footnoteReference w:id="877"/>
      </w:r>
      <w:r w:rsidR="006335B8" w:rsidRPr="0025250D">
        <w:rPr>
          <w:rtl/>
        </w:rPr>
        <w:t>»</w:t>
      </w:r>
      <w:r w:rsidRPr="0025250D">
        <w:rPr>
          <w:rFonts w:hint="cs"/>
          <w:rtl/>
        </w:rPr>
        <w:t xml:space="preserve"> را که دارای آخرین و بهترین نوآوری‌ها و </w:t>
      </w:r>
      <w:r w:rsidR="007A53FD" w:rsidRPr="0025250D">
        <w:rPr>
          <w:rFonts w:hint="cs"/>
          <w:rtl/>
        </w:rPr>
        <w:t>فناوری</w:t>
      </w:r>
      <w:r w:rsidRPr="0025250D">
        <w:rPr>
          <w:rFonts w:hint="cs"/>
          <w:rtl/>
        </w:rPr>
        <w:t xml:space="preserve">‌های </w:t>
      </w:r>
      <w:r w:rsidR="00D30084" w:rsidRPr="0025250D">
        <w:rPr>
          <w:rFonts w:hint="cs"/>
          <w:rtl/>
        </w:rPr>
        <w:t>آینده‌نگار</w:t>
      </w:r>
      <w:r w:rsidRPr="0025250D">
        <w:rPr>
          <w:rFonts w:hint="cs"/>
          <w:rtl/>
        </w:rPr>
        <w:t>انه بود و با زندگی روزمره مردم ادغام</w:t>
      </w:r>
      <w:r w:rsidRPr="0025250D">
        <w:rPr>
          <w:rFonts w:hint="cs"/>
        </w:rPr>
        <w:t>‌</w:t>
      </w:r>
      <w:r w:rsidRPr="0025250D">
        <w:rPr>
          <w:rFonts w:hint="cs"/>
          <w:rtl/>
        </w:rPr>
        <w:t xml:space="preserve"> می‌شدند ایجاد کنند؟ ما تقریبا این کار را انجام دادیم. در اکتبر 1966، </w:t>
      </w:r>
      <w:r w:rsidRPr="0025250D">
        <w:rPr>
          <w:rtl/>
        </w:rPr>
        <w:t>والت د</w:t>
      </w:r>
      <w:r w:rsidRPr="0025250D">
        <w:rPr>
          <w:rFonts w:hint="cs"/>
          <w:rtl/>
        </w:rPr>
        <w:t>ی</w:t>
      </w:r>
      <w:r w:rsidRPr="0025250D">
        <w:rPr>
          <w:rFonts w:hint="eastAsia"/>
          <w:rtl/>
        </w:rPr>
        <w:t>زن</w:t>
      </w:r>
      <w:r w:rsidRPr="0025250D">
        <w:rPr>
          <w:rFonts w:hint="cs"/>
          <w:rtl/>
        </w:rPr>
        <w:t>ی</w:t>
      </w:r>
      <w:r w:rsidRPr="0025250D">
        <w:rPr>
          <w:vertAlign w:val="superscript"/>
          <w:rtl/>
        </w:rPr>
        <w:footnoteReference w:id="878"/>
      </w:r>
      <w:r w:rsidRPr="0025250D">
        <w:rPr>
          <w:rFonts w:hint="cs"/>
          <w:rtl/>
        </w:rPr>
        <w:t xml:space="preserve"> یک فیلم </w:t>
      </w:r>
      <w:r w:rsidR="00D30084" w:rsidRPr="0025250D">
        <w:rPr>
          <w:rFonts w:hint="cs"/>
          <w:rtl/>
        </w:rPr>
        <w:t>آرمان‌گرا</w:t>
      </w:r>
      <w:r w:rsidRPr="0025250D">
        <w:rPr>
          <w:rFonts w:hint="cs"/>
          <w:rtl/>
        </w:rPr>
        <w:t xml:space="preserve">ی 25 دقیقه‌ای ساخت که هیئت قانون گذار ایالت فلوریدا را با برنامه‌های خود برای </w:t>
      </w:r>
      <w:r w:rsidRPr="0025250D">
        <w:t>EPCOT</w:t>
      </w:r>
      <w:r w:rsidRPr="0025250D">
        <w:rPr>
          <w:rFonts w:hint="cs"/>
          <w:rtl/>
        </w:rPr>
        <w:t>، نمونه آزمایشی جامعه فردا</w:t>
      </w:r>
      <w:r w:rsidRPr="0025250D">
        <w:rPr>
          <w:vertAlign w:val="superscript"/>
          <w:rtl/>
        </w:rPr>
        <w:footnoteReference w:id="879"/>
      </w:r>
      <w:r w:rsidRPr="0025250D">
        <w:rPr>
          <w:rFonts w:hint="cs"/>
          <w:rtl/>
        </w:rPr>
        <w:t xml:space="preserve"> آشنا کرد. </w:t>
      </w:r>
      <w:r w:rsidRPr="0025250D">
        <w:t>EPCOT</w:t>
      </w:r>
      <w:r w:rsidRPr="0025250D">
        <w:rPr>
          <w:rFonts w:hint="cs"/>
          <w:rtl/>
        </w:rPr>
        <w:t xml:space="preserve"> به‌عنوان مکانی تصور شده بود که گروه‌های تحقیق و توسعه شرکتی و کارآفرینان</w:t>
      </w:r>
      <w:r w:rsidRPr="0025250D">
        <w:rPr>
          <w:rFonts w:hint="cs"/>
        </w:rPr>
        <w:t>‌</w:t>
      </w:r>
      <w:r w:rsidRPr="0025250D">
        <w:rPr>
          <w:rFonts w:hint="cs"/>
          <w:rtl/>
        </w:rPr>
        <w:t xml:space="preserve"> می‌توانستند با هم کار و زندگی کنند و راهکار‌ها برای مسائل و مشکلات آمریکا و جهان را تسریع کنند و ویترینی از فرایند نوآوری برای بازدیدکنندگان جهانی باشند. دو هفته بعد سرطان ریه متاستاتیک</w:t>
      </w:r>
      <w:r w:rsidRPr="0025250D">
        <w:rPr>
          <w:vertAlign w:val="superscript"/>
          <w:rtl/>
        </w:rPr>
        <w:footnoteReference w:id="880"/>
      </w:r>
      <w:r w:rsidRPr="0025250D">
        <w:rPr>
          <w:rFonts w:hint="cs"/>
          <w:rtl/>
        </w:rPr>
        <w:t xml:space="preserve"> دیزنی تشخیص داده شد و او دو ماه بعد درگذشت. تصور کنید که اگر والت زنده</w:t>
      </w:r>
      <w:r w:rsidRPr="0025250D">
        <w:rPr>
          <w:rFonts w:hint="cs"/>
        </w:rPr>
        <w:t>‌</w:t>
      </w:r>
      <w:r w:rsidRPr="0025250D">
        <w:rPr>
          <w:rFonts w:hint="cs"/>
          <w:rtl/>
        </w:rPr>
        <w:t xml:space="preserve"> می‌ماند، یا اگر در هفته‌های آخر زندگی خود یک جانشین متعهد به این </w:t>
      </w:r>
      <w:r w:rsidR="00B56611" w:rsidRPr="0025250D">
        <w:rPr>
          <w:rFonts w:hint="cs"/>
          <w:rtl/>
        </w:rPr>
        <w:t>چشم‌انداز</w:t>
      </w:r>
      <w:r w:rsidRPr="0025250D">
        <w:rPr>
          <w:rFonts w:hint="cs"/>
          <w:rtl/>
        </w:rPr>
        <w:t xml:space="preserve"> را برای خود تعیین</w:t>
      </w:r>
      <w:r w:rsidRPr="0025250D">
        <w:rPr>
          <w:rFonts w:hint="cs"/>
        </w:rPr>
        <w:t>‌</w:t>
      </w:r>
      <w:r w:rsidRPr="0025250D">
        <w:rPr>
          <w:rFonts w:hint="cs"/>
          <w:rtl/>
        </w:rPr>
        <w:t xml:space="preserve"> می‌کرد، جامعه امروز تا چه حد</w:t>
      </w:r>
      <w:r w:rsidRPr="0025250D">
        <w:rPr>
          <w:rFonts w:hint="cs"/>
        </w:rPr>
        <w:t>‌</w:t>
      </w:r>
      <w:r w:rsidRPr="0025250D">
        <w:rPr>
          <w:rFonts w:hint="cs"/>
          <w:rtl/>
        </w:rPr>
        <w:t xml:space="preserve"> می‌توانست بهتر باشد. </w:t>
      </w:r>
      <w:r w:rsidRPr="0025250D">
        <w:t>EPCOT</w:t>
      </w:r>
      <w:r w:rsidRPr="0025250D">
        <w:rPr>
          <w:rFonts w:hint="cs"/>
          <w:rtl/>
        </w:rPr>
        <w:t xml:space="preserve"> بجای جاذبه سرگرمی که جانشینان او ساختند، در دهه 70</w:t>
      </w:r>
      <w:r w:rsidRPr="0025250D">
        <w:rPr>
          <w:rFonts w:hint="cs"/>
        </w:rPr>
        <w:t>‌</w:t>
      </w:r>
      <w:r w:rsidRPr="0025250D">
        <w:rPr>
          <w:rFonts w:hint="cs"/>
          <w:rtl/>
        </w:rPr>
        <w:t xml:space="preserve"> می‌توانست</w:t>
      </w:r>
      <w:r w:rsidRPr="0025250D">
        <w:rPr>
          <w:rtl/>
        </w:rPr>
        <w:t xml:space="preserve"> </w:t>
      </w:r>
      <w:r w:rsidRPr="0025250D">
        <w:rPr>
          <w:rFonts w:hint="cs"/>
          <w:rtl/>
        </w:rPr>
        <w:t>به</w:t>
      </w:r>
      <w:r w:rsidRPr="0025250D">
        <w:rPr>
          <w:rtl/>
        </w:rPr>
        <w:t xml:space="preserve"> </w:t>
      </w:r>
      <w:r w:rsidRPr="0025250D">
        <w:rPr>
          <w:rFonts w:hint="cs"/>
          <w:rtl/>
        </w:rPr>
        <w:t>اولین</w:t>
      </w:r>
      <w:r w:rsidRPr="0025250D">
        <w:rPr>
          <w:rtl/>
        </w:rPr>
        <w:t xml:space="preserve"> </w:t>
      </w:r>
      <w:r w:rsidRPr="0025250D">
        <w:rPr>
          <w:rFonts w:hint="cs"/>
          <w:rtl/>
        </w:rPr>
        <w:t>ویترین</w:t>
      </w:r>
      <w:r w:rsidRPr="0025250D">
        <w:rPr>
          <w:rtl/>
        </w:rPr>
        <w:t xml:space="preserve"> </w:t>
      </w:r>
      <w:r w:rsidRPr="0025250D">
        <w:rPr>
          <w:rFonts w:hint="cs"/>
          <w:rtl/>
        </w:rPr>
        <w:t>و</w:t>
      </w:r>
      <w:r w:rsidRPr="0025250D">
        <w:rPr>
          <w:rtl/>
        </w:rPr>
        <w:t xml:space="preserve"> </w:t>
      </w:r>
      <w:r w:rsidRPr="0025250D">
        <w:rPr>
          <w:rFonts w:hint="cs"/>
          <w:rtl/>
        </w:rPr>
        <w:t>شهر</w:t>
      </w:r>
      <w:r w:rsidRPr="0025250D">
        <w:rPr>
          <w:rtl/>
        </w:rPr>
        <w:t xml:space="preserve"> </w:t>
      </w:r>
      <w:r w:rsidR="00BB406C" w:rsidRPr="0025250D">
        <w:rPr>
          <w:rFonts w:hint="cs"/>
          <w:rtl/>
        </w:rPr>
        <w:t>جمع‌سپاری</w:t>
      </w:r>
      <w:r w:rsidRPr="0025250D">
        <w:rPr>
          <w:rtl/>
        </w:rPr>
        <w:t xml:space="preserve"> </w:t>
      </w:r>
      <w:r w:rsidRPr="0025250D">
        <w:rPr>
          <w:rFonts w:hint="cs"/>
          <w:rtl/>
        </w:rPr>
        <w:t>شده</w:t>
      </w:r>
      <w:r w:rsidRPr="0025250D">
        <w:rPr>
          <w:vertAlign w:val="superscript"/>
          <w:rtl/>
        </w:rPr>
        <w:footnoteReference w:id="881"/>
      </w:r>
      <w:r w:rsidRPr="0025250D">
        <w:rPr>
          <w:rtl/>
        </w:rPr>
        <w:t xml:space="preserve"> </w:t>
      </w:r>
      <w:r w:rsidRPr="0025250D">
        <w:rPr>
          <w:rFonts w:hint="cs"/>
          <w:rtl/>
        </w:rPr>
        <w:t>دائمی</w:t>
      </w:r>
      <w:r w:rsidRPr="0025250D">
        <w:rPr>
          <w:rtl/>
        </w:rPr>
        <w:t xml:space="preserve"> </w:t>
      </w:r>
      <w:r w:rsidRPr="0025250D">
        <w:rPr>
          <w:rFonts w:hint="cs"/>
          <w:rtl/>
        </w:rPr>
        <w:t>جهان</w:t>
      </w:r>
      <w:r w:rsidRPr="0025250D">
        <w:rPr>
          <w:rtl/>
        </w:rPr>
        <w:t xml:space="preserve"> </w:t>
      </w:r>
      <w:r w:rsidRPr="0025250D">
        <w:rPr>
          <w:rFonts w:hint="cs"/>
          <w:rtl/>
        </w:rPr>
        <w:t>تبدیل</w:t>
      </w:r>
      <w:r w:rsidRPr="0025250D">
        <w:rPr>
          <w:rtl/>
        </w:rPr>
        <w:t xml:space="preserve"> </w:t>
      </w:r>
      <w:r w:rsidRPr="0025250D">
        <w:rPr>
          <w:rFonts w:hint="cs"/>
          <w:rtl/>
        </w:rPr>
        <w:t xml:space="preserve">شود. برای اطلاعات و جزئیات بیش‌تر </w:t>
      </w:r>
      <w:r w:rsidR="006335B8" w:rsidRPr="0025250D">
        <w:rPr>
          <w:rFonts w:hint="cs"/>
          <w:rtl/>
        </w:rPr>
        <w:t>«</w:t>
      </w:r>
      <w:r w:rsidRPr="0025250D">
        <w:rPr>
          <w:rFonts w:hint="cs"/>
          <w:rtl/>
        </w:rPr>
        <w:t>1970:</w:t>
      </w:r>
      <w:r w:rsidR="006335B8" w:rsidRPr="0025250D">
        <w:rPr>
          <w:rtl/>
        </w:rPr>
        <w:t xml:space="preserve"> </w:t>
      </w:r>
      <w:r w:rsidR="006335B8" w:rsidRPr="0025250D">
        <w:rPr>
          <w:rFonts w:hint="cs"/>
          <w:rtl/>
        </w:rPr>
        <w:t>ی</w:t>
      </w:r>
      <w:r w:rsidR="006335B8" w:rsidRPr="0025250D">
        <w:rPr>
          <w:rFonts w:hint="eastAsia"/>
          <w:rtl/>
        </w:rPr>
        <w:t>ک</w:t>
      </w:r>
      <w:r w:rsidRPr="0025250D">
        <w:rPr>
          <w:rFonts w:hint="cs"/>
          <w:rtl/>
        </w:rPr>
        <w:t xml:space="preserve"> </w:t>
      </w:r>
      <w:r w:rsidRPr="0025250D">
        <w:t>EPCOT</w:t>
      </w:r>
      <w:r w:rsidRPr="0025250D">
        <w:rPr>
          <w:rFonts w:hint="cs"/>
          <w:rtl/>
        </w:rPr>
        <w:t xml:space="preserve"> محقق شده (ویترین نوآوری)</w:t>
      </w:r>
      <w:r w:rsidRPr="0025250D">
        <w:rPr>
          <w:vertAlign w:val="superscript"/>
          <w:rtl/>
        </w:rPr>
        <w:footnoteReference w:id="882"/>
      </w:r>
      <w:r w:rsidR="006335B8" w:rsidRPr="0025250D">
        <w:rPr>
          <w:rFonts w:hint="cs"/>
          <w:rtl/>
        </w:rPr>
        <w:t>»</w:t>
      </w:r>
      <w:r w:rsidRPr="0025250D">
        <w:rPr>
          <w:rFonts w:hint="cs"/>
          <w:rtl/>
        </w:rPr>
        <w:t xml:space="preserve"> را ببینید. </w:t>
      </w:r>
      <w:r w:rsidRPr="0025250D">
        <w:rPr>
          <w:rtl/>
        </w:rPr>
        <w:t>آینده‌نگاری</w:t>
      </w:r>
      <w:r w:rsidRPr="0025250D">
        <w:rPr>
          <w:rFonts w:hint="cs"/>
          <w:rtl/>
        </w:rPr>
        <w:t xml:space="preserve"> نوآوری</w:t>
      </w:r>
      <w:r w:rsidRPr="0025250D">
        <w:rPr>
          <w:vertAlign w:val="superscript"/>
          <w:rtl/>
        </w:rPr>
        <w:footnoteReference w:id="883"/>
      </w:r>
      <w:r w:rsidRPr="0025250D">
        <w:rPr>
          <w:rFonts w:hint="cs"/>
          <w:rtl/>
        </w:rPr>
        <w:t xml:space="preserve"> اهمیت دارد!</w:t>
      </w:r>
    </w:p>
    <w:p w14:paraId="4640037C" w14:textId="0E5838EE" w:rsidR="0020732A" w:rsidRPr="0025250D" w:rsidRDefault="0020732A" w:rsidP="0020732A">
      <w:pPr>
        <w:rPr>
          <w:rtl/>
        </w:rPr>
      </w:pPr>
      <w:r w:rsidRPr="0025250D">
        <w:rPr>
          <w:rFonts w:hint="cs"/>
          <w:rtl/>
        </w:rPr>
        <w:t>در سال 1990، درست پس از سقوص اتحاد جماهیر شوروی، آیا آمریکا</w:t>
      </w:r>
      <w:r w:rsidRPr="0025250D">
        <w:rPr>
          <w:rFonts w:hint="cs"/>
        </w:rPr>
        <w:t>‌</w:t>
      </w:r>
      <w:r w:rsidRPr="0025250D">
        <w:rPr>
          <w:rFonts w:hint="cs"/>
          <w:rtl/>
        </w:rPr>
        <w:t xml:space="preserve"> می‌توانست یک برنامه مارشال جدید برای روسیه و دولت‌ها و ایالت‌های شوری سابق داشته باشد؟ قطعا اینطور به نظر</w:t>
      </w:r>
      <w:r w:rsidRPr="0025250D">
        <w:rPr>
          <w:rFonts w:hint="cs"/>
        </w:rPr>
        <w:t>‌</w:t>
      </w:r>
      <w:r w:rsidRPr="0025250D">
        <w:rPr>
          <w:rFonts w:hint="cs"/>
          <w:rtl/>
        </w:rPr>
        <w:t xml:space="preserve"> می‌رسد. در آن زمان بخصوص، دنیای غرب ثروت اضافی برای مشارکت در چنین مسئولیت‌های خیریه‌ای را داشت. اساتید آکادمیکی مانند </w:t>
      </w:r>
      <w:r w:rsidRPr="0025250D">
        <w:rPr>
          <w:rtl/>
        </w:rPr>
        <w:t>جفر</w:t>
      </w:r>
      <w:r w:rsidRPr="0025250D">
        <w:rPr>
          <w:rFonts w:hint="cs"/>
          <w:rtl/>
        </w:rPr>
        <w:t>ی</w:t>
      </w:r>
      <w:r w:rsidRPr="0025250D">
        <w:rPr>
          <w:rtl/>
        </w:rPr>
        <w:t xml:space="preserve"> ساکس</w:t>
      </w:r>
      <w:r w:rsidRPr="0025250D">
        <w:rPr>
          <w:vertAlign w:val="superscript"/>
          <w:rtl/>
        </w:rPr>
        <w:footnoteReference w:id="884"/>
      </w:r>
      <w:r w:rsidRPr="0025250D">
        <w:rPr>
          <w:rFonts w:hint="cs"/>
          <w:rtl/>
        </w:rPr>
        <w:t xml:space="preserve"> به لهستان</w:t>
      </w:r>
      <w:r w:rsidRPr="0025250D">
        <w:rPr>
          <w:vertAlign w:val="superscript"/>
          <w:rtl/>
        </w:rPr>
        <w:footnoteReference w:id="885"/>
      </w:r>
      <w:r w:rsidRPr="0025250D">
        <w:rPr>
          <w:rFonts w:hint="cs"/>
          <w:rtl/>
        </w:rPr>
        <w:t xml:space="preserve"> و سپس روسیه و دیگر ایالات شوروی سابق</w:t>
      </w:r>
      <w:r w:rsidRPr="0025250D">
        <w:rPr>
          <w:vertAlign w:val="superscript"/>
          <w:rtl/>
        </w:rPr>
        <w:footnoteReference w:id="886"/>
      </w:r>
      <w:r w:rsidRPr="0025250D">
        <w:rPr>
          <w:rFonts w:hint="cs"/>
          <w:rtl/>
        </w:rPr>
        <w:t xml:space="preserve"> برای بازنویسی قوانین و کمک به آن‌ها برای تبدیل شدن به اقتصاد‌های </w:t>
      </w:r>
      <w:r w:rsidR="00B0171C" w:rsidRPr="0025250D">
        <w:rPr>
          <w:rFonts w:hint="cs"/>
          <w:rtl/>
        </w:rPr>
        <w:t xml:space="preserve"> سرمایه‌دار</w:t>
      </w:r>
      <w:r w:rsidRPr="0025250D">
        <w:rPr>
          <w:rFonts w:hint="cs"/>
          <w:rtl/>
        </w:rPr>
        <w:t>ی آورده شدند</w:t>
      </w:r>
      <w:r w:rsidR="008D6F97" w:rsidRPr="0025250D">
        <w:rPr>
          <w:rtl/>
        </w:rPr>
        <w:t xml:space="preserve">؛ </w:t>
      </w:r>
      <w:r w:rsidRPr="0025250D">
        <w:rPr>
          <w:rFonts w:hint="cs"/>
          <w:rtl/>
        </w:rPr>
        <w:t xml:space="preserve">اما بدون کمک فراوان برای </w:t>
      </w:r>
      <w:r w:rsidR="00B124DE" w:rsidRPr="0025250D">
        <w:rPr>
          <w:rFonts w:hint="cs"/>
          <w:rtl/>
        </w:rPr>
        <w:t>کسب‌و‌کار</w:t>
      </w:r>
      <w:r w:rsidRPr="0025250D">
        <w:rPr>
          <w:rFonts w:hint="cs"/>
          <w:rtl/>
        </w:rPr>
        <w:t xml:space="preserve">های کوچک، حمایت گسترده </w:t>
      </w:r>
      <w:r w:rsidRPr="0025250D">
        <w:rPr>
          <w:rFonts w:hint="cs"/>
          <w:rtl/>
        </w:rPr>
        <w:lastRenderedPageBreak/>
        <w:t>از خانواده‌ها و تحصیلات فنی و عالی برای جوانانی که</w:t>
      </w:r>
      <w:r w:rsidRPr="0025250D">
        <w:rPr>
          <w:rFonts w:hint="cs"/>
        </w:rPr>
        <w:t>‌</w:t>
      </w:r>
      <w:r w:rsidRPr="0025250D">
        <w:rPr>
          <w:rFonts w:hint="cs"/>
          <w:rtl/>
        </w:rPr>
        <w:t xml:space="preserve"> می‌توانستند نیروی کار تخصصی و کار آفرینانی در اقتصاد‌های جدید باشند و ارائه همه این کمک‌ها به شرط اصلاحات </w:t>
      </w:r>
      <w:r w:rsidR="00EE4B64" w:rsidRPr="0025250D">
        <w:rPr>
          <w:rFonts w:hint="cs"/>
          <w:rtl/>
        </w:rPr>
        <w:t>مردم‌سالار</w:t>
      </w:r>
      <w:r w:rsidRPr="0025250D">
        <w:rPr>
          <w:rFonts w:hint="cs"/>
          <w:rtl/>
        </w:rPr>
        <w:t xml:space="preserve">انه مرحله‌ای، قابل </w:t>
      </w:r>
      <w:r w:rsidR="00D92F6E" w:rsidRPr="0025250D">
        <w:rPr>
          <w:rFonts w:hint="cs"/>
          <w:rtl/>
        </w:rPr>
        <w:t>پیش‌بین</w:t>
      </w:r>
      <w:r w:rsidRPr="0025250D">
        <w:rPr>
          <w:rFonts w:hint="cs"/>
          <w:rtl/>
        </w:rPr>
        <w:t>ی است که روسیه و دیگر ایالات شوروی سابق به دزدیدن ثروت ایالت‌ها توسط الیگارش‌ها، انحصار</w:t>
      </w:r>
      <w:r w:rsidRPr="0025250D">
        <w:rPr>
          <w:rtl/>
        </w:rPr>
        <w:t xml:space="preserve"> </w:t>
      </w:r>
      <w:r w:rsidRPr="0025250D">
        <w:rPr>
          <w:rFonts w:hint="cs"/>
          <w:rtl/>
        </w:rPr>
        <w:t>چندجانبه</w:t>
      </w:r>
      <w:r w:rsidRPr="0025250D">
        <w:rPr>
          <w:vertAlign w:val="superscript"/>
          <w:rtl/>
        </w:rPr>
        <w:footnoteReference w:id="887"/>
      </w:r>
      <w:r w:rsidRPr="0025250D">
        <w:rPr>
          <w:rFonts w:hint="cs"/>
          <w:rtl/>
        </w:rPr>
        <w:t xml:space="preserve"> مخرب برای نوآوری‌ها، جرایم سازمان یافته و فساد روی</w:t>
      </w:r>
      <w:r w:rsidRPr="0025250D">
        <w:rPr>
          <w:rFonts w:hint="cs"/>
        </w:rPr>
        <w:t>‌</w:t>
      </w:r>
      <w:r w:rsidRPr="0025250D">
        <w:rPr>
          <w:rFonts w:hint="cs"/>
          <w:rtl/>
        </w:rPr>
        <w:t xml:space="preserve"> می‌آوردند. با یک برنامه مارشال پسا شوروی</w:t>
      </w:r>
      <w:r w:rsidRPr="0025250D">
        <w:rPr>
          <w:vertAlign w:val="superscript"/>
          <w:rtl/>
        </w:rPr>
        <w:footnoteReference w:id="888"/>
      </w:r>
      <w:r w:rsidRPr="0025250D">
        <w:rPr>
          <w:rFonts w:hint="cs"/>
          <w:rtl/>
        </w:rPr>
        <w:t>،</w:t>
      </w:r>
      <w:r w:rsidR="00EE4B64" w:rsidRPr="0025250D">
        <w:rPr>
          <w:rFonts w:hint="cs"/>
          <w:rtl/>
        </w:rPr>
        <w:t xml:space="preserve"> نمی‌</w:t>
      </w:r>
      <w:r w:rsidRPr="0025250D">
        <w:rPr>
          <w:rFonts w:hint="cs"/>
          <w:rtl/>
        </w:rPr>
        <w:t>توانستیم روسیه‌ای داشته باشیم که امروزه با آمریکا و غرب کاملا یکپارچه باشد، مانند آلمان غربی در 1975، سی سال پس از برنامه مارشال</w:t>
      </w:r>
      <w:r w:rsidR="008D6F97" w:rsidRPr="0025250D">
        <w:rPr>
          <w:rtl/>
        </w:rPr>
        <w:t xml:space="preserve">؛ </w:t>
      </w:r>
      <w:r w:rsidR="0020589F" w:rsidRPr="0025250D">
        <w:rPr>
          <w:rtl/>
        </w:rPr>
        <w:t>اما</w:t>
      </w:r>
      <w:r w:rsidRPr="0025250D">
        <w:rPr>
          <w:rFonts w:hint="cs"/>
          <w:rtl/>
        </w:rPr>
        <w:t xml:space="preserve"> ممکن بود روسیه‌ای که به‌صورت آشکارا برای تخریب انتخابات آمریکا یا اشغال کریمه</w:t>
      </w:r>
      <w:r w:rsidRPr="0025250D">
        <w:rPr>
          <w:vertAlign w:val="superscript"/>
          <w:rtl/>
        </w:rPr>
        <w:footnoteReference w:id="889"/>
      </w:r>
      <w:r w:rsidRPr="0025250D">
        <w:rPr>
          <w:rFonts w:hint="cs"/>
          <w:rtl/>
        </w:rPr>
        <w:t xml:space="preserve"> یا کارشکنی در منافع آمریکا در خاورمیانه کار </w:t>
      </w:r>
      <w:r w:rsidR="00BB406C" w:rsidRPr="0025250D">
        <w:rPr>
          <w:rFonts w:hint="cs"/>
          <w:rtl/>
        </w:rPr>
        <w:t>می‌</w:t>
      </w:r>
      <w:r w:rsidRPr="0025250D">
        <w:rPr>
          <w:rFonts w:hint="cs"/>
          <w:rtl/>
        </w:rPr>
        <w:t>کند، نداشته باشیم. به احتمال خیلی زیاد دولت اکراین و دولت‌های بالتیکی</w:t>
      </w:r>
      <w:r w:rsidRPr="0025250D">
        <w:rPr>
          <w:vertAlign w:val="superscript"/>
          <w:rtl/>
        </w:rPr>
        <w:footnoteReference w:id="890"/>
      </w:r>
      <w:r w:rsidRPr="0025250D">
        <w:rPr>
          <w:rFonts w:hint="cs"/>
          <w:rtl/>
        </w:rPr>
        <w:t xml:space="preserve"> به میزان بسیار بیشتری با اروپا یکپارچه بودند. همه ایالات شوروی سابق فقر و فرصت‌های بسیار</w:t>
      </w:r>
      <w:r w:rsidR="00BB406C" w:rsidRPr="0025250D">
        <w:rPr>
          <w:rFonts w:hint="cs"/>
          <w:rtl/>
        </w:rPr>
        <w:t xml:space="preserve"> کم‌تر</w:t>
      </w:r>
      <w:r w:rsidRPr="0025250D">
        <w:rPr>
          <w:rFonts w:hint="cs"/>
          <w:rtl/>
        </w:rPr>
        <w:t>ی داشتند و امروزه همگی بسیار بیش‌تر به سمت نهادها، بازارها و جامعه مدنی پسا</w:t>
      </w:r>
      <w:r w:rsidRPr="0025250D">
        <w:rPr>
          <w:rtl/>
        </w:rPr>
        <w:t xml:space="preserve"> </w:t>
      </w:r>
      <w:r w:rsidRPr="0025250D">
        <w:rPr>
          <w:rFonts w:hint="cs"/>
          <w:rtl/>
        </w:rPr>
        <w:t>استبدادی</w:t>
      </w:r>
      <w:r w:rsidRPr="0025250D">
        <w:rPr>
          <w:vertAlign w:val="superscript"/>
          <w:rtl/>
        </w:rPr>
        <w:footnoteReference w:id="891"/>
      </w:r>
      <w:r w:rsidRPr="0025250D">
        <w:rPr>
          <w:rFonts w:hint="cs"/>
          <w:rtl/>
        </w:rPr>
        <w:t>، حرکت</w:t>
      </w:r>
      <w:r w:rsidRPr="0025250D">
        <w:rPr>
          <w:rFonts w:hint="cs"/>
        </w:rPr>
        <w:t>‌</w:t>
      </w:r>
      <w:r w:rsidRPr="0025250D">
        <w:rPr>
          <w:rFonts w:hint="cs"/>
          <w:rtl/>
        </w:rPr>
        <w:t xml:space="preserve"> می‌کردند. </w:t>
      </w:r>
      <w:r w:rsidRPr="0025250D">
        <w:rPr>
          <w:rtl/>
        </w:rPr>
        <w:t>آینده‌نگاری</w:t>
      </w:r>
      <w:r w:rsidRPr="0025250D">
        <w:rPr>
          <w:rFonts w:hint="cs"/>
          <w:rtl/>
        </w:rPr>
        <w:t xml:space="preserve"> بشر دوستانه</w:t>
      </w:r>
      <w:r w:rsidRPr="0025250D">
        <w:rPr>
          <w:vertAlign w:val="superscript"/>
          <w:rtl/>
        </w:rPr>
        <w:footnoteReference w:id="892"/>
      </w:r>
      <w:r w:rsidRPr="0025250D">
        <w:rPr>
          <w:rFonts w:hint="cs"/>
          <w:rtl/>
        </w:rPr>
        <w:t xml:space="preserve"> اهمیت دارد!</w:t>
      </w:r>
    </w:p>
    <w:p w14:paraId="20D297DF" w14:textId="5488DCBD" w:rsidR="0020732A" w:rsidRPr="0025250D" w:rsidRDefault="0020732A" w:rsidP="00D72EA2">
      <w:pPr>
        <w:rPr>
          <w:rtl/>
        </w:rPr>
      </w:pPr>
      <w:r w:rsidRPr="0025250D">
        <w:rPr>
          <w:rFonts w:hint="cs"/>
          <w:rtl/>
        </w:rPr>
        <w:t>در سال 2000، اگر سیاست مداران آمریکایی تصمیم به اختصاص یارانه به رشد بزرگراه اطلاعاتی</w:t>
      </w:r>
      <w:r w:rsidRPr="0025250D">
        <w:rPr>
          <w:vertAlign w:val="superscript"/>
          <w:rtl/>
        </w:rPr>
        <w:footnoteReference w:id="893"/>
      </w:r>
      <w:r w:rsidRPr="0025250D">
        <w:rPr>
          <w:rFonts w:hint="cs"/>
        </w:rPr>
        <w:t>‌</w:t>
      </w:r>
      <w:r w:rsidRPr="0025250D">
        <w:rPr>
          <w:rFonts w:hint="cs"/>
          <w:rtl/>
        </w:rPr>
        <w:t xml:space="preserve"> می‌کردند و دسترسی به فیبر‌های کم هزینه و پر سرعت سلولی را یک حق عمومی اعلام</w:t>
      </w:r>
      <w:r w:rsidRPr="0025250D">
        <w:rPr>
          <w:rFonts w:hint="cs"/>
        </w:rPr>
        <w:t>‌</w:t>
      </w:r>
      <w:r w:rsidRPr="0025250D">
        <w:rPr>
          <w:rFonts w:hint="cs"/>
          <w:rtl/>
        </w:rPr>
        <w:t xml:space="preserve"> می‌کردند، همان کاری که فنلاند در سال 2010 در مورد اینترنت انجام داد، امروزه جهان ما چگونه بود؟ اینترنت، موبایل، فضای ابری، هوش مصنوعی، اینترنت اشیا و همه مدل‌های </w:t>
      </w:r>
      <w:r w:rsidR="00B124DE" w:rsidRPr="0025250D">
        <w:rPr>
          <w:rFonts w:hint="cs"/>
          <w:rtl/>
        </w:rPr>
        <w:t>کسب‌و‌کار</w:t>
      </w:r>
      <w:r w:rsidRPr="0025250D">
        <w:rPr>
          <w:rFonts w:hint="cs"/>
          <w:rtl/>
        </w:rPr>
        <w:t xml:space="preserve"> و </w:t>
      </w:r>
      <w:r w:rsidR="007A53FD" w:rsidRPr="0025250D">
        <w:rPr>
          <w:rFonts w:hint="cs"/>
          <w:rtl/>
        </w:rPr>
        <w:t>فناوری</w:t>
      </w:r>
      <w:r w:rsidRPr="0025250D">
        <w:rPr>
          <w:rFonts w:hint="cs"/>
          <w:rtl/>
        </w:rPr>
        <w:t xml:space="preserve"> مفید جدید که</w:t>
      </w:r>
      <w:r w:rsidRPr="0025250D">
        <w:rPr>
          <w:rFonts w:hint="cs"/>
        </w:rPr>
        <w:t>‌</w:t>
      </w:r>
      <w:r w:rsidRPr="0025250D">
        <w:rPr>
          <w:rFonts w:hint="cs"/>
          <w:rtl/>
        </w:rPr>
        <w:t xml:space="preserve"> می‌توانستیم بر پایه این زیرساخت ارتباطاتیِ حیاتی ایجاد کنیم، امروزه چقدر بیش‌تر پیشرفت کرده بودند؟ شرکت‌های مخابرات</w:t>
      </w:r>
      <w:r w:rsidRPr="0025250D">
        <w:rPr>
          <w:rtl/>
        </w:rPr>
        <w:t xml:space="preserve"> </w:t>
      </w:r>
      <w:r w:rsidRPr="0025250D">
        <w:rPr>
          <w:rFonts w:hint="cs"/>
          <w:rtl/>
        </w:rPr>
        <w:t>و</w:t>
      </w:r>
      <w:r w:rsidRPr="0025250D">
        <w:rPr>
          <w:rtl/>
        </w:rPr>
        <w:t xml:space="preserve"> </w:t>
      </w:r>
      <w:r w:rsidRPr="0025250D">
        <w:rPr>
          <w:rFonts w:hint="cs"/>
          <w:rtl/>
        </w:rPr>
        <w:t>خدمات کابلی با انحصار چندجانبه</w:t>
      </w:r>
      <w:r w:rsidRPr="0025250D">
        <w:rPr>
          <w:rtl/>
        </w:rPr>
        <w:t xml:space="preserve"> </w:t>
      </w:r>
      <w:r w:rsidRPr="0025250D">
        <w:rPr>
          <w:rFonts w:hint="cs"/>
          <w:rtl/>
        </w:rPr>
        <w:t>طبیعتا به دنبال کاهش سرعت رشد پهنای باند سیمی و بی سیم هستند، زیرا پهنای باند بیش‌تر مدل‌های تجاری مبتنی بر نادر بودن این خدمات را مختل</w:t>
      </w:r>
      <w:r w:rsidRPr="0025250D">
        <w:rPr>
          <w:rFonts w:hint="cs"/>
        </w:rPr>
        <w:t>‌</w:t>
      </w:r>
      <w:r w:rsidRPr="0025250D">
        <w:rPr>
          <w:rFonts w:hint="cs"/>
          <w:rtl/>
        </w:rPr>
        <w:t xml:space="preserve"> می‌کند. طرح‌های شهری و غیر انتفاعی افزایش پهنای باند متعددی توسط شرکت‌های خدمات کابلی انحصار گر برای جلوگیری از ایجاد رقابت، از بین رفته اند. حتی </w:t>
      </w:r>
      <w:r w:rsidRPr="0025250D">
        <w:rPr>
          <w:rtl/>
        </w:rPr>
        <w:t>گوگل ف</w:t>
      </w:r>
      <w:r w:rsidRPr="0025250D">
        <w:rPr>
          <w:rFonts w:hint="cs"/>
          <w:rtl/>
        </w:rPr>
        <w:t>ی</w:t>
      </w:r>
      <w:r w:rsidRPr="0025250D">
        <w:rPr>
          <w:rFonts w:hint="eastAsia"/>
          <w:rtl/>
        </w:rPr>
        <w:t>بر</w:t>
      </w:r>
      <w:r w:rsidRPr="0025250D">
        <w:rPr>
          <w:vertAlign w:val="superscript"/>
          <w:rtl/>
        </w:rPr>
        <w:footnoteReference w:id="894"/>
      </w:r>
      <w:r w:rsidRPr="0025250D">
        <w:rPr>
          <w:rFonts w:hint="cs"/>
          <w:rtl/>
        </w:rPr>
        <w:t xml:space="preserve"> در مواجهه با مخالفت تلکو</w:t>
      </w:r>
      <w:r w:rsidRPr="0025250D">
        <w:rPr>
          <w:vertAlign w:val="superscript"/>
          <w:rtl/>
        </w:rPr>
        <w:footnoteReference w:id="895"/>
      </w:r>
      <w:r w:rsidRPr="0025250D">
        <w:rPr>
          <w:rFonts w:hint="cs"/>
          <w:rtl/>
        </w:rPr>
        <w:t xml:space="preserve"> تسلیم شد. چنین ممانعتی نیز در برابر تجارت و حمل و نقل در عصر جاده‌ها و شاهراه‌های خصوصی در آمریکا پیش از ملی شدن آن‌ها و تبدیل دسترسی به بزرگراه به یک همکاری عمومی-خصوصی و یک کالای عمومی آزاد، رخ داد. اگر رهبری سیاسی حقیقی در مورد موضوعات پهنای باند، دسترسی و قابل استطاعت بودن از اوایل دهه 90 در طول اولین انفجار اینترنت داشتیم، امروزه جهان و آمریکا چقدر از نظر دیجیتالی پیشرفته‌تر بودند؟ برای اطلاعات و جزئیات بیش‌تر در مورد این </w:t>
      </w:r>
      <w:r w:rsidRPr="0025250D">
        <w:t>LPO</w:t>
      </w:r>
      <w:r w:rsidRPr="0025250D">
        <w:rPr>
          <w:rFonts w:hint="cs"/>
          <w:rtl/>
        </w:rPr>
        <w:t xml:space="preserve"> </w:t>
      </w:r>
      <w:r w:rsidR="00BB406C" w:rsidRPr="0025250D">
        <w:rPr>
          <w:rFonts w:hint="cs"/>
          <w:rtl/>
        </w:rPr>
        <w:t xml:space="preserve">با عنوان </w:t>
      </w:r>
      <w:r w:rsidR="00D72EA2" w:rsidRPr="0025250D">
        <w:rPr>
          <w:rtl/>
        </w:rPr>
        <w:t>«</w:t>
      </w:r>
      <w:r w:rsidRPr="0025250D">
        <w:rPr>
          <w:rtl/>
        </w:rPr>
        <w:t xml:space="preserve">2000: </w:t>
      </w:r>
      <w:r w:rsidRPr="0025250D">
        <w:rPr>
          <w:rFonts w:hint="cs"/>
          <w:rtl/>
        </w:rPr>
        <w:t>یارانه</w:t>
      </w:r>
      <w:r w:rsidRPr="0025250D">
        <w:rPr>
          <w:rtl/>
        </w:rPr>
        <w:t xml:space="preserve"> </w:t>
      </w:r>
      <w:r w:rsidRPr="0025250D">
        <w:rPr>
          <w:rFonts w:hint="cs"/>
          <w:rtl/>
        </w:rPr>
        <w:t>برای پهنای</w:t>
      </w:r>
      <w:r w:rsidRPr="0025250D">
        <w:rPr>
          <w:rtl/>
        </w:rPr>
        <w:t xml:space="preserve"> </w:t>
      </w:r>
      <w:r w:rsidRPr="0025250D">
        <w:rPr>
          <w:rFonts w:hint="cs"/>
          <w:rtl/>
        </w:rPr>
        <w:t>باند</w:t>
      </w:r>
      <w:r w:rsidRPr="0025250D">
        <w:rPr>
          <w:rtl/>
        </w:rPr>
        <w:t xml:space="preserve"> </w:t>
      </w:r>
      <w:r w:rsidRPr="0025250D">
        <w:rPr>
          <w:rFonts w:hint="cs"/>
          <w:rtl/>
        </w:rPr>
        <w:t>آمریکایی</w:t>
      </w:r>
      <w:r w:rsidRPr="0025250D">
        <w:rPr>
          <w:vertAlign w:val="superscript"/>
          <w:rtl/>
        </w:rPr>
        <w:footnoteReference w:id="896"/>
      </w:r>
      <w:r w:rsidR="00D72EA2" w:rsidRPr="0025250D">
        <w:rPr>
          <w:rFonts w:hint="cs"/>
          <w:rtl/>
        </w:rPr>
        <w:t>»</w:t>
      </w:r>
      <w:r w:rsidRPr="0025250D">
        <w:rPr>
          <w:rFonts w:hint="cs"/>
          <w:rtl/>
        </w:rPr>
        <w:t xml:space="preserve"> را ببینید. </w:t>
      </w:r>
      <w:r w:rsidRPr="0025250D">
        <w:rPr>
          <w:rtl/>
        </w:rPr>
        <w:t>آینده‌نگاری</w:t>
      </w:r>
      <w:r w:rsidRPr="0025250D">
        <w:rPr>
          <w:rFonts w:hint="cs"/>
          <w:rtl/>
        </w:rPr>
        <w:t xml:space="preserve"> دیجیتال</w:t>
      </w:r>
      <w:r w:rsidRPr="0025250D">
        <w:rPr>
          <w:vertAlign w:val="superscript"/>
          <w:rtl/>
        </w:rPr>
        <w:footnoteReference w:id="897"/>
      </w:r>
      <w:r w:rsidRPr="0025250D">
        <w:rPr>
          <w:rFonts w:hint="cs"/>
          <w:rtl/>
        </w:rPr>
        <w:t xml:space="preserve"> اهمیت دارد!</w:t>
      </w:r>
    </w:p>
    <w:p w14:paraId="4A190819" w14:textId="3026AC47" w:rsidR="0020732A" w:rsidRPr="0025250D" w:rsidRDefault="0020732A" w:rsidP="0020732A">
      <w:pPr>
        <w:rPr>
          <w:rtl/>
        </w:rPr>
      </w:pPr>
      <w:r w:rsidRPr="0025250D">
        <w:rPr>
          <w:rFonts w:hint="cs"/>
          <w:rtl/>
        </w:rPr>
        <w:t>در سال 2010، آیا</w:t>
      </w:r>
      <w:r w:rsidRPr="0025250D">
        <w:rPr>
          <w:rFonts w:hint="cs"/>
        </w:rPr>
        <w:t>‌</w:t>
      </w:r>
      <w:r w:rsidRPr="0025250D">
        <w:rPr>
          <w:rFonts w:hint="cs"/>
          <w:rtl/>
        </w:rPr>
        <w:t xml:space="preserve"> می‌توانستیم به </w:t>
      </w:r>
      <w:r w:rsidR="00F50EB4" w:rsidRPr="0025250D">
        <w:rPr>
          <w:rFonts w:hint="cs"/>
          <w:rtl/>
        </w:rPr>
        <w:t>سرمایه‌گذاری</w:t>
      </w:r>
      <w:r w:rsidRPr="0025250D">
        <w:rPr>
          <w:rFonts w:hint="cs"/>
          <w:rtl/>
        </w:rPr>
        <w:t xml:space="preserve"> ده‌ها میلیون دلار در هر سال برای توسعه </w:t>
      </w:r>
      <w:r w:rsidRPr="0025250D">
        <w:rPr>
          <w:rtl/>
        </w:rPr>
        <w:t>دراکو</w:t>
      </w:r>
      <w:r w:rsidRPr="0025250D">
        <w:rPr>
          <w:vertAlign w:val="superscript"/>
          <w:rtl/>
        </w:rPr>
        <w:footnoteReference w:id="898"/>
      </w:r>
      <w:r w:rsidRPr="0025250D">
        <w:rPr>
          <w:rFonts w:hint="cs"/>
          <w:rtl/>
        </w:rPr>
        <w:t xml:space="preserve">، یک </w:t>
      </w:r>
      <w:r w:rsidR="00BB406C" w:rsidRPr="0025250D">
        <w:rPr>
          <w:rFonts w:hint="cs"/>
          <w:rtl/>
        </w:rPr>
        <w:t>ی</w:t>
      </w:r>
      <w:r w:rsidRPr="0025250D">
        <w:rPr>
          <w:rFonts w:hint="cs"/>
          <w:rtl/>
        </w:rPr>
        <w:t>اور ضد ویروسی فراگیر</w:t>
      </w:r>
      <w:r w:rsidRPr="0025250D">
        <w:rPr>
          <w:vertAlign w:val="superscript"/>
          <w:rtl/>
        </w:rPr>
        <w:footnoteReference w:id="899"/>
      </w:r>
      <w:r w:rsidRPr="0025250D">
        <w:rPr>
          <w:rFonts w:hint="cs"/>
          <w:rtl/>
        </w:rPr>
        <w:t>، یک سلول بی</w:t>
      </w:r>
      <w:r w:rsidRPr="0025250D">
        <w:rPr>
          <w:vertAlign w:val="superscript"/>
          <w:rtl/>
        </w:rPr>
        <w:footnoteReference w:id="900"/>
      </w:r>
      <w:r w:rsidRPr="0025250D">
        <w:rPr>
          <w:rFonts w:hint="cs"/>
          <w:rtl/>
        </w:rPr>
        <w:t xml:space="preserve"> که از نظر ژنتیکی مهندسی شده بود و</w:t>
      </w:r>
      <w:r w:rsidRPr="0025250D">
        <w:rPr>
          <w:rFonts w:hint="cs"/>
        </w:rPr>
        <w:t>‌</w:t>
      </w:r>
      <w:r w:rsidRPr="0025250D">
        <w:rPr>
          <w:rFonts w:hint="cs"/>
          <w:rtl/>
        </w:rPr>
        <w:t xml:space="preserve"> می‌توانست بر روی یک قطعه الکترونیکی جهت شناسایی عوامل بیماری زا با تراکم بسیار کم رشد داده شود که توسط </w:t>
      </w:r>
      <w:r w:rsidRPr="0025250D">
        <w:rPr>
          <w:rtl/>
        </w:rPr>
        <w:t>تاد را</w:t>
      </w:r>
      <w:r w:rsidRPr="0025250D">
        <w:rPr>
          <w:rFonts w:hint="cs"/>
          <w:rtl/>
        </w:rPr>
        <w:t>ی</w:t>
      </w:r>
      <w:r w:rsidRPr="0025250D">
        <w:rPr>
          <w:rFonts w:hint="eastAsia"/>
          <w:rtl/>
        </w:rPr>
        <w:t>در</w:t>
      </w:r>
      <w:r w:rsidRPr="0025250D">
        <w:rPr>
          <w:rFonts w:hint="cs"/>
          <w:rtl/>
        </w:rPr>
        <w:t xml:space="preserve"> در آزمایشگاه </w:t>
      </w:r>
      <w:r w:rsidRPr="0025250D">
        <w:rPr>
          <w:rtl/>
        </w:rPr>
        <w:t>ل</w:t>
      </w:r>
      <w:r w:rsidRPr="0025250D">
        <w:rPr>
          <w:rFonts w:hint="cs"/>
          <w:rtl/>
        </w:rPr>
        <w:t>ی</w:t>
      </w:r>
      <w:r w:rsidRPr="0025250D">
        <w:rPr>
          <w:rFonts w:hint="eastAsia"/>
          <w:rtl/>
        </w:rPr>
        <w:t>نکلن</w:t>
      </w:r>
      <w:r w:rsidRPr="0025250D">
        <w:rPr>
          <w:rtl/>
        </w:rPr>
        <w:t xml:space="preserve"> </w:t>
      </w:r>
      <w:r w:rsidRPr="0025250D">
        <w:t>MIT</w:t>
      </w:r>
      <w:r w:rsidRPr="0025250D">
        <w:rPr>
          <w:rFonts w:hint="cs"/>
          <w:rtl/>
        </w:rPr>
        <w:t xml:space="preserve"> و در </w:t>
      </w:r>
      <w:r w:rsidRPr="0025250D">
        <w:t>CANARY</w:t>
      </w:r>
      <w:r w:rsidRPr="0025250D">
        <w:rPr>
          <w:rFonts w:hint="cs"/>
          <w:rtl/>
        </w:rPr>
        <w:t xml:space="preserve"> توسعه یافته بود، ادامه دهیم؟ اگر در طول ده سال گذشته به طور جدی بر دفاع</w:t>
      </w:r>
      <w:r w:rsidRPr="0025250D">
        <w:rPr>
          <w:rtl/>
        </w:rPr>
        <w:t xml:space="preserve"> </w:t>
      </w:r>
      <w:r w:rsidRPr="0025250D">
        <w:rPr>
          <w:rFonts w:hint="cs"/>
          <w:rtl/>
        </w:rPr>
        <w:t>ضد</w:t>
      </w:r>
      <w:r w:rsidRPr="0025250D">
        <w:rPr>
          <w:rtl/>
        </w:rPr>
        <w:t xml:space="preserve"> </w:t>
      </w:r>
      <w:r w:rsidRPr="0025250D">
        <w:rPr>
          <w:rFonts w:hint="cs"/>
          <w:rtl/>
        </w:rPr>
        <w:t>ویروسی</w:t>
      </w:r>
      <w:r w:rsidRPr="0025250D">
        <w:rPr>
          <w:rtl/>
        </w:rPr>
        <w:t xml:space="preserve"> </w:t>
      </w:r>
      <w:r w:rsidRPr="0025250D">
        <w:rPr>
          <w:rFonts w:hint="cs"/>
          <w:rtl/>
        </w:rPr>
        <w:t>و</w:t>
      </w:r>
      <w:r w:rsidRPr="0025250D">
        <w:rPr>
          <w:rtl/>
        </w:rPr>
        <w:t xml:space="preserve"> </w:t>
      </w:r>
      <w:r w:rsidRPr="0025250D">
        <w:rPr>
          <w:rFonts w:hint="cs"/>
          <w:rtl/>
        </w:rPr>
        <w:t xml:space="preserve">تشخیص </w:t>
      </w:r>
      <w:r w:rsidR="00F50EB4" w:rsidRPr="0025250D">
        <w:rPr>
          <w:rFonts w:hint="cs"/>
          <w:rtl/>
        </w:rPr>
        <w:t>سرمایه‌گذاری</w:t>
      </w:r>
      <w:r w:rsidRPr="0025250D">
        <w:rPr>
          <w:rFonts w:hint="cs"/>
        </w:rPr>
        <w:t>‌</w:t>
      </w:r>
      <w:r w:rsidRPr="0025250D">
        <w:rPr>
          <w:rFonts w:hint="cs"/>
          <w:rtl/>
        </w:rPr>
        <w:t xml:space="preserve"> می‌کردیم، وقتی </w:t>
      </w:r>
      <w:r w:rsidRPr="0025250D">
        <w:rPr>
          <w:rtl/>
        </w:rPr>
        <w:t>کوو</w:t>
      </w:r>
      <w:r w:rsidRPr="0025250D">
        <w:rPr>
          <w:rFonts w:hint="cs"/>
          <w:rtl/>
        </w:rPr>
        <w:t>ی</w:t>
      </w:r>
      <w:r w:rsidRPr="0025250D">
        <w:rPr>
          <w:rFonts w:hint="eastAsia"/>
          <w:rtl/>
        </w:rPr>
        <w:t>د</w:t>
      </w:r>
      <w:r w:rsidRPr="0025250D">
        <w:rPr>
          <w:rtl/>
        </w:rPr>
        <w:t>-۱۹</w:t>
      </w:r>
      <w:r w:rsidRPr="0025250D">
        <w:rPr>
          <w:rFonts w:hint="cs"/>
          <w:rtl/>
        </w:rPr>
        <w:t xml:space="preserve"> در سال 2019 رخ داد، هم آزمایش انبوه بسیار ارزان‌تر و هم یک یاور ضد ویروسی فراگیر، درمانی که گفته</w:t>
      </w:r>
      <w:r w:rsidRPr="0025250D">
        <w:rPr>
          <w:rFonts w:hint="cs"/>
        </w:rPr>
        <w:t>‌</w:t>
      </w:r>
      <w:r w:rsidRPr="0025250D">
        <w:rPr>
          <w:rFonts w:hint="cs"/>
          <w:rtl/>
        </w:rPr>
        <w:t xml:space="preserve"> می‌شود حتی از واکسن‌ها نیز در همه گیری‌ها ارزشمند‌تر است زیرا</w:t>
      </w:r>
      <w:r w:rsidRPr="0025250D">
        <w:rPr>
          <w:rFonts w:hint="cs"/>
        </w:rPr>
        <w:t>‌</w:t>
      </w:r>
      <w:r w:rsidRPr="0025250D">
        <w:rPr>
          <w:rFonts w:hint="cs"/>
          <w:rtl/>
        </w:rPr>
        <w:t xml:space="preserve"> می‌تواند فورا اعمال شده و اثر کند، در اختیار داشتیم. برای مثال </w:t>
      </w:r>
      <w:r w:rsidRPr="0025250D">
        <w:t>N</w:t>
      </w:r>
      <w:r w:rsidRPr="0025250D">
        <w:rPr>
          <w:rtl/>
        </w:rPr>
        <w:t>-ه</w:t>
      </w:r>
      <w:r w:rsidRPr="0025250D">
        <w:rPr>
          <w:rFonts w:hint="cs"/>
          <w:rtl/>
        </w:rPr>
        <w:t>ی</w:t>
      </w:r>
      <w:r w:rsidRPr="0025250D">
        <w:rPr>
          <w:rFonts w:hint="eastAsia"/>
          <w:rtl/>
        </w:rPr>
        <w:t>دروکس</w:t>
      </w:r>
      <w:r w:rsidRPr="0025250D">
        <w:rPr>
          <w:rFonts w:hint="cs"/>
          <w:rtl/>
        </w:rPr>
        <w:t>ی</w:t>
      </w:r>
      <w:r w:rsidRPr="0025250D">
        <w:rPr>
          <w:rtl/>
        </w:rPr>
        <w:t xml:space="preserve"> س</w:t>
      </w:r>
      <w:r w:rsidRPr="0025250D">
        <w:rPr>
          <w:rFonts w:hint="cs"/>
          <w:rtl/>
        </w:rPr>
        <w:t>ی</w:t>
      </w:r>
      <w:r w:rsidRPr="0025250D">
        <w:rPr>
          <w:rFonts w:hint="eastAsia"/>
          <w:rtl/>
        </w:rPr>
        <w:t>ت</w:t>
      </w:r>
      <w:r w:rsidRPr="0025250D">
        <w:rPr>
          <w:rFonts w:hint="cs"/>
          <w:rtl/>
        </w:rPr>
        <w:t>ی</w:t>
      </w:r>
      <w:r w:rsidRPr="0025250D">
        <w:rPr>
          <w:rFonts w:hint="eastAsia"/>
          <w:rtl/>
        </w:rPr>
        <w:t>د</w:t>
      </w:r>
      <w:r w:rsidRPr="0025250D">
        <w:rPr>
          <w:rFonts w:hint="cs"/>
          <w:rtl/>
        </w:rPr>
        <w:t>ی</w:t>
      </w:r>
      <w:r w:rsidRPr="0025250D">
        <w:rPr>
          <w:rFonts w:hint="eastAsia"/>
          <w:rtl/>
        </w:rPr>
        <w:t>ن</w:t>
      </w:r>
      <w:r w:rsidRPr="0025250D">
        <w:rPr>
          <w:vertAlign w:val="superscript"/>
          <w:rtl/>
        </w:rPr>
        <w:footnoteReference w:id="901"/>
      </w:r>
      <w:r w:rsidRPr="0025250D">
        <w:rPr>
          <w:rFonts w:hint="cs"/>
          <w:rtl/>
        </w:rPr>
        <w:t>، یکی از مشتقات آمینو اسید خوراکیِ ظاهرا ایمن است که اثبات شده است که</w:t>
      </w:r>
      <w:r w:rsidRPr="0025250D">
        <w:rPr>
          <w:rFonts w:hint="cs"/>
        </w:rPr>
        <w:t>‌</w:t>
      </w:r>
      <w:r w:rsidRPr="0025250D">
        <w:rPr>
          <w:rFonts w:hint="cs"/>
          <w:rtl/>
        </w:rPr>
        <w:t xml:space="preserve"> می‌تواند از عفونت </w:t>
      </w:r>
      <w:r w:rsidRPr="0025250D">
        <w:rPr>
          <w:rtl/>
        </w:rPr>
        <w:t>کوو</w:t>
      </w:r>
      <w:r w:rsidRPr="0025250D">
        <w:rPr>
          <w:rFonts w:hint="cs"/>
          <w:rtl/>
        </w:rPr>
        <w:t>ی</w:t>
      </w:r>
      <w:r w:rsidRPr="0025250D">
        <w:rPr>
          <w:rFonts w:hint="eastAsia"/>
          <w:rtl/>
        </w:rPr>
        <w:t>د</w:t>
      </w:r>
      <w:r w:rsidRPr="0025250D">
        <w:rPr>
          <w:rFonts w:hint="cs"/>
          <w:rtl/>
        </w:rPr>
        <w:t xml:space="preserve"> در سلول‌های مخاطی انسان</w:t>
      </w:r>
      <w:r w:rsidRPr="0025250D">
        <w:rPr>
          <w:vertAlign w:val="superscript"/>
          <w:rtl/>
        </w:rPr>
        <w:footnoteReference w:id="902"/>
      </w:r>
      <w:r w:rsidRPr="0025250D">
        <w:rPr>
          <w:rFonts w:hint="cs"/>
          <w:rtl/>
        </w:rPr>
        <w:t xml:space="preserve"> جلوگیری کند و از عفونت ناشی از همه ویروس‌های </w:t>
      </w:r>
      <w:r w:rsidRPr="0025250D">
        <w:t>RNA</w:t>
      </w:r>
      <w:r w:rsidRPr="0025250D">
        <w:rPr>
          <w:rFonts w:hint="cs"/>
          <w:rtl/>
        </w:rPr>
        <w:t xml:space="preserve"> وقتی که تا 12 ساعت پس </w:t>
      </w:r>
      <w:r w:rsidRPr="0025250D">
        <w:rPr>
          <w:rFonts w:hint="cs"/>
          <w:rtl/>
        </w:rPr>
        <w:lastRenderedPageBreak/>
        <w:t>از آلوده شدن مصرف شود، جلوگیری کند (در موش خرماها). این مورد به دلیل سیاست آینده‌نگاری نشده در مسیر استفاده انسانی بسیار کند عمل</w:t>
      </w:r>
      <w:r w:rsidRPr="0025250D">
        <w:rPr>
          <w:rFonts w:hint="cs"/>
        </w:rPr>
        <w:t>‌</w:t>
      </w:r>
      <w:r w:rsidRPr="0025250D">
        <w:rPr>
          <w:rFonts w:hint="cs"/>
          <w:rtl/>
        </w:rPr>
        <w:t xml:space="preserve"> می‌کند. در ماه</w:t>
      </w:r>
      <w:r w:rsidRPr="0025250D">
        <w:rPr>
          <w:rFonts w:hint="cs"/>
        </w:rPr>
        <w:t>‌</w:t>
      </w:r>
      <w:r w:rsidRPr="0025250D">
        <w:rPr>
          <w:rFonts w:hint="cs"/>
          <w:rtl/>
        </w:rPr>
        <w:t xml:space="preserve"> می‌2020 ثابت شد که تست 13</w:t>
      </w:r>
      <w:r w:rsidR="00D72EA2" w:rsidRPr="0025250D">
        <w:rPr>
          <w:rtl/>
        </w:rPr>
        <w:t xml:space="preserve"> دق</w:t>
      </w:r>
      <w:r w:rsidR="00D72EA2" w:rsidRPr="0025250D">
        <w:rPr>
          <w:rFonts w:hint="cs"/>
          <w:rtl/>
        </w:rPr>
        <w:t>ی</w:t>
      </w:r>
      <w:r w:rsidR="00D72EA2" w:rsidRPr="0025250D">
        <w:rPr>
          <w:rFonts w:hint="eastAsia"/>
          <w:rtl/>
        </w:rPr>
        <w:t>قه</w:t>
      </w:r>
      <w:r w:rsidRPr="0025250D">
        <w:rPr>
          <w:rFonts w:hint="cs"/>
          <w:rtl/>
        </w:rPr>
        <w:t>‌ای سریع آیدی ناو</w:t>
      </w:r>
      <w:r w:rsidRPr="0025250D">
        <w:rPr>
          <w:vertAlign w:val="superscript"/>
          <w:rtl/>
        </w:rPr>
        <w:footnoteReference w:id="903"/>
      </w:r>
      <w:r w:rsidRPr="0025250D">
        <w:rPr>
          <w:rFonts w:hint="cs"/>
          <w:rtl/>
        </w:rPr>
        <w:t xml:space="preserve"> برای کووید</w:t>
      </w:r>
      <w:r w:rsidRPr="0025250D">
        <w:rPr>
          <w:vertAlign w:val="superscript"/>
          <w:rtl/>
        </w:rPr>
        <w:footnoteReference w:id="904"/>
      </w:r>
      <w:r w:rsidRPr="0025250D">
        <w:rPr>
          <w:rFonts w:hint="cs"/>
          <w:rtl/>
        </w:rPr>
        <w:t xml:space="preserve"> از </w:t>
      </w:r>
      <w:r w:rsidRPr="0025250D">
        <w:rPr>
          <w:rtl/>
        </w:rPr>
        <w:t>ابوت</w:t>
      </w:r>
      <w:r w:rsidRPr="0025250D">
        <w:rPr>
          <w:vertAlign w:val="superscript"/>
          <w:rtl/>
        </w:rPr>
        <w:footnoteReference w:id="905"/>
      </w:r>
      <w:r w:rsidRPr="0025250D">
        <w:rPr>
          <w:rFonts w:hint="cs"/>
          <w:rtl/>
        </w:rPr>
        <w:t xml:space="preserve"> دقت و حساسیت بالایی دارد و تهیه و استفاده از آن ارزان است. این تست</w:t>
      </w:r>
      <w:r w:rsidRPr="0025250D">
        <w:rPr>
          <w:rFonts w:hint="cs"/>
        </w:rPr>
        <w:t>‌</w:t>
      </w:r>
      <w:r w:rsidRPr="0025250D">
        <w:rPr>
          <w:rFonts w:hint="cs"/>
          <w:rtl/>
        </w:rPr>
        <w:t xml:space="preserve"> می‌توانست به سرعت تولید انبوه شده و در همه بیمارستان‌ها، مدارس، فرودگاه‌ها و دفاتر آمریکا موجود شود و به شدت مدت قرنطینه عمومی را کاهش دهد. اگر به طور جدی بر روی این کار آزمایشی ضد ویروسی، ایمنی و عفونی در طول دهه گذشته </w:t>
      </w:r>
      <w:r w:rsidR="00F50EB4" w:rsidRPr="0025250D">
        <w:rPr>
          <w:rFonts w:hint="cs"/>
          <w:rtl/>
        </w:rPr>
        <w:t>سرمایه‌گذاری</w:t>
      </w:r>
      <w:r w:rsidRPr="0025250D">
        <w:rPr>
          <w:rFonts w:hint="cs"/>
          <w:rtl/>
        </w:rPr>
        <w:t xml:space="preserve"> کرده بودیم،</w:t>
      </w:r>
      <w:r w:rsidRPr="0025250D">
        <w:rPr>
          <w:rFonts w:hint="cs"/>
        </w:rPr>
        <w:t>‌</w:t>
      </w:r>
      <w:r w:rsidRPr="0025250D">
        <w:rPr>
          <w:rFonts w:hint="cs"/>
          <w:rtl/>
        </w:rPr>
        <w:t xml:space="preserve"> می‌توانستیم از صدها هزار مرگ و تریلیون‌ها دلار خسارت ناشی از دست دادن شغل و کاهش ثمر بخشی جلوگیری کنیم.</w:t>
      </w:r>
      <w:r w:rsidRPr="0025250D">
        <w:rPr>
          <w:rFonts w:hint="cs"/>
        </w:rPr>
        <w:t>‌</w:t>
      </w:r>
      <w:r w:rsidRPr="0025250D">
        <w:rPr>
          <w:rFonts w:hint="cs"/>
          <w:rtl/>
        </w:rPr>
        <w:t xml:space="preserve"> می‌توانستیم به جای قرنطینه کردن غیر هوشمندانه کاملا هوشمندانه عمل کنیم. مقاله </w:t>
      </w:r>
      <w:r w:rsidR="00BB406C" w:rsidRPr="0025250D">
        <w:rPr>
          <w:rFonts w:hint="cs"/>
          <w:rtl/>
        </w:rPr>
        <w:t>جان اسمارت</w:t>
      </w:r>
      <w:r w:rsidRPr="0025250D">
        <w:rPr>
          <w:rFonts w:hint="cs"/>
          <w:rtl/>
        </w:rPr>
        <w:t xml:space="preserve">، با عنوان </w:t>
      </w:r>
      <w:r w:rsidR="00D72EA2" w:rsidRPr="0025250D">
        <w:rPr>
          <w:rtl/>
        </w:rPr>
        <w:t>«</w:t>
      </w:r>
      <w:r w:rsidRPr="0025250D">
        <w:rPr>
          <w:rFonts w:hint="cs"/>
          <w:rtl/>
        </w:rPr>
        <w:t xml:space="preserve">آیا </w:t>
      </w:r>
      <w:r w:rsidRPr="0025250D">
        <w:rPr>
          <w:rtl/>
        </w:rPr>
        <w:t>کوو</w:t>
      </w:r>
      <w:r w:rsidRPr="0025250D">
        <w:rPr>
          <w:rFonts w:hint="cs"/>
          <w:rtl/>
        </w:rPr>
        <w:t>ی</w:t>
      </w:r>
      <w:r w:rsidRPr="0025250D">
        <w:rPr>
          <w:rFonts w:hint="eastAsia"/>
          <w:rtl/>
        </w:rPr>
        <w:t>د</w:t>
      </w:r>
      <w:r w:rsidRPr="0025250D">
        <w:rPr>
          <w:rtl/>
        </w:rPr>
        <w:t>-۱۹</w:t>
      </w:r>
      <w:r w:rsidRPr="0025250D">
        <w:rPr>
          <w:rFonts w:hint="cs"/>
          <w:rtl/>
        </w:rPr>
        <w:t xml:space="preserve"> سبب مخارج ضد ویروسی جدی برای آمریکا خواهد شد؟</w:t>
      </w:r>
      <w:r w:rsidRPr="0025250D">
        <w:rPr>
          <w:vertAlign w:val="superscript"/>
          <w:rtl/>
        </w:rPr>
        <w:footnoteReference w:id="906"/>
      </w:r>
      <w:r w:rsidR="00D72EA2" w:rsidRPr="0025250D">
        <w:rPr>
          <w:rFonts w:hint="cs"/>
          <w:rtl/>
        </w:rPr>
        <w:t>»</w:t>
      </w:r>
      <w:r w:rsidR="00BB406C" w:rsidRPr="0025250D">
        <w:rPr>
          <w:rFonts w:hint="cs"/>
          <w:rtl/>
        </w:rPr>
        <w:t xml:space="preserve"> در سال</w:t>
      </w:r>
      <w:r w:rsidRPr="0025250D">
        <w:rPr>
          <w:rFonts w:hint="cs"/>
          <w:rtl/>
        </w:rPr>
        <w:t xml:space="preserve"> 2020 را برای اطلاعات بیش‌تر در مورد این </w:t>
      </w:r>
      <w:r w:rsidRPr="0025250D">
        <w:t>LPO</w:t>
      </w:r>
      <w:r w:rsidRPr="0025250D">
        <w:rPr>
          <w:rFonts w:hint="cs"/>
          <w:rtl/>
        </w:rPr>
        <w:t xml:space="preserve"> غم</w:t>
      </w:r>
      <w:r w:rsidRPr="0025250D">
        <w:rPr>
          <w:rtl/>
        </w:rPr>
        <w:t xml:space="preserve"> </w:t>
      </w:r>
      <w:r w:rsidRPr="0025250D">
        <w:rPr>
          <w:rFonts w:hint="cs"/>
          <w:rtl/>
        </w:rPr>
        <w:t xml:space="preserve">انگیز ببینید. </w:t>
      </w:r>
      <w:r w:rsidRPr="0025250D">
        <w:rPr>
          <w:rtl/>
        </w:rPr>
        <w:t>آینده‌نگاری</w:t>
      </w:r>
      <w:r w:rsidRPr="0025250D">
        <w:rPr>
          <w:rFonts w:hint="cs"/>
          <w:rtl/>
        </w:rPr>
        <w:t xml:space="preserve"> سلامت عمومی</w:t>
      </w:r>
      <w:r w:rsidRPr="0025250D">
        <w:rPr>
          <w:vertAlign w:val="superscript"/>
          <w:rtl/>
        </w:rPr>
        <w:footnoteReference w:id="907"/>
      </w:r>
      <w:r w:rsidRPr="0025250D">
        <w:rPr>
          <w:rFonts w:hint="cs"/>
          <w:rtl/>
        </w:rPr>
        <w:t xml:space="preserve"> اهمیت دارد!</w:t>
      </w:r>
    </w:p>
    <w:p w14:paraId="3D5888DD" w14:textId="62781B2B" w:rsidR="0020732A" w:rsidRPr="0025250D" w:rsidRDefault="0020732A" w:rsidP="0020732A">
      <w:pPr>
        <w:rPr>
          <w:rtl/>
        </w:rPr>
      </w:pPr>
      <w:r w:rsidRPr="0025250D">
        <w:rPr>
          <w:rFonts w:hint="cs"/>
          <w:rtl/>
        </w:rPr>
        <w:t>در سال 2015، آیا سازمان‌های اطلاعاتی آمریکا و روزنامه نگاران غربی</w:t>
      </w:r>
      <w:r w:rsidRPr="0025250D">
        <w:rPr>
          <w:rFonts w:hint="cs"/>
        </w:rPr>
        <w:t>‌</w:t>
      </w:r>
      <w:r w:rsidRPr="0025250D">
        <w:rPr>
          <w:rFonts w:hint="cs"/>
          <w:rtl/>
        </w:rPr>
        <w:t xml:space="preserve"> می‌توانستند عمق دخالت روسیه و دستکاری نظرات و انتخابات </w:t>
      </w:r>
      <w:r w:rsidR="00EE4B64" w:rsidRPr="0025250D">
        <w:rPr>
          <w:rFonts w:hint="cs"/>
          <w:rtl/>
        </w:rPr>
        <w:t>مردم‌سالار</w:t>
      </w:r>
      <w:r w:rsidRPr="0025250D">
        <w:rPr>
          <w:rFonts w:hint="cs"/>
          <w:rtl/>
        </w:rPr>
        <w:t xml:space="preserve"> غربی از طریق اخبار جعلی را آشکار کنند؟ همه رد پا‌های خبری وجود داشتند و آماده آشکارسازی بودند. سازمان اطلاعات روسیه، </w:t>
      </w:r>
      <w:r w:rsidRPr="0025250D">
        <w:t>FSB</w:t>
      </w:r>
      <w:r w:rsidRPr="0025250D">
        <w:rPr>
          <w:rFonts w:hint="cs"/>
          <w:rtl/>
        </w:rPr>
        <w:t>، با سرمایه هنگفتی از سوی الیگارش‌های پوتین، سرمایه آژانس تحقیقات اینترنتی</w:t>
      </w:r>
      <w:r w:rsidRPr="0025250D">
        <w:rPr>
          <w:vertAlign w:val="superscript"/>
          <w:rtl/>
        </w:rPr>
        <w:footnoteReference w:id="908"/>
      </w:r>
      <w:r w:rsidRPr="0025250D">
        <w:rPr>
          <w:rFonts w:hint="cs"/>
          <w:rtl/>
        </w:rPr>
        <w:t xml:space="preserve"> (</w:t>
      </w:r>
      <w:r w:rsidRPr="0025250D">
        <w:t>IRA</w:t>
      </w:r>
      <w:r w:rsidRPr="0025250D">
        <w:rPr>
          <w:rFonts w:hint="cs"/>
          <w:rtl/>
        </w:rPr>
        <w:t xml:space="preserve">) را در سال 2013 تأمین کرد. </w:t>
      </w:r>
      <w:r w:rsidRPr="0025250D">
        <w:t>IRA</w:t>
      </w:r>
      <w:r w:rsidRPr="0025250D">
        <w:rPr>
          <w:rFonts w:hint="cs"/>
          <w:rtl/>
        </w:rPr>
        <w:t xml:space="preserve"> 1000 نفر را استخدام کرد که بسیاری از آنها از هزاران اکانت کاربری جعلی و ربات‌هایی بر روی رسانه‌های اجتماعی برای پخش داستان‌ها و نظرات جعلی که از نظر احساسی هدایت شده بودند و دارای قطبیت سیاسی بودند، استفاده</w:t>
      </w:r>
      <w:r w:rsidRPr="0025250D">
        <w:rPr>
          <w:rFonts w:hint="cs"/>
        </w:rPr>
        <w:t>‌</w:t>
      </w:r>
      <w:r w:rsidRPr="0025250D">
        <w:rPr>
          <w:rFonts w:hint="cs"/>
          <w:rtl/>
        </w:rPr>
        <w:t xml:space="preserve"> می‌کردند. روسیه از </w:t>
      </w:r>
      <w:r w:rsidRPr="0025250D">
        <w:t>IRA</w:t>
      </w:r>
      <w:r w:rsidRPr="0025250D">
        <w:rPr>
          <w:rFonts w:hint="cs"/>
          <w:rtl/>
        </w:rPr>
        <w:t xml:space="preserve"> به طور گسترده بر روی سایت‌های اخبار جهانی به منظور </w:t>
      </w:r>
      <w:r w:rsidR="0008779C" w:rsidRPr="0025250D">
        <w:rPr>
          <w:rFonts w:hint="cs"/>
          <w:rtl/>
        </w:rPr>
        <w:t>تاثیرگذاری</w:t>
      </w:r>
      <w:r w:rsidRPr="0025250D">
        <w:rPr>
          <w:rFonts w:hint="cs"/>
          <w:rtl/>
        </w:rPr>
        <w:t xml:space="preserve"> بر نظرات در مورد تهاجم روسیه و جداسازی کریمه</w:t>
      </w:r>
      <w:r w:rsidRPr="0025250D">
        <w:rPr>
          <w:vertAlign w:val="superscript"/>
          <w:rtl/>
        </w:rPr>
        <w:footnoteReference w:id="909"/>
      </w:r>
      <w:r w:rsidRPr="0025250D">
        <w:rPr>
          <w:rFonts w:hint="cs"/>
          <w:rtl/>
        </w:rPr>
        <w:t xml:space="preserve"> از اوکراین در سال 2014 و تغییر نتیجه انتخابات اوکراین به نفع نماینده خود، </w:t>
      </w:r>
      <w:r w:rsidRPr="0025250D">
        <w:rPr>
          <w:rtl/>
        </w:rPr>
        <w:t>پترو پوروشنکو</w:t>
      </w:r>
      <w:r w:rsidRPr="0025250D">
        <w:rPr>
          <w:vertAlign w:val="superscript"/>
          <w:rtl/>
        </w:rPr>
        <w:footnoteReference w:id="910"/>
      </w:r>
      <w:r w:rsidRPr="0025250D">
        <w:rPr>
          <w:rFonts w:hint="cs"/>
          <w:rtl/>
        </w:rPr>
        <w:t>، در سال 2014 استفاده کرد. در سال 2014 بار‌ها به تیم باراک اوباما</w:t>
      </w:r>
      <w:r w:rsidRPr="0025250D">
        <w:rPr>
          <w:vertAlign w:val="superscript"/>
          <w:rtl/>
        </w:rPr>
        <w:footnoteReference w:id="911"/>
      </w:r>
      <w:r w:rsidRPr="0025250D">
        <w:rPr>
          <w:rFonts w:hint="cs"/>
          <w:rtl/>
        </w:rPr>
        <w:t xml:space="preserve">، رئیس جمهور وقت آمریکا، توسط سازمان‌های امنیتی در مورد دامنه سلاح دروغ پراکنی روسیه و </w:t>
      </w:r>
      <w:r w:rsidR="00701E03" w:rsidRPr="0025250D">
        <w:rPr>
          <w:rFonts w:hint="cs"/>
          <w:rtl/>
        </w:rPr>
        <w:t>راهبرد</w:t>
      </w:r>
      <w:r w:rsidRPr="0025250D">
        <w:rPr>
          <w:rFonts w:hint="cs"/>
          <w:rtl/>
        </w:rPr>
        <w:t xml:space="preserve"> آن برای جهت دادن انتخابات آمریکا و اروپا به سمت احزاب عوام‌گرای</w:t>
      </w:r>
      <w:r w:rsidRPr="0025250D">
        <w:rPr>
          <w:vertAlign w:val="superscript"/>
          <w:rtl/>
        </w:rPr>
        <w:footnoteReference w:id="912"/>
      </w:r>
      <w:r w:rsidRPr="0025250D">
        <w:rPr>
          <w:rFonts w:hint="cs"/>
          <w:rtl/>
        </w:rPr>
        <w:t xml:space="preserve"> راست افراطی هشدار داده شده بود. اگر تیم باراک اوباما این هشدار‌ها را</w:t>
      </w:r>
      <w:r w:rsidRPr="0025250D">
        <w:rPr>
          <w:rFonts w:hint="cs"/>
        </w:rPr>
        <w:t>‌</w:t>
      </w:r>
      <w:r w:rsidRPr="0025250D">
        <w:rPr>
          <w:rFonts w:hint="cs"/>
          <w:rtl/>
        </w:rPr>
        <w:t xml:space="preserve"> می‌دیدند و مهم‌تر از همه سیاست‌های عمومی در مورد دامنه دروغ پراکنی روسیه اتخاذ</w:t>
      </w:r>
      <w:r w:rsidRPr="0025250D">
        <w:rPr>
          <w:rFonts w:hint="cs"/>
        </w:rPr>
        <w:t>‌</w:t>
      </w:r>
      <w:r w:rsidRPr="0025250D">
        <w:rPr>
          <w:rFonts w:hint="cs"/>
          <w:rtl/>
        </w:rPr>
        <w:t xml:space="preserve"> می‌کردند،</w:t>
      </w:r>
      <w:r w:rsidRPr="0025250D">
        <w:rPr>
          <w:rFonts w:hint="cs"/>
        </w:rPr>
        <w:t>‌</w:t>
      </w:r>
      <w:r w:rsidRPr="0025250D">
        <w:rPr>
          <w:rFonts w:hint="cs"/>
          <w:rtl/>
        </w:rPr>
        <w:t xml:space="preserve"> می‌توانستیم اقداماتی برای محدود کردن گسترش اخبار جعلی در رسانه‌های اجتماعی خود پیش از انتخابات 2016 آمریکا انجام دهیم. یک لایحه در سال 2015 در زمینه مسئول بودن سایت‌های رسانه‌های اجتماعی نسبت به داستان‌های خود</w:t>
      </w:r>
      <w:r w:rsidRPr="0025250D">
        <w:rPr>
          <w:rFonts w:hint="cs"/>
        </w:rPr>
        <w:t>‌</w:t>
      </w:r>
      <w:r w:rsidRPr="0025250D">
        <w:rPr>
          <w:rFonts w:hint="cs"/>
          <w:rtl/>
        </w:rPr>
        <w:t xml:space="preserve"> می‌توانست تأثیرات زیادی داشته باشد. ترامپ، با توجه به وابستگی اقتصادی به روسیه، ممکن بود انتخابات اولیه جمهوری خواهان در سال 2016 را برنده نشود. مستند </w:t>
      </w:r>
      <w:r w:rsidRPr="0025250D">
        <w:rPr>
          <w:rtl/>
        </w:rPr>
        <w:t>جک برا</w:t>
      </w:r>
      <w:r w:rsidRPr="0025250D">
        <w:rPr>
          <w:rFonts w:hint="cs"/>
          <w:rtl/>
        </w:rPr>
        <w:t>ی</w:t>
      </w:r>
      <w:r w:rsidRPr="0025250D">
        <w:rPr>
          <w:rFonts w:hint="eastAsia"/>
          <w:rtl/>
        </w:rPr>
        <w:t>ان</w:t>
      </w:r>
      <w:r w:rsidRPr="0025250D">
        <w:rPr>
          <w:vertAlign w:val="superscript"/>
          <w:rtl/>
        </w:rPr>
        <w:footnoteReference w:id="913"/>
      </w:r>
      <w:r w:rsidRPr="0025250D">
        <w:rPr>
          <w:rFonts w:hint="cs"/>
          <w:rtl/>
        </w:rPr>
        <w:t xml:space="preserve"> به نام اقدامات فعال</w:t>
      </w:r>
      <w:r w:rsidRPr="0025250D">
        <w:rPr>
          <w:vertAlign w:val="superscript"/>
          <w:rtl/>
        </w:rPr>
        <w:footnoteReference w:id="914"/>
      </w:r>
      <w:r w:rsidR="00BB406C" w:rsidRPr="0025250D">
        <w:rPr>
          <w:rFonts w:hint="cs"/>
          <w:rtl/>
        </w:rPr>
        <w:t xml:space="preserve"> در سال</w:t>
      </w:r>
      <w:r w:rsidRPr="0025250D">
        <w:rPr>
          <w:rFonts w:hint="cs"/>
          <w:rtl/>
        </w:rPr>
        <w:t xml:space="preserve"> 2018 را برای کسب اطلاعات بیش‌تر در مورد این </w:t>
      </w:r>
      <w:r w:rsidRPr="0025250D">
        <w:t>LPO</w:t>
      </w:r>
      <w:r w:rsidRPr="0025250D">
        <w:rPr>
          <w:rFonts w:hint="cs"/>
          <w:rtl/>
        </w:rPr>
        <w:t xml:space="preserve"> ببینید. </w:t>
      </w:r>
      <w:r w:rsidRPr="0025250D">
        <w:rPr>
          <w:rtl/>
        </w:rPr>
        <w:t>آینده‌نگاری</w:t>
      </w:r>
      <w:r w:rsidRPr="0025250D">
        <w:rPr>
          <w:rFonts w:hint="cs"/>
          <w:rtl/>
        </w:rPr>
        <w:t xml:space="preserve"> رسانه</w:t>
      </w:r>
      <w:r w:rsidR="00E46C90" w:rsidRPr="0025250D">
        <w:rPr>
          <w:rFonts w:hint="cs"/>
          <w:rtl/>
        </w:rPr>
        <w:t>‌</w:t>
      </w:r>
      <w:r w:rsidRPr="0025250D">
        <w:rPr>
          <w:rFonts w:hint="cs"/>
          <w:rtl/>
        </w:rPr>
        <w:t>ای</w:t>
      </w:r>
      <w:r w:rsidRPr="0025250D">
        <w:rPr>
          <w:vertAlign w:val="superscript"/>
          <w:rtl/>
        </w:rPr>
        <w:footnoteReference w:id="915"/>
      </w:r>
      <w:r w:rsidRPr="0025250D">
        <w:rPr>
          <w:rFonts w:hint="cs"/>
          <w:rtl/>
        </w:rPr>
        <w:t xml:space="preserve"> اهمیت دارد!</w:t>
      </w:r>
    </w:p>
    <w:p w14:paraId="088761B4" w14:textId="77777777" w:rsidR="0020732A" w:rsidRPr="0025250D" w:rsidRDefault="0020732A" w:rsidP="009E77BD">
      <w:pPr>
        <w:jc w:val="center"/>
        <w:rPr>
          <w:rtl/>
        </w:rPr>
      </w:pPr>
      <w:r w:rsidRPr="0025250D">
        <w:rPr>
          <w:noProof/>
          <w:rtl/>
          <w:lang w:bidi="ar-SA"/>
        </w:rPr>
        <w:lastRenderedPageBreak/>
        <w:drawing>
          <wp:inline distT="0" distB="0" distL="0" distR="0" wp14:anchorId="3B70B1F4" wp14:editId="1A7C21B0">
            <wp:extent cx="1423284" cy="2086538"/>
            <wp:effectExtent l="0" t="0" r="5715" b="9525"/>
            <wp:docPr id="48" name="Picture 48" descr="D:\کار\مستقل\3 ( ترجمه ی دانشگاه تهران  )\Introduction to Foresight\part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2\23.png"/>
                    <pic:cNvPicPr>
                      <a:picLocks noChangeAspect="1" noChangeArrowheads="1"/>
                    </pic:cNvPicPr>
                  </pic:nvPicPr>
                  <pic:blipFill rotWithShape="1">
                    <a:blip r:embed="rId88" cstate="screen">
                      <a:extLst>
                        <a:ext uri="{BEBA8EAE-BF5A-486C-A8C5-ECC9F3942E4B}">
                          <a14:imgProps xmlns:a14="http://schemas.microsoft.com/office/drawing/2010/main">
                            <a14:imgLayer r:embed="rId89">
                              <a14:imgEffect>
                                <a14:saturation sat="0"/>
                              </a14:imgEffect>
                            </a14:imgLayer>
                          </a14:imgProps>
                        </a:ext>
                        <a:ext uri="{28A0092B-C50C-407E-A947-70E740481C1C}">
                          <a14:useLocalDpi xmlns:a14="http://schemas.microsoft.com/office/drawing/2010/main"/>
                        </a:ext>
                      </a:extLst>
                    </a:blip>
                    <a:srcRect/>
                    <a:stretch/>
                  </pic:blipFill>
                  <pic:spPr bwMode="auto">
                    <a:xfrm>
                      <a:off x="0" y="0"/>
                      <a:ext cx="1427280" cy="2092396"/>
                    </a:xfrm>
                    <a:prstGeom prst="rect">
                      <a:avLst/>
                    </a:prstGeom>
                    <a:noFill/>
                    <a:ln>
                      <a:noFill/>
                    </a:ln>
                    <a:extLst>
                      <a:ext uri="{53640926-AAD7-44D8-BBD7-CCE9431645EC}">
                        <a14:shadowObscured xmlns:a14="http://schemas.microsoft.com/office/drawing/2010/main"/>
                      </a:ext>
                    </a:extLst>
                  </pic:spPr>
                </pic:pic>
              </a:graphicData>
            </a:graphic>
          </wp:inline>
        </w:drawing>
      </w:r>
    </w:p>
    <w:p w14:paraId="4CBBDA95" w14:textId="77777777" w:rsidR="0020732A" w:rsidRPr="0025250D" w:rsidRDefault="0020732A" w:rsidP="009E77BD">
      <w:pPr>
        <w:jc w:val="center"/>
        <w:rPr>
          <w:rtl/>
        </w:rPr>
      </w:pPr>
      <w:r w:rsidRPr="0025250D">
        <w:rPr>
          <w:rtl/>
        </w:rPr>
        <w:t>برا</w:t>
      </w:r>
      <w:r w:rsidRPr="0025250D">
        <w:rPr>
          <w:rFonts w:hint="cs"/>
          <w:rtl/>
        </w:rPr>
        <w:t>ی</w:t>
      </w:r>
      <w:r w:rsidRPr="0025250D">
        <w:rPr>
          <w:rFonts w:hint="eastAsia"/>
          <w:rtl/>
        </w:rPr>
        <w:t>ان</w:t>
      </w:r>
      <w:r w:rsidRPr="0025250D">
        <w:rPr>
          <w:rFonts w:hint="cs"/>
          <w:rtl/>
        </w:rPr>
        <w:t>، 2018</w:t>
      </w:r>
    </w:p>
    <w:p w14:paraId="5DBD55B4" w14:textId="7F8DF401" w:rsidR="0020732A" w:rsidRPr="0025250D" w:rsidRDefault="0020732A" w:rsidP="0020732A">
      <w:pPr>
        <w:rPr>
          <w:rtl/>
        </w:rPr>
      </w:pPr>
      <w:r w:rsidRPr="0025250D">
        <w:rPr>
          <w:rFonts w:hint="cs"/>
          <w:rtl/>
        </w:rPr>
        <w:t>این خلاف‌آمدی آخر مشخص</w:t>
      </w:r>
      <w:r w:rsidRPr="0025250D">
        <w:rPr>
          <w:rFonts w:hint="cs"/>
        </w:rPr>
        <w:t>‌</w:t>
      </w:r>
      <w:r w:rsidRPr="0025250D">
        <w:rPr>
          <w:rFonts w:hint="cs"/>
          <w:rtl/>
        </w:rPr>
        <w:t xml:space="preserve"> می‌کند که یادگیری اغلب برای بهبود </w:t>
      </w:r>
      <w:r w:rsidRPr="0025250D">
        <w:rPr>
          <w:rtl/>
        </w:rPr>
        <w:t>آینده‌نگاری</w:t>
      </w:r>
      <w:r w:rsidRPr="0025250D">
        <w:rPr>
          <w:rFonts w:hint="cs"/>
          <w:rtl/>
        </w:rPr>
        <w:t xml:space="preserve"> جهانی و اجتماعی ما حیاتی است. بدون اخبار مبتنی بر مدارک و رای</w:t>
      </w:r>
      <w:r w:rsidRPr="0025250D">
        <w:rPr>
          <w:rtl/>
        </w:rPr>
        <w:t xml:space="preserve"> </w:t>
      </w:r>
      <w:r w:rsidRPr="0025250D">
        <w:rPr>
          <w:rFonts w:hint="cs"/>
          <w:rtl/>
        </w:rPr>
        <w:t>دهندگانی</w:t>
      </w:r>
      <w:r w:rsidRPr="0025250D">
        <w:rPr>
          <w:rtl/>
        </w:rPr>
        <w:t xml:space="preserve"> </w:t>
      </w:r>
      <w:r w:rsidRPr="0025250D">
        <w:rPr>
          <w:rFonts w:hint="cs"/>
          <w:rtl/>
        </w:rPr>
        <w:t>که</w:t>
      </w:r>
      <w:r w:rsidRPr="0025250D">
        <w:rPr>
          <w:rtl/>
        </w:rPr>
        <w:t xml:space="preserve"> </w:t>
      </w:r>
      <w:r w:rsidRPr="0025250D">
        <w:rPr>
          <w:rFonts w:hint="cs"/>
          <w:rtl/>
        </w:rPr>
        <w:t>مایل</w:t>
      </w:r>
      <w:r w:rsidRPr="0025250D">
        <w:rPr>
          <w:rtl/>
        </w:rPr>
        <w:t xml:space="preserve"> </w:t>
      </w:r>
      <w:r w:rsidRPr="0025250D">
        <w:rPr>
          <w:rFonts w:hint="cs"/>
          <w:rtl/>
        </w:rPr>
        <w:t>به</w:t>
      </w:r>
      <w:r w:rsidRPr="0025250D">
        <w:rPr>
          <w:rtl/>
        </w:rPr>
        <w:t xml:space="preserve"> </w:t>
      </w:r>
      <w:r w:rsidRPr="0025250D">
        <w:rPr>
          <w:rFonts w:hint="cs"/>
          <w:rtl/>
        </w:rPr>
        <w:t>یادگیری</w:t>
      </w:r>
      <w:r w:rsidRPr="0025250D">
        <w:rPr>
          <w:rtl/>
        </w:rPr>
        <w:t xml:space="preserve"> </w:t>
      </w:r>
      <w:r w:rsidRPr="0025250D">
        <w:rPr>
          <w:rFonts w:hint="cs"/>
          <w:rtl/>
        </w:rPr>
        <w:t>هستند،</w:t>
      </w:r>
      <w:r w:rsidR="00EE4B64" w:rsidRPr="0025250D">
        <w:rPr>
          <w:rFonts w:hint="cs"/>
          <w:rtl/>
        </w:rPr>
        <w:t xml:space="preserve"> نمی‌</w:t>
      </w:r>
      <w:r w:rsidRPr="0025250D">
        <w:rPr>
          <w:rFonts w:hint="cs"/>
          <w:rtl/>
        </w:rPr>
        <w:t xml:space="preserve">توانیم </w:t>
      </w:r>
      <w:r w:rsidR="00EE4B64" w:rsidRPr="0025250D">
        <w:rPr>
          <w:rFonts w:hint="cs"/>
          <w:rtl/>
        </w:rPr>
        <w:t>مردم‌سالار</w:t>
      </w:r>
      <w:r w:rsidRPr="0025250D">
        <w:rPr>
          <w:rFonts w:hint="cs"/>
          <w:rtl/>
        </w:rPr>
        <w:t xml:space="preserve">ی سالم داشته باشیم. </w:t>
      </w:r>
      <w:r w:rsidR="00BB406C" w:rsidRPr="0025250D">
        <w:rPr>
          <w:rFonts w:hint="cs"/>
          <w:rtl/>
        </w:rPr>
        <w:t xml:space="preserve">البته، </w:t>
      </w:r>
      <w:r w:rsidRPr="0025250D">
        <w:rPr>
          <w:rFonts w:hint="cs"/>
          <w:rtl/>
        </w:rPr>
        <w:t xml:space="preserve">مهم‌ترین بنیاد برای یادگیری، علم است. بدون شهروندانی تحصیل کرده، با ظرفیت‌های فکری انتقادی قوی و عطشی برای مدارک، </w:t>
      </w:r>
      <w:r w:rsidR="00EE4B64" w:rsidRPr="0025250D">
        <w:rPr>
          <w:rFonts w:hint="cs"/>
          <w:rtl/>
        </w:rPr>
        <w:t>مردم‌سالار</w:t>
      </w:r>
      <w:r w:rsidRPr="0025250D">
        <w:rPr>
          <w:rFonts w:hint="cs"/>
          <w:rtl/>
        </w:rPr>
        <w:t>ی‌ها ضعیف بوده و به راحتی تقسیم</w:t>
      </w:r>
      <w:r w:rsidRPr="0025250D">
        <w:rPr>
          <w:rFonts w:hint="cs"/>
        </w:rPr>
        <w:t>‌</w:t>
      </w:r>
      <w:r w:rsidRPr="0025250D">
        <w:rPr>
          <w:rFonts w:hint="cs"/>
          <w:rtl/>
        </w:rPr>
        <w:t xml:space="preserve"> می‌شوند. کتاب </w:t>
      </w:r>
      <w:r w:rsidR="00D72EA2" w:rsidRPr="0025250D">
        <w:rPr>
          <w:rtl/>
        </w:rPr>
        <w:t>«</w:t>
      </w:r>
      <w:r w:rsidRPr="0025250D">
        <w:rPr>
          <w:rFonts w:hint="cs"/>
          <w:rtl/>
        </w:rPr>
        <w:t>دنیای جن زده</w:t>
      </w:r>
      <w:r w:rsidRPr="0025250D">
        <w:rPr>
          <w:vertAlign w:val="superscript"/>
          <w:rtl/>
        </w:rPr>
        <w:footnoteReference w:id="916"/>
      </w:r>
      <w:r w:rsidR="00D72EA2" w:rsidRPr="0025250D">
        <w:rPr>
          <w:rtl/>
        </w:rPr>
        <w:t>»</w:t>
      </w:r>
      <w:r w:rsidR="00BB406C" w:rsidRPr="0025250D">
        <w:rPr>
          <w:rFonts w:hint="cs"/>
          <w:rtl/>
        </w:rPr>
        <w:t xml:space="preserve"> در سال</w:t>
      </w:r>
      <w:r w:rsidRPr="0025250D">
        <w:rPr>
          <w:rFonts w:hint="cs"/>
          <w:rtl/>
        </w:rPr>
        <w:t xml:space="preserve"> 1997، اثر اختر شناس و </w:t>
      </w:r>
      <w:r w:rsidR="00D92F6E" w:rsidRPr="0025250D">
        <w:rPr>
          <w:rFonts w:hint="cs"/>
          <w:rtl/>
        </w:rPr>
        <w:t>آینده‌پژوه</w:t>
      </w:r>
      <w:r w:rsidRPr="0025250D">
        <w:rPr>
          <w:rFonts w:hint="cs"/>
          <w:rtl/>
        </w:rPr>
        <w:t xml:space="preserve"> </w:t>
      </w:r>
      <w:r w:rsidRPr="0025250D">
        <w:rPr>
          <w:rtl/>
        </w:rPr>
        <w:t>کارل س</w:t>
      </w:r>
      <w:r w:rsidRPr="0025250D">
        <w:rPr>
          <w:rFonts w:hint="cs"/>
          <w:rtl/>
        </w:rPr>
        <w:t>ی</w:t>
      </w:r>
      <w:r w:rsidRPr="0025250D">
        <w:rPr>
          <w:rFonts w:hint="eastAsia"/>
          <w:rtl/>
        </w:rPr>
        <w:t>گان</w:t>
      </w:r>
      <w:r w:rsidRPr="0025250D">
        <w:rPr>
          <w:vertAlign w:val="superscript"/>
          <w:rtl/>
        </w:rPr>
        <w:footnoteReference w:id="917"/>
      </w:r>
      <w:r w:rsidRPr="0025250D">
        <w:rPr>
          <w:rFonts w:hint="cs"/>
          <w:rtl/>
        </w:rPr>
        <w:t>، نیاز اساسی ما به تحصیل علم، منطق و تفکر انتقادی را بیان</w:t>
      </w:r>
      <w:r w:rsidRPr="0025250D">
        <w:rPr>
          <w:rFonts w:hint="cs"/>
        </w:rPr>
        <w:t>‌</w:t>
      </w:r>
      <w:r w:rsidRPr="0025250D">
        <w:rPr>
          <w:rFonts w:hint="cs"/>
          <w:rtl/>
        </w:rPr>
        <w:t xml:space="preserve"> می‌کند. در</w:t>
      </w:r>
      <w:r w:rsidR="00BB406C" w:rsidRPr="0025250D">
        <w:rPr>
          <w:rFonts w:hint="cs"/>
          <w:rtl/>
        </w:rPr>
        <w:t xml:space="preserve"> </w:t>
      </w:r>
      <w:r w:rsidRPr="0025250D">
        <w:rPr>
          <w:rFonts w:hint="cs"/>
          <w:rtl/>
        </w:rPr>
        <w:t>پایان</w:t>
      </w:r>
      <w:r w:rsidR="00BB406C" w:rsidRPr="0025250D">
        <w:rPr>
          <w:rFonts w:hint="cs"/>
          <w:rtl/>
        </w:rPr>
        <w:t>،</w:t>
      </w:r>
      <w:r w:rsidRPr="0025250D">
        <w:rPr>
          <w:rFonts w:hint="cs"/>
          <w:rtl/>
        </w:rPr>
        <w:t xml:space="preserve"> این کتاب مهم در مورد موارد امکان‌پذیر در آمریکای امروزی که در آن فرسودگی تحصیلات و استاندارد‌های رسانه‌ای،</w:t>
      </w:r>
      <w:r w:rsidR="008D6F97" w:rsidRPr="0025250D">
        <w:rPr>
          <w:rtl/>
        </w:rPr>
        <w:t xml:space="preserve"> </w:t>
      </w:r>
      <w:r w:rsidRPr="0025250D">
        <w:rPr>
          <w:rFonts w:hint="cs"/>
          <w:rtl/>
        </w:rPr>
        <w:t xml:space="preserve">از دست رفتن طبقه میانی و سازنده، حکومت زرسالاران، اخبار جعلی، </w:t>
      </w:r>
      <w:r w:rsidR="00BB406C" w:rsidRPr="0025250D">
        <w:rPr>
          <w:rFonts w:hint="cs"/>
          <w:rtl/>
        </w:rPr>
        <w:t>نظریه‌های</w:t>
      </w:r>
      <w:r w:rsidRPr="0025250D">
        <w:rPr>
          <w:rFonts w:hint="cs"/>
          <w:rtl/>
        </w:rPr>
        <w:t xml:space="preserve"> توطئه، قطبی شدن و عوام</w:t>
      </w:r>
      <w:r w:rsidR="00BB406C" w:rsidRPr="0025250D">
        <w:rPr>
          <w:rFonts w:hint="cs"/>
          <w:rtl/>
        </w:rPr>
        <w:t>‌</w:t>
      </w:r>
      <w:r w:rsidRPr="0025250D">
        <w:rPr>
          <w:rFonts w:hint="cs"/>
          <w:rtl/>
        </w:rPr>
        <w:t>گرایی فراوان هستند، یک هشدار آگاهانه</w:t>
      </w:r>
      <w:r w:rsidRPr="0025250D">
        <w:rPr>
          <w:rFonts w:hint="cs"/>
        </w:rPr>
        <w:t>‌</w:t>
      </w:r>
      <w:r w:rsidRPr="0025250D">
        <w:rPr>
          <w:rFonts w:hint="cs"/>
          <w:rtl/>
        </w:rPr>
        <w:t xml:space="preserve"> می‌دهد. ما از چاه‌هایی که برای خود کنده ایم خارج خواهیم شد، اما این کار زمان خواهد برد.</w:t>
      </w:r>
    </w:p>
    <w:p w14:paraId="438DB07C" w14:textId="2C03A644" w:rsidR="0020732A" w:rsidRPr="0025250D" w:rsidRDefault="0020732A" w:rsidP="0020732A">
      <w:pPr>
        <w:rPr>
          <w:rtl/>
        </w:rPr>
      </w:pPr>
      <w:r w:rsidRPr="0025250D">
        <w:rPr>
          <w:rFonts w:hint="cs"/>
          <w:rtl/>
        </w:rPr>
        <w:t>خوشبختانه، پیدایش هوش مصنوعی شخصی</w:t>
      </w:r>
      <w:r w:rsidRPr="0025250D">
        <w:rPr>
          <w:vertAlign w:val="superscript"/>
          <w:rtl/>
        </w:rPr>
        <w:footnoteReference w:id="918"/>
      </w:r>
      <w:r w:rsidRPr="0025250D">
        <w:rPr>
          <w:rFonts w:hint="cs"/>
          <w:rtl/>
        </w:rPr>
        <w:t xml:space="preserve"> (</w:t>
      </w:r>
      <w:r w:rsidRPr="0025250D">
        <w:t>PAI</w:t>
      </w:r>
      <w:r w:rsidRPr="0025250D">
        <w:rPr>
          <w:rFonts w:hint="cs"/>
          <w:rtl/>
        </w:rPr>
        <w:t xml:space="preserve"> ها) در میانه قرن 21 که در کتاب 2 آن را بررسی خواهیم کرد، به شدت نرخ‌های یادگیری </w:t>
      </w:r>
      <w:r w:rsidR="001A3F0A" w:rsidRPr="0025250D">
        <w:rPr>
          <w:rFonts w:hint="cs"/>
          <w:rtl/>
        </w:rPr>
        <w:t>فردی</w:t>
      </w:r>
      <w:r w:rsidRPr="0025250D">
        <w:rPr>
          <w:rFonts w:hint="cs"/>
          <w:rtl/>
        </w:rPr>
        <w:t xml:space="preserve"> و جمعی را افزایش خواهد داد. آن‌ها ما را، به شکل فزاینده‌ای، به سمت درونداد‌های مبتنی بر مدارک هدایت خواهند کرد. وقتی تصمیم</w:t>
      </w:r>
      <w:r w:rsidRPr="0025250D">
        <w:rPr>
          <w:rFonts w:hint="cs"/>
        </w:rPr>
        <w:t>‌</w:t>
      </w:r>
      <w:r w:rsidRPr="0025250D">
        <w:rPr>
          <w:rFonts w:hint="cs"/>
          <w:rtl/>
        </w:rPr>
        <w:t xml:space="preserve"> می‌گیریم که از مدارک پیروی نکنیم، دیگران پی خواهند برد. ما </w:t>
      </w:r>
      <w:r w:rsidRPr="0025250D">
        <w:t>PAI</w:t>
      </w:r>
      <w:r w:rsidRPr="0025250D">
        <w:rPr>
          <w:rFonts w:hint="cs"/>
          <w:rtl/>
        </w:rPr>
        <w:t>‌ها را به‌عنوان چیزی بیش از خود دیجیتالیمان</w:t>
      </w:r>
      <w:r w:rsidRPr="0025250D">
        <w:rPr>
          <w:vertAlign w:val="superscript"/>
          <w:rtl/>
        </w:rPr>
        <w:footnoteReference w:id="919"/>
      </w:r>
      <w:r w:rsidRPr="0025250D">
        <w:rPr>
          <w:rFonts w:hint="cs"/>
          <w:rtl/>
        </w:rPr>
        <w:t xml:space="preserve"> نخواهیم دید، خودی که هوش و ظرفیت‌های </w:t>
      </w:r>
      <w:r w:rsidR="007B3B35" w:rsidRPr="0025250D">
        <w:rPr>
          <w:rFonts w:hint="cs"/>
          <w:rtl/>
        </w:rPr>
        <w:t>شتاب‌گیر</w:t>
      </w:r>
      <w:r w:rsidRPr="0025250D">
        <w:rPr>
          <w:rFonts w:hint="cs"/>
          <w:rtl/>
        </w:rPr>
        <w:t xml:space="preserve">نده‌ای را برخلاف خود </w:t>
      </w:r>
      <w:r w:rsidR="0044659F" w:rsidRPr="0025250D">
        <w:rPr>
          <w:rFonts w:hint="cs"/>
          <w:rtl/>
        </w:rPr>
        <w:t>زیستی</w:t>
      </w:r>
      <w:r w:rsidRPr="0025250D">
        <w:rPr>
          <w:rFonts w:hint="cs"/>
          <w:rtl/>
        </w:rPr>
        <w:t xml:space="preserve"> مان</w:t>
      </w:r>
      <w:r w:rsidRPr="0025250D">
        <w:rPr>
          <w:vertAlign w:val="superscript"/>
          <w:rtl/>
        </w:rPr>
        <w:footnoteReference w:id="920"/>
      </w:r>
      <w:r w:rsidRPr="0025250D">
        <w:rPr>
          <w:rFonts w:hint="cs"/>
          <w:rtl/>
        </w:rPr>
        <w:t xml:space="preserve"> تجربه</w:t>
      </w:r>
      <w:r w:rsidRPr="0025250D">
        <w:rPr>
          <w:rFonts w:hint="cs"/>
        </w:rPr>
        <w:t>‌</w:t>
      </w:r>
      <w:r w:rsidRPr="0025250D">
        <w:rPr>
          <w:rFonts w:hint="cs"/>
          <w:rtl/>
        </w:rPr>
        <w:t xml:space="preserve"> می‌کند. به نظر ما </w:t>
      </w:r>
      <w:r w:rsidRPr="0025250D">
        <w:t>PAI</w:t>
      </w:r>
      <w:r w:rsidRPr="0025250D">
        <w:rPr>
          <w:rFonts w:hint="cs"/>
          <w:rtl/>
        </w:rPr>
        <w:t>‌ها اگر خودمان یا فرزند</w:t>
      </w:r>
      <w:r w:rsidR="00BB406C" w:rsidRPr="0025250D">
        <w:rPr>
          <w:rFonts w:hint="cs"/>
          <w:rtl/>
        </w:rPr>
        <w:t>ان</w:t>
      </w:r>
      <w:r w:rsidRPr="0025250D">
        <w:rPr>
          <w:rFonts w:hint="cs"/>
          <w:rtl/>
        </w:rPr>
        <w:t>مان بخواهیم</w:t>
      </w:r>
      <w:r w:rsidR="00BB406C" w:rsidRPr="0025250D">
        <w:rPr>
          <w:rFonts w:hint="cs"/>
          <w:rtl/>
        </w:rPr>
        <w:t>،</w:t>
      </w:r>
      <w:r w:rsidRPr="0025250D">
        <w:rPr>
          <w:rFonts w:hint="cs"/>
          <w:rtl/>
        </w:rPr>
        <w:t xml:space="preserve"> زنده</w:t>
      </w:r>
      <w:r w:rsidRPr="0025250D">
        <w:rPr>
          <w:rFonts w:hint="cs"/>
        </w:rPr>
        <w:t>‌</w:t>
      </w:r>
      <w:r w:rsidRPr="0025250D">
        <w:rPr>
          <w:rFonts w:hint="cs"/>
          <w:rtl/>
        </w:rPr>
        <w:t xml:space="preserve"> می‌مانند، با خانواده و فرزندانمان تعامل</w:t>
      </w:r>
      <w:r w:rsidRPr="0025250D">
        <w:rPr>
          <w:rFonts w:hint="cs"/>
        </w:rPr>
        <w:t>‌</w:t>
      </w:r>
      <w:r w:rsidRPr="0025250D">
        <w:rPr>
          <w:rFonts w:hint="cs"/>
          <w:rtl/>
        </w:rPr>
        <w:t xml:space="preserve"> می‌کنند و هر ساله درک و فواید خود را حتی پس از مرگ ما بهبود خواهند داد. پایان قرن 21، به شکل‌هایی کاملا اساسی، با امروز</w:t>
      </w:r>
      <w:r w:rsidR="008D6F97" w:rsidRPr="0025250D">
        <w:rPr>
          <w:rtl/>
        </w:rPr>
        <w:t xml:space="preserve"> </w:t>
      </w:r>
      <w:r w:rsidRPr="0025250D">
        <w:rPr>
          <w:rFonts w:hint="cs"/>
          <w:rtl/>
        </w:rPr>
        <w:t>متفاوت</w:t>
      </w:r>
      <w:r w:rsidRPr="0025250D">
        <w:rPr>
          <w:rtl/>
        </w:rPr>
        <w:t xml:space="preserve"> </w:t>
      </w:r>
      <w:r w:rsidRPr="0025250D">
        <w:rPr>
          <w:rFonts w:hint="cs"/>
          <w:rtl/>
        </w:rPr>
        <w:t>خواهد</w:t>
      </w:r>
      <w:r w:rsidRPr="0025250D">
        <w:rPr>
          <w:rtl/>
        </w:rPr>
        <w:t xml:space="preserve"> </w:t>
      </w:r>
      <w:r w:rsidRPr="0025250D">
        <w:rPr>
          <w:rFonts w:hint="cs"/>
          <w:rtl/>
        </w:rPr>
        <w:t>بود.</w:t>
      </w:r>
    </w:p>
    <w:p w14:paraId="2DB85393" w14:textId="1B960199" w:rsidR="0020732A" w:rsidRPr="0025250D" w:rsidRDefault="0020732A" w:rsidP="0020732A">
      <w:pPr>
        <w:rPr>
          <w:rtl/>
        </w:rPr>
      </w:pPr>
      <w:r w:rsidRPr="0025250D">
        <w:rPr>
          <w:rFonts w:hint="cs"/>
          <w:rtl/>
        </w:rPr>
        <w:t xml:space="preserve">امیدواریم که این بررسی کوتاه از چند مورد از </w:t>
      </w:r>
      <w:r w:rsidRPr="0025250D">
        <w:t>LPO</w:t>
      </w:r>
      <w:r w:rsidRPr="0025250D">
        <w:rPr>
          <w:rFonts w:hint="cs"/>
          <w:rtl/>
        </w:rPr>
        <w:t>‌های تاریخی</w:t>
      </w:r>
      <w:r w:rsidR="00BB406C" w:rsidRPr="0025250D">
        <w:rPr>
          <w:rFonts w:hint="cs"/>
          <w:rtl/>
        </w:rPr>
        <w:t>،</w:t>
      </w:r>
      <w:r w:rsidRPr="0025250D">
        <w:rPr>
          <w:rFonts w:hint="cs"/>
          <w:rtl/>
        </w:rPr>
        <w:t xml:space="preserve"> مدارک و شواهد کافی در مورد این‌که اگر </w:t>
      </w:r>
      <w:r w:rsidRPr="0025250D">
        <w:rPr>
          <w:rtl/>
        </w:rPr>
        <w:t xml:space="preserve">آینده‌نگاری </w:t>
      </w:r>
      <w:r w:rsidRPr="0025250D">
        <w:rPr>
          <w:rFonts w:hint="cs"/>
          <w:rtl/>
        </w:rPr>
        <w:t>خوب، برای افراد درست در زمان مناسب فراهم شود،</w:t>
      </w:r>
      <w:r w:rsidRPr="0025250D">
        <w:rPr>
          <w:rFonts w:hint="cs"/>
        </w:rPr>
        <w:t>‌</w:t>
      </w:r>
      <w:r w:rsidRPr="0025250D">
        <w:rPr>
          <w:rFonts w:hint="cs"/>
          <w:rtl/>
        </w:rPr>
        <w:t xml:space="preserve"> می‌تواند بسیاری از مشکلات بزرگ ما را حل کند، به ما برای اجتناب از فجایع کمک کند و به شدت زندگی‌های ما را بهبود بخشد، ارائه کرده باشد. در حقیقت، همواره مقادیر گسترده‌ای از </w:t>
      </w:r>
      <w:r w:rsidRPr="0025250D">
        <w:rPr>
          <w:rtl/>
        </w:rPr>
        <w:t>آینده‌نگاری</w:t>
      </w:r>
      <w:r w:rsidRPr="0025250D">
        <w:rPr>
          <w:rFonts w:hint="cs"/>
          <w:rtl/>
        </w:rPr>
        <w:t xml:space="preserve"> پنهان در اطراف ما وجود دارد که به نقل از </w:t>
      </w:r>
      <w:r w:rsidRPr="0025250D">
        <w:rPr>
          <w:rtl/>
        </w:rPr>
        <w:t>ادن ف</w:t>
      </w:r>
      <w:r w:rsidRPr="0025250D">
        <w:rPr>
          <w:rFonts w:hint="cs"/>
          <w:rtl/>
        </w:rPr>
        <w:t>ی</w:t>
      </w:r>
      <w:r w:rsidRPr="0025250D">
        <w:rPr>
          <w:rFonts w:hint="eastAsia"/>
          <w:rtl/>
        </w:rPr>
        <w:t>لپو</w:t>
      </w:r>
      <w:r w:rsidRPr="0025250D">
        <w:rPr>
          <w:vertAlign w:val="superscript"/>
          <w:rtl/>
        </w:rPr>
        <w:footnoteReference w:id="921"/>
      </w:r>
      <w:r w:rsidRPr="0025250D">
        <w:rPr>
          <w:rFonts w:hint="cs"/>
          <w:rtl/>
        </w:rPr>
        <w:t xml:space="preserve"> </w:t>
      </w:r>
      <w:r w:rsidR="00D72EA2" w:rsidRPr="0025250D">
        <w:rPr>
          <w:rtl/>
        </w:rPr>
        <w:t>«</w:t>
      </w:r>
      <w:r w:rsidRPr="0025250D">
        <w:rPr>
          <w:rFonts w:hint="cs"/>
          <w:rtl/>
        </w:rPr>
        <w:t>صبورانه منتظر بیش‌تر شدن قدرت درک هستند</w:t>
      </w:r>
      <w:r w:rsidR="00D72EA2" w:rsidRPr="0025250D">
        <w:rPr>
          <w:rtl/>
        </w:rPr>
        <w:t>»</w:t>
      </w:r>
      <w:r w:rsidRPr="0025250D">
        <w:rPr>
          <w:rFonts w:hint="cs"/>
          <w:rtl/>
        </w:rPr>
        <w:t>.</w:t>
      </w:r>
    </w:p>
    <w:p w14:paraId="136AEFAB" w14:textId="2DF63456" w:rsidR="0020732A" w:rsidRPr="0025250D" w:rsidRDefault="0020732A" w:rsidP="0020732A">
      <w:pPr>
        <w:rPr>
          <w:rtl/>
        </w:rPr>
      </w:pPr>
      <w:r w:rsidRPr="0025250D">
        <w:rPr>
          <w:rFonts w:hint="cs"/>
          <w:rtl/>
        </w:rPr>
        <w:t xml:space="preserve">این </w:t>
      </w:r>
      <w:r w:rsidRPr="0025250D">
        <w:t>LPO</w:t>
      </w:r>
      <w:r w:rsidRPr="0025250D">
        <w:rPr>
          <w:rFonts w:hint="cs"/>
          <w:rtl/>
        </w:rPr>
        <w:t>‌ها به ما یادآوری</w:t>
      </w:r>
      <w:r w:rsidRPr="0025250D">
        <w:rPr>
          <w:rFonts w:hint="cs"/>
        </w:rPr>
        <w:t>‌</w:t>
      </w:r>
      <w:r w:rsidRPr="0025250D">
        <w:rPr>
          <w:rFonts w:hint="cs"/>
          <w:rtl/>
        </w:rPr>
        <w:t xml:space="preserve"> می‌کنند که نه‌تنها </w:t>
      </w:r>
      <w:r w:rsidRPr="0025250D">
        <w:rPr>
          <w:rtl/>
        </w:rPr>
        <w:t>آینده‌نگاری</w:t>
      </w:r>
      <w:r w:rsidRPr="0025250D">
        <w:rPr>
          <w:rFonts w:hint="cs"/>
          <w:rtl/>
        </w:rPr>
        <w:t>، بلکه منطقی بودن و ارزش قائل شدن برای دانش</w:t>
      </w:r>
      <w:r w:rsidR="008D6F97" w:rsidRPr="0025250D">
        <w:rPr>
          <w:rtl/>
        </w:rPr>
        <w:t xml:space="preserve"> </w:t>
      </w:r>
      <w:r w:rsidRPr="0025250D">
        <w:rPr>
          <w:rFonts w:hint="cs"/>
          <w:rtl/>
        </w:rPr>
        <w:t xml:space="preserve">و آزمایش اخلاقی و همدلانه با </w:t>
      </w:r>
      <w:r w:rsidR="007A53FD" w:rsidRPr="0025250D">
        <w:rPr>
          <w:rFonts w:hint="cs"/>
          <w:rtl/>
        </w:rPr>
        <w:t>فناوری</w:t>
      </w:r>
      <w:r w:rsidRPr="0025250D">
        <w:rPr>
          <w:rFonts w:hint="cs"/>
          <w:rtl/>
        </w:rPr>
        <w:t xml:space="preserve">، با همه ناشناخته‌ها و جنجال‌های آن، در میان پایه‌های پیشرفت اجتماعی قرار دارد. کتاب </w:t>
      </w:r>
      <w:r w:rsidR="00D72EA2" w:rsidRPr="0025250D">
        <w:rPr>
          <w:rtl/>
        </w:rPr>
        <w:t>«</w:t>
      </w:r>
      <w:r w:rsidRPr="0025250D">
        <w:rPr>
          <w:rFonts w:hint="cs"/>
          <w:rtl/>
        </w:rPr>
        <w:t>منطقی بودن: معنی آن چیست، چرا نادر به نظر</w:t>
      </w:r>
      <w:r w:rsidRPr="0025250D">
        <w:rPr>
          <w:rFonts w:hint="cs"/>
        </w:rPr>
        <w:t>‌</w:t>
      </w:r>
      <w:r w:rsidRPr="0025250D">
        <w:rPr>
          <w:rFonts w:hint="cs"/>
          <w:rtl/>
        </w:rPr>
        <w:t xml:space="preserve"> </w:t>
      </w:r>
      <w:r w:rsidRPr="0025250D">
        <w:rPr>
          <w:rFonts w:hint="cs"/>
          <w:rtl/>
        </w:rPr>
        <w:lastRenderedPageBreak/>
        <w:t>می‌رسد</w:t>
      </w:r>
      <w:r w:rsidR="008D6F97" w:rsidRPr="0025250D">
        <w:rPr>
          <w:rtl/>
        </w:rPr>
        <w:t xml:space="preserve"> </w:t>
      </w:r>
      <w:r w:rsidRPr="0025250D">
        <w:rPr>
          <w:rFonts w:hint="cs"/>
          <w:rtl/>
        </w:rPr>
        <w:t>و چرا اهمیت دارد</w:t>
      </w:r>
      <w:r w:rsidRPr="0025250D">
        <w:rPr>
          <w:vertAlign w:val="superscript"/>
          <w:rtl/>
        </w:rPr>
        <w:footnoteReference w:id="922"/>
      </w:r>
      <w:r w:rsidR="00D72EA2" w:rsidRPr="0025250D">
        <w:rPr>
          <w:rtl/>
        </w:rPr>
        <w:t>»</w:t>
      </w:r>
      <w:r w:rsidR="00BB406C" w:rsidRPr="0025250D">
        <w:rPr>
          <w:rFonts w:hint="cs"/>
          <w:rtl/>
        </w:rPr>
        <w:t xml:space="preserve"> در سال</w:t>
      </w:r>
      <w:r w:rsidRPr="0025250D">
        <w:rPr>
          <w:rFonts w:hint="cs"/>
          <w:rtl/>
        </w:rPr>
        <w:t xml:space="preserve"> 2021، اثر روانشناس </w:t>
      </w:r>
      <w:r w:rsidRPr="0025250D">
        <w:rPr>
          <w:rtl/>
        </w:rPr>
        <w:t>است</w:t>
      </w:r>
      <w:r w:rsidRPr="0025250D">
        <w:rPr>
          <w:rFonts w:hint="cs"/>
          <w:rtl/>
        </w:rPr>
        <w:t>ی</w:t>
      </w:r>
      <w:r w:rsidRPr="0025250D">
        <w:rPr>
          <w:rFonts w:hint="eastAsia"/>
          <w:rtl/>
        </w:rPr>
        <w:t>ون</w:t>
      </w:r>
      <w:r w:rsidRPr="0025250D">
        <w:rPr>
          <w:rtl/>
        </w:rPr>
        <w:t xml:space="preserve"> پ</w:t>
      </w:r>
      <w:r w:rsidRPr="0025250D">
        <w:rPr>
          <w:rFonts w:hint="cs"/>
          <w:rtl/>
        </w:rPr>
        <w:t>ی</w:t>
      </w:r>
      <w:r w:rsidRPr="0025250D">
        <w:rPr>
          <w:rFonts w:hint="eastAsia"/>
          <w:rtl/>
        </w:rPr>
        <w:t>نکر</w:t>
      </w:r>
      <w:r w:rsidRPr="0025250D">
        <w:rPr>
          <w:vertAlign w:val="superscript"/>
          <w:rtl/>
        </w:rPr>
        <w:footnoteReference w:id="923"/>
      </w:r>
      <w:r w:rsidRPr="0025250D">
        <w:rPr>
          <w:rFonts w:hint="cs"/>
          <w:rtl/>
        </w:rPr>
        <w:t xml:space="preserve">، ادامه دهنده راه </w:t>
      </w:r>
      <w:r w:rsidRPr="0025250D">
        <w:rPr>
          <w:rtl/>
        </w:rPr>
        <w:t>ساگان</w:t>
      </w:r>
      <w:r w:rsidRPr="0025250D">
        <w:rPr>
          <w:vertAlign w:val="superscript"/>
          <w:rtl/>
        </w:rPr>
        <w:footnoteReference w:id="924"/>
      </w:r>
      <w:r w:rsidRPr="0025250D">
        <w:rPr>
          <w:rFonts w:hint="cs"/>
          <w:rtl/>
        </w:rPr>
        <w:t xml:space="preserve"> برای تقویت منطق در درون خودمان، تیممان و جوامع</w:t>
      </w:r>
      <w:r w:rsidR="00BB406C" w:rsidRPr="0025250D">
        <w:rPr>
          <w:rFonts w:hint="cs"/>
          <w:rtl/>
        </w:rPr>
        <w:t>‌</w:t>
      </w:r>
      <w:r w:rsidRPr="0025250D">
        <w:rPr>
          <w:rFonts w:hint="cs"/>
          <w:rtl/>
        </w:rPr>
        <w:t xml:space="preserve">مان است. پرده برداری از </w:t>
      </w:r>
      <w:r w:rsidRPr="0025250D">
        <w:rPr>
          <w:rtl/>
        </w:rPr>
        <w:t>آینده‌نگاری</w:t>
      </w:r>
      <w:r w:rsidRPr="0025250D">
        <w:rPr>
          <w:rFonts w:hint="cs"/>
          <w:rtl/>
        </w:rPr>
        <w:t xml:space="preserve"> پنهان، ارزیابی منطقی آن و رساندن آن به کسانی که بیش‌تر به آن احتیاج دارند، مسئولیت‌های مهم همه ما، به‌عنوان شهروندان این سیاره شگفت انگیز و پر شتاب هستند. پروژه </w:t>
      </w:r>
      <w:r w:rsidRPr="0025250D">
        <w:rPr>
          <w:rtl/>
        </w:rPr>
        <w:t>ف</w:t>
      </w:r>
      <w:r w:rsidRPr="0025250D">
        <w:rPr>
          <w:rFonts w:hint="cs"/>
          <w:rtl/>
        </w:rPr>
        <w:t>ی</w:t>
      </w:r>
      <w:r w:rsidRPr="0025250D">
        <w:rPr>
          <w:rFonts w:hint="eastAsia"/>
          <w:rtl/>
        </w:rPr>
        <w:t>وچرپد</w:t>
      </w:r>
      <w:r w:rsidRPr="0025250D">
        <w:rPr>
          <w:rFonts w:hint="cs"/>
          <w:rtl/>
        </w:rPr>
        <w:t>ی</w:t>
      </w:r>
      <w:r w:rsidRPr="0025250D">
        <w:rPr>
          <w:rFonts w:hint="eastAsia"/>
          <w:rtl/>
        </w:rPr>
        <w:t>ا</w:t>
      </w:r>
      <w:r w:rsidRPr="0025250D">
        <w:rPr>
          <w:rFonts w:hint="cs"/>
          <w:rtl/>
        </w:rPr>
        <w:t>ی</w:t>
      </w:r>
      <w:r w:rsidRPr="0025250D">
        <w:rPr>
          <w:vertAlign w:val="superscript"/>
          <w:rtl/>
        </w:rPr>
        <w:footnoteReference w:id="925"/>
      </w:r>
      <w:r w:rsidRPr="0025250D">
        <w:rPr>
          <w:rFonts w:hint="cs"/>
          <w:rtl/>
        </w:rPr>
        <w:t xml:space="preserve"> ما (فصل 6) بهترین </w:t>
      </w:r>
      <w:r w:rsidR="00701E03" w:rsidRPr="0025250D">
        <w:rPr>
          <w:rFonts w:hint="cs"/>
          <w:rtl/>
        </w:rPr>
        <w:t>راهبرد</w:t>
      </w:r>
      <w:r w:rsidRPr="0025250D">
        <w:rPr>
          <w:rFonts w:hint="cs"/>
          <w:rtl/>
        </w:rPr>
        <w:t xml:space="preserve"> ما برای کمک به جهان در این مورد است. </w:t>
      </w:r>
      <w:r w:rsidRPr="0025250D">
        <w:rPr>
          <w:rtl/>
        </w:rPr>
        <w:t>آینده‌نگاری</w:t>
      </w:r>
      <w:r w:rsidRPr="0025250D">
        <w:rPr>
          <w:rFonts w:hint="cs"/>
          <w:rtl/>
        </w:rPr>
        <w:t xml:space="preserve"> اهمیت دارد!</w:t>
      </w:r>
    </w:p>
    <w:p w14:paraId="08792E9E" w14:textId="77777777" w:rsidR="0020732A" w:rsidRPr="0025250D" w:rsidRDefault="0020732A" w:rsidP="0020732A">
      <w:pPr>
        <w:rPr>
          <w:rtl/>
        </w:rPr>
      </w:pPr>
    </w:p>
    <w:p w14:paraId="2BFE1F6B" w14:textId="77777777" w:rsidR="0020732A" w:rsidRPr="0025250D" w:rsidRDefault="0020732A" w:rsidP="0020732A">
      <w:pPr>
        <w:rPr>
          <w:rtl/>
        </w:rPr>
      </w:pPr>
    </w:p>
    <w:p w14:paraId="4F08124E" w14:textId="4DE528D6" w:rsidR="0020732A" w:rsidRPr="0025250D" w:rsidRDefault="0020732A" w:rsidP="009E77BD">
      <w:pPr>
        <w:pStyle w:val="Heading2"/>
        <w:rPr>
          <w:rtl/>
        </w:rPr>
      </w:pPr>
      <w:bookmarkStart w:id="24" w:name="_Toc127831289"/>
      <w:r w:rsidRPr="0025250D">
        <w:rPr>
          <w:rtl/>
        </w:rPr>
        <w:lastRenderedPageBreak/>
        <w:t>آینده‌نگاری</w:t>
      </w:r>
      <w:r w:rsidR="008D6F97" w:rsidRPr="0025250D">
        <w:rPr>
          <w:rtl/>
        </w:rPr>
        <w:t xml:space="preserve"> </w:t>
      </w:r>
      <w:r w:rsidR="00AE5BE0" w:rsidRPr="0025250D">
        <w:rPr>
          <w:rFonts w:hint="cs"/>
          <w:rtl/>
        </w:rPr>
        <w:t>انطباقی</w:t>
      </w:r>
      <w:r w:rsidRPr="0025250D">
        <w:rPr>
          <w:rFonts w:hint="cs"/>
          <w:rtl/>
        </w:rPr>
        <w:t xml:space="preserve">: مدل‌ها، ارزش‌ها و </w:t>
      </w:r>
      <w:r w:rsidR="00B56611" w:rsidRPr="0025250D">
        <w:rPr>
          <w:rFonts w:hint="cs"/>
          <w:rtl/>
        </w:rPr>
        <w:t>چشم‌انداز</w:t>
      </w:r>
      <w:r w:rsidRPr="0025250D">
        <w:rPr>
          <w:rFonts w:hint="cs"/>
          <w:rtl/>
        </w:rPr>
        <w:t>‌های موفقیت و پیشرفت</w:t>
      </w:r>
      <w:bookmarkEnd w:id="24"/>
    </w:p>
    <w:p w14:paraId="03B30A4A" w14:textId="3D978594" w:rsidR="0020732A" w:rsidRPr="0025250D" w:rsidRDefault="0020732A" w:rsidP="0020732A">
      <w:pPr>
        <w:rPr>
          <w:rtl/>
        </w:rPr>
      </w:pPr>
      <w:r w:rsidRPr="0025250D">
        <w:rPr>
          <w:rFonts w:hint="cs"/>
          <w:rtl/>
        </w:rPr>
        <w:t xml:space="preserve">گفتیم که </w:t>
      </w:r>
      <w:r w:rsidRPr="0025250D">
        <w:rPr>
          <w:rtl/>
        </w:rPr>
        <w:t>آینده‌نگاری</w:t>
      </w:r>
      <w:r w:rsidRPr="0025250D">
        <w:rPr>
          <w:rFonts w:hint="cs"/>
          <w:rtl/>
        </w:rPr>
        <w:t xml:space="preserve"> </w:t>
      </w:r>
      <w:r w:rsidR="00AE5BE0" w:rsidRPr="0025250D">
        <w:rPr>
          <w:rFonts w:hint="cs"/>
          <w:rtl/>
        </w:rPr>
        <w:t>انطباقی</w:t>
      </w:r>
      <w:r w:rsidRPr="0025250D">
        <w:rPr>
          <w:rFonts w:hint="cs"/>
          <w:rtl/>
        </w:rPr>
        <w:t xml:space="preserve"> </w:t>
      </w:r>
      <w:r w:rsidRPr="0025250D">
        <w:rPr>
          <w:rtl/>
        </w:rPr>
        <w:t>آینده‌نگاری</w:t>
      </w:r>
      <w:r w:rsidRPr="0025250D">
        <w:rPr>
          <w:rFonts w:hint="cs"/>
          <w:rtl/>
        </w:rPr>
        <w:t xml:space="preserve">‌ای است که بر اساس نظریه فعلی ما از </w:t>
      </w:r>
      <w:r w:rsidR="00AE5BE0" w:rsidRPr="0025250D">
        <w:rPr>
          <w:rFonts w:hint="cs"/>
          <w:rtl/>
        </w:rPr>
        <w:t>انطباق</w:t>
      </w:r>
      <w:r w:rsidRPr="0025250D">
        <w:rPr>
          <w:rFonts w:hint="cs"/>
          <w:rtl/>
        </w:rPr>
        <w:t xml:space="preserve"> باشد. </w:t>
      </w:r>
      <w:r w:rsidRPr="0025250D">
        <w:rPr>
          <w:rtl/>
        </w:rPr>
        <w:t>آینده‌نگاری</w:t>
      </w:r>
      <w:r w:rsidRPr="0025250D">
        <w:rPr>
          <w:rFonts w:hint="cs"/>
          <w:rtl/>
        </w:rPr>
        <w:t xml:space="preserve"> </w:t>
      </w:r>
      <w:r w:rsidR="00AE5BE0" w:rsidRPr="0025250D">
        <w:rPr>
          <w:rFonts w:hint="cs"/>
          <w:rtl/>
        </w:rPr>
        <w:t>انطباقی</w:t>
      </w:r>
      <w:r w:rsidRPr="0025250D">
        <w:rPr>
          <w:rFonts w:hint="cs"/>
          <w:rtl/>
        </w:rPr>
        <w:t xml:space="preserve"> نه‌تنها به بقا، بلکه به شکوفایی و ترقی برای بیش‌ترین تعداد افراد، در گستره وسیع تری از محیط‌ها</w:t>
      </w:r>
      <w:r w:rsidRPr="0025250D">
        <w:rPr>
          <w:rFonts w:hint="cs"/>
        </w:rPr>
        <w:t>‌</w:t>
      </w:r>
      <w:r w:rsidRPr="0025250D">
        <w:rPr>
          <w:rFonts w:hint="cs"/>
          <w:rtl/>
        </w:rPr>
        <w:t xml:space="preserve"> می‌پردازد. چنین </w:t>
      </w:r>
      <w:r w:rsidRPr="0025250D">
        <w:rPr>
          <w:rtl/>
        </w:rPr>
        <w:t>آینده‌نگاری</w:t>
      </w:r>
      <w:r w:rsidRPr="0025250D">
        <w:rPr>
          <w:rFonts w:hint="cs"/>
          <w:rtl/>
        </w:rPr>
        <w:t xml:space="preserve"> لزوما </w:t>
      </w:r>
      <w:r w:rsidR="00B56611" w:rsidRPr="0025250D">
        <w:rPr>
          <w:rFonts w:hint="cs"/>
          <w:rtl/>
        </w:rPr>
        <w:t>چشم‌انداز</w:t>
      </w:r>
      <w:r w:rsidRPr="0025250D">
        <w:rPr>
          <w:rFonts w:hint="cs"/>
          <w:rtl/>
        </w:rPr>
        <w:t xml:space="preserve">‌هایی از موفقیت </w:t>
      </w:r>
      <w:r w:rsidR="001A3F0A" w:rsidRPr="0025250D">
        <w:rPr>
          <w:rFonts w:hint="cs"/>
          <w:rtl/>
        </w:rPr>
        <w:t>فردی</w:t>
      </w:r>
      <w:r w:rsidRPr="0025250D">
        <w:rPr>
          <w:rFonts w:hint="cs"/>
          <w:rtl/>
        </w:rPr>
        <w:t xml:space="preserve"> و اجتماعی ایجاد</w:t>
      </w:r>
      <w:r w:rsidRPr="0025250D">
        <w:rPr>
          <w:rFonts w:hint="cs"/>
        </w:rPr>
        <w:t>‌</w:t>
      </w:r>
      <w:r w:rsidRPr="0025250D">
        <w:rPr>
          <w:rFonts w:hint="cs"/>
          <w:rtl/>
        </w:rPr>
        <w:t xml:space="preserve"> می‌کند و اهداف و ارزش‌هایی را در راستای </w:t>
      </w:r>
      <w:r w:rsidR="00AE5BE0" w:rsidRPr="0025250D">
        <w:rPr>
          <w:rFonts w:hint="cs"/>
          <w:rtl/>
        </w:rPr>
        <w:t>منطبق‌تر</w:t>
      </w:r>
      <w:r w:rsidRPr="0025250D">
        <w:rPr>
          <w:rFonts w:hint="cs"/>
          <w:rtl/>
        </w:rPr>
        <w:t xml:space="preserve"> کردن افراد، تیم‌ها و جوامع ترویج</w:t>
      </w:r>
      <w:r w:rsidRPr="0025250D">
        <w:rPr>
          <w:rFonts w:hint="cs"/>
        </w:rPr>
        <w:t>‌</w:t>
      </w:r>
      <w:r w:rsidRPr="0025250D">
        <w:rPr>
          <w:rFonts w:hint="cs"/>
          <w:rtl/>
        </w:rPr>
        <w:t xml:space="preserve"> می‌کند.</w:t>
      </w:r>
    </w:p>
    <w:p w14:paraId="069E6518" w14:textId="51F3425F" w:rsidR="0020732A" w:rsidRPr="0025250D" w:rsidRDefault="0020732A" w:rsidP="0020732A">
      <w:pPr>
        <w:rPr>
          <w:rtl/>
        </w:rPr>
      </w:pPr>
      <w:r w:rsidRPr="0025250D">
        <w:rPr>
          <w:rFonts w:hint="cs"/>
          <w:rtl/>
        </w:rPr>
        <w:t xml:space="preserve">ما تمایل داریم که سلسله‌مراتب تفکر خود در </w:t>
      </w:r>
      <w:r w:rsidRPr="0025250D">
        <w:rPr>
          <w:rtl/>
        </w:rPr>
        <w:t>آینده‌نگاری</w:t>
      </w:r>
      <w:r w:rsidRPr="0025250D">
        <w:rPr>
          <w:rFonts w:hint="cs"/>
          <w:rtl/>
        </w:rPr>
        <w:t xml:space="preserve"> </w:t>
      </w:r>
      <w:r w:rsidR="00AE5BE0" w:rsidRPr="0025250D">
        <w:rPr>
          <w:rFonts w:hint="cs"/>
          <w:rtl/>
        </w:rPr>
        <w:t>انطباقی</w:t>
      </w:r>
      <w:r w:rsidRPr="0025250D">
        <w:rPr>
          <w:rFonts w:hint="cs"/>
          <w:rtl/>
        </w:rPr>
        <w:t xml:space="preserve"> را ارائه کنیم. این یک مدل ساده و یک شیوه گرافیکی سریع برای توضیح گام به گام فرضیات مان در مورد چگونگی پدیداری </w:t>
      </w:r>
      <w:r w:rsidRPr="0025250D">
        <w:rPr>
          <w:rtl/>
        </w:rPr>
        <w:t xml:space="preserve">آینده‌نگاری </w:t>
      </w:r>
      <w:r w:rsidRPr="0025250D">
        <w:rPr>
          <w:rFonts w:hint="cs"/>
          <w:rtl/>
        </w:rPr>
        <w:t xml:space="preserve">خوب، در فرایندی تکاملی و توسعه‌ای است. سلسله‌مراتب ما برای سادگی تنها پنج گام خواهد داشت. سلسله‌مراتب و گام‌هایی که برای خود و تیم‌هایمان از همه ارزشمند‌تر می‌دانیم، موارد خوبی در مورد اینکه تولید </w:t>
      </w:r>
      <w:r w:rsidRPr="0025250D">
        <w:rPr>
          <w:rtl/>
        </w:rPr>
        <w:t xml:space="preserve">آینده </w:t>
      </w:r>
      <w:r w:rsidRPr="0025250D">
        <w:rPr>
          <w:rFonts w:hint="cs"/>
          <w:rtl/>
        </w:rPr>
        <w:t>را چگونه</w:t>
      </w:r>
      <w:r w:rsidRPr="0025250D">
        <w:rPr>
          <w:rFonts w:hint="cs"/>
        </w:rPr>
        <w:t>‌</w:t>
      </w:r>
      <w:r w:rsidRPr="0025250D">
        <w:rPr>
          <w:rFonts w:hint="cs"/>
          <w:rtl/>
        </w:rPr>
        <w:t xml:space="preserve"> می‌بینیم، بیان</w:t>
      </w:r>
      <w:r w:rsidRPr="0025250D">
        <w:rPr>
          <w:rFonts w:hint="cs"/>
        </w:rPr>
        <w:t>‌</w:t>
      </w:r>
      <w:r w:rsidRPr="0025250D">
        <w:rPr>
          <w:rFonts w:hint="cs"/>
          <w:rtl/>
        </w:rPr>
        <w:t xml:space="preserve"> می‌کنند.</w:t>
      </w:r>
    </w:p>
    <w:p w14:paraId="059903A4" w14:textId="77777777" w:rsidR="0020732A" w:rsidRPr="0025250D" w:rsidRDefault="0020732A" w:rsidP="0020732A">
      <w:pPr>
        <w:rPr>
          <w:rtl/>
        </w:rPr>
      </w:pPr>
      <w:r w:rsidRPr="0025250D">
        <w:rPr>
          <w:rFonts w:hint="cs"/>
          <w:rtl/>
        </w:rPr>
        <w:t>در زیر یک خلاصه گرافیکی از سلسله‌مراتب پیشنهادی ما ارائه شده است. امیدواریم که برای شما مفید باشد.</w:t>
      </w:r>
    </w:p>
    <w:p w14:paraId="5A2D6DB6" w14:textId="47959D7F" w:rsidR="0020732A" w:rsidRPr="0025250D" w:rsidRDefault="00CC3060" w:rsidP="009E77BD">
      <w:pPr>
        <w:jc w:val="center"/>
        <w:rPr>
          <w:rtl/>
        </w:rPr>
      </w:pPr>
      <w:r w:rsidRPr="0025250D">
        <w:rPr>
          <w:noProof/>
        </w:rPr>
        <w:drawing>
          <wp:inline distT="0" distB="0" distL="0" distR="0" wp14:anchorId="466D1FF4" wp14:editId="57147117">
            <wp:extent cx="5756745" cy="3872812"/>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5770543" cy="3882094"/>
                    </a:xfrm>
                    <a:prstGeom prst="rect">
                      <a:avLst/>
                    </a:prstGeom>
                    <a:noFill/>
                  </pic:spPr>
                </pic:pic>
              </a:graphicData>
            </a:graphic>
          </wp:inline>
        </w:drawing>
      </w:r>
    </w:p>
    <w:p w14:paraId="1BD6D5BB" w14:textId="40D82461" w:rsidR="0020732A" w:rsidRPr="0025250D" w:rsidRDefault="0020732A" w:rsidP="0020732A">
      <w:pPr>
        <w:rPr>
          <w:rtl/>
        </w:rPr>
      </w:pPr>
      <w:r w:rsidRPr="0025250D">
        <w:rPr>
          <w:rFonts w:hint="cs"/>
          <w:rtl/>
        </w:rPr>
        <w:t xml:space="preserve">از نظر ما، بنیادی‌ترین گام برای کار </w:t>
      </w:r>
      <w:r w:rsidRPr="0025250D">
        <w:rPr>
          <w:rtl/>
        </w:rPr>
        <w:t>آینده‌نگاری</w:t>
      </w:r>
      <w:r w:rsidRPr="0025250D">
        <w:rPr>
          <w:rFonts w:hint="cs"/>
          <w:rtl/>
        </w:rPr>
        <w:t xml:space="preserve"> خوب، تشخیص و اِعمال موارد فراگیر یا مدل‌ها، فرایند‌ها و قواعدی است که انتظار داریم در هر محیطی مشابه زمین در جهان ما معتبر و مقید کننده</w:t>
      </w:r>
      <w:r w:rsidRPr="0025250D">
        <w:rPr>
          <w:vertAlign w:val="superscript"/>
          <w:rtl/>
        </w:rPr>
        <w:footnoteReference w:id="926"/>
      </w:r>
      <w:r w:rsidRPr="0025250D">
        <w:rPr>
          <w:rFonts w:hint="cs"/>
          <w:rtl/>
        </w:rPr>
        <w:t xml:space="preserve"> باشند. ما در بررسی اجمالی خود گفتیم که علم، آگاهی از </w:t>
      </w:r>
      <w:r w:rsidR="00B56611" w:rsidRPr="0025250D">
        <w:rPr>
          <w:rFonts w:hint="cs"/>
          <w:rtl/>
        </w:rPr>
        <w:t>شتاب‌گیری</w:t>
      </w:r>
      <w:r w:rsidRPr="0025250D">
        <w:rPr>
          <w:rFonts w:hint="cs"/>
          <w:rtl/>
        </w:rPr>
        <w:t xml:space="preserve"> و </w:t>
      </w:r>
      <w:r w:rsidRPr="0025250D">
        <w:rPr>
          <w:rtl/>
        </w:rPr>
        <w:t xml:space="preserve">آینده‌نگاری </w:t>
      </w:r>
      <w:r w:rsidRPr="0025250D">
        <w:rPr>
          <w:rFonts w:hint="cs"/>
          <w:rtl/>
        </w:rPr>
        <w:t>تکاملی-توسعه‌ای سه دیدگاه جهانی اساسی هستند که از آن‌ها در این کتاب راهنما بهره</w:t>
      </w:r>
      <w:r w:rsidRPr="0025250D">
        <w:rPr>
          <w:rFonts w:hint="cs"/>
        </w:rPr>
        <w:t>‌</w:t>
      </w:r>
      <w:r w:rsidRPr="0025250D">
        <w:rPr>
          <w:rFonts w:hint="cs"/>
          <w:rtl/>
        </w:rPr>
        <w:t xml:space="preserve"> می‌گیریم. به شکل دقیق‌تر، این موارد سه </w:t>
      </w:r>
      <w:r w:rsidR="008D6F97" w:rsidRPr="0025250D">
        <w:rPr>
          <w:rFonts w:hint="cs"/>
          <w:rtl/>
        </w:rPr>
        <w:t>سامانه‌</w:t>
      </w:r>
      <w:r w:rsidRPr="0025250D">
        <w:rPr>
          <w:rFonts w:hint="cs"/>
          <w:rtl/>
        </w:rPr>
        <w:t xml:space="preserve"> اعتقادی هستند که برای پرده برداری از موارد فراگیر از آن‌ها بهره</w:t>
      </w:r>
      <w:r w:rsidRPr="0025250D">
        <w:rPr>
          <w:rFonts w:hint="cs"/>
        </w:rPr>
        <w:t>‌</w:t>
      </w:r>
      <w:r w:rsidRPr="0025250D">
        <w:rPr>
          <w:rFonts w:hint="cs"/>
          <w:rtl/>
        </w:rPr>
        <w:t xml:space="preserve"> می‌گیریم.</w:t>
      </w:r>
    </w:p>
    <w:p w14:paraId="1BD22F04" w14:textId="28610E3B" w:rsidR="0020732A" w:rsidRPr="0025250D" w:rsidRDefault="0020732A" w:rsidP="0020732A">
      <w:pPr>
        <w:rPr>
          <w:rtl/>
        </w:rPr>
      </w:pPr>
      <w:r w:rsidRPr="0025250D">
        <w:rPr>
          <w:rFonts w:hint="cs"/>
          <w:rtl/>
        </w:rPr>
        <w:t xml:space="preserve">علم اساسی‌ترین مورد در بین این </w:t>
      </w:r>
      <w:r w:rsidR="008D6F97" w:rsidRPr="0025250D">
        <w:rPr>
          <w:rFonts w:hint="cs"/>
          <w:rtl/>
        </w:rPr>
        <w:t>سامانه‌</w:t>
      </w:r>
      <w:r w:rsidRPr="0025250D">
        <w:rPr>
          <w:rFonts w:hint="cs"/>
          <w:rtl/>
        </w:rPr>
        <w:t>‌های اعتقادی است. روش‌هایی که انسان‌ها از علم استفاده</w:t>
      </w:r>
      <w:r w:rsidRPr="0025250D">
        <w:rPr>
          <w:rFonts w:hint="cs"/>
        </w:rPr>
        <w:t>‌</w:t>
      </w:r>
      <w:r w:rsidRPr="0025250D">
        <w:rPr>
          <w:rFonts w:hint="cs"/>
          <w:rtl/>
        </w:rPr>
        <w:t xml:space="preserve"> می‌کنند همواره ناکامل و منحصر به هر فرهنگ خواهد بود</w:t>
      </w:r>
      <w:r w:rsidR="008D6F97" w:rsidRPr="0025250D">
        <w:rPr>
          <w:rtl/>
        </w:rPr>
        <w:t xml:space="preserve">؛ </w:t>
      </w:r>
      <w:r w:rsidRPr="0025250D">
        <w:rPr>
          <w:rFonts w:hint="cs"/>
          <w:rtl/>
        </w:rPr>
        <w:t xml:space="preserve">اما علم به خودی خود </w:t>
      </w:r>
      <w:r w:rsidR="008F0DD8" w:rsidRPr="0025250D">
        <w:rPr>
          <w:rFonts w:hint="cs"/>
          <w:rtl/>
        </w:rPr>
        <w:t>آن‌قدر</w:t>
      </w:r>
      <w:r w:rsidRPr="0025250D">
        <w:rPr>
          <w:rFonts w:hint="cs"/>
          <w:rtl/>
        </w:rPr>
        <w:t xml:space="preserve"> در پرده برداری از ساختار پنهان واقعیت، در هر حوزه مورد بررسی موفق بوده است که</w:t>
      </w:r>
      <w:r w:rsidRPr="0025250D">
        <w:rPr>
          <w:rFonts w:hint="cs"/>
        </w:rPr>
        <w:t>‌</w:t>
      </w:r>
      <w:r w:rsidRPr="0025250D">
        <w:rPr>
          <w:rFonts w:hint="cs"/>
          <w:rtl/>
        </w:rPr>
        <w:t xml:space="preserve"> می‌توانیم آن را یک شیوه فراگیر برای کسب دانش بدانیم. در مقابل، مدل‌های ما از تغییر </w:t>
      </w:r>
      <w:r w:rsidR="00B124DE" w:rsidRPr="0025250D">
        <w:rPr>
          <w:rFonts w:hint="cs"/>
          <w:rtl/>
        </w:rPr>
        <w:t>شتاب‌دار</w:t>
      </w:r>
      <w:r w:rsidRPr="0025250D">
        <w:rPr>
          <w:rFonts w:hint="cs"/>
          <w:rtl/>
        </w:rPr>
        <w:t xml:space="preserve"> و فرایند‌های </w:t>
      </w:r>
      <w:r w:rsidRPr="0025250D">
        <w:rPr>
          <w:rtl/>
        </w:rPr>
        <w:t>تکاملی-توسعه‌ای</w:t>
      </w:r>
      <w:r w:rsidR="00B0171C" w:rsidRPr="0025250D">
        <w:rPr>
          <w:rFonts w:hint="cs"/>
          <w:rtl/>
        </w:rPr>
        <w:t>،</w:t>
      </w:r>
      <w:r w:rsidRPr="0025250D">
        <w:rPr>
          <w:rtl/>
        </w:rPr>
        <w:t xml:space="preserve"> </w:t>
      </w:r>
      <w:r w:rsidR="00A20CCB" w:rsidRPr="0025250D">
        <w:rPr>
          <w:rFonts w:hint="cs"/>
          <w:rtl/>
        </w:rPr>
        <w:t>جهان‌بینی</w:t>
      </w:r>
      <w:r w:rsidRPr="0025250D">
        <w:rPr>
          <w:rtl/>
        </w:rPr>
        <w:t xml:space="preserve">‌های </w:t>
      </w:r>
      <w:r w:rsidRPr="0025250D">
        <w:rPr>
          <w:rFonts w:hint="cs"/>
          <w:rtl/>
        </w:rPr>
        <w:t xml:space="preserve">کنونی در زمان حال هستند. آن‌ها تاحدی فلسفه‌هایی مبتنی بر مدارک، بر اساس فرضیات و باور‌های مشخص در مورد ذات </w:t>
      </w:r>
      <w:r w:rsidR="008D6F97" w:rsidRPr="0025250D">
        <w:rPr>
          <w:rFonts w:hint="cs"/>
          <w:rtl/>
        </w:rPr>
        <w:t>سامانه‌</w:t>
      </w:r>
      <w:r w:rsidRPr="0025250D">
        <w:rPr>
          <w:rFonts w:hint="cs"/>
          <w:rtl/>
        </w:rPr>
        <w:t xml:space="preserve">‌های پیچیده هستند. آن‌ها </w:t>
      </w:r>
      <w:r w:rsidRPr="0025250D">
        <w:rPr>
          <w:rFonts w:hint="cs"/>
          <w:rtl/>
        </w:rPr>
        <w:lastRenderedPageBreak/>
        <w:t xml:space="preserve">به مطالعه، تعریف و اعتبار سنجی بیش‌تری نیاز دارند. بااین‌وجود، باور داریم که برخی سویه‌ها از هر دو </w:t>
      </w:r>
      <w:r w:rsidR="00A20CCB" w:rsidRPr="0025250D">
        <w:rPr>
          <w:rFonts w:hint="cs"/>
          <w:rtl/>
        </w:rPr>
        <w:t>جهان‌بینی</w:t>
      </w:r>
      <w:r w:rsidRPr="0025250D">
        <w:rPr>
          <w:rFonts w:hint="cs"/>
          <w:rtl/>
        </w:rPr>
        <w:t xml:space="preserve"> به بخشی از علم تثبیت شده در آینده تبدیل خواهند شد.</w:t>
      </w:r>
    </w:p>
    <w:p w14:paraId="69627C40" w14:textId="704A4B33" w:rsidR="0020732A" w:rsidRPr="0025250D" w:rsidRDefault="0020732A" w:rsidP="0020732A">
      <w:pPr>
        <w:rPr>
          <w:rtl/>
        </w:rPr>
      </w:pPr>
      <w:r w:rsidRPr="0025250D">
        <w:rPr>
          <w:rFonts w:hint="cs"/>
          <w:rtl/>
        </w:rPr>
        <w:t xml:space="preserve">در تصویر بالا برخی از محصولات هر دو </w:t>
      </w:r>
      <w:r w:rsidR="00A20CCB" w:rsidRPr="0025250D">
        <w:rPr>
          <w:rFonts w:hint="cs"/>
          <w:rtl/>
        </w:rPr>
        <w:t>جهان‌بینی</w:t>
      </w:r>
      <w:r w:rsidRPr="0025250D">
        <w:rPr>
          <w:rFonts w:hint="cs"/>
          <w:rtl/>
        </w:rPr>
        <w:t xml:space="preserve">، مانند هرم‌های </w:t>
      </w:r>
      <w:r w:rsidRPr="0025250D">
        <w:rPr>
          <w:rtl/>
        </w:rPr>
        <w:t>تکاملی-توسعه‌ای</w:t>
      </w:r>
      <w:r w:rsidRPr="0025250D">
        <w:rPr>
          <w:rFonts w:hint="cs"/>
          <w:rtl/>
        </w:rPr>
        <w:t>، تناقض خوش بین:بدبین</w:t>
      </w:r>
      <w:r w:rsidRPr="0025250D">
        <w:rPr>
          <w:vertAlign w:val="superscript"/>
          <w:rtl/>
        </w:rPr>
        <w:footnoteReference w:id="927"/>
      </w:r>
      <w:r w:rsidRPr="0025250D">
        <w:rPr>
          <w:rFonts w:hint="cs"/>
          <w:rtl/>
        </w:rPr>
        <w:t xml:space="preserve">، حلقه انجام، شش دامنه، اهداف </w:t>
      </w:r>
      <w:r w:rsidRPr="0025250D">
        <w:t>IES</w:t>
      </w:r>
      <w:r w:rsidRPr="0025250D">
        <w:rPr>
          <w:rFonts w:hint="cs"/>
          <w:rtl/>
        </w:rPr>
        <w:t xml:space="preserve"> و </w:t>
      </w:r>
      <w:r w:rsidRPr="0025250D">
        <w:t>D&amp;D</w:t>
      </w:r>
      <w:r w:rsidRPr="0025250D">
        <w:rPr>
          <w:rFonts w:hint="cs"/>
          <w:rtl/>
        </w:rPr>
        <w:t xml:space="preserve"> را که به اعتقاد ما مواردی فراگیر هستند و لزوما در همه گونه‌های پیچیده و هوشمند حیات عمل</w:t>
      </w:r>
      <w:r w:rsidRPr="0025250D">
        <w:rPr>
          <w:rFonts w:hint="cs"/>
        </w:rPr>
        <w:t>‌</w:t>
      </w:r>
      <w:r w:rsidRPr="0025250D">
        <w:rPr>
          <w:rFonts w:hint="cs"/>
          <w:rtl/>
        </w:rPr>
        <w:t xml:space="preserve"> می‌کنند، فهرست </w:t>
      </w:r>
      <w:r w:rsidR="00950293" w:rsidRPr="0025250D">
        <w:rPr>
          <w:rFonts w:hint="cs"/>
          <w:rtl/>
        </w:rPr>
        <w:t>کرده‌ایم</w:t>
      </w:r>
      <w:r w:rsidRPr="0025250D">
        <w:rPr>
          <w:rFonts w:hint="cs"/>
          <w:rtl/>
        </w:rPr>
        <w:t>. علم آینده هم</w:t>
      </w:r>
      <w:r w:rsidRPr="0025250D">
        <w:rPr>
          <w:rFonts w:hint="cs"/>
        </w:rPr>
        <w:t>‌</w:t>
      </w:r>
      <w:r w:rsidRPr="0025250D">
        <w:rPr>
          <w:rFonts w:hint="cs"/>
          <w:rtl/>
        </w:rPr>
        <w:t xml:space="preserve"> می‌تواند دیدگاه ما را معتبر ساخته و هم</w:t>
      </w:r>
      <w:r w:rsidRPr="0025250D">
        <w:rPr>
          <w:rFonts w:hint="cs"/>
        </w:rPr>
        <w:t>‌</w:t>
      </w:r>
      <w:r w:rsidRPr="0025250D">
        <w:rPr>
          <w:rFonts w:hint="cs"/>
          <w:rtl/>
        </w:rPr>
        <w:t xml:space="preserve"> می‌تواند اعتبار آن را از بین ببرد.</w:t>
      </w:r>
    </w:p>
    <w:p w14:paraId="02458E40" w14:textId="4B2D3583" w:rsidR="0020732A" w:rsidRPr="0025250D" w:rsidRDefault="0020732A" w:rsidP="0020732A">
      <w:pPr>
        <w:rPr>
          <w:rtl/>
        </w:rPr>
      </w:pPr>
      <w:r w:rsidRPr="0025250D">
        <w:rPr>
          <w:rFonts w:hint="cs"/>
          <w:rtl/>
        </w:rPr>
        <w:t>سطح سومی از تفکر که از آن استفاده</w:t>
      </w:r>
      <w:r w:rsidRPr="0025250D">
        <w:rPr>
          <w:rFonts w:hint="cs"/>
        </w:rPr>
        <w:t>‌</w:t>
      </w:r>
      <w:r w:rsidRPr="0025250D">
        <w:rPr>
          <w:rFonts w:hint="cs"/>
          <w:rtl/>
        </w:rPr>
        <w:t xml:space="preserve"> می‌کنیم، مدل‌های ما (علّی و </w:t>
      </w:r>
      <w:r w:rsidRPr="0025250D">
        <w:rPr>
          <w:rtl/>
        </w:rPr>
        <w:t xml:space="preserve">طبقه </w:t>
      </w:r>
      <w:r w:rsidRPr="0025250D">
        <w:rPr>
          <w:rFonts w:hint="cs"/>
          <w:rtl/>
        </w:rPr>
        <w:t>ای</w:t>
      </w:r>
      <w:r w:rsidRPr="0025250D">
        <w:rPr>
          <w:vertAlign w:val="superscript"/>
          <w:rtl/>
        </w:rPr>
        <w:footnoteReference w:id="928"/>
      </w:r>
      <w:r w:rsidRPr="0025250D">
        <w:rPr>
          <w:rFonts w:hint="cs"/>
          <w:rtl/>
        </w:rPr>
        <w:t xml:space="preserve">) و </w:t>
      </w:r>
      <w:r w:rsidR="00B13F65" w:rsidRPr="0025250D">
        <w:rPr>
          <w:rFonts w:hint="cs"/>
          <w:rtl/>
        </w:rPr>
        <w:t>چارچوب</w:t>
      </w:r>
      <w:r w:rsidRPr="0025250D">
        <w:rPr>
          <w:rFonts w:hint="cs"/>
          <w:rtl/>
        </w:rPr>
        <w:t xml:space="preserve">‌های ما (دستورالعمل‌هایی برای اجرای مدل ها) هستند. مدل‌ها و </w:t>
      </w:r>
      <w:r w:rsidR="00B13F65" w:rsidRPr="0025250D">
        <w:rPr>
          <w:rFonts w:hint="cs"/>
          <w:rtl/>
        </w:rPr>
        <w:t>چارچوب</w:t>
      </w:r>
      <w:r w:rsidRPr="0025250D">
        <w:rPr>
          <w:rFonts w:hint="cs"/>
          <w:rtl/>
        </w:rPr>
        <w:t>‌هایی که مفید</w:t>
      </w:r>
      <w:r w:rsidRPr="0025250D">
        <w:rPr>
          <w:rFonts w:hint="cs"/>
        </w:rPr>
        <w:t>‌</w:t>
      </w:r>
      <w:r w:rsidRPr="0025250D">
        <w:rPr>
          <w:rFonts w:hint="cs"/>
          <w:rtl/>
        </w:rPr>
        <w:t xml:space="preserve"> می‌دانیم شامل چهار </w:t>
      </w:r>
      <w:r w:rsidRPr="0025250D">
        <w:t>P</w:t>
      </w:r>
      <w:r w:rsidRPr="0025250D">
        <w:rPr>
          <w:rFonts w:hint="cs"/>
          <w:rtl/>
        </w:rPr>
        <w:t xml:space="preserve">، </w:t>
      </w:r>
      <w:r w:rsidRPr="0025250D">
        <w:t>REOPS</w:t>
      </w:r>
      <w:r w:rsidRPr="0025250D">
        <w:rPr>
          <w:rFonts w:hint="cs"/>
          <w:rtl/>
        </w:rPr>
        <w:t xml:space="preserve">، تحلیل </w:t>
      </w:r>
      <w:r w:rsidRPr="0025250D">
        <w:t>ADOR</w:t>
      </w:r>
      <w:r w:rsidRPr="0025250D">
        <w:rPr>
          <w:rFonts w:hint="cs"/>
          <w:rtl/>
        </w:rPr>
        <w:t xml:space="preserve">، هشت مهارت و بررسی </w:t>
      </w:r>
      <w:r w:rsidRPr="0025250D">
        <w:t>STEEPLES</w:t>
      </w:r>
      <w:r w:rsidRPr="0025250D">
        <w:rPr>
          <w:rFonts w:hint="cs"/>
          <w:rtl/>
        </w:rPr>
        <w:t xml:space="preserve"> (فصل 5) هستند. تمایز قائل شدن میان مدل‌ها و </w:t>
      </w:r>
      <w:r w:rsidR="00B13F65" w:rsidRPr="0025250D">
        <w:rPr>
          <w:rFonts w:hint="cs"/>
          <w:rtl/>
        </w:rPr>
        <w:t>چارچوب</w:t>
      </w:r>
      <w:r w:rsidRPr="0025250D">
        <w:rPr>
          <w:rFonts w:hint="cs"/>
          <w:rtl/>
        </w:rPr>
        <w:t xml:space="preserve">‌ها ممکن است دشوار باشد. شاید برجسته‌ترین تفاوت این است که </w:t>
      </w:r>
      <w:r w:rsidR="00B13F65" w:rsidRPr="0025250D">
        <w:rPr>
          <w:rFonts w:hint="cs"/>
          <w:rtl/>
        </w:rPr>
        <w:t>چارچوب</w:t>
      </w:r>
      <w:r w:rsidRPr="0025250D">
        <w:rPr>
          <w:rFonts w:hint="cs"/>
          <w:rtl/>
        </w:rPr>
        <w:t xml:space="preserve">‌ها مدل‌هایی هستند که ما نه‌تنها برای تعریف علل و </w:t>
      </w:r>
      <w:r w:rsidRPr="0025250D">
        <w:rPr>
          <w:rtl/>
        </w:rPr>
        <w:t xml:space="preserve">طبقه‌ها، </w:t>
      </w:r>
      <w:r w:rsidRPr="0025250D">
        <w:rPr>
          <w:rFonts w:hint="cs"/>
          <w:rtl/>
        </w:rPr>
        <w:t>بلکه در عمل در کارمان از آن‌ها استفاده</w:t>
      </w:r>
      <w:r w:rsidRPr="0025250D">
        <w:rPr>
          <w:rFonts w:hint="cs"/>
        </w:rPr>
        <w:t>‌</w:t>
      </w:r>
      <w:r w:rsidRPr="0025250D">
        <w:rPr>
          <w:rFonts w:hint="cs"/>
          <w:rtl/>
        </w:rPr>
        <w:t xml:space="preserve"> می‌کنیم.</w:t>
      </w:r>
    </w:p>
    <w:p w14:paraId="416EEF69" w14:textId="6C449EEF" w:rsidR="0020732A" w:rsidRPr="0025250D" w:rsidRDefault="0020732A" w:rsidP="0020732A">
      <w:pPr>
        <w:rPr>
          <w:rtl/>
        </w:rPr>
      </w:pPr>
      <w:r w:rsidRPr="0025250D">
        <w:rPr>
          <w:rFonts w:hint="cs"/>
          <w:rtl/>
        </w:rPr>
        <w:t>سطح چهارمی از تفکر که همه ما، به خوبی یا به‌صورت ضعیف، از</w:t>
      </w:r>
      <w:r w:rsidRPr="0025250D">
        <w:rPr>
          <w:rtl/>
        </w:rPr>
        <w:t xml:space="preserve"> </w:t>
      </w:r>
      <w:r w:rsidRPr="0025250D">
        <w:rPr>
          <w:rFonts w:hint="cs"/>
          <w:rtl/>
        </w:rPr>
        <w:t>آن</w:t>
      </w:r>
      <w:r w:rsidRPr="0025250D">
        <w:rPr>
          <w:rtl/>
        </w:rPr>
        <w:t xml:space="preserve"> </w:t>
      </w:r>
      <w:r w:rsidRPr="0025250D">
        <w:rPr>
          <w:rFonts w:hint="cs"/>
          <w:rtl/>
        </w:rPr>
        <w:t>بهره</w:t>
      </w:r>
      <w:r w:rsidRPr="0025250D">
        <w:t>‌</w:t>
      </w:r>
      <w:r w:rsidRPr="0025250D">
        <w:rPr>
          <w:rtl/>
        </w:rPr>
        <w:t xml:space="preserve"> می‌</w:t>
      </w:r>
      <w:r w:rsidRPr="0025250D">
        <w:rPr>
          <w:rFonts w:hint="cs"/>
          <w:rtl/>
        </w:rPr>
        <w:t xml:space="preserve">گیریم، روش‌ها هستند. بسیاری از روش‌ها ممکن است به اشتباه مورد استفاده قرار گیرند، مگر این‌که بخشی از یک </w:t>
      </w:r>
      <w:r w:rsidR="00B13F65" w:rsidRPr="0025250D">
        <w:rPr>
          <w:rFonts w:hint="cs"/>
          <w:rtl/>
        </w:rPr>
        <w:t>چارچوب</w:t>
      </w:r>
      <w:r w:rsidRPr="0025250D">
        <w:rPr>
          <w:rFonts w:hint="cs"/>
          <w:rtl/>
        </w:rPr>
        <w:t xml:space="preserve"> عملی باشند. برای مثال، ما مخالفیم که روش‌های فرانامه ای</w:t>
      </w:r>
      <w:r w:rsidRPr="0025250D">
        <w:rPr>
          <w:vertAlign w:val="superscript"/>
          <w:rtl/>
        </w:rPr>
        <w:footnoteReference w:id="929"/>
      </w:r>
      <w:r w:rsidRPr="0025250D">
        <w:rPr>
          <w:rFonts w:hint="cs"/>
          <w:rtl/>
        </w:rPr>
        <w:t xml:space="preserve"> به بهترین شکل در یک </w:t>
      </w:r>
      <w:r w:rsidR="00B13F65" w:rsidRPr="0025250D">
        <w:rPr>
          <w:rFonts w:hint="cs"/>
          <w:rtl/>
        </w:rPr>
        <w:t>چارچوب</w:t>
      </w:r>
      <w:r w:rsidRPr="0025250D">
        <w:rPr>
          <w:rFonts w:hint="cs"/>
          <w:rtl/>
        </w:rPr>
        <w:t xml:space="preserve"> تولید </w:t>
      </w:r>
      <w:r w:rsidRPr="0025250D">
        <w:rPr>
          <w:rtl/>
        </w:rPr>
        <w:t>آینده‌نگاری</w:t>
      </w:r>
      <w:r w:rsidRPr="0025250D">
        <w:rPr>
          <w:rFonts w:hint="cs"/>
          <w:rtl/>
        </w:rPr>
        <w:t xml:space="preserve"> که شامل یک گام اولیه از ارزیابی </w:t>
      </w:r>
      <w:r w:rsidRPr="0025250D">
        <w:rPr>
          <w:rtl/>
        </w:rPr>
        <w:t>آینده‌نگاری</w:t>
      </w:r>
      <w:r w:rsidRPr="0025250D">
        <w:rPr>
          <w:rFonts w:hint="cs"/>
          <w:rtl/>
        </w:rPr>
        <w:t xml:space="preserve"> </w:t>
      </w:r>
      <w:r w:rsidR="00127C91" w:rsidRPr="0025250D">
        <w:rPr>
          <w:rFonts w:hint="cs"/>
          <w:rtl/>
        </w:rPr>
        <w:t xml:space="preserve">موارد </w:t>
      </w:r>
      <w:r w:rsidRPr="0025250D">
        <w:rPr>
          <w:rFonts w:hint="cs"/>
          <w:rtl/>
        </w:rPr>
        <w:t xml:space="preserve">محتمل برای زدودن </w:t>
      </w:r>
      <w:r w:rsidR="00362EF3" w:rsidRPr="0025250D">
        <w:rPr>
          <w:rFonts w:hint="cs"/>
          <w:rtl/>
        </w:rPr>
        <w:t>فرانامه‌های</w:t>
      </w:r>
      <w:r w:rsidRPr="0025250D">
        <w:rPr>
          <w:rFonts w:hint="cs"/>
          <w:rtl/>
        </w:rPr>
        <w:t xml:space="preserve"> غیر قابل باور</w:t>
      </w:r>
      <w:r w:rsidRPr="0025250D">
        <w:rPr>
          <w:rFonts w:hint="cs"/>
        </w:rPr>
        <w:t>‌</w:t>
      </w:r>
      <w:r w:rsidRPr="0025250D">
        <w:rPr>
          <w:rFonts w:hint="cs"/>
          <w:rtl/>
        </w:rPr>
        <w:t xml:space="preserve"> می‌شود، عمل</w:t>
      </w:r>
      <w:r w:rsidRPr="0025250D">
        <w:rPr>
          <w:rFonts w:hint="cs"/>
        </w:rPr>
        <w:t>‌</w:t>
      </w:r>
      <w:r w:rsidRPr="0025250D">
        <w:rPr>
          <w:rFonts w:hint="cs"/>
          <w:rtl/>
        </w:rPr>
        <w:t xml:space="preserve"> می‌کند. ما چند روش، مانند مطالعه اسپرینت را که تغییرات خود ما در این ادبیات هستند، ارائه خواهیم کرد.</w:t>
      </w:r>
    </w:p>
    <w:p w14:paraId="57E377E5" w14:textId="1A637F65" w:rsidR="0020732A" w:rsidRPr="0025250D" w:rsidRDefault="0020732A" w:rsidP="0020732A">
      <w:pPr>
        <w:rPr>
          <w:rtl/>
        </w:rPr>
      </w:pPr>
      <w:r w:rsidRPr="0025250D">
        <w:rPr>
          <w:rFonts w:hint="cs"/>
          <w:rtl/>
        </w:rPr>
        <w:t>سطح آخری که همه ما از آن بهره</w:t>
      </w:r>
      <w:r w:rsidRPr="0025250D">
        <w:rPr>
          <w:rFonts w:hint="cs"/>
        </w:rPr>
        <w:t>‌</w:t>
      </w:r>
      <w:r w:rsidRPr="0025250D">
        <w:rPr>
          <w:rFonts w:hint="cs"/>
          <w:rtl/>
        </w:rPr>
        <w:t xml:space="preserve"> می‌گیریم و ارزش اجتماعی آن بیش از بقیه است، برآمد تولید شده توسط ماست. </w:t>
      </w:r>
      <w:r w:rsidR="00B56611" w:rsidRPr="0025250D">
        <w:rPr>
          <w:rFonts w:hint="cs"/>
          <w:rtl/>
        </w:rPr>
        <w:t>چشم‌انداز</w:t>
      </w:r>
      <w:r w:rsidRPr="0025250D">
        <w:rPr>
          <w:rFonts w:hint="cs"/>
          <w:rtl/>
        </w:rPr>
        <w:t xml:space="preserve">‌ها، اولویت‌ها، </w:t>
      </w:r>
      <w:r w:rsidR="00701E03" w:rsidRPr="0025250D">
        <w:rPr>
          <w:rFonts w:hint="cs"/>
          <w:rtl/>
        </w:rPr>
        <w:t>راهبرد</w:t>
      </w:r>
      <w:r w:rsidRPr="0025250D">
        <w:rPr>
          <w:rFonts w:hint="cs"/>
          <w:rtl/>
        </w:rPr>
        <w:t xml:space="preserve">‌ها و برنامه‌ها به طور مشخص محصولات ارزشمند </w:t>
      </w:r>
      <w:r w:rsidRPr="0025250D">
        <w:rPr>
          <w:rtl/>
        </w:rPr>
        <w:t>آینده‌نگاری</w:t>
      </w:r>
      <w:r w:rsidRPr="0025250D">
        <w:rPr>
          <w:rFonts w:hint="cs"/>
          <w:rtl/>
        </w:rPr>
        <w:t xml:space="preserve"> هستند. وقتی آن‌ها ما را به سمت عمل هدایت کنند، همه آن‌ها شیوه‌هایی کلیدی خواهند بود که </w:t>
      </w:r>
      <w:r w:rsidRPr="0025250D">
        <w:rPr>
          <w:rtl/>
        </w:rPr>
        <w:t>آینده‌نگاری</w:t>
      </w:r>
      <w:r w:rsidRPr="0025250D">
        <w:rPr>
          <w:rFonts w:hint="cs"/>
          <w:rtl/>
        </w:rPr>
        <w:t xml:space="preserve"> را </w:t>
      </w:r>
      <w:r w:rsidR="00B0171C" w:rsidRPr="0025250D">
        <w:rPr>
          <w:rFonts w:hint="cs"/>
          <w:rtl/>
        </w:rPr>
        <w:t>انطباقی‌تر</w:t>
      </w:r>
      <w:r w:rsidRPr="0025250D">
        <w:rPr>
          <w:rFonts w:hint="cs"/>
          <w:rtl/>
        </w:rPr>
        <w:t xml:space="preserve"> می‌سازد. آن‌ها متعلق به بالای هرم تفکر </w:t>
      </w:r>
      <w:r w:rsidRPr="0025250D">
        <w:rPr>
          <w:rtl/>
        </w:rPr>
        <w:t>آینده‌نگاری</w:t>
      </w:r>
      <w:r w:rsidRPr="0025250D">
        <w:rPr>
          <w:rFonts w:hint="cs"/>
          <w:rtl/>
        </w:rPr>
        <w:t xml:space="preserve"> ما هستند. از میان همه این‌ها، </w:t>
      </w:r>
      <w:r w:rsidR="00B56611" w:rsidRPr="0025250D">
        <w:rPr>
          <w:rFonts w:hint="cs"/>
          <w:rtl/>
        </w:rPr>
        <w:t>چشم‌انداز</w:t>
      </w:r>
      <w:r w:rsidRPr="0025250D">
        <w:rPr>
          <w:rFonts w:hint="cs"/>
          <w:rtl/>
        </w:rPr>
        <w:t xml:space="preserve">‌های مشترک ما بیش‌ترین اهمیت را در آینده بلندمدتمان دارند. این </w:t>
      </w:r>
      <w:r w:rsidR="00B56611" w:rsidRPr="0025250D">
        <w:rPr>
          <w:rFonts w:hint="cs"/>
          <w:rtl/>
        </w:rPr>
        <w:t>چشم‌انداز</w:t>
      </w:r>
      <w:r w:rsidRPr="0025250D">
        <w:rPr>
          <w:rFonts w:hint="cs"/>
          <w:rtl/>
        </w:rPr>
        <w:t xml:space="preserve">‌ها برای </w:t>
      </w:r>
      <w:r w:rsidR="00B124DE" w:rsidRPr="0025250D">
        <w:rPr>
          <w:rFonts w:hint="cs"/>
          <w:rtl/>
        </w:rPr>
        <w:t>شکل‌دهی</w:t>
      </w:r>
      <w:r w:rsidRPr="0025250D">
        <w:rPr>
          <w:rFonts w:hint="cs"/>
          <w:rtl/>
        </w:rPr>
        <w:t xml:space="preserve"> </w:t>
      </w:r>
      <w:r w:rsidR="00A20CCB" w:rsidRPr="0025250D">
        <w:rPr>
          <w:rFonts w:hint="cs"/>
          <w:rtl/>
        </w:rPr>
        <w:t>جهان‌بینی</w:t>
      </w:r>
      <w:r w:rsidRPr="0025250D">
        <w:rPr>
          <w:rFonts w:hint="cs"/>
          <w:rtl/>
        </w:rPr>
        <w:t>‌های مشترکمان که در سلسله‌مراتب تفکرمان از همه پایین‌تر و در کنترلمان هستند، استفاده</w:t>
      </w:r>
      <w:r w:rsidRPr="0025250D">
        <w:rPr>
          <w:rFonts w:hint="cs"/>
        </w:rPr>
        <w:t>‌</w:t>
      </w:r>
      <w:r w:rsidRPr="0025250D">
        <w:rPr>
          <w:rFonts w:hint="cs"/>
          <w:rtl/>
        </w:rPr>
        <w:t xml:space="preserve"> می‌شوند. به‌بیان‌دیگر، </w:t>
      </w:r>
      <w:r w:rsidR="00B56611" w:rsidRPr="0025250D">
        <w:rPr>
          <w:rFonts w:hint="cs"/>
          <w:rtl/>
        </w:rPr>
        <w:t>چشم‌انداز</w:t>
      </w:r>
      <w:r w:rsidRPr="0025250D">
        <w:rPr>
          <w:rFonts w:hint="cs"/>
          <w:rtl/>
        </w:rPr>
        <w:t xml:space="preserve">‌های مشترک ما و مدل‌های ضمنی و ارزش‌های آن‌ها، به بالای این سلسله‌مراتب تعلق دارند به‌عنوان مهم‌ترین برونداد </w:t>
      </w:r>
      <w:r w:rsidRPr="0025250D">
        <w:rPr>
          <w:rtl/>
        </w:rPr>
        <w:t>آینده‌نگاری</w:t>
      </w:r>
      <w:r w:rsidRPr="0025250D">
        <w:rPr>
          <w:rFonts w:hint="cs"/>
          <w:rtl/>
        </w:rPr>
        <w:t xml:space="preserve"> ما در نظر گرفته</w:t>
      </w:r>
      <w:r w:rsidRPr="0025250D">
        <w:rPr>
          <w:rFonts w:hint="cs"/>
        </w:rPr>
        <w:t>‌</w:t>
      </w:r>
      <w:r w:rsidRPr="0025250D">
        <w:rPr>
          <w:rFonts w:hint="cs"/>
          <w:rtl/>
        </w:rPr>
        <w:t xml:space="preserve"> می‌شوند. بیاید از این ادعا با مثالی دفاع کنیم.</w:t>
      </w:r>
    </w:p>
    <w:p w14:paraId="4C7B7A7C" w14:textId="459B5C32" w:rsidR="0020732A" w:rsidRPr="0025250D" w:rsidRDefault="0020732A" w:rsidP="0020732A">
      <w:pPr>
        <w:rPr>
          <w:rtl/>
        </w:rPr>
      </w:pPr>
      <w:r w:rsidRPr="0025250D">
        <w:rPr>
          <w:rtl/>
        </w:rPr>
        <w:t>توماس سوول</w:t>
      </w:r>
      <w:r w:rsidRPr="0025250D">
        <w:rPr>
          <w:vertAlign w:val="superscript"/>
          <w:rtl/>
        </w:rPr>
        <w:footnoteReference w:id="930"/>
      </w:r>
      <w:r w:rsidRPr="0025250D">
        <w:rPr>
          <w:rFonts w:hint="cs"/>
          <w:rtl/>
        </w:rPr>
        <w:t xml:space="preserve"> یکی از محققین برجسته آمریکایی در توسعه اقتصادی و سیاسی، مسئولیت </w:t>
      </w:r>
      <w:r w:rsidR="001A3F0A" w:rsidRPr="0025250D">
        <w:rPr>
          <w:rFonts w:hint="cs"/>
          <w:rtl/>
        </w:rPr>
        <w:t>فردی</w:t>
      </w:r>
      <w:r w:rsidRPr="0025250D">
        <w:rPr>
          <w:rFonts w:hint="cs"/>
          <w:rtl/>
        </w:rPr>
        <w:t>، فرصت اجتماعی و راه‌هایی است که نژاد و فرهنگ</w:t>
      </w:r>
      <w:r w:rsidRPr="0025250D">
        <w:rPr>
          <w:rFonts w:hint="cs"/>
        </w:rPr>
        <w:t>‌</w:t>
      </w:r>
      <w:r w:rsidRPr="0025250D">
        <w:rPr>
          <w:rFonts w:hint="cs"/>
          <w:rtl/>
        </w:rPr>
        <w:t xml:space="preserve"> می‌توانند به پیشرفت اجتماعی کمک کرده یا مانع آن شوند. او از نظر سیاسی هم راست گرا و هم چپ گرا است، با موضع گیری‌های پیچیده و دقیق. برای اطلاعات بیش‌تر از نقش </w:t>
      </w:r>
      <w:r w:rsidRPr="0025250D">
        <w:rPr>
          <w:rtl/>
        </w:rPr>
        <w:t>سوول</w:t>
      </w:r>
      <w:r w:rsidRPr="0025250D">
        <w:rPr>
          <w:rFonts w:hint="cs"/>
          <w:rtl/>
        </w:rPr>
        <w:t xml:space="preserve"> و کمک‌های او در جامعه، مقاله سال 2021 توسط </w:t>
      </w:r>
      <w:r w:rsidRPr="0025250D">
        <w:rPr>
          <w:rtl/>
        </w:rPr>
        <w:t>ساموئل کرونن</w:t>
      </w:r>
      <w:r w:rsidRPr="0025250D">
        <w:rPr>
          <w:vertAlign w:val="superscript"/>
          <w:rtl/>
        </w:rPr>
        <w:footnoteReference w:id="931"/>
      </w:r>
      <w:r w:rsidRPr="0025250D">
        <w:rPr>
          <w:rFonts w:hint="cs"/>
          <w:rtl/>
        </w:rPr>
        <w:t xml:space="preserve"> را توصیه</w:t>
      </w:r>
      <w:r w:rsidRPr="0025250D">
        <w:rPr>
          <w:rFonts w:hint="cs"/>
        </w:rPr>
        <w:t>‌</w:t>
      </w:r>
      <w:r w:rsidRPr="0025250D">
        <w:rPr>
          <w:rFonts w:hint="cs"/>
          <w:rtl/>
        </w:rPr>
        <w:t xml:space="preserve"> می‌کنیم. </w:t>
      </w:r>
      <w:r w:rsidRPr="0025250D">
        <w:rPr>
          <w:rtl/>
        </w:rPr>
        <w:t>سوول</w:t>
      </w:r>
      <w:r w:rsidRPr="0025250D">
        <w:rPr>
          <w:rFonts w:hint="cs"/>
          <w:rtl/>
        </w:rPr>
        <w:t xml:space="preserve"> بیش از 50 کتاب تا به امروز در طول 90 سال زندگی خود نوشته است. از میان همه این موارد، مهم‌ترین کتاب به گفته خود او کتاب تضاد میان </w:t>
      </w:r>
      <w:r w:rsidR="00B56611" w:rsidRPr="0025250D">
        <w:rPr>
          <w:rFonts w:hint="cs"/>
          <w:rtl/>
        </w:rPr>
        <w:t>چشم‌انداز</w:t>
      </w:r>
      <w:r w:rsidRPr="0025250D">
        <w:rPr>
          <w:rFonts w:hint="cs"/>
          <w:rtl/>
        </w:rPr>
        <w:t xml:space="preserve"> ها</w:t>
      </w:r>
      <w:r w:rsidRPr="0025250D">
        <w:rPr>
          <w:vertAlign w:val="superscript"/>
          <w:rtl/>
        </w:rPr>
        <w:footnoteReference w:id="932"/>
      </w:r>
      <w:r w:rsidR="00B0171C" w:rsidRPr="0025250D">
        <w:rPr>
          <w:rFonts w:hint="cs"/>
          <w:rtl/>
        </w:rPr>
        <w:t xml:space="preserve"> در سال</w:t>
      </w:r>
      <w:r w:rsidRPr="0025250D">
        <w:rPr>
          <w:rFonts w:hint="cs"/>
          <w:rtl/>
        </w:rPr>
        <w:t xml:space="preserve"> 1987، است. تضاد کشمکش سیاسی همیشگی میان دو </w:t>
      </w:r>
      <w:r w:rsidR="00B56611" w:rsidRPr="0025250D">
        <w:rPr>
          <w:rFonts w:hint="cs"/>
          <w:rtl/>
        </w:rPr>
        <w:t>چشم‌انداز</w:t>
      </w:r>
      <w:r w:rsidRPr="0025250D">
        <w:rPr>
          <w:rFonts w:hint="cs"/>
          <w:rtl/>
        </w:rPr>
        <w:t xml:space="preserve"> مشترک رقابت کننده است. اولین مورد </w:t>
      </w:r>
      <w:r w:rsidR="00B56611" w:rsidRPr="0025250D">
        <w:rPr>
          <w:rFonts w:hint="cs"/>
          <w:rtl/>
        </w:rPr>
        <w:t>چشم‌انداز</w:t>
      </w:r>
      <w:r w:rsidRPr="0025250D">
        <w:rPr>
          <w:rFonts w:hint="cs"/>
          <w:rtl/>
        </w:rPr>
        <w:t xml:space="preserve"> مقید</w:t>
      </w:r>
      <w:r w:rsidRPr="0025250D">
        <w:rPr>
          <w:vertAlign w:val="superscript"/>
          <w:rtl/>
        </w:rPr>
        <w:footnoteReference w:id="933"/>
      </w:r>
      <w:r w:rsidRPr="0025250D">
        <w:rPr>
          <w:rFonts w:hint="cs"/>
          <w:rtl/>
        </w:rPr>
        <w:t xml:space="preserve"> است که ذات انسان را عمدتا ثابت</w:t>
      </w:r>
      <w:r w:rsidRPr="0025250D">
        <w:rPr>
          <w:vertAlign w:val="superscript"/>
          <w:rtl/>
        </w:rPr>
        <w:footnoteReference w:id="934"/>
      </w:r>
      <w:r w:rsidRPr="0025250D">
        <w:rPr>
          <w:rFonts w:hint="cs"/>
          <w:rtl/>
        </w:rPr>
        <w:t>، خودخواه و درگیر بازی‌های مجموع صفر</w:t>
      </w:r>
      <w:r w:rsidRPr="0025250D">
        <w:rPr>
          <w:rFonts w:hint="cs"/>
        </w:rPr>
        <w:t>‌</w:t>
      </w:r>
      <w:r w:rsidRPr="0025250D">
        <w:rPr>
          <w:rFonts w:hint="cs"/>
          <w:rtl/>
        </w:rPr>
        <w:t xml:space="preserve"> می‌بیند. مورد دوم </w:t>
      </w:r>
      <w:r w:rsidR="00B56611" w:rsidRPr="0025250D">
        <w:rPr>
          <w:rFonts w:hint="cs"/>
          <w:rtl/>
        </w:rPr>
        <w:t>چشم‌انداز</w:t>
      </w:r>
      <w:r w:rsidRPr="0025250D">
        <w:rPr>
          <w:rFonts w:hint="cs"/>
          <w:rtl/>
        </w:rPr>
        <w:t xml:space="preserve"> نامقید</w:t>
      </w:r>
      <w:r w:rsidRPr="0025250D">
        <w:rPr>
          <w:vertAlign w:val="superscript"/>
          <w:rtl/>
        </w:rPr>
        <w:footnoteReference w:id="935"/>
      </w:r>
      <w:r w:rsidRPr="0025250D">
        <w:rPr>
          <w:rFonts w:hint="cs"/>
          <w:rtl/>
        </w:rPr>
        <w:t xml:space="preserve"> است که ذات انسان را </w:t>
      </w:r>
      <w:r w:rsidR="00795397" w:rsidRPr="0025250D">
        <w:rPr>
          <w:rFonts w:hint="cs"/>
          <w:rtl/>
        </w:rPr>
        <w:t>انعطاف‌پذیر</w:t>
      </w:r>
      <w:r w:rsidRPr="0025250D">
        <w:rPr>
          <w:rFonts w:hint="cs"/>
          <w:rtl/>
        </w:rPr>
        <w:t>، یادگیرنده، قابل بهبود و درگیر بازی‌های مجموع مثبت</w:t>
      </w:r>
      <w:r w:rsidRPr="0025250D">
        <w:rPr>
          <w:vertAlign w:val="superscript"/>
          <w:rtl/>
        </w:rPr>
        <w:footnoteReference w:id="936"/>
      </w:r>
      <w:r w:rsidRPr="0025250D">
        <w:rPr>
          <w:rFonts w:hint="cs"/>
        </w:rPr>
        <w:t>‌</w:t>
      </w:r>
      <w:r w:rsidRPr="0025250D">
        <w:rPr>
          <w:rFonts w:hint="cs"/>
          <w:rtl/>
        </w:rPr>
        <w:t xml:space="preserve"> می‌بیند و به‌صورت دوره‌ای قواعد اخلاقی، قوانین، سیاست‌ها و </w:t>
      </w:r>
      <w:r w:rsidR="007A53FD" w:rsidRPr="0025250D">
        <w:rPr>
          <w:rFonts w:hint="cs"/>
          <w:rtl/>
        </w:rPr>
        <w:t>فناوری</w:t>
      </w:r>
      <w:r w:rsidRPr="0025250D">
        <w:rPr>
          <w:rFonts w:hint="cs"/>
          <w:rtl/>
        </w:rPr>
        <w:t xml:space="preserve">‌ها را برای پیشرفت همکاری و </w:t>
      </w:r>
      <w:r w:rsidR="00AE5BE0" w:rsidRPr="0025250D">
        <w:rPr>
          <w:rFonts w:hint="cs"/>
          <w:rtl/>
        </w:rPr>
        <w:t>انطباق</w:t>
      </w:r>
      <w:r w:rsidRPr="0025250D">
        <w:rPr>
          <w:rFonts w:hint="cs"/>
          <w:rtl/>
        </w:rPr>
        <w:t xml:space="preserve"> ارتقاء</w:t>
      </w:r>
      <w:r w:rsidRPr="0025250D">
        <w:rPr>
          <w:rFonts w:hint="cs"/>
        </w:rPr>
        <w:t>‌</w:t>
      </w:r>
      <w:r w:rsidRPr="0025250D">
        <w:rPr>
          <w:rFonts w:hint="cs"/>
          <w:rtl/>
        </w:rPr>
        <w:t xml:space="preserve"> می‌دهد. هر </w:t>
      </w:r>
      <w:r w:rsidR="00B56611" w:rsidRPr="0025250D">
        <w:rPr>
          <w:rFonts w:hint="cs"/>
          <w:rtl/>
        </w:rPr>
        <w:t>چشم‌انداز</w:t>
      </w:r>
      <w:r w:rsidR="00B0171C" w:rsidRPr="0025250D">
        <w:rPr>
          <w:rFonts w:hint="cs"/>
          <w:rtl/>
        </w:rPr>
        <w:t>،</w:t>
      </w:r>
      <w:r w:rsidRPr="0025250D">
        <w:rPr>
          <w:rFonts w:hint="cs"/>
          <w:rtl/>
        </w:rPr>
        <w:t xml:space="preserve"> نگاه‌های ما از مسئولیت‌های افراد، سازمان‌ها، مؤسسات و دولت‌ها را شکل</w:t>
      </w:r>
      <w:r w:rsidRPr="0025250D">
        <w:rPr>
          <w:rFonts w:hint="cs"/>
        </w:rPr>
        <w:t>‌</w:t>
      </w:r>
      <w:r w:rsidRPr="0025250D">
        <w:rPr>
          <w:rFonts w:hint="cs"/>
          <w:rtl/>
        </w:rPr>
        <w:t xml:space="preserve"> می‌دهد.</w:t>
      </w:r>
    </w:p>
    <w:p w14:paraId="3816CF46" w14:textId="77777777" w:rsidR="0020732A" w:rsidRPr="0025250D" w:rsidRDefault="0020732A" w:rsidP="009E77BD">
      <w:pPr>
        <w:jc w:val="center"/>
        <w:rPr>
          <w:rtl/>
        </w:rPr>
      </w:pPr>
      <w:r w:rsidRPr="0025250D">
        <w:rPr>
          <w:noProof/>
          <w:rtl/>
          <w:lang w:bidi="ar-SA"/>
        </w:rPr>
        <w:lastRenderedPageBreak/>
        <w:drawing>
          <wp:inline distT="0" distB="0" distL="0" distR="0" wp14:anchorId="6E9D7085" wp14:editId="46435440">
            <wp:extent cx="1308576" cy="1820848"/>
            <wp:effectExtent l="0" t="0" r="6350" b="8255"/>
            <wp:docPr id="30" name="Picture 30" descr="D:\کار\مستقل\3 ( ترجمه ی دانشگاه تهران  )\Introduction to Foresight\part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کار\مستقل\3 ( ترجمه ی دانشگاه تهران  )\Introduction to Foresight\part2\25.png"/>
                    <pic:cNvPicPr>
                      <a:picLocks noChangeAspect="1" noChangeArrowheads="1"/>
                    </pic:cNvPicPr>
                  </pic:nvPicPr>
                  <pic:blipFill rotWithShape="1">
                    <a:blip r:embed="rId91" cstate="screen">
                      <a:extLst>
                        <a:ext uri="{BEBA8EAE-BF5A-486C-A8C5-ECC9F3942E4B}">
                          <a14:imgProps xmlns:a14="http://schemas.microsoft.com/office/drawing/2010/main">
                            <a14:imgLayer r:embed="rId92">
                              <a14:imgEffect>
                                <a14:saturation sat="0"/>
                              </a14:imgEffect>
                            </a14:imgLayer>
                          </a14:imgProps>
                        </a:ext>
                        <a:ext uri="{28A0092B-C50C-407E-A947-70E740481C1C}">
                          <a14:useLocalDpi xmlns:a14="http://schemas.microsoft.com/office/drawing/2010/main"/>
                        </a:ext>
                      </a:extLst>
                    </a:blip>
                    <a:srcRect/>
                    <a:stretch/>
                  </pic:blipFill>
                  <pic:spPr bwMode="auto">
                    <a:xfrm>
                      <a:off x="0" y="0"/>
                      <a:ext cx="1315838" cy="1830952"/>
                    </a:xfrm>
                    <a:prstGeom prst="rect">
                      <a:avLst/>
                    </a:prstGeom>
                    <a:noFill/>
                    <a:ln>
                      <a:noFill/>
                    </a:ln>
                    <a:extLst>
                      <a:ext uri="{53640926-AAD7-44D8-BBD7-CCE9431645EC}">
                        <a14:shadowObscured xmlns:a14="http://schemas.microsoft.com/office/drawing/2010/main"/>
                      </a:ext>
                    </a:extLst>
                  </pic:spPr>
                </pic:pic>
              </a:graphicData>
            </a:graphic>
          </wp:inline>
        </w:drawing>
      </w:r>
    </w:p>
    <w:p w14:paraId="5E1A7D4E" w14:textId="77777777" w:rsidR="0020732A" w:rsidRPr="0025250D" w:rsidRDefault="0020732A" w:rsidP="009E77BD">
      <w:pPr>
        <w:jc w:val="center"/>
        <w:rPr>
          <w:rtl/>
        </w:rPr>
      </w:pPr>
      <w:r w:rsidRPr="0025250D">
        <w:rPr>
          <w:rFonts w:hint="cs"/>
          <w:rtl/>
        </w:rPr>
        <w:t>سوول، 1987</w:t>
      </w:r>
    </w:p>
    <w:p w14:paraId="3946011D" w14:textId="1FE7CCDB" w:rsidR="0020732A" w:rsidRPr="0025250D" w:rsidRDefault="0020732A" w:rsidP="0020732A">
      <w:pPr>
        <w:rPr>
          <w:rtl/>
        </w:rPr>
      </w:pPr>
      <w:r w:rsidRPr="0025250D">
        <w:rPr>
          <w:rFonts w:hint="cs"/>
          <w:rtl/>
        </w:rPr>
        <w:t xml:space="preserve">هر دو </w:t>
      </w:r>
      <w:r w:rsidR="00B56611" w:rsidRPr="0025250D">
        <w:rPr>
          <w:rFonts w:hint="cs"/>
          <w:rtl/>
        </w:rPr>
        <w:t>چشم‌انداز</w:t>
      </w:r>
      <w:r w:rsidRPr="0025250D">
        <w:rPr>
          <w:rFonts w:hint="cs"/>
          <w:rtl/>
        </w:rPr>
        <w:t xml:space="preserve"> ارزشمند هستند. در بیش‌تر تاریخ ما </w:t>
      </w:r>
      <w:r w:rsidR="00B56611" w:rsidRPr="0025250D">
        <w:rPr>
          <w:rFonts w:hint="cs"/>
          <w:rtl/>
        </w:rPr>
        <w:t>چشم‌انداز</w:t>
      </w:r>
      <w:r w:rsidRPr="0025250D">
        <w:rPr>
          <w:rFonts w:hint="cs"/>
          <w:rtl/>
        </w:rPr>
        <w:t xml:space="preserve"> مقید حاکم بوده است</w:t>
      </w:r>
      <w:r w:rsidR="008D6F97" w:rsidRPr="0025250D">
        <w:rPr>
          <w:rtl/>
        </w:rPr>
        <w:t xml:space="preserve">؛ </w:t>
      </w:r>
      <w:r w:rsidRPr="0025250D">
        <w:rPr>
          <w:rFonts w:hint="cs"/>
          <w:rtl/>
        </w:rPr>
        <w:t>اما هرچه جهان سریع‌تر پیش</w:t>
      </w:r>
      <w:r w:rsidRPr="0025250D">
        <w:rPr>
          <w:rFonts w:hint="cs"/>
        </w:rPr>
        <w:t>‌</w:t>
      </w:r>
      <w:r w:rsidRPr="0025250D">
        <w:rPr>
          <w:rFonts w:hint="cs"/>
          <w:rtl/>
        </w:rPr>
        <w:t xml:space="preserve"> می‌رود و افق‌های دیدمان بلند مدت‌تر می‌شوند، </w:t>
      </w:r>
      <w:r w:rsidR="00B56611" w:rsidRPr="0025250D">
        <w:rPr>
          <w:rFonts w:hint="cs"/>
          <w:rtl/>
        </w:rPr>
        <w:t>چشم‌انداز</w:t>
      </w:r>
      <w:r w:rsidRPr="0025250D">
        <w:rPr>
          <w:rFonts w:hint="cs"/>
          <w:rtl/>
        </w:rPr>
        <w:t xml:space="preserve"> نا مقید باید بیش‌تر راهنمای تفکر ما باشد. کتاب غیر صفر</w:t>
      </w:r>
      <w:r w:rsidRPr="0025250D">
        <w:rPr>
          <w:vertAlign w:val="superscript"/>
          <w:rtl/>
        </w:rPr>
        <w:footnoteReference w:id="937"/>
      </w:r>
      <w:r w:rsidRPr="0025250D">
        <w:rPr>
          <w:rFonts w:hint="cs"/>
          <w:rtl/>
        </w:rPr>
        <w:t xml:space="preserve">، اثر </w:t>
      </w:r>
      <w:r w:rsidRPr="0025250D">
        <w:rPr>
          <w:rtl/>
        </w:rPr>
        <w:t>رابرت را</w:t>
      </w:r>
      <w:r w:rsidRPr="0025250D">
        <w:rPr>
          <w:rFonts w:hint="cs"/>
          <w:rtl/>
        </w:rPr>
        <w:t>ی</w:t>
      </w:r>
      <w:r w:rsidRPr="0025250D">
        <w:rPr>
          <w:rFonts w:hint="eastAsia"/>
          <w:rtl/>
        </w:rPr>
        <w:t>ت</w:t>
      </w:r>
      <w:r w:rsidRPr="0025250D">
        <w:rPr>
          <w:vertAlign w:val="superscript"/>
          <w:rtl/>
        </w:rPr>
        <w:footnoteReference w:id="938"/>
      </w:r>
      <w:r w:rsidRPr="0025250D">
        <w:rPr>
          <w:rFonts w:hint="cs"/>
          <w:rtl/>
        </w:rPr>
        <w:t xml:space="preserve"> در سال 2000، به شکل زیبایی چگونگی یادگیری فزاینده ما در مورد چگونگی یافتن و شرکت در بازی‌های مجموع مثبت در همه اعصار تاریخمان را شرح</w:t>
      </w:r>
      <w:r w:rsidRPr="0025250D">
        <w:rPr>
          <w:rFonts w:hint="cs"/>
        </w:rPr>
        <w:t>‌</w:t>
      </w:r>
      <w:r w:rsidRPr="0025250D">
        <w:rPr>
          <w:rFonts w:hint="cs"/>
          <w:rtl/>
        </w:rPr>
        <w:t xml:space="preserve"> می‌دهد. اخلاق،</w:t>
      </w:r>
      <w:r w:rsidRPr="0025250D">
        <w:rPr>
          <w:rtl/>
        </w:rPr>
        <w:t xml:space="preserve"> </w:t>
      </w:r>
      <w:r w:rsidR="00EE4B64" w:rsidRPr="0025250D">
        <w:rPr>
          <w:rFonts w:hint="cs"/>
          <w:rtl/>
        </w:rPr>
        <w:t>مردم‌سالار</w:t>
      </w:r>
      <w:r w:rsidRPr="0025250D">
        <w:rPr>
          <w:rFonts w:hint="cs"/>
          <w:rtl/>
        </w:rPr>
        <w:t>ی</w:t>
      </w:r>
      <w:r w:rsidRPr="0025250D">
        <w:rPr>
          <w:rtl/>
        </w:rPr>
        <w:t xml:space="preserve"> </w:t>
      </w:r>
      <w:r w:rsidRPr="0025250D">
        <w:rPr>
          <w:rFonts w:hint="cs"/>
          <w:rtl/>
        </w:rPr>
        <w:t>و</w:t>
      </w:r>
      <w:r w:rsidR="00B0171C" w:rsidRPr="0025250D">
        <w:rPr>
          <w:rFonts w:hint="cs"/>
          <w:rtl/>
        </w:rPr>
        <w:t xml:space="preserve"> سرمایه‌دار</w:t>
      </w:r>
      <w:r w:rsidRPr="0025250D">
        <w:rPr>
          <w:rFonts w:hint="cs"/>
          <w:rtl/>
        </w:rPr>
        <w:t>ی</w:t>
      </w:r>
      <w:r w:rsidRPr="0025250D">
        <w:rPr>
          <w:rtl/>
        </w:rPr>
        <w:t xml:space="preserve"> </w:t>
      </w:r>
      <w:r w:rsidRPr="0025250D">
        <w:rPr>
          <w:rFonts w:hint="cs"/>
          <w:rtl/>
        </w:rPr>
        <w:t>همگی</w:t>
      </w:r>
      <w:r w:rsidRPr="0025250D">
        <w:rPr>
          <w:rtl/>
        </w:rPr>
        <w:t xml:space="preserve"> </w:t>
      </w:r>
      <w:r w:rsidR="008D6F97" w:rsidRPr="0025250D">
        <w:rPr>
          <w:rFonts w:hint="cs"/>
          <w:rtl/>
        </w:rPr>
        <w:t>سامانه‌</w:t>
      </w:r>
      <w:r w:rsidRPr="0025250D">
        <w:rPr>
          <w:rtl/>
        </w:rPr>
        <w:t xml:space="preserve">‌هایی </w:t>
      </w:r>
      <w:r w:rsidRPr="0025250D">
        <w:rPr>
          <w:rFonts w:hint="cs"/>
          <w:rtl/>
        </w:rPr>
        <w:t>هستند</w:t>
      </w:r>
      <w:r w:rsidRPr="0025250D">
        <w:rPr>
          <w:rtl/>
        </w:rPr>
        <w:t xml:space="preserve"> </w:t>
      </w:r>
      <w:r w:rsidRPr="0025250D">
        <w:rPr>
          <w:rFonts w:hint="cs"/>
          <w:rtl/>
        </w:rPr>
        <w:t>که</w:t>
      </w:r>
      <w:r w:rsidRPr="0025250D">
        <w:rPr>
          <w:rtl/>
        </w:rPr>
        <w:t xml:space="preserve"> </w:t>
      </w:r>
      <w:r w:rsidRPr="0025250D">
        <w:rPr>
          <w:rFonts w:hint="cs"/>
          <w:rtl/>
        </w:rPr>
        <w:t>بر</w:t>
      </w:r>
      <w:r w:rsidRPr="0025250D">
        <w:rPr>
          <w:rtl/>
        </w:rPr>
        <w:t xml:space="preserve"> </w:t>
      </w:r>
      <w:r w:rsidRPr="0025250D">
        <w:rPr>
          <w:rFonts w:hint="cs"/>
          <w:rtl/>
        </w:rPr>
        <w:t>اساس</w:t>
      </w:r>
      <w:r w:rsidRPr="0025250D">
        <w:rPr>
          <w:rtl/>
        </w:rPr>
        <w:t xml:space="preserve"> </w:t>
      </w:r>
      <w:r w:rsidRPr="0025250D">
        <w:rPr>
          <w:rFonts w:hint="cs"/>
          <w:rtl/>
        </w:rPr>
        <w:t>قواعد</w:t>
      </w:r>
      <w:r w:rsidRPr="0025250D">
        <w:rPr>
          <w:rtl/>
        </w:rPr>
        <w:t xml:space="preserve"> </w:t>
      </w:r>
      <w:r w:rsidRPr="0025250D">
        <w:rPr>
          <w:rFonts w:hint="cs"/>
          <w:rtl/>
        </w:rPr>
        <w:t>مجموع</w:t>
      </w:r>
      <w:r w:rsidRPr="0025250D">
        <w:rPr>
          <w:rtl/>
        </w:rPr>
        <w:t xml:space="preserve"> </w:t>
      </w:r>
      <w:r w:rsidRPr="0025250D">
        <w:rPr>
          <w:rFonts w:hint="cs"/>
          <w:rtl/>
        </w:rPr>
        <w:t>مثبت</w:t>
      </w:r>
      <w:r w:rsidRPr="0025250D">
        <w:rPr>
          <w:rtl/>
        </w:rPr>
        <w:t xml:space="preserve"> </w:t>
      </w:r>
      <w:r w:rsidRPr="0025250D">
        <w:rPr>
          <w:rFonts w:hint="cs"/>
          <w:rtl/>
        </w:rPr>
        <w:t>ساخته</w:t>
      </w:r>
      <w:r w:rsidRPr="0025250D">
        <w:rPr>
          <w:rtl/>
        </w:rPr>
        <w:t xml:space="preserve"> </w:t>
      </w:r>
      <w:r w:rsidR="00185F3E" w:rsidRPr="0025250D">
        <w:rPr>
          <w:rFonts w:hint="cs"/>
          <w:rtl/>
        </w:rPr>
        <w:t>شده‌اند</w:t>
      </w:r>
      <w:r w:rsidRPr="0025250D">
        <w:rPr>
          <w:rtl/>
        </w:rPr>
        <w:t xml:space="preserve"> </w:t>
      </w:r>
      <w:r w:rsidRPr="0025250D">
        <w:rPr>
          <w:rFonts w:hint="cs"/>
          <w:rtl/>
        </w:rPr>
        <w:t>و</w:t>
      </w:r>
      <w:r w:rsidRPr="0025250D">
        <w:rPr>
          <w:rtl/>
        </w:rPr>
        <w:t xml:space="preserve"> </w:t>
      </w:r>
      <w:r w:rsidRPr="0025250D">
        <w:rPr>
          <w:rFonts w:hint="cs"/>
          <w:rtl/>
        </w:rPr>
        <w:t>در</w:t>
      </w:r>
      <w:r w:rsidRPr="0025250D">
        <w:rPr>
          <w:rtl/>
        </w:rPr>
        <w:t xml:space="preserve"> </w:t>
      </w:r>
      <w:r w:rsidRPr="0025250D">
        <w:rPr>
          <w:rFonts w:hint="cs"/>
          <w:rtl/>
        </w:rPr>
        <w:t>طول</w:t>
      </w:r>
      <w:r w:rsidRPr="0025250D">
        <w:rPr>
          <w:rtl/>
        </w:rPr>
        <w:t xml:space="preserve"> </w:t>
      </w:r>
      <w:r w:rsidRPr="0025250D">
        <w:rPr>
          <w:rFonts w:hint="cs"/>
          <w:rtl/>
        </w:rPr>
        <w:t>زمان</w:t>
      </w:r>
      <w:r w:rsidRPr="0025250D">
        <w:rPr>
          <w:rtl/>
        </w:rPr>
        <w:t xml:space="preserve"> </w:t>
      </w:r>
      <w:r w:rsidRPr="0025250D">
        <w:rPr>
          <w:rFonts w:hint="cs"/>
          <w:rtl/>
        </w:rPr>
        <w:t>توسط</w:t>
      </w:r>
      <w:r w:rsidRPr="0025250D">
        <w:rPr>
          <w:rtl/>
        </w:rPr>
        <w:t xml:space="preserve"> </w:t>
      </w:r>
      <w:r w:rsidRPr="0025250D">
        <w:rPr>
          <w:rFonts w:hint="cs"/>
          <w:rtl/>
        </w:rPr>
        <w:t>ما</w:t>
      </w:r>
      <w:r w:rsidRPr="0025250D">
        <w:rPr>
          <w:rtl/>
        </w:rPr>
        <w:t xml:space="preserve"> </w:t>
      </w:r>
      <w:r w:rsidRPr="0025250D">
        <w:rPr>
          <w:rFonts w:hint="cs"/>
          <w:rtl/>
        </w:rPr>
        <w:t xml:space="preserve">کشف </w:t>
      </w:r>
      <w:r w:rsidR="00185F3E" w:rsidRPr="0025250D">
        <w:rPr>
          <w:rFonts w:hint="cs"/>
          <w:rtl/>
        </w:rPr>
        <w:t>شده‌اند</w:t>
      </w:r>
      <w:r w:rsidRPr="0025250D">
        <w:rPr>
          <w:rtl/>
        </w:rPr>
        <w:t xml:space="preserve"> </w:t>
      </w:r>
      <w:r w:rsidRPr="0025250D">
        <w:rPr>
          <w:rFonts w:hint="cs"/>
          <w:rtl/>
        </w:rPr>
        <w:t>و</w:t>
      </w:r>
      <w:r w:rsidRPr="0025250D">
        <w:rPr>
          <w:rtl/>
        </w:rPr>
        <w:t xml:space="preserve"> </w:t>
      </w:r>
      <w:r w:rsidRPr="0025250D">
        <w:rPr>
          <w:rFonts w:hint="cs"/>
          <w:rtl/>
        </w:rPr>
        <w:t>بهبود</w:t>
      </w:r>
      <w:r w:rsidRPr="0025250D">
        <w:rPr>
          <w:rtl/>
        </w:rPr>
        <w:t xml:space="preserve"> </w:t>
      </w:r>
      <w:r w:rsidRPr="0025250D">
        <w:rPr>
          <w:rFonts w:hint="cs"/>
          <w:rtl/>
        </w:rPr>
        <w:t>یافته</w:t>
      </w:r>
      <w:r w:rsidR="00B0171C" w:rsidRPr="0025250D">
        <w:rPr>
          <w:rFonts w:hint="cs"/>
          <w:rtl/>
        </w:rPr>
        <w:t>‌</w:t>
      </w:r>
      <w:r w:rsidRPr="0025250D">
        <w:rPr>
          <w:rFonts w:hint="cs"/>
          <w:rtl/>
        </w:rPr>
        <w:t>اند</w:t>
      </w:r>
      <w:r w:rsidRPr="0025250D">
        <w:rPr>
          <w:rtl/>
        </w:rPr>
        <w:t>.</w:t>
      </w:r>
      <w:r w:rsidRPr="0025250D">
        <w:rPr>
          <w:rFonts w:hint="cs"/>
          <w:rtl/>
        </w:rPr>
        <w:t xml:space="preserve"> قطعا </w:t>
      </w:r>
      <w:r w:rsidR="00B56611" w:rsidRPr="0025250D">
        <w:rPr>
          <w:rFonts w:hint="cs"/>
          <w:rtl/>
        </w:rPr>
        <w:t>چشم‌انداز</w:t>
      </w:r>
      <w:r w:rsidRPr="0025250D">
        <w:rPr>
          <w:rFonts w:hint="cs"/>
          <w:rtl/>
        </w:rPr>
        <w:t xml:space="preserve"> مقید برای افراد، سازمان‌ها و جوامع مشخصی در مواقعی کاربرد دارد. همچنین قید‌های فراگیری وجود دارند که به نظر ما همواره برای ذات انسان کاربرد دارند</w:t>
      </w:r>
      <w:r w:rsidR="008D6F97" w:rsidRPr="0025250D">
        <w:rPr>
          <w:rtl/>
        </w:rPr>
        <w:t xml:space="preserve">؛ </w:t>
      </w:r>
      <w:r w:rsidRPr="0025250D">
        <w:rPr>
          <w:rFonts w:hint="cs"/>
          <w:rtl/>
        </w:rPr>
        <w:t xml:space="preserve">اما به نظر ما </w:t>
      </w:r>
      <w:r w:rsidR="00B56611" w:rsidRPr="0025250D">
        <w:rPr>
          <w:rFonts w:hint="cs"/>
          <w:rtl/>
        </w:rPr>
        <w:t>چشم‌انداز</w:t>
      </w:r>
      <w:r w:rsidRPr="0025250D">
        <w:rPr>
          <w:rFonts w:hint="cs"/>
          <w:rtl/>
        </w:rPr>
        <w:t xml:space="preserve"> نامقید و قوانین، هنجارها، اولویت‌ها، </w:t>
      </w:r>
      <w:r w:rsidR="00701E03" w:rsidRPr="0025250D">
        <w:rPr>
          <w:rFonts w:hint="cs"/>
          <w:rtl/>
        </w:rPr>
        <w:t>راهبرد</w:t>
      </w:r>
      <w:r w:rsidRPr="0025250D">
        <w:rPr>
          <w:rFonts w:hint="cs"/>
          <w:rtl/>
        </w:rPr>
        <w:t>‌ها و برنامه‌هایی که از آن حاصل</w:t>
      </w:r>
      <w:r w:rsidRPr="0025250D">
        <w:rPr>
          <w:rFonts w:hint="cs"/>
        </w:rPr>
        <w:t>‌</w:t>
      </w:r>
      <w:r w:rsidRPr="0025250D">
        <w:rPr>
          <w:rFonts w:hint="cs"/>
          <w:rtl/>
        </w:rPr>
        <w:t xml:space="preserve"> می‌کنیم، به بهترین شکل آینده بشریت شبکه‌ای</w:t>
      </w:r>
      <w:r w:rsidRPr="0025250D">
        <w:rPr>
          <w:vertAlign w:val="superscript"/>
          <w:rtl/>
        </w:rPr>
        <w:footnoteReference w:id="939"/>
      </w:r>
      <w:r w:rsidRPr="0025250D">
        <w:rPr>
          <w:rFonts w:hint="cs"/>
          <w:rtl/>
        </w:rPr>
        <w:t xml:space="preserve"> را توصیف</w:t>
      </w:r>
      <w:r w:rsidRPr="0025250D">
        <w:rPr>
          <w:rFonts w:hint="cs"/>
        </w:rPr>
        <w:t>‌</w:t>
      </w:r>
      <w:r w:rsidRPr="0025250D">
        <w:rPr>
          <w:rFonts w:hint="cs"/>
          <w:rtl/>
        </w:rPr>
        <w:t xml:space="preserve"> می‌کند. وقتی به‌صورت مجموع مثبت تفکر</w:t>
      </w:r>
      <w:r w:rsidRPr="0025250D">
        <w:rPr>
          <w:rFonts w:hint="cs"/>
        </w:rPr>
        <w:t>‌</w:t>
      </w:r>
      <w:r w:rsidRPr="0025250D">
        <w:rPr>
          <w:rFonts w:hint="cs"/>
          <w:rtl/>
        </w:rPr>
        <w:t xml:space="preserve"> می‌کنیم، نه فقط در مورد خودمان یا گروهمان، بلکه در مورد صلاح شبکه کلی، فراتر از دیدگاه‌های راست گرا و چپ گرای سنتی خواهیم بود. به نظر ما جناح بالا</w:t>
      </w:r>
      <w:r w:rsidRPr="0025250D">
        <w:rPr>
          <w:vertAlign w:val="superscript"/>
          <w:rtl/>
        </w:rPr>
        <w:footnoteReference w:id="940"/>
      </w:r>
      <w:r w:rsidRPr="0025250D">
        <w:rPr>
          <w:rFonts w:hint="cs"/>
          <w:rtl/>
        </w:rPr>
        <w:t xml:space="preserve">، اصطلاحی که توسط </w:t>
      </w:r>
      <w:r w:rsidR="00D92F6E" w:rsidRPr="0025250D">
        <w:rPr>
          <w:rFonts w:hint="cs"/>
          <w:rtl/>
        </w:rPr>
        <w:t>آینده‌پژوه</w:t>
      </w:r>
      <w:r w:rsidRPr="0025250D">
        <w:rPr>
          <w:rFonts w:hint="cs"/>
          <w:rtl/>
        </w:rPr>
        <w:t xml:space="preserve"> برجسته قرن بیستم </w:t>
      </w:r>
      <w:r w:rsidRPr="0025250D">
        <w:t>FM-2030</w:t>
      </w:r>
      <w:r w:rsidR="008D6F97" w:rsidRPr="0025250D">
        <w:t xml:space="preserve"> </w:t>
      </w:r>
      <w:r w:rsidR="00D72EA2" w:rsidRPr="0025250D">
        <w:rPr>
          <w:rFonts w:hint="cs"/>
          <w:rtl/>
        </w:rPr>
        <w:t xml:space="preserve"> </w:t>
      </w:r>
      <w:r w:rsidRPr="0025250D">
        <w:rPr>
          <w:rFonts w:hint="cs"/>
          <w:rtl/>
        </w:rPr>
        <w:t xml:space="preserve">(یا </w:t>
      </w:r>
      <w:r w:rsidRPr="0025250D">
        <w:rPr>
          <w:rtl/>
        </w:rPr>
        <w:t>فر</w:t>
      </w:r>
      <w:r w:rsidRPr="0025250D">
        <w:rPr>
          <w:rFonts w:hint="cs"/>
          <w:rtl/>
        </w:rPr>
        <w:t>ی</w:t>
      </w:r>
      <w:r w:rsidRPr="0025250D">
        <w:rPr>
          <w:rFonts w:hint="eastAsia"/>
          <w:rtl/>
        </w:rPr>
        <w:t>دون</w:t>
      </w:r>
      <w:r w:rsidRPr="0025250D">
        <w:rPr>
          <w:rtl/>
        </w:rPr>
        <w:t xml:space="preserve"> اسفند</w:t>
      </w:r>
      <w:r w:rsidRPr="0025250D">
        <w:rPr>
          <w:rFonts w:hint="cs"/>
          <w:rtl/>
        </w:rPr>
        <w:t>ی</w:t>
      </w:r>
      <w:r w:rsidRPr="0025250D">
        <w:rPr>
          <w:rFonts w:hint="eastAsia"/>
          <w:rtl/>
        </w:rPr>
        <w:t>ار</w:t>
      </w:r>
      <w:r w:rsidRPr="0025250D">
        <w:rPr>
          <w:rFonts w:hint="cs"/>
          <w:rtl/>
        </w:rPr>
        <w:t xml:space="preserve">ی) ایجاد شد نام خوبی برای این تفکر است. یک اصطلاح جدید برای این نوع تفکر </w:t>
      </w:r>
      <w:r w:rsidR="0063099E" w:rsidRPr="0025250D">
        <w:rPr>
          <w:rtl/>
        </w:rPr>
        <w:t>«</w:t>
      </w:r>
      <w:r w:rsidRPr="0025250D">
        <w:rPr>
          <w:rFonts w:hint="cs"/>
          <w:rtl/>
        </w:rPr>
        <w:t>رو به جلو</w:t>
      </w:r>
      <w:r w:rsidRPr="0025250D">
        <w:rPr>
          <w:vertAlign w:val="superscript"/>
          <w:rtl/>
        </w:rPr>
        <w:footnoteReference w:id="941"/>
      </w:r>
      <w:r w:rsidR="0063099E" w:rsidRPr="0025250D">
        <w:rPr>
          <w:rtl/>
        </w:rPr>
        <w:t>»</w:t>
      </w:r>
      <w:r w:rsidRPr="0025250D">
        <w:rPr>
          <w:rFonts w:hint="cs"/>
          <w:rtl/>
        </w:rPr>
        <w:t xml:space="preserve"> است که توسط دانشمند غیر سیاسی (و اکنون مستقل) </w:t>
      </w:r>
      <w:r w:rsidRPr="0025250D">
        <w:rPr>
          <w:rtl/>
        </w:rPr>
        <w:t xml:space="preserve">اندرو </w:t>
      </w:r>
      <w:r w:rsidRPr="0025250D">
        <w:rPr>
          <w:rFonts w:hint="cs"/>
          <w:rtl/>
        </w:rPr>
        <w:t>ی</w:t>
      </w:r>
      <w:r w:rsidRPr="0025250D">
        <w:rPr>
          <w:rFonts w:hint="eastAsia"/>
          <w:rtl/>
        </w:rPr>
        <w:t>انگ</w:t>
      </w:r>
      <w:r w:rsidRPr="0025250D">
        <w:rPr>
          <w:vertAlign w:val="superscript"/>
          <w:rtl/>
        </w:rPr>
        <w:footnoteReference w:id="942"/>
      </w:r>
      <w:r w:rsidRPr="0025250D">
        <w:rPr>
          <w:rFonts w:hint="cs"/>
          <w:rtl/>
        </w:rPr>
        <w:t xml:space="preserve"> ایجاد شد. ما به‌عنوان متفکرین جناح بالا و متفکرین رو به جلو،</w:t>
      </w:r>
      <w:r w:rsidRPr="0025250D">
        <w:rPr>
          <w:rFonts w:hint="cs"/>
        </w:rPr>
        <w:t>‌</w:t>
      </w:r>
      <w:r w:rsidRPr="0025250D">
        <w:rPr>
          <w:rFonts w:hint="cs"/>
          <w:rtl/>
        </w:rPr>
        <w:t xml:space="preserve"> می‌توانیم به بهترین شکل پیشرفت </w:t>
      </w:r>
      <w:r w:rsidR="00B124DE" w:rsidRPr="0025250D">
        <w:rPr>
          <w:rFonts w:hint="cs"/>
          <w:rtl/>
        </w:rPr>
        <w:t>شتاب‌دار</w:t>
      </w:r>
      <w:r w:rsidRPr="0025250D">
        <w:rPr>
          <w:rFonts w:hint="cs"/>
          <w:rtl/>
        </w:rPr>
        <w:t xml:space="preserve"> را دیده و هدایت کنیم. ما این دیدگاه را در </w:t>
      </w:r>
      <w:r w:rsidRPr="0025250D">
        <w:t>BPE</w:t>
      </w:r>
      <w:r w:rsidRPr="0025250D">
        <w:rPr>
          <w:rFonts w:hint="cs"/>
          <w:rtl/>
        </w:rPr>
        <w:t xml:space="preserve"> بیش‌تر بررسی خواهیم کرد.</w:t>
      </w:r>
    </w:p>
    <w:p w14:paraId="4DA57EF7" w14:textId="6386358D" w:rsidR="0020732A" w:rsidRPr="0025250D" w:rsidRDefault="0020732A" w:rsidP="0020732A">
      <w:pPr>
        <w:rPr>
          <w:rtl/>
        </w:rPr>
      </w:pPr>
      <w:r w:rsidRPr="0025250D">
        <w:rPr>
          <w:rFonts w:hint="cs"/>
          <w:rtl/>
        </w:rPr>
        <w:t>همه ما</w:t>
      </w:r>
      <w:r w:rsidRPr="0025250D">
        <w:rPr>
          <w:rFonts w:hint="cs"/>
        </w:rPr>
        <w:t>‌</w:t>
      </w:r>
      <w:r w:rsidRPr="0025250D">
        <w:rPr>
          <w:rFonts w:hint="cs"/>
          <w:rtl/>
        </w:rPr>
        <w:t xml:space="preserve"> می‌توانیم از بازبینی منظم مدل‌های تجربی خود از موفقیت و پیشرفت منتفع شویم. داشتن مدل‌ها به ما امکان</w:t>
      </w:r>
      <w:r w:rsidRPr="0025250D">
        <w:rPr>
          <w:rFonts w:hint="cs"/>
        </w:rPr>
        <w:t>‌</w:t>
      </w:r>
      <w:r w:rsidRPr="0025250D">
        <w:rPr>
          <w:rFonts w:hint="cs"/>
          <w:rtl/>
        </w:rPr>
        <w:t xml:space="preserve"> می‌دهد که زندگی خود را به خوبی متصور شویم و با بدبینی، شک و عدم مشارکت ناتوان کننده‌ای که در بسیاری از رسانه‌ها و بسیاری از افراد مورد علاقه مان</w:t>
      </w:r>
      <w:r w:rsidRPr="0025250D">
        <w:rPr>
          <w:rFonts w:hint="cs"/>
        </w:rPr>
        <w:t>‌</w:t>
      </w:r>
      <w:r w:rsidRPr="0025250D">
        <w:rPr>
          <w:rFonts w:hint="cs"/>
          <w:rtl/>
        </w:rPr>
        <w:t xml:space="preserve"> می‌بینیم مقابله کنیم. مدل‌های پیشرفت مرموز</w:t>
      </w:r>
      <w:r w:rsidRPr="0025250D">
        <w:rPr>
          <w:vertAlign w:val="superscript"/>
          <w:rtl/>
        </w:rPr>
        <w:footnoteReference w:id="943"/>
      </w:r>
      <w:r w:rsidRPr="0025250D">
        <w:rPr>
          <w:rFonts w:hint="cs"/>
          <w:rtl/>
        </w:rPr>
        <w:t xml:space="preserve"> هستند، زیرا طبق تعریف هنجاری هستند </w:t>
      </w:r>
      <w:r w:rsidRPr="0025250D">
        <w:rPr>
          <w:rFonts w:cs="Times New Roman" w:hint="cs"/>
          <w:rtl/>
        </w:rPr>
        <w:t>–</w:t>
      </w:r>
      <w:r w:rsidRPr="0025250D">
        <w:rPr>
          <w:rFonts w:hint="cs"/>
          <w:rtl/>
        </w:rPr>
        <w:t xml:space="preserve"> یا وابسته به ارزش‌ها و مدل‌های ما از </w:t>
      </w:r>
      <w:r w:rsidR="00AE5BE0" w:rsidRPr="0025250D">
        <w:rPr>
          <w:rFonts w:hint="cs"/>
          <w:rtl/>
        </w:rPr>
        <w:t>انطباق</w:t>
      </w:r>
      <w:r w:rsidRPr="0025250D">
        <w:rPr>
          <w:rFonts w:hint="cs"/>
          <w:rtl/>
        </w:rPr>
        <w:t>. بسیاری</w:t>
      </w:r>
      <w:r w:rsidRPr="0025250D">
        <w:rPr>
          <w:rtl/>
        </w:rPr>
        <w:t xml:space="preserve"> </w:t>
      </w:r>
      <w:r w:rsidRPr="0025250D">
        <w:rPr>
          <w:rFonts w:hint="cs"/>
          <w:rtl/>
        </w:rPr>
        <w:t>از</w:t>
      </w:r>
      <w:r w:rsidRPr="0025250D">
        <w:rPr>
          <w:rtl/>
        </w:rPr>
        <w:t xml:space="preserve"> </w:t>
      </w:r>
      <w:r w:rsidRPr="0025250D">
        <w:rPr>
          <w:rFonts w:hint="cs"/>
          <w:rtl/>
        </w:rPr>
        <w:t>خوانندگان</w:t>
      </w:r>
      <w:r w:rsidRPr="0025250D">
        <w:rPr>
          <w:rtl/>
        </w:rPr>
        <w:t xml:space="preserve"> </w:t>
      </w:r>
      <w:r w:rsidRPr="0025250D">
        <w:rPr>
          <w:rFonts w:hint="cs"/>
          <w:rtl/>
        </w:rPr>
        <w:t>ممکن</w:t>
      </w:r>
      <w:r w:rsidRPr="0025250D">
        <w:rPr>
          <w:rtl/>
        </w:rPr>
        <w:t xml:space="preserve"> </w:t>
      </w:r>
      <w:r w:rsidRPr="0025250D">
        <w:rPr>
          <w:rFonts w:hint="cs"/>
          <w:rtl/>
        </w:rPr>
        <w:t>است</w:t>
      </w:r>
      <w:r w:rsidRPr="0025250D">
        <w:rPr>
          <w:rtl/>
        </w:rPr>
        <w:t xml:space="preserve"> </w:t>
      </w:r>
      <w:r w:rsidRPr="0025250D">
        <w:rPr>
          <w:rFonts w:hint="cs"/>
          <w:rtl/>
        </w:rPr>
        <w:t>با</w:t>
      </w:r>
      <w:r w:rsidRPr="0025250D">
        <w:rPr>
          <w:rtl/>
        </w:rPr>
        <w:t xml:space="preserve"> </w:t>
      </w:r>
      <w:r w:rsidRPr="0025250D">
        <w:rPr>
          <w:rFonts w:hint="cs"/>
          <w:rtl/>
        </w:rPr>
        <w:t>مدل‌های</w:t>
      </w:r>
      <w:r w:rsidRPr="0025250D">
        <w:rPr>
          <w:rtl/>
        </w:rPr>
        <w:t xml:space="preserve"> </w:t>
      </w:r>
      <w:r w:rsidRPr="0025250D">
        <w:rPr>
          <w:rFonts w:hint="cs"/>
          <w:rtl/>
        </w:rPr>
        <w:t>پیشرفت</w:t>
      </w:r>
      <w:r w:rsidRPr="0025250D">
        <w:rPr>
          <w:rtl/>
        </w:rPr>
        <w:t xml:space="preserve"> </w:t>
      </w:r>
      <w:r w:rsidRPr="0025250D">
        <w:rPr>
          <w:rFonts w:hint="cs"/>
          <w:rtl/>
        </w:rPr>
        <w:t>و</w:t>
      </w:r>
      <w:r w:rsidRPr="0025250D">
        <w:rPr>
          <w:rtl/>
        </w:rPr>
        <w:t xml:space="preserve"> </w:t>
      </w:r>
      <w:r w:rsidRPr="0025250D">
        <w:rPr>
          <w:rFonts w:hint="cs"/>
          <w:rtl/>
        </w:rPr>
        <w:t>سازگاری</w:t>
      </w:r>
      <w:r w:rsidRPr="0025250D">
        <w:rPr>
          <w:rtl/>
        </w:rPr>
        <w:t xml:space="preserve"> </w:t>
      </w:r>
      <w:r w:rsidRPr="0025250D">
        <w:rPr>
          <w:rFonts w:hint="cs"/>
          <w:rtl/>
        </w:rPr>
        <w:t>ما</w:t>
      </w:r>
      <w:r w:rsidRPr="0025250D">
        <w:rPr>
          <w:rtl/>
        </w:rPr>
        <w:t xml:space="preserve"> </w:t>
      </w:r>
      <w:r w:rsidRPr="0025250D">
        <w:rPr>
          <w:rFonts w:hint="cs"/>
          <w:rtl/>
        </w:rPr>
        <w:t>مخالف</w:t>
      </w:r>
      <w:r w:rsidRPr="0025250D">
        <w:rPr>
          <w:rtl/>
        </w:rPr>
        <w:t xml:space="preserve"> </w:t>
      </w:r>
      <w:r w:rsidRPr="0025250D">
        <w:rPr>
          <w:rFonts w:hint="cs"/>
          <w:rtl/>
        </w:rPr>
        <w:t>باشند</w:t>
      </w:r>
      <w:r w:rsidR="008D6F97" w:rsidRPr="0025250D">
        <w:rPr>
          <w:rtl/>
        </w:rPr>
        <w:t xml:space="preserve">؛ </w:t>
      </w:r>
      <w:r w:rsidR="0020589F" w:rsidRPr="0025250D">
        <w:rPr>
          <w:rtl/>
        </w:rPr>
        <w:t>اما</w:t>
      </w:r>
      <w:r w:rsidRPr="0025250D">
        <w:rPr>
          <w:rFonts w:hint="cs"/>
          <w:rtl/>
        </w:rPr>
        <w:t xml:space="preserve"> امیدواریم که آن‌ها حداقل ما را برای بررسی و اصلاح خودمان به چالش بکشند. یکی از چالش‌های پنهان </w:t>
      </w:r>
      <w:r w:rsidRPr="0025250D">
        <w:rPr>
          <w:rtl/>
        </w:rPr>
        <w:t>آینده‌نگاری</w:t>
      </w:r>
      <w:r w:rsidRPr="0025250D">
        <w:rPr>
          <w:rFonts w:hint="cs"/>
          <w:rtl/>
        </w:rPr>
        <w:t xml:space="preserve"> ما آگاهی از </w:t>
      </w:r>
      <w:r w:rsidR="00A20CCB" w:rsidRPr="0025250D">
        <w:rPr>
          <w:rFonts w:hint="cs"/>
          <w:rtl/>
        </w:rPr>
        <w:t>جهان‌بینی</w:t>
      </w:r>
      <w:r w:rsidRPr="0025250D">
        <w:rPr>
          <w:rFonts w:hint="cs"/>
          <w:rtl/>
        </w:rPr>
        <w:t xml:space="preserve">‌ها، اهداف، ارزش‌ها و </w:t>
      </w:r>
      <w:r w:rsidR="00B56611" w:rsidRPr="0025250D">
        <w:rPr>
          <w:rFonts w:hint="cs"/>
          <w:rtl/>
        </w:rPr>
        <w:t>چشم‌انداز</w:t>
      </w:r>
      <w:r w:rsidRPr="0025250D">
        <w:rPr>
          <w:rFonts w:hint="cs"/>
          <w:rtl/>
        </w:rPr>
        <w:t xml:space="preserve">‌های خودمان و دیگران و صریح، نقد شده و مبتنی بر مدارک بودن </w:t>
      </w:r>
      <w:r w:rsidR="00B56611" w:rsidRPr="0025250D">
        <w:rPr>
          <w:rFonts w:hint="cs"/>
          <w:rtl/>
        </w:rPr>
        <w:t>چشم‌انداز</w:t>
      </w:r>
      <w:r w:rsidRPr="0025250D">
        <w:rPr>
          <w:rFonts w:hint="cs"/>
          <w:rtl/>
        </w:rPr>
        <w:t>‌ها و دیدگاه و اهداف خودمان تا حد امکان است.</w:t>
      </w:r>
    </w:p>
    <w:p w14:paraId="6104A3DE" w14:textId="4DDCB344" w:rsidR="0020732A" w:rsidRPr="0025250D" w:rsidRDefault="007118DE" w:rsidP="0020732A">
      <w:pPr>
        <w:rPr>
          <w:rtl/>
        </w:rPr>
      </w:pPr>
      <w:r w:rsidRPr="0025250D">
        <w:rPr>
          <w:rFonts w:hint="cs"/>
          <w:rtl/>
        </w:rPr>
        <w:t>همان‌طور</w:t>
      </w:r>
      <w:r w:rsidR="0020732A" w:rsidRPr="0025250D">
        <w:rPr>
          <w:rFonts w:hint="cs"/>
          <w:rtl/>
        </w:rPr>
        <w:t xml:space="preserve"> که </w:t>
      </w:r>
      <w:r w:rsidR="0020732A" w:rsidRPr="0025250D">
        <w:rPr>
          <w:rtl/>
        </w:rPr>
        <w:t>گرهارد ورستر</w:t>
      </w:r>
      <w:r w:rsidR="0020732A" w:rsidRPr="0025250D">
        <w:rPr>
          <w:vertAlign w:val="superscript"/>
          <w:rtl/>
        </w:rPr>
        <w:footnoteReference w:id="944"/>
      </w:r>
      <w:r w:rsidR="0020732A" w:rsidRPr="0025250D">
        <w:rPr>
          <w:rFonts w:hint="cs"/>
          <w:rtl/>
        </w:rPr>
        <w:t xml:space="preserve">، مدیر ارشد فروش در </w:t>
      </w:r>
      <w:r w:rsidR="0020732A" w:rsidRPr="0025250D">
        <w:rPr>
          <w:rtl/>
        </w:rPr>
        <w:t>دلو</w:t>
      </w:r>
      <w:r w:rsidR="0020732A" w:rsidRPr="0025250D">
        <w:rPr>
          <w:rFonts w:hint="cs"/>
          <w:rtl/>
        </w:rPr>
        <w:t>ی</w:t>
      </w:r>
      <w:r w:rsidR="0020732A" w:rsidRPr="0025250D">
        <w:rPr>
          <w:vertAlign w:val="superscript"/>
          <w:rtl/>
        </w:rPr>
        <w:footnoteReference w:id="945"/>
      </w:r>
      <w:r w:rsidR="0020732A" w:rsidRPr="0025250D">
        <w:rPr>
          <w:rFonts w:hint="cs"/>
        </w:rPr>
        <w:t>‌</w:t>
      </w:r>
      <w:r w:rsidR="0020732A" w:rsidRPr="0025250D">
        <w:rPr>
          <w:rFonts w:hint="cs"/>
          <w:rtl/>
        </w:rPr>
        <w:t xml:space="preserve"> می‌گوید، ارزشمند‌ترین دارایی هر شرکت استعداد آن و به ویژه تلاش متمایز آن (بالا‌تر و ورای تلاش مورد انتظار) است که هر استعداد در هر شرکتی</w:t>
      </w:r>
      <w:r w:rsidR="0020732A" w:rsidRPr="0025250D">
        <w:rPr>
          <w:rFonts w:hint="cs"/>
        </w:rPr>
        <w:t>‌</w:t>
      </w:r>
      <w:r w:rsidR="0020732A" w:rsidRPr="0025250D">
        <w:rPr>
          <w:rFonts w:hint="cs"/>
          <w:rtl/>
        </w:rPr>
        <w:t xml:space="preserve"> می‌تواند این چنین باشد. چنین تلاشی</w:t>
      </w:r>
      <w:r w:rsidR="0020732A" w:rsidRPr="0025250D">
        <w:rPr>
          <w:rFonts w:hint="cs"/>
        </w:rPr>
        <w:t>‌</w:t>
      </w:r>
      <w:r w:rsidR="0020732A" w:rsidRPr="0025250D">
        <w:rPr>
          <w:rFonts w:hint="cs"/>
          <w:rtl/>
        </w:rPr>
        <w:t xml:space="preserve"> می‌تواند به شدت برای هر فرد و هر روز متفاوت باشد و به شدت به </w:t>
      </w:r>
      <w:r w:rsidR="00B56611" w:rsidRPr="0025250D">
        <w:rPr>
          <w:rFonts w:hint="cs"/>
          <w:rtl/>
        </w:rPr>
        <w:t>چشم‌انداز</w:t>
      </w:r>
      <w:r w:rsidR="0020732A" w:rsidRPr="0025250D">
        <w:rPr>
          <w:rFonts w:hint="cs"/>
          <w:rtl/>
        </w:rPr>
        <w:t>، قوانین و رهبری شرکت بستگی دارد. شرکت‌های بزرگ امروزه به یک رسالت والا‌تر نیاز دارند: مجموعه‌ای از اهداف و مقاصد که به وضوح به دنبال ایجاد یک آینده بهتر هستند و ارزش‌هایی که از این رسالت پشتیبانی</w:t>
      </w:r>
      <w:r w:rsidR="0020732A" w:rsidRPr="0025250D">
        <w:rPr>
          <w:rFonts w:hint="cs"/>
        </w:rPr>
        <w:t>‌</w:t>
      </w:r>
      <w:r w:rsidR="0020732A" w:rsidRPr="0025250D">
        <w:rPr>
          <w:rFonts w:hint="cs"/>
          <w:rtl/>
        </w:rPr>
        <w:t xml:space="preserve"> می‌کنند. سازمان‌های </w:t>
      </w:r>
      <w:r w:rsidR="0020732A" w:rsidRPr="0025250D">
        <w:rPr>
          <w:rFonts w:hint="cs"/>
          <w:rtl/>
        </w:rPr>
        <w:lastRenderedPageBreak/>
        <w:t xml:space="preserve">بدون رسالت والا، </w:t>
      </w:r>
      <w:r w:rsidR="00B56611" w:rsidRPr="0025250D">
        <w:rPr>
          <w:rFonts w:hint="cs"/>
          <w:rtl/>
        </w:rPr>
        <w:t>چشم‌انداز</w:t>
      </w:r>
      <w:r w:rsidR="0020732A" w:rsidRPr="0025250D">
        <w:rPr>
          <w:rFonts w:hint="cs"/>
          <w:rtl/>
        </w:rPr>
        <w:t>ی از این‌که چگونه به پیشرفت کمک</w:t>
      </w:r>
      <w:r w:rsidR="0020732A" w:rsidRPr="0025250D">
        <w:rPr>
          <w:rFonts w:hint="cs"/>
        </w:rPr>
        <w:t>‌</w:t>
      </w:r>
      <w:r w:rsidR="0020732A" w:rsidRPr="0025250D">
        <w:rPr>
          <w:rFonts w:hint="cs"/>
          <w:rtl/>
        </w:rPr>
        <w:t xml:space="preserve"> می‌کنند و قوانینی منصفانه و ارزش‌هایی خوب، </w:t>
      </w:r>
      <w:r w:rsidR="00B0171C" w:rsidRPr="0025250D">
        <w:rPr>
          <w:rFonts w:hint="cs"/>
          <w:rtl/>
        </w:rPr>
        <w:t>به‌سادگی</w:t>
      </w:r>
      <w:r w:rsidR="0020732A" w:rsidRPr="0025250D">
        <w:rPr>
          <w:rFonts w:hint="cs"/>
          <w:rtl/>
        </w:rPr>
        <w:t xml:space="preserve"> استعداد مورد نیاز برای پیروزی در جهانی با تغییر صنعتی سریع‌تر از همیشه و متحول کننده‌تر از همیشه را جذب</w:t>
      </w:r>
      <w:r w:rsidR="00EE4B64" w:rsidRPr="0025250D">
        <w:rPr>
          <w:rFonts w:hint="cs"/>
          <w:rtl/>
        </w:rPr>
        <w:t xml:space="preserve"> نمی‌</w:t>
      </w:r>
      <w:r w:rsidR="0020732A" w:rsidRPr="0025250D">
        <w:rPr>
          <w:rFonts w:hint="cs"/>
          <w:rtl/>
        </w:rPr>
        <w:t>کنند.</w:t>
      </w:r>
    </w:p>
    <w:p w14:paraId="0A0F6932" w14:textId="0B8BC858" w:rsidR="0020732A" w:rsidRPr="0025250D" w:rsidRDefault="0020732A" w:rsidP="0063099E">
      <w:pPr>
        <w:rPr>
          <w:rtl/>
        </w:rPr>
      </w:pPr>
      <w:r w:rsidRPr="0025250D">
        <w:rPr>
          <w:rFonts w:hint="cs"/>
          <w:rtl/>
        </w:rPr>
        <w:t xml:space="preserve">وقتی تحت هدایت اهداف و ارزش‌های </w:t>
      </w:r>
      <w:r w:rsidR="00AE5BE0" w:rsidRPr="0025250D">
        <w:rPr>
          <w:rFonts w:hint="cs"/>
          <w:rtl/>
        </w:rPr>
        <w:t>انطباقی</w:t>
      </w:r>
      <w:r w:rsidRPr="0025250D">
        <w:rPr>
          <w:rFonts w:hint="cs"/>
          <w:rtl/>
        </w:rPr>
        <w:t xml:space="preserve"> باشیم، جایگاه و اساس مستحکمی برای انجام آنچه مربی مدیریت معاصر </w:t>
      </w:r>
      <w:r w:rsidRPr="0025250D">
        <w:rPr>
          <w:rtl/>
        </w:rPr>
        <w:t>است</w:t>
      </w:r>
      <w:r w:rsidRPr="0025250D">
        <w:rPr>
          <w:rFonts w:hint="cs"/>
          <w:rtl/>
        </w:rPr>
        <w:t>ی</w:t>
      </w:r>
      <w:r w:rsidRPr="0025250D">
        <w:rPr>
          <w:rFonts w:hint="eastAsia"/>
          <w:rtl/>
        </w:rPr>
        <w:t>ون</w:t>
      </w:r>
      <w:r w:rsidRPr="0025250D">
        <w:rPr>
          <w:rtl/>
        </w:rPr>
        <w:t xml:space="preserve"> کاو</w:t>
      </w:r>
      <w:r w:rsidRPr="0025250D">
        <w:rPr>
          <w:rFonts w:hint="cs"/>
          <w:rtl/>
        </w:rPr>
        <w:t>ی</w:t>
      </w:r>
      <w:r w:rsidRPr="0025250D">
        <w:rPr>
          <w:vertAlign w:val="superscript"/>
          <w:rtl/>
        </w:rPr>
        <w:footnoteReference w:id="946"/>
      </w:r>
      <w:r w:rsidRPr="0025250D">
        <w:rPr>
          <w:rFonts w:hint="cs"/>
          <w:rtl/>
        </w:rPr>
        <w:t xml:space="preserve"> در کتاب 8 عادت</w:t>
      </w:r>
      <w:r w:rsidRPr="0025250D">
        <w:rPr>
          <w:vertAlign w:val="superscript"/>
          <w:rtl/>
        </w:rPr>
        <w:footnoteReference w:id="947"/>
      </w:r>
      <w:r w:rsidRPr="0025250D">
        <w:rPr>
          <w:rFonts w:hint="cs"/>
          <w:rtl/>
        </w:rPr>
        <w:t xml:space="preserve"> در سال 2008، </w:t>
      </w:r>
      <w:r w:rsidR="0063099E" w:rsidRPr="0025250D">
        <w:rPr>
          <w:rtl/>
        </w:rPr>
        <w:t>«</w:t>
      </w:r>
      <w:r w:rsidRPr="0025250D">
        <w:rPr>
          <w:rFonts w:hint="cs"/>
          <w:rtl/>
        </w:rPr>
        <w:t>یافتن صدای خود و کمک به دیگران برای یافتن آن</w:t>
      </w:r>
      <w:r w:rsidRPr="0025250D">
        <w:rPr>
          <w:vertAlign w:val="superscript"/>
          <w:rtl/>
        </w:rPr>
        <w:footnoteReference w:id="948"/>
      </w:r>
      <w:r w:rsidR="0063099E" w:rsidRPr="0025250D">
        <w:rPr>
          <w:rFonts w:hint="cs"/>
          <w:rtl/>
        </w:rPr>
        <w:t>»</w:t>
      </w:r>
      <w:r w:rsidRPr="0025250D">
        <w:rPr>
          <w:rFonts w:hint="cs"/>
        </w:rPr>
        <w:t>‌</w:t>
      </w:r>
      <w:r w:rsidRPr="0025250D">
        <w:rPr>
          <w:rFonts w:hint="cs"/>
          <w:rtl/>
        </w:rPr>
        <w:t xml:space="preserve"> می‌نامد، در اختیار داریم. هدف او از این گفته کسب خرد کافی برای دیدن اهداف و ارزش‌های والاتر و یافتن نقش منحصر به فرد خود در این قید‌ها</w:t>
      </w:r>
      <w:r w:rsidRPr="0025250D">
        <w:rPr>
          <w:rFonts w:hint="cs"/>
        </w:rPr>
        <w:t>‌</w:t>
      </w:r>
      <w:r w:rsidRPr="0025250D">
        <w:rPr>
          <w:rFonts w:hint="cs"/>
          <w:rtl/>
        </w:rPr>
        <w:t xml:space="preserve"> می‌باشد. برای کمک در این فرایند، </w:t>
      </w:r>
      <w:r w:rsidRPr="0025250D">
        <w:rPr>
          <w:rtl/>
        </w:rPr>
        <w:t>کاو</w:t>
      </w:r>
      <w:r w:rsidRPr="0025250D">
        <w:rPr>
          <w:rFonts w:hint="cs"/>
          <w:rtl/>
        </w:rPr>
        <w:t>ی ایجاد بیانیه</w:t>
      </w:r>
      <w:r w:rsidR="008D6F97" w:rsidRPr="0025250D">
        <w:rPr>
          <w:rtl/>
        </w:rPr>
        <w:t xml:space="preserve"> </w:t>
      </w:r>
      <w:r w:rsidRPr="0025250D">
        <w:rPr>
          <w:rFonts w:hint="cs"/>
          <w:rtl/>
        </w:rPr>
        <w:t xml:space="preserve">مأموریت </w:t>
      </w:r>
      <w:r w:rsidR="001A3F0A" w:rsidRPr="0025250D">
        <w:rPr>
          <w:rFonts w:hint="cs"/>
          <w:rtl/>
        </w:rPr>
        <w:t>فردی</w:t>
      </w:r>
      <w:r w:rsidRPr="0025250D">
        <w:rPr>
          <w:rFonts w:hint="cs"/>
          <w:rtl/>
        </w:rPr>
        <w:t xml:space="preserve"> خودمان را توصیه</w:t>
      </w:r>
      <w:r w:rsidRPr="0025250D">
        <w:rPr>
          <w:rFonts w:hint="cs"/>
        </w:rPr>
        <w:t>‌</w:t>
      </w:r>
      <w:r w:rsidRPr="0025250D">
        <w:rPr>
          <w:rFonts w:hint="cs"/>
          <w:rtl/>
        </w:rPr>
        <w:t xml:space="preserve"> می‌کند. کتاب صوتی </w:t>
      </w:r>
      <w:r w:rsidRPr="0025250D">
        <w:rPr>
          <w:rtl/>
        </w:rPr>
        <w:t>کاو</w:t>
      </w:r>
      <w:r w:rsidRPr="0025250D">
        <w:rPr>
          <w:rFonts w:hint="cs"/>
          <w:rtl/>
        </w:rPr>
        <w:t xml:space="preserve">ی، چگونه بیانیه مأموریت </w:t>
      </w:r>
      <w:r w:rsidR="001A3F0A" w:rsidRPr="0025250D">
        <w:rPr>
          <w:rFonts w:hint="cs"/>
          <w:rtl/>
        </w:rPr>
        <w:t>فردی</w:t>
      </w:r>
      <w:r w:rsidRPr="0025250D">
        <w:rPr>
          <w:rFonts w:hint="cs"/>
          <w:rtl/>
        </w:rPr>
        <w:t xml:space="preserve"> خود را توسعه دهید</w:t>
      </w:r>
      <w:r w:rsidRPr="0025250D">
        <w:rPr>
          <w:vertAlign w:val="superscript"/>
          <w:rtl/>
        </w:rPr>
        <w:footnoteReference w:id="949"/>
      </w:r>
      <w:r w:rsidRPr="0025250D">
        <w:rPr>
          <w:rFonts w:hint="cs"/>
          <w:rtl/>
        </w:rPr>
        <w:t xml:space="preserve"> در سال 2012،</w:t>
      </w:r>
      <w:r w:rsidRPr="0025250D">
        <w:rPr>
          <w:rFonts w:hint="cs"/>
        </w:rPr>
        <w:t>‌</w:t>
      </w:r>
      <w:r w:rsidRPr="0025250D">
        <w:rPr>
          <w:rFonts w:hint="cs"/>
          <w:rtl/>
        </w:rPr>
        <w:t xml:space="preserve"> می‌تواند در این زمینه به ما کمک کند. این آینده شماست ... آن را به آینده‌ای مطلوب تبدیل کنید!</w:t>
      </w:r>
      <w:r w:rsidRPr="0025250D">
        <w:rPr>
          <w:vertAlign w:val="superscript"/>
          <w:rtl/>
        </w:rPr>
        <w:footnoteReference w:id="950"/>
      </w:r>
      <w:r w:rsidRPr="0025250D">
        <w:rPr>
          <w:rFonts w:hint="cs"/>
          <w:rtl/>
        </w:rPr>
        <w:t xml:space="preserve"> اثر </w:t>
      </w:r>
      <w:r w:rsidR="00D92F6E" w:rsidRPr="0025250D">
        <w:rPr>
          <w:rFonts w:hint="cs"/>
          <w:rtl/>
        </w:rPr>
        <w:t>آینده‌پژوه</w:t>
      </w:r>
      <w:r w:rsidRPr="0025250D">
        <w:rPr>
          <w:rFonts w:hint="cs"/>
          <w:rtl/>
        </w:rPr>
        <w:t xml:space="preserve"> </w:t>
      </w:r>
      <w:r w:rsidRPr="0025250D">
        <w:rPr>
          <w:rtl/>
        </w:rPr>
        <w:t>ورن و</w:t>
      </w:r>
      <w:r w:rsidRPr="0025250D">
        <w:rPr>
          <w:rFonts w:hint="cs"/>
          <w:rtl/>
        </w:rPr>
        <w:t>ی</w:t>
      </w:r>
      <w:r w:rsidRPr="0025250D">
        <w:rPr>
          <w:rFonts w:hint="eastAsia"/>
          <w:rtl/>
        </w:rPr>
        <w:t>ل</w:t>
      </w:r>
      <w:r w:rsidRPr="0025250D">
        <w:rPr>
          <w:rtl/>
        </w:rPr>
        <w:t xml:space="preserve"> را</w:t>
      </w:r>
      <w:r w:rsidRPr="0025250D">
        <w:rPr>
          <w:rFonts w:hint="cs"/>
          <w:rtl/>
        </w:rPr>
        <w:t>ی</w:t>
      </w:r>
      <w:r w:rsidRPr="0025250D">
        <w:rPr>
          <w:rFonts w:hint="eastAsia"/>
          <w:rtl/>
        </w:rPr>
        <w:t>ت</w:t>
      </w:r>
      <w:r w:rsidRPr="0025250D">
        <w:rPr>
          <w:vertAlign w:val="superscript"/>
          <w:rtl/>
        </w:rPr>
        <w:footnoteReference w:id="951"/>
      </w:r>
      <w:r w:rsidRPr="0025250D">
        <w:rPr>
          <w:rFonts w:hint="cs"/>
          <w:rtl/>
        </w:rPr>
        <w:t xml:space="preserve"> در سال 2012، یک راهنمای خوب دیگر برای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و </w:t>
      </w:r>
      <w:r w:rsidR="00B124DE" w:rsidRPr="0025250D">
        <w:rPr>
          <w:rFonts w:hint="cs"/>
          <w:rtl/>
        </w:rPr>
        <w:t>برنامه‌ریزی</w:t>
      </w:r>
      <w:r w:rsidRPr="0025250D">
        <w:rPr>
          <w:rFonts w:hint="cs"/>
          <w:rtl/>
        </w:rPr>
        <w:t xml:space="preserve"> </w:t>
      </w:r>
      <w:r w:rsidR="001A3F0A" w:rsidRPr="0025250D">
        <w:rPr>
          <w:rFonts w:hint="cs"/>
          <w:rtl/>
        </w:rPr>
        <w:t>فردی</w:t>
      </w:r>
      <w:r w:rsidRPr="0025250D">
        <w:rPr>
          <w:rFonts w:hint="cs"/>
          <w:rtl/>
        </w:rPr>
        <w:t xml:space="preserve"> خوب است. وقتی بیشتر مطابق ارزش‌ها و </w:t>
      </w:r>
      <w:r w:rsidR="00B56611" w:rsidRPr="0025250D">
        <w:rPr>
          <w:rFonts w:hint="cs"/>
          <w:rtl/>
        </w:rPr>
        <w:t>چشم‌انداز</w:t>
      </w:r>
      <w:r w:rsidRPr="0025250D">
        <w:rPr>
          <w:rFonts w:hint="cs"/>
          <w:rtl/>
        </w:rPr>
        <w:t>‌های خود زندگی کنیم مؤثر‌تر می‌شویم و</w:t>
      </w:r>
      <w:r w:rsidRPr="0025250D">
        <w:rPr>
          <w:rFonts w:hint="cs"/>
        </w:rPr>
        <w:t>‌</w:t>
      </w:r>
      <w:r w:rsidRPr="0025250D">
        <w:rPr>
          <w:rFonts w:hint="cs"/>
          <w:rtl/>
        </w:rPr>
        <w:t xml:space="preserve"> می‌توانیم به شکل فزاینده‌ای به دیگران برای انجام این کار کمک کنیم و توسعه </w:t>
      </w:r>
      <w:r w:rsidR="001A3F0A" w:rsidRPr="0025250D">
        <w:rPr>
          <w:rFonts w:hint="cs"/>
          <w:rtl/>
        </w:rPr>
        <w:t>فردی</w:t>
      </w:r>
      <w:r w:rsidRPr="0025250D">
        <w:rPr>
          <w:rFonts w:hint="cs"/>
          <w:rtl/>
        </w:rPr>
        <w:t xml:space="preserve"> را تمرین کنیم.</w:t>
      </w:r>
    </w:p>
    <w:p w14:paraId="0C436C13" w14:textId="77777777" w:rsidR="0020732A" w:rsidRPr="0025250D" w:rsidRDefault="0020732A" w:rsidP="0020732A">
      <w:pPr>
        <w:rPr>
          <w:rtl/>
        </w:rPr>
      </w:pPr>
    </w:p>
    <w:p w14:paraId="1195BE44" w14:textId="77777777" w:rsidR="0020732A" w:rsidRPr="0025250D" w:rsidRDefault="0020732A" w:rsidP="0020732A">
      <w:pPr>
        <w:rPr>
          <w:rtl/>
        </w:rPr>
      </w:pPr>
    </w:p>
    <w:p w14:paraId="38B0F45F" w14:textId="77777777" w:rsidR="0020732A" w:rsidRPr="0025250D" w:rsidRDefault="0020732A" w:rsidP="0020732A">
      <w:pPr>
        <w:rPr>
          <w:rtl/>
        </w:rPr>
      </w:pPr>
    </w:p>
    <w:p w14:paraId="779BA6CB" w14:textId="77777777" w:rsidR="0020732A" w:rsidRPr="0025250D" w:rsidRDefault="0020732A" w:rsidP="0020732A">
      <w:pPr>
        <w:rPr>
          <w:rtl/>
        </w:rPr>
      </w:pPr>
    </w:p>
    <w:p w14:paraId="295AA21F" w14:textId="77777777" w:rsidR="0020732A" w:rsidRPr="0025250D" w:rsidRDefault="0020732A" w:rsidP="0020732A">
      <w:pPr>
        <w:rPr>
          <w:rtl/>
        </w:rPr>
      </w:pPr>
    </w:p>
    <w:p w14:paraId="150A5A27" w14:textId="77777777" w:rsidR="0020732A" w:rsidRPr="0025250D" w:rsidRDefault="0020732A" w:rsidP="0020732A">
      <w:pPr>
        <w:rPr>
          <w:rtl/>
        </w:rPr>
      </w:pPr>
    </w:p>
    <w:p w14:paraId="49314A4E" w14:textId="77777777" w:rsidR="0020732A" w:rsidRPr="0025250D" w:rsidRDefault="0020732A" w:rsidP="0020732A">
      <w:pPr>
        <w:rPr>
          <w:rtl/>
        </w:rPr>
      </w:pPr>
    </w:p>
    <w:p w14:paraId="02FC7EC3" w14:textId="77777777" w:rsidR="0020732A" w:rsidRPr="0025250D" w:rsidRDefault="0020732A" w:rsidP="0020732A">
      <w:pPr>
        <w:rPr>
          <w:rtl/>
        </w:rPr>
      </w:pPr>
    </w:p>
    <w:p w14:paraId="2B97ABF3" w14:textId="77777777" w:rsidR="0020732A" w:rsidRPr="0025250D" w:rsidRDefault="0020732A" w:rsidP="0020732A">
      <w:pPr>
        <w:rPr>
          <w:rtl/>
        </w:rPr>
      </w:pPr>
    </w:p>
    <w:p w14:paraId="74AC4A17" w14:textId="77777777" w:rsidR="0020732A" w:rsidRPr="0025250D" w:rsidRDefault="0020732A" w:rsidP="0020732A">
      <w:pPr>
        <w:rPr>
          <w:rtl/>
        </w:rPr>
      </w:pPr>
    </w:p>
    <w:p w14:paraId="10A349C5" w14:textId="77777777" w:rsidR="0020732A" w:rsidRPr="0025250D" w:rsidRDefault="0020732A" w:rsidP="0020732A">
      <w:pPr>
        <w:rPr>
          <w:rtl/>
        </w:rPr>
      </w:pPr>
    </w:p>
    <w:p w14:paraId="6351D651" w14:textId="77777777" w:rsidR="0020732A" w:rsidRPr="0025250D" w:rsidRDefault="0020732A" w:rsidP="0020732A">
      <w:pPr>
        <w:rPr>
          <w:rtl/>
        </w:rPr>
      </w:pPr>
    </w:p>
    <w:p w14:paraId="5597D3C4" w14:textId="77777777" w:rsidR="0020732A" w:rsidRPr="0025250D" w:rsidRDefault="0020732A" w:rsidP="0020732A">
      <w:pPr>
        <w:rPr>
          <w:rtl/>
        </w:rPr>
      </w:pPr>
    </w:p>
    <w:p w14:paraId="3CA3E716" w14:textId="77777777" w:rsidR="0020732A" w:rsidRPr="0025250D" w:rsidRDefault="0020732A" w:rsidP="0020732A">
      <w:pPr>
        <w:rPr>
          <w:rtl/>
        </w:rPr>
      </w:pPr>
    </w:p>
    <w:p w14:paraId="76E50B82" w14:textId="71AC8511" w:rsidR="0020732A" w:rsidRPr="0025250D" w:rsidRDefault="00B56611" w:rsidP="009E77BD">
      <w:pPr>
        <w:pStyle w:val="Heading2"/>
        <w:rPr>
          <w:rtl/>
        </w:rPr>
      </w:pPr>
      <w:bookmarkStart w:id="25" w:name="_Toc127831290"/>
      <w:r w:rsidRPr="0025250D">
        <w:rPr>
          <w:rFonts w:hint="cs"/>
          <w:rtl/>
        </w:rPr>
        <w:lastRenderedPageBreak/>
        <w:t>چشم‌انداز</w:t>
      </w:r>
      <w:r w:rsidR="0020732A" w:rsidRPr="0025250D">
        <w:rPr>
          <w:rFonts w:hint="cs"/>
          <w:rtl/>
        </w:rPr>
        <w:t xml:space="preserve">ی از فرهنگ </w:t>
      </w:r>
      <w:r w:rsidR="0020732A" w:rsidRPr="0025250D">
        <w:rPr>
          <w:rtl/>
        </w:rPr>
        <w:t>آینده‌نگاری</w:t>
      </w:r>
      <w:r w:rsidR="0020732A" w:rsidRPr="0025250D">
        <w:rPr>
          <w:rFonts w:hint="cs"/>
          <w:rtl/>
        </w:rPr>
        <w:t xml:space="preserve"> جهانی</w:t>
      </w:r>
      <w:bookmarkEnd w:id="25"/>
    </w:p>
    <w:p w14:paraId="4BF7763C" w14:textId="766E2D8E" w:rsidR="0020732A" w:rsidRPr="0025250D" w:rsidRDefault="00B56611" w:rsidP="0020732A">
      <w:pPr>
        <w:rPr>
          <w:rtl/>
        </w:rPr>
      </w:pPr>
      <w:r w:rsidRPr="0025250D">
        <w:rPr>
          <w:rFonts w:hint="cs"/>
          <w:rtl/>
        </w:rPr>
        <w:t>چشم‌انداز</w:t>
      </w:r>
      <w:r w:rsidR="0020732A" w:rsidRPr="0025250D">
        <w:rPr>
          <w:rFonts w:hint="cs"/>
          <w:rtl/>
        </w:rPr>
        <w:t xml:space="preserve">‌های عالی آرمانی، انگیزشی و بالاتر از همه </w:t>
      </w:r>
      <w:r w:rsidR="00AE5BE0" w:rsidRPr="0025250D">
        <w:rPr>
          <w:rFonts w:hint="cs"/>
          <w:rtl/>
        </w:rPr>
        <w:t>انطباقی</w:t>
      </w:r>
      <w:r w:rsidR="0020732A" w:rsidRPr="0025250D">
        <w:rPr>
          <w:rFonts w:hint="cs"/>
          <w:rtl/>
        </w:rPr>
        <w:t xml:space="preserve"> هستند. از زمان انتشار هنر </w:t>
      </w:r>
      <w:r w:rsidR="00F662B0" w:rsidRPr="0025250D">
        <w:rPr>
          <w:rFonts w:hint="cs"/>
          <w:rtl/>
        </w:rPr>
        <w:t>گمانه‌زنی</w:t>
      </w:r>
      <w:r w:rsidR="0020732A" w:rsidRPr="0025250D">
        <w:rPr>
          <w:vertAlign w:val="superscript"/>
          <w:rtl/>
        </w:rPr>
        <w:footnoteReference w:id="952"/>
      </w:r>
      <w:r w:rsidR="0020732A" w:rsidRPr="0025250D">
        <w:rPr>
          <w:rFonts w:hint="cs"/>
          <w:rtl/>
        </w:rPr>
        <w:t xml:space="preserve"> اثر </w:t>
      </w:r>
      <w:r w:rsidR="0020732A" w:rsidRPr="0025250D">
        <w:rPr>
          <w:rtl/>
        </w:rPr>
        <w:t>برتراند دو ژوونل</w:t>
      </w:r>
      <w:r w:rsidR="0020732A" w:rsidRPr="0025250D">
        <w:rPr>
          <w:vertAlign w:val="superscript"/>
          <w:rtl/>
        </w:rPr>
        <w:footnoteReference w:id="953"/>
      </w:r>
      <w:r w:rsidR="0020732A" w:rsidRPr="0025250D">
        <w:rPr>
          <w:rFonts w:hint="cs"/>
          <w:rtl/>
        </w:rPr>
        <w:t xml:space="preserve"> در سال 1967 و تصویر آینده</w:t>
      </w:r>
      <w:r w:rsidR="0020732A" w:rsidRPr="0025250D">
        <w:rPr>
          <w:vertAlign w:val="superscript"/>
          <w:rtl/>
        </w:rPr>
        <w:footnoteReference w:id="954"/>
      </w:r>
      <w:r w:rsidR="0020732A" w:rsidRPr="0025250D">
        <w:rPr>
          <w:rFonts w:hint="cs"/>
          <w:rtl/>
        </w:rPr>
        <w:t xml:space="preserve"> اثر </w:t>
      </w:r>
      <w:r w:rsidR="0020732A" w:rsidRPr="0025250D">
        <w:rPr>
          <w:rtl/>
        </w:rPr>
        <w:t>فرد پولاک</w:t>
      </w:r>
      <w:r w:rsidR="0020732A" w:rsidRPr="0025250D">
        <w:rPr>
          <w:vertAlign w:val="superscript"/>
          <w:rtl/>
        </w:rPr>
        <w:footnoteReference w:id="955"/>
      </w:r>
      <w:r w:rsidR="0020732A" w:rsidRPr="0025250D">
        <w:rPr>
          <w:rFonts w:hint="cs"/>
          <w:rtl/>
        </w:rPr>
        <w:t xml:space="preserve"> در سال 1973 </w:t>
      </w:r>
      <w:r w:rsidR="0020732A" w:rsidRPr="0025250D">
        <w:rPr>
          <w:rFonts w:cs="Times New Roman" w:hint="cs"/>
          <w:rtl/>
        </w:rPr>
        <w:t>–</w:t>
      </w:r>
      <w:r w:rsidR="0020732A" w:rsidRPr="0025250D">
        <w:rPr>
          <w:rFonts w:hint="cs"/>
          <w:rtl/>
        </w:rPr>
        <w:t xml:space="preserve"> دو مطالعه پیشتاز در مورد قدرت </w:t>
      </w:r>
      <w:r w:rsidR="0063099E" w:rsidRPr="0025250D">
        <w:rPr>
          <w:rtl/>
        </w:rPr>
        <w:t>«</w:t>
      </w:r>
      <w:r w:rsidR="0020732A" w:rsidRPr="0025250D">
        <w:rPr>
          <w:rFonts w:hint="cs"/>
          <w:rtl/>
        </w:rPr>
        <w:t>تصاویر آینده</w:t>
      </w:r>
      <w:r w:rsidR="0063099E" w:rsidRPr="0025250D">
        <w:rPr>
          <w:rtl/>
        </w:rPr>
        <w:t>»</w:t>
      </w:r>
      <w:r w:rsidR="0020732A" w:rsidRPr="0025250D">
        <w:rPr>
          <w:rFonts w:hint="cs"/>
          <w:rtl/>
        </w:rPr>
        <w:t xml:space="preserve"> </w:t>
      </w:r>
      <w:r w:rsidR="0020732A" w:rsidRPr="0025250D">
        <w:rPr>
          <w:rFonts w:cs="Times New Roman" w:hint="cs"/>
          <w:rtl/>
        </w:rPr>
        <w:t>–</w:t>
      </w:r>
      <w:r w:rsidR="0020732A" w:rsidRPr="0025250D">
        <w:rPr>
          <w:rFonts w:hint="cs"/>
          <w:rtl/>
        </w:rPr>
        <w:t xml:space="preserve"> فعالان </w:t>
      </w:r>
      <w:r w:rsidR="0020732A" w:rsidRPr="0025250D">
        <w:rPr>
          <w:rtl/>
        </w:rPr>
        <w:t>آینده‌نگاری</w:t>
      </w:r>
      <w:r w:rsidR="008D6F97" w:rsidRPr="0025250D">
        <w:rPr>
          <w:rtl/>
        </w:rPr>
        <w:t xml:space="preserve"> </w:t>
      </w:r>
      <w:r w:rsidR="0020732A" w:rsidRPr="0025250D">
        <w:rPr>
          <w:rFonts w:hint="cs"/>
          <w:rtl/>
        </w:rPr>
        <w:t>دریافتند که مهم‌ترین وظیفه ما کمک به کارسپارانمان برای یافتن تصاویر مثبت ارزشمند (</w:t>
      </w:r>
      <w:r w:rsidRPr="0025250D">
        <w:rPr>
          <w:rFonts w:hint="cs"/>
          <w:rtl/>
        </w:rPr>
        <w:t>چشم‌انداز</w:t>
      </w:r>
      <w:r w:rsidR="0020732A" w:rsidRPr="0025250D">
        <w:rPr>
          <w:rFonts w:hint="cs"/>
          <w:rtl/>
        </w:rPr>
        <w:t xml:space="preserve"> ها) برای حرکت رو به جلو و تصاویر منفی </w:t>
      </w:r>
      <w:r w:rsidR="00923DDB" w:rsidRPr="0025250D">
        <w:rPr>
          <w:rFonts w:hint="cs"/>
          <w:rtl/>
        </w:rPr>
        <w:t>باورپذیر</w:t>
      </w:r>
      <w:r w:rsidR="0020732A" w:rsidRPr="0025250D">
        <w:rPr>
          <w:rFonts w:hint="cs"/>
          <w:rtl/>
        </w:rPr>
        <w:t xml:space="preserve"> (شوک‌ها، موانع، دام‌ها، </w:t>
      </w:r>
      <w:r w:rsidR="0060055A" w:rsidRPr="0025250D">
        <w:rPr>
          <w:rFonts w:hint="cs"/>
          <w:rtl/>
        </w:rPr>
        <w:t>ویران‌شهر</w:t>
      </w:r>
      <w:r w:rsidR="0020732A" w:rsidRPr="0025250D">
        <w:rPr>
          <w:rFonts w:hint="cs"/>
          <w:rtl/>
        </w:rPr>
        <w:t xml:space="preserve"> ها) برای ممانعت فعال</w:t>
      </w:r>
      <w:r w:rsidR="0020732A" w:rsidRPr="0025250D">
        <w:rPr>
          <w:rFonts w:hint="cs"/>
        </w:rPr>
        <w:t>‌</w:t>
      </w:r>
      <w:r w:rsidR="0020732A" w:rsidRPr="0025250D">
        <w:rPr>
          <w:rFonts w:hint="cs"/>
          <w:rtl/>
        </w:rPr>
        <w:t xml:space="preserve"> می‌باشد.</w:t>
      </w:r>
    </w:p>
    <w:p w14:paraId="6F7FA6F3" w14:textId="648185C2" w:rsidR="0020732A" w:rsidRPr="0025250D" w:rsidRDefault="0020732A" w:rsidP="0020732A">
      <w:pPr>
        <w:rPr>
          <w:rtl/>
        </w:rPr>
      </w:pPr>
      <w:r w:rsidRPr="0025250D">
        <w:rPr>
          <w:rFonts w:hint="cs"/>
          <w:rtl/>
        </w:rPr>
        <w:t xml:space="preserve">یک </w:t>
      </w:r>
      <w:r w:rsidR="00B56611" w:rsidRPr="0025250D">
        <w:rPr>
          <w:rFonts w:hint="cs"/>
          <w:rtl/>
        </w:rPr>
        <w:t>چشم‌انداز</w:t>
      </w:r>
      <w:r w:rsidRPr="0025250D">
        <w:rPr>
          <w:rFonts w:hint="cs"/>
          <w:rtl/>
        </w:rPr>
        <w:t xml:space="preserve"> مثبت، یک گروه را به سمت یک آینده مشخص با قدرتی متناسب با باور گروه به ارزش و اعتبار این </w:t>
      </w:r>
      <w:r w:rsidR="00B56611" w:rsidRPr="0025250D">
        <w:rPr>
          <w:rFonts w:hint="cs"/>
          <w:rtl/>
        </w:rPr>
        <w:t>چشم‌انداز</w:t>
      </w:r>
      <w:r w:rsidRPr="0025250D">
        <w:rPr>
          <w:rFonts w:hint="cs"/>
          <w:rtl/>
        </w:rPr>
        <w:t xml:space="preserve"> و رهبری آن هدایت</w:t>
      </w:r>
      <w:r w:rsidRPr="0025250D">
        <w:rPr>
          <w:rFonts w:hint="cs"/>
        </w:rPr>
        <w:t>‌</w:t>
      </w:r>
      <w:r w:rsidRPr="0025250D">
        <w:rPr>
          <w:rFonts w:hint="cs"/>
          <w:rtl/>
        </w:rPr>
        <w:t xml:space="preserve"> می‌کند. اطمینان از ارزشمند بودن </w:t>
      </w:r>
      <w:r w:rsidR="00B56611" w:rsidRPr="0025250D">
        <w:rPr>
          <w:rFonts w:hint="cs"/>
          <w:rtl/>
        </w:rPr>
        <w:t>چشم‌انداز</w:t>
      </w:r>
      <w:r w:rsidRPr="0025250D">
        <w:rPr>
          <w:rFonts w:hint="cs"/>
          <w:rtl/>
        </w:rPr>
        <w:t xml:space="preserve"> هایمان و مرام رهبرانمان چیز کمی نیست. بسیاری از رهبران از </w:t>
      </w:r>
      <w:r w:rsidR="00B56611" w:rsidRPr="0025250D">
        <w:rPr>
          <w:rFonts w:hint="cs"/>
          <w:rtl/>
        </w:rPr>
        <w:t>چشم‌انداز</w:t>
      </w:r>
      <w:r w:rsidRPr="0025250D">
        <w:rPr>
          <w:rFonts w:hint="cs"/>
          <w:rtl/>
        </w:rPr>
        <w:t>‌ها، متقاعد سازی و تبلیغات</w:t>
      </w:r>
      <w:r w:rsidRPr="0025250D">
        <w:rPr>
          <w:rtl/>
        </w:rPr>
        <w:t xml:space="preserve"> </w:t>
      </w:r>
      <w:r w:rsidRPr="0025250D">
        <w:rPr>
          <w:rFonts w:hint="cs"/>
          <w:rtl/>
        </w:rPr>
        <w:t>سیاسی برای حرکت دادن و هدایت گروه‌ها به سمت آینده‌هایی که غیر انسانی، ناپایدار یا غیر عملی هستند، استفاده</w:t>
      </w:r>
      <w:r w:rsidRPr="0025250D">
        <w:rPr>
          <w:rFonts w:hint="cs"/>
        </w:rPr>
        <w:t>‌</w:t>
      </w:r>
      <w:r w:rsidRPr="0025250D">
        <w:rPr>
          <w:rFonts w:hint="cs"/>
          <w:rtl/>
        </w:rPr>
        <w:t xml:space="preserve"> می‌کنند. یک </w:t>
      </w:r>
      <w:r w:rsidR="00701E03" w:rsidRPr="0025250D">
        <w:rPr>
          <w:rFonts w:hint="cs"/>
          <w:rtl/>
        </w:rPr>
        <w:t>راهبرد</w:t>
      </w:r>
      <w:r w:rsidRPr="0025250D">
        <w:rPr>
          <w:rFonts w:hint="cs"/>
          <w:rtl/>
        </w:rPr>
        <w:t xml:space="preserve"> برای اطمینان از ایجاد </w:t>
      </w:r>
      <w:r w:rsidR="00B56611" w:rsidRPr="0025250D">
        <w:rPr>
          <w:rFonts w:hint="cs"/>
          <w:rtl/>
        </w:rPr>
        <w:t>چشم‌انداز</w:t>
      </w:r>
      <w:r w:rsidRPr="0025250D">
        <w:rPr>
          <w:rFonts w:hint="cs"/>
          <w:rtl/>
        </w:rPr>
        <w:t>‌های ارزشمند، هم راستاسازی آن‌ها با اهداف، ارزش‌ها، اخلاق، احساسات و هدف نهایی موجود در گروه و اطمینان از این</w:t>
      </w:r>
      <w:r w:rsidRPr="0025250D">
        <w:rPr>
          <w:rFonts w:hint="cs"/>
        </w:rPr>
        <w:t>‌</w:t>
      </w:r>
      <w:r w:rsidRPr="0025250D">
        <w:rPr>
          <w:rFonts w:hint="cs"/>
          <w:rtl/>
        </w:rPr>
        <w:t xml:space="preserve"> می‌باشد که اهداف و ارزش‌ها تا حد امکان فراگیر هستند. یک </w:t>
      </w:r>
      <w:r w:rsidR="00701E03" w:rsidRPr="0025250D">
        <w:rPr>
          <w:rFonts w:hint="cs"/>
          <w:rtl/>
        </w:rPr>
        <w:t>راهبرد</w:t>
      </w:r>
      <w:r w:rsidRPr="0025250D">
        <w:rPr>
          <w:rFonts w:hint="cs"/>
          <w:rtl/>
        </w:rPr>
        <w:t xml:space="preserve"> دیگر قرار دادن </w:t>
      </w:r>
      <w:r w:rsidR="00B56611" w:rsidRPr="0025250D">
        <w:rPr>
          <w:rFonts w:hint="cs"/>
          <w:rtl/>
        </w:rPr>
        <w:t>چشم‌انداز</w:t>
      </w:r>
      <w:r w:rsidRPr="0025250D">
        <w:rPr>
          <w:rFonts w:hint="cs"/>
          <w:rtl/>
        </w:rPr>
        <w:t>هایمان در معرض بازخورد و انتقاد از سوی هر کسی</w:t>
      </w:r>
      <w:r w:rsidR="00B0171C" w:rsidRPr="0025250D">
        <w:rPr>
          <w:rFonts w:hint="cs"/>
          <w:rtl/>
        </w:rPr>
        <w:t xml:space="preserve"> می‌باشد</w:t>
      </w:r>
      <w:r w:rsidRPr="0025250D">
        <w:rPr>
          <w:rFonts w:hint="cs"/>
          <w:rtl/>
        </w:rPr>
        <w:t xml:space="preserve"> که توسط آن‌ها تحت تأثیر قرار</w:t>
      </w:r>
      <w:r w:rsidRPr="0025250D">
        <w:rPr>
          <w:rFonts w:hint="cs"/>
        </w:rPr>
        <w:t>‌</w:t>
      </w:r>
      <w:r w:rsidRPr="0025250D">
        <w:rPr>
          <w:rFonts w:hint="cs"/>
          <w:rtl/>
        </w:rPr>
        <w:t xml:space="preserve"> می‌گیرد. یک </w:t>
      </w:r>
      <w:r w:rsidR="00701E03" w:rsidRPr="0025250D">
        <w:rPr>
          <w:rFonts w:hint="cs"/>
          <w:rtl/>
        </w:rPr>
        <w:t>راهبرد</w:t>
      </w:r>
      <w:r w:rsidRPr="0025250D">
        <w:rPr>
          <w:rFonts w:hint="cs"/>
          <w:rtl/>
        </w:rPr>
        <w:t xml:space="preserve"> سوم جستجو برای یافتن بروندادهایی با بیشترین مجموع مثبت است که</w:t>
      </w:r>
      <w:r w:rsidRPr="0025250D">
        <w:rPr>
          <w:rFonts w:hint="cs"/>
        </w:rPr>
        <w:t>‌</w:t>
      </w:r>
      <w:r w:rsidRPr="0025250D">
        <w:rPr>
          <w:rFonts w:hint="cs"/>
          <w:rtl/>
        </w:rPr>
        <w:t xml:space="preserve"> می‌توانیم در افق زمانی </w:t>
      </w:r>
      <w:r w:rsidR="00B56611" w:rsidRPr="0025250D">
        <w:rPr>
          <w:rFonts w:hint="cs"/>
          <w:rtl/>
        </w:rPr>
        <w:t>چشم‌انداز</w:t>
      </w:r>
      <w:r w:rsidRPr="0025250D">
        <w:rPr>
          <w:rFonts w:hint="cs"/>
          <w:rtl/>
        </w:rPr>
        <w:t xml:space="preserve">مان حاصل کنیم. برخی اوقات نیاز داریم که افق‌های زمانی خود را برای دیدن یک </w:t>
      </w:r>
      <w:r w:rsidR="00B56611" w:rsidRPr="0025250D">
        <w:rPr>
          <w:rFonts w:hint="cs"/>
          <w:rtl/>
        </w:rPr>
        <w:t>چشم‌انداز</w:t>
      </w:r>
      <w:r w:rsidRPr="0025250D">
        <w:rPr>
          <w:rFonts w:hint="cs"/>
          <w:rtl/>
        </w:rPr>
        <w:t xml:space="preserve"> مشخصا</w:t>
      </w:r>
      <w:r w:rsidR="00B0171C" w:rsidRPr="0025250D">
        <w:rPr>
          <w:rFonts w:hint="cs"/>
          <w:rtl/>
        </w:rPr>
        <w:t>ً</w:t>
      </w:r>
      <w:r w:rsidRPr="0025250D">
        <w:rPr>
          <w:rFonts w:hint="cs"/>
          <w:rtl/>
        </w:rPr>
        <w:t xml:space="preserve"> متقاعد کننده گسترش دهیم. در زمان‌های دیگر،</w:t>
      </w:r>
      <w:r w:rsidRPr="0025250D">
        <w:rPr>
          <w:rFonts w:hint="cs"/>
        </w:rPr>
        <w:t>‌</w:t>
      </w:r>
      <w:r w:rsidRPr="0025250D">
        <w:rPr>
          <w:rFonts w:hint="cs"/>
          <w:rtl/>
        </w:rPr>
        <w:t xml:space="preserve"> می‌توانیم به شکل مفیدی آن را کوتاه کنیم و تیممان را برای رسیدن به اهدافی که قبلا فکر</w:t>
      </w:r>
      <w:r w:rsidRPr="0025250D">
        <w:rPr>
          <w:rFonts w:hint="cs"/>
        </w:rPr>
        <w:t>‌</w:t>
      </w:r>
      <w:r w:rsidRPr="0025250D">
        <w:rPr>
          <w:rFonts w:hint="cs"/>
          <w:rtl/>
        </w:rPr>
        <w:t xml:space="preserve"> می‌کردیم در این افق‌های زمانی غیر قابل دسترس هستند،</w:t>
      </w:r>
      <w:r w:rsidR="008D6F97" w:rsidRPr="0025250D">
        <w:rPr>
          <w:rtl/>
        </w:rPr>
        <w:t xml:space="preserve"> </w:t>
      </w:r>
      <w:r w:rsidRPr="0025250D">
        <w:rPr>
          <w:rFonts w:hint="cs"/>
          <w:rtl/>
        </w:rPr>
        <w:t>متمرکز سازیم.</w:t>
      </w:r>
    </w:p>
    <w:p w14:paraId="0F34993D" w14:textId="47E9F737" w:rsidR="0020732A" w:rsidRPr="0025250D" w:rsidRDefault="0020732A" w:rsidP="0020732A">
      <w:pPr>
        <w:rPr>
          <w:rtl/>
        </w:rPr>
      </w:pPr>
      <w:r w:rsidRPr="0025250D">
        <w:rPr>
          <w:rFonts w:hint="cs"/>
          <w:rtl/>
        </w:rPr>
        <w:t xml:space="preserve">با توجه به چالش‌های </w:t>
      </w:r>
      <w:r w:rsidR="00EE4B64" w:rsidRPr="0025250D">
        <w:rPr>
          <w:rFonts w:hint="cs"/>
          <w:rtl/>
        </w:rPr>
        <w:t>چشم‌اندازسازی</w:t>
      </w:r>
      <w:r w:rsidRPr="0025250D">
        <w:rPr>
          <w:rFonts w:hint="cs"/>
          <w:rtl/>
        </w:rPr>
        <w:t xml:space="preserve">، با یک فرهنگ </w:t>
      </w:r>
      <w:r w:rsidRPr="0025250D">
        <w:rPr>
          <w:rtl/>
        </w:rPr>
        <w:t>آینده‌نگاری</w:t>
      </w:r>
      <w:r w:rsidRPr="0025250D">
        <w:rPr>
          <w:rFonts w:hint="cs"/>
          <w:rtl/>
        </w:rPr>
        <w:t xml:space="preserve"> بهتر چه </w:t>
      </w:r>
      <w:r w:rsidR="00B56611" w:rsidRPr="0025250D">
        <w:rPr>
          <w:rFonts w:hint="cs"/>
          <w:rtl/>
        </w:rPr>
        <w:t>چشم‌انداز</w:t>
      </w:r>
      <w:r w:rsidRPr="0025250D">
        <w:rPr>
          <w:rFonts w:hint="cs"/>
          <w:rtl/>
        </w:rPr>
        <w:t xml:space="preserve">‌هایی می‌توانیم ارائه دهیم؟ مشخصا، فرهنگ </w:t>
      </w:r>
      <w:r w:rsidRPr="0025250D">
        <w:rPr>
          <w:rtl/>
        </w:rPr>
        <w:t>آینده‌نگاری</w:t>
      </w:r>
      <w:r w:rsidRPr="0025250D">
        <w:rPr>
          <w:rFonts w:hint="cs"/>
          <w:rtl/>
        </w:rPr>
        <w:t xml:space="preserve"> خوب با شناخت ارزش بالای آن آغاز</w:t>
      </w:r>
      <w:r w:rsidRPr="0025250D">
        <w:rPr>
          <w:rFonts w:hint="cs"/>
        </w:rPr>
        <w:t>‌</w:t>
      </w:r>
      <w:r w:rsidRPr="0025250D">
        <w:rPr>
          <w:rFonts w:hint="cs"/>
          <w:rtl/>
        </w:rPr>
        <w:t xml:space="preserve"> می‌شود. هرچه تعداد بیش‌تری از ما باور داشته باشیم، بحث کنیم و آموزش دهیم که آینده اهمیت دارد، بیش‌تر آن را در زندگی خود ادغام و یکپارچه خواهیم کرد. فرهنگ‌های </w:t>
      </w:r>
      <w:r w:rsidRPr="0025250D">
        <w:rPr>
          <w:rtl/>
        </w:rPr>
        <w:t>آینده‌نگاری</w:t>
      </w:r>
      <w:r w:rsidRPr="0025250D">
        <w:rPr>
          <w:rFonts w:hint="cs"/>
          <w:rtl/>
        </w:rPr>
        <w:t xml:space="preserve"> در تیم‌ها، سازمان‌ها و جوامع تشخیص</w:t>
      </w:r>
      <w:r w:rsidRPr="0025250D">
        <w:rPr>
          <w:rFonts w:hint="cs"/>
        </w:rPr>
        <w:t>‌</w:t>
      </w:r>
      <w:r w:rsidRPr="0025250D">
        <w:rPr>
          <w:rFonts w:hint="cs"/>
          <w:rtl/>
        </w:rPr>
        <w:t xml:space="preserve"> می‌دهند که راه‌های متعددی برای مدیریت آینده از جمله </w:t>
      </w:r>
      <w:r w:rsidR="00D92F6E" w:rsidRPr="0025250D">
        <w:rPr>
          <w:rFonts w:hint="cs"/>
          <w:rtl/>
        </w:rPr>
        <w:t>پیش‌بین</w:t>
      </w:r>
      <w:r w:rsidRPr="0025250D">
        <w:rPr>
          <w:rFonts w:hint="cs"/>
          <w:rtl/>
        </w:rPr>
        <w:t xml:space="preserve">ی، </w:t>
      </w:r>
      <w:r w:rsidR="00FB6A7E" w:rsidRPr="0025250D">
        <w:rPr>
          <w:rFonts w:hint="cs"/>
          <w:rtl/>
        </w:rPr>
        <w:t>پیش‌نگری</w:t>
      </w:r>
      <w:r w:rsidRPr="0025250D">
        <w:rPr>
          <w:rFonts w:hint="cs"/>
          <w:rtl/>
        </w:rPr>
        <w:t>، هوشمندی و اطلاعات، تضمین، حس</w:t>
      </w:r>
      <w:r w:rsidRPr="0025250D">
        <w:rPr>
          <w:rtl/>
        </w:rPr>
        <w:t xml:space="preserve"> </w:t>
      </w:r>
      <w:r w:rsidRPr="0025250D">
        <w:rPr>
          <w:rFonts w:hint="cs"/>
          <w:rtl/>
        </w:rPr>
        <w:t xml:space="preserve">کردن، واکنش سریع، </w:t>
      </w:r>
      <w:r w:rsidR="00B124DE" w:rsidRPr="0025250D">
        <w:rPr>
          <w:rFonts w:hint="cs"/>
          <w:rtl/>
        </w:rPr>
        <w:t>برنامه‌ریزی</w:t>
      </w:r>
      <w:r w:rsidRPr="0025250D">
        <w:rPr>
          <w:rFonts w:hint="cs"/>
          <w:rtl/>
        </w:rPr>
        <w:t xml:space="preserve">، </w:t>
      </w:r>
      <w:r w:rsidR="00EE4B64" w:rsidRPr="0025250D">
        <w:rPr>
          <w:rFonts w:hint="cs"/>
          <w:rtl/>
        </w:rPr>
        <w:t>چشم‌اندازسازی</w:t>
      </w:r>
      <w:r w:rsidRPr="0025250D">
        <w:rPr>
          <w:rFonts w:hint="cs"/>
          <w:rtl/>
        </w:rPr>
        <w:t xml:space="preserve">، نوآوری و </w:t>
      </w:r>
      <w:r w:rsidR="00701E03" w:rsidRPr="0025250D">
        <w:rPr>
          <w:rFonts w:hint="cs"/>
          <w:rtl/>
        </w:rPr>
        <w:t>راهبرد</w:t>
      </w:r>
      <w:r w:rsidRPr="0025250D">
        <w:rPr>
          <w:rFonts w:hint="cs"/>
          <w:rtl/>
        </w:rPr>
        <w:t xml:space="preserve"> وجود دارند. چنین فرهنگ‌هایی می‌دانند که با وجود این‌که ما هنوز در درک این‌که کدام روش‌ها برای کدام بافت‌ها مناسب هستند در ابتدای راه هستیم، با در اولویت قراردادن </w:t>
      </w:r>
      <w:r w:rsidRPr="0025250D">
        <w:rPr>
          <w:rtl/>
        </w:rPr>
        <w:t>آینده‌نگاری</w:t>
      </w:r>
      <w:r w:rsidRPr="0025250D">
        <w:rPr>
          <w:rFonts w:hint="cs"/>
          <w:rtl/>
        </w:rPr>
        <w:t>، به شکل اجتناب ناپذیری در آن بهتر</w:t>
      </w:r>
      <w:r w:rsidRPr="0025250D">
        <w:rPr>
          <w:rFonts w:hint="cs"/>
        </w:rPr>
        <w:t>‌</w:t>
      </w:r>
      <w:r w:rsidRPr="0025250D">
        <w:rPr>
          <w:rFonts w:hint="cs"/>
          <w:rtl/>
        </w:rPr>
        <w:t xml:space="preserve"> می‌شویم و ابزارهای خود را گسترش</w:t>
      </w:r>
      <w:r w:rsidRPr="0025250D">
        <w:rPr>
          <w:rFonts w:hint="cs"/>
        </w:rPr>
        <w:t>‌</w:t>
      </w:r>
      <w:r w:rsidRPr="0025250D">
        <w:rPr>
          <w:rFonts w:hint="cs"/>
          <w:rtl/>
        </w:rPr>
        <w:t xml:space="preserve"> می‌دهیم و مجموعه داده‌های خود را بهبود</w:t>
      </w:r>
      <w:r w:rsidRPr="0025250D">
        <w:rPr>
          <w:rFonts w:hint="cs"/>
        </w:rPr>
        <w:t>‌</w:t>
      </w:r>
      <w:r w:rsidRPr="0025250D">
        <w:rPr>
          <w:rFonts w:hint="cs"/>
          <w:rtl/>
        </w:rPr>
        <w:t xml:space="preserve"> می‌بخشیم. چنین فرهنگ‌هایی همچنین</w:t>
      </w:r>
      <w:r w:rsidRPr="0025250D">
        <w:rPr>
          <w:rFonts w:hint="cs"/>
        </w:rPr>
        <w:t>‌</w:t>
      </w:r>
      <w:r w:rsidRPr="0025250D">
        <w:rPr>
          <w:rFonts w:hint="cs"/>
          <w:rtl/>
        </w:rPr>
        <w:t xml:space="preserve"> می‌دانند که آینده ما خیلی مهم‌تر از آن است که آن را به هر نماینده‌ای بجز خودمان واگذار کنیم.</w:t>
      </w:r>
    </w:p>
    <w:p w14:paraId="6FE76E6E" w14:textId="7F8DFA98" w:rsidR="0020732A" w:rsidRPr="0025250D" w:rsidRDefault="007118DE" w:rsidP="0020732A">
      <w:pPr>
        <w:rPr>
          <w:rtl/>
        </w:rPr>
      </w:pPr>
      <w:r w:rsidRPr="0025250D">
        <w:rPr>
          <w:rFonts w:hint="cs"/>
          <w:rtl/>
        </w:rPr>
        <w:t>همان‌طور</w:t>
      </w:r>
      <w:r w:rsidR="0020732A" w:rsidRPr="0025250D">
        <w:rPr>
          <w:rFonts w:hint="cs"/>
          <w:rtl/>
        </w:rPr>
        <w:t xml:space="preserve"> که </w:t>
      </w:r>
      <w:r w:rsidR="0020732A" w:rsidRPr="0025250D">
        <w:rPr>
          <w:rtl/>
        </w:rPr>
        <w:t>پ</w:t>
      </w:r>
      <w:r w:rsidR="0020732A" w:rsidRPr="0025250D">
        <w:rPr>
          <w:rFonts w:hint="cs"/>
          <w:rtl/>
        </w:rPr>
        <w:t>ی</w:t>
      </w:r>
      <w:r w:rsidR="0020732A" w:rsidRPr="0025250D">
        <w:rPr>
          <w:rFonts w:hint="eastAsia"/>
          <w:rtl/>
        </w:rPr>
        <w:t>تر</w:t>
      </w:r>
      <w:r w:rsidR="0020732A" w:rsidRPr="0025250D">
        <w:rPr>
          <w:rtl/>
        </w:rPr>
        <w:t xml:space="preserve"> ب</w:t>
      </w:r>
      <w:r w:rsidR="0020732A" w:rsidRPr="0025250D">
        <w:rPr>
          <w:rFonts w:hint="cs"/>
          <w:rtl/>
        </w:rPr>
        <w:t>ی</w:t>
      </w:r>
      <w:r w:rsidR="0020732A" w:rsidRPr="0025250D">
        <w:rPr>
          <w:rFonts w:hint="eastAsia"/>
          <w:rtl/>
        </w:rPr>
        <w:t>شاپ</w:t>
      </w:r>
      <w:r w:rsidR="0020732A" w:rsidRPr="0025250D">
        <w:rPr>
          <w:vertAlign w:val="superscript"/>
          <w:rtl/>
        </w:rPr>
        <w:footnoteReference w:id="956"/>
      </w:r>
      <w:r w:rsidR="0020732A" w:rsidRPr="0025250D">
        <w:rPr>
          <w:rFonts w:hint="cs"/>
          <w:rtl/>
        </w:rPr>
        <w:t xml:space="preserve"> در طرح </w:t>
      </w:r>
      <w:r w:rsidR="0063099E" w:rsidRPr="0025250D">
        <w:rPr>
          <w:rtl/>
        </w:rPr>
        <w:t>«</w:t>
      </w:r>
      <w:r w:rsidR="0020732A" w:rsidRPr="0025250D">
        <w:rPr>
          <w:rFonts w:hint="cs"/>
          <w:rtl/>
        </w:rPr>
        <w:t>آینده را آموزش بدهید</w:t>
      </w:r>
      <w:r w:rsidR="0020732A" w:rsidRPr="0025250D">
        <w:rPr>
          <w:vertAlign w:val="superscript"/>
          <w:rtl/>
        </w:rPr>
        <w:footnoteReference w:id="957"/>
      </w:r>
      <w:r w:rsidR="0063099E" w:rsidRPr="0025250D">
        <w:rPr>
          <w:rtl/>
        </w:rPr>
        <w:t>»</w:t>
      </w:r>
      <w:r w:rsidR="0020732A" w:rsidRPr="0025250D">
        <w:rPr>
          <w:rFonts w:hint="cs"/>
          <w:rtl/>
        </w:rPr>
        <w:t xml:space="preserve"> پیشنهاد</w:t>
      </w:r>
      <w:r w:rsidR="0020732A" w:rsidRPr="0025250D">
        <w:rPr>
          <w:rFonts w:hint="cs"/>
        </w:rPr>
        <w:t>‌</w:t>
      </w:r>
      <w:r w:rsidR="0020732A" w:rsidRPr="0025250D">
        <w:rPr>
          <w:rFonts w:hint="cs"/>
          <w:rtl/>
        </w:rPr>
        <w:t xml:space="preserve"> می‌کند، تصور کنید که اگر </w:t>
      </w:r>
      <w:r w:rsidR="00B124DE" w:rsidRPr="0025250D">
        <w:rPr>
          <w:rFonts w:hint="cs"/>
          <w:rtl/>
        </w:rPr>
        <w:t>آینده‌اندیش</w:t>
      </w:r>
      <w:r w:rsidR="0020732A" w:rsidRPr="0025250D">
        <w:rPr>
          <w:rFonts w:hint="cs"/>
          <w:rtl/>
        </w:rPr>
        <w:t xml:space="preserve">ی، بحث و </w:t>
      </w:r>
      <w:r w:rsidR="00EE4B64" w:rsidRPr="0025250D">
        <w:rPr>
          <w:rFonts w:hint="cs"/>
          <w:rtl/>
        </w:rPr>
        <w:t>چشم‌اندازسازی</w:t>
      </w:r>
      <w:r w:rsidR="0020732A" w:rsidRPr="0025250D">
        <w:rPr>
          <w:rFonts w:hint="cs"/>
          <w:rtl/>
        </w:rPr>
        <w:t xml:space="preserve"> در </w:t>
      </w:r>
      <w:r w:rsidR="008D6F97" w:rsidRPr="0025250D">
        <w:rPr>
          <w:rFonts w:hint="cs"/>
          <w:rtl/>
        </w:rPr>
        <w:t>سامانه‌</w:t>
      </w:r>
      <w:r w:rsidR="0020732A" w:rsidRPr="0025250D">
        <w:rPr>
          <w:rFonts w:hint="cs"/>
          <w:rtl/>
        </w:rPr>
        <w:t>‌های آموزشی ما رایج بودند، به طرز معجزه آسایی، برخی کودکان</w:t>
      </w:r>
      <w:r w:rsidR="007B3B35" w:rsidRPr="0025250D">
        <w:rPr>
          <w:rFonts w:hint="cs"/>
          <w:rtl/>
        </w:rPr>
        <w:t xml:space="preserve"> حتی در سن دوسالگی</w:t>
      </w:r>
      <w:r w:rsidR="0020732A" w:rsidRPr="0025250D">
        <w:rPr>
          <w:rFonts w:hint="cs"/>
          <w:rtl/>
        </w:rPr>
        <w:t xml:space="preserve"> در مورد این‌که در چند لحظه بعد یا فردا چه کاری ممکن است انجام دهند صحبت</w:t>
      </w:r>
      <w:r w:rsidR="0020732A" w:rsidRPr="0025250D">
        <w:rPr>
          <w:rFonts w:hint="cs"/>
        </w:rPr>
        <w:t>‌</w:t>
      </w:r>
      <w:r w:rsidR="0020732A" w:rsidRPr="0025250D">
        <w:rPr>
          <w:rFonts w:hint="cs"/>
          <w:rtl/>
        </w:rPr>
        <w:t xml:space="preserve"> </w:t>
      </w:r>
      <w:r w:rsidR="007B3B35" w:rsidRPr="0025250D">
        <w:rPr>
          <w:rFonts w:hint="cs"/>
          <w:rtl/>
        </w:rPr>
        <w:t>می‌کردند</w:t>
      </w:r>
      <w:r w:rsidR="0020732A" w:rsidRPr="0025250D">
        <w:rPr>
          <w:rFonts w:hint="cs"/>
          <w:rtl/>
        </w:rPr>
        <w:t xml:space="preserve">. </w:t>
      </w:r>
      <w:r w:rsidR="00B124DE" w:rsidRPr="0025250D">
        <w:rPr>
          <w:rFonts w:hint="cs"/>
          <w:rtl/>
        </w:rPr>
        <w:t>آینده‌اندیش</w:t>
      </w:r>
      <w:r w:rsidR="0020732A" w:rsidRPr="0025250D">
        <w:rPr>
          <w:rFonts w:hint="cs"/>
          <w:rtl/>
        </w:rPr>
        <w:t>ی ما به همین زودی آغاز</w:t>
      </w:r>
      <w:r w:rsidR="0020732A" w:rsidRPr="0025250D">
        <w:rPr>
          <w:rFonts w:hint="cs"/>
        </w:rPr>
        <w:t>‌</w:t>
      </w:r>
      <w:r w:rsidR="0020732A" w:rsidRPr="0025250D">
        <w:rPr>
          <w:rFonts w:hint="cs"/>
          <w:rtl/>
        </w:rPr>
        <w:t xml:space="preserve"> می‌شود.</w:t>
      </w:r>
      <w:r w:rsidR="0020732A" w:rsidRPr="0025250D">
        <w:rPr>
          <w:rFonts w:hint="cs"/>
        </w:rPr>
        <w:t>‌</w:t>
      </w:r>
      <w:r w:rsidR="0020732A" w:rsidRPr="0025250D">
        <w:rPr>
          <w:rFonts w:hint="cs"/>
          <w:rtl/>
        </w:rPr>
        <w:t xml:space="preserve"> می‌توانیم این قدرت ماورایی را پرورش دهیم، ارزش والای آن را بشناسیم و به‌صورت ارادی و هدفمند تکامل و توسعه آن را پرورش دهیم. </w:t>
      </w:r>
      <w:r w:rsidR="00D92F6E" w:rsidRPr="0025250D">
        <w:rPr>
          <w:rFonts w:hint="cs"/>
          <w:rtl/>
        </w:rPr>
        <w:t>آینده‌پژوه</w:t>
      </w:r>
      <w:r w:rsidR="0020732A" w:rsidRPr="0025250D">
        <w:rPr>
          <w:rFonts w:hint="cs"/>
          <w:rtl/>
        </w:rPr>
        <w:t xml:space="preserve"> بزرگ </w:t>
      </w:r>
      <w:r w:rsidR="0020732A" w:rsidRPr="0025250D">
        <w:rPr>
          <w:rtl/>
        </w:rPr>
        <w:t>جان مک ه</w:t>
      </w:r>
      <w:r w:rsidR="0020732A" w:rsidRPr="0025250D">
        <w:rPr>
          <w:rFonts w:hint="cs"/>
          <w:rtl/>
        </w:rPr>
        <w:t>ی</w:t>
      </w:r>
      <w:r w:rsidR="0020732A" w:rsidRPr="0025250D">
        <w:rPr>
          <w:rFonts w:hint="eastAsia"/>
          <w:rtl/>
        </w:rPr>
        <w:t>ل</w:t>
      </w:r>
      <w:r w:rsidR="0020732A" w:rsidRPr="0025250D">
        <w:rPr>
          <w:vertAlign w:val="superscript"/>
          <w:rtl/>
        </w:rPr>
        <w:footnoteReference w:id="958"/>
      </w:r>
      <w:r w:rsidR="0020732A" w:rsidRPr="0025250D">
        <w:rPr>
          <w:rFonts w:hint="cs"/>
          <w:rtl/>
        </w:rPr>
        <w:t xml:space="preserve"> در کتاب آینده آینده</w:t>
      </w:r>
      <w:r w:rsidR="0020732A" w:rsidRPr="0025250D">
        <w:rPr>
          <w:vertAlign w:val="superscript"/>
          <w:rtl/>
        </w:rPr>
        <w:footnoteReference w:id="959"/>
      </w:r>
      <w:r w:rsidR="0020732A" w:rsidRPr="0025250D">
        <w:rPr>
          <w:rFonts w:hint="cs"/>
          <w:rtl/>
        </w:rPr>
        <w:t xml:space="preserve"> در سال 1969، به ما گفت که </w:t>
      </w:r>
      <w:r w:rsidR="00B124DE" w:rsidRPr="0025250D">
        <w:rPr>
          <w:rFonts w:hint="cs"/>
          <w:rtl/>
        </w:rPr>
        <w:t>آینده‌اندیش</w:t>
      </w:r>
      <w:r w:rsidR="0020732A" w:rsidRPr="0025250D">
        <w:rPr>
          <w:rFonts w:hint="cs"/>
          <w:rtl/>
        </w:rPr>
        <w:t xml:space="preserve">ی باید در کودکی در همه برنامه‌های درسی 12 ساله آموزشی ادغام شود. هر چه زود‌تر آغاز کنیم، هم در تلاش‌های </w:t>
      </w:r>
      <w:r w:rsidR="001A3F0A" w:rsidRPr="0025250D">
        <w:rPr>
          <w:rFonts w:hint="cs"/>
          <w:rtl/>
        </w:rPr>
        <w:t>فردی</w:t>
      </w:r>
      <w:r w:rsidR="0020732A" w:rsidRPr="0025250D">
        <w:rPr>
          <w:rFonts w:hint="cs"/>
          <w:rtl/>
        </w:rPr>
        <w:t xml:space="preserve"> و هم در تلاش‌های جمعی در </w:t>
      </w:r>
      <w:r w:rsidR="0020732A" w:rsidRPr="0025250D">
        <w:rPr>
          <w:rtl/>
        </w:rPr>
        <w:t>آینده‌نگاری</w:t>
      </w:r>
      <w:r w:rsidR="0020732A" w:rsidRPr="0025250D">
        <w:rPr>
          <w:rFonts w:hint="cs"/>
          <w:rtl/>
        </w:rPr>
        <w:t xml:space="preserve"> و عمل بهتر</w:t>
      </w:r>
      <w:r w:rsidR="0020732A" w:rsidRPr="0025250D">
        <w:rPr>
          <w:rFonts w:hint="cs"/>
        </w:rPr>
        <w:t>‌</w:t>
      </w:r>
      <w:r w:rsidR="0020732A" w:rsidRPr="0025250D">
        <w:rPr>
          <w:rFonts w:hint="cs"/>
          <w:rtl/>
        </w:rPr>
        <w:t xml:space="preserve"> می‌شویم.</w:t>
      </w:r>
    </w:p>
    <w:p w14:paraId="1C8477C9" w14:textId="5F9B67F0" w:rsidR="0020732A" w:rsidRPr="0025250D" w:rsidRDefault="0020732A" w:rsidP="0020732A">
      <w:pPr>
        <w:rPr>
          <w:rtl/>
        </w:rPr>
      </w:pPr>
      <w:r w:rsidRPr="0025250D">
        <w:rPr>
          <w:rFonts w:hint="cs"/>
          <w:rtl/>
        </w:rPr>
        <w:lastRenderedPageBreak/>
        <w:t xml:space="preserve">آینده‌ای را تصور کنید که هم سازمان‌های باتجربه و هم استارتاپ‌ها دریابند که اصلاح، آزمایش و بهبود فرایند </w:t>
      </w:r>
      <w:r w:rsidRPr="0025250D">
        <w:rPr>
          <w:rtl/>
        </w:rPr>
        <w:t>آینده‌نگاری</w:t>
      </w:r>
      <w:r w:rsidRPr="0025250D">
        <w:rPr>
          <w:rFonts w:hint="cs"/>
          <w:rtl/>
        </w:rPr>
        <w:t xml:space="preserve"> شان محصولات و خدمات بسیار نوآورانه‌تر، سودآور‌تر و پایدار تری را فراهم خواهد کرد. تصور کنید که افراد آکادمیک و تحلیلگران ما بیاموزند که چگونه ارزش ازدست</w:t>
      </w:r>
      <w:r w:rsidR="007B3B35" w:rsidRPr="0025250D">
        <w:rPr>
          <w:rFonts w:hint="cs"/>
          <w:rtl/>
        </w:rPr>
        <w:t>‌</w:t>
      </w:r>
      <w:r w:rsidRPr="0025250D">
        <w:rPr>
          <w:rFonts w:hint="cs"/>
          <w:rtl/>
        </w:rPr>
        <w:t xml:space="preserve">رفته در زمانی که از فرایند‌های </w:t>
      </w:r>
      <w:r w:rsidRPr="0025250D">
        <w:rPr>
          <w:rtl/>
        </w:rPr>
        <w:t>آینده‌نگاری</w:t>
      </w:r>
      <w:r w:rsidRPr="0025250D">
        <w:rPr>
          <w:rFonts w:hint="cs"/>
          <w:rtl/>
        </w:rPr>
        <w:t xml:space="preserve"> خوب استفاده نکنیم را </w:t>
      </w:r>
      <w:r w:rsidR="007B3B35" w:rsidRPr="0025250D">
        <w:rPr>
          <w:rFonts w:hint="cs"/>
          <w:rtl/>
        </w:rPr>
        <w:t>برآورد نمایند</w:t>
      </w:r>
      <w:r w:rsidRPr="0025250D">
        <w:rPr>
          <w:rFonts w:hint="cs"/>
          <w:rtl/>
        </w:rPr>
        <w:t>. این موارد ممکن امروزه در حال پدیداری هستند و توسط ابزارها و پلتفرم‌های دیجیتالی جدید ما به سرعت شتاب</w:t>
      </w:r>
      <w:r w:rsidRPr="0025250D">
        <w:rPr>
          <w:rFonts w:hint="cs"/>
        </w:rPr>
        <w:t>‌</w:t>
      </w:r>
      <w:r w:rsidRPr="0025250D">
        <w:rPr>
          <w:rFonts w:hint="cs"/>
          <w:rtl/>
        </w:rPr>
        <w:t xml:space="preserve"> می‌گیرند.</w:t>
      </w:r>
    </w:p>
    <w:p w14:paraId="20F41D62" w14:textId="5B2570A8" w:rsidR="0020732A" w:rsidRPr="0025250D" w:rsidRDefault="0020732A" w:rsidP="0020732A">
      <w:pPr>
        <w:rPr>
          <w:rtl/>
        </w:rPr>
      </w:pPr>
      <w:r w:rsidRPr="0025250D">
        <w:rPr>
          <w:rFonts w:hint="cs"/>
          <w:rtl/>
        </w:rPr>
        <w:t>امروزه، در دنیایی با فراوانی فناوری‌های دیجیتال زندگی</w:t>
      </w:r>
      <w:r w:rsidRPr="0025250D">
        <w:rPr>
          <w:rFonts w:hint="cs"/>
        </w:rPr>
        <w:t>‌</w:t>
      </w:r>
      <w:r w:rsidRPr="0025250D">
        <w:rPr>
          <w:rFonts w:hint="cs"/>
          <w:rtl/>
        </w:rPr>
        <w:t xml:space="preserve"> می‌کنیم. تا سال 2018، کاربران پلتفرم‌های دیجیتال مانند گوگل، فیسبوک و اندروید، به بزرگ‌ترین گروه‌های منسجم بر روی زمین تبدیل </w:t>
      </w:r>
      <w:r w:rsidR="00185F3E" w:rsidRPr="0025250D">
        <w:rPr>
          <w:rFonts w:hint="cs"/>
          <w:rtl/>
        </w:rPr>
        <w:t>شده‌اند</w:t>
      </w:r>
      <w:r w:rsidRPr="0025250D">
        <w:rPr>
          <w:rFonts w:hint="cs"/>
          <w:rtl/>
        </w:rPr>
        <w:t xml:space="preserve">. تا سال 2020، سایت </w:t>
      </w:r>
      <w:r w:rsidRPr="0025250D">
        <w:rPr>
          <w:rtl/>
        </w:rPr>
        <w:t>آ</w:t>
      </w:r>
      <w:r w:rsidRPr="0025250D">
        <w:rPr>
          <w:rFonts w:hint="cs"/>
          <w:rtl/>
        </w:rPr>
        <w:t>ی</w:t>
      </w:r>
      <w:r w:rsidRPr="0025250D">
        <w:rPr>
          <w:rFonts w:hint="eastAsia"/>
          <w:rtl/>
        </w:rPr>
        <w:t>نده</w:t>
      </w:r>
      <w:r w:rsidRPr="0025250D">
        <w:rPr>
          <w:rtl/>
        </w:rPr>
        <w:t xml:space="preserve"> شناس</w:t>
      </w:r>
      <w:r w:rsidRPr="0025250D">
        <w:rPr>
          <w:rFonts w:hint="cs"/>
          <w:rtl/>
        </w:rPr>
        <w:t>ی</w:t>
      </w:r>
      <w:r w:rsidRPr="0025250D">
        <w:rPr>
          <w:rtl/>
        </w:rPr>
        <w:t xml:space="preserve"> رد</w:t>
      </w:r>
      <w:r w:rsidRPr="0025250D">
        <w:rPr>
          <w:rFonts w:hint="cs"/>
          <w:rtl/>
        </w:rPr>
        <w:t>ی</w:t>
      </w:r>
      <w:r w:rsidRPr="0025250D">
        <w:rPr>
          <w:rFonts w:hint="eastAsia"/>
          <w:rtl/>
        </w:rPr>
        <w:t>ت</w:t>
      </w:r>
      <w:r w:rsidRPr="0025250D">
        <w:rPr>
          <w:vertAlign w:val="superscript"/>
          <w:rtl/>
        </w:rPr>
        <w:footnoteReference w:id="960"/>
      </w:r>
      <w:r w:rsidRPr="0025250D">
        <w:rPr>
          <w:rFonts w:hint="cs"/>
          <w:rtl/>
        </w:rPr>
        <w:t xml:space="preserve"> 15 میلیون </w:t>
      </w:r>
      <w:r w:rsidR="0063099E" w:rsidRPr="0025250D">
        <w:rPr>
          <w:rtl/>
        </w:rPr>
        <w:t>«</w:t>
      </w:r>
      <w:r w:rsidR="00D92F6E" w:rsidRPr="0025250D">
        <w:rPr>
          <w:rFonts w:hint="cs"/>
          <w:rtl/>
        </w:rPr>
        <w:t>آینده‌پژوه</w:t>
      </w:r>
      <w:r w:rsidR="0063099E" w:rsidRPr="0025250D">
        <w:rPr>
          <w:rtl/>
        </w:rPr>
        <w:t>»</w:t>
      </w:r>
      <w:r w:rsidRPr="0025250D">
        <w:rPr>
          <w:rFonts w:hint="cs"/>
          <w:rtl/>
        </w:rPr>
        <w:t xml:space="preserve"> در پلتفرم خود داشت. بیش از 55 میلیون توسعه‌دهنده نرم افزار وجود دارند که از پلتفرم متن</w:t>
      </w:r>
      <w:r w:rsidRPr="0025250D">
        <w:rPr>
          <w:rtl/>
        </w:rPr>
        <w:t xml:space="preserve"> </w:t>
      </w:r>
      <w:r w:rsidRPr="0025250D">
        <w:rPr>
          <w:rFonts w:hint="cs"/>
          <w:rtl/>
        </w:rPr>
        <w:t>باز</w:t>
      </w:r>
      <w:r w:rsidRPr="0025250D">
        <w:rPr>
          <w:vertAlign w:val="superscript"/>
          <w:rtl/>
        </w:rPr>
        <w:footnoteReference w:id="961"/>
      </w:r>
      <w:r w:rsidRPr="0025250D">
        <w:rPr>
          <w:rFonts w:hint="cs"/>
          <w:rtl/>
        </w:rPr>
        <w:t xml:space="preserve"> گیت‌هاب</w:t>
      </w:r>
      <w:r w:rsidRPr="0025250D">
        <w:rPr>
          <w:vertAlign w:val="superscript"/>
          <w:rtl/>
        </w:rPr>
        <w:footnoteReference w:id="962"/>
      </w:r>
      <w:r w:rsidRPr="0025250D">
        <w:rPr>
          <w:rFonts w:hint="cs"/>
          <w:rtl/>
        </w:rPr>
        <w:t xml:space="preserve"> استفاده</w:t>
      </w:r>
      <w:r w:rsidRPr="0025250D">
        <w:rPr>
          <w:rFonts w:hint="cs"/>
        </w:rPr>
        <w:t>‌</w:t>
      </w:r>
      <w:r w:rsidRPr="0025250D">
        <w:rPr>
          <w:rFonts w:hint="cs"/>
          <w:rtl/>
        </w:rPr>
        <w:t xml:space="preserve"> می‌کنند. اکنون هر ماه تعداد زیادی از خدمات ابری، پلتف</w:t>
      </w:r>
      <w:r w:rsidR="007B3B35" w:rsidRPr="0025250D">
        <w:rPr>
          <w:rFonts w:hint="cs"/>
          <w:rtl/>
        </w:rPr>
        <w:t>ر</w:t>
      </w:r>
      <w:r w:rsidRPr="0025250D">
        <w:rPr>
          <w:rFonts w:hint="cs"/>
          <w:rtl/>
        </w:rPr>
        <w:t>م‌ها، هوش مصنوعی، ارزهای دی</w:t>
      </w:r>
      <w:r w:rsidR="007B3B35" w:rsidRPr="0025250D">
        <w:rPr>
          <w:rFonts w:hint="cs"/>
          <w:rtl/>
        </w:rPr>
        <w:t>ج</w:t>
      </w:r>
      <w:r w:rsidRPr="0025250D">
        <w:rPr>
          <w:rFonts w:hint="cs"/>
          <w:rtl/>
        </w:rPr>
        <w:t>یتال، قراردادهای هوشمند</w:t>
      </w:r>
      <w:r w:rsidRPr="0025250D">
        <w:rPr>
          <w:vertAlign w:val="superscript"/>
          <w:rtl/>
        </w:rPr>
        <w:footnoteReference w:id="963"/>
      </w:r>
      <w:r w:rsidRPr="0025250D">
        <w:rPr>
          <w:rFonts w:hint="cs"/>
          <w:rtl/>
        </w:rPr>
        <w:t xml:space="preserve"> و دیگر نوآوری‌ها پدیدار</w:t>
      </w:r>
      <w:r w:rsidRPr="0025250D">
        <w:rPr>
          <w:rFonts w:hint="cs"/>
        </w:rPr>
        <w:t>‌</w:t>
      </w:r>
      <w:r w:rsidRPr="0025250D">
        <w:rPr>
          <w:rFonts w:hint="cs"/>
          <w:rtl/>
        </w:rPr>
        <w:t xml:space="preserve"> می‌شوند. با داشتن نگاهی رو به جلو،</w:t>
      </w:r>
      <w:r w:rsidRPr="0025250D">
        <w:rPr>
          <w:rFonts w:hint="cs"/>
        </w:rPr>
        <w:t>‌</w:t>
      </w:r>
      <w:r w:rsidRPr="0025250D">
        <w:rPr>
          <w:rFonts w:hint="cs"/>
          <w:rtl/>
        </w:rPr>
        <w:t xml:space="preserve"> می‌توانیم ببینیم که چگونه دنیایی با فراوانی عمومی</w:t>
      </w:r>
      <w:r w:rsidRPr="0025250D">
        <w:rPr>
          <w:vertAlign w:val="superscript"/>
          <w:rtl/>
        </w:rPr>
        <w:footnoteReference w:id="964"/>
      </w:r>
      <w:r w:rsidRPr="0025250D">
        <w:rPr>
          <w:rFonts w:hint="cs"/>
          <w:rtl/>
        </w:rPr>
        <w:t xml:space="preserve"> ایجاد خواهیم کرد، دنیایی که در آن نیاز‌های اولیه همه ما برآورده</w:t>
      </w:r>
      <w:r w:rsidRPr="0025250D">
        <w:rPr>
          <w:rFonts w:hint="cs"/>
        </w:rPr>
        <w:t>‌</w:t>
      </w:r>
      <w:r w:rsidRPr="0025250D">
        <w:rPr>
          <w:rFonts w:hint="cs"/>
          <w:rtl/>
        </w:rPr>
        <w:t xml:space="preserve"> می‌شود و آزادیم که از هرم‌های توسعه‌ای خود هر یک به شکل‌های منحصر به فرد خودمان صعود کنیم.</w:t>
      </w:r>
    </w:p>
    <w:p w14:paraId="5017F764" w14:textId="4244B1EA" w:rsidR="0020732A" w:rsidRPr="0025250D" w:rsidRDefault="0020732A" w:rsidP="0020732A">
      <w:pPr>
        <w:rPr>
          <w:rtl/>
        </w:rPr>
      </w:pPr>
      <w:r w:rsidRPr="0025250D">
        <w:rPr>
          <w:rFonts w:hint="cs"/>
          <w:rtl/>
        </w:rPr>
        <w:t xml:space="preserve">یک </w:t>
      </w:r>
      <w:r w:rsidR="00B56611" w:rsidRPr="0025250D">
        <w:rPr>
          <w:rFonts w:hint="cs"/>
          <w:rtl/>
        </w:rPr>
        <w:t>چشم‌انداز</w:t>
      </w:r>
      <w:r w:rsidRPr="0025250D">
        <w:rPr>
          <w:rFonts w:hint="cs"/>
          <w:rtl/>
        </w:rPr>
        <w:t xml:space="preserve"> کلیدی با تصویر کلان که تعداد بیش‌تری از ما باید دیدن آن را بیاموزیم این است که قابلیت </w:t>
      </w:r>
      <w:r w:rsidR="00D92F6E" w:rsidRPr="0025250D">
        <w:rPr>
          <w:rFonts w:hint="cs"/>
          <w:rtl/>
        </w:rPr>
        <w:t>پیش‌بین</w:t>
      </w:r>
      <w:r w:rsidRPr="0025250D">
        <w:rPr>
          <w:rFonts w:hint="cs"/>
          <w:rtl/>
        </w:rPr>
        <w:t xml:space="preserve">ی روند‌های </w:t>
      </w:r>
      <w:r w:rsidR="007B3B35" w:rsidRPr="0025250D">
        <w:rPr>
          <w:rFonts w:hint="cs"/>
          <w:rtl/>
        </w:rPr>
        <w:t>شتاب‌گیر</w:t>
      </w:r>
      <w:r w:rsidRPr="0025250D">
        <w:rPr>
          <w:rFonts w:hint="cs"/>
          <w:rtl/>
        </w:rPr>
        <w:t>نده و مقاصد مشخص برای بشریت به شدت در حال افزایش است؛ شاید از همه مهم‌تر ظهور ماشین‌هایی</w:t>
      </w:r>
      <w:r w:rsidR="007B3B35" w:rsidRPr="0025250D">
        <w:rPr>
          <w:rFonts w:hint="cs"/>
          <w:rtl/>
        </w:rPr>
        <w:t xml:space="preserve"> است</w:t>
      </w:r>
      <w:r w:rsidRPr="0025250D">
        <w:rPr>
          <w:rFonts w:hint="cs"/>
          <w:rtl/>
        </w:rPr>
        <w:t xml:space="preserve"> که به طرز فزاینده‌ای مانند موجودات زنده تفکر، عمل و احساس</w:t>
      </w:r>
      <w:r w:rsidRPr="0025250D">
        <w:rPr>
          <w:rFonts w:hint="cs"/>
        </w:rPr>
        <w:t>‌</w:t>
      </w:r>
      <w:r w:rsidRPr="0025250D">
        <w:rPr>
          <w:rFonts w:hint="cs"/>
          <w:rtl/>
        </w:rPr>
        <w:t xml:space="preserve"> می‌کنند و به‌عنوان پسوندهای مغز و دستان و قلبمان در نظر گرفته</w:t>
      </w:r>
      <w:r w:rsidRPr="0025250D">
        <w:rPr>
          <w:rFonts w:hint="cs"/>
        </w:rPr>
        <w:t>‌</w:t>
      </w:r>
      <w:r w:rsidRPr="0025250D">
        <w:rPr>
          <w:rFonts w:hint="cs"/>
          <w:rtl/>
        </w:rPr>
        <w:t xml:space="preserve"> می‌شوند. </w:t>
      </w:r>
      <w:r w:rsidR="007118DE" w:rsidRPr="0025250D">
        <w:rPr>
          <w:rFonts w:hint="cs"/>
          <w:rtl/>
        </w:rPr>
        <w:t>همان‌طور</w:t>
      </w:r>
      <w:r w:rsidRPr="0025250D">
        <w:rPr>
          <w:rFonts w:hint="cs"/>
          <w:rtl/>
        </w:rPr>
        <w:t xml:space="preserve"> که </w:t>
      </w:r>
      <w:r w:rsidRPr="0025250D">
        <w:rPr>
          <w:rtl/>
        </w:rPr>
        <w:t>جان کاسون</w:t>
      </w:r>
      <w:r w:rsidRPr="0025250D">
        <w:rPr>
          <w:vertAlign w:val="superscript"/>
          <w:rtl/>
        </w:rPr>
        <w:footnoteReference w:id="965"/>
      </w:r>
      <w:r w:rsidRPr="0025250D">
        <w:rPr>
          <w:rFonts w:hint="cs"/>
        </w:rPr>
        <w:t>‌</w:t>
      </w:r>
      <w:r w:rsidRPr="0025250D">
        <w:rPr>
          <w:rFonts w:hint="cs"/>
          <w:rtl/>
        </w:rPr>
        <w:t xml:space="preserve"> می‌گوید، ما به افراد متعدد دیگری برای کار بر روی </w:t>
      </w:r>
      <w:r w:rsidR="0063099E" w:rsidRPr="0025250D">
        <w:rPr>
          <w:rtl/>
        </w:rPr>
        <w:t>«</w:t>
      </w:r>
      <w:r w:rsidRPr="0025250D">
        <w:rPr>
          <w:rFonts w:hint="cs"/>
          <w:rtl/>
        </w:rPr>
        <w:t>متمدن سازی ماشین ها</w:t>
      </w:r>
      <w:r w:rsidR="0063099E" w:rsidRPr="0025250D">
        <w:rPr>
          <w:rtl/>
        </w:rPr>
        <w:t>»</w:t>
      </w:r>
      <w:r w:rsidRPr="0025250D">
        <w:rPr>
          <w:rFonts w:hint="cs"/>
          <w:rtl/>
        </w:rPr>
        <w:t xml:space="preserve"> نیاز داریم زیرا علم و </w:t>
      </w:r>
      <w:r w:rsidR="007A53FD" w:rsidRPr="0025250D">
        <w:rPr>
          <w:rFonts w:hint="cs"/>
          <w:rtl/>
        </w:rPr>
        <w:t>فناوری</w:t>
      </w:r>
      <w:r w:rsidRPr="0025250D">
        <w:rPr>
          <w:rFonts w:hint="cs"/>
          <w:rtl/>
        </w:rPr>
        <w:t xml:space="preserve"> ماشینی پر شتاب در همه شکل‌های خود، به شکل منحصر به فردی</w:t>
      </w:r>
      <w:r w:rsidRPr="0025250D">
        <w:rPr>
          <w:rFonts w:hint="cs"/>
        </w:rPr>
        <w:t>‌</w:t>
      </w:r>
      <w:r w:rsidRPr="0025250D">
        <w:rPr>
          <w:rFonts w:hint="cs"/>
          <w:rtl/>
        </w:rPr>
        <w:t xml:space="preserve"> می‌توانند عمل و اقدامات ما را امروز به سمت بهتر یا بد‌تر شدن تقویت کنند. آن‌ها به شکل منحصر به فردی</w:t>
      </w:r>
      <w:r w:rsidRPr="0025250D">
        <w:rPr>
          <w:rFonts w:hint="cs"/>
        </w:rPr>
        <w:t>‌</w:t>
      </w:r>
      <w:r w:rsidRPr="0025250D">
        <w:rPr>
          <w:rFonts w:hint="cs"/>
          <w:rtl/>
        </w:rPr>
        <w:t xml:space="preserve"> می‌توانند ارزش ایجاد کرده یا ارزش‌ها را تخریب کنند. این شرایط انسان در قرن 21 ام است.</w:t>
      </w:r>
    </w:p>
    <w:p w14:paraId="427A9969" w14:textId="705EAA22" w:rsidR="0020732A" w:rsidRPr="0025250D" w:rsidRDefault="0020732A" w:rsidP="0020732A">
      <w:pPr>
        <w:rPr>
          <w:rtl/>
        </w:rPr>
      </w:pPr>
      <w:r w:rsidRPr="0025250D">
        <w:rPr>
          <w:rFonts w:hint="cs"/>
          <w:rtl/>
        </w:rPr>
        <w:t xml:space="preserve">راه‌های متعددی وجود دارند که تغییرات </w:t>
      </w:r>
      <w:r w:rsidR="007B3B35" w:rsidRPr="0025250D">
        <w:rPr>
          <w:rFonts w:hint="cs"/>
          <w:rtl/>
        </w:rPr>
        <w:t>شتاب‌گیر</w:t>
      </w:r>
      <w:r w:rsidRPr="0025250D">
        <w:rPr>
          <w:rFonts w:hint="cs"/>
          <w:rtl/>
        </w:rPr>
        <w:t>نده</w:t>
      </w:r>
      <w:r w:rsidRPr="0025250D">
        <w:rPr>
          <w:rFonts w:hint="cs"/>
        </w:rPr>
        <w:t>‌</w:t>
      </w:r>
      <w:r w:rsidRPr="0025250D">
        <w:rPr>
          <w:rFonts w:hint="cs"/>
          <w:rtl/>
        </w:rPr>
        <w:t xml:space="preserve"> می‌توانند سبب ایجاد رنج، </w:t>
      </w:r>
      <w:r w:rsidR="00D92F6E" w:rsidRPr="0025250D">
        <w:rPr>
          <w:rFonts w:hint="cs"/>
          <w:rtl/>
        </w:rPr>
        <w:t>بنیان‌افکن</w:t>
      </w:r>
      <w:r w:rsidRPr="0025250D">
        <w:rPr>
          <w:rFonts w:hint="cs"/>
          <w:rtl/>
        </w:rPr>
        <w:t>ی و عقبگرد برای برخی از ما شوند، اما بااین‌وجود این تغییرات ادامه خواهند یافت. شتاب گرفتن و افزایش پیچیدگی به شکل فزاینده‌ای در جهان ما</w:t>
      </w:r>
      <w:r w:rsidR="007B3B35" w:rsidRPr="0025250D">
        <w:rPr>
          <w:rFonts w:hint="cs"/>
          <w:rtl/>
        </w:rPr>
        <w:t>،</w:t>
      </w:r>
      <w:r w:rsidRPr="0025250D">
        <w:rPr>
          <w:rFonts w:hint="cs"/>
          <w:rtl/>
        </w:rPr>
        <w:t xml:space="preserve"> نیرویی توقف ناپذیر مانند جاذبه</w:t>
      </w:r>
      <w:r w:rsidRPr="0025250D">
        <w:rPr>
          <w:rFonts w:hint="cs"/>
        </w:rPr>
        <w:t>‌</w:t>
      </w:r>
      <w:r w:rsidRPr="0025250D">
        <w:rPr>
          <w:rFonts w:hint="cs"/>
          <w:rtl/>
        </w:rPr>
        <w:t xml:space="preserve"> </w:t>
      </w:r>
      <w:r w:rsidR="007B3B35" w:rsidRPr="0025250D">
        <w:rPr>
          <w:rFonts w:hint="cs"/>
          <w:rtl/>
        </w:rPr>
        <w:t>به نظر می‌رسد</w:t>
      </w:r>
      <w:r w:rsidRPr="0025250D">
        <w:rPr>
          <w:rFonts w:hint="cs"/>
          <w:rtl/>
        </w:rPr>
        <w:t>. به عقیده ما نظریه علمی آینده این امر را اثبات خواهد کرد. هیچ راهی بجز رویدادی که منجر به انقراض یک گونه شود</w:t>
      </w:r>
      <w:r w:rsidR="00EE4B64" w:rsidRPr="0025250D">
        <w:rPr>
          <w:rFonts w:hint="cs"/>
          <w:rtl/>
        </w:rPr>
        <w:t xml:space="preserve"> نمی‌</w:t>
      </w:r>
      <w:r w:rsidRPr="0025250D">
        <w:rPr>
          <w:rFonts w:hint="cs"/>
          <w:rtl/>
        </w:rPr>
        <w:t xml:space="preserve">بینیم که بتواند این تغییر </w:t>
      </w:r>
      <w:r w:rsidR="007B3B35" w:rsidRPr="0025250D">
        <w:rPr>
          <w:rFonts w:hint="cs"/>
          <w:rtl/>
        </w:rPr>
        <w:t>شتاب‌گیر</w:t>
      </w:r>
      <w:r w:rsidRPr="0025250D">
        <w:rPr>
          <w:rFonts w:hint="cs"/>
          <w:rtl/>
        </w:rPr>
        <w:t>نده را متوقف نماید. ایده‌های متوقف کردن، سکون یا واپس‌روی</w:t>
      </w:r>
      <w:r w:rsidRPr="0025250D">
        <w:rPr>
          <w:vertAlign w:val="superscript"/>
          <w:rtl/>
        </w:rPr>
        <w:footnoteReference w:id="966"/>
      </w:r>
      <w:r w:rsidRPr="0025250D">
        <w:rPr>
          <w:rFonts w:hint="cs"/>
          <w:rtl/>
        </w:rPr>
        <w:t xml:space="preserve"> </w:t>
      </w:r>
      <w:r w:rsidR="007A53FD" w:rsidRPr="0025250D">
        <w:rPr>
          <w:rFonts w:hint="cs"/>
          <w:rtl/>
        </w:rPr>
        <w:t>فناوری</w:t>
      </w:r>
      <w:r w:rsidRPr="0025250D">
        <w:rPr>
          <w:rFonts w:hint="cs"/>
          <w:rtl/>
        </w:rPr>
        <w:t xml:space="preserve"> تنها خیالی خام هستند. ما عازم این سفر هستیم. ما به‌عنوان انسان‌های </w:t>
      </w:r>
      <w:r w:rsidR="00127288" w:rsidRPr="0025250D">
        <w:rPr>
          <w:rFonts w:hint="cs"/>
          <w:rtl/>
        </w:rPr>
        <w:t>زیستی</w:t>
      </w:r>
      <w:r w:rsidRPr="0025250D">
        <w:rPr>
          <w:rFonts w:hint="cs"/>
          <w:rtl/>
        </w:rPr>
        <w:t xml:space="preserve"> به نظر برای جلوگیری از این فرایند، حتی اگر بخواهیم، به اندازه کافی قدرتمند نیستیم.</w:t>
      </w:r>
    </w:p>
    <w:p w14:paraId="745C2210" w14:textId="77E838AD" w:rsidR="0020732A" w:rsidRPr="0025250D" w:rsidRDefault="0020732A" w:rsidP="007B3B35">
      <w:pPr>
        <w:rPr>
          <w:rtl/>
        </w:rPr>
      </w:pPr>
      <w:r w:rsidRPr="0025250D">
        <w:rPr>
          <w:rFonts w:hint="cs"/>
          <w:rtl/>
        </w:rPr>
        <w:t>ما در دوره‌ای حقیقتا منحصر به فرد در تاریخ 10000 ساله خود هستیم. ما در زمان واحدی زندگی</w:t>
      </w:r>
      <w:r w:rsidRPr="0025250D">
        <w:rPr>
          <w:rFonts w:hint="cs"/>
        </w:rPr>
        <w:t>‌</w:t>
      </w:r>
      <w:r w:rsidRPr="0025250D">
        <w:rPr>
          <w:rFonts w:hint="cs"/>
          <w:rtl/>
        </w:rPr>
        <w:t xml:space="preserve"> می‌کنیم که در آن </w:t>
      </w:r>
      <w:r w:rsidR="007A53FD" w:rsidRPr="0025250D">
        <w:rPr>
          <w:rFonts w:hint="cs"/>
          <w:rtl/>
        </w:rPr>
        <w:t>فناوری</w:t>
      </w:r>
      <w:r w:rsidRPr="0025250D">
        <w:rPr>
          <w:rFonts w:hint="cs"/>
          <w:rtl/>
        </w:rPr>
        <w:t xml:space="preserve"> نشان</w:t>
      </w:r>
      <w:r w:rsidRPr="0025250D">
        <w:rPr>
          <w:rFonts w:hint="cs"/>
        </w:rPr>
        <w:t>‌</w:t>
      </w:r>
      <w:r w:rsidRPr="0025250D">
        <w:rPr>
          <w:rFonts w:hint="cs"/>
          <w:rtl/>
        </w:rPr>
        <w:t xml:space="preserve"> می‌دهد که</w:t>
      </w:r>
      <w:r w:rsidRPr="0025250D">
        <w:rPr>
          <w:rFonts w:hint="cs"/>
        </w:rPr>
        <w:t>‌</w:t>
      </w:r>
      <w:r w:rsidRPr="0025250D">
        <w:rPr>
          <w:rFonts w:hint="cs"/>
          <w:rtl/>
        </w:rPr>
        <w:t xml:space="preserve"> می‌تواند یاد بگیرد و با نرخ‌هایی </w:t>
      </w:r>
      <w:r w:rsidR="008F0DD8" w:rsidRPr="0025250D">
        <w:rPr>
          <w:rFonts w:hint="cs"/>
          <w:rtl/>
        </w:rPr>
        <w:t>آن‌قدر</w:t>
      </w:r>
      <w:r w:rsidRPr="0025250D">
        <w:rPr>
          <w:rFonts w:hint="cs"/>
          <w:rtl/>
        </w:rPr>
        <w:t xml:space="preserve"> سریع بهبود یابد که در مقابلش بیولوژی کاملا ثابت </w:t>
      </w:r>
      <w:r w:rsidR="007B3B35" w:rsidRPr="0025250D">
        <w:rPr>
          <w:rFonts w:hint="cs"/>
          <w:rtl/>
        </w:rPr>
        <w:t>به نظر می‌آید</w:t>
      </w:r>
      <w:r w:rsidRPr="0025250D">
        <w:rPr>
          <w:rFonts w:hint="cs"/>
          <w:rtl/>
        </w:rPr>
        <w:t xml:space="preserve">. خطرات و دام‌های متعددی در پیش رو قرار دارند. هوش‌های مصنوعی، ماشین‌ها و شبکه‌های آن‌ها که به شکل فزاینده‌ای مفید، کارآمد، هوشمند و به‌صورت انفرادی ناقص هستند (درست مثل خودمان)، به پدیدار شدن و </w:t>
      </w:r>
      <w:r w:rsidR="00B124DE" w:rsidRPr="0025250D">
        <w:rPr>
          <w:rFonts w:hint="cs"/>
          <w:rtl/>
        </w:rPr>
        <w:t>شکل‌دهی</w:t>
      </w:r>
      <w:r w:rsidRPr="0025250D">
        <w:rPr>
          <w:rFonts w:hint="cs"/>
          <w:rtl/>
        </w:rPr>
        <w:t xml:space="preserve"> فزاینده محیط ما ادامه خواهند داد. خوشبختانه، تاریخ نشان</w:t>
      </w:r>
      <w:r w:rsidRPr="0025250D">
        <w:rPr>
          <w:rFonts w:hint="cs"/>
        </w:rPr>
        <w:t>‌</w:t>
      </w:r>
      <w:r w:rsidRPr="0025250D">
        <w:rPr>
          <w:rFonts w:hint="cs"/>
          <w:rtl/>
        </w:rPr>
        <w:t xml:space="preserve"> می‌دهد که فجایع، وقتی رخ داده</w:t>
      </w:r>
      <w:r w:rsidR="007B3B35" w:rsidRPr="0025250D">
        <w:rPr>
          <w:rFonts w:hint="cs"/>
          <w:rtl/>
        </w:rPr>
        <w:t>‌</w:t>
      </w:r>
      <w:r w:rsidRPr="0025250D">
        <w:rPr>
          <w:rFonts w:hint="cs"/>
          <w:rtl/>
        </w:rPr>
        <w:t>اند، تقریبا همیشه پیچیدگی و ضد شکنندگی</w:t>
      </w:r>
      <w:r w:rsidRPr="0025250D">
        <w:rPr>
          <w:vertAlign w:val="superscript"/>
          <w:rtl/>
        </w:rPr>
        <w:footnoteReference w:id="967"/>
      </w:r>
      <w:r w:rsidRPr="0025250D">
        <w:rPr>
          <w:rFonts w:hint="cs"/>
          <w:rtl/>
        </w:rPr>
        <w:t xml:space="preserve"> در شبکه‌های حیات را تسریع کرده‌اند. شبکه‌ها، نه افراد، همواره بازی جهانی </w:t>
      </w:r>
      <w:r w:rsidR="00AE5BE0" w:rsidRPr="0025250D">
        <w:rPr>
          <w:rFonts w:hint="cs"/>
          <w:rtl/>
        </w:rPr>
        <w:t>انطباق</w:t>
      </w:r>
      <w:r w:rsidRPr="0025250D">
        <w:rPr>
          <w:rFonts w:hint="cs"/>
          <w:rtl/>
        </w:rPr>
        <w:t xml:space="preserve">، پیشرفت و </w:t>
      </w:r>
      <w:r w:rsidR="00B56611" w:rsidRPr="0025250D">
        <w:rPr>
          <w:rFonts w:hint="cs"/>
          <w:rtl/>
        </w:rPr>
        <w:t>شتاب‌گیری</w:t>
      </w:r>
      <w:r w:rsidRPr="0025250D">
        <w:rPr>
          <w:rFonts w:hint="cs"/>
          <w:rtl/>
        </w:rPr>
        <w:t xml:space="preserve"> را</w:t>
      </w:r>
      <w:r w:rsidRPr="0025250D">
        <w:rPr>
          <w:rFonts w:hint="cs"/>
        </w:rPr>
        <w:t>‌</w:t>
      </w:r>
      <w:r w:rsidRPr="0025250D">
        <w:rPr>
          <w:rFonts w:hint="cs"/>
          <w:rtl/>
        </w:rPr>
        <w:t xml:space="preserve"> می‌برند. اگر با دقت به چگونگی عملکرد خوب حیات به خودی خود تابه‌حال توجه کنیم، متوجه</w:t>
      </w:r>
      <w:r w:rsidRPr="0025250D">
        <w:rPr>
          <w:rFonts w:hint="cs"/>
        </w:rPr>
        <w:t>‌</w:t>
      </w:r>
      <w:r w:rsidRPr="0025250D">
        <w:rPr>
          <w:rFonts w:hint="cs"/>
          <w:rtl/>
        </w:rPr>
        <w:t xml:space="preserve"> می‌شویم که شبکه انسان-ماشین در حال ظهور نیز مطمئنا پیروز خواهد شد.</w:t>
      </w:r>
    </w:p>
    <w:p w14:paraId="0D93C69D" w14:textId="681258CD" w:rsidR="0020732A" w:rsidRPr="0025250D" w:rsidRDefault="007118DE" w:rsidP="0020732A">
      <w:pPr>
        <w:rPr>
          <w:rtl/>
        </w:rPr>
      </w:pPr>
      <w:r w:rsidRPr="0025250D">
        <w:rPr>
          <w:rFonts w:hint="cs"/>
          <w:rtl/>
        </w:rPr>
        <w:lastRenderedPageBreak/>
        <w:t>همان‌طور</w:t>
      </w:r>
      <w:r w:rsidR="0020732A" w:rsidRPr="0025250D">
        <w:rPr>
          <w:rFonts w:hint="cs"/>
          <w:rtl/>
        </w:rPr>
        <w:t xml:space="preserve"> که اخترشناس </w:t>
      </w:r>
      <w:r w:rsidR="0020732A" w:rsidRPr="0025250D">
        <w:rPr>
          <w:rtl/>
        </w:rPr>
        <w:t>کارل س</w:t>
      </w:r>
      <w:r w:rsidR="0020732A" w:rsidRPr="0025250D">
        <w:rPr>
          <w:rFonts w:hint="cs"/>
          <w:rtl/>
        </w:rPr>
        <w:t>ی</w:t>
      </w:r>
      <w:r w:rsidR="0020732A" w:rsidRPr="0025250D">
        <w:rPr>
          <w:rFonts w:hint="eastAsia"/>
          <w:rtl/>
        </w:rPr>
        <w:t>گان</w:t>
      </w:r>
      <w:r w:rsidR="0020732A" w:rsidRPr="0025250D">
        <w:rPr>
          <w:vertAlign w:val="superscript"/>
          <w:rtl/>
        </w:rPr>
        <w:footnoteReference w:id="968"/>
      </w:r>
      <w:r w:rsidR="0020732A" w:rsidRPr="0025250D">
        <w:rPr>
          <w:rFonts w:hint="cs"/>
          <w:rtl/>
        </w:rPr>
        <w:t xml:space="preserve"> مشاهده کرد، جهان ما درحال توسعه پیچیدگی جدیدی با نرخی پر شتاب از زمان پیدایش اولین کهکشان‌های ما از طریق کشش جاذبه‌ای بوده است. </w:t>
      </w:r>
      <w:r w:rsidR="0020732A" w:rsidRPr="0025250D">
        <w:t>D&amp;D</w:t>
      </w:r>
      <w:r w:rsidR="0020732A" w:rsidRPr="0025250D">
        <w:rPr>
          <w:rFonts w:hint="cs"/>
          <w:rtl/>
        </w:rPr>
        <w:t xml:space="preserve"> در </w:t>
      </w:r>
      <w:r w:rsidR="008D6F97" w:rsidRPr="0025250D">
        <w:rPr>
          <w:rFonts w:hint="cs"/>
          <w:rtl/>
        </w:rPr>
        <w:t>سامانه‌</w:t>
      </w:r>
      <w:r w:rsidR="0020732A" w:rsidRPr="0025250D">
        <w:rPr>
          <w:rFonts w:hint="cs"/>
          <w:rtl/>
        </w:rPr>
        <w:t xml:space="preserve">‌های </w:t>
      </w:r>
      <w:r w:rsidR="00AE5BE0" w:rsidRPr="0025250D">
        <w:rPr>
          <w:rFonts w:hint="cs"/>
          <w:rtl/>
        </w:rPr>
        <w:t>انطباقی</w:t>
      </w:r>
      <w:r w:rsidR="0020732A" w:rsidRPr="0025250D">
        <w:rPr>
          <w:rFonts w:hint="cs"/>
          <w:rtl/>
        </w:rPr>
        <w:t xml:space="preserve"> پیچیده، از نظر ما، پیشران محوری این فرایند نمایی فراگیر است. حیات بر روی زمین، در نقش خود، پیچیدگی و هوشمندی شبکه‌ای خود را در طول 3.5 میلیارد سال تسریع کرده است. انسان‌ها تنها آخرین فصل از این کتاب بسیار طولانی هستند. از نظر ما، این‌که بگوییم که جهان به نظر از قوانین فیزیک و اطلاعات و</w:t>
      </w:r>
      <w:r w:rsidR="0020732A" w:rsidRPr="0025250D">
        <w:rPr>
          <w:rtl/>
        </w:rPr>
        <w:t xml:space="preserve"> </w:t>
      </w:r>
      <w:r w:rsidR="0020732A" w:rsidRPr="0025250D">
        <w:rPr>
          <w:rFonts w:hint="cs"/>
          <w:rtl/>
        </w:rPr>
        <w:t>به‌عنوان</w:t>
      </w:r>
      <w:r w:rsidR="0020732A" w:rsidRPr="0025250D">
        <w:rPr>
          <w:rtl/>
        </w:rPr>
        <w:t xml:space="preserve"> </w:t>
      </w:r>
      <w:r w:rsidR="0020732A" w:rsidRPr="0025250D">
        <w:rPr>
          <w:rFonts w:hint="cs"/>
          <w:rtl/>
        </w:rPr>
        <w:t>توسعه</w:t>
      </w:r>
      <w:r w:rsidR="0020732A" w:rsidRPr="0025250D">
        <w:rPr>
          <w:rtl/>
        </w:rPr>
        <w:t xml:space="preserve"> </w:t>
      </w:r>
      <w:r w:rsidR="0020732A" w:rsidRPr="0025250D">
        <w:rPr>
          <w:rFonts w:hint="cs"/>
          <w:rtl/>
        </w:rPr>
        <w:t>کلیدی</w:t>
      </w:r>
      <w:r w:rsidR="0020732A" w:rsidRPr="0025250D">
        <w:rPr>
          <w:rtl/>
        </w:rPr>
        <w:t xml:space="preserve"> </w:t>
      </w:r>
      <w:r w:rsidR="0020732A" w:rsidRPr="0025250D">
        <w:rPr>
          <w:rFonts w:hint="cs"/>
          <w:rtl/>
        </w:rPr>
        <w:t>بعدی</w:t>
      </w:r>
      <w:r w:rsidR="0020732A" w:rsidRPr="0025250D">
        <w:rPr>
          <w:rtl/>
        </w:rPr>
        <w:t xml:space="preserve"> </w:t>
      </w:r>
      <w:r w:rsidR="0020732A" w:rsidRPr="0025250D">
        <w:rPr>
          <w:rFonts w:hint="cs"/>
          <w:rtl/>
        </w:rPr>
        <w:t>زندگی</w:t>
      </w:r>
      <w:r w:rsidR="0020732A" w:rsidRPr="0025250D">
        <w:rPr>
          <w:rtl/>
        </w:rPr>
        <w:t xml:space="preserve"> </w:t>
      </w:r>
      <w:r w:rsidR="0020732A" w:rsidRPr="0025250D">
        <w:rPr>
          <w:rFonts w:hint="cs"/>
          <w:rtl/>
        </w:rPr>
        <w:t>و</w:t>
      </w:r>
      <w:r w:rsidR="0020732A" w:rsidRPr="0025250D">
        <w:rPr>
          <w:rtl/>
        </w:rPr>
        <w:t xml:space="preserve"> </w:t>
      </w:r>
      <w:r w:rsidR="0020732A" w:rsidRPr="0025250D">
        <w:rPr>
          <w:rFonts w:hint="cs"/>
          <w:rtl/>
        </w:rPr>
        <w:t>هوش</w:t>
      </w:r>
      <w:r w:rsidR="0020732A" w:rsidRPr="0025250D">
        <w:rPr>
          <w:rtl/>
        </w:rPr>
        <w:t xml:space="preserve"> </w:t>
      </w:r>
      <w:r w:rsidR="0020732A" w:rsidRPr="0025250D">
        <w:rPr>
          <w:rFonts w:hint="cs"/>
          <w:rtl/>
        </w:rPr>
        <w:t xml:space="preserve">پیچیده، برای ایجاد تغییرات </w:t>
      </w:r>
      <w:r w:rsidR="00B124DE" w:rsidRPr="0025250D">
        <w:rPr>
          <w:rFonts w:hint="cs"/>
          <w:rtl/>
        </w:rPr>
        <w:t>شتاب‌دار</w:t>
      </w:r>
      <w:r w:rsidR="0020732A" w:rsidRPr="0025250D">
        <w:rPr>
          <w:rFonts w:hint="cs"/>
          <w:rtl/>
        </w:rPr>
        <w:t xml:space="preserve"> استفاده</w:t>
      </w:r>
      <w:r w:rsidR="0020732A" w:rsidRPr="0025250D">
        <w:rPr>
          <w:rFonts w:hint="cs"/>
        </w:rPr>
        <w:t>‌</w:t>
      </w:r>
      <w:r w:rsidR="0020732A" w:rsidRPr="0025250D">
        <w:rPr>
          <w:rFonts w:hint="cs"/>
          <w:rtl/>
        </w:rPr>
        <w:t xml:space="preserve"> می‌کند، اشتباه نیست. تقوی</w:t>
      </w:r>
      <w:r w:rsidR="007B3B35" w:rsidRPr="0025250D">
        <w:rPr>
          <w:rFonts w:hint="cs"/>
          <w:rtl/>
        </w:rPr>
        <w:t>م</w:t>
      </w:r>
      <w:r w:rsidR="0020732A" w:rsidRPr="0025250D">
        <w:rPr>
          <w:rFonts w:hint="cs"/>
          <w:rtl/>
        </w:rPr>
        <w:t xml:space="preserve"> کیهانی </w:t>
      </w:r>
      <w:r w:rsidR="0020732A" w:rsidRPr="0025250D">
        <w:rPr>
          <w:rtl/>
        </w:rPr>
        <w:t>س</w:t>
      </w:r>
      <w:r w:rsidR="0020732A" w:rsidRPr="0025250D">
        <w:rPr>
          <w:rFonts w:hint="cs"/>
          <w:rtl/>
        </w:rPr>
        <w:t>ی</w:t>
      </w:r>
      <w:r w:rsidR="0020732A" w:rsidRPr="0025250D">
        <w:rPr>
          <w:rFonts w:hint="eastAsia"/>
          <w:rtl/>
        </w:rPr>
        <w:t>گان</w:t>
      </w:r>
      <w:r w:rsidR="0020732A" w:rsidRPr="0025250D">
        <w:rPr>
          <w:rFonts w:hint="cs"/>
          <w:rtl/>
        </w:rPr>
        <w:t xml:space="preserve"> (تصویر زیر) یک تجسم معروف گرافیکی از این </w:t>
      </w:r>
      <w:r w:rsidR="00B56611" w:rsidRPr="0025250D">
        <w:rPr>
          <w:rFonts w:hint="cs"/>
          <w:rtl/>
        </w:rPr>
        <w:t>شتاب‌گیری</w:t>
      </w:r>
      <w:r w:rsidR="0020732A" w:rsidRPr="0025250D">
        <w:rPr>
          <w:rFonts w:hint="cs"/>
          <w:rtl/>
        </w:rPr>
        <w:t xml:space="preserve"> است. این تصویر</w:t>
      </w:r>
      <w:r w:rsidR="004E53C1" w:rsidRPr="0025250D">
        <w:rPr>
          <w:rFonts w:hint="cs"/>
          <w:rtl/>
        </w:rPr>
        <w:t>،</w:t>
      </w:r>
      <w:r w:rsidR="0020732A" w:rsidRPr="0025250D">
        <w:rPr>
          <w:rFonts w:hint="cs"/>
          <w:rtl/>
        </w:rPr>
        <w:t xml:space="preserve"> </w:t>
      </w:r>
      <w:r w:rsidR="00B56611" w:rsidRPr="0025250D">
        <w:rPr>
          <w:rFonts w:hint="cs"/>
          <w:rtl/>
        </w:rPr>
        <w:t>شتاب‌گیری</w:t>
      </w:r>
      <w:r w:rsidR="0020732A" w:rsidRPr="0025250D">
        <w:rPr>
          <w:rFonts w:hint="cs"/>
          <w:rtl/>
        </w:rPr>
        <w:t xml:space="preserve"> توسعه‌ای پیچیدگی و هوشمندی محلی فزاینده را در مکان‌های خاصی در جهان ما نشان</w:t>
      </w:r>
      <w:r w:rsidR="0020732A" w:rsidRPr="0025250D">
        <w:rPr>
          <w:rFonts w:hint="cs"/>
        </w:rPr>
        <w:t>‌</w:t>
      </w:r>
      <w:r w:rsidR="0020732A" w:rsidRPr="0025250D">
        <w:rPr>
          <w:rFonts w:hint="cs"/>
          <w:rtl/>
        </w:rPr>
        <w:t xml:space="preserve"> می‌دهد. این تصویر همچنین به‌صورت ضمنی بیان</w:t>
      </w:r>
      <w:r w:rsidR="0020732A" w:rsidRPr="0025250D">
        <w:rPr>
          <w:rFonts w:hint="cs"/>
        </w:rPr>
        <w:t>‌</w:t>
      </w:r>
      <w:r w:rsidR="0020732A" w:rsidRPr="0025250D">
        <w:rPr>
          <w:rFonts w:hint="cs"/>
          <w:rtl/>
        </w:rPr>
        <w:t xml:space="preserve"> می‌کند که برخی از بخش‌های تاریخ انسانی به تصویر کشیده شده در قاب آخر توسعه‌ای است. آنچه این تصویر خلاصه</w:t>
      </w:r>
      <w:r w:rsidR="0020732A" w:rsidRPr="0025250D">
        <w:rPr>
          <w:rFonts w:hint="cs"/>
        </w:rPr>
        <w:t>‌</w:t>
      </w:r>
      <w:r w:rsidR="0020732A" w:rsidRPr="0025250D">
        <w:rPr>
          <w:rFonts w:hint="cs"/>
          <w:rtl/>
        </w:rPr>
        <w:t xml:space="preserve"> می‌کند، تنوع تکاملی گسترده‌ای است که این </w:t>
      </w:r>
      <w:r w:rsidR="00B56611" w:rsidRPr="0025250D">
        <w:rPr>
          <w:rFonts w:hint="cs"/>
          <w:rtl/>
        </w:rPr>
        <w:t>شتاب‌گیری</w:t>
      </w:r>
      <w:r w:rsidR="0020732A" w:rsidRPr="0025250D">
        <w:rPr>
          <w:rFonts w:hint="cs"/>
          <w:rtl/>
        </w:rPr>
        <w:t xml:space="preserve"> را ایجاد کرده است. این مورد انتخاب فردی آزاد را باقی</w:t>
      </w:r>
      <w:r w:rsidR="0020732A" w:rsidRPr="0025250D">
        <w:rPr>
          <w:rFonts w:hint="cs"/>
        </w:rPr>
        <w:t>‌</w:t>
      </w:r>
      <w:r w:rsidR="0020732A" w:rsidRPr="0025250D">
        <w:rPr>
          <w:rFonts w:hint="cs"/>
          <w:rtl/>
        </w:rPr>
        <w:t xml:space="preserve"> می‌گذارد. ما باید بیاموزیم که هر دو </w:t>
      </w:r>
      <w:r w:rsidR="00B56611" w:rsidRPr="0025250D">
        <w:rPr>
          <w:rFonts w:hint="cs"/>
          <w:rtl/>
        </w:rPr>
        <w:t>چشم‌انداز</w:t>
      </w:r>
      <w:r w:rsidR="0020732A" w:rsidRPr="0025250D">
        <w:rPr>
          <w:rFonts w:hint="cs"/>
          <w:rtl/>
        </w:rPr>
        <w:t xml:space="preserve"> را ببینیم و متوازن</w:t>
      </w:r>
      <w:r w:rsidR="004C483C" w:rsidRPr="0025250D">
        <w:rPr>
          <w:rFonts w:hint="cs"/>
          <w:rtl/>
        </w:rPr>
        <w:t xml:space="preserve"> </w:t>
      </w:r>
      <w:r w:rsidR="0020732A" w:rsidRPr="0025250D">
        <w:rPr>
          <w:rFonts w:hint="cs"/>
          <w:rtl/>
        </w:rPr>
        <w:t>‌سازیم. هر دو به نظر درست</w:t>
      </w:r>
      <w:r w:rsidR="0020732A" w:rsidRPr="0025250D">
        <w:rPr>
          <w:rFonts w:hint="cs"/>
        </w:rPr>
        <w:t>‌</w:t>
      </w:r>
      <w:r w:rsidR="0020732A" w:rsidRPr="0025250D">
        <w:rPr>
          <w:rFonts w:hint="cs"/>
          <w:rtl/>
        </w:rPr>
        <w:t xml:space="preserve"> می‌رسند.</w:t>
      </w:r>
    </w:p>
    <w:p w14:paraId="79371FD1" w14:textId="77777777" w:rsidR="0020732A" w:rsidRPr="0025250D" w:rsidRDefault="0020732A" w:rsidP="0020732A">
      <w:pPr>
        <w:rPr>
          <w:rtl/>
        </w:rPr>
      </w:pPr>
    </w:p>
    <w:p w14:paraId="52CC8A43" w14:textId="77777777" w:rsidR="0020732A" w:rsidRPr="0025250D" w:rsidRDefault="0020732A" w:rsidP="00CC3060">
      <w:pPr>
        <w:jc w:val="center"/>
        <w:rPr>
          <w:rtl/>
        </w:rPr>
      </w:pPr>
      <w:r w:rsidRPr="0025250D">
        <w:rPr>
          <w:noProof/>
          <w:lang w:bidi="ar-SA"/>
        </w:rPr>
        <w:drawing>
          <wp:inline distT="0" distB="0" distL="0" distR="0" wp14:anchorId="7D8773C5" wp14:editId="2003ED60">
            <wp:extent cx="4637085" cy="3466768"/>
            <wp:effectExtent l="0" t="0" r="0" b="6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BEBA8EAE-BF5A-486C-A8C5-ECC9F3942E4B}">
                          <a14:imgProps xmlns:a14="http://schemas.microsoft.com/office/drawing/2010/main">
                            <a14:imgLayer r:embed="rId94">
                              <a14:imgEffect>
                                <a14:saturation sat="0"/>
                              </a14:imgEffect>
                            </a14:imgLayer>
                          </a14:imgProps>
                        </a:ext>
                      </a:extLst>
                    </a:blip>
                    <a:stretch>
                      <a:fillRect/>
                    </a:stretch>
                  </pic:blipFill>
                  <pic:spPr>
                    <a:xfrm>
                      <a:off x="0" y="0"/>
                      <a:ext cx="4650616" cy="3476884"/>
                    </a:xfrm>
                    <a:prstGeom prst="rect">
                      <a:avLst/>
                    </a:prstGeom>
                  </pic:spPr>
                </pic:pic>
              </a:graphicData>
            </a:graphic>
          </wp:inline>
        </w:drawing>
      </w:r>
    </w:p>
    <w:p w14:paraId="0BE11791" w14:textId="77777777" w:rsidR="0020732A" w:rsidRPr="0025250D" w:rsidRDefault="0020732A" w:rsidP="009E77BD">
      <w:pPr>
        <w:jc w:val="center"/>
        <w:rPr>
          <w:rtl/>
        </w:rPr>
      </w:pPr>
      <w:r w:rsidRPr="0025250D">
        <w:rPr>
          <w:rFonts w:hint="cs"/>
          <w:rtl/>
        </w:rPr>
        <w:t xml:space="preserve">تقویم کیهانی. </w:t>
      </w:r>
      <w:r w:rsidRPr="0025250D">
        <w:rPr>
          <w:rtl/>
        </w:rPr>
        <w:t>اژدها</w:t>
      </w:r>
      <w:r w:rsidRPr="0025250D">
        <w:rPr>
          <w:rFonts w:hint="cs"/>
          <w:rtl/>
        </w:rPr>
        <w:t>ی</w:t>
      </w:r>
      <w:r w:rsidRPr="0025250D">
        <w:rPr>
          <w:rtl/>
        </w:rPr>
        <w:t xml:space="preserve"> عدن، کارل ساگان، 1977</w:t>
      </w:r>
    </w:p>
    <w:p w14:paraId="5551C661" w14:textId="3814BD85" w:rsidR="0020732A" w:rsidRPr="0025250D" w:rsidRDefault="0020732A" w:rsidP="0020732A">
      <w:pPr>
        <w:rPr>
          <w:rtl/>
        </w:rPr>
      </w:pPr>
      <w:r w:rsidRPr="0025250D">
        <w:rPr>
          <w:rFonts w:hint="cs"/>
          <w:rtl/>
        </w:rPr>
        <w:t>اگر هوشمندی و پیچیدگی برای جهان ما اهمیت دارند، تصویر بالا چیزی است که باید انتظار داشته باشیم. تغییر دارای شتاب، توازی شگرف</w:t>
      </w:r>
      <w:r w:rsidRPr="0025250D">
        <w:rPr>
          <w:vertAlign w:val="superscript"/>
          <w:rtl/>
        </w:rPr>
        <w:footnoteReference w:id="969"/>
      </w:r>
      <w:r w:rsidRPr="0025250D">
        <w:rPr>
          <w:rFonts w:hint="cs"/>
          <w:rtl/>
        </w:rPr>
        <w:t xml:space="preserve"> و توسعه شبکه محور</w:t>
      </w:r>
      <w:r w:rsidRPr="0025250D">
        <w:rPr>
          <w:rFonts w:hint="cs"/>
        </w:rPr>
        <w:t>‌</w:t>
      </w:r>
      <w:r w:rsidRPr="0025250D">
        <w:rPr>
          <w:rFonts w:hint="cs"/>
          <w:rtl/>
        </w:rPr>
        <w:t xml:space="preserve"> می‌توانند راه‌هایی باشند که جهان ما قواعدی را آماده</w:t>
      </w:r>
      <w:r w:rsidRPr="0025250D">
        <w:rPr>
          <w:rFonts w:hint="cs"/>
        </w:rPr>
        <w:t>‌</w:t>
      </w:r>
      <w:r w:rsidRPr="0025250D">
        <w:rPr>
          <w:rFonts w:hint="cs"/>
          <w:rtl/>
        </w:rPr>
        <w:t xml:space="preserve"> می‌سازد تا اطمینان حاصل کند که شکل‌های متنوعی از حیات، پیچیدگی و آگاهی پدیدار</w:t>
      </w:r>
      <w:r w:rsidRPr="0025250D">
        <w:rPr>
          <w:rFonts w:hint="cs"/>
        </w:rPr>
        <w:t>‌</w:t>
      </w:r>
      <w:r w:rsidRPr="0025250D">
        <w:rPr>
          <w:rFonts w:hint="cs"/>
          <w:rtl/>
        </w:rPr>
        <w:t xml:space="preserve"> می‌شوند. اگر جهان ما همتاساز باشد، </w:t>
      </w:r>
      <w:r w:rsidR="007118DE" w:rsidRPr="0025250D">
        <w:rPr>
          <w:rFonts w:hint="cs"/>
          <w:rtl/>
        </w:rPr>
        <w:t>همان‌طور</w:t>
      </w:r>
      <w:r w:rsidRPr="0025250D">
        <w:rPr>
          <w:rFonts w:hint="cs"/>
          <w:rtl/>
        </w:rPr>
        <w:t xml:space="preserve"> که بسیاری از کیهان شناسان بیان</w:t>
      </w:r>
      <w:r w:rsidRPr="0025250D">
        <w:rPr>
          <w:rFonts w:hint="cs"/>
        </w:rPr>
        <w:t>‌</w:t>
      </w:r>
      <w:r w:rsidRPr="0025250D">
        <w:rPr>
          <w:rFonts w:hint="cs"/>
          <w:rtl/>
        </w:rPr>
        <w:t xml:space="preserve"> می‌کنند، ممکن است خود را در طی چندین چرخه گذشته، برای هوشمندی تکامل یافته و توسعه یافته‌ای که برای آینده آن اهمیت دارند، خودسازماندهی کرده باشد؛ </w:t>
      </w:r>
      <w:r w:rsidR="007118DE" w:rsidRPr="0025250D">
        <w:rPr>
          <w:rFonts w:hint="cs"/>
          <w:rtl/>
        </w:rPr>
        <w:t>همان‌طور</w:t>
      </w:r>
      <w:r w:rsidRPr="0025250D">
        <w:rPr>
          <w:rFonts w:hint="cs"/>
          <w:rtl/>
        </w:rPr>
        <w:t xml:space="preserve"> که هوشمندی حیات از طریق فرایند‌های تکاملی-توسعه‌ای برای آینده خودسازماندهی شده است. اگر هوشمندی شبکه‌ای با نرخی </w:t>
      </w:r>
      <w:r w:rsidR="007B3B35" w:rsidRPr="0025250D">
        <w:rPr>
          <w:rFonts w:hint="cs"/>
          <w:rtl/>
        </w:rPr>
        <w:t>شتاب‌گیر</w:t>
      </w:r>
      <w:r w:rsidRPr="0025250D">
        <w:rPr>
          <w:rFonts w:hint="cs"/>
          <w:rtl/>
        </w:rPr>
        <w:t>نده در مکان‌های موازیِ بسیاری در جهان ما رخ دهد، اگر به طور میانگین همدلانه‌تر، اخلاقی‌تر، توانمندتر و پایدار‌تر رشد کند و اگر نهایتا با همه دیگر شبکه‌های هوشمند محلی محدود و متنوع و پراکنده ارتباط برقرار کند، هوش محلی ما</w:t>
      </w:r>
      <w:r w:rsidRPr="0025250D">
        <w:rPr>
          <w:rFonts w:hint="cs"/>
        </w:rPr>
        <w:t>‌</w:t>
      </w:r>
      <w:r w:rsidRPr="0025250D">
        <w:rPr>
          <w:rFonts w:hint="cs"/>
          <w:rtl/>
        </w:rPr>
        <w:t xml:space="preserve"> می‌تواند حتی در خدمت هدفی والاتر باشد؛ </w:t>
      </w:r>
      <w:r w:rsidR="007118DE" w:rsidRPr="0025250D">
        <w:rPr>
          <w:rFonts w:hint="cs"/>
          <w:rtl/>
        </w:rPr>
        <w:t>همان‌طور</w:t>
      </w:r>
      <w:r w:rsidRPr="0025250D">
        <w:rPr>
          <w:rFonts w:hint="cs"/>
          <w:rtl/>
        </w:rPr>
        <w:t xml:space="preserve"> که در </w:t>
      </w:r>
      <w:r w:rsidRPr="0025250D">
        <w:t>BPE</w:t>
      </w:r>
      <w:r w:rsidRPr="0025250D">
        <w:rPr>
          <w:rFonts w:hint="cs"/>
          <w:rtl/>
        </w:rPr>
        <w:t xml:space="preserve"> بیان خواهیم کرد. به‌بیان‌دیگر، هوش ما</w:t>
      </w:r>
      <w:r w:rsidRPr="0025250D">
        <w:rPr>
          <w:rFonts w:hint="cs"/>
        </w:rPr>
        <w:t>‌</w:t>
      </w:r>
      <w:r w:rsidRPr="0025250D">
        <w:rPr>
          <w:rFonts w:hint="cs"/>
          <w:rtl/>
        </w:rPr>
        <w:t xml:space="preserve"> می‌تواند هم برای جامعه کیهانی ما و هم برای جهان ما اهمیت داشته باشد. به قول معروف، خواهیم دید.</w:t>
      </w:r>
    </w:p>
    <w:p w14:paraId="3D3453A0" w14:textId="7C7D2322" w:rsidR="0020732A" w:rsidRPr="0025250D" w:rsidRDefault="0020732A" w:rsidP="0020732A">
      <w:pPr>
        <w:rPr>
          <w:rtl/>
        </w:rPr>
      </w:pPr>
      <w:r w:rsidRPr="0025250D">
        <w:rPr>
          <w:rFonts w:hint="cs"/>
          <w:rtl/>
        </w:rPr>
        <w:lastRenderedPageBreak/>
        <w:t xml:space="preserve">هوش برتر جهان، در گوشه کوچکی که در آن قرار داریم، ما هستیم. ما انسان‌ها در حال حاضر این توسعه </w:t>
      </w:r>
      <w:r w:rsidR="00B124DE" w:rsidRPr="0025250D">
        <w:rPr>
          <w:rFonts w:hint="cs"/>
          <w:rtl/>
        </w:rPr>
        <w:t>شتاب‌دار</w:t>
      </w:r>
      <w:r w:rsidRPr="0025250D">
        <w:rPr>
          <w:rFonts w:hint="cs"/>
          <w:rtl/>
        </w:rPr>
        <w:t xml:space="preserve"> را بر روی این سیاره شگفت انگیز و ویژه هدایت</w:t>
      </w:r>
      <w:r w:rsidRPr="0025250D">
        <w:rPr>
          <w:rFonts w:hint="cs"/>
        </w:rPr>
        <w:t>‌</w:t>
      </w:r>
      <w:r w:rsidRPr="0025250D">
        <w:rPr>
          <w:rFonts w:hint="cs"/>
          <w:rtl/>
        </w:rPr>
        <w:t xml:space="preserve"> می‌کنیم، اما تضمینی برای این‌که انتخاب‌هایی انسانی و اخلاقی داشته باشیم و یا حتی این‌که از تغییرات پیش رو نجات یابیم، وجود ندارد. هر یک از ما آزادی تکاملی زیادی دارد و شکست‌های توسعه‌ای برخی اوقات رخ</w:t>
      </w:r>
      <w:r w:rsidRPr="0025250D">
        <w:rPr>
          <w:rFonts w:hint="cs"/>
        </w:rPr>
        <w:t>‌</w:t>
      </w:r>
      <w:r w:rsidRPr="0025250D">
        <w:rPr>
          <w:rFonts w:hint="cs"/>
          <w:rtl/>
        </w:rPr>
        <w:t xml:space="preserve"> می‌دهند. ما باورداریم که وظیفه‌ای اخلاقی برای درک، حفاظت و پیش برد پیچیدگی و آگاهی زمین و داشتن رفتاری منصفانه، محبت آمیز، شجاعانه و صادقانه با یکدیگر داریم که همه ما لایق آن هستیم. اکنون جهان بیش از هر زمان دیگری به افرادی دارای </w:t>
      </w:r>
      <w:r w:rsidRPr="0025250D">
        <w:rPr>
          <w:rtl/>
        </w:rPr>
        <w:t>آینده‌نگاری</w:t>
      </w:r>
      <w:r w:rsidRPr="0025250D">
        <w:rPr>
          <w:rFonts w:hint="cs"/>
          <w:rtl/>
        </w:rPr>
        <w:t xml:space="preserve"> که به اندیشیدن و اعتبارسنجی مقاصد توسعه‌ای و کمک به ما برای حرکت دادن آن‌ها به شکل‌های همدلانه‌تر، اخلاقی و انسانی تمایل داشته باشند، نیاز دارد. امیدواریم که این </w:t>
      </w:r>
      <w:r w:rsidR="00B56611" w:rsidRPr="0025250D">
        <w:rPr>
          <w:rFonts w:hint="cs"/>
          <w:rtl/>
        </w:rPr>
        <w:t>چشم‌انداز</w:t>
      </w:r>
      <w:r w:rsidRPr="0025250D">
        <w:rPr>
          <w:rFonts w:hint="cs"/>
          <w:rtl/>
        </w:rPr>
        <w:t xml:space="preserve"> الهام بخش شما برای تبدیل شدن به یک فرد متخصص در </w:t>
      </w:r>
      <w:r w:rsidRPr="0025250D">
        <w:rPr>
          <w:rtl/>
        </w:rPr>
        <w:t xml:space="preserve">آینده‌نگاری </w:t>
      </w:r>
      <w:r w:rsidRPr="0025250D">
        <w:rPr>
          <w:rFonts w:hint="cs"/>
          <w:rtl/>
        </w:rPr>
        <w:t xml:space="preserve">باشد </w:t>
      </w:r>
      <w:r w:rsidRPr="0025250D">
        <w:rPr>
          <w:rFonts w:cs="Times New Roman" w:hint="cs"/>
          <w:rtl/>
        </w:rPr>
        <w:t>–</w:t>
      </w:r>
      <w:r w:rsidRPr="0025250D">
        <w:rPr>
          <w:rFonts w:hint="cs"/>
          <w:rtl/>
        </w:rPr>
        <w:t>ابتدا رهبری برای خودتان و سپس برای دیگران. همه ما</w:t>
      </w:r>
      <w:r w:rsidRPr="0025250D">
        <w:rPr>
          <w:rFonts w:hint="cs"/>
        </w:rPr>
        <w:t>‌</w:t>
      </w:r>
      <w:r w:rsidRPr="0025250D">
        <w:rPr>
          <w:rFonts w:hint="cs"/>
          <w:rtl/>
        </w:rPr>
        <w:t xml:space="preserve"> می‌توانیم در ارتقاء فرهنگ </w:t>
      </w:r>
      <w:r w:rsidRPr="0025250D">
        <w:rPr>
          <w:rtl/>
        </w:rPr>
        <w:t>آینده‌نگاری</w:t>
      </w:r>
      <w:r w:rsidRPr="0025250D">
        <w:rPr>
          <w:rFonts w:hint="cs"/>
          <w:rtl/>
        </w:rPr>
        <w:t xml:space="preserve"> مشارکت داشته باشیم، اگرچه این کار با مسیر ما نیز بهترین همخوانی را دارد.</w:t>
      </w:r>
    </w:p>
    <w:p w14:paraId="1B78F98B" w14:textId="77777777" w:rsidR="0020732A" w:rsidRPr="0025250D" w:rsidRDefault="0020732A" w:rsidP="0020732A">
      <w:pPr>
        <w:rPr>
          <w:rtl/>
        </w:rPr>
      </w:pPr>
      <w:r w:rsidRPr="0025250D">
        <w:rPr>
          <w:rFonts w:hint="cs"/>
          <w:rtl/>
        </w:rPr>
        <w:t>به این زمینه خوش آمدید!</w:t>
      </w:r>
    </w:p>
    <w:p w14:paraId="0B0A09DD" w14:textId="77777777" w:rsidR="0020732A" w:rsidRPr="0025250D" w:rsidRDefault="0020732A" w:rsidP="0020732A">
      <w:pPr>
        <w:rPr>
          <w:rtl/>
        </w:rPr>
      </w:pPr>
    </w:p>
    <w:p w14:paraId="1B2917E3" w14:textId="77777777" w:rsidR="0020732A" w:rsidRPr="0025250D" w:rsidRDefault="0020732A" w:rsidP="0020732A">
      <w:pPr>
        <w:rPr>
          <w:rtl/>
        </w:rPr>
      </w:pPr>
    </w:p>
    <w:p w14:paraId="12862693" w14:textId="77777777" w:rsidR="0020732A" w:rsidRPr="0025250D" w:rsidRDefault="0020732A" w:rsidP="0020732A"/>
    <w:p w14:paraId="69703511" w14:textId="77777777" w:rsidR="00537CC8" w:rsidRPr="0025250D" w:rsidRDefault="00537CC8" w:rsidP="009E77BD">
      <w:pPr>
        <w:pStyle w:val="Heading1"/>
        <w:rPr>
          <w:rtl/>
        </w:rPr>
      </w:pPr>
      <w:bookmarkStart w:id="26" w:name="_Toc127831291"/>
      <w:r w:rsidRPr="0025250D">
        <w:rPr>
          <w:rFonts w:hint="cs"/>
          <w:rtl/>
        </w:rPr>
        <w:lastRenderedPageBreak/>
        <w:t xml:space="preserve">فصل 2: تخصص آینده‌نگاری </w:t>
      </w:r>
      <w:r w:rsidRPr="0025250D">
        <w:rPr>
          <w:rFonts w:ascii="Times New Roman" w:hAnsi="Times New Roman" w:cs="Times New Roman" w:hint="cs"/>
          <w:rtl/>
        </w:rPr>
        <w:t>–</w:t>
      </w:r>
      <w:r w:rsidRPr="0025250D">
        <w:rPr>
          <w:rFonts w:hint="cs"/>
          <w:rtl/>
        </w:rPr>
        <w:t xml:space="preserve"> وضعیت کنونی این زمینه</w:t>
      </w:r>
      <w:bookmarkEnd w:id="26"/>
    </w:p>
    <w:p w14:paraId="10B0ABAA" w14:textId="77777777" w:rsidR="00537CC8" w:rsidRPr="0025250D" w:rsidRDefault="00537CC8" w:rsidP="00537CC8">
      <w:pPr>
        <w:rPr>
          <w:rtl/>
        </w:rPr>
      </w:pPr>
    </w:p>
    <w:p w14:paraId="64B64E1B" w14:textId="77777777" w:rsidR="00537CC8" w:rsidRPr="0025250D" w:rsidRDefault="00537CC8" w:rsidP="00537CC8">
      <w:pPr>
        <w:rPr>
          <w:rtl/>
        </w:rPr>
      </w:pPr>
    </w:p>
    <w:p w14:paraId="40DF483C" w14:textId="77777777" w:rsidR="00537CC8" w:rsidRPr="0025250D" w:rsidRDefault="00537CC8" w:rsidP="00537CC8">
      <w:pPr>
        <w:rPr>
          <w:rtl/>
        </w:rPr>
      </w:pPr>
    </w:p>
    <w:p w14:paraId="50E30B40" w14:textId="77777777" w:rsidR="00537CC8" w:rsidRPr="0025250D" w:rsidRDefault="00537CC8" w:rsidP="00537CC8">
      <w:pPr>
        <w:rPr>
          <w:rtl/>
        </w:rPr>
      </w:pPr>
    </w:p>
    <w:p w14:paraId="31336DD8" w14:textId="77777777" w:rsidR="00537CC8" w:rsidRPr="0025250D" w:rsidRDefault="00537CC8" w:rsidP="00537CC8">
      <w:pPr>
        <w:rPr>
          <w:rtl/>
        </w:rPr>
      </w:pPr>
    </w:p>
    <w:p w14:paraId="1D09B7E9" w14:textId="77777777" w:rsidR="00537CC8" w:rsidRPr="0025250D" w:rsidRDefault="00537CC8" w:rsidP="00537CC8">
      <w:pPr>
        <w:rPr>
          <w:rtl/>
        </w:rPr>
      </w:pPr>
    </w:p>
    <w:p w14:paraId="18E12137" w14:textId="77777777" w:rsidR="00537CC8" w:rsidRPr="0025250D" w:rsidRDefault="00537CC8" w:rsidP="00537CC8">
      <w:pPr>
        <w:rPr>
          <w:rtl/>
        </w:rPr>
      </w:pPr>
    </w:p>
    <w:p w14:paraId="0FC3FDF8" w14:textId="77777777" w:rsidR="00537CC8" w:rsidRPr="0025250D" w:rsidRDefault="00537CC8" w:rsidP="00537CC8">
      <w:pPr>
        <w:rPr>
          <w:rtl/>
        </w:rPr>
      </w:pPr>
    </w:p>
    <w:p w14:paraId="6CF2D567" w14:textId="77777777" w:rsidR="00537CC8" w:rsidRPr="0025250D" w:rsidRDefault="00537CC8" w:rsidP="00537CC8">
      <w:pPr>
        <w:rPr>
          <w:rtl/>
        </w:rPr>
      </w:pPr>
    </w:p>
    <w:p w14:paraId="3AF1C71B" w14:textId="77777777" w:rsidR="00537CC8" w:rsidRPr="0025250D" w:rsidRDefault="00537CC8" w:rsidP="00537CC8">
      <w:pPr>
        <w:rPr>
          <w:rtl/>
        </w:rPr>
      </w:pPr>
    </w:p>
    <w:p w14:paraId="687025DB" w14:textId="77777777" w:rsidR="00537CC8" w:rsidRPr="0025250D" w:rsidRDefault="00537CC8" w:rsidP="00537CC8">
      <w:pPr>
        <w:rPr>
          <w:rtl/>
        </w:rPr>
      </w:pPr>
    </w:p>
    <w:p w14:paraId="3169349A" w14:textId="77777777" w:rsidR="00537CC8" w:rsidRPr="0025250D" w:rsidRDefault="00537CC8" w:rsidP="00537CC8">
      <w:pPr>
        <w:rPr>
          <w:rtl/>
        </w:rPr>
      </w:pPr>
    </w:p>
    <w:p w14:paraId="2C13BCF5" w14:textId="77777777" w:rsidR="00537CC8" w:rsidRPr="0025250D" w:rsidRDefault="00537CC8" w:rsidP="00537CC8">
      <w:pPr>
        <w:rPr>
          <w:rtl/>
        </w:rPr>
      </w:pPr>
    </w:p>
    <w:p w14:paraId="0C44C1A6" w14:textId="77777777" w:rsidR="00537CC8" w:rsidRPr="0025250D" w:rsidRDefault="00537CC8" w:rsidP="00537CC8">
      <w:pPr>
        <w:rPr>
          <w:rtl/>
        </w:rPr>
      </w:pPr>
    </w:p>
    <w:p w14:paraId="44C5AB16" w14:textId="77777777" w:rsidR="00537CC8" w:rsidRPr="0025250D" w:rsidRDefault="00537CC8" w:rsidP="00537CC8">
      <w:pPr>
        <w:rPr>
          <w:rtl/>
        </w:rPr>
      </w:pPr>
    </w:p>
    <w:p w14:paraId="6E414428" w14:textId="77777777" w:rsidR="00537CC8" w:rsidRPr="0025250D" w:rsidRDefault="00537CC8" w:rsidP="00537CC8">
      <w:pPr>
        <w:rPr>
          <w:rtl/>
        </w:rPr>
      </w:pPr>
    </w:p>
    <w:p w14:paraId="58E09237" w14:textId="77777777" w:rsidR="00537CC8" w:rsidRPr="0025250D" w:rsidRDefault="00537CC8" w:rsidP="00537CC8">
      <w:pPr>
        <w:rPr>
          <w:rtl/>
        </w:rPr>
      </w:pPr>
    </w:p>
    <w:p w14:paraId="3A56202C" w14:textId="77777777" w:rsidR="00537CC8" w:rsidRPr="0025250D" w:rsidRDefault="00537CC8" w:rsidP="00537CC8">
      <w:pPr>
        <w:rPr>
          <w:rtl/>
        </w:rPr>
      </w:pPr>
    </w:p>
    <w:p w14:paraId="151D09CF" w14:textId="77777777" w:rsidR="00537CC8" w:rsidRPr="0025250D" w:rsidRDefault="00537CC8" w:rsidP="00537CC8">
      <w:pPr>
        <w:rPr>
          <w:rtl/>
        </w:rPr>
      </w:pPr>
    </w:p>
    <w:p w14:paraId="29AEE707" w14:textId="77777777" w:rsidR="00537CC8" w:rsidRPr="0025250D" w:rsidRDefault="00537CC8" w:rsidP="009E77BD">
      <w:pPr>
        <w:pStyle w:val="Heading2"/>
        <w:rPr>
          <w:rtl/>
        </w:rPr>
      </w:pPr>
      <w:bookmarkStart w:id="27" w:name="_Toc127831292"/>
      <w:r w:rsidRPr="0025250D">
        <w:rPr>
          <w:rFonts w:hint="cs"/>
          <w:rtl/>
        </w:rPr>
        <w:lastRenderedPageBreak/>
        <w:t>تاریخچه‌ای بسیار کوتاه از این زمینه</w:t>
      </w:r>
      <w:bookmarkEnd w:id="27"/>
    </w:p>
    <w:p w14:paraId="35E1BC7A" w14:textId="0E2386EF" w:rsidR="00537CC8" w:rsidRPr="0025250D" w:rsidRDefault="00537CC8" w:rsidP="00537CC8">
      <w:pPr>
        <w:rPr>
          <w:rtl/>
        </w:rPr>
      </w:pP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از قرن 17 در اروپا در طول عصر روشنگری</w:t>
      </w:r>
      <w:r w:rsidRPr="0025250D">
        <w:rPr>
          <w:vertAlign w:val="superscript"/>
          <w:rtl/>
        </w:rPr>
        <w:footnoteReference w:id="970"/>
      </w:r>
      <w:r w:rsidRPr="0025250D">
        <w:rPr>
          <w:rFonts w:hint="cs"/>
          <w:rtl/>
        </w:rPr>
        <w:t xml:space="preserve"> آغاز شد که هم‌زمان با تولد علوم مدرن، منطق و </w:t>
      </w:r>
      <w:r w:rsidRPr="0025250D">
        <w:rPr>
          <w:rtl/>
        </w:rPr>
        <w:t>آینده‌نگاری</w:t>
      </w:r>
      <w:r w:rsidRPr="0025250D">
        <w:rPr>
          <w:rFonts w:hint="cs"/>
          <w:rtl/>
        </w:rPr>
        <w:t xml:space="preserve"> بود. عصر روشنگری اروپا، با تفکر آزاد، </w:t>
      </w:r>
      <w:r w:rsidRPr="0025250D">
        <w:rPr>
          <w:rtl/>
        </w:rPr>
        <w:t xml:space="preserve">آرمان‌های </w:t>
      </w:r>
      <w:r w:rsidR="00EE4B64" w:rsidRPr="0025250D">
        <w:rPr>
          <w:rFonts w:hint="cs"/>
          <w:rtl/>
        </w:rPr>
        <w:t>مردم‌سالار</w:t>
      </w:r>
      <w:r w:rsidRPr="0025250D">
        <w:rPr>
          <w:rFonts w:hint="cs"/>
          <w:rtl/>
        </w:rPr>
        <w:t>انه و اولویت جستجو برای مدارک و شواهد، جهش رو به جلوی بزرگی برای بشریت بود. در این دوره اولین رویکرد‌های مدرن نسبت به آزادیِ اندیشه و عمل، حقوق فردی، روش‌های علمی، برابرگرایی</w:t>
      </w:r>
      <w:r w:rsidRPr="0025250D">
        <w:rPr>
          <w:vertAlign w:val="superscript"/>
          <w:rtl/>
        </w:rPr>
        <w:footnoteReference w:id="971"/>
      </w:r>
      <w:r w:rsidRPr="0025250D">
        <w:rPr>
          <w:rFonts w:hint="cs"/>
          <w:rtl/>
        </w:rPr>
        <w:t xml:space="preserve">، </w:t>
      </w:r>
      <w:r w:rsidR="00EE4B64" w:rsidRPr="0025250D">
        <w:rPr>
          <w:rFonts w:hint="cs"/>
          <w:rtl/>
        </w:rPr>
        <w:t>مردم‌سالار</w:t>
      </w:r>
      <w:r w:rsidRPr="0025250D">
        <w:rPr>
          <w:rFonts w:hint="cs"/>
          <w:rtl/>
        </w:rPr>
        <w:t xml:space="preserve">ی و جداسازی کلیسا و حکومت را شاهد هستیم. </w:t>
      </w:r>
      <w:r w:rsidRPr="0025250D">
        <w:rPr>
          <w:rtl/>
        </w:rPr>
        <w:t>باروخ اسپ</w:t>
      </w:r>
      <w:r w:rsidRPr="0025250D">
        <w:rPr>
          <w:rFonts w:hint="cs"/>
          <w:rtl/>
        </w:rPr>
        <w:t>ی</w:t>
      </w:r>
      <w:r w:rsidRPr="0025250D">
        <w:rPr>
          <w:rFonts w:hint="eastAsia"/>
          <w:rtl/>
        </w:rPr>
        <w:t>نوزا</w:t>
      </w:r>
      <w:r w:rsidRPr="0025250D">
        <w:rPr>
          <w:vertAlign w:val="superscript"/>
          <w:rtl/>
        </w:rPr>
        <w:footnoteReference w:id="972"/>
      </w:r>
      <w:r w:rsidRPr="0025250D">
        <w:rPr>
          <w:rFonts w:hint="cs"/>
          <w:rtl/>
        </w:rPr>
        <w:t xml:space="preserve"> تأثیر مهمی بر پدیداری دولت </w:t>
      </w:r>
      <w:r w:rsidR="00EE4B64" w:rsidRPr="0025250D">
        <w:rPr>
          <w:rFonts w:hint="cs"/>
          <w:rtl/>
        </w:rPr>
        <w:t>مردم‌سالار</w:t>
      </w:r>
      <w:r w:rsidRPr="0025250D">
        <w:rPr>
          <w:rFonts w:hint="cs"/>
          <w:rtl/>
        </w:rPr>
        <w:t xml:space="preserve"> مدرن ما داشت. او ذهنیتی از جستجوگری منطقی و شکاکیت</w:t>
      </w:r>
      <w:r w:rsidRPr="0025250D">
        <w:rPr>
          <w:vertAlign w:val="superscript"/>
          <w:rtl/>
        </w:rPr>
        <w:footnoteReference w:id="973"/>
      </w:r>
      <w:r w:rsidRPr="0025250D">
        <w:rPr>
          <w:rFonts w:hint="cs"/>
          <w:rtl/>
        </w:rPr>
        <w:t xml:space="preserve"> را رایج کرد که در آن </w:t>
      </w:r>
      <w:r w:rsidRPr="0025250D">
        <w:rPr>
          <w:rtl/>
        </w:rPr>
        <w:t>آینده‌نگاری</w:t>
      </w:r>
      <w:r w:rsidRPr="0025250D">
        <w:rPr>
          <w:rFonts w:hint="cs"/>
          <w:rtl/>
        </w:rPr>
        <w:t xml:space="preserve"> مبتنی بر شواهد مدرن قابلیت رشد داشت. اثر </w:t>
      </w:r>
      <w:r w:rsidR="0063099E" w:rsidRPr="0025250D">
        <w:rPr>
          <w:rtl/>
        </w:rPr>
        <w:t>«</w:t>
      </w:r>
      <w:r w:rsidRPr="0025250D">
        <w:rPr>
          <w:rtl/>
        </w:rPr>
        <w:t>اسپ</w:t>
      </w:r>
      <w:r w:rsidRPr="0025250D">
        <w:rPr>
          <w:rFonts w:hint="cs"/>
          <w:rtl/>
        </w:rPr>
        <w:t>ی</w:t>
      </w:r>
      <w:r w:rsidRPr="0025250D">
        <w:rPr>
          <w:rFonts w:hint="eastAsia"/>
          <w:rtl/>
        </w:rPr>
        <w:t>نوزا</w:t>
      </w:r>
      <w:r w:rsidRPr="0025250D">
        <w:rPr>
          <w:vertAlign w:val="superscript"/>
          <w:rtl/>
        </w:rPr>
        <w:footnoteReference w:id="974"/>
      </w:r>
      <w:r w:rsidR="0063099E" w:rsidRPr="0025250D">
        <w:rPr>
          <w:rtl/>
        </w:rPr>
        <w:t>»</w:t>
      </w:r>
      <w:r w:rsidRPr="0025250D">
        <w:rPr>
          <w:rFonts w:hint="cs"/>
          <w:rtl/>
        </w:rPr>
        <w:t xml:space="preserve"> از </w:t>
      </w:r>
      <w:r w:rsidRPr="0025250D">
        <w:rPr>
          <w:rtl/>
        </w:rPr>
        <w:t>است</w:t>
      </w:r>
      <w:r w:rsidRPr="0025250D">
        <w:rPr>
          <w:rFonts w:hint="cs"/>
          <w:rtl/>
        </w:rPr>
        <w:t>ی</w:t>
      </w:r>
      <w:r w:rsidRPr="0025250D">
        <w:rPr>
          <w:rFonts w:hint="eastAsia"/>
          <w:rtl/>
        </w:rPr>
        <w:t>ون</w:t>
      </w:r>
      <w:r w:rsidRPr="0025250D">
        <w:rPr>
          <w:rtl/>
        </w:rPr>
        <w:t xml:space="preserve"> نادلر</w:t>
      </w:r>
      <w:r w:rsidRPr="0025250D">
        <w:rPr>
          <w:vertAlign w:val="superscript"/>
          <w:rtl/>
        </w:rPr>
        <w:footnoteReference w:id="975"/>
      </w:r>
      <w:r w:rsidRPr="0025250D">
        <w:rPr>
          <w:rFonts w:hint="cs"/>
          <w:rtl/>
        </w:rPr>
        <w:t xml:space="preserve"> در سال 2001، این متفکر مهم در عصر روشنگری را معرفی می‌کند. ایده‌های او امروزه هم بنیادی هستند.</w:t>
      </w:r>
    </w:p>
    <w:p w14:paraId="3008725B" w14:textId="77777777" w:rsidR="00537CC8" w:rsidRPr="0025250D" w:rsidRDefault="00537CC8" w:rsidP="009E77BD">
      <w:pPr>
        <w:jc w:val="center"/>
        <w:rPr>
          <w:rtl/>
        </w:rPr>
      </w:pPr>
      <w:r w:rsidRPr="0025250D">
        <w:rPr>
          <w:noProof/>
          <w:rtl/>
          <w:lang w:bidi="ar-SA"/>
        </w:rPr>
        <w:drawing>
          <wp:inline distT="0" distB="0" distL="0" distR="0" wp14:anchorId="06358527" wp14:editId="51B63259">
            <wp:extent cx="4564049" cy="2646899"/>
            <wp:effectExtent l="0" t="0" r="8255" b="1270"/>
            <wp:docPr id="61" name="Picture 61" descr="D:\کار\مستقل\3 ( ترجمه ی دانشگاه تهران  )\Introduction to Foresight\part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3\1.png"/>
                    <pic:cNvPicPr>
                      <a:picLocks noChangeAspect="1" noChangeArrowheads="1"/>
                    </pic:cNvPicPr>
                  </pic:nvPicPr>
                  <pic:blipFill rotWithShape="1">
                    <a:blip r:embed="rId95" cstate="screen">
                      <a:extLst>
                        <a:ext uri="{BEBA8EAE-BF5A-486C-A8C5-ECC9F3942E4B}">
                          <a14:imgProps xmlns:a14="http://schemas.microsoft.com/office/drawing/2010/main">
                            <a14:imgLayer r:embed="rId96">
                              <a14:imgEffect>
                                <a14:saturation sat="0"/>
                              </a14:imgEffect>
                            </a14:imgLayer>
                          </a14:imgProps>
                        </a:ext>
                        <a:ext uri="{28A0092B-C50C-407E-A947-70E740481C1C}">
                          <a14:useLocalDpi xmlns:a14="http://schemas.microsoft.com/office/drawing/2010/main"/>
                        </a:ext>
                      </a:extLst>
                    </a:blip>
                    <a:srcRect/>
                    <a:stretch/>
                  </pic:blipFill>
                  <pic:spPr bwMode="auto">
                    <a:xfrm>
                      <a:off x="0" y="0"/>
                      <a:ext cx="4575727" cy="2653672"/>
                    </a:xfrm>
                    <a:prstGeom prst="rect">
                      <a:avLst/>
                    </a:prstGeom>
                    <a:noFill/>
                    <a:ln>
                      <a:noFill/>
                    </a:ln>
                    <a:extLst>
                      <a:ext uri="{53640926-AAD7-44D8-BBD7-CCE9431645EC}">
                        <a14:shadowObscured xmlns:a14="http://schemas.microsoft.com/office/drawing/2010/main"/>
                      </a:ext>
                    </a:extLst>
                  </pic:spPr>
                </pic:pic>
              </a:graphicData>
            </a:graphic>
          </wp:inline>
        </w:drawing>
      </w:r>
    </w:p>
    <w:p w14:paraId="4F17E553" w14:textId="77777777" w:rsidR="00537CC8" w:rsidRPr="0025250D" w:rsidRDefault="00537CC8" w:rsidP="009E77BD">
      <w:pPr>
        <w:jc w:val="center"/>
        <w:rPr>
          <w:rtl/>
        </w:rPr>
      </w:pPr>
      <w:r w:rsidRPr="0025250D">
        <w:rPr>
          <w:rFonts w:hint="cs"/>
          <w:rtl/>
        </w:rPr>
        <w:t>روشنگری اروپا، 1650-1850</w:t>
      </w:r>
    </w:p>
    <w:p w14:paraId="62C579F1" w14:textId="752AE862" w:rsidR="00537CC8" w:rsidRPr="0025250D" w:rsidRDefault="00537CC8" w:rsidP="00537CC8">
      <w:pPr>
        <w:rPr>
          <w:rtl/>
        </w:rPr>
      </w:pPr>
      <w:r w:rsidRPr="0025250D">
        <w:rPr>
          <w:rFonts w:hint="cs"/>
          <w:rtl/>
        </w:rPr>
        <w:t>یک توسعه</w:t>
      </w:r>
      <w:r w:rsidRPr="0025250D">
        <w:rPr>
          <w:rFonts w:hint="cs"/>
        </w:rPr>
        <w:t>‌</w:t>
      </w:r>
      <w:r w:rsidRPr="0025250D">
        <w:rPr>
          <w:rFonts w:hint="cs"/>
          <w:rtl/>
        </w:rPr>
        <w:t xml:space="preserve"> فکری کلیدی که </w:t>
      </w:r>
      <w:r w:rsidR="004C483C" w:rsidRPr="0025250D">
        <w:rPr>
          <w:rFonts w:hint="cs"/>
          <w:rtl/>
        </w:rPr>
        <w:t xml:space="preserve">امکان پدیدار شدن را برای </w:t>
      </w:r>
      <w:r w:rsidRPr="0025250D">
        <w:rPr>
          <w:rFonts w:hint="cs"/>
          <w:rtl/>
        </w:rPr>
        <w:t xml:space="preserve">علم، استدلال و </w:t>
      </w:r>
      <w:r w:rsidRPr="0025250D">
        <w:rPr>
          <w:rtl/>
        </w:rPr>
        <w:t>آینده‌نگاری</w:t>
      </w:r>
      <w:r w:rsidRPr="0025250D">
        <w:rPr>
          <w:rFonts w:hint="cs"/>
          <w:rtl/>
        </w:rPr>
        <w:t xml:space="preserve"> شواهد محور </w:t>
      </w:r>
      <w:r w:rsidR="004C483C" w:rsidRPr="0025250D">
        <w:rPr>
          <w:rFonts w:hint="cs"/>
          <w:rtl/>
        </w:rPr>
        <w:t>فراهم آورد</w:t>
      </w:r>
      <w:r w:rsidRPr="0025250D">
        <w:rPr>
          <w:rFonts w:hint="cs"/>
          <w:rtl/>
        </w:rPr>
        <w:t xml:space="preserve"> استدلال استقرایی</w:t>
      </w:r>
      <w:r w:rsidRPr="0025250D">
        <w:rPr>
          <w:vertAlign w:val="superscript"/>
          <w:rtl/>
        </w:rPr>
        <w:footnoteReference w:id="976"/>
      </w:r>
      <w:r w:rsidRPr="0025250D">
        <w:rPr>
          <w:rFonts w:hint="cs"/>
          <w:rtl/>
        </w:rPr>
        <w:t xml:space="preserve"> بود. استقرا به مشاهده</w:t>
      </w:r>
      <w:r w:rsidRPr="0025250D">
        <w:rPr>
          <w:rFonts w:hint="cs"/>
        </w:rPr>
        <w:t>‌</w:t>
      </w:r>
      <w:r w:rsidRPr="0025250D">
        <w:rPr>
          <w:rFonts w:hint="cs"/>
          <w:rtl/>
        </w:rPr>
        <w:t xml:space="preserve"> نمونه‌های منفرد از هر فرایند و سپس یافتن یک قانون کلی</w:t>
      </w:r>
      <w:r w:rsidRPr="0025250D">
        <w:rPr>
          <w:vertAlign w:val="superscript"/>
          <w:rtl/>
        </w:rPr>
        <w:footnoteReference w:id="977"/>
      </w:r>
      <w:r w:rsidRPr="0025250D">
        <w:rPr>
          <w:rFonts w:hint="cs"/>
          <w:rtl/>
        </w:rPr>
        <w:t xml:space="preserve"> برای توصیف آن‌ها نیاز دارد. به بیان دیگر، استقرا شامل استدلال </w:t>
      </w:r>
      <w:r w:rsidR="0063099E" w:rsidRPr="0025250D">
        <w:rPr>
          <w:rtl/>
        </w:rPr>
        <w:t>«</w:t>
      </w:r>
      <w:r w:rsidRPr="0025250D">
        <w:rPr>
          <w:rFonts w:hint="cs"/>
          <w:rtl/>
        </w:rPr>
        <w:t>رو به بالا</w:t>
      </w:r>
      <w:r w:rsidRPr="0025250D">
        <w:rPr>
          <w:vertAlign w:val="superscript"/>
          <w:rtl/>
        </w:rPr>
        <w:footnoteReference w:id="978"/>
      </w:r>
      <w:r w:rsidR="0063099E" w:rsidRPr="0025250D">
        <w:rPr>
          <w:rtl/>
        </w:rPr>
        <w:t>»</w:t>
      </w:r>
      <w:r w:rsidRPr="0025250D">
        <w:rPr>
          <w:rFonts w:hint="cs"/>
          <w:rtl/>
        </w:rPr>
        <w:t xml:space="preserve"> می‌شود </w:t>
      </w:r>
      <w:r w:rsidRPr="0025250D">
        <w:rPr>
          <w:rFonts w:cs="Times New Roman" w:hint="cs"/>
          <w:rtl/>
        </w:rPr>
        <w:t>–</w:t>
      </w:r>
      <w:r w:rsidRPr="0025250D">
        <w:rPr>
          <w:rFonts w:hint="cs"/>
          <w:rtl/>
        </w:rPr>
        <w:t xml:space="preserve"> از موارد خاص به موارد فراگیر و کلی. تفکر استقرایی تنها با نظریه احتمال، درمورد چگونگی برآورد آینده در بازی‌های شانس در سال 1654 که با همکاری </w:t>
      </w:r>
      <w:r w:rsidRPr="0025250D">
        <w:rPr>
          <w:rtl/>
        </w:rPr>
        <w:t>بلز پاسکال</w:t>
      </w:r>
      <w:r w:rsidRPr="0025250D">
        <w:rPr>
          <w:vertAlign w:val="superscript"/>
          <w:rtl/>
        </w:rPr>
        <w:footnoteReference w:id="979"/>
      </w:r>
      <w:r w:rsidRPr="0025250D">
        <w:rPr>
          <w:rFonts w:hint="cs"/>
          <w:rtl/>
        </w:rPr>
        <w:t xml:space="preserve"> و </w:t>
      </w:r>
      <w:r w:rsidRPr="0025250D">
        <w:rPr>
          <w:rtl/>
        </w:rPr>
        <w:t>پ</w:t>
      </w:r>
      <w:r w:rsidRPr="0025250D">
        <w:rPr>
          <w:rFonts w:hint="cs"/>
          <w:rtl/>
        </w:rPr>
        <w:t>ی</w:t>
      </w:r>
      <w:r w:rsidRPr="0025250D">
        <w:rPr>
          <w:rFonts w:hint="eastAsia"/>
          <w:rtl/>
        </w:rPr>
        <w:t>ر</w:t>
      </w:r>
      <w:r w:rsidRPr="0025250D">
        <w:rPr>
          <w:rtl/>
        </w:rPr>
        <w:t xml:space="preserve"> دو فرما</w:t>
      </w:r>
      <w:r w:rsidRPr="0025250D">
        <w:rPr>
          <w:vertAlign w:val="superscript"/>
          <w:rtl/>
        </w:rPr>
        <w:footnoteReference w:id="980"/>
      </w:r>
      <w:r w:rsidRPr="0025250D">
        <w:rPr>
          <w:rFonts w:hint="cs"/>
          <w:rtl/>
        </w:rPr>
        <w:t xml:space="preserve"> آغاز شد، شکل مشروعی به خود گرفت. بینش کلیدی آن‌ها به آثاری مانند </w:t>
      </w:r>
      <w:r w:rsidR="0063099E" w:rsidRPr="0025250D">
        <w:rPr>
          <w:rtl/>
        </w:rPr>
        <w:t>«</w:t>
      </w:r>
      <w:r w:rsidRPr="0025250D">
        <w:rPr>
          <w:rFonts w:hint="cs"/>
          <w:rtl/>
        </w:rPr>
        <w:t>استدلال در بازی شانس</w:t>
      </w:r>
      <w:r w:rsidRPr="0025250D">
        <w:rPr>
          <w:vertAlign w:val="superscript"/>
          <w:rtl/>
        </w:rPr>
        <w:footnoteReference w:id="981"/>
      </w:r>
      <w:r w:rsidR="0063099E" w:rsidRPr="0025250D">
        <w:rPr>
          <w:rtl/>
        </w:rPr>
        <w:t>»</w:t>
      </w:r>
      <w:r w:rsidRPr="0025250D">
        <w:rPr>
          <w:rFonts w:hint="cs"/>
          <w:rtl/>
        </w:rPr>
        <w:t xml:space="preserve"> اثر </w:t>
      </w:r>
      <w:r w:rsidRPr="0025250D">
        <w:rPr>
          <w:rtl/>
        </w:rPr>
        <w:t>هو</w:t>
      </w:r>
      <w:r w:rsidRPr="0025250D">
        <w:rPr>
          <w:rFonts w:hint="cs"/>
          <w:rtl/>
        </w:rPr>
        <w:t>ی</w:t>
      </w:r>
      <w:r w:rsidRPr="0025250D">
        <w:rPr>
          <w:rFonts w:hint="eastAsia"/>
          <w:rtl/>
        </w:rPr>
        <w:t>گنس</w:t>
      </w:r>
      <w:r w:rsidRPr="0025250D">
        <w:rPr>
          <w:vertAlign w:val="superscript"/>
          <w:rtl/>
        </w:rPr>
        <w:footnoteReference w:id="982"/>
      </w:r>
      <w:r w:rsidRPr="0025250D">
        <w:rPr>
          <w:rFonts w:hint="cs"/>
          <w:rtl/>
        </w:rPr>
        <w:t xml:space="preserve"> در سال 1657، </w:t>
      </w:r>
      <w:r w:rsidR="0063099E" w:rsidRPr="0025250D">
        <w:rPr>
          <w:rtl/>
        </w:rPr>
        <w:t>«</w:t>
      </w:r>
      <w:r w:rsidRPr="0025250D">
        <w:rPr>
          <w:rFonts w:hint="cs"/>
          <w:rtl/>
        </w:rPr>
        <w:t>کتابی در مورد بازی شانس</w:t>
      </w:r>
      <w:r w:rsidRPr="0025250D">
        <w:rPr>
          <w:vertAlign w:val="superscript"/>
          <w:rtl/>
        </w:rPr>
        <w:footnoteReference w:id="983"/>
      </w:r>
      <w:r w:rsidR="0063099E" w:rsidRPr="0025250D">
        <w:rPr>
          <w:rtl/>
        </w:rPr>
        <w:t>»</w:t>
      </w:r>
      <w:r w:rsidRPr="0025250D">
        <w:rPr>
          <w:rFonts w:hint="cs"/>
          <w:rtl/>
        </w:rPr>
        <w:t xml:space="preserve"> از </w:t>
      </w:r>
      <w:r w:rsidRPr="0025250D">
        <w:rPr>
          <w:rtl/>
        </w:rPr>
        <w:t>کاردانو</w:t>
      </w:r>
      <w:r w:rsidRPr="0025250D">
        <w:rPr>
          <w:vertAlign w:val="superscript"/>
          <w:rtl/>
        </w:rPr>
        <w:footnoteReference w:id="984"/>
      </w:r>
      <w:r w:rsidRPr="0025250D">
        <w:rPr>
          <w:rFonts w:hint="cs"/>
          <w:rtl/>
        </w:rPr>
        <w:t xml:space="preserve"> در سال 1663 و اثر کلی تر </w:t>
      </w:r>
      <w:r w:rsidR="0063099E" w:rsidRPr="0025250D">
        <w:rPr>
          <w:rtl/>
        </w:rPr>
        <w:t>«</w:t>
      </w:r>
      <w:r w:rsidRPr="0025250D">
        <w:rPr>
          <w:rFonts w:hint="cs"/>
          <w:rtl/>
        </w:rPr>
        <w:t xml:space="preserve">هنر </w:t>
      </w:r>
      <w:r w:rsidR="00F662B0" w:rsidRPr="0025250D">
        <w:rPr>
          <w:rFonts w:hint="cs"/>
          <w:rtl/>
        </w:rPr>
        <w:t>گمانه‌زنی</w:t>
      </w:r>
      <w:r w:rsidRPr="0025250D">
        <w:rPr>
          <w:vertAlign w:val="superscript"/>
          <w:rtl/>
        </w:rPr>
        <w:footnoteReference w:id="985"/>
      </w:r>
      <w:r w:rsidR="0063099E" w:rsidRPr="0025250D">
        <w:rPr>
          <w:rtl/>
        </w:rPr>
        <w:t>»</w:t>
      </w:r>
      <w:r w:rsidRPr="0025250D">
        <w:rPr>
          <w:rFonts w:hint="cs"/>
          <w:rtl/>
        </w:rPr>
        <w:t xml:space="preserve"> در </w:t>
      </w:r>
      <w:r w:rsidRPr="0025250D">
        <w:rPr>
          <w:rFonts w:hint="cs"/>
          <w:rtl/>
        </w:rPr>
        <w:lastRenderedPageBreak/>
        <w:t xml:space="preserve">سال 1713 اثر </w:t>
      </w:r>
      <w:r w:rsidRPr="0025250D">
        <w:rPr>
          <w:rtl/>
        </w:rPr>
        <w:t>برنول</w:t>
      </w:r>
      <w:r w:rsidRPr="0025250D">
        <w:rPr>
          <w:rFonts w:hint="cs"/>
          <w:rtl/>
        </w:rPr>
        <w:t>ی</w:t>
      </w:r>
      <w:r w:rsidRPr="0025250D">
        <w:rPr>
          <w:vertAlign w:val="superscript"/>
          <w:rtl/>
        </w:rPr>
        <w:footnoteReference w:id="986"/>
      </w:r>
      <w:r w:rsidRPr="0025250D">
        <w:rPr>
          <w:rFonts w:hint="cs"/>
          <w:rtl/>
        </w:rPr>
        <w:t xml:space="preserve"> منجر شد. اگرچه این نوع از استدلال توسط ارسطو در یونان باستان توصیف شده بود، به گذشت دو هزاره</w:t>
      </w:r>
      <w:r w:rsidRPr="0025250D">
        <w:rPr>
          <w:vertAlign w:val="superscript"/>
          <w:rtl/>
        </w:rPr>
        <w:footnoteReference w:id="987"/>
      </w:r>
      <w:r w:rsidRPr="0025250D">
        <w:rPr>
          <w:rFonts w:hint="cs"/>
          <w:rtl/>
        </w:rPr>
        <w:t xml:space="preserve"> دیگر و پدیداری نظریه احتمال نیاز بود تا در نهایت بتوانیم افراد مهم را قانع کنیم که روش‌های استقرایی شایسته</w:t>
      </w:r>
      <w:r w:rsidRPr="0025250D">
        <w:rPr>
          <w:rFonts w:hint="cs"/>
        </w:rPr>
        <w:t>‌</w:t>
      </w:r>
      <w:r w:rsidRPr="0025250D">
        <w:rPr>
          <w:rFonts w:hint="cs"/>
          <w:rtl/>
        </w:rPr>
        <w:t xml:space="preserve"> توجهی مشابه با استنتاج</w:t>
      </w:r>
      <w:r w:rsidRPr="0025250D">
        <w:rPr>
          <w:vertAlign w:val="superscript"/>
          <w:rtl/>
        </w:rPr>
        <w:footnoteReference w:id="988"/>
      </w:r>
      <w:r w:rsidRPr="0025250D">
        <w:rPr>
          <w:rFonts w:hint="cs"/>
          <w:rtl/>
        </w:rPr>
        <w:t xml:space="preserve"> (منطق) می‌باشند. این پیشرفت‌های کلیدی راه را برای تولد علم آمار در سال 1750 باز کردند.</w:t>
      </w:r>
    </w:p>
    <w:p w14:paraId="4CE3F5C1" w14:textId="43EB6AD7" w:rsidR="00537CC8" w:rsidRPr="0025250D" w:rsidRDefault="00537CC8" w:rsidP="00537CC8">
      <w:pPr>
        <w:rPr>
          <w:rtl/>
        </w:rPr>
      </w:pPr>
      <w:r w:rsidRPr="0025250D">
        <w:rPr>
          <w:rFonts w:hint="cs"/>
          <w:rtl/>
        </w:rPr>
        <w:t xml:space="preserve">از این دوره به بعد، نقص‌های منطق استنتاجی و استدلالی ما (تفکر توسعه‌ای </w:t>
      </w:r>
      <w:r w:rsidR="009D17DA" w:rsidRPr="0025250D">
        <w:rPr>
          <w:rFonts w:hint="cs"/>
          <w:rtl/>
        </w:rPr>
        <w:t>بالا‌به‌پایین</w:t>
      </w:r>
      <w:r w:rsidRPr="0025250D">
        <w:rPr>
          <w:rFonts w:hint="cs"/>
          <w:rtl/>
        </w:rPr>
        <w:t xml:space="preserve">) توانست در نهایت با مشاهده، آزمایش و استقرای هوشمندانه (تفکر پایین به بالای تکاملی) متوازن شود. هیچ کدام از این فرایند‌های ذهنی به تنهایی یک هوش </w:t>
      </w:r>
      <w:r w:rsidR="00B124DE" w:rsidRPr="0025250D">
        <w:rPr>
          <w:rFonts w:hint="cs"/>
          <w:rtl/>
        </w:rPr>
        <w:t>انطباق‌پذیر</w:t>
      </w:r>
      <w:r w:rsidRPr="0025250D">
        <w:rPr>
          <w:rFonts w:hint="cs"/>
          <w:rtl/>
        </w:rPr>
        <w:t xml:space="preserve"> ایجاد</w:t>
      </w:r>
      <w:r w:rsidR="00EE4B64" w:rsidRPr="0025250D">
        <w:rPr>
          <w:rFonts w:hint="cs"/>
          <w:rtl/>
        </w:rPr>
        <w:t xml:space="preserve"> نمی‌</w:t>
      </w:r>
      <w:r w:rsidRPr="0025250D">
        <w:rPr>
          <w:rFonts w:hint="cs"/>
          <w:rtl/>
        </w:rPr>
        <w:t>کند. استنتاج به تنهایی ما را توسط مدل‌های خودمان زندانی می‌کند. شهود به تنهایی به باور‌ها و داستان‌های بررسی نشده</w:t>
      </w:r>
      <w:r w:rsidRPr="0025250D">
        <w:rPr>
          <w:rFonts w:hint="cs"/>
        </w:rPr>
        <w:t>‌</w:t>
      </w:r>
      <w:r w:rsidRPr="0025250D">
        <w:rPr>
          <w:rFonts w:hint="cs"/>
          <w:rtl/>
        </w:rPr>
        <w:t xml:space="preserve"> بی پایان منتهی می‌شود. استقرا، از طریق روش علمی، ابزار لازم برای خروج از ذهن‌های ما را برای فراتر رفتن از محدودیت‌های ذهنیمان </w:t>
      </w:r>
      <w:r w:rsidRPr="0025250D">
        <w:rPr>
          <w:rFonts w:cs="Times New Roman" w:hint="cs"/>
          <w:rtl/>
        </w:rPr>
        <w:t>–</w:t>
      </w:r>
      <w:r w:rsidRPr="0025250D">
        <w:rPr>
          <w:rFonts w:hint="cs"/>
          <w:rtl/>
        </w:rPr>
        <w:t xml:space="preserve"> برای تغییر، تحریف و تأیید مدل هایمان از طریق آزمایش و </w:t>
      </w:r>
      <w:r w:rsidR="00B124DE" w:rsidRPr="0025250D">
        <w:rPr>
          <w:rFonts w:hint="cs"/>
          <w:rtl/>
        </w:rPr>
        <w:t>جمع‌آوری</w:t>
      </w:r>
      <w:r w:rsidRPr="0025250D">
        <w:rPr>
          <w:rFonts w:hint="cs"/>
          <w:rtl/>
        </w:rPr>
        <w:t xml:space="preserve"> داده‌ها </w:t>
      </w:r>
      <w:r w:rsidRPr="0025250D">
        <w:rPr>
          <w:rFonts w:cs="Times New Roman" w:hint="cs"/>
          <w:rtl/>
        </w:rPr>
        <w:t>–</w:t>
      </w:r>
      <w:r w:rsidRPr="0025250D">
        <w:rPr>
          <w:rFonts w:hint="cs"/>
          <w:rtl/>
        </w:rPr>
        <w:t xml:space="preserve"> فراهم می‌کند. به بیان هرم </w:t>
      </w:r>
      <w:r w:rsidRPr="0025250D">
        <w:rPr>
          <w:rtl/>
        </w:rPr>
        <w:t>آینده‌نگاری</w:t>
      </w:r>
      <w:r w:rsidRPr="0025250D">
        <w:rPr>
          <w:rFonts w:hint="cs"/>
          <w:rtl/>
        </w:rPr>
        <w:t xml:space="preserve">، </w:t>
      </w:r>
      <w:r w:rsidRPr="0025250D">
        <w:rPr>
          <w:rtl/>
        </w:rPr>
        <w:t>تجربه گرا</w:t>
      </w:r>
      <w:r w:rsidRPr="0025250D">
        <w:rPr>
          <w:rFonts w:hint="cs"/>
          <w:rtl/>
        </w:rPr>
        <w:t>یی</w:t>
      </w:r>
      <w:r w:rsidRPr="0025250D">
        <w:rPr>
          <w:vertAlign w:val="superscript"/>
          <w:rtl/>
        </w:rPr>
        <w:footnoteReference w:id="989"/>
      </w:r>
      <w:r w:rsidRPr="0025250D">
        <w:rPr>
          <w:rFonts w:hint="cs"/>
          <w:rtl/>
        </w:rPr>
        <w:t>، نظریه و مطلوبیت</w:t>
      </w:r>
      <w:r w:rsidRPr="0025250D">
        <w:rPr>
          <w:vertAlign w:val="superscript"/>
          <w:rtl/>
        </w:rPr>
        <w:footnoteReference w:id="990"/>
      </w:r>
      <w:r w:rsidRPr="0025250D">
        <w:rPr>
          <w:rFonts w:hint="cs"/>
          <w:rtl/>
        </w:rPr>
        <w:t xml:space="preserve"> (ارزیابی‌های موارد ممکن، محتمل و مرجح) هر یک اهداف بنیادی علم به عنوان یک روش دانستن و </w:t>
      </w:r>
      <w:r w:rsidR="002F3C14" w:rsidRPr="0025250D">
        <w:rPr>
          <w:rFonts w:hint="cs"/>
          <w:rtl/>
        </w:rPr>
        <w:t>انطباق</w:t>
      </w:r>
      <w:r w:rsidRPr="0025250D">
        <w:rPr>
          <w:rFonts w:hint="cs"/>
          <w:rtl/>
        </w:rPr>
        <w:t xml:space="preserve"> هستند.</w:t>
      </w:r>
    </w:p>
    <w:p w14:paraId="6057D9D5" w14:textId="64C0BEF8" w:rsidR="00537CC8" w:rsidRPr="0025250D" w:rsidRDefault="00537CC8" w:rsidP="00537CC8">
      <w:pPr>
        <w:rPr>
          <w:rtl/>
        </w:rPr>
      </w:pPr>
      <w:r w:rsidRPr="0025250D">
        <w:rPr>
          <w:rFonts w:hint="cs"/>
          <w:rtl/>
        </w:rPr>
        <w:t xml:space="preserve">یک پیشرفت </w:t>
      </w:r>
      <w:r w:rsidRPr="0025250D">
        <w:rPr>
          <w:rtl/>
        </w:rPr>
        <w:t>آینده‌نگاری</w:t>
      </w:r>
      <w:r w:rsidRPr="0025250D">
        <w:rPr>
          <w:rFonts w:hint="cs"/>
          <w:rtl/>
        </w:rPr>
        <w:t xml:space="preserve"> اصلی دیگر در این دوره از فیلسوفانی از زمینه مکانیک که بعدا فیزیک نامیده شد</w:t>
      </w:r>
      <w:r w:rsidR="008D6F97" w:rsidRPr="0025250D">
        <w:rPr>
          <w:rtl/>
        </w:rPr>
        <w:t xml:space="preserve"> </w:t>
      </w:r>
      <w:r w:rsidRPr="0025250D">
        <w:rPr>
          <w:rFonts w:hint="cs"/>
          <w:rtl/>
        </w:rPr>
        <w:t xml:space="preserve">سرچشمه می‌گیرد. یک مورد برجسته درمیان این افراد </w:t>
      </w:r>
      <w:r w:rsidRPr="0025250D">
        <w:rPr>
          <w:rtl/>
        </w:rPr>
        <w:t>اسحاق ن</w:t>
      </w:r>
      <w:r w:rsidRPr="0025250D">
        <w:rPr>
          <w:rFonts w:hint="cs"/>
          <w:rtl/>
        </w:rPr>
        <w:t>ی</w:t>
      </w:r>
      <w:r w:rsidRPr="0025250D">
        <w:rPr>
          <w:rFonts w:hint="eastAsia"/>
          <w:rtl/>
        </w:rPr>
        <w:t>وتن</w:t>
      </w:r>
      <w:r w:rsidRPr="0025250D">
        <w:rPr>
          <w:vertAlign w:val="superscript"/>
          <w:rtl/>
        </w:rPr>
        <w:footnoteReference w:id="991"/>
      </w:r>
      <w:r w:rsidRPr="0025250D">
        <w:rPr>
          <w:rFonts w:hint="cs"/>
          <w:rtl/>
        </w:rPr>
        <w:t xml:space="preserve"> بود که حساب دیفرانسیل را اختراع کرد (ریاضیات تغییر</w:t>
      </w:r>
      <w:r w:rsidRPr="0025250D">
        <w:rPr>
          <w:vertAlign w:val="superscript"/>
          <w:rtl/>
        </w:rPr>
        <w:footnoteReference w:id="992"/>
      </w:r>
      <w:r w:rsidRPr="0025250D">
        <w:rPr>
          <w:rFonts w:hint="cs"/>
          <w:rtl/>
        </w:rPr>
        <w:t>) و اولین مجموعه</w:t>
      </w:r>
      <w:r w:rsidRPr="0025250D">
        <w:rPr>
          <w:rFonts w:hint="cs"/>
        </w:rPr>
        <w:t>‌</w:t>
      </w:r>
      <w:r w:rsidRPr="0025250D">
        <w:rPr>
          <w:rFonts w:hint="cs"/>
          <w:rtl/>
        </w:rPr>
        <w:t xml:space="preserve"> فراگیر از قوانین جهانی حرکت را در کتاب </w:t>
      </w:r>
      <w:r w:rsidRPr="0025250D">
        <w:rPr>
          <w:rtl/>
        </w:rPr>
        <w:t>اصول ر</w:t>
      </w:r>
      <w:r w:rsidRPr="0025250D">
        <w:rPr>
          <w:rFonts w:hint="cs"/>
          <w:rtl/>
        </w:rPr>
        <w:t>ی</w:t>
      </w:r>
      <w:r w:rsidRPr="0025250D">
        <w:rPr>
          <w:rFonts w:hint="eastAsia"/>
          <w:rtl/>
        </w:rPr>
        <w:t>اض</w:t>
      </w:r>
      <w:r w:rsidRPr="0025250D">
        <w:rPr>
          <w:rFonts w:hint="cs"/>
          <w:rtl/>
        </w:rPr>
        <w:t>ی</w:t>
      </w:r>
      <w:r w:rsidRPr="0025250D">
        <w:rPr>
          <w:vertAlign w:val="superscript"/>
          <w:rtl/>
        </w:rPr>
        <w:footnoteReference w:id="993"/>
      </w:r>
      <w:r w:rsidRPr="0025250D">
        <w:rPr>
          <w:rFonts w:hint="cs"/>
          <w:rtl/>
        </w:rPr>
        <w:t xml:space="preserve"> در سال 1687 منتشر کرد. پس از این کتاب، مردم دانستند با ساخت ابزارها، </w:t>
      </w:r>
      <w:r w:rsidR="00B124DE" w:rsidRPr="0025250D">
        <w:rPr>
          <w:rFonts w:hint="cs"/>
          <w:rtl/>
        </w:rPr>
        <w:t>شکل‌دهی</w:t>
      </w:r>
      <w:r w:rsidRPr="0025250D">
        <w:rPr>
          <w:rFonts w:hint="cs"/>
          <w:rtl/>
        </w:rPr>
        <w:t xml:space="preserve"> نظریات، انجام آزمایش‌ها، </w:t>
      </w:r>
      <w:r w:rsidR="00B124DE" w:rsidRPr="0025250D">
        <w:rPr>
          <w:rFonts w:hint="cs"/>
          <w:rtl/>
        </w:rPr>
        <w:t>جمع‌آوری</w:t>
      </w:r>
      <w:r w:rsidRPr="0025250D">
        <w:rPr>
          <w:rFonts w:hint="cs"/>
          <w:rtl/>
        </w:rPr>
        <w:t xml:space="preserve"> داده‌ها و ساخت مدل‌ها، می‌توانند توضیحاتی احتمال گرایانه</w:t>
      </w:r>
      <w:r w:rsidRPr="0025250D">
        <w:rPr>
          <w:vertAlign w:val="superscript"/>
          <w:rtl/>
        </w:rPr>
        <w:footnoteReference w:id="994"/>
      </w:r>
      <w:r w:rsidRPr="0025250D">
        <w:rPr>
          <w:rFonts w:hint="cs"/>
          <w:rtl/>
        </w:rPr>
        <w:t xml:space="preserve"> از گذشته، حال و آینده</w:t>
      </w:r>
      <w:r w:rsidRPr="0025250D">
        <w:rPr>
          <w:rFonts w:hint="cs"/>
        </w:rPr>
        <w:t>‌</w:t>
      </w:r>
      <w:r w:rsidRPr="0025250D">
        <w:rPr>
          <w:rFonts w:hint="cs"/>
          <w:rtl/>
        </w:rPr>
        <w:t xml:space="preserve"> </w:t>
      </w:r>
      <w:r w:rsidR="008D6F97" w:rsidRPr="0025250D">
        <w:rPr>
          <w:rFonts w:hint="cs"/>
          <w:rtl/>
        </w:rPr>
        <w:t>سامانه‌</w:t>
      </w:r>
      <w:r w:rsidRPr="0025250D">
        <w:rPr>
          <w:rFonts w:hint="cs"/>
          <w:rtl/>
        </w:rPr>
        <w:t>‌های پیچیده، حتی در مقیاس جهانی و فراگیر ارائه دهند.</w:t>
      </w:r>
    </w:p>
    <w:p w14:paraId="254CAFB9" w14:textId="7BFD2FA7" w:rsidR="00537CC8" w:rsidRPr="0025250D" w:rsidRDefault="00537CC8" w:rsidP="00537CC8">
      <w:pPr>
        <w:rPr>
          <w:rtl/>
        </w:rPr>
      </w:pPr>
      <w:r w:rsidRPr="0025250D">
        <w:rPr>
          <w:rFonts w:hint="cs"/>
          <w:rtl/>
        </w:rPr>
        <w:t>خوش بینی روشنفکرانه</w:t>
      </w:r>
      <w:r w:rsidRPr="0025250D">
        <w:rPr>
          <w:vertAlign w:val="superscript"/>
          <w:rtl/>
        </w:rPr>
        <w:footnoteReference w:id="995"/>
      </w:r>
      <w:r w:rsidRPr="0025250D">
        <w:rPr>
          <w:rFonts w:hint="cs"/>
          <w:rtl/>
        </w:rPr>
        <w:t xml:space="preserve"> همچنین موجب پدیداری اولین افراد </w:t>
      </w:r>
      <w:r w:rsidR="00B56611" w:rsidRPr="0025250D">
        <w:rPr>
          <w:rFonts w:hint="cs"/>
          <w:rtl/>
        </w:rPr>
        <w:t>چشم‌انداز</w:t>
      </w:r>
      <w:r w:rsidRPr="0025250D">
        <w:rPr>
          <w:rFonts w:hint="cs"/>
          <w:rtl/>
        </w:rPr>
        <w:t xml:space="preserve">گرای محبوب ما در </w:t>
      </w:r>
      <w:r w:rsidRPr="0025250D">
        <w:rPr>
          <w:rtl/>
        </w:rPr>
        <w:t>آینده‌نگاری</w:t>
      </w:r>
      <w:r w:rsidRPr="0025250D">
        <w:rPr>
          <w:rFonts w:hint="cs"/>
          <w:rtl/>
        </w:rPr>
        <w:t xml:space="preserve"> کیفی، مانند </w:t>
      </w:r>
      <w:r w:rsidRPr="0025250D">
        <w:rPr>
          <w:rtl/>
        </w:rPr>
        <w:t>لو</w:t>
      </w:r>
      <w:r w:rsidRPr="0025250D">
        <w:rPr>
          <w:rFonts w:hint="cs"/>
          <w:rtl/>
        </w:rPr>
        <w:t>یی</w:t>
      </w:r>
      <w:r w:rsidRPr="0025250D">
        <w:rPr>
          <w:rtl/>
        </w:rPr>
        <w:t xml:space="preserve"> مرسر</w:t>
      </w:r>
      <w:r w:rsidRPr="0025250D">
        <w:rPr>
          <w:vertAlign w:val="superscript"/>
          <w:rtl/>
        </w:rPr>
        <w:footnoteReference w:id="996"/>
      </w:r>
      <w:r w:rsidRPr="0025250D">
        <w:rPr>
          <w:rFonts w:hint="cs"/>
          <w:rtl/>
        </w:rPr>
        <w:t xml:space="preserve"> و رمان آرمانشهری او به نام </w:t>
      </w:r>
      <w:r w:rsidR="0063099E" w:rsidRPr="0025250D">
        <w:rPr>
          <w:rtl/>
        </w:rPr>
        <w:t>«</w:t>
      </w:r>
      <w:r w:rsidRPr="0025250D">
        <w:rPr>
          <w:rFonts w:hint="cs"/>
          <w:rtl/>
        </w:rPr>
        <w:t>سال 2440</w:t>
      </w:r>
      <w:r w:rsidRPr="0025250D">
        <w:rPr>
          <w:vertAlign w:val="superscript"/>
          <w:rtl/>
        </w:rPr>
        <w:footnoteReference w:id="997"/>
      </w:r>
      <w:r w:rsidR="0063099E" w:rsidRPr="0025250D">
        <w:rPr>
          <w:rtl/>
        </w:rPr>
        <w:t>»</w:t>
      </w:r>
      <w:r w:rsidRPr="0025250D">
        <w:rPr>
          <w:rFonts w:hint="cs"/>
          <w:rtl/>
        </w:rPr>
        <w:t xml:space="preserve"> در سال 1770 شد که به طور گسترده در سراسر اروپا خوانده و 25 دفعه تجدید چاپ شد. دوره</w:t>
      </w:r>
      <w:r w:rsidRPr="0025250D">
        <w:rPr>
          <w:rFonts w:hint="cs"/>
        </w:rPr>
        <w:t>‌</w:t>
      </w:r>
      <w:r w:rsidRPr="0025250D">
        <w:rPr>
          <w:rFonts w:hint="cs"/>
          <w:rtl/>
        </w:rPr>
        <w:t xml:space="preserve"> باروری و شکوفایی از تقریبا 1750 تا 1850 که اولین انقلاب صنعتی</w:t>
      </w:r>
      <w:r w:rsidRPr="0025250D">
        <w:rPr>
          <w:vertAlign w:val="superscript"/>
          <w:rtl/>
        </w:rPr>
        <w:footnoteReference w:id="998"/>
      </w:r>
      <w:r w:rsidRPr="0025250D">
        <w:rPr>
          <w:rFonts w:hint="cs"/>
          <w:rtl/>
        </w:rPr>
        <w:t xml:space="preserve"> نامیده می‌شود، نامزد</w:t>
      </w:r>
      <w:r w:rsidRPr="0025250D">
        <w:rPr>
          <w:vertAlign w:val="superscript"/>
          <w:rtl/>
        </w:rPr>
        <w:footnoteReference w:id="999"/>
      </w:r>
      <w:r w:rsidRPr="0025250D">
        <w:rPr>
          <w:rFonts w:hint="cs"/>
          <w:rtl/>
        </w:rPr>
        <w:t xml:space="preserve"> ما به عنوان اولین دوره</w:t>
      </w:r>
      <w:r w:rsidRPr="0025250D">
        <w:rPr>
          <w:rFonts w:hint="cs"/>
        </w:rPr>
        <w:t>‌</w:t>
      </w:r>
      <w:r w:rsidRPr="0025250D">
        <w:rPr>
          <w:rFonts w:hint="cs"/>
          <w:rtl/>
        </w:rPr>
        <w:t xml:space="preserve"> بهار و شکوفایی </w:t>
      </w:r>
      <w:r w:rsidRPr="0025250D">
        <w:rPr>
          <w:rtl/>
        </w:rPr>
        <w:t>آینده‌نگاری</w:t>
      </w:r>
      <w:r w:rsidRPr="0025250D">
        <w:rPr>
          <w:rFonts w:hint="cs"/>
          <w:rtl/>
        </w:rPr>
        <w:t xml:space="preserve"> است. در این زمان ما اولین اقدامات و تلاش‌های مدرن خود را برای مدلسازی و درک بشریت به عنوان یک </w:t>
      </w:r>
      <w:r w:rsidR="008D6F97" w:rsidRPr="0025250D">
        <w:rPr>
          <w:rFonts w:hint="cs"/>
          <w:rtl/>
        </w:rPr>
        <w:t>سامانه‌</w:t>
      </w:r>
      <w:r w:rsidRPr="0025250D">
        <w:rPr>
          <w:rFonts w:hint="cs"/>
          <w:rtl/>
        </w:rPr>
        <w:t xml:space="preserve"> پیچیده انجام دادیم.</w:t>
      </w:r>
    </w:p>
    <w:p w14:paraId="09FE22E7" w14:textId="1963D851" w:rsidR="00537CC8" w:rsidRPr="0025250D" w:rsidRDefault="00537CC8" w:rsidP="00537CC8">
      <w:pPr>
        <w:rPr>
          <w:rtl/>
        </w:rPr>
      </w:pPr>
      <w:r w:rsidRPr="0025250D">
        <w:rPr>
          <w:rFonts w:hint="cs"/>
          <w:rtl/>
        </w:rPr>
        <w:t>این عصر آمار شناس</w:t>
      </w:r>
      <w:r w:rsidRPr="0025250D">
        <w:rPr>
          <w:vertAlign w:val="superscript"/>
          <w:rtl/>
        </w:rPr>
        <w:footnoteReference w:id="1000"/>
      </w:r>
      <w:r w:rsidRPr="0025250D">
        <w:rPr>
          <w:rFonts w:hint="cs"/>
          <w:rtl/>
        </w:rPr>
        <w:t xml:space="preserve"> بلژیکی </w:t>
      </w:r>
      <w:r w:rsidRPr="0025250D">
        <w:rPr>
          <w:rtl/>
        </w:rPr>
        <w:t>آدولف کوتلت</w:t>
      </w:r>
      <w:r w:rsidRPr="0025250D">
        <w:rPr>
          <w:vertAlign w:val="superscript"/>
          <w:rtl/>
        </w:rPr>
        <w:footnoteReference w:id="1001"/>
      </w:r>
      <w:r w:rsidRPr="0025250D">
        <w:rPr>
          <w:rFonts w:hint="cs"/>
          <w:rtl/>
        </w:rPr>
        <w:t xml:space="preserve"> و کتاب او به نام </w:t>
      </w:r>
      <w:r w:rsidR="0063099E" w:rsidRPr="0025250D">
        <w:rPr>
          <w:rtl/>
        </w:rPr>
        <w:t>«</w:t>
      </w:r>
      <w:r w:rsidRPr="0025250D">
        <w:rPr>
          <w:rtl/>
        </w:rPr>
        <w:t>رساله</w:t>
      </w:r>
      <w:r w:rsidRPr="0025250D">
        <w:rPr>
          <w:rFonts w:hint="cs"/>
          <w:rtl/>
        </w:rPr>
        <w:t xml:space="preserve">‌ای </w:t>
      </w:r>
      <w:r w:rsidRPr="0025250D">
        <w:rPr>
          <w:rtl/>
        </w:rPr>
        <w:t>درباره انسان</w:t>
      </w:r>
      <w:r w:rsidRPr="0025250D">
        <w:rPr>
          <w:vertAlign w:val="superscript"/>
          <w:rtl/>
        </w:rPr>
        <w:footnoteReference w:id="1002"/>
      </w:r>
      <w:r w:rsidR="0063099E" w:rsidRPr="0025250D">
        <w:rPr>
          <w:rtl/>
        </w:rPr>
        <w:t>»</w:t>
      </w:r>
      <w:r w:rsidRPr="0025250D">
        <w:rPr>
          <w:rFonts w:hint="cs"/>
          <w:rtl/>
        </w:rPr>
        <w:t xml:space="preserve"> در سال 1835 را شامل می‌شود که ایده</w:t>
      </w:r>
      <w:r w:rsidRPr="0025250D">
        <w:rPr>
          <w:rFonts w:hint="cs"/>
        </w:rPr>
        <w:t>‌</w:t>
      </w:r>
      <w:r w:rsidRPr="0025250D">
        <w:rPr>
          <w:rFonts w:hint="cs"/>
          <w:rtl/>
        </w:rPr>
        <w:t xml:space="preserve"> </w:t>
      </w:r>
      <w:r w:rsidR="0063099E" w:rsidRPr="0025250D">
        <w:rPr>
          <w:rtl/>
        </w:rPr>
        <w:t>«</w:t>
      </w:r>
      <w:r w:rsidRPr="0025250D">
        <w:rPr>
          <w:rFonts w:hint="cs"/>
          <w:rtl/>
        </w:rPr>
        <w:t>فیزیک اجتماعی</w:t>
      </w:r>
      <w:r w:rsidRPr="0025250D">
        <w:rPr>
          <w:vertAlign w:val="superscript"/>
          <w:rtl/>
        </w:rPr>
        <w:footnoteReference w:id="1003"/>
      </w:r>
      <w:r w:rsidR="0063099E" w:rsidRPr="0025250D">
        <w:rPr>
          <w:rtl/>
        </w:rPr>
        <w:t>»</w:t>
      </w:r>
      <w:r w:rsidRPr="0025250D">
        <w:rPr>
          <w:rFonts w:hint="cs"/>
          <w:rtl/>
        </w:rPr>
        <w:t xml:space="preserve"> (که بعدا </w:t>
      </w:r>
      <w:r w:rsidR="00B124DE" w:rsidRPr="0025250D">
        <w:rPr>
          <w:rFonts w:hint="cs"/>
          <w:rtl/>
        </w:rPr>
        <w:t>جامعه‌شناسی</w:t>
      </w:r>
      <w:r w:rsidRPr="0025250D">
        <w:rPr>
          <w:vertAlign w:val="superscript"/>
          <w:rtl/>
        </w:rPr>
        <w:footnoteReference w:id="1004"/>
      </w:r>
      <w:r w:rsidRPr="0025250D">
        <w:rPr>
          <w:rFonts w:hint="cs"/>
          <w:rtl/>
        </w:rPr>
        <w:t xml:space="preserve"> نامیده شد)، </w:t>
      </w:r>
      <w:r w:rsidR="00B124DE" w:rsidRPr="0025250D">
        <w:rPr>
          <w:rFonts w:hint="cs"/>
          <w:rtl/>
        </w:rPr>
        <w:t>جمع‌آوری</w:t>
      </w:r>
      <w:r w:rsidRPr="0025250D">
        <w:rPr>
          <w:rFonts w:hint="cs"/>
          <w:rtl/>
        </w:rPr>
        <w:t xml:space="preserve"> داده‌ها درمورد جُرم و رویداد‌های اجتماعی برای ساخت مدل‌های </w:t>
      </w:r>
      <w:r w:rsidR="00D92F6E" w:rsidRPr="0025250D">
        <w:rPr>
          <w:rFonts w:hint="cs"/>
          <w:rtl/>
        </w:rPr>
        <w:t>پیش‌بین</w:t>
      </w:r>
      <w:r w:rsidRPr="0025250D">
        <w:rPr>
          <w:rFonts w:hint="cs"/>
          <w:rtl/>
        </w:rPr>
        <w:t xml:space="preserve">ی کننده‌ای از </w:t>
      </w:r>
      <w:r w:rsidR="0063099E" w:rsidRPr="0025250D">
        <w:rPr>
          <w:rtl/>
        </w:rPr>
        <w:t>«</w:t>
      </w:r>
      <w:r w:rsidRPr="0025250D">
        <w:rPr>
          <w:rFonts w:hint="cs"/>
          <w:rtl/>
        </w:rPr>
        <w:t>انسان معمولی</w:t>
      </w:r>
      <w:r w:rsidRPr="0025250D">
        <w:rPr>
          <w:vertAlign w:val="superscript"/>
          <w:rtl/>
        </w:rPr>
        <w:footnoteReference w:id="1005"/>
      </w:r>
      <w:r w:rsidR="0063099E" w:rsidRPr="0025250D">
        <w:rPr>
          <w:rtl/>
        </w:rPr>
        <w:t>»</w:t>
      </w:r>
      <w:r w:rsidRPr="0025250D">
        <w:rPr>
          <w:rFonts w:hint="cs"/>
          <w:rtl/>
        </w:rPr>
        <w:t xml:space="preserve"> و شناخت این که می‌توانیم تنوع زیادی از قوانین آماری برای فرایند‌های اجتماعی بیابیم را معرفی</w:t>
      </w:r>
      <w:r w:rsidRPr="0025250D">
        <w:rPr>
          <w:rtl/>
        </w:rPr>
        <w:t xml:space="preserve"> </w:t>
      </w:r>
      <w:r w:rsidRPr="0025250D">
        <w:rPr>
          <w:rFonts w:hint="cs"/>
          <w:rtl/>
        </w:rPr>
        <w:t xml:space="preserve">کرد. این تلاش‌ها سبب شد تا فیلسوف </w:t>
      </w:r>
      <w:r w:rsidRPr="0025250D">
        <w:rPr>
          <w:rtl/>
        </w:rPr>
        <w:t>آگوست ک</w:t>
      </w:r>
      <w:r w:rsidRPr="0025250D">
        <w:rPr>
          <w:rFonts w:hint="cs"/>
          <w:rtl/>
        </w:rPr>
        <w:t>وم</w:t>
      </w:r>
      <w:r w:rsidRPr="0025250D">
        <w:rPr>
          <w:rtl/>
        </w:rPr>
        <w:t>ت</w:t>
      </w:r>
      <w:r w:rsidRPr="0025250D">
        <w:rPr>
          <w:vertAlign w:val="superscript"/>
          <w:rtl/>
        </w:rPr>
        <w:footnoteReference w:id="1006"/>
      </w:r>
      <w:r w:rsidRPr="0025250D">
        <w:rPr>
          <w:rFonts w:hint="cs"/>
          <w:rtl/>
        </w:rPr>
        <w:t xml:space="preserve">، یکی دیگر از بنیان گذاران </w:t>
      </w:r>
      <w:r w:rsidR="00B124DE" w:rsidRPr="0025250D">
        <w:rPr>
          <w:rFonts w:hint="cs"/>
          <w:rtl/>
        </w:rPr>
        <w:t>جامعه‌شناسی</w:t>
      </w:r>
      <w:r w:rsidRPr="0025250D">
        <w:rPr>
          <w:rFonts w:hint="cs"/>
          <w:rtl/>
        </w:rPr>
        <w:t xml:space="preserve"> مدرن، قانون سه مرحله</w:t>
      </w:r>
      <w:r w:rsidRPr="0025250D">
        <w:rPr>
          <w:vertAlign w:val="superscript"/>
          <w:rtl/>
        </w:rPr>
        <w:footnoteReference w:id="1007"/>
      </w:r>
      <w:r w:rsidRPr="0025250D">
        <w:rPr>
          <w:rFonts w:hint="cs"/>
          <w:rtl/>
        </w:rPr>
        <w:t xml:space="preserve"> خود را که یک مدل توسعه‌ای از تغییر اجتماعی بود معرفی کند. در مدل </w:t>
      </w:r>
      <w:r w:rsidRPr="0025250D">
        <w:rPr>
          <w:rtl/>
        </w:rPr>
        <w:t>ک</w:t>
      </w:r>
      <w:r w:rsidRPr="0025250D">
        <w:rPr>
          <w:rFonts w:hint="cs"/>
          <w:rtl/>
        </w:rPr>
        <w:t>وم</w:t>
      </w:r>
      <w:r w:rsidRPr="0025250D">
        <w:rPr>
          <w:rtl/>
        </w:rPr>
        <w:t>ت</w:t>
      </w:r>
      <w:r w:rsidRPr="0025250D">
        <w:rPr>
          <w:rFonts w:hint="cs"/>
          <w:rtl/>
        </w:rPr>
        <w:t xml:space="preserve">، جوامع معمولا با رشد پیچیدگی اجتماعی ابتدا به </w:t>
      </w:r>
      <w:r w:rsidRPr="0025250D">
        <w:rPr>
          <w:rtl/>
        </w:rPr>
        <w:t>اله</w:t>
      </w:r>
      <w:r w:rsidRPr="0025250D">
        <w:rPr>
          <w:rFonts w:hint="cs"/>
          <w:rtl/>
        </w:rPr>
        <w:t>ی</w:t>
      </w:r>
      <w:r w:rsidRPr="0025250D">
        <w:rPr>
          <w:rFonts w:hint="eastAsia"/>
          <w:rtl/>
        </w:rPr>
        <w:t>ات</w:t>
      </w:r>
      <w:r w:rsidRPr="0025250D">
        <w:rPr>
          <w:vertAlign w:val="superscript"/>
          <w:rtl/>
        </w:rPr>
        <w:footnoteReference w:id="1008"/>
      </w:r>
      <w:r w:rsidRPr="0025250D">
        <w:rPr>
          <w:rFonts w:hint="cs"/>
          <w:rtl/>
        </w:rPr>
        <w:t>، سپس متافیزیک</w:t>
      </w:r>
      <w:r w:rsidRPr="0025250D">
        <w:rPr>
          <w:vertAlign w:val="superscript"/>
          <w:rtl/>
        </w:rPr>
        <w:footnoteReference w:id="1009"/>
      </w:r>
      <w:r w:rsidRPr="0025250D">
        <w:rPr>
          <w:rFonts w:hint="cs"/>
          <w:rtl/>
        </w:rPr>
        <w:t xml:space="preserve"> و سپس به علم رو می‌آورند. </w:t>
      </w:r>
      <w:r w:rsidRPr="0025250D">
        <w:rPr>
          <w:rtl/>
        </w:rPr>
        <w:t>ک</w:t>
      </w:r>
      <w:r w:rsidRPr="0025250D">
        <w:rPr>
          <w:rFonts w:hint="cs"/>
          <w:rtl/>
        </w:rPr>
        <w:t>وم</w:t>
      </w:r>
      <w:r w:rsidRPr="0025250D">
        <w:rPr>
          <w:rtl/>
        </w:rPr>
        <w:t>ت</w:t>
      </w:r>
      <w:r w:rsidRPr="0025250D">
        <w:rPr>
          <w:rFonts w:hint="cs"/>
          <w:rtl/>
        </w:rPr>
        <w:t xml:space="preserve"> تحت تأثیر پیشرفت نیوتون در علوم، تفکر استنتاجی را به حوزه</w:t>
      </w:r>
      <w:r w:rsidRPr="0025250D">
        <w:rPr>
          <w:rFonts w:hint="cs"/>
        </w:rPr>
        <w:t>‌</w:t>
      </w:r>
      <w:r w:rsidRPr="0025250D">
        <w:rPr>
          <w:rFonts w:hint="cs"/>
          <w:rtl/>
        </w:rPr>
        <w:t xml:space="preserve"> منطق مفرط خود در قالب کتاب </w:t>
      </w:r>
      <w:r w:rsidR="0063099E" w:rsidRPr="0025250D">
        <w:rPr>
          <w:rtl/>
        </w:rPr>
        <w:t>«</w:t>
      </w:r>
      <w:r w:rsidRPr="0025250D">
        <w:rPr>
          <w:rFonts w:hint="cs"/>
          <w:rtl/>
        </w:rPr>
        <w:t>نگاهی کلی به مثبت اندیشی</w:t>
      </w:r>
      <w:r w:rsidRPr="0025250D">
        <w:rPr>
          <w:vertAlign w:val="superscript"/>
          <w:rtl/>
        </w:rPr>
        <w:footnoteReference w:id="1010"/>
      </w:r>
      <w:r w:rsidR="0063099E" w:rsidRPr="0025250D">
        <w:rPr>
          <w:rtl/>
        </w:rPr>
        <w:t>»</w:t>
      </w:r>
      <w:r w:rsidRPr="0025250D">
        <w:rPr>
          <w:rFonts w:hint="cs"/>
          <w:rtl/>
        </w:rPr>
        <w:t xml:space="preserve"> در سال 1844، از دید ما کاملا به اشتباه، برون یابی کرد و پیشنهاد کرد که همه</w:t>
      </w:r>
      <w:r w:rsidRPr="0025250D">
        <w:rPr>
          <w:rFonts w:hint="cs"/>
        </w:rPr>
        <w:t>‌</w:t>
      </w:r>
      <w:r w:rsidRPr="0025250D">
        <w:rPr>
          <w:rFonts w:hint="cs"/>
          <w:rtl/>
        </w:rPr>
        <w:t xml:space="preserve"> دانش اجتماعی باید نهایتا از مفاهیم و قوانین منطقی و ریاضی استخراج شود. در واقعیت، بشریت هیچگاه به اندازه</w:t>
      </w:r>
      <w:r w:rsidRPr="0025250D">
        <w:rPr>
          <w:rFonts w:hint="cs"/>
        </w:rPr>
        <w:t>‌</w:t>
      </w:r>
      <w:r w:rsidRPr="0025250D">
        <w:rPr>
          <w:rFonts w:hint="cs"/>
          <w:rtl/>
        </w:rPr>
        <w:t xml:space="preserve"> کافی برای فرار و اجتناب از استقرا هوشمند نخواهد شد. هم عدم قطعیت استقرایی</w:t>
      </w:r>
      <w:r w:rsidRPr="0025250D">
        <w:rPr>
          <w:vertAlign w:val="superscript"/>
          <w:rtl/>
        </w:rPr>
        <w:footnoteReference w:id="1011"/>
      </w:r>
      <w:r w:rsidRPr="0025250D">
        <w:rPr>
          <w:rFonts w:hint="cs"/>
          <w:rtl/>
        </w:rPr>
        <w:t xml:space="preserve"> (فرایند تکاملی) و هم قطعیت استنتاجی</w:t>
      </w:r>
      <w:r w:rsidRPr="0025250D">
        <w:rPr>
          <w:vertAlign w:val="superscript"/>
          <w:rtl/>
        </w:rPr>
        <w:footnoteReference w:id="1012"/>
      </w:r>
      <w:r w:rsidRPr="0025250D">
        <w:rPr>
          <w:rFonts w:hint="cs"/>
          <w:rtl/>
        </w:rPr>
        <w:t xml:space="preserve"> (فرایند توسعه ای) برای کسب دانش نقشی محوری دارند. به عنوان یکی از مزایای قانون </w:t>
      </w:r>
      <w:r w:rsidRPr="0025250D">
        <w:t>95/5</w:t>
      </w:r>
      <w:r w:rsidRPr="0025250D">
        <w:rPr>
          <w:rFonts w:hint="cs"/>
          <w:rtl/>
        </w:rPr>
        <w:t xml:space="preserve">، می‌توانیم همچنین نتیجه بگیریم که استقرا بیش از استنتاج در اکثر بافت‌هایی که به تحلیل </w:t>
      </w:r>
      <w:r w:rsidR="00701E03" w:rsidRPr="0025250D">
        <w:rPr>
          <w:rFonts w:hint="cs"/>
          <w:rtl/>
        </w:rPr>
        <w:t>راهبردی</w:t>
      </w:r>
      <w:r w:rsidRPr="0025250D">
        <w:rPr>
          <w:rFonts w:hint="cs"/>
          <w:rtl/>
        </w:rPr>
        <w:t xml:space="preserve"> نیاز دارند، مفید خواهد بود. باید در استقرا بسیار ماهر شویم، شاید بیست برابر بیش از استنتاج.</w:t>
      </w:r>
    </w:p>
    <w:p w14:paraId="758DB176" w14:textId="2E350070" w:rsidR="00537CC8" w:rsidRPr="0025250D" w:rsidRDefault="00537CC8" w:rsidP="00537CC8">
      <w:pPr>
        <w:rPr>
          <w:rtl/>
        </w:rPr>
      </w:pPr>
      <w:r w:rsidRPr="0025250D">
        <w:rPr>
          <w:rFonts w:hint="cs"/>
          <w:rtl/>
        </w:rPr>
        <w:t xml:space="preserve">بنابراین درحالی که منطق و </w:t>
      </w:r>
      <w:r w:rsidRPr="0025250D">
        <w:rPr>
          <w:rtl/>
        </w:rPr>
        <w:t>عقلان</w:t>
      </w:r>
      <w:r w:rsidRPr="0025250D">
        <w:rPr>
          <w:rFonts w:hint="cs"/>
          <w:rtl/>
        </w:rPr>
        <w:t>ی</w:t>
      </w:r>
      <w:r w:rsidRPr="0025250D">
        <w:rPr>
          <w:rFonts w:hint="eastAsia"/>
          <w:rtl/>
        </w:rPr>
        <w:t>ت</w:t>
      </w:r>
      <w:r w:rsidRPr="0025250D">
        <w:rPr>
          <w:vertAlign w:val="superscript"/>
          <w:rtl/>
        </w:rPr>
        <w:footnoteReference w:id="1013"/>
      </w:r>
      <w:r w:rsidRPr="0025250D">
        <w:rPr>
          <w:rFonts w:hint="cs"/>
          <w:rtl/>
        </w:rPr>
        <w:t xml:space="preserve"> کاربرد‌های خود را دارند، مثبت اندیشی منطقی معرفی شده توسط </w:t>
      </w:r>
      <w:r w:rsidRPr="0025250D">
        <w:rPr>
          <w:rtl/>
        </w:rPr>
        <w:t>ک</w:t>
      </w:r>
      <w:r w:rsidRPr="0025250D">
        <w:rPr>
          <w:rFonts w:hint="cs"/>
          <w:rtl/>
        </w:rPr>
        <w:t>وم</w:t>
      </w:r>
      <w:r w:rsidRPr="0025250D">
        <w:rPr>
          <w:rtl/>
        </w:rPr>
        <w:t>ت</w:t>
      </w:r>
      <w:r w:rsidRPr="0025250D">
        <w:rPr>
          <w:rFonts w:hint="cs"/>
          <w:rtl/>
        </w:rPr>
        <w:t xml:space="preserve"> راه ناکامل خطرناکی برای درک جهان بود. احتمال و آمار و قوانین و روابط آماری که در بسیاری از </w:t>
      </w:r>
      <w:r w:rsidR="008D6F97" w:rsidRPr="0025250D">
        <w:rPr>
          <w:rFonts w:hint="cs"/>
          <w:rtl/>
        </w:rPr>
        <w:t>سامانه‌</w:t>
      </w:r>
      <w:r w:rsidRPr="0025250D">
        <w:rPr>
          <w:rFonts w:hint="cs"/>
          <w:rtl/>
        </w:rPr>
        <w:t>‌های پیچیده می‌یابیم، معمولا لنز‌های بسیار بهتری برای توصیف محیط ما نسبت به منطق، رابطه</w:t>
      </w:r>
      <w:r w:rsidRPr="0025250D">
        <w:rPr>
          <w:rFonts w:hint="cs"/>
        </w:rPr>
        <w:t>‌</w:t>
      </w:r>
      <w:r w:rsidRPr="0025250D">
        <w:rPr>
          <w:rFonts w:hint="cs"/>
          <w:rtl/>
        </w:rPr>
        <w:t xml:space="preserve"> علت و معلولی و معادلات دقیق آن </w:t>
      </w:r>
      <w:r w:rsidR="00B124DE" w:rsidRPr="0025250D">
        <w:rPr>
          <w:rFonts w:hint="cs"/>
          <w:rtl/>
        </w:rPr>
        <w:t>بوده‌اند</w:t>
      </w:r>
      <w:r w:rsidRPr="0025250D">
        <w:rPr>
          <w:rFonts w:hint="cs"/>
          <w:rtl/>
        </w:rPr>
        <w:t xml:space="preserve">. </w:t>
      </w:r>
      <w:r w:rsidR="007118DE" w:rsidRPr="0025250D">
        <w:rPr>
          <w:rFonts w:hint="cs"/>
          <w:rtl/>
        </w:rPr>
        <w:t>همان‌طور</w:t>
      </w:r>
      <w:r w:rsidRPr="0025250D">
        <w:rPr>
          <w:rFonts w:hint="cs"/>
          <w:rtl/>
        </w:rPr>
        <w:t xml:space="preserve"> که نظریه فرایند دوگانه</w:t>
      </w:r>
      <w:r w:rsidRPr="0025250D">
        <w:rPr>
          <w:vertAlign w:val="superscript"/>
          <w:rtl/>
        </w:rPr>
        <w:footnoteReference w:id="1014"/>
      </w:r>
      <w:r w:rsidRPr="0025250D">
        <w:rPr>
          <w:rFonts w:hint="cs"/>
          <w:rtl/>
        </w:rPr>
        <w:t xml:space="preserve"> پیشنهاد می‌کند، در </w:t>
      </w:r>
      <w:r w:rsidR="008D6F97" w:rsidRPr="0025250D">
        <w:rPr>
          <w:rFonts w:hint="cs"/>
          <w:rtl/>
        </w:rPr>
        <w:t>سامانه‌</w:t>
      </w:r>
      <w:r w:rsidRPr="0025250D">
        <w:rPr>
          <w:rFonts w:hint="cs"/>
          <w:rtl/>
        </w:rPr>
        <w:t xml:space="preserve">‌های اجتماعی عواملی مانند شهود، غریزه، هیجان، فرهنگ، آداب و رسوم، </w:t>
      </w:r>
      <w:r w:rsidR="00B56611" w:rsidRPr="0025250D">
        <w:rPr>
          <w:rFonts w:hint="cs"/>
          <w:rtl/>
        </w:rPr>
        <w:t>چشم‌انداز</w:t>
      </w:r>
      <w:r w:rsidRPr="0025250D">
        <w:rPr>
          <w:rFonts w:hint="cs"/>
          <w:rtl/>
        </w:rPr>
        <w:t xml:space="preserve"> و موارد ممکن معمولا بسیار </w:t>
      </w:r>
      <w:r w:rsidR="007118DE" w:rsidRPr="0025250D">
        <w:rPr>
          <w:rFonts w:hint="cs"/>
          <w:rtl/>
        </w:rPr>
        <w:t>مهم‌تر</w:t>
      </w:r>
      <w:r w:rsidRPr="0025250D">
        <w:rPr>
          <w:rFonts w:hint="cs"/>
          <w:rtl/>
        </w:rPr>
        <w:t xml:space="preserve"> از عقلانیت </w:t>
      </w:r>
      <w:r w:rsidR="00B124DE" w:rsidRPr="0025250D">
        <w:rPr>
          <w:rFonts w:hint="cs"/>
          <w:rtl/>
        </w:rPr>
        <w:t>برای</w:t>
      </w:r>
      <w:r w:rsidRPr="0025250D">
        <w:rPr>
          <w:rFonts w:hint="cs"/>
          <w:rtl/>
        </w:rPr>
        <w:t xml:space="preserve"> اطمینان از این که انسان‌ها ممکن است در آینده چه کاری انجام دهند، </w:t>
      </w:r>
      <w:r w:rsidR="00B124DE" w:rsidRPr="0025250D">
        <w:rPr>
          <w:rFonts w:hint="cs"/>
          <w:rtl/>
        </w:rPr>
        <w:t>بوده‌اند</w:t>
      </w:r>
      <w:r w:rsidRPr="0025250D">
        <w:rPr>
          <w:rFonts w:hint="cs"/>
          <w:rtl/>
        </w:rPr>
        <w:t>.</w:t>
      </w:r>
    </w:p>
    <w:p w14:paraId="57DDE8E3" w14:textId="3BB5709D" w:rsidR="00537CC8" w:rsidRPr="0025250D" w:rsidRDefault="00537CC8" w:rsidP="00537CC8">
      <w:pPr>
        <w:rPr>
          <w:rtl/>
        </w:rPr>
      </w:pPr>
      <w:r w:rsidRPr="0025250D">
        <w:rPr>
          <w:rFonts w:hint="cs"/>
          <w:rtl/>
        </w:rPr>
        <w:t xml:space="preserve">درحالی که روش‌های استنتاجی و استقرایی </w:t>
      </w:r>
      <w:r w:rsidRPr="0025250D">
        <w:rPr>
          <w:rtl/>
        </w:rPr>
        <w:t>آینده‌نگاری</w:t>
      </w:r>
      <w:r w:rsidRPr="0025250D">
        <w:rPr>
          <w:rFonts w:hint="cs"/>
          <w:rtl/>
        </w:rPr>
        <w:t xml:space="preserve"> هر دو در عصر روشنگری (1600-1800) متولد </w:t>
      </w:r>
      <w:r w:rsidR="00185F3E" w:rsidRPr="0025250D">
        <w:rPr>
          <w:rFonts w:hint="cs"/>
          <w:rtl/>
        </w:rPr>
        <w:t>شده‌اند</w:t>
      </w:r>
      <w:r w:rsidRPr="0025250D">
        <w:rPr>
          <w:rFonts w:hint="cs"/>
          <w:rtl/>
        </w:rPr>
        <w:t>، این روش‌ها تنها در طول تغییرات بزرگ ایجاد شده توسط دومین انقلاب صنعتی</w:t>
      </w:r>
      <w:r w:rsidRPr="0025250D">
        <w:rPr>
          <w:vertAlign w:val="superscript"/>
          <w:rtl/>
        </w:rPr>
        <w:footnoteReference w:id="1015"/>
      </w:r>
      <w:r w:rsidRPr="0025250D">
        <w:rPr>
          <w:rFonts w:hint="cs"/>
          <w:rtl/>
        </w:rPr>
        <w:t xml:space="preserve"> (1850-1900) که در طی آن نفت، فولاد و </w:t>
      </w:r>
      <w:r w:rsidRPr="0025250D">
        <w:rPr>
          <w:rtl/>
        </w:rPr>
        <w:t>برق</w:t>
      </w:r>
      <w:r w:rsidRPr="0025250D">
        <w:rPr>
          <w:rFonts w:hint="cs"/>
          <w:rtl/>
        </w:rPr>
        <w:t>ی</w:t>
      </w:r>
      <w:r w:rsidRPr="0025250D">
        <w:rPr>
          <w:rtl/>
        </w:rPr>
        <w:t xml:space="preserve"> شدن</w:t>
      </w:r>
      <w:r w:rsidRPr="0025250D">
        <w:rPr>
          <w:vertAlign w:val="superscript"/>
          <w:rtl/>
        </w:rPr>
        <w:footnoteReference w:id="1016"/>
      </w:r>
      <w:r w:rsidRPr="0025250D">
        <w:rPr>
          <w:rFonts w:hint="cs"/>
          <w:rtl/>
        </w:rPr>
        <w:t xml:space="preserve"> و همچنین اولین شرکت‌های بزرگ صنعتی </w:t>
      </w:r>
      <w:r w:rsidRPr="0025250D">
        <w:rPr>
          <w:rtl/>
        </w:rPr>
        <w:t>(استاندارد او</w:t>
      </w:r>
      <w:r w:rsidRPr="0025250D">
        <w:rPr>
          <w:rFonts w:hint="cs"/>
          <w:rtl/>
        </w:rPr>
        <w:t>ی</w:t>
      </w:r>
      <w:r w:rsidRPr="0025250D">
        <w:rPr>
          <w:rFonts w:hint="eastAsia"/>
          <w:rtl/>
        </w:rPr>
        <w:t>ل</w:t>
      </w:r>
      <w:r w:rsidRPr="0025250D">
        <w:rPr>
          <w:vertAlign w:val="superscript"/>
          <w:rtl/>
        </w:rPr>
        <w:footnoteReference w:id="1017"/>
      </w:r>
      <w:r w:rsidRPr="0025250D">
        <w:rPr>
          <w:rFonts w:hint="eastAsia"/>
          <w:rtl/>
        </w:rPr>
        <w:t>،</w:t>
      </w:r>
      <w:r w:rsidRPr="0025250D">
        <w:rPr>
          <w:rtl/>
        </w:rPr>
        <w:t xml:space="preserve"> فولاد آمر</w:t>
      </w:r>
      <w:r w:rsidRPr="0025250D">
        <w:rPr>
          <w:rFonts w:hint="cs"/>
          <w:rtl/>
        </w:rPr>
        <w:t>ی</w:t>
      </w:r>
      <w:r w:rsidRPr="0025250D">
        <w:rPr>
          <w:rFonts w:hint="eastAsia"/>
          <w:rtl/>
        </w:rPr>
        <w:t>کا،</w:t>
      </w:r>
      <w:r w:rsidRPr="0025250D">
        <w:rPr>
          <w:rtl/>
        </w:rPr>
        <w:t xml:space="preserve"> جنرال الکتر</w:t>
      </w:r>
      <w:r w:rsidRPr="0025250D">
        <w:rPr>
          <w:rFonts w:hint="cs"/>
          <w:rtl/>
        </w:rPr>
        <w:t>ی</w:t>
      </w:r>
      <w:r w:rsidRPr="0025250D">
        <w:rPr>
          <w:rFonts w:hint="eastAsia"/>
          <w:rtl/>
        </w:rPr>
        <w:t>ک</w:t>
      </w:r>
      <w:r w:rsidRPr="0025250D">
        <w:rPr>
          <w:rtl/>
        </w:rPr>
        <w:t xml:space="preserve"> و غ</w:t>
      </w:r>
      <w:r w:rsidRPr="0025250D">
        <w:rPr>
          <w:rFonts w:hint="cs"/>
          <w:rtl/>
        </w:rPr>
        <w:t>ی</w:t>
      </w:r>
      <w:r w:rsidRPr="0025250D">
        <w:rPr>
          <w:rFonts w:hint="eastAsia"/>
          <w:rtl/>
        </w:rPr>
        <w:t>ره</w:t>
      </w:r>
      <w:r w:rsidR="0063099E" w:rsidRPr="0025250D">
        <w:rPr>
          <w:rtl/>
        </w:rPr>
        <w:t>)</w:t>
      </w:r>
      <w:r w:rsidR="008D6F97" w:rsidRPr="0025250D">
        <w:rPr>
          <w:rtl/>
        </w:rPr>
        <w:t xml:space="preserve"> </w:t>
      </w:r>
      <w:r w:rsidRPr="0025250D">
        <w:rPr>
          <w:rFonts w:hint="cs"/>
          <w:rtl/>
        </w:rPr>
        <w:t xml:space="preserve">پدید آمدند، در علم، فلسفه، حکومت و تجارت کاربرد گسترده یافتند. سپس پنجاه سال دیگر پس از این ثمربخشی و تحولِ ثروت برای پدیدار شدن فرایند‌های مدیریت مدرن، </w:t>
      </w:r>
      <w:r w:rsidR="00701E03" w:rsidRPr="0025250D">
        <w:rPr>
          <w:rFonts w:hint="cs"/>
          <w:rtl/>
        </w:rPr>
        <w:t>راهبرد</w:t>
      </w:r>
      <w:r w:rsidRPr="0025250D">
        <w:rPr>
          <w:rFonts w:hint="cs"/>
          <w:rtl/>
        </w:rPr>
        <w:t xml:space="preserve"> و </w:t>
      </w:r>
      <w:r w:rsidRPr="0025250D">
        <w:rPr>
          <w:rtl/>
        </w:rPr>
        <w:t>آینده‌نگاری</w:t>
      </w:r>
      <w:r w:rsidRPr="0025250D">
        <w:rPr>
          <w:rFonts w:hint="cs"/>
          <w:rtl/>
        </w:rPr>
        <w:t xml:space="preserve"> زمان لازم بود.</w:t>
      </w:r>
    </w:p>
    <w:p w14:paraId="773C3164" w14:textId="623E3621" w:rsidR="00537CC8" w:rsidRPr="0025250D" w:rsidRDefault="00537CC8" w:rsidP="00537CC8">
      <w:pPr>
        <w:rPr>
          <w:rtl/>
        </w:rPr>
      </w:pPr>
      <w:r w:rsidRPr="0025250D">
        <w:rPr>
          <w:rFonts w:hint="cs"/>
          <w:rtl/>
        </w:rPr>
        <w:t>زمینه</w:t>
      </w:r>
      <w:r w:rsidRPr="0025250D">
        <w:rPr>
          <w:rFonts w:hint="cs"/>
        </w:rPr>
        <w:t>‌</w:t>
      </w:r>
      <w:r w:rsidRPr="0025250D">
        <w:rPr>
          <w:rFonts w:hint="cs"/>
          <w:rtl/>
        </w:rPr>
        <w:t xml:space="preserve"> </w:t>
      </w:r>
      <w:r w:rsidR="00B124DE" w:rsidRPr="0025250D">
        <w:rPr>
          <w:rFonts w:hint="cs"/>
          <w:rtl/>
        </w:rPr>
        <w:t>برنامه‌ریزی</w:t>
      </w:r>
      <w:r w:rsidRPr="0025250D">
        <w:rPr>
          <w:rFonts w:hint="cs"/>
          <w:rtl/>
        </w:rPr>
        <w:t xml:space="preserve"> </w:t>
      </w:r>
      <w:r w:rsidR="00701E03" w:rsidRPr="0025250D">
        <w:rPr>
          <w:rFonts w:hint="cs"/>
          <w:rtl/>
        </w:rPr>
        <w:t>راهبردی</w:t>
      </w:r>
      <w:r w:rsidRPr="0025250D">
        <w:rPr>
          <w:rFonts w:hint="cs"/>
          <w:rtl/>
        </w:rPr>
        <w:t xml:space="preserve"> ابتدا در دانشگاه هاروارد در دهه</w:t>
      </w:r>
      <w:r w:rsidRPr="0025250D">
        <w:rPr>
          <w:rFonts w:hint="cs"/>
        </w:rPr>
        <w:t>‌</w:t>
      </w:r>
      <w:r w:rsidRPr="0025250D">
        <w:rPr>
          <w:rFonts w:hint="cs"/>
          <w:rtl/>
        </w:rPr>
        <w:t xml:space="preserve"> 1930 تدریس شد. زمینه</w:t>
      </w:r>
      <w:r w:rsidRPr="0025250D">
        <w:rPr>
          <w:rFonts w:hint="cs"/>
        </w:rPr>
        <w:t>‌</w:t>
      </w:r>
      <w:r w:rsidRPr="0025250D">
        <w:rPr>
          <w:rFonts w:hint="cs"/>
          <w:rtl/>
        </w:rPr>
        <w:t xml:space="preserve">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در میانه‌های دهه</w:t>
      </w:r>
      <w:r w:rsidRPr="0025250D">
        <w:rPr>
          <w:rFonts w:hint="cs"/>
        </w:rPr>
        <w:t>‌</w:t>
      </w:r>
      <w:r w:rsidRPr="0025250D">
        <w:rPr>
          <w:rFonts w:hint="cs"/>
          <w:rtl/>
        </w:rPr>
        <w:t xml:space="preserve"> 1940، بلافاصله پس از جنگ جهانی دوم، با </w:t>
      </w:r>
      <w:r w:rsidR="00B124DE" w:rsidRPr="0025250D">
        <w:rPr>
          <w:rFonts w:hint="cs"/>
          <w:rtl/>
        </w:rPr>
        <w:t>پایه‌گذار</w:t>
      </w:r>
      <w:r w:rsidRPr="0025250D">
        <w:rPr>
          <w:rFonts w:hint="cs"/>
          <w:rtl/>
        </w:rPr>
        <w:t xml:space="preserve">ی اولین اندیشکده‌های </w:t>
      </w:r>
      <w:r w:rsidRPr="0025250D">
        <w:rPr>
          <w:rtl/>
        </w:rPr>
        <w:t>آینده‌نگاری</w:t>
      </w:r>
      <w:r w:rsidRPr="0025250D">
        <w:rPr>
          <w:rFonts w:hint="cs"/>
          <w:rtl/>
        </w:rPr>
        <w:t xml:space="preserve"> رسمی جهان، </w:t>
      </w:r>
      <w:r w:rsidRPr="0025250D">
        <w:t>SRI</w:t>
      </w:r>
      <w:r w:rsidRPr="0025250D">
        <w:rPr>
          <w:rFonts w:hint="cs"/>
          <w:rtl/>
        </w:rPr>
        <w:t xml:space="preserve"> و </w:t>
      </w:r>
      <w:r w:rsidRPr="0025250D">
        <w:t>RAND</w:t>
      </w:r>
      <w:r w:rsidRPr="0025250D">
        <w:rPr>
          <w:rFonts w:hint="cs"/>
          <w:rtl/>
        </w:rPr>
        <w:t xml:space="preserve">، متولد شد. این جوامع اولیه فعال در </w:t>
      </w:r>
      <w:r w:rsidRPr="0025250D">
        <w:rPr>
          <w:rtl/>
        </w:rPr>
        <w:t>آینده‌نگاری</w:t>
      </w:r>
      <w:r w:rsidRPr="0025250D">
        <w:rPr>
          <w:rFonts w:hint="cs"/>
          <w:rtl/>
        </w:rPr>
        <w:t xml:space="preserve"> تحت سلطه</w:t>
      </w:r>
      <w:r w:rsidRPr="0025250D">
        <w:rPr>
          <w:rFonts w:hint="cs"/>
        </w:rPr>
        <w:t>‌</w:t>
      </w:r>
      <w:r w:rsidRPr="0025250D">
        <w:rPr>
          <w:rFonts w:hint="cs"/>
          <w:rtl/>
        </w:rPr>
        <w:t xml:space="preserve"> مهندسان و دانشمندان بودند و بر احتمال و </w:t>
      </w:r>
      <w:r w:rsidR="00FB6A7E" w:rsidRPr="0025250D">
        <w:rPr>
          <w:rFonts w:hint="cs"/>
          <w:rtl/>
        </w:rPr>
        <w:t>پیش‌نگری</w:t>
      </w:r>
      <w:r w:rsidRPr="0025250D">
        <w:rPr>
          <w:rFonts w:hint="cs"/>
          <w:rtl/>
        </w:rPr>
        <w:t xml:space="preserve"> تمرکز داشتند. مشتریان اصلی آن‌ها دولت و مشتریان بخش دفاعی بودند. تا دهه</w:t>
      </w:r>
      <w:r w:rsidRPr="0025250D">
        <w:rPr>
          <w:rFonts w:hint="cs"/>
        </w:rPr>
        <w:t>‌</w:t>
      </w:r>
      <w:r w:rsidRPr="0025250D">
        <w:rPr>
          <w:rFonts w:hint="cs"/>
          <w:rtl/>
        </w:rPr>
        <w:t xml:space="preserve"> 1960، شرکت‌های مشاوره</w:t>
      </w:r>
      <w:r w:rsidRPr="0025250D">
        <w:rPr>
          <w:rFonts w:hint="cs"/>
        </w:rPr>
        <w:t>‌</w:t>
      </w:r>
      <w:r w:rsidRPr="0025250D">
        <w:rPr>
          <w:rFonts w:hint="cs"/>
          <w:rtl/>
        </w:rPr>
        <w:t xml:space="preserve"> مدیریتی متعددِ برجسته‌ای آغاز به انجام دائمی کار </w:t>
      </w:r>
      <w:r w:rsidRPr="0025250D">
        <w:rPr>
          <w:rtl/>
        </w:rPr>
        <w:t>آینده‌نگاری</w:t>
      </w:r>
      <w:r w:rsidRPr="0025250D">
        <w:rPr>
          <w:rFonts w:hint="cs"/>
          <w:rtl/>
        </w:rPr>
        <w:t xml:space="preserve"> کردند که در ابتدا به کارسپاران تجاری و </w:t>
      </w:r>
      <w:r w:rsidR="00B124DE" w:rsidRPr="0025250D">
        <w:rPr>
          <w:rFonts w:hint="cs"/>
          <w:rtl/>
        </w:rPr>
        <w:t>کسب‌و‌کار</w:t>
      </w:r>
      <w:r w:rsidRPr="0025250D">
        <w:rPr>
          <w:rFonts w:hint="cs"/>
          <w:rtl/>
        </w:rPr>
        <w:t>ها خدمت</w:t>
      </w:r>
      <w:r w:rsidR="00B124DE" w:rsidRPr="0025250D">
        <w:rPr>
          <w:rFonts w:hint="cs"/>
          <w:rtl/>
        </w:rPr>
        <w:t>‌</w:t>
      </w:r>
      <w:r w:rsidRPr="0025250D">
        <w:rPr>
          <w:rFonts w:hint="cs"/>
          <w:rtl/>
        </w:rPr>
        <w:t>رسانی می‌کردند. این موارد شامل گروه مشاوره بوستون</w:t>
      </w:r>
      <w:r w:rsidRPr="0025250D">
        <w:rPr>
          <w:vertAlign w:val="superscript"/>
          <w:rtl/>
        </w:rPr>
        <w:footnoteReference w:id="1018"/>
      </w:r>
      <w:r w:rsidRPr="0025250D">
        <w:rPr>
          <w:rFonts w:hint="cs"/>
          <w:rtl/>
        </w:rPr>
        <w:t xml:space="preserve"> (</w:t>
      </w:r>
      <w:r w:rsidRPr="0025250D">
        <w:t>BCG</w:t>
      </w:r>
      <w:r w:rsidRPr="0025250D">
        <w:rPr>
          <w:rFonts w:hint="cs"/>
          <w:rtl/>
        </w:rPr>
        <w:t>) و مؤسسه</w:t>
      </w:r>
      <w:r w:rsidRPr="0025250D">
        <w:rPr>
          <w:rFonts w:hint="cs"/>
        </w:rPr>
        <w:t>‌</w:t>
      </w:r>
      <w:r w:rsidRPr="0025250D">
        <w:rPr>
          <w:rFonts w:hint="cs"/>
          <w:rtl/>
        </w:rPr>
        <w:t xml:space="preserve"> آینده</w:t>
      </w:r>
      <w:r w:rsidRPr="0025250D">
        <w:rPr>
          <w:vertAlign w:val="superscript"/>
          <w:rtl/>
        </w:rPr>
        <w:footnoteReference w:id="1019"/>
      </w:r>
      <w:r w:rsidRPr="0025250D">
        <w:rPr>
          <w:rFonts w:hint="cs"/>
          <w:rtl/>
        </w:rPr>
        <w:t xml:space="preserve"> (</w:t>
      </w:r>
      <w:r w:rsidRPr="0025250D">
        <w:t>IFTF</w:t>
      </w:r>
      <w:r w:rsidRPr="0025250D">
        <w:rPr>
          <w:rFonts w:hint="cs"/>
          <w:rtl/>
        </w:rPr>
        <w:t>) بودند. همچنین در دهه</w:t>
      </w:r>
      <w:r w:rsidRPr="0025250D">
        <w:rPr>
          <w:rFonts w:hint="cs"/>
        </w:rPr>
        <w:t>‌</w:t>
      </w:r>
      <w:r w:rsidRPr="0025250D">
        <w:rPr>
          <w:rFonts w:hint="cs"/>
          <w:rtl/>
        </w:rPr>
        <w:t xml:space="preserve"> 1960 اولین دوره</w:t>
      </w:r>
      <w:r w:rsidRPr="0025250D">
        <w:rPr>
          <w:rFonts w:hint="cs"/>
        </w:rPr>
        <w:t>‌</w:t>
      </w:r>
      <w:r w:rsidRPr="0025250D">
        <w:rPr>
          <w:rFonts w:hint="cs"/>
          <w:rtl/>
        </w:rPr>
        <w:t xml:space="preserve"> دانشگاهی درمورد </w:t>
      </w:r>
      <w:r w:rsidRPr="0025250D">
        <w:rPr>
          <w:rtl/>
        </w:rPr>
        <w:t>آینده‌نگاری</w:t>
      </w:r>
      <w:r w:rsidRPr="0025250D">
        <w:rPr>
          <w:rFonts w:hint="cs"/>
          <w:rtl/>
        </w:rPr>
        <w:t xml:space="preserve"> و اولین جوامع </w:t>
      </w:r>
      <w:r w:rsidRPr="0025250D">
        <w:rPr>
          <w:rtl/>
        </w:rPr>
        <w:t>آینده‌نگاری</w:t>
      </w:r>
      <w:r w:rsidRPr="0025250D">
        <w:rPr>
          <w:rFonts w:hint="cs"/>
          <w:rtl/>
        </w:rPr>
        <w:t xml:space="preserve"> عمومی و آکادمیک، مانند جامعه</w:t>
      </w:r>
      <w:r w:rsidRPr="0025250D">
        <w:rPr>
          <w:rFonts w:hint="cs"/>
        </w:rPr>
        <w:t>‌</w:t>
      </w:r>
      <w:r w:rsidRPr="0025250D">
        <w:rPr>
          <w:rFonts w:hint="cs"/>
          <w:rtl/>
        </w:rPr>
        <w:t xml:space="preserve"> آینده</w:t>
      </w:r>
      <w:r w:rsidRPr="0025250D">
        <w:rPr>
          <w:rFonts w:hint="cs"/>
        </w:rPr>
        <w:t>‌</w:t>
      </w:r>
      <w:r w:rsidRPr="0025250D">
        <w:rPr>
          <w:rFonts w:hint="cs"/>
          <w:rtl/>
        </w:rPr>
        <w:t xml:space="preserve"> جهان</w:t>
      </w:r>
      <w:r w:rsidRPr="0025250D">
        <w:rPr>
          <w:vertAlign w:val="superscript"/>
          <w:rtl/>
        </w:rPr>
        <w:footnoteReference w:id="1020"/>
      </w:r>
      <w:r w:rsidRPr="0025250D">
        <w:rPr>
          <w:rFonts w:hint="cs"/>
          <w:rtl/>
        </w:rPr>
        <w:t xml:space="preserve"> (</w:t>
      </w:r>
      <w:r w:rsidRPr="0025250D">
        <w:t>WFS</w:t>
      </w:r>
      <w:r w:rsidRPr="0025250D">
        <w:rPr>
          <w:rFonts w:hint="cs"/>
          <w:rtl/>
        </w:rPr>
        <w:t xml:space="preserve">) و فدراسیون </w:t>
      </w:r>
      <w:r w:rsidR="00D92F6E" w:rsidRPr="0025250D">
        <w:rPr>
          <w:rFonts w:hint="cs"/>
          <w:rtl/>
        </w:rPr>
        <w:t>آینده‌پژوه</w:t>
      </w:r>
      <w:r w:rsidRPr="0025250D">
        <w:rPr>
          <w:rFonts w:hint="cs"/>
          <w:rtl/>
        </w:rPr>
        <w:t>ی جهان</w:t>
      </w:r>
      <w:r w:rsidRPr="0025250D">
        <w:rPr>
          <w:vertAlign w:val="superscript"/>
          <w:rtl/>
        </w:rPr>
        <w:footnoteReference w:id="1021"/>
      </w:r>
      <w:r w:rsidRPr="0025250D">
        <w:rPr>
          <w:rFonts w:hint="cs"/>
          <w:rtl/>
        </w:rPr>
        <w:t xml:space="preserve"> (</w:t>
      </w:r>
      <w:r w:rsidRPr="0025250D">
        <w:t>WFSF</w:t>
      </w:r>
      <w:r w:rsidRPr="0025250D">
        <w:rPr>
          <w:rFonts w:hint="cs"/>
          <w:rtl/>
        </w:rPr>
        <w:t>) ایجاد شدند.</w:t>
      </w:r>
    </w:p>
    <w:p w14:paraId="5B3FBCDE" w14:textId="752873CC" w:rsidR="00537CC8" w:rsidRPr="0025250D" w:rsidRDefault="00537CC8" w:rsidP="00537CC8">
      <w:pPr>
        <w:rPr>
          <w:rtl/>
        </w:rPr>
      </w:pPr>
      <w:r w:rsidRPr="0025250D">
        <w:rPr>
          <w:rtl/>
        </w:rPr>
        <w:t>آینده‌نگاری</w:t>
      </w:r>
      <w:r w:rsidRPr="0025250D">
        <w:rPr>
          <w:rFonts w:hint="cs"/>
          <w:rtl/>
        </w:rPr>
        <w:t xml:space="preserve"> به عنوان یک زمینه</w:t>
      </w:r>
      <w:r w:rsidRPr="0025250D">
        <w:rPr>
          <w:rFonts w:hint="cs"/>
        </w:rPr>
        <w:t>‌</w:t>
      </w:r>
      <w:r w:rsidRPr="0025250D">
        <w:rPr>
          <w:rFonts w:hint="cs"/>
          <w:rtl/>
        </w:rPr>
        <w:t xml:space="preserve"> آکادمیک، در مقایسه با حرفه‌های مرتبط مانند اقتصاد، </w:t>
      </w:r>
      <w:r w:rsidR="00B124DE" w:rsidRPr="0025250D">
        <w:rPr>
          <w:rFonts w:hint="cs"/>
          <w:rtl/>
        </w:rPr>
        <w:t>جامعه‌شناسی</w:t>
      </w:r>
      <w:r w:rsidRPr="0025250D">
        <w:rPr>
          <w:rFonts w:hint="cs"/>
          <w:rtl/>
        </w:rPr>
        <w:t xml:space="preserve">، علوم سیاسی و علوم پایه و مطالعات </w:t>
      </w:r>
      <w:r w:rsidR="007A53FD" w:rsidRPr="0025250D">
        <w:rPr>
          <w:rFonts w:hint="cs"/>
          <w:rtl/>
        </w:rPr>
        <w:t>فناوری</w:t>
      </w:r>
      <w:r w:rsidRPr="0025250D">
        <w:rPr>
          <w:rFonts w:hint="cs"/>
          <w:rtl/>
        </w:rPr>
        <w:t xml:space="preserve"> خیلی دیر شکوفا شد. </w:t>
      </w:r>
      <w:r w:rsidRPr="0025250D">
        <w:rPr>
          <w:rtl/>
        </w:rPr>
        <w:t>آینده‌نگاری</w:t>
      </w:r>
      <w:r w:rsidRPr="0025250D">
        <w:rPr>
          <w:rFonts w:hint="cs"/>
          <w:rtl/>
        </w:rPr>
        <w:t xml:space="preserve"> در مقایسه با تخصص خود و حرفه‌های مرتبط مانند </w:t>
      </w:r>
      <w:r w:rsidR="00FB6A7E" w:rsidRPr="0025250D">
        <w:rPr>
          <w:rFonts w:hint="cs"/>
          <w:rtl/>
        </w:rPr>
        <w:t>پیش‌نگری</w:t>
      </w:r>
      <w:r w:rsidRPr="0025250D">
        <w:rPr>
          <w:rFonts w:hint="cs"/>
          <w:rtl/>
        </w:rPr>
        <w:t xml:space="preserve">، </w:t>
      </w:r>
      <w:r w:rsidR="00B124DE" w:rsidRPr="0025250D">
        <w:rPr>
          <w:rFonts w:hint="cs"/>
          <w:rtl/>
        </w:rPr>
        <w:t>برنامه‌ریزی</w:t>
      </w:r>
      <w:r w:rsidRPr="0025250D">
        <w:rPr>
          <w:rFonts w:hint="cs"/>
          <w:rtl/>
        </w:rPr>
        <w:t>، مدیریت ریسک و رهبری</w:t>
      </w:r>
      <w:r w:rsidR="00BB406C" w:rsidRPr="0025250D">
        <w:rPr>
          <w:rFonts w:hint="cs"/>
          <w:rtl/>
        </w:rPr>
        <w:t xml:space="preserve"> کم‌تر</w:t>
      </w:r>
      <w:r w:rsidRPr="0025250D">
        <w:rPr>
          <w:rFonts w:hint="cs"/>
          <w:rtl/>
        </w:rPr>
        <w:t xml:space="preserve"> توسعه یافته است. با این وجود، آینده</w:t>
      </w:r>
      <w:r w:rsidRPr="0025250D">
        <w:rPr>
          <w:rFonts w:hint="cs"/>
        </w:rPr>
        <w:t>‌</w:t>
      </w:r>
      <w:r w:rsidRPr="0025250D">
        <w:rPr>
          <w:rFonts w:hint="cs"/>
          <w:rtl/>
        </w:rPr>
        <w:t xml:space="preserve"> بلند مدتِ زمینه</w:t>
      </w:r>
      <w:r w:rsidRPr="0025250D">
        <w:rPr>
          <w:rFonts w:hint="cs"/>
        </w:rPr>
        <w:t>‌</w:t>
      </w:r>
      <w:r w:rsidRPr="0025250D">
        <w:rPr>
          <w:rFonts w:hint="cs"/>
          <w:rtl/>
        </w:rPr>
        <w:t xml:space="preserve"> ما روشن است. مسیرهای متعدد پیش رو به سمت بلوغ این زمینه را بررسی خواهیم کرد. تاریخچه</w:t>
      </w:r>
      <w:r w:rsidRPr="0025250D">
        <w:rPr>
          <w:rFonts w:hint="cs"/>
        </w:rPr>
        <w:t>‌</w:t>
      </w:r>
      <w:r w:rsidRPr="0025250D">
        <w:rPr>
          <w:rFonts w:hint="cs"/>
          <w:rtl/>
        </w:rPr>
        <w:t xml:space="preserve"> بلند مدت تری از </w:t>
      </w:r>
      <w:r w:rsidRPr="0025250D">
        <w:rPr>
          <w:rtl/>
        </w:rPr>
        <w:t>آینده‌نگاری</w:t>
      </w:r>
      <w:r w:rsidRPr="0025250D">
        <w:rPr>
          <w:rFonts w:hint="cs"/>
          <w:rtl/>
        </w:rPr>
        <w:t xml:space="preserve"> را در طول پنج دوره</w:t>
      </w:r>
      <w:r w:rsidRPr="0025250D">
        <w:rPr>
          <w:rFonts w:hint="cs"/>
        </w:rPr>
        <w:t>‌</w:t>
      </w:r>
      <w:r w:rsidRPr="0025250D">
        <w:rPr>
          <w:rFonts w:hint="cs"/>
          <w:rtl/>
        </w:rPr>
        <w:t xml:space="preserve"> عملکرد آن، در پیوست 2 در کتاب 2 ارائه خواهیم کرد.</w:t>
      </w:r>
    </w:p>
    <w:p w14:paraId="373D6E16" w14:textId="77777777" w:rsidR="00537CC8" w:rsidRPr="0025250D" w:rsidRDefault="00537CC8" w:rsidP="00537CC8">
      <w:pPr>
        <w:rPr>
          <w:rtl/>
        </w:rPr>
      </w:pPr>
    </w:p>
    <w:p w14:paraId="4AB508E0" w14:textId="77777777" w:rsidR="00537CC8" w:rsidRPr="0025250D" w:rsidRDefault="00537CC8" w:rsidP="00537CC8">
      <w:pPr>
        <w:rPr>
          <w:rtl/>
        </w:rPr>
      </w:pPr>
    </w:p>
    <w:p w14:paraId="1E224CC6" w14:textId="77777777" w:rsidR="00537CC8" w:rsidRPr="0025250D" w:rsidRDefault="00537CC8" w:rsidP="00537CC8">
      <w:pPr>
        <w:rPr>
          <w:rtl/>
        </w:rPr>
      </w:pPr>
    </w:p>
    <w:p w14:paraId="24E801C7" w14:textId="77777777" w:rsidR="00537CC8" w:rsidRPr="0025250D" w:rsidRDefault="00537CC8" w:rsidP="00537CC8">
      <w:pPr>
        <w:rPr>
          <w:rtl/>
        </w:rPr>
      </w:pPr>
    </w:p>
    <w:p w14:paraId="7398EB75" w14:textId="77777777" w:rsidR="00537CC8" w:rsidRPr="0025250D" w:rsidRDefault="00537CC8" w:rsidP="00537CC8">
      <w:pPr>
        <w:rPr>
          <w:rtl/>
        </w:rPr>
      </w:pPr>
    </w:p>
    <w:p w14:paraId="4C8DE23C" w14:textId="77777777" w:rsidR="00537CC8" w:rsidRPr="0025250D" w:rsidRDefault="00537CC8" w:rsidP="00537CC8">
      <w:pPr>
        <w:rPr>
          <w:rtl/>
        </w:rPr>
      </w:pPr>
    </w:p>
    <w:p w14:paraId="7A2D0603" w14:textId="77777777" w:rsidR="00537CC8" w:rsidRPr="0025250D" w:rsidRDefault="00537CC8" w:rsidP="00537CC8">
      <w:pPr>
        <w:rPr>
          <w:rtl/>
        </w:rPr>
      </w:pPr>
    </w:p>
    <w:p w14:paraId="2C4CA8B6" w14:textId="77777777" w:rsidR="00537CC8" w:rsidRPr="0025250D" w:rsidRDefault="00537CC8" w:rsidP="00537CC8">
      <w:pPr>
        <w:rPr>
          <w:rtl/>
        </w:rPr>
      </w:pPr>
    </w:p>
    <w:p w14:paraId="1C72B480" w14:textId="1A3F0584" w:rsidR="00537CC8" w:rsidRPr="0025250D" w:rsidRDefault="00537CC8" w:rsidP="009E77BD">
      <w:pPr>
        <w:pStyle w:val="Heading2"/>
        <w:rPr>
          <w:rtl/>
        </w:rPr>
      </w:pPr>
      <w:bookmarkStart w:id="28" w:name="_Toc127831293"/>
      <w:r w:rsidRPr="0025250D">
        <w:rPr>
          <w:rFonts w:hint="cs"/>
          <w:rtl/>
        </w:rPr>
        <w:t xml:space="preserve">25 مورد از برجسته ترین </w:t>
      </w:r>
      <w:r w:rsidR="00D92F6E" w:rsidRPr="0025250D">
        <w:rPr>
          <w:rFonts w:hint="cs"/>
          <w:rtl/>
        </w:rPr>
        <w:t>آینده‌پژوه</w:t>
      </w:r>
      <w:r w:rsidRPr="0025250D">
        <w:rPr>
          <w:rFonts w:hint="cs"/>
          <w:rtl/>
        </w:rPr>
        <w:t xml:space="preserve">ان و </w:t>
      </w:r>
      <w:r w:rsidR="00D30084" w:rsidRPr="0025250D">
        <w:rPr>
          <w:rtl/>
        </w:rPr>
        <w:t>آینده‌نگار</w:t>
      </w:r>
      <w:r w:rsidRPr="0025250D">
        <w:rPr>
          <w:rFonts w:hint="cs"/>
          <w:rtl/>
        </w:rPr>
        <w:t>ان در قرن بیستم</w:t>
      </w:r>
      <w:bookmarkEnd w:id="28"/>
    </w:p>
    <w:p w14:paraId="77835CD3" w14:textId="41ADDC50" w:rsidR="00537CC8" w:rsidRPr="0025250D" w:rsidRDefault="00537CC8" w:rsidP="00537CC8">
      <w:pPr>
        <w:rPr>
          <w:rtl/>
        </w:rPr>
      </w:pPr>
      <w:r w:rsidRPr="0025250D">
        <w:rPr>
          <w:rFonts w:hint="cs"/>
          <w:rtl/>
        </w:rPr>
        <w:t>برای اختتام تاریخچه</w:t>
      </w:r>
      <w:r w:rsidRPr="0025250D">
        <w:rPr>
          <w:rFonts w:hint="cs"/>
        </w:rPr>
        <w:t>‌</w:t>
      </w:r>
      <w:r w:rsidRPr="0025250D">
        <w:rPr>
          <w:rFonts w:hint="cs"/>
          <w:rtl/>
        </w:rPr>
        <w:t xml:space="preserve"> مختصرمان، بیایید اکنون برخی از مثال‌های شاخص مورد علاقه</w:t>
      </w:r>
      <w:r w:rsidRPr="0025250D">
        <w:rPr>
          <w:rFonts w:hint="cs"/>
        </w:rPr>
        <w:t>‌</w:t>
      </w:r>
      <w:r w:rsidRPr="0025250D">
        <w:rPr>
          <w:rFonts w:hint="cs"/>
          <w:rtl/>
        </w:rPr>
        <w:t xml:space="preserve"> ما از</w:t>
      </w:r>
      <w:r w:rsidR="00B124DE" w:rsidRPr="0025250D">
        <w:rPr>
          <w:rFonts w:hint="cs"/>
          <w:rtl/>
        </w:rPr>
        <w:t xml:space="preserve"> نظر</w:t>
      </w:r>
      <w:r w:rsidRPr="0025250D">
        <w:rPr>
          <w:rFonts w:hint="cs"/>
          <w:rtl/>
        </w:rPr>
        <w:t xml:space="preserve"> ارزش و تأثیر </w:t>
      </w:r>
      <w:r w:rsidRPr="0025250D">
        <w:rPr>
          <w:rtl/>
        </w:rPr>
        <w:t>آینده‌نگاری</w:t>
      </w:r>
      <w:r w:rsidRPr="0025250D">
        <w:rPr>
          <w:rFonts w:hint="cs"/>
          <w:rtl/>
        </w:rPr>
        <w:t xml:space="preserve"> و/یا </w:t>
      </w:r>
      <w:r w:rsidR="00D92F6E" w:rsidRPr="0025250D">
        <w:rPr>
          <w:rFonts w:hint="cs"/>
          <w:rtl/>
        </w:rPr>
        <w:t>آینده‌پژوه</w:t>
      </w:r>
      <w:r w:rsidRPr="0025250D">
        <w:rPr>
          <w:rFonts w:hint="cs"/>
          <w:rtl/>
        </w:rPr>
        <w:t xml:space="preserve">ی در قرن اخیر را بررسی کنیم. </w:t>
      </w:r>
      <w:r w:rsidR="007118DE" w:rsidRPr="0025250D">
        <w:rPr>
          <w:rFonts w:hint="cs"/>
          <w:rtl/>
        </w:rPr>
        <w:t>همان‌طور</w:t>
      </w:r>
      <w:r w:rsidRPr="0025250D">
        <w:rPr>
          <w:rFonts w:hint="cs"/>
          <w:rtl/>
        </w:rPr>
        <w:t xml:space="preserve"> که خواهیم دید ما فهرستی از </w:t>
      </w:r>
      <w:r w:rsidR="00D30084" w:rsidRPr="0025250D">
        <w:rPr>
          <w:rtl/>
        </w:rPr>
        <w:t>آینده‌نگار</w:t>
      </w:r>
      <w:r w:rsidRPr="0025250D">
        <w:rPr>
          <w:rFonts w:hint="cs"/>
          <w:rtl/>
        </w:rPr>
        <w:t xml:space="preserve">ان و </w:t>
      </w:r>
      <w:r w:rsidR="00D92F6E" w:rsidRPr="0025250D">
        <w:rPr>
          <w:rFonts w:hint="cs"/>
          <w:rtl/>
        </w:rPr>
        <w:t>آینده‌پژوه</w:t>
      </w:r>
      <w:r w:rsidRPr="0025250D">
        <w:rPr>
          <w:rFonts w:hint="cs"/>
          <w:rtl/>
        </w:rPr>
        <w:t>ان برجسته قرن بیستم را بر اساس ارزش یا تأثیر مطالعات منتشر شده</w:t>
      </w:r>
      <w:r w:rsidRPr="0025250D">
        <w:rPr>
          <w:rFonts w:hint="cs"/>
        </w:rPr>
        <w:t>‌</w:t>
      </w:r>
      <w:r w:rsidRPr="0025250D">
        <w:rPr>
          <w:rFonts w:hint="cs"/>
          <w:rtl/>
        </w:rPr>
        <w:t xml:space="preserve"> آن‌ها در شش دامنه</w:t>
      </w:r>
      <w:r w:rsidRPr="0025250D">
        <w:rPr>
          <w:rFonts w:hint="cs"/>
        </w:rPr>
        <w:t>‌</w:t>
      </w:r>
      <w:r w:rsidRPr="0025250D">
        <w:rPr>
          <w:rFonts w:hint="cs"/>
          <w:rtl/>
        </w:rPr>
        <w:t xml:space="preserve"> آینده یا درمورد حرفه</w:t>
      </w:r>
      <w:r w:rsidRPr="0025250D">
        <w:rPr>
          <w:rFonts w:hint="cs"/>
        </w:rPr>
        <w:t>‌</w:t>
      </w:r>
      <w:r w:rsidRPr="0025250D">
        <w:rPr>
          <w:rFonts w:hint="cs"/>
          <w:rtl/>
        </w:rPr>
        <w:t xml:space="preserve"> </w:t>
      </w:r>
      <w:r w:rsidRPr="0025250D">
        <w:rPr>
          <w:rtl/>
        </w:rPr>
        <w:t>آینده‌نگاری</w:t>
      </w:r>
      <w:r w:rsidRPr="0025250D">
        <w:rPr>
          <w:rFonts w:hint="cs"/>
          <w:rtl/>
        </w:rPr>
        <w:t xml:space="preserve"> ارائه می‌دهیم. </w:t>
      </w:r>
      <w:r w:rsidR="00D30084" w:rsidRPr="0025250D">
        <w:rPr>
          <w:rFonts w:hint="cs"/>
          <w:rtl/>
        </w:rPr>
        <w:t>آینده‌نگار</w:t>
      </w:r>
      <w:r w:rsidRPr="0025250D">
        <w:rPr>
          <w:rFonts w:hint="cs"/>
          <w:rtl/>
        </w:rPr>
        <w:t xml:space="preserve">ان و </w:t>
      </w:r>
      <w:r w:rsidR="00D92F6E" w:rsidRPr="0025250D">
        <w:rPr>
          <w:rtl/>
        </w:rPr>
        <w:t>آینده‌پژوه</w:t>
      </w:r>
      <w:r w:rsidRPr="0025250D">
        <w:rPr>
          <w:rFonts w:hint="cs"/>
          <w:rtl/>
        </w:rPr>
        <w:t>ان متعددی وجود دارند که می‌توانیم از آن‌ها یاد بگیریم و الهام بگیریم.</w:t>
      </w:r>
    </w:p>
    <w:p w14:paraId="058D120D" w14:textId="3F8508AD" w:rsidR="00537CC8" w:rsidRPr="0025250D" w:rsidRDefault="00537CC8" w:rsidP="00537CC8">
      <w:pPr>
        <w:rPr>
          <w:rtl/>
        </w:rPr>
      </w:pPr>
      <w:r w:rsidRPr="0025250D">
        <w:rPr>
          <w:rtl/>
        </w:rPr>
        <w:t>آینده‌نگاری</w:t>
      </w:r>
      <w:r w:rsidRPr="0025250D">
        <w:rPr>
          <w:rFonts w:hint="cs"/>
          <w:rtl/>
        </w:rPr>
        <w:t xml:space="preserve"> تخصصی مدرن پس از جنگ جهانی دوم، به عنوان یک فعالیت متمرکز در آمریکا، نامتوازن از نظر جنسیتی و محدود از نظر نژادی، آغاز شد. ما به دنبال ارائه</w:t>
      </w:r>
      <w:r w:rsidRPr="0025250D">
        <w:rPr>
          <w:rFonts w:hint="cs"/>
        </w:rPr>
        <w:t>‌</w:t>
      </w:r>
      <w:r w:rsidRPr="0025250D">
        <w:rPr>
          <w:rFonts w:hint="cs"/>
          <w:rtl/>
        </w:rPr>
        <w:t xml:space="preserve"> یک فهرست بیست و پنج نفره</w:t>
      </w:r>
      <w:r w:rsidRPr="0025250D">
        <w:rPr>
          <w:rFonts w:hint="cs"/>
        </w:rPr>
        <w:t>‌</w:t>
      </w:r>
      <w:r w:rsidRPr="0025250D">
        <w:rPr>
          <w:rFonts w:hint="cs"/>
          <w:rtl/>
        </w:rPr>
        <w:t xml:space="preserve"> بسیار متنوع تر از نظر نژادی و جنسیتی و بین المللی در</w:t>
      </w:r>
      <w:r w:rsidRPr="0025250D">
        <w:rPr>
          <w:rtl/>
        </w:rPr>
        <w:t xml:space="preserve"> </w:t>
      </w:r>
      <w:r w:rsidRPr="0025250D">
        <w:rPr>
          <w:rFonts w:hint="cs"/>
          <w:rtl/>
        </w:rPr>
        <w:t>بین</w:t>
      </w:r>
      <w:r w:rsidRPr="0025250D">
        <w:rPr>
          <w:rtl/>
        </w:rPr>
        <w:t xml:space="preserve"> </w:t>
      </w:r>
      <w:r w:rsidRPr="0025250D">
        <w:rPr>
          <w:rFonts w:hint="cs"/>
          <w:rtl/>
        </w:rPr>
        <w:t>سال</w:t>
      </w:r>
      <w:r w:rsidRPr="0025250D">
        <w:rPr>
          <w:rtl/>
        </w:rPr>
        <w:t xml:space="preserve">‌های 2000 </w:t>
      </w:r>
      <w:r w:rsidRPr="0025250D">
        <w:rPr>
          <w:rFonts w:hint="cs"/>
          <w:rtl/>
        </w:rPr>
        <w:t>تا</w:t>
      </w:r>
      <w:r w:rsidRPr="0025250D">
        <w:rPr>
          <w:rtl/>
        </w:rPr>
        <w:t xml:space="preserve"> 2025 </w:t>
      </w:r>
      <w:r w:rsidRPr="0025250D">
        <w:rPr>
          <w:rFonts w:hint="cs"/>
          <w:rtl/>
        </w:rPr>
        <w:t>در نسخه</w:t>
      </w:r>
      <w:r w:rsidRPr="0025250D">
        <w:rPr>
          <w:rFonts w:hint="cs"/>
        </w:rPr>
        <w:t>‌</w:t>
      </w:r>
      <w:r w:rsidRPr="0025250D">
        <w:rPr>
          <w:rFonts w:hint="cs"/>
          <w:rtl/>
        </w:rPr>
        <w:t xml:space="preserve"> بعدی این کتاب راهنما هستیم. برای رسیدن به این هدف، فهرست جهانی عالی </w:t>
      </w:r>
      <w:r w:rsidR="00D92F6E" w:rsidRPr="0025250D">
        <w:rPr>
          <w:rFonts w:hint="cs"/>
          <w:rtl/>
        </w:rPr>
        <w:t>آینده‌پژوه</w:t>
      </w:r>
      <w:r w:rsidRPr="0025250D">
        <w:rPr>
          <w:rFonts w:hint="cs"/>
          <w:rtl/>
        </w:rPr>
        <w:t xml:space="preserve"> </w:t>
      </w:r>
      <w:r w:rsidRPr="0025250D">
        <w:rPr>
          <w:rtl/>
        </w:rPr>
        <w:t>راس داوسون</w:t>
      </w:r>
      <w:r w:rsidRPr="0025250D">
        <w:rPr>
          <w:rFonts w:hint="cs"/>
          <w:rtl/>
        </w:rPr>
        <w:t xml:space="preserve"> از </w:t>
      </w:r>
      <w:r w:rsidR="00D30084" w:rsidRPr="0025250D">
        <w:rPr>
          <w:rFonts w:hint="cs"/>
          <w:rtl/>
        </w:rPr>
        <w:t>آینده‌نگار</w:t>
      </w:r>
      <w:r w:rsidRPr="0025250D">
        <w:rPr>
          <w:rFonts w:hint="cs"/>
          <w:rtl/>
        </w:rPr>
        <w:t>ان زن</w:t>
      </w:r>
      <w:r w:rsidRPr="0025250D">
        <w:rPr>
          <w:vertAlign w:val="superscript"/>
          <w:rtl/>
        </w:rPr>
        <w:footnoteReference w:id="1022"/>
      </w:r>
      <w:r w:rsidRPr="0025250D">
        <w:rPr>
          <w:rFonts w:hint="cs"/>
          <w:rtl/>
        </w:rPr>
        <w:t xml:space="preserve"> را ببینید. به آرامی در حال ایجاد تنوع جنسیتی، نژادی، فرهنگی و تجربه‌ای هستیم که این زمینه به آن نیاز دارد.</w:t>
      </w:r>
    </w:p>
    <w:p w14:paraId="0FFA38E5" w14:textId="659C0881" w:rsidR="00537CC8" w:rsidRPr="0025250D" w:rsidRDefault="00537CC8" w:rsidP="00537CC8">
      <w:pPr>
        <w:rPr>
          <w:rtl/>
        </w:rPr>
      </w:pPr>
      <w:r w:rsidRPr="0025250D">
        <w:rPr>
          <w:rFonts w:hint="cs"/>
          <w:rtl/>
        </w:rPr>
        <w:t xml:space="preserve">بهترین کارها در زمینه آینده، از دید ما، به شکل منحصر به فردی باید خلاقانه (تکاملی) باشند، اما </w:t>
      </w:r>
      <w:r w:rsidR="00B124DE" w:rsidRPr="0025250D">
        <w:rPr>
          <w:rFonts w:hint="cs"/>
          <w:rtl/>
        </w:rPr>
        <w:t xml:space="preserve">در عین حال </w:t>
      </w:r>
      <w:r w:rsidRPr="0025250D">
        <w:rPr>
          <w:rFonts w:hint="cs"/>
          <w:rtl/>
        </w:rPr>
        <w:t>به دنبال توصیف موارد جهانی و فراگیر (توسعه ای) و ماهیت و آینده</w:t>
      </w:r>
      <w:r w:rsidRPr="0025250D">
        <w:rPr>
          <w:rFonts w:hint="cs"/>
        </w:rPr>
        <w:t>‌</w:t>
      </w:r>
      <w:r w:rsidRPr="0025250D">
        <w:rPr>
          <w:rFonts w:hint="cs"/>
          <w:rtl/>
        </w:rPr>
        <w:t xml:space="preserve"> تمدن ما</w:t>
      </w:r>
      <w:r w:rsidR="00B124DE" w:rsidRPr="0025250D">
        <w:rPr>
          <w:rFonts w:hint="cs"/>
          <w:rtl/>
        </w:rPr>
        <w:t xml:space="preserve"> نیز</w:t>
      </w:r>
      <w:r w:rsidRPr="0025250D">
        <w:rPr>
          <w:rFonts w:hint="cs"/>
          <w:rtl/>
        </w:rPr>
        <w:t xml:space="preserve"> باشند. این کارها باید در هر یک از شش دامنه مطالبی را ارائه نمایند، داستان‌هایی در مدل چهار </w:t>
      </w:r>
      <w:r w:rsidRPr="0025250D">
        <w:t>P</w:t>
      </w:r>
      <w:r w:rsidRPr="0025250D">
        <w:rPr>
          <w:rFonts w:hint="cs"/>
          <w:rtl/>
        </w:rPr>
        <w:t xml:space="preserve"> بیان کنند و حداقل به طور مختصر، به همه</w:t>
      </w:r>
      <w:r w:rsidRPr="0025250D">
        <w:rPr>
          <w:rFonts w:hint="cs"/>
        </w:rPr>
        <w:t>‌</w:t>
      </w:r>
      <w:r w:rsidRPr="0025250D">
        <w:rPr>
          <w:rFonts w:hint="cs"/>
          <w:rtl/>
        </w:rPr>
        <w:t xml:space="preserve"> دسته‌های </w:t>
      </w:r>
      <w:r w:rsidRPr="0025250D">
        <w:t>STEEPLES</w:t>
      </w:r>
      <w:r w:rsidRPr="0025250D">
        <w:rPr>
          <w:rFonts w:hint="cs"/>
          <w:rtl/>
        </w:rPr>
        <w:t xml:space="preserve"> (علم، </w:t>
      </w:r>
      <w:r w:rsidR="007A53FD" w:rsidRPr="0025250D">
        <w:rPr>
          <w:rFonts w:hint="cs"/>
          <w:rtl/>
        </w:rPr>
        <w:t>فناوری</w:t>
      </w:r>
      <w:r w:rsidRPr="0025250D">
        <w:rPr>
          <w:rFonts w:hint="cs"/>
          <w:rtl/>
        </w:rPr>
        <w:t xml:space="preserve">، اقتصاد، محیط، سیاست، قانون، اخلاق و جامعه) بپردازند (فصل 5). بهترین مطالعات توسط برخی افراد ستایش شده و </w:t>
      </w:r>
      <w:r w:rsidR="00B124DE" w:rsidRPr="0025250D">
        <w:rPr>
          <w:rFonts w:hint="cs"/>
          <w:rtl/>
        </w:rPr>
        <w:t>آینده‌اندیش</w:t>
      </w:r>
      <w:r w:rsidRPr="0025250D">
        <w:rPr>
          <w:rFonts w:hint="cs"/>
          <w:rtl/>
        </w:rPr>
        <w:t xml:space="preserve">ان به پیش برده </w:t>
      </w:r>
      <w:r w:rsidR="00185F3E" w:rsidRPr="0025250D">
        <w:rPr>
          <w:rFonts w:hint="cs"/>
          <w:rtl/>
        </w:rPr>
        <w:t>شده‌اند</w:t>
      </w:r>
      <w:r w:rsidRPr="0025250D">
        <w:rPr>
          <w:rFonts w:hint="cs"/>
          <w:rtl/>
        </w:rPr>
        <w:t xml:space="preserve">. نویسنده </w:t>
      </w:r>
      <w:r w:rsidRPr="0025250D">
        <w:rPr>
          <w:rtl/>
        </w:rPr>
        <w:t>هنر</w:t>
      </w:r>
      <w:r w:rsidRPr="0025250D">
        <w:rPr>
          <w:rFonts w:hint="cs"/>
          <w:rtl/>
        </w:rPr>
        <w:t>ی</w:t>
      </w:r>
      <w:r w:rsidRPr="0025250D">
        <w:rPr>
          <w:rtl/>
        </w:rPr>
        <w:t xml:space="preserve"> آدامز</w:t>
      </w:r>
      <w:r w:rsidRPr="0025250D">
        <w:rPr>
          <w:vertAlign w:val="superscript"/>
          <w:rtl/>
        </w:rPr>
        <w:footnoteReference w:id="1023"/>
      </w:r>
      <w:r w:rsidRPr="0025250D">
        <w:rPr>
          <w:rFonts w:hint="cs"/>
          <w:rtl/>
        </w:rPr>
        <w:t xml:space="preserve"> یک محک در این زمینه است. او موارد زیادی درمورد رابطه</w:t>
      </w:r>
      <w:r w:rsidRPr="0025250D">
        <w:rPr>
          <w:rFonts w:hint="cs"/>
        </w:rPr>
        <w:t>‌</w:t>
      </w:r>
      <w:r w:rsidRPr="0025250D">
        <w:rPr>
          <w:rFonts w:hint="cs"/>
          <w:rtl/>
        </w:rPr>
        <w:t xml:space="preserve"> میان </w:t>
      </w:r>
      <w:r w:rsidR="007A53FD" w:rsidRPr="0025250D">
        <w:rPr>
          <w:rFonts w:hint="cs"/>
          <w:rtl/>
        </w:rPr>
        <w:t>فناوری</w:t>
      </w:r>
      <w:r w:rsidRPr="0025250D">
        <w:rPr>
          <w:rFonts w:hint="cs"/>
          <w:rtl/>
        </w:rPr>
        <w:t xml:space="preserve"> و علم بیان کرده است و اولین مدل ساده از تغییر پر شتاب به عنوان یک فرایند فراگیر را در سال 1909 ارائه کرد. او انتظار داشت که این </w:t>
      </w:r>
      <w:r w:rsidR="00B56611" w:rsidRPr="0025250D">
        <w:rPr>
          <w:rFonts w:hint="cs"/>
          <w:rtl/>
        </w:rPr>
        <w:t>شتاب‌گیری</w:t>
      </w:r>
      <w:r w:rsidRPr="0025250D">
        <w:rPr>
          <w:rFonts w:hint="cs"/>
          <w:rtl/>
        </w:rPr>
        <w:t xml:space="preserve"> در همه</w:t>
      </w:r>
      <w:r w:rsidRPr="0025250D">
        <w:rPr>
          <w:rFonts w:hint="cs"/>
        </w:rPr>
        <w:t>‌</w:t>
      </w:r>
      <w:r w:rsidRPr="0025250D">
        <w:rPr>
          <w:rFonts w:hint="cs"/>
          <w:rtl/>
        </w:rPr>
        <w:t xml:space="preserve"> سیارات دارای حیات هوشمند (درست) وجود داشته باشد. </w:t>
      </w:r>
      <w:r w:rsidRPr="0025250D">
        <w:rPr>
          <w:rtl/>
        </w:rPr>
        <w:t>آدامز</w:t>
      </w:r>
      <w:r w:rsidRPr="0025250D">
        <w:rPr>
          <w:vertAlign w:val="superscript"/>
          <w:rtl/>
        </w:rPr>
        <w:footnoteReference w:id="1024"/>
      </w:r>
      <w:r w:rsidRPr="0025250D">
        <w:rPr>
          <w:rFonts w:hint="cs"/>
          <w:rtl/>
        </w:rPr>
        <w:t xml:space="preserve"> اولین شخص برجسته</w:t>
      </w:r>
      <w:r w:rsidRPr="0025250D">
        <w:rPr>
          <w:rFonts w:hint="cs"/>
        </w:rPr>
        <w:t>‌</w:t>
      </w:r>
      <w:r w:rsidRPr="0025250D">
        <w:rPr>
          <w:rFonts w:hint="cs"/>
          <w:rtl/>
        </w:rPr>
        <w:t xml:space="preserve"> قرن بیستمی در فهرست ما است. هر یک از افراد در این فهرست از برخی جهات یک </w:t>
      </w:r>
      <w:r w:rsidR="00D92F6E" w:rsidRPr="0025250D">
        <w:rPr>
          <w:rFonts w:hint="cs"/>
          <w:rtl/>
        </w:rPr>
        <w:t>آینده‌پژوه</w:t>
      </w:r>
      <w:r w:rsidRPr="0025250D">
        <w:rPr>
          <w:rFonts w:hint="cs"/>
          <w:rtl/>
        </w:rPr>
        <w:t xml:space="preserve"> و یک </w:t>
      </w:r>
      <w:r w:rsidR="00D30084" w:rsidRPr="0025250D">
        <w:rPr>
          <w:rtl/>
        </w:rPr>
        <w:t>آینده‌نگار</w:t>
      </w:r>
      <w:r w:rsidRPr="0025250D">
        <w:rPr>
          <w:rFonts w:hint="cs"/>
          <w:rtl/>
        </w:rPr>
        <w:t xml:space="preserve"> </w:t>
      </w:r>
      <w:r w:rsidR="00B124DE" w:rsidRPr="0025250D">
        <w:rPr>
          <w:rFonts w:hint="cs"/>
          <w:rtl/>
        </w:rPr>
        <w:t>بوده‌اند</w:t>
      </w:r>
      <w:r w:rsidRPr="0025250D">
        <w:rPr>
          <w:rFonts w:hint="cs"/>
          <w:rtl/>
        </w:rPr>
        <w:t xml:space="preserve"> که تلاش‌های زیادی را در پیش برد زمینه</w:t>
      </w:r>
      <w:r w:rsidRPr="0025250D">
        <w:rPr>
          <w:rFonts w:hint="cs"/>
        </w:rPr>
        <w:t>‌</w:t>
      </w:r>
      <w:r w:rsidRPr="0025250D">
        <w:rPr>
          <w:rFonts w:hint="cs"/>
          <w:rtl/>
        </w:rPr>
        <w:t xml:space="preserve"> مهم و در حال ظهور </w:t>
      </w:r>
      <w:r w:rsidR="00B124DE" w:rsidRPr="0025250D">
        <w:rPr>
          <w:rFonts w:hint="cs"/>
          <w:rtl/>
        </w:rPr>
        <w:t>آینده‌انگاری</w:t>
      </w:r>
      <w:r w:rsidRPr="0025250D">
        <w:rPr>
          <w:rFonts w:hint="cs"/>
          <w:rtl/>
        </w:rPr>
        <w:t xml:space="preserve"> </w:t>
      </w:r>
      <w:r w:rsidR="00B124DE" w:rsidRPr="0025250D">
        <w:rPr>
          <w:rFonts w:hint="cs"/>
          <w:rtl/>
        </w:rPr>
        <w:t>داشته‌اند</w:t>
      </w:r>
      <w:r w:rsidRPr="0025250D">
        <w:rPr>
          <w:rFonts w:hint="cs"/>
          <w:rtl/>
        </w:rPr>
        <w:t>.</w:t>
      </w:r>
    </w:p>
    <w:p w14:paraId="0D655733" w14:textId="75A2BB91" w:rsidR="00537CC8" w:rsidRPr="0025250D" w:rsidRDefault="00CC3060" w:rsidP="00537CC8">
      <w:pPr>
        <w:rPr>
          <w:rtl/>
        </w:rPr>
      </w:pPr>
      <w:r w:rsidRPr="0025250D">
        <w:rPr>
          <w:noProof/>
        </w:rPr>
        <w:drawing>
          <wp:inline distT="0" distB="0" distL="0" distR="0" wp14:anchorId="17F1DAB7" wp14:editId="6E8EC183">
            <wp:extent cx="5590540" cy="4871085"/>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7">
                      <a:extLst>
                        <a:ext uri="{28A0092B-C50C-407E-A947-70E740481C1C}">
                          <a14:useLocalDpi xmlns:a14="http://schemas.microsoft.com/office/drawing/2010/main"/>
                        </a:ext>
                      </a:extLst>
                    </a:blip>
                    <a:srcRect/>
                    <a:stretch>
                      <a:fillRect/>
                    </a:stretch>
                  </pic:blipFill>
                  <pic:spPr bwMode="auto">
                    <a:xfrm>
                      <a:off x="0" y="0"/>
                      <a:ext cx="5590540" cy="4871085"/>
                    </a:xfrm>
                    <a:prstGeom prst="rect">
                      <a:avLst/>
                    </a:prstGeom>
                    <a:noFill/>
                  </pic:spPr>
                </pic:pic>
              </a:graphicData>
            </a:graphic>
          </wp:inline>
        </w:drawing>
      </w:r>
    </w:p>
    <w:p w14:paraId="03CF073D" w14:textId="7168749F" w:rsidR="00537CC8" w:rsidRPr="0025250D" w:rsidRDefault="00537CC8" w:rsidP="00B124DE">
      <w:pPr>
        <w:rPr>
          <w:rtl/>
        </w:rPr>
      </w:pPr>
      <w:r w:rsidRPr="0025250D">
        <w:rPr>
          <w:rFonts w:hint="cs"/>
          <w:rtl/>
        </w:rPr>
        <w:t xml:space="preserve">بنابراین در اینجا فهرستی از 25 </w:t>
      </w:r>
      <w:r w:rsidR="00D92F6E" w:rsidRPr="0025250D">
        <w:rPr>
          <w:rFonts w:hint="cs"/>
          <w:rtl/>
        </w:rPr>
        <w:t>آینده‌پژوه</w:t>
      </w:r>
      <w:r w:rsidRPr="0025250D">
        <w:rPr>
          <w:rFonts w:hint="cs"/>
          <w:rtl/>
        </w:rPr>
        <w:t xml:space="preserve"> و </w:t>
      </w:r>
      <w:r w:rsidR="00D30084" w:rsidRPr="0025250D">
        <w:rPr>
          <w:rtl/>
        </w:rPr>
        <w:t>آینده‌نگار</w:t>
      </w:r>
      <w:r w:rsidRPr="0025250D">
        <w:rPr>
          <w:rFonts w:hint="cs"/>
          <w:rtl/>
        </w:rPr>
        <w:t xml:space="preserve"> برتر در قرن بیستم ارائه شده است:</w:t>
      </w:r>
    </w:p>
    <w:p w14:paraId="38555C1E" w14:textId="5BAAF7FD" w:rsidR="00537CC8" w:rsidRPr="0025250D" w:rsidRDefault="00537CC8" w:rsidP="00217F8B">
      <w:pPr>
        <w:rPr>
          <w:rtl/>
        </w:rPr>
      </w:pPr>
      <w:r w:rsidRPr="0025250D">
        <w:rPr>
          <w:rtl/>
        </w:rPr>
        <w:t>هنر</w:t>
      </w:r>
      <w:r w:rsidRPr="0025250D">
        <w:rPr>
          <w:rFonts w:hint="cs"/>
          <w:rtl/>
        </w:rPr>
        <w:t>ی</w:t>
      </w:r>
      <w:r w:rsidRPr="0025250D">
        <w:rPr>
          <w:rtl/>
        </w:rPr>
        <w:t xml:space="preserve"> آدامز</w:t>
      </w:r>
      <w:r w:rsidRPr="0025250D">
        <w:rPr>
          <w:rFonts w:hint="cs"/>
          <w:rtl/>
        </w:rPr>
        <w:t xml:space="preserve">، </w:t>
      </w:r>
      <w:r w:rsidRPr="0025250D">
        <w:rPr>
          <w:rtl/>
        </w:rPr>
        <w:t>اچ ج</w:t>
      </w:r>
      <w:r w:rsidRPr="0025250D">
        <w:rPr>
          <w:rFonts w:hint="cs"/>
          <w:rtl/>
        </w:rPr>
        <w:t>ی</w:t>
      </w:r>
      <w:r w:rsidRPr="0025250D">
        <w:rPr>
          <w:rtl/>
        </w:rPr>
        <w:t xml:space="preserve"> ولز</w:t>
      </w:r>
      <w:r w:rsidRPr="0025250D">
        <w:rPr>
          <w:rFonts w:hint="cs"/>
          <w:rtl/>
        </w:rPr>
        <w:t xml:space="preserve">، </w:t>
      </w:r>
      <w:r w:rsidRPr="0025250D">
        <w:rPr>
          <w:rtl/>
        </w:rPr>
        <w:t>هرمان کان</w:t>
      </w:r>
      <w:r w:rsidRPr="0025250D">
        <w:rPr>
          <w:rFonts w:hint="cs"/>
          <w:rtl/>
        </w:rPr>
        <w:t xml:space="preserve">، </w:t>
      </w:r>
      <w:r w:rsidRPr="0025250D">
        <w:rPr>
          <w:rtl/>
        </w:rPr>
        <w:t>باکم</w:t>
      </w:r>
      <w:r w:rsidRPr="0025250D">
        <w:rPr>
          <w:rFonts w:hint="cs"/>
          <w:rtl/>
        </w:rPr>
        <w:t>ی</w:t>
      </w:r>
      <w:r w:rsidRPr="0025250D">
        <w:rPr>
          <w:rFonts w:hint="eastAsia"/>
          <w:rtl/>
        </w:rPr>
        <w:t>نستر</w:t>
      </w:r>
      <w:r w:rsidRPr="0025250D">
        <w:rPr>
          <w:rtl/>
        </w:rPr>
        <w:t xml:space="preserve"> فولر</w:t>
      </w:r>
      <w:r w:rsidRPr="0025250D">
        <w:rPr>
          <w:rFonts w:hint="cs"/>
          <w:rtl/>
        </w:rPr>
        <w:t xml:space="preserve">، </w:t>
      </w:r>
      <w:r w:rsidRPr="0025250D">
        <w:rPr>
          <w:rtl/>
        </w:rPr>
        <w:t>هر</w:t>
      </w:r>
      <w:r w:rsidRPr="0025250D">
        <w:rPr>
          <w:rFonts w:hint="cs"/>
          <w:rtl/>
        </w:rPr>
        <w:t>ی</w:t>
      </w:r>
      <w:r w:rsidRPr="0025250D">
        <w:rPr>
          <w:rFonts w:hint="eastAsia"/>
          <w:rtl/>
        </w:rPr>
        <w:t>سون</w:t>
      </w:r>
      <w:r w:rsidRPr="0025250D">
        <w:rPr>
          <w:rtl/>
        </w:rPr>
        <w:t xml:space="preserve"> براون</w:t>
      </w:r>
      <w:r w:rsidRPr="0025250D">
        <w:rPr>
          <w:rFonts w:hint="cs"/>
          <w:rtl/>
        </w:rPr>
        <w:t xml:space="preserve">، </w:t>
      </w:r>
      <w:r w:rsidRPr="0025250D">
        <w:rPr>
          <w:rtl/>
        </w:rPr>
        <w:t>دان</w:t>
      </w:r>
      <w:r w:rsidRPr="0025250D">
        <w:rPr>
          <w:rFonts w:hint="cs"/>
          <w:rtl/>
        </w:rPr>
        <w:t>ی</w:t>
      </w:r>
      <w:r w:rsidRPr="0025250D">
        <w:rPr>
          <w:rFonts w:hint="eastAsia"/>
          <w:rtl/>
        </w:rPr>
        <w:t>ل</w:t>
      </w:r>
      <w:r w:rsidRPr="0025250D">
        <w:rPr>
          <w:rtl/>
        </w:rPr>
        <w:t xml:space="preserve"> بل</w:t>
      </w:r>
      <w:r w:rsidRPr="0025250D">
        <w:rPr>
          <w:rFonts w:hint="cs"/>
          <w:rtl/>
        </w:rPr>
        <w:t xml:space="preserve">، </w:t>
      </w:r>
      <w:r w:rsidRPr="0025250D">
        <w:rPr>
          <w:rtl/>
        </w:rPr>
        <w:t>آرتور کلارک</w:t>
      </w:r>
      <w:r w:rsidRPr="0025250D">
        <w:rPr>
          <w:rFonts w:hint="cs"/>
          <w:rtl/>
        </w:rPr>
        <w:t xml:space="preserve">، </w:t>
      </w:r>
      <w:r w:rsidRPr="0025250D">
        <w:rPr>
          <w:rtl/>
        </w:rPr>
        <w:t>جول</w:t>
      </w:r>
      <w:r w:rsidRPr="0025250D">
        <w:rPr>
          <w:rFonts w:hint="cs"/>
          <w:rtl/>
        </w:rPr>
        <w:t>ی</w:t>
      </w:r>
      <w:r w:rsidRPr="0025250D">
        <w:rPr>
          <w:rFonts w:hint="eastAsia"/>
          <w:rtl/>
        </w:rPr>
        <w:t>ان</w:t>
      </w:r>
      <w:r w:rsidRPr="0025250D">
        <w:rPr>
          <w:rtl/>
        </w:rPr>
        <w:t xml:space="preserve"> س</w:t>
      </w:r>
      <w:r w:rsidRPr="0025250D">
        <w:rPr>
          <w:rFonts w:hint="cs"/>
          <w:rtl/>
        </w:rPr>
        <w:t>ی</w:t>
      </w:r>
      <w:r w:rsidRPr="0025250D">
        <w:rPr>
          <w:rFonts w:hint="eastAsia"/>
          <w:rtl/>
        </w:rPr>
        <w:t>مون</w:t>
      </w:r>
      <w:r w:rsidRPr="0025250D">
        <w:rPr>
          <w:rFonts w:hint="cs"/>
          <w:rtl/>
        </w:rPr>
        <w:t xml:space="preserve">، </w:t>
      </w:r>
      <w:r w:rsidRPr="0025250D">
        <w:rPr>
          <w:rtl/>
        </w:rPr>
        <w:t>آلو</w:t>
      </w:r>
      <w:r w:rsidRPr="0025250D">
        <w:rPr>
          <w:rFonts w:hint="cs"/>
          <w:rtl/>
        </w:rPr>
        <w:t>ی</w:t>
      </w:r>
      <w:r w:rsidRPr="0025250D">
        <w:rPr>
          <w:rFonts w:hint="eastAsia"/>
          <w:rtl/>
        </w:rPr>
        <w:t>ن</w:t>
      </w:r>
      <w:r w:rsidRPr="0025250D">
        <w:rPr>
          <w:rtl/>
        </w:rPr>
        <w:t xml:space="preserve"> تافلر</w:t>
      </w:r>
      <w:r w:rsidRPr="0025250D">
        <w:rPr>
          <w:rFonts w:hint="cs"/>
          <w:rtl/>
        </w:rPr>
        <w:t xml:space="preserve">، </w:t>
      </w:r>
      <w:r w:rsidRPr="0025250D">
        <w:rPr>
          <w:rtl/>
        </w:rPr>
        <w:t>جرارد پ</w:t>
      </w:r>
      <w:r w:rsidRPr="0025250D">
        <w:rPr>
          <w:rFonts w:hint="cs"/>
          <w:rtl/>
        </w:rPr>
        <w:t>ی</w:t>
      </w:r>
      <w:r w:rsidRPr="0025250D">
        <w:rPr>
          <w:rFonts w:hint="eastAsia"/>
          <w:rtl/>
        </w:rPr>
        <w:t>ل</w:t>
      </w:r>
      <w:r w:rsidRPr="0025250D">
        <w:rPr>
          <w:rFonts w:hint="cs"/>
          <w:rtl/>
        </w:rPr>
        <w:t xml:space="preserve">، </w:t>
      </w:r>
      <w:r w:rsidRPr="0025250D">
        <w:rPr>
          <w:rtl/>
        </w:rPr>
        <w:t>دونلا م</w:t>
      </w:r>
      <w:r w:rsidRPr="0025250D">
        <w:rPr>
          <w:rFonts w:hint="cs"/>
          <w:rtl/>
        </w:rPr>
        <w:t>ی</w:t>
      </w:r>
      <w:r w:rsidRPr="0025250D">
        <w:rPr>
          <w:rFonts w:hint="eastAsia"/>
          <w:rtl/>
        </w:rPr>
        <w:t>دوز</w:t>
      </w:r>
      <w:r w:rsidRPr="0025250D">
        <w:rPr>
          <w:rFonts w:hint="cs"/>
          <w:rtl/>
        </w:rPr>
        <w:t xml:space="preserve">، </w:t>
      </w:r>
      <w:r w:rsidRPr="0025250D">
        <w:rPr>
          <w:rtl/>
        </w:rPr>
        <w:t>ه</w:t>
      </w:r>
      <w:r w:rsidRPr="0025250D">
        <w:rPr>
          <w:rFonts w:hint="cs"/>
          <w:rtl/>
        </w:rPr>
        <w:t>ی</w:t>
      </w:r>
      <w:r w:rsidRPr="0025250D">
        <w:rPr>
          <w:rFonts w:hint="eastAsia"/>
          <w:rtl/>
        </w:rPr>
        <w:t>زل</w:t>
      </w:r>
      <w:r w:rsidRPr="0025250D">
        <w:rPr>
          <w:rtl/>
        </w:rPr>
        <w:t xml:space="preserve"> هندرسون</w:t>
      </w:r>
      <w:r w:rsidRPr="0025250D">
        <w:rPr>
          <w:rFonts w:hint="cs"/>
          <w:rtl/>
        </w:rPr>
        <w:t xml:space="preserve">، </w:t>
      </w:r>
      <w:r w:rsidRPr="0025250D">
        <w:rPr>
          <w:rtl/>
        </w:rPr>
        <w:t>استوارت</w:t>
      </w:r>
      <w:r w:rsidRPr="0025250D">
        <w:rPr>
          <w:rFonts w:hint="cs"/>
          <w:rtl/>
        </w:rPr>
        <w:t xml:space="preserve"> </w:t>
      </w:r>
      <w:r w:rsidRPr="0025250D">
        <w:rPr>
          <w:rtl/>
        </w:rPr>
        <w:t>برند</w:t>
      </w:r>
      <w:r w:rsidRPr="0025250D">
        <w:rPr>
          <w:rFonts w:hint="cs"/>
          <w:rtl/>
        </w:rPr>
        <w:t xml:space="preserve">، </w:t>
      </w:r>
      <w:r w:rsidRPr="0025250D">
        <w:rPr>
          <w:rtl/>
        </w:rPr>
        <w:t>گرو بروندلند</w:t>
      </w:r>
      <w:r w:rsidRPr="0025250D">
        <w:rPr>
          <w:rFonts w:hint="cs"/>
          <w:rtl/>
        </w:rPr>
        <w:t xml:space="preserve">، </w:t>
      </w:r>
      <w:r w:rsidRPr="0025250D">
        <w:rPr>
          <w:rtl/>
        </w:rPr>
        <w:t>پ</w:t>
      </w:r>
      <w:r w:rsidRPr="0025250D">
        <w:rPr>
          <w:rFonts w:hint="cs"/>
          <w:rtl/>
        </w:rPr>
        <w:t>ی</w:t>
      </w:r>
      <w:r w:rsidRPr="0025250D">
        <w:rPr>
          <w:rFonts w:hint="eastAsia"/>
          <w:rtl/>
        </w:rPr>
        <w:t>تر</w:t>
      </w:r>
      <w:r w:rsidRPr="0025250D">
        <w:rPr>
          <w:rtl/>
        </w:rPr>
        <w:t xml:space="preserve"> دراکر</w:t>
      </w:r>
      <w:r w:rsidRPr="0025250D">
        <w:rPr>
          <w:rFonts w:hint="cs"/>
          <w:rtl/>
        </w:rPr>
        <w:t xml:space="preserve">، </w:t>
      </w:r>
      <w:r w:rsidRPr="0025250D">
        <w:rPr>
          <w:rtl/>
        </w:rPr>
        <w:t>کارل س</w:t>
      </w:r>
      <w:r w:rsidRPr="0025250D">
        <w:rPr>
          <w:rFonts w:hint="cs"/>
          <w:rtl/>
        </w:rPr>
        <w:t>ی</w:t>
      </w:r>
      <w:r w:rsidRPr="0025250D">
        <w:rPr>
          <w:rFonts w:hint="eastAsia"/>
          <w:rtl/>
        </w:rPr>
        <w:t>گان</w:t>
      </w:r>
      <w:r w:rsidRPr="0025250D">
        <w:rPr>
          <w:rFonts w:hint="cs"/>
          <w:rtl/>
        </w:rPr>
        <w:t xml:space="preserve">، </w:t>
      </w:r>
      <w:r w:rsidRPr="0025250D">
        <w:rPr>
          <w:rtl/>
        </w:rPr>
        <w:t>رو</w:t>
      </w:r>
      <w:r w:rsidRPr="0025250D">
        <w:rPr>
          <w:rFonts w:hint="cs"/>
          <w:rtl/>
        </w:rPr>
        <w:t>ی</w:t>
      </w:r>
      <w:r w:rsidRPr="0025250D">
        <w:rPr>
          <w:rtl/>
        </w:rPr>
        <w:t xml:space="preserve"> آمارا</w:t>
      </w:r>
      <w:r w:rsidRPr="0025250D">
        <w:rPr>
          <w:rFonts w:hint="cs"/>
          <w:rtl/>
        </w:rPr>
        <w:t xml:space="preserve">، </w:t>
      </w:r>
      <w:r w:rsidRPr="0025250D">
        <w:rPr>
          <w:rtl/>
        </w:rPr>
        <w:t>اولاف هلمر</w:t>
      </w:r>
      <w:r w:rsidRPr="0025250D">
        <w:rPr>
          <w:rFonts w:hint="cs"/>
          <w:rtl/>
        </w:rPr>
        <w:t xml:space="preserve">، </w:t>
      </w:r>
      <w:r w:rsidRPr="0025250D">
        <w:rPr>
          <w:rtl/>
        </w:rPr>
        <w:t>رابرت تئوبالد</w:t>
      </w:r>
      <w:r w:rsidRPr="0025250D">
        <w:rPr>
          <w:rFonts w:hint="cs"/>
          <w:rtl/>
        </w:rPr>
        <w:t xml:space="preserve">، </w:t>
      </w:r>
      <w:r w:rsidRPr="0025250D">
        <w:rPr>
          <w:rtl/>
        </w:rPr>
        <w:t>باربارا هوبارد</w:t>
      </w:r>
      <w:r w:rsidRPr="0025250D">
        <w:rPr>
          <w:rFonts w:hint="cs"/>
          <w:rtl/>
        </w:rPr>
        <w:t xml:space="preserve">، </w:t>
      </w:r>
      <w:r w:rsidRPr="0025250D">
        <w:rPr>
          <w:rtl/>
        </w:rPr>
        <w:t>هانس مورو</w:t>
      </w:r>
      <w:r w:rsidRPr="0025250D">
        <w:rPr>
          <w:rFonts w:hint="cs"/>
          <w:rtl/>
        </w:rPr>
        <w:t>ی</w:t>
      </w:r>
      <w:r w:rsidRPr="0025250D">
        <w:rPr>
          <w:rFonts w:hint="eastAsia"/>
          <w:rtl/>
        </w:rPr>
        <w:t>س</w:t>
      </w:r>
      <w:r w:rsidRPr="0025250D">
        <w:rPr>
          <w:rFonts w:hint="cs"/>
          <w:rtl/>
        </w:rPr>
        <w:t xml:space="preserve">، </w:t>
      </w:r>
      <w:r w:rsidRPr="0025250D">
        <w:rPr>
          <w:rtl/>
        </w:rPr>
        <w:t>پ</w:t>
      </w:r>
      <w:r w:rsidRPr="0025250D">
        <w:rPr>
          <w:rFonts w:hint="cs"/>
          <w:rtl/>
        </w:rPr>
        <w:t>ی</w:t>
      </w:r>
      <w:r w:rsidRPr="0025250D">
        <w:rPr>
          <w:rFonts w:hint="eastAsia"/>
          <w:rtl/>
        </w:rPr>
        <w:t>تر</w:t>
      </w:r>
      <w:r w:rsidRPr="0025250D">
        <w:rPr>
          <w:rtl/>
        </w:rPr>
        <w:t xml:space="preserve"> شوار</w:t>
      </w:r>
      <w:r w:rsidRPr="0025250D">
        <w:rPr>
          <w:rFonts w:hint="cs"/>
          <w:rtl/>
        </w:rPr>
        <w:t xml:space="preserve">، </w:t>
      </w:r>
      <w:r w:rsidRPr="0025250D">
        <w:rPr>
          <w:rtl/>
        </w:rPr>
        <w:t>ر</w:t>
      </w:r>
      <w:r w:rsidRPr="0025250D">
        <w:rPr>
          <w:rFonts w:hint="cs"/>
          <w:rtl/>
        </w:rPr>
        <w:t>ی</w:t>
      </w:r>
      <w:r w:rsidRPr="0025250D">
        <w:rPr>
          <w:rtl/>
        </w:rPr>
        <w:t xml:space="preserve"> کورزو</w:t>
      </w:r>
      <w:r w:rsidRPr="0025250D">
        <w:rPr>
          <w:rFonts w:hint="cs"/>
          <w:rtl/>
        </w:rPr>
        <w:t>ی</w:t>
      </w:r>
      <w:r w:rsidRPr="0025250D">
        <w:rPr>
          <w:rFonts w:hint="eastAsia"/>
          <w:rtl/>
        </w:rPr>
        <w:t>ل</w:t>
      </w:r>
      <w:r w:rsidRPr="0025250D">
        <w:rPr>
          <w:rFonts w:hint="cs"/>
          <w:rtl/>
        </w:rPr>
        <w:t xml:space="preserve"> و </w:t>
      </w:r>
      <w:r w:rsidRPr="0025250D">
        <w:rPr>
          <w:rtl/>
        </w:rPr>
        <w:t>هانس روسل</w:t>
      </w:r>
      <w:r w:rsidRPr="0025250D">
        <w:rPr>
          <w:rFonts w:hint="cs"/>
          <w:rtl/>
        </w:rPr>
        <w:t>ی</w:t>
      </w:r>
      <w:r w:rsidRPr="0025250D">
        <w:rPr>
          <w:rFonts w:hint="eastAsia"/>
          <w:rtl/>
        </w:rPr>
        <w:t>نگ</w:t>
      </w:r>
      <w:r w:rsidRPr="0025250D">
        <w:rPr>
          <w:vertAlign w:val="superscript"/>
          <w:rtl/>
        </w:rPr>
        <w:footnoteReference w:id="1025"/>
      </w:r>
      <w:r w:rsidRPr="0025250D">
        <w:rPr>
          <w:rFonts w:hint="cs"/>
          <w:rtl/>
        </w:rPr>
        <w:t>.</w:t>
      </w:r>
    </w:p>
    <w:p w14:paraId="3DBBC423" w14:textId="6F919830" w:rsidR="00537CC8" w:rsidRPr="0025250D" w:rsidRDefault="00537CC8" w:rsidP="0063099E">
      <w:pPr>
        <w:rPr>
          <w:rtl/>
        </w:rPr>
      </w:pPr>
      <w:r w:rsidRPr="0025250D">
        <w:rPr>
          <w:rFonts w:hint="cs"/>
          <w:rtl/>
        </w:rPr>
        <w:t>شخصیت‌های</w:t>
      </w:r>
      <w:r w:rsidR="00BB406C" w:rsidRPr="0025250D">
        <w:rPr>
          <w:rFonts w:hint="cs"/>
          <w:rtl/>
        </w:rPr>
        <w:t xml:space="preserve"> کم‌تر</w:t>
      </w:r>
      <w:r w:rsidRPr="0025250D">
        <w:rPr>
          <w:rFonts w:hint="cs"/>
          <w:rtl/>
        </w:rPr>
        <w:t xml:space="preserve"> شناخته شده‌ای مانند </w:t>
      </w:r>
      <w:r w:rsidRPr="0025250D">
        <w:rPr>
          <w:rtl/>
        </w:rPr>
        <w:t>جرارد پ</w:t>
      </w:r>
      <w:r w:rsidRPr="0025250D">
        <w:rPr>
          <w:rFonts w:hint="cs"/>
          <w:rtl/>
        </w:rPr>
        <w:t>ی</w:t>
      </w:r>
      <w:r w:rsidRPr="0025250D">
        <w:rPr>
          <w:rFonts w:hint="eastAsia"/>
          <w:rtl/>
        </w:rPr>
        <w:t>ل</w:t>
      </w:r>
      <w:r w:rsidRPr="0025250D">
        <w:rPr>
          <w:rFonts w:hint="cs"/>
          <w:rtl/>
        </w:rPr>
        <w:t>، ویراستار مجله</w:t>
      </w:r>
      <w:r w:rsidRPr="0025250D">
        <w:rPr>
          <w:rFonts w:hint="cs"/>
        </w:rPr>
        <w:t>‌</w:t>
      </w:r>
      <w:r w:rsidRPr="0025250D">
        <w:rPr>
          <w:rFonts w:hint="cs"/>
          <w:rtl/>
        </w:rPr>
        <w:t xml:space="preserve"> </w:t>
      </w:r>
      <w:r w:rsidRPr="0025250D">
        <w:rPr>
          <w:rtl/>
        </w:rPr>
        <w:t>آمر</w:t>
      </w:r>
      <w:r w:rsidRPr="0025250D">
        <w:rPr>
          <w:rFonts w:hint="cs"/>
          <w:rtl/>
        </w:rPr>
        <w:t>ی</w:t>
      </w:r>
      <w:r w:rsidRPr="0025250D">
        <w:rPr>
          <w:rFonts w:hint="eastAsia"/>
          <w:rtl/>
        </w:rPr>
        <w:t>کا</w:t>
      </w:r>
      <w:r w:rsidRPr="0025250D">
        <w:rPr>
          <w:rFonts w:hint="cs"/>
          <w:rtl/>
        </w:rPr>
        <w:t xml:space="preserve">یی </w:t>
      </w:r>
      <w:r w:rsidRPr="0025250D">
        <w:rPr>
          <w:rtl/>
        </w:rPr>
        <w:t>علم</w:t>
      </w:r>
      <w:r w:rsidRPr="0025250D">
        <w:rPr>
          <w:rFonts w:hint="cs"/>
          <w:rtl/>
        </w:rPr>
        <w:t>ی</w:t>
      </w:r>
      <w:r w:rsidRPr="0025250D">
        <w:rPr>
          <w:vertAlign w:val="superscript"/>
          <w:rtl/>
        </w:rPr>
        <w:footnoteReference w:id="1026"/>
      </w:r>
      <w:r w:rsidRPr="0025250D">
        <w:rPr>
          <w:rFonts w:hint="cs"/>
          <w:rtl/>
        </w:rPr>
        <w:t xml:space="preserve"> که تغییر </w:t>
      </w:r>
      <w:r w:rsidR="00B124DE" w:rsidRPr="0025250D">
        <w:rPr>
          <w:rFonts w:hint="cs"/>
          <w:rtl/>
        </w:rPr>
        <w:t>شتاب‌دار</w:t>
      </w:r>
      <w:r w:rsidRPr="0025250D">
        <w:rPr>
          <w:rFonts w:hint="cs"/>
          <w:rtl/>
        </w:rPr>
        <w:t xml:space="preserve"> را در </w:t>
      </w:r>
      <w:r w:rsidR="0063099E" w:rsidRPr="0025250D">
        <w:rPr>
          <w:rtl/>
        </w:rPr>
        <w:t>«</w:t>
      </w:r>
      <w:r w:rsidRPr="0025250D">
        <w:rPr>
          <w:rFonts w:hint="cs"/>
          <w:rtl/>
        </w:rPr>
        <w:t>کتاب کلیدی در 1972</w:t>
      </w:r>
      <w:r w:rsidRPr="0025250D">
        <w:rPr>
          <w:vertAlign w:val="superscript"/>
          <w:rtl/>
        </w:rPr>
        <w:footnoteReference w:id="1027"/>
      </w:r>
      <w:r w:rsidR="0063099E" w:rsidRPr="0025250D">
        <w:rPr>
          <w:rFonts w:hint="cs"/>
          <w:rtl/>
        </w:rPr>
        <w:t>»</w:t>
      </w:r>
      <w:r w:rsidRPr="0025250D">
        <w:rPr>
          <w:rFonts w:hint="cs"/>
          <w:rtl/>
        </w:rPr>
        <w:t xml:space="preserve"> بررسی کرده است، در بالا آورده </w:t>
      </w:r>
      <w:r w:rsidR="00185F3E" w:rsidRPr="0025250D">
        <w:rPr>
          <w:rFonts w:hint="cs"/>
          <w:rtl/>
        </w:rPr>
        <w:t>شده‌اند</w:t>
      </w:r>
      <w:r w:rsidRPr="0025250D">
        <w:rPr>
          <w:rFonts w:hint="cs"/>
          <w:rtl/>
        </w:rPr>
        <w:t xml:space="preserve">. </w:t>
      </w:r>
      <w:r w:rsidR="007118DE" w:rsidRPr="0025250D">
        <w:rPr>
          <w:rFonts w:hint="cs"/>
          <w:rtl/>
        </w:rPr>
        <w:t>همان‌طور</w:t>
      </w:r>
      <w:r w:rsidRPr="0025250D">
        <w:rPr>
          <w:rFonts w:hint="cs"/>
          <w:rtl/>
        </w:rPr>
        <w:t xml:space="preserve"> که در </w:t>
      </w:r>
      <w:r w:rsidRPr="0025250D">
        <w:t>BPF</w:t>
      </w:r>
      <w:r w:rsidRPr="0025250D">
        <w:rPr>
          <w:rFonts w:hint="cs"/>
          <w:rtl/>
        </w:rPr>
        <w:t xml:space="preserve"> می‌گوییم، تغییر دارای شتاب را یک فرایند توسعه</w:t>
      </w:r>
      <w:r w:rsidRPr="0025250D">
        <w:rPr>
          <w:rFonts w:hint="cs"/>
        </w:rPr>
        <w:t>‌</w:t>
      </w:r>
      <w:r w:rsidRPr="0025250D">
        <w:rPr>
          <w:rFonts w:hint="cs"/>
          <w:rtl/>
        </w:rPr>
        <w:t xml:space="preserve"> فراگیرِ همچنان نادیده گرفته شده در نظر می‌گیریم، فرایندی که موارد زیادی درمورد ماهیت آینده به ما می‌گوید. به عنوان یک مورد، این فرایند قدرتمندترین تغییراتی را که در ادامه </w:t>
      </w:r>
      <w:r w:rsidR="0063099E" w:rsidRPr="0025250D">
        <w:rPr>
          <w:rtl/>
        </w:rPr>
        <w:t>«</w:t>
      </w:r>
      <w:r w:rsidRPr="0025250D">
        <w:rPr>
          <w:rFonts w:hint="cs"/>
          <w:rtl/>
        </w:rPr>
        <w:t>در پشت پرده</w:t>
      </w:r>
      <w:r w:rsidRPr="0025250D">
        <w:rPr>
          <w:vertAlign w:val="superscript"/>
          <w:rtl/>
        </w:rPr>
        <w:footnoteReference w:id="1028"/>
      </w:r>
      <w:r w:rsidR="0063099E" w:rsidRPr="0025250D">
        <w:rPr>
          <w:rtl/>
        </w:rPr>
        <w:t>»</w:t>
      </w:r>
      <w:r w:rsidRPr="0025250D">
        <w:rPr>
          <w:rFonts w:hint="cs"/>
          <w:rtl/>
        </w:rPr>
        <w:t xml:space="preserve"> </w:t>
      </w:r>
      <w:r w:rsidR="00D87CD8" w:rsidRPr="0025250D">
        <w:rPr>
          <w:rFonts w:hint="cs"/>
          <w:rtl/>
        </w:rPr>
        <w:t>محدوده</w:t>
      </w:r>
      <w:r w:rsidRPr="0025250D">
        <w:rPr>
          <w:rFonts w:hint="cs"/>
          <w:rtl/>
        </w:rPr>
        <w:t>های به شدت متراکم و غیر مادی شده رخ</w:t>
      </w:r>
      <w:r w:rsidRPr="0025250D">
        <w:rPr>
          <w:rtl/>
        </w:rPr>
        <w:t xml:space="preserve"> </w:t>
      </w:r>
      <w:r w:rsidRPr="0025250D">
        <w:rPr>
          <w:rFonts w:hint="cs"/>
          <w:rtl/>
        </w:rPr>
        <w:t>خواهند</w:t>
      </w:r>
      <w:r w:rsidRPr="0025250D">
        <w:rPr>
          <w:rtl/>
        </w:rPr>
        <w:t xml:space="preserve"> </w:t>
      </w:r>
      <w:r w:rsidRPr="0025250D">
        <w:rPr>
          <w:rFonts w:hint="cs"/>
          <w:rtl/>
        </w:rPr>
        <w:t>داد</w:t>
      </w:r>
      <w:r w:rsidRPr="0025250D">
        <w:rPr>
          <w:rtl/>
        </w:rPr>
        <w:t xml:space="preserve"> </w:t>
      </w:r>
      <w:r w:rsidR="00D92F6E" w:rsidRPr="0025250D">
        <w:rPr>
          <w:rFonts w:hint="cs"/>
          <w:rtl/>
        </w:rPr>
        <w:t>پیش‌بین</w:t>
      </w:r>
      <w:r w:rsidRPr="0025250D">
        <w:rPr>
          <w:rFonts w:hint="cs"/>
          <w:rtl/>
        </w:rPr>
        <w:t>ی می‌کند. این فرایند همچنین یک پایان نهایی برای تاریخ چند میلیارد ساله</w:t>
      </w:r>
      <w:r w:rsidRPr="0025250D">
        <w:rPr>
          <w:rFonts w:hint="cs"/>
        </w:rPr>
        <w:t>‌</w:t>
      </w:r>
      <w:r w:rsidRPr="0025250D">
        <w:rPr>
          <w:rFonts w:hint="cs"/>
          <w:rtl/>
        </w:rPr>
        <w:t xml:space="preserve"> </w:t>
      </w:r>
      <w:r w:rsidR="00B56611" w:rsidRPr="0025250D">
        <w:rPr>
          <w:rFonts w:hint="cs"/>
          <w:rtl/>
        </w:rPr>
        <w:t>شتاب‌گیری</w:t>
      </w:r>
      <w:r w:rsidRPr="0025250D">
        <w:rPr>
          <w:rFonts w:hint="cs"/>
          <w:rtl/>
        </w:rPr>
        <w:t xml:space="preserve"> تغییرات در زمین که در آن محدودیت‌های فضای داخلی فیزیکی در نهایت به سرحد خود می‌رسند و شاید تنها چند قرن تا زمان حال فاصله داشته باشد را </w:t>
      </w:r>
      <w:r w:rsidR="00D92F6E" w:rsidRPr="0025250D">
        <w:rPr>
          <w:rFonts w:hint="cs"/>
          <w:rtl/>
        </w:rPr>
        <w:t>پیش‌بین</w:t>
      </w:r>
      <w:r w:rsidRPr="0025250D">
        <w:rPr>
          <w:rFonts w:hint="cs"/>
          <w:rtl/>
        </w:rPr>
        <w:t>ی می‌کند. باور داریم که در دوران بسیار ویژه‌ای در تاریخ کیهانی زندگی می‌کنیم. خواهیم دید.</w:t>
      </w:r>
    </w:p>
    <w:p w14:paraId="6760595D" w14:textId="7AFB8741" w:rsidR="00537CC8" w:rsidRPr="0025250D" w:rsidRDefault="00537CC8" w:rsidP="00537CC8">
      <w:pPr>
        <w:rPr>
          <w:rtl/>
        </w:rPr>
      </w:pPr>
      <w:r w:rsidRPr="0025250D">
        <w:rPr>
          <w:rFonts w:hint="cs"/>
          <w:rtl/>
        </w:rPr>
        <w:t>شما چه کسی را به این فهرست اضافه می‌کنید؟ رتبه</w:t>
      </w:r>
      <w:r w:rsidRPr="0025250D">
        <w:rPr>
          <w:rFonts w:hint="cs"/>
        </w:rPr>
        <w:t>‌</w:t>
      </w:r>
      <w:r w:rsidRPr="0025250D">
        <w:rPr>
          <w:rFonts w:hint="cs"/>
          <w:rtl/>
        </w:rPr>
        <w:t xml:space="preserve"> چه کسی را پایین خواهید آورد؟ ما انتخاب‌های خودمان را در نسخه</w:t>
      </w:r>
      <w:r w:rsidRPr="0025250D">
        <w:rPr>
          <w:rFonts w:hint="cs"/>
        </w:rPr>
        <w:t>‌</w:t>
      </w:r>
      <w:r w:rsidRPr="0025250D">
        <w:rPr>
          <w:rFonts w:hint="cs"/>
          <w:rtl/>
        </w:rPr>
        <w:t xml:space="preserve"> دیگری از این کتاب راهنما توضیح خواهیم داد. صفحات ویکیپدیا</w:t>
      </w:r>
      <w:r w:rsidRPr="0025250D">
        <w:rPr>
          <w:vertAlign w:val="superscript"/>
          <w:rtl/>
        </w:rPr>
        <w:footnoteReference w:id="1029"/>
      </w:r>
      <w:r w:rsidRPr="0025250D">
        <w:rPr>
          <w:rFonts w:hint="cs"/>
          <w:rtl/>
        </w:rPr>
        <w:t xml:space="preserve"> را برای کسب اطلاعات</w:t>
      </w:r>
      <w:r w:rsidR="0008779C" w:rsidRPr="0025250D">
        <w:rPr>
          <w:rFonts w:hint="cs"/>
          <w:rtl/>
        </w:rPr>
        <w:t xml:space="preserve"> بیش‌تر</w:t>
      </w:r>
      <w:r w:rsidRPr="0025250D">
        <w:rPr>
          <w:rFonts w:hint="cs"/>
          <w:rtl/>
        </w:rPr>
        <w:t xml:space="preserve"> درمورد مطالعات عالی آن‌ها بررسی کنید. صدها </w:t>
      </w:r>
      <w:r w:rsidR="00D92F6E" w:rsidRPr="0025250D">
        <w:rPr>
          <w:rFonts w:hint="cs"/>
          <w:rtl/>
        </w:rPr>
        <w:t>آینده‌پژوه</w:t>
      </w:r>
      <w:r w:rsidRPr="0025250D">
        <w:rPr>
          <w:rFonts w:hint="cs"/>
          <w:rtl/>
        </w:rPr>
        <w:t xml:space="preserve"> یا </w:t>
      </w:r>
      <w:r w:rsidR="00D30084" w:rsidRPr="0025250D">
        <w:rPr>
          <w:rtl/>
        </w:rPr>
        <w:t>آینده‌نگار</w:t>
      </w:r>
      <w:r w:rsidRPr="0025250D">
        <w:rPr>
          <w:rFonts w:hint="cs"/>
          <w:rtl/>
        </w:rPr>
        <w:t xml:space="preserve"> فوق العاده</w:t>
      </w:r>
      <w:r w:rsidRPr="0025250D">
        <w:rPr>
          <w:rFonts w:hint="cs"/>
        </w:rPr>
        <w:t>‌</w:t>
      </w:r>
      <w:r w:rsidRPr="0025250D">
        <w:rPr>
          <w:rFonts w:hint="cs"/>
          <w:rtl/>
        </w:rPr>
        <w:t xml:space="preserve"> دیگر</w:t>
      </w:r>
      <w:r w:rsidR="00923DDB" w:rsidRPr="0025250D">
        <w:rPr>
          <w:rFonts w:hint="cs"/>
          <w:rtl/>
        </w:rPr>
        <w:t xml:space="preserve"> را</w:t>
      </w:r>
      <w:r w:rsidRPr="0025250D">
        <w:rPr>
          <w:rFonts w:hint="cs"/>
          <w:rtl/>
        </w:rPr>
        <w:t xml:space="preserve"> نیز </w:t>
      </w:r>
      <w:r w:rsidR="00923DDB" w:rsidRPr="0025250D">
        <w:rPr>
          <w:rFonts w:hint="cs"/>
          <w:rtl/>
        </w:rPr>
        <w:t>می‌توان نام برد</w:t>
      </w:r>
      <w:r w:rsidRPr="0025250D">
        <w:rPr>
          <w:rFonts w:hint="cs"/>
          <w:rtl/>
        </w:rPr>
        <w:t>.</w:t>
      </w:r>
    </w:p>
    <w:p w14:paraId="76513F24" w14:textId="6F8A1741" w:rsidR="00537CC8" w:rsidRPr="0025250D" w:rsidRDefault="00537CC8" w:rsidP="00690ADF">
      <w:pPr>
        <w:rPr>
          <w:rtl/>
        </w:rPr>
      </w:pPr>
      <w:r w:rsidRPr="0025250D">
        <w:rPr>
          <w:rtl/>
        </w:rPr>
        <w:t>برتراند دو ژوونل</w:t>
      </w:r>
      <w:r w:rsidRPr="0025250D">
        <w:rPr>
          <w:rFonts w:hint="cs"/>
          <w:rtl/>
        </w:rPr>
        <w:t>، ی</w:t>
      </w:r>
      <w:r w:rsidRPr="0025250D">
        <w:rPr>
          <w:rFonts w:hint="eastAsia"/>
          <w:rtl/>
        </w:rPr>
        <w:t>وهان</w:t>
      </w:r>
      <w:r w:rsidRPr="0025250D">
        <w:rPr>
          <w:rtl/>
        </w:rPr>
        <w:t xml:space="preserve"> گالتونگ</w:t>
      </w:r>
      <w:r w:rsidRPr="0025250D">
        <w:rPr>
          <w:rFonts w:hint="cs"/>
          <w:rtl/>
        </w:rPr>
        <w:t xml:space="preserve">، </w:t>
      </w:r>
      <w:r w:rsidRPr="0025250D">
        <w:rPr>
          <w:rtl/>
        </w:rPr>
        <w:t>کنت بولد</w:t>
      </w:r>
      <w:r w:rsidRPr="0025250D">
        <w:rPr>
          <w:rFonts w:hint="cs"/>
          <w:rtl/>
        </w:rPr>
        <w:t>ی</w:t>
      </w:r>
      <w:r w:rsidRPr="0025250D">
        <w:rPr>
          <w:rFonts w:hint="eastAsia"/>
          <w:rtl/>
        </w:rPr>
        <w:t>نگ</w:t>
      </w:r>
      <w:r w:rsidRPr="0025250D">
        <w:rPr>
          <w:rFonts w:hint="cs"/>
          <w:rtl/>
        </w:rPr>
        <w:t xml:space="preserve">، </w:t>
      </w:r>
      <w:r w:rsidRPr="0025250D">
        <w:rPr>
          <w:rtl/>
        </w:rPr>
        <w:t>ا</w:t>
      </w:r>
      <w:r w:rsidRPr="0025250D">
        <w:rPr>
          <w:rFonts w:hint="cs"/>
          <w:rtl/>
        </w:rPr>
        <w:t>ی</w:t>
      </w:r>
      <w:r w:rsidRPr="0025250D">
        <w:rPr>
          <w:rFonts w:hint="eastAsia"/>
          <w:rtl/>
        </w:rPr>
        <w:t>زاک</w:t>
      </w:r>
      <w:r w:rsidRPr="0025250D">
        <w:rPr>
          <w:rtl/>
        </w:rPr>
        <w:t xml:space="preserve"> آس</w:t>
      </w:r>
      <w:r w:rsidRPr="0025250D">
        <w:rPr>
          <w:rFonts w:hint="cs"/>
          <w:rtl/>
        </w:rPr>
        <w:t>ی</w:t>
      </w:r>
      <w:r w:rsidRPr="0025250D">
        <w:rPr>
          <w:rFonts w:hint="eastAsia"/>
          <w:rtl/>
        </w:rPr>
        <w:t>موف</w:t>
      </w:r>
      <w:r w:rsidRPr="0025250D">
        <w:rPr>
          <w:rFonts w:hint="cs"/>
          <w:rtl/>
        </w:rPr>
        <w:t xml:space="preserve">، </w:t>
      </w:r>
      <w:r w:rsidRPr="0025250D">
        <w:rPr>
          <w:rtl/>
        </w:rPr>
        <w:t>فرد پولاک</w:t>
      </w:r>
      <w:r w:rsidRPr="0025250D">
        <w:rPr>
          <w:rFonts w:hint="cs"/>
          <w:rtl/>
        </w:rPr>
        <w:t xml:space="preserve">، </w:t>
      </w:r>
      <w:r w:rsidRPr="0025250D">
        <w:rPr>
          <w:rtl/>
        </w:rPr>
        <w:t>پ</w:t>
      </w:r>
      <w:r w:rsidRPr="0025250D">
        <w:rPr>
          <w:rFonts w:hint="cs"/>
          <w:rtl/>
        </w:rPr>
        <w:t>ی</w:t>
      </w:r>
      <w:r w:rsidRPr="0025250D">
        <w:rPr>
          <w:rFonts w:hint="eastAsia"/>
          <w:rtl/>
        </w:rPr>
        <w:t>تر</w:t>
      </w:r>
      <w:r w:rsidRPr="0025250D">
        <w:rPr>
          <w:rtl/>
        </w:rPr>
        <w:t xml:space="preserve"> مدوار</w:t>
      </w:r>
      <w:r w:rsidRPr="0025250D">
        <w:rPr>
          <w:rFonts w:hint="cs"/>
          <w:rtl/>
        </w:rPr>
        <w:t xml:space="preserve">، </w:t>
      </w:r>
      <w:r w:rsidRPr="0025250D">
        <w:rPr>
          <w:rtl/>
        </w:rPr>
        <w:t>الئونورا ماس</w:t>
      </w:r>
      <w:r w:rsidRPr="0025250D">
        <w:rPr>
          <w:rFonts w:hint="cs"/>
          <w:rtl/>
        </w:rPr>
        <w:t>ی</w:t>
      </w:r>
      <w:r w:rsidRPr="0025250D">
        <w:rPr>
          <w:rFonts w:hint="eastAsia"/>
          <w:rtl/>
        </w:rPr>
        <w:t>ن</w:t>
      </w:r>
      <w:r w:rsidRPr="0025250D">
        <w:rPr>
          <w:rFonts w:hint="cs"/>
          <w:rtl/>
        </w:rPr>
        <w:t xml:space="preserve">ی، ای. اف. </w:t>
      </w:r>
      <w:r w:rsidRPr="0025250D">
        <w:rPr>
          <w:rtl/>
        </w:rPr>
        <w:t>شوماخر</w:t>
      </w:r>
      <w:r w:rsidRPr="0025250D">
        <w:rPr>
          <w:rFonts w:hint="cs"/>
          <w:rtl/>
        </w:rPr>
        <w:t xml:space="preserve">، </w:t>
      </w:r>
      <w:r w:rsidRPr="0025250D">
        <w:rPr>
          <w:rtl/>
        </w:rPr>
        <w:t>ال</w:t>
      </w:r>
      <w:r w:rsidRPr="0025250D">
        <w:rPr>
          <w:rFonts w:hint="cs"/>
          <w:rtl/>
        </w:rPr>
        <w:t>ی</w:t>
      </w:r>
      <w:r w:rsidRPr="0025250D">
        <w:rPr>
          <w:rFonts w:hint="eastAsia"/>
          <w:rtl/>
        </w:rPr>
        <w:t>ز</w:t>
      </w:r>
      <w:r w:rsidRPr="0025250D">
        <w:rPr>
          <w:rtl/>
        </w:rPr>
        <w:t xml:space="preserve"> بولد</w:t>
      </w:r>
      <w:r w:rsidRPr="0025250D">
        <w:rPr>
          <w:rFonts w:hint="cs"/>
          <w:rtl/>
        </w:rPr>
        <w:t>ی</w:t>
      </w:r>
      <w:r w:rsidRPr="0025250D">
        <w:rPr>
          <w:rFonts w:hint="eastAsia"/>
          <w:rtl/>
        </w:rPr>
        <w:t>نگ</w:t>
      </w:r>
      <w:r w:rsidRPr="0025250D">
        <w:rPr>
          <w:rFonts w:hint="cs"/>
          <w:rtl/>
        </w:rPr>
        <w:t xml:space="preserve">، </w:t>
      </w:r>
      <w:r w:rsidRPr="0025250D">
        <w:rPr>
          <w:rtl/>
        </w:rPr>
        <w:t>برنهام بکو</w:t>
      </w:r>
      <w:r w:rsidRPr="0025250D">
        <w:rPr>
          <w:rFonts w:hint="cs"/>
          <w:rtl/>
        </w:rPr>
        <w:t>ی</w:t>
      </w:r>
      <w:r w:rsidRPr="0025250D">
        <w:rPr>
          <w:rFonts w:hint="eastAsia"/>
          <w:rtl/>
        </w:rPr>
        <w:t>ث</w:t>
      </w:r>
      <w:r w:rsidRPr="0025250D">
        <w:rPr>
          <w:rFonts w:hint="cs"/>
          <w:rtl/>
        </w:rPr>
        <w:t xml:space="preserve">، </w:t>
      </w:r>
      <w:r w:rsidRPr="0025250D">
        <w:rPr>
          <w:rtl/>
        </w:rPr>
        <w:t>داگ انگلبارت</w:t>
      </w:r>
      <w:r w:rsidRPr="0025250D">
        <w:rPr>
          <w:rFonts w:hint="cs"/>
          <w:rtl/>
        </w:rPr>
        <w:t xml:space="preserve">، </w:t>
      </w:r>
      <w:r w:rsidRPr="0025250D">
        <w:rPr>
          <w:rtl/>
        </w:rPr>
        <w:t>و</w:t>
      </w:r>
      <w:r w:rsidRPr="0025250D">
        <w:rPr>
          <w:rFonts w:hint="cs"/>
          <w:rtl/>
        </w:rPr>
        <w:t>ی</w:t>
      </w:r>
      <w:r w:rsidRPr="0025250D">
        <w:rPr>
          <w:rFonts w:hint="eastAsia"/>
          <w:rtl/>
        </w:rPr>
        <w:t>ل</w:t>
      </w:r>
      <w:r w:rsidRPr="0025250D">
        <w:rPr>
          <w:rFonts w:hint="cs"/>
          <w:rtl/>
        </w:rPr>
        <w:t>ی</w:t>
      </w:r>
      <w:r w:rsidRPr="0025250D">
        <w:rPr>
          <w:rFonts w:hint="eastAsia"/>
          <w:rtl/>
        </w:rPr>
        <w:t>س</w:t>
      </w:r>
      <w:r w:rsidRPr="0025250D">
        <w:rPr>
          <w:rtl/>
        </w:rPr>
        <w:t xml:space="preserve"> هارمن</w:t>
      </w:r>
      <w:r w:rsidRPr="0025250D">
        <w:rPr>
          <w:rFonts w:hint="cs"/>
          <w:rtl/>
        </w:rPr>
        <w:t xml:space="preserve">، </w:t>
      </w:r>
      <w:r w:rsidRPr="0025250D">
        <w:rPr>
          <w:rtl/>
        </w:rPr>
        <w:t>بر</w:t>
      </w:r>
      <w:r w:rsidRPr="0025250D">
        <w:rPr>
          <w:rFonts w:hint="cs"/>
          <w:rtl/>
        </w:rPr>
        <w:t xml:space="preserve">ی، </w:t>
      </w:r>
      <w:r w:rsidRPr="0025250D">
        <w:rPr>
          <w:rtl/>
        </w:rPr>
        <w:t>ه</w:t>
      </w:r>
      <w:r w:rsidRPr="0025250D">
        <w:rPr>
          <w:rFonts w:hint="cs"/>
          <w:rtl/>
        </w:rPr>
        <w:t>ی</w:t>
      </w:r>
      <w:r w:rsidRPr="0025250D">
        <w:rPr>
          <w:rFonts w:hint="eastAsia"/>
          <w:rtl/>
        </w:rPr>
        <w:t>وز</w:t>
      </w:r>
      <w:r w:rsidRPr="0025250D">
        <w:rPr>
          <w:rFonts w:hint="cs"/>
          <w:rtl/>
        </w:rPr>
        <w:t xml:space="preserve">، </w:t>
      </w:r>
      <w:r w:rsidRPr="0025250D">
        <w:rPr>
          <w:rtl/>
        </w:rPr>
        <w:t>جروم گلن</w:t>
      </w:r>
      <w:r w:rsidRPr="0025250D">
        <w:rPr>
          <w:rFonts w:hint="cs"/>
          <w:rtl/>
        </w:rPr>
        <w:t xml:space="preserve">، </w:t>
      </w:r>
      <w:r w:rsidRPr="0025250D">
        <w:rPr>
          <w:rtl/>
        </w:rPr>
        <w:t>تد گوردون</w:t>
      </w:r>
      <w:r w:rsidRPr="0025250D">
        <w:rPr>
          <w:rFonts w:hint="cs"/>
          <w:rtl/>
        </w:rPr>
        <w:t xml:space="preserve">، </w:t>
      </w:r>
      <w:r w:rsidRPr="0025250D">
        <w:rPr>
          <w:rtl/>
        </w:rPr>
        <w:t>جوزف کوتس</w:t>
      </w:r>
      <w:r w:rsidRPr="0025250D">
        <w:rPr>
          <w:rFonts w:hint="cs"/>
          <w:rtl/>
        </w:rPr>
        <w:t xml:space="preserve">، وری </w:t>
      </w:r>
      <w:r w:rsidRPr="0025250D">
        <w:rPr>
          <w:rtl/>
        </w:rPr>
        <w:t>کوتس</w:t>
      </w:r>
      <w:r w:rsidRPr="0025250D">
        <w:rPr>
          <w:rFonts w:hint="cs"/>
          <w:rtl/>
        </w:rPr>
        <w:t xml:space="preserve">، </w:t>
      </w:r>
      <w:r w:rsidRPr="0025250D">
        <w:rPr>
          <w:rtl/>
        </w:rPr>
        <w:t>ج</w:t>
      </w:r>
      <w:r w:rsidRPr="0025250D">
        <w:rPr>
          <w:rFonts w:hint="cs"/>
          <w:rtl/>
        </w:rPr>
        <w:t>ی</w:t>
      </w:r>
      <w:r w:rsidRPr="0025250D">
        <w:rPr>
          <w:rFonts w:hint="eastAsia"/>
          <w:rtl/>
        </w:rPr>
        <w:t>م</w:t>
      </w:r>
      <w:r w:rsidRPr="0025250D">
        <w:rPr>
          <w:rtl/>
        </w:rPr>
        <w:t xml:space="preserve"> </w:t>
      </w:r>
      <w:r w:rsidRPr="0025250D">
        <w:rPr>
          <w:rFonts w:hint="cs"/>
          <w:rtl/>
        </w:rPr>
        <w:t xml:space="preserve">دیتور، </w:t>
      </w:r>
      <w:r w:rsidRPr="0025250D">
        <w:rPr>
          <w:rtl/>
        </w:rPr>
        <w:t>پ</w:t>
      </w:r>
      <w:r w:rsidRPr="0025250D">
        <w:rPr>
          <w:rFonts w:hint="cs"/>
          <w:rtl/>
        </w:rPr>
        <w:t>ی</w:t>
      </w:r>
      <w:r w:rsidRPr="0025250D">
        <w:rPr>
          <w:rFonts w:hint="eastAsia"/>
          <w:rtl/>
        </w:rPr>
        <w:t>تر</w:t>
      </w:r>
      <w:r w:rsidRPr="0025250D">
        <w:rPr>
          <w:rtl/>
        </w:rPr>
        <w:t xml:space="preserve"> ب</w:t>
      </w:r>
      <w:r w:rsidRPr="0025250D">
        <w:rPr>
          <w:rFonts w:hint="cs"/>
          <w:rtl/>
        </w:rPr>
        <w:t>ی</w:t>
      </w:r>
      <w:r w:rsidRPr="0025250D">
        <w:rPr>
          <w:rFonts w:hint="eastAsia"/>
          <w:rtl/>
        </w:rPr>
        <w:t>شاپ</w:t>
      </w:r>
      <w:r w:rsidRPr="0025250D">
        <w:rPr>
          <w:rFonts w:hint="cs"/>
          <w:rtl/>
        </w:rPr>
        <w:t xml:space="preserve">، </w:t>
      </w:r>
      <w:r w:rsidRPr="0025250D">
        <w:rPr>
          <w:rtl/>
        </w:rPr>
        <w:t>ما</w:t>
      </w:r>
      <w:r w:rsidRPr="0025250D">
        <w:rPr>
          <w:rFonts w:hint="cs"/>
          <w:rtl/>
        </w:rPr>
        <w:t>ی</w:t>
      </w:r>
      <w:r w:rsidRPr="0025250D">
        <w:rPr>
          <w:rFonts w:hint="eastAsia"/>
          <w:rtl/>
        </w:rPr>
        <w:t>کل</w:t>
      </w:r>
      <w:r w:rsidRPr="0025250D">
        <w:rPr>
          <w:rtl/>
        </w:rPr>
        <w:t xml:space="preserve"> مار</w:t>
      </w:r>
      <w:r w:rsidRPr="0025250D">
        <w:rPr>
          <w:rFonts w:hint="cs"/>
          <w:rtl/>
        </w:rPr>
        <w:t>ی</w:t>
      </w:r>
      <w:r w:rsidRPr="0025250D">
        <w:rPr>
          <w:rFonts w:hint="eastAsia"/>
          <w:rtl/>
        </w:rPr>
        <w:t>ن</w:t>
      </w:r>
      <w:r w:rsidRPr="0025250D">
        <w:rPr>
          <w:rFonts w:hint="cs"/>
          <w:rtl/>
        </w:rPr>
        <w:t xml:space="preserve">، </w:t>
      </w:r>
      <w:r w:rsidRPr="0025250D">
        <w:rPr>
          <w:rtl/>
        </w:rPr>
        <w:t>گراهام مول</w:t>
      </w:r>
      <w:r w:rsidRPr="0025250D">
        <w:rPr>
          <w:rFonts w:hint="cs"/>
          <w:rtl/>
        </w:rPr>
        <w:t>ی</w:t>
      </w:r>
      <w:r w:rsidRPr="0025250D">
        <w:rPr>
          <w:rFonts w:hint="eastAsia"/>
          <w:rtl/>
        </w:rPr>
        <w:t>تور</w:t>
      </w:r>
      <w:r w:rsidRPr="0025250D">
        <w:rPr>
          <w:rFonts w:hint="cs"/>
          <w:rtl/>
        </w:rPr>
        <w:t xml:space="preserve">، </w:t>
      </w:r>
      <w:r w:rsidRPr="0025250D">
        <w:rPr>
          <w:rtl/>
        </w:rPr>
        <w:t>وارن واگار</w:t>
      </w:r>
      <w:r w:rsidRPr="0025250D">
        <w:rPr>
          <w:rFonts w:hint="cs"/>
          <w:rtl/>
        </w:rPr>
        <w:t xml:space="preserve">، </w:t>
      </w:r>
      <w:r w:rsidRPr="0025250D">
        <w:rPr>
          <w:rtl/>
        </w:rPr>
        <w:t>سه</w:t>
      </w:r>
      <w:r w:rsidRPr="0025250D">
        <w:rPr>
          <w:rFonts w:hint="cs"/>
          <w:rtl/>
        </w:rPr>
        <w:t>ی</w:t>
      </w:r>
      <w:r w:rsidRPr="0025250D">
        <w:rPr>
          <w:rFonts w:hint="eastAsia"/>
          <w:rtl/>
        </w:rPr>
        <w:t>ل</w:t>
      </w:r>
      <w:r w:rsidRPr="0025250D">
        <w:rPr>
          <w:rtl/>
        </w:rPr>
        <w:t xml:space="preserve"> عنا</w:t>
      </w:r>
      <w:r w:rsidRPr="0025250D">
        <w:rPr>
          <w:rFonts w:hint="cs"/>
          <w:rtl/>
        </w:rPr>
        <w:t>ی</w:t>
      </w:r>
      <w:r w:rsidRPr="0025250D">
        <w:rPr>
          <w:rFonts w:hint="eastAsia"/>
          <w:rtl/>
        </w:rPr>
        <w:t>ت</w:t>
      </w:r>
      <w:r w:rsidRPr="0025250D">
        <w:rPr>
          <w:rtl/>
        </w:rPr>
        <w:t xml:space="preserve"> الله</w:t>
      </w:r>
      <w:r w:rsidRPr="0025250D">
        <w:rPr>
          <w:rFonts w:hint="cs"/>
          <w:rtl/>
        </w:rPr>
        <w:t xml:space="preserve">، </w:t>
      </w:r>
      <w:r w:rsidRPr="0025250D">
        <w:rPr>
          <w:rtl/>
        </w:rPr>
        <w:t>ر</w:t>
      </w:r>
      <w:r w:rsidRPr="0025250D">
        <w:rPr>
          <w:rFonts w:hint="cs"/>
          <w:rtl/>
        </w:rPr>
        <w:t>ی</w:t>
      </w:r>
      <w:r w:rsidRPr="0025250D">
        <w:rPr>
          <w:rFonts w:hint="eastAsia"/>
          <w:rtl/>
        </w:rPr>
        <w:t>چارد</w:t>
      </w:r>
      <w:r w:rsidRPr="0025250D">
        <w:rPr>
          <w:rtl/>
        </w:rPr>
        <w:t xml:space="preserve"> اسلاتر</w:t>
      </w:r>
      <w:r w:rsidRPr="0025250D">
        <w:rPr>
          <w:rFonts w:hint="cs"/>
          <w:rtl/>
        </w:rPr>
        <w:t xml:space="preserve">، </w:t>
      </w:r>
      <w:r w:rsidRPr="0025250D">
        <w:rPr>
          <w:rtl/>
        </w:rPr>
        <w:t>وند</w:t>
      </w:r>
      <w:r w:rsidRPr="0025250D">
        <w:rPr>
          <w:rFonts w:hint="cs"/>
          <w:rtl/>
        </w:rPr>
        <w:t>ی</w:t>
      </w:r>
      <w:r w:rsidRPr="0025250D">
        <w:rPr>
          <w:rtl/>
        </w:rPr>
        <w:t xml:space="preserve"> شول</w:t>
      </w:r>
      <w:r w:rsidRPr="0025250D">
        <w:rPr>
          <w:rFonts w:hint="cs"/>
          <w:rtl/>
        </w:rPr>
        <w:t xml:space="preserve">، </w:t>
      </w:r>
      <w:r w:rsidRPr="0025250D">
        <w:rPr>
          <w:rtl/>
        </w:rPr>
        <w:t>کلمنت بزولد</w:t>
      </w:r>
      <w:r w:rsidRPr="0025250D">
        <w:rPr>
          <w:rFonts w:hint="cs"/>
          <w:rtl/>
        </w:rPr>
        <w:t xml:space="preserve"> و </w:t>
      </w:r>
      <w:r w:rsidRPr="0025250D">
        <w:rPr>
          <w:rtl/>
        </w:rPr>
        <w:t>کو</w:t>
      </w:r>
      <w:r w:rsidRPr="0025250D">
        <w:rPr>
          <w:rFonts w:hint="cs"/>
          <w:rtl/>
        </w:rPr>
        <w:t>ی</w:t>
      </w:r>
      <w:r w:rsidRPr="0025250D">
        <w:rPr>
          <w:rFonts w:hint="eastAsia"/>
          <w:rtl/>
        </w:rPr>
        <w:t>ن</w:t>
      </w:r>
      <w:r w:rsidRPr="0025250D">
        <w:rPr>
          <w:rtl/>
        </w:rPr>
        <w:t xml:space="preserve"> کل</w:t>
      </w:r>
      <w:r w:rsidRPr="0025250D">
        <w:rPr>
          <w:rFonts w:hint="cs"/>
          <w:rtl/>
        </w:rPr>
        <w:t>ی</w:t>
      </w:r>
      <w:r w:rsidRPr="0025250D">
        <w:rPr>
          <w:vertAlign w:val="superscript"/>
          <w:rtl/>
        </w:rPr>
        <w:footnoteReference w:id="1030"/>
      </w:r>
      <w:r w:rsidRPr="0025250D">
        <w:rPr>
          <w:rFonts w:hint="cs"/>
          <w:rtl/>
        </w:rPr>
        <w:t xml:space="preserve"> و بسیاری دیگر از افراد متعلق به یک فهرست از 50 فرد برتر در این زمینه و شایان تقدیر هستند. برخی از این افراد و دیگر افراد، مانند</w:t>
      </w:r>
      <w:r w:rsidRPr="0025250D">
        <w:rPr>
          <w:rtl/>
        </w:rPr>
        <w:t xml:space="preserve"> ف</w:t>
      </w:r>
      <w:r w:rsidRPr="0025250D">
        <w:rPr>
          <w:rFonts w:hint="cs"/>
          <w:rtl/>
        </w:rPr>
        <w:t>ی</w:t>
      </w:r>
      <w:r w:rsidRPr="0025250D">
        <w:rPr>
          <w:rFonts w:hint="eastAsia"/>
          <w:rtl/>
        </w:rPr>
        <w:t>ل</w:t>
      </w:r>
      <w:r w:rsidRPr="0025250D">
        <w:rPr>
          <w:rFonts w:hint="cs"/>
          <w:rtl/>
        </w:rPr>
        <w:t>ی</w:t>
      </w:r>
      <w:r w:rsidRPr="0025250D">
        <w:rPr>
          <w:rFonts w:hint="eastAsia"/>
          <w:rtl/>
        </w:rPr>
        <w:t>پ</w:t>
      </w:r>
      <w:r w:rsidRPr="0025250D">
        <w:rPr>
          <w:rtl/>
        </w:rPr>
        <w:t xml:space="preserve"> تتلاک، ام</w:t>
      </w:r>
      <w:r w:rsidRPr="0025250D">
        <w:rPr>
          <w:rFonts w:hint="cs"/>
          <w:rtl/>
        </w:rPr>
        <w:t>ی</w:t>
      </w:r>
      <w:r w:rsidRPr="0025250D">
        <w:rPr>
          <w:rtl/>
        </w:rPr>
        <w:t xml:space="preserve"> وب، شوشانا زوبوف، کور</w:t>
      </w:r>
      <w:r w:rsidRPr="0025250D">
        <w:rPr>
          <w:rFonts w:hint="cs"/>
          <w:rtl/>
        </w:rPr>
        <w:t>ی</w:t>
      </w:r>
      <w:r w:rsidRPr="0025250D">
        <w:rPr>
          <w:rtl/>
        </w:rPr>
        <w:t xml:space="preserve"> دکترو، است</w:t>
      </w:r>
      <w:r w:rsidRPr="0025250D">
        <w:rPr>
          <w:rFonts w:hint="cs"/>
          <w:rtl/>
        </w:rPr>
        <w:t>ی</w:t>
      </w:r>
      <w:r w:rsidRPr="0025250D">
        <w:rPr>
          <w:rFonts w:hint="eastAsia"/>
          <w:rtl/>
        </w:rPr>
        <w:t>ون</w:t>
      </w:r>
      <w:r w:rsidRPr="0025250D">
        <w:rPr>
          <w:rtl/>
        </w:rPr>
        <w:t xml:space="preserve"> پ</w:t>
      </w:r>
      <w:r w:rsidRPr="0025250D">
        <w:rPr>
          <w:rFonts w:hint="cs"/>
          <w:rtl/>
        </w:rPr>
        <w:t>ی</w:t>
      </w:r>
      <w:r w:rsidRPr="0025250D">
        <w:rPr>
          <w:rFonts w:hint="eastAsia"/>
          <w:rtl/>
        </w:rPr>
        <w:t>نکر</w:t>
      </w:r>
      <w:r w:rsidRPr="0025250D">
        <w:rPr>
          <w:rFonts w:hint="cs"/>
          <w:rtl/>
        </w:rPr>
        <w:t xml:space="preserve"> و </w:t>
      </w:r>
      <w:r w:rsidRPr="0025250D">
        <w:rPr>
          <w:rtl/>
        </w:rPr>
        <w:t>راتگر برگمن</w:t>
      </w:r>
      <w:r w:rsidRPr="0025250D">
        <w:rPr>
          <w:vertAlign w:val="superscript"/>
          <w:rtl/>
        </w:rPr>
        <w:footnoteReference w:id="1031"/>
      </w:r>
      <w:r w:rsidRPr="0025250D">
        <w:rPr>
          <w:rFonts w:hint="cs"/>
          <w:rtl/>
        </w:rPr>
        <w:t xml:space="preserve"> نیز متعلق به فهرست 25 نفره یا 50 نفره برتر در بازه</w:t>
      </w:r>
      <w:r w:rsidRPr="0025250D">
        <w:rPr>
          <w:rFonts w:hint="cs"/>
        </w:rPr>
        <w:t>‌</w:t>
      </w:r>
      <w:r w:rsidRPr="0025250D">
        <w:rPr>
          <w:rFonts w:hint="cs"/>
          <w:rtl/>
        </w:rPr>
        <w:t xml:space="preserve"> زمانی 2000-2025 هستند. برنامه</w:t>
      </w:r>
      <w:r w:rsidRPr="0025250D">
        <w:rPr>
          <w:rFonts w:hint="cs"/>
        </w:rPr>
        <w:t>‌</w:t>
      </w:r>
      <w:r w:rsidRPr="0025250D">
        <w:rPr>
          <w:rFonts w:hint="cs"/>
          <w:rtl/>
        </w:rPr>
        <w:t xml:space="preserve"> ما این است که این فهرست‌ها را در نسخه</w:t>
      </w:r>
      <w:r w:rsidRPr="0025250D">
        <w:rPr>
          <w:rFonts w:hint="cs"/>
        </w:rPr>
        <w:t>‌</w:t>
      </w:r>
      <w:r w:rsidRPr="0025250D">
        <w:rPr>
          <w:rFonts w:hint="cs"/>
          <w:rtl/>
        </w:rPr>
        <w:t xml:space="preserve"> بعدی این کتاب راهنما معرفی کنیم. انتخاب‌ها و گزینه‌های مورد نظر خود را برای چنین فهرست‌هایی با ما در میان بگذارید!</w:t>
      </w:r>
    </w:p>
    <w:p w14:paraId="25F039AC" w14:textId="77777777" w:rsidR="00537CC8" w:rsidRPr="0025250D" w:rsidRDefault="00537CC8" w:rsidP="00537CC8">
      <w:pPr>
        <w:rPr>
          <w:rtl/>
        </w:rPr>
      </w:pPr>
    </w:p>
    <w:p w14:paraId="0BE13D0D" w14:textId="06373408" w:rsidR="00537CC8" w:rsidRPr="0025250D" w:rsidRDefault="00537CC8" w:rsidP="00C65749">
      <w:pPr>
        <w:pStyle w:val="Heading2"/>
        <w:rPr>
          <w:rtl/>
        </w:rPr>
      </w:pPr>
      <w:bookmarkStart w:id="29" w:name="_Toc127831294"/>
      <w:r w:rsidRPr="0025250D">
        <w:rPr>
          <w:rFonts w:hint="cs"/>
          <w:rtl/>
        </w:rPr>
        <w:t>وضعیت فعلی زمینه</w:t>
      </w:r>
      <w:r w:rsidRPr="0025250D">
        <w:rPr>
          <w:rFonts w:hint="cs"/>
        </w:rPr>
        <w:t>‌</w:t>
      </w:r>
      <w:r w:rsidRPr="0025250D">
        <w:rPr>
          <w:rFonts w:hint="cs"/>
          <w:rtl/>
        </w:rPr>
        <w:t xml:space="preserve"> </w:t>
      </w:r>
      <w:r w:rsidR="00923DDB" w:rsidRPr="0025250D">
        <w:rPr>
          <w:rFonts w:hint="cs"/>
          <w:rtl/>
        </w:rPr>
        <w:t>آینده‌نگاری</w:t>
      </w:r>
      <w:bookmarkEnd w:id="29"/>
    </w:p>
    <w:p w14:paraId="5AEFCCB9" w14:textId="19D168C2" w:rsidR="00537CC8" w:rsidRPr="0025250D" w:rsidRDefault="00537CC8" w:rsidP="00537CC8">
      <w:pPr>
        <w:rPr>
          <w:rtl/>
        </w:rPr>
      </w:pPr>
      <w:r w:rsidRPr="0025250D">
        <w:rPr>
          <w:rFonts w:hint="cs"/>
          <w:rtl/>
        </w:rPr>
        <w:t xml:space="preserve">در این فصل ما مروری کلی بر وضعیت فعلی </w:t>
      </w:r>
      <w:r w:rsidRPr="0025250D">
        <w:rPr>
          <w:rtl/>
        </w:rPr>
        <w:t>آینده‌نگاری</w:t>
      </w:r>
      <w:r w:rsidRPr="0025250D">
        <w:rPr>
          <w:rFonts w:hint="cs"/>
          <w:rtl/>
        </w:rPr>
        <w:t xml:space="preserve"> تخصصی و انجام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 که عمدتا در تیم‌ها انجام می‌شوند - خواهیم داشت. زمینه</w:t>
      </w:r>
      <w:r w:rsidRPr="0025250D">
        <w:rPr>
          <w:rFonts w:hint="cs"/>
        </w:rPr>
        <w:t>‌</w:t>
      </w:r>
      <w:r w:rsidRPr="0025250D">
        <w:rPr>
          <w:rFonts w:hint="cs"/>
          <w:rtl/>
        </w:rPr>
        <w:t xml:space="preserve"> ما جامعه‌ای جهانی از افراد است که انگیزه</w:t>
      </w:r>
      <w:r w:rsidRPr="0025250D">
        <w:rPr>
          <w:rFonts w:hint="cs"/>
        </w:rPr>
        <w:t>‌</w:t>
      </w:r>
      <w:r w:rsidRPr="0025250D">
        <w:rPr>
          <w:rFonts w:hint="cs"/>
          <w:rtl/>
        </w:rPr>
        <w:t xml:space="preserve"> آن‌ها </w:t>
      </w:r>
      <w:r w:rsidR="00923DDB" w:rsidRPr="0025250D">
        <w:rPr>
          <w:rFonts w:hint="cs"/>
          <w:rtl/>
        </w:rPr>
        <w:t>پیش‌انگاری</w:t>
      </w:r>
      <w:r w:rsidRPr="0025250D">
        <w:rPr>
          <w:rFonts w:hint="cs"/>
          <w:rtl/>
        </w:rPr>
        <w:t xml:space="preserve">، خلق، رهبری و حفاظت از آینده، یعنی چهار </w:t>
      </w:r>
      <w:r w:rsidRPr="0025250D">
        <w:t>P</w:t>
      </w:r>
      <w:r w:rsidRPr="0025250D">
        <w:rPr>
          <w:rFonts w:hint="cs"/>
          <w:rtl/>
        </w:rPr>
        <w:t xml:space="preserve"> </w:t>
      </w:r>
      <w:r w:rsidR="00B124DE" w:rsidRPr="0025250D">
        <w:rPr>
          <w:rFonts w:hint="cs"/>
          <w:rtl/>
        </w:rPr>
        <w:t>آینده‌اندیش</w:t>
      </w:r>
      <w:r w:rsidRPr="0025250D">
        <w:rPr>
          <w:rFonts w:hint="cs"/>
          <w:rtl/>
        </w:rPr>
        <w:t>ی است. این زمینه پر از شخصیت‌های رنگارنگ</w:t>
      </w:r>
      <w:r w:rsidRPr="0025250D">
        <w:rPr>
          <w:vertAlign w:val="superscript"/>
          <w:rtl/>
        </w:rPr>
        <w:footnoteReference w:id="1032"/>
      </w:r>
      <w:r w:rsidRPr="0025250D">
        <w:rPr>
          <w:rFonts w:hint="cs"/>
          <w:rtl/>
        </w:rPr>
        <w:t xml:space="preserve"> و الهام بخش است، اما هنوز خام و دچار کمبود مدل‌ها و اقدامات مبتنی بر شواهد و با اتفاق نظر جمعی است. این زمینه فضای زیادی برای بهبود و رشد دارد. در سال 2015 ما دانشگاه </w:t>
      </w:r>
      <w:r w:rsidRPr="0025250D">
        <w:rPr>
          <w:rtl/>
        </w:rPr>
        <w:t>آینده‌نگاری</w:t>
      </w:r>
      <w:r w:rsidRPr="0025250D">
        <w:rPr>
          <w:vertAlign w:val="superscript"/>
          <w:rtl/>
        </w:rPr>
        <w:footnoteReference w:id="1033"/>
      </w:r>
      <w:r w:rsidRPr="0025250D">
        <w:rPr>
          <w:rFonts w:hint="cs"/>
          <w:rtl/>
        </w:rPr>
        <w:t xml:space="preserve"> را برای ایفای نقش کوچک خود در کمک به پیشرفت مدل‌ها و اقدامات </w:t>
      </w:r>
      <w:r w:rsidRPr="0025250D">
        <w:rPr>
          <w:rtl/>
        </w:rPr>
        <w:t>آینده‌نگاری</w:t>
      </w:r>
      <w:r w:rsidRPr="0025250D">
        <w:rPr>
          <w:rFonts w:hint="cs"/>
          <w:rtl/>
        </w:rPr>
        <w:t xml:space="preserve"> </w:t>
      </w:r>
      <w:r w:rsidR="00923DDB" w:rsidRPr="0025250D">
        <w:rPr>
          <w:rFonts w:hint="cs"/>
          <w:rtl/>
        </w:rPr>
        <w:t>راه‌اندازی</w:t>
      </w:r>
      <w:r w:rsidRPr="0025250D">
        <w:rPr>
          <w:rFonts w:hint="cs"/>
          <w:rtl/>
        </w:rPr>
        <w:t xml:space="preserve"> کردیم.</w:t>
      </w:r>
    </w:p>
    <w:p w14:paraId="3C8DCD78" w14:textId="63F76169" w:rsidR="00537CC8" w:rsidRPr="0025250D" w:rsidRDefault="00537CC8" w:rsidP="00537CC8">
      <w:pPr>
        <w:rPr>
          <w:rtl/>
        </w:rPr>
      </w:pPr>
      <w:r w:rsidRPr="0025250D">
        <w:rPr>
          <w:rFonts w:hint="cs"/>
          <w:rtl/>
        </w:rPr>
        <w:t>ما اکنون به یک افسانه</w:t>
      </w:r>
      <w:r w:rsidRPr="0025250D">
        <w:rPr>
          <w:rFonts w:hint="cs"/>
        </w:rPr>
        <w:t>‌</w:t>
      </w:r>
      <w:r w:rsidRPr="0025250D">
        <w:rPr>
          <w:rFonts w:hint="cs"/>
          <w:rtl/>
        </w:rPr>
        <w:t xml:space="preserve"> محبوب می‌پردازیم و سپس راز مکشوفی را تصدیق می‌کنیم و </w:t>
      </w:r>
      <w:r w:rsidR="00923DDB" w:rsidRPr="0025250D">
        <w:rPr>
          <w:rFonts w:hint="cs"/>
          <w:rtl/>
        </w:rPr>
        <w:t>بعد</w:t>
      </w:r>
      <w:r w:rsidRPr="0025250D">
        <w:rPr>
          <w:rFonts w:hint="cs"/>
          <w:rtl/>
        </w:rPr>
        <w:t xml:space="preserve"> عمیق</w:t>
      </w:r>
      <w:r w:rsidR="00923DDB" w:rsidRPr="0025250D">
        <w:rPr>
          <w:rFonts w:hint="cs"/>
          <w:rtl/>
        </w:rPr>
        <w:t>‌</w:t>
      </w:r>
      <w:r w:rsidRPr="0025250D">
        <w:rPr>
          <w:rFonts w:hint="cs"/>
          <w:rtl/>
        </w:rPr>
        <w:t>تر به حلقه</w:t>
      </w:r>
      <w:r w:rsidRPr="0025250D">
        <w:rPr>
          <w:rFonts w:hint="cs"/>
        </w:rPr>
        <w:t>‌</w:t>
      </w:r>
      <w:r w:rsidRPr="0025250D">
        <w:rPr>
          <w:rFonts w:hint="cs"/>
          <w:rtl/>
        </w:rPr>
        <w:t xml:space="preserve"> انجام</w:t>
      </w:r>
      <w:r w:rsidR="00923DDB" w:rsidRPr="0025250D">
        <w:rPr>
          <w:rFonts w:hint="cs"/>
          <w:rtl/>
        </w:rPr>
        <w:t xml:space="preserve"> به عنوان</w:t>
      </w:r>
      <w:r w:rsidRPr="0025250D">
        <w:rPr>
          <w:rFonts w:hint="cs"/>
          <w:rtl/>
        </w:rPr>
        <w:t xml:space="preserve"> شیوه فراگیری که موجودات هوشمند </w:t>
      </w:r>
      <w:r w:rsidRPr="0025250D">
        <w:rPr>
          <w:rtl/>
        </w:rPr>
        <w:t>آینده‌نگاری</w:t>
      </w:r>
      <w:r w:rsidRPr="0025250D">
        <w:rPr>
          <w:rFonts w:hint="cs"/>
          <w:rtl/>
        </w:rPr>
        <w:t xml:space="preserve"> و عمل را از طریق آن یکپارچه می‌سازند، خواهیم پرداخت. شاید از همه مفید‌تر، معرفی هشت مهارت </w:t>
      </w:r>
      <w:r w:rsidR="00923DDB" w:rsidRPr="0025250D">
        <w:rPr>
          <w:rtl/>
        </w:rPr>
        <w:t>آینده‌نگاری انطباقی</w:t>
      </w:r>
      <w:r w:rsidRPr="0025250D">
        <w:rPr>
          <w:rFonts w:hint="cs"/>
          <w:rtl/>
        </w:rPr>
        <w:t>، مدل مستخرج خود از حلقه</w:t>
      </w:r>
      <w:r w:rsidRPr="0025250D">
        <w:rPr>
          <w:rFonts w:hint="cs"/>
        </w:rPr>
        <w:t>‌</w:t>
      </w:r>
      <w:r w:rsidRPr="0025250D">
        <w:rPr>
          <w:rFonts w:hint="cs"/>
          <w:rtl/>
        </w:rPr>
        <w:t xml:space="preserve"> انجام برای انجام </w:t>
      </w:r>
      <w:r w:rsidRPr="0025250D">
        <w:rPr>
          <w:rtl/>
        </w:rPr>
        <w:t>آینده‌نگاری</w:t>
      </w:r>
      <w:r w:rsidRPr="0025250D">
        <w:rPr>
          <w:rFonts w:hint="cs"/>
          <w:rtl/>
        </w:rPr>
        <w:t xml:space="preserve"> عالی در تیم‌ها و در سازمان‌ها خواهد بود.</w:t>
      </w:r>
    </w:p>
    <w:p w14:paraId="27103C87" w14:textId="5D7F772D" w:rsidR="00537CC8" w:rsidRPr="0025250D" w:rsidRDefault="00537CC8" w:rsidP="00537CC8">
      <w:pPr>
        <w:rPr>
          <w:rtl/>
        </w:rPr>
      </w:pPr>
      <w:r w:rsidRPr="0025250D">
        <w:rPr>
          <w:rFonts w:hint="cs"/>
          <w:rtl/>
        </w:rPr>
        <w:t xml:space="preserve">در فصل 3، ما منتخبی از نکات اثبات </w:t>
      </w:r>
      <w:r w:rsidR="00923DDB" w:rsidRPr="0025250D">
        <w:rPr>
          <w:rFonts w:hint="cs"/>
          <w:rtl/>
        </w:rPr>
        <w:t>کننده‌ای</w:t>
      </w:r>
      <w:r w:rsidRPr="0025250D">
        <w:rPr>
          <w:vertAlign w:val="superscript"/>
          <w:rtl/>
        </w:rPr>
        <w:footnoteReference w:id="1034"/>
      </w:r>
      <w:r w:rsidRPr="0025250D">
        <w:rPr>
          <w:rFonts w:hint="cs"/>
          <w:rtl/>
        </w:rPr>
        <w:t xml:space="preserve"> (داستان‌هایی از موفقیت) از </w:t>
      </w:r>
      <w:r w:rsidR="00923DDB" w:rsidRPr="0025250D">
        <w:rPr>
          <w:rFonts w:hint="cs"/>
          <w:rtl/>
        </w:rPr>
        <w:t>به‌کارگیری</w:t>
      </w:r>
      <w:r w:rsidRPr="0025250D">
        <w:rPr>
          <w:rFonts w:hint="cs"/>
          <w:rtl/>
        </w:rPr>
        <w:t xml:space="preserve"> هر یک از چهار مهارت </w:t>
      </w:r>
      <w:r w:rsidRPr="0025250D">
        <w:rPr>
          <w:rtl/>
        </w:rPr>
        <w:t>آینده‌نگاری</w:t>
      </w:r>
      <w:r w:rsidRPr="0025250D">
        <w:rPr>
          <w:rFonts w:hint="cs"/>
          <w:rtl/>
        </w:rPr>
        <w:t xml:space="preserve"> (</w:t>
      </w:r>
      <w:r w:rsidRPr="0025250D">
        <w:t>LAIS</w:t>
      </w:r>
      <w:r w:rsidRPr="0025250D">
        <w:rPr>
          <w:rFonts w:hint="cs"/>
          <w:rtl/>
        </w:rPr>
        <w:t xml:space="preserve">)، با مثال‌هایی عمدتا در مورد </w:t>
      </w:r>
      <w:r w:rsidRPr="0025250D">
        <w:rPr>
          <w:rtl/>
        </w:rPr>
        <w:t>آینده‌نگاری</w:t>
      </w:r>
      <w:r w:rsidRPr="0025250D">
        <w:rPr>
          <w:rFonts w:hint="cs"/>
          <w:rtl/>
        </w:rPr>
        <w:t xml:space="preserve"> سازمانی، ارائه خواهیم کرد. در نسخه‌های آینده، برنامه داریم تا این کتاب را با مطالعات موردی نیز تکمیل کنیم. یادگیری مبتنی بر مطالعه موردی</w:t>
      </w:r>
      <w:r w:rsidRPr="0025250D">
        <w:rPr>
          <w:vertAlign w:val="superscript"/>
          <w:rtl/>
        </w:rPr>
        <w:footnoteReference w:id="1035"/>
      </w:r>
      <w:r w:rsidRPr="0025250D">
        <w:rPr>
          <w:rFonts w:hint="cs"/>
          <w:rtl/>
        </w:rPr>
        <w:t xml:space="preserve"> یک شیوه منحصر به فرد قدرتمند و تعاملی برای </w:t>
      </w:r>
      <w:r w:rsidR="00923DDB" w:rsidRPr="0025250D">
        <w:rPr>
          <w:rFonts w:hint="cs"/>
          <w:rtl/>
        </w:rPr>
        <w:t>دانشجویان</w:t>
      </w:r>
      <w:r w:rsidRPr="0025250D">
        <w:rPr>
          <w:rFonts w:hint="cs"/>
          <w:rtl/>
        </w:rPr>
        <w:t xml:space="preserve"> و رهبران برای درونی</w:t>
      </w:r>
      <w:r w:rsidR="00923DDB" w:rsidRPr="0025250D">
        <w:rPr>
          <w:rFonts w:hint="cs"/>
          <w:rtl/>
        </w:rPr>
        <w:t>‌</w:t>
      </w:r>
      <w:r w:rsidRPr="0025250D">
        <w:rPr>
          <w:rFonts w:hint="cs"/>
          <w:rtl/>
        </w:rPr>
        <w:t xml:space="preserve">سازی ارزش کار </w:t>
      </w:r>
      <w:r w:rsidRPr="0025250D">
        <w:rPr>
          <w:rtl/>
        </w:rPr>
        <w:t>آینده‌نگاری</w:t>
      </w:r>
      <w:r w:rsidRPr="0025250D">
        <w:rPr>
          <w:rFonts w:hint="cs"/>
          <w:rtl/>
        </w:rPr>
        <w:t xml:space="preserve"> می‌باشد.</w:t>
      </w:r>
    </w:p>
    <w:p w14:paraId="34EEC8E8" w14:textId="77777777" w:rsidR="00537CC8" w:rsidRPr="0025250D" w:rsidRDefault="00537CC8" w:rsidP="00537CC8">
      <w:pPr>
        <w:rPr>
          <w:rtl/>
        </w:rPr>
      </w:pPr>
    </w:p>
    <w:p w14:paraId="479E3928" w14:textId="77777777" w:rsidR="00537CC8" w:rsidRPr="0025250D" w:rsidRDefault="00537CC8" w:rsidP="00537CC8">
      <w:pPr>
        <w:rPr>
          <w:rtl/>
        </w:rPr>
      </w:pPr>
    </w:p>
    <w:p w14:paraId="1C039B4F" w14:textId="77777777" w:rsidR="00537CC8" w:rsidRPr="0025250D" w:rsidRDefault="00537CC8" w:rsidP="00537CC8">
      <w:pPr>
        <w:rPr>
          <w:rtl/>
        </w:rPr>
      </w:pPr>
    </w:p>
    <w:p w14:paraId="5169EF21" w14:textId="77777777" w:rsidR="00537CC8" w:rsidRPr="0025250D" w:rsidRDefault="00537CC8" w:rsidP="00537CC8">
      <w:pPr>
        <w:rPr>
          <w:rtl/>
        </w:rPr>
      </w:pPr>
    </w:p>
    <w:p w14:paraId="68079F20" w14:textId="77777777" w:rsidR="00537CC8" w:rsidRPr="0025250D" w:rsidRDefault="00537CC8" w:rsidP="00537CC8">
      <w:pPr>
        <w:rPr>
          <w:rtl/>
        </w:rPr>
      </w:pPr>
    </w:p>
    <w:p w14:paraId="07707C2D" w14:textId="77777777" w:rsidR="00537CC8" w:rsidRPr="0025250D" w:rsidRDefault="00537CC8" w:rsidP="00537CC8">
      <w:pPr>
        <w:rPr>
          <w:rtl/>
        </w:rPr>
      </w:pPr>
    </w:p>
    <w:p w14:paraId="6BE6D0B1" w14:textId="77777777" w:rsidR="00E8039A" w:rsidRPr="0025250D" w:rsidRDefault="00537CC8" w:rsidP="00B73C8A">
      <w:pPr>
        <w:pStyle w:val="Heading2"/>
      </w:pPr>
      <w:bookmarkStart w:id="30" w:name="_Toc127831295"/>
      <w:r w:rsidRPr="0025250D">
        <w:rPr>
          <w:rFonts w:hint="cs"/>
          <w:rtl/>
        </w:rPr>
        <w:t>افسانه</w:t>
      </w:r>
      <w:r w:rsidRPr="0025250D">
        <w:rPr>
          <w:rFonts w:hint="cs"/>
        </w:rPr>
        <w:t>‌</w:t>
      </w:r>
      <w:r w:rsidRPr="0025250D">
        <w:rPr>
          <w:rFonts w:hint="cs"/>
          <w:rtl/>
        </w:rPr>
        <w:t xml:space="preserve"> بزرگ </w:t>
      </w:r>
      <w:r w:rsidRPr="0025250D">
        <w:rPr>
          <w:rtl/>
        </w:rPr>
        <w:t>آینده‌نگاری</w:t>
      </w:r>
      <w:bookmarkEnd w:id="30"/>
    </w:p>
    <w:p w14:paraId="5E77A340" w14:textId="6A236BAE" w:rsidR="00537CC8" w:rsidRPr="0025250D" w:rsidRDefault="00537CC8" w:rsidP="00E8039A">
      <w:pPr>
        <w:rPr>
          <w:rtl/>
        </w:rPr>
      </w:pPr>
      <w:r w:rsidRPr="0025250D">
        <w:rPr>
          <w:rFonts w:hint="cs"/>
          <w:rtl/>
        </w:rPr>
        <w:t>افسانه</w:t>
      </w:r>
      <w:r w:rsidRPr="0025250D">
        <w:rPr>
          <w:rFonts w:hint="cs"/>
        </w:rPr>
        <w:t>‌</w:t>
      </w:r>
      <w:r w:rsidRPr="0025250D">
        <w:rPr>
          <w:rFonts w:hint="cs"/>
          <w:rtl/>
        </w:rPr>
        <w:t xml:space="preserve"> بزرگ </w:t>
      </w:r>
      <w:r w:rsidRPr="0025250D">
        <w:rPr>
          <w:rtl/>
        </w:rPr>
        <w:t>آینده‌نگاری</w:t>
      </w:r>
      <w:r w:rsidRPr="0025250D">
        <w:rPr>
          <w:rFonts w:hint="cs"/>
          <w:rtl/>
        </w:rPr>
        <w:t xml:space="preserve"> این است که به ندرت ارزش انجام دادن دارد، زیرا اغلب اشتباه است. به یاد بیاورید که </w:t>
      </w:r>
      <w:r w:rsidRPr="0025250D">
        <w:rPr>
          <w:rtl/>
        </w:rPr>
        <w:t>آینده‌نگاری</w:t>
      </w:r>
      <w:r w:rsidRPr="0025250D">
        <w:rPr>
          <w:rFonts w:hint="cs"/>
          <w:rtl/>
        </w:rPr>
        <w:t xml:space="preserve"> چهار نوع کاربردی محوری دارد. اولین مورد، آینده‌های محتمل، به </w:t>
      </w:r>
      <w:r w:rsidR="00FB6A7E" w:rsidRPr="0025250D">
        <w:rPr>
          <w:rFonts w:hint="cs"/>
          <w:rtl/>
        </w:rPr>
        <w:t>پیش‌نگری</w:t>
      </w:r>
      <w:r w:rsidRPr="0025250D">
        <w:rPr>
          <w:rFonts w:hint="cs"/>
          <w:rtl/>
        </w:rPr>
        <w:t xml:space="preserve"> و </w:t>
      </w:r>
      <w:r w:rsidR="00D92F6E" w:rsidRPr="0025250D">
        <w:rPr>
          <w:rFonts w:hint="cs"/>
          <w:rtl/>
        </w:rPr>
        <w:t>پیش‌بین</w:t>
      </w:r>
      <w:r w:rsidRPr="0025250D">
        <w:rPr>
          <w:rFonts w:hint="cs"/>
          <w:rtl/>
        </w:rPr>
        <w:t xml:space="preserve">ی مربوط می‌شود. دومین مورد، آینده‌های ممکن، به ایجاد </w:t>
      </w:r>
      <w:r w:rsidR="00923DDB" w:rsidRPr="0025250D">
        <w:rPr>
          <w:rFonts w:hint="cs"/>
          <w:rtl/>
        </w:rPr>
        <w:t>راه‌حل</w:t>
      </w:r>
      <w:r w:rsidRPr="0025250D">
        <w:rPr>
          <w:rFonts w:hint="cs"/>
          <w:rtl/>
        </w:rPr>
        <w:t xml:space="preserve">‌های </w:t>
      </w:r>
      <w:r w:rsidR="00127288" w:rsidRPr="0025250D">
        <w:rPr>
          <w:rFonts w:hint="cs"/>
          <w:rtl/>
        </w:rPr>
        <w:t>بدیل</w:t>
      </w:r>
      <w:r w:rsidRPr="0025250D">
        <w:rPr>
          <w:rFonts w:hint="cs"/>
          <w:rtl/>
        </w:rPr>
        <w:t xml:space="preserve">، فرانامه‌ها، آزمایش‌ها و کشف </w:t>
      </w:r>
      <w:r w:rsidR="00923DDB" w:rsidRPr="0025250D">
        <w:rPr>
          <w:rFonts w:hint="cs"/>
          <w:rtl/>
        </w:rPr>
        <w:t>شگفتی‌ساز</w:t>
      </w:r>
      <w:r w:rsidRPr="0025250D">
        <w:rPr>
          <w:rFonts w:hint="cs"/>
          <w:rtl/>
        </w:rPr>
        <w:t>ها مرتبط است. سومین مورد به بررسی آینده‌های مرجح (</w:t>
      </w:r>
      <w:r w:rsidR="00701E03" w:rsidRPr="0025250D">
        <w:rPr>
          <w:rFonts w:hint="cs"/>
          <w:rtl/>
        </w:rPr>
        <w:t>راهبرد</w:t>
      </w:r>
      <w:r w:rsidRPr="0025250D">
        <w:rPr>
          <w:rFonts w:hint="cs"/>
          <w:rtl/>
        </w:rPr>
        <w:t xml:space="preserve">‌ها، سیاست‌ها، برنامه‌ها، پیمایش‌ها، </w:t>
      </w:r>
      <w:r w:rsidR="00B56611" w:rsidRPr="0025250D">
        <w:rPr>
          <w:rFonts w:hint="cs"/>
          <w:rtl/>
        </w:rPr>
        <w:t>چشم‌انداز</w:t>
      </w:r>
      <w:r w:rsidRPr="0025250D">
        <w:rPr>
          <w:rFonts w:hint="cs"/>
          <w:rtl/>
        </w:rPr>
        <w:t xml:space="preserve">‌ها و برنامه‌های کاری) مرتبط است. چهارمین مورد، آینده‌های قابل اجتناب، به حفاظت در برابر ریسک‌های </w:t>
      </w:r>
      <w:r w:rsidR="00923DDB" w:rsidRPr="0025250D">
        <w:rPr>
          <w:rFonts w:hint="cs"/>
          <w:rtl/>
        </w:rPr>
        <w:t>باورپذیر</w:t>
      </w:r>
      <w:r w:rsidRPr="0025250D">
        <w:rPr>
          <w:rFonts w:hint="cs"/>
          <w:rtl/>
        </w:rPr>
        <w:t>، از طریق ابزارهایی مانند تفکر دفاعی</w:t>
      </w:r>
      <w:r w:rsidRPr="0025250D">
        <w:rPr>
          <w:vertAlign w:val="superscript"/>
          <w:rtl/>
        </w:rPr>
        <w:footnoteReference w:id="1036"/>
      </w:r>
      <w:r w:rsidRPr="0025250D">
        <w:rPr>
          <w:rFonts w:hint="cs"/>
          <w:rtl/>
        </w:rPr>
        <w:t xml:space="preserve">، </w:t>
      </w:r>
      <w:r w:rsidR="00B124DE" w:rsidRPr="0025250D">
        <w:rPr>
          <w:rFonts w:hint="cs"/>
          <w:rtl/>
        </w:rPr>
        <w:t>جمع‌آوری</w:t>
      </w:r>
      <w:r w:rsidRPr="0025250D">
        <w:rPr>
          <w:rFonts w:hint="cs"/>
          <w:rtl/>
        </w:rPr>
        <w:t xml:space="preserve"> اطلاعات و ارزیابی ریسک مربوط می‌شود.</w:t>
      </w:r>
    </w:p>
    <w:p w14:paraId="2EBEC65D" w14:textId="4AF5CA82" w:rsidR="00537CC8" w:rsidRPr="0025250D" w:rsidRDefault="00537CC8" w:rsidP="00537CC8">
      <w:pPr>
        <w:rPr>
          <w:rtl/>
        </w:rPr>
      </w:pPr>
      <w:r w:rsidRPr="0025250D">
        <w:rPr>
          <w:rFonts w:hint="cs"/>
          <w:rtl/>
        </w:rPr>
        <w:t xml:space="preserve">هر یک از ما در مواقعی وقتی چهار </w:t>
      </w:r>
      <w:r w:rsidRPr="0025250D">
        <w:t>P</w:t>
      </w:r>
      <w:r w:rsidRPr="0025250D">
        <w:rPr>
          <w:rFonts w:hint="cs"/>
          <w:rtl/>
        </w:rPr>
        <w:t xml:space="preserve"> را بررسی می‌کنیم دچار اشتباه می‌شویم. تاریخچه شکست‌های </w:t>
      </w:r>
      <w:r w:rsidRPr="0025250D">
        <w:rPr>
          <w:rtl/>
        </w:rPr>
        <w:t>آینده‌نگاری</w:t>
      </w:r>
      <w:r w:rsidRPr="0025250D">
        <w:rPr>
          <w:rFonts w:hint="cs"/>
          <w:rtl/>
        </w:rPr>
        <w:t xml:space="preserve"> </w:t>
      </w:r>
      <w:r w:rsidR="00127C91" w:rsidRPr="0025250D">
        <w:rPr>
          <w:rFonts w:hint="cs"/>
          <w:rtl/>
        </w:rPr>
        <w:t xml:space="preserve">موارد </w:t>
      </w:r>
      <w:r w:rsidRPr="0025250D">
        <w:rPr>
          <w:rFonts w:hint="cs"/>
          <w:rtl/>
        </w:rPr>
        <w:t xml:space="preserve">محتمل شامل آثاری مانند </w:t>
      </w:r>
      <w:r w:rsidRPr="0025250D">
        <w:rPr>
          <w:rtl/>
        </w:rPr>
        <w:t xml:space="preserve">فروشندگان </w:t>
      </w:r>
      <w:r w:rsidRPr="0025250D">
        <w:rPr>
          <w:rFonts w:hint="cs"/>
          <w:rtl/>
        </w:rPr>
        <w:t>بخت و اقبال</w:t>
      </w:r>
      <w:r w:rsidRPr="0025250D">
        <w:rPr>
          <w:vertAlign w:val="superscript"/>
          <w:rtl/>
        </w:rPr>
        <w:footnoteReference w:id="1037"/>
      </w:r>
      <w:r w:rsidRPr="0025250D">
        <w:rPr>
          <w:rFonts w:hint="cs"/>
          <w:rtl/>
        </w:rPr>
        <w:t xml:space="preserve"> در سال 1997 اثر </w:t>
      </w:r>
      <w:r w:rsidRPr="0025250D">
        <w:rPr>
          <w:rtl/>
        </w:rPr>
        <w:t>و</w:t>
      </w:r>
      <w:r w:rsidRPr="0025250D">
        <w:rPr>
          <w:rFonts w:hint="cs"/>
          <w:rtl/>
        </w:rPr>
        <w:t>ی</w:t>
      </w:r>
      <w:r w:rsidRPr="0025250D">
        <w:rPr>
          <w:rFonts w:hint="eastAsia"/>
          <w:rtl/>
        </w:rPr>
        <w:t>ل</w:t>
      </w:r>
      <w:r w:rsidRPr="0025250D">
        <w:rPr>
          <w:rFonts w:hint="cs"/>
          <w:rtl/>
        </w:rPr>
        <w:t>ی</w:t>
      </w:r>
      <w:r w:rsidRPr="0025250D">
        <w:rPr>
          <w:rFonts w:hint="eastAsia"/>
          <w:rtl/>
        </w:rPr>
        <w:t>ام</w:t>
      </w:r>
      <w:r w:rsidRPr="0025250D">
        <w:rPr>
          <w:rtl/>
        </w:rPr>
        <w:t xml:space="preserve"> شردن</w:t>
      </w:r>
      <w:r w:rsidRPr="0025250D">
        <w:rPr>
          <w:vertAlign w:val="superscript"/>
          <w:rtl/>
        </w:rPr>
        <w:footnoteReference w:id="1038"/>
      </w:r>
      <w:r w:rsidRPr="0025250D">
        <w:rPr>
          <w:rFonts w:hint="cs"/>
          <w:rtl/>
        </w:rPr>
        <w:t xml:space="preserve">، </w:t>
      </w:r>
      <w:r w:rsidRPr="0025250D">
        <w:rPr>
          <w:rtl/>
        </w:rPr>
        <w:t>اشتباهات بزرگ</w:t>
      </w:r>
      <w:r w:rsidRPr="0025250D">
        <w:rPr>
          <w:vertAlign w:val="superscript"/>
          <w:rtl/>
        </w:rPr>
        <w:footnoteReference w:id="1039"/>
      </w:r>
      <w:r w:rsidRPr="0025250D">
        <w:rPr>
          <w:rFonts w:hint="cs"/>
          <w:rtl/>
        </w:rPr>
        <w:t xml:space="preserve"> اثر </w:t>
      </w:r>
      <w:r w:rsidRPr="0025250D">
        <w:rPr>
          <w:rtl/>
        </w:rPr>
        <w:t>است</w:t>
      </w:r>
      <w:r w:rsidRPr="0025250D">
        <w:rPr>
          <w:rFonts w:hint="cs"/>
          <w:rtl/>
        </w:rPr>
        <w:t>ی</w:t>
      </w:r>
      <w:r w:rsidRPr="0025250D">
        <w:rPr>
          <w:rFonts w:hint="eastAsia"/>
          <w:rtl/>
        </w:rPr>
        <w:t>ون</w:t>
      </w:r>
      <w:r w:rsidRPr="0025250D">
        <w:rPr>
          <w:rtl/>
        </w:rPr>
        <w:t xml:space="preserve"> اشنارس</w:t>
      </w:r>
      <w:r w:rsidRPr="0025250D">
        <w:rPr>
          <w:vertAlign w:val="superscript"/>
          <w:rtl/>
        </w:rPr>
        <w:footnoteReference w:id="1040"/>
      </w:r>
      <w:r w:rsidRPr="0025250D">
        <w:rPr>
          <w:rFonts w:hint="cs"/>
          <w:rtl/>
        </w:rPr>
        <w:t xml:space="preserve"> در سال 1989، </w:t>
      </w:r>
      <w:r w:rsidR="00D92F6E" w:rsidRPr="0025250D">
        <w:rPr>
          <w:rtl/>
        </w:rPr>
        <w:t>پیش‌بین</w:t>
      </w:r>
      <w:r w:rsidRPr="0025250D">
        <w:rPr>
          <w:rFonts w:hint="cs"/>
          <w:rtl/>
        </w:rPr>
        <w:t>ی</w:t>
      </w:r>
      <w:r w:rsidRPr="0025250D">
        <w:rPr>
          <w:rtl/>
        </w:rPr>
        <w:t>‌های بد</w:t>
      </w:r>
      <w:r w:rsidRPr="0025250D">
        <w:rPr>
          <w:vertAlign w:val="superscript"/>
          <w:rtl/>
        </w:rPr>
        <w:footnoteReference w:id="1041"/>
      </w:r>
      <w:r w:rsidRPr="0025250D">
        <w:rPr>
          <w:rFonts w:hint="cs"/>
          <w:rtl/>
        </w:rPr>
        <w:t xml:space="preserve"> اثر </w:t>
      </w:r>
      <w:r w:rsidRPr="0025250D">
        <w:rPr>
          <w:rtl/>
        </w:rPr>
        <w:t>لورا ل</w:t>
      </w:r>
      <w:r w:rsidRPr="0025250D">
        <w:rPr>
          <w:rFonts w:hint="cs"/>
          <w:rtl/>
        </w:rPr>
        <w:t>ی</w:t>
      </w:r>
      <w:r w:rsidRPr="0025250D">
        <w:rPr>
          <w:vertAlign w:val="superscript"/>
          <w:rtl/>
        </w:rPr>
        <w:footnoteReference w:id="1042"/>
      </w:r>
      <w:r w:rsidRPr="0025250D">
        <w:rPr>
          <w:rFonts w:hint="cs"/>
          <w:rtl/>
        </w:rPr>
        <w:t xml:space="preserve"> در سال 2000</w:t>
      </w:r>
      <w:r w:rsidR="00923DDB" w:rsidRPr="0025250D">
        <w:rPr>
          <w:rFonts w:hint="cs"/>
          <w:rtl/>
        </w:rPr>
        <w:t>،</w:t>
      </w:r>
      <w:r w:rsidR="008D6F97" w:rsidRPr="0025250D">
        <w:rPr>
          <w:rtl/>
        </w:rPr>
        <w:t xml:space="preserve"> </w:t>
      </w:r>
      <w:r w:rsidRPr="0025250D">
        <w:rPr>
          <w:rtl/>
        </w:rPr>
        <w:t>فر</w:t>
      </w:r>
      <w:r w:rsidRPr="0025250D">
        <w:rPr>
          <w:rFonts w:hint="cs"/>
          <w:rtl/>
        </w:rPr>
        <w:t>ی</w:t>
      </w:r>
      <w:r w:rsidRPr="0025250D">
        <w:rPr>
          <w:rFonts w:hint="eastAsia"/>
          <w:rtl/>
        </w:rPr>
        <w:t>ب</w:t>
      </w:r>
      <w:r w:rsidRPr="0025250D">
        <w:rPr>
          <w:rtl/>
        </w:rPr>
        <w:t xml:space="preserve"> تصادف</w:t>
      </w:r>
      <w:r w:rsidRPr="0025250D">
        <w:rPr>
          <w:rFonts w:hint="cs"/>
          <w:rtl/>
        </w:rPr>
        <w:t>ی</w:t>
      </w:r>
      <w:r w:rsidRPr="0025250D">
        <w:rPr>
          <w:rtl/>
        </w:rPr>
        <w:t xml:space="preserve"> بود</w:t>
      </w:r>
      <w:r w:rsidRPr="0025250D">
        <w:rPr>
          <w:rFonts w:hint="cs"/>
          <w:rtl/>
        </w:rPr>
        <w:t>ن</w:t>
      </w:r>
      <w:r w:rsidRPr="0025250D">
        <w:rPr>
          <w:vertAlign w:val="superscript"/>
          <w:rtl/>
        </w:rPr>
        <w:footnoteReference w:id="1043"/>
      </w:r>
      <w:r w:rsidRPr="0025250D">
        <w:t xml:space="preserve"> </w:t>
      </w:r>
      <w:r w:rsidRPr="0025250D">
        <w:rPr>
          <w:rFonts w:hint="cs"/>
          <w:rtl/>
        </w:rPr>
        <w:t xml:space="preserve">اثر </w:t>
      </w:r>
      <w:r w:rsidRPr="0025250D">
        <w:rPr>
          <w:rtl/>
        </w:rPr>
        <w:t>ن</w:t>
      </w:r>
      <w:r w:rsidRPr="0025250D">
        <w:rPr>
          <w:rFonts w:hint="cs"/>
          <w:rtl/>
        </w:rPr>
        <w:t>ی</w:t>
      </w:r>
      <w:r w:rsidRPr="0025250D">
        <w:rPr>
          <w:rFonts w:hint="eastAsia"/>
          <w:rtl/>
        </w:rPr>
        <w:t>کلاس</w:t>
      </w:r>
      <w:r w:rsidRPr="0025250D">
        <w:rPr>
          <w:rtl/>
        </w:rPr>
        <w:t xml:space="preserve"> طالب</w:t>
      </w:r>
      <w:r w:rsidRPr="0025250D">
        <w:rPr>
          <w:vertAlign w:val="superscript"/>
          <w:rtl/>
        </w:rPr>
        <w:footnoteReference w:id="1044"/>
      </w:r>
      <w:r w:rsidRPr="0025250D">
        <w:rPr>
          <w:rFonts w:hint="cs"/>
          <w:rtl/>
        </w:rPr>
        <w:t xml:space="preserve"> در سال 2005، هیاهوی آینده</w:t>
      </w:r>
      <w:r w:rsidRPr="0025250D">
        <w:rPr>
          <w:vertAlign w:val="superscript"/>
          <w:rtl/>
        </w:rPr>
        <w:footnoteReference w:id="1045"/>
      </w:r>
      <w:r w:rsidRPr="0025250D">
        <w:rPr>
          <w:rFonts w:hint="cs"/>
          <w:rtl/>
        </w:rPr>
        <w:t xml:space="preserve"> اثر </w:t>
      </w:r>
      <w:r w:rsidRPr="0025250D">
        <w:rPr>
          <w:rtl/>
        </w:rPr>
        <w:t>داگ هابارد</w:t>
      </w:r>
      <w:r w:rsidRPr="0025250D">
        <w:rPr>
          <w:vertAlign w:val="superscript"/>
          <w:rtl/>
        </w:rPr>
        <w:footnoteReference w:id="1046"/>
      </w:r>
      <w:r w:rsidRPr="0025250D">
        <w:rPr>
          <w:rFonts w:hint="cs"/>
          <w:rtl/>
        </w:rPr>
        <w:t xml:space="preserve"> در سال 2006، </w:t>
      </w:r>
      <w:r w:rsidRPr="0025250D">
        <w:rPr>
          <w:rtl/>
        </w:rPr>
        <w:t>باهوش آ</w:t>
      </w:r>
      <w:r w:rsidRPr="0025250D">
        <w:rPr>
          <w:rFonts w:hint="cs"/>
          <w:rtl/>
        </w:rPr>
        <w:t>ی</w:t>
      </w:r>
      <w:r w:rsidRPr="0025250D">
        <w:rPr>
          <w:rFonts w:hint="eastAsia"/>
          <w:rtl/>
        </w:rPr>
        <w:t>نده</w:t>
      </w:r>
      <w:r w:rsidRPr="0025250D">
        <w:rPr>
          <w:vertAlign w:val="superscript"/>
          <w:rtl/>
        </w:rPr>
        <w:footnoteReference w:id="1047"/>
      </w:r>
      <w:r w:rsidRPr="0025250D">
        <w:rPr>
          <w:rFonts w:hint="cs"/>
          <w:rtl/>
        </w:rPr>
        <w:t xml:space="preserve"> اثر </w:t>
      </w:r>
      <w:r w:rsidRPr="0025250D">
        <w:rPr>
          <w:rtl/>
        </w:rPr>
        <w:t>آدام گوردون</w:t>
      </w:r>
      <w:r w:rsidRPr="0025250D">
        <w:rPr>
          <w:vertAlign w:val="superscript"/>
          <w:rtl/>
        </w:rPr>
        <w:footnoteReference w:id="1048"/>
      </w:r>
      <w:r w:rsidRPr="0025250D">
        <w:rPr>
          <w:rFonts w:hint="cs"/>
          <w:rtl/>
        </w:rPr>
        <w:t xml:space="preserve"> در سال 2008 و </w:t>
      </w:r>
      <w:r w:rsidRPr="0025250D">
        <w:rPr>
          <w:rtl/>
        </w:rPr>
        <w:t>شکست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ر</w:t>
      </w:r>
      <w:r w:rsidRPr="0025250D">
        <w:rPr>
          <w:rFonts w:hint="cs"/>
          <w:rtl/>
        </w:rPr>
        <w:t>ی</w:t>
      </w:r>
      <w:r w:rsidRPr="0025250D">
        <w:rPr>
          <w:rFonts w:hint="eastAsia"/>
          <w:rtl/>
        </w:rPr>
        <w:t>سک</w:t>
      </w:r>
      <w:r w:rsidRPr="0025250D">
        <w:rPr>
          <w:vertAlign w:val="superscript"/>
          <w:rtl/>
        </w:rPr>
        <w:footnoteReference w:id="1049"/>
      </w:r>
      <w:r w:rsidRPr="0025250D">
        <w:rPr>
          <w:rFonts w:hint="cs"/>
          <w:rtl/>
        </w:rPr>
        <w:t xml:space="preserve"> اثر </w:t>
      </w:r>
      <w:r w:rsidRPr="0025250D">
        <w:rPr>
          <w:rtl/>
        </w:rPr>
        <w:t>داگ هابارد</w:t>
      </w:r>
      <w:r w:rsidRPr="0025250D">
        <w:rPr>
          <w:rFonts w:hint="cs"/>
          <w:rtl/>
        </w:rPr>
        <w:t xml:space="preserve"> در سال 2008 می‌باشد. برای موارد</w:t>
      </w:r>
      <w:r w:rsidR="0008779C" w:rsidRPr="0025250D">
        <w:rPr>
          <w:rFonts w:hint="cs"/>
          <w:rtl/>
        </w:rPr>
        <w:t xml:space="preserve"> بیش‌تر</w:t>
      </w:r>
      <w:r w:rsidRPr="0025250D">
        <w:rPr>
          <w:rFonts w:hint="cs"/>
          <w:rtl/>
        </w:rPr>
        <w:t xml:space="preserve"> درمورد </w:t>
      </w:r>
      <w:r w:rsidRPr="0025250D">
        <w:rPr>
          <w:rtl/>
        </w:rPr>
        <w:t>سابقه</w:t>
      </w:r>
      <w:r w:rsidRPr="0025250D">
        <w:rPr>
          <w:rFonts w:hint="cs"/>
          <w:rtl/>
        </w:rPr>
        <w:t xml:space="preserve"> ضعیف ما در زمینه بررسی دامنه</w:t>
      </w:r>
      <w:r w:rsidRPr="0025250D">
        <w:rPr>
          <w:rFonts w:hint="cs"/>
        </w:rPr>
        <w:t>‌</w:t>
      </w:r>
      <w:r w:rsidRPr="0025250D">
        <w:rPr>
          <w:rFonts w:hint="cs"/>
          <w:rtl/>
        </w:rPr>
        <w:t xml:space="preserve"> آینده‌های ممکن، </w:t>
      </w:r>
      <w:r w:rsidRPr="0025250D">
        <w:rPr>
          <w:rtl/>
        </w:rPr>
        <w:t>قو</w:t>
      </w:r>
      <w:r w:rsidRPr="0025250D">
        <w:rPr>
          <w:rFonts w:hint="cs"/>
          <w:rtl/>
        </w:rPr>
        <w:t>ی</w:t>
      </w:r>
      <w:r w:rsidRPr="0025250D">
        <w:rPr>
          <w:rtl/>
        </w:rPr>
        <w:t xml:space="preserve"> س</w:t>
      </w:r>
      <w:r w:rsidRPr="0025250D">
        <w:rPr>
          <w:rFonts w:hint="cs"/>
          <w:rtl/>
        </w:rPr>
        <w:t>ی</w:t>
      </w:r>
      <w:r w:rsidRPr="0025250D">
        <w:rPr>
          <w:rFonts w:hint="eastAsia"/>
          <w:rtl/>
        </w:rPr>
        <w:t>اه</w:t>
      </w:r>
      <w:r w:rsidRPr="0025250D">
        <w:rPr>
          <w:vertAlign w:val="superscript"/>
          <w:rtl/>
        </w:rPr>
        <w:footnoteReference w:id="1050"/>
      </w:r>
      <w:r w:rsidRPr="0025250D">
        <w:rPr>
          <w:rFonts w:hint="cs"/>
          <w:rtl/>
        </w:rPr>
        <w:t xml:space="preserve"> اثر </w:t>
      </w:r>
      <w:r w:rsidRPr="0025250D">
        <w:rPr>
          <w:rtl/>
        </w:rPr>
        <w:t>ن</w:t>
      </w:r>
      <w:r w:rsidRPr="0025250D">
        <w:rPr>
          <w:rFonts w:hint="cs"/>
          <w:rtl/>
        </w:rPr>
        <w:t>ی</w:t>
      </w:r>
      <w:r w:rsidRPr="0025250D">
        <w:rPr>
          <w:rFonts w:hint="eastAsia"/>
          <w:rtl/>
        </w:rPr>
        <w:t>کلاس</w:t>
      </w:r>
      <w:r w:rsidRPr="0025250D">
        <w:rPr>
          <w:rtl/>
        </w:rPr>
        <w:t xml:space="preserve"> طالب</w:t>
      </w:r>
      <w:r w:rsidRPr="0025250D">
        <w:rPr>
          <w:rFonts w:hint="cs"/>
          <w:rtl/>
        </w:rPr>
        <w:t xml:space="preserve"> در سال 2010 را ببینید. توانایی اندک ما برای دیدن و </w:t>
      </w:r>
      <w:r w:rsidR="00B124DE" w:rsidRPr="0025250D">
        <w:rPr>
          <w:rFonts w:hint="cs"/>
          <w:rtl/>
        </w:rPr>
        <w:t>برنامه‌ریزی</w:t>
      </w:r>
      <w:r w:rsidRPr="0025250D">
        <w:rPr>
          <w:rFonts w:hint="cs"/>
          <w:rtl/>
        </w:rPr>
        <w:t xml:space="preserve"> برای آینده‌های مرجح و قابل اجتناب</w:t>
      </w:r>
      <w:r w:rsidR="00923DDB" w:rsidRPr="0025250D">
        <w:rPr>
          <w:rFonts w:hint="cs"/>
          <w:rtl/>
        </w:rPr>
        <w:t>،</w:t>
      </w:r>
      <w:r w:rsidRPr="0025250D">
        <w:rPr>
          <w:rFonts w:hint="cs"/>
          <w:rtl/>
        </w:rPr>
        <w:t xml:space="preserve"> به خوبی در کتاب‌هایی مانند </w:t>
      </w:r>
      <w:r w:rsidRPr="0025250D">
        <w:rPr>
          <w:rtl/>
        </w:rPr>
        <w:t xml:space="preserve">ظهور و سقوط </w:t>
      </w:r>
      <w:r w:rsidR="00B124DE" w:rsidRPr="0025250D">
        <w:rPr>
          <w:rtl/>
        </w:rPr>
        <w:t>برنامه‌ریزی</w:t>
      </w:r>
      <w:r w:rsidRPr="0025250D">
        <w:rPr>
          <w:rtl/>
        </w:rPr>
        <w:t xml:space="preserve"> </w:t>
      </w:r>
      <w:r w:rsidR="00701E03" w:rsidRPr="0025250D">
        <w:rPr>
          <w:rtl/>
        </w:rPr>
        <w:t>راهبردی</w:t>
      </w:r>
      <w:r w:rsidRPr="0025250D">
        <w:rPr>
          <w:vertAlign w:val="superscript"/>
          <w:rtl/>
        </w:rPr>
        <w:footnoteReference w:id="1051"/>
      </w:r>
      <w:r w:rsidRPr="0025250D">
        <w:rPr>
          <w:rFonts w:hint="cs"/>
          <w:rtl/>
        </w:rPr>
        <w:t xml:space="preserve"> در سال 2000 اثر </w:t>
      </w:r>
      <w:r w:rsidRPr="0025250D">
        <w:rPr>
          <w:rtl/>
        </w:rPr>
        <w:t>هنر</w:t>
      </w:r>
      <w:r w:rsidRPr="0025250D">
        <w:rPr>
          <w:rFonts w:hint="cs"/>
          <w:rtl/>
        </w:rPr>
        <w:t>ی</w:t>
      </w:r>
      <w:r w:rsidRPr="0025250D">
        <w:rPr>
          <w:rtl/>
        </w:rPr>
        <w:t xml:space="preserve"> م</w:t>
      </w:r>
      <w:r w:rsidRPr="0025250D">
        <w:rPr>
          <w:rFonts w:hint="cs"/>
          <w:rtl/>
        </w:rPr>
        <w:t>ی</w:t>
      </w:r>
      <w:r w:rsidRPr="0025250D">
        <w:rPr>
          <w:rFonts w:hint="eastAsia"/>
          <w:rtl/>
        </w:rPr>
        <w:t>نتزبرگ</w:t>
      </w:r>
      <w:r w:rsidRPr="0025250D">
        <w:rPr>
          <w:vertAlign w:val="superscript"/>
          <w:rtl/>
        </w:rPr>
        <w:footnoteReference w:id="1052"/>
      </w:r>
      <w:r w:rsidRPr="0025250D">
        <w:rPr>
          <w:rFonts w:hint="cs"/>
          <w:rtl/>
        </w:rPr>
        <w:t xml:space="preserve"> در سال 2000، </w:t>
      </w:r>
      <w:r w:rsidRPr="0025250D">
        <w:rPr>
          <w:rtl/>
        </w:rPr>
        <w:t xml:space="preserve">اربابان </w:t>
      </w:r>
      <w:r w:rsidR="00701E03" w:rsidRPr="0025250D">
        <w:rPr>
          <w:rtl/>
        </w:rPr>
        <w:t>راهبرد</w:t>
      </w:r>
      <w:r w:rsidRPr="0025250D">
        <w:rPr>
          <w:vertAlign w:val="superscript"/>
          <w:rtl/>
        </w:rPr>
        <w:footnoteReference w:id="1053"/>
      </w:r>
      <w:r w:rsidRPr="0025250D">
        <w:rPr>
          <w:rFonts w:hint="cs"/>
          <w:rtl/>
        </w:rPr>
        <w:t xml:space="preserve"> اثر </w:t>
      </w:r>
      <w:r w:rsidRPr="0025250D">
        <w:rPr>
          <w:rtl/>
        </w:rPr>
        <w:t>والتر ک</w:t>
      </w:r>
      <w:r w:rsidRPr="0025250D">
        <w:rPr>
          <w:rFonts w:hint="cs"/>
          <w:rtl/>
        </w:rPr>
        <w:t>ی</w:t>
      </w:r>
      <w:r w:rsidRPr="0025250D">
        <w:rPr>
          <w:rFonts w:hint="eastAsia"/>
          <w:rtl/>
        </w:rPr>
        <w:t>شل</w:t>
      </w:r>
      <w:r w:rsidRPr="0025250D">
        <w:rPr>
          <w:vertAlign w:val="superscript"/>
          <w:rtl/>
        </w:rPr>
        <w:footnoteReference w:id="1054"/>
      </w:r>
      <w:r w:rsidRPr="0025250D">
        <w:rPr>
          <w:rFonts w:hint="cs"/>
          <w:rtl/>
        </w:rPr>
        <w:t xml:space="preserve"> در سال 2010 و </w:t>
      </w:r>
      <w:r w:rsidRPr="0025250D">
        <w:rPr>
          <w:rtl/>
        </w:rPr>
        <w:t>معضل مبتکران</w:t>
      </w:r>
      <w:r w:rsidRPr="0025250D">
        <w:rPr>
          <w:vertAlign w:val="superscript"/>
          <w:rtl/>
        </w:rPr>
        <w:footnoteReference w:id="1055"/>
      </w:r>
      <w:r w:rsidRPr="0025250D">
        <w:rPr>
          <w:rFonts w:hint="cs"/>
          <w:rtl/>
        </w:rPr>
        <w:t xml:space="preserve"> اثر </w:t>
      </w:r>
      <w:r w:rsidRPr="0025250D">
        <w:rPr>
          <w:rtl/>
        </w:rPr>
        <w:t>کل</w:t>
      </w:r>
      <w:r w:rsidRPr="0025250D">
        <w:rPr>
          <w:rFonts w:hint="cs"/>
          <w:rtl/>
        </w:rPr>
        <w:t>ی</w:t>
      </w:r>
      <w:r w:rsidRPr="0025250D">
        <w:rPr>
          <w:rtl/>
        </w:rPr>
        <w:t xml:space="preserve"> کر</w:t>
      </w:r>
      <w:r w:rsidRPr="0025250D">
        <w:rPr>
          <w:rFonts w:hint="cs"/>
          <w:rtl/>
        </w:rPr>
        <w:t>ی</w:t>
      </w:r>
      <w:r w:rsidRPr="0025250D">
        <w:rPr>
          <w:rFonts w:hint="eastAsia"/>
          <w:rtl/>
        </w:rPr>
        <w:t>ستنسن</w:t>
      </w:r>
      <w:r w:rsidRPr="0025250D">
        <w:rPr>
          <w:vertAlign w:val="superscript"/>
          <w:rtl/>
        </w:rPr>
        <w:footnoteReference w:id="1056"/>
      </w:r>
      <w:r w:rsidRPr="0025250D">
        <w:rPr>
          <w:rFonts w:hint="cs"/>
          <w:rtl/>
        </w:rPr>
        <w:t xml:space="preserve"> در سال 2013</w:t>
      </w:r>
      <w:r w:rsidR="0063099E" w:rsidRPr="0025250D">
        <w:rPr>
          <w:rtl/>
        </w:rPr>
        <w:t xml:space="preserve"> مستند</w:t>
      </w:r>
      <w:r w:rsidRPr="0025250D">
        <w:rPr>
          <w:rFonts w:hint="cs"/>
          <w:rtl/>
        </w:rPr>
        <w:t xml:space="preserve"> شده است. کتاب شردن</w:t>
      </w:r>
      <w:r w:rsidRPr="0025250D">
        <w:rPr>
          <w:vertAlign w:val="superscript"/>
          <w:rtl/>
        </w:rPr>
        <w:footnoteReference w:id="1057"/>
      </w:r>
      <w:r w:rsidRPr="0025250D">
        <w:rPr>
          <w:rFonts w:hint="cs"/>
          <w:rtl/>
        </w:rPr>
        <w:t xml:space="preserve"> به طور مشخص در این زمینه عالی است، این کتاب موارد رایج مدیریتی متعددی را در </w:t>
      </w:r>
      <w:r w:rsidR="00701E03" w:rsidRPr="0025250D">
        <w:rPr>
          <w:rFonts w:hint="cs"/>
          <w:rtl/>
        </w:rPr>
        <w:t>راهبرد</w:t>
      </w:r>
      <w:r w:rsidRPr="0025250D">
        <w:rPr>
          <w:rFonts w:hint="cs"/>
          <w:rtl/>
        </w:rPr>
        <w:t xml:space="preserve">، </w:t>
      </w:r>
      <w:r w:rsidR="00B124DE" w:rsidRPr="0025250D">
        <w:rPr>
          <w:rFonts w:hint="cs"/>
          <w:rtl/>
        </w:rPr>
        <w:t>برنامه‌ریزی</w:t>
      </w:r>
      <w:r w:rsidRPr="0025250D">
        <w:rPr>
          <w:rFonts w:hint="cs"/>
          <w:rtl/>
        </w:rPr>
        <w:t xml:space="preserve"> و </w:t>
      </w:r>
      <w:r w:rsidRPr="0025250D">
        <w:rPr>
          <w:rtl/>
        </w:rPr>
        <w:t>آینده‌نگاری</w:t>
      </w:r>
      <w:r w:rsidRPr="0025250D">
        <w:rPr>
          <w:rFonts w:hint="cs"/>
          <w:rtl/>
        </w:rPr>
        <w:t xml:space="preserve"> در قرن بیستم مشخص می‌کند.</w:t>
      </w:r>
    </w:p>
    <w:p w14:paraId="67CC97C7" w14:textId="77777777" w:rsidR="00537CC8" w:rsidRPr="0025250D" w:rsidRDefault="00537CC8" w:rsidP="00C65749">
      <w:pPr>
        <w:jc w:val="center"/>
        <w:rPr>
          <w:rtl/>
        </w:rPr>
      </w:pPr>
      <w:r w:rsidRPr="0025250D">
        <w:rPr>
          <w:noProof/>
          <w:rtl/>
          <w:lang w:bidi="ar-SA"/>
        </w:rPr>
        <w:drawing>
          <wp:inline distT="0" distB="0" distL="0" distR="0" wp14:anchorId="3B09D814" wp14:editId="7F02A8FA">
            <wp:extent cx="1195070" cy="1701579"/>
            <wp:effectExtent l="0" t="0" r="5080" b="0"/>
            <wp:docPr id="64" name="Picture 64" descr="D:\کار\مستقل\3 ( ترجمه ی دانشگاه تهران  )\Introduction to Foresight\part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3\3.png"/>
                    <pic:cNvPicPr>
                      <a:picLocks noChangeAspect="1" noChangeArrowheads="1"/>
                    </pic:cNvPicPr>
                  </pic:nvPicPr>
                  <pic:blipFill rotWithShape="1">
                    <a:blip r:embed="rId98" cstate="screen">
                      <a:extLst>
                        <a:ext uri="{BEBA8EAE-BF5A-486C-A8C5-ECC9F3942E4B}">
                          <a14:imgProps xmlns:a14="http://schemas.microsoft.com/office/drawing/2010/main">
                            <a14:imgLayer r:embed="rId99">
                              <a14:imgEffect>
                                <a14:saturation sat="0"/>
                              </a14:imgEffect>
                            </a14:imgLayer>
                          </a14:imgProps>
                        </a:ext>
                        <a:ext uri="{28A0092B-C50C-407E-A947-70E740481C1C}">
                          <a14:useLocalDpi xmlns:a14="http://schemas.microsoft.com/office/drawing/2010/main"/>
                        </a:ext>
                      </a:extLst>
                    </a:blip>
                    <a:srcRect/>
                    <a:stretch/>
                  </pic:blipFill>
                  <pic:spPr bwMode="auto">
                    <a:xfrm>
                      <a:off x="0" y="0"/>
                      <a:ext cx="1202336" cy="1711925"/>
                    </a:xfrm>
                    <a:prstGeom prst="rect">
                      <a:avLst/>
                    </a:prstGeom>
                    <a:noFill/>
                    <a:ln>
                      <a:noFill/>
                    </a:ln>
                    <a:extLst>
                      <a:ext uri="{53640926-AAD7-44D8-BBD7-CCE9431645EC}">
                        <a14:shadowObscured xmlns:a14="http://schemas.microsoft.com/office/drawing/2010/main"/>
                      </a:ext>
                    </a:extLst>
                  </pic:spPr>
                </pic:pic>
              </a:graphicData>
            </a:graphic>
          </wp:inline>
        </w:drawing>
      </w:r>
    </w:p>
    <w:p w14:paraId="2EE79DC3" w14:textId="77777777" w:rsidR="00537CC8" w:rsidRPr="0025250D" w:rsidRDefault="00537CC8" w:rsidP="00C65749">
      <w:pPr>
        <w:jc w:val="center"/>
        <w:rPr>
          <w:rtl/>
        </w:rPr>
      </w:pPr>
      <w:r w:rsidRPr="0025250D">
        <w:rPr>
          <w:rFonts w:hint="cs"/>
          <w:rtl/>
        </w:rPr>
        <w:t>شردن، 1997</w:t>
      </w:r>
    </w:p>
    <w:p w14:paraId="069C0DF9" w14:textId="0DDECAC9" w:rsidR="00537CC8" w:rsidRPr="0025250D" w:rsidRDefault="00537CC8" w:rsidP="00537CC8">
      <w:pPr>
        <w:rPr>
          <w:rtl/>
        </w:rPr>
      </w:pPr>
      <w:r w:rsidRPr="0025250D">
        <w:rPr>
          <w:rFonts w:hint="cs"/>
          <w:rtl/>
        </w:rPr>
        <w:t xml:space="preserve">خواندن این کتاب‌ها هم‌زمان هیجان انگیز، روشنگر و آگاه کننده است. دیدن این که می‌توانیم در آینده چگونه باشیم هیجان انگیز است، فهمیدن این که چقدر می‌توانیم بهبود پیدا کنیم روشنگر است و این که </w:t>
      </w:r>
      <w:r w:rsidRPr="0025250D">
        <w:rPr>
          <w:rtl/>
        </w:rPr>
        <w:t>آینده‌نگاری</w:t>
      </w:r>
      <w:r w:rsidRPr="0025250D">
        <w:rPr>
          <w:rFonts w:hint="cs"/>
          <w:rtl/>
        </w:rPr>
        <w:t xml:space="preserve"> ضعیف ما تا چه حد برای بشریت در طول قرن‌ها رنج و جهل در پی داشته است، آگاه کننده است. ما به طور روزمره برآوردهای احتمالی را نادیده می‌گیریم، به شکلی ناکافی موارد </w:t>
      </w:r>
      <w:r w:rsidR="00B453C0" w:rsidRPr="0025250D">
        <w:rPr>
          <w:rFonts w:hint="cs"/>
          <w:rtl/>
        </w:rPr>
        <w:t>امکان‌پذیر</w:t>
      </w:r>
      <w:r w:rsidRPr="0025250D">
        <w:rPr>
          <w:rFonts w:hint="cs"/>
          <w:rtl/>
        </w:rPr>
        <w:t xml:space="preserve"> را بررسی می‌کنیم،</w:t>
      </w:r>
      <w:r w:rsidR="00EE4B64" w:rsidRPr="0025250D">
        <w:rPr>
          <w:rFonts w:hint="cs"/>
          <w:rtl/>
        </w:rPr>
        <w:t xml:space="preserve"> نمی‌</w:t>
      </w:r>
      <w:r w:rsidRPr="0025250D">
        <w:rPr>
          <w:rFonts w:hint="cs"/>
          <w:rtl/>
        </w:rPr>
        <w:t xml:space="preserve">توانیم </w:t>
      </w:r>
      <w:r w:rsidR="00B56611" w:rsidRPr="0025250D">
        <w:rPr>
          <w:rFonts w:hint="cs"/>
          <w:rtl/>
        </w:rPr>
        <w:t>چشم‌انداز</w:t>
      </w:r>
      <w:r w:rsidRPr="0025250D">
        <w:rPr>
          <w:rFonts w:hint="cs"/>
          <w:rtl/>
        </w:rPr>
        <w:t xml:space="preserve"> مشترکی بیابیم و مغرورانه تهدید‌ها را دست کم گرفته یا</w:t>
      </w:r>
      <w:r w:rsidR="00EE4B64" w:rsidRPr="0025250D">
        <w:rPr>
          <w:rFonts w:hint="cs"/>
          <w:rtl/>
        </w:rPr>
        <w:t xml:space="preserve"> نمی‌</w:t>
      </w:r>
      <w:r w:rsidRPr="0025250D">
        <w:rPr>
          <w:rFonts w:hint="cs"/>
          <w:rtl/>
        </w:rPr>
        <w:t>بینیم. با توجه به این که اغلب چقدر ضعیف فکر می‌کنیم، تعجبی ندارد که موارد بسیار اندکی را می‌بینیم.</w:t>
      </w:r>
    </w:p>
    <w:p w14:paraId="2BD0AB8D" w14:textId="16481C31" w:rsidR="00537CC8" w:rsidRPr="0025250D" w:rsidRDefault="00537CC8" w:rsidP="00537CC8">
      <w:pPr>
        <w:rPr>
          <w:rtl/>
        </w:rPr>
      </w:pPr>
      <w:r w:rsidRPr="0025250D">
        <w:rPr>
          <w:rFonts w:hint="cs"/>
          <w:rtl/>
        </w:rPr>
        <w:t>تاریخچه</w:t>
      </w:r>
      <w:r w:rsidRPr="0025250D">
        <w:rPr>
          <w:rFonts w:hint="cs"/>
        </w:rPr>
        <w:t>‌</w:t>
      </w:r>
      <w:r w:rsidRPr="0025250D">
        <w:rPr>
          <w:rFonts w:hint="cs"/>
          <w:rtl/>
        </w:rPr>
        <w:t xml:space="preserve"> اشتباهات ما هنگام تفکر درمورد آینده سبب ایجاد افسانه</w:t>
      </w:r>
      <w:r w:rsidRPr="0025250D">
        <w:rPr>
          <w:rFonts w:hint="cs"/>
        </w:rPr>
        <w:t>‌</w:t>
      </w:r>
      <w:r w:rsidRPr="0025250D">
        <w:rPr>
          <w:rFonts w:hint="cs"/>
          <w:rtl/>
        </w:rPr>
        <w:t xml:space="preserve"> بزرگی با عنوان </w:t>
      </w:r>
      <w:r w:rsidR="0063099E" w:rsidRPr="0025250D">
        <w:rPr>
          <w:rtl/>
        </w:rPr>
        <w:t>«</w:t>
      </w:r>
      <w:r w:rsidRPr="0025250D">
        <w:rPr>
          <w:rFonts w:hint="cs"/>
          <w:rtl/>
        </w:rPr>
        <w:t>افسانه</w:t>
      </w:r>
      <w:r w:rsidRPr="0025250D">
        <w:rPr>
          <w:rFonts w:hint="cs"/>
        </w:rPr>
        <w:t>‌</w:t>
      </w:r>
      <w:r w:rsidRPr="0025250D">
        <w:rPr>
          <w:rFonts w:hint="cs"/>
          <w:rtl/>
        </w:rPr>
        <w:t xml:space="preserve"> عدم </w:t>
      </w:r>
      <w:r w:rsidR="00923DDB" w:rsidRPr="0025250D">
        <w:rPr>
          <w:rFonts w:hint="cs"/>
          <w:rtl/>
        </w:rPr>
        <w:t>اثربخشی</w:t>
      </w:r>
      <w:r w:rsidRPr="0025250D">
        <w:rPr>
          <w:vertAlign w:val="superscript"/>
          <w:rtl/>
        </w:rPr>
        <w:footnoteReference w:id="1058"/>
      </w:r>
      <w:r w:rsidR="0063099E" w:rsidRPr="0025250D">
        <w:rPr>
          <w:rtl/>
        </w:rPr>
        <w:t>»</w:t>
      </w:r>
      <w:r w:rsidRPr="0025250D">
        <w:rPr>
          <w:rFonts w:hint="cs"/>
          <w:rtl/>
        </w:rPr>
        <w:t xml:space="preserve"> در کار </w:t>
      </w:r>
      <w:r w:rsidRPr="0025250D">
        <w:rPr>
          <w:rtl/>
        </w:rPr>
        <w:t>آینده‌نگاری</w:t>
      </w:r>
      <w:r w:rsidRPr="0025250D">
        <w:rPr>
          <w:rFonts w:hint="cs"/>
          <w:rtl/>
        </w:rPr>
        <w:t xml:space="preserve"> شده است. این افسانه برخی مواقع به عنوان باوری صریح بیان می‌شود، اما اغلب به صورت ضمنی، هم توسط بسیاری از کارسپاران ما و هم توسط ناظران غیر تخصصی، باور می‌شود. هر یک از چهار </w:t>
      </w:r>
      <w:r w:rsidRPr="0025250D">
        <w:t>P</w:t>
      </w:r>
      <w:r w:rsidRPr="0025250D">
        <w:rPr>
          <w:rFonts w:hint="cs"/>
          <w:rtl/>
        </w:rPr>
        <w:t xml:space="preserve"> شایسته</w:t>
      </w:r>
      <w:r w:rsidRPr="0025250D">
        <w:rPr>
          <w:rFonts w:hint="cs"/>
        </w:rPr>
        <w:t>‌</w:t>
      </w:r>
      <w:r w:rsidRPr="0025250D">
        <w:rPr>
          <w:rFonts w:hint="cs"/>
          <w:rtl/>
        </w:rPr>
        <w:t xml:space="preserve"> دفاع قدرتمندی در مقابل این افسانه </w:t>
      </w:r>
      <w:r w:rsidR="00923DDB" w:rsidRPr="0025250D">
        <w:rPr>
          <w:rFonts w:hint="cs"/>
          <w:rtl/>
        </w:rPr>
        <w:t>هستند</w:t>
      </w:r>
      <w:r w:rsidRPr="0025250D">
        <w:rPr>
          <w:rFonts w:hint="cs"/>
          <w:rtl/>
        </w:rPr>
        <w:t xml:space="preserve">. به این دلیل که انسان‌ها اغلب و به شکل واضحی در </w:t>
      </w:r>
      <w:r w:rsidRPr="0025250D">
        <w:rPr>
          <w:rtl/>
        </w:rPr>
        <w:t>آینده‌نگاری</w:t>
      </w:r>
      <w:r w:rsidRPr="0025250D">
        <w:rPr>
          <w:rFonts w:hint="cs"/>
          <w:rtl/>
        </w:rPr>
        <w:t xml:space="preserve"> </w:t>
      </w:r>
      <w:r w:rsidR="00127C91" w:rsidRPr="0025250D">
        <w:rPr>
          <w:rFonts w:hint="cs"/>
          <w:rtl/>
        </w:rPr>
        <w:t xml:space="preserve">موارد </w:t>
      </w:r>
      <w:r w:rsidRPr="0025250D">
        <w:rPr>
          <w:rFonts w:hint="cs"/>
          <w:rtl/>
        </w:rPr>
        <w:t>محتمل که در آن ما باید به شکل قابل قبولی آینده‌های مشخصی را که انتظار داریم توصیف کنیم، ناموفق هستند، این</w:t>
      </w:r>
      <w:r w:rsidRPr="0025250D">
        <w:rPr>
          <w:rtl/>
        </w:rPr>
        <w:t xml:space="preserve"> </w:t>
      </w:r>
      <w:r w:rsidRPr="0025250D">
        <w:rPr>
          <w:rFonts w:hint="cs"/>
          <w:rtl/>
        </w:rPr>
        <w:t>حوزه</w:t>
      </w:r>
      <w:r w:rsidRPr="0025250D">
        <w:rPr>
          <w:rtl/>
        </w:rPr>
        <w:t xml:space="preserve">‌ای </w:t>
      </w:r>
      <w:r w:rsidRPr="0025250D">
        <w:rPr>
          <w:rFonts w:hint="cs"/>
          <w:rtl/>
        </w:rPr>
        <w:t>است</w:t>
      </w:r>
      <w:r w:rsidRPr="0025250D">
        <w:rPr>
          <w:rtl/>
        </w:rPr>
        <w:t xml:space="preserve"> </w:t>
      </w:r>
      <w:r w:rsidRPr="0025250D">
        <w:rPr>
          <w:rFonts w:hint="cs"/>
          <w:rtl/>
        </w:rPr>
        <w:t>که</w:t>
      </w:r>
      <w:r w:rsidRPr="0025250D">
        <w:rPr>
          <w:rtl/>
        </w:rPr>
        <w:t xml:space="preserve"> </w:t>
      </w:r>
      <w:r w:rsidRPr="0025250D">
        <w:rPr>
          <w:rFonts w:hint="cs"/>
          <w:rtl/>
        </w:rPr>
        <w:t>امروزه</w:t>
      </w:r>
      <w:r w:rsidRPr="0025250D">
        <w:rPr>
          <w:rtl/>
        </w:rPr>
        <w:t xml:space="preserve"> </w:t>
      </w:r>
      <w:r w:rsidRPr="0025250D">
        <w:rPr>
          <w:rFonts w:hint="cs"/>
          <w:rtl/>
        </w:rPr>
        <w:t>اغلب</w:t>
      </w:r>
      <w:r w:rsidRPr="0025250D">
        <w:rPr>
          <w:rtl/>
        </w:rPr>
        <w:t xml:space="preserve"> </w:t>
      </w:r>
      <w:r w:rsidRPr="0025250D">
        <w:rPr>
          <w:rFonts w:hint="cs"/>
          <w:rtl/>
        </w:rPr>
        <w:t>و</w:t>
      </w:r>
      <w:r w:rsidRPr="0025250D">
        <w:rPr>
          <w:rtl/>
        </w:rPr>
        <w:t xml:space="preserve"> </w:t>
      </w:r>
      <w:r w:rsidRPr="0025250D">
        <w:rPr>
          <w:rFonts w:hint="cs"/>
          <w:rtl/>
        </w:rPr>
        <w:t>عمیقا</w:t>
      </w:r>
      <w:r w:rsidRPr="0025250D">
        <w:rPr>
          <w:rtl/>
        </w:rPr>
        <w:t xml:space="preserve"> </w:t>
      </w:r>
      <w:r w:rsidRPr="0025250D">
        <w:rPr>
          <w:rFonts w:hint="cs"/>
          <w:rtl/>
        </w:rPr>
        <w:t>کم</w:t>
      </w:r>
      <w:r w:rsidRPr="0025250D">
        <w:rPr>
          <w:rtl/>
        </w:rPr>
        <w:t xml:space="preserve"> </w:t>
      </w:r>
      <w:r w:rsidRPr="0025250D">
        <w:rPr>
          <w:rFonts w:hint="cs"/>
          <w:rtl/>
        </w:rPr>
        <w:t>ارزش</w:t>
      </w:r>
      <w:r w:rsidRPr="0025250D">
        <w:rPr>
          <w:rtl/>
        </w:rPr>
        <w:t xml:space="preserve"> </w:t>
      </w:r>
      <w:r w:rsidRPr="0025250D">
        <w:rPr>
          <w:rFonts w:hint="cs"/>
          <w:rtl/>
        </w:rPr>
        <w:t>تلقی</w:t>
      </w:r>
      <w:r w:rsidRPr="0025250D">
        <w:rPr>
          <w:rtl/>
        </w:rPr>
        <w:t xml:space="preserve"> می‌</w:t>
      </w:r>
      <w:r w:rsidRPr="0025250D">
        <w:rPr>
          <w:rFonts w:hint="cs"/>
          <w:rtl/>
        </w:rPr>
        <w:t>شود</w:t>
      </w:r>
      <w:r w:rsidR="008D6F97" w:rsidRPr="0025250D">
        <w:rPr>
          <w:rtl/>
        </w:rPr>
        <w:t xml:space="preserve">؛ </w:t>
      </w:r>
      <w:r w:rsidR="0020589F" w:rsidRPr="0025250D">
        <w:rPr>
          <w:rtl/>
        </w:rPr>
        <w:t>اما</w:t>
      </w:r>
      <w:r w:rsidRPr="0025250D">
        <w:rPr>
          <w:rFonts w:hint="cs"/>
          <w:rtl/>
        </w:rPr>
        <w:t xml:space="preserve"> هر چهار نوع اقدام، امروز به دلیل این افسانه</w:t>
      </w:r>
      <w:r w:rsidR="00BB406C" w:rsidRPr="0025250D">
        <w:rPr>
          <w:rFonts w:hint="cs"/>
          <w:rtl/>
        </w:rPr>
        <w:t xml:space="preserve"> کم‌تر</w:t>
      </w:r>
      <w:r w:rsidRPr="0025250D">
        <w:rPr>
          <w:rFonts w:hint="cs"/>
          <w:rtl/>
        </w:rPr>
        <w:t xml:space="preserve"> از حد لازم استفاده می‌شوند.</w:t>
      </w:r>
    </w:p>
    <w:p w14:paraId="7F520C7F" w14:textId="7F724CA6" w:rsidR="00537CC8" w:rsidRPr="0025250D" w:rsidRDefault="00537CC8" w:rsidP="00537CC8">
      <w:pPr>
        <w:rPr>
          <w:rtl/>
        </w:rPr>
      </w:pPr>
      <w:r w:rsidRPr="0025250D">
        <w:rPr>
          <w:rFonts w:hint="cs"/>
          <w:rtl/>
        </w:rPr>
        <w:t>قاعده</w:t>
      </w:r>
      <w:r w:rsidRPr="0025250D">
        <w:rPr>
          <w:rFonts w:hint="cs"/>
        </w:rPr>
        <w:t>‌</w:t>
      </w:r>
      <w:r w:rsidRPr="0025250D">
        <w:rPr>
          <w:rFonts w:hint="cs"/>
          <w:rtl/>
        </w:rPr>
        <w:t xml:space="preserve"> </w:t>
      </w:r>
      <w:r w:rsidRPr="0025250D">
        <w:rPr>
          <w:rtl/>
        </w:rPr>
        <w:t>آنا کارن</w:t>
      </w:r>
      <w:r w:rsidRPr="0025250D">
        <w:rPr>
          <w:rFonts w:hint="cs"/>
          <w:rtl/>
        </w:rPr>
        <w:t>ی</w:t>
      </w:r>
      <w:r w:rsidRPr="0025250D">
        <w:rPr>
          <w:rFonts w:hint="eastAsia"/>
          <w:rtl/>
        </w:rPr>
        <w:t>نا</w:t>
      </w:r>
      <w:r w:rsidRPr="0025250D">
        <w:rPr>
          <w:rFonts w:hint="cs"/>
          <w:rtl/>
        </w:rPr>
        <w:t xml:space="preserve"> را به یاد داشته باشید؛ همیشه راه‌های تکاملی برای شکست وجود دارند و تنها راه‌های توسعه‌ای معدودی برای موفقیت وجود دارند. کاربرد‌های این قاعده را برای عمل </w:t>
      </w:r>
      <w:r w:rsidRPr="0025250D">
        <w:rPr>
          <w:rtl/>
        </w:rPr>
        <w:t>آینده‌نگاری</w:t>
      </w:r>
      <w:r w:rsidRPr="0025250D">
        <w:rPr>
          <w:rFonts w:hint="cs"/>
          <w:rtl/>
        </w:rPr>
        <w:t xml:space="preserve"> </w:t>
      </w:r>
      <w:r w:rsidR="00127C91" w:rsidRPr="0025250D">
        <w:rPr>
          <w:rFonts w:hint="cs"/>
          <w:rtl/>
        </w:rPr>
        <w:t xml:space="preserve">موارد </w:t>
      </w:r>
      <w:r w:rsidRPr="0025250D">
        <w:rPr>
          <w:rFonts w:hint="cs"/>
          <w:rtl/>
        </w:rPr>
        <w:t xml:space="preserve">محتمل در نظر بگیرید. </w:t>
      </w:r>
      <w:r w:rsidR="00923DDB" w:rsidRPr="0025250D">
        <w:rPr>
          <w:rFonts w:hint="cs"/>
          <w:rtl/>
        </w:rPr>
        <w:t>ممکن است</w:t>
      </w:r>
      <w:r w:rsidRPr="0025250D">
        <w:rPr>
          <w:rFonts w:hint="cs"/>
          <w:rtl/>
        </w:rPr>
        <w:t xml:space="preserve"> در </w:t>
      </w:r>
      <w:r w:rsidR="00FB6A7E" w:rsidRPr="0025250D">
        <w:rPr>
          <w:rFonts w:hint="cs"/>
          <w:rtl/>
        </w:rPr>
        <w:t>پیش‌نگری</w:t>
      </w:r>
      <w:r w:rsidRPr="0025250D">
        <w:rPr>
          <w:rFonts w:hint="cs"/>
          <w:rtl/>
        </w:rPr>
        <w:t xml:space="preserve"> یا </w:t>
      </w:r>
      <w:r w:rsidR="00D92F6E" w:rsidRPr="0025250D">
        <w:rPr>
          <w:rFonts w:hint="cs"/>
          <w:rtl/>
        </w:rPr>
        <w:t>پیش‌بین</w:t>
      </w:r>
      <w:r w:rsidRPr="0025250D">
        <w:rPr>
          <w:rFonts w:hint="cs"/>
          <w:rtl/>
        </w:rPr>
        <w:t xml:space="preserve">ی بدون دانش خوب یا مدل‌های مناسب از </w:t>
      </w:r>
      <w:r w:rsidR="008D6F97" w:rsidRPr="0025250D">
        <w:rPr>
          <w:rFonts w:hint="cs"/>
          <w:rtl/>
        </w:rPr>
        <w:t>سامانه‌</w:t>
      </w:r>
      <w:r w:rsidRPr="0025250D">
        <w:rPr>
          <w:rFonts w:hint="cs"/>
          <w:rtl/>
        </w:rPr>
        <w:t xml:space="preserve"> مورد نظر، شکست بخوریم. </w:t>
      </w:r>
      <w:r w:rsidR="00923DDB" w:rsidRPr="0025250D">
        <w:rPr>
          <w:rFonts w:hint="cs"/>
          <w:rtl/>
        </w:rPr>
        <w:t xml:space="preserve">ممکن است </w:t>
      </w:r>
      <w:r w:rsidRPr="0025250D">
        <w:rPr>
          <w:rFonts w:hint="cs"/>
          <w:rtl/>
        </w:rPr>
        <w:t>با ورود به زمینه‌هایی که تجربه</w:t>
      </w:r>
      <w:r w:rsidRPr="0025250D">
        <w:rPr>
          <w:rFonts w:hint="cs"/>
        </w:rPr>
        <w:t>‌</w:t>
      </w:r>
      <w:r w:rsidRPr="0025250D">
        <w:rPr>
          <w:rFonts w:hint="cs"/>
          <w:rtl/>
        </w:rPr>
        <w:t xml:space="preserve"> کافی نداریم شکست بخوریم. </w:t>
      </w:r>
      <w:r w:rsidR="00923DDB" w:rsidRPr="0025250D">
        <w:rPr>
          <w:rFonts w:hint="cs"/>
          <w:rtl/>
        </w:rPr>
        <w:t xml:space="preserve">ممکن است </w:t>
      </w:r>
      <w:r w:rsidRPr="0025250D">
        <w:rPr>
          <w:rFonts w:hint="cs"/>
          <w:rtl/>
        </w:rPr>
        <w:t xml:space="preserve">توسط </w:t>
      </w:r>
      <w:r w:rsidR="00D92F6E" w:rsidRPr="0025250D">
        <w:rPr>
          <w:rFonts w:hint="cs"/>
          <w:rtl/>
        </w:rPr>
        <w:t>پیش‌بین</w:t>
      </w:r>
      <w:r w:rsidRPr="0025250D">
        <w:rPr>
          <w:rFonts w:hint="cs"/>
          <w:rtl/>
        </w:rPr>
        <w:t xml:space="preserve">ی با وجود یک سوگیری آگاهانه یا ناآگاهانه شکست بخوریم. </w:t>
      </w:r>
      <w:r w:rsidR="00923DDB" w:rsidRPr="0025250D">
        <w:rPr>
          <w:rFonts w:hint="cs"/>
          <w:rtl/>
        </w:rPr>
        <w:t xml:space="preserve">ممکن است </w:t>
      </w:r>
      <w:r w:rsidRPr="0025250D">
        <w:rPr>
          <w:rFonts w:hint="cs"/>
          <w:rtl/>
        </w:rPr>
        <w:t xml:space="preserve">با نادیده گرفتن قرار دادن </w:t>
      </w:r>
      <w:r w:rsidR="00FB6A7E" w:rsidRPr="0025250D">
        <w:rPr>
          <w:rFonts w:hint="cs"/>
          <w:rtl/>
        </w:rPr>
        <w:t>پیش‌نگری</w:t>
      </w:r>
      <w:r w:rsidRPr="0025250D">
        <w:rPr>
          <w:rFonts w:hint="cs"/>
          <w:rtl/>
        </w:rPr>
        <w:t xml:space="preserve"> و </w:t>
      </w:r>
      <w:r w:rsidR="00D92F6E" w:rsidRPr="0025250D">
        <w:rPr>
          <w:rFonts w:hint="cs"/>
          <w:rtl/>
        </w:rPr>
        <w:t>پیش‌بین</w:t>
      </w:r>
      <w:r w:rsidRPr="0025250D">
        <w:rPr>
          <w:rFonts w:hint="cs"/>
          <w:rtl/>
        </w:rPr>
        <w:t xml:space="preserve">ی‌های خود در مقابل انتقاد شدید از سوی افراد دارای مهارت و تنوع شناختی مناسب، شکست بخوریم. </w:t>
      </w:r>
      <w:r w:rsidR="00923DDB" w:rsidRPr="0025250D">
        <w:rPr>
          <w:rFonts w:hint="cs"/>
          <w:rtl/>
        </w:rPr>
        <w:t xml:space="preserve">ممکن است </w:t>
      </w:r>
      <w:r w:rsidRPr="0025250D">
        <w:rPr>
          <w:rFonts w:hint="cs"/>
          <w:rtl/>
        </w:rPr>
        <w:t xml:space="preserve">با به ندرت انجام دادن </w:t>
      </w:r>
      <w:r w:rsidR="00FB6A7E" w:rsidRPr="0025250D">
        <w:rPr>
          <w:rFonts w:hint="cs"/>
          <w:rtl/>
        </w:rPr>
        <w:t>پیش‌نگری</w:t>
      </w:r>
      <w:r w:rsidRPr="0025250D">
        <w:rPr>
          <w:rFonts w:hint="cs"/>
          <w:rtl/>
        </w:rPr>
        <w:t xml:space="preserve"> یا </w:t>
      </w:r>
      <w:r w:rsidR="00D92F6E" w:rsidRPr="0025250D">
        <w:rPr>
          <w:rFonts w:hint="cs"/>
          <w:rtl/>
        </w:rPr>
        <w:t>پیش‌بین</w:t>
      </w:r>
      <w:r w:rsidRPr="0025250D">
        <w:rPr>
          <w:rFonts w:hint="cs"/>
          <w:rtl/>
        </w:rPr>
        <w:t>ی، شکست بخوریم؛ بنابراین هیچگاه دقت و محافظه کاری را نخواهیم آموخت.</w:t>
      </w:r>
    </w:p>
    <w:p w14:paraId="09B660E5" w14:textId="5A41B76E" w:rsidR="00537CC8" w:rsidRPr="0025250D" w:rsidRDefault="00537CC8" w:rsidP="00516B66">
      <w:pPr>
        <w:rPr>
          <w:rtl/>
        </w:rPr>
      </w:pPr>
      <w:r w:rsidRPr="0025250D">
        <w:rPr>
          <w:rFonts w:hint="cs"/>
          <w:rtl/>
        </w:rPr>
        <w:t xml:space="preserve">بسیاری از حالات شکست رایج در این کتاب مورد بحث قرار خواهند گرفت. </w:t>
      </w:r>
      <w:r w:rsidR="0008779C" w:rsidRPr="0025250D">
        <w:rPr>
          <w:rFonts w:hint="cs"/>
          <w:rtl/>
        </w:rPr>
        <w:t>پیش‌نگر</w:t>
      </w:r>
      <w:r w:rsidRPr="0025250D">
        <w:rPr>
          <w:rFonts w:hint="cs"/>
          <w:rtl/>
        </w:rPr>
        <w:t xml:space="preserve">های ضعیف، </w:t>
      </w:r>
      <w:r w:rsidR="0008779C" w:rsidRPr="0025250D">
        <w:rPr>
          <w:rFonts w:hint="cs"/>
          <w:rtl/>
        </w:rPr>
        <w:t>آزمایش‌کنندگان</w:t>
      </w:r>
      <w:r w:rsidRPr="0025250D">
        <w:rPr>
          <w:rFonts w:hint="cs"/>
          <w:rtl/>
        </w:rPr>
        <w:t xml:space="preserve"> شکست خورده و </w:t>
      </w:r>
      <w:r w:rsidR="00516B66" w:rsidRPr="0025250D">
        <w:rPr>
          <w:rFonts w:hint="cs"/>
          <w:rtl/>
        </w:rPr>
        <w:t>راهبردشناسان</w:t>
      </w:r>
      <w:r w:rsidRPr="0025250D">
        <w:rPr>
          <w:rFonts w:hint="cs"/>
          <w:rtl/>
        </w:rPr>
        <w:t xml:space="preserve"> ناموفق هر یک به شکلی ناراضی هستند. عواقب ناخواسته و انفجار ترکیباتی از موارد احتمالی، موارد تکاملی را می‌سازند، اما موارد توسعه‌ای را که در طی زمان غیر قطعی</w:t>
      </w:r>
      <w:r w:rsidR="0008779C" w:rsidRPr="0025250D">
        <w:rPr>
          <w:rFonts w:hint="cs"/>
          <w:rtl/>
        </w:rPr>
        <w:t>‌</w:t>
      </w:r>
      <w:r w:rsidRPr="0025250D">
        <w:rPr>
          <w:rFonts w:hint="cs"/>
          <w:rtl/>
        </w:rPr>
        <w:t>تر هستند، ایجاد</w:t>
      </w:r>
      <w:r w:rsidR="00EE4B64" w:rsidRPr="0025250D">
        <w:rPr>
          <w:rFonts w:hint="cs"/>
          <w:rtl/>
        </w:rPr>
        <w:t xml:space="preserve"> نمی‌</w:t>
      </w:r>
      <w:r w:rsidRPr="0025250D">
        <w:rPr>
          <w:rFonts w:hint="cs"/>
          <w:rtl/>
        </w:rPr>
        <w:t xml:space="preserve">کنند. با این حال، حتی با وجود راه‌های متعددی که </w:t>
      </w:r>
      <w:r w:rsidR="0008779C" w:rsidRPr="0025250D">
        <w:rPr>
          <w:rFonts w:hint="cs"/>
          <w:rtl/>
        </w:rPr>
        <w:t xml:space="preserve">ممکن است </w:t>
      </w:r>
      <w:r w:rsidRPr="0025250D">
        <w:rPr>
          <w:rFonts w:hint="cs"/>
          <w:rtl/>
        </w:rPr>
        <w:t>شکست بخوریم، زمینه</w:t>
      </w:r>
      <w:r w:rsidRPr="0025250D">
        <w:rPr>
          <w:rFonts w:hint="cs"/>
        </w:rPr>
        <w:t>‌</w:t>
      </w:r>
      <w:r w:rsidRPr="0025250D">
        <w:rPr>
          <w:rFonts w:hint="cs"/>
          <w:rtl/>
        </w:rPr>
        <w:t xml:space="preserve"> </w:t>
      </w:r>
      <w:r w:rsidRPr="0025250D">
        <w:rPr>
          <w:rtl/>
        </w:rPr>
        <w:t>آینده‌نگاری</w:t>
      </w:r>
      <w:r w:rsidRPr="0025250D">
        <w:rPr>
          <w:rFonts w:hint="cs"/>
          <w:rtl/>
        </w:rPr>
        <w:t xml:space="preserve"> مدرن در بیش از هفتاد سال تاریخچه چنین تلاش‌هایی مشارکت داشته است </w:t>
      </w:r>
      <w:r w:rsidR="0020589F" w:rsidRPr="0025250D">
        <w:rPr>
          <w:rtl/>
        </w:rPr>
        <w:t xml:space="preserve">و </w:t>
      </w:r>
      <w:r w:rsidRPr="0025250D">
        <w:rPr>
          <w:rFonts w:hint="cs"/>
          <w:rtl/>
        </w:rPr>
        <w:t xml:space="preserve">ما به شکل فزاینده‌ای چنین موارد جذاب توسعه‌ای را </w:t>
      </w:r>
      <w:r w:rsidRPr="0025250D">
        <w:rPr>
          <w:rFonts w:cs="Times New Roman" w:hint="cs"/>
          <w:rtl/>
        </w:rPr>
        <w:t>–</w:t>
      </w:r>
      <w:r w:rsidRPr="0025250D">
        <w:rPr>
          <w:rFonts w:hint="cs"/>
          <w:rtl/>
        </w:rPr>
        <w:t xml:space="preserve"> فرایند‌های فراگیر و جهانی که </w:t>
      </w:r>
      <w:r w:rsidRPr="0025250D">
        <w:rPr>
          <w:rtl/>
        </w:rPr>
        <w:t>آینده‌نگاری</w:t>
      </w:r>
      <w:r w:rsidRPr="0025250D">
        <w:rPr>
          <w:rFonts w:hint="cs"/>
          <w:rtl/>
        </w:rPr>
        <w:t xml:space="preserve"> ما را گسترش می‌دهند </w:t>
      </w:r>
      <w:r w:rsidRPr="0025250D">
        <w:rPr>
          <w:rFonts w:cs="Times New Roman" w:hint="cs"/>
          <w:rtl/>
        </w:rPr>
        <w:t>–</w:t>
      </w:r>
      <w:r w:rsidRPr="0025250D">
        <w:rPr>
          <w:rFonts w:hint="cs"/>
          <w:rtl/>
        </w:rPr>
        <w:t xml:space="preserve"> در هر یک از چهار </w:t>
      </w:r>
      <w:r w:rsidRPr="0025250D">
        <w:t>P</w:t>
      </w:r>
      <w:r w:rsidRPr="0025250D">
        <w:rPr>
          <w:rFonts w:hint="cs"/>
          <w:rtl/>
        </w:rPr>
        <w:t xml:space="preserve"> می‌یابیم.</w:t>
      </w:r>
    </w:p>
    <w:p w14:paraId="34AFF54D" w14:textId="5803A73E" w:rsidR="00537CC8" w:rsidRPr="0025250D" w:rsidRDefault="00537CC8" w:rsidP="00537CC8">
      <w:pPr>
        <w:rPr>
          <w:rtl/>
        </w:rPr>
      </w:pPr>
      <w:r w:rsidRPr="0025250D">
        <w:rPr>
          <w:rFonts w:hint="cs"/>
          <w:rtl/>
        </w:rPr>
        <w:t>حرفه</w:t>
      </w:r>
      <w:r w:rsidRPr="0025250D">
        <w:rPr>
          <w:rFonts w:hint="cs"/>
        </w:rPr>
        <w:t>‌</w:t>
      </w:r>
      <w:r w:rsidRPr="0025250D">
        <w:rPr>
          <w:rFonts w:hint="cs"/>
          <w:rtl/>
        </w:rPr>
        <w:t xml:space="preserve"> </w:t>
      </w:r>
      <w:r w:rsidR="0008779C" w:rsidRPr="0025250D">
        <w:rPr>
          <w:rFonts w:hint="cs"/>
          <w:rtl/>
        </w:rPr>
        <w:t>آینده‌نگاری</w:t>
      </w:r>
      <w:r w:rsidRPr="0025250D">
        <w:rPr>
          <w:rFonts w:hint="cs"/>
          <w:rtl/>
        </w:rPr>
        <w:t xml:space="preserve"> به شکل پایداری در هر دامنه</w:t>
      </w:r>
      <w:r w:rsidRPr="0025250D">
        <w:rPr>
          <w:rFonts w:hint="cs"/>
        </w:rPr>
        <w:t>‌</w:t>
      </w:r>
      <w:r w:rsidRPr="0025250D">
        <w:rPr>
          <w:rFonts w:hint="cs"/>
          <w:rtl/>
        </w:rPr>
        <w:t xml:space="preserve"> بهتر شده است. هیچگاه این تعداد از متخصصین در حال انجام چنین مدلسازی، </w:t>
      </w:r>
      <w:r w:rsidR="00FB6A7E" w:rsidRPr="0025250D">
        <w:rPr>
          <w:rFonts w:hint="cs"/>
          <w:rtl/>
        </w:rPr>
        <w:t>پیش‌نگری</w:t>
      </w:r>
      <w:r w:rsidRPr="0025250D">
        <w:rPr>
          <w:rFonts w:hint="cs"/>
          <w:rtl/>
        </w:rPr>
        <w:t xml:space="preserve">، </w:t>
      </w:r>
      <w:r w:rsidR="00D92F6E" w:rsidRPr="0025250D">
        <w:rPr>
          <w:rFonts w:hint="cs"/>
          <w:rtl/>
        </w:rPr>
        <w:t>پیش‌بین</w:t>
      </w:r>
      <w:r w:rsidRPr="0025250D">
        <w:rPr>
          <w:rFonts w:hint="cs"/>
          <w:rtl/>
        </w:rPr>
        <w:t xml:space="preserve">ی، بررسی عدم قطعیت، </w:t>
      </w:r>
      <w:r w:rsidR="00EE4B64" w:rsidRPr="0025250D">
        <w:rPr>
          <w:rFonts w:hint="cs"/>
          <w:rtl/>
        </w:rPr>
        <w:t>چشم‌اندازسازی</w:t>
      </w:r>
      <w:r w:rsidRPr="0025250D">
        <w:rPr>
          <w:rFonts w:hint="cs"/>
          <w:rtl/>
        </w:rPr>
        <w:t xml:space="preserve">، نگاشت ترجیحات، تسهیل و </w:t>
      </w:r>
      <w:r w:rsidR="00701E03" w:rsidRPr="0025250D">
        <w:rPr>
          <w:rFonts w:hint="cs"/>
          <w:rtl/>
        </w:rPr>
        <w:t>راهبرد</w:t>
      </w:r>
      <w:r w:rsidRPr="0025250D">
        <w:rPr>
          <w:rFonts w:hint="cs"/>
          <w:rtl/>
        </w:rPr>
        <w:t xml:space="preserve"> سازی در جهان ن</w:t>
      </w:r>
      <w:r w:rsidR="00B124DE" w:rsidRPr="0025250D">
        <w:rPr>
          <w:rFonts w:hint="cs"/>
          <w:rtl/>
        </w:rPr>
        <w:t>بوده‌اند</w:t>
      </w:r>
      <w:r w:rsidRPr="0025250D">
        <w:rPr>
          <w:rFonts w:hint="cs"/>
          <w:rtl/>
        </w:rPr>
        <w:t xml:space="preserve">. هیچگاه محیط داده‌ای </w:t>
      </w:r>
      <w:r w:rsidR="0008779C" w:rsidRPr="0025250D">
        <w:rPr>
          <w:rFonts w:hint="cs"/>
          <w:rtl/>
        </w:rPr>
        <w:t>غنی‌تر</w:t>
      </w:r>
      <w:r w:rsidRPr="0025250D">
        <w:rPr>
          <w:rFonts w:hint="cs"/>
          <w:rtl/>
        </w:rPr>
        <w:t xml:space="preserve">ی برای بررسی آینده‌های چهار </w:t>
      </w:r>
      <w:r w:rsidRPr="0025250D">
        <w:t>P</w:t>
      </w:r>
      <w:r w:rsidRPr="0025250D">
        <w:rPr>
          <w:rFonts w:hint="cs"/>
          <w:rtl/>
        </w:rPr>
        <w:t xml:space="preserve"> وجود نداشته است و هیچگاه ارزش اقتصادی</w:t>
      </w:r>
      <w:r w:rsidR="0008779C" w:rsidRPr="0025250D">
        <w:rPr>
          <w:rFonts w:hint="cs"/>
          <w:rtl/>
        </w:rPr>
        <w:t xml:space="preserve"> بیش‌تر</w:t>
      </w:r>
      <w:r w:rsidRPr="0025250D">
        <w:rPr>
          <w:rFonts w:hint="cs"/>
          <w:rtl/>
        </w:rPr>
        <w:t xml:space="preserve">ی توسط افرادی که </w:t>
      </w:r>
      <w:r w:rsidRPr="0025250D">
        <w:rPr>
          <w:rtl/>
        </w:rPr>
        <w:t>آینده‌نگاری</w:t>
      </w:r>
      <w:r w:rsidRPr="0025250D">
        <w:rPr>
          <w:rFonts w:hint="cs"/>
          <w:rtl/>
        </w:rPr>
        <w:t xml:space="preserve"> و </w:t>
      </w:r>
      <w:r w:rsidR="00701E03" w:rsidRPr="0025250D">
        <w:rPr>
          <w:rFonts w:hint="cs"/>
          <w:rtl/>
        </w:rPr>
        <w:t>راهبرد</w:t>
      </w:r>
      <w:r w:rsidRPr="0025250D">
        <w:rPr>
          <w:rFonts w:hint="cs"/>
          <w:rtl/>
        </w:rPr>
        <w:t xml:space="preserve"> خوبی ایجاد </w:t>
      </w:r>
      <w:r w:rsidR="007118DE" w:rsidRPr="0025250D">
        <w:rPr>
          <w:rFonts w:hint="cs"/>
          <w:rtl/>
        </w:rPr>
        <w:t>کرده‌اند</w:t>
      </w:r>
      <w:r w:rsidRPr="0025250D">
        <w:rPr>
          <w:rFonts w:hint="cs"/>
          <w:rtl/>
        </w:rPr>
        <w:t xml:space="preserve">، در طی تاریخ ایجاد نشده است. اکنون زمان بسیار جذابی برای متخصصین </w:t>
      </w:r>
      <w:r w:rsidRPr="0025250D">
        <w:rPr>
          <w:rtl/>
        </w:rPr>
        <w:t>آینده‌نگاری</w:t>
      </w:r>
      <w:r w:rsidRPr="0025250D">
        <w:rPr>
          <w:rFonts w:hint="cs"/>
          <w:rtl/>
        </w:rPr>
        <w:t xml:space="preserve"> است. ما می‌توانیم مسیری به سمت بلوغ این زمینه ببینیم.</w:t>
      </w:r>
    </w:p>
    <w:p w14:paraId="5D626915" w14:textId="77777777" w:rsidR="00537CC8" w:rsidRPr="0025250D" w:rsidRDefault="00537CC8" w:rsidP="00537CC8">
      <w:pPr>
        <w:rPr>
          <w:rtl/>
        </w:rPr>
      </w:pPr>
    </w:p>
    <w:p w14:paraId="236629DD" w14:textId="77777777" w:rsidR="00537CC8" w:rsidRPr="0025250D" w:rsidRDefault="00537CC8" w:rsidP="00537CC8">
      <w:pPr>
        <w:rPr>
          <w:rtl/>
        </w:rPr>
      </w:pPr>
    </w:p>
    <w:p w14:paraId="2160D7F5" w14:textId="77777777" w:rsidR="00537CC8" w:rsidRPr="0025250D" w:rsidRDefault="00537CC8" w:rsidP="00537CC8">
      <w:pPr>
        <w:rPr>
          <w:rtl/>
        </w:rPr>
      </w:pPr>
    </w:p>
    <w:p w14:paraId="1B498F39" w14:textId="77777777" w:rsidR="00537CC8" w:rsidRPr="0025250D" w:rsidRDefault="00537CC8" w:rsidP="00537CC8">
      <w:pPr>
        <w:rPr>
          <w:rtl/>
        </w:rPr>
      </w:pPr>
    </w:p>
    <w:p w14:paraId="7008408A" w14:textId="77777777" w:rsidR="00537CC8" w:rsidRPr="0025250D" w:rsidRDefault="00537CC8" w:rsidP="00537CC8">
      <w:pPr>
        <w:rPr>
          <w:rtl/>
        </w:rPr>
      </w:pPr>
    </w:p>
    <w:p w14:paraId="7331E589" w14:textId="77777777" w:rsidR="00537CC8" w:rsidRPr="0025250D" w:rsidRDefault="00537CC8" w:rsidP="00C65749">
      <w:pPr>
        <w:pStyle w:val="Heading2"/>
        <w:rPr>
          <w:rtl/>
        </w:rPr>
      </w:pPr>
      <w:bookmarkStart w:id="31" w:name="_Toc127831296"/>
      <w:r w:rsidRPr="0025250D">
        <w:rPr>
          <w:rFonts w:hint="cs"/>
          <w:rtl/>
        </w:rPr>
        <w:t xml:space="preserve">راز آشکار </w:t>
      </w:r>
      <w:r w:rsidRPr="0025250D">
        <w:rPr>
          <w:rtl/>
        </w:rPr>
        <w:t>آینده‌نگاری</w:t>
      </w:r>
      <w:bookmarkEnd w:id="31"/>
    </w:p>
    <w:p w14:paraId="5C3FBCDE" w14:textId="740FB7AD" w:rsidR="00537CC8" w:rsidRPr="0025250D" w:rsidRDefault="00537CC8" w:rsidP="00537CC8">
      <w:pPr>
        <w:rPr>
          <w:rtl/>
        </w:rPr>
      </w:pPr>
      <w:r w:rsidRPr="0025250D">
        <w:rPr>
          <w:rFonts w:hint="cs"/>
          <w:rtl/>
        </w:rPr>
        <w:t xml:space="preserve">راز آشکار </w:t>
      </w:r>
      <w:r w:rsidRPr="0025250D">
        <w:rPr>
          <w:rtl/>
        </w:rPr>
        <w:t>آینده‌نگاری</w:t>
      </w:r>
      <w:r w:rsidRPr="0025250D">
        <w:rPr>
          <w:rFonts w:hint="cs"/>
          <w:rtl/>
        </w:rPr>
        <w:t xml:space="preserve"> این است که تنها تا حدی ارزشمند است. هر یک از مهارت‌ها، مدل‌ها و روش‌های آن می‌توانند به سرعت به تلف کردن وقت و پول کارسپاران تبدیل شوند. درمورد روش‌ها و محصولات </w:t>
      </w:r>
      <w:r w:rsidRPr="0025250D">
        <w:rPr>
          <w:rtl/>
        </w:rPr>
        <w:t>آینده‌نگاری</w:t>
      </w:r>
      <w:r w:rsidRPr="0025250D">
        <w:rPr>
          <w:rFonts w:hint="cs"/>
          <w:rtl/>
        </w:rPr>
        <w:t xml:space="preserve">، ممکن است ارزش </w:t>
      </w:r>
      <w:r w:rsidR="00701E03" w:rsidRPr="0025250D">
        <w:rPr>
          <w:rFonts w:hint="cs"/>
          <w:rtl/>
        </w:rPr>
        <w:t>راهبردی</w:t>
      </w:r>
      <w:r w:rsidRPr="0025250D">
        <w:rPr>
          <w:rFonts w:hint="cs"/>
          <w:rtl/>
        </w:rPr>
        <w:t xml:space="preserve"> اندکی در فرایند تفکر، روش یا نوع کاری که توسط کارسپار ما درخواست شده، وجود داشته باشد. همچنین، ممکن است کارسپار ما اصلا</w:t>
      </w:r>
      <w:r w:rsidR="0008779C" w:rsidRPr="0025250D">
        <w:rPr>
          <w:rFonts w:hint="cs"/>
          <w:rtl/>
        </w:rPr>
        <w:t>ً</w:t>
      </w:r>
      <w:r w:rsidRPr="0025250D">
        <w:rPr>
          <w:rFonts w:hint="cs"/>
          <w:rtl/>
        </w:rPr>
        <w:t xml:space="preserve"> نتواند بر حسب </w:t>
      </w:r>
      <w:r w:rsidRPr="0025250D">
        <w:rPr>
          <w:rtl/>
        </w:rPr>
        <w:t>آینده‌نگاری</w:t>
      </w:r>
      <w:r w:rsidRPr="0025250D">
        <w:rPr>
          <w:rFonts w:hint="cs"/>
          <w:rtl/>
        </w:rPr>
        <w:t xml:space="preserve"> ایجاد شده عمل نماید که یک مشکل بنیادی است که باید از آن نام برد و آن را اصلاح کرد. در چنین مواردی، تلاشی که باید انج</w:t>
      </w:r>
      <w:r w:rsidR="0008779C" w:rsidRPr="0025250D">
        <w:rPr>
          <w:rFonts w:hint="cs"/>
          <w:rtl/>
        </w:rPr>
        <w:t>ا</w:t>
      </w:r>
      <w:r w:rsidRPr="0025250D">
        <w:rPr>
          <w:rFonts w:hint="cs"/>
          <w:rtl/>
        </w:rPr>
        <w:t>م دهیم،</w:t>
      </w:r>
      <w:r w:rsidR="00EE4B64" w:rsidRPr="0025250D">
        <w:rPr>
          <w:rFonts w:hint="cs"/>
          <w:rtl/>
        </w:rPr>
        <w:t xml:space="preserve"> نمی‌</w:t>
      </w:r>
      <w:r w:rsidRPr="0025250D">
        <w:rPr>
          <w:rFonts w:hint="cs"/>
          <w:rtl/>
        </w:rPr>
        <w:t>تواند با یک تحلیل منفعت-هزینه</w:t>
      </w:r>
      <w:r w:rsidRPr="0025250D">
        <w:rPr>
          <w:vertAlign w:val="superscript"/>
          <w:rtl/>
        </w:rPr>
        <w:footnoteReference w:id="1059"/>
      </w:r>
      <w:r w:rsidRPr="0025250D">
        <w:rPr>
          <w:rFonts w:hint="cs"/>
          <w:rtl/>
        </w:rPr>
        <w:t xml:space="preserve"> </w:t>
      </w:r>
      <w:r w:rsidR="0008779C" w:rsidRPr="0025250D">
        <w:rPr>
          <w:rFonts w:hint="cs"/>
          <w:rtl/>
        </w:rPr>
        <w:t>واقع‌گرا</w:t>
      </w:r>
      <w:r w:rsidRPr="0025250D">
        <w:rPr>
          <w:rFonts w:hint="cs"/>
          <w:rtl/>
        </w:rPr>
        <w:t xml:space="preserve">یانه توجیه شود. هر مهارت، مدل یا روشی </w:t>
      </w:r>
      <w:r w:rsidRPr="0025250D">
        <w:rPr>
          <w:rFonts w:cs="Times New Roman" w:hint="cs"/>
          <w:rtl/>
        </w:rPr>
        <w:t>–</w:t>
      </w:r>
      <w:r w:rsidRPr="0025250D">
        <w:rPr>
          <w:rFonts w:hint="cs"/>
          <w:rtl/>
        </w:rPr>
        <w:t xml:space="preserve"> چه در </w:t>
      </w:r>
      <w:r w:rsidRPr="0025250D">
        <w:rPr>
          <w:rtl/>
        </w:rPr>
        <w:t>آینده‌نگاری</w:t>
      </w:r>
      <w:r w:rsidRPr="0025250D">
        <w:rPr>
          <w:rFonts w:hint="cs"/>
          <w:rtl/>
        </w:rPr>
        <w:t xml:space="preserve"> و چه در عمل </w:t>
      </w:r>
      <w:r w:rsidRPr="0025250D">
        <w:rPr>
          <w:rFonts w:cs="Times New Roman" w:hint="cs"/>
          <w:rtl/>
        </w:rPr>
        <w:t>–</w:t>
      </w:r>
      <w:r w:rsidRPr="0025250D">
        <w:rPr>
          <w:rFonts w:hint="cs"/>
          <w:rtl/>
        </w:rPr>
        <w:t xml:space="preserve"> ارزش رو به کاهشی در اثر نادیده گرفتن موارد دیگر ایجاد می‌کند.</w:t>
      </w:r>
    </w:p>
    <w:p w14:paraId="143D737B" w14:textId="0D226784" w:rsidR="00537CC8" w:rsidRPr="0025250D" w:rsidRDefault="00537CC8" w:rsidP="00537CC8">
      <w:pPr>
        <w:rPr>
          <w:rtl/>
        </w:rPr>
      </w:pPr>
      <w:r w:rsidRPr="0025250D">
        <w:rPr>
          <w:rFonts w:hint="cs"/>
          <w:rtl/>
        </w:rPr>
        <w:t>هم برای افراد و هم برای تیم‌ها، صرف زمان زیاد برای اندیشیدن در مورد گذشته یا تفکر درمورد آینده ساده است. همه</w:t>
      </w:r>
      <w:r w:rsidRPr="0025250D">
        <w:rPr>
          <w:rFonts w:hint="cs"/>
        </w:rPr>
        <w:t>‌</w:t>
      </w:r>
      <w:r w:rsidRPr="0025250D">
        <w:rPr>
          <w:rFonts w:hint="cs"/>
          <w:rtl/>
        </w:rPr>
        <w:t xml:space="preserve"> ما می‌دانیم که </w:t>
      </w:r>
      <w:r w:rsidR="00B124DE" w:rsidRPr="0025250D">
        <w:rPr>
          <w:rFonts w:hint="cs"/>
          <w:rtl/>
        </w:rPr>
        <w:t>برنامه‌ریزی</w:t>
      </w:r>
      <w:r w:rsidRPr="0025250D">
        <w:rPr>
          <w:rFonts w:hint="cs"/>
          <w:rtl/>
        </w:rPr>
        <w:t xml:space="preserve">، زمانی که خیلی زودتر از حد لازم انجام شود یا بیش از حد دارای جزئیات باشد، می‌تواند تنها یک اتلاف وقت باشد. درمورد روش‌های </w:t>
      </w:r>
      <w:r w:rsidRPr="0025250D">
        <w:rPr>
          <w:rtl/>
        </w:rPr>
        <w:t>آینده‌نگاری</w:t>
      </w:r>
      <w:r w:rsidRPr="0025250D">
        <w:rPr>
          <w:rFonts w:hint="cs"/>
          <w:rtl/>
        </w:rPr>
        <w:t xml:space="preserve"> دیگر نیز همینطور است. به شکل </w:t>
      </w:r>
      <w:r w:rsidR="0008779C" w:rsidRPr="0025250D">
        <w:rPr>
          <w:rFonts w:hint="cs"/>
          <w:rtl/>
        </w:rPr>
        <w:t>ایدئال</w:t>
      </w:r>
      <w:r w:rsidRPr="0025250D">
        <w:rPr>
          <w:rFonts w:hint="cs"/>
          <w:rtl/>
        </w:rPr>
        <w:t xml:space="preserve">، ما از گذشته اندیشی و </w:t>
      </w:r>
      <w:r w:rsidR="00B124DE" w:rsidRPr="0025250D">
        <w:rPr>
          <w:rFonts w:hint="cs"/>
          <w:rtl/>
        </w:rPr>
        <w:t>آینده‌اندیش</w:t>
      </w:r>
      <w:r w:rsidRPr="0025250D">
        <w:rPr>
          <w:rFonts w:hint="cs"/>
          <w:rtl/>
        </w:rPr>
        <w:t>ی برای بهبود ظرفیت خود برای عملکرد بهتر در زمان حال بهره می‌گیریم. تقویت و گسترش درک ما از زمان حال و ظرفیت</w:t>
      </w:r>
      <w:r w:rsidR="0008779C" w:rsidRPr="0025250D">
        <w:rPr>
          <w:rFonts w:hint="cs"/>
          <w:rtl/>
        </w:rPr>
        <w:t>‌</w:t>
      </w:r>
      <w:r w:rsidRPr="0025250D">
        <w:rPr>
          <w:rFonts w:hint="cs"/>
          <w:rtl/>
        </w:rPr>
        <w:t xml:space="preserve">مان برای عملکرد خوب، هدف زمانی کار </w:t>
      </w:r>
      <w:r w:rsidRPr="0025250D">
        <w:rPr>
          <w:rtl/>
        </w:rPr>
        <w:t>آینده‌نگاری</w:t>
      </w:r>
      <w:r w:rsidRPr="0025250D">
        <w:rPr>
          <w:vertAlign w:val="superscript"/>
          <w:rtl/>
        </w:rPr>
        <w:footnoteReference w:id="1060"/>
      </w:r>
      <w:r w:rsidRPr="0025250D">
        <w:rPr>
          <w:rFonts w:hint="cs"/>
          <w:rtl/>
        </w:rPr>
        <w:t xml:space="preserve"> است. هر سه </w:t>
      </w:r>
      <w:r w:rsidR="00CF59DF" w:rsidRPr="0025250D">
        <w:rPr>
          <w:rFonts w:hint="cs"/>
          <w:rtl/>
        </w:rPr>
        <w:t>جهت‌گیری</w:t>
      </w:r>
      <w:r w:rsidRPr="0025250D">
        <w:rPr>
          <w:rFonts w:hint="cs"/>
          <w:rtl/>
        </w:rPr>
        <w:t xml:space="preserve"> زمانی باید به شکل فعال، برای </w:t>
      </w:r>
      <w:r w:rsidR="00B124DE" w:rsidRPr="0025250D">
        <w:rPr>
          <w:rFonts w:hint="cs"/>
          <w:rtl/>
        </w:rPr>
        <w:t>انطباق‌پذیر</w:t>
      </w:r>
      <w:r w:rsidRPr="0025250D">
        <w:rPr>
          <w:rFonts w:hint="cs"/>
          <w:rtl/>
        </w:rPr>
        <w:t>ی در زمان حال و آینده مدیریت شوند.</w:t>
      </w:r>
    </w:p>
    <w:p w14:paraId="1483FF91" w14:textId="54288754" w:rsidR="00537CC8" w:rsidRPr="0025250D" w:rsidRDefault="00537CC8" w:rsidP="00537CC8">
      <w:pPr>
        <w:rPr>
          <w:rtl/>
        </w:rPr>
      </w:pPr>
      <w:r w:rsidRPr="0025250D">
        <w:rPr>
          <w:rFonts w:hint="cs"/>
          <w:rtl/>
        </w:rPr>
        <w:t xml:space="preserve">کارگزاران خوب به کارسپاران خود این راز آشکار را یادآوری می‌کنند: آن‌ها به کارسپاران خود کمک می‌کنند که خودشان دریابند که چه زمانی دیگر کار </w:t>
      </w:r>
      <w:r w:rsidRPr="0025250D">
        <w:rPr>
          <w:rtl/>
        </w:rPr>
        <w:t>آینده‌نگاری</w:t>
      </w:r>
      <w:r w:rsidRPr="0025250D">
        <w:rPr>
          <w:rFonts w:hint="cs"/>
          <w:rtl/>
        </w:rPr>
        <w:t xml:space="preserve"> ارزشمند نیست و زمان تغییر رویه فرا رسیده است. به طور خلاصه، توصیف خواهیم کرد که مهارت‌های </w:t>
      </w:r>
      <w:r w:rsidRPr="0025250D">
        <w:rPr>
          <w:rtl/>
        </w:rPr>
        <w:t>آینده‌نگاری</w:t>
      </w:r>
      <w:r w:rsidRPr="0025250D">
        <w:rPr>
          <w:rFonts w:hint="cs"/>
          <w:rtl/>
        </w:rPr>
        <w:t xml:space="preserve"> ما باید دائما در مقابل مهارت‌های عملی، در صورتی که بخواهیم </w:t>
      </w:r>
      <w:r w:rsidR="00B124DE" w:rsidRPr="0025250D">
        <w:rPr>
          <w:rFonts w:hint="cs"/>
          <w:rtl/>
        </w:rPr>
        <w:t>انطباق‌پذیر</w:t>
      </w:r>
      <w:r w:rsidRPr="0025250D">
        <w:rPr>
          <w:rFonts w:hint="cs"/>
          <w:rtl/>
        </w:rPr>
        <w:t xml:space="preserve"> باقی بمانیم، متوازن شوند.</w:t>
      </w:r>
    </w:p>
    <w:p w14:paraId="26F014E6" w14:textId="525FEA9C" w:rsidR="00537CC8" w:rsidRPr="0025250D" w:rsidRDefault="007118DE" w:rsidP="00537CC8">
      <w:pPr>
        <w:rPr>
          <w:rtl/>
        </w:rPr>
      </w:pPr>
      <w:r w:rsidRPr="0025250D">
        <w:rPr>
          <w:rFonts w:hint="cs"/>
          <w:rtl/>
        </w:rPr>
        <w:t>همان‌طور</w:t>
      </w:r>
      <w:r w:rsidR="00537CC8" w:rsidRPr="0025250D">
        <w:rPr>
          <w:rFonts w:hint="cs"/>
          <w:rtl/>
        </w:rPr>
        <w:t xml:space="preserve"> که خواهیم دید، برخی اوقات به این موارد نیاز داریم:</w:t>
      </w:r>
    </w:p>
    <w:p w14:paraId="635E905F" w14:textId="1BB1E182" w:rsidR="00537CC8" w:rsidRPr="0025250D" w:rsidRDefault="00537CC8" w:rsidP="00492C47">
      <w:pPr>
        <w:numPr>
          <w:ilvl w:val="0"/>
          <w:numId w:val="25"/>
        </w:numPr>
      </w:pPr>
      <w:r w:rsidRPr="0025250D">
        <w:rPr>
          <w:rFonts w:hint="cs"/>
          <w:rtl/>
        </w:rPr>
        <w:t>درک بهتر از گذشته یا آینده (مهارت یادگیری)،</w:t>
      </w:r>
    </w:p>
    <w:p w14:paraId="3DD57E07" w14:textId="6F9A512A" w:rsidR="00537CC8" w:rsidRPr="0025250D" w:rsidRDefault="00FB6A7E" w:rsidP="00492C47">
      <w:pPr>
        <w:numPr>
          <w:ilvl w:val="0"/>
          <w:numId w:val="25"/>
        </w:numPr>
      </w:pPr>
      <w:r w:rsidRPr="0025250D">
        <w:rPr>
          <w:rFonts w:hint="cs"/>
          <w:rtl/>
        </w:rPr>
        <w:t>پیش‌نگری</w:t>
      </w:r>
      <w:r w:rsidR="00537CC8" w:rsidRPr="0025250D">
        <w:rPr>
          <w:rFonts w:hint="cs"/>
          <w:rtl/>
        </w:rPr>
        <w:t xml:space="preserve"> یا </w:t>
      </w:r>
      <w:r w:rsidR="00D92F6E" w:rsidRPr="0025250D">
        <w:rPr>
          <w:rFonts w:hint="cs"/>
          <w:rtl/>
        </w:rPr>
        <w:t>پیش‌بین</w:t>
      </w:r>
      <w:r w:rsidR="00537CC8" w:rsidRPr="0025250D">
        <w:rPr>
          <w:rFonts w:hint="cs"/>
          <w:rtl/>
        </w:rPr>
        <w:t xml:space="preserve">ی آنچه احتمالا پس از این رخ خواهد داد (مهارت </w:t>
      </w:r>
      <w:r w:rsidR="00923DDB" w:rsidRPr="0025250D">
        <w:rPr>
          <w:rFonts w:hint="cs"/>
          <w:rtl/>
        </w:rPr>
        <w:t>پیش‌انگاری</w:t>
      </w:r>
      <w:r w:rsidR="00537CC8" w:rsidRPr="0025250D">
        <w:rPr>
          <w:rFonts w:hint="cs"/>
          <w:rtl/>
        </w:rPr>
        <w:t>)</w:t>
      </w:r>
    </w:p>
    <w:p w14:paraId="4250B380" w14:textId="687E8E1A" w:rsidR="00537CC8" w:rsidRPr="0025250D" w:rsidRDefault="00537CC8" w:rsidP="00492C47">
      <w:pPr>
        <w:numPr>
          <w:ilvl w:val="0"/>
          <w:numId w:val="25"/>
        </w:numPr>
      </w:pPr>
      <w:r w:rsidRPr="0025250D">
        <w:rPr>
          <w:rtl/>
        </w:rPr>
        <w:t xml:space="preserve">تصور </w:t>
      </w:r>
      <w:r w:rsidRPr="0025250D">
        <w:rPr>
          <w:rFonts w:hint="cs"/>
          <w:rtl/>
        </w:rPr>
        <w:t>ی</w:t>
      </w:r>
      <w:r w:rsidRPr="0025250D">
        <w:rPr>
          <w:rFonts w:hint="eastAsia"/>
          <w:rtl/>
        </w:rPr>
        <w:t>ا</w:t>
      </w:r>
      <w:r w:rsidRPr="0025250D">
        <w:rPr>
          <w:rtl/>
        </w:rPr>
        <w:t xml:space="preserve"> طراح</w:t>
      </w:r>
      <w:r w:rsidRPr="0025250D">
        <w:rPr>
          <w:rFonts w:hint="cs"/>
          <w:rtl/>
        </w:rPr>
        <w:t>ی</w:t>
      </w:r>
      <w:r w:rsidRPr="0025250D">
        <w:rPr>
          <w:rtl/>
        </w:rPr>
        <w:t xml:space="preserve"> </w:t>
      </w:r>
      <w:r w:rsidRPr="0025250D">
        <w:rPr>
          <w:rFonts w:hint="cs"/>
          <w:rtl/>
        </w:rPr>
        <w:t xml:space="preserve">موارد </w:t>
      </w:r>
      <w:r w:rsidR="00B453C0" w:rsidRPr="0025250D">
        <w:rPr>
          <w:rtl/>
        </w:rPr>
        <w:t>امکان‌پذیر</w:t>
      </w:r>
      <w:r w:rsidRPr="0025250D">
        <w:rPr>
          <w:rFonts w:hint="cs"/>
          <w:rtl/>
        </w:rPr>
        <w:t xml:space="preserve"> جدید</w:t>
      </w:r>
      <w:r w:rsidRPr="0025250D">
        <w:rPr>
          <w:rtl/>
        </w:rPr>
        <w:t xml:space="preserve"> (مهارت نوآور</w:t>
      </w:r>
      <w:r w:rsidRPr="0025250D">
        <w:rPr>
          <w:rFonts w:hint="cs"/>
          <w:rtl/>
        </w:rPr>
        <w:t>ی</w:t>
      </w:r>
      <w:r w:rsidRPr="0025250D">
        <w:rPr>
          <w:rtl/>
        </w:rPr>
        <w:t>)</w:t>
      </w:r>
    </w:p>
    <w:p w14:paraId="2D0310FD" w14:textId="29670EA6" w:rsidR="00537CC8" w:rsidRPr="0025250D" w:rsidRDefault="00B56611" w:rsidP="00492C47">
      <w:pPr>
        <w:numPr>
          <w:ilvl w:val="0"/>
          <w:numId w:val="25"/>
        </w:numPr>
      </w:pPr>
      <w:r w:rsidRPr="0025250D">
        <w:rPr>
          <w:rFonts w:hint="cs"/>
          <w:rtl/>
        </w:rPr>
        <w:t>چشم‌انداز</w:t>
      </w:r>
      <w:r w:rsidR="00537CC8" w:rsidRPr="0025250D">
        <w:rPr>
          <w:rFonts w:hint="cs"/>
          <w:rtl/>
        </w:rPr>
        <w:t xml:space="preserve">‌ها، سیاست‌ها و برنامه‌های بهتر (مهارت </w:t>
      </w:r>
      <w:r w:rsidR="00701E03" w:rsidRPr="0025250D">
        <w:rPr>
          <w:rFonts w:hint="cs"/>
          <w:rtl/>
        </w:rPr>
        <w:t>راهبرد</w:t>
      </w:r>
      <w:r w:rsidR="00537CC8" w:rsidRPr="0025250D">
        <w:rPr>
          <w:rFonts w:hint="cs"/>
          <w:rtl/>
        </w:rPr>
        <w:t>)</w:t>
      </w:r>
    </w:p>
    <w:p w14:paraId="69AF8B6E" w14:textId="1224EBB5" w:rsidR="00537CC8" w:rsidRPr="0025250D" w:rsidRDefault="00537CC8" w:rsidP="00492C47">
      <w:pPr>
        <w:numPr>
          <w:ilvl w:val="0"/>
          <w:numId w:val="25"/>
        </w:numPr>
      </w:pPr>
      <w:r w:rsidRPr="0025250D">
        <w:rPr>
          <w:rFonts w:hint="cs"/>
          <w:rtl/>
        </w:rPr>
        <w:t>اقدام کردن (مهارت اجرا)</w:t>
      </w:r>
    </w:p>
    <w:p w14:paraId="0E84ECC8" w14:textId="73ECE009" w:rsidR="00537CC8" w:rsidRPr="0025250D" w:rsidRDefault="00537CC8" w:rsidP="00492C47">
      <w:pPr>
        <w:numPr>
          <w:ilvl w:val="0"/>
          <w:numId w:val="25"/>
        </w:numPr>
      </w:pPr>
      <w:r w:rsidRPr="0025250D">
        <w:rPr>
          <w:rFonts w:hint="cs"/>
          <w:rtl/>
        </w:rPr>
        <w:t xml:space="preserve">هماهنگی بهتر با ذینفعان (مهارت </w:t>
      </w:r>
      <w:r w:rsidR="0008779C" w:rsidRPr="0025250D">
        <w:rPr>
          <w:rFonts w:hint="cs"/>
          <w:rtl/>
        </w:rPr>
        <w:t>تاثیرگذاری</w:t>
      </w:r>
      <w:r w:rsidRPr="0025250D">
        <w:rPr>
          <w:rFonts w:hint="cs"/>
          <w:rtl/>
        </w:rPr>
        <w:t>)</w:t>
      </w:r>
    </w:p>
    <w:p w14:paraId="1C7C64C3" w14:textId="45B3D54D" w:rsidR="00537CC8" w:rsidRPr="0025250D" w:rsidRDefault="00537CC8" w:rsidP="00492C47">
      <w:pPr>
        <w:numPr>
          <w:ilvl w:val="0"/>
          <w:numId w:val="25"/>
        </w:numPr>
      </w:pPr>
      <w:r w:rsidRPr="0025250D">
        <w:rPr>
          <w:rFonts w:hint="cs"/>
          <w:rtl/>
        </w:rPr>
        <w:t xml:space="preserve">مراقبت و </w:t>
      </w:r>
      <w:r w:rsidR="00A20CCB" w:rsidRPr="0025250D">
        <w:rPr>
          <w:rFonts w:hint="cs"/>
          <w:rtl/>
        </w:rPr>
        <w:t>به‌روزرسانی</w:t>
      </w:r>
      <w:r w:rsidRPr="0025250D">
        <w:rPr>
          <w:rFonts w:hint="cs"/>
          <w:rtl/>
        </w:rPr>
        <w:t xml:space="preserve"> تیم هایمان (مهارت </w:t>
      </w:r>
      <w:r w:rsidR="0008779C" w:rsidRPr="0025250D">
        <w:rPr>
          <w:rFonts w:hint="cs"/>
          <w:rtl/>
        </w:rPr>
        <w:t>ارتباط‌دهی</w:t>
      </w:r>
      <w:r w:rsidRPr="0025250D">
        <w:rPr>
          <w:rFonts w:hint="cs"/>
          <w:rtl/>
        </w:rPr>
        <w:t>)</w:t>
      </w:r>
    </w:p>
    <w:p w14:paraId="6B3257D7" w14:textId="058A9220" w:rsidR="00537CC8" w:rsidRPr="0025250D" w:rsidRDefault="00537CC8" w:rsidP="00492C47">
      <w:pPr>
        <w:numPr>
          <w:ilvl w:val="0"/>
          <w:numId w:val="25"/>
        </w:numPr>
        <w:rPr>
          <w:rtl/>
        </w:rPr>
      </w:pPr>
      <w:r w:rsidRPr="0025250D">
        <w:rPr>
          <w:rFonts w:hint="cs"/>
          <w:rtl/>
        </w:rPr>
        <w:t>بازخورد</w:t>
      </w:r>
      <w:r w:rsidR="0008779C" w:rsidRPr="0025250D">
        <w:rPr>
          <w:rFonts w:hint="cs"/>
          <w:rtl/>
        </w:rPr>
        <w:t xml:space="preserve"> بیش‌تر</w:t>
      </w:r>
      <w:r w:rsidRPr="0025250D">
        <w:rPr>
          <w:rFonts w:hint="cs"/>
          <w:rtl/>
        </w:rPr>
        <w:t xml:space="preserve"> درمورد فعالیت‌های اخیر و تحلیل آن‌ها (مهارت بازبینی).</w:t>
      </w:r>
    </w:p>
    <w:p w14:paraId="0560CC7E" w14:textId="7BE9F75C" w:rsidR="00537CC8" w:rsidRPr="0025250D" w:rsidRDefault="00537CC8" w:rsidP="00537CC8">
      <w:pPr>
        <w:rPr>
          <w:rtl/>
        </w:rPr>
      </w:pPr>
      <w:r w:rsidRPr="0025250D">
        <w:rPr>
          <w:rFonts w:hint="cs"/>
          <w:rtl/>
        </w:rPr>
        <w:t>همه</w:t>
      </w:r>
      <w:r w:rsidRPr="0025250D">
        <w:rPr>
          <w:rFonts w:hint="cs"/>
        </w:rPr>
        <w:t>‌</w:t>
      </w:r>
      <w:r w:rsidRPr="0025250D">
        <w:rPr>
          <w:rFonts w:hint="cs"/>
          <w:rtl/>
        </w:rPr>
        <w:t xml:space="preserve"> این هشت مهارت برای موفقیت لازم هستند. برای سادگی، ما چهار مورد اول را مهارت‌های </w:t>
      </w:r>
      <w:r w:rsidRPr="0025250D">
        <w:rPr>
          <w:rtl/>
        </w:rPr>
        <w:t>آینده‌نگاری</w:t>
      </w:r>
      <w:r w:rsidRPr="0025250D">
        <w:rPr>
          <w:vertAlign w:val="superscript"/>
          <w:rtl/>
        </w:rPr>
        <w:footnoteReference w:id="1061"/>
      </w:r>
      <w:r w:rsidRPr="0025250D">
        <w:rPr>
          <w:rFonts w:hint="cs"/>
          <w:rtl/>
        </w:rPr>
        <w:t xml:space="preserve"> می‌نامیم که اکنون آن‌ها را مورد بحث قرار خواهیم داد و چهار مهارت دوم را مهارت‌های عملی</w:t>
      </w:r>
      <w:r w:rsidRPr="0025250D">
        <w:rPr>
          <w:vertAlign w:val="superscript"/>
          <w:rtl/>
        </w:rPr>
        <w:footnoteReference w:id="1062"/>
      </w:r>
      <w:r w:rsidRPr="0025250D">
        <w:rPr>
          <w:rFonts w:hint="cs"/>
          <w:rtl/>
        </w:rPr>
        <w:t xml:space="preserve"> می‌نامیم که پس از آن به آن‌ها خواهیم پرداخت. این مهارت‌ها با هم به عنوان یک گروه به منظور </w:t>
      </w:r>
      <w:r w:rsidR="00B124DE" w:rsidRPr="0025250D">
        <w:rPr>
          <w:rFonts w:hint="cs"/>
          <w:rtl/>
        </w:rPr>
        <w:t>انطباق‌پذیر</w:t>
      </w:r>
      <w:r w:rsidRPr="0025250D">
        <w:rPr>
          <w:rFonts w:hint="cs"/>
          <w:rtl/>
        </w:rPr>
        <w:t xml:space="preserve">تر ساختن تیم‌ها و شرکت‌ها کار می‌کنند. یادگیری برای بقا و ترقی، در هر محیطی، هدف نهایی کار </w:t>
      </w:r>
      <w:r w:rsidRPr="0025250D">
        <w:rPr>
          <w:rtl/>
        </w:rPr>
        <w:t>آینده‌نگاری</w:t>
      </w:r>
      <w:r w:rsidRPr="0025250D">
        <w:rPr>
          <w:rFonts w:hint="cs"/>
          <w:rtl/>
        </w:rPr>
        <w:t xml:space="preserve"> و زندگی است.</w:t>
      </w:r>
    </w:p>
    <w:p w14:paraId="6D91BB23" w14:textId="77777777" w:rsidR="00537CC8" w:rsidRPr="0025250D" w:rsidRDefault="00537CC8" w:rsidP="00537CC8">
      <w:pPr>
        <w:rPr>
          <w:rtl/>
        </w:rPr>
      </w:pPr>
    </w:p>
    <w:p w14:paraId="0AC524DB" w14:textId="77777777" w:rsidR="00537CC8" w:rsidRPr="0025250D" w:rsidRDefault="00537CC8" w:rsidP="00537CC8">
      <w:pPr>
        <w:rPr>
          <w:rtl/>
        </w:rPr>
      </w:pPr>
    </w:p>
    <w:p w14:paraId="482391D7" w14:textId="77777777" w:rsidR="00537CC8" w:rsidRPr="0025250D" w:rsidRDefault="00537CC8" w:rsidP="00537CC8">
      <w:pPr>
        <w:rPr>
          <w:rtl/>
        </w:rPr>
      </w:pPr>
    </w:p>
    <w:p w14:paraId="179ECC5C" w14:textId="77777777" w:rsidR="00537CC8" w:rsidRPr="0025250D" w:rsidRDefault="00537CC8" w:rsidP="00537CC8">
      <w:pPr>
        <w:rPr>
          <w:rtl/>
        </w:rPr>
      </w:pPr>
    </w:p>
    <w:p w14:paraId="4212A470" w14:textId="77777777" w:rsidR="00537CC8" w:rsidRPr="0025250D" w:rsidRDefault="00537CC8" w:rsidP="00537CC8">
      <w:pPr>
        <w:rPr>
          <w:rtl/>
        </w:rPr>
      </w:pPr>
    </w:p>
    <w:p w14:paraId="603B2D4F" w14:textId="77777777" w:rsidR="00537CC8" w:rsidRPr="0025250D" w:rsidRDefault="00537CC8" w:rsidP="00537CC8">
      <w:pPr>
        <w:rPr>
          <w:rtl/>
        </w:rPr>
      </w:pPr>
    </w:p>
    <w:p w14:paraId="59461A9F" w14:textId="77777777" w:rsidR="00537CC8" w:rsidRPr="0025250D" w:rsidRDefault="00537CC8" w:rsidP="00537CC8">
      <w:pPr>
        <w:rPr>
          <w:rtl/>
        </w:rPr>
      </w:pPr>
    </w:p>
    <w:p w14:paraId="71782751" w14:textId="77777777" w:rsidR="00537CC8" w:rsidRPr="0025250D" w:rsidRDefault="00537CC8" w:rsidP="00537CC8">
      <w:pPr>
        <w:rPr>
          <w:rtl/>
        </w:rPr>
      </w:pPr>
    </w:p>
    <w:p w14:paraId="29893B4C" w14:textId="77777777" w:rsidR="00537CC8" w:rsidRPr="0025250D" w:rsidRDefault="00537CC8" w:rsidP="00537CC8">
      <w:pPr>
        <w:rPr>
          <w:rtl/>
        </w:rPr>
      </w:pPr>
    </w:p>
    <w:p w14:paraId="10B4A99B" w14:textId="77777777" w:rsidR="00537CC8" w:rsidRPr="0025250D" w:rsidRDefault="00537CC8" w:rsidP="00537CC8">
      <w:pPr>
        <w:rPr>
          <w:rtl/>
        </w:rPr>
      </w:pPr>
    </w:p>
    <w:p w14:paraId="00C6FC22" w14:textId="372B2F21" w:rsidR="00537CC8" w:rsidRPr="0025250D" w:rsidRDefault="00537CC8" w:rsidP="00C65749">
      <w:pPr>
        <w:pStyle w:val="Heading2"/>
        <w:rPr>
          <w:rtl/>
        </w:rPr>
      </w:pPr>
      <w:bookmarkStart w:id="32" w:name="_Toc127831297"/>
      <w:r w:rsidRPr="0025250D">
        <w:t>LAIS</w:t>
      </w:r>
      <w:r w:rsidRPr="0025250D">
        <w:rPr>
          <w:rFonts w:hint="cs"/>
          <w:rtl/>
        </w:rPr>
        <w:t xml:space="preserve">: چهار مهارت </w:t>
      </w:r>
      <w:r w:rsidRPr="0025250D">
        <w:rPr>
          <w:rtl/>
        </w:rPr>
        <w:t>آینده‌نگاری</w:t>
      </w:r>
      <w:r w:rsidRPr="0025250D">
        <w:rPr>
          <w:rFonts w:hint="cs"/>
          <w:rtl/>
        </w:rPr>
        <w:t xml:space="preserve"> </w:t>
      </w:r>
      <w:r w:rsidR="00701E03" w:rsidRPr="0025250D">
        <w:rPr>
          <w:rFonts w:hint="cs"/>
          <w:rtl/>
        </w:rPr>
        <w:t>راهبردی</w:t>
      </w:r>
      <w:bookmarkEnd w:id="32"/>
    </w:p>
    <w:p w14:paraId="6CC36756" w14:textId="2A1EAE1E" w:rsidR="00537CC8" w:rsidRPr="0025250D" w:rsidRDefault="00537CC8" w:rsidP="00537CC8">
      <w:pPr>
        <w:rPr>
          <w:rtl/>
        </w:rPr>
      </w:pPr>
      <w:r w:rsidRPr="0025250D">
        <w:rPr>
          <w:rFonts w:hint="cs"/>
          <w:rtl/>
        </w:rPr>
        <w:t>اکنون بیایید نگاهی نزدیک</w:t>
      </w:r>
      <w:r w:rsidR="0008779C" w:rsidRPr="0025250D">
        <w:rPr>
          <w:rFonts w:hint="cs"/>
          <w:rtl/>
        </w:rPr>
        <w:t>‌</w:t>
      </w:r>
      <w:r w:rsidRPr="0025250D">
        <w:rPr>
          <w:rFonts w:hint="cs"/>
          <w:rtl/>
        </w:rPr>
        <w:t xml:space="preserve">تر به چهار مهارت کار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داشته باشیم. آن‌ها ساده ترین مدل‌هایی هستند که ما برای تفکر درمورد شایستگی‌های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توصیه می‌کنیم. هیچ متن </w:t>
      </w:r>
      <w:r w:rsidRPr="0025250D">
        <w:rPr>
          <w:rtl/>
        </w:rPr>
        <w:t>آینده‌نگاری</w:t>
      </w:r>
      <w:r w:rsidRPr="0025250D">
        <w:rPr>
          <w:rFonts w:hint="cs"/>
          <w:rtl/>
        </w:rPr>
        <w:t xml:space="preserve"> دیگری</w:t>
      </w:r>
      <w:r w:rsidR="00EE4B64" w:rsidRPr="0025250D">
        <w:rPr>
          <w:rFonts w:hint="cs"/>
          <w:rtl/>
        </w:rPr>
        <w:t xml:space="preserve"> نمی‌</w:t>
      </w:r>
      <w:r w:rsidRPr="0025250D">
        <w:rPr>
          <w:rFonts w:hint="cs"/>
          <w:rtl/>
        </w:rPr>
        <w:t xml:space="preserve">شناسیم که هم اکنون از این مدل استفاده </w:t>
      </w:r>
      <w:r w:rsidR="0008779C" w:rsidRPr="0025250D">
        <w:rPr>
          <w:rFonts w:hint="cs"/>
          <w:rtl/>
        </w:rPr>
        <w:t>نماید</w:t>
      </w:r>
      <w:r w:rsidRPr="0025250D">
        <w:rPr>
          <w:rFonts w:hint="cs"/>
          <w:rtl/>
        </w:rPr>
        <w:t>. امیدواریم که این مدل مورد اقبال</w:t>
      </w:r>
      <w:r w:rsidR="0008779C" w:rsidRPr="0025250D">
        <w:rPr>
          <w:rFonts w:hint="cs"/>
          <w:rtl/>
        </w:rPr>
        <w:t xml:space="preserve"> بیش‌تر</w:t>
      </w:r>
      <w:r w:rsidRPr="0025250D">
        <w:rPr>
          <w:rFonts w:hint="cs"/>
          <w:rtl/>
        </w:rPr>
        <w:t>ی در مدیریت و رهبری در سال‌های آینده قرار گیرد.</w:t>
      </w:r>
    </w:p>
    <w:p w14:paraId="1F6036EC" w14:textId="69C46E10" w:rsidR="00537CC8" w:rsidRPr="0025250D" w:rsidRDefault="00537CC8" w:rsidP="00537CC8">
      <w:pPr>
        <w:rPr>
          <w:rtl/>
        </w:rPr>
      </w:pPr>
      <w:r w:rsidRPr="0025250D">
        <w:rPr>
          <w:rFonts w:hint="cs"/>
          <w:rtl/>
        </w:rPr>
        <w:t xml:space="preserve">یک تعریف سریع و مختصر از </w:t>
      </w:r>
      <w:r w:rsidRPr="0025250D">
        <w:rPr>
          <w:rtl/>
        </w:rPr>
        <w:t>آینده‌نگاری</w:t>
      </w:r>
      <w:r w:rsidRPr="0025250D">
        <w:rPr>
          <w:rFonts w:hint="cs"/>
          <w:rtl/>
        </w:rPr>
        <w:t xml:space="preserve"> که توسط </w:t>
      </w:r>
      <w:r w:rsidRPr="0025250D">
        <w:rPr>
          <w:rtl/>
        </w:rPr>
        <w:t>پ</w:t>
      </w:r>
      <w:r w:rsidRPr="0025250D">
        <w:rPr>
          <w:rFonts w:hint="cs"/>
          <w:rtl/>
        </w:rPr>
        <w:t>ی</w:t>
      </w:r>
      <w:r w:rsidRPr="0025250D">
        <w:rPr>
          <w:rFonts w:hint="eastAsia"/>
          <w:rtl/>
        </w:rPr>
        <w:t>تر</w:t>
      </w:r>
      <w:r w:rsidRPr="0025250D">
        <w:rPr>
          <w:rtl/>
        </w:rPr>
        <w:t xml:space="preserve"> ب</w:t>
      </w:r>
      <w:r w:rsidRPr="0025250D">
        <w:rPr>
          <w:rFonts w:hint="cs"/>
          <w:rtl/>
        </w:rPr>
        <w:t>ی</w:t>
      </w:r>
      <w:r w:rsidRPr="0025250D">
        <w:rPr>
          <w:rFonts w:hint="eastAsia"/>
          <w:rtl/>
        </w:rPr>
        <w:t>شاپ</w:t>
      </w:r>
      <w:r w:rsidRPr="0025250D">
        <w:rPr>
          <w:rFonts w:hint="cs"/>
          <w:rtl/>
        </w:rPr>
        <w:t xml:space="preserve"> استاد بازنشسته</w:t>
      </w:r>
      <w:r w:rsidRPr="0025250D">
        <w:rPr>
          <w:rFonts w:hint="cs"/>
        </w:rPr>
        <w:t>‌</w:t>
      </w:r>
      <w:r w:rsidRPr="0025250D">
        <w:rPr>
          <w:rFonts w:hint="cs"/>
          <w:rtl/>
        </w:rPr>
        <w:t xml:space="preserve"> </w:t>
      </w:r>
      <w:r w:rsidRPr="0025250D">
        <w:rPr>
          <w:rtl/>
        </w:rPr>
        <w:t>دانشگاه ه</w:t>
      </w:r>
      <w:r w:rsidRPr="0025250D">
        <w:rPr>
          <w:rFonts w:hint="cs"/>
          <w:rtl/>
        </w:rPr>
        <w:t>ی</w:t>
      </w:r>
      <w:r w:rsidRPr="0025250D">
        <w:rPr>
          <w:rFonts w:hint="eastAsia"/>
          <w:rtl/>
        </w:rPr>
        <w:t>وستون</w:t>
      </w:r>
      <w:r w:rsidRPr="0025250D">
        <w:rPr>
          <w:vertAlign w:val="superscript"/>
          <w:rtl/>
        </w:rPr>
        <w:footnoteReference w:id="1063"/>
      </w:r>
      <w:r w:rsidRPr="0025250D">
        <w:rPr>
          <w:rFonts w:hint="cs"/>
          <w:rtl/>
        </w:rPr>
        <w:t xml:space="preserve"> ارائه شده است، این است که </w:t>
      </w:r>
      <w:r w:rsidR="0063099E" w:rsidRPr="0025250D">
        <w:rPr>
          <w:rtl/>
        </w:rPr>
        <w:t>«</w:t>
      </w:r>
      <w:r w:rsidRPr="0025250D">
        <w:rPr>
          <w:rtl/>
        </w:rPr>
        <w:t>آینده‌نگاری</w:t>
      </w:r>
      <w:r w:rsidRPr="0025250D">
        <w:rPr>
          <w:rFonts w:hint="cs"/>
          <w:rtl/>
        </w:rPr>
        <w:t xml:space="preserve"> هر کاری است که پیش از </w:t>
      </w:r>
      <w:r w:rsidR="00701E03" w:rsidRPr="0025250D">
        <w:rPr>
          <w:rFonts w:hint="cs"/>
          <w:rtl/>
        </w:rPr>
        <w:t>راهبرد</w:t>
      </w:r>
      <w:r w:rsidRPr="0025250D">
        <w:rPr>
          <w:rFonts w:hint="cs"/>
          <w:rtl/>
        </w:rPr>
        <w:t xml:space="preserve"> انجام می‌دهیم</w:t>
      </w:r>
      <w:r w:rsidR="0063099E" w:rsidRPr="0025250D">
        <w:rPr>
          <w:rtl/>
        </w:rPr>
        <w:t>»</w:t>
      </w:r>
      <w:r w:rsidRPr="0025250D">
        <w:rPr>
          <w:rFonts w:hint="cs"/>
          <w:rtl/>
        </w:rPr>
        <w:t xml:space="preserve">. </w:t>
      </w:r>
      <w:r w:rsidRPr="0025250D">
        <w:rPr>
          <w:rtl/>
        </w:rPr>
        <w:t>ب</w:t>
      </w:r>
      <w:r w:rsidRPr="0025250D">
        <w:rPr>
          <w:rFonts w:hint="cs"/>
          <w:rtl/>
        </w:rPr>
        <w:t>ی</w:t>
      </w:r>
      <w:r w:rsidRPr="0025250D">
        <w:rPr>
          <w:rFonts w:hint="eastAsia"/>
          <w:rtl/>
        </w:rPr>
        <w:t>شاپ</w:t>
      </w:r>
      <w:r w:rsidRPr="0025250D">
        <w:rPr>
          <w:rFonts w:hint="cs"/>
          <w:rtl/>
        </w:rPr>
        <w:t xml:space="preserve"> به ما یادآوری می‌کند این که </w:t>
      </w:r>
      <w:r w:rsidRPr="0025250D">
        <w:rPr>
          <w:rtl/>
        </w:rPr>
        <w:t>آینده‌نگاری</w:t>
      </w:r>
      <w:r w:rsidRPr="0025250D">
        <w:rPr>
          <w:rFonts w:hint="cs"/>
          <w:rtl/>
        </w:rPr>
        <w:t xml:space="preserve"> در حقیقت با </w:t>
      </w:r>
      <w:r w:rsidR="00701E03" w:rsidRPr="0025250D">
        <w:rPr>
          <w:rFonts w:hint="cs"/>
          <w:rtl/>
        </w:rPr>
        <w:t>راهبرد</w:t>
      </w:r>
      <w:r w:rsidRPr="0025250D">
        <w:rPr>
          <w:rFonts w:hint="cs"/>
          <w:rtl/>
        </w:rPr>
        <w:t xml:space="preserve"> پایان می‌یابد، از نظر فنی درست نیست، اما یک شیوه مناسب برای معرفی سریع ارزش کارمان است. بسیاری از دانشگاه‌ها </w:t>
      </w:r>
      <w:r w:rsidR="00701E03" w:rsidRPr="0025250D">
        <w:rPr>
          <w:rFonts w:hint="cs"/>
          <w:rtl/>
        </w:rPr>
        <w:t>راهبرد</w:t>
      </w:r>
      <w:r w:rsidRPr="0025250D">
        <w:rPr>
          <w:rFonts w:hint="cs"/>
          <w:rtl/>
        </w:rPr>
        <w:t xml:space="preserve"> و </w:t>
      </w:r>
      <w:r w:rsidR="00B124DE" w:rsidRPr="0025250D">
        <w:rPr>
          <w:rFonts w:hint="cs"/>
          <w:rtl/>
        </w:rPr>
        <w:t>برنامه‌ریزی</w:t>
      </w:r>
      <w:r w:rsidRPr="0025250D">
        <w:rPr>
          <w:rFonts w:hint="cs"/>
          <w:rtl/>
        </w:rPr>
        <w:t xml:space="preserve"> را آموزش می‌دهند. بسیاری از شرکت‌های بزرگ یک واحد </w:t>
      </w:r>
      <w:r w:rsidR="00701E03" w:rsidRPr="0025250D">
        <w:rPr>
          <w:rFonts w:hint="cs"/>
          <w:rtl/>
        </w:rPr>
        <w:t>راهبرد</w:t>
      </w:r>
      <w:r w:rsidRPr="0025250D">
        <w:rPr>
          <w:rFonts w:hint="cs"/>
          <w:rtl/>
        </w:rPr>
        <w:t xml:space="preserve"> دارند</w:t>
      </w:r>
      <w:r w:rsidR="008D6F97" w:rsidRPr="0025250D">
        <w:rPr>
          <w:rtl/>
        </w:rPr>
        <w:t xml:space="preserve">؛ </w:t>
      </w:r>
      <w:r w:rsidRPr="0025250D">
        <w:rPr>
          <w:rFonts w:hint="cs"/>
          <w:rtl/>
        </w:rPr>
        <w:t xml:space="preserve">اما آموزشگاه‌های اندکی مجموعه‌ای رسمی از اقدامات را که به عنوان درونداد </w:t>
      </w:r>
      <w:r w:rsidR="00701E03" w:rsidRPr="0025250D">
        <w:rPr>
          <w:rFonts w:hint="cs"/>
          <w:rtl/>
        </w:rPr>
        <w:t>راهبرد</w:t>
      </w:r>
      <w:r w:rsidRPr="0025250D">
        <w:rPr>
          <w:rFonts w:hint="cs"/>
          <w:rtl/>
        </w:rPr>
        <w:t xml:space="preserve"> انجام می‌شوند و می‌توانند </w:t>
      </w:r>
      <w:r w:rsidR="00701E03" w:rsidRPr="0025250D">
        <w:rPr>
          <w:rFonts w:hint="cs"/>
          <w:rtl/>
        </w:rPr>
        <w:t>راهبرد</w:t>
      </w:r>
      <w:r w:rsidRPr="0025250D">
        <w:rPr>
          <w:rFonts w:hint="cs"/>
          <w:rtl/>
        </w:rPr>
        <w:t xml:space="preserve"> ما را به شکل قابل اتکایی نسبت به آینده آگاه</w:t>
      </w:r>
      <w:r w:rsidR="0008779C" w:rsidRPr="0025250D">
        <w:rPr>
          <w:rFonts w:hint="cs"/>
          <w:rtl/>
        </w:rPr>
        <w:t>‌</w:t>
      </w:r>
      <w:r w:rsidRPr="0025250D">
        <w:rPr>
          <w:rFonts w:hint="cs"/>
          <w:rtl/>
        </w:rPr>
        <w:t xml:space="preserve">تر و </w:t>
      </w:r>
      <w:r w:rsidR="0008779C" w:rsidRPr="0025250D">
        <w:rPr>
          <w:rFonts w:hint="cs"/>
          <w:rtl/>
        </w:rPr>
        <w:t>تاب‌آور</w:t>
      </w:r>
      <w:r w:rsidRPr="0025250D">
        <w:rPr>
          <w:rFonts w:hint="cs"/>
          <w:rtl/>
        </w:rPr>
        <w:t>تر سازند، آموزش داده و تعداد اندکی از سازمان‌ها از آن استفاده می‌کنند</w:t>
      </w:r>
      <w:r w:rsidR="008D6F97" w:rsidRPr="0025250D">
        <w:rPr>
          <w:rtl/>
        </w:rPr>
        <w:t xml:space="preserve">؛ </w:t>
      </w:r>
      <w:r w:rsidRPr="0025250D">
        <w:rPr>
          <w:rFonts w:hint="cs"/>
          <w:rtl/>
        </w:rPr>
        <w:t xml:space="preserve">مانند اصطلاح </w:t>
      </w:r>
      <w:r w:rsidR="0063099E" w:rsidRPr="0025250D">
        <w:rPr>
          <w:rtl/>
        </w:rPr>
        <w:t>«</w:t>
      </w:r>
      <w:r w:rsidRPr="0025250D">
        <w:rPr>
          <w:rtl/>
        </w:rPr>
        <w:t>آینده‌نگاری</w:t>
      </w:r>
      <w:r w:rsidRPr="0025250D">
        <w:rPr>
          <w:rFonts w:hint="cs"/>
          <w:rtl/>
        </w:rPr>
        <w:t xml:space="preserve"> </w:t>
      </w:r>
      <w:r w:rsidR="00701E03" w:rsidRPr="0025250D">
        <w:rPr>
          <w:rFonts w:hint="cs"/>
          <w:rtl/>
        </w:rPr>
        <w:t>راهبردی</w:t>
      </w:r>
      <w:r w:rsidR="0063099E" w:rsidRPr="0025250D">
        <w:rPr>
          <w:rtl/>
        </w:rPr>
        <w:t>»</w:t>
      </w:r>
      <w:r w:rsidRPr="0025250D">
        <w:rPr>
          <w:rFonts w:hint="cs"/>
          <w:rtl/>
        </w:rPr>
        <w:t xml:space="preserve">، تعریف سریع و مختصر </w:t>
      </w:r>
      <w:r w:rsidRPr="0025250D">
        <w:rPr>
          <w:rtl/>
        </w:rPr>
        <w:t>ب</w:t>
      </w:r>
      <w:r w:rsidRPr="0025250D">
        <w:rPr>
          <w:rFonts w:hint="cs"/>
          <w:rtl/>
        </w:rPr>
        <w:t>ی</w:t>
      </w:r>
      <w:r w:rsidRPr="0025250D">
        <w:rPr>
          <w:rFonts w:hint="eastAsia"/>
          <w:rtl/>
        </w:rPr>
        <w:t>شاپ</w:t>
      </w:r>
      <w:r w:rsidRPr="0025250D">
        <w:rPr>
          <w:rFonts w:hint="cs"/>
          <w:rtl/>
        </w:rPr>
        <w:t xml:space="preserve"> یک خلاصه</w:t>
      </w:r>
      <w:r w:rsidRPr="0025250D">
        <w:rPr>
          <w:rFonts w:hint="cs"/>
        </w:rPr>
        <w:t>‌</w:t>
      </w:r>
      <w:r w:rsidRPr="0025250D">
        <w:rPr>
          <w:rFonts w:hint="cs"/>
          <w:rtl/>
        </w:rPr>
        <w:t xml:space="preserve"> هوشمندانه</w:t>
      </w:r>
      <w:r w:rsidRPr="0025250D">
        <w:rPr>
          <w:rFonts w:hint="cs"/>
        </w:rPr>
        <w:t>‌</w:t>
      </w:r>
      <w:r w:rsidRPr="0025250D">
        <w:rPr>
          <w:rFonts w:hint="cs"/>
          <w:rtl/>
        </w:rPr>
        <w:t xml:space="preserve"> تک جمله‌ای از جایگاه مناسب زمینه</w:t>
      </w:r>
      <w:r w:rsidRPr="0025250D">
        <w:rPr>
          <w:rFonts w:hint="cs"/>
        </w:rPr>
        <w:t>‌</w:t>
      </w:r>
      <w:r w:rsidRPr="0025250D">
        <w:rPr>
          <w:rFonts w:hint="cs"/>
          <w:rtl/>
        </w:rPr>
        <w:t xml:space="preserve"> ما در مدیریت </w:t>
      </w:r>
      <w:r w:rsidR="00701E03" w:rsidRPr="0025250D">
        <w:rPr>
          <w:rFonts w:hint="cs"/>
          <w:rtl/>
        </w:rPr>
        <w:t>راهبرد</w:t>
      </w:r>
      <w:r w:rsidRPr="0025250D">
        <w:rPr>
          <w:rFonts w:hint="cs"/>
          <w:rtl/>
        </w:rPr>
        <w:t xml:space="preserve"> و ارزش کار ما است.</w:t>
      </w:r>
    </w:p>
    <w:p w14:paraId="4927B14F" w14:textId="77777777" w:rsidR="00537CC8" w:rsidRPr="0025250D" w:rsidRDefault="00537CC8" w:rsidP="00C65749">
      <w:pPr>
        <w:jc w:val="center"/>
        <w:rPr>
          <w:rtl/>
        </w:rPr>
      </w:pPr>
      <w:r w:rsidRPr="0025250D">
        <w:rPr>
          <w:noProof/>
          <w:lang w:bidi="ar-SA"/>
        </w:rPr>
        <w:drawing>
          <wp:inline distT="0" distB="0" distL="0" distR="0" wp14:anchorId="0E5B6B97" wp14:editId="2419700A">
            <wp:extent cx="1614114" cy="1694820"/>
            <wp:effectExtent l="0" t="0" r="5715" b="63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BEBA8EAE-BF5A-486C-A8C5-ECC9F3942E4B}">
                          <a14:imgProps xmlns:a14="http://schemas.microsoft.com/office/drawing/2010/main">
                            <a14:imgLayer r:embed="rId101">
                              <a14:imgEffect>
                                <a14:saturation sat="0"/>
                              </a14:imgEffect>
                            </a14:imgLayer>
                          </a14:imgProps>
                        </a:ext>
                      </a:extLst>
                    </a:blip>
                    <a:stretch>
                      <a:fillRect/>
                    </a:stretch>
                  </pic:blipFill>
                  <pic:spPr>
                    <a:xfrm>
                      <a:off x="0" y="0"/>
                      <a:ext cx="1619647" cy="1700630"/>
                    </a:xfrm>
                    <a:prstGeom prst="rect">
                      <a:avLst/>
                    </a:prstGeom>
                  </pic:spPr>
                </pic:pic>
              </a:graphicData>
            </a:graphic>
          </wp:inline>
        </w:drawing>
      </w:r>
    </w:p>
    <w:p w14:paraId="12C9F8AC" w14:textId="77777777" w:rsidR="00537CC8" w:rsidRPr="0025250D" w:rsidRDefault="00537CC8" w:rsidP="00C65749">
      <w:pPr>
        <w:jc w:val="center"/>
        <w:rPr>
          <w:rtl/>
        </w:rPr>
      </w:pPr>
      <w:r w:rsidRPr="0025250D">
        <w:rPr>
          <w:rFonts w:hint="cs"/>
          <w:rtl/>
        </w:rPr>
        <w:t>پیتر بیشاپ</w:t>
      </w:r>
    </w:p>
    <w:p w14:paraId="69559135" w14:textId="144DBE62" w:rsidR="00537CC8" w:rsidRPr="0025250D" w:rsidRDefault="00537CC8" w:rsidP="00537CC8">
      <w:pPr>
        <w:rPr>
          <w:rtl/>
        </w:rPr>
      </w:pPr>
      <w:r w:rsidRPr="0025250D">
        <w:rPr>
          <w:rFonts w:hint="cs"/>
          <w:rtl/>
        </w:rPr>
        <w:t xml:space="preserve">نامیدن </w:t>
      </w:r>
      <w:r w:rsidRPr="0025250D">
        <w:rPr>
          <w:rtl/>
        </w:rPr>
        <w:t>آینده‌نگاری</w:t>
      </w:r>
      <w:r w:rsidRPr="0025250D">
        <w:rPr>
          <w:rFonts w:hint="cs"/>
          <w:rtl/>
        </w:rPr>
        <w:t xml:space="preserve"> به عنوان </w:t>
      </w:r>
      <w:r w:rsidR="0063099E" w:rsidRPr="0025250D">
        <w:rPr>
          <w:rtl/>
        </w:rPr>
        <w:t>«</w:t>
      </w:r>
      <w:r w:rsidRPr="0025250D">
        <w:rPr>
          <w:rFonts w:hint="cs"/>
          <w:rtl/>
          <w:lang w:bidi="ar-SA"/>
        </w:rPr>
        <w:t>خط مقدم</w:t>
      </w:r>
      <w:r w:rsidRPr="0025250D">
        <w:rPr>
          <w:rFonts w:hint="cs"/>
          <w:rtl/>
        </w:rPr>
        <w:t xml:space="preserve"> </w:t>
      </w:r>
      <w:r w:rsidR="00701E03" w:rsidRPr="0025250D">
        <w:rPr>
          <w:rFonts w:hint="cs"/>
          <w:rtl/>
        </w:rPr>
        <w:t>راهبرد</w:t>
      </w:r>
      <w:r w:rsidRPr="0025250D">
        <w:rPr>
          <w:vertAlign w:val="superscript"/>
          <w:rtl/>
        </w:rPr>
        <w:footnoteReference w:id="1064"/>
      </w:r>
      <w:r w:rsidR="0063099E" w:rsidRPr="0025250D">
        <w:rPr>
          <w:rtl/>
        </w:rPr>
        <w:t>»</w:t>
      </w:r>
      <w:r w:rsidRPr="0025250D">
        <w:rPr>
          <w:rFonts w:hint="cs"/>
          <w:rtl/>
        </w:rPr>
        <w:t xml:space="preserve"> به کارسپاران ما کمک می‌کند که دریابند اگر کاری را پیش از ورود به کار </w:t>
      </w:r>
      <w:r w:rsidR="00701E03" w:rsidRPr="0025250D">
        <w:rPr>
          <w:rFonts w:hint="cs"/>
          <w:rtl/>
        </w:rPr>
        <w:t>راهبرد</w:t>
      </w:r>
      <w:r w:rsidRPr="0025250D">
        <w:rPr>
          <w:rFonts w:hint="cs"/>
          <w:rtl/>
        </w:rPr>
        <w:t xml:space="preserve"> انجام ندهند </w:t>
      </w:r>
      <w:r w:rsidRPr="0025250D">
        <w:rPr>
          <w:rFonts w:cs="Times New Roman" w:hint="cs"/>
          <w:rtl/>
        </w:rPr>
        <w:t>–</w:t>
      </w:r>
      <w:r w:rsidRPr="0025250D">
        <w:rPr>
          <w:rFonts w:hint="cs"/>
          <w:rtl/>
        </w:rPr>
        <w:t xml:space="preserve"> و اکثر تیم‌ها این کار را انجام</w:t>
      </w:r>
      <w:r w:rsidR="00EE4B64" w:rsidRPr="0025250D">
        <w:rPr>
          <w:rFonts w:hint="cs"/>
          <w:rtl/>
        </w:rPr>
        <w:t xml:space="preserve"> نمی‌</w:t>
      </w:r>
      <w:r w:rsidRPr="0025250D">
        <w:rPr>
          <w:rFonts w:hint="cs"/>
          <w:rtl/>
        </w:rPr>
        <w:t xml:space="preserve">دهند </w:t>
      </w:r>
      <w:r w:rsidRPr="0025250D">
        <w:rPr>
          <w:rFonts w:cs="Times New Roman" w:hint="cs"/>
          <w:rtl/>
        </w:rPr>
        <w:t>–</w:t>
      </w:r>
      <w:r w:rsidRPr="0025250D">
        <w:rPr>
          <w:rFonts w:hint="cs"/>
          <w:rtl/>
        </w:rPr>
        <w:t xml:space="preserve"> مجموعه</w:t>
      </w:r>
      <w:r w:rsidRPr="0025250D">
        <w:rPr>
          <w:rFonts w:hint="cs"/>
        </w:rPr>
        <w:t>‌</w:t>
      </w:r>
      <w:r w:rsidRPr="0025250D">
        <w:rPr>
          <w:rFonts w:hint="cs"/>
          <w:rtl/>
        </w:rPr>
        <w:t xml:space="preserve"> کاملی از اقداماتی را که می‌توانند به شدت </w:t>
      </w:r>
      <w:r w:rsidR="0008779C" w:rsidRPr="0025250D">
        <w:rPr>
          <w:rFonts w:hint="cs"/>
          <w:rtl/>
        </w:rPr>
        <w:t>تصمیم‌گیری</w:t>
      </w:r>
      <w:r w:rsidRPr="0025250D">
        <w:rPr>
          <w:rFonts w:hint="cs"/>
          <w:rtl/>
        </w:rPr>
        <w:t xml:space="preserve"> و نتایج آن‌ها را بهبود بخشند، از دست می‌دهند. این اقدامات در طول 60 سال گذشته توسعه </w:t>
      </w:r>
      <w:r w:rsidR="0008779C" w:rsidRPr="0025250D">
        <w:rPr>
          <w:rFonts w:hint="cs"/>
          <w:rtl/>
        </w:rPr>
        <w:t>یافته‌اند</w:t>
      </w:r>
      <w:r w:rsidRPr="0025250D">
        <w:rPr>
          <w:rFonts w:hint="cs"/>
          <w:rtl/>
        </w:rPr>
        <w:t xml:space="preserve"> و همان چیزی هستند که ما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می‌نامیم.</w:t>
      </w:r>
    </w:p>
    <w:p w14:paraId="12B09D56" w14:textId="1ED6A0FD" w:rsidR="00537CC8" w:rsidRPr="0025250D" w:rsidRDefault="00537CC8" w:rsidP="00537CC8">
      <w:pPr>
        <w:rPr>
          <w:rtl/>
        </w:rPr>
      </w:pPr>
      <w:r w:rsidRPr="0025250D">
        <w:rPr>
          <w:rFonts w:hint="cs"/>
          <w:rtl/>
        </w:rPr>
        <w:t xml:space="preserve">از نظر فنی، می‌توانیم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را به عنوان </w:t>
      </w:r>
      <w:r w:rsidR="00B124DE" w:rsidRPr="0025250D">
        <w:rPr>
          <w:rFonts w:hint="cs"/>
          <w:rtl/>
        </w:rPr>
        <w:t>آینده‌اندیش</w:t>
      </w:r>
      <w:r w:rsidRPr="0025250D">
        <w:rPr>
          <w:rFonts w:hint="cs"/>
          <w:rtl/>
        </w:rPr>
        <w:t xml:space="preserve">ی‌ای دارای پتانسیل (ظرفیت) لازم، در صورت اقدام برحسب آن (با استفاده از مهارت‌های عملی)، برای </w:t>
      </w:r>
      <w:r w:rsidR="00B124DE" w:rsidRPr="0025250D">
        <w:rPr>
          <w:rFonts w:hint="cs"/>
          <w:rtl/>
        </w:rPr>
        <w:t>انطباق‌پذیر</w:t>
      </w:r>
      <w:r w:rsidRPr="0025250D">
        <w:rPr>
          <w:rFonts w:hint="cs"/>
          <w:rtl/>
        </w:rPr>
        <w:t>تر یا موفق</w:t>
      </w:r>
      <w:r w:rsidR="0008779C" w:rsidRPr="0025250D">
        <w:rPr>
          <w:rFonts w:hint="cs"/>
          <w:rtl/>
        </w:rPr>
        <w:t>‌</w:t>
      </w:r>
      <w:r w:rsidRPr="0025250D">
        <w:rPr>
          <w:rFonts w:hint="cs"/>
          <w:rtl/>
        </w:rPr>
        <w:t>تر ساختن یک بازیگر (فرد، تیم، سازمان، جامعه) تعریف کنیم. در ترکیبی از حلقه</w:t>
      </w:r>
      <w:r w:rsidRPr="0025250D">
        <w:rPr>
          <w:rFonts w:hint="cs"/>
        </w:rPr>
        <w:t>‌</w:t>
      </w:r>
      <w:r w:rsidRPr="0025250D">
        <w:rPr>
          <w:rFonts w:hint="cs"/>
          <w:rtl/>
        </w:rPr>
        <w:t xml:space="preserve"> انجام و هرم </w:t>
      </w:r>
      <w:r w:rsidRPr="0025250D">
        <w:rPr>
          <w:rtl/>
        </w:rPr>
        <w:t>آینده‌نگاری</w:t>
      </w:r>
      <w:r w:rsidRPr="0025250D">
        <w:rPr>
          <w:rFonts w:hint="cs"/>
          <w:rtl/>
        </w:rPr>
        <w:t xml:space="preserve">، آینده‌نگاری </w:t>
      </w:r>
      <w:r w:rsidR="00701E03" w:rsidRPr="0025250D">
        <w:rPr>
          <w:rFonts w:hint="cs"/>
          <w:rtl/>
        </w:rPr>
        <w:t>راهبردی</w:t>
      </w:r>
      <w:r w:rsidRPr="0025250D">
        <w:rPr>
          <w:rFonts w:hint="cs"/>
          <w:rtl/>
        </w:rPr>
        <w:t xml:space="preserve"> به حداقل چهار مهارت نیاز دارد:</w:t>
      </w:r>
    </w:p>
    <w:p w14:paraId="1C90A21E" w14:textId="7BCE28A6" w:rsidR="00537CC8" w:rsidRPr="0025250D" w:rsidRDefault="00537CC8" w:rsidP="00492C47">
      <w:pPr>
        <w:numPr>
          <w:ilvl w:val="0"/>
          <w:numId w:val="26"/>
        </w:numPr>
      </w:pPr>
      <w:r w:rsidRPr="0025250D">
        <w:rPr>
          <w:rFonts w:hint="cs"/>
          <w:rtl/>
        </w:rPr>
        <w:t>یادگیری (گذشته و حال مرتبط)</w:t>
      </w:r>
    </w:p>
    <w:p w14:paraId="73A82360" w14:textId="4AEE9BFA" w:rsidR="00537CC8" w:rsidRPr="0025250D" w:rsidRDefault="00923DDB" w:rsidP="00492C47">
      <w:pPr>
        <w:numPr>
          <w:ilvl w:val="0"/>
          <w:numId w:val="26"/>
        </w:numPr>
      </w:pPr>
      <w:r w:rsidRPr="0025250D">
        <w:rPr>
          <w:rFonts w:hint="cs"/>
          <w:rtl/>
        </w:rPr>
        <w:t>پیش‌انگاری</w:t>
      </w:r>
      <w:r w:rsidR="00537CC8" w:rsidRPr="0025250D">
        <w:rPr>
          <w:rFonts w:hint="cs"/>
          <w:rtl/>
        </w:rPr>
        <w:t xml:space="preserve"> (موارد محتمل مرتبط)</w:t>
      </w:r>
    </w:p>
    <w:p w14:paraId="146208D9" w14:textId="06882439" w:rsidR="00537CC8" w:rsidRPr="0025250D" w:rsidRDefault="00537CC8" w:rsidP="00492C47">
      <w:pPr>
        <w:numPr>
          <w:ilvl w:val="0"/>
          <w:numId w:val="26"/>
        </w:numPr>
      </w:pPr>
      <w:r w:rsidRPr="0025250D">
        <w:rPr>
          <w:rFonts w:hint="cs"/>
          <w:rtl/>
        </w:rPr>
        <w:t xml:space="preserve">نوآوری (موارد </w:t>
      </w:r>
      <w:r w:rsidR="0008779C" w:rsidRPr="0025250D">
        <w:rPr>
          <w:rFonts w:hint="cs"/>
          <w:rtl/>
        </w:rPr>
        <w:t>ممکن</w:t>
      </w:r>
      <w:r w:rsidRPr="0025250D">
        <w:rPr>
          <w:rFonts w:hint="cs"/>
          <w:rtl/>
        </w:rPr>
        <w:t xml:space="preserve"> مرتبط)</w:t>
      </w:r>
    </w:p>
    <w:p w14:paraId="0FFA20C3" w14:textId="69B9CEE9" w:rsidR="00537CC8" w:rsidRPr="0025250D" w:rsidRDefault="00701E03" w:rsidP="00492C47">
      <w:pPr>
        <w:numPr>
          <w:ilvl w:val="0"/>
          <w:numId w:val="26"/>
        </w:numPr>
      </w:pPr>
      <w:r w:rsidRPr="0025250D">
        <w:rPr>
          <w:rFonts w:hint="cs"/>
          <w:rtl/>
        </w:rPr>
        <w:t>راهبرد</w:t>
      </w:r>
      <w:r w:rsidR="00537CC8" w:rsidRPr="0025250D">
        <w:rPr>
          <w:rFonts w:hint="cs"/>
          <w:rtl/>
        </w:rPr>
        <w:t xml:space="preserve"> (موارد مرجح و قابل اجتناب).</w:t>
      </w:r>
    </w:p>
    <w:p w14:paraId="09C78799" w14:textId="1B602541" w:rsidR="00537CC8" w:rsidRPr="0025250D" w:rsidRDefault="00537CC8" w:rsidP="00537CC8">
      <w:pPr>
        <w:rPr>
          <w:rtl/>
        </w:rPr>
      </w:pPr>
      <w:r w:rsidRPr="0025250D">
        <w:rPr>
          <w:rFonts w:hint="cs"/>
          <w:rtl/>
        </w:rPr>
        <w:t>ما کلمه</w:t>
      </w:r>
      <w:r w:rsidR="0008779C" w:rsidRPr="0025250D">
        <w:rPr>
          <w:rFonts w:hint="cs"/>
          <w:rtl/>
        </w:rPr>
        <w:t xml:space="preserve"> </w:t>
      </w:r>
      <w:r w:rsidRPr="0025250D">
        <w:rPr>
          <w:rFonts w:hint="cs"/>
        </w:rPr>
        <w:t>‌</w:t>
      </w:r>
      <w:r w:rsidRPr="0025250D">
        <w:t>LAIS</w:t>
      </w:r>
      <w:r w:rsidRPr="0025250D">
        <w:rPr>
          <w:rFonts w:hint="cs"/>
          <w:rtl/>
        </w:rPr>
        <w:t xml:space="preserve"> که مخفف یادگیری، </w:t>
      </w:r>
      <w:r w:rsidR="00923DDB" w:rsidRPr="0025250D">
        <w:rPr>
          <w:rFonts w:hint="cs"/>
          <w:rtl/>
        </w:rPr>
        <w:t>پیش‌انگاری</w:t>
      </w:r>
      <w:r w:rsidRPr="0025250D">
        <w:rPr>
          <w:rFonts w:hint="cs"/>
          <w:rtl/>
        </w:rPr>
        <w:t xml:space="preserve">، نوآوری و </w:t>
      </w:r>
      <w:r w:rsidR="00701E03" w:rsidRPr="0025250D">
        <w:rPr>
          <w:rFonts w:hint="cs"/>
          <w:rtl/>
        </w:rPr>
        <w:t>راهبرد</w:t>
      </w:r>
      <w:r w:rsidRPr="0025250D">
        <w:rPr>
          <w:vertAlign w:val="superscript"/>
          <w:rtl/>
        </w:rPr>
        <w:footnoteReference w:id="1065"/>
      </w:r>
      <w:r w:rsidRPr="0025250D">
        <w:rPr>
          <w:rFonts w:hint="cs"/>
          <w:rtl/>
        </w:rPr>
        <w:t xml:space="preserve"> است را برای این چهار مهارت به کار می‌بریم. تقسیم </w:t>
      </w:r>
      <w:r w:rsidR="00701E03" w:rsidRPr="0025250D">
        <w:rPr>
          <w:rFonts w:hint="cs"/>
          <w:rtl/>
        </w:rPr>
        <w:t>راهبرد</w:t>
      </w:r>
      <w:r w:rsidRPr="0025250D">
        <w:rPr>
          <w:rFonts w:hint="cs"/>
          <w:rtl/>
        </w:rPr>
        <w:t xml:space="preserve"> به </w:t>
      </w:r>
      <w:r w:rsidR="002B6515" w:rsidRPr="0025250D">
        <w:rPr>
          <w:rtl/>
        </w:rPr>
        <w:t>حس‌داد</w:t>
      </w:r>
      <w:r w:rsidRPr="0025250D">
        <w:rPr>
          <w:rFonts w:hint="cs"/>
          <w:rtl/>
        </w:rPr>
        <w:t xml:space="preserve"> مثبت و منفی و انجام تقابل </w:t>
      </w:r>
      <w:r w:rsidR="00D92F6E" w:rsidRPr="0025250D">
        <w:rPr>
          <w:rFonts w:hint="cs"/>
          <w:rtl/>
        </w:rPr>
        <w:t>پیش‌بین</w:t>
      </w:r>
      <w:r w:rsidRPr="0025250D">
        <w:rPr>
          <w:rFonts w:hint="cs"/>
          <w:rtl/>
        </w:rPr>
        <w:t xml:space="preserve"> در ابتدا و تقابل </w:t>
      </w:r>
      <w:r w:rsidR="002B6515" w:rsidRPr="0025250D">
        <w:rPr>
          <w:rtl/>
        </w:rPr>
        <w:t>حس‌داد</w:t>
      </w:r>
      <w:r w:rsidRPr="0025250D">
        <w:rPr>
          <w:rFonts w:hint="cs"/>
          <w:rtl/>
        </w:rPr>
        <w:t xml:space="preserve"> در خلق </w:t>
      </w:r>
      <w:r w:rsidR="00701E03" w:rsidRPr="0025250D">
        <w:rPr>
          <w:rFonts w:hint="cs"/>
          <w:rtl/>
        </w:rPr>
        <w:t>راهبرد</w:t>
      </w:r>
      <w:r w:rsidRPr="0025250D">
        <w:rPr>
          <w:rFonts w:hint="cs"/>
          <w:rtl/>
        </w:rPr>
        <w:t xml:space="preserve"> اولیه به طور ضمنی در مدل </w:t>
      </w:r>
      <w:r w:rsidRPr="0025250D">
        <w:t>LAIS</w:t>
      </w:r>
      <w:r w:rsidRPr="0025250D">
        <w:rPr>
          <w:rFonts w:hint="cs"/>
          <w:rtl/>
        </w:rPr>
        <w:t xml:space="preserve"> وجود دارد. مسئولیت افراد متخصص برای مدیریت تعارض </w:t>
      </w:r>
      <w:r w:rsidRPr="0025250D">
        <w:rPr>
          <w:rtl/>
        </w:rPr>
        <w:t>آینده‌نگاری</w:t>
      </w:r>
      <w:r w:rsidRPr="0025250D">
        <w:rPr>
          <w:rFonts w:hint="cs"/>
          <w:rtl/>
        </w:rPr>
        <w:t xml:space="preserve"> در مدل چهار </w:t>
      </w:r>
      <w:r w:rsidRPr="0025250D">
        <w:t>P</w:t>
      </w:r>
      <w:r w:rsidRPr="0025250D">
        <w:rPr>
          <w:rFonts w:hint="cs"/>
          <w:rtl/>
        </w:rPr>
        <w:t xml:space="preserve"> و </w:t>
      </w:r>
      <w:r w:rsidR="00B13F65" w:rsidRPr="0025250D">
        <w:rPr>
          <w:rFonts w:hint="cs"/>
          <w:rtl/>
        </w:rPr>
        <w:t>چارچوب</w:t>
      </w:r>
      <w:r w:rsidRPr="0025250D">
        <w:rPr>
          <w:rFonts w:hint="cs"/>
          <w:rtl/>
        </w:rPr>
        <w:t xml:space="preserve">‌های متنوع آن، از جمله تحلیل </w:t>
      </w:r>
      <w:r w:rsidRPr="0025250D">
        <w:t>ADOR</w:t>
      </w:r>
      <w:r w:rsidRPr="0025250D">
        <w:rPr>
          <w:rFonts w:hint="cs"/>
          <w:rtl/>
        </w:rPr>
        <w:t xml:space="preserve"> و چرخه</w:t>
      </w:r>
      <w:r w:rsidRPr="0025250D">
        <w:rPr>
          <w:rFonts w:hint="cs"/>
        </w:rPr>
        <w:t xml:space="preserve">‌ </w:t>
      </w:r>
      <w:r w:rsidRPr="0025250D">
        <w:t>REOPS</w:t>
      </w:r>
      <w:r w:rsidRPr="0025250D">
        <w:rPr>
          <w:rFonts w:hint="cs"/>
          <w:rtl/>
        </w:rPr>
        <w:t xml:space="preserve"> بازنمایی می‌شود.</w:t>
      </w:r>
    </w:p>
    <w:p w14:paraId="46A9B93F" w14:textId="1CF04233" w:rsidR="00537CC8" w:rsidRPr="0025250D" w:rsidRDefault="00537CC8" w:rsidP="00537CC8">
      <w:pPr>
        <w:rPr>
          <w:rtl/>
        </w:rPr>
      </w:pPr>
      <w:r w:rsidRPr="0025250D">
        <w:rPr>
          <w:rFonts w:hint="cs"/>
          <w:rtl/>
        </w:rPr>
        <w:t xml:space="preserve">بار دیگر، یادگیری از نظر فنی </w:t>
      </w:r>
      <w:r w:rsidRPr="0025250D">
        <w:rPr>
          <w:rtl/>
        </w:rPr>
        <w:t>آینده‌نگاری</w:t>
      </w:r>
      <w:r w:rsidRPr="0025250D">
        <w:rPr>
          <w:rFonts w:hint="cs"/>
          <w:rtl/>
        </w:rPr>
        <w:t xml:space="preserve"> نیست، بلکه </w:t>
      </w:r>
      <w:r w:rsidR="00D92F6E" w:rsidRPr="0025250D">
        <w:rPr>
          <w:rFonts w:hint="cs"/>
          <w:rtl/>
        </w:rPr>
        <w:t>آماده‌سازی</w:t>
      </w:r>
      <w:r w:rsidRPr="0025250D">
        <w:rPr>
          <w:rFonts w:hint="cs"/>
          <w:rtl/>
        </w:rPr>
        <w:t xml:space="preserve"> برای کار </w:t>
      </w:r>
      <w:r w:rsidRPr="0025250D">
        <w:rPr>
          <w:rtl/>
        </w:rPr>
        <w:t>آینده‌نگاری</w:t>
      </w:r>
      <w:r w:rsidRPr="0025250D">
        <w:rPr>
          <w:rFonts w:hint="cs"/>
          <w:rtl/>
        </w:rPr>
        <w:t xml:space="preserve"> است</w:t>
      </w:r>
      <w:r w:rsidR="008D6F97" w:rsidRPr="0025250D">
        <w:rPr>
          <w:rtl/>
        </w:rPr>
        <w:t xml:space="preserve">؛ </w:t>
      </w:r>
      <w:r w:rsidRPr="0025250D">
        <w:rPr>
          <w:rFonts w:hint="cs"/>
          <w:rtl/>
        </w:rPr>
        <w:t>اما یادگیری هدفمند در مورد مسئله‌ای که آن را درک کرده، فرمول</w:t>
      </w:r>
      <w:r w:rsidR="0008779C" w:rsidRPr="0025250D">
        <w:rPr>
          <w:rFonts w:hint="cs"/>
          <w:rtl/>
        </w:rPr>
        <w:t>‌</w:t>
      </w:r>
      <w:r w:rsidRPr="0025250D">
        <w:rPr>
          <w:rFonts w:hint="cs"/>
          <w:rtl/>
        </w:rPr>
        <w:t xml:space="preserve">بندی می‌کنیم و در مورد آن تحقیق می‌کنیم </w:t>
      </w:r>
      <w:r w:rsidR="008F0DD8" w:rsidRPr="0025250D">
        <w:rPr>
          <w:rFonts w:hint="cs"/>
          <w:rtl/>
        </w:rPr>
        <w:t>آن‌قدر</w:t>
      </w:r>
      <w:r w:rsidRPr="0025250D">
        <w:rPr>
          <w:rFonts w:hint="cs"/>
          <w:rtl/>
        </w:rPr>
        <w:t xml:space="preserve"> حیاتی است که آن را به عنوان یک مهارت ضروری برای </w:t>
      </w:r>
      <w:r w:rsidRPr="0025250D">
        <w:rPr>
          <w:rtl/>
        </w:rPr>
        <w:t>آینده‌نگاری</w:t>
      </w:r>
      <w:r w:rsidRPr="0025250D">
        <w:rPr>
          <w:rFonts w:hint="cs"/>
          <w:rtl/>
        </w:rPr>
        <w:t xml:space="preserve"> در نظر می‌گیریم. هیچ کس</w:t>
      </w:r>
      <w:r w:rsidR="00EE4B64" w:rsidRPr="0025250D">
        <w:rPr>
          <w:rFonts w:hint="cs"/>
          <w:rtl/>
        </w:rPr>
        <w:t xml:space="preserve"> نمی‌</w:t>
      </w:r>
      <w:r w:rsidRPr="0025250D">
        <w:rPr>
          <w:rFonts w:hint="cs"/>
          <w:rtl/>
        </w:rPr>
        <w:t>تواند بدون مدل‌های خوبی از گذشته (</w:t>
      </w:r>
      <w:r w:rsidRPr="0025250D">
        <w:rPr>
          <w:rtl/>
        </w:rPr>
        <w:t>گذشته‌نگار</w:t>
      </w:r>
      <w:r w:rsidRPr="0025250D">
        <w:rPr>
          <w:rFonts w:hint="cs"/>
          <w:rtl/>
        </w:rPr>
        <w:t xml:space="preserve">ی) و حال </w:t>
      </w:r>
      <w:r w:rsidRPr="0025250D">
        <w:rPr>
          <w:rtl/>
        </w:rPr>
        <w:t>(</w:t>
      </w:r>
      <w:r w:rsidRPr="0025250D">
        <w:rPr>
          <w:rFonts w:hint="cs"/>
          <w:rtl/>
        </w:rPr>
        <w:t>بینش</w:t>
      </w:r>
      <w:r w:rsidRPr="0025250D">
        <w:rPr>
          <w:rtl/>
        </w:rPr>
        <w:t>)</w:t>
      </w:r>
      <w:r w:rsidRPr="0025250D">
        <w:rPr>
          <w:rFonts w:hint="cs"/>
          <w:rtl/>
        </w:rPr>
        <w:t xml:space="preserve"> مرتبط، به </w:t>
      </w:r>
      <w:r w:rsidR="00923DDB" w:rsidRPr="0025250D">
        <w:rPr>
          <w:rtl/>
        </w:rPr>
        <w:t>آینده‌نگاری انطباقی</w:t>
      </w:r>
      <w:r w:rsidRPr="0025250D">
        <w:rPr>
          <w:rFonts w:hint="cs"/>
          <w:rtl/>
        </w:rPr>
        <w:t xml:space="preserve"> دست یابد. هم‌زمان، هیچ </w:t>
      </w:r>
      <w:r w:rsidRPr="0025250D">
        <w:rPr>
          <w:rtl/>
        </w:rPr>
        <w:t>آینده‌نگاری</w:t>
      </w:r>
      <w:r w:rsidRPr="0025250D">
        <w:rPr>
          <w:rFonts w:hint="cs"/>
          <w:rtl/>
        </w:rPr>
        <w:t xml:space="preserve">‌ای بدون این که سبب عملکرد </w:t>
      </w:r>
      <w:r w:rsidR="00B124DE" w:rsidRPr="0025250D">
        <w:rPr>
          <w:rFonts w:hint="cs"/>
          <w:rtl/>
        </w:rPr>
        <w:t>انطباق</w:t>
      </w:r>
      <w:r w:rsidR="0008779C" w:rsidRPr="0025250D">
        <w:rPr>
          <w:rFonts w:hint="cs"/>
          <w:rtl/>
        </w:rPr>
        <w:t>ی</w:t>
      </w:r>
      <w:r w:rsidRPr="0025250D">
        <w:rPr>
          <w:rFonts w:hint="cs"/>
          <w:rtl/>
        </w:rPr>
        <w:t xml:space="preserve"> شود، سودمند نیست.</w:t>
      </w:r>
    </w:p>
    <w:p w14:paraId="7834765B" w14:textId="370AA1EB" w:rsidR="00537CC8" w:rsidRPr="0025250D" w:rsidRDefault="00537CC8" w:rsidP="00537CC8">
      <w:pPr>
        <w:rPr>
          <w:rtl/>
        </w:rPr>
      </w:pPr>
      <w:r w:rsidRPr="0025250D">
        <w:rPr>
          <w:rFonts w:hint="cs"/>
          <w:rtl/>
        </w:rPr>
        <w:t>گفتیم که چهار مهارت عملی وجود دارند: 1. اجرا (تفکر محصولی</w:t>
      </w:r>
      <w:r w:rsidRPr="0025250D">
        <w:rPr>
          <w:vertAlign w:val="superscript"/>
          <w:rtl/>
        </w:rPr>
        <w:footnoteReference w:id="1066"/>
      </w:r>
      <w:r w:rsidRPr="0025250D">
        <w:rPr>
          <w:rFonts w:hint="cs"/>
          <w:rtl/>
        </w:rPr>
        <w:t xml:space="preserve">) 2. </w:t>
      </w:r>
      <w:r w:rsidR="0008779C" w:rsidRPr="0025250D">
        <w:rPr>
          <w:rFonts w:hint="cs"/>
          <w:rtl/>
        </w:rPr>
        <w:t>تاثیرگذاری</w:t>
      </w:r>
      <w:r w:rsidRPr="0025250D">
        <w:rPr>
          <w:rFonts w:hint="cs"/>
          <w:rtl/>
        </w:rPr>
        <w:t xml:space="preserve"> (تفکر بازاری) 3. </w:t>
      </w:r>
      <w:r w:rsidR="0008779C" w:rsidRPr="0025250D">
        <w:rPr>
          <w:rFonts w:hint="cs"/>
          <w:rtl/>
        </w:rPr>
        <w:t>ارتباط‌دهی</w:t>
      </w:r>
      <w:r w:rsidRPr="0025250D">
        <w:rPr>
          <w:rFonts w:hint="cs"/>
          <w:rtl/>
        </w:rPr>
        <w:t xml:space="preserve"> (تفکر تیمی) 4. بازبینی (تفکر </w:t>
      </w:r>
      <w:r w:rsidR="007E3343" w:rsidRPr="0025250D">
        <w:rPr>
          <w:rFonts w:hint="cs"/>
          <w:rtl/>
        </w:rPr>
        <w:t>تعدیلی</w:t>
      </w:r>
      <w:r w:rsidRPr="0025250D">
        <w:rPr>
          <w:vertAlign w:val="superscript"/>
          <w:rtl/>
        </w:rPr>
        <w:footnoteReference w:id="1067"/>
      </w:r>
      <w:r w:rsidRPr="0025250D">
        <w:rPr>
          <w:rFonts w:hint="cs"/>
          <w:rtl/>
        </w:rPr>
        <w:t>). حلقه</w:t>
      </w:r>
      <w:r w:rsidRPr="0025250D">
        <w:rPr>
          <w:rFonts w:hint="cs"/>
        </w:rPr>
        <w:t>‌</w:t>
      </w:r>
      <w:r w:rsidRPr="0025250D">
        <w:rPr>
          <w:rFonts w:hint="cs"/>
          <w:rtl/>
        </w:rPr>
        <w:t xml:space="preserve"> انجام به ما یادآوری می‌کند که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شروع خوبی است، اما برای </w:t>
      </w:r>
      <w:r w:rsidR="00B124DE" w:rsidRPr="0025250D">
        <w:rPr>
          <w:rFonts w:hint="cs"/>
          <w:rtl/>
        </w:rPr>
        <w:t>انطباق‌پذیر</w:t>
      </w:r>
      <w:r w:rsidRPr="0025250D">
        <w:rPr>
          <w:rFonts w:hint="cs"/>
          <w:rtl/>
        </w:rPr>
        <w:t xml:space="preserve">ی کافی نیست. ما باید </w:t>
      </w:r>
      <w:r w:rsidRPr="0025250D">
        <w:rPr>
          <w:rtl/>
        </w:rPr>
        <w:t>آینده‌نگاری</w:t>
      </w:r>
      <w:r w:rsidRPr="0025250D">
        <w:rPr>
          <w:rFonts w:hint="cs"/>
          <w:rtl/>
        </w:rPr>
        <w:t xml:space="preserve"> خود را به محصولات یا خدماتی تعبیر کنیم، توسط آن اقدامات به یک بازار خدمات رسانی کنیم، تیمی قوی را حفظ کنیم و دائما نتایج خود را </w:t>
      </w:r>
      <w:r w:rsidR="002F3C14" w:rsidRPr="0025250D">
        <w:rPr>
          <w:rFonts w:hint="cs"/>
          <w:rtl/>
        </w:rPr>
        <w:t>انطباق</w:t>
      </w:r>
      <w:r w:rsidRPr="0025250D">
        <w:rPr>
          <w:rFonts w:hint="cs"/>
          <w:rtl/>
        </w:rPr>
        <w:t xml:space="preserve"> دهیم. ترکیب </w:t>
      </w:r>
      <w:r w:rsidR="0008779C" w:rsidRPr="0025250D">
        <w:rPr>
          <w:rFonts w:hint="cs"/>
          <w:rtl/>
        </w:rPr>
        <w:t>موفقیت‌آمیز</w:t>
      </w:r>
      <w:r w:rsidRPr="0025250D">
        <w:rPr>
          <w:rFonts w:hint="cs"/>
          <w:rtl/>
        </w:rPr>
        <w:t xml:space="preserve">ی از </w:t>
      </w:r>
      <w:r w:rsidRPr="0025250D">
        <w:rPr>
          <w:rtl/>
        </w:rPr>
        <w:t>آینده‌نگاری</w:t>
      </w:r>
      <w:r w:rsidRPr="0025250D">
        <w:rPr>
          <w:rFonts w:hint="cs"/>
          <w:rtl/>
        </w:rPr>
        <w:t xml:space="preserve"> و عمل در این کتاب، </w:t>
      </w:r>
      <w:r w:rsidR="00923DDB" w:rsidRPr="0025250D">
        <w:rPr>
          <w:rtl/>
        </w:rPr>
        <w:t>آینده‌نگاری انطباقی</w:t>
      </w:r>
      <w:r w:rsidRPr="0025250D">
        <w:rPr>
          <w:vertAlign w:val="superscript"/>
          <w:rtl/>
        </w:rPr>
        <w:footnoteReference w:id="1068"/>
      </w:r>
      <w:r w:rsidRPr="0025250D">
        <w:rPr>
          <w:rFonts w:hint="cs"/>
          <w:rtl/>
        </w:rPr>
        <w:t xml:space="preserve"> نامیده می‌شود. برای </w:t>
      </w:r>
      <w:r w:rsidR="0008779C" w:rsidRPr="0025250D">
        <w:rPr>
          <w:rFonts w:hint="cs"/>
          <w:rtl/>
        </w:rPr>
        <w:t>علاقه‌مند</w:t>
      </w:r>
      <w:r w:rsidRPr="0025250D">
        <w:rPr>
          <w:rFonts w:hint="cs"/>
          <w:rtl/>
        </w:rPr>
        <w:t xml:space="preserve">ان به کلمات مخفف و اختصاری، ما هشت مهارت </w:t>
      </w:r>
      <w:r w:rsidR="00923DDB" w:rsidRPr="0025250D">
        <w:rPr>
          <w:rtl/>
        </w:rPr>
        <w:t>آینده‌نگاری انطباقی</w:t>
      </w:r>
      <w:r w:rsidRPr="0025250D">
        <w:rPr>
          <w:rFonts w:hint="cs"/>
          <w:rtl/>
        </w:rPr>
        <w:t xml:space="preserve"> را مهارت‌های </w:t>
      </w:r>
      <w:r w:rsidRPr="0025250D">
        <w:rPr>
          <w:rtl/>
        </w:rPr>
        <w:t>آینده‌نگاری</w:t>
      </w:r>
      <w:r w:rsidRPr="0025250D">
        <w:rPr>
          <w:rFonts w:hint="cs"/>
          <w:rtl/>
        </w:rPr>
        <w:t xml:space="preserve"> </w:t>
      </w:r>
      <w:r w:rsidRPr="0025250D">
        <w:t>LAIS</w:t>
      </w:r>
      <w:r w:rsidRPr="0025250D">
        <w:rPr>
          <w:rFonts w:hint="cs"/>
          <w:rtl/>
        </w:rPr>
        <w:t xml:space="preserve"> و مهارت‌های عملی </w:t>
      </w:r>
      <w:r w:rsidRPr="0025250D">
        <w:t>EIRR</w:t>
      </w:r>
      <w:r w:rsidRPr="0025250D">
        <w:rPr>
          <w:rFonts w:hint="cs"/>
          <w:rtl/>
        </w:rPr>
        <w:t xml:space="preserve"> می‌نامیم و هر دو با هم را مهارت‌های </w:t>
      </w:r>
      <w:r w:rsidRPr="0025250D">
        <w:t>LAISEIRR</w:t>
      </w:r>
      <w:r w:rsidRPr="0025250D">
        <w:rPr>
          <w:rFonts w:hint="cs"/>
          <w:rtl/>
        </w:rPr>
        <w:t xml:space="preserve"> (که </w:t>
      </w:r>
      <w:r w:rsidR="0063099E" w:rsidRPr="0025250D">
        <w:rPr>
          <w:rtl/>
        </w:rPr>
        <w:t>«</w:t>
      </w:r>
      <w:r w:rsidRPr="0025250D">
        <w:rPr>
          <w:rFonts w:hint="cs"/>
          <w:rtl/>
        </w:rPr>
        <w:t>لیزر</w:t>
      </w:r>
      <w:r w:rsidR="0063099E" w:rsidRPr="0025250D">
        <w:rPr>
          <w:rtl/>
        </w:rPr>
        <w:t>»</w:t>
      </w:r>
      <w:r w:rsidRPr="0025250D">
        <w:rPr>
          <w:rFonts w:hint="cs"/>
          <w:rtl/>
        </w:rPr>
        <w:t xml:space="preserve"> تلفظ می‌شود) می‌نامیم. هر 8 مورد اهمیتی حیاتی برای تیم‌ها و سازمان‌ها</w:t>
      </w:r>
      <w:r w:rsidR="0008779C" w:rsidRPr="0025250D">
        <w:rPr>
          <w:rFonts w:hint="cs"/>
          <w:rtl/>
        </w:rPr>
        <w:t xml:space="preserve"> </w:t>
      </w:r>
      <w:r w:rsidRPr="0025250D">
        <w:rPr>
          <w:rFonts w:hint="cs"/>
          <w:rtl/>
        </w:rPr>
        <w:t>دارند.</w:t>
      </w:r>
    </w:p>
    <w:p w14:paraId="0FAD8469" w14:textId="0156799F" w:rsidR="00537CC8" w:rsidRPr="0025250D" w:rsidRDefault="00537CC8" w:rsidP="00537CC8">
      <w:pPr>
        <w:rPr>
          <w:rtl/>
        </w:rPr>
      </w:pPr>
      <w:r w:rsidRPr="0025250D">
        <w:rPr>
          <w:rFonts w:hint="cs"/>
          <w:rtl/>
        </w:rPr>
        <w:t xml:space="preserve">همچنین ادعا می‌کنیم که در حالی که این مهارت‌ها می‌توانند ما را در کوتاه مدت </w:t>
      </w:r>
      <w:r w:rsidR="00B124DE" w:rsidRPr="0025250D">
        <w:rPr>
          <w:rFonts w:hint="cs"/>
          <w:rtl/>
        </w:rPr>
        <w:t>انطباق‌پذیر</w:t>
      </w:r>
      <w:r w:rsidRPr="0025250D">
        <w:rPr>
          <w:rFonts w:hint="cs"/>
          <w:rtl/>
        </w:rPr>
        <w:t xml:space="preserve"> نگاه دارند، در بلند مدت، باید اهداف و ارزش‌هایی </w:t>
      </w:r>
      <w:r w:rsidR="00B124DE" w:rsidRPr="0025250D">
        <w:rPr>
          <w:rFonts w:hint="cs"/>
          <w:rtl/>
        </w:rPr>
        <w:t>انطباق‌پذیر</w:t>
      </w:r>
      <w:r w:rsidRPr="0025250D">
        <w:rPr>
          <w:rFonts w:hint="cs"/>
          <w:rtl/>
        </w:rPr>
        <w:t xml:space="preserve"> نیز داشته باشیم. اگر شخصیت و رفتار ما با قواعد فراگیر (حقایق، خرد) همراستا نباشند، در نهایت شکست خواهیم خورد. بعدا در این فصل به بحث اهداف و ارزش‌های خود (</w:t>
      </w:r>
      <w:r w:rsidRPr="0025250D">
        <w:rPr>
          <w:rtl/>
        </w:rPr>
        <w:t>آینده‌نگاری</w:t>
      </w:r>
      <w:r w:rsidRPr="0025250D">
        <w:rPr>
          <w:rFonts w:hint="cs"/>
          <w:rtl/>
        </w:rPr>
        <w:t xml:space="preserve"> هنجاری</w:t>
      </w:r>
      <w:r w:rsidRPr="0025250D">
        <w:rPr>
          <w:vertAlign w:val="superscript"/>
          <w:rtl/>
        </w:rPr>
        <w:footnoteReference w:id="1069"/>
      </w:r>
      <w:r w:rsidRPr="0025250D">
        <w:rPr>
          <w:rFonts w:hint="cs"/>
          <w:rtl/>
        </w:rPr>
        <w:t>) باز خواهیم گشت.</w:t>
      </w:r>
    </w:p>
    <w:p w14:paraId="0EBD73A9" w14:textId="0BF5C07D" w:rsidR="00537CC8" w:rsidRPr="0025250D" w:rsidRDefault="00537CC8" w:rsidP="00537CC8">
      <w:pPr>
        <w:rPr>
          <w:rtl/>
        </w:rPr>
      </w:pPr>
      <w:r w:rsidRPr="0025250D">
        <w:rPr>
          <w:rFonts w:hint="cs"/>
          <w:rtl/>
        </w:rPr>
        <w:t>بیایید نگاهی دقیق</w:t>
      </w:r>
      <w:r w:rsidR="0008779C" w:rsidRPr="0025250D">
        <w:rPr>
          <w:rFonts w:hint="cs"/>
          <w:rtl/>
        </w:rPr>
        <w:t>‌</w:t>
      </w:r>
      <w:r w:rsidRPr="0025250D">
        <w:rPr>
          <w:rFonts w:hint="cs"/>
          <w:rtl/>
        </w:rPr>
        <w:t xml:space="preserve">تر به چهار مهارت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داشته باشیم:</w:t>
      </w:r>
    </w:p>
    <w:p w14:paraId="150AC0C3" w14:textId="69C98CA8" w:rsidR="00537CC8" w:rsidRPr="0025250D" w:rsidRDefault="00537CC8" w:rsidP="00492C47">
      <w:pPr>
        <w:numPr>
          <w:ilvl w:val="0"/>
          <w:numId w:val="27"/>
        </w:numPr>
        <w:rPr>
          <w:rtl/>
        </w:rPr>
      </w:pPr>
      <w:r w:rsidRPr="0025250D">
        <w:rPr>
          <w:rFonts w:hint="cs"/>
          <w:b/>
          <w:bCs/>
          <w:rtl/>
        </w:rPr>
        <w:t>یادگیری</w:t>
      </w:r>
      <w:r w:rsidRPr="0025250D">
        <w:rPr>
          <w:rFonts w:hint="cs"/>
          <w:rtl/>
        </w:rPr>
        <w:t xml:space="preserve">. ما ابتدا باید سعی کنیم درک </w:t>
      </w:r>
      <w:r w:rsidR="0008779C" w:rsidRPr="0025250D">
        <w:rPr>
          <w:rFonts w:hint="cs"/>
          <w:rtl/>
        </w:rPr>
        <w:t>نماییم</w:t>
      </w:r>
      <w:r w:rsidRPr="0025250D">
        <w:rPr>
          <w:rFonts w:hint="cs"/>
          <w:rtl/>
        </w:rPr>
        <w:t xml:space="preserve"> که از کجا آمده</w:t>
      </w:r>
      <w:r w:rsidR="0008779C" w:rsidRPr="0025250D">
        <w:rPr>
          <w:rFonts w:hint="cs"/>
          <w:rtl/>
        </w:rPr>
        <w:t>‌</w:t>
      </w:r>
      <w:r w:rsidRPr="0025250D">
        <w:rPr>
          <w:rFonts w:hint="cs"/>
          <w:rtl/>
        </w:rPr>
        <w:t>ایم و در کجا هستیم. ما تاریخ، روند‌ها، چرخه‌ها، عوامل عل</w:t>
      </w:r>
      <w:r w:rsidR="0008779C" w:rsidRPr="0025250D">
        <w:rPr>
          <w:rFonts w:hint="cs"/>
          <w:rtl/>
        </w:rPr>
        <w:t>ّ</w:t>
      </w:r>
      <w:r w:rsidRPr="0025250D">
        <w:rPr>
          <w:rFonts w:hint="cs"/>
          <w:rtl/>
        </w:rPr>
        <w:t xml:space="preserve">ی و مدل‌ها را </w:t>
      </w:r>
      <w:r w:rsidR="00B124DE" w:rsidRPr="0025250D">
        <w:rPr>
          <w:rFonts w:hint="cs"/>
          <w:rtl/>
        </w:rPr>
        <w:t>جمع‌آوری</w:t>
      </w:r>
      <w:r w:rsidRPr="0025250D">
        <w:rPr>
          <w:rFonts w:hint="cs"/>
          <w:rtl/>
        </w:rPr>
        <w:t xml:space="preserve"> می‌کنیم. ما نگاهی دقیق و تحلیلی به تاریخ احتمالا مرتبط و نگاهی گسترده و دوربرد (</w:t>
      </w:r>
      <w:r w:rsidRPr="0025250D">
        <w:rPr>
          <w:rtl/>
        </w:rPr>
        <w:t>افق‌پو</w:t>
      </w:r>
      <w:r w:rsidRPr="0025250D">
        <w:rPr>
          <w:rFonts w:hint="cs"/>
          <w:rtl/>
        </w:rPr>
        <w:t>یی</w:t>
      </w:r>
      <w:r w:rsidRPr="0025250D">
        <w:rPr>
          <w:vertAlign w:val="superscript"/>
          <w:rtl/>
        </w:rPr>
        <w:footnoteReference w:id="1070"/>
      </w:r>
      <w:r w:rsidRPr="0025250D">
        <w:rPr>
          <w:rFonts w:hint="cs"/>
          <w:rtl/>
        </w:rPr>
        <w:t>) به محیط فعلی داریم. این به طور گسترده تفکر واگرا</w:t>
      </w:r>
      <w:r w:rsidRPr="0025250D">
        <w:rPr>
          <w:vertAlign w:val="superscript"/>
          <w:rtl/>
        </w:rPr>
        <w:footnoteReference w:id="1071"/>
      </w:r>
      <w:r w:rsidRPr="0025250D">
        <w:rPr>
          <w:rFonts w:hint="cs"/>
          <w:rtl/>
        </w:rPr>
        <w:t xml:space="preserve"> است.</w:t>
      </w:r>
    </w:p>
    <w:p w14:paraId="5891AC50" w14:textId="730CB486" w:rsidR="00537CC8" w:rsidRPr="0025250D" w:rsidRDefault="00923DDB" w:rsidP="00492C47">
      <w:pPr>
        <w:numPr>
          <w:ilvl w:val="0"/>
          <w:numId w:val="27"/>
        </w:numPr>
        <w:rPr>
          <w:rtl/>
        </w:rPr>
      </w:pPr>
      <w:r w:rsidRPr="0025250D">
        <w:rPr>
          <w:rFonts w:hint="cs"/>
          <w:b/>
          <w:bCs/>
          <w:rtl/>
        </w:rPr>
        <w:t>پیش‌انگاری</w:t>
      </w:r>
      <w:r w:rsidR="00537CC8" w:rsidRPr="0025250D">
        <w:rPr>
          <w:rFonts w:hint="cs"/>
          <w:rtl/>
        </w:rPr>
        <w:t>. سپس، روند‌های کلیدی را شناسایی و برونیابی می‌کنیم و در نظر می‌گیریم که چگونه ممکن است تغییرات</w:t>
      </w:r>
      <w:r w:rsidR="0008779C" w:rsidRPr="0025250D">
        <w:rPr>
          <w:rFonts w:hint="cs"/>
          <w:rtl/>
        </w:rPr>
        <w:t xml:space="preserve"> بیش‌تر</w:t>
      </w:r>
      <w:r w:rsidR="00537CC8" w:rsidRPr="0025250D">
        <w:rPr>
          <w:rFonts w:hint="cs"/>
          <w:rtl/>
        </w:rPr>
        <w:t xml:space="preserve">ی را ایجاد کنند و </w:t>
      </w:r>
      <w:r w:rsidR="00D92F6E" w:rsidRPr="0025250D">
        <w:rPr>
          <w:rFonts w:hint="cs"/>
          <w:rtl/>
        </w:rPr>
        <w:t>پیش‌بین</w:t>
      </w:r>
      <w:r w:rsidR="00537CC8" w:rsidRPr="0025250D">
        <w:rPr>
          <w:rFonts w:hint="cs"/>
          <w:rtl/>
        </w:rPr>
        <w:t xml:space="preserve">ی‌های مبتنی بر احتمال انجام می‌دهیم. به دنبال قیود و برآمدهای احتمالی شرایط گذشته و فعلی، هم موارد آشکار و هم موارد پنهان، می‌باشیم و تلاش می‌کنیم تا ریسک‌ها را </w:t>
      </w:r>
      <w:r w:rsidR="0008779C" w:rsidRPr="0025250D">
        <w:rPr>
          <w:rFonts w:hint="cs"/>
          <w:rtl/>
        </w:rPr>
        <w:t>برآورد نماییم</w:t>
      </w:r>
      <w:r w:rsidR="00537CC8" w:rsidRPr="0025250D">
        <w:rPr>
          <w:rFonts w:hint="cs"/>
          <w:rtl/>
        </w:rPr>
        <w:t>. این به شکل عمده تفکر همگرا</w:t>
      </w:r>
      <w:r w:rsidR="00537CC8" w:rsidRPr="0025250D">
        <w:rPr>
          <w:vertAlign w:val="superscript"/>
          <w:rtl/>
        </w:rPr>
        <w:footnoteReference w:id="1072"/>
      </w:r>
      <w:r w:rsidR="00537CC8" w:rsidRPr="0025250D">
        <w:rPr>
          <w:rFonts w:hint="cs"/>
          <w:rtl/>
        </w:rPr>
        <w:t xml:space="preserve"> است.</w:t>
      </w:r>
    </w:p>
    <w:p w14:paraId="678C7118" w14:textId="5D2B7456" w:rsidR="00537CC8" w:rsidRPr="0025250D" w:rsidRDefault="00537CC8" w:rsidP="00492C47">
      <w:pPr>
        <w:numPr>
          <w:ilvl w:val="0"/>
          <w:numId w:val="27"/>
        </w:numPr>
        <w:rPr>
          <w:rtl/>
        </w:rPr>
      </w:pPr>
      <w:r w:rsidRPr="0025250D">
        <w:rPr>
          <w:rFonts w:hint="cs"/>
          <w:b/>
          <w:bCs/>
          <w:rtl/>
        </w:rPr>
        <w:t>نوآوری (یا تصور)</w:t>
      </w:r>
      <w:r w:rsidRPr="0025250D">
        <w:rPr>
          <w:rFonts w:hint="cs"/>
          <w:rtl/>
        </w:rPr>
        <w:t xml:space="preserve">. سپس تلاش می‌کنیم تا موارد ممکن دیگر را که از یادگیری و </w:t>
      </w:r>
      <w:r w:rsidR="00923DDB" w:rsidRPr="0025250D">
        <w:rPr>
          <w:rFonts w:hint="cs"/>
          <w:rtl/>
        </w:rPr>
        <w:t>پیش‌انگاری</w:t>
      </w:r>
      <w:r w:rsidRPr="0025250D">
        <w:rPr>
          <w:rFonts w:hint="cs"/>
          <w:rtl/>
        </w:rPr>
        <w:t xml:space="preserve"> ما حاصل می‌شوند، تصور کنیم. برخی از اولین، دومین و سومین پیامدهای تغییرات مورد انتظار ما چه هستند؟ چه تغییرات و </w:t>
      </w:r>
      <w:r w:rsidR="00923DDB" w:rsidRPr="0025250D">
        <w:rPr>
          <w:rFonts w:hint="cs"/>
          <w:rtl/>
        </w:rPr>
        <w:t>شگفتی‌ساز</w:t>
      </w:r>
      <w:r w:rsidRPr="0025250D">
        <w:rPr>
          <w:rFonts w:hint="cs"/>
          <w:rtl/>
        </w:rPr>
        <w:t>‌هایی را در نظر نگرفته</w:t>
      </w:r>
      <w:r w:rsidR="0008779C" w:rsidRPr="0025250D">
        <w:rPr>
          <w:rFonts w:hint="cs"/>
          <w:rtl/>
        </w:rPr>
        <w:t>‌</w:t>
      </w:r>
      <w:r w:rsidRPr="0025250D">
        <w:rPr>
          <w:rFonts w:hint="cs"/>
          <w:rtl/>
        </w:rPr>
        <w:t xml:space="preserve">ایم؟ ما و دیگران چه آزمایش‌هایی را برای کسب </w:t>
      </w:r>
      <w:r w:rsidRPr="0025250D">
        <w:rPr>
          <w:rtl/>
        </w:rPr>
        <w:t>آینده‌نگاری</w:t>
      </w:r>
      <w:r w:rsidRPr="0025250D">
        <w:rPr>
          <w:rFonts w:hint="cs"/>
          <w:rtl/>
        </w:rPr>
        <w:t xml:space="preserve">، خلق یا </w:t>
      </w:r>
      <w:r w:rsidR="00B124DE" w:rsidRPr="0025250D">
        <w:rPr>
          <w:rFonts w:hint="cs"/>
          <w:rtl/>
        </w:rPr>
        <w:t>انطباق‌پذیر</w:t>
      </w:r>
      <w:r w:rsidRPr="0025250D">
        <w:rPr>
          <w:rFonts w:hint="cs"/>
          <w:rtl/>
        </w:rPr>
        <w:t>ی می‌توانیم انجام دهیم؟ این عمدتا به تفکر واگرا باز می‌گردد.</w:t>
      </w:r>
    </w:p>
    <w:p w14:paraId="11DBA57A" w14:textId="3D7E6388" w:rsidR="00537CC8" w:rsidRPr="0025250D" w:rsidRDefault="00701E03" w:rsidP="00492C47">
      <w:pPr>
        <w:numPr>
          <w:ilvl w:val="0"/>
          <w:numId w:val="27"/>
        </w:numPr>
        <w:rPr>
          <w:rtl/>
        </w:rPr>
      </w:pPr>
      <w:r w:rsidRPr="0025250D">
        <w:rPr>
          <w:rFonts w:hint="cs"/>
          <w:b/>
          <w:bCs/>
          <w:rtl/>
        </w:rPr>
        <w:t>راهبرد</w:t>
      </w:r>
      <w:r w:rsidR="00537CC8" w:rsidRPr="0025250D">
        <w:rPr>
          <w:rFonts w:hint="cs"/>
          <w:rtl/>
        </w:rPr>
        <w:t xml:space="preserve">. در آخر، به چهارمین اقدام </w:t>
      </w:r>
      <w:r w:rsidR="00537CC8" w:rsidRPr="0025250D">
        <w:rPr>
          <w:rtl/>
        </w:rPr>
        <w:t>آینده‌نگاری</w:t>
      </w:r>
      <w:r w:rsidR="00537CC8" w:rsidRPr="0025250D">
        <w:rPr>
          <w:rFonts w:hint="cs"/>
          <w:rtl/>
        </w:rPr>
        <w:t xml:space="preserve"> و تنها موردی که به خوبی در متون مدیریتی و سیاستگذاری پوشش داده شده است، می‌رسیم. در </w:t>
      </w:r>
      <w:r w:rsidRPr="0025250D">
        <w:rPr>
          <w:rFonts w:hint="cs"/>
          <w:rtl/>
        </w:rPr>
        <w:t>راهبرد</w:t>
      </w:r>
      <w:r w:rsidR="00537CC8" w:rsidRPr="0025250D">
        <w:rPr>
          <w:rFonts w:hint="cs"/>
          <w:rtl/>
        </w:rPr>
        <w:t>، ما همه</w:t>
      </w:r>
      <w:r w:rsidR="00537CC8" w:rsidRPr="0025250D">
        <w:rPr>
          <w:rFonts w:hint="cs"/>
        </w:rPr>
        <w:t>‌</w:t>
      </w:r>
      <w:r w:rsidR="00537CC8" w:rsidRPr="0025250D">
        <w:rPr>
          <w:rFonts w:hint="cs"/>
          <w:rtl/>
        </w:rPr>
        <w:t xml:space="preserve"> داده‌های بالا را تحلیل می‌کنیم و تلاش می‌کنیم تا به منعطف</w:t>
      </w:r>
      <w:r w:rsidR="0008779C" w:rsidRPr="0025250D">
        <w:rPr>
          <w:rFonts w:hint="cs"/>
          <w:rtl/>
        </w:rPr>
        <w:t>‌</w:t>
      </w:r>
      <w:r w:rsidR="00537CC8" w:rsidRPr="0025250D">
        <w:rPr>
          <w:rFonts w:hint="cs"/>
          <w:rtl/>
        </w:rPr>
        <w:t>ترین و ارزشمندترین مجموعه</w:t>
      </w:r>
      <w:r w:rsidR="00537CC8" w:rsidRPr="0025250D">
        <w:rPr>
          <w:rFonts w:hint="cs"/>
        </w:rPr>
        <w:t>‌</w:t>
      </w:r>
      <w:r w:rsidR="00537CC8" w:rsidRPr="0025250D">
        <w:rPr>
          <w:rFonts w:hint="cs"/>
          <w:rtl/>
        </w:rPr>
        <w:t xml:space="preserve"> اقداماتی برسیم که می‌توانیم بر اساس منابع و اهدافمان به آن‌ها دست یابیم. ما بر آزمون و بررسی </w:t>
      </w:r>
      <w:r w:rsidRPr="0025250D">
        <w:rPr>
          <w:rFonts w:hint="cs"/>
          <w:rtl/>
        </w:rPr>
        <w:t>راهبرد</w:t>
      </w:r>
      <w:r w:rsidR="00537CC8" w:rsidRPr="0025250D">
        <w:rPr>
          <w:rFonts w:hint="cs"/>
          <w:rtl/>
        </w:rPr>
        <w:t>‌ها در مقابل آینده</w:t>
      </w:r>
      <w:r w:rsidR="00537CC8" w:rsidRPr="0025250D">
        <w:rPr>
          <w:rFonts w:hint="cs"/>
        </w:rPr>
        <w:t>‌</w:t>
      </w:r>
      <w:r w:rsidR="00537CC8" w:rsidRPr="0025250D">
        <w:rPr>
          <w:rFonts w:hint="cs"/>
          <w:rtl/>
        </w:rPr>
        <w:t xml:space="preserve"> مورد انتظار و آینده‌هایی که می‌توانیم متصور شویم و رسیدن به برنامه‌های </w:t>
      </w:r>
      <w:r w:rsidRPr="0025250D">
        <w:rPr>
          <w:rFonts w:hint="cs"/>
          <w:rtl/>
        </w:rPr>
        <w:t>راهبردی</w:t>
      </w:r>
      <w:r w:rsidR="00537CC8" w:rsidRPr="0025250D">
        <w:rPr>
          <w:rFonts w:hint="cs"/>
          <w:rtl/>
        </w:rPr>
        <w:t xml:space="preserve"> و تاکتیکی، برای دست یابی به اهدافمان، دوری از تله‌ها و پایش پیشرفت تأکید داریم. این امر در نهایت تفکر همگرا است.</w:t>
      </w:r>
    </w:p>
    <w:p w14:paraId="3267E12F" w14:textId="24CFB88C" w:rsidR="00537CC8" w:rsidRPr="0025250D" w:rsidRDefault="00537CC8" w:rsidP="00537CC8">
      <w:pPr>
        <w:rPr>
          <w:rtl/>
        </w:rPr>
      </w:pPr>
      <w:r w:rsidRPr="0025250D">
        <w:rPr>
          <w:rFonts w:hint="cs"/>
          <w:rtl/>
        </w:rPr>
        <w:t>هر یک از ما به برخی از این مهارت‌ها</w:t>
      </w:r>
      <w:r w:rsidR="0008779C" w:rsidRPr="0025250D">
        <w:rPr>
          <w:rFonts w:hint="cs"/>
          <w:rtl/>
        </w:rPr>
        <w:t xml:space="preserve"> بیش‌تر</w:t>
      </w:r>
      <w:r w:rsidRPr="0025250D">
        <w:rPr>
          <w:rFonts w:hint="cs"/>
          <w:rtl/>
        </w:rPr>
        <w:t xml:space="preserve"> از سایر آن‌ها </w:t>
      </w:r>
      <w:r w:rsidR="0008779C" w:rsidRPr="0025250D">
        <w:rPr>
          <w:rFonts w:hint="cs"/>
          <w:rtl/>
        </w:rPr>
        <w:t>علاقه‌مند</w:t>
      </w:r>
      <w:r w:rsidRPr="0025250D">
        <w:rPr>
          <w:rFonts w:hint="cs"/>
          <w:rtl/>
        </w:rPr>
        <w:t xml:space="preserve"> </w:t>
      </w:r>
      <w:r w:rsidR="007118DE" w:rsidRPr="0025250D">
        <w:rPr>
          <w:rFonts w:hint="cs"/>
          <w:rtl/>
        </w:rPr>
        <w:t>است</w:t>
      </w:r>
      <w:r w:rsidRPr="0025250D">
        <w:rPr>
          <w:rFonts w:hint="cs"/>
          <w:rtl/>
        </w:rPr>
        <w:t>. هر مهارت همچنین ارتباط</w:t>
      </w:r>
      <w:r w:rsidR="0008779C" w:rsidRPr="0025250D">
        <w:rPr>
          <w:rFonts w:hint="cs"/>
          <w:rtl/>
        </w:rPr>
        <w:t xml:space="preserve"> بیش‌تر</w:t>
      </w:r>
      <w:r w:rsidRPr="0025250D">
        <w:rPr>
          <w:rFonts w:hint="cs"/>
          <w:rtl/>
        </w:rPr>
        <w:t>ی با نقش‌های حرفه‌ای مشخصی در سازمان‌ها و جامعه</w:t>
      </w:r>
      <w:r w:rsidRPr="0025250D">
        <w:rPr>
          <w:rFonts w:hint="cs"/>
        </w:rPr>
        <w:t>‌</w:t>
      </w:r>
      <w:r w:rsidRPr="0025250D">
        <w:rPr>
          <w:rFonts w:hint="cs"/>
          <w:rtl/>
        </w:rPr>
        <w:t xml:space="preserve"> ما دارد. برای مثال:</w:t>
      </w:r>
    </w:p>
    <w:p w14:paraId="563693D3" w14:textId="2F90CCF6" w:rsidR="00537CC8" w:rsidRPr="0025250D" w:rsidRDefault="00537CC8" w:rsidP="00492C47">
      <w:pPr>
        <w:numPr>
          <w:ilvl w:val="0"/>
          <w:numId w:val="28"/>
        </w:numPr>
        <w:rPr>
          <w:rtl/>
        </w:rPr>
      </w:pPr>
      <w:r w:rsidRPr="0025250D">
        <w:rPr>
          <w:rFonts w:hint="cs"/>
          <w:b/>
          <w:bCs/>
          <w:rtl/>
        </w:rPr>
        <w:t>یادگیری</w:t>
      </w:r>
      <w:r w:rsidRPr="0025250D">
        <w:rPr>
          <w:rFonts w:hint="cs"/>
          <w:rtl/>
        </w:rPr>
        <w:t xml:space="preserve"> اغلب توسط محققین، </w:t>
      </w:r>
      <w:r w:rsidR="007118DE" w:rsidRPr="0025250D">
        <w:rPr>
          <w:rFonts w:hint="cs"/>
          <w:rtl/>
        </w:rPr>
        <w:t>تاریخ‌دان</w:t>
      </w:r>
      <w:r w:rsidRPr="0025250D">
        <w:rPr>
          <w:rFonts w:hint="cs"/>
          <w:rtl/>
        </w:rPr>
        <w:t xml:space="preserve">ان، </w:t>
      </w:r>
      <w:r w:rsidR="00B124DE" w:rsidRPr="0025250D">
        <w:rPr>
          <w:rFonts w:hint="cs"/>
          <w:rtl/>
        </w:rPr>
        <w:t>جمع‌آوری</w:t>
      </w:r>
      <w:r w:rsidRPr="0025250D">
        <w:rPr>
          <w:rFonts w:hint="cs"/>
          <w:rtl/>
        </w:rPr>
        <w:t xml:space="preserve"> کنندگان اطلاعات، آموزش</w:t>
      </w:r>
      <w:r w:rsidR="007118DE" w:rsidRPr="0025250D">
        <w:rPr>
          <w:rFonts w:hint="cs"/>
          <w:rtl/>
        </w:rPr>
        <w:t>‌</w:t>
      </w:r>
      <w:r w:rsidRPr="0025250D">
        <w:rPr>
          <w:rFonts w:hint="cs"/>
          <w:rtl/>
        </w:rPr>
        <w:t>دهندگان، کمّی سازها</w:t>
      </w:r>
      <w:r w:rsidRPr="0025250D">
        <w:rPr>
          <w:vertAlign w:val="superscript"/>
          <w:rtl/>
        </w:rPr>
        <w:footnoteReference w:id="1073"/>
      </w:r>
      <w:r w:rsidRPr="0025250D">
        <w:rPr>
          <w:rFonts w:hint="cs"/>
          <w:rtl/>
        </w:rPr>
        <w:t xml:space="preserve"> و حسابداران انجام می‌شود.</w:t>
      </w:r>
    </w:p>
    <w:p w14:paraId="06D1F7FF" w14:textId="452297BB" w:rsidR="00537CC8" w:rsidRPr="0025250D" w:rsidRDefault="00923DDB" w:rsidP="00492C47">
      <w:pPr>
        <w:numPr>
          <w:ilvl w:val="0"/>
          <w:numId w:val="28"/>
        </w:numPr>
        <w:rPr>
          <w:rtl/>
        </w:rPr>
      </w:pPr>
      <w:r w:rsidRPr="0025250D">
        <w:rPr>
          <w:rFonts w:hint="cs"/>
          <w:b/>
          <w:bCs/>
          <w:rtl/>
        </w:rPr>
        <w:t>پیش‌انگاری</w:t>
      </w:r>
      <w:r w:rsidR="00537CC8" w:rsidRPr="0025250D">
        <w:rPr>
          <w:rFonts w:hint="cs"/>
          <w:rtl/>
        </w:rPr>
        <w:t xml:space="preserve"> در فعالیت‌های همگرایی و سازگاری محور مانند </w:t>
      </w:r>
      <w:r w:rsidR="00FB6A7E" w:rsidRPr="0025250D">
        <w:rPr>
          <w:rFonts w:hint="cs"/>
          <w:rtl/>
        </w:rPr>
        <w:t>پیش‌نگری</w:t>
      </w:r>
      <w:r w:rsidR="00537CC8" w:rsidRPr="0025250D">
        <w:rPr>
          <w:rFonts w:hint="cs"/>
          <w:rtl/>
        </w:rPr>
        <w:t>، مهندسی، امنیت، پایداری و علوم نظری رایج است.</w:t>
      </w:r>
    </w:p>
    <w:p w14:paraId="4023AC28" w14:textId="77777777" w:rsidR="00537CC8" w:rsidRPr="0025250D" w:rsidRDefault="00537CC8" w:rsidP="00492C47">
      <w:pPr>
        <w:numPr>
          <w:ilvl w:val="0"/>
          <w:numId w:val="28"/>
        </w:numPr>
        <w:rPr>
          <w:rtl/>
        </w:rPr>
      </w:pPr>
      <w:r w:rsidRPr="0025250D">
        <w:rPr>
          <w:rFonts w:hint="cs"/>
          <w:b/>
          <w:bCs/>
          <w:rtl/>
        </w:rPr>
        <w:t>نوآوری</w:t>
      </w:r>
      <w:r w:rsidRPr="0025250D">
        <w:rPr>
          <w:rFonts w:hint="cs"/>
          <w:rtl/>
        </w:rPr>
        <w:t xml:space="preserve"> در فعالیت‌های اکتشاف محور و تنوع محوری مانند طراحی، هنر، سرگرمی، کارآفرینی، تحقیق و توسعه و علوم تجربی رایج است.</w:t>
      </w:r>
    </w:p>
    <w:p w14:paraId="33904F0D" w14:textId="4F1EFAFF" w:rsidR="00537CC8" w:rsidRPr="0025250D" w:rsidRDefault="00701E03" w:rsidP="00492C47">
      <w:pPr>
        <w:numPr>
          <w:ilvl w:val="0"/>
          <w:numId w:val="28"/>
        </w:numPr>
        <w:rPr>
          <w:rtl/>
        </w:rPr>
      </w:pPr>
      <w:r w:rsidRPr="0025250D">
        <w:rPr>
          <w:rFonts w:hint="cs"/>
          <w:b/>
          <w:bCs/>
          <w:rtl/>
        </w:rPr>
        <w:t>راهبرد</w:t>
      </w:r>
      <w:r w:rsidR="00537CC8" w:rsidRPr="0025250D">
        <w:rPr>
          <w:rFonts w:hint="cs"/>
          <w:rtl/>
        </w:rPr>
        <w:t xml:space="preserve"> در فعالیت‌های پیونددهی</w:t>
      </w:r>
      <w:r w:rsidR="00537CC8" w:rsidRPr="0025250D">
        <w:rPr>
          <w:vertAlign w:val="superscript"/>
          <w:rtl/>
        </w:rPr>
        <w:footnoteReference w:id="1074"/>
      </w:r>
      <w:r w:rsidR="00537CC8" w:rsidRPr="0025250D">
        <w:rPr>
          <w:rFonts w:hint="cs"/>
          <w:rtl/>
        </w:rPr>
        <w:t xml:space="preserve"> و </w:t>
      </w:r>
      <w:r w:rsidR="0008779C" w:rsidRPr="0025250D">
        <w:rPr>
          <w:rFonts w:hint="cs"/>
          <w:rtl/>
        </w:rPr>
        <w:t>تصمیم‌گیری</w:t>
      </w:r>
      <w:r w:rsidR="00537CC8" w:rsidRPr="0025250D">
        <w:rPr>
          <w:rFonts w:hint="cs"/>
          <w:rtl/>
        </w:rPr>
        <w:t xml:space="preserve"> مانند </w:t>
      </w:r>
      <w:r w:rsidR="00EE4B64" w:rsidRPr="0025250D">
        <w:rPr>
          <w:rFonts w:hint="cs"/>
          <w:rtl/>
        </w:rPr>
        <w:t>چشم‌اندازسازی</w:t>
      </w:r>
      <w:r w:rsidR="00537CC8" w:rsidRPr="0025250D">
        <w:rPr>
          <w:rFonts w:hint="cs"/>
          <w:rtl/>
        </w:rPr>
        <w:t xml:space="preserve">، </w:t>
      </w:r>
      <w:r w:rsidRPr="0025250D">
        <w:rPr>
          <w:rFonts w:hint="cs"/>
          <w:rtl/>
        </w:rPr>
        <w:t>راهبرد</w:t>
      </w:r>
      <w:r w:rsidR="00537CC8" w:rsidRPr="0025250D">
        <w:rPr>
          <w:rFonts w:hint="cs"/>
          <w:rtl/>
        </w:rPr>
        <w:t xml:space="preserve">، </w:t>
      </w:r>
      <w:r w:rsidR="00B124DE" w:rsidRPr="0025250D">
        <w:rPr>
          <w:rFonts w:hint="cs"/>
          <w:rtl/>
        </w:rPr>
        <w:t>برنامه‌ریزی</w:t>
      </w:r>
      <w:r w:rsidR="00537CC8" w:rsidRPr="0025250D">
        <w:rPr>
          <w:rFonts w:hint="cs"/>
          <w:rtl/>
        </w:rPr>
        <w:t>، مدیریت، سیاست و تسهیل</w:t>
      </w:r>
      <w:r w:rsidR="007118DE" w:rsidRPr="0025250D">
        <w:rPr>
          <w:rFonts w:hint="cs"/>
          <w:rtl/>
        </w:rPr>
        <w:t>‌</w:t>
      </w:r>
      <w:r w:rsidR="00537CC8" w:rsidRPr="0025250D">
        <w:rPr>
          <w:rFonts w:hint="cs"/>
          <w:rtl/>
        </w:rPr>
        <w:t>گری و رهبری رایج است.</w:t>
      </w:r>
    </w:p>
    <w:p w14:paraId="42357B5E" w14:textId="207C01E9" w:rsidR="00537CC8" w:rsidRPr="0025250D" w:rsidRDefault="00537CC8" w:rsidP="00537CC8">
      <w:pPr>
        <w:rPr>
          <w:rtl/>
        </w:rPr>
      </w:pPr>
      <w:r w:rsidRPr="0025250D">
        <w:rPr>
          <w:rFonts w:hint="cs"/>
          <w:rtl/>
        </w:rPr>
        <w:t xml:space="preserve">یک متخصص </w:t>
      </w:r>
      <w:r w:rsidRPr="0025250D">
        <w:rPr>
          <w:rtl/>
        </w:rPr>
        <w:t>آینده‌نگاری</w:t>
      </w:r>
      <w:r w:rsidRPr="0025250D">
        <w:rPr>
          <w:rFonts w:hint="cs"/>
          <w:rtl/>
        </w:rPr>
        <w:t xml:space="preserve"> خوب از همه</w:t>
      </w:r>
      <w:r w:rsidRPr="0025250D">
        <w:rPr>
          <w:rFonts w:hint="cs"/>
        </w:rPr>
        <w:t>‌</w:t>
      </w:r>
      <w:r w:rsidRPr="0025250D">
        <w:rPr>
          <w:rFonts w:hint="cs"/>
          <w:rtl/>
        </w:rPr>
        <w:t xml:space="preserve"> این نقش‌ها، تخصص‌ها و جوامع آگاه</w:t>
      </w:r>
      <w:r w:rsidRPr="0025250D">
        <w:rPr>
          <w:rtl/>
        </w:rPr>
        <w:t xml:space="preserve"> </w:t>
      </w:r>
      <w:r w:rsidRPr="0025250D">
        <w:rPr>
          <w:rFonts w:hint="cs"/>
          <w:rtl/>
        </w:rPr>
        <w:t>است و به دنبال مشارکت در هر یک به صورت مناسب می‌باشد. بگذارید اکنون موارد</w:t>
      </w:r>
      <w:r w:rsidR="0008779C" w:rsidRPr="0025250D">
        <w:rPr>
          <w:rFonts w:hint="cs"/>
          <w:rtl/>
        </w:rPr>
        <w:t xml:space="preserve"> بیش‌تر</w:t>
      </w:r>
      <w:r w:rsidRPr="0025250D">
        <w:rPr>
          <w:rFonts w:hint="cs"/>
          <w:rtl/>
        </w:rPr>
        <w:t xml:space="preserve">ی درمورد یادگیری، مهارتی که معمولا در انجام </w:t>
      </w:r>
      <w:r w:rsidRPr="0025250D">
        <w:rPr>
          <w:rtl/>
        </w:rPr>
        <w:t>آینده‌نگاری</w:t>
      </w:r>
      <w:r w:rsidRPr="0025250D">
        <w:rPr>
          <w:rFonts w:hint="cs"/>
          <w:rtl/>
        </w:rPr>
        <w:t xml:space="preserve"> به آن کم توجهی می‌شود، بیان کنیم. علوم شناختی به ما می‌گویند که پیش از این که از </w:t>
      </w:r>
      <w:r w:rsidRPr="0025250D">
        <w:rPr>
          <w:rtl/>
        </w:rPr>
        <w:t>آینده‌نگاری</w:t>
      </w:r>
      <w:r w:rsidRPr="0025250D">
        <w:rPr>
          <w:rFonts w:hint="cs"/>
          <w:rtl/>
        </w:rPr>
        <w:t xml:space="preserve"> استفاده کنیم، با برخی از اشکال یادگیری آغاز می‌کنیم. ما به دانشی از گذشته</w:t>
      </w:r>
      <w:r w:rsidRPr="0025250D">
        <w:rPr>
          <w:rFonts w:hint="cs"/>
        </w:rPr>
        <w:t>‌</w:t>
      </w:r>
      <w:r w:rsidRPr="0025250D">
        <w:rPr>
          <w:rFonts w:hint="cs"/>
          <w:rtl/>
        </w:rPr>
        <w:t xml:space="preserve"> مرتبط با یک مسئله</w:t>
      </w:r>
      <w:r w:rsidRPr="0025250D">
        <w:rPr>
          <w:rFonts w:hint="cs"/>
        </w:rPr>
        <w:t>‌</w:t>
      </w:r>
      <w:r w:rsidRPr="0025250D">
        <w:rPr>
          <w:rFonts w:hint="cs"/>
          <w:rtl/>
        </w:rPr>
        <w:t xml:space="preserve"> مشخص، از جمله شناسایی روندها، چرخه‌ها و مدل‌هایی که در گذشته کار </w:t>
      </w:r>
      <w:r w:rsidR="007118DE" w:rsidRPr="0025250D">
        <w:rPr>
          <w:rFonts w:hint="cs"/>
          <w:rtl/>
        </w:rPr>
        <w:t>کرده‌اند</w:t>
      </w:r>
      <w:r w:rsidRPr="0025250D">
        <w:rPr>
          <w:rFonts w:hint="cs"/>
          <w:rtl/>
        </w:rPr>
        <w:t xml:space="preserve"> نیاز داریم و به اطلاعات، پویش محیط و </w:t>
      </w:r>
      <w:r w:rsidR="00B124DE" w:rsidRPr="0025250D">
        <w:rPr>
          <w:rFonts w:hint="cs"/>
          <w:rtl/>
        </w:rPr>
        <w:t>جمع‌آوری</w:t>
      </w:r>
      <w:r w:rsidRPr="0025250D">
        <w:rPr>
          <w:rFonts w:hint="cs"/>
          <w:rtl/>
        </w:rPr>
        <w:t xml:space="preserve"> داده‌ها در زمان حال برای درک این که امروز در کجا هستیم و درک ارزش‌های روند‌ها، چرخه‌ها و عوامل مرتبط پس از یافتن آن‌ها، نیاز داریم.</w:t>
      </w:r>
    </w:p>
    <w:p w14:paraId="18CA903B" w14:textId="50AECA5F" w:rsidR="00537CC8" w:rsidRPr="0025250D" w:rsidRDefault="00537CC8" w:rsidP="00537CC8">
      <w:pPr>
        <w:rPr>
          <w:rtl/>
        </w:rPr>
      </w:pPr>
      <w:r w:rsidRPr="0025250D">
        <w:rPr>
          <w:rFonts w:hint="cs"/>
          <w:rtl/>
        </w:rPr>
        <w:t xml:space="preserve">برخی از افراد در یک تیم به طور طبیعی بیش از دیگران به یادگیری از گذشته (تحقیقات تاریخی، </w:t>
      </w:r>
      <w:r w:rsidR="00B124DE" w:rsidRPr="0025250D">
        <w:rPr>
          <w:rFonts w:hint="cs"/>
          <w:rtl/>
        </w:rPr>
        <w:t>جمع‌آوری</w:t>
      </w:r>
      <w:r w:rsidRPr="0025250D">
        <w:rPr>
          <w:rFonts w:hint="cs"/>
          <w:rtl/>
        </w:rPr>
        <w:t xml:space="preserve"> داده‌ها، روندها، </w:t>
      </w:r>
      <w:r w:rsidR="00FB6A7E" w:rsidRPr="0025250D">
        <w:rPr>
          <w:rFonts w:hint="cs"/>
          <w:rtl/>
        </w:rPr>
        <w:t>پیش‌نگری</w:t>
      </w:r>
      <w:r w:rsidRPr="0025250D">
        <w:rPr>
          <w:rFonts w:hint="cs"/>
          <w:rtl/>
        </w:rPr>
        <w:t>‌ها و مدلها) علاقه</w:t>
      </w:r>
      <w:r w:rsidRPr="0025250D">
        <w:rPr>
          <w:rtl/>
        </w:rPr>
        <w:t xml:space="preserve"> </w:t>
      </w:r>
      <w:r w:rsidRPr="0025250D">
        <w:rPr>
          <w:rFonts w:hint="cs"/>
          <w:rtl/>
        </w:rPr>
        <w:t>دارند</w:t>
      </w:r>
      <w:r w:rsidRPr="0025250D">
        <w:rPr>
          <w:rtl/>
        </w:rPr>
        <w:t xml:space="preserve"> </w:t>
      </w:r>
      <w:r w:rsidRPr="0025250D">
        <w:rPr>
          <w:rFonts w:hint="cs"/>
          <w:rtl/>
        </w:rPr>
        <w:t>و</w:t>
      </w:r>
      <w:r w:rsidRPr="0025250D">
        <w:rPr>
          <w:rtl/>
        </w:rPr>
        <w:t xml:space="preserve"> </w:t>
      </w:r>
      <w:r w:rsidRPr="0025250D">
        <w:rPr>
          <w:rFonts w:hint="cs"/>
          <w:rtl/>
        </w:rPr>
        <w:t>در</w:t>
      </w:r>
      <w:r w:rsidRPr="0025250D">
        <w:rPr>
          <w:rtl/>
        </w:rPr>
        <w:t xml:space="preserve"> </w:t>
      </w:r>
      <w:r w:rsidRPr="0025250D">
        <w:rPr>
          <w:rFonts w:hint="cs"/>
          <w:rtl/>
        </w:rPr>
        <w:t>آن</w:t>
      </w:r>
      <w:r w:rsidRPr="0025250D">
        <w:rPr>
          <w:rtl/>
        </w:rPr>
        <w:t xml:space="preserve"> </w:t>
      </w:r>
      <w:r w:rsidRPr="0025250D">
        <w:rPr>
          <w:rFonts w:hint="cs"/>
          <w:rtl/>
        </w:rPr>
        <w:t>بهتر</w:t>
      </w:r>
      <w:r w:rsidRPr="0025250D">
        <w:rPr>
          <w:rtl/>
        </w:rPr>
        <w:t xml:space="preserve"> </w:t>
      </w:r>
      <w:r w:rsidRPr="0025250D">
        <w:rPr>
          <w:rFonts w:hint="cs"/>
          <w:rtl/>
        </w:rPr>
        <w:t>عمل</w:t>
      </w:r>
      <w:r w:rsidRPr="0025250D">
        <w:rPr>
          <w:rtl/>
        </w:rPr>
        <w:t xml:space="preserve"> می‌</w:t>
      </w:r>
      <w:r w:rsidRPr="0025250D">
        <w:rPr>
          <w:rFonts w:hint="cs"/>
          <w:rtl/>
        </w:rPr>
        <w:t>کنند. یک یادگیرنده</w:t>
      </w:r>
      <w:r w:rsidRPr="0025250D">
        <w:rPr>
          <w:rFonts w:hint="cs"/>
        </w:rPr>
        <w:t>‌</w:t>
      </w:r>
      <w:r w:rsidRPr="0025250D">
        <w:rPr>
          <w:rFonts w:hint="cs"/>
          <w:rtl/>
        </w:rPr>
        <w:t xml:space="preserve"> خوب از تاریخ گذشته ممکن است به ریشه</w:t>
      </w:r>
      <w:r w:rsidRPr="0025250D">
        <w:rPr>
          <w:rFonts w:hint="cs"/>
        </w:rPr>
        <w:t>‌</w:t>
      </w:r>
      <w:r w:rsidRPr="0025250D">
        <w:rPr>
          <w:rFonts w:hint="cs"/>
          <w:rtl/>
        </w:rPr>
        <w:t xml:space="preserve"> داده‌ها، ارجاع منابع و کیفیت داده‌های آن‌ها و فرضیات موجود در پس آن‌ها علاقه داشته باشد. آن‌ها همچنین بین استفاده از داده‌های موجود و دریافت داده‌های بهتر برای روندها، </w:t>
      </w:r>
      <w:r w:rsidR="00FB6A7E" w:rsidRPr="0025250D">
        <w:rPr>
          <w:rFonts w:hint="cs"/>
          <w:rtl/>
        </w:rPr>
        <w:t>پیش‌نگری</w:t>
      </w:r>
      <w:r w:rsidRPr="0025250D">
        <w:rPr>
          <w:rFonts w:hint="cs"/>
          <w:rtl/>
        </w:rPr>
        <w:t xml:space="preserve">‌ها و مدل‌های خود </w:t>
      </w:r>
      <w:r w:rsidR="007118DE" w:rsidRPr="0025250D">
        <w:rPr>
          <w:rFonts w:hint="cs"/>
          <w:rtl/>
        </w:rPr>
        <w:t>سبک‌سنگین</w:t>
      </w:r>
      <w:r w:rsidRPr="0025250D">
        <w:rPr>
          <w:rFonts w:hint="cs"/>
          <w:rtl/>
        </w:rPr>
        <w:t xml:space="preserve"> می‌کنند. برخی دیگر از افراد به طور طبیعی در یادگیری از زمان حال (</w:t>
      </w:r>
      <w:r w:rsidR="00B124DE" w:rsidRPr="0025250D">
        <w:rPr>
          <w:rFonts w:hint="cs"/>
          <w:rtl/>
        </w:rPr>
        <w:t>جمع‌آوری</w:t>
      </w:r>
      <w:r w:rsidRPr="0025250D">
        <w:rPr>
          <w:rFonts w:hint="cs"/>
          <w:rtl/>
        </w:rPr>
        <w:t xml:space="preserve"> اطلاعات، پایش رویداد‌ها، افق پویی) بهتر هستند. آن‌ها توجه زیادی به پویش، منبع یابی و تفسیر داده‌ها دارند. اگر</w:t>
      </w:r>
      <w:r w:rsidR="007118DE" w:rsidRPr="0025250D">
        <w:rPr>
          <w:rFonts w:hint="cs"/>
          <w:rtl/>
        </w:rPr>
        <w:t xml:space="preserve"> </w:t>
      </w:r>
      <w:r w:rsidRPr="0025250D">
        <w:rPr>
          <w:rFonts w:hint="cs"/>
          <w:rtl/>
        </w:rPr>
        <w:t xml:space="preserve">هر دو اولویت را در فرایند یادگیری خود نداشته باشیم، کیفیت کارمان کاهش خواهد یافت. به طور </w:t>
      </w:r>
      <w:r w:rsidR="0008779C" w:rsidRPr="0025250D">
        <w:rPr>
          <w:rFonts w:hint="cs"/>
          <w:rtl/>
        </w:rPr>
        <w:t>ایدئال</w:t>
      </w:r>
      <w:r w:rsidRPr="0025250D">
        <w:rPr>
          <w:rFonts w:hint="cs"/>
          <w:rtl/>
        </w:rPr>
        <w:t>، یادگیرندگان ما از انجام هر دو مورد لذت خواهند برد، اما اگر اینطور نباشد، باید این موارد را به عنوان فرایند‌های جداگانه انجام دهیم.</w:t>
      </w:r>
    </w:p>
    <w:p w14:paraId="2E0BDB10" w14:textId="01648CB1" w:rsidR="00537CC8" w:rsidRPr="0025250D" w:rsidRDefault="00537CC8" w:rsidP="00537CC8">
      <w:pPr>
        <w:rPr>
          <w:rtl/>
        </w:rPr>
      </w:pPr>
      <w:r w:rsidRPr="0025250D">
        <w:rPr>
          <w:rFonts w:hint="cs"/>
          <w:rtl/>
        </w:rPr>
        <w:t>یک قاعده</w:t>
      </w:r>
      <w:r w:rsidRPr="0025250D">
        <w:rPr>
          <w:rFonts w:hint="cs"/>
        </w:rPr>
        <w:t>‌</w:t>
      </w:r>
      <w:r w:rsidRPr="0025250D">
        <w:rPr>
          <w:rFonts w:hint="cs"/>
          <w:rtl/>
        </w:rPr>
        <w:t xml:space="preserve"> کاملا شناخته شده از </w:t>
      </w:r>
      <w:r w:rsidR="00FB6A7E" w:rsidRPr="0025250D">
        <w:rPr>
          <w:rFonts w:hint="cs"/>
          <w:rtl/>
        </w:rPr>
        <w:t>پیش‌نگری</w:t>
      </w:r>
      <w:r w:rsidRPr="0025250D">
        <w:rPr>
          <w:rFonts w:hint="cs"/>
          <w:rtl/>
        </w:rPr>
        <w:t xml:space="preserve"> این است که ما باید ابتدا حداقل دو برابر میزانی که می‌خواهیم به جلو نگاه کنیم، به عقب بنگریم تا روندها، چرخه‌ها، عوامل علی و مدل‌هایی که بیش از همه مبتنی بر شواهد هستند و برای هر </w:t>
      </w:r>
      <w:r w:rsidR="008D6F97" w:rsidRPr="0025250D">
        <w:rPr>
          <w:rFonts w:hint="cs"/>
          <w:rtl/>
        </w:rPr>
        <w:t>سامانه‌</w:t>
      </w:r>
      <w:r w:rsidRPr="0025250D">
        <w:rPr>
          <w:rFonts w:hint="cs"/>
          <w:rtl/>
        </w:rPr>
        <w:t xml:space="preserve"> پیچیده‌ای کاربرد دارند را ببینیم. در طول فعالیت‌های یادگیری، ما باید همچنین رویکردی کنجکاوانه، انتقادی و مبتنی بر شواهد داشته باشیم. ما همچنین باید به دنبال درونداد‌های انتقادی از متفکرین مختلف و </w:t>
      </w:r>
      <w:r w:rsidRPr="0025250D">
        <w:t>SME</w:t>
      </w:r>
      <w:r w:rsidRPr="0025250D">
        <w:rPr>
          <w:rFonts w:hint="cs"/>
          <w:rtl/>
        </w:rPr>
        <w:t>‌ها</w:t>
      </w:r>
      <w:r w:rsidR="007118DE" w:rsidRPr="0025250D">
        <w:rPr>
          <w:rFonts w:hint="cs"/>
          <w:rtl/>
        </w:rPr>
        <w:t>یی</w:t>
      </w:r>
      <w:r w:rsidRPr="0025250D">
        <w:rPr>
          <w:rFonts w:hint="cs"/>
          <w:rtl/>
        </w:rPr>
        <w:t xml:space="preserve"> (متخصصین موضوعی) با تجربه</w:t>
      </w:r>
      <w:r w:rsidRPr="0025250D">
        <w:rPr>
          <w:rFonts w:hint="cs"/>
        </w:rPr>
        <w:t>‌</w:t>
      </w:r>
      <w:r w:rsidRPr="0025250D">
        <w:rPr>
          <w:rFonts w:hint="cs"/>
          <w:rtl/>
        </w:rPr>
        <w:t xml:space="preserve"> عمیق در حوزه</w:t>
      </w:r>
      <w:r w:rsidRPr="0025250D">
        <w:rPr>
          <w:rFonts w:hint="cs"/>
        </w:rPr>
        <w:t>‌</w:t>
      </w:r>
      <w:r w:rsidRPr="0025250D">
        <w:rPr>
          <w:rFonts w:hint="cs"/>
          <w:rtl/>
        </w:rPr>
        <w:t xml:space="preserve"> مورد بررسی باشیم. فعالان </w:t>
      </w:r>
      <w:r w:rsidRPr="0025250D">
        <w:rPr>
          <w:rtl/>
        </w:rPr>
        <w:t>آینده‌نگاری</w:t>
      </w:r>
      <w:r w:rsidRPr="0025250D">
        <w:rPr>
          <w:rFonts w:hint="cs"/>
          <w:rtl/>
        </w:rPr>
        <w:t xml:space="preserve"> که به یادگیری کمتر توجه می‌کنند، ممکن است با مدل‌هایی قدیمی</w:t>
      </w:r>
      <w:r w:rsidR="007118DE" w:rsidRPr="0025250D">
        <w:rPr>
          <w:rFonts w:hint="cs"/>
          <w:rtl/>
        </w:rPr>
        <w:t>‌تر</w:t>
      </w:r>
      <w:r w:rsidRPr="0025250D">
        <w:rPr>
          <w:rFonts w:hint="cs"/>
          <w:rtl/>
        </w:rPr>
        <w:t xml:space="preserve"> و ضعیف</w:t>
      </w:r>
      <w:r w:rsidR="007118DE" w:rsidRPr="0025250D">
        <w:rPr>
          <w:rFonts w:hint="cs"/>
          <w:rtl/>
        </w:rPr>
        <w:t>‌</w:t>
      </w:r>
      <w:r w:rsidRPr="0025250D">
        <w:rPr>
          <w:rFonts w:hint="cs"/>
          <w:rtl/>
        </w:rPr>
        <w:t>تر و اطلاعات منسوخ شده وارد حل مسئله شوند و ممکن است توصیه</w:t>
      </w:r>
      <w:r w:rsidRPr="0025250D">
        <w:rPr>
          <w:rFonts w:hint="cs"/>
        </w:rPr>
        <w:t>‌</w:t>
      </w:r>
      <w:r w:rsidRPr="0025250D">
        <w:rPr>
          <w:rFonts w:hint="cs"/>
          <w:rtl/>
        </w:rPr>
        <w:t xml:space="preserve"> افراد متخصص را نادیده بگیرند. خوشبختانه، آنچه را که در ابتدا نادیده می‌گیریم، می‌تواند اغلب در صورتی که حلقه‌های انجام را سریع و به خوبی انجام دهیم، اصلاح شود. با استفاده از بازخورد از تجارب متنوع در مهارت بازبینی، می‌توانیم بسیاری از خطا‌های اولیه را تصحیح کنیم.</w:t>
      </w:r>
    </w:p>
    <w:p w14:paraId="17DFAE0F" w14:textId="034A4ADF" w:rsidR="00537CC8" w:rsidRPr="0025250D" w:rsidRDefault="00537CC8" w:rsidP="00537CC8">
      <w:pPr>
        <w:rPr>
          <w:rtl/>
        </w:rPr>
      </w:pPr>
      <w:r w:rsidRPr="0025250D">
        <w:rPr>
          <w:rFonts w:hint="cs"/>
          <w:rtl/>
        </w:rPr>
        <w:t xml:space="preserve">عدم پرداختن کافی به هر یک از مهارت‌های </w:t>
      </w:r>
      <w:r w:rsidRPr="0025250D">
        <w:t>LAIS</w:t>
      </w:r>
      <w:r w:rsidRPr="0025250D">
        <w:rPr>
          <w:rFonts w:hint="cs"/>
          <w:rtl/>
        </w:rPr>
        <w:t xml:space="preserve"> می‌تواند چهار خطای (گناه</w:t>
      </w:r>
      <w:r w:rsidRPr="0025250D">
        <w:rPr>
          <w:vertAlign w:val="superscript"/>
          <w:rtl/>
        </w:rPr>
        <w:footnoteReference w:id="1075"/>
      </w:r>
      <w:r w:rsidRPr="0025250D">
        <w:rPr>
          <w:rFonts w:hint="cs"/>
          <w:rtl/>
        </w:rPr>
        <w:t xml:space="preserve">) اصلی </w:t>
      </w:r>
      <w:r w:rsidRPr="0025250D">
        <w:rPr>
          <w:rtl/>
        </w:rPr>
        <w:t>آینده‌نگاری</w:t>
      </w:r>
      <w:r w:rsidRPr="0025250D">
        <w:rPr>
          <w:rFonts w:hint="cs"/>
          <w:rtl/>
        </w:rPr>
        <w:t xml:space="preserve"> نامیده شود. </w:t>
      </w:r>
      <w:r w:rsidR="007118DE" w:rsidRPr="0025250D">
        <w:rPr>
          <w:rFonts w:hint="cs"/>
          <w:rtl/>
        </w:rPr>
        <w:t>مهم‌تر</w:t>
      </w:r>
      <w:r w:rsidRPr="0025250D">
        <w:rPr>
          <w:rFonts w:hint="cs"/>
          <w:rtl/>
        </w:rPr>
        <w:t xml:space="preserve">ین خطاهایی که باید در کار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از آن‌ها دوری کنیم این موارد هستند:</w:t>
      </w:r>
    </w:p>
    <w:p w14:paraId="7B254698" w14:textId="47F8AC57" w:rsidR="00537CC8" w:rsidRPr="0025250D" w:rsidRDefault="00537CC8" w:rsidP="00492C47">
      <w:pPr>
        <w:numPr>
          <w:ilvl w:val="0"/>
          <w:numId w:val="29"/>
        </w:numPr>
      </w:pPr>
      <w:r w:rsidRPr="0025250D">
        <w:rPr>
          <w:rFonts w:hint="cs"/>
          <w:rtl/>
        </w:rPr>
        <w:t>عدم آشکاری سازی گذشته و حال مرتبط به میزان کافی (یادگیری)</w:t>
      </w:r>
    </w:p>
    <w:p w14:paraId="60122A8E" w14:textId="0448550A" w:rsidR="00537CC8" w:rsidRPr="0025250D" w:rsidRDefault="00537CC8" w:rsidP="00492C47">
      <w:pPr>
        <w:numPr>
          <w:ilvl w:val="0"/>
          <w:numId w:val="29"/>
        </w:numPr>
      </w:pPr>
      <w:r w:rsidRPr="0025250D">
        <w:rPr>
          <w:rFonts w:hint="cs"/>
          <w:rtl/>
        </w:rPr>
        <w:t>عدم کشف آینده‌های محتمل به میزان کافی (</w:t>
      </w:r>
      <w:r w:rsidR="00923DDB" w:rsidRPr="0025250D">
        <w:rPr>
          <w:rFonts w:hint="cs"/>
          <w:rtl/>
        </w:rPr>
        <w:t>پیش‌انگاری</w:t>
      </w:r>
      <w:r w:rsidRPr="0025250D">
        <w:rPr>
          <w:rFonts w:hint="cs"/>
          <w:rtl/>
        </w:rPr>
        <w:t>)</w:t>
      </w:r>
    </w:p>
    <w:p w14:paraId="33F774CF" w14:textId="39557FDF" w:rsidR="00537CC8" w:rsidRPr="0025250D" w:rsidRDefault="00537CC8" w:rsidP="00492C47">
      <w:pPr>
        <w:numPr>
          <w:ilvl w:val="0"/>
          <w:numId w:val="29"/>
        </w:numPr>
      </w:pPr>
      <w:r w:rsidRPr="0025250D">
        <w:rPr>
          <w:rFonts w:hint="cs"/>
          <w:rtl/>
        </w:rPr>
        <w:t>کاوش ناکافی آینده‌های ممکن (نوآوری)</w:t>
      </w:r>
    </w:p>
    <w:p w14:paraId="37490044" w14:textId="201754BF" w:rsidR="00537CC8" w:rsidRPr="0025250D" w:rsidRDefault="00537CC8" w:rsidP="00492C47">
      <w:pPr>
        <w:numPr>
          <w:ilvl w:val="0"/>
          <w:numId w:val="29"/>
        </w:numPr>
      </w:pPr>
      <w:r w:rsidRPr="0025250D">
        <w:rPr>
          <w:rFonts w:hint="cs"/>
          <w:rtl/>
        </w:rPr>
        <w:t>عدم ترسیم کافی آینده‌های مرجح و قابل اجتناب (</w:t>
      </w:r>
      <w:r w:rsidR="00701E03" w:rsidRPr="0025250D">
        <w:rPr>
          <w:rFonts w:hint="cs"/>
          <w:rtl/>
        </w:rPr>
        <w:t>راهبرد</w:t>
      </w:r>
      <w:r w:rsidRPr="0025250D">
        <w:rPr>
          <w:rFonts w:hint="cs"/>
          <w:rtl/>
        </w:rPr>
        <w:t>).</w:t>
      </w:r>
    </w:p>
    <w:p w14:paraId="069C0D18" w14:textId="6B215D52" w:rsidR="00537CC8" w:rsidRPr="0025250D" w:rsidRDefault="00537CC8" w:rsidP="00537CC8">
      <w:pPr>
        <w:rPr>
          <w:rtl/>
        </w:rPr>
      </w:pPr>
      <w:r w:rsidRPr="0025250D">
        <w:rPr>
          <w:rFonts w:hint="cs"/>
          <w:rtl/>
        </w:rPr>
        <w:t xml:space="preserve">به علاوه، ترتیب انجام </w:t>
      </w:r>
      <w:r w:rsidRPr="0025250D">
        <w:t>LAIS</w:t>
      </w:r>
      <w:r w:rsidRPr="0025250D">
        <w:rPr>
          <w:rFonts w:hint="cs"/>
          <w:rtl/>
        </w:rPr>
        <w:t xml:space="preserve"> به نظر اغلب دارای اهمیت است، به ویژه در ابتدای کار </w:t>
      </w:r>
      <w:r w:rsidRPr="0025250D">
        <w:rPr>
          <w:rtl/>
        </w:rPr>
        <w:t>آینده‌نگاری</w:t>
      </w:r>
      <w:r w:rsidRPr="0025250D">
        <w:rPr>
          <w:rFonts w:hint="cs"/>
          <w:rtl/>
        </w:rPr>
        <w:t xml:space="preserve">. درست </w:t>
      </w:r>
      <w:r w:rsidR="007118DE" w:rsidRPr="0025250D">
        <w:rPr>
          <w:rFonts w:hint="cs"/>
          <w:rtl/>
        </w:rPr>
        <w:t>همان‌طور</w:t>
      </w:r>
      <w:r w:rsidRPr="0025250D">
        <w:rPr>
          <w:rFonts w:hint="cs"/>
          <w:rtl/>
        </w:rPr>
        <w:t xml:space="preserve"> که تقابل </w:t>
      </w:r>
      <w:r w:rsidR="002B6515" w:rsidRPr="0025250D">
        <w:rPr>
          <w:rtl/>
        </w:rPr>
        <w:t>حس‌داد</w:t>
      </w:r>
      <w:r w:rsidRPr="0025250D">
        <w:rPr>
          <w:rFonts w:hint="cs"/>
          <w:rtl/>
        </w:rPr>
        <w:t xml:space="preserve"> یک ترتیب </w:t>
      </w:r>
      <w:r w:rsidR="0008779C" w:rsidRPr="0025250D">
        <w:rPr>
          <w:rFonts w:hint="cs"/>
          <w:rtl/>
        </w:rPr>
        <w:t>ایدئال</w:t>
      </w:r>
      <w:r w:rsidRPr="0025250D">
        <w:rPr>
          <w:rFonts w:hint="cs"/>
          <w:rtl/>
        </w:rPr>
        <w:t xml:space="preserve"> دارد که به شکل تجربی کشف شده است، ما اعتقاد داریم که تقابل </w:t>
      </w:r>
      <w:r w:rsidR="00D92F6E" w:rsidRPr="0025250D">
        <w:rPr>
          <w:rFonts w:hint="cs"/>
          <w:rtl/>
        </w:rPr>
        <w:t>پیش‌بین</w:t>
      </w:r>
      <w:r w:rsidRPr="0025250D">
        <w:rPr>
          <w:rFonts w:hint="cs"/>
          <w:rtl/>
        </w:rPr>
        <w:t xml:space="preserve"> و یادگیری پیش از </w:t>
      </w:r>
      <w:r w:rsidR="00D92F6E" w:rsidRPr="0025250D">
        <w:rPr>
          <w:rFonts w:hint="cs"/>
          <w:rtl/>
        </w:rPr>
        <w:t>پیش‌بین</w:t>
      </w:r>
      <w:r w:rsidRPr="0025250D">
        <w:rPr>
          <w:rFonts w:hint="cs"/>
          <w:rtl/>
        </w:rPr>
        <w:t xml:space="preserve">ی نیز دارای ترتیب هستند. می‌توانیم </w:t>
      </w:r>
      <w:r w:rsidRPr="0025250D">
        <w:t>LAIS</w:t>
      </w:r>
      <w:r w:rsidRPr="0025250D">
        <w:rPr>
          <w:rFonts w:hint="cs"/>
          <w:rtl/>
        </w:rPr>
        <w:t xml:space="preserve"> (یا اگر </w:t>
      </w:r>
      <w:r w:rsidRPr="0025250D">
        <w:t>REOPS</w:t>
      </w:r>
      <w:r w:rsidRPr="0025250D">
        <w:rPr>
          <w:rFonts w:hint="cs"/>
          <w:rtl/>
        </w:rPr>
        <w:t xml:space="preserve"> را ترجیح می‌دهید) را ترتیب اولیه</w:t>
      </w:r>
      <w:r w:rsidRPr="0025250D">
        <w:rPr>
          <w:rFonts w:hint="cs"/>
        </w:rPr>
        <w:t>‌</w:t>
      </w:r>
      <w:r w:rsidRPr="0025250D">
        <w:rPr>
          <w:rFonts w:hint="cs"/>
          <w:rtl/>
        </w:rPr>
        <w:t xml:space="preserve"> عملیات در انجام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بدانیم. این توالی است که به بهترین شکل در تولید </w:t>
      </w:r>
      <w:r w:rsidRPr="0025250D">
        <w:rPr>
          <w:rtl/>
        </w:rPr>
        <w:t>آینده‌نگاری</w:t>
      </w:r>
      <w:r w:rsidRPr="0025250D">
        <w:rPr>
          <w:rFonts w:hint="cs"/>
          <w:rtl/>
        </w:rPr>
        <w:t xml:space="preserve"> استفاده می‌شود. تصویر زیر ترتیب معمول را که یادگیری در آن به عنوان قاعده</w:t>
      </w:r>
      <w:r w:rsidRPr="0025250D">
        <w:rPr>
          <w:rFonts w:hint="cs"/>
        </w:rPr>
        <w:t>‌</w:t>
      </w:r>
      <w:r w:rsidRPr="0025250D">
        <w:rPr>
          <w:rFonts w:hint="cs"/>
          <w:rtl/>
        </w:rPr>
        <w:t xml:space="preserve"> هرم </w:t>
      </w:r>
      <w:r w:rsidRPr="0025250D">
        <w:rPr>
          <w:rtl/>
        </w:rPr>
        <w:t>آینده‌نگاری</w:t>
      </w:r>
      <w:r w:rsidRPr="0025250D">
        <w:rPr>
          <w:rFonts w:hint="cs"/>
          <w:rtl/>
        </w:rPr>
        <w:t xml:space="preserve"> قرار دارد، نشان می‌دهد.</w:t>
      </w:r>
    </w:p>
    <w:p w14:paraId="2BAF03C6" w14:textId="7D541D31" w:rsidR="00537CC8" w:rsidRPr="0025250D" w:rsidRDefault="00537CC8" w:rsidP="00537CC8">
      <w:pPr>
        <w:rPr>
          <w:rtl/>
        </w:rPr>
      </w:pPr>
      <w:r w:rsidRPr="0025250D">
        <w:rPr>
          <w:rFonts w:hint="cs"/>
          <w:rtl/>
        </w:rPr>
        <w:t xml:space="preserve">به طور خلاصه، در مدل </w:t>
      </w:r>
      <w:r w:rsidRPr="0025250D">
        <w:t>LAIS</w:t>
      </w:r>
      <w:r w:rsidRPr="0025250D">
        <w:rPr>
          <w:rFonts w:hint="cs"/>
          <w:rtl/>
        </w:rPr>
        <w:t xml:space="preserve"> (یا </w:t>
      </w:r>
      <w:r w:rsidRPr="0025250D">
        <w:t>REOPS</w:t>
      </w:r>
      <w:r w:rsidRPr="0025250D">
        <w:rPr>
          <w:rFonts w:hint="cs"/>
          <w:rtl/>
        </w:rPr>
        <w:t xml:space="preserve">)،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خوب:</w:t>
      </w:r>
    </w:p>
    <w:p w14:paraId="7430834A" w14:textId="3A1AE8D9" w:rsidR="00537CC8" w:rsidRPr="0025250D" w:rsidRDefault="00537CC8" w:rsidP="00492C47">
      <w:pPr>
        <w:numPr>
          <w:ilvl w:val="0"/>
          <w:numId w:val="30"/>
        </w:numPr>
      </w:pPr>
      <w:r w:rsidRPr="0025250D">
        <w:rPr>
          <w:rFonts w:hint="cs"/>
          <w:rtl/>
        </w:rPr>
        <w:t>ابتدا با یادگیری (تحقیق) هم درمورد تاریخ مرتبط و هم در مورد وضعیت موجود آغاز می‌شود،</w:t>
      </w:r>
    </w:p>
    <w:p w14:paraId="0429AF37" w14:textId="367768F4" w:rsidR="00537CC8" w:rsidRPr="0025250D" w:rsidRDefault="00537CC8" w:rsidP="00492C47">
      <w:pPr>
        <w:numPr>
          <w:ilvl w:val="0"/>
          <w:numId w:val="30"/>
        </w:numPr>
      </w:pPr>
      <w:r w:rsidRPr="0025250D">
        <w:rPr>
          <w:rtl/>
        </w:rPr>
        <w:t>آینده‌نگاری</w:t>
      </w:r>
      <w:r w:rsidRPr="0025250D">
        <w:rPr>
          <w:rFonts w:hint="cs"/>
          <w:rtl/>
        </w:rPr>
        <w:t xml:space="preserve"> </w:t>
      </w:r>
      <w:r w:rsidR="00127C91" w:rsidRPr="0025250D">
        <w:rPr>
          <w:rFonts w:hint="cs"/>
          <w:rtl/>
        </w:rPr>
        <w:t xml:space="preserve">موارد </w:t>
      </w:r>
      <w:r w:rsidRPr="0025250D">
        <w:rPr>
          <w:rFonts w:hint="cs"/>
          <w:rtl/>
        </w:rPr>
        <w:t xml:space="preserve">محتمل (روندها و قیود) را </w:t>
      </w:r>
      <w:r w:rsidR="00923DDB" w:rsidRPr="0025250D">
        <w:rPr>
          <w:rFonts w:hint="cs"/>
          <w:rtl/>
        </w:rPr>
        <w:t>پیش‌انگاری</w:t>
      </w:r>
      <w:r w:rsidRPr="0025250D">
        <w:rPr>
          <w:rFonts w:hint="cs"/>
          <w:rtl/>
        </w:rPr>
        <w:t xml:space="preserve"> می‌کند (انتظارت)،</w:t>
      </w:r>
    </w:p>
    <w:p w14:paraId="4E3371E0" w14:textId="77777777" w:rsidR="00537CC8" w:rsidRPr="0025250D" w:rsidRDefault="00537CC8" w:rsidP="00492C47">
      <w:pPr>
        <w:numPr>
          <w:ilvl w:val="0"/>
          <w:numId w:val="30"/>
        </w:numPr>
      </w:pPr>
      <w:r w:rsidRPr="0025250D">
        <w:rPr>
          <w:rtl/>
        </w:rPr>
        <w:t>آینده‌نگاری</w:t>
      </w:r>
      <w:r w:rsidRPr="0025250D">
        <w:rPr>
          <w:rFonts w:hint="cs"/>
          <w:rtl/>
        </w:rPr>
        <w:t xml:space="preserve"> موارد ممکن مرتبط را نوآوری</w:t>
      </w:r>
      <w:r w:rsidRPr="0025250D">
        <w:rPr>
          <w:vertAlign w:val="superscript"/>
          <w:rtl/>
        </w:rPr>
        <w:footnoteReference w:id="1076"/>
      </w:r>
      <w:r w:rsidRPr="0025250D">
        <w:rPr>
          <w:rFonts w:hint="cs"/>
          <w:rtl/>
        </w:rPr>
        <w:t xml:space="preserve"> می‌کند (گزینه ها) (کاوش، تصور و نمونه سازی)</w:t>
      </w:r>
    </w:p>
    <w:p w14:paraId="26A46E40" w14:textId="38932A75" w:rsidR="00537CC8" w:rsidRPr="0025250D" w:rsidRDefault="00701E03" w:rsidP="00492C47">
      <w:pPr>
        <w:numPr>
          <w:ilvl w:val="0"/>
          <w:numId w:val="30"/>
        </w:numPr>
      </w:pPr>
      <w:r w:rsidRPr="0025250D">
        <w:rPr>
          <w:rFonts w:hint="cs"/>
          <w:rtl/>
        </w:rPr>
        <w:t>راهبرد</w:t>
      </w:r>
      <w:r w:rsidR="00537CC8" w:rsidRPr="0025250D">
        <w:rPr>
          <w:rFonts w:hint="cs"/>
          <w:rtl/>
        </w:rPr>
        <w:t xml:space="preserve">، شامل اولویت‌ها و عقبگرد‌هایی را که می‌توانند به شکل </w:t>
      </w:r>
      <w:r w:rsidR="00923DDB" w:rsidRPr="0025250D">
        <w:rPr>
          <w:rFonts w:hint="cs"/>
          <w:rtl/>
        </w:rPr>
        <w:t>باورپذیر</w:t>
      </w:r>
      <w:r w:rsidR="00537CC8" w:rsidRPr="0025250D">
        <w:rPr>
          <w:rFonts w:hint="cs"/>
          <w:rtl/>
        </w:rPr>
        <w:t>ی راه این اولویت‌ها را سد کنند ایجاد می‌کند،</w:t>
      </w:r>
    </w:p>
    <w:p w14:paraId="0D2658DB" w14:textId="79A22ECE" w:rsidR="00537CC8" w:rsidRPr="0025250D" w:rsidRDefault="00537CC8" w:rsidP="00492C47">
      <w:pPr>
        <w:numPr>
          <w:ilvl w:val="0"/>
          <w:numId w:val="30"/>
        </w:numPr>
        <w:rPr>
          <w:rtl/>
        </w:rPr>
      </w:pPr>
      <w:r w:rsidRPr="0025250D">
        <w:rPr>
          <w:rFonts w:hint="cs"/>
          <w:rtl/>
        </w:rPr>
        <w:t xml:space="preserve">سپس </w:t>
      </w:r>
      <w:r w:rsidR="00701E03" w:rsidRPr="0025250D">
        <w:rPr>
          <w:rFonts w:hint="cs"/>
          <w:rtl/>
        </w:rPr>
        <w:t>راهبرد</w:t>
      </w:r>
      <w:r w:rsidRPr="0025250D">
        <w:rPr>
          <w:rFonts w:hint="cs"/>
          <w:rtl/>
        </w:rPr>
        <w:t>‌ها از طریق عمل و بازخورد، توسط چهار مهارت عملی آزمون می‌شوند.</w:t>
      </w:r>
    </w:p>
    <w:p w14:paraId="132B879A" w14:textId="1D8B7C2A" w:rsidR="00537CC8" w:rsidRPr="0025250D" w:rsidRDefault="00A9319B" w:rsidP="00C65749">
      <w:pPr>
        <w:jc w:val="center"/>
        <w:rPr>
          <w:rtl/>
        </w:rPr>
      </w:pPr>
      <w:r w:rsidRPr="0025250D">
        <w:rPr>
          <w:noProof/>
        </w:rPr>
        <w:drawing>
          <wp:inline distT="0" distB="0" distL="0" distR="0" wp14:anchorId="5B9F625E" wp14:editId="381C3945">
            <wp:extent cx="3013544" cy="2701518"/>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3016895" cy="2704522"/>
                    </a:xfrm>
                    <a:prstGeom prst="rect">
                      <a:avLst/>
                    </a:prstGeom>
                    <a:noFill/>
                  </pic:spPr>
                </pic:pic>
              </a:graphicData>
            </a:graphic>
          </wp:inline>
        </w:drawing>
      </w:r>
    </w:p>
    <w:p w14:paraId="07FDE1B6" w14:textId="7A05FB16" w:rsidR="00537CC8" w:rsidRPr="0025250D" w:rsidRDefault="00537CC8" w:rsidP="00537CC8">
      <w:pPr>
        <w:rPr>
          <w:rtl/>
        </w:rPr>
      </w:pPr>
      <w:r w:rsidRPr="0025250D">
        <w:rPr>
          <w:rFonts w:hint="cs"/>
          <w:rtl/>
        </w:rPr>
        <w:t xml:space="preserve"> در عمل، بر حسب نیاز در میان مهارت‌های </w:t>
      </w:r>
      <w:r w:rsidRPr="0025250D">
        <w:t>LAIS</w:t>
      </w:r>
      <w:r w:rsidRPr="0025250D">
        <w:rPr>
          <w:rFonts w:hint="cs"/>
          <w:rtl/>
        </w:rPr>
        <w:t xml:space="preserve"> (چرخه</w:t>
      </w:r>
      <w:r w:rsidRPr="0025250D">
        <w:rPr>
          <w:rFonts w:hint="cs"/>
        </w:rPr>
        <w:t xml:space="preserve">‌ </w:t>
      </w:r>
      <w:r w:rsidRPr="0025250D">
        <w:t>REOPS</w:t>
      </w:r>
      <w:r w:rsidRPr="0025250D">
        <w:rPr>
          <w:rFonts w:hint="cs"/>
          <w:rtl/>
        </w:rPr>
        <w:t>) به سمت عقب یا جلو حرکت می‌کنیم. با این حال این ترتیب عملیاتی اغلب مؤثرترین راه برای آغاز کار ماست. به این دلیل که این ترتیب بر اساس حلقه</w:t>
      </w:r>
      <w:r w:rsidRPr="0025250D">
        <w:rPr>
          <w:rFonts w:hint="cs"/>
        </w:rPr>
        <w:t>‌</w:t>
      </w:r>
      <w:r w:rsidRPr="0025250D">
        <w:rPr>
          <w:rFonts w:hint="cs"/>
          <w:rtl/>
        </w:rPr>
        <w:t xml:space="preserve"> انجام، چرخه</w:t>
      </w:r>
      <w:r w:rsidRPr="0025250D">
        <w:rPr>
          <w:rFonts w:hint="cs"/>
        </w:rPr>
        <w:t>‌</w:t>
      </w:r>
      <w:r w:rsidRPr="0025250D">
        <w:rPr>
          <w:rFonts w:hint="cs"/>
          <w:rtl/>
        </w:rPr>
        <w:t xml:space="preserve"> درک-</w:t>
      </w:r>
      <w:r w:rsidR="0008779C" w:rsidRPr="0025250D">
        <w:rPr>
          <w:rFonts w:hint="cs"/>
          <w:rtl/>
        </w:rPr>
        <w:t>تصمیم‌گیری</w:t>
      </w:r>
      <w:r w:rsidRPr="0025250D">
        <w:rPr>
          <w:rFonts w:hint="cs"/>
          <w:rtl/>
        </w:rPr>
        <w:t>-عمل-بازخورد</w:t>
      </w:r>
      <w:r w:rsidRPr="0025250D">
        <w:rPr>
          <w:vertAlign w:val="superscript"/>
          <w:rtl/>
        </w:rPr>
        <w:footnoteReference w:id="1077"/>
      </w:r>
      <w:r w:rsidRPr="0025250D">
        <w:rPr>
          <w:rFonts w:hint="cs"/>
          <w:rtl/>
        </w:rPr>
        <w:t>، می‌باشد به شکل قابل اتکایی نتایج را ایجاد می‌کند و بهبود می‌بخشد. هرچه چرخه‌های</w:t>
      </w:r>
      <w:r w:rsidR="0008779C" w:rsidRPr="0025250D">
        <w:rPr>
          <w:rFonts w:hint="cs"/>
          <w:rtl/>
        </w:rPr>
        <w:t xml:space="preserve"> بیش‌تر</w:t>
      </w:r>
      <w:r w:rsidRPr="0025250D">
        <w:rPr>
          <w:rFonts w:hint="cs"/>
          <w:rtl/>
        </w:rPr>
        <w:t xml:space="preserve">ی را در این حلقه طی کنیم، در تولید، به کارگیری و ارزشیابی کارِ خوب بهتر می‌شویم. بیایید عمیق تر به هریک از این مهارت‌های </w:t>
      </w:r>
      <w:r w:rsidRPr="0025250D">
        <w:t>LAIS</w:t>
      </w:r>
      <w:r w:rsidRPr="0025250D">
        <w:rPr>
          <w:rFonts w:hint="cs"/>
          <w:rtl/>
        </w:rPr>
        <w:t xml:space="preserve"> ورود کنیم.</w:t>
      </w:r>
    </w:p>
    <w:p w14:paraId="31C8B086" w14:textId="77777777" w:rsidR="00537CC8" w:rsidRPr="0025250D" w:rsidRDefault="00537CC8" w:rsidP="00C65749">
      <w:pPr>
        <w:pStyle w:val="Heading3"/>
        <w:rPr>
          <w:rtl/>
        </w:rPr>
      </w:pPr>
      <w:r w:rsidRPr="0025250D">
        <w:rPr>
          <w:rFonts w:hint="cs"/>
          <w:rtl/>
        </w:rPr>
        <w:t>شعله ور شدن</w:t>
      </w:r>
      <w:r w:rsidRPr="0025250D">
        <w:rPr>
          <w:vertAlign w:val="superscript"/>
          <w:rtl/>
        </w:rPr>
        <w:footnoteReference w:id="1078"/>
      </w:r>
      <w:r w:rsidRPr="0025250D">
        <w:rPr>
          <w:rFonts w:hint="cs"/>
          <w:rtl/>
        </w:rPr>
        <w:t xml:space="preserve"> در گذشته و حال (یادگیری)</w:t>
      </w:r>
    </w:p>
    <w:p w14:paraId="7B28E15D" w14:textId="57362595" w:rsidR="00537CC8" w:rsidRPr="0025250D" w:rsidRDefault="00537CC8" w:rsidP="00537CC8">
      <w:pPr>
        <w:rPr>
          <w:rtl/>
        </w:rPr>
      </w:pPr>
      <w:r w:rsidRPr="0025250D">
        <w:rPr>
          <w:rFonts w:hint="cs"/>
          <w:rtl/>
        </w:rPr>
        <w:t>یادگیری، به طور عمده، از نظر ذهنی واگراست. مطابق بیان یادآور دانشکده</w:t>
      </w:r>
      <w:r w:rsidRPr="0025250D">
        <w:rPr>
          <w:rFonts w:hint="cs"/>
        </w:rPr>
        <w:t>‌</w:t>
      </w:r>
      <w:r w:rsidRPr="0025250D">
        <w:rPr>
          <w:rFonts w:hint="cs"/>
          <w:rtl/>
        </w:rPr>
        <w:t xml:space="preserve"> طراحی </w:t>
      </w:r>
      <w:r w:rsidRPr="0025250D">
        <w:rPr>
          <w:rtl/>
        </w:rPr>
        <w:t>استانفورد</w:t>
      </w:r>
      <w:r w:rsidRPr="0025250D">
        <w:rPr>
          <w:vertAlign w:val="superscript"/>
          <w:rtl/>
        </w:rPr>
        <w:footnoteReference w:id="1079"/>
      </w:r>
      <w:r w:rsidRPr="0025250D">
        <w:rPr>
          <w:rFonts w:hint="cs"/>
          <w:rtl/>
        </w:rPr>
        <w:t xml:space="preserve">، هنگامی که یاد می‌گیریم، در تاریخ‌های احتمالی مرتبط متنوع و گزارشاتی از وضعیت موجود (گزارشات هوشمند) </w:t>
      </w:r>
      <w:r w:rsidRPr="0025250D">
        <w:rPr>
          <w:rtl/>
        </w:rPr>
        <w:t>شعله ور می‌</w:t>
      </w:r>
      <w:r w:rsidRPr="0025250D">
        <w:rPr>
          <w:rFonts w:hint="cs"/>
          <w:rtl/>
        </w:rPr>
        <w:t xml:space="preserve">شویم و به دنبال داده‌ها و روند‌های مفید می‌باشیم. یادگیری ما را برای انجام </w:t>
      </w:r>
      <w:r w:rsidR="00923DDB" w:rsidRPr="0025250D">
        <w:rPr>
          <w:rFonts w:hint="cs"/>
          <w:rtl/>
        </w:rPr>
        <w:t>پیش‌انگاری</w:t>
      </w:r>
      <w:r w:rsidRPr="0025250D">
        <w:rPr>
          <w:rFonts w:hint="cs"/>
          <w:rtl/>
        </w:rPr>
        <w:t xml:space="preserve"> خوب، تلاش جهت دیدن و توصیف جنبه‌های مرتبط آینده</w:t>
      </w:r>
      <w:r w:rsidRPr="0025250D">
        <w:rPr>
          <w:rFonts w:hint="cs"/>
        </w:rPr>
        <w:t>‌</w:t>
      </w:r>
      <w:r w:rsidRPr="0025250D">
        <w:rPr>
          <w:rFonts w:hint="cs"/>
          <w:rtl/>
        </w:rPr>
        <w:t xml:space="preserve"> محتمل آماده می‌کند. یک پویش خوب از گذشته وضعیت روندها، چرخه‌ها، عوامل علی و مدل‌هایی را که می‌توانند بر آینده‌های مورد توجه ما تأثیر بگذارند یا آن‌ها را کنترل کنند، برای ما بیان خواهند کرد. یک پویش خوب از زمان حال</w:t>
      </w:r>
      <w:r w:rsidR="007118DE" w:rsidRPr="0025250D">
        <w:rPr>
          <w:rFonts w:hint="cs"/>
          <w:rtl/>
        </w:rPr>
        <w:t>،</w:t>
      </w:r>
      <w:r w:rsidRPr="0025250D">
        <w:rPr>
          <w:rFonts w:hint="cs"/>
          <w:rtl/>
        </w:rPr>
        <w:t xml:space="preserve"> وضعیت فعلی این روندها، چرخه‌ها و عوامل و مسائل پدیدار شونده</w:t>
      </w:r>
      <w:r w:rsidRPr="0025250D">
        <w:rPr>
          <w:rFonts w:hint="cs"/>
        </w:rPr>
        <w:t>‌</w:t>
      </w:r>
      <w:r w:rsidRPr="0025250D">
        <w:rPr>
          <w:rFonts w:hint="cs"/>
          <w:rtl/>
        </w:rPr>
        <w:t xml:space="preserve"> سطحی را که ممکن است نیاز باشد در نظر بگیریم، </w:t>
      </w:r>
      <w:r w:rsidR="007118DE" w:rsidRPr="0025250D">
        <w:rPr>
          <w:rFonts w:hint="cs"/>
          <w:rtl/>
        </w:rPr>
        <w:t>نشان خواهد داد</w:t>
      </w:r>
      <w:r w:rsidRPr="0025250D">
        <w:rPr>
          <w:rFonts w:hint="cs"/>
          <w:rtl/>
        </w:rPr>
        <w:t>.</w:t>
      </w:r>
    </w:p>
    <w:p w14:paraId="6A5AA112" w14:textId="163ABB6B" w:rsidR="00537CC8" w:rsidRPr="0025250D" w:rsidRDefault="00537CC8" w:rsidP="00537CC8">
      <w:pPr>
        <w:rPr>
          <w:rtl/>
        </w:rPr>
      </w:pPr>
      <w:r w:rsidRPr="0025250D">
        <w:rPr>
          <w:rFonts w:hint="cs"/>
          <w:rtl/>
        </w:rPr>
        <w:t>نادیده گرفتن یا کم توجهی به مرحله</w:t>
      </w:r>
      <w:r w:rsidRPr="0025250D">
        <w:rPr>
          <w:rFonts w:hint="cs"/>
        </w:rPr>
        <w:t>‌</w:t>
      </w:r>
      <w:r w:rsidRPr="0025250D">
        <w:rPr>
          <w:rFonts w:hint="cs"/>
          <w:rtl/>
        </w:rPr>
        <w:t xml:space="preserve"> یادگیری آسان است. در </w:t>
      </w:r>
      <w:r w:rsidRPr="0025250D">
        <w:rPr>
          <w:rtl/>
        </w:rPr>
        <w:t>آینده‌نگاری</w:t>
      </w:r>
      <w:r w:rsidRPr="0025250D">
        <w:rPr>
          <w:rFonts w:hint="cs"/>
          <w:rtl/>
        </w:rPr>
        <w:t xml:space="preserve"> فردی و تیمی</w:t>
      </w:r>
      <w:r w:rsidR="007118DE" w:rsidRPr="0025250D">
        <w:rPr>
          <w:rFonts w:hint="cs"/>
          <w:rtl/>
        </w:rPr>
        <w:t>‌</w:t>
      </w:r>
      <w:r w:rsidRPr="0025250D">
        <w:rPr>
          <w:rFonts w:hint="cs"/>
          <w:rtl/>
        </w:rPr>
        <w:t>مان، اغلب این کار را وقتی انجام می‌دهیم که یک سوگیری نسبت به یک عمل و به ویژه عمل اولویت</w:t>
      </w:r>
      <w:r w:rsidR="007118DE" w:rsidRPr="0025250D">
        <w:rPr>
          <w:rFonts w:hint="cs"/>
          <w:rtl/>
        </w:rPr>
        <w:t>‌</w:t>
      </w:r>
      <w:r w:rsidRPr="0025250D">
        <w:rPr>
          <w:rFonts w:hint="cs"/>
          <w:rtl/>
        </w:rPr>
        <w:t xml:space="preserve">بندی </w:t>
      </w:r>
      <w:r w:rsidR="007118DE" w:rsidRPr="0025250D">
        <w:rPr>
          <w:rFonts w:hint="cs"/>
          <w:rtl/>
        </w:rPr>
        <w:t>ن</w:t>
      </w:r>
      <w:r w:rsidRPr="0025250D">
        <w:rPr>
          <w:rFonts w:hint="cs"/>
          <w:rtl/>
        </w:rPr>
        <w:t>شده</w:t>
      </w:r>
      <w:r w:rsidRPr="0025250D">
        <w:rPr>
          <w:rFonts w:hint="cs"/>
        </w:rPr>
        <w:t>‌</w:t>
      </w:r>
      <w:r w:rsidRPr="0025250D">
        <w:rPr>
          <w:rFonts w:hint="cs"/>
          <w:rtl/>
        </w:rPr>
        <w:t xml:space="preserve"> آسان و </w:t>
      </w:r>
      <w:r w:rsidRPr="0025250D">
        <w:rPr>
          <w:rtl/>
        </w:rPr>
        <w:t>فرح بخش</w:t>
      </w:r>
      <w:r w:rsidRPr="0025250D">
        <w:rPr>
          <w:rFonts w:hint="cs"/>
          <w:rtl/>
        </w:rPr>
        <w:t xml:space="preserve"> (یعنی </w:t>
      </w:r>
      <w:r w:rsidRPr="0025250D">
        <w:rPr>
          <w:rtl/>
        </w:rPr>
        <w:t>به تعو</w:t>
      </w:r>
      <w:r w:rsidRPr="0025250D">
        <w:rPr>
          <w:rFonts w:hint="cs"/>
          <w:rtl/>
        </w:rPr>
        <w:t>ی</w:t>
      </w:r>
      <w:r w:rsidRPr="0025250D">
        <w:rPr>
          <w:rFonts w:hint="eastAsia"/>
          <w:rtl/>
        </w:rPr>
        <w:t>ق</w:t>
      </w:r>
      <w:r w:rsidRPr="0025250D">
        <w:rPr>
          <w:rtl/>
        </w:rPr>
        <w:t xml:space="preserve"> انداختن</w:t>
      </w:r>
      <w:r w:rsidRPr="0025250D">
        <w:rPr>
          <w:rFonts w:hint="cs"/>
          <w:rtl/>
        </w:rPr>
        <w:t xml:space="preserve">) داشته باشیم. اگر زمان لازم برای یادگیری بخشی از تاریخ مسئله، ابزارهای موجود فعلی و این که چگونه متخصصین در حال حاضر به موارد مختلف می‌پردازند اختصاص ندهیم، اغلب زمان ارزشمندی را برای </w:t>
      </w:r>
      <w:r w:rsidRPr="0025250D">
        <w:rPr>
          <w:rtl/>
        </w:rPr>
        <w:t>آینده‌نگاری</w:t>
      </w:r>
      <w:r w:rsidRPr="0025250D">
        <w:rPr>
          <w:rFonts w:hint="cs"/>
          <w:rtl/>
        </w:rPr>
        <w:t xml:space="preserve"> و عمل کم ارزش یا اختراع دوباره چرخ از دست می‌دهیم، در حالی که همواره می‌توانستیم از آن بهره ببریم.</w:t>
      </w:r>
    </w:p>
    <w:p w14:paraId="31E22C25" w14:textId="707194CA" w:rsidR="00537CC8" w:rsidRPr="0025250D" w:rsidRDefault="00537CC8" w:rsidP="00537CC8">
      <w:pPr>
        <w:rPr>
          <w:rtl/>
        </w:rPr>
      </w:pPr>
      <w:r w:rsidRPr="0025250D">
        <w:rPr>
          <w:rFonts w:hint="cs"/>
          <w:rtl/>
        </w:rPr>
        <w:t xml:space="preserve">بسیاری از سازمان‌ها نیز به یادگیری بی توجهی می‌کنند، به ویژه وقتی تیم‌های </w:t>
      </w:r>
      <w:r w:rsidR="00701E03" w:rsidRPr="0025250D">
        <w:rPr>
          <w:rFonts w:hint="cs"/>
          <w:rtl/>
        </w:rPr>
        <w:t>راهبرد</w:t>
      </w:r>
      <w:r w:rsidRPr="0025250D">
        <w:rPr>
          <w:rFonts w:hint="cs"/>
          <w:rtl/>
        </w:rPr>
        <w:t xml:space="preserve"> از نظر زمانی تحت فشار هستند. اگر یک تیم </w:t>
      </w:r>
      <w:r w:rsidR="00701E03" w:rsidRPr="0025250D">
        <w:rPr>
          <w:rFonts w:hint="cs"/>
          <w:rtl/>
        </w:rPr>
        <w:t>راهبرد</w:t>
      </w:r>
      <w:r w:rsidRPr="0025250D">
        <w:rPr>
          <w:rFonts w:hint="cs"/>
          <w:rtl/>
        </w:rPr>
        <w:t xml:space="preserve"> زمان لازم برای تحقیق و کسب اطلاعات نداشته باشد و افرادی را به فعالیت یادگیری اختصاص ندهد، </w:t>
      </w:r>
      <w:r w:rsidR="00923DDB" w:rsidRPr="0025250D">
        <w:rPr>
          <w:rFonts w:hint="cs"/>
          <w:rtl/>
        </w:rPr>
        <w:t>راه‌حل</w:t>
      </w:r>
      <w:r w:rsidRPr="0025250D">
        <w:rPr>
          <w:rFonts w:hint="cs"/>
          <w:rtl/>
        </w:rPr>
        <w:t xml:space="preserve">‌های خوبی برای مسائلی که امروزه موجود هستند یا در گذشته وجود </w:t>
      </w:r>
      <w:r w:rsidR="00B124DE" w:rsidRPr="0025250D">
        <w:rPr>
          <w:rFonts w:hint="cs"/>
          <w:rtl/>
        </w:rPr>
        <w:t>داشته‌اند</w:t>
      </w:r>
      <w:r w:rsidRPr="0025250D">
        <w:rPr>
          <w:rFonts w:hint="cs"/>
          <w:rtl/>
        </w:rPr>
        <w:t xml:space="preserve">، نخواهد یافت. کارکنان باید در تحقیق مسائل، محک زنی و بهترین شکل مستند سازی آموزش دیده باشند. حتی چیزی </w:t>
      </w:r>
      <w:r w:rsidR="00B0171C" w:rsidRPr="0025250D">
        <w:rPr>
          <w:rFonts w:hint="cs"/>
          <w:rtl/>
        </w:rPr>
        <w:t>به‌سادگی</w:t>
      </w:r>
      <w:r w:rsidRPr="0025250D">
        <w:rPr>
          <w:rFonts w:hint="cs"/>
          <w:rtl/>
        </w:rPr>
        <w:t xml:space="preserve"> یک ویکی سازمانی</w:t>
      </w:r>
      <w:r w:rsidRPr="0025250D">
        <w:rPr>
          <w:vertAlign w:val="superscript"/>
          <w:rtl/>
        </w:rPr>
        <w:footnoteReference w:id="1080"/>
      </w:r>
      <w:r w:rsidRPr="0025250D">
        <w:rPr>
          <w:rFonts w:hint="cs"/>
          <w:rtl/>
        </w:rPr>
        <w:t>، درصورتی که افراد برای حفظ آن انگیزه داشته باشند، تأثیر زیادی بر بهبود حافظه</w:t>
      </w:r>
      <w:r w:rsidRPr="0025250D">
        <w:rPr>
          <w:rFonts w:hint="cs"/>
        </w:rPr>
        <w:t>‌</w:t>
      </w:r>
      <w:r w:rsidRPr="0025250D">
        <w:rPr>
          <w:rFonts w:hint="cs"/>
          <w:rtl/>
        </w:rPr>
        <w:t xml:space="preserve"> سازمانی از </w:t>
      </w:r>
      <w:r w:rsidR="00701E03" w:rsidRPr="0025250D">
        <w:rPr>
          <w:rFonts w:hint="cs"/>
          <w:rtl/>
        </w:rPr>
        <w:t>راهبرد</w:t>
      </w:r>
      <w:r w:rsidRPr="0025250D">
        <w:rPr>
          <w:rFonts w:hint="cs"/>
          <w:rtl/>
        </w:rPr>
        <w:t>‌ها و اقدامات خوب خواهد داشت.</w:t>
      </w:r>
    </w:p>
    <w:p w14:paraId="4CC463E7" w14:textId="675C1AE3" w:rsidR="00537CC8" w:rsidRPr="0025250D" w:rsidRDefault="00537CC8" w:rsidP="00537CC8">
      <w:pPr>
        <w:rPr>
          <w:rtl/>
        </w:rPr>
      </w:pPr>
      <w:r w:rsidRPr="0025250D">
        <w:rPr>
          <w:rFonts w:hint="cs"/>
          <w:rtl/>
        </w:rPr>
        <w:t xml:space="preserve">مطالعات </w:t>
      </w:r>
      <w:r w:rsidRPr="0025250D">
        <w:rPr>
          <w:rtl/>
        </w:rPr>
        <w:t>آینده‌نگاری</w:t>
      </w:r>
      <w:r w:rsidRPr="0025250D">
        <w:rPr>
          <w:rFonts w:hint="cs"/>
          <w:rtl/>
        </w:rPr>
        <w:t xml:space="preserve"> بسیاری</w:t>
      </w:r>
      <w:r w:rsidR="007118DE" w:rsidRPr="0025250D">
        <w:rPr>
          <w:rFonts w:hint="cs"/>
          <w:rtl/>
        </w:rPr>
        <w:t xml:space="preserve"> را</w:t>
      </w:r>
      <w:r w:rsidRPr="0025250D">
        <w:rPr>
          <w:rFonts w:hint="cs"/>
          <w:rtl/>
        </w:rPr>
        <w:t xml:space="preserve"> مطالعه </w:t>
      </w:r>
      <w:r w:rsidR="007118DE" w:rsidRPr="0025250D">
        <w:rPr>
          <w:rFonts w:hint="cs"/>
          <w:rtl/>
        </w:rPr>
        <w:t>نموده‌ایم</w:t>
      </w:r>
      <w:r w:rsidRPr="0025250D">
        <w:rPr>
          <w:rFonts w:hint="cs"/>
          <w:rtl/>
        </w:rPr>
        <w:t xml:space="preserve"> که تنها به این دلیل که نویسنده زمان کافی برای یادگیری این که جهان در حقیقت چگونه کار می‌کند </w:t>
      </w:r>
      <w:r w:rsidRPr="0025250D">
        <w:rPr>
          <w:rFonts w:cs="Times New Roman" w:hint="cs"/>
          <w:rtl/>
        </w:rPr>
        <w:t>–</w:t>
      </w:r>
      <w:r w:rsidRPr="0025250D">
        <w:rPr>
          <w:rFonts w:hint="cs"/>
          <w:rtl/>
        </w:rPr>
        <w:t xml:space="preserve"> و وضعیت فعلی و گذشته</w:t>
      </w:r>
      <w:r w:rsidRPr="0025250D">
        <w:rPr>
          <w:rFonts w:hint="cs"/>
        </w:rPr>
        <w:t>‌</w:t>
      </w:r>
      <w:r w:rsidRPr="0025250D">
        <w:rPr>
          <w:rFonts w:hint="cs"/>
          <w:rtl/>
        </w:rPr>
        <w:t xml:space="preserve"> آن </w:t>
      </w:r>
      <w:r w:rsidRPr="0025250D">
        <w:rPr>
          <w:rFonts w:cs="Times New Roman" w:hint="cs"/>
          <w:rtl/>
        </w:rPr>
        <w:t>–</w:t>
      </w:r>
      <w:r w:rsidRPr="0025250D">
        <w:rPr>
          <w:rFonts w:hint="cs"/>
          <w:rtl/>
        </w:rPr>
        <w:t xml:space="preserve"> اختصاص نداده است، اعتبار ن</w:t>
      </w:r>
      <w:r w:rsidR="00B124DE" w:rsidRPr="0025250D">
        <w:rPr>
          <w:rFonts w:hint="cs"/>
          <w:rtl/>
        </w:rPr>
        <w:t>داشته‌اند</w:t>
      </w:r>
      <w:r w:rsidRPr="0025250D">
        <w:rPr>
          <w:rFonts w:hint="cs"/>
          <w:rtl/>
        </w:rPr>
        <w:t xml:space="preserve">. متأسفانه امروزه، بسیاری از برنامه‌های فارغ التحصیلی در مورد </w:t>
      </w:r>
      <w:r w:rsidRPr="0025250D">
        <w:rPr>
          <w:rtl/>
        </w:rPr>
        <w:t>آینده‌نگاری</w:t>
      </w:r>
      <w:r w:rsidRPr="0025250D">
        <w:rPr>
          <w:rFonts w:hint="cs"/>
          <w:rtl/>
        </w:rPr>
        <w:t xml:space="preserve">، یادگیری کافی از تاریخ مرتبط یا </w:t>
      </w:r>
      <w:r w:rsidR="00B124DE" w:rsidRPr="0025250D">
        <w:rPr>
          <w:rFonts w:hint="cs"/>
          <w:rtl/>
        </w:rPr>
        <w:t>جمع‌آوری</w:t>
      </w:r>
      <w:r w:rsidRPr="0025250D">
        <w:rPr>
          <w:rFonts w:hint="cs"/>
          <w:rtl/>
        </w:rPr>
        <w:t xml:space="preserve"> اطلاعات درمورد رویداد‌های فعلی پیش از بحث و تولید محتوای </w:t>
      </w:r>
      <w:r w:rsidRPr="0025250D">
        <w:rPr>
          <w:rtl/>
        </w:rPr>
        <w:t>آینده‌نگاری</w:t>
      </w:r>
      <w:r w:rsidRPr="0025250D">
        <w:rPr>
          <w:rFonts w:hint="cs"/>
          <w:rtl/>
        </w:rPr>
        <w:t xml:space="preserve"> را لازم</w:t>
      </w:r>
      <w:r w:rsidR="00EE4B64" w:rsidRPr="0025250D">
        <w:rPr>
          <w:rFonts w:hint="cs"/>
          <w:rtl/>
        </w:rPr>
        <w:t xml:space="preserve"> نمی‌</w:t>
      </w:r>
      <w:r w:rsidRPr="0025250D">
        <w:rPr>
          <w:rFonts w:hint="cs"/>
          <w:rtl/>
        </w:rPr>
        <w:t>دانند. در نتیجه، مطالعات دانشجویان و محققین در مقایسه با پتانسیلی که در اختیار دارند، بسیار ابتدایی باقی می‌ماند.</w:t>
      </w:r>
    </w:p>
    <w:p w14:paraId="2539744E" w14:textId="22EF3AE1" w:rsidR="00537CC8" w:rsidRPr="0025250D" w:rsidRDefault="00537CC8" w:rsidP="00C65749">
      <w:pPr>
        <w:pStyle w:val="Heading3"/>
        <w:rPr>
          <w:rtl/>
        </w:rPr>
      </w:pPr>
      <w:r w:rsidRPr="0025250D">
        <w:rPr>
          <w:rFonts w:hint="cs"/>
          <w:rtl/>
        </w:rPr>
        <w:t>تمرکز بر موارد محتمل (</w:t>
      </w:r>
      <w:r w:rsidR="00923DDB" w:rsidRPr="0025250D">
        <w:rPr>
          <w:rFonts w:hint="cs"/>
          <w:rtl/>
        </w:rPr>
        <w:t>پیش‌انگاری</w:t>
      </w:r>
      <w:r w:rsidRPr="0025250D">
        <w:rPr>
          <w:rFonts w:hint="cs"/>
          <w:rtl/>
        </w:rPr>
        <w:t>)</w:t>
      </w:r>
    </w:p>
    <w:p w14:paraId="282F9094" w14:textId="53BF307F" w:rsidR="00537CC8" w:rsidRPr="0025250D" w:rsidRDefault="00923DDB" w:rsidP="00537CC8">
      <w:pPr>
        <w:rPr>
          <w:rtl/>
        </w:rPr>
      </w:pPr>
      <w:r w:rsidRPr="0025250D">
        <w:rPr>
          <w:rtl/>
        </w:rPr>
        <w:t>پیش‌انگاری</w:t>
      </w:r>
      <w:r w:rsidR="00537CC8" w:rsidRPr="0025250D">
        <w:rPr>
          <w:rFonts w:hint="cs"/>
          <w:rtl/>
        </w:rPr>
        <w:t>، اولین مهارت کانونی (هرم)</w:t>
      </w:r>
      <w:r w:rsidR="00537CC8" w:rsidRPr="0025250D">
        <w:rPr>
          <w:rtl/>
        </w:rPr>
        <w:t xml:space="preserve"> آینده‌نگاری</w:t>
      </w:r>
      <w:r w:rsidR="00537CC8" w:rsidRPr="0025250D">
        <w:rPr>
          <w:rFonts w:hint="cs"/>
          <w:rtl/>
        </w:rPr>
        <w:t>، یک فرایند ذهنی همگرا است. به زبان دانشکده</w:t>
      </w:r>
      <w:r w:rsidR="00537CC8" w:rsidRPr="0025250D">
        <w:rPr>
          <w:rFonts w:hint="cs"/>
        </w:rPr>
        <w:t>‌</w:t>
      </w:r>
      <w:r w:rsidR="00537CC8" w:rsidRPr="0025250D">
        <w:rPr>
          <w:rFonts w:hint="cs"/>
          <w:rtl/>
        </w:rPr>
        <w:t xml:space="preserve"> طراحی، این یک تمرکز</w:t>
      </w:r>
      <w:r w:rsidR="00537CC8" w:rsidRPr="0025250D">
        <w:rPr>
          <w:vertAlign w:val="superscript"/>
          <w:rtl/>
        </w:rPr>
        <w:footnoteReference w:id="1081"/>
      </w:r>
      <w:r w:rsidR="00537CC8" w:rsidRPr="0025250D">
        <w:rPr>
          <w:rFonts w:hint="cs"/>
          <w:rtl/>
        </w:rPr>
        <w:t xml:space="preserve"> ذهنی است، نه شعله ور شدن. فرایند </w:t>
      </w:r>
      <w:r w:rsidRPr="0025250D">
        <w:rPr>
          <w:rFonts w:hint="cs"/>
          <w:rtl/>
        </w:rPr>
        <w:t>پیش‌انگاری</w:t>
      </w:r>
      <w:r w:rsidR="00537CC8" w:rsidRPr="0025250D">
        <w:rPr>
          <w:rFonts w:hint="cs"/>
          <w:rtl/>
        </w:rPr>
        <w:t xml:space="preserve">، </w:t>
      </w:r>
      <w:r w:rsidR="00B124DE" w:rsidRPr="0025250D">
        <w:rPr>
          <w:rFonts w:hint="cs"/>
          <w:rtl/>
        </w:rPr>
        <w:t>جمع‌آوری</w:t>
      </w:r>
      <w:r w:rsidR="00537CC8" w:rsidRPr="0025250D">
        <w:rPr>
          <w:rFonts w:hint="cs"/>
          <w:rtl/>
        </w:rPr>
        <w:t xml:space="preserve"> روندها، کاوش مدل‌ها، </w:t>
      </w:r>
      <w:r w:rsidR="00FB6A7E" w:rsidRPr="0025250D">
        <w:rPr>
          <w:rFonts w:hint="cs"/>
          <w:rtl/>
        </w:rPr>
        <w:t>پیش‌نگری</w:t>
      </w:r>
      <w:r w:rsidR="00537CC8" w:rsidRPr="0025250D">
        <w:rPr>
          <w:rFonts w:hint="cs"/>
          <w:rtl/>
        </w:rPr>
        <w:t xml:space="preserve">، ارزیابی ریسک و </w:t>
      </w:r>
      <w:r w:rsidR="00D92F6E" w:rsidRPr="0025250D">
        <w:rPr>
          <w:rFonts w:hint="cs"/>
          <w:rtl/>
        </w:rPr>
        <w:t>پیش‌بین</w:t>
      </w:r>
      <w:r w:rsidR="00537CC8" w:rsidRPr="0025250D">
        <w:rPr>
          <w:rFonts w:hint="cs"/>
          <w:rtl/>
        </w:rPr>
        <w:t>ی احتمالی به ما برای پیوند دادن منظر موارد ممکن کمک می‌کند. هرچه</w:t>
      </w:r>
      <w:r w:rsidR="0008779C" w:rsidRPr="0025250D">
        <w:rPr>
          <w:rFonts w:hint="cs"/>
          <w:rtl/>
        </w:rPr>
        <w:t xml:space="preserve"> بیش‌تر</w:t>
      </w:r>
      <w:r w:rsidR="00537CC8" w:rsidRPr="0025250D">
        <w:rPr>
          <w:rFonts w:hint="cs"/>
          <w:rtl/>
        </w:rPr>
        <w:t xml:space="preserve"> ما و تیم هایمان درمورد روندهای دارای احتمال بالای مرتبط تفکر کنیم، جزیره‌های</w:t>
      </w:r>
      <w:r w:rsidR="0008779C" w:rsidRPr="0025250D">
        <w:rPr>
          <w:rFonts w:hint="cs"/>
          <w:rtl/>
        </w:rPr>
        <w:t xml:space="preserve"> بیش‌تر</w:t>
      </w:r>
      <w:r w:rsidR="00537CC8" w:rsidRPr="0025250D">
        <w:rPr>
          <w:rFonts w:hint="cs"/>
          <w:rtl/>
        </w:rPr>
        <w:t xml:space="preserve">ی در دریای عدم قطعیت را می‌توانیم ببینیم. این روند‌ها و برآمدهای </w:t>
      </w:r>
      <w:r w:rsidRPr="0025250D">
        <w:rPr>
          <w:rFonts w:hint="cs"/>
          <w:rtl/>
        </w:rPr>
        <w:t>پیش‌انگاری</w:t>
      </w:r>
      <w:r w:rsidR="00537CC8" w:rsidRPr="0025250D">
        <w:rPr>
          <w:rFonts w:hint="cs"/>
          <w:rtl/>
        </w:rPr>
        <w:t xml:space="preserve"> شده، مورد انتظار و قابل </w:t>
      </w:r>
      <w:r w:rsidR="00F662B0" w:rsidRPr="0025250D">
        <w:rPr>
          <w:rFonts w:hint="cs"/>
          <w:rtl/>
        </w:rPr>
        <w:t>گمانه‌زنی</w:t>
      </w:r>
      <w:r w:rsidR="00537CC8" w:rsidRPr="0025250D">
        <w:rPr>
          <w:vertAlign w:val="superscript"/>
          <w:rtl/>
        </w:rPr>
        <w:footnoteReference w:id="1082"/>
      </w:r>
      <w:r w:rsidR="00537CC8" w:rsidRPr="0025250D">
        <w:rPr>
          <w:rFonts w:hint="cs"/>
          <w:rtl/>
        </w:rPr>
        <w:t xml:space="preserve"> به طرز مفیدی به مقید ساختن، هدایت و توانمندسازی همه</w:t>
      </w:r>
      <w:r w:rsidR="00537CC8" w:rsidRPr="0025250D">
        <w:rPr>
          <w:rFonts w:hint="cs"/>
        </w:rPr>
        <w:t>‌</w:t>
      </w:r>
      <w:r w:rsidR="00537CC8" w:rsidRPr="0025250D">
        <w:rPr>
          <w:rFonts w:hint="cs"/>
          <w:rtl/>
        </w:rPr>
        <w:t xml:space="preserve"> فعالیت‌های </w:t>
      </w:r>
      <w:r w:rsidR="00537CC8" w:rsidRPr="0025250D">
        <w:rPr>
          <w:rtl/>
        </w:rPr>
        <w:t>آینده‌نگاری</w:t>
      </w:r>
      <w:r w:rsidR="00537CC8" w:rsidRPr="0025250D">
        <w:rPr>
          <w:rFonts w:hint="cs"/>
          <w:rtl/>
        </w:rPr>
        <w:t xml:space="preserve"> دیگر ما کمک می‌کنند.</w:t>
      </w:r>
    </w:p>
    <w:p w14:paraId="43CA591A" w14:textId="52A5259A" w:rsidR="00537CC8" w:rsidRPr="0025250D" w:rsidRDefault="00537CC8" w:rsidP="00537CC8">
      <w:pPr>
        <w:rPr>
          <w:rtl/>
        </w:rPr>
      </w:pPr>
      <w:r w:rsidRPr="0025250D">
        <w:rPr>
          <w:rFonts w:hint="cs"/>
          <w:rtl/>
        </w:rPr>
        <w:t xml:space="preserve">خوشبختانه، با رشد سریع داده‌ها از زمان پیدایش اینترنت و با ارزان تر شدن سریع سخت افزارهای کامپیوتری، نرم افزار‌ها، شبکه‌ها و یادگیری ماشین، شاهد ظهور شکل‌های جدیدی از </w:t>
      </w:r>
      <w:r w:rsidR="00923DDB" w:rsidRPr="0025250D">
        <w:rPr>
          <w:rFonts w:hint="cs"/>
          <w:rtl/>
        </w:rPr>
        <w:t>پیش‌انگاری</w:t>
      </w:r>
      <w:r w:rsidRPr="0025250D">
        <w:rPr>
          <w:rFonts w:hint="cs"/>
          <w:rtl/>
        </w:rPr>
        <w:t xml:space="preserve"> ماشین، متخصصین و جمعی</w:t>
      </w:r>
      <w:r w:rsidRPr="0025250D">
        <w:rPr>
          <w:vertAlign w:val="superscript"/>
          <w:rtl/>
        </w:rPr>
        <w:footnoteReference w:id="1083"/>
      </w:r>
      <w:r w:rsidRPr="0025250D">
        <w:rPr>
          <w:rFonts w:hint="cs"/>
          <w:rtl/>
        </w:rPr>
        <w:t xml:space="preserve"> بوده</w:t>
      </w:r>
      <w:r w:rsidR="00557243" w:rsidRPr="0025250D">
        <w:rPr>
          <w:rFonts w:hint="cs"/>
          <w:rtl/>
        </w:rPr>
        <w:t>‌</w:t>
      </w:r>
      <w:r w:rsidRPr="0025250D">
        <w:rPr>
          <w:rFonts w:hint="cs"/>
          <w:rtl/>
        </w:rPr>
        <w:t>ایم. ما شاهد جوامع جدیدی مانند کاگل</w:t>
      </w:r>
      <w:r w:rsidRPr="0025250D">
        <w:rPr>
          <w:vertAlign w:val="superscript"/>
          <w:rtl/>
        </w:rPr>
        <w:footnoteReference w:id="1084"/>
      </w:r>
      <w:r w:rsidRPr="0025250D">
        <w:rPr>
          <w:rFonts w:hint="cs"/>
          <w:rtl/>
        </w:rPr>
        <w:t xml:space="preserve"> (که در سال 2017 توسط گوگل خریداری شد) که رقابت‌های علوم داده‌ای و یادگیری ماشین را برگزار می‌کنند و بازارهای </w:t>
      </w:r>
      <w:r w:rsidR="00D92F6E" w:rsidRPr="0025250D">
        <w:rPr>
          <w:rFonts w:hint="cs"/>
          <w:rtl/>
        </w:rPr>
        <w:t>پیش‌بین</w:t>
      </w:r>
      <w:r w:rsidRPr="0025250D">
        <w:rPr>
          <w:rFonts w:hint="cs"/>
          <w:rtl/>
        </w:rPr>
        <w:t xml:space="preserve">ی جمعی جدید، مانند </w:t>
      </w:r>
      <w:r w:rsidRPr="0025250D">
        <w:rPr>
          <w:rtl/>
        </w:rPr>
        <w:t>متاکولوس</w:t>
      </w:r>
      <w:r w:rsidRPr="0025250D">
        <w:rPr>
          <w:rFonts w:hint="cs"/>
          <w:rtl/>
        </w:rPr>
        <w:t xml:space="preserve"> که بهبود </w:t>
      </w:r>
      <w:r w:rsidR="00923DDB" w:rsidRPr="0025250D">
        <w:rPr>
          <w:rFonts w:hint="cs"/>
          <w:rtl/>
        </w:rPr>
        <w:t>پیش‌انگاری</w:t>
      </w:r>
      <w:r w:rsidRPr="0025250D">
        <w:rPr>
          <w:rFonts w:hint="cs"/>
          <w:rtl/>
        </w:rPr>
        <w:t xml:space="preserve"> را به یک بازی جمعی تبدیل می‌کنند، هستیم. </w:t>
      </w:r>
      <w:r w:rsidRPr="0025250D">
        <w:rPr>
          <w:rtl/>
        </w:rPr>
        <w:t>تجز</w:t>
      </w:r>
      <w:r w:rsidRPr="0025250D">
        <w:rPr>
          <w:rFonts w:hint="cs"/>
          <w:rtl/>
        </w:rPr>
        <w:t>ی</w:t>
      </w:r>
      <w:r w:rsidRPr="0025250D">
        <w:rPr>
          <w:rFonts w:hint="eastAsia"/>
          <w:rtl/>
        </w:rPr>
        <w:t>ه</w:t>
      </w:r>
      <w:r w:rsidRPr="0025250D">
        <w:rPr>
          <w:rtl/>
        </w:rPr>
        <w:t xml:space="preserve"> و تحل</w:t>
      </w:r>
      <w:r w:rsidRPr="0025250D">
        <w:rPr>
          <w:rFonts w:hint="cs"/>
          <w:rtl/>
        </w:rPr>
        <w:t>ی</w:t>
      </w:r>
      <w:r w:rsidRPr="0025250D">
        <w:rPr>
          <w:rFonts w:hint="eastAsia"/>
          <w:rtl/>
        </w:rPr>
        <w:t>ل</w:t>
      </w:r>
      <w:r w:rsidRPr="0025250D">
        <w:rPr>
          <w:rtl/>
        </w:rPr>
        <w:t xml:space="preserve"> </w:t>
      </w:r>
      <w:r w:rsidR="00D92F6E" w:rsidRPr="0025250D">
        <w:rPr>
          <w:rtl/>
        </w:rPr>
        <w:t>پیش‌بین</w:t>
      </w:r>
      <w:r w:rsidRPr="0025250D">
        <w:rPr>
          <w:rFonts w:hint="cs"/>
          <w:rtl/>
        </w:rPr>
        <w:t>ی</w:t>
      </w:r>
      <w:r w:rsidRPr="0025250D">
        <w:rPr>
          <w:rtl/>
        </w:rPr>
        <w:t xml:space="preserve"> کننده</w:t>
      </w:r>
      <w:r w:rsidRPr="0025250D">
        <w:rPr>
          <w:vertAlign w:val="superscript"/>
          <w:rtl/>
        </w:rPr>
        <w:footnoteReference w:id="1085"/>
      </w:r>
      <w:r w:rsidRPr="0025250D">
        <w:rPr>
          <w:rFonts w:hint="cs"/>
          <w:rtl/>
        </w:rPr>
        <w:t xml:space="preserve"> به شکل مفیدی بر همه</w:t>
      </w:r>
      <w:r w:rsidRPr="0025250D">
        <w:rPr>
          <w:rFonts w:hint="cs"/>
        </w:rPr>
        <w:t>‌</w:t>
      </w:r>
      <w:r w:rsidRPr="0025250D">
        <w:rPr>
          <w:rFonts w:hint="cs"/>
          <w:rtl/>
        </w:rPr>
        <w:t xml:space="preserve"> شش دامنه اعمال می‌شوند. در حقیقت، استفاده</w:t>
      </w:r>
      <w:r w:rsidRPr="0025250D">
        <w:rPr>
          <w:rFonts w:hint="cs"/>
        </w:rPr>
        <w:t>‌</w:t>
      </w:r>
      <w:r w:rsidRPr="0025250D">
        <w:rPr>
          <w:rFonts w:hint="cs"/>
          <w:rtl/>
        </w:rPr>
        <w:t xml:space="preserve"> نادرست از این ابزارهای قدرتمند در پلتف</w:t>
      </w:r>
      <w:r w:rsidR="00557243" w:rsidRPr="0025250D">
        <w:rPr>
          <w:rFonts w:hint="cs"/>
          <w:rtl/>
        </w:rPr>
        <w:t>رم</w:t>
      </w:r>
      <w:r w:rsidRPr="0025250D">
        <w:rPr>
          <w:rFonts w:hint="cs"/>
          <w:rtl/>
        </w:rPr>
        <w:t xml:space="preserve">‌های آنلاین مشکلات جدیدی را برای جوامع ما، </w:t>
      </w:r>
      <w:r w:rsidR="007118DE" w:rsidRPr="0025250D">
        <w:rPr>
          <w:rFonts w:hint="cs"/>
          <w:rtl/>
        </w:rPr>
        <w:t>همان‌طور</w:t>
      </w:r>
      <w:r w:rsidRPr="0025250D">
        <w:rPr>
          <w:rFonts w:hint="cs"/>
          <w:rtl/>
        </w:rPr>
        <w:t xml:space="preserve"> که در کتاب 2 خواهیم دید، ایجاد کرده است.</w:t>
      </w:r>
    </w:p>
    <w:p w14:paraId="44C92465" w14:textId="490080A3" w:rsidR="00537CC8" w:rsidRPr="0025250D" w:rsidRDefault="00537CC8" w:rsidP="00537CC8">
      <w:pPr>
        <w:rPr>
          <w:rtl/>
        </w:rPr>
      </w:pPr>
      <w:r w:rsidRPr="0025250D">
        <w:rPr>
          <w:rFonts w:hint="cs"/>
          <w:rtl/>
        </w:rPr>
        <w:t>مانند یادگیری، بسیاری از کارگزاران به مرحله</w:t>
      </w:r>
      <w:r w:rsidRPr="0025250D">
        <w:rPr>
          <w:rFonts w:hint="cs"/>
        </w:rPr>
        <w:t>‌</w:t>
      </w:r>
      <w:r w:rsidRPr="0025250D">
        <w:rPr>
          <w:rFonts w:hint="cs"/>
          <w:rtl/>
        </w:rPr>
        <w:t xml:space="preserve"> </w:t>
      </w:r>
      <w:r w:rsidR="00923DDB" w:rsidRPr="0025250D">
        <w:rPr>
          <w:rFonts w:hint="cs"/>
          <w:rtl/>
        </w:rPr>
        <w:t>پیش‌انگاری</w:t>
      </w:r>
      <w:r w:rsidRPr="0025250D">
        <w:rPr>
          <w:rFonts w:hint="cs"/>
          <w:rtl/>
        </w:rPr>
        <w:t xml:space="preserve"> کم توجهی می‌کنند. برخی از ما دوست داریم که مستقیما به کار جذاب تصور موارد </w:t>
      </w:r>
      <w:r w:rsidR="00557243" w:rsidRPr="0025250D">
        <w:rPr>
          <w:rFonts w:hint="cs"/>
          <w:rtl/>
        </w:rPr>
        <w:t>ممکن</w:t>
      </w:r>
      <w:r w:rsidRPr="0025250D">
        <w:rPr>
          <w:rFonts w:hint="cs"/>
          <w:rtl/>
        </w:rPr>
        <w:t xml:space="preserve">، بیان داستان‌ها یا ایجاد نمونه‌ها، بدون کار دشوار کشف روندها، نیروها، همگرایی‌ها و قیودی که موارد ممکن در آینده را محدود می‌کنند، برسیم. چنین رویکردی هیچ </w:t>
      </w:r>
      <w:r w:rsidR="00B13F65" w:rsidRPr="0025250D">
        <w:rPr>
          <w:rFonts w:hint="cs"/>
          <w:rtl/>
        </w:rPr>
        <w:t>چارچوب</w:t>
      </w:r>
      <w:r w:rsidRPr="0025250D">
        <w:rPr>
          <w:rFonts w:hint="cs"/>
          <w:rtl/>
        </w:rPr>
        <w:t>، نقشه یا قطب نمایی برای دورنمای آینده</w:t>
      </w:r>
      <w:r w:rsidRPr="0025250D">
        <w:rPr>
          <w:rFonts w:hint="cs"/>
        </w:rPr>
        <w:t>‌</w:t>
      </w:r>
      <w:r w:rsidRPr="0025250D">
        <w:rPr>
          <w:rFonts w:hint="cs"/>
          <w:rtl/>
        </w:rPr>
        <w:t xml:space="preserve"> محتمل در اختیار ما قرار</w:t>
      </w:r>
      <w:r w:rsidR="00EE4B64" w:rsidRPr="0025250D">
        <w:rPr>
          <w:rFonts w:hint="cs"/>
          <w:rtl/>
        </w:rPr>
        <w:t xml:space="preserve"> نمی‌</w:t>
      </w:r>
      <w:r w:rsidRPr="0025250D">
        <w:rPr>
          <w:rFonts w:hint="cs"/>
          <w:rtl/>
        </w:rPr>
        <w:t>دهد. ما به سرعت در آشفتگی و هرج و مرج تفکر و تصور با احتمال اندک گم می‌شویم.</w:t>
      </w:r>
    </w:p>
    <w:p w14:paraId="73860A62" w14:textId="71801660" w:rsidR="00537CC8" w:rsidRPr="0025250D" w:rsidRDefault="00537CC8" w:rsidP="00537CC8">
      <w:pPr>
        <w:rPr>
          <w:rtl/>
        </w:rPr>
      </w:pPr>
      <w:r w:rsidRPr="0025250D">
        <w:rPr>
          <w:rFonts w:hint="cs"/>
          <w:rtl/>
        </w:rPr>
        <w:t xml:space="preserve">اگر سازمان‌های ما روندها، </w:t>
      </w:r>
      <w:r w:rsidR="00FB6A7E" w:rsidRPr="0025250D">
        <w:rPr>
          <w:rFonts w:hint="cs"/>
          <w:rtl/>
        </w:rPr>
        <w:t>پیش‌نگری</w:t>
      </w:r>
      <w:r w:rsidRPr="0025250D">
        <w:rPr>
          <w:rFonts w:hint="cs"/>
          <w:rtl/>
        </w:rPr>
        <w:t xml:space="preserve">‌ها و همگرایی‌های خود را </w:t>
      </w:r>
      <w:r w:rsidR="00B124DE" w:rsidRPr="0025250D">
        <w:rPr>
          <w:rFonts w:hint="cs"/>
          <w:rtl/>
        </w:rPr>
        <w:t>جمع‌آوری</w:t>
      </w:r>
      <w:r w:rsidRPr="0025250D">
        <w:rPr>
          <w:rFonts w:hint="cs"/>
          <w:rtl/>
        </w:rPr>
        <w:t xml:space="preserve">، خریداری یا ایجاد نکنند و اگر زمان کافی را برای </w:t>
      </w:r>
      <w:r w:rsidR="00923DDB" w:rsidRPr="0025250D">
        <w:rPr>
          <w:rFonts w:hint="cs"/>
          <w:rtl/>
        </w:rPr>
        <w:t>پیش‌انگاری</w:t>
      </w:r>
      <w:r w:rsidRPr="0025250D">
        <w:rPr>
          <w:rFonts w:hint="cs"/>
          <w:rtl/>
        </w:rPr>
        <w:t xml:space="preserve"> </w:t>
      </w:r>
      <w:r w:rsidRPr="0025250D">
        <w:rPr>
          <w:rFonts w:cs="Times New Roman" w:hint="cs"/>
          <w:rtl/>
        </w:rPr>
        <w:t>–</w:t>
      </w:r>
      <w:r w:rsidRPr="0025250D">
        <w:rPr>
          <w:rFonts w:hint="cs"/>
          <w:rtl/>
        </w:rPr>
        <w:t xml:space="preserve"> یا حتی بهتر از آن، مسئولیت دادن به یک فرد یا یک تیم برای انجام این کار </w:t>
      </w:r>
      <w:r w:rsidRPr="0025250D">
        <w:rPr>
          <w:rFonts w:cs="Times New Roman" w:hint="cs"/>
          <w:rtl/>
        </w:rPr>
        <w:t>–</w:t>
      </w:r>
      <w:r w:rsidRPr="0025250D">
        <w:rPr>
          <w:rFonts w:hint="cs"/>
          <w:rtl/>
        </w:rPr>
        <w:t xml:space="preserve"> اختصاص نده</w:t>
      </w:r>
      <w:r w:rsidR="00557243" w:rsidRPr="0025250D">
        <w:rPr>
          <w:rFonts w:hint="cs"/>
          <w:rtl/>
        </w:rPr>
        <w:t>ند</w:t>
      </w:r>
      <w:r w:rsidRPr="0025250D">
        <w:rPr>
          <w:rFonts w:hint="cs"/>
          <w:rtl/>
        </w:rPr>
        <w:t>، نخواه</w:t>
      </w:r>
      <w:r w:rsidR="00557243" w:rsidRPr="0025250D">
        <w:rPr>
          <w:rFonts w:hint="cs"/>
          <w:rtl/>
        </w:rPr>
        <w:t>ند</w:t>
      </w:r>
      <w:r w:rsidRPr="0025250D">
        <w:rPr>
          <w:rFonts w:hint="cs"/>
          <w:rtl/>
        </w:rPr>
        <w:t xml:space="preserve"> توانست نوآوری خود را برای استفاده از بخش‌هایی از آینده که می‌توان</w:t>
      </w:r>
      <w:r w:rsidR="00557243" w:rsidRPr="0025250D">
        <w:rPr>
          <w:rFonts w:hint="cs"/>
          <w:rtl/>
        </w:rPr>
        <w:t>ند</w:t>
      </w:r>
      <w:r w:rsidRPr="0025250D">
        <w:rPr>
          <w:rFonts w:hint="cs"/>
          <w:rtl/>
        </w:rPr>
        <w:t xml:space="preserve"> به طور تقریبی </w:t>
      </w:r>
      <w:r w:rsidR="00D92F6E" w:rsidRPr="0025250D">
        <w:rPr>
          <w:rFonts w:hint="cs"/>
          <w:rtl/>
        </w:rPr>
        <w:t>پیش‌بین</w:t>
      </w:r>
      <w:r w:rsidRPr="0025250D">
        <w:rPr>
          <w:rFonts w:hint="cs"/>
          <w:rtl/>
        </w:rPr>
        <w:t>ی کن</w:t>
      </w:r>
      <w:r w:rsidR="00557243" w:rsidRPr="0025250D">
        <w:rPr>
          <w:rFonts w:hint="cs"/>
          <w:rtl/>
        </w:rPr>
        <w:t>ند</w:t>
      </w:r>
      <w:r w:rsidRPr="0025250D">
        <w:rPr>
          <w:rFonts w:hint="cs"/>
          <w:rtl/>
        </w:rPr>
        <w:t>، هدایت کن</w:t>
      </w:r>
      <w:r w:rsidR="00557243" w:rsidRPr="0025250D">
        <w:rPr>
          <w:rFonts w:hint="cs"/>
          <w:rtl/>
        </w:rPr>
        <w:t>ند</w:t>
      </w:r>
      <w:r w:rsidRPr="0025250D">
        <w:rPr>
          <w:rFonts w:hint="cs"/>
          <w:rtl/>
        </w:rPr>
        <w:t xml:space="preserve">. درست مانند </w:t>
      </w:r>
      <w:r w:rsidR="00B124DE" w:rsidRPr="0025250D">
        <w:rPr>
          <w:rFonts w:hint="cs"/>
          <w:rtl/>
        </w:rPr>
        <w:t>برنامه‌ریزی</w:t>
      </w:r>
      <w:r w:rsidRPr="0025250D">
        <w:rPr>
          <w:rFonts w:hint="cs"/>
          <w:rtl/>
        </w:rPr>
        <w:t xml:space="preserve"> برای زمان خیلی دور، بدون یادگیری و </w:t>
      </w:r>
      <w:r w:rsidR="00923DDB" w:rsidRPr="0025250D">
        <w:rPr>
          <w:rFonts w:hint="cs"/>
          <w:rtl/>
        </w:rPr>
        <w:t>پیش‌انگاری</w:t>
      </w:r>
      <w:r w:rsidRPr="0025250D">
        <w:rPr>
          <w:rFonts w:hint="cs"/>
          <w:rtl/>
        </w:rPr>
        <w:t xml:space="preserve">، تیم‌های ما نوآوری‌ها و </w:t>
      </w:r>
      <w:r w:rsidR="00701E03" w:rsidRPr="0025250D">
        <w:rPr>
          <w:rFonts w:hint="cs"/>
          <w:rtl/>
        </w:rPr>
        <w:t>راهبرد</w:t>
      </w:r>
      <w:r w:rsidRPr="0025250D">
        <w:rPr>
          <w:rFonts w:hint="cs"/>
          <w:rtl/>
        </w:rPr>
        <w:t>‌هایی را برای آینده‌ای که ممکن است هیچگاه از راه نرسد ارائه خواهند کرد.</w:t>
      </w:r>
    </w:p>
    <w:p w14:paraId="78494DAE" w14:textId="6A2C84CF" w:rsidR="00537CC8" w:rsidRPr="0025250D" w:rsidRDefault="00537CC8" w:rsidP="00537CC8">
      <w:pPr>
        <w:rPr>
          <w:rtl/>
        </w:rPr>
      </w:pPr>
      <w:r w:rsidRPr="0025250D">
        <w:rPr>
          <w:rFonts w:hint="cs"/>
          <w:rtl/>
        </w:rPr>
        <w:t xml:space="preserve">درست مانند هر مهارت </w:t>
      </w:r>
      <w:r w:rsidRPr="0025250D">
        <w:rPr>
          <w:rtl/>
        </w:rPr>
        <w:t>آینده‌نگاری</w:t>
      </w:r>
      <w:r w:rsidRPr="0025250D">
        <w:rPr>
          <w:rFonts w:hint="cs"/>
          <w:rtl/>
        </w:rPr>
        <w:t xml:space="preserve"> </w:t>
      </w:r>
      <w:r w:rsidRPr="0025250D">
        <w:t>LAIS</w:t>
      </w:r>
      <w:r w:rsidRPr="0025250D">
        <w:rPr>
          <w:rFonts w:hint="cs"/>
          <w:rtl/>
        </w:rPr>
        <w:t xml:space="preserve"> دیگر، انجام </w:t>
      </w:r>
      <w:r w:rsidR="00923DDB" w:rsidRPr="0025250D">
        <w:rPr>
          <w:rFonts w:hint="cs"/>
          <w:rtl/>
        </w:rPr>
        <w:t>پیش‌انگاری</w:t>
      </w:r>
      <w:r w:rsidR="00BB406C" w:rsidRPr="0025250D">
        <w:rPr>
          <w:rFonts w:hint="cs"/>
          <w:rtl/>
        </w:rPr>
        <w:t xml:space="preserve"> کم‌تر</w:t>
      </w:r>
      <w:r w:rsidRPr="0025250D">
        <w:rPr>
          <w:rFonts w:hint="cs"/>
          <w:rtl/>
        </w:rPr>
        <w:t xml:space="preserve"> یا</w:t>
      </w:r>
      <w:r w:rsidR="0008779C" w:rsidRPr="0025250D">
        <w:rPr>
          <w:rFonts w:hint="cs"/>
          <w:rtl/>
        </w:rPr>
        <w:t xml:space="preserve"> بیش‌تر</w:t>
      </w:r>
      <w:r w:rsidRPr="0025250D">
        <w:rPr>
          <w:rFonts w:hint="cs"/>
          <w:rtl/>
        </w:rPr>
        <w:t xml:space="preserve"> از حد لازم و اتکای بیش از حد یا</w:t>
      </w:r>
      <w:r w:rsidR="00BB406C" w:rsidRPr="0025250D">
        <w:rPr>
          <w:rFonts w:hint="cs"/>
          <w:rtl/>
        </w:rPr>
        <w:t xml:space="preserve"> کم‌تر</w:t>
      </w:r>
      <w:r w:rsidRPr="0025250D">
        <w:rPr>
          <w:rFonts w:hint="cs"/>
          <w:rtl/>
        </w:rPr>
        <w:t xml:space="preserve"> از حد بر روندها، انتظارات، </w:t>
      </w:r>
      <w:r w:rsidR="00F662B0" w:rsidRPr="0025250D">
        <w:rPr>
          <w:rFonts w:hint="cs"/>
          <w:rtl/>
        </w:rPr>
        <w:t>گمانه‌زنی</w:t>
      </w:r>
      <w:r w:rsidRPr="0025250D">
        <w:rPr>
          <w:rFonts w:hint="cs"/>
          <w:rtl/>
        </w:rPr>
        <w:t>‌های تاریخی و مدل‌ها آسان است. درست مانند موارد متعدد دیگری در زندگی، ما باید توازن بهینه و توازنی که از طریق تجربه، آزمایش، صادق بودن با خود، تواضع و شفافیت آموخته شده است را بیابیم.</w:t>
      </w:r>
    </w:p>
    <w:p w14:paraId="2F36049F" w14:textId="77777777" w:rsidR="00537CC8" w:rsidRPr="0025250D" w:rsidRDefault="00537CC8" w:rsidP="00C65749">
      <w:pPr>
        <w:pStyle w:val="Heading3"/>
        <w:rPr>
          <w:rtl/>
        </w:rPr>
      </w:pPr>
      <w:r w:rsidRPr="0025250D">
        <w:rPr>
          <w:rFonts w:hint="cs"/>
          <w:rtl/>
        </w:rPr>
        <w:t>شعله وری مجدد در موارد ممکن (تصور و نوآوری)</w:t>
      </w:r>
    </w:p>
    <w:p w14:paraId="465C1DB4" w14:textId="7DA0CB01" w:rsidR="00537CC8" w:rsidRPr="0025250D" w:rsidRDefault="00537CC8" w:rsidP="00537CC8">
      <w:pPr>
        <w:rPr>
          <w:rtl/>
        </w:rPr>
      </w:pPr>
      <w:r w:rsidRPr="0025250D">
        <w:rPr>
          <w:rFonts w:hint="cs"/>
          <w:rtl/>
        </w:rPr>
        <w:t xml:space="preserve">وقتی به صورت ذهنی توسط یادگیری و </w:t>
      </w:r>
      <w:r w:rsidR="00923DDB" w:rsidRPr="0025250D">
        <w:rPr>
          <w:rFonts w:hint="cs"/>
          <w:rtl/>
        </w:rPr>
        <w:t>پیش‌انگاری</w:t>
      </w:r>
      <w:r w:rsidRPr="0025250D">
        <w:rPr>
          <w:rFonts w:hint="cs"/>
          <w:rtl/>
        </w:rPr>
        <w:t xml:space="preserve"> آماده شدیم، به خوبی برای شعله وری مجدد، تصور، کاوش و ایجاد یک گستره</w:t>
      </w:r>
      <w:r w:rsidRPr="0025250D">
        <w:rPr>
          <w:rFonts w:hint="cs"/>
        </w:rPr>
        <w:t>‌</w:t>
      </w:r>
      <w:r w:rsidRPr="0025250D">
        <w:rPr>
          <w:rFonts w:hint="cs"/>
          <w:rtl/>
        </w:rPr>
        <w:t xml:space="preserve"> وسیع از گزینه‌های ممکن مجهز شده ایم. ما این مهارت </w:t>
      </w:r>
      <w:r w:rsidRPr="0025250D">
        <w:rPr>
          <w:rtl/>
        </w:rPr>
        <w:t>آینده‌نگاری</w:t>
      </w:r>
      <w:r w:rsidRPr="0025250D">
        <w:rPr>
          <w:rFonts w:hint="cs"/>
          <w:rtl/>
        </w:rPr>
        <w:t xml:space="preserve"> را بجای تصور، نوآوری می‌نامیم، زیرا تصور موارد ممکن باورناپذیر و نامرتبط برای ذهن انسان‌ها آسان است. </w:t>
      </w:r>
      <w:r w:rsidR="008F0DD8" w:rsidRPr="0025250D">
        <w:rPr>
          <w:rFonts w:hint="cs"/>
          <w:rtl/>
        </w:rPr>
        <w:t xml:space="preserve">عمل </w:t>
      </w:r>
      <w:r w:rsidRPr="0025250D">
        <w:rPr>
          <w:rFonts w:hint="cs"/>
          <w:rtl/>
        </w:rPr>
        <w:t>تصور</w:t>
      </w:r>
      <w:r w:rsidR="008F0DD8" w:rsidRPr="0025250D">
        <w:rPr>
          <w:rFonts w:hint="cs"/>
          <w:rtl/>
        </w:rPr>
        <w:t xml:space="preserve"> نمودن</w:t>
      </w:r>
      <w:r w:rsidRPr="0025250D">
        <w:rPr>
          <w:rFonts w:hint="cs"/>
          <w:rtl/>
        </w:rPr>
        <w:t xml:space="preserve"> که در طوفان فکری، داستان سرایی، انجام فرایند </w:t>
      </w:r>
      <w:r w:rsidR="00FB6A7E" w:rsidRPr="0025250D">
        <w:rPr>
          <w:rFonts w:hint="cs"/>
          <w:rtl/>
        </w:rPr>
        <w:t>اگر-آنگاه</w:t>
      </w:r>
      <w:r w:rsidRPr="0025250D">
        <w:rPr>
          <w:rFonts w:hint="cs"/>
          <w:rtl/>
        </w:rPr>
        <w:t xml:space="preserve"> و از ابتدا در تفکر طراحی از آن استفاده می‌کنیم، همان جایی است که تفکر درمورد موارد ممکن آغاز می‌شود، اما این پایان کار نیست.</w:t>
      </w:r>
    </w:p>
    <w:p w14:paraId="56EC6957" w14:textId="0B65898A" w:rsidR="00537CC8" w:rsidRPr="0025250D" w:rsidRDefault="00537CC8" w:rsidP="00537CC8">
      <w:pPr>
        <w:rPr>
          <w:rtl/>
        </w:rPr>
      </w:pPr>
      <w:r w:rsidRPr="0025250D">
        <w:rPr>
          <w:rFonts w:hint="cs"/>
          <w:rtl/>
        </w:rPr>
        <w:t>در مقابل، یک نوآوری، یک ایده، محصول یا خدمت است که هم جدید (یک تصور، یک اختراع) است و هم یک بازار</w:t>
      </w:r>
      <w:r w:rsidR="008F0DD8" w:rsidRPr="0025250D">
        <w:rPr>
          <w:rFonts w:hint="cs"/>
          <w:rtl/>
        </w:rPr>
        <w:t xml:space="preserve"> به عنوان</w:t>
      </w:r>
      <w:r w:rsidRPr="0025250D">
        <w:rPr>
          <w:rFonts w:hint="cs"/>
          <w:rtl/>
        </w:rPr>
        <w:t xml:space="preserve"> گروهی</w:t>
      </w:r>
      <w:r w:rsidR="008F0DD8" w:rsidRPr="0025250D">
        <w:rPr>
          <w:rFonts w:hint="cs"/>
          <w:rtl/>
        </w:rPr>
        <w:t xml:space="preserve"> از افراد</w:t>
      </w:r>
      <w:r w:rsidRPr="0025250D">
        <w:rPr>
          <w:rFonts w:hint="cs"/>
          <w:rtl/>
        </w:rPr>
        <w:t xml:space="preserve"> که به ارزش آن اذعان دار</w:t>
      </w:r>
      <w:r w:rsidR="008F0DD8" w:rsidRPr="0025250D">
        <w:rPr>
          <w:rFonts w:hint="cs"/>
          <w:rtl/>
        </w:rPr>
        <w:t>ن</w:t>
      </w:r>
      <w:r w:rsidRPr="0025250D">
        <w:rPr>
          <w:rFonts w:hint="cs"/>
          <w:rtl/>
        </w:rPr>
        <w:t xml:space="preserve">د، برای خود یافته است. به همین ترتیب، بهترین آینده‌های ممکن نه تنها تصورات هستند (اختراعات)، بلکه نوآوری هستند. یک نوآوری، در این بافت، هر ایده‌ای درمورد آینده است که با گروهی از ذینفعان، پس از دوام آوردن در مقابل یک نقد </w:t>
      </w:r>
      <w:r w:rsidR="00923DDB" w:rsidRPr="0025250D">
        <w:rPr>
          <w:rFonts w:hint="cs"/>
          <w:rtl/>
        </w:rPr>
        <w:t>باورپذیر</w:t>
      </w:r>
      <w:r w:rsidRPr="0025250D">
        <w:rPr>
          <w:rFonts w:hint="cs"/>
          <w:rtl/>
        </w:rPr>
        <w:t xml:space="preserve">، مرتبط به نظر می‌رسد. این نوآوری ممکن است تهدیدی که پیش از این در مورد </w:t>
      </w:r>
      <w:r w:rsidR="008F0DD8" w:rsidRPr="0025250D">
        <w:rPr>
          <w:rFonts w:hint="cs"/>
          <w:rtl/>
        </w:rPr>
        <w:t>آ</w:t>
      </w:r>
      <w:r w:rsidRPr="0025250D">
        <w:rPr>
          <w:rFonts w:hint="cs"/>
          <w:rtl/>
        </w:rPr>
        <w:t>ن تفکر نکرده بودیم، هدفی که</w:t>
      </w:r>
      <w:r w:rsidR="00EE4B64" w:rsidRPr="0025250D">
        <w:rPr>
          <w:rFonts w:hint="cs"/>
          <w:rtl/>
        </w:rPr>
        <w:t xml:space="preserve"> نمی‌</w:t>
      </w:r>
      <w:r w:rsidRPr="0025250D">
        <w:rPr>
          <w:rFonts w:hint="cs"/>
          <w:rtl/>
        </w:rPr>
        <w:t>دانستیم که می‌توانیم به آن دست یابیم یا یک سیاست، محصول یا خدمت جدید احتمالی باشد. اگر گروهی (از نظر فنی، سه یا چند نفر) هنوز پس از نقد به آن علاقه داشته باشند، این تنها تصور نیست، بلکه چیزی با ارزش</w:t>
      </w:r>
      <w:r w:rsidR="0008779C" w:rsidRPr="0025250D">
        <w:rPr>
          <w:rFonts w:hint="cs"/>
          <w:rtl/>
        </w:rPr>
        <w:t xml:space="preserve"> بیش‌تر</w:t>
      </w:r>
      <w:r w:rsidRPr="0025250D">
        <w:rPr>
          <w:rFonts w:hint="cs"/>
          <w:rtl/>
        </w:rPr>
        <w:t xml:space="preserve"> است، یعنی نوآوری.</w:t>
      </w:r>
    </w:p>
    <w:p w14:paraId="46921E79" w14:textId="5173B8C8" w:rsidR="00537CC8" w:rsidRPr="0025250D" w:rsidRDefault="00537CC8" w:rsidP="00537CC8">
      <w:pPr>
        <w:rPr>
          <w:rtl/>
        </w:rPr>
      </w:pPr>
      <w:r w:rsidRPr="0025250D">
        <w:rPr>
          <w:rFonts w:hint="cs"/>
          <w:rtl/>
        </w:rPr>
        <w:t xml:space="preserve">مهم است که بیش از حد درمورد تفکر موارد </w:t>
      </w:r>
      <w:r w:rsidR="00B453C0" w:rsidRPr="0025250D">
        <w:rPr>
          <w:rFonts w:hint="cs"/>
          <w:rtl/>
        </w:rPr>
        <w:t>امکان‌پذیر</w:t>
      </w:r>
      <w:r w:rsidRPr="0025250D">
        <w:rPr>
          <w:rFonts w:hint="cs"/>
          <w:rtl/>
        </w:rPr>
        <w:t xml:space="preserve"> در مراحل اولیه و واگرای آن انتقادی عمل نکنیم</w:t>
      </w:r>
      <w:r w:rsidR="008D6F97" w:rsidRPr="0025250D">
        <w:rPr>
          <w:rtl/>
        </w:rPr>
        <w:t xml:space="preserve">؛ </w:t>
      </w:r>
      <w:r w:rsidR="0020589F" w:rsidRPr="0025250D">
        <w:rPr>
          <w:rtl/>
        </w:rPr>
        <w:t>اما</w:t>
      </w:r>
      <w:r w:rsidRPr="0025250D">
        <w:rPr>
          <w:rFonts w:hint="cs"/>
          <w:rtl/>
        </w:rPr>
        <w:t xml:space="preserve"> درصورتی که چنین تفکری در نهایت برای </w:t>
      </w:r>
      <w:r w:rsidR="00B453C0" w:rsidRPr="0025250D">
        <w:rPr>
          <w:rFonts w:hint="cs"/>
          <w:rtl/>
        </w:rPr>
        <w:t>امکان‌پذیر</w:t>
      </w:r>
      <w:r w:rsidRPr="0025250D">
        <w:rPr>
          <w:rFonts w:hint="cs"/>
          <w:rtl/>
        </w:rPr>
        <w:t xml:space="preserve">ی و ارتباط </w:t>
      </w:r>
      <w:r w:rsidR="008F0DD8" w:rsidRPr="0025250D">
        <w:rPr>
          <w:rFonts w:hint="cs"/>
          <w:rtl/>
        </w:rPr>
        <w:t>آ</w:t>
      </w:r>
      <w:r w:rsidRPr="0025250D">
        <w:rPr>
          <w:rFonts w:hint="cs"/>
          <w:rtl/>
        </w:rPr>
        <w:t>ن نقد نشود، ارزش آن محدود می‌شود. از ابتدا، می‌توانیم هر چیزی را که می‌خواهیم توسط طوفان فکری ایجاد کنیم، اما تنها زیرمجموعه</w:t>
      </w:r>
      <w:r w:rsidRPr="0025250D">
        <w:rPr>
          <w:rFonts w:hint="cs"/>
        </w:rPr>
        <w:t>‌</w:t>
      </w:r>
      <w:r w:rsidRPr="0025250D">
        <w:rPr>
          <w:rFonts w:hint="cs"/>
          <w:rtl/>
        </w:rPr>
        <w:t xml:space="preserve"> کوچکی از این کار مخاطبین لازم را خواهد یافت. بقیه</w:t>
      </w:r>
      <w:r w:rsidRPr="0025250D">
        <w:rPr>
          <w:rFonts w:hint="cs"/>
        </w:rPr>
        <w:t>‌</w:t>
      </w:r>
      <w:r w:rsidRPr="0025250D">
        <w:rPr>
          <w:rFonts w:hint="cs"/>
          <w:rtl/>
        </w:rPr>
        <w:t xml:space="preserve"> آن اغلب </w:t>
      </w:r>
      <w:r w:rsidR="008F0DD8" w:rsidRPr="0025250D">
        <w:rPr>
          <w:rFonts w:hint="cs"/>
          <w:rtl/>
        </w:rPr>
        <w:t>آن‌قدر</w:t>
      </w:r>
      <w:r w:rsidRPr="0025250D">
        <w:rPr>
          <w:rFonts w:hint="cs"/>
          <w:rtl/>
        </w:rPr>
        <w:t xml:space="preserve"> خیالی است که اعتبار تصور کننده را در صورتی که به صورت عمومی چاپ و منتشر شوند زیر سؤال خواهد برد. تنها موارد ممکن مرتبط و </w:t>
      </w:r>
      <w:r w:rsidR="00923DDB" w:rsidRPr="0025250D">
        <w:rPr>
          <w:rFonts w:hint="cs"/>
          <w:rtl/>
        </w:rPr>
        <w:t>باورپذیر</w:t>
      </w:r>
      <w:r w:rsidRPr="0025250D">
        <w:rPr>
          <w:rFonts w:hint="cs"/>
          <w:rtl/>
        </w:rPr>
        <w:t xml:space="preserve"> شایسته</w:t>
      </w:r>
      <w:r w:rsidRPr="0025250D">
        <w:rPr>
          <w:rFonts w:hint="cs"/>
        </w:rPr>
        <w:t>‌</w:t>
      </w:r>
      <w:r w:rsidRPr="0025250D">
        <w:rPr>
          <w:rFonts w:hint="cs"/>
          <w:rtl/>
        </w:rPr>
        <w:t xml:space="preserve"> بیان شدن برای تیم </w:t>
      </w:r>
      <w:r w:rsidR="00701E03" w:rsidRPr="0025250D">
        <w:rPr>
          <w:rFonts w:hint="cs"/>
          <w:rtl/>
        </w:rPr>
        <w:t>راهبرد</w:t>
      </w:r>
      <w:r w:rsidRPr="0025250D">
        <w:rPr>
          <w:rFonts w:hint="cs"/>
          <w:rtl/>
        </w:rPr>
        <w:t xml:space="preserve"> را دارند. این مورد شامل </w:t>
      </w:r>
      <w:r w:rsidR="00923DDB" w:rsidRPr="0025250D">
        <w:rPr>
          <w:rFonts w:hint="cs"/>
          <w:rtl/>
        </w:rPr>
        <w:t>شگفتی‌ساز</w:t>
      </w:r>
      <w:r w:rsidRPr="0025250D">
        <w:rPr>
          <w:rFonts w:hint="cs"/>
          <w:rtl/>
        </w:rPr>
        <w:t xml:space="preserve">ها می‌باشند، یعنی رویداد‌های دارای احتمال کم اما تأثیر زیاد، چه مثبت و چه منفی که می‌توانیم در صورتی که برنامه‌های همگرایی را قبل از این موارد ممکن آماده کرده باشیم، بهتر با آن‌ها </w:t>
      </w:r>
      <w:r w:rsidR="002F3C14" w:rsidRPr="0025250D">
        <w:rPr>
          <w:rFonts w:hint="cs"/>
          <w:rtl/>
        </w:rPr>
        <w:t>انطباق</w:t>
      </w:r>
      <w:r w:rsidRPr="0025250D">
        <w:rPr>
          <w:rFonts w:hint="cs"/>
          <w:rtl/>
        </w:rPr>
        <w:t xml:space="preserve"> یابیم.</w:t>
      </w:r>
    </w:p>
    <w:p w14:paraId="6EA7E910" w14:textId="5BC466B4" w:rsidR="00537CC8" w:rsidRPr="0025250D" w:rsidRDefault="00537CC8" w:rsidP="00537CC8">
      <w:pPr>
        <w:rPr>
          <w:rtl/>
        </w:rPr>
      </w:pPr>
      <w:r w:rsidRPr="0025250D">
        <w:rPr>
          <w:rFonts w:hint="cs"/>
          <w:rtl/>
        </w:rPr>
        <w:t xml:space="preserve">بسیاری از برنامه‌های فارغ التحصیلی </w:t>
      </w:r>
      <w:r w:rsidRPr="0025250D">
        <w:rPr>
          <w:rtl/>
        </w:rPr>
        <w:t>آینده‌نگاری</w:t>
      </w:r>
      <w:r w:rsidRPr="0025250D">
        <w:rPr>
          <w:rFonts w:hint="cs"/>
          <w:rtl/>
        </w:rPr>
        <w:t xml:space="preserve"> دانشجویانی را که از تصور و نوآوری لذت برده و در آن خوب عمل می‌کنند، جذب می‌نمایند. برخی کارگزاران به اشتباه این مورد را فعالیت اصلی زمینه</w:t>
      </w:r>
      <w:r w:rsidRPr="0025250D">
        <w:rPr>
          <w:rFonts w:hint="cs"/>
        </w:rPr>
        <w:t>‌</w:t>
      </w:r>
      <w:r w:rsidRPr="0025250D">
        <w:rPr>
          <w:rFonts w:hint="cs"/>
          <w:rtl/>
        </w:rPr>
        <w:t xml:space="preserve"> ما می‌دانند. در حقیقت، این مهارت می‌تواند با دیگر مهارت‌های </w:t>
      </w:r>
      <w:r w:rsidRPr="0025250D">
        <w:rPr>
          <w:rtl/>
        </w:rPr>
        <w:t>آینده‌نگاری</w:t>
      </w:r>
      <w:r w:rsidRPr="0025250D">
        <w:rPr>
          <w:rFonts w:hint="cs"/>
          <w:rtl/>
        </w:rPr>
        <w:t xml:space="preserve"> در تعادل و توازن باشد. آسان</w:t>
      </w:r>
      <w:r w:rsidR="008F0DD8" w:rsidRPr="0025250D">
        <w:rPr>
          <w:rFonts w:hint="cs"/>
          <w:rtl/>
        </w:rPr>
        <w:t>‌</w:t>
      </w:r>
      <w:r w:rsidRPr="0025250D">
        <w:rPr>
          <w:rFonts w:hint="cs"/>
          <w:rtl/>
        </w:rPr>
        <w:t xml:space="preserve">ترین راه برای حفظ این توازن به یاد داشتن ترتیب </w:t>
      </w:r>
      <w:r w:rsidRPr="0025250D">
        <w:t>LAIS</w:t>
      </w:r>
      <w:r w:rsidRPr="0025250D">
        <w:rPr>
          <w:rFonts w:hint="cs"/>
          <w:rtl/>
        </w:rPr>
        <w:t xml:space="preserve"> فعالیت‌ها و انجام حلقه‌های انجام با بازخورد انتقادی در مورد همه</w:t>
      </w:r>
      <w:r w:rsidRPr="0025250D">
        <w:rPr>
          <w:rFonts w:hint="cs"/>
        </w:rPr>
        <w:t>‌</w:t>
      </w:r>
      <w:r w:rsidRPr="0025250D">
        <w:rPr>
          <w:rFonts w:hint="cs"/>
          <w:rtl/>
        </w:rPr>
        <w:t xml:space="preserve"> تفکرات مربوط به موارد ممکن</w:t>
      </w:r>
      <w:r w:rsidR="008D6F97" w:rsidRPr="0025250D">
        <w:rPr>
          <w:rtl/>
        </w:rPr>
        <w:t xml:space="preserve"> </w:t>
      </w:r>
      <w:r w:rsidRPr="0025250D">
        <w:rPr>
          <w:rFonts w:hint="cs"/>
          <w:rtl/>
        </w:rPr>
        <w:t>تا زمانی</w:t>
      </w:r>
      <w:r w:rsidR="008F0DD8" w:rsidRPr="0025250D">
        <w:rPr>
          <w:rFonts w:hint="cs"/>
          <w:rtl/>
        </w:rPr>
        <w:t xml:space="preserve"> می‌باشد</w:t>
      </w:r>
      <w:r w:rsidRPr="0025250D">
        <w:rPr>
          <w:rFonts w:hint="cs"/>
          <w:rtl/>
        </w:rPr>
        <w:t xml:space="preserve"> که چند مورد معدود از نوآوری‌های واقعا ارزشمند پدیدار شوند.</w:t>
      </w:r>
    </w:p>
    <w:p w14:paraId="3AA4F43D" w14:textId="7DF28E4C" w:rsidR="00537CC8" w:rsidRPr="0025250D" w:rsidRDefault="00537CC8" w:rsidP="00C65749">
      <w:pPr>
        <w:pStyle w:val="Heading3"/>
        <w:rPr>
          <w:rtl/>
        </w:rPr>
      </w:pPr>
      <w:r w:rsidRPr="0025250D">
        <w:rPr>
          <w:rFonts w:hint="cs"/>
          <w:rtl/>
        </w:rPr>
        <w:t xml:space="preserve">تمرکز مجدد بر موارد مرجح و قابل اجتناب (اهداف، </w:t>
      </w:r>
      <w:r w:rsidR="00B56611" w:rsidRPr="0025250D">
        <w:rPr>
          <w:rFonts w:hint="cs"/>
          <w:rtl/>
        </w:rPr>
        <w:t>چشم‌انداز</w:t>
      </w:r>
      <w:r w:rsidRPr="0025250D">
        <w:rPr>
          <w:rFonts w:hint="cs"/>
          <w:rtl/>
        </w:rPr>
        <w:t xml:space="preserve">‌ها، اولویت‌ها و </w:t>
      </w:r>
      <w:r w:rsidR="008F0DD8" w:rsidRPr="0025250D">
        <w:rPr>
          <w:rFonts w:hint="cs"/>
          <w:rtl/>
        </w:rPr>
        <w:t>برنامه‌ها</w:t>
      </w:r>
      <w:r w:rsidRPr="0025250D">
        <w:rPr>
          <w:rFonts w:hint="cs"/>
          <w:rtl/>
        </w:rPr>
        <w:t>)</w:t>
      </w:r>
    </w:p>
    <w:p w14:paraId="653A9183" w14:textId="1ED98A6C" w:rsidR="00537CC8" w:rsidRPr="0025250D" w:rsidRDefault="00537CC8" w:rsidP="00537CC8">
      <w:pPr>
        <w:rPr>
          <w:rtl/>
        </w:rPr>
      </w:pPr>
      <w:r w:rsidRPr="0025250D">
        <w:rPr>
          <w:rFonts w:hint="cs"/>
          <w:rtl/>
        </w:rPr>
        <w:t xml:space="preserve"> به شکل </w:t>
      </w:r>
      <w:r w:rsidR="0008779C" w:rsidRPr="0025250D">
        <w:rPr>
          <w:rFonts w:hint="cs"/>
          <w:rtl/>
        </w:rPr>
        <w:t>ایدئال</w:t>
      </w:r>
      <w:r w:rsidRPr="0025250D">
        <w:rPr>
          <w:rFonts w:hint="cs"/>
          <w:rtl/>
        </w:rPr>
        <w:t xml:space="preserve">، قبل از ورود به </w:t>
      </w:r>
      <w:r w:rsidR="00701E03" w:rsidRPr="0025250D">
        <w:rPr>
          <w:rFonts w:hint="cs"/>
          <w:rtl/>
        </w:rPr>
        <w:t>راهبرد</w:t>
      </w:r>
      <w:r w:rsidRPr="0025250D">
        <w:rPr>
          <w:rFonts w:hint="cs"/>
          <w:rtl/>
        </w:rPr>
        <w:t xml:space="preserve">، دورنمای سیاسی آینده‌های مرجح و </w:t>
      </w:r>
      <w:r w:rsidR="00701E03" w:rsidRPr="0025250D">
        <w:rPr>
          <w:rFonts w:hint="cs"/>
          <w:rtl/>
        </w:rPr>
        <w:t>راهبرد</w:t>
      </w:r>
      <w:r w:rsidRPr="0025250D">
        <w:rPr>
          <w:rFonts w:hint="cs"/>
          <w:rtl/>
        </w:rPr>
        <w:t>‌های مرتبط با آینده</w:t>
      </w:r>
      <w:r w:rsidRPr="0025250D">
        <w:rPr>
          <w:rFonts w:hint="cs"/>
        </w:rPr>
        <w:t>‌</w:t>
      </w:r>
      <w:r w:rsidRPr="0025250D">
        <w:rPr>
          <w:rFonts w:hint="cs"/>
          <w:rtl/>
        </w:rPr>
        <w:t xml:space="preserve"> یک مسئله را پیمایش </w:t>
      </w:r>
      <w:r w:rsidR="007118DE" w:rsidRPr="0025250D">
        <w:rPr>
          <w:rFonts w:hint="cs"/>
          <w:rtl/>
        </w:rPr>
        <w:t>نموده‌ایم</w:t>
      </w:r>
      <w:r w:rsidRPr="0025250D">
        <w:rPr>
          <w:rFonts w:hint="cs"/>
          <w:rtl/>
        </w:rPr>
        <w:t xml:space="preserve"> (یادگیری)، مدلی از آینده‌های محتمل با توجه به انتظارات، </w:t>
      </w:r>
      <w:r w:rsidR="00F50EB4" w:rsidRPr="0025250D">
        <w:rPr>
          <w:rFonts w:hint="cs"/>
          <w:rtl/>
        </w:rPr>
        <w:t>سرمایه‌گذاری</w:t>
      </w:r>
      <w:r w:rsidRPr="0025250D">
        <w:rPr>
          <w:rFonts w:hint="cs"/>
          <w:rtl/>
        </w:rPr>
        <w:t xml:space="preserve">‌ها و </w:t>
      </w:r>
      <w:r w:rsidR="00701E03" w:rsidRPr="0025250D">
        <w:rPr>
          <w:rFonts w:hint="cs"/>
          <w:rtl/>
        </w:rPr>
        <w:t>راهبرد</w:t>
      </w:r>
      <w:r w:rsidRPr="0025250D">
        <w:rPr>
          <w:rFonts w:hint="cs"/>
          <w:rtl/>
        </w:rPr>
        <w:t>‌های خود و دیگران توسعه داده</w:t>
      </w:r>
      <w:r w:rsidR="00892D13" w:rsidRPr="0025250D">
        <w:rPr>
          <w:rFonts w:hint="cs"/>
          <w:rtl/>
        </w:rPr>
        <w:t>‌</w:t>
      </w:r>
      <w:r w:rsidRPr="0025250D">
        <w:rPr>
          <w:rFonts w:hint="cs"/>
          <w:rtl/>
        </w:rPr>
        <w:t>ایم (</w:t>
      </w:r>
      <w:r w:rsidR="00923DDB" w:rsidRPr="0025250D">
        <w:rPr>
          <w:rFonts w:hint="cs"/>
          <w:rtl/>
        </w:rPr>
        <w:t>پیش‌انگاری</w:t>
      </w:r>
      <w:r w:rsidRPr="0025250D">
        <w:rPr>
          <w:rFonts w:hint="cs"/>
          <w:rtl/>
        </w:rPr>
        <w:t xml:space="preserve">) و موارد </w:t>
      </w:r>
      <w:r w:rsidR="00892D13" w:rsidRPr="0025250D">
        <w:rPr>
          <w:rFonts w:hint="cs"/>
          <w:rtl/>
        </w:rPr>
        <w:t>ممکن</w:t>
      </w:r>
      <w:r w:rsidRPr="0025250D">
        <w:rPr>
          <w:rFonts w:hint="cs"/>
          <w:rtl/>
        </w:rPr>
        <w:t xml:space="preserve"> مرتبط و </w:t>
      </w:r>
      <w:r w:rsidR="00923DDB" w:rsidRPr="0025250D">
        <w:rPr>
          <w:rFonts w:hint="cs"/>
          <w:rtl/>
        </w:rPr>
        <w:t>باورپذیر</w:t>
      </w:r>
      <w:r w:rsidRPr="0025250D">
        <w:rPr>
          <w:rFonts w:hint="cs"/>
          <w:rtl/>
        </w:rPr>
        <w:t xml:space="preserve">، چه خوب و چه بد را که می‌توانند شرایط ما را بهتر کرده، تغییر دهند یا متحول سازند، تصور </w:t>
      </w:r>
      <w:r w:rsidR="00950293" w:rsidRPr="0025250D">
        <w:rPr>
          <w:rFonts w:hint="cs"/>
          <w:rtl/>
        </w:rPr>
        <w:t>کرده‌ایم</w:t>
      </w:r>
      <w:r w:rsidRPr="0025250D">
        <w:rPr>
          <w:rFonts w:hint="cs"/>
          <w:rtl/>
        </w:rPr>
        <w:t xml:space="preserve"> (نوآوری کرده</w:t>
      </w:r>
      <w:r w:rsidR="00892D13" w:rsidRPr="0025250D">
        <w:rPr>
          <w:rFonts w:hint="cs"/>
          <w:rtl/>
        </w:rPr>
        <w:t>‌</w:t>
      </w:r>
      <w:r w:rsidRPr="0025250D">
        <w:rPr>
          <w:rFonts w:hint="cs"/>
          <w:rtl/>
        </w:rPr>
        <w:t xml:space="preserve">ایم). اکنون ما برای </w:t>
      </w:r>
      <w:r w:rsidR="00701E03" w:rsidRPr="0025250D">
        <w:rPr>
          <w:rFonts w:hint="cs"/>
          <w:rtl/>
        </w:rPr>
        <w:t>راهبرد</w:t>
      </w:r>
      <w:r w:rsidRPr="0025250D">
        <w:rPr>
          <w:rFonts w:hint="cs"/>
          <w:rtl/>
        </w:rPr>
        <w:t xml:space="preserve">، ایجاد </w:t>
      </w:r>
      <w:r w:rsidR="00B56611" w:rsidRPr="0025250D">
        <w:rPr>
          <w:rFonts w:hint="cs"/>
          <w:rtl/>
        </w:rPr>
        <w:t>چشم‌انداز</w:t>
      </w:r>
      <w:r w:rsidRPr="0025250D">
        <w:rPr>
          <w:rFonts w:hint="cs"/>
          <w:rtl/>
        </w:rPr>
        <w:t>‌های جدید، هدایت سیاست‌ها و برنامه‌های عملی هماهنگ برای دست</w:t>
      </w:r>
      <w:r w:rsidR="00892D13" w:rsidRPr="0025250D">
        <w:rPr>
          <w:rFonts w:hint="cs"/>
          <w:rtl/>
        </w:rPr>
        <w:t>‌</w:t>
      </w:r>
      <w:r w:rsidRPr="0025250D">
        <w:rPr>
          <w:rFonts w:hint="cs"/>
          <w:rtl/>
        </w:rPr>
        <w:t xml:space="preserve">یابی به نتایج مثبت و دوری از تله‌ها آماده هستیم. سپس عمل می‌کنیم و اگر خوش شانس باشیم، </w:t>
      </w:r>
      <w:r w:rsidR="00B124DE" w:rsidRPr="0025250D">
        <w:rPr>
          <w:rFonts w:hint="cs"/>
          <w:rtl/>
        </w:rPr>
        <w:t>انطباق‌پذیر</w:t>
      </w:r>
      <w:r w:rsidRPr="0025250D">
        <w:rPr>
          <w:rFonts w:hint="cs"/>
          <w:rtl/>
        </w:rPr>
        <w:t xml:space="preserve"> تر می‌شویم. </w:t>
      </w:r>
      <w:r w:rsidR="00701E03" w:rsidRPr="0025250D">
        <w:rPr>
          <w:rFonts w:hint="cs"/>
          <w:rtl/>
        </w:rPr>
        <w:t>راهبرد</w:t>
      </w:r>
      <w:r w:rsidRPr="0025250D">
        <w:rPr>
          <w:rFonts w:hint="cs"/>
          <w:rtl/>
        </w:rPr>
        <w:t xml:space="preserve"> ما را به تمرکز باز می‌گرداند. ما باید </w:t>
      </w:r>
      <w:r w:rsidR="00B56611" w:rsidRPr="0025250D">
        <w:rPr>
          <w:rFonts w:hint="cs"/>
          <w:rtl/>
        </w:rPr>
        <w:t>چشم‌انداز</w:t>
      </w:r>
      <w:r w:rsidRPr="0025250D">
        <w:rPr>
          <w:rFonts w:hint="cs"/>
          <w:rtl/>
        </w:rPr>
        <w:t xml:space="preserve">‌ها، سیاست‌ها و برنامه‌های عملی خود را </w:t>
      </w:r>
      <w:r w:rsidR="007118DE" w:rsidRPr="0025250D">
        <w:rPr>
          <w:rFonts w:hint="cs"/>
          <w:rtl/>
        </w:rPr>
        <w:t>اولویت‌بندی</w:t>
      </w:r>
      <w:r w:rsidRPr="0025250D">
        <w:rPr>
          <w:rFonts w:hint="cs"/>
          <w:rtl/>
        </w:rPr>
        <w:t xml:space="preserve"> کنیم.</w:t>
      </w:r>
    </w:p>
    <w:p w14:paraId="12ED4820" w14:textId="3F78EBF3" w:rsidR="00537CC8" w:rsidRPr="0025250D" w:rsidRDefault="00537CC8" w:rsidP="00537CC8">
      <w:pPr>
        <w:rPr>
          <w:rtl/>
        </w:rPr>
      </w:pPr>
      <w:r w:rsidRPr="0025250D">
        <w:rPr>
          <w:rFonts w:hint="cs"/>
          <w:rtl/>
        </w:rPr>
        <w:t>ما این موارد را در کوتاه مدت از طریق هشت مهارت انجام می‌دهیم، اما در بلند مدت رهبری و کنشگری</w:t>
      </w:r>
      <w:r w:rsidRPr="0025250D">
        <w:rPr>
          <w:vertAlign w:val="superscript"/>
          <w:rtl/>
        </w:rPr>
        <w:footnoteReference w:id="1086"/>
      </w:r>
      <w:r w:rsidRPr="0025250D">
        <w:rPr>
          <w:rFonts w:hint="cs"/>
          <w:rtl/>
        </w:rPr>
        <w:t xml:space="preserve"> موفق نیز به ارزش‌ها و اخلاقیات خوب نیاز دارد. نه تنها به شایستگی‌ها، بلکه همچنین به شخصیت و اقتدار نیاز دارد. در بلند مدت، </w:t>
      </w:r>
      <w:r w:rsidR="00923DDB" w:rsidRPr="0025250D">
        <w:rPr>
          <w:rtl/>
        </w:rPr>
        <w:t>آینده‌نگاری انطباقی</w:t>
      </w:r>
      <w:r w:rsidRPr="0025250D">
        <w:rPr>
          <w:rFonts w:hint="cs"/>
          <w:rtl/>
        </w:rPr>
        <w:t xml:space="preserve"> هنجاری</w:t>
      </w:r>
      <w:r w:rsidRPr="0025250D">
        <w:rPr>
          <w:vertAlign w:val="superscript"/>
          <w:rtl/>
        </w:rPr>
        <w:footnoteReference w:id="1087"/>
      </w:r>
      <w:r w:rsidRPr="0025250D">
        <w:rPr>
          <w:rFonts w:hint="cs"/>
          <w:rtl/>
        </w:rPr>
        <w:t xml:space="preserve"> می‌شود. با کسب بینش، یاد می‌گیریم ببینیم که چگونه می‌توانیم به صورت روزانه برای خود و دیگران ارزش ایجاد کنیم و تلاش کنیم تا هر چند به صورت ناکامل، موفقیت فردی و پیشرفت اجتماعی را ارزیابی و اندازه گیری کنیم. ماهمچنین می‌آموزیم که دائما </w:t>
      </w:r>
      <w:r w:rsidR="00B56611" w:rsidRPr="0025250D">
        <w:rPr>
          <w:rFonts w:hint="cs"/>
          <w:rtl/>
        </w:rPr>
        <w:t>چشم‌انداز</w:t>
      </w:r>
      <w:r w:rsidRPr="0025250D">
        <w:rPr>
          <w:rFonts w:hint="cs"/>
          <w:rtl/>
        </w:rPr>
        <w:t xml:space="preserve">‌ها و </w:t>
      </w:r>
      <w:r w:rsidR="00701E03" w:rsidRPr="0025250D">
        <w:rPr>
          <w:rFonts w:hint="cs"/>
          <w:rtl/>
        </w:rPr>
        <w:t>راهبرد</w:t>
      </w:r>
      <w:r w:rsidRPr="0025250D">
        <w:rPr>
          <w:rFonts w:hint="cs"/>
          <w:rtl/>
        </w:rPr>
        <w:t>‌های خود را در یک جامعه</w:t>
      </w:r>
      <w:r w:rsidRPr="0025250D">
        <w:rPr>
          <w:rFonts w:hint="cs"/>
        </w:rPr>
        <w:t>‌</w:t>
      </w:r>
      <w:r w:rsidRPr="0025250D">
        <w:rPr>
          <w:rFonts w:hint="cs"/>
          <w:rtl/>
        </w:rPr>
        <w:t xml:space="preserve"> انتقادی و متنوع، با استفاده از یک </w:t>
      </w:r>
      <w:r w:rsidR="00B13F65" w:rsidRPr="0025250D">
        <w:rPr>
          <w:rFonts w:hint="cs"/>
          <w:rtl/>
        </w:rPr>
        <w:t>چارچوب</w:t>
      </w:r>
      <w:r w:rsidRPr="0025250D">
        <w:rPr>
          <w:rFonts w:hint="cs"/>
          <w:rtl/>
        </w:rPr>
        <w:t xml:space="preserve"> حلقه</w:t>
      </w:r>
      <w:r w:rsidRPr="0025250D">
        <w:rPr>
          <w:rFonts w:hint="cs"/>
        </w:rPr>
        <w:t>‌</w:t>
      </w:r>
      <w:r w:rsidRPr="0025250D">
        <w:rPr>
          <w:rFonts w:hint="cs"/>
          <w:rtl/>
        </w:rPr>
        <w:t xml:space="preserve"> انجام مانند چرخه</w:t>
      </w:r>
      <w:r w:rsidRPr="0025250D">
        <w:rPr>
          <w:rFonts w:hint="cs"/>
        </w:rPr>
        <w:t xml:space="preserve">‌ </w:t>
      </w:r>
      <w:r w:rsidRPr="0025250D">
        <w:t>REOPS</w:t>
      </w:r>
      <w:r w:rsidRPr="0025250D">
        <w:rPr>
          <w:rFonts w:hint="cs"/>
          <w:rtl/>
        </w:rPr>
        <w:t xml:space="preserve"> نقد کنیم. ما باید </w:t>
      </w:r>
      <w:r w:rsidRPr="0025250D">
        <w:rPr>
          <w:rtl/>
        </w:rPr>
        <w:t>آینده‌نگاری</w:t>
      </w:r>
      <w:r w:rsidRPr="0025250D">
        <w:rPr>
          <w:rFonts w:hint="cs"/>
          <w:rtl/>
        </w:rPr>
        <w:t xml:space="preserve"> خود را</w:t>
      </w:r>
      <w:r w:rsidR="008D6F97" w:rsidRPr="0025250D">
        <w:rPr>
          <w:rtl/>
        </w:rPr>
        <w:t xml:space="preserve"> </w:t>
      </w:r>
      <w:r w:rsidRPr="0025250D">
        <w:rPr>
          <w:rFonts w:hint="cs"/>
          <w:rtl/>
        </w:rPr>
        <w:t xml:space="preserve">تا حد امکان برای ذینفعان شفاف، قابل دسترسی و قابل درک </w:t>
      </w:r>
      <w:r w:rsidR="00892D13" w:rsidRPr="0025250D">
        <w:rPr>
          <w:rFonts w:hint="cs"/>
          <w:rtl/>
        </w:rPr>
        <w:t>سازیم</w:t>
      </w:r>
      <w:r w:rsidR="008D6F97" w:rsidRPr="0025250D">
        <w:rPr>
          <w:rtl/>
        </w:rPr>
        <w:t xml:space="preserve"> </w:t>
      </w:r>
      <w:r w:rsidRPr="0025250D">
        <w:rPr>
          <w:rFonts w:hint="cs"/>
          <w:rtl/>
        </w:rPr>
        <w:t>تا بهترین آینده‌های دسترس</w:t>
      </w:r>
      <w:r w:rsidR="00892D13" w:rsidRPr="0025250D">
        <w:rPr>
          <w:rFonts w:hint="cs"/>
          <w:rtl/>
        </w:rPr>
        <w:t>‌</w:t>
      </w:r>
      <w:r w:rsidRPr="0025250D">
        <w:rPr>
          <w:rFonts w:hint="cs"/>
          <w:rtl/>
        </w:rPr>
        <w:t xml:space="preserve">پذیر را به دست آوریم. ما این روند‌های باز، جمعی و دیجیتال را در فصل آخر خود، به نام آینده </w:t>
      </w:r>
      <w:r w:rsidRPr="0025250D">
        <w:rPr>
          <w:rtl/>
        </w:rPr>
        <w:t>آینده‌نگاری</w:t>
      </w:r>
      <w:r w:rsidRPr="0025250D">
        <w:rPr>
          <w:rFonts w:hint="cs"/>
          <w:rtl/>
        </w:rPr>
        <w:t>، بررسی خواهیم کرد.</w:t>
      </w:r>
    </w:p>
    <w:p w14:paraId="33F4BEEE" w14:textId="7CEFE0DF" w:rsidR="00537CC8" w:rsidRPr="0025250D" w:rsidRDefault="007118DE" w:rsidP="00537CC8">
      <w:pPr>
        <w:rPr>
          <w:rtl/>
        </w:rPr>
      </w:pPr>
      <w:r w:rsidRPr="0025250D">
        <w:rPr>
          <w:rFonts w:hint="cs"/>
          <w:rtl/>
        </w:rPr>
        <w:t>همان‌طور</w:t>
      </w:r>
      <w:r w:rsidR="00537CC8" w:rsidRPr="0025250D">
        <w:rPr>
          <w:rFonts w:hint="cs"/>
          <w:rtl/>
        </w:rPr>
        <w:t xml:space="preserve"> که فیلسوف </w:t>
      </w:r>
      <w:r w:rsidR="00537CC8" w:rsidRPr="0025250D">
        <w:rPr>
          <w:rtl/>
        </w:rPr>
        <w:t>سنکا</w:t>
      </w:r>
      <w:r w:rsidR="00537CC8" w:rsidRPr="0025250D">
        <w:rPr>
          <w:vertAlign w:val="superscript"/>
          <w:rtl/>
        </w:rPr>
        <w:footnoteReference w:id="1088"/>
      </w:r>
      <w:r w:rsidR="00537CC8" w:rsidRPr="0025250D">
        <w:rPr>
          <w:rFonts w:hint="cs"/>
          <w:rtl/>
        </w:rPr>
        <w:t xml:space="preserve"> گفته است، </w:t>
      </w:r>
      <w:r w:rsidR="0063099E" w:rsidRPr="0025250D">
        <w:rPr>
          <w:rtl/>
        </w:rPr>
        <w:t>«</w:t>
      </w:r>
      <w:r w:rsidR="00537CC8" w:rsidRPr="0025250D">
        <w:rPr>
          <w:rFonts w:hint="cs"/>
          <w:rtl/>
        </w:rPr>
        <w:t>داشتن آرزوی پیشرفت بزرگترین بخش پیشرفت است</w:t>
      </w:r>
      <w:r w:rsidR="0063099E" w:rsidRPr="0025250D">
        <w:rPr>
          <w:rtl/>
        </w:rPr>
        <w:t>»</w:t>
      </w:r>
      <w:r w:rsidR="00537CC8" w:rsidRPr="0025250D">
        <w:rPr>
          <w:rFonts w:hint="cs"/>
          <w:rtl/>
        </w:rPr>
        <w:t xml:space="preserve">. شاید </w:t>
      </w:r>
      <w:r w:rsidRPr="0025250D">
        <w:rPr>
          <w:rFonts w:hint="cs"/>
          <w:rtl/>
        </w:rPr>
        <w:t>مهم‌تر</w:t>
      </w:r>
      <w:r w:rsidR="00537CC8" w:rsidRPr="0025250D">
        <w:rPr>
          <w:rFonts w:hint="cs"/>
          <w:rtl/>
        </w:rPr>
        <w:t xml:space="preserve">ین ذهنیت در </w:t>
      </w:r>
      <w:r w:rsidR="00537CC8" w:rsidRPr="0025250D">
        <w:rPr>
          <w:rtl/>
        </w:rPr>
        <w:t>آینده‌نگاری</w:t>
      </w:r>
      <w:r w:rsidR="00537CC8" w:rsidRPr="0025250D">
        <w:rPr>
          <w:rFonts w:hint="cs"/>
          <w:rtl/>
        </w:rPr>
        <w:t>، توسعه</w:t>
      </w:r>
      <w:r w:rsidR="00537CC8" w:rsidRPr="0025250D">
        <w:rPr>
          <w:rFonts w:hint="cs"/>
        </w:rPr>
        <w:t>‌</w:t>
      </w:r>
      <w:r w:rsidR="00537CC8" w:rsidRPr="0025250D">
        <w:rPr>
          <w:rFonts w:hint="cs"/>
          <w:rtl/>
        </w:rPr>
        <w:t xml:space="preserve"> شور، قضاوت و پشتکار کافی برای باور به این </w:t>
      </w:r>
      <w:r w:rsidR="00892D13" w:rsidRPr="0025250D">
        <w:rPr>
          <w:rFonts w:hint="cs"/>
          <w:rtl/>
        </w:rPr>
        <w:t>باشد</w:t>
      </w:r>
      <w:r w:rsidR="00537CC8" w:rsidRPr="0025250D">
        <w:rPr>
          <w:rFonts w:hint="cs"/>
          <w:rtl/>
        </w:rPr>
        <w:t xml:space="preserve"> که می‌توانیم با کیفیت </w:t>
      </w:r>
      <w:r w:rsidR="00B56611" w:rsidRPr="0025250D">
        <w:rPr>
          <w:rFonts w:hint="cs"/>
          <w:rtl/>
        </w:rPr>
        <w:t>چشم‌انداز</w:t>
      </w:r>
      <w:r w:rsidR="00537CC8" w:rsidRPr="0025250D">
        <w:rPr>
          <w:rFonts w:hint="cs"/>
          <w:rtl/>
        </w:rPr>
        <w:t>مان به دیگران خدمت کنیم، به صورت فردی می‌توانیم روزانه ارزش ایجاد کنیم و به صورت جمعی، می‌توانیم همگی با هم جهان را بهبود بخشیم. این موارد هر یک باور‌هایی با اه</w:t>
      </w:r>
      <w:r w:rsidR="00892D13" w:rsidRPr="0025250D">
        <w:rPr>
          <w:rFonts w:hint="cs"/>
          <w:rtl/>
        </w:rPr>
        <w:t>می</w:t>
      </w:r>
      <w:r w:rsidR="00537CC8" w:rsidRPr="0025250D">
        <w:rPr>
          <w:rFonts w:hint="cs"/>
          <w:rtl/>
        </w:rPr>
        <w:t>ت حیاتی هستند.</w:t>
      </w:r>
    </w:p>
    <w:p w14:paraId="4F4D78FE" w14:textId="77777777" w:rsidR="00537CC8" w:rsidRPr="0025250D" w:rsidRDefault="00537CC8" w:rsidP="00537CC8">
      <w:pPr>
        <w:rPr>
          <w:rtl/>
        </w:rPr>
      </w:pPr>
    </w:p>
    <w:p w14:paraId="6A277B84" w14:textId="77777777" w:rsidR="00537CC8" w:rsidRPr="0025250D" w:rsidRDefault="00537CC8" w:rsidP="00537CC8">
      <w:pPr>
        <w:rPr>
          <w:rtl/>
        </w:rPr>
      </w:pPr>
    </w:p>
    <w:p w14:paraId="07BA6F97" w14:textId="36854530" w:rsidR="00537CC8" w:rsidRPr="0025250D" w:rsidRDefault="00537CC8" w:rsidP="00C65749">
      <w:pPr>
        <w:pStyle w:val="Heading2"/>
        <w:rPr>
          <w:rtl/>
        </w:rPr>
      </w:pPr>
      <w:bookmarkStart w:id="33" w:name="_Toc127831298"/>
      <w:r w:rsidRPr="0025250D">
        <w:rPr>
          <w:rFonts w:hint="cs"/>
          <w:rtl/>
        </w:rPr>
        <w:t xml:space="preserve">هشت مهارت </w:t>
      </w:r>
      <w:r w:rsidR="00923DDB" w:rsidRPr="0025250D">
        <w:rPr>
          <w:rtl/>
        </w:rPr>
        <w:t>آینده‌نگاری انطباقی</w:t>
      </w:r>
      <w:r w:rsidRPr="0025250D">
        <w:rPr>
          <w:rFonts w:hint="cs"/>
          <w:rtl/>
        </w:rPr>
        <w:t xml:space="preserve"> (مهارت‌های </w:t>
      </w:r>
      <w:r w:rsidRPr="0025250D">
        <w:t>LAISEIRR</w:t>
      </w:r>
      <w:r w:rsidRPr="0025250D">
        <w:rPr>
          <w:rFonts w:hint="cs"/>
          <w:rtl/>
        </w:rPr>
        <w:t>)</w:t>
      </w:r>
      <w:bookmarkEnd w:id="33"/>
    </w:p>
    <w:p w14:paraId="1657B845" w14:textId="544FF9F1" w:rsidR="00537CC8" w:rsidRPr="0025250D" w:rsidRDefault="00537CC8" w:rsidP="00537CC8">
      <w:pPr>
        <w:rPr>
          <w:rtl/>
        </w:rPr>
      </w:pPr>
      <w:r w:rsidRPr="0025250D">
        <w:rPr>
          <w:rFonts w:hint="cs"/>
          <w:rtl/>
        </w:rPr>
        <w:t xml:space="preserve">هشت مهارت، مدل عملی </w:t>
      </w:r>
      <w:r w:rsidRPr="0025250D">
        <w:rPr>
          <w:rtl/>
        </w:rPr>
        <w:t>آینده‌نگاری</w:t>
      </w:r>
      <w:r w:rsidRPr="0025250D">
        <w:rPr>
          <w:rFonts w:hint="cs"/>
          <w:rtl/>
        </w:rPr>
        <w:t xml:space="preserve"> سازمانی اصلی مورد استفاده ما در </w:t>
      </w:r>
      <w:r w:rsidRPr="0025250D">
        <w:t>4U</w:t>
      </w:r>
      <w:r w:rsidRPr="0025250D">
        <w:rPr>
          <w:rFonts w:hint="cs"/>
          <w:rtl/>
        </w:rPr>
        <w:t xml:space="preserve"> می‌باشد. این </w:t>
      </w:r>
      <w:r w:rsidR="00E659FD" w:rsidRPr="0025250D">
        <w:rPr>
          <w:rFonts w:hint="cs"/>
          <w:rtl/>
        </w:rPr>
        <w:t>مدل</w:t>
      </w:r>
      <w:r w:rsidRPr="0025250D">
        <w:rPr>
          <w:rFonts w:hint="cs"/>
          <w:rtl/>
        </w:rPr>
        <w:t xml:space="preserve"> حاصل ترکیب چرخه</w:t>
      </w:r>
      <w:r w:rsidRPr="0025250D">
        <w:rPr>
          <w:rFonts w:hint="cs"/>
        </w:rPr>
        <w:t>‌</w:t>
      </w:r>
      <w:r w:rsidRPr="0025250D">
        <w:rPr>
          <w:rFonts w:hint="cs"/>
          <w:rtl/>
        </w:rPr>
        <w:t xml:space="preserve"> درک-</w:t>
      </w:r>
      <w:r w:rsidR="0008779C" w:rsidRPr="0025250D">
        <w:rPr>
          <w:rFonts w:hint="cs"/>
          <w:rtl/>
        </w:rPr>
        <w:t>تصمیم‌گیری</w:t>
      </w:r>
      <w:r w:rsidRPr="0025250D">
        <w:rPr>
          <w:rFonts w:hint="cs"/>
          <w:rtl/>
        </w:rPr>
        <w:t xml:space="preserve">-عمل-بازخورد علوم شناختی، هرم آینده‌نگاری و سه مهارت عملی </w:t>
      </w:r>
      <w:r w:rsidRPr="0025250D">
        <w:rPr>
          <w:rtl/>
        </w:rPr>
        <w:t>گالوپ</w:t>
      </w:r>
      <w:r w:rsidR="00E659FD" w:rsidRPr="0025250D">
        <w:rPr>
          <w:rFonts w:hint="cs"/>
          <w:rtl/>
        </w:rPr>
        <w:t xml:space="preserve"> به عنوان</w:t>
      </w:r>
      <w:r w:rsidRPr="0025250D">
        <w:rPr>
          <w:rFonts w:hint="cs"/>
          <w:rtl/>
        </w:rPr>
        <w:t xml:space="preserve"> </w:t>
      </w:r>
      <w:r w:rsidR="00E659FD" w:rsidRPr="0025250D">
        <w:rPr>
          <w:rFonts w:hint="cs"/>
          <w:rtl/>
        </w:rPr>
        <w:t xml:space="preserve">یک </w:t>
      </w:r>
      <w:r w:rsidRPr="0025250D">
        <w:rPr>
          <w:rFonts w:hint="cs"/>
          <w:rtl/>
        </w:rPr>
        <w:t>شرکت مشاره</w:t>
      </w:r>
      <w:r w:rsidRPr="0025250D">
        <w:rPr>
          <w:rFonts w:hint="cs"/>
        </w:rPr>
        <w:t>‌</w:t>
      </w:r>
      <w:r w:rsidRPr="0025250D">
        <w:rPr>
          <w:rFonts w:hint="cs"/>
          <w:rtl/>
        </w:rPr>
        <w:t xml:space="preserve"> مدیریتی، است. این مدل ریشه در بحث‌های بین </w:t>
      </w:r>
      <w:r w:rsidRPr="0025250D">
        <w:rPr>
          <w:rtl/>
        </w:rPr>
        <w:t>جاشوا د</w:t>
      </w:r>
      <w:r w:rsidRPr="0025250D">
        <w:rPr>
          <w:rFonts w:hint="cs"/>
          <w:rtl/>
        </w:rPr>
        <w:t>ی</w:t>
      </w:r>
      <w:r w:rsidRPr="0025250D">
        <w:rPr>
          <w:rFonts w:hint="eastAsia"/>
          <w:rtl/>
        </w:rPr>
        <w:t>و</w:t>
      </w:r>
      <w:r w:rsidRPr="0025250D">
        <w:rPr>
          <w:rFonts w:hint="cs"/>
          <w:rtl/>
        </w:rPr>
        <w:t>ی</w:t>
      </w:r>
      <w:r w:rsidRPr="0025250D">
        <w:rPr>
          <w:rFonts w:hint="eastAsia"/>
          <w:rtl/>
        </w:rPr>
        <w:t>س</w:t>
      </w:r>
      <w:r w:rsidRPr="0025250D">
        <w:rPr>
          <w:vertAlign w:val="superscript"/>
          <w:rtl/>
        </w:rPr>
        <w:footnoteReference w:id="1089"/>
      </w:r>
      <w:r w:rsidRPr="0025250D">
        <w:rPr>
          <w:rFonts w:hint="cs"/>
          <w:rtl/>
        </w:rPr>
        <w:t xml:space="preserve"> و </w:t>
      </w:r>
      <w:r w:rsidRPr="0025250D">
        <w:rPr>
          <w:rtl/>
        </w:rPr>
        <w:t>جان اسمارت</w:t>
      </w:r>
      <w:r w:rsidRPr="0025250D">
        <w:rPr>
          <w:vertAlign w:val="superscript"/>
          <w:rtl/>
        </w:rPr>
        <w:footnoteReference w:id="1090"/>
      </w:r>
      <w:r w:rsidRPr="0025250D">
        <w:rPr>
          <w:rFonts w:hint="cs"/>
          <w:rtl/>
        </w:rPr>
        <w:t xml:space="preserve"> در سال 2014 دارد. این مدل از بازخورد دوره‌ای متخصصین </w:t>
      </w:r>
      <w:r w:rsidRPr="0025250D">
        <w:rPr>
          <w:rtl/>
        </w:rPr>
        <w:t>آینده‌نگاری</w:t>
      </w:r>
      <w:r w:rsidRPr="0025250D">
        <w:rPr>
          <w:rFonts w:hint="cs"/>
          <w:rtl/>
        </w:rPr>
        <w:t xml:space="preserve"> و صنعت بهره برده است.</w:t>
      </w:r>
    </w:p>
    <w:p w14:paraId="3E44DC53" w14:textId="7AFEC6D0" w:rsidR="00537CC8" w:rsidRPr="0025250D" w:rsidRDefault="00537CC8" w:rsidP="00537CC8">
      <w:pPr>
        <w:rPr>
          <w:rtl/>
        </w:rPr>
      </w:pPr>
      <w:r w:rsidRPr="0025250D">
        <w:rPr>
          <w:rFonts w:hint="cs"/>
          <w:rtl/>
        </w:rPr>
        <w:t>برای افراد، ما باور داریم که چهار گام حلقه</w:t>
      </w:r>
      <w:r w:rsidRPr="0025250D">
        <w:rPr>
          <w:rFonts w:hint="cs"/>
        </w:rPr>
        <w:t>‌</w:t>
      </w:r>
      <w:r w:rsidRPr="0025250D">
        <w:rPr>
          <w:rFonts w:hint="cs"/>
          <w:rtl/>
        </w:rPr>
        <w:t xml:space="preserve"> انجام، یادگیری،</w:t>
      </w:r>
      <w:r w:rsidRPr="0025250D">
        <w:t xml:space="preserve"> </w:t>
      </w:r>
      <w:r w:rsidRPr="0025250D">
        <w:rPr>
          <w:rtl/>
        </w:rPr>
        <w:t>آینده‌نگاری</w:t>
      </w:r>
      <w:r w:rsidRPr="0025250D">
        <w:rPr>
          <w:rFonts w:hint="cs"/>
          <w:rtl/>
        </w:rPr>
        <w:t>، عمل و بازبینی، اغلب برای بسیاری از فعالیت‌های روزانه به اندازه</w:t>
      </w:r>
      <w:r w:rsidRPr="0025250D">
        <w:rPr>
          <w:rFonts w:hint="cs"/>
        </w:rPr>
        <w:t>‌</w:t>
      </w:r>
      <w:r w:rsidRPr="0025250D">
        <w:rPr>
          <w:rFonts w:hint="cs"/>
          <w:rtl/>
        </w:rPr>
        <w:t xml:space="preserve"> کافی پیچیده هستند. از نظر فردی، ما اغلب نیازی به تفکر در مورد انواع </w:t>
      </w:r>
      <w:r w:rsidRPr="0025250D">
        <w:rPr>
          <w:rtl/>
        </w:rPr>
        <w:t>آینده‌نگاری</w:t>
      </w:r>
      <w:r w:rsidRPr="0025250D">
        <w:rPr>
          <w:rFonts w:hint="cs"/>
          <w:rtl/>
        </w:rPr>
        <w:t xml:space="preserve"> یا انواع اعمالی که درگیر آن‌ها هستیم نداریم. اغلب به یاد داشتن یادگیری چند مورد اندک، نگاهی اندکی به جلو، عمل و سپس بررسی نتایجمان کافی است</w:t>
      </w:r>
      <w:r w:rsidR="008D6F97" w:rsidRPr="0025250D">
        <w:rPr>
          <w:rtl/>
        </w:rPr>
        <w:t xml:space="preserve">؛ </w:t>
      </w:r>
      <w:r w:rsidRPr="0025250D">
        <w:rPr>
          <w:rFonts w:hint="cs"/>
          <w:rtl/>
        </w:rPr>
        <w:t>اما وقتی در ارتباط با دیگران، در تیم‌ها و سازمان‌ها کار می‌کنیم، وقتی دو مرحله</w:t>
      </w:r>
      <w:r w:rsidRPr="0025250D">
        <w:rPr>
          <w:rFonts w:hint="cs"/>
        </w:rPr>
        <w:t>‌</w:t>
      </w:r>
      <w:r w:rsidRPr="0025250D">
        <w:rPr>
          <w:rFonts w:hint="cs"/>
          <w:rtl/>
        </w:rPr>
        <w:t xml:space="preserve"> میانی حلقه</w:t>
      </w:r>
      <w:r w:rsidRPr="0025250D">
        <w:rPr>
          <w:rFonts w:hint="cs"/>
        </w:rPr>
        <w:t>‌</w:t>
      </w:r>
      <w:r w:rsidRPr="0025250D">
        <w:rPr>
          <w:rFonts w:hint="cs"/>
          <w:rtl/>
        </w:rPr>
        <w:t xml:space="preserve"> انجام، </w:t>
      </w:r>
      <w:r w:rsidRPr="0025250D">
        <w:rPr>
          <w:rtl/>
        </w:rPr>
        <w:t>آینده‌نگاری</w:t>
      </w:r>
      <w:r w:rsidRPr="0025250D">
        <w:rPr>
          <w:rFonts w:hint="cs"/>
          <w:rtl/>
        </w:rPr>
        <w:t xml:space="preserve"> و عمل را هر یک به سه مهارت محوری تقسیم می‌کنیم، به شدت سود خواهیم برد. انجام این کار هشت مهارت را در اختیار ما می‌گذارد که هر یک می‌توانند به ما در طی حلقه‌های انجام کمک کنند و هر یک ممکن است</w:t>
      </w:r>
      <w:r w:rsidR="00BB406C" w:rsidRPr="0025250D">
        <w:rPr>
          <w:rFonts w:hint="cs"/>
          <w:rtl/>
        </w:rPr>
        <w:t xml:space="preserve"> کم‌تر</w:t>
      </w:r>
      <w:r w:rsidRPr="0025250D">
        <w:rPr>
          <w:rFonts w:hint="cs"/>
          <w:rtl/>
        </w:rPr>
        <w:t xml:space="preserve"> از حد لازم، به صورت نادرست یا بیش از حد لازم به کار گرفته شوند.</w:t>
      </w:r>
    </w:p>
    <w:p w14:paraId="72C52AE6" w14:textId="06833329" w:rsidR="00537CC8" w:rsidRPr="0025250D" w:rsidRDefault="00537CC8" w:rsidP="0063099E">
      <w:pPr>
        <w:rPr>
          <w:rtl/>
        </w:rPr>
      </w:pPr>
      <w:r w:rsidRPr="0025250D">
        <w:rPr>
          <w:rFonts w:hint="cs"/>
          <w:rtl/>
        </w:rPr>
        <w:t>هرچه بهتر خودمان و تیممان بتوانیم این مهارت‌ها را دیده و در چرخه‌ها از آن‌ها بهره ببریم، می‌توانیم اثربخ</w:t>
      </w:r>
      <w:r w:rsidR="00E659FD" w:rsidRPr="0025250D">
        <w:rPr>
          <w:rFonts w:hint="cs"/>
          <w:rtl/>
        </w:rPr>
        <w:t>‌</w:t>
      </w:r>
      <w:r w:rsidRPr="0025250D">
        <w:rPr>
          <w:rFonts w:hint="cs"/>
          <w:rtl/>
        </w:rPr>
        <w:t xml:space="preserve"> تر و </w:t>
      </w:r>
      <w:r w:rsidR="00B124DE" w:rsidRPr="0025250D">
        <w:rPr>
          <w:rFonts w:hint="cs"/>
          <w:rtl/>
        </w:rPr>
        <w:t>انطباق‌پذیر</w:t>
      </w:r>
      <w:r w:rsidRPr="0025250D">
        <w:rPr>
          <w:rFonts w:hint="cs"/>
          <w:rtl/>
        </w:rPr>
        <w:t xml:space="preserve">تر باشیم. گفتیم که می‌توانیم هشت مهارت را با نام اختصاری </w:t>
      </w:r>
      <w:r w:rsidR="0063099E" w:rsidRPr="0025250D">
        <w:rPr>
          <w:rFonts w:hint="cs"/>
          <w:rtl/>
        </w:rPr>
        <w:t>«</w:t>
      </w:r>
      <w:r w:rsidRPr="0025250D">
        <w:t>LAISEIRR</w:t>
      </w:r>
      <w:r w:rsidR="0063099E" w:rsidRPr="0025250D">
        <w:rPr>
          <w:rFonts w:hint="cs"/>
          <w:rtl/>
        </w:rPr>
        <w:t>»</w:t>
      </w:r>
      <w:r w:rsidRPr="0025250D">
        <w:rPr>
          <w:rFonts w:hint="cs"/>
          <w:rtl/>
        </w:rPr>
        <w:t xml:space="preserve"> به خاطر بسپاریم. همچنین می‌توانیم آن‌ها را با اصطلاح </w:t>
      </w:r>
      <w:r w:rsidR="0063099E" w:rsidRPr="0025250D">
        <w:rPr>
          <w:rtl/>
        </w:rPr>
        <w:t>«</w:t>
      </w:r>
      <w:r w:rsidRPr="0025250D">
        <w:rPr>
          <w:rFonts w:hint="cs"/>
          <w:rtl/>
        </w:rPr>
        <w:t xml:space="preserve">تمرکز </w:t>
      </w:r>
      <w:r w:rsidRPr="0025250D">
        <w:t>LAISEIRR</w:t>
      </w:r>
      <w:r w:rsidRPr="0025250D">
        <w:rPr>
          <w:rFonts w:hint="cs"/>
          <w:rtl/>
        </w:rPr>
        <w:t xml:space="preserve"> (لیزر) می‌تواند موفقیت به ارمغان آورد</w:t>
      </w:r>
      <w:r w:rsidR="0063099E" w:rsidRPr="0025250D">
        <w:rPr>
          <w:rtl/>
        </w:rPr>
        <w:t>»</w:t>
      </w:r>
      <w:r w:rsidRPr="0025250D">
        <w:rPr>
          <w:rFonts w:hint="cs"/>
          <w:rtl/>
        </w:rPr>
        <w:t xml:space="preserve"> به یا</w:t>
      </w:r>
      <w:r w:rsidR="00E659FD" w:rsidRPr="0025250D">
        <w:rPr>
          <w:rFonts w:hint="cs"/>
          <w:rtl/>
        </w:rPr>
        <w:t>د</w:t>
      </w:r>
      <w:r w:rsidRPr="0025250D">
        <w:rPr>
          <w:rFonts w:hint="cs"/>
          <w:rtl/>
        </w:rPr>
        <w:t xml:space="preserve"> داشته باشیم. ممکن است به ندرت دقیقا با ترتیب </w:t>
      </w:r>
      <w:r w:rsidRPr="0025250D">
        <w:t>LAISEIRR</w:t>
      </w:r>
      <w:r w:rsidRPr="0025250D">
        <w:rPr>
          <w:rFonts w:hint="cs"/>
          <w:rtl/>
        </w:rPr>
        <w:t xml:space="preserve"> چرخه‌ها را طی کنیم اما هر چه</w:t>
      </w:r>
      <w:r w:rsidR="0008779C" w:rsidRPr="0025250D">
        <w:rPr>
          <w:rFonts w:hint="cs"/>
          <w:rtl/>
        </w:rPr>
        <w:t xml:space="preserve"> بیش‌تر</w:t>
      </w:r>
      <w:r w:rsidRPr="0025250D">
        <w:rPr>
          <w:rFonts w:hint="cs"/>
          <w:rtl/>
        </w:rPr>
        <w:t xml:space="preserve"> هر یک را دیده، در موردشان صحبت کرده و بهبودشان دهیم، بهتر می‌توانیم بر حسب شرایط هر یک را </w:t>
      </w:r>
      <w:r w:rsidR="00923DDB" w:rsidRPr="0025250D">
        <w:rPr>
          <w:rFonts w:hint="cs"/>
          <w:rtl/>
        </w:rPr>
        <w:t>به‌کارگیری</w:t>
      </w:r>
      <w:r w:rsidRPr="0025250D">
        <w:rPr>
          <w:rFonts w:hint="cs"/>
          <w:rtl/>
        </w:rPr>
        <w:t>م.</w:t>
      </w:r>
    </w:p>
    <w:p w14:paraId="110BB617" w14:textId="77777777" w:rsidR="00537CC8" w:rsidRPr="0025250D" w:rsidRDefault="00537CC8" w:rsidP="00537CC8">
      <w:pPr>
        <w:rPr>
          <w:rtl/>
        </w:rPr>
      </w:pPr>
      <w:r w:rsidRPr="0025250D">
        <w:rPr>
          <w:rFonts w:hint="cs"/>
          <w:rtl/>
        </w:rPr>
        <w:t>تصویر زیر حلقه</w:t>
      </w:r>
      <w:r w:rsidRPr="0025250D">
        <w:rPr>
          <w:rFonts w:hint="cs"/>
        </w:rPr>
        <w:t>‌</w:t>
      </w:r>
      <w:r w:rsidRPr="0025250D">
        <w:rPr>
          <w:rFonts w:hint="cs"/>
          <w:rtl/>
        </w:rPr>
        <w:t xml:space="preserve"> انجام، چهار گام و هشت مهارت و برخی از نویسندگانی که فعالیت‌هایی برای بررسی ارزش هر یک از این موارد را برای تیم‌ها، افراد و سازمان‌ها انجام داده اند، به طور خلاصه نشان می‌دهد.</w:t>
      </w:r>
    </w:p>
    <w:p w14:paraId="09553FA4" w14:textId="704755B5" w:rsidR="00537CC8" w:rsidRPr="0025250D" w:rsidRDefault="003E4D05" w:rsidP="003E4D05">
      <w:pPr>
        <w:jc w:val="center"/>
        <w:rPr>
          <w:rtl/>
        </w:rPr>
      </w:pPr>
      <w:r w:rsidRPr="0025250D">
        <w:rPr>
          <w:noProof/>
        </w:rPr>
        <w:drawing>
          <wp:inline distT="0" distB="0" distL="0" distR="0" wp14:anchorId="624FAB4E" wp14:editId="32B9E09A">
            <wp:extent cx="4653821" cy="4238046"/>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4659753" cy="4243448"/>
                    </a:xfrm>
                    <a:prstGeom prst="rect">
                      <a:avLst/>
                    </a:prstGeom>
                    <a:noFill/>
                  </pic:spPr>
                </pic:pic>
              </a:graphicData>
            </a:graphic>
          </wp:inline>
        </w:drawing>
      </w:r>
    </w:p>
    <w:p w14:paraId="26771B4B" w14:textId="6E6F1D17" w:rsidR="00537CC8" w:rsidRPr="0025250D" w:rsidRDefault="00537CC8" w:rsidP="00537CC8">
      <w:pPr>
        <w:rPr>
          <w:rtl/>
        </w:rPr>
      </w:pPr>
      <w:r w:rsidRPr="0025250D">
        <w:rPr>
          <w:rFonts w:hint="cs"/>
          <w:rtl/>
        </w:rPr>
        <w:t>در زیر نمایشی از سبک‌های غالب (اما نه انحصاری) تفکر که در هر مورد استفاده می‌شود دیده می‌شود. هشت مهارت به ترتیب تفکر واگرا، همگرا، واگرای مجدد</w:t>
      </w:r>
      <w:r w:rsidRPr="0025250D">
        <w:rPr>
          <w:vertAlign w:val="superscript"/>
          <w:rtl/>
        </w:rPr>
        <w:footnoteReference w:id="1091"/>
      </w:r>
      <w:r w:rsidRPr="0025250D">
        <w:rPr>
          <w:rFonts w:hint="cs"/>
          <w:rtl/>
        </w:rPr>
        <w:t>، همگرای مجدد</w:t>
      </w:r>
      <w:r w:rsidRPr="0025250D">
        <w:rPr>
          <w:vertAlign w:val="superscript"/>
          <w:rtl/>
        </w:rPr>
        <w:footnoteReference w:id="1092"/>
      </w:r>
      <w:r w:rsidRPr="0025250D">
        <w:rPr>
          <w:rFonts w:hint="cs"/>
          <w:rtl/>
        </w:rPr>
        <w:t>، انتقالی</w:t>
      </w:r>
      <w:r w:rsidRPr="0025250D">
        <w:rPr>
          <w:vertAlign w:val="superscript"/>
          <w:rtl/>
        </w:rPr>
        <w:footnoteReference w:id="1093"/>
      </w:r>
      <w:r w:rsidRPr="0025250D">
        <w:rPr>
          <w:rFonts w:hint="cs"/>
          <w:rtl/>
        </w:rPr>
        <w:t xml:space="preserve">، </w:t>
      </w:r>
      <w:r w:rsidRPr="0025250D">
        <w:rPr>
          <w:rtl/>
        </w:rPr>
        <w:t>تابش</w:t>
      </w:r>
      <w:r w:rsidRPr="0025250D">
        <w:rPr>
          <w:rFonts w:hint="cs"/>
          <w:rtl/>
        </w:rPr>
        <w:t>ی</w:t>
      </w:r>
      <w:r w:rsidRPr="0025250D">
        <w:rPr>
          <w:vertAlign w:val="superscript"/>
          <w:rtl/>
        </w:rPr>
        <w:footnoteReference w:id="1094"/>
      </w:r>
      <w:r w:rsidRPr="0025250D">
        <w:rPr>
          <w:rFonts w:hint="cs"/>
          <w:rtl/>
        </w:rPr>
        <w:t>، یکپارچه کننده</w:t>
      </w:r>
      <w:r w:rsidRPr="0025250D">
        <w:rPr>
          <w:vertAlign w:val="superscript"/>
          <w:rtl/>
        </w:rPr>
        <w:footnoteReference w:id="1095"/>
      </w:r>
      <w:r w:rsidRPr="0025250D">
        <w:rPr>
          <w:rFonts w:hint="cs"/>
          <w:rtl/>
        </w:rPr>
        <w:t xml:space="preserve"> و چرخه‌ای را به کار می‌گیرند.</w:t>
      </w:r>
    </w:p>
    <w:p w14:paraId="425EE63C" w14:textId="51088E7B" w:rsidR="00537CC8" w:rsidRPr="0025250D" w:rsidRDefault="003E4D05" w:rsidP="0034146C">
      <w:pPr>
        <w:jc w:val="center"/>
        <w:rPr>
          <w:rtl/>
        </w:rPr>
      </w:pPr>
      <w:r w:rsidRPr="0025250D">
        <w:rPr>
          <w:noProof/>
        </w:rPr>
        <w:drawing>
          <wp:inline distT="0" distB="0" distL="0" distR="0" wp14:anchorId="0FB02697" wp14:editId="025EF4F0">
            <wp:extent cx="5049078" cy="4128992"/>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5063568" cy="4140841"/>
                    </a:xfrm>
                    <a:prstGeom prst="rect">
                      <a:avLst/>
                    </a:prstGeom>
                    <a:noFill/>
                  </pic:spPr>
                </pic:pic>
              </a:graphicData>
            </a:graphic>
          </wp:inline>
        </w:drawing>
      </w:r>
    </w:p>
    <w:p w14:paraId="4DB36B68" w14:textId="72635627" w:rsidR="00537CC8" w:rsidRPr="0025250D" w:rsidRDefault="00537CC8" w:rsidP="00537CC8">
      <w:pPr>
        <w:rPr>
          <w:rtl/>
        </w:rPr>
      </w:pPr>
      <w:r w:rsidRPr="0025250D">
        <w:rPr>
          <w:rFonts w:hint="cs"/>
          <w:rtl/>
        </w:rPr>
        <w:t>تعداد کمی از ما در همه</w:t>
      </w:r>
      <w:r w:rsidRPr="0025250D">
        <w:rPr>
          <w:rFonts w:hint="cs"/>
        </w:rPr>
        <w:t>‌</w:t>
      </w:r>
      <w:r w:rsidRPr="0025250D">
        <w:rPr>
          <w:rFonts w:hint="cs"/>
          <w:rtl/>
        </w:rPr>
        <w:t xml:space="preserve"> این هشت مهارت تب</w:t>
      </w:r>
      <w:r w:rsidR="00E659FD" w:rsidRPr="0025250D">
        <w:rPr>
          <w:rFonts w:hint="cs"/>
          <w:rtl/>
        </w:rPr>
        <w:t>ح</w:t>
      </w:r>
      <w:r w:rsidRPr="0025250D">
        <w:rPr>
          <w:rFonts w:hint="cs"/>
          <w:rtl/>
        </w:rPr>
        <w:t>ر داریم. خوشبختانه، وقتی ارزش حیاتی آن‌ها را در می‌یابیم، می‌توانیم تلاش کنیم تا به شکلی منطقی در هر یک از آن‌ها شایستگی کسب کنیم. ارزیابی دائمی توانایی‌های ما در همه</w:t>
      </w:r>
      <w:r w:rsidRPr="0025250D">
        <w:rPr>
          <w:rFonts w:hint="cs"/>
        </w:rPr>
        <w:t>‌</w:t>
      </w:r>
      <w:r w:rsidRPr="0025250D">
        <w:rPr>
          <w:rFonts w:hint="cs"/>
          <w:rtl/>
        </w:rPr>
        <w:t xml:space="preserve"> این هشت مهارت و اصلاح همه</w:t>
      </w:r>
      <w:r w:rsidRPr="0025250D">
        <w:rPr>
          <w:rFonts w:hint="cs"/>
        </w:rPr>
        <w:t>‌</w:t>
      </w:r>
      <w:r w:rsidRPr="0025250D">
        <w:rPr>
          <w:rFonts w:hint="cs"/>
          <w:rtl/>
        </w:rPr>
        <w:t xml:space="preserve"> نقص‌ها، یک گام اولیه</w:t>
      </w:r>
      <w:r w:rsidRPr="0025250D">
        <w:rPr>
          <w:rFonts w:hint="cs"/>
        </w:rPr>
        <w:t>‌</w:t>
      </w:r>
      <w:r w:rsidRPr="0025250D">
        <w:rPr>
          <w:rFonts w:hint="cs"/>
          <w:rtl/>
        </w:rPr>
        <w:t xml:space="preserve"> مهم در ایجاد </w:t>
      </w:r>
      <w:r w:rsidR="00923DDB" w:rsidRPr="0025250D">
        <w:rPr>
          <w:rtl/>
        </w:rPr>
        <w:t>آینده‌نگاری انطباقی</w:t>
      </w:r>
      <w:r w:rsidRPr="0025250D">
        <w:rPr>
          <w:rFonts w:hint="cs"/>
          <w:rtl/>
        </w:rPr>
        <w:t xml:space="preserve"> است. البته، برای تیم‌های ما کسب شایستگی در همه</w:t>
      </w:r>
      <w:r w:rsidRPr="0025250D">
        <w:rPr>
          <w:rFonts w:hint="cs"/>
        </w:rPr>
        <w:t>‌</w:t>
      </w:r>
      <w:r w:rsidRPr="0025250D">
        <w:rPr>
          <w:rFonts w:hint="cs"/>
          <w:rtl/>
        </w:rPr>
        <w:t xml:space="preserve"> این موارد حتی ساده تر نیز هست. استخدام و تیم سازی مهارت محور یک </w:t>
      </w:r>
      <w:r w:rsidR="00701E03" w:rsidRPr="0025250D">
        <w:rPr>
          <w:rFonts w:hint="cs"/>
          <w:rtl/>
        </w:rPr>
        <w:t>راهبرد</w:t>
      </w:r>
      <w:r w:rsidRPr="0025250D">
        <w:rPr>
          <w:rFonts w:hint="cs"/>
          <w:rtl/>
        </w:rPr>
        <w:t xml:space="preserve"> خوب برای بهبود سریع </w:t>
      </w:r>
      <w:r w:rsidR="00B124DE" w:rsidRPr="0025250D">
        <w:rPr>
          <w:rFonts w:hint="cs"/>
          <w:rtl/>
        </w:rPr>
        <w:t>انطباق‌پذیر</w:t>
      </w:r>
      <w:r w:rsidRPr="0025250D">
        <w:rPr>
          <w:rFonts w:hint="cs"/>
          <w:rtl/>
        </w:rPr>
        <w:t xml:space="preserve">ی گروهی است. از نظر ما، این هشت مورد مهارت‌های کلیدی هستند که در هنگام استخدام سازمانی باید ارزیابی شوند. علاوه بر ارزیابی مهارت‌ها، </w:t>
      </w:r>
      <w:r w:rsidRPr="0025250D">
        <w:rPr>
          <w:rtl/>
        </w:rPr>
        <w:t>آینده‌نگاری</w:t>
      </w:r>
      <w:r w:rsidRPr="0025250D">
        <w:rPr>
          <w:rFonts w:hint="cs"/>
          <w:rtl/>
        </w:rPr>
        <w:t xml:space="preserve"> هنجاری </w:t>
      </w:r>
      <w:r w:rsidRPr="0025250D">
        <w:rPr>
          <w:rFonts w:cs="Times New Roman" w:hint="cs"/>
          <w:rtl/>
        </w:rPr>
        <w:t>–</w:t>
      </w:r>
      <w:r w:rsidRPr="0025250D">
        <w:rPr>
          <w:rFonts w:hint="cs"/>
          <w:rtl/>
        </w:rPr>
        <w:t xml:space="preserve"> شناخت این که ارزش‌ها و شخصیت خودمان و تیم هایمان بیش از هر چیز دیگری در بلند مدت اهمیت دار</w:t>
      </w:r>
      <w:r w:rsidR="00E659FD" w:rsidRPr="0025250D">
        <w:rPr>
          <w:rFonts w:hint="cs"/>
          <w:rtl/>
        </w:rPr>
        <w:t>ن</w:t>
      </w:r>
      <w:r w:rsidRPr="0025250D">
        <w:rPr>
          <w:rFonts w:hint="cs"/>
          <w:rtl/>
        </w:rPr>
        <w:t>د - یک اولویت ارزیابی دیگر است که به طور مختصر در مورد آن صحبت خواهد شد.</w:t>
      </w:r>
    </w:p>
    <w:p w14:paraId="772C45ED" w14:textId="53A63AB8" w:rsidR="00537CC8" w:rsidRPr="0025250D" w:rsidRDefault="00537CC8" w:rsidP="00537CC8">
      <w:pPr>
        <w:rPr>
          <w:rtl/>
        </w:rPr>
      </w:pPr>
      <w:r w:rsidRPr="0025250D">
        <w:rPr>
          <w:rFonts w:hint="cs"/>
          <w:rtl/>
        </w:rPr>
        <w:t>یک چالش در زمینه</w:t>
      </w:r>
      <w:r w:rsidRPr="0025250D">
        <w:rPr>
          <w:rFonts w:hint="cs"/>
        </w:rPr>
        <w:t>‌</w:t>
      </w:r>
      <w:r w:rsidRPr="0025250D">
        <w:rPr>
          <w:rFonts w:hint="cs"/>
          <w:rtl/>
        </w:rPr>
        <w:t xml:space="preserve"> ما کمک به کارگزاران </w:t>
      </w:r>
      <w:r w:rsidRPr="0025250D">
        <w:rPr>
          <w:rtl/>
        </w:rPr>
        <w:t>آینده‌نگاری</w:t>
      </w:r>
      <w:r w:rsidRPr="0025250D">
        <w:rPr>
          <w:rFonts w:hint="cs"/>
          <w:rtl/>
        </w:rPr>
        <w:t xml:space="preserve"> برای درک این است که مهارت‌های 5، 6 و 7، کارکرد‌های سنتی محصول، بازار و تیم در یک سازمان نیز از جمله مسئولیت‌های ما هستند. هر متخصص در زمینه </w:t>
      </w:r>
      <w:r w:rsidRPr="0025250D">
        <w:rPr>
          <w:rtl/>
        </w:rPr>
        <w:t>آینده‌نگاری</w:t>
      </w:r>
      <w:r w:rsidRPr="0025250D">
        <w:rPr>
          <w:rFonts w:hint="cs"/>
          <w:rtl/>
        </w:rPr>
        <w:t xml:space="preserve"> باید به خوبی کار کند (محصول یا خدمات ما)، باید بر کارسپاران تأثیر بگذارد (بازار) و با همکارا</w:t>
      </w:r>
      <w:r w:rsidR="00E659FD" w:rsidRPr="0025250D">
        <w:rPr>
          <w:rFonts w:hint="cs"/>
          <w:rtl/>
        </w:rPr>
        <w:t>ن</w:t>
      </w:r>
      <w:r w:rsidRPr="0025250D">
        <w:rPr>
          <w:rFonts w:hint="cs"/>
          <w:rtl/>
        </w:rPr>
        <w:t xml:space="preserve"> ارتباط برقرار کرده، به آن‌ها انگیزه داده و با آن‌ها برخورد خوبی داشته باشد (تیم). ما همچنین </w:t>
      </w:r>
      <w:r w:rsidR="00E659FD" w:rsidRPr="0025250D">
        <w:rPr>
          <w:rFonts w:hint="cs"/>
          <w:rtl/>
        </w:rPr>
        <w:t xml:space="preserve">باید </w:t>
      </w:r>
      <w:r w:rsidRPr="0025250D">
        <w:rPr>
          <w:rFonts w:hint="cs"/>
          <w:rtl/>
        </w:rPr>
        <w:t xml:space="preserve">دائما مطالعات خود را بازبینی کنیم. هم ما و هم مشتریانمان به تجربه و تخصصی قوی در چهار مهارت عملی </w:t>
      </w:r>
      <w:r w:rsidRPr="0025250D">
        <w:rPr>
          <w:rtl/>
        </w:rPr>
        <w:t>آینده‌نگاری</w:t>
      </w:r>
      <w:r w:rsidRPr="0025250D">
        <w:rPr>
          <w:rFonts w:hint="cs"/>
          <w:rtl/>
        </w:rPr>
        <w:t xml:space="preserve"> برای </w:t>
      </w:r>
      <w:r w:rsidR="00923DDB" w:rsidRPr="0025250D">
        <w:rPr>
          <w:rFonts w:hint="cs"/>
          <w:rtl/>
        </w:rPr>
        <w:t>اثربخشی</w:t>
      </w:r>
      <w:r w:rsidRPr="0025250D">
        <w:rPr>
          <w:rFonts w:hint="cs"/>
          <w:rtl/>
        </w:rPr>
        <w:t xml:space="preserve"> و </w:t>
      </w:r>
      <w:r w:rsidR="00B124DE" w:rsidRPr="0025250D">
        <w:rPr>
          <w:rFonts w:hint="cs"/>
          <w:rtl/>
        </w:rPr>
        <w:t>انطباق‌پذیر</w:t>
      </w:r>
      <w:r w:rsidRPr="0025250D">
        <w:rPr>
          <w:rFonts w:hint="cs"/>
          <w:rtl/>
        </w:rPr>
        <w:t xml:space="preserve">ی کار خود نیاز داریم. بسیاری از </w:t>
      </w:r>
      <w:r w:rsidR="00D30084" w:rsidRPr="0025250D">
        <w:rPr>
          <w:rtl/>
        </w:rPr>
        <w:t>آینده‌نگار</w:t>
      </w:r>
      <w:r w:rsidRPr="0025250D">
        <w:rPr>
          <w:rFonts w:hint="cs"/>
          <w:rtl/>
        </w:rPr>
        <w:t>ان به توسعه</w:t>
      </w:r>
      <w:r w:rsidRPr="0025250D">
        <w:rPr>
          <w:rFonts w:hint="cs"/>
        </w:rPr>
        <w:t>‌</w:t>
      </w:r>
      <w:r w:rsidRPr="0025250D">
        <w:rPr>
          <w:rFonts w:hint="cs"/>
          <w:rtl/>
        </w:rPr>
        <w:t xml:space="preserve"> این چهار مهارت آخر کم توجه هستند و در نتیجه </w:t>
      </w:r>
      <w:r w:rsidR="0008779C" w:rsidRPr="0025250D">
        <w:rPr>
          <w:rFonts w:hint="cs"/>
          <w:rtl/>
        </w:rPr>
        <w:t>تاثیرگذاری</w:t>
      </w:r>
      <w:r w:rsidRPr="0025250D">
        <w:rPr>
          <w:rFonts w:hint="cs"/>
          <w:rtl/>
        </w:rPr>
        <w:t xml:space="preserve"> آن‌ها دچار ضعف می‌شود.</w:t>
      </w:r>
    </w:p>
    <w:p w14:paraId="78838A6F" w14:textId="66F51F35" w:rsidR="00537CC8" w:rsidRPr="0025250D" w:rsidRDefault="00433673" w:rsidP="00E03E50">
      <w:pPr>
        <w:jc w:val="center"/>
        <w:rPr>
          <w:rtl/>
        </w:rPr>
      </w:pPr>
      <w:r w:rsidRPr="0025250D">
        <w:rPr>
          <w:noProof/>
        </w:rPr>
        <w:drawing>
          <wp:inline distT="0" distB="0" distL="0" distR="0" wp14:anchorId="375DAB6B" wp14:editId="5EA5A98B">
            <wp:extent cx="2830665" cy="2629740"/>
            <wp:effectExtent l="0" t="0" r="825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2835403" cy="2634141"/>
                    </a:xfrm>
                    <a:prstGeom prst="rect">
                      <a:avLst/>
                    </a:prstGeom>
                    <a:noFill/>
                  </pic:spPr>
                </pic:pic>
              </a:graphicData>
            </a:graphic>
          </wp:inline>
        </w:drawing>
      </w:r>
    </w:p>
    <w:p w14:paraId="2AA77FED" w14:textId="5E26B526" w:rsidR="00433673" w:rsidRPr="0025250D" w:rsidRDefault="00433673" w:rsidP="00433673">
      <w:pPr>
        <w:jc w:val="center"/>
        <w:rPr>
          <w:rtl/>
        </w:rPr>
      </w:pPr>
      <w:r w:rsidRPr="0025250D">
        <w:rPr>
          <w:rFonts w:hint="cs"/>
          <w:rtl/>
        </w:rPr>
        <w:t>سه چرخ دهنده بنگاه اقتصادی: بازار، محصول، تیم</w:t>
      </w:r>
    </w:p>
    <w:p w14:paraId="6962AF8B" w14:textId="14661104" w:rsidR="00537CC8" w:rsidRPr="0025250D" w:rsidRDefault="00537CC8" w:rsidP="00537CC8">
      <w:pPr>
        <w:rPr>
          <w:rtl/>
        </w:rPr>
      </w:pPr>
      <w:r w:rsidRPr="0025250D">
        <w:rPr>
          <w:rFonts w:hint="cs"/>
          <w:rtl/>
        </w:rPr>
        <w:t>آیا برای همه</w:t>
      </w:r>
      <w:r w:rsidRPr="0025250D">
        <w:rPr>
          <w:rFonts w:hint="cs"/>
        </w:rPr>
        <w:t>‌</w:t>
      </w:r>
      <w:r w:rsidRPr="0025250D">
        <w:rPr>
          <w:rFonts w:hint="cs"/>
          <w:rtl/>
        </w:rPr>
        <w:t xml:space="preserve"> این هشت مهارت ارزش قائل هستید؟ آیا در برخی قوی</w:t>
      </w:r>
      <w:r w:rsidR="00AC0253" w:rsidRPr="0025250D">
        <w:rPr>
          <w:rFonts w:hint="cs"/>
          <w:rtl/>
        </w:rPr>
        <w:t>‌</w:t>
      </w:r>
      <w:r w:rsidRPr="0025250D">
        <w:rPr>
          <w:rFonts w:hint="cs"/>
          <w:rtl/>
        </w:rPr>
        <w:t>تر و در برخی ضعیف</w:t>
      </w:r>
      <w:r w:rsidR="00AC0253" w:rsidRPr="0025250D">
        <w:rPr>
          <w:rFonts w:hint="cs"/>
          <w:rtl/>
        </w:rPr>
        <w:t>‌</w:t>
      </w:r>
      <w:r w:rsidRPr="0025250D">
        <w:rPr>
          <w:rFonts w:hint="cs"/>
          <w:rtl/>
        </w:rPr>
        <w:t>تر هستید؟ از نظر ما هیچ کدام از این موارد</w:t>
      </w:r>
      <w:r w:rsidR="00EE4B64" w:rsidRPr="0025250D">
        <w:rPr>
          <w:rFonts w:hint="cs"/>
          <w:rtl/>
        </w:rPr>
        <w:t xml:space="preserve"> نمی‌</w:t>
      </w:r>
      <w:r w:rsidRPr="0025250D">
        <w:rPr>
          <w:rFonts w:hint="cs"/>
          <w:rtl/>
        </w:rPr>
        <w:t>توانند برای مدت طولانی نادیده گرفته شوند. ما مثال‌هایی (اثبات کننده) از چهار مورد اول این مهارت‌ها را در فصل 2 و از همه</w:t>
      </w:r>
      <w:r w:rsidRPr="0025250D">
        <w:rPr>
          <w:rFonts w:hint="cs"/>
        </w:rPr>
        <w:t>‌</w:t>
      </w:r>
      <w:r w:rsidRPr="0025250D">
        <w:rPr>
          <w:rFonts w:hint="cs"/>
          <w:rtl/>
        </w:rPr>
        <w:t xml:space="preserve"> این هشت مهارت در فصل 4 ارائه خواهیم کرد.</w:t>
      </w:r>
    </w:p>
    <w:p w14:paraId="09F56501" w14:textId="77777777" w:rsidR="00537CC8" w:rsidRPr="0025250D" w:rsidRDefault="00537CC8" w:rsidP="00537CC8">
      <w:pPr>
        <w:rPr>
          <w:rtl/>
        </w:rPr>
      </w:pPr>
    </w:p>
    <w:p w14:paraId="2630945B" w14:textId="77777777" w:rsidR="00537CC8" w:rsidRPr="0025250D" w:rsidRDefault="00537CC8" w:rsidP="00E03E50">
      <w:pPr>
        <w:pStyle w:val="Heading2"/>
        <w:rPr>
          <w:rtl/>
        </w:rPr>
      </w:pPr>
      <w:bookmarkStart w:id="34" w:name="_Toc127831299"/>
      <w:r w:rsidRPr="0025250D">
        <w:rPr>
          <w:rFonts w:hint="cs"/>
          <w:rtl/>
        </w:rPr>
        <w:t xml:space="preserve">بیست تخصص </w:t>
      </w:r>
      <w:r w:rsidRPr="0025250D">
        <w:rPr>
          <w:rtl/>
        </w:rPr>
        <w:t>آینده‌نگاری</w:t>
      </w:r>
      <w:r w:rsidRPr="0025250D">
        <w:rPr>
          <w:rFonts w:hint="cs"/>
          <w:rtl/>
        </w:rPr>
        <w:t xml:space="preserve"> سازمانی</w:t>
      </w:r>
      <w:bookmarkEnd w:id="34"/>
    </w:p>
    <w:p w14:paraId="30B83B5B" w14:textId="16F81783" w:rsidR="00537CC8" w:rsidRPr="0025250D" w:rsidRDefault="00537CC8" w:rsidP="00537CC8">
      <w:pPr>
        <w:rPr>
          <w:rtl/>
        </w:rPr>
      </w:pPr>
      <w:r w:rsidRPr="0025250D">
        <w:rPr>
          <w:rFonts w:hint="cs"/>
          <w:rtl/>
        </w:rPr>
        <w:t xml:space="preserve">بر اساس تحلیل ما از ادبیات </w:t>
      </w:r>
      <w:r w:rsidRPr="0025250D">
        <w:rPr>
          <w:rtl/>
        </w:rPr>
        <w:t>آینده‌نگاری</w:t>
      </w:r>
      <w:r w:rsidRPr="0025250D">
        <w:rPr>
          <w:rFonts w:hint="cs"/>
          <w:rtl/>
        </w:rPr>
        <w:t xml:space="preserve"> و مدیریت، پیشنهاد می‌کنیم که بیست تخصص </w:t>
      </w:r>
      <w:r w:rsidRPr="0025250D">
        <w:rPr>
          <w:rtl/>
        </w:rPr>
        <w:t>آینده‌نگاری</w:t>
      </w:r>
      <w:r w:rsidRPr="0025250D">
        <w:rPr>
          <w:rFonts w:hint="cs"/>
          <w:rtl/>
        </w:rPr>
        <w:t xml:space="preserve"> (در حقیقت، بیست جفت تخصص که به خوبی با هم در یک گروه قرار می‌گیرند) به طور مشخص در کمک به سازمان‌ها برای هدایت و راهبری به سمت آینده اهمیت دارند. این موارد همگی تخصص‌هایی در زمینه مدیریت </w:t>
      </w:r>
      <w:r w:rsidR="00701E03" w:rsidRPr="0025250D">
        <w:rPr>
          <w:rFonts w:hint="cs"/>
          <w:rtl/>
        </w:rPr>
        <w:t>راهبردی</w:t>
      </w:r>
      <w:r w:rsidRPr="0025250D">
        <w:rPr>
          <w:rFonts w:hint="cs"/>
          <w:rtl/>
        </w:rPr>
        <w:t xml:space="preserve"> هستند.</w:t>
      </w:r>
    </w:p>
    <w:p w14:paraId="26C9D2CC" w14:textId="0CF85CC3" w:rsidR="00537CC8" w:rsidRPr="0025250D" w:rsidRDefault="00537CC8" w:rsidP="00537CC8">
      <w:pPr>
        <w:rPr>
          <w:rtl/>
        </w:rPr>
      </w:pPr>
      <w:r w:rsidRPr="0025250D">
        <w:rPr>
          <w:rFonts w:hint="cs"/>
          <w:rtl/>
        </w:rPr>
        <w:t xml:space="preserve">دنیا مکانی پیچیده است و </w:t>
      </w:r>
      <w:r w:rsidR="00923DDB" w:rsidRPr="0025250D">
        <w:rPr>
          <w:rtl/>
        </w:rPr>
        <w:t>آینده‌نگاری انطباقی</w:t>
      </w:r>
      <w:r w:rsidRPr="0025250D">
        <w:rPr>
          <w:rFonts w:hint="cs"/>
          <w:rtl/>
        </w:rPr>
        <w:t xml:space="preserve"> در سازمان‌هایی با اندازه‌های مختلف به مجموعه‌ای متنوع از تخصص‌ها نیاز دارد. این یک باور رایج و نادرست است که</w:t>
      </w:r>
      <w:r w:rsidR="0008779C" w:rsidRPr="0025250D">
        <w:rPr>
          <w:rFonts w:hint="cs"/>
          <w:rtl/>
        </w:rPr>
        <w:t xml:space="preserve"> بیش‌تر</w:t>
      </w:r>
      <w:r w:rsidRPr="0025250D">
        <w:rPr>
          <w:rFonts w:hint="cs"/>
          <w:rtl/>
        </w:rPr>
        <w:t xml:space="preserve"> سازمان‌ها </w:t>
      </w:r>
      <w:r w:rsidR="0063099E" w:rsidRPr="0025250D">
        <w:rPr>
          <w:rtl/>
        </w:rPr>
        <w:t>«</w:t>
      </w:r>
      <w:r w:rsidRPr="0025250D">
        <w:rPr>
          <w:rFonts w:hint="cs"/>
          <w:rtl/>
        </w:rPr>
        <w:t>برای دانستن آینده تلاش</w:t>
      </w:r>
      <w:r w:rsidR="00EE4B64" w:rsidRPr="0025250D">
        <w:rPr>
          <w:rFonts w:hint="cs"/>
          <w:rtl/>
        </w:rPr>
        <w:t xml:space="preserve"> نمی‌</w:t>
      </w:r>
      <w:r w:rsidRPr="0025250D">
        <w:rPr>
          <w:rFonts w:hint="cs"/>
          <w:rtl/>
        </w:rPr>
        <w:t>کنند</w:t>
      </w:r>
      <w:r w:rsidR="0063099E" w:rsidRPr="0025250D">
        <w:rPr>
          <w:rtl/>
        </w:rPr>
        <w:t>»</w:t>
      </w:r>
      <w:r w:rsidRPr="0025250D">
        <w:rPr>
          <w:rFonts w:hint="cs"/>
          <w:rtl/>
        </w:rPr>
        <w:t>. در واقعیت، همه</w:t>
      </w:r>
      <w:r w:rsidRPr="0025250D">
        <w:rPr>
          <w:rFonts w:hint="cs"/>
        </w:rPr>
        <w:t>‌</w:t>
      </w:r>
      <w:r w:rsidRPr="0025250D">
        <w:rPr>
          <w:rFonts w:hint="cs"/>
          <w:rtl/>
        </w:rPr>
        <w:t xml:space="preserve"> تیم‌های مدیریتی از برون</w:t>
      </w:r>
      <w:r w:rsidR="00AC0253" w:rsidRPr="0025250D">
        <w:rPr>
          <w:rFonts w:hint="cs"/>
          <w:rtl/>
        </w:rPr>
        <w:t>‌</w:t>
      </w:r>
      <w:r w:rsidRPr="0025250D">
        <w:rPr>
          <w:rFonts w:hint="cs"/>
          <w:rtl/>
        </w:rPr>
        <w:t xml:space="preserve">یابی گذشته استفاده می‌کنند و اغلب فرض می‌کنند که موارد بسیار زیادی تغییر نخواهند کرد. آن‌ها می‌توانند فرایند </w:t>
      </w:r>
      <w:r w:rsidRPr="0025250D">
        <w:rPr>
          <w:rtl/>
        </w:rPr>
        <w:t>آینده‌نگاری</w:t>
      </w:r>
      <w:r w:rsidRPr="0025250D">
        <w:rPr>
          <w:rFonts w:hint="cs"/>
          <w:rtl/>
        </w:rPr>
        <w:t xml:space="preserve"> خود را با خواندن و استفاده از کتاب‌های مانند این راهنما بهبود بخشند، اما همچنین باید به یاد داشته باشند که مدیریت به خودی خود تنها یک جزء </w:t>
      </w:r>
      <w:r w:rsidR="009D17DA" w:rsidRPr="0025250D">
        <w:rPr>
          <w:rFonts w:hint="cs"/>
          <w:rtl/>
        </w:rPr>
        <w:t>بالا‌به‌پایین</w:t>
      </w:r>
      <w:r w:rsidRPr="0025250D">
        <w:rPr>
          <w:rFonts w:hint="cs"/>
          <w:rtl/>
        </w:rPr>
        <w:t xml:space="preserve"> در سازمان است. همه</w:t>
      </w:r>
      <w:r w:rsidRPr="0025250D">
        <w:rPr>
          <w:rFonts w:hint="cs"/>
        </w:rPr>
        <w:t>‌</w:t>
      </w:r>
      <w:r w:rsidRPr="0025250D">
        <w:rPr>
          <w:rFonts w:hint="cs"/>
          <w:rtl/>
        </w:rPr>
        <w:t xml:space="preserve"> سازمان‌ها مجموعه‌های محلی از تعالی </w:t>
      </w:r>
      <w:r w:rsidRPr="0025250D">
        <w:rPr>
          <w:rtl/>
        </w:rPr>
        <w:t>آینده‌نگاری</w:t>
      </w:r>
      <w:r w:rsidRPr="0025250D">
        <w:rPr>
          <w:rFonts w:hint="cs"/>
          <w:rtl/>
        </w:rPr>
        <w:t>، با تخصص‌های متنوع دارند.</w:t>
      </w:r>
    </w:p>
    <w:p w14:paraId="27A8B38D" w14:textId="3B87CBD8" w:rsidR="00537CC8" w:rsidRPr="0025250D" w:rsidRDefault="007118DE" w:rsidP="00537CC8">
      <w:pPr>
        <w:rPr>
          <w:rtl/>
        </w:rPr>
      </w:pPr>
      <w:r w:rsidRPr="0025250D">
        <w:rPr>
          <w:rFonts w:hint="cs"/>
          <w:rtl/>
        </w:rPr>
        <w:t>همان‌طور</w:t>
      </w:r>
      <w:r w:rsidR="00537CC8" w:rsidRPr="0025250D">
        <w:rPr>
          <w:rFonts w:hint="cs"/>
          <w:rtl/>
        </w:rPr>
        <w:t xml:space="preserve"> که </w:t>
      </w:r>
      <w:r w:rsidR="00D30084" w:rsidRPr="0025250D">
        <w:rPr>
          <w:rFonts w:hint="cs"/>
          <w:rtl/>
        </w:rPr>
        <w:t>آینده‌نگار</w:t>
      </w:r>
      <w:r w:rsidR="00537CC8" w:rsidRPr="0025250D">
        <w:rPr>
          <w:rFonts w:hint="cs"/>
          <w:rtl/>
        </w:rPr>
        <w:t xml:space="preserve"> </w:t>
      </w:r>
      <w:r w:rsidR="00537CC8" w:rsidRPr="0025250D">
        <w:rPr>
          <w:rtl/>
        </w:rPr>
        <w:t>کو</w:t>
      </w:r>
      <w:r w:rsidR="00537CC8" w:rsidRPr="0025250D">
        <w:rPr>
          <w:rFonts w:hint="cs"/>
          <w:rtl/>
        </w:rPr>
        <w:t>ی</w:t>
      </w:r>
      <w:r w:rsidR="00537CC8" w:rsidRPr="0025250D">
        <w:rPr>
          <w:rFonts w:hint="eastAsia"/>
          <w:rtl/>
        </w:rPr>
        <w:t>ن</w:t>
      </w:r>
      <w:r w:rsidR="00537CC8" w:rsidRPr="0025250D">
        <w:rPr>
          <w:rtl/>
        </w:rPr>
        <w:t xml:space="preserve"> کل</w:t>
      </w:r>
      <w:r w:rsidR="00537CC8" w:rsidRPr="0025250D">
        <w:rPr>
          <w:rFonts w:hint="cs"/>
          <w:rtl/>
        </w:rPr>
        <w:t>ی</w:t>
      </w:r>
      <w:r w:rsidR="00537CC8" w:rsidRPr="0025250D">
        <w:rPr>
          <w:vertAlign w:val="superscript"/>
          <w:rtl/>
        </w:rPr>
        <w:footnoteReference w:id="1096"/>
      </w:r>
      <w:r w:rsidR="00537CC8" w:rsidRPr="0025250D">
        <w:rPr>
          <w:rFonts w:hint="cs"/>
          <w:rtl/>
        </w:rPr>
        <w:t xml:space="preserve"> در کتاب کلاسیک خود به نام خارج از کنترل</w:t>
      </w:r>
      <w:r w:rsidR="00537CC8" w:rsidRPr="0025250D">
        <w:rPr>
          <w:vertAlign w:val="superscript"/>
          <w:rtl/>
        </w:rPr>
        <w:footnoteReference w:id="1097"/>
      </w:r>
      <w:r w:rsidR="00537CC8" w:rsidRPr="0025250D">
        <w:rPr>
          <w:rFonts w:hint="cs"/>
          <w:rtl/>
        </w:rPr>
        <w:t xml:space="preserve"> در سال 1994 بیان می‌کند، 95 درصد از </w:t>
      </w:r>
      <w:r w:rsidR="00537CC8" w:rsidRPr="0025250D">
        <w:rPr>
          <w:rtl/>
        </w:rPr>
        <w:t>آینده‌نگاری</w:t>
      </w:r>
      <w:r w:rsidR="00537CC8" w:rsidRPr="0025250D">
        <w:rPr>
          <w:rFonts w:hint="cs"/>
          <w:rtl/>
        </w:rPr>
        <w:t xml:space="preserve"> سازمانی به صورت پایین به بالا، در میان افراد، تیم‌ها، تخصص‌ها و واحد‌های مختلف انجام می‌شود. هر فردی </w:t>
      </w:r>
      <w:r w:rsidR="00537CC8" w:rsidRPr="0025250D">
        <w:rPr>
          <w:rtl/>
        </w:rPr>
        <w:t>آینده‌نگاری</w:t>
      </w:r>
      <w:r w:rsidR="00537CC8" w:rsidRPr="0025250D">
        <w:rPr>
          <w:rFonts w:hint="cs"/>
          <w:rtl/>
        </w:rPr>
        <w:t xml:space="preserve"> انجام می‌دهد؛ هم به صورت فردی و هم به صورت تیمی. برترین چالش‌های </w:t>
      </w:r>
      <w:r w:rsidR="00537CC8" w:rsidRPr="0025250D">
        <w:rPr>
          <w:rtl/>
        </w:rPr>
        <w:t>آینده‌نگاری</w:t>
      </w:r>
      <w:r w:rsidR="00537CC8" w:rsidRPr="0025250D">
        <w:rPr>
          <w:rFonts w:hint="cs"/>
          <w:rtl/>
        </w:rPr>
        <w:t xml:space="preserve"> برای مدیریت شامل شناخت همه</w:t>
      </w:r>
      <w:r w:rsidR="00537CC8" w:rsidRPr="0025250D">
        <w:rPr>
          <w:rFonts w:hint="cs"/>
        </w:rPr>
        <w:t>‌</w:t>
      </w:r>
      <w:r w:rsidR="00537CC8" w:rsidRPr="0025250D">
        <w:rPr>
          <w:rFonts w:hint="cs"/>
          <w:rtl/>
        </w:rPr>
        <w:t xml:space="preserve"> شیوه‌هایی که شرکت پیش از این کار </w:t>
      </w:r>
      <w:r w:rsidR="00537CC8" w:rsidRPr="0025250D">
        <w:rPr>
          <w:rtl/>
        </w:rPr>
        <w:t>آینده‌نگاری</w:t>
      </w:r>
      <w:r w:rsidR="00537CC8" w:rsidRPr="0025250D">
        <w:rPr>
          <w:rFonts w:hint="cs"/>
          <w:rtl/>
        </w:rPr>
        <w:t xml:space="preserve"> را انجام داده است که اغلب به صورت پایین به بالا هستند و توسعه و هماهنگ سازی این </w:t>
      </w:r>
      <w:r w:rsidR="00537CC8" w:rsidRPr="0025250D">
        <w:rPr>
          <w:rtl/>
        </w:rPr>
        <w:t>آینده‌نگاری</w:t>
      </w:r>
      <w:r w:rsidR="00537CC8" w:rsidRPr="0025250D">
        <w:rPr>
          <w:rFonts w:hint="cs"/>
          <w:rtl/>
        </w:rPr>
        <w:t xml:space="preserve"> و اعمال آن در حلقه‌های انجام سریع در کل شرکت است.</w:t>
      </w:r>
    </w:p>
    <w:p w14:paraId="0DFD0117" w14:textId="33E931D4" w:rsidR="00537CC8" w:rsidRPr="0025250D" w:rsidRDefault="00537CC8" w:rsidP="00537CC8">
      <w:pPr>
        <w:rPr>
          <w:rtl/>
        </w:rPr>
      </w:pPr>
      <w:r w:rsidRPr="0025250D">
        <w:rPr>
          <w:rFonts w:hint="cs"/>
          <w:rtl/>
        </w:rPr>
        <w:t xml:space="preserve">این بیست مهارت </w:t>
      </w:r>
      <w:r w:rsidRPr="0025250D">
        <w:rPr>
          <w:rtl/>
        </w:rPr>
        <w:t>آینده‌نگاری</w:t>
      </w:r>
      <w:r w:rsidRPr="0025250D">
        <w:rPr>
          <w:rFonts w:hint="cs"/>
          <w:rtl/>
        </w:rPr>
        <w:t xml:space="preserve"> که در زیر فهرست </w:t>
      </w:r>
      <w:r w:rsidR="00185F3E" w:rsidRPr="0025250D">
        <w:rPr>
          <w:rFonts w:hint="cs"/>
          <w:rtl/>
        </w:rPr>
        <w:t>شده‌اند</w:t>
      </w:r>
      <w:r w:rsidRPr="0025250D">
        <w:rPr>
          <w:rFonts w:hint="cs"/>
          <w:rtl/>
        </w:rPr>
        <w:t xml:space="preserve"> روش‌های برتر در </w:t>
      </w:r>
      <w:r w:rsidRPr="0025250D">
        <w:rPr>
          <w:rtl/>
        </w:rPr>
        <w:t>آینده‌نگاری</w:t>
      </w:r>
      <w:r w:rsidRPr="0025250D">
        <w:rPr>
          <w:rFonts w:hint="cs"/>
          <w:rtl/>
        </w:rPr>
        <w:t xml:space="preserve"> سازمانی هستند. آن‌ها همان چیزی هستند که </w:t>
      </w:r>
      <w:r w:rsidR="00D30084" w:rsidRPr="0025250D">
        <w:rPr>
          <w:rtl/>
        </w:rPr>
        <w:t>آینده‌نگار</w:t>
      </w:r>
      <w:r w:rsidRPr="0025250D">
        <w:rPr>
          <w:rFonts w:hint="cs"/>
          <w:rtl/>
        </w:rPr>
        <w:t xml:space="preserve">ان، در سازمان‌های مدرن هنگام نگاه به افق‌های </w:t>
      </w:r>
      <w:r w:rsidR="00701E03" w:rsidRPr="0025250D">
        <w:rPr>
          <w:rFonts w:hint="cs"/>
          <w:rtl/>
        </w:rPr>
        <w:t>راهبردی</w:t>
      </w:r>
      <w:r w:rsidRPr="0025250D">
        <w:rPr>
          <w:rFonts w:hint="cs"/>
          <w:rtl/>
        </w:rPr>
        <w:t xml:space="preserve"> خود انجام می‌دهند. این تخصص‌ها شامل فرایند‌های </w:t>
      </w:r>
      <w:r w:rsidR="009D17DA" w:rsidRPr="0025250D">
        <w:rPr>
          <w:rFonts w:hint="cs"/>
          <w:rtl/>
        </w:rPr>
        <w:t>بالا‌به‌پایین</w:t>
      </w:r>
      <w:r w:rsidRPr="0025250D">
        <w:rPr>
          <w:rFonts w:hint="cs"/>
          <w:rtl/>
        </w:rPr>
        <w:t xml:space="preserve"> و پایین به بالا می‌شوند و در میان هشت مهارت متوازن </w:t>
      </w:r>
      <w:r w:rsidR="00185F3E" w:rsidRPr="0025250D">
        <w:rPr>
          <w:rFonts w:hint="cs"/>
          <w:rtl/>
        </w:rPr>
        <w:t>شده‌اند</w:t>
      </w:r>
      <w:r w:rsidRPr="0025250D">
        <w:rPr>
          <w:rFonts w:hint="cs"/>
          <w:rtl/>
        </w:rPr>
        <w:t>. توجه داشته باشید که مدیریت و رهبری (شماره 17) تنها یکی از این موارد است. این مورد جهانی</w:t>
      </w:r>
      <w:r w:rsidR="00AC0253" w:rsidRPr="0025250D">
        <w:rPr>
          <w:rFonts w:hint="cs"/>
          <w:rtl/>
        </w:rPr>
        <w:t>‌</w:t>
      </w:r>
      <w:r w:rsidRPr="0025250D">
        <w:rPr>
          <w:rFonts w:hint="cs"/>
          <w:rtl/>
        </w:rPr>
        <w:t xml:space="preserve">ترین و </w:t>
      </w:r>
      <w:r w:rsidR="009D17DA" w:rsidRPr="0025250D">
        <w:rPr>
          <w:rFonts w:hint="cs"/>
          <w:rtl/>
        </w:rPr>
        <w:t>بالا‌به‌پایین</w:t>
      </w:r>
      <w:r w:rsidR="00AC0253" w:rsidRPr="0025250D">
        <w:rPr>
          <w:rFonts w:hint="cs"/>
          <w:rtl/>
        </w:rPr>
        <w:t>‌ت</w:t>
      </w:r>
      <w:r w:rsidRPr="0025250D">
        <w:rPr>
          <w:rFonts w:hint="cs"/>
          <w:rtl/>
        </w:rPr>
        <w:t xml:space="preserve">رین تخصص در این فهرست است. این مورد تنها یک بیستم یا 5 درصد از </w:t>
      </w:r>
      <w:r w:rsidRPr="0025250D">
        <w:rPr>
          <w:rtl/>
        </w:rPr>
        <w:t>آینده‌نگاری</w:t>
      </w:r>
      <w:r w:rsidRPr="0025250D">
        <w:rPr>
          <w:rFonts w:hint="cs"/>
          <w:rtl/>
        </w:rPr>
        <w:t xml:space="preserve"> انجام شده در یک سازمان بزرگ را مطابق این دسته بندی مشخص، تشکیل می‌دهد. 95 درصد موارد باقی مانده می‌توانند محلی و پایین به بالا در نظر گرفته شوند (برخلاف مدیریت). به عقیده</w:t>
      </w:r>
      <w:r w:rsidRPr="0025250D">
        <w:rPr>
          <w:rFonts w:hint="cs"/>
        </w:rPr>
        <w:t>‌</w:t>
      </w:r>
      <w:r w:rsidRPr="0025250D">
        <w:rPr>
          <w:rFonts w:hint="cs"/>
          <w:rtl/>
        </w:rPr>
        <w:t xml:space="preserve"> ما این تخصص‌ها به اندازه</w:t>
      </w:r>
      <w:r w:rsidRPr="0025250D">
        <w:rPr>
          <w:rFonts w:hint="cs"/>
        </w:rPr>
        <w:t>‌</w:t>
      </w:r>
      <w:r w:rsidRPr="0025250D">
        <w:rPr>
          <w:rFonts w:hint="cs"/>
          <w:rtl/>
        </w:rPr>
        <w:t xml:space="preserve"> کافی برای بازنمایی عمل </w:t>
      </w:r>
      <w:r w:rsidRPr="0025250D">
        <w:rPr>
          <w:rtl/>
        </w:rPr>
        <w:t>آینده‌نگاری</w:t>
      </w:r>
      <w:r w:rsidRPr="0025250D">
        <w:rPr>
          <w:rFonts w:hint="cs"/>
          <w:rtl/>
        </w:rPr>
        <w:t xml:space="preserve"> سازمانی، با همه</w:t>
      </w:r>
      <w:r w:rsidRPr="0025250D">
        <w:rPr>
          <w:rFonts w:hint="cs"/>
        </w:rPr>
        <w:t>‌</w:t>
      </w:r>
      <w:r w:rsidRPr="0025250D">
        <w:rPr>
          <w:rFonts w:hint="cs"/>
          <w:rtl/>
        </w:rPr>
        <w:t xml:space="preserve"> پیچیدگی و ارزش آن متنوع هستند. ما این تخصص‌ها را به عنوان مؤلفه‌های هشت مهارت در فصل 4 در نظر خواهیم گرفت.</w:t>
      </w:r>
    </w:p>
    <w:p w14:paraId="3E1F932B" w14:textId="611B58FF" w:rsidR="00537CC8" w:rsidRPr="0025250D" w:rsidRDefault="00537CC8" w:rsidP="00537CC8">
      <w:pPr>
        <w:rPr>
          <w:rtl/>
        </w:rPr>
      </w:pPr>
      <w:r w:rsidRPr="0025250D">
        <w:rPr>
          <w:rFonts w:hint="cs"/>
          <w:rtl/>
        </w:rPr>
        <w:t xml:space="preserve">این بیست تخصص </w:t>
      </w:r>
      <w:r w:rsidRPr="0025250D">
        <w:rPr>
          <w:rtl/>
        </w:rPr>
        <w:t>آینده‌نگاری</w:t>
      </w:r>
      <w:r w:rsidRPr="0025250D">
        <w:rPr>
          <w:rFonts w:hint="cs"/>
          <w:rtl/>
        </w:rPr>
        <w:t xml:space="preserve">، به ترتیب حروف الفبا این موارد هستند: (1) </w:t>
      </w:r>
      <w:r w:rsidRPr="0025250D">
        <w:rPr>
          <w:rtl/>
        </w:rPr>
        <w:t>حسابدار</w:t>
      </w:r>
      <w:r w:rsidRPr="0025250D">
        <w:rPr>
          <w:rFonts w:hint="cs"/>
          <w:rtl/>
        </w:rPr>
        <w:t>ی</w:t>
      </w:r>
      <w:r w:rsidRPr="0025250D">
        <w:rPr>
          <w:rtl/>
        </w:rPr>
        <w:t xml:space="preserve"> و دارا</w:t>
      </w:r>
      <w:r w:rsidRPr="0025250D">
        <w:rPr>
          <w:rFonts w:hint="cs"/>
          <w:rtl/>
        </w:rPr>
        <w:t>یی</w:t>
      </w:r>
      <w:r w:rsidRPr="0025250D">
        <w:rPr>
          <w:rtl/>
        </w:rPr>
        <w:t>‌های نامشهود</w:t>
      </w:r>
      <w:r w:rsidRPr="0025250D">
        <w:rPr>
          <w:rFonts w:hint="cs"/>
          <w:rtl/>
        </w:rPr>
        <w:t xml:space="preserve">، (2) موارد </w:t>
      </w:r>
      <w:r w:rsidR="00127288" w:rsidRPr="0025250D">
        <w:rPr>
          <w:rFonts w:hint="cs"/>
          <w:rtl/>
        </w:rPr>
        <w:t>بدیل</w:t>
      </w:r>
      <w:r w:rsidRPr="0025250D">
        <w:rPr>
          <w:rFonts w:hint="cs"/>
          <w:rtl/>
        </w:rPr>
        <w:t xml:space="preserve">‌ و فرانامه‌ها، (3) </w:t>
      </w:r>
      <w:r w:rsidRPr="0025250D">
        <w:rPr>
          <w:rtl/>
        </w:rPr>
        <w:t>تجز</w:t>
      </w:r>
      <w:r w:rsidRPr="0025250D">
        <w:rPr>
          <w:rFonts w:hint="cs"/>
          <w:rtl/>
        </w:rPr>
        <w:t>ی</w:t>
      </w:r>
      <w:r w:rsidRPr="0025250D">
        <w:rPr>
          <w:rFonts w:hint="eastAsia"/>
          <w:rtl/>
        </w:rPr>
        <w:t>ه</w:t>
      </w:r>
      <w:r w:rsidRPr="0025250D">
        <w:rPr>
          <w:rtl/>
        </w:rPr>
        <w:t xml:space="preserve"> و تحل</w:t>
      </w:r>
      <w:r w:rsidRPr="0025250D">
        <w:rPr>
          <w:rFonts w:hint="cs"/>
          <w:rtl/>
        </w:rPr>
        <w:t>ی</w:t>
      </w:r>
      <w:r w:rsidRPr="0025250D">
        <w:rPr>
          <w:rFonts w:hint="eastAsia"/>
          <w:rtl/>
        </w:rPr>
        <w:t>ل</w:t>
      </w:r>
      <w:r w:rsidRPr="0025250D">
        <w:rPr>
          <w:rtl/>
        </w:rPr>
        <w:t xml:space="preserve"> و پشت</w:t>
      </w:r>
      <w:r w:rsidRPr="0025250D">
        <w:rPr>
          <w:rFonts w:hint="cs"/>
          <w:rtl/>
        </w:rPr>
        <w:t>ی</w:t>
      </w:r>
      <w:r w:rsidRPr="0025250D">
        <w:rPr>
          <w:rFonts w:hint="eastAsia"/>
          <w:rtl/>
        </w:rPr>
        <w:t>بان</w:t>
      </w:r>
      <w:r w:rsidRPr="0025250D">
        <w:rPr>
          <w:rFonts w:hint="cs"/>
          <w:rtl/>
        </w:rPr>
        <w:t>ی</w:t>
      </w:r>
      <w:r w:rsidRPr="0025250D">
        <w:rPr>
          <w:rtl/>
        </w:rPr>
        <w:t xml:space="preserve"> تصم</w:t>
      </w:r>
      <w:r w:rsidRPr="0025250D">
        <w:rPr>
          <w:rFonts w:hint="cs"/>
          <w:rtl/>
        </w:rPr>
        <w:t>ی</w:t>
      </w:r>
      <w:r w:rsidRPr="0025250D">
        <w:rPr>
          <w:rFonts w:hint="eastAsia"/>
          <w:rtl/>
        </w:rPr>
        <w:t>م</w:t>
      </w:r>
      <w:r w:rsidRPr="0025250D">
        <w:rPr>
          <w:rFonts w:hint="cs"/>
          <w:rtl/>
        </w:rPr>
        <w:t>، (4) حسابرسی و مدیریت تغییر، (5) محک زنی</w:t>
      </w:r>
      <w:r w:rsidRPr="0025250D">
        <w:rPr>
          <w:vertAlign w:val="superscript"/>
          <w:rtl/>
        </w:rPr>
        <w:footnoteReference w:id="1098"/>
      </w:r>
      <w:r w:rsidRPr="0025250D">
        <w:rPr>
          <w:rFonts w:hint="cs"/>
          <w:rtl/>
        </w:rPr>
        <w:t xml:space="preserve"> و کیفیت، (6) علم داده و یادگیری ماشین، (7) کارآفرینی و کارآفرینی سازمانی</w:t>
      </w:r>
      <w:r w:rsidRPr="0025250D">
        <w:rPr>
          <w:vertAlign w:val="superscript"/>
          <w:rtl/>
        </w:rPr>
        <w:footnoteReference w:id="1099"/>
      </w:r>
      <w:r w:rsidRPr="0025250D">
        <w:rPr>
          <w:rFonts w:hint="cs"/>
          <w:rtl/>
        </w:rPr>
        <w:t>، (8) تسهیل گری و بازی سازی</w:t>
      </w:r>
      <w:r w:rsidRPr="0025250D">
        <w:rPr>
          <w:vertAlign w:val="superscript"/>
          <w:rtl/>
        </w:rPr>
        <w:footnoteReference w:id="1100"/>
      </w:r>
      <w:r w:rsidRPr="0025250D">
        <w:rPr>
          <w:rFonts w:hint="cs"/>
          <w:rtl/>
        </w:rPr>
        <w:t xml:space="preserve">، (9) </w:t>
      </w:r>
      <w:r w:rsidR="00FB6A7E" w:rsidRPr="0025250D">
        <w:rPr>
          <w:rFonts w:hint="cs"/>
          <w:rtl/>
        </w:rPr>
        <w:t>پیش‌نگری</w:t>
      </w:r>
      <w:r w:rsidRPr="0025250D">
        <w:rPr>
          <w:rFonts w:hint="cs"/>
          <w:rtl/>
        </w:rPr>
        <w:t xml:space="preserve"> و </w:t>
      </w:r>
      <w:r w:rsidR="00D92F6E" w:rsidRPr="0025250D">
        <w:rPr>
          <w:rFonts w:hint="cs"/>
          <w:rtl/>
        </w:rPr>
        <w:t>پیش‌بین</w:t>
      </w:r>
      <w:r w:rsidRPr="0025250D">
        <w:rPr>
          <w:rFonts w:hint="cs"/>
          <w:rtl/>
        </w:rPr>
        <w:t>ی، (10) منابع انسانی و مدیریت عملکرد، (11) ایده</w:t>
      </w:r>
      <w:r w:rsidR="00AC0253" w:rsidRPr="0025250D">
        <w:rPr>
          <w:rFonts w:hint="cs"/>
          <w:rtl/>
        </w:rPr>
        <w:t>‌</w:t>
      </w:r>
      <w:r w:rsidRPr="0025250D">
        <w:rPr>
          <w:rFonts w:hint="cs"/>
          <w:rtl/>
        </w:rPr>
        <w:t>پردازی و طراحی، (12) نوآوری و تحقیق و توسعه، (13) مدیریت اطلاعات و دانش، (14) سرمایه</w:t>
      </w:r>
      <w:r w:rsidR="00AC0253" w:rsidRPr="0025250D">
        <w:rPr>
          <w:rFonts w:hint="cs"/>
          <w:rtl/>
        </w:rPr>
        <w:t>‌</w:t>
      </w:r>
      <w:r w:rsidRPr="0025250D">
        <w:rPr>
          <w:rFonts w:hint="cs"/>
          <w:rtl/>
        </w:rPr>
        <w:t xml:space="preserve">گذاری و امور مالی، (15) قانون و امنیت، (16) یادگیری و توسعه، (17) مدیریت و رهبری، (18) بازاریابی و فروش، (19) مدیریت ریسک و بیمه، (20) </w:t>
      </w:r>
      <w:r w:rsidR="00EE4B64" w:rsidRPr="0025250D">
        <w:rPr>
          <w:rFonts w:hint="cs"/>
          <w:rtl/>
        </w:rPr>
        <w:t>چشم‌اندازسازی</w:t>
      </w:r>
      <w:r w:rsidRPr="0025250D">
        <w:rPr>
          <w:rFonts w:hint="cs"/>
          <w:rtl/>
        </w:rPr>
        <w:t>/اهداف/</w:t>
      </w:r>
      <w:r w:rsidR="00701E03" w:rsidRPr="0025250D">
        <w:rPr>
          <w:rFonts w:hint="cs"/>
          <w:rtl/>
        </w:rPr>
        <w:t>راهبرد</w:t>
      </w:r>
      <w:r w:rsidRPr="0025250D">
        <w:rPr>
          <w:rFonts w:hint="cs"/>
          <w:rtl/>
        </w:rPr>
        <w:t xml:space="preserve"> و </w:t>
      </w:r>
      <w:r w:rsidR="00B124DE" w:rsidRPr="0025250D">
        <w:rPr>
          <w:rFonts w:hint="cs"/>
          <w:rtl/>
        </w:rPr>
        <w:t>برنامه‌ریزی</w:t>
      </w:r>
      <w:r w:rsidRPr="0025250D">
        <w:rPr>
          <w:rFonts w:hint="cs"/>
          <w:rtl/>
        </w:rPr>
        <w:t>.</w:t>
      </w:r>
    </w:p>
    <w:p w14:paraId="5C5D9ADB" w14:textId="77777777" w:rsidR="00537CC8" w:rsidRPr="0025250D" w:rsidRDefault="00537CC8" w:rsidP="00537CC8">
      <w:pPr>
        <w:rPr>
          <w:rtl/>
        </w:rPr>
      </w:pPr>
    </w:p>
    <w:p w14:paraId="0E0AB348" w14:textId="77777777" w:rsidR="00537CC8" w:rsidRPr="0025250D" w:rsidRDefault="00537CC8" w:rsidP="00E03E50">
      <w:pPr>
        <w:jc w:val="center"/>
        <w:rPr>
          <w:rtl/>
        </w:rPr>
      </w:pPr>
      <w:r w:rsidRPr="0025250D">
        <w:rPr>
          <w:noProof/>
          <w:lang w:bidi="ar-SA"/>
        </w:rPr>
        <w:drawing>
          <wp:inline distT="0" distB="0" distL="0" distR="0" wp14:anchorId="6B8D8C1B" wp14:editId="34F8C181">
            <wp:extent cx="4467225" cy="2943225"/>
            <wp:effectExtent l="0" t="0" r="9525"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BEBA8EAE-BF5A-486C-A8C5-ECC9F3942E4B}">
                          <a14:imgProps xmlns:a14="http://schemas.microsoft.com/office/drawing/2010/main">
                            <a14:imgLayer r:embed="rId106">
                              <a14:imgEffect>
                                <a14:saturation sat="0"/>
                              </a14:imgEffect>
                            </a14:imgLayer>
                          </a14:imgProps>
                        </a:ext>
                      </a:extLst>
                    </a:blip>
                    <a:stretch>
                      <a:fillRect/>
                    </a:stretch>
                  </pic:blipFill>
                  <pic:spPr>
                    <a:xfrm>
                      <a:off x="0" y="0"/>
                      <a:ext cx="4467225" cy="2943225"/>
                    </a:xfrm>
                    <a:prstGeom prst="rect">
                      <a:avLst/>
                    </a:prstGeom>
                  </pic:spPr>
                </pic:pic>
              </a:graphicData>
            </a:graphic>
          </wp:inline>
        </w:drawing>
      </w:r>
    </w:p>
    <w:p w14:paraId="4B8C7DF7" w14:textId="77777777" w:rsidR="00537CC8" w:rsidRPr="0025250D" w:rsidRDefault="00537CC8" w:rsidP="00E03E50">
      <w:pPr>
        <w:jc w:val="center"/>
        <w:rPr>
          <w:rtl/>
        </w:rPr>
      </w:pPr>
      <w:r w:rsidRPr="0025250D">
        <w:rPr>
          <w:rFonts w:hint="cs"/>
          <w:rtl/>
        </w:rPr>
        <w:t>کلودی هورایزن، کالیفرنیا</w:t>
      </w:r>
    </w:p>
    <w:p w14:paraId="67C93808" w14:textId="292E1CDA" w:rsidR="00537CC8" w:rsidRPr="0025250D" w:rsidRDefault="00537CC8" w:rsidP="00537CC8">
      <w:pPr>
        <w:rPr>
          <w:rtl/>
        </w:rPr>
      </w:pPr>
      <w:r w:rsidRPr="0025250D">
        <w:rPr>
          <w:rFonts w:hint="cs"/>
          <w:rtl/>
        </w:rPr>
        <w:t>این بیست تخصص بهترین مدل فعلی ما از دامنه</w:t>
      </w:r>
      <w:r w:rsidRPr="0025250D">
        <w:rPr>
          <w:rFonts w:hint="cs"/>
        </w:rPr>
        <w:t>‌</w:t>
      </w:r>
      <w:r w:rsidRPr="0025250D">
        <w:rPr>
          <w:rFonts w:hint="cs"/>
          <w:rtl/>
        </w:rPr>
        <w:t xml:space="preserve"> کامل کار </w:t>
      </w:r>
      <w:r w:rsidRPr="0025250D">
        <w:rPr>
          <w:rtl/>
        </w:rPr>
        <w:t>آینده‌نگاری</w:t>
      </w:r>
      <w:r w:rsidRPr="0025250D">
        <w:rPr>
          <w:rFonts w:hint="cs"/>
          <w:rtl/>
        </w:rPr>
        <w:t xml:space="preserve"> در مدیریت </w:t>
      </w:r>
      <w:r w:rsidR="00701E03" w:rsidRPr="0025250D">
        <w:rPr>
          <w:rFonts w:hint="cs"/>
          <w:rtl/>
        </w:rPr>
        <w:t>راهبردی</w:t>
      </w:r>
      <w:r w:rsidRPr="0025250D">
        <w:rPr>
          <w:rFonts w:hint="cs"/>
          <w:rtl/>
        </w:rPr>
        <w:t xml:space="preserve"> هستند. باید زمانی را برای در نظر گرفتن این که در حال حاضر با چه تعداد از این تخصص‌های عملی آشنا هستیم و از چه تعداد از آن‌ها هم اکنون در سازمان‌ها و در عمل بهره می‌گیریم </w:t>
      </w:r>
      <w:r w:rsidRPr="0025250D">
        <w:rPr>
          <w:rFonts w:cs="Times New Roman" w:hint="cs"/>
          <w:rtl/>
        </w:rPr>
        <w:t>–</w:t>
      </w:r>
      <w:r w:rsidRPr="0025250D">
        <w:rPr>
          <w:rFonts w:hint="cs"/>
          <w:rtl/>
        </w:rPr>
        <w:t xml:space="preserve"> حداقل به شکلی ابتدایی </w:t>
      </w:r>
      <w:r w:rsidRPr="0025250D">
        <w:rPr>
          <w:rFonts w:cs="Times New Roman" w:hint="cs"/>
          <w:rtl/>
        </w:rPr>
        <w:t>–</w:t>
      </w:r>
      <w:r w:rsidRPr="0025250D">
        <w:rPr>
          <w:rFonts w:hint="cs"/>
          <w:rtl/>
        </w:rPr>
        <w:t xml:space="preserve"> اختصاص دهیم. درحالی که می‌توانستیم در این کتاب به تخصص‌های</w:t>
      </w:r>
      <w:r w:rsidR="00BB406C" w:rsidRPr="0025250D">
        <w:rPr>
          <w:rFonts w:hint="cs"/>
          <w:rtl/>
        </w:rPr>
        <w:t xml:space="preserve"> کم‌تر</w:t>
      </w:r>
      <w:r w:rsidRPr="0025250D">
        <w:rPr>
          <w:rFonts w:hint="cs"/>
          <w:rtl/>
        </w:rPr>
        <w:t>ی بپردازیم، این کار می‌تواند تصویری جانب</w:t>
      </w:r>
      <w:r w:rsidR="00AC0253" w:rsidRPr="0025250D">
        <w:rPr>
          <w:rFonts w:hint="cs"/>
          <w:rtl/>
        </w:rPr>
        <w:t>‌</w:t>
      </w:r>
      <w:r w:rsidRPr="0025250D">
        <w:rPr>
          <w:rFonts w:hint="cs"/>
          <w:rtl/>
        </w:rPr>
        <w:t xml:space="preserve">دارانه و ناکامل از میزان تنوع، </w:t>
      </w:r>
      <w:r w:rsidR="00923DDB" w:rsidRPr="0025250D">
        <w:rPr>
          <w:rFonts w:hint="cs"/>
          <w:rtl/>
        </w:rPr>
        <w:t>اثربخشی</w:t>
      </w:r>
      <w:r w:rsidRPr="0025250D">
        <w:rPr>
          <w:rFonts w:hint="cs"/>
          <w:rtl/>
        </w:rPr>
        <w:t xml:space="preserve"> و ضروری بودن </w:t>
      </w:r>
      <w:r w:rsidRPr="0025250D">
        <w:rPr>
          <w:rtl/>
        </w:rPr>
        <w:t>آینده‌نگاری</w:t>
      </w:r>
      <w:r w:rsidRPr="0025250D">
        <w:rPr>
          <w:rFonts w:hint="cs"/>
          <w:rtl/>
        </w:rPr>
        <w:t xml:space="preserve"> سازمانی در دنیای امروز ارائه دهد.</w:t>
      </w:r>
    </w:p>
    <w:p w14:paraId="2D7779CD" w14:textId="0A27DA76" w:rsidR="00537CC8" w:rsidRPr="0025250D" w:rsidRDefault="00537CC8" w:rsidP="00537CC8">
      <w:pPr>
        <w:rPr>
          <w:rtl/>
        </w:rPr>
      </w:pPr>
      <w:r w:rsidRPr="0025250D">
        <w:rPr>
          <w:rFonts w:hint="cs"/>
          <w:rtl/>
        </w:rPr>
        <w:t>خوشبختانه، همه</w:t>
      </w:r>
      <w:r w:rsidRPr="0025250D">
        <w:rPr>
          <w:rFonts w:hint="cs"/>
        </w:rPr>
        <w:t>‌</w:t>
      </w:r>
      <w:r w:rsidRPr="0025250D">
        <w:rPr>
          <w:rFonts w:hint="cs"/>
          <w:rtl/>
        </w:rPr>
        <w:t xml:space="preserve"> این تخصص‌ها اکنون جوامع عملی رسمی دارند و برخی از موارد برجسته را در زیر معرفی خواهیم کرد. مهارت در هر یک از این تخصص‌ها می‌تواند برای حل مسائل </w:t>
      </w:r>
      <w:r w:rsidRPr="0025250D">
        <w:rPr>
          <w:rtl/>
        </w:rPr>
        <w:t>آینده‌نگاری</w:t>
      </w:r>
      <w:r w:rsidRPr="0025250D">
        <w:rPr>
          <w:rFonts w:hint="cs"/>
          <w:rtl/>
        </w:rPr>
        <w:t xml:space="preserve"> حیاتی باشد. اگر هر یک از این تخصص‌ها را نادیده بگیریم و به چالش‌های ما مرتبط باشند، برنامه‌ها و اعمال ما در نتیجه این کار آسیب خواهند دید. این بیست تخصص به </w:t>
      </w:r>
      <w:r w:rsidR="00701E03" w:rsidRPr="0025250D">
        <w:rPr>
          <w:rFonts w:hint="cs"/>
          <w:rtl/>
        </w:rPr>
        <w:t>راهبرد</w:t>
      </w:r>
      <w:r w:rsidRPr="0025250D">
        <w:rPr>
          <w:rFonts w:hint="cs"/>
          <w:rtl/>
        </w:rPr>
        <w:t xml:space="preserve"> ختم می‌شوند تا به ما یاد آوری کنند که </w:t>
      </w:r>
      <w:r w:rsidR="00701E03" w:rsidRPr="0025250D">
        <w:rPr>
          <w:rFonts w:hint="cs"/>
          <w:rtl/>
        </w:rPr>
        <w:t>راهبرد</w:t>
      </w:r>
      <w:r w:rsidRPr="0025250D">
        <w:rPr>
          <w:rFonts w:hint="cs"/>
          <w:rtl/>
        </w:rPr>
        <w:t xml:space="preserve"> خوب اغلب به چه مواردی نیاز دارد. اگر ما یا تیم هایمان از هر یک از 19 تخصص عملی اول که در بالا فهرست شدند عبور کنیم و به اقدام بیستم </w:t>
      </w:r>
      <w:r w:rsidRPr="0025250D">
        <w:rPr>
          <w:rFonts w:cs="Times New Roman" w:hint="cs"/>
          <w:rtl/>
        </w:rPr>
        <w:t>–</w:t>
      </w:r>
      <w:r w:rsidRPr="0025250D">
        <w:rPr>
          <w:rFonts w:hint="cs"/>
          <w:rtl/>
        </w:rPr>
        <w:t xml:space="preserve"> </w:t>
      </w:r>
      <w:r w:rsidR="00EE4B64" w:rsidRPr="0025250D">
        <w:rPr>
          <w:rFonts w:hint="cs"/>
          <w:rtl/>
        </w:rPr>
        <w:t>چشم‌اندازسازی</w:t>
      </w:r>
      <w:r w:rsidRPr="0025250D">
        <w:rPr>
          <w:rFonts w:hint="cs"/>
          <w:rtl/>
        </w:rPr>
        <w:t xml:space="preserve">، تنظیم اهداف، </w:t>
      </w:r>
      <w:r w:rsidR="00701E03" w:rsidRPr="0025250D">
        <w:rPr>
          <w:rFonts w:hint="cs"/>
          <w:rtl/>
        </w:rPr>
        <w:t>راهبرد</w:t>
      </w:r>
      <w:r w:rsidRPr="0025250D">
        <w:rPr>
          <w:rFonts w:hint="cs"/>
          <w:rtl/>
        </w:rPr>
        <w:t xml:space="preserve"> و </w:t>
      </w:r>
      <w:r w:rsidR="00B124DE" w:rsidRPr="0025250D">
        <w:rPr>
          <w:rFonts w:hint="cs"/>
          <w:rtl/>
        </w:rPr>
        <w:t>برنامه‌ریزی</w:t>
      </w:r>
      <w:r w:rsidRPr="0025250D">
        <w:rPr>
          <w:rFonts w:hint="cs"/>
          <w:rtl/>
        </w:rPr>
        <w:t xml:space="preserve"> - جهش کنیم، تنها زیر مجموعه</w:t>
      </w:r>
      <w:r w:rsidRPr="0025250D">
        <w:rPr>
          <w:rFonts w:hint="cs"/>
        </w:rPr>
        <w:t>‌</w:t>
      </w:r>
      <w:r w:rsidRPr="0025250D">
        <w:rPr>
          <w:rFonts w:hint="cs"/>
          <w:rtl/>
        </w:rPr>
        <w:t xml:space="preserve"> کوچکی از کار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را انجام </w:t>
      </w:r>
      <w:r w:rsidR="00892D13" w:rsidRPr="0025250D">
        <w:rPr>
          <w:rFonts w:hint="cs"/>
          <w:rtl/>
        </w:rPr>
        <w:t>داده‌ایم</w:t>
      </w:r>
      <w:r w:rsidRPr="0025250D">
        <w:rPr>
          <w:rFonts w:hint="cs"/>
          <w:rtl/>
        </w:rPr>
        <w:t>. چنین نگاه محدودی از چگونگی مدیریت آینده در نهایت به ما آسیب خواهد زد. ما نیاز داریم که همه</w:t>
      </w:r>
      <w:r w:rsidRPr="0025250D">
        <w:rPr>
          <w:rFonts w:hint="cs"/>
        </w:rPr>
        <w:t>‌</w:t>
      </w:r>
      <w:r w:rsidRPr="0025250D">
        <w:rPr>
          <w:rFonts w:hint="cs"/>
          <w:rtl/>
        </w:rPr>
        <w:t xml:space="preserve"> شیوه‌های تخصصی برای رسیدن به </w:t>
      </w:r>
      <w:r w:rsidR="00701E03" w:rsidRPr="0025250D">
        <w:rPr>
          <w:rFonts w:hint="cs"/>
          <w:rtl/>
        </w:rPr>
        <w:t>راهبرد</w:t>
      </w:r>
      <w:r w:rsidRPr="0025250D">
        <w:rPr>
          <w:rFonts w:hint="cs"/>
          <w:rtl/>
        </w:rPr>
        <w:t xml:space="preserve"> خوب را دیده و متوازن سازیم.</w:t>
      </w:r>
    </w:p>
    <w:p w14:paraId="5B8880B7" w14:textId="1514F401" w:rsidR="00537CC8" w:rsidRPr="0025250D" w:rsidRDefault="00537CC8" w:rsidP="00537CC8">
      <w:pPr>
        <w:rPr>
          <w:rtl/>
        </w:rPr>
      </w:pPr>
      <w:r w:rsidRPr="0025250D">
        <w:rPr>
          <w:rFonts w:hint="cs"/>
          <w:rtl/>
        </w:rPr>
        <w:t xml:space="preserve">اولین برنامه‌های آموزشی در حوزه آینده‌نگاری، در اصل در دانشگاه </w:t>
      </w:r>
      <w:r w:rsidRPr="0025250D">
        <w:rPr>
          <w:rtl/>
        </w:rPr>
        <w:t>ه</w:t>
      </w:r>
      <w:r w:rsidRPr="0025250D">
        <w:rPr>
          <w:rFonts w:hint="cs"/>
          <w:rtl/>
        </w:rPr>
        <w:t>ی</w:t>
      </w:r>
      <w:r w:rsidRPr="0025250D">
        <w:rPr>
          <w:rFonts w:hint="eastAsia"/>
          <w:rtl/>
        </w:rPr>
        <w:t>وستون</w:t>
      </w:r>
      <w:r w:rsidRPr="0025250D">
        <w:rPr>
          <w:rFonts w:hint="cs"/>
          <w:rtl/>
        </w:rPr>
        <w:t xml:space="preserve"> (دوره</w:t>
      </w:r>
      <w:r w:rsidRPr="0025250D">
        <w:rPr>
          <w:rFonts w:hint="cs"/>
        </w:rPr>
        <w:t>‌</w:t>
      </w:r>
      <w:r w:rsidRPr="0025250D">
        <w:rPr>
          <w:rFonts w:hint="cs"/>
          <w:rtl/>
        </w:rPr>
        <w:t xml:space="preserve"> کارشناسی ارشد، در سال 1974 تأسیس شد) با عنوان </w:t>
      </w:r>
      <w:r w:rsidR="0063099E" w:rsidRPr="0025250D">
        <w:rPr>
          <w:rtl/>
        </w:rPr>
        <w:t>«</w:t>
      </w:r>
      <w:r w:rsidR="00D92F6E" w:rsidRPr="0025250D">
        <w:rPr>
          <w:rFonts w:hint="cs"/>
          <w:rtl/>
        </w:rPr>
        <w:t>آینده‌پژوه</w:t>
      </w:r>
      <w:r w:rsidRPr="0025250D">
        <w:rPr>
          <w:rFonts w:hint="cs"/>
          <w:rtl/>
        </w:rPr>
        <w:t>ی</w:t>
      </w:r>
      <w:r w:rsidRPr="0025250D">
        <w:rPr>
          <w:vertAlign w:val="superscript"/>
          <w:rtl/>
        </w:rPr>
        <w:footnoteReference w:id="1101"/>
      </w:r>
      <w:r w:rsidR="0063099E" w:rsidRPr="0025250D">
        <w:rPr>
          <w:rtl/>
        </w:rPr>
        <w:t>»</w:t>
      </w:r>
      <w:r w:rsidRPr="0025250D">
        <w:rPr>
          <w:rFonts w:hint="cs"/>
          <w:rtl/>
        </w:rPr>
        <w:t xml:space="preserve"> و در دانشگاه هاوایی (دوره دکتری، در سال 1977 آغاز شد) با عنوان </w:t>
      </w:r>
      <w:r w:rsidR="0063099E" w:rsidRPr="0025250D">
        <w:rPr>
          <w:rtl/>
        </w:rPr>
        <w:t>«</w:t>
      </w:r>
      <w:r w:rsidRPr="0025250D">
        <w:rPr>
          <w:rFonts w:hint="cs"/>
          <w:rtl/>
        </w:rPr>
        <w:t xml:space="preserve">آینده‌های </w:t>
      </w:r>
      <w:r w:rsidR="00127288" w:rsidRPr="0025250D">
        <w:rPr>
          <w:rFonts w:hint="cs"/>
          <w:rtl/>
        </w:rPr>
        <w:t>بدیل</w:t>
      </w:r>
      <w:r w:rsidRPr="0025250D">
        <w:rPr>
          <w:vertAlign w:val="superscript"/>
          <w:rtl/>
        </w:rPr>
        <w:footnoteReference w:id="1102"/>
      </w:r>
      <w:r w:rsidR="0063099E" w:rsidRPr="0025250D">
        <w:rPr>
          <w:rtl/>
        </w:rPr>
        <w:t>»</w:t>
      </w:r>
      <w:r w:rsidRPr="0025250D">
        <w:rPr>
          <w:rFonts w:hint="cs"/>
          <w:rtl/>
        </w:rPr>
        <w:t xml:space="preserve"> بودند. در طی چهل سال بعد، برنامه‌های آموزشی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به آرامی در جهان گسترش یافتند. امروزه 22 برنامه</w:t>
      </w:r>
      <w:r w:rsidRPr="0025250D">
        <w:rPr>
          <w:rFonts w:hint="cs"/>
        </w:rPr>
        <w:t>‌</w:t>
      </w:r>
      <w:r w:rsidRPr="0025250D">
        <w:rPr>
          <w:rFonts w:hint="cs"/>
          <w:rtl/>
        </w:rPr>
        <w:t xml:space="preserve"> کارشناسی ارشد و دکتری </w:t>
      </w:r>
      <w:r w:rsidRPr="0025250D">
        <w:rPr>
          <w:rtl/>
        </w:rPr>
        <w:t>آینده‌نگاری</w:t>
      </w:r>
      <w:r w:rsidRPr="0025250D">
        <w:rPr>
          <w:rFonts w:hint="cs"/>
          <w:rtl/>
        </w:rPr>
        <w:t>، طبق شمارش ما و تعداد</w:t>
      </w:r>
      <w:r w:rsidR="00BB406C" w:rsidRPr="0025250D">
        <w:rPr>
          <w:rFonts w:hint="cs"/>
          <w:rtl/>
        </w:rPr>
        <w:t xml:space="preserve"> کم‌تر</w:t>
      </w:r>
      <w:r w:rsidRPr="0025250D">
        <w:rPr>
          <w:rFonts w:hint="cs"/>
          <w:rtl/>
        </w:rPr>
        <w:t xml:space="preserve">ی از برنامه‌های اخذ مدرک </w:t>
      </w:r>
      <w:r w:rsidRPr="0025250D">
        <w:rPr>
          <w:rtl/>
        </w:rPr>
        <w:t>آینده‌نگاری</w:t>
      </w:r>
      <w:r w:rsidRPr="0025250D">
        <w:rPr>
          <w:rFonts w:hint="cs"/>
          <w:rtl/>
        </w:rPr>
        <w:t xml:space="preserve"> وجود دارند.</w:t>
      </w:r>
      <w:r w:rsidR="0008779C" w:rsidRPr="0025250D">
        <w:rPr>
          <w:rFonts w:hint="cs"/>
          <w:rtl/>
        </w:rPr>
        <w:t xml:space="preserve"> بیش‌تر</w:t>
      </w:r>
      <w:r w:rsidRPr="0025250D">
        <w:rPr>
          <w:rFonts w:hint="cs"/>
          <w:rtl/>
        </w:rPr>
        <w:t xml:space="preserve"> این برنامه‌ها دانشجویان را، حداقل به صورت خلاصه، با تعداد کمی از تخصص‌های بالا آشنا می‌سازند، اما هیچ یک</w:t>
      </w:r>
      <w:r w:rsidR="00AC0253" w:rsidRPr="0025250D">
        <w:rPr>
          <w:rFonts w:hint="cs"/>
          <w:rtl/>
        </w:rPr>
        <w:t xml:space="preserve"> از این</w:t>
      </w:r>
      <w:r w:rsidRPr="0025250D">
        <w:rPr>
          <w:rFonts w:hint="cs"/>
          <w:rtl/>
        </w:rPr>
        <w:t xml:space="preserve"> موارد مبانی همه این بیست تخصص را، طبق اطلاعات ما تدریس</w:t>
      </w:r>
      <w:r w:rsidR="00EE4B64" w:rsidRPr="0025250D">
        <w:rPr>
          <w:rFonts w:hint="cs"/>
          <w:rtl/>
        </w:rPr>
        <w:t xml:space="preserve"> نمی‌</w:t>
      </w:r>
      <w:r w:rsidRPr="0025250D">
        <w:rPr>
          <w:rFonts w:hint="cs"/>
          <w:rtl/>
        </w:rPr>
        <w:t xml:space="preserve">کنند. به نظر ما این امر اکنون توانایی </w:t>
      </w:r>
      <w:r w:rsidRPr="0025250D">
        <w:rPr>
          <w:rtl/>
        </w:rPr>
        <w:t>آینده‌نگاری</w:t>
      </w:r>
      <w:r w:rsidRPr="0025250D">
        <w:rPr>
          <w:rFonts w:hint="cs"/>
          <w:rtl/>
        </w:rPr>
        <w:t xml:space="preserve"> برای یکپارچه شدن با حرفه‌های سیاستگذاری و مدیریت </w:t>
      </w:r>
      <w:r w:rsidR="00337202" w:rsidRPr="0025250D">
        <w:rPr>
          <w:rFonts w:hint="cs"/>
          <w:rtl/>
        </w:rPr>
        <w:t xml:space="preserve">را </w:t>
      </w:r>
      <w:r w:rsidRPr="0025250D">
        <w:rPr>
          <w:rFonts w:hint="cs"/>
          <w:rtl/>
        </w:rPr>
        <w:t>کاهش می‌دهد.</w:t>
      </w:r>
    </w:p>
    <w:p w14:paraId="1EBEE51E" w14:textId="257605A5" w:rsidR="00537CC8" w:rsidRPr="0025250D" w:rsidRDefault="00537CC8" w:rsidP="00537CC8">
      <w:pPr>
        <w:rPr>
          <w:rtl/>
        </w:rPr>
      </w:pPr>
      <w:r w:rsidRPr="0025250D">
        <w:rPr>
          <w:rFonts w:hint="cs"/>
          <w:rtl/>
        </w:rPr>
        <w:t xml:space="preserve">ما در </w:t>
      </w:r>
      <w:r w:rsidRPr="0025250D">
        <w:t>4U</w:t>
      </w:r>
      <w:r w:rsidRPr="0025250D">
        <w:rPr>
          <w:rFonts w:hint="cs"/>
          <w:rtl/>
        </w:rPr>
        <w:t xml:space="preserve"> تمام تلاش خود را برای </w:t>
      </w:r>
      <w:r w:rsidR="0008779C" w:rsidRPr="0025250D">
        <w:rPr>
          <w:rFonts w:hint="cs"/>
          <w:rtl/>
        </w:rPr>
        <w:t>تاثیرگذاری</w:t>
      </w:r>
      <w:r w:rsidRPr="0025250D">
        <w:rPr>
          <w:rFonts w:hint="cs"/>
          <w:rtl/>
        </w:rPr>
        <w:t xml:space="preserve"> بر برنامه‌های </w:t>
      </w:r>
      <w:r w:rsidRPr="0025250D">
        <w:rPr>
          <w:rtl/>
        </w:rPr>
        <w:t>آینده‌نگاری</w:t>
      </w:r>
      <w:r w:rsidRPr="0025250D">
        <w:rPr>
          <w:rFonts w:hint="cs"/>
          <w:rtl/>
        </w:rPr>
        <w:t xml:space="preserve"> اجرایی و آکادمیک موجود جهت در برگرفتن تفکر و روش‌های ضروری از هر بیست تخصص، به کار خواهیم گرفت. ما همچنین باید نه تنها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بلکه مدل‌های </w:t>
      </w:r>
      <w:r w:rsidRPr="0025250D">
        <w:rPr>
          <w:rtl/>
        </w:rPr>
        <w:t>آینده‌نگاری</w:t>
      </w:r>
      <w:r w:rsidRPr="0025250D">
        <w:rPr>
          <w:rFonts w:hint="cs"/>
          <w:rtl/>
        </w:rPr>
        <w:t xml:space="preserve"> هنجاری متعددی را تدریس کنیم. هر چه بهتر دانشجویان ما </w:t>
      </w:r>
      <w:r w:rsidR="008D6F97" w:rsidRPr="0025250D">
        <w:rPr>
          <w:rFonts w:hint="cs"/>
          <w:rtl/>
        </w:rPr>
        <w:t>سامانه‌</w:t>
      </w:r>
      <w:r w:rsidRPr="0025250D">
        <w:rPr>
          <w:rFonts w:hint="cs"/>
          <w:rtl/>
        </w:rPr>
        <w:t xml:space="preserve">‌های ارزشی مورد استفاده را درک کنند، بهتر می‌توانند با دیگران کار کنند و </w:t>
      </w:r>
      <w:r w:rsidR="008D6F97" w:rsidRPr="0025250D">
        <w:rPr>
          <w:rFonts w:hint="cs"/>
          <w:rtl/>
        </w:rPr>
        <w:t>سامانه‌</w:t>
      </w:r>
      <w:r w:rsidRPr="0025250D">
        <w:rPr>
          <w:rFonts w:hint="cs"/>
          <w:rtl/>
        </w:rPr>
        <w:t xml:space="preserve">‌های ارزشی خود را توسعه دهند. وقتی تنوع خوبی از </w:t>
      </w:r>
      <w:r w:rsidRPr="0025250D">
        <w:rPr>
          <w:rtl/>
        </w:rPr>
        <w:t>آینده‌نگاری</w:t>
      </w:r>
      <w:r w:rsidRPr="0025250D">
        <w:rPr>
          <w:rFonts w:hint="cs"/>
          <w:rtl/>
        </w:rPr>
        <w:t xml:space="preserve"> به طور گسترده توسط رهبران سازمان‌ها تشخیص داده شود و ارزش </w:t>
      </w:r>
      <w:r w:rsidR="00B124DE" w:rsidRPr="0025250D">
        <w:rPr>
          <w:rFonts w:hint="cs"/>
          <w:rtl/>
        </w:rPr>
        <w:t>انطباق‌پذیر</w:t>
      </w:r>
      <w:r w:rsidRPr="0025250D">
        <w:rPr>
          <w:rFonts w:hint="cs"/>
          <w:rtl/>
        </w:rPr>
        <w:t xml:space="preserve"> آن به خوبی درک شود، زمینه</w:t>
      </w:r>
      <w:r w:rsidRPr="0025250D">
        <w:rPr>
          <w:rFonts w:hint="cs"/>
        </w:rPr>
        <w:t>‌</w:t>
      </w:r>
      <w:r w:rsidRPr="0025250D">
        <w:rPr>
          <w:rFonts w:hint="cs"/>
          <w:rtl/>
        </w:rPr>
        <w:t xml:space="preserve"> ما در مسیر خود به سمت بلوغ خواهد بود.</w:t>
      </w:r>
    </w:p>
    <w:p w14:paraId="1C68744F" w14:textId="1F95EC19" w:rsidR="00537CC8" w:rsidRPr="0025250D" w:rsidRDefault="00537CC8" w:rsidP="00537CC8">
      <w:pPr>
        <w:rPr>
          <w:rtl/>
        </w:rPr>
      </w:pPr>
      <w:r w:rsidRPr="0025250D">
        <w:rPr>
          <w:rFonts w:hint="cs"/>
          <w:rtl/>
        </w:rPr>
        <w:t xml:space="preserve">در یک </w:t>
      </w:r>
      <w:r w:rsidR="00B56611" w:rsidRPr="0025250D">
        <w:rPr>
          <w:rFonts w:hint="cs"/>
          <w:rtl/>
        </w:rPr>
        <w:t>چشم‌انداز</w:t>
      </w:r>
      <w:r w:rsidRPr="0025250D">
        <w:rPr>
          <w:rFonts w:hint="cs"/>
          <w:rtl/>
        </w:rPr>
        <w:t xml:space="preserve"> برای حرفه</w:t>
      </w:r>
      <w:r w:rsidRPr="0025250D">
        <w:rPr>
          <w:rFonts w:hint="cs"/>
        </w:rPr>
        <w:t>‌</w:t>
      </w:r>
      <w:r w:rsidRPr="0025250D">
        <w:rPr>
          <w:rFonts w:hint="cs"/>
          <w:rtl/>
        </w:rPr>
        <w:t xml:space="preserve"> </w:t>
      </w:r>
      <w:r w:rsidR="00337202" w:rsidRPr="0025250D">
        <w:rPr>
          <w:rFonts w:hint="cs"/>
          <w:rtl/>
        </w:rPr>
        <w:t>آینده‌نگاری</w:t>
      </w:r>
      <w:r w:rsidRPr="0025250D">
        <w:rPr>
          <w:rFonts w:hint="cs"/>
          <w:rtl/>
        </w:rPr>
        <w:t xml:space="preserve">، می‌توانیم فعالان برتر در بسیاری از این بیست تخصص را تصور کنیم که جایگاه‌هایی در سطح </w:t>
      </w:r>
      <w:r w:rsidRPr="0025250D">
        <w:t>C</w:t>
      </w:r>
      <w:r w:rsidRPr="0025250D">
        <w:rPr>
          <w:rFonts w:hint="cs"/>
          <w:rtl/>
        </w:rPr>
        <w:t xml:space="preserve"> در سازمان‌هایی که دارای </w:t>
      </w:r>
      <w:r w:rsidRPr="0025250D">
        <w:rPr>
          <w:rtl/>
        </w:rPr>
        <w:t>آینده‌نگاری</w:t>
      </w:r>
      <w:r w:rsidR="0008779C" w:rsidRPr="0025250D">
        <w:rPr>
          <w:rFonts w:hint="cs"/>
          <w:rtl/>
        </w:rPr>
        <w:t xml:space="preserve"> بیش‌تر</w:t>
      </w:r>
      <w:r w:rsidRPr="0025250D">
        <w:rPr>
          <w:rFonts w:hint="cs"/>
          <w:rtl/>
        </w:rPr>
        <w:t>ی هستند، دارند</w:t>
      </w:r>
      <w:r w:rsidR="008D6F97" w:rsidRPr="0025250D">
        <w:rPr>
          <w:rtl/>
        </w:rPr>
        <w:t xml:space="preserve">؛ </w:t>
      </w:r>
      <w:r w:rsidRPr="0025250D">
        <w:rPr>
          <w:rFonts w:hint="cs"/>
          <w:rtl/>
        </w:rPr>
        <w:t>اما</w:t>
      </w:r>
      <w:r w:rsidR="008D6F97" w:rsidRPr="0025250D">
        <w:rPr>
          <w:rtl/>
        </w:rPr>
        <w:t xml:space="preserve"> </w:t>
      </w:r>
      <w:r w:rsidRPr="0025250D">
        <w:rPr>
          <w:rFonts w:hint="cs"/>
          <w:rtl/>
        </w:rPr>
        <w:t>تا زمانی که چنین اتفاقی بیفتد و تا زمانی که رهبران</w:t>
      </w:r>
      <w:r w:rsidR="0008779C" w:rsidRPr="0025250D">
        <w:rPr>
          <w:rFonts w:hint="cs"/>
          <w:rtl/>
        </w:rPr>
        <w:t xml:space="preserve"> بیش‌تر</w:t>
      </w:r>
      <w:r w:rsidRPr="0025250D">
        <w:rPr>
          <w:rFonts w:hint="cs"/>
          <w:rtl/>
        </w:rPr>
        <w:t xml:space="preserve">ی در بسیاری از این تخصص‌های سازمانی نقش خود را در تولید </w:t>
      </w:r>
      <w:r w:rsidRPr="0025250D">
        <w:rPr>
          <w:rtl/>
        </w:rPr>
        <w:t>آینده‌نگاری</w:t>
      </w:r>
      <w:r w:rsidRPr="0025250D">
        <w:rPr>
          <w:rFonts w:hint="cs"/>
          <w:rtl/>
        </w:rPr>
        <w:t xml:space="preserve"> بشناسند، </w:t>
      </w:r>
      <w:r w:rsidR="00337202" w:rsidRPr="0025250D">
        <w:rPr>
          <w:rFonts w:hint="cs"/>
          <w:rtl/>
        </w:rPr>
        <w:t xml:space="preserve">این </w:t>
      </w:r>
      <w:r w:rsidRPr="0025250D">
        <w:rPr>
          <w:rFonts w:hint="cs"/>
          <w:rtl/>
        </w:rPr>
        <w:t xml:space="preserve">زمینه </w:t>
      </w:r>
      <w:r w:rsidR="00BB406C" w:rsidRPr="0025250D">
        <w:rPr>
          <w:rFonts w:hint="cs"/>
          <w:rtl/>
        </w:rPr>
        <w:t>کم‌تر</w:t>
      </w:r>
      <w:r w:rsidRPr="0025250D">
        <w:rPr>
          <w:rFonts w:hint="cs"/>
          <w:rtl/>
        </w:rPr>
        <w:t xml:space="preserve"> توسعه یافته باقی خواهد ماند. رهبری سازمان‌های برتر کار </w:t>
      </w:r>
      <w:r w:rsidRPr="0025250D">
        <w:rPr>
          <w:rtl/>
        </w:rPr>
        <w:t>آینده‌نگاری</w:t>
      </w:r>
      <w:r w:rsidRPr="0025250D">
        <w:rPr>
          <w:rFonts w:hint="cs"/>
          <w:rtl/>
        </w:rPr>
        <w:t xml:space="preserve"> که هم اکنون انجام می‌شود، مانند </w:t>
      </w:r>
      <w:r w:rsidR="0063099E" w:rsidRPr="0025250D">
        <w:rPr>
          <w:rtl/>
        </w:rPr>
        <w:t>«</w:t>
      </w:r>
      <w:r w:rsidRPr="0025250D">
        <w:rPr>
          <w:rtl/>
        </w:rPr>
        <w:t>آینده‌نگاری</w:t>
      </w:r>
      <w:r w:rsidRPr="0025250D">
        <w:rPr>
          <w:rFonts w:hint="cs"/>
          <w:rtl/>
        </w:rPr>
        <w:t xml:space="preserve"> با نام‌های دیگر</w:t>
      </w:r>
      <w:r w:rsidR="0063099E" w:rsidRPr="0025250D">
        <w:rPr>
          <w:rtl/>
        </w:rPr>
        <w:t>»</w:t>
      </w:r>
      <w:r w:rsidRPr="0025250D">
        <w:rPr>
          <w:rFonts w:hint="cs"/>
          <w:rtl/>
        </w:rPr>
        <w:t xml:space="preserve"> را تشخیص</w:t>
      </w:r>
      <w:r w:rsidR="00EE4B64" w:rsidRPr="0025250D">
        <w:rPr>
          <w:rFonts w:hint="cs"/>
          <w:rtl/>
        </w:rPr>
        <w:t xml:space="preserve"> نمی‌</w:t>
      </w:r>
      <w:r w:rsidRPr="0025250D">
        <w:rPr>
          <w:rFonts w:hint="cs"/>
          <w:rtl/>
        </w:rPr>
        <w:t xml:space="preserve">دهند و شرایط برای </w:t>
      </w:r>
      <w:r w:rsidRPr="0025250D">
        <w:rPr>
          <w:rtl/>
        </w:rPr>
        <w:t>آینده‌نگاری</w:t>
      </w:r>
      <w:r w:rsidRPr="0025250D">
        <w:rPr>
          <w:rFonts w:hint="cs"/>
          <w:rtl/>
        </w:rPr>
        <w:t xml:space="preserve"> به عنوان یک اولویت رهبری</w:t>
      </w:r>
      <w:r w:rsidR="00EE4B64" w:rsidRPr="0025250D">
        <w:rPr>
          <w:rFonts w:hint="cs"/>
          <w:rtl/>
        </w:rPr>
        <w:t xml:space="preserve"> نمی‌</w:t>
      </w:r>
      <w:r w:rsidRPr="0025250D">
        <w:rPr>
          <w:rFonts w:hint="cs"/>
          <w:rtl/>
        </w:rPr>
        <w:t>تواند به خوبی درون سازمان ایجاد شود</w:t>
      </w:r>
      <w:r w:rsidR="008D6F97" w:rsidRPr="0025250D">
        <w:rPr>
          <w:rtl/>
        </w:rPr>
        <w:t xml:space="preserve">؛ </w:t>
      </w:r>
      <w:r w:rsidRPr="0025250D">
        <w:rPr>
          <w:rFonts w:hint="cs"/>
          <w:rtl/>
        </w:rPr>
        <w:t xml:space="preserve">بنابراین تبدیل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با همه</w:t>
      </w:r>
      <w:r w:rsidRPr="0025250D">
        <w:rPr>
          <w:rFonts w:hint="cs"/>
        </w:rPr>
        <w:t>‌</w:t>
      </w:r>
      <w:r w:rsidRPr="0025250D">
        <w:rPr>
          <w:rFonts w:hint="cs"/>
          <w:rtl/>
        </w:rPr>
        <w:t xml:space="preserve"> تنوع آن، به یک اولویت رهبری در میان بزرگترین اهداف </w:t>
      </w:r>
      <w:r w:rsidR="00337202" w:rsidRPr="0025250D">
        <w:rPr>
          <w:rFonts w:hint="cs"/>
          <w:rtl/>
        </w:rPr>
        <w:t xml:space="preserve">این </w:t>
      </w:r>
      <w:r w:rsidRPr="0025250D">
        <w:rPr>
          <w:rFonts w:hint="cs"/>
          <w:rtl/>
        </w:rPr>
        <w:t>زمینه</w:t>
      </w:r>
      <w:r w:rsidRPr="0025250D">
        <w:rPr>
          <w:rFonts w:hint="cs"/>
        </w:rPr>
        <w:t>‌</w:t>
      </w:r>
      <w:r w:rsidRPr="0025250D">
        <w:rPr>
          <w:rFonts w:hint="cs"/>
          <w:rtl/>
        </w:rPr>
        <w:t xml:space="preserve"> قرار دارد.</w:t>
      </w:r>
    </w:p>
    <w:p w14:paraId="6E42CE51" w14:textId="19BB862C" w:rsidR="00537CC8" w:rsidRPr="0025250D" w:rsidRDefault="00537CC8" w:rsidP="00537CC8">
      <w:pPr>
        <w:rPr>
          <w:rtl/>
        </w:rPr>
      </w:pPr>
      <w:r w:rsidRPr="0025250D">
        <w:rPr>
          <w:rFonts w:hint="cs"/>
          <w:rtl/>
        </w:rPr>
        <w:t>هیچ یک از ما هیچ گاه در همه</w:t>
      </w:r>
      <w:r w:rsidRPr="0025250D">
        <w:rPr>
          <w:rFonts w:hint="cs"/>
        </w:rPr>
        <w:t>‌</w:t>
      </w:r>
      <w:r w:rsidRPr="0025250D">
        <w:rPr>
          <w:rFonts w:hint="cs"/>
          <w:rtl/>
        </w:rPr>
        <w:t xml:space="preserve"> این تخصص‌ها حرفه‌ای و متخصص نخواهد بود، اما هر یک از ما می‌توانیم به دنبال برخی آموزش‌های تخصصی در تعداد کمی از این موارد، برای تکمیل دانش </w:t>
      </w:r>
      <w:r w:rsidRPr="0025250D">
        <w:rPr>
          <w:rtl/>
        </w:rPr>
        <w:t>آینده‌نگاری</w:t>
      </w:r>
      <w:r w:rsidRPr="0025250D">
        <w:rPr>
          <w:rFonts w:hint="cs"/>
          <w:rtl/>
        </w:rPr>
        <w:t xml:space="preserve"> کلی خود باشیم. برای هر تخصص یک </w:t>
      </w:r>
      <w:r w:rsidRPr="0025250D">
        <w:rPr>
          <w:rtl/>
        </w:rPr>
        <w:t>انجمن تخصص</w:t>
      </w:r>
      <w:r w:rsidRPr="0025250D">
        <w:rPr>
          <w:rFonts w:hint="cs"/>
          <w:rtl/>
        </w:rPr>
        <w:t>ی</w:t>
      </w:r>
      <w:r w:rsidRPr="0025250D">
        <w:rPr>
          <w:rtl/>
        </w:rPr>
        <w:t xml:space="preserve"> آینده‌نگاری</w:t>
      </w:r>
      <w:r w:rsidRPr="0025250D">
        <w:rPr>
          <w:vertAlign w:val="superscript"/>
          <w:rtl/>
        </w:rPr>
        <w:footnoteReference w:id="1103"/>
      </w:r>
      <w:r w:rsidRPr="0025250D">
        <w:rPr>
          <w:rFonts w:hint="cs"/>
          <w:rtl/>
        </w:rPr>
        <w:t xml:space="preserve"> را در زیر نام برده ایم که اقدامات حرفه‌ای را به پیش می‌برد. تمرکز این فهرست بیشتر بر </w:t>
      </w:r>
      <w:r w:rsidRPr="0025250D">
        <w:rPr>
          <w:rtl/>
        </w:rPr>
        <w:t xml:space="preserve">انجمن‌هایی </w:t>
      </w:r>
      <w:r w:rsidRPr="0025250D">
        <w:rPr>
          <w:rFonts w:hint="cs"/>
          <w:rtl/>
        </w:rPr>
        <w:t xml:space="preserve">است که عمدتا متمایل به سمت کارسپاران شرکتی هستند، اگرچه بسیاری از این انجمن‌ها جوامع و گروه‌های داخلی دارند که به سمت کارسپاران دولتی، دفاعی، غیر انتفاعی، آموزشی، فردی و دیگر کارسپاران </w:t>
      </w:r>
      <w:r w:rsidR="00337202" w:rsidRPr="0025250D">
        <w:rPr>
          <w:rFonts w:hint="cs"/>
          <w:rtl/>
        </w:rPr>
        <w:t>متمایل هستند</w:t>
      </w:r>
      <w:r w:rsidRPr="0025250D">
        <w:rPr>
          <w:rFonts w:hint="cs"/>
          <w:rtl/>
        </w:rPr>
        <w:t>.</w:t>
      </w:r>
    </w:p>
    <w:p w14:paraId="13F1EE8B" w14:textId="4A170ED0" w:rsidR="00537CC8" w:rsidRPr="0025250D" w:rsidRDefault="00537CC8" w:rsidP="00537CC8">
      <w:pPr>
        <w:rPr>
          <w:rtl/>
        </w:rPr>
      </w:pPr>
      <w:r w:rsidRPr="0025250D">
        <w:rPr>
          <w:rFonts w:hint="cs"/>
          <w:rtl/>
        </w:rPr>
        <w:t xml:space="preserve">پیوستن به یک یا چند مورد از این انجمن‌ها، انجام تمرینات و آموزش‌های آن‌ها و شرکت در کنفرانس‌های آن‌ها، دسترسی لازم به روش‌های </w:t>
      </w:r>
      <w:r w:rsidRPr="0025250D">
        <w:rPr>
          <w:rtl/>
        </w:rPr>
        <w:t>آینده‌نگاری</w:t>
      </w:r>
      <w:r w:rsidRPr="0025250D">
        <w:rPr>
          <w:rFonts w:hint="cs"/>
          <w:rtl/>
        </w:rPr>
        <w:t xml:space="preserve"> تخصصی و دانشی که معمولا تنها به شکلی سطحی در انجمن‌های اصلی پوشش داده می‌شوند در اختیار ما می‌گذارد. این امر همچنین به ما امکان می‌دهد که با افراد جدیدی آشنا شویم و به فرصت‌های عملی جدیدی دست یابیم. البته، مطالعه و انتشار در تعداد کمی از این مجلات همچنین این زمینه را</w:t>
      </w:r>
      <w:r w:rsidR="0008779C" w:rsidRPr="0025250D">
        <w:rPr>
          <w:rFonts w:hint="cs"/>
          <w:rtl/>
        </w:rPr>
        <w:t xml:space="preserve"> بیش‌تر</w:t>
      </w:r>
      <w:r w:rsidRPr="0025250D">
        <w:rPr>
          <w:rFonts w:hint="cs"/>
          <w:rtl/>
        </w:rPr>
        <w:t xml:space="preserve"> به پیش خواهد برد و می‌تواند به سود تمایز و شناخته شدن حرفه‌ای خود ما باشد. به علاوه، تغییر عضویت مان به صورت فردی میان این انجمن‌های تخصصی در هر چند سال و دریافت گواهینامه‌های جدید در موارد مفید، راه خوبی برای فعالان </w:t>
      </w:r>
      <w:r w:rsidRPr="0025250D">
        <w:rPr>
          <w:rtl/>
        </w:rPr>
        <w:t>آینده‌نگاری</w:t>
      </w:r>
      <w:r w:rsidRPr="0025250D">
        <w:rPr>
          <w:rFonts w:hint="cs"/>
          <w:rtl/>
        </w:rPr>
        <w:t xml:space="preserve"> جهت ورود به یک زمینه تحصیلی مداوم دارای تنوع تخصصی است.</w:t>
      </w:r>
    </w:p>
    <w:p w14:paraId="4358FA60" w14:textId="011A35ED" w:rsidR="00537CC8" w:rsidRPr="0025250D" w:rsidRDefault="00537CC8" w:rsidP="00537CC8">
      <w:pPr>
        <w:rPr>
          <w:rtl/>
        </w:rPr>
      </w:pPr>
      <w:r w:rsidRPr="0025250D">
        <w:rPr>
          <w:rFonts w:hint="cs"/>
          <w:rtl/>
        </w:rPr>
        <w:t xml:space="preserve">در اینجا بیست گروه تخصصی </w:t>
      </w:r>
      <w:r w:rsidRPr="0025250D">
        <w:rPr>
          <w:rtl/>
        </w:rPr>
        <w:t>آینده‌نگاری</w:t>
      </w:r>
      <w:r w:rsidRPr="0025250D">
        <w:rPr>
          <w:rFonts w:hint="cs"/>
          <w:rtl/>
        </w:rPr>
        <w:t xml:space="preserve"> </w:t>
      </w:r>
      <w:r w:rsidR="00701E03" w:rsidRPr="0025250D">
        <w:rPr>
          <w:rFonts w:hint="cs"/>
          <w:rtl/>
        </w:rPr>
        <w:t>راهبرد</w:t>
      </w:r>
      <w:r w:rsidR="00986DEE" w:rsidRPr="0025250D">
        <w:rPr>
          <w:rFonts w:hint="cs"/>
          <w:rtl/>
        </w:rPr>
        <w:t>ی</w:t>
      </w:r>
      <w:r w:rsidRPr="0025250D">
        <w:rPr>
          <w:rFonts w:hint="cs"/>
          <w:rtl/>
        </w:rPr>
        <w:t xml:space="preserve"> به ترتیب حروف الفبا و اطلاعات اندکی درمورد برخی از جوامع فعال برجسته برای هر گروه تخصصی آورده شده است. کسب شایستگی در مبانی ابتدایی و پایه‌ای این بیست تخصص یک رویکرد هوشمندانه برای توسعه</w:t>
      </w:r>
      <w:r w:rsidRPr="0025250D">
        <w:rPr>
          <w:rFonts w:hint="cs"/>
        </w:rPr>
        <w:t>‌</w:t>
      </w:r>
      <w:r w:rsidRPr="0025250D">
        <w:rPr>
          <w:rFonts w:hint="cs"/>
          <w:rtl/>
        </w:rPr>
        <w:t xml:space="preserve"> تخصصی است. ما این جوامع را بار دیگر در پیوست 3 فهرست خواهیم کرد. امیدواریم که سازمان‌های </w:t>
      </w:r>
      <w:r w:rsidRPr="0025250D">
        <w:rPr>
          <w:rtl/>
        </w:rPr>
        <w:t>آینده‌نگاری</w:t>
      </w:r>
      <w:r w:rsidRPr="0025250D">
        <w:rPr>
          <w:rFonts w:hint="cs"/>
          <w:rtl/>
        </w:rPr>
        <w:t xml:space="preserve"> اصلی در حال ظهور و برنامه‌های تحصیلی روابط نزدیک تری را با این انجمن‌ها در سال‌های آینده توسعه دهند. پیوستن به حداقل یکی از این انجمن‌ها و کسب مهارت حرفه‌ای در روش‌های آن‌ها، آغاز سفر </w:t>
      </w:r>
      <w:r w:rsidRPr="0025250D">
        <w:rPr>
          <w:rtl/>
        </w:rPr>
        <w:t>آینده‌نگاری</w:t>
      </w:r>
      <w:r w:rsidRPr="0025250D">
        <w:rPr>
          <w:rFonts w:hint="cs"/>
          <w:rtl/>
        </w:rPr>
        <w:t xml:space="preserve"> تخصصی شماست.</w:t>
      </w:r>
    </w:p>
    <w:p w14:paraId="478A1156" w14:textId="27D4CB6D" w:rsidR="00537CC8" w:rsidRPr="0025250D" w:rsidRDefault="00537CC8" w:rsidP="00537CC8">
      <w:pPr>
        <w:rPr>
          <w:rtl/>
        </w:rPr>
      </w:pPr>
      <w:r w:rsidRPr="0025250D">
        <w:rPr>
          <w:rFonts w:hint="cs"/>
          <w:rtl/>
        </w:rPr>
        <w:t>1.</w:t>
      </w:r>
      <w:r w:rsidR="0020589F" w:rsidRPr="0025250D">
        <w:rPr>
          <w:b/>
          <w:bCs/>
          <w:rtl/>
        </w:rPr>
        <w:t xml:space="preserve"> حسابدار</w:t>
      </w:r>
      <w:r w:rsidR="0020589F" w:rsidRPr="0025250D">
        <w:rPr>
          <w:rFonts w:hint="cs"/>
          <w:b/>
          <w:bCs/>
          <w:rtl/>
        </w:rPr>
        <w:t>ی</w:t>
      </w:r>
      <w:r w:rsidRPr="0025250D">
        <w:rPr>
          <w:b/>
          <w:bCs/>
          <w:rtl/>
        </w:rPr>
        <w:t xml:space="preserve"> </w:t>
      </w:r>
      <w:r w:rsidRPr="0025250D">
        <w:rPr>
          <w:rFonts w:hint="cs"/>
          <w:b/>
          <w:bCs/>
          <w:rtl/>
        </w:rPr>
        <w:t>و</w:t>
      </w:r>
      <w:r w:rsidRPr="0025250D">
        <w:rPr>
          <w:b/>
          <w:bCs/>
          <w:rtl/>
        </w:rPr>
        <w:t xml:space="preserve"> </w:t>
      </w:r>
      <w:r w:rsidRPr="0025250D">
        <w:rPr>
          <w:rFonts w:hint="cs"/>
          <w:b/>
          <w:bCs/>
          <w:rtl/>
        </w:rPr>
        <w:t>دارایی‌های ناملموس</w:t>
      </w:r>
      <w:r w:rsidRPr="0025250D">
        <w:rPr>
          <w:rFonts w:hint="cs"/>
          <w:rtl/>
        </w:rPr>
        <w:t xml:space="preserve"> </w:t>
      </w:r>
      <w:r w:rsidRPr="0025250D">
        <w:rPr>
          <w:rFonts w:cs="Times New Roman" w:hint="cs"/>
          <w:rtl/>
        </w:rPr>
        <w:t>–</w:t>
      </w:r>
      <w:r w:rsidRPr="0025250D">
        <w:rPr>
          <w:rFonts w:hint="cs"/>
          <w:rtl/>
        </w:rPr>
        <w:t xml:space="preserve"> مؤسسه</w:t>
      </w:r>
      <w:r w:rsidRPr="0025250D">
        <w:rPr>
          <w:rFonts w:hint="cs"/>
        </w:rPr>
        <w:t>‌</w:t>
      </w:r>
      <w:r w:rsidRPr="0025250D">
        <w:rPr>
          <w:rFonts w:hint="cs"/>
          <w:rtl/>
        </w:rPr>
        <w:t xml:space="preserve"> حسابداران مدیریت</w:t>
      </w:r>
      <w:r w:rsidRPr="0025250D">
        <w:rPr>
          <w:vertAlign w:val="superscript"/>
          <w:rtl/>
        </w:rPr>
        <w:footnoteReference w:id="1104"/>
      </w:r>
      <w:r w:rsidRPr="0025250D">
        <w:rPr>
          <w:rFonts w:hint="cs"/>
          <w:rtl/>
        </w:rPr>
        <w:t xml:space="preserve">. از سال 1919. انجمن برتر و برجسته برای حسابداری هزینه‌ها، </w:t>
      </w:r>
      <w:r w:rsidR="00B124DE" w:rsidRPr="0025250D">
        <w:rPr>
          <w:rFonts w:hint="cs"/>
          <w:rtl/>
        </w:rPr>
        <w:t>برنامه‌ریزی</w:t>
      </w:r>
      <w:r w:rsidRPr="0025250D">
        <w:rPr>
          <w:rFonts w:hint="cs"/>
          <w:rtl/>
        </w:rPr>
        <w:t xml:space="preserve"> مالی و پشتیبانی از تصمیم</w:t>
      </w:r>
      <w:r w:rsidR="00986DEE" w:rsidRPr="0025250D">
        <w:rPr>
          <w:rFonts w:hint="cs"/>
          <w:rtl/>
        </w:rPr>
        <w:t xml:space="preserve"> و</w:t>
      </w:r>
      <w:r w:rsidRPr="0025250D">
        <w:rPr>
          <w:rFonts w:hint="cs"/>
          <w:rtl/>
        </w:rPr>
        <w:t xml:space="preserve"> معیار‌های برتر برای هر شرکت انتفاعی. </w:t>
      </w:r>
      <w:r w:rsidR="00986DEE" w:rsidRPr="0025250D">
        <w:rPr>
          <w:rFonts w:hint="cs"/>
          <w:rtl/>
        </w:rPr>
        <w:t xml:space="preserve">برگزار کننده </w:t>
      </w:r>
      <w:r w:rsidRPr="0025250D">
        <w:rPr>
          <w:rFonts w:hint="cs"/>
          <w:rtl/>
        </w:rPr>
        <w:t xml:space="preserve">کنفرانس سالانه، </w:t>
      </w:r>
      <w:r w:rsidR="00986DEE" w:rsidRPr="0025250D">
        <w:rPr>
          <w:rFonts w:hint="cs"/>
          <w:rtl/>
        </w:rPr>
        <w:t xml:space="preserve">ارائه‌دهنده </w:t>
      </w:r>
      <w:r w:rsidRPr="0025250D">
        <w:rPr>
          <w:rFonts w:hint="cs"/>
          <w:rtl/>
        </w:rPr>
        <w:t>گواهینامه</w:t>
      </w:r>
      <w:r w:rsidR="00986DEE" w:rsidRPr="0025250D">
        <w:rPr>
          <w:rFonts w:hint="cs"/>
          <w:rtl/>
        </w:rPr>
        <w:t xml:space="preserve"> </w:t>
      </w:r>
      <w:r w:rsidRPr="0025250D">
        <w:rPr>
          <w:rFonts w:hint="cs"/>
        </w:rPr>
        <w:t>‌</w:t>
      </w:r>
      <w:r w:rsidRPr="0025250D">
        <w:t>CM</w:t>
      </w:r>
      <w:r w:rsidR="00986DEE" w:rsidRPr="0025250D">
        <w:rPr>
          <w:rFonts w:hint="cs"/>
          <w:rtl/>
        </w:rPr>
        <w:t xml:space="preserve">. فعال در زمینه </w:t>
      </w:r>
      <w:r w:rsidRPr="0025250D">
        <w:rPr>
          <w:rFonts w:hint="cs"/>
          <w:rtl/>
        </w:rPr>
        <w:t xml:space="preserve">امور مالی </w:t>
      </w:r>
      <w:r w:rsidR="00701E03" w:rsidRPr="0025250D">
        <w:rPr>
          <w:rFonts w:hint="cs"/>
          <w:rtl/>
        </w:rPr>
        <w:t>راهبردی</w:t>
      </w:r>
      <w:r w:rsidRPr="0025250D">
        <w:rPr>
          <w:vertAlign w:val="superscript"/>
          <w:rtl/>
        </w:rPr>
        <w:footnoteReference w:id="1105"/>
      </w:r>
      <w:r w:rsidRPr="0025250D">
        <w:rPr>
          <w:rFonts w:hint="cs"/>
          <w:rtl/>
        </w:rPr>
        <w:t xml:space="preserve">؛ ارزیابی دارایی‌های ناملموس و تعهدات در تخصص‌هایی مانند مدیریت حسابداری، بازاریابی، تحلیل و </w:t>
      </w:r>
      <w:r w:rsidR="00701E03" w:rsidRPr="0025250D">
        <w:rPr>
          <w:rFonts w:hint="cs"/>
          <w:rtl/>
        </w:rPr>
        <w:t>راهبرد</w:t>
      </w:r>
      <w:r w:rsidRPr="0025250D">
        <w:rPr>
          <w:rFonts w:hint="cs"/>
          <w:rtl/>
        </w:rPr>
        <w:t xml:space="preserve"> انجام می‌شود. بسیاری از دارایی‌های ناملموس </w:t>
      </w:r>
      <w:r w:rsidR="00B0171C" w:rsidRPr="0025250D">
        <w:rPr>
          <w:rFonts w:hint="cs"/>
          <w:rtl/>
        </w:rPr>
        <w:t>به‌سادگی</w:t>
      </w:r>
      <w:r w:rsidRPr="0025250D">
        <w:rPr>
          <w:rFonts w:hint="cs"/>
          <w:rtl/>
        </w:rPr>
        <w:t xml:space="preserve"> اندازه گیری</w:t>
      </w:r>
      <w:r w:rsidR="00EE4B64" w:rsidRPr="0025250D">
        <w:rPr>
          <w:rFonts w:hint="cs"/>
          <w:rtl/>
        </w:rPr>
        <w:t xml:space="preserve"> نمی‌</w:t>
      </w:r>
      <w:r w:rsidRPr="0025250D">
        <w:rPr>
          <w:rFonts w:hint="cs"/>
          <w:rtl/>
        </w:rPr>
        <w:t>شوند یا هیچگاه دیده</w:t>
      </w:r>
      <w:r w:rsidR="00EE4B64" w:rsidRPr="0025250D">
        <w:rPr>
          <w:rFonts w:hint="cs"/>
          <w:rtl/>
        </w:rPr>
        <w:t xml:space="preserve"> نمی‌</w:t>
      </w:r>
      <w:r w:rsidRPr="0025250D">
        <w:rPr>
          <w:rFonts w:hint="cs"/>
          <w:rtl/>
        </w:rPr>
        <w:t xml:space="preserve">شوند. ما برای ردیابی و تحلیل متغیر‌های ناملموس مانند روحیه، شهرت و رضایت مشتری به پیمایش‌ها، گروه‌های </w:t>
      </w:r>
      <w:r w:rsidR="00986DEE" w:rsidRPr="0025250D">
        <w:rPr>
          <w:rFonts w:hint="cs"/>
          <w:rtl/>
        </w:rPr>
        <w:t>م</w:t>
      </w:r>
      <w:r w:rsidRPr="0025250D">
        <w:rPr>
          <w:rFonts w:hint="cs"/>
          <w:rtl/>
        </w:rPr>
        <w:t>تمرکز</w:t>
      </w:r>
      <w:r w:rsidRPr="0025250D">
        <w:rPr>
          <w:vertAlign w:val="superscript"/>
          <w:rtl/>
        </w:rPr>
        <w:footnoteReference w:id="1106"/>
      </w:r>
      <w:r w:rsidRPr="0025250D">
        <w:rPr>
          <w:rFonts w:hint="cs"/>
          <w:rtl/>
        </w:rPr>
        <w:t xml:space="preserve"> و دیگر ابزار‌ها نیاز داریم. انجمن ملی خدمات مشتریان</w:t>
      </w:r>
      <w:r w:rsidRPr="0025250D">
        <w:rPr>
          <w:vertAlign w:val="superscript"/>
          <w:rtl/>
        </w:rPr>
        <w:footnoteReference w:id="1107"/>
      </w:r>
      <w:r w:rsidRPr="0025250D">
        <w:rPr>
          <w:rFonts w:hint="cs"/>
          <w:rtl/>
        </w:rPr>
        <w:t xml:space="preserve"> (</w:t>
      </w:r>
      <w:r w:rsidRPr="0025250D">
        <w:t>NCSA</w:t>
      </w:r>
      <w:r w:rsidRPr="0025250D">
        <w:rPr>
          <w:rFonts w:hint="cs"/>
          <w:rtl/>
        </w:rPr>
        <w:t>) یک جامعه</w:t>
      </w:r>
      <w:r w:rsidRPr="0025250D">
        <w:rPr>
          <w:rFonts w:hint="cs"/>
        </w:rPr>
        <w:t>‌</w:t>
      </w:r>
      <w:r w:rsidRPr="0025250D">
        <w:rPr>
          <w:rFonts w:hint="cs"/>
          <w:rtl/>
        </w:rPr>
        <w:t xml:space="preserve"> برجسته برای رضایت مشتری است. برای دارایی‌های ناملموس، کتاب چگونگی اندازه گیری هر چیزی</w:t>
      </w:r>
      <w:r w:rsidRPr="0025250D">
        <w:rPr>
          <w:vertAlign w:val="superscript"/>
          <w:rtl/>
        </w:rPr>
        <w:footnoteReference w:id="1108"/>
      </w:r>
      <w:r w:rsidRPr="0025250D">
        <w:rPr>
          <w:rFonts w:hint="cs"/>
          <w:rtl/>
        </w:rPr>
        <w:t xml:space="preserve">، اثر </w:t>
      </w:r>
      <w:r w:rsidRPr="0025250D">
        <w:rPr>
          <w:rtl/>
        </w:rPr>
        <w:t>داگلاس هابارد</w:t>
      </w:r>
      <w:r w:rsidRPr="0025250D">
        <w:rPr>
          <w:vertAlign w:val="superscript"/>
          <w:rtl/>
        </w:rPr>
        <w:footnoteReference w:id="1109"/>
      </w:r>
      <w:r w:rsidRPr="0025250D">
        <w:rPr>
          <w:rFonts w:hint="cs"/>
          <w:rtl/>
        </w:rPr>
        <w:t xml:space="preserve"> در سال 2014 را ببینید.</w:t>
      </w:r>
    </w:p>
    <w:p w14:paraId="16C7EFA1" w14:textId="6C109DAE" w:rsidR="00537CC8" w:rsidRPr="0025250D" w:rsidRDefault="00537CC8" w:rsidP="00537CC8">
      <w:pPr>
        <w:rPr>
          <w:rtl/>
        </w:rPr>
      </w:pPr>
      <w:r w:rsidRPr="0025250D">
        <w:rPr>
          <w:rFonts w:hint="cs"/>
          <w:rtl/>
        </w:rPr>
        <w:t xml:space="preserve">2. </w:t>
      </w:r>
      <w:r w:rsidR="00127288" w:rsidRPr="0025250D">
        <w:rPr>
          <w:rFonts w:hint="cs"/>
          <w:b/>
          <w:bCs/>
          <w:rtl/>
        </w:rPr>
        <w:t>بدیل</w:t>
      </w:r>
      <w:r w:rsidRPr="0025250D">
        <w:rPr>
          <w:rFonts w:hint="cs"/>
          <w:b/>
          <w:bCs/>
          <w:rtl/>
        </w:rPr>
        <w:t xml:space="preserve">‌ها و فرانامه‌ها </w:t>
      </w:r>
      <w:r w:rsidRPr="0025250D">
        <w:rPr>
          <w:rFonts w:cs="Times New Roman" w:hint="cs"/>
          <w:rtl/>
        </w:rPr>
        <w:t>–</w:t>
      </w:r>
      <w:r w:rsidRPr="0025250D">
        <w:rPr>
          <w:rFonts w:hint="cs"/>
          <w:rtl/>
        </w:rPr>
        <w:t xml:space="preserve"> انجمن </w:t>
      </w:r>
      <w:r w:rsidR="00D30084" w:rsidRPr="0025250D">
        <w:rPr>
          <w:rFonts w:hint="cs"/>
          <w:rtl/>
        </w:rPr>
        <w:t>آینده‌نگار</w:t>
      </w:r>
      <w:r w:rsidRPr="0025250D">
        <w:rPr>
          <w:rFonts w:hint="cs"/>
          <w:rtl/>
        </w:rPr>
        <w:t>ان حرفه</w:t>
      </w:r>
      <w:r w:rsidR="00986DEE" w:rsidRPr="0025250D">
        <w:rPr>
          <w:rFonts w:hint="cs"/>
          <w:rtl/>
        </w:rPr>
        <w:t>‌</w:t>
      </w:r>
      <w:r w:rsidRPr="0025250D">
        <w:rPr>
          <w:rFonts w:hint="cs"/>
          <w:rtl/>
        </w:rPr>
        <w:t>ای</w:t>
      </w:r>
      <w:r w:rsidRPr="0025250D">
        <w:rPr>
          <w:vertAlign w:val="superscript"/>
          <w:rtl/>
        </w:rPr>
        <w:footnoteReference w:id="1110"/>
      </w:r>
      <w:r w:rsidRPr="0025250D">
        <w:rPr>
          <w:rFonts w:hint="cs"/>
          <w:rtl/>
        </w:rPr>
        <w:t xml:space="preserve"> (</w:t>
      </w:r>
      <w:r w:rsidRPr="0025250D">
        <w:t>APF</w:t>
      </w:r>
      <w:r w:rsidRPr="0025250D">
        <w:rPr>
          <w:rFonts w:hint="cs"/>
          <w:rtl/>
        </w:rPr>
        <w:t>). از سال 2002. اکنون برترین جامعه</w:t>
      </w:r>
      <w:r w:rsidRPr="0025250D">
        <w:rPr>
          <w:rFonts w:hint="cs"/>
        </w:rPr>
        <w:t>‌</w:t>
      </w:r>
      <w:r w:rsidRPr="0025250D">
        <w:rPr>
          <w:rFonts w:hint="cs"/>
          <w:rtl/>
        </w:rPr>
        <w:t xml:space="preserve"> فعال در زمینه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است.</w:t>
      </w:r>
      <w:r w:rsidR="00986DEE" w:rsidRPr="0025250D">
        <w:rPr>
          <w:rFonts w:hint="cs"/>
          <w:rtl/>
        </w:rPr>
        <w:t xml:space="preserve"> دارای</w:t>
      </w:r>
      <w:r w:rsidRPr="0025250D">
        <w:rPr>
          <w:rFonts w:hint="cs"/>
          <w:rtl/>
        </w:rPr>
        <w:t xml:space="preserve"> تمرکز تجاری خوب. </w:t>
      </w:r>
      <w:r w:rsidR="00986DEE" w:rsidRPr="0025250D">
        <w:rPr>
          <w:rFonts w:hint="cs"/>
          <w:rtl/>
        </w:rPr>
        <w:t xml:space="preserve">برگزار کننده </w:t>
      </w:r>
      <w:r w:rsidRPr="0025250D">
        <w:rPr>
          <w:rFonts w:hint="cs"/>
          <w:rtl/>
        </w:rPr>
        <w:t>گردهم</w:t>
      </w:r>
      <w:r w:rsidR="00986DEE" w:rsidRPr="0025250D">
        <w:rPr>
          <w:rFonts w:hint="cs"/>
          <w:rtl/>
        </w:rPr>
        <w:t>‌</w:t>
      </w:r>
      <w:r w:rsidRPr="0025250D">
        <w:rPr>
          <w:rFonts w:hint="cs"/>
          <w:rtl/>
        </w:rPr>
        <w:t xml:space="preserve">آیی‌های منظم. </w:t>
      </w:r>
      <w:r w:rsidR="00CF59DF" w:rsidRPr="0025250D">
        <w:rPr>
          <w:rFonts w:hint="cs"/>
          <w:rtl/>
        </w:rPr>
        <w:t>جهت‌گیری</w:t>
      </w:r>
      <w:r w:rsidRPr="0025250D">
        <w:rPr>
          <w:rFonts w:hint="cs"/>
          <w:rtl/>
        </w:rPr>
        <w:t xml:space="preserve"> این گروه به طور مشخص به سمت بررسی آینده‌های ممکن (</w:t>
      </w:r>
      <w:r w:rsidR="00127288" w:rsidRPr="0025250D">
        <w:rPr>
          <w:rFonts w:hint="cs"/>
          <w:rtl/>
        </w:rPr>
        <w:t>بدیل</w:t>
      </w:r>
      <w:r w:rsidRPr="0025250D">
        <w:rPr>
          <w:rFonts w:hint="cs"/>
          <w:rtl/>
        </w:rPr>
        <w:t xml:space="preserve">‌ها و فرانامه ها) و </w:t>
      </w:r>
      <w:r w:rsidR="00EE4B64" w:rsidRPr="0025250D">
        <w:rPr>
          <w:rFonts w:hint="cs"/>
          <w:rtl/>
        </w:rPr>
        <w:t>چشم‌اندازسازی</w:t>
      </w:r>
      <w:r w:rsidRPr="0025250D">
        <w:rPr>
          <w:rFonts w:hint="cs"/>
          <w:rtl/>
        </w:rPr>
        <w:t xml:space="preserve"> آینده‌های مطلوب می‌باشد (تسهیل، تحلیل ذینفعان و غیره). آن‌ها تمرکز</w:t>
      </w:r>
      <w:r w:rsidR="00BB406C" w:rsidRPr="0025250D">
        <w:rPr>
          <w:rFonts w:hint="cs"/>
          <w:rtl/>
        </w:rPr>
        <w:t xml:space="preserve"> کم‌تر</w:t>
      </w:r>
      <w:r w:rsidRPr="0025250D">
        <w:rPr>
          <w:rFonts w:hint="cs"/>
          <w:rtl/>
        </w:rPr>
        <w:t xml:space="preserve">ی، درحال حاضر، بر </w:t>
      </w:r>
      <w:r w:rsidR="00FB6A7E" w:rsidRPr="0025250D">
        <w:rPr>
          <w:rFonts w:hint="cs"/>
          <w:rtl/>
        </w:rPr>
        <w:t>پیش‌نگری</w:t>
      </w:r>
      <w:r w:rsidRPr="0025250D">
        <w:rPr>
          <w:rFonts w:hint="cs"/>
          <w:rtl/>
        </w:rPr>
        <w:t xml:space="preserve">، </w:t>
      </w:r>
      <w:r w:rsidR="00D92F6E" w:rsidRPr="0025250D">
        <w:rPr>
          <w:rFonts w:hint="cs"/>
          <w:rtl/>
        </w:rPr>
        <w:t>پیش‌بین</w:t>
      </w:r>
      <w:r w:rsidRPr="0025250D">
        <w:rPr>
          <w:rFonts w:hint="cs"/>
          <w:rtl/>
        </w:rPr>
        <w:t xml:space="preserve">ی بازار‌ها و دیگر رویکرد‌ها برای آینده‌های محتمل دارند. برای این تخصص، </w:t>
      </w:r>
      <w:r w:rsidR="00FB6A7E" w:rsidRPr="0025250D">
        <w:rPr>
          <w:rFonts w:hint="cs"/>
          <w:rtl/>
        </w:rPr>
        <w:t>پیش‌نگری</w:t>
      </w:r>
      <w:r w:rsidRPr="0025250D">
        <w:rPr>
          <w:rFonts w:hint="cs"/>
          <w:rtl/>
        </w:rPr>
        <w:t xml:space="preserve"> و </w:t>
      </w:r>
      <w:r w:rsidR="00D92F6E" w:rsidRPr="0025250D">
        <w:rPr>
          <w:rFonts w:hint="cs"/>
          <w:rtl/>
        </w:rPr>
        <w:t>پیش‌بین</w:t>
      </w:r>
      <w:r w:rsidRPr="0025250D">
        <w:rPr>
          <w:rFonts w:hint="cs"/>
          <w:rtl/>
        </w:rPr>
        <w:t>ی را مطالعه نمایید.</w:t>
      </w:r>
    </w:p>
    <w:p w14:paraId="0F40AFBC" w14:textId="39C6CDCF" w:rsidR="00537CC8" w:rsidRPr="0025250D" w:rsidRDefault="00537CC8" w:rsidP="00537CC8">
      <w:pPr>
        <w:rPr>
          <w:rtl/>
        </w:rPr>
      </w:pPr>
      <w:r w:rsidRPr="0025250D">
        <w:rPr>
          <w:rFonts w:hint="cs"/>
          <w:rtl/>
        </w:rPr>
        <w:t xml:space="preserve">3. </w:t>
      </w:r>
      <w:r w:rsidRPr="0025250D">
        <w:rPr>
          <w:b/>
          <w:bCs/>
          <w:rtl/>
        </w:rPr>
        <w:t>تجز</w:t>
      </w:r>
      <w:r w:rsidRPr="0025250D">
        <w:rPr>
          <w:rFonts w:hint="cs"/>
          <w:b/>
          <w:bCs/>
          <w:rtl/>
        </w:rPr>
        <w:t>ی</w:t>
      </w:r>
      <w:r w:rsidRPr="0025250D">
        <w:rPr>
          <w:rFonts w:hint="eastAsia"/>
          <w:b/>
          <w:bCs/>
          <w:rtl/>
        </w:rPr>
        <w:t>ه</w:t>
      </w:r>
      <w:r w:rsidRPr="0025250D">
        <w:rPr>
          <w:b/>
          <w:bCs/>
          <w:rtl/>
        </w:rPr>
        <w:t xml:space="preserve"> و تحل</w:t>
      </w:r>
      <w:r w:rsidRPr="0025250D">
        <w:rPr>
          <w:rFonts w:hint="cs"/>
          <w:b/>
          <w:bCs/>
          <w:rtl/>
        </w:rPr>
        <w:t>ی</w:t>
      </w:r>
      <w:r w:rsidRPr="0025250D">
        <w:rPr>
          <w:rFonts w:hint="eastAsia"/>
          <w:b/>
          <w:bCs/>
          <w:rtl/>
        </w:rPr>
        <w:t>ل</w:t>
      </w:r>
      <w:r w:rsidRPr="0025250D">
        <w:rPr>
          <w:b/>
          <w:bCs/>
          <w:rtl/>
        </w:rPr>
        <w:t xml:space="preserve"> و پشت</w:t>
      </w:r>
      <w:r w:rsidRPr="0025250D">
        <w:rPr>
          <w:rFonts w:hint="cs"/>
          <w:b/>
          <w:bCs/>
          <w:rtl/>
        </w:rPr>
        <w:t>ی</w:t>
      </w:r>
      <w:r w:rsidRPr="0025250D">
        <w:rPr>
          <w:rFonts w:hint="eastAsia"/>
          <w:b/>
          <w:bCs/>
          <w:rtl/>
        </w:rPr>
        <w:t>بان</w:t>
      </w:r>
      <w:r w:rsidRPr="0025250D">
        <w:rPr>
          <w:rFonts w:hint="cs"/>
          <w:b/>
          <w:bCs/>
          <w:rtl/>
        </w:rPr>
        <w:t>ی</w:t>
      </w:r>
      <w:r w:rsidRPr="0025250D">
        <w:rPr>
          <w:b/>
          <w:bCs/>
          <w:rtl/>
        </w:rPr>
        <w:t xml:space="preserve"> تصم</w:t>
      </w:r>
      <w:r w:rsidRPr="0025250D">
        <w:rPr>
          <w:rFonts w:hint="cs"/>
          <w:b/>
          <w:bCs/>
          <w:rtl/>
        </w:rPr>
        <w:t>ی</w:t>
      </w:r>
      <w:r w:rsidRPr="0025250D">
        <w:rPr>
          <w:rFonts w:hint="eastAsia"/>
          <w:b/>
          <w:bCs/>
          <w:rtl/>
        </w:rPr>
        <w:t>م</w:t>
      </w:r>
      <w:r w:rsidRPr="0025250D">
        <w:rPr>
          <w:rFonts w:hint="cs"/>
          <w:b/>
          <w:bCs/>
          <w:rtl/>
        </w:rPr>
        <w:t xml:space="preserve"> </w:t>
      </w:r>
      <w:r w:rsidRPr="0025250D">
        <w:rPr>
          <w:rFonts w:cs="Times New Roman" w:hint="cs"/>
          <w:rtl/>
        </w:rPr>
        <w:t>–</w:t>
      </w:r>
      <w:r w:rsidRPr="0025250D">
        <w:rPr>
          <w:rFonts w:hint="cs"/>
          <w:rtl/>
        </w:rPr>
        <w:t xml:space="preserve"> </w:t>
      </w:r>
      <w:r w:rsidRPr="0025250D">
        <w:rPr>
          <w:rtl/>
        </w:rPr>
        <w:t xml:space="preserve">موسسه </w:t>
      </w:r>
      <w:r w:rsidRPr="0025250D">
        <w:rPr>
          <w:rFonts w:hint="cs"/>
          <w:rtl/>
        </w:rPr>
        <w:t>پژوهش عملیاتی</w:t>
      </w:r>
      <w:r w:rsidRPr="0025250D">
        <w:rPr>
          <w:rtl/>
        </w:rPr>
        <w:t xml:space="preserve"> و علوم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vertAlign w:val="superscript"/>
          <w:rtl/>
        </w:rPr>
        <w:footnoteReference w:id="1111"/>
      </w:r>
      <w:r w:rsidRPr="0025250D">
        <w:rPr>
          <w:rFonts w:hint="cs"/>
          <w:rtl/>
        </w:rPr>
        <w:t xml:space="preserve"> (</w:t>
      </w:r>
      <w:r w:rsidRPr="0025250D">
        <w:t>INFORMS</w:t>
      </w:r>
      <w:r w:rsidRPr="0025250D">
        <w:rPr>
          <w:rFonts w:hint="cs"/>
          <w:rtl/>
        </w:rPr>
        <w:t>). از سال 1995. پیش</w:t>
      </w:r>
      <w:r w:rsidR="00986DEE" w:rsidRPr="0025250D">
        <w:rPr>
          <w:rFonts w:hint="cs"/>
          <w:rtl/>
        </w:rPr>
        <w:t>‌</w:t>
      </w:r>
      <w:r w:rsidRPr="0025250D">
        <w:rPr>
          <w:rFonts w:hint="cs"/>
          <w:rtl/>
        </w:rPr>
        <w:t xml:space="preserve">برد پژوهش عملیاتی، علوم مدیریتی و تجزیه و تحلیل داده. </w:t>
      </w:r>
      <w:r w:rsidR="00986DEE" w:rsidRPr="0025250D">
        <w:rPr>
          <w:rFonts w:hint="cs"/>
          <w:rtl/>
        </w:rPr>
        <w:t xml:space="preserve">برگزارکننده </w:t>
      </w:r>
      <w:r w:rsidRPr="0025250D">
        <w:rPr>
          <w:rFonts w:hint="cs"/>
          <w:rtl/>
        </w:rPr>
        <w:t xml:space="preserve">کنفرانس سالانه و کنفرانس تحلیل </w:t>
      </w:r>
      <w:r w:rsidR="00B124DE" w:rsidRPr="0025250D">
        <w:rPr>
          <w:rFonts w:hint="cs"/>
          <w:rtl/>
        </w:rPr>
        <w:t>کسب‌و‌کار</w:t>
      </w:r>
      <w:r w:rsidRPr="0025250D">
        <w:rPr>
          <w:rFonts w:hint="cs"/>
          <w:rtl/>
        </w:rPr>
        <w:t xml:space="preserve">. </w:t>
      </w:r>
      <w:r w:rsidR="00986DEE" w:rsidRPr="0025250D">
        <w:rPr>
          <w:rFonts w:hint="cs"/>
          <w:rtl/>
        </w:rPr>
        <w:t xml:space="preserve">دارای </w:t>
      </w:r>
      <w:r w:rsidRPr="0025250D">
        <w:rPr>
          <w:rFonts w:hint="cs"/>
          <w:rtl/>
        </w:rPr>
        <w:t xml:space="preserve">بخش‌های متعدد. </w:t>
      </w:r>
      <w:r w:rsidR="00986DEE" w:rsidRPr="0025250D">
        <w:rPr>
          <w:rFonts w:hint="cs"/>
          <w:rtl/>
        </w:rPr>
        <w:t>منتشرکننده</w:t>
      </w:r>
      <w:r w:rsidRPr="0025250D">
        <w:rPr>
          <w:rFonts w:hint="cs"/>
          <w:rtl/>
        </w:rPr>
        <w:t xml:space="preserve"> 13 مجله؛ </w:t>
      </w:r>
      <w:r w:rsidR="00986DEE" w:rsidRPr="0025250D">
        <w:rPr>
          <w:rFonts w:hint="cs"/>
          <w:rtl/>
        </w:rPr>
        <w:t xml:space="preserve">حامی </w:t>
      </w:r>
      <w:r w:rsidRPr="0025250D">
        <w:rPr>
          <w:rFonts w:hint="cs"/>
          <w:rtl/>
        </w:rPr>
        <w:t xml:space="preserve">کارگروه اروپایی در مورد </w:t>
      </w:r>
      <w:r w:rsidR="008D6F97" w:rsidRPr="0025250D">
        <w:rPr>
          <w:rFonts w:hint="cs"/>
          <w:rtl/>
        </w:rPr>
        <w:t>سامانه‌</w:t>
      </w:r>
      <w:r w:rsidRPr="0025250D">
        <w:rPr>
          <w:rFonts w:hint="cs"/>
          <w:rtl/>
        </w:rPr>
        <w:t>‌های پشتیبانی از تصمیم</w:t>
      </w:r>
      <w:r w:rsidRPr="0025250D">
        <w:rPr>
          <w:vertAlign w:val="superscript"/>
          <w:rtl/>
        </w:rPr>
        <w:footnoteReference w:id="1112"/>
      </w:r>
      <w:r w:rsidRPr="0025250D">
        <w:rPr>
          <w:rFonts w:hint="cs"/>
          <w:rtl/>
        </w:rPr>
        <w:t xml:space="preserve"> (</w:t>
      </w:r>
      <w:r w:rsidRPr="0025250D">
        <w:t>EWG-DSS</w:t>
      </w:r>
      <w:r w:rsidRPr="0025250D">
        <w:rPr>
          <w:rFonts w:hint="cs"/>
          <w:rtl/>
        </w:rPr>
        <w:t xml:space="preserve">). </w:t>
      </w:r>
      <w:r w:rsidR="00986DEE" w:rsidRPr="0025250D">
        <w:rPr>
          <w:rFonts w:hint="cs"/>
          <w:rtl/>
        </w:rPr>
        <w:t xml:space="preserve">برگزارکننده </w:t>
      </w:r>
      <w:r w:rsidRPr="0025250D">
        <w:rPr>
          <w:rFonts w:hint="cs"/>
          <w:rtl/>
        </w:rPr>
        <w:t>کنفرانس سالانه</w:t>
      </w:r>
      <w:r w:rsidRPr="0025250D">
        <w:rPr>
          <w:rFonts w:hint="cs"/>
        </w:rPr>
        <w:t>‌</w:t>
      </w:r>
      <w:r w:rsidRPr="0025250D">
        <w:rPr>
          <w:rFonts w:hint="cs"/>
          <w:rtl/>
        </w:rPr>
        <w:t xml:space="preserve"> بین المللی در مورد </w:t>
      </w:r>
      <w:r w:rsidR="007A53FD" w:rsidRPr="0025250D">
        <w:rPr>
          <w:rFonts w:hint="cs"/>
          <w:rtl/>
        </w:rPr>
        <w:t>فناوری</w:t>
      </w:r>
      <w:r w:rsidRPr="0025250D">
        <w:rPr>
          <w:rFonts w:hint="cs"/>
          <w:rtl/>
        </w:rPr>
        <w:t xml:space="preserve"> </w:t>
      </w:r>
      <w:r w:rsidR="008D6F97" w:rsidRPr="0025250D">
        <w:rPr>
          <w:rFonts w:hint="cs"/>
          <w:rtl/>
        </w:rPr>
        <w:t>سامانه‌</w:t>
      </w:r>
      <w:r w:rsidRPr="0025250D">
        <w:rPr>
          <w:rFonts w:hint="cs"/>
          <w:rtl/>
        </w:rPr>
        <w:t xml:space="preserve"> پشتیبانی از تصمیم. </w:t>
      </w:r>
      <w:r w:rsidR="00986DEE" w:rsidRPr="0025250D">
        <w:rPr>
          <w:rFonts w:hint="cs"/>
          <w:rtl/>
        </w:rPr>
        <w:t xml:space="preserve">فعال در زمینه </w:t>
      </w:r>
      <w:r w:rsidRPr="0025250D">
        <w:rPr>
          <w:rFonts w:hint="cs"/>
          <w:rtl/>
        </w:rPr>
        <w:t xml:space="preserve">مدلسازی، </w:t>
      </w:r>
      <w:r w:rsidR="008D6F97" w:rsidRPr="0025250D">
        <w:rPr>
          <w:rFonts w:hint="cs"/>
          <w:rtl/>
        </w:rPr>
        <w:t>سامانه‌</w:t>
      </w:r>
      <w:r w:rsidRPr="0025250D">
        <w:rPr>
          <w:rFonts w:hint="cs"/>
          <w:rtl/>
        </w:rPr>
        <w:t xml:space="preserve">‌های خبره، مصورسازی داده‌ها، </w:t>
      </w:r>
      <w:r w:rsidRPr="0025250D">
        <w:t>GIS</w:t>
      </w:r>
      <w:r w:rsidRPr="0025250D">
        <w:rPr>
          <w:rFonts w:hint="cs"/>
          <w:rtl/>
        </w:rPr>
        <w:t xml:space="preserve">، </w:t>
      </w:r>
      <w:r w:rsidR="0008779C" w:rsidRPr="0025250D">
        <w:rPr>
          <w:rFonts w:hint="cs"/>
          <w:rtl/>
        </w:rPr>
        <w:t>تصمیم‌گیری</w:t>
      </w:r>
      <w:r w:rsidRPr="0025250D">
        <w:rPr>
          <w:rFonts w:hint="cs"/>
          <w:rtl/>
        </w:rPr>
        <w:t xml:space="preserve"> و پشتیبانی.</w:t>
      </w:r>
    </w:p>
    <w:p w14:paraId="3FA27446" w14:textId="3C98238D" w:rsidR="00537CC8" w:rsidRPr="0025250D" w:rsidRDefault="00537CC8" w:rsidP="00537CC8">
      <w:pPr>
        <w:rPr>
          <w:rtl/>
        </w:rPr>
      </w:pPr>
      <w:r w:rsidRPr="0025250D">
        <w:rPr>
          <w:rFonts w:hint="cs"/>
          <w:rtl/>
        </w:rPr>
        <w:t xml:space="preserve">4. </w:t>
      </w:r>
      <w:r w:rsidRPr="0025250D">
        <w:rPr>
          <w:rFonts w:hint="cs"/>
          <w:b/>
          <w:bCs/>
          <w:rtl/>
        </w:rPr>
        <w:t>حسابرسی و مدیریت تغییر</w:t>
      </w:r>
      <w:r w:rsidRPr="0025250D">
        <w:rPr>
          <w:rFonts w:hint="cs"/>
          <w:rtl/>
        </w:rPr>
        <w:t xml:space="preserve"> </w:t>
      </w:r>
      <w:r w:rsidRPr="0025250D">
        <w:rPr>
          <w:rFonts w:cs="Times New Roman" w:hint="cs"/>
          <w:rtl/>
        </w:rPr>
        <w:t>–</w:t>
      </w:r>
      <w:r w:rsidRPr="0025250D">
        <w:rPr>
          <w:rFonts w:hint="cs"/>
          <w:rtl/>
        </w:rPr>
        <w:t xml:space="preserve"> مؤسسه</w:t>
      </w:r>
      <w:r w:rsidRPr="0025250D">
        <w:rPr>
          <w:rFonts w:hint="cs"/>
        </w:rPr>
        <w:t>‌</w:t>
      </w:r>
      <w:r w:rsidRPr="0025250D">
        <w:rPr>
          <w:rFonts w:hint="cs"/>
          <w:rtl/>
        </w:rPr>
        <w:t xml:space="preserve"> حسابرسان داخلی</w:t>
      </w:r>
      <w:r w:rsidRPr="0025250D">
        <w:rPr>
          <w:vertAlign w:val="superscript"/>
          <w:rtl/>
        </w:rPr>
        <w:footnoteReference w:id="1113"/>
      </w:r>
      <w:r w:rsidRPr="0025250D">
        <w:rPr>
          <w:rFonts w:hint="cs"/>
          <w:rtl/>
        </w:rPr>
        <w:t xml:space="preserve"> (</w:t>
      </w:r>
      <w:r w:rsidRPr="0025250D">
        <w:t>IIA</w:t>
      </w:r>
      <w:r w:rsidRPr="0025250D">
        <w:rPr>
          <w:rFonts w:hint="cs"/>
          <w:rtl/>
        </w:rPr>
        <w:t xml:space="preserve">). از سال 1941. </w:t>
      </w:r>
      <w:r w:rsidR="00D5543B" w:rsidRPr="0025250D">
        <w:rPr>
          <w:rFonts w:hint="cs"/>
          <w:rtl/>
        </w:rPr>
        <w:t xml:space="preserve">ارائه‌دهنده </w:t>
      </w:r>
      <w:r w:rsidRPr="0025250D">
        <w:rPr>
          <w:rFonts w:hint="cs"/>
          <w:rtl/>
        </w:rPr>
        <w:t xml:space="preserve">گواهینامه‌ها و </w:t>
      </w:r>
      <w:r w:rsidR="00D5543B" w:rsidRPr="0025250D">
        <w:rPr>
          <w:rFonts w:hint="cs"/>
          <w:rtl/>
        </w:rPr>
        <w:t xml:space="preserve">برگزارکننده </w:t>
      </w:r>
      <w:r w:rsidRPr="0025250D">
        <w:rPr>
          <w:rFonts w:hint="cs"/>
          <w:rtl/>
        </w:rPr>
        <w:t>کنفرانس ها. حسابرسی یک مهارت حیاتی است که دقت و صحت حسابداری و سنجه‌ها را برای رهبران تایید می‌کند. بسیاری از شرکت‌ها آن را نادیده می‌گیرند؛ انجمن متخصصین مدیریت تغییر</w:t>
      </w:r>
      <w:r w:rsidRPr="0025250D">
        <w:rPr>
          <w:vertAlign w:val="superscript"/>
          <w:rtl/>
        </w:rPr>
        <w:footnoteReference w:id="1114"/>
      </w:r>
      <w:r w:rsidRPr="0025250D">
        <w:rPr>
          <w:rFonts w:hint="cs"/>
          <w:rtl/>
        </w:rPr>
        <w:t xml:space="preserve"> (</w:t>
      </w:r>
      <w:r w:rsidRPr="0025250D">
        <w:t>ACMP</w:t>
      </w:r>
      <w:r w:rsidRPr="0025250D">
        <w:rPr>
          <w:rFonts w:hint="cs"/>
          <w:rtl/>
        </w:rPr>
        <w:t xml:space="preserve">). از سال 2009. استانداردسازی و ترویج نظام مدیریت تغییر که به دنبال تشخیص مسائل و متحول سازی شرکت هاست. دارای هفت بخش. </w:t>
      </w:r>
      <w:r w:rsidR="00D5543B" w:rsidRPr="0025250D">
        <w:rPr>
          <w:rFonts w:hint="cs"/>
          <w:rtl/>
        </w:rPr>
        <w:t xml:space="preserve">برگزارکننده </w:t>
      </w:r>
      <w:r w:rsidRPr="0025250D">
        <w:rPr>
          <w:rFonts w:hint="cs"/>
          <w:rtl/>
        </w:rPr>
        <w:t>کنفرانس سالانه (900 نفر شرکت کننده).</w:t>
      </w:r>
    </w:p>
    <w:p w14:paraId="56536504" w14:textId="68942111" w:rsidR="00537CC8" w:rsidRPr="0025250D" w:rsidRDefault="00537CC8" w:rsidP="00537CC8">
      <w:pPr>
        <w:rPr>
          <w:rtl/>
        </w:rPr>
      </w:pPr>
      <w:r w:rsidRPr="0025250D">
        <w:rPr>
          <w:rFonts w:hint="cs"/>
          <w:rtl/>
        </w:rPr>
        <w:t xml:space="preserve">5. </w:t>
      </w:r>
      <w:r w:rsidRPr="0025250D">
        <w:rPr>
          <w:rFonts w:hint="cs"/>
          <w:b/>
          <w:bCs/>
          <w:rtl/>
        </w:rPr>
        <w:t>محک زنی و کیفیت</w:t>
      </w:r>
      <w:r w:rsidRPr="0025250D">
        <w:rPr>
          <w:rFonts w:hint="cs"/>
          <w:rtl/>
        </w:rPr>
        <w:t xml:space="preserve"> </w:t>
      </w:r>
      <w:r w:rsidRPr="0025250D">
        <w:rPr>
          <w:rFonts w:cs="Times New Roman" w:hint="cs"/>
          <w:rtl/>
        </w:rPr>
        <w:t>–</w:t>
      </w:r>
      <w:r w:rsidRPr="0025250D">
        <w:rPr>
          <w:rFonts w:hint="cs"/>
          <w:rtl/>
        </w:rPr>
        <w:t xml:space="preserve"> محک زنی یا تعیین بهترین روش‌ها (</w:t>
      </w:r>
      <w:r w:rsidR="0063099E" w:rsidRPr="0025250D">
        <w:rPr>
          <w:rtl/>
        </w:rPr>
        <w:t>«</w:t>
      </w:r>
      <w:r w:rsidRPr="0025250D">
        <w:rPr>
          <w:rFonts w:hint="cs"/>
          <w:rtl/>
        </w:rPr>
        <w:t>کیفیت</w:t>
      </w:r>
      <w:r w:rsidR="0063099E" w:rsidRPr="0025250D">
        <w:rPr>
          <w:rtl/>
        </w:rPr>
        <w:t>»</w:t>
      </w:r>
      <w:r w:rsidRPr="0025250D">
        <w:rPr>
          <w:rFonts w:hint="cs"/>
          <w:rtl/>
        </w:rPr>
        <w:t xml:space="preserve">، در سطح شرکتی) با نگاه به محیط رقابتی، یک گام کلیدی در </w:t>
      </w:r>
      <w:r w:rsidR="00701E03" w:rsidRPr="0025250D">
        <w:rPr>
          <w:rFonts w:hint="cs"/>
          <w:rtl/>
        </w:rPr>
        <w:t>راهبرد</w:t>
      </w:r>
      <w:r w:rsidRPr="0025250D">
        <w:rPr>
          <w:rFonts w:hint="cs"/>
          <w:rtl/>
        </w:rPr>
        <w:t xml:space="preserve"> شرکتی است. شبکه</w:t>
      </w:r>
      <w:r w:rsidRPr="0025250D">
        <w:rPr>
          <w:rFonts w:hint="cs"/>
        </w:rPr>
        <w:t>‌</w:t>
      </w:r>
      <w:r w:rsidRPr="0025250D">
        <w:rPr>
          <w:rFonts w:hint="cs"/>
          <w:rtl/>
        </w:rPr>
        <w:t xml:space="preserve"> محک زنی</w:t>
      </w:r>
      <w:r w:rsidRPr="0025250D">
        <w:rPr>
          <w:vertAlign w:val="superscript"/>
          <w:rtl/>
        </w:rPr>
        <w:footnoteReference w:id="1115"/>
      </w:r>
      <w:r w:rsidRPr="0025250D">
        <w:rPr>
          <w:rFonts w:hint="cs"/>
          <w:rtl/>
        </w:rPr>
        <w:t xml:space="preserve"> (</w:t>
      </w:r>
      <w:r w:rsidRPr="0025250D">
        <w:t>BN</w:t>
      </w:r>
      <w:r w:rsidRPr="0025250D">
        <w:rPr>
          <w:rFonts w:hint="cs"/>
          <w:rtl/>
        </w:rPr>
        <w:t>) انجمن‌های محک زنی صنعتی متنوعی را فهرست می‌کند. یک مورد خوب برای شروع مؤسسه</w:t>
      </w:r>
      <w:r w:rsidRPr="0025250D">
        <w:rPr>
          <w:rFonts w:hint="cs"/>
        </w:rPr>
        <w:t>‌</w:t>
      </w:r>
      <w:r w:rsidRPr="0025250D">
        <w:rPr>
          <w:rFonts w:hint="cs"/>
          <w:rtl/>
        </w:rPr>
        <w:t xml:space="preserve"> کارت امتیازی متوازن</w:t>
      </w:r>
      <w:r w:rsidRPr="0025250D">
        <w:rPr>
          <w:vertAlign w:val="superscript"/>
          <w:rtl/>
        </w:rPr>
        <w:footnoteReference w:id="1116"/>
      </w:r>
      <w:r w:rsidRPr="0025250D">
        <w:rPr>
          <w:rFonts w:hint="cs"/>
          <w:rtl/>
        </w:rPr>
        <w:t xml:space="preserve"> (</w:t>
      </w:r>
      <w:r w:rsidRPr="0025250D">
        <w:t>BSI</w:t>
      </w:r>
      <w:r w:rsidRPr="0025250D">
        <w:rPr>
          <w:rFonts w:hint="cs"/>
          <w:rtl/>
        </w:rPr>
        <w:t>) است. از سال 1997. کارت‌های امتیازی متوازن یک ابزار محک زنی بسیار مهم هستند. گواهینامه ها. 5000 نفر فعال؛ جامعه</w:t>
      </w:r>
      <w:r w:rsidRPr="0025250D">
        <w:rPr>
          <w:rFonts w:hint="cs"/>
        </w:rPr>
        <w:t>‌</w:t>
      </w:r>
      <w:r w:rsidRPr="0025250D">
        <w:rPr>
          <w:rFonts w:hint="cs"/>
          <w:rtl/>
        </w:rPr>
        <w:t xml:space="preserve"> کیفیت آمریکا</w:t>
      </w:r>
      <w:r w:rsidRPr="0025250D">
        <w:rPr>
          <w:vertAlign w:val="superscript"/>
          <w:rtl/>
        </w:rPr>
        <w:footnoteReference w:id="1117"/>
      </w:r>
      <w:r w:rsidRPr="0025250D">
        <w:rPr>
          <w:rFonts w:hint="cs"/>
          <w:rtl/>
        </w:rPr>
        <w:t xml:space="preserve"> (</w:t>
      </w:r>
      <w:r w:rsidRPr="0025250D">
        <w:t>ASQ</w:t>
      </w:r>
      <w:r w:rsidRPr="0025250D">
        <w:rPr>
          <w:rFonts w:hint="cs"/>
          <w:rtl/>
        </w:rPr>
        <w:t>). از سال 1946. ترویج انجام بازخورد عملکردی و بهبود کیفیت دائمی (</w:t>
      </w:r>
      <w:r w:rsidRPr="0025250D">
        <w:t>TQM</w:t>
      </w:r>
      <w:r w:rsidRPr="0025250D">
        <w:rPr>
          <w:rFonts w:hint="cs"/>
          <w:rtl/>
        </w:rPr>
        <w:t>، شش سیگما ناب</w:t>
      </w:r>
      <w:r w:rsidRPr="0025250D">
        <w:rPr>
          <w:vertAlign w:val="superscript"/>
          <w:rtl/>
        </w:rPr>
        <w:footnoteReference w:id="1118"/>
      </w:r>
      <w:r w:rsidRPr="0025250D">
        <w:rPr>
          <w:rFonts w:hint="cs"/>
          <w:rtl/>
        </w:rPr>
        <w:t xml:space="preserve"> و غیره).</w:t>
      </w:r>
      <w:r w:rsidR="00AA6501" w:rsidRPr="0025250D">
        <w:rPr>
          <w:rFonts w:hint="cs"/>
          <w:rtl/>
        </w:rPr>
        <w:t xml:space="preserve"> دارای</w:t>
      </w:r>
      <w:r w:rsidRPr="0025250D">
        <w:rPr>
          <w:rFonts w:hint="cs"/>
          <w:rtl/>
        </w:rPr>
        <w:t xml:space="preserve"> 80 هزار نفر عضو. </w:t>
      </w:r>
      <w:r w:rsidR="00AA6501" w:rsidRPr="0025250D">
        <w:rPr>
          <w:rFonts w:hint="cs"/>
          <w:rtl/>
        </w:rPr>
        <w:t xml:space="preserve">ارائه‌دهنده </w:t>
      </w:r>
      <w:r w:rsidRPr="0025250D">
        <w:rPr>
          <w:rFonts w:hint="cs"/>
          <w:rtl/>
        </w:rPr>
        <w:t xml:space="preserve">گواهینامه‌ها و کنفرانس‌های مختلف. </w:t>
      </w:r>
      <w:r w:rsidR="00206F11" w:rsidRPr="0025250D">
        <w:rPr>
          <w:rFonts w:hint="cs"/>
          <w:rtl/>
        </w:rPr>
        <w:t xml:space="preserve">منتشر کننده </w:t>
      </w:r>
      <w:r w:rsidRPr="0025250D">
        <w:rPr>
          <w:rFonts w:hint="cs"/>
          <w:rtl/>
        </w:rPr>
        <w:t>هشت مجله و ژورنال.</w:t>
      </w:r>
    </w:p>
    <w:p w14:paraId="58571E26" w14:textId="3A947C0A" w:rsidR="00537CC8" w:rsidRPr="0025250D" w:rsidRDefault="00537CC8" w:rsidP="00537CC8">
      <w:pPr>
        <w:rPr>
          <w:rtl/>
        </w:rPr>
      </w:pPr>
      <w:r w:rsidRPr="0025250D">
        <w:rPr>
          <w:rFonts w:hint="cs"/>
          <w:rtl/>
        </w:rPr>
        <w:t xml:space="preserve">6. </w:t>
      </w:r>
      <w:r w:rsidRPr="0025250D">
        <w:rPr>
          <w:rFonts w:hint="cs"/>
          <w:b/>
          <w:bCs/>
          <w:rtl/>
        </w:rPr>
        <w:t>علوم داده و یادگیری ماشین</w:t>
      </w:r>
      <w:r w:rsidRPr="0025250D">
        <w:rPr>
          <w:rFonts w:hint="cs"/>
          <w:rtl/>
        </w:rPr>
        <w:t xml:space="preserve"> </w:t>
      </w:r>
      <w:r w:rsidRPr="0025250D">
        <w:rPr>
          <w:rFonts w:cs="Times New Roman" w:hint="cs"/>
          <w:rtl/>
        </w:rPr>
        <w:t>–</w:t>
      </w:r>
      <w:r w:rsidRPr="0025250D">
        <w:rPr>
          <w:rFonts w:hint="cs"/>
          <w:rtl/>
        </w:rPr>
        <w:t xml:space="preserve"> جامعه</w:t>
      </w:r>
      <w:r w:rsidRPr="0025250D">
        <w:rPr>
          <w:rFonts w:hint="cs"/>
        </w:rPr>
        <w:t>‌</w:t>
      </w:r>
      <w:r w:rsidRPr="0025250D">
        <w:rPr>
          <w:rFonts w:hint="cs"/>
          <w:rtl/>
        </w:rPr>
        <w:t xml:space="preserve"> علوم داده باز</w:t>
      </w:r>
      <w:r w:rsidRPr="0025250D">
        <w:rPr>
          <w:vertAlign w:val="superscript"/>
          <w:rtl/>
        </w:rPr>
        <w:footnoteReference w:id="1119"/>
      </w:r>
      <w:r w:rsidRPr="0025250D">
        <w:rPr>
          <w:rFonts w:hint="cs"/>
          <w:rtl/>
        </w:rPr>
        <w:t xml:space="preserve"> (</w:t>
      </w:r>
      <w:r w:rsidRPr="0025250D">
        <w:t>OSDC</w:t>
      </w:r>
      <w:r w:rsidRPr="0025250D">
        <w:rPr>
          <w:rFonts w:hint="cs"/>
          <w:rtl/>
        </w:rPr>
        <w:t>).</w:t>
      </w:r>
      <w:r w:rsidR="00206F11" w:rsidRPr="0025250D">
        <w:rPr>
          <w:rFonts w:hint="cs"/>
          <w:rtl/>
        </w:rPr>
        <w:t xml:space="preserve"> دارای</w:t>
      </w:r>
      <w:r w:rsidRPr="0025250D">
        <w:rPr>
          <w:rFonts w:hint="cs"/>
          <w:rtl/>
        </w:rPr>
        <w:t xml:space="preserve"> 140 هزار نفر عضو.</w:t>
      </w:r>
      <w:r w:rsidR="00206F11" w:rsidRPr="0025250D">
        <w:rPr>
          <w:rFonts w:hint="cs"/>
          <w:rtl/>
        </w:rPr>
        <w:t xml:space="preserve"> برگزارکننده</w:t>
      </w:r>
      <w:r w:rsidRPr="0025250D">
        <w:rPr>
          <w:rFonts w:hint="cs"/>
          <w:rtl/>
        </w:rPr>
        <w:t xml:space="preserve"> یکی از بزرگترین کنفرانس‌ها در علم داده، علوم داده باز</w:t>
      </w:r>
      <w:r w:rsidRPr="0025250D">
        <w:rPr>
          <w:vertAlign w:val="superscript"/>
          <w:rtl/>
        </w:rPr>
        <w:footnoteReference w:id="1120"/>
      </w:r>
      <w:r w:rsidRPr="0025250D">
        <w:rPr>
          <w:rFonts w:hint="cs"/>
          <w:rtl/>
        </w:rPr>
        <w:t xml:space="preserve"> (آسیا، اروپا و آمریکای شمالی). علم داده شامل </w:t>
      </w:r>
      <w:r w:rsidRPr="0025250D">
        <w:rPr>
          <w:rtl/>
        </w:rPr>
        <w:t>تجز</w:t>
      </w:r>
      <w:r w:rsidRPr="0025250D">
        <w:rPr>
          <w:rFonts w:hint="cs"/>
          <w:rtl/>
        </w:rPr>
        <w:t>ی</w:t>
      </w:r>
      <w:r w:rsidRPr="0025250D">
        <w:rPr>
          <w:rFonts w:hint="eastAsia"/>
          <w:rtl/>
        </w:rPr>
        <w:t>ه</w:t>
      </w:r>
      <w:r w:rsidRPr="0025250D">
        <w:rPr>
          <w:rtl/>
        </w:rPr>
        <w:t xml:space="preserve"> و تحل</w:t>
      </w:r>
      <w:r w:rsidRPr="0025250D">
        <w:rPr>
          <w:rFonts w:hint="cs"/>
          <w:rtl/>
        </w:rPr>
        <w:t>ی</w:t>
      </w:r>
      <w:r w:rsidRPr="0025250D">
        <w:rPr>
          <w:rFonts w:hint="eastAsia"/>
          <w:rtl/>
        </w:rPr>
        <w:t>ل</w:t>
      </w:r>
      <w:r w:rsidRPr="0025250D">
        <w:rPr>
          <w:rtl/>
        </w:rPr>
        <w:t xml:space="preserve"> </w:t>
      </w:r>
      <w:r w:rsidR="00D92F6E" w:rsidRPr="0025250D">
        <w:rPr>
          <w:rtl/>
        </w:rPr>
        <w:t>پیش‌بین</w:t>
      </w:r>
      <w:r w:rsidRPr="0025250D">
        <w:rPr>
          <w:rFonts w:hint="cs"/>
          <w:rtl/>
        </w:rPr>
        <w:t>ی</w:t>
      </w:r>
      <w:r w:rsidRPr="0025250D">
        <w:rPr>
          <w:rtl/>
        </w:rPr>
        <w:t xml:space="preserve"> کننده</w:t>
      </w:r>
      <w:r w:rsidRPr="0025250D">
        <w:rPr>
          <w:vertAlign w:val="superscript"/>
          <w:rtl/>
        </w:rPr>
        <w:footnoteReference w:id="1121"/>
      </w:r>
      <w:r w:rsidRPr="0025250D">
        <w:rPr>
          <w:rFonts w:hint="cs"/>
          <w:rtl/>
        </w:rPr>
        <w:t xml:space="preserve"> (</w:t>
      </w:r>
      <w:r w:rsidRPr="0025250D">
        <w:t>PA</w:t>
      </w:r>
      <w:r w:rsidRPr="0025250D">
        <w:rPr>
          <w:rFonts w:hint="cs"/>
          <w:rtl/>
        </w:rPr>
        <w:t>) و زمینه</w:t>
      </w:r>
      <w:r w:rsidRPr="0025250D">
        <w:rPr>
          <w:rFonts w:hint="cs"/>
        </w:rPr>
        <w:t>‌</w:t>
      </w:r>
      <w:r w:rsidRPr="0025250D">
        <w:rPr>
          <w:rFonts w:hint="cs"/>
          <w:rtl/>
        </w:rPr>
        <w:t xml:space="preserve"> به سرعت در حال رشد یادگیری ماشین است (یا هوش مصنوعی). </w:t>
      </w:r>
      <w:r w:rsidRPr="0025250D">
        <w:t>OSDC</w:t>
      </w:r>
      <w:r w:rsidRPr="0025250D">
        <w:rPr>
          <w:rFonts w:hint="cs"/>
          <w:rtl/>
        </w:rPr>
        <w:t xml:space="preserve"> یک شتابدهنده اوج هوش مصنوعی</w:t>
      </w:r>
      <w:r w:rsidRPr="0025250D">
        <w:rPr>
          <w:vertAlign w:val="superscript"/>
          <w:rtl/>
        </w:rPr>
        <w:footnoteReference w:id="1122"/>
      </w:r>
      <w:r w:rsidRPr="0025250D">
        <w:rPr>
          <w:rFonts w:hint="cs"/>
          <w:rtl/>
        </w:rPr>
        <w:t xml:space="preserve"> را برای متخصصین </w:t>
      </w:r>
      <w:r w:rsidR="00B124DE" w:rsidRPr="0025250D">
        <w:rPr>
          <w:rFonts w:hint="cs"/>
          <w:rtl/>
        </w:rPr>
        <w:t>کسب‌و‌کار</w:t>
      </w:r>
      <w:r w:rsidRPr="0025250D">
        <w:rPr>
          <w:rFonts w:hint="cs"/>
          <w:rtl/>
        </w:rPr>
        <w:t xml:space="preserve"> و یک جامعه</w:t>
      </w:r>
      <w:r w:rsidRPr="0025250D">
        <w:rPr>
          <w:rFonts w:hint="cs"/>
        </w:rPr>
        <w:t>‌</w:t>
      </w:r>
      <w:r w:rsidRPr="0025250D">
        <w:rPr>
          <w:rFonts w:hint="cs"/>
          <w:rtl/>
        </w:rPr>
        <w:t xml:space="preserve"> شتابدهنده یادگیری هوش مصنوعی</w:t>
      </w:r>
      <w:r w:rsidRPr="0025250D">
        <w:rPr>
          <w:vertAlign w:val="superscript"/>
          <w:rtl/>
        </w:rPr>
        <w:footnoteReference w:id="1123"/>
      </w:r>
      <w:r w:rsidRPr="0025250D">
        <w:rPr>
          <w:rFonts w:hint="cs"/>
          <w:rtl/>
        </w:rPr>
        <w:t xml:space="preserve"> متمرکز بر تحلیل </w:t>
      </w:r>
      <w:r w:rsidR="00D92F6E" w:rsidRPr="0025250D">
        <w:rPr>
          <w:rFonts w:hint="cs"/>
          <w:rtl/>
        </w:rPr>
        <w:t>پیش‌بین</w:t>
      </w:r>
      <w:r w:rsidRPr="0025250D">
        <w:rPr>
          <w:rFonts w:hint="cs"/>
          <w:rtl/>
        </w:rPr>
        <w:t>ی کننده و یادگیری ماشین را هدایت می‌کند؛ کاگل</w:t>
      </w:r>
      <w:r w:rsidRPr="0025250D">
        <w:rPr>
          <w:vertAlign w:val="superscript"/>
          <w:rtl/>
        </w:rPr>
        <w:footnoteReference w:id="1124"/>
      </w:r>
      <w:r w:rsidRPr="0025250D">
        <w:rPr>
          <w:rFonts w:hint="cs"/>
          <w:rtl/>
        </w:rPr>
        <w:t>، پلتفرم برجسته</w:t>
      </w:r>
      <w:r w:rsidRPr="0025250D">
        <w:rPr>
          <w:rFonts w:hint="cs"/>
        </w:rPr>
        <w:t>‌</w:t>
      </w:r>
      <w:r w:rsidRPr="0025250D">
        <w:rPr>
          <w:rFonts w:hint="cs"/>
          <w:rtl/>
        </w:rPr>
        <w:t xml:space="preserve"> رقابتی حل مسئله در زمینه علوم داده و یادگیری کاگل</w:t>
      </w:r>
      <w:r w:rsidRPr="0025250D">
        <w:rPr>
          <w:vertAlign w:val="superscript"/>
          <w:rtl/>
        </w:rPr>
        <w:footnoteReference w:id="1125"/>
      </w:r>
      <w:r w:rsidRPr="0025250D">
        <w:rPr>
          <w:rFonts w:hint="cs"/>
          <w:rtl/>
        </w:rPr>
        <w:t xml:space="preserve"> که گواهینامه‌هایی در علوم داده ارائه می‌دهد؛ </w:t>
      </w:r>
      <w:r w:rsidRPr="0025250D">
        <w:rPr>
          <w:rtl/>
        </w:rPr>
        <w:t>انجمن تجز</w:t>
      </w:r>
      <w:r w:rsidRPr="0025250D">
        <w:rPr>
          <w:rFonts w:hint="cs"/>
          <w:rtl/>
        </w:rPr>
        <w:t>ی</w:t>
      </w:r>
      <w:r w:rsidRPr="0025250D">
        <w:rPr>
          <w:rFonts w:hint="eastAsia"/>
          <w:rtl/>
        </w:rPr>
        <w:t>ه</w:t>
      </w:r>
      <w:r w:rsidRPr="0025250D">
        <w:rPr>
          <w:rtl/>
        </w:rPr>
        <w:t xml:space="preserve"> و تحل</w:t>
      </w:r>
      <w:r w:rsidRPr="0025250D">
        <w:rPr>
          <w:rFonts w:hint="cs"/>
          <w:rtl/>
        </w:rPr>
        <w:t>ی</w:t>
      </w:r>
      <w:r w:rsidRPr="0025250D">
        <w:rPr>
          <w:rFonts w:hint="eastAsia"/>
          <w:rtl/>
        </w:rPr>
        <w:t>ل</w:t>
      </w:r>
      <w:r w:rsidRPr="0025250D">
        <w:rPr>
          <w:rtl/>
        </w:rPr>
        <w:t xml:space="preserve"> د</w:t>
      </w:r>
      <w:r w:rsidRPr="0025250D">
        <w:rPr>
          <w:rFonts w:hint="cs"/>
          <w:rtl/>
        </w:rPr>
        <w:t>ی</w:t>
      </w:r>
      <w:r w:rsidRPr="0025250D">
        <w:rPr>
          <w:rFonts w:hint="eastAsia"/>
          <w:rtl/>
        </w:rPr>
        <w:t>ج</w:t>
      </w:r>
      <w:r w:rsidRPr="0025250D">
        <w:rPr>
          <w:rFonts w:hint="cs"/>
          <w:rtl/>
        </w:rPr>
        <w:t>ی</w:t>
      </w:r>
      <w:r w:rsidRPr="0025250D">
        <w:rPr>
          <w:rFonts w:hint="eastAsia"/>
          <w:rtl/>
        </w:rPr>
        <w:t>تال</w:t>
      </w:r>
      <w:r w:rsidRPr="0025250D">
        <w:rPr>
          <w:vertAlign w:val="superscript"/>
          <w:rtl/>
        </w:rPr>
        <w:footnoteReference w:id="1126"/>
      </w:r>
      <w:r w:rsidRPr="0025250D">
        <w:rPr>
          <w:rFonts w:hint="cs"/>
          <w:rtl/>
        </w:rPr>
        <w:t xml:space="preserve"> (</w:t>
      </w:r>
      <w:r w:rsidRPr="0025250D">
        <w:t>DAA</w:t>
      </w:r>
      <w:r w:rsidRPr="0025250D">
        <w:rPr>
          <w:rFonts w:hint="cs"/>
          <w:rtl/>
        </w:rPr>
        <w:t>).</w:t>
      </w:r>
      <w:r w:rsidR="00206F11" w:rsidRPr="0025250D">
        <w:rPr>
          <w:rFonts w:hint="cs"/>
          <w:rtl/>
        </w:rPr>
        <w:t xml:space="preserve"> دارای</w:t>
      </w:r>
      <w:r w:rsidRPr="0025250D">
        <w:rPr>
          <w:rFonts w:hint="cs"/>
          <w:rtl/>
        </w:rPr>
        <w:t xml:space="preserve"> 20 هزار نفر عضو. تولید کننده برنامه‌های ای‌متریکس</w:t>
      </w:r>
      <w:r w:rsidRPr="0025250D">
        <w:rPr>
          <w:vertAlign w:val="superscript"/>
          <w:rtl/>
        </w:rPr>
        <w:footnoteReference w:id="1127"/>
      </w:r>
      <w:r w:rsidRPr="0025250D">
        <w:rPr>
          <w:rFonts w:hint="cs"/>
          <w:rtl/>
        </w:rPr>
        <w:t>، تکست آنالیتیکس</w:t>
      </w:r>
      <w:r w:rsidRPr="0025250D">
        <w:rPr>
          <w:vertAlign w:val="superscript"/>
          <w:rtl/>
        </w:rPr>
        <w:footnoteReference w:id="1128"/>
      </w:r>
      <w:r w:rsidRPr="0025250D">
        <w:rPr>
          <w:rFonts w:hint="cs"/>
          <w:rtl/>
        </w:rPr>
        <w:t xml:space="preserve"> و دیجیتال آنالیتیکس</w:t>
      </w:r>
      <w:r w:rsidRPr="0025250D">
        <w:rPr>
          <w:vertAlign w:val="superscript"/>
          <w:rtl/>
        </w:rPr>
        <w:footnoteReference w:id="1129"/>
      </w:r>
      <w:r w:rsidRPr="0025250D">
        <w:rPr>
          <w:rFonts w:hint="cs"/>
          <w:rtl/>
        </w:rPr>
        <w:t>. دنیای</w:t>
      </w:r>
      <w:r w:rsidRPr="0025250D">
        <w:rPr>
          <w:rtl/>
        </w:rPr>
        <w:t xml:space="preserve"> </w:t>
      </w:r>
      <w:r w:rsidRPr="0025250D">
        <w:rPr>
          <w:rFonts w:hint="cs"/>
          <w:rtl/>
        </w:rPr>
        <w:t>تجزیه و تحلیل</w:t>
      </w:r>
      <w:r w:rsidRPr="0025250D">
        <w:rPr>
          <w:rtl/>
        </w:rPr>
        <w:t xml:space="preserve"> </w:t>
      </w:r>
      <w:r w:rsidR="00D92F6E" w:rsidRPr="0025250D">
        <w:rPr>
          <w:rFonts w:hint="cs"/>
          <w:rtl/>
        </w:rPr>
        <w:t>پیش‌بین</w:t>
      </w:r>
      <w:r w:rsidRPr="0025250D">
        <w:rPr>
          <w:rFonts w:hint="cs"/>
          <w:rtl/>
        </w:rPr>
        <w:t>ی</w:t>
      </w:r>
      <w:r w:rsidRPr="0025250D">
        <w:rPr>
          <w:rtl/>
        </w:rPr>
        <w:t xml:space="preserve"> </w:t>
      </w:r>
      <w:r w:rsidRPr="0025250D">
        <w:rPr>
          <w:rFonts w:hint="cs"/>
          <w:rtl/>
        </w:rPr>
        <w:t>کننده</w:t>
      </w:r>
      <w:r w:rsidRPr="0025250D">
        <w:rPr>
          <w:vertAlign w:val="superscript"/>
          <w:rtl/>
        </w:rPr>
        <w:footnoteReference w:id="1130"/>
      </w:r>
      <w:r w:rsidRPr="0025250D">
        <w:rPr>
          <w:rFonts w:hint="cs"/>
          <w:rtl/>
        </w:rPr>
        <w:t xml:space="preserve"> (یک گروه دیگر) یک رویداد میان صنعتیِ برجسته برای متخصصین تحلیل </w:t>
      </w:r>
      <w:r w:rsidR="00D92F6E" w:rsidRPr="0025250D">
        <w:rPr>
          <w:rFonts w:hint="cs"/>
          <w:rtl/>
        </w:rPr>
        <w:t>پیش‌بین</w:t>
      </w:r>
      <w:r w:rsidRPr="0025250D">
        <w:rPr>
          <w:rFonts w:hint="cs"/>
          <w:rtl/>
        </w:rPr>
        <w:t>ی کننده است.</w:t>
      </w:r>
    </w:p>
    <w:p w14:paraId="212C6D86" w14:textId="518E4CF2" w:rsidR="00537CC8" w:rsidRPr="0025250D" w:rsidRDefault="00537CC8" w:rsidP="00537CC8">
      <w:pPr>
        <w:rPr>
          <w:rtl/>
        </w:rPr>
      </w:pPr>
      <w:r w:rsidRPr="0025250D">
        <w:rPr>
          <w:rFonts w:hint="cs"/>
          <w:rtl/>
        </w:rPr>
        <w:t xml:space="preserve">7. </w:t>
      </w:r>
      <w:r w:rsidRPr="0025250D">
        <w:rPr>
          <w:rFonts w:hint="cs"/>
          <w:b/>
          <w:bCs/>
          <w:rtl/>
        </w:rPr>
        <w:t>کارآفرینی و کارآفرینی سازمانی</w:t>
      </w:r>
      <w:r w:rsidRPr="0025250D">
        <w:rPr>
          <w:rFonts w:hint="cs"/>
          <w:rtl/>
        </w:rPr>
        <w:t xml:space="preserve"> </w:t>
      </w:r>
      <w:r w:rsidRPr="0025250D">
        <w:rPr>
          <w:rFonts w:cs="Times New Roman" w:hint="cs"/>
          <w:rtl/>
        </w:rPr>
        <w:t>–</w:t>
      </w:r>
      <w:r w:rsidRPr="0025250D">
        <w:rPr>
          <w:rFonts w:hint="cs"/>
          <w:rtl/>
        </w:rPr>
        <w:t xml:space="preserve"> مؤسسه</w:t>
      </w:r>
      <w:r w:rsidRPr="0025250D">
        <w:rPr>
          <w:rFonts w:hint="cs"/>
        </w:rPr>
        <w:t>‌</w:t>
      </w:r>
      <w:r w:rsidRPr="0025250D">
        <w:rPr>
          <w:rFonts w:hint="cs"/>
          <w:rtl/>
        </w:rPr>
        <w:t xml:space="preserve"> بنیان گذاری</w:t>
      </w:r>
      <w:r w:rsidRPr="0025250D">
        <w:rPr>
          <w:vertAlign w:val="superscript"/>
          <w:rtl/>
        </w:rPr>
        <w:footnoteReference w:id="1131"/>
      </w:r>
      <w:r w:rsidRPr="0025250D">
        <w:rPr>
          <w:rFonts w:hint="cs"/>
          <w:rtl/>
        </w:rPr>
        <w:t xml:space="preserve"> (</w:t>
      </w:r>
      <w:r w:rsidRPr="0025250D">
        <w:t>FI</w:t>
      </w:r>
      <w:r w:rsidRPr="0025250D">
        <w:rPr>
          <w:rFonts w:hint="cs"/>
          <w:rtl/>
        </w:rPr>
        <w:t xml:space="preserve">). </w:t>
      </w:r>
      <w:r w:rsidR="00206F11" w:rsidRPr="0025250D">
        <w:rPr>
          <w:rFonts w:hint="cs"/>
          <w:rtl/>
        </w:rPr>
        <w:t xml:space="preserve">فعال </w:t>
      </w:r>
      <w:r w:rsidRPr="0025250D">
        <w:rPr>
          <w:rFonts w:hint="cs"/>
          <w:rtl/>
        </w:rPr>
        <w:t xml:space="preserve">از سال 2009. آموزش به بنیان گذاران برای ایجاد استارتاپ‌های داخلی و خارجی. همچنین </w:t>
      </w:r>
      <w:r w:rsidR="00206F11" w:rsidRPr="0025250D">
        <w:rPr>
          <w:rFonts w:hint="cs"/>
          <w:rtl/>
        </w:rPr>
        <w:t xml:space="preserve">ایجاد </w:t>
      </w:r>
      <w:r w:rsidRPr="0025250D">
        <w:rPr>
          <w:rFonts w:hint="cs"/>
          <w:rtl/>
        </w:rPr>
        <w:t>چرخه</w:t>
      </w:r>
      <w:r w:rsidRPr="0025250D">
        <w:rPr>
          <w:rtl/>
        </w:rPr>
        <w:t xml:space="preserve">‌های </w:t>
      </w:r>
      <w:r w:rsidRPr="0025250D">
        <w:rPr>
          <w:rFonts w:hint="cs"/>
          <w:rtl/>
        </w:rPr>
        <w:t>استارتاپ</w:t>
      </w:r>
      <w:r w:rsidRPr="0025250D">
        <w:rPr>
          <w:rtl/>
        </w:rPr>
        <w:t xml:space="preserve"> </w:t>
      </w:r>
      <w:r w:rsidRPr="0025250D">
        <w:rPr>
          <w:rFonts w:hint="cs"/>
          <w:rtl/>
        </w:rPr>
        <w:t>ناب</w:t>
      </w:r>
      <w:r w:rsidRPr="0025250D">
        <w:rPr>
          <w:vertAlign w:val="superscript"/>
          <w:rtl/>
        </w:rPr>
        <w:footnoteReference w:id="1132"/>
      </w:r>
      <w:r w:rsidRPr="0025250D">
        <w:rPr>
          <w:rFonts w:hint="cs"/>
          <w:rtl/>
        </w:rPr>
        <w:t xml:space="preserve">. </w:t>
      </w:r>
      <w:r w:rsidR="00206F11" w:rsidRPr="0025250D">
        <w:rPr>
          <w:rFonts w:hint="cs"/>
          <w:rtl/>
        </w:rPr>
        <w:t xml:space="preserve">حامی </w:t>
      </w:r>
      <w:r w:rsidRPr="0025250D">
        <w:rPr>
          <w:rFonts w:hint="cs"/>
          <w:rtl/>
        </w:rPr>
        <w:t xml:space="preserve">جوامعی برای </w:t>
      </w:r>
      <w:r w:rsidR="00206F11" w:rsidRPr="0025250D">
        <w:rPr>
          <w:rFonts w:hint="cs"/>
          <w:rtl/>
        </w:rPr>
        <w:t>پیاده‌سازی</w:t>
      </w:r>
      <w:r w:rsidRPr="0025250D">
        <w:rPr>
          <w:rFonts w:hint="cs"/>
          <w:rtl/>
        </w:rPr>
        <w:t xml:space="preserve"> استارتاپ ناب اریک رایز</w:t>
      </w:r>
      <w:r w:rsidRPr="0025250D">
        <w:rPr>
          <w:vertAlign w:val="superscript"/>
          <w:rtl/>
        </w:rPr>
        <w:footnoteReference w:id="1133"/>
      </w:r>
      <w:r w:rsidRPr="0025250D">
        <w:rPr>
          <w:rFonts w:hint="cs"/>
          <w:rtl/>
        </w:rPr>
        <w:t xml:space="preserve">؛ کارآفرینی سازمانی تخصصی است که متحول کردن ترکیب محصول و خدمات یک شرکت از داخل را تسهیل می‌کند و محیط‌های </w:t>
      </w:r>
      <w:r w:rsidR="0008779C" w:rsidRPr="0025250D">
        <w:rPr>
          <w:rFonts w:hint="cs"/>
          <w:rtl/>
        </w:rPr>
        <w:t>ایدئال</w:t>
      </w:r>
      <w:r w:rsidRPr="0025250D">
        <w:rPr>
          <w:rFonts w:hint="cs"/>
          <w:rtl/>
        </w:rPr>
        <w:t>ی برای استارتاپ‌های خودتامین مالی</w:t>
      </w:r>
      <w:r w:rsidRPr="0025250D">
        <w:rPr>
          <w:vertAlign w:val="superscript"/>
          <w:rtl/>
        </w:rPr>
        <w:footnoteReference w:id="1134"/>
      </w:r>
      <w:r w:rsidRPr="0025250D">
        <w:rPr>
          <w:rFonts w:hint="cs"/>
          <w:rtl/>
        </w:rPr>
        <w:t xml:space="preserve"> و شرکت‌های درون‌گذارده</w:t>
      </w:r>
      <w:r w:rsidRPr="0025250D">
        <w:rPr>
          <w:vertAlign w:val="superscript"/>
          <w:rtl/>
        </w:rPr>
        <w:footnoteReference w:id="1135"/>
      </w:r>
      <w:r w:rsidRPr="0025250D">
        <w:rPr>
          <w:rFonts w:hint="cs"/>
          <w:rtl/>
        </w:rPr>
        <w:t xml:space="preserve"> ایجاد می‌کند. با بزرگتر شدن شرکت این کار سخت تر شده و تخصصی است که شایسته</w:t>
      </w:r>
      <w:r w:rsidRPr="0025250D">
        <w:rPr>
          <w:rFonts w:hint="cs"/>
        </w:rPr>
        <w:t>‌</w:t>
      </w:r>
      <w:r w:rsidRPr="0025250D">
        <w:rPr>
          <w:rFonts w:hint="cs"/>
          <w:rtl/>
        </w:rPr>
        <w:t xml:space="preserve"> داشتن انجمن تخصصی خود می‌باشد. کارآفرینی سازمانی شایسته</w:t>
      </w:r>
      <w:r w:rsidRPr="0025250D">
        <w:rPr>
          <w:rFonts w:hint="cs"/>
        </w:rPr>
        <w:t>‌</w:t>
      </w:r>
      <w:r w:rsidRPr="0025250D">
        <w:rPr>
          <w:rFonts w:hint="cs"/>
          <w:rtl/>
        </w:rPr>
        <w:t xml:space="preserve"> داشتن انجمن تخصصی خود است. کنفرانس کارآفرینی سازمانی</w:t>
      </w:r>
      <w:r w:rsidRPr="0025250D">
        <w:rPr>
          <w:vertAlign w:val="superscript"/>
          <w:rtl/>
        </w:rPr>
        <w:footnoteReference w:id="1136"/>
      </w:r>
      <w:r w:rsidRPr="0025250D">
        <w:rPr>
          <w:rFonts w:hint="cs"/>
          <w:rtl/>
        </w:rPr>
        <w:t xml:space="preserve"> گامی در این جهت است. کتاب </w:t>
      </w:r>
      <w:r w:rsidR="0063099E" w:rsidRPr="0025250D">
        <w:rPr>
          <w:rtl/>
        </w:rPr>
        <w:t>«</w:t>
      </w:r>
      <w:r w:rsidRPr="0025250D">
        <w:rPr>
          <w:rFonts w:hint="cs"/>
          <w:rtl/>
        </w:rPr>
        <w:t>بنگاه ناب: شرکت‌ها چگونه می‌توانند مانند استارتاپ‌ها نوآوری داشته باشند</w:t>
      </w:r>
      <w:r w:rsidR="0063099E" w:rsidRPr="0025250D">
        <w:rPr>
          <w:rtl/>
        </w:rPr>
        <w:t>»</w:t>
      </w:r>
      <w:r w:rsidRPr="0025250D">
        <w:rPr>
          <w:rtl/>
        </w:rPr>
        <w:t xml:space="preserve"> </w:t>
      </w:r>
      <w:r w:rsidRPr="0025250D">
        <w:rPr>
          <w:rFonts w:hint="cs"/>
          <w:rtl/>
        </w:rPr>
        <w:t>اثر</w:t>
      </w:r>
      <w:r w:rsidRPr="0025250D">
        <w:rPr>
          <w:rtl/>
        </w:rPr>
        <w:t xml:space="preserve"> اونز و فرناندز</w:t>
      </w:r>
      <w:r w:rsidRPr="0025250D">
        <w:rPr>
          <w:vertAlign w:val="superscript"/>
          <w:rtl/>
        </w:rPr>
        <w:footnoteReference w:id="1137"/>
      </w:r>
      <w:r w:rsidRPr="0025250D">
        <w:rPr>
          <w:rFonts w:hint="cs"/>
          <w:rtl/>
        </w:rPr>
        <w:t xml:space="preserve"> در سال 2014 را برای نکات عملی کارآفرینی سازمانی مطالعه نمایید.</w:t>
      </w:r>
    </w:p>
    <w:p w14:paraId="40727FBA" w14:textId="303A856A" w:rsidR="00537CC8" w:rsidRPr="0025250D" w:rsidRDefault="00537CC8" w:rsidP="00537CC8">
      <w:pPr>
        <w:rPr>
          <w:rtl/>
        </w:rPr>
      </w:pPr>
      <w:r w:rsidRPr="0025250D">
        <w:rPr>
          <w:rFonts w:hint="cs"/>
          <w:rtl/>
        </w:rPr>
        <w:t xml:space="preserve">8. </w:t>
      </w:r>
      <w:r w:rsidRPr="0025250D">
        <w:rPr>
          <w:rFonts w:hint="cs"/>
          <w:b/>
          <w:bCs/>
          <w:rtl/>
        </w:rPr>
        <w:t>تسهیل و بازی سازی</w:t>
      </w:r>
      <w:r w:rsidRPr="0025250D">
        <w:rPr>
          <w:rFonts w:hint="cs"/>
          <w:rtl/>
        </w:rPr>
        <w:t xml:space="preserve"> </w:t>
      </w:r>
      <w:r w:rsidRPr="0025250D">
        <w:rPr>
          <w:rFonts w:cs="Times New Roman" w:hint="cs"/>
          <w:rtl/>
        </w:rPr>
        <w:t>–</w:t>
      </w:r>
      <w:r w:rsidRPr="0025250D">
        <w:rPr>
          <w:rFonts w:hint="cs"/>
          <w:rtl/>
        </w:rPr>
        <w:t xml:space="preserve"> انجمن بین المللی تسهیل گران</w:t>
      </w:r>
      <w:r w:rsidRPr="0025250D">
        <w:rPr>
          <w:vertAlign w:val="superscript"/>
          <w:rtl/>
        </w:rPr>
        <w:footnoteReference w:id="1138"/>
      </w:r>
      <w:r w:rsidRPr="0025250D">
        <w:rPr>
          <w:rFonts w:hint="cs"/>
          <w:rtl/>
        </w:rPr>
        <w:t xml:space="preserve"> (</w:t>
      </w:r>
      <w:r w:rsidRPr="0025250D">
        <w:t>IAF</w:t>
      </w:r>
      <w:r w:rsidRPr="0025250D">
        <w:rPr>
          <w:rFonts w:hint="cs"/>
          <w:rtl/>
        </w:rPr>
        <w:t xml:space="preserve">). </w:t>
      </w:r>
      <w:r w:rsidR="00206F11" w:rsidRPr="0025250D">
        <w:rPr>
          <w:rFonts w:hint="cs"/>
          <w:rtl/>
        </w:rPr>
        <w:t xml:space="preserve">فعال </w:t>
      </w:r>
      <w:r w:rsidRPr="0025250D">
        <w:rPr>
          <w:rFonts w:hint="cs"/>
          <w:rtl/>
        </w:rPr>
        <w:t xml:space="preserve">از سال 1994. </w:t>
      </w:r>
      <w:r w:rsidR="00206F11" w:rsidRPr="0025250D">
        <w:rPr>
          <w:rFonts w:hint="cs"/>
          <w:rtl/>
        </w:rPr>
        <w:t xml:space="preserve">فعال در زمینه </w:t>
      </w:r>
      <w:r w:rsidRPr="0025250D">
        <w:rPr>
          <w:rFonts w:hint="cs"/>
          <w:rtl/>
        </w:rPr>
        <w:t xml:space="preserve">فرایند‌های گروهی، تسهیل توافق جمعی، حل و فصل تناقضات، مدیریت دانش. پیشنهاد برنامه‌های تسهیل گر حرفه‌ای و برنامه‌های آموزشی مورد تأیید </w:t>
      </w:r>
      <w:r w:rsidRPr="0025250D">
        <w:t>IAF</w:t>
      </w:r>
      <w:r w:rsidRPr="0025250D">
        <w:rPr>
          <w:rFonts w:hint="cs"/>
          <w:rtl/>
        </w:rPr>
        <w:t xml:space="preserve">. </w:t>
      </w:r>
      <w:r w:rsidR="00206F11" w:rsidRPr="0025250D">
        <w:rPr>
          <w:rFonts w:hint="cs"/>
          <w:rtl/>
        </w:rPr>
        <w:t xml:space="preserve">دارای </w:t>
      </w:r>
      <w:r w:rsidRPr="0025250D">
        <w:rPr>
          <w:rFonts w:hint="cs"/>
          <w:rtl/>
        </w:rPr>
        <w:t xml:space="preserve">اعضایی در 65 کشور. </w:t>
      </w:r>
      <w:r w:rsidRPr="0025250D">
        <w:t>IAFNAC</w:t>
      </w:r>
      <w:r w:rsidRPr="0025250D">
        <w:rPr>
          <w:rFonts w:hint="cs"/>
          <w:rtl/>
        </w:rPr>
        <w:t xml:space="preserve"> کنفرانس سالانه</w:t>
      </w:r>
      <w:r w:rsidRPr="0025250D">
        <w:rPr>
          <w:rFonts w:hint="cs"/>
        </w:rPr>
        <w:t>‌</w:t>
      </w:r>
      <w:r w:rsidRPr="0025250D">
        <w:rPr>
          <w:rFonts w:hint="cs"/>
          <w:rtl/>
        </w:rPr>
        <w:t xml:space="preserve"> آن‌ها در آمریکای شمالی است؛ شبیه سازی و بازی سازی ای‌اس‌اس‌ان آمریکای شمالی</w:t>
      </w:r>
      <w:r w:rsidRPr="0025250D">
        <w:rPr>
          <w:vertAlign w:val="superscript"/>
          <w:rtl/>
        </w:rPr>
        <w:footnoteReference w:id="1139"/>
      </w:r>
      <w:r w:rsidRPr="0025250D">
        <w:rPr>
          <w:rFonts w:hint="cs"/>
          <w:rtl/>
        </w:rPr>
        <w:t xml:space="preserve"> </w:t>
      </w:r>
      <w:r w:rsidRPr="0025250D">
        <w:rPr>
          <w:rtl/>
        </w:rPr>
        <w:t>(</w:t>
      </w:r>
      <w:r w:rsidRPr="0025250D">
        <w:t>NASAGA</w:t>
      </w:r>
      <w:r w:rsidRPr="0025250D">
        <w:rPr>
          <w:rtl/>
        </w:rPr>
        <w:t>)</w:t>
      </w:r>
      <w:r w:rsidRPr="0025250D">
        <w:rPr>
          <w:rFonts w:hint="cs"/>
          <w:rtl/>
        </w:rPr>
        <w:t xml:space="preserve">. </w:t>
      </w:r>
      <w:r w:rsidR="00206F11" w:rsidRPr="0025250D">
        <w:rPr>
          <w:rFonts w:hint="cs"/>
          <w:rtl/>
        </w:rPr>
        <w:t xml:space="preserve">فعال در زمینه </w:t>
      </w:r>
      <w:r w:rsidRPr="0025250D">
        <w:rPr>
          <w:rFonts w:hint="cs"/>
          <w:rtl/>
        </w:rPr>
        <w:t>شبیه</w:t>
      </w:r>
      <w:r w:rsidR="00206F11" w:rsidRPr="0025250D">
        <w:rPr>
          <w:rFonts w:hint="cs"/>
          <w:rtl/>
        </w:rPr>
        <w:t>‌</w:t>
      </w:r>
      <w:r w:rsidRPr="0025250D">
        <w:rPr>
          <w:rFonts w:hint="cs"/>
          <w:rtl/>
        </w:rPr>
        <w:t xml:space="preserve">سازی و یادگیری بازی محور. </w:t>
      </w:r>
      <w:r w:rsidR="0063099E" w:rsidRPr="0025250D">
        <w:rPr>
          <w:rtl/>
        </w:rPr>
        <w:t>«</w:t>
      </w:r>
      <w:r w:rsidRPr="0025250D">
        <w:rPr>
          <w:rFonts w:hint="cs"/>
          <w:rtl/>
        </w:rPr>
        <w:t>بازی‌های جدی</w:t>
      </w:r>
      <w:r w:rsidRPr="0025250D">
        <w:rPr>
          <w:vertAlign w:val="superscript"/>
          <w:rtl/>
        </w:rPr>
        <w:footnoteReference w:id="1140"/>
      </w:r>
      <w:r w:rsidR="0063099E" w:rsidRPr="0025250D">
        <w:rPr>
          <w:rtl/>
        </w:rPr>
        <w:t>»</w:t>
      </w:r>
      <w:r w:rsidRPr="0025250D">
        <w:rPr>
          <w:rFonts w:hint="cs"/>
          <w:rtl/>
        </w:rPr>
        <w:t xml:space="preserve"> فیزیکی و دیجیتالی، بازی‌های </w:t>
      </w:r>
      <w:r w:rsidR="00701E03" w:rsidRPr="0025250D">
        <w:rPr>
          <w:rFonts w:hint="cs"/>
          <w:rtl/>
        </w:rPr>
        <w:t>راهبرد</w:t>
      </w:r>
      <w:r w:rsidR="00206F11" w:rsidRPr="0025250D">
        <w:rPr>
          <w:rFonts w:hint="cs"/>
          <w:rtl/>
        </w:rPr>
        <w:t>ی</w:t>
      </w:r>
      <w:r w:rsidRPr="0025250D">
        <w:rPr>
          <w:rFonts w:hint="cs"/>
          <w:rtl/>
        </w:rPr>
        <w:t>، بازی‌های جنگی، بازی‌های نوآوری</w:t>
      </w:r>
      <w:r w:rsidRPr="0025250D">
        <w:rPr>
          <w:vertAlign w:val="superscript"/>
          <w:rtl/>
        </w:rPr>
        <w:footnoteReference w:id="1141"/>
      </w:r>
      <w:r w:rsidRPr="0025250D">
        <w:rPr>
          <w:rFonts w:hint="cs"/>
          <w:rtl/>
        </w:rPr>
        <w:t xml:space="preserve">. </w:t>
      </w:r>
      <w:r w:rsidR="00206F11" w:rsidRPr="0025250D">
        <w:rPr>
          <w:rFonts w:hint="cs"/>
          <w:rtl/>
        </w:rPr>
        <w:t xml:space="preserve">برگزارکننده </w:t>
      </w:r>
      <w:r w:rsidRPr="0025250D">
        <w:rPr>
          <w:rFonts w:hint="cs"/>
          <w:rtl/>
        </w:rPr>
        <w:t>کنفرانس سالانه.</w:t>
      </w:r>
    </w:p>
    <w:p w14:paraId="039AD871" w14:textId="3EBC1AEA" w:rsidR="00537CC8" w:rsidRPr="0025250D" w:rsidRDefault="00537CC8" w:rsidP="00537CC8">
      <w:pPr>
        <w:rPr>
          <w:rtl/>
        </w:rPr>
      </w:pPr>
      <w:r w:rsidRPr="0025250D">
        <w:rPr>
          <w:rFonts w:hint="cs"/>
          <w:rtl/>
        </w:rPr>
        <w:t xml:space="preserve">9. </w:t>
      </w:r>
      <w:r w:rsidR="00FB6A7E" w:rsidRPr="0025250D">
        <w:rPr>
          <w:rFonts w:hint="cs"/>
          <w:b/>
          <w:bCs/>
          <w:rtl/>
        </w:rPr>
        <w:t>پیش‌نگری</w:t>
      </w:r>
      <w:r w:rsidRPr="0025250D">
        <w:rPr>
          <w:rFonts w:hint="cs"/>
          <w:b/>
          <w:bCs/>
          <w:rtl/>
        </w:rPr>
        <w:t xml:space="preserve"> و </w:t>
      </w:r>
      <w:r w:rsidR="00D92F6E" w:rsidRPr="0025250D">
        <w:rPr>
          <w:rFonts w:hint="cs"/>
          <w:b/>
          <w:bCs/>
          <w:rtl/>
        </w:rPr>
        <w:t>پیش‌بین</w:t>
      </w:r>
      <w:r w:rsidRPr="0025250D">
        <w:rPr>
          <w:rFonts w:hint="cs"/>
          <w:b/>
          <w:bCs/>
          <w:rtl/>
        </w:rPr>
        <w:t>ی</w:t>
      </w:r>
      <w:r w:rsidRPr="0025250D">
        <w:rPr>
          <w:rFonts w:hint="cs"/>
          <w:rtl/>
        </w:rPr>
        <w:t xml:space="preserve"> </w:t>
      </w:r>
      <w:r w:rsidRPr="0025250D">
        <w:rPr>
          <w:rFonts w:cs="Times New Roman" w:hint="cs"/>
          <w:rtl/>
        </w:rPr>
        <w:t>–</w:t>
      </w:r>
      <w:r w:rsidRPr="0025250D">
        <w:rPr>
          <w:rFonts w:hint="cs"/>
          <w:rtl/>
        </w:rPr>
        <w:t xml:space="preserve"> مؤسسه</w:t>
      </w:r>
      <w:r w:rsidRPr="0025250D">
        <w:rPr>
          <w:rFonts w:hint="cs"/>
        </w:rPr>
        <w:t>‌</w:t>
      </w:r>
      <w:r w:rsidRPr="0025250D">
        <w:rPr>
          <w:rFonts w:hint="cs"/>
          <w:rtl/>
        </w:rPr>
        <w:t xml:space="preserve"> بین المللی </w:t>
      </w:r>
      <w:r w:rsidR="0008779C" w:rsidRPr="0025250D">
        <w:rPr>
          <w:rFonts w:hint="cs"/>
          <w:rtl/>
        </w:rPr>
        <w:t>پیش‌نگر</w:t>
      </w:r>
      <w:r w:rsidRPr="0025250D">
        <w:rPr>
          <w:rFonts w:hint="cs"/>
          <w:rtl/>
        </w:rPr>
        <w:t>ها</w:t>
      </w:r>
      <w:r w:rsidRPr="0025250D">
        <w:rPr>
          <w:vertAlign w:val="superscript"/>
          <w:rtl/>
        </w:rPr>
        <w:footnoteReference w:id="1142"/>
      </w:r>
      <w:r w:rsidRPr="0025250D">
        <w:rPr>
          <w:rFonts w:hint="cs"/>
          <w:rtl/>
        </w:rPr>
        <w:t xml:space="preserve"> (</w:t>
      </w:r>
      <w:r w:rsidRPr="0025250D">
        <w:t>IIF</w:t>
      </w:r>
      <w:r w:rsidRPr="0025250D">
        <w:rPr>
          <w:rFonts w:hint="cs"/>
          <w:rtl/>
        </w:rPr>
        <w:t xml:space="preserve">). </w:t>
      </w:r>
      <w:r w:rsidR="00206F11" w:rsidRPr="0025250D">
        <w:rPr>
          <w:rFonts w:hint="cs"/>
          <w:rtl/>
        </w:rPr>
        <w:t xml:space="preserve">فعال </w:t>
      </w:r>
      <w:r w:rsidRPr="0025250D">
        <w:rPr>
          <w:rFonts w:hint="cs"/>
          <w:rtl/>
        </w:rPr>
        <w:t xml:space="preserve">از سال 1981. پیشبرد </w:t>
      </w:r>
      <w:r w:rsidR="00FB6A7E" w:rsidRPr="0025250D">
        <w:rPr>
          <w:rFonts w:hint="cs"/>
          <w:rtl/>
        </w:rPr>
        <w:t>پیش‌نگری</w:t>
      </w:r>
      <w:r w:rsidRPr="0025250D">
        <w:rPr>
          <w:rFonts w:hint="cs"/>
          <w:rtl/>
        </w:rPr>
        <w:t>، به صورت کمّی و قضاوتی، به عنوان یک زمینه</w:t>
      </w:r>
      <w:r w:rsidRPr="0025250D">
        <w:rPr>
          <w:rFonts w:hint="cs"/>
        </w:rPr>
        <w:t>‌</w:t>
      </w:r>
      <w:r w:rsidRPr="0025250D">
        <w:rPr>
          <w:rFonts w:hint="cs"/>
          <w:rtl/>
        </w:rPr>
        <w:t xml:space="preserve"> چند رشته‌ای از تحقیق و عمل. </w:t>
      </w:r>
      <w:r w:rsidR="00206F11" w:rsidRPr="0025250D">
        <w:rPr>
          <w:rFonts w:hint="cs"/>
          <w:rtl/>
        </w:rPr>
        <w:t xml:space="preserve">حامی </w:t>
      </w:r>
      <w:r w:rsidRPr="0025250D">
        <w:rPr>
          <w:rFonts w:hint="cs"/>
          <w:rtl/>
        </w:rPr>
        <w:t xml:space="preserve">سمپوزیوم بین المللی </w:t>
      </w:r>
      <w:r w:rsidR="00FB6A7E" w:rsidRPr="0025250D">
        <w:rPr>
          <w:rFonts w:hint="cs"/>
          <w:rtl/>
        </w:rPr>
        <w:t>پیش‌نگری</w:t>
      </w:r>
      <w:r w:rsidRPr="0025250D">
        <w:rPr>
          <w:vertAlign w:val="superscript"/>
          <w:rtl/>
        </w:rPr>
        <w:footnoteReference w:id="1143"/>
      </w:r>
      <w:r w:rsidRPr="0025250D">
        <w:rPr>
          <w:rFonts w:hint="cs"/>
          <w:rtl/>
        </w:rPr>
        <w:t xml:space="preserve">، کارگاه‌های آموزشی. </w:t>
      </w:r>
      <w:r w:rsidR="00206F11" w:rsidRPr="0025250D">
        <w:rPr>
          <w:rFonts w:hint="cs"/>
          <w:rtl/>
        </w:rPr>
        <w:t xml:space="preserve">منتشرکننده </w:t>
      </w:r>
      <w:r w:rsidRPr="0025250D">
        <w:rPr>
          <w:rFonts w:hint="cs"/>
          <w:rtl/>
        </w:rPr>
        <w:t>مجله</w:t>
      </w:r>
      <w:r w:rsidRPr="0025250D">
        <w:rPr>
          <w:rFonts w:hint="cs"/>
        </w:rPr>
        <w:t>‌</w:t>
      </w:r>
      <w:r w:rsidRPr="0025250D">
        <w:rPr>
          <w:rFonts w:hint="cs"/>
          <w:rtl/>
        </w:rPr>
        <w:t xml:space="preserve"> </w:t>
      </w:r>
      <w:r w:rsidR="0063099E" w:rsidRPr="0025250D">
        <w:rPr>
          <w:rtl/>
        </w:rPr>
        <w:t>«</w:t>
      </w:r>
      <w:r w:rsidRPr="0025250D">
        <w:rPr>
          <w:rtl/>
        </w:rPr>
        <w:t>آینده‌نگاری</w:t>
      </w:r>
      <w:r w:rsidRPr="0025250D">
        <w:rPr>
          <w:rFonts w:hint="cs"/>
          <w:rtl/>
        </w:rPr>
        <w:t xml:space="preserve">: مجله </w:t>
      </w:r>
      <w:r w:rsidR="00FB6A7E" w:rsidRPr="0025250D">
        <w:rPr>
          <w:rFonts w:hint="cs"/>
          <w:rtl/>
        </w:rPr>
        <w:t>پیش‌نگری</w:t>
      </w:r>
      <w:r w:rsidRPr="0025250D">
        <w:rPr>
          <w:rFonts w:hint="cs"/>
          <w:rtl/>
        </w:rPr>
        <w:t xml:space="preserve"> کاربردی</w:t>
      </w:r>
      <w:r w:rsidRPr="0025250D">
        <w:rPr>
          <w:vertAlign w:val="superscript"/>
          <w:rtl/>
        </w:rPr>
        <w:footnoteReference w:id="1144"/>
      </w:r>
      <w:r w:rsidR="0063099E" w:rsidRPr="0025250D">
        <w:rPr>
          <w:rtl/>
        </w:rPr>
        <w:t>»</w:t>
      </w:r>
      <w:r w:rsidRPr="0025250D">
        <w:rPr>
          <w:rFonts w:hint="cs"/>
          <w:rtl/>
        </w:rPr>
        <w:t xml:space="preserve"> و </w:t>
      </w:r>
      <w:r w:rsidR="0063099E" w:rsidRPr="0025250D">
        <w:rPr>
          <w:rtl/>
        </w:rPr>
        <w:t>«</w:t>
      </w:r>
      <w:r w:rsidRPr="0025250D">
        <w:rPr>
          <w:rFonts w:hint="cs"/>
          <w:rtl/>
        </w:rPr>
        <w:t xml:space="preserve">مجله بین المللی </w:t>
      </w:r>
      <w:r w:rsidR="00FB6A7E" w:rsidRPr="0025250D">
        <w:rPr>
          <w:rFonts w:hint="cs"/>
          <w:rtl/>
        </w:rPr>
        <w:t>پیش‌نگری</w:t>
      </w:r>
      <w:r w:rsidRPr="0025250D">
        <w:rPr>
          <w:vertAlign w:val="superscript"/>
          <w:rtl/>
        </w:rPr>
        <w:footnoteReference w:id="1145"/>
      </w:r>
      <w:r w:rsidR="0063099E" w:rsidRPr="0025250D">
        <w:rPr>
          <w:rtl/>
        </w:rPr>
        <w:t>»</w:t>
      </w:r>
      <w:r w:rsidRPr="0025250D">
        <w:rPr>
          <w:rFonts w:hint="cs"/>
          <w:rtl/>
        </w:rPr>
        <w:t xml:space="preserve"> را منتشر می‌کند؛ بازار‌های </w:t>
      </w:r>
      <w:r w:rsidR="00D92F6E" w:rsidRPr="0025250D">
        <w:rPr>
          <w:rFonts w:hint="cs"/>
          <w:rtl/>
        </w:rPr>
        <w:t>پیش‌بین</w:t>
      </w:r>
      <w:r w:rsidRPr="0025250D">
        <w:rPr>
          <w:rFonts w:hint="cs"/>
          <w:rtl/>
        </w:rPr>
        <w:t>ی هنوز یک انجمن اختصاصی ندارند. علوم داده/</w:t>
      </w:r>
      <w:r w:rsidRPr="0025250D">
        <w:t>PA</w:t>
      </w:r>
      <w:r w:rsidRPr="0025250D">
        <w:rPr>
          <w:rFonts w:hint="cs"/>
          <w:rtl/>
        </w:rPr>
        <w:t xml:space="preserve"> نزدیک ترین جامعه در حال حاضر است. </w:t>
      </w:r>
      <w:r w:rsidR="0063099E" w:rsidRPr="0025250D">
        <w:rPr>
          <w:rtl/>
        </w:rPr>
        <w:t>«</w:t>
      </w:r>
      <w:r w:rsidRPr="0025250D">
        <w:rPr>
          <w:rFonts w:hint="cs"/>
          <w:rtl/>
        </w:rPr>
        <w:t xml:space="preserve">مجله بازارهای </w:t>
      </w:r>
      <w:r w:rsidR="00D92F6E" w:rsidRPr="0025250D">
        <w:rPr>
          <w:rFonts w:hint="cs"/>
          <w:rtl/>
        </w:rPr>
        <w:t>پیش‌بین</w:t>
      </w:r>
      <w:r w:rsidRPr="0025250D">
        <w:rPr>
          <w:rFonts w:hint="cs"/>
          <w:rtl/>
        </w:rPr>
        <w:t>ی</w:t>
      </w:r>
      <w:r w:rsidRPr="0025250D">
        <w:rPr>
          <w:vertAlign w:val="superscript"/>
          <w:rtl/>
        </w:rPr>
        <w:footnoteReference w:id="1146"/>
      </w:r>
      <w:r w:rsidR="0063099E" w:rsidRPr="0025250D">
        <w:rPr>
          <w:rtl/>
        </w:rPr>
        <w:t>»</w:t>
      </w:r>
      <w:r w:rsidRPr="0025250D">
        <w:rPr>
          <w:rFonts w:hint="cs"/>
          <w:rtl/>
        </w:rPr>
        <w:t xml:space="preserve"> یک مجله با دسترسی آزاد است که این زمینه</w:t>
      </w:r>
      <w:r w:rsidRPr="0025250D">
        <w:rPr>
          <w:rFonts w:hint="cs"/>
        </w:rPr>
        <w:t>‌</w:t>
      </w:r>
      <w:r w:rsidRPr="0025250D">
        <w:rPr>
          <w:rFonts w:hint="cs"/>
          <w:rtl/>
        </w:rPr>
        <w:t xml:space="preserve"> در حال ظهور را از سال 2007 پوشش می‌دهد.</w:t>
      </w:r>
      <w:r w:rsidR="007300DB" w:rsidRPr="0025250D">
        <w:rPr>
          <w:rFonts w:hint="cs"/>
          <w:rtl/>
        </w:rPr>
        <w:t xml:space="preserve"> منتشرکننده</w:t>
      </w:r>
      <w:r w:rsidRPr="0025250D">
        <w:rPr>
          <w:rFonts w:hint="cs"/>
          <w:rtl/>
        </w:rPr>
        <w:t xml:space="preserve"> کتاب </w:t>
      </w:r>
      <w:r w:rsidR="00127288" w:rsidRPr="0025250D">
        <w:rPr>
          <w:rFonts w:hint="cs"/>
          <w:rtl/>
        </w:rPr>
        <w:t>فرا</w:t>
      </w:r>
      <w:r w:rsidR="00FB6A7E" w:rsidRPr="0025250D">
        <w:rPr>
          <w:rFonts w:hint="cs"/>
          <w:rtl/>
        </w:rPr>
        <w:t>پیش‌نگری</w:t>
      </w:r>
      <w:r w:rsidRPr="0025250D">
        <w:rPr>
          <w:vertAlign w:val="superscript"/>
          <w:rtl/>
        </w:rPr>
        <w:footnoteReference w:id="1147"/>
      </w:r>
      <w:r w:rsidRPr="0025250D">
        <w:rPr>
          <w:rFonts w:hint="cs"/>
          <w:rtl/>
        </w:rPr>
        <w:t xml:space="preserve"> اثر </w:t>
      </w:r>
      <w:r w:rsidRPr="0025250D">
        <w:rPr>
          <w:rtl/>
        </w:rPr>
        <w:t>تتلاک</w:t>
      </w:r>
      <w:r w:rsidRPr="0025250D">
        <w:rPr>
          <w:rFonts w:hint="cs"/>
          <w:rtl/>
        </w:rPr>
        <w:t xml:space="preserve"> و </w:t>
      </w:r>
      <w:r w:rsidRPr="0025250D">
        <w:rPr>
          <w:rtl/>
        </w:rPr>
        <w:t>گاردنر</w:t>
      </w:r>
      <w:r w:rsidRPr="0025250D">
        <w:rPr>
          <w:rFonts w:hint="cs"/>
          <w:rtl/>
        </w:rPr>
        <w:t xml:space="preserve"> در سال 2015 را برای اقدامات در حال ظهور در آینده</w:t>
      </w:r>
      <w:r w:rsidRPr="0025250D">
        <w:rPr>
          <w:rtl/>
        </w:rPr>
        <w:t xml:space="preserve"> </w:t>
      </w:r>
      <w:r w:rsidRPr="0025250D">
        <w:rPr>
          <w:rFonts w:hint="cs"/>
          <w:rtl/>
        </w:rPr>
        <w:t>نگری</w:t>
      </w:r>
      <w:r w:rsidRPr="0025250D">
        <w:rPr>
          <w:rtl/>
        </w:rPr>
        <w:t xml:space="preserve"> </w:t>
      </w:r>
      <w:r w:rsidRPr="0025250D">
        <w:rPr>
          <w:rFonts w:hint="cs"/>
          <w:rtl/>
        </w:rPr>
        <w:t>احتمالی</w:t>
      </w:r>
      <w:r w:rsidRPr="0025250D">
        <w:rPr>
          <w:rtl/>
        </w:rPr>
        <w:t xml:space="preserve"> </w:t>
      </w:r>
      <w:r w:rsidRPr="0025250D">
        <w:rPr>
          <w:rFonts w:hint="cs"/>
          <w:rtl/>
        </w:rPr>
        <w:t>جمعی</w:t>
      </w:r>
      <w:r w:rsidRPr="0025250D">
        <w:rPr>
          <w:vertAlign w:val="superscript"/>
          <w:rtl/>
        </w:rPr>
        <w:footnoteReference w:id="1148"/>
      </w:r>
      <w:r w:rsidRPr="0025250D">
        <w:rPr>
          <w:rFonts w:hint="cs"/>
          <w:rtl/>
        </w:rPr>
        <w:t xml:space="preserve"> ببینید.</w:t>
      </w:r>
    </w:p>
    <w:p w14:paraId="666E20AB" w14:textId="4A2EB99A" w:rsidR="00537CC8" w:rsidRPr="0025250D" w:rsidRDefault="00537CC8" w:rsidP="00537CC8">
      <w:pPr>
        <w:rPr>
          <w:rtl/>
        </w:rPr>
      </w:pPr>
      <w:r w:rsidRPr="0025250D">
        <w:rPr>
          <w:rFonts w:hint="cs"/>
          <w:rtl/>
        </w:rPr>
        <w:t xml:space="preserve">10. </w:t>
      </w:r>
      <w:r w:rsidRPr="0025250D">
        <w:rPr>
          <w:rFonts w:hint="cs"/>
          <w:b/>
          <w:bCs/>
          <w:rtl/>
        </w:rPr>
        <w:t>منابع انسانی و مدیریت عملکرد</w:t>
      </w:r>
      <w:r w:rsidRPr="0025250D">
        <w:rPr>
          <w:rFonts w:hint="cs"/>
          <w:rtl/>
        </w:rPr>
        <w:t xml:space="preserve"> </w:t>
      </w:r>
      <w:r w:rsidRPr="0025250D">
        <w:rPr>
          <w:rFonts w:cs="Times New Roman" w:hint="cs"/>
          <w:rtl/>
        </w:rPr>
        <w:t>–</w:t>
      </w:r>
      <w:r w:rsidRPr="0025250D">
        <w:rPr>
          <w:rFonts w:hint="cs"/>
          <w:rtl/>
        </w:rPr>
        <w:t xml:space="preserve"> جامعه</w:t>
      </w:r>
      <w:r w:rsidRPr="0025250D">
        <w:rPr>
          <w:rFonts w:hint="cs"/>
        </w:rPr>
        <w:t>‌</w:t>
      </w:r>
      <w:r w:rsidRPr="0025250D">
        <w:rPr>
          <w:rFonts w:hint="cs"/>
          <w:rtl/>
        </w:rPr>
        <w:t xml:space="preserve"> مدیریت منابع انسانی</w:t>
      </w:r>
      <w:r w:rsidRPr="0025250D">
        <w:rPr>
          <w:vertAlign w:val="superscript"/>
          <w:rtl/>
        </w:rPr>
        <w:footnoteReference w:id="1149"/>
      </w:r>
      <w:r w:rsidRPr="0025250D">
        <w:rPr>
          <w:rFonts w:hint="cs"/>
          <w:rtl/>
        </w:rPr>
        <w:t xml:space="preserve"> (</w:t>
      </w:r>
      <w:r w:rsidRPr="0025250D">
        <w:t>SHRM</w:t>
      </w:r>
      <w:r w:rsidRPr="0025250D">
        <w:rPr>
          <w:rFonts w:hint="cs"/>
          <w:rtl/>
        </w:rPr>
        <w:t xml:space="preserve">). </w:t>
      </w:r>
      <w:r w:rsidR="007300DB" w:rsidRPr="0025250D">
        <w:rPr>
          <w:rFonts w:hint="cs"/>
          <w:rtl/>
        </w:rPr>
        <w:t xml:space="preserve">فعال </w:t>
      </w:r>
      <w:r w:rsidRPr="0025250D">
        <w:rPr>
          <w:rFonts w:hint="cs"/>
          <w:rtl/>
        </w:rPr>
        <w:t>از سال 1948. منابع انسانی (عملیات افراد، تجزیه و تحلیل، مدیریت نیروی کار) را به عنوان یک زمینه، از طریق آموزش، گواهی دادن، لابی کردن و شبکه سازی ترویج می‌دهد.</w:t>
      </w:r>
      <w:r w:rsidR="007300DB" w:rsidRPr="0025250D">
        <w:rPr>
          <w:rFonts w:hint="cs"/>
          <w:rtl/>
        </w:rPr>
        <w:t xml:space="preserve"> دارای</w:t>
      </w:r>
      <w:r w:rsidRPr="0025250D">
        <w:rPr>
          <w:rFonts w:hint="cs"/>
          <w:rtl/>
        </w:rPr>
        <w:t xml:space="preserve"> 275 هزار عضو.</w:t>
      </w:r>
      <w:r w:rsidR="007300DB" w:rsidRPr="0025250D">
        <w:rPr>
          <w:rFonts w:hint="cs"/>
          <w:rtl/>
        </w:rPr>
        <w:t xml:space="preserve"> منتشرکننده</w:t>
      </w:r>
      <w:r w:rsidRPr="0025250D">
        <w:rPr>
          <w:rFonts w:hint="cs"/>
          <w:rtl/>
        </w:rPr>
        <w:t xml:space="preserve"> </w:t>
      </w:r>
      <w:r w:rsidR="0063099E" w:rsidRPr="0025250D">
        <w:rPr>
          <w:rtl/>
        </w:rPr>
        <w:t>«</w:t>
      </w:r>
      <w:r w:rsidRPr="0025250D">
        <w:rPr>
          <w:rFonts w:hint="cs"/>
          <w:rtl/>
        </w:rPr>
        <w:t>مجله</w:t>
      </w:r>
      <w:r w:rsidRPr="0025250D">
        <w:rPr>
          <w:rFonts w:hint="cs"/>
        </w:rPr>
        <w:t>‌</w:t>
      </w:r>
      <w:r w:rsidRPr="0025250D">
        <w:rPr>
          <w:rFonts w:hint="cs"/>
          <w:rtl/>
        </w:rPr>
        <w:t xml:space="preserve"> منابع انسانی</w:t>
      </w:r>
      <w:r w:rsidR="0063099E" w:rsidRPr="0025250D">
        <w:rPr>
          <w:rtl/>
        </w:rPr>
        <w:t>»</w:t>
      </w:r>
      <w:r w:rsidRPr="0025250D">
        <w:rPr>
          <w:rFonts w:hint="cs"/>
          <w:rtl/>
        </w:rPr>
        <w:t xml:space="preserve"> و موارد دیگر. </w:t>
      </w:r>
      <w:r w:rsidR="00FF5B9C" w:rsidRPr="0025250D">
        <w:rPr>
          <w:rFonts w:hint="cs"/>
          <w:rtl/>
        </w:rPr>
        <w:t xml:space="preserve">برگزارکننده </w:t>
      </w:r>
      <w:r w:rsidRPr="0025250D">
        <w:rPr>
          <w:rFonts w:hint="cs"/>
          <w:rtl/>
        </w:rPr>
        <w:t>کنفرانس سالانه؛ مدیریت عملکرد یکی از موارد تخصص منابع انسانی و توسعه</w:t>
      </w:r>
      <w:r w:rsidRPr="0025250D">
        <w:rPr>
          <w:rFonts w:hint="cs"/>
        </w:rPr>
        <w:t>‌</w:t>
      </w:r>
      <w:r w:rsidRPr="0025250D">
        <w:rPr>
          <w:rFonts w:hint="cs"/>
          <w:rtl/>
        </w:rPr>
        <w:t xml:space="preserve"> سازمانی است که بر عملکرد شرکت، تیم و کارمندان تمرکز دارد. مؤسسه</w:t>
      </w:r>
      <w:r w:rsidRPr="0025250D">
        <w:rPr>
          <w:rFonts w:hint="cs"/>
        </w:rPr>
        <w:t xml:space="preserve">‌ </w:t>
      </w:r>
      <w:r w:rsidRPr="0025250D">
        <w:t>KPI</w:t>
      </w:r>
      <w:r w:rsidRPr="0025250D">
        <w:rPr>
          <w:vertAlign w:val="superscript"/>
        </w:rPr>
        <w:footnoteReference w:id="1150"/>
      </w:r>
      <w:r w:rsidRPr="0025250D">
        <w:rPr>
          <w:rFonts w:hint="cs"/>
          <w:rtl/>
        </w:rPr>
        <w:t xml:space="preserve"> (</w:t>
      </w:r>
      <w:r w:rsidRPr="0025250D">
        <w:t>KPII</w:t>
      </w:r>
      <w:r w:rsidRPr="0025250D">
        <w:rPr>
          <w:rFonts w:hint="cs"/>
          <w:rtl/>
        </w:rPr>
        <w:t>) یک جامعه</w:t>
      </w:r>
      <w:r w:rsidRPr="0025250D">
        <w:rPr>
          <w:rFonts w:hint="cs"/>
        </w:rPr>
        <w:t>‌</w:t>
      </w:r>
      <w:r w:rsidRPr="0025250D">
        <w:rPr>
          <w:rFonts w:hint="cs"/>
          <w:rtl/>
        </w:rPr>
        <w:t xml:space="preserve"> تخصصی برجسته است. آن‌ها گواهینامه‌هایی در بسیاری از اقدامات مدیریتی، از جمله محک زنی (بهترین روش ها)، شاخص‌های کلیدی عملکرد</w:t>
      </w:r>
      <w:r w:rsidRPr="0025250D">
        <w:rPr>
          <w:vertAlign w:val="superscript"/>
          <w:rtl/>
        </w:rPr>
        <w:footnoteReference w:id="1151"/>
      </w:r>
      <w:r w:rsidRPr="0025250D">
        <w:rPr>
          <w:rFonts w:hint="cs"/>
          <w:rtl/>
        </w:rPr>
        <w:t xml:space="preserve"> (</w:t>
      </w:r>
      <w:r w:rsidRPr="0025250D">
        <w:t>KPI</w:t>
      </w:r>
      <w:r w:rsidRPr="0025250D">
        <w:rPr>
          <w:rFonts w:hint="cs"/>
          <w:rtl/>
        </w:rPr>
        <w:t>)، زیرمجموعه‌ای از محک زنی که بر عملکرد شرکت تمرکز دارد و اهداف و نتایج کلیدی</w:t>
      </w:r>
      <w:r w:rsidRPr="0025250D">
        <w:rPr>
          <w:vertAlign w:val="superscript"/>
          <w:rtl/>
        </w:rPr>
        <w:footnoteReference w:id="1152"/>
      </w:r>
      <w:r w:rsidRPr="0025250D">
        <w:rPr>
          <w:rFonts w:hint="cs"/>
          <w:rtl/>
        </w:rPr>
        <w:t xml:space="preserve"> (</w:t>
      </w:r>
      <w:r w:rsidRPr="0025250D">
        <w:t>OKR</w:t>
      </w:r>
      <w:r w:rsidRPr="0025250D">
        <w:rPr>
          <w:rFonts w:hint="cs"/>
          <w:rtl/>
        </w:rPr>
        <w:t xml:space="preserve"> ها) که کارمندان را قادر به تنظیم اهداف عملکردی خود به شکل پایین به بالا می‌کنند و کمک به دیگران برای دست یابی به آن‌ها ارائه می‌دهند.</w:t>
      </w:r>
    </w:p>
    <w:p w14:paraId="29E8341D" w14:textId="5A152E96" w:rsidR="00537CC8" w:rsidRPr="0025250D" w:rsidRDefault="00537CC8" w:rsidP="00537CC8">
      <w:pPr>
        <w:rPr>
          <w:rtl/>
        </w:rPr>
      </w:pPr>
      <w:r w:rsidRPr="0025250D">
        <w:rPr>
          <w:rFonts w:hint="cs"/>
          <w:rtl/>
        </w:rPr>
        <w:t xml:space="preserve">11. </w:t>
      </w:r>
      <w:r w:rsidRPr="0025250D">
        <w:rPr>
          <w:rFonts w:hint="cs"/>
          <w:b/>
          <w:bCs/>
          <w:rtl/>
        </w:rPr>
        <w:t>ایده پردازی و طراحی</w:t>
      </w:r>
      <w:r w:rsidRPr="0025250D">
        <w:rPr>
          <w:rFonts w:hint="cs"/>
          <w:rtl/>
        </w:rPr>
        <w:t xml:space="preserve"> </w:t>
      </w:r>
      <w:r w:rsidRPr="0025250D">
        <w:rPr>
          <w:rFonts w:cs="Times New Roman" w:hint="cs"/>
          <w:rtl/>
        </w:rPr>
        <w:t>–</w:t>
      </w:r>
      <w:r w:rsidRPr="0025250D">
        <w:rPr>
          <w:rFonts w:hint="cs"/>
          <w:rtl/>
        </w:rPr>
        <w:t xml:space="preserve"> هنوز هیچ انجمن حرفه‌ای برای مدیریت ایده پردازی، فرایندی مهم که یک مقدمه</w:t>
      </w:r>
      <w:r w:rsidRPr="0025250D">
        <w:rPr>
          <w:rFonts w:hint="cs"/>
        </w:rPr>
        <w:t>‌</w:t>
      </w:r>
      <w:r w:rsidRPr="0025250D">
        <w:rPr>
          <w:rFonts w:hint="cs"/>
          <w:rtl/>
        </w:rPr>
        <w:t xml:space="preserve"> بسیار مهم برای نوآوری است و شامل بیان، اندازه گیری و </w:t>
      </w:r>
      <w:r w:rsidR="007118DE" w:rsidRPr="0025250D">
        <w:rPr>
          <w:rFonts w:hint="cs"/>
          <w:rtl/>
        </w:rPr>
        <w:t>اولویت‌بندی</w:t>
      </w:r>
      <w:r w:rsidRPr="0025250D">
        <w:rPr>
          <w:rFonts w:hint="cs"/>
          <w:rtl/>
        </w:rPr>
        <w:t xml:space="preserve"> مسائل شرکت و مشتری، ایجاد انگیزه برای ارائه</w:t>
      </w:r>
      <w:r w:rsidRPr="0025250D">
        <w:rPr>
          <w:rFonts w:hint="cs"/>
        </w:rPr>
        <w:t>‌</w:t>
      </w:r>
      <w:r w:rsidRPr="0025250D">
        <w:rPr>
          <w:rFonts w:hint="cs"/>
          <w:rtl/>
        </w:rPr>
        <w:t xml:space="preserve"> </w:t>
      </w:r>
      <w:r w:rsidR="00923DDB" w:rsidRPr="0025250D">
        <w:rPr>
          <w:rFonts w:hint="cs"/>
          <w:rtl/>
        </w:rPr>
        <w:t>راه‌حل</w:t>
      </w:r>
      <w:r w:rsidRPr="0025250D">
        <w:rPr>
          <w:rFonts w:hint="cs"/>
          <w:rtl/>
        </w:rPr>
        <w:t xml:space="preserve">‌ها (با جوایز، هدایا، مسابقات، شهرت، فرهنگ) و اصلاح و </w:t>
      </w:r>
      <w:r w:rsidR="007118DE" w:rsidRPr="0025250D">
        <w:rPr>
          <w:rFonts w:hint="cs"/>
          <w:rtl/>
        </w:rPr>
        <w:t>اولویت‌بندی</w:t>
      </w:r>
      <w:r w:rsidRPr="0025250D">
        <w:rPr>
          <w:rFonts w:hint="cs"/>
          <w:rtl/>
        </w:rPr>
        <w:t xml:space="preserve"> بهترین ایده هاست، وجود ندارد. خوشبختانه اکنون چندین پلتفرم ارزیابی/مدیریت ایده پردازی خوب و برخی جوامع حل مسئله</w:t>
      </w:r>
      <w:r w:rsidRPr="0025250D">
        <w:rPr>
          <w:rFonts w:hint="cs"/>
        </w:rPr>
        <w:t>‌</w:t>
      </w:r>
      <w:r w:rsidRPr="0025250D">
        <w:rPr>
          <w:rFonts w:hint="cs"/>
          <w:rtl/>
        </w:rPr>
        <w:t xml:space="preserve"> فنی آنلاین بزرگ مانند اینوسنتیو</w:t>
      </w:r>
      <w:r w:rsidRPr="0025250D">
        <w:rPr>
          <w:vertAlign w:val="superscript"/>
          <w:rtl/>
        </w:rPr>
        <w:footnoteReference w:id="1153"/>
      </w:r>
      <w:r w:rsidRPr="0025250D">
        <w:rPr>
          <w:rFonts w:hint="cs"/>
          <w:rtl/>
        </w:rPr>
        <w:t xml:space="preserve"> وجود دارند. کتاب </w:t>
      </w:r>
      <w:r w:rsidR="0063099E" w:rsidRPr="0025250D">
        <w:rPr>
          <w:rtl/>
        </w:rPr>
        <w:t>«</w:t>
      </w:r>
      <w:r w:rsidRPr="0025250D">
        <w:rPr>
          <w:rFonts w:hint="cs"/>
          <w:rtl/>
        </w:rPr>
        <w:t>مسابقات نوآوری</w:t>
      </w:r>
      <w:r w:rsidRPr="0025250D">
        <w:rPr>
          <w:vertAlign w:val="superscript"/>
          <w:rtl/>
        </w:rPr>
        <w:footnoteReference w:id="1154"/>
      </w:r>
      <w:r w:rsidR="0063099E" w:rsidRPr="0025250D">
        <w:rPr>
          <w:rtl/>
        </w:rPr>
        <w:t>»</w:t>
      </w:r>
      <w:r w:rsidRPr="0025250D">
        <w:rPr>
          <w:rFonts w:hint="cs"/>
          <w:rtl/>
        </w:rPr>
        <w:t xml:space="preserve"> اثر </w:t>
      </w:r>
      <w:r w:rsidRPr="0025250D">
        <w:rPr>
          <w:rtl/>
        </w:rPr>
        <w:t>ترو</w:t>
      </w:r>
      <w:r w:rsidRPr="0025250D">
        <w:rPr>
          <w:rFonts w:hint="cs"/>
          <w:rtl/>
        </w:rPr>
        <w:t>ی</w:t>
      </w:r>
      <w:r w:rsidRPr="0025250D">
        <w:rPr>
          <w:rFonts w:hint="eastAsia"/>
          <w:rtl/>
        </w:rPr>
        <w:t>ش</w:t>
      </w:r>
      <w:r w:rsidRPr="0025250D">
        <w:rPr>
          <w:vertAlign w:val="superscript"/>
          <w:rtl/>
        </w:rPr>
        <w:footnoteReference w:id="1155"/>
      </w:r>
      <w:r w:rsidRPr="0025250D">
        <w:rPr>
          <w:rFonts w:hint="cs"/>
          <w:rtl/>
        </w:rPr>
        <w:t xml:space="preserve"> و </w:t>
      </w:r>
      <w:r w:rsidRPr="0025250D">
        <w:rPr>
          <w:rtl/>
        </w:rPr>
        <w:t>اولر</w:t>
      </w:r>
      <w:r w:rsidRPr="0025250D">
        <w:rPr>
          <w:rFonts w:hint="cs"/>
          <w:rtl/>
        </w:rPr>
        <w:t>ی</w:t>
      </w:r>
      <w:r w:rsidRPr="0025250D">
        <w:rPr>
          <w:rFonts w:hint="eastAsia"/>
          <w:rtl/>
        </w:rPr>
        <w:t>ش</w:t>
      </w:r>
      <w:r w:rsidRPr="0025250D">
        <w:rPr>
          <w:vertAlign w:val="superscript"/>
          <w:rtl/>
        </w:rPr>
        <w:footnoteReference w:id="1156"/>
      </w:r>
      <w:r w:rsidRPr="0025250D">
        <w:rPr>
          <w:rFonts w:hint="cs"/>
          <w:rtl/>
        </w:rPr>
        <w:t xml:space="preserve"> در سال 2009 را درمورد اقدامات مناسب در این زمینه ببینید. یک جامعه</w:t>
      </w:r>
      <w:r w:rsidRPr="0025250D">
        <w:rPr>
          <w:rFonts w:hint="cs"/>
        </w:rPr>
        <w:t>‌</w:t>
      </w:r>
      <w:r w:rsidRPr="0025250D">
        <w:rPr>
          <w:rFonts w:hint="cs"/>
          <w:rtl/>
        </w:rPr>
        <w:t xml:space="preserve"> نسبتا مرتبط انجمن خلاقیت آمریکا</w:t>
      </w:r>
      <w:r w:rsidRPr="0025250D">
        <w:rPr>
          <w:vertAlign w:val="superscript"/>
          <w:rtl/>
        </w:rPr>
        <w:footnoteReference w:id="1157"/>
      </w:r>
      <w:r w:rsidRPr="0025250D">
        <w:rPr>
          <w:rFonts w:hint="cs"/>
          <w:rtl/>
        </w:rPr>
        <w:t xml:space="preserve"> (</w:t>
      </w:r>
      <w:r w:rsidRPr="0025250D">
        <w:t>ACA</w:t>
      </w:r>
      <w:r w:rsidRPr="0025250D">
        <w:rPr>
          <w:rFonts w:hint="cs"/>
          <w:rtl/>
        </w:rPr>
        <w:t xml:space="preserve">) می‌باشد. </w:t>
      </w:r>
      <w:r w:rsidR="00FF5B9C" w:rsidRPr="0025250D">
        <w:rPr>
          <w:rFonts w:hint="cs"/>
          <w:rtl/>
        </w:rPr>
        <w:t xml:space="preserve">فعال </w:t>
      </w:r>
      <w:r w:rsidRPr="0025250D">
        <w:rPr>
          <w:rFonts w:hint="cs"/>
          <w:rtl/>
        </w:rPr>
        <w:t xml:space="preserve">از سال 1990. </w:t>
      </w:r>
      <w:r w:rsidR="00FF5B9C" w:rsidRPr="0025250D">
        <w:rPr>
          <w:rFonts w:hint="cs"/>
          <w:rtl/>
        </w:rPr>
        <w:t xml:space="preserve">فعال در زمینه </w:t>
      </w:r>
      <w:r w:rsidRPr="0025250D">
        <w:rPr>
          <w:rFonts w:hint="cs"/>
          <w:rtl/>
        </w:rPr>
        <w:t xml:space="preserve">خلاقیت، حل مسئله، نظریه ایده پردازی، ابزارها، روش ها. آن‌ها یک کنفرانس سالانه را برگزار می‌کنند. </w:t>
      </w:r>
      <w:r w:rsidR="00FF5B9C" w:rsidRPr="0025250D">
        <w:rPr>
          <w:rFonts w:hint="cs"/>
          <w:rtl/>
        </w:rPr>
        <w:t xml:space="preserve">منتشرکننده </w:t>
      </w:r>
      <w:r w:rsidRPr="0025250D">
        <w:rPr>
          <w:rFonts w:hint="cs"/>
          <w:rtl/>
        </w:rPr>
        <w:t>مجله‌های غیر مرتبط: ژورنال تحقیقات خلاقیت</w:t>
      </w:r>
      <w:r w:rsidRPr="0025250D">
        <w:rPr>
          <w:vertAlign w:val="superscript"/>
          <w:rtl/>
        </w:rPr>
        <w:footnoteReference w:id="1158"/>
      </w:r>
      <w:r w:rsidRPr="0025250D">
        <w:rPr>
          <w:rFonts w:hint="cs"/>
          <w:rtl/>
        </w:rPr>
        <w:t xml:space="preserve"> و ژورنال رفتار خلاقانه</w:t>
      </w:r>
      <w:r w:rsidRPr="0025250D">
        <w:rPr>
          <w:vertAlign w:val="superscript"/>
          <w:rtl/>
        </w:rPr>
        <w:footnoteReference w:id="1159"/>
      </w:r>
      <w:r w:rsidRPr="0025250D">
        <w:rPr>
          <w:rFonts w:hint="cs"/>
          <w:rtl/>
        </w:rPr>
        <w:t xml:space="preserve">؛ </w:t>
      </w:r>
      <w:r w:rsidRPr="0025250D">
        <w:t>AIGA</w:t>
      </w:r>
      <w:r w:rsidRPr="0025250D">
        <w:rPr>
          <w:rFonts w:hint="cs"/>
          <w:rtl/>
        </w:rPr>
        <w:t>: انجمن تخصصی طراحی</w:t>
      </w:r>
      <w:r w:rsidRPr="0025250D">
        <w:rPr>
          <w:vertAlign w:val="superscript"/>
          <w:rtl/>
        </w:rPr>
        <w:footnoteReference w:id="1160"/>
      </w:r>
      <w:r w:rsidRPr="0025250D">
        <w:rPr>
          <w:rFonts w:hint="cs"/>
          <w:rtl/>
        </w:rPr>
        <w:t xml:space="preserve"> (</w:t>
      </w:r>
      <w:r w:rsidRPr="0025250D">
        <w:t>AIGA</w:t>
      </w:r>
      <w:r w:rsidRPr="0025250D">
        <w:rPr>
          <w:rFonts w:hint="cs"/>
          <w:rtl/>
        </w:rPr>
        <w:t xml:space="preserve">). </w:t>
      </w:r>
      <w:r w:rsidR="00FF5B9C" w:rsidRPr="0025250D">
        <w:rPr>
          <w:rFonts w:hint="cs"/>
          <w:rtl/>
        </w:rPr>
        <w:t xml:space="preserve">فعال </w:t>
      </w:r>
      <w:r w:rsidRPr="0025250D">
        <w:rPr>
          <w:rFonts w:hint="cs"/>
          <w:rtl/>
        </w:rPr>
        <w:t xml:space="preserve">از سال 1914. طراحی محصول، خدمات و محیط یک تخصص </w:t>
      </w:r>
      <w:r w:rsidRPr="0025250D">
        <w:rPr>
          <w:rtl/>
        </w:rPr>
        <w:t>آینده‌نگاری</w:t>
      </w:r>
      <w:r w:rsidRPr="0025250D">
        <w:rPr>
          <w:rFonts w:hint="cs"/>
          <w:rtl/>
        </w:rPr>
        <w:t xml:space="preserve"> مهم دیگر است که بر ایجاد آینده‌های بهتر، معمولا به شکل دستی و تکرار شونده تمرکز دارد. رقابت‌های طراحی سالانه، جلسات، گروه‌های دانشجویی، توسعه</w:t>
      </w:r>
      <w:r w:rsidRPr="0025250D">
        <w:rPr>
          <w:rFonts w:hint="cs"/>
        </w:rPr>
        <w:t>‌</w:t>
      </w:r>
      <w:r w:rsidRPr="0025250D">
        <w:rPr>
          <w:rFonts w:hint="cs"/>
          <w:rtl/>
        </w:rPr>
        <w:t xml:space="preserve"> حرفه ای. مجله</w:t>
      </w:r>
      <w:r w:rsidRPr="0025250D">
        <w:rPr>
          <w:rFonts w:hint="cs"/>
        </w:rPr>
        <w:t>‌</w:t>
      </w:r>
      <w:r w:rsidRPr="0025250D">
        <w:rPr>
          <w:rFonts w:hint="cs"/>
          <w:rtl/>
        </w:rPr>
        <w:t xml:space="preserve"> مناسب: والپیپر</w:t>
      </w:r>
      <w:r w:rsidRPr="0025250D">
        <w:rPr>
          <w:vertAlign w:val="superscript"/>
          <w:rtl/>
        </w:rPr>
        <w:footnoteReference w:id="1161"/>
      </w:r>
      <w:r w:rsidRPr="0025250D">
        <w:rPr>
          <w:rFonts w:hint="cs"/>
          <w:rtl/>
        </w:rPr>
        <w:t>.</w:t>
      </w:r>
    </w:p>
    <w:p w14:paraId="4C23F6E7" w14:textId="1450B9B2" w:rsidR="00537CC8" w:rsidRPr="0025250D" w:rsidRDefault="00537CC8" w:rsidP="00537CC8">
      <w:pPr>
        <w:rPr>
          <w:rtl/>
        </w:rPr>
      </w:pPr>
      <w:r w:rsidRPr="0025250D">
        <w:rPr>
          <w:rFonts w:hint="cs"/>
          <w:rtl/>
        </w:rPr>
        <w:t xml:space="preserve">12. </w:t>
      </w:r>
      <w:r w:rsidRPr="0025250D">
        <w:rPr>
          <w:rFonts w:hint="cs"/>
          <w:b/>
          <w:bCs/>
          <w:rtl/>
        </w:rPr>
        <w:t>نوآوری و تحقیق و توسعه</w:t>
      </w:r>
      <w:r w:rsidRPr="0025250D">
        <w:rPr>
          <w:rFonts w:hint="cs"/>
          <w:rtl/>
        </w:rPr>
        <w:t xml:space="preserve"> </w:t>
      </w:r>
      <w:r w:rsidRPr="0025250D">
        <w:rPr>
          <w:rFonts w:cs="Times New Roman" w:hint="cs"/>
          <w:rtl/>
        </w:rPr>
        <w:t>–</w:t>
      </w:r>
      <w:r w:rsidRPr="0025250D">
        <w:rPr>
          <w:rFonts w:hint="cs"/>
          <w:rtl/>
        </w:rPr>
        <w:t xml:space="preserve"> جامعه</w:t>
      </w:r>
      <w:r w:rsidRPr="0025250D">
        <w:rPr>
          <w:rFonts w:hint="cs"/>
        </w:rPr>
        <w:t>‌</w:t>
      </w:r>
      <w:r w:rsidRPr="0025250D">
        <w:rPr>
          <w:rFonts w:hint="cs"/>
          <w:rtl/>
        </w:rPr>
        <w:t xml:space="preserve"> بین المللی مدیریت نوآوری</w:t>
      </w:r>
      <w:r w:rsidRPr="0025250D">
        <w:rPr>
          <w:vertAlign w:val="superscript"/>
          <w:rtl/>
        </w:rPr>
        <w:footnoteReference w:id="1162"/>
      </w:r>
      <w:r w:rsidRPr="0025250D">
        <w:rPr>
          <w:rFonts w:hint="cs"/>
          <w:rtl/>
        </w:rPr>
        <w:t xml:space="preserve"> (</w:t>
      </w:r>
      <w:r w:rsidRPr="0025250D">
        <w:t>ISPIM</w:t>
      </w:r>
      <w:r w:rsidRPr="0025250D">
        <w:rPr>
          <w:rFonts w:hint="cs"/>
          <w:rtl/>
        </w:rPr>
        <w:t xml:space="preserve">). </w:t>
      </w:r>
      <w:r w:rsidR="00FF5B9C" w:rsidRPr="0025250D">
        <w:rPr>
          <w:rFonts w:hint="cs"/>
          <w:rtl/>
        </w:rPr>
        <w:t xml:space="preserve">فعال </w:t>
      </w:r>
      <w:r w:rsidRPr="0025250D">
        <w:rPr>
          <w:rFonts w:hint="cs"/>
          <w:rtl/>
        </w:rPr>
        <w:t xml:space="preserve">از سال 1983. رهبران تحقیق و توسعه، صنعتگران، مؤسسات و مشاروان در مدیریت نوآوری. کنفرانس‌های منطقه‌ای </w:t>
      </w:r>
      <w:r w:rsidRPr="0025250D">
        <w:t>ISPIM</w:t>
      </w:r>
      <w:r w:rsidRPr="0025250D">
        <w:rPr>
          <w:rFonts w:hint="cs"/>
          <w:rtl/>
        </w:rPr>
        <w:t xml:space="preserve"> را اجرا می‌کند. </w:t>
      </w:r>
      <w:r w:rsidR="0063099E" w:rsidRPr="0025250D">
        <w:rPr>
          <w:rtl/>
        </w:rPr>
        <w:t>«</w:t>
      </w:r>
      <w:r w:rsidRPr="0025250D">
        <w:rPr>
          <w:rFonts w:hint="cs"/>
          <w:rtl/>
        </w:rPr>
        <w:t>مجله بین المللی مدیریت نوآوری</w:t>
      </w:r>
      <w:r w:rsidRPr="0025250D">
        <w:rPr>
          <w:vertAlign w:val="superscript"/>
          <w:rtl/>
        </w:rPr>
        <w:footnoteReference w:id="1163"/>
      </w:r>
      <w:r w:rsidR="0063099E" w:rsidRPr="0025250D">
        <w:rPr>
          <w:rtl/>
        </w:rPr>
        <w:t>»</w:t>
      </w:r>
      <w:r w:rsidRPr="0025250D">
        <w:rPr>
          <w:rFonts w:hint="cs"/>
          <w:rtl/>
        </w:rPr>
        <w:t xml:space="preserve"> را منتشر می‌کند. انجمن مدیریت تحقیق و توسعه</w:t>
      </w:r>
      <w:r w:rsidRPr="0025250D">
        <w:rPr>
          <w:vertAlign w:val="superscript"/>
          <w:rtl/>
        </w:rPr>
        <w:footnoteReference w:id="1164"/>
      </w:r>
      <w:r w:rsidRPr="0025250D">
        <w:rPr>
          <w:rFonts w:hint="cs"/>
          <w:rtl/>
        </w:rPr>
        <w:t xml:space="preserve"> (</w:t>
      </w:r>
      <w:r w:rsidRPr="0025250D">
        <w:t>RADMA</w:t>
      </w:r>
      <w:r w:rsidRPr="0025250D">
        <w:rPr>
          <w:rFonts w:hint="cs"/>
          <w:rtl/>
        </w:rPr>
        <w:t xml:space="preserve">). مجله آکادمیک و </w:t>
      </w:r>
      <w:r w:rsidR="00B124DE" w:rsidRPr="0025250D">
        <w:rPr>
          <w:rFonts w:hint="cs"/>
          <w:rtl/>
        </w:rPr>
        <w:t>کسب‌و‌کار</w:t>
      </w:r>
      <w:r w:rsidRPr="0025250D">
        <w:rPr>
          <w:rFonts w:hint="cs"/>
          <w:rtl/>
        </w:rPr>
        <w:t xml:space="preserve"> مدیریت تحقیق و توسعه</w:t>
      </w:r>
      <w:r w:rsidRPr="0025250D">
        <w:rPr>
          <w:vertAlign w:val="superscript"/>
          <w:rtl/>
        </w:rPr>
        <w:footnoteReference w:id="1165"/>
      </w:r>
      <w:r w:rsidRPr="0025250D">
        <w:rPr>
          <w:rFonts w:hint="cs"/>
          <w:rtl/>
        </w:rPr>
        <w:t xml:space="preserve"> را منتشر می‌کند.</w:t>
      </w:r>
    </w:p>
    <w:p w14:paraId="1AC3E8DE" w14:textId="65682F49" w:rsidR="00537CC8" w:rsidRPr="0025250D" w:rsidRDefault="00537CC8" w:rsidP="0063099E">
      <w:pPr>
        <w:rPr>
          <w:rtl/>
        </w:rPr>
      </w:pPr>
      <w:r w:rsidRPr="0025250D">
        <w:rPr>
          <w:rFonts w:hint="cs"/>
          <w:rtl/>
        </w:rPr>
        <w:t xml:space="preserve">13. </w:t>
      </w:r>
      <w:r w:rsidRPr="0025250D">
        <w:rPr>
          <w:rFonts w:hint="cs"/>
          <w:b/>
          <w:bCs/>
          <w:rtl/>
        </w:rPr>
        <w:t>مدیریت اطلاعات و دانش</w:t>
      </w:r>
      <w:r w:rsidRPr="0025250D">
        <w:rPr>
          <w:rFonts w:hint="cs"/>
          <w:rtl/>
        </w:rPr>
        <w:t xml:space="preserve"> </w:t>
      </w:r>
      <w:r w:rsidRPr="0025250D">
        <w:rPr>
          <w:rFonts w:cs="Times New Roman" w:hint="cs"/>
          <w:rtl/>
        </w:rPr>
        <w:t>–</w:t>
      </w:r>
      <w:r w:rsidRPr="0025250D">
        <w:rPr>
          <w:rFonts w:hint="cs"/>
          <w:rtl/>
        </w:rPr>
        <w:t xml:space="preserve"> جامعه</w:t>
      </w:r>
      <w:r w:rsidRPr="0025250D">
        <w:rPr>
          <w:rFonts w:hint="cs"/>
        </w:rPr>
        <w:t>‌</w:t>
      </w:r>
      <w:r w:rsidRPr="0025250D">
        <w:rPr>
          <w:rFonts w:hint="cs"/>
          <w:rtl/>
        </w:rPr>
        <w:t xml:space="preserve"> آکادمیک اطلاعات جمعی</w:t>
      </w:r>
      <w:r w:rsidRPr="0025250D">
        <w:rPr>
          <w:vertAlign w:val="superscript"/>
          <w:rtl/>
        </w:rPr>
        <w:footnoteReference w:id="1166"/>
      </w:r>
      <w:r w:rsidRPr="0025250D">
        <w:rPr>
          <w:rFonts w:hint="cs"/>
          <w:rtl/>
        </w:rPr>
        <w:t xml:space="preserve"> (</w:t>
      </w:r>
      <w:r w:rsidRPr="0025250D">
        <w:t>CIAC</w:t>
      </w:r>
      <w:r w:rsidRPr="0025250D">
        <w:rPr>
          <w:rFonts w:hint="cs"/>
          <w:rtl/>
        </w:rPr>
        <w:t xml:space="preserve">). </w:t>
      </w:r>
      <w:r w:rsidR="00FF5B9C" w:rsidRPr="0025250D">
        <w:rPr>
          <w:rFonts w:hint="cs"/>
          <w:rtl/>
        </w:rPr>
        <w:t xml:space="preserve">فعال در زمینه </w:t>
      </w:r>
      <w:r w:rsidRPr="0025250D">
        <w:rPr>
          <w:rFonts w:hint="cs"/>
          <w:rtl/>
        </w:rPr>
        <w:t>پلتف</w:t>
      </w:r>
      <w:r w:rsidR="00FF5B9C" w:rsidRPr="0025250D">
        <w:rPr>
          <w:rFonts w:hint="cs"/>
          <w:rtl/>
        </w:rPr>
        <w:t>رم</w:t>
      </w:r>
      <w:r w:rsidRPr="0025250D">
        <w:rPr>
          <w:rFonts w:hint="cs"/>
          <w:rtl/>
        </w:rPr>
        <w:t xml:space="preserve">‌های </w:t>
      </w:r>
      <w:r w:rsidRPr="0025250D">
        <w:t>CI</w:t>
      </w:r>
      <w:r w:rsidRPr="0025250D">
        <w:rPr>
          <w:rFonts w:hint="cs"/>
          <w:rtl/>
        </w:rPr>
        <w:t xml:space="preserve"> دیجیتال، تعامل انسان و کامپیوتر، </w:t>
      </w:r>
      <w:r w:rsidR="00BB406C" w:rsidRPr="0025250D">
        <w:rPr>
          <w:rFonts w:hint="cs"/>
          <w:rtl/>
        </w:rPr>
        <w:t>جمع‌سپاری</w:t>
      </w:r>
      <w:r w:rsidRPr="0025250D">
        <w:rPr>
          <w:rFonts w:hint="cs"/>
          <w:rtl/>
        </w:rPr>
        <w:t>، حل مسئله جمعی</w:t>
      </w:r>
      <w:r w:rsidRPr="0025250D">
        <w:rPr>
          <w:vertAlign w:val="superscript"/>
          <w:rtl/>
        </w:rPr>
        <w:footnoteReference w:id="1167"/>
      </w:r>
      <w:r w:rsidRPr="0025250D">
        <w:rPr>
          <w:rFonts w:hint="cs"/>
          <w:rtl/>
        </w:rPr>
        <w:t>، تامین مالی جمعی</w:t>
      </w:r>
      <w:r w:rsidRPr="0025250D">
        <w:rPr>
          <w:vertAlign w:val="superscript"/>
          <w:rtl/>
        </w:rPr>
        <w:footnoteReference w:id="1168"/>
      </w:r>
      <w:r w:rsidRPr="0025250D">
        <w:rPr>
          <w:rFonts w:hint="cs"/>
          <w:rtl/>
        </w:rPr>
        <w:t xml:space="preserve"> و بنیان گذاری جمعی</w:t>
      </w:r>
      <w:r w:rsidRPr="0025250D">
        <w:rPr>
          <w:vertAlign w:val="superscript"/>
          <w:rtl/>
        </w:rPr>
        <w:footnoteReference w:id="1169"/>
      </w:r>
      <w:r w:rsidRPr="0025250D">
        <w:rPr>
          <w:rFonts w:hint="cs"/>
          <w:rtl/>
        </w:rPr>
        <w:t xml:space="preserve">، مشوق‌ها و پویایی‌های گروهی؛ متخصصین اطلاعات </w:t>
      </w:r>
      <w:r w:rsidR="00701E03" w:rsidRPr="0025250D">
        <w:rPr>
          <w:rFonts w:hint="cs"/>
          <w:rtl/>
        </w:rPr>
        <w:t>راهبردی</w:t>
      </w:r>
      <w:r w:rsidRPr="0025250D">
        <w:rPr>
          <w:rFonts w:hint="cs"/>
          <w:rtl/>
        </w:rPr>
        <w:t xml:space="preserve"> و رقابتی</w:t>
      </w:r>
      <w:r w:rsidRPr="0025250D">
        <w:rPr>
          <w:vertAlign w:val="superscript"/>
          <w:rtl/>
        </w:rPr>
        <w:footnoteReference w:id="1170"/>
      </w:r>
      <w:r w:rsidRPr="0025250D">
        <w:rPr>
          <w:rFonts w:hint="cs"/>
          <w:rtl/>
        </w:rPr>
        <w:t xml:space="preserve"> (</w:t>
      </w:r>
      <w:r w:rsidRPr="0025250D">
        <w:t>SCIP</w:t>
      </w:r>
      <w:r w:rsidRPr="0025250D">
        <w:rPr>
          <w:rFonts w:hint="cs"/>
          <w:rtl/>
        </w:rPr>
        <w:t xml:space="preserve">). </w:t>
      </w:r>
      <w:r w:rsidR="00FF5B9C" w:rsidRPr="0025250D">
        <w:rPr>
          <w:rFonts w:hint="cs"/>
          <w:rtl/>
        </w:rPr>
        <w:t xml:space="preserve">فعال </w:t>
      </w:r>
      <w:r w:rsidRPr="0025250D">
        <w:rPr>
          <w:rFonts w:hint="cs"/>
          <w:rtl/>
        </w:rPr>
        <w:t>از سال 1986. به متخصصین در اطلاعات رقابتی (</w:t>
      </w:r>
      <w:r w:rsidR="00B124DE" w:rsidRPr="0025250D">
        <w:rPr>
          <w:rFonts w:hint="cs"/>
          <w:rtl/>
        </w:rPr>
        <w:t>جمع‌آوری</w:t>
      </w:r>
      <w:r w:rsidRPr="0025250D">
        <w:rPr>
          <w:rFonts w:hint="cs"/>
          <w:rtl/>
        </w:rPr>
        <w:t xml:space="preserve"> و تحلیل اطلاعات قانونی و اخلاقی) کمک می‌کند. یک کنفرانس سالانه و طرح‌های منطقه‌ای را اجرا می‌کند. مجله</w:t>
      </w:r>
      <w:r w:rsidRPr="0025250D">
        <w:rPr>
          <w:rFonts w:hint="cs"/>
        </w:rPr>
        <w:t>‌</w:t>
      </w:r>
      <w:r w:rsidRPr="0025250D">
        <w:rPr>
          <w:rFonts w:hint="cs"/>
          <w:rtl/>
        </w:rPr>
        <w:t xml:space="preserve"> </w:t>
      </w:r>
      <w:r w:rsidR="0063099E" w:rsidRPr="0025250D">
        <w:rPr>
          <w:rtl/>
        </w:rPr>
        <w:t>«</w:t>
      </w:r>
      <w:r w:rsidRPr="0025250D">
        <w:rPr>
          <w:rFonts w:hint="cs"/>
          <w:rtl/>
        </w:rPr>
        <w:t>دوماهانه</w:t>
      </w:r>
      <w:r w:rsidR="0063099E" w:rsidRPr="0025250D">
        <w:rPr>
          <w:rFonts w:hint="cs"/>
          <w:rtl/>
        </w:rPr>
        <w:t xml:space="preserve"> </w:t>
      </w:r>
      <w:r w:rsidR="0063099E" w:rsidRPr="0025250D">
        <w:rPr>
          <w:rFonts w:hint="cs"/>
        </w:rPr>
        <w:t>‌</w:t>
      </w:r>
      <w:r w:rsidRPr="0025250D">
        <w:t>CI</w:t>
      </w:r>
      <w:r w:rsidR="0063099E" w:rsidRPr="0025250D">
        <w:rPr>
          <w:rFonts w:hint="cs"/>
          <w:rtl/>
        </w:rPr>
        <w:t>»</w:t>
      </w:r>
      <w:r w:rsidRPr="0025250D">
        <w:rPr>
          <w:rFonts w:hint="cs"/>
          <w:rtl/>
        </w:rPr>
        <w:t>؛ جامعه</w:t>
      </w:r>
      <w:r w:rsidRPr="0025250D">
        <w:rPr>
          <w:rFonts w:hint="cs"/>
        </w:rPr>
        <w:t>‌</w:t>
      </w:r>
      <w:r w:rsidRPr="0025250D">
        <w:rPr>
          <w:rFonts w:hint="cs"/>
          <w:rtl/>
        </w:rPr>
        <w:t xml:space="preserve"> تخصصی مدیریت دانش</w:t>
      </w:r>
      <w:r w:rsidRPr="0025250D">
        <w:rPr>
          <w:vertAlign w:val="superscript"/>
          <w:rtl/>
        </w:rPr>
        <w:footnoteReference w:id="1171"/>
      </w:r>
      <w:r w:rsidRPr="0025250D">
        <w:rPr>
          <w:rFonts w:hint="cs"/>
          <w:rtl/>
        </w:rPr>
        <w:t xml:space="preserve"> (</w:t>
      </w:r>
      <w:r w:rsidRPr="0025250D">
        <w:t>KMPro</w:t>
      </w:r>
      <w:r w:rsidRPr="0025250D">
        <w:rPr>
          <w:rFonts w:hint="cs"/>
          <w:rtl/>
        </w:rPr>
        <w:t>). بزرگترین گروه عملی مدیریت دانش. گواهینامه‌ها و آموزش‌هایی را ارائه می‌دهد. مدیریت دانش یک زمینه</w:t>
      </w:r>
      <w:r w:rsidRPr="0025250D">
        <w:rPr>
          <w:rFonts w:hint="cs"/>
        </w:rPr>
        <w:t>‌</w:t>
      </w:r>
      <w:r w:rsidRPr="0025250D">
        <w:rPr>
          <w:rFonts w:hint="cs"/>
          <w:rtl/>
        </w:rPr>
        <w:t xml:space="preserve"> دیگر است که در ابتدای توسعه قرار دارد.</w:t>
      </w:r>
      <w:r w:rsidR="0008779C" w:rsidRPr="0025250D">
        <w:rPr>
          <w:rFonts w:hint="cs"/>
          <w:rtl/>
        </w:rPr>
        <w:t xml:space="preserve"> بیش‌تر</w:t>
      </w:r>
      <w:r w:rsidRPr="0025250D">
        <w:rPr>
          <w:rFonts w:hint="cs"/>
          <w:rtl/>
        </w:rPr>
        <w:t xml:space="preserve"> سازمان‌ها حتی ویکی ها</w:t>
      </w:r>
      <w:r w:rsidRPr="0025250D">
        <w:rPr>
          <w:vertAlign w:val="superscript"/>
          <w:rtl/>
        </w:rPr>
        <w:footnoteReference w:id="1172"/>
      </w:r>
      <w:r w:rsidRPr="0025250D">
        <w:rPr>
          <w:rFonts w:hint="cs"/>
          <w:rtl/>
        </w:rPr>
        <w:t xml:space="preserve"> یا مشوق‌های خوبی برای اکتساب و اصلاح دانش سازمانی عمیق خود ندارند.</w:t>
      </w:r>
    </w:p>
    <w:p w14:paraId="68C9442B" w14:textId="548CDBEC" w:rsidR="00537CC8" w:rsidRPr="0025250D" w:rsidRDefault="00537CC8" w:rsidP="00537CC8">
      <w:pPr>
        <w:rPr>
          <w:rtl/>
        </w:rPr>
      </w:pPr>
      <w:r w:rsidRPr="0025250D">
        <w:rPr>
          <w:rFonts w:hint="cs"/>
          <w:rtl/>
        </w:rPr>
        <w:t xml:space="preserve">14. </w:t>
      </w:r>
      <w:r w:rsidR="00F50EB4" w:rsidRPr="0025250D">
        <w:rPr>
          <w:rFonts w:hint="cs"/>
          <w:b/>
          <w:bCs/>
          <w:rtl/>
        </w:rPr>
        <w:t>سرمایه‌گذاری</w:t>
      </w:r>
      <w:r w:rsidRPr="0025250D">
        <w:rPr>
          <w:rFonts w:hint="cs"/>
          <w:b/>
          <w:bCs/>
          <w:rtl/>
        </w:rPr>
        <w:t xml:space="preserve"> و امور مالی</w:t>
      </w:r>
      <w:r w:rsidRPr="0025250D">
        <w:rPr>
          <w:rFonts w:hint="cs"/>
          <w:rtl/>
        </w:rPr>
        <w:t>- مؤسسه</w:t>
      </w:r>
      <w:r w:rsidRPr="0025250D">
        <w:rPr>
          <w:rFonts w:hint="cs"/>
        </w:rPr>
        <w:t xml:space="preserve">‌ </w:t>
      </w:r>
      <w:r w:rsidRPr="0025250D">
        <w:t>CFA</w:t>
      </w:r>
      <w:r w:rsidRPr="0025250D">
        <w:rPr>
          <w:vertAlign w:val="superscript"/>
        </w:rPr>
        <w:footnoteReference w:id="1173"/>
      </w:r>
      <w:r w:rsidRPr="0025250D">
        <w:rPr>
          <w:rFonts w:hint="cs"/>
          <w:rtl/>
        </w:rPr>
        <w:t xml:space="preserve"> (</w:t>
      </w:r>
      <w:r w:rsidRPr="0025250D">
        <w:t>CFAI</w:t>
      </w:r>
      <w:r w:rsidRPr="0025250D">
        <w:rPr>
          <w:rFonts w:hint="cs"/>
          <w:rtl/>
        </w:rPr>
        <w:t xml:space="preserve">). </w:t>
      </w:r>
      <w:r w:rsidR="00FF5B9C" w:rsidRPr="0025250D">
        <w:rPr>
          <w:rFonts w:hint="cs"/>
          <w:rtl/>
        </w:rPr>
        <w:t xml:space="preserve">فعال </w:t>
      </w:r>
      <w:r w:rsidRPr="0025250D">
        <w:rPr>
          <w:rFonts w:hint="cs"/>
          <w:rtl/>
        </w:rPr>
        <w:t xml:space="preserve">از سال 1946. انجمنی جهانی از 110 هزار متخصص </w:t>
      </w:r>
      <w:r w:rsidR="00F50EB4" w:rsidRPr="0025250D">
        <w:rPr>
          <w:rFonts w:hint="cs"/>
          <w:rtl/>
        </w:rPr>
        <w:t>سرمایه‌گذاری</w:t>
      </w:r>
      <w:r w:rsidRPr="0025250D">
        <w:rPr>
          <w:rFonts w:hint="cs"/>
          <w:rtl/>
        </w:rPr>
        <w:t>. گواهینامه</w:t>
      </w:r>
      <w:r w:rsidRPr="0025250D">
        <w:rPr>
          <w:rFonts w:hint="cs"/>
        </w:rPr>
        <w:t>‌</w:t>
      </w:r>
      <w:r w:rsidRPr="0025250D">
        <w:rPr>
          <w:rFonts w:hint="cs"/>
          <w:rtl/>
        </w:rPr>
        <w:t xml:space="preserve"> تحلیلگر مالی ثبت شده</w:t>
      </w:r>
      <w:r w:rsidRPr="0025250D">
        <w:rPr>
          <w:vertAlign w:val="superscript"/>
          <w:rtl/>
        </w:rPr>
        <w:footnoteReference w:id="1174"/>
      </w:r>
      <w:r w:rsidRPr="0025250D">
        <w:rPr>
          <w:rFonts w:hint="cs"/>
          <w:rtl/>
        </w:rPr>
        <w:t xml:space="preserve"> (</w:t>
      </w:r>
      <w:r w:rsidRPr="0025250D">
        <w:t>CFA</w:t>
      </w:r>
      <w:r w:rsidRPr="0025250D">
        <w:rPr>
          <w:rFonts w:hint="cs"/>
          <w:rtl/>
        </w:rPr>
        <w:t xml:space="preserve">) و دیگر گواهینامه‌ها را ارائه می‌دهد. </w:t>
      </w:r>
      <w:r w:rsidR="00FF5B9C" w:rsidRPr="0025250D">
        <w:rPr>
          <w:rFonts w:hint="cs"/>
          <w:rtl/>
        </w:rPr>
        <w:t xml:space="preserve">برگزارکننده </w:t>
      </w:r>
      <w:r w:rsidRPr="0025250D">
        <w:rPr>
          <w:rFonts w:hint="cs"/>
          <w:rtl/>
        </w:rPr>
        <w:t xml:space="preserve">کنفرانس‌ها، وبینار‌ها و رویدادها. </w:t>
      </w:r>
      <w:r w:rsidR="00FF5B9C" w:rsidRPr="0025250D">
        <w:rPr>
          <w:rFonts w:hint="cs"/>
          <w:rtl/>
        </w:rPr>
        <w:t xml:space="preserve">منتشرکننده </w:t>
      </w:r>
      <w:r w:rsidRPr="0025250D">
        <w:rPr>
          <w:rFonts w:hint="cs"/>
          <w:rtl/>
        </w:rPr>
        <w:t>مجله تحلیلگر مالی</w:t>
      </w:r>
      <w:r w:rsidRPr="0025250D">
        <w:rPr>
          <w:vertAlign w:val="superscript"/>
          <w:rtl/>
        </w:rPr>
        <w:footnoteReference w:id="1175"/>
      </w:r>
      <w:r w:rsidRPr="0025250D">
        <w:rPr>
          <w:rFonts w:hint="cs"/>
          <w:rtl/>
        </w:rPr>
        <w:t>، مجله</w:t>
      </w:r>
      <w:r w:rsidRPr="0025250D">
        <w:rPr>
          <w:rFonts w:hint="cs"/>
        </w:rPr>
        <w:t>‌</w:t>
      </w:r>
      <w:r w:rsidRPr="0025250D">
        <w:rPr>
          <w:rFonts w:hint="cs"/>
          <w:rtl/>
        </w:rPr>
        <w:t xml:space="preserve"> مؤسسه</w:t>
      </w:r>
      <w:r w:rsidRPr="0025250D">
        <w:rPr>
          <w:rFonts w:hint="cs"/>
        </w:rPr>
        <w:t xml:space="preserve">‌ </w:t>
      </w:r>
      <w:r w:rsidRPr="0025250D">
        <w:t>CFA</w:t>
      </w:r>
      <w:r w:rsidRPr="0025250D">
        <w:rPr>
          <w:vertAlign w:val="superscript"/>
        </w:rPr>
        <w:footnoteReference w:id="1176"/>
      </w:r>
      <w:r w:rsidRPr="0025250D">
        <w:rPr>
          <w:rFonts w:hint="cs"/>
          <w:rtl/>
        </w:rPr>
        <w:t xml:space="preserve">. </w:t>
      </w:r>
      <w:r w:rsidR="00127288" w:rsidRPr="0025250D">
        <w:rPr>
          <w:rFonts w:hint="cs"/>
          <w:rtl/>
        </w:rPr>
        <w:t>بدیل</w:t>
      </w:r>
      <w:r w:rsidRPr="0025250D">
        <w:rPr>
          <w:rFonts w:hint="cs"/>
          <w:rtl/>
        </w:rPr>
        <w:t>: انجمن سرمایه گذاران فردی آمریکا</w:t>
      </w:r>
      <w:r w:rsidRPr="0025250D">
        <w:rPr>
          <w:vertAlign w:val="superscript"/>
          <w:rtl/>
        </w:rPr>
        <w:footnoteReference w:id="1177"/>
      </w:r>
      <w:r w:rsidRPr="0025250D">
        <w:rPr>
          <w:rFonts w:hint="cs"/>
          <w:rtl/>
        </w:rPr>
        <w:t xml:space="preserve"> (</w:t>
      </w:r>
      <w:r w:rsidRPr="0025250D">
        <w:t>AAII</w:t>
      </w:r>
      <w:r w:rsidRPr="0025250D">
        <w:rPr>
          <w:rFonts w:hint="cs"/>
          <w:rtl/>
        </w:rPr>
        <w:t>).</w:t>
      </w:r>
      <w:r w:rsidR="00FF5B9C" w:rsidRPr="0025250D">
        <w:rPr>
          <w:rFonts w:hint="cs"/>
          <w:rtl/>
        </w:rPr>
        <w:t xml:space="preserve"> دارای</w:t>
      </w:r>
      <w:r w:rsidRPr="0025250D">
        <w:rPr>
          <w:rFonts w:hint="cs"/>
          <w:rtl/>
        </w:rPr>
        <w:t xml:space="preserve"> 150 هزار عضو. </w:t>
      </w:r>
      <w:r w:rsidR="00FF5B9C" w:rsidRPr="0025250D">
        <w:rPr>
          <w:rFonts w:hint="cs"/>
          <w:rtl/>
        </w:rPr>
        <w:t xml:space="preserve">منتشرکننده </w:t>
      </w:r>
      <w:r w:rsidRPr="0025250D">
        <w:rPr>
          <w:rFonts w:hint="cs"/>
          <w:rtl/>
        </w:rPr>
        <w:t>مجله</w:t>
      </w:r>
      <w:r w:rsidRPr="0025250D">
        <w:rPr>
          <w:rFonts w:hint="cs"/>
        </w:rPr>
        <w:t xml:space="preserve">‌ </w:t>
      </w:r>
      <w:r w:rsidRPr="0025250D">
        <w:t>AAII</w:t>
      </w:r>
      <w:r w:rsidRPr="0025250D">
        <w:rPr>
          <w:vertAlign w:val="superscript"/>
        </w:rPr>
        <w:footnoteReference w:id="1178"/>
      </w:r>
      <w:r w:rsidRPr="0025250D">
        <w:rPr>
          <w:rFonts w:hint="cs"/>
          <w:rtl/>
        </w:rPr>
        <w:t>، کنفرانس؛ جوامع تخصصی امور مالی متعددی وجود دارند. یک مورد برای کارآفرینان انجمن</w:t>
      </w:r>
      <w:r w:rsidRPr="0025250D">
        <w:rPr>
          <w:rtl/>
        </w:rPr>
        <w:t xml:space="preserve"> </w:t>
      </w:r>
      <w:r w:rsidRPr="0025250D">
        <w:rPr>
          <w:rFonts w:hint="cs"/>
          <w:rtl/>
        </w:rPr>
        <w:t>ملی</w:t>
      </w:r>
      <w:r w:rsidRPr="0025250D">
        <w:rPr>
          <w:rtl/>
        </w:rPr>
        <w:t xml:space="preserve"> </w:t>
      </w:r>
      <w:r w:rsidR="00F50EB4" w:rsidRPr="0025250D">
        <w:rPr>
          <w:rFonts w:hint="cs"/>
          <w:rtl/>
        </w:rPr>
        <w:t>سرمایه‌گذاری</w:t>
      </w:r>
      <w:r w:rsidRPr="0025250D">
        <w:rPr>
          <w:rtl/>
        </w:rPr>
        <w:t xml:space="preserve"> </w:t>
      </w:r>
      <w:r w:rsidRPr="0025250D">
        <w:rPr>
          <w:rFonts w:hint="cs"/>
          <w:rtl/>
        </w:rPr>
        <w:t>خطرپذیر</w:t>
      </w:r>
      <w:r w:rsidRPr="0025250D">
        <w:rPr>
          <w:vertAlign w:val="superscript"/>
          <w:rtl/>
        </w:rPr>
        <w:footnoteReference w:id="1179"/>
      </w:r>
      <w:r w:rsidRPr="0025250D">
        <w:rPr>
          <w:rFonts w:hint="cs"/>
          <w:rtl/>
        </w:rPr>
        <w:t xml:space="preserve"> (</w:t>
      </w:r>
      <w:r w:rsidRPr="0025250D">
        <w:t>NVCA</w:t>
      </w:r>
      <w:r w:rsidRPr="0025250D">
        <w:rPr>
          <w:rFonts w:hint="cs"/>
          <w:rtl/>
        </w:rPr>
        <w:t xml:space="preserve">) می‌باشد. </w:t>
      </w:r>
      <w:r w:rsidR="00FF5B9C" w:rsidRPr="0025250D">
        <w:rPr>
          <w:rFonts w:hint="cs"/>
          <w:rtl/>
        </w:rPr>
        <w:t xml:space="preserve">حامی </w:t>
      </w:r>
      <w:r w:rsidRPr="0025250D">
        <w:rPr>
          <w:rFonts w:hint="cs"/>
          <w:rtl/>
        </w:rPr>
        <w:t>رویدادها و پلتفرم‌های جهانی برای کارآفرینان، سرمایه گذاران خیرخواه</w:t>
      </w:r>
      <w:r w:rsidRPr="0025250D">
        <w:rPr>
          <w:vertAlign w:val="superscript"/>
          <w:rtl/>
        </w:rPr>
        <w:footnoteReference w:id="1180"/>
      </w:r>
      <w:r w:rsidRPr="0025250D">
        <w:rPr>
          <w:rFonts w:hint="cs"/>
          <w:rtl/>
        </w:rPr>
        <w:t xml:space="preserve"> و </w:t>
      </w:r>
      <w:r w:rsidR="00B0171C" w:rsidRPr="0025250D">
        <w:rPr>
          <w:rFonts w:hint="cs"/>
          <w:rtl/>
        </w:rPr>
        <w:t xml:space="preserve"> سرمایه‌دار</w:t>
      </w:r>
      <w:r w:rsidRPr="0025250D">
        <w:rPr>
          <w:rFonts w:hint="cs"/>
          <w:rtl/>
        </w:rPr>
        <w:t>ان خطر پذیر</w:t>
      </w:r>
      <w:r w:rsidRPr="0025250D">
        <w:rPr>
          <w:vertAlign w:val="superscript"/>
          <w:rtl/>
        </w:rPr>
        <w:footnoteReference w:id="1181"/>
      </w:r>
      <w:r w:rsidRPr="0025250D">
        <w:rPr>
          <w:rFonts w:hint="cs"/>
          <w:rtl/>
        </w:rPr>
        <w:t>.</w:t>
      </w:r>
    </w:p>
    <w:p w14:paraId="0C491651" w14:textId="1C0EF131" w:rsidR="00537CC8" w:rsidRPr="0025250D" w:rsidRDefault="00537CC8" w:rsidP="00537CC8">
      <w:pPr>
        <w:rPr>
          <w:rtl/>
        </w:rPr>
      </w:pPr>
      <w:r w:rsidRPr="0025250D">
        <w:rPr>
          <w:rFonts w:hint="cs"/>
          <w:rtl/>
        </w:rPr>
        <w:t xml:space="preserve">15. </w:t>
      </w:r>
      <w:r w:rsidRPr="0025250D">
        <w:rPr>
          <w:rFonts w:hint="cs"/>
          <w:b/>
          <w:bCs/>
          <w:rtl/>
        </w:rPr>
        <w:t>قانون و امنیت</w:t>
      </w:r>
      <w:r w:rsidRPr="0025250D">
        <w:rPr>
          <w:rFonts w:hint="cs"/>
          <w:rtl/>
        </w:rPr>
        <w:t xml:space="preserve"> </w:t>
      </w:r>
      <w:r w:rsidRPr="0025250D">
        <w:rPr>
          <w:rFonts w:cs="Times New Roman" w:hint="cs"/>
          <w:rtl/>
        </w:rPr>
        <w:t>–</w:t>
      </w:r>
      <w:r w:rsidRPr="0025250D">
        <w:rPr>
          <w:rFonts w:hint="cs"/>
          <w:rtl/>
        </w:rPr>
        <w:t xml:space="preserve"> انجمن</w:t>
      </w:r>
      <w:r w:rsidRPr="0025250D">
        <w:rPr>
          <w:rtl/>
        </w:rPr>
        <w:t xml:space="preserve"> </w:t>
      </w:r>
      <w:r w:rsidRPr="0025250D">
        <w:rPr>
          <w:rFonts w:hint="cs"/>
          <w:rtl/>
        </w:rPr>
        <w:t>وکلای</w:t>
      </w:r>
      <w:r w:rsidRPr="0025250D">
        <w:rPr>
          <w:rtl/>
        </w:rPr>
        <w:t xml:space="preserve"> </w:t>
      </w:r>
      <w:r w:rsidRPr="0025250D">
        <w:rPr>
          <w:rFonts w:hint="cs"/>
          <w:rtl/>
        </w:rPr>
        <w:t>آمریکا</w:t>
      </w:r>
      <w:r w:rsidRPr="0025250D">
        <w:rPr>
          <w:vertAlign w:val="superscript"/>
          <w:rtl/>
        </w:rPr>
        <w:footnoteReference w:id="1182"/>
      </w:r>
      <w:r w:rsidRPr="0025250D">
        <w:rPr>
          <w:rFonts w:hint="cs"/>
          <w:rtl/>
        </w:rPr>
        <w:t xml:space="preserve"> (</w:t>
      </w:r>
      <w:r w:rsidRPr="0025250D">
        <w:t>ABA</w:t>
      </w:r>
      <w:r w:rsidRPr="0025250D">
        <w:rPr>
          <w:rFonts w:hint="cs"/>
          <w:rtl/>
        </w:rPr>
        <w:t xml:space="preserve">). </w:t>
      </w:r>
      <w:r w:rsidR="00FF5B9C" w:rsidRPr="0025250D">
        <w:rPr>
          <w:rFonts w:hint="cs"/>
          <w:rtl/>
        </w:rPr>
        <w:t xml:space="preserve">فعال </w:t>
      </w:r>
      <w:r w:rsidRPr="0025250D">
        <w:rPr>
          <w:rFonts w:hint="cs"/>
          <w:rtl/>
        </w:rPr>
        <w:t>از سال 1878. برای وکلا و غیر وکلا. ارتقا</w:t>
      </w:r>
      <w:r w:rsidR="00FF5B9C" w:rsidRPr="0025250D">
        <w:rPr>
          <w:rFonts w:hint="cs"/>
          <w:rtl/>
        </w:rPr>
        <w:t>ی</w:t>
      </w:r>
      <w:r w:rsidRPr="0025250D">
        <w:rPr>
          <w:rFonts w:hint="cs"/>
          <w:rtl/>
        </w:rPr>
        <w:t xml:space="preserve"> تخصص قانونی، پیش برد حکم فرمایی قانون.</w:t>
      </w:r>
      <w:r w:rsidR="00FF5B9C" w:rsidRPr="0025250D">
        <w:rPr>
          <w:rFonts w:hint="cs"/>
          <w:rtl/>
        </w:rPr>
        <w:t xml:space="preserve"> دارای</w:t>
      </w:r>
      <w:r w:rsidRPr="0025250D">
        <w:rPr>
          <w:rFonts w:hint="cs"/>
          <w:rtl/>
        </w:rPr>
        <w:t xml:space="preserve"> 400 هزار نفر عضو. </w:t>
      </w:r>
      <w:r w:rsidR="00FF5B9C" w:rsidRPr="0025250D">
        <w:rPr>
          <w:rFonts w:hint="cs"/>
          <w:rtl/>
        </w:rPr>
        <w:t xml:space="preserve">حامی </w:t>
      </w:r>
      <w:r w:rsidRPr="0025250D">
        <w:rPr>
          <w:rFonts w:hint="cs"/>
          <w:rtl/>
        </w:rPr>
        <w:t>گروه‌ها وکلای مدافع</w:t>
      </w:r>
      <w:r w:rsidRPr="0025250D">
        <w:rPr>
          <w:vertAlign w:val="superscript"/>
          <w:rtl/>
        </w:rPr>
        <w:footnoteReference w:id="1183"/>
      </w:r>
      <w:r w:rsidRPr="0025250D">
        <w:rPr>
          <w:rFonts w:hint="cs"/>
          <w:rtl/>
        </w:rPr>
        <w:t xml:space="preserve">. </w:t>
      </w:r>
      <w:r w:rsidR="00FF5B9C" w:rsidRPr="0025250D">
        <w:rPr>
          <w:rFonts w:hint="cs"/>
          <w:rtl/>
        </w:rPr>
        <w:t xml:space="preserve">منتشرکننده </w:t>
      </w:r>
      <w:r w:rsidRPr="0025250D">
        <w:rPr>
          <w:rFonts w:hint="cs"/>
          <w:rtl/>
        </w:rPr>
        <w:t xml:space="preserve">مجله </w:t>
      </w:r>
      <w:r w:rsidRPr="0025250D">
        <w:t>ABA</w:t>
      </w:r>
      <w:r w:rsidRPr="0025250D">
        <w:rPr>
          <w:vertAlign w:val="superscript"/>
        </w:rPr>
        <w:footnoteReference w:id="1184"/>
      </w:r>
      <w:r w:rsidRPr="0025250D">
        <w:rPr>
          <w:rFonts w:hint="cs"/>
          <w:rtl/>
        </w:rPr>
        <w:t>، بیش از 100 نشریه تخصصی دوره ای، کنفرانس‌های قانونی متعدد؛ انجمن صنعت امنیت</w:t>
      </w:r>
      <w:r w:rsidRPr="0025250D">
        <w:rPr>
          <w:vertAlign w:val="superscript"/>
          <w:rtl/>
        </w:rPr>
        <w:footnoteReference w:id="1185"/>
      </w:r>
      <w:r w:rsidRPr="0025250D">
        <w:rPr>
          <w:rFonts w:hint="cs"/>
          <w:rtl/>
        </w:rPr>
        <w:t xml:space="preserve"> (</w:t>
      </w:r>
      <w:r w:rsidRPr="0025250D">
        <w:t>SIA</w:t>
      </w:r>
      <w:r w:rsidRPr="0025250D">
        <w:rPr>
          <w:rFonts w:hint="cs"/>
          <w:rtl/>
        </w:rPr>
        <w:t xml:space="preserve">). </w:t>
      </w:r>
      <w:r w:rsidR="00FF5B9C" w:rsidRPr="0025250D">
        <w:rPr>
          <w:rFonts w:hint="cs"/>
          <w:rtl/>
        </w:rPr>
        <w:t xml:space="preserve">فعال </w:t>
      </w:r>
      <w:r w:rsidRPr="0025250D">
        <w:rPr>
          <w:rFonts w:hint="cs"/>
          <w:rtl/>
        </w:rPr>
        <w:t>از سال 1969. امنیت فیزیکی و اطلاعاتی را پوشش می‌دهد (اینوسک</w:t>
      </w:r>
      <w:r w:rsidRPr="0025250D">
        <w:rPr>
          <w:vertAlign w:val="superscript"/>
          <w:rtl/>
        </w:rPr>
        <w:footnoteReference w:id="1186"/>
      </w:r>
      <w:r w:rsidRPr="0025250D">
        <w:rPr>
          <w:rFonts w:hint="cs"/>
          <w:rtl/>
        </w:rPr>
        <w:t xml:space="preserve">، </w:t>
      </w:r>
      <w:r w:rsidRPr="0025250D">
        <w:rPr>
          <w:rtl/>
        </w:rPr>
        <w:t>امن</w:t>
      </w:r>
      <w:r w:rsidRPr="0025250D">
        <w:rPr>
          <w:rFonts w:hint="cs"/>
          <w:rtl/>
        </w:rPr>
        <w:t>ی</w:t>
      </w:r>
      <w:r w:rsidRPr="0025250D">
        <w:rPr>
          <w:rFonts w:hint="eastAsia"/>
          <w:rtl/>
        </w:rPr>
        <w:t>ت</w:t>
      </w:r>
      <w:r w:rsidRPr="0025250D">
        <w:rPr>
          <w:rtl/>
        </w:rPr>
        <w:t xml:space="preserve"> سا</w:t>
      </w:r>
      <w:r w:rsidRPr="0025250D">
        <w:rPr>
          <w:rFonts w:hint="cs"/>
          <w:rtl/>
        </w:rPr>
        <w:t>ی</w:t>
      </w:r>
      <w:r w:rsidRPr="0025250D">
        <w:rPr>
          <w:rFonts w:hint="eastAsia"/>
          <w:rtl/>
        </w:rPr>
        <w:t>بر</w:t>
      </w:r>
      <w:r w:rsidRPr="0025250D">
        <w:rPr>
          <w:rFonts w:hint="cs"/>
          <w:rtl/>
        </w:rPr>
        <w:t xml:space="preserve">ی). </w:t>
      </w:r>
      <w:r w:rsidRPr="0025250D">
        <w:t>DEF CON</w:t>
      </w:r>
      <w:r w:rsidRPr="0025250D">
        <w:rPr>
          <w:rFonts w:hint="cs"/>
          <w:rtl/>
        </w:rPr>
        <w:t xml:space="preserve"> شناخته شده</w:t>
      </w:r>
      <w:r w:rsidR="00FF5B9C" w:rsidRPr="0025250D">
        <w:rPr>
          <w:rFonts w:hint="cs"/>
          <w:rtl/>
        </w:rPr>
        <w:t>‌</w:t>
      </w:r>
      <w:r w:rsidRPr="0025250D">
        <w:rPr>
          <w:rFonts w:hint="cs"/>
          <w:rtl/>
        </w:rPr>
        <w:t>ترین مجمع هکر هاست. موارد فراوان دیگری نیز وجود دارند. یک انجمن امنیتی متمرکز بر مشتریان و صنعت فردی بیابید که هم امنیت فیزیکی و هم امنیت اطلاعاتی را پوشش دهد و بهترین روش‌ها را بیاموزید.</w:t>
      </w:r>
    </w:p>
    <w:p w14:paraId="6AE9DC18" w14:textId="3A10EEF3" w:rsidR="00537CC8" w:rsidRPr="0025250D" w:rsidRDefault="00537CC8" w:rsidP="00537CC8">
      <w:pPr>
        <w:rPr>
          <w:rtl/>
        </w:rPr>
      </w:pPr>
      <w:r w:rsidRPr="0025250D">
        <w:rPr>
          <w:rFonts w:hint="cs"/>
          <w:rtl/>
        </w:rPr>
        <w:t xml:space="preserve">16. </w:t>
      </w:r>
      <w:r w:rsidRPr="0025250D">
        <w:rPr>
          <w:rFonts w:hint="cs"/>
          <w:b/>
          <w:bCs/>
          <w:rtl/>
        </w:rPr>
        <w:t>یادگیری و توسعه</w:t>
      </w:r>
      <w:r w:rsidRPr="0025250D">
        <w:rPr>
          <w:rFonts w:hint="cs"/>
          <w:rtl/>
        </w:rPr>
        <w:t xml:space="preserve"> </w:t>
      </w:r>
      <w:r w:rsidRPr="0025250D">
        <w:rPr>
          <w:rFonts w:cs="Times New Roman" w:hint="cs"/>
          <w:rtl/>
        </w:rPr>
        <w:t>–</w:t>
      </w:r>
      <w:r w:rsidRPr="0025250D">
        <w:rPr>
          <w:rFonts w:hint="cs"/>
          <w:rtl/>
        </w:rPr>
        <w:t xml:space="preserve"> انجمن توسعه</w:t>
      </w:r>
      <w:r w:rsidRPr="0025250D">
        <w:rPr>
          <w:rFonts w:hint="cs"/>
        </w:rPr>
        <w:t>‌</w:t>
      </w:r>
      <w:r w:rsidRPr="0025250D">
        <w:rPr>
          <w:rFonts w:hint="cs"/>
          <w:rtl/>
        </w:rPr>
        <w:t xml:space="preserve"> استعداد ها</w:t>
      </w:r>
      <w:r w:rsidRPr="0025250D">
        <w:rPr>
          <w:vertAlign w:val="superscript"/>
          <w:rtl/>
        </w:rPr>
        <w:footnoteReference w:id="1187"/>
      </w:r>
      <w:r w:rsidRPr="0025250D">
        <w:rPr>
          <w:rFonts w:hint="cs"/>
          <w:rtl/>
        </w:rPr>
        <w:t xml:space="preserve"> (</w:t>
      </w:r>
      <w:r w:rsidRPr="0025250D">
        <w:t>ATD</w:t>
      </w:r>
      <w:r w:rsidRPr="0025250D">
        <w:rPr>
          <w:rFonts w:hint="cs"/>
          <w:rtl/>
        </w:rPr>
        <w:t xml:space="preserve">). </w:t>
      </w:r>
      <w:r w:rsidR="00FF5B9C" w:rsidRPr="0025250D">
        <w:rPr>
          <w:rFonts w:hint="cs"/>
          <w:rtl/>
        </w:rPr>
        <w:t xml:space="preserve">فعال </w:t>
      </w:r>
      <w:r w:rsidRPr="0025250D">
        <w:rPr>
          <w:rFonts w:hint="cs"/>
          <w:rtl/>
        </w:rPr>
        <w:t xml:space="preserve">از سال 1945. انجمن تخصصی برجسته برای آموزش، یادگیری و توسعه در محل کار. </w:t>
      </w:r>
      <w:r w:rsidR="00FF5B9C" w:rsidRPr="0025250D">
        <w:rPr>
          <w:rFonts w:hint="cs"/>
          <w:rtl/>
        </w:rPr>
        <w:t xml:space="preserve">برگزارکننده </w:t>
      </w:r>
      <w:r w:rsidRPr="0025250D">
        <w:rPr>
          <w:rFonts w:hint="cs"/>
          <w:rtl/>
        </w:rPr>
        <w:t xml:space="preserve">سه کنفرانس سالیانه، گواهینامه‌های </w:t>
      </w:r>
      <w:r w:rsidRPr="0025250D">
        <w:t>L&amp;D</w:t>
      </w:r>
      <w:r w:rsidRPr="0025250D">
        <w:rPr>
          <w:rFonts w:hint="cs"/>
          <w:rtl/>
        </w:rPr>
        <w:t xml:space="preserve">، شعبه‌های محلی. </w:t>
      </w:r>
      <w:r w:rsidR="00FF5B9C" w:rsidRPr="0025250D">
        <w:rPr>
          <w:rFonts w:hint="cs"/>
          <w:rtl/>
        </w:rPr>
        <w:t xml:space="preserve">منتشرکننده </w:t>
      </w:r>
      <w:r w:rsidRPr="0025250D">
        <w:rPr>
          <w:rFonts w:hint="cs"/>
          <w:rtl/>
        </w:rPr>
        <w:t>مجله</w:t>
      </w:r>
      <w:r w:rsidRPr="0025250D">
        <w:rPr>
          <w:rFonts w:hint="cs"/>
        </w:rPr>
        <w:t xml:space="preserve">‌ </w:t>
      </w:r>
      <w:r w:rsidRPr="0025250D">
        <w:t>T+D</w:t>
      </w:r>
      <w:r w:rsidRPr="0025250D">
        <w:rPr>
          <w:vertAlign w:val="superscript"/>
        </w:rPr>
        <w:footnoteReference w:id="1188"/>
      </w:r>
      <w:r w:rsidRPr="0025250D">
        <w:rPr>
          <w:rFonts w:hint="cs"/>
          <w:rtl/>
        </w:rPr>
        <w:t>. آموزش در محل کار امروزه توسط استارتاپ‌های ادتک</w:t>
      </w:r>
      <w:r w:rsidRPr="0025250D">
        <w:rPr>
          <w:vertAlign w:val="superscript"/>
          <w:rtl/>
        </w:rPr>
        <w:footnoteReference w:id="1189"/>
      </w:r>
      <w:r w:rsidRPr="0025250D">
        <w:rPr>
          <w:rFonts w:hint="cs"/>
          <w:rtl/>
        </w:rPr>
        <w:t xml:space="preserve"> و علوم رفتاری به شدت تقویت می‌شود.</w:t>
      </w:r>
    </w:p>
    <w:p w14:paraId="28AD672D" w14:textId="02734F7A" w:rsidR="00537CC8" w:rsidRPr="0025250D" w:rsidRDefault="00537CC8" w:rsidP="00537CC8">
      <w:pPr>
        <w:rPr>
          <w:rtl/>
        </w:rPr>
      </w:pPr>
      <w:r w:rsidRPr="0025250D">
        <w:rPr>
          <w:rFonts w:hint="cs"/>
          <w:rtl/>
        </w:rPr>
        <w:t xml:space="preserve">17. </w:t>
      </w:r>
      <w:r w:rsidRPr="0025250D">
        <w:rPr>
          <w:rFonts w:hint="cs"/>
          <w:b/>
          <w:bCs/>
          <w:rtl/>
        </w:rPr>
        <w:t>مدیریت</w:t>
      </w:r>
      <w:r w:rsidR="008D6F97" w:rsidRPr="0025250D">
        <w:rPr>
          <w:b/>
          <w:bCs/>
          <w:rtl/>
        </w:rPr>
        <w:t xml:space="preserve"> </w:t>
      </w:r>
      <w:r w:rsidRPr="0025250D">
        <w:rPr>
          <w:rFonts w:hint="cs"/>
          <w:b/>
          <w:bCs/>
          <w:rtl/>
        </w:rPr>
        <w:t>و رهبری</w:t>
      </w:r>
      <w:r w:rsidRPr="0025250D">
        <w:rPr>
          <w:rFonts w:hint="cs"/>
          <w:rtl/>
        </w:rPr>
        <w:t xml:space="preserve"> </w:t>
      </w:r>
      <w:r w:rsidRPr="0025250D">
        <w:rPr>
          <w:rFonts w:cs="Times New Roman" w:hint="cs"/>
          <w:rtl/>
        </w:rPr>
        <w:t>–</w:t>
      </w:r>
      <w:r w:rsidRPr="0025250D">
        <w:rPr>
          <w:rFonts w:hint="cs"/>
          <w:rtl/>
        </w:rPr>
        <w:t xml:space="preserve"> انجمن مدیریت آمریکا</w:t>
      </w:r>
      <w:r w:rsidRPr="0025250D">
        <w:rPr>
          <w:vertAlign w:val="superscript"/>
          <w:rtl/>
        </w:rPr>
        <w:footnoteReference w:id="1190"/>
      </w:r>
      <w:r w:rsidRPr="0025250D">
        <w:rPr>
          <w:rFonts w:hint="cs"/>
          <w:rtl/>
        </w:rPr>
        <w:t xml:space="preserve"> (</w:t>
      </w:r>
      <w:r w:rsidRPr="0025250D">
        <w:t>AMA</w:t>
      </w:r>
      <w:r w:rsidRPr="0025250D">
        <w:rPr>
          <w:rFonts w:hint="cs"/>
          <w:rtl/>
        </w:rPr>
        <w:t xml:space="preserve">). </w:t>
      </w:r>
      <w:r w:rsidR="00FF5B9C" w:rsidRPr="0025250D">
        <w:rPr>
          <w:rFonts w:hint="cs"/>
          <w:rtl/>
        </w:rPr>
        <w:t xml:space="preserve">فعال </w:t>
      </w:r>
      <w:r w:rsidRPr="0025250D">
        <w:rPr>
          <w:rFonts w:hint="cs"/>
          <w:rtl/>
        </w:rPr>
        <w:t xml:space="preserve">از سال 1923. آموزش کامل در مورد رهبری، تحلیل، تجارت، فناوری اطلاعات، بازاریابی، فروش، روابط عمومی، منابع انسانی، امور مالی و مدیریت پروژه برای شرکت، محصول، خدمت و پروژه. </w:t>
      </w:r>
      <w:r w:rsidR="00FF5B9C" w:rsidRPr="0025250D">
        <w:rPr>
          <w:rFonts w:hint="cs"/>
          <w:rtl/>
        </w:rPr>
        <w:t xml:space="preserve">منتشرکننده </w:t>
      </w:r>
      <w:r w:rsidRPr="0025250D">
        <w:rPr>
          <w:rFonts w:hint="cs"/>
          <w:rtl/>
        </w:rPr>
        <w:t xml:space="preserve">کتاب‌ها، مقالات، پادکست‌ها، وبینار‌ها، وبکست‌ها و غیره؛ </w:t>
      </w:r>
      <w:r w:rsidR="00FF5B9C" w:rsidRPr="0025250D">
        <w:rPr>
          <w:rFonts w:hint="cs"/>
          <w:rtl/>
        </w:rPr>
        <w:t xml:space="preserve">حامثی </w:t>
      </w:r>
      <w:r w:rsidRPr="0025250D">
        <w:rPr>
          <w:rFonts w:hint="cs"/>
          <w:rtl/>
        </w:rPr>
        <w:t>مؤسسه</w:t>
      </w:r>
      <w:r w:rsidRPr="0025250D">
        <w:rPr>
          <w:rFonts w:hint="cs"/>
        </w:rPr>
        <w:t>‌</w:t>
      </w:r>
      <w:r w:rsidRPr="0025250D">
        <w:rPr>
          <w:rFonts w:hint="cs"/>
          <w:rtl/>
        </w:rPr>
        <w:t xml:space="preserve"> مدیریت پروژه</w:t>
      </w:r>
      <w:r w:rsidRPr="0025250D">
        <w:rPr>
          <w:vertAlign w:val="superscript"/>
          <w:rtl/>
        </w:rPr>
        <w:footnoteReference w:id="1191"/>
      </w:r>
      <w:r w:rsidRPr="0025250D">
        <w:rPr>
          <w:rFonts w:hint="cs"/>
          <w:rtl/>
        </w:rPr>
        <w:t xml:space="preserve"> (</w:t>
      </w:r>
      <w:r w:rsidRPr="0025250D">
        <w:t>PMI</w:t>
      </w:r>
      <w:r w:rsidRPr="0025250D">
        <w:rPr>
          <w:rFonts w:hint="cs"/>
          <w:rtl/>
        </w:rPr>
        <w:t>) و گواهینامه</w:t>
      </w:r>
      <w:r w:rsidRPr="0025250D">
        <w:rPr>
          <w:rFonts w:hint="cs"/>
        </w:rPr>
        <w:t xml:space="preserve">‌ </w:t>
      </w:r>
      <w:r w:rsidRPr="0025250D">
        <w:t>PMP</w:t>
      </w:r>
      <w:r w:rsidRPr="0025250D">
        <w:rPr>
          <w:rFonts w:hint="cs"/>
          <w:rtl/>
        </w:rPr>
        <w:t>.</w:t>
      </w:r>
      <w:r w:rsidR="00FF5B9C" w:rsidRPr="0025250D">
        <w:rPr>
          <w:rFonts w:hint="cs"/>
          <w:rtl/>
        </w:rPr>
        <w:t xml:space="preserve"> دارای</w:t>
      </w:r>
      <w:r w:rsidRPr="0025250D">
        <w:rPr>
          <w:rFonts w:hint="cs"/>
          <w:rtl/>
        </w:rPr>
        <w:t xml:space="preserve"> 270 شعبه؛ انجمن بین المللی رهبری</w:t>
      </w:r>
      <w:r w:rsidRPr="0025250D">
        <w:rPr>
          <w:vertAlign w:val="superscript"/>
          <w:rtl/>
        </w:rPr>
        <w:footnoteReference w:id="1192"/>
      </w:r>
      <w:r w:rsidRPr="0025250D">
        <w:rPr>
          <w:rFonts w:hint="cs"/>
          <w:rtl/>
        </w:rPr>
        <w:t xml:space="preserve"> (</w:t>
      </w:r>
      <w:r w:rsidRPr="0025250D">
        <w:t>ILA</w:t>
      </w:r>
      <w:r w:rsidRPr="0025250D">
        <w:rPr>
          <w:rFonts w:hint="cs"/>
          <w:rtl/>
        </w:rPr>
        <w:t xml:space="preserve">). </w:t>
      </w:r>
      <w:r w:rsidR="00FF5B9C" w:rsidRPr="0025250D">
        <w:rPr>
          <w:rFonts w:hint="cs"/>
          <w:rtl/>
        </w:rPr>
        <w:t xml:space="preserve">فعال </w:t>
      </w:r>
      <w:r w:rsidRPr="0025250D">
        <w:rPr>
          <w:rFonts w:hint="cs"/>
          <w:rtl/>
        </w:rPr>
        <w:t xml:space="preserve">از سال 1999. </w:t>
      </w:r>
      <w:r w:rsidR="00FF5B9C" w:rsidRPr="0025250D">
        <w:rPr>
          <w:rFonts w:hint="cs"/>
          <w:rtl/>
        </w:rPr>
        <w:t xml:space="preserve">فعال در زمینه </w:t>
      </w:r>
      <w:r w:rsidRPr="0025250D">
        <w:rPr>
          <w:rFonts w:hint="cs"/>
          <w:rtl/>
        </w:rPr>
        <w:t xml:space="preserve">پیش برد اقدامات رهبری. </w:t>
      </w:r>
      <w:r w:rsidR="00FF5B9C" w:rsidRPr="0025250D">
        <w:rPr>
          <w:rFonts w:hint="cs"/>
          <w:rtl/>
        </w:rPr>
        <w:t xml:space="preserve">برگزارکننده  </w:t>
      </w:r>
      <w:r w:rsidRPr="0025250D">
        <w:rPr>
          <w:rFonts w:hint="cs"/>
          <w:rtl/>
        </w:rPr>
        <w:t xml:space="preserve">کنفرانس جهانی </w:t>
      </w:r>
      <w:r w:rsidRPr="0025250D">
        <w:t>ILA</w:t>
      </w:r>
      <w:r w:rsidRPr="0025250D">
        <w:rPr>
          <w:rFonts w:hint="cs"/>
          <w:rtl/>
        </w:rPr>
        <w:t xml:space="preserve">. </w:t>
      </w:r>
      <w:r w:rsidR="00FF5B9C" w:rsidRPr="0025250D">
        <w:rPr>
          <w:rFonts w:hint="cs"/>
          <w:rtl/>
        </w:rPr>
        <w:t xml:space="preserve">منتشرکننده </w:t>
      </w:r>
      <w:r w:rsidRPr="0025250D">
        <w:rPr>
          <w:rFonts w:hint="cs"/>
          <w:rtl/>
        </w:rPr>
        <w:t>مجله مطالعات رهبری</w:t>
      </w:r>
      <w:r w:rsidRPr="0025250D">
        <w:rPr>
          <w:vertAlign w:val="superscript"/>
          <w:rtl/>
        </w:rPr>
        <w:footnoteReference w:id="1193"/>
      </w:r>
      <w:r w:rsidRPr="0025250D">
        <w:rPr>
          <w:rFonts w:hint="cs"/>
          <w:rtl/>
        </w:rPr>
        <w:t xml:space="preserve"> و تعالی رهبری</w:t>
      </w:r>
      <w:r w:rsidRPr="0025250D">
        <w:rPr>
          <w:vertAlign w:val="superscript"/>
          <w:rtl/>
        </w:rPr>
        <w:footnoteReference w:id="1194"/>
      </w:r>
      <w:r w:rsidRPr="0025250D">
        <w:rPr>
          <w:rFonts w:hint="cs"/>
          <w:rtl/>
        </w:rPr>
        <w:t>. همچنین برنامه‌های توسعه</w:t>
      </w:r>
      <w:r w:rsidRPr="0025250D">
        <w:rPr>
          <w:rFonts w:hint="cs"/>
        </w:rPr>
        <w:t>‌</w:t>
      </w:r>
      <w:r w:rsidRPr="0025250D">
        <w:rPr>
          <w:rFonts w:hint="cs"/>
          <w:rtl/>
        </w:rPr>
        <w:t xml:space="preserve"> رهبری تخصصی، انتشارات و جوامع متعددی برای تقریبا هر صنعتی و برای</w:t>
      </w:r>
      <w:r w:rsidR="0008779C" w:rsidRPr="0025250D">
        <w:rPr>
          <w:rFonts w:hint="cs"/>
          <w:rtl/>
        </w:rPr>
        <w:t xml:space="preserve"> بیش‌تر</w:t>
      </w:r>
      <w:r w:rsidRPr="0025250D">
        <w:rPr>
          <w:rFonts w:hint="cs"/>
          <w:rtl/>
        </w:rPr>
        <w:t xml:space="preserve"> تخصص‌های فهرست شده در بالا وجود دارند.</w:t>
      </w:r>
    </w:p>
    <w:p w14:paraId="1F5BF6E7" w14:textId="7FD3C570" w:rsidR="00537CC8" w:rsidRPr="0025250D" w:rsidRDefault="00537CC8" w:rsidP="00537CC8">
      <w:pPr>
        <w:rPr>
          <w:rtl/>
        </w:rPr>
      </w:pPr>
      <w:r w:rsidRPr="0025250D">
        <w:rPr>
          <w:rFonts w:hint="cs"/>
          <w:rtl/>
        </w:rPr>
        <w:t xml:space="preserve">18. </w:t>
      </w:r>
      <w:r w:rsidRPr="0025250D">
        <w:rPr>
          <w:rFonts w:hint="cs"/>
          <w:b/>
          <w:bCs/>
          <w:rtl/>
        </w:rPr>
        <w:t>بازاریابی و فروش</w:t>
      </w:r>
      <w:r w:rsidRPr="0025250D">
        <w:rPr>
          <w:rFonts w:hint="cs"/>
          <w:rtl/>
        </w:rPr>
        <w:t xml:space="preserve"> </w:t>
      </w:r>
      <w:r w:rsidRPr="0025250D">
        <w:rPr>
          <w:rFonts w:cs="Times New Roman" w:hint="cs"/>
          <w:rtl/>
        </w:rPr>
        <w:t>–</w:t>
      </w:r>
      <w:r w:rsidRPr="0025250D">
        <w:rPr>
          <w:rFonts w:hint="cs"/>
          <w:rtl/>
        </w:rPr>
        <w:t xml:space="preserve"> انجمن بازاریابی آمریکا</w:t>
      </w:r>
      <w:r w:rsidRPr="0025250D">
        <w:rPr>
          <w:vertAlign w:val="superscript"/>
          <w:rtl/>
        </w:rPr>
        <w:footnoteReference w:id="1195"/>
      </w:r>
      <w:r w:rsidRPr="0025250D">
        <w:rPr>
          <w:rFonts w:hint="cs"/>
          <w:rtl/>
        </w:rPr>
        <w:t xml:space="preserve"> (</w:t>
      </w:r>
      <w:r w:rsidRPr="0025250D">
        <w:t>AMA</w:t>
      </w:r>
      <w:r w:rsidRPr="0025250D">
        <w:rPr>
          <w:rFonts w:hint="cs"/>
          <w:rtl/>
        </w:rPr>
        <w:t xml:space="preserve">). </w:t>
      </w:r>
      <w:r w:rsidR="00A86947" w:rsidRPr="0025250D">
        <w:rPr>
          <w:rFonts w:hint="cs"/>
          <w:rtl/>
        </w:rPr>
        <w:t xml:space="preserve">فعال </w:t>
      </w:r>
      <w:r w:rsidRPr="0025250D">
        <w:rPr>
          <w:rFonts w:hint="cs"/>
          <w:rtl/>
        </w:rPr>
        <w:t>از سال 1937. پیش برد اقدامات و تحقیقات بازاریابی، از جمله تبلیغات، مدلسازی و سنجه‌های مشتری.</w:t>
      </w:r>
      <w:r w:rsidR="00A86947" w:rsidRPr="0025250D">
        <w:rPr>
          <w:rFonts w:hint="cs"/>
          <w:rtl/>
        </w:rPr>
        <w:t xml:space="preserve"> دارای</w:t>
      </w:r>
      <w:r w:rsidRPr="0025250D">
        <w:rPr>
          <w:rFonts w:hint="cs"/>
          <w:rtl/>
        </w:rPr>
        <w:t xml:space="preserve"> 30 هزار عضو. صدور گواهینامه و آموزش. انجمن ملی متخصصین فروش</w:t>
      </w:r>
      <w:r w:rsidRPr="0025250D">
        <w:rPr>
          <w:vertAlign w:val="superscript"/>
          <w:rtl/>
        </w:rPr>
        <w:footnoteReference w:id="1196"/>
      </w:r>
      <w:r w:rsidRPr="0025250D">
        <w:rPr>
          <w:rFonts w:hint="cs"/>
          <w:rtl/>
        </w:rPr>
        <w:t xml:space="preserve"> (</w:t>
      </w:r>
      <w:r w:rsidRPr="0025250D">
        <w:t>NASP</w:t>
      </w:r>
      <w:r w:rsidRPr="0025250D">
        <w:rPr>
          <w:rFonts w:hint="cs"/>
          <w:rtl/>
        </w:rPr>
        <w:t xml:space="preserve">). </w:t>
      </w:r>
      <w:r w:rsidR="00A86947" w:rsidRPr="0025250D">
        <w:rPr>
          <w:rFonts w:hint="cs"/>
          <w:rtl/>
        </w:rPr>
        <w:t xml:space="preserve">فعال </w:t>
      </w:r>
      <w:r w:rsidRPr="0025250D">
        <w:rPr>
          <w:rFonts w:hint="cs"/>
          <w:rtl/>
        </w:rPr>
        <w:t xml:space="preserve">از سال 1991. صدور گواهینامه و آموزش در روند‌ها، </w:t>
      </w:r>
      <w:r w:rsidR="00701E03" w:rsidRPr="0025250D">
        <w:rPr>
          <w:rFonts w:hint="cs"/>
          <w:rtl/>
        </w:rPr>
        <w:t>راهبرد</w:t>
      </w:r>
      <w:r w:rsidRPr="0025250D">
        <w:rPr>
          <w:rFonts w:hint="cs"/>
          <w:rtl/>
        </w:rPr>
        <w:t xml:space="preserve">‌ها و تکنیک‌های جلب مشتری مؤثر. برای مطالعه برخی متون در مورد متخصصین </w:t>
      </w:r>
      <w:r w:rsidRPr="0025250D">
        <w:rPr>
          <w:rtl/>
        </w:rPr>
        <w:t>آینده‌نگاری</w:t>
      </w:r>
      <w:r w:rsidRPr="0025250D">
        <w:rPr>
          <w:rFonts w:hint="cs"/>
          <w:rtl/>
        </w:rPr>
        <w:t>، کتاب فروش مشاوره ای</w:t>
      </w:r>
      <w:r w:rsidRPr="0025250D">
        <w:rPr>
          <w:vertAlign w:val="superscript"/>
          <w:rtl/>
        </w:rPr>
        <w:footnoteReference w:id="1197"/>
      </w:r>
      <w:r w:rsidRPr="0025250D">
        <w:rPr>
          <w:rFonts w:hint="cs"/>
          <w:rtl/>
        </w:rPr>
        <w:t xml:space="preserve"> ویرایش هشتم اثر </w:t>
      </w:r>
      <w:r w:rsidRPr="0025250D">
        <w:rPr>
          <w:rtl/>
        </w:rPr>
        <w:t>حنان</w:t>
      </w:r>
      <w:r w:rsidRPr="0025250D">
        <w:rPr>
          <w:vertAlign w:val="superscript"/>
          <w:rtl/>
        </w:rPr>
        <w:footnoteReference w:id="1198"/>
      </w:r>
      <w:r w:rsidRPr="0025250D">
        <w:rPr>
          <w:rFonts w:hint="cs"/>
          <w:rtl/>
        </w:rPr>
        <w:t xml:space="preserve"> در سال 2011 و کتاب کلاسیک فروش </w:t>
      </w:r>
      <w:r w:rsidRPr="0025250D">
        <w:t>SPIN</w:t>
      </w:r>
      <w:r w:rsidRPr="0025250D">
        <w:rPr>
          <w:vertAlign w:val="superscript"/>
        </w:rPr>
        <w:footnoteReference w:id="1199"/>
      </w:r>
      <w:r w:rsidRPr="0025250D">
        <w:rPr>
          <w:rFonts w:hint="cs"/>
          <w:rtl/>
        </w:rPr>
        <w:t xml:space="preserve"> اثر </w:t>
      </w:r>
      <w:r w:rsidRPr="0025250D">
        <w:rPr>
          <w:rtl/>
        </w:rPr>
        <w:t>راکهام</w:t>
      </w:r>
      <w:r w:rsidRPr="0025250D">
        <w:rPr>
          <w:vertAlign w:val="superscript"/>
          <w:rtl/>
        </w:rPr>
        <w:footnoteReference w:id="1200"/>
      </w:r>
      <w:r w:rsidRPr="0025250D">
        <w:rPr>
          <w:rFonts w:hint="cs"/>
          <w:rtl/>
        </w:rPr>
        <w:t xml:space="preserve"> در سال 1988 را ببینید.</w:t>
      </w:r>
    </w:p>
    <w:p w14:paraId="261BAF52" w14:textId="4AFB83CC" w:rsidR="00537CC8" w:rsidRPr="0025250D" w:rsidRDefault="00537CC8" w:rsidP="00537CC8">
      <w:pPr>
        <w:rPr>
          <w:rtl/>
        </w:rPr>
      </w:pPr>
      <w:r w:rsidRPr="0025250D">
        <w:rPr>
          <w:rFonts w:hint="cs"/>
          <w:rtl/>
        </w:rPr>
        <w:t xml:space="preserve">19. </w:t>
      </w:r>
      <w:r w:rsidRPr="0025250D">
        <w:rPr>
          <w:rFonts w:hint="cs"/>
          <w:b/>
          <w:bCs/>
          <w:rtl/>
        </w:rPr>
        <w:t>مدیریت ریسک و بیمه</w:t>
      </w:r>
      <w:r w:rsidRPr="0025250D">
        <w:rPr>
          <w:rFonts w:hint="cs"/>
          <w:rtl/>
        </w:rPr>
        <w:t xml:space="preserve"> </w:t>
      </w:r>
      <w:r w:rsidRPr="0025250D">
        <w:rPr>
          <w:rFonts w:cs="Times New Roman" w:hint="cs"/>
          <w:rtl/>
        </w:rPr>
        <w:t>–</w:t>
      </w:r>
      <w:r w:rsidRPr="0025250D">
        <w:rPr>
          <w:rFonts w:hint="cs"/>
          <w:rtl/>
        </w:rPr>
        <w:t xml:space="preserve"> جامعه</w:t>
      </w:r>
      <w:r w:rsidRPr="0025250D">
        <w:rPr>
          <w:rFonts w:hint="cs"/>
        </w:rPr>
        <w:t>‌</w:t>
      </w:r>
      <w:r w:rsidRPr="0025250D">
        <w:rPr>
          <w:rFonts w:hint="cs"/>
          <w:rtl/>
        </w:rPr>
        <w:t xml:space="preserve"> مدیریت ریسک</w:t>
      </w:r>
      <w:r w:rsidRPr="0025250D">
        <w:rPr>
          <w:vertAlign w:val="superscript"/>
          <w:rtl/>
        </w:rPr>
        <w:footnoteReference w:id="1201"/>
      </w:r>
      <w:r w:rsidRPr="0025250D">
        <w:rPr>
          <w:rFonts w:hint="cs"/>
          <w:rtl/>
        </w:rPr>
        <w:t xml:space="preserve"> (</w:t>
      </w:r>
      <w:r w:rsidRPr="0025250D">
        <w:t>RIMS</w:t>
      </w:r>
      <w:r w:rsidRPr="0025250D">
        <w:rPr>
          <w:rFonts w:hint="cs"/>
          <w:rtl/>
        </w:rPr>
        <w:t>).</w:t>
      </w:r>
      <w:r w:rsidR="00A86947" w:rsidRPr="0025250D">
        <w:rPr>
          <w:rFonts w:hint="cs"/>
          <w:rtl/>
        </w:rPr>
        <w:t xml:space="preserve"> فعال</w:t>
      </w:r>
      <w:r w:rsidRPr="0025250D">
        <w:rPr>
          <w:rFonts w:hint="cs"/>
          <w:rtl/>
        </w:rPr>
        <w:t xml:space="preserve"> از سال 2000. رهبر جهانی در زمینه مدیریت ریسک. </w:t>
      </w:r>
      <w:r w:rsidR="00A86947" w:rsidRPr="0025250D">
        <w:rPr>
          <w:rFonts w:hint="cs"/>
          <w:rtl/>
        </w:rPr>
        <w:t xml:space="preserve">فعال در زمینه </w:t>
      </w:r>
      <w:r w:rsidRPr="0025250D">
        <w:rPr>
          <w:rFonts w:hint="cs"/>
          <w:rtl/>
        </w:rPr>
        <w:t xml:space="preserve">روش‌ها (بیمه، امور مالی، حسابداری، امور قانونی، فناوری اطلاعات، منابع انسانی و غیره). </w:t>
      </w:r>
      <w:r w:rsidR="00A86947" w:rsidRPr="0025250D">
        <w:rPr>
          <w:rFonts w:hint="cs"/>
          <w:rtl/>
        </w:rPr>
        <w:t xml:space="preserve">برگزارکننده </w:t>
      </w:r>
      <w:r w:rsidRPr="0025250D">
        <w:rPr>
          <w:rFonts w:hint="cs"/>
          <w:rtl/>
        </w:rPr>
        <w:t xml:space="preserve">کنفرانس </w:t>
      </w:r>
      <w:r w:rsidRPr="0025250D">
        <w:t>RIMS</w:t>
      </w:r>
      <w:r w:rsidRPr="0025250D">
        <w:rPr>
          <w:vertAlign w:val="superscript"/>
        </w:rPr>
        <w:footnoteReference w:id="1202"/>
      </w:r>
      <w:r w:rsidRPr="0025250D">
        <w:rPr>
          <w:rFonts w:hint="cs"/>
          <w:rtl/>
        </w:rPr>
        <w:t xml:space="preserve"> سالانه و کنفرانس مدیریت ریسک شرکتی</w:t>
      </w:r>
      <w:r w:rsidRPr="0025250D">
        <w:rPr>
          <w:vertAlign w:val="superscript"/>
          <w:rtl/>
        </w:rPr>
        <w:footnoteReference w:id="1203"/>
      </w:r>
      <w:r w:rsidRPr="0025250D">
        <w:rPr>
          <w:rFonts w:hint="cs"/>
          <w:rtl/>
        </w:rPr>
        <w:t xml:space="preserve">. </w:t>
      </w:r>
      <w:r w:rsidR="00A86947" w:rsidRPr="0025250D">
        <w:rPr>
          <w:rFonts w:hint="cs"/>
          <w:rtl/>
        </w:rPr>
        <w:t xml:space="preserve">دارای </w:t>
      </w:r>
      <w:r w:rsidRPr="0025250D">
        <w:rPr>
          <w:rFonts w:hint="cs"/>
          <w:rtl/>
        </w:rPr>
        <w:t>شعبه‌های جهانی. جوامع فعال تخصصی متعددی در زمینه بیمه وجود دارند. انجمن بیمه</w:t>
      </w:r>
      <w:r w:rsidRPr="0025250D">
        <w:rPr>
          <w:rFonts w:hint="cs"/>
        </w:rPr>
        <w:t>‌</w:t>
      </w:r>
      <w:r w:rsidRPr="0025250D">
        <w:rPr>
          <w:rFonts w:hint="cs"/>
          <w:rtl/>
        </w:rPr>
        <w:t xml:space="preserve"> آمریکا</w:t>
      </w:r>
      <w:r w:rsidRPr="0025250D">
        <w:rPr>
          <w:vertAlign w:val="superscript"/>
          <w:rtl/>
        </w:rPr>
        <w:footnoteReference w:id="1204"/>
      </w:r>
      <w:r w:rsidRPr="0025250D">
        <w:rPr>
          <w:rFonts w:hint="cs"/>
          <w:rtl/>
        </w:rPr>
        <w:t xml:space="preserve"> (</w:t>
      </w:r>
      <w:r w:rsidRPr="0025250D">
        <w:t>AIA</w:t>
      </w:r>
      <w:r w:rsidRPr="0025250D">
        <w:rPr>
          <w:rFonts w:hint="cs"/>
          <w:rtl/>
        </w:rPr>
        <w:t xml:space="preserve">) انجمن تجاری برتر برای بیمه کنندگان بزرگ است. </w:t>
      </w:r>
      <w:r w:rsidR="00A86947" w:rsidRPr="0025250D">
        <w:rPr>
          <w:rFonts w:hint="cs"/>
          <w:rtl/>
        </w:rPr>
        <w:t xml:space="preserve">فعال </w:t>
      </w:r>
      <w:r w:rsidRPr="0025250D">
        <w:rPr>
          <w:rFonts w:hint="cs"/>
          <w:rtl/>
        </w:rPr>
        <w:t xml:space="preserve">از سال 1866. </w:t>
      </w:r>
      <w:r w:rsidRPr="0025250D">
        <w:t>NAIFA</w:t>
      </w:r>
      <w:r w:rsidRPr="0025250D">
        <w:rPr>
          <w:rFonts w:hint="cs"/>
          <w:rtl/>
        </w:rPr>
        <w:t xml:space="preserve"> مشاوره‌های بیمه‌ای و مالی ارائه می‌دهد.</w:t>
      </w:r>
    </w:p>
    <w:p w14:paraId="0F21A77F" w14:textId="2A6AD8C7" w:rsidR="00537CC8" w:rsidRPr="0025250D" w:rsidRDefault="00537CC8" w:rsidP="00537CC8">
      <w:pPr>
        <w:rPr>
          <w:rtl/>
        </w:rPr>
      </w:pPr>
      <w:r w:rsidRPr="0025250D">
        <w:rPr>
          <w:rFonts w:hint="cs"/>
          <w:rtl/>
        </w:rPr>
        <w:t xml:space="preserve">20. </w:t>
      </w:r>
      <w:r w:rsidR="00B56611" w:rsidRPr="0025250D">
        <w:rPr>
          <w:rFonts w:hint="cs"/>
          <w:b/>
          <w:bCs/>
          <w:rtl/>
        </w:rPr>
        <w:t>چشم‌انداز</w:t>
      </w:r>
      <w:r w:rsidRPr="0025250D">
        <w:rPr>
          <w:rFonts w:hint="cs"/>
          <w:b/>
          <w:bCs/>
          <w:rtl/>
        </w:rPr>
        <w:t xml:space="preserve"> / اهداف / </w:t>
      </w:r>
      <w:r w:rsidR="00701E03" w:rsidRPr="0025250D">
        <w:rPr>
          <w:rFonts w:hint="cs"/>
          <w:b/>
          <w:bCs/>
          <w:rtl/>
        </w:rPr>
        <w:t>راهبرد</w:t>
      </w:r>
      <w:r w:rsidRPr="0025250D">
        <w:rPr>
          <w:rFonts w:hint="cs"/>
          <w:b/>
          <w:bCs/>
          <w:rtl/>
        </w:rPr>
        <w:t xml:space="preserve"> و </w:t>
      </w:r>
      <w:r w:rsidR="00B124DE" w:rsidRPr="0025250D">
        <w:rPr>
          <w:rFonts w:hint="cs"/>
          <w:b/>
          <w:bCs/>
          <w:rtl/>
        </w:rPr>
        <w:t>برنامه‌ریزی</w:t>
      </w:r>
      <w:r w:rsidRPr="0025250D">
        <w:rPr>
          <w:rFonts w:hint="cs"/>
          <w:rtl/>
        </w:rPr>
        <w:t xml:space="preserve"> </w:t>
      </w:r>
      <w:r w:rsidRPr="0025250D">
        <w:rPr>
          <w:rFonts w:cs="Times New Roman" w:hint="cs"/>
          <w:rtl/>
        </w:rPr>
        <w:t>–</w:t>
      </w:r>
      <w:r w:rsidRPr="0025250D">
        <w:rPr>
          <w:rFonts w:hint="cs"/>
          <w:rtl/>
        </w:rPr>
        <w:t xml:space="preserve"> انجمن </w:t>
      </w:r>
      <w:r w:rsidR="00B124DE" w:rsidRPr="0025250D">
        <w:rPr>
          <w:rFonts w:hint="cs"/>
          <w:rtl/>
        </w:rPr>
        <w:t>برنامه‌ریزی</w:t>
      </w:r>
      <w:r w:rsidRPr="0025250D">
        <w:rPr>
          <w:rFonts w:hint="cs"/>
          <w:rtl/>
        </w:rPr>
        <w:t xml:space="preserve"> </w:t>
      </w:r>
      <w:r w:rsidR="00701E03" w:rsidRPr="0025250D">
        <w:rPr>
          <w:rFonts w:hint="cs"/>
          <w:rtl/>
        </w:rPr>
        <w:t>راهبردی</w:t>
      </w:r>
      <w:r w:rsidRPr="0025250D">
        <w:rPr>
          <w:vertAlign w:val="superscript"/>
          <w:rtl/>
        </w:rPr>
        <w:footnoteReference w:id="1205"/>
      </w:r>
      <w:r w:rsidRPr="0025250D">
        <w:rPr>
          <w:rFonts w:hint="cs"/>
          <w:rtl/>
        </w:rPr>
        <w:t xml:space="preserve"> (</w:t>
      </w:r>
      <w:r w:rsidRPr="0025250D">
        <w:t>ASP</w:t>
      </w:r>
      <w:r w:rsidRPr="0025250D">
        <w:rPr>
          <w:rFonts w:hint="cs"/>
          <w:rtl/>
        </w:rPr>
        <w:t xml:space="preserve">). </w:t>
      </w:r>
      <w:r w:rsidR="00A86947" w:rsidRPr="0025250D">
        <w:rPr>
          <w:rFonts w:hint="cs"/>
          <w:rtl/>
        </w:rPr>
        <w:t xml:space="preserve">فعال </w:t>
      </w:r>
      <w:r w:rsidRPr="0025250D">
        <w:rPr>
          <w:rFonts w:hint="cs"/>
          <w:rtl/>
        </w:rPr>
        <w:t xml:space="preserve">از سال 1999. پیش برد </w:t>
      </w:r>
      <w:r w:rsidR="00EE4B64" w:rsidRPr="0025250D">
        <w:rPr>
          <w:rFonts w:hint="cs"/>
          <w:rtl/>
        </w:rPr>
        <w:t>چشم‌اندازسازی</w:t>
      </w:r>
      <w:r w:rsidRPr="0025250D">
        <w:rPr>
          <w:rFonts w:hint="cs"/>
          <w:rtl/>
        </w:rPr>
        <w:t xml:space="preserve">، تنظیم اهداف، توسعه و </w:t>
      </w:r>
      <w:r w:rsidR="00923DDB" w:rsidRPr="0025250D">
        <w:rPr>
          <w:rFonts w:hint="cs"/>
          <w:rtl/>
        </w:rPr>
        <w:t>به‌کارگیری</w:t>
      </w:r>
      <w:r w:rsidRPr="0025250D">
        <w:rPr>
          <w:rFonts w:hint="cs"/>
          <w:rtl/>
        </w:rPr>
        <w:t xml:space="preserve"> </w:t>
      </w:r>
      <w:r w:rsidR="00701E03" w:rsidRPr="0025250D">
        <w:rPr>
          <w:rFonts w:hint="cs"/>
          <w:rtl/>
        </w:rPr>
        <w:t>راهبرد</w:t>
      </w:r>
      <w:r w:rsidRPr="0025250D">
        <w:rPr>
          <w:rFonts w:hint="cs"/>
          <w:rtl/>
        </w:rPr>
        <w:t xml:space="preserve"> و </w:t>
      </w:r>
      <w:r w:rsidR="00B124DE" w:rsidRPr="0025250D">
        <w:rPr>
          <w:rFonts w:hint="cs"/>
          <w:rtl/>
        </w:rPr>
        <w:t>برنامه‌ریزی</w:t>
      </w:r>
      <w:r w:rsidRPr="0025250D">
        <w:rPr>
          <w:rFonts w:hint="cs"/>
          <w:rtl/>
        </w:rPr>
        <w:t xml:space="preserve"> برای </w:t>
      </w:r>
      <w:r w:rsidR="00B124DE" w:rsidRPr="0025250D">
        <w:rPr>
          <w:rFonts w:hint="cs"/>
          <w:rtl/>
        </w:rPr>
        <w:t>کسب‌و‌کار</w:t>
      </w:r>
      <w:r w:rsidRPr="0025250D">
        <w:rPr>
          <w:rFonts w:hint="cs"/>
          <w:rtl/>
        </w:rPr>
        <w:t xml:space="preserve">‌ها، سازمان‌های غیر انتفاعی و دولت ها. </w:t>
      </w:r>
      <w:r w:rsidR="00A86947" w:rsidRPr="0025250D">
        <w:rPr>
          <w:rFonts w:hint="cs"/>
          <w:rtl/>
        </w:rPr>
        <w:t xml:space="preserve">برگزارکننده </w:t>
      </w:r>
      <w:r w:rsidRPr="0025250D">
        <w:rPr>
          <w:rFonts w:hint="cs"/>
          <w:rtl/>
        </w:rPr>
        <w:t>کنفرانس سالانه، برنامه‌های گواهینامه ای.</w:t>
      </w:r>
      <w:r w:rsidR="00A86947" w:rsidRPr="0025250D">
        <w:rPr>
          <w:rFonts w:hint="cs"/>
          <w:rtl/>
        </w:rPr>
        <w:t xml:space="preserve"> دارای</w:t>
      </w:r>
      <w:r w:rsidRPr="0025250D">
        <w:rPr>
          <w:rFonts w:hint="cs"/>
          <w:rtl/>
        </w:rPr>
        <w:t xml:space="preserve"> 16 شعبه. </w:t>
      </w:r>
      <w:r w:rsidR="00A86947" w:rsidRPr="0025250D">
        <w:rPr>
          <w:rFonts w:hint="cs"/>
          <w:rtl/>
        </w:rPr>
        <w:t xml:space="preserve">فعال در زمینه </w:t>
      </w:r>
      <w:r w:rsidRPr="0025250D">
        <w:rPr>
          <w:rFonts w:hint="cs"/>
          <w:rtl/>
        </w:rPr>
        <w:t xml:space="preserve">منابع </w:t>
      </w:r>
      <w:r w:rsidR="00B124DE" w:rsidRPr="0025250D">
        <w:rPr>
          <w:rFonts w:hint="cs"/>
          <w:rtl/>
        </w:rPr>
        <w:t>برنامه‌ریزی</w:t>
      </w:r>
      <w:r w:rsidRPr="0025250D">
        <w:rPr>
          <w:rFonts w:hint="cs"/>
          <w:rtl/>
        </w:rPr>
        <w:t xml:space="preserve"> </w:t>
      </w:r>
      <w:r w:rsidR="00701E03" w:rsidRPr="0025250D">
        <w:rPr>
          <w:rFonts w:hint="cs"/>
          <w:rtl/>
        </w:rPr>
        <w:t>راهبردی</w:t>
      </w:r>
      <w:r w:rsidRPr="0025250D">
        <w:rPr>
          <w:rFonts w:hint="cs"/>
          <w:rtl/>
        </w:rPr>
        <w:t xml:space="preserve">؛ انجمن </w:t>
      </w:r>
      <w:r w:rsidR="00B124DE" w:rsidRPr="0025250D">
        <w:rPr>
          <w:rFonts w:hint="cs"/>
          <w:rtl/>
        </w:rPr>
        <w:t>برنامه‌ریزی</w:t>
      </w:r>
      <w:r w:rsidRPr="0025250D">
        <w:rPr>
          <w:rFonts w:hint="cs"/>
          <w:rtl/>
        </w:rPr>
        <w:t xml:space="preserve"> آمریکا</w:t>
      </w:r>
      <w:r w:rsidRPr="0025250D">
        <w:rPr>
          <w:vertAlign w:val="superscript"/>
          <w:rtl/>
        </w:rPr>
        <w:footnoteReference w:id="1206"/>
      </w:r>
      <w:r w:rsidRPr="0025250D">
        <w:rPr>
          <w:rFonts w:hint="cs"/>
          <w:rtl/>
        </w:rPr>
        <w:t xml:space="preserve"> (</w:t>
      </w:r>
      <w:r w:rsidRPr="0025250D">
        <w:t>APA</w:t>
      </w:r>
      <w:r w:rsidRPr="0025250D">
        <w:rPr>
          <w:rFonts w:hint="cs"/>
          <w:rtl/>
        </w:rPr>
        <w:t xml:space="preserve">). </w:t>
      </w:r>
      <w:r w:rsidR="00A86947" w:rsidRPr="0025250D">
        <w:rPr>
          <w:rFonts w:hint="cs"/>
          <w:rtl/>
        </w:rPr>
        <w:t xml:space="preserve">فعال </w:t>
      </w:r>
      <w:r w:rsidRPr="0025250D">
        <w:rPr>
          <w:rFonts w:hint="cs"/>
          <w:rtl/>
        </w:rPr>
        <w:t xml:space="preserve">از سال 1978. پیش برد هنر و علم </w:t>
      </w:r>
      <w:r w:rsidR="00B124DE" w:rsidRPr="0025250D">
        <w:rPr>
          <w:rFonts w:hint="cs"/>
          <w:rtl/>
        </w:rPr>
        <w:t>برنامه‌ریزی</w:t>
      </w:r>
      <w:r w:rsidRPr="0025250D">
        <w:rPr>
          <w:rFonts w:hint="cs"/>
          <w:rtl/>
        </w:rPr>
        <w:t xml:space="preserve"> شهری و منطقه ای. موسسه</w:t>
      </w:r>
      <w:r w:rsidRPr="0025250D">
        <w:rPr>
          <w:rtl/>
        </w:rPr>
        <w:t xml:space="preserve"> </w:t>
      </w:r>
      <w:r w:rsidRPr="0025250D">
        <w:rPr>
          <w:rFonts w:hint="cs"/>
          <w:rtl/>
        </w:rPr>
        <w:t>برنامه</w:t>
      </w:r>
      <w:r w:rsidRPr="0025250D">
        <w:rPr>
          <w:rtl/>
        </w:rPr>
        <w:t xml:space="preserve"> </w:t>
      </w:r>
      <w:r w:rsidRPr="0025250D">
        <w:rPr>
          <w:rFonts w:hint="cs"/>
          <w:rtl/>
        </w:rPr>
        <w:t>ریزان</w:t>
      </w:r>
      <w:r w:rsidRPr="0025250D">
        <w:rPr>
          <w:rtl/>
        </w:rPr>
        <w:t xml:space="preserve"> </w:t>
      </w:r>
      <w:r w:rsidRPr="0025250D">
        <w:rPr>
          <w:rFonts w:hint="cs"/>
          <w:rtl/>
        </w:rPr>
        <w:t>خبره</w:t>
      </w:r>
      <w:r w:rsidRPr="0025250D">
        <w:rPr>
          <w:rtl/>
        </w:rPr>
        <w:t xml:space="preserve"> </w:t>
      </w:r>
      <w:r w:rsidRPr="0025250D">
        <w:rPr>
          <w:rFonts w:hint="cs"/>
          <w:rtl/>
        </w:rPr>
        <w:t>آمریکا</w:t>
      </w:r>
      <w:r w:rsidRPr="0025250D">
        <w:rPr>
          <w:vertAlign w:val="superscript"/>
          <w:rtl/>
        </w:rPr>
        <w:footnoteReference w:id="1207"/>
      </w:r>
      <w:r w:rsidRPr="0025250D">
        <w:rPr>
          <w:rFonts w:hint="cs"/>
          <w:rtl/>
        </w:rPr>
        <w:t xml:space="preserve"> را اداره می‌کند. مجله</w:t>
      </w:r>
      <w:r w:rsidRPr="0025250D">
        <w:rPr>
          <w:rFonts w:hint="cs"/>
        </w:rPr>
        <w:t>‌</w:t>
      </w:r>
      <w:r w:rsidRPr="0025250D">
        <w:rPr>
          <w:rFonts w:hint="cs"/>
          <w:rtl/>
        </w:rPr>
        <w:t xml:space="preserve"> </w:t>
      </w:r>
      <w:r w:rsidR="00B124DE" w:rsidRPr="0025250D">
        <w:rPr>
          <w:rFonts w:hint="cs"/>
          <w:rtl/>
        </w:rPr>
        <w:t>برنامه‌ریزی</w:t>
      </w:r>
      <w:r w:rsidRPr="0025250D">
        <w:rPr>
          <w:vertAlign w:val="superscript"/>
          <w:rtl/>
        </w:rPr>
        <w:footnoteReference w:id="1208"/>
      </w:r>
      <w:r w:rsidRPr="0025250D">
        <w:rPr>
          <w:rFonts w:hint="cs"/>
          <w:rtl/>
        </w:rPr>
        <w:t xml:space="preserve"> و مجله انجمن </w:t>
      </w:r>
      <w:r w:rsidR="00B124DE" w:rsidRPr="0025250D">
        <w:rPr>
          <w:rFonts w:hint="cs"/>
          <w:rtl/>
        </w:rPr>
        <w:t>برنامه‌ریزی</w:t>
      </w:r>
      <w:r w:rsidRPr="0025250D">
        <w:rPr>
          <w:rFonts w:hint="cs"/>
          <w:rtl/>
        </w:rPr>
        <w:t xml:space="preserve"> آمریکا</w:t>
      </w:r>
      <w:r w:rsidRPr="0025250D">
        <w:rPr>
          <w:vertAlign w:val="superscript"/>
          <w:rtl/>
        </w:rPr>
        <w:footnoteReference w:id="1209"/>
      </w:r>
      <w:r w:rsidRPr="0025250D">
        <w:rPr>
          <w:rFonts w:hint="cs"/>
          <w:rtl/>
        </w:rPr>
        <w:t xml:space="preserve"> را منتشر می‌کند.</w:t>
      </w:r>
    </w:p>
    <w:p w14:paraId="19236A49" w14:textId="644D44E5" w:rsidR="00537CC8" w:rsidRPr="0025250D" w:rsidRDefault="00537CC8" w:rsidP="00537CC8">
      <w:pPr>
        <w:rPr>
          <w:rtl/>
        </w:rPr>
      </w:pPr>
      <w:r w:rsidRPr="0025250D">
        <w:rPr>
          <w:rFonts w:hint="cs"/>
          <w:rtl/>
        </w:rPr>
        <w:t xml:space="preserve">همچنین سازمان‌های صنعتی تخصصی وجود دارند که دانش و آموزش </w:t>
      </w:r>
      <w:r w:rsidRPr="0025250D">
        <w:rPr>
          <w:rtl/>
        </w:rPr>
        <w:t>آینده‌نگاری</w:t>
      </w:r>
      <w:r w:rsidRPr="0025250D">
        <w:rPr>
          <w:rFonts w:hint="cs"/>
          <w:rtl/>
        </w:rPr>
        <w:t xml:space="preserve"> که می‌تواند برای کارسپاران مفید باشد را ارائه می‌دهند. مؤسسه</w:t>
      </w:r>
      <w:r w:rsidRPr="0025250D">
        <w:rPr>
          <w:rFonts w:hint="cs"/>
        </w:rPr>
        <w:t>‌</w:t>
      </w:r>
      <w:r w:rsidRPr="0025250D">
        <w:rPr>
          <w:rFonts w:hint="cs"/>
          <w:rtl/>
        </w:rPr>
        <w:t xml:space="preserve"> مشاروان مدیریت</w:t>
      </w:r>
      <w:r w:rsidRPr="0025250D">
        <w:rPr>
          <w:vertAlign w:val="superscript"/>
          <w:rtl/>
        </w:rPr>
        <w:footnoteReference w:id="1210"/>
      </w:r>
      <w:r w:rsidRPr="0025250D">
        <w:rPr>
          <w:rFonts w:hint="cs"/>
          <w:rtl/>
        </w:rPr>
        <w:t>، انجمن</w:t>
      </w:r>
      <w:r w:rsidRPr="0025250D">
        <w:rPr>
          <w:rtl/>
        </w:rPr>
        <w:t xml:space="preserve"> </w:t>
      </w:r>
      <w:r w:rsidRPr="0025250D">
        <w:rPr>
          <w:rFonts w:hint="cs"/>
          <w:rtl/>
        </w:rPr>
        <w:t>مشاوران</w:t>
      </w:r>
      <w:r w:rsidRPr="0025250D">
        <w:rPr>
          <w:rtl/>
        </w:rPr>
        <w:t xml:space="preserve"> </w:t>
      </w:r>
      <w:r w:rsidRPr="0025250D">
        <w:rPr>
          <w:rFonts w:hint="cs"/>
          <w:rtl/>
        </w:rPr>
        <w:t>مدیریت</w:t>
      </w:r>
      <w:r w:rsidRPr="0025250D">
        <w:rPr>
          <w:rtl/>
        </w:rPr>
        <w:t xml:space="preserve"> </w:t>
      </w:r>
      <w:r w:rsidR="00F50EB4" w:rsidRPr="0025250D">
        <w:rPr>
          <w:rFonts w:hint="cs"/>
          <w:rtl/>
        </w:rPr>
        <w:t>سرمایه‌گذاری</w:t>
      </w:r>
      <w:r w:rsidRPr="0025250D">
        <w:rPr>
          <w:vertAlign w:val="superscript"/>
          <w:rtl/>
        </w:rPr>
        <w:footnoteReference w:id="1211"/>
      </w:r>
      <w:r w:rsidRPr="0025250D">
        <w:rPr>
          <w:rFonts w:hint="cs"/>
          <w:rtl/>
        </w:rPr>
        <w:t>، انجمن</w:t>
      </w:r>
      <w:r w:rsidRPr="0025250D">
        <w:rPr>
          <w:rtl/>
        </w:rPr>
        <w:t xml:space="preserve"> </w:t>
      </w:r>
      <w:r w:rsidRPr="0025250D">
        <w:rPr>
          <w:rFonts w:hint="cs"/>
          <w:rtl/>
        </w:rPr>
        <w:t>ملی</w:t>
      </w:r>
      <w:r w:rsidRPr="0025250D">
        <w:rPr>
          <w:rtl/>
        </w:rPr>
        <w:t xml:space="preserve"> </w:t>
      </w:r>
      <w:r w:rsidRPr="0025250D">
        <w:rPr>
          <w:rFonts w:hint="cs"/>
          <w:rtl/>
        </w:rPr>
        <w:t>سخنرانان</w:t>
      </w:r>
      <w:r w:rsidRPr="0025250D">
        <w:rPr>
          <w:vertAlign w:val="superscript"/>
          <w:rtl/>
        </w:rPr>
        <w:footnoteReference w:id="1212"/>
      </w:r>
      <w:r w:rsidRPr="0025250D">
        <w:rPr>
          <w:rFonts w:hint="cs"/>
          <w:rtl/>
        </w:rPr>
        <w:t>، انجمن</w:t>
      </w:r>
      <w:r w:rsidRPr="0025250D">
        <w:rPr>
          <w:rtl/>
        </w:rPr>
        <w:t xml:space="preserve"> </w:t>
      </w:r>
      <w:r w:rsidRPr="0025250D">
        <w:rPr>
          <w:rFonts w:hint="cs"/>
          <w:rtl/>
        </w:rPr>
        <w:t>ملی</w:t>
      </w:r>
      <w:r w:rsidRPr="0025250D">
        <w:rPr>
          <w:rtl/>
        </w:rPr>
        <w:t xml:space="preserve"> </w:t>
      </w:r>
      <w:r w:rsidR="00F50EB4" w:rsidRPr="0025250D">
        <w:rPr>
          <w:rFonts w:hint="cs"/>
          <w:rtl/>
        </w:rPr>
        <w:t>سرمایه‌گذاری</w:t>
      </w:r>
      <w:r w:rsidRPr="0025250D">
        <w:rPr>
          <w:rtl/>
        </w:rPr>
        <w:t xml:space="preserve"> </w:t>
      </w:r>
      <w:r w:rsidRPr="0025250D">
        <w:rPr>
          <w:rFonts w:hint="cs"/>
          <w:rtl/>
        </w:rPr>
        <w:t>خطرپذیر</w:t>
      </w:r>
      <w:r w:rsidRPr="0025250D">
        <w:rPr>
          <w:vertAlign w:val="superscript"/>
          <w:rtl/>
        </w:rPr>
        <w:footnoteReference w:id="1213"/>
      </w:r>
      <w:r w:rsidRPr="0025250D">
        <w:rPr>
          <w:rFonts w:hint="cs"/>
          <w:rtl/>
        </w:rPr>
        <w:t xml:space="preserve"> و انجمن</w:t>
      </w:r>
      <w:r w:rsidRPr="0025250D">
        <w:rPr>
          <w:rtl/>
        </w:rPr>
        <w:t xml:space="preserve"> </w:t>
      </w:r>
      <w:r w:rsidRPr="0025250D">
        <w:rPr>
          <w:rFonts w:hint="cs"/>
          <w:rtl/>
        </w:rPr>
        <w:t>بین</w:t>
      </w:r>
      <w:r w:rsidRPr="0025250D">
        <w:rPr>
          <w:rtl/>
        </w:rPr>
        <w:t xml:space="preserve"> </w:t>
      </w:r>
      <w:r w:rsidRPr="0025250D">
        <w:rPr>
          <w:rFonts w:hint="cs"/>
          <w:rtl/>
        </w:rPr>
        <w:t>المللی</w:t>
      </w:r>
      <w:r w:rsidRPr="0025250D">
        <w:rPr>
          <w:rtl/>
        </w:rPr>
        <w:t xml:space="preserve"> </w:t>
      </w:r>
      <w:r w:rsidR="00D92F6E" w:rsidRPr="0025250D">
        <w:rPr>
          <w:rFonts w:hint="cs"/>
          <w:rtl/>
        </w:rPr>
        <w:t>آینده‌پژوه</w:t>
      </w:r>
      <w:r w:rsidRPr="0025250D">
        <w:rPr>
          <w:rFonts w:hint="cs"/>
          <w:rtl/>
        </w:rPr>
        <w:t>ان</w:t>
      </w:r>
      <w:r w:rsidRPr="0025250D">
        <w:rPr>
          <w:rtl/>
        </w:rPr>
        <w:t xml:space="preserve"> </w:t>
      </w:r>
      <w:r w:rsidRPr="0025250D">
        <w:rPr>
          <w:rFonts w:hint="cs"/>
          <w:rtl/>
        </w:rPr>
        <w:t>پلیس</w:t>
      </w:r>
      <w:r w:rsidRPr="0025250D">
        <w:rPr>
          <w:vertAlign w:val="superscript"/>
          <w:rtl/>
        </w:rPr>
        <w:footnoteReference w:id="1214"/>
      </w:r>
      <w:r w:rsidRPr="0025250D">
        <w:rPr>
          <w:rFonts w:hint="cs"/>
          <w:rtl/>
        </w:rPr>
        <w:t xml:space="preserve"> تنها چند مثال از این موارد هستند. پیوست 2 را برای نکات تحقیقاتی در مورد یافتن سازمان‌های </w:t>
      </w:r>
      <w:r w:rsidRPr="0025250D">
        <w:rPr>
          <w:rtl/>
        </w:rPr>
        <w:t>آینده‌نگاری</w:t>
      </w:r>
      <w:r w:rsidRPr="0025250D">
        <w:rPr>
          <w:rFonts w:hint="cs"/>
          <w:rtl/>
        </w:rPr>
        <w:t xml:space="preserve"> صنعتی مفید برای سازمان خاص خود ببینید.</w:t>
      </w:r>
    </w:p>
    <w:p w14:paraId="7EB1405E" w14:textId="5E27DD9D" w:rsidR="00537CC8" w:rsidRPr="0025250D" w:rsidRDefault="00537CC8" w:rsidP="00537CC8">
      <w:pPr>
        <w:rPr>
          <w:rtl/>
        </w:rPr>
      </w:pPr>
      <w:r w:rsidRPr="0025250D">
        <w:rPr>
          <w:rFonts w:hint="cs"/>
          <w:rtl/>
        </w:rPr>
        <w:t xml:space="preserve">برخی فعالان </w:t>
      </w:r>
      <w:r w:rsidRPr="0025250D">
        <w:rPr>
          <w:rtl/>
        </w:rPr>
        <w:t>آینده‌نگاری</w:t>
      </w:r>
      <w:r w:rsidRPr="0025250D">
        <w:rPr>
          <w:rFonts w:hint="cs"/>
          <w:rtl/>
        </w:rPr>
        <w:t xml:space="preserve">، از جمله افراد آکادمیک، فعالیت‌های تخصصی مانند یادگیری و توسعه، اطلاعات، ایده پردازی، نوآوری، کارآفرینی، طراحی، مدیریت ریسک، </w:t>
      </w:r>
      <w:r w:rsidR="00701E03" w:rsidRPr="0025250D">
        <w:rPr>
          <w:rFonts w:hint="cs"/>
          <w:rtl/>
        </w:rPr>
        <w:t>راهبرد</w:t>
      </w:r>
      <w:r w:rsidRPr="0025250D">
        <w:rPr>
          <w:rFonts w:hint="cs"/>
          <w:rtl/>
        </w:rPr>
        <w:t xml:space="preserve">، </w:t>
      </w:r>
      <w:r w:rsidR="00B124DE" w:rsidRPr="0025250D">
        <w:rPr>
          <w:rFonts w:hint="cs"/>
          <w:rtl/>
        </w:rPr>
        <w:t>برنامه‌ریزی</w:t>
      </w:r>
      <w:r w:rsidRPr="0025250D">
        <w:rPr>
          <w:rFonts w:hint="cs"/>
          <w:rtl/>
        </w:rPr>
        <w:t>، محک زنی، کیفیت و مدیریت تغییر را خارج از مرز‌های حرفه</w:t>
      </w:r>
      <w:r w:rsidRPr="0025250D">
        <w:rPr>
          <w:rFonts w:hint="cs"/>
        </w:rPr>
        <w:t>‌</w:t>
      </w:r>
      <w:r w:rsidRPr="0025250D">
        <w:rPr>
          <w:rFonts w:hint="cs"/>
          <w:rtl/>
        </w:rPr>
        <w:t xml:space="preserve"> </w:t>
      </w:r>
      <w:r w:rsidR="00A86947" w:rsidRPr="0025250D">
        <w:rPr>
          <w:rFonts w:hint="cs"/>
          <w:rtl/>
        </w:rPr>
        <w:t>آینده‌نگاری</w:t>
      </w:r>
      <w:r w:rsidRPr="0025250D">
        <w:rPr>
          <w:rFonts w:hint="cs"/>
          <w:rtl/>
        </w:rPr>
        <w:t xml:space="preserve"> تلقی می‌کنند. این به نظر ما یک خطای عمده می‌باشد، زیرا این موارد همگی شیوه‌هایی حیاتی هستند که سازمان‌ها با آینده </w:t>
      </w:r>
      <w:r w:rsidR="002F3C14" w:rsidRPr="0025250D">
        <w:rPr>
          <w:rFonts w:hint="cs"/>
          <w:rtl/>
        </w:rPr>
        <w:t>انطباق</w:t>
      </w:r>
      <w:r w:rsidRPr="0025250D">
        <w:rPr>
          <w:rFonts w:hint="cs"/>
          <w:rtl/>
        </w:rPr>
        <w:t xml:space="preserve"> می‌یابند. نادیده گرفتن آن‌ها تنها ما را از دسترسی به کارکردهای آینده‌نگاری حقیقی که امروزه انجام می‌شوند محروم کرده و توانایی ما را برای کمک به کارسپاران کاهش می‌دهد. محدود بودن تاریخی </w:t>
      </w:r>
      <w:r w:rsidR="00B56611" w:rsidRPr="0025250D">
        <w:rPr>
          <w:rFonts w:hint="cs"/>
          <w:rtl/>
        </w:rPr>
        <w:t>چشم‌انداز</w:t>
      </w:r>
      <w:r w:rsidRPr="0025250D">
        <w:rPr>
          <w:rFonts w:hint="cs"/>
          <w:rtl/>
        </w:rPr>
        <w:t xml:space="preserve"> زمینه </w:t>
      </w:r>
      <w:r w:rsidR="00A86947" w:rsidRPr="0025250D">
        <w:rPr>
          <w:rtl/>
        </w:rPr>
        <w:t>آینده‌نگاری</w:t>
      </w:r>
      <w:r w:rsidR="00A86947" w:rsidRPr="0025250D">
        <w:rPr>
          <w:rFonts w:hint="cs"/>
          <w:rtl/>
        </w:rPr>
        <w:t xml:space="preserve"> </w:t>
      </w:r>
      <w:r w:rsidRPr="0025250D">
        <w:rPr>
          <w:rFonts w:hint="cs"/>
          <w:rtl/>
        </w:rPr>
        <w:t>از نظر دامنه</w:t>
      </w:r>
      <w:r w:rsidRPr="0025250D">
        <w:rPr>
          <w:rFonts w:hint="cs"/>
        </w:rPr>
        <w:t>‌</w:t>
      </w:r>
      <w:r w:rsidRPr="0025250D">
        <w:rPr>
          <w:rFonts w:hint="cs"/>
          <w:rtl/>
        </w:rPr>
        <w:t>، با توجه به جوانی و فقدان پایه‌های نظری قوی</w:t>
      </w:r>
      <w:r w:rsidR="00A86947" w:rsidRPr="0025250D">
        <w:rPr>
          <w:rFonts w:hint="cs"/>
          <w:rtl/>
        </w:rPr>
        <w:t xml:space="preserve"> آن</w:t>
      </w:r>
      <w:r w:rsidRPr="0025250D">
        <w:rPr>
          <w:rFonts w:hint="cs"/>
          <w:rtl/>
        </w:rPr>
        <w:t xml:space="preserve"> در حال حاضر قابل درک است</w:t>
      </w:r>
      <w:r w:rsidR="008D6F97" w:rsidRPr="0025250D">
        <w:rPr>
          <w:rtl/>
        </w:rPr>
        <w:t xml:space="preserve">؛ </w:t>
      </w:r>
      <w:r w:rsidR="0020589F" w:rsidRPr="0025250D">
        <w:rPr>
          <w:rtl/>
        </w:rPr>
        <w:t>اما</w:t>
      </w:r>
      <w:r w:rsidRPr="0025250D">
        <w:rPr>
          <w:rFonts w:hint="cs"/>
          <w:rtl/>
        </w:rPr>
        <w:t xml:space="preserve"> خطر چنین دیدگاه‌های کوته بینانه‌ای این است که آن‌ها </w:t>
      </w:r>
      <w:r w:rsidRPr="0025250D">
        <w:rPr>
          <w:rtl/>
        </w:rPr>
        <w:t>آینده‌نگاری</w:t>
      </w:r>
      <w:r w:rsidRPr="0025250D">
        <w:rPr>
          <w:rFonts w:hint="cs"/>
          <w:rtl/>
        </w:rPr>
        <w:t xml:space="preserve"> را به گوشه‌ای غیر مؤثر از اقدامات سازمانی تنزل می‌دهند؛ بجای این که آن را به عنوان مجموعه‌ای فراگیر از فرایند‌ها </w:t>
      </w:r>
      <w:r w:rsidR="00A86947" w:rsidRPr="0025250D">
        <w:rPr>
          <w:rFonts w:hint="cs"/>
          <w:rtl/>
        </w:rPr>
        <w:t xml:space="preserve">بشناسند </w:t>
      </w:r>
      <w:r w:rsidRPr="0025250D">
        <w:rPr>
          <w:rFonts w:hint="cs"/>
          <w:rtl/>
        </w:rPr>
        <w:t xml:space="preserve">که </w:t>
      </w:r>
      <w:r w:rsidR="00A86947" w:rsidRPr="0025250D">
        <w:rPr>
          <w:rFonts w:hint="cs"/>
          <w:rtl/>
        </w:rPr>
        <w:t xml:space="preserve">در واقع </w:t>
      </w:r>
      <w:r w:rsidRPr="0025250D">
        <w:rPr>
          <w:rFonts w:hint="cs"/>
          <w:rtl/>
        </w:rPr>
        <w:t>حقیقت آن است.</w:t>
      </w:r>
    </w:p>
    <w:p w14:paraId="70FF4BC9" w14:textId="0D7D3704" w:rsidR="00537CC8" w:rsidRPr="0025250D" w:rsidRDefault="00537CC8" w:rsidP="00537CC8">
      <w:pPr>
        <w:rPr>
          <w:rtl/>
        </w:rPr>
      </w:pPr>
      <w:r w:rsidRPr="0025250D">
        <w:rPr>
          <w:rFonts w:hint="cs"/>
          <w:rtl/>
        </w:rPr>
        <w:t>توجه داشته باشید که تعداد کمی از این بیست تخصص، به طور مشخص مدیریت و رهبری، فراتخصص هایی</w:t>
      </w:r>
      <w:r w:rsidRPr="0025250D">
        <w:rPr>
          <w:vertAlign w:val="superscript"/>
          <w:rtl/>
        </w:rPr>
        <w:footnoteReference w:id="1215"/>
      </w:r>
      <w:r w:rsidRPr="0025250D">
        <w:rPr>
          <w:rFonts w:hint="cs"/>
          <w:rtl/>
        </w:rPr>
        <w:t xml:space="preserve"> مانند </w:t>
      </w:r>
      <w:r w:rsidRPr="0025250D">
        <w:rPr>
          <w:rtl/>
        </w:rPr>
        <w:t>آینده‌نگاری</w:t>
      </w:r>
      <w:r w:rsidRPr="0025250D">
        <w:rPr>
          <w:rFonts w:hint="cs"/>
          <w:rtl/>
        </w:rPr>
        <w:t xml:space="preserve"> هستند. مدیریت خوب به </w:t>
      </w:r>
      <w:r w:rsidRPr="0025250D">
        <w:rPr>
          <w:rtl/>
        </w:rPr>
        <w:t>آینده‌نگاری</w:t>
      </w:r>
      <w:r w:rsidRPr="0025250D">
        <w:rPr>
          <w:rFonts w:hint="cs"/>
          <w:rtl/>
        </w:rPr>
        <w:t xml:space="preserve"> کوتاه مدت و مهارت‌های متعدد دیگری نیاز دارد که در هر متنی در مورد مدیریت </w:t>
      </w:r>
      <w:r w:rsidR="00701E03" w:rsidRPr="0025250D">
        <w:rPr>
          <w:rFonts w:hint="cs"/>
          <w:rtl/>
        </w:rPr>
        <w:t>راهبردی</w:t>
      </w:r>
      <w:r w:rsidRPr="0025250D">
        <w:rPr>
          <w:rFonts w:hint="cs"/>
          <w:rtl/>
        </w:rPr>
        <w:t xml:space="preserve"> به آن‌ها اشاره شده است. رهبری مؤثر هم به </w:t>
      </w:r>
      <w:r w:rsidRPr="0025250D">
        <w:rPr>
          <w:rtl/>
        </w:rPr>
        <w:t>آینده‌نگاری</w:t>
      </w:r>
      <w:r w:rsidRPr="0025250D">
        <w:rPr>
          <w:rFonts w:hint="cs"/>
          <w:rtl/>
        </w:rPr>
        <w:t xml:space="preserve"> کوتاه مدت و هم به </w:t>
      </w:r>
      <w:r w:rsidRPr="0025250D">
        <w:rPr>
          <w:rtl/>
        </w:rPr>
        <w:t>آینده‌نگاری</w:t>
      </w:r>
      <w:r w:rsidRPr="0025250D">
        <w:rPr>
          <w:rFonts w:hint="cs"/>
          <w:rtl/>
        </w:rPr>
        <w:t xml:space="preserve"> بلند مدت، ارزش‌های خوب و مهارت‌ها و ویژگی‌های فردی دیگری علاوه بر نقاط قوت مدیریتی نیاز دارد.</w:t>
      </w:r>
    </w:p>
    <w:p w14:paraId="0D0B3EC1" w14:textId="1826D273" w:rsidR="00537CC8" w:rsidRPr="0025250D" w:rsidRDefault="00537CC8" w:rsidP="00537CC8">
      <w:pPr>
        <w:rPr>
          <w:rtl/>
        </w:rPr>
      </w:pPr>
      <w:r w:rsidRPr="0025250D">
        <w:rPr>
          <w:rFonts w:hint="cs"/>
          <w:rtl/>
        </w:rPr>
        <w:t>برخلاف هشت مهارت که همه</w:t>
      </w:r>
      <w:r w:rsidRPr="0025250D">
        <w:rPr>
          <w:rFonts w:hint="cs"/>
        </w:rPr>
        <w:t>‌</w:t>
      </w:r>
      <w:r w:rsidRPr="0025250D">
        <w:rPr>
          <w:rFonts w:hint="cs"/>
          <w:rtl/>
        </w:rPr>
        <w:t xml:space="preserve"> ما به طور مکرر در شغل‌های خود به آن‌ها وابسته خواهیم بود، نیاز نداریم که در همه یا حتی</w:t>
      </w:r>
      <w:r w:rsidR="0008779C" w:rsidRPr="0025250D">
        <w:rPr>
          <w:rFonts w:hint="cs"/>
          <w:rtl/>
        </w:rPr>
        <w:t xml:space="preserve"> بیش‌تر</w:t>
      </w:r>
      <w:r w:rsidRPr="0025250D">
        <w:rPr>
          <w:rFonts w:hint="cs"/>
          <w:rtl/>
        </w:rPr>
        <w:t xml:space="preserve"> این تخصص‌ها ماهر باشیم تا یک متخصص خوب در </w:t>
      </w:r>
      <w:r w:rsidRPr="0025250D">
        <w:rPr>
          <w:rtl/>
        </w:rPr>
        <w:t>آینده‌نگاری</w:t>
      </w:r>
      <w:r w:rsidRPr="0025250D">
        <w:rPr>
          <w:rFonts w:hint="cs"/>
          <w:rtl/>
        </w:rPr>
        <w:t xml:space="preserve"> باشیم</w:t>
      </w:r>
      <w:r w:rsidR="008D6F97" w:rsidRPr="0025250D">
        <w:rPr>
          <w:rtl/>
        </w:rPr>
        <w:t xml:space="preserve">؛ </w:t>
      </w:r>
      <w:r w:rsidR="0020589F" w:rsidRPr="0025250D">
        <w:rPr>
          <w:rtl/>
        </w:rPr>
        <w:t>اما</w:t>
      </w:r>
      <w:r w:rsidRPr="0025250D">
        <w:rPr>
          <w:rFonts w:hint="cs"/>
          <w:rtl/>
        </w:rPr>
        <w:t xml:space="preserve"> باید دانشی پایه‌ای از همه</w:t>
      </w:r>
      <w:r w:rsidRPr="0025250D">
        <w:rPr>
          <w:rFonts w:hint="cs"/>
        </w:rPr>
        <w:t>‌</w:t>
      </w:r>
      <w:r w:rsidRPr="0025250D">
        <w:rPr>
          <w:rFonts w:hint="cs"/>
          <w:rtl/>
        </w:rPr>
        <w:t xml:space="preserve"> آن‌ها داشته باشیم و باید بتوانیم تشخیص دهیم که چه زمانی یک متخصص می‌تواند به ما برای حل یک مسئله کمک کرده و با آن‌ها همکاری کرده یا کار را به آن‌ها واگذار کنیم. هرچه تیم‌های ما در راهبری و هدایت این تخصص‌ها بهتر شوند، در رهبری </w:t>
      </w:r>
      <w:r w:rsidRPr="0025250D">
        <w:rPr>
          <w:rtl/>
        </w:rPr>
        <w:t>آینده‌نگاری</w:t>
      </w:r>
      <w:r w:rsidRPr="0025250D">
        <w:rPr>
          <w:rFonts w:hint="cs"/>
          <w:rtl/>
        </w:rPr>
        <w:t xml:space="preserve"> در سازمان هایمان بهتر خواهیم شد.</w:t>
      </w:r>
    </w:p>
    <w:p w14:paraId="037338C6" w14:textId="77777777" w:rsidR="00537CC8" w:rsidRPr="0025250D" w:rsidRDefault="00537CC8" w:rsidP="00537CC8">
      <w:pPr>
        <w:rPr>
          <w:rtl/>
        </w:rPr>
      </w:pPr>
    </w:p>
    <w:p w14:paraId="22680088" w14:textId="77777777" w:rsidR="00537CC8" w:rsidRPr="0025250D" w:rsidRDefault="00537CC8" w:rsidP="00E03E50">
      <w:pPr>
        <w:pStyle w:val="Heading2"/>
        <w:rPr>
          <w:rtl/>
        </w:rPr>
      </w:pPr>
      <w:bookmarkStart w:id="35" w:name="_Toc127831300"/>
      <w:r w:rsidRPr="0025250D">
        <w:rPr>
          <w:rFonts w:hint="cs"/>
          <w:rtl/>
        </w:rPr>
        <w:t xml:space="preserve">حلقه انجام در سه سطح از جزئیات </w:t>
      </w:r>
      <w:r w:rsidRPr="0025250D">
        <w:rPr>
          <w:rFonts w:ascii="Times New Roman" w:hAnsi="Times New Roman" w:cs="Times New Roman" w:hint="cs"/>
          <w:rtl/>
        </w:rPr>
        <w:t>–</w:t>
      </w:r>
      <w:r w:rsidRPr="0025250D">
        <w:rPr>
          <w:rFonts w:hint="cs"/>
          <w:rtl/>
        </w:rPr>
        <w:t xml:space="preserve"> گام‌ها، مهارت‌ها و تخصص‌ها</w:t>
      </w:r>
      <w:bookmarkEnd w:id="35"/>
    </w:p>
    <w:p w14:paraId="0AE9387B" w14:textId="09F39770" w:rsidR="00537CC8" w:rsidRPr="0025250D" w:rsidRDefault="00537CC8" w:rsidP="00537CC8">
      <w:pPr>
        <w:rPr>
          <w:rtl/>
        </w:rPr>
      </w:pPr>
      <w:r w:rsidRPr="0025250D">
        <w:rPr>
          <w:rFonts w:hint="cs"/>
          <w:rtl/>
        </w:rPr>
        <w:t xml:space="preserve">اکنون ما می‌توانیم چهار گام، هشت مهارت و بیست تخصص را برای نگاه به حلقه انجام، از یک دیدگاه </w:t>
      </w:r>
      <w:r w:rsidRPr="0025250D">
        <w:rPr>
          <w:rtl/>
        </w:rPr>
        <w:t>آینده‌نگاری</w:t>
      </w:r>
      <w:r w:rsidRPr="0025250D">
        <w:rPr>
          <w:rFonts w:hint="cs"/>
          <w:rtl/>
        </w:rPr>
        <w:t xml:space="preserve"> سازمانی، در سه سطح از جزئیات با هم ترکیب کنیم. این شیوه‌ای سریع برای خلاصه‌سازی چگونگی انجام مسئولیت‌های حلقه انجام توسط سازمان‌ها است، به‌طوری‌که هر تیم با سرعت‌های متفاوتی بر اساس وظیفه، با استفاده از گستره وسیعی از تخصص‌ها در مدیریت </w:t>
      </w:r>
      <w:r w:rsidR="00701E03" w:rsidRPr="0025250D">
        <w:rPr>
          <w:rFonts w:hint="cs"/>
          <w:rtl/>
        </w:rPr>
        <w:t>راهبردی</w:t>
      </w:r>
      <w:r w:rsidRPr="0025250D">
        <w:rPr>
          <w:rFonts w:hint="cs"/>
          <w:rtl/>
        </w:rPr>
        <w:t xml:space="preserve"> در این چرخه‌ها حرکت کند. ما این بیست تخصص را در زیر فهرست کرده‌ایم.</w:t>
      </w:r>
    </w:p>
    <w:p w14:paraId="30286D59" w14:textId="77777777" w:rsidR="00537CC8" w:rsidRPr="0025250D" w:rsidRDefault="00537CC8" w:rsidP="00537CC8">
      <w:pPr>
        <w:rPr>
          <w:b/>
          <w:bCs/>
        </w:rPr>
      </w:pPr>
      <w:r w:rsidRPr="0025250D">
        <w:rPr>
          <w:rFonts w:hint="cs"/>
          <w:b/>
          <w:bCs/>
          <w:rtl/>
        </w:rPr>
        <w:t>الف. یادگیری</w:t>
      </w:r>
    </w:p>
    <w:p w14:paraId="19F7BEAF" w14:textId="77777777" w:rsidR="00537CC8" w:rsidRPr="0025250D" w:rsidRDefault="00537CC8" w:rsidP="00537CC8">
      <w:pPr>
        <w:rPr>
          <w:rtl/>
        </w:rPr>
      </w:pPr>
      <w:r w:rsidRPr="0025250D">
        <w:rPr>
          <w:rFonts w:hint="cs"/>
          <w:rtl/>
        </w:rPr>
        <w:t xml:space="preserve">1. </w:t>
      </w:r>
      <w:r w:rsidRPr="0025250D">
        <w:rPr>
          <w:rFonts w:hint="cs"/>
          <w:b/>
          <w:bCs/>
          <w:rtl/>
        </w:rPr>
        <w:t>یادگیری-تفکر جستجوگر</w:t>
      </w:r>
      <w:r w:rsidRPr="0025250D">
        <w:rPr>
          <w:b/>
          <w:bCs/>
          <w:vertAlign w:val="superscript"/>
          <w:rtl/>
        </w:rPr>
        <w:footnoteReference w:id="1216"/>
      </w:r>
    </w:p>
    <w:p w14:paraId="505B00C3" w14:textId="77777777" w:rsidR="00537CC8" w:rsidRPr="0025250D" w:rsidRDefault="00537CC8" w:rsidP="00537CC8">
      <w:pPr>
        <w:rPr>
          <w:rtl/>
        </w:rPr>
      </w:pPr>
      <w:r w:rsidRPr="0025250D">
        <w:rPr>
          <w:rFonts w:hint="cs"/>
          <w:rtl/>
        </w:rPr>
        <w:t>حسابداری و دارایی‌های ناملموس، مدیریت اطلاعات و دانش، یادگیری و توسعه</w:t>
      </w:r>
    </w:p>
    <w:p w14:paraId="4E3913BA" w14:textId="4809FBDB" w:rsidR="00537CC8" w:rsidRPr="0025250D" w:rsidRDefault="00537CC8" w:rsidP="00537CC8">
      <w:pPr>
        <w:rPr>
          <w:b/>
          <w:bCs/>
        </w:rPr>
      </w:pPr>
      <w:r w:rsidRPr="0025250D">
        <w:rPr>
          <w:rFonts w:hint="cs"/>
          <w:b/>
          <w:bCs/>
          <w:rtl/>
        </w:rPr>
        <w:t xml:space="preserve">ب. </w:t>
      </w:r>
      <w:r w:rsidRPr="0025250D">
        <w:rPr>
          <w:b/>
          <w:bCs/>
          <w:rtl/>
        </w:rPr>
        <w:t>آینده‌نگاری</w:t>
      </w:r>
    </w:p>
    <w:p w14:paraId="7EB6AD12" w14:textId="77777777" w:rsidR="00537CC8" w:rsidRPr="0025250D" w:rsidRDefault="00537CC8" w:rsidP="00537CC8">
      <w:pPr>
        <w:rPr>
          <w:rtl/>
        </w:rPr>
      </w:pPr>
      <w:r w:rsidRPr="0025250D">
        <w:rPr>
          <w:rFonts w:hint="cs"/>
          <w:rtl/>
        </w:rPr>
        <w:t xml:space="preserve">2. </w:t>
      </w:r>
      <w:r w:rsidRPr="0025250D">
        <w:rPr>
          <w:rFonts w:hint="cs"/>
          <w:b/>
          <w:bCs/>
          <w:rtl/>
        </w:rPr>
        <w:t>پیش‌انگاری - تفکر در مورد موارد احتمالی</w:t>
      </w:r>
      <w:r w:rsidRPr="0025250D">
        <w:rPr>
          <w:b/>
          <w:bCs/>
          <w:vertAlign w:val="superscript"/>
          <w:rtl/>
        </w:rPr>
        <w:footnoteReference w:id="1217"/>
      </w:r>
    </w:p>
    <w:p w14:paraId="411A77F6" w14:textId="77777777" w:rsidR="00537CC8" w:rsidRPr="0025250D" w:rsidRDefault="00537CC8" w:rsidP="00537CC8">
      <w:pPr>
        <w:rPr>
          <w:rtl/>
        </w:rPr>
      </w:pPr>
      <w:r w:rsidRPr="0025250D">
        <w:rPr>
          <w:rFonts w:hint="cs"/>
          <w:rtl/>
        </w:rPr>
        <w:t>علوم داده و یادگیری ماشین، پیش‌نگری و پیش‌بینی، سرمایه‌گذاری و امور مالی، قانون و امنیت، مدیریت ریسک و بیمه،</w:t>
      </w:r>
    </w:p>
    <w:p w14:paraId="2F78EBEA" w14:textId="77777777" w:rsidR="00537CC8" w:rsidRPr="0025250D" w:rsidRDefault="00537CC8" w:rsidP="00537CC8">
      <w:pPr>
        <w:rPr>
          <w:rtl/>
        </w:rPr>
      </w:pPr>
      <w:r w:rsidRPr="0025250D">
        <w:rPr>
          <w:rFonts w:hint="cs"/>
          <w:rtl/>
        </w:rPr>
        <w:t xml:space="preserve">3. </w:t>
      </w:r>
      <w:r w:rsidRPr="0025250D">
        <w:rPr>
          <w:rFonts w:hint="cs"/>
          <w:b/>
          <w:bCs/>
          <w:rtl/>
        </w:rPr>
        <w:t>نوآوری - تفکر در مورد موارد ممکن</w:t>
      </w:r>
      <w:r w:rsidRPr="0025250D">
        <w:rPr>
          <w:b/>
          <w:bCs/>
          <w:vertAlign w:val="superscript"/>
          <w:rtl/>
        </w:rPr>
        <w:footnoteReference w:id="1218"/>
      </w:r>
    </w:p>
    <w:p w14:paraId="4CFF37CA" w14:textId="6D737FD3" w:rsidR="00537CC8" w:rsidRPr="0025250D" w:rsidRDefault="00127288" w:rsidP="00537CC8">
      <w:pPr>
        <w:rPr>
          <w:rtl/>
        </w:rPr>
      </w:pPr>
      <w:r w:rsidRPr="0025250D">
        <w:rPr>
          <w:rFonts w:hint="cs"/>
          <w:rtl/>
        </w:rPr>
        <w:t>بدیل</w:t>
      </w:r>
      <w:r w:rsidR="00537CC8" w:rsidRPr="0025250D">
        <w:rPr>
          <w:rFonts w:hint="cs"/>
          <w:rtl/>
        </w:rPr>
        <w:t>‌ها و فرانامه‌ها، کارآفرینی و کارآفرینی سازمانی، تسهیل گری و بازی‌سازی، ایده‌پردازی و طراحی، نوآوری و تحقیق و توسعه</w:t>
      </w:r>
    </w:p>
    <w:p w14:paraId="760C1AAB" w14:textId="310F660C" w:rsidR="00537CC8" w:rsidRPr="0025250D" w:rsidRDefault="00537CC8" w:rsidP="00537CC8">
      <w:pPr>
        <w:rPr>
          <w:rtl/>
        </w:rPr>
      </w:pPr>
      <w:r w:rsidRPr="0025250D">
        <w:rPr>
          <w:rFonts w:hint="cs"/>
          <w:rtl/>
        </w:rPr>
        <w:t xml:space="preserve">4. </w:t>
      </w:r>
      <w:r w:rsidR="00701E03" w:rsidRPr="0025250D">
        <w:rPr>
          <w:rFonts w:hint="cs"/>
          <w:b/>
          <w:bCs/>
          <w:rtl/>
        </w:rPr>
        <w:t>راهبرد</w:t>
      </w:r>
      <w:r w:rsidRPr="0025250D">
        <w:rPr>
          <w:rFonts w:hint="cs"/>
          <w:b/>
          <w:bCs/>
          <w:rtl/>
        </w:rPr>
        <w:t xml:space="preserve"> </w:t>
      </w:r>
      <w:r w:rsidRPr="0025250D">
        <w:rPr>
          <w:rFonts w:cs="Times New Roman" w:hint="cs"/>
          <w:b/>
          <w:bCs/>
          <w:rtl/>
        </w:rPr>
        <w:t>–</w:t>
      </w:r>
      <w:r w:rsidRPr="0025250D">
        <w:rPr>
          <w:rFonts w:hint="cs"/>
          <w:b/>
          <w:bCs/>
          <w:rtl/>
        </w:rPr>
        <w:t xml:space="preserve"> تفکر </w:t>
      </w:r>
      <w:r w:rsidR="0034146C" w:rsidRPr="0025250D">
        <w:rPr>
          <w:rFonts w:hint="cs"/>
          <w:b/>
          <w:bCs/>
          <w:rtl/>
        </w:rPr>
        <w:t>در مورد موارد مرجح</w:t>
      </w:r>
      <w:r w:rsidRPr="0025250D">
        <w:rPr>
          <w:rFonts w:hint="cs"/>
          <w:b/>
          <w:bCs/>
          <w:rtl/>
        </w:rPr>
        <w:t xml:space="preserve"> و </w:t>
      </w:r>
      <w:r w:rsidR="0034146C" w:rsidRPr="0025250D">
        <w:rPr>
          <w:rFonts w:hint="cs"/>
          <w:b/>
          <w:bCs/>
          <w:rtl/>
        </w:rPr>
        <w:t>قابل اجتناب</w:t>
      </w:r>
      <w:r w:rsidRPr="0025250D">
        <w:rPr>
          <w:b/>
          <w:bCs/>
          <w:vertAlign w:val="superscript"/>
          <w:rtl/>
        </w:rPr>
        <w:footnoteReference w:id="1219"/>
      </w:r>
    </w:p>
    <w:p w14:paraId="49680D9A" w14:textId="6A5C19EF" w:rsidR="00537CC8" w:rsidRPr="0025250D" w:rsidRDefault="00537CC8" w:rsidP="00537CC8">
      <w:pPr>
        <w:rPr>
          <w:rtl/>
        </w:rPr>
      </w:pPr>
      <w:r w:rsidRPr="0025250D">
        <w:rPr>
          <w:rFonts w:hint="cs"/>
          <w:rtl/>
        </w:rPr>
        <w:t xml:space="preserve">تجزیه‌وتحلیل و پشتیبانی از تصمیم، </w:t>
      </w:r>
      <w:r w:rsidR="00701E03" w:rsidRPr="0025250D">
        <w:rPr>
          <w:rFonts w:hint="cs"/>
          <w:rtl/>
        </w:rPr>
        <w:t>راهبرد</w:t>
      </w:r>
      <w:r w:rsidRPr="0025250D">
        <w:rPr>
          <w:rFonts w:hint="cs"/>
          <w:rtl/>
        </w:rPr>
        <w:t xml:space="preserve"> و برنامه‌ریزی</w:t>
      </w:r>
    </w:p>
    <w:p w14:paraId="37DEB3F9" w14:textId="77777777" w:rsidR="00537CC8" w:rsidRPr="0025250D" w:rsidRDefault="00537CC8" w:rsidP="00537CC8">
      <w:pPr>
        <w:rPr>
          <w:b/>
          <w:bCs/>
        </w:rPr>
      </w:pPr>
      <w:r w:rsidRPr="0025250D">
        <w:rPr>
          <w:rFonts w:hint="cs"/>
          <w:b/>
          <w:bCs/>
          <w:rtl/>
        </w:rPr>
        <w:t>ج. عمل</w:t>
      </w:r>
    </w:p>
    <w:p w14:paraId="75AB27ED" w14:textId="77777777" w:rsidR="00537CC8" w:rsidRPr="0025250D" w:rsidRDefault="00537CC8" w:rsidP="00537CC8">
      <w:pPr>
        <w:rPr>
          <w:rtl/>
        </w:rPr>
      </w:pPr>
      <w:r w:rsidRPr="0025250D">
        <w:rPr>
          <w:rFonts w:hint="cs"/>
          <w:rtl/>
        </w:rPr>
        <w:t xml:space="preserve">5. </w:t>
      </w:r>
      <w:r w:rsidRPr="0025250D">
        <w:rPr>
          <w:rFonts w:hint="cs"/>
          <w:b/>
          <w:bCs/>
          <w:rtl/>
        </w:rPr>
        <w:t>اجرا-تفکر تولیدی</w:t>
      </w:r>
      <w:r w:rsidRPr="0025250D">
        <w:rPr>
          <w:b/>
          <w:bCs/>
          <w:vertAlign w:val="superscript"/>
          <w:rtl/>
        </w:rPr>
        <w:footnoteReference w:id="1220"/>
      </w:r>
    </w:p>
    <w:p w14:paraId="4227B272" w14:textId="77777777" w:rsidR="00537CC8" w:rsidRPr="0025250D" w:rsidRDefault="00537CC8" w:rsidP="00537CC8">
      <w:pPr>
        <w:rPr>
          <w:rtl/>
        </w:rPr>
      </w:pPr>
      <w:r w:rsidRPr="0025250D">
        <w:rPr>
          <w:rFonts w:hint="cs"/>
          <w:rtl/>
        </w:rPr>
        <w:t>مدیریت و رهبری محصول / خدمت / پروژه</w:t>
      </w:r>
    </w:p>
    <w:p w14:paraId="07F5A94B" w14:textId="77777777" w:rsidR="00537CC8" w:rsidRPr="0025250D" w:rsidRDefault="00537CC8" w:rsidP="00537CC8">
      <w:pPr>
        <w:rPr>
          <w:rtl/>
        </w:rPr>
      </w:pPr>
      <w:r w:rsidRPr="0025250D">
        <w:rPr>
          <w:rFonts w:hint="cs"/>
          <w:rtl/>
        </w:rPr>
        <w:t>6</w:t>
      </w:r>
      <w:r w:rsidRPr="0025250D">
        <w:rPr>
          <w:rFonts w:hint="cs"/>
          <w:b/>
          <w:bCs/>
          <w:rtl/>
        </w:rPr>
        <w:t>. تأثیرگذاری - تفکر بازاریابی</w:t>
      </w:r>
      <w:r w:rsidRPr="0025250D">
        <w:rPr>
          <w:b/>
          <w:bCs/>
          <w:vertAlign w:val="superscript"/>
          <w:rtl/>
        </w:rPr>
        <w:footnoteReference w:id="1221"/>
      </w:r>
    </w:p>
    <w:p w14:paraId="766C489B" w14:textId="77777777" w:rsidR="00537CC8" w:rsidRPr="0025250D" w:rsidRDefault="00537CC8" w:rsidP="00537CC8">
      <w:pPr>
        <w:rPr>
          <w:rtl/>
        </w:rPr>
      </w:pPr>
      <w:r w:rsidRPr="0025250D">
        <w:rPr>
          <w:rFonts w:hint="cs"/>
          <w:rtl/>
        </w:rPr>
        <w:t>مدیریت فروش و بازاریابی</w:t>
      </w:r>
    </w:p>
    <w:p w14:paraId="332A6283" w14:textId="05014661" w:rsidR="00537CC8" w:rsidRPr="0025250D" w:rsidRDefault="00537CC8" w:rsidP="00537CC8">
      <w:pPr>
        <w:rPr>
          <w:rtl/>
        </w:rPr>
      </w:pPr>
      <w:r w:rsidRPr="0025250D">
        <w:rPr>
          <w:rFonts w:hint="cs"/>
          <w:rtl/>
        </w:rPr>
        <w:t xml:space="preserve">7. </w:t>
      </w:r>
      <w:r w:rsidR="0008779C" w:rsidRPr="0025250D">
        <w:rPr>
          <w:rFonts w:hint="cs"/>
          <w:b/>
          <w:bCs/>
          <w:rtl/>
        </w:rPr>
        <w:t>ارتباط‌دهی</w:t>
      </w:r>
      <w:r w:rsidRPr="0025250D">
        <w:rPr>
          <w:rFonts w:hint="cs"/>
          <w:b/>
          <w:bCs/>
          <w:rtl/>
        </w:rPr>
        <w:t>- تفکر تیمی</w:t>
      </w:r>
    </w:p>
    <w:p w14:paraId="7C120D55" w14:textId="77777777" w:rsidR="00537CC8" w:rsidRPr="0025250D" w:rsidRDefault="00537CC8" w:rsidP="00537CC8">
      <w:pPr>
        <w:rPr>
          <w:rtl/>
        </w:rPr>
      </w:pPr>
      <w:r w:rsidRPr="0025250D">
        <w:rPr>
          <w:rFonts w:hint="cs"/>
          <w:rtl/>
        </w:rPr>
        <w:t>مدیریت منابع انسانی و عملکرد</w:t>
      </w:r>
    </w:p>
    <w:p w14:paraId="5B967C99" w14:textId="77777777" w:rsidR="00537CC8" w:rsidRPr="0025250D" w:rsidRDefault="00537CC8" w:rsidP="00537CC8">
      <w:pPr>
        <w:rPr>
          <w:b/>
          <w:bCs/>
        </w:rPr>
      </w:pPr>
      <w:r w:rsidRPr="0025250D">
        <w:rPr>
          <w:rFonts w:hint="cs"/>
          <w:b/>
          <w:bCs/>
          <w:rtl/>
        </w:rPr>
        <w:t>د. بازبینی</w:t>
      </w:r>
    </w:p>
    <w:p w14:paraId="3736EA33" w14:textId="77777777" w:rsidR="00537CC8" w:rsidRPr="0025250D" w:rsidRDefault="00537CC8" w:rsidP="00537CC8">
      <w:pPr>
        <w:rPr>
          <w:rtl/>
        </w:rPr>
      </w:pPr>
      <w:r w:rsidRPr="0025250D">
        <w:rPr>
          <w:rFonts w:hint="cs"/>
          <w:rtl/>
        </w:rPr>
        <w:t xml:space="preserve">8. </w:t>
      </w:r>
      <w:r w:rsidRPr="0025250D">
        <w:rPr>
          <w:rFonts w:hint="cs"/>
          <w:b/>
          <w:bCs/>
          <w:rtl/>
        </w:rPr>
        <w:t>بازبینی - تفکر تعدیلی</w:t>
      </w:r>
      <w:r w:rsidRPr="0025250D">
        <w:rPr>
          <w:b/>
          <w:bCs/>
          <w:vertAlign w:val="superscript"/>
          <w:rtl/>
        </w:rPr>
        <w:footnoteReference w:id="1222"/>
      </w:r>
    </w:p>
    <w:p w14:paraId="50C38097" w14:textId="77777777" w:rsidR="00537CC8" w:rsidRPr="0025250D" w:rsidRDefault="00537CC8" w:rsidP="00537CC8">
      <w:pPr>
        <w:rPr>
          <w:rtl/>
        </w:rPr>
      </w:pPr>
      <w:r w:rsidRPr="0025250D">
        <w:rPr>
          <w:rFonts w:hint="cs"/>
          <w:rtl/>
        </w:rPr>
        <w:t>حسابرسی و مدیریت تغییر، محک‌زنی و کیفیت</w:t>
      </w:r>
    </w:p>
    <w:p w14:paraId="7729076E" w14:textId="7BE90827" w:rsidR="00537CC8" w:rsidRPr="0025250D" w:rsidRDefault="00F004A5" w:rsidP="00537CC8">
      <w:pPr>
        <w:rPr>
          <w:rtl/>
        </w:rPr>
      </w:pPr>
      <w:r w:rsidRPr="0025250D">
        <w:rPr>
          <w:noProof/>
        </w:rPr>
        <w:drawing>
          <wp:inline distT="0" distB="0" distL="0" distR="0" wp14:anchorId="475CB82C" wp14:editId="1B6274CD">
            <wp:extent cx="5701086" cy="4379834"/>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5702872" cy="4381206"/>
                    </a:xfrm>
                    <a:prstGeom prst="rect">
                      <a:avLst/>
                    </a:prstGeom>
                    <a:noFill/>
                  </pic:spPr>
                </pic:pic>
              </a:graphicData>
            </a:graphic>
          </wp:inline>
        </w:drawing>
      </w:r>
    </w:p>
    <w:p w14:paraId="7C0EFA59" w14:textId="1BCEC6DA" w:rsidR="00537CC8" w:rsidRPr="0025250D" w:rsidRDefault="00537CC8" w:rsidP="00537CC8">
      <w:pPr>
        <w:rPr>
          <w:rtl/>
        </w:rPr>
      </w:pPr>
      <w:r w:rsidRPr="0025250D">
        <w:rPr>
          <w:rFonts w:hint="cs"/>
          <w:rtl/>
        </w:rPr>
        <w:t xml:space="preserve">تصویر بالا </w:t>
      </w:r>
      <w:r w:rsidR="0063099E" w:rsidRPr="0025250D">
        <w:rPr>
          <w:rtl/>
        </w:rPr>
        <w:t>«</w:t>
      </w:r>
      <w:r w:rsidRPr="0025250D">
        <w:rPr>
          <w:rFonts w:hint="cs"/>
          <w:rtl/>
        </w:rPr>
        <w:t>تصویر یک‌صفحه‌ای</w:t>
      </w:r>
      <w:r w:rsidR="0063099E" w:rsidRPr="0025250D">
        <w:rPr>
          <w:rtl/>
        </w:rPr>
        <w:t>»</w:t>
      </w:r>
      <w:r w:rsidRPr="0025250D">
        <w:rPr>
          <w:rFonts w:hint="cs"/>
          <w:rtl/>
        </w:rPr>
        <w:t xml:space="preserve"> از </w:t>
      </w:r>
      <w:r w:rsidRPr="0025250D">
        <w:t>4U</w:t>
      </w:r>
      <w:r w:rsidRPr="0025250D">
        <w:rPr>
          <w:rFonts w:hint="cs"/>
          <w:rtl/>
        </w:rPr>
        <w:t xml:space="preserve"> برای مشخص کردن سه سطح از جزئیات، گام‌ها، مهارت‌ها و تخصص‌ها است که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w:t>
      </w:r>
      <w:r w:rsidR="00AE5BE0" w:rsidRPr="0025250D">
        <w:rPr>
          <w:rFonts w:hint="cs"/>
          <w:rtl/>
        </w:rPr>
        <w:t>انطباقی</w:t>
      </w:r>
      <w:r w:rsidRPr="0025250D">
        <w:rPr>
          <w:rFonts w:hint="cs"/>
          <w:rtl/>
        </w:rPr>
        <w:t xml:space="preserve"> مطابق آن‌ها در سازمان‌ها انجام می‌شود. افراد به گام‌ها، تیم‌ها به مهارت‌ها و سازمان‌ها به تخصص‌ها نیاز دارند. این مدل ارزش‌ها را که یک موضوع مجزا هستند در نظر نمی‌گیرد.</w:t>
      </w:r>
    </w:p>
    <w:p w14:paraId="65A71E0B" w14:textId="76905D55" w:rsidR="00537CC8" w:rsidRPr="0025250D" w:rsidRDefault="00537CC8" w:rsidP="00537CC8">
      <w:pPr>
        <w:rPr>
          <w:rtl/>
        </w:rPr>
      </w:pPr>
      <w:r w:rsidRPr="0025250D">
        <w:rPr>
          <w:rFonts w:hint="cs"/>
          <w:rtl/>
        </w:rPr>
        <w:t xml:space="preserve">سادگی این چهار گام، آن‌ها را برای مدیریت زندگی فردی و برای کار مقدماتی با تیم‌ها و سازمان‌ها بسیار مناسب می‌سازد. جزئیات اضافی در مدل هشت مهارت برای </w:t>
      </w:r>
      <w:r w:rsidRPr="0025250D">
        <w:rPr>
          <w:rtl/>
        </w:rPr>
        <w:t>آینده‌نگاری</w:t>
      </w:r>
      <w:r w:rsidRPr="0025250D">
        <w:rPr>
          <w:rFonts w:hint="cs"/>
          <w:rtl/>
        </w:rPr>
        <w:t xml:space="preserve"> و عمل در تیم‌ها مفید است. جزئیات عملی در بیست تخصص برای رهبران و مدیرانی که بر کل فرایند </w:t>
      </w:r>
      <w:r w:rsidRPr="0025250D">
        <w:rPr>
          <w:rtl/>
        </w:rPr>
        <w:t>آینده‌نگاری</w:t>
      </w:r>
      <w:r w:rsidRPr="0025250D">
        <w:rPr>
          <w:rFonts w:hint="cs"/>
          <w:rtl/>
        </w:rPr>
        <w:t xml:space="preserve"> سازمان تأثیر می‌گذارند و برای هماهنگ‌سازی کار </w:t>
      </w:r>
      <w:r w:rsidRPr="0025250D">
        <w:rPr>
          <w:rtl/>
        </w:rPr>
        <w:t>آینده‌نگاری</w:t>
      </w:r>
      <w:r w:rsidRPr="0025250D">
        <w:rPr>
          <w:rFonts w:hint="cs"/>
          <w:rtl/>
        </w:rPr>
        <w:t xml:space="preserve"> درون یک واحد و میان واحد‌های مختلف مفید است. در عمل، مدیران خوب ممکن است به استفاده دائمی از چهار گام، هشت مهارت و درک و استفاده از همه تخصص‌ها و متخصص شدن در تعداد کمی از آن‌ها در طول دوران کاری خود رضایت دهند. بیایید به یکی از این موارد برای درک ارزش آن نگاهی داشته باشیم.</w:t>
      </w:r>
    </w:p>
    <w:p w14:paraId="5738739F" w14:textId="77777777" w:rsidR="00537CC8" w:rsidRPr="0025250D" w:rsidRDefault="00537CC8" w:rsidP="000A674B">
      <w:pPr>
        <w:pStyle w:val="Heading2"/>
        <w:rPr>
          <w:rtl/>
        </w:rPr>
      </w:pPr>
      <w:bookmarkStart w:id="36" w:name="_Toc127831301"/>
      <w:r w:rsidRPr="0025250D">
        <w:rPr>
          <w:rFonts w:hint="cs"/>
          <w:rtl/>
        </w:rPr>
        <w:t xml:space="preserve">تمرکز تخصصی: </w:t>
      </w:r>
      <w:r w:rsidRPr="0025250D">
        <w:rPr>
          <w:rtl/>
        </w:rPr>
        <w:t>آینده‌نگاری</w:t>
      </w:r>
      <w:r w:rsidRPr="0025250D">
        <w:rPr>
          <w:rFonts w:hint="cs"/>
          <w:rtl/>
        </w:rPr>
        <w:t xml:space="preserve"> سرمایه‌گذاری و امور مالی</w:t>
      </w:r>
      <w:bookmarkEnd w:id="36"/>
    </w:p>
    <w:p w14:paraId="2BB87C9F" w14:textId="1B598DF4" w:rsidR="00537CC8" w:rsidRPr="0025250D" w:rsidRDefault="00537CC8" w:rsidP="00537CC8">
      <w:pPr>
        <w:rPr>
          <w:rtl/>
        </w:rPr>
      </w:pPr>
      <w:r w:rsidRPr="0025250D">
        <w:rPr>
          <w:rFonts w:hint="cs"/>
          <w:rtl/>
        </w:rPr>
        <w:t xml:space="preserve">در این نسخه از این کتاب راهنما به بیش‌تر این بیست تخصص </w:t>
      </w:r>
      <w:r w:rsidRPr="0025250D">
        <w:rPr>
          <w:rtl/>
        </w:rPr>
        <w:t>آینده‌نگاری</w:t>
      </w:r>
      <w:r w:rsidRPr="0025250D">
        <w:rPr>
          <w:rFonts w:hint="cs"/>
          <w:rtl/>
        </w:rPr>
        <w:t xml:space="preserve"> وارد نمی‌شویم. تعداد زیادی از کتاب‌های موجود در پیوست 3 می‌توانند به ما در این زمینه کمک کنند. بااین‌وجود، مایلیم تا به طور خلاصه یکی از این تخصص‌ها را در اینجا مورد بحث قرار دهیم: سرمایه‌گذاری و امور مالی، با تمرکزی بر سرمایه‌گذاری و پس‌انداز فردی.</w:t>
      </w:r>
    </w:p>
    <w:p w14:paraId="5F919BC7" w14:textId="6E5349A4" w:rsidR="00537CC8" w:rsidRPr="0025250D" w:rsidRDefault="00537CC8" w:rsidP="00537CC8">
      <w:pPr>
        <w:rPr>
          <w:rtl/>
        </w:rPr>
      </w:pPr>
      <w:r w:rsidRPr="0025250D">
        <w:rPr>
          <w:rFonts w:hint="cs"/>
          <w:rtl/>
        </w:rPr>
        <w:t xml:space="preserve">سرمایه‌گذاری برای ثروت‌اندوزی یک جنبه کلیدی </w:t>
      </w:r>
      <w:r w:rsidRPr="0025250D">
        <w:rPr>
          <w:rtl/>
        </w:rPr>
        <w:t>آینده‌نگاری</w:t>
      </w:r>
      <w:r w:rsidRPr="0025250D">
        <w:rPr>
          <w:rFonts w:hint="cs"/>
          <w:rtl/>
        </w:rPr>
        <w:t xml:space="preserve"> فردی است که در یک فصل کامل در نسخه دانشجوی این کتاب بررسی می‌کنیم. بیش‌تر مواردی که بیان می‌کنیم </w:t>
      </w:r>
      <w:r w:rsidR="00F662B0" w:rsidRPr="0025250D">
        <w:rPr>
          <w:rFonts w:hint="cs"/>
          <w:rtl/>
        </w:rPr>
        <w:t xml:space="preserve">نیز </w:t>
      </w:r>
      <w:r w:rsidRPr="0025250D">
        <w:rPr>
          <w:rFonts w:hint="cs"/>
          <w:rtl/>
        </w:rPr>
        <w:t>برای سرمایه‌گذاری سازمانی و مدیریت جریان نقدی کاربرد دار</w:t>
      </w:r>
      <w:r w:rsidR="00F662B0" w:rsidRPr="0025250D">
        <w:rPr>
          <w:rFonts w:hint="cs"/>
          <w:rtl/>
        </w:rPr>
        <w:t>ن</w:t>
      </w:r>
      <w:r w:rsidRPr="0025250D">
        <w:rPr>
          <w:rFonts w:hint="cs"/>
          <w:rtl/>
        </w:rPr>
        <w:t xml:space="preserve">د. انجام سرمایه‌گذاری فردی میان‌مدت و بلندمدت نه‌تنها به شکل قابل‌توجهی پیش‌انگاری ما را تقویت می‌کند، بلکه توانایی ما برای تأثیرگذاری بر تغییر مثبت در خانواده‌هایمان، سازمان‌های محبوبمان و جهان </w:t>
      </w:r>
      <w:r w:rsidRPr="0025250D">
        <w:rPr>
          <w:rFonts w:cs="Times New Roman" w:hint="cs"/>
          <w:rtl/>
        </w:rPr>
        <w:t>–</w:t>
      </w:r>
      <w:r w:rsidRPr="0025250D">
        <w:rPr>
          <w:rFonts w:hint="cs"/>
          <w:rtl/>
        </w:rPr>
        <w:t xml:space="preserve"> و به طور ایدئال حتی رسیدن به استقلال مالی در طول دوران کاریمان - را</w:t>
      </w:r>
      <w:r w:rsidRPr="0025250D">
        <w:rPr>
          <w:rtl/>
        </w:rPr>
        <w:t xml:space="preserve"> </w:t>
      </w:r>
      <w:r w:rsidRPr="0025250D">
        <w:rPr>
          <w:rFonts w:hint="cs"/>
          <w:rtl/>
        </w:rPr>
        <w:t>افزایش</w:t>
      </w:r>
      <w:r w:rsidRPr="0025250D">
        <w:rPr>
          <w:rtl/>
        </w:rPr>
        <w:t xml:space="preserve"> می‌</w:t>
      </w:r>
      <w:r w:rsidRPr="0025250D">
        <w:rPr>
          <w:rFonts w:hint="cs"/>
          <w:rtl/>
        </w:rPr>
        <w:t xml:space="preserve">دهد. آموزش سرمایه‌گذاری به فرزندانمان یک شیوه کلاسیک دیگر است که می‌توانیم به آن‌ها برای توسعه مهارت‌های </w:t>
      </w:r>
      <w:r w:rsidRPr="0025250D">
        <w:rPr>
          <w:rtl/>
        </w:rPr>
        <w:t>آینده‌نگاری</w:t>
      </w:r>
      <w:r w:rsidRPr="0025250D">
        <w:rPr>
          <w:rFonts w:hint="cs"/>
          <w:rtl/>
        </w:rPr>
        <w:t xml:space="preserve"> چهار </w:t>
      </w:r>
      <w:r w:rsidRPr="0025250D">
        <w:t>P</w:t>
      </w:r>
      <w:r w:rsidRPr="0025250D">
        <w:rPr>
          <w:rFonts w:hint="cs"/>
          <w:rtl/>
        </w:rPr>
        <w:t xml:space="preserve"> کمک کنیم.</w:t>
      </w:r>
    </w:p>
    <w:p w14:paraId="70120E16" w14:textId="0C3CF8F0" w:rsidR="00537CC8" w:rsidRPr="0025250D" w:rsidRDefault="00537CC8" w:rsidP="00537CC8">
      <w:pPr>
        <w:rPr>
          <w:rtl/>
        </w:rPr>
      </w:pPr>
      <w:r w:rsidRPr="0025250D">
        <w:rPr>
          <w:rFonts w:hint="cs"/>
          <w:rtl/>
        </w:rPr>
        <w:t xml:space="preserve">مهارت پیش‌انگاری </w:t>
      </w:r>
      <w:r w:rsidR="007118DE" w:rsidRPr="0025250D">
        <w:rPr>
          <w:rFonts w:hint="cs"/>
          <w:rtl/>
        </w:rPr>
        <w:t>همان‌طور</w:t>
      </w:r>
      <w:r w:rsidRPr="0025250D">
        <w:rPr>
          <w:rFonts w:hint="cs"/>
          <w:rtl/>
        </w:rPr>
        <w:t xml:space="preserve"> که بحث خواهیم کرد در بسیاری از جوامع فعال </w:t>
      </w:r>
      <w:r w:rsidRPr="0025250D">
        <w:rPr>
          <w:rtl/>
        </w:rPr>
        <w:t>آینده‌نگاری</w:t>
      </w:r>
      <w:r w:rsidRPr="0025250D">
        <w:rPr>
          <w:rFonts w:hint="cs"/>
          <w:rtl/>
        </w:rPr>
        <w:t xml:space="preserve"> فعلی کم‌تر توسعه یافته است. بیش‌تر افراد این باور غلط را دارند که سرمایه‌گذاران کوچک نمی‌توانند در بلندمدت با انجام انتخاب‌های بهتر نسبت به میانگین بازار در سرمایه‌گذاری‌های خود، بازار را شکست دهند. </w:t>
      </w:r>
      <w:r w:rsidR="007118DE" w:rsidRPr="0025250D">
        <w:rPr>
          <w:rFonts w:hint="cs"/>
          <w:rtl/>
        </w:rPr>
        <w:t>همان‌طور</w:t>
      </w:r>
      <w:r w:rsidRPr="0025250D">
        <w:rPr>
          <w:rFonts w:hint="cs"/>
          <w:rtl/>
        </w:rPr>
        <w:t xml:space="preserve"> که بحث خواهیم کرد، جوامع سرمایه‌گذاری فعالی مانند ماتلی فول</w:t>
      </w:r>
      <w:r w:rsidRPr="0025250D">
        <w:rPr>
          <w:vertAlign w:val="superscript"/>
          <w:rtl/>
        </w:rPr>
        <w:footnoteReference w:id="1223"/>
      </w:r>
      <w:r w:rsidRPr="0025250D">
        <w:rPr>
          <w:rFonts w:hint="cs"/>
          <w:rtl/>
        </w:rPr>
        <w:t xml:space="preserve"> نشان داده‌اند که این امر صحیح نیست. مشاوران سهام آن‌ها در اوج فعالیت خود تنها با انتخاب شرکت‌هایی با مدیریت بهتر که دارای پتانسیل رشد بیش‌تری نسبت به میانگین بازار بودند، </w:t>
      </w:r>
      <w:r w:rsidRPr="0025250D">
        <w:rPr>
          <w:rtl/>
        </w:rPr>
        <w:t>بازگشت</w:t>
      </w:r>
      <w:r w:rsidRPr="0025250D">
        <w:rPr>
          <w:rFonts w:hint="cs"/>
          <w:rtl/>
        </w:rPr>
        <w:t xml:space="preserve"> سرمایه‌ای بیش از 15 درصد در هر سال در طول 25 سال گذشته داشته‌اند که بسیار بیش‌تر از میانگین بازار است. برای سرمایه‌گذاری خوب در هر صنعتی، ما باید دائماً مهارت‌های پیش‌انگاری سازمانی و اجتماعی خود را تقویت کنیم. یاد می‌گیریم که مدیریت خوب، تیم‌های قوی و ایجاد ارزش را بهتر ارزیابی کنیم. همچنین می‌توانیم در امور مالی فردی، با ردیابی مخارج و یادگیری چگونگی پس‌انداز انضباط ایجاد کنیم تا بتوانیم سرمایه‌گذاری نماییم.</w:t>
      </w:r>
    </w:p>
    <w:p w14:paraId="7FB3584D" w14:textId="496793E6" w:rsidR="00537CC8" w:rsidRPr="0025250D" w:rsidRDefault="00537CC8" w:rsidP="00537CC8">
      <w:pPr>
        <w:rPr>
          <w:rtl/>
        </w:rPr>
      </w:pPr>
      <w:r w:rsidRPr="0025250D">
        <w:rPr>
          <w:rFonts w:hint="cs"/>
          <w:rtl/>
        </w:rPr>
        <w:t xml:space="preserve">یک کتاب مقدماتی خوب در مورد پس‌انداز کتاب </w:t>
      </w:r>
      <w:r w:rsidR="0063099E" w:rsidRPr="0025250D">
        <w:rPr>
          <w:rtl/>
        </w:rPr>
        <w:t>«</w:t>
      </w:r>
      <w:r w:rsidRPr="0025250D">
        <w:rPr>
          <w:rFonts w:hint="cs"/>
          <w:rtl/>
        </w:rPr>
        <w:t>تنها راهنمای سرمایه‌گذاری که نیاز خواهید داشت</w:t>
      </w:r>
      <w:r w:rsidRPr="0025250D">
        <w:rPr>
          <w:vertAlign w:val="superscript"/>
          <w:rtl/>
        </w:rPr>
        <w:footnoteReference w:id="1224"/>
      </w:r>
      <w:r w:rsidR="0063099E" w:rsidRPr="0025250D">
        <w:rPr>
          <w:rtl/>
        </w:rPr>
        <w:t>»</w:t>
      </w:r>
      <w:r w:rsidRPr="0025250D">
        <w:rPr>
          <w:rFonts w:hint="cs"/>
          <w:rtl/>
        </w:rPr>
        <w:t xml:space="preserve"> اثر </w:t>
      </w:r>
      <w:r w:rsidRPr="0025250D">
        <w:rPr>
          <w:rtl/>
        </w:rPr>
        <w:t>اندرو توب</w:t>
      </w:r>
      <w:r w:rsidRPr="0025250D">
        <w:rPr>
          <w:rFonts w:hint="cs"/>
          <w:rtl/>
        </w:rPr>
        <w:t>ی</w:t>
      </w:r>
      <w:r w:rsidRPr="0025250D">
        <w:rPr>
          <w:rFonts w:hint="eastAsia"/>
          <w:rtl/>
        </w:rPr>
        <w:t>اس</w:t>
      </w:r>
      <w:r w:rsidRPr="0025250D">
        <w:rPr>
          <w:vertAlign w:val="superscript"/>
          <w:rtl/>
        </w:rPr>
        <w:footnoteReference w:id="1225"/>
      </w:r>
      <w:r w:rsidRPr="0025250D">
        <w:rPr>
          <w:rFonts w:hint="cs"/>
          <w:rtl/>
        </w:rPr>
        <w:t xml:space="preserve"> در سال 1978/2016 است. این کتاب انضباط پس‌انداز و دانستن ارزش آینده پول را بررسی می‌کند. کتاب </w:t>
      </w:r>
      <w:r w:rsidR="0063099E" w:rsidRPr="0025250D">
        <w:rPr>
          <w:rtl/>
        </w:rPr>
        <w:t>«</w:t>
      </w:r>
      <w:r w:rsidRPr="0025250D">
        <w:rPr>
          <w:rFonts w:hint="cs"/>
          <w:rtl/>
        </w:rPr>
        <w:t>پول یا زندگی</w:t>
      </w:r>
      <w:r w:rsidRPr="0025250D">
        <w:rPr>
          <w:vertAlign w:val="superscript"/>
          <w:rtl/>
        </w:rPr>
        <w:footnoteReference w:id="1226"/>
      </w:r>
      <w:r w:rsidR="0063099E" w:rsidRPr="0025250D">
        <w:rPr>
          <w:rtl/>
        </w:rPr>
        <w:t>»</w:t>
      </w:r>
      <w:r w:rsidRPr="0025250D">
        <w:rPr>
          <w:rFonts w:hint="cs"/>
          <w:rtl/>
        </w:rPr>
        <w:t xml:space="preserve"> اثر </w:t>
      </w:r>
      <w:r w:rsidRPr="0025250D">
        <w:rPr>
          <w:rtl/>
        </w:rPr>
        <w:t>راب</w:t>
      </w:r>
      <w:r w:rsidRPr="0025250D">
        <w:rPr>
          <w:rFonts w:hint="cs"/>
          <w:rtl/>
        </w:rPr>
        <w:t>ی</w:t>
      </w:r>
      <w:r w:rsidRPr="0025250D">
        <w:rPr>
          <w:rFonts w:hint="eastAsia"/>
          <w:rtl/>
        </w:rPr>
        <w:t>ن</w:t>
      </w:r>
      <w:r w:rsidRPr="0025250D">
        <w:rPr>
          <w:rFonts w:hint="cs"/>
          <w:rtl/>
        </w:rPr>
        <w:t xml:space="preserve"> و </w:t>
      </w:r>
      <w:r w:rsidRPr="0025250D">
        <w:rPr>
          <w:rtl/>
        </w:rPr>
        <w:t>دوم</w:t>
      </w:r>
      <w:r w:rsidRPr="0025250D">
        <w:rPr>
          <w:rFonts w:hint="cs"/>
          <w:rtl/>
        </w:rPr>
        <w:t>ی</w:t>
      </w:r>
      <w:r w:rsidRPr="0025250D">
        <w:rPr>
          <w:rFonts w:hint="eastAsia"/>
          <w:rtl/>
        </w:rPr>
        <w:t>نگز</w:t>
      </w:r>
      <w:r w:rsidRPr="0025250D">
        <w:rPr>
          <w:vertAlign w:val="superscript"/>
          <w:rtl/>
        </w:rPr>
        <w:footnoteReference w:id="1227"/>
      </w:r>
      <w:r w:rsidRPr="0025250D">
        <w:rPr>
          <w:rFonts w:hint="cs"/>
          <w:rtl/>
        </w:rPr>
        <w:t xml:space="preserve"> در سال 1992/2018 نیز برای افرادی که به اندازه کافی پس‌انداز نمی‌کنند یا افرادی که بیش از اندازه پس‌انداز می‌کنند و مقدار بسیار اندکی را به زندگی خود اختصاص می‌دهند، مفید است. اگر خود را از نظر هیجانی بدون دسترسی به پس‌انداز ببینیم، کتاب </w:t>
      </w:r>
      <w:r w:rsidR="0063099E" w:rsidRPr="0025250D">
        <w:rPr>
          <w:rtl/>
        </w:rPr>
        <w:t>«</w:t>
      </w:r>
      <w:r w:rsidRPr="0025250D">
        <w:rPr>
          <w:rFonts w:hint="cs"/>
          <w:rtl/>
        </w:rPr>
        <w:t>روانشناسی پول</w:t>
      </w:r>
      <w:r w:rsidRPr="0025250D">
        <w:rPr>
          <w:vertAlign w:val="superscript"/>
          <w:rtl/>
        </w:rPr>
        <w:footnoteReference w:id="1228"/>
      </w:r>
      <w:r w:rsidR="0063099E" w:rsidRPr="0025250D">
        <w:rPr>
          <w:rtl/>
        </w:rPr>
        <w:t>»</w:t>
      </w:r>
      <w:r w:rsidRPr="0025250D">
        <w:rPr>
          <w:rFonts w:hint="cs"/>
          <w:rtl/>
        </w:rPr>
        <w:t xml:space="preserve"> اثر </w:t>
      </w:r>
      <w:r w:rsidRPr="0025250D">
        <w:rPr>
          <w:rtl/>
        </w:rPr>
        <w:t>مورگان هاوسل</w:t>
      </w:r>
      <w:r w:rsidRPr="0025250D">
        <w:rPr>
          <w:vertAlign w:val="superscript"/>
          <w:rtl/>
        </w:rPr>
        <w:footnoteReference w:id="1229"/>
      </w:r>
      <w:r w:rsidRPr="0025250D">
        <w:rPr>
          <w:rFonts w:hint="cs"/>
          <w:rtl/>
        </w:rPr>
        <w:t xml:space="preserve"> در سال 2020 یک مقدمه خوب برای باور‌ها و عادات ما در مورد پول و این که چقدر ساده می‌توانند به ما کمک کرده یا آسیب بزنند، می‌باشد. مقاله‌ای که سبب تولد کتاب </w:t>
      </w:r>
      <w:r w:rsidRPr="0025250D">
        <w:rPr>
          <w:rtl/>
        </w:rPr>
        <w:t>هاوسل</w:t>
      </w:r>
      <w:r w:rsidRPr="0025250D">
        <w:rPr>
          <w:rFonts w:hint="cs"/>
          <w:rtl/>
        </w:rPr>
        <w:t xml:space="preserve"> شد با یک داستان جذاب از زندگی دو سرمایه‌گذار و رویکردهای بسیار متفاوتشان به پس‌انداز و سرمایه‌گذاری آغاز می‌شد. کتاب مقدماتی مورد علاقه ما درمورد سرمایه‌گذاری کتاب راهنمای سرمایه‌گذاری احمق‌های رنگارنگ</w:t>
      </w:r>
      <w:r w:rsidRPr="0025250D">
        <w:rPr>
          <w:vertAlign w:val="superscript"/>
          <w:rtl/>
        </w:rPr>
        <w:footnoteReference w:id="1230"/>
      </w:r>
      <w:r w:rsidRPr="0025250D">
        <w:rPr>
          <w:rFonts w:hint="cs"/>
          <w:rtl/>
        </w:rPr>
        <w:t xml:space="preserve">، ویرایش سوم، اثر </w:t>
      </w:r>
      <w:r w:rsidRPr="0025250D">
        <w:rPr>
          <w:rtl/>
        </w:rPr>
        <w:t>تام و د</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rtl/>
        </w:rPr>
        <w:t xml:space="preserve"> گاردنر</w:t>
      </w:r>
      <w:r w:rsidRPr="0025250D">
        <w:rPr>
          <w:vertAlign w:val="superscript"/>
          <w:rtl/>
        </w:rPr>
        <w:footnoteReference w:id="1231"/>
      </w:r>
      <w:r w:rsidRPr="0025250D">
        <w:rPr>
          <w:rFonts w:hint="cs"/>
          <w:rtl/>
        </w:rPr>
        <w:t xml:space="preserve"> در سال 2017 است. این کتاب توضیح می‌دهد که چگونه به شکل منفعل</w:t>
      </w:r>
      <w:r w:rsidRPr="0025250D">
        <w:rPr>
          <w:vertAlign w:val="superscript"/>
          <w:rtl/>
        </w:rPr>
        <w:footnoteReference w:id="1232"/>
      </w:r>
      <w:r w:rsidRPr="0025250D">
        <w:rPr>
          <w:rFonts w:hint="cs"/>
          <w:rtl/>
        </w:rPr>
        <w:t xml:space="preserve">، با استفاده از اندکی از زمان ارزشمندمان، در فرایندی که استقلال مالی را تضمین خواهد کرد، در طول 30 سال یا </w:t>
      </w:r>
      <w:r w:rsidR="00F662B0" w:rsidRPr="0025250D">
        <w:rPr>
          <w:rFonts w:hint="cs"/>
          <w:rtl/>
        </w:rPr>
        <w:t>زمانی ب</w:t>
      </w:r>
      <w:r w:rsidRPr="0025250D">
        <w:rPr>
          <w:rFonts w:hint="cs"/>
          <w:rtl/>
        </w:rPr>
        <w:t xml:space="preserve">یش‌تر سرمایه‌گذاری کنیم که برای هر کسی که تنها (100 دلار) در هفته (5000 دلار در سال پس‌انداز) مفید است. این هدف به طور کلی برای بیش‌تر آمریکایی‌ها قابل دسترس است. آن‌ها تنها باید آن را </w:t>
      </w:r>
      <w:r w:rsidR="007118DE" w:rsidRPr="0025250D">
        <w:rPr>
          <w:rFonts w:hint="cs"/>
          <w:rtl/>
        </w:rPr>
        <w:t>اولویت‌بندی</w:t>
      </w:r>
      <w:r w:rsidRPr="0025250D">
        <w:rPr>
          <w:rFonts w:hint="cs"/>
          <w:rtl/>
        </w:rPr>
        <w:t xml:space="preserve"> کنند و ارزش سرمایه‌گذاری را درک کنند. کتاب سرمایه‌گذاری </w:t>
      </w:r>
      <w:r w:rsidRPr="0025250D">
        <w:rPr>
          <w:rtl/>
        </w:rPr>
        <w:t>آینده‌نگاری</w:t>
      </w:r>
      <w:r w:rsidRPr="0025250D">
        <w:rPr>
          <w:vertAlign w:val="superscript"/>
          <w:rtl/>
        </w:rPr>
        <w:footnoteReference w:id="1233"/>
      </w:r>
      <w:r w:rsidRPr="0025250D">
        <w:rPr>
          <w:rFonts w:hint="cs"/>
          <w:rtl/>
        </w:rPr>
        <w:t xml:space="preserve"> اثر </w:t>
      </w:r>
      <w:r w:rsidR="00D30084" w:rsidRPr="0025250D">
        <w:rPr>
          <w:rFonts w:hint="cs"/>
          <w:rtl/>
        </w:rPr>
        <w:t>آینده‌نگار</w:t>
      </w:r>
      <w:r w:rsidRPr="0025250D">
        <w:rPr>
          <w:rFonts w:hint="cs"/>
          <w:rtl/>
        </w:rPr>
        <w:t xml:space="preserve"> و مشاور سرمایه‌گذاری تخصصی </w:t>
      </w:r>
      <w:r w:rsidRPr="0025250D">
        <w:rPr>
          <w:rtl/>
        </w:rPr>
        <w:t>ج</w:t>
      </w:r>
      <w:r w:rsidRPr="0025250D">
        <w:rPr>
          <w:rFonts w:hint="cs"/>
          <w:rtl/>
        </w:rPr>
        <w:t>ی</w:t>
      </w:r>
      <w:r w:rsidRPr="0025250D">
        <w:rPr>
          <w:rFonts w:hint="eastAsia"/>
          <w:rtl/>
        </w:rPr>
        <w:t>مز</w:t>
      </w:r>
      <w:r w:rsidRPr="0025250D">
        <w:rPr>
          <w:rtl/>
        </w:rPr>
        <w:t xml:space="preserve"> ل</w:t>
      </w:r>
      <w:r w:rsidRPr="0025250D">
        <w:rPr>
          <w:rFonts w:hint="cs"/>
          <w:rtl/>
        </w:rPr>
        <w:t>ی</w:t>
      </w:r>
      <w:r w:rsidRPr="0025250D">
        <w:rPr>
          <w:vertAlign w:val="superscript"/>
          <w:rtl/>
        </w:rPr>
        <w:footnoteReference w:id="1234"/>
      </w:r>
      <w:r w:rsidRPr="0025250D">
        <w:rPr>
          <w:rFonts w:hint="cs"/>
          <w:rtl/>
        </w:rPr>
        <w:t xml:space="preserve"> در سال 2021 نکات خوبی را درمورد </w:t>
      </w:r>
      <w:r w:rsidRPr="0025250D">
        <w:rPr>
          <w:rtl/>
        </w:rPr>
        <w:t>آینده‌نگاری</w:t>
      </w:r>
      <w:r w:rsidRPr="0025250D">
        <w:rPr>
          <w:rFonts w:hint="cs"/>
          <w:rtl/>
        </w:rPr>
        <w:t xml:space="preserve"> مالی و سرمایه‌گذاری بر روی رشد صنعتی ارائه می‌دهد.</w:t>
      </w:r>
    </w:p>
    <w:p w14:paraId="1E4F7AFC" w14:textId="2F0450C7" w:rsidR="00537CC8" w:rsidRPr="0025250D" w:rsidRDefault="00537CC8" w:rsidP="00537CC8">
      <w:pPr>
        <w:rPr>
          <w:rtl/>
        </w:rPr>
      </w:pPr>
      <w:r w:rsidRPr="0025250D">
        <w:rPr>
          <w:rFonts w:hint="cs"/>
          <w:rtl/>
        </w:rPr>
        <w:t xml:space="preserve">کسب بازگشت سرمایه بیش از حد معمول در بازار در طول چند سال چقدر دشوار است؟ به یاد داشته باشید که </w:t>
      </w:r>
      <w:r w:rsidR="007118DE" w:rsidRPr="0025250D">
        <w:rPr>
          <w:rFonts w:hint="cs"/>
          <w:rtl/>
        </w:rPr>
        <w:t>همان‌طور</w:t>
      </w:r>
      <w:r w:rsidRPr="0025250D">
        <w:rPr>
          <w:rFonts w:hint="cs"/>
          <w:rtl/>
        </w:rPr>
        <w:t xml:space="preserve"> که شخصیت‌های برجسته سرمایه‌گذاری مانند </w:t>
      </w:r>
      <w:r w:rsidRPr="0025250D">
        <w:rPr>
          <w:rtl/>
        </w:rPr>
        <w:t>وارن بافت</w:t>
      </w:r>
      <w:r w:rsidRPr="0025250D">
        <w:rPr>
          <w:rFonts w:hint="cs"/>
          <w:rtl/>
        </w:rPr>
        <w:t xml:space="preserve"> و </w:t>
      </w:r>
      <w:r w:rsidRPr="0025250D">
        <w:rPr>
          <w:rtl/>
        </w:rPr>
        <w:t>چارل</w:t>
      </w:r>
      <w:r w:rsidRPr="0025250D">
        <w:rPr>
          <w:rFonts w:hint="cs"/>
          <w:rtl/>
        </w:rPr>
        <w:t>ی</w:t>
      </w:r>
      <w:r w:rsidRPr="0025250D">
        <w:rPr>
          <w:rtl/>
        </w:rPr>
        <w:t xml:space="preserve"> مانگر</w:t>
      </w:r>
      <w:r w:rsidRPr="0025250D">
        <w:rPr>
          <w:vertAlign w:val="superscript"/>
          <w:rtl/>
        </w:rPr>
        <w:footnoteReference w:id="1235"/>
      </w:r>
      <w:r w:rsidRPr="0025250D">
        <w:rPr>
          <w:rFonts w:hint="cs"/>
          <w:rtl/>
        </w:rPr>
        <w:t xml:space="preserve"> مدت‌ها پیش گفته اند، نظریه بازار پر بازده یک افسانه است. حتی </w:t>
      </w:r>
      <w:r w:rsidR="008D6F97" w:rsidRPr="0025250D">
        <w:rPr>
          <w:rFonts w:hint="cs"/>
          <w:rtl/>
        </w:rPr>
        <w:t>سامانه‌</w:t>
      </w:r>
      <w:r w:rsidRPr="0025250D">
        <w:rPr>
          <w:rFonts w:hint="cs"/>
          <w:rtl/>
        </w:rPr>
        <w:t>‌هایی که به اندازه آب و هوا و بازار‌های سرمایه‌گذاری پیچیده هستند، همواره الگوی قابل پیش‌بینی منظم متعددی را از خود نشان می‌دهند. کتاب یک عبور غیر تصادفی از وال استریت</w:t>
      </w:r>
      <w:r w:rsidRPr="0025250D">
        <w:rPr>
          <w:vertAlign w:val="superscript"/>
          <w:rtl/>
        </w:rPr>
        <w:footnoteReference w:id="1236"/>
      </w:r>
      <w:r w:rsidRPr="0025250D">
        <w:rPr>
          <w:rFonts w:hint="cs"/>
          <w:rtl/>
        </w:rPr>
        <w:t xml:space="preserve"> اثر </w:t>
      </w:r>
      <w:r w:rsidRPr="0025250D">
        <w:rPr>
          <w:rtl/>
        </w:rPr>
        <w:t>لو</w:t>
      </w:r>
      <w:r w:rsidRPr="0025250D">
        <w:rPr>
          <w:rFonts w:hint="cs"/>
          <w:rtl/>
        </w:rPr>
        <w:t xml:space="preserve"> و </w:t>
      </w:r>
      <w:r w:rsidRPr="0025250D">
        <w:rPr>
          <w:rtl/>
        </w:rPr>
        <w:t>مک ک</w:t>
      </w:r>
      <w:r w:rsidRPr="0025250D">
        <w:rPr>
          <w:rFonts w:hint="cs"/>
          <w:rtl/>
        </w:rPr>
        <w:t>ی</w:t>
      </w:r>
      <w:r w:rsidRPr="0025250D">
        <w:rPr>
          <w:rFonts w:hint="eastAsia"/>
          <w:rtl/>
        </w:rPr>
        <w:t>نل</w:t>
      </w:r>
      <w:r w:rsidRPr="0025250D">
        <w:rPr>
          <w:rFonts w:hint="cs"/>
          <w:rtl/>
        </w:rPr>
        <w:t>ی</w:t>
      </w:r>
      <w:r w:rsidRPr="0025250D">
        <w:rPr>
          <w:vertAlign w:val="superscript"/>
          <w:rtl/>
        </w:rPr>
        <w:footnoteReference w:id="1237"/>
      </w:r>
      <w:r w:rsidRPr="0025250D">
        <w:rPr>
          <w:rFonts w:hint="cs"/>
          <w:rtl/>
        </w:rPr>
        <w:t xml:space="preserve"> در سال 2021 مانند هر </w:t>
      </w:r>
      <w:r w:rsidR="008D6F97" w:rsidRPr="0025250D">
        <w:rPr>
          <w:rFonts w:hint="cs"/>
          <w:rtl/>
        </w:rPr>
        <w:t>سامانه‌</w:t>
      </w:r>
      <w:r w:rsidRPr="0025250D">
        <w:rPr>
          <w:rFonts w:hint="cs"/>
          <w:rtl/>
        </w:rPr>
        <w:t xml:space="preserve"> دیگری، به خوبی شرایط پیش‌بینی جزئی دائمی بازار را نشان می‌دهد. حرکت بازار اغلب به طور میانگین</w:t>
      </w:r>
      <w:r w:rsidR="008D6F97" w:rsidRPr="0025250D">
        <w:rPr>
          <w:rtl/>
        </w:rPr>
        <w:t xml:space="preserve"> </w:t>
      </w:r>
      <w:r w:rsidRPr="0025250D">
        <w:rPr>
          <w:rFonts w:hint="cs"/>
          <w:rtl/>
        </w:rPr>
        <w:t xml:space="preserve">تا یک حد تخمینی اولیه تصادفی است، اما بسیاری از تغییرات فناورانه، اقتصادی و حکومتی و همچنین خود ذات انسان تا حدی قابل پیش‌بینی هستند. با نگاه به روندهای موجود در تصویر کلان‌تر، استفاده از </w:t>
      </w:r>
      <w:r w:rsidR="00701E03" w:rsidRPr="0025250D">
        <w:rPr>
          <w:rFonts w:hint="cs"/>
          <w:rtl/>
        </w:rPr>
        <w:t>راهبرد</w:t>
      </w:r>
      <w:r w:rsidRPr="0025250D">
        <w:rPr>
          <w:rtl/>
        </w:rPr>
        <w:t xml:space="preserve">‌های </w:t>
      </w:r>
      <w:r w:rsidRPr="0025250D">
        <w:rPr>
          <w:rFonts w:hint="cs"/>
          <w:rtl/>
        </w:rPr>
        <w:t>سرمایه‌گذاری</w:t>
      </w:r>
      <w:r w:rsidRPr="0025250D">
        <w:rPr>
          <w:rtl/>
        </w:rPr>
        <w:t xml:space="preserve"> </w:t>
      </w:r>
      <w:r w:rsidRPr="0025250D">
        <w:rPr>
          <w:rFonts w:hint="cs"/>
          <w:rtl/>
        </w:rPr>
        <w:t>برعکس</w:t>
      </w:r>
      <w:r w:rsidRPr="0025250D">
        <w:rPr>
          <w:vertAlign w:val="superscript"/>
          <w:rtl/>
        </w:rPr>
        <w:footnoteReference w:id="1238"/>
      </w:r>
      <w:r w:rsidRPr="0025250D">
        <w:rPr>
          <w:rFonts w:hint="cs"/>
          <w:rtl/>
        </w:rPr>
        <w:t xml:space="preserve"> و استفاده به موقع از چرخه‌های بازار، می‌توانیم به طور منظم الگوهای قابل پیش‌بینی در بازار و دیگر </w:t>
      </w:r>
      <w:r w:rsidR="008D6F97" w:rsidRPr="0025250D">
        <w:rPr>
          <w:rFonts w:hint="cs"/>
          <w:rtl/>
        </w:rPr>
        <w:t>سامانه‌</w:t>
      </w:r>
      <w:r w:rsidRPr="0025250D">
        <w:rPr>
          <w:rFonts w:hint="cs"/>
          <w:rtl/>
        </w:rPr>
        <w:t xml:space="preserve">‌های اقتصادی، اجتماعی، سیاسی و </w:t>
      </w:r>
      <w:r w:rsidR="007A53FD" w:rsidRPr="0025250D">
        <w:rPr>
          <w:rFonts w:hint="cs"/>
          <w:rtl/>
        </w:rPr>
        <w:t>فناورانه</w:t>
      </w:r>
      <w:r w:rsidRPr="0025250D">
        <w:rPr>
          <w:rFonts w:hint="cs"/>
          <w:rtl/>
        </w:rPr>
        <w:t xml:space="preserve"> را که تا حدی تحت تأثیر روانشناسی انسان هستند بیابیم و از آن‌ها سود ببریم.</w:t>
      </w:r>
    </w:p>
    <w:p w14:paraId="6A2DD682" w14:textId="77777777" w:rsidR="00537CC8" w:rsidRPr="0025250D" w:rsidRDefault="00537CC8" w:rsidP="000A674B">
      <w:pPr>
        <w:jc w:val="center"/>
        <w:rPr>
          <w:rtl/>
        </w:rPr>
      </w:pPr>
      <w:r w:rsidRPr="0025250D">
        <w:rPr>
          <w:noProof/>
          <w:rtl/>
          <w:lang w:bidi="ar-SA"/>
        </w:rPr>
        <w:drawing>
          <wp:inline distT="0" distB="0" distL="0" distR="0" wp14:anchorId="77A4EA83" wp14:editId="2B279CFD">
            <wp:extent cx="1597411" cy="2162755"/>
            <wp:effectExtent l="0" t="0" r="3175" b="9525"/>
            <wp:docPr id="72" name="Picture 72" descr="D:\کار\مستقل\3 ( ترجمه ی دانشگاه تهران  )\Introduction to Foresight\part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3\10.png"/>
                    <pic:cNvPicPr>
                      <a:picLocks noChangeAspect="1" noChangeArrowheads="1"/>
                    </pic:cNvPicPr>
                  </pic:nvPicPr>
                  <pic:blipFill rotWithShape="1">
                    <a:blip r:embed="rId108" cstate="screen">
                      <a:extLst>
                        <a:ext uri="{BEBA8EAE-BF5A-486C-A8C5-ECC9F3942E4B}">
                          <a14:imgProps xmlns:a14="http://schemas.microsoft.com/office/drawing/2010/main">
                            <a14:imgLayer r:embed="rId109">
                              <a14:imgEffect>
                                <a14:saturation sat="0"/>
                              </a14:imgEffect>
                            </a14:imgLayer>
                          </a14:imgProps>
                        </a:ext>
                        <a:ext uri="{28A0092B-C50C-407E-A947-70E740481C1C}">
                          <a14:useLocalDpi xmlns:a14="http://schemas.microsoft.com/office/drawing/2010/main"/>
                        </a:ext>
                      </a:extLst>
                    </a:blip>
                    <a:srcRect/>
                    <a:stretch/>
                  </pic:blipFill>
                  <pic:spPr bwMode="auto">
                    <a:xfrm>
                      <a:off x="0" y="0"/>
                      <a:ext cx="1602464" cy="2169596"/>
                    </a:xfrm>
                    <a:prstGeom prst="rect">
                      <a:avLst/>
                    </a:prstGeom>
                    <a:noFill/>
                    <a:ln>
                      <a:noFill/>
                    </a:ln>
                    <a:extLst>
                      <a:ext uri="{53640926-AAD7-44D8-BBD7-CCE9431645EC}">
                        <a14:shadowObscured xmlns:a14="http://schemas.microsoft.com/office/drawing/2010/main"/>
                      </a:ext>
                    </a:extLst>
                  </pic:spPr>
                </pic:pic>
              </a:graphicData>
            </a:graphic>
          </wp:inline>
        </w:drawing>
      </w:r>
    </w:p>
    <w:p w14:paraId="7B8B2592" w14:textId="77777777" w:rsidR="00537CC8" w:rsidRPr="0025250D" w:rsidRDefault="00537CC8" w:rsidP="000A674B">
      <w:pPr>
        <w:jc w:val="center"/>
        <w:rPr>
          <w:rtl/>
        </w:rPr>
      </w:pPr>
      <w:r w:rsidRPr="0025250D">
        <w:rPr>
          <w:rFonts w:hint="cs"/>
          <w:rtl/>
        </w:rPr>
        <w:t>لو و مک کزی، 2001</w:t>
      </w:r>
    </w:p>
    <w:p w14:paraId="242D44E8" w14:textId="467F7FA2" w:rsidR="00537CC8" w:rsidRPr="0025250D" w:rsidRDefault="00537CC8" w:rsidP="00537CC8">
      <w:pPr>
        <w:rPr>
          <w:rtl/>
        </w:rPr>
      </w:pPr>
      <w:r w:rsidRPr="0025250D">
        <w:rPr>
          <w:rFonts w:hint="cs"/>
          <w:rtl/>
        </w:rPr>
        <w:t>شاید بزرگترین وسیله سرمایه‌گذاری کنونی موجود برای همه ما در آمریکا ابزار معاف از مالیات حساب بازنشستگی فردی</w:t>
      </w:r>
      <w:r w:rsidRPr="0025250D">
        <w:rPr>
          <w:vertAlign w:val="superscript"/>
          <w:rtl/>
        </w:rPr>
        <w:footnoteReference w:id="1239"/>
      </w:r>
      <w:r w:rsidRPr="0025250D">
        <w:rPr>
          <w:rFonts w:hint="cs"/>
          <w:rtl/>
        </w:rPr>
        <w:t xml:space="preserve"> (</w:t>
      </w:r>
      <w:r w:rsidRPr="0025250D">
        <w:t>Roth IRA</w:t>
      </w:r>
      <w:r w:rsidRPr="0025250D">
        <w:rPr>
          <w:rFonts w:hint="cs"/>
          <w:rtl/>
        </w:rPr>
        <w:t xml:space="preserve">) است. ما می‌توانیم </w:t>
      </w:r>
      <w:r w:rsidRPr="0025250D">
        <w:t>Roth IRA</w:t>
      </w:r>
      <w:r w:rsidRPr="0025250D">
        <w:rPr>
          <w:rFonts w:hint="cs"/>
          <w:rtl/>
        </w:rPr>
        <w:t xml:space="preserve">‌های حضانتی برای فرزندانمان از سن 8 سالگی به بعد که به آن‌ها پول تو جیبی می‌دهیم باز کنیم. این حساب‌ها در سن 18 سالگی به </w:t>
      </w:r>
      <w:r w:rsidRPr="0025250D">
        <w:t>Roth IRA</w:t>
      </w:r>
      <w:r w:rsidRPr="0025250D">
        <w:rPr>
          <w:rFonts w:hint="cs"/>
          <w:rtl/>
        </w:rPr>
        <w:t xml:space="preserve">‌های معمول تبدیل می‌شوند. </w:t>
      </w:r>
      <w:r w:rsidRPr="0025250D">
        <w:rPr>
          <w:rtl/>
        </w:rPr>
        <w:t>شواب</w:t>
      </w:r>
      <w:r w:rsidRPr="0025250D">
        <w:rPr>
          <w:vertAlign w:val="superscript"/>
          <w:rtl/>
        </w:rPr>
        <w:footnoteReference w:id="1240"/>
      </w:r>
      <w:r w:rsidRPr="0025250D">
        <w:rPr>
          <w:rFonts w:hint="cs"/>
          <w:rtl/>
        </w:rPr>
        <w:t xml:space="preserve"> و فیدلیتی</w:t>
      </w:r>
      <w:r w:rsidRPr="0025250D">
        <w:rPr>
          <w:vertAlign w:val="superscript"/>
          <w:rtl/>
        </w:rPr>
        <w:footnoteReference w:id="1241"/>
      </w:r>
      <w:r w:rsidRPr="0025250D">
        <w:rPr>
          <w:rFonts w:hint="cs"/>
          <w:rtl/>
        </w:rPr>
        <w:t xml:space="preserve"> هر دو </w:t>
      </w:r>
      <w:r w:rsidRPr="0025250D">
        <w:t>IRA</w:t>
      </w:r>
      <w:r w:rsidRPr="0025250D">
        <w:rPr>
          <w:rFonts w:hint="cs"/>
          <w:rtl/>
        </w:rPr>
        <w:t xml:space="preserve">‌های حضانتی را ارائه می‌دهند. هر یک از ما مجازیم تا 6000 دلار در سال در </w:t>
      </w:r>
      <w:r w:rsidRPr="0025250D">
        <w:t>Roth IRA</w:t>
      </w:r>
      <w:r w:rsidRPr="0025250D">
        <w:rPr>
          <w:rFonts w:hint="cs"/>
          <w:rtl/>
        </w:rPr>
        <w:t xml:space="preserve"> خود پس‌انداز کنیم (7000 دلار پس از 50 سالگی). این پس‌انداز‌ها پس از کسر مالیات‌ها به سرمایه‌گذاری وارد می‌شوند</w:t>
      </w:r>
      <w:r w:rsidR="008D6F97" w:rsidRPr="0025250D">
        <w:rPr>
          <w:rtl/>
        </w:rPr>
        <w:t xml:space="preserve">؛ </w:t>
      </w:r>
      <w:r w:rsidRPr="0025250D">
        <w:rPr>
          <w:rFonts w:hint="cs"/>
          <w:rtl/>
        </w:rPr>
        <w:t xml:space="preserve">بنابراین </w:t>
      </w:r>
      <w:r w:rsidRPr="0025250D">
        <w:t>Roth IRA</w:t>
      </w:r>
      <w:r w:rsidRPr="0025250D">
        <w:rPr>
          <w:rFonts w:hint="cs"/>
          <w:rtl/>
        </w:rPr>
        <w:t xml:space="preserve"> ما معاف از مالیات رشد می‌کند. هیچ مالیات یا جریمه‌ای برای باز پس گیری زودهنگام مبالغ قبلی وجود ندارد و این موارد تنها بر روی درآمد‌ها لحاظ می‌شود. یک جریمه 10 درصدی و مالیات برای بازپس گیری زودهنگام بیش‌تر درآمد‌ها لحاظ می‌شود، اما هیچ جریمه‌ای برای باز پس گیری زودهنگام برای اولین خرید خانه، شهریه دانشگاه و تولد یا به سرپرستی گرفتن فرزندان لحاظ نمی‌گردد. وقتی به سن 59.5 سال می‌رسیم، پول به طور کامل متعلق به خودمان است که می‌توانیم آن را در آن حساب خود باقی بگذاریم یا هر مقداری را که خواستیم در هر زمان خارج کنیم. </w:t>
      </w:r>
      <w:r w:rsidRPr="0025250D">
        <w:t>Roth IRA</w:t>
      </w:r>
      <w:r w:rsidRPr="0025250D">
        <w:rPr>
          <w:rFonts w:hint="cs"/>
          <w:rtl/>
        </w:rPr>
        <w:t xml:space="preserve"> برای سرمایه‌گذاران متوسط معامله بسیار خوبی است. عجیب است که تعداد بیش‌تری از ما از این فرصت حداکثر استفاده را نمی‌بریم تا درآمدمان از سرمایه‌گذاری</w:t>
      </w:r>
      <w:r w:rsidR="00F662B0" w:rsidRPr="0025250D">
        <w:rPr>
          <w:rFonts w:hint="cs"/>
          <w:rtl/>
        </w:rPr>
        <w:t>‌</w:t>
      </w:r>
      <w:r w:rsidRPr="0025250D">
        <w:rPr>
          <w:rFonts w:hint="cs"/>
          <w:rtl/>
        </w:rPr>
        <w:t>هایمان از حقوقمان بیش‌تر شود و به استقلال مالی دائمی برسیم.</w:t>
      </w:r>
    </w:p>
    <w:p w14:paraId="77B93D4A" w14:textId="6E503446" w:rsidR="00537CC8" w:rsidRPr="0025250D" w:rsidRDefault="00537CC8" w:rsidP="00537CC8">
      <w:pPr>
        <w:rPr>
          <w:rtl/>
        </w:rPr>
      </w:pPr>
      <w:r w:rsidRPr="0025250D">
        <w:rPr>
          <w:rFonts w:hint="cs"/>
          <w:rtl/>
        </w:rPr>
        <w:t xml:space="preserve">بیایید نگاهی به برخی اعداد و ارقام داشته باشیم. سرمایه‌گذاری 100 دلار در هر هفته (5000 دلار در سال) در حساب </w:t>
      </w:r>
      <w:r w:rsidRPr="0025250D">
        <w:t>Roth IRA</w:t>
      </w:r>
      <w:r w:rsidRPr="0025250D">
        <w:rPr>
          <w:rFonts w:hint="cs"/>
          <w:rtl/>
        </w:rPr>
        <w:t xml:space="preserve">، از سن 15 تا 65 سالگی (50 سال سرمایه‌گذاری) به همراه سود سالیانه 9 درصد (تنها کمی بیش از بازگشت سرمایه میانگین بازار در دهه گذشته) 4.8 میلیون دلار برای خرج کردن بر روی هر چیزی که می‌خواهید در دوران بلوغ فکری زندگیتان </w:t>
      </w:r>
      <w:r w:rsidR="00F662B0" w:rsidRPr="0025250D">
        <w:rPr>
          <w:rFonts w:hint="cs"/>
          <w:rtl/>
        </w:rPr>
        <w:t xml:space="preserve">داشته باشید، </w:t>
      </w:r>
      <w:r w:rsidRPr="0025250D">
        <w:rPr>
          <w:rFonts w:hint="cs"/>
          <w:rtl/>
        </w:rPr>
        <w:t xml:space="preserve">در اختیار شما قرار می‌دهد. این به نظر عالی می‌رسد، اما اکنون در نظر بگیرید که اگر به یک سرمایه‌گذار منفعل جدی تبدیل شوید که از راهنمایی‌های مواردی مانند ماتلی فول پیروی کنید و یک بازگشت سرمایه 12 درصدی سالیانه دریافت کنید چه خواهد شد. چه ارزشی برای دارایی </w:t>
      </w:r>
      <w:r w:rsidRPr="0025250D">
        <w:t>IRA</w:t>
      </w:r>
      <w:r w:rsidRPr="0025250D">
        <w:rPr>
          <w:rFonts w:hint="cs"/>
          <w:rtl/>
        </w:rPr>
        <w:t xml:space="preserve"> بازنشستگی برای خود و خانواده تان پیش‌بینی می‌کنید؟</w:t>
      </w:r>
    </w:p>
    <w:p w14:paraId="187124E4" w14:textId="77777777" w:rsidR="00537CC8" w:rsidRPr="0025250D" w:rsidRDefault="00537CC8" w:rsidP="00537CC8">
      <w:pPr>
        <w:rPr>
          <w:rtl/>
        </w:rPr>
      </w:pPr>
      <w:r w:rsidRPr="0025250D">
        <w:rPr>
          <w:rFonts w:hint="cs"/>
          <w:rtl/>
        </w:rPr>
        <w:t xml:space="preserve">به طرز شگفت انگیزی، شما با 15 میلیون دلار بازنشسته خواهید شد. اگر به بازگشت سرمایه 15 درصد در سال برسید با 47 میلیون دلار بازنشسته خواهید شد. با شروع از سن 8 سالگی، سود حاصل بسیار بیش‌تر از این مقادیر خواهد شد. همه این بازگشت سرمایه‌ها درصورت پس‌انداز در یک حساب استانداردِ مشمول مالیات 30 تا 50 درصد کم‌تر خواهند بود. ماشین حساب </w:t>
      </w:r>
      <w:r w:rsidRPr="0025250D">
        <w:t>Roth IRA</w:t>
      </w:r>
      <w:r w:rsidRPr="0025250D">
        <w:rPr>
          <w:vertAlign w:val="superscript"/>
        </w:rPr>
        <w:footnoteReference w:id="1242"/>
      </w:r>
      <w:r w:rsidRPr="0025250D">
        <w:rPr>
          <w:rFonts w:hint="cs"/>
          <w:rtl/>
        </w:rPr>
        <w:t xml:space="preserve"> را (تصویر زیر، با 15 درصد رشد ترکیبی سالیانه) برای بررسی پس‌انداز و سود دهی متفاوت آینده </w:t>
      </w:r>
      <w:r w:rsidRPr="0025250D">
        <w:t>Roth IRA</w:t>
      </w:r>
      <w:r w:rsidRPr="0025250D">
        <w:rPr>
          <w:rFonts w:hint="cs"/>
          <w:rtl/>
        </w:rPr>
        <w:t xml:space="preserve"> امتحان</w:t>
      </w:r>
      <w:r w:rsidRPr="0025250D">
        <w:rPr>
          <w:rtl/>
        </w:rPr>
        <w:t xml:space="preserve"> </w:t>
      </w:r>
      <w:r w:rsidRPr="0025250D">
        <w:rPr>
          <w:rFonts w:hint="cs"/>
          <w:rtl/>
        </w:rPr>
        <w:t>کنید.</w:t>
      </w:r>
    </w:p>
    <w:p w14:paraId="47A0EC9C" w14:textId="77777777" w:rsidR="00537CC8" w:rsidRPr="0025250D" w:rsidRDefault="00537CC8" w:rsidP="00F004A5">
      <w:pPr>
        <w:jc w:val="center"/>
        <w:rPr>
          <w:rtl/>
        </w:rPr>
      </w:pPr>
      <w:r w:rsidRPr="0025250D">
        <w:rPr>
          <w:noProof/>
          <w:rtl/>
          <w:lang w:bidi="ar-SA"/>
        </w:rPr>
        <w:drawing>
          <wp:inline distT="0" distB="0" distL="0" distR="0" wp14:anchorId="15771114" wp14:editId="29BE5873">
            <wp:extent cx="4709160" cy="3528060"/>
            <wp:effectExtent l="0" t="0" r="0" b="0"/>
            <wp:docPr id="73" name="Picture 73" descr="D:\کار\مستقل\3 ( ترجمه ی دانشگاه تهران  )\Introduction to Foresight\part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کار\مستقل\3 ( ترجمه ی دانشگاه تهران  )\Introduction to Foresight\part3\11.png"/>
                    <pic:cNvPicPr>
                      <a:picLocks noChangeAspect="1" noChangeArrowheads="1"/>
                    </pic:cNvPicPr>
                  </pic:nvPicPr>
                  <pic:blipFill rotWithShape="1">
                    <a:blip r:embed="rId110" cstate="screen">
                      <a:extLst>
                        <a:ext uri="{BEBA8EAE-BF5A-486C-A8C5-ECC9F3942E4B}">
                          <a14:imgProps xmlns:a14="http://schemas.microsoft.com/office/drawing/2010/main">
                            <a14:imgLayer r:embed="rId111">
                              <a14:imgEffect>
                                <a14:saturation sat="0"/>
                              </a14:imgEffect>
                            </a14:imgLayer>
                          </a14:imgProps>
                        </a:ext>
                        <a:ext uri="{28A0092B-C50C-407E-A947-70E740481C1C}">
                          <a14:useLocalDpi xmlns:a14="http://schemas.microsoft.com/office/drawing/2010/main"/>
                        </a:ext>
                      </a:extLst>
                    </a:blip>
                    <a:srcRect r="-8" b="1332"/>
                    <a:stretch/>
                  </pic:blipFill>
                  <pic:spPr bwMode="auto">
                    <a:xfrm>
                      <a:off x="0" y="0"/>
                      <a:ext cx="4711669" cy="3529940"/>
                    </a:xfrm>
                    <a:prstGeom prst="rect">
                      <a:avLst/>
                    </a:prstGeom>
                    <a:noFill/>
                    <a:ln>
                      <a:noFill/>
                    </a:ln>
                    <a:extLst>
                      <a:ext uri="{53640926-AAD7-44D8-BBD7-CCE9431645EC}">
                        <a14:shadowObscured xmlns:a14="http://schemas.microsoft.com/office/drawing/2010/main"/>
                      </a:ext>
                    </a:extLst>
                  </pic:spPr>
                </pic:pic>
              </a:graphicData>
            </a:graphic>
          </wp:inline>
        </w:drawing>
      </w:r>
    </w:p>
    <w:p w14:paraId="03A1F5D7" w14:textId="2B815E61" w:rsidR="00537CC8" w:rsidRPr="0025250D" w:rsidRDefault="00537CC8" w:rsidP="00537CC8">
      <w:pPr>
        <w:rPr>
          <w:rtl/>
        </w:rPr>
      </w:pPr>
      <w:r w:rsidRPr="0025250D">
        <w:rPr>
          <w:rtl/>
        </w:rPr>
        <w:t>جان</w:t>
      </w:r>
      <w:r w:rsidRPr="0025250D">
        <w:rPr>
          <w:rFonts w:hint="cs"/>
          <w:rtl/>
        </w:rPr>
        <w:t xml:space="preserve"> اغلب از این مثال در کارگاه‌های خود در مورد تفکر نمایی</w:t>
      </w:r>
      <w:r w:rsidRPr="0025250D">
        <w:rPr>
          <w:vertAlign w:val="superscript"/>
          <w:rtl/>
        </w:rPr>
        <w:footnoteReference w:id="1243"/>
      </w:r>
      <w:r w:rsidRPr="0025250D">
        <w:rPr>
          <w:rFonts w:hint="cs"/>
          <w:rtl/>
        </w:rPr>
        <w:t xml:space="preserve"> استفاده می‌کند. در این مثال از رشد نمایی قابل توجه، بازگشت سرمایه سالانه به نظر در بیست سال اول مقدار زیادی نیست و سپس در بیست سال بعد </w:t>
      </w:r>
      <w:r w:rsidR="0063099E" w:rsidRPr="0025250D">
        <w:rPr>
          <w:rtl/>
        </w:rPr>
        <w:t>«</w:t>
      </w:r>
      <w:r w:rsidRPr="0025250D">
        <w:rPr>
          <w:rFonts w:hint="cs"/>
          <w:rtl/>
        </w:rPr>
        <w:t>منفجر</w:t>
      </w:r>
      <w:r w:rsidR="0063099E" w:rsidRPr="0025250D">
        <w:rPr>
          <w:rtl/>
        </w:rPr>
        <w:t>»</w:t>
      </w:r>
      <w:r w:rsidRPr="0025250D">
        <w:rPr>
          <w:rFonts w:hint="cs"/>
          <w:rtl/>
        </w:rPr>
        <w:t xml:space="preserve"> می‌شود (سمت راست نمودار را ببینید). به عنوان متفکرین خطی</w:t>
      </w:r>
      <w:r w:rsidRPr="0025250D">
        <w:rPr>
          <w:vertAlign w:val="superscript"/>
          <w:rtl/>
        </w:rPr>
        <w:footnoteReference w:id="1244"/>
      </w:r>
      <w:r w:rsidRPr="0025250D">
        <w:rPr>
          <w:rFonts w:hint="cs"/>
          <w:rtl/>
        </w:rPr>
        <w:t xml:space="preserve">، ما عملکرد اولیه در فرایند‌های نمایی را طولانی‌تر از حد واقعی پیش‌بینی می‌کنیم و به شدت عملکرد بعد از آن را کم‌تر پیش‌بینی می‌نماییم. اگر تمایل داشته باشید که سهام انفرادی تهیه کنید، ما پیشنهاد می‌کنیم که 6 تا 7 هزار دلار مجاز سالانه </w:t>
      </w:r>
      <w:r w:rsidRPr="0025250D">
        <w:t>Roth IRA</w:t>
      </w:r>
      <w:r w:rsidRPr="0025250D">
        <w:rPr>
          <w:rFonts w:hint="cs"/>
          <w:rtl/>
        </w:rPr>
        <w:t xml:space="preserve"> خود را هر ساله تنها در یک یا دو سهام جدید، مواردی که انتظار دارید بیش‌ترین سود را در طول حداقل یک دهه به شما بدهند، سرمایه‌گذاری کنید. بیایید یک نمونه از انتخاب سهام را در اینجا بررسی کنیم.</w:t>
      </w:r>
    </w:p>
    <w:p w14:paraId="7760F26C" w14:textId="6105688B" w:rsidR="00537CC8" w:rsidRPr="0025250D" w:rsidRDefault="00537CC8" w:rsidP="00537CC8">
      <w:pPr>
        <w:rPr>
          <w:rtl/>
        </w:rPr>
      </w:pPr>
      <w:r w:rsidRPr="0025250D">
        <w:rPr>
          <w:rFonts w:hint="cs"/>
          <w:rtl/>
        </w:rPr>
        <w:t>تاکسی‌های هوایی</w:t>
      </w:r>
      <w:r w:rsidRPr="0025250D">
        <w:rPr>
          <w:vertAlign w:val="superscript"/>
          <w:rtl/>
        </w:rPr>
        <w:footnoteReference w:id="1245"/>
      </w:r>
      <w:r w:rsidRPr="0025250D">
        <w:rPr>
          <w:rFonts w:hint="cs"/>
          <w:rtl/>
        </w:rPr>
        <w:t>: یک سرمایه‌گذاری بلندمدت احتمالی در آینده شهر ها. اگر در تسلا در قیمت عرضه اولیه آن با 17 دلار در سال 2010 سرمایه‌گذاری می‌کردید</w:t>
      </w:r>
      <w:r w:rsidR="008D6F97" w:rsidRPr="0025250D">
        <w:rPr>
          <w:rtl/>
        </w:rPr>
        <w:t xml:space="preserve"> </w:t>
      </w:r>
      <w:r w:rsidRPr="0025250D">
        <w:rPr>
          <w:rFonts w:hint="cs"/>
          <w:rtl/>
        </w:rPr>
        <w:t xml:space="preserve">تا سال 2021، یعنی 11 سال بعد 41 برابر شده بود. در سال 2010، سرمایه‌گذاران و شرکت‌های خودروسازی اندکی دریافتند که تقریبا همه حمل و نقل تجاری تا قبل از سال 2050 الکتریکی خواهد شد. اکنون، همه می‌توانند این امر را ببینند. تاکسی‌های هوایی الکتریکی امروزه در جایگاه مشابهی هستند. </w:t>
      </w:r>
      <w:r w:rsidRPr="0025250D">
        <w:rPr>
          <w:rtl/>
        </w:rPr>
        <w:t>جان</w:t>
      </w:r>
      <w:r w:rsidRPr="0025250D">
        <w:rPr>
          <w:rFonts w:hint="cs"/>
          <w:rtl/>
        </w:rPr>
        <w:t xml:space="preserve"> فکر می‌کند که بازار تاکسی‌های هوایی، با توجه به مزایای حمل و نقل هوایی الکتریکی بالای زمین (5 برابر افزایش سرعت، پایداری، بی صدا بودن، امنیت بالا) و هزینه‌های پیش‌بینی شده بسیار پایین آن در مقیاس (3 دلار به ازای هر مسافر در هر مایل) ارزش</w:t>
      </w:r>
      <w:r w:rsidRPr="0025250D">
        <w:rPr>
          <w:rtl/>
        </w:rPr>
        <w:t xml:space="preserve"> </w:t>
      </w:r>
      <w:r w:rsidRPr="0025250D">
        <w:rPr>
          <w:rFonts w:hint="cs"/>
          <w:rtl/>
        </w:rPr>
        <w:t>بیش‌تری</w:t>
      </w:r>
      <w:r w:rsidRPr="0025250D">
        <w:rPr>
          <w:rtl/>
        </w:rPr>
        <w:t xml:space="preserve"> </w:t>
      </w:r>
      <w:r w:rsidRPr="0025250D">
        <w:rPr>
          <w:rFonts w:hint="cs"/>
          <w:rtl/>
        </w:rPr>
        <w:t>نسبت</w:t>
      </w:r>
      <w:r w:rsidRPr="0025250D">
        <w:rPr>
          <w:rtl/>
        </w:rPr>
        <w:t xml:space="preserve"> </w:t>
      </w:r>
      <w:r w:rsidRPr="0025250D">
        <w:rPr>
          <w:rFonts w:hint="cs"/>
          <w:rtl/>
        </w:rPr>
        <w:t>به</w:t>
      </w:r>
      <w:r w:rsidRPr="0025250D">
        <w:rPr>
          <w:rtl/>
        </w:rPr>
        <w:t xml:space="preserve"> </w:t>
      </w:r>
      <w:r w:rsidRPr="0025250D">
        <w:rPr>
          <w:rFonts w:hint="cs"/>
          <w:rtl/>
        </w:rPr>
        <w:t>تسلا</w:t>
      </w:r>
      <w:r w:rsidRPr="0025250D">
        <w:rPr>
          <w:rtl/>
        </w:rPr>
        <w:t xml:space="preserve"> </w:t>
      </w:r>
      <w:r w:rsidRPr="0025250D">
        <w:rPr>
          <w:rFonts w:hint="cs"/>
          <w:rtl/>
        </w:rPr>
        <w:t>و</w:t>
      </w:r>
      <w:r w:rsidRPr="0025250D">
        <w:rPr>
          <w:rtl/>
        </w:rPr>
        <w:t xml:space="preserve"> اوبر</w:t>
      </w:r>
      <w:r w:rsidRPr="0025250D">
        <w:rPr>
          <w:vertAlign w:val="superscript"/>
          <w:rtl/>
        </w:rPr>
        <w:footnoteReference w:id="1246"/>
      </w:r>
      <w:r w:rsidRPr="0025250D">
        <w:rPr>
          <w:rFonts w:hint="cs"/>
          <w:rtl/>
        </w:rPr>
        <w:t xml:space="preserve"> به</w:t>
      </w:r>
      <w:r w:rsidRPr="0025250D">
        <w:rPr>
          <w:rtl/>
        </w:rPr>
        <w:t xml:space="preserve"> </w:t>
      </w:r>
      <w:r w:rsidRPr="0025250D">
        <w:rPr>
          <w:rFonts w:hint="cs"/>
          <w:rtl/>
        </w:rPr>
        <w:t>همراه</w:t>
      </w:r>
      <w:r w:rsidRPr="0025250D">
        <w:rPr>
          <w:rtl/>
        </w:rPr>
        <w:t xml:space="preserve"> </w:t>
      </w:r>
      <w:r w:rsidRPr="0025250D">
        <w:rPr>
          <w:rFonts w:hint="cs"/>
          <w:rtl/>
        </w:rPr>
        <w:t>خواهد</w:t>
      </w:r>
      <w:r w:rsidRPr="0025250D">
        <w:rPr>
          <w:rtl/>
        </w:rPr>
        <w:t xml:space="preserve"> </w:t>
      </w:r>
      <w:r w:rsidRPr="0025250D">
        <w:rPr>
          <w:rFonts w:hint="cs"/>
          <w:rtl/>
        </w:rPr>
        <w:t>داشت. در دوران جالبی زندگی می‌کنیم.</w:t>
      </w:r>
    </w:p>
    <w:p w14:paraId="5D4117B6" w14:textId="1BB9123F" w:rsidR="00537CC8" w:rsidRPr="0025250D" w:rsidRDefault="00537CC8" w:rsidP="00537CC8">
      <w:pPr>
        <w:rPr>
          <w:rtl/>
        </w:rPr>
      </w:pPr>
      <w:r w:rsidRPr="0025250D">
        <w:rPr>
          <w:rtl/>
        </w:rPr>
        <w:t>جان</w:t>
      </w:r>
      <w:r w:rsidRPr="0025250D">
        <w:rPr>
          <w:rFonts w:hint="cs"/>
          <w:rtl/>
        </w:rPr>
        <w:t xml:space="preserve"> که یک مشاور سرمایه‌گذاری رسمی نیست، همه 7000 دلار </w:t>
      </w:r>
      <w:r w:rsidRPr="0025250D">
        <w:t>Roth IRA</w:t>
      </w:r>
      <w:r w:rsidRPr="0025250D">
        <w:rPr>
          <w:rFonts w:hint="cs"/>
          <w:rtl/>
        </w:rPr>
        <w:t xml:space="preserve"> مجاز خود را در سال 2021 در یک سهام واحد، یک شرکت تاکسی هوایی در فاز تحقیق و توسعه، به نام جوبی اوییشن</w:t>
      </w:r>
      <w:r w:rsidRPr="0025250D">
        <w:rPr>
          <w:vertAlign w:val="superscript"/>
          <w:rtl/>
        </w:rPr>
        <w:footnoteReference w:id="1247"/>
      </w:r>
      <w:r w:rsidRPr="0025250D">
        <w:rPr>
          <w:rFonts w:hint="cs"/>
          <w:rtl/>
        </w:rPr>
        <w:t xml:space="preserve"> سرمایه‌گذاری کرد. او برنامه دارد تا همین کار را در سال 2022 انجام دهد. او انتظار دارد که جوبی در یک بخش حمل و نقل جهانی جدید با ارزش در طول دو دهه آینده پیشتاز باشد. اگر این سهام در طول بیست سال آینده 50 برابر شود (یک </w:t>
      </w:r>
      <w:r w:rsidRPr="0025250D">
        <w:t>CAGR</w:t>
      </w:r>
      <w:r w:rsidRPr="0025250D">
        <w:rPr>
          <w:rFonts w:hint="cs"/>
          <w:rtl/>
        </w:rPr>
        <w:t xml:space="preserve"> 21 درصدی در سال)، این سرمایه‌گذاری دو ساله برای بازنشستگی یا فرزندان جوبی 700000 دلار درآمد خواهد داشت. این تنها یک نمونه از </w:t>
      </w:r>
      <w:r w:rsidR="00F662B0" w:rsidRPr="0025250D">
        <w:rPr>
          <w:rFonts w:hint="cs"/>
          <w:rtl/>
        </w:rPr>
        <w:t>گمانه‌زنی</w:t>
      </w:r>
      <w:r w:rsidRPr="0025250D">
        <w:rPr>
          <w:rFonts w:hint="cs"/>
          <w:rtl/>
        </w:rPr>
        <w:t>‌های سرمایه‌گذاری نمایی متنوعی است که امروزه می‌توانیم انجام دهیم و هر ساله درست مانند هر سرمایه‌گذار خطرپذیر</w:t>
      </w:r>
      <w:r w:rsidR="00F662B0" w:rsidRPr="0025250D">
        <w:rPr>
          <w:rFonts w:hint="cs"/>
          <w:rtl/>
        </w:rPr>
        <w:t xml:space="preserve"> دیگری</w:t>
      </w:r>
      <w:r w:rsidRPr="0025250D">
        <w:rPr>
          <w:rFonts w:hint="cs"/>
          <w:rtl/>
        </w:rPr>
        <w:t>، سرمایه‌گذاری‌های جدیدی انجام دهیم و آن‌ها را برای بلندمدت بدون توجه به تغییر پذیری کوتاه مدت حفظ کنیم.</w:t>
      </w:r>
    </w:p>
    <w:p w14:paraId="25379256" w14:textId="0EE49489" w:rsidR="00537CC8" w:rsidRPr="0025250D" w:rsidRDefault="00537CC8" w:rsidP="00537CC8">
      <w:pPr>
        <w:rPr>
          <w:rtl/>
        </w:rPr>
      </w:pPr>
      <w:r w:rsidRPr="0025250D">
        <w:rPr>
          <w:rFonts w:hint="cs"/>
          <w:rtl/>
        </w:rPr>
        <w:t xml:space="preserve">در حال حاضر، سرمایه‌گذاران اندکی اندازه بازار چند میلیارد دلاری در حال پدیداری حمل و نقل الکتریکی هوایی منطقه‌ای و شهری را درک می‌کنند. تعداد کمی تشخیص می‌دهند که چه تعداد از شرکت‌ها، چه میزانی از سرمایه و استعداد‌ها به این بخش وارد </w:t>
      </w:r>
      <w:r w:rsidR="00185F3E" w:rsidRPr="0025250D">
        <w:rPr>
          <w:rFonts w:hint="cs"/>
          <w:rtl/>
        </w:rPr>
        <w:t>شده‌اند</w:t>
      </w:r>
      <w:r w:rsidRPr="0025250D">
        <w:rPr>
          <w:rFonts w:hint="cs"/>
          <w:rtl/>
        </w:rPr>
        <w:t xml:space="preserve"> یا تاکسی‌های هوایی</w:t>
      </w:r>
      <w:r w:rsidR="008D6F97" w:rsidRPr="0025250D">
        <w:rPr>
          <w:rtl/>
        </w:rPr>
        <w:t xml:space="preserve"> </w:t>
      </w:r>
      <w:r w:rsidRPr="0025250D">
        <w:rPr>
          <w:rFonts w:hint="cs"/>
          <w:rtl/>
        </w:rPr>
        <w:t>برای شهر‌های ما چقدر</w:t>
      </w:r>
      <w:r w:rsidR="00C706AA" w:rsidRPr="0025250D">
        <w:rPr>
          <w:rFonts w:hint="cs"/>
          <w:rtl/>
        </w:rPr>
        <w:t xml:space="preserve"> می‌توانند</w:t>
      </w:r>
      <w:r w:rsidRPr="0025250D">
        <w:rPr>
          <w:rFonts w:hint="cs"/>
          <w:rtl/>
        </w:rPr>
        <w:t xml:space="preserve"> امن، خودمختار، سریع، ارزان، سبز و ارزشمند باشند. از نظر ما، شبکه‌های تاکسی هوایی الکتریکی بخشی از این 5 درصد اجتناب ناپذیر از تغییرات اجتماعی هستند که توسعه‌ای می‌باشند، نه تکاملی. آن‌ها به حل راه بندان شهری (کاری که ماشین‌های خودران هم نمی‌توانند انجام دهند) کمک می‌کنند، به شدت سفر درون شهر‌ها و میان شهر‌ها را تسریع می‌کنند و دسترسی آسان سکونتگاه‌های شهری به طبیعت را فراهم می‌کنند. اگر جوبی سهم برتر بازار تاکسی‌های هوایی را از آن خود نکند، بازارهای پهپادی چند میلیون دلاری دیگر، مانند حمل و نقل نظامی، آمبولانس هوایی، آتش نشانی هوایی، سم پاشی و دیگر موارد را به خود اختصاص خواهد داد.</w:t>
      </w:r>
    </w:p>
    <w:p w14:paraId="5FF5B253" w14:textId="11F0CB15" w:rsidR="00537CC8" w:rsidRPr="0025250D" w:rsidRDefault="00537CC8" w:rsidP="00537CC8">
      <w:pPr>
        <w:rPr>
          <w:rtl/>
        </w:rPr>
      </w:pPr>
      <w:r w:rsidRPr="0025250D">
        <w:rPr>
          <w:rFonts w:hint="cs"/>
          <w:rtl/>
        </w:rPr>
        <w:t xml:space="preserve">ایلان ماسک، بنیان گذار </w:t>
      </w:r>
      <w:r w:rsidRPr="0025250D">
        <w:rPr>
          <w:rtl/>
        </w:rPr>
        <w:t>تسلا</w:t>
      </w:r>
      <w:r w:rsidRPr="0025250D">
        <w:rPr>
          <w:rFonts w:hint="cs"/>
          <w:rtl/>
        </w:rPr>
        <w:t xml:space="preserve"> و </w:t>
      </w:r>
      <w:r w:rsidRPr="0025250D">
        <w:rPr>
          <w:rtl/>
        </w:rPr>
        <w:t>اسپ</w:t>
      </w:r>
      <w:r w:rsidRPr="0025250D">
        <w:rPr>
          <w:rFonts w:hint="cs"/>
          <w:rtl/>
        </w:rPr>
        <w:t>ی</w:t>
      </w:r>
      <w:r w:rsidRPr="0025250D">
        <w:rPr>
          <w:rFonts w:hint="eastAsia"/>
          <w:rtl/>
        </w:rPr>
        <w:t>س</w:t>
      </w:r>
      <w:r w:rsidRPr="0025250D">
        <w:rPr>
          <w:rtl/>
        </w:rPr>
        <w:t xml:space="preserve"> ا</w:t>
      </w:r>
      <w:r w:rsidRPr="0025250D">
        <w:rPr>
          <w:rFonts w:hint="cs"/>
          <w:rtl/>
        </w:rPr>
        <w:t>ی</w:t>
      </w:r>
      <w:r w:rsidRPr="0025250D">
        <w:rPr>
          <w:rFonts w:hint="eastAsia"/>
          <w:rtl/>
        </w:rPr>
        <w:t>کس</w:t>
      </w:r>
      <w:r w:rsidRPr="0025250D">
        <w:rPr>
          <w:vertAlign w:val="superscript"/>
          <w:rtl/>
        </w:rPr>
        <w:footnoteReference w:id="1248"/>
      </w:r>
      <w:r w:rsidRPr="0025250D">
        <w:rPr>
          <w:rFonts w:hint="cs"/>
          <w:rtl/>
        </w:rPr>
        <w:t xml:space="preserve">، یک سوگیری نسبت به تاکسی‌های هوایی دارد. هیچ </w:t>
      </w:r>
      <w:r w:rsidR="00D92F6E" w:rsidRPr="0025250D">
        <w:rPr>
          <w:rFonts w:hint="cs"/>
          <w:rtl/>
        </w:rPr>
        <w:t>آینده‌پژوه</w:t>
      </w:r>
      <w:r w:rsidRPr="0025250D">
        <w:rPr>
          <w:rFonts w:hint="cs"/>
          <w:rtl/>
        </w:rPr>
        <w:t xml:space="preserve">ی نمی‌تواند به طور کامل </w:t>
      </w:r>
      <w:r w:rsidRPr="0025250D">
        <w:rPr>
          <w:rtl/>
        </w:rPr>
        <w:t>آینده‌نگاری</w:t>
      </w:r>
      <w:r w:rsidRPr="0025250D">
        <w:rPr>
          <w:rFonts w:hint="cs"/>
          <w:rtl/>
        </w:rPr>
        <w:t xml:space="preserve"> نماید. ماسک تصمیم گرفت که بجای این کار، در شرکت بورینگ</w:t>
      </w:r>
      <w:r w:rsidRPr="0025250D">
        <w:rPr>
          <w:vertAlign w:val="superscript"/>
          <w:rtl/>
        </w:rPr>
        <w:footnoteReference w:id="1249"/>
      </w:r>
      <w:r w:rsidRPr="0025250D">
        <w:rPr>
          <w:rFonts w:hint="cs"/>
          <w:rtl/>
        </w:rPr>
        <w:t xml:space="preserve"> (همچنان خصوصی، اما برنامه‌ریزی شده برای عرضه اولیه)، یک </w:t>
      </w:r>
      <w:r w:rsidR="00923DDB" w:rsidRPr="0025250D">
        <w:rPr>
          <w:rFonts w:hint="cs"/>
          <w:rtl/>
        </w:rPr>
        <w:t>راه‌حل</w:t>
      </w:r>
      <w:r w:rsidRPr="0025250D">
        <w:rPr>
          <w:rFonts w:hint="cs"/>
          <w:rtl/>
        </w:rPr>
        <w:t xml:space="preserve"> مهم اما دارای توسعه بسیار کندتر و ظرفیت کم‌تر برای حل مسئله حمل و نقل شهری، یعنی ساختن</w:t>
      </w:r>
      <w:r w:rsidR="008D6F97" w:rsidRPr="0025250D">
        <w:rPr>
          <w:rtl/>
        </w:rPr>
        <w:t xml:space="preserve"> </w:t>
      </w:r>
      <w:r w:rsidRPr="0025250D">
        <w:rPr>
          <w:rFonts w:hint="cs"/>
          <w:rtl/>
        </w:rPr>
        <w:t xml:space="preserve">تونل‌های زیرزمینی، سرمایه‌گذاری کند. از دید ما، </w:t>
      </w:r>
      <w:r w:rsidR="00923DDB" w:rsidRPr="0025250D">
        <w:rPr>
          <w:rFonts w:hint="cs"/>
          <w:rtl/>
        </w:rPr>
        <w:t>راه‌حل</w:t>
      </w:r>
      <w:r w:rsidRPr="0025250D">
        <w:rPr>
          <w:rFonts w:hint="cs"/>
          <w:rtl/>
        </w:rPr>
        <w:t>‌هایی مانند هایپرلوپ</w:t>
      </w:r>
      <w:r w:rsidRPr="0025250D">
        <w:rPr>
          <w:vertAlign w:val="superscript"/>
          <w:rtl/>
        </w:rPr>
        <w:footnoteReference w:id="1250"/>
      </w:r>
      <w:r w:rsidRPr="0025250D">
        <w:rPr>
          <w:rFonts w:hint="cs"/>
          <w:rtl/>
        </w:rPr>
        <w:t xml:space="preserve"> به صورت موارد نمادین فناوری</w:t>
      </w:r>
      <w:r w:rsidRPr="0025250D">
        <w:rPr>
          <w:vertAlign w:val="superscript"/>
          <w:rtl/>
        </w:rPr>
        <w:footnoteReference w:id="1251"/>
      </w:r>
      <w:r w:rsidRPr="0025250D">
        <w:rPr>
          <w:rFonts w:hint="cs"/>
          <w:rtl/>
        </w:rPr>
        <w:t xml:space="preserve"> و عجایب آینده‌نگاری مانند مونوریل</w:t>
      </w:r>
      <w:r w:rsidRPr="0025250D">
        <w:rPr>
          <w:vertAlign w:val="superscript"/>
          <w:rtl/>
        </w:rPr>
        <w:footnoteReference w:id="1252"/>
      </w:r>
      <w:r w:rsidRPr="0025250D">
        <w:rPr>
          <w:rFonts w:hint="cs"/>
          <w:rtl/>
        </w:rPr>
        <w:t xml:space="preserve"> باقی خواهند ماند. آن‌ها رقبای ضعیفی برای خطوط ریلی سریع</w:t>
      </w:r>
      <w:r w:rsidR="00C706AA" w:rsidRPr="0025250D">
        <w:rPr>
          <w:rFonts w:hint="cs"/>
          <w:rtl/>
        </w:rPr>
        <w:t xml:space="preserve"> به عنوان</w:t>
      </w:r>
      <w:r w:rsidRPr="0025250D">
        <w:rPr>
          <w:rFonts w:hint="cs"/>
          <w:rtl/>
        </w:rPr>
        <w:t xml:space="preserve"> یک </w:t>
      </w:r>
      <w:r w:rsidR="007A53FD" w:rsidRPr="0025250D">
        <w:rPr>
          <w:rFonts w:hint="cs"/>
          <w:rtl/>
        </w:rPr>
        <w:t>فناوری</w:t>
      </w:r>
      <w:r w:rsidRPr="0025250D">
        <w:rPr>
          <w:rFonts w:hint="cs"/>
          <w:rtl/>
        </w:rPr>
        <w:t xml:space="preserve"> بالغ که توسط چین به شدت خودکار شده و می‌تواند در هر قطار تا هزاران مسافر را جابجا کند، هستند. ما منتظر خطوط ریلی پر سرعت آمریکا تنها در نیمه دوم قرن 21، پس از پدیدار شدن دستگاه‌های حفاری و واگن‌های مستقل هستیم. تاکسی‌های هوایی تجاری به زودی و به صورت نمایی رشد خواهند کرد. آن‌ها </w:t>
      </w:r>
      <w:r w:rsidR="00923DDB" w:rsidRPr="0025250D">
        <w:rPr>
          <w:rFonts w:hint="cs"/>
          <w:rtl/>
        </w:rPr>
        <w:t>راه‌حل</w:t>
      </w:r>
      <w:r w:rsidRPr="0025250D">
        <w:rPr>
          <w:rFonts w:hint="cs"/>
          <w:rtl/>
        </w:rPr>
        <w:t xml:space="preserve">ی برای حمل و نقل هستند که شهرها برای پنجاه سال آینده بیش از همه به آن نیاز دارند. مقاله </w:t>
      </w:r>
      <w:r w:rsidR="001C5470" w:rsidRPr="0025250D">
        <w:rPr>
          <w:rFonts w:hint="cs"/>
          <w:rtl/>
        </w:rPr>
        <w:t>جان اسمارت</w:t>
      </w:r>
      <w:r w:rsidRPr="0025250D">
        <w:rPr>
          <w:rFonts w:hint="cs"/>
          <w:rtl/>
        </w:rPr>
        <w:t xml:space="preserve"> با عنوان آینده هوایی شگفت انگیز ما</w:t>
      </w:r>
      <w:r w:rsidRPr="0025250D">
        <w:rPr>
          <w:vertAlign w:val="superscript"/>
          <w:rtl/>
        </w:rPr>
        <w:footnoteReference w:id="1253"/>
      </w:r>
      <w:r w:rsidRPr="0025250D">
        <w:rPr>
          <w:rFonts w:hint="cs"/>
          <w:rtl/>
        </w:rPr>
        <w:t xml:space="preserve"> در سال 2018 </w:t>
      </w:r>
      <w:r w:rsidR="001C5470" w:rsidRPr="0025250D">
        <w:rPr>
          <w:rFonts w:hint="cs"/>
          <w:rtl/>
        </w:rPr>
        <w:t>مورد</w:t>
      </w:r>
      <w:r w:rsidRPr="0025250D">
        <w:rPr>
          <w:rFonts w:hint="cs"/>
          <w:rtl/>
        </w:rPr>
        <w:t xml:space="preserve"> خوبی برای یادگیری بیش‌تر در این زمینه است. البته، تنها بر اساس آنچه از یک منبع واحد، از جمله این کتاب راهنما می‌شنوید سرمایه‌گذاری نکنید. تلاش خود را انجام دهید.</w:t>
      </w:r>
    </w:p>
    <w:p w14:paraId="6FC7061F" w14:textId="1D0E8735" w:rsidR="00537CC8" w:rsidRPr="0025250D" w:rsidRDefault="00537CC8" w:rsidP="00537CC8">
      <w:pPr>
        <w:rPr>
          <w:rtl/>
        </w:rPr>
      </w:pPr>
      <w:r w:rsidRPr="0025250D">
        <w:rPr>
          <w:rFonts w:hint="cs"/>
          <w:rtl/>
        </w:rPr>
        <w:t xml:space="preserve">با کسب دانش و بصریت در زندگی، می‌توانیم سرمایه‌گذاری و پس‌انداز خود را نه‌تنها بر ایجاد بازگشت سرمایه، بلکه همچنین بر ایجاد ارزش در آینده متمرکز نماییم (تجارب، اثر، توانایی). ما به دنبال اهداف بلندمدت برای سرمایه خود، اهدافی که عمیقا به ارزش‌های ما وابسته باشند، خواهیم بود. زمینه </w:t>
      </w:r>
      <w:r w:rsidR="00303635" w:rsidRPr="0025250D">
        <w:rPr>
          <w:rFonts w:hint="cs"/>
          <w:rtl/>
        </w:rPr>
        <w:t>سرمایه‌گذاری مثمر</w:t>
      </w:r>
      <w:r w:rsidR="00303635" w:rsidRPr="0025250D">
        <w:rPr>
          <w:rStyle w:val="FootnoteReference"/>
          <w:rtl/>
        </w:rPr>
        <w:footnoteReference w:id="1254"/>
      </w:r>
      <w:r w:rsidRPr="0025250D">
        <w:rPr>
          <w:rFonts w:hint="cs"/>
          <w:rtl/>
        </w:rPr>
        <w:t>، یک نتیجه سرمایه‌گذاری با مسئولیت پذیری اجتماعی</w:t>
      </w:r>
      <w:r w:rsidRPr="0025250D">
        <w:rPr>
          <w:vertAlign w:val="superscript"/>
          <w:rtl/>
        </w:rPr>
        <w:footnoteReference w:id="1255"/>
      </w:r>
      <w:r w:rsidRPr="0025250D">
        <w:rPr>
          <w:rFonts w:hint="cs"/>
          <w:rtl/>
        </w:rPr>
        <w:t xml:space="preserve"> قرن بیستم، بیان می‌کند که عمیق‌ترین هدف مدیریت ثروت ایجاد ارزش جهانی است. در </w:t>
      </w:r>
      <w:r w:rsidRPr="0025250D">
        <w:t>BPF</w:t>
      </w:r>
      <w:r w:rsidRPr="0025250D">
        <w:rPr>
          <w:rFonts w:hint="cs"/>
          <w:rtl/>
        </w:rPr>
        <w:t xml:space="preserve"> موارد بیش‌تری درمورد این موضوع بیان خواهیم کرد. اکنون، کتاب‌هایی مانند اثر</w:t>
      </w:r>
      <w:r w:rsidRPr="0025250D">
        <w:rPr>
          <w:vertAlign w:val="superscript"/>
          <w:rtl/>
        </w:rPr>
        <w:footnoteReference w:id="1256"/>
      </w:r>
      <w:r w:rsidRPr="0025250D">
        <w:rPr>
          <w:rFonts w:hint="cs"/>
          <w:rtl/>
        </w:rPr>
        <w:t xml:space="preserve"> نوشته </w:t>
      </w:r>
      <w:r w:rsidRPr="0025250D">
        <w:rPr>
          <w:rtl/>
        </w:rPr>
        <w:t>رونالد کوهن</w:t>
      </w:r>
      <w:r w:rsidRPr="0025250D">
        <w:rPr>
          <w:vertAlign w:val="superscript"/>
          <w:rtl/>
        </w:rPr>
        <w:footnoteReference w:id="1257"/>
      </w:r>
      <w:r w:rsidRPr="0025250D">
        <w:rPr>
          <w:rFonts w:hint="cs"/>
          <w:rtl/>
        </w:rPr>
        <w:t xml:space="preserve"> در سال 2020، قدرت </w:t>
      </w:r>
      <w:r w:rsidR="00303635" w:rsidRPr="0025250D">
        <w:rPr>
          <w:rFonts w:hint="cs"/>
          <w:rtl/>
        </w:rPr>
        <w:t>سرمایه‌گذاری مثمر</w:t>
      </w:r>
      <w:r w:rsidRPr="0025250D">
        <w:rPr>
          <w:vertAlign w:val="superscript"/>
        </w:rPr>
        <w:footnoteReference w:id="1258"/>
      </w:r>
      <w:r w:rsidRPr="0025250D">
        <w:rPr>
          <w:rFonts w:hint="cs"/>
          <w:rtl/>
        </w:rPr>
        <w:t xml:space="preserve"> اثر </w:t>
      </w:r>
      <w:r w:rsidRPr="0025250D">
        <w:rPr>
          <w:rtl/>
        </w:rPr>
        <w:t>رودن و براندنبورگ</w:t>
      </w:r>
      <w:r w:rsidRPr="0025250D">
        <w:rPr>
          <w:vertAlign w:val="superscript"/>
          <w:rtl/>
        </w:rPr>
        <w:footnoteReference w:id="1259"/>
      </w:r>
      <w:r w:rsidRPr="0025250D">
        <w:rPr>
          <w:rFonts w:hint="cs"/>
          <w:rtl/>
        </w:rPr>
        <w:t xml:space="preserve"> در سال 2014 و </w:t>
      </w:r>
      <w:r w:rsidR="00303635" w:rsidRPr="0025250D">
        <w:rPr>
          <w:rFonts w:hint="cs"/>
          <w:rtl/>
        </w:rPr>
        <w:t>تاثیر حتمی</w:t>
      </w:r>
      <w:r w:rsidRPr="0025250D">
        <w:rPr>
          <w:vertAlign w:val="superscript"/>
        </w:rPr>
        <w:footnoteReference w:id="1260"/>
      </w:r>
      <w:r w:rsidRPr="0025250D">
        <w:rPr>
          <w:rFonts w:hint="cs"/>
          <w:rtl/>
        </w:rPr>
        <w:t xml:space="preserve"> اثر </w:t>
      </w:r>
      <w:r w:rsidRPr="0025250D">
        <w:rPr>
          <w:rtl/>
        </w:rPr>
        <w:t>پاملا را</w:t>
      </w:r>
      <w:r w:rsidRPr="0025250D">
        <w:rPr>
          <w:rFonts w:hint="cs"/>
          <w:rtl/>
        </w:rPr>
        <w:t>ی</w:t>
      </w:r>
      <w:r w:rsidRPr="0025250D">
        <w:rPr>
          <w:rFonts w:hint="eastAsia"/>
          <w:rtl/>
        </w:rPr>
        <w:t>ان</w:t>
      </w:r>
      <w:r w:rsidRPr="0025250D">
        <w:rPr>
          <w:vertAlign w:val="superscript"/>
          <w:rtl/>
        </w:rPr>
        <w:footnoteReference w:id="1261"/>
      </w:r>
      <w:r w:rsidRPr="0025250D">
        <w:rPr>
          <w:rFonts w:hint="cs"/>
          <w:rtl/>
        </w:rPr>
        <w:t xml:space="preserve"> در سال 2019 را پیشنهاد می‌کنیم. </w:t>
      </w:r>
      <w:r w:rsidR="00303635" w:rsidRPr="0025250D">
        <w:rPr>
          <w:rFonts w:hint="cs"/>
          <w:rtl/>
        </w:rPr>
        <w:t>سرمایه گذاران در زمینه سرمایه‌گذاری مثمر</w:t>
      </w:r>
      <w:r w:rsidRPr="0025250D">
        <w:rPr>
          <w:rFonts w:hint="cs"/>
          <w:rtl/>
        </w:rPr>
        <w:t xml:space="preserve"> می‌دانند که سرمایه‌گذاری‌ها تنها راهی برای ایجاد ثروت نیستند، بلکه راهی برای بیان ارزش هایمان و ترویج نوآوری، مدیریت خوب و نفع جهانی هستند.</w:t>
      </w:r>
    </w:p>
    <w:p w14:paraId="4142C9A6" w14:textId="4CAE554F" w:rsidR="00537CC8" w:rsidRPr="0025250D" w:rsidRDefault="00537CC8" w:rsidP="00537CC8">
      <w:pPr>
        <w:rPr>
          <w:rtl/>
        </w:rPr>
      </w:pPr>
      <w:r w:rsidRPr="0025250D">
        <w:rPr>
          <w:rFonts w:hint="cs"/>
          <w:rtl/>
        </w:rPr>
        <w:t>شهروندان چینی به خوبی پس‌انداز می‌کنند و بیش از 40 درصد از درآمد خود را ذخیره می‌کنند. چالش بزرگ آن‌ها استفاده از این پس‌انداز‌ها برای ایجاد ارزش در کشوری است که آزادی‌های اقتصادی و اجتماعی آن‌ها را محدود می‌کند. برای دهه‌ها، آن‌ها پس‌انداز خود را در بانک‌ها نگه می‌داشتند یا تنها بر روی خرید خانه دوم (املاک) تمرکز می‌کردند؛ به جای این که شرکت‌های خوبی را که مسائل مهمی را حل می‌کنند بیابند. آمریکایی‌ها تنها 8 درصد از درآمد خود را به طور میانگین پس‌انداز می‌کنند. آن‌ها بسیار کم پس‌انداز می‌کنند و بسیاری در فقر بازنشسته می‌شوند</w:t>
      </w:r>
      <w:r w:rsidR="008D6F97" w:rsidRPr="0025250D">
        <w:rPr>
          <w:rtl/>
        </w:rPr>
        <w:t xml:space="preserve">؛ </w:t>
      </w:r>
      <w:r w:rsidRPr="0025250D">
        <w:rPr>
          <w:rFonts w:hint="cs"/>
          <w:rtl/>
        </w:rPr>
        <w:t xml:space="preserve">اما آزادی‌های بسیار بیش‌تری برای ایجاد شرکت‌ها و سرمایه‌گذاری در شرکت‌های خوب و بزرگ دارند؛ آزادی که اغلب نادیده می‌گیریم. با این حال می‌توانیم </w:t>
      </w:r>
      <w:r w:rsidR="00B0171C" w:rsidRPr="0025250D">
        <w:rPr>
          <w:rFonts w:hint="cs"/>
          <w:rtl/>
        </w:rPr>
        <w:t>به‌سادگی</w:t>
      </w:r>
      <w:r w:rsidRPr="0025250D">
        <w:rPr>
          <w:rFonts w:hint="cs"/>
          <w:rtl/>
        </w:rPr>
        <w:t xml:space="preserve"> این وضع را در هر زمانی تغییر دهیم.</w:t>
      </w:r>
    </w:p>
    <w:p w14:paraId="3A3EBED8" w14:textId="75B2B69F" w:rsidR="00537CC8" w:rsidRPr="0025250D" w:rsidRDefault="00537CC8" w:rsidP="00537CC8">
      <w:pPr>
        <w:rPr>
          <w:rtl/>
        </w:rPr>
      </w:pPr>
      <w:r w:rsidRPr="0025250D">
        <w:rPr>
          <w:rFonts w:hint="cs"/>
          <w:rtl/>
        </w:rPr>
        <w:t>از یک دیدگاه مدیریت ریسک، دو نوع سرمایه‌گذاری محافظه کارانه / ارزشی / بلندمدت و سوداگرانه / کوتاه یا میان‌مدت (چهارساله یا</w:t>
      </w:r>
      <w:r w:rsidR="00BB406C" w:rsidRPr="0025250D">
        <w:rPr>
          <w:rFonts w:hint="cs"/>
          <w:rtl/>
        </w:rPr>
        <w:t xml:space="preserve"> کم‌تر</w:t>
      </w:r>
      <w:r w:rsidRPr="0025250D">
        <w:rPr>
          <w:rFonts w:hint="cs"/>
          <w:rtl/>
        </w:rPr>
        <w:t xml:space="preserve">) وجود دارند. یک ترکیب معمولا پیشنهاد شده 80 درصد سرمایه‌گذاری محافظه کارانه و 20 درصد سرمایه‌گذاری سوداگرانه است. هنگامی که پس‌انداز و تضمین شخصی کافی برای پوشش بحران‌ها و فجایع داشته باشیم، ورود به هر دو ارزشمند است، زیرا هر دو مورد می‌توانند موارد ارزشمندی را به ما بیاموزند. اگر تنها یک نوع از سرمایه‌گذاری را انجام دهیم، درس‌های </w:t>
      </w:r>
      <w:r w:rsidRPr="0025250D">
        <w:rPr>
          <w:rtl/>
        </w:rPr>
        <w:t>آینده‌نگاری</w:t>
      </w:r>
      <w:r w:rsidRPr="0025250D">
        <w:rPr>
          <w:rFonts w:hint="cs"/>
          <w:rtl/>
        </w:rPr>
        <w:t xml:space="preserve"> را که می‌توانیم از آن‌ها بهره مند شویم از دست خواهیم داد.</w:t>
      </w:r>
    </w:p>
    <w:p w14:paraId="142C40A2" w14:textId="3275DB54" w:rsidR="00537CC8" w:rsidRPr="0025250D" w:rsidRDefault="00537CC8" w:rsidP="007A53FD">
      <w:pPr>
        <w:rPr>
          <w:rtl/>
        </w:rPr>
      </w:pPr>
      <w:r w:rsidRPr="0025250D">
        <w:rPr>
          <w:rFonts w:hint="cs"/>
          <w:rtl/>
        </w:rPr>
        <w:t xml:space="preserve">به عنوان سرمایه‌گذاری محافظه کارانه، </w:t>
      </w:r>
      <w:r w:rsidR="00FE04C4" w:rsidRPr="0025250D">
        <w:rPr>
          <w:rFonts w:hint="cs"/>
          <w:rtl/>
        </w:rPr>
        <w:t>تلاش داریم تا</w:t>
      </w:r>
      <w:r w:rsidRPr="0025250D">
        <w:rPr>
          <w:rFonts w:hint="cs"/>
          <w:rtl/>
        </w:rPr>
        <w:t xml:space="preserve"> برای یک </w:t>
      </w:r>
      <w:r w:rsidR="00701E03" w:rsidRPr="0025250D">
        <w:rPr>
          <w:rFonts w:hint="cs"/>
          <w:rtl/>
        </w:rPr>
        <w:t>راهبرد</w:t>
      </w:r>
      <w:r w:rsidRPr="0025250D">
        <w:rPr>
          <w:rFonts w:hint="cs"/>
          <w:rtl/>
        </w:rPr>
        <w:t xml:space="preserve"> سرمایه‌گذاری منفعل خوب (رویکردی که زمان و انرژی اندکی برای مدیریت آن لازم است) </w:t>
      </w:r>
      <w:r w:rsidR="0008779C" w:rsidRPr="0025250D">
        <w:rPr>
          <w:rFonts w:hint="cs"/>
          <w:rtl/>
        </w:rPr>
        <w:t>تصمیم‌گیری</w:t>
      </w:r>
      <w:r w:rsidRPr="0025250D">
        <w:rPr>
          <w:rFonts w:hint="cs"/>
          <w:rtl/>
        </w:rPr>
        <w:t xml:space="preserve"> کنیم. یک کتاب مقدماتی در اینجا، برای تکمیل احمق‌های رنگارنگ</w:t>
      </w:r>
      <w:r w:rsidRPr="0025250D">
        <w:rPr>
          <w:vertAlign w:val="superscript"/>
          <w:rtl/>
        </w:rPr>
        <w:footnoteReference w:id="1262"/>
      </w:r>
      <w:r w:rsidRPr="0025250D">
        <w:rPr>
          <w:rFonts w:hint="cs"/>
          <w:rtl/>
        </w:rPr>
        <w:t xml:space="preserve">، کتاب </w:t>
      </w:r>
      <w:r w:rsidR="007A53FD" w:rsidRPr="0025250D">
        <w:rPr>
          <w:rFonts w:hint="cs"/>
          <w:rtl/>
        </w:rPr>
        <w:t>پرتفوی</w:t>
      </w:r>
      <w:r w:rsidRPr="0025250D">
        <w:rPr>
          <w:rFonts w:hint="cs"/>
          <w:rtl/>
        </w:rPr>
        <w:t xml:space="preserve"> دائمی</w:t>
      </w:r>
      <w:r w:rsidRPr="0025250D">
        <w:rPr>
          <w:vertAlign w:val="superscript"/>
          <w:rtl/>
        </w:rPr>
        <w:footnoteReference w:id="1263"/>
      </w:r>
      <w:r w:rsidRPr="0025250D">
        <w:rPr>
          <w:rFonts w:hint="cs"/>
          <w:rtl/>
        </w:rPr>
        <w:t xml:space="preserve"> اثر </w:t>
      </w:r>
      <w:r w:rsidRPr="0025250D">
        <w:rPr>
          <w:rtl/>
        </w:rPr>
        <w:t>رولند</w:t>
      </w:r>
      <w:r w:rsidRPr="0025250D">
        <w:rPr>
          <w:vertAlign w:val="superscript"/>
          <w:rtl/>
        </w:rPr>
        <w:footnoteReference w:id="1264"/>
      </w:r>
      <w:r w:rsidRPr="0025250D">
        <w:rPr>
          <w:rFonts w:hint="cs"/>
          <w:rtl/>
        </w:rPr>
        <w:t xml:space="preserve"> و </w:t>
      </w:r>
      <w:r w:rsidRPr="0025250D">
        <w:rPr>
          <w:rtl/>
        </w:rPr>
        <w:t>لاوسون</w:t>
      </w:r>
      <w:r w:rsidRPr="0025250D">
        <w:rPr>
          <w:vertAlign w:val="superscript"/>
          <w:rtl/>
        </w:rPr>
        <w:footnoteReference w:id="1265"/>
      </w:r>
      <w:r w:rsidRPr="0025250D">
        <w:rPr>
          <w:rFonts w:hint="cs"/>
          <w:rtl/>
        </w:rPr>
        <w:t xml:space="preserve"> در سال 2012 است که یک </w:t>
      </w:r>
      <w:r w:rsidR="00701E03" w:rsidRPr="0025250D">
        <w:rPr>
          <w:rFonts w:hint="cs"/>
          <w:rtl/>
        </w:rPr>
        <w:t>راهبرد</w:t>
      </w:r>
      <w:r w:rsidRPr="0025250D">
        <w:rPr>
          <w:rFonts w:hint="cs"/>
          <w:rtl/>
        </w:rPr>
        <w:t xml:space="preserve"> می‌باشد که توسط تحلیلگر سرمایه‌گذاری معاصر </w:t>
      </w:r>
      <w:r w:rsidRPr="0025250D">
        <w:rPr>
          <w:rtl/>
        </w:rPr>
        <w:t>هر</w:t>
      </w:r>
      <w:r w:rsidRPr="0025250D">
        <w:rPr>
          <w:rFonts w:hint="cs"/>
          <w:rtl/>
        </w:rPr>
        <w:t>ی</w:t>
      </w:r>
      <w:r w:rsidRPr="0025250D">
        <w:rPr>
          <w:rtl/>
        </w:rPr>
        <w:t xml:space="preserve"> براون</w:t>
      </w:r>
      <w:r w:rsidRPr="0025250D">
        <w:rPr>
          <w:vertAlign w:val="superscript"/>
          <w:rtl/>
        </w:rPr>
        <w:footnoteReference w:id="1266"/>
      </w:r>
      <w:r w:rsidRPr="0025250D">
        <w:rPr>
          <w:rFonts w:hint="cs"/>
          <w:rtl/>
        </w:rPr>
        <w:t xml:space="preserve"> توسعه داده شده است. چهار دسته بندی دارایی کلاسیک </w:t>
      </w:r>
      <w:r w:rsidR="007A53FD" w:rsidRPr="0025250D">
        <w:rPr>
          <w:rFonts w:hint="cs"/>
          <w:rtl/>
        </w:rPr>
        <w:t xml:space="preserve">پرتفوی </w:t>
      </w:r>
      <w:r w:rsidRPr="0025250D">
        <w:rPr>
          <w:rFonts w:hint="cs"/>
          <w:rtl/>
        </w:rPr>
        <w:t>دائمی سهام‌های شاخص ساز</w:t>
      </w:r>
      <w:r w:rsidRPr="0025250D">
        <w:rPr>
          <w:vertAlign w:val="superscript"/>
          <w:rtl/>
        </w:rPr>
        <w:footnoteReference w:id="1267"/>
      </w:r>
      <w:r w:rsidRPr="0025250D">
        <w:rPr>
          <w:rFonts w:hint="cs"/>
          <w:rtl/>
        </w:rPr>
        <w:t>، اوراق</w:t>
      </w:r>
      <w:r w:rsidRPr="0025250D">
        <w:rPr>
          <w:rtl/>
        </w:rPr>
        <w:t xml:space="preserve"> </w:t>
      </w:r>
      <w:r w:rsidRPr="0025250D">
        <w:rPr>
          <w:rFonts w:hint="cs"/>
          <w:rtl/>
        </w:rPr>
        <w:t>قرضه</w:t>
      </w:r>
      <w:r w:rsidRPr="0025250D">
        <w:rPr>
          <w:rtl/>
        </w:rPr>
        <w:t xml:space="preserve"> </w:t>
      </w:r>
      <w:r w:rsidRPr="0025250D">
        <w:rPr>
          <w:rFonts w:hint="cs"/>
          <w:rtl/>
        </w:rPr>
        <w:t>خزانه</w:t>
      </w:r>
      <w:r w:rsidRPr="0025250D">
        <w:rPr>
          <w:rtl/>
        </w:rPr>
        <w:t xml:space="preserve"> </w:t>
      </w:r>
      <w:r w:rsidRPr="0025250D">
        <w:rPr>
          <w:rFonts w:hint="cs"/>
          <w:rtl/>
        </w:rPr>
        <w:t>بلندمدت</w:t>
      </w:r>
      <w:r w:rsidRPr="0025250D">
        <w:rPr>
          <w:vertAlign w:val="superscript"/>
          <w:rtl/>
        </w:rPr>
        <w:footnoteReference w:id="1268"/>
      </w:r>
      <w:r w:rsidRPr="0025250D">
        <w:rPr>
          <w:rFonts w:hint="cs"/>
          <w:rtl/>
        </w:rPr>
        <w:t>، طلا</w:t>
      </w:r>
      <w:r w:rsidRPr="0025250D">
        <w:rPr>
          <w:rtl/>
        </w:rPr>
        <w:t xml:space="preserve"> </w:t>
      </w:r>
      <w:r w:rsidRPr="0025250D">
        <w:rPr>
          <w:rFonts w:hint="cs"/>
          <w:rtl/>
        </w:rPr>
        <w:t>و</w:t>
      </w:r>
      <w:r w:rsidRPr="0025250D">
        <w:rPr>
          <w:rtl/>
        </w:rPr>
        <w:t xml:space="preserve"> </w:t>
      </w:r>
      <w:r w:rsidRPr="0025250D">
        <w:rPr>
          <w:rFonts w:hint="cs"/>
          <w:rtl/>
        </w:rPr>
        <w:t>پول</w:t>
      </w:r>
      <w:r w:rsidRPr="0025250D">
        <w:rPr>
          <w:rtl/>
        </w:rPr>
        <w:t xml:space="preserve"> </w:t>
      </w:r>
      <w:r w:rsidRPr="0025250D">
        <w:rPr>
          <w:rFonts w:hint="cs"/>
          <w:rtl/>
        </w:rPr>
        <w:t>نقد</w:t>
      </w:r>
      <w:r w:rsidRPr="0025250D">
        <w:rPr>
          <w:rtl/>
        </w:rPr>
        <w:t xml:space="preserve"> </w:t>
      </w:r>
      <w:r w:rsidRPr="0025250D">
        <w:rPr>
          <w:rFonts w:hint="cs"/>
          <w:rtl/>
        </w:rPr>
        <w:t xml:space="preserve">هستند. </w:t>
      </w:r>
      <w:r w:rsidRPr="0025250D">
        <w:rPr>
          <w:rtl/>
        </w:rPr>
        <w:t>براون</w:t>
      </w:r>
      <w:r w:rsidRPr="0025250D">
        <w:rPr>
          <w:rFonts w:hint="cs"/>
          <w:rtl/>
        </w:rPr>
        <w:t xml:space="preserve"> جایگزینی یک چهارم سرمایه‌گذاری‌های محافظه</w:t>
      </w:r>
      <w:r w:rsidRPr="0025250D">
        <w:rPr>
          <w:rtl/>
        </w:rPr>
        <w:t xml:space="preserve"> </w:t>
      </w:r>
      <w:r w:rsidRPr="0025250D">
        <w:rPr>
          <w:rFonts w:hint="cs"/>
          <w:rtl/>
        </w:rPr>
        <w:t>کارانه بلندمدت یک فرد را در هر یک از این چهار دسته دارای‌ها و متعادل سازی مجدد آن‌ها به 25 درصد در هر دسته دارایی به صورت سالیانه، بر اساس عملکرد آن‌ها را پیشنهاد کرد.</w:t>
      </w:r>
    </w:p>
    <w:p w14:paraId="00B84A5E" w14:textId="77777777" w:rsidR="00537CC8" w:rsidRPr="0025250D" w:rsidRDefault="00537CC8" w:rsidP="000A674B">
      <w:pPr>
        <w:jc w:val="center"/>
        <w:rPr>
          <w:rtl/>
        </w:rPr>
      </w:pPr>
      <w:r w:rsidRPr="0025250D">
        <w:rPr>
          <w:noProof/>
          <w:rtl/>
          <w:lang w:bidi="ar-SA"/>
        </w:rPr>
        <w:drawing>
          <wp:inline distT="0" distB="0" distL="0" distR="0" wp14:anchorId="37EA4FD2" wp14:editId="0653F2A5">
            <wp:extent cx="1439956" cy="2067339"/>
            <wp:effectExtent l="0" t="0" r="8255" b="0"/>
            <wp:docPr id="74" name="Picture 74" descr="D:\کار\مستقل\3 ( ترجمه ی دانشگاه تهران  )\Introduction to Foresight\part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کار\مستقل\3 ( ترجمه ی دانشگاه تهران  )\Introduction to Foresight\part3\12.png"/>
                    <pic:cNvPicPr>
                      <a:picLocks noChangeAspect="1" noChangeArrowheads="1"/>
                    </pic:cNvPicPr>
                  </pic:nvPicPr>
                  <pic:blipFill rotWithShape="1">
                    <a:blip r:embed="rId112" cstate="screen">
                      <a:extLst>
                        <a:ext uri="{BEBA8EAE-BF5A-486C-A8C5-ECC9F3942E4B}">
                          <a14:imgProps xmlns:a14="http://schemas.microsoft.com/office/drawing/2010/main">
                            <a14:imgLayer r:embed="rId113">
                              <a14:imgEffect>
                                <a14:saturation sat="0"/>
                              </a14:imgEffect>
                            </a14:imgLayer>
                          </a14:imgProps>
                        </a:ext>
                        <a:ext uri="{28A0092B-C50C-407E-A947-70E740481C1C}">
                          <a14:useLocalDpi xmlns:a14="http://schemas.microsoft.com/office/drawing/2010/main"/>
                        </a:ext>
                      </a:extLst>
                    </a:blip>
                    <a:srcRect/>
                    <a:stretch/>
                  </pic:blipFill>
                  <pic:spPr bwMode="auto">
                    <a:xfrm>
                      <a:off x="0" y="0"/>
                      <a:ext cx="1443956" cy="2073081"/>
                    </a:xfrm>
                    <a:prstGeom prst="rect">
                      <a:avLst/>
                    </a:prstGeom>
                    <a:noFill/>
                    <a:ln>
                      <a:noFill/>
                    </a:ln>
                    <a:extLst>
                      <a:ext uri="{53640926-AAD7-44D8-BBD7-CCE9431645EC}">
                        <a14:shadowObscured xmlns:a14="http://schemas.microsoft.com/office/drawing/2010/main"/>
                      </a:ext>
                    </a:extLst>
                  </pic:spPr>
                </pic:pic>
              </a:graphicData>
            </a:graphic>
          </wp:inline>
        </w:drawing>
      </w:r>
    </w:p>
    <w:p w14:paraId="39099E83" w14:textId="77777777" w:rsidR="00537CC8" w:rsidRPr="0025250D" w:rsidRDefault="00537CC8" w:rsidP="000A674B">
      <w:pPr>
        <w:jc w:val="center"/>
        <w:rPr>
          <w:rtl/>
        </w:rPr>
      </w:pPr>
      <w:r w:rsidRPr="0025250D">
        <w:rPr>
          <w:rFonts w:hint="cs"/>
          <w:rtl/>
        </w:rPr>
        <w:t>رولند و لاوسون، 2012</w:t>
      </w:r>
    </w:p>
    <w:p w14:paraId="4112E16E" w14:textId="12DAB9BD" w:rsidR="00537CC8" w:rsidRPr="0025250D" w:rsidRDefault="00537CC8" w:rsidP="007A53FD">
      <w:pPr>
        <w:rPr>
          <w:rtl/>
        </w:rPr>
      </w:pPr>
      <w:r w:rsidRPr="0025250D">
        <w:rPr>
          <w:rFonts w:hint="cs"/>
          <w:rtl/>
        </w:rPr>
        <w:t xml:space="preserve">از نظر تاریخی، یک رویکرد ساده متنوع از دارایی‌ها مانند </w:t>
      </w:r>
      <w:r w:rsidR="007A53FD" w:rsidRPr="0025250D">
        <w:rPr>
          <w:rFonts w:hint="cs"/>
          <w:rtl/>
        </w:rPr>
        <w:t>پرتفوی</w:t>
      </w:r>
      <w:r w:rsidRPr="0025250D">
        <w:rPr>
          <w:rFonts w:hint="cs"/>
          <w:rtl/>
        </w:rPr>
        <w:t xml:space="preserve"> دائمی، با قرار داشتن در معرض سرمایه‌ها و شرکت‌ها در بازارهای توسعه یافته و در حال ظهور، راه خوبی برای کسب سهم مان از بهره وری فنی فزاینده بشریت بدون تبدیل شدن به یک سرمایه‌گذار فعال و بدون تغییر پذیری سرمایه‌گذاری در سهام صرف می‌باشد. راه دیگر برای متنوع</w:t>
      </w:r>
      <w:r w:rsidR="00FE04C4" w:rsidRPr="0025250D">
        <w:rPr>
          <w:rFonts w:hint="cs"/>
          <w:rtl/>
        </w:rPr>
        <w:t>‌</w:t>
      </w:r>
      <w:r w:rsidRPr="0025250D">
        <w:rPr>
          <w:rFonts w:hint="cs"/>
          <w:rtl/>
        </w:rPr>
        <w:t>سازی استفاده از یک پلتف</w:t>
      </w:r>
      <w:r w:rsidR="00FE04C4" w:rsidRPr="0025250D">
        <w:rPr>
          <w:rFonts w:hint="cs"/>
          <w:rtl/>
        </w:rPr>
        <w:t>رم</w:t>
      </w:r>
      <w:r w:rsidRPr="0025250D">
        <w:rPr>
          <w:rFonts w:hint="cs"/>
          <w:rtl/>
        </w:rPr>
        <w:t xml:space="preserve"> سرمایه‌گذاری حرفه‌ای و دادن اجازه </w:t>
      </w:r>
      <w:r w:rsidR="0008779C" w:rsidRPr="0025250D">
        <w:rPr>
          <w:rFonts w:hint="cs"/>
          <w:rtl/>
        </w:rPr>
        <w:t>تصمیم‌گیری</w:t>
      </w:r>
      <w:r w:rsidRPr="0025250D">
        <w:rPr>
          <w:rFonts w:hint="cs"/>
          <w:rtl/>
        </w:rPr>
        <w:t xml:space="preserve"> به آن هاست. پلتفرمی مانند ولسفرانت</w:t>
      </w:r>
      <w:r w:rsidRPr="0025250D">
        <w:rPr>
          <w:vertAlign w:val="superscript"/>
          <w:rtl/>
        </w:rPr>
        <w:footnoteReference w:id="1269"/>
      </w:r>
      <w:r w:rsidRPr="0025250D">
        <w:rPr>
          <w:rFonts w:hint="cs"/>
          <w:rtl/>
        </w:rPr>
        <w:t xml:space="preserve"> که در میان افراد خبره در امور داده در </w:t>
      </w:r>
      <w:r w:rsidRPr="0025250D">
        <w:rPr>
          <w:rtl/>
        </w:rPr>
        <w:t>س</w:t>
      </w:r>
      <w:r w:rsidRPr="0025250D">
        <w:rPr>
          <w:rFonts w:hint="cs"/>
          <w:rtl/>
        </w:rPr>
        <w:t>ی</w:t>
      </w:r>
      <w:r w:rsidRPr="0025250D">
        <w:rPr>
          <w:rFonts w:hint="eastAsia"/>
          <w:rtl/>
        </w:rPr>
        <w:t>ل</w:t>
      </w:r>
      <w:r w:rsidRPr="0025250D">
        <w:rPr>
          <w:rFonts w:hint="cs"/>
          <w:rtl/>
        </w:rPr>
        <w:t>ی</w:t>
      </w:r>
      <w:r w:rsidRPr="0025250D">
        <w:rPr>
          <w:rFonts w:hint="eastAsia"/>
          <w:rtl/>
        </w:rPr>
        <w:t>کون</w:t>
      </w:r>
      <w:r w:rsidRPr="0025250D">
        <w:rPr>
          <w:rtl/>
        </w:rPr>
        <w:t xml:space="preserve"> ول</w:t>
      </w:r>
      <w:r w:rsidRPr="0025250D">
        <w:rPr>
          <w:rFonts w:hint="cs"/>
          <w:rtl/>
        </w:rPr>
        <w:t xml:space="preserve">ی محبوبیت دارد، کارمزد‌های متعادلی دارد که وابستگی به سطح سرمایه‌گذاری فرد را کاهش می‌دهد و سابقه خوبی دارد. اکنون، می‌توانیم یک </w:t>
      </w:r>
      <w:r w:rsidR="00701E03" w:rsidRPr="0025250D">
        <w:rPr>
          <w:rFonts w:hint="cs"/>
          <w:rtl/>
        </w:rPr>
        <w:t>راهبرد</w:t>
      </w:r>
      <w:r w:rsidRPr="0025250D">
        <w:rPr>
          <w:rFonts w:hint="cs"/>
          <w:rtl/>
        </w:rPr>
        <w:t xml:space="preserve"> منفعل مانند </w:t>
      </w:r>
      <w:r w:rsidR="0044659F" w:rsidRPr="0025250D">
        <w:rPr>
          <w:rFonts w:hint="cs"/>
          <w:rtl/>
        </w:rPr>
        <w:t>پرتفوی</w:t>
      </w:r>
      <w:r w:rsidRPr="0025250D">
        <w:rPr>
          <w:rFonts w:hint="cs"/>
          <w:rtl/>
        </w:rPr>
        <w:t xml:space="preserve"> دائمی یا ولسفرانت داشته باشیم؛ اما بیش‌ترین یادگیری از خودمان و جهان را </w:t>
      </w:r>
      <w:r w:rsidR="00FE04C4" w:rsidRPr="0025250D">
        <w:rPr>
          <w:rFonts w:hint="cs"/>
          <w:rtl/>
        </w:rPr>
        <w:t>از طریق</w:t>
      </w:r>
      <w:r w:rsidRPr="0025250D">
        <w:rPr>
          <w:rFonts w:hint="cs"/>
          <w:rtl/>
        </w:rPr>
        <w:t xml:space="preserve"> مشارکت در سرمایه‌گذاری فعال (سوداگرانه) و استفاده از مقدار اندکی از سرمایه خود در آن علاوه بر سرمایه‌گذاری منفعل خواهیم داشت. اگر بتوانیم زمان کافی را بیابیم، باید در مورد </w:t>
      </w:r>
      <w:r w:rsidR="00701E03" w:rsidRPr="0025250D">
        <w:rPr>
          <w:rFonts w:hint="cs"/>
          <w:rtl/>
        </w:rPr>
        <w:t>راهبرد</w:t>
      </w:r>
      <w:r w:rsidRPr="0025250D">
        <w:rPr>
          <w:rFonts w:hint="cs"/>
          <w:rtl/>
        </w:rPr>
        <w:t xml:space="preserve">‌ها و فرصت‌های فعال با مطالعه خبرنامه‌های سرمایه‌گذاری مورد احترام </w:t>
      </w:r>
      <w:r w:rsidRPr="0025250D">
        <w:rPr>
          <w:rFonts w:cs="Times New Roman" w:hint="cs"/>
          <w:rtl/>
        </w:rPr>
        <w:t>–</w:t>
      </w:r>
      <w:r w:rsidRPr="0025250D">
        <w:rPr>
          <w:rFonts w:hint="cs"/>
          <w:rtl/>
        </w:rPr>
        <w:t xml:space="preserve"> مانند ماتلی فول و </w:t>
      </w:r>
      <w:r w:rsidRPr="0025250D">
        <w:rPr>
          <w:rtl/>
        </w:rPr>
        <w:t>به دنبال آلفا</w:t>
      </w:r>
      <w:r w:rsidRPr="0025250D">
        <w:rPr>
          <w:vertAlign w:val="superscript"/>
          <w:rtl/>
        </w:rPr>
        <w:footnoteReference w:id="1270"/>
      </w:r>
      <w:r w:rsidRPr="0025250D">
        <w:rPr>
          <w:rFonts w:hint="cs"/>
          <w:rtl/>
        </w:rPr>
        <w:t xml:space="preserve"> </w:t>
      </w:r>
      <w:r w:rsidRPr="0025250D">
        <w:rPr>
          <w:rFonts w:cs="Times New Roman" w:hint="cs"/>
          <w:rtl/>
        </w:rPr>
        <w:t>–</w:t>
      </w:r>
      <w:r w:rsidRPr="0025250D">
        <w:rPr>
          <w:rFonts w:hint="cs"/>
          <w:rtl/>
        </w:rPr>
        <w:t xml:space="preserve"> و مشارکت در یک سازمان یادگیری سرمایه‌گذاری </w:t>
      </w:r>
      <w:r w:rsidRPr="0025250D">
        <w:rPr>
          <w:rFonts w:cs="Times New Roman" w:hint="cs"/>
          <w:rtl/>
        </w:rPr>
        <w:t>–</w:t>
      </w:r>
      <w:r w:rsidRPr="0025250D">
        <w:rPr>
          <w:rFonts w:hint="cs"/>
          <w:rtl/>
        </w:rPr>
        <w:t xml:space="preserve"> مانند مؤسسه </w:t>
      </w:r>
      <w:r w:rsidRPr="0025250D">
        <w:t>CFA</w:t>
      </w:r>
      <w:r w:rsidRPr="0025250D">
        <w:rPr>
          <w:rFonts w:hint="cs"/>
          <w:rtl/>
        </w:rPr>
        <w:t xml:space="preserve"> یا انجمن</w:t>
      </w:r>
      <w:r w:rsidRPr="0025250D">
        <w:rPr>
          <w:rtl/>
        </w:rPr>
        <w:t xml:space="preserve"> </w:t>
      </w:r>
      <w:r w:rsidRPr="0025250D">
        <w:rPr>
          <w:rFonts w:hint="cs"/>
          <w:rtl/>
        </w:rPr>
        <w:t>آمریکایی</w:t>
      </w:r>
      <w:r w:rsidRPr="0025250D">
        <w:rPr>
          <w:rtl/>
        </w:rPr>
        <w:t xml:space="preserve"> </w:t>
      </w:r>
      <w:r w:rsidRPr="0025250D">
        <w:rPr>
          <w:rFonts w:hint="cs"/>
          <w:rtl/>
        </w:rPr>
        <w:t>سرمایه‌گذاران</w:t>
      </w:r>
      <w:r w:rsidRPr="0025250D">
        <w:rPr>
          <w:rtl/>
        </w:rPr>
        <w:t xml:space="preserve"> </w:t>
      </w:r>
      <w:r w:rsidRPr="0025250D">
        <w:rPr>
          <w:rFonts w:hint="cs"/>
          <w:rtl/>
        </w:rPr>
        <w:t>فردی</w:t>
      </w:r>
      <w:r w:rsidRPr="0025250D">
        <w:rPr>
          <w:vertAlign w:val="superscript"/>
          <w:rtl/>
        </w:rPr>
        <w:footnoteReference w:id="1271"/>
      </w:r>
      <w:r w:rsidRPr="0025250D">
        <w:rPr>
          <w:rFonts w:hint="cs"/>
          <w:rtl/>
        </w:rPr>
        <w:t xml:space="preserve"> - یاد بگیریم.</w:t>
      </w:r>
    </w:p>
    <w:p w14:paraId="0C5F161A" w14:textId="1E5956F5" w:rsidR="00537CC8" w:rsidRPr="0025250D" w:rsidRDefault="00537CC8" w:rsidP="00537CC8">
      <w:pPr>
        <w:rPr>
          <w:rtl/>
        </w:rPr>
      </w:pPr>
      <w:r w:rsidRPr="0025250D">
        <w:rPr>
          <w:rFonts w:hint="cs"/>
          <w:rtl/>
        </w:rPr>
        <w:t xml:space="preserve">یک راه برای بهبود احتمالی </w:t>
      </w:r>
      <w:r w:rsidR="00701E03" w:rsidRPr="0025250D">
        <w:rPr>
          <w:rFonts w:hint="cs"/>
          <w:rtl/>
        </w:rPr>
        <w:t>راهبرد</w:t>
      </w:r>
      <w:r w:rsidRPr="0025250D">
        <w:rPr>
          <w:rFonts w:hint="cs"/>
          <w:rtl/>
        </w:rPr>
        <w:t xml:space="preserve"> </w:t>
      </w:r>
      <w:r w:rsidR="0044659F" w:rsidRPr="0025250D">
        <w:rPr>
          <w:rFonts w:hint="cs"/>
          <w:rtl/>
        </w:rPr>
        <w:t>پرتفوی</w:t>
      </w:r>
      <w:r w:rsidRPr="0025250D">
        <w:rPr>
          <w:rFonts w:hint="cs"/>
          <w:rtl/>
        </w:rPr>
        <w:t xml:space="preserve"> دائمی جایگزینی </w:t>
      </w:r>
      <w:r w:rsidR="00B56611" w:rsidRPr="0025250D">
        <w:rPr>
          <w:rFonts w:hint="cs"/>
          <w:rtl/>
        </w:rPr>
        <w:t>چشم‌انداز</w:t>
      </w:r>
      <w:r w:rsidRPr="0025250D">
        <w:rPr>
          <w:rFonts w:hint="cs"/>
          <w:rtl/>
        </w:rPr>
        <w:t xml:space="preserve">‌های احتمالا بهتر از دسته‌های دارایی است. برای مثال، می‌توانیم سهام شرکت‌های </w:t>
      </w:r>
      <w:r w:rsidR="007A53FD" w:rsidRPr="0025250D">
        <w:rPr>
          <w:rFonts w:hint="cs"/>
          <w:rtl/>
        </w:rPr>
        <w:t>فناوری</w:t>
      </w:r>
      <w:r w:rsidRPr="0025250D">
        <w:rPr>
          <w:rFonts w:hint="cs"/>
          <w:rtl/>
        </w:rPr>
        <w:t xml:space="preserve"> را با سهام‌های شاخص ساز، اوراق قرضه شرکت یا کشور مورد علاقه خود را با اوراق قرضه خزانه داری، کالاها یا </w:t>
      </w:r>
      <w:r w:rsidRPr="0025250D">
        <w:rPr>
          <w:rtl/>
        </w:rPr>
        <w:t>ب</w:t>
      </w:r>
      <w:r w:rsidRPr="0025250D">
        <w:rPr>
          <w:rFonts w:hint="cs"/>
          <w:rtl/>
        </w:rPr>
        <w:t>ی</w:t>
      </w:r>
      <w:r w:rsidRPr="0025250D">
        <w:rPr>
          <w:rFonts w:hint="eastAsia"/>
          <w:rtl/>
        </w:rPr>
        <w:t>ت</w:t>
      </w:r>
      <w:r w:rsidR="00FE04C4" w:rsidRPr="0025250D">
        <w:rPr>
          <w:rFonts w:hint="cs"/>
          <w:rtl/>
        </w:rPr>
        <w:t>‌</w:t>
      </w:r>
      <w:r w:rsidRPr="0025250D">
        <w:rPr>
          <w:rtl/>
        </w:rPr>
        <w:t>کو</w:t>
      </w:r>
      <w:r w:rsidRPr="0025250D">
        <w:rPr>
          <w:rFonts w:hint="cs"/>
          <w:rtl/>
        </w:rPr>
        <w:t>ی</w:t>
      </w:r>
      <w:r w:rsidRPr="0025250D">
        <w:rPr>
          <w:rFonts w:hint="eastAsia"/>
          <w:rtl/>
        </w:rPr>
        <w:t>ن</w:t>
      </w:r>
      <w:r w:rsidRPr="0025250D">
        <w:rPr>
          <w:rFonts w:hint="cs"/>
          <w:rtl/>
        </w:rPr>
        <w:t xml:space="preserve"> را با طلا و ارزهای رایج کشور‌های محافظه کار‌تر از نظر مالی مانند سوئیس، نروژ، یا سنگاپور را با دلار آمریکا جایگزین کنیم. چنین تغییراتی سرمایه‌گذاری هایمان را دارای تنوع و ریسک</w:t>
      </w:r>
      <w:r w:rsidR="00BB406C" w:rsidRPr="0025250D">
        <w:rPr>
          <w:rFonts w:hint="cs"/>
          <w:rtl/>
        </w:rPr>
        <w:t xml:space="preserve"> کم‌تر</w:t>
      </w:r>
      <w:r w:rsidRPr="0025250D">
        <w:rPr>
          <w:rFonts w:hint="cs"/>
          <w:rtl/>
        </w:rPr>
        <w:t>ی می‌ساز</w:t>
      </w:r>
      <w:r w:rsidR="00FE04C4" w:rsidRPr="0025250D">
        <w:rPr>
          <w:rFonts w:hint="cs"/>
          <w:rtl/>
        </w:rPr>
        <w:t>ن</w:t>
      </w:r>
      <w:r w:rsidRPr="0025250D">
        <w:rPr>
          <w:rFonts w:hint="cs"/>
          <w:rtl/>
        </w:rPr>
        <w:t xml:space="preserve">د. برای مقابله با این شرایط، می‌توانیم همچنین دسته‌های دارایی جدیدی، مانند املاک را از طریق </w:t>
      </w:r>
      <w:r w:rsidRPr="0025250D">
        <w:t>REITS</w:t>
      </w:r>
      <w:r w:rsidRPr="0025250D">
        <w:rPr>
          <w:rFonts w:hint="cs"/>
          <w:rtl/>
        </w:rPr>
        <w:t xml:space="preserve"> یا یک ابزار منفعل دیگر بیافزاییم. با این حال دسته‌های دارایی مشخص همچنین به نظر مزایایی درونی در جهانی با تغییر دارای </w:t>
      </w:r>
      <w:r w:rsidR="00B124DE" w:rsidRPr="0025250D">
        <w:rPr>
          <w:rFonts w:hint="cs"/>
          <w:rtl/>
        </w:rPr>
        <w:t>شتاب‌دار</w:t>
      </w:r>
      <w:r w:rsidRPr="0025250D">
        <w:rPr>
          <w:rFonts w:hint="cs"/>
          <w:rtl/>
        </w:rPr>
        <w:t>ند.</w:t>
      </w:r>
    </w:p>
    <w:p w14:paraId="36DF8E74" w14:textId="4F95F394" w:rsidR="00537CC8" w:rsidRPr="0025250D" w:rsidRDefault="00537CC8" w:rsidP="00FE04C4">
      <w:pPr>
        <w:rPr>
          <w:rtl/>
        </w:rPr>
      </w:pPr>
      <w:r w:rsidRPr="0025250D">
        <w:rPr>
          <w:rFonts w:hint="cs"/>
          <w:rtl/>
        </w:rPr>
        <w:t xml:space="preserve">در </w:t>
      </w:r>
      <w:r w:rsidRPr="0025250D">
        <w:t>BPF</w:t>
      </w:r>
      <w:r w:rsidRPr="0025250D">
        <w:rPr>
          <w:rFonts w:hint="cs"/>
          <w:rtl/>
        </w:rPr>
        <w:t xml:space="preserve">، مانند موضوع سرمایه‌گذاری </w:t>
      </w:r>
      <w:r w:rsidRPr="0025250D">
        <w:t>D&amp;D</w:t>
      </w:r>
      <w:r w:rsidRPr="0025250D">
        <w:rPr>
          <w:rFonts w:hint="cs"/>
          <w:rtl/>
        </w:rPr>
        <w:t>، بیان خواهیم کرد که سهام</w:t>
      </w:r>
      <w:r w:rsidRPr="0025250D">
        <w:rPr>
          <w:rtl/>
        </w:rPr>
        <w:t xml:space="preserve"> </w:t>
      </w:r>
      <w:r w:rsidRPr="0025250D">
        <w:rPr>
          <w:rFonts w:hint="cs"/>
          <w:rtl/>
        </w:rPr>
        <w:t>فناوری</w:t>
      </w:r>
      <w:r w:rsidRPr="0025250D">
        <w:rPr>
          <w:rtl/>
        </w:rPr>
        <w:t xml:space="preserve"> </w:t>
      </w:r>
      <w:r w:rsidRPr="0025250D">
        <w:rPr>
          <w:rFonts w:hint="cs"/>
          <w:rtl/>
        </w:rPr>
        <w:t>دیجیتال</w:t>
      </w:r>
      <w:r w:rsidRPr="0025250D">
        <w:rPr>
          <w:rtl/>
        </w:rPr>
        <w:t xml:space="preserve"> </w:t>
      </w:r>
      <w:r w:rsidRPr="0025250D">
        <w:rPr>
          <w:rFonts w:hint="cs"/>
          <w:rtl/>
        </w:rPr>
        <w:t>و</w:t>
      </w:r>
      <w:r w:rsidRPr="0025250D">
        <w:rPr>
          <w:rtl/>
        </w:rPr>
        <w:t xml:space="preserve"> </w:t>
      </w:r>
      <w:r w:rsidRPr="0025250D">
        <w:rPr>
          <w:rFonts w:hint="cs"/>
          <w:rtl/>
        </w:rPr>
        <w:t>سهام</w:t>
      </w:r>
      <w:r w:rsidRPr="0025250D">
        <w:rPr>
          <w:rtl/>
        </w:rPr>
        <w:t xml:space="preserve"> </w:t>
      </w:r>
      <w:r w:rsidRPr="0025250D">
        <w:rPr>
          <w:rFonts w:hint="cs"/>
          <w:rtl/>
        </w:rPr>
        <w:t>شرکت</w:t>
      </w:r>
      <w:r w:rsidRPr="0025250D">
        <w:rPr>
          <w:rtl/>
        </w:rPr>
        <w:t xml:space="preserve">‌هایی </w:t>
      </w:r>
      <w:r w:rsidRPr="0025250D">
        <w:rPr>
          <w:rFonts w:hint="cs"/>
          <w:rtl/>
        </w:rPr>
        <w:t>که</w:t>
      </w:r>
      <w:r w:rsidRPr="0025250D">
        <w:rPr>
          <w:rtl/>
        </w:rPr>
        <w:t xml:space="preserve"> </w:t>
      </w:r>
      <w:r w:rsidRPr="0025250D">
        <w:rPr>
          <w:rFonts w:hint="cs"/>
          <w:rtl/>
        </w:rPr>
        <w:t>از</w:t>
      </w:r>
      <w:r w:rsidRPr="0025250D">
        <w:rPr>
          <w:rtl/>
        </w:rPr>
        <w:t xml:space="preserve"> </w:t>
      </w:r>
      <w:r w:rsidRPr="0025250D">
        <w:rPr>
          <w:rFonts w:hint="cs"/>
          <w:rtl/>
        </w:rPr>
        <w:t>چنین</w:t>
      </w:r>
      <w:r w:rsidRPr="0025250D">
        <w:rPr>
          <w:rtl/>
        </w:rPr>
        <w:t xml:space="preserve"> </w:t>
      </w:r>
      <w:r w:rsidRPr="0025250D">
        <w:rPr>
          <w:rFonts w:hint="cs"/>
          <w:rtl/>
        </w:rPr>
        <w:t>فناوری</w:t>
      </w:r>
      <w:r w:rsidRPr="0025250D">
        <w:rPr>
          <w:rtl/>
        </w:rPr>
        <w:t xml:space="preserve">‌هایی </w:t>
      </w:r>
      <w:r w:rsidRPr="0025250D">
        <w:rPr>
          <w:rFonts w:hint="cs"/>
          <w:rtl/>
        </w:rPr>
        <w:t>استفاده</w:t>
      </w:r>
      <w:r w:rsidRPr="0025250D">
        <w:rPr>
          <w:rtl/>
        </w:rPr>
        <w:t xml:space="preserve"> می‌</w:t>
      </w:r>
      <w:r w:rsidRPr="0025250D">
        <w:rPr>
          <w:rFonts w:hint="cs"/>
          <w:rtl/>
        </w:rPr>
        <w:t>کنند، ممکن است همچنان بهتر از دیگر دسته‌های دارایی تا زمانی که اکثریت جهان از این پلتفرم‌های جدید در حال گسترش استفاده کنند، عمل کنند. ما دو کلان روند</w:t>
      </w:r>
      <w:r w:rsidRPr="0025250D">
        <w:rPr>
          <w:vertAlign w:val="superscript"/>
          <w:rtl/>
        </w:rPr>
        <w:footnoteReference w:id="1272"/>
      </w:r>
      <w:r w:rsidRPr="0025250D">
        <w:rPr>
          <w:rFonts w:hint="cs"/>
          <w:rtl/>
        </w:rPr>
        <w:t xml:space="preserve"> متراکم</w:t>
      </w:r>
      <w:r w:rsidRPr="0025250D">
        <w:rPr>
          <w:rtl/>
        </w:rPr>
        <w:t xml:space="preserve"> </w:t>
      </w:r>
      <w:r w:rsidR="00846157" w:rsidRPr="0025250D">
        <w:rPr>
          <w:rFonts w:hint="cs"/>
          <w:rtl/>
        </w:rPr>
        <w:t>سازی</w:t>
      </w:r>
      <w:r w:rsidRPr="0025250D">
        <w:rPr>
          <w:vertAlign w:val="superscript"/>
          <w:rtl/>
        </w:rPr>
        <w:footnoteReference w:id="1273"/>
      </w:r>
      <w:r w:rsidRPr="0025250D">
        <w:rPr>
          <w:rtl/>
        </w:rPr>
        <w:t xml:space="preserve"> </w:t>
      </w:r>
      <w:r w:rsidRPr="0025250D">
        <w:rPr>
          <w:rFonts w:hint="cs"/>
          <w:rtl/>
        </w:rPr>
        <w:t>و</w:t>
      </w:r>
      <w:r w:rsidRPr="0025250D">
        <w:rPr>
          <w:rtl/>
        </w:rPr>
        <w:t xml:space="preserve"> </w:t>
      </w:r>
      <w:r w:rsidR="000B4A71" w:rsidRPr="0025250D">
        <w:rPr>
          <w:rFonts w:hint="cs"/>
          <w:rtl/>
        </w:rPr>
        <w:t>مادی‌زدایی</w:t>
      </w:r>
      <w:r w:rsidRPr="0025250D">
        <w:rPr>
          <w:vertAlign w:val="superscript"/>
          <w:rtl/>
        </w:rPr>
        <w:footnoteReference w:id="1274"/>
      </w:r>
      <w:r w:rsidRPr="0025250D">
        <w:rPr>
          <w:rFonts w:hint="cs"/>
          <w:rtl/>
        </w:rPr>
        <w:t xml:space="preserve"> (</w:t>
      </w:r>
      <w:r w:rsidRPr="0025250D">
        <w:t>"D&amp;D"</w:t>
      </w:r>
      <w:r w:rsidRPr="0025250D">
        <w:rPr>
          <w:rFonts w:hint="cs"/>
          <w:rtl/>
        </w:rPr>
        <w:t>) را که در مرکز بهره</w:t>
      </w:r>
      <w:r w:rsidR="00FE04C4" w:rsidRPr="0025250D">
        <w:rPr>
          <w:rFonts w:hint="cs"/>
          <w:rtl/>
        </w:rPr>
        <w:t>‌</w:t>
      </w:r>
      <w:r w:rsidRPr="0025250D">
        <w:rPr>
          <w:rFonts w:hint="cs"/>
          <w:rtl/>
        </w:rPr>
        <w:t xml:space="preserve">وری فنی فزاینده هستند، توصیف خواهیم کرد. شبکه‌های تاکسی هوایی، اتومبیل‌های خودران و مسکن سازی با تراکم بالا و با ساختار‌های متنوع و مشمول یارانه، </w:t>
      </w:r>
      <w:r w:rsidR="007118DE" w:rsidRPr="0025250D">
        <w:rPr>
          <w:rFonts w:hint="cs"/>
          <w:rtl/>
        </w:rPr>
        <w:t>همان‌طور</w:t>
      </w:r>
      <w:r w:rsidRPr="0025250D">
        <w:rPr>
          <w:rFonts w:hint="cs"/>
          <w:rtl/>
        </w:rPr>
        <w:t xml:space="preserve"> که امروزه در سنگاپور می‌بینیم، همگی صنایعی هستند که به شدت شهر‌های برجسته ما را متراکم خواهند کرد. </w:t>
      </w:r>
      <w:r w:rsidR="007118DE" w:rsidRPr="0025250D">
        <w:rPr>
          <w:rFonts w:hint="cs"/>
          <w:rtl/>
        </w:rPr>
        <w:t>همان‌طور</w:t>
      </w:r>
      <w:r w:rsidRPr="0025250D">
        <w:rPr>
          <w:rFonts w:hint="cs"/>
          <w:rtl/>
        </w:rPr>
        <w:t xml:space="preserve"> که خواهیم دید هر یک از این صنایع همچنین به شکل قابل‌توجهی در سال‌های آینده غیر</w:t>
      </w:r>
      <w:r w:rsidRPr="0025250D">
        <w:rPr>
          <w:rtl/>
        </w:rPr>
        <w:t xml:space="preserve"> </w:t>
      </w:r>
      <w:r w:rsidRPr="0025250D">
        <w:rPr>
          <w:rFonts w:hint="cs"/>
          <w:rtl/>
        </w:rPr>
        <w:t>مادی</w:t>
      </w:r>
      <w:r w:rsidRPr="0025250D">
        <w:rPr>
          <w:rtl/>
        </w:rPr>
        <w:t xml:space="preserve"> می‌</w:t>
      </w:r>
      <w:r w:rsidRPr="0025250D">
        <w:rPr>
          <w:rFonts w:hint="cs"/>
          <w:rtl/>
        </w:rPr>
        <w:t xml:space="preserve">شوند (مبتنی بر نرم افزار و شبیه سازی و خودکار). هر چه بهتر پیشرفت‌های </w:t>
      </w:r>
      <w:r w:rsidRPr="0025250D">
        <w:t>D&amp;D</w:t>
      </w:r>
      <w:r w:rsidRPr="0025250D">
        <w:rPr>
          <w:rFonts w:hint="cs"/>
          <w:rtl/>
        </w:rPr>
        <w:t xml:space="preserve"> در </w:t>
      </w:r>
      <w:r w:rsidR="008D6F97" w:rsidRPr="0025250D">
        <w:rPr>
          <w:rFonts w:hint="cs"/>
          <w:rtl/>
        </w:rPr>
        <w:t>سامانه‌</w:t>
      </w:r>
      <w:r w:rsidRPr="0025250D">
        <w:rPr>
          <w:rFonts w:hint="cs"/>
          <w:rtl/>
        </w:rPr>
        <w:t xml:space="preserve">‌های اجتماعی برجسته را ببینیم، بهتر می‌توانیم تغییر </w:t>
      </w:r>
      <w:r w:rsidR="00B124DE" w:rsidRPr="0025250D">
        <w:rPr>
          <w:rFonts w:hint="cs"/>
          <w:rtl/>
        </w:rPr>
        <w:t>شتاب‌دار</w:t>
      </w:r>
      <w:r w:rsidRPr="0025250D">
        <w:rPr>
          <w:rFonts w:hint="cs"/>
          <w:rtl/>
        </w:rPr>
        <w:t xml:space="preserve"> را درک کنیم.</w:t>
      </w:r>
    </w:p>
    <w:p w14:paraId="3968DC05" w14:textId="02C343C4" w:rsidR="00537CC8" w:rsidRPr="0025250D" w:rsidRDefault="00537CC8" w:rsidP="00537CC8">
      <w:pPr>
        <w:rPr>
          <w:rtl/>
        </w:rPr>
      </w:pPr>
      <w:r w:rsidRPr="0025250D">
        <w:rPr>
          <w:rFonts w:hint="cs"/>
          <w:rtl/>
        </w:rPr>
        <w:t>بر فراز بهره وری فنی نمایی، همچنین چرخه‌های نامنظم متعددی، از جمله امواج رونق و رکود و سرمایه‌های ارزان و گرانقیمت وجود</w:t>
      </w:r>
      <w:r w:rsidRPr="0025250D">
        <w:rPr>
          <w:rtl/>
        </w:rPr>
        <w:t xml:space="preserve"> </w:t>
      </w:r>
      <w:r w:rsidRPr="0025250D">
        <w:rPr>
          <w:rFonts w:hint="cs"/>
          <w:rtl/>
        </w:rPr>
        <w:t>دارند. آمریکا</w:t>
      </w:r>
      <w:r w:rsidRPr="0025250D">
        <w:rPr>
          <w:rtl/>
        </w:rPr>
        <w:t xml:space="preserve"> </w:t>
      </w:r>
      <w:r w:rsidRPr="0025250D">
        <w:rPr>
          <w:rFonts w:hint="cs"/>
          <w:rtl/>
        </w:rPr>
        <w:t>اکنون</w:t>
      </w:r>
      <w:r w:rsidRPr="0025250D">
        <w:rPr>
          <w:rtl/>
        </w:rPr>
        <w:t xml:space="preserve"> </w:t>
      </w:r>
      <w:r w:rsidRPr="0025250D">
        <w:rPr>
          <w:rFonts w:hint="cs"/>
          <w:rtl/>
        </w:rPr>
        <w:t>از</w:t>
      </w:r>
      <w:r w:rsidRPr="0025250D">
        <w:rPr>
          <w:rtl/>
        </w:rPr>
        <w:t xml:space="preserve"> </w:t>
      </w:r>
      <w:r w:rsidRPr="0025250D">
        <w:rPr>
          <w:rFonts w:hint="cs"/>
          <w:rtl/>
        </w:rPr>
        <w:t>سال</w:t>
      </w:r>
      <w:r w:rsidRPr="0025250D">
        <w:rPr>
          <w:rtl/>
        </w:rPr>
        <w:t xml:space="preserve"> 2010 </w:t>
      </w:r>
      <w:r w:rsidRPr="0025250D">
        <w:rPr>
          <w:rFonts w:hint="cs"/>
          <w:rtl/>
        </w:rPr>
        <w:t>در</w:t>
      </w:r>
      <w:r w:rsidRPr="0025250D">
        <w:rPr>
          <w:rtl/>
        </w:rPr>
        <w:t xml:space="preserve"> </w:t>
      </w:r>
      <w:r w:rsidRPr="0025250D">
        <w:rPr>
          <w:rFonts w:hint="cs"/>
          <w:rtl/>
        </w:rPr>
        <w:t>رونق</w:t>
      </w:r>
      <w:r w:rsidRPr="0025250D">
        <w:rPr>
          <w:rtl/>
        </w:rPr>
        <w:t xml:space="preserve"> </w:t>
      </w:r>
      <w:r w:rsidRPr="0025250D">
        <w:rPr>
          <w:rFonts w:hint="cs"/>
          <w:rtl/>
        </w:rPr>
        <w:t>بازار</w:t>
      </w:r>
      <w:r w:rsidRPr="0025250D">
        <w:rPr>
          <w:rtl/>
        </w:rPr>
        <w:t xml:space="preserve"> </w:t>
      </w:r>
      <w:r w:rsidRPr="0025250D">
        <w:rPr>
          <w:rFonts w:hint="cs"/>
          <w:rtl/>
        </w:rPr>
        <w:t>سهام</w:t>
      </w:r>
      <w:r w:rsidRPr="0025250D">
        <w:rPr>
          <w:rtl/>
        </w:rPr>
        <w:t xml:space="preserve"> </w:t>
      </w:r>
      <w:r w:rsidRPr="0025250D">
        <w:rPr>
          <w:rFonts w:hint="cs"/>
          <w:rtl/>
        </w:rPr>
        <w:t>قرار</w:t>
      </w:r>
      <w:r w:rsidRPr="0025250D">
        <w:rPr>
          <w:rtl/>
        </w:rPr>
        <w:t xml:space="preserve"> </w:t>
      </w:r>
      <w:r w:rsidRPr="0025250D">
        <w:rPr>
          <w:rFonts w:hint="cs"/>
          <w:rtl/>
        </w:rPr>
        <w:t>دارد. ممکن است اکنون در یک حباب، حداقل با یک نقطه اوج کوتاه مدت قرار داشته باشد</w:t>
      </w:r>
      <w:r w:rsidR="008D6F97" w:rsidRPr="0025250D">
        <w:rPr>
          <w:rtl/>
        </w:rPr>
        <w:t xml:space="preserve">؛ </w:t>
      </w:r>
      <w:r w:rsidRPr="0025250D">
        <w:rPr>
          <w:rFonts w:hint="cs"/>
          <w:rtl/>
        </w:rPr>
        <w:t xml:space="preserve">اما اگر یک سقوط سهام به زودی یا در میانه‌های دهه 2020 رخ دهد، </w:t>
      </w:r>
      <w:r w:rsidR="007118DE" w:rsidRPr="0025250D">
        <w:rPr>
          <w:rFonts w:hint="cs"/>
          <w:rtl/>
        </w:rPr>
        <w:t>همان‌طور</w:t>
      </w:r>
      <w:r w:rsidRPr="0025250D">
        <w:rPr>
          <w:rFonts w:hint="cs"/>
          <w:rtl/>
        </w:rPr>
        <w:t xml:space="preserve"> که برخی انتظار دارند، این رکود تا زمانی که </w:t>
      </w:r>
      <w:r w:rsidR="00B56611" w:rsidRPr="0025250D">
        <w:rPr>
          <w:rFonts w:hint="cs"/>
          <w:rtl/>
        </w:rPr>
        <w:t>شتاب‌گیری</w:t>
      </w:r>
      <w:r w:rsidRPr="0025250D">
        <w:rPr>
          <w:rtl/>
        </w:rPr>
        <w:t xml:space="preserve"> </w:t>
      </w:r>
      <w:r w:rsidRPr="0025250D">
        <w:rPr>
          <w:rFonts w:hint="cs"/>
          <w:rtl/>
        </w:rPr>
        <w:t>رشد</w:t>
      </w:r>
      <w:r w:rsidRPr="0025250D">
        <w:rPr>
          <w:rtl/>
        </w:rPr>
        <w:t xml:space="preserve"> </w:t>
      </w:r>
      <w:r w:rsidRPr="0025250D">
        <w:rPr>
          <w:rFonts w:hint="cs"/>
          <w:rtl/>
        </w:rPr>
        <w:t>بهره وری</w:t>
      </w:r>
      <w:r w:rsidRPr="0025250D">
        <w:rPr>
          <w:rtl/>
        </w:rPr>
        <w:t xml:space="preserve"> </w:t>
      </w:r>
      <w:r w:rsidRPr="0025250D">
        <w:rPr>
          <w:rFonts w:hint="cs"/>
          <w:rtl/>
        </w:rPr>
        <w:t>فنی</w:t>
      </w:r>
      <w:r w:rsidRPr="0025250D">
        <w:rPr>
          <w:rtl/>
        </w:rPr>
        <w:t xml:space="preserve"> </w:t>
      </w:r>
      <w:r w:rsidRPr="0025250D">
        <w:rPr>
          <w:rFonts w:hint="cs"/>
          <w:rtl/>
        </w:rPr>
        <w:t>در</w:t>
      </w:r>
      <w:r w:rsidRPr="0025250D">
        <w:rPr>
          <w:rtl/>
        </w:rPr>
        <w:t xml:space="preserve"> </w:t>
      </w:r>
      <w:r w:rsidRPr="0025250D">
        <w:rPr>
          <w:rFonts w:hint="cs"/>
          <w:rtl/>
        </w:rPr>
        <w:t>دهه</w:t>
      </w:r>
      <w:r w:rsidRPr="0025250D">
        <w:rPr>
          <w:rtl/>
        </w:rPr>
        <w:t xml:space="preserve">‌های </w:t>
      </w:r>
      <w:r w:rsidRPr="0025250D">
        <w:rPr>
          <w:rFonts w:hint="cs"/>
          <w:rtl/>
        </w:rPr>
        <w:t>آتی ادامه داشته باشد، موقتی خواهد بود. خواهیم</w:t>
      </w:r>
      <w:r w:rsidRPr="0025250D">
        <w:rPr>
          <w:rtl/>
        </w:rPr>
        <w:t xml:space="preserve"> </w:t>
      </w:r>
      <w:r w:rsidRPr="0025250D">
        <w:rPr>
          <w:rFonts w:hint="cs"/>
          <w:rtl/>
        </w:rPr>
        <w:t>دید</w:t>
      </w:r>
      <w:r w:rsidRPr="0025250D">
        <w:rPr>
          <w:rtl/>
        </w:rPr>
        <w:t xml:space="preserve"> </w:t>
      </w:r>
      <w:r w:rsidRPr="0025250D">
        <w:rPr>
          <w:rFonts w:hint="cs"/>
          <w:rtl/>
        </w:rPr>
        <w:t>که</w:t>
      </w:r>
      <w:r w:rsidRPr="0025250D">
        <w:rPr>
          <w:rtl/>
        </w:rPr>
        <w:t xml:space="preserve"> </w:t>
      </w:r>
      <w:r w:rsidRPr="0025250D">
        <w:rPr>
          <w:rFonts w:hint="cs"/>
          <w:rtl/>
        </w:rPr>
        <w:t>چنین</w:t>
      </w:r>
      <w:r w:rsidRPr="0025250D">
        <w:rPr>
          <w:rtl/>
        </w:rPr>
        <w:t xml:space="preserve"> </w:t>
      </w:r>
      <w:r w:rsidRPr="0025250D">
        <w:rPr>
          <w:rFonts w:hint="cs"/>
          <w:rtl/>
        </w:rPr>
        <w:t>تغییرات</w:t>
      </w:r>
      <w:r w:rsidRPr="0025250D">
        <w:rPr>
          <w:rtl/>
        </w:rPr>
        <w:t xml:space="preserve"> </w:t>
      </w:r>
      <w:r w:rsidR="00B124DE" w:rsidRPr="0025250D">
        <w:rPr>
          <w:rFonts w:hint="cs"/>
          <w:rtl/>
        </w:rPr>
        <w:t>شتاب‌دار</w:t>
      </w:r>
      <w:r w:rsidRPr="0025250D">
        <w:rPr>
          <w:rFonts w:hint="cs"/>
          <w:rtl/>
        </w:rPr>
        <w:t>ی</w:t>
      </w:r>
      <w:r w:rsidRPr="0025250D">
        <w:rPr>
          <w:rtl/>
        </w:rPr>
        <w:t xml:space="preserve"> </w:t>
      </w:r>
      <w:r w:rsidRPr="0025250D">
        <w:rPr>
          <w:rFonts w:hint="cs"/>
          <w:rtl/>
        </w:rPr>
        <w:t>قابل</w:t>
      </w:r>
      <w:r w:rsidRPr="0025250D">
        <w:rPr>
          <w:rtl/>
        </w:rPr>
        <w:t xml:space="preserve"> </w:t>
      </w:r>
      <w:r w:rsidRPr="0025250D">
        <w:rPr>
          <w:rFonts w:hint="cs"/>
          <w:rtl/>
        </w:rPr>
        <w:t>پیش‌بینی</w:t>
      </w:r>
      <w:r w:rsidRPr="0025250D">
        <w:rPr>
          <w:rtl/>
        </w:rPr>
        <w:t xml:space="preserve"> </w:t>
      </w:r>
      <w:r w:rsidR="00FE04C4" w:rsidRPr="0025250D">
        <w:rPr>
          <w:rFonts w:hint="cs"/>
          <w:rtl/>
        </w:rPr>
        <w:t>هستند</w:t>
      </w:r>
      <w:r w:rsidRPr="0025250D">
        <w:rPr>
          <w:rFonts w:hint="cs"/>
          <w:rtl/>
        </w:rPr>
        <w:t>،</w:t>
      </w:r>
      <w:r w:rsidRPr="0025250D">
        <w:rPr>
          <w:rtl/>
        </w:rPr>
        <w:t xml:space="preserve"> </w:t>
      </w:r>
      <w:r w:rsidRPr="0025250D">
        <w:rPr>
          <w:rFonts w:hint="cs"/>
          <w:rtl/>
        </w:rPr>
        <w:t>زیرا</w:t>
      </w:r>
      <w:r w:rsidRPr="0025250D">
        <w:rPr>
          <w:rtl/>
        </w:rPr>
        <w:t xml:space="preserve"> </w:t>
      </w:r>
      <w:r w:rsidRPr="0025250D">
        <w:rPr>
          <w:rFonts w:hint="cs"/>
          <w:rtl/>
        </w:rPr>
        <w:t>پلتفرم</w:t>
      </w:r>
      <w:r w:rsidRPr="0025250D">
        <w:rPr>
          <w:rtl/>
        </w:rPr>
        <w:t xml:space="preserve">‌های </w:t>
      </w:r>
      <w:r w:rsidR="007A53FD" w:rsidRPr="0025250D">
        <w:rPr>
          <w:rFonts w:hint="cs"/>
          <w:rtl/>
        </w:rPr>
        <w:t>فناورانه</w:t>
      </w:r>
      <w:r w:rsidRPr="0025250D">
        <w:rPr>
          <w:rtl/>
        </w:rPr>
        <w:t xml:space="preserve"> </w:t>
      </w:r>
      <w:r w:rsidRPr="0025250D">
        <w:rPr>
          <w:rFonts w:hint="cs"/>
          <w:rtl/>
        </w:rPr>
        <w:t>پیشرو</w:t>
      </w:r>
      <w:r w:rsidRPr="0025250D">
        <w:rPr>
          <w:rtl/>
        </w:rPr>
        <w:t xml:space="preserve"> </w:t>
      </w:r>
      <w:r w:rsidRPr="0025250D">
        <w:rPr>
          <w:rFonts w:hint="cs"/>
          <w:rtl/>
        </w:rPr>
        <w:t>ما</w:t>
      </w:r>
      <w:r w:rsidRPr="0025250D">
        <w:rPr>
          <w:rtl/>
        </w:rPr>
        <w:t xml:space="preserve"> </w:t>
      </w:r>
      <w:r w:rsidRPr="0025250D">
        <w:rPr>
          <w:rFonts w:hint="cs"/>
          <w:rtl/>
        </w:rPr>
        <w:t>به</w:t>
      </w:r>
      <w:r w:rsidRPr="0025250D">
        <w:rPr>
          <w:rtl/>
        </w:rPr>
        <w:t xml:space="preserve"> </w:t>
      </w:r>
      <w:r w:rsidRPr="0025250D">
        <w:rPr>
          <w:rFonts w:hint="cs"/>
          <w:rtl/>
        </w:rPr>
        <w:t>طور</w:t>
      </w:r>
      <w:r w:rsidRPr="0025250D">
        <w:rPr>
          <w:rtl/>
        </w:rPr>
        <w:t xml:space="preserve"> </w:t>
      </w:r>
      <w:r w:rsidRPr="0025250D">
        <w:rPr>
          <w:rFonts w:hint="cs"/>
          <w:rtl/>
        </w:rPr>
        <w:t>فزاینده</w:t>
      </w:r>
      <w:r w:rsidRPr="0025250D">
        <w:rPr>
          <w:rtl/>
        </w:rPr>
        <w:t xml:space="preserve">‌ای </w:t>
      </w:r>
      <w:r w:rsidRPr="0025250D">
        <w:rPr>
          <w:rFonts w:hint="cs"/>
          <w:rtl/>
        </w:rPr>
        <w:t>از</w:t>
      </w:r>
      <w:r w:rsidRPr="0025250D">
        <w:rPr>
          <w:rtl/>
        </w:rPr>
        <w:t xml:space="preserve"> </w:t>
      </w:r>
      <w:r w:rsidRPr="0025250D">
        <w:rPr>
          <w:rFonts w:hint="cs"/>
          <w:rtl/>
        </w:rPr>
        <w:t>نظر</w:t>
      </w:r>
      <w:r w:rsidRPr="0025250D">
        <w:rPr>
          <w:rtl/>
        </w:rPr>
        <w:t xml:space="preserve"> </w:t>
      </w:r>
      <w:r w:rsidRPr="0025250D">
        <w:rPr>
          <w:rFonts w:hint="cs"/>
          <w:rtl/>
        </w:rPr>
        <w:t>منابع</w:t>
      </w:r>
      <w:r w:rsidRPr="0025250D">
        <w:rPr>
          <w:rtl/>
        </w:rPr>
        <w:t xml:space="preserve"> </w:t>
      </w:r>
      <w:r w:rsidRPr="0025250D">
        <w:rPr>
          <w:rFonts w:hint="cs"/>
          <w:rtl/>
        </w:rPr>
        <w:t>کارآمد</w:t>
      </w:r>
      <w:r w:rsidRPr="0025250D">
        <w:rPr>
          <w:rtl/>
        </w:rPr>
        <w:t xml:space="preserve"> </w:t>
      </w:r>
      <w:r w:rsidRPr="0025250D">
        <w:rPr>
          <w:rFonts w:hint="cs"/>
          <w:rtl/>
        </w:rPr>
        <w:t>و</w:t>
      </w:r>
      <w:r w:rsidRPr="0025250D">
        <w:rPr>
          <w:rtl/>
        </w:rPr>
        <w:t xml:space="preserve"> </w:t>
      </w:r>
      <w:r w:rsidRPr="0025250D">
        <w:rPr>
          <w:rFonts w:hint="cs"/>
          <w:rtl/>
        </w:rPr>
        <w:t>هوشمند</w:t>
      </w:r>
      <w:r w:rsidRPr="0025250D">
        <w:rPr>
          <w:rtl/>
        </w:rPr>
        <w:t xml:space="preserve"> می‌</w:t>
      </w:r>
      <w:r w:rsidRPr="0025250D">
        <w:rPr>
          <w:rFonts w:hint="cs"/>
          <w:rtl/>
        </w:rPr>
        <w:t>شوند.</w:t>
      </w:r>
    </w:p>
    <w:p w14:paraId="06CD8A88" w14:textId="4B12F155" w:rsidR="00537CC8" w:rsidRPr="0025250D" w:rsidRDefault="00537CC8" w:rsidP="00537CC8">
      <w:pPr>
        <w:rPr>
          <w:rtl/>
        </w:rPr>
      </w:pPr>
      <w:r w:rsidRPr="0025250D">
        <w:rPr>
          <w:rFonts w:hint="cs"/>
          <w:rtl/>
        </w:rPr>
        <w:t xml:space="preserve">حتی برای بیش‌تر شرکت‌هایی که 50 تا 90 درصد از ارزش خود را در یک سقوط از دست دادند، اما بقا پیدا کردند، پس از یک وقفه 5 تا 10 ساله، این ارزش از نظر تاریخی باز گردانده شد و در رونق بازار بعدی بیش‌تر نیز شد. </w:t>
      </w:r>
      <w:r w:rsidR="007118DE" w:rsidRPr="0025250D">
        <w:rPr>
          <w:rFonts w:hint="cs"/>
          <w:rtl/>
        </w:rPr>
        <w:t>همان‌طور</w:t>
      </w:r>
      <w:r w:rsidRPr="0025250D">
        <w:rPr>
          <w:rFonts w:hint="cs"/>
          <w:rtl/>
        </w:rPr>
        <w:t xml:space="preserve"> که در </w:t>
      </w:r>
      <w:r w:rsidRPr="0025250D">
        <w:t>BPF</w:t>
      </w:r>
      <w:r w:rsidRPr="0025250D">
        <w:rPr>
          <w:rFonts w:hint="cs"/>
          <w:rtl/>
        </w:rPr>
        <w:t xml:space="preserve"> بحث خواهیم کرد، با سریع‌تر شدن و پیچیده‌تر شدن شبکه‌های </w:t>
      </w:r>
      <w:r w:rsidR="007A53FD" w:rsidRPr="0025250D">
        <w:rPr>
          <w:rFonts w:hint="cs"/>
          <w:rtl/>
        </w:rPr>
        <w:t>فناورانه</w:t>
      </w:r>
      <w:r w:rsidRPr="0025250D">
        <w:rPr>
          <w:rFonts w:hint="cs"/>
          <w:rtl/>
        </w:rPr>
        <w:t xml:space="preserve">، این دوره‌های بازیابی کوتاه‌تر </w:t>
      </w:r>
      <w:r w:rsidR="00185F3E" w:rsidRPr="0025250D">
        <w:rPr>
          <w:rFonts w:hint="cs"/>
          <w:rtl/>
        </w:rPr>
        <w:t>شده‌اند</w:t>
      </w:r>
      <w:r w:rsidRPr="0025250D">
        <w:rPr>
          <w:rFonts w:hint="cs"/>
          <w:rtl/>
        </w:rPr>
        <w:t>. پس از سقوط بازار در سال 1929، 25 سال طول کشید تا بازار به طور کلی به نقطه اوج قبلی خود برسد. در سقوط‌های سال 1999 و 2008، هر دو بازیابی کم‌تر از یک دهه به طو</w:t>
      </w:r>
      <w:r w:rsidR="00FE04C4" w:rsidRPr="0025250D">
        <w:rPr>
          <w:rFonts w:hint="cs"/>
          <w:rtl/>
        </w:rPr>
        <w:t>ل</w:t>
      </w:r>
      <w:r w:rsidRPr="0025250D">
        <w:rPr>
          <w:rFonts w:hint="cs"/>
          <w:rtl/>
        </w:rPr>
        <w:t xml:space="preserve"> انجامیدند. در کتاب 2، ادعا می‌کنیم که سرعت بازیابی بازار با نزدیک‌تر شدن به </w:t>
      </w:r>
      <w:r w:rsidR="00A2651D" w:rsidRPr="0025250D">
        <w:rPr>
          <w:rFonts w:hint="cs"/>
          <w:rtl/>
        </w:rPr>
        <w:t>تکینگی</w:t>
      </w:r>
      <w:r w:rsidRPr="0025250D">
        <w:rPr>
          <w:rFonts w:hint="cs"/>
          <w:rtl/>
        </w:rPr>
        <w:t xml:space="preserve"> </w:t>
      </w:r>
      <w:r w:rsidR="007A53FD" w:rsidRPr="0025250D">
        <w:rPr>
          <w:rFonts w:hint="cs"/>
          <w:rtl/>
        </w:rPr>
        <w:t>فناورانه</w:t>
      </w:r>
      <w:r w:rsidRPr="0025250D">
        <w:rPr>
          <w:vertAlign w:val="superscript"/>
          <w:rtl/>
        </w:rPr>
        <w:footnoteReference w:id="1275"/>
      </w:r>
      <w:r w:rsidRPr="0025250D">
        <w:rPr>
          <w:rFonts w:hint="cs"/>
          <w:rtl/>
        </w:rPr>
        <w:t xml:space="preserve"> (ظهور هوش مصنوعی قابل رقابت با انسان به طور کلی) بیش</w:t>
      </w:r>
      <w:r w:rsidRPr="0025250D">
        <w:rPr>
          <w:rtl/>
        </w:rPr>
        <w:t>‌تر می‌</w:t>
      </w:r>
      <w:r w:rsidRPr="0025250D">
        <w:rPr>
          <w:rFonts w:hint="cs"/>
          <w:rtl/>
        </w:rPr>
        <w:t>شود.</w:t>
      </w:r>
    </w:p>
    <w:p w14:paraId="1648274D" w14:textId="309370C3" w:rsidR="00537CC8" w:rsidRPr="0025250D" w:rsidRDefault="00537CC8" w:rsidP="00537CC8">
      <w:r w:rsidRPr="0025250D">
        <w:rPr>
          <w:rFonts w:hint="cs"/>
          <w:rtl/>
        </w:rPr>
        <w:t xml:space="preserve">تاریخ همچنین نشان داده است که شرکت‌هایی که به خوبی مدیریت می‌شوند و انتخاب‌های زیادی دارند، همواره در بازه کوتاهی خود را بازیابی می‌کنند. کلید این کار شناسایی شرکت‌های دارای آینده نگری و مدیریت خوب است، شرکت‌هایی که احتمالا از یک رکود و سقوط نجات می‌یابند. </w:t>
      </w:r>
      <w:r w:rsidR="007118DE" w:rsidRPr="0025250D">
        <w:rPr>
          <w:rFonts w:hint="cs"/>
          <w:rtl/>
        </w:rPr>
        <w:t>همان‌طور</w:t>
      </w:r>
      <w:r w:rsidRPr="0025250D">
        <w:rPr>
          <w:rFonts w:hint="cs"/>
          <w:rtl/>
        </w:rPr>
        <w:t xml:space="preserve"> که </w:t>
      </w:r>
      <w:r w:rsidRPr="0025250D">
        <w:rPr>
          <w:rtl/>
        </w:rPr>
        <w:t>تام و د</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rtl/>
        </w:rPr>
        <w:t xml:space="preserve"> گاردنر</w:t>
      </w:r>
      <w:r w:rsidRPr="0025250D">
        <w:rPr>
          <w:rFonts w:hint="cs"/>
          <w:rtl/>
        </w:rPr>
        <w:t xml:space="preserve"> در </w:t>
      </w:r>
      <w:r w:rsidRPr="0025250D">
        <w:rPr>
          <w:rtl/>
        </w:rPr>
        <w:t>راهنما</w:t>
      </w:r>
      <w:r w:rsidRPr="0025250D">
        <w:rPr>
          <w:rFonts w:hint="cs"/>
          <w:rtl/>
        </w:rPr>
        <w:t>ی</w:t>
      </w:r>
      <w:r w:rsidRPr="0025250D">
        <w:rPr>
          <w:rtl/>
        </w:rPr>
        <w:t xml:space="preserve"> سرمایه‌گذاری </w:t>
      </w:r>
      <w:r w:rsidRPr="0025250D">
        <w:rPr>
          <w:rFonts w:hint="cs"/>
          <w:rtl/>
        </w:rPr>
        <w:t>ماتلی فول</w:t>
      </w:r>
      <w:r w:rsidRPr="0025250D">
        <w:rPr>
          <w:vertAlign w:val="superscript"/>
          <w:rtl/>
        </w:rPr>
        <w:footnoteReference w:id="1276"/>
      </w:r>
      <w:r w:rsidRPr="0025250D">
        <w:rPr>
          <w:rFonts w:hint="cs"/>
          <w:rtl/>
        </w:rPr>
        <w:t xml:space="preserve">، نسخه سوم در سال 2017 توصیف می‌کنند، گزارش انتخاب سهام آن‌ها در طول بیست و پنج سال گذشته که به شکل عمومی با مخاطبین خود در میان گذاشتند، انتخاب تنها 5 سهام برای سرمایه‌گذاری در هر ماه و نگهداشتن آن‌ها برای بلندمدت، بازگشت سرمایه سالانه 15 درصد برای </w:t>
      </w:r>
      <w:r w:rsidRPr="0025250D">
        <w:rPr>
          <w:rtl/>
        </w:rPr>
        <w:t>تام گاردنر</w:t>
      </w:r>
      <w:r w:rsidRPr="0025250D">
        <w:rPr>
          <w:rFonts w:hint="cs"/>
          <w:rtl/>
        </w:rPr>
        <w:t xml:space="preserve"> و 20 درصد برای </w:t>
      </w:r>
      <w:r w:rsidRPr="0025250D">
        <w:rPr>
          <w:rtl/>
        </w:rPr>
        <w:t>د</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rtl/>
        </w:rPr>
        <w:t xml:space="preserve"> گاردنر</w:t>
      </w:r>
      <w:r w:rsidRPr="0025250D">
        <w:rPr>
          <w:rFonts w:hint="cs"/>
          <w:rtl/>
        </w:rPr>
        <w:t xml:space="preserve"> به ارمغان آورده است؛ کسانی که مجری پادکست سرمایه‌گذاری</w:t>
      </w:r>
      <w:r w:rsidRPr="0025250D">
        <w:rPr>
          <w:rtl/>
        </w:rPr>
        <w:t xml:space="preserve"> </w:t>
      </w:r>
      <w:r w:rsidRPr="0025250D">
        <w:rPr>
          <w:rFonts w:hint="cs"/>
          <w:rtl/>
        </w:rPr>
        <w:t>قانون</w:t>
      </w:r>
      <w:r w:rsidRPr="0025250D">
        <w:rPr>
          <w:rtl/>
        </w:rPr>
        <w:t xml:space="preserve"> </w:t>
      </w:r>
      <w:r w:rsidRPr="0025250D">
        <w:rPr>
          <w:rFonts w:hint="cs"/>
          <w:rtl/>
        </w:rPr>
        <w:t>شکن</w:t>
      </w:r>
      <w:r w:rsidRPr="0025250D">
        <w:rPr>
          <w:vertAlign w:val="superscript"/>
          <w:rtl/>
        </w:rPr>
        <w:footnoteReference w:id="1277"/>
      </w:r>
      <w:r w:rsidRPr="0025250D">
        <w:rPr>
          <w:rFonts w:hint="cs"/>
          <w:rtl/>
        </w:rPr>
        <w:t xml:space="preserve"> در طول بیش از 25 سال </w:t>
      </w:r>
      <w:r w:rsidR="00B124DE" w:rsidRPr="0025250D">
        <w:rPr>
          <w:rFonts w:hint="cs"/>
          <w:rtl/>
        </w:rPr>
        <w:t>بوده‌اند</w:t>
      </w:r>
      <w:r w:rsidRPr="0025250D">
        <w:rPr>
          <w:rFonts w:hint="cs"/>
          <w:rtl/>
        </w:rPr>
        <w:t xml:space="preserve"> که هر یک از معیار‌های سرمایه‌گذاری با اندکی تفاوت استفاده </w:t>
      </w:r>
      <w:r w:rsidR="007118DE" w:rsidRPr="0025250D">
        <w:rPr>
          <w:rFonts w:hint="cs"/>
          <w:rtl/>
        </w:rPr>
        <w:t>کرده‌اند</w:t>
      </w:r>
      <w:r w:rsidRPr="0025250D">
        <w:rPr>
          <w:rFonts w:hint="cs"/>
          <w:rtl/>
        </w:rPr>
        <w:t xml:space="preserve">. چنین بازگشت سرمایه‌ای بسیار بیش از بازگشت سرمایه میانگین 8-9 درصدی از دهه 1920 بوده است و </w:t>
      </w:r>
      <w:r w:rsidR="0044659F" w:rsidRPr="0025250D">
        <w:rPr>
          <w:rFonts w:hint="cs"/>
          <w:rtl/>
        </w:rPr>
        <w:t>پرتفوی</w:t>
      </w:r>
      <w:r w:rsidRPr="0025250D">
        <w:rPr>
          <w:rFonts w:hint="cs"/>
          <w:rtl/>
        </w:rPr>
        <w:t xml:space="preserve"> آن‌ها نیز تغییر پذیری</w:t>
      </w:r>
      <w:r w:rsidR="00BB406C" w:rsidRPr="0025250D">
        <w:rPr>
          <w:rFonts w:hint="cs"/>
          <w:rtl/>
        </w:rPr>
        <w:t xml:space="preserve"> کم‌تر</w:t>
      </w:r>
      <w:r w:rsidRPr="0025250D">
        <w:rPr>
          <w:rFonts w:hint="cs"/>
          <w:rtl/>
        </w:rPr>
        <w:t>ی نسبت به کل بازار داشته است.</w:t>
      </w:r>
    </w:p>
    <w:p w14:paraId="691868AC" w14:textId="77777777" w:rsidR="00537CC8" w:rsidRPr="0025250D" w:rsidRDefault="00537CC8" w:rsidP="000A674B">
      <w:pPr>
        <w:jc w:val="center"/>
        <w:rPr>
          <w:rtl/>
        </w:rPr>
      </w:pPr>
      <w:r w:rsidRPr="0025250D">
        <w:rPr>
          <w:noProof/>
          <w:lang w:bidi="ar-SA"/>
        </w:rPr>
        <w:drawing>
          <wp:inline distT="0" distB="0" distL="0" distR="0" wp14:anchorId="63A26926" wp14:editId="5D9066A0">
            <wp:extent cx="2377440" cy="2674306"/>
            <wp:effectExtent l="0" t="0" r="381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cstate="screen">
                      <a:extLst>
                        <a:ext uri="{BEBA8EAE-BF5A-486C-A8C5-ECC9F3942E4B}">
                          <a14:imgProps xmlns:a14="http://schemas.microsoft.com/office/drawing/2010/main">
                            <a14:imgLayer r:embed="rId115">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2386250" cy="2684216"/>
                    </a:xfrm>
                    <a:prstGeom prst="rect">
                      <a:avLst/>
                    </a:prstGeom>
                    <a:noFill/>
                  </pic:spPr>
                </pic:pic>
              </a:graphicData>
            </a:graphic>
          </wp:inline>
        </w:drawing>
      </w:r>
    </w:p>
    <w:p w14:paraId="6874750F" w14:textId="07AEFD11" w:rsidR="00537CC8" w:rsidRPr="0025250D" w:rsidRDefault="00537CC8" w:rsidP="00537CC8">
      <w:pPr>
        <w:rPr>
          <w:rtl/>
        </w:rPr>
      </w:pPr>
      <w:r w:rsidRPr="0025250D">
        <w:rPr>
          <w:rFonts w:hint="cs"/>
          <w:rtl/>
        </w:rPr>
        <w:t xml:space="preserve">بازگشت سرمایه بازار سهام آمریکا در قرن قبل شاهد چند </w:t>
      </w:r>
      <w:r w:rsidR="0063099E" w:rsidRPr="0025250D">
        <w:rPr>
          <w:rtl/>
        </w:rPr>
        <w:t>«</w:t>
      </w:r>
      <w:r w:rsidRPr="0025250D">
        <w:rPr>
          <w:rFonts w:hint="cs"/>
          <w:rtl/>
        </w:rPr>
        <w:t>دهه ضرر</w:t>
      </w:r>
      <w:r w:rsidR="0063099E" w:rsidRPr="0025250D">
        <w:rPr>
          <w:rtl/>
        </w:rPr>
        <w:t>»</w:t>
      </w:r>
      <w:r w:rsidRPr="0025250D">
        <w:rPr>
          <w:rFonts w:hint="cs"/>
          <w:rtl/>
        </w:rPr>
        <w:t xml:space="preserve"> بوده است (سمت راست تصویر). برخی افراد بدبین، اغلب افراد مسن تری که در جهانی بدون پلتف</w:t>
      </w:r>
      <w:r w:rsidR="00FE04C4" w:rsidRPr="0025250D">
        <w:rPr>
          <w:rFonts w:hint="cs"/>
          <w:rtl/>
        </w:rPr>
        <w:t>رم</w:t>
      </w:r>
      <w:r w:rsidRPr="0025250D">
        <w:rPr>
          <w:rFonts w:hint="cs"/>
          <w:rtl/>
        </w:rPr>
        <w:t xml:space="preserve">‌های دیجیتال و پویایی نوین آن‌ها بزرگ </w:t>
      </w:r>
      <w:r w:rsidR="00185F3E" w:rsidRPr="0025250D">
        <w:rPr>
          <w:rFonts w:hint="cs"/>
          <w:rtl/>
        </w:rPr>
        <w:t>شده‌اند</w:t>
      </w:r>
      <w:r w:rsidRPr="0025250D">
        <w:rPr>
          <w:rFonts w:hint="cs"/>
          <w:rtl/>
        </w:rPr>
        <w:t xml:space="preserve">، فکر می‌کنند که ما از این پس به یکی از این دهه‌های ضرر دهی وارد خواهیم شد. ما مخالفیم. حتی اگر شاهد یک دهه با رشد کم مانند دهه 1960 باشیم (5 درصد در سال) که </w:t>
      </w:r>
      <w:r w:rsidR="00923DDB" w:rsidRPr="0025250D">
        <w:rPr>
          <w:rFonts w:hint="cs"/>
          <w:rtl/>
        </w:rPr>
        <w:t>باورپذیر</w:t>
      </w:r>
      <w:r w:rsidRPr="0025250D">
        <w:rPr>
          <w:rFonts w:hint="cs"/>
          <w:rtl/>
        </w:rPr>
        <w:t xml:space="preserve"> است، اما غیر محتمل، مجموعه خوبی از شرکت‌های خوب مدیریت شده، به خوبی سرمایه‌گذاری شده و با رشد خوب به تولید ارزش سریع‌تر از هر دارایی دیگری که بتوانیم به راحتی در آن سرمایه‌گذاری کنیم ادامه خواهند داد. شرکت‌های عالی شایسته پس‌انداز کردن، یافتن سهام آن‌ها و نگهداشتن آن برای بلندمدت توسط تعدادی هر چه بیش‌تر از شهروندان جهان هستند. این مطمئن‌ترین راه برای استقلال مالی برای همه ماست.</w:t>
      </w:r>
    </w:p>
    <w:p w14:paraId="56BBB3D6" w14:textId="7A1CE96B" w:rsidR="00537CC8" w:rsidRPr="0025250D" w:rsidRDefault="00537CC8" w:rsidP="00537CC8">
      <w:pPr>
        <w:rPr>
          <w:rtl/>
        </w:rPr>
      </w:pPr>
      <w:r w:rsidRPr="0025250D">
        <w:rPr>
          <w:rFonts w:hint="cs"/>
          <w:rtl/>
        </w:rPr>
        <w:t xml:space="preserve">در حال حاضر، در طول همه گیری </w:t>
      </w:r>
      <w:r w:rsidRPr="0025250D">
        <w:rPr>
          <w:rtl/>
        </w:rPr>
        <w:t>کوو</w:t>
      </w:r>
      <w:r w:rsidRPr="0025250D">
        <w:rPr>
          <w:rFonts w:hint="cs"/>
          <w:rtl/>
        </w:rPr>
        <w:t>ی</w:t>
      </w:r>
      <w:r w:rsidRPr="0025250D">
        <w:rPr>
          <w:rFonts w:hint="eastAsia"/>
          <w:rtl/>
        </w:rPr>
        <w:t>د</w:t>
      </w:r>
      <w:r w:rsidRPr="0025250D">
        <w:rPr>
          <w:rtl/>
        </w:rPr>
        <w:t>-۱۹</w:t>
      </w:r>
      <w:r w:rsidRPr="0025250D">
        <w:rPr>
          <w:rFonts w:hint="cs"/>
          <w:rtl/>
        </w:rPr>
        <w:t xml:space="preserve">، آمریکا شاهد یک بازیابی </w:t>
      </w:r>
      <w:r w:rsidRPr="0025250D">
        <w:t>K</w:t>
      </w:r>
      <w:r w:rsidRPr="0025250D">
        <w:rPr>
          <w:rFonts w:hint="cs"/>
          <w:rtl/>
        </w:rPr>
        <w:t xml:space="preserve"> شکل است، شرایطی که 1 تا 10 درصد از ثروتمند‌ترین آمریکایی‌هایی که به خوبی در بازار سهام از طریق گزینه‌ها و حساب‌های بازنشستگی سرمایه‌گذاری </w:t>
      </w:r>
      <w:r w:rsidR="007118DE" w:rsidRPr="0025250D">
        <w:rPr>
          <w:rFonts w:hint="cs"/>
          <w:rtl/>
        </w:rPr>
        <w:t>کرده‌اند</w:t>
      </w:r>
      <w:r w:rsidRPr="0025250D">
        <w:rPr>
          <w:rFonts w:hint="cs"/>
          <w:rtl/>
        </w:rPr>
        <w:t>، به سرعت در حال رشد دادن ارزش دارایی‌های خود هستند، در حالی که اکثریت شهروندان شاهد هیچ سودی نیستند یا با وجود عدم امنیت شغلی، کاهش پس‌انداز و ثروت و حقوق و مزایای رو به کاهش نسبت به والدین خود به دردسر‌های جدیدی افتاده اند. تسهیل کمّی</w:t>
      </w:r>
      <w:r w:rsidRPr="0025250D">
        <w:rPr>
          <w:vertAlign w:val="superscript"/>
          <w:rtl/>
        </w:rPr>
        <w:footnoteReference w:id="1278"/>
      </w:r>
      <w:r w:rsidRPr="0025250D">
        <w:rPr>
          <w:rFonts w:hint="cs"/>
          <w:rtl/>
        </w:rPr>
        <w:t xml:space="preserve"> عظیم به صورت موقتی تصویر مالی متوسط شهروندان آمریکایی را بهبود داده است. استارتاپ‌های جدید با نرخی سریع در حال ایجاد شدن هستند و ممکن است شاهد بازیابی قدرتمند با حقوق بالا‌تر برای طبقه کارگر باشیم</w:t>
      </w:r>
      <w:r w:rsidR="008D6F97" w:rsidRPr="0025250D">
        <w:rPr>
          <w:rtl/>
        </w:rPr>
        <w:t xml:space="preserve">؛ </w:t>
      </w:r>
      <w:r w:rsidRPr="0025250D">
        <w:rPr>
          <w:rFonts w:hint="cs"/>
          <w:rtl/>
        </w:rPr>
        <w:t>اما از نظر اقتصادی، موارد بسیاری در کوتاه مدت غیر قطعی باقی مانده اند.</w:t>
      </w:r>
    </w:p>
    <w:p w14:paraId="79EF0E74" w14:textId="3D604BAE" w:rsidR="00537CC8" w:rsidRPr="0025250D" w:rsidRDefault="00537CC8" w:rsidP="00537CC8">
      <w:pPr>
        <w:rPr>
          <w:rtl/>
        </w:rPr>
      </w:pPr>
      <w:r w:rsidRPr="0025250D">
        <w:rPr>
          <w:rFonts w:hint="cs"/>
          <w:rtl/>
        </w:rPr>
        <w:t xml:space="preserve">اما در بلندمدت، یک محیط سرمایه‌گذاری جدید به نظر با آغاز </w:t>
      </w:r>
      <w:r w:rsidR="0063099E" w:rsidRPr="0025250D">
        <w:rPr>
          <w:rtl/>
        </w:rPr>
        <w:t>«</w:t>
      </w:r>
      <w:r w:rsidRPr="0025250D">
        <w:rPr>
          <w:rFonts w:hint="cs"/>
          <w:rtl/>
        </w:rPr>
        <w:t>ابر نواختر دیجیتالی</w:t>
      </w:r>
      <w:r w:rsidRPr="0025250D">
        <w:rPr>
          <w:vertAlign w:val="superscript"/>
          <w:rtl/>
        </w:rPr>
        <w:footnoteReference w:id="1279"/>
      </w:r>
      <w:r w:rsidR="0063099E" w:rsidRPr="0025250D">
        <w:rPr>
          <w:rtl/>
        </w:rPr>
        <w:t>»</w:t>
      </w:r>
      <w:r w:rsidRPr="0025250D">
        <w:rPr>
          <w:rFonts w:hint="cs"/>
          <w:rtl/>
        </w:rPr>
        <w:t xml:space="preserve"> ما در سال 2008، با پیدایش گوشی‌های هوشمند، فضای ابری و هوش مصنوعی پدیدار شده است. در کتاب 2 توضیح خواهیم داد که چرا انتظار داریم که سهام‌های شرکت‌های </w:t>
      </w:r>
      <w:r w:rsidR="007A53FD" w:rsidRPr="0025250D">
        <w:rPr>
          <w:rFonts w:hint="cs"/>
          <w:rtl/>
        </w:rPr>
        <w:t>فناوری</w:t>
      </w:r>
      <w:r w:rsidRPr="0025250D">
        <w:rPr>
          <w:rFonts w:hint="cs"/>
          <w:rtl/>
        </w:rPr>
        <w:t xml:space="preserve"> دارای رشد بالا عملکرد بهتری نسبت به همه دسته‌های دارایی تا</w:t>
      </w:r>
      <w:r w:rsidR="00A2651D" w:rsidRPr="0025250D">
        <w:rPr>
          <w:rFonts w:hint="cs"/>
          <w:rtl/>
        </w:rPr>
        <w:t xml:space="preserve"> زمان</w:t>
      </w:r>
      <w:r w:rsidRPr="0025250D">
        <w:rPr>
          <w:rFonts w:hint="cs"/>
          <w:rtl/>
        </w:rPr>
        <w:t xml:space="preserve"> تک</w:t>
      </w:r>
      <w:r w:rsidR="00A2651D" w:rsidRPr="0025250D">
        <w:rPr>
          <w:rFonts w:hint="cs"/>
          <w:rtl/>
        </w:rPr>
        <w:t>ی</w:t>
      </w:r>
      <w:r w:rsidRPr="0025250D">
        <w:rPr>
          <w:rFonts w:hint="cs"/>
          <w:rtl/>
        </w:rPr>
        <w:t xml:space="preserve">نگی </w:t>
      </w:r>
      <w:r w:rsidR="007A53FD" w:rsidRPr="0025250D">
        <w:rPr>
          <w:rFonts w:hint="cs"/>
          <w:rtl/>
        </w:rPr>
        <w:t>فناورانه</w:t>
      </w:r>
      <w:r w:rsidRPr="0025250D">
        <w:rPr>
          <w:vertAlign w:val="superscript"/>
          <w:rtl/>
        </w:rPr>
        <w:footnoteReference w:id="1280"/>
      </w:r>
      <w:r w:rsidRPr="0025250D">
        <w:rPr>
          <w:rFonts w:hint="cs"/>
          <w:rtl/>
        </w:rPr>
        <w:t xml:space="preserve"> و فراتر از آن، با ظهور هوش مصنوعی عمومی، شاید پس از این قرن، خواهند داشت. </w:t>
      </w:r>
      <w:r w:rsidRPr="0025250D">
        <w:rPr>
          <w:rtl/>
        </w:rPr>
        <w:t>کت</w:t>
      </w:r>
      <w:r w:rsidRPr="0025250D">
        <w:rPr>
          <w:rFonts w:hint="cs"/>
          <w:rtl/>
        </w:rPr>
        <w:t>ی</w:t>
      </w:r>
      <w:r w:rsidRPr="0025250D">
        <w:rPr>
          <w:rtl/>
        </w:rPr>
        <w:t xml:space="preserve"> وود</w:t>
      </w:r>
      <w:r w:rsidRPr="0025250D">
        <w:rPr>
          <w:vertAlign w:val="superscript"/>
          <w:rtl/>
        </w:rPr>
        <w:footnoteReference w:id="1281"/>
      </w:r>
      <w:r w:rsidRPr="0025250D">
        <w:rPr>
          <w:rFonts w:hint="cs"/>
          <w:rtl/>
        </w:rPr>
        <w:t xml:space="preserve"> از آرک اینوست</w:t>
      </w:r>
      <w:r w:rsidRPr="0025250D">
        <w:rPr>
          <w:vertAlign w:val="superscript"/>
          <w:rtl/>
        </w:rPr>
        <w:footnoteReference w:id="1282"/>
      </w:r>
      <w:r w:rsidRPr="0025250D">
        <w:rPr>
          <w:rFonts w:hint="cs"/>
          <w:rtl/>
        </w:rPr>
        <w:t xml:space="preserve"> مثالی از تفکر سرمایه‌گذاری </w:t>
      </w:r>
      <w:r w:rsidRPr="0025250D">
        <w:t>D&amp;D</w:t>
      </w:r>
      <w:r w:rsidRPr="0025250D">
        <w:rPr>
          <w:rFonts w:hint="cs"/>
          <w:rtl/>
        </w:rPr>
        <w:t xml:space="preserve"> محور است. کتاب‌هایی مانند ماشین، پلتفر</w:t>
      </w:r>
      <w:r w:rsidR="00A2651D" w:rsidRPr="0025250D">
        <w:rPr>
          <w:rFonts w:hint="cs"/>
          <w:rtl/>
        </w:rPr>
        <w:t>م</w:t>
      </w:r>
      <w:r w:rsidRPr="0025250D">
        <w:rPr>
          <w:rFonts w:hint="cs"/>
          <w:rtl/>
        </w:rPr>
        <w:t>، اجتماع</w:t>
      </w:r>
      <w:r w:rsidRPr="0025250D">
        <w:rPr>
          <w:vertAlign w:val="superscript"/>
          <w:rtl/>
        </w:rPr>
        <w:footnoteReference w:id="1283"/>
      </w:r>
      <w:r w:rsidRPr="0025250D">
        <w:rPr>
          <w:rFonts w:hint="cs"/>
          <w:rtl/>
        </w:rPr>
        <w:t xml:space="preserve"> اثر </w:t>
      </w:r>
      <w:r w:rsidRPr="0025250D">
        <w:rPr>
          <w:rtl/>
        </w:rPr>
        <w:t>بر</w:t>
      </w:r>
      <w:r w:rsidRPr="0025250D">
        <w:rPr>
          <w:rFonts w:hint="cs"/>
          <w:rtl/>
        </w:rPr>
        <w:t>ی</w:t>
      </w:r>
      <w:r w:rsidRPr="0025250D">
        <w:rPr>
          <w:rFonts w:hint="eastAsia"/>
          <w:rtl/>
        </w:rPr>
        <w:t>ن</w:t>
      </w:r>
      <w:r w:rsidRPr="0025250D">
        <w:rPr>
          <w:rFonts w:hint="cs"/>
          <w:rtl/>
        </w:rPr>
        <w:t>ی</w:t>
      </w:r>
      <w:r w:rsidRPr="0025250D">
        <w:rPr>
          <w:rFonts w:hint="eastAsia"/>
          <w:rtl/>
        </w:rPr>
        <w:t>ولفسون</w:t>
      </w:r>
      <w:r w:rsidRPr="0025250D">
        <w:rPr>
          <w:vertAlign w:val="superscript"/>
          <w:rtl/>
        </w:rPr>
        <w:footnoteReference w:id="1284"/>
      </w:r>
      <w:r w:rsidRPr="0025250D">
        <w:rPr>
          <w:rFonts w:hint="cs"/>
          <w:rtl/>
        </w:rPr>
        <w:t xml:space="preserve"> و </w:t>
      </w:r>
      <w:r w:rsidRPr="0025250D">
        <w:rPr>
          <w:rtl/>
        </w:rPr>
        <w:t>مک آف</w:t>
      </w:r>
      <w:r w:rsidRPr="0025250D">
        <w:rPr>
          <w:rFonts w:hint="cs"/>
          <w:rtl/>
        </w:rPr>
        <w:t>ی</w:t>
      </w:r>
      <w:r w:rsidRPr="0025250D">
        <w:rPr>
          <w:vertAlign w:val="superscript"/>
          <w:rtl/>
        </w:rPr>
        <w:footnoteReference w:id="1285"/>
      </w:r>
      <w:r w:rsidRPr="0025250D">
        <w:rPr>
          <w:rFonts w:hint="cs"/>
          <w:rtl/>
        </w:rPr>
        <w:t xml:space="preserve"> در سال 2018 معرفی خوبی برای برخی از نیروهای انسانی و </w:t>
      </w:r>
      <w:r w:rsidR="007A53FD" w:rsidRPr="0025250D">
        <w:rPr>
          <w:rFonts w:hint="cs"/>
          <w:rtl/>
        </w:rPr>
        <w:t>فناوری</w:t>
      </w:r>
      <w:r w:rsidRPr="0025250D">
        <w:rPr>
          <w:rFonts w:hint="cs"/>
          <w:rtl/>
        </w:rPr>
        <w:t>‌های جدید هستند که ارزش ایجاد می‌کنند. پادکست اکوایرد</w:t>
      </w:r>
      <w:r w:rsidRPr="0025250D">
        <w:rPr>
          <w:vertAlign w:val="superscript"/>
          <w:rtl/>
        </w:rPr>
        <w:footnoteReference w:id="1286"/>
      </w:r>
      <w:r w:rsidRPr="0025250D">
        <w:rPr>
          <w:rFonts w:hint="cs"/>
          <w:rtl/>
        </w:rPr>
        <w:t xml:space="preserve">، توسط </w:t>
      </w:r>
      <w:r w:rsidR="00B0171C" w:rsidRPr="0025250D">
        <w:rPr>
          <w:rFonts w:hint="cs"/>
          <w:rtl/>
        </w:rPr>
        <w:t xml:space="preserve"> سرمایه‌دار</w:t>
      </w:r>
      <w:r w:rsidRPr="0025250D">
        <w:rPr>
          <w:rFonts w:hint="cs"/>
          <w:rtl/>
        </w:rPr>
        <w:t xml:space="preserve">ان خطر پذیری مانند </w:t>
      </w:r>
      <w:r w:rsidRPr="0025250D">
        <w:rPr>
          <w:rtl/>
        </w:rPr>
        <w:t>بن گ</w:t>
      </w:r>
      <w:r w:rsidRPr="0025250D">
        <w:rPr>
          <w:rFonts w:hint="cs"/>
          <w:rtl/>
        </w:rPr>
        <w:t>ی</w:t>
      </w:r>
      <w:r w:rsidRPr="0025250D">
        <w:rPr>
          <w:rFonts w:hint="eastAsia"/>
          <w:rtl/>
        </w:rPr>
        <w:t>لبرت</w:t>
      </w:r>
      <w:r w:rsidRPr="0025250D">
        <w:rPr>
          <w:vertAlign w:val="superscript"/>
          <w:rtl/>
        </w:rPr>
        <w:footnoteReference w:id="1287"/>
      </w:r>
      <w:r w:rsidRPr="0025250D">
        <w:rPr>
          <w:rFonts w:hint="cs"/>
          <w:rtl/>
        </w:rPr>
        <w:t xml:space="preserve"> و </w:t>
      </w:r>
      <w:r w:rsidRPr="0025250D">
        <w:rPr>
          <w:rtl/>
        </w:rPr>
        <w:t>د</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rtl/>
        </w:rPr>
        <w:t xml:space="preserve"> روزنتال</w:t>
      </w:r>
      <w:r w:rsidRPr="0025250D">
        <w:rPr>
          <w:vertAlign w:val="superscript"/>
          <w:rtl/>
        </w:rPr>
        <w:footnoteReference w:id="1288"/>
      </w:r>
      <w:r w:rsidRPr="0025250D">
        <w:rPr>
          <w:rFonts w:hint="cs"/>
          <w:rtl/>
        </w:rPr>
        <w:t xml:space="preserve"> برای درک شرکت‌های </w:t>
      </w:r>
      <w:r w:rsidR="007A53FD" w:rsidRPr="0025250D">
        <w:rPr>
          <w:rFonts w:hint="cs"/>
          <w:rtl/>
        </w:rPr>
        <w:t>فناوری</w:t>
      </w:r>
      <w:r w:rsidRPr="0025250D">
        <w:rPr>
          <w:rFonts w:hint="cs"/>
          <w:rtl/>
        </w:rPr>
        <w:t xml:space="preserve"> و عرضه اولیه عمومی</w:t>
      </w:r>
      <w:r w:rsidRPr="0025250D">
        <w:rPr>
          <w:vertAlign w:val="superscript"/>
          <w:rtl/>
        </w:rPr>
        <w:footnoteReference w:id="1289"/>
      </w:r>
      <w:r w:rsidRPr="0025250D">
        <w:rPr>
          <w:rFonts w:hint="cs"/>
          <w:rtl/>
        </w:rPr>
        <w:t xml:space="preserve"> آن‌ها عالی هستند.</w:t>
      </w:r>
    </w:p>
    <w:p w14:paraId="630A5FB1" w14:textId="3D22AD8F" w:rsidR="00537CC8" w:rsidRPr="0025250D" w:rsidRDefault="00537CC8" w:rsidP="00537CC8">
      <w:pPr>
        <w:rPr>
          <w:rtl/>
        </w:rPr>
      </w:pPr>
      <w:r w:rsidRPr="0025250D">
        <w:rPr>
          <w:rFonts w:hint="cs"/>
          <w:rtl/>
        </w:rPr>
        <w:t>در دهه‌های پیش رو، پلتفرم‌های پیش‌نگری جمعی</w:t>
      </w:r>
      <w:r w:rsidRPr="0025250D">
        <w:rPr>
          <w:vertAlign w:val="superscript"/>
          <w:rtl/>
        </w:rPr>
        <w:footnoteReference w:id="1290"/>
      </w:r>
      <w:r w:rsidRPr="0025250D">
        <w:rPr>
          <w:rFonts w:hint="cs"/>
          <w:rtl/>
        </w:rPr>
        <w:t xml:space="preserve"> (مانند پروژه قضاوت خوب</w:t>
      </w:r>
      <w:r w:rsidRPr="0025250D">
        <w:rPr>
          <w:vertAlign w:val="superscript"/>
          <w:rtl/>
        </w:rPr>
        <w:footnoteReference w:id="1291"/>
      </w:r>
      <w:r w:rsidRPr="0025250D">
        <w:rPr>
          <w:rFonts w:hint="cs"/>
          <w:rtl/>
        </w:rPr>
        <w:t>)، پلتفرم‌های رأی گیری بیزی</w:t>
      </w:r>
      <w:r w:rsidRPr="0025250D">
        <w:rPr>
          <w:vertAlign w:val="superscript"/>
          <w:rtl/>
        </w:rPr>
        <w:footnoteReference w:id="1292"/>
      </w:r>
      <w:r w:rsidRPr="0025250D">
        <w:rPr>
          <w:rFonts w:hint="cs"/>
          <w:rtl/>
        </w:rPr>
        <w:t xml:space="preserve"> (کتاب سیگنال و نویز</w:t>
      </w:r>
      <w:r w:rsidRPr="0025250D">
        <w:rPr>
          <w:vertAlign w:val="superscript"/>
          <w:rtl/>
        </w:rPr>
        <w:footnoteReference w:id="1293"/>
      </w:r>
      <w:r w:rsidRPr="0025250D">
        <w:rPr>
          <w:rFonts w:hint="cs"/>
          <w:rtl/>
        </w:rPr>
        <w:t xml:space="preserve"> اثر نیت سیلور</w:t>
      </w:r>
      <w:r w:rsidRPr="0025250D">
        <w:rPr>
          <w:vertAlign w:val="superscript"/>
          <w:rtl/>
        </w:rPr>
        <w:footnoteReference w:id="1294"/>
      </w:r>
      <w:r w:rsidRPr="0025250D">
        <w:rPr>
          <w:rFonts w:hint="cs"/>
          <w:rtl/>
        </w:rPr>
        <w:t xml:space="preserve"> در سال 2012 را ببینید)، پلتفرم‌های تحلیل پیش‌بینی کننده (تجزیه‌وتحلیل پیش‌بینی کننده</w:t>
      </w:r>
      <w:r w:rsidRPr="0025250D">
        <w:rPr>
          <w:vertAlign w:val="superscript"/>
          <w:rtl/>
        </w:rPr>
        <w:footnoteReference w:id="1295"/>
      </w:r>
      <w:r w:rsidRPr="0025250D">
        <w:rPr>
          <w:rFonts w:hint="cs"/>
          <w:rtl/>
        </w:rPr>
        <w:t xml:space="preserve"> اثر </w:t>
      </w:r>
      <w:r w:rsidRPr="0025250D">
        <w:rPr>
          <w:rtl/>
        </w:rPr>
        <w:t>ار</w:t>
      </w:r>
      <w:r w:rsidRPr="0025250D">
        <w:rPr>
          <w:rFonts w:hint="cs"/>
          <w:rtl/>
        </w:rPr>
        <w:t>ی</w:t>
      </w:r>
      <w:r w:rsidRPr="0025250D">
        <w:rPr>
          <w:rFonts w:hint="eastAsia"/>
          <w:rtl/>
        </w:rPr>
        <w:t>ک</w:t>
      </w:r>
      <w:r w:rsidRPr="0025250D">
        <w:rPr>
          <w:rtl/>
        </w:rPr>
        <w:t xml:space="preserve"> س</w:t>
      </w:r>
      <w:r w:rsidRPr="0025250D">
        <w:rPr>
          <w:rFonts w:hint="cs"/>
          <w:rtl/>
        </w:rPr>
        <w:t>ی</w:t>
      </w:r>
      <w:r w:rsidRPr="0025250D">
        <w:rPr>
          <w:rFonts w:hint="eastAsia"/>
          <w:rtl/>
        </w:rPr>
        <w:t>گل</w:t>
      </w:r>
      <w:r w:rsidRPr="0025250D">
        <w:rPr>
          <w:vertAlign w:val="superscript"/>
          <w:rtl/>
        </w:rPr>
        <w:footnoteReference w:id="1296"/>
      </w:r>
      <w:r w:rsidRPr="0025250D">
        <w:rPr>
          <w:rFonts w:hint="cs"/>
          <w:rtl/>
        </w:rPr>
        <w:t xml:space="preserve"> در سال 2012 را ببینید) و دیگر پلتفرم‌های هوش مصنوعی همکاری انسان-ماشین همه ما را متقاعد خواهند کرد که بهره وری فنی </w:t>
      </w:r>
      <w:r w:rsidR="00B124DE" w:rsidRPr="0025250D">
        <w:rPr>
          <w:rFonts w:hint="cs"/>
          <w:rtl/>
        </w:rPr>
        <w:t>شتاب‌دار</w:t>
      </w:r>
      <w:r w:rsidRPr="0025250D">
        <w:rPr>
          <w:rFonts w:hint="cs"/>
          <w:rtl/>
        </w:rPr>
        <w:t xml:space="preserve"> حقیقی است و تقریبا از سال 2010، این امر به مهم‌ترین نیروی ثروت زا در جهان تبدیل شده است. ما معتقدیم که نگهداشتن بخش خوبی از پس‌اندازمان در شرکت‌هایی که به خوبی اداره می‌شوند که دائماً </w:t>
      </w:r>
      <w:r w:rsidR="007A53FD" w:rsidRPr="0025250D">
        <w:rPr>
          <w:rFonts w:hint="cs"/>
          <w:rtl/>
        </w:rPr>
        <w:t>فناوری</w:t>
      </w:r>
      <w:r w:rsidRPr="0025250D">
        <w:rPr>
          <w:rFonts w:hint="cs"/>
          <w:rtl/>
        </w:rPr>
        <w:t xml:space="preserve"> و خدمات خود را، برای ایجاد ارزش بهبود می‌بخشند، بهترین تصمیم مالی واحدی است که یک شهروند معمولی در قرن 21 می‌تواند اتخاذ کند.</w:t>
      </w:r>
    </w:p>
    <w:p w14:paraId="2005E457" w14:textId="4B78483F" w:rsidR="00537CC8" w:rsidRPr="0025250D" w:rsidRDefault="00537CC8" w:rsidP="00537CC8">
      <w:pPr>
        <w:rPr>
          <w:rtl/>
        </w:rPr>
      </w:pPr>
      <w:r w:rsidRPr="0025250D">
        <w:rPr>
          <w:rFonts w:hint="cs"/>
          <w:rtl/>
        </w:rPr>
        <w:t xml:space="preserve">سرمایه‌گذاری </w:t>
      </w:r>
      <w:r w:rsidRPr="0025250D">
        <w:t>D&amp;D</w:t>
      </w:r>
      <w:r w:rsidRPr="0025250D">
        <w:rPr>
          <w:rFonts w:hint="cs"/>
          <w:rtl/>
        </w:rPr>
        <w:t xml:space="preserve"> مطمئنا یک </w:t>
      </w:r>
      <w:r w:rsidR="00701E03" w:rsidRPr="0025250D">
        <w:rPr>
          <w:rFonts w:hint="cs"/>
          <w:rtl/>
        </w:rPr>
        <w:t>راهبرد</w:t>
      </w:r>
      <w:r w:rsidRPr="0025250D">
        <w:rPr>
          <w:rFonts w:hint="cs"/>
          <w:rtl/>
        </w:rPr>
        <w:t xml:space="preserve"> سرمایه‌گذاری سوداگرانه است، بنابراین نباید اکثریت سرمایه‌گذاری ما را تشکیل دهد. به علاوه، هیچ یک از نویسندگان این کتاب راهنما مشاوران سرمایه‌گذاری رسمی نیستند، بنابراین لطفا این پیشنهادات را نزد مشاوران تخصصی خود ببرید تا قبل از انجام هر سرمایه‌گذاری مشاوره دریافت کنید</w:t>
      </w:r>
      <w:r w:rsidR="008D6F97" w:rsidRPr="0025250D">
        <w:rPr>
          <w:rtl/>
        </w:rPr>
        <w:t xml:space="preserve">؛ </w:t>
      </w:r>
      <w:r w:rsidR="0020589F" w:rsidRPr="0025250D">
        <w:rPr>
          <w:rtl/>
        </w:rPr>
        <w:t>اما</w:t>
      </w:r>
      <w:r w:rsidRPr="0025250D">
        <w:rPr>
          <w:rFonts w:hint="cs"/>
          <w:rtl/>
        </w:rPr>
        <w:t xml:space="preserve"> همزمان، درک کنید که توازن کلاسیک دسته‌های دارایی بیان شده در </w:t>
      </w:r>
      <w:r w:rsidR="0044659F" w:rsidRPr="0025250D">
        <w:rPr>
          <w:rFonts w:hint="cs"/>
          <w:rtl/>
        </w:rPr>
        <w:t>پرتفوی</w:t>
      </w:r>
      <w:r w:rsidRPr="0025250D">
        <w:rPr>
          <w:rFonts w:hint="cs"/>
          <w:rtl/>
        </w:rPr>
        <w:t xml:space="preserve"> دائمی به نظر به شکل همیشگی به نفع بازار سهام برای بسیاری از دهه‌های آینده، حتی با تغییر پذیری چرخه‌ای آن در هر دهه، تغییر کرده است. امروزه، تعداد رو به رشدی از سرمایه‌گذاران منفعل 50 درصد از پرتفوی خود را در بازار سهام نگاه می‌دارند</w:t>
      </w:r>
      <w:r w:rsidR="00A2651D" w:rsidRPr="0025250D">
        <w:rPr>
          <w:rFonts w:hint="cs"/>
          <w:rtl/>
        </w:rPr>
        <w:t xml:space="preserve"> (</w:t>
      </w:r>
      <w:r w:rsidRPr="0025250D">
        <w:rPr>
          <w:rFonts w:hint="cs"/>
          <w:rtl/>
        </w:rPr>
        <w:t>معمولا در وجوه</w:t>
      </w:r>
      <w:r w:rsidRPr="0025250D">
        <w:rPr>
          <w:rtl/>
        </w:rPr>
        <w:t xml:space="preserve"> </w:t>
      </w:r>
      <w:r w:rsidRPr="0025250D">
        <w:rPr>
          <w:rFonts w:hint="cs"/>
          <w:rtl/>
        </w:rPr>
        <w:t>قابل</w:t>
      </w:r>
      <w:r w:rsidRPr="0025250D">
        <w:rPr>
          <w:rtl/>
        </w:rPr>
        <w:t xml:space="preserve"> </w:t>
      </w:r>
      <w:r w:rsidRPr="0025250D">
        <w:rPr>
          <w:rFonts w:hint="cs"/>
          <w:rtl/>
        </w:rPr>
        <w:t>معامله</w:t>
      </w:r>
      <w:r w:rsidRPr="0025250D">
        <w:rPr>
          <w:rtl/>
        </w:rPr>
        <w:t xml:space="preserve"> </w:t>
      </w:r>
      <w:r w:rsidRPr="0025250D">
        <w:rPr>
          <w:rFonts w:hint="cs"/>
          <w:rtl/>
        </w:rPr>
        <w:t>در</w:t>
      </w:r>
      <w:r w:rsidRPr="0025250D">
        <w:rPr>
          <w:rtl/>
        </w:rPr>
        <w:t xml:space="preserve"> </w:t>
      </w:r>
      <w:r w:rsidRPr="0025250D">
        <w:rPr>
          <w:rFonts w:hint="cs"/>
          <w:rtl/>
        </w:rPr>
        <w:t>بورس، 20 درصد در اوراق قرضه، 10 درصد وجه نقد و 20 درصد در دیگر دسته‌های دارایی</w:t>
      </w:r>
      <w:r w:rsidR="00A2651D" w:rsidRPr="0025250D">
        <w:rPr>
          <w:rFonts w:hint="cs"/>
          <w:rtl/>
        </w:rPr>
        <w:t>)</w:t>
      </w:r>
      <w:r w:rsidRPr="0025250D">
        <w:rPr>
          <w:rFonts w:hint="cs"/>
          <w:rtl/>
        </w:rPr>
        <w:t>. شما باید ترکیبی را که بیشترین تناسب را با دیدگاهتان از آینده بلندمدت دارد انتخاب کنید.</w:t>
      </w:r>
    </w:p>
    <w:p w14:paraId="1D15ABAF" w14:textId="34EE1C66" w:rsidR="00537CC8" w:rsidRPr="0025250D" w:rsidRDefault="00537CC8" w:rsidP="00537CC8">
      <w:pPr>
        <w:rPr>
          <w:rtl/>
        </w:rPr>
      </w:pPr>
      <w:r w:rsidRPr="0025250D">
        <w:rPr>
          <w:rFonts w:hint="cs"/>
          <w:rtl/>
        </w:rPr>
        <w:t xml:space="preserve">چه </w:t>
      </w:r>
      <w:r w:rsidR="00F662B0" w:rsidRPr="0025250D">
        <w:rPr>
          <w:rFonts w:hint="cs"/>
          <w:rtl/>
        </w:rPr>
        <w:t>گمانه‌زنی</w:t>
      </w:r>
      <w:r w:rsidRPr="0025250D">
        <w:rPr>
          <w:rFonts w:hint="cs"/>
          <w:rtl/>
        </w:rPr>
        <w:t xml:space="preserve">‌ها و سرمایه‌گذاری‌های میان‌مدت مان (برای یک فصل بعد تا چهار سال بعد) نتیجه بخش باشند یا خیر، انجام اندکی سرمایه‌گذاری سوداگرانه به شکلی ادامه دار به ما برای درک، یادگیری و احتمالا بهره بردن از تغییرات در حال روی داد قابل پیش‌بینی </w:t>
      </w:r>
      <w:r w:rsidR="00B124DE" w:rsidRPr="0025250D">
        <w:rPr>
          <w:rFonts w:hint="cs"/>
          <w:rtl/>
        </w:rPr>
        <w:t>کسب‌و‌کار</w:t>
      </w:r>
      <w:r w:rsidRPr="0025250D">
        <w:rPr>
          <w:rFonts w:hint="cs"/>
          <w:rtl/>
        </w:rPr>
        <w:t xml:space="preserve"> در جهان انگیزه خواهد داد. سرمایه‌گذاران فعال، چه به صورت تمام وقت (معامله گران) و چه به صورت پاره وقت (بیش‌تر ما)، با کسب اطلاعات و یادگیری بهتر از بازار (دانستن این که چه رخ خواهد داد) در حوزه‌های مورد علاقه خود، چابکی </w:t>
      </w:r>
      <w:r w:rsidR="00701E03" w:rsidRPr="0025250D">
        <w:rPr>
          <w:rFonts w:hint="cs"/>
          <w:rtl/>
        </w:rPr>
        <w:t>راهبردی</w:t>
      </w:r>
      <w:r w:rsidRPr="0025250D">
        <w:rPr>
          <w:rFonts w:hint="cs"/>
          <w:rtl/>
        </w:rPr>
        <w:t xml:space="preserve"> بهتر (توانایی اجرای سریع‌تر از سرمایه‌گذاران معمول)، مدیریت ریسک خوب (</w:t>
      </w:r>
      <w:r w:rsidR="00701E03" w:rsidRPr="0025250D">
        <w:rPr>
          <w:rFonts w:hint="cs"/>
          <w:rtl/>
        </w:rPr>
        <w:t>راهبرد</w:t>
      </w:r>
      <w:r w:rsidRPr="0025250D">
        <w:rPr>
          <w:rtl/>
        </w:rPr>
        <w:t xml:space="preserve">‌های </w:t>
      </w:r>
      <w:r w:rsidRPr="0025250D">
        <w:rPr>
          <w:rFonts w:hint="cs"/>
          <w:rtl/>
        </w:rPr>
        <w:t>پوشش</w:t>
      </w:r>
      <w:r w:rsidRPr="0025250D">
        <w:rPr>
          <w:rtl/>
        </w:rPr>
        <w:t xml:space="preserve"> </w:t>
      </w:r>
      <w:r w:rsidRPr="0025250D">
        <w:rPr>
          <w:rFonts w:hint="cs"/>
          <w:rtl/>
        </w:rPr>
        <w:t xml:space="preserve">ریسک) و اغلب، مهارت پیش‌انگاری بهتر از معمول و توانایی‌های پیش‌نگری سود می‌کنند. این‌ها همگی مهارت‌هایی مفید برای یک متخصص </w:t>
      </w:r>
      <w:r w:rsidRPr="0025250D">
        <w:rPr>
          <w:rtl/>
        </w:rPr>
        <w:t>آینده‌نگاری</w:t>
      </w:r>
      <w:r w:rsidRPr="0025250D">
        <w:rPr>
          <w:rFonts w:hint="cs"/>
          <w:rtl/>
        </w:rPr>
        <w:t>، به طورکلی هستند.</w:t>
      </w:r>
    </w:p>
    <w:p w14:paraId="63681663" w14:textId="78C1CD8C" w:rsidR="00537CC8" w:rsidRPr="0025250D" w:rsidRDefault="00537CC8" w:rsidP="00537CC8">
      <w:pPr>
        <w:rPr>
          <w:rtl/>
        </w:rPr>
      </w:pPr>
      <w:r w:rsidRPr="0025250D">
        <w:rPr>
          <w:rFonts w:hint="cs"/>
          <w:rtl/>
        </w:rPr>
        <w:t xml:space="preserve">کتاب گلوله برفی: </w:t>
      </w:r>
      <w:r w:rsidRPr="0025250D">
        <w:rPr>
          <w:rtl/>
        </w:rPr>
        <w:t>وارن بافت</w:t>
      </w:r>
      <w:r w:rsidRPr="0025250D">
        <w:rPr>
          <w:vertAlign w:val="superscript"/>
          <w:rtl/>
        </w:rPr>
        <w:footnoteReference w:id="1297"/>
      </w:r>
      <w:r w:rsidRPr="0025250D">
        <w:rPr>
          <w:rFonts w:hint="cs"/>
          <w:rtl/>
        </w:rPr>
        <w:t xml:space="preserve"> و </w:t>
      </w:r>
      <w:r w:rsidR="00B124DE" w:rsidRPr="0025250D">
        <w:rPr>
          <w:rFonts w:hint="cs"/>
          <w:rtl/>
        </w:rPr>
        <w:t>کسب‌و‌کار</w:t>
      </w:r>
      <w:r w:rsidRPr="0025250D">
        <w:rPr>
          <w:rFonts w:hint="cs"/>
          <w:rtl/>
        </w:rPr>
        <w:t xml:space="preserve"> زندگی</w:t>
      </w:r>
      <w:r w:rsidRPr="0025250D">
        <w:rPr>
          <w:vertAlign w:val="superscript"/>
          <w:rtl/>
        </w:rPr>
        <w:footnoteReference w:id="1298"/>
      </w:r>
      <w:r w:rsidRPr="0025250D">
        <w:rPr>
          <w:rFonts w:hint="cs"/>
          <w:rtl/>
        </w:rPr>
        <w:t xml:space="preserve"> اثر </w:t>
      </w:r>
      <w:r w:rsidRPr="0025250D">
        <w:rPr>
          <w:rtl/>
        </w:rPr>
        <w:t>آل</w:t>
      </w:r>
      <w:r w:rsidRPr="0025250D">
        <w:rPr>
          <w:rFonts w:hint="cs"/>
          <w:rtl/>
        </w:rPr>
        <w:t>ی</w:t>
      </w:r>
      <w:r w:rsidRPr="0025250D">
        <w:rPr>
          <w:rFonts w:hint="eastAsia"/>
          <w:rtl/>
        </w:rPr>
        <w:t>س</w:t>
      </w:r>
      <w:r w:rsidRPr="0025250D">
        <w:rPr>
          <w:rtl/>
        </w:rPr>
        <w:t xml:space="preserve"> شرودر</w:t>
      </w:r>
      <w:r w:rsidRPr="0025250D">
        <w:rPr>
          <w:vertAlign w:val="superscript"/>
          <w:rtl/>
        </w:rPr>
        <w:footnoteReference w:id="1299"/>
      </w:r>
      <w:r w:rsidRPr="0025250D">
        <w:rPr>
          <w:rFonts w:hint="cs"/>
          <w:rtl/>
        </w:rPr>
        <w:t xml:space="preserve"> در سال 2009 معرفی خوبی در مورد یک شرکت هلدینگ قابل سرمایه‌گذاری</w:t>
      </w:r>
      <w:r w:rsidR="00A2651D" w:rsidRPr="0025250D">
        <w:rPr>
          <w:rFonts w:hint="cs"/>
          <w:rtl/>
        </w:rPr>
        <w:t xml:space="preserve"> با عنوان</w:t>
      </w:r>
      <w:r w:rsidRPr="0025250D">
        <w:rPr>
          <w:rFonts w:hint="cs"/>
          <w:rtl/>
        </w:rPr>
        <w:t xml:space="preserve"> </w:t>
      </w:r>
      <w:r w:rsidRPr="0025250D">
        <w:rPr>
          <w:rtl/>
        </w:rPr>
        <w:t>برکشا</w:t>
      </w:r>
      <w:r w:rsidRPr="0025250D">
        <w:rPr>
          <w:rFonts w:hint="cs"/>
          <w:rtl/>
        </w:rPr>
        <w:t>ی</w:t>
      </w:r>
      <w:r w:rsidRPr="0025250D">
        <w:rPr>
          <w:rFonts w:hint="eastAsia"/>
          <w:rtl/>
        </w:rPr>
        <w:t>ر</w:t>
      </w:r>
      <w:r w:rsidRPr="0025250D">
        <w:rPr>
          <w:rtl/>
        </w:rPr>
        <w:t xml:space="preserve"> هاتاو</w:t>
      </w:r>
      <w:r w:rsidRPr="0025250D">
        <w:rPr>
          <w:rFonts w:hint="cs"/>
          <w:rtl/>
        </w:rPr>
        <w:t>ی</w:t>
      </w:r>
      <w:r w:rsidRPr="0025250D">
        <w:rPr>
          <w:vertAlign w:val="superscript"/>
          <w:rtl/>
        </w:rPr>
        <w:footnoteReference w:id="1300"/>
      </w:r>
      <w:r w:rsidRPr="0025250D">
        <w:rPr>
          <w:rFonts w:hint="cs"/>
          <w:rtl/>
        </w:rPr>
        <w:t xml:space="preserve"> است که به شدت به مدت پنجاه سال بازگشت سرمایه بهتری نسبت به میانگین بازار داشته است. آن‌ها اکنون دهمین شرکت ارزشمند در جهان هستند. موارد متعددی مانند این موفقیت‌ها برای مطالعه و تقلید وجود دارند. در پیش‌نگری، موفق‌ترین سهامداران از پند </w:t>
      </w:r>
      <w:r w:rsidRPr="0025250D">
        <w:rPr>
          <w:rtl/>
        </w:rPr>
        <w:t>اسکات آرمسترانگ</w:t>
      </w:r>
      <w:r w:rsidRPr="0025250D">
        <w:rPr>
          <w:vertAlign w:val="superscript"/>
          <w:rtl/>
        </w:rPr>
        <w:footnoteReference w:id="1301"/>
      </w:r>
      <w:r w:rsidRPr="0025250D">
        <w:rPr>
          <w:rFonts w:hint="cs"/>
          <w:rtl/>
        </w:rPr>
        <w:t xml:space="preserve"> استفاده می‌کنند که بیان می‌کند که یک پیش‌نگری خوب باید محافظه کارانه باشد. بسیاری از سرمایه‌گذاری‌های خوب همچنین خلاف گرا</w:t>
      </w:r>
      <w:r w:rsidRPr="0025250D">
        <w:rPr>
          <w:vertAlign w:val="superscript"/>
          <w:rtl/>
        </w:rPr>
        <w:footnoteReference w:id="1302"/>
      </w:r>
      <w:r w:rsidRPr="0025250D">
        <w:rPr>
          <w:rFonts w:hint="cs"/>
          <w:rtl/>
        </w:rPr>
        <w:t xml:space="preserve"> هستند </w:t>
      </w:r>
      <w:r w:rsidRPr="0025250D">
        <w:rPr>
          <w:rFonts w:cs="Times New Roman" w:hint="cs"/>
          <w:rtl/>
        </w:rPr>
        <w:t>–</w:t>
      </w:r>
      <w:r w:rsidRPr="0025250D">
        <w:rPr>
          <w:rFonts w:hint="cs"/>
          <w:rtl/>
        </w:rPr>
        <w:t xml:space="preserve"> یاد می‌گیریم که چه زمانی اکثریت به صورت احمقانه عمل می‌کنند و چه زمانی می‌توان بر خلاف آن‌ها رفتار کرد. در بسیاری موارد ممکن است آینده را ندانیم، اما می‌توانیم ساده‌تر بفهمیم که چه زمانی دیگران با ریسک بیشتری عمل کرده و بر روی موارد غیر محتمل شرط می‌بندند. بسیاری از جنبه‌های یک صنعت یا شرکت غیر قابل پیش‌بینی هستند، اما بسیاری از جنبه‌های روانشناسی انسان به شکل گسترده قابل پیش‌بینی می‌باشند.</w:t>
      </w:r>
    </w:p>
    <w:p w14:paraId="2B2FCE8D" w14:textId="3DF7745D" w:rsidR="00537CC8" w:rsidRPr="0025250D" w:rsidRDefault="00537CC8" w:rsidP="00537CC8">
      <w:pPr>
        <w:rPr>
          <w:rtl/>
        </w:rPr>
      </w:pPr>
      <w:r w:rsidRPr="0025250D">
        <w:rPr>
          <w:rFonts w:hint="cs"/>
          <w:rtl/>
        </w:rPr>
        <w:t xml:space="preserve"> </w:t>
      </w:r>
      <w:r w:rsidR="007118DE" w:rsidRPr="0025250D">
        <w:rPr>
          <w:rFonts w:hint="cs"/>
          <w:rtl/>
        </w:rPr>
        <w:t>همان‌طور</w:t>
      </w:r>
      <w:r w:rsidRPr="0025250D">
        <w:rPr>
          <w:rFonts w:hint="cs"/>
          <w:rtl/>
        </w:rPr>
        <w:t xml:space="preserve"> که </w:t>
      </w:r>
      <w:r w:rsidRPr="0025250D">
        <w:rPr>
          <w:rtl/>
        </w:rPr>
        <w:t>ج</w:t>
      </w:r>
      <w:r w:rsidRPr="0025250D">
        <w:rPr>
          <w:rFonts w:hint="cs"/>
          <w:rtl/>
        </w:rPr>
        <w:t>ی</w:t>
      </w:r>
      <w:r w:rsidRPr="0025250D">
        <w:rPr>
          <w:rFonts w:hint="eastAsia"/>
          <w:rtl/>
        </w:rPr>
        <w:t>مز</w:t>
      </w:r>
      <w:r w:rsidRPr="0025250D">
        <w:rPr>
          <w:rtl/>
        </w:rPr>
        <w:t xml:space="preserve"> ل</w:t>
      </w:r>
      <w:r w:rsidRPr="0025250D">
        <w:rPr>
          <w:rFonts w:hint="cs"/>
          <w:rtl/>
        </w:rPr>
        <w:t>ی</w:t>
      </w:r>
      <w:r w:rsidRPr="0025250D">
        <w:rPr>
          <w:vertAlign w:val="superscript"/>
          <w:rtl/>
        </w:rPr>
        <w:footnoteReference w:id="1303"/>
      </w:r>
      <w:r w:rsidRPr="0025250D">
        <w:rPr>
          <w:rFonts w:hint="cs"/>
          <w:rtl/>
        </w:rPr>
        <w:t xml:space="preserve">، </w:t>
      </w:r>
      <w:r w:rsidR="00D92F6E" w:rsidRPr="0025250D">
        <w:rPr>
          <w:rFonts w:hint="cs"/>
          <w:rtl/>
        </w:rPr>
        <w:t>آینده‌پژوه</w:t>
      </w:r>
      <w:r w:rsidRPr="0025250D">
        <w:rPr>
          <w:rFonts w:hint="cs"/>
          <w:rtl/>
        </w:rPr>
        <w:t xml:space="preserve"> و مشاور سرمایه‌گذاری رسمی در استارت اف‌آی</w:t>
      </w:r>
      <w:r w:rsidRPr="0025250D">
        <w:rPr>
          <w:vertAlign w:val="superscript"/>
          <w:rtl/>
        </w:rPr>
        <w:footnoteReference w:id="1304"/>
      </w:r>
      <w:r w:rsidRPr="0025250D">
        <w:rPr>
          <w:rFonts w:hint="cs"/>
          <w:rtl/>
        </w:rPr>
        <w:t xml:space="preserve"> به ما یادآوری می‌کند، بودن در میان اولین گروهی که همگرایی روندها و توسعه‌های کلیدی را می‌بینند یک راه دیگر پیش‌انگاری است که می‌تواند به ما کمک کند. با درک روند‌های سخت مرتبط و </w:t>
      </w:r>
      <w:r w:rsidR="0063099E" w:rsidRPr="0025250D">
        <w:rPr>
          <w:rtl/>
        </w:rPr>
        <w:t>«</w:t>
      </w:r>
      <w:r w:rsidRPr="0025250D">
        <w:rPr>
          <w:rFonts w:hint="cs"/>
          <w:rtl/>
        </w:rPr>
        <w:t>آغاز با قطعیت</w:t>
      </w:r>
      <w:r w:rsidR="0063099E" w:rsidRPr="0025250D">
        <w:rPr>
          <w:rtl/>
        </w:rPr>
        <w:t>»</w:t>
      </w:r>
      <w:r w:rsidRPr="0025250D">
        <w:rPr>
          <w:rFonts w:hint="cs"/>
          <w:rtl/>
        </w:rPr>
        <w:t xml:space="preserve"> </w:t>
      </w:r>
      <w:r w:rsidR="007118DE" w:rsidRPr="0025250D">
        <w:rPr>
          <w:rFonts w:hint="cs"/>
          <w:rtl/>
        </w:rPr>
        <w:t>همان‌طور</w:t>
      </w:r>
      <w:r w:rsidRPr="0025250D">
        <w:rPr>
          <w:rFonts w:hint="cs"/>
          <w:rtl/>
        </w:rPr>
        <w:t xml:space="preserve"> که </w:t>
      </w:r>
      <w:r w:rsidR="00D92F6E" w:rsidRPr="0025250D">
        <w:rPr>
          <w:rFonts w:hint="cs"/>
          <w:rtl/>
        </w:rPr>
        <w:t>آینده‌پژوه</w:t>
      </w:r>
      <w:r w:rsidRPr="0025250D">
        <w:rPr>
          <w:rFonts w:hint="cs"/>
          <w:rtl/>
        </w:rPr>
        <w:t xml:space="preserve"> </w:t>
      </w:r>
      <w:r w:rsidRPr="0025250D">
        <w:rPr>
          <w:rtl/>
        </w:rPr>
        <w:t>دان</w:t>
      </w:r>
      <w:r w:rsidRPr="0025250D">
        <w:rPr>
          <w:rFonts w:hint="cs"/>
          <w:rtl/>
        </w:rPr>
        <w:t>ی</w:t>
      </w:r>
      <w:r w:rsidRPr="0025250D">
        <w:rPr>
          <w:rFonts w:hint="eastAsia"/>
          <w:rtl/>
        </w:rPr>
        <w:t>ل</w:t>
      </w:r>
      <w:r w:rsidRPr="0025250D">
        <w:rPr>
          <w:rtl/>
        </w:rPr>
        <w:t xml:space="preserve"> بوروس</w:t>
      </w:r>
      <w:r w:rsidRPr="0025250D">
        <w:rPr>
          <w:vertAlign w:val="superscript"/>
          <w:rtl/>
        </w:rPr>
        <w:footnoteReference w:id="1305"/>
      </w:r>
      <w:r w:rsidRPr="0025250D">
        <w:rPr>
          <w:rFonts w:hint="cs"/>
          <w:rtl/>
        </w:rPr>
        <w:t xml:space="preserve"> پیشنهاد می‌کند، حتی سرمایه‌گذار پاره وقت فعال می‌تواند به شکل متناوبی مزایای تغییرات بزرگ بازار را یافته و از آن‌ها بهره مند شود؛ مثلا در زمانی که یک شرکت نسبتا ناشناخته به اولین شرکت پیشتاز در یک دسته اجتناب ناپذیر </w:t>
      </w:r>
      <w:r w:rsidR="00B124DE" w:rsidRPr="0025250D">
        <w:rPr>
          <w:rFonts w:hint="cs"/>
          <w:rtl/>
        </w:rPr>
        <w:t>کسب‌و‌کار</w:t>
      </w:r>
      <w:r w:rsidRPr="0025250D">
        <w:rPr>
          <w:rFonts w:hint="cs"/>
          <w:rtl/>
        </w:rPr>
        <w:t xml:space="preserve"> تبدیل می‌شود. مثال‌های تاریخی شامل </w:t>
      </w:r>
      <w:r w:rsidRPr="0025250D">
        <w:t>Wise.io</w:t>
      </w:r>
      <w:r w:rsidRPr="0025250D">
        <w:rPr>
          <w:rFonts w:hint="cs"/>
          <w:rtl/>
        </w:rPr>
        <w:t xml:space="preserve"> با نوآوری در یادگیری ماشین به عنوان خدمت، </w:t>
      </w:r>
      <w:r w:rsidRPr="0025250D">
        <w:rPr>
          <w:rtl/>
        </w:rPr>
        <w:t>نت ب</w:t>
      </w:r>
      <w:r w:rsidRPr="0025250D">
        <w:rPr>
          <w:rFonts w:hint="cs"/>
          <w:rtl/>
        </w:rPr>
        <w:t>ی</w:t>
      </w:r>
      <w:r w:rsidRPr="0025250D">
        <w:rPr>
          <w:rFonts w:hint="eastAsia"/>
          <w:rtl/>
        </w:rPr>
        <w:t>س</w:t>
      </w:r>
      <w:r w:rsidRPr="0025250D">
        <w:rPr>
          <w:vertAlign w:val="superscript"/>
          <w:rtl/>
        </w:rPr>
        <w:footnoteReference w:id="1306"/>
      </w:r>
      <w:r w:rsidRPr="0025250D">
        <w:rPr>
          <w:rFonts w:hint="cs"/>
          <w:rtl/>
        </w:rPr>
        <w:t xml:space="preserve"> با اختراع تحلیل بازاریابی رسانه‌های اجتماعی، </w:t>
      </w:r>
      <w:r w:rsidRPr="0025250D">
        <w:rPr>
          <w:rtl/>
        </w:rPr>
        <w:t>پ</w:t>
      </w:r>
      <w:r w:rsidRPr="0025250D">
        <w:rPr>
          <w:rFonts w:hint="cs"/>
          <w:rtl/>
        </w:rPr>
        <w:t>یک</w:t>
      </w:r>
      <w:r w:rsidRPr="0025250D">
        <w:rPr>
          <w:rFonts w:hint="eastAsia"/>
          <w:rtl/>
        </w:rPr>
        <w:t>ورا</w:t>
      </w:r>
      <w:r w:rsidRPr="0025250D">
        <w:rPr>
          <w:vertAlign w:val="superscript"/>
          <w:rtl/>
        </w:rPr>
        <w:footnoteReference w:id="1307"/>
      </w:r>
      <w:r w:rsidRPr="0025250D">
        <w:rPr>
          <w:rFonts w:hint="cs"/>
          <w:rtl/>
        </w:rPr>
        <w:t xml:space="preserve"> با آغاز تحلیل بصری و بسیاری از موارد دیگر می‌شوند.</w:t>
      </w:r>
    </w:p>
    <w:p w14:paraId="6413B0FE" w14:textId="3408D2BD" w:rsidR="00537CC8" w:rsidRPr="0025250D" w:rsidRDefault="00537CC8" w:rsidP="00537CC8">
      <w:pPr>
        <w:rPr>
          <w:rtl/>
        </w:rPr>
      </w:pPr>
      <w:r w:rsidRPr="0025250D">
        <w:rPr>
          <w:rFonts w:hint="cs"/>
          <w:rtl/>
        </w:rPr>
        <w:t xml:space="preserve">بسیاری از روند‌ها و توسعه‌های مستقل و همگرا در کنار هم سبب شدند </w:t>
      </w:r>
      <w:r w:rsidRPr="0025250D">
        <w:rPr>
          <w:rtl/>
        </w:rPr>
        <w:t>آمازون</w:t>
      </w:r>
      <w:r w:rsidRPr="0025250D">
        <w:rPr>
          <w:rFonts w:hint="cs"/>
          <w:rtl/>
        </w:rPr>
        <w:t xml:space="preserve"> اولین شرکت برجسته در خرید آنلاین، </w:t>
      </w:r>
      <w:r w:rsidRPr="0025250D">
        <w:rPr>
          <w:rtl/>
        </w:rPr>
        <w:t>آ</w:t>
      </w:r>
      <w:r w:rsidRPr="0025250D">
        <w:rPr>
          <w:rFonts w:hint="cs"/>
          <w:rtl/>
        </w:rPr>
        <w:t>ی</w:t>
      </w:r>
      <w:r w:rsidRPr="0025250D">
        <w:rPr>
          <w:rFonts w:hint="eastAsia"/>
          <w:rtl/>
        </w:rPr>
        <w:t>فون</w:t>
      </w:r>
      <w:r w:rsidRPr="0025250D">
        <w:rPr>
          <w:rFonts w:hint="cs"/>
          <w:rtl/>
        </w:rPr>
        <w:t xml:space="preserve"> شرکت اپل اولین گوشی هوشمند برجسته، </w:t>
      </w:r>
      <w:r w:rsidRPr="0025250D">
        <w:rPr>
          <w:rtl/>
        </w:rPr>
        <w:t>نتفل</w:t>
      </w:r>
      <w:r w:rsidRPr="0025250D">
        <w:rPr>
          <w:rFonts w:hint="cs"/>
          <w:rtl/>
        </w:rPr>
        <w:t>ی</w:t>
      </w:r>
      <w:r w:rsidRPr="0025250D">
        <w:rPr>
          <w:rFonts w:hint="eastAsia"/>
          <w:rtl/>
        </w:rPr>
        <w:t>کس</w:t>
      </w:r>
      <w:r w:rsidRPr="0025250D">
        <w:rPr>
          <w:rFonts w:hint="cs"/>
          <w:rtl/>
        </w:rPr>
        <w:t xml:space="preserve"> اولین شرکت برجسته در پخش آنلاین ویدئو و </w:t>
      </w:r>
      <w:r w:rsidRPr="0025250D">
        <w:rPr>
          <w:rtl/>
        </w:rPr>
        <w:t>ب</w:t>
      </w:r>
      <w:r w:rsidRPr="0025250D">
        <w:rPr>
          <w:rFonts w:hint="cs"/>
          <w:rtl/>
        </w:rPr>
        <w:t>ی</w:t>
      </w:r>
      <w:r w:rsidRPr="0025250D">
        <w:rPr>
          <w:rFonts w:hint="eastAsia"/>
          <w:rtl/>
        </w:rPr>
        <w:t>ت</w:t>
      </w:r>
      <w:r w:rsidRPr="0025250D">
        <w:rPr>
          <w:rtl/>
        </w:rPr>
        <w:t xml:space="preserve"> کو</w:t>
      </w:r>
      <w:r w:rsidRPr="0025250D">
        <w:rPr>
          <w:rFonts w:hint="cs"/>
          <w:rtl/>
        </w:rPr>
        <w:t>ی</w:t>
      </w:r>
      <w:r w:rsidRPr="0025250D">
        <w:rPr>
          <w:rFonts w:hint="eastAsia"/>
          <w:rtl/>
        </w:rPr>
        <w:t>ن</w:t>
      </w:r>
      <w:r w:rsidRPr="0025250D">
        <w:rPr>
          <w:rFonts w:hint="cs"/>
          <w:rtl/>
        </w:rPr>
        <w:t xml:space="preserve"> یک ذخیره ارزشی دیجیتال عمومی مفید (با این حال کاملا محدود) شود. با نگاه به جلو، شاهد وقوع همگرایی‌های متعدد دیگری (خدمات مبتنی بر مکان، نمونه سازی سریع </w:t>
      </w:r>
      <w:r w:rsidRPr="0025250D">
        <w:t>B2B</w:t>
      </w:r>
      <w:r w:rsidRPr="0025250D">
        <w:rPr>
          <w:rFonts w:hint="cs"/>
          <w:rtl/>
        </w:rPr>
        <w:t xml:space="preserve">، ماهواره‌های مینیاتوری، تاکسی‌های هوایی </w:t>
      </w:r>
      <w:r w:rsidRPr="0025250D">
        <w:t>eVTOL</w:t>
      </w:r>
      <w:r w:rsidRPr="0025250D">
        <w:rPr>
          <w:rFonts w:hint="cs"/>
          <w:rtl/>
        </w:rPr>
        <w:t xml:space="preserve"> و غیره) خواهیم بود. بودن در بین اولین کسانی که هر همگرایی دارای احتمال بالا را می‌بینند و یافتن شرکت‌های برجسته فعلی، می‌تواند به شدت سود آور باشد.</w:t>
      </w:r>
    </w:p>
    <w:p w14:paraId="6279DBD6" w14:textId="267B692D" w:rsidR="00537CC8" w:rsidRPr="0025250D" w:rsidRDefault="00865FC8" w:rsidP="00537CC8">
      <w:pPr>
        <w:rPr>
          <w:rtl/>
        </w:rPr>
      </w:pPr>
      <w:r w:rsidRPr="0025250D">
        <w:rPr>
          <w:rFonts w:hint="cs"/>
          <w:rtl/>
        </w:rPr>
        <w:t>لی</w:t>
      </w:r>
      <w:r w:rsidR="00537CC8" w:rsidRPr="0025250D">
        <w:rPr>
          <w:rFonts w:hint="cs"/>
          <w:rtl/>
        </w:rPr>
        <w:t xml:space="preserve"> چهار سؤال را برای راهنمایی ما در زمان سرمایه‌گذاری پیشنهاد می‌کند:</w:t>
      </w:r>
    </w:p>
    <w:p w14:paraId="77F3793B" w14:textId="77777777" w:rsidR="00537CC8" w:rsidRPr="0025250D" w:rsidRDefault="00537CC8" w:rsidP="00537CC8">
      <w:pPr>
        <w:rPr>
          <w:rtl/>
        </w:rPr>
      </w:pPr>
      <w:r w:rsidRPr="0025250D">
        <w:rPr>
          <w:rFonts w:hint="cs"/>
          <w:rtl/>
        </w:rPr>
        <w:t xml:space="preserve"> 1. چه چیزی؟ کدام بخش‌های صنعت، خدمات، محصولات یا دسته‌های دارایی برای ایجاد ارزش واضح آماده می‌شوند؟</w:t>
      </w:r>
    </w:p>
    <w:p w14:paraId="527EBA21" w14:textId="77777777" w:rsidR="00537CC8" w:rsidRPr="0025250D" w:rsidRDefault="00537CC8" w:rsidP="00537CC8">
      <w:pPr>
        <w:rPr>
          <w:rtl/>
        </w:rPr>
      </w:pPr>
      <w:r w:rsidRPr="0025250D">
        <w:rPr>
          <w:rFonts w:hint="cs"/>
          <w:rtl/>
        </w:rPr>
        <w:t>2. چگونه؟ کدام شرکت‌ها، دارایی‌ها یا ابزارها می‌توانند به بهترین شکل به ما امکان دهند تا در این ارزش پدیدار شونده مشارکت داشته باشیم؟</w:t>
      </w:r>
    </w:p>
    <w:p w14:paraId="62B75AD4" w14:textId="55D26C37" w:rsidR="00537CC8" w:rsidRPr="0025250D" w:rsidRDefault="00537CC8" w:rsidP="00BD658B">
      <w:pPr>
        <w:rPr>
          <w:rtl/>
        </w:rPr>
      </w:pPr>
      <w:r w:rsidRPr="0025250D">
        <w:rPr>
          <w:rFonts w:hint="cs"/>
          <w:rtl/>
        </w:rPr>
        <w:t xml:space="preserve">3. چه زمان؟ باید چه زمانی با توجه به چرخه‌های بازار، رسانه و </w:t>
      </w:r>
      <w:r w:rsidR="00BD658B" w:rsidRPr="0025250D">
        <w:rPr>
          <w:rFonts w:hint="cs"/>
          <w:rtl/>
        </w:rPr>
        <w:t>حس‌دادی</w:t>
      </w:r>
      <w:r w:rsidRPr="0025250D">
        <w:rPr>
          <w:rFonts w:hint="cs"/>
          <w:rtl/>
        </w:rPr>
        <w:t xml:space="preserve"> وارد یک سرمایه‌گذاری شویم یا از آن خارج شویم؟</w:t>
      </w:r>
    </w:p>
    <w:p w14:paraId="2F2464DD" w14:textId="77777777" w:rsidR="00537CC8" w:rsidRPr="0025250D" w:rsidRDefault="00537CC8" w:rsidP="00537CC8">
      <w:pPr>
        <w:rPr>
          <w:rtl/>
        </w:rPr>
      </w:pPr>
      <w:r w:rsidRPr="0025250D">
        <w:rPr>
          <w:rFonts w:hint="cs"/>
          <w:rtl/>
        </w:rPr>
        <w:t>4. چرا؟ چرا سرمایه‌گذاری می‌کنیم و ریسک قابل قبول و موفقیت مالی برای ما، در یک سطح فردی چه میزان است؟</w:t>
      </w:r>
    </w:p>
    <w:p w14:paraId="223E30B4" w14:textId="3A94C4B6" w:rsidR="00537CC8" w:rsidRPr="0025250D" w:rsidRDefault="00537CC8" w:rsidP="00537CC8">
      <w:pPr>
        <w:rPr>
          <w:rtl/>
        </w:rPr>
      </w:pPr>
      <w:r w:rsidRPr="0025250D">
        <w:rPr>
          <w:rFonts w:hint="cs"/>
          <w:rtl/>
        </w:rPr>
        <w:t xml:space="preserve">برای موفقیت در سرمایه‌گذاری سوداگرانه، مانند بیش‌تر موارد در زندگی، نیازی به بهترین بودن نداریم، بلکه تنها باید از اکثر افراد دیگر بهتر باشیم </w:t>
      </w:r>
      <w:r w:rsidRPr="0025250D">
        <w:rPr>
          <w:rFonts w:cs="Times New Roman" w:hint="cs"/>
          <w:rtl/>
        </w:rPr>
        <w:t>–</w:t>
      </w:r>
      <w:r w:rsidRPr="0025250D">
        <w:rPr>
          <w:rFonts w:hint="cs"/>
          <w:rtl/>
        </w:rPr>
        <w:t xml:space="preserve"> شرایطی که ارزش تلاش کردن را دارد. اگر شرط بندی‌ها و </w:t>
      </w:r>
      <w:r w:rsidR="00F662B0" w:rsidRPr="0025250D">
        <w:rPr>
          <w:rFonts w:hint="cs"/>
          <w:rtl/>
        </w:rPr>
        <w:t>گمانه‌زنی</w:t>
      </w:r>
      <w:r w:rsidRPr="0025250D">
        <w:rPr>
          <w:rFonts w:hint="cs"/>
          <w:rtl/>
        </w:rPr>
        <w:t xml:space="preserve">‌های متعدد کوچکی انجام دهیم و با هر </w:t>
      </w:r>
      <w:r w:rsidR="00F662B0" w:rsidRPr="0025250D">
        <w:rPr>
          <w:rFonts w:hint="cs"/>
          <w:rtl/>
        </w:rPr>
        <w:t>گمانه‌زنی</w:t>
      </w:r>
      <w:r w:rsidRPr="0025250D">
        <w:rPr>
          <w:rFonts w:hint="cs"/>
          <w:rtl/>
        </w:rPr>
        <w:t xml:space="preserve"> به عنوان یک تجربه یادگیری برخورد کنیم، تخصص و تجربه در </w:t>
      </w:r>
      <w:r w:rsidRPr="0025250D">
        <w:rPr>
          <w:rtl/>
        </w:rPr>
        <w:t>آینده‌نگاری</w:t>
      </w:r>
      <w:r w:rsidRPr="0025250D">
        <w:rPr>
          <w:rFonts w:hint="cs"/>
          <w:rtl/>
        </w:rPr>
        <w:t xml:space="preserve">، به ویژه توانایی جمع بندی سریع یک شرایط پیچیده و </w:t>
      </w:r>
      <w:r w:rsidR="0008779C" w:rsidRPr="0025250D">
        <w:rPr>
          <w:rFonts w:hint="cs"/>
          <w:rtl/>
        </w:rPr>
        <w:t>تصمیم‌گیری</w:t>
      </w:r>
      <w:r w:rsidRPr="0025250D">
        <w:rPr>
          <w:rFonts w:hint="cs"/>
          <w:rtl/>
        </w:rPr>
        <w:t xml:space="preserve"> را خواهیم یافت (</w:t>
      </w:r>
      <w:r w:rsidR="0063099E" w:rsidRPr="0025250D">
        <w:rPr>
          <w:rtl/>
        </w:rPr>
        <w:t>«</w:t>
      </w:r>
      <w:r w:rsidRPr="0025250D">
        <w:rPr>
          <w:rFonts w:hint="cs"/>
          <w:rtl/>
        </w:rPr>
        <w:t>اتخاذ یک جایگاه</w:t>
      </w:r>
      <w:r w:rsidR="0063099E" w:rsidRPr="0025250D">
        <w:rPr>
          <w:rtl/>
        </w:rPr>
        <w:t>»</w:t>
      </w:r>
      <w:r w:rsidRPr="0025250D">
        <w:rPr>
          <w:rFonts w:hint="cs"/>
          <w:rtl/>
        </w:rPr>
        <w:t xml:space="preserve"> در زبان معامله گران). با تمرین می‌توانیم توانایی خود را برای دیدن سریع و سود بردن از زیرمجموعه‌ای از الگوهای آماری قابل پیش‌بینی</w:t>
      </w:r>
      <w:r w:rsidR="008D6F97" w:rsidRPr="0025250D">
        <w:rPr>
          <w:rtl/>
        </w:rPr>
        <w:t xml:space="preserve"> </w:t>
      </w:r>
      <w:r w:rsidRPr="0025250D">
        <w:rPr>
          <w:rFonts w:hint="cs"/>
          <w:rtl/>
        </w:rPr>
        <w:t>تا زمانی که در این بازی هستیم افزایش دهیم. موفق باشید و پس‌انداز و سرمایه‌گذاری خوبی داشته باشید.</w:t>
      </w:r>
    </w:p>
    <w:p w14:paraId="46DF28A1" w14:textId="77777777" w:rsidR="00537CC8" w:rsidRPr="0025250D" w:rsidRDefault="00537CC8" w:rsidP="000A674B">
      <w:pPr>
        <w:pStyle w:val="Heading2"/>
        <w:rPr>
          <w:rtl/>
        </w:rPr>
      </w:pPr>
      <w:bookmarkStart w:id="37" w:name="_Toc127831302"/>
      <w:r w:rsidRPr="0025250D">
        <w:rPr>
          <w:rFonts w:hint="cs"/>
          <w:rtl/>
        </w:rPr>
        <w:t xml:space="preserve">6 نقش برای رهبران </w:t>
      </w:r>
      <w:r w:rsidRPr="0025250D">
        <w:rPr>
          <w:rtl/>
        </w:rPr>
        <w:t>آینده‌نگاری</w:t>
      </w:r>
      <w:r w:rsidRPr="0025250D">
        <w:rPr>
          <w:rFonts w:hint="cs"/>
          <w:rtl/>
        </w:rPr>
        <w:t>: برخی کارکردهای اجتماعی ضروری</w:t>
      </w:r>
      <w:bookmarkEnd w:id="37"/>
    </w:p>
    <w:p w14:paraId="7A268E03" w14:textId="4EDB04DE" w:rsidR="00537CC8" w:rsidRPr="0025250D" w:rsidRDefault="00537CC8" w:rsidP="00537CC8">
      <w:pPr>
        <w:rPr>
          <w:rtl/>
        </w:rPr>
      </w:pPr>
      <w:r w:rsidRPr="0025250D">
        <w:rPr>
          <w:rFonts w:hint="cs"/>
          <w:rtl/>
        </w:rPr>
        <w:t xml:space="preserve">راه‌های بسیاری برای نگاه به آینده وجود دارند. در برخی سازمان‌ها، ممکن است از متخصص </w:t>
      </w:r>
      <w:r w:rsidRPr="0025250D">
        <w:rPr>
          <w:rtl/>
        </w:rPr>
        <w:t>آینده‌نگاری</w:t>
      </w:r>
      <w:r w:rsidRPr="0025250D">
        <w:rPr>
          <w:rFonts w:hint="cs"/>
          <w:rtl/>
        </w:rPr>
        <w:t xml:space="preserve"> انتظار رود که یک فرد با دانش در زمینه‌های مختلف و مستقل و برونگرا باشد و افق‌های کارسپار خود را دائماً و به صورت سازگاری گسترش دهد و یادگیری جدیدی ایجاد کند. دیگران ممکن است از متخصص </w:t>
      </w:r>
      <w:r w:rsidRPr="0025250D">
        <w:rPr>
          <w:rtl/>
        </w:rPr>
        <w:t>آینده‌نگاری</w:t>
      </w:r>
      <w:r w:rsidRPr="0025250D">
        <w:rPr>
          <w:rFonts w:hint="cs"/>
          <w:rtl/>
        </w:rPr>
        <w:t xml:space="preserve"> انتظار داشته باشند که در تیم به خوبی عمل کند، یک متخصص باشد یا کارمندی باشد که راضی باشد به تنهایی بر روی یک روش، شایستگی یا محصول </w:t>
      </w:r>
      <w:r w:rsidRPr="0025250D">
        <w:rPr>
          <w:rtl/>
        </w:rPr>
        <w:t>آینده‌نگاری</w:t>
      </w:r>
      <w:r w:rsidRPr="0025250D">
        <w:rPr>
          <w:rFonts w:hint="cs"/>
          <w:rtl/>
        </w:rPr>
        <w:t xml:space="preserve"> مشخص کار کند</w:t>
      </w:r>
      <w:r w:rsidR="008D6F97" w:rsidRPr="0025250D">
        <w:rPr>
          <w:rtl/>
        </w:rPr>
        <w:t xml:space="preserve">؛ </w:t>
      </w:r>
      <w:r w:rsidRPr="0025250D">
        <w:rPr>
          <w:rFonts w:hint="cs"/>
          <w:rtl/>
        </w:rPr>
        <w:t xml:space="preserve">اما درحالی که گستره وسیعی از راه‌های عملی وجود دارند، </w:t>
      </w:r>
      <w:r w:rsidRPr="0025250D">
        <w:rPr>
          <w:rtl/>
        </w:rPr>
        <w:t>مدل‌ها</w:t>
      </w:r>
      <w:r w:rsidRPr="0025250D">
        <w:rPr>
          <w:rFonts w:hint="cs"/>
          <w:rtl/>
        </w:rPr>
        <w:t>ی</w:t>
      </w:r>
      <w:r w:rsidRPr="0025250D">
        <w:rPr>
          <w:rtl/>
        </w:rPr>
        <w:t xml:space="preserve"> ساده‌کننده‌ا</w:t>
      </w:r>
      <w:r w:rsidRPr="0025250D">
        <w:rPr>
          <w:rFonts w:hint="cs"/>
          <w:rtl/>
        </w:rPr>
        <w:t>ی</w:t>
      </w:r>
      <w:r w:rsidRPr="0025250D">
        <w:rPr>
          <w:rtl/>
        </w:rPr>
        <w:t xml:space="preserve"> برا</w:t>
      </w:r>
      <w:r w:rsidRPr="0025250D">
        <w:rPr>
          <w:rFonts w:hint="cs"/>
          <w:rtl/>
        </w:rPr>
        <w:t>ی</w:t>
      </w:r>
      <w:r w:rsidRPr="0025250D">
        <w:rPr>
          <w:rtl/>
        </w:rPr>
        <w:t xml:space="preserve"> نقش‌ها و مشاغل ضرور</w:t>
      </w:r>
      <w:r w:rsidRPr="0025250D">
        <w:rPr>
          <w:rFonts w:hint="cs"/>
          <w:rtl/>
        </w:rPr>
        <w:t>ی</w:t>
      </w:r>
      <w:r w:rsidRPr="0025250D">
        <w:rPr>
          <w:rtl/>
        </w:rPr>
        <w:t xml:space="preserve"> و </w:t>
      </w:r>
      <w:r w:rsidR="00AE5BE0" w:rsidRPr="0025250D">
        <w:rPr>
          <w:rFonts w:hint="cs"/>
          <w:rtl/>
        </w:rPr>
        <w:t>انطباقی</w:t>
      </w:r>
      <w:r w:rsidRPr="0025250D">
        <w:rPr>
          <w:rFonts w:hint="cs"/>
          <w:rtl/>
        </w:rPr>
        <w:t xml:space="preserve"> </w:t>
      </w:r>
      <w:r w:rsidRPr="0025250D">
        <w:rPr>
          <w:rtl/>
        </w:rPr>
        <w:t>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وجود دار</w:t>
      </w:r>
      <w:r w:rsidR="00A2651D" w:rsidRPr="0025250D">
        <w:rPr>
          <w:rFonts w:hint="cs"/>
          <w:rtl/>
        </w:rPr>
        <w:t>ن</w:t>
      </w:r>
      <w:r w:rsidRPr="0025250D">
        <w:rPr>
          <w:rtl/>
        </w:rPr>
        <w:t>د</w:t>
      </w:r>
      <w:r w:rsidRPr="0025250D">
        <w:rPr>
          <w:rFonts w:hint="cs"/>
          <w:rtl/>
        </w:rPr>
        <w:t>.</w:t>
      </w:r>
    </w:p>
    <w:p w14:paraId="34230E04" w14:textId="0B63F670" w:rsidR="00537CC8" w:rsidRPr="0025250D" w:rsidRDefault="00537CC8" w:rsidP="00537CC8">
      <w:pPr>
        <w:rPr>
          <w:rtl/>
        </w:rPr>
      </w:pPr>
      <w:r w:rsidRPr="0025250D">
        <w:rPr>
          <w:rFonts w:hint="cs"/>
          <w:rtl/>
        </w:rPr>
        <w:t xml:space="preserve">مدل </w:t>
      </w:r>
      <w:r w:rsidR="00A2651D" w:rsidRPr="0025250D">
        <w:rPr>
          <w:rFonts w:hint="cs"/>
          <w:rtl/>
        </w:rPr>
        <w:t>مو</w:t>
      </w:r>
      <w:r w:rsidRPr="0025250D">
        <w:rPr>
          <w:rFonts w:hint="cs"/>
          <w:rtl/>
        </w:rPr>
        <w:t xml:space="preserve">رد علاقه ما در این حوزه از هرم </w:t>
      </w:r>
      <w:r w:rsidRPr="0025250D">
        <w:rPr>
          <w:rtl/>
        </w:rPr>
        <w:t>آینده‌نگاری</w:t>
      </w:r>
      <w:r w:rsidRPr="0025250D">
        <w:rPr>
          <w:rFonts w:hint="cs"/>
          <w:rtl/>
        </w:rPr>
        <w:t xml:space="preserve"> استخراج شده است (که جای تعجبی هم ندارد!). به یاد آورید که این هرم به ما می‌گوید که تفکر </w:t>
      </w:r>
      <w:r w:rsidRPr="0025250D">
        <w:rPr>
          <w:rtl/>
        </w:rPr>
        <w:t>آینده‌نگاری</w:t>
      </w:r>
      <w:r w:rsidRPr="0025250D">
        <w:rPr>
          <w:rFonts w:hint="cs"/>
          <w:rtl/>
        </w:rPr>
        <w:t xml:space="preserve"> می‌تواند در سه نوع پایه دسته بندی شود:</w:t>
      </w:r>
    </w:p>
    <w:p w14:paraId="3FDD6BEC" w14:textId="3D6DC3AD" w:rsidR="00537CC8" w:rsidRPr="0025250D" w:rsidRDefault="00537CC8" w:rsidP="00537CC8">
      <w:pPr>
        <w:rPr>
          <w:rtl/>
        </w:rPr>
      </w:pPr>
      <w:r w:rsidRPr="0025250D">
        <w:rPr>
          <w:rFonts w:hint="cs"/>
          <w:rtl/>
        </w:rPr>
        <w:t>1. کشف آینده‌های محتمل (آنچه احتمالا اتفاق خواهد افتاد) که همچنین آینده‌های توسعه‌ای می‌نامیم.</w:t>
      </w:r>
    </w:p>
    <w:p w14:paraId="2C82069D" w14:textId="77777777" w:rsidR="00537CC8" w:rsidRPr="0025250D" w:rsidRDefault="00537CC8" w:rsidP="00537CC8">
      <w:pPr>
        <w:rPr>
          <w:rtl/>
        </w:rPr>
      </w:pPr>
      <w:r w:rsidRPr="0025250D">
        <w:rPr>
          <w:rFonts w:hint="cs"/>
          <w:rtl/>
        </w:rPr>
        <w:t>2. بررسی آینده‌های ممکن (آنچه ممکن است رخ دهد) که همچنین آینده‌های تکاملی می‌نامیم.</w:t>
      </w:r>
    </w:p>
    <w:p w14:paraId="134492A0" w14:textId="35ED149F" w:rsidR="00537CC8" w:rsidRPr="0025250D" w:rsidRDefault="00537CC8" w:rsidP="00537CC8">
      <w:pPr>
        <w:rPr>
          <w:rtl/>
        </w:rPr>
      </w:pPr>
      <w:r w:rsidRPr="0025250D">
        <w:rPr>
          <w:rFonts w:hint="cs"/>
          <w:rtl/>
        </w:rPr>
        <w:t xml:space="preserve">3. تعیین آینده‌های مرجح و اجتناب پذیر (آنچه می‌خواهیم و نمی‌خواهیم رخ دهد) که همچنین آینده‌های تکاملی-توسعه‌ای یا </w:t>
      </w:r>
      <w:r w:rsidR="00AE5BE0" w:rsidRPr="0025250D">
        <w:rPr>
          <w:rFonts w:hint="cs"/>
          <w:rtl/>
        </w:rPr>
        <w:t>انطباقی</w:t>
      </w:r>
      <w:r w:rsidRPr="0025250D">
        <w:rPr>
          <w:rFonts w:hint="cs"/>
          <w:rtl/>
        </w:rPr>
        <w:t xml:space="preserve"> می‌نامیم.</w:t>
      </w:r>
    </w:p>
    <w:p w14:paraId="48B9B295" w14:textId="2093E7B9" w:rsidR="00537CC8" w:rsidRPr="0025250D" w:rsidRDefault="00537CC8" w:rsidP="00537CC8">
      <w:pPr>
        <w:rPr>
          <w:rtl/>
        </w:rPr>
      </w:pPr>
      <w:r w:rsidRPr="0025250D">
        <w:rPr>
          <w:rFonts w:hint="cs"/>
          <w:rtl/>
        </w:rPr>
        <w:t xml:space="preserve">نمودار زیر، 6 اولویت تکاملی-توسعه‌ای برای رهبران </w:t>
      </w:r>
      <w:r w:rsidRPr="0025250D">
        <w:rPr>
          <w:rtl/>
        </w:rPr>
        <w:t>آینده‌نگاری</w:t>
      </w:r>
      <w:r w:rsidR="00A2651D" w:rsidRPr="0025250D">
        <w:rPr>
          <w:rFonts w:hint="cs"/>
          <w:rtl/>
        </w:rPr>
        <w:t xml:space="preserve"> با عنوان</w:t>
      </w:r>
      <w:r w:rsidRPr="0025250D">
        <w:rPr>
          <w:rFonts w:hint="cs"/>
          <w:rtl/>
        </w:rPr>
        <w:t xml:space="preserve"> مدل </w:t>
      </w:r>
      <w:r w:rsidRPr="0025250D">
        <w:t>4U</w:t>
      </w:r>
      <w:r w:rsidRPr="0025250D">
        <w:rPr>
          <w:rFonts w:hint="cs"/>
          <w:rtl/>
        </w:rPr>
        <w:t xml:space="preserve"> از 6 نقش اجتماعی </w:t>
      </w:r>
      <w:r w:rsidRPr="0025250D">
        <w:rPr>
          <w:rtl/>
        </w:rPr>
        <w:t>آینده‌نگاری</w:t>
      </w:r>
      <w:r w:rsidRPr="0025250D">
        <w:rPr>
          <w:rFonts w:hint="cs"/>
          <w:rtl/>
        </w:rPr>
        <w:t xml:space="preserve"> ضروری (کارکرد ها) را نشان می‌دهد که </w:t>
      </w:r>
      <w:r w:rsidR="00A2651D" w:rsidRPr="0025250D">
        <w:rPr>
          <w:rFonts w:hint="cs"/>
          <w:rtl/>
        </w:rPr>
        <w:t xml:space="preserve">آن‌ها را </w:t>
      </w:r>
      <w:r w:rsidRPr="0025250D">
        <w:rPr>
          <w:rFonts w:hint="cs"/>
          <w:rtl/>
        </w:rPr>
        <w:t>در 3 جفت کلمه آزمایش - نوآوری، کشف - محافظت و مشاوره -مدیریت دسته بندی می‌کند. ما این مدل را از هرم تکاملی-توسعه‌ای (</w:t>
      </w:r>
      <w:r w:rsidRPr="0025250D">
        <w:rPr>
          <w:rtl/>
        </w:rPr>
        <w:t>آینده‌نگاری</w:t>
      </w:r>
      <w:r w:rsidRPr="0025250D">
        <w:rPr>
          <w:rFonts w:hint="cs"/>
          <w:rtl/>
        </w:rPr>
        <w:t xml:space="preserve">) استخراج می‌کنیم. در فصل 3 (چهره‌های متعدد هرم تکاملی-توسعه ای)، برخی از راه‌هایی که این هرمِ ظاهرا فراگیر می‌تواند به ما برای دیدن و بهبود ضروری‌ترین عناصر </w:t>
      </w:r>
      <w:r w:rsidR="008D6F97" w:rsidRPr="0025250D">
        <w:rPr>
          <w:rFonts w:hint="cs"/>
          <w:rtl/>
        </w:rPr>
        <w:t>سامانه‌</w:t>
      </w:r>
      <w:r w:rsidRPr="0025250D">
        <w:rPr>
          <w:rFonts w:hint="cs"/>
          <w:rtl/>
        </w:rPr>
        <w:t xml:space="preserve">‌های </w:t>
      </w:r>
      <w:r w:rsidR="00AE5BE0" w:rsidRPr="0025250D">
        <w:rPr>
          <w:rFonts w:hint="cs"/>
          <w:rtl/>
        </w:rPr>
        <w:t>انطباقی</w:t>
      </w:r>
      <w:r w:rsidRPr="0025250D">
        <w:rPr>
          <w:rFonts w:hint="cs"/>
          <w:rtl/>
        </w:rPr>
        <w:t xml:space="preserve"> پیچیده کمک کند را خلاصه می‌کنیم.</w:t>
      </w:r>
    </w:p>
    <w:p w14:paraId="1704C949" w14:textId="7A395967" w:rsidR="00537CC8" w:rsidRPr="0025250D" w:rsidRDefault="00F004A5" w:rsidP="000A674B">
      <w:pPr>
        <w:jc w:val="center"/>
        <w:rPr>
          <w:rtl/>
        </w:rPr>
      </w:pPr>
      <w:r w:rsidRPr="0025250D">
        <w:rPr>
          <w:noProof/>
        </w:rPr>
        <w:drawing>
          <wp:inline distT="0" distB="0" distL="0" distR="0" wp14:anchorId="1CFF21DB" wp14:editId="109F313E">
            <wp:extent cx="3204376" cy="2216838"/>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0" y="0"/>
                      <a:ext cx="3212950" cy="2222770"/>
                    </a:xfrm>
                    <a:prstGeom prst="rect">
                      <a:avLst/>
                    </a:prstGeom>
                    <a:noFill/>
                  </pic:spPr>
                </pic:pic>
              </a:graphicData>
            </a:graphic>
          </wp:inline>
        </w:drawing>
      </w:r>
    </w:p>
    <w:p w14:paraId="2DAAB01D" w14:textId="0CFF390D" w:rsidR="00537CC8" w:rsidRPr="0025250D" w:rsidRDefault="00537CC8" w:rsidP="00537CC8">
      <w:pPr>
        <w:rPr>
          <w:rtl/>
        </w:rPr>
      </w:pPr>
      <w:r w:rsidRPr="0025250D">
        <w:rPr>
          <w:rFonts w:hint="cs"/>
          <w:rtl/>
        </w:rPr>
        <w:t xml:space="preserve">وقتی نقش‌ها و مشاغل </w:t>
      </w:r>
      <w:r w:rsidRPr="0025250D">
        <w:rPr>
          <w:rtl/>
        </w:rPr>
        <w:t>آینده‌نگاری</w:t>
      </w:r>
      <w:r w:rsidRPr="0025250D">
        <w:rPr>
          <w:rFonts w:hint="cs"/>
          <w:rtl/>
        </w:rPr>
        <w:t xml:space="preserve"> که به خوبی با این کلمات ارتباط دارند را در نظر می‌گیریم، می‌توانیم 6 کارکرد اجتماعی را که </w:t>
      </w:r>
      <w:r w:rsidRPr="0025250D">
        <w:rPr>
          <w:rtl/>
        </w:rPr>
        <w:t>آینده‌نگاری</w:t>
      </w:r>
      <w:r w:rsidRPr="0025250D">
        <w:rPr>
          <w:rFonts w:hint="cs"/>
          <w:rtl/>
        </w:rPr>
        <w:t xml:space="preserve"> در آن‌ها به طور مشخص برای جوامع ضروری و </w:t>
      </w:r>
      <w:r w:rsidR="00AE5BE0" w:rsidRPr="0025250D">
        <w:rPr>
          <w:rFonts w:hint="cs"/>
          <w:rtl/>
        </w:rPr>
        <w:t>انطباقی</w:t>
      </w:r>
      <w:r w:rsidRPr="0025250D">
        <w:rPr>
          <w:rFonts w:hint="cs"/>
          <w:rtl/>
        </w:rPr>
        <w:t xml:space="preserve"> است پیشنهاد دهیم. این موارد را 6 نقش می‌نامیم که شامل این موارد هستند: نقش اجتماعی / اولویت‌های اهداف و ارزش‌ها / اولویت‌های </w:t>
      </w:r>
      <w:r w:rsidRPr="0025250D">
        <w:rPr>
          <w:rtl/>
        </w:rPr>
        <w:t>آینده‌نگاری</w:t>
      </w:r>
      <w:r w:rsidRPr="0025250D">
        <w:rPr>
          <w:rFonts w:hint="cs"/>
          <w:rtl/>
        </w:rPr>
        <w:t>.</w:t>
      </w:r>
    </w:p>
    <w:p w14:paraId="08332407" w14:textId="5B9309BC" w:rsidR="00537CC8" w:rsidRPr="0025250D" w:rsidRDefault="00537CC8" w:rsidP="00537CC8">
      <w:pPr>
        <w:rPr>
          <w:rtl/>
        </w:rPr>
      </w:pPr>
      <w:r w:rsidRPr="0025250D">
        <w:rPr>
          <w:rFonts w:hint="cs"/>
          <w:rtl/>
        </w:rPr>
        <w:t xml:space="preserve">1. </w:t>
      </w:r>
      <w:r w:rsidR="00D30084" w:rsidRPr="0025250D">
        <w:rPr>
          <w:rtl/>
        </w:rPr>
        <w:t>آینده‌نگار</w:t>
      </w:r>
      <w:r w:rsidRPr="0025250D">
        <w:rPr>
          <w:rFonts w:hint="cs"/>
          <w:rtl/>
        </w:rPr>
        <w:t xml:space="preserve"> خلاق / آزمایش (و زیبایی) / اولویت با موارد ممکن</w:t>
      </w:r>
    </w:p>
    <w:p w14:paraId="2CF9CBB4" w14:textId="3F32DE80" w:rsidR="00537CC8" w:rsidRPr="0025250D" w:rsidRDefault="00537CC8" w:rsidP="00537CC8">
      <w:pPr>
        <w:rPr>
          <w:rtl/>
        </w:rPr>
      </w:pPr>
      <w:r w:rsidRPr="0025250D">
        <w:rPr>
          <w:rFonts w:hint="cs"/>
          <w:rtl/>
        </w:rPr>
        <w:t xml:space="preserve">2. </w:t>
      </w:r>
      <w:r w:rsidR="00D30084" w:rsidRPr="0025250D">
        <w:rPr>
          <w:rtl/>
        </w:rPr>
        <w:t>آینده‌نگار</w:t>
      </w:r>
      <w:r w:rsidRPr="0025250D">
        <w:rPr>
          <w:rFonts w:hint="cs"/>
          <w:rtl/>
        </w:rPr>
        <w:t xml:space="preserve"> کارآفرین / نوآوری (و </w:t>
      </w:r>
      <w:r w:rsidR="00D92F6E" w:rsidRPr="0025250D">
        <w:rPr>
          <w:rFonts w:hint="cs"/>
          <w:rtl/>
        </w:rPr>
        <w:t>بنیان‌افکن</w:t>
      </w:r>
      <w:r w:rsidRPr="0025250D">
        <w:rPr>
          <w:rFonts w:hint="cs"/>
          <w:rtl/>
        </w:rPr>
        <w:t>ی) /</w:t>
      </w:r>
      <w:r w:rsidR="008D6F97" w:rsidRPr="0025250D">
        <w:rPr>
          <w:rtl/>
        </w:rPr>
        <w:t xml:space="preserve"> </w:t>
      </w:r>
      <w:r w:rsidRPr="0025250D">
        <w:rPr>
          <w:rFonts w:hint="cs"/>
          <w:rtl/>
        </w:rPr>
        <w:t>اولویت با موارد ممکن</w:t>
      </w:r>
    </w:p>
    <w:p w14:paraId="060883D9" w14:textId="07F677EF" w:rsidR="00537CC8" w:rsidRPr="0025250D" w:rsidRDefault="00537CC8" w:rsidP="00537CC8">
      <w:pPr>
        <w:rPr>
          <w:rtl/>
        </w:rPr>
      </w:pPr>
      <w:r w:rsidRPr="0025250D">
        <w:rPr>
          <w:rFonts w:hint="cs"/>
          <w:rtl/>
        </w:rPr>
        <w:t xml:space="preserve">3. </w:t>
      </w:r>
      <w:r w:rsidR="00D30084" w:rsidRPr="0025250D">
        <w:rPr>
          <w:rtl/>
        </w:rPr>
        <w:t>آینده‌نگار</w:t>
      </w:r>
      <w:r w:rsidRPr="0025250D">
        <w:rPr>
          <w:rFonts w:hint="cs"/>
          <w:rtl/>
        </w:rPr>
        <w:t xml:space="preserve"> مشاور / مشاوره (خارجی) / اولویت اول با موارد مرجح و اجتناب پذیر</w:t>
      </w:r>
    </w:p>
    <w:p w14:paraId="0FB6CBF0" w14:textId="2E4D030B" w:rsidR="00537CC8" w:rsidRPr="0025250D" w:rsidRDefault="00537CC8" w:rsidP="00537CC8">
      <w:pPr>
        <w:rPr>
          <w:rtl/>
        </w:rPr>
      </w:pPr>
      <w:r w:rsidRPr="0025250D">
        <w:rPr>
          <w:rFonts w:hint="cs"/>
          <w:rtl/>
        </w:rPr>
        <w:t xml:space="preserve">4. </w:t>
      </w:r>
      <w:r w:rsidR="00D30084" w:rsidRPr="0025250D">
        <w:rPr>
          <w:rtl/>
        </w:rPr>
        <w:t>آینده‌نگار</w:t>
      </w:r>
      <w:r w:rsidRPr="0025250D">
        <w:rPr>
          <w:rFonts w:hint="cs"/>
          <w:rtl/>
        </w:rPr>
        <w:t xml:space="preserve"> مدیر / مدیریت (داخلی) / اولویت اول با موارد مرجح و اجتناب پذیر</w:t>
      </w:r>
    </w:p>
    <w:p w14:paraId="72BA8130" w14:textId="06E87937" w:rsidR="00537CC8" w:rsidRPr="0025250D" w:rsidRDefault="00537CC8" w:rsidP="00537CC8">
      <w:pPr>
        <w:rPr>
          <w:rtl/>
        </w:rPr>
      </w:pPr>
      <w:r w:rsidRPr="0025250D">
        <w:rPr>
          <w:rFonts w:hint="cs"/>
          <w:rtl/>
        </w:rPr>
        <w:t xml:space="preserve">5. </w:t>
      </w:r>
      <w:r w:rsidR="00D30084" w:rsidRPr="0025250D">
        <w:rPr>
          <w:rtl/>
        </w:rPr>
        <w:t>آینده‌نگار</w:t>
      </w:r>
      <w:r w:rsidRPr="0025250D">
        <w:rPr>
          <w:rFonts w:hint="cs"/>
          <w:rtl/>
        </w:rPr>
        <w:t xml:space="preserve"> آکادمیک / کشف (و توضیح) / اولویت اول با موارد محتمل</w:t>
      </w:r>
    </w:p>
    <w:p w14:paraId="77FB07D1" w14:textId="60F1B878" w:rsidR="00537CC8" w:rsidRPr="0025250D" w:rsidRDefault="00537CC8" w:rsidP="00537CC8">
      <w:pPr>
        <w:rPr>
          <w:rtl/>
        </w:rPr>
      </w:pPr>
      <w:r w:rsidRPr="0025250D">
        <w:rPr>
          <w:rFonts w:hint="cs"/>
          <w:rtl/>
        </w:rPr>
        <w:t xml:space="preserve">6. </w:t>
      </w:r>
      <w:r w:rsidR="00D30084" w:rsidRPr="0025250D">
        <w:rPr>
          <w:rtl/>
        </w:rPr>
        <w:t>آینده‌نگار</w:t>
      </w:r>
      <w:r w:rsidRPr="0025250D">
        <w:rPr>
          <w:rFonts w:hint="cs"/>
          <w:rtl/>
        </w:rPr>
        <w:t xml:space="preserve"> دفاعی / محافظت (و پایداری) / اولویت اول با موارد محتمل.</w:t>
      </w:r>
    </w:p>
    <w:p w14:paraId="7467E704" w14:textId="4F71B6BF" w:rsidR="00537CC8" w:rsidRPr="0025250D" w:rsidRDefault="00537CC8" w:rsidP="00537CC8">
      <w:pPr>
        <w:rPr>
          <w:rtl/>
        </w:rPr>
      </w:pPr>
      <w:r w:rsidRPr="0025250D">
        <w:rPr>
          <w:rFonts w:hint="cs"/>
          <w:rtl/>
        </w:rPr>
        <w:t>به عقیده ما همه این 6 نقش در خدمت یک هدف اجتماعی ضروری و کلی، از یک دیدگاه تکاملی-توسعه‌ای هستند. مستقل از این که چقدر کم یا زیاد در هر جامعه‌ای برای آن‌ها ارزش در نظر گرفته می‌شود، همه جوامع به خلاقیت (</w:t>
      </w:r>
      <w:r w:rsidR="0008779C" w:rsidRPr="0025250D">
        <w:rPr>
          <w:rFonts w:hint="cs"/>
          <w:rtl/>
        </w:rPr>
        <w:t>آزمایش‌کنندگان</w:t>
      </w:r>
      <w:r w:rsidRPr="0025250D">
        <w:rPr>
          <w:rFonts w:hint="cs"/>
          <w:rtl/>
        </w:rPr>
        <w:t xml:space="preserve"> و هنرمندان)، کارآفرینان (نوآوران و </w:t>
      </w:r>
      <w:r w:rsidR="00D92F6E" w:rsidRPr="0025250D">
        <w:rPr>
          <w:rFonts w:hint="cs"/>
          <w:rtl/>
        </w:rPr>
        <w:t>بنیان‌افکن</w:t>
      </w:r>
      <w:r w:rsidRPr="0025250D">
        <w:rPr>
          <w:rFonts w:hint="cs"/>
          <w:rtl/>
        </w:rPr>
        <w:t>ان)، مشاوران (پیوند دهندگان خارجی)، مدیران (پیوند دهندگان داخلی)، افراد آکادمیک (</w:t>
      </w:r>
      <w:r w:rsidR="00A2651D" w:rsidRPr="0025250D">
        <w:rPr>
          <w:rFonts w:hint="cs"/>
          <w:rtl/>
        </w:rPr>
        <w:t>اکتشاف کنندگان</w:t>
      </w:r>
      <w:r w:rsidRPr="0025250D">
        <w:rPr>
          <w:rFonts w:hint="cs"/>
          <w:rtl/>
        </w:rPr>
        <w:t xml:space="preserve"> و توضیح دهندگان) و مدافعین (محافظین و پایدار کنندگان) نیاز دارند. هر 6 نقش به نظر برای حفظ شبکه‌های </w:t>
      </w:r>
      <w:r w:rsidR="00AE5BE0" w:rsidRPr="0025250D">
        <w:rPr>
          <w:rFonts w:hint="cs"/>
          <w:rtl/>
        </w:rPr>
        <w:t>انطباقی</w:t>
      </w:r>
      <w:r w:rsidRPr="0025250D">
        <w:rPr>
          <w:rFonts w:hint="cs"/>
          <w:rtl/>
        </w:rPr>
        <w:t xml:space="preserve"> (جمعی) حیاتی هستند.</w:t>
      </w:r>
    </w:p>
    <w:p w14:paraId="51167BAA" w14:textId="13266161" w:rsidR="00537CC8" w:rsidRPr="0025250D" w:rsidRDefault="00537CC8" w:rsidP="00537CC8">
      <w:pPr>
        <w:rPr>
          <w:rtl/>
        </w:rPr>
      </w:pPr>
      <w:r w:rsidRPr="0025250D">
        <w:rPr>
          <w:rFonts w:hint="cs"/>
          <w:rtl/>
        </w:rPr>
        <w:t xml:space="preserve">البته نقش‌های اجتماعی متعدد دیگری هم هستند که می‌توانند در این فهرست قرار گیرند، اما به عقیده ما همه آن‌ها می‌توانند به عنوان مشتقاتی از همین 6 مورد دسته بندی شوند. درک کنید که این نقش‌ها لزوما مشاغل ما را تعریف نمی‌کنند. بلکه، هر نقش مجموعه‌ای از مشاغل را که مشخصا به آن نقش وابسته هستند تعریف می‌نماید. هر شغل می‌تواند با استفاده از هر یک از این 6 نقش انجام شود. وقتی جوان هستیم، ممکن است نیاز داشته باشیم تا همه این نقش‌ها را قبل از این که بدانیم کدامیک برای ما بهتر است آزمایش کنیم. باز </w:t>
      </w:r>
      <w:r w:rsidR="0020589F" w:rsidRPr="0025250D">
        <w:rPr>
          <w:rtl/>
        </w:rPr>
        <w:t>هم</w:t>
      </w:r>
      <w:r w:rsidRPr="0025250D">
        <w:rPr>
          <w:rFonts w:hint="cs"/>
          <w:rtl/>
        </w:rPr>
        <w:t xml:space="preserve"> به نظر ما این نقش‌ها مشخصا پایه‌ای هستند و احتمالا راه‌هایی فراگیر برای تفکر درمورد تأثیر اجتماعی احتمالی ما بر جهان می‌باشند.</w:t>
      </w:r>
    </w:p>
    <w:p w14:paraId="6693024C" w14:textId="0B576EC1" w:rsidR="00537CC8" w:rsidRPr="0025250D" w:rsidRDefault="00537CC8" w:rsidP="00537CC8">
      <w:pPr>
        <w:rPr>
          <w:rtl/>
        </w:rPr>
      </w:pPr>
      <w:r w:rsidRPr="0025250D">
        <w:rPr>
          <w:rFonts w:hint="cs"/>
          <w:rtl/>
        </w:rPr>
        <w:t xml:space="preserve">البته، هر نقش از همه چهار </w:t>
      </w:r>
      <w:r w:rsidRPr="0025250D">
        <w:t>P</w:t>
      </w:r>
      <w:r w:rsidRPr="0025250D">
        <w:rPr>
          <w:rFonts w:hint="cs"/>
          <w:rtl/>
        </w:rPr>
        <w:t xml:space="preserve"> استفاده می‌کند. هر یک</w:t>
      </w:r>
      <w:r w:rsidR="00A2651D" w:rsidRPr="0025250D">
        <w:rPr>
          <w:rFonts w:hint="cs"/>
          <w:rtl/>
        </w:rPr>
        <w:t xml:space="preserve"> از این نقش‌ها</w:t>
      </w:r>
      <w:r w:rsidRPr="0025250D">
        <w:rPr>
          <w:rFonts w:hint="cs"/>
          <w:rtl/>
        </w:rPr>
        <w:t xml:space="preserve"> از </w:t>
      </w:r>
      <w:r w:rsidRPr="0025250D">
        <w:rPr>
          <w:rtl/>
        </w:rPr>
        <w:t>آینده‌نگاری</w:t>
      </w:r>
      <w:r w:rsidRPr="0025250D">
        <w:rPr>
          <w:rFonts w:hint="cs"/>
          <w:rtl/>
        </w:rPr>
        <w:t xml:space="preserve"> موارد ممکن و محتمل برای تولید </w:t>
      </w:r>
      <w:r w:rsidR="00701E03" w:rsidRPr="0025250D">
        <w:rPr>
          <w:rFonts w:hint="cs"/>
          <w:rtl/>
        </w:rPr>
        <w:t>راهبرد</w:t>
      </w:r>
      <w:r w:rsidRPr="0025250D">
        <w:rPr>
          <w:rFonts w:hint="cs"/>
          <w:rtl/>
        </w:rPr>
        <w:t>‌ها و اقدامات مرجح و قابل اجتناب استفاده می‌کند. بااین‌وجود، دو مورد از این نقش‌ها (آکادمیک و دفاعی) بیش‌تر بر پرده برداری از آینده‌های محتمل</w:t>
      </w:r>
      <w:r w:rsidR="00A2651D" w:rsidRPr="0025250D">
        <w:rPr>
          <w:rFonts w:hint="cs"/>
          <w:rtl/>
        </w:rPr>
        <w:t xml:space="preserve"> و</w:t>
      </w:r>
      <w:r w:rsidRPr="0025250D">
        <w:rPr>
          <w:rFonts w:hint="cs"/>
          <w:rtl/>
        </w:rPr>
        <w:t xml:space="preserve"> دو مورد (خلاقانه و کارآفرین) بر توضیح آینده‌های ممکن تمرکز دارند و دو مورد (مشاوره‌ای و مدیریتی) نقش‌های پیونددهنده هستند که بیش‌تر بر مدیریت دروندادهای </w:t>
      </w:r>
      <w:r w:rsidRPr="0025250D">
        <w:rPr>
          <w:rtl/>
        </w:rPr>
        <w:t>آینده‌نگاری</w:t>
      </w:r>
      <w:r w:rsidRPr="0025250D">
        <w:rPr>
          <w:rFonts w:hint="cs"/>
          <w:rtl/>
        </w:rPr>
        <w:t xml:space="preserve"> متنوع به سمت برآمدهای مطلوب و به دور از برآمدهای قابل اجتناب تمرکز دارند. این امر برای درک این نکته که نقش‌های مطلوب ما با جامعه چه تناسبی دارند مفید است.</w:t>
      </w:r>
    </w:p>
    <w:p w14:paraId="30CBF9C6" w14:textId="437076D6" w:rsidR="00537CC8" w:rsidRPr="0025250D" w:rsidRDefault="00537CC8" w:rsidP="00537CC8">
      <w:pPr>
        <w:rPr>
          <w:rtl/>
        </w:rPr>
      </w:pPr>
      <w:r w:rsidRPr="0025250D">
        <w:rPr>
          <w:rFonts w:hint="cs"/>
          <w:rtl/>
        </w:rPr>
        <w:t xml:space="preserve">بگذارید اکنون کمی بیش‌تر درمورد تمایلات </w:t>
      </w:r>
      <w:r w:rsidRPr="0025250D">
        <w:rPr>
          <w:rtl/>
        </w:rPr>
        <w:t>آینده‌نگاری</w:t>
      </w:r>
      <w:r w:rsidRPr="0025250D">
        <w:rPr>
          <w:rFonts w:hint="cs"/>
          <w:rtl/>
        </w:rPr>
        <w:t xml:space="preserve"> در هر گروه از این نقش‌های اجتماعی صحبت کنیم: گروه 1، نقش‌های خلاقانه و کارآفرینانه، عمدتا به توصیف، خلق یا امتحان کردن </w:t>
      </w:r>
      <w:r w:rsidR="0063099E" w:rsidRPr="0025250D">
        <w:rPr>
          <w:rtl/>
        </w:rPr>
        <w:t>«</w:t>
      </w:r>
      <w:r w:rsidRPr="0025250D">
        <w:rPr>
          <w:rFonts w:hint="cs"/>
          <w:rtl/>
        </w:rPr>
        <w:t>آینده‌های آزمایشی و نوآورانه</w:t>
      </w:r>
      <w:r w:rsidR="0063099E" w:rsidRPr="0025250D">
        <w:rPr>
          <w:rtl/>
        </w:rPr>
        <w:t>»</w:t>
      </w:r>
      <w:r w:rsidRPr="0025250D">
        <w:rPr>
          <w:rFonts w:hint="cs"/>
          <w:rtl/>
        </w:rPr>
        <w:t xml:space="preserve">، با تفکر توسعه‌ای به عنوان یک مضمون ثانویه، در خدمت یک پیشران خلاقانه برای دست یابی به یک </w:t>
      </w:r>
      <w:r w:rsidRPr="0025250D">
        <w:rPr>
          <w:rtl/>
        </w:rPr>
        <w:t>ش</w:t>
      </w:r>
      <w:r w:rsidRPr="0025250D">
        <w:rPr>
          <w:rFonts w:hint="cs"/>
          <w:rtl/>
        </w:rPr>
        <w:t>ی</w:t>
      </w:r>
      <w:r w:rsidRPr="0025250D">
        <w:rPr>
          <w:rFonts w:hint="eastAsia"/>
          <w:rtl/>
        </w:rPr>
        <w:t>ئ</w:t>
      </w:r>
      <w:r w:rsidRPr="0025250D">
        <w:rPr>
          <w:rFonts w:hint="cs"/>
          <w:rtl/>
        </w:rPr>
        <w:t xml:space="preserve"> زیبا، ارزشمند، جدید یا </w:t>
      </w:r>
      <w:r w:rsidR="00D92F6E" w:rsidRPr="0025250D">
        <w:rPr>
          <w:rFonts w:hint="cs"/>
          <w:rtl/>
        </w:rPr>
        <w:t>بنیان‌افکن</w:t>
      </w:r>
      <w:r w:rsidRPr="0025250D">
        <w:rPr>
          <w:rFonts w:hint="cs"/>
          <w:rtl/>
        </w:rPr>
        <w:t xml:space="preserve"> مربوط می‌شوند. این نقش‌ها اغلب در تنش یا تناقض (به صورت ایدئال تناقض اخلاقی و مولد) با دو نقش آخر هستند.</w:t>
      </w:r>
    </w:p>
    <w:p w14:paraId="1C39E471" w14:textId="3D9D3E65" w:rsidR="00537CC8" w:rsidRPr="0025250D" w:rsidRDefault="00537CC8" w:rsidP="00537CC8">
      <w:pPr>
        <w:rPr>
          <w:rtl/>
        </w:rPr>
      </w:pPr>
      <w:r w:rsidRPr="0025250D">
        <w:rPr>
          <w:rFonts w:hint="cs"/>
          <w:rtl/>
        </w:rPr>
        <w:t xml:space="preserve">گروه 2، نقش‌های آکادمیک و دفاعی عمدتا به کشف و توضیح (افراد آکادمیک) یا محافظت و حفظ (دفاع) از آینده‌های </w:t>
      </w:r>
      <w:r w:rsidR="0063099E" w:rsidRPr="0025250D">
        <w:rPr>
          <w:rtl/>
        </w:rPr>
        <w:t>«</w:t>
      </w:r>
      <w:r w:rsidRPr="0025250D">
        <w:rPr>
          <w:rFonts w:hint="cs"/>
          <w:rtl/>
        </w:rPr>
        <w:t>از نظر محیطی بهینه</w:t>
      </w:r>
      <w:r w:rsidR="0063099E" w:rsidRPr="0025250D">
        <w:rPr>
          <w:rtl/>
        </w:rPr>
        <w:t>»</w:t>
      </w:r>
      <w:r w:rsidRPr="0025250D">
        <w:rPr>
          <w:rFonts w:hint="cs"/>
          <w:rtl/>
        </w:rPr>
        <w:t>، با تفکر ثانویه تکاملی، در خدمت درک، پیش‌بینی و محافظت بهتر از آنچه موجود است مربوط می‌شوند. این نقش‌ها اغلب در تنش و تناقض (به صورت ایدئال تناقض اخلاقی و مولد) با دو نقش اول هستند.</w:t>
      </w:r>
    </w:p>
    <w:p w14:paraId="73FD8FC6" w14:textId="37CD8849" w:rsidR="00537CC8" w:rsidRPr="0025250D" w:rsidRDefault="00537CC8" w:rsidP="00537CC8">
      <w:pPr>
        <w:rPr>
          <w:rtl/>
        </w:rPr>
      </w:pPr>
      <w:r w:rsidRPr="0025250D">
        <w:rPr>
          <w:rFonts w:hint="cs"/>
          <w:rtl/>
        </w:rPr>
        <w:t xml:space="preserve">گروه 3، مشاور و مدیر، دو نقش پیونددهنده، شامل تلاش برای دست یابی به آینده‌های </w:t>
      </w:r>
      <w:r w:rsidR="0063099E" w:rsidRPr="0025250D">
        <w:rPr>
          <w:rtl/>
        </w:rPr>
        <w:t>«</w:t>
      </w:r>
      <w:r w:rsidRPr="0025250D">
        <w:rPr>
          <w:rFonts w:hint="cs"/>
          <w:rtl/>
        </w:rPr>
        <w:t>مرجح و قابل اجتناب جمعی</w:t>
      </w:r>
      <w:r w:rsidR="0063099E" w:rsidRPr="0025250D">
        <w:rPr>
          <w:rtl/>
        </w:rPr>
        <w:t>»</w:t>
      </w:r>
      <w:r w:rsidRPr="0025250D">
        <w:rPr>
          <w:rFonts w:hint="cs"/>
          <w:rtl/>
        </w:rPr>
        <w:t xml:space="preserve">، چه به عنوان یک رهبر تغییر داخلی (مدیر) یا خارجی (مشاور) می‌شوند. این دو نقش همان </w:t>
      </w:r>
      <w:r w:rsidR="00E41A8D" w:rsidRPr="0025250D">
        <w:rPr>
          <w:rFonts w:hint="cs"/>
          <w:rtl/>
        </w:rPr>
        <w:t>موارد</w:t>
      </w:r>
      <w:r w:rsidRPr="0025250D">
        <w:rPr>
          <w:rFonts w:hint="cs"/>
          <w:rtl/>
        </w:rPr>
        <w:t xml:space="preserve"> هستند که اکثریت مشاغل </w:t>
      </w:r>
      <w:r w:rsidRPr="0025250D">
        <w:rPr>
          <w:rtl/>
        </w:rPr>
        <w:t>آینده‌نگاری</w:t>
      </w:r>
      <w:r w:rsidRPr="0025250D">
        <w:rPr>
          <w:rFonts w:hint="cs"/>
          <w:rtl/>
        </w:rPr>
        <w:t xml:space="preserve"> سازمانی در بین این بیست تخصص در آن</w:t>
      </w:r>
      <w:r w:rsidR="00E41A8D" w:rsidRPr="0025250D">
        <w:rPr>
          <w:rFonts w:hint="cs"/>
          <w:rtl/>
        </w:rPr>
        <w:t>‌ها</w:t>
      </w:r>
      <w:r w:rsidRPr="0025250D">
        <w:rPr>
          <w:rFonts w:hint="cs"/>
          <w:rtl/>
        </w:rPr>
        <w:t xml:space="preserve"> انجام می‌شوند.</w:t>
      </w:r>
    </w:p>
    <w:p w14:paraId="61819F21" w14:textId="07B7BE31" w:rsidR="00537CC8" w:rsidRPr="0025250D" w:rsidRDefault="00537CC8" w:rsidP="00537CC8">
      <w:pPr>
        <w:rPr>
          <w:rtl/>
        </w:rPr>
      </w:pPr>
      <w:r w:rsidRPr="0025250D">
        <w:rPr>
          <w:rFonts w:hint="cs"/>
          <w:rtl/>
        </w:rPr>
        <w:t xml:space="preserve">بیایید نگاه نزدیک‌تر و دقیق‌تر به هر یک از این 6 نقش اجتماعی </w:t>
      </w:r>
      <w:r w:rsidRPr="0025250D">
        <w:rPr>
          <w:rtl/>
        </w:rPr>
        <w:t>آینده‌نگاری</w:t>
      </w:r>
      <w:r w:rsidRPr="0025250D">
        <w:rPr>
          <w:rFonts w:hint="cs"/>
          <w:rtl/>
        </w:rPr>
        <w:t xml:space="preserve"> داشته باشیم:</w:t>
      </w:r>
    </w:p>
    <w:p w14:paraId="44C2AD19" w14:textId="4E141766" w:rsidR="00537CC8" w:rsidRPr="0025250D" w:rsidRDefault="00537CC8" w:rsidP="00492C47">
      <w:pPr>
        <w:numPr>
          <w:ilvl w:val="0"/>
          <w:numId w:val="32"/>
        </w:numPr>
        <w:rPr>
          <w:rtl/>
        </w:rPr>
      </w:pPr>
      <w:r w:rsidRPr="0025250D">
        <w:rPr>
          <w:rFonts w:hint="cs"/>
          <w:rtl/>
        </w:rPr>
        <w:t xml:space="preserve">افراد خلاق (افرادی که نقش اصلی آن‌ها ایجاد چیز‌های جدید، در هنر، طراحی، تحقیق و توسعه یا هر صنعت دیگر است). کتاب </w:t>
      </w:r>
      <w:r w:rsidR="00D30084" w:rsidRPr="0025250D">
        <w:rPr>
          <w:rFonts w:hint="cs"/>
          <w:rtl/>
        </w:rPr>
        <w:t>آینده‌نگار</w:t>
      </w:r>
      <w:r w:rsidRPr="0025250D">
        <w:rPr>
          <w:rFonts w:hint="cs"/>
          <w:rtl/>
        </w:rPr>
        <w:t>: زندگی و فیلم‌های جیمز کمرون</w:t>
      </w:r>
      <w:r w:rsidRPr="0025250D">
        <w:rPr>
          <w:vertAlign w:val="superscript"/>
          <w:rtl/>
        </w:rPr>
        <w:footnoteReference w:id="1308"/>
      </w:r>
      <w:r w:rsidRPr="0025250D">
        <w:rPr>
          <w:rFonts w:hint="cs"/>
          <w:rtl/>
        </w:rPr>
        <w:t xml:space="preserve"> اثر </w:t>
      </w:r>
      <w:r w:rsidRPr="0025250D">
        <w:rPr>
          <w:rtl/>
        </w:rPr>
        <w:t>ربکا ک</w:t>
      </w:r>
      <w:r w:rsidRPr="0025250D">
        <w:rPr>
          <w:rFonts w:hint="cs"/>
          <w:rtl/>
        </w:rPr>
        <w:t>ی</w:t>
      </w:r>
      <w:r w:rsidRPr="0025250D">
        <w:rPr>
          <w:rFonts w:hint="eastAsia"/>
          <w:rtl/>
        </w:rPr>
        <w:t>گان</w:t>
      </w:r>
      <w:r w:rsidRPr="0025250D">
        <w:rPr>
          <w:vertAlign w:val="superscript"/>
          <w:rtl/>
        </w:rPr>
        <w:footnoteReference w:id="1309"/>
      </w:r>
      <w:r w:rsidRPr="0025250D">
        <w:rPr>
          <w:rFonts w:hint="cs"/>
          <w:rtl/>
        </w:rPr>
        <w:t xml:space="preserve"> در سال 2010 یک زندگی نامه عالی از چنین فیل</w:t>
      </w:r>
      <w:r w:rsidR="00E41A8D" w:rsidRPr="0025250D">
        <w:rPr>
          <w:rFonts w:hint="cs"/>
          <w:rtl/>
        </w:rPr>
        <w:t>مس</w:t>
      </w:r>
      <w:r w:rsidRPr="0025250D">
        <w:rPr>
          <w:rFonts w:hint="cs"/>
          <w:rtl/>
        </w:rPr>
        <w:t xml:space="preserve">از </w:t>
      </w:r>
      <w:r w:rsidR="00B124DE" w:rsidRPr="0025250D">
        <w:rPr>
          <w:rFonts w:hint="cs"/>
          <w:rtl/>
        </w:rPr>
        <w:t>آینده‌اندیش</w:t>
      </w:r>
      <w:r w:rsidRPr="0025250D">
        <w:rPr>
          <w:rFonts w:hint="cs"/>
          <w:rtl/>
        </w:rPr>
        <w:t xml:space="preserve">، یعنی </w:t>
      </w:r>
      <w:r w:rsidRPr="0025250D">
        <w:rPr>
          <w:rtl/>
        </w:rPr>
        <w:t>ج</w:t>
      </w:r>
      <w:r w:rsidRPr="0025250D">
        <w:rPr>
          <w:rFonts w:hint="cs"/>
          <w:rtl/>
        </w:rPr>
        <w:t>ی</w:t>
      </w:r>
      <w:r w:rsidRPr="0025250D">
        <w:rPr>
          <w:rFonts w:hint="eastAsia"/>
          <w:rtl/>
        </w:rPr>
        <w:t>مز</w:t>
      </w:r>
      <w:r w:rsidRPr="0025250D">
        <w:rPr>
          <w:rtl/>
        </w:rPr>
        <w:t xml:space="preserve"> کامرون</w:t>
      </w:r>
      <w:r w:rsidRPr="0025250D">
        <w:rPr>
          <w:vertAlign w:val="superscript"/>
          <w:rtl/>
        </w:rPr>
        <w:footnoteReference w:id="1310"/>
      </w:r>
      <w:r w:rsidRPr="0025250D">
        <w:rPr>
          <w:rFonts w:hint="cs"/>
          <w:rtl/>
        </w:rPr>
        <w:t xml:space="preserve"> است. توماس ادیسون</w:t>
      </w:r>
      <w:r w:rsidRPr="0025250D">
        <w:rPr>
          <w:vertAlign w:val="superscript"/>
          <w:rtl/>
        </w:rPr>
        <w:footnoteReference w:id="1311"/>
      </w:r>
      <w:r w:rsidRPr="0025250D">
        <w:rPr>
          <w:rFonts w:hint="cs"/>
          <w:rtl/>
        </w:rPr>
        <w:t xml:space="preserve"> (مخترع)، </w:t>
      </w:r>
      <w:r w:rsidRPr="0025250D">
        <w:rPr>
          <w:rtl/>
        </w:rPr>
        <w:t>گر</w:t>
      </w:r>
      <w:r w:rsidRPr="0025250D">
        <w:rPr>
          <w:rFonts w:hint="cs"/>
          <w:rtl/>
        </w:rPr>
        <w:t>ی</w:t>
      </w:r>
      <w:r w:rsidRPr="0025250D">
        <w:rPr>
          <w:rFonts w:hint="eastAsia"/>
          <w:rtl/>
        </w:rPr>
        <w:t>س</w:t>
      </w:r>
      <w:r w:rsidRPr="0025250D">
        <w:rPr>
          <w:rtl/>
        </w:rPr>
        <w:t xml:space="preserve"> هاپر</w:t>
      </w:r>
      <w:r w:rsidRPr="0025250D">
        <w:rPr>
          <w:vertAlign w:val="superscript"/>
          <w:rtl/>
        </w:rPr>
        <w:footnoteReference w:id="1312"/>
      </w:r>
      <w:r w:rsidRPr="0025250D">
        <w:rPr>
          <w:rFonts w:hint="cs"/>
          <w:rtl/>
        </w:rPr>
        <w:t xml:space="preserve"> (پیشتاز در برنامه نویسی کامپیوتر) و </w:t>
      </w:r>
      <w:r w:rsidRPr="0025250D">
        <w:rPr>
          <w:rtl/>
        </w:rPr>
        <w:t>اکتاو</w:t>
      </w:r>
      <w:r w:rsidRPr="0025250D">
        <w:rPr>
          <w:rFonts w:hint="cs"/>
          <w:rtl/>
        </w:rPr>
        <w:t>ی</w:t>
      </w:r>
      <w:r w:rsidRPr="0025250D">
        <w:rPr>
          <w:rFonts w:hint="eastAsia"/>
          <w:rtl/>
        </w:rPr>
        <w:t>ا</w:t>
      </w:r>
      <w:r w:rsidRPr="0025250D">
        <w:rPr>
          <w:rtl/>
        </w:rPr>
        <w:t xml:space="preserve"> باتلر</w:t>
      </w:r>
      <w:r w:rsidRPr="0025250D">
        <w:rPr>
          <w:vertAlign w:val="superscript"/>
          <w:rtl/>
        </w:rPr>
        <w:footnoteReference w:id="1313"/>
      </w:r>
      <w:r w:rsidRPr="0025250D">
        <w:rPr>
          <w:rFonts w:hint="cs"/>
          <w:rtl/>
        </w:rPr>
        <w:t xml:space="preserve"> (نویسنده علمی تخیلی)، مثال‌های دیگری از </w:t>
      </w:r>
      <w:r w:rsidR="00B124DE" w:rsidRPr="0025250D">
        <w:rPr>
          <w:rFonts w:hint="cs"/>
          <w:rtl/>
        </w:rPr>
        <w:t>آینده‌اندیش</w:t>
      </w:r>
      <w:r w:rsidRPr="0025250D">
        <w:rPr>
          <w:rFonts w:hint="cs"/>
          <w:rtl/>
        </w:rPr>
        <w:t>انی برجسته هستند که بیش‌تر تحت تأثیر شور و اشتیاق خلاقانه و اکتشافی هستند تا هر انگیزه دیگری. آن‌ها به موارد ممکن علاقه دارند.</w:t>
      </w:r>
    </w:p>
    <w:p w14:paraId="7B777870" w14:textId="0A746741" w:rsidR="00537CC8" w:rsidRPr="0025250D" w:rsidRDefault="00537CC8" w:rsidP="00492C47">
      <w:pPr>
        <w:numPr>
          <w:ilvl w:val="0"/>
          <w:numId w:val="32"/>
        </w:numPr>
        <w:rPr>
          <w:rtl/>
        </w:rPr>
      </w:pPr>
      <w:r w:rsidRPr="0025250D">
        <w:rPr>
          <w:rFonts w:hint="cs"/>
          <w:rtl/>
        </w:rPr>
        <w:t xml:space="preserve">کارآفرینان به دنبال تفسیر </w:t>
      </w:r>
      <w:r w:rsidR="00B56611" w:rsidRPr="0025250D">
        <w:rPr>
          <w:rFonts w:hint="cs"/>
          <w:rtl/>
        </w:rPr>
        <w:t>چشم‌انداز</w:t>
      </w:r>
      <w:r w:rsidRPr="0025250D">
        <w:rPr>
          <w:rFonts w:hint="cs"/>
          <w:rtl/>
        </w:rPr>
        <w:t>‌های خلاقانه خود به محصولات و خدمات مفید در تیم‌ها هستند. آن‌ها نیز تحت تأثیر موارد ممکن هستند. یکی از بنیان گذاران کامپیوتر اپل یعنی استیو جابز</w:t>
      </w:r>
      <w:r w:rsidRPr="0025250D">
        <w:rPr>
          <w:vertAlign w:val="superscript"/>
          <w:rtl/>
        </w:rPr>
        <w:footnoteReference w:id="1314"/>
      </w:r>
      <w:r w:rsidRPr="0025250D">
        <w:rPr>
          <w:rFonts w:hint="cs"/>
          <w:rtl/>
        </w:rPr>
        <w:t xml:space="preserve"> یک مثال کاملا شناخته شده است. توجه داشته باشید که نیاز به خلق، کشف و اختراع (خلاقیت) و انگیزه برای نوآوری (ایجاد یک محصول یا خدمت جدید به عنوان یک کارآفرین) ارتباط نزدیکی با هم دارند. بااین‌وجود، تفاوت‌هایی حقیقی بین این دو وجود دارند. </w:t>
      </w:r>
      <w:r w:rsidR="007118DE" w:rsidRPr="0025250D">
        <w:rPr>
          <w:rFonts w:hint="cs"/>
          <w:rtl/>
        </w:rPr>
        <w:t>همان‌طور</w:t>
      </w:r>
      <w:r w:rsidRPr="0025250D">
        <w:rPr>
          <w:rFonts w:hint="cs"/>
          <w:rtl/>
        </w:rPr>
        <w:t xml:space="preserve"> که در کتاب 2 توصیف خواهیم کرد، کارآفرینانی که از </w:t>
      </w:r>
      <w:r w:rsidR="007A53FD" w:rsidRPr="0025250D">
        <w:rPr>
          <w:rFonts w:hint="cs"/>
          <w:rtl/>
        </w:rPr>
        <w:t>فناوری</w:t>
      </w:r>
      <w:r w:rsidRPr="0025250D">
        <w:rPr>
          <w:rFonts w:hint="cs"/>
          <w:rtl/>
        </w:rPr>
        <w:t xml:space="preserve"> کمک می‌گیرند، به طور مشخص در دهه‌های اخیر قدرتمند </w:t>
      </w:r>
      <w:r w:rsidR="00185F3E" w:rsidRPr="0025250D">
        <w:rPr>
          <w:rFonts w:hint="cs"/>
          <w:rtl/>
        </w:rPr>
        <w:t>شده‌اند</w:t>
      </w:r>
      <w:r w:rsidRPr="0025250D">
        <w:rPr>
          <w:rFonts w:hint="cs"/>
          <w:rtl/>
        </w:rPr>
        <w:t>. استارتاپ‌های پلتفرم نرم افزاری (فیسبوک، گوگل، آمازون، غیره) اکنون می‌توانند بسیار سریع رشد کنند و آزادی‌ها و محدودیت‌های فردی جدید بسیاری ایجاد کنند؛ آن‌ها به شکل فزاینده‌ای مسبب تغییرات اجتماعی هستند. در نتیجه به نظارت بیش‌تری نیاز دارند.</w:t>
      </w:r>
    </w:p>
    <w:p w14:paraId="31545128" w14:textId="6D464D1B" w:rsidR="00537CC8" w:rsidRPr="0025250D" w:rsidRDefault="00D30084" w:rsidP="00492C47">
      <w:pPr>
        <w:numPr>
          <w:ilvl w:val="0"/>
          <w:numId w:val="32"/>
        </w:numPr>
        <w:rPr>
          <w:rtl/>
        </w:rPr>
      </w:pPr>
      <w:r w:rsidRPr="0025250D">
        <w:rPr>
          <w:rtl/>
        </w:rPr>
        <w:t>آینده‌نگار</w:t>
      </w:r>
      <w:r w:rsidR="00537CC8" w:rsidRPr="0025250D">
        <w:rPr>
          <w:rFonts w:hint="cs"/>
          <w:rtl/>
        </w:rPr>
        <w:t>ان آکادمیک حداقل از زمان سالن‌های بحث عمومی یونان</w:t>
      </w:r>
      <w:r w:rsidR="00537CC8" w:rsidRPr="0025250D">
        <w:rPr>
          <w:vertAlign w:val="superscript"/>
          <w:rtl/>
        </w:rPr>
        <w:footnoteReference w:id="1315"/>
      </w:r>
      <w:r w:rsidR="00537CC8" w:rsidRPr="0025250D">
        <w:rPr>
          <w:rFonts w:hint="cs"/>
          <w:rtl/>
        </w:rPr>
        <w:t xml:space="preserve"> که توسط ارسطو در 334 سال پیش از میلاد مسیح بنیان گذاری شدند، وجود داشته‌اند. آن‌ها با تولد علم آمار اهمیت بیش‌تری یافتند. می‌بینیم که آن‌ها در دولت آمریکا حداقل از دهه 1930، در کمیته روند‌های اجتماعی اخیر</w:t>
      </w:r>
      <w:r w:rsidR="00537CC8" w:rsidRPr="0025250D">
        <w:rPr>
          <w:vertAlign w:val="superscript"/>
          <w:rtl/>
        </w:rPr>
        <w:footnoteReference w:id="1316"/>
      </w:r>
      <w:r w:rsidR="00537CC8" w:rsidRPr="0025250D">
        <w:rPr>
          <w:rFonts w:hint="cs"/>
          <w:rtl/>
        </w:rPr>
        <w:t xml:space="preserve"> رئیس جمهور </w:t>
      </w:r>
      <w:r w:rsidR="00537CC8" w:rsidRPr="0025250D">
        <w:rPr>
          <w:rtl/>
        </w:rPr>
        <w:t>هربرت هوور</w:t>
      </w:r>
      <w:r w:rsidR="00537CC8" w:rsidRPr="0025250D">
        <w:rPr>
          <w:vertAlign w:val="superscript"/>
          <w:rtl/>
        </w:rPr>
        <w:footnoteReference w:id="1317"/>
      </w:r>
      <w:r w:rsidR="00537CC8" w:rsidRPr="0025250D">
        <w:rPr>
          <w:rFonts w:hint="cs"/>
          <w:rtl/>
        </w:rPr>
        <w:t>، با وظیفه انجام یک نظر سنجی آماری از 24 جنبه زندگی آمریکایی در طول رکود</w:t>
      </w:r>
      <w:r w:rsidR="00537CC8" w:rsidRPr="0025250D">
        <w:rPr>
          <w:rtl/>
        </w:rPr>
        <w:t xml:space="preserve"> شد</w:t>
      </w:r>
      <w:r w:rsidR="00537CC8" w:rsidRPr="0025250D">
        <w:rPr>
          <w:rFonts w:hint="cs"/>
          <w:rtl/>
        </w:rPr>
        <w:t>ی</w:t>
      </w:r>
      <w:r w:rsidR="00537CC8" w:rsidRPr="0025250D">
        <w:rPr>
          <w:rFonts w:hint="eastAsia"/>
          <w:rtl/>
        </w:rPr>
        <w:t>د</w:t>
      </w:r>
      <w:r w:rsidR="00537CC8" w:rsidRPr="0025250D">
        <w:rPr>
          <w:rFonts w:hint="cs"/>
          <w:rtl/>
        </w:rPr>
        <w:t xml:space="preserve"> و پیشنهاد اقدامات فدرالی درمورد مسائل اجتماعی و اقتصادی وجود داشته‌اند. افراد آکادمیکی که برنامه‌های تحصیلی</w:t>
      </w:r>
      <w:r w:rsidR="00537CC8" w:rsidRPr="0025250D">
        <w:rPr>
          <w:rtl/>
        </w:rPr>
        <w:t xml:space="preserve"> </w:t>
      </w:r>
      <w:r w:rsidR="00537CC8" w:rsidRPr="0025250D">
        <w:rPr>
          <w:rFonts w:hint="cs"/>
          <w:rtl/>
        </w:rPr>
        <w:t xml:space="preserve">با کسب مدرک </w:t>
      </w:r>
      <w:r w:rsidR="00537CC8" w:rsidRPr="0025250D">
        <w:rPr>
          <w:rtl/>
        </w:rPr>
        <w:t>آینده‌نگاری</w:t>
      </w:r>
      <w:r w:rsidR="00537CC8" w:rsidRPr="0025250D">
        <w:rPr>
          <w:rFonts w:hint="cs"/>
          <w:rtl/>
        </w:rPr>
        <w:t xml:space="preserve"> را اجرا می‌کنند، مانند </w:t>
      </w:r>
      <w:r w:rsidR="00537CC8" w:rsidRPr="0025250D">
        <w:rPr>
          <w:rtl/>
        </w:rPr>
        <w:t>اند</w:t>
      </w:r>
      <w:r w:rsidR="00537CC8" w:rsidRPr="0025250D">
        <w:rPr>
          <w:rFonts w:hint="cs"/>
          <w:rtl/>
        </w:rPr>
        <w:t>ی</w:t>
      </w:r>
      <w:r w:rsidR="00537CC8" w:rsidRPr="0025250D">
        <w:rPr>
          <w:rtl/>
        </w:rPr>
        <w:t xml:space="preserve"> ها</w:t>
      </w:r>
      <w:r w:rsidR="00537CC8" w:rsidRPr="0025250D">
        <w:rPr>
          <w:rFonts w:hint="cs"/>
          <w:rtl/>
        </w:rPr>
        <w:t>ی</w:t>
      </w:r>
      <w:r w:rsidR="00537CC8" w:rsidRPr="0025250D">
        <w:rPr>
          <w:rFonts w:hint="eastAsia"/>
          <w:rtl/>
        </w:rPr>
        <w:t>نز</w:t>
      </w:r>
      <w:r w:rsidR="00537CC8" w:rsidRPr="0025250D">
        <w:rPr>
          <w:vertAlign w:val="superscript"/>
          <w:rtl/>
        </w:rPr>
        <w:footnoteReference w:id="1318"/>
      </w:r>
      <w:r w:rsidR="00537CC8" w:rsidRPr="0025250D">
        <w:rPr>
          <w:rFonts w:hint="cs"/>
          <w:rtl/>
        </w:rPr>
        <w:t xml:space="preserve"> در دانشگاه </w:t>
      </w:r>
      <w:r w:rsidR="00537CC8" w:rsidRPr="0025250D">
        <w:rPr>
          <w:rtl/>
        </w:rPr>
        <w:t>ه</w:t>
      </w:r>
      <w:r w:rsidR="00537CC8" w:rsidRPr="0025250D">
        <w:rPr>
          <w:rFonts w:hint="cs"/>
          <w:rtl/>
        </w:rPr>
        <w:t>ی</w:t>
      </w:r>
      <w:r w:rsidR="00537CC8" w:rsidRPr="0025250D">
        <w:rPr>
          <w:rFonts w:hint="eastAsia"/>
          <w:rtl/>
        </w:rPr>
        <w:t>وستون</w:t>
      </w:r>
      <w:r w:rsidR="00537CC8" w:rsidRPr="0025250D">
        <w:rPr>
          <w:rFonts w:hint="cs"/>
          <w:rtl/>
        </w:rPr>
        <w:t>، مثال‌هایی برجسته از چنین نقشی هستند</w:t>
      </w:r>
      <w:r w:rsidR="008D6F97" w:rsidRPr="0025250D">
        <w:rPr>
          <w:rtl/>
        </w:rPr>
        <w:t xml:space="preserve">؛ </w:t>
      </w:r>
      <w:r w:rsidR="00537CC8" w:rsidRPr="0025250D">
        <w:rPr>
          <w:rFonts w:hint="cs"/>
          <w:rtl/>
        </w:rPr>
        <w:t>اما هرکس، در داخل و خارج از دانشگاه‌ها که عمدتا انگیزه کشف، درک و توضیح جنبه‌هایی از جهان را داشته باشد مثالی از این نقش است.</w:t>
      </w:r>
    </w:p>
    <w:p w14:paraId="0ABA37BD" w14:textId="3AD4CB19" w:rsidR="00537CC8" w:rsidRPr="0025250D" w:rsidRDefault="00D30084" w:rsidP="00492C47">
      <w:pPr>
        <w:numPr>
          <w:ilvl w:val="0"/>
          <w:numId w:val="32"/>
        </w:numPr>
        <w:rPr>
          <w:rtl/>
        </w:rPr>
      </w:pPr>
      <w:r w:rsidRPr="0025250D">
        <w:rPr>
          <w:rtl/>
        </w:rPr>
        <w:t>آینده‌نگار</w:t>
      </w:r>
      <w:r w:rsidR="00537CC8" w:rsidRPr="0025250D">
        <w:rPr>
          <w:rFonts w:hint="cs"/>
          <w:rtl/>
        </w:rPr>
        <w:t xml:space="preserve">ان دفاعی معمولا در جوامع اطلاعاتی ما یافت می‌شوند که در جنگ جهانی اول پدیدار شدند و پس از جنگ جهانی دوم تخصص یافتند. اطلاعات، تحلیل روند‌ها و اندیشکده‌های </w:t>
      </w:r>
      <w:r w:rsidR="00537CC8" w:rsidRPr="0025250D">
        <w:rPr>
          <w:rtl/>
        </w:rPr>
        <w:t>آینده‌نگاری</w:t>
      </w:r>
      <w:r w:rsidR="00537CC8" w:rsidRPr="0025250D">
        <w:rPr>
          <w:rFonts w:hint="cs"/>
          <w:rtl/>
        </w:rPr>
        <w:t xml:space="preserve"> مانند </w:t>
      </w:r>
      <w:r w:rsidR="00537CC8" w:rsidRPr="0025250D">
        <w:t>SRI</w:t>
      </w:r>
      <w:r w:rsidR="00537CC8" w:rsidRPr="0025250D">
        <w:rPr>
          <w:rFonts w:hint="cs"/>
          <w:rtl/>
        </w:rPr>
        <w:t xml:space="preserve">، </w:t>
      </w:r>
      <w:r w:rsidR="00537CC8" w:rsidRPr="0025250D">
        <w:t>RAND</w:t>
      </w:r>
      <w:r w:rsidR="00537CC8" w:rsidRPr="0025250D">
        <w:rPr>
          <w:rFonts w:hint="cs"/>
          <w:rtl/>
        </w:rPr>
        <w:t xml:space="preserve">، </w:t>
      </w:r>
      <w:r w:rsidR="00537CC8" w:rsidRPr="0025250D">
        <w:t>ONR</w:t>
      </w:r>
      <w:r w:rsidR="00537CC8" w:rsidRPr="0025250D">
        <w:rPr>
          <w:rFonts w:hint="cs"/>
          <w:rtl/>
        </w:rPr>
        <w:t xml:space="preserve">، </w:t>
      </w:r>
      <w:r w:rsidR="00537CC8" w:rsidRPr="0025250D">
        <w:t>DRPA</w:t>
      </w:r>
      <w:r w:rsidR="00537CC8" w:rsidRPr="0025250D">
        <w:rPr>
          <w:rFonts w:hint="cs"/>
          <w:rtl/>
        </w:rPr>
        <w:t xml:space="preserve"> و دیگر موارد همگی در آمریکا در طول دهه‌های 1940 و 1950 و بعد از آن پدیدار شدند. </w:t>
      </w:r>
      <w:r w:rsidR="00537CC8" w:rsidRPr="0025250D">
        <w:rPr>
          <w:rtl/>
        </w:rPr>
        <w:t>هرمان کان</w:t>
      </w:r>
      <w:r w:rsidR="00537CC8" w:rsidRPr="0025250D">
        <w:rPr>
          <w:rFonts w:hint="cs"/>
          <w:rtl/>
        </w:rPr>
        <w:t xml:space="preserve"> مثال معروفی از چنین رهبر </w:t>
      </w:r>
      <w:r w:rsidR="00537CC8" w:rsidRPr="0025250D">
        <w:rPr>
          <w:rtl/>
        </w:rPr>
        <w:t>آینده‌نگاری</w:t>
      </w:r>
      <w:r w:rsidR="00537CC8" w:rsidRPr="0025250D">
        <w:rPr>
          <w:rFonts w:hint="cs"/>
          <w:rtl/>
        </w:rPr>
        <w:t xml:space="preserve"> می‌باشد. افراد بسیار دیگری نیز امروزه در خدمات دفاعی و جوامع اطلاعاتی ما وجود دارند. از نظر تاریخی، دفاع تنها دربرگیرنده نقش‌های امنیتی و نظامی بوده است</w:t>
      </w:r>
      <w:r w:rsidR="008D6F97" w:rsidRPr="0025250D">
        <w:rPr>
          <w:rtl/>
        </w:rPr>
        <w:t xml:space="preserve">؛ </w:t>
      </w:r>
      <w:r w:rsidR="0020589F" w:rsidRPr="0025250D">
        <w:rPr>
          <w:rtl/>
        </w:rPr>
        <w:t>اما</w:t>
      </w:r>
      <w:r w:rsidR="00537CC8" w:rsidRPr="0025250D">
        <w:rPr>
          <w:rFonts w:hint="cs"/>
          <w:rtl/>
        </w:rPr>
        <w:t xml:space="preserve"> از زمان ظهور </w:t>
      </w:r>
      <w:r w:rsidR="00537CC8" w:rsidRPr="0025250D">
        <w:rPr>
          <w:rtl/>
        </w:rPr>
        <w:t>دفاع از مح</w:t>
      </w:r>
      <w:r w:rsidR="00537CC8" w:rsidRPr="0025250D">
        <w:rPr>
          <w:rFonts w:hint="cs"/>
          <w:rtl/>
        </w:rPr>
        <w:t>ی</w:t>
      </w:r>
      <w:r w:rsidR="00537CC8" w:rsidRPr="0025250D">
        <w:rPr>
          <w:rFonts w:hint="eastAsia"/>
          <w:rtl/>
        </w:rPr>
        <w:t>ط</w:t>
      </w:r>
      <w:r w:rsidR="00537CC8" w:rsidRPr="0025250D">
        <w:rPr>
          <w:rtl/>
        </w:rPr>
        <w:t xml:space="preserve"> ز</w:t>
      </w:r>
      <w:r w:rsidR="00537CC8" w:rsidRPr="0025250D">
        <w:rPr>
          <w:rFonts w:hint="cs"/>
          <w:rtl/>
        </w:rPr>
        <w:t>ی</w:t>
      </w:r>
      <w:r w:rsidR="00537CC8" w:rsidRPr="0025250D">
        <w:rPr>
          <w:rFonts w:hint="eastAsia"/>
          <w:rtl/>
        </w:rPr>
        <w:t>ست</w:t>
      </w:r>
      <w:r w:rsidR="00537CC8" w:rsidRPr="0025250D">
        <w:rPr>
          <w:vertAlign w:val="superscript"/>
          <w:rtl/>
        </w:rPr>
        <w:footnoteReference w:id="1319"/>
      </w:r>
      <w:r w:rsidR="00537CC8" w:rsidRPr="0025250D">
        <w:rPr>
          <w:rFonts w:hint="cs"/>
          <w:rtl/>
        </w:rPr>
        <w:t xml:space="preserve"> در دهه 1970 و جنبش‌های عدالت اجتماعی در قرن 21، این نقش اجتماعی اکنون هر کسی که برای محافظت از محیط زیست، حقوق گروه‌های ستم دیده یا هر نقش زیست محیطی یا محافظت اجتماعی دیگر مبارزه می‌کند را شامل می‌شود. یک نوع مشخص از افراد به سمت مأموریت محافظت کشیده می‌شوند و ممکن است در این محافظت هر از گاهی وارد تناقضات و کشمکش‌هایی شوند. چنین </w:t>
      </w:r>
      <w:r w:rsidR="00E41A8D" w:rsidRPr="0025250D">
        <w:rPr>
          <w:rFonts w:hint="cs"/>
          <w:rtl/>
        </w:rPr>
        <w:t>افرادی</w:t>
      </w:r>
      <w:r w:rsidR="00537CC8" w:rsidRPr="0025250D">
        <w:rPr>
          <w:rFonts w:hint="cs"/>
          <w:rtl/>
        </w:rPr>
        <w:t xml:space="preserve"> می‌توان</w:t>
      </w:r>
      <w:r w:rsidR="00E41A8D" w:rsidRPr="0025250D">
        <w:rPr>
          <w:rFonts w:hint="cs"/>
          <w:rtl/>
        </w:rPr>
        <w:t>ن</w:t>
      </w:r>
      <w:r w:rsidR="00537CC8" w:rsidRPr="0025250D">
        <w:rPr>
          <w:rFonts w:hint="cs"/>
          <w:rtl/>
        </w:rPr>
        <w:t>د از هر خط سیاسی باش</w:t>
      </w:r>
      <w:r w:rsidR="00E41A8D" w:rsidRPr="0025250D">
        <w:rPr>
          <w:rFonts w:hint="cs"/>
          <w:rtl/>
        </w:rPr>
        <w:t>ن</w:t>
      </w:r>
      <w:r w:rsidR="00537CC8" w:rsidRPr="0025250D">
        <w:rPr>
          <w:rFonts w:hint="cs"/>
          <w:rtl/>
        </w:rPr>
        <w:t>د.</w:t>
      </w:r>
    </w:p>
    <w:p w14:paraId="24F8F6B9" w14:textId="6D829D11" w:rsidR="00537CC8" w:rsidRPr="0025250D" w:rsidRDefault="00D30084" w:rsidP="00492C47">
      <w:pPr>
        <w:numPr>
          <w:ilvl w:val="0"/>
          <w:numId w:val="32"/>
        </w:numPr>
        <w:rPr>
          <w:rtl/>
        </w:rPr>
      </w:pPr>
      <w:r w:rsidRPr="0025250D">
        <w:rPr>
          <w:rtl/>
        </w:rPr>
        <w:t>آینده‌نگار</w:t>
      </w:r>
      <w:r w:rsidR="00537CC8" w:rsidRPr="0025250D">
        <w:rPr>
          <w:rFonts w:hint="cs"/>
          <w:rtl/>
        </w:rPr>
        <w:t xml:space="preserve">ان مشاور همواره با ما </w:t>
      </w:r>
      <w:r w:rsidR="00B124DE" w:rsidRPr="0025250D">
        <w:rPr>
          <w:rFonts w:hint="cs"/>
          <w:rtl/>
        </w:rPr>
        <w:t>بوده‌اند</w:t>
      </w:r>
      <w:r w:rsidR="00537CC8" w:rsidRPr="0025250D">
        <w:rPr>
          <w:rFonts w:hint="cs"/>
          <w:rtl/>
        </w:rPr>
        <w:t xml:space="preserve">، اما این گروه در محیط شرکتی مدرن ما در دهه 1950 اهمیت بیش‌تری </w:t>
      </w:r>
      <w:r w:rsidR="0008779C" w:rsidRPr="0025250D">
        <w:rPr>
          <w:rFonts w:hint="cs"/>
          <w:rtl/>
        </w:rPr>
        <w:t>یافته‌اند</w:t>
      </w:r>
      <w:r w:rsidR="00537CC8" w:rsidRPr="0025250D">
        <w:rPr>
          <w:rFonts w:hint="cs"/>
          <w:rtl/>
        </w:rPr>
        <w:t xml:space="preserve">. آن‌ها قابل رؤیت‌ترین فراهم آورندگان </w:t>
      </w:r>
      <w:r w:rsidR="00537CC8" w:rsidRPr="0025250D">
        <w:rPr>
          <w:rtl/>
        </w:rPr>
        <w:t>آینده‌نگاری</w:t>
      </w:r>
      <w:r w:rsidR="00537CC8" w:rsidRPr="0025250D">
        <w:rPr>
          <w:rFonts w:hint="cs"/>
          <w:rtl/>
        </w:rPr>
        <w:t xml:space="preserve"> سازمانی </w:t>
      </w:r>
      <w:r w:rsidR="00B124DE" w:rsidRPr="0025250D">
        <w:rPr>
          <w:rFonts w:hint="cs"/>
          <w:rtl/>
        </w:rPr>
        <w:t>بوده‌اند</w:t>
      </w:r>
      <w:r w:rsidR="00537CC8" w:rsidRPr="0025250D">
        <w:rPr>
          <w:rFonts w:hint="cs"/>
          <w:rtl/>
        </w:rPr>
        <w:t xml:space="preserve">، اما بزرگترین گروه پیوند دهنده نیستند. مشاوران در تعریف خود شرکای خارجی برای یک تیم هستند. مشاوران داخلی متعددی نیز درون سازمان‌ها حضو دارند و به تیم‌های داخلی که مدیر آن‌ها نیستند مشاوره می‌دهند. آن‌ها اغلب رهبران غیر رسمی هستند. راهی کلیدی برای تشخیص یک مشاور از یک مدیر این است که ببینیم آیا بر انجام مشاوره خارجی (ارائه تحلیل تصمیم‌ها، اولویت‌های </w:t>
      </w:r>
      <w:r w:rsidR="00701E03" w:rsidRPr="0025250D">
        <w:rPr>
          <w:rFonts w:hint="cs"/>
          <w:rtl/>
        </w:rPr>
        <w:t>راهبردی</w:t>
      </w:r>
      <w:r w:rsidR="00537CC8" w:rsidRPr="0025250D">
        <w:rPr>
          <w:rFonts w:hint="cs"/>
          <w:rtl/>
        </w:rPr>
        <w:t>، حمایت یا توصیه خارجی) متمرکز هستند یا تمرکز بیش‌تری بر جنبه‌های مدیریتی و عملی در یک سازمان دارند.</w:t>
      </w:r>
    </w:p>
    <w:p w14:paraId="7E1DDF5C" w14:textId="3672D2A8" w:rsidR="00537CC8" w:rsidRPr="0025250D" w:rsidRDefault="00D30084" w:rsidP="00492C47">
      <w:pPr>
        <w:numPr>
          <w:ilvl w:val="0"/>
          <w:numId w:val="32"/>
        </w:numPr>
        <w:rPr>
          <w:rtl/>
        </w:rPr>
      </w:pPr>
      <w:r w:rsidRPr="0025250D">
        <w:rPr>
          <w:rtl/>
        </w:rPr>
        <w:t>آینده‌نگار</w:t>
      </w:r>
      <w:r w:rsidR="00537CC8" w:rsidRPr="0025250D">
        <w:rPr>
          <w:rFonts w:hint="cs"/>
          <w:rtl/>
        </w:rPr>
        <w:t xml:space="preserve">ان مدیر بزرگترین و متنوع‌ترین نقش اجتماعی </w:t>
      </w:r>
      <w:r w:rsidR="00537CC8" w:rsidRPr="0025250D">
        <w:rPr>
          <w:rtl/>
        </w:rPr>
        <w:t>آینده‌نگاری</w:t>
      </w:r>
      <w:r w:rsidR="00537CC8" w:rsidRPr="0025250D">
        <w:rPr>
          <w:rFonts w:hint="cs"/>
          <w:rtl/>
        </w:rPr>
        <w:t xml:space="preserve"> هستند. آن‌ها </w:t>
      </w:r>
      <w:r w:rsidR="00537CC8" w:rsidRPr="0025250D">
        <w:rPr>
          <w:rtl/>
        </w:rPr>
        <w:t>آینده‌نگاری</w:t>
      </w:r>
      <w:r w:rsidR="00537CC8" w:rsidRPr="0025250D">
        <w:rPr>
          <w:rFonts w:hint="cs"/>
          <w:rtl/>
        </w:rPr>
        <w:t xml:space="preserve"> و اقدامات داخلی را در سازمان، در میان بیست تخصص مدیریت می‌کنند. برخی مدیران رهبران رسمی نیز هستند</w:t>
      </w:r>
      <w:r w:rsidR="008D6F97" w:rsidRPr="0025250D">
        <w:rPr>
          <w:rtl/>
        </w:rPr>
        <w:t xml:space="preserve">؛ </w:t>
      </w:r>
      <w:r w:rsidR="00537CC8" w:rsidRPr="0025250D">
        <w:rPr>
          <w:rFonts w:hint="cs"/>
          <w:rtl/>
        </w:rPr>
        <w:t xml:space="preserve">مانند کارآفرینان، مدیران اغلب برای </w:t>
      </w:r>
      <w:r w:rsidR="00537CC8" w:rsidRPr="0025250D">
        <w:rPr>
          <w:rtl/>
        </w:rPr>
        <w:t>آینده‌نگاری</w:t>
      </w:r>
      <w:r w:rsidR="00537CC8" w:rsidRPr="0025250D">
        <w:rPr>
          <w:rFonts w:hint="cs"/>
          <w:rtl/>
        </w:rPr>
        <w:t xml:space="preserve"> تولیدی خود در نقش هایشان کم‌تر مورد تقدیر و شناسایی قرار می‌گیرند. مدیران همواره بر افراد نظارت نمی‌کنند. مدیران محصول، فرایند و خدمات ممکن است گزارشات مستقیم نداشته باشند</w:t>
      </w:r>
      <w:r w:rsidR="008D6F97" w:rsidRPr="0025250D">
        <w:rPr>
          <w:rtl/>
        </w:rPr>
        <w:t xml:space="preserve">؛ </w:t>
      </w:r>
      <w:r w:rsidR="0020589F" w:rsidRPr="0025250D">
        <w:rPr>
          <w:rtl/>
        </w:rPr>
        <w:t>اما</w:t>
      </w:r>
      <w:r w:rsidR="00537CC8" w:rsidRPr="0025250D">
        <w:rPr>
          <w:rFonts w:hint="cs"/>
          <w:rtl/>
        </w:rPr>
        <w:t xml:space="preserve"> باید برخی فرایند‌های سازمانی را مدیریت کرده و از </w:t>
      </w:r>
      <w:r w:rsidR="00537CC8" w:rsidRPr="0025250D">
        <w:rPr>
          <w:rtl/>
        </w:rPr>
        <w:t>آینده‌نگاری</w:t>
      </w:r>
      <w:r w:rsidR="00537CC8" w:rsidRPr="0025250D">
        <w:rPr>
          <w:rFonts w:hint="cs"/>
          <w:rtl/>
        </w:rPr>
        <w:t xml:space="preserve"> و عمل در آن نقش استفاده کنند.</w:t>
      </w:r>
    </w:p>
    <w:p w14:paraId="5B0EC98D" w14:textId="7EBC947E" w:rsidR="00537CC8" w:rsidRPr="0025250D" w:rsidRDefault="00537CC8" w:rsidP="00537CC8">
      <w:pPr>
        <w:rPr>
          <w:rtl/>
        </w:rPr>
      </w:pPr>
      <w:r w:rsidRPr="0025250D">
        <w:rPr>
          <w:rFonts w:hint="cs"/>
          <w:rtl/>
        </w:rPr>
        <w:t xml:space="preserve">مانند دیگر کاربرد‌های هرم تکاملی-توسعه‌ای در این کتاب راهنما، می‌توانیم پیش‌بینی کنیم که در جوامع </w:t>
      </w:r>
      <w:r w:rsidR="00AE5BE0" w:rsidRPr="0025250D">
        <w:rPr>
          <w:rFonts w:hint="cs"/>
          <w:rtl/>
        </w:rPr>
        <w:t>انطباقی</w:t>
      </w:r>
      <w:r w:rsidRPr="0025250D">
        <w:rPr>
          <w:rFonts w:hint="cs"/>
          <w:rtl/>
        </w:rPr>
        <w:t>، تعداد قابل‌توجهی از مشاوران و مدیران را در میان خود نسبت به چهار گروه دیگر خواهیم داشت</w:t>
      </w:r>
      <w:r w:rsidR="008D6F97" w:rsidRPr="0025250D">
        <w:rPr>
          <w:rtl/>
        </w:rPr>
        <w:t xml:space="preserve">؛ </w:t>
      </w:r>
      <w:r w:rsidRPr="0025250D">
        <w:rPr>
          <w:rFonts w:hint="cs"/>
          <w:rtl/>
        </w:rPr>
        <w:t>اما این امر می‌تواند تنها شیوه</w:t>
      </w:r>
      <w:r w:rsidR="00E41A8D" w:rsidRPr="0025250D">
        <w:rPr>
          <w:rFonts w:hint="cs"/>
          <w:rtl/>
        </w:rPr>
        <w:t xml:space="preserve"> نشان دادن اهمیت بیشتر</w:t>
      </w:r>
      <w:r w:rsidRPr="0025250D">
        <w:rPr>
          <w:rFonts w:hint="cs"/>
          <w:rtl/>
        </w:rPr>
        <w:t xml:space="preserve"> این دو نقش </w:t>
      </w:r>
      <w:r w:rsidR="00E41A8D" w:rsidRPr="0025250D">
        <w:rPr>
          <w:rFonts w:hint="cs"/>
          <w:rtl/>
        </w:rPr>
        <w:t>باشد</w:t>
      </w:r>
      <w:r w:rsidRPr="0025250D">
        <w:rPr>
          <w:rFonts w:hint="cs"/>
          <w:rtl/>
        </w:rPr>
        <w:t xml:space="preserve">. هر سه گوشه این هرم برای ایجاد یک جامعه </w:t>
      </w:r>
      <w:r w:rsidR="00AE5BE0" w:rsidRPr="0025250D">
        <w:rPr>
          <w:rFonts w:hint="cs"/>
          <w:rtl/>
        </w:rPr>
        <w:t>انطباقی</w:t>
      </w:r>
      <w:r w:rsidRPr="0025250D">
        <w:rPr>
          <w:rFonts w:hint="cs"/>
          <w:rtl/>
        </w:rPr>
        <w:t xml:space="preserve"> لازم هستند. هر 6 نقش مانند نقش‌های تخصصی متعدد دیگری که می‌توانیم با این موارد </w:t>
      </w:r>
      <w:r w:rsidR="0008779C" w:rsidRPr="0025250D">
        <w:rPr>
          <w:rFonts w:hint="cs"/>
          <w:rtl/>
        </w:rPr>
        <w:t>ارتباط‌دهی</w:t>
      </w:r>
      <w:r w:rsidRPr="0025250D">
        <w:rPr>
          <w:rFonts w:hint="cs"/>
          <w:rtl/>
        </w:rPr>
        <w:t>م مهم هستند.</w:t>
      </w:r>
    </w:p>
    <w:p w14:paraId="61570D3F" w14:textId="65F88687" w:rsidR="00537CC8" w:rsidRPr="0025250D" w:rsidRDefault="00537CC8" w:rsidP="00537CC8">
      <w:pPr>
        <w:rPr>
          <w:rtl/>
        </w:rPr>
      </w:pPr>
      <w:r w:rsidRPr="0025250D">
        <w:rPr>
          <w:rFonts w:hint="cs"/>
          <w:rtl/>
        </w:rPr>
        <w:t xml:space="preserve">در حالی که هر یک از ما ترجیح می‌دهیم که بر یک یا چند مورد از این 6 نقش در زمینه‌های متعدد تمرکز کنیم، </w:t>
      </w:r>
      <w:r w:rsidRPr="0025250D">
        <w:rPr>
          <w:rtl/>
        </w:rPr>
        <w:t>آینده‌نگاری</w:t>
      </w:r>
      <w:r w:rsidRPr="0025250D">
        <w:rPr>
          <w:rFonts w:hint="cs"/>
          <w:rtl/>
        </w:rPr>
        <w:t xml:space="preserve"> تکاملی-توسعه‌ای مؤثر به استفاده و متوازن سازی هر سه گروه از این نقش‌های سه گانه اجتماعی نیاز دارد. همه ما حداقل کمی به هر یک از این 6 نقش در طول دوران کاری خود وارد می‌شویم. برخی از ما بار‌ها نقش خود را در طول دوران کاری خود تغییر می‌دهیم. بااین‌وجود، بیش‌تر ما تنها بر چند مورد از این نقش‌ها در هر زمان تمرکز می‌کنیم. کارسپاران ما نیز معمولا از نظر ذهنی ما را به تنها یک یا دو مورد از این نقش‌ها در هر زمان، بر اساس عمومی‌ترین یا مشتری مدار‌ترین فعالیت‌ها، به شکل یک میان بر ذهنی برای کسانی که ما برای آن‌ها نقش متخصص را داریم، تخصیص می‌دهند.</w:t>
      </w:r>
    </w:p>
    <w:p w14:paraId="63A420B9" w14:textId="75DB0D8F" w:rsidR="00537CC8" w:rsidRPr="0025250D" w:rsidRDefault="00537CC8" w:rsidP="00537CC8">
      <w:pPr>
        <w:rPr>
          <w:rtl/>
        </w:rPr>
      </w:pPr>
      <w:r w:rsidRPr="0025250D">
        <w:rPr>
          <w:rFonts w:hint="cs"/>
          <w:rtl/>
        </w:rPr>
        <w:t>اکنون در نظر بگیرید که کدام یک از این 6 نقش برای شما جذاب‌تر هستند؟ کدام یک کم‌ترین جذابیت را دارند؟ در فهرست بالا، در کنار نقش‌هایی که به صورت طبیعی برای شما جذاب هستند یک علامت تیک، درکنار مواردی که به صورت طبیعی جذابیتی برای شما ایجاد نمی‌کنند</w:t>
      </w:r>
      <w:r w:rsidR="00E41A8D" w:rsidRPr="0025250D">
        <w:rPr>
          <w:rFonts w:hint="cs"/>
          <w:rtl/>
        </w:rPr>
        <w:t xml:space="preserve"> یک علامت ضربدر</w:t>
      </w:r>
      <w:r w:rsidRPr="0025250D">
        <w:rPr>
          <w:rFonts w:hint="cs"/>
          <w:rtl/>
        </w:rPr>
        <w:t xml:space="preserve"> و در کنار نقش‌هایی که ممکن است به بررسی بیش‌تری نیاز داشته باشند</w:t>
      </w:r>
      <w:r w:rsidR="00E41A8D" w:rsidRPr="0025250D">
        <w:rPr>
          <w:rFonts w:hint="cs"/>
          <w:rtl/>
        </w:rPr>
        <w:t xml:space="preserve"> یک علامت سؤال </w:t>
      </w:r>
      <w:r w:rsidRPr="0025250D">
        <w:rPr>
          <w:rFonts w:hint="cs"/>
          <w:rtl/>
        </w:rPr>
        <w:t xml:space="preserve">بگذارید. در فصل گزینه‌های شغلی کتاب راهنمای آنلاین، یک دسته بندی تقریبی از چند رهبر بهتر شناخته شده </w:t>
      </w:r>
      <w:r w:rsidRPr="0025250D">
        <w:rPr>
          <w:rtl/>
        </w:rPr>
        <w:t>آینده‌نگاری</w:t>
      </w:r>
      <w:r w:rsidRPr="0025250D">
        <w:rPr>
          <w:rFonts w:hint="cs"/>
          <w:rtl/>
        </w:rPr>
        <w:t xml:space="preserve"> را در هر یک از نقش‌های عمده برای هر یک از این 6 نوع ارائه می‌دهیم. آن فهرست را در صورت تمایل به مشاهده مثال‌های بیش‌تر از متخصصین فعال که به نظر به طور مشخص بر یکی از این 6 نقش اجتماعی بیش از بقیه تمرکز دارند، ببینید. هر چه زود‌تر نقش‌های مطلوب خود را بیابیم و بیاموزیم که برای دیگران ارزش قائل شده و با همه افراد در نقش‌های مختلف همکاری کنیم، زود‌تر می‌توانیم به موفقیت برسیم. یافتن جایگاه خود در این فضای اجتماعی </w:t>
      </w:r>
      <w:r w:rsidRPr="0025250D">
        <w:rPr>
          <w:rFonts w:cs="Times New Roman" w:hint="cs"/>
          <w:rtl/>
        </w:rPr>
        <w:t>–</w:t>
      </w:r>
      <w:r w:rsidRPr="0025250D">
        <w:rPr>
          <w:rFonts w:hint="cs"/>
          <w:rtl/>
        </w:rPr>
        <w:t xml:space="preserve"> و تخصص‌های منحصر به فرد خود </w:t>
      </w:r>
      <w:r w:rsidRPr="0025250D">
        <w:rPr>
          <w:rFonts w:cs="Times New Roman" w:hint="cs"/>
          <w:rtl/>
        </w:rPr>
        <w:t>–</w:t>
      </w:r>
      <w:r w:rsidRPr="0025250D">
        <w:rPr>
          <w:rFonts w:hint="cs"/>
          <w:rtl/>
        </w:rPr>
        <w:t xml:space="preserve"> گامی کلیدی در سفر تخصصی ما است.</w:t>
      </w:r>
    </w:p>
    <w:p w14:paraId="2A883632" w14:textId="77777777" w:rsidR="00537CC8" w:rsidRPr="0025250D" w:rsidRDefault="00537CC8" w:rsidP="00537CC8">
      <w:pPr>
        <w:rPr>
          <w:rtl/>
        </w:rPr>
      </w:pPr>
    </w:p>
    <w:p w14:paraId="4693DF99" w14:textId="77777777" w:rsidR="00537CC8" w:rsidRPr="0025250D" w:rsidRDefault="00537CC8" w:rsidP="00537CC8">
      <w:pPr>
        <w:rPr>
          <w:rtl/>
        </w:rPr>
      </w:pPr>
    </w:p>
    <w:p w14:paraId="4B2EB27B" w14:textId="1AD905EC" w:rsidR="00537CC8" w:rsidRPr="0025250D" w:rsidRDefault="00537CC8" w:rsidP="000A674B">
      <w:pPr>
        <w:pStyle w:val="Heading2"/>
        <w:rPr>
          <w:rtl/>
        </w:rPr>
      </w:pPr>
      <w:bookmarkStart w:id="38" w:name="_Toc127831303"/>
      <w:r w:rsidRPr="0025250D">
        <w:rPr>
          <w:rFonts w:hint="cs"/>
          <w:rtl/>
        </w:rPr>
        <w:t xml:space="preserve">هرم‌های </w:t>
      </w:r>
      <w:r w:rsidRPr="0025250D">
        <w:rPr>
          <w:rtl/>
        </w:rPr>
        <w:t>آینده‌نگاری</w:t>
      </w:r>
      <w:r w:rsidRPr="0025250D">
        <w:rPr>
          <w:rFonts w:hint="cs"/>
          <w:rtl/>
        </w:rPr>
        <w:t xml:space="preserve"> هنجاری: یافتن ارزش‌ها و </w:t>
      </w:r>
      <w:r w:rsidR="00B56611" w:rsidRPr="0025250D">
        <w:rPr>
          <w:rFonts w:hint="cs"/>
          <w:rtl/>
        </w:rPr>
        <w:t>چشم‌انداز</w:t>
      </w:r>
      <w:r w:rsidRPr="0025250D">
        <w:rPr>
          <w:rFonts w:hint="cs"/>
          <w:rtl/>
        </w:rPr>
        <w:t>‌های موفقیت</w:t>
      </w:r>
      <w:bookmarkEnd w:id="38"/>
    </w:p>
    <w:p w14:paraId="5981ED80" w14:textId="67D283D3" w:rsidR="00537CC8" w:rsidRPr="0025250D" w:rsidRDefault="00537CC8" w:rsidP="00165473">
      <w:pPr>
        <w:rPr>
          <w:rtl/>
        </w:rPr>
      </w:pPr>
      <w:r w:rsidRPr="0025250D">
        <w:rPr>
          <w:rFonts w:hint="cs"/>
          <w:rtl/>
        </w:rPr>
        <w:t>اکنون زمان بحث درمورد یک چالش نهایی</w:t>
      </w:r>
      <w:r w:rsidRPr="0025250D">
        <w:rPr>
          <w:rtl/>
        </w:rPr>
        <w:t xml:space="preserve"> آینده‌نگاری</w:t>
      </w:r>
      <w:r w:rsidRPr="0025250D">
        <w:rPr>
          <w:rFonts w:hint="cs"/>
          <w:rtl/>
        </w:rPr>
        <w:t xml:space="preserve">، یعنی ایجاد ارزش‌ها و </w:t>
      </w:r>
      <w:r w:rsidR="00B56611" w:rsidRPr="0025250D">
        <w:rPr>
          <w:rFonts w:hint="cs"/>
          <w:rtl/>
        </w:rPr>
        <w:t>چشم‌انداز</w:t>
      </w:r>
      <w:r w:rsidRPr="0025250D">
        <w:rPr>
          <w:rFonts w:hint="cs"/>
          <w:rtl/>
        </w:rPr>
        <w:t xml:space="preserve">‌هایی است که به ما برای داشتن یک زندگی موفق کمک می‌کنند. این موضوع پیچیده، </w:t>
      </w:r>
      <w:r w:rsidRPr="0025250D">
        <w:rPr>
          <w:rtl/>
        </w:rPr>
        <w:t>آینده‌نگاری</w:t>
      </w:r>
      <w:r w:rsidRPr="0025250D">
        <w:rPr>
          <w:rFonts w:hint="cs"/>
          <w:rtl/>
        </w:rPr>
        <w:t xml:space="preserve"> هنجاری</w:t>
      </w:r>
      <w:r w:rsidRPr="0025250D">
        <w:rPr>
          <w:vertAlign w:val="superscript"/>
          <w:rtl/>
        </w:rPr>
        <w:footnoteReference w:id="1320"/>
      </w:r>
      <w:r w:rsidRPr="0025250D">
        <w:rPr>
          <w:rFonts w:hint="cs"/>
          <w:rtl/>
        </w:rPr>
        <w:t xml:space="preserve"> نامیده می‌شود. با استفاده از مدل‌های </w:t>
      </w:r>
      <w:r w:rsidRPr="0025250D">
        <w:rPr>
          <w:rtl/>
        </w:rPr>
        <w:t xml:space="preserve">تکاملی-توسعه‌ای </w:t>
      </w:r>
      <w:r w:rsidRPr="0025250D">
        <w:rPr>
          <w:rFonts w:hint="cs"/>
          <w:rtl/>
        </w:rPr>
        <w:t xml:space="preserve">در می‌یابیم که اتخاذ رویکرد هرم </w:t>
      </w:r>
      <w:r w:rsidRPr="0025250D">
        <w:rPr>
          <w:rtl/>
        </w:rPr>
        <w:t>آینده‌نگاری</w:t>
      </w:r>
      <w:r w:rsidRPr="0025250D">
        <w:rPr>
          <w:rFonts w:hint="cs"/>
          <w:rtl/>
        </w:rPr>
        <w:t xml:space="preserve"> هنجاری برای پرداختن به این موضوع بسیار مفید است. با داشتن ارزش‌ها و </w:t>
      </w:r>
      <w:r w:rsidR="00B56611" w:rsidRPr="0025250D">
        <w:rPr>
          <w:rFonts w:hint="cs"/>
          <w:rtl/>
        </w:rPr>
        <w:t>چشم‌انداز</w:t>
      </w:r>
      <w:r w:rsidRPr="0025250D">
        <w:rPr>
          <w:rFonts w:hint="cs"/>
          <w:rtl/>
        </w:rPr>
        <w:t xml:space="preserve">‌های درست، می‌توانیم از همه ابزار‌های </w:t>
      </w:r>
      <w:r w:rsidRPr="0025250D">
        <w:rPr>
          <w:rtl/>
        </w:rPr>
        <w:t>آینده‌نگاری</w:t>
      </w:r>
      <w:r w:rsidRPr="0025250D">
        <w:rPr>
          <w:rFonts w:hint="cs"/>
          <w:rtl/>
        </w:rPr>
        <w:t xml:space="preserve"> در این کتاب برای پیشرفت استفاده کنیم. بدون ارزش‌ها و </w:t>
      </w:r>
      <w:r w:rsidR="00B56611" w:rsidRPr="0025250D">
        <w:rPr>
          <w:rFonts w:hint="cs"/>
          <w:rtl/>
        </w:rPr>
        <w:t>چشم‌انداز</w:t>
      </w:r>
      <w:r w:rsidRPr="0025250D">
        <w:rPr>
          <w:rFonts w:hint="cs"/>
          <w:rtl/>
        </w:rPr>
        <w:t>‌های خوب، ممکن است بتوانیم از ابزار‌ها در کوتاه مدت به خوبی استفاده کنیم، اما خانه خود را بر یک زیربنای ضعیف ساخته</w:t>
      </w:r>
      <w:r w:rsidR="00165473" w:rsidRPr="0025250D">
        <w:rPr>
          <w:rFonts w:hint="cs"/>
          <w:rtl/>
        </w:rPr>
        <w:t>‌</w:t>
      </w:r>
      <w:r w:rsidRPr="0025250D">
        <w:rPr>
          <w:rFonts w:hint="cs"/>
          <w:rtl/>
        </w:rPr>
        <w:t>ایم</w:t>
      </w:r>
      <w:r w:rsidR="008D6F97" w:rsidRPr="0025250D">
        <w:rPr>
          <w:rtl/>
        </w:rPr>
        <w:t xml:space="preserve">؛ </w:t>
      </w:r>
      <w:r w:rsidRPr="0025250D">
        <w:rPr>
          <w:rFonts w:hint="cs"/>
          <w:rtl/>
        </w:rPr>
        <w:t>بنابراین، به موفقیت با دوام دست نخواهیم یافت.</w:t>
      </w:r>
    </w:p>
    <w:p w14:paraId="68813904" w14:textId="3290DDD3" w:rsidR="00537CC8" w:rsidRPr="0025250D" w:rsidRDefault="00537CC8" w:rsidP="00537CC8">
      <w:pPr>
        <w:rPr>
          <w:rtl/>
        </w:rPr>
      </w:pPr>
      <w:r w:rsidRPr="0025250D">
        <w:rPr>
          <w:rFonts w:hint="cs"/>
          <w:rtl/>
        </w:rPr>
        <w:t xml:space="preserve">هر کتابی درمورد </w:t>
      </w:r>
      <w:r w:rsidRPr="0025250D">
        <w:rPr>
          <w:rtl/>
        </w:rPr>
        <w:t>آینده‌نگاری</w:t>
      </w:r>
      <w:r w:rsidRPr="0025250D">
        <w:rPr>
          <w:rFonts w:hint="cs"/>
          <w:rtl/>
        </w:rPr>
        <w:t xml:space="preserve"> باید در مورد شخصیت، ارزش‌ها، معنا و هدف، در جستوی فراگیری، بحث کند، حتی اگر این جستجو همواره تجربی و ناکامل باشد. هنگام بررسی مدل‌های زیر می‌توانیم هر یک از خود بپرسیم که در کجا با آن‌ها موافقیم یا موافق نیستیم. ما باید همگی برای تفکر در مورد این که موفقیت و پیشرفت چه معنایی برای ما، به صورت </w:t>
      </w:r>
      <w:r w:rsidR="001A3F0A" w:rsidRPr="0025250D">
        <w:rPr>
          <w:rFonts w:hint="cs"/>
          <w:rtl/>
        </w:rPr>
        <w:t>فردی</w:t>
      </w:r>
      <w:r w:rsidRPr="0025250D">
        <w:rPr>
          <w:rFonts w:hint="cs"/>
          <w:rtl/>
        </w:rPr>
        <w:t xml:space="preserve"> دارند زمان بگذاریم. افکار و باور‌های ما در مورد </w:t>
      </w:r>
      <w:r w:rsidR="00B56611" w:rsidRPr="0025250D">
        <w:rPr>
          <w:rFonts w:hint="cs"/>
          <w:rtl/>
        </w:rPr>
        <w:t>چشم‌انداز</w:t>
      </w:r>
      <w:r w:rsidRPr="0025250D">
        <w:rPr>
          <w:rFonts w:hint="cs"/>
          <w:rtl/>
        </w:rPr>
        <w:t xml:space="preserve">‌ها، ارزش‌ها، معنا و هدف زندگی هایمان همواره ناقص خواهد بود، اما می‌توانند با گذشت زمان، با ادامه زندگی، بیان افکارمان برای دیگران، کسب بازخورد و یادگیری شفاف‌تر شوند. </w:t>
      </w:r>
      <w:r w:rsidR="00165473" w:rsidRPr="0025250D">
        <w:rPr>
          <w:rFonts w:hint="cs"/>
          <w:rtl/>
        </w:rPr>
        <w:t>اجرای</w:t>
      </w:r>
      <w:r w:rsidRPr="0025250D">
        <w:rPr>
          <w:rFonts w:hint="cs"/>
          <w:rtl/>
        </w:rPr>
        <w:t xml:space="preserve"> حلقه‌های انجام در کار </w:t>
      </w:r>
      <w:r w:rsidRPr="0025250D">
        <w:rPr>
          <w:rtl/>
        </w:rPr>
        <w:t>آینده‌نگاری</w:t>
      </w:r>
      <w:r w:rsidRPr="0025250D">
        <w:rPr>
          <w:rFonts w:hint="cs"/>
          <w:rtl/>
        </w:rPr>
        <w:t xml:space="preserve"> هنجاری، تحلیل ارزش‌ها و اقداماتمان، ما را به سمت موفقیت هدایت خواهد کرد.</w:t>
      </w:r>
    </w:p>
    <w:p w14:paraId="40752F69" w14:textId="77777777" w:rsidR="00537CC8" w:rsidRPr="0025250D" w:rsidRDefault="00537CC8" w:rsidP="000A674B">
      <w:pPr>
        <w:pStyle w:val="Heading3"/>
        <w:rPr>
          <w:rtl/>
        </w:rPr>
      </w:pPr>
      <w:r w:rsidRPr="0025250D">
        <w:rPr>
          <w:rFonts w:hint="cs"/>
          <w:rtl/>
        </w:rPr>
        <w:t xml:space="preserve">هرم افلاطون </w:t>
      </w:r>
      <w:r w:rsidRPr="0025250D">
        <w:rPr>
          <w:rFonts w:ascii="Times New Roman" w:hAnsi="Times New Roman" w:cs="Times New Roman" w:hint="cs"/>
          <w:rtl/>
        </w:rPr>
        <w:t>–</w:t>
      </w:r>
      <w:r w:rsidRPr="0025250D">
        <w:rPr>
          <w:rFonts w:hint="cs"/>
          <w:rtl/>
        </w:rPr>
        <w:t xml:space="preserve"> سه ارزش زندگی</w:t>
      </w:r>
    </w:p>
    <w:p w14:paraId="6AA8AAA1" w14:textId="17927F73" w:rsidR="00537CC8" w:rsidRPr="0025250D" w:rsidRDefault="00537CC8" w:rsidP="00537CC8">
      <w:pPr>
        <w:rPr>
          <w:rtl/>
        </w:rPr>
      </w:pPr>
      <w:r w:rsidRPr="0025250D">
        <w:rPr>
          <w:rFonts w:hint="cs"/>
          <w:rtl/>
        </w:rPr>
        <w:t xml:space="preserve">در جستجوی خود برای یک زیربنای منسجم برای </w:t>
      </w:r>
      <w:r w:rsidR="00AE5BE0" w:rsidRPr="0025250D">
        <w:rPr>
          <w:rFonts w:hint="cs"/>
          <w:rtl/>
        </w:rPr>
        <w:t>انطباق</w:t>
      </w:r>
      <w:r w:rsidRPr="0025250D">
        <w:rPr>
          <w:rFonts w:hint="cs"/>
          <w:rtl/>
        </w:rPr>
        <w:t xml:space="preserve"> و ارزش‌ها، بیایید هرم افلاطون را مجددا ببینیم. به یاد داشته باشید این هرم </w:t>
      </w:r>
      <w:r w:rsidRPr="0025250D">
        <w:rPr>
          <w:rtl/>
        </w:rPr>
        <w:t>تکاملی-توسعه ای</w:t>
      </w:r>
      <w:r w:rsidRPr="0025250D">
        <w:rPr>
          <w:rFonts w:hint="cs"/>
          <w:rtl/>
        </w:rPr>
        <w:t xml:space="preserve">، از دیدگاه ارزش‌ها است. بگذارید بار دیگر ببینیم که چرا این سه دیدگاه خاص سه شیوه فراگیر برای درک اهداف، معنا و هدف زندگی </w:t>
      </w:r>
      <w:r w:rsidR="00165473" w:rsidRPr="0025250D">
        <w:rPr>
          <w:rFonts w:hint="cs"/>
          <w:rtl/>
        </w:rPr>
        <w:t>در اختیار ما قرار</w:t>
      </w:r>
      <w:r w:rsidRPr="0025250D">
        <w:rPr>
          <w:rFonts w:hint="cs"/>
          <w:rtl/>
        </w:rPr>
        <w:t xml:space="preserve"> می‌دهند.</w:t>
      </w:r>
    </w:p>
    <w:p w14:paraId="63A6DA5F" w14:textId="724EEACF" w:rsidR="00537CC8" w:rsidRPr="0025250D" w:rsidRDefault="00537CC8" w:rsidP="00537CC8">
      <w:pPr>
        <w:rPr>
          <w:rtl/>
        </w:rPr>
      </w:pPr>
      <w:r w:rsidRPr="0025250D">
        <w:rPr>
          <w:rFonts w:hint="cs"/>
          <w:rtl/>
        </w:rPr>
        <w:t>کتاب جمهور</w:t>
      </w:r>
      <w:r w:rsidRPr="0025250D">
        <w:rPr>
          <w:vertAlign w:val="superscript"/>
          <w:rtl/>
        </w:rPr>
        <w:footnoteReference w:id="1321"/>
      </w:r>
      <w:r w:rsidRPr="0025250D">
        <w:rPr>
          <w:rFonts w:hint="cs"/>
          <w:rtl/>
        </w:rPr>
        <w:t xml:space="preserve"> افلاطون در 380 سال قبل از میلاد مسیح، یکی از تاثیرگذارترین مطالعات فلسفی و نظریه‌های سیاسی در تاریخ است. افلاطون خصوصا به حقیقت و جهان ایدئال اهمیت می‌داد، اما او همچنین باور داشت که دنبال کردن </w:t>
      </w:r>
      <w:r w:rsidR="0063099E" w:rsidRPr="0025250D">
        <w:rPr>
          <w:rtl/>
        </w:rPr>
        <w:t>«</w:t>
      </w:r>
      <w:r w:rsidRPr="0025250D">
        <w:rPr>
          <w:rFonts w:hint="cs"/>
          <w:rtl/>
        </w:rPr>
        <w:t>خوبی</w:t>
      </w:r>
      <w:r w:rsidRPr="0025250D">
        <w:rPr>
          <w:vertAlign w:val="superscript"/>
          <w:rtl/>
        </w:rPr>
        <w:footnoteReference w:id="1322"/>
      </w:r>
      <w:r w:rsidR="0063099E" w:rsidRPr="0025250D">
        <w:rPr>
          <w:rtl/>
        </w:rPr>
        <w:t>»</w:t>
      </w:r>
      <w:r w:rsidRPr="0025250D">
        <w:rPr>
          <w:rFonts w:hint="cs"/>
          <w:rtl/>
        </w:rPr>
        <w:t xml:space="preserve"> هدف محوری برای انسان است. از زبان سقراط، در</w:t>
      </w:r>
      <w:r w:rsidR="00165473" w:rsidRPr="0025250D">
        <w:rPr>
          <w:rFonts w:hint="cs"/>
          <w:rtl/>
        </w:rPr>
        <w:t>باره</w:t>
      </w:r>
      <w:r w:rsidRPr="0025250D">
        <w:rPr>
          <w:rFonts w:hint="cs"/>
          <w:rtl/>
        </w:rPr>
        <w:t xml:space="preserve"> </w:t>
      </w:r>
      <w:r w:rsidR="0063099E" w:rsidRPr="0025250D">
        <w:rPr>
          <w:rtl/>
        </w:rPr>
        <w:t>«</w:t>
      </w:r>
      <w:r w:rsidRPr="0025250D">
        <w:rPr>
          <w:rFonts w:hint="cs"/>
          <w:rtl/>
        </w:rPr>
        <w:t>شکل خوبی</w:t>
      </w:r>
      <w:r w:rsidRPr="0025250D">
        <w:rPr>
          <w:vertAlign w:val="superscript"/>
          <w:rtl/>
        </w:rPr>
        <w:footnoteReference w:id="1323"/>
      </w:r>
      <w:r w:rsidR="0063099E" w:rsidRPr="0025250D">
        <w:rPr>
          <w:rtl/>
        </w:rPr>
        <w:t>»</w:t>
      </w:r>
      <w:r w:rsidRPr="0025250D">
        <w:rPr>
          <w:rFonts w:hint="cs"/>
          <w:rtl/>
        </w:rPr>
        <w:t xml:space="preserve">، افلاطون استدلال نمود که همه ایدئال‌های دیگر ما از این پیروی حاصل می‌شوند. افلاطون در طول زندگی بلند خود (80 سال)، همچنین چند بیانیه مربوط به سه ایدئال داشت: زیبایی، خوبی و حقیقت. در حدود همین زمان در شرق، </w:t>
      </w:r>
      <w:r w:rsidRPr="0025250D">
        <w:rPr>
          <w:rtl/>
        </w:rPr>
        <w:t>باگاواد گ</w:t>
      </w:r>
      <w:r w:rsidRPr="0025250D">
        <w:rPr>
          <w:rFonts w:hint="cs"/>
          <w:rtl/>
        </w:rPr>
        <w:t>ی</w:t>
      </w:r>
      <w:r w:rsidRPr="0025250D">
        <w:rPr>
          <w:rFonts w:hint="eastAsia"/>
          <w:rtl/>
        </w:rPr>
        <w:t>تا</w:t>
      </w:r>
      <w:r w:rsidRPr="0025250D">
        <w:rPr>
          <w:vertAlign w:val="superscript"/>
          <w:rtl/>
        </w:rPr>
        <w:footnoteReference w:id="1324"/>
      </w:r>
      <w:r w:rsidRPr="0025250D">
        <w:rPr>
          <w:rFonts w:hint="cs"/>
          <w:rtl/>
        </w:rPr>
        <w:t xml:space="preserve">، در صحبت درمورد ارزش کلمات و اعمالی که </w:t>
      </w:r>
      <w:r w:rsidR="0063099E" w:rsidRPr="0025250D">
        <w:rPr>
          <w:rtl/>
        </w:rPr>
        <w:t>«</w:t>
      </w:r>
      <w:r w:rsidRPr="0025250D">
        <w:rPr>
          <w:rFonts w:hint="cs"/>
          <w:rtl/>
        </w:rPr>
        <w:t>زیبا، خوب و درست</w:t>
      </w:r>
      <w:r w:rsidR="0063099E" w:rsidRPr="0025250D">
        <w:rPr>
          <w:rtl/>
        </w:rPr>
        <w:t>»</w:t>
      </w:r>
      <w:r w:rsidRPr="0025250D">
        <w:rPr>
          <w:rFonts w:hint="cs"/>
          <w:rtl/>
        </w:rPr>
        <w:t xml:space="preserve"> هستند، به این سه دیدگاه به عنوان یک گروه اشاره</w:t>
      </w:r>
      <w:r w:rsidRPr="0025250D">
        <w:rPr>
          <w:rtl/>
        </w:rPr>
        <w:t xml:space="preserve"> </w:t>
      </w:r>
      <w:r w:rsidR="00165473" w:rsidRPr="0025250D">
        <w:rPr>
          <w:rFonts w:hint="cs"/>
          <w:rtl/>
        </w:rPr>
        <w:t>نمود</w:t>
      </w:r>
      <w:r w:rsidRPr="0025250D">
        <w:rPr>
          <w:rFonts w:hint="cs"/>
          <w:rtl/>
        </w:rPr>
        <w:t>.</w:t>
      </w:r>
    </w:p>
    <w:p w14:paraId="13146055" w14:textId="4778587D" w:rsidR="00537CC8" w:rsidRPr="0025250D" w:rsidRDefault="00537CC8" w:rsidP="00537CC8">
      <w:pPr>
        <w:rPr>
          <w:rtl/>
        </w:rPr>
      </w:pPr>
      <w:r w:rsidRPr="0025250D">
        <w:rPr>
          <w:rFonts w:hint="cs"/>
          <w:rtl/>
        </w:rPr>
        <w:t xml:space="preserve">شاگرد افلاطون، ارسطو، بیش‌تر به دنیای </w:t>
      </w:r>
      <w:r w:rsidRPr="0025250D">
        <w:rPr>
          <w:rtl/>
        </w:rPr>
        <w:t>عقل سل</w:t>
      </w:r>
      <w:r w:rsidRPr="0025250D">
        <w:rPr>
          <w:rFonts w:hint="cs"/>
          <w:rtl/>
        </w:rPr>
        <w:t>ی</w:t>
      </w:r>
      <w:r w:rsidRPr="0025250D">
        <w:rPr>
          <w:rFonts w:hint="eastAsia"/>
          <w:rtl/>
        </w:rPr>
        <w:t>م</w:t>
      </w:r>
      <w:r w:rsidRPr="0025250D">
        <w:rPr>
          <w:vertAlign w:val="superscript"/>
          <w:rtl/>
        </w:rPr>
        <w:footnoteReference w:id="1325"/>
      </w:r>
      <w:r w:rsidRPr="0025250D">
        <w:rPr>
          <w:rFonts w:hint="cs"/>
          <w:rtl/>
        </w:rPr>
        <w:t xml:space="preserve"> اهمیت می‌داد. افلاطون بیش‌تر نظری و ارسطو بیش‌تر عملگرا بود. ارسطو پیشنهاد کرد که پنج مورد متعالی یا خواص</w:t>
      </w:r>
      <w:r w:rsidRPr="0025250D">
        <w:rPr>
          <w:vertAlign w:val="superscript"/>
          <w:rtl/>
        </w:rPr>
        <w:footnoteReference w:id="1326"/>
      </w:r>
      <w:r w:rsidRPr="0025250D">
        <w:rPr>
          <w:rFonts w:hint="cs"/>
          <w:rtl/>
        </w:rPr>
        <w:t xml:space="preserve"> ارزشمند وجود دارند: بودن، </w:t>
      </w:r>
      <w:r w:rsidR="00303635" w:rsidRPr="0025250D">
        <w:rPr>
          <w:rFonts w:hint="cs"/>
          <w:rtl/>
        </w:rPr>
        <w:t>شیئیت</w:t>
      </w:r>
      <w:r w:rsidR="00303635" w:rsidRPr="0025250D">
        <w:rPr>
          <w:rStyle w:val="FootnoteReference"/>
          <w:rtl/>
        </w:rPr>
        <w:footnoteReference w:id="1327"/>
      </w:r>
      <w:r w:rsidRPr="0025250D">
        <w:rPr>
          <w:rFonts w:hint="cs"/>
          <w:rtl/>
        </w:rPr>
        <w:t>، وحدت</w:t>
      </w:r>
      <w:r w:rsidRPr="0025250D">
        <w:rPr>
          <w:vertAlign w:val="superscript"/>
          <w:rtl/>
        </w:rPr>
        <w:footnoteReference w:id="1328"/>
      </w:r>
      <w:r w:rsidRPr="0025250D">
        <w:rPr>
          <w:rFonts w:hint="cs"/>
          <w:rtl/>
        </w:rPr>
        <w:t>، خوبی و حقیقت. سه مورد اول از این جمع یعنی بودن،</w:t>
      </w:r>
      <w:r w:rsidRPr="0025250D">
        <w:rPr>
          <w:rtl/>
        </w:rPr>
        <w:t xml:space="preserve"> </w:t>
      </w:r>
      <w:r w:rsidR="00303635" w:rsidRPr="0025250D">
        <w:rPr>
          <w:rFonts w:hint="cs"/>
          <w:rtl/>
        </w:rPr>
        <w:t>شیئیت</w:t>
      </w:r>
      <w:r w:rsidRPr="0025250D">
        <w:rPr>
          <w:rFonts w:hint="cs"/>
          <w:rtl/>
        </w:rPr>
        <w:t xml:space="preserve"> و وحدت، می‌توانند با هم به عنوان بودن</w:t>
      </w:r>
      <w:r w:rsidRPr="0025250D">
        <w:rPr>
          <w:vertAlign w:val="superscript"/>
          <w:rtl/>
        </w:rPr>
        <w:footnoteReference w:id="1329"/>
      </w:r>
      <w:r w:rsidRPr="0025250D">
        <w:rPr>
          <w:rFonts w:hint="cs"/>
          <w:rtl/>
        </w:rPr>
        <w:t xml:space="preserve">، بقا، وجود یا خود جهان جمع شوند. بودن چیزی ذاتا زیبا است، </w:t>
      </w:r>
      <w:r w:rsidR="007118DE" w:rsidRPr="0025250D">
        <w:rPr>
          <w:rFonts w:hint="cs"/>
          <w:rtl/>
        </w:rPr>
        <w:t>همان‌طور</w:t>
      </w:r>
      <w:r w:rsidRPr="0025250D">
        <w:rPr>
          <w:rFonts w:hint="cs"/>
          <w:rtl/>
        </w:rPr>
        <w:t xml:space="preserve"> که هر یک از ما به شکل مخلوقات منحصر به فردی در این جهان هستیم، اما این لزوما چیز خوب یا درستی نیست</w:t>
      </w:r>
      <w:r w:rsidR="008D6F97" w:rsidRPr="0025250D">
        <w:rPr>
          <w:rtl/>
        </w:rPr>
        <w:t xml:space="preserve">؛ </w:t>
      </w:r>
      <w:r w:rsidRPr="0025250D">
        <w:rPr>
          <w:rFonts w:hint="cs"/>
          <w:rtl/>
        </w:rPr>
        <w:t>بنابراین، یک مدل حداقلی از خواص ضروری انسان، از دید ما، بودن (زیبایی)، خوبی و حقیقت هستند.</w:t>
      </w:r>
    </w:p>
    <w:p w14:paraId="0FC04CFC" w14:textId="77777777" w:rsidR="00537CC8" w:rsidRPr="0025250D" w:rsidRDefault="00537CC8" w:rsidP="00F004A5">
      <w:pPr>
        <w:jc w:val="center"/>
        <w:rPr>
          <w:rtl/>
        </w:rPr>
      </w:pPr>
      <w:r w:rsidRPr="0025250D">
        <w:rPr>
          <w:noProof/>
          <w:rtl/>
          <w:lang w:bidi="ar-SA"/>
        </w:rPr>
        <w:drawing>
          <wp:inline distT="0" distB="0" distL="0" distR="0" wp14:anchorId="51C1333A" wp14:editId="4630E2D4">
            <wp:extent cx="4659464" cy="1969465"/>
            <wp:effectExtent l="0" t="0" r="8255" b="0"/>
            <wp:docPr id="77" name="Picture 77" descr="D:\کار\مستقل\3 ( ترجمه ی دانشگاه تهران  )\Introduction to Foresight\part3\15-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کار\مستقل\3 ( ترجمه ی دانشگاه تهران  )\Introduction to Foresight\part3\15-new.png"/>
                    <pic:cNvPicPr>
                      <a:picLocks noChangeAspect="1" noChangeArrowheads="1"/>
                    </pic:cNvPicPr>
                  </pic:nvPicPr>
                  <pic:blipFill rotWithShape="1">
                    <a:blip r:embed="rId117" cstate="screen">
                      <a:extLst>
                        <a:ext uri="{BEBA8EAE-BF5A-486C-A8C5-ECC9F3942E4B}">
                          <a14:imgProps xmlns:a14="http://schemas.microsoft.com/office/drawing/2010/main">
                            <a14:imgLayer r:embed="rId118">
                              <a14:imgEffect>
                                <a14:saturation sat="0"/>
                              </a14:imgEffect>
                            </a14:imgLayer>
                          </a14:imgProps>
                        </a:ext>
                        <a:ext uri="{28A0092B-C50C-407E-A947-70E740481C1C}">
                          <a14:useLocalDpi xmlns:a14="http://schemas.microsoft.com/office/drawing/2010/main"/>
                        </a:ext>
                      </a:extLst>
                    </a:blip>
                    <a:srcRect/>
                    <a:stretch/>
                  </pic:blipFill>
                  <pic:spPr bwMode="auto">
                    <a:xfrm>
                      <a:off x="0" y="0"/>
                      <a:ext cx="4679440" cy="1977908"/>
                    </a:xfrm>
                    <a:prstGeom prst="rect">
                      <a:avLst/>
                    </a:prstGeom>
                    <a:noFill/>
                    <a:ln>
                      <a:noFill/>
                    </a:ln>
                    <a:extLst>
                      <a:ext uri="{53640926-AAD7-44D8-BBD7-CCE9431645EC}">
                        <a14:shadowObscured xmlns:a14="http://schemas.microsoft.com/office/drawing/2010/main"/>
                      </a:ext>
                    </a:extLst>
                  </pic:spPr>
                </pic:pic>
              </a:graphicData>
            </a:graphic>
          </wp:inline>
        </w:drawing>
      </w:r>
    </w:p>
    <w:p w14:paraId="5F562A8C" w14:textId="77777777" w:rsidR="00537CC8" w:rsidRPr="0025250D" w:rsidRDefault="00537CC8" w:rsidP="000A674B">
      <w:pPr>
        <w:jc w:val="center"/>
        <w:rPr>
          <w:rtl/>
        </w:rPr>
      </w:pPr>
      <w:r w:rsidRPr="0025250D">
        <w:rPr>
          <w:rFonts w:hint="cs"/>
          <w:rtl/>
        </w:rPr>
        <w:t>افلاتون و ارسطو در آکادمی آتن (رافائل، 1511)</w:t>
      </w:r>
    </w:p>
    <w:p w14:paraId="07AB363F" w14:textId="68BDB5C8" w:rsidR="00537CC8" w:rsidRPr="0025250D" w:rsidRDefault="00537CC8" w:rsidP="00537CC8">
      <w:pPr>
        <w:rPr>
          <w:rtl/>
        </w:rPr>
      </w:pPr>
      <w:r w:rsidRPr="0025250D">
        <w:rPr>
          <w:rFonts w:hint="cs"/>
          <w:rtl/>
        </w:rPr>
        <w:t xml:space="preserve">افرادی که این دیدگاه را به کار گرفته اند، مانند فیلسوف </w:t>
      </w:r>
      <w:r w:rsidRPr="0025250D">
        <w:rPr>
          <w:rtl/>
        </w:rPr>
        <w:t>کن و</w:t>
      </w:r>
      <w:r w:rsidRPr="0025250D">
        <w:rPr>
          <w:rFonts w:hint="cs"/>
          <w:rtl/>
        </w:rPr>
        <w:t>ی</w:t>
      </w:r>
      <w:r w:rsidRPr="0025250D">
        <w:rPr>
          <w:rFonts w:hint="eastAsia"/>
          <w:rtl/>
        </w:rPr>
        <w:t>لبر</w:t>
      </w:r>
      <w:r w:rsidRPr="0025250D">
        <w:rPr>
          <w:vertAlign w:val="superscript"/>
          <w:rtl/>
        </w:rPr>
        <w:footnoteReference w:id="1330"/>
      </w:r>
      <w:r w:rsidRPr="0025250D">
        <w:rPr>
          <w:rFonts w:hint="cs"/>
          <w:rtl/>
        </w:rPr>
        <w:t>، توسعه دهنده نظریه انتگرال، از یک سه گانه متعالی از ابعاد تجربی و سه هدف پایه‌ای انسان، جستجوی جاودان ما برای زیبایی، خوبی و حقیقت صحبت می‌کنند. با جزئیات کمی بیش‌تر، هرم ارزش‌ها می‌تواند به این صورت درک شود:</w:t>
      </w:r>
    </w:p>
    <w:p w14:paraId="4E4CCC41" w14:textId="50F3B25D" w:rsidR="00537CC8" w:rsidRPr="0025250D" w:rsidRDefault="00537CC8" w:rsidP="00492C47">
      <w:pPr>
        <w:numPr>
          <w:ilvl w:val="0"/>
          <w:numId w:val="31"/>
        </w:numPr>
      </w:pPr>
      <w:r w:rsidRPr="0025250D">
        <w:rPr>
          <w:rFonts w:hint="cs"/>
          <w:rtl/>
        </w:rPr>
        <w:t xml:space="preserve">خلاقیت، هنر، نوآوری (زیبایی) </w:t>
      </w:r>
      <w:r w:rsidRPr="0025250D">
        <w:rPr>
          <w:rFonts w:cs="Times New Roman" w:hint="cs"/>
          <w:rtl/>
        </w:rPr>
        <w:t>–</w:t>
      </w:r>
      <w:r w:rsidRPr="0025250D">
        <w:rPr>
          <w:rFonts w:hint="cs"/>
          <w:rtl/>
        </w:rPr>
        <w:t xml:space="preserve"> موارد ممکن (دیدگاه اول شخص)؛</w:t>
      </w:r>
    </w:p>
    <w:p w14:paraId="7344AA62" w14:textId="3C0FC6E9" w:rsidR="00537CC8" w:rsidRPr="0025250D" w:rsidRDefault="00537CC8" w:rsidP="00492C47">
      <w:pPr>
        <w:numPr>
          <w:ilvl w:val="0"/>
          <w:numId w:val="31"/>
        </w:numPr>
      </w:pPr>
      <w:r w:rsidRPr="0025250D">
        <w:rPr>
          <w:rFonts w:hint="cs"/>
          <w:rtl/>
        </w:rPr>
        <w:t xml:space="preserve">اخلاقیات، سیاست، </w:t>
      </w:r>
      <w:r w:rsidR="00B124DE" w:rsidRPr="0025250D">
        <w:rPr>
          <w:rFonts w:hint="cs"/>
          <w:rtl/>
        </w:rPr>
        <w:t>کسب‌و‌کار</w:t>
      </w:r>
      <w:r w:rsidRPr="0025250D">
        <w:rPr>
          <w:rFonts w:hint="cs"/>
          <w:rtl/>
        </w:rPr>
        <w:t xml:space="preserve">، مذهب (خوبی) </w:t>
      </w:r>
      <w:r w:rsidRPr="0025250D">
        <w:rPr>
          <w:rFonts w:cs="Times New Roman" w:hint="cs"/>
          <w:rtl/>
        </w:rPr>
        <w:t>–</w:t>
      </w:r>
      <w:r w:rsidRPr="0025250D">
        <w:rPr>
          <w:rFonts w:hint="cs"/>
          <w:rtl/>
        </w:rPr>
        <w:t xml:space="preserve"> موارد مرجح (دیدگاه دوم شخص)؛</w:t>
      </w:r>
    </w:p>
    <w:p w14:paraId="2C496A76" w14:textId="390B898B" w:rsidR="00537CC8" w:rsidRPr="0025250D" w:rsidRDefault="00537CC8" w:rsidP="00492C47">
      <w:pPr>
        <w:numPr>
          <w:ilvl w:val="0"/>
          <w:numId w:val="31"/>
        </w:numPr>
      </w:pPr>
      <w:r w:rsidRPr="0025250D">
        <w:rPr>
          <w:rFonts w:hint="cs"/>
          <w:rtl/>
        </w:rPr>
        <w:t xml:space="preserve">منطق، علم، پایداری (حقیقت) </w:t>
      </w:r>
      <w:r w:rsidRPr="0025250D">
        <w:rPr>
          <w:rFonts w:cs="Times New Roman" w:hint="cs"/>
          <w:rtl/>
        </w:rPr>
        <w:t>–</w:t>
      </w:r>
      <w:r w:rsidRPr="0025250D">
        <w:rPr>
          <w:rFonts w:hint="cs"/>
          <w:rtl/>
        </w:rPr>
        <w:t xml:space="preserve"> موارد محتمل (دیدگاه سوم شخص).</w:t>
      </w:r>
    </w:p>
    <w:p w14:paraId="17860A42" w14:textId="38AAA45E" w:rsidR="00537CC8" w:rsidRPr="0025250D" w:rsidRDefault="00537CC8" w:rsidP="00537CC8">
      <w:pPr>
        <w:rPr>
          <w:rtl/>
        </w:rPr>
      </w:pPr>
      <w:r w:rsidRPr="0025250D">
        <w:rPr>
          <w:rFonts w:hint="cs"/>
          <w:rtl/>
        </w:rPr>
        <w:t>اهداف زندگی از دید ما از این ساده‌تر نمی‌شوند</w:t>
      </w:r>
      <w:r w:rsidR="008D6F97" w:rsidRPr="0025250D">
        <w:rPr>
          <w:rtl/>
        </w:rPr>
        <w:t xml:space="preserve">؛ </w:t>
      </w:r>
      <w:r w:rsidRPr="0025250D">
        <w:rPr>
          <w:rFonts w:hint="cs"/>
          <w:rtl/>
        </w:rPr>
        <w:t xml:space="preserve">مانند چهار </w:t>
      </w:r>
      <w:r w:rsidRPr="0025250D">
        <w:t>P</w:t>
      </w:r>
      <w:r w:rsidRPr="0025250D">
        <w:rPr>
          <w:rFonts w:hint="cs"/>
          <w:rtl/>
        </w:rPr>
        <w:t>، اگر هر یک از این موارد را از ارزش‌ها، خواسته‌ها و برنامه‌های خود خارج کنیم، به شکل خطرناکی نامتعادل و ناکامل خواهیم شد. هرم افلاطون، وقتی هر سه مورد را در بر بگیرد، نقطه شروعی عالی در اهداف زندگی فردی به ما می‌دهد. ما باید در افکار، کلمات و اقدامات خود، همگی حداقل به دنبال تحسین و پیش برد زیبایی، خوبی و حقیقت باشیم.</w:t>
      </w:r>
    </w:p>
    <w:p w14:paraId="0C445435" w14:textId="7D870F0B" w:rsidR="00537CC8" w:rsidRPr="0025250D" w:rsidRDefault="00537CC8" w:rsidP="00537CC8">
      <w:pPr>
        <w:rPr>
          <w:rtl/>
        </w:rPr>
      </w:pPr>
      <w:r w:rsidRPr="0025250D">
        <w:rPr>
          <w:rFonts w:hint="cs"/>
          <w:rtl/>
        </w:rPr>
        <w:t>ما باید همچنین تشخیص دهیم که این سه هدف برخی اوقات، در ذهن و جامعه ما در مقابل یکدیگر قرار دارند. هرم افلاطون به ما می‌گوید که زیبایی و حقیقت، به طور مشخص، اغلب با یکدیگر در تناقض هستند. ذهن‌های هنرمند - خلاق و دانشمند - مدافع دو انتهای ضروری هستند. هم زیبایی و هم حقیقت انواع مختلفی از خوبی هستند که هر یک به طورمشخص در بافت‌های مشخصی ارزشمند هستند. این هرم همچنین به ما می‌گوید که خوبی رایج‌ترین و مهم‌ترین مورد است. خوبی معمولا شایسته اولویت داشتن در حل و فصل تناقضات با دیگر اهداف است.</w:t>
      </w:r>
    </w:p>
    <w:p w14:paraId="345F1AA5" w14:textId="302ADE8E" w:rsidR="00537CC8" w:rsidRPr="0025250D" w:rsidRDefault="00537CC8" w:rsidP="00537CC8">
      <w:pPr>
        <w:rPr>
          <w:rtl/>
        </w:rPr>
      </w:pPr>
      <w:r w:rsidRPr="0025250D">
        <w:rPr>
          <w:rFonts w:hint="cs"/>
          <w:rtl/>
        </w:rPr>
        <w:t xml:space="preserve">هرم افلاطون خلاصه واضحی از اهداف توسعه تکاملی است. تولید و تعقیب زیبایی یک فرایند تکاملی (جستجوی موارد ممکن) است. در مورد تنوع فراوان و زیبای شگفت انگیز گونه‌ها و </w:t>
      </w:r>
      <w:r w:rsidR="00AE5BE0" w:rsidRPr="0025250D">
        <w:rPr>
          <w:rFonts w:hint="cs"/>
          <w:rtl/>
        </w:rPr>
        <w:t>انطباق</w:t>
      </w:r>
      <w:r w:rsidRPr="0025250D">
        <w:rPr>
          <w:rFonts w:hint="cs"/>
          <w:rtl/>
        </w:rPr>
        <w:t xml:space="preserve"> حیات بیندیشید. در مقابل، دنبال کردن حقیقت یک فرایند توسعه‌ای (یافتن موارد محتمل) است. جستجوی خوبی یک جستجوی ترکیبی یا تکاملی </w:t>
      </w:r>
      <w:r w:rsidRPr="0025250D">
        <w:rPr>
          <w:rFonts w:cs="Times New Roman" w:hint="cs"/>
          <w:rtl/>
        </w:rPr>
        <w:t>–</w:t>
      </w:r>
      <w:r w:rsidRPr="0025250D">
        <w:rPr>
          <w:rFonts w:hint="cs"/>
          <w:rtl/>
        </w:rPr>
        <w:t xml:space="preserve"> توسعه‌ای (که در موارد مرجح نشان داده می‌شود) می‌باشد. این امر ارزش‌های زیبایی و حقیقت را با هم مرتبط ساخته و یک ارزش منحصربه فرد سوم ایجاد می‌کند.</w:t>
      </w:r>
    </w:p>
    <w:p w14:paraId="3F8DF7EB" w14:textId="77777777" w:rsidR="00537CC8" w:rsidRPr="0025250D" w:rsidRDefault="00537CC8" w:rsidP="00537CC8">
      <w:pPr>
        <w:rPr>
          <w:rtl/>
        </w:rPr>
      </w:pPr>
      <w:r w:rsidRPr="0025250D">
        <w:rPr>
          <w:rFonts w:hint="cs"/>
          <w:rtl/>
        </w:rPr>
        <w:t>ما پیشنهاد می‌کنیم که دنبال کردن موفقیت، پیشرفت و شادی باید همواره شامل تعقیب همزمان هر سه ارزش و اهداف وابسته به آنها باشد. سفرهای تکاملی زیبا و منحصر به فرد ما و این که چگونه تصمیم می‌گیریم که آن‌ها را برگزینیم، همواره به اندازه مقاصد توسعه‌ای ما اهمیت دارند. ما هرگز کاملا به جایی نمی‌رسیم، با این حال اگر در مسیر درست حرکت کنیم، همواره در حال بهتر شدن خواهیم بود.</w:t>
      </w:r>
    </w:p>
    <w:p w14:paraId="446CD341" w14:textId="79C26E68" w:rsidR="00537CC8" w:rsidRPr="0025250D" w:rsidRDefault="00537CC8" w:rsidP="00537CC8">
      <w:pPr>
        <w:rPr>
          <w:rtl/>
        </w:rPr>
      </w:pPr>
      <w:r w:rsidRPr="0025250D">
        <w:rPr>
          <w:rFonts w:hint="cs"/>
          <w:rtl/>
        </w:rPr>
        <w:t>در این دیدگاه، عمیق‌ترین معانی زندگی می‌توانند در سه چالش بیان شوند که در برخی مواقع متناقض هستند:</w:t>
      </w:r>
    </w:p>
    <w:p w14:paraId="1DF13923" w14:textId="77777777" w:rsidR="00537CC8" w:rsidRPr="0025250D" w:rsidRDefault="00537CC8" w:rsidP="00537CC8">
      <w:pPr>
        <w:rPr>
          <w:rtl/>
        </w:rPr>
      </w:pPr>
      <w:r w:rsidRPr="0025250D">
        <w:rPr>
          <w:rFonts w:hint="cs"/>
          <w:rtl/>
        </w:rPr>
        <w:t>1. لذت بردن و اغنای سفر‌های آزمایشی، خلاقانه و زیبای خود (تکامل)،</w:t>
      </w:r>
    </w:p>
    <w:p w14:paraId="4A29A2FF" w14:textId="33127309" w:rsidR="00537CC8" w:rsidRPr="0025250D" w:rsidRDefault="00537CC8" w:rsidP="00537CC8">
      <w:pPr>
        <w:rPr>
          <w:rtl/>
        </w:rPr>
      </w:pPr>
      <w:r w:rsidRPr="0025250D">
        <w:rPr>
          <w:rFonts w:hint="cs"/>
          <w:rtl/>
        </w:rPr>
        <w:t>2. جستجو و حفاظت از حقیقت (قابل پیش‌بینی بودن) و ایجاد مقاصد بهتر فزاینده از حقیقت فعلی خود (توسعه) و</w:t>
      </w:r>
    </w:p>
    <w:p w14:paraId="3A5EDBB7" w14:textId="0148893F" w:rsidR="00537CC8" w:rsidRPr="0025250D" w:rsidRDefault="00537CC8" w:rsidP="00537CC8">
      <w:pPr>
        <w:rPr>
          <w:rtl/>
        </w:rPr>
      </w:pPr>
      <w:r w:rsidRPr="0025250D">
        <w:rPr>
          <w:rFonts w:hint="cs"/>
          <w:rtl/>
        </w:rPr>
        <w:t xml:space="preserve">3. تلاش برای خوب بودن </w:t>
      </w:r>
      <w:r w:rsidRPr="0025250D">
        <w:rPr>
          <w:rFonts w:cs="Times New Roman" w:hint="cs"/>
          <w:rtl/>
        </w:rPr>
        <w:t>–</w:t>
      </w:r>
      <w:r w:rsidRPr="0025250D">
        <w:rPr>
          <w:rFonts w:hint="cs"/>
          <w:rtl/>
        </w:rPr>
        <w:t xml:space="preserve"> حداقل کردن خطا، رنج و جبر غیر ضروری و حداکثر سازی انواع لازم از خطا، رنج و جبر که در خدمت </w:t>
      </w:r>
      <w:r w:rsidR="00AE5BE0" w:rsidRPr="0025250D">
        <w:rPr>
          <w:rFonts w:hint="cs"/>
          <w:rtl/>
        </w:rPr>
        <w:t>انطباق</w:t>
      </w:r>
      <w:r w:rsidRPr="0025250D">
        <w:rPr>
          <w:rFonts w:hint="cs"/>
          <w:rtl/>
        </w:rPr>
        <w:t>، برای خودمان، خانواده مان و زندگیمان به عنوان یک شبکه هستند (</w:t>
      </w:r>
      <w:r w:rsidRPr="0025250D">
        <w:rPr>
          <w:rtl/>
        </w:rPr>
        <w:t>تکاملی-توسعه ای</w:t>
      </w:r>
      <w:r w:rsidRPr="0025250D">
        <w:rPr>
          <w:rFonts w:hint="cs"/>
          <w:rtl/>
        </w:rPr>
        <w:t>).</w:t>
      </w:r>
    </w:p>
    <w:p w14:paraId="641FD578" w14:textId="46A684F4" w:rsidR="00537CC8" w:rsidRPr="0025250D" w:rsidRDefault="00537CC8" w:rsidP="00537CC8">
      <w:pPr>
        <w:rPr>
          <w:rtl/>
        </w:rPr>
      </w:pPr>
      <w:r w:rsidRPr="0025250D">
        <w:rPr>
          <w:rFonts w:hint="cs"/>
          <w:rtl/>
        </w:rPr>
        <w:t xml:space="preserve">در هر یک از این چالش‌ها، دشواری در جزئیات است. </w:t>
      </w:r>
      <w:r w:rsidR="00AE5BE0" w:rsidRPr="0025250D">
        <w:rPr>
          <w:rFonts w:hint="cs"/>
          <w:rtl/>
        </w:rPr>
        <w:t>انطباق</w:t>
      </w:r>
      <w:r w:rsidRPr="0025250D">
        <w:rPr>
          <w:rFonts w:hint="cs"/>
          <w:rtl/>
        </w:rPr>
        <w:t xml:space="preserve"> همواره به خطا، رنج بردن و اجبار نیاز دارد و برخی مواقع ما خود را برای اهداف بزرگتر فدا می‌کنیم. </w:t>
      </w:r>
      <w:r w:rsidR="007118DE" w:rsidRPr="0025250D">
        <w:rPr>
          <w:rFonts w:hint="cs"/>
          <w:rtl/>
        </w:rPr>
        <w:t>همان‌طور</w:t>
      </w:r>
      <w:r w:rsidRPr="0025250D">
        <w:rPr>
          <w:rFonts w:hint="cs"/>
          <w:rtl/>
        </w:rPr>
        <w:t xml:space="preserve"> که در </w:t>
      </w:r>
      <w:r w:rsidRPr="0025250D">
        <w:t>BPF</w:t>
      </w:r>
      <w:r w:rsidRPr="0025250D">
        <w:rPr>
          <w:rFonts w:hint="cs"/>
          <w:rtl/>
        </w:rPr>
        <w:t xml:space="preserve"> بررسی خواهیم کرد، در نظر گرفتن خودمان به عنوان عضو یک شبکه پیچیده و پرسش در مورد این که چگونه می‌توانیم </w:t>
      </w:r>
      <w:r w:rsidR="00AE5BE0" w:rsidRPr="0025250D">
        <w:rPr>
          <w:rFonts w:hint="cs"/>
          <w:rtl/>
        </w:rPr>
        <w:t>انطباق</w:t>
      </w:r>
      <w:r w:rsidRPr="0025250D">
        <w:rPr>
          <w:rFonts w:hint="cs"/>
          <w:rtl/>
        </w:rPr>
        <w:t xml:space="preserve"> شبکه خود را به طور کلی بهتر کنیم، در کل بهترین مسیر است. این فلسفه می‌تواند </w:t>
      </w:r>
      <w:r w:rsidR="00AE5BE0" w:rsidRPr="0025250D">
        <w:rPr>
          <w:rFonts w:hint="cs"/>
          <w:rtl/>
        </w:rPr>
        <w:t>انطباق</w:t>
      </w:r>
      <w:r w:rsidRPr="0025250D">
        <w:rPr>
          <w:rFonts w:hint="cs"/>
          <w:rtl/>
        </w:rPr>
        <w:t xml:space="preserve"> شبکه ای</w:t>
      </w:r>
      <w:r w:rsidRPr="0025250D">
        <w:rPr>
          <w:vertAlign w:val="superscript"/>
          <w:rtl/>
        </w:rPr>
        <w:footnoteReference w:id="1331"/>
      </w:r>
      <w:r w:rsidRPr="0025250D">
        <w:rPr>
          <w:rFonts w:hint="cs"/>
          <w:rtl/>
        </w:rPr>
        <w:t xml:space="preserve"> نامیده شود. این تنها سودمند گرایی</w:t>
      </w:r>
      <w:r w:rsidRPr="0025250D">
        <w:rPr>
          <w:vertAlign w:val="superscript"/>
          <w:rtl/>
        </w:rPr>
        <w:footnoteReference w:id="1332"/>
      </w:r>
      <w:r w:rsidRPr="0025250D">
        <w:rPr>
          <w:rFonts w:hint="cs"/>
          <w:rtl/>
        </w:rPr>
        <w:t xml:space="preserve"> (جستجوی رسیدن به بهترین‌ها برای بیش‌ترین افراد) نیست، بلکه چیزی پیچیده‌تر است که اهداف تکاملی و توسعه را متوازن می‌سازد.</w:t>
      </w:r>
    </w:p>
    <w:p w14:paraId="344D3C34" w14:textId="189FE84F" w:rsidR="00537CC8" w:rsidRPr="0025250D" w:rsidRDefault="00537CC8" w:rsidP="00537CC8">
      <w:pPr>
        <w:rPr>
          <w:rtl/>
        </w:rPr>
      </w:pPr>
      <w:r w:rsidRPr="0025250D">
        <w:rPr>
          <w:rFonts w:hint="cs"/>
          <w:rtl/>
        </w:rPr>
        <w:t xml:space="preserve">اگر آرزو داشته باشیم که به خود و دیگران برای یافتن معنای عمیق تری در زندگی‌های فردی خود کمک کنیم، می‌توانیم بر اهدافی مانند زیبایی، خلاقیت و هوشمندی (اهداف تکاملی)، بر اهدافی مانند خوبی، ارتباط، اخلاقیات و </w:t>
      </w:r>
      <w:r w:rsidR="00202882" w:rsidRPr="0025250D">
        <w:rPr>
          <w:rFonts w:hint="cs"/>
          <w:rtl/>
        </w:rPr>
        <w:t>همدلی</w:t>
      </w:r>
      <w:r w:rsidRPr="0025250D">
        <w:rPr>
          <w:rFonts w:hint="cs"/>
          <w:rtl/>
        </w:rPr>
        <w:t xml:space="preserve"> (اهداف </w:t>
      </w:r>
      <w:r w:rsidRPr="0025250D">
        <w:rPr>
          <w:rtl/>
        </w:rPr>
        <w:t>تکاملی-توسعه ای</w:t>
      </w:r>
      <w:r w:rsidRPr="0025250D">
        <w:rPr>
          <w:rFonts w:hint="cs"/>
          <w:rtl/>
        </w:rPr>
        <w:t xml:space="preserve">) یا اهدافی مانند حقیقت، امنیت و پایداری (اهداف توسعه ای) یا بر هر ترکیبی از این موارد تمرکز کنیم. این یک مجموعه </w:t>
      </w:r>
      <w:r w:rsidR="007864A4" w:rsidRPr="0025250D">
        <w:rPr>
          <w:rFonts w:hint="cs"/>
          <w:rtl/>
        </w:rPr>
        <w:t>ممکن</w:t>
      </w:r>
      <w:r w:rsidRPr="0025250D">
        <w:rPr>
          <w:rFonts w:hint="cs"/>
          <w:rtl/>
        </w:rPr>
        <w:t xml:space="preserve"> حداقلی از اهداف </w:t>
      </w:r>
      <w:r w:rsidR="00AE5BE0" w:rsidRPr="0025250D">
        <w:rPr>
          <w:rFonts w:hint="cs"/>
          <w:rtl/>
        </w:rPr>
        <w:t>انطباقی</w:t>
      </w:r>
      <w:r w:rsidRPr="0025250D">
        <w:rPr>
          <w:rFonts w:hint="cs"/>
          <w:rtl/>
        </w:rPr>
        <w:t xml:space="preserve"> از دید ماست. </w:t>
      </w:r>
      <w:r w:rsidR="007118DE" w:rsidRPr="0025250D">
        <w:rPr>
          <w:rFonts w:hint="cs"/>
          <w:rtl/>
        </w:rPr>
        <w:t>همان‌طور</w:t>
      </w:r>
      <w:r w:rsidRPr="0025250D">
        <w:rPr>
          <w:rFonts w:hint="cs"/>
          <w:rtl/>
        </w:rPr>
        <w:t xml:space="preserve"> که افلاطون گفت، تعقیب خوبی منحصرا می‌تواند همه این موارد را به هم مرتبط سازد. این امر به رأس هرم و مرکز زندگی‌های ما اختصاص دارد.</w:t>
      </w:r>
    </w:p>
    <w:p w14:paraId="120B680B" w14:textId="3C9BE41B" w:rsidR="00537CC8" w:rsidRPr="0025250D" w:rsidRDefault="00537CC8" w:rsidP="00537CC8">
      <w:pPr>
        <w:rPr>
          <w:rtl/>
        </w:rPr>
      </w:pPr>
      <w:r w:rsidRPr="0025250D">
        <w:rPr>
          <w:rFonts w:hint="cs"/>
          <w:rtl/>
        </w:rPr>
        <w:t xml:space="preserve">هر یک از این پیگیری‌ها معنایی مهم برای زندگی‌های ما ایجاد می‌کنند، اما پیشنهاد خواهیم کرد که حالت شبکه </w:t>
      </w:r>
      <w:r w:rsidRPr="0025250D">
        <w:rPr>
          <w:rtl/>
        </w:rPr>
        <w:t>وابستگ</w:t>
      </w:r>
      <w:r w:rsidRPr="0025250D">
        <w:rPr>
          <w:rFonts w:hint="cs"/>
          <w:rtl/>
        </w:rPr>
        <w:t>ی</w:t>
      </w:r>
      <w:r w:rsidRPr="0025250D">
        <w:rPr>
          <w:rtl/>
        </w:rPr>
        <w:t xml:space="preserve"> متقابل</w:t>
      </w:r>
      <w:r w:rsidRPr="0025250D">
        <w:rPr>
          <w:vertAlign w:val="superscript"/>
          <w:rtl/>
        </w:rPr>
        <w:footnoteReference w:id="1333"/>
      </w:r>
      <w:r w:rsidRPr="0025250D">
        <w:rPr>
          <w:rFonts w:hint="cs"/>
          <w:rtl/>
        </w:rPr>
        <w:t xml:space="preserve"> (اتصال</w:t>
      </w:r>
      <w:r w:rsidRPr="0025250D">
        <w:rPr>
          <w:vertAlign w:val="superscript"/>
          <w:rtl/>
        </w:rPr>
        <w:footnoteReference w:id="1334"/>
      </w:r>
      <w:r w:rsidRPr="0025250D">
        <w:rPr>
          <w:rFonts w:hint="cs"/>
          <w:rtl/>
        </w:rPr>
        <w:t xml:space="preserve">) اهدف مرکزی مجموعه‌های </w:t>
      </w:r>
      <w:r w:rsidR="00AE5BE0" w:rsidRPr="0025250D">
        <w:rPr>
          <w:rFonts w:hint="cs"/>
          <w:rtl/>
        </w:rPr>
        <w:t>انطباقی</w:t>
      </w:r>
      <w:r w:rsidRPr="0025250D">
        <w:rPr>
          <w:rFonts w:hint="cs"/>
          <w:rtl/>
        </w:rPr>
        <w:t xml:space="preserve"> </w:t>
      </w:r>
      <w:r w:rsidR="008D6F97" w:rsidRPr="0025250D">
        <w:rPr>
          <w:rFonts w:hint="cs"/>
          <w:rtl/>
        </w:rPr>
        <w:t>سامانه‌</w:t>
      </w:r>
      <w:r w:rsidRPr="0025250D">
        <w:rPr>
          <w:rFonts w:hint="cs"/>
          <w:rtl/>
        </w:rPr>
        <w:t xml:space="preserve">‌های زنده است. اتصال بر پایه دو هدف </w:t>
      </w:r>
      <w:r w:rsidR="00202882" w:rsidRPr="0025250D">
        <w:rPr>
          <w:rFonts w:hint="cs"/>
          <w:rtl/>
        </w:rPr>
        <w:t>همدلی</w:t>
      </w:r>
      <w:r w:rsidRPr="0025250D">
        <w:rPr>
          <w:rFonts w:hint="cs"/>
          <w:rtl/>
        </w:rPr>
        <w:t xml:space="preserve"> و اخلاقیات ایجاد می‌شود و این دو هدف بیش‌ترین انواع رایج و مهم معنا را که می‌توانیم در زندگی‌های خود داشته باشیم ایجاد می‌کنند. بیان و دریافت عشق و انجام و تعقیب خوبی معنا دار‌ترین فعالیت‌هایی هستند که می‌توانیم در آن‌ها مشارکت داشته باشیم. وقتی هر یک را نادیده می‌گیریم، شادی و توانایی پیشرفت خود را نادیده می‌گیریم.</w:t>
      </w:r>
    </w:p>
    <w:p w14:paraId="5AA3169B" w14:textId="499FE3C8" w:rsidR="00537CC8" w:rsidRPr="0025250D" w:rsidRDefault="00537CC8" w:rsidP="00537CC8">
      <w:pPr>
        <w:rPr>
          <w:rtl/>
        </w:rPr>
      </w:pPr>
      <w:r w:rsidRPr="0025250D">
        <w:rPr>
          <w:rFonts w:hint="cs"/>
          <w:rtl/>
        </w:rPr>
        <w:t xml:space="preserve">همه </w:t>
      </w:r>
      <w:r w:rsidR="009D17DA" w:rsidRPr="0025250D">
        <w:rPr>
          <w:rFonts w:hint="cs"/>
          <w:rtl/>
        </w:rPr>
        <w:t>خودرهبران</w:t>
      </w:r>
      <w:r w:rsidRPr="0025250D">
        <w:rPr>
          <w:vertAlign w:val="superscript"/>
          <w:rtl/>
        </w:rPr>
        <w:footnoteReference w:id="1335"/>
      </w:r>
      <w:r w:rsidRPr="0025250D">
        <w:rPr>
          <w:rFonts w:hint="cs"/>
          <w:rtl/>
        </w:rPr>
        <w:t xml:space="preserve"> و رهبران تیمی باید نسخه‌ای از هرم افلاطون را در ذهن داشته باشند. دو نسخه دیگر از این هرم، پنج </w:t>
      </w:r>
      <w:r w:rsidRPr="0025250D">
        <w:t>E</w:t>
      </w:r>
      <w:r w:rsidRPr="0025250D">
        <w:rPr>
          <w:rFonts w:hint="cs"/>
          <w:rtl/>
        </w:rPr>
        <w:t xml:space="preserve"> (فصل 3) و 6 هدف </w:t>
      </w:r>
      <w:r w:rsidRPr="0025250D">
        <w:t>IES</w:t>
      </w:r>
      <w:r w:rsidRPr="0025250D">
        <w:rPr>
          <w:rFonts w:hint="cs"/>
          <w:rtl/>
        </w:rPr>
        <w:t xml:space="preserve"> (در ادامه</w:t>
      </w:r>
      <w:r w:rsidR="008D6F97" w:rsidRPr="0025250D">
        <w:rPr>
          <w:rtl/>
        </w:rPr>
        <w:t xml:space="preserve"> </w:t>
      </w:r>
      <w:r w:rsidRPr="0025250D">
        <w:rPr>
          <w:rFonts w:hint="cs"/>
          <w:rtl/>
        </w:rPr>
        <w:t>این فصل و در فصل 3) را ار</w:t>
      </w:r>
      <w:r w:rsidR="007864A4" w:rsidRPr="0025250D">
        <w:rPr>
          <w:rFonts w:hint="cs"/>
          <w:rtl/>
        </w:rPr>
        <w:t>ا</w:t>
      </w:r>
      <w:r w:rsidRPr="0025250D">
        <w:rPr>
          <w:rFonts w:hint="cs"/>
          <w:rtl/>
        </w:rPr>
        <w:t xml:space="preserve">ئه خواهیم کرد. </w:t>
      </w:r>
      <w:r w:rsidR="007118DE" w:rsidRPr="0025250D">
        <w:rPr>
          <w:rFonts w:hint="cs"/>
          <w:rtl/>
        </w:rPr>
        <w:t>اولویت‌بندی</w:t>
      </w:r>
      <w:r w:rsidRPr="0025250D">
        <w:rPr>
          <w:rFonts w:hint="cs"/>
          <w:rtl/>
        </w:rPr>
        <w:t xml:space="preserve"> و متوازن ساختن نسخه‌ای از این اهداف، همان روشی است که می‌توانیم به بهترین شکل موفقیت فردی و پیشرفت اجتماعی را اندازه گرفته و هدایت کنیم و خود و دیگران را به سمت آینده‌هایی بهتر هدایت نماییم.</w:t>
      </w:r>
    </w:p>
    <w:p w14:paraId="3DA72362" w14:textId="073D18A6" w:rsidR="00537CC8" w:rsidRPr="0025250D" w:rsidRDefault="00537CC8" w:rsidP="000A674B">
      <w:pPr>
        <w:pStyle w:val="Heading3"/>
        <w:rPr>
          <w:rtl/>
        </w:rPr>
      </w:pPr>
      <w:r w:rsidRPr="0025250D">
        <w:rPr>
          <w:rFonts w:hint="cs"/>
          <w:rtl/>
        </w:rPr>
        <w:t xml:space="preserve">هرم </w:t>
      </w:r>
      <w:r w:rsidRPr="0025250D">
        <w:rPr>
          <w:rtl/>
        </w:rPr>
        <w:t>کرتون</w:t>
      </w:r>
      <w:r w:rsidRPr="0025250D">
        <w:rPr>
          <w:vertAlign w:val="superscript"/>
          <w:rtl/>
        </w:rPr>
        <w:footnoteReference w:id="1336"/>
      </w:r>
      <w:r w:rsidRPr="0025250D">
        <w:rPr>
          <w:rFonts w:hint="cs"/>
          <w:rtl/>
        </w:rPr>
        <w:t xml:space="preserve"> </w:t>
      </w:r>
      <w:r w:rsidRPr="0025250D">
        <w:rPr>
          <w:rFonts w:ascii="Times New Roman" w:hAnsi="Times New Roman" w:cs="Times New Roman" w:hint="cs"/>
          <w:rtl/>
        </w:rPr>
        <w:t>–</w:t>
      </w:r>
      <w:r w:rsidRPr="0025250D">
        <w:rPr>
          <w:rFonts w:hint="cs"/>
          <w:rtl/>
        </w:rPr>
        <w:t xml:space="preserve"> سه سبک </w:t>
      </w:r>
      <w:r w:rsidR="0008779C" w:rsidRPr="0025250D">
        <w:rPr>
          <w:rFonts w:hint="cs"/>
          <w:rtl/>
        </w:rPr>
        <w:t>تصمیم‌گیری</w:t>
      </w:r>
    </w:p>
    <w:p w14:paraId="50052FBB" w14:textId="5CD92178" w:rsidR="00537CC8" w:rsidRPr="0025250D" w:rsidRDefault="00537CC8" w:rsidP="00537CC8">
      <w:pPr>
        <w:rPr>
          <w:rtl/>
        </w:rPr>
      </w:pPr>
      <w:r w:rsidRPr="0025250D">
        <w:rPr>
          <w:rFonts w:hint="cs"/>
          <w:rtl/>
        </w:rPr>
        <w:t xml:space="preserve">یک کاربرد مفید دیگر هرم افلاطون توسط روانشناس </w:t>
      </w:r>
      <w:r w:rsidRPr="0025250D">
        <w:rPr>
          <w:rtl/>
        </w:rPr>
        <w:t>ما</w:t>
      </w:r>
      <w:r w:rsidRPr="0025250D">
        <w:rPr>
          <w:rFonts w:hint="cs"/>
          <w:rtl/>
        </w:rPr>
        <w:t>ی</w:t>
      </w:r>
      <w:r w:rsidRPr="0025250D">
        <w:rPr>
          <w:rFonts w:hint="eastAsia"/>
          <w:rtl/>
        </w:rPr>
        <w:t>کل</w:t>
      </w:r>
      <w:r w:rsidRPr="0025250D">
        <w:rPr>
          <w:rtl/>
        </w:rPr>
        <w:t xml:space="preserve"> کرتون</w:t>
      </w:r>
      <w:r w:rsidRPr="0025250D">
        <w:rPr>
          <w:vertAlign w:val="superscript"/>
          <w:rtl/>
        </w:rPr>
        <w:footnoteReference w:id="1337"/>
      </w:r>
      <w:r w:rsidRPr="0025250D">
        <w:rPr>
          <w:rFonts w:hint="cs"/>
          <w:rtl/>
        </w:rPr>
        <w:t xml:space="preserve"> توسعه داده شده است. در دهه 1970، </w:t>
      </w:r>
      <w:r w:rsidRPr="0025250D">
        <w:rPr>
          <w:rtl/>
        </w:rPr>
        <w:t>کرتون</w:t>
      </w:r>
      <w:r w:rsidRPr="0025250D">
        <w:rPr>
          <w:rFonts w:hint="cs"/>
          <w:rtl/>
        </w:rPr>
        <w:t xml:space="preserve"> دریافت که مردم تمایل دارند که به یکی از دو سبک پایه‌ای به حل مسئله و </w:t>
      </w:r>
      <w:r w:rsidR="0008779C" w:rsidRPr="0025250D">
        <w:rPr>
          <w:rFonts w:hint="cs"/>
          <w:rtl/>
        </w:rPr>
        <w:t>تصمیم‌گیری</w:t>
      </w:r>
      <w:r w:rsidRPr="0025250D">
        <w:rPr>
          <w:rFonts w:hint="cs"/>
          <w:rtl/>
        </w:rPr>
        <w:t xml:space="preserve"> بپردازند؛ یا به شکلی که او نوآوران</w:t>
      </w:r>
      <w:r w:rsidRPr="0025250D">
        <w:rPr>
          <w:vertAlign w:val="superscript"/>
          <w:rtl/>
        </w:rPr>
        <w:footnoteReference w:id="1338"/>
      </w:r>
      <w:r w:rsidRPr="0025250D">
        <w:rPr>
          <w:rFonts w:hint="cs"/>
          <w:rtl/>
        </w:rPr>
        <w:t xml:space="preserve"> می‌نامد که به دنبال تصور، خلق و آزمایش راه‌های جدیدی برای انجام دادن فعالیت‌ها هستند یا به شکل آنچه که او </w:t>
      </w:r>
      <w:r w:rsidR="002F3C14" w:rsidRPr="0025250D">
        <w:rPr>
          <w:rFonts w:hint="cs"/>
          <w:rtl/>
        </w:rPr>
        <w:t>انطباق</w:t>
      </w:r>
      <w:r w:rsidRPr="0025250D">
        <w:rPr>
          <w:rFonts w:hint="cs"/>
          <w:rtl/>
        </w:rPr>
        <w:t xml:space="preserve"> یابندگان</w:t>
      </w:r>
      <w:r w:rsidRPr="0025250D">
        <w:rPr>
          <w:vertAlign w:val="superscript"/>
          <w:rtl/>
        </w:rPr>
        <w:footnoteReference w:id="1339"/>
      </w:r>
      <w:r w:rsidRPr="0025250D">
        <w:rPr>
          <w:rFonts w:hint="cs"/>
          <w:rtl/>
        </w:rPr>
        <w:t xml:space="preserve"> یا محافظان</w:t>
      </w:r>
      <w:r w:rsidRPr="0025250D">
        <w:rPr>
          <w:vertAlign w:val="superscript"/>
          <w:rtl/>
        </w:rPr>
        <w:footnoteReference w:id="1340"/>
      </w:r>
      <w:r w:rsidRPr="0025250D">
        <w:rPr>
          <w:rFonts w:hint="cs"/>
          <w:rtl/>
        </w:rPr>
        <w:t xml:space="preserve"> می‌نامد که افرادی هستند که به دنبال حفاظت از وضعیت موجود و پیش‌بینی و دفاع بهتر در مقابل آسیب‌ها هستند. این دو گروه اغلب با یکدیگر در هر سازمان و جامعه‌ای مبارزه می‌کنند. </w:t>
      </w:r>
      <w:r w:rsidRPr="0025250D">
        <w:rPr>
          <w:rtl/>
        </w:rPr>
        <w:t>کرتون</w:t>
      </w:r>
      <w:r w:rsidRPr="0025250D">
        <w:rPr>
          <w:rFonts w:hint="cs"/>
          <w:rtl/>
        </w:rPr>
        <w:t xml:space="preserve"> همچنین مخلوطی از این سبک‌ها را در یک گروه سوم به نام پیونددهندگان</w:t>
      </w:r>
      <w:r w:rsidRPr="0025250D">
        <w:rPr>
          <w:vertAlign w:val="superscript"/>
          <w:rtl/>
        </w:rPr>
        <w:footnoteReference w:id="1341"/>
      </w:r>
      <w:r w:rsidRPr="0025250D">
        <w:rPr>
          <w:rFonts w:hint="cs"/>
          <w:rtl/>
        </w:rPr>
        <w:t xml:space="preserve"> کشف کرد که دو سبک </w:t>
      </w:r>
      <w:r w:rsidR="0008779C" w:rsidRPr="0025250D">
        <w:rPr>
          <w:rFonts w:hint="cs"/>
          <w:rtl/>
        </w:rPr>
        <w:t>تصمیم‌گیری</w:t>
      </w:r>
      <w:r w:rsidRPr="0025250D">
        <w:rPr>
          <w:rFonts w:hint="cs"/>
          <w:rtl/>
        </w:rPr>
        <w:t xml:space="preserve"> پایه ای‌تر را به هم متصل می‌سازند.</w:t>
      </w:r>
    </w:p>
    <w:p w14:paraId="7204FD8F" w14:textId="53ED8D43" w:rsidR="00537CC8" w:rsidRPr="0025250D" w:rsidRDefault="00537CC8" w:rsidP="00537CC8">
      <w:pPr>
        <w:rPr>
          <w:rtl/>
        </w:rPr>
      </w:pPr>
      <w:r w:rsidRPr="0025250D">
        <w:rPr>
          <w:rFonts w:hint="cs"/>
          <w:rtl/>
        </w:rPr>
        <w:t xml:space="preserve">در سال 1978، او ابزاری به نام ارزیابی </w:t>
      </w:r>
      <w:r w:rsidR="002F3C14" w:rsidRPr="0025250D">
        <w:rPr>
          <w:rFonts w:hint="cs"/>
          <w:rtl/>
        </w:rPr>
        <w:t>انطباق</w:t>
      </w:r>
      <w:r w:rsidRPr="0025250D">
        <w:rPr>
          <w:rFonts w:hint="cs"/>
          <w:rtl/>
        </w:rPr>
        <w:t xml:space="preserve"> - نوآوری </w:t>
      </w:r>
      <w:r w:rsidRPr="0025250D">
        <w:rPr>
          <w:rtl/>
        </w:rPr>
        <w:t>کرتون</w:t>
      </w:r>
      <w:r w:rsidRPr="0025250D">
        <w:rPr>
          <w:rFonts w:hint="cs"/>
          <w:rtl/>
        </w:rPr>
        <w:t xml:space="preserve"> یا </w:t>
      </w:r>
      <w:r w:rsidRPr="0025250D">
        <w:t>KAI</w:t>
      </w:r>
      <w:r w:rsidRPr="0025250D">
        <w:rPr>
          <w:rFonts w:hint="cs"/>
          <w:rtl/>
        </w:rPr>
        <w:t xml:space="preserve"> را برای ارزیابی این سه سبک توسعه داد. گروه او این ابزار را برای ده‌ها هزار نفر در سال‌های پس از آن به کار گرفت. </w:t>
      </w:r>
      <w:r w:rsidR="007118DE" w:rsidRPr="0025250D">
        <w:rPr>
          <w:rFonts w:hint="cs"/>
          <w:rtl/>
        </w:rPr>
        <w:t>همان‌طور</w:t>
      </w:r>
      <w:r w:rsidRPr="0025250D">
        <w:rPr>
          <w:rFonts w:hint="cs"/>
          <w:rtl/>
        </w:rPr>
        <w:t xml:space="preserve"> که </w:t>
      </w:r>
      <w:r w:rsidRPr="0025250D">
        <w:rPr>
          <w:rtl/>
        </w:rPr>
        <w:t>کرتون</w:t>
      </w:r>
      <w:r w:rsidRPr="0025250D">
        <w:rPr>
          <w:rFonts w:hint="cs"/>
          <w:rtl/>
        </w:rPr>
        <w:t xml:space="preserve"> در کتاب </w:t>
      </w:r>
      <w:r w:rsidR="002F3C14" w:rsidRPr="0025250D">
        <w:rPr>
          <w:rFonts w:hint="cs"/>
          <w:rtl/>
        </w:rPr>
        <w:t>انطباق</w:t>
      </w:r>
      <w:r w:rsidRPr="0025250D">
        <w:rPr>
          <w:rFonts w:hint="cs"/>
          <w:rtl/>
        </w:rPr>
        <w:t xml:space="preserve"> - نوآوری</w:t>
      </w:r>
      <w:r w:rsidRPr="0025250D">
        <w:rPr>
          <w:vertAlign w:val="superscript"/>
          <w:rtl/>
        </w:rPr>
        <w:footnoteReference w:id="1342"/>
      </w:r>
      <w:r w:rsidRPr="0025250D">
        <w:rPr>
          <w:rFonts w:hint="cs"/>
          <w:rtl/>
        </w:rPr>
        <w:t xml:space="preserve"> در سال 2013 توصیف می‌کند، نوآوران به طور مشخص بر آینده‌های ممکن تمرکز دارند و تفکری با اولویت آینده دارند. محافظان بر آینده‌های محتمل تمرکز دارند و تفکری با اولویت گذشته دارند و پیونددهندگان به شدت بر آینده‌های مرجح متمرکز هستند و تفکری با اولویت حال دارند. پیونددهندگان که تا به حال بزرگترین گروه در بین این سه گروه </w:t>
      </w:r>
      <w:r w:rsidR="00B124DE" w:rsidRPr="0025250D">
        <w:rPr>
          <w:rFonts w:hint="cs"/>
          <w:rtl/>
        </w:rPr>
        <w:t>بوده‌اند</w:t>
      </w:r>
      <w:r w:rsidRPr="0025250D">
        <w:rPr>
          <w:rFonts w:hint="cs"/>
          <w:rtl/>
        </w:rPr>
        <w:t>، به طور کلی به دنبال متوازن ساختن و ترکیب موارد ممکن و محتمل (نوآوری و محافظت)</w:t>
      </w:r>
      <w:r w:rsidR="001F40A0" w:rsidRPr="0025250D">
        <w:rPr>
          <w:rFonts w:hint="cs"/>
          <w:rtl/>
        </w:rPr>
        <w:t>،</w:t>
      </w:r>
      <w:r w:rsidRPr="0025250D">
        <w:rPr>
          <w:rFonts w:hint="cs"/>
          <w:rtl/>
        </w:rPr>
        <w:t xml:space="preserve"> معمولا به سبکی که ارزش هر دو را تشخیص </w:t>
      </w:r>
      <w:r w:rsidR="001F40A0" w:rsidRPr="0025250D">
        <w:rPr>
          <w:rFonts w:hint="cs"/>
          <w:rtl/>
        </w:rPr>
        <w:t>می‌</w:t>
      </w:r>
      <w:r w:rsidRPr="0025250D">
        <w:rPr>
          <w:rFonts w:hint="cs"/>
          <w:rtl/>
        </w:rPr>
        <w:t xml:space="preserve">دهد، می‌باشند. این </w:t>
      </w:r>
      <w:r w:rsidR="00701E03" w:rsidRPr="0025250D">
        <w:rPr>
          <w:rFonts w:hint="cs"/>
          <w:rtl/>
        </w:rPr>
        <w:t>راهبرد</w:t>
      </w:r>
      <w:r w:rsidRPr="0025250D">
        <w:rPr>
          <w:rFonts w:hint="cs"/>
          <w:rtl/>
        </w:rPr>
        <w:t xml:space="preserve"> معمولا، اما نه همیشه، آینده‌هایی که برای بیش‌تر افراد مرجح باشند (</w:t>
      </w:r>
      <w:r w:rsidR="00EE4B64" w:rsidRPr="0025250D">
        <w:rPr>
          <w:rFonts w:hint="cs"/>
          <w:rtl/>
        </w:rPr>
        <w:t>مردم‌سالار</w:t>
      </w:r>
      <w:r w:rsidRPr="0025250D">
        <w:rPr>
          <w:rFonts w:hint="cs"/>
          <w:rtl/>
        </w:rPr>
        <w:t>) را برای گروه تولید می‌کنند.</w:t>
      </w:r>
    </w:p>
    <w:p w14:paraId="448054FB" w14:textId="5D730ABA" w:rsidR="00537CC8" w:rsidRPr="0025250D" w:rsidRDefault="00537CC8" w:rsidP="00537CC8">
      <w:pPr>
        <w:rPr>
          <w:rtl/>
        </w:rPr>
      </w:pPr>
      <w:r w:rsidRPr="0025250D">
        <w:rPr>
          <w:rtl/>
        </w:rPr>
        <w:t>کرتون</w:t>
      </w:r>
      <w:r w:rsidRPr="0025250D">
        <w:rPr>
          <w:rFonts w:hint="cs"/>
          <w:rtl/>
        </w:rPr>
        <w:t xml:space="preserve"> یک توزیع نرمال از این سه سبک حل مسئله و </w:t>
      </w:r>
      <w:r w:rsidR="0008779C" w:rsidRPr="0025250D">
        <w:rPr>
          <w:rFonts w:hint="cs"/>
          <w:rtl/>
        </w:rPr>
        <w:t>تصمیم‌گیری</w:t>
      </w:r>
      <w:r w:rsidRPr="0025250D">
        <w:rPr>
          <w:rFonts w:hint="cs"/>
          <w:rtl/>
        </w:rPr>
        <w:t xml:space="preserve"> را در میان مردم یافت. او دریافت که بزرگترین گروه مردم، تقریبا دو سوم بشریت، پیونددهنده هستند و یک سوم از ما در دو دسته دیگر به عنوان نوآوران و </w:t>
      </w:r>
      <w:r w:rsidR="002F3C14" w:rsidRPr="0025250D">
        <w:rPr>
          <w:rFonts w:hint="cs"/>
          <w:rtl/>
        </w:rPr>
        <w:t>انطباق</w:t>
      </w:r>
      <w:r w:rsidRPr="0025250D">
        <w:rPr>
          <w:rFonts w:hint="cs"/>
          <w:rtl/>
        </w:rPr>
        <w:t xml:space="preserve"> یابندگان قرار داریم. این توزیع با غلبه پیونددهندگان می‌تواند یک مبنای زیستی در ژنتیک مردم داشته باشد. این به نظر یک جنبه کلیدی </w:t>
      </w:r>
      <w:r w:rsidRPr="0025250D">
        <w:rPr>
          <w:rtl/>
        </w:rPr>
        <w:t>ز</w:t>
      </w:r>
      <w:r w:rsidRPr="0025250D">
        <w:rPr>
          <w:rFonts w:hint="cs"/>
          <w:rtl/>
        </w:rPr>
        <w:t>ی</w:t>
      </w:r>
      <w:r w:rsidRPr="0025250D">
        <w:rPr>
          <w:rFonts w:hint="eastAsia"/>
          <w:rtl/>
        </w:rPr>
        <w:t>ست</w:t>
      </w:r>
      <w:r w:rsidRPr="0025250D">
        <w:rPr>
          <w:rtl/>
        </w:rPr>
        <w:t xml:space="preserve"> شناس</w:t>
      </w:r>
      <w:r w:rsidRPr="0025250D">
        <w:rPr>
          <w:rFonts w:hint="cs"/>
          <w:rtl/>
        </w:rPr>
        <w:t>ی</w:t>
      </w:r>
      <w:r w:rsidRPr="0025250D">
        <w:rPr>
          <w:rtl/>
        </w:rPr>
        <w:t xml:space="preserve"> اجتماع</w:t>
      </w:r>
      <w:r w:rsidRPr="0025250D">
        <w:rPr>
          <w:rFonts w:hint="cs"/>
          <w:rtl/>
        </w:rPr>
        <w:t>ی</w:t>
      </w:r>
      <w:r w:rsidRPr="0025250D">
        <w:rPr>
          <w:vertAlign w:val="superscript"/>
          <w:rtl/>
        </w:rPr>
        <w:footnoteReference w:id="1343"/>
      </w:r>
      <w:r w:rsidRPr="0025250D">
        <w:rPr>
          <w:rFonts w:hint="cs"/>
          <w:rtl/>
        </w:rPr>
        <w:t xml:space="preserve"> شبکه‌های </w:t>
      </w:r>
      <w:r w:rsidR="00AE5BE0" w:rsidRPr="0025250D">
        <w:rPr>
          <w:rFonts w:hint="cs"/>
          <w:rtl/>
        </w:rPr>
        <w:t>انطباقی</w:t>
      </w:r>
      <w:r w:rsidRPr="0025250D">
        <w:rPr>
          <w:rFonts w:hint="cs"/>
          <w:rtl/>
        </w:rPr>
        <w:t xml:space="preserve"> می‌باشد. همه گروه‌های سالم دارای هم رقابتی</w:t>
      </w:r>
      <w:r w:rsidRPr="0025250D">
        <w:rPr>
          <w:vertAlign w:val="superscript"/>
          <w:rtl/>
        </w:rPr>
        <w:footnoteReference w:id="1344"/>
      </w:r>
      <w:r w:rsidRPr="0025250D">
        <w:rPr>
          <w:rFonts w:hint="cs"/>
          <w:rtl/>
        </w:rPr>
        <w:t xml:space="preserve"> هستند. آن‌ها در یک </w:t>
      </w:r>
      <w:r w:rsidR="00B13F65" w:rsidRPr="0025250D">
        <w:rPr>
          <w:rFonts w:hint="cs"/>
          <w:rtl/>
        </w:rPr>
        <w:t>چارچوب</w:t>
      </w:r>
      <w:r w:rsidRPr="0025250D">
        <w:rPr>
          <w:rFonts w:hint="cs"/>
          <w:rtl/>
        </w:rPr>
        <w:t xml:space="preserve"> مشترک اخلاقی و همدلانه، در وهله اول همکار و در وهله دوم رقیب می‌باشند.</w:t>
      </w:r>
    </w:p>
    <w:p w14:paraId="0A48E8BE" w14:textId="0CA1F8A7" w:rsidR="00537CC8" w:rsidRPr="0025250D" w:rsidRDefault="00537CC8" w:rsidP="00537CC8">
      <w:pPr>
        <w:rPr>
          <w:rtl/>
        </w:rPr>
      </w:pPr>
      <w:r w:rsidRPr="0025250D">
        <w:rPr>
          <w:rtl/>
        </w:rPr>
        <w:t>امروزه رسانه‌ها</w:t>
      </w:r>
      <w:r w:rsidRPr="0025250D">
        <w:rPr>
          <w:rFonts w:hint="cs"/>
          <w:rtl/>
        </w:rPr>
        <w:t>ی</w:t>
      </w:r>
      <w:r w:rsidRPr="0025250D">
        <w:rPr>
          <w:rtl/>
        </w:rPr>
        <w:t xml:space="preserve"> اجتماع</w:t>
      </w:r>
      <w:r w:rsidRPr="0025250D">
        <w:rPr>
          <w:rFonts w:hint="cs"/>
          <w:rtl/>
        </w:rPr>
        <w:t>ی</w:t>
      </w:r>
      <w:r w:rsidRPr="0025250D">
        <w:rPr>
          <w:rtl/>
        </w:rPr>
        <w:t xml:space="preserve"> ا</w:t>
      </w:r>
      <w:r w:rsidRPr="0025250D">
        <w:rPr>
          <w:rFonts w:hint="cs"/>
          <w:rtl/>
        </w:rPr>
        <w:t>ی</w:t>
      </w:r>
      <w:r w:rsidRPr="0025250D">
        <w:rPr>
          <w:rFonts w:hint="eastAsia"/>
          <w:rtl/>
        </w:rPr>
        <w:t>ن</w:t>
      </w:r>
      <w:r w:rsidRPr="0025250D">
        <w:rPr>
          <w:rtl/>
        </w:rPr>
        <w:t xml:space="preserve"> توهم را به وجود م</w:t>
      </w:r>
      <w:r w:rsidRPr="0025250D">
        <w:rPr>
          <w:rFonts w:hint="cs"/>
          <w:rtl/>
        </w:rPr>
        <w:t>ی‌</w:t>
      </w:r>
      <w:r w:rsidRPr="0025250D">
        <w:rPr>
          <w:rFonts w:hint="eastAsia"/>
          <w:rtl/>
        </w:rPr>
        <w:t>آورند</w:t>
      </w:r>
      <w:r w:rsidRPr="0025250D">
        <w:rPr>
          <w:rtl/>
        </w:rPr>
        <w:t xml:space="preserve"> که ما به طور فزا</w:t>
      </w:r>
      <w:r w:rsidRPr="0025250D">
        <w:rPr>
          <w:rFonts w:hint="cs"/>
          <w:rtl/>
        </w:rPr>
        <w:t>ی</w:t>
      </w:r>
      <w:r w:rsidRPr="0025250D">
        <w:rPr>
          <w:rFonts w:hint="eastAsia"/>
          <w:rtl/>
        </w:rPr>
        <w:t>نده‌ا</w:t>
      </w:r>
      <w:r w:rsidRPr="0025250D">
        <w:rPr>
          <w:rFonts w:hint="cs"/>
          <w:rtl/>
        </w:rPr>
        <w:t>ی</w:t>
      </w:r>
      <w:r w:rsidRPr="0025250D">
        <w:rPr>
          <w:rtl/>
        </w:rPr>
        <w:t xml:space="preserve"> نسبت به سبک‌ها</w:t>
      </w:r>
      <w:r w:rsidRPr="0025250D">
        <w:rPr>
          <w:rFonts w:hint="cs"/>
          <w:rtl/>
        </w:rPr>
        <w:t>ی</w:t>
      </w:r>
      <w:r w:rsidRPr="0025250D">
        <w:rPr>
          <w:rtl/>
        </w:rPr>
        <w:t xml:space="preserve"> تصم</w:t>
      </w:r>
      <w:r w:rsidRPr="0025250D">
        <w:rPr>
          <w:rFonts w:hint="cs"/>
          <w:rtl/>
        </w:rPr>
        <w:t>ی</w:t>
      </w:r>
      <w:r w:rsidRPr="0025250D">
        <w:rPr>
          <w:rFonts w:hint="eastAsia"/>
          <w:rtl/>
        </w:rPr>
        <w:t>م‌گ</w:t>
      </w:r>
      <w:r w:rsidRPr="0025250D">
        <w:rPr>
          <w:rFonts w:hint="cs"/>
          <w:rtl/>
        </w:rPr>
        <w:t>ی</w:t>
      </w:r>
      <w:r w:rsidRPr="0025250D">
        <w:rPr>
          <w:rFonts w:hint="eastAsia"/>
          <w:rtl/>
        </w:rPr>
        <w:t>ر</w:t>
      </w:r>
      <w:r w:rsidRPr="0025250D">
        <w:rPr>
          <w:rFonts w:hint="cs"/>
          <w:rtl/>
        </w:rPr>
        <w:t>ی</w:t>
      </w:r>
      <w:r w:rsidRPr="0025250D">
        <w:rPr>
          <w:rtl/>
        </w:rPr>
        <w:t xml:space="preserve"> قطب</w:t>
      </w:r>
      <w:r w:rsidRPr="0025250D">
        <w:rPr>
          <w:rFonts w:hint="cs"/>
          <w:rtl/>
        </w:rPr>
        <w:t>ی</w:t>
      </w:r>
      <w:r w:rsidRPr="0025250D">
        <w:rPr>
          <w:rtl/>
        </w:rPr>
        <w:t xml:space="preserve"> شده‌ا</w:t>
      </w:r>
      <w:r w:rsidRPr="0025250D">
        <w:rPr>
          <w:rFonts w:hint="cs"/>
          <w:rtl/>
        </w:rPr>
        <w:t>ی</w:t>
      </w:r>
      <w:r w:rsidRPr="0025250D">
        <w:rPr>
          <w:rFonts w:hint="eastAsia"/>
          <w:rtl/>
        </w:rPr>
        <w:t>م</w:t>
      </w:r>
      <w:r w:rsidRPr="0025250D">
        <w:rPr>
          <w:rtl/>
        </w:rPr>
        <w:t xml:space="preserve"> و </w:t>
      </w:r>
      <w:r w:rsidRPr="0025250D">
        <w:rPr>
          <w:rFonts w:hint="cs"/>
          <w:rtl/>
        </w:rPr>
        <w:t>پیونددهندگان</w:t>
      </w:r>
      <w:r w:rsidRPr="0025250D">
        <w:rPr>
          <w:rtl/>
        </w:rPr>
        <w:t xml:space="preserve"> کمتر</w:t>
      </w:r>
      <w:r w:rsidRPr="0025250D">
        <w:rPr>
          <w:rFonts w:hint="cs"/>
          <w:rtl/>
        </w:rPr>
        <w:t>ی</w:t>
      </w:r>
      <w:r w:rsidRPr="0025250D">
        <w:rPr>
          <w:rtl/>
        </w:rPr>
        <w:t xml:space="preserve"> در م</w:t>
      </w:r>
      <w:r w:rsidRPr="0025250D">
        <w:rPr>
          <w:rFonts w:hint="cs"/>
          <w:rtl/>
        </w:rPr>
        <w:t>ی</w:t>
      </w:r>
      <w:r w:rsidRPr="0025250D">
        <w:rPr>
          <w:rFonts w:hint="eastAsia"/>
          <w:rtl/>
        </w:rPr>
        <w:t>ان</w:t>
      </w:r>
      <w:r w:rsidRPr="0025250D">
        <w:rPr>
          <w:rtl/>
        </w:rPr>
        <w:t xml:space="preserve"> ما وجود دارد</w:t>
      </w:r>
      <w:r w:rsidRPr="0025250D">
        <w:rPr>
          <w:rFonts w:hint="cs"/>
          <w:rtl/>
        </w:rPr>
        <w:t xml:space="preserve">. در واقعیت، ما از نظر داستان‌هایی که برای توضیح به جهان انتخاب می‌کنیم قطبی شده ایم، نه از نظر سبک </w:t>
      </w:r>
      <w:r w:rsidR="0008779C" w:rsidRPr="0025250D">
        <w:rPr>
          <w:rFonts w:hint="cs"/>
          <w:rtl/>
        </w:rPr>
        <w:t>تصمیم‌گیری</w:t>
      </w:r>
      <w:r w:rsidRPr="0025250D">
        <w:rPr>
          <w:rFonts w:hint="cs"/>
          <w:rtl/>
        </w:rPr>
        <w:t xml:space="preserve"> هایمان. این موارد دو امر مختلف هستند. مورد دوم همواره به شکلی آشفته میان قطبی سازی و میانه روی نوسان کرده است و تغییر آن بسیار ساده‌تر است. از نظر شناختی، اکثریت ما پیونددهنده باقی می‌مانیم، حتی در این دوره سیاست‌های هویتی</w:t>
      </w:r>
      <w:r w:rsidRPr="0025250D">
        <w:rPr>
          <w:vertAlign w:val="superscript"/>
          <w:rtl/>
        </w:rPr>
        <w:footnoteReference w:id="1345"/>
      </w:r>
      <w:r w:rsidRPr="0025250D">
        <w:rPr>
          <w:rFonts w:hint="cs"/>
          <w:rtl/>
        </w:rPr>
        <w:t xml:space="preserve">. بیش‌تر ما می‌خواهیم به محض این که محیط‌های سمی به ما اجازه دهند، </w:t>
      </w:r>
      <w:r w:rsidR="007118DE" w:rsidRPr="0025250D">
        <w:rPr>
          <w:rFonts w:hint="cs"/>
          <w:rtl/>
        </w:rPr>
        <w:t>همان‌طور</w:t>
      </w:r>
      <w:r w:rsidRPr="0025250D">
        <w:rPr>
          <w:rFonts w:hint="cs"/>
          <w:rtl/>
        </w:rPr>
        <w:t xml:space="preserve"> که بعدا در </w:t>
      </w:r>
      <w:r w:rsidRPr="0025250D">
        <w:t>BPF</w:t>
      </w:r>
      <w:r w:rsidRPr="0025250D">
        <w:rPr>
          <w:rFonts w:hint="cs"/>
          <w:rtl/>
        </w:rPr>
        <w:t xml:space="preserve"> بحث خواهیم کرد، به زمینه مشترک برسیم.</w:t>
      </w:r>
    </w:p>
    <w:p w14:paraId="2A158669" w14:textId="5B51306F" w:rsidR="00537CC8" w:rsidRPr="0025250D" w:rsidRDefault="00537CC8" w:rsidP="00537CC8">
      <w:pPr>
        <w:rPr>
          <w:rtl/>
        </w:rPr>
      </w:pPr>
      <w:r w:rsidRPr="0025250D">
        <w:rPr>
          <w:rFonts w:hint="cs"/>
          <w:rtl/>
        </w:rPr>
        <w:t xml:space="preserve">ما اصطلاحات نوآور و پیونددهنده </w:t>
      </w:r>
      <w:r w:rsidRPr="0025250D">
        <w:rPr>
          <w:rtl/>
        </w:rPr>
        <w:t>کرتون</w:t>
      </w:r>
      <w:r w:rsidRPr="0025250D">
        <w:rPr>
          <w:rFonts w:hint="cs"/>
          <w:rtl/>
        </w:rPr>
        <w:t xml:space="preserve"> را دوست داریم اما تمایل زیادی به اصطلاح </w:t>
      </w:r>
      <w:r w:rsidR="00AE5BE0" w:rsidRPr="0025250D">
        <w:rPr>
          <w:rFonts w:hint="cs"/>
          <w:rtl/>
        </w:rPr>
        <w:t>انطباقی</w:t>
      </w:r>
      <w:r w:rsidRPr="0025250D">
        <w:rPr>
          <w:rFonts w:hint="cs"/>
          <w:rtl/>
        </w:rPr>
        <w:t xml:space="preserve"> او نداریم. </w:t>
      </w:r>
      <w:r w:rsidR="00AE5BE0" w:rsidRPr="0025250D">
        <w:rPr>
          <w:rFonts w:hint="cs"/>
          <w:rtl/>
        </w:rPr>
        <w:t>انطباقی</w:t>
      </w:r>
      <w:r w:rsidRPr="0025250D">
        <w:rPr>
          <w:rFonts w:hint="cs"/>
          <w:rtl/>
        </w:rPr>
        <w:t xml:space="preserve">ان در اصطلاح </w:t>
      </w:r>
      <w:r w:rsidRPr="0025250D">
        <w:rPr>
          <w:rtl/>
        </w:rPr>
        <w:t>کرتون</w:t>
      </w:r>
      <w:r w:rsidRPr="0025250D">
        <w:rPr>
          <w:rFonts w:hint="cs"/>
          <w:rtl/>
        </w:rPr>
        <w:t xml:space="preserve"> برای حفاظت از وضعیت موجود و پیش‌بینی و دوری از زیان‌های قابل اجتناب انگیزه دارند. ما از اصطلاحات محافظین</w:t>
      </w:r>
      <w:r w:rsidRPr="0025250D">
        <w:rPr>
          <w:vertAlign w:val="superscript"/>
          <w:rtl/>
        </w:rPr>
        <w:footnoteReference w:id="1346"/>
      </w:r>
      <w:r w:rsidRPr="0025250D">
        <w:rPr>
          <w:rFonts w:hint="cs"/>
          <w:rtl/>
        </w:rPr>
        <w:t xml:space="preserve"> و پیش انگارها</w:t>
      </w:r>
      <w:r w:rsidRPr="0025250D">
        <w:rPr>
          <w:vertAlign w:val="superscript"/>
          <w:rtl/>
        </w:rPr>
        <w:footnoteReference w:id="1347"/>
      </w:r>
      <w:r w:rsidRPr="0025250D">
        <w:rPr>
          <w:rFonts w:hint="cs"/>
          <w:rtl/>
        </w:rPr>
        <w:t xml:space="preserve"> برای اشاره به </w:t>
      </w:r>
      <w:r w:rsidR="00AE5BE0" w:rsidRPr="0025250D">
        <w:rPr>
          <w:rFonts w:hint="cs"/>
          <w:rtl/>
        </w:rPr>
        <w:t>انطباقی</w:t>
      </w:r>
      <w:r w:rsidRPr="0025250D">
        <w:rPr>
          <w:rFonts w:hint="cs"/>
          <w:rtl/>
        </w:rPr>
        <w:t xml:space="preserve">ان در بیان </w:t>
      </w:r>
      <w:r w:rsidRPr="0025250D">
        <w:rPr>
          <w:rtl/>
        </w:rPr>
        <w:t>کرتون</w:t>
      </w:r>
      <w:r w:rsidRPr="0025250D">
        <w:rPr>
          <w:rFonts w:hint="cs"/>
          <w:rtl/>
        </w:rPr>
        <w:t xml:space="preserve"> استفاده می‌کنیم.</w:t>
      </w:r>
    </w:p>
    <w:p w14:paraId="16D22544" w14:textId="575A570D" w:rsidR="00537CC8" w:rsidRPr="0025250D" w:rsidRDefault="00537CC8" w:rsidP="00537CC8">
      <w:pPr>
        <w:rPr>
          <w:rtl/>
        </w:rPr>
      </w:pPr>
      <w:r w:rsidRPr="0025250D">
        <w:rPr>
          <w:rtl/>
        </w:rPr>
        <w:t>کرتون</w:t>
      </w:r>
      <w:r w:rsidRPr="0025250D">
        <w:rPr>
          <w:rFonts w:hint="cs"/>
          <w:rtl/>
        </w:rPr>
        <w:t xml:space="preserve"> دریافت که این سه سبک </w:t>
      </w:r>
      <w:r w:rsidR="0008779C" w:rsidRPr="0025250D">
        <w:rPr>
          <w:rFonts w:hint="cs"/>
          <w:rtl/>
        </w:rPr>
        <w:t>تصمیم‌گیری</w:t>
      </w:r>
      <w:r w:rsidRPr="0025250D">
        <w:rPr>
          <w:rFonts w:hint="cs"/>
          <w:rtl/>
        </w:rPr>
        <w:t xml:space="preserve"> معمولا در میان جمعیت توزیع می‌شوند (منحنی نرمال این سه سبک </w:t>
      </w:r>
      <w:r w:rsidR="0008779C" w:rsidRPr="0025250D">
        <w:rPr>
          <w:rFonts w:hint="cs"/>
          <w:rtl/>
        </w:rPr>
        <w:t>تصمیم‌گیری</w:t>
      </w:r>
      <w:r w:rsidRPr="0025250D">
        <w:rPr>
          <w:rFonts w:hint="cs"/>
          <w:rtl/>
        </w:rPr>
        <w:t xml:space="preserve"> را در تصویر زیر ببینید). این سه سبک شناختی عمیقا با هرم </w:t>
      </w:r>
      <w:r w:rsidRPr="0025250D">
        <w:rPr>
          <w:rtl/>
        </w:rPr>
        <w:t>آینده‌نگاری</w:t>
      </w:r>
      <w:r w:rsidRPr="0025250D">
        <w:rPr>
          <w:rFonts w:hint="cs"/>
          <w:rtl/>
        </w:rPr>
        <w:t xml:space="preserve"> و با سه </w:t>
      </w:r>
      <w:r w:rsidR="00CF59DF" w:rsidRPr="0025250D">
        <w:rPr>
          <w:rFonts w:hint="cs"/>
          <w:rtl/>
        </w:rPr>
        <w:t>جهت‌گیری</w:t>
      </w:r>
      <w:r w:rsidRPr="0025250D">
        <w:rPr>
          <w:rFonts w:hint="cs"/>
          <w:rtl/>
        </w:rPr>
        <w:t xml:space="preserve"> زمانی متجانس هستند. در نتیجه، به نظر یک مدل </w:t>
      </w:r>
      <w:r w:rsidR="00AE5BE0" w:rsidRPr="0025250D">
        <w:rPr>
          <w:rFonts w:hint="cs"/>
          <w:rtl/>
        </w:rPr>
        <w:t>انطباقی</w:t>
      </w:r>
      <w:r w:rsidRPr="0025250D">
        <w:rPr>
          <w:rFonts w:hint="cs"/>
          <w:rtl/>
        </w:rPr>
        <w:t xml:space="preserve"> مشخصا فراگیر هستند.</w:t>
      </w:r>
    </w:p>
    <w:p w14:paraId="16EC613F" w14:textId="77777777" w:rsidR="00537CC8" w:rsidRPr="0025250D" w:rsidRDefault="00537CC8" w:rsidP="00537CC8">
      <w:pPr>
        <w:rPr>
          <w:rtl/>
        </w:rPr>
      </w:pPr>
      <w:r w:rsidRPr="0025250D">
        <w:rPr>
          <w:rFonts w:hint="cs"/>
          <w:rtl/>
        </w:rPr>
        <w:t xml:space="preserve">ما مدل </w:t>
      </w:r>
      <w:r w:rsidRPr="0025250D">
        <w:rPr>
          <w:rtl/>
        </w:rPr>
        <w:t>کرتون</w:t>
      </w:r>
      <w:r w:rsidRPr="0025250D">
        <w:rPr>
          <w:rFonts w:hint="cs"/>
          <w:rtl/>
        </w:rPr>
        <w:t xml:space="preserve"> را در تصویر زیر خلاصه‌سازی کرده‌ایم:</w:t>
      </w:r>
    </w:p>
    <w:p w14:paraId="055B6291" w14:textId="430D4719" w:rsidR="00537CC8" w:rsidRPr="0025250D" w:rsidRDefault="00F004A5" w:rsidP="000A674B">
      <w:pPr>
        <w:jc w:val="center"/>
        <w:rPr>
          <w:rtl/>
        </w:rPr>
      </w:pPr>
      <w:r w:rsidRPr="0025250D">
        <w:rPr>
          <w:noProof/>
        </w:rPr>
        <w:drawing>
          <wp:inline distT="0" distB="0" distL="0" distR="0" wp14:anchorId="3D84D315" wp14:editId="5723A7FF">
            <wp:extent cx="5718488" cy="4253948"/>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0" y="0"/>
                      <a:ext cx="5735766" cy="4266801"/>
                    </a:xfrm>
                    <a:prstGeom prst="rect">
                      <a:avLst/>
                    </a:prstGeom>
                    <a:noFill/>
                  </pic:spPr>
                </pic:pic>
              </a:graphicData>
            </a:graphic>
          </wp:inline>
        </w:drawing>
      </w:r>
    </w:p>
    <w:p w14:paraId="1DE0FC64" w14:textId="1A0B1714" w:rsidR="00537CC8" w:rsidRPr="0025250D" w:rsidRDefault="00537CC8" w:rsidP="00537CC8">
      <w:pPr>
        <w:rPr>
          <w:rtl/>
        </w:rPr>
      </w:pPr>
      <w:r w:rsidRPr="0025250D">
        <w:rPr>
          <w:rFonts w:hint="cs"/>
          <w:rtl/>
        </w:rPr>
        <w:t xml:space="preserve">هم تحقیق </w:t>
      </w:r>
      <w:r w:rsidRPr="0025250D">
        <w:rPr>
          <w:rtl/>
        </w:rPr>
        <w:t>کرتون</w:t>
      </w:r>
      <w:r w:rsidRPr="0025250D">
        <w:rPr>
          <w:rFonts w:hint="cs"/>
          <w:rtl/>
        </w:rPr>
        <w:t xml:space="preserve"> و هم هرم </w:t>
      </w:r>
      <w:r w:rsidRPr="0025250D">
        <w:rPr>
          <w:rtl/>
        </w:rPr>
        <w:t>آینده‌نگاری</w:t>
      </w:r>
      <w:r w:rsidRPr="0025250D">
        <w:rPr>
          <w:rFonts w:hint="cs"/>
          <w:rtl/>
        </w:rPr>
        <w:t xml:space="preserve"> استدلال می‌کنند که این سه مورد، سبک‌های </w:t>
      </w:r>
      <w:r w:rsidR="0008779C" w:rsidRPr="0025250D">
        <w:rPr>
          <w:rFonts w:hint="cs"/>
          <w:rtl/>
        </w:rPr>
        <w:t>تصمیم‌گیری</w:t>
      </w:r>
      <w:r w:rsidRPr="0025250D">
        <w:rPr>
          <w:rFonts w:hint="cs"/>
          <w:rtl/>
        </w:rPr>
        <w:t xml:space="preserve"> اساسی هستند که همه ما به شکل منظم از آن‌ها بهره می‌گیریم. هر یک از ما همچنین یک ترجیح کلی، در بافت‌های مختلف، به یک یا دو مورد از این سبک‌ها نسبت به بقیه داریم. بااین‌وجود، هر سه برای </w:t>
      </w:r>
      <w:r w:rsidR="00AE5BE0" w:rsidRPr="0025250D">
        <w:rPr>
          <w:rFonts w:hint="cs"/>
          <w:rtl/>
        </w:rPr>
        <w:t>انطباق</w:t>
      </w:r>
      <w:r w:rsidRPr="0025250D">
        <w:rPr>
          <w:rFonts w:hint="cs"/>
          <w:rtl/>
        </w:rPr>
        <w:t xml:space="preserve"> ضروری هستند. </w:t>
      </w:r>
      <w:r w:rsidR="007118DE" w:rsidRPr="0025250D">
        <w:rPr>
          <w:rFonts w:hint="cs"/>
          <w:rtl/>
        </w:rPr>
        <w:t>همان‌طور</w:t>
      </w:r>
      <w:r w:rsidRPr="0025250D">
        <w:rPr>
          <w:rFonts w:hint="cs"/>
          <w:rtl/>
        </w:rPr>
        <w:t xml:space="preserve"> که </w:t>
      </w:r>
      <w:r w:rsidRPr="0025250D">
        <w:rPr>
          <w:rtl/>
        </w:rPr>
        <w:t>کرتون</w:t>
      </w:r>
      <w:r w:rsidRPr="0025250D">
        <w:rPr>
          <w:rFonts w:hint="cs"/>
          <w:rtl/>
        </w:rPr>
        <w:t xml:space="preserve"> توصیف می‌کند، سازمان‌های مختلف توزیع‌های مختلفی از این سه نوع اساسی را جذب می‌کنند و اگر بیش از حد افرادی از یک نوع را داشته باشند، ممکن است به دردسر بیفتند. تیم‌های قوی به ترکیب سالمی از هر سبک شناختی نیاز دارند و همه تیم‌ها باید خود را در این سه متغیر تشخیص داده و ترکیب فعلی خود را درک کنند.</w:t>
      </w:r>
    </w:p>
    <w:p w14:paraId="5B3F4625" w14:textId="2A334C97" w:rsidR="00537CC8" w:rsidRPr="0025250D" w:rsidRDefault="00537CC8" w:rsidP="00537CC8">
      <w:pPr>
        <w:rPr>
          <w:rtl/>
        </w:rPr>
      </w:pPr>
      <w:r w:rsidRPr="0025250D">
        <w:rPr>
          <w:rFonts w:hint="cs"/>
          <w:rtl/>
        </w:rPr>
        <w:t>یک سازمان نوآوری محور، مانند یک استارتاپ، یک آزمایشگاه تحقیق و توسعه یا یک سازمان خلاق، به طور طبیعی نوآوران را جذب می‌کند. ممکن است چنین سازمان‌هایی نیاز داشته باشند تا برای محافظین هم ارزش بیش‌تری قائل شده و از آن‌ها حمایت کنند. یک سازمان دارای قابلیت اطمینان بالا</w:t>
      </w:r>
      <w:r w:rsidRPr="0025250D">
        <w:rPr>
          <w:vertAlign w:val="superscript"/>
          <w:rtl/>
        </w:rPr>
        <w:footnoteReference w:id="1348"/>
      </w:r>
      <w:r w:rsidRPr="0025250D">
        <w:rPr>
          <w:rFonts w:hint="cs"/>
          <w:rtl/>
        </w:rPr>
        <w:t xml:space="preserve"> (</w:t>
      </w:r>
      <w:r w:rsidRPr="0025250D">
        <w:t>HRO</w:t>
      </w:r>
      <w:r w:rsidRPr="0025250D">
        <w:rPr>
          <w:rFonts w:hint="cs"/>
          <w:rtl/>
        </w:rPr>
        <w:t xml:space="preserve">)، مانند یک سازمان دفاعی، یک شرکت بهداشت و درمان یا دولت، با تحمل پذیری کم‌تر نسبت به شکست، معمولا محافظین را جذب می‌کند. این سازمان معمولا به ارزش قائل شدن برای نوآوران و حمایت از آن‌ها نیاز دارد. یک گروه سیاسی، مشاوره ای، مدیریتی یا تسهیل گر، معمولا پیونددهنده‌ها را جذب می‌کند. این سازمان ممکن است نیاز داشته باشد که برای هر یک از دو نوع اساسی دیگر ارزش قائل شده و از آن‌ها حمایت کند. مشاغل متفاوت در سازمان نیز درصد‌های بالاتری از هر یک از این سه نوع را به خود جلب می‌کنند. به نظر خود، به کدامیک از این سه نوع تفکر بیش‌تر تمایل داریم؟ 6 نوع کلاسیک رهبر </w:t>
      </w:r>
      <w:r w:rsidRPr="0025250D">
        <w:rPr>
          <w:rtl/>
        </w:rPr>
        <w:t>آینده‌نگاری</w:t>
      </w:r>
      <w:r w:rsidRPr="0025250D">
        <w:rPr>
          <w:rFonts w:hint="cs"/>
          <w:rtl/>
        </w:rPr>
        <w:t xml:space="preserve"> را که در فصل قبل مورد بحث قرار گرفتند به یاد آورید. آن‌ها در اینجا برای تناسب با منحنی نرمال </w:t>
      </w:r>
      <w:r w:rsidRPr="0025250D">
        <w:rPr>
          <w:rtl/>
        </w:rPr>
        <w:t>کرتون</w:t>
      </w:r>
      <w:r w:rsidRPr="0025250D">
        <w:rPr>
          <w:rFonts w:hint="cs"/>
          <w:rtl/>
        </w:rPr>
        <w:t xml:space="preserve"> بازآرایی </w:t>
      </w:r>
      <w:r w:rsidR="00185F3E" w:rsidRPr="0025250D">
        <w:rPr>
          <w:rFonts w:hint="cs"/>
          <w:rtl/>
        </w:rPr>
        <w:t>شده‌اند</w:t>
      </w:r>
      <w:r w:rsidRPr="0025250D">
        <w:rPr>
          <w:rFonts w:hint="cs"/>
          <w:rtl/>
        </w:rPr>
        <w:t>.</w:t>
      </w:r>
    </w:p>
    <w:p w14:paraId="2572CDAA" w14:textId="3B1A063C" w:rsidR="00537CC8" w:rsidRPr="0025250D" w:rsidRDefault="00537CC8" w:rsidP="00537CC8">
      <w:pPr>
        <w:rPr>
          <w:rtl/>
        </w:rPr>
      </w:pPr>
      <w:r w:rsidRPr="0025250D">
        <w:rPr>
          <w:rFonts w:hint="cs"/>
          <w:rtl/>
        </w:rPr>
        <w:t xml:space="preserve">برچسب ما / نقش اجتماعی / برچسب‌های </w:t>
      </w:r>
      <w:r w:rsidRPr="0025250D">
        <w:rPr>
          <w:rtl/>
        </w:rPr>
        <w:t>کرتون</w:t>
      </w:r>
      <w:r w:rsidRPr="0025250D">
        <w:rPr>
          <w:rFonts w:hint="cs"/>
          <w:rtl/>
        </w:rPr>
        <w:t xml:space="preserve"> اصلاح شده:</w:t>
      </w:r>
    </w:p>
    <w:p w14:paraId="4048AC87" w14:textId="77777777" w:rsidR="00537CC8" w:rsidRPr="0025250D" w:rsidRDefault="00537CC8" w:rsidP="00492C47">
      <w:pPr>
        <w:numPr>
          <w:ilvl w:val="0"/>
          <w:numId w:val="31"/>
        </w:numPr>
      </w:pPr>
      <w:r w:rsidRPr="0025250D">
        <w:rPr>
          <w:rFonts w:hint="cs"/>
          <w:rtl/>
        </w:rPr>
        <w:t>آزمایش کردن</w:t>
      </w:r>
      <w:r w:rsidRPr="0025250D">
        <w:rPr>
          <w:vertAlign w:val="superscript"/>
          <w:rtl/>
        </w:rPr>
        <w:footnoteReference w:id="1349"/>
      </w:r>
      <w:r w:rsidRPr="0025250D">
        <w:rPr>
          <w:rFonts w:hint="cs"/>
          <w:rtl/>
        </w:rPr>
        <w:t xml:space="preserve"> (و زیبایی) / خلاق / نوآور</w:t>
      </w:r>
      <w:r w:rsidRPr="0025250D">
        <w:rPr>
          <w:rtl/>
        </w:rPr>
        <w:t xml:space="preserve"> قو</w:t>
      </w:r>
      <w:r w:rsidRPr="0025250D">
        <w:rPr>
          <w:rFonts w:hint="cs"/>
          <w:rtl/>
        </w:rPr>
        <w:t>ی</w:t>
      </w:r>
    </w:p>
    <w:p w14:paraId="3F0F929B" w14:textId="2BF49174" w:rsidR="00537CC8" w:rsidRPr="0025250D" w:rsidRDefault="00537CC8" w:rsidP="00492C47">
      <w:pPr>
        <w:numPr>
          <w:ilvl w:val="0"/>
          <w:numId w:val="31"/>
        </w:numPr>
      </w:pPr>
      <w:r w:rsidRPr="0025250D">
        <w:rPr>
          <w:rtl/>
        </w:rPr>
        <w:t>نوآور</w:t>
      </w:r>
      <w:r w:rsidRPr="0025250D">
        <w:rPr>
          <w:rFonts w:hint="cs"/>
          <w:rtl/>
        </w:rPr>
        <w:t>ی</w:t>
      </w:r>
      <w:r w:rsidRPr="0025250D">
        <w:rPr>
          <w:rtl/>
        </w:rPr>
        <w:t xml:space="preserve"> (و </w:t>
      </w:r>
      <w:r w:rsidR="00D92F6E" w:rsidRPr="0025250D">
        <w:rPr>
          <w:rFonts w:hint="cs"/>
          <w:rtl/>
        </w:rPr>
        <w:t>بنیان‌افکن</w:t>
      </w:r>
      <w:r w:rsidRPr="0025250D">
        <w:rPr>
          <w:rtl/>
        </w:rPr>
        <w:t>) / کارآفر</w:t>
      </w:r>
      <w:r w:rsidRPr="0025250D">
        <w:rPr>
          <w:rFonts w:hint="cs"/>
          <w:rtl/>
        </w:rPr>
        <w:t>ی</w:t>
      </w:r>
      <w:r w:rsidRPr="0025250D">
        <w:rPr>
          <w:rFonts w:hint="eastAsia"/>
          <w:rtl/>
        </w:rPr>
        <w:t>ن</w:t>
      </w:r>
      <w:r w:rsidRPr="0025250D">
        <w:rPr>
          <w:rtl/>
        </w:rPr>
        <w:t xml:space="preserve"> / </w:t>
      </w:r>
      <w:r w:rsidRPr="0025250D">
        <w:rPr>
          <w:rFonts w:hint="cs"/>
          <w:rtl/>
        </w:rPr>
        <w:t>نوآور</w:t>
      </w:r>
    </w:p>
    <w:p w14:paraId="53781CCC" w14:textId="6DCCB737" w:rsidR="00537CC8" w:rsidRPr="0025250D" w:rsidRDefault="007118DE" w:rsidP="00492C47">
      <w:pPr>
        <w:numPr>
          <w:ilvl w:val="0"/>
          <w:numId w:val="31"/>
        </w:numPr>
      </w:pPr>
      <w:r w:rsidRPr="0025250D">
        <w:rPr>
          <w:rtl/>
        </w:rPr>
        <w:t>اولویت‌بندی</w:t>
      </w:r>
      <w:r w:rsidR="00537CC8" w:rsidRPr="0025250D">
        <w:rPr>
          <w:rtl/>
        </w:rPr>
        <w:t xml:space="preserve"> (و تغ</w:t>
      </w:r>
      <w:r w:rsidR="00537CC8" w:rsidRPr="0025250D">
        <w:rPr>
          <w:rFonts w:hint="cs"/>
          <w:rtl/>
        </w:rPr>
        <w:t>یی</w:t>
      </w:r>
      <w:r w:rsidR="00537CC8" w:rsidRPr="0025250D">
        <w:rPr>
          <w:rFonts w:hint="eastAsia"/>
          <w:rtl/>
        </w:rPr>
        <w:t>ر</w:t>
      </w:r>
      <w:r w:rsidR="00537CC8" w:rsidRPr="0025250D">
        <w:rPr>
          <w:rtl/>
        </w:rPr>
        <w:t xml:space="preserve">) / مشاور / </w:t>
      </w:r>
      <w:r w:rsidR="00537CC8" w:rsidRPr="0025250D">
        <w:rPr>
          <w:rFonts w:hint="cs"/>
          <w:rtl/>
        </w:rPr>
        <w:t>نوآور - پیونددهنده</w:t>
      </w:r>
    </w:p>
    <w:p w14:paraId="41F5ABCE" w14:textId="77777777" w:rsidR="00537CC8" w:rsidRPr="0025250D" w:rsidRDefault="00537CC8" w:rsidP="00492C47">
      <w:pPr>
        <w:numPr>
          <w:ilvl w:val="0"/>
          <w:numId w:val="31"/>
        </w:numPr>
      </w:pPr>
      <w:r w:rsidRPr="0025250D">
        <w:rPr>
          <w:rtl/>
        </w:rPr>
        <w:t>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(و </w:t>
      </w:r>
      <w:r w:rsidRPr="0025250D">
        <w:rPr>
          <w:rFonts w:hint="cs"/>
          <w:rtl/>
        </w:rPr>
        <w:t>پیونددادن</w:t>
      </w:r>
      <w:r w:rsidRPr="0025250D">
        <w:rPr>
          <w:rtl/>
        </w:rPr>
        <w:t>) / مد</w:t>
      </w:r>
      <w:r w:rsidRPr="0025250D">
        <w:rPr>
          <w:rFonts w:hint="cs"/>
          <w:rtl/>
        </w:rPr>
        <w:t>ی</w:t>
      </w:r>
      <w:r w:rsidRPr="0025250D">
        <w:rPr>
          <w:rFonts w:hint="eastAsia"/>
          <w:rtl/>
        </w:rPr>
        <w:t>ر</w:t>
      </w:r>
      <w:r w:rsidRPr="0025250D">
        <w:rPr>
          <w:rtl/>
        </w:rPr>
        <w:t xml:space="preserve"> / </w:t>
      </w:r>
      <w:r w:rsidRPr="0025250D">
        <w:rPr>
          <w:rFonts w:hint="cs"/>
          <w:rtl/>
        </w:rPr>
        <w:t xml:space="preserve">پیونددهنده </w:t>
      </w:r>
      <w:r w:rsidRPr="0025250D">
        <w:rPr>
          <w:rFonts w:cs="Times New Roman" w:hint="cs"/>
          <w:rtl/>
        </w:rPr>
        <w:t>–</w:t>
      </w:r>
      <w:r w:rsidRPr="0025250D">
        <w:rPr>
          <w:rtl/>
        </w:rPr>
        <w:t xml:space="preserve"> محافظ</w:t>
      </w:r>
    </w:p>
    <w:p w14:paraId="08CCD4AE" w14:textId="77777777" w:rsidR="00537CC8" w:rsidRPr="0025250D" w:rsidRDefault="00537CC8" w:rsidP="00492C47">
      <w:pPr>
        <w:numPr>
          <w:ilvl w:val="0"/>
          <w:numId w:val="31"/>
        </w:numPr>
      </w:pPr>
      <w:r w:rsidRPr="0025250D">
        <w:rPr>
          <w:rFonts w:hint="cs"/>
          <w:rtl/>
        </w:rPr>
        <w:t>اکتشاف</w:t>
      </w:r>
      <w:r w:rsidRPr="0025250D">
        <w:rPr>
          <w:rtl/>
        </w:rPr>
        <w:t xml:space="preserve"> (و توض</w:t>
      </w:r>
      <w:r w:rsidRPr="0025250D">
        <w:rPr>
          <w:rFonts w:hint="cs"/>
          <w:rtl/>
        </w:rPr>
        <w:t>ی</w:t>
      </w:r>
      <w:r w:rsidRPr="0025250D">
        <w:rPr>
          <w:rFonts w:hint="eastAsia"/>
          <w:rtl/>
        </w:rPr>
        <w:t>ح</w:t>
      </w:r>
      <w:r w:rsidRPr="0025250D">
        <w:rPr>
          <w:rtl/>
        </w:rPr>
        <w:t xml:space="preserve">) / </w:t>
      </w:r>
      <w:r w:rsidRPr="0025250D">
        <w:rPr>
          <w:rFonts w:hint="cs"/>
          <w:rtl/>
        </w:rPr>
        <w:t>آکادمیک</w:t>
      </w:r>
      <w:r w:rsidRPr="0025250D">
        <w:rPr>
          <w:rtl/>
        </w:rPr>
        <w:t xml:space="preserve"> / محافظان</w:t>
      </w:r>
    </w:p>
    <w:p w14:paraId="3507DEB2" w14:textId="77777777" w:rsidR="00537CC8" w:rsidRPr="0025250D" w:rsidRDefault="00537CC8" w:rsidP="00492C47">
      <w:pPr>
        <w:numPr>
          <w:ilvl w:val="0"/>
          <w:numId w:val="31"/>
        </w:numPr>
        <w:rPr>
          <w:rtl/>
        </w:rPr>
      </w:pPr>
      <w:r w:rsidRPr="0025250D">
        <w:rPr>
          <w:rtl/>
        </w:rPr>
        <w:t>حفاظت (و حفظ) / دفاع / محافظان قو</w:t>
      </w:r>
      <w:r w:rsidRPr="0025250D">
        <w:rPr>
          <w:rFonts w:hint="cs"/>
          <w:rtl/>
        </w:rPr>
        <w:t>ی</w:t>
      </w:r>
    </w:p>
    <w:p w14:paraId="09F71115" w14:textId="50FD4765" w:rsidR="00537CC8" w:rsidRPr="0025250D" w:rsidRDefault="00537CC8" w:rsidP="00537CC8">
      <w:pPr>
        <w:rPr>
          <w:rtl/>
        </w:rPr>
      </w:pPr>
      <w:r w:rsidRPr="0025250D">
        <w:rPr>
          <w:rFonts w:hint="cs"/>
          <w:rtl/>
        </w:rPr>
        <w:t xml:space="preserve">آزمون </w:t>
      </w:r>
      <w:r w:rsidRPr="0025250D">
        <w:rPr>
          <w:rtl/>
        </w:rPr>
        <w:t>کرتون</w:t>
      </w:r>
      <w:r w:rsidRPr="0025250D">
        <w:rPr>
          <w:rFonts w:hint="cs"/>
          <w:rtl/>
        </w:rPr>
        <w:t xml:space="preserve"> می‌تواند به ما برای شناسایی بهتر این که کدام نقش‌ها برای ما از همه مناسب‌تر هستند کمک کند. ممکن است از قبل پاسخ را بدانیم</w:t>
      </w:r>
      <w:r w:rsidR="008D6F97" w:rsidRPr="0025250D">
        <w:rPr>
          <w:rtl/>
        </w:rPr>
        <w:t xml:space="preserve">؛ </w:t>
      </w:r>
      <w:r w:rsidR="0020589F" w:rsidRPr="0025250D">
        <w:rPr>
          <w:rtl/>
        </w:rPr>
        <w:t>اما</w:t>
      </w:r>
      <w:r w:rsidRPr="0025250D">
        <w:rPr>
          <w:rFonts w:hint="cs"/>
          <w:rtl/>
        </w:rPr>
        <w:t xml:space="preserve"> اگر </w:t>
      </w:r>
      <w:r w:rsidR="001F40A0" w:rsidRPr="0025250D">
        <w:rPr>
          <w:rFonts w:hint="cs"/>
          <w:rtl/>
        </w:rPr>
        <w:t>چنین نباشد،</w:t>
      </w:r>
      <w:r w:rsidRPr="0025250D">
        <w:rPr>
          <w:rFonts w:hint="cs"/>
          <w:rtl/>
        </w:rPr>
        <w:t xml:space="preserve"> می‌توانیم ارزیابی سبک شناختی </w:t>
      </w:r>
      <w:r w:rsidRPr="0025250D">
        <w:rPr>
          <w:rtl/>
        </w:rPr>
        <w:t>کرتون</w:t>
      </w:r>
      <w:r w:rsidRPr="0025250D">
        <w:rPr>
          <w:rFonts w:hint="cs"/>
          <w:rtl/>
        </w:rPr>
        <w:t xml:space="preserve"> را </w:t>
      </w:r>
      <w:r w:rsidR="001F40A0" w:rsidRPr="0025250D">
        <w:rPr>
          <w:rFonts w:hint="cs"/>
          <w:rtl/>
        </w:rPr>
        <w:t>از طریق</w:t>
      </w:r>
      <w:r w:rsidRPr="0025250D">
        <w:rPr>
          <w:rFonts w:hint="cs"/>
          <w:rtl/>
        </w:rPr>
        <w:t xml:space="preserve"> آدرس </w:t>
      </w:r>
      <w:r w:rsidRPr="0025250D">
        <w:t>KAIcentre.com</w:t>
      </w:r>
      <w:r w:rsidRPr="0025250D">
        <w:rPr>
          <w:rFonts w:hint="cs"/>
          <w:rtl/>
        </w:rPr>
        <w:t xml:space="preserve"> برای یافتن پاسخ انجام دهیم. </w:t>
      </w:r>
      <w:r w:rsidRPr="0025250D">
        <w:t>KAI</w:t>
      </w:r>
      <w:r w:rsidRPr="0025250D">
        <w:rPr>
          <w:rFonts w:hint="cs"/>
          <w:rtl/>
        </w:rPr>
        <w:t xml:space="preserve"> 32 پرسش دارد، 15 دقیقه برای تکمیل آن زمان لازم است و هزینه آن برای هر نفر 15 دلار است. متأسفانه، </w:t>
      </w:r>
      <w:r w:rsidRPr="0025250D">
        <w:rPr>
          <w:rtl/>
        </w:rPr>
        <w:t>کرتون</w:t>
      </w:r>
      <w:r w:rsidRPr="0025250D">
        <w:rPr>
          <w:rFonts w:hint="cs"/>
          <w:rtl/>
        </w:rPr>
        <w:t xml:space="preserve"> هنوز به یک آموزش دهنده دارای مجوز </w:t>
      </w:r>
      <w:r w:rsidRPr="0025250D">
        <w:t>KAI</w:t>
      </w:r>
      <w:r w:rsidRPr="0025250D">
        <w:rPr>
          <w:rFonts w:hint="cs"/>
          <w:rtl/>
        </w:rPr>
        <w:t xml:space="preserve"> برای ثبت و خلاصه‌سازی نتایج نیاز دارد، بنابراین هنوز آنلاین نیست. هر کسی که مایل است این </w:t>
      </w:r>
      <w:r w:rsidR="001F40A0" w:rsidRPr="0025250D">
        <w:rPr>
          <w:rFonts w:hint="cs"/>
          <w:rtl/>
        </w:rPr>
        <w:t>آزمون</w:t>
      </w:r>
      <w:r w:rsidRPr="0025250D">
        <w:rPr>
          <w:rFonts w:hint="cs"/>
          <w:rtl/>
        </w:rPr>
        <w:t xml:space="preserve"> را انجام دهد، به یکی از فعالان مراکز </w:t>
      </w:r>
      <w:r w:rsidRPr="0025250D">
        <w:t>KAI</w:t>
      </w:r>
      <w:r w:rsidRPr="0025250D">
        <w:rPr>
          <w:rFonts w:hint="cs"/>
          <w:rtl/>
        </w:rPr>
        <w:t xml:space="preserve"> ثبت شده در وب سایت </w:t>
      </w:r>
      <w:r w:rsidRPr="0025250D">
        <w:rPr>
          <w:rtl/>
        </w:rPr>
        <w:t>کرتون</w:t>
      </w:r>
      <w:r w:rsidRPr="0025250D">
        <w:rPr>
          <w:rFonts w:hint="cs"/>
          <w:rtl/>
        </w:rPr>
        <w:t xml:space="preserve"> ایمیل بزند.</w:t>
      </w:r>
    </w:p>
    <w:p w14:paraId="665711DE" w14:textId="77777777" w:rsidR="00537CC8" w:rsidRPr="0025250D" w:rsidRDefault="00537CC8" w:rsidP="000A674B">
      <w:pPr>
        <w:pStyle w:val="Heading3"/>
        <w:rPr>
          <w:rtl/>
        </w:rPr>
      </w:pPr>
      <w:r w:rsidRPr="0025250D">
        <w:rPr>
          <w:rFonts w:hint="cs"/>
          <w:rtl/>
        </w:rPr>
        <w:t xml:space="preserve">هرم </w:t>
      </w:r>
      <w:r w:rsidRPr="0025250D">
        <w:rPr>
          <w:rtl/>
        </w:rPr>
        <w:t>ک</w:t>
      </w:r>
      <w:r w:rsidRPr="0025250D">
        <w:rPr>
          <w:rFonts w:hint="cs"/>
          <w:rtl/>
        </w:rPr>
        <w:t>ی</w:t>
      </w:r>
      <w:r w:rsidRPr="0025250D">
        <w:rPr>
          <w:rFonts w:hint="eastAsia"/>
          <w:rtl/>
        </w:rPr>
        <w:t>رس</w:t>
      </w:r>
      <w:r w:rsidRPr="0025250D">
        <w:rPr>
          <w:rFonts w:hint="cs"/>
          <w:rtl/>
        </w:rPr>
        <w:t>ی - چهار نوع شخصیتی</w:t>
      </w:r>
    </w:p>
    <w:p w14:paraId="3555572D" w14:textId="3D83DCC4" w:rsidR="00537CC8" w:rsidRPr="0025250D" w:rsidRDefault="00537CC8" w:rsidP="00537CC8">
      <w:pPr>
        <w:rPr>
          <w:rtl/>
        </w:rPr>
      </w:pPr>
      <w:r w:rsidRPr="0025250D">
        <w:rPr>
          <w:rFonts w:hint="cs"/>
          <w:rtl/>
        </w:rPr>
        <w:t xml:space="preserve">در فصل 1، ما مدل شخصیتی </w:t>
      </w:r>
      <w:r w:rsidRPr="0025250D">
        <w:rPr>
          <w:rtl/>
        </w:rPr>
        <w:t>د</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rtl/>
        </w:rPr>
        <w:t xml:space="preserve"> ک</w:t>
      </w:r>
      <w:r w:rsidRPr="0025250D">
        <w:rPr>
          <w:rFonts w:hint="cs"/>
          <w:rtl/>
        </w:rPr>
        <w:t>ی</w:t>
      </w:r>
      <w:r w:rsidRPr="0025250D">
        <w:rPr>
          <w:rFonts w:hint="eastAsia"/>
          <w:rtl/>
        </w:rPr>
        <w:t>رس</w:t>
      </w:r>
      <w:r w:rsidRPr="0025250D">
        <w:rPr>
          <w:rFonts w:hint="cs"/>
          <w:rtl/>
        </w:rPr>
        <w:t>ی</w:t>
      </w:r>
      <w:r w:rsidRPr="0025250D">
        <w:rPr>
          <w:vertAlign w:val="superscript"/>
          <w:rtl/>
        </w:rPr>
        <w:footnoteReference w:id="1350"/>
      </w:r>
      <w:r w:rsidRPr="0025250D">
        <w:rPr>
          <w:rFonts w:hint="cs"/>
          <w:rtl/>
        </w:rPr>
        <w:t xml:space="preserve"> با عنوان </w:t>
      </w:r>
      <w:r w:rsidR="003103D3" w:rsidRPr="0025250D">
        <w:rPr>
          <w:rFonts w:hint="cs"/>
          <w:rtl/>
        </w:rPr>
        <w:t>خلق و خوی</w:t>
      </w:r>
      <w:r w:rsidRPr="0025250D">
        <w:rPr>
          <w:rFonts w:hint="cs"/>
          <w:rtl/>
        </w:rPr>
        <w:t xml:space="preserve"> چهارگانه</w:t>
      </w:r>
      <w:r w:rsidRPr="0025250D">
        <w:rPr>
          <w:vertAlign w:val="superscript"/>
          <w:rtl/>
        </w:rPr>
        <w:footnoteReference w:id="1351"/>
      </w:r>
      <w:r w:rsidRPr="0025250D">
        <w:rPr>
          <w:rFonts w:hint="cs"/>
          <w:rtl/>
        </w:rPr>
        <w:t xml:space="preserve">، یکی از سویه‌های انواع شخصیت </w:t>
      </w:r>
      <w:r w:rsidRPr="0025250D">
        <w:rPr>
          <w:rtl/>
        </w:rPr>
        <w:t>ما</w:t>
      </w:r>
      <w:r w:rsidRPr="0025250D">
        <w:rPr>
          <w:rFonts w:hint="cs"/>
          <w:rtl/>
        </w:rPr>
        <w:t>ی</w:t>
      </w:r>
      <w:r w:rsidRPr="0025250D">
        <w:rPr>
          <w:rFonts w:hint="eastAsia"/>
          <w:rtl/>
        </w:rPr>
        <w:t>رز</w:t>
      </w:r>
      <w:r w:rsidRPr="0025250D">
        <w:rPr>
          <w:rtl/>
        </w:rPr>
        <w:t>-بر</w:t>
      </w:r>
      <w:r w:rsidRPr="0025250D">
        <w:rPr>
          <w:rFonts w:hint="cs"/>
          <w:rtl/>
        </w:rPr>
        <w:t>ی</w:t>
      </w:r>
      <w:r w:rsidRPr="0025250D">
        <w:rPr>
          <w:rFonts w:hint="eastAsia"/>
          <w:rtl/>
        </w:rPr>
        <w:t>گز</w:t>
      </w:r>
      <w:r w:rsidRPr="0025250D">
        <w:rPr>
          <w:vertAlign w:val="superscript"/>
          <w:rtl/>
        </w:rPr>
        <w:footnoteReference w:id="1352"/>
      </w:r>
      <w:r w:rsidRPr="0025250D">
        <w:rPr>
          <w:rFonts w:hint="cs"/>
          <w:rtl/>
        </w:rPr>
        <w:t xml:space="preserve"> (</w:t>
      </w:r>
      <w:r w:rsidRPr="0025250D">
        <w:t>MBTI</w:t>
      </w:r>
      <w:r w:rsidRPr="0025250D">
        <w:rPr>
          <w:rFonts w:hint="cs"/>
          <w:rtl/>
        </w:rPr>
        <w:t>) را که مشخصا خردمندانه می‌دانیم، معرفی کردیم. مرتب کننده خلق و خوی</w:t>
      </w:r>
      <w:r w:rsidRPr="0025250D">
        <w:rPr>
          <w:vertAlign w:val="superscript"/>
          <w:rtl/>
        </w:rPr>
        <w:footnoteReference w:id="1353"/>
      </w:r>
      <w:r w:rsidRPr="0025250D">
        <w:rPr>
          <w:rFonts w:hint="cs"/>
          <w:rtl/>
        </w:rPr>
        <w:t xml:space="preserve"> </w:t>
      </w:r>
      <w:r w:rsidRPr="0025250D">
        <w:rPr>
          <w:rtl/>
        </w:rPr>
        <w:t>ک</w:t>
      </w:r>
      <w:r w:rsidRPr="0025250D">
        <w:rPr>
          <w:rFonts w:hint="cs"/>
          <w:rtl/>
        </w:rPr>
        <w:t>ی</w:t>
      </w:r>
      <w:r w:rsidRPr="0025250D">
        <w:rPr>
          <w:rFonts w:hint="eastAsia"/>
          <w:rtl/>
        </w:rPr>
        <w:t>رس</w:t>
      </w:r>
      <w:r w:rsidRPr="0025250D">
        <w:rPr>
          <w:rFonts w:hint="cs"/>
          <w:rtl/>
        </w:rPr>
        <w:t xml:space="preserve">ی، </w:t>
      </w:r>
      <w:r w:rsidRPr="0025250D">
        <w:t>MBTI</w:t>
      </w:r>
      <w:r w:rsidRPr="0025250D">
        <w:rPr>
          <w:rFonts w:hint="cs"/>
          <w:rtl/>
        </w:rPr>
        <w:t xml:space="preserve"> را به چهار نوع کلاسیک و چهار زیرمجموعه (ترکیبات کلاسیک </w:t>
      </w:r>
      <w:r w:rsidRPr="0025250D">
        <w:rPr>
          <w:rtl/>
        </w:rPr>
        <w:t>ما</w:t>
      </w:r>
      <w:r w:rsidRPr="0025250D">
        <w:rPr>
          <w:rFonts w:hint="cs"/>
          <w:rtl/>
        </w:rPr>
        <w:t>ی</w:t>
      </w:r>
      <w:r w:rsidRPr="0025250D">
        <w:rPr>
          <w:rFonts w:hint="eastAsia"/>
          <w:rtl/>
        </w:rPr>
        <w:t>رز</w:t>
      </w:r>
      <w:r w:rsidRPr="0025250D">
        <w:rPr>
          <w:rtl/>
        </w:rPr>
        <w:t>-بر</w:t>
      </w:r>
      <w:r w:rsidRPr="0025250D">
        <w:rPr>
          <w:rFonts w:hint="cs"/>
          <w:rtl/>
        </w:rPr>
        <w:t>ی</w:t>
      </w:r>
      <w:r w:rsidRPr="0025250D">
        <w:rPr>
          <w:rFonts w:hint="eastAsia"/>
          <w:rtl/>
        </w:rPr>
        <w:t>گز</w:t>
      </w:r>
      <w:r w:rsidRPr="0025250D">
        <w:rPr>
          <w:rFonts w:hint="cs"/>
          <w:rtl/>
        </w:rPr>
        <w:t>) ساده</w:t>
      </w:r>
      <w:r w:rsidRPr="0025250D">
        <w:rPr>
          <w:rtl/>
        </w:rPr>
        <w:t xml:space="preserve"> </w:t>
      </w:r>
      <w:r w:rsidRPr="0025250D">
        <w:rPr>
          <w:rFonts w:hint="cs"/>
          <w:rtl/>
        </w:rPr>
        <w:t>سازی</w:t>
      </w:r>
      <w:r w:rsidRPr="0025250D">
        <w:rPr>
          <w:rtl/>
        </w:rPr>
        <w:t xml:space="preserve"> می‌</w:t>
      </w:r>
      <w:r w:rsidRPr="0025250D">
        <w:rPr>
          <w:rFonts w:hint="cs"/>
          <w:rtl/>
        </w:rPr>
        <w:t xml:space="preserve">کند. دیده ایم که مدل </w:t>
      </w:r>
      <w:r w:rsidRPr="0025250D">
        <w:rPr>
          <w:rtl/>
        </w:rPr>
        <w:t>ک</w:t>
      </w:r>
      <w:r w:rsidRPr="0025250D">
        <w:rPr>
          <w:rFonts w:hint="cs"/>
          <w:rtl/>
        </w:rPr>
        <w:t>ی</w:t>
      </w:r>
      <w:r w:rsidRPr="0025250D">
        <w:rPr>
          <w:rFonts w:hint="eastAsia"/>
          <w:rtl/>
        </w:rPr>
        <w:t>رس</w:t>
      </w:r>
      <w:r w:rsidRPr="0025250D">
        <w:rPr>
          <w:rFonts w:hint="cs"/>
          <w:rtl/>
        </w:rPr>
        <w:t xml:space="preserve">ی ارتباط نزدیکی با هرم </w:t>
      </w:r>
      <w:r w:rsidRPr="0025250D">
        <w:rPr>
          <w:rtl/>
        </w:rPr>
        <w:t>آینده‌نگاری</w:t>
      </w:r>
      <w:r w:rsidRPr="0025250D">
        <w:rPr>
          <w:rFonts w:hint="cs"/>
          <w:rtl/>
        </w:rPr>
        <w:t xml:space="preserve"> مدرن (چهار </w:t>
      </w:r>
      <w:r w:rsidRPr="0025250D">
        <w:t>P</w:t>
      </w:r>
      <w:r w:rsidRPr="0025250D">
        <w:rPr>
          <w:rFonts w:hint="cs"/>
          <w:rtl/>
        </w:rPr>
        <w:t xml:space="preserve">) دارد. به همین دلیل، این چهار نوع شخصیتی را به طور مشخص فراگیر می‌دانیم. همه آن‌ها به </w:t>
      </w:r>
      <w:r w:rsidR="00AE5BE0" w:rsidRPr="0025250D">
        <w:rPr>
          <w:rFonts w:hint="cs"/>
          <w:rtl/>
        </w:rPr>
        <w:t>انطباق</w:t>
      </w:r>
      <w:r w:rsidRPr="0025250D">
        <w:rPr>
          <w:rFonts w:hint="cs"/>
          <w:rtl/>
        </w:rPr>
        <w:t>، به شکل‌هایی اساسی کمک می‌کنند.</w:t>
      </w:r>
    </w:p>
    <w:p w14:paraId="25FE37E9" w14:textId="7A751102" w:rsidR="00537CC8" w:rsidRPr="0025250D" w:rsidRDefault="00537CC8" w:rsidP="00537CC8">
      <w:pPr>
        <w:rPr>
          <w:rtl/>
        </w:rPr>
      </w:pPr>
      <w:r w:rsidRPr="0025250D">
        <w:rPr>
          <w:rFonts w:hint="cs"/>
          <w:rtl/>
        </w:rPr>
        <w:t xml:space="preserve">این مدل‌ها از کار </w:t>
      </w:r>
      <w:r w:rsidRPr="0025250D">
        <w:rPr>
          <w:rtl/>
        </w:rPr>
        <w:t xml:space="preserve">کارل </w:t>
      </w:r>
      <w:r w:rsidRPr="0025250D">
        <w:rPr>
          <w:rFonts w:hint="cs"/>
          <w:rtl/>
        </w:rPr>
        <w:t>ی</w:t>
      </w:r>
      <w:r w:rsidRPr="0025250D">
        <w:rPr>
          <w:rFonts w:hint="eastAsia"/>
          <w:rtl/>
        </w:rPr>
        <w:t>ونگ</w:t>
      </w:r>
      <w:r w:rsidRPr="0025250D">
        <w:rPr>
          <w:rFonts w:hint="cs"/>
          <w:rtl/>
        </w:rPr>
        <w:t>، بنیان گذار روانشاسی تحلیلی، در زمینه انواع روانشاختی</w:t>
      </w:r>
      <w:r w:rsidRPr="0025250D">
        <w:rPr>
          <w:vertAlign w:val="superscript"/>
          <w:rtl/>
        </w:rPr>
        <w:footnoteReference w:id="1354"/>
      </w:r>
      <w:r w:rsidRPr="0025250D">
        <w:rPr>
          <w:rFonts w:hint="cs"/>
          <w:rtl/>
        </w:rPr>
        <w:t xml:space="preserve"> ریشه می‌گیرند. برخی از مطالعات او ساختار </w:t>
      </w:r>
      <w:r w:rsidRPr="0025250D">
        <w:rPr>
          <w:rtl/>
        </w:rPr>
        <w:t xml:space="preserve">تکاملی-توسعه‌ای </w:t>
      </w:r>
      <w:r w:rsidRPr="0025250D">
        <w:rPr>
          <w:rFonts w:hint="cs"/>
          <w:rtl/>
        </w:rPr>
        <w:t>دارند. ی</w:t>
      </w:r>
      <w:r w:rsidRPr="0025250D">
        <w:rPr>
          <w:rFonts w:hint="eastAsia"/>
          <w:rtl/>
        </w:rPr>
        <w:t>ونگ</w:t>
      </w:r>
      <w:r w:rsidRPr="0025250D">
        <w:rPr>
          <w:rFonts w:hint="cs"/>
          <w:rtl/>
        </w:rPr>
        <w:t xml:space="preserve"> پیشنهاد کرد که توسعه سالم </w:t>
      </w:r>
      <w:r w:rsidR="001A3F0A" w:rsidRPr="0025250D">
        <w:rPr>
          <w:rFonts w:hint="cs"/>
          <w:rtl/>
        </w:rPr>
        <w:t>فردی</w:t>
      </w:r>
      <w:r w:rsidRPr="0025250D">
        <w:rPr>
          <w:rFonts w:hint="cs"/>
          <w:rtl/>
        </w:rPr>
        <w:t xml:space="preserve"> یک تناقض همیشگی میان نیاز‌های افراد (یک ارزش تکاملی) و انتظارات جمعی (یک ارزش توسعه ای) می‌باشد. او به شکل معروفی مدل‌های ذهنی مشترک جمعی، هم ذاتی و هم فرهنگی</w:t>
      </w:r>
      <w:r w:rsidR="008D6F97" w:rsidRPr="0025250D">
        <w:rPr>
          <w:rtl/>
        </w:rPr>
        <w:t xml:space="preserve"> </w:t>
      </w:r>
      <w:r w:rsidRPr="0025250D">
        <w:rPr>
          <w:rFonts w:hint="cs"/>
          <w:rtl/>
        </w:rPr>
        <w:t xml:space="preserve">را </w:t>
      </w:r>
      <w:r w:rsidR="0063099E" w:rsidRPr="0025250D">
        <w:rPr>
          <w:rtl/>
        </w:rPr>
        <w:t>«</w:t>
      </w:r>
      <w:r w:rsidRPr="0025250D">
        <w:rPr>
          <w:rFonts w:hint="cs"/>
          <w:rtl/>
        </w:rPr>
        <w:t>ناخودآگاه جمعی</w:t>
      </w:r>
      <w:r w:rsidRPr="0025250D">
        <w:rPr>
          <w:vertAlign w:val="superscript"/>
          <w:rtl/>
        </w:rPr>
        <w:footnoteReference w:id="1355"/>
      </w:r>
      <w:r w:rsidR="0063099E" w:rsidRPr="0025250D">
        <w:rPr>
          <w:rtl/>
        </w:rPr>
        <w:t>»</w:t>
      </w:r>
      <w:r w:rsidRPr="0025250D">
        <w:rPr>
          <w:rFonts w:hint="cs"/>
          <w:rtl/>
        </w:rPr>
        <w:t xml:space="preserve"> گونه ما می‌نامد. برای افرادی که به دنبال یادگیری بیش‌تر هستند، کتاب لطفا مرا درک کن</w:t>
      </w:r>
      <w:r w:rsidRPr="0025250D">
        <w:rPr>
          <w:vertAlign w:val="superscript"/>
          <w:rtl/>
        </w:rPr>
        <w:footnoteReference w:id="1356"/>
      </w:r>
      <w:r w:rsidRPr="0025250D">
        <w:rPr>
          <w:rFonts w:hint="cs"/>
          <w:rtl/>
        </w:rPr>
        <w:t xml:space="preserve">2 اثر </w:t>
      </w:r>
      <w:r w:rsidRPr="0025250D">
        <w:rPr>
          <w:rtl/>
        </w:rPr>
        <w:t>ک</w:t>
      </w:r>
      <w:r w:rsidRPr="0025250D">
        <w:rPr>
          <w:rFonts w:hint="cs"/>
          <w:rtl/>
        </w:rPr>
        <w:t>ی</w:t>
      </w:r>
      <w:r w:rsidRPr="0025250D">
        <w:rPr>
          <w:rFonts w:hint="eastAsia"/>
          <w:rtl/>
        </w:rPr>
        <w:t>رس</w:t>
      </w:r>
      <w:r w:rsidRPr="0025250D">
        <w:rPr>
          <w:rFonts w:hint="cs"/>
          <w:rtl/>
        </w:rPr>
        <w:t xml:space="preserve">ی در سال 1998 کتاب خوبی است که فراگیری این چهار </w:t>
      </w:r>
      <w:r w:rsidR="001F40A0" w:rsidRPr="0025250D">
        <w:rPr>
          <w:rFonts w:hint="cs"/>
          <w:rtl/>
        </w:rPr>
        <w:t>خلق و خو</w:t>
      </w:r>
      <w:r w:rsidRPr="0025250D">
        <w:rPr>
          <w:rFonts w:hint="cs"/>
          <w:rtl/>
        </w:rPr>
        <w:t xml:space="preserve"> را بررسی می‌کند. این کتاب همچنین بینشی در مورد انواع هوشمندی مرتبط ارائه می‌دهد.</w:t>
      </w:r>
    </w:p>
    <w:p w14:paraId="24B3A1F7" w14:textId="6FEE4351" w:rsidR="00537CC8" w:rsidRPr="0025250D" w:rsidRDefault="00537CC8" w:rsidP="00537CC8">
      <w:pPr>
        <w:rPr>
          <w:rtl/>
        </w:rPr>
      </w:pPr>
      <w:r w:rsidRPr="0025250D">
        <w:rPr>
          <w:rFonts w:hint="cs"/>
          <w:rtl/>
        </w:rPr>
        <w:t xml:space="preserve">تصویر زیر خلق و خوی چهارگانه </w:t>
      </w:r>
      <w:r w:rsidRPr="0025250D">
        <w:rPr>
          <w:rtl/>
        </w:rPr>
        <w:t>ک</w:t>
      </w:r>
      <w:r w:rsidRPr="0025250D">
        <w:rPr>
          <w:rFonts w:hint="cs"/>
          <w:rtl/>
        </w:rPr>
        <w:t>ی</w:t>
      </w:r>
      <w:r w:rsidRPr="0025250D">
        <w:rPr>
          <w:rFonts w:hint="eastAsia"/>
          <w:rtl/>
        </w:rPr>
        <w:t>رس</w:t>
      </w:r>
      <w:r w:rsidRPr="0025250D">
        <w:rPr>
          <w:rFonts w:hint="cs"/>
          <w:rtl/>
        </w:rPr>
        <w:t xml:space="preserve">ی را که بر روی چهار </w:t>
      </w:r>
      <w:r w:rsidRPr="0025250D">
        <w:t>P</w:t>
      </w:r>
      <w:r w:rsidRPr="0025250D">
        <w:rPr>
          <w:rFonts w:hint="cs"/>
          <w:rtl/>
        </w:rPr>
        <w:t xml:space="preserve"> منطبق </w:t>
      </w:r>
      <w:r w:rsidR="00185F3E" w:rsidRPr="0025250D">
        <w:rPr>
          <w:rFonts w:hint="cs"/>
          <w:rtl/>
        </w:rPr>
        <w:t>شده‌اند</w:t>
      </w:r>
      <w:r w:rsidRPr="0025250D">
        <w:rPr>
          <w:rFonts w:hint="cs"/>
          <w:rtl/>
        </w:rPr>
        <w:t>، نشان می‌دهد.</w:t>
      </w:r>
    </w:p>
    <w:p w14:paraId="1A593CAD" w14:textId="43366BD4" w:rsidR="00537CC8" w:rsidRPr="0025250D" w:rsidRDefault="00C27BD6" w:rsidP="000A674B">
      <w:pPr>
        <w:jc w:val="center"/>
        <w:rPr>
          <w:rtl/>
        </w:rPr>
      </w:pPr>
      <w:r w:rsidRPr="0025250D">
        <w:rPr>
          <w:noProof/>
          <w:lang w:bidi="ar-SA"/>
        </w:rPr>
        <w:drawing>
          <wp:inline distT="0" distB="0" distL="0" distR="0" wp14:anchorId="32F85584" wp14:editId="4EA51E0E">
            <wp:extent cx="4691270" cy="4148696"/>
            <wp:effectExtent l="0" t="0" r="0" b="444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0" cstate="screen">
                      <a:extLst>
                        <a:ext uri="{BEBA8EAE-BF5A-486C-A8C5-ECC9F3942E4B}">
                          <a14:imgProps xmlns:a14="http://schemas.microsoft.com/office/drawing/2010/main">
                            <a14:imgLayer r:embed="rId121">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4715222" cy="4169878"/>
                    </a:xfrm>
                    <a:prstGeom prst="rect">
                      <a:avLst/>
                    </a:prstGeom>
                    <a:noFill/>
                  </pic:spPr>
                </pic:pic>
              </a:graphicData>
            </a:graphic>
          </wp:inline>
        </w:drawing>
      </w:r>
    </w:p>
    <w:p w14:paraId="6C79784F" w14:textId="77777777" w:rsidR="00537CC8" w:rsidRPr="0025250D" w:rsidRDefault="00537CC8" w:rsidP="000A674B">
      <w:pPr>
        <w:jc w:val="center"/>
        <w:rPr>
          <w:rtl/>
        </w:rPr>
      </w:pPr>
      <w:r w:rsidRPr="0025250D">
        <w:rPr>
          <w:rFonts w:hint="cs"/>
          <w:rtl/>
        </w:rPr>
        <w:t xml:space="preserve">چهار خلق و خوی کیرسی </w:t>
      </w:r>
      <w:r w:rsidRPr="0025250D">
        <w:rPr>
          <w:rFonts w:cs="Times New Roman" w:hint="cs"/>
          <w:rtl/>
        </w:rPr>
        <w:t>–</w:t>
      </w:r>
      <w:r w:rsidRPr="0025250D">
        <w:rPr>
          <w:rFonts w:hint="cs"/>
          <w:rtl/>
        </w:rPr>
        <w:t xml:space="preserve"> ترجیحات چهار </w:t>
      </w:r>
      <w:r w:rsidRPr="0025250D">
        <w:t>P</w:t>
      </w:r>
      <w:r w:rsidRPr="0025250D">
        <w:rPr>
          <w:rFonts w:hint="cs"/>
          <w:rtl/>
        </w:rPr>
        <w:t xml:space="preserve"> (لطفا مرا بفهم 2، 1998)</w:t>
      </w:r>
    </w:p>
    <w:p w14:paraId="0B096923" w14:textId="706DFDFE" w:rsidR="00537CC8" w:rsidRPr="0025250D" w:rsidRDefault="00537CC8" w:rsidP="00537CC8">
      <w:pPr>
        <w:rPr>
          <w:rtl/>
        </w:rPr>
      </w:pPr>
      <w:r w:rsidRPr="0025250D">
        <w:rPr>
          <w:rFonts w:hint="cs"/>
          <w:rtl/>
        </w:rPr>
        <w:t>کدام یک از این خلق و خوها شما را توصیف می‌کند؟ 70 پرسش رایگان مرتب کننده خلق و خوی کیرسی یک ارزیابی فردی آنلاین است که می‌توانید در 15 دقیقه انجام دهید. ما به همه توصیه می‌کنیم که این آزمون را انجام دهند. این کار شما را وادار خواهد کرد که 70 انتخاب میان دو گزینه انجام دهید (که برخی اوقات دشوار است). به طور میانگین، نیمی از جمعیت یکی از دو گزینه را انتخاب می‌کنند. انجام مجدد آن در بافت‌های مختلف زندگی را در نظر بگیرید و ببینید که آیا پاسخ‌های شما تغییر می‌کنند و چگونه این تغییر رخ می‌دهد. ممکن است ببینید که به شکلی قابل پیش‌بینی، برحسب بافت مورد نظر، میان حداقل دو نوع خلق و خوی کیرسی جهش می‌کنید.</w:t>
      </w:r>
    </w:p>
    <w:p w14:paraId="03130FB4" w14:textId="0DC958A3" w:rsidR="00537CC8" w:rsidRPr="0025250D" w:rsidRDefault="007118DE" w:rsidP="00537CC8">
      <w:pPr>
        <w:rPr>
          <w:rtl/>
        </w:rPr>
      </w:pPr>
      <w:r w:rsidRPr="0025250D">
        <w:rPr>
          <w:rFonts w:hint="cs"/>
          <w:rtl/>
        </w:rPr>
        <w:t>همان‌طور</w:t>
      </w:r>
      <w:r w:rsidR="00537CC8" w:rsidRPr="0025250D">
        <w:rPr>
          <w:rFonts w:hint="cs"/>
          <w:rtl/>
        </w:rPr>
        <w:t xml:space="preserve"> که کیرسی می‌گوید، هر یک از این انواع شخصیتی </w:t>
      </w:r>
      <w:r w:rsidR="008F0DD8" w:rsidRPr="0025250D">
        <w:rPr>
          <w:rFonts w:hint="cs"/>
          <w:rtl/>
        </w:rPr>
        <w:t>آن‌قدر</w:t>
      </w:r>
      <w:r w:rsidR="00537CC8" w:rsidRPr="0025250D">
        <w:rPr>
          <w:rFonts w:hint="cs"/>
          <w:rtl/>
        </w:rPr>
        <w:t xml:space="preserve"> پایه‌ای و مفید هستند که همه ما در حقیقت هرچهار مورد را به میزان مختلف در بافت‌های اجتماعی و مسائل مختلف نشان می‌دهیم. همه ما می‌توانیم هر یک از این ذهنیت‌ها را در زمان‌هایی درون ذهن‌های خود داشته باشیم. با این حال همه ما به طور میانگین حداقل یکی از این انواع را بیش از بقیه ترجیح می‌دهیم. شناخت مطلوب‌ترین خلق و خوی خود و دیگران، می‌تواند در روابط کار</w:t>
      </w:r>
      <w:r w:rsidR="001F40A0" w:rsidRPr="0025250D">
        <w:rPr>
          <w:rFonts w:hint="cs"/>
          <w:rtl/>
        </w:rPr>
        <w:t>ی</w:t>
      </w:r>
      <w:r w:rsidR="00537CC8" w:rsidRPr="0025250D">
        <w:rPr>
          <w:rFonts w:hint="cs"/>
          <w:rtl/>
        </w:rPr>
        <w:t>، رهبری و هوشمندی اجتماعی کلی بسیار مفید باشد.</w:t>
      </w:r>
    </w:p>
    <w:p w14:paraId="0D4E1169" w14:textId="097E1546" w:rsidR="00537CC8" w:rsidRPr="0025250D" w:rsidRDefault="00537CC8" w:rsidP="00537CC8">
      <w:pPr>
        <w:rPr>
          <w:rtl/>
        </w:rPr>
      </w:pPr>
      <w:r w:rsidRPr="0025250D">
        <w:rPr>
          <w:rFonts w:hint="cs"/>
          <w:rtl/>
        </w:rPr>
        <w:t xml:space="preserve">در نظر داشته باشید که هر یک از این خلق و خوها یک مجموعه متفاوت از ارزش‌ها را در اولویت قرار می‌دهد و هر رویکرد می‌تواند مشخصا فراگیر باشد. آیا می‌توانید </w:t>
      </w:r>
      <w:r w:rsidR="00AE5BE0" w:rsidRPr="0025250D">
        <w:rPr>
          <w:rFonts w:hint="cs"/>
          <w:rtl/>
        </w:rPr>
        <w:t>انطباق</w:t>
      </w:r>
      <w:r w:rsidRPr="0025250D">
        <w:rPr>
          <w:rFonts w:hint="cs"/>
          <w:rtl/>
        </w:rPr>
        <w:t xml:space="preserve"> همه این ارزش‌ها را ببینید؟ آیا می‌توانید با دیگر افرادی که مجموعه‌های متفاوتی از این ارزش‌ها را نسبت به شما در اولویت قرار می‌دهند به خوبی ارتباط بر قرار کنید؟</w:t>
      </w:r>
    </w:p>
    <w:p w14:paraId="06FE9249" w14:textId="5BF27890" w:rsidR="00537CC8" w:rsidRPr="0025250D" w:rsidRDefault="00537CC8" w:rsidP="00537CC8">
      <w:pPr>
        <w:rPr>
          <w:rtl/>
        </w:rPr>
      </w:pPr>
      <w:r w:rsidRPr="0025250D">
        <w:rPr>
          <w:rFonts w:hint="cs"/>
          <w:rtl/>
        </w:rPr>
        <w:t xml:space="preserve">مدل کیرسی به ما یادآوری می‌کند که همه ما می‌توانیم ارزش‌های مختلفی داشته باشیم و با این حال هر یک از ما می‌توانیم در مسیر درست باشیم. تنها وقتی تنوع ارزشی کافی در ذهنیت‌های خود (اغلب بحث برانگیز)، در تیم هایمان، در شرکت هایمان و در جوامعمان خواهیم داشت که بتوانیم </w:t>
      </w:r>
      <w:r w:rsidR="00AE5BE0" w:rsidRPr="0025250D">
        <w:rPr>
          <w:rFonts w:hint="cs"/>
          <w:rtl/>
        </w:rPr>
        <w:t>انطباقی</w:t>
      </w:r>
      <w:r w:rsidRPr="0025250D">
        <w:rPr>
          <w:rFonts w:hint="cs"/>
          <w:rtl/>
        </w:rPr>
        <w:t xml:space="preserve"> باشیم. هیچ مزیتی در تلاش </w:t>
      </w:r>
      <w:r w:rsidR="001F40A0" w:rsidRPr="0025250D">
        <w:rPr>
          <w:rFonts w:hint="cs"/>
          <w:rtl/>
        </w:rPr>
        <w:t>جهت</w:t>
      </w:r>
      <w:r w:rsidRPr="0025250D">
        <w:rPr>
          <w:rFonts w:hint="cs"/>
          <w:rtl/>
        </w:rPr>
        <w:t xml:space="preserve"> تغییر دیگران برای ارزش قائل شدن برای آنچه ما بیش از همه ارزشمند می‌دانیم، وجود ندارد. هر یک از ما ارزش‌های اندکی متفاوت را ترجیح می‌دهیم و تفاوت‌های ما، در صورتی که به خوبی مدیریت شوند، ما را </w:t>
      </w:r>
      <w:r w:rsidR="001F40A0" w:rsidRPr="0025250D">
        <w:rPr>
          <w:rFonts w:hint="cs"/>
          <w:rtl/>
        </w:rPr>
        <w:t xml:space="preserve">انطباق‌پذیرتر </w:t>
      </w:r>
      <w:r w:rsidRPr="0025250D">
        <w:rPr>
          <w:rFonts w:hint="cs"/>
          <w:rtl/>
        </w:rPr>
        <w:t>خواهند کرد. قدرت زیادی در تنوع ارزشی وجود دارد و ما می‌توانیم</w:t>
      </w:r>
      <w:r w:rsidR="008D6F97" w:rsidRPr="0025250D">
        <w:rPr>
          <w:rtl/>
        </w:rPr>
        <w:t xml:space="preserve"> </w:t>
      </w:r>
      <w:r w:rsidRPr="0025250D">
        <w:rPr>
          <w:rFonts w:hint="cs"/>
          <w:rtl/>
        </w:rPr>
        <w:t>تا زمانی که ارزش‌های فراگیر را نادیده نگیریم، تناقضات ارزشی ثمر بخشی داشته باشیم.</w:t>
      </w:r>
    </w:p>
    <w:p w14:paraId="6F3EBA46" w14:textId="262C782D" w:rsidR="00537CC8" w:rsidRPr="0025250D" w:rsidRDefault="00537CC8" w:rsidP="00537CC8">
      <w:pPr>
        <w:rPr>
          <w:rtl/>
        </w:rPr>
      </w:pPr>
      <w:r w:rsidRPr="0025250D">
        <w:rPr>
          <w:rFonts w:hint="cs"/>
          <w:rtl/>
        </w:rPr>
        <w:t xml:space="preserve">همچنین این را در نظر بگیرید که هر یک از این روحیات می‌توانند مشخصا به ارزیابی‌های </w:t>
      </w:r>
      <w:r w:rsidRPr="0025250D">
        <w:rPr>
          <w:rtl/>
        </w:rPr>
        <w:t>آینده‌نگاری</w:t>
      </w:r>
      <w:r w:rsidRPr="0025250D">
        <w:rPr>
          <w:rFonts w:hint="cs"/>
          <w:rtl/>
        </w:rPr>
        <w:t xml:space="preserve"> متفاوت (چهار </w:t>
      </w:r>
      <w:r w:rsidRPr="0025250D">
        <w:t>P</w:t>
      </w:r>
      <w:r w:rsidRPr="0025250D">
        <w:rPr>
          <w:rFonts w:hint="cs"/>
          <w:rtl/>
        </w:rPr>
        <w:t xml:space="preserve">) و به روش‌ها و </w:t>
      </w:r>
      <w:r w:rsidR="00B13F65" w:rsidRPr="0025250D">
        <w:rPr>
          <w:rFonts w:hint="cs"/>
          <w:rtl/>
        </w:rPr>
        <w:t>چارچوب</w:t>
      </w:r>
      <w:r w:rsidRPr="0025250D">
        <w:rPr>
          <w:rFonts w:hint="cs"/>
          <w:rtl/>
        </w:rPr>
        <w:t xml:space="preserve">‌های </w:t>
      </w:r>
      <w:r w:rsidRPr="0025250D">
        <w:rPr>
          <w:rtl/>
        </w:rPr>
        <w:t>آینده‌نگاری</w:t>
      </w:r>
      <w:r w:rsidRPr="0025250D">
        <w:rPr>
          <w:rFonts w:hint="cs"/>
          <w:rtl/>
        </w:rPr>
        <w:t xml:space="preserve"> مختلفی جذب شوند. وادار کردن همه آن‌ها به توافق با هم در یک فرایند تیمی می‌تواند برخی مواقع دشوار باشد. نگاشت</w:t>
      </w:r>
      <w:r w:rsidRPr="0025250D">
        <w:rPr>
          <w:vertAlign w:val="superscript"/>
          <w:rtl/>
        </w:rPr>
        <w:footnoteReference w:id="1357"/>
      </w:r>
      <w:r w:rsidRPr="0025250D">
        <w:rPr>
          <w:rFonts w:hint="cs"/>
          <w:rtl/>
        </w:rPr>
        <w:t xml:space="preserve"> چهار </w:t>
      </w:r>
      <w:r w:rsidRPr="0025250D">
        <w:t>P</w:t>
      </w:r>
      <w:r w:rsidRPr="0025250D">
        <w:rPr>
          <w:rFonts w:hint="cs"/>
          <w:rtl/>
        </w:rPr>
        <w:t xml:space="preserve"> از انواع</w:t>
      </w:r>
      <w:r w:rsidR="0005633A" w:rsidRPr="0025250D">
        <w:rPr>
          <w:rFonts w:hint="cs"/>
          <w:rtl/>
        </w:rPr>
        <w:t xml:space="preserve"> خلق و خوی</w:t>
      </w:r>
      <w:r w:rsidRPr="0025250D">
        <w:rPr>
          <w:rFonts w:hint="cs"/>
          <w:rtl/>
        </w:rPr>
        <w:t xml:space="preserve"> کیرسی به ما یادآوری می‌کند که دو مورد از این تناقضات، میان تفکر محافظه کار و صنعتگر و میان تفکر </w:t>
      </w:r>
      <w:r w:rsidR="00D30084" w:rsidRPr="0025250D">
        <w:rPr>
          <w:rFonts w:hint="cs"/>
          <w:rtl/>
        </w:rPr>
        <w:t>آرمان‌گرا</w:t>
      </w:r>
      <w:r w:rsidRPr="0025250D">
        <w:rPr>
          <w:rFonts w:hint="cs"/>
          <w:rtl/>
        </w:rPr>
        <w:t xml:space="preserve"> و منطقی، مشخصا برای خلق </w:t>
      </w:r>
      <w:r w:rsidRPr="0025250D">
        <w:rPr>
          <w:rtl/>
        </w:rPr>
        <w:t>آینده‌نگاری</w:t>
      </w:r>
      <w:r w:rsidRPr="0025250D">
        <w:rPr>
          <w:rFonts w:hint="cs"/>
          <w:rtl/>
        </w:rPr>
        <w:t xml:space="preserve"> اساسی و مفید هستند.</w:t>
      </w:r>
    </w:p>
    <w:p w14:paraId="547CF01D" w14:textId="70494E74" w:rsidR="00537CC8" w:rsidRPr="0025250D" w:rsidRDefault="00537CC8" w:rsidP="00537CC8">
      <w:pPr>
        <w:rPr>
          <w:rtl/>
        </w:rPr>
      </w:pPr>
      <w:r w:rsidRPr="0025250D">
        <w:rPr>
          <w:rFonts w:hint="cs"/>
          <w:rtl/>
        </w:rPr>
        <w:t xml:space="preserve">این نگاشت همچنین به ما چرخه </w:t>
      </w:r>
      <w:r w:rsidRPr="0025250D">
        <w:t>REOPS</w:t>
      </w:r>
      <w:r w:rsidRPr="0025250D">
        <w:rPr>
          <w:rFonts w:hint="cs"/>
          <w:rtl/>
        </w:rPr>
        <w:t xml:space="preserve"> و تفکر </w:t>
      </w:r>
      <w:r w:rsidRPr="0025250D">
        <w:t>GRASP</w:t>
      </w:r>
      <w:r w:rsidRPr="0025250D">
        <w:rPr>
          <w:rFonts w:hint="cs"/>
          <w:rtl/>
        </w:rPr>
        <w:t xml:space="preserve"> را یادآوری می‌کند. برای هدایت خوب خودمان، می‌خواهیم برای یادگیری در مورد گذشته و حال مرتبط با مسئله یا وظیفه خود، سپس مقداری تفکر محافظه کارانه (درک انتظارت، وضعیت موجود)، </w:t>
      </w:r>
      <w:r w:rsidR="0005633A" w:rsidRPr="0025250D">
        <w:rPr>
          <w:rFonts w:hint="cs"/>
          <w:rtl/>
        </w:rPr>
        <w:t>بعد</w:t>
      </w:r>
      <w:r w:rsidRPr="0025250D">
        <w:rPr>
          <w:rFonts w:hint="cs"/>
          <w:rtl/>
        </w:rPr>
        <w:t xml:space="preserve"> تفکر صنعتگر (درک همه رویکردهایی که مردم می‌توانند نسبت به یک مسئله یا وظیفه داشته باشند)، سپس تفکر </w:t>
      </w:r>
      <w:r w:rsidR="00D30084" w:rsidRPr="0025250D">
        <w:rPr>
          <w:rFonts w:hint="cs"/>
          <w:rtl/>
        </w:rPr>
        <w:t>آرمان‌گرا</w:t>
      </w:r>
      <w:r w:rsidRPr="0025250D">
        <w:rPr>
          <w:rFonts w:hint="cs"/>
          <w:rtl/>
        </w:rPr>
        <w:t xml:space="preserve">یانه (پرسش از خودمان درمورد این که چه نتایجی می‌توانند ایدئال‌تر باشند) و سپس تفکر منطقی (پرسش از خودمان در مورد این که چه رویه‌ها و ابزارهایی بیش‌ترین کمک را خواهند کرد و چه راه‌هایی می‌توانند با شکست مواجه شوند) ارزش قائل شویم. این مدل به ما می‌گوید که وقتی ما به صورت آگاهانه از یک فرایند </w:t>
      </w:r>
      <w:r w:rsidRPr="0025250D">
        <w:t>REOPS</w:t>
      </w:r>
      <w:r w:rsidRPr="0025250D">
        <w:rPr>
          <w:rFonts w:hint="cs"/>
          <w:rtl/>
        </w:rPr>
        <w:t xml:space="preserve"> یا </w:t>
      </w:r>
      <w:r w:rsidRPr="0025250D">
        <w:t>GRASP</w:t>
      </w:r>
      <w:r w:rsidRPr="0025250D">
        <w:rPr>
          <w:rFonts w:hint="cs"/>
          <w:rtl/>
        </w:rPr>
        <w:t xml:space="preserve"> استفاده می‌کنیم، به صورت ضمنی یک رویکرد چند ارزشی به سمت خلق </w:t>
      </w:r>
      <w:r w:rsidRPr="0025250D">
        <w:rPr>
          <w:rtl/>
        </w:rPr>
        <w:t>آینده‌نگاری</w:t>
      </w:r>
      <w:r w:rsidRPr="0025250D">
        <w:rPr>
          <w:rFonts w:hint="cs"/>
          <w:rtl/>
        </w:rPr>
        <w:t xml:space="preserve"> اتخاذ می‌کنیم؛ نه ارزش‌های فرهنگی، بلکه ارزش‌های فرایند‌های فراگیر مستقل از فرهنگ.</w:t>
      </w:r>
    </w:p>
    <w:p w14:paraId="58147601" w14:textId="33ECB1E6" w:rsidR="00537CC8" w:rsidRPr="0025250D" w:rsidRDefault="00537CC8" w:rsidP="00BE4252">
      <w:pPr>
        <w:pStyle w:val="Heading3"/>
        <w:rPr>
          <w:rtl/>
        </w:rPr>
      </w:pPr>
      <w:r w:rsidRPr="0025250D">
        <w:rPr>
          <w:rFonts w:hint="cs"/>
          <w:rtl/>
        </w:rPr>
        <w:t xml:space="preserve">اهداف </w:t>
      </w:r>
      <w:r w:rsidRPr="0025250D">
        <w:t>IES</w:t>
      </w:r>
      <w:r w:rsidR="00BE4252" w:rsidRPr="0025250D">
        <w:rPr>
          <w:rFonts w:hint="cs"/>
          <w:rtl/>
        </w:rPr>
        <w:t xml:space="preserve"> -</w:t>
      </w:r>
      <w:r w:rsidRPr="0025250D">
        <w:rPr>
          <w:rFonts w:hint="cs"/>
          <w:rtl/>
        </w:rPr>
        <w:t xml:space="preserve"> 6 هدف زندگی به عنوان یک شبکه (یک مدل </w:t>
      </w:r>
      <w:r w:rsidRPr="0025250D">
        <w:rPr>
          <w:rtl/>
        </w:rPr>
        <w:t>تکاملی-توسعه ای</w:t>
      </w:r>
      <w:r w:rsidRPr="0025250D">
        <w:rPr>
          <w:rFonts w:hint="cs"/>
          <w:rtl/>
        </w:rPr>
        <w:t>)</w:t>
      </w:r>
    </w:p>
    <w:p w14:paraId="23FFECAA" w14:textId="5CFC15A8" w:rsidR="00537CC8" w:rsidRPr="0025250D" w:rsidRDefault="00537CC8" w:rsidP="00537CC8">
      <w:pPr>
        <w:rPr>
          <w:rtl/>
        </w:rPr>
      </w:pPr>
      <w:r w:rsidRPr="0025250D">
        <w:rPr>
          <w:rFonts w:hint="cs"/>
          <w:rtl/>
        </w:rPr>
        <w:t xml:space="preserve">در فصل 1 دیدیم که هرم ارزش افلاطون با هرم‌های زمان و </w:t>
      </w:r>
      <w:r w:rsidRPr="0025250D">
        <w:rPr>
          <w:rtl/>
        </w:rPr>
        <w:t>آینده‌نگاری</w:t>
      </w:r>
      <w:r w:rsidRPr="0025250D">
        <w:rPr>
          <w:rFonts w:hint="cs"/>
          <w:rtl/>
        </w:rPr>
        <w:t xml:space="preserve"> متجانس است. از نظر ما، این موارد هر یک دیدگاه‌های متفاوتی درمورد هرم </w:t>
      </w:r>
      <w:r w:rsidRPr="0025250D">
        <w:rPr>
          <w:rtl/>
        </w:rPr>
        <w:t>تکاملی-توسعه ای</w:t>
      </w:r>
      <w:r w:rsidRPr="0025250D">
        <w:rPr>
          <w:rFonts w:hint="cs"/>
          <w:rtl/>
        </w:rPr>
        <w:t xml:space="preserve">، مدل فراگیر پیشنهادی ما برای فرایند‌های </w:t>
      </w:r>
      <w:r w:rsidR="00AE5BE0" w:rsidRPr="0025250D">
        <w:rPr>
          <w:rFonts w:hint="cs"/>
          <w:rtl/>
        </w:rPr>
        <w:t>انطباقی</w:t>
      </w:r>
      <w:r w:rsidRPr="0025250D">
        <w:rPr>
          <w:rFonts w:hint="cs"/>
          <w:rtl/>
        </w:rPr>
        <w:t xml:space="preserve"> در </w:t>
      </w:r>
      <w:r w:rsidR="008D6F97" w:rsidRPr="0025250D">
        <w:rPr>
          <w:rFonts w:hint="cs"/>
          <w:rtl/>
        </w:rPr>
        <w:t>سامانه‌</w:t>
      </w:r>
      <w:r w:rsidRPr="0025250D">
        <w:rPr>
          <w:rFonts w:hint="cs"/>
          <w:rtl/>
        </w:rPr>
        <w:t xml:space="preserve">‌های پیچیده هستند. ما برخی از این چهره‌های متعدد این هرم را در فصل 3 بررسی خواهیم کرد. </w:t>
      </w:r>
      <w:r w:rsidR="007118DE" w:rsidRPr="0025250D">
        <w:rPr>
          <w:rFonts w:hint="cs"/>
          <w:rtl/>
        </w:rPr>
        <w:t>همان‌طور</w:t>
      </w:r>
      <w:r w:rsidRPr="0025250D">
        <w:rPr>
          <w:rFonts w:hint="cs"/>
          <w:rtl/>
        </w:rPr>
        <w:t xml:space="preserve"> که اکنون به طور خلاصه توصیف خواهیم کرد، می‌توانیم این هرم ارزشی را به 6 هدفی که باید به خوبی توسط </w:t>
      </w:r>
      <w:r w:rsidR="008D6F97" w:rsidRPr="0025250D">
        <w:rPr>
          <w:rFonts w:hint="cs"/>
          <w:rtl/>
        </w:rPr>
        <w:t>سامانه‌</w:t>
      </w:r>
      <w:r w:rsidRPr="0025250D">
        <w:rPr>
          <w:rFonts w:hint="cs"/>
          <w:rtl/>
        </w:rPr>
        <w:t xml:space="preserve">‌های </w:t>
      </w:r>
      <w:r w:rsidR="00AE5BE0" w:rsidRPr="0025250D">
        <w:rPr>
          <w:rFonts w:hint="cs"/>
          <w:rtl/>
        </w:rPr>
        <w:t>انطباقی</w:t>
      </w:r>
      <w:r w:rsidRPr="0025250D">
        <w:rPr>
          <w:rFonts w:hint="cs"/>
          <w:rtl/>
        </w:rPr>
        <w:t xml:space="preserve"> پیچیده هوشمند مدیریت شوند گسترش دهیم.</w:t>
      </w:r>
    </w:p>
    <w:p w14:paraId="2C27099B" w14:textId="6049145B" w:rsidR="00537CC8" w:rsidRPr="0025250D" w:rsidRDefault="00537CC8" w:rsidP="00537CC8">
      <w:pPr>
        <w:rPr>
          <w:rtl/>
        </w:rPr>
      </w:pPr>
      <w:r w:rsidRPr="0025250D">
        <w:rPr>
          <w:rFonts w:hint="cs"/>
          <w:rtl/>
        </w:rPr>
        <w:t xml:space="preserve">همه ارگانیسم‌ها، گروه‌ها و جوامع </w:t>
      </w:r>
      <w:r w:rsidR="00AE5BE0" w:rsidRPr="0025250D">
        <w:rPr>
          <w:rFonts w:hint="cs"/>
          <w:rtl/>
        </w:rPr>
        <w:t>انطباقی</w:t>
      </w:r>
      <w:r w:rsidRPr="0025250D">
        <w:rPr>
          <w:rFonts w:hint="cs"/>
          <w:rtl/>
        </w:rPr>
        <w:t xml:space="preserve"> به دنبال پیشرفت و توازن در حداقل این 6 هدف هستند:</w:t>
      </w:r>
    </w:p>
    <w:p w14:paraId="70A83C99" w14:textId="5835AE22" w:rsidR="00537CC8" w:rsidRPr="0025250D" w:rsidRDefault="00537CC8" w:rsidP="00537CC8">
      <w:pPr>
        <w:rPr>
          <w:rtl/>
        </w:rPr>
      </w:pPr>
      <w:r w:rsidRPr="0025250D">
        <w:rPr>
          <w:rFonts w:hint="cs"/>
          <w:rtl/>
        </w:rPr>
        <w:t>1. نوآوری بیش‌تر (آزادی، خلاقیت، آزمایش، زیبایی، الهام گیری، باز آفرینی، بازی، سرگرمی)</w:t>
      </w:r>
    </w:p>
    <w:p w14:paraId="0129A9C1" w14:textId="1E663887" w:rsidR="00537CC8" w:rsidRPr="0025250D" w:rsidRDefault="00537CC8" w:rsidP="00537CC8">
      <w:pPr>
        <w:rPr>
          <w:rtl/>
        </w:rPr>
      </w:pPr>
      <w:r w:rsidRPr="0025250D">
        <w:rPr>
          <w:rFonts w:hint="cs"/>
          <w:rtl/>
        </w:rPr>
        <w:t>2. هوشمندی بیش‌تر (اطلاعات، دانش، بینش، گزینه‌های شبیه سازی شده، فردگرایی، تنوع)</w:t>
      </w:r>
    </w:p>
    <w:p w14:paraId="36620171" w14:textId="52935547" w:rsidR="00537CC8" w:rsidRPr="0025250D" w:rsidRDefault="00537CC8" w:rsidP="00537CC8">
      <w:pPr>
        <w:rPr>
          <w:rtl/>
        </w:rPr>
      </w:pPr>
      <w:r w:rsidRPr="0025250D">
        <w:rPr>
          <w:rFonts w:hint="cs"/>
          <w:rtl/>
        </w:rPr>
        <w:t>3. همدلی بیش‌تر (عزت نفس، عشق، هیجان، همگام سازی، آگاهی، اتصال)</w:t>
      </w:r>
    </w:p>
    <w:p w14:paraId="68DE2BF5" w14:textId="793B7482" w:rsidR="00537CC8" w:rsidRPr="0025250D" w:rsidRDefault="00537CC8" w:rsidP="00537CC8">
      <w:pPr>
        <w:rPr>
          <w:rtl/>
        </w:rPr>
      </w:pPr>
      <w:r w:rsidRPr="0025250D">
        <w:rPr>
          <w:rFonts w:hint="cs"/>
          <w:rtl/>
        </w:rPr>
        <w:t>4. اخلاقیات بیش‌تر (وجدان، قضاوت، برابری، حسن‌های اخلاقی، مجموعه قوانین، وابستگی متقابل)</w:t>
      </w:r>
    </w:p>
    <w:p w14:paraId="2E494E7D" w14:textId="78F198C2" w:rsidR="00537CC8" w:rsidRPr="0025250D" w:rsidRDefault="00537CC8" w:rsidP="00537CC8">
      <w:pPr>
        <w:rPr>
          <w:rtl/>
        </w:rPr>
      </w:pPr>
      <w:r w:rsidRPr="0025250D">
        <w:rPr>
          <w:rFonts w:hint="cs"/>
          <w:rtl/>
        </w:rPr>
        <w:t>5. قدرت بیش‌تر (توانایی، قدرت، ثروت، امنیت، انعطاف، غیر شکنندگی)</w:t>
      </w:r>
    </w:p>
    <w:p w14:paraId="4D54EE3F" w14:textId="677E3C4A" w:rsidR="00537CC8" w:rsidRPr="0025250D" w:rsidRDefault="00537CC8" w:rsidP="00537CC8">
      <w:pPr>
        <w:rPr>
          <w:rtl/>
        </w:rPr>
      </w:pPr>
      <w:r w:rsidRPr="0025250D">
        <w:rPr>
          <w:rFonts w:hint="cs"/>
          <w:rtl/>
        </w:rPr>
        <w:t>6. پایداری بیش‌تر (حقیقت، نظم، باور، مسئولیت، علم، منطق، بهینه بودن)</w:t>
      </w:r>
    </w:p>
    <w:p w14:paraId="4E44C2C0" w14:textId="3E251A5B" w:rsidR="00537CC8" w:rsidRPr="0025250D" w:rsidRDefault="00537CC8" w:rsidP="00537CC8">
      <w:pPr>
        <w:rPr>
          <w:rtl/>
        </w:rPr>
      </w:pPr>
      <w:r w:rsidRPr="0025250D">
        <w:rPr>
          <w:rFonts w:hint="cs"/>
          <w:rtl/>
        </w:rPr>
        <w:t xml:space="preserve">ما این موارد را اهداف </w:t>
      </w:r>
      <w:r w:rsidRPr="0025250D">
        <w:t>IES</w:t>
      </w:r>
      <w:r w:rsidRPr="0025250D">
        <w:rPr>
          <w:rFonts w:hint="cs"/>
          <w:rtl/>
        </w:rPr>
        <w:t xml:space="preserve"> می‌نامیم، زیرا دو مورد اول با </w:t>
      </w:r>
      <w:r w:rsidRPr="0025250D">
        <w:t>I</w:t>
      </w:r>
      <w:r w:rsidRPr="0025250D">
        <w:rPr>
          <w:rFonts w:hint="cs"/>
          <w:rtl/>
        </w:rPr>
        <w:t xml:space="preserve"> (نوآوری و هوشمندی)، مورد وسط با حرف </w:t>
      </w:r>
      <w:r w:rsidRPr="0025250D">
        <w:t>E</w:t>
      </w:r>
      <w:r w:rsidRPr="0025250D">
        <w:rPr>
          <w:rFonts w:hint="cs"/>
          <w:rtl/>
        </w:rPr>
        <w:t xml:space="preserve"> (همدلی و اخلاقیات) و دو مورد آخر با </w:t>
      </w:r>
      <w:r w:rsidRPr="0025250D">
        <w:t>S</w:t>
      </w:r>
      <w:r w:rsidR="008D6F97" w:rsidRPr="0025250D">
        <w:t xml:space="preserve"> </w:t>
      </w:r>
      <w:r w:rsidRPr="0025250D">
        <w:rPr>
          <w:rFonts w:hint="cs"/>
          <w:rtl/>
        </w:rPr>
        <w:t xml:space="preserve">(قدرت و پایداری) آغاز می‌شوند. در </w:t>
      </w:r>
      <w:r w:rsidRPr="0025250D">
        <w:t>BPF</w:t>
      </w:r>
      <w:r w:rsidRPr="0025250D">
        <w:rPr>
          <w:rFonts w:hint="cs"/>
          <w:rtl/>
        </w:rPr>
        <w:t xml:space="preserve">، خواهیم دید که دو هدفی که با </w:t>
      </w:r>
      <w:r w:rsidRPr="0025250D">
        <w:t>I</w:t>
      </w:r>
      <w:r w:rsidRPr="0025250D">
        <w:rPr>
          <w:rFonts w:hint="cs"/>
          <w:rtl/>
        </w:rPr>
        <w:t xml:space="preserve"> آغاز می‌شوند، یعنی نوآوری و هوشمندی، در اصل اهداف فرایند‌های تکاملی هستند، دو هدفی که با </w:t>
      </w:r>
      <w:r w:rsidRPr="0025250D">
        <w:t>S</w:t>
      </w:r>
      <w:r w:rsidRPr="0025250D">
        <w:rPr>
          <w:rFonts w:hint="cs"/>
          <w:rtl/>
        </w:rPr>
        <w:t xml:space="preserve"> آغاز می‌شوند، یعنی قدرت و پایداری، در اصل اهداف فرایند‌های توسعه‌ای هستند و اهداف </w:t>
      </w:r>
      <w:r w:rsidRPr="0025250D">
        <w:t>E</w:t>
      </w:r>
      <w:r w:rsidRPr="0025250D">
        <w:rPr>
          <w:rFonts w:hint="cs"/>
          <w:rtl/>
        </w:rPr>
        <w:t xml:space="preserve">، همدلی و اخلاق، </w:t>
      </w:r>
      <w:r w:rsidR="008D6F97" w:rsidRPr="0025250D">
        <w:rPr>
          <w:rFonts w:hint="cs"/>
          <w:rtl/>
        </w:rPr>
        <w:t>سامانه‌</w:t>
      </w:r>
      <w:r w:rsidRPr="0025250D">
        <w:rPr>
          <w:rFonts w:hint="cs"/>
          <w:rtl/>
        </w:rPr>
        <w:t>‌های پیچیده را به هم وابسته نگه می‌دارند. آن‌ها عملیات خود به عنوان یک شبکه مشارکتی و رقابتی را تنظیم می‌کنند.</w:t>
      </w:r>
    </w:p>
    <w:p w14:paraId="3EF00DC0" w14:textId="0796EF11" w:rsidR="00537CC8" w:rsidRPr="0025250D" w:rsidRDefault="00537CC8" w:rsidP="00537CC8">
      <w:pPr>
        <w:rPr>
          <w:rtl/>
        </w:rPr>
      </w:pPr>
      <w:r w:rsidRPr="0025250D">
        <w:rPr>
          <w:rFonts w:hint="cs"/>
          <w:rtl/>
        </w:rPr>
        <w:t xml:space="preserve">هدف محوری تکامل، به عقیده ما، آزمایش و خلق شکل‌های متنوع و جدید و هوشمندی است که می‌تواند </w:t>
      </w:r>
      <w:r w:rsidR="008D6F97" w:rsidRPr="0025250D">
        <w:rPr>
          <w:rFonts w:hint="cs"/>
          <w:rtl/>
        </w:rPr>
        <w:t>سامانه‌</w:t>
      </w:r>
      <w:r w:rsidRPr="0025250D">
        <w:rPr>
          <w:rFonts w:hint="cs"/>
          <w:rtl/>
        </w:rPr>
        <w:t xml:space="preserve"> (گونه ها) را به عنوان یک کل از تحولات آینده محافظت کند. هدف محوری توسعه، به عقیده ما، حفاظت و تکرار چرخه توانمندی‌ها، </w:t>
      </w:r>
      <w:r w:rsidR="0008779C" w:rsidRPr="0025250D">
        <w:rPr>
          <w:rFonts w:hint="cs"/>
          <w:rtl/>
        </w:rPr>
        <w:t>تاب‌آور</w:t>
      </w:r>
      <w:r w:rsidRPr="0025250D">
        <w:rPr>
          <w:rFonts w:hint="cs"/>
          <w:rtl/>
        </w:rPr>
        <w:t xml:space="preserve">ی و پایداری </w:t>
      </w:r>
      <w:r w:rsidR="008D6F97" w:rsidRPr="0025250D">
        <w:rPr>
          <w:rFonts w:hint="cs"/>
          <w:rtl/>
        </w:rPr>
        <w:t>سامانه‌ای</w:t>
      </w:r>
      <w:r w:rsidRPr="0025250D">
        <w:rPr>
          <w:rFonts w:hint="cs"/>
          <w:rtl/>
        </w:rPr>
        <w:t xml:space="preserve"> است که بقای ما </w:t>
      </w:r>
      <w:r w:rsidR="0005633A" w:rsidRPr="0025250D">
        <w:rPr>
          <w:rFonts w:hint="cs"/>
          <w:rtl/>
        </w:rPr>
        <w:t xml:space="preserve">را </w:t>
      </w:r>
      <w:r w:rsidRPr="0025250D">
        <w:rPr>
          <w:rFonts w:hint="cs"/>
          <w:rtl/>
        </w:rPr>
        <w:t xml:space="preserve">در گذشته تضمین کرده است. این دو مجموعه اهداف در تنش با یکدیگر هستند و اغلب </w:t>
      </w:r>
      <w:r w:rsidR="008D6F97" w:rsidRPr="0025250D">
        <w:rPr>
          <w:rFonts w:hint="cs"/>
          <w:rtl/>
        </w:rPr>
        <w:t>سامانه‌</w:t>
      </w:r>
      <w:r w:rsidRPr="0025250D">
        <w:rPr>
          <w:rFonts w:hint="cs"/>
          <w:rtl/>
        </w:rPr>
        <w:t xml:space="preserve"> (ارگانیسم، گروه، سازمان) را به جهات مختلف و به سمت اهداف مختلفی می‌کشانند. هدف محوری دو مورد وسط، یعنی </w:t>
      </w:r>
      <w:r w:rsidR="00202882" w:rsidRPr="0025250D">
        <w:rPr>
          <w:rFonts w:hint="cs"/>
          <w:rtl/>
        </w:rPr>
        <w:t>همدلی</w:t>
      </w:r>
      <w:r w:rsidRPr="0025250D">
        <w:rPr>
          <w:rFonts w:hint="cs"/>
          <w:rtl/>
        </w:rPr>
        <w:t xml:space="preserve"> و اخلاقیات، به هم وابسته نگاه داشتن هر شبکه هوشمند، برای </w:t>
      </w:r>
      <w:r w:rsidR="00AE5BE0" w:rsidRPr="0025250D">
        <w:rPr>
          <w:rFonts w:hint="cs"/>
          <w:rtl/>
        </w:rPr>
        <w:t>منطبق‌تر</w:t>
      </w:r>
      <w:r w:rsidRPr="0025250D">
        <w:rPr>
          <w:rFonts w:hint="cs"/>
          <w:rtl/>
        </w:rPr>
        <w:t xml:space="preserve"> نگهداشتن شبکه نسبت به افراد یا گروه‌های جداگانه است. اهداف میانی از تنش میان اهداف اغلب مخالف تکاملی و توسعه‌ای برای </w:t>
      </w:r>
      <w:r w:rsidR="0063099E" w:rsidRPr="0025250D">
        <w:rPr>
          <w:rtl/>
        </w:rPr>
        <w:t>«</w:t>
      </w:r>
      <w:r w:rsidRPr="0025250D">
        <w:rPr>
          <w:rFonts w:hint="cs"/>
          <w:rtl/>
        </w:rPr>
        <w:t>محاسبه خوبی</w:t>
      </w:r>
      <w:r w:rsidRPr="0025250D">
        <w:rPr>
          <w:vertAlign w:val="superscript"/>
          <w:rtl/>
        </w:rPr>
        <w:footnoteReference w:id="1358"/>
      </w:r>
      <w:r w:rsidR="0063099E" w:rsidRPr="0025250D">
        <w:rPr>
          <w:rtl/>
        </w:rPr>
        <w:t>»</w:t>
      </w:r>
      <w:r w:rsidRPr="0025250D">
        <w:rPr>
          <w:rFonts w:hint="cs"/>
          <w:rtl/>
        </w:rPr>
        <w:t xml:space="preserve"> برای شبکه استفاده می‌کنند. مرکزیت دو هدف </w:t>
      </w:r>
      <w:r w:rsidRPr="0025250D">
        <w:t>E</w:t>
      </w:r>
      <w:r w:rsidRPr="0025250D">
        <w:rPr>
          <w:rFonts w:hint="cs"/>
          <w:rtl/>
        </w:rPr>
        <w:t xml:space="preserve"> به ما یادآوری می‌کند که مسائل مردم شایسته اولویت برتر هستند. شعار </w:t>
      </w:r>
      <w:r w:rsidRPr="0025250D">
        <w:t>4U</w:t>
      </w:r>
      <w:r w:rsidRPr="0025250D">
        <w:rPr>
          <w:rFonts w:hint="cs"/>
          <w:rtl/>
        </w:rPr>
        <w:t xml:space="preserve"> </w:t>
      </w:r>
      <w:r w:rsidR="0063099E" w:rsidRPr="0025250D">
        <w:rPr>
          <w:rtl/>
        </w:rPr>
        <w:t>«</w:t>
      </w:r>
      <w:r w:rsidRPr="0025250D">
        <w:rPr>
          <w:rFonts w:hint="cs"/>
          <w:rtl/>
        </w:rPr>
        <w:t>ابتدا مردم!</w:t>
      </w:r>
      <w:r w:rsidR="0063099E" w:rsidRPr="0025250D">
        <w:rPr>
          <w:rtl/>
        </w:rPr>
        <w:t>»</w:t>
      </w:r>
      <w:r w:rsidRPr="0025250D">
        <w:rPr>
          <w:rFonts w:hint="cs"/>
          <w:rtl/>
        </w:rPr>
        <w:t xml:space="preserve"> می‌باشد.</w:t>
      </w:r>
    </w:p>
    <w:p w14:paraId="1A4C5BF7" w14:textId="4F130620" w:rsidR="00537CC8" w:rsidRPr="0025250D" w:rsidRDefault="00537CC8" w:rsidP="00537CC8">
      <w:pPr>
        <w:rPr>
          <w:rtl/>
        </w:rPr>
      </w:pPr>
      <w:r w:rsidRPr="0025250D">
        <w:rPr>
          <w:rFonts w:hint="cs"/>
          <w:rtl/>
        </w:rPr>
        <w:t xml:space="preserve">تصویر زیر پیشنهاد می‌کند که تفکر </w:t>
      </w:r>
      <w:r w:rsidR="0005633A" w:rsidRPr="0025250D">
        <w:rPr>
          <w:rFonts w:hint="cs"/>
          <w:rtl/>
        </w:rPr>
        <w:t>انطباقی</w:t>
      </w:r>
      <w:r w:rsidRPr="0025250D">
        <w:rPr>
          <w:rFonts w:hint="cs"/>
          <w:rtl/>
        </w:rPr>
        <w:t xml:space="preserve"> درمورد اهداف </w:t>
      </w:r>
      <w:r w:rsidRPr="0025250D">
        <w:t>IES</w:t>
      </w:r>
      <w:r w:rsidRPr="0025250D">
        <w:rPr>
          <w:rFonts w:hint="cs"/>
          <w:rtl/>
        </w:rPr>
        <w:t xml:space="preserve"> می‌تواند به عنوان یک توزیع نرمال (گاوسی</w:t>
      </w:r>
      <w:r w:rsidRPr="0025250D">
        <w:rPr>
          <w:vertAlign w:val="superscript"/>
          <w:rtl/>
        </w:rPr>
        <w:footnoteReference w:id="1359"/>
      </w:r>
      <w:r w:rsidRPr="0025250D">
        <w:rPr>
          <w:rFonts w:hint="cs"/>
          <w:rtl/>
        </w:rPr>
        <w:t>)، یک سلسله مراتب از اهداف، با وابستگی داخلی-اتصال (</w:t>
      </w:r>
      <w:r w:rsidR="00202882" w:rsidRPr="0025250D">
        <w:rPr>
          <w:rFonts w:hint="cs"/>
          <w:rtl/>
        </w:rPr>
        <w:t>همدلی</w:t>
      </w:r>
      <w:r w:rsidRPr="0025250D">
        <w:rPr>
          <w:rFonts w:hint="cs"/>
          <w:rtl/>
        </w:rPr>
        <w:t xml:space="preserve"> و اخلاقیات) به عنوان اهدافی که بیش از بقیه در مرکز </w:t>
      </w:r>
      <w:r w:rsidR="008D6F97" w:rsidRPr="0025250D">
        <w:rPr>
          <w:rFonts w:hint="cs"/>
          <w:rtl/>
        </w:rPr>
        <w:t>سامانه‌</w:t>
      </w:r>
      <w:r w:rsidRPr="0025250D">
        <w:rPr>
          <w:rFonts w:hint="cs"/>
          <w:rtl/>
        </w:rPr>
        <w:t xml:space="preserve">‌های زنده دنبال می‌شوند، نشان داده شود. در فصل 3، دو ارزش را که به خوبی با هر یک از این 6 هدف ارتباط دارند مورد بحث قرار خواهیم داد. این کار حداقل 12 ارزش که شبکه‌های انسانی باید به خوبی، برای رسیدن به </w:t>
      </w:r>
      <w:r w:rsidR="00AE5BE0" w:rsidRPr="0025250D">
        <w:rPr>
          <w:rFonts w:hint="cs"/>
          <w:rtl/>
        </w:rPr>
        <w:t>انطباق</w:t>
      </w:r>
      <w:r w:rsidRPr="0025250D">
        <w:rPr>
          <w:rFonts w:hint="cs"/>
          <w:rtl/>
        </w:rPr>
        <w:t xml:space="preserve"> مدیریت کنند را در اختیار ما قرار می‌دهند.</w:t>
      </w:r>
    </w:p>
    <w:p w14:paraId="7E70C4B4" w14:textId="73CBD233" w:rsidR="00537CC8" w:rsidRPr="0025250D" w:rsidRDefault="00537CC8" w:rsidP="00537CC8">
      <w:pPr>
        <w:rPr>
          <w:rtl/>
        </w:rPr>
      </w:pPr>
      <w:r w:rsidRPr="0025250D">
        <w:rPr>
          <w:rFonts w:hint="cs"/>
          <w:rtl/>
        </w:rPr>
        <w:t xml:space="preserve">در اینجا اهداف </w:t>
      </w:r>
      <w:r w:rsidRPr="0025250D">
        <w:t>IES</w:t>
      </w:r>
      <w:r w:rsidRPr="0025250D">
        <w:rPr>
          <w:rFonts w:hint="cs"/>
          <w:rtl/>
        </w:rPr>
        <w:t xml:space="preserve"> به شکل گرافیکی نشان داده </w:t>
      </w:r>
      <w:r w:rsidR="00185F3E" w:rsidRPr="0025250D">
        <w:rPr>
          <w:rFonts w:hint="cs"/>
          <w:rtl/>
        </w:rPr>
        <w:t>شده‌اند</w:t>
      </w:r>
      <w:r w:rsidRPr="0025250D">
        <w:rPr>
          <w:rFonts w:hint="cs"/>
          <w:rtl/>
        </w:rPr>
        <w:t>:</w:t>
      </w:r>
    </w:p>
    <w:p w14:paraId="47373383" w14:textId="6C598254" w:rsidR="00537CC8" w:rsidRPr="0025250D" w:rsidRDefault="00F004A5" w:rsidP="002B304C">
      <w:pPr>
        <w:jc w:val="center"/>
        <w:rPr>
          <w:rtl/>
        </w:rPr>
      </w:pPr>
      <w:r w:rsidRPr="0025250D">
        <w:rPr>
          <w:noProof/>
        </w:rPr>
        <w:drawing>
          <wp:inline distT="0" distB="0" distL="0" distR="0" wp14:anchorId="3A35B756" wp14:editId="19EC1A50">
            <wp:extent cx="5756744" cy="2735608"/>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5774316" cy="2743958"/>
                    </a:xfrm>
                    <a:prstGeom prst="rect">
                      <a:avLst/>
                    </a:prstGeom>
                    <a:noFill/>
                  </pic:spPr>
                </pic:pic>
              </a:graphicData>
            </a:graphic>
          </wp:inline>
        </w:drawing>
      </w:r>
    </w:p>
    <w:p w14:paraId="2BC007D3" w14:textId="47A811C9" w:rsidR="00537CC8" w:rsidRPr="0025250D" w:rsidRDefault="00537CC8" w:rsidP="000A674B">
      <w:pPr>
        <w:jc w:val="center"/>
        <w:rPr>
          <w:rtl/>
        </w:rPr>
      </w:pPr>
      <w:r w:rsidRPr="0025250D">
        <w:rPr>
          <w:rFonts w:hint="cs"/>
          <w:rtl/>
        </w:rPr>
        <w:t>می توانیم اکنون مشاهداتی در مورد این مدل هنجاری ساده داشته باشیم:</w:t>
      </w:r>
    </w:p>
    <w:p w14:paraId="00F8FE53" w14:textId="3070E41C" w:rsidR="00537CC8" w:rsidRPr="0025250D" w:rsidRDefault="00537CC8" w:rsidP="00492C47">
      <w:pPr>
        <w:numPr>
          <w:ilvl w:val="0"/>
          <w:numId w:val="23"/>
        </w:numPr>
      </w:pPr>
      <w:r w:rsidRPr="0025250D">
        <w:rPr>
          <w:rFonts w:hint="cs"/>
          <w:rtl/>
        </w:rPr>
        <w:t xml:space="preserve">مفید بودن هر یک از این اهداف را برای همه </w:t>
      </w:r>
      <w:r w:rsidR="008D6F97" w:rsidRPr="0025250D">
        <w:rPr>
          <w:rFonts w:hint="cs"/>
          <w:rtl/>
        </w:rPr>
        <w:t>سامانه‌</w:t>
      </w:r>
      <w:r w:rsidRPr="0025250D">
        <w:rPr>
          <w:rFonts w:hint="cs"/>
          <w:rtl/>
        </w:rPr>
        <w:t>‌های زنده و برای بشریت به عنوان یک شبکه پیچیده در نظر بگیرید. ما نمی‌توانیم هیچ یک از این‌ها را اگر به دنبال موفقیت و پیشرفت بلندمدت باشیم، برای هیچ شبکه پیچیده ای، چه شبکه‌ای از ذهنیت‌ها باشد (بحث در ذهن خودمان) یا هر تیم، سازمان یا جامعه‌ای نادیده بگیریم.</w:t>
      </w:r>
    </w:p>
    <w:p w14:paraId="6B41735E" w14:textId="2DB0F49E" w:rsidR="00537CC8" w:rsidRPr="0025250D" w:rsidRDefault="00537CC8" w:rsidP="00492C47">
      <w:pPr>
        <w:numPr>
          <w:ilvl w:val="0"/>
          <w:numId w:val="23"/>
        </w:numPr>
      </w:pPr>
      <w:r w:rsidRPr="0025250D">
        <w:rPr>
          <w:rFonts w:hint="cs"/>
          <w:rtl/>
        </w:rPr>
        <w:t>به چگونگی ارتباط اهداف تکاملی با اهداف توسعه‌ای توجه</w:t>
      </w:r>
      <w:r w:rsidRPr="0025250D">
        <w:rPr>
          <w:rtl/>
        </w:rPr>
        <w:t xml:space="preserve"> </w:t>
      </w:r>
      <w:r w:rsidRPr="0025250D">
        <w:rPr>
          <w:rFonts w:hint="cs"/>
          <w:rtl/>
        </w:rPr>
        <w:t>داشته</w:t>
      </w:r>
      <w:r w:rsidRPr="0025250D">
        <w:rPr>
          <w:rtl/>
        </w:rPr>
        <w:t xml:space="preserve"> </w:t>
      </w:r>
      <w:r w:rsidRPr="0025250D">
        <w:rPr>
          <w:rFonts w:hint="cs"/>
          <w:rtl/>
        </w:rPr>
        <w:t>باشید. برای مثال، اهداف نوآوری اغلب با اهداف پایداری در تضاد هستند. هر مجموعه ما را به سمت مقاصدی متفاوت می‌کشاند. آن‌ها رقابت و تضادی ایجاد می‌کنند که باید توسط تعاملات پیونددهنده، در ذهن خودمان، تیم‌ها، شرکت‌ها و جامعه مدیریت شوند.</w:t>
      </w:r>
    </w:p>
    <w:p w14:paraId="48F3C659" w14:textId="7073579E" w:rsidR="00537CC8" w:rsidRPr="0025250D" w:rsidRDefault="00537CC8" w:rsidP="00492C47">
      <w:pPr>
        <w:numPr>
          <w:ilvl w:val="0"/>
          <w:numId w:val="23"/>
        </w:numPr>
      </w:pPr>
      <w:r w:rsidRPr="0025250D">
        <w:rPr>
          <w:rFonts w:hint="cs"/>
          <w:rtl/>
        </w:rPr>
        <w:t xml:space="preserve">در نظر بگیرید که </w:t>
      </w:r>
      <w:r w:rsidR="00A936B3" w:rsidRPr="0025250D">
        <w:rPr>
          <w:rFonts w:hint="cs"/>
          <w:rtl/>
        </w:rPr>
        <w:t>همدلی</w:t>
      </w:r>
      <w:r w:rsidRPr="0025250D">
        <w:rPr>
          <w:rFonts w:hint="cs"/>
          <w:rtl/>
        </w:rPr>
        <w:t xml:space="preserve"> و اخلاقیات (یعنی اتصال و وابستگی متقابل) شیوه مدیریت تناقض میان این اهداف توسط مجموعه‌های هوشمند و رسیدن به یک ترجیح </w:t>
      </w:r>
      <w:r w:rsidR="00AE5BE0" w:rsidRPr="0025250D">
        <w:rPr>
          <w:rFonts w:hint="cs"/>
          <w:rtl/>
        </w:rPr>
        <w:t>انطباقی</w:t>
      </w:r>
      <w:r w:rsidRPr="0025250D">
        <w:rPr>
          <w:rFonts w:hint="cs"/>
          <w:rtl/>
        </w:rPr>
        <w:t xml:space="preserve">، اغلب به شکلی </w:t>
      </w:r>
      <w:r w:rsidR="00EE4B64" w:rsidRPr="0025250D">
        <w:rPr>
          <w:rFonts w:hint="cs"/>
          <w:rtl/>
        </w:rPr>
        <w:t>مردم‌سالار</w:t>
      </w:r>
      <w:r w:rsidRPr="0025250D">
        <w:rPr>
          <w:rFonts w:hint="cs"/>
          <w:rtl/>
        </w:rPr>
        <w:t xml:space="preserve"> و پایین به بالا</w:t>
      </w:r>
      <w:r w:rsidR="009C15DB" w:rsidRPr="0025250D">
        <w:rPr>
          <w:rFonts w:hint="cs"/>
          <w:rtl/>
        </w:rPr>
        <w:t>،</w:t>
      </w:r>
      <w:r w:rsidRPr="0025250D">
        <w:rPr>
          <w:rFonts w:hint="cs"/>
          <w:rtl/>
        </w:rPr>
        <w:t xml:space="preserve"> هستند. برای مثال، یک ترجیح </w:t>
      </w:r>
      <w:r w:rsidR="00AE5BE0" w:rsidRPr="0025250D">
        <w:rPr>
          <w:rFonts w:hint="cs"/>
          <w:rtl/>
        </w:rPr>
        <w:t>انطباقی</w:t>
      </w:r>
      <w:r w:rsidRPr="0025250D">
        <w:rPr>
          <w:rFonts w:hint="cs"/>
          <w:rtl/>
        </w:rPr>
        <w:t xml:space="preserve"> در ذهن‌های ما، وقتی با خود در مورد هر موضوعی فکر و بحث می‌کنیم، پدیدار می‌شود. یک نوع مشابه از هم رقابتی همدلانه و اخلاقی در گروه‌ها و جوامع </w:t>
      </w:r>
      <w:r w:rsidR="00AE5BE0" w:rsidRPr="0025250D">
        <w:rPr>
          <w:rFonts w:hint="cs"/>
          <w:rtl/>
        </w:rPr>
        <w:t>انطباقی</w:t>
      </w:r>
      <w:r w:rsidRPr="0025250D">
        <w:rPr>
          <w:rFonts w:hint="cs"/>
          <w:rtl/>
        </w:rPr>
        <w:t xml:space="preserve"> اتفاق می‌افتد؛ </w:t>
      </w:r>
      <w:r w:rsidRPr="0025250D">
        <w:rPr>
          <w:rtl/>
        </w:rPr>
        <w:t>زمان</w:t>
      </w:r>
      <w:r w:rsidRPr="0025250D">
        <w:rPr>
          <w:rFonts w:hint="cs"/>
          <w:rtl/>
        </w:rPr>
        <w:t>ی</w:t>
      </w:r>
      <w:r w:rsidRPr="0025250D">
        <w:rPr>
          <w:rtl/>
        </w:rPr>
        <w:t xml:space="preserve"> که رهبران فرهنگ و فرآ</w:t>
      </w:r>
      <w:r w:rsidRPr="0025250D">
        <w:rPr>
          <w:rFonts w:hint="cs"/>
          <w:rtl/>
        </w:rPr>
        <w:t>ی</w:t>
      </w:r>
      <w:r w:rsidRPr="0025250D">
        <w:rPr>
          <w:rFonts w:hint="eastAsia"/>
          <w:rtl/>
        </w:rPr>
        <w:t>ندها</w:t>
      </w:r>
      <w:r w:rsidRPr="0025250D">
        <w:rPr>
          <w:rFonts w:hint="cs"/>
          <w:rtl/>
        </w:rPr>
        <w:t>یی</w:t>
      </w:r>
      <w:r w:rsidRPr="0025250D">
        <w:rPr>
          <w:rtl/>
        </w:rPr>
        <w:t xml:space="preserve"> را حفظ می‌کنند که اساساً </w:t>
      </w:r>
      <w:r w:rsidR="00EE4B64" w:rsidRPr="0025250D">
        <w:rPr>
          <w:rFonts w:hint="cs"/>
          <w:rtl/>
        </w:rPr>
        <w:t>مردم‌سالار</w:t>
      </w:r>
      <w:r w:rsidRPr="0025250D">
        <w:rPr>
          <w:rFonts w:hint="eastAsia"/>
          <w:rtl/>
        </w:rPr>
        <w:t>،</w:t>
      </w:r>
      <w:r w:rsidRPr="0025250D">
        <w:rPr>
          <w:rtl/>
        </w:rPr>
        <w:t xml:space="preserve"> با رقابت و تعارض قابل اعتماد، در ع</w:t>
      </w:r>
      <w:r w:rsidRPr="0025250D">
        <w:rPr>
          <w:rFonts w:hint="cs"/>
          <w:rtl/>
        </w:rPr>
        <w:t>ی</w:t>
      </w:r>
      <w:r w:rsidRPr="0025250D">
        <w:rPr>
          <w:rFonts w:hint="eastAsia"/>
          <w:rtl/>
        </w:rPr>
        <w:t>ن</w:t>
      </w:r>
      <w:r w:rsidRPr="0025250D">
        <w:rPr>
          <w:rtl/>
        </w:rPr>
        <w:t xml:space="preserve"> حال گاه</w:t>
      </w:r>
      <w:r w:rsidRPr="0025250D">
        <w:rPr>
          <w:rFonts w:hint="cs"/>
          <w:rtl/>
        </w:rPr>
        <w:t>ی</w:t>
      </w:r>
      <w:r w:rsidRPr="0025250D">
        <w:rPr>
          <w:rtl/>
        </w:rPr>
        <w:t xml:space="preserve"> اوقات خودکامه، مانند زمان</w:t>
      </w:r>
      <w:r w:rsidRPr="0025250D">
        <w:rPr>
          <w:rFonts w:hint="cs"/>
          <w:rtl/>
        </w:rPr>
        <w:t>ی</w:t>
      </w:r>
      <w:r w:rsidRPr="0025250D">
        <w:rPr>
          <w:rtl/>
        </w:rPr>
        <w:t xml:space="preserve"> که واکنش سر</w:t>
      </w:r>
      <w:r w:rsidRPr="0025250D">
        <w:rPr>
          <w:rFonts w:hint="cs"/>
          <w:rtl/>
        </w:rPr>
        <w:t>ی</w:t>
      </w:r>
      <w:r w:rsidRPr="0025250D">
        <w:rPr>
          <w:rFonts w:hint="eastAsia"/>
          <w:rtl/>
        </w:rPr>
        <w:t>ع،</w:t>
      </w:r>
      <w:r w:rsidRPr="0025250D">
        <w:rPr>
          <w:rtl/>
        </w:rPr>
        <w:t xml:space="preserve"> هماهنگ</w:t>
      </w:r>
      <w:r w:rsidRPr="0025250D">
        <w:rPr>
          <w:rFonts w:hint="cs"/>
          <w:rtl/>
        </w:rPr>
        <w:t>ی</w:t>
      </w:r>
      <w:r w:rsidRPr="0025250D">
        <w:rPr>
          <w:rtl/>
        </w:rPr>
        <w:t xml:space="preserve"> توده‌ای و سادگ</w:t>
      </w:r>
      <w:r w:rsidRPr="0025250D">
        <w:rPr>
          <w:rFonts w:hint="cs"/>
          <w:rtl/>
        </w:rPr>
        <w:t>ی</w:t>
      </w:r>
      <w:r w:rsidRPr="0025250D">
        <w:rPr>
          <w:rtl/>
        </w:rPr>
        <w:t xml:space="preserve"> پاسخ مورد ن</w:t>
      </w:r>
      <w:r w:rsidRPr="0025250D">
        <w:rPr>
          <w:rFonts w:hint="cs"/>
          <w:rtl/>
        </w:rPr>
        <w:t>ی</w:t>
      </w:r>
      <w:r w:rsidRPr="0025250D">
        <w:rPr>
          <w:rFonts w:hint="eastAsia"/>
          <w:rtl/>
        </w:rPr>
        <w:t>از</w:t>
      </w:r>
      <w:r w:rsidRPr="0025250D">
        <w:rPr>
          <w:rtl/>
        </w:rPr>
        <w:t xml:space="preserve"> است</w:t>
      </w:r>
      <w:r w:rsidRPr="0025250D">
        <w:rPr>
          <w:rFonts w:hint="cs"/>
          <w:rtl/>
        </w:rPr>
        <w:t>، هستند.</w:t>
      </w:r>
    </w:p>
    <w:p w14:paraId="4B0D2A9C" w14:textId="72DEC214" w:rsidR="00537CC8" w:rsidRPr="0025250D" w:rsidRDefault="00537CC8" w:rsidP="00492C47">
      <w:pPr>
        <w:numPr>
          <w:ilvl w:val="0"/>
          <w:numId w:val="23"/>
        </w:numPr>
      </w:pPr>
      <w:r w:rsidRPr="0025250D">
        <w:rPr>
          <w:rFonts w:hint="cs"/>
          <w:rtl/>
        </w:rPr>
        <w:t>در نظر بگیرید که اکثریت ملاحظات و تضاد‌هایی که مردم در خانواده‌ها، سازمان‌ها و جامعه خود دارند به احساسات جمعی (</w:t>
      </w:r>
      <w:r w:rsidR="00A936B3" w:rsidRPr="0025250D">
        <w:rPr>
          <w:rFonts w:hint="cs"/>
          <w:rtl/>
        </w:rPr>
        <w:t>همدلی</w:t>
      </w:r>
      <w:r w:rsidRPr="0025250D">
        <w:rPr>
          <w:rFonts w:hint="cs"/>
          <w:rtl/>
        </w:rPr>
        <w:t xml:space="preserve">) و اخلاقیات (انصاف) و مدیریت تضاد دائمی میان نوآوری (تازگی) و پایداری (وضعیت موجود) مربوط می‌شوند. برای مثال، اکثریت گفتمان‌هایی که کودکان در طول توسعه انجام می‌دهند یا موارد هیجانی - شناختی با محوریت </w:t>
      </w:r>
      <w:r w:rsidR="00202882" w:rsidRPr="0025250D">
        <w:rPr>
          <w:rFonts w:hint="cs"/>
          <w:rtl/>
        </w:rPr>
        <w:t>همدلی</w:t>
      </w:r>
      <w:r w:rsidRPr="0025250D">
        <w:rPr>
          <w:rFonts w:hint="cs"/>
          <w:rtl/>
        </w:rPr>
        <w:t xml:space="preserve"> یا نبود آن و یا موارد شناختی-هیجانی با محوریت انصاف و اخلاق هستند. در این مدل </w:t>
      </w:r>
      <w:r w:rsidRPr="0025250D">
        <w:rPr>
          <w:rtl/>
        </w:rPr>
        <w:t>تکاملی-توسعه ای</w:t>
      </w:r>
      <w:r w:rsidRPr="0025250D">
        <w:rPr>
          <w:rFonts w:hint="cs"/>
          <w:rtl/>
        </w:rPr>
        <w:t>، شرایط و ماهیت متصل بودن و وابستگی متقابل ما (</w:t>
      </w:r>
      <w:r w:rsidR="00A936B3" w:rsidRPr="0025250D">
        <w:rPr>
          <w:rFonts w:hint="cs"/>
          <w:rtl/>
        </w:rPr>
        <w:t>همدلی</w:t>
      </w:r>
      <w:r w:rsidRPr="0025250D">
        <w:rPr>
          <w:rFonts w:hint="cs"/>
          <w:rtl/>
        </w:rPr>
        <w:t xml:space="preserve"> و اخلاق)، احساسات و قوانینی که برای پیوند دادن تفاوت‌ها با دیگران بر سر آن‌ها مذاکره می‌کنیم، هدف مرکزی ما، هم به عنوان افراد و هم به عنوان یک گونه واحد، می‌باشند.</w:t>
      </w:r>
    </w:p>
    <w:p w14:paraId="53287A30" w14:textId="43485531" w:rsidR="00537CC8" w:rsidRPr="0025250D" w:rsidRDefault="00537CC8" w:rsidP="00537CC8">
      <w:r w:rsidRPr="0025250D">
        <w:rPr>
          <w:rFonts w:hint="cs"/>
          <w:rtl/>
        </w:rPr>
        <w:t xml:space="preserve">منحنی گاوسی که </w:t>
      </w:r>
      <w:r w:rsidRPr="0025250D">
        <w:rPr>
          <w:rtl/>
        </w:rPr>
        <w:t>کرتون</w:t>
      </w:r>
      <w:r w:rsidRPr="0025250D">
        <w:rPr>
          <w:rFonts w:hint="cs"/>
          <w:rtl/>
        </w:rPr>
        <w:t xml:space="preserve"> یافت به ما برای تشخیص ماهیت </w:t>
      </w:r>
      <w:r w:rsidRPr="0025250D">
        <w:rPr>
          <w:rtl/>
        </w:rPr>
        <w:t xml:space="preserve">تکاملی-توسعه‌ای </w:t>
      </w:r>
      <w:r w:rsidRPr="0025250D">
        <w:rPr>
          <w:rFonts w:hint="cs"/>
          <w:rtl/>
        </w:rPr>
        <w:t xml:space="preserve">(ترکیبی، دارای تضاد) اهداف </w:t>
      </w:r>
      <w:r w:rsidRPr="0025250D">
        <w:t>IES</w:t>
      </w:r>
      <w:r w:rsidRPr="0025250D">
        <w:rPr>
          <w:rFonts w:hint="cs"/>
          <w:rtl/>
        </w:rPr>
        <w:t xml:space="preserve"> و مرکزیت منحصر به فرد و اهمیت </w:t>
      </w:r>
      <w:r w:rsidR="00A936B3" w:rsidRPr="0025250D">
        <w:rPr>
          <w:rFonts w:hint="cs"/>
          <w:rtl/>
        </w:rPr>
        <w:t>همدلی</w:t>
      </w:r>
      <w:r w:rsidRPr="0025250D">
        <w:rPr>
          <w:rFonts w:hint="cs"/>
          <w:rtl/>
        </w:rPr>
        <w:t xml:space="preserve"> و اخلاقیات در زندگی‌ها، شرکت‌ها و جوامعمان کمک می‌کند. این مدل از </w:t>
      </w:r>
      <w:r w:rsidRPr="0025250D">
        <w:rPr>
          <w:rtl/>
        </w:rPr>
        <w:t>آینده‌نگاری</w:t>
      </w:r>
      <w:r w:rsidRPr="0025250D">
        <w:rPr>
          <w:rFonts w:hint="cs"/>
          <w:rtl/>
        </w:rPr>
        <w:t xml:space="preserve"> هنجاری بنابراین شامل یک سلسله مراتب ساده اما مفید از ارزش‌ها است. در </w:t>
      </w:r>
      <w:r w:rsidR="007118DE" w:rsidRPr="0025250D">
        <w:rPr>
          <w:rFonts w:hint="cs"/>
          <w:rtl/>
        </w:rPr>
        <w:t>سبک‌سنگین</w:t>
      </w:r>
      <w:r w:rsidRPr="0025250D">
        <w:rPr>
          <w:rFonts w:hint="cs"/>
          <w:rtl/>
        </w:rPr>
        <w:t xml:space="preserve"> بین ارزش‌های دارای تناقض، </w:t>
      </w:r>
      <w:r w:rsidR="00A936B3" w:rsidRPr="0025250D">
        <w:rPr>
          <w:rFonts w:hint="cs"/>
          <w:rtl/>
        </w:rPr>
        <w:t>همدلی</w:t>
      </w:r>
      <w:r w:rsidRPr="0025250D">
        <w:rPr>
          <w:rFonts w:hint="cs"/>
          <w:rtl/>
        </w:rPr>
        <w:t xml:space="preserve"> و اخلاقیات باید ملاحظه اصلی ما باشند. به شکل کلی‌تر، </w:t>
      </w:r>
      <w:r w:rsidR="007118DE" w:rsidRPr="0025250D">
        <w:rPr>
          <w:rFonts w:hint="cs"/>
          <w:rtl/>
        </w:rPr>
        <w:t>همان‌طور</w:t>
      </w:r>
      <w:r w:rsidRPr="0025250D">
        <w:rPr>
          <w:rFonts w:hint="cs"/>
          <w:rtl/>
        </w:rPr>
        <w:t xml:space="preserve"> که در فصل 1 گفتیم، ظرفیت عالی ما برای </w:t>
      </w:r>
      <w:r w:rsidRPr="0025250D">
        <w:rPr>
          <w:rtl/>
        </w:rPr>
        <w:t>آینده‌نگاری</w:t>
      </w:r>
      <w:r w:rsidRPr="0025250D">
        <w:rPr>
          <w:rFonts w:hint="cs"/>
          <w:rtl/>
        </w:rPr>
        <w:t xml:space="preserve">، استفاده از </w:t>
      </w:r>
      <w:r w:rsidR="007A53FD" w:rsidRPr="0025250D">
        <w:rPr>
          <w:rFonts w:hint="cs"/>
          <w:rtl/>
        </w:rPr>
        <w:t>فناوری</w:t>
      </w:r>
      <w:r w:rsidRPr="0025250D">
        <w:rPr>
          <w:rFonts w:hint="cs"/>
          <w:rtl/>
        </w:rPr>
        <w:t xml:space="preserve"> برای حل مسائل و هم رقابتی همدلانه و اخلاقی </w:t>
      </w:r>
      <w:r w:rsidRPr="0025250D">
        <w:rPr>
          <w:rFonts w:cs="Times New Roman" w:hint="cs"/>
          <w:rtl/>
        </w:rPr>
        <w:t>–</w:t>
      </w:r>
      <w:r w:rsidRPr="0025250D">
        <w:rPr>
          <w:rFonts w:hint="cs"/>
          <w:rtl/>
        </w:rPr>
        <w:t xml:space="preserve"> سر، دست و قلب - سه موهبت بزرگی هستند که به ما داده </w:t>
      </w:r>
      <w:r w:rsidR="00185F3E" w:rsidRPr="0025250D">
        <w:rPr>
          <w:rFonts w:hint="cs"/>
          <w:rtl/>
        </w:rPr>
        <w:t>شده‌اند</w:t>
      </w:r>
      <w:r w:rsidRPr="0025250D">
        <w:rPr>
          <w:rFonts w:hint="cs"/>
          <w:rtl/>
        </w:rPr>
        <w:t>. همه آن‌ها شایسته قرارگیری در رأس اولویت‌ها در زندگی‌های فردی و حرفه‌ای ما هستند.</w:t>
      </w:r>
    </w:p>
    <w:p w14:paraId="52E46345" w14:textId="72DE5D34" w:rsidR="00537CC8" w:rsidRPr="0025250D" w:rsidRDefault="00537CC8" w:rsidP="00537CC8">
      <w:pPr>
        <w:rPr>
          <w:rtl/>
        </w:rPr>
      </w:pPr>
      <w:r w:rsidRPr="0025250D">
        <w:rPr>
          <w:rFonts w:hint="cs"/>
          <w:rtl/>
        </w:rPr>
        <w:t xml:space="preserve">یک بینشی که از اکتشاف ارزش‌های انسانی فعلی ما و تمایل ما برای یافتن ارزش‌های فراگیر حاصل می‌شود، این است که تحول در ذهنیت‌های ما برای توسعه سازمان‌ها، سایست‌ها، اقتصادها و جوامعی که به شکل قابل‌توجهی بهتر باشند، لازم است. درحالی که ما همواره حالات و فرهنگ‌های منحصر به فردی داریم، باید همگی به شکل فزاینده‌ای هر ارزش و اولویت فراگیری را به اشتراک بگذاریم. رهبران و فرهنگ‌های منفرد می‌توانند </w:t>
      </w:r>
      <w:r w:rsidR="00303635" w:rsidRPr="0025250D">
        <w:rPr>
          <w:rtl/>
        </w:rPr>
        <w:t>چابک‌بین</w:t>
      </w:r>
      <w:r w:rsidRPr="0025250D">
        <w:rPr>
          <w:rFonts w:hint="cs"/>
          <w:rtl/>
        </w:rPr>
        <w:t xml:space="preserve"> باشند، اما اگر قدردانی از ارزش‌های مشترک ما در همه فرهنگ هایمان توزیع نشده باشد، بشریت به عنوان یک </w:t>
      </w:r>
      <w:r w:rsidR="008D6F97" w:rsidRPr="0025250D">
        <w:rPr>
          <w:rFonts w:hint="cs"/>
          <w:rtl/>
        </w:rPr>
        <w:t>سامانه‌</w:t>
      </w:r>
      <w:r w:rsidRPr="0025250D">
        <w:rPr>
          <w:rFonts w:hint="cs"/>
          <w:rtl/>
        </w:rPr>
        <w:t>، نسبت به آشفتگی و تغییر، شکننده باقی می‌ماند.</w:t>
      </w:r>
    </w:p>
    <w:p w14:paraId="1EC1341F" w14:textId="7E42CF1E" w:rsidR="00537CC8" w:rsidRPr="0025250D" w:rsidRDefault="00537CC8" w:rsidP="00537CC8">
      <w:pPr>
        <w:rPr>
          <w:rtl/>
        </w:rPr>
      </w:pPr>
      <w:r w:rsidRPr="0025250D">
        <w:rPr>
          <w:rFonts w:hint="cs"/>
          <w:rtl/>
        </w:rPr>
        <w:t xml:space="preserve">تعداد کمی از افراد بیان بهتری نسبت به </w:t>
      </w:r>
      <w:r w:rsidR="00D30084" w:rsidRPr="0025250D">
        <w:rPr>
          <w:rFonts w:hint="cs"/>
          <w:rtl/>
        </w:rPr>
        <w:t>آینده‌نگار</w:t>
      </w:r>
      <w:r w:rsidRPr="0025250D">
        <w:rPr>
          <w:rFonts w:hint="cs"/>
          <w:rtl/>
        </w:rPr>
        <w:t xml:space="preserve"> بزرگ معاصر، </w:t>
      </w:r>
      <w:r w:rsidRPr="0025250D">
        <w:rPr>
          <w:rtl/>
        </w:rPr>
        <w:t>و</w:t>
      </w:r>
      <w:r w:rsidRPr="0025250D">
        <w:rPr>
          <w:rFonts w:hint="cs"/>
          <w:rtl/>
        </w:rPr>
        <w:t>ی</w:t>
      </w:r>
      <w:r w:rsidRPr="0025250D">
        <w:rPr>
          <w:rFonts w:hint="eastAsia"/>
          <w:rtl/>
        </w:rPr>
        <w:t>ل</w:t>
      </w:r>
      <w:r w:rsidRPr="0025250D">
        <w:rPr>
          <w:rFonts w:hint="cs"/>
          <w:rtl/>
        </w:rPr>
        <w:t>ی</w:t>
      </w:r>
      <w:r w:rsidRPr="0025250D">
        <w:rPr>
          <w:rFonts w:hint="eastAsia"/>
          <w:rtl/>
        </w:rPr>
        <w:t>س</w:t>
      </w:r>
      <w:r w:rsidRPr="0025250D">
        <w:rPr>
          <w:rtl/>
        </w:rPr>
        <w:t xml:space="preserve"> هارمن</w:t>
      </w:r>
      <w:r w:rsidRPr="0025250D">
        <w:rPr>
          <w:vertAlign w:val="superscript"/>
          <w:rtl/>
        </w:rPr>
        <w:footnoteReference w:id="1360"/>
      </w:r>
      <w:r w:rsidRPr="0025250D">
        <w:rPr>
          <w:rFonts w:hint="cs"/>
          <w:rtl/>
        </w:rPr>
        <w:t xml:space="preserve"> در این مورد داشته‌اند. </w:t>
      </w:r>
      <w:r w:rsidRPr="0025250D">
        <w:rPr>
          <w:rtl/>
        </w:rPr>
        <w:t>هارمن</w:t>
      </w:r>
      <w:r w:rsidRPr="0025250D">
        <w:rPr>
          <w:rFonts w:hint="cs"/>
          <w:rtl/>
        </w:rPr>
        <w:t xml:space="preserve"> کارراهه خود را به عنوان یک مهندس آغاز کرد و در دهه 1960 در </w:t>
      </w:r>
      <w:r w:rsidRPr="0025250D">
        <w:t>SRI</w:t>
      </w:r>
      <w:r w:rsidRPr="0025250D">
        <w:rPr>
          <w:rFonts w:hint="cs"/>
          <w:rtl/>
        </w:rPr>
        <w:t xml:space="preserve"> </w:t>
      </w:r>
      <w:r w:rsidRPr="0025250D">
        <w:rPr>
          <w:rtl/>
        </w:rPr>
        <w:t>آینده‌نگاری</w:t>
      </w:r>
      <w:r w:rsidRPr="0025250D">
        <w:rPr>
          <w:rFonts w:hint="cs"/>
          <w:rtl/>
        </w:rPr>
        <w:t xml:space="preserve"> سازمانی انجام می‌داد و بر روی متغیر‌هایی که </w:t>
      </w:r>
      <w:r w:rsidR="00B0171C" w:rsidRPr="0025250D">
        <w:rPr>
          <w:rFonts w:hint="cs"/>
          <w:rtl/>
        </w:rPr>
        <w:t>به‌سادگی</w:t>
      </w:r>
      <w:r w:rsidRPr="0025250D">
        <w:rPr>
          <w:rFonts w:hint="cs"/>
          <w:rtl/>
        </w:rPr>
        <w:t xml:space="preserve"> قابل اندازه گیری </w:t>
      </w:r>
      <w:r w:rsidR="009C15DB" w:rsidRPr="0025250D">
        <w:rPr>
          <w:rFonts w:hint="cs"/>
          <w:rtl/>
        </w:rPr>
        <w:t>بودند</w:t>
      </w:r>
      <w:r w:rsidRPr="0025250D">
        <w:rPr>
          <w:rFonts w:hint="cs"/>
          <w:rtl/>
        </w:rPr>
        <w:t xml:space="preserve"> و مدل‌هایی در فضای خارج</w:t>
      </w:r>
      <w:r w:rsidRPr="0025250D">
        <w:rPr>
          <w:vertAlign w:val="superscript"/>
          <w:rtl/>
        </w:rPr>
        <w:footnoteReference w:id="1361"/>
      </w:r>
      <w:r w:rsidRPr="0025250D">
        <w:rPr>
          <w:rFonts w:hint="cs"/>
          <w:rtl/>
        </w:rPr>
        <w:t xml:space="preserve"> یا تغییر فناورانه و اجتماعی کار می‌کرد. او کارراهه خود را در روانشناسی و </w:t>
      </w:r>
      <w:r w:rsidR="00B124DE" w:rsidRPr="0025250D">
        <w:rPr>
          <w:rFonts w:hint="cs"/>
          <w:rtl/>
        </w:rPr>
        <w:t>جامعه‌شناسی</w:t>
      </w:r>
      <w:r w:rsidRPr="0025250D">
        <w:rPr>
          <w:rFonts w:hint="cs"/>
          <w:rtl/>
        </w:rPr>
        <w:t>، با تمرکز بر متغیر‌ها و مدل‌های بسیار ناملموس‌تر غیر قابل اندازه گیری از فضای داخلی</w:t>
      </w:r>
      <w:r w:rsidRPr="0025250D">
        <w:rPr>
          <w:vertAlign w:val="superscript"/>
          <w:rtl/>
        </w:rPr>
        <w:footnoteReference w:id="1362"/>
      </w:r>
      <w:r w:rsidRPr="0025250D">
        <w:rPr>
          <w:rFonts w:hint="cs"/>
          <w:rtl/>
        </w:rPr>
        <w:t xml:space="preserve">، از تغییر ذهنیت خودآگاه و ناخودآگاه، به اتمام رساند. او به </w:t>
      </w:r>
      <w:r w:rsidRPr="0025250D">
        <w:rPr>
          <w:rtl/>
        </w:rPr>
        <w:t>مؤسسه علوم اعصاب</w:t>
      </w:r>
      <w:r w:rsidRPr="0025250D">
        <w:rPr>
          <w:vertAlign w:val="superscript"/>
          <w:rtl/>
        </w:rPr>
        <w:footnoteReference w:id="1363"/>
      </w:r>
      <w:r w:rsidRPr="0025250D">
        <w:rPr>
          <w:rFonts w:hint="cs"/>
          <w:rtl/>
        </w:rPr>
        <w:t xml:space="preserve"> (</w:t>
      </w:r>
      <w:r w:rsidRPr="0025250D">
        <w:t>IONS</w:t>
      </w:r>
      <w:r w:rsidRPr="0025250D">
        <w:rPr>
          <w:rFonts w:hint="cs"/>
          <w:rtl/>
        </w:rPr>
        <w:t xml:space="preserve">) برای انجام این کار رفت. </w:t>
      </w:r>
      <w:r w:rsidRPr="0025250D">
        <w:t>IONS</w:t>
      </w:r>
      <w:r w:rsidRPr="0025250D">
        <w:rPr>
          <w:rFonts w:hint="cs"/>
          <w:rtl/>
        </w:rPr>
        <w:t xml:space="preserve"> یک مؤ</w:t>
      </w:r>
      <w:r w:rsidR="009C15DB" w:rsidRPr="0025250D">
        <w:rPr>
          <w:rFonts w:hint="cs"/>
          <w:rtl/>
        </w:rPr>
        <w:t>س</w:t>
      </w:r>
      <w:r w:rsidRPr="0025250D">
        <w:rPr>
          <w:rFonts w:hint="cs"/>
          <w:rtl/>
        </w:rPr>
        <w:t xml:space="preserve">سه عصر جدید است که باور زیادی به موضوعات دارای شواهد بسیار ضعیف مانند </w:t>
      </w:r>
      <w:r w:rsidRPr="0025250D">
        <w:rPr>
          <w:rtl/>
        </w:rPr>
        <w:t>فراروان‌شناس</w:t>
      </w:r>
      <w:r w:rsidRPr="0025250D">
        <w:rPr>
          <w:rFonts w:hint="cs"/>
          <w:rtl/>
        </w:rPr>
        <w:t>ی</w:t>
      </w:r>
      <w:r w:rsidRPr="0025250D">
        <w:rPr>
          <w:vertAlign w:val="superscript"/>
          <w:rtl/>
        </w:rPr>
        <w:footnoteReference w:id="1364"/>
      </w:r>
      <w:r w:rsidRPr="0025250D">
        <w:rPr>
          <w:rFonts w:hint="cs"/>
          <w:rtl/>
        </w:rPr>
        <w:t>، آگاهی کوانتومی</w:t>
      </w:r>
      <w:r w:rsidRPr="0025250D">
        <w:rPr>
          <w:vertAlign w:val="superscript"/>
          <w:rtl/>
        </w:rPr>
        <w:footnoteReference w:id="1365"/>
      </w:r>
      <w:r w:rsidRPr="0025250D">
        <w:rPr>
          <w:rFonts w:hint="cs"/>
          <w:rtl/>
        </w:rPr>
        <w:t xml:space="preserve"> و غیره دارد</w:t>
      </w:r>
      <w:r w:rsidR="008D6F97" w:rsidRPr="0025250D">
        <w:rPr>
          <w:rtl/>
        </w:rPr>
        <w:t xml:space="preserve">؛ </w:t>
      </w:r>
      <w:r w:rsidRPr="0025250D">
        <w:rPr>
          <w:rFonts w:hint="cs"/>
          <w:rtl/>
        </w:rPr>
        <w:t>اما همچنین تلاش‌های بشر دوستانه زیادی نیز انجام می‌دهد.</w:t>
      </w:r>
    </w:p>
    <w:p w14:paraId="74F94BDF" w14:textId="6410A284" w:rsidR="00537CC8" w:rsidRPr="0025250D" w:rsidRDefault="00537CC8" w:rsidP="00537CC8">
      <w:pPr>
        <w:rPr>
          <w:rtl/>
        </w:rPr>
      </w:pPr>
      <w:r w:rsidRPr="0025250D">
        <w:rPr>
          <w:rFonts w:hint="cs"/>
          <w:rtl/>
        </w:rPr>
        <w:t xml:space="preserve">آخرین کتاب </w:t>
      </w:r>
      <w:r w:rsidRPr="0025250D">
        <w:rPr>
          <w:rtl/>
        </w:rPr>
        <w:t>هارمن</w:t>
      </w:r>
      <w:r w:rsidRPr="0025250D">
        <w:rPr>
          <w:rFonts w:hint="cs"/>
          <w:rtl/>
        </w:rPr>
        <w:t xml:space="preserve"> با عنوا</w:t>
      </w:r>
      <w:r w:rsidR="009C15DB" w:rsidRPr="0025250D">
        <w:rPr>
          <w:rFonts w:hint="cs"/>
          <w:rtl/>
        </w:rPr>
        <w:t>ن</w:t>
      </w:r>
      <w:r w:rsidRPr="0025250D">
        <w:rPr>
          <w:rFonts w:hint="cs"/>
          <w:rtl/>
        </w:rPr>
        <w:t xml:space="preserve"> تغییر ذهنی جهانی: امیدواری قرن 21</w:t>
      </w:r>
      <w:r w:rsidRPr="0025250D">
        <w:rPr>
          <w:vertAlign w:val="superscript"/>
          <w:rtl/>
        </w:rPr>
        <w:footnoteReference w:id="1366"/>
      </w:r>
      <w:r w:rsidRPr="0025250D">
        <w:rPr>
          <w:rFonts w:hint="cs"/>
          <w:rtl/>
        </w:rPr>
        <w:t xml:space="preserve"> در سال 1998 برای مطالعه توصیه می‌شود. این کتاب حرف‌های زیادی برای گفتن درمورد نیاز شدید بشریت به دست یابی به یک ذهنیت و ارزش‌های فراگیر و جهانی دارد. </w:t>
      </w:r>
      <w:r w:rsidR="00D92F6E" w:rsidRPr="0025250D">
        <w:rPr>
          <w:rFonts w:hint="cs"/>
          <w:rtl/>
        </w:rPr>
        <w:t>آینده‌پژوه</w:t>
      </w:r>
      <w:r w:rsidRPr="0025250D">
        <w:rPr>
          <w:rFonts w:hint="cs"/>
          <w:rtl/>
        </w:rPr>
        <w:t xml:space="preserve"> بزرگ در زمینه آگاهی</w:t>
      </w:r>
      <w:r w:rsidRPr="0025250D">
        <w:rPr>
          <w:vertAlign w:val="superscript"/>
          <w:rtl/>
        </w:rPr>
        <w:footnoteReference w:id="1367"/>
      </w:r>
      <w:r w:rsidRPr="0025250D">
        <w:rPr>
          <w:rFonts w:hint="cs"/>
          <w:rtl/>
        </w:rPr>
        <w:t xml:space="preserve"> </w:t>
      </w:r>
      <w:r w:rsidRPr="0025250D">
        <w:rPr>
          <w:rtl/>
        </w:rPr>
        <w:t>باربارا هوبارد</w:t>
      </w:r>
      <w:r w:rsidRPr="0025250D">
        <w:rPr>
          <w:vertAlign w:val="superscript"/>
          <w:rtl/>
        </w:rPr>
        <w:footnoteReference w:id="1368"/>
      </w:r>
      <w:r w:rsidRPr="0025250D">
        <w:rPr>
          <w:rFonts w:hint="cs"/>
          <w:rtl/>
        </w:rPr>
        <w:t xml:space="preserve">، </w:t>
      </w:r>
      <w:r w:rsidRPr="0025250D">
        <w:rPr>
          <w:rtl/>
        </w:rPr>
        <w:t>ف</w:t>
      </w:r>
      <w:r w:rsidRPr="0025250D">
        <w:rPr>
          <w:rFonts w:hint="cs"/>
          <w:rtl/>
        </w:rPr>
        <w:t>ی</w:t>
      </w:r>
      <w:r w:rsidRPr="0025250D">
        <w:rPr>
          <w:rFonts w:hint="eastAsia"/>
          <w:rtl/>
        </w:rPr>
        <w:t>لسوف</w:t>
      </w:r>
      <w:r w:rsidRPr="0025250D">
        <w:rPr>
          <w:rFonts w:hint="cs"/>
          <w:rtl/>
        </w:rPr>
        <w:t xml:space="preserve"> </w:t>
      </w:r>
      <w:r w:rsidRPr="0025250D">
        <w:rPr>
          <w:rtl/>
        </w:rPr>
        <w:t>کن و</w:t>
      </w:r>
      <w:r w:rsidRPr="0025250D">
        <w:rPr>
          <w:rFonts w:hint="cs"/>
          <w:rtl/>
        </w:rPr>
        <w:t>ی</w:t>
      </w:r>
      <w:r w:rsidRPr="0025250D">
        <w:rPr>
          <w:rFonts w:hint="eastAsia"/>
          <w:rtl/>
        </w:rPr>
        <w:t>لبر</w:t>
      </w:r>
      <w:r w:rsidRPr="0025250D">
        <w:rPr>
          <w:vertAlign w:val="superscript"/>
          <w:rtl/>
        </w:rPr>
        <w:footnoteReference w:id="1369"/>
      </w:r>
      <w:r w:rsidRPr="0025250D">
        <w:rPr>
          <w:rFonts w:hint="cs"/>
          <w:rtl/>
        </w:rPr>
        <w:t xml:space="preserve"> و بسیاری از افراد دیگر نیز بر این موارد تأکید دارند. از نظر ما، در دسته بندی‌های پویش </w:t>
      </w:r>
      <w:r w:rsidRPr="0025250D">
        <w:t>STEEPLECOP</w:t>
      </w:r>
      <w:r w:rsidRPr="0025250D">
        <w:rPr>
          <w:rFonts w:hint="cs"/>
          <w:rtl/>
        </w:rPr>
        <w:t xml:space="preserve"> خود (علم، </w:t>
      </w:r>
      <w:r w:rsidR="007A53FD" w:rsidRPr="0025250D">
        <w:rPr>
          <w:rFonts w:hint="cs"/>
          <w:rtl/>
        </w:rPr>
        <w:t>فناوری</w:t>
      </w:r>
      <w:r w:rsidRPr="0025250D">
        <w:rPr>
          <w:rFonts w:hint="cs"/>
          <w:rtl/>
        </w:rPr>
        <w:t>، اقتصاد، محیط، سیاست، قانون، فرهنگ، سازمان‌ها، مردم، فصل 5 را ببینید)، مطالعات هر یک از این نویسندگان مشخصا دسته‌های فضای خارجی و داخلی را به خوبی در بر می‌گیرند. همه این مطالعات یک گذار بزرگ پیش رو (تغییر پارادایم) در ذهنیت‌های فردی و جهانی ما را پیش‌بینی می‌کنند.</w:t>
      </w:r>
    </w:p>
    <w:p w14:paraId="1AE09636" w14:textId="6A813F1D" w:rsidR="00537CC8" w:rsidRPr="0025250D" w:rsidRDefault="00537CC8" w:rsidP="00537CC8">
      <w:pPr>
        <w:rPr>
          <w:rtl/>
        </w:rPr>
      </w:pPr>
      <w:r w:rsidRPr="0025250D">
        <w:rPr>
          <w:rtl/>
        </w:rPr>
        <w:t>هارمن</w:t>
      </w:r>
      <w:r w:rsidRPr="0025250D">
        <w:rPr>
          <w:rFonts w:hint="cs"/>
          <w:rtl/>
        </w:rPr>
        <w:t xml:space="preserve">، برای مثال، اولویت‌های غیر منطقی و بدون </w:t>
      </w:r>
      <w:r w:rsidRPr="0025250D">
        <w:rPr>
          <w:rtl/>
        </w:rPr>
        <w:t>آینده‌نگاری</w:t>
      </w:r>
      <w:r w:rsidRPr="0025250D">
        <w:rPr>
          <w:rFonts w:hint="cs"/>
          <w:rtl/>
        </w:rPr>
        <w:t xml:space="preserve"> یک جامعه را به ما یادآوری می‌کند که در آن: سلاح‌های هسته‌ای (در مقادیر عظیم) برای امنیت ملی ساخته</w:t>
      </w:r>
      <w:r w:rsidRPr="0025250D">
        <w:rPr>
          <w:rtl/>
        </w:rPr>
        <w:t xml:space="preserve"> می‌</w:t>
      </w:r>
      <w:r w:rsidRPr="0025250D">
        <w:rPr>
          <w:rFonts w:hint="cs"/>
          <w:rtl/>
        </w:rPr>
        <w:t>شوند، منطق اقتصادی (فاقد عوامل ناملموس و ارزش‌های آن ها) برای اتخاذ تصمیمات اجتماعی استفاده می‌شود و دانش بر اساس علمی است که شجاعت و پاکدامنی (اهداف</w:t>
      </w:r>
      <w:r w:rsidR="009C15DB" w:rsidRPr="0025250D">
        <w:rPr>
          <w:rFonts w:hint="cs"/>
          <w:rtl/>
        </w:rPr>
        <w:t xml:space="preserve"> و</w:t>
      </w:r>
      <w:r w:rsidRPr="0025250D">
        <w:rPr>
          <w:rFonts w:hint="cs"/>
          <w:rtl/>
        </w:rPr>
        <w:t xml:space="preserve"> وظایف والاتر) را نادیده</w:t>
      </w:r>
      <w:r w:rsidRPr="0025250D">
        <w:rPr>
          <w:rtl/>
        </w:rPr>
        <w:t xml:space="preserve"> می‌</w:t>
      </w:r>
      <w:r w:rsidRPr="0025250D">
        <w:rPr>
          <w:rFonts w:hint="cs"/>
          <w:rtl/>
        </w:rPr>
        <w:t>گیرد.</w:t>
      </w:r>
    </w:p>
    <w:p w14:paraId="34EF542F" w14:textId="49D03974" w:rsidR="00537CC8" w:rsidRPr="0025250D" w:rsidRDefault="00537CC8" w:rsidP="00537CC8">
      <w:pPr>
        <w:rPr>
          <w:rtl/>
        </w:rPr>
      </w:pPr>
      <w:r w:rsidRPr="0025250D">
        <w:rPr>
          <w:rtl/>
        </w:rPr>
        <w:t>هارمن</w:t>
      </w:r>
      <w:r w:rsidRPr="0025250D">
        <w:rPr>
          <w:rFonts w:hint="cs"/>
          <w:rtl/>
        </w:rPr>
        <w:t xml:space="preserve"> تعدادی از تغییر پارادایم‌های قبلی را در علم و ذهن (</w:t>
      </w:r>
      <w:r w:rsidR="00A20CCB" w:rsidRPr="0025250D">
        <w:rPr>
          <w:rFonts w:hint="cs"/>
          <w:rtl/>
        </w:rPr>
        <w:t>جهان‌بینی</w:t>
      </w:r>
      <w:r w:rsidRPr="0025250D">
        <w:rPr>
          <w:rFonts w:hint="cs"/>
          <w:rtl/>
        </w:rPr>
        <w:t xml:space="preserve">) توصیف می‌کند و به شکل خردمندانه‌ای به ما یادآوری می‌کند که نه علم و نه مذهب هیچگاه ناپدید نخواهند شد، زیرا هر یک در خدمت کارکرد‌های فراگیری برای گونه ما هستند. او همچنین یادآوری می‌کند که یکی از بزرگترین چالش‌های اجتماعی ما بالغ‌تر کردن این دو راه دائمی و متفاوت </w:t>
      </w:r>
      <w:r w:rsidR="0063099E" w:rsidRPr="0025250D">
        <w:rPr>
          <w:rtl/>
        </w:rPr>
        <w:t>«</w:t>
      </w:r>
      <w:r w:rsidRPr="0025250D">
        <w:rPr>
          <w:rFonts w:hint="cs"/>
          <w:rtl/>
        </w:rPr>
        <w:t>دانستن</w:t>
      </w:r>
      <w:r w:rsidR="0063099E" w:rsidRPr="0025250D">
        <w:rPr>
          <w:rtl/>
        </w:rPr>
        <w:t>»</w:t>
      </w:r>
      <w:r w:rsidRPr="0025250D">
        <w:rPr>
          <w:rFonts w:hint="cs"/>
          <w:rtl/>
        </w:rPr>
        <w:t xml:space="preserve"> است تا این که آن‌ها بتوانند بهتر از یکدیگر حمایت کرده و برای هم ارزش قائل شوند، بجای این که تضاد غیر مولد و ثمر بخش را در پایه ای‌ترین سطح باور‌ها و اخلاقیات ما افزایش دهند. درمورد این موضوعات مهم در </w:t>
      </w:r>
      <w:r w:rsidRPr="0025250D">
        <w:t>BPF</w:t>
      </w:r>
      <w:r w:rsidRPr="0025250D">
        <w:rPr>
          <w:rFonts w:hint="cs"/>
          <w:rtl/>
        </w:rPr>
        <w:t xml:space="preserve"> بیش</w:t>
      </w:r>
      <w:r w:rsidRPr="0025250D">
        <w:rPr>
          <w:rtl/>
        </w:rPr>
        <w:t xml:space="preserve">‌تر </w:t>
      </w:r>
      <w:r w:rsidRPr="0025250D">
        <w:rPr>
          <w:rFonts w:hint="cs"/>
          <w:rtl/>
        </w:rPr>
        <w:t>صحبت خواهیم کرد.</w:t>
      </w:r>
    </w:p>
    <w:p w14:paraId="5C7D5C40" w14:textId="77777777" w:rsidR="00537CC8" w:rsidRPr="0025250D" w:rsidRDefault="00537CC8" w:rsidP="00537CC8">
      <w:pPr>
        <w:rPr>
          <w:rtl/>
        </w:rPr>
      </w:pPr>
    </w:p>
    <w:p w14:paraId="5048E089" w14:textId="77777777" w:rsidR="00537CC8" w:rsidRPr="0025250D" w:rsidRDefault="00537CC8" w:rsidP="00537CC8">
      <w:pPr>
        <w:rPr>
          <w:rtl/>
        </w:rPr>
      </w:pPr>
    </w:p>
    <w:p w14:paraId="16DAC715" w14:textId="77777777" w:rsidR="00537CC8" w:rsidRPr="0025250D" w:rsidRDefault="00537CC8" w:rsidP="00537CC8">
      <w:pPr>
        <w:rPr>
          <w:rtl/>
        </w:rPr>
      </w:pPr>
    </w:p>
    <w:p w14:paraId="621425E7" w14:textId="77777777" w:rsidR="00537CC8" w:rsidRPr="0025250D" w:rsidRDefault="00537CC8" w:rsidP="00537CC8">
      <w:pPr>
        <w:rPr>
          <w:rtl/>
        </w:rPr>
      </w:pPr>
    </w:p>
    <w:p w14:paraId="39FEEE61" w14:textId="77777777" w:rsidR="00537CC8" w:rsidRPr="0025250D" w:rsidRDefault="00537CC8" w:rsidP="00537CC8">
      <w:pPr>
        <w:rPr>
          <w:rtl/>
        </w:rPr>
      </w:pPr>
    </w:p>
    <w:p w14:paraId="040BC274" w14:textId="77777777" w:rsidR="00537CC8" w:rsidRPr="0025250D" w:rsidRDefault="00537CC8" w:rsidP="00537CC8">
      <w:pPr>
        <w:rPr>
          <w:rtl/>
        </w:rPr>
      </w:pPr>
    </w:p>
    <w:p w14:paraId="522F8CFE" w14:textId="77777777" w:rsidR="00537CC8" w:rsidRPr="0025250D" w:rsidRDefault="00537CC8" w:rsidP="00537CC8">
      <w:pPr>
        <w:rPr>
          <w:rtl/>
        </w:rPr>
      </w:pPr>
    </w:p>
    <w:p w14:paraId="0540D69A" w14:textId="77777777" w:rsidR="00537CC8" w:rsidRPr="0025250D" w:rsidRDefault="00537CC8" w:rsidP="00537CC8">
      <w:pPr>
        <w:rPr>
          <w:rtl/>
        </w:rPr>
      </w:pPr>
    </w:p>
    <w:p w14:paraId="23757BC2" w14:textId="77777777" w:rsidR="00537CC8" w:rsidRPr="0025250D" w:rsidRDefault="00537CC8" w:rsidP="000A674B">
      <w:pPr>
        <w:pStyle w:val="Heading2"/>
        <w:rPr>
          <w:rtl/>
        </w:rPr>
      </w:pPr>
      <w:bookmarkStart w:id="39" w:name="_Toc127831304"/>
      <w:r w:rsidRPr="0025250D">
        <w:rPr>
          <w:rFonts w:hint="cs"/>
          <w:rtl/>
        </w:rPr>
        <w:t xml:space="preserve">جامعه </w:t>
      </w:r>
      <w:r w:rsidRPr="0025250D">
        <w:rPr>
          <w:rtl/>
        </w:rPr>
        <w:t>آینده‌نگاری</w:t>
      </w:r>
      <w:r w:rsidRPr="0025250D">
        <w:rPr>
          <w:rFonts w:hint="cs"/>
          <w:rtl/>
        </w:rPr>
        <w:t xml:space="preserve"> تخصصی چقدر بزرگ است؟</w:t>
      </w:r>
      <w:bookmarkEnd w:id="39"/>
    </w:p>
    <w:p w14:paraId="6D198296" w14:textId="77777777" w:rsidR="00537CC8" w:rsidRPr="0025250D" w:rsidRDefault="00537CC8" w:rsidP="00537CC8">
      <w:pPr>
        <w:rPr>
          <w:rtl/>
        </w:rPr>
      </w:pPr>
      <w:r w:rsidRPr="0025250D">
        <w:rPr>
          <w:rFonts w:hint="cs"/>
          <w:rtl/>
        </w:rPr>
        <w:t xml:space="preserve">آیا می‌دانید امروزه چه تعداد از افراد در سراسر جهان خود را به عنوان افرادی متخصص در </w:t>
      </w:r>
      <w:r w:rsidRPr="0025250D">
        <w:rPr>
          <w:rtl/>
        </w:rPr>
        <w:t>آینده‌نگاری</w:t>
      </w:r>
      <w:r w:rsidRPr="0025250D">
        <w:rPr>
          <w:rFonts w:hint="cs"/>
          <w:rtl/>
        </w:rPr>
        <w:t xml:space="preserve"> توصیف می‌کنند؟</w:t>
      </w:r>
    </w:p>
    <w:p w14:paraId="06B3AEC7" w14:textId="0FCE4FF9" w:rsidR="00537CC8" w:rsidRPr="0025250D" w:rsidRDefault="00537CC8" w:rsidP="00537CC8">
      <w:pPr>
        <w:rPr>
          <w:rtl/>
        </w:rPr>
      </w:pPr>
      <w:r w:rsidRPr="0025250D">
        <w:rPr>
          <w:rFonts w:hint="cs"/>
          <w:rtl/>
        </w:rPr>
        <w:t>وبسایت اینساید جابز</w:t>
      </w:r>
      <w:r w:rsidRPr="0025250D">
        <w:rPr>
          <w:vertAlign w:val="superscript"/>
          <w:rtl/>
        </w:rPr>
        <w:footnoteReference w:id="1370"/>
      </w:r>
      <w:r w:rsidRPr="0025250D">
        <w:rPr>
          <w:rFonts w:hint="cs"/>
          <w:rtl/>
        </w:rPr>
        <w:t xml:space="preserve"> گزارش می‌دهد که </w:t>
      </w:r>
      <w:r w:rsidR="0063099E" w:rsidRPr="0025250D">
        <w:rPr>
          <w:rtl/>
        </w:rPr>
        <w:t>«</w:t>
      </w:r>
      <w:r w:rsidR="00D92F6E" w:rsidRPr="0025250D">
        <w:rPr>
          <w:rFonts w:hint="cs"/>
          <w:rtl/>
        </w:rPr>
        <w:t>آینده‌پژوه</w:t>
      </w:r>
      <w:r w:rsidR="0063099E" w:rsidRPr="0025250D">
        <w:rPr>
          <w:rtl/>
        </w:rPr>
        <w:t>»</w:t>
      </w:r>
      <w:r w:rsidRPr="0025250D">
        <w:rPr>
          <w:rFonts w:hint="cs"/>
          <w:rtl/>
        </w:rPr>
        <w:t xml:space="preserve"> یکی از چندین عنوان از دسته بندی‌های شغلی شناخته شده با </w:t>
      </w:r>
      <w:r w:rsidRPr="0025250D">
        <w:rPr>
          <w:rtl/>
        </w:rPr>
        <w:t>مزا</w:t>
      </w:r>
      <w:r w:rsidRPr="0025250D">
        <w:rPr>
          <w:rFonts w:hint="cs"/>
          <w:rtl/>
        </w:rPr>
        <w:t>ی</w:t>
      </w:r>
      <w:r w:rsidRPr="0025250D">
        <w:rPr>
          <w:rFonts w:hint="eastAsia"/>
          <w:rtl/>
        </w:rPr>
        <w:t>ا</w:t>
      </w:r>
      <w:r w:rsidRPr="0025250D">
        <w:rPr>
          <w:rFonts w:hint="cs"/>
          <w:rtl/>
        </w:rPr>
        <w:t>ی</w:t>
      </w:r>
      <w:r w:rsidRPr="0025250D">
        <w:rPr>
          <w:rtl/>
        </w:rPr>
        <w:t xml:space="preserve"> عال</w:t>
      </w:r>
      <w:r w:rsidRPr="0025250D">
        <w:rPr>
          <w:rFonts w:hint="cs"/>
          <w:rtl/>
        </w:rPr>
        <w:t>ی</w:t>
      </w:r>
      <w:r w:rsidRPr="0025250D">
        <w:rPr>
          <w:rtl/>
        </w:rPr>
        <w:t xml:space="preserve"> </w:t>
      </w:r>
      <w:r w:rsidRPr="0025250D">
        <w:rPr>
          <w:rFonts w:hint="cs"/>
          <w:rtl/>
        </w:rPr>
        <w:t>ی</w:t>
      </w:r>
      <w:r w:rsidRPr="0025250D">
        <w:rPr>
          <w:rFonts w:hint="eastAsia"/>
          <w:rtl/>
        </w:rPr>
        <w:t>ا</w:t>
      </w:r>
      <w:r w:rsidRPr="0025250D">
        <w:rPr>
          <w:rtl/>
        </w:rPr>
        <w:t xml:space="preserve"> غ</w:t>
      </w:r>
      <w:r w:rsidRPr="0025250D">
        <w:rPr>
          <w:rFonts w:hint="cs"/>
          <w:rtl/>
        </w:rPr>
        <w:t>ی</w:t>
      </w:r>
      <w:r w:rsidRPr="0025250D">
        <w:rPr>
          <w:rFonts w:hint="eastAsia"/>
          <w:rtl/>
        </w:rPr>
        <w:t>ر</w:t>
      </w:r>
      <w:r w:rsidRPr="0025250D">
        <w:rPr>
          <w:rtl/>
        </w:rPr>
        <w:t xml:space="preserve"> معمول</w:t>
      </w:r>
      <w:r w:rsidRPr="0025250D">
        <w:rPr>
          <w:rFonts w:hint="cs"/>
          <w:rtl/>
        </w:rPr>
        <w:t xml:space="preserve"> است؛ به هر معنایی که مد نظر این سایت بوده است. آن‌ها هنوز اصطلاحات </w:t>
      </w:r>
      <w:r w:rsidR="0063099E" w:rsidRPr="0025250D">
        <w:rPr>
          <w:rtl/>
        </w:rPr>
        <w:t>«</w:t>
      </w:r>
      <w:r w:rsidRPr="0025250D">
        <w:rPr>
          <w:rFonts w:hint="cs"/>
          <w:rtl/>
        </w:rPr>
        <w:t xml:space="preserve">متخصص </w:t>
      </w:r>
      <w:r w:rsidRPr="0025250D">
        <w:rPr>
          <w:rtl/>
        </w:rPr>
        <w:t>آینده‌نگاری</w:t>
      </w:r>
      <w:r w:rsidR="0063099E" w:rsidRPr="0025250D">
        <w:rPr>
          <w:rtl/>
        </w:rPr>
        <w:t>»</w:t>
      </w:r>
      <w:r w:rsidRPr="0025250D">
        <w:rPr>
          <w:rFonts w:hint="cs"/>
          <w:rtl/>
        </w:rPr>
        <w:t xml:space="preserve">، </w:t>
      </w:r>
      <w:r w:rsidR="0063099E" w:rsidRPr="0025250D">
        <w:rPr>
          <w:rtl/>
        </w:rPr>
        <w:t>«</w:t>
      </w:r>
      <w:r w:rsidR="0008779C" w:rsidRPr="0025250D">
        <w:rPr>
          <w:rFonts w:hint="cs"/>
          <w:rtl/>
        </w:rPr>
        <w:t>پیش‌نگر</w:t>
      </w:r>
      <w:r w:rsidR="0063099E" w:rsidRPr="0025250D">
        <w:rPr>
          <w:rtl/>
        </w:rPr>
        <w:t>»</w:t>
      </w:r>
      <w:r w:rsidR="008D6F97" w:rsidRPr="0025250D">
        <w:t xml:space="preserve"> </w:t>
      </w:r>
      <w:r w:rsidRPr="0025250D">
        <w:rPr>
          <w:rFonts w:hint="cs"/>
          <w:rtl/>
        </w:rPr>
        <w:t xml:space="preserve">یا دیگر اصطلاحات مرتبط با </w:t>
      </w:r>
      <w:r w:rsidRPr="0025250D">
        <w:rPr>
          <w:rtl/>
        </w:rPr>
        <w:t>آینده‌نگاری</w:t>
      </w:r>
      <w:r w:rsidRPr="0025250D">
        <w:rPr>
          <w:rFonts w:hint="cs"/>
          <w:rtl/>
        </w:rPr>
        <w:t xml:space="preserve"> را در فهرست خود قرار نداده‌اند. آن‌ها همچنین تخمین می‌زنند که 75 درصد از </w:t>
      </w:r>
      <w:r w:rsidR="00D92F6E" w:rsidRPr="0025250D">
        <w:rPr>
          <w:rFonts w:hint="cs"/>
          <w:rtl/>
        </w:rPr>
        <w:t>آینده‌پژوه</w:t>
      </w:r>
      <w:r w:rsidRPr="0025250D">
        <w:rPr>
          <w:rFonts w:hint="cs"/>
          <w:rtl/>
        </w:rPr>
        <w:t xml:space="preserve">ان مدرک کارشناسی دارند، 21 درصد مدرک کارشناسی ارشد و 4 درصد مدرک دکتری دارند و حقوق افراد در این حوزه بین 33 تا 111 هزار دلار در ماه است. یک مقاله </w:t>
      </w:r>
      <w:r w:rsidRPr="0025250D">
        <w:t>BLS</w:t>
      </w:r>
      <w:r w:rsidRPr="0025250D">
        <w:rPr>
          <w:rFonts w:hint="cs"/>
          <w:rtl/>
        </w:rPr>
        <w:t xml:space="preserve"> در سال 2009 درمورد شغل </w:t>
      </w:r>
      <w:r w:rsidR="00D92F6E" w:rsidRPr="0025250D">
        <w:rPr>
          <w:rFonts w:hint="cs"/>
          <w:rtl/>
        </w:rPr>
        <w:t>آینده‌پژوه</w:t>
      </w:r>
      <w:r w:rsidRPr="0025250D">
        <w:rPr>
          <w:rFonts w:hint="cs"/>
          <w:rtl/>
        </w:rPr>
        <w:t xml:space="preserve"> تخمین زد که تقریبا 750 </w:t>
      </w:r>
      <w:r w:rsidR="00D92F6E" w:rsidRPr="0025250D">
        <w:rPr>
          <w:rFonts w:hint="cs"/>
          <w:rtl/>
        </w:rPr>
        <w:t>آینده‌پژوه</w:t>
      </w:r>
      <w:r w:rsidRPr="0025250D">
        <w:rPr>
          <w:rFonts w:hint="cs"/>
          <w:rtl/>
        </w:rPr>
        <w:t xml:space="preserve"> درآمدزا در آمریکا به ادعای خود وجود دارند. این تعداد به نظر پایین می‌رسد و مطمئنا امروزه بسیار بیش‌تر است. </w:t>
      </w:r>
      <w:r w:rsidR="007118DE" w:rsidRPr="0025250D">
        <w:rPr>
          <w:rFonts w:hint="cs"/>
          <w:rtl/>
        </w:rPr>
        <w:t>همان‌طور</w:t>
      </w:r>
      <w:r w:rsidRPr="0025250D">
        <w:rPr>
          <w:rFonts w:hint="cs"/>
          <w:rtl/>
        </w:rPr>
        <w:t xml:space="preserve"> که </w:t>
      </w:r>
      <w:r w:rsidR="00D92F6E" w:rsidRPr="0025250D">
        <w:rPr>
          <w:rFonts w:hint="cs"/>
          <w:rtl/>
        </w:rPr>
        <w:t>آینده‌پژوه</w:t>
      </w:r>
      <w:r w:rsidRPr="0025250D">
        <w:rPr>
          <w:rFonts w:hint="cs"/>
          <w:rtl/>
        </w:rPr>
        <w:t xml:space="preserve"> </w:t>
      </w:r>
      <w:r w:rsidRPr="0025250D">
        <w:rPr>
          <w:rtl/>
        </w:rPr>
        <w:t>ام</w:t>
      </w:r>
      <w:r w:rsidRPr="0025250D">
        <w:rPr>
          <w:rFonts w:hint="cs"/>
          <w:rtl/>
        </w:rPr>
        <w:t>ی</w:t>
      </w:r>
      <w:r w:rsidRPr="0025250D">
        <w:rPr>
          <w:rtl/>
        </w:rPr>
        <w:t xml:space="preserve"> وب</w:t>
      </w:r>
      <w:r w:rsidRPr="0025250D">
        <w:rPr>
          <w:vertAlign w:val="superscript"/>
          <w:rtl/>
        </w:rPr>
        <w:footnoteReference w:id="1371"/>
      </w:r>
      <w:r w:rsidRPr="0025250D">
        <w:rPr>
          <w:rFonts w:hint="cs"/>
          <w:rtl/>
        </w:rPr>
        <w:t xml:space="preserve"> مشاهده کرده است، تقاضا برای </w:t>
      </w:r>
      <w:r w:rsidRPr="0025250D">
        <w:rPr>
          <w:rtl/>
        </w:rPr>
        <w:t>آ</w:t>
      </w:r>
      <w:r w:rsidRPr="0025250D">
        <w:rPr>
          <w:rFonts w:hint="cs"/>
          <w:rtl/>
        </w:rPr>
        <w:t>ی</w:t>
      </w:r>
      <w:r w:rsidRPr="0025250D">
        <w:rPr>
          <w:rFonts w:hint="eastAsia"/>
          <w:rtl/>
        </w:rPr>
        <w:t>نده‏گرا</w:t>
      </w:r>
      <w:r w:rsidRPr="0025250D">
        <w:rPr>
          <w:rFonts w:hint="cs"/>
          <w:rtl/>
        </w:rPr>
        <w:t>یی</w:t>
      </w:r>
      <w:r w:rsidRPr="0025250D">
        <w:rPr>
          <w:vertAlign w:val="superscript"/>
          <w:rtl/>
        </w:rPr>
        <w:footnoteReference w:id="1372"/>
      </w:r>
      <w:r w:rsidRPr="0025250D">
        <w:rPr>
          <w:rFonts w:hint="cs"/>
          <w:rtl/>
        </w:rPr>
        <w:t xml:space="preserve"> همواره در زمان وقوع تحولات اجتماعی و فناورانه در حال رشد شدیدی بوده است. تحولات دهه اخیر، از جمله بحران مالی سال 2008، ظهور غول‌های </w:t>
      </w:r>
      <w:r w:rsidR="007A53FD" w:rsidRPr="0025250D">
        <w:rPr>
          <w:rFonts w:hint="cs"/>
          <w:rtl/>
        </w:rPr>
        <w:t>فناوری</w:t>
      </w:r>
      <w:r w:rsidRPr="0025250D">
        <w:rPr>
          <w:rFonts w:hint="cs"/>
          <w:rtl/>
        </w:rPr>
        <w:t xml:space="preserve"> و همه گیری </w:t>
      </w:r>
      <w:r w:rsidRPr="0025250D">
        <w:rPr>
          <w:rtl/>
        </w:rPr>
        <w:t>کوو</w:t>
      </w:r>
      <w:r w:rsidRPr="0025250D">
        <w:rPr>
          <w:rFonts w:hint="cs"/>
          <w:rtl/>
        </w:rPr>
        <w:t>ی</w:t>
      </w:r>
      <w:r w:rsidRPr="0025250D">
        <w:rPr>
          <w:rFonts w:hint="eastAsia"/>
          <w:rtl/>
        </w:rPr>
        <w:t>د</w:t>
      </w:r>
      <w:r w:rsidRPr="0025250D">
        <w:rPr>
          <w:rtl/>
        </w:rPr>
        <w:t>-۱۹</w:t>
      </w:r>
      <w:r w:rsidRPr="0025250D">
        <w:rPr>
          <w:rFonts w:hint="cs"/>
          <w:rtl/>
        </w:rPr>
        <w:t xml:space="preserve"> در سال 2020، همگی سبب یک افزایش شدید در </w:t>
      </w:r>
      <w:r w:rsidRPr="0025250D">
        <w:rPr>
          <w:rtl/>
        </w:rPr>
        <w:t>آ</w:t>
      </w:r>
      <w:r w:rsidRPr="0025250D">
        <w:rPr>
          <w:rFonts w:hint="cs"/>
          <w:rtl/>
        </w:rPr>
        <w:t>ی</w:t>
      </w:r>
      <w:r w:rsidRPr="0025250D">
        <w:rPr>
          <w:rFonts w:hint="eastAsia"/>
          <w:rtl/>
        </w:rPr>
        <w:t>نده‏گرا</w:t>
      </w:r>
      <w:r w:rsidRPr="0025250D">
        <w:rPr>
          <w:rFonts w:hint="cs"/>
          <w:rtl/>
        </w:rPr>
        <w:t xml:space="preserve">یی و تعداد </w:t>
      </w:r>
      <w:r w:rsidR="00D92F6E" w:rsidRPr="0025250D">
        <w:rPr>
          <w:rFonts w:hint="cs"/>
          <w:rtl/>
        </w:rPr>
        <w:t>آینده‌پژوه</w:t>
      </w:r>
      <w:r w:rsidRPr="0025250D">
        <w:rPr>
          <w:rFonts w:hint="cs"/>
          <w:rtl/>
        </w:rPr>
        <w:t xml:space="preserve">ان خودخوانده </w:t>
      </w:r>
      <w:r w:rsidR="00185F3E" w:rsidRPr="0025250D">
        <w:rPr>
          <w:rFonts w:hint="cs"/>
          <w:rtl/>
        </w:rPr>
        <w:t>شده‌اند</w:t>
      </w:r>
      <w:r w:rsidRPr="0025250D">
        <w:rPr>
          <w:rFonts w:hint="cs"/>
          <w:rtl/>
        </w:rPr>
        <w:t>.</w:t>
      </w:r>
    </w:p>
    <w:p w14:paraId="3644CC8E" w14:textId="644C0D07" w:rsidR="00537CC8" w:rsidRPr="0025250D" w:rsidRDefault="00537CC8" w:rsidP="00537CC8">
      <w:pPr>
        <w:rPr>
          <w:rtl/>
        </w:rPr>
      </w:pPr>
      <w:r w:rsidRPr="0025250D">
        <w:rPr>
          <w:rFonts w:hint="cs"/>
          <w:rtl/>
        </w:rPr>
        <w:t xml:space="preserve">بر اساس تحقیق ما درمورد اصطلاح </w:t>
      </w:r>
      <w:r w:rsidR="00D92F6E" w:rsidRPr="0025250D">
        <w:rPr>
          <w:rFonts w:hint="cs"/>
          <w:rtl/>
        </w:rPr>
        <w:t>آینده‌پژوه</w:t>
      </w:r>
      <w:r w:rsidRPr="0025250D">
        <w:rPr>
          <w:rFonts w:hint="cs"/>
          <w:rtl/>
        </w:rPr>
        <w:t xml:space="preserve"> بر روی پروفایل‌های شخصی در لینکدین</w:t>
      </w:r>
      <w:r w:rsidRPr="0025250D">
        <w:rPr>
          <w:vertAlign w:val="superscript"/>
          <w:rtl/>
        </w:rPr>
        <w:footnoteReference w:id="1373"/>
      </w:r>
      <w:r w:rsidRPr="0025250D">
        <w:rPr>
          <w:rFonts w:hint="cs"/>
          <w:rtl/>
        </w:rPr>
        <w:t xml:space="preserve">، برترین شبکه اجتماعی </w:t>
      </w:r>
      <w:r w:rsidR="00B124DE" w:rsidRPr="0025250D">
        <w:rPr>
          <w:rFonts w:hint="cs"/>
          <w:rtl/>
        </w:rPr>
        <w:t>کسب‌و‌کار</w:t>
      </w:r>
      <w:r w:rsidRPr="0025250D">
        <w:rPr>
          <w:rFonts w:hint="cs"/>
          <w:rtl/>
        </w:rPr>
        <w:t xml:space="preserve">ی در جهان، حدس می‌زنیم که اکنون در حدود 20000 </w:t>
      </w:r>
      <w:r w:rsidR="00D92F6E" w:rsidRPr="0025250D">
        <w:rPr>
          <w:rFonts w:hint="cs"/>
          <w:rtl/>
        </w:rPr>
        <w:t>آینده‌پژوه</w:t>
      </w:r>
      <w:r w:rsidRPr="0025250D">
        <w:rPr>
          <w:rFonts w:hint="cs"/>
          <w:rtl/>
        </w:rPr>
        <w:t xml:space="preserve"> درآمدزای خودخوانده در جهان وجود دارند. این تعداد نسبتا </w:t>
      </w:r>
      <w:r w:rsidR="009C15DB" w:rsidRPr="0025250D">
        <w:rPr>
          <w:rFonts w:hint="cs"/>
          <w:rtl/>
        </w:rPr>
        <w:t>بالایی</w:t>
      </w:r>
      <w:r w:rsidRPr="0025250D">
        <w:rPr>
          <w:rFonts w:hint="cs"/>
          <w:rtl/>
        </w:rPr>
        <w:t xml:space="preserve"> است، اما </w:t>
      </w:r>
      <w:r w:rsidR="007118DE" w:rsidRPr="0025250D">
        <w:rPr>
          <w:rFonts w:hint="cs"/>
          <w:rtl/>
        </w:rPr>
        <w:t>همان‌طور</w:t>
      </w:r>
      <w:r w:rsidRPr="0025250D">
        <w:rPr>
          <w:rFonts w:hint="cs"/>
          <w:rtl/>
        </w:rPr>
        <w:t xml:space="preserve"> که دیده ایم، برچسب </w:t>
      </w:r>
      <w:r w:rsidR="00D92F6E" w:rsidRPr="0025250D">
        <w:rPr>
          <w:rFonts w:hint="cs"/>
          <w:rtl/>
        </w:rPr>
        <w:t>آینده‌پژوه</w:t>
      </w:r>
      <w:r w:rsidRPr="0025250D">
        <w:rPr>
          <w:rFonts w:hint="cs"/>
          <w:rtl/>
        </w:rPr>
        <w:t xml:space="preserve"> تنها قابل مشاهده‌ترین و عمومی‌ترین عنوانی است که در حرفه ما استفاده می‌شود. این یک راه بسیار محدود و ساده انگارانه برای درک تخصص </w:t>
      </w:r>
      <w:r w:rsidRPr="0025250D">
        <w:rPr>
          <w:rtl/>
        </w:rPr>
        <w:t>آینده‌نگاری</w:t>
      </w:r>
      <w:r w:rsidRPr="0025250D">
        <w:rPr>
          <w:rFonts w:hint="cs"/>
          <w:rtl/>
        </w:rPr>
        <w:t xml:space="preserve"> است. اقتصاد دانان، متخصصین سرمایه‌گذاری، متخصصین سیاسی و </w:t>
      </w:r>
      <w:r w:rsidR="00701E03" w:rsidRPr="0025250D">
        <w:rPr>
          <w:rFonts w:hint="cs"/>
          <w:rtl/>
        </w:rPr>
        <w:t>راهبرد</w:t>
      </w:r>
      <w:r w:rsidRPr="0025250D">
        <w:rPr>
          <w:rFonts w:hint="cs"/>
          <w:rtl/>
        </w:rPr>
        <w:t xml:space="preserve">، </w:t>
      </w:r>
      <w:r w:rsidR="0008779C" w:rsidRPr="0025250D">
        <w:rPr>
          <w:rFonts w:hint="cs"/>
          <w:rtl/>
        </w:rPr>
        <w:t>پیش‌نگر</w:t>
      </w:r>
      <w:r w:rsidRPr="0025250D">
        <w:rPr>
          <w:rFonts w:hint="cs"/>
          <w:rtl/>
        </w:rPr>
        <w:t xml:space="preserve">‌ها و بازاریابان، تنها به طور تقریبی افرادی هستند که تا حدودی کار </w:t>
      </w:r>
      <w:r w:rsidRPr="0025250D">
        <w:rPr>
          <w:rtl/>
        </w:rPr>
        <w:t>آینده‌نگاری</w:t>
      </w:r>
      <w:r w:rsidRPr="0025250D">
        <w:rPr>
          <w:rFonts w:hint="cs"/>
          <w:rtl/>
        </w:rPr>
        <w:t xml:space="preserve"> را در برخی بافت‌ها انجام می‌دهند. ما یک متخصص </w:t>
      </w:r>
      <w:r w:rsidRPr="0025250D">
        <w:rPr>
          <w:rtl/>
        </w:rPr>
        <w:t>آینده‌نگاری</w:t>
      </w:r>
      <w:r w:rsidRPr="0025250D">
        <w:rPr>
          <w:rFonts w:hint="cs"/>
          <w:rtl/>
        </w:rPr>
        <w:t xml:space="preserve"> را به عنوان هر کسی که معمولا جنبه‌هایی از آینده را برای کارسپار یا سازمان خود، با استفاده از بیست تخصص گفته شده ارزیابی می‌کند تعریف می‌کنیم.</w:t>
      </w:r>
    </w:p>
    <w:p w14:paraId="08682946" w14:textId="77777777" w:rsidR="00537CC8" w:rsidRPr="0025250D" w:rsidRDefault="00537CC8" w:rsidP="000A674B">
      <w:pPr>
        <w:jc w:val="center"/>
        <w:rPr>
          <w:rtl/>
        </w:rPr>
      </w:pPr>
      <w:r w:rsidRPr="0025250D">
        <w:rPr>
          <w:noProof/>
          <w:rtl/>
          <w:lang w:bidi="ar-SA"/>
        </w:rPr>
        <w:drawing>
          <wp:inline distT="0" distB="0" distL="0" distR="0" wp14:anchorId="07AFB2A3" wp14:editId="11BA3666">
            <wp:extent cx="2360930" cy="1987826"/>
            <wp:effectExtent l="0" t="0" r="1270" b="0"/>
            <wp:docPr id="81" name="Picture 81" descr="D:\کار\مستقل\3 ( ترجمه ی دانشگاه تهران  )\Introduction to Foresight\part3\24-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کار\مستقل\3 ( ترجمه ی دانشگاه تهران  )\Introduction to Foresight\part3\24-new.png"/>
                    <pic:cNvPicPr>
                      <a:picLocks noChangeAspect="1" noChangeArrowheads="1"/>
                    </pic:cNvPicPr>
                  </pic:nvPicPr>
                  <pic:blipFill rotWithShape="1">
                    <a:blip r:embed="rId123" cstate="screen">
                      <a:extLst>
                        <a:ext uri="{BEBA8EAE-BF5A-486C-A8C5-ECC9F3942E4B}">
                          <a14:imgProps xmlns:a14="http://schemas.microsoft.com/office/drawing/2010/main">
                            <a14:imgLayer r:embed="rId124">
                              <a14:imgEffect>
                                <a14:saturation sat="0"/>
                              </a14:imgEffect>
                            </a14:imgLayer>
                          </a14:imgProps>
                        </a:ext>
                        <a:ext uri="{28A0092B-C50C-407E-A947-70E740481C1C}">
                          <a14:useLocalDpi xmlns:a14="http://schemas.microsoft.com/office/drawing/2010/main"/>
                        </a:ext>
                      </a:extLst>
                    </a:blip>
                    <a:srcRect/>
                    <a:stretch/>
                  </pic:blipFill>
                  <pic:spPr bwMode="auto">
                    <a:xfrm>
                      <a:off x="0" y="0"/>
                      <a:ext cx="2372711" cy="1997745"/>
                    </a:xfrm>
                    <a:prstGeom prst="rect">
                      <a:avLst/>
                    </a:prstGeom>
                    <a:noFill/>
                    <a:ln>
                      <a:noFill/>
                    </a:ln>
                    <a:extLst>
                      <a:ext uri="{53640926-AAD7-44D8-BBD7-CCE9431645EC}">
                        <a14:shadowObscured xmlns:a14="http://schemas.microsoft.com/office/drawing/2010/main"/>
                      </a:ext>
                    </a:extLst>
                  </pic:spPr>
                </pic:pic>
              </a:graphicData>
            </a:graphic>
          </wp:inline>
        </w:drawing>
      </w:r>
    </w:p>
    <w:p w14:paraId="1F04130F" w14:textId="5788F520" w:rsidR="00537CC8" w:rsidRPr="0025250D" w:rsidRDefault="00537CC8" w:rsidP="000A674B">
      <w:pPr>
        <w:jc w:val="center"/>
        <w:rPr>
          <w:rtl/>
        </w:rPr>
      </w:pPr>
      <w:r w:rsidRPr="0025250D">
        <w:rPr>
          <w:rFonts w:hint="cs"/>
          <w:rtl/>
        </w:rPr>
        <w:t xml:space="preserve">لینکدین: یک شبکه اجتماعی </w:t>
      </w:r>
      <w:r w:rsidR="00B124DE" w:rsidRPr="0025250D">
        <w:rPr>
          <w:rFonts w:hint="cs"/>
          <w:rtl/>
        </w:rPr>
        <w:t>کسب‌و‌کار</w:t>
      </w:r>
      <w:r w:rsidRPr="0025250D">
        <w:rPr>
          <w:rFonts w:hint="cs"/>
          <w:rtl/>
        </w:rPr>
        <w:t xml:space="preserve"> جهانی</w:t>
      </w:r>
    </w:p>
    <w:p w14:paraId="7A5BFBDD" w14:textId="549CA021" w:rsidR="00537CC8" w:rsidRPr="0025250D" w:rsidRDefault="00537CC8" w:rsidP="00537CC8">
      <w:pPr>
        <w:rPr>
          <w:rtl/>
        </w:rPr>
      </w:pPr>
      <w:r w:rsidRPr="0025250D">
        <w:rPr>
          <w:rtl/>
        </w:rPr>
        <w:t>ل</w:t>
      </w:r>
      <w:r w:rsidRPr="0025250D">
        <w:rPr>
          <w:rFonts w:hint="cs"/>
          <w:rtl/>
        </w:rPr>
        <w:t>ی</w:t>
      </w:r>
      <w:r w:rsidRPr="0025250D">
        <w:rPr>
          <w:rFonts w:hint="eastAsia"/>
          <w:rtl/>
        </w:rPr>
        <w:t>نکد</w:t>
      </w:r>
      <w:r w:rsidRPr="0025250D">
        <w:rPr>
          <w:rFonts w:hint="cs"/>
          <w:rtl/>
        </w:rPr>
        <w:t>ی</w:t>
      </w:r>
      <w:r w:rsidRPr="0025250D">
        <w:rPr>
          <w:rFonts w:hint="eastAsia"/>
          <w:rtl/>
        </w:rPr>
        <w:t>ن</w:t>
      </w:r>
      <w:r w:rsidRPr="0025250D">
        <w:rPr>
          <w:rFonts w:hint="cs"/>
          <w:rtl/>
        </w:rPr>
        <w:t xml:space="preserve"> 750 میلیون کاربر جهانی در سال 2020 داشته است. آن‌ها اکنون به طور فرضی و تقریبی اکثریتی 600 میلیونی از افراد دارای مدرک دانشگاهی در سراسر جهان هستند و حدس می‌زنیم که تقریبا نیمی از جمعیت 800 میلیونی نیروی کار دارای تحصیلات تکمیلی، در این شبکه عضویت دارند. این 800 میلیون نفر مجموعه فعالین بالقوه </w:t>
      </w:r>
      <w:r w:rsidRPr="0025250D">
        <w:rPr>
          <w:rtl/>
        </w:rPr>
        <w:t>آینده‌نگاری</w:t>
      </w:r>
      <w:r w:rsidRPr="0025250D">
        <w:rPr>
          <w:rFonts w:hint="cs"/>
          <w:rtl/>
        </w:rPr>
        <w:t xml:space="preserve"> در نظر گرفته می‌شوند، مجموعه‌ای که باید به شدت در دهه‌های آینده رشد کند، زیرا تنها 25 درصد از نیروی کار فعلی ما که در حدود 3 میلیارد نفر می‌باشد را تشکیل می‌دهند. با توجه به نرخ نفوذ جهانی فعلی، حدس می‌زنیم که پایگاه کاربران فعلی </w:t>
      </w:r>
      <w:r w:rsidRPr="0025250D">
        <w:rPr>
          <w:rtl/>
        </w:rPr>
        <w:t>ل</w:t>
      </w:r>
      <w:r w:rsidRPr="0025250D">
        <w:rPr>
          <w:rFonts w:hint="cs"/>
          <w:rtl/>
        </w:rPr>
        <w:t>ی</w:t>
      </w:r>
      <w:r w:rsidRPr="0025250D">
        <w:rPr>
          <w:rFonts w:hint="eastAsia"/>
          <w:rtl/>
        </w:rPr>
        <w:t>نکد</w:t>
      </w:r>
      <w:r w:rsidRPr="0025250D">
        <w:rPr>
          <w:rFonts w:hint="cs"/>
          <w:rtl/>
        </w:rPr>
        <w:t>ی</w:t>
      </w:r>
      <w:r w:rsidRPr="0025250D">
        <w:rPr>
          <w:rFonts w:hint="eastAsia"/>
          <w:rtl/>
        </w:rPr>
        <w:t>ن</w:t>
      </w:r>
      <w:r w:rsidRPr="0025250D">
        <w:rPr>
          <w:rFonts w:hint="cs"/>
          <w:rtl/>
        </w:rPr>
        <w:t xml:space="preserve"> تقریبا یک سوم از کسانی که ممکن است خود را امروزه به عنوان متخصص </w:t>
      </w:r>
      <w:r w:rsidRPr="0025250D">
        <w:rPr>
          <w:rtl/>
        </w:rPr>
        <w:t>آینده‌نگاری</w:t>
      </w:r>
      <w:r w:rsidRPr="0025250D">
        <w:rPr>
          <w:rFonts w:hint="cs"/>
          <w:rtl/>
        </w:rPr>
        <w:t xml:space="preserve"> معرفی کنند را در بر می‌گیرد. به بیان دیگر، مجموعه آنلاین افرادی که خود را به عنوان فعالان </w:t>
      </w:r>
      <w:r w:rsidRPr="0025250D">
        <w:rPr>
          <w:rtl/>
        </w:rPr>
        <w:t>آینده‌نگاری</w:t>
      </w:r>
      <w:r w:rsidRPr="0025250D">
        <w:rPr>
          <w:rFonts w:hint="cs"/>
          <w:rtl/>
        </w:rPr>
        <w:t xml:space="preserve"> معرفی می‌کنند، هنوز فضای زیادی برای رشد با تنوع جهانی آن دارد.</w:t>
      </w:r>
    </w:p>
    <w:p w14:paraId="35DA5030" w14:textId="47DB4565" w:rsidR="00537CC8" w:rsidRPr="0025250D" w:rsidRDefault="00537CC8" w:rsidP="00537CC8">
      <w:pPr>
        <w:rPr>
          <w:rtl/>
        </w:rPr>
      </w:pPr>
      <w:r w:rsidRPr="0025250D">
        <w:rPr>
          <w:rFonts w:hint="cs"/>
          <w:rtl/>
        </w:rPr>
        <w:t xml:space="preserve">از میان 280 میلیون کاربر </w:t>
      </w:r>
      <w:r w:rsidRPr="0025250D">
        <w:rPr>
          <w:rtl/>
        </w:rPr>
        <w:t>ل</w:t>
      </w:r>
      <w:r w:rsidRPr="0025250D">
        <w:rPr>
          <w:rFonts w:hint="cs"/>
          <w:rtl/>
        </w:rPr>
        <w:t>ی</w:t>
      </w:r>
      <w:r w:rsidRPr="0025250D">
        <w:rPr>
          <w:rFonts w:hint="eastAsia"/>
          <w:rtl/>
        </w:rPr>
        <w:t>نکد</w:t>
      </w:r>
      <w:r w:rsidRPr="0025250D">
        <w:rPr>
          <w:rFonts w:hint="cs"/>
          <w:rtl/>
        </w:rPr>
        <w:t>ی</w:t>
      </w:r>
      <w:r w:rsidRPr="0025250D">
        <w:rPr>
          <w:rFonts w:hint="eastAsia"/>
          <w:rtl/>
        </w:rPr>
        <w:t>ن</w:t>
      </w:r>
      <w:r w:rsidRPr="0025250D">
        <w:rPr>
          <w:rFonts w:hint="cs"/>
          <w:rtl/>
        </w:rPr>
        <w:t xml:space="preserve"> در زمان تحقیق اولیه ما (2014)، تنها 5000 نفر بودند که کلمه </w:t>
      </w:r>
      <w:r w:rsidR="00D92F6E" w:rsidRPr="0025250D">
        <w:rPr>
          <w:rFonts w:hint="cs"/>
          <w:rtl/>
        </w:rPr>
        <w:t>آینده‌پژوه</w:t>
      </w:r>
      <w:r w:rsidRPr="0025250D">
        <w:rPr>
          <w:rFonts w:hint="cs"/>
          <w:rtl/>
        </w:rPr>
        <w:t xml:space="preserve"> را در پروفایل شخصی خود به کار برده بودند. این تعداد اکنون 7900 نفر است. ما تنها این تعداد فعلی را سه برابر کرده و آن را برای یک تخمین ساده تا 20000 </w:t>
      </w:r>
      <w:r w:rsidR="00D30084" w:rsidRPr="0025250D">
        <w:rPr>
          <w:rFonts w:hint="cs"/>
          <w:rtl/>
        </w:rPr>
        <w:t>آینده‌نگار</w:t>
      </w:r>
      <w:r w:rsidRPr="0025250D">
        <w:rPr>
          <w:rFonts w:hint="cs"/>
          <w:rtl/>
        </w:rPr>
        <w:t xml:space="preserve"> حرفه‌ای به گفته خودشان </w:t>
      </w:r>
      <w:r w:rsidR="009C15DB" w:rsidRPr="0025250D">
        <w:rPr>
          <w:rFonts w:hint="cs"/>
          <w:rtl/>
        </w:rPr>
        <w:t>گرد</w:t>
      </w:r>
      <w:r w:rsidRPr="0025250D">
        <w:rPr>
          <w:rFonts w:hint="cs"/>
          <w:rtl/>
        </w:rPr>
        <w:t xml:space="preserve"> کرده‌ایم. درمقابل، جستجوی یک مجموعه متنوع تراز کلمات برای متخصصین </w:t>
      </w:r>
      <w:r w:rsidRPr="0025250D">
        <w:rPr>
          <w:rtl/>
        </w:rPr>
        <w:t>آینده‌نگاری</w:t>
      </w:r>
      <w:r w:rsidRPr="0025250D">
        <w:rPr>
          <w:rFonts w:hint="cs"/>
          <w:rtl/>
        </w:rPr>
        <w:t xml:space="preserve"> مختلف، این تعداد پروفایل را نشان داد:</w:t>
      </w:r>
    </w:p>
    <w:tbl>
      <w:tblPr>
        <w:tblStyle w:val="TableGrid"/>
        <w:bidiVisual/>
        <w:tblW w:w="0" w:type="auto"/>
        <w:tblLook w:val="04A0" w:firstRow="1" w:lastRow="0" w:firstColumn="1" w:lastColumn="0" w:noHBand="0" w:noVBand="1"/>
      </w:tblPr>
      <w:tblGrid>
        <w:gridCol w:w="4508"/>
        <w:gridCol w:w="4508"/>
      </w:tblGrid>
      <w:tr w:rsidR="00537CC8" w:rsidRPr="0025250D" w14:paraId="0F03183C" w14:textId="77777777" w:rsidTr="0090736C">
        <w:tc>
          <w:tcPr>
            <w:tcW w:w="4508" w:type="dxa"/>
          </w:tcPr>
          <w:p w14:paraId="13430181" w14:textId="3769A729" w:rsidR="00537CC8" w:rsidRPr="0025250D" w:rsidRDefault="00537CC8" w:rsidP="00537CC8">
            <w:pPr>
              <w:bidi/>
              <w:spacing w:after="160"/>
              <w:rPr>
                <w:rtl/>
              </w:rPr>
            </w:pPr>
            <w:r w:rsidRPr="0025250D">
              <w:rPr>
                <w:rFonts w:hint="cs"/>
                <w:rtl/>
              </w:rPr>
              <w:t xml:space="preserve"> 5 هزار نفر </w:t>
            </w:r>
            <w:r w:rsidR="0063099E" w:rsidRPr="0025250D">
              <w:rPr>
                <w:rtl/>
              </w:rPr>
              <w:t>«</w:t>
            </w:r>
            <w:r w:rsidR="00D92F6E" w:rsidRPr="0025250D">
              <w:rPr>
                <w:rFonts w:hint="cs"/>
                <w:rtl/>
              </w:rPr>
              <w:t>آینده‌پژوه</w:t>
            </w:r>
            <w:r w:rsidR="0063099E" w:rsidRPr="0025250D">
              <w:rPr>
                <w:rtl/>
              </w:rPr>
              <w:t>»</w:t>
            </w:r>
          </w:p>
        </w:tc>
        <w:tc>
          <w:tcPr>
            <w:tcW w:w="4508" w:type="dxa"/>
          </w:tcPr>
          <w:p w14:paraId="0C9D70F5" w14:textId="523630DC" w:rsidR="00537CC8" w:rsidRPr="0025250D" w:rsidRDefault="00537CC8" w:rsidP="00537CC8">
            <w:pPr>
              <w:bidi/>
              <w:spacing w:after="160"/>
              <w:rPr>
                <w:rtl/>
              </w:rPr>
            </w:pPr>
            <w:r w:rsidRPr="0025250D">
              <w:rPr>
                <w:rFonts w:hint="cs"/>
                <w:rtl/>
              </w:rPr>
              <w:t xml:space="preserve">166 هزار نفر </w:t>
            </w:r>
            <w:r w:rsidR="0063099E" w:rsidRPr="0025250D">
              <w:rPr>
                <w:rtl/>
              </w:rPr>
              <w:t>«</w:t>
            </w:r>
            <w:r w:rsidRPr="0025250D">
              <w:rPr>
                <w:rFonts w:hint="cs"/>
                <w:rtl/>
              </w:rPr>
              <w:t>نوآوری و آینده</w:t>
            </w:r>
            <w:r w:rsidR="0063099E" w:rsidRPr="0025250D">
              <w:rPr>
                <w:rtl/>
              </w:rPr>
              <w:t>»</w:t>
            </w:r>
          </w:p>
        </w:tc>
      </w:tr>
      <w:tr w:rsidR="00537CC8" w:rsidRPr="0025250D" w14:paraId="425C71EB" w14:textId="77777777" w:rsidTr="0090736C">
        <w:tc>
          <w:tcPr>
            <w:tcW w:w="4508" w:type="dxa"/>
          </w:tcPr>
          <w:p w14:paraId="04C5763D" w14:textId="5615A06D" w:rsidR="00537CC8" w:rsidRPr="0025250D" w:rsidRDefault="00537CC8" w:rsidP="00537CC8">
            <w:pPr>
              <w:bidi/>
              <w:spacing w:after="160"/>
              <w:rPr>
                <w:rtl/>
              </w:rPr>
            </w:pPr>
            <w:r w:rsidRPr="0025250D">
              <w:rPr>
                <w:rFonts w:hint="cs"/>
                <w:rtl/>
              </w:rPr>
              <w:t>6</w:t>
            </w:r>
            <w:r w:rsidRPr="0025250D">
              <w:rPr>
                <w:rtl/>
              </w:rPr>
              <w:t xml:space="preserve"> </w:t>
            </w:r>
            <w:r w:rsidRPr="0025250D">
              <w:rPr>
                <w:rFonts w:hint="cs"/>
                <w:rtl/>
              </w:rPr>
              <w:t>هزار</w:t>
            </w:r>
            <w:r w:rsidRPr="0025250D">
              <w:rPr>
                <w:rtl/>
              </w:rPr>
              <w:t xml:space="preserve"> </w:t>
            </w:r>
            <w:r w:rsidRPr="0025250D">
              <w:rPr>
                <w:rFonts w:hint="cs"/>
                <w:rtl/>
              </w:rPr>
              <w:t>نفر</w:t>
            </w:r>
            <w:r w:rsidRPr="0025250D">
              <w:rPr>
                <w:rtl/>
              </w:rPr>
              <w:t xml:space="preserve"> </w:t>
            </w:r>
            <w:r w:rsidR="0063099E" w:rsidRPr="0025250D">
              <w:rPr>
                <w:rtl/>
              </w:rPr>
              <w:t>«</w:t>
            </w:r>
            <w:r w:rsidRPr="0025250D">
              <w:rPr>
                <w:rtl/>
              </w:rPr>
              <w:t>آینده‌نگاری</w:t>
            </w:r>
            <w:r w:rsidRPr="0025250D">
              <w:rPr>
                <w:rFonts w:hint="cs"/>
                <w:rtl/>
              </w:rPr>
              <w:t xml:space="preserve"> </w:t>
            </w:r>
            <w:r w:rsidR="00701E03" w:rsidRPr="0025250D">
              <w:rPr>
                <w:rFonts w:hint="cs"/>
                <w:rtl/>
              </w:rPr>
              <w:t>راهبردی</w:t>
            </w:r>
            <w:r w:rsidR="0063099E" w:rsidRPr="0025250D">
              <w:rPr>
                <w:rtl/>
              </w:rPr>
              <w:t>»</w:t>
            </w:r>
          </w:p>
        </w:tc>
        <w:tc>
          <w:tcPr>
            <w:tcW w:w="4508" w:type="dxa"/>
          </w:tcPr>
          <w:p w14:paraId="2655BDBB" w14:textId="1091124B" w:rsidR="00537CC8" w:rsidRPr="0025250D" w:rsidRDefault="00537CC8" w:rsidP="00537CC8">
            <w:pPr>
              <w:bidi/>
              <w:spacing w:after="160"/>
              <w:rPr>
                <w:rtl/>
              </w:rPr>
            </w:pPr>
            <w:r w:rsidRPr="0025250D">
              <w:rPr>
                <w:rFonts w:hint="cs"/>
                <w:rtl/>
              </w:rPr>
              <w:t>169</w:t>
            </w:r>
            <w:r w:rsidR="0063099E" w:rsidRPr="0025250D">
              <w:rPr>
                <w:rtl/>
              </w:rPr>
              <w:t xml:space="preserve"> هزار</w:t>
            </w:r>
            <w:r w:rsidRPr="0025250D">
              <w:rPr>
                <w:rtl/>
              </w:rPr>
              <w:t xml:space="preserve"> </w:t>
            </w:r>
            <w:r w:rsidRPr="0025250D">
              <w:rPr>
                <w:rFonts w:hint="cs"/>
                <w:rtl/>
              </w:rPr>
              <w:t>نفر</w:t>
            </w:r>
            <w:r w:rsidRPr="0025250D">
              <w:rPr>
                <w:rtl/>
              </w:rPr>
              <w:t xml:space="preserve"> </w:t>
            </w:r>
            <w:r w:rsidR="0063099E" w:rsidRPr="0025250D">
              <w:rPr>
                <w:rtl/>
              </w:rPr>
              <w:t>«</w:t>
            </w:r>
            <w:r w:rsidR="00B56611" w:rsidRPr="0025250D">
              <w:rPr>
                <w:rFonts w:hint="cs"/>
                <w:rtl/>
              </w:rPr>
              <w:t>چشم‌انداز</w:t>
            </w:r>
            <w:r w:rsidRPr="0025250D">
              <w:rPr>
                <w:rFonts w:hint="cs"/>
                <w:rtl/>
              </w:rPr>
              <w:t xml:space="preserve"> و آینده</w:t>
            </w:r>
            <w:r w:rsidR="0063099E" w:rsidRPr="0025250D">
              <w:rPr>
                <w:rtl/>
              </w:rPr>
              <w:t>»</w:t>
            </w:r>
          </w:p>
        </w:tc>
      </w:tr>
      <w:tr w:rsidR="00537CC8" w:rsidRPr="0025250D" w14:paraId="021D09A1" w14:textId="77777777" w:rsidTr="0090736C">
        <w:tc>
          <w:tcPr>
            <w:tcW w:w="4508" w:type="dxa"/>
          </w:tcPr>
          <w:p w14:paraId="6F8B2D0B" w14:textId="6DB12375" w:rsidR="00537CC8" w:rsidRPr="0025250D" w:rsidRDefault="00537CC8" w:rsidP="00537CC8">
            <w:pPr>
              <w:bidi/>
              <w:spacing w:after="160"/>
              <w:rPr>
                <w:rtl/>
              </w:rPr>
            </w:pPr>
            <w:r w:rsidRPr="0025250D">
              <w:rPr>
                <w:rFonts w:hint="cs"/>
                <w:rtl/>
              </w:rPr>
              <w:t>7 هزار</w:t>
            </w:r>
            <w:r w:rsidRPr="0025250D">
              <w:rPr>
                <w:rtl/>
              </w:rPr>
              <w:t xml:space="preserve"> </w:t>
            </w:r>
            <w:r w:rsidRPr="0025250D">
              <w:rPr>
                <w:rFonts w:hint="cs"/>
                <w:rtl/>
              </w:rPr>
              <w:t>نفر</w:t>
            </w:r>
            <w:r w:rsidRPr="0025250D">
              <w:rPr>
                <w:rtl/>
              </w:rPr>
              <w:t xml:space="preserve"> </w:t>
            </w:r>
            <w:r w:rsidR="0063099E" w:rsidRPr="0025250D">
              <w:rPr>
                <w:rtl/>
              </w:rPr>
              <w:t>«</w:t>
            </w:r>
            <w:r w:rsidRPr="0025250D">
              <w:rPr>
                <w:rtl/>
              </w:rPr>
              <w:t>ب</w:t>
            </w:r>
            <w:r w:rsidRPr="0025250D">
              <w:rPr>
                <w:rFonts w:hint="cs"/>
                <w:rtl/>
              </w:rPr>
              <w:t>ی</w:t>
            </w:r>
            <w:r w:rsidRPr="0025250D">
              <w:rPr>
                <w:rFonts w:hint="eastAsia"/>
                <w:rtl/>
              </w:rPr>
              <w:t>م‌سنج</w:t>
            </w:r>
            <w:r w:rsidRPr="0025250D">
              <w:rPr>
                <w:rFonts w:hint="cs"/>
                <w:rtl/>
              </w:rPr>
              <w:t>ی</w:t>
            </w:r>
            <w:r w:rsidRPr="0025250D">
              <w:rPr>
                <w:vertAlign w:val="superscript"/>
                <w:rtl/>
              </w:rPr>
              <w:footnoteReference w:id="1374"/>
            </w:r>
            <w:r w:rsidRPr="0025250D">
              <w:rPr>
                <w:rtl/>
              </w:rPr>
              <w:t xml:space="preserve"> </w:t>
            </w:r>
            <w:r w:rsidRPr="0025250D">
              <w:rPr>
                <w:rFonts w:hint="cs"/>
                <w:rtl/>
              </w:rPr>
              <w:t>و آینده</w:t>
            </w:r>
            <w:r w:rsidR="0063099E" w:rsidRPr="0025250D">
              <w:rPr>
                <w:rtl/>
              </w:rPr>
              <w:t>»</w:t>
            </w:r>
          </w:p>
        </w:tc>
        <w:tc>
          <w:tcPr>
            <w:tcW w:w="4508" w:type="dxa"/>
          </w:tcPr>
          <w:p w14:paraId="494BF5AF" w14:textId="339831E2" w:rsidR="00537CC8" w:rsidRPr="0025250D" w:rsidRDefault="00537CC8" w:rsidP="00537CC8">
            <w:pPr>
              <w:bidi/>
              <w:spacing w:after="160"/>
              <w:rPr>
                <w:rtl/>
              </w:rPr>
            </w:pPr>
            <w:r w:rsidRPr="0025250D">
              <w:rPr>
                <w:rFonts w:hint="cs"/>
                <w:rtl/>
              </w:rPr>
              <w:t xml:space="preserve">185 هزار نفر </w:t>
            </w:r>
            <w:r w:rsidR="0063099E" w:rsidRPr="0025250D">
              <w:rPr>
                <w:rtl/>
              </w:rPr>
              <w:t>«</w:t>
            </w:r>
            <w:r w:rsidRPr="0025250D">
              <w:rPr>
                <w:rFonts w:hint="cs"/>
                <w:rtl/>
              </w:rPr>
              <w:t>پیش‌بینی کننده</w:t>
            </w:r>
            <w:r w:rsidR="0063099E" w:rsidRPr="0025250D">
              <w:rPr>
                <w:rtl/>
              </w:rPr>
              <w:t>»</w:t>
            </w:r>
          </w:p>
        </w:tc>
      </w:tr>
      <w:tr w:rsidR="00537CC8" w:rsidRPr="0025250D" w14:paraId="09226B7B" w14:textId="77777777" w:rsidTr="0090736C">
        <w:tc>
          <w:tcPr>
            <w:tcW w:w="4508" w:type="dxa"/>
          </w:tcPr>
          <w:p w14:paraId="2F070ACE" w14:textId="2B608B05" w:rsidR="00537CC8" w:rsidRPr="0025250D" w:rsidRDefault="00537CC8" w:rsidP="00537CC8">
            <w:pPr>
              <w:bidi/>
              <w:spacing w:after="160"/>
              <w:rPr>
                <w:rtl/>
              </w:rPr>
            </w:pPr>
            <w:r w:rsidRPr="0025250D">
              <w:rPr>
                <w:rFonts w:hint="cs"/>
                <w:rtl/>
              </w:rPr>
              <w:t>8</w:t>
            </w:r>
            <w:r w:rsidRPr="0025250D">
              <w:rPr>
                <w:rtl/>
              </w:rPr>
              <w:t xml:space="preserve"> </w:t>
            </w:r>
            <w:r w:rsidRPr="0025250D">
              <w:rPr>
                <w:rFonts w:hint="cs"/>
                <w:rtl/>
              </w:rPr>
              <w:t>هزار</w:t>
            </w:r>
            <w:r w:rsidRPr="0025250D">
              <w:rPr>
                <w:rtl/>
              </w:rPr>
              <w:t xml:space="preserve"> </w:t>
            </w:r>
            <w:r w:rsidRPr="0025250D">
              <w:rPr>
                <w:rFonts w:hint="cs"/>
                <w:rtl/>
              </w:rPr>
              <w:t>نفر</w:t>
            </w:r>
            <w:r w:rsidRPr="0025250D">
              <w:rPr>
                <w:rtl/>
              </w:rPr>
              <w:t xml:space="preserve"> </w:t>
            </w:r>
            <w:r w:rsidR="0063099E" w:rsidRPr="0025250D">
              <w:rPr>
                <w:rtl/>
              </w:rPr>
              <w:t>«</w:t>
            </w:r>
            <w:r w:rsidRPr="0025250D">
              <w:rPr>
                <w:rFonts w:hint="cs"/>
                <w:rtl/>
              </w:rPr>
              <w:t>دلفی و آینده</w:t>
            </w:r>
            <w:r w:rsidR="0063099E" w:rsidRPr="0025250D">
              <w:rPr>
                <w:rtl/>
              </w:rPr>
              <w:t>»</w:t>
            </w:r>
          </w:p>
        </w:tc>
        <w:tc>
          <w:tcPr>
            <w:tcW w:w="4508" w:type="dxa"/>
          </w:tcPr>
          <w:p w14:paraId="3C3645D9" w14:textId="65BF3C85" w:rsidR="00537CC8" w:rsidRPr="0025250D" w:rsidRDefault="00537CC8" w:rsidP="00537CC8">
            <w:pPr>
              <w:bidi/>
              <w:spacing w:after="160"/>
              <w:rPr>
                <w:rtl/>
              </w:rPr>
            </w:pPr>
            <w:r w:rsidRPr="0025250D">
              <w:rPr>
                <w:rFonts w:hint="cs"/>
                <w:rtl/>
              </w:rPr>
              <w:t>293</w:t>
            </w:r>
            <w:r w:rsidRPr="0025250D">
              <w:rPr>
                <w:rtl/>
              </w:rPr>
              <w:t xml:space="preserve"> </w:t>
            </w:r>
            <w:r w:rsidRPr="0025250D">
              <w:rPr>
                <w:rFonts w:hint="cs"/>
                <w:rtl/>
              </w:rPr>
              <w:t>هزار</w:t>
            </w:r>
            <w:r w:rsidRPr="0025250D">
              <w:rPr>
                <w:rtl/>
              </w:rPr>
              <w:t xml:space="preserve"> </w:t>
            </w:r>
            <w:r w:rsidRPr="0025250D">
              <w:rPr>
                <w:rFonts w:hint="cs"/>
                <w:rtl/>
              </w:rPr>
              <w:t>نفر</w:t>
            </w:r>
            <w:r w:rsidRPr="0025250D">
              <w:rPr>
                <w:rtl/>
              </w:rPr>
              <w:t xml:space="preserve"> </w:t>
            </w:r>
            <w:r w:rsidR="0063099E" w:rsidRPr="0025250D">
              <w:rPr>
                <w:rtl/>
              </w:rPr>
              <w:t>«</w:t>
            </w:r>
            <w:r w:rsidRPr="0025250D">
              <w:rPr>
                <w:rFonts w:hint="cs"/>
                <w:rtl/>
              </w:rPr>
              <w:t>فرانامه ها</w:t>
            </w:r>
            <w:r w:rsidR="0063099E" w:rsidRPr="0025250D">
              <w:rPr>
                <w:rtl/>
              </w:rPr>
              <w:t>»</w:t>
            </w:r>
          </w:p>
        </w:tc>
      </w:tr>
      <w:tr w:rsidR="00537CC8" w:rsidRPr="0025250D" w14:paraId="4D2A3E9B" w14:textId="77777777" w:rsidTr="0090736C">
        <w:tc>
          <w:tcPr>
            <w:tcW w:w="4508" w:type="dxa"/>
          </w:tcPr>
          <w:p w14:paraId="0881F267" w14:textId="51CC7EB9" w:rsidR="00537CC8" w:rsidRPr="0025250D" w:rsidRDefault="00537CC8" w:rsidP="00537CC8">
            <w:pPr>
              <w:bidi/>
              <w:spacing w:after="160"/>
              <w:rPr>
                <w:rtl/>
              </w:rPr>
            </w:pPr>
            <w:r w:rsidRPr="0025250D">
              <w:rPr>
                <w:rFonts w:hint="cs"/>
                <w:rtl/>
              </w:rPr>
              <w:t>10</w:t>
            </w:r>
            <w:r w:rsidRPr="0025250D">
              <w:rPr>
                <w:rtl/>
              </w:rPr>
              <w:t xml:space="preserve"> </w:t>
            </w:r>
            <w:r w:rsidRPr="0025250D">
              <w:rPr>
                <w:rFonts w:hint="cs"/>
                <w:rtl/>
              </w:rPr>
              <w:t>هزار</w:t>
            </w:r>
            <w:r w:rsidRPr="0025250D">
              <w:rPr>
                <w:rtl/>
              </w:rPr>
              <w:t xml:space="preserve"> </w:t>
            </w:r>
            <w:r w:rsidRPr="0025250D">
              <w:rPr>
                <w:rFonts w:hint="cs"/>
                <w:rtl/>
              </w:rPr>
              <w:t>نفر</w:t>
            </w:r>
            <w:r w:rsidRPr="0025250D">
              <w:rPr>
                <w:rtl/>
              </w:rPr>
              <w:t xml:space="preserve"> </w:t>
            </w:r>
            <w:r w:rsidR="0063099E" w:rsidRPr="0025250D">
              <w:rPr>
                <w:rtl/>
              </w:rPr>
              <w:t>«</w:t>
            </w:r>
            <w:r w:rsidRPr="0025250D">
              <w:rPr>
                <w:rFonts w:hint="cs"/>
                <w:rtl/>
              </w:rPr>
              <w:t>احتمال و آینده</w:t>
            </w:r>
            <w:r w:rsidR="0063099E" w:rsidRPr="0025250D">
              <w:rPr>
                <w:rtl/>
              </w:rPr>
              <w:t>»</w:t>
            </w:r>
          </w:p>
        </w:tc>
        <w:tc>
          <w:tcPr>
            <w:tcW w:w="4508" w:type="dxa"/>
          </w:tcPr>
          <w:p w14:paraId="7C3D0D0A" w14:textId="5731C3D7" w:rsidR="00537CC8" w:rsidRPr="0025250D" w:rsidRDefault="00537CC8" w:rsidP="00537CC8">
            <w:pPr>
              <w:bidi/>
              <w:spacing w:after="160"/>
              <w:rPr>
                <w:rtl/>
              </w:rPr>
            </w:pPr>
            <w:r w:rsidRPr="0025250D">
              <w:rPr>
                <w:rFonts w:hint="cs"/>
                <w:rtl/>
              </w:rPr>
              <w:t>415</w:t>
            </w:r>
            <w:r w:rsidRPr="0025250D">
              <w:rPr>
                <w:rtl/>
              </w:rPr>
              <w:t xml:space="preserve"> </w:t>
            </w:r>
            <w:r w:rsidRPr="0025250D">
              <w:rPr>
                <w:rFonts w:hint="cs"/>
                <w:rtl/>
              </w:rPr>
              <w:t>هزار</w:t>
            </w:r>
            <w:r w:rsidRPr="0025250D">
              <w:rPr>
                <w:rtl/>
              </w:rPr>
              <w:t xml:space="preserve"> </w:t>
            </w:r>
            <w:r w:rsidRPr="0025250D">
              <w:rPr>
                <w:rFonts w:hint="cs"/>
                <w:rtl/>
              </w:rPr>
              <w:t>نفر</w:t>
            </w:r>
            <w:r w:rsidRPr="0025250D">
              <w:rPr>
                <w:rtl/>
              </w:rPr>
              <w:t xml:space="preserve"> </w:t>
            </w:r>
            <w:r w:rsidR="0063099E" w:rsidRPr="0025250D">
              <w:rPr>
                <w:rtl/>
              </w:rPr>
              <w:t>«</w:t>
            </w:r>
            <w:r w:rsidRPr="0025250D">
              <w:rPr>
                <w:rFonts w:hint="cs"/>
                <w:rtl/>
              </w:rPr>
              <w:t>خلق و آینده</w:t>
            </w:r>
            <w:r w:rsidR="0063099E" w:rsidRPr="0025250D">
              <w:rPr>
                <w:rtl/>
              </w:rPr>
              <w:t>»</w:t>
            </w:r>
          </w:p>
        </w:tc>
      </w:tr>
      <w:tr w:rsidR="00537CC8" w:rsidRPr="0025250D" w14:paraId="32BDA765" w14:textId="77777777" w:rsidTr="0090736C">
        <w:tc>
          <w:tcPr>
            <w:tcW w:w="4508" w:type="dxa"/>
          </w:tcPr>
          <w:p w14:paraId="68B09174" w14:textId="25204D0C" w:rsidR="00537CC8" w:rsidRPr="0025250D" w:rsidRDefault="00537CC8" w:rsidP="00537CC8">
            <w:pPr>
              <w:bidi/>
              <w:spacing w:after="160"/>
              <w:rPr>
                <w:rtl/>
              </w:rPr>
            </w:pPr>
            <w:r w:rsidRPr="0025250D">
              <w:rPr>
                <w:rFonts w:hint="cs"/>
                <w:rtl/>
              </w:rPr>
              <w:t>12</w:t>
            </w:r>
            <w:r w:rsidRPr="0025250D">
              <w:rPr>
                <w:rtl/>
              </w:rPr>
              <w:t xml:space="preserve"> </w:t>
            </w:r>
            <w:r w:rsidRPr="0025250D">
              <w:rPr>
                <w:rFonts w:hint="cs"/>
                <w:rtl/>
              </w:rPr>
              <w:t>هزار</w:t>
            </w:r>
            <w:r w:rsidRPr="0025250D">
              <w:rPr>
                <w:rtl/>
              </w:rPr>
              <w:t xml:space="preserve"> </w:t>
            </w:r>
            <w:r w:rsidRPr="0025250D">
              <w:rPr>
                <w:rFonts w:hint="cs"/>
                <w:rtl/>
              </w:rPr>
              <w:t>نفر</w:t>
            </w:r>
            <w:r w:rsidRPr="0025250D">
              <w:rPr>
                <w:rtl/>
              </w:rPr>
              <w:t xml:space="preserve"> </w:t>
            </w:r>
            <w:r w:rsidR="0063099E" w:rsidRPr="0025250D">
              <w:rPr>
                <w:rtl/>
              </w:rPr>
              <w:t>«</w:t>
            </w:r>
            <w:r w:rsidRPr="0025250D">
              <w:rPr>
                <w:rFonts w:hint="cs"/>
                <w:rtl/>
              </w:rPr>
              <w:t>عدم قطعیت و آینده</w:t>
            </w:r>
            <w:r w:rsidR="0063099E" w:rsidRPr="0025250D">
              <w:rPr>
                <w:rtl/>
              </w:rPr>
              <w:t>»</w:t>
            </w:r>
          </w:p>
        </w:tc>
        <w:tc>
          <w:tcPr>
            <w:tcW w:w="4508" w:type="dxa"/>
          </w:tcPr>
          <w:p w14:paraId="58C9047A" w14:textId="11EB9744" w:rsidR="00537CC8" w:rsidRPr="0025250D" w:rsidRDefault="00537CC8" w:rsidP="00516B66">
            <w:pPr>
              <w:bidi/>
              <w:spacing w:after="160"/>
              <w:rPr>
                <w:rtl/>
              </w:rPr>
            </w:pPr>
            <w:r w:rsidRPr="0025250D">
              <w:rPr>
                <w:rFonts w:hint="cs"/>
                <w:rtl/>
              </w:rPr>
              <w:t>500</w:t>
            </w:r>
            <w:r w:rsidRPr="0025250D">
              <w:rPr>
                <w:rtl/>
              </w:rPr>
              <w:t xml:space="preserve"> </w:t>
            </w:r>
            <w:r w:rsidRPr="0025250D">
              <w:rPr>
                <w:rFonts w:hint="cs"/>
                <w:rtl/>
              </w:rPr>
              <w:t>هزار</w:t>
            </w:r>
            <w:r w:rsidRPr="0025250D">
              <w:rPr>
                <w:rtl/>
              </w:rPr>
              <w:t xml:space="preserve"> </w:t>
            </w:r>
            <w:r w:rsidRPr="0025250D">
              <w:rPr>
                <w:rFonts w:hint="cs"/>
                <w:rtl/>
              </w:rPr>
              <w:t>نفر</w:t>
            </w:r>
            <w:r w:rsidRPr="0025250D">
              <w:rPr>
                <w:rtl/>
              </w:rPr>
              <w:t xml:space="preserve"> </w:t>
            </w:r>
            <w:r w:rsidR="0063099E" w:rsidRPr="0025250D">
              <w:rPr>
                <w:rtl/>
              </w:rPr>
              <w:t>«</w:t>
            </w:r>
            <w:r w:rsidR="00516B66" w:rsidRPr="0025250D">
              <w:rPr>
                <w:rFonts w:hint="cs"/>
                <w:rtl/>
              </w:rPr>
              <w:t>راهبردشناس</w:t>
            </w:r>
            <w:r w:rsidR="0063099E" w:rsidRPr="0025250D">
              <w:rPr>
                <w:rtl/>
              </w:rPr>
              <w:t>»</w:t>
            </w:r>
          </w:p>
        </w:tc>
      </w:tr>
      <w:tr w:rsidR="00537CC8" w:rsidRPr="0025250D" w14:paraId="178C410A" w14:textId="77777777" w:rsidTr="0090736C">
        <w:tc>
          <w:tcPr>
            <w:tcW w:w="4508" w:type="dxa"/>
          </w:tcPr>
          <w:p w14:paraId="30CB96D3" w14:textId="0BDCEAD2" w:rsidR="00537CC8" w:rsidRPr="0025250D" w:rsidRDefault="00537CC8" w:rsidP="00537CC8">
            <w:pPr>
              <w:bidi/>
              <w:spacing w:after="160"/>
              <w:rPr>
                <w:rtl/>
              </w:rPr>
            </w:pPr>
            <w:r w:rsidRPr="0025250D">
              <w:rPr>
                <w:rFonts w:hint="cs"/>
                <w:rtl/>
              </w:rPr>
              <w:t>24</w:t>
            </w:r>
            <w:r w:rsidRPr="0025250D">
              <w:rPr>
                <w:rtl/>
              </w:rPr>
              <w:t xml:space="preserve"> </w:t>
            </w:r>
            <w:r w:rsidRPr="0025250D">
              <w:rPr>
                <w:rFonts w:hint="cs"/>
                <w:rtl/>
              </w:rPr>
              <w:t>هزار</w:t>
            </w:r>
            <w:r w:rsidRPr="0025250D">
              <w:rPr>
                <w:rtl/>
              </w:rPr>
              <w:t xml:space="preserve"> </w:t>
            </w:r>
            <w:r w:rsidRPr="0025250D">
              <w:rPr>
                <w:rFonts w:hint="cs"/>
                <w:rtl/>
              </w:rPr>
              <w:t>نفر</w:t>
            </w:r>
            <w:r w:rsidRPr="0025250D">
              <w:rPr>
                <w:rtl/>
              </w:rPr>
              <w:t xml:space="preserve"> </w:t>
            </w:r>
            <w:r w:rsidR="0063099E" w:rsidRPr="0025250D">
              <w:rPr>
                <w:rtl/>
              </w:rPr>
              <w:t>«</w:t>
            </w:r>
            <w:r w:rsidRPr="0025250D">
              <w:rPr>
                <w:rtl/>
              </w:rPr>
              <w:t>آینده‌نگاری</w:t>
            </w:r>
            <w:r w:rsidR="0063099E" w:rsidRPr="0025250D">
              <w:rPr>
                <w:rtl/>
              </w:rPr>
              <w:t>»</w:t>
            </w:r>
          </w:p>
        </w:tc>
        <w:tc>
          <w:tcPr>
            <w:tcW w:w="4508" w:type="dxa"/>
          </w:tcPr>
          <w:p w14:paraId="0D65DAEC" w14:textId="7C2150A5" w:rsidR="00537CC8" w:rsidRPr="0025250D" w:rsidRDefault="00537CC8" w:rsidP="00537CC8">
            <w:pPr>
              <w:bidi/>
              <w:spacing w:after="160"/>
              <w:rPr>
                <w:rtl/>
              </w:rPr>
            </w:pPr>
            <w:r w:rsidRPr="0025250D">
              <w:rPr>
                <w:rFonts w:hint="cs"/>
                <w:rtl/>
              </w:rPr>
              <w:t>513</w:t>
            </w:r>
            <w:r w:rsidRPr="0025250D">
              <w:rPr>
                <w:rtl/>
              </w:rPr>
              <w:t xml:space="preserve"> </w:t>
            </w:r>
            <w:r w:rsidRPr="0025250D">
              <w:rPr>
                <w:rFonts w:hint="cs"/>
                <w:rtl/>
              </w:rPr>
              <w:t>هزار</w:t>
            </w:r>
            <w:r w:rsidRPr="0025250D">
              <w:rPr>
                <w:rtl/>
              </w:rPr>
              <w:t xml:space="preserve"> </w:t>
            </w:r>
            <w:r w:rsidRPr="0025250D">
              <w:rPr>
                <w:rFonts w:hint="cs"/>
                <w:rtl/>
              </w:rPr>
              <w:t>نفر</w:t>
            </w:r>
            <w:r w:rsidRPr="0025250D">
              <w:rPr>
                <w:rtl/>
              </w:rPr>
              <w:t xml:space="preserve"> </w:t>
            </w:r>
            <w:r w:rsidR="0063099E" w:rsidRPr="0025250D">
              <w:rPr>
                <w:rtl/>
              </w:rPr>
              <w:t>«</w:t>
            </w:r>
            <w:r w:rsidRPr="0025250D">
              <w:rPr>
                <w:rFonts w:hint="cs"/>
                <w:rtl/>
              </w:rPr>
              <w:t>اطلاعات و آینده</w:t>
            </w:r>
            <w:r w:rsidR="0063099E" w:rsidRPr="0025250D">
              <w:rPr>
                <w:rtl/>
              </w:rPr>
              <w:t>»</w:t>
            </w:r>
          </w:p>
        </w:tc>
      </w:tr>
      <w:tr w:rsidR="00537CC8" w:rsidRPr="0025250D" w14:paraId="6E49A5C6" w14:textId="77777777" w:rsidTr="0090736C">
        <w:tc>
          <w:tcPr>
            <w:tcW w:w="4508" w:type="dxa"/>
          </w:tcPr>
          <w:p w14:paraId="7AA7E409" w14:textId="149CDE3A" w:rsidR="00537CC8" w:rsidRPr="0025250D" w:rsidRDefault="00537CC8" w:rsidP="00537CC8">
            <w:pPr>
              <w:bidi/>
              <w:spacing w:after="160"/>
              <w:rPr>
                <w:rtl/>
              </w:rPr>
            </w:pPr>
            <w:r w:rsidRPr="0025250D">
              <w:rPr>
                <w:rFonts w:hint="cs"/>
                <w:rtl/>
              </w:rPr>
              <w:t>28</w:t>
            </w:r>
            <w:r w:rsidRPr="0025250D">
              <w:rPr>
                <w:rtl/>
              </w:rPr>
              <w:t xml:space="preserve"> </w:t>
            </w:r>
            <w:r w:rsidRPr="0025250D">
              <w:rPr>
                <w:rFonts w:hint="cs"/>
                <w:rtl/>
              </w:rPr>
              <w:t>هزار</w:t>
            </w:r>
            <w:r w:rsidRPr="0025250D">
              <w:rPr>
                <w:rtl/>
              </w:rPr>
              <w:t xml:space="preserve"> </w:t>
            </w:r>
            <w:r w:rsidRPr="0025250D">
              <w:rPr>
                <w:rFonts w:hint="cs"/>
                <w:rtl/>
              </w:rPr>
              <w:t>نفر</w:t>
            </w:r>
            <w:r w:rsidRPr="0025250D">
              <w:rPr>
                <w:rtl/>
              </w:rPr>
              <w:t xml:space="preserve"> </w:t>
            </w:r>
            <w:r w:rsidR="0063099E" w:rsidRPr="0025250D">
              <w:rPr>
                <w:rtl/>
              </w:rPr>
              <w:t>«</w:t>
            </w:r>
            <w:r w:rsidRPr="0025250D">
              <w:rPr>
                <w:rFonts w:hint="cs"/>
                <w:rtl/>
              </w:rPr>
              <w:t>پویش و آینده</w:t>
            </w:r>
            <w:r w:rsidR="0063099E" w:rsidRPr="0025250D">
              <w:rPr>
                <w:rtl/>
              </w:rPr>
              <w:t>»</w:t>
            </w:r>
          </w:p>
        </w:tc>
        <w:tc>
          <w:tcPr>
            <w:tcW w:w="4508" w:type="dxa"/>
          </w:tcPr>
          <w:p w14:paraId="15E43172" w14:textId="1491E638" w:rsidR="00537CC8" w:rsidRPr="0025250D" w:rsidRDefault="00537CC8" w:rsidP="00537CC8">
            <w:pPr>
              <w:bidi/>
              <w:spacing w:after="160"/>
            </w:pPr>
            <w:r w:rsidRPr="0025250D">
              <w:rPr>
                <w:rFonts w:hint="cs"/>
                <w:rtl/>
              </w:rPr>
              <w:t>610</w:t>
            </w:r>
            <w:r w:rsidRPr="0025250D">
              <w:rPr>
                <w:rtl/>
              </w:rPr>
              <w:t xml:space="preserve"> </w:t>
            </w:r>
            <w:r w:rsidRPr="0025250D">
              <w:rPr>
                <w:rFonts w:hint="cs"/>
                <w:rtl/>
              </w:rPr>
              <w:t>هزار</w:t>
            </w:r>
            <w:r w:rsidRPr="0025250D">
              <w:rPr>
                <w:rtl/>
              </w:rPr>
              <w:t xml:space="preserve"> </w:t>
            </w:r>
            <w:r w:rsidRPr="0025250D">
              <w:rPr>
                <w:rFonts w:hint="cs"/>
                <w:rtl/>
              </w:rPr>
              <w:t>نفر</w:t>
            </w:r>
            <w:r w:rsidRPr="0025250D">
              <w:rPr>
                <w:rtl/>
              </w:rPr>
              <w:t xml:space="preserve"> </w:t>
            </w:r>
            <w:r w:rsidR="0063099E" w:rsidRPr="0025250D">
              <w:rPr>
                <w:rtl/>
              </w:rPr>
              <w:t>«</w:t>
            </w:r>
            <w:r w:rsidRPr="0025250D">
              <w:rPr>
                <w:rFonts w:hint="cs"/>
                <w:rtl/>
              </w:rPr>
              <w:t>تحلیل و آینده</w:t>
            </w:r>
            <w:r w:rsidR="0063099E" w:rsidRPr="0025250D">
              <w:rPr>
                <w:rtl/>
              </w:rPr>
              <w:t>»</w:t>
            </w:r>
          </w:p>
        </w:tc>
      </w:tr>
      <w:tr w:rsidR="00537CC8" w:rsidRPr="0025250D" w14:paraId="70DB73C7" w14:textId="77777777" w:rsidTr="0090736C">
        <w:tc>
          <w:tcPr>
            <w:tcW w:w="4508" w:type="dxa"/>
          </w:tcPr>
          <w:p w14:paraId="1A698216" w14:textId="5F76D5A9" w:rsidR="00537CC8" w:rsidRPr="0025250D" w:rsidRDefault="00537CC8" w:rsidP="00537CC8">
            <w:pPr>
              <w:bidi/>
              <w:spacing w:after="160"/>
              <w:rPr>
                <w:rtl/>
              </w:rPr>
            </w:pPr>
            <w:r w:rsidRPr="0025250D">
              <w:rPr>
                <w:rFonts w:hint="cs"/>
                <w:rtl/>
              </w:rPr>
              <w:t>29</w:t>
            </w:r>
            <w:r w:rsidRPr="0025250D">
              <w:rPr>
                <w:rtl/>
              </w:rPr>
              <w:t xml:space="preserve"> </w:t>
            </w:r>
            <w:r w:rsidRPr="0025250D">
              <w:rPr>
                <w:rFonts w:hint="cs"/>
                <w:rtl/>
              </w:rPr>
              <w:t>هزار</w:t>
            </w:r>
            <w:r w:rsidRPr="0025250D">
              <w:rPr>
                <w:rtl/>
              </w:rPr>
              <w:t xml:space="preserve"> </w:t>
            </w:r>
            <w:r w:rsidRPr="0025250D">
              <w:rPr>
                <w:rFonts w:hint="cs"/>
                <w:rtl/>
              </w:rPr>
              <w:t>نفر</w:t>
            </w:r>
            <w:r w:rsidRPr="0025250D">
              <w:rPr>
                <w:rtl/>
              </w:rPr>
              <w:t xml:space="preserve"> </w:t>
            </w:r>
            <w:r w:rsidR="0063099E" w:rsidRPr="0025250D">
              <w:rPr>
                <w:rtl/>
              </w:rPr>
              <w:t>«</w:t>
            </w:r>
            <w:r w:rsidR="00563645" w:rsidRPr="0025250D">
              <w:rPr>
                <w:rFonts w:hint="cs"/>
                <w:rtl/>
              </w:rPr>
              <w:t>بدیل</w:t>
            </w:r>
            <w:r w:rsidRPr="0025250D">
              <w:rPr>
                <w:rFonts w:hint="cs"/>
                <w:rtl/>
              </w:rPr>
              <w:t>‌ها و آینده</w:t>
            </w:r>
            <w:r w:rsidR="0063099E" w:rsidRPr="0025250D">
              <w:rPr>
                <w:rtl/>
              </w:rPr>
              <w:t>»</w:t>
            </w:r>
          </w:p>
        </w:tc>
        <w:tc>
          <w:tcPr>
            <w:tcW w:w="4508" w:type="dxa"/>
          </w:tcPr>
          <w:p w14:paraId="5CB041DC" w14:textId="39EE53A8" w:rsidR="00537CC8" w:rsidRPr="0025250D" w:rsidRDefault="00537CC8" w:rsidP="00537CC8">
            <w:pPr>
              <w:bidi/>
              <w:spacing w:after="160"/>
            </w:pPr>
            <w:r w:rsidRPr="0025250D">
              <w:rPr>
                <w:rFonts w:hint="cs"/>
                <w:rtl/>
              </w:rPr>
              <w:t>690</w:t>
            </w:r>
            <w:r w:rsidRPr="0025250D">
              <w:rPr>
                <w:rtl/>
              </w:rPr>
              <w:t xml:space="preserve"> </w:t>
            </w:r>
            <w:r w:rsidRPr="0025250D">
              <w:rPr>
                <w:rFonts w:hint="cs"/>
                <w:rtl/>
              </w:rPr>
              <w:t>هزار</w:t>
            </w:r>
            <w:r w:rsidRPr="0025250D">
              <w:rPr>
                <w:rtl/>
              </w:rPr>
              <w:t xml:space="preserve"> </w:t>
            </w:r>
            <w:r w:rsidRPr="0025250D">
              <w:rPr>
                <w:rFonts w:hint="cs"/>
                <w:rtl/>
              </w:rPr>
              <w:t>نفر</w:t>
            </w:r>
            <w:r w:rsidRPr="0025250D">
              <w:rPr>
                <w:rtl/>
              </w:rPr>
              <w:t xml:space="preserve"> </w:t>
            </w:r>
            <w:r w:rsidR="0063099E" w:rsidRPr="0025250D">
              <w:rPr>
                <w:rtl/>
              </w:rPr>
              <w:t>«</w:t>
            </w:r>
            <w:r w:rsidR="00701E03" w:rsidRPr="0025250D">
              <w:rPr>
                <w:rFonts w:hint="cs"/>
                <w:rtl/>
              </w:rPr>
              <w:t>راهبرد</w:t>
            </w:r>
            <w:r w:rsidRPr="0025250D">
              <w:rPr>
                <w:rFonts w:hint="cs"/>
                <w:rtl/>
              </w:rPr>
              <w:t xml:space="preserve"> و آینده</w:t>
            </w:r>
            <w:r w:rsidR="0063099E" w:rsidRPr="0025250D">
              <w:rPr>
                <w:rtl/>
              </w:rPr>
              <w:t>»</w:t>
            </w:r>
          </w:p>
        </w:tc>
      </w:tr>
      <w:tr w:rsidR="00537CC8" w:rsidRPr="0025250D" w14:paraId="44B39ADD" w14:textId="77777777" w:rsidTr="0090736C">
        <w:tc>
          <w:tcPr>
            <w:tcW w:w="4508" w:type="dxa"/>
          </w:tcPr>
          <w:p w14:paraId="2DF597D9" w14:textId="302FFFED" w:rsidR="00537CC8" w:rsidRPr="0025250D" w:rsidRDefault="00537CC8" w:rsidP="00537CC8">
            <w:pPr>
              <w:bidi/>
              <w:spacing w:after="160"/>
              <w:rPr>
                <w:rtl/>
              </w:rPr>
            </w:pPr>
            <w:r w:rsidRPr="0025250D">
              <w:rPr>
                <w:rFonts w:hint="cs"/>
                <w:rtl/>
              </w:rPr>
              <w:t>48</w:t>
            </w:r>
            <w:r w:rsidRPr="0025250D">
              <w:rPr>
                <w:rtl/>
              </w:rPr>
              <w:t xml:space="preserve"> </w:t>
            </w:r>
            <w:r w:rsidRPr="0025250D">
              <w:rPr>
                <w:rFonts w:hint="cs"/>
                <w:rtl/>
              </w:rPr>
              <w:t>هزار</w:t>
            </w:r>
            <w:r w:rsidRPr="0025250D">
              <w:rPr>
                <w:rtl/>
              </w:rPr>
              <w:t xml:space="preserve"> </w:t>
            </w:r>
            <w:r w:rsidRPr="0025250D">
              <w:rPr>
                <w:rFonts w:hint="cs"/>
                <w:rtl/>
              </w:rPr>
              <w:t>نفر</w:t>
            </w:r>
            <w:r w:rsidRPr="0025250D">
              <w:rPr>
                <w:rtl/>
              </w:rPr>
              <w:t xml:space="preserve"> </w:t>
            </w:r>
            <w:r w:rsidR="0063099E" w:rsidRPr="0025250D">
              <w:rPr>
                <w:rtl/>
              </w:rPr>
              <w:t>«</w:t>
            </w:r>
            <w:r w:rsidRPr="0025250D">
              <w:rPr>
                <w:rFonts w:hint="cs"/>
                <w:rtl/>
              </w:rPr>
              <w:t>فرانامه‌ها و آینده</w:t>
            </w:r>
            <w:r w:rsidR="0063099E" w:rsidRPr="0025250D">
              <w:rPr>
                <w:rtl/>
              </w:rPr>
              <w:t>»</w:t>
            </w:r>
          </w:p>
        </w:tc>
        <w:tc>
          <w:tcPr>
            <w:tcW w:w="4508" w:type="dxa"/>
          </w:tcPr>
          <w:p w14:paraId="41CF31BB" w14:textId="554D9074" w:rsidR="00537CC8" w:rsidRPr="0025250D" w:rsidRDefault="00537CC8" w:rsidP="00537CC8">
            <w:pPr>
              <w:bidi/>
              <w:spacing w:after="160"/>
            </w:pPr>
            <w:r w:rsidRPr="0025250D">
              <w:rPr>
                <w:rFonts w:hint="cs"/>
                <w:rtl/>
              </w:rPr>
              <w:t>1 میلیون</w:t>
            </w:r>
            <w:r w:rsidRPr="0025250D">
              <w:rPr>
                <w:rtl/>
              </w:rPr>
              <w:t xml:space="preserve"> </w:t>
            </w:r>
            <w:r w:rsidRPr="0025250D">
              <w:rPr>
                <w:rFonts w:hint="cs"/>
                <w:rtl/>
              </w:rPr>
              <w:t>نفر</w:t>
            </w:r>
            <w:r w:rsidRPr="0025250D">
              <w:rPr>
                <w:rtl/>
              </w:rPr>
              <w:t xml:space="preserve"> </w:t>
            </w:r>
            <w:r w:rsidR="0063099E" w:rsidRPr="0025250D">
              <w:rPr>
                <w:rtl/>
              </w:rPr>
              <w:t>«</w:t>
            </w:r>
            <w:r w:rsidRPr="0025250D">
              <w:rPr>
                <w:rFonts w:hint="cs"/>
                <w:rtl/>
              </w:rPr>
              <w:t>برنامه‌ریزی و آینده</w:t>
            </w:r>
            <w:r w:rsidR="0063099E" w:rsidRPr="0025250D">
              <w:rPr>
                <w:rtl/>
              </w:rPr>
              <w:t>»</w:t>
            </w:r>
          </w:p>
        </w:tc>
      </w:tr>
      <w:tr w:rsidR="00537CC8" w:rsidRPr="0025250D" w14:paraId="279D6B02" w14:textId="77777777" w:rsidTr="0090736C">
        <w:tc>
          <w:tcPr>
            <w:tcW w:w="4508" w:type="dxa"/>
          </w:tcPr>
          <w:p w14:paraId="3948F883" w14:textId="559F442A" w:rsidR="00537CC8" w:rsidRPr="0025250D" w:rsidRDefault="00537CC8" w:rsidP="00537CC8">
            <w:pPr>
              <w:bidi/>
              <w:spacing w:after="160"/>
              <w:rPr>
                <w:rtl/>
              </w:rPr>
            </w:pPr>
            <w:r w:rsidRPr="0025250D">
              <w:rPr>
                <w:rFonts w:hint="cs"/>
                <w:rtl/>
              </w:rPr>
              <w:t>60</w:t>
            </w:r>
            <w:r w:rsidRPr="0025250D">
              <w:rPr>
                <w:rtl/>
              </w:rPr>
              <w:t xml:space="preserve"> </w:t>
            </w:r>
            <w:r w:rsidRPr="0025250D">
              <w:rPr>
                <w:rFonts w:hint="cs"/>
                <w:rtl/>
              </w:rPr>
              <w:t>هزار</w:t>
            </w:r>
            <w:r w:rsidRPr="0025250D">
              <w:rPr>
                <w:rtl/>
              </w:rPr>
              <w:t xml:space="preserve"> </w:t>
            </w:r>
            <w:r w:rsidRPr="0025250D">
              <w:rPr>
                <w:rFonts w:hint="cs"/>
                <w:rtl/>
              </w:rPr>
              <w:t>نفر</w:t>
            </w:r>
            <w:r w:rsidRPr="0025250D">
              <w:rPr>
                <w:rtl/>
              </w:rPr>
              <w:t xml:space="preserve"> </w:t>
            </w:r>
            <w:r w:rsidR="0063099E" w:rsidRPr="0025250D">
              <w:rPr>
                <w:rtl/>
              </w:rPr>
              <w:t>«</w:t>
            </w:r>
            <w:r w:rsidRPr="0025250D">
              <w:rPr>
                <w:rFonts w:hint="cs"/>
                <w:rtl/>
              </w:rPr>
              <w:t>روند و آینده</w:t>
            </w:r>
            <w:r w:rsidR="0063099E" w:rsidRPr="0025250D">
              <w:rPr>
                <w:rtl/>
              </w:rPr>
              <w:t>»</w:t>
            </w:r>
          </w:p>
        </w:tc>
        <w:tc>
          <w:tcPr>
            <w:tcW w:w="4508" w:type="dxa"/>
          </w:tcPr>
          <w:p w14:paraId="3F728677" w14:textId="0169F76F" w:rsidR="00537CC8" w:rsidRPr="0025250D" w:rsidRDefault="00537CC8" w:rsidP="00537CC8">
            <w:pPr>
              <w:bidi/>
              <w:spacing w:after="160"/>
            </w:pPr>
            <w:r w:rsidRPr="0025250D">
              <w:rPr>
                <w:rFonts w:hint="cs"/>
                <w:rtl/>
              </w:rPr>
              <w:t>1.5 میلیون</w:t>
            </w:r>
            <w:r w:rsidRPr="0025250D">
              <w:rPr>
                <w:rtl/>
              </w:rPr>
              <w:t xml:space="preserve"> </w:t>
            </w:r>
            <w:r w:rsidRPr="0025250D">
              <w:rPr>
                <w:rFonts w:hint="cs"/>
                <w:rtl/>
              </w:rPr>
              <w:t>نفر</w:t>
            </w:r>
            <w:r w:rsidRPr="0025250D">
              <w:rPr>
                <w:rtl/>
              </w:rPr>
              <w:t xml:space="preserve"> </w:t>
            </w:r>
            <w:r w:rsidR="0063099E" w:rsidRPr="0025250D">
              <w:rPr>
                <w:rtl/>
              </w:rPr>
              <w:t>«</w:t>
            </w:r>
            <w:r w:rsidRPr="0025250D">
              <w:rPr>
                <w:rFonts w:hint="cs"/>
                <w:rtl/>
              </w:rPr>
              <w:t>نوآوری</w:t>
            </w:r>
            <w:r w:rsidR="0063099E" w:rsidRPr="0025250D">
              <w:rPr>
                <w:rtl/>
              </w:rPr>
              <w:t>»</w:t>
            </w:r>
          </w:p>
        </w:tc>
      </w:tr>
      <w:tr w:rsidR="00537CC8" w:rsidRPr="0025250D" w14:paraId="003E62AC" w14:textId="77777777" w:rsidTr="0090736C">
        <w:tc>
          <w:tcPr>
            <w:tcW w:w="4508" w:type="dxa"/>
          </w:tcPr>
          <w:p w14:paraId="5D1EF528" w14:textId="7D1F8735" w:rsidR="00537CC8" w:rsidRPr="0025250D" w:rsidRDefault="00537CC8" w:rsidP="00537CC8">
            <w:pPr>
              <w:bidi/>
              <w:spacing w:after="160"/>
              <w:rPr>
                <w:rtl/>
              </w:rPr>
            </w:pPr>
            <w:r w:rsidRPr="0025250D">
              <w:rPr>
                <w:rFonts w:hint="cs"/>
                <w:rtl/>
              </w:rPr>
              <w:t>79</w:t>
            </w:r>
            <w:r w:rsidRPr="0025250D">
              <w:rPr>
                <w:rtl/>
              </w:rPr>
              <w:t xml:space="preserve"> </w:t>
            </w:r>
            <w:r w:rsidRPr="0025250D">
              <w:rPr>
                <w:rFonts w:hint="cs"/>
                <w:rtl/>
              </w:rPr>
              <w:t>هزار</w:t>
            </w:r>
            <w:r w:rsidRPr="0025250D">
              <w:rPr>
                <w:rtl/>
              </w:rPr>
              <w:t xml:space="preserve"> </w:t>
            </w:r>
            <w:r w:rsidRPr="0025250D">
              <w:rPr>
                <w:rFonts w:hint="cs"/>
                <w:rtl/>
              </w:rPr>
              <w:t>نفر</w:t>
            </w:r>
            <w:r w:rsidRPr="0025250D">
              <w:rPr>
                <w:rtl/>
              </w:rPr>
              <w:t xml:space="preserve"> </w:t>
            </w:r>
            <w:r w:rsidR="0063099E" w:rsidRPr="0025250D">
              <w:rPr>
                <w:rtl/>
              </w:rPr>
              <w:t>«</w:t>
            </w:r>
            <w:r w:rsidRPr="0025250D">
              <w:rPr>
                <w:rFonts w:hint="cs"/>
                <w:rtl/>
              </w:rPr>
              <w:t>پیش‌بینی</w:t>
            </w:r>
            <w:r w:rsidR="0063099E" w:rsidRPr="0025250D">
              <w:rPr>
                <w:rtl/>
              </w:rPr>
              <w:t>»</w:t>
            </w:r>
          </w:p>
        </w:tc>
        <w:tc>
          <w:tcPr>
            <w:tcW w:w="4508" w:type="dxa"/>
          </w:tcPr>
          <w:p w14:paraId="07AFD9AC" w14:textId="67461F32" w:rsidR="00537CC8" w:rsidRPr="0025250D" w:rsidRDefault="00537CC8" w:rsidP="00537CC8">
            <w:pPr>
              <w:bidi/>
              <w:spacing w:after="160"/>
            </w:pPr>
            <w:r w:rsidRPr="0025250D">
              <w:rPr>
                <w:rFonts w:hint="cs"/>
                <w:rtl/>
              </w:rPr>
              <w:t>2.1 میلیون</w:t>
            </w:r>
            <w:r w:rsidRPr="0025250D">
              <w:rPr>
                <w:rtl/>
              </w:rPr>
              <w:t xml:space="preserve"> </w:t>
            </w:r>
            <w:r w:rsidRPr="0025250D">
              <w:rPr>
                <w:rFonts w:hint="cs"/>
                <w:rtl/>
              </w:rPr>
              <w:t>نفر</w:t>
            </w:r>
            <w:r w:rsidRPr="0025250D">
              <w:rPr>
                <w:rtl/>
              </w:rPr>
              <w:t xml:space="preserve"> </w:t>
            </w:r>
            <w:r w:rsidR="0063099E" w:rsidRPr="0025250D">
              <w:rPr>
                <w:rtl/>
              </w:rPr>
              <w:t>«</w:t>
            </w:r>
            <w:r w:rsidRPr="0025250D">
              <w:rPr>
                <w:rFonts w:hint="cs"/>
                <w:rtl/>
              </w:rPr>
              <w:t>آینده</w:t>
            </w:r>
            <w:r w:rsidR="0063099E" w:rsidRPr="0025250D">
              <w:rPr>
                <w:rtl/>
              </w:rPr>
              <w:t>»</w:t>
            </w:r>
          </w:p>
        </w:tc>
      </w:tr>
      <w:tr w:rsidR="00537CC8" w:rsidRPr="0025250D" w14:paraId="053D6A1F" w14:textId="77777777" w:rsidTr="0090736C">
        <w:tc>
          <w:tcPr>
            <w:tcW w:w="4508" w:type="dxa"/>
          </w:tcPr>
          <w:p w14:paraId="745C0306" w14:textId="78713DD8" w:rsidR="00537CC8" w:rsidRPr="0025250D" w:rsidRDefault="00537CC8" w:rsidP="00537CC8">
            <w:pPr>
              <w:bidi/>
              <w:spacing w:after="160"/>
              <w:rPr>
                <w:rtl/>
              </w:rPr>
            </w:pPr>
            <w:r w:rsidRPr="0025250D">
              <w:rPr>
                <w:rFonts w:hint="cs"/>
                <w:rtl/>
              </w:rPr>
              <w:t>80</w:t>
            </w:r>
            <w:r w:rsidRPr="0025250D">
              <w:rPr>
                <w:rtl/>
              </w:rPr>
              <w:t xml:space="preserve"> </w:t>
            </w:r>
            <w:r w:rsidRPr="0025250D">
              <w:rPr>
                <w:rFonts w:hint="cs"/>
                <w:rtl/>
              </w:rPr>
              <w:t>هزار</w:t>
            </w:r>
            <w:r w:rsidRPr="0025250D">
              <w:rPr>
                <w:rtl/>
              </w:rPr>
              <w:t xml:space="preserve"> </w:t>
            </w:r>
            <w:r w:rsidRPr="0025250D">
              <w:rPr>
                <w:rFonts w:hint="cs"/>
                <w:rtl/>
              </w:rPr>
              <w:t>نفر</w:t>
            </w:r>
            <w:r w:rsidRPr="0025250D">
              <w:rPr>
                <w:rtl/>
              </w:rPr>
              <w:t xml:space="preserve"> </w:t>
            </w:r>
            <w:r w:rsidR="0063099E" w:rsidRPr="0025250D">
              <w:rPr>
                <w:rtl/>
              </w:rPr>
              <w:t>«</w:t>
            </w:r>
            <w:r w:rsidRPr="0025250D">
              <w:rPr>
                <w:rFonts w:hint="cs"/>
                <w:rtl/>
              </w:rPr>
              <w:t>آمار و آینده</w:t>
            </w:r>
            <w:r w:rsidR="0063099E" w:rsidRPr="0025250D">
              <w:rPr>
                <w:rtl/>
              </w:rPr>
              <w:t>»</w:t>
            </w:r>
          </w:p>
        </w:tc>
        <w:tc>
          <w:tcPr>
            <w:tcW w:w="4508" w:type="dxa"/>
          </w:tcPr>
          <w:p w14:paraId="08ECF346" w14:textId="0AEB91B5" w:rsidR="00537CC8" w:rsidRPr="0025250D" w:rsidRDefault="00537CC8" w:rsidP="00537CC8">
            <w:pPr>
              <w:bidi/>
              <w:spacing w:after="160"/>
            </w:pPr>
            <w:r w:rsidRPr="0025250D">
              <w:rPr>
                <w:rFonts w:hint="cs"/>
                <w:rtl/>
              </w:rPr>
              <w:t>2.3 میلیون</w:t>
            </w:r>
            <w:r w:rsidRPr="0025250D">
              <w:rPr>
                <w:rtl/>
              </w:rPr>
              <w:t xml:space="preserve"> </w:t>
            </w:r>
            <w:r w:rsidRPr="0025250D">
              <w:rPr>
                <w:rFonts w:hint="cs"/>
                <w:rtl/>
              </w:rPr>
              <w:t>نفر</w:t>
            </w:r>
            <w:r w:rsidRPr="0025250D">
              <w:rPr>
                <w:rtl/>
              </w:rPr>
              <w:t xml:space="preserve"> </w:t>
            </w:r>
            <w:r w:rsidR="0063099E" w:rsidRPr="0025250D">
              <w:rPr>
                <w:rtl/>
              </w:rPr>
              <w:t>«</w:t>
            </w:r>
            <w:r w:rsidRPr="0025250D">
              <w:rPr>
                <w:rFonts w:hint="cs"/>
                <w:rtl/>
              </w:rPr>
              <w:t>پیش‌نگری</w:t>
            </w:r>
            <w:r w:rsidR="0063099E" w:rsidRPr="0025250D">
              <w:rPr>
                <w:rtl/>
              </w:rPr>
              <w:t>»</w:t>
            </w:r>
          </w:p>
        </w:tc>
      </w:tr>
      <w:tr w:rsidR="00537CC8" w:rsidRPr="0025250D" w14:paraId="4B6C2DD2" w14:textId="77777777" w:rsidTr="0090736C">
        <w:tc>
          <w:tcPr>
            <w:tcW w:w="4508" w:type="dxa"/>
          </w:tcPr>
          <w:p w14:paraId="201CE8C0" w14:textId="3955BD4A" w:rsidR="00537CC8" w:rsidRPr="0025250D" w:rsidRDefault="00537CC8" w:rsidP="00537CC8">
            <w:pPr>
              <w:bidi/>
              <w:spacing w:after="160"/>
              <w:rPr>
                <w:rtl/>
              </w:rPr>
            </w:pPr>
            <w:r w:rsidRPr="0025250D">
              <w:rPr>
                <w:rFonts w:hint="cs"/>
                <w:rtl/>
              </w:rPr>
              <w:t>82</w:t>
            </w:r>
            <w:r w:rsidRPr="0025250D">
              <w:rPr>
                <w:rtl/>
              </w:rPr>
              <w:t xml:space="preserve"> </w:t>
            </w:r>
            <w:r w:rsidRPr="0025250D">
              <w:rPr>
                <w:rFonts w:hint="cs"/>
                <w:rtl/>
              </w:rPr>
              <w:t>هزار</w:t>
            </w:r>
            <w:r w:rsidRPr="0025250D">
              <w:rPr>
                <w:rtl/>
              </w:rPr>
              <w:t xml:space="preserve"> </w:t>
            </w:r>
            <w:r w:rsidRPr="0025250D">
              <w:rPr>
                <w:rFonts w:hint="cs"/>
                <w:rtl/>
              </w:rPr>
              <w:t>نفر</w:t>
            </w:r>
            <w:r w:rsidRPr="0025250D">
              <w:rPr>
                <w:rtl/>
              </w:rPr>
              <w:t xml:space="preserve"> </w:t>
            </w:r>
            <w:r w:rsidR="0063099E" w:rsidRPr="0025250D">
              <w:rPr>
                <w:rtl/>
              </w:rPr>
              <w:t>«</w:t>
            </w:r>
            <w:r w:rsidRPr="0025250D">
              <w:rPr>
                <w:rFonts w:hint="cs"/>
                <w:rtl/>
              </w:rPr>
              <w:t>پیش‌نگری و آینده</w:t>
            </w:r>
            <w:r w:rsidR="0063099E" w:rsidRPr="0025250D">
              <w:rPr>
                <w:rtl/>
              </w:rPr>
              <w:t>»</w:t>
            </w:r>
          </w:p>
        </w:tc>
        <w:tc>
          <w:tcPr>
            <w:tcW w:w="4508" w:type="dxa"/>
          </w:tcPr>
          <w:p w14:paraId="1019DE27" w14:textId="72CAA2F0" w:rsidR="00537CC8" w:rsidRPr="0025250D" w:rsidRDefault="00537CC8" w:rsidP="00537CC8">
            <w:pPr>
              <w:bidi/>
              <w:spacing w:after="160"/>
            </w:pPr>
            <w:r w:rsidRPr="0025250D">
              <w:rPr>
                <w:rFonts w:hint="cs"/>
                <w:rtl/>
              </w:rPr>
              <w:t>7.6 میلیون</w:t>
            </w:r>
            <w:r w:rsidRPr="0025250D">
              <w:rPr>
                <w:rtl/>
              </w:rPr>
              <w:t xml:space="preserve"> </w:t>
            </w:r>
            <w:r w:rsidRPr="0025250D">
              <w:rPr>
                <w:rFonts w:hint="cs"/>
                <w:rtl/>
              </w:rPr>
              <w:t>نفر</w:t>
            </w:r>
            <w:r w:rsidRPr="0025250D">
              <w:rPr>
                <w:rtl/>
              </w:rPr>
              <w:t xml:space="preserve"> </w:t>
            </w:r>
            <w:r w:rsidR="0063099E" w:rsidRPr="0025250D">
              <w:rPr>
                <w:rtl/>
              </w:rPr>
              <w:t>«</w:t>
            </w:r>
            <w:r w:rsidRPr="0025250D">
              <w:rPr>
                <w:rFonts w:hint="cs"/>
                <w:rtl/>
              </w:rPr>
              <w:t xml:space="preserve">برنامه‌ریزی </w:t>
            </w:r>
            <w:r w:rsidR="00701E03" w:rsidRPr="0025250D">
              <w:rPr>
                <w:rFonts w:hint="cs"/>
                <w:rtl/>
              </w:rPr>
              <w:t>راهبردی</w:t>
            </w:r>
            <w:r w:rsidR="0063099E" w:rsidRPr="0025250D">
              <w:rPr>
                <w:rtl/>
              </w:rPr>
              <w:t>»</w:t>
            </w:r>
          </w:p>
        </w:tc>
      </w:tr>
      <w:tr w:rsidR="00537CC8" w:rsidRPr="0025250D" w14:paraId="54DE217B" w14:textId="77777777" w:rsidTr="0090736C">
        <w:tc>
          <w:tcPr>
            <w:tcW w:w="4508" w:type="dxa"/>
          </w:tcPr>
          <w:p w14:paraId="1026BF36" w14:textId="4F32BC44" w:rsidR="00537CC8" w:rsidRPr="0025250D" w:rsidRDefault="00537CC8" w:rsidP="00537CC8">
            <w:pPr>
              <w:bidi/>
              <w:spacing w:after="160"/>
              <w:rPr>
                <w:rtl/>
              </w:rPr>
            </w:pPr>
            <w:r w:rsidRPr="0025250D">
              <w:rPr>
                <w:rFonts w:hint="cs"/>
                <w:rtl/>
              </w:rPr>
              <w:t>138</w:t>
            </w:r>
            <w:r w:rsidRPr="0025250D">
              <w:rPr>
                <w:rtl/>
              </w:rPr>
              <w:t xml:space="preserve"> </w:t>
            </w:r>
            <w:r w:rsidRPr="0025250D">
              <w:rPr>
                <w:rFonts w:hint="cs"/>
                <w:rtl/>
              </w:rPr>
              <w:t>هزار</w:t>
            </w:r>
            <w:r w:rsidRPr="0025250D">
              <w:rPr>
                <w:rtl/>
              </w:rPr>
              <w:t xml:space="preserve"> </w:t>
            </w:r>
            <w:r w:rsidRPr="0025250D">
              <w:rPr>
                <w:rFonts w:hint="cs"/>
                <w:rtl/>
              </w:rPr>
              <w:t>نفر</w:t>
            </w:r>
            <w:r w:rsidRPr="0025250D">
              <w:rPr>
                <w:rtl/>
              </w:rPr>
              <w:t xml:space="preserve"> </w:t>
            </w:r>
            <w:r w:rsidR="0063099E" w:rsidRPr="0025250D">
              <w:rPr>
                <w:rtl/>
              </w:rPr>
              <w:t>«</w:t>
            </w:r>
            <w:r w:rsidRPr="0025250D">
              <w:rPr>
                <w:rFonts w:hint="cs"/>
                <w:rtl/>
              </w:rPr>
              <w:t>مدیریت ریسک و آینده</w:t>
            </w:r>
            <w:r w:rsidR="0063099E" w:rsidRPr="0025250D">
              <w:rPr>
                <w:rtl/>
              </w:rPr>
              <w:t>»</w:t>
            </w:r>
          </w:p>
        </w:tc>
        <w:tc>
          <w:tcPr>
            <w:tcW w:w="4508" w:type="dxa"/>
          </w:tcPr>
          <w:p w14:paraId="39824000" w14:textId="4C8645FE" w:rsidR="00537CC8" w:rsidRPr="0025250D" w:rsidRDefault="00537CC8" w:rsidP="00537CC8">
            <w:pPr>
              <w:bidi/>
              <w:spacing w:after="160"/>
            </w:pPr>
            <w:r w:rsidRPr="0025250D">
              <w:rPr>
                <w:rFonts w:hint="cs"/>
                <w:rtl/>
              </w:rPr>
              <w:t>23.2 میلیون</w:t>
            </w:r>
            <w:r w:rsidRPr="0025250D">
              <w:rPr>
                <w:rtl/>
              </w:rPr>
              <w:t xml:space="preserve"> </w:t>
            </w:r>
            <w:r w:rsidRPr="0025250D">
              <w:rPr>
                <w:rFonts w:hint="cs"/>
                <w:rtl/>
              </w:rPr>
              <w:t>نفر</w:t>
            </w:r>
            <w:r w:rsidRPr="0025250D">
              <w:rPr>
                <w:rtl/>
              </w:rPr>
              <w:t xml:space="preserve"> </w:t>
            </w:r>
            <w:r w:rsidR="0063099E" w:rsidRPr="0025250D">
              <w:rPr>
                <w:rtl/>
              </w:rPr>
              <w:t>«</w:t>
            </w:r>
            <w:r w:rsidR="00701E03" w:rsidRPr="0025250D">
              <w:rPr>
                <w:rFonts w:hint="cs"/>
                <w:rtl/>
              </w:rPr>
              <w:t>راهبرد</w:t>
            </w:r>
            <w:r w:rsidR="0063099E" w:rsidRPr="0025250D">
              <w:rPr>
                <w:rtl/>
              </w:rPr>
              <w:t>»</w:t>
            </w:r>
          </w:p>
        </w:tc>
      </w:tr>
    </w:tbl>
    <w:p w14:paraId="68B75195" w14:textId="071DA9F9" w:rsidR="00537CC8" w:rsidRPr="0025250D" w:rsidRDefault="00537CC8" w:rsidP="00537CC8">
      <w:pPr>
        <w:rPr>
          <w:rtl/>
        </w:rPr>
      </w:pPr>
      <w:r w:rsidRPr="0025250D">
        <w:rPr>
          <w:rFonts w:hint="cs"/>
          <w:rtl/>
        </w:rPr>
        <w:t xml:space="preserve">[نکته: از آنجا که کلمه </w:t>
      </w:r>
      <w:r w:rsidR="0063099E" w:rsidRPr="0025250D">
        <w:rPr>
          <w:rtl/>
        </w:rPr>
        <w:t>«</w:t>
      </w:r>
      <w:r w:rsidRPr="0025250D">
        <w:rPr>
          <w:rFonts w:hint="cs"/>
          <w:rtl/>
        </w:rPr>
        <w:t>آینده ها</w:t>
      </w:r>
      <w:r w:rsidRPr="0025250D">
        <w:rPr>
          <w:vertAlign w:val="superscript"/>
          <w:rtl/>
        </w:rPr>
        <w:footnoteReference w:id="1375"/>
      </w:r>
      <w:r w:rsidR="0063099E" w:rsidRPr="0025250D">
        <w:rPr>
          <w:rtl/>
        </w:rPr>
        <w:t>»</w:t>
      </w:r>
      <w:r w:rsidRPr="0025250D">
        <w:rPr>
          <w:rFonts w:hint="cs"/>
          <w:rtl/>
        </w:rPr>
        <w:t xml:space="preserve"> یک اصطلاح با کاربرد دوگانه است که تنوعی از نتایج و تجارت مشتقات مالی</w:t>
      </w:r>
      <w:r w:rsidRPr="0025250D">
        <w:rPr>
          <w:vertAlign w:val="superscript"/>
          <w:rtl/>
        </w:rPr>
        <w:footnoteReference w:id="1376"/>
      </w:r>
      <w:r w:rsidRPr="0025250D">
        <w:rPr>
          <w:rFonts w:hint="cs"/>
          <w:rtl/>
        </w:rPr>
        <w:t xml:space="preserve"> (نوعی از </w:t>
      </w:r>
      <w:r w:rsidRPr="0025250D">
        <w:rPr>
          <w:rtl/>
        </w:rPr>
        <w:t>آینده‌نگاری</w:t>
      </w:r>
      <w:r w:rsidRPr="0025250D">
        <w:rPr>
          <w:rFonts w:hint="cs"/>
          <w:rtl/>
        </w:rPr>
        <w:t xml:space="preserve"> سرمایه‌گذاری) را توصیف می‌کند، از استفاده از این اصطلاح در تحقیقات خود اجتناب کردیم.]</w:t>
      </w:r>
    </w:p>
    <w:p w14:paraId="5BC1C287" w14:textId="787BE9B0" w:rsidR="00537CC8" w:rsidRPr="0025250D" w:rsidRDefault="00537CC8" w:rsidP="00701E03">
      <w:pPr>
        <w:rPr>
          <w:rtl/>
        </w:rPr>
      </w:pPr>
      <w:r w:rsidRPr="0025250D">
        <w:rPr>
          <w:rFonts w:hint="cs"/>
          <w:rtl/>
        </w:rPr>
        <w:t xml:space="preserve">بنابراین جامعه </w:t>
      </w:r>
      <w:r w:rsidRPr="0025250D">
        <w:rPr>
          <w:rtl/>
        </w:rPr>
        <w:t>آینده‌نگاری</w:t>
      </w:r>
      <w:r w:rsidRPr="0025250D">
        <w:rPr>
          <w:rFonts w:hint="cs"/>
          <w:rtl/>
        </w:rPr>
        <w:t xml:space="preserve"> ما وقتی مجموعه گسترده‌ای از کار </w:t>
      </w:r>
      <w:r w:rsidRPr="0025250D">
        <w:rPr>
          <w:rtl/>
        </w:rPr>
        <w:t>آینده‌نگاری</w:t>
      </w:r>
      <w:r w:rsidRPr="0025250D">
        <w:rPr>
          <w:rFonts w:hint="cs"/>
          <w:rtl/>
        </w:rPr>
        <w:t xml:space="preserve"> سازمانی را در بر بگیریم چقدر بزرگ خواهد شد؟ با در نظر گرفتن نیم میلیون نفر </w:t>
      </w:r>
      <w:r w:rsidR="00701E03" w:rsidRPr="0025250D">
        <w:rPr>
          <w:rFonts w:hint="cs"/>
          <w:rtl/>
        </w:rPr>
        <w:t>راهبردشناس</w:t>
      </w:r>
      <w:r w:rsidRPr="0025250D">
        <w:rPr>
          <w:rFonts w:hint="cs"/>
          <w:rtl/>
        </w:rPr>
        <w:t xml:space="preserve"> در بالا</w:t>
      </w:r>
      <w:r w:rsidR="00DA0904" w:rsidRPr="0025250D">
        <w:rPr>
          <w:rFonts w:hint="cs"/>
          <w:rtl/>
        </w:rPr>
        <w:t xml:space="preserve"> و</w:t>
      </w:r>
      <w:r w:rsidRPr="0025250D">
        <w:rPr>
          <w:rFonts w:hint="cs"/>
          <w:rtl/>
        </w:rPr>
        <w:t xml:space="preserve"> دو برابر کردن آن برای رسیدن به تعداد جهانی</w:t>
      </w:r>
      <w:r w:rsidR="00DA0904" w:rsidRPr="0025250D">
        <w:rPr>
          <w:rFonts w:hint="cs"/>
          <w:rtl/>
        </w:rPr>
        <w:t xml:space="preserve"> و</w:t>
      </w:r>
      <w:r w:rsidRPr="0025250D">
        <w:rPr>
          <w:rFonts w:hint="cs"/>
          <w:rtl/>
        </w:rPr>
        <w:t xml:space="preserve"> سپس ده برابر کردن آن برای نمایندگی از بقیه تخصص‌ها (با محبوبیت</w:t>
      </w:r>
      <w:r w:rsidR="00BB406C" w:rsidRPr="0025250D">
        <w:rPr>
          <w:rFonts w:hint="cs"/>
          <w:rtl/>
        </w:rPr>
        <w:t xml:space="preserve"> کم‌تر</w:t>
      </w:r>
      <w:r w:rsidRPr="0025250D">
        <w:rPr>
          <w:rFonts w:hint="cs"/>
          <w:rtl/>
        </w:rPr>
        <w:t xml:space="preserve">)، حدس می‌زنیم که تقریبا 10 میلیون نفر در سراسر جهان وجود دارند که می‌توانند خود را به عنوان متخصصین </w:t>
      </w:r>
      <w:r w:rsidRPr="0025250D">
        <w:rPr>
          <w:rtl/>
        </w:rPr>
        <w:t>آینده‌نگاری</w:t>
      </w:r>
      <w:r w:rsidRPr="0025250D">
        <w:rPr>
          <w:rFonts w:hint="cs"/>
          <w:rtl/>
        </w:rPr>
        <w:t xml:space="preserve"> تمام وقت معرفی کنند. ما همچنین حدس می‌زنیم که حداقل تعداد افرادی که از کلمه </w:t>
      </w:r>
      <w:r w:rsidR="00701E03" w:rsidRPr="0025250D">
        <w:rPr>
          <w:rFonts w:hint="cs"/>
          <w:rtl/>
        </w:rPr>
        <w:t>راهبرد</w:t>
      </w:r>
      <w:r w:rsidRPr="0025250D">
        <w:rPr>
          <w:rFonts w:hint="cs"/>
          <w:rtl/>
        </w:rPr>
        <w:t xml:space="preserve"> استفاده می‌کنند چهار برابر بیش‌تر است یا تقریبا 100 میلیون نفر متخصص </w:t>
      </w:r>
      <w:r w:rsidRPr="0025250D">
        <w:rPr>
          <w:rtl/>
        </w:rPr>
        <w:t>آینده‌نگاری</w:t>
      </w:r>
      <w:r w:rsidRPr="0025250D">
        <w:rPr>
          <w:rFonts w:hint="cs"/>
          <w:rtl/>
        </w:rPr>
        <w:t xml:space="preserve"> پاره وقت وجود دارند که می‌توانند خود را به عنوان انجام دهنده نوعی از کار </w:t>
      </w:r>
      <w:r w:rsidRPr="0025250D">
        <w:rPr>
          <w:rtl/>
        </w:rPr>
        <w:t>آینده‌نگاری</w:t>
      </w:r>
      <w:r w:rsidRPr="0025250D">
        <w:rPr>
          <w:rFonts w:hint="cs"/>
          <w:rtl/>
        </w:rPr>
        <w:t xml:space="preserve"> رسمی معرفی کنند. این یک جامعه بسیار بزرگ است! که منتظر ما برای شبکه سازی بهتر و آموزش بهتر است.</w:t>
      </w:r>
    </w:p>
    <w:p w14:paraId="3350A97C" w14:textId="77777777" w:rsidR="00537CC8" w:rsidRPr="0025250D" w:rsidRDefault="00537CC8" w:rsidP="00537CC8">
      <w:pPr>
        <w:rPr>
          <w:rtl/>
        </w:rPr>
      </w:pPr>
    </w:p>
    <w:p w14:paraId="3882B7DD" w14:textId="77777777" w:rsidR="00537CC8" w:rsidRPr="0025250D" w:rsidRDefault="00537CC8" w:rsidP="00537CC8">
      <w:pPr>
        <w:rPr>
          <w:rtl/>
        </w:rPr>
      </w:pPr>
    </w:p>
    <w:p w14:paraId="09D46D82" w14:textId="77777777" w:rsidR="00537CC8" w:rsidRPr="0025250D" w:rsidRDefault="00537CC8" w:rsidP="00537CC8">
      <w:pPr>
        <w:rPr>
          <w:rtl/>
        </w:rPr>
      </w:pPr>
    </w:p>
    <w:p w14:paraId="3579CDFF" w14:textId="77777777" w:rsidR="00537CC8" w:rsidRPr="0025250D" w:rsidRDefault="00537CC8" w:rsidP="00537CC8">
      <w:pPr>
        <w:rPr>
          <w:rtl/>
        </w:rPr>
      </w:pPr>
    </w:p>
    <w:p w14:paraId="1CE08B34" w14:textId="77777777" w:rsidR="00537CC8" w:rsidRPr="0025250D" w:rsidRDefault="00537CC8" w:rsidP="00537CC8">
      <w:pPr>
        <w:rPr>
          <w:rtl/>
        </w:rPr>
      </w:pPr>
    </w:p>
    <w:p w14:paraId="6D48FC04" w14:textId="77777777" w:rsidR="00537CC8" w:rsidRPr="0025250D" w:rsidRDefault="00537CC8" w:rsidP="00537CC8">
      <w:pPr>
        <w:rPr>
          <w:rtl/>
        </w:rPr>
      </w:pPr>
    </w:p>
    <w:p w14:paraId="23F91326" w14:textId="77777777" w:rsidR="00537CC8" w:rsidRPr="0025250D" w:rsidRDefault="00537CC8" w:rsidP="000A674B">
      <w:pPr>
        <w:pStyle w:val="Heading2"/>
        <w:rPr>
          <w:rtl/>
        </w:rPr>
      </w:pPr>
      <w:bookmarkStart w:id="40" w:name="_Toc127831305"/>
      <w:r w:rsidRPr="0025250D">
        <w:rPr>
          <w:rFonts w:hint="cs"/>
          <w:rtl/>
        </w:rPr>
        <w:t>خودمان را چه می‌نامیم؟</w:t>
      </w:r>
      <w:bookmarkEnd w:id="40"/>
    </w:p>
    <w:p w14:paraId="25606FA6" w14:textId="07E4B704" w:rsidR="00537CC8" w:rsidRPr="0025250D" w:rsidRDefault="00537CC8" w:rsidP="00537CC8">
      <w:pPr>
        <w:rPr>
          <w:rtl/>
        </w:rPr>
      </w:pPr>
      <w:r w:rsidRPr="0025250D">
        <w:rPr>
          <w:rFonts w:hint="cs"/>
          <w:rtl/>
        </w:rPr>
        <w:t>انگرام ویوور</w:t>
      </w:r>
      <w:r w:rsidRPr="0025250D">
        <w:rPr>
          <w:vertAlign w:val="superscript"/>
          <w:rtl/>
        </w:rPr>
        <w:footnoteReference w:id="1377"/>
      </w:r>
      <w:r w:rsidRPr="0025250D">
        <w:rPr>
          <w:rFonts w:hint="cs"/>
          <w:rtl/>
        </w:rPr>
        <w:t xml:space="preserve"> شرکت گوگل ابزاری است که تعداد تکرار کلمات را نسبت به تعداد همه کتاب‌های منتشر شده بین سال‌های 1500 و 2008 که برای دسترسی عمومی دیجیتالی </w:t>
      </w:r>
      <w:r w:rsidR="00185F3E" w:rsidRPr="0025250D">
        <w:rPr>
          <w:rFonts w:hint="cs"/>
          <w:rtl/>
        </w:rPr>
        <w:t>شده‌اند</w:t>
      </w:r>
      <w:r w:rsidRPr="0025250D">
        <w:rPr>
          <w:rFonts w:hint="cs"/>
          <w:rtl/>
        </w:rPr>
        <w:t>، نشان می‌دهد. در 30 میلیون کتاب دیجیتالی در سال 2015 (که حدود 23 درصد از 130 میلیون کتاب موجود را بازنمایی می‌کنند)، روندهای موجود درمورد اصطلاحات مرتبط با آینده را یافتیم:</w:t>
      </w:r>
    </w:p>
    <w:p w14:paraId="7FA7FAC8" w14:textId="7717050B" w:rsidR="00537CC8" w:rsidRPr="0025250D" w:rsidRDefault="0063099E" w:rsidP="0063099E">
      <w:pPr>
        <w:numPr>
          <w:ilvl w:val="0"/>
          <w:numId w:val="24"/>
        </w:numPr>
      </w:pPr>
      <w:r w:rsidRPr="0025250D">
        <w:rPr>
          <w:rFonts w:hint="cs"/>
          <w:rtl/>
        </w:rPr>
        <w:t>«</w:t>
      </w:r>
      <w:r w:rsidR="00537CC8" w:rsidRPr="0025250D">
        <w:rPr>
          <w:rtl/>
        </w:rPr>
        <w:t>آ</w:t>
      </w:r>
      <w:r w:rsidR="00537CC8" w:rsidRPr="0025250D">
        <w:rPr>
          <w:rFonts w:hint="cs"/>
          <w:rtl/>
        </w:rPr>
        <w:t>ی</w:t>
      </w:r>
      <w:r w:rsidR="00537CC8" w:rsidRPr="0025250D">
        <w:rPr>
          <w:rFonts w:hint="eastAsia"/>
          <w:rtl/>
        </w:rPr>
        <w:t>نده‌شناس</w:t>
      </w:r>
      <w:r w:rsidR="00537CC8" w:rsidRPr="0025250D">
        <w:rPr>
          <w:rFonts w:hint="cs"/>
          <w:rtl/>
        </w:rPr>
        <w:t>ی</w:t>
      </w:r>
      <w:r w:rsidRPr="0025250D">
        <w:rPr>
          <w:rFonts w:hint="cs"/>
          <w:rtl/>
        </w:rPr>
        <w:t>»</w:t>
      </w:r>
      <w:r w:rsidR="00537CC8" w:rsidRPr="0025250D">
        <w:rPr>
          <w:rFonts w:hint="cs"/>
          <w:rtl/>
        </w:rPr>
        <w:t xml:space="preserve"> در اواخر دهه 1970 اوج کاربرد را داشت و این کلمه 80 درصد از استفاده نسبی خود را امروزه از دست داده است. این کلمه هنوز در مکان‌هایی در اروپا پرکاربرد باقی مانده است.</w:t>
      </w:r>
    </w:p>
    <w:p w14:paraId="6A4CD5CC" w14:textId="5AD7C770" w:rsidR="00537CC8" w:rsidRPr="0025250D" w:rsidRDefault="0063099E" w:rsidP="00492C47">
      <w:pPr>
        <w:numPr>
          <w:ilvl w:val="0"/>
          <w:numId w:val="24"/>
        </w:numPr>
      </w:pPr>
      <w:r w:rsidRPr="0025250D">
        <w:rPr>
          <w:rtl/>
        </w:rPr>
        <w:t>«</w:t>
      </w:r>
      <w:r w:rsidR="00D92F6E" w:rsidRPr="0025250D">
        <w:rPr>
          <w:rFonts w:hint="cs"/>
          <w:rtl/>
        </w:rPr>
        <w:t>آینده‌پژوه</w:t>
      </w:r>
      <w:r w:rsidR="00537CC8" w:rsidRPr="0025250D">
        <w:rPr>
          <w:rFonts w:hint="cs"/>
          <w:rtl/>
        </w:rPr>
        <w:t>ی</w:t>
      </w:r>
      <w:r w:rsidRPr="0025250D">
        <w:rPr>
          <w:rtl/>
        </w:rPr>
        <w:t>»</w:t>
      </w:r>
      <w:r w:rsidR="00537CC8" w:rsidRPr="0025250D">
        <w:rPr>
          <w:rFonts w:hint="cs"/>
          <w:rtl/>
        </w:rPr>
        <w:t xml:space="preserve"> در اواخر دهه 1980 بیش‌ترین کاربرد را داشت و امروزه تقریبا محبوبیت آن به نصف رسیده است (یک کاهش 50 درصدی).</w:t>
      </w:r>
    </w:p>
    <w:p w14:paraId="20B2D8CA" w14:textId="76E51317" w:rsidR="00537CC8" w:rsidRPr="0025250D" w:rsidRDefault="0063099E" w:rsidP="00492C47">
      <w:pPr>
        <w:numPr>
          <w:ilvl w:val="0"/>
          <w:numId w:val="24"/>
        </w:numPr>
      </w:pPr>
      <w:r w:rsidRPr="0025250D">
        <w:rPr>
          <w:rtl/>
        </w:rPr>
        <w:t>«</w:t>
      </w:r>
      <w:r w:rsidR="00D92F6E" w:rsidRPr="0025250D">
        <w:rPr>
          <w:rFonts w:hint="cs"/>
          <w:rtl/>
        </w:rPr>
        <w:t>آینده‌پژوه</w:t>
      </w:r>
      <w:r w:rsidRPr="0025250D">
        <w:rPr>
          <w:rtl/>
        </w:rPr>
        <w:t>»</w:t>
      </w:r>
      <w:r w:rsidR="00537CC8" w:rsidRPr="0025250D">
        <w:rPr>
          <w:rFonts w:hint="cs"/>
          <w:rtl/>
        </w:rPr>
        <w:t xml:space="preserve"> به سرعت از قرن نوزدهم تا سال 2000 رشد کرد و شاهد یک کاهش 20 درصدی بوده است و امروزه بار دیگر در حال رشد می‌باشد.</w:t>
      </w:r>
    </w:p>
    <w:p w14:paraId="08338385" w14:textId="207BEA93" w:rsidR="00537CC8" w:rsidRPr="0025250D" w:rsidRDefault="0063099E" w:rsidP="00492C47">
      <w:pPr>
        <w:numPr>
          <w:ilvl w:val="0"/>
          <w:numId w:val="24"/>
        </w:numPr>
      </w:pPr>
      <w:r w:rsidRPr="0025250D">
        <w:rPr>
          <w:rtl/>
        </w:rPr>
        <w:t>«</w:t>
      </w:r>
      <w:r w:rsidR="00537CC8" w:rsidRPr="0025250D">
        <w:rPr>
          <w:rtl/>
        </w:rPr>
        <w:t>آینده‌نگاری</w:t>
      </w:r>
      <w:r w:rsidRPr="0025250D">
        <w:rPr>
          <w:rtl/>
        </w:rPr>
        <w:t>»</w:t>
      </w:r>
      <w:r w:rsidR="00537CC8" w:rsidRPr="0025250D">
        <w:rPr>
          <w:rFonts w:hint="cs"/>
          <w:rtl/>
        </w:rPr>
        <w:t xml:space="preserve"> در اواخر قرن 15، بار دیگر در دهه 1650 و اوایل قرن 18 بیش‌ترین کاربرد را داشته است، از آن زمان نیمی از محبوبیت خود را از دست داده است و از سال 2000 تا 2008 به میزان 23 درصد رشد داشته و هنوز هم به رشد خود ادامه می‌دهد.</w:t>
      </w:r>
    </w:p>
    <w:p w14:paraId="3B493964" w14:textId="0180EC67" w:rsidR="00537CC8" w:rsidRPr="0025250D" w:rsidRDefault="0063099E" w:rsidP="00492C47">
      <w:pPr>
        <w:numPr>
          <w:ilvl w:val="0"/>
          <w:numId w:val="24"/>
        </w:numPr>
      </w:pPr>
      <w:r w:rsidRPr="0025250D">
        <w:rPr>
          <w:rtl/>
        </w:rPr>
        <w:t>«</w:t>
      </w:r>
      <w:r w:rsidR="00537CC8" w:rsidRPr="0025250D">
        <w:rPr>
          <w:rFonts w:hint="cs"/>
          <w:rtl/>
        </w:rPr>
        <w:t>آینده</w:t>
      </w:r>
      <w:r w:rsidRPr="0025250D">
        <w:rPr>
          <w:rtl/>
        </w:rPr>
        <w:t>»</w:t>
      </w:r>
      <w:r w:rsidR="00537CC8" w:rsidRPr="0025250D">
        <w:rPr>
          <w:rFonts w:hint="cs"/>
          <w:rtl/>
        </w:rPr>
        <w:t xml:space="preserve"> تنها کلمه‌ای است که همواره </w:t>
      </w:r>
      <w:r w:rsidR="00DA0904" w:rsidRPr="0025250D">
        <w:rPr>
          <w:rFonts w:hint="cs"/>
          <w:rtl/>
        </w:rPr>
        <w:t>از دهه 1550</w:t>
      </w:r>
      <w:r w:rsidR="00537CC8" w:rsidRPr="0025250D">
        <w:rPr>
          <w:rFonts w:hint="cs"/>
          <w:rtl/>
        </w:rPr>
        <w:t xml:space="preserve">، هرچند به آرامی، </w:t>
      </w:r>
      <w:r w:rsidR="00DA0904" w:rsidRPr="0025250D">
        <w:rPr>
          <w:rFonts w:hint="cs"/>
          <w:rtl/>
        </w:rPr>
        <w:t xml:space="preserve">درحال رشد </w:t>
      </w:r>
      <w:r w:rsidR="00537CC8" w:rsidRPr="0025250D">
        <w:rPr>
          <w:rFonts w:hint="cs"/>
          <w:rtl/>
        </w:rPr>
        <w:t xml:space="preserve">بوده است. امروزه تقریبا </w:t>
      </w:r>
      <w:r w:rsidR="00DA0904" w:rsidRPr="0025250D">
        <w:rPr>
          <w:rFonts w:hint="cs"/>
          <w:rtl/>
        </w:rPr>
        <w:t>به میزان</w:t>
      </w:r>
      <w:r w:rsidR="00537CC8" w:rsidRPr="0025250D">
        <w:rPr>
          <w:rFonts w:hint="cs"/>
          <w:rtl/>
        </w:rPr>
        <w:t xml:space="preserve"> </w:t>
      </w:r>
      <w:r w:rsidR="00DA0904" w:rsidRPr="0025250D">
        <w:rPr>
          <w:rFonts w:hint="cs"/>
          <w:rtl/>
        </w:rPr>
        <w:t>دوبرابر</w:t>
      </w:r>
      <w:r w:rsidR="00537CC8" w:rsidRPr="0025250D">
        <w:rPr>
          <w:rFonts w:hint="cs"/>
          <w:rtl/>
        </w:rPr>
        <w:t xml:space="preserve"> بحث‌های اجتماعی </w:t>
      </w:r>
      <w:r w:rsidR="00DA0904" w:rsidRPr="0025250D">
        <w:rPr>
          <w:rFonts w:hint="cs"/>
          <w:rtl/>
        </w:rPr>
        <w:t>در</w:t>
      </w:r>
      <w:r w:rsidR="00537CC8" w:rsidRPr="0025250D">
        <w:rPr>
          <w:rFonts w:hint="cs"/>
          <w:rtl/>
        </w:rPr>
        <w:t xml:space="preserve"> دهه 1650، یعنی در آغاز دوره روشنگری اروپا محبوبیت دارد.</w:t>
      </w:r>
    </w:p>
    <w:p w14:paraId="032B9463" w14:textId="2DE1A963" w:rsidR="00537CC8" w:rsidRPr="0025250D" w:rsidRDefault="00537CC8" w:rsidP="00701E03">
      <w:pPr>
        <w:rPr>
          <w:rtl/>
        </w:rPr>
      </w:pPr>
      <w:r w:rsidRPr="0025250D">
        <w:rPr>
          <w:rFonts w:hint="cs"/>
          <w:rtl/>
        </w:rPr>
        <w:t>این داده‌ها به نظر از این پیشنهاد ما حمایت می‌کنند که تا زمانی که</w:t>
      </w:r>
      <w:r w:rsidRPr="0025250D">
        <w:rPr>
          <w:rtl/>
        </w:rPr>
        <w:t xml:space="preserve"> </w:t>
      </w:r>
      <w:r w:rsidRPr="0025250D">
        <w:rPr>
          <w:rFonts w:hint="cs"/>
          <w:rtl/>
        </w:rPr>
        <w:t>به</w:t>
      </w:r>
      <w:r w:rsidRPr="0025250D">
        <w:rPr>
          <w:rtl/>
        </w:rPr>
        <w:t xml:space="preserve"> سخنران عموم</w:t>
      </w:r>
      <w:r w:rsidRPr="0025250D">
        <w:rPr>
          <w:rFonts w:hint="cs"/>
          <w:rtl/>
        </w:rPr>
        <w:t>ی</w:t>
      </w:r>
      <w:r w:rsidRPr="0025250D">
        <w:rPr>
          <w:rtl/>
        </w:rPr>
        <w:t xml:space="preserve"> </w:t>
      </w:r>
      <w:r w:rsidRPr="0025250D">
        <w:rPr>
          <w:rFonts w:hint="cs"/>
          <w:rtl/>
        </w:rPr>
        <w:t>تبدیل نشده ایم</w:t>
      </w:r>
      <w:r w:rsidRPr="0025250D">
        <w:rPr>
          <w:rtl/>
        </w:rPr>
        <w:t xml:space="preserve"> و د</w:t>
      </w:r>
      <w:r w:rsidRPr="0025250D">
        <w:rPr>
          <w:rFonts w:hint="cs"/>
          <w:rtl/>
        </w:rPr>
        <w:t>ی</w:t>
      </w:r>
      <w:r w:rsidRPr="0025250D">
        <w:rPr>
          <w:rFonts w:hint="eastAsia"/>
          <w:rtl/>
        </w:rPr>
        <w:t>گران</w:t>
      </w:r>
      <w:r w:rsidRPr="0025250D">
        <w:rPr>
          <w:rtl/>
        </w:rPr>
        <w:t xml:space="preserve"> ما را به عنوان </w:t>
      </w:r>
      <w:r w:rsidR="0063099E" w:rsidRPr="0025250D">
        <w:rPr>
          <w:rtl/>
        </w:rPr>
        <w:t>«</w:t>
      </w:r>
      <w:r w:rsidR="00D92F6E" w:rsidRPr="0025250D">
        <w:rPr>
          <w:rtl/>
        </w:rPr>
        <w:t>آینده‌پژوه</w:t>
      </w:r>
      <w:r w:rsidR="0063099E" w:rsidRPr="0025250D">
        <w:rPr>
          <w:rtl/>
        </w:rPr>
        <w:t>»</w:t>
      </w:r>
      <w:r w:rsidRPr="0025250D">
        <w:rPr>
          <w:rtl/>
        </w:rPr>
        <w:t xml:space="preserve"> معرف</w:t>
      </w:r>
      <w:r w:rsidRPr="0025250D">
        <w:rPr>
          <w:rFonts w:hint="cs"/>
          <w:rtl/>
        </w:rPr>
        <w:t>ی</w:t>
      </w:r>
      <w:r w:rsidRPr="0025250D">
        <w:rPr>
          <w:rtl/>
        </w:rPr>
        <w:t xml:space="preserve"> نمی‌کنند</w:t>
      </w:r>
      <w:r w:rsidRPr="0025250D">
        <w:rPr>
          <w:rFonts w:hint="cs"/>
          <w:rtl/>
        </w:rPr>
        <w:t xml:space="preserve">، بهتر است بیش‌تر از کلماتی مانند </w:t>
      </w:r>
      <w:r w:rsidR="00701E03" w:rsidRPr="0025250D">
        <w:rPr>
          <w:rFonts w:hint="cs"/>
          <w:rtl/>
        </w:rPr>
        <w:t>راهبردشناس</w:t>
      </w:r>
      <w:r w:rsidRPr="0025250D">
        <w:rPr>
          <w:rFonts w:hint="cs"/>
          <w:rtl/>
        </w:rPr>
        <w:t xml:space="preserve">، تحلیلگر </w:t>
      </w:r>
      <w:r w:rsidRPr="0025250D">
        <w:rPr>
          <w:rtl/>
        </w:rPr>
        <w:t>آینده‌نگاری</w:t>
      </w:r>
      <w:r w:rsidRPr="0025250D">
        <w:rPr>
          <w:rFonts w:hint="cs"/>
          <w:rtl/>
        </w:rPr>
        <w:t xml:space="preserve">، تحلیلگر بلندمدت، </w:t>
      </w:r>
      <w:r w:rsidR="0008779C" w:rsidRPr="0025250D">
        <w:rPr>
          <w:rFonts w:hint="cs"/>
          <w:rtl/>
        </w:rPr>
        <w:t>پیش‌نگر</w:t>
      </w:r>
      <w:r w:rsidRPr="0025250D">
        <w:rPr>
          <w:rFonts w:hint="cs"/>
          <w:rtl/>
        </w:rPr>
        <w:t xml:space="preserve">، تحلیلگر اطلاعات، برنامه ریز </w:t>
      </w:r>
      <w:r w:rsidR="00701E03" w:rsidRPr="0025250D">
        <w:rPr>
          <w:rFonts w:hint="cs"/>
          <w:rtl/>
        </w:rPr>
        <w:t>راهبردی</w:t>
      </w:r>
      <w:r w:rsidRPr="0025250D">
        <w:rPr>
          <w:rFonts w:hint="cs"/>
          <w:rtl/>
        </w:rPr>
        <w:t xml:space="preserve">، مدیریت ریسک، محقق روندها و دیگر اصطلاحات تخصصی برای توصیف کار سازمانی خود استفاده کنیم. در نظر بگیرید که </w:t>
      </w:r>
      <w:r w:rsidR="0063099E" w:rsidRPr="0025250D">
        <w:rPr>
          <w:rtl/>
        </w:rPr>
        <w:t>«</w:t>
      </w:r>
      <w:r w:rsidR="00701E03" w:rsidRPr="0025250D">
        <w:rPr>
          <w:rFonts w:hint="cs"/>
          <w:rtl/>
        </w:rPr>
        <w:t>راهبردشناس</w:t>
      </w:r>
      <w:r w:rsidR="0063099E" w:rsidRPr="0025250D">
        <w:rPr>
          <w:rtl/>
        </w:rPr>
        <w:t>»</w:t>
      </w:r>
      <w:r w:rsidRPr="0025250D">
        <w:rPr>
          <w:rFonts w:hint="cs"/>
          <w:rtl/>
        </w:rPr>
        <w:t xml:space="preserve"> تقریبا 100 برابر محبوبیت بیش‌تری نسبت به </w:t>
      </w:r>
      <w:r w:rsidR="00D92F6E" w:rsidRPr="0025250D">
        <w:rPr>
          <w:rFonts w:hint="cs"/>
          <w:rtl/>
        </w:rPr>
        <w:t>آینده‌پژوه</w:t>
      </w:r>
      <w:r w:rsidRPr="0025250D">
        <w:rPr>
          <w:rFonts w:hint="cs"/>
          <w:rtl/>
        </w:rPr>
        <w:t xml:space="preserve"> در پروفایل‌های لینکدین، هم در سال 2014 و هم امروزه دارد.</w:t>
      </w:r>
    </w:p>
    <w:p w14:paraId="39E85263" w14:textId="5EF8E72D" w:rsidR="00537CC8" w:rsidRPr="0025250D" w:rsidRDefault="00537CC8" w:rsidP="00537CC8">
      <w:pPr>
        <w:rPr>
          <w:rtl/>
        </w:rPr>
      </w:pPr>
      <w:r w:rsidRPr="0025250D">
        <w:rPr>
          <w:rFonts w:hint="cs"/>
          <w:rtl/>
        </w:rPr>
        <w:t xml:space="preserve">برای افرادی که تمایل به نوآوری دارند، </w:t>
      </w:r>
      <w:r w:rsidR="00D30084" w:rsidRPr="0025250D">
        <w:rPr>
          <w:rtl/>
        </w:rPr>
        <w:t>آینده‌نگار</w:t>
      </w:r>
      <w:r w:rsidRPr="0025250D">
        <w:rPr>
          <w:rFonts w:hint="cs"/>
          <w:rtl/>
        </w:rPr>
        <w:t xml:space="preserve"> کلمه واحدی است که بیش‌تر برای توصیف </w:t>
      </w:r>
      <w:r w:rsidR="001A3F0A" w:rsidRPr="0025250D">
        <w:rPr>
          <w:rFonts w:hint="cs"/>
          <w:rtl/>
        </w:rPr>
        <w:t>فردی</w:t>
      </w:r>
      <w:r w:rsidRPr="0025250D">
        <w:rPr>
          <w:rFonts w:hint="cs"/>
          <w:rtl/>
        </w:rPr>
        <w:t xml:space="preserve"> تخصصی توصیه می‌کنیم، اگرچه مطمئنا برای سال‌های آینده کم‌تر شناخته شده باقی خواهد ماند. اکنون، ما توصیه می‌کنیم که تنها ادعای آن را داشته باشیم و پیش برویم. وقتی افراد از ما درمورد معنای آن سؤال کنند، می‌توانیم به این شکل توضیح بدهیم: </w:t>
      </w:r>
      <w:r w:rsidR="0063099E" w:rsidRPr="0025250D">
        <w:rPr>
          <w:rtl/>
        </w:rPr>
        <w:t>«</w:t>
      </w:r>
      <w:r w:rsidRPr="0025250D">
        <w:rPr>
          <w:rFonts w:hint="cs"/>
          <w:rtl/>
        </w:rPr>
        <w:t>هر متخصصی که وظیفه اش نگاه به و تحلیل جنبه‌هایی از آینده برای یک کارسپار باشد</w:t>
      </w:r>
      <w:r w:rsidR="0063099E" w:rsidRPr="0025250D">
        <w:rPr>
          <w:rtl/>
        </w:rPr>
        <w:t>»</w:t>
      </w:r>
      <w:r w:rsidRPr="0025250D">
        <w:rPr>
          <w:rFonts w:hint="cs"/>
          <w:rtl/>
        </w:rPr>
        <w:t>.</w:t>
      </w:r>
    </w:p>
    <w:p w14:paraId="20AD7131" w14:textId="35672C52" w:rsidR="00537CC8" w:rsidRPr="0025250D" w:rsidRDefault="00537CC8" w:rsidP="00537CC8">
      <w:pPr>
        <w:rPr>
          <w:rtl/>
        </w:rPr>
      </w:pP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یک زمینه ترکیبی است.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نقاط قوت روانشناسی، انسان شناسی، آمار، فلسفه، </w:t>
      </w:r>
      <w:r w:rsidR="00B124DE" w:rsidRPr="0025250D">
        <w:rPr>
          <w:rFonts w:hint="cs"/>
          <w:rtl/>
        </w:rPr>
        <w:t>جامعه‌شناسی</w:t>
      </w:r>
      <w:r w:rsidRPr="0025250D">
        <w:rPr>
          <w:rFonts w:hint="cs"/>
          <w:rtl/>
        </w:rPr>
        <w:t xml:space="preserve"> و چندین رشته دیگر را برای دست یابی به اهداف متمایز خود با هم ترکیب می‌کند. ارزش تفکر ترکیبی (ترکیب زمینه‌های دانشی مختلف) اکنون برای فرهنگ تخصصی در حال شفاف شدن است. </w:t>
      </w:r>
      <w:r w:rsidRPr="0025250D">
        <w:rPr>
          <w:rtl/>
        </w:rPr>
        <w:t>آینده‌نگاری</w:t>
      </w:r>
      <w:r w:rsidRPr="0025250D">
        <w:rPr>
          <w:rFonts w:hint="cs"/>
          <w:rtl/>
        </w:rPr>
        <w:t xml:space="preserve"> می‌تواند ترکیبی بودن ما را در بر بگیرد و همچنان زمینه مهم و تعریف شده ما باقی بماند. </w:t>
      </w:r>
      <w:r w:rsidR="007118DE" w:rsidRPr="0025250D">
        <w:rPr>
          <w:rFonts w:hint="cs"/>
          <w:rtl/>
        </w:rPr>
        <w:t>همان‌طور</w:t>
      </w:r>
      <w:r w:rsidRPr="0025250D">
        <w:rPr>
          <w:rFonts w:hint="cs"/>
          <w:rtl/>
        </w:rPr>
        <w:t xml:space="preserve"> که در فصل 1 توصیف کردیم (</w:t>
      </w:r>
      <w:r w:rsidR="00D92F6E" w:rsidRPr="0025250D">
        <w:rPr>
          <w:rFonts w:hint="cs"/>
          <w:rtl/>
        </w:rPr>
        <w:t>آینده‌پژوه</w:t>
      </w:r>
      <w:r w:rsidRPr="0025250D">
        <w:rPr>
          <w:rFonts w:hint="cs"/>
          <w:rtl/>
        </w:rPr>
        <w:t xml:space="preserve">ان و </w:t>
      </w:r>
      <w:r w:rsidR="00D30084" w:rsidRPr="0025250D">
        <w:rPr>
          <w:rtl/>
        </w:rPr>
        <w:t>آینده‌نگار</w:t>
      </w:r>
      <w:r w:rsidRPr="0025250D">
        <w:rPr>
          <w:rFonts w:hint="cs"/>
          <w:rtl/>
        </w:rPr>
        <w:t xml:space="preserve">ان)، همه ما در ابتدا </w:t>
      </w:r>
      <w:r w:rsidRPr="0025250D">
        <w:t>T</w:t>
      </w:r>
      <w:r w:rsidR="008D6F97" w:rsidRPr="0025250D">
        <w:t xml:space="preserve"> </w:t>
      </w:r>
      <w:r w:rsidRPr="0025250D">
        <w:rPr>
          <w:rFonts w:hint="cs"/>
          <w:rtl/>
        </w:rPr>
        <w:t xml:space="preserve">شکل هستیم، می‌توانیم علومی را از بدنه‌های دانش مختلف با هم ترکیب کنیم، در حالی که تخصص بیش‌تری در برخی حوزه‌ها کسب می‌کنیم. به مرور زمان، می‌توانیم تلاش کنیم تا ستاره‌ای شکل شویم، دانش تخصصی جدیدی در طول دوران کاری خود حاصل کنیم و شبکه‌ای از همکاران متخصص مورد اعتماد خود را ایجاد کنیم. افراد </w:t>
      </w:r>
      <w:r w:rsidRPr="0025250D">
        <w:t>T</w:t>
      </w:r>
      <w:r w:rsidRPr="0025250D">
        <w:rPr>
          <w:rFonts w:hint="cs"/>
          <w:rtl/>
        </w:rPr>
        <w:t xml:space="preserve"> شکل و ستاره‌ای شکل که با هم در شبکه‌های پیچیده کار می‌کنند، محل درخشش ترکیبی بودن هستند.</w:t>
      </w:r>
    </w:p>
    <w:p w14:paraId="38DC2B62" w14:textId="77777777" w:rsidR="00537CC8" w:rsidRPr="0025250D" w:rsidRDefault="00537CC8" w:rsidP="00F004A5">
      <w:pPr>
        <w:jc w:val="center"/>
        <w:rPr>
          <w:rtl/>
        </w:rPr>
      </w:pPr>
      <w:r w:rsidRPr="0025250D">
        <w:rPr>
          <w:noProof/>
          <w:rtl/>
          <w:lang w:bidi="ar-SA"/>
        </w:rPr>
        <w:drawing>
          <wp:inline distT="0" distB="0" distL="0" distR="0" wp14:anchorId="0A13BF35" wp14:editId="2FC59789">
            <wp:extent cx="4556184" cy="2329732"/>
            <wp:effectExtent l="0" t="0" r="0" b="0"/>
            <wp:docPr id="82" name="Picture 82" descr="D:\کار\مستقل\3 ( ترجمه ی دانشگاه تهران  )\Introduction to Foresight\part3\25-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کار\مستقل\3 ( ترجمه ی دانشگاه تهران  )\Introduction to Foresight\part3\25-new.png"/>
                    <pic:cNvPicPr>
                      <a:picLocks noChangeAspect="1" noChangeArrowheads="1"/>
                    </pic:cNvPicPr>
                  </pic:nvPicPr>
                  <pic:blipFill rotWithShape="1">
                    <a:blip r:embed="rId125" cstate="screen">
                      <a:extLst>
                        <a:ext uri="{BEBA8EAE-BF5A-486C-A8C5-ECC9F3942E4B}">
                          <a14:imgProps xmlns:a14="http://schemas.microsoft.com/office/drawing/2010/main">
                            <a14:imgLayer r:embed="rId126">
                              <a14:imgEffect>
                                <a14:saturation sat="0"/>
                              </a14:imgEffect>
                            </a14:imgLayer>
                          </a14:imgProps>
                        </a:ext>
                        <a:ext uri="{28A0092B-C50C-407E-A947-70E740481C1C}">
                          <a14:useLocalDpi xmlns:a14="http://schemas.microsoft.com/office/drawing/2010/main"/>
                        </a:ext>
                      </a:extLst>
                    </a:blip>
                    <a:srcRect/>
                    <a:stretch/>
                  </pic:blipFill>
                  <pic:spPr bwMode="auto">
                    <a:xfrm>
                      <a:off x="0" y="0"/>
                      <a:ext cx="4560711" cy="2332047"/>
                    </a:xfrm>
                    <a:prstGeom prst="rect">
                      <a:avLst/>
                    </a:prstGeom>
                    <a:noFill/>
                    <a:ln>
                      <a:noFill/>
                    </a:ln>
                    <a:extLst>
                      <a:ext uri="{53640926-AAD7-44D8-BBD7-CCE9431645EC}">
                        <a14:shadowObscured xmlns:a14="http://schemas.microsoft.com/office/drawing/2010/main"/>
                      </a:ext>
                    </a:extLst>
                  </pic:spPr>
                </pic:pic>
              </a:graphicData>
            </a:graphic>
          </wp:inline>
        </w:drawing>
      </w:r>
    </w:p>
    <w:p w14:paraId="71792C7C" w14:textId="28970B70" w:rsidR="00537CC8" w:rsidRPr="0025250D" w:rsidRDefault="00537CC8" w:rsidP="00537CC8">
      <w:pPr>
        <w:rPr>
          <w:rtl/>
        </w:rPr>
      </w:pPr>
      <w:r w:rsidRPr="0025250D">
        <w:rPr>
          <w:rFonts w:hint="cs"/>
          <w:rtl/>
        </w:rPr>
        <w:t xml:space="preserve">در مجموع، درحالی که عنوان فردی ما می‌تواند مهم باشد، شناخت و دانستن تنوع کامل فعالانی که امروزه در حال کار برای بهبود </w:t>
      </w:r>
      <w:r w:rsidRPr="0025250D">
        <w:rPr>
          <w:rtl/>
        </w:rPr>
        <w:t>آینده‌نگاری</w:t>
      </w:r>
      <w:r w:rsidRPr="0025250D">
        <w:rPr>
          <w:rFonts w:hint="cs"/>
          <w:rtl/>
        </w:rPr>
        <w:t xml:space="preserve"> سازمانی هستند، اهمیت به شدت بیش‌تری دارد. یادگیری و توانایی کار با همه فعالان متخصص، </w:t>
      </w:r>
      <w:r w:rsidR="00923DDB" w:rsidRPr="0025250D">
        <w:rPr>
          <w:rFonts w:hint="cs"/>
          <w:rtl/>
        </w:rPr>
        <w:t>اثربخشی</w:t>
      </w:r>
      <w:r w:rsidRPr="0025250D">
        <w:rPr>
          <w:rFonts w:hint="cs"/>
          <w:rtl/>
        </w:rPr>
        <w:t xml:space="preserve"> و توسعه تخصص ما را به حداکثر خواهد رساند.</w:t>
      </w:r>
    </w:p>
    <w:p w14:paraId="50AC81BD" w14:textId="77777777" w:rsidR="00537CC8" w:rsidRPr="0025250D" w:rsidRDefault="00537CC8" w:rsidP="00537CC8">
      <w:pPr>
        <w:rPr>
          <w:rtl/>
        </w:rPr>
      </w:pPr>
    </w:p>
    <w:p w14:paraId="4063FA3F" w14:textId="77777777" w:rsidR="00537CC8" w:rsidRPr="0025250D" w:rsidRDefault="00537CC8" w:rsidP="000A674B">
      <w:pPr>
        <w:pStyle w:val="Heading2"/>
        <w:rPr>
          <w:rtl/>
        </w:rPr>
      </w:pPr>
      <w:bookmarkStart w:id="41" w:name="_Toc127831306"/>
      <w:r w:rsidRPr="0025250D">
        <w:rPr>
          <w:rFonts w:hint="cs"/>
          <w:rtl/>
        </w:rPr>
        <w:t xml:space="preserve">جوامع فعال در زمینه </w:t>
      </w:r>
      <w:r w:rsidRPr="0025250D">
        <w:rPr>
          <w:rtl/>
        </w:rPr>
        <w:t>آینده‌نگاری</w:t>
      </w:r>
      <w:r w:rsidRPr="0025250D">
        <w:rPr>
          <w:rFonts w:hint="cs"/>
          <w:rtl/>
        </w:rPr>
        <w:t xml:space="preserve"> جامع </w:t>
      </w:r>
      <w:r w:rsidRPr="0025250D">
        <w:rPr>
          <w:rFonts w:ascii="Times New Roman" w:hAnsi="Times New Roman" w:cs="Times New Roman" w:hint="cs"/>
          <w:rtl/>
        </w:rPr>
        <w:t>–</w:t>
      </w:r>
      <w:r w:rsidRPr="0025250D">
        <w:rPr>
          <w:rFonts w:hint="cs"/>
          <w:rtl/>
        </w:rPr>
        <w:t xml:space="preserve"> یک لیست منتخب</w:t>
      </w:r>
      <w:bookmarkEnd w:id="41"/>
    </w:p>
    <w:p w14:paraId="568415C2" w14:textId="36F62CBE" w:rsidR="00537CC8" w:rsidRPr="0025250D" w:rsidRDefault="00537CC8" w:rsidP="00DA0904">
      <w:pPr>
        <w:rPr>
          <w:rtl/>
        </w:rPr>
      </w:pPr>
      <w:r w:rsidRPr="0025250D">
        <w:rPr>
          <w:rFonts w:hint="cs"/>
          <w:rtl/>
        </w:rPr>
        <w:t>در زیر فهرستی از جوامع</w:t>
      </w:r>
      <w:r w:rsidRPr="0025250D">
        <w:rPr>
          <w:vertAlign w:val="superscript"/>
          <w:rtl/>
        </w:rPr>
        <w:footnoteReference w:id="1378"/>
      </w:r>
      <w:r w:rsidRPr="0025250D">
        <w:rPr>
          <w:rFonts w:hint="cs"/>
          <w:rtl/>
        </w:rPr>
        <w:t xml:space="preserve"> فعال در زمینه </w:t>
      </w:r>
      <w:r w:rsidRPr="0025250D">
        <w:rPr>
          <w:rtl/>
        </w:rPr>
        <w:t>آینده‌نگاری</w:t>
      </w:r>
      <w:r w:rsidRPr="0025250D">
        <w:rPr>
          <w:rFonts w:hint="cs"/>
          <w:rtl/>
        </w:rPr>
        <w:t xml:space="preserve"> جامع (66 دامنه) وجود دارد. این فهرست در پیوست 3 تکرار می‌شود. ما این فهرست را به این دلیل تکرار می‌کنیم که فکر می‌کنیم جوامعی مانند این موارد به طور مشخص شایسته مشارکت و پشتیبانی ما هستند. به‌علاوه، دخیل کردن خود در توسعه آن‌ها می‌تواند در عوض، به توسعه </w:t>
      </w:r>
      <w:r w:rsidR="00DA0904" w:rsidRPr="0025250D">
        <w:rPr>
          <w:rFonts w:hint="cs"/>
          <w:rtl/>
        </w:rPr>
        <w:t xml:space="preserve">این </w:t>
      </w:r>
      <w:r w:rsidRPr="0025250D">
        <w:rPr>
          <w:rFonts w:hint="cs"/>
          <w:rtl/>
        </w:rPr>
        <w:t>زمین</w:t>
      </w:r>
      <w:r w:rsidR="00DA0904" w:rsidRPr="0025250D">
        <w:rPr>
          <w:rFonts w:hint="cs"/>
          <w:rtl/>
        </w:rPr>
        <w:t>ه</w:t>
      </w:r>
      <w:r w:rsidRPr="0025250D">
        <w:rPr>
          <w:rFonts w:hint="cs"/>
          <w:rtl/>
        </w:rPr>
        <w:t xml:space="preserve"> و گسترش توانایی آن برای منتفع کردن ما در هر دامنه کمک کند.</w:t>
      </w:r>
    </w:p>
    <w:p w14:paraId="24438945" w14:textId="60F966BE" w:rsidR="00537CC8" w:rsidRPr="0025250D" w:rsidRDefault="00537CC8" w:rsidP="00537CC8">
      <w:pPr>
        <w:rPr>
          <w:rtl/>
        </w:rPr>
      </w:pPr>
      <w:r w:rsidRPr="0025250D">
        <w:rPr>
          <w:rFonts w:hint="cs"/>
          <w:rtl/>
        </w:rPr>
        <w:t xml:space="preserve">تعداد اندکی از این موارد، مانند </w:t>
      </w:r>
      <w:r w:rsidRPr="0025250D">
        <w:t>APF</w:t>
      </w:r>
      <w:r w:rsidRPr="0025250D">
        <w:rPr>
          <w:rFonts w:hint="cs"/>
          <w:rtl/>
        </w:rPr>
        <w:t xml:space="preserve">، همچنین انجمن‌هایی تخصصی هستند، اما بیش‌تر آن‌ها در حال حاضر این گونه نیستند. هر جامعه تمایل به تمرکز بر جنبه‌های متفاوتی از 6 دامنه را دارد، اما هر کدام همچنین به دنبال فراگیری هستند. از نظر ما همگی </w:t>
      </w:r>
      <w:r w:rsidRPr="0025250D">
        <w:rPr>
          <w:rtl/>
        </w:rPr>
        <w:t>دارا</w:t>
      </w:r>
      <w:r w:rsidRPr="0025250D">
        <w:rPr>
          <w:rFonts w:hint="cs"/>
          <w:rtl/>
        </w:rPr>
        <w:t>ی</w:t>
      </w:r>
      <w:r w:rsidRPr="0025250D">
        <w:rPr>
          <w:rtl/>
        </w:rPr>
        <w:t xml:space="preserve"> </w:t>
      </w:r>
      <w:r w:rsidR="00A20CCB" w:rsidRPr="0025250D">
        <w:rPr>
          <w:rtl/>
        </w:rPr>
        <w:t>جهان‌بینی</w:t>
      </w:r>
      <w:r w:rsidRPr="0025250D">
        <w:rPr>
          <w:rtl/>
        </w:rPr>
        <w:t>‌های خاص با ک</w:t>
      </w:r>
      <w:r w:rsidRPr="0025250D">
        <w:rPr>
          <w:rFonts w:hint="cs"/>
          <w:rtl/>
        </w:rPr>
        <w:t>ی</w:t>
      </w:r>
      <w:r w:rsidRPr="0025250D">
        <w:rPr>
          <w:rFonts w:hint="eastAsia"/>
          <w:rtl/>
        </w:rPr>
        <w:t>ف</w:t>
      </w:r>
      <w:r w:rsidRPr="0025250D">
        <w:rPr>
          <w:rFonts w:hint="cs"/>
          <w:rtl/>
        </w:rPr>
        <w:t>ی</w:t>
      </w:r>
      <w:r w:rsidRPr="0025250D">
        <w:rPr>
          <w:rFonts w:hint="eastAsia"/>
          <w:rtl/>
        </w:rPr>
        <w:t>ت</w:t>
      </w:r>
      <w:r w:rsidRPr="0025250D">
        <w:rPr>
          <w:rFonts w:hint="cs"/>
          <w:rtl/>
        </w:rPr>
        <w:t>ی</w:t>
      </w:r>
      <w:r w:rsidRPr="0025250D">
        <w:rPr>
          <w:rtl/>
        </w:rPr>
        <w:t xml:space="preserve"> هستند</w:t>
      </w:r>
      <w:r w:rsidRPr="0025250D">
        <w:rPr>
          <w:rFonts w:hint="cs"/>
          <w:rtl/>
        </w:rPr>
        <w:t xml:space="preserve">. مشارکت در هر یک از این موارد می‌تواند ما را با تنوع خوبی از روش‌ها و انتخاب‌ها در انجام </w:t>
      </w:r>
      <w:r w:rsidRPr="0025250D">
        <w:rPr>
          <w:rtl/>
        </w:rPr>
        <w:t>آینده‌نگاری</w:t>
      </w:r>
      <w:r w:rsidRPr="0025250D">
        <w:rPr>
          <w:rFonts w:hint="cs"/>
          <w:rtl/>
        </w:rPr>
        <w:t xml:space="preserve"> مواجه سازد. هر جامعه مزایا و معایبی دارد، اما همگی تلاش خوبی در زمینه </w:t>
      </w:r>
      <w:r w:rsidR="00DA0904" w:rsidRPr="0025250D">
        <w:rPr>
          <w:rFonts w:hint="cs"/>
          <w:rtl/>
        </w:rPr>
        <w:t xml:space="preserve">آینده‌نگاری </w:t>
      </w:r>
      <w:r w:rsidRPr="0025250D">
        <w:rPr>
          <w:rFonts w:hint="cs"/>
          <w:rtl/>
        </w:rPr>
        <w:t>انجام می‌دهند. هر یک انتشارات رایگان، پادکست‌ها، گروه‌های بحث و گفتگو یا دیگر خروجی‌هایی دار</w:t>
      </w:r>
      <w:r w:rsidR="00DA0904" w:rsidRPr="0025250D">
        <w:rPr>
          <w:rFonts w:hint="cs"/>
          <w:rtl/>
        </w:rPr>
        <w:t>ن</w:t>
      </w:r>
      <w:r w:rsidRPr="0025250D">
        <w:rPr>
          <w:rFonts w:hint="cs"/>
          <w:rtl/>
        </w:rPr>
        <w:t xml:space="preserve">د که می‌توانند به ما برای </w:t>
      </w:r>
      <w:r w:rsidR="0008779C" w:rsidRPr="0025250D">
        <w:rPr>
          <w:rFonts w:hint="cs"/>
          <w:rtl/>
        </w:rPr>
        <w:t>تصمیم‌گیری</w:t>
      </w:r>
      <w:r w:rsidRPr="0025250D">
        <w:rPr>
          <w:rFonts w:hint="cs"/>
          <w:rtl/>
        </w:rPr>
        <w:t xml:space="preserve"> درمورد این که آیا می‌خواهیم بیش‌تر در آن‌ها مشارکت داشته باشیم یا خیر کمک کنند. همچنین نقش‌های داوطلبانه در همه آن‌ها وجود دارند.</w:t>
      </w:r>
    </w:p>
    <w:p w14:paraId="4DF5F515" w14:textId="7E6256F9" w:rsidR="00537CC8" w:rsidRPr="0025250D" w:rsidRDefault="00537CC8" w:rsidP="00492C47">
      <w:pPr>
        <w:numPr>
          <w:ilvl w:val="0"/>
          <w:numId w:val="34"/>
        </w:numPr>
        <w:rPr>
          <w:rtl/>
        </w:rPr>
      </w:pPr>
      <w:r w:rsidRPr="0025250D">
        <w:rPr>
          <w:rFonts w:hint="cs"/>
          <w:b/>
          <w:bCs/>
          <w:rtl/>
        </w:rPr>
        <w:t>انجمن آینده‌پژوهان تخصصی</w:t>
      </w:r>
      <w:r w:rsidRPr="0025250D">
        <w:rPr>
          <w:b/>
          <w:bCs/>
          <w:vertAlign w:val="superscript"/>
          <w:rtl/>
        </w:rPr>
        <w:footnoteReference w:id="1379"/>
      </w:r>
      <w:r w:rsidRPr="0025250D">
        <w:rPr>
          <w:rFonts w:hint="cs"/>
          <w:b/>
          <w:bCs/>
          <w:rtl/>
        </w:rPr>
        <w:t xml:space="preserve"> (</w:t>
      </w:r>
      <w:r w:rsidRPr="0025250D">
        <w:rPr>
          <w:b/>
          <w:bCs/>
        </w:rPr>
        <w:t>APF</w:t>
      </w:r>
      <w:r w:rsidRPr="0025250D">
        <w:rPr>
          <w:rFonts w:hint="cs"/>
          <w:b/>
          <w:bCs/>
          <w:rtl/>
        </w:rPr>
        <w:t>)</w:t>
      </w:r>
      <w:r w:rsidRPr="0025250D">
        <w:rPr>
          <w:rFonts w:hint="cs"/>
          <w:rtl/>
        </w:rPr>
        <w:t xml:space="preserve">. </w:t>
      </w:r>
      <w:r w:rsidR="00DA0904" w:rsidRPr="0025250D">
        <w:rPr>
          <w:rFonts w:hint="cs"/>
          <w:rtl/>
        </w:rPr>
        <w:t xml:space="preserve">فعال </w:t>
      </w:r>
      <w:r w:rsidRPr="0025250D">
        <w:rPr>
          <w:rFonts w:hint="cs"/>
          <w:rtl/>
        </w:rPr>
        <w:t xml:space="preserve">از سال 2002. در حال حاضر تحت هدایت آینده‌پژوه </w:t>
      </w:r>
      <w:r w:rsidRPr="0025250D">
        <w:rPr>
          <w:rtl/>
        </w:rPr>
        <w:t>شرمون کروز</w:t>
      </w:r>
      <w:r w:rsidRPr="0025250D">
        <w:rPr>
          <w:vertAlign w:val="superscript"/>
          <w:rtl/>
        </w:rPr>
        <w:footnoteReference w:id="1380"/>
      </w:r>
      <w:r w:rsidRPr="0025250D">
        <w:rPr>
          <w:rFonts w:hint="cs"/>
          <w:rtl/>
        </w:rPr>
        <w:t xml:space="preserve"> می‌باشد، </w:t>
      </w:r>
      <w:r w:rsidRPr="0025250D">
        <w:t>APF</w:t>
      </w:r>
      <w:r w:rsidRPr="0025250D">
        <w:rPr>
          <w:rFonts w:hint="cs"/>
          <w:rtl/>
        </w:rPr>
        <w:t xml:space="preserve"> یک سازمان آنلاین متشکل از تقریباً 500 عضو اختصاص یافته به توسعه و پشتیبانی از مشاوره تخصصی یا آینده‌پژوهان سازمانی است. آن‌ها یک کنفرانس سالیانه، یک کارگاه توسعه تخصصی سالیانه که به همراه کنفرانس </w:t>
      </w:r>
      <w:r w:rsidRPr="0025250D">
        <w:t>WFS</w:t>
      </w:r>
      <w:r w:rsidRPr="0025250D">
        <w:rPr>
          <w:rFonts w:hint="cs"/>
          <w:rtl/>
        </w:rPr>
        <w:t xml:space="preserve"> برگزار می‌شود و گرد </w:t>
      </w:r>
      <w:r w:rsidRPr="0025250D">
        <w:rPr>
          <w:rtl/>
        </w:rPr>
        <w:t>هم‌آ</w:t>
      </w:r>
      <w:r w:rsidRPr="0025250D">
        <w:rPr>
          <w:rFonts w:hint="cs"/>
          <w:rtl/>
        </w:rPr>
        <w:t>یی‌</w:t>
      </w:r>
      <w:r w:rsidRPr="0025250D">
        <w:rPr>
          <w:rFonts w:hint="eastAsia"/>
          <w:rtl/>
        </w:rPr>
        <w:t>ها</w:t>
      </w:r>
      <w:r w:rsidRPr="0025250D">
        <w:rPr>
          <w:rFonts w:hint="cs"/>
          <w:rtl/>
        </w:rPr>
        <w:t xml:space="preserve">ی مجازی متعددی را برگزار می‌کنند. آن‌ها یک فهرست مباحثه‌ای خوب و یک جامعه پشتیبانی از اقدامات رو به رشد دارند. تمرکز اصلی آن‌ها </w:t>
      </w:r>
      <w:r w:rsidRPr="0025250D">
        <w:rPr>
          <w:rtl/>
        </w:rPr>
        <w:t>آینده‌نگاری</w:t>
      </w:r>
      <w:r w:rsidRPr="0025250D">
        <w:rPr>
          <w:rFonts w:hint="cs"/>
          <w:rtl/>
        </w:rPr>
        <w:t xml:space="preserve"> سازمانی است. آن‌ها یک نیروی عملیاتی</w:t>
      </w:r>
      <w:r w:rsidRPr="0025250D">
        <w:rPr>
          <w:vertAlign w:val="superscript"/>
          <w:rtl/>
        </w:rPr>
        <w:footnoteReference w:id="1381"/>
      </w:r>
      <w:r w:rsidRPr="0025250D">
        <w:rPr>
          <w:rFonts w:hint="cs"/>
          <w:rtl/>
        </w:rPr>
        <w:t xml:space="preserve"> تحت هدایت </w:t>
      </w:r>
      <w:r w:rsidRPr="0025250D">
        <w:rPr>
          <w:rtl/>
        </w:rPr>
        <w:t>اند</w:t>
      </w:r>
      <w:r w:rsidRPr="0025250D">
        <w:rPr>
          <w:rFonts w:hint="cs"/>
          <w:rtl/>
        </w:rPr>
        <w:t>ی</w:t>
      </w:r>
      <w:r w:rsidRPr="0025250D">
        <w:rPr>
          <w:rtl/>
        </w:rPr>
        <w:t xml:space="preserve"> ها</w:t>
      </w:r>
      <w:r w:rsidRPr="0025250D">
        <w:rPr>
          <w:rFonts w:hint="cs"/>
          <w:rtl/>
        </w:rPr>
        <w:t>ی</w:t>
      </w:r>
      <w:r w:rsidRPr="0025250D">
        <w:rPr>
          <w:rFonts w:hint="eastAsia"/>
          <w:rtl/>
        </w:rPr>
        <w:t>نز</w:t>
      </w:r>
      <w:r w:rsidRPr="0025250D">
        <w:rPr>
          <w:vertAlign w:val="superscript"/>
          <w:rtl/>
        </w:rPr>
        <w:footnoteReference w:id="1382"/>
      </w:r>
      <w:r w:rsidRPr="0025250D">
        <w:rPr>
          <w:rFonts w:hint="cs"/>
          <w:rtl/>
        </w:rPr>
        <w:t xml:space="preserve"> دارند که در تعریف و تخصصی سازی بهتر اقدامات </w:t>
      </w:r>
      <w:r w:rsidRPr="0025250D">
        <w:rPr>
          <w:rtl/>
        </w:rPr>
        <w:t>آینده‌نگاری</w:t>
      </w:r>
      <w:r w:rsidRPr="0025250D">
        <w:rPr>
          <w:rFonts w:hint="cs"/>
          <w:rtl/>
        </w:rPr>
        <w:t xml:space="preserve"> مشارکت دارد. </w:t>
      </w:r>
      <w:r w:rsidRPr="0025250D">
        <w:t>APF</w:t>
      </w:r>
      <w:r w:rsidRPr="0025250D">
        <w:rPr>
          <w:rFonts w:hint="cs"/>
          <w:rtl/>
        </w:rPr>
        <w:t xml:space="preserve"> اولین سازمانی است که پیوستن به آن را برای ملاقات با دیگر همکاران تخصصی و تلاش برای بهبود انجام </w:t>
      </w:r>
      <w:r w:rsidRPr="0025250D">
        <w:rPr>
          <w:rtl/>
        </w:rPr>
        <w:t>آینده‌نگاری</w:t>
      </w:r>
      <w:r w:rsidRPr="0025250D">
        <w:rPr>
          <w:rFonts w:hint="cs"/>
          <w:rtl/>
        </w:rPr>
        <w:t xml:space="preserve"> سازمانی توصیه می‌کنیم.</w:t>
      </w:r>
    </w:p>
    <w:p w14:paraId="6FC7F860" w14:textId="77777777" w:rsidR="00537CC8" w:rsidRPr="0025250D" w:rsidRDefault="00537CC8" w:rsidP="000A674B">
      <w:pPr>
        <w:jc w:val="center"/>
        <w:rPr>
          <w:rtl/>
        </w:rPr>
      </w:pPr>
      <w:r w:rsidRPr="0025250D">
        <w:rPr>
          <w:noProof/>
          <w:rtl/>
          <w:lang w:bidi="ar-SA"/>
        </w:rPr>
        <w:drawing>
          <wp:inline distT="0" distB="0" distL="0" distR="0" wp14:anchorId="34A645CB" wp14:editId="4A532A40">
            <wp:extent cx="3688080" cy="1020938"/>
            <wp:effectExtent l="0" t="0" r="7620" b="8255"/>
            <wp:docPr id="83" name="Picture 83" descr="D:\کار\مستقل\3 ( ترجمه ی دانشگاه تهران  )\Introduction to Foresight\part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4\1.png"/>
                    <pic:cNvPicPr>
                      <a:picLocks noChangeAspect="1" noChangeArrowheads="1"/>
                    </pic:cNvPicPr>
                  </pic:nvPicPr>
                  <pic:blipFill>
                    <a:blip r:embed="rId127" cstate="screen">
                      <a:extLst>
                        <a:ext uri="{BEBA8EAE-BF5A-486C-A8C5-ECC9F3942E4B}">
                          <a14:imgProps xmlns:a14="http://schemas.microsoft.com/office/drawing/2010/main">
                            <a14:imgLayer r:embed="rId128">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3719042" cy="1029509"/>
                    </a:xfrm>
                    <a:prstGeom prst="rect">
                      <a:avLst/>
                    </a:prstGeom>
                    <a:noFill/>
                    <a:ln>
                      <a:noFill/>
                    </a:ln>
                  </pic:spPr>
                </pic:pic>
              </a:graphicData>
            </a:graphic>
          </wp:inline>
        </w:drawing>
      </w:r>
    </w:p>
    <w:p w14:paraId="65905B3B" w14:textId="0838F747" w:rsidR="00537CC8" w:rsidRPr="0025250D" w:rsidRDefault="00537CC8" w:rsidP="00492C47">
      <w:pPr>
        <w:numPr>
          <w:ilvl w:val="0"/>
          <w:numId w:val="34"/>
        </w:numPr>
        <w:rPr>
          <w:rtl/>
        </w:rPr>
      </w:pPr>
      <w:r w:rsidRPr="0025250D">
        <w:rPr>
          <w:rFonts w:hint="cs"/>
          <w:b/>
          <w:bCs/>
          <w:rtl/>
        </w:rPr>
        <w:t xml:space="preserve">دانشگاه </w:t>
      </w:r>
      <w:r w:rsidRPr="0025250D">
        <w:rPr>
          <w:b/>
          <w:bCs/>
          <w:rtl/>
        </w:rPr>
        <w:t>آینده‌نگاری</w:t>
      </w:r>
      <w:r w:rsidRPr="0025250D">
        <w:rPr>
          <w:b/>
          <w:bCs/>
          <w:vertAlign w:val="superscript"/>
          <w:rtl/>
        </w:rPr>
        <w:footnoteReference w:id="1383"/>
      </w:r>
      <w:r w:rsidRPr="0025250D">
        <w:rPr>
          <w:rFonts w:hint="cs"/>
          <w:b/>
          <w:bCs/>
          <w:rtl/>
        </w:rPr>
        <w:t xml:space="preserve"> (</w:t>
      </w:r>
      <w:r w:rsidRPr="0025250D">
        <w:rPr>
          <w:b/>
          <w:bCs/>
        </w:rPr>
        <w:t>4U</w:t>
      </w:r>
      <w:r w:rsidRPr="0025250D">
        <w:rPr>
          <w:rFonts w:hint="cs"/>
          <w:b/>
          <w:bCs/>
          <w:rtl/>
        </w:rPr>
        <w:t>).</w:t>
      </w:r>
      <w:r w:rsidRPr="0025250D">
        <w:rPr>
          <w:rFonts w:hint="cs"/>
          <w:rtl/>
        </w:rPr>
        <w:t xml:space="preserve"> تحت هدایت آینده‌پژوه </w:t>
      </w:r>
      <w:r w:rsidRPr="0025250D">
        <w:rPr>
          <w:rtl/>
        </w:rPr>
        <w:t>جان اسمارت</w:t>
      </w:r>
      <w:r w:rsidRPr="0025250D">
        <w:rPr>
          <w:vertAlign w:val="superscript"/>
          <w:rtl/>
        </w:rPr>
        <w:footnoteReference w:id="1384"/>
      </w:r>
      <w:r w:rsidRPr="0025250D">
        <w:rPr>
          <w:rFonts w:hint="cs"/>
          <w:rtl/>
        </w:rPr>
        <w:t xml:space="preserve">، ما گروه آموزش و توسعه پشتیبان کتاب راهنمای </w:t>
      </w:r>
      <w:r w:rsidRPr="0025250D">
        <w:rPr>
          <w:rtl/>
        </w:rPr>
        <w:t>آینده‌نگاری</w:t>
      </w:r>
      <w:r w:rsidRPr="0025250D">
        <w:rPr>
          <w:vertAlign w:val="superscript"/>
          <w:rtl/>
        </w:rPr>
        <w:footnoteReference w:id="1385"/>
      </w:r>
      <w:r w:rsidRPr="0025250D">
        <w:rPr>
          <w:rFonts w:hint="cs"/>
          <w:rtl/>
        </w:rPr>
        <w:t xml:space="preserve"> هستیم. ما کتاب‌ها، دوره‌های آنلاین و مشاوره‌ای را در توسعه </w:t>
      </w:r>
      <w:r w:rsidRPr="0025250D">
        <w:rPr>
          <w:rtl/>
        </w:rPr>
        <w:t>آینده‌نگاری</w:t>
      </w:r>
      <w:r w:rsidRPr="0025250D">
        <w:rPr>
          <w:rFonts w:hint="cs"/>
          <w:rtl/>
        </w:rPr>
        <w:t xml:space="preserve"> ارائه می‌دهیم. </w:t>
      </w:r>
      <w:r w:rsidRPr="0025250D">
        <w:t>4U</w:t>
      </w:r>
      <w:r w:rsidRPr="0025250D">
        <w:rPr>
          <w:rFonts w:hint="cs"/>
          <w:rtl/>
        </w:rPr>
        <w:t xml:space="preserve"> بخش تحصیل و آموزش بنیاد شتاب‌دهی مطالعات</w:t>
      </w:r>
      <w:r w:rsidRPr="0025250D">
        <w:rPr>
          <w:vertAlign w:val="superscript"/>
          <w:rtl/>
        </w:rPr>
        <w:footnoteReference w:id="1386"/>
      </w:r>
      <w:r w:rsidRPr="0025250D">
        <w:rPr>
          <w:rFonts w:hint="cs"/>
          <w:rtl/>
        </w:rPr>
        <w:t xml:space="preserve"> (</w:t>
      </w:r>
      <w:r w:rsidRPr="0025250D">
        <w:t>ASF</w:t>
      </w:r>
      <w:r w:rsidRPr="0025250D">
        <w:rPr>
          <w:rFonts w:hint="cs"/>
          <w:rtl/>
        </w:rPr>
        <w:t xml:space="preserve">) </w:t>
      </w:r>
      <w:r w:rsidR="00DA0904" w:rsidRPr="0025250D">
        <w:rPr>
          <w:rFonts w:hint="cs"/>
          <w:rtl/>
        </w:rPr>
        <w:t xml:space="preserve">به عنوان </w:t>
      </w:r>
      <w:r w:rsidRPr="0025250D">
        <w:rPr>
          <w:rFonts w:hint="cs"/>
          <w:rtl/>
        </w:rPr>
        <w:t>یک</w:t>
      </w:r>
      <w:r w:rsidR="00DA0904" w:rsidRPr="0025250D">
        <w:rPr>
          <w:rFonts w:hint="cs"/>
          <w:rtl/>
        </w:rPr>
        <w:t xml:space="preserve"> موسسه غیرانتفاعی</w:t>
      </w:r>
      <w:r w:rsidRPr="0025250D">
        <w:rPr>
          <w:rFonts w:hint="cs"/>
          <w:rtl/>
        </w:rPr>
        <w:t xml:space="preserve"> </w:t>
      </w:r>
      <w:r w:rsidRPr="0025250D">
        <w:t>501c3</w:t>
      </w:r>
      <w:r w:rsidRPr="0025250D">
        <w:rPr>
          <w:rFonts w:hint="cs"/>
          <w:rtl/>
        </w:rPr>
        <w:t xml:space="preserve"> </w:t>
      </w:r>
      <w:r w:rsidR="00DA0904" w:rsidRPr="0025250D">
        <w:rPr>
          <w:rFonts w:hint="cs"/>
          <w:rtl/>
        </w:rPr>
        <w:t xml:space="preserve">است </w:t>
      </w:r>
      <w:r w:rsidRPr="0025250D">
        <w:rPr>
          <w:rFonts w:hint="cs"/>
          <w:rtl/>
        </w:rPr>
        <w:t xml:space="preserve">که در سال 2003 برای ترویج درک بهتر و مدیریت فرایند‌های تغییرات </w:t>
      </w:r>
      <w:r w:rsidR="007B3B35" w:rsidRPr="0025250D">
        <w:rPr>
          <w:rFonts w:hint="cs"/>
          <w:rtl/>
        </w:rPr>
        <w:t>شتاب‌گیر</w:t>
      </w:r>
      <w:r w:rsidRPr="0025250D">
        <w:rPr>
          <w:rFonts w:hint="cs"/>
          <w:rtl/>
        </w:rPr>
        <w:t xml:space="preserve">نده تأسیس شد. در سال 2021، </w:t>
      </w:r>
      <w:r w:rsidRPr="0025250D">
        <w:t>ASF</w:t>
      </w:r>
      <w:r w:rsidRPr="0025250D">
        <w:rPr>
          <w:rFonts w:hint="cs"/>
          <w:rtl/>
        </w:rPr>
        <w:t xml:space="preserve"> نام خود را به بنیاد </w:t>
      </w:r>
      <w:r w:rsidRPr="0025250D">
        <w:rPr>
          <w:rtl/>
        </w:rPr>
        <w:t>ف</w:t>
      </w:r>
      <w:r w:rsidRPr="0025250D">
        <w:rPr>
          <w:rFonts w:hint="cs"/>
          <w:rtl/>
        </w:rPr>
        <w:t>ی</w:t>
      </w:r>
      <w:r w:rsidRPr="0025250D">
        <w:rPr>
          <w:rFonts w:hint="eastAsia"/>
          <w:rtl/>
        </w:rPr>
        <w:t>وچر</w:t>
      </w:r>
      <w:r w:rsidRPr="0025250D">
        <w:rPr>
          <w:rtl/>
        </w:rPr>
        <w:t xml:space="preserve"> مد</w:t>
      </w:r>
      <w:r w:rsidRPr="0025250D">
        <w:rPr>
          <w:rFonts w:hint="cs"/>
          <w:rtl/>
        </w:rPr>
        <w:t>ی</w:t>
      </w:r>
      <w:r w:rsidRPr="0025250D">
        <w:rPr>
          <w:rFonts w:hint="eastAsia"/>
          <w:rtl/>
        </w:rPr>
        <w:t>ا</w:t>
      </w:r>
      <w:r w:rsidRPr="0025250D">
        <w:rPr>
          <w:vertAlign w:val="superscript"/>
          <w:rtl/>
        </w:rPr>
        <w:footnoteReference w:id="1387"/>
      </w:r>
      <w:r w:rsidRPr="0025250D">
        <w:rPr>
          <w:rFonts w:hint="cs"/>
          <w:rtl/>
        </w:rPr>
        <w:t xml:space="preserve"> تغییر می‌دهد و </w:t>
      </w:r>
      <w:r w:rsidRPr="0025250D">
        <w:rPr>
          <w:rtl/>
        </w:rPr>
        <w:t>ف</w:t>
      </w:r>
      <w:r w:rsidRPr="0025250D">
        <w:rPr>
          <w:rFonts w:hint="cs"/>
          <w:rtl/>
        </w:rPr>
        <w:t>ی</w:t>
      </w:r>
      <w:r w:rsidRPr="0025250D">
        <w:rPr>
          <w:rFonts w:hint="eastAsia"/>
          <w:rtl/>
        </w:rPr>
        <w:t>وچر</w:t>
      </w:r>
      <w:r w:rsidRPr="0025250D">
        <w:rPr>
          <w:rtl/>
        </w:rPr>
        <w:t xml:space="preserve"> مد</w:t>
      </w:r>
      <w:r w:rsidRPr="0025250D">
        <w:rPr>
          <w:rFonts w:hint="cs"/>
          <w:rtl/>
        </w:rPr>
        <w:t>ی</w:t>
      </w:r>
      <w:r w:rsidRPr="0025250D">
        <w:rPr>
          <w:rFonts w:hint="eastAsia"/>
          <w:rtl/>
        </w:rPr>
        <w:t>ا</w:t>
      </w:r>
      <w:r w:rsidRPr="0025250D">
        <w:rPr>
          <w:rFonts w:hint="cs"/>
          <w:rtl/>
        </w:rPr>
        <w:t xml:space="preserve">، یک </w:t>
      </w:r>
      <w:r w:rsidRPr="0025250D">
        <w:rPr>
          <w:rtl/>
        </w:rPr>
        <w:t>و</w:t>
      </w:r>
      <w:r w:rsidRPr="0025250D">
        <w:rPr>
          <w:rFonts w:hint="cs"/>
          <w:rtl/>
        </w:rPr>
        <w:t>ی</w:t>
      </w:r>
      <w:r w:rsidRPr="0025250D">
        <w:rPr>
          <w:rFonts w:hint="eastAsia"/>
          <w:rtl/>
        </w:rPr>
        <w:t>ک</w:t>
      </w:r>
      <w:r w:rsidRPr="0025250D">
        <w:rPr>
          <w:rFonts w:hint="cs"/>
          <w:rtl/>
        </w:rPr>
        <w:t>ی</w:t>
      </w:r>
      <w:r w:rsidRPr="0025250D">
        <w:rPr>
          <w:rFonts w:hint="eastAsia"/>
          <w:rtl/>
        </w:rPr>
        <w:t>پد</w:t>
      </w:r>
      <w:r w:rsidRPr="0025250D">
        <w:rPr>
          <w:rFonts w:hint="cs"/>
          <w:rtl/>
        </w:rPr>
        <w:t>ی</w:t>
      </w:r>
      <w:r w:rsidRPr="0025250D">
        <w:rPr>
          <w:rFonts w:hint="eastAsia"/>
          <w:rtl/>
        </w:rPr>
        <w:t>ا</w:t>
      </w:r>
      <w:r w:rsidRPr="0025250D">
        <w:rPr>
          <w:vertAlign w:val="superscript"/>
          <w:rtl/>
        </w:rPr>
        <w:footnoteReference w:id="1388"/>
      </w:r>
      <w:r w:rsidRPr="0025250D">
        <w:rPr>
          <w:rFonts w:hint="cs"/>
          <w:rtl/>
        </w:rPr>
        <w:t xml:space="preserve"> برای موضوعات و ایده‌های مربوط به آینده را راه‌اندازی می‌کند. علاوه بر </w:t>
      </w:r>
      <w:r w:rsidRPr="0025250D">
        <w:t>4U</w:t>
      </w:r>
      <w:r w:rsidRPr="0025250D">
        <w:rPr>
          <w:rFonts w:hint="cs"/>
          <w:rtl/>
        </w:rPr>
        <w:t xml:space="preserve">، </w:t>
      </w:r>
      <w:r w:rsidRPr="0025250D">
        <w:t>ASF</w:t>
      </w:r>
      <w:r w:rsidRPr="0025250D">
        <w:rPr>
          <w:rFonts w:hint="cs"/>
          <w:rtl/>
        </w:rPr>
        <w:t xml:space="preserve"> در حال حاضر از </w:t>
      </w:r>
      <w:r w:rsidRPr="0025250D">
        <w:rPr>
          <w:rtl/>
        </w:rPr>
        <w:t>شبکه آموزش و تحق</w:t>
      </w:r>
      <w:r w:rsidRPr="0025250D">
        <w:rPr>
          <w:rFonts w:hint="cs"/>
          <w:rtl/>
        </w:rPr>
        <w:t>ی</w:t>
      </w:r>
      <w:r w:rsidRPr="0025250D">
        <w:rPr>
          <w:rFonts w:hint="eastAsia"/>
          <w:rtl/>
        </w:rPr>
        <w:t>قات</w:t>
      </w:r>
      <w:r w:rsidRPr="0025250D">
        <w:rPr>
          <w:rtl/>
        </w:rPr>
        <w:t xml:space="preserve"> آینده‌نگاری</w:t>
      </w:r>
      <w:r w:rsidRPr="0025250D">
        <w:rPr>
          <w:vertAlign w:val="superscript"/>
          <w:rtl/>
        </w:rPr>
        <w:footnoteReference w:id="1389"/>
      </w:r>
      <w:r w:rsidRPr="0025250D">
        <w:rPr>
          <w:rFonts w:hint="cs"/>
          <w:rtl/>
        </w:rPr>
        <w:t xml:space="preserve"> (</w:t>
      </w:r>
      <w:r w:rsidRPr="0025250D">
        <w:t>FERN</w:t>
      </w:r>
      <w:r w:rsidRPr="0025250D">
        <w:rPr>
          <w:rFonts w:hint="cs"/>
          <w:rtl/>
        </w:rPr>
        <w:t>)</w:t>
      </w:r>
      <w:r w:rsidR="00DA0904" w:rsidRPr="0025250D">
        <w:rPr>
          <w:rFonts w:hint="cs"/>
          <w:rtl/>
        </w:rPr>
        <w:t xml:space="preserve"> به عنوان</w:t>
      </w:r>
      <w:r w:rsidRPr="0025250D">
        <w:rPr>
          <w:rFonts w:hint="cs"/>
          <w:rtl/>
        </w:rPr>
        <w:t xml:space="preserve"> یک مسیر ورودی </w:t>
      </w:r>
      <w:r w:rsidRPr="0025250D">
        <w:rPr>
          <w:rtl/>
        </w:rPr>
        <w:t>آینده‌نگاری</w:t>
      </w:r>
      <w:r w:rsidRPr="0025250D">
        <w:rPr>
          <w:rFonts w:hint="cs"/>
          <w:rtl/>
        </w:rPr>
        <w:t xml:space="preserve"> برای کسانی که در این زمینه تازه‌وارد هستند، وبگاه لینک‌های مرتبط با </w:t>
      </w:r>
      <w:r w:rsidRPr="0025250D">
        <w:rPr>
          <w:rtl/>
        </w:rPr>
        <w:t>آینده‌نگاری</w:t>
      </w:r>
      <w:r w:rsidRPr="0025250D">
        <w:rPr>
          <w:rFonts w:hint="cs"/>
          <w:rtl/>
        </w:rPr>
        <w:t xml:space="preserve"> </w:t>
      </w:r>
      <w:r w:rsidRPr="0025250D">
        <w:t>GlobalForesight.org</w:t>
      </w:r>
      <w:r w:rsidRPr="0025250D">
        <w:rPr>
          <w:rFonts w:hint="cs"/>
          <w:rtl/>
        </w:rPr>
        <w:t xml:space="preserve">، </w:t>
      </w:r>
      <w:r w:rsidRPr="0025250D">
        <w:rPr>
          <w:rtl/>
        </w:rPr>
        <w:t>گروه بحث و گفتگو</w:t>
      </w:r>
      <w:r w:rsidRPr="0025250D">
        <w:rPr>
          <w:rFonts w:hint="cs"/>
          <w:rtl/>
        </w:rPr>
        <w:t>ی</w:t>
      </w:r>
      <w:r w:rsidRPr="0025250D">
        <w:rPr>
          <w:rtl/>
        </w:rPr>
        <w:t xml:space="preserve"> جهان</w:t>
      </w:r>
      <w:r w:rsidRPr="0025250D">
        <w:rPr>
          <w:rFonts w:hint="cs"/>
          <w:rtl/>
        </w:rPr>
        <w:t>ی</w:t>
      </w:r>
      <w:r w:rsidRPr="0025250D">
        <w:rPr>
          <w:rtl/>
        </w:rPr>
        <w:t xml:space="preserve">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با 5000 عضو در ل</w:t>
      </w:r>
      <w:r w:rsidRPr="0025250D">
        <w:rPr>
          <w:rFonts w:hint="cs"/>
          <w:rtl/>
        </w:rPr>
        <w:t>ی</w:t>
      </w:r>
      <w:r w:rsidRPr="0025250D">
        <w:rPr>
          <w:rFonts w:hint="eastAsia"/>
          <w:rtl/>
        </w:rPr>
        <w:t>نکد</w:t>
      </w:r>
      <w:r w:rsidRPr="0025250D">
        <w:rPr>
          <w:rFonts w:hint="cs"/>
          <w:rtl/>
        </w:rPr>
        <w:t>ی</w:t>
      </w:r>
      <w:r w:rsidRPr="0025250D">
        <w:rPr>
          <w:rFonts w:hint="eastAsia"/>
          <w:rtl/>
        </w:rPr>
        <w:t>ن</w:t>
      </w:r>
      <w:r w:rsidRPr="0025250D">
        <w:rPr>
          <w:rFonts w:hint="cs"/>
          <w:rtl/>
        </w:rPr>
        <w:t xml:space="preserve"> و تحقیقات سامانه‌های پیچیده جهان تکاملی-توسعه ای</w:t>
      </w:r>
      <w:r w:rsidRPr="0025250D">
        <w:rPr>
          <w:vertAlign w:val="superscript"/>
          <w:rtl/>
        </w:rPr>
        <w:footnoteReference w:id="1390"/>
      </w:r>
      <w:r w:rsidRPr="0025250D">
        <w:rPr>
          <w:rFonts w:hint="cs"/>
          <w:rtl/>
        </w:rPr>
        <w:t>، کنفرانس‌ها و جامعه انتشارات بنیان‌گذاری شده در سال 2008 پشتیبانی می‌کند.</w:t>
      </w:r>
    </w:p>
    <w:p w14:paraId="6E08D70C" w14:textId="2794D24A" w:rsidR="00537CC8" w:rsidRPr="0025250D" w:rsidRDefault="00537CC8" w:rsidP="00492C47">
      <w:pPr>
        <w:numPr>
          <w:ilvl w:val="0"/>
          <w:numId w:val="34"/>
        </w:numPr>
        <w:rPr>
          <w:rtl/>
        </w:rPr>
      </w:pPr>
      <w:r w:rsidRPr="0025250D">
        <w:rPr>
          <w:rFonts w:hint="cs"/>
          <w:b/>
          <w:bCs/>
          <w:rtl/>
        </w:rPr>
        <w:t>پروژه هزاره</w:t>
      </w:r>
      <w:r w:rsidRPr="0025250D">
        <w:rPr>
          <w:b/>
          <w:bCs/>
          <w:vertAlign w:val="superscript"/>
          <w:rtl/>
        </w:rPr>
        <w:footnoteReference w:id="1391"/>
      </w:r>
      <w:r w:rsidRPr="0025250D">
        <w:rPr>
          <w:rFonts w:hint="cs"/>
          <w:b/>
          <w:bCs/>
          <w:rtl/>
        </w:rPr>
        <w:t xml:space="preserve"> (</w:t>
      </w:r>
      <w:r w:rsidRPr="0025250D">
        <w:rPr>
          <w:b/>
          <w:bCs/>
        </w:rPr>
        <w:t>TMP</w:t>
      </w:r>
      <w:r w:rsidRPr="0025250D">
        <w:rPr>
          <w:rFonts w:hint="cs"/>
          <w:b/>
          <w:bCs/>
          <w:rtl/>
        </w:rPr>
        <w:t>).</w:t>
      </w:r>
      <w:r w:rsidR="00DA0904" w:rsidRPr="0025250D">
        <w:rPr>
          <w:rFonts w:hint="cs"/>
          <w:rtl/>
        </w:rPr>
        <w:t xml:space="preserve"> فعال</w:t>
      </w:r>
      <w:r w:rsidRPr="0025250D">
        <w:rPr>
          <w:rFonts w:hint="cs"/>
          <w:rtl/>
        </w:rPr>
        <w:t xml:space="preserve"> از سال 1996. یک اندیشکده غیرانتفاعی متشکل از بیش از 3500 محقق و آینده‌پژوهان کسب‌وکاری و سیاسی. تحت هدایت آینده‌پژوه برجسته </w:t>
      </w:r>
      <w:r w:rsidRPr="0025250D">
        <w:rPr>
          <w:rtl/>
        </w:rPr>
        <w:t>جر</w:t>
      </w:r>
      <w:r w:rsidRPr="0025250D">
        <w:rPr>
          <w:rFonts w:hint="cs"/>
          <w:rtl/>
        </w:rPr>
        <w:t>ی</w:t>
      </w:r>
      <w:r w:rsidRPr="0025250D">
        <w:rPr>
          <w:rtl/>
        </w:rPr>
        <w:t xml:space="preserve"> گلن</w:t>
      </w:r>
      <w:r w:rsidRPr="0025250D">
        <w:rPr>
          <w:vertAlign w:val="superscript"/>
          <w:rtl/>
        </w:rPr>
        <w:footnoteReference w:id="1392"/>
      </w:r>
      <w:r w:rsidRPr="0025250D">
        <w:rPr>
          <w:rFonts w:hint="cs"/>
          <w:rtl/>
        </w:rPr>
        <w:t xml:space="preserve">، </w:t>
      </w:r>
      <w:r w:rsidRPr="0025250D">
        <w:t>TMP</w:t>
      </w:r>
      <w:r w:rsidRPr="0025250D">
        <w:rPr>
          <w:rFonts w:hint="cs"/>
          <w:rtl/>
        </w:rPr>
        <w:t xml:space="preserve"> تحقیقات و بازخورد‌هایی را از 60 پیوندگاه</w:t>
      </w:r>
      <w:r w:rsidRPr="0025250D">
        <w:rPr>
          <w:vertAlign w:val="superscript"/>
          <w:rtl/>
        </w:rPr>
        <w:footnoteReference w:id="1393"/>
      </w:r>
      <w:r w:rsidRPr="0025250D">
        <w:rPr>
          <w:rFonts w:hint="cs"/>
          <w:rtl/>
        </w:rPr>
        <w:t xml:space="preserve"> خود در سراسر جهان برای گزارش وضعیت آینده</w:t>
      </w:r>
      <w:r w:rsidRPr="0025250D">
        <w:rPr>
          <w:vertAlign w:val="superscript"/>
          <w:rtl/>
        </w:rPr>
        <w:footnoteReference w:id="1394"/>
      </w:r>
      <w:r w:rsidRPr="0025250D">
        <w:rPr>
          <w:rFonts w:hint="cs"/>
          <w:rtl/>
        </w:rPr>
        <w:t xml:space="preserve"> منظم گرد آوری می‌کند. </w:t>
      </w:r>
      <w:r w:rsidRPr="0025250D">
        <w:t>TMP</w:t>
      </w:r>
      <w:r w:rsidRPr="0025250D">
        <w:rPr>
          <w:rFonts w:hint="cs"/>
          <w:rtl/>
        </w:rPr>
        <w:t xml:space="preserve"> همچنین کتاب عالی روش تحقیق آینده‌پژوهی</w:t>
      </w:r>
      <w:r w:rsidRPr="0025250D">
        <w:rPr>
          <w:vertAlign w:val="superscript"/>
          <w:rtl/>
        </w:rPr>
        <w:footnoteReference w:id="1395"/>
      </w:r>
      <w:r w:rsidR="008D6F97" w:rsidRPr="0025250D">
        <w:rPr>
          <w:rtl/>
        </w:rPr>
        <w:t xml:space="preserve"> </w:t>
      </w:r>
      <w:r w:rsidRPr="0025250D">
        <w:rPr>
          <w:rFonts w:hint="cs"/>
          <w:rtl/>
        </w:rPr>
        <w:t xml:space="preserve">و مطالعات خاصی که جدید‌ترین آن‌ها </w:t>
      </w:r>
      <w:r w:rsidR="00DA0904" w:rsidRPr="0025250D">
        <w:rPr>
          <w:rFonts w:hint="cs"/>
          <w:rtl/>
        </w:rPr>
        <w:t>«</w:t>
      </w:r>
      <w:r w:rsidRPr="0025250D">
        <w:rPr>
          <w:rFonts w:hint="cs"/>
          <w:rtl/>
        </w:rPr>
        <w:t>کار در 2050: سه فرانامه</w:t>
      </w:r>
      <w:r w:rsidRPr="0025250D">
        <w:rPr>
          <w:vertAlign w:val="superscript"/>
          <w:rtl/>
        </w:rPr>
        <w:footnoteReference w:id="1396"/>
      </w:r>
      <w:r w:rsidR="00DA0904" w:rsidRPr="0025250D">
        <w:rPr>
          <w:rFonts w:hint="cs"/>
          <w:rtl/>
        </w:rPr>
        <w:t>»</w:t>
      </w:r>
      <w:r w:rsidRPr="0025250D">
        <w:rPr>
          <w:rFonts w:hint="cs"/>
          <w:rtl/>
        </w:rPr>
        <w:t xml:space="preserve"> می‌باشد را منتشر می‌کند. آن‌ها همچنین در حال توسعه یک </w:t>
      </w:r>
      <w:r w:rsidR="008D6F97" w:rsidRPr="0025250D">
        <w:rPr>
          <w:rtl/>
        </w:rPr>
        <w:t>سامانه‌</w:t>
      </w:r>
      <w:r w:rsidRPr="0025250D">
        <w:rPr>
          <w:rtl/>
        </w:rPr>
        <w:t xml:space="preserve"> اطلاعات</w:t>
      </w:r>
      <w:r w:rsidRPr="0025250D">
        <w:rPr>
          <w:rFonts w:hint="cs"/>
          <w:rtl/>
        </w:rPr>
        <w:t>ی</w:t>
      </w:r>
      <w:r w:rsidRPr="0025250D">
        <w:rPr>
          <w:rtl/>
        </w:rPr>
        <w:t xml:space="preserve"> آ</w:t>
      </w:r>
      <w:r w:rsidRPr="0025250D">
        <w:rPr>
          <w:rFonts w:hint="cs"/>
          <w:rtl/>
        </w:rPr>
        <w:t>ی</w:t>
      </w:r>
      <w:r w:rsidRPr="0025250D">
        <w:rPr>
          <w:rFonts w:hint="eastAsia"/>
          <w:rtl/>
        </w:rPr>
        <w:t>نده</w:t>
      </w:r>
      <w:r w:rsidRPr="0025250D">
        <w:rPr>
          <w:rtl/>
        </w:rPr>
        <w:t xml:space="preserve"> جهان</w:t>
      </w:r>
      <w:r w:rsidRPr="0025250D">
        <w:rPr>
          <w:rFonts w:hint="cs"/>
          <w:rtl/>
        </w:rPr>
        <w:t>ی</w:t>
      </w:r>
      <w:r w:rsidRPr="0025250D">
        <w:rPr>
          <w:vertAlign w:val="superscript"/>
          <w:rtl/>
        </w:rPr>
        <w:footnoteReference w:id="1397"/>
      </w:r>
      <w:r w:rsidRPr="0025250D">
        <w:rPr>
          <w:rFonts w:hint="cs"/>
          <w:rtl/>
        </w:rPr>
        <w:t xml:space="preserve"> (</w:t>
      </w:r>
      <w:r w:rsidRPr="0025250D">
        <w:t>GFIS</w:t>
      </w:r>
      <w:r w:rsidRPr="0025250D">
        <w:rPr>
          <w:rFonts w:hint="cs"/>
          <w:rtl/>
        </w:rPr>
        <w:t xml:space="preserve">) هستند. </w:t>
      </w:r>
      <w:r w:rsidRPr="0025250D">
        <w:t>TMP</w:t>
      </w:r>
      <w:r w:rsidRPr="0025250D">
        <w:rPr>
          <w:rFonts w:hint="cs"/>
          <w:rtl/>
        </w:rPr>
        <w:t xml:space="preserve"> هنوز یک انجمن نیست اما به‌عنوان یک انجمن برای </w:t>
      </w:r>
      <w:r w:rsidRPr="0025250D">
        <w:rPr>
          <w:rtl/>
        </w:rPr>
        <w:t>آینده‌نگاری</w:t>
      </w:r>
      <w:r w:rsidRPr="0025250D">
        <w:rPr>
          <w:rFonts w:hint="cs"/>
          <w:rtl/>
        </w:rPr>
        <w:t xml:space="preserve"> دولتی و سیاسی عمل می‌کند. ما به طور مشخص این جامعه را برای </w:t>
      </w:r>
      <w:r w:rsidRPr="0025250D">
        <w:rPr>
          <w:rtl/>
        </w:rPr>
        <w:t>آینده‌نگاری</w:t>
      </w:r>
      <w:r w:rsidRPr="0025250D">
        <w:rPr>
          <w:rFonts w:hint="cs"/>
          <w:rtl/>
        </w:rPr>
        <w:t xml:space="preserve"> اجتماعی و جهانی توصیه می‌کنیم. دیدگاه و </w:t>
      </w:r>
      <w:r w:rsidR="00B56611" w:rsidRPr="0025250D">
        <w:rPr>
          <w:rFonts w:hint="cs"/>
          <w:rtl/>
        </w:rPr>
        <w:t>چشم‌انداز</w:t>
      </w:r>
      <w:r w:rsidRPr="0025250D">
        <w:rPr>
          <w:rFonts w:hint="cs"/>
          <w:rtl/>
        </w:rPr>
        <w:t xml:space="preserve"> جهانی آن‌ها نزدیک به نویسندگان این کتاب راهنما است.</w:t>
      </w:r>
    </w:p>
    <w:p w14:paraId="642EE7C9" w14:textId="5B0F4069" w:rsidR="00537CC8" w:rsidRPr="0025250D" w:rsidRDefault="00537CC8" w:rsidP="00492C47">
      <w:pPr>
        <w:numPr>
          <w:ilvl w:val="0"/>
          <w:numId w:val="34"/>
        </w:numPr>
        <w:rPr>
          <w:rtl/>
        </w:rPr>
      </w:pPr>
      <w:r w:rsidRPr="0025250D">
        <w:rPr>
          <w:rFonts w:hint="cs"/>
          <w:b/>
          <w:bCs/>
          <w:rtl/>
        </w:rPr>
        <w:t>بنیاد لانگ ناو</w:t>
      </w:r>
      <w:r w:rsidRPr="0025250D">
        <w:rPr>
          <w:b/>
          <w:bCs/>
          <w:vertAlign w:val="superscript"/>
          <w:rtl/>
        </w:rPr>
        <w:footnoteReference w:id="1398"/>
      </w:r>
      <w:r w:rsidRPr="0025250D">
        <w:rPr>
          <w:rFonts w:hint="cs"/>
          <w:b/>
          <w:bCs/>
          <w:rtl/>
        </w:rPr>
        <w:t>.</w:t>
      </w:r>
      <w:r w:rsidRPr="0025250D">
        <w:rPr>
          <w:rFonts w:hint="cs"/>
          <w:rtl/>
        </w:rPr>
        <w:t xml:space="preserve"> یک بنیاد غیرانتفاعی مبتنی بر </w:t>
      </w:r>
      <w:r w:rsidRPr="0025250D">
        <w:t>SF</w:t>
      </w:r>
      <w:r w:rsidRPr="0025250D">
        <w:rPr>
          <w:rFonts w:hint="cs"/>
          <w:rtl/>
        </w:rPr>
        <w:t xml:space="preserve"> است که توسط آینده‌پژوه اکولوژیک و اجتماعی </w:t>
      </w:r>
      <w:r w:rsidRPr="0025250D">
        <w:rPr>
          <w:rtl/>
        </w:rPr>
        <w:t>استوارت برند</w:t>
      </w:r>
      <w:r w:rsidRPr="0025250D">
        <w:rPr>
          <w:vertAlign w:val="superscript"/>
          <w:rtl/>
        </w:rPr>
        <w:footnoteReference w:id="1399"/>
      </w:r>
      <w:r w:rsidRPr="0025250D">
        <w:rPr>
          <w:rFonts w:hint="cs"/>
          <w:rtl/>
        </w:rPr>
        <w:t>، نویسنده کاتالوگ کل جهان</w:t>
      </w:r>
      <w:r w:rsidRPr="0025250D">
        <w:rPr>
          <w:vertAlign w:val="superscript"/>
          <w:rtl/>
        </w:rPr>
        <w:footnoteReference w:id="1400"/>
      </w:r>
      <w:r w:rsidRPr="0025250D">
        <w:rPr>
          <w:rFonts w:hint="cs"/>
          <w:rtl/>
        </w:rPr>
        <w:t xml:space="preserve"> بنیان‌گذاری شده است. این بنیاد نقطه مقابلی برای ذهنیت مدرن </w:t>
      </w:r>
      <w:r w:rsidR="0063099E" w:rsidRPr="0025250D">
        <w:rPr>
          <w:rtl/>
        </w:rPr>
        <w:t>«</w:t>
      </w:r>
      <w:r w:rsidRPr="0025250D">
        <w:rPr>
          <w:rFonts w:hint="cs"/>
          <w:rtl/>
        </w:rPr>
        <w:t>سریع‌تر / ارزان تر</w:t>
      </w:r>
      <w:r w:rsidR="0063099E" w:rsidRPr="0025250D">
        <w:rPr>
          <w:rtl/>
        </w:rPr>
        <w:t>»</w:t>
      </w:r>
      <w:r w:rsidRPr="0025250D">
        <w:rPr>
          <w:rFonts w:hint="cs"/>
          <w:rtl/>
        </w:rPr>
        <w:t xml:space="preserve"> از طریق ترویج تفکر </w:t>
      </w:r>
      <w:r w:rsidR="0063099E" w:rsidRPr="0025250D">
        <w:rPr>
          <w:rtl/>
        </w:rPr>
        <w:t>«</w:t>
      </w:r>
      <w:r w:rsidRPr="0025250D">
        <w:rPr>
          <w:rFonts w:hint="cs"/>
          <w:rtl/>
        </w:rPr>
        <w:t>آهسته‌تر / بهتر</w:t>
      </w:r>
      <w:r w:rsidR="0063099E" w:rsidRPr="0025250D">
        <w:rPr>
          <w:rtl/>
        </w:rPr>
        <w:t>»</w:t>
      </w:r>
      <w:r w:rsidRPr="0025250D">
        <w:rPr>
          <w:rFonts w:hint="cs"/>
          <w:rtl/>
        </w:rPr>
        <w:t xml:space="preserve"> ایجاد می‌کند. این بنیاد سمینارهای ماهیانه درمورد تفکر بلند مدت (بایگانی‌های صوتی و تصویری در دسترس هستند) برگزار می‌کند. برخی گفت و گو‌ها و صحبت‌های عالی </w:t>
      </w:r>
      <w:r w:rsidRPr="0025250D">
        <w:rPr>
          <w:rtl/>
        </w:rPr>
        <w:t>آینده‌نگاری</w:t>
      </w:r>
      <w:r w:rsidRPr="0025250D">
        <w:rPr>
          <w:rFonts w:hint="cs"/>
          <w:rtl/>
        </w:rPr>
        <w:t xml:space="preserve"> اجتماعی و جهانی را می‌توانید در وبگاه آن‌ها بیابید. آن‌ها در فعالیت و عملگرایی ضعیف‌تر هستند (</w:t>
      </w:r>
      <w:r w:rsidRPr="0025250D">
        <w:rPr>
          <w:rtl/>
        </w:rPr>
        <w:t>آینده‌نگاری</w:t>
      </w:r>
      <w:r w:rsidRPr="0025250D">
        <w:rPr>
          <w:rFonts w:hint="cs"/>
          <w:rtl/>
        </w:rPr>
        <w:t xml:space="preserve"> فردی، تیمی و سازمانی)، اما در تفکر تصویر کلان قدرت خوبی دارند. </w:t>
      </w:r>
      <w:r w:rsidR="00A20CCB" w:rsidRPr="0025250D">
        <w:rPr>
          <w:rFonts w:hint="cs"/>
          <w:rtl/>
        </w:rPr>
        <w:t>جهان‌بینی</w:t>
      </w:r>
      <w:r w:rsidRPr="0025250D">
        <w:rPr>
          <w:rFonts w:hint="cs"/>
          <w:rtl/>
        </w:rPr>
        <w:t xml:space="preserve"> آن‌ها به نویسندگان این کتاب نزدیک است.</w:t>
      </w:r>
    </w:p>
    <w:p w14:paraId="767EF0BE" w14:textId="08986C39" w:rsidR="00537CC8" w:rsidRPr="0025250D" w:rsidRDefault="00537CC8" w:rsidP="00492C47">
      <w:pPr>
        <w:numPr>
          <w:ilvl w:val="0"/>
          <w:numId w:val="34"/>
        </w:numPr>
        <w:rPr>
          <w:rtl/>
        </w:rPr>
      </w:pPr>
      <w:r w:rsidRPr="0025250D">
        <w:rPr>
          <w:rFonts w:hint="cs"/>
          <w:b/>
          <w:bCs/>
          <w:rtl/>
        </w:rPr>
        <w:t>دانشگاه تکینگی</w:t>
      </w:r>
      <w:r w:rsidRPr="0025250D">
        <w:rPr>
          <w:b/>
          <w:bCs/>
          <w:vertAlign w:val="superscript"/>
          <w:rtl/>
        </w:rPr>
        <w:footnoteReference w:id="1401"/>
      </w:r>
      <w:r w:rsidRPr="0025250D">
        <w:rPr>
          <w:rFonts w:hint="cs"/>
          <w:b/>
          <w:bCs/>
          <w:rtl/>
        </w:rPr>
        <w:t>.</w:t>
      </w:r>
      <w:r w:rsidRPr="0025250D">
        <w:rPr>
          <w:rFonts w:hint="cs"/>
          <w:rtl/>
        </w:rPr>
        <w:t xml:space="preserve"> </w:t>
      </w:r>
      <w:r w:rsidRPr="0025250D">
        <w:t>SU</w:t>
      </w:r>
      <w:r w:rsidRPr="0025250D">
        <w:rPr>
          <w:rFonts w:hint="cs"/>
          <w:rtl/>
        </w:rPr>
        <w:t xml:space="preserve"> توسط آینده‌پژوهان برجسته </w:t>
      </w:r>
      <w:r w:rsidRPr="0025250D">
        <w:rPr>
          <w:rtl/>
        </w:rPr>
        <w:t>پ</w:t>
      </w:r>
      <w:r w:rsidRPr="0025250D">
        <w:rPr>
          <w:rFonts w:hint="cs"/>
          <w:rtl/>
        </w:rPr>
        <w:t>ی</w:t>
      </w:r>
      <w:r w:rsidRPr="0025250D">
        <w:rPr>
          <w:rFonts w:hint="eastAsia"/>
          <w:rtl/>
        </w:rPr>
        <w:t>تر</w:t>
      </w:r>
      <w:r w:rsidRPr="0025250D">
        <w:rPr>
          <w:rtl/>
        </w:rPr>
        <w:t xml:space="preserve"> د</w:t>
      </w:r>
      <w:r w:rsidRPr="0025250D">
        <w:rPr>
          <w:rFonts w:hint="cs"/>
          <w:rtl/>
        </w:rPr>
        <w:t>ی</w:t>
      </w:r>
      <w:r w:rsidRPr="0025250D">
        <w:rPr>
          <w:rFonts w:hint="eastAsia"/>
          <w:rtl/>
        </w:rPr>
        <w:t>اماند</w:t>
      </w:r>
      <w:r w:rsidRPr="0025250D">
        <w:rPr>
          <w:rFonts w:hint="cs"/>
          <w:rtl/>
        </w:rPr>
        <w:t>ی</w:t>
      </w:r>
      <w:r w:rsidRPr="0025250D">
        <w:rPr>
          <w:rFonts w:hint="eastAsia"/>
          <w:rtl/>
        </w:rPr>
        <w:t>س</w:t>
      </w:r>
      <w:r w:rsidRPr="0025250D">
        <w:rPr>
          <w:vertAlign w:val="superscript"/>
          <w:rtl/>
        </w:rPr>
        <w:footnoteReference w:id="1402"/>
      </w:r>
      <w:r w:rsidRPr="0025250D">
        <w:rPr>
          <w:rFonts w:hint="cs"/>
          <w:rtl/>
        </w:rPr>
        <w:t xml:space="preserve"> و </w:t>
      </w:r>
      <w:r w:rsidRPr="0025250D">
        <w:rPr>
          <w:rtl/>
        </w:rPr>
        <w:t>ر</w:t>
      </w:r>
      <w:r w:rsidRPr="0025250D">
        <w:rPr>
          <w:rFonts w:hint="cs"/>
          <w:rtl/>
        </w:rPr>
        <w:t>ی</w:t>
      </w:r>
      <w:r w:rsidRPr="0025250D">
        <w:rPr>
          <w:rtl/>
        </w:rPr>
        <w:t xml:space="preserve"> کورزو</w:t>
      </w:r>
      <w:r w:rsidRPr="0025250D">
        <w:rPr>
          <w:rFonts w:hint="cs"/>
          <w:rtl/>
        </w:rPr>
        <w:t>ی</w:t>
      </w:r>
      <w:r w:rsidRPr="0025250D">
        <w:rPr>
          <w:rFonts w:hint="eastAsia"/>
          <w:rtl/>
        </w:rPr>
        <w:t>ل</w:t>
      </w:r>
      <w:r w:rsidRPr="0025250D">
        <w:rPr>
          <w:vertAlign w:val="superscript"/>
          <w:rtl/>
        </w:rPr>
        <w:footnoteReference w:id="1403"/>
      </w:r>
      <w:r w:rsidRPr="0025250D">
        <w:rPr>
          <w:rFonts w:hint="cs"/>
          <w:rtl/>
        </w:rPr>
        <w:t xml:space="preserve"> بنیان‌گذاری شده است و هدف آن ترویج </w:t>
      </w:r>
      <w:r w:rsidRPr="0025250D">
        <w:rPr>
          <w:rtl/>
        </w:rPr>
        <w:t>آینده‌نگاری</w:t>
      </w:r>
      <w:r w:rsidRPr="0025250D">
        <w:rPr>
          <w:rFonts w:hint="cs"/>
          <w:rtl/>
        </w:rPr>
        <w:t xml:space="preserve"> سازمانی، اجتماعی و جهانی، با تمرکز بر استفاده از کارآفرینی، علم و </w:t>
      </w:r>
      <w:r w:rsidR="007A53FD" w:rsidRPr="0025250D">
        <w:rPr>
          <w:rFonts w:hint="cs"/>
          <w:rtl/>
        </w:rPr>
        <w:t>فناوری</w:t>
      </w:r>
      <w:r w:rsidRPr="0025250D">
        <w:rPr>
          <w:rFonts w:hint="cs"/>
          <w:rtl/>
        </w:rPr>
        <w:t xml:space="preserve"> برای حل چالش‌های اصلی بشریت است. آن‌ها برنامه‌های آموزشی اجرایی در زمینه تفکر نمایی را اجرا می‌کنند و شبکه‌ای جهانی از شعبه‌های </w:t>
      </w:r>
      <w:r w:rsidRPr="0025250D">
        <w:t>SU</w:t>
      </w:r>
      <w:r w:rsidRPr="0025250D">
        <w:rPr>
          <w:rFonts w:hint="cs"/>
          <w:rtl/>
        </w:rPr>
        <w:t xml:space="preserve"> را مدیریت می‌کنند. کنفرانس سالیانه پرچم دار آن‌ها، </w:t>
      </w:r>
      <w:r w:rsidRPr="0025250D">
        <w:rPr>
          <w:rtl/>
        </w:rPr>
        <w:t>اجلاس جهان</w:t>
      </w:r>
      <w:r w:rsidRPr="0025250D">
        <w:rPr>
          <w:rFonts w:hint="cs"/>
          <w:rtl/>
        </w:rPr>
        <w:t>ی</w:t>
      </w:r>
      <w:r w:rsidRPr="0025250D">
        <w:rPr>
          <w:rtl/>
        </w:rPr>
        <w:t xml:space="preserve"> </w:t>
      </w:r>
      <w:r w:rsidRPr="0025250D">
        <w:t>SU</w:t>
      </w:r>
      <w:r w:rsidRPr="0025250D">
        <w:rPr>
          <w:vertAlign w:val="superscript"/>
        </w:rPr>
        <w:footnoteReference w:id="1404"/>
      </w:r>
      <w:r w:rsidRPr="0025250D">
        <w:rPr>
          <w:rFonts w:hint="cs"/>
          <w:rtl/>
        </w:rPr>
        <w:t xml:space="preserve">، تغییرات نمایی و سریع و فعالیت‌های کارآفرینانه در حوزه‌های مختلف را کاوش می‌کند. آنها همچنین مجموعه کنفرانس‌های صنعتی، یک کنفرانس در زمینه پزشکی نمایی و کنفرانس‌های موردی در زمینه موضوعات تولید نمایی و امور مالی نمایی، یک شتاب دهنده استارتاپی، </w:t>
      </w:r>
      <w:r w:rsidR="00F50EB4" w:rsidRPr="0025250D">
        <w:rPr>
          <w:rFonts w:hint="cs"/>
          <w:rtl/>
        </w:rPr>
        <w:t>سرمایه‌گذاری</w:t>
      </w:r>
      <w:r w:rsidRPr="0025250D">
        <w:rPr>
          <w:rFonts w:hint="cs"/>
          <w:rtl/>
        </w:rPr>
        <w:t xml:space="preserve">‌های </w:t>
      </w:r>
      <w:r w:rsidRPr="0025250D">
        <w:t>SU</w:t>
      </w:r>
      <w:r w:rsidRPr="0025250D">
        <w:rPr>
          <w:rFonts w:hint="cs"/>
          <w:rtl/>
        </w:rPr>
        <w:t xml:space="preserve"> و مرکز تکینگی</w:t>
      </w:r>
      <w:r w:rsidRPr="0025250D">
        <w:rPr>
          <w:vertAlign w:val="superscript"/>
          <w:rtl/>
        </w:rPr>
        <w:footnoteReference w:id="1405"/>
      </w:r>
      <w:r w:rsidRPr="0025250D">
        <w:rPr>
          <w:rFonts w:hint="cs"/>
          <w:rtl/>
        </w:rPr>
        <w:t xml:space="preserve">، یک وبگاه رسانه‌ای درمورد پیشرفت‌های نمایی را اجرا می‌کنند. </w:t>
      </w:r>
      <w:r w:rsidR="00A20CCB" w:rsidRPr="0025250D">
        <w:rPr>
          <w:rFonts w:hint="cs"/>
          <w:rtl/>
        </w:rPr>
        <w:t>جهان‌بینی</w:t>
      </w:r>
      <w:r w:rsidRPr="0025250D">
        <w:rPr>
          <w:rFonts w:hint="cs"/>
          <w:rtl/>
        </w:rPr>
        <w:t xml:space="preserve"> آن‌ها به نویسندگان این کتاب نزدیک است.</w:t>
      </w:r>
    </w:p>
    <w:p w14:paraId="7EE6AA59" w14:textId="3C6A946F" w:rsidR="00537CC8" w:rsidRPr="0025250D" w:rsidRDefault="00537CC8" w:rsidP="00492C47">
      <w:pPr>
        <w:numPr>
          <w:ilvl w:val="0"/>
          <w:numId w:val="34"/>
        </w:numPr>
        <w:rPr>
          <w:rtl/>
        </w:rPr>
      </w:pPr>
      <w:r w:rsidRPr="0025250D">
        <w:rPr>
          <w:rFonts w:hint="cs"/>
          <w:b/>
          <w:bCs/>
          <w:rtl/>
        </w:rPr>
        <w:t>اوپن اکسو</w:t>
      </w:r>
      <w:r w:rsidRPr="0025250D">
        <w:rPr>
          <w:b/>
          <w:bCs/>
          <w:vertAlign w:val="superscript"/>
          <w:rtl/>
        </w:rPr>
        <w:footnoteReference w:id="1406"/>
      </w:r>
      <w:r w:rsidRPr="0025250D">
        <w:rPr>
          <w:rFonts w:hint="cs"/>
          <w:rtl/>
        </w:rPr>
        <w:t xml:space="preserve"> به صورت مشترک بنیان‌گذاری شده و تحت هدایت آینده‌پژوه </w:t>
      </w:r>
      <w:r w:rsidRPr="0025250D">
        <w:rPr>
          <w:rtl/>
        </w:rPr>
        <w:t>سل</w:t>
      </w:r>
      <w:r w:rsidRPr="0025250D">
        <w:rPr>
          <w:rFonts w:hint="cs"/>
          <w:rtl/>
        </w:rPr>
        <w:t>ی</w:t>
      </w:r>
      <w:r w:rsidRPr="0025250D">
        <w:rPr>
          <w:rFonts w:hint="eastAsia"/>
          <w:rtl/>
        </w:rPr>
        <w:t>م</w:t>
      </w:r>
      <w:r w:rsidRPr="0025250D">
        <w:rPr>
          <w:rtl/>
        </w:rPr>
        <w:t xml:space="preserve"> اسماع</w:t>
      </w:r>
      <w:r w:rsidRPr="0025250D">
        <w:rPr>
          <w:rFonts w:hint="cs"/>
          <w:rtl/>
        </w:rPr>
        <w:t>ی</w:t>
      </w:r>
      <w:r w:rsidRPr="0025250D">
        <w:rPr>
          <w:rFonts w:hint="eastAsia"/>
          <w:rtl/>
        </w:rPr>
        <w:t>ل</w:t>
      </w:r>
      <w:r w:rsidRPr="0025250D">
        <w:rPr>
          <w:vertAlign w:val="superscript"/>
          <w:rtl/>
        </w:rPr>
        <w:footnoteReference w:id="1407"/>
      </w:r>
      <w:r w:rsidRPr="0025250D">
        <w:rPr>
          <w:rFonts w:hint="cs"/>
          <w:rtl/>
        </w:rPr>
        <w:t xml:space="preserve"> قرار دارد که سابقا در </w:t>
      </w:r>
      <w:r w:rsidRPr="0025250D">
        <w:t>SU</w:t>
      </w:r>
      <w:r w:rsidRPr="0025250D">
        <w:rPr>
          <w:rFonts w:hint="cs"/>
          <w:rtl/>
        </w:rPr>
        <w:t xml:space="preserve"> بوده است. اوپن اکسو </w:t>
      </w:r>
      <w:r w:rsidR="00A20CCB" w:rsidRPr="0025250D">
        <w:rPr>
          <w:rFonts w:hint="cs"/>
          <w:rtl/>
        </w:rPr>
        <w:t>جهان‌بینی</w:t>
      </w:r>
      <w:r w:rsidRPr="0025250D">
        <w:rPr>
          <w:rFonts w:hint="cs"/>
          <w:rtl/>
        </w:rPr>
        <w:t xml:space="preserve"> نمایی مشابهی مانند </w:t>
      </w:r>
      <w:r w:rsidRPr="0025250D">
        <w:t>SU</w:t>
      </w:r>
      <w:r w:rsidRPr="0025250D">
        <w:rPr>
          <w:rFonts w:hint="cs"/>
          <w:rtl/>
        </w:rPr>
        <w:t xml:space="preserve"> دارد، اما تمرکز</w:t>
      </w:r>
      <w:r w:rsidR="0008779C" w:rsidRPr="0025250D">
        <w:rPr>
          <w:rFonts w:hint="cs"/>
          <w:rtl/>
        </w:rPr>
        <w:t xml:space="preserve"> بیش‌تر</w:t>
      </w:r>
      <w:r w:rsidRPr="0025250D">
        <w:rPr>
          <w:rFonts w:hint="cs"/>
          <w:rtl/>
        </w:rPr>
        <w:t xml:space="preserve">ی بر </w:t>
      </w:r>
      <w:r w:rsidRPr="0025250D">
        <w:rPr>
          <w:rtl/>
        </w:rPr>
        <w:t>آینده‌نگاری</w:t>
      </w:r>
      <w:r w:rsidRPr="0025250D">
        <w:rPr>
          <w:rFonts w:hint="cs"/>
          <w:rtl/>
        </w:rPr>
        <w:t xml:space="preserve"> فردی، تیمی و سازمانی دارد. این بنیاد شبکه‌ای جهانی از مربیانی که دارای مدرک در زمینه تحول افراد، تیم‌ها و سازمان‌ها هستند را برای کمک به آن‌ها جهت استفاده از تفکر و ابزارهای نمایی اداره می‌کند. در زمینه تغییر سازمانی، این بنیاد مشخصا بر کمک به استارتاپ‌ها متمرکز است. آن‌ها وبینار‌های اکسوی</w:t>
      </w:r>
      <w:r w:rsidRPr="0025250D">
        <w:rPr>
          <w:vertAlign w:val="superscript"/>
          <w:rtl/>
        </w:rPr>
        <w:footnoteReference w:id="1408"/>
      </w:r>
      <w:r w:rsidRPr="0025250D">
        <w:rPr>
          <w:rFonts w:hint="cs"/>
          <w:rtl/>
        </w:rPr>
        <w:t xml:space="preserve"> متعدد و یک گردهم</w:t>
      </w:r>
      <w:r w:rsidR="007A5175" w:rsidRPr="0025250D">
        <w:rPr>
          <w:rFonts w:hint="cs"/>
          <w:rtl/>
        </w:rPr>
        <w:t>‌</w:t>
      </w:r>
      <w:r w:rsidRPr="0025250D">
        <w:rPr>
          <w:rFonts w:hint="cs"/>
          <w:rtl/>
        </w:rPr>
        <w:t xml:space="preserve">آیی دو سالانه </w:t>
      </w:r>
      <w:r w:rsidR="00B124DE" w:rsidRPr="0025250D">
        <w:rPr>
          <w:rFonts w:hint="cs"/>
          <w:rtl/>
        </w:rPr>
        <w:t>کسب‌و‌کار</w:t>
      </w:r>
      <w:r w:rsidRPr="0025250D">
        <w:rPr>
          <w:rFonts w:hint="cs"/>
          <w:rtl/>
        </w:rPr>
        <w:t xml:space="preserve">‌های کوچک جهانی اکسو را برگزار می‌کنند. کتاب‌های بنیادی آن‌ها </w:t>
      </w:r>
      <w:r w:rsidR="007A5175" w:rsidRPr="0025250D">
        <w:rPr>
          <w:rFonts w:hint="cs"/>
          <w:rtl/>
        </w:rPr>
        <w:t xml:space="preserve">با عناوین </w:t>
      </w:r>
      <w:r w:rsidR="0063099E" w:rsidRPr="0025250D">
        <w:rPr>
          <w:rtl/>
        </w:rPr>
        <w:t>«</w:t>
      </w:r>
      <w:r w:rsidRPr="0025250D">
        <w:rPr>
          <w:rFonts w:hint="cs"/>
          <w:rtl/>
        </w:rPr>
        <w:t>سازمان‌های نمایی: چرا سازمان‌های جدید ده برابر سریع‌تر هستند</w:t>
      </w:r>
      <w:r w:rsidRPr="0025250D">
        <w:rPr>
          <w:vertAlign w:val="superscript"/>
          <w:rtl/>
        </w:rPr>
        <w:footnoteReference w:id="1409"/>
      </w:r>
      <w:r w:rsidR="0063099E" w:rsidRPr="0025250D">
        <w:rPr>
          <w:rtl/>
        </w:rPr>
        <w:t>»</w:t>
      </w:r>
      <w:r w:rsidRPr="0025250D">
        <w:rPr>
          <w:rFonts w:hint="cs"/>
          <w:rtl/>
        </w:rPr>
        <w:t xml:space="preserve"> در سال 2014 و </w:t>
      </w:r>
      <w:r w:rsidR="0063099E" w:rsidRPr="0025250D">
        <w:rPr>
          <w:rtl/>
        </w:rPr>
        <w:t>«</w:t>
      </w:r>
      <w:r w:rsidRPr="0025250D">
        <w:rPr>
          <w:rFonts w:hint="cs"/>
          <w:rtl/>
        </w:rPr>
        <w:t>تحول نمایی: سازمان خود را با یک ماراتن سرعت 10 هفته‌ای تکامل دهید</w:t>
      </w:r>
      <w:r w:rsidRPr="0025250D">
        <w:rPr>
          <w:vertAlign w:val="superscript"/>
          <w:rtl/>
        </w:rPr>
        <w:footnoteReference w:id="1410"/>
      </w:r>
      <w:r w:rsidR="0063099E" w:rsidRPr="0025250D">
        <w:rPr>
          <w:rtl/>
        </w:rPr>
        <w:t>»</w:t>
      </w:r>
      <w:r w:rsidRPr="0025250D">
        <w:rPr>
          <w:rFonts w:hint="cs"/>
          <w:rtl/>
        </w:rPr>
        <w:t xml:space="preserve"> در سال 2019 می‌باشند</w:t>
      </w:r>
      <w:r w:rsidR="008D6F97" w:rsidRPr="0025250D">
        <w:rPr>
          <w:rtl/>
        </w:rPr>
        <w:t xml:space="preserve">؛ </w:t>
      </w:r>
      <w:r w:rsidRPr="0025250D">
        <w:rPr>
          <w:rFonts w:hint="cs"/>
          <w:rtl/>
        </w:rPr>
        <w:t xml:space="preserve">مانند </w:t>
      </w:r>
      <w:r w:rsidRPr="0025250D">
        <w:t>SU</w:t>
      </w:r>
      <w:r w:rsidRPr="0025250D">
        <w:rPr>
          <w:rFonts w:hint="cs"/>
          <w:rtl/>
        </w:rPr>
        <w:t>، ما این جامعه را به افرادی که به دنبال جدی گرفتن تفکر نمایی در زندگی‌های خود و اقدام مانند یک کارآفرین در سازمان‌های خود هستند توصیه می‌کنیم.</w:t>
      </w:r>
    </w:p>
    <w:p w14:paraId="722205F3" w14:textId="009C9D70" w:rsidR="00537CC8" w:rsidRPr="0025250D" w:rsidRDefault="00537CC8" w:rsidP="00492C47">
      <w:pPr>
        <w:numPr>
          <w:ilvl w:val="0"/>
          <w:numId w:val="34"/>
        </w:numPr>
        <w:rPr>
          <w:rtl/>
        </w:rPr>
      </w:pPr>
      <w:r w:rsidRPr="0025250D">
        <w:rPr>
          <w:rFonts w:hint="cs"/>
          <w:b/>
          <w:bCs/>
          <w:rtl/>
        </w:rPr>
        <w:t>قضاوت خوب باز</w:t>
      </w:r>
      <w:r w:rsidRPr="0025250D">
        <w:rPr>
          <w:b/>
          <w:bCs/>
          <w:vertAlign w:val="superscript"/>
          <w:rtl/>
        </w:rPr>
        <w:footnoteReference w:id="1411"/>
      </w:r>
      <w:r w:rsidRPr="0025250D">
        <w:rPr>
          <w:rFonts w:hint="cs"/>
          <w:b/>
          <w:bCs/>
          <w:rtl/>
        </w:rPr>
        <w:t>.</w:t>
      </w:r>
      <w:r w:rsidRPr="0025250D">
        <w:rPr>
          <w:rFonts w:hint="cs"/>
          <w:rtl/>
        </w:rPr>
        <w:t xml:space="preserve"> به</w:t>
      </w:r>
      <w:r w:rsidRPr="0025250D">
        <w:rPr>
          <w:rtl/>
        </w:rPr>
        <w:t xml:space="preserve"> </w:t>
      </w:r>
      <w:r w:rsidRPr="0025250D">
        <w:rPr>
          <w:rFonts w:hint="cs"/>
          <w:rtl/>
        </w:rPr>
        <w:t>صورت</w:t>
      </w:r>
      <w:r w:rsidRPr="0025250D">
        <w:rPr>
          <w:rtl/>
        </w:rPr>
        <w:t xml:space="preserve"> </w:t>
      </w:r>
      <w:r w:rsidRPr="0025250D">
        <w:rPr>
          <w:rFonts w:hint="cs"/>
          <w:rtl/>
        </w:rPr>
        <w:t>مشترک</w:t>
      </w:r>
      <w:r w:rsidRPr="0025250D">
        <w:rPr>
          <w:rtl/>
        </w:rPr>
        <w:t xml:space="preserve"> </w:t>
      </w:r>
      <w:r w:rsidRPr="0025250D">
        <w:rPr>
          <w:rFonts w:hint="cs"/>
          <w:rtl/>
        </w:rPr>
        <w:t>بنیان‌گذاری</w:t>
      </w:r>
      <w:r w:rsidRPr="0025250D">
        <w:rPr>
          <w:rtl/>
        </w:rPr>
        <w:t xml:space="preserve"> </w:t>
      </w:r>
      <w:r w:rsidRPr="0025250D">
        <w:rPr>
          <w:rFonts w:hint="cs"/>
          <w:rtl/>
        </w:rPr>
        <w:t>شده</w:t>
      </w:r>
      <w:r w:rsidRPr="0025250D">
        <w:rPr>
          <w:rtl/>
        </w:rPr>
        <w:t xml:space="preserve"> </w:t>
      </w:r>
      <w:r w:rsidRPr="0025250D">
        <w:rPr>
          <w:rFonts w:hint="cs"/>
          <w:rtl/>
        </w:rPr>
        <w:t>و</w:t>
      </w:r>
      <w:r w:rsidRPr="0025250D">
        <w:rPr>
          <w:rtl/>
        </w:rPr>
        <w:t xml:space="preserve"> </w:t>
      </w:r>
      <w:r w:rsidRPr="0025250D">
        <w:rPr>
          <w:rFonts w:hint="cs"/>
          <w:rtl/>
        </w:rPr>
        <w:t>تحت</w:t>
      </w:r>
      <w:r w:rsidRPr="0025250D">
        <w:rPr>
          <w:rtl/>
        </w:rPr>
        <w:t xml:space="preserve"> </w:t>
      </w:r>
      <w:r w:rsidRPr="0025250D">
        <w:rPr>
          <w:rFonts w:hint="cs"/>
          <w:rtl/>
        </w:rPr>
        <w:t>هدایت</w:t>
      </w:r>
      <w:r w:rsidRPr="0025250D">
        <w:rPr>
          <w:rtl/>
        </w:rPr>
        <w:t xml:space="preserve"> </w:t>
      </w:r>
      <w:r w:rsidRPr="0025250D">
        <w:rPr>
          <w:rFonts w:hint="cs"/>
          <w:rtl/>
        </w:rPr>
        <w:t xml:space="preserve">فرد آکادمیک در علم سیاسی و </w:t>
      </w:r>
      <w:r w:rsidR="00FB6A7E" w:rsidRPr="0025250D">
        <w:rPr>
          <w:rFonts w:hint="cs"/>
          <w:rtl/>
        </w:rPr>
        <w:t>پیش‌نگری</w:t>
      </w:r>
      <w:r w:rsidRPr="0025250D">
        <w:rPr>
          <w:rFonts w:hint="cs"/>
          <w:rtl/>
        </w:rPr>
        <w:t xml:space="preserve"> </w:t>
      </w:r>
      <w:r w:rsidRPr="0025250D">
        <w:rPr>
          <w:rtl/>
        </w:rPr>
        <w:t>ف</w:t>
      </w:r>
      <w:r w:rsidRPr="0025250D">
        <w:rPr>
          <w:rFonts w:hint="cs"/>
          <w:rtl/>
        </w:rPr>
        <w:t>ی</w:t>
      </w:r>
      <w:r w:rsidRPr="0025250D">
        <w:rPr>
          <w:rFonts w:hint="eastAsia"/>
          <w:rtl/>
        </w:rPr>
        <w:t>ل</w:t>
      </w:r>
      <w:r w:rsidRPr="0025250D">
        <w:rPr>
          <w:rFonts w:hint="cs"/>
          <w:rtl/>
        </w:rPr>
        <w:t>ی</w:t>
      </w:r>
      <w:r w:rsidRPr="0025250D">
        <w:rPr>
          <w:rFonts w:hint="eastAsia"/>
          <w:rtl/>
        </w:rPr>
        <w:t>پ</w:t>
      </w:r>
      <w:r w:rsidRPr="0025250D">
        <w:rPr>
          <w:rtl/>
        </w:rPr>
        <w:t xml:space="preserve"> تتلاک</w:t>
      </w:r>
      <w:r w:rsidRPr="0025250D">
        <w:rPr>
          <w:rFonts w:hint="cs"/>
          <w:rtl/>
        </w:rPr>
        <w:t xml:space="preserve"> در دانشگاه پنسیلوانیا می‌باشد. جامعه‌ای از قضاوت خوب، یک شرکت خدمات </w:t>
      </w:r>
      <w:r w:rsidR="00FB6A7E" w:rsidRPr="0025250D">
        <w:rPr>
          <w:rFonts w:hint="cs"/>
          <w:rtl/>
        </w:rPr>
        <w:t>پیش‌نگری</w:t>
      </w:r>
      <w:r w:rsidRPr="0025250D">
        <w:rPr>
          <w:rFonts w:hint="cs"/>
          <w:rtl/>
        </w:rPr>
        <w:t xml:space="preserve"> می‌باشد. قضاوت خوب به کارسپاران شرکتی و دولتی برای بهبود </w:t>
      </w:r>
      <w:r w:rsidR="00FB6A7E" w:rsidRPr="0025250D">
        <w:rPr>
          <w:rFonts w:hint="cs"/>
          <w:rtl/>
        </w:rPr>
        <w:t>پیش‌نگری</w:t>
      </w:r>
      <w:r w:rsidRPr="0025250D">
        <w:rPr>
          <w:rFonts w:hint="cs"/>
          <w:rtl/>
        </w:rPr>
        <w:t xml:space="preserve"> خود کمک می‌کند. قضاوت خوب باز به هر کس اجازه می‌دهد که از چالش‌های </w:t>
      </w:r>
      <w:r w:rsidR="00FB6A7E" w:rsidRPr="0025250D">
        <w:rPr>
          <w:rFonts w:hint="cs"/>
          <w:rtl/>
        </w:rPr>
        <w:t>پیش‌نگری</w:t>
      </w:r>
      <w:r w:rsidRPr="0025250D">
        <w:rPr>
          <w:rFonts w:hint="cs"/>
          <w:rtl/>
        </w:rPr>
        <w:t xml:space="preserve"> حمایت کند، رویداد‌های بزرگ سیاسی، اقتصادی و </w:t>
      </w:r>
      <w:r w:rsidR="007A53FD" w:rsidRPr="0025250D">
        <w:rPr>
          <w:rFonts w:hint="cs"/>
          <w:rtl/>
        </w:rPr>
        <w:t>فناوری</w:t>
      </w:r>
      <w:r w:rsidRPr="0025250D">
        <w:rPr>
          <w:rFonts w:hint="cs"/>
          <w:rtl/>
        </w:rPr>
        <w:t xml:space="preserve"> سال‌های آتی را </w:t>
      </w:r>
      <w:r w:rsidR="00923DDB" w:rsidRPr="0025250D">
        <w:rPr>
          <w:rFonts w:hint="cs"/>
          <w:rtl/>
        </w:rPr>
        <w:t>پیش‌انگاری</w:t>
      </w:r>
      <w:r w:rsidRPr="0025250D">
        <w:rPr>
          <w:rFonts w:hint="cs"/>
          <w:rtl/>
        </w:rPr>
        <w:t xml:space="preserve"> کند. مجله اکونومیست</w:t>
      </w:r>
      <w:r w:rsidRPr="0025250D">
        <w:rPr>
          <w:vertAlign w:val="superscript"/>
          <w:rtl/>
        </w:rPr>
        <w:footnoteReference w:id="1412"/>
      </w:r>
      <w:r w:rsidRPr="0025250D">
        <w:rPr>
          <w:rFonts w:hint="cs"/>
          <w:rtl/>
        </w:rPr>
        <w:t xml:space="preserve"> و دیگران از چنین چالش‌هایی حمایت </w:t>
      </w:r>
      <w:r w:rsidR="007118DE" w:rsidRPr="0025250D">
        <w:rPr>
          <w:rFonts w:hint="cs"/>
          <w:rtl/>
        </w:rPr>
        <w:t>کرده‌اند</w:t>
      </w:r>
      <w:r w:rsidRPr="0025250D">
        <w:rPr>
          <w:rFonts w:hint="cs"/>
          <w:rtl/>
        </w:rPr>
        <w:t xml:space="preserve">. کتاب بنیادی آن‌ها </w:t>
      </w:r>
      <w:r w:rsidR="007A5175" w:rsidRPr="0025250D">
        <w:rPr>
          <w:rFonts w:hint="cs"/>
          <w:rtl/>
        </w:rPr>
        <w:t>با عنوان «</w:t>
      </w:r>
      <w:r w:rsidR="00127288" w:rsidRPr="0025250D">
        <w:rPr>
          <w:rFonts w:hint="cs"/>
          <w:rtl/>
        </w:rPr>
        <w:t>فرا</w:t>
      </w:r>
      <w:r w:rsidR="00FB6A7E" w:rsidRPr="0025250D">
        <w:rPr>
          <w:rFonts w:hint="cs"/>
          <w:rtl/>
        </w:rPr>
        <w:t>پیش‌نگری</w:t>
      </w:r>
      <w:r w:rsidRPr="0025250D">
        <w:rPr>
          <w:rFonts w:hint="cs"/>
          <w:rtl/>
        </w:rPr>
        <w:t xml:space="preserve">: هنر و علم </w:t>
      </w:r>
      <w:r w:rsidR="00D92F6E" w:rsidRPr="0025250D">
        <w:rPr>
          <w:rFonts w:hint="cs"/>
          <w:rtl/>
        </w:rPr>
        <w:t>پیش‌بین</w:t>
      </w:r>
      <w:r w:rsidRPr="0025250D">
        <w:rPr>
          <w:rFonts w:hint="cs"/>
          <w:rtl/>
        </w:rPr>
        <w:t>ی</w:t>
      </w:r>
      <w:r w:rsidRPr="0025250D">
        <w:rPr>
          <w:vertAlign w:val="superscript"/>
          <w:rtl/>
        </w:rPr>
        <w:footnoteReference w:id="1413"/>
      </w:r>
      <w:r w:rsidR="007A5175" w:rsidRPr="0025250D">
        <w:rPr>
          <w:rFonts w:hint="cs"/>
          <w:rtl/>
        </w:rPr>
        <w:t>»</w:t>
      </w:r>
      <w:r w:rsidRPr="0025250D">
        <w:rPr>
          <w:rFonts w:hint="cs"/>
          <w:rtl/>
        </w:rPr>
        <w:t xml:space="preserve"> در سال 2015 است. آن‌ها یکی از بازارهای </w:t>
      </w:r>
      <w:r w:rsidR="00D92F6E" w:rsidRPr="0025250D">
        <w:rPr>
          <w:rFonts w:hint="cs"/>
          <w:rtl/>
        </w:rPr>
        <w:t>پیش‌بین</w:t>
      </w:r>
      <w:r w:rsidRPr="0025250D">
        <w:rPr>
          <w:rFonts w:hint="cs"/>
          <w:rtl/>
        </w:rPr>
        <w:t xml:space="preserve">ی آزاد برجسته هستند. ما همچنین </w:t>
      </w:r>
      <w:r w:rsidRPr="0025250D">
        <w:rPr>
          <w:rtl/>
        </w:rPr>
        <w:t>متاکولوس</w:t>
      </w:r>
      <w:r w:rsidRPr="0025250D">
        <w:rPr>
          <w:rFonts w:hint="cs"/>
          <w:rtl/>
        </w:rPr>
        <w:t xml:space="preserve">، جامعه‌ای تحت هدایت روانشانس </w:t>
      </w:r>
      <w:r w:rsidRPr="0025250D">
        <w:rPr>
          <w:rtl/>
        </w:rPr>
        <w:t>آنتون</w:t>
      </w:r>
      <w:r w:rsidRPr="0025250D">
        <w:rPr>
          <w:rFonts w:hint="cs"/>
          <w:rtl/>
        </w:rPr>
        <w:t>ی</w:t>
      </w:r>
      <w:r w:rsidRPr="0025250D">
        <w:rPr>
          <w:rtl/>
        </w:rPr>
        <w:t xml:space="preserve"> آگ</w:t>
      </w:r>
      <w:r w:rsidRPr="0025250D">
        <w:rPr>
          <w:rFonts w:hint="cs"/>
          <w:rtl/>
        </w:rPr>
        <w:t>ی</w:t>
      </w:r>
      <w:r w:rsidRPr="0025250D">
        <w:rPr>
          <w:rFonts w:hint="eastAsia"/>
          <w:rtl/>
        </w:rPr>
        <w:t>ره</w:t>
      </w:r>
      <w:r w:rsidRPr="0025250D">
        <w:rPr>
          <w:vertAlign w:val="superscript"/>
          <w:rtl/>
        </w:rPr>
        <w:footnoteReference w:id="1414"/>
      </w:r>
      <w:r w:rsidRPr="0025250D">
        <w:rPr>
          <w:rFonts w:hint="cs"/>
          <w:rtl/>
        </w:rPr>
        <w:t xml:space="preserve"> را پیشنهاد می‌کنیم که به‌عنوان یک پلتفرم علم و </w:t>
      </w:r>
      <w:r w:rsidR="007A53FD" w:rsidRPr="0025250D">
        <w:rPr>
          <w:rFonts w:hint="cs"/>
          <w:rtl/>
        </w:rPr>
        <w:t>فناوری</w:t>
      </w:r>
      <w:r w:rsidRPr="0025250D">
        <w:rPr>
          <w:rFonts w:hint="cs"/>
          <w:rtl/>
        </w:rPr>
        <w:t xml:space="preserve"> راه‌اندازی شد، اما به یک پلتفرم </w:t>
      </w:r>
      <w:r w:rsidR="00D92F6E" w:rsidRPr="0025250D">
        <w:rPr>
          <w:rFonts w:hint="cs"/>
          <w:rtl/>
        </w:rPr>
        <w:t>پیش‌بین</w:t>
      </w:r>
      <w:r w:rsidRPr="0025250D">
        <w:rPr>
          <w:rFonts w:hint="cs"/>
          <w:rtl/>
        </w:rPr>
        <w:t xml:space="preserve">ی عمومی تبدیل شده است. آینده بازارهای </w:t>
      </w:r>
      <w:r w:rsidR="00D92F6E" w:rsidRPr="0025250D">
        <w:rPr>
          <w:rFonts w:hint="cs"/>
          <w:rtl/>
        </w:rPr>
        <w:t>پیش‌بین</w:t>
      </w:r>
      <w:r w:rsidRPr="0025250D">
        <w:rPr>
          <w:rFonts w:hint="cs"/>
          <w:rtl/>
        </w:rPr>
        <w:t xml:space="preserve">ی روشن است و برای افرادی که تمایل به </w:t>
      </w:r>
      <w:r w:rsidR="00D92F6E" w:rsidRPr="0025250D">
        <w:rPr>
          <w:rFonts w:hint="cs"/>
          <w:rtl/>
        </w:rPr>
        <w:t>پیش‌بین</w:t>
      </w:r>
      <w:r w:rsidRPr="0025250D">
        <w:rPr>
          <w:rFonts w:hint="cs"/>
          <w:rtl/>
        </w:rPr>
        <w:t>ی دارند، مشارکت در این پلتفمر‌های جمعی هم مفید و هم ثمربخش است.</w:t>
      </w:r>
    </w:p>
    <w:p w14:paraId="1E4B3197" w14:textId="198FD464" w:rsidR="00537CC8" w:rsidRPr="0025250D" w:rsidRDefault="00537CC8" w:rsidP="00492C47">
      <w:pPr>
        <w:numPr>
          <w:ilvl w:val="0"/>
          <w:numId w:val="34"/>
        </w:numPr>
        <w:rPr>
          <w:rtl/>
        </w:rPr>
      </w:pPr>
      <w:r w:rsidRPr="0025250D">
        <w:rPr>
          <w:rFonts w:hint="cs"/>
          <w:b/>
          <w:bCs/>
          <w:rtl/>
        </w:rPr>
        <w:t>جامعه آینده جهان</w:t>
      </w:r>
      <w:r w:rsidRPr="0025250D">
        <w:rPr>
          <w:b/>
          <w:bCs/>
          <w:vertAlign w:val="superscript"/>
          <w:rtl/>
        </w:rPr>
        <w:footnoteReference w:id="1415"/>
      </w:r>
      <w:r w:rsidRPr="0025250D">
        <w:rPr>
          <w:rFonts w:hint="cs"/>
          <w:b/>
          <w:bCs/>
          <w:rtl/>
        </w:rPr>
        <w:t xml:space="preserve"> (</w:t>
      </w:r>
      <w:r w:rsidRPr="0025250D">
        <w:rPr>
          <w:b/>
          <w:bCs/>
        </w:rPr>
        <w:t>WFS</w:t>
      </w:r>
      <w:r w:rsidRPr="0025250D">
        <w:rPr>
          <w:rFonts w:hint="cs"/>
          <w:b/>
          <w:bCs/>
          <w:rtl/>
        </w:rPr>
        <w:t>).</w:t>
      </w:r>
      <w:r w:rsidRPr="0025250D">
        <w:rPr>
          <w:rFonts w:hint="cs"/>
          <w:rtl/>
        </w:rPr>
        <w:t xml:space="preserve"> </w:t>
      </w:r>
      <w:r w:rsidR="007A5175" w:rsidRPr="0025250D">
        <w:rPr>
          <w:rFonts w:hint="cs"/>
          <w:rtl/>
        </w:rPr>
        <w:t xml:space="preserve">فعال </w:t>
      </w:r>
      <w:r w:rsidRPr="0025250D">
        <w:rPr>
          <w:rFonts w:hint="cs"/>
          <w:rtl/>
        </w:rPr>
        <w:t xml:space="preserve">از سال 1996. تحت هدایت آینده‌پژوه </w:t>
      </w:r>
      <w:r w:rsidRPr="0025250D">
        <w:rPr>
          <w:rtl/>
        </w:rPr>
        <w:t>جول</w:t>
      </w:r>
      <w:r w:rsidRPr="0025250D">
        <w:rPr>
          <w:rFonts w:hint="cs"/>
          <w:rtl/>
        </w:rPr>
        <w:t>ی</w:t>
      </w:r>
      <w:r w:rsidRPr="0025250D">
        <w:rPr>
          <w:rtl/>
        </w:rPr>
        <w:t xml:space="preserve"> فر</w:t>
      </w:r>
      <w:r w:rsidRPr="0025250D">
        <w:rPr>
          <w:rFonts w:hint="cs"/>
          <w:rtl/>
        </w:rPr>
        <w:t>ی</w:t>
      </w:r>
      <w:r w:rsidRPr="0025250D">
        <w:rPr>
          <w:rFonts w:hint="eastAsia"/>
          <w:rtl/>
        </w:rPr>
        <w:t>دمن</w:t>
      </w:r>
      <w:r w:rsidRPr="0025250D">
        <w:rPr>
          <w:rtl/>
        </w:rPr>
        <w:t xml:space="preserve"> است</w:t>
      </w:r>
      <w:r w:rsidRPr="0025250D">
        <w:rPr>
          <w:rFonts w:hint="cs"/>
          <w:rtl/>
        </w:rPr>
        <w:t>ی</w:t>
      </w:r>
      <w:r w:rsidRPr="0025250D">
        <w:rPr>
          <w:rFonts w:hint="eastAsia"/>
          <w:rtl/>
        </w:rPr>
        <w:t>ل</w:t>
      </w:r>
      <w:r w:rsidRPr="0025250D">
        <w:rPr>
          <w:vertAlign w:val="superscript"/>
          <w:rtl/>
        </w:rPr>
        <w:footnoteReference w:id="1416"/>
      </w:r>
      <w:r w:rsidRPr="0025250D">
        <w:rPr>
          <w:rFonts w:hint="cs"/>
          <w:rtl/>
        </w:rPr>
        <w:t xml:space="preserve"> از سال 2015. در دوران اوج خود </w:t>
      </w:r>
      <w:r w:rsidRPr="0025250D">
        <w:t>WFS</w:t>
      </w:r>
      <w:r w:rsidRPr="0025250D">
        <w:rPr>
          <w:rFonts w:hint="cs"/>
          <w:rtl/>
        </w:rPr>
        <w:t xml:space="preserve"> هر 6 دامنه </w:t>
      </w:r>
      <w:r w:rsidRPr="0025250D">
        <w:rPr>
          <w:rtl/>
        </w:rPr>
        <w:t>آینده‌نگاری</w:t>
      </w:r>
      <w:r w:rsidRPr="0025250D">
        <w:rPr>
          <w:rFonts w:hint="cs"/>
          <w:rtl/>
        </w:rPr>
        <w:t xml:space="preserve"> را پوشش می‌داد. آنها مجله آینده</w:t>
      </w:r>
      <w:r w:rsidRPr="0025250D">
        <w:rPr>
          <w:vertAlign w:val="superscript"/>
          <w:rtl/>
        </w:rPr>
        <w:footnoteReference w:id="1417"/>
      </w:r>
      <w:r w:rsidRPr="0025250D">
        <w:rPr>
          <w:rFonts w:hint="cs"/>
          <w:rtl/>
        </w:rPr>
        <w:t xml:space="preserve"> را از سال 1967-2015 و مجله </w:t>
      </w:r>
      <w:r w:rsidRPr="0025250D">
        <w:rPr>
          <w:rtl/>
        </w:rPr>
        <w:t>آینده‌نگاری</w:t>
      </w:r>
      <w:r w:rsidRPr="0025250D">
        <w:rPr>
          <w:rFonts w:hint="cs"/>
          <w:rtl/>
        </w:rPr>
        <w:t xml:space="preserve"> آکادمیک مروری بر آینده جهان</w:t>
      </w:r>
      <w:r w:rsidRPr="0025250D">
        <w:rPr>
          <w:vertAlign w:val="superscript"/>
          <w:rtl/>
        </w:rPr>
        <w:footnoteReference w:id="1418"/>
      </w:r>
      <w:r w:rsidRPr="0025250D">
        <w:rPr>
          <w:rFonts w:hint="cs"/>
          <w:rtl/>
        </w:rPr>
        <w:t xml:space="preserve"> را تا سال 2015 منتشر کردند، آن‌ها یک کنفرانس سالیانه با عنوان آینده جهان را که 1000 نفر شرکت کننده را به خود جلب کرد، برگزار کردند. در سال 2013، </w:t>
      </w:r>
      <w:r w:rsidRPr="0025250D">
        <w:t>WFS</w:t>
      </w:r>
      <w:r w:rsidRPr="0025250D">
        <w:rPr>
          <w:rFonts w:hint="cs"/>
          <w:rtl/>
        </w:rPr>
        <w:t xml:space="preserve"> تقریباً 15 کارمند تمام وقت در واشنگتن </w:t>
      </w:r>
      <w:r w:rsidRPr="0025250D">
        <w:t>DC</w:t>
      </w:r>
      <w:r w:rsidRPr="0025250D">
        <w:rPr>
          <w:rFonts w:hint="cs"/>
          <w:rtl/>
        </w:rPr>
        <w:t xml:space="preserve"> داشت. متأسفانه، آن‌ها در حدود سال 2015 دچار مشکلات شدید مالی شدند و متأسفانه با توجه به عدم وجود کمک‌های مالی ناچار به تعدیل همه کارمندان تمام وقت خود شدند. یک گروه مدیریتی جدید دارایی‌های آن‌ها را در سال 2015 خرید و اکنون در خارج از شیکاگو فعالیت می‌کنند. در سال 2015، آن‌ها بیش‌تر بر </w:t>
      </w:r>
      <w:r w:rsidRPr="0025250D">
        <w:rPr>
          <w:rtl/>
        </w:rPr>
        <w:t>آینده‌نگاری</w:t>
      </w:r>
      <w:r w:rsidRPr="0025250D">
        <w:rPr>
          <w:rFonts w:hint="cs"/>
          <w:rtl/>
        </w:rPr>
        <w:t xml:space="preserve"> جهان و اجتماعی، پرورش بحث‌های جمعی درمورد چالش‌های بزرگ پیش روی بشریت تمرکز کردند.</w:t>
      </w:r>
    </w:p>
    <w:p w14:paraId="45BA4080" w14:textId="77777777" w:rsidR="00537CC8" w:rsidRPr="0025250D" w:rsidRDefault="00537CC8" w:rsidP="000A674B">
      <w:pPr>
        <w:jc w:val="center"/>
        <w:rPr>
          <w:rtl/>
        </w:rPr>
      </w:pPr>
      <w:r w:rsidRPr="0025250D">
        <w:rPr>
          <w:noProof/>
          <w:rtl/>
          <w:lang w:bidi="ar-SA"/>
        </w:rPr>
        <w:drawing>
          <wp:inline distT="0" distB="0" distL="0" distR="0" wp14:anchorId="74A2B7AF" wp14:editId="7388BE07">
            <wp:extent cx="3855720" cy="1151186"/>
            <wp:effectExtent l="0" t="0" r="0" b="0"/>
            <wp:docPr id="84" name="Picture 84" descr="D:\کار\مستقل\3 ( ترجمه ی دانشگاه تهران  )\Introduction to Foresight\part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کار\مستقل\3 ( ترجمه ی دانشگاه تهران  )\Introduction to Foresight\part4\2.png"/>
                    <pic:cNvPicPr>
                      <a:picLocks noChangeAspect="1" noChangeArrowheads="1"/>
                    </pic:cNvPicPr>
                  </pic:nvPicPr>
                  <pic:blipFill>
                    <a:blip r:embed="rId129" cstate="screen">
                      <a:extLst>
                        <a:ext uri="{BEBA8EAE-BF5A-486C-A8C5-ECC9F3942E4B}">
                          <a14:imgProps xmlns:a14="http://schemas.microsoft.com/office/drawing/2010/main">
                            <a14:imgLayer r:embed="rId130">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3889572" cy="1161293"/>
                    </a:xfrm>
                    <a:prstGeom prst="rect">
                      <a:avLst/>
                    </a:prstGeom>
                    <a:noFill/>
                    <a:ln>
                      <a:noFill/>
                    </a:ln>
                  </pic:spPr>
                </pic:pic>
              </a:graphicData>
            </a:graphic>
          </wp:inline>
        </w:drawing>
      </w:r>
    </w:p>
    <w:p w14:paraId="154955C1" w14:textId="0EECC6A9" w:rsidR="00537CC8" w:rsidRPr="0025250D" w:rsidRDefault="00537CC8" w:rsidP="00492C47">
      <w:pPr>
        <w:numPr>
          <w:ilvl w:val="0"/>
          <w:numId w:val="34"/>
        </w:numPr>
        <w:rPr>
          <w:rtl/>
        </w:rPr>
      </w:pPr>
      <w:r w:rsidRPr="0025250D">
        <w:rPr>
          <w:rFonts w:hint="cs"/>
          <w:b/>
          <w:bCs/>
          <w:rtl/>
        </w:rPr>
        <w:t>فدراسیون آینده‌پژوهی جهان</w:t>
      </w:r>
      <w:r w:rsidRPr="0025250D">
        <w:rPr>
          <w:b/>
          <w:bCs/>
          <w:vertAlign w:val="superscript"/>
          <w:rtl/>
        </w:rPr>
        <w:footnoteReference w:id="1419"/>
      </w:r>
      <w:r w:rsidRPr="0025250D">
        <w:rPr>
          <w:rFonts w:hint="cs"/>
          <w:b/>
          <w:bCs/>
          <w:rtl/>
        </w:rPr>
        <w:t xml:space="preserve"> (</w:t>
      </w:r>
      <w:r w:rsidRPr="0025250D">
        <w:rPr>
          <w:b/>
          <w:bCs/>
        </w:rPr>
        <w:t>WFSF</w:t>
      </w:r>
      <w:r w:rsidRPr="0025250D">
        <w:rPr>
          <w:rFonts w:hint="cs"/>
          <w:b/>
          <w:bCs/>
          <w:rtl/>
        </w:rPr>
        <w:t>).</w:t>
      </w:r>
      <w:r w:rsidRPr="0025250D">
        <w:rPr>
          <w:rFonts w:hint="cs"/>
          <w:rtl/>
        </w:rPr>
        <w:t xml:space="preserve"> </w:t>
      </w:r>
      <w:r w:rsidR="007A5175" w:rsidRPr="0025250D">
        <w:rPr>
          <w:rFonts w:hint="cs"/>
          <w:rtl/>
        </w:rPr>
        <w:t xml:space="preserve">فعال </w:t>
      </w:r>
      <w:r w:rsidRPr="0025250D">
        <w:rPr>
          <w:rFonts w:hint="cs"/>
          <w:rtl/>
        </w:rPr>
        <w:t xml:space="preserve">از سال 1973. در حال حاضر تحت هدایت آینده‌پژوه سیاسی و آکادمیک </w:t>
      </w:r>
      <w:r w:rsidRPr="0025250D">
        <w:rPr>
          <w:rtl/>
        </w:rPr>
        <w:t>ار</w:t>
      </w:r>
      <w:r w:rsidRPr="0025250D">
        <w:rPr>
          <w:rFonts w:hint="cs"/>
          <w:rtl/>
        </w:rPr>
        <w:t>ی</w:t>
      </w:r>
      <w:r w:rsidRPr="0025250D">
        <w:rPr>
          <w:rFonts w:hint="eastAsia"/>
          <w:rtl/>
        </w:rPr>
        <w:t>ک</w:t>
      </w:r>
      <w:r w:rsidRPr="0025250D">
        <w:rPr>
          <w:rtl/>
        </w:rPr>
        <w:t xml:space="preserve"> اوورلند</w:t>
      </w:r>
      <w:r w:rsidRPr="0025250D">
        <w:rPr>
          <w:vertAlign w:val="superscript"/>
          <w:rtl/>
        </w:rPr>
        <w:footnoteReference w:id="1420"/>
      </w:r>
      <w:r w:rsidRPr="0025250D">
        <w:rPr>
          <w:rFonts w:hint="cs"/>
          <w:rtl/>
        </w:rPr>
        <w:t xml:space="preserve">، </w:t>
      </w:r>
      <w:r w:rsidRPr="0025250D">
        <w:t>WSFS</w:t>
      </w:r>
      <w:r w:rsidRPr="0025250D">
        <w:rPr>
          <w:rFonts w:hint="cs"/>
          <w:rtl/>
        </w:rPr>
        <w:t xml:space="preserve"> یک انجمن تخصصی برای تقریباً 300 آینده‌پژوه آکادمیک است که به دنبال پیشرفت زمینه آینده‌پژوهی (آینده شناسی) هستند. آن‌ها یک کنفرانس بین المللی سالیانه و یک مرکز آنلاین برای منابع آموزشی در آینده‌پژوهی را با همکاری با </w:t>
      </w:r>
      <w:r w:rsidRPr="0025250D">
        <w:t>UNESCO</w:t>
      </w:r>
      <w:r w:rsidRPr="0025250D">
        <w:rPr>
          <w:rFonts w:hint="cs"/>
          <w:rtl/>
        </w:rPr>
        <w:t xml:space="preserve"> اداره می‌کنند. آن‌ها رویکردی آکادمیک نسبت به </w:t>
      </w:r>
      <w:r w:rsidRPr="0025250D">
        <w:rPr>
          <w:rtl/>
        </w:rPr>
        <w:t>آینده‌نگاری</w:t>
      </w:r>
      <w:r w:rsidRPr="0025250D">
        <w:rPr>
          <w:rFonts w:hint="cs"/>
          <w:rtl/>
        </w:rPr>
        <w:t xml:space="preserve"> دارند و هر 6 دامنه را با تأکیدی مشخص بر </w:t>
      </w:r>
      <w:r w:rsidRPr="0025250D">
        <w:rPr>
          <w:rtl/>
        </w:rPr>
        <w:t>آینده‌نگاری</w:t>
      </w:r>
      <w:r w:rsidRPr="0025250D">
        <w:rPr>
          <w:rFonts w:hint="cs"/>
          <w:rtl/>
        </w:rPr>
        <w:t xml:space="preserve"> اجتماعی و جهانی پوشش می‌دهند. با وجود اینکه در اصل آن‌ها متشکل از متفکرین مارکسیست، پسا مدرنیست، نسبیت گرایان فرهنگی</w:t>
      </w:r>
      <w:r w:rsidRPr="0025250D">
        <w:rPr>
          <w:vertAlign w:val="superscript"/>
          <w:rtl/>
        </w:rPr>
        <w:footnoteReference w:id="1421"/>
      </w:r>
      <w:r w:rsidRPr="0025250D">
        <w:rPr>
          <w:rFonts w:hint="cs"/>
          <w:rtl/>
        </w:rPr>
        <w:t xml:space="preserve"> و انواع مختلفی از </w:t>
      </w:r>
      <w:r w:rsidR="0063099E" w:rsidRPr="0025250D">
        <w:rPr>
          <w:rtl/>
        </w:rPr>
        <w:t>«</w:t>
      </w:r>
      <w:r w:rsidRPr="0025250D">
        <w:rPr>
          <w:rFonts w:hint="cs"/>
          <w:rtl/>
        </w:rPr>
        <w:t>انقلابیون</w:t>
      </w:r>
      <w:r w:rsidR="0063099E" w:rsidRPr="0025250D">
        <w:rPr>
          <w:rtl/>
        </w:rPr>
        <w:t>»</w:t>
      </w:r>
      <w:r w:rsidRPr="0025250D">
        <w:rPr>
          <w:rFonts w:hint="cs"/>
          <w:rtl/>
        </w:rPr>
        <w:t xml:space="preserve"> </w:t>
      </w:r>
      <w:r w:rsidR="0008779C" w:rsidRPr="0025250D">
        <w:rPr>
          <w:rFonts w:hint="cs"/>
          <w:rtl/>
        </w:rPr>
        <w:t>ایدئال</w:t>
      </w:r>
      <w:r w:rsidR="007A5175" w:rsidRPr="0025250D">
        <w:rPr>
          <w:rFonts w:hint="cs"/>
          <w:rtl/>
        </w:rPr>
        <w:t>‌</w:t>
      </w:r>
      <w:r w:rsidRPr="0025250D">
        <w:rPr>
          <w:rFonts w:hint="cs"/>
          <w:rtl/>
        </w:rPr>
        <w:t xml:space="preserve">گرا </w:t>
      </w:r>
      <w:r w:rsidR="00B124DE" w:rsidRPr="0025250D">
        <w:rPr>
          <w:rFonts w:hint="cs"/>
          <w:rtl/>
        </w:rPr>
        <w:t>بوده‌اند</w:t>
      </w:r>
      <w:r w:rsidRPr="0025250D">
        <w:rPr>
          <w:rFonts w:hint="cs"/>
          <w:rtl/>
        </w:rPr>
        <w:t>، خوشبختانه در حال بازگشت به تفکر عملگرا</w:t>
      </w:r>
      <w:r w:rsidRPr="0025250D">
        <w:rPr>
          <w:vertAlign w:val="superscript"/>
          <w:rtl/>
        </w:rPr>
        <w:footnoteReference w:id="1422"/>
      </w:r>
      <w:r w:rsidRPr="0025250D">
        <w:rPr>
          <w:rFonts w:hint="cs"/>
          <w:rtl/>
        </w:rPr>
        <w:t xml:space="preserve">، مبتنی بر شواهد و </w:t>
      </w:r>
      <w:r w:rsidRPr="0025250D">
        <w:rPr>
          <w:rtl/>
        </w:rPr>
        <w:t>تفکر سوس</w:t>
      </w:r>
      <w:r w:rsidRPr="0025250D">
        <w:rPr>
          <w:rFonts w:hint="cs"/>
          <w:rtl/>
        </w:rPr>
        <w:t>ی</w:t>
      </w:r>
      <w:r w:rsidRPr="0025250D">
        <w:rPr>
          <w:rFonts w:hint="eastAsia"/>
          <w:rtl/>
        </w:rPr>
        <w:t>ال</w:t>
      </w:r>
      <w:r w:rsidRPr="0025250D">
        <w:rPr>
          <w:rtl/>
        </w:rPr>
        <w:t xml:space="preserve"> دمکرات</w:t>
      </w:r>
      <w:r w:rsidRPr="0025250D">
        <w:rPr>
          <w:rFonts w:hint="cs"/>
          <w:rtl/>
        </w:rPr>
        <w:t>ی</w:t>
      </w:r>
      <w:r w:rsidRPr="0025250D">
        <w:rPr>
          <w:rFonts w:hint="eastAsia"/>
          <w:rtl/>
        </w:rPr>
        <w:t>ک</w:t>
      </w:r>
      <w:r w:rsidRPr="0025250D">
        <w:rPr>
          <w:rtl/>
        </w:rPr>
        <w:t xml:space="preserve"> ل</w:t>
      </w:r>
      <w:r w:rsidRPr="0025250D">
        <w:rPr>
          <w:rFonts w:hint="cs"/>
          <w:rtl/>
        </w:rPr>
        <w:t>ی</w:t>
      </w:r>
      <w:r w:rsidRPr="0025250D">
        <w:rPr>
          <w:rFonts w:hint="eastAsia"/>
          <w:rtl/>
        </w:rPr>
        <w:t>برال</w:t>
      </w:r>
      <w:r w:rsidRPr="0025250D">
        <w:rPr>
          <w:rtl/>
        </w:rPr>
        <w:t xml:space="preserve"> غرب</w:t>
      </w:r>
      <w:r w:rsidRPr="0025250D">
        <w:rPr>
          <w:rFonts w:hint="cs"/>
          <w:rtl/>
        </w:rPr>
        <w:t xml:space="preserve">ی </w:t>
      </w:r>
      <w:r w:rsidR="00B124DE" w:rsidRPr="0025250D">
        <w:rPr>
          <w:rFonts w:hint="cs"/>
          <w:rtl/>
        </w:rPr>
        <w:t>بوده‌اند</w:t>
      </w:r>
      <w:r w:rsidRPr="0025250D">
        <w:rPr>
          <w:rFonts w:hint="cs"/>
          <w:rtl/>
        </w:rPr>
        <w:t xml:space="preserve">. ما توصیه می‌کنیم که دانش جویان فارغ التحصیل </w:t>
      </w:r>
      <w:r w:rsidRPr="0025250D">
        <w:rPr>
          <w:rtl/>
        </w:rPr>
        <w:t>آینده‌نگاری</w:t>
      </w:r>
      <w:r w:rsidRPr="0025250D">
        <w:rPr>
          <w:rFonts w:hint="cs"/>
          <w:rtl/>
        </w:rPr>
        <w:t xml:space="preserve"> و آموزش دهندگان به آن‌ها بپیوندند.</w:t>
      </w:r>
    </w:p>
    <w:p w14:paraId="396B8C21" w14:textId="3830611C" w:rsidR="00537CC8" w:rsidRPr="0025250D" w:rsidRDefault="00537CC8" w:rsidP="00492C47">
      <w:pPr>
        <w:numPr>
          <w:ilvl w:val="0"/>
          <w:numId w:val="34"/>
        </w:numPr>
        <w:rPr>
          <w:rtl/>
        </w:rPr>
      </w:pPr>
      <w:r w:rsidRPr="0025250D">
        <w:rPr>
          <w:b/>
          <w:bCs/>
          <w:rtl/>
        </w:rPr>
        <w:t>انجمن ب</w:t>
      </w:r>
      <w:r w:rsidRPr="0025250D">
        <w:rPr>
          <w:rFonts w:hint="cs"/>
          <w:b/>
          <w:bCs/>
          <w:rtl/>
        </w:rPr>
        <w:t>ی</w:t>
      </w:r>
      <w:r w:rsidRPr="0025250D">
        <w:rPr>
          <w:rFonts w:hint="eastAsia"/>
          <w:b/>
          <w:bCs/>
          <w:rtl/>
        </w:rPr>
        <w:t>ن</w:t>
      </w:r>
      <w:r w:rsidRPr="0025250D">
        <w:rPr>
          <w:b/>
          <w:bCs/>
          <w:rtl/>
        </w:rPr>
        <w:t xml:space="preserve"> الملل</w:t>
      </w:r>
      <w:r w:rsidRPr="0025250D">
        <w:rPr>
          <w:rFonts w:hint="cs"/>
          <w:b/>
          <w:bCs/>
          <w:rtl/>
        </w:rPr>
        <w:t>ی</w:t>
      </w:r>
      <w:r w:rsidRPr="0025250D">
        <w:rPr>
          <w:b/>
          <w:bCs/>
          <w:rtl/>
        </w:rPr>
        <w:t xml:space="preserve"> آینده‌پژوه</w:t>
      </w:r>
      <w:r w:rsidRPr="0025250D">
        <w:rPr>
          <w:rFonts w:hint="cs"/>
          <w:b/>
          <w:bCs/>
          <w:rtl/>
        </w:rPr>
        <w:t>ی</w:t>
      </w:r>
      <w:r w:rsidRPr="0025250D">
        <w:rPr>
          <w:b/>
          <w:bCs/>
          <w:vertAlign w:val="superscript"/>
          <w:rtl/>
        </w:rPr>
        <w:footnoteReference w:id="1423"/>
      </w:r>
      <w:r w:rsidRPr="0025250D">
        <w:rPr>
          <w:rFonts w:hint="cs"/>
          <w:b/>
          <w:bCs/>
          <w:rtl/>
        </w:rPr>
        <w:t xml:space="preserve"> (</w:t>
      </w:r>
      <w:r w:rsidRPr="0025250D">
        <w:rPr>
          <w:b/>
          <w:bCs/>
        </w:rPr>
        <w:t>IFF</w:t>
      </w:r>
      <w:r w:rsidRPr="0025250D">
        <w:rPr>
          <w:rFonts w:hint="cs"/>
          <w:b/>
          <w:bCs/>
          <w:rtl/>
        </w:rPr>
        <w:t>).</w:t>
      </w:r>
      <w:r w:rsidRPr="0025250D">
        <w:rPr>
          <w:rFonts w:hint="cs"/>
          <w:rtl/>
        </w:rPr>
        <w:t xml:space="preserve"> </w:t>
      </w:r>
      <w:r w:rsidR="007A5175" w:rsidRPr="0025250D">
        <w:rPr>
          <w:rFonts w:hint="cs"/>
          <w:rtl/>
        </w:rPr>
        <w:t xml:space="preserve">فعال </w:t>
      </w:r>
      <w:r w:rsidRPr="0025250D">
        <w:rPr>
          <w:rFonts w:hint="cs"/>
          <w:rtl/>
        </w:rPr>
        <w:t xml:space="preserve">از سال 2001. تحت هدایت آینده‌پژوه </w:t>
      </w:r>
      <w:r w:rsidRPr="0025250D">
        <w:rPr>
          <w:rtl/>
        </w:rPr>
        <w:t>گراهام لستر</w:t>
      </w:r>
      <w:r w:rsidRPr="0025250D">
        <w:rPr>
          <w:vertAlign w:val="superscript"/>
          <w:rtl/>
        </w:rPr>
        <w:footnoteReference w:id="1424"/>
      </w:r>
      <w:r w:rsidRPr="0025250D">
        <w:rPr>
          <w:rFonts w:hint="cs"/>
          <w:rtl/>
        </w:rPr>
        <w:t xml:space="preserve">، آن‌ها یک جامعه یادگیری هستند که مشاوره‌ها و کارگاه‌هایی را انجام می‌دهند و انتشاراتی در این زمینه دارند. </w:t>
      </w:r>
      <w:r w:rsidRPr="0025250D">
        <w:t>IFF</w:t>
      </w:r>
      <w:r w:rsidRPr="0025250D">
        <w:rPr>
          <w:rFonts w:hint="cs"/>
          <w:rtl/>
        </w:rPr>
        <w:t xml:space="preserve"> یک خیریه است که پایگاه آن در اسکاتلند بوده و گروه‌هایی اجرایی در سراسر جهان دارد. آن‌ها با گستره‌ای از شرکا و کارسپاران که به مسائل پیچیده و چالش‌ها و فرصت‌های قرن 21 می‌پردازند کار </w:t>
      </w:r>
      <w:r w:rsidR="007118DE" w:rsidRPr="0025250D">
        <w:rPr>
          <w:rFonts w:hint="cs"/>
          <w:rtl/>
        </w:rPr>
        <w:t>کرده‌اند</w:t>
      </w:r>
      <w:r w:rsidRPr="0025250D">
        <w:rPr>
          <w:rFonts w:hint="cs"/>
          <w:rtl/>
        </w:rPr>
        <w:t xml:space="preserve">. آن‌ها در زمینه تفکر </w:t>
      </w:r>
      <w:r w:rsidR="008D6F97" w:rsidRPr="0025250D">
        <w:rPr>
          <w:rFonts w:hint="cs"/>
          <w:rtl/>
        </w:rPr>
        <w:t>سامانه‌ای</w:t>
      </w:r>
      <w:r w:rsidRPr="0025250D">
        <w:rPr>
          <w:rFonts w:hint="cs"/>
          <w:rtl/>
        </w:rPr>
        <w:t xml:space="preserve">، ایجاد یک سازمان یادگیرنده و روش‌هایی مانند </w:t>
      </w:r>
      <w:r w:rsidR="00B13F65" w:rsidRPr="0025250D">
        <w:rPr>
          <w:rFonts w:hint="cs"/>
          <w:rtl/>
        </w:rPr>
        <w:t>چارچوب</w:t>
      </w:r>
      <w:r w:rsidRPr="0025250D">
        <w:rPr>
          <w:rFonts w:hint="cs"/>
          <w:rtl/>
        </w:rPr>
        <w:t xml:space="preserve"> سه افق زمانی</w:t>
      </w:r>
      <w:r w:rsidRPr="0025250D">
        <w:rPr>
          <w:vertAlign w:val="superscript"/>
          <w:rtl/>
        </w:rPr>
        <w:footnoteReference w:id="1425"/>
      </w:r>
      <w:r w:rsidRPr="0025250D">
        <w:rPr>
          <w:rFonts w:hint="cs"/>
          <w:rtl/>
        </w:rPr>
        <w:t xml:space="preserve"> (فصل 5) قدرتمند هستند. قواعد پنجگانه آن‌ها رویکرد فلسفی آن‌ها را توضیح می‌دهند. متفکرین </w:t>
      </w:r>
      <w:r w:rsidR="008D6F97" w:rsidRPr="0025250D">
        <w:rPr>
          <w:rFonts w:hint="cs"/>
          <w:rtl/>
        </w:rPr>
        <w:t>سامانه‌ای</w:t>
      </w:r>
      <w:r w:rsidRPr="0025250D">
        <w:rPr>
          <w:rFonts w:hint="cs"/>
          <w:rtl/>
        </w:rPr>
        <w:t xml:space="preserve"> رویکرد کل</w:t>
      </w:r>
      <w:r w:rsidR="007A5175" w:rsidRPr="0025250D">
        <w:rPr>
          <w:rFonts w:hint="cs"/>
          <w:rtl/>
        </w:rPr>
        <w:t>‌</w:t>
      </w:r>
      <w:r w:rsidRPr="0025250D">
        <w:rPr>
          <w:rFonts w:hint="cs"/>
          <w:rtl/>
        </w:rPr>
        <w:t>نگرانه آن‌ها نسبت به مسائل را پر ارزش می‌شمارند.</w:t>
      </w:r>
    </w:p>
    <w:p w14:paraId="6DEB9E9C" w14:textId="29165280" w:rsidR="00537CC8" w:rsidRPr="0025250D" w:rsidRDefault="00537CC8" w:rsidP="00537CC8">
      <w:pPr>
        <w:rPr>
          <w:rtl/>
        </w:rPr>
      </w:pPr>
      <w:r w:rsidRPr="0025250D">
        <w:rPr>
          <w:rFonts w:hint="cs"/>
          <w:rtl/>
        </w:rPr>
        <w:t xml:space="preserve">خطاب به همه دانشجویان و رهبران </w:t>
      </w:r>
      <w:r w:rsidRPr="0025250D">
        <w:rPr>
          <w:rtl/>
        </w:rPr>
        <w:t>آینده‌نگاری</w:t>
      </w:r>
      <w:r w:rsidRPr="0025250D">
        <w:rPr>
          <w:rFonts w:hint="cs"/>
          <w:rtl/>
        </w:rPr>
        <w:t xml:space="preserve">: آیا جوامع برجسته دیگری را که </w:t>
      </w:r>
      <w:r w:rsidRPr="0025250D">
        <w:rPr>
          <w:rtl/>
        </w:rPr>
        <w:t>آینده‌نگاری</w:t>
      </w:r>
      <w:r w:rsidRPr="0025250D">
        <w:rPr>
          <w:rFonts w:hint="cs"/>
          <w:rtl/>
        </w:rPr>
        <w:t xml:space="preserve"> فراگیر را در سراسر جهان ارتقا می‌دهند می‌شناسید؟ ما را در جریان بگذارید، بسیار </w:t>
      </w:r>
      <w:r w:rsidR="0008779C" w:rsidRPr="0025250D">
        <w:rPr>
          <w:rFonts w:hint="cs"/>
          <w:rtl/>
        </w:rPr>
        <w:t>علاقه‌مند</w:t>
      </w:r>
      <w:r w:rsidRPr="0025250D">
        <w:rPr>
          <w:rFonts w:hint="cs"/>
          <w:rtl/>
        </w:rPr>
        <w:t xml:space="preserve">یم که فهرست‌های 25 و 50 جامعه برتر را منتشر کنیم. سازمان‌های مرتبط با یادگیری مانند </w:t>
      </w:r>
      <w:r w:rsidRPr="0025250D">
        <w:t>TED</w:t>
      </w:r>
      <w:r w:rsidRPr="0025250D">
        <w:rPr>
          <w:rFonts w:hint="cs"/>
          <w:rtl/>
        </w:rPr>
        <w:t xml:space="preserve"> که ویدئوهای کوتاه آن‌ها دانش مفیدی از آینده را در هر 6 دامنه ارائه می‌دهند و هر یک از ما را به تبدیل شدن به سخنرانان عمومی از طریق شبکه </w:t>
      </w:r>
      <w:r w:rsidRPr="0025250D">
        <w:t>TEDx</w:t>
      </w:r>
      <w:r w:rsidRPr="0025250D">
        <w:rPr>
          <w:rFonts w:hint="cs"/>
          <w:rtl/>
        </w:rPr>
        <w:t xml:space="preserve"> دعوت می‌کنند، مطمئنا واجد شرایط یک فهرست بزرگتر خواهند بود.</w:t>
      </w:r>
    </w:p>
    <w:p w14:paraId="0330B199" w14:textId="3C5733EC" w:rsidR="00537CC8" w:rsidRPr="0025250D" w:rsidRDefault="00537CC8" w:rsidP="00537CC8">
      <w:pPr>
        <w:rPr>
          <w:rtl/>
        </w:rPr>
      </w:pPr>
      <w:r w:rsidRPr="0025250D">
        <w:rPr>
          <w:rFonts w:hint="cs"/>
          <w:rtl/>
        </w:rPr>
        <w:t xml:space="preserve">همچنین انجمن‌های تخصصی متعددی وجود دارند که آموزش‌هایی را در 20 تخصص مدیریت </w:t>
      </w:r>
      <w:r w:rsidR="00701E03" w:rsidRPr="0025250D">
        <w:rPr>
          <w:rFonts w:hint="cs"/>
          <w:rtl/>
        </w:rPr>
        <w:t>راهبردی</w:t>
      </w:r>
      <w:r w:rsidRPr="0025250D">
        <w:rPr>
          <w:rFonts w:hint="cs"/>
          <w:rtl/>
        </w:rPr>
        <w:t xml:space="preserve"> ارائه می‌دهند. درحالی که جوامع تخصصی </w:t>
      </w:r>
      <w:r w:rsidRPr="0025250D">
        <w:rPr>
          <w:rtl/>
        </w:rPr>
        <w:t>آینده‌نگاری</w:t>
      </w:r>
      <w:r w:rsidRPr="0025250D">
        <w:rPr>
          <w:rFonts w:hint="cs"/>
          <w:rtl/>
        </w:rPr>
        <w:t xml:space="preserve"> طبق تعریف خود به دنبال انجام </w:t>
      </w:r>
      <w:r w:rsidRPr="0025250D">
        <w:rPr>
          <w:rtl/>
        </w:rPr>
        <w:t>آینده‌نگاری</w:t>
      </w:r>
      <w:r w:rsidRPr="0025250D">
        <w:rPr>
          <w:rFonts w:hint="cs"/>
          <w:rtl/>
        </w:rPr>
        <w:t xml:space="preserve"> فراگیر نیستند، همواره افراد و گروه‌هایی اجرایی درون آن‌ها وجود دارند که یک رویکرد مشخصا فراگیر را اتخاذ می‌کنند.</w:t>
      </w:r>
    </w:p>
    <w:p w14:paraId="7E19F5D9" w14:textId="20FD50CA" w:rsidR="00537CC8" w:rsidRPr="0025250D" w:rsidRDefault="00537CC8" w:rsidP="00537CC8">
      <w:pPr>
        <w:rPr>
          <w:rtl/>
        </w:rPr>
      </w:pPr>
      <w:r w:rsidRPr="0025250D">
        <w:rPr>
          <w:rFonts w:hint="cs"/>
          <w:rtl/>
        </w:rPr>
        <w:t xml:space="preserve">در آمریکا، بسته به اقدامات، باید گروه‌های ادغام شونده‌ای مانند </w:t>
      </w:r>
      <w:r w:rsidRPr="0025250D">
        <w:t>AIGA</w:t>
      </w:r>
      <w:r w:rsidRPr="0025250D">
        <w:rPr>
          <w:rFonts w:hint="cs"/>
          <w:rtl/>
        </w:rPr>
        <w:t>: انجمن تخصصی طراحی</w:t>
      </w:r>
      <w:r w:rsidRPr="0025250D">
        <w:rPr>
          <w:vertAlign w:val="superscript"/>
          <w:rtl/>
        </w:rPr>
        <w:footnoteReference w:id="1426"/>
      </w:r>
      <w:r w:rsidRPr="0025250D">
        <w:rPr>
          <w:rFonts w:hint="cs"/>
          <w:rtl/>
        </w:rPr>
        <w:t xml:space="preserve">، </w:t>
      </w:r>
      <w:r w:rsidRPr="0025250D">
        <w:rPr>
          <w:rtl/>
        </w:rPr>
        <w:t>انجمن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آمر</w:t>
      </w:r>
      <w:r w:rsidRPr="0025250D">
        <w:rPr>
          <w:rFonts w:hint="cs"/>
          <w:rtl/>
        </w:rPr>
        <w:t>ی</w:t>
      </w:r>
      <w:r w:rsidRPr="0025250D">
        <w:rPr>
          <w:rFonts w:hint="eastAsia"/>
          <w:rtl/>
        </w:rPr>
        <w:t>کا</w:t>
      </w:r>
      <w:r w:rsidRPr="0025250D">
        <w:rPr>
          <w:vertAlign w:val="superscript"/>
          <w:rtl/>
        </w:rPr>
        <w:footnoteReference w:id="1427"/>
      </w:r>
      <w:r w:rsidRPr="0025250D">
        <w:rPr>
          <w:rFonts w:hint="cs"/>
          <w:rtl/>
        </w:rPr>
        <w:t xml:space="preserve">، انجمن </w:t>
      </w:r>
      <w:r w:rsidR="00B124DE" w:rsidRPr="0025250D">
        <w:rPr>
          <w:rFonts w:hint="cs"/>
          <w:rtl/>
        </w:rPr>
        <w:t>برنامه‌ریزی</w:t>
      </w:r>
      <w:r w:rsidRPr="0025250D">
        <w:rPr>
          <w:rFonts w:hint="cs"/>
          <w:rtl/>
        </w:rPr>
        <w:t xml:space="preserve"> آمریکا</w:t>
      </w:r>
      <w:r w:rsidRPr="0025250D">
        <w:rPr>
          <w:vertAlign w:val="superscript"/>
          <w:rtl/>
        </w:rPr>
        <w:footnoteReference w:id="1428"/>
      </w:r>
      <w:r w:rsidRPr="0025250D">
        <w:rPr>
          <w:rFonts w:hint="cs"/>
          <w:rtl/>
        </w:rPr>
        <w:t xml:space="preserve">، </w:t>
      </w:r>
      <w:r w:rsidRPr="0025250D">
        <w:rPr>
          <w:rtl/>
        </w:rPr>
        <w:t>انجمن آمر</w:t>
      </w:r>
      <w:r w:rsidRPr="0025250D">
        <w:rPr>
          <w:rFonts w:hint="cs"/>
          <w:rtl/>
        </w:rPr>
        <w:t>ی</w:t>
      </w:r>
      <w:r w:rsidRPr="0025250D">
        <w:rPr>
          <w:rFonts w:hint="eastAsia"/>
          <w:rtl/>
        </w:rPr>
        <w:t>کا</w:t>
      </w:r>
      <w:r w:rsidRPr="0025250D">
        <w:rPr>
          <w:rFonts w:hint="cs"/>
          <w:rtl/>
        </w:rPr>
        <w:t>یی</w:t>
      </w:r>
      <w:r w:rsidRPr="0025250D">
        <w:rPr>
          <w:rtl/>
        </w:rPr>
        <w:t xml:space="preserve"> برا</w:t>
      </w:r>
      <w:r w:rsidRPr="0025250D">
        <w:rPr>
          <w:rFonts w:hint="cs"/>
          <w:rtl/>
        </w:rPr>
        <w:t>ی</w:t>
      </w:r>
      <w:r w:rsidRPr="0025250D">
        <w:rPr>
          <w:rtl/>
        </w:rPr>
        <w:t xml:space="preserve"> آموزش و توسعه</w:t>
      </w:r>
      <w:r w:rsidRPr="0025250D">
        <w:rPr>
          <w:vertAlign w:val="superscript"/>
          <w:rtl/>
        </w:rPr>
        <w:footnoteReference w:id="1429"/>
      </w:r>
      <w:r w:rsidRPr="0025250D">
        <w:rPr>
          <w:rFonts w:hint="cs"/>
          <w:rtl/>
        </w:rPr>
        <w:t xml:space="preserve">، </w:t>
      </w:r>
      <w:r w:rsidRPr="0025250D">
        <w:rPr>
          <w:rtl/>
        </w:rPr>
        <w:t>انجمن</w:t>
      </w:r>
      <w:r w:rsidRPr="0025250D">
        <w:rPr>
          <w:rFonts w:hint="cs"/>
          <w:rtl/>
        </w:rPr>
        <w:t xml:space="preserve"> </w:t>
      </w:r>
      <w:r w:rsidR="00B124DE" w:rsidRPr="0025250D">
        <w:rPr>
          <w:rFonts w:hint="cs"/>
          <w:rtl/>
        </w:rPr>
        <w:t>برنامه‌ریزی</w:t>
      </w:r>
      <w:r w:rsidRPr="0025250D">
        <w:rPr>
          <w:rFonts w:hint="cs"/>
          <w:rtl/>
        </w:rPr>
        <w:t xml:space="preserve"> </w:t>
      </w:r>
      <w:r w:rsidR="00701E03" w:rsidRPr="0025250D">
        <w:rPr>
          <w:rFonts w:hint="cs"/>
          <w:rtl/>
        </w:rPr>
        <w:t>راهبردی</w:t>
      </w:r>
      <w:r w:rsidRPr="0025250D">
        <w:rPr>
          <w:vertAlign w:val="superscript"/>
          <w:rtl/>
        </w:rPr>
        <w:footnoteReference w:id="1430"/>
      </w:r>
      <w:r w:rsidRPr="0025250D">
        <w:rPr>
          <w:rFonts w:hint="cs"/>
          <w:rtl/>
        </w:rPr>
        <w:t xml:space="preserve">، </w:t>
      </w:r>
      <w:r w:rsidRPr="0025250D">
        <w:rPr>
          <w:rtl/>
        </w:rPr>
        <w:t>انجمن</w:t>
      </w:r>
      <w:r w:rsidRPr="0025250D">
        <w:rPr>
          <w:rFonts w:hint="cs"/>
          <w:rtl/>
        </w:rPr>
        <w:t xml:space="preserve"> متخصصین مدیریت تغییر</w:t>
      </w:r>
      <w:r w:rsidRPr="0025250D">
        <w:rPr>
          <w:vertAlign w:val="superscript"/>
          <w:rtl/>
        </w:rPr>
        <w:footnoteReference w:id="1431"/>
      </w:r>
      <w:r w:rsidRPr="0025250D">
        <w:rPr>
          <w:rFonts w:hint="cs"/>
          <w:rtl/>
        </w:rPr>
        <w:t xml:space="preserve">، </w:t>
      </w:r>
      <w:r w:rsidRPr="0025250D">
        <w:rPr>
          <w:rtl/>
        </w:rPr>
        <w:t>انجمن تجز</w:t>
      </w:r>
      <w:r w:rsidRPr="0025250D">
        <w:rPr>
          <w:rFonts w:hint="cs"/>
          <w:rtl/>
        </w:rPr>
        <w:t>ی</w:t>
      </w:r>
      <w:r w:rsidRPr="0025250D">
        <w:rPr>
          <w:rFonts w:hint="eastAsia"/>
          <w:rtl/>
        </w:rPr>
        <w:t>ه</w:t>
      </w:r>
      <w:r w:rsidRPr="0025250D">
        <w:rPr>
          <w:rtl/>
        </w:rPr>
        <w:t xml:space="preserve"> و تحل</w:t>
      </w:r>
      <w:r w:rsidRPr="0025250D">
        <w:rPr>
          <w:rFonts w:hint="cs"/>
          <w:rtl/>
        </w:rPr>
        <w:t>ی</w:t>
      </w:r>
      <w:r w:rsidRPr="0025250D">
        <w:rPr>
          <w:rFonts w:hint="eastAsia"/>
          <w:rtl/>
        </w:rPr>
        <w:t>ل</w:t>
      </w:r>
      <w:r w:rsidRPr="0025250D">
        <w:rPr>
          <w:rtl/>
        </w:rPr>
        <w:t xml:space="preserve"> د</w:t>
      </w:r>
      <w:r w:rsidRPr="0025250D">
        <w:rPr>
          <w:rFonts w:hint="cs"/>
          <w:rtl/>
        </w:rPr>
        <w:t>ی</w:t>
      </w:r>
      <w:r w:rsidRPr="0025250D">
        <w:rPr>
          <w:rFonts w:hint="eastAsia"/>
          <w:rtl/>
        </w:rPr>
        <w:t>ج</w:t>
      </w:r>
      <w:r w:rsidRPr="0025250D">
        <w:rPr>
          <w:rFonts w:hint="cs"/>
          <w:rtl/>
        </w:rPr>
        <w:t>ی</w:t>
      </w:r>
      <w:r w:rsidRPr="0025250D">
        <w:rPr>
          <w:rFonts w:hint="eastAsia"/>
          <w:rtl/>
        </w:rPr>
        <w:t>تال</w:t>
      </w:r>
      <w:r w:rsidRPr="0025250D">
        <w:rPr>
          <w:vertAlign w:val="superscript"/>
          <w:rtl/>
        </w:rPr>
        <w:footnoteReference w:id="1432"/>
      </w:r>
      <w:r w:rsidRPr="0025250D">
        <w:rPr>
          <w:rFonts w:hint="cs"/>
          <w:rtl/>
        </w:rPr>
        <w:t xml:space="preserve">، </w:t>
      </w:r>
      <w:r w:rsidRPr="0025250D">
        <w:rPr>
          <w:rtl/>
        </w:rPr>
        <w:t>موسسه ب</w:t>
      </w:r>
      <w:r w:rsidRPr="0025250D">
        <w:rPr>
          <w:rFonts w:hint="cs"/>
          <w:rtl/>
        </w:rPr>
        <w:t>ی</w:t>
      </w:r>
      <w:r w:rsidRPr="0025250D">
        <w:rPr>
          <w:rFonts w:hint="eastAsia"/>
          <w:rtl/>
        </w:rPr>
        <w:t>ن</w:t>
      </w:r>
      <w:r w:rsidRPr="0025250D">
        <w:rPr>
          <w:rtl/>
        </w:rPr>
        <w:t xml:space="preserve"> الملل</w:t>
      </w:r>
      <w:r w:rsidRPr="0025250D">
        <w:rPr>
          <w:rFonts w:hint="cs"/>
          <w:rtl/>
        </w:rPr>
        <w:t>ی</w:t>
      </w:r>
      <w:r w:rsidRPr="0025250D">
        <w:rPr>
          <w:rtl/>
        </w:rPr>
        <w:t xml:space="preserve"> </w:t>
      </w:r>
      <w:r w:rsidR="0008779C" w:rsidRPr="0025250D">
        <w:rPr>
          <w:rtl/>
        </w:rPr>
        <w:t>پیش‌نگر</w:t>
      </w:r>
      <w:r w:rsidRPr="0025250D">
        <w:rPr>
          <w:rFonts w:hint="cs"/>
          <w:rtl/>
        </w:rPr>
        <w:t>ها</w:t>
      </w:r>
      <w:r w:rsidRPr="0025250D">
        <w:rPr>
          <w:vertAlign w:val="superscript"/>
          <w:rtl/>
        </w:rPr>
        <w:footnoteReference w:id="1433"/>
      </w:r>
      <w:r w:rsidRPr="0025250D">
        <w:rPr>
          <w:rFonts w:hint="cs"/>
          <w:rtl/>
        </w:rPr>
        <w:t xml:space="preserve">، </w:t>
      </w:r>
      <w:r w:rsidRPr="0025250D">
        <w:rPr>
          <w:rtl/>
        </w:rPr>
        <w:t>انجمن مل</w:t>
      </w:r>
      <w:r w:rsidRPr="0025250D">
        <w:rPr>
          <w:rFonts w:hint="cs"/>
          <w:rtl/>
        </w:rPr>
        <w:t>ی</w:t>
      </w:r>
      <w:r w:rsidRPr="0025250D">
        <w:rPr>
          <w:rtl/>
        </w:rPr>
        <w:t xml:space="preserve"> سخنرانان</w:t>
      </w:r>
      <w:r w:rsidRPr="0025250D">
        <w:rPr>
          <w:vertAlign w:val="superscript"/>
          <w:rtl/>
        </w:rPr>
        <w:footnoteReference w:id="1434"/>
      </w:r>
      <w:r w:rsidRPr="0025250D">
        <w:rPr>
          <w:rFonts w:hint="cs"/>
          <w:rtl/>
        </w:rPr>
        <w:t>، جامعه مدیریت ریسک</w:t>
      </w:r>
      <w:r w:rsidRPr="0025250D">
        <w:rPr>
          <w:vertAlign w:val="superscript"/>
          <w:rtl/>
        </w:rPr>
        <w:footnoteReference w:id="1435"/>
      </w:r>
      <w:r w:rsidRPr="0025250D">
        <w:rPr>
          <w:rFonts w:hint="cs"/>
          <w:rtl/>
        </w:rPr>
        <w:t>، جامعه آمارگیران</w:t>
      </w:r>
      <w:r w:rsidRPr="0025250D">
        <w:rPr>
          <w:vertAlign w:val="superscript"/>
          <w:rtl/>
        </w:rPr>
        <w:footnoteReference w:id="1436"/>
      </w:r>
      <w:r w:rsidRPr="0025250D">
        <w:rPr>
          <w:rFonts w:hint="cs"/>
          <w:rtl/>
        </w:rPr>
        <w:t xml:space="preserve">، متخصصین اطلاعات رقابتی و </w:t>
      </w:r>
      <w:r w:rsidR="00701E03" w:rsidRPr="0025250D">
        <w:rPr>
          <w:rFonts w:hint="cs"/>
          <w:rtl/>
        </w:rPr>
        <w:t>راهبردی</w:t>
      </w:r>
      <w:r w:rsidRPr="0025250D">
        <w:rPr>
          <w:vertAlign w:val="superscript"/>
          <w:rtl/>
        </w:rPr>
        <w:footnoteReference w:id="1437"/>
      </w:r>
      <w:r w:rsidRPr="0025250D">
        <w:rPr>
          <w:rFonts w:hint="cs"/>
          <w:rtl/>
        </w:rPr>
        <w:t xml:space="preserve"> یا هر یک از سازمان‌های صنعتی دیگر فهرست شده در کتاب آنلاین ما را در نظر بگیریم.</w:t>
      </w:r>
    </w:p>
    <w:p w14:paraId="44F979AC" w14:textId="78B56D40" w:rsidR="00537CC8" w:rsidRPr="0025250D" w:rsidRDefault="00537CC8" w:rsidP="00537CC8">
      <w:pPr>
        <w:rPr>
          <w:rtl/>
        </w:rPr>
      </w:pPr>
      <w:r w:rsidRPr="0025250D">
        <w:rPr>
          <w:rFonts w:hint="cs"/>
          <w:rtl/>
        </w:rPr>
        <w:t xml:space="preserve">با عضویت در گروه‌هایی که بیش‌تر برای ما جالب هستند </w:t>
      </w:r>
      <w:r w:rsidRPr="0025250D">
        <w:rPr>
          <w:rFonts w:cs="Times New Roman" w:hint="cs"/>
          <w:rtl/>
        </w:rPr>
        <w:t>–</w:t>
      </w:r>
      <w:r w:rsidRPr="0025250D">
        <w:rPr>
          <w:rFonts w:hint="cs"/>
          <w:rtl/>
        </w:rPr>
        <w:t xml:space="preserve"> و داوطلب شدن، اهدا، شرکت در کنفرانس‌های آن‌ها، پست گذاشتن بر روی وبلاگ‌های آن‌ها یا ورود به هر نوعی از مشارکت که بیش از همه با نیاز‌ها و توانایی‌های ما تناسب دارد </w:t>
      </w:r>
      <w:r w:rsidRPr="0025250D">
        <w:rPr>
          <w:rFonts w:cs="Times New Roman" w:hint="cs"/>
          <w:rtl/>
        </w:rPr>
        <w:t>–</w:t>
      </w:r>
      <w:r w:rsidRPr="0025250D">
        <w:rPr>
          <w:rFonts w:hint="cs"/>
          <w:rtl/>
        </w:rPr>
        <w:t xml:space="preserve"> می‌توانیم تأثیری با دوام بر این زمینه داشته باشیم. به طور خلاصه: مشارکت کنید، تماشاچی نباشید. </w:t>
      </w:r>
      <w:r w:rsidRPr="0025250D">
        <w:rPr>
          <w:rtl/>
        </w:rPr>
        <w:t>آینده‌نگاری</w:t>
      </w:r>
      <w:r w:rsidRPr="0025250D">
        <w:rPr>
          <w:rFonts w:hint="cs"/>
          <w:rtl/>
        </w:rPr>
        <w:t xml:space="preserve"> یک زمینه در حال ظهور است و می‌تواند به شدت از کمک ما استفاده کند.</w:t>
      </w:r>
    </w:p>
    <w:p w14:paraId="31BDA55C" w14:textId="77777777" w:rsidR="00537CC8" w:rsidRPr="0025250D" w:rsidRDefault="00537CC8" w:rsidP="00537CC8">
      <w:pPr>
        <w:rPr>
          <w:rtl/>
        </w:rPr>
      </w:pPr>
    </w:p>
    <w:p w14:paraId="537D8726" w14:textId="77777777" w:rsidR="00537CC8" w:rsidRPr="0025250D" w:rsidRDefault="00537CC8" w:rsidP="00537CC8">
      <w:pPr>
        <w:rPr>
          <w:rtl/>
        </w:rPr>
      </w:pPr>
    </w:p>
    <w:p w14:paraId="11B696A6" w14:textId="77777777" w:rsidR="00537CC8" w:rsidRPr="0025250D" w:rsidRDefault="00537CC8" w:rsidP="00537CC8">
      <w:pPr>
        <w:rPr>
          <w:rtl/>
        </w:rPr>
      </w:pPr>
    </w:p>
    <w:p w14:paraId="24BE099E" w14:textId="77777777" w:rsidR="00537CC8" w:rsidRPr="0025250D" w:rsidRDefault="00537CC8" w:rsidP="00537CC8">
      <w:pPr>
        <w:rPr>
          <w:rtl/>
        </w:rPr>
      </w:pPr>
    </w:p>
    <w:p w14:paraId="6351B419" w14:textId="77777777" w:rsidR="00E8039A" w:rsidRPr="0025250D" w:rsidRDefault="00537CC8" w:rsidP="007A68EE">
      <w:pPr>
        <w:pStyle w:val="Heading2"/>
      </w:pPr>
      <w:bookmarkStart w:id="42" w:name="_Toc127831307"/>
      <w:r w:rsidRPr="0025250D">
        <w:rPr>
          <w:rFonts w:hint="cs"/>
          <w:rtl/>
        </w:rPr>
        <w:t xml:space="preserve">گزینه‌های آموزش </w:t>
      </w:r>
      <w:r w:rsidRPr="0025250D">
        <w:rPr>
          <w:rtl/>
        </w:rPr>
        <w:t>آینده‌نگاری</w:t>
      </w:r>
      <w:bookmarkEnd w:id="42"/>
    </w:p>
    <w:p w14:paraId="3A6E14D3" w14:textId="309BC7EE" w:rsidR="00537CC8" w:rsidRPr="0025250D" w:rsidRDefault="00537CC8" w:rsidP="00E8039A">
      <w:pPr>
        <w:rPr>
          <w:rtl/>
        </w:rPr>
      </w:pPr>
      <w:r w:rsidRPr="0025250D">
        <w:rPr>
          <w:rFonts w:hint="cs"/>
          <w:rtl/>
        </w:rPr>
        <w:t xml:space="preserve">اکثریت متخصصین </w:t>
      </w:r>
      <w:r w:rsidRPr="0025250D">
        <w:rPr>
          <w:rtl/>
        </w:rPr>
        <w:t>آینده‌نگاری</w:t>
      </w:r>
      <w:r w:rsidRPr="0025250D">
        <w:rPr>
          <w:rFonts w:hint="cs"/>
          <w:rtl/>
        </w:rPr>
        <w:t xml:space="preserve"> به صورت غیر رسمی آموزش می‌بینند، هم در حین انجام شغل خود و هم از طریق کنفرانس‌ها، کارگاه‌ها و مطالعات </w:t>
      </w:r>
      <w:r w:rsidR="001A3F0A" w:rsidRPr="0025250D">
        <w:rPr>
          <w:rFonts w:hint="cs"/>
          <w:rtl/>
        </w:rPr>
        <w:t>فردی</w:t>
      </w:r>
      <w:r w:rsidRPr="0025250D">
        <w:rPr>
          <w:rFonts w:hint="cs"/>
          <w:rtl/>
        </w:rPr>
        <w:t xml:space="preserve">. زمینه </w:t>
      </w:r>
      <w:r w:rsidR="007A5175" w:rsidRPr="0025250D">
        <w:rPr>
          <w:rFonts w:hint="cs"/>
          <w:rtl/>
        </w:rPr>
        <w:t>آینده‌نگاری</w:t>
      </w:r>
      <w:r w:rsidRPr="0025250D">
        <w:rPr>
          <w:rFonts w:hint="cs"/>
          <w:rtl/>
        </w:rPr>
        <w:t xml:space="preserve"> دانشجویان یا فارغ التحصیلان در </w:t>
      </w:r>
      <w:r w:rsidR="00B124DE" w:rsidRPr="0025250D">
        <w:rPr>
          <w:rFonts w:hint="cs"/>
          <w:rtl/>
        </w:rPr>
        <w:t>کسب‌و‌کار</w:t>
      </w:r>
      <w:r w:rsidRPr="0025250D">
        <w:rPr>
          <w:rFonts w:hint="cs"/>
          <w:rtl/>
        </w:rPr>
        <w:t xml:space="preserve">، مهندسی، آمار، اقتصاد، علوم اجتماعی، روزنامه نگاری، حقوق بشر و تقریباً هر رشته دیگری را به خود جذب می‌کند. چنین تنوعی برای </w:t>
      </w:r>
      <w:r w:rsidRPr="0025250D">
        <w:rPr>
          <w:rtl/>
        </w:rPr>
        <w:t>آینده‌نگاری</w:t>
      </w:r>
      <w:r w:rsidRPr="0025250D">
        <w:rPr>
          <w:rFonts w:hint="cs"/>
          <w:rtl/>
        </w:rPr>
        <w:t xml:space="preserve"> نقش محوری دارد. مستقل از زمینه، افرادی در آن وجود دارند که برای نگاه به و تحلیل آینده دستمزد می‌گیرند. برای بسیاری از فعالان این حوزه، نهایتا زمانی فرا می‌رسد که به دنبال آموزش رسمی باشند.</w:t>
      </w:r>
    </w:p>
    <w:p w14:paraId="2C21AE68" w14:textId="1949FCE9" w:rsidR="00537CC8" w:rsidRPr="0025250D" w:rsidRDefault="00537CC8" w:rsidP="00537CC8">
      <w:pPr>
        <w:rPr>
          <w:rtl/>
        </w:rPr>
      </w:pPr>
      <w:r w:rsidRPr="0025250D">
        <w:rPr>
          <w:rFonts w:hint="cs"/>
          <w:rtl/>
        </w:rPr>
        <w:t xml:space="preserve">سه گزینه آموزشی اصلی در زمینه </w:t>
      </w:r>
      <w:r w:rsidR="007A5175" w:rsidRPr="0025250D">
        <w:rPr>
          <w:rFonts w:hint="cs"/>
          <w:rtl/>
        </w:rPr>
        <w:t xml:space="preserve">آینده‌نگاری </w:t>
      </w:r>
      <w:r w:rsidRPr="0025250D">
        <w:rPr>
          <w:rFonts w:hint="cs"/>
          <w:rtl/>
        </w:rPr>
        <w:t>وجود دارند. آن‌ها شامل این موارد هستند:</w:t>
      </w:r>
    </w:p>
    <w:p w14:paraId="232C97C3" w14:textId="09725EFA" w:rsidR="00537CC8" w:rsidRPr="0025250D" w:rsidRDefault="00537CC8" w:rsidP="00492C47">
      <w:pPr>
        <w:numPr>
          <w:ilvl w:val="0"/>
          <w:numId w:val="35"/>
        </w:numPr>
        <w:rPr>
          <w:rtl/>
        </w:rPr>
      </w:pPr>
      <w:r w:rsidRPr="0025250D">
        <w:rPr>
          <w:rFonts w:hint="cs"/>
          <w:rtl/>
        </w:rPr>
        <w:t xml:space="preserve">گرفتن یک مدرک </w:t>
      </w:r>
      <w:r w:rsidRPr="0025250D">
        <w:rPr>
          <w:rtl/>
        </w:rPr>
        <w:t>آینده‌نگاری</w:t>
      </w:r>
      <w:r w:rsidRPr="0025250D">
        <w:rPr>
          <w:rFonts w:hint="cs"/>
          <w:rtl/>
        </w:rPr>
        <w:t xml:space="preserve"> چند روزه</w:t>
      </w:r>
    </w:p>
    <w:p w14:paraId="00C6CE5D" w14:textId="03B2619C" w:rsidR="00537CC8" w:rsidRPr="0025250D" w:rsidRDefault="00537CC8" w:rsidP="00492C47">
      <w:pPr>
        <w:numPr>
          <w:ilvl w:val="0"/>
          <w:numId w:val="35"/>
        </w:numPr>
        <w:rPr>
          <w:rtl/>
        </w:rPr>
      </w:pPr>
      <w:r w:rsidRPr="0025250D">
        <w:rPr>
          <w:rFonts w:hint="cs"/>
          <w:rtl/>
        </w:rPr>
        <w:t xml:space="preserve">شرکت در یک دوره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چند هفته‌ای</w:t>
      </w:r>
    </w:p>
    <w:p w14:paraId="65E773F0" w14:textId="6D574768" w:rsidR="00537CC8" w:rsidRPr="0025250D" w:rsidRDefault="00537CC8" w:rsidP="00492C47">
      <w:pPr>
        <w:numPr>
          <w:ilvl w:val="0"/>
          <w:numId w:val="35"/>
        </w:numPr>
        <w:rPr>
          <w:rtl/>
        </w:rPr>
      </w:pPr>
      <w:r w:rsidRPr="0025250D">
        <w:rPr>
          <w:rFonts w:hint="cs"/>
          <w:rtl/>
        </w:rPr>
        <w:t xml:space="preserve">اخد یک مدرک کارشناسی ارشد یا دکتری در </w:t>
      </w:r>
      <w:r w:rsidRPr="0025250D">
        <w:rPr>
          <w:rtl/>
        </w:rPr>
        <w:t>آینده‌نگاری</w:t>
      </w:r>
      <w:r w:rsidRPr="0025250D">
        <w:rPr>
          <w:rFonts w:hint="cs"/>
          <w:rtl/>
        </w:rPr>
        <w:t xml:space="preserve"> مقدماتی یا تخصصی</w:t>
      </w:r>
    </w:p>
    <w:p w14:paraId="7B57BA31" w14:textId="38F270E0" w:rsidR="00537CC8" w:rsidRPr="0025250D" w:rsidRDefault="0082018C" w:rsidP="00537CC8">
      <w:pPr>
        <w:rPr>
          <w:rtl/>
        </w:rPr>
      </w:pPr>
      <w:r w:rsidRPr="0025250D">
        <w:rPr>
          <w:rFonts w:hint="cs"/>
          <w:rtl/>
        </w:rPr>
        <w:t>همه</w:t>
      </w:r>
      <w:r w:rsidR="00537CC8" w:rsidRPr="0025250D">
        <w:rPr>
          <w:rFonts w:hint="cs"/>
          <w:rtl/>
        </w:rPr>
        <w:t xml:space="preserve"> این گزینه‌ها به تعهد زمانی، انرژی و منابع قابل توجهی نیاز دار</w:t>
      </w:r>
      <w:r w:rsidRPr="0025250D">
        <w:rPr>
          <w:rFonts w:hint="cs"/>
          <w:rtl/>
        </w:rPr>
        <w:t>ن</w:t>
      </w:r>
      <w:r w:rsidR="00537CC8" w:rsidRPr="0025250D">
        <w:rPr>
          <w:rFonts w:hint="cs"/>
          <w:rtl/>
        </w:rPr>
        <w:t xml:space="preserve">د. به طور میانگین، سطوح بالاتری از تعهد، در صورت همراهی با سطوح بالاتری از تلاش فردی، به ارتباطات تخصصی ارزشمند‌تر و عمیق‌تر منجر خواهند شد. اگرچه، همه ما به شبکه گسترده‌ای از ارتباطات با فعالان </w:t>
      </w:r>
      <w:r w:rsidR="00537CC8" w:rsidRPr="0025250D">
        <w:rPr>
          <w:rtl/>
        </w:rPr>
        <w:t>آینده‌نگاری</w:t>
      </w:r>
      <w:r w:rsidR="00537CC8" w:rsidRPr="0025250D">
        <w:rPr>
          <w:rFonts w:hint="cs"/>
          <w:rtl/>
        </w:rPr>
        <w:t xml:space="preserve"> نیاز نداریم. اغلب یک شبکه محدود و تخصصی که درون تخصص‌های عملی و صنعتی ما ایجاد شده باشد، برای تخصص ما ارزشمند‌تر و مؤثر‌تر است. ما باید از خود بپرسیم که کدام آموزش </w:t>
      </w:r>
      <w:r w:rsidR="00537CC8" w:rsidRPr="0025250D">
        <w:rPr>
          <w:rtl/>
        </w:rPr>
        <w:t>آینده‌نگاری</w:t>
      </w:r>
      <w:r w:rsidR="00537CC8" w:rsidRPr="0025250D">
        <w:rPr>
          <w:rFonts w:hint="cs"/>
          <w:rtl/>
        </w:rPr>
        <w:t xml:space="preserve"> بیش‌ترین</w:t>
      </w:r>
      <w:r w:rsidR="008D6F97" w:rsidRPr="0025250D">
        <w:rPr>
          <w:rtl/>
        </w:rPr>
        <w:t xml:space="preserve"> </w:t>
      </w:r>
      <w:r w:rsidR="00537CC8" w:rsidRPr="0025250D">
        <w:rPr>
          <w:rFonts w:hint="cs"/>
          <w:rtl/>
        </w:rPr>
        <w:t>تناسب را با نیاز‌های فعلی ما دارد. آغاز با آموزش اولیه سبک، اما در یک برنامه با کیفیت، اغلب هوشمندانه‌ترین</w:t>
      </w:r>
      <w:r w:rsidR="008D6F97" w:rsidRPr="0025250D">
        <w:rPr>
          <w:rtl/>
        </w:rPr>
        <w:t xml:space="preserve"> </w:t>
      </w:r>
      <w:r w:rsidR="00537CC8" w:rsidRPr="0025250D">
        <w:rPr>
          <w:rFonts w:hint="cs"/>
          <w:rtl/>
        </w:rPr>
        <w:t>انتخاب است.</w:t>
      </w:r>
    </w:p>
    <w:p w14:paraId="6F8EE6B4" w14:textId="77777777" w:rsidR="00537CC8" w:rsidRPr="0025250D" w:rsidRDefault="00537CC8" w:rsidP="000A674B">
      <w:pPr>
        <w:pStyle w:val="Heading3"/>
        <w:rPr>
          <w:rtl/>
        </w:rPr>
      </w:pPr>
      <w:r w:rsidRPr="0025250D">
        <w:rPr>
          <w:rFonts w:hint="cs"/>
          <w:rtl/>
        </w:rPr>
        <w:t xml:space="preserve">مدارک </w:t>
      </w:r>
      <w:r w:rsidRPr="0025250D">
        <w:rPr>
          <w:rtl/>
        </w:rPr>
        <w:t>آینده‌نگاری</w:t>
      </w:r>
      <w:r w:rsidRPr="0025250D">
        <w:rPr>
          <w:rFonts w:hint="cs"/>
          <w:rtl/>
        </w:rPr>
        <w:t xml:space="preserve"> چند روزه</w:t>
      </w:r>
    </w:p>
    <w:p w14:paraId="58357FCD" w14:textId="40B5C317" w:rsidR="00537CC8" w:rsidRPr="0025250D" w:rsidRDefault="00537CC8" w:rsidP="00537CC8">
      <w:pPr>
        <w:rPr>
          <w:rtl/>
        </w:rPr>
      </w:pPr>
      <w:r w:rsidRPr="0025250D">
        <w:rPr>
          <w:rFonts w:hint="cs"/>
          <w:rtl/>
        </w:rPr>
        <w:t xml:space="preserve">تعداد کمی (حداقل 12 مورد مطابق با شمارش ما) از برنامه‌های کسب مدرک </w:t>
      </w:r>
      <w:r w:rsidRPr="0025250D">
        <w:rPr>
          <w:rtl/>
        </w:rPr>
        <w:t>آینده‌نگاری</w:t>
      </w:r>
      <w:r w:rsidRPr="0025250D">
        <w:rPr>
          <w:rFonts w:hint="cs"/>
          <w:rtl/>
        </w:rPr>
        <w:t xml:space="preserve"> رسمی وجود دارند که از پنج روز تا ده هفته به طول می‌انجامند. این موارد و دوره‌های </w:t>
      </w:r>
      <w:r w:rsidRPr="0025250D">
        <w:rPr>
          <w:rtl/>
        </w:rPr>
        <w:t>آینده‌نگاری</w:t>
      </w:r>
      <w:r w:rsidRPr="0025250D">
        <w:rPr>
          <w:rFonts w:hint="cs"/>
          <w:rtl/>
        </w:rPr>
        <w:t xml:space="preserve"> مستقل، نقاط شروع خوبی برای ورود به آموزش </w:t>
      </w:r>
      <w:r w:rsidRPr="0025250D">
        <w:rPr>
          <w:rtl/>
        </w:rPr>
        <w:t>آینده‌نگاری</w:t>
      </w:r>
      <w:r w:rsidRPr="0025250D">
        <w:rPr>
          <w:rFonts w:hint="cs"/>
          <w:rtl/>
        </w:rPr>
        <w:t xml:space="preserve"> هستند.</w:t>
      </w:r>
    </w:p>
    <w:p w14:paraId="1774B16B" w14:textId="3E579FE5" w:rsidR="00537CC8" w:rsidRPr="0025250D" w:rsidRDefault="00537CC8" w:rsidP="00537CC8">
      <w:pPr>
        <w:rPr>
          <w:rtl/>
        </w:rPr>
      </w:pPr>
      <w:r w:rsidRPr="0025250D">
        <w:rPr>
          <w:rFonts w:hint="cs"/>
          <w:rtl/>
        </w:rPr>
        <w:t xml:space="preserve">برنامه تحصیلی </w:t>
      </w:r>
      <w:r w:rsidRPr="0025250D">
        <w:rPr>
          <w:rtl/>
        </w:rPr>
        <w:t>آینده‌نگاری</w:t>
      </w:r>
      <w:r w:rsidRPr="0025250D">
        <w:rPr>
          <w:rFonts w:hint="cs"/>
          <w:rtl/>
        </w:rPr>
        <w:t xml:space="preserve"> دانشگاه </w:t>
      </w:r>
      <w:r w:rsidRPr="0025250D">
        <w:rPr>
          <w:rtl/>
        </w:rPr>
        <w:t>ه</w:t>
      </w:r>
      <w:r w:rsidRPr="0025250D">
        <w:rPr>
          <w:rFonts w:hint="cs"/>
          <w:rtl/>
        </w:rPr>
        <w:t>ی</w:t>
      </w:r>
      <w:r w:rsidRPr="0025250D">
        <w:rPr>
          <w:rFonts w:hint="eastAsia"/>
          <w:rtl/>
        </w:rPr>
        <w:t>وستون</w:t>
      </w:r>
      <w:r w:rsidRPr="0025250D">
        <w:rPr>
          <w:rFonts w:hint="cs"/>
          <w:rtl/>
        </w:rPr>
        <w:t xml:space="preserve"> یک دوره پنج روزه محبوب برای اخذ مدرک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ارائه می‌دهد. دانشکده </w:t>
      </w:r>
      <w:r w:rsidR="00B124DE" w:rsidRPr="0025250D">
        <w:rPr>
          <w:rFonts w:hint="cs"/>
          <w:rtl/>
        </w:rPr>
        <w:t>کسب‌و‌کار</w:t>
      </w:r>
      <w:r w:rsidRPr="0025250D">
        <w:rPr>
          <w:rFonts w:hint="cs"/>
          <w:rtl/>
        </w:rPr>
        <w:t xml:space="preserve"> دانشگاه منچستر و دانشگاه آکسفورد نیز برنامه‌های پنج روزه را ارائه می‌دهند. دانشگاه تکینگی</w:t>
      </w:r>
      <w:r w:rsidRPr="0025250D">
        <w:rPr>
          <w:vertAlign w:val="superscript"/>
          <w:rtl/>
        </w:rPr>
        <w:footnoteReference w:id="1438"/>
      </w:r>
      <w:r w:rsidRPr="0025250D">
        <w:rPr>
          <w:rFonts w:hint="cs"/>
          <w:rtl/>
        </w:rPr>
        <w:t xml:space="preserve"> برنامه‌های متنوعی برای مدیران و کارآفرینان ارائه می‌دهد. دانشگاه </w:t>
      </w:r>
      <w:r w:rsidRPr="0025250D">
        <w:rPr>
          <w:rtl/>
        </w:rPr>
        <w:t>در</w:t>
      </w:r>
      <w:r w:rsidRPr="0025250D">
        <w:rPr>
          <w:rFonts w:hint="cs"/>
          <w:rtl/>
        </w:rPr>
        <w:t>ی</w:t>
      </w:r>
      <w:r w:rsidRPr="0025250D">
        <w:rPr>
          <w:rFonts w:hint="eastAsia"/>
          <w:rtl/>
        </w:rPr>
        <w:t>پر</w:t>
      </w:r>
      <w:r w:rsidRPr="0025250D">
        <w:rPr>
          <w:vertAlign w:val="superscript"/>
          <w:rtl/>
        </w:rPr>
        <w:footnoteReference w:id="1439"/>
      </w:r>
      <w:r w:rsidRPr="0025250D">
        <w:rPr>
          <w:rFonts w:hint="cs"/>
          <w:rtl/>
        </w:rPr>
        <w:t xml:space="preserve"> یک برنامه آموزش کارآفرینی است که در سال 2013 توسط سرمایه گذار خطر پذیر </w:t>
      </w:r>
      <w:r w:rsidRPr="0025250D">
        <w:rPr>
          <w:rtl/>
        </w:rPr>
        <w:t>ت</w:t>
      </w:r>
      <w:r w:rsidRPr="0025250D">
        <w:rPr>
          <w:rFonts w:hint="cs"/>
          <w:rtl/>
        </w:rPr>
        <w:t>ی</w:t>
      </w:r>
      <w:r w:rsidRPr="0025250D">
        <w:rPr>
          <w:rFonts w:hint="eastAsia"/>
          <w:rtl/>
        </w:rPr>
        <w:t>م</w:t>
      </w:r>
      <w:r w:rsidRPr="0025250D">
        <w:rPr>
          <w:rtl/>
        </w:rPr>
        <w:t xml:space="preserve"> در</w:t>
      </w:r>
      <w:r w:rsidRPr="0025250D">
        <w:rPr>
          <w:rFonts w:hint="cs"/>
          <w:rtl/>
        </w:rPr>
        <w:t>ی</w:t>
      </w:r>
      <w:r w:rsidRPr="0025250D">
        <w:rPr>
          <w:rFonts w:hint="eastAsia"/>
          <w:rtl/>
        </w:rPr>
        <w:t>پر</w:t>
      </w:r>
      <w:r w:rsidRPr="0025250D">
        <w:rPr>
          <w:vertAlign w:val="superscript"/>
          <w:rtl/>
        </w:rPr>
        <w:footnoteReference w:id="1440"/>
      </w:r>
      <w:r w:rsidRPr="0025250D">
        <w:rPr>
          <w:rFonts w:hint="cs"/>
          <w:rtl/>
        </w:rPr>
        <w:t xml:space="preserve"> با یک برنامه ده هفته‌ای محلی و برنامه‌های استارتاپی و اجرایی کوتاه مدت‌تر که تحقیقات آینده‌پژوهی، روش‌های ایده پردازی و تحلیل‌های آماری </w:t>
      </w:r>
      <w:r w:rsidR="00D92F6E" w:rsidRPr="0025250D">
        <w:rPr>
          <w:rFonts w:hint="cs"/>
          <w:rtl/>
        </w:rPr>
        <w:t>پیش‌بین</w:t>
      </w:r>
      <w:r w:rsidRPr="0025250D">
        <w:rPr>
          <w:rFonts w:hint="cs"/>
          <w:rtl/>
        </w:rPr>
        <w:t>ی کننده را برای کارآفرینان ارائه می‌دهند، آغاز به کار کرد.</w:t>
      </w:r>
    </w:p>
    <w:p w14:paraId="72C71675" w14:textId="5EEC250A" w:rsidR="00537CC8" w:rsidRPr="0025250D" w:rsidRDefault="00537CC8" w:rsidP="00701E03">
      <w:pPr>
        <w:rPr>
          <w:rtl/>
        </w:rPr>
      </w:pPr>
      <w:r w:rsidRPr="0025250D">
        <w:rPr>
          <w:rFonts w:hint="cs"/>
          <w:rtl/>
        </w:rPr>
        <w:t xml:space="preserve">6 شرکت مشاور </w:t>
      </w:r>
      <w:r w:rsidRPr="0025250D">
        <w:rPr>
          <w:rtl/>
        </w:rPr>
        <w:t>آینده‌نگاری</w:t>
      </w:r>
      <w:r w:rsidRPr="0025250D">
        <w:rPr>
          <w:rFonts w:hint="cs"/>
          <w:rtl/>
        </w:rPr>
        <w:t xml:space="preserve"> اروپایی که تحت هدایت کایروس فیوچر</w:t>
      </w:r>
      <w:r w:rsidRPr="0025250D">
        <w:rPr>
          <w:vertAlign w:val="superscript"/>
          <w:rtl/>
        </w:rPr>
        <w:footnoteReference w:id="1441"/>
      </w:r>
      <w:r w:rsidRPr="0025250D">
        <w:rPr>
          <w:rFonts w:hint="cs"/>
          <w:rtl/>
        </w:rPr>
        <w:t xml:space="preserve"> در سوئد هستند، یک برنامه کسب گواهینامه به نام </w:t>
      </w:r>
      <w:r w:rsidR="00701E03" w:rsidRPr="0025250D">
        <w:rPr>
          <w:rFonts w:hint="cs"/>
          <w:rtl/>
        </w:rPr>
        <w:t>راهبردشناس</w:t>
      </w:r>
      <w:r w:rsidRPr="0025250D">
        <w:rPr>
          <w:rtl/>
        </w:rPr>
        <w:t xml:space="preserve"> آ</w:t>
      </w:r>
      <w:r w:rsidRPr="0025250D">
        <w:rPr>
          <w:rFonts w:hint="cs"/>
          <w:rtl/>
        </w:rPr>
        <w:t>ی</w:t>
      </w:r>
      <w:r w:rsidRPr="0025250D">
        <w:rPr>
          <w:rFonts w:hint="eastAsia"/>
          <w:rtl/>
        </w:rPr>
        <w:t>نده</w:t>
      </w:r>
      <w:r w:rsidRPr="0025250D">
        <w:rPr>
          <w:rtl/>
        </w:rPr>
        <w:t xml:space="preserve"> خبره ب</w:t>
      </w:r>
      <w:r w:rsidRPr="0025250D">
        <w:rPr>
          <w:rFonts w:hint="cs"/>
          <w:rtl/>
        </w:rPr>
        <w:t>ی</w:t>
      </w:r>
      <w:r w:rsidRPr="0025250D">
        <w:rPr>
          <w:rFonts w:hint="eastAsia"/>
          <w:rtl/>
        </w:rPr>
        <w:t>ن</w:t>
      </w:r>
      <w:r w:rsidRPr="0025250D">
        <w:rPr>
          <w:rtl/>
        </w:rPr>
        <w:t xml:space="preserve"> الملل</w:t>
      </w:r>
      <w:r w:rsidRPr="0025250D">
        <w:rPr>
          <w:rFonts w:hint="cs"/>
          <w:rtl/>
        </w:rPr>
        <w:t>ی</w:t>
      </w:r>
      <w:r w:rsidRPr="0025250D">
        <w:rPr>
          <w:vertAlign w:val="superscript"/>
          <w:rtl/>
        </w:rPr>
        <w:footnoteReference w:id="1442"/>
      </w:r>
      <w:r w:rsidRPr="0025250D">
        <w:rPr>
          <w:rFonts w:hint="cs"/>
          <w:rtl/>
        </w:rPr>
        <w:t xml:space="preserve"> ارائه می‌دهند که در آن دانشجویان بر روی پروژه‌های مشاوره </w:t>
      </w:r>
      <w:r w:rsidRPr="0025250D">
        <w:rPr>
          <w:rtl/>
        </w:rPr>
        <w:t>آینده‌نگاری</w:t>
      </w:r>
      <w:r w:rsidRPr="0025250D">
        <w:rPr>
          <w:rFonts w:hint="cs"/>
          <w:rtl/>
        </w:rPr>
        <w:t xml:space="preserve"> به‌عنوان بخشی از آموزش خود کار می‌کنند. دانشکده اقتصاد </w:t>
      </w:r>
      <w:r w:rsidRPr="0025250D">
        <w:rPr>
          <w:rtl/>
        </w:rPr>
        <w:t>تورکو</w:t>
      </w:r>
      <w:r w:rsidRPr="0025250D">
        <w:rPr>
          <w:vertAlign w:val="superscript"/>
          <w:rtl/>
        </w:rPr>
        <w:footnoteReference w:id="1443"/>
      </w:r>
      <w:r w:rsidRPr="0025250D">
        <w:rPr>
          <w:rFonts w:hint="cs"/>
          <w:rtl/>
        </w:rPr>
        <w:t xml:space="preserve"> در فنلاند یک دوره تخصصی </w:t>
      </w:r>
      <w:r w:rsidRPr="0025250D">
        <w:rPr>
          <w:rtl/>
        </w:rPr>
        <w:t>آینده‌نگاری</w:t>
      </w:r>
      <w:r w:rsidRPr="0025250D">
        <w:rPr>
          <w:rFonts w:hint="cs"/>
          <w:rtl/>
        </w:rPr>
        <w:t xml:space="preserve"> دارای گواهینامه 9 روزه ارائه می‌دهد. جامعه آینده جهان دوره‌های تخصصی دو روز قبل از کنفرانس سالیانه خود ارائه می‌دهد. </w:t>
      </w:r>
      <w:r w:rsidRPr="0025250D">
        <w:rPr>
          <w:rtl/>
        </w:rPr>
        <w:t xml:space="preserve">انجمن آینده‌پژوهان </w:t>
      </w:r>
      <w:r w:rsidRPr="0025250D">
        <w:rPr>
          <w:rFonts w:hint="cs"/>
          <w:rtl/>
        </w:rPr>
        <w:t xml:space="preserve">تخصصی سمینار‌های توسعه تخصصی سنتی و آنلاین را ارائه می‌دهد. این موارد همگی گزینه‌های آموزشی برای متخصصین </w:t>
      </w:r>
      <w:r w:rsidRPr="0025250D">
        <w:rPr>
          <w:rtl/>
        </w:rPr>
        <w:t>آینده‌نگاری</w:t>
      </w:r>
      <w:r w:rsidRPr="0025250D">
        <w:rPr>
          <w:rFonts w:hint="cs"/>
          <w:rtl/>
        </w:rPr>
        <w:t xml:space="preserve"> تازه‌وارد هستند.</w:t>
      </w:r>
    </w:p>
    <w:p w14:paraId="5AB5765F" w14:textId="09C635BB" w:rsidR="00537CC8" w:rsidRPr="0025250D" w:rsidRDefault="00537CC8" w:rsidP="00537CC8">
      <w:pPr>
        <w:rPr>
          <w:rtl/>
        </w:rPr>
      </w:pPr>
      <w:r w:rsidRPr="0025250D">
        <w:rPr>
          <w:rFonts w:hint="cs"/>
          <w:rtl/>
        </w:rPr>
        <w:t>علاوه بر اخ</w:t>
      </w:r>
      <w:r w:rsidR="007A5175" w:rsidRPr="0025250D">
        <w:rPr>
          <w:rFonts w:hint="cs"/>
          <w:rtl/>
        </w:rPr>
        <w:t>ذ</w:t>
      </w:r>
      <w:r w:rsidRPr="0025250D">
        <w:rPr>
          <w:rFonts w:hint="cs"/>
          <w:rtl/>
        </w:rPr>
        <w:t xml:space="preserve"> گواهینامه، افرادی که به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علاقه دارند باید در صنعت کاری خود مطالعات گسترده‌ای داشته باشند، از جمله کتاب‌هایی درمورد اقدامات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(پیوست 3 را ببینید). اگر آن‌ها </w:t>
      </w:r>
      <w:r w:rsidR="007A5175" w:rsidRPr="0025250D">
        <w:rPr>
          <w:rFonts w:hint="cs"/>
          <w:rtl/>
        </w:rPr>
        <w:t xml:space="preserve">کار </w:t>
      </w:r>
      <w:r w:rsidRPr="0025250D">
        <w:rPr>
          <w:rtl/>
        </w:rPr>
        <w:t>آینده‌نگاری</w:t>
      </w:r>
      <w:r w:rsidRPr="0025250D">
        <w:rPr>
          <w:rFonts w:hint="cs"/>
          <w:rtl/>
        </w:rPr>
        <w:t xml:space="preserve"> سازمانی انجام </w:t>
      </w:r>
      <w:r w:rsidR="007A5175" w:rsidRPr="0025250D">
        <w:rPr>
          <w:rFonts w:hint="cs"/>
          <w:rtl/>
        </w:rPr>
        <w:t>می‌</w:t>
      </w:r>
      <w:r w:rsidRPr="0025250D">
        <w:rPr>
          <w:rFonts w:hint="cs"/>
          <w:rtl/>
        </w:rPr>
        <w:t xml:space="preserve">دهند، باید مطالعاتی موردی از طریق دوره‌ها، کتاب‌ها و کتاب خانه‌های آنلاین در مدارس و دانشکده‌های </w:t>
      </w:r>
      <w:r w:rsidR="00B124DE" w:rsidRPr="0025250D">
        <w:rPr>
          <w:rFonts w:hint="cs"/>
          <w:rtl/>
        </w:rPr>
        <w:t>کسب‌و‌کار</w:t>
      </w:r>
      <w:r w:rsidRPr="0025250D">
        <w:rPr>
          <w:rFonts w:hint="cs"/>
          <w:rtl/>
        </w:rPr>
        <w:t xml:space="preserve"> برتر که چالش‌های </w:t>
      </w:r>
      <w:r w:rsidRPr="0025250D">
        <w:rPr>
          <w:rtl/>
        </w:rPr>
        <w:t>آینده‌نگاری</w:t>
      </w:r>
      <w:r w:rsidRPr="0025250D">
        <w:rPr>
          <w:rFonts w:hint="cs"/>
          <w:rtl/>
        </w:rPr>
        <w:t xml:space="preserve"> سازمانی، پاسخ‌های </w:t>
      </w:r>
      <w:r w:rsidR="00701E03" w:rsidRPr="0025250D">
        <w:rPr>
          <w:rFonts w:hint="cs"/>
          <w:rtl/>
        </w:rPr>
        <w:t>راهبردی</w:t>
      </w:r>
      <w:r w:rsidRPr="0025250D">
        <w:rPr>
          <w:rFonts w:hint="cs"/>
          <w:rtl/>
        </w:rPr>
        <w:t xml:space="preserve"> و نتایج را توصیف می‌کنند، داشته باشند. اگر مشاور هستند، باید انجام مصاحبه‌های موردی</w:t>
      </w:r>
      <w:r w:rsidRPr="0025250D">
        <w:rPr>
          <w:vertAlign w:val="superscript"/>
          <w:rtl/>
        </w:rPr>
        <w:footnoteReference w:id="1444"/>
      </w:r>
      <w:r w:rsidRPr="0025250D">
        <w:rPr>
          <w:rFonts w:hint="cs"/>
          <w:rtl/>
        </w:rPr>
        <w:t xml:space="preserve"> را که به معنی تحلیل مطالعات موردی تحت فشار زمانی، مانند یک آزمون و با بازخورد سریع از یک معلم ارزیابی کننده می‌باشد، در نظر بگیرند. در آغاز، چنین حلقه‌های انجام سریعی، می‌توانند سریع‌ترین</w:t>
      </w:r>
      <w:r w:rsidR="008D6F97" w:rsidRPr="0025250D">
        <w:rPr>
          <w:rtl/>
        </w:rPr>
        <w:t xml:space="preserve"> </w:t>
      </w:r>
      <w:r w:rsidRPr="0025250D">
        <w:rPr>
          <w:rFonts w:hint="cs"/>
          <w:rtl/>
        </w:rPr>
        <w:t>راه برای پیشرفت باشند.</w:t>
      </w:r>
    </w:p>
    <w:p w14:paraId="7E8AFBB1" w14:textId="5C3360EA" w:rsidR="00537CC8" w:rsidRPr="0025250D" w:rsidRDefault="00537CC8" w:rsidP="00537CC8">
      <w:pPr>
        <w:rPr>
          <w:rtl/>
        </w:rPr>
      </w:pPr>
      <w:r w:rsidRPr="0025250D">
        <w:rPr>
          <w:rFonts w:hint="cs"/>
          <w:rtl/>
        </w:rPr>
        <w:t xml:space="preserve">در مصاحبه‌های موردی یک مسئله، سؤال یا چالش به یک دانشجو داده می‌شود و از او خواسته می‌شود تا موقعیت را بهبود داده یا حل و فصل کند که معمولا چالشی سازمانی است که در دنیای واقعی رخ داده است. مطالعات موردی خوب دانش </w:t>
      </w:r>
      <w:r w:rsidR="00B124DE" w:rsidRPr="0025250D">
        <w:rPr>
          <w:rFonts w:hint="cs"/>
          <w:rtl/>
        </w:rPr>
        <w:t>کسب‌و‌کار</w:t>
      </w:r>
      <w:r w:rsidRPr="0025250D">
        <w:rPr>
          <w:rFonts w:hint="cs"/>
          <w:rtl/>
        </w:rPr>
        <w:t xml:space="preserve"> و جهانی کلی، اخلاقیات، برآورد، مهارت‌های استدلال عددی و کلامی، تحقیقات، ارتباطات، </w:t>
      </w:r>
      <w:r w:rsidR="00202882" w:rsidRPr="0025250D">
        <w:rPr>
          <w:rFonts w:hint="cs"/>
          <w:rtl/>
        </w:rPr>
        <w:t>همدلی</w:t>
      </w:r>
      <w:r w:rsidRPr="0025250D">
        <w:rPr>
          <w:rFonts w:hint="cs"/>
          <w:rtl/>
        </w:rPr>
        <w:t xml:space="preserve"> و مهارت‌های ارائه را ارزیابی می‌کنند. به طور خلاصه، آن‌ها ظرفیت فعلی ما برای تولید </w:t>
      </w:r>
      <w:r w:rsidR="00701E03" w:rsidRPr="0025250D">
        <w:rPr>
          <w:rFonts w:hint="cs"/>
          <w:rtl/>
        </w:rPr>
        <w:t>راهبرد</w:t>
      </w:r>
      <w:r w:rsidRPr="0025250D">
        <w:rPr>
          <w:rFonts w:hint="cs"/>
          <w:rtl/>
        </w:rPr>
        <w:t xml:space="preserve">‌های </w:t>
      </w:r>
      <w:r w:rsidR="00B124DE" w:rsidRPr="0025250D">
        <w:rPr>
          <w:rFonts w:hint="cs"/>
          <w:rtl/>
        </w:rPr>
        <w:t>کسب‌و‌کار</w:t>
      </w:r>
      <w:r w:rsidRPr="0025250D">
        <w:rPr>
          <w:rFonts w:hint="cs"/>
          <w:rtl/>
        </w:rPr>
        <w:t xml:space="preserve"> عملی و مؤثر و برنامه‌های خام و تقریبی تحت محدودیت‌های زمانی را ارزیابی می‌کنند </w:t>
      </w:r>
      <w:r w:rsidRPr="0025250D">
        <w:rPr>
          <w:rFonts w:cs="Times New Roman" w:hint="cs"/>
          <w:rtl/>
        </w:rPr>
        <w:t>–</w:t>
      </w:r>
      <w:r w:rsidRPr="0025250D">
        <w:rPr>
          <w:rFonts w:hint="cs"/>
          <w:rtl/>
        </w:rPr>
        <w:t xml:space="preserve"> که همگی شایستگی‌های کلیدی برای </w:t>
      </w:r>
      <w:r w:rsidRPr="0025250D">
        <w:rPr>
          <w:rtl/>
        </w:rPr>
        <w:t>آینده‌نگاری</w:t>
      </w:r>
      <w:r w:rsidRPr="0025250D">
        <w:rPr>
          <w:rFonts w:hint="cs"/>
          <w:rtl/>
        </w:rPr>
        <w:t xml:space="preserve"> سازمانی هستند.</w:t>
      </w:r>
    </w:p>
    <w:p w14:paraId="34E6A5B2" w14:textId="77777777" w:rsidR="00537CC8" w:rsidRPr="0025250D" w:rsidRDefault="00537CC8" w:rsidP="000A674B">
      <w:pPr>
        <w:jc w:val="center"/>
        <w:rPr>
          <w:rtl/>
        </w:rPr>
      </w:pPr>
      <w:r w:rsidRPr="0025250D">
        <w:rPr>
          <w:noProof/>
          <w:rtl/>
          <w:lang w:bidi="ar-SA"/>
        </w:rPr>
        <w:drawing>
          <wp:inline distT="0" distB="0" distL="0" distR="0" wp14:anchorId="0797D53C" wp14:editId="7AA340A3">
            <wp:extent cx="1539093" cy="2091193"/>
            <wp:effectExtent l="0" t="0" r="4445" b="4445"/>
            <wp:docPr id="85" name="Picture 85" descr="D:\کار\مستقل\3 ( ترجمه ی دانشگاه تهران  )\Introduction to Foresight\part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کار\مستقل\3 ( ترجمه ی دانشگاه تهران  )\Introduction to Foresight\part4\3.png"/>
                    <pic:cNvPicPr>
                      <a:picLocks noChangeAspect="1" noChangeArrowheads="1"/>
                    </pic:cNvPicPr>
                  </pic:nvPicPr>
                  <pic:blipFill rotWithShape="1">
                    <a:blip r:embed="rId131" cstate="screen">
                      <a:extLst>
                        <a:ext uri="{BEBA8EAE-BF5A-486C-A8C5-ECC9F3942E4B}">
                          <a14:imgProps xmlns:a14="http://schemas.microsoft.com/office/drawing/2010/main">
                            <a14:imgLayer r:embed="rId132">
                              <a14:imgEffect>
                                <a14:saturation sat="0"/>
                              </a14:imgEffect>
                            </a14:imgLayer>
                          </a14:imgProps>
                        </a:ext>
                        <a:ext uri="{28A0092B-C50C-407E-A947-70E740481C1C}">
                          <a14:useLocalDpi xmlns:a14="http://schemas.microsoft.com/office/drawing/2010/main"/>
                        </a:ext>
                      </a:extLst>
                    </a:blip>
                    <a:srcRect b="10858"/>
                    <a:stretch/>
                  </pic:blipFill>
                  <pic:spPr bwMode="auto">
                    <a:xfrm>
                      <a:off x="0" y="0"/>
                      <a:ext cx="1557813" cy="2116628"/>
                    </a:xfrm>
                    <a:prstGeom prst="rect">
                      <a:avLst/>
                    </a:prstGeom>
                    <a:noFill/>
                    <a:ln>
                      <a:noFill/>
                    </a:ln>
                    <a:extLst>
                      <a:ext uri="{53640926-AAD7-44D8-BBD7-CCE9431645EC}">
                        <a14:shadowObscured xmlns:a14="http://schemas.microsoft.com/office/drawing/2010/main"/>
                      </a:ext>
                    </a:extLst>
                  </pic:spPr>
                </pic:pic>
              </a:graphicData>
            </a:graphic>
          </wp:inline>
        </w:drawing>
      </w:r>
    </w:p>
    <w:p w14:paraId="0F6F62D3" w14:textId="77777777" w:rsidR="00537CC8" w:rsidRPr="0025250D" w:rsidRDefault="00537CC8" w:rsidP="000A674B">
      <w:pPr>
        <w:jc w:val="center"/>
        <w:rPr>
          <w:rtl/>
        </w:rPr>
      </w:pPr>
      <w:r w:rsidRPr="0025250D">
        <w:rPr>
          <w:rFonts w:hint="cs"/>
          <w:rtl/>
        </w:rPr>
        <w:t>چنگ، 2012</w:t>
      </w:r>
    </w:p>
    <w:p w14:paraId="3F2F053B" w14:textId="0A59BA94" w:rsidR="00537CC8" w:rsidRPr="0025250D" w:rsidRDefault="00537CC8" w:rsidP="00537CC8">
      <w:pPr>
        <w:rPr>
          <w:rtl/>
        </w:rPr>
      </w:pPr>
      <w:r w:rsidRPr="0025250D">
        <w:rPr>
          <w:rFonts w:hint="cs"/>
          <w:rtl/>
        </w:rPr>
        <w:t xml:space="preserve">دانشکده‌های </w:t>
      </w:r>
      <w:r w:rsidR="00B124DE" w:rsidRPr="0025250D">
        <w:rPr>
          <w:rFonts w:hint="cs"/>
          <w:rtl/>
        </w:rPr>
        <w:t>کسب‌و‌کار</w:t>
      </w:r>
      <w:r w:rsidRPr="0025250D">
        <w:rPr>
          <w:rFonts w:hint="cs"/>
          <w:rtl/>
        </w:rPr>
        <w:t xml:space="preserve"> برتر در دانشگاه‌های </w:t>
      </w:r>
      <w:r w:rsidRPr="0025250D">
        <w:rPr>
          <w:rtl/>
        </w:rPr>
        <w:t>هاروارد</w:t>
      </w:r>
      <w:r w:rsidRPr="0025250D">
        <w:rPr>
          <w:rFonts w:hint="cs"/>
          <w:rtl/>
        </w:rPr>
        <w:t xml:space="preserve">، </w:t>
      </w:r>
      <w:r w:rsidRPr="0025250D">
        <w:rPr>
          <w:rtl/>
        </w:rPr>
        <w:t>ش</w:t>
      </w:r>
      <w:r w:rsidRPr="0025250D">
        <w:rPr>
          <w:rFonts w:hint="cs"/>
          <w:rtl/>
        </w:rPr>
        <w:t>ی</w:t>
      </w:r>
      <w:r w:rsidRPr="0025250D">
        <w:rPr>
          <w:rFonts w:hint="eastAsia"/>
          <w:rtl/>
        </w:rPr>
        <w:t>کاگو</w:t>
      </w:r>
      <w:r w:rsidRPr="0025250D">
        <w:rPr>
          <w:rFonts w:hint="cs"/>
          <w:rtl/>
        </w:rPr>
        <w:t xml:space="preserve">، </w:t>
      </w:r>
      <w:r w:rsidRPr="0025250D">
        <w:t>MIT</w:t>
      </w:r>
      <w:r w:rsidRPr="0025250D">
        <w:rPr>
          <w:rFonts w:hint="cs"/>
          <w:rtl/>
        </w:rPr>
        <w:t xml:space="preserve"> و هر جای دیگر کتاب خانه‌های مطالعات موردی آنلاین دارند </w:t>
      </w:r>
      <w:r w:rsidRPr="0025250D">
        <w:rPr>
          <w:rFonts w:cs="Times New Roman" w:hint="cs"/>
          <w:rtl/>
        </w:rPr>
        <w:t>–</w:t>
      </w:r>
      <w:r w:rsidRPr="0025250D">
        <w:rPr>
          <w:rFonts w:hint="cs"/>
          <w:rtl/>
        </w:rPr>
        <w:t xml:space="preserve"> که بسیاری از آن‌ها اجزاء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را دارند. ما باید مطالعات موردی در صنعت خود را خوانده و تحلیل کنیم. کتاب راز‌های مصاحبه‌های موردی</w:t>
      </w:r>
      <w:r w:rsidRPr="0025250D">
        <w:rPr>
          <w:vertAlign w:val="superscript"/>
          <w:rtl/>
        </w:rPr>
        <w:footnoteReference w:id="1445"/>
      </w:r>
      <w:r w:rsidRPr="0025250D">
        <w:rPr>
          <w:rFonts w:hint="cs"/>
          <w:rtl/>
        </w:rPr>
        <w:t xml:space="preserve"> اثر </w:t>
      </w:r>
      <w:r w:rsidRPr="0025250D">
        <w:rPr>
          <w:rtl/>
        </w:rPr>
        <w:t>و</w:t>
      </w:r>
      <w:r w:rsidRPr="0025250D">
        <w:rPr>
          <w:rFonts w:hint="cs"/>
          <w:rtl/>
        </w:rPr>
        <w:t>ی</w:t>
      </w:r>
      <w:r w:rsidRPr="0025250D">
        <w:rPr>
          <w:rFonts w:hint="eastAsia"/>
          <w:rtl/>
        </w:rPr>
        <w:t>کتور</w:t>
      </w:r>
      <w:r w:rsidRPr="0025250D">
        <w:rPr>
          <w:rtl/>
        </w:rPr>
        <w:t xml:space="preserve"> چنگ</w:t>
      </w:r>
      <w:r w:rsidRPr="0025250D">
        <w:rPr>
          <w:vertAlign w:val="superscript"/>
          <w:rtl/>
        </w:rPr>
        <w:footnoteReference w:id="1446"/>
      </w:r>
      <w:r w:rsidRPr="0025250D">
        <w:rPr>
          <w:rFonts w:hint="cs"/>
          <w:rtl/>
        </w:rPr>
        <w:t xml:space="preserve"> در سال 2012 و </w:t>
      </w:r>
      <w:r w:rsidRPr="0025250D">
        <w:t>Caseinterview.com</w:t>
      </w:r>
      <w:r w:rsidRPr="0025250D">
        <w:rPr>
          <w:rFonts w:hint="cs"/>
          <w:rtl/>
        </w:rPr>
        <w:t xml:space="preserve"> منابع خوبی برای تمرین فردی در موضوع مصاحبه‌های موردی هستند.</w:t>
      </w:r>
    </w:p>
    <w:p w14:paraId="09E87457" w14:textId="77777777" w:rsidR="00537CC8" w:rsidRPr="0025250D" w:rsidRDefault="00537CC8" w:rsidP="000A674B">
      <w:pPr>
        <w:pStyle w:val="Heading3"/>
        <w:rPr>
          <w:rtl/>
        </w:rPr>
      </w:pPr>
      <w:r w:rsidRPr="0025250D">
        <w:rPr>
          <w:rFonts w:hint="cs"/>
          <w:rtl/>
        </w:rPr>
        <w:t xml:space="preserve">دوره‌های </w:t>
      </w:r>
      <w:r w:rsidRPr="0025250D">
        <w:rPr>
          <w:rtl/>
        </w:rPr>
        <w:t>آینده‌نگاری</w:t>
      </w:r>
      <w:r w:rsidRPr="0025250D">
        <w:rPr>
          <w:rFonts w:hint="cs"/>
          <w:rtl/>
        </w:rPr>
        <w:t xml:space="preserve"> چند هفته ای</w:t>
      </w:r>
    </w:p>
    <w:p w14:paraId="35C3E128" w14:textId="793F5EA0" w:rsidR="00537CC8" w:rsidRPr="0025250D" w:rsidRDefault="00537CC8" w:rsidP="00537CC8">
      <w:pPr>
        <w:rPr>
          <w:rtl/>
        </w:rPr>
      </w:pPr>
      <w:r w:rsidRPr="0025250D">
        <w:rPr>
          <w:rFonts w:hint="cs"/>
          <w:rtl/>
        </w:rPr>
        <w:t xml:space="preserve">چند صد دوره </w:t>
      </w:r>
      <w:r w:rsidRPr="0025250D">
        <w:rPr>
          <w:rtl/>
        </w:rPr>
        <w:t>آینده‌نگاری</w:t>
      </w:r>
      <w:r w:rsidRPr="0025250D">
        <w:rPr>
          <w:rFonts w:hint="cs"/>
          <w:rtl/>
        </w:rPr>
        <w:t xml:space="preserve"> درمورد موضوعات دامنه‌ای و روش‌ها و اقدامات </w:t>
      </w:r>
      <w:r w:rsidRPr="0025250D">
        <w:rPr>
          <w:rtl/>
        </w:rPr>
        <w:t>آینده‌نگاری</w:t>
      </w:r>
      <w:r w:rsidRPr="0025250D">
        <w:rPr>
          <w:rFonts w:hint="cs"/>
          <w:rtl/>
        </w:rPr>
        <w:t xml:space="preserve">، در سراسر جهان در دانشگاه‌ها و سازمان‌ها برگزار می‌شوند. آن‌ها هم به صورت آنلاین و هم به شکل‌های سنتی ارائه می‌شوند. تعدادی از فهرست‌های کوچک دوره‌های </w:t>
      </w:r>
      <w:r w:rsidRPr="0025250D">
        <w:rPr>
          <w:rtl/>
        </w:rPr>
        <w:t>آینده‌نگاری</w:t>
      </w:r>
      <w:r w:rsidRPr="0025250D">
        <w:rPr>
          <w:rFonts w:hint="cs"/>
          <w:rtl/>
        </w:rPr>
        <w:t xml:space="preserve"> وجود دارند، اما</w:t>
      </w:r>
      <w:r w:rsidR="007A5175" w:rsidRPr="0025250D">
        <w:rPr>
          <w:rFonts w:hint="cs"/>
          <w:rtl/>
        </w:rPr>
        <w:t xml:space="preserve"> این</w:t>
      </w:r>
      <w:r w:rsidRPr="0025250D">
        <w:rPr>
          <w:rFonts w:hint="cs"/>
          <w:rtl/>
        </w:rPr>
        <w:t xml:space="preserve"> زمینه اکنون به یک فهرست جهانی آنلاین از دوره‌های </w:t>
      </w:r>
      <w:r w:rsidRPr="0025250D">
        <w:rPr>
          <w:rtl/>
        </w:rPr>
        <w:t>آینده‌نگاری</w:t>
      </w:r>
      <w:r w:rsidRPr="0025250D">
        <w:rPr>
          <w:rFonts w:hint="cs"/>
          <w:rtl/>
        </w:rPr>
        <w:t xml:space="preserve"> که کاملا تنوع مهارت‌ها و روش‌های </w:t>
      </w:r>
      <w:r w:rsidR="007A5175" w:rsidRPr="0025250D">
        <w:rPr>
          <w:rFonts w:hint="cs"/>
          <w:rtl/>
        </w:rPr>
        <w:t>آن</w:t>
      </w:r>
      <w:r w:rsidRPr="0025250D">
        <w:rPr>
          <w:rFonts w:hint="cs"/>
          <w:rtl/>
        </w:rPr>
        <w:t xml:space="preserve"> را نشان دهد نیاز دارد.</w:t>
      </w:r>
    </w:p>
    <w:p w14:paraId="36A1942C" w14:textId="1AA1D167" w:rsidR="00537CC8" w:rsidRPr="0025250D" w:rsidRDefault="00537CC8" w:rsidP="00537CC8">
      <w:pPr>
        <w:rPr>
          <w:rtl/>
        </w:rPr>
      </w:pPr>
      <w:r w:rsidRPr="0025250D">
        <w:rPr>
          <w:rFonts w:hint="cs"/>
          <w:rtl/>
        </w:rPr>
        <w:t xml:space="preserve">یک دوره نوآورانه </w:t>
      </w:r>
      <w:r w:rsidRPr="0025250D">
        <w:rPr>
          <w:rtl/>
        </w:rPr>
        <w:t>آینده‌نگاری</w:t>
      </w:r>
      <w:r w:rsidRPr="0025250D">
        <w:rPr>
          <w:rFonts w:hint="cs"/>
          <w:rtl/>
        </w:rPr>
        <w:t xml:space="preserve"> جدید </w:t>
      </w:r>
      <w:r w:rsidRPr="0025250D">
        <w:rPr>
          <w:rtl/>
        </w:rPr>
        <w:t>برنامه تحص</w:t>
      </w:r>
      <w:r w:rsidRPr="0025250D">
        <w:rPr>
          <w:rFonts w:hint="cs"/>
          <w:rtl/>
        </w:rPr>
        <w:t>ی</w:t>
      </w:r>
      <w:r w:rsidRPr="0025250D">
        <w:rPr>
          <w:rFonts w:hint="eastAsia"/>
          <w:rtl/>
        </w:rPr>
        <w:t>لات</w:t>
      </w:r>
      <w:r w:rsidRPr="0025250D">
        <w:rPr>
          <w:rtl/>
        </w:rPr>
        <w:t xml:space="preserve"> تکم</w:t>
      </w:r>
      <w:r w:rsidRPr="0025250D">
        <w:rPr>
          <w:rFonts w:hint="cs"/>
          <w:rtl/>
        </w:rPr>
        <w:t>ی</w:t>
      </w:r>
      <w:r w:rsidRPr="0025250D">
        <w:rPr>
          <w:rFonts w:hint="eastAsia"/>
          <w:rtl/>
        </w:rPr>
        <w:t>ل</w:t>
      </w:r>
      <w:r w:rsidRPr="0025250D">
        <w:rPr>
          <w:rFonts w:hint="cs"/>
          <w:rtl/>
        </w:rPr>
        <w:t xml:space="preserve">ی دانشگاه تکینگی (که اکنون برنامه استارتاپ جهانی نامیده می‌شود) بود که در سال 2009 آغاز شد. این برنامه به‌عنوان یک برنامه ده هفته‌ای آغاز شد و 80 دانشجو را از سراسر جهان برای توسعه پروژه‌هایی که می‌توانستند به بهبود زندگی میلیون‌ها نفر از مردم در طول ده سال، با استفاده از </w:t>
      </w:r>
      <w:r w:rsidR="007A53FD" w:rsidRPr="0025250D">
        <w:rPr>
          <w:rFonts w:hint="cs"/>
          <w:rtl/>
        </w:rPr>
        <w:t>فناوری</w:t>
      </w:r>
      <w:r w:rsidRPr="0025250D">
        <w:rPr>
          <w:rFonts w:hint="cs"/>
          <w:rtl/>
        </w:rPr>
        <w:t>‌های در حال پیشرفت سریع و نمایی کمک کنند، دعوت کرد. آن‌ها اکنون گستره‌ای از برنامه‌های اجرایی چند هفته‌ای و چند روزه را به صورت حضوری و آنلاین ارائه می‌دهند.</w:t>
      </w:r>
    </w:p>
    <w:p w14:paraId="6FBE3140" w14:textId="77777777" w:rsidR="00537CC8" w:rsidRPr="0025250D" w:rsidRDefault="00537CC8" w:rsidP="000A674B">
      <w:pPr>
        <w:jc w:val="center"/>
        <w:rPr>
          <w:rtl/>
        </w:rPr>
      </w:pPr>
      <w:r w:rsidRPr="0025250D">
        <w:rPr>
          <w:noProof/>
          <w:lang w:bidi="ar-SA"/>
        </w:rPr>
        <w:drawing>
          <wp:inline distT="0" distB="0" distL="0" distR="0" wp14:anchorId="2470B0B3" wp14:editId="63F3B44F">
            <wp:extent cx="1066800" cy="13906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BEBA8EAE-BF5A-486C-A8C5-ECC9F3942E4B}">
                          <a14:imgProps xmlns:a14="http://schemas.microsoft.com/office/drawing/2010/main">
                            <a14:imgLayer r:embed="rId134">
                              <a14:imgEffect>
                                <a14:saturation sat="0"/>
                              </a14:imgEffect>
                            </a14:imgLayer>
                          </a14:imgProps>
                        </a:ext>
                      </a:extLst>
                    </a:blip>
                    <a:stretch>
                      <a:fillRect/>
                    </a:stretch>
                  </pic:blipFill>
                  <pic:spPr>
                    <a:xfrm>
                      <a:off x="0" y="0"/>
                      <a:ext cx="1066800" cy="1390650"/>
                    </a:xfrm>
                    <a:prstGeom prst="rect">
                      <a:avLst/>
                    </a:prstGeom>
                  </pic:spPr>
                </pic:pic>
              </a:graphicData>
            </a:graphic>
          </wp:inline>
        </w:drawing>
      </w:r>
    </w:p>
    <w:p w14:paraId="6E745936" w14:textId="77777777" w:rsidR="00537CC8" w:rsidRPr="0025250D" w:rsidRDefault="00537CC8" w:rsidP="00537CC8">
      <w:pPr>
        <w:rPr>
          <w:rtl/>
        </w:rPr>
      </w:pPr>
      <w:r w:rsidRPr="0025250D">
        <w:rPr>
          <w:rFonts w:hint="cs"/>
          <w:rtl/>
        </w:rPr>
        <w:t>دوره‌های استارتاپی، مانند کمپ استارتاپی پلاگ اند پلی</w:t>
      </w:r>
      <w:r w:rsidRPr="0025250D">
        <w:rPr>
          <w:vertAlign w:val="superscript"/>
          <w:rtl/>
        </w:rPr>
        <w:footnoteReference w:id="1447"/>
      </w:r>
      <w:r w:rsidRPr="0025250D">
        <w:rPr>
          <w:rFonts w:hint="cs"/>
          <w:rtl/>
        </w:rPr>
        <w:t xml:space="preserve"> و </w:t>
      </w:r>
      <w:r w:rsidRPr="0025250D">
        <w:t>MOOC</w:t>
      </w:r>
      <w:r w:rsidRPr="0025250D">
        <w:rPr>
          <w:rFonts w:hint="cs"/>
          <w:rtl/>
        </w:rPr>
        <w:t xml:space="preserve"> های</w:t>
      </w:r>
      <w:r w:rsidRPr="0025250D">
        <w:rPr>
          <w:vertAlign w:val="superscript"/>
          <w:rtl/>
        </w:rPr>
        <w:footnoteReference w:id="1448"/>
      </w:r>
      <w:r w:rsidRPr="0025250D">
        <w:rPr>
          <w:rFonts w:hint="cs"/>
          <w:rtl/>
        </w:rPr>
        <w:t xml:space="preserve"> (</w:t>
      </w:r>
      <w:r w:rsidRPr="0025250D">
        <w:rPr>
          <w:rtl/>
        </w:rPr>
        <w:t>دوره‌های آنلا</w:t>
      </w:r>
      <w:r w:rsidRPr="0025250D">
        <w:rPr>
          <w:rFonts w:hint="cs"/>
          <w:rtl/>
        </w:rPr>
        <w:t>ی</w:t>
      </w:r>
      <w:r w:rsidRPr="0025250D">
        <w:rPr>
          <w:rFonts w:hint="eastAsia"/>
          <w:rtl/>
        </w:rPr>
        <w:t>ن</w:t>
      </w:r>
      <w:r w:rsidRPr="0025250D">
        <w:rPr>
          <w:rtl/>
        </w:rPr>
        <w:t xml:space="preserve"> باز گسترده</w:t>
      </w:r>
      <w:r w:rsidRPr="0025250D">
        <w:rPr>
          <w:rFonts w:hint="cs"/>
          <w:rtl/>
        </w:rPr>
        <w:t xml:space="preserve">) استارتاپی مانند </w:t>
      </w:r>
      <w:r w:rsidRPr="0025250D">
        <w:rPr>
          <w:rtl/>
        </w:rPr>
        <w:t>لانچ پد ن</w:t>
      </w:r>
      <w:r w:rsidRPr="0025250D">
        <w:rPr>
          <w:rFonts w:hint="cs"/>
          <w:rtl/>
        </w:rPr>
        <w:t>اب</w:t>
      </w:r>
      <w:r w:rsidRPr="0025250D">
        <w:rPr>
          <w:vertAlign w:val="superscript"/>
          <w:rtl/>
        </w:rPr>
        <w:footnoteReference w:id="1449"/>
      </w:r>
      <w:r w:rsidRPr="0025250D">
        <w:rPr>
          <w:rFonts w:hint="cs"/>
          <w:rtl/>
        </w:rPr>
        <w:t xml:space="preserve"> از یوداسیتی</w:t>
      </w:r>
      <w:r w:rsidRPr="0025250D">
        <w:rPr>
          <w:vertAlign w:val="superscript"/>
          <w:rtl/>
        </w:rPr>
        <w:footnoteReference w:id="1450"/>
      </w:r>
      <w:r w:rsidRPr="0025250D">
        <w:rPr>
          <w:rFonts w:hint="cs"/>
          <w:rtl/>
        </w:rPr>
        <w:t xml:space="preserve"> و مهندسی استارتاپ از </w:t>
      </w:r>
      <w:r w:rsidRPr="0025250D">
        <w:rPr>
          <w:rtl/>
        </w:rPr>
        <w:t>کورسرا</w:t>
      </w:r>
      <w:r w:rsidRPr="0025250D">
        <w:rPr>
          <w:vertAlign w:val="superscript"/>
          <w:rtl/>
        </w:rPr>
        <w:footnoteReference w:id="1451"/>
      </w:r>
      <w:r w:rsidRPr="0025250D">
        <w:rPr>
          <w:rFonts w:hint="cs"/>
          <w:rtl/>
        </w:rPr>
        <w:t xml:space="preserve"> نیز آموزش چند هفته‌ای را ارائه می‌دهند، اما </w:t>
      </w:r>
      <w:r w:rsidRPr="0025250D">
        <w:rPr>
          <w:rtl/>
        </w:rPr>
        <w:t>آینده‌نگاری</w:t>
      </w:r>
      <w:r w:rsidRPr="0025250D">
        <w:rPr>
          <w:rFonts w:hint="cs"/>
          <w:rtl/>
        </w:rPr>
        <w:t xml:space="preserve"> در حال حاضر یک جزء حداقلی از این برنامه‌ها است.</w:t>
      </w:r>
    </w:p>
    <w:p w14:paraId="008F5B4A" w14:textId="77777777" w:rsidR="00537CC8" w:rsidRPr="0025250D" w:rsidRDefault="00537CC8" w:rsidP="000A674B">
      <w:pPr>
        <w:pStyle w:val="Heading3"/>
        <w:rPr>
          <w:rtl/>
        </w:rPr>
      </w:pPr>
      <w:r w:rsidRPr="0025250D">
        <w:rPr>
          <w:rtl/>
        </w:rPr>
        <w:t>مدارک آکادم</w:t>
      </w:r>
      <w:r w:rsidRPr="0025250D">
        <w:rPr>
          <w:rFonts w:hint="cs"/>
          <w:rtl/>
        </w:rPr>
        <w:t>ی</w:t>
      </w:r>
      <w:r w:rsidRPr="0025250D">
        <w:rPr>
          <w:rFonts w:hint="eastAsia"/>
          <w:rtl/>
        </w:rPr>
        <w:t>ک</w:t>
      </w:r>
      <w:r w:rsidRPr="0025250D">
        <w:rPr>
          <w:rtl/>
        </w:rPr>
        <w:t xml:space="preserve"> آینده‌نگاری</w:t>
      </w:r>
    </w:p>
    <w:p w14:paraId="16ADE44D" w14:textId="0F3BA5C1" w:rsidR="00537CC8" w:rsidRPr="0025250D" w:rsidRDefault="00537CC8" w:rsidP="00537CC8">
      <w:pPr>
        <w:rPr>
          <w:rtl/>
        </w:rPr>
      </w:pPr>
      <w:r w:rsidRPr="0025250D">
        <w:rPr>
          <w:rFonts w:hint="cs"/>
          <w:rtl/>
        </w:rPr>
        <w:t xml:space="preserve">برای افرادی که خواهان یک مدرک آکادمیک رسمی در زمینه </w:t>
      </w:r>
      <w:r w:rsidR="007A5175" w:rsidRPr="0025250D">
        <w:rPr>
          <w:rtl/>
        </w:rPr>
        <w:t>آینده‌نگاری</w:t>
      </w:r>
      <w:r w:rsidR="007A5175" w:rsidRPr="0025250D">
        <w:rPr>
          <w:rFonts w:hint="cs"/>
          <w:rtl/>
        </w:rPr>
        <w:t xml:space="preserve"> </w:t>
      </w:r>
      <w:r w:rsidRPr="0025250D">
        <w:rPr>
          <w:rFonts w:hint="cs"/>
          <w:rtl/>
        </w:rPr>
        <w:t xml:space="preserve">هستند، در حال حاضر 23 برنامه تحصیلات تکمیلی تمام وقت درمورد موضوعات و روش‌های </w:t>
      </w:r>
      <w:r w:rsidRPr="0025250D">
        <w:rPr>
          <w:rtl/>
        </w:rPr>
        <w:t>آینده‌نگاری</w:t>
      </w:r>
      <w:r w:rsidRPr="0025250D">
        <w:rPr>
          <w:rFonts w:hint="cs"/>
          <w:rtl/>
        </w:rPr>
        <w:t xml:space="preserve"> (برنامه‌های کارشناسی ارشد و دکتری) در سراسر جهان موجود هستند.</w:t>
      </w:r>
    </w:p>
    <w:p w14:paraId="281C1D37" w14:textId="477AFF6C" w:rsidR="00537CC8" w:rsidRPr="0025250D" w:rsidRDefault="00537CC8" w:rsidP="00537CC8">
      <w:pPr>
        <w:rPr>
          <w:rtl/>
        </w:rPr>
      </w:pPr>
      <w:r w:rsidRPr="0025250D">
        <w:rPr>
          <w:rFonts w:hint="cs"/>
          <w:rtl/>
        </w:rPr>
        <w:t xml:space="preserve">دو برنامه تحصیلات تکمیلی اولیه در </w:t>
      </w:r>
      <w:r w:rsidRPr="0025250D">
        <w:rPr>
          <w:rtl/>
        </w:rPr>
        <w:t>آینده‌نگاری</w:t>
      </w:r>
      <w:r w:rsidRPr="0025250D">
        <w:rPr>
          <w:rFonts w:hint="cs"/>
          <w:rtl/>
        </w:rPr>
        <w:t xml:space="preserve"> در دانشگاه </w:t>
      </w:r>
      <w:r w:rsidRPr="0025250D">
        <w:rPr>
          <w:rtl/>
        </w:rPr>
        <w:t>ه</w:t>
      </w:r>
      <w:r w:rsidRPr="0025250D">
        <w:rPr>
          <w:rFonts w:hint="cs"/>
          <w:rtl/>
        </w:rPr>
        <w:t>ی</w:t>
      </w:r>
      <w:r w:rsidRPr="0025250D">
        <w:rPr>
          <w:rFonts w:hint="eastAsia"/>
          <w:rtl/>
        </w:rPr>
        <w:t>وستون</w:t>
      </w:r>
      <w:r w:rsidRPr="0025250D">
        <w:rPr>
          <w:rFonts w:hint="cs"/>
          <w:rtl/>
        </w:rPr>
        <w:t xml:space="preserve"> (تنها کارشناسی ارشد و دکتری، از سال 1977) پدیدار شدند. چهل سال پس از آن، نزدیک به 30 برنامه کارشناسی ارشد و دکتری در سراسر جهان پدیدار </w:t>
      </w:r>
      <w:r w:rsidR="00185F3E" w:rsidRPr="0025250D">
        <w:rPr>
          <w:rFonts w:hint="cs"/>
          <w:rtl/>
        </w:rPr>
        <w:t>شده‌اند</w:t>
      </w:r>
      <w:r w:rsidRPr="0025250D">
        <w:rPr>
          <w:rFonts w:hint="cs"/>
          <w:rtl/>
        </w:rPr>
        <w:t xml:space="preserve"> و اکثریت این موارد امروزه نیز پابرجا هستند. قوی‌ترین</w:t>
      </w:r>
      <w:r w:rsidR="008D6F97" w:rsidRPr="0025250D">
        <w:rPr>
          <w:rtl/>
        </w:rPr>
        <w:t xml:space="preserve"> </w:t>
      </w:r>
      <w:r w:rsidRPr="0025250D">
        <w:rPr>
          <w:rFonts w:hint="cs"/>
          <w:rtl/>
        </w:rPr>
        <w:t xml:space="preserve">رشد در آموزش </w:t>
      </w:r>
      <w:r w:rsidRPr="0025250D">
        <w:rPr>
          <w:rtl/>
        </w:rPr>
        <w:t>آینده‌نگاری</w:t>
      </w:r>
      <w:r w:rsidRPr="0025250D">
        <w:rPr>
          <w:rFonts w:hint="cs"/>
          <w:rtl/>
        </w:rPr>
        <w:t>، به ویژه در برنامه‌های کسب مدرک، در ده سال اخیر رخ داده است.</w:t>
      </w:r>
    </w:p>
    <w:p w14:paraId="599991A5" w14:textId="77777777" w:rsidR="00537CC8" w:rsidRPr="0025250D" w:rsidRDefault="00537CC8" w:rsidP="00537CC8">
      <w:pPr>
        <w:rPr>
          <w:rtl/>
        </w:rPr>
      </w:pPr>
    </w:p>
    <w:p w14:paraId="73755426" w14:textId="77777777" w:rsidR="00537CC8" w:rsidRPr="0025250D" w:rsidRDefault="00537CC8" w:rsidP="000A674B">
      <w:pPr>
        <w:jc w:val="center"/>
        <w:rPr>
          <w:rtl/>
        </w:rPr>
      </w:pPr>
      <w:r w:rsidRPr="0025250D">
        <w:rPr>
          <w:noProof/>
          <w:lang w:bidi="ar-SA"/>
        </w:rPr>
        <w:drawing>
          <wp:inline distT="0" distB="0" distL="0" distR="0" wp14:anchorId="74D2A425" wp14:editId="175927B9">
            <wp:extent cx="2584174" cy="771395"/>
            <wp:effectExtent l="0" t="0" r="698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BEBA8EAE-BF5A-486C-A8C5-ECC9F3942E4B}">
                          <a14:imgProps xmlns:a14="http://schemas.microsoft.com/office/drawing/2010/main">
                            <a14:imgLayer r:embed="rId136">
                              <a14:imgEffect>
                                <a14:saturation sat="0"/>
                              </a14:imgEffect>
                            </a14:imgLayer>
                          </a14:imgProps>
                        </a:ext>
                      </a:extLst>
                    </a:blip>
                    <a:stretch>
                      <a:fillRect/>
                    </a:stretch>
                  </pic:blipFill>
                  <pic:spPr>
                    <a:xfrm>
                      <a:off x="0" y="0"/>
                      <a:ext cx="2594599" cy="774507"/>
                    </a:xfrm>
                    <a:prstGeom prst="rect">
                      <a:avLst/>
                    </a:prstGeom>
                  </pic:spPr>
                </pic:pic>
              </a:graphicData>
            </a:graphic>
          </wp:inline>
        </w:drawing>
      </w:r>
    </w:p>
    <w:p w14:paraId="772A18DB" w14:textId="109E43F3" w:rsidR="00537CC8" w:rsidRPr="0025250D" w:rsidRDefault="00537CC8" w:rsidP="00537CC8">
      <w:pPr>
        <w:rPr>
          <w:rtl/>
        </w:rPr>
      </w:pPr>
      <w:r w:rsidRPr="0025250D">
        <w:rPr>
          <w:rFonts w:hint="cs"/>
          <w:rtl/>
        </w:rPr>
        <w:t xml:space="preserve">13 مورد از این برنامه‌های کارشناسی ارشد و دکتری به انگلیسی تدریس می‌شوند و ده مورد به زبان‌های دیگر. برنامه‌های تحصیلات تکمیلی انگلیسی زبان آینده‌نگاری اکنون در کانادا (کالج هنر و طراحی </w:t>
      </w:r>
      <w:r w:rsidRPr="0025250D">
        <w:rPr>
          <w:rtl/>
        </w:rPr>
        <w:t>انتار</w:t>
      </w:r>
      <w:r w:rsidRPr="0025250D">
        <w:rPr>
          <w:rFonts w:hint="cs"/>
          <w:rtl/>
        </w:rPr>
        <w:t>ی</w:t>
      </w:r>
      <w:r w:rsidRPr="0025250D">
        <w:rPr>
          <w:rFonts w:hint="eastAsia"/>
          <w:rtl/>
        </w:rPr>
        <w:t>و</w:t>
      </w:r>
      <w:r w:rsidRPr="0025250D">
        <w:rPr>
          <w:vertAlign w:val="superscript"/>
          <w:rtl/>
        </w:rPr>
        <w:footnoteReference w:id="1452"/>
      </w:r>
      <w:r w:rsidRPr="0025250D">
        <w:rPr>
          <w:rFonts w:hint="cs"/>
          <w:rtl/>
        </w:rPr>
        <w:t xml:space="preserve">)، دانمارک (دانشگاه </w:t>
      </w:r>
      <w:r w:rsidRPr="0025250D">
        <w:rPr>
          <w:rtl/>
        </w:rPr>
        <w:t>آرهوس</w:t>
      </w:r>
      <w:r w:rsidRPr="0025250D">
        <w:rPr>
          <w:vertAlign w:val="superscript"/>
          <w:rtl/>
        </w:rPr>
        <w:footnoteReference w:id="1453"/>
      </w:r>
      <w:r w:rsidRPr="0025250D">
        <w:rPr>
          <w:rFonts w:hint="cs"/>
          <w:rtl/>
        </w:rPr>
        <w:t>)، مالت</w:t>
      </w:r>
      <w:r w:rsidRPr="0025250D">
        <w:rPr>
          <w:vertAlign w:val="superscript"/>
          <w:rtl/>
        </w:rPr>
        <w:footnoteReference w:id="1454"/>
      </w:r>
      <w:r w:rsidRPr="0025250D">
        <w:rPr>
          <w:rFonts w:hint="cs"/>
          <w:rtl/>
        </w:rPr>
        <w:t xml:space="preserve"> (دانشگاه مالت)، فنلاند (دانشکده اقتصاد </w:t>
      </w:r>
      <w:r w:rsidRPr="0025250D">
        <w:rPr>
          <w:rtl/>
        </w:rPr>
        <w:t>تورکو</w:t>
      </w:r>
      <w:r w:rsidRPr="0025250D">
        <w:rPr>
          <w:rFonts w:hint="cs"/>
          <w:rtl/>
        </w:rPr>
        <w:t xml:space="preserve">)، آلمان (دانشکده </w:t>
      </w:r>
      <w:r w:rsidR="00B124DE" w:rsidRPr="0025250D">
        <w:rPr>
          <w:rFonts w:hint="cs"/>
          <w:rtl/>
        </w:rPr>
        <w:t>کسب‌و‌کار</w:t>
      </w:r>
      <w:r w:rsidRPr="0025250D">
        <w:rPr>
          <w:rFonts w:hint="cs"/>
          <w:rtl/>
        </w:rPr>
        <w:t xml:space="preserve"> اروپا)، مجارستان</w:t>
      </w:r>
      <w:r w:rsidRPr="0025250D">
        <w:rPr>
          <w:vertAlign w:val="superscript"/>
          <w:rtl/>
        </w:rPr>
        <w:footnoteReference w:id="1455"/>
      </w:r>
      <w:r w:rsidRPr="0025250D">
        <w:rPr>
          <w:rFonts w:hint="cs"/>
          <w:rtl/>
        </w:rPr>
        <w:t xml:space="preserve"> (دانشگاه </w:t>
      </w:r>
      <w:r w:rsidRPr="0025250D">
        <w:rPr>
          <w:rtl/>
        </w:rPr>
        <w:t>کورو</w:t>
      </w:r>
      <w:r w:rsidRPr="0025250D">
        <w:rPr>
          <w:rFonts w:hint="cs"/>
          <w:rtl/>
        </w:rPr>
        <w:t>ی</w:t>
      </w:r>
      <w:r w:rsidRPr="0025250D">
        <w:rPr>
          <w:rFonts w:hint="eastAsia"/>
          <w:rtl/>
        </w:rPr>
        <w:t>نوس</w:t>
      </w:r>
      <w:r w:rsidRPr="0025250D">
        <w:rPr>
          <w:vertAlign w:val="superscript"/>
          <w:rtl/>
        </w:rPr>
        <w:footnoteReference w:id="1456"/>
      </w:r>
      <w:r w:rsidRPr="0025250D">
        <w:rPr>
          <w:rFonts w:hint="cs"/>
          <w:rtl/>
        </w:rPr>
        <w:t xml:space="preserve">)، آفریقای جنوبی (دانشگاه </w:t>
      </w:r>
      <w:r w:rsidRPr="0025250D">
        <w:rPr>
          <w:rtl/>
        </w:rPr>
        <w:t>استلنبوش</w:t>
      </w:r>
      <w:r w:rsidRPr="0025250D">
        <w:rPr>
          <w:vertAlign w:val="superscript"/>
          <w:rtl/>
        </w:rPr>
        <w:footnoteReference w:id="1457"/>
      </w:r>
      <w:r w:rsidRPr="0025250D">
        <w:rPr>
          <w:rFonts w:hint="cs"/>
          <w:rtl/>
        </w:rPr>
        <w:t>)،</w:t>
      </w:r>
      <w:r w:rsidR="0063099E" w:rsidRPr="0025250D">
        <w:rPr>
          <w:rtl/>
        </w:rPr>
        <w:t xml:space="preserve"> تا</w:t>
      </w:r>
      <w:r w:rsidR="0063099E" w:rsidRPr="0025250D">
        <w:rPr>
          <w:rFonts w:hint="cs"/>
          <w:rtl/>
        </w:rPr>
        <w:t>ی</w:t>
      </w:r>
      <w:r w:rsidR="0063099E" w:rsidRPr="0025250D">
        <w:rPr>
          <w:rFonts w:hint="eastAsia"/>
          <w:rtl/>
        </w:rPr>
        <w:t>وان</w:t>
      </w:r>
      <w:r w:rsidRPr="0025250D">
        <w:rPr>
          <w:rFonts w:hint="cs"/>
          <w:rtl/>
        </w:rPr>
        <w:t xml:space="preserve"> (دانشگاه تامکانگ</w:t>
      </w:r>
      <w:r w:rsidRPr="0025250D">
        <w:rPr>
          <w:vertAlign w:val="superscript"/>
          <w:rtl/>
        </w:rPr>
        <w:footnoteReference w:id="1458"/>
      </w:r>
      <w:r w:rsidRPr="0025250D">
        <w:rPr>
          <w:rFonts w:hint="cs"/>
          <w:rtl/>
        </w:rPr>
        <w:t xml:space="preserve">) و آمریکا (کالج هنر </w:t>
      </w:r>
      <w:r w:rsidRPr="0025250D">
        <w:t>CA</w:t>
      </w:r>
      <w:r w:rsidRPr="0025250D">
        <w:rPr>
          <w:rFonts w:hint="cs"/>
          <w:rtl/>
        </w:rPr>
        <w:t xml:space="preserve">، دانشگاه </w:t>
      </w:r>
      <w:r w:rsidRPr="0025250D">
        <w:rPr>
          <w:rtl/>
        </w:rPr>
        <w:t>ه</w:t>
      </w:r>
      <w:r w:rsidRPr="0025250D">
        <w:rPr>
          <w:rFonts w:hint="cs"/>
          <w:rtl/>
        </w:rPr>
        <w:t>ی</w:t>
      </w:r>
      <w:r w:rsidRPr="0025250D">
        <w:rPr>
          <w:rFonts w:hint="eastAsia"/>
          <w:rtl/>
        </w:rPr>
        <w:t>وستون</w:t>
      </w:r>
      <w:r w:rsidRPr="0025250D">
        <w:rPr>
          <w:rFonts w:hint="cs"/>
          <w:rtl/>
        </w:rPr>
        <w:t xml:space="preserve">، دانشگاه هاوایی) </w:t>
      </w:r>
      <w:r w:rsidR="007A5175" w:rsidRPr="0025250D">
        <w:rPr>
          <w:rFonts w:hint="cs"/>
          <w:rtl/>
        </w:rPr>
        <w:t>برگزار می‌شوند</w:t>
      </w:r>
      <w:r w:rsidRPr="0025250D">
        <w:rPr>
          <w:rFonts w:hint="cs"/>
          <w:rtl/>
        </w:rPr>
        <w:t>.</w:t>
      </w:r>
    </w:p>
    <w:p w14:paraId="25088EDC" w14:textId="77777777" w:rsidR="00537CC8" w:rsidRPr="0025250D" w:rsidRDefault="00537CC8" w:rsidP="000A674B">
      <w:pPr>
        <w:jc w:val="center"/>
        <w:rPr>
          <w:rtl/>
        </w:rPr>
      </w:pPr>
      <w:r w:rsidRPr="0025250D">
        <w:rPr>
          <w:noProof/>
          <w:lang w:bidi="ar-SA"/>
        </w:rPr>
        <w:drawing>
          <wp:inline distT="0" distB="0" distL="0" distR="0" wp14:anchorId="480F44BA" wp14:editId="5255A2B2">
            <wp:extent cx="1924050" cy="2143125"/>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BEBA8EAE-BF5A-486C-A8C5-ECC9F3942E4B}">
                          <a14:imgProps xmlns:a14="http://schemas.microsoft.com/office/drawing/2010/main">
                            <a14:imgLayer r:embed="rId138">
                              <a14:imgEffect>
                                <a14:saturation sat="0"/>
                              </a14:imgEffect>
                            </a14:imgLayer>
                          </a14:imgProps>
                        </a:ext>
                      </a:extLst>
                    </a:blip>
                    <a:stretch>
                      <a:fillRect/>
                    </a:stretch>
                  </pic:blipFill>
                  <pic:spPr>
                    <a:xfrm>
                      <a:off x="0" y="0"/>
                      <a:ext cx="1924050" cy="2143125"/>
                    </a:xfrm>
                    <a:prstGeom prst="rect">
                      <a:avLst/>
                    </a:prstGeom>
                  </pic:spPr>
                </pic:pic>
              </a:graphicData>
            </a:graphic>
          </wp:inline>
        </w:drawing>
      </w:r>
    </w:p>
    <w:p w14:paraId="545D46CB" w14:textId="77777777" w:rsidR="00537CC8" w:rsidRPr="0025250D" w:rsidRDefault="00537CC8" w:rsidP="002B304C">
      <w:pPr>
        <w:jc w:val="center"/>
      </w:pPr>
      <w:r w:rsidRPr="0025250D">
        <w:rPr>
          <w:rFonts w:hint="cs"/>
          <w:rtl/>
        </w:rPr>
        <w:t>آینده‌نگاری دانشگاه هوایی، کارشناسی ارشد و دکترا</w:t>
      </w:r>
    </w:p>
    <w:p w14:paraId="1971AE6B" w14:textId="3761FE3E" w:rsidR="00537CC8" w:rsidRPr="0025250D" w:rsidRDefault="00537CC8" w:rsidP="00537CC8">
      <w:pPr>
        <w:rPr>
          <w:rtl/>
        </w:rPr>
      </w:pPr>
      <w:r w:rsidRPr="0025250D">
        <w:rPr>
          <w:rFonts w:hint="cs"/>
          <w:rtl/>
        </w:rPr>
        <w:t>همچنین برنامه‌های محلی غیر انگلیسی زبان در کلمبیا (دانشگاه کلمبیا)، فرانسه (</w:t>
      </w:r>
      <w:r w:rsidRPr="0025250D">
        <w:t>CNAM</w:t>
      </w:r>
      <w:r w:rsidRPr="0025250D">
        <w:rPr>
          <w:rFonts w:hint="cs"/>
          <w:rtl/>
        </w:rPr>
        <w:t xml:space="preserve">)، آلمان (دانشگاه رایگان برلین)، هند (دانشگاه </w:t>
      </w:r>
      <w:r w:rsidRPr="0025250D">
        <w:rPr>
          <w:rtl/>
        </w:rPr>
        <w:t>کرالا</w:t>
      </w:r>
      <w:r w:rsidRPr="0025250D">
        <w:rPr>
          <w:rFonts w:hint="cs"/>
          <w:rtl/>
        </w:rPr>
        <w:t>)، ایران (دانشگاه تهران)، ایتالیا (دانشگاه لئوناردو داوینچی)، مکزیک (</w:t>
      </w:r>
      <w:r w:rsidRPr="0025250D">
        <w:rPr>
          <w:rtl/>
        </w:rPr>
        <w:t>مونتر</w:t>
      </w:r>
      <w:r w:rsidRPr="0025250D">
        <w:rPr>
          <w:rFonts w:hint="cs"/>
          <w:rtl/>
        </w:rPr>
        <w:t>ی</w:t>
      </w:r>
      <w:r w:rsidRPr="0025250D">
        <w:rPr>
          <w:rtl/>
        </w:rPr>
        <w:t>‌ای ت</w:t>
      </w:r>
      <w:r w:rsidRPr="0025250D">
        <w:rPr>
          <w:rFonts w:hint="cs"/>
          <w:rtl/>
        </w:rPr>
        <w:t>ی</w:t>
      </w:r>
      <w:r w:rsidRPr="0025250D">
        <w:rPr>
          <w:vertAlign w:val="superscript"/>
          <w:rtl/>
        </w:rPr>
        <w:footnoteReference w:id="1459"/>
      </w:r>
      <w:r w:rsidRPr="0025250D">
        <w:rPr>
          <w:rFonts w:hint="cs"/>
          <w:rtl/>
        </w:rPr>
        <w:t>)، پرتغال (دانشگاه لیزبون) و تایوان (فو گوانگ</w:t>
      </w:r>
      <w:r w:rsidRPr="0025250D">
        <w:rPr>
          <w:vertAlign w:val="superscript"/>
          <w:rtl/>
        </w:rPr>
        <w:footnoteReference w:id="1460"/>
      </w:r>
      <w:r w:rsidRPr="0025250D">
        <w:rPr>
          <w:rFonts w:hint="cs"/>
          <w:rtl/>
        </w:rPr>
        <w:t xml:space="preserve">) </w:t>
      </w:r>
      <w:r w:rsidR="007A5175" w:rsidRPr="0025250D">
        <w:rPr>
          <w:rFonts w:hint="cs"/>
          <w:rtl/>
        </w:rPr>
        <w:t>برگزار می‌شوند</w:t>
      </w:r>
      <w:r w:rsidRPr="0025250D">
        <w:rPr>
          <w:rFonts w:hint="cs"/>
          <w:rtl/>
        </w:rPr>
        <w:t xml:space="preserve">. فهرست </w:t>
      </w:r>
      <w:r w:rsidRPr="0025250D">
        <w:t>FERN</w:t>
      </w:r>
      <w:r w:rsidRPr="0025250D">
        <w:rPr>
          <w:rFonts w:hint="cs"/>
          <w:rtl/>
        </w:rPr>
        <w:t xml:space="preserve"> از 23 برنامه محلی تحصیلات تکمیلی اصلی (</w:t>
      </w:r>
      <w:r w:rsidRPr="0025250D">
        <w:rPr>
          <w:rtl/>
        </w:rPr>
        <w:t>آینده‌نگاری</w:t>
      </w:r>
      <w:r w:rsidRPr="0025250D">
        <w:rPr>
          <w:rFonts w:hint="cs"/>
          <w:rtl/>
        </w:rPr>
        <w:t xml:space="preserve"> تخصصی)، تقریباً 100 برنامه تحصیلات تکمیلی </w:t>
      </w:r>
      <w:r w:rsidRPr="0025250D">
        <w:rPr>
          <w:rtl/>
        </w:rPr>
        <w:t>آینده‌نگاری</w:t>
      </w:r>
      <w:r w:rsidRPr="0025250D">
        <w:rPr>
          <w:rFonts w:hint="cs"/>
          <w:rtl/>
        </w:rPr>
        <w:t xml:space="preserve"> ثانویه (مرتبط با </w:t>
      </w:r>
      <w:r w:rsidRPr="0025250D">
        <w:rPr>
          <w:rtl/>
        </w:rPr>
        <w:t>آینده‌نگاری</w:t>
      </w:r>
      <w:r w:rsidRPr="0025250D">
        <w:rPr>
          <w:rFonts w:hint="cs"/>
          <w:rtl/>
        </w:rPr>
        <w:t>) و تعداد</w:t>
      </w:r>
      <w:r w:rsidR="00BB406C" w:rsidRPr="0025250D">
        <w:rPr>
          <w:rFonts w:hint="cs"/>
          <w:rtl/>
        </w:rPr>
        <w:t xml:space="preserve"> کم‌تر</w:t>
      </w:r>
      <w:r w:rsidRPr="0025250D">
        <w:rPr>
          <w:rFonts w:hint="cs"/>
          <w:rtl/>
        </w:rPr>
        <w:t xml:space="preserve">ی از برنامه‌های تحصیلات تکمیلی </w:t>
      </w:r>
      <w:r w:rsidRPr="0025250D">
        <w:rPr>
          <w:rtl/>
        </w:rPr>
        <w:t>آینده‌نگاری</w:t>
      </w:r>
      <w:r w:rsidRPr="0025250D">
        <w:rPr>
          <w:rFonts w:hint="cs"/>
          <w:rtl/>
        </w:rPr>
        <w:t xml:space="preserve"> آنلاین پاره وقت را در دانشنامه منابع </w:t>
      </w:r>
      <w:r w:rsidRPr="0025250D">
        <w:rPr>
          <w:rtl/>
        </w:rPr>
        <w:t>آینده‌نگاری</w:t>
      </w:r>
      <w:r w:rsidRPr="0025250D">
        <w:rPr>
          <w:rFonts w:hint="cs"/>
          <w:rtl/>
        </w:rPr>
        <w:t xml:space="preserve"> </w:t>
      </w:r>
      <w:r w:rsidRPr="0025250D">
        <w:t>4U</w:t>
      </w:r>
      <w:r w:rsidRPr="0025250D">
        <w:rPr>
          <w:rFonts w:hint="cs"/>
          <w:rtl/>
        </w:rPr>
        <w:t xml:space="preserve"> در وبگاه</w:t>
      </w:r>
      <w:r w:rsidR="008D6F97" w:rsidRPr="0025250D">
        <w:rPr>
          <w:rtl/>
        </w:rPr>
        <w:t xml:space="preserve"> </w:t>
      </w:r>
      <w:r w:rsidRPr="0025250D">
        <w:t>GlobalForesight.org</w:t>
      </w:r>
      <w:r w:rsidRPr="0025250D">
        <w:rPr>
          <w:rFonts w:hint="cs"/>
          <w:rtl/>
        </w:rPr>
        <w:t xml:space="preserve"> را ببینید.</w:t>
      </w:r>
    </w:p>
    <w:p w14:paraId="393CFC17" w14:textId="108A13C1" w:rsidR="00537CC8" w:rsidRPr="0025250D" w:rsidRDefault="007118DE" w:rsidP="00537CC8">
      <w:pPr>
        <w:rPr>
          <w:rtl/>
        </w:rPr>
      </w:pPr>
      <w:r w:rsidRPr="0025250D">
        <w:rPr>
          <w:rFonts w:hint="cs"/>
          <w:rtl/>
        </w:rPr>
        <w:t>همان‌طور</w:t>
      </w:r>
      <w:r w:rsidR="00537CC8" w:rsidRPr="0025250D">
        <w:rPr>
          <w:rFonts w:hint="cs"/>
          <w:rtl/>
        </w:rPr>
        <w:t xml:space="preserve"> که می‌توانیم در تصویر زیر ببینیم، آسیا، آفریقا، آسیای میانه و آمریکای لاتین همگی به برنامه‌های آموزشی کسب مدرک </w:t>
      </w:r>
      <w:r w:rsidR="00537CC8" w:rsidRPr="0025250D">
        <w:rPr>
          <w:rtl/>
        </w:rPr>
        <w:t>آینده‌نگاری</w:t>
      </w:r>
      <w:r w:rsidR="00537CC8" w:rsidRPr="0025250D">
        <w:rPr>
          <w:rFonts w:hint="cs"/>
          <w:rtl/>
        </w:rPr>
        <w:t xml:space="preserve"> رسمی نیاز دارند. این برای دانشجویان و رهبران ما امروزه یک چالش است. فرهنگ در حال ظهور </w:t>
      </w:r>
      <w:r w:rsidR="00537CC8" w:rsidRPr="0025250D">
        <w:rPr>
          <w:rtl/>
        </w:rPr>
        <w:t>آینده‌نگاری</w:t>
      </w:r>
      <w:r w:rsidR="00537CC8" w:rsidRPr="0025250D">
        <w:rPr>
          <w:rFonts w:hint="cs"/>
          <w:rtl/>
        </w:rPr>
        <w:t xml:space="preserve"> بشر باید برای مکان‌های مختلف ساخته شود. ما در حال ساخت یک </w:t>
      </w:r>
      <w:r w:rsidR="00537CC8" w:rsidRPr="0025250D">
        <w:rPr>
          <w:rtl/>
        </w:rPr>
        <w:t>کل</w:t>
      </w:r>
      <w:r w:rsidR="00537CC8" w:rsidRPr="0025250D">
        <w:rPr>
          <w:rFonts w:hint="cs"/>
          <w:rtl/>
        </w:rPr>
        <w:t>ی</w:t>
      </w:r>
      <w:r w:rsidR="00537CC8" w:rsidRPr="0025250D">
        <w:rPr>
          <w:rFonts w:hint="eastAsia"/>
          <w:rtl/>
        </w:rPr>
        <w:t>سا</w:t>
      </w:r>
      <w:r w:rsidR="00537CC8" w:rsidRPr="0025250D">
        <w:rPr>
          <w:rFonts w:hint="cs"/>
          <w:rtl/>
        </w:rPr>
        <w:t>ی</w:t>
      </w:r>
      <w:r w:rsidR="00537CC8" w:rsidRPr="0025250D">
        <w:rPr>
          <w:rtl/>
        </w:rPr>
        <w:t xml:space="preserve"> جامع</w:t>
      </w:r>
      <w:r w:rsidR="00537CC8" w:rsidRPr="0025250D">
        <w:rPr>
          <w:rFonts w:hint="cs"/>
          <w:rtl/>
        </w:rPr>
        <w:t xml:space="preserve"> هستیم، چیزی زیبا اما نا تمام در دوران زندگی ما. ممکن است یک قرن دیگر برای رساندن زمینه </w:t>
      </w:r>
      <w:r w:rsidR="007A5175" w:rsidRPr="0025250D">
        <w:rPr>
          <w:rtl/>
        </w:rPr>
        <w:t>آینده‌نگاری</w:t>
      </w:r>
      <w:r w:rsidR="007A5175" w:rsidRPr="0025250D">
        <w:rPr>
          <w:rFonts w:hint="cs"/>
          <w:rtl/>
        </w:rPr>
        <w:t xml:space="preserve"> </w:t>
      </w:r>
      <w:r w:rsidR="00537CC8" w:rsidRPr="0025250D">
        <w:rPr>
          <w:rFonts w:hint="cs"/>
          <w:rtl/>
        </w:rPr>
        <w:t>به پختگی خود زمان لازم باشد.</w:t>
      </w:r>
    </w:p>
    <w:p w14:paraId="739FC130" w14:textId="77777777" w:rsidR="00537CC8" w:rsidRPr="0025250D" w:rsidRDefault="00537CC8" w:rsidP="000A674B">
      <w:pPr>
        <w:jc w:val="center"/>
        <w:rPr>
          <w:rtl/>
        </w:rPr>
      </w:pPr>
      <w:r w:rsidRPr="0025250D">
        <w:rPr>
          <w:noProof/>
          <w:rtl/>
          <w:lang w:bidi="ar-SA"/>
        </w:rPr>
        <w:drawing>
          <wp:inline distT="0" distB="0" distL="0" distR="0" wp14:anchorId="1B9C2F27" wp14:editId="3A4F733C">
            <wp:extent cx="4221413" cy="2480807"/>
            <wp:effectExtent l="0" t="0" r="8255" b="0"/>
            <wp:docPr id="89" name="Picture 89" descr="D:\کار\مستقل\3 ( ترجمه ی دانشگاه تهران  )\Introduction to Foresight\part4\7-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کار\مستقل\3 ( ترجمه ی دانشگاه تهران  )\Introduction to Foresight\part4\7-new.png"/>
                    <pic:cNvPicPr>
                      <a:picLocks noChangeAspect="1" noChangeArrowheads="1"/>
                    </pic:cNvPicPr>
                  </pic:nvPicPr>
                  <pic:blipFill rotWithShape="1">
                    <a:blip r:embed="rId139" cstate="screen">
                      <a:extLst>
                        <a:ext uri="{BEBA8EAE-BF5A-486C-A8C5-ECC9F3942E4B}">
                          <a14:imgProps xmlns:a14="http://schemas.microsoft.com/office/drawing/2010/main">
                            <a14:imgLayer r:embed="rId140">
                              <a14:imgEffect>
                                <a14:saturation sat="0"/>
                              </a14:imgEffect>
                            </a14:imgLayer>
                          </a14:imgProps>
                        </a:ext>
                        <a:ext uri="{28A0092B-C50C-407E-A947-70E740481C1C}">
                          <a14:useLocalDpi xmlns:a14="http://schemas.microsoft.com/office/drawing/2010/main"/>
                        </a:ext>
                      </a:extLst>
                    </a:blip>
                    <a:srcRect/>
                    <a:stretch/>
                  </pic:blipFill>
                  <pic:spPr bwMode="auto">
                    <a:xfrm>
                      <a:off x="0" y="0"/>
                      <a:ext cx="4224416" cy="2482572"/>
                    </a:xfrm>
                    <a:prstGeom prst="rect">
                      <a:avLst/>
                    </a:prstGeom>
                    <a:noFill/>
                    <a:ln>
                      <a:noFill/>
                    </a:ln>
                    <a:extLst>
                      <a:ext uri="{53640926-AAD7-44D8-BBD7-CCE9431645EC}">
                        <a14:shadowObscured xmlns:a14="http://schemas.microsoft.com/office/drawing/2010/main"/>
                      </a:ext>
                    </a:extLst>
                  </pic:spPr>
                </pic:pic>
              </a:graphicData>
            </a:graphic>
          </wp:inline>
        </w:drawing>
      </w:r>
    </w:p>
    <w:p w14:paraId="52C34F8A" w14:textId="77777777" w:rsidR="00537CC8" w:rsidRPr="0025250D" w:rsidRDefault="00537CC8" w:rsidP="000A674B">
      <w:pPr>
        <w:jc w:val="center"/>
        <w:rPr>
          <w:rtl/>
        </w:rPr>
      </w:pPr>
      <w:r w:rsidRPr="0025250D">
        <w:rPr>
          <w:rFonts w:hint="cs"/>
          <w:rtl/>
        </w:rPr>
        <w:t>نقشه جهانی گواهینامه‌ها و برنامه‌های تحصیلا تکمیلی</w:t>
      </w:r>
    </w:p>
    <w:p w14:paraId="29CF39C6" w14:textId="0AC4DB82" w:rsidR="00537CC8" w:rsidRPr="0025250D" w:rsidRDefault="00537CC8" w:rsidP="00537CC8">
      <w:pPr>
        <w:rPr>
          <w:rtl/>
        </w:rPr>
      </w:pPr>
      <w:r w:rsidRPr="0025250D">
        <w:rPr>
          <w:rFonts w:hint="cs"/>
          <w:rtl/>
        </w:rPr>
        <w:t xml:space="preserve">در آینده نزدیک، </w:t>
      </w:r>
      <w:r w:rsidR="007A5175" w:rsidRPr="0025250D">
        <w:rPr>
          <w:rFonts w:hint="cs"/>
          <w:rtl/>
        </w:rPr>
        <w:t xml:space="preserve">این </w:t>
      </w:r>
      <w:r w:rsidRPr="0025250D">
        <w:rPr>
          <w:rFonts w:hint="cs"/>
          <w:rtl/>
        </w:rPr>
        <w:t xml:space="preserve">زمینه به شدت از برنامه‌های اخذ مدرک </w:t>
      </w:r>
      <w:r w:rsidRPr="0025250D">
        <w:rPr>
          <w:rtl/>
        </w:rPr>
        <w:t>آینده‌نگاری</w:t>
      </w:r>
      <w:r w:rsidRPr="0025250D">
        <w:rPr>
          <w:rFonts w:hint="cs"/>
          <w:rtl/>
        </w:rPr>
        <w:t xml:space="preserve"> آنلاین با کیفیت و کم هزینه سود خواهد برد که تحصیل </w:t>
      </w:r>
      <w:r w:rsidRPr="0025250D">
        <w:rPr>
          <w:rtl/>
        </w:rPr>
        <w:t>آینده‌نگاری</w:t>
      </w:r>
      <w:r w:rsidRPr="0025250D">
        <w:rPr>
          <w:rFonts w:hint="cs"/>
          <w:rtl/>
        </w:rPr>
        <w:t xml:space="preserve"> خوب را دموکراتیک‌تر و کم هزینه‌تر خواهند کرد. ممکن است شاهد ظهور مدارک </w:t>
      </w:r>
      <w:r w:rsidRPr="0025250D">
        <w:rPr>
          <w:rtl/>
        </w:rPr>
        <w:t>آینده‌نگاری</w:t>
      </w:r>
      <w:r w:rsidRPr="0025250D">
        <w:rPr>
          <w:rFonts w:hint="cs"/>
          <w:rtl/>
        </w:rPr>
        <w:t xml:space="preserve"> آنلاین از مؤسسات سنتی نوآوری، مشابه مدرک کارشناسی ارشد 7000 دلاری در علوم کامپیوتر که اکنون از طریق یوداسیتی</w:t>
      </w:r>
      <w:r w:rsidRPr="0025250D">
        <w:rPr>
          <w:vertAlign w:val="superscript"/>
          <w:rtl/>
        </w:rPr>
        <w:footnoteReference w:id="1461"/>
      </w:r>
      <w:r w:rsidRPr="0025250D">
        <w:rPr>
          <w:rFonts w:hint="cs"/>
          <w:rtl/>
        </w:rPr>
        <w:t xml:space="preserve"> از دانشگاه جورجیا تک</w:t>
      </w:r>
      <w:r w:rsidRPr="0025250D">
        <w:rPr>
          <w:vertAlign w:val="superscript"/>
          <w:rtl/>
        </w:rPr>
        <w:footnoteReference w:id="1462"/>
      </w:r>
      <w:r w:rsidRPr="0025250D">
        <w:rPr>
          <w:rFonts w:hint="cs"/>
          <w:rtl/>
        </w:rPr>
        <w:t xml:space="preserve"> موجود است، باشیم. استارتاپ‌ها نیز ممکن است یک برنامه کارشناسی ارشد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مشابه با </w:t>
      </w:r>
      <w:r w:rsidRPr="0025250D">
        <w:t>MBA</w:t>
      </w:r>
      <w:r w:rsidRPr="0025250D">
        <w:rPr>
          <w:rFonts w:hint="cs"/>
          <w:rtl/>
        </w:rPr>
        <w:t xml:space="preserve"> 10000 دلاری ارائه شده توسط استارتاپ ادتک به نام </w:t>
      </w:r>
      <w:r w:rsidRPr="0025250D">
        <w:rPr>
          <w:rtl/>
        </w:rPr>
        <w:t>کوانت</w:t>
      </w:r>
      <w:r w:rsidRPr="0025250D">
        <w:rPr>
          <w:rFonts w:hint="cs"/>
          <w:rtl/>
        </w:rPr>
        <w:t>ی</w:t>
      </w:r>
      <w:r w:rsidRPr="0025250D">
        <w:rPr>
          <w:rFonts w:hint="eastAsia"/>
          <w:rtl/>
        </w:rPr>
        <w:t>ک</w:t>
      </w:r>
      <w:r w:rsidRPr="0025250D">
        <w:rPr>
          <w:vertAlign w:val="superscript"/>
          <w:rtl/>
        </w:rPr>
        <w:footnoteReference w:id="1463"/>
      </w:r>
      <w:r w:rsidRPr="0025250D">
        <w:rPr>
          <w:rFonts w:hint="cs"/>
          <w:rtl/>
        </w:rPr>
        <w:t xml:space="preserve">، ارائه دهند. این یک فرصت عالی برای یک کارآفرین اجتماعی است. </w:t>
      </w:r>
      <w:r w:rsidRPr="0025250D">
        <w:t>4U</w:t>
      </w:r>
      <w:r w:rsidRPr="0025250D">
        <w:rPr>
          <w:rFonts w:hint="cs"/>
          <w:rtl/>
        </w:rPr>
        <w:t xml:space="preserve"> از راه‌اندازی یک برنامه کارشناسی ارشد با سرمایه‌های بشر دوستانه مناسب خ</w:t>
      </w:r>
      <w:r w:rsidR="007A5175" w:rsidRPr="0025250D">
        <w:rPr>
          <w:rFonts w:hint="cs"/>
          <w:rtl/>
        </w:rPr>
        <w:t>و</w:t>
      </w:r>
      <w:r w:rsidRPr="0025250D">
        <w:rPr>
          <w:rFonts w:hint="cs"/>
          <w:rtl/>
        </w:rPr>
        <w:t>شنود خواهد شد، اگرچه این امر هم اکنون در اولویت ما نیست.</w:t>
      </w:r>
    </w:p>
    <w:p w14:paraId="0DE83634" w14:textId="77777777" w:rsidR="00537CC8" w:rsidRPr="0025250D" w:rsidRDefault="00537CC8" w:rsidP="00537CC8">
      <w:pPr>
        <w:rPr>
          <w:rtl/>
        </w:rPr>
      </w:pPr>
    </w:p>
    <w:p w14:paraId="20741121" w14:textId="77777777" w:rsidR="00537CC8" w:rsidRPr="0025250D" w:rsidRDefault="00537CC8" w:rsidP="00537CC8">
      <w:pPr>
        <w:rPr>
          <w:rtl/>
        </w:rPr>
      </w:pPr>
    </w:p>
    <w:p w14:paraId="1FC1E739" w14:textId="77777777" w:rsidR="00537CC8" w:rsidRPr="0025250D" w:rsidRDefault="00537CC8" w:rsidP="000A674B">
      <w:pPr>
        <w:pStyle w:val="Heading2"/>
        <w:rPr>
          <w:rtl/>
        </w:rPr>
      </w:pPr>
      <w:bookmarkStart w:id="43" w:name="_Toc127831308"/>
      <w:r w:rsidRPr="0025250D">
        <w:rPr>
          <w:rFonts w:hint="cs"/>
          <w:rtl/>
        </w:rPr>
        <w:t xml:space="preserve">ارزیابی تأثیر </w:t>
      </w:r>
      <w:r w:rsidRPr="0025250D">
        <w:rPr>
          <w:rtl/>
        </w:rPr>
        <w:t>آینده‌نگاری</w:t>
      </w:r>
      <w:r w:rsidRPr="0025250D">
        <w:rPr>
          <w:rFonts w:hint="cs"/>
          <w:rtl/>
        </w:rPr>
        <w:t xml:space="preserve"> و سطوح شایستگی</w:t>
      </w:r>
      <w:bookmarkEnd w:id="43"/>
    </w:p>
    <w:p w14:paraId="6CD02D14" w14:textId="3D25C066" w:rsidR="00537CC8" w:rsidRPr="0025250D" w:rsidRDefault="00537CC8" w:rsidP="00537CC8">
      <w:pPr>
        <w:rPr>
          <w:rtl/>
        </w:rPr>
      </w:pPr>
      <w:r w:rsidRPr="0025250D">
        <w:rPr>
          <w:rFonts w:hint="cs"/>
          <w:rtl/>
        </w:rPr>
        <w:t xml:space="preserve">چگونه می‌توانیم به بهترین شکل تاثیر اقدامات </w:t>
      </w:r>
      <w:r w:rsidRPr="0025250D">
        <w:rPr>
          <w:rtl/>
        </w:rPr>
        <w:t>آینده‌نگاری</w:t>
      </w:r>
      <w:r w:rsidRPr="0025250D">
        <w:rPr>
          <w:rFonts w:hint="cs"/>
          <w:rtl/>
        </w:rPr>
        <w:t xml:space="preserve"> خود را ارزیابی کنیم؟</w:t>
      </w:r>
    </w:p>
    <w:p w14:paraId="095E3B06" w14:textId="2E56F6B9" w:rsidR="00537CC8" w:rsidRPr="0025250D" w:rsidRDefault="00537CC8" w:rsidP="00537CC8">
      <w:pPr>
        <w:rPr>
          <w:rtl/>
        </w:rPr>
      </w:pPr>
      <w:r w:rsidRPr="0025250D">
        <w:rPr>
          <w:rFonts w:hint="cs"/>
          <w:rtl/>
        </w:rPr>
        <w:t xml:space="preserve">آینده‌پژوه سلامت عمومی </w:t>
      </w:r>
      <w:r w:rsidRPr="0025250D">
        <w:rPr>
          <w:rtl/>
        </w:rPr>
        <w:t>آنت گاردنر</w:t>
      </w:r>
      <w:r w:rsidRPr="0025250D">
        <w:rPr>
          <w:vertAlign w:val="superscript"/>
          <w:rtl/>
        </w:rPr>
        <w:footnoteReference w:id="1464"/>
      </w:r>
      <w:r w:rsidRPr="0025250D">
        <w:rPr>
          <w:rFonts w:hint="cs"/>
          <w:rtl/>
        </w:rPr>
        <w:t xml:space="preserve"> یک مقیاس شایستگی عملی </w:t>
      </w:r>
      <w:r w:rsidRPr="0025250D">
        <w:rPr>
          <w:rtl/>
        </w:rPr>
        <w:t>آینده‌نگاری</w:t>
      </w:r>
      <w:r w:rsidRPr="0025250D">
        <w:rPr>
          <w:rFonts w:hint="cs"/>
          <w:rtl/>
        </w:rPr>
        <w:t xml:space="preserve"> توسعه داده است. این مقیاس یکی از مشتقات مدل پیمایش دانش، نگرش و عمل</w:t>
      </w:r>
      <w:r w:rsidRPr="0025250D">
        <w:rPr>
          <w:vertAlign w:val="superscript"/>
          <w:rtl/>
        </w:rPr>
        <w:footnoteReference w:id="1465"/>
      </w:r>
      <w:r w:rsidRPr="0025250D">
        <w:rPr>
          <w:rFonts w:hint="cs"/>
          <w:rtl/>
        </w:rPr>
        <w:t xml:space="preserve"> (</w:t>
      </w:r>
      <w:r w:rsidRPr="0025250D">
        <w:t>KAP</w:t>
      </w:r>
      <w:r w:rsidRPr="0025250D">
        <w:rPr>
          <w:rFonts w:hint="cs"/>
          <w:rtl/>
        </w:rPr>
        <w:t xml:space="preserve">) برای ارزیابی شایستگی تخصصی، از طریق نظر سنجی‌های کمّی، بر اساس روشی که یک فرد تخصصی تغییر رفتار را در کارسپاران خود </w:t>
      </w:r>
      <w:r w:rsidR="00B453C0" w:rsidRPr="0025250D">
        <w:rPr>
          <w:rFonts w:hint="cs"/>
          <w:rtl/>
        </w:rPr>
        <w:t>امکان‌پذیر</w:t>
      </w:r>
      <w:r w:rsidRPr="0025250D">
        <w:rPr>
          <w:rFonts w:hint="cs"/>
          <w:rtl/>
        </w:rPr>
        <w:t xml:space="preserve"> می‌سازد می‌باشد. مدل </w:t>
      </w:r>
      <w:r w:rsidRPr="0025250D">
        <w:t>KAP</w:t>
      </w:r>
      <w:r w:rsidRPr="0025250D">
        <w:rPr>
          <w:rFonts w:hint="cs"/>
          <w:rtl/>
        </w:rPr>
        <w:t xml:space="preserve"> از سلامت عمومی ریشه می‌گیرد و اکنون در دیگر زمینه‌های تخصصی اعمال می‌شود. این مدل مشتری محور، تکرار شونده، کمّی و وابسته به بازخورد است که همگی ویژگی‌های حلقه انجام برای یک ارزیابی تأثیر هستند.</w:t>
      </w:r>
    </w:p>
    <w:p w14:paraId="7F0B183D" w14:textId="3947EF26" w:rsidR="00537CC8" w:rsidRPr="0025250D" w:rsidRDefault="00537CC8" w:rsidP="00537CC8">
      <w:pPr>
        <w:rPr>
          <w:rtl/>
        </w:rPr>
      </w:pPr>
      <w:r w:rsidRPr="0025250D">
        <w:rPr>
          <w:rFonts w:hint="cs"/>
          <w:rtl/>
        </w:rPr>
        <w:t xml:space="preserve">در زیر نسخه </w:t>
      </w:r>
      <w:r w:rsidR="002F3C14" w:rsidRPr="0025250D">
        <w:rPr>
          <w:rFonts w:hint="cs"/>
          <w:rtl/>
        </w:rPr>
        <w:t>انطباق</w:t>
      </w:r>
      <w:r w:rsidRPr="0025250D">
        <w:rPr>
          <w:rFonts w:hint="cs"/>
          <w:rtl/>
        </w:rPr>
        <w:t xml:space="preserve"> یافته </w:t>
      </w:r>
      <w:r w:rsidRPr="0025250D">
        <w:t>4U</w:t>
      </w:r>
      <w:r w:rsidRPr="0025250D">
        <w:rPr>
          <w:rFonts w:hint="cs"/>
          <w:rtl/>
        </w:rPr>
        <w:t xml:space="preserve"> از زبان مقیاس شایستگی </w:t>
      </w:r>
      <w:r w:rsidRPr="0025250D">
        <w:rPr>
          <w:rtl/>
        </w:rPr>
        <w:t>آینده‌نگاری</w:t>
      </w:r>
      <w:r w:rsidRPr="0025250D">
        <w:rPr>
          <w:rFonts w:hint="cs"/>
          <w:rtl/>
        </w:rPr>
        <w:t xml:space="preserve"> </w:t>
      </w:r>
      <w:r w:rsidRPr="0025250D">
        <w:rPr>
          <w:rtl/>
        </w:rPr>
        <w:t>گاردنر</w:t>
      </w:r>
      <w:r w:rsidRPr="0025250D">
        <w:rPr>
          <w:rFonts w:hint="cs"/>
          <w:rtl/>
        </w:rPr>
        <w:t xml:space="preserve"> وجود دارد:</w:t>
      </w:r>
    </w:p>
    <w:p w14:paraId="67ADCBCD" w14:textId="1ED2BDB0" w:rsidR="00537CC8" w:rsidRPr="0025250D" w:rsidRDefault="00537CC8" w:rsidP="00537CC8">
      <w:pPr>
        <w:rPr>
          <w:rtl/>
        </w:rPr>
      </w:pPr>
      <w:r w:rsidRPr="0025250D">
        <w:rPr>
          <w:rFonts w:hint="cs"/>
          <w:rtl/>
        </w:rPr>
        <w:t xml:space="preserve">0= عدم وجود </w:t>
      </w:r>
      <w:r w:rsidRPr="0025250D">
        <w:rPr>
          <w:rtl/>
        </w:rPr>
        <w:t>آینده‌نگاری</w:t>
      </w:r>
      <w:r w:rsidRPr="0025250D">
        <w:rPr>
          <w:rFonts w:hint="cs"/>
          <w:rtl/>
        </w:rPr>
        <w:t>- فعالیت کننده از وضعیت موجود راضی است.</w:t>
      </w:r>
    </w:p>
    <w:p w14:paraId="11706A31" w14:textId="0A31F769" w:rsidR="00537CC8" w:rsidRPr="0025250D" w:rsidRDefault="00537CC8" w:rsidP="00537CC8">
      <w:pPr>
        <w:rPr>
          <w:rtl/>
        </w:rPr>
      </w:pPr>
      <w:r w:rsidRPr="0025250D">
        <w:rPr>
          <w:rFonts w:hint="cs"/>
          <w:rtl/>
        </w:rPr>
        <w:t xml:space="preserve">1= آگاهی از زمان، تغییر، محیط، آینده و جنبه‌های پایه‌ای سامانه‌های پیچیده، از جمله تغییر </w:t>
      </w:r>
      <w:r w:rsidR="007B3B35" w:rsidRPr="0025250D">
        <w:rPr>
          <w:rFonts w:hint="cs"/>
          <w:rtl/>
        </w:rPr>
        <w:t>شتاب‌گیر</w:t>
      </w:r>
      <w:r w:rsidRPr="0025250D">
        <w:rPr>
          <w:rFonts w:hint="cs"/>
          <w:rtl/>
        </w:rPr>
        <w:t xml:space="preserve">نده و توسعه تکاملی (تکاملی </w:t>
      </w:r>
      <w:r w:rsidRPr="0025250D">
        <w:rPr>
          <w:rFonts w:cs="Times New Roman" w:hint="cs"/>
          <w:rtl/>
        </w:rPr>
        <w:t>–</w:t>
      </w:r>
      <w:r w:rsidRPr="0025250D">
        <w:rPr>
          <w:rFonts w:hint="cs"/>
          <w:rtl/>
        </w:rPr>
        <w:t xml:space="preserve"> توسعه ای).</w:t>
      </w:r>
    </w:p>
    <w:p w14:paraId="20A690CD" w14:textId="7578D8EC" w:rsidR="00537CC8" w:rsidRPr="0025250D" w:rsidRDefault="00537CC8" w:rsidP="00537CC8">
      <w:pPr>
        <w:rPr>
          <w:rtl/>
        </w:rPr>
      </w:pPr>
      <w:r w:rsidRPr="0025250D">
        <w:rPr>
          <w:rFonts w:hint="cs"/>
          <w:rtl/>
        </w:rPr>
        <w:t xml:space="preserve">2= </w:t>
      </w:r>
      <w:r w:rsidR="0008779C" w:rsidRPr="0025250D">
        <w:rPr>
          <w:rFonts w:hint="cs"/>
          <w:rtl/>
        </w:rPr>
        <w:t>علاقه‌مند</w:t>
      </w:r>
      <w:r w:rsidRPr="0025250D">
        <w:rPr>
          <w:rFonts w:hint="cs"/>
          <w:rtl/>
        </w:rPr>
        <w:t xml:space="preserve"> به یادگیری تکنیک‌های </w:t>
      </w:r>
      <w:r w:rsidRPr="0025250D">
        <w:rPr>
          <w:rtl/>
        </w:rPr>
        <w:t>آینده‌نگاری</w:t>
      </w:r>
      <w:r w:rsidRPr="0025250D">
        <w:rPr>
          <w:rFonts w:hint="cs"/>
          <w:rtl/>
        </w:rPr>
        <w:t xml:space="preserve"> و ارتباط با و یادگیری از دیگر فعالان </w:t>
      </w:r>
      <w:r w:rsidR="00B124DE" w:rsidRPr="0025250D">
        <w:rPr>
          <w:rFonts w:hint="cs"/>
          <w:rtl/>
        </w:rPr>
        <w:t>آینده‌اندیش</w:t>
      </w:r>
      <w:r w:rsidRPr="0025250D">
        <w:rPr>
          <w:rFonts w:hint="cs"/>
          <w:rtl/>
        </w:rPr>
        <w:t>، حداقل درون صنعت خود.</w:t>
      </w:r>
    </w:p>
    <w:p w14:paraId="310DC863" w14:textId="465D3EA0" w:rsidR="00537CC8" w:rsidRPr="0025250D" w:rsidRDefault="00537CC8" w:rsidP="00537CC8">
      <w:pPr>
        <w:rPr>
          <w:rtl/>
        </w:rPr>
      </w:pPr>
      <w:r w:rsidRPr="0025250D">
        <w:rPr>
          <w:rFonts w:hint="cs"/>
          <w:rtl/>
        </w:rPr>
        <w:t xml:space="preserve">3= دارای دانش در برخی از مدل‌ها، روش‌ها و </w:t>
      </w:r>
      <w:r w:rsidR="00B13F65" w:rsidRPr="0025250D">
        <w:rPr>
          <w:rFonts w:hint="cs"/>
          <w:rtl/>
        </w:rPr>
        <w:t>چارچوب</w:t>
      </w:r>
      <w:r w:rsidRPr="0025250D">
        <w:rPr>
          <w:rFonts w:hint="cs"/>
          <w:rtl/>
        </w:rPr>
        <w:t xml:space="preserve">‌های </w:t>
      </w:r>
      <w:r w:rsidRPr="0025250D">
        <w:rPr>
          <w:rtl/>
        </w:rPr>
        <w:t>آینده‌نگاری</w:t>
      </w:r>
      <w:r w:rsidRPr="0025250D">
        <w:rPr>
          <w:rFonts w:hint="cs"/>
          <w:rtl/>
        </w:rPr>
        <w:t xml:space="preserve"> و با تجربه در به</w:t>
      </w:r>
      <w:r w:rsidR="005827A2" w:rsidRPr="0025250D">
        <w:rPr>
          <w:rFonts w:hint="cs"/>
          <w:rtl/>
        </w:rPr>
        <w:t>‌</w:t>
      </w:r>
      <w:r w:rsidRPr="0025250D">
        <w:rPr>
          <w:rFonts w:hint="cs"/>
          <w:rtl/>
        </w:rPr>
        <w:t xml:space="preserve">کارگیری برخی روش‌ها برای خود یا دیگران، اما هنوز به طور منظم همه چهار </w:t>
      </w:r>
      <w:r w:rsidRPr="0025250D">
        <w:t>P</w:t>
      </w:r>
      <w:r w:rsidRPr="0025250D">
        <w:rPr>
          <w:rFonts w:hint="cs"/>
          <w:rtl/>
        </w:rPr>
        <w:t xml:space="preserve"> یا هشت مهارت را در یک حلقه انجام به کار</w:t>
      </w:r>
      <w:r w:rsidR="00EE4B64" w:rsidRPr="0025250D">
        <w:rPr>
          <w:rFonts w:hint="cs"/>
          <w:rtl/>
        </w:rPr>
        <w:t xml:space="preserve"> نمی‌</w:t>
      </w:r>
      <w:r w:rsidRPr="0025250D">
        <w:rPr>
          <w:rFonts w:hint="cs"/>
          <w:rtl/>
        </w:rPr>
        <w:t>گیرد.</w:t>
      </w:r>
    </w:p>
    <w:p w14:paraId="78CD557A" w14:textId="31F17504" w:rsidR="00537CC8" w:rsidRPr="0025250D" w:rsidRDefault="00537CC8" w:rsidP="00537CC8">
      <w:pPr>
        <w:rPr>
          <w:rtl/>
        </w:rPr>
      </w:pPr>
      <w:r w:rsidRPr="0025250D">
        <w:rPr>
          <w:rFonts w:hint="cs"/>
          <w:rtl/>
        </w:rPr>
        <w:t xml:space="preserve">4= عامل تغییر فردی </w:t>
      </w:r>
      <w:r w:rsidRPr="0025250D">
        <w:rPr>
          <w:rFonts w:cs="Times New Roman" w:hint="cs"/>
          <w:rtl/>
        </w:rPr>
        <w:t>–</w:t>
      </w:r>
      <w:r w:rsidRPr="0025250D">
        <w:rPr>
          <w:rFonts w:hint="cs"/>
          <w:rtl/>
        </w:rPr>
        <w:t xml:space="preserve"> دارای تجربه تکرار شونده در </w:t>
      </w:r>
      <w:r w:rsidR="00923DDB" w:rsidRPr="0025250D">
        <w:rPr>
          <w:rFonts w:hint="cs"/>
          <w:rtl/>
        </w:rPr>
        <w:t>به‌کارگیری</w:t>
      </w:r>
      <w:r w:rsidRPr="0025250D">
        <w:rPr>
          <w:rFonts w:hint="cs"/>
          <w:rtl/>
        </w:rPr>
        <w:t xml:space="preserve"> چهار </w:t>
      </w:r>
      <w:r w:rsidRPr="0025250D">
        <w:t>P</w:t>
      </w:r>
      <w:r w:rsidRPr="0025250D">
        <w:rPr>
          <w:rFonts w:hint="cs"/>
          <w:rtl/>
        </w:rPr>
        <w:t xml:space="preserve"> و هشت مهارت برای آینده‌های فردی و به صورت فردی درون سازمان. یک توسعه دهنده تیم‌های فردی.</w:t>
      </w:r>
    </w:p>
    <w:p w14:paraId="78552F84" w14:textId="11AC4D61" w:rsidR="00537CC8" w:rsidRPr="0025250D" w:rsidRDefault="00537CC8" w:rsidP="00537CC8">
      <w:pPr>
        <w:rPr>
          <w:rtl/>
        </w:rPr>
      </w:pPr>
      <w:r w:rsidRPr="0025250D">
        <w:rPr>
          <w:rFonts w:hint="cs"/>
          <w:rtl/>
        </w:rPr>
        <w:t xml:space="preserve">5= عامل تغییر گروهی </w:t>
      </w:r>
      <w:r w:rsidRPr="0025250D">
        <w:rPr>
          <w:rFonts w:cs="Times New Roman" w:hint="cs"/>
          <w:rtl/>
        </w:rPr>
        <w:t>–</w:t>
      </w:r>
      <w:r w:rsidRPr="0025250D">
        <w:rPr>
          <w:rFonts w:hint="cs"/>
          <w:rtl/>
        </w:rPr>
        <w:t xml:space="preserve"> تیم‌ها و گروه‌های با تجربه برای تولید </w:t>
      </w:r>
      <w:r w:rsidRPr="0025250D">
        <w:rPr>
          <w:rtl/>
        </w:rPr>
        <w:t>آینده‌نگاری</w:t>
      </w:r>
      <w:r w:rsidRPr="0025250D">
        <w:rPr>
          <w:rFonts w:hint="cs"/>
          <w:rtl/>
        </w:rPr>
        <w:t xml:space="preserve"> و تغییر </w:t>
      </w:r>
      <w:r w:rsidR="00923DDB" w:rsidRPr="0025250D">
        <w:rPr>
          <w:rFonts w:hint="cs"/>
          <w:rtl/>
        </w:rPr>
        <w:t>پیش‌انگاری</w:t>
      </w:r>
      <w:r w:rsidRPr="0025250D">
        <w:rPr>
          <w:rFonts w:hint="cs"/>
          <w:rtl/>
        </w:rPr>
        <w:t xml:space="preserve"> شده (محتمل)، خلاقانه (ممکن)، آرمانی (</w:t>
      </w:r>
      <w:r w:rsidR="005827A2" w:rsidRPr="0025250D">
        <w:rPr>
          <w:rFonts w:hint="cs"/>
          <w:rtl/>
        </w:rPr>
        <w:t>مرجح</w:t>
      </w:r>
      <w:r w:rsidRPr="0025250D">
        <w:rPr>
          <w:rFonts w:hint="cs"/>
          <w:rtl/>
        </w:rPr>
        <w:t>) و دفاعی (قابل اجتناب).</w:t>
      </w:r>
    </w:p>
    <w:p w14:paraId="770CC114" w14:textId="4733C5B1" w:rsidR="00537CC8" w:rsidRPr="0025250D" w:rsidRDefault="00537CC8" w:rsidP="00537CC8">
      <w:pPr>
        <w:rPr>
          <w:rtl/>
        </w:rPr>
      </w:pPr>
      <w:r w:rsidRPr="0025250D">
        <w:rPr>
          <w:rFonts w:hint="cs"/>
          <w:rtl/>
        </w:rPr>
        <w:t>6= معلم ماهر</w:t>
      </w:r>
      <w:r w:rsidR="005827A2" w:rsidRPr="0025250D">
        <w:rPr>
          <w:rFonts w:hint="cs"/>
          <w:rtl/>
        </w:rPr>
        <w:t>-</w:t>
      </w:r>
      <w:r w:rsidRPr="0025250D">
        <w:rPr>
          <w:rFonts w:hint="cs"/>
          <w:rtl/>
        </w:rPr>
        <w:t xml:space="preserve"> قادر به آموزش تکنیک‌های </w:t>
      </w:r>
      <w:r w:rsidRPr="0025250D">
        <w:rPr>
          <w:rtl/>
        </w:rPr>
        <w:t>آینده‌نگاری</w:t>
      </w:r>
      <w:r w:rsidRPr="0025250D">
        <w:rPr>
          <w:rFonts w:hint="cs"/>
          <w:rtl/>
        </w:rPr>
        <w:t xml:space="preserve"> به دیگران و کمک به سازمان‌ها با رهبری و سیاست‌هایی که فرایند و فرهنگ </w:t>
      </w:r>
      <w:r w:rsidRPr="0025250D">
        <w:rPr>
          <w:rtl/>
        </w:rPr>
        <w:t>آینده‌نگار</w:t>
      </w:r>
      <w:r w:rsidRPr="0025250D">
        <w:rPr>
          <w:rFonts w:hint="cs"/>
          <w:rtl/>
        </w:rPr>
        <w:t>ی خوب را رشد داده و حفظ می‌کنند.</w:t>
      </w:r>
    </w:p>
    <w:p w14:paraId="3F580C49" w14:textId="2E282BF9" w:rsidR="00537CC8" w:rsidRPr="0025250D" w:rsidRDefault="00537CC8" w:rsidP="00537CC8">
      <w:pPr>
        <w:rPr>
          <w:rtl/>
        </w:rPr>
      </w:pPr>
      <w:r w:rsidRPr="0025250D">
        <w:rPr>
          <w:rFonts w:hint="cs"/>
          <w:rtl/>
        </w:rPr>
        <w:t xml:space="preserve">نه تنها متخصصین </w:t>
      </w:r>
      <w:r w:rsidRPr="0025250D">
        <w:rPr>
          <w:rtl/>
        </w:rPr>
        <w:t>آینده‌نگاری</w:t>
      </w:r>
      <w:r w:rsidRPr="0025250D">
        <w:rPr>
          <w:rFonts w:hint="cs"/>
          <w:rtl/>
        </w:rPr>
        <w:t xml:space="preserve"> باید تغییر مثبت، پیش رونده و </w:t>
      </w:r>
      <w:r w:rsidR="00B124DE" w:rsidRPr="0025250D">
        <w:rPr>
          <w:rFonts w:hint="cs"/>
          <w:rtl/>
        </w:rPr>
        <w:t>انطباق‌پذیر</w:t>
      </w:r>
      <w:r w:rsidRPr="0025250D">
        <w:rPr>
          <w:rFonts w:hint="cs"/>
          <w:rtl/>
        </w:rPr>
        <w:t xml:space="preserve"> را در کارسپاران خود ایجاد کنند، به صورت </w:t>
      </w:r>
      <w:r w:rsidR="0008779C" w:rsidRPr="0025250D">
        <w:rPr>
          <w:rFonts w:hint="cs"/>
          <w:rtl/>
        </w:rPr>
        <w:t>ایدئال</w:t>
      </w:r>
      <w:r w:rsidRPr="0025250D">
        <w:rPr>
          <w:rFonts w:hint="cs"/>
          <w:rtl/>
        </w:rPr>
        <w:t xml:space="preserve"> آن‌ها</w:t>
      </w:r>
      <w:r w:rsidR="007B0FAB" w:rsidRPr="0025250D">
        <w:rPr>
          <w:rFonts w:hint="cs"/>
          <w:rtl/>
        </w:rPr>
        <w:t xml:space="preserve"> باید</w:t>
      </w:r>
      <w:r w:rsidRPr="0025250D">
        <w:rPr>
          <w:rFonts w:hint="cs"/>
          <w:rtl/>
        </w:rPr>
        <w:t xml:space="preserve"> شرایطی را ایجاد </w:t>
      </w:r>
      <w:r w:rsidR="007B0FAB" w:rsidRPr="0025250D">
        <w:rPr>
          <w:rFonts w:hint="cs"/>
          <w:rtl/>
        </w:rPr>
        <w:t>نمایند</w:t>
      </w:r>
      <w:r w:rsidRPr="0025250D">
        <w:rPr>
          <w:rFonts w:hint="cs"/>
          <w:rtl/>
        </w:rPr>
        <w:t xml:space="preserve"> که چنین تغییری </w:t>
      </w:r>
      <w:r w:rsidR="0082018C" w:rsidRPr="0025250D">
        <w:rPr>
          <w:rFonts w:hint="cs"/>
          <w:rtl/>
        </w:rPr>
        <w:t xml:space="preserve">به صورت </w:t>
      </w:r>
      <w:r w:rsidRPr="0025250D">
        <w:rPr>
          <w:rFonts w:hint="cs"/>
          <w:rtl/>
        </w:rPr>
        <w:t xml:space="preserve">دائمی </w:t>
      </w:r>
      <w:r w:rsidR="0082018C" w:rsidRPr="0025250D">
        <w:rPr>
          <w:rFonts w:hint="cs"/>
          <w:rtl/>
        </w:rPr>
        <w:t>ایجاد شود</w:t>
      </w:r>
      <w:r w:rsidRPr="0025250D">
        <w:rPr>
          <w:rFonts w:hint="cs"/>
          <w:rtl/>
        </w:rPr>
        <w:t xml:space="preserve">. یک استاد ماهر، در مقیاس‌های شایستگی بالا، خود را مشخصا در </w:t>
      </w:r>
      <w:r w:rsidR="008D6F97" w:rsidRPr="0025250D">
        <w:rPr>
          <w:rFonts w:hint="cs"/>
          <w:rtl/>
        </w:rPr>
        <w:t>سامانه‌</w:t>
      </w:r>
      <w:r w:rsidRPr="0025250D">
        <w:rPr>
          <w:rFonts w:hint="cs"/>
          <w:rtl/>
        </w:rPr>
        <w:t xml:space="preserve"> کاری خود به‌عنوان یک فرد اضافی</w:t>
      </w:r>
      <w:r w:rsidRPr="0025250D">
        <w:rPr>
          <w:vertAlign w:val="superscript"/>
          <w:rtl/>
        </w:rPr>
        <w:footnoteReference w:id="1466"/>
      </w:r>
      <w:r w:rsidRPr="0025250D">
        <w:rPr>
          <w:rFonts w:hint="cs"/>
          <w:rtl/>
        </w:rPr>
        <w:t xml:space="preserve"> ساخته است. فرایند‌ها و فرهنگ کارسپار می‌تواند اکنون خود را اداره کند.</w:t>
      </w:r>
    </w:p>
    <w:p w14:paraId="2FDC1547" w14:textId="5C53D608" w:rsidR="00537CC8" w:rsidRPr="0025250D" w:rsidRDefault="00537CC8" w:rsidP="00537CC8">
      <w:pPr>
        <w:rPr>
          <w:rtl/>
        </w:rPr>
      </w:pPr>
      <w:r w:rsidRPr="0025250D">
        <w:rPr>
          <w:rFonts w:hint="cs"/>
          <w:rtl/>
        </w:rPr>
        <w:t xml:space="preserve">اکنون یک ارزیابی </w:t>
      </w:r>
      <w:r w:rsidR="001A3F0A" w:rsidRPr="0025250D">
        <w:rPr>
          <w:rFonts w:hint="cs"/>
          <w:rtl/>
        </w:rPr>
        <w:t>فردی</w:t>
      </w:r>
      <w:r w:rsidRPr="0025250D">
        <w:rPr>
          <w:rFonts w:hint="cs"/>
          <w:rtl/>
        </w:rPr>
        <w:t xml:space="preserve"> را امتحان کنید: اکنون خود را در این مقیاس شایستگی در کجا قرار می‌دهید؟ همکاران شما ممکن است شما را در کجا قرار دهند؟ مهم‌ترین</w:t>
      </w:r>
      <w:r w:rsidR="008D6F97" w:rsidRPr="0025250D">
        <w:rPr>
          <w:rtl/>
        </w:rPr>
        <w:t xml:space="preserve"> </w:t>
      </w:r>
      <w:r w:rsidRPr="0025250D">
        <w:rPr>
          <w:rFonts w:hint="cs"/>
          <w:rtl/>
        </w:rPr>
        <w:t xml:space="preserve">منتقدین شما چطور؟ آیا شرایطی را برای مجموعه سالمی از فرایند‌ها و فرهنگ </w:t>
      </w:r>
      <w:r w:rsidRPr="0025250D">
        <w:rPr>
          <w:rtl/>
        </w:rPr>
        <w:t>آینده‌نگاری</w:t>
      </w:r>
      <w:r w:rsidRPr="0025250D">
        <w:rPr>
          <w:rFonts w:hint="cs"/>
          <w:rtl/>
        </w:rPr>
        <w:t xml:space="preserve"> که قوی‌تر از هر فردی باشد ایجاد می‌کنید؟ آیا این بالاترین هدف تعاملات شما با کارسپاران خود است؟</w:t>
      </w:r>
    </w:p>
    <w:p w14:paraId="29290695" w14:textId="77777777" w:rsidR="00537CC8" w:rsidRPr="0025250D" w:rsidRDefault="00537CC8" w:rsidP="00537CC8">
      <w:pPr>
        <w:rPr>
          <w:rtl/>
        </w:rPr>
      </w:pPr>
    </w:p>
    <w:p w14:paraId="25EE480A" w14:textId="77777777" w:rsidR="00537CC8" w:rsidRPr="0025250D" w:rsidRDefault="00537CC8" w:rsidP="00537CC8">
      <w:pPr>
        <w:rPr>
          <w:rtl/>
        </w:rPr>
      </w:pPr>
    </w:p>
    <w:p w14:paraId="414E6D2B" w14:textId="77777777" w:rsidR="00537CC8" w:rsidRPr="0025250D" w:rsidRDefault="00537CC8" w:rsidP="00537CC8">
      <w:pPr>
        <w:rPr>
          <w:rtl/>
        </w:rPr>
      </w:pPr>
    </w:p>
    <w:p w14:paraId="78BED3AC" w14:textId="77777777" w:rsidR="00537CC8" w:rsidRPr="0025250D" w:rsidRDefault="00537CC8" w:rsidP="00537CC8">
      <w:pPr>
        <w:rPr>
          <w:rtl/>
        </w:rPr>
      </w:pPr>
    </w:p>
    <w:p w14:paraId="4BCB7182" w14:textId="77777777" w:rsidR="00537CC8" w:rsidRPr="0025250D" w:rsidRDefault="00537CC8" w:rsidP="00537CC8">
      <w:pPr>
        <w:rPr>
          <w:rtl/>
        </w:rPr>
      </w:pPr>
    </w:p>
    <w:p w14:paraId="56CE642A" w14:textId="77777777" w:rsidR="00537CC8" w:rsidRPr="0025250D" w:rsidRDefault="00537CC8" w:rsidP="00537CC8">
      <w:pPr>
        <w:rPr>
          <w:rtl/>
        </w:rPr>
      </w:pPr>
    </w:p>
    <w:p w14:paraId="46E5743A" w14:textId="77777777" w:rsidR="00537CC8" w:rsidRPr="0025250D" w:rsidRDefault="00537CC8" w:rsidP="00537CC8">
      <w:pPr>
        <w:rPr>
          <w:rtl/>
        </w:rPr>
      </w:pPr>
    </w:p>
    <w:p w14:paraId="6BA8AE28" w14:textId="77777777" w:rsidR="00537CC8" w:rsidRPr="0025250D" w:rsidRDefault="00537CC8" w:rsidP="00537CC8">
      <w:pPr>
        <w:rPr>
          <w:rtl/>
        </w:rPr>
      </w:pPr>
    </w:p>
    <w:p w14:paraId="412E339C" w14:textId="77777777" w:rsidR="00537CC8" w:rsidRPr="0025250D" w:rsidRDefault="00537CC8" w:rsidP="00537CC8">
      <w:pPr>
        <w:rPr>
          <w:rtl/>
        </w:rPr>
      </w:pPr>
    </w:p>
    <w:p w14:paraId="247EC3E9" w14:textId="77777777" w:rsidR="00537CC8" w:rsidRPr="0025250D" w:rsidRDefault="00537CC8" w:rsidP="00537CC8">
      <w:pPr>
        <w:rPr>
          <w:rtl/>
        </w:rPr>
      </w:pPr>
    </w:p>
    <w:p w14:paraId="2E2E8C20" w14:textId="77777777" w:rsidR="00537CC8" w:rsidRPr="0025250D" w:rsidRDefault="00537CC8" w:rsidP="00537CC8">
      <w:pPr>
        <w:rPr>
          <w:rtl/>
        </w:rPr>
      </w:pPr>
    </w:p>
    <w:p w14:paraId="4AC2703B" w14:textId="77777777" w:rsidR="00537CC8" w:rsidRPr="0025250D" w:rsidRDefault="00537CC8" w:rsidP="00537CC8">
      <w:pPr>
        <w:rPr>
          <w:rtl/>
        </w:rPr>
      </w:pPr>
    </w:p>
    <w:p w14:paraId="205861A6" w14:textId="77777777" w:rsidR="00537CC8" w:rsidRPr="0025250D" w:rsidRDefault="00537CC8" w:rsidP="00537CC8">
      <w:pPr>
        <w:rPr>
          <w:rtl/>
        </w:rPr>
      </w:pPr>
    </w:p>
    <w:p w14:paraId="60BD8D1F" w14:textId="77777777" w:rsidR="00537CC8" w:rsidRPr="0025250D" w:rsidRDefault="00537CC8" w:rsidP="000A674B">
      <w:pPr>
        <w:pStyle w:val="Heading2"/>
        <w:rPr>
          <w:rtl/>
        </w:rPr>
      </w:pPr>
      <w:bookmarkStart w:id="44" w:name="_Toc127831309"/>
      <w:r w:rsidRPr="0025250D">
        <w:rPr>
          <w:rFonts w:hint="cs"/>
          <w:rtl/>
        </w:rPr>
        <w:t xml:space="preserve">تحصیل </w:t>
      </w:r>
      <w:r w:rsidRPr="0025250D">
        <w:rPr>
          <w:rtl/>
        </w:rPr>
        <w:t>آینده‌نگاری</w:t>
      </w:r>
      <w:r w:rsidRPr="0025250D">
        <w:rPr>
          <w:rFonts w:hint="cs"/>
          <w:rtl/>
        </w:rPr>
        <w:t>: فرصت‌ها و چالش ها</w:t>
      </w:r>
      <w:bookmarkEnd w:id="44"/>
    </w:p>
    <w:p w14:paraId="62DBC942" w14:textId="2E4B9671" w:rsidR="00537CC8" w:rsidRPr="0025250D" w:rsidRDefault="00537CC8" w:rsidP="00537CC8">
      <w:pPr>
        <w:rPr>
          <w:rtl/>
        </w:rPr>
      </w:pPr>
      <w:r w:rsidRPr="0025250D">
        <w:rPr>
          <w:rFonts w:hint="cs"/>
          <w:rtl/>
        </w:rPr>
        <w:t xml:space="preserve">چگونه می‌توانیم تحصیل </w:t>
      </w:r>
      <w:r w:rsidRPr="0025250D">
        <w:rPr>
          <w:rtl/>
        </w:rPr>
        <w:t>آینده‌نگاری</w:t>
      </w:r>
      <w:r w:rsidRPr="0025250D">
        <w:rPr>
          <w:rFonts w:hint="cs"/>
          <w:rtl/>
        </w:rPr>
        <w:t xml:space="preserve"> را، نه تنها در تجارت و سیاست، بلکه در هر زمینه‌ای از تلاش‌های انسانی مرتبط‌تر سازیم؟ چگونه می‌توانیم آموزش </w:t>
      </w:r>
      <w:r w:rsidRPr="0025250D">
        <w:rPr>
          <w:rtl/>
        </w:rPr>
        <w:t>آینده‌نگاری</w:t>
      </w:r>
      <w:r w:rsidRPr="0025250D">
        <w:rPr>
          <w:rFonts w:hint="cs"/>
          <w:rtl/>
        </w:rPr>
        <w:t xml:space="preserve"> در سازمان‌ها و آموزشگاه هایمان </w:t>
      </w:r>
      <w:r w:rsidR="00FC714F" w:rsidRPr="0025250D">
        <w:rPr>
          <w:rFonts w:hint="cs"/>
          <w:rtl/>
        </w:rPr>
        <w:t xml:space="preserve">را </w:t>
      </w:r>
      <w:r w:rsidRPr="0025250D">
        <w:rPr>
          <w:rFonts w:hint="cs"/>
          <w:rtl/>
        </w:rPr>
        <w:t>ارتقاء دهیم تا افراد</w:t>
      </w:r>
      <w:r w:rsidR="0008779C" w:rsidRPr="0025250D">
        <w:rPr>
          <w:rFonts w:hint="cs"/>
          <w:rtl/>
        </w:rPr>
        <w:t xml:space="preserve"> بیش‌تر</w:t>
      </w:r>
      <w:r w:rsidRPr="0025250D">
        <w:rPr>
          <w:rFonts w:hint="cs"/>
          <w:rtl/>
        </w:rPr>
        <w:t xml:space="preserve">ی توانایی‌ها، دامنه‌ها، قدرت‌ها، ضعف‌ها و جایگاه آن در ارتباط با </w:t>
      </w:r>
      <w:r w:rsidR="00701E03" w:rsidRPr="0025250D">
        <w:rPr>
          <w:rFonts w:hint="cs"/>
          <w:rtl/>
        </w:rPr>
        <w:t>راهبرد</w:t>
      </w:r>
      <w:r w:rsidRPr="0025250D">
        <w:rPr>
          <w:rFonts w:hint="cs"/>
          <w:rtl/>
        </w:rPr>
        <w:t xml:space="preserve"> و عمل را </w:t>
      </w:r>
      <w:r w:rsidR="00FC714F" w:rsidRPr="0025250D">
        <w:rPr>
          <w:rFonts w:hint="cs"/>
          <w:rtl/>
        </w:rPr>
        <w:t>درک کنند</w:t>
      </w:r>
      <w:r w:rsidRPr="0025250D">
        <w:rPr>
          <w:rFonts w:hint="cs"/>
          <w:rtl/>
        </w:rPr>
        <w:t>؟ چنین پرسش‌هایی به ما برای نوشتن این کتاب راهنما انگیزه بخشیده اند. برای افرادی که یک دوره تحصیلی رسمی را در زمینه ما یا آموزش دیگران در سازمان‌ها یا آموزشگاه‌ها و دانشکده‌های خود در نظر دارند، این بخش می‌تواند ارزش خاصی داشته باشد.</w:t>
      </w:r>
    </w:p>
    <w:p w14:paraId="24C4D181" w14:textId="13582853" w:rsidR="00537CC8" w:rsidRPr="0025250D" w:rsidRDefault="00537CC8" w:rsidP="00537CC8">
      <w:pPr>
        <w:rPr>
          <w:rtl/>
        </w:rPr>
      </w:pPr>
      <w:r w:rsidRPr="0025250D">
        <w:rPr>
          <w:rFonts w:hint="cs"/>
          <w:rtl/>
        </w:rPr>
        <w:t xml:space="preserve">درمورد آموزش دانشگاهی، ارزش اکثر برنامه‌های تحصیلات تکمیلی </w:t>
      </w:r>
      <w:r w:rsidRPr="0025250D">
        <w:rPr>
          <w:rtl/>
        </w:rPr>
        <w:t>آینده‌نگاری</w:t>
      </w:r>
      <w:r w:rsidRPr="0025250D">
        <w:rPr>
          <w:rFonts w:hint="cs"/>
          <w:rtl/>
        </w:rPr>
        <w:t xml:space="preserve"> امروزی در مهارت‌های آموخته شده که اغلب ناقص هستند، کم‌تر است. آنچه ارزشمند‌تر است تعهد فردی و شهرتی است که برای </w:t>
      </w:r>
      <w:r w:rsidR="00FC714F" w:rsidRPr="0025250D">
        <w:rPr>
          <w:rFonts w:hint="cs"/>
          <w:rtl/>
        </w:rPr>
        <w:t xml:space="preserve">صرف </w:t>
      </w:r>
      <w:r w:rsidRPr="0025250D">
        <w:rPr>
          <w:rFonts w:hint="cs"/>
          <w:rtl/>
        </w:rPr>
        <w:t xml:space="preserve">زمان </w:t>
      </w:r>
      <w:r w:rsidR="00FC714F" w:rsidRPr="0025250D">
        <w:rPr>
          <w:rFonts w:hint="cs"/>
          <w:rtl/>
        </w:rPr>
        <w:t>جهت</w:t>
      </w:r>
      <w:r w:rsidRPr="0025250D">
        <w:rPr>
          <w:rFonts w:hint="cs"/>
          <w:rtl/>
        </w:rPr>
        <w:t xml:space="preserve"> به دست آوردن اعتبار یا مدارک و ارتباطات بلند مدتی که با یک جامعه از دیگر افراد مستعدی که مشخصا برای تفکر و بهبود آینده انگیزه دارند به دست می‌آوریم.</w:t>
      </w:r>
    </w:p>
    <w:p w14:paraId="2DA60440" w14:textId="7813B205" w:rsidR="00537CC8" w:rsidRPr="0025250D" w:rsidRDefault="00537CC8" w:rsidP="00537CC8">
      <w:pPr>
        <w:rPr>
          <w:rtl/>
        </w:rPr>
      </w:pPr>
      <w:r w:rsidRPr="0025250D">
        <w:rPr>
          <w:rFonts w:hint="cs"/>
          <w:rtl/>
        </w:rPr>
        <w:t xml:space="preserve">امروزه، بیش‌تر برنامه‌های تحصیلات تکمیلی </w:t>
      </w:r>
      <w:r w:rsidRPr="0025250D">
        <w:rPr>
          <w:rtl/>
        </w:rPr>
        <w:t>آینده‌نگاری</w:t>
      </w:r>
      <w:r w:rsidRPr="0025250D">
        <w:rPr>
          <w:rFonts w:hint="cs"/>
          <w:rtl/>
        </w:rPr>
        <w:t xml:space="preserve"> نسبت به چهار </w:t>
      </w:r>
      <w:r w:rsidRPr="0025250D">
        <w:t>P</w:t>
      </w:r>
      <w:r w:rsidRPr="0025250D">
        <w:rPr>
          <w:rFonts w:hint="cs"/>
          <w:rtl/>
        </w:rPr>
        <w:t xml:space="preserve"> نامتوازن هستند. آن‌ها معمولا بسیاری از مهارت‌های </w:t>
      </w:r>
      <w:r w:rsidR="00923DDB" w:rsidRPr="0025250D">
        <w:rPr>
          <w:rFonts w:hint="cs"/>
          <w:rtl/>
        </w:rPr>
        <w:t>پیش‌انگاری</w:t>
      </w:r>
      <w:r w:rsidRPr="0025250D">
        <w:rPr>
          <w:rFonts w:hint="cs"/>
          <w:rtl/>
        </w:rPr>
        <w:t xml:space="preserve"> مرتبط با </w:t>
      </w:r>
      <w:r w:rsidRPr="0025250D">
        <w:rPr>
          <w:rtl/>
        </w:rPr>
        <w:t>آینده‌نگاری</w:t>
      </w:r>
      <w:r w:rsidRPr="0025250D">
        <w:rPr>
          <w:rFonts w:hint="cs"/>
          <w:rtl/>
        </w:rPr>
        <w:t xml:space="preserve"> </w:t>
      </w:r>
      <w:r w:rsidR="00FC714F" w:rsidRPr="0025250D">
        <w:rPr>
          <w:rFonts w:hint="cs"/>
          <w:rtl/>
        </w:rPr>
        <w:t xml:space="preserve">را </w:t>
      </w:r>
      <w:r w:rsidRPr="0025250D">
        <w:rPr>
          <w:rFonts w:hint="cs"/>
          <w:rtl/>
        </w:rPr>
        <w:t xml:space="preserve">(آینده‌های محتمل) نادیده می‌گیرند. </w:t>
      </w:r>
      <w:r w:rsidR="00923DDB" w:rsidRPr="0025250D">
        <w:rPr>
          <w:rFonts w:hint="cs"/>
          <w:rtl/>
        </w:rPr>
        <w:t>دانشجویان</w:t>
      </w:r>
      <w:r w:rsidRPr="0025250D">
        <w:rPr>
          <w:rFonts w:hint="cs"/>
          <w:rtl/>
        </w:rPr>
        <w:t xml:space="preserve"> یاد</w:t>
      </w:r>
      <w:r w:rsidR="00EE4B64" w:rsidRPr="0025250D">
        <w:rPr>
          <w:rFonts w:hint="cs"/>
          <w:rtl/>
        </w:rPr>
        <w:t xml:space="preserve"> نمی‌</w:t>
      </w:r>
      <w:r w:rsidRPr="0025250D">
        <w:rPr>
          <w:rFonts w:hint="cs"/>
          <w:rtl/>
        </w:rPr>
        <w:t xml:space="preserve">گیرند که </w:t>
      </w:r>
      <w:r w:rsidR="00D92F6E" w:rsidRPr="0025250D">
        <w:rPr>
          <w:rFonts w:hint="cs"/>
          <w:rtl/>
        </w:rPr>
        <w:t>پیش‌بین</w:t>
      </w:r>
      <w:r w:rsidRPr="0025250D">
        <w:rPr>
          <w:rFonts w:hint="cs"/>
          <w:rtl/>
        </w:rPr>
        <w:t xml:space="preserve">ی یا </w:t>
      </w:r>
      <w:r w:rsidR="00FB6A7E" w:rsidRPr="0025250D">
        <w:rPr>
          <w:rFonts w:hint="cs"/>
          <w:rtl/>
        </w:rPr>
        <w:t>پیش‌نگری</w:t>
      </w:r>
      <w:r w:rsidRPr="0025250D">
        <w:rPr>
          <w:rFonts w:hint="cs"/>
          <w:rtl/>
        </w:rPr>
        <w:t xml:space="preserve"> انجام داده یا به صورت آماری و احتمالی در برخی از برنامه‌های </w:t>
      </w:r>
      <w:r w:rsidRPr="0025250D">
        <w:rPr>
          <w:rtl/>
        </w:rPr>
        <w:t>آینده‌نگاری</w:t>
      </w:r>
      <w:r w:rsidRPr="0025250D">
        <w:rPr>
          <w:rFonts w:hint="cs"/>
          <w:rtl/>
        </w:rPr>
        <w:t xml:space="preserve"> فهرست شده در بالا فکر کنند. برخی برنامه‌ها بر هنر </w:t>
      </w:r>
      <w:r w:rsidRPr="0025250D">
        <w:rPr>
          <w:rtl/>
        </w:rPr>
        <w:t>آینده‌نگاری</w:t>
      </w:r>
      <w:r w:rsidRPr="0025250D">
        <w:rPr>
          <w:rFonts w:hint="cs"/>
          <w:rtl/>
        </w:rPr>
        <w:t xml:space="preserve"> (آینده‌های ممکن) تأکید می‌کنند. دیگر برنامه‌ها بر سیاست‌ها (آینده‌های مرجح و قابل اجتناب) تأکید دارند. متمرکز بودن خوب است، اما همه دانشجویان باید بتوانند از هریک از چهار </w:t>
      </w:r>
      <w:r w:rsidRPr="0025250D">
        <w:t>P</w:t>
      </w:r>
      <w:r w:rsidRPr="0025250D">
        <w:rPr>
          <w:rFonts w:hint="cs"/>
          <w:rtl/>
        </w:rPr>
        <w:t xml:space="preserve"> استفا</w:t>
      </w:r>
      <w:r w:rsidR="00FC714F" w:rsidRPr="0025250D">
        <w:rPr>
          <w:rFonts w:hint="cs"/>
          <w:rtl/>
        </w:rPr>
        <w:t>د</w:t>
      </w:r>
      <w:r w:rsidRPr="0025250D">
        <w:rPr>
          <w:rFonts w:hint="cs"/>
          <w:rtl/>
        </w:rPr>
        <w:t>ه کرده و آن‌ها را در مقابل هم به کار گیرند و مقایسه کنند تا بهتر آینده را راهبری کنند.</w:t>
      </w:r>
    </w:p>
    <w:p w14:paraId="54FDE28A" w14:textId="0ACFAAEC" w:rsidR="00537CC8" w:rsidRPr="0025250D" w:rsidRDefault="00537CC8" w:rsidP="00537CC8">
      <w:pPr>
        <w:rPr>
          <w:rtl/>
        </w:rPr>
      </w:pPr>
      <w:r w:rsidRPr="0025250D">
        <w:rPr>
          <w:rFonts w:hint="cs"/>
          <w:rtl/>
        </w:rPr>
        <w:t xml:space="preserve">به این دلیل که امروزه </w:t>
      </w:r>
      <w:r w:rsidRPr="0025250D">
        <w:rPr>
          <w:rtl/>
        </w:rPr>
        <w:t>آینده‌نگاری</w:t>
      </w:r>
      <w:r w:rsidRPr="0025250D">
        <w:rPr>
          <w:rFonts w:hint="cs"/>
          <w:rtl/>
        </w:rPr>
        <w:t xml:space="preserve"> یک زمینه نوظهور است، برنامه‌های آموزشی معمول برای دانشجویانی که به صورت خودخوان مطالعه می‌کنند و به صورت درونی به سمت درک بهتر و هدایت تغییرات حرکت می‌کنند و کسانی که از کار با یک جامعه متنوع از نظر شناختی و مهارتی از همکاران </w:t>
      </w:r>
      <w:r w:rsidRPr="0025250D">
        <w:rPr>
          <w:rtl/>
        </w:rPr>
        <w:t>چشم‌اندازگرا</w:t>
      </w:r>
      <w:r w:rsidRPr="0025250D">
        <w:rPr>
          <w:rFonts w:hint="cs"/>
          <w:rtl/>
        </w:rPr>
        <w:t xml:space="preserve">، منتقد و مدرک-محور لذت می‌برند، </w:t>
      </w:r>
      <w:r w:rsidR="0082018C" w:rsidRPr="0025250D">
        <w:rPr>
          <w:rFonts w:hint="cs"/>
          <w:rtl/>
        </w:rPr>
        <w:t xml:space="preserve">بهترین کارکرد را </w:t>
      </w:r>
      <w:r w:rsidRPr="0025250D">
        <w:rPr>
          <w:rFonts w:hint="cs"/>
          <w:rtl/>
        </w:rPr>
        <w:t>دارند. به صورت انفرادی، هر یک از ما می‌توانیم تنها قطعه کوچکی از آنچه باید و ممکن است در پیش رویمان قرار داشته باشد را ببینیم. به صورت جمعی می‌توانیم تصویر بزرگتری را ببینیم. به‌عنوان فعالان در حال دانش اندوزی، در هر برنامه‌ای، باید به اندازه کافی برای لذت بردن از تولید کار خود درونگرا و به اندازه کافی برای به اشتراک گذاشتن آن با منتقدین به صورت منظم برونگرا باشیم. با آزمون روش‌ها، مدل‌ها و بینشمان در مقابل همکارانمان، می‌توانیم به شدت آن‌ها را بهبود بخشیم.</w:t>
      </w:r>
    </w:p>
    <w:p w14:paraId="2AE8B96D" w14:textId="1B42F44A" w:rsidR="00537CC8" w:rsidRPr="0025250D" w:rsidRDefault="00537CC8" w:rsidP="00537CC8">
      <w:pPr>
        <w:rPr>
          <w:rtl/>
        </w:rPr>
      </w:pPr>
      <w:r w:rsidRPr="0025250D">
        <w:rPr>
          <w:rFonts w:hint="cs"/>
          <w:rtl/>
        </w:rPr>
        <w:t xml:space="preserve">بیش‌تر برنامه‌های دانشگاهی و تحصیلات تکمیلی در حال حاضر به سواد علمی پایه دانشجویان خود یا مهارت‌های زبانی و تحلیلی قوی به صورت پیش نیاز احتیاجی ندارند و نیاز به اصلاحات آموزشی برای تازه‌واردین وجود دارد. رشته‌های آکادمیک دیگر چنین پیش نیازهایی دارند. نه تنها برنامه‌های </w:t>
      </w:r>
      <w:r w:rsidRPr="0025250D">
        <w:rPr>
          <w:rtl/>
        </w:rPr>
        <w:t>آینده‌نگاری</w:t>
      </w:r>
      <w:r w:rsidRPr="0025250D">
        <w:rPr>
          <w:rFonts w:hint="cs"/>
          <w:rtl/>
        </w:rPr>
        <w:t xml:space="preserve"> ما به استاندارد‌های ورودی بالاتری نیاز دارند، بلکه آن‌ها باید تنوع حیاتی و تجارب عملی و ویژگی‌های شناختی</w:t>
      </w:r>
      <w:r w:rsidR="0008779C" w:rsidRPr="0025250D">
        <w:rPr>
          <w:rFonts w:hint="cs"/>
          <w:rtl/>
        </w:rPr>
        <w:t xml:space="preserve"> بیش‌تر</w:t>
      </w:r>
      <w:r w:rsidRPr="0025250D">
        <w:rPr>
          <w:rFonts w:hint="cs"/>
          <w:rtl/>
        </w:rPr>
        <w:t xml:space="preserve">ی را در بر بگیرند. بر اساس آنچه از یادگیری تجربی (عملی) می‌دانیم، </w:t>
      </w:r>
      <w:r w:rsidR="007118DE" w:rsidRPr="0025250D">
        <w:rPr>
          <w:rFonts w:hint="cs"/>
          <w:rtl/>
        </w:rPr>
        <w:t>همان‌طور</w:t>
      </w:r>
      <w:r w:rsidRPr="0025250D">
        <w:rPr>
          <w:rFonts w:hint="cs"/>
          <w:rtl/>
        </w:rPr>
        <w:t xml:space="preserve"> که توسط </w:t>
      </w:r>
      <w:r w:rsidR="00D30084" w:rsidRPr="0025250D">
        <w:rPr>
          <w:rFonts w:hint="cs"/>
          <w:rtl/>
        </w:rPr>
        <w:t>آینده‌نگار</w:t>
      </w:r>
      <w:r w:rsidRPr="0025250D">
        <w:rPr>
          <w:rtl/>
        </w:rPr>
        <w:t xml:space="preserve"> خوزه راموس</w:t>
      </w:r>
      <w:r w:rsidRPr="0025250D">
        <w:rPr>
          <w:vertAlign w:val="superscript"/>
          <w:rtl/>
        </w:rPr>
        <w:footnoteReference w:id="1467"/>
      </w:r>
      <w:r w:rsidRPr="0025250D">
        <w:rPr>
          <w:rFonts w:hint="cs"/>
          <w:rtl/>
        </w:rPr>
        <w:t xml:space="preserve"> بیان شده است، برنامه‌های ما باید سبب شوند تا دانشجویان کارآموزی‌های متعددی را در طول آموزش خود، برای کارسپاران داخلی و خارجی انجام دهند.</w:t>
      </w:r>
    </w:p>
    <w:p w14:paraId="3D1E56A6" w14:textId="7293A3D3" w:rsidR="00537CC8" w:rsidRPr="0025250D" w:rsidRDefault="00537CC8" w:rsidP="00537CC8">
      <w:pPr>
        <w:rPr>
          <w:rtl/>
        </w:rPr>
      </w:pPr>
      <w:r w:rsidRPr="0025250D">
        <w:rPr>
          <w:rFonts w:hint="cs"/>
          <w:rtl/>
        </w:rPr>
        <w:t xml:space="preserve">از نظر هشت مهارت، بیش‌تر برنامه‌های آموزش </w:t>
      </w:r>
      <w:r w:rsidRPr="0025250D">
        <w:rPr>
          <w:rtl/>
        </w:rPr>
        <w:t>آینده‌نگاری</w:t>
      </w:r>
      <w:r w:rsidRPr="0025250D">
        <w:rPr>
          <w:rFonts w:hint="cs"/>
          <w:rtl/>
        </w:rPr>
        <w:t xml:space="preserve"> شامل موارد زیادی درمورد یادگیری (تحقیق و اطلاعات) نیستند و مستقیما به سراغ </w:t>
      </w:r>
      <w:r w:rsidR="00923DDB" w:rsidRPr="0025250D">
        <w:rPr>
          <w:rFonts w:hint="cs"/>
          <w:rtl/>
        </w:rPr>
        <w:t>پیش‌انگاری</w:t>
      </w:r>
      <w:r w:rsidRPr="0025250D">
        <w:rPr>
          <w:rFonts w:hint="cs"/>
          <w:rtl/>
        </w:rPr>
        <w:t xml:space="preserve"> (</w:t>
      </w:r>
      <w:r w:rsidR="00FB6A7E" w:rsidRPr="0025250D">
        <w:rPr>
          <w:rFonts w:hint="cs"/>
          <w:rtl/>
        </w:rPr>
        <w:t>پیش‌نگری</w:t>
      </w:r>
      <w:r w:rsidRPr="0025250D">
        <w:rPr>
          <w:rFonts w:hint="cs"/>
          <w:rtl/>
        </w:rPr>
        <w:t xml:space="preserve">، ارزیابی ریسک، </w:t>
      </w:r>
      <w:r w:rsidR="00F50EB4" w:rsidRPr="0025250D">
        <w:rPr>
          <w:rFonts w:hint="cs"/>
          <w:rtl/>
        </w:rPr>
        <w:t>سرمایه‌گذاری</w:t>
      </w:r>
      <w:r w:rsidRPr="0025250D">
        <w:rPr>
          <w:rFonts w:hint="cs"/>
          <w:rtl/>
        </w:rPr>
        <w:t xml:space="preserve">، </w:t>
      </w:r>
      <w:r w:rsidR="00D92F6E" w:rsidRPr="0025250D">
        <w:rPr>
          <w:rFonts w:hint="cs"/>
          <w:rtl/>
        </w:rPr>
        <w:t>پیش‌بین</w:t>
      </w:r>
      <w:r w:rsidRPr="0025250D">
        <w:rPr>
          <w:rFonts w:hint="cs"/>
          <w:rtl/>
        </w:rPr>
        <w:t>ی) می‌روند. آن‌ها به صورت سنتی قوی‌ترین</w:t>
      </w:r>
      <w:r w:rsidR="008D6F97" w:rsidRPr="0025250D">
        <w:rPr>
          <w:rtl/>
        </w:rPr>
        <w:t xml:space="preserve"> </w:t>
      </w:r>
      <w:r w:rsidRPr="0025250D">
        <w:rPr>
          <w:rFonts w:hint="cs"/>
          <w:rtl/>
        </w:rPr>
        <w:t xml:space="preserve">موارد در نوآوری (فرانامه‌ها، گزینه‌های </w:t>
      </w:r>
      <w:r w:rsidR="00563645" w:rsidRPr="0025250D">
        <w:rPr>
          <w:rFonts w:hint="cs"/>
          <w:rtl/>
        </w:rPr>
        <w:t>بدیل</w:t>
      </w:r>
      <w:r w:rsidRPr="0025250D">
        <w:rPr>
          <w:rFonts w:hint="cs"/>
          <w:rtl/>
        </w:rPr>
        <w:t xml:space="preserve">، عدم قطعیت‌ها، طراحی) و </w:t>
      </w:r>
      <w:r w:rsidR="00701E03" w:rsidRPr="0025250D">
        <w:rPr>
          <w:rFonts w:hint="cs"/>
          <w:rtl/>
        </w:rPr>
        <w:t>راهبرد</w:t>
      </w:r>
      <w:r w:rsidRPr="0025250D">
        <w:rPr>
          <w:rFonts w:hint="cs"/>
          <w:rtl/>
        </w:rPr>
        <w:t xml:space="preserve"> (</w:t>
      </w:r>
      <w:r w:rsidR="00EE4B64" w:rsidRPr="0025250D">
        <w:rPr>
          <w:rFonts w:hint="cs"/>
          <w:rtl/>
        </w:rPr>
        <w:t>چشم‌اندازسازی</w:t>
      </w:r>
      <w:r w:rsidRPr="0025250D">
        <w:rPr>
          <w:rFonts w:hint="cs"/>
          <w:rtl/>
        </w:rPr>
        <w:t xml:space="preserve">، </w:t>
      </w:r>
      <w:r w:rsidR="007118DE" w:rsidRPr="0025250D">
        <w:rPr>
          <w:rFonts w:hint="cs"/>
          <w:rtl/>
        </w:rPr>
        <w:t>اولویت‌بندی</w:t>
      </w:r>
      <w:r w:rsidRPr="0025250D">
        <w:rPr>
          <w:rFonts w:hint="cs"/>
          <w:rtl/>
        </w:rPr>
        <w:t xml:space="preserve">، تسهیل) هستند. بسیاری به اندازی کافی کار‌های اجرایی (تولید </w:t>
      </w:r>
      <w:r w:rsidRPr="0025250D">
        <w:rPr>
          <w:rtl/>
        </w:rPr>
        <w:t>آینده‌نگاری</w:t>
      </w:r>
      <w:r w:rsidRPr="0025250D">
        <w:rPr>
          <w:rFonts w:hint="cs"/>
          <w:rtl/>
        </w:rPr>
        <w:t xml:space="preserve">)، اثر گذاری (بازاریابی خدمات خود)، </w:t>
      </w:r>
      <w:r w:rsidR="0008779C" w:rsidRPr="0025250D">
        <w:rPr>
          <w:rFonts w:hint="cs"/>
          <w:rtl/>
        </w:rPr>
        <w:t>ارتباط‌دهی</w:t>
      </w:r>
      <w:r w:rsidRPr="0025250D">
        <w:rPr>
          <w:rFonts w:hint="cs"/>
          <w:rtl/>
        </w:rPr>
        <w:t xml:space="preserve"> (یافتن جایگاه خود در میان دیگر انجمن‌های تخصصی) و بازبینی (نقد دقیق) محصولات </w:t>
      </w:r>
      <w:r w:rsidRPr="0025250D">
        <w:rPr>
          <w:rtl/>
        </w:rPr>
        <w:t>آینده‌نگاری</w:t>
      </w:r>
      <w:r w:rsidRPr="0025250D">
        <w:rPr>
          <w:rFonts w:hint="cs"/>
          <w:rtl/>
        </w:rPr>
        <w:t xml:space="preserve"> را انجام</w:t>
      </w:r>
      <w:r w:rsidR="00EE4B64" w:rsidRPr="0025250D">
        <w:rPr>
          <w:rFonts w:hint="cs"/>
          <w:rtl/>
        </w:rPr>
        <w:t xml:space="preserve"> نمی‌</w:t>
      </w:r>
      <w:r w:rsidRPr="0025250D">
        <w:rPr>
          <w:rFonts w:hint="cs"/>
          <w:rtl/>
        </w:rPr>
        <w:t>دهند.</w:t>
      </w:r>
    </w:p>
    <w:p w14:paraId="4FEF0628" w14:textId="19381E7C" w:rsidR="00537CC8" w:rsidRPr="0025250D" w:rsidRDefault="00537CC8" w:rsidP="00537CC8">
      <w:pPr>
        <w:rPr>
          <w:rtl/>
        </w:rPr>
      </w:pPr>
      <w:r w:rsidRPr="0025250D">
        <w:rPr>
          <w:rFonts w:hint="cs"/>
          <w:rtl/>
        </w:rPr>
        <w:t xml:space="preserve">به این دلیل که هر مهارت از حلقه انجام دیگر موارد را تقویت می‌کند، نقص‌های مهارتی متعدد </w:t>
      </w:r>
      <w:r w:rsidR="00FC714F" w:rsidRPr="0025250D">
        <w:rPr>
          <w:rFonts w:hint="cs"/>
          <w:rtl/>
        </w:rPr>
        <w:t xml:space="preserve">موجب ایجاد </w:t>
      </w:r>
      <w:r w:rsidRPr="0025250D">
        <w:rPr>
          <w:rFonts w:hint="cs"/>
          <w:rtl/>
        </w:rPr>
        <w:t xml:space="preserve">یک چرخه معیوب </w:t>
      </w:r>
      <w:r w:rsidR="00FC714F" w:rsidRPr="0025250D">
        <w:rPr>
          <w:rFonts w:hint="cs"/>
          <w:rtl/>
        </w:rPr>
        <w:t>می‌شو</w:t>
      </w:r>
      <w:r w:rsidR="0082018C" w:rsidRPr="0025250D">
        <w:rPr>
          <w:rFonts w:hint="cs"/>
          <w:rtl/>
        </w:rPr>
        <w:t>ن</w:t>
      </w:r>
      <w:r w:rsidR="00FC714F" w:rsidRPr="0025250D">
        <w:rPr>
          <w:rFonts w:hint="cs"/>
          <w:rtl/>
        </w:rPr>
        <w:t>د</w:t>
      </w:r>
      <w:r w:rsidRPr="0025250D">
        <w:rPr>
          <w:rFonts w:hint="cs"/>
          <w:rtl/>
        </w:rPr>
        <w:t>. تعداد زیادی از برنامه‌های تحصیلات تکمیلی ما به طور منظم از کارسپاران کسب‌وکاری، سیاسی، دفاعی و دیگر موارد تقاضای بازخورد (بازبینی)</w:t>
      </w:r>
      <w:r w:rsidR="00EE4B64" w:rsidRPr="0025250D">
        <w:rPr>
          <w:rFonts w:hint="cs"/>
          <w:rtl/>
        </w:rPr>
        <w:t xml:space="preserve"> نمی‌</w:t>
      </w:r>
      <w:r w:rsidRPr="0025250D">
        <w:rPr>
          <w:rFonts w:hint="cs"/>
          <w:rtl/>
        </w:rPr>
        <w:t xml:space="preserve">کنند تا به آن‌ها اجازه دهند که ارزش آن‌ها را ثابت کنند. فارغ التحصیلان آن‌ها اطلاعات کافی درمورد مدیریت </w:t>
      </w:r>
      <w:r w:rsidR="00701E03" w:rsidRPr="0025250D">
        <w:rPr>
          <w:rFonts w:hint="cs"/>
          <w:rtl/>
        </w:rPr>
        <w:t>راهبرد</w:t>
      </w:r>
      <w:r w:rsidRPr="0025250D">
        <w:rPr>
          <w:rFonts w:hint="cs"/>
          <w:rtl/>
        </w:rPr>
        <w:t xml:space="preserve"> برای یافتن جایگاه خود در زنجیره ارزش ندارند. این حالت امور برنامه‌های تحصیلات تکمیلی را از نظر تعداد کوچک</w:t>
      </w:r>
      <w:r w:rsidR="00FC714F" w:rsidRPr="0025250D">
        <w:rPr>
          <w:rFonts w:hint="cs"/>
          <w:rtl/>
        </w:rPr>
        <w:t xml:space="preserve"> ساخته</w:t>
      </w:r>
      <w:r w:rsidRPr="0025250D">
        <w:rPr>
          <w:rFonts w:hint="cs"/>
          <w:rtl/>
        </w:rPr>
        <w:t xml:space="preserve"> و </w:t>
      </w:r>
      <w:r w:rsidR="00FC714F" w:rsidRPr="0025250D">
        <w:rPr>
          <w:rFonts w:hint="cs"/>
          <w:rtl/>
        </w:rPr>
        <w:t>نرخ گسترش آن را آهسته ساخته است</w:t>
      </w:r>
      <w:r w:rsidRPr="0025250D">
        <w:rPr>
          <w:rFonts w:hint="cs"/>
          <w:rtl/>
        </w:rPr>
        <w:t>.</w:t>
      </w:r>
    </w:p>
    <w:p w14:paraId="1FCBFCEE" w14:textId="3E5CF2A1" w:rsidR="00537CC8" w:rsidRPr="0025250D" w:rsidRDefault="00537CC8" w:rsidP="00537CC8">
      <w:pPr>
        <w:rPr>
          <w:rtl/>
        </w:rPr>
      </w:pPr>
      <w:r w:rsidRPr="0025250D">
        <w:rPr>
          <w:rFonts w:hint="cs"/>
          <w:rtl/>
        </w:rPr>
        <w:t xml:space="preserve">امروزه بیش‌تر برنامه‌های </w:t>
      </w:r>
      <w:r w:rsidRPr="0025250D">
        <w:rPr>
          <w:rtl/>
        </w:rPr>
        <w:t>آینده‌نگاری</w:t>
      </w:r>
      <w:r w:rsidRPr="0025250D">
        <w:rPr>
          <w:rFonts w:hint="cs"/>
          <w:rtl/>
        </w:rPr>
        <w:t xml:space="preserve"> تنها زیرمجموعه کوچکی از دامنه‌ها، مهارت‌ها، تخصص‌ها، مدل‌ها و روش‌های توصیف شده در این کتاب را آموزش می‌دهند. تعداد اندکی روش‌های مطلوب خود را صحت سنجی می‌کنند. بسیاری از آموزشگاه‌ها و دانشکده‌های </w:t>
      </w:r>
      <w:r w:rsidRPr="0025250D">
        <w:rPr>
          <w:rtl/>
        </w:rPr>
        <w:t>آینده‌نگاری</w:t>
      </w:r>
      <w:r w:rsidRPr="0025250D">
        <w:rPr>
          <w:rFonts w:hint="cs"/>
          <w:rtl/>
        </w:rPr>
        <w:t xml:space="preserve"> رویکردی ضد </w:t>
      </w:r>
      <w:r w:rsidR="00923DDB" w:rsidRPr="0025250D">
        <w:rPr>
          <w:rFonts w:hint="cs"/>
          <w:rtl/>
        </w:rPr>
        <w:t>پیش‌انگاری</w:t>
      </w:r>
      <w:r w:rsidRPr="0025250D">
        <w:rPr>
          <w:rFonts w:hint="cs"/>
          <w:rtl/>
        </w:rPr>
        <w:t xml:space="preserve"> دارند و بیان می‌کنند که </w:t>
      </w:r>
      <w:r w:rsidR="0063099E" w:rsidRPr="0025250D">
        <w:rPr>
          <w:rtl/>
        </w:rPr>
        <w:t>«</w:t>
      </w:r>
      <w:r w:rsidRPr="0025250D">
        <w:rPr>
          <w:rFonts w:hint="cs"/>
          <w:rtl/>
        </w:rPr>
        <w:t xml:space="preserve">این کار </w:t>
      </w:r>
      <w:r w:rsidRPr="0025250D">
        <w:rPr>
          <w:rtl/>
        </w:rPr>
        <w:t>آینده‌نگاری</w:t>
      </w:r>
      <w:r w:rsidRPr="0025250D">
        <w:rPr>
          <w:rFonts w:hint="cs"/>
          <w:rtl/>
        </w:rPr>
        <w:t xml:space="preserve"> نیست</w:t>
      </w:r>
      <w:r w:rsidR="0063099E" w:rsidRPr="0025250D">
        <w:rPr>
          <w:rtl/>
        </w:rPr>
        <w:t>»</w:t>
      </w:r>
      <w:r w:rsidRPr="0025250D">
        <w:rPr>
          <w:rFonts w:hint="cs"/>
          <w:rtl/>
        </w:rPr>
        <w:t xml:space="preserve"> که آینده را </w:t>
      </w:r>
      <w:r w:rsidR="00D92F6E" w:rsidRPr="0025250D">
        <w:rPr>
          <w:rFonts w:hint="cs"/>
          <w:rtl/>
        </w:rPr>
        <w:t>پیش‌بین</w:t>
      </w:r>
      <w:r w:rsidRPr="0025250D">
        <w:rPr>
          <w:rFonts w:hint="cs"/>
          <w:rtl/>
        </w:rPr>
        <w:t xml:space="preserve">ی کند، در حالی که در واقعیت، </w:t>
      </w:r>
      <w:r w:rsidR="00923DDB" w:rsidRPr="0025250D">
        <w:rPr>
          <w:rFonts w:hint="cs"/>
          <w:rtl/>
        </w:rPr>
        <w:t>پیش‌انگاری</w:t>
      </w:r>
      <w:r w:rsidRPr="0025250D">
        <w:rPr>
          <w:rFonts w:hint="cs"/>
          <w:rtl/>
        </w:rPr>
        <w:t xml:space="preserve"> سومین (یا چهارمین) اولویت کار ماست و </w:t>
      </w:r>
      <w:r w:rsidR="00D92F6E" w:rsidRPr="0025250D">
        <w:rPr>
          <w:rFonts w:hint="cs"/>
          <w:rtl/>
        </w:rPr>
        <w:t>پیش‌بین</w:t>
      </w:r>
      <w:r w:rsidRPr="0025250D">
        <w:rPr>
          <w:rFonts w:hint="cs"/>
          <w:rtl/>
        </w:rPr>
        <w:t xml:space="preserve">ی منظم بخشی از </w:t>
      </w:r>
      <w:r w:rsidR="00923DDB" w:rsidRPr="0025250D">
        <w:rPr>
          <w:rFonts w:hint="cs"/>
          <w:rtl/>
        </w:rPr>
        <w:t>پیش‌انگاری</w:t>
      </w:r>
      <w:r w:rsidRPr="0025250D">
        <w:rPr>
          <w:rFonts w:hint="cs"/>
          <w:rtl/>
        </w:rPr>
        <w:t xml:space="preserve"> است. همه برنامه‌های خوب باید شامل کارهایی بر روی پلتفرم‌های </w:t>
      </w:r>
      <w:r w:rsidR="00D92F6E" w:rsidRPr="0025250D">
        <w:rPr>
          <w:rFonts w:hint="cs"/>
          <w:rtl/>
        </w:rPr>
        <w:t>پیش‌بین</w:t>
      </w:r>
      <w:r w:rsidRPr="0025250D">
        <w:rPr>
          <w:rFonts w:hint="cs"/>
          <w:rtl/>
        </w:rPr>
        <w:t>ی باشند.</w:t>
      </w:r>
    </w:p>
    <w:p w14:paraId="6FB30C7A" w14:textId="791F7199" w:rsidR="00537CC8" w:rsidRPr="0025250D" w:rsidRDefault="00537CC8" w:rsidP="00537CC8">
      <w:pPr>
        <w:rPr>
          <w:rtl/>
        </w:rPr>
      </w:pPr>
      <w:r w:rsidRPr="0025250D">
        <w:rPr>
          <w:rFonts w:hint="cs"/>
          <w:rtl/>
        </w:rPr>
        <w:t xml:space="preserve">بسیاری از برنامه‌های </w:t>
      </w:r>
      <w:r w:rsidRPr="0025250D">
        <w:rPr>
          <w:rtl/>
        </w:rPr>
        <w:t>آینده‌نگاری</w:t>
      </w:r>
      <w:r w:rsidRPr="0025250D">
        <w:rPr>
          <w:rFonts w:hint="cs"/>
          <w:rtl/>
        </w:rPr>
        <w:t xml:space="preserve"> هنوز بیش‌تر سخنرانی‌هایی </w:t>
      </w:r>
      <w:r w:rsidR="009D17DA" w:rsidRPr="0025250D">
        <w:rPr>
          <w:rFonts w:hint="cs"/>
          <w:rtl/>
        </w:rPr>
        <w:t>بالا‌به‌پایین</w:t>
      </w:r>
      <w:r w:rsidRPr="0025250D">
        <w:rPr>
          <w:rFonts w:hint="cs"/>
          <w:rtl/>
        </w:rPr>
        <w:t xml:space="preserve"> هستند تا این که استخراجی پایین به بالا از </w:t>
      </w:r>
      <w:r w:rsidRPr="0025250D">
        <w:rPr>
          <w:rtl/>
        </w:rPr>
        <w:t>آینده‌نگاری</w:t>
      </w:r>
      <w:r w:rsidRPr="0025250D">
        <w:rPr>
          <w:rFonts w:hint="cs"/>
          <w:rtl/>
        </w:rPr>
        <w:t xml:space="preserve"> دانشجویان باشند تا آن را در معرض انتقاد دیگر دانشجویان و متخصصین قرار دهند. برنامه‌های </w:t>
      </w:r>
      <w:r w:rsidRPr="0025250D">
        <w:t>MBA</w:t>
      </w:r>
      <w:r w:rsidRPr="0025250D">
        <w:rPr>
          <w:rFonts w:hint="cs"/>
          <w:rtl/>
        </w:rPr>
        <w:t xml:space="preserve"> مطرح همواره بیش‌تر دانشجو محور و مطالعات موردی هستند تا این که شامل سخنرانی و جلسات درس باشند و تحصیل </w:t>
      </w:r>
      <w:r w:rsidRPr="0025250D">
        <w:rPr>
          <w:rtl/>
        </w:rPr>
        <w:t>آینده‌نگاری</w:t>
      </w:r>
      <w:r w:rsidRPr="0025250D">
        <w:rPr>
          <w:rFonts w:hint="cs"/>
          <w:rtl/>
        </w:rPr>
        <w:t xml:space="preserve"> آکادمیک باید از این مثال پیروی کند. برنامه‌های </w:t>
      </w:r>
      <w:r w:rsidRPr="0025250D">
        <w:rPr>
          <w:rtl/>
        </w:rPr>
        <w:t>آینده‌نگاری</w:t>
      </w:r>
      <w:r w:rsidRPr="0025250D">
        <w:rPr>
          <w:rFonts w:hint="cs"/>
          <w:rtl/>
        </w:rPr>
        <w:t xml:space="preserve"> در دانشگاه‌های معدودی که در آن‌ها وجود دارند، معمولا هم بودجه کمی دارند و هم به شکل ضعیفی با دیگر رشته‌ها درون دانشگاه، از جمله روانشناسی، </w:t>
      </w:r>
      <w:r w:rsidR="00B124DE" w:rsidRPr="0025250D">
        <w:rPr>
          <w:rFonts w:hint="cs"/>
          <w:rtl/>
        </w:rPr>
        <w:t>جامعه‌شناسی</w:t>
      </w:r>
      <w:r w:rsidRPr="0025250D">
        <w:rPr>
          <w:rFonts w:hint="cs"/>
          <w:rtl/>
        </w:rPr>
        <w:t xml:space="preserve">، مدیریت </w:t>
      </w:r>
      <w:r w:rsidR="00B124DE" w:rsidRPr="0025250D">
        <w:rPr>
          <w:rFonts w:hint="cs"/>
          <w:rtl/>
        </w:rPr>
        <w:t>کسب‌و‌کار</w:t>
      </w:r>
      <w:r w:rsidRPr="0025250D">
        <w:rPr>
          <w:rFonts w:hint="cs"/>
          <w:rtl/>
        </w:rPr>
        <w:t xml:space="preserve">، علوم سیاسی، سیاست‌های عمومی، مهندسی و غیره ادغام می‌شوند. آن‌ها اغلب بازاریابی ضعیفی برای دانشجویان </w:t>
      </w:r>
      <w:r w:rsidR="00D30084" w:rsidRPr="0025250D">
        <w:rPr>
          <w:rFonts w:hint="cs"/>
          <w:rtl/>
        </w:rPr>
        <w:t>آینده‌نگار</w:t>
      </w:r>
      <w:r w:rsidRPr="0025250D">
        <w:rPr>
          <w:rFonts w:hint="cs"/>
          <w:rtl/>
        </w:rPr>
        <w:t xml:space="preserve"> دارند و تعداد ثبت نام شوندگان در آن‌ها بسیار کم هستند.</w:t>
      </w:r>
    </w:p>
    <w:p w14:paraId="42F2923E" w14:textId="4D754DFC" w:rsidR="00537CC8" w:rsidRPr="0025250D" w:rsidRDefault="00537CC8" w:rsidP="00537CC8">
      <w:pPr>
        <w:rPr>
          <w:rtl/>
        </w:rPr>
      </w:pPr>
      <w:r w:rsidRPr="0025250D">
        <w:rPr>
          <w:rFonts w:hint="cs"/>
          <w:rtl/>
        </w:rPr>
        <w:t xml:space="preserve">بخشی از مشکل </w:t>
      </w:r>
      <w:r w:rsidRPr="0025250D">
        <w:rPr>
          <w:rtl/>
        </w:rPr>
        <w:t>آینده‌نگاری</w:t>
      </w:r>
      <w:r w:rsidRPr="0025250D">
        <w:rPr>
          <w:rFonts w:hint="cs"/>
          <w:rtl/>
        </w:rPr>
        <w:t xml:space="preserve"> آکادمیک، از دید ما، به رهبری دانشگاه بر می‌گردد. رهبران در بیش‌تر دانشگاه‌ها میزان بنیادی بودن یک </w:t>
      </w:r>
      <w:r w:rsidRPr="0025250D">
        <w:rPr>
          <w:rtl/>
        </w:rPr>
        <w:t>آینده‌نگاری</w:t>
      </w:r>
      <w:r w:rsidRPr="0025250D">
        <w:rPr>
          <w:rFonts w:hint="cs"/>
          <w:rtl/>
        </w:rPr>
        <w:t xml:space="preserve"> موضوعی برای جامعه و نقشی که تحصیلات و جامعه آکادمیک، حتی در </w:t>
      </w:r>
      <w:r w:rsidR="00B124DE" w:rsidRPr="0025250D">
        <w:rPr>
          <w:rFonts w:hint="cs"/>
          <w:rtl/>
        </w:rPr>
        <w:t>کسب‌و‌کار</w:t>
      </w:r>
      <w:r w:rsidRPr="0025250D">
        <w:rPr>
          <w:rFonts w:hint="cs"/>
          <w:rtl/>
        </w:rPr>
        <w:t xml:space="preserve"> باید برای </w:t>
      </w:r>
      <w:r w:rsidR="00B124DE" w:rsidRPr="0025250D">
        <w:rPr>
          <w:rFonts w:hint="cs"/>
          <w:rtl/>
        </w:rPr>
        <w:t>پایه‌گذار</w:t>
      </w:r>
      <w:r w:rsidRPr="0025250D">
        <w:rPr>
          <w:rFonts w:hint="cs"/>
          <w:rtl/>
        </w:rPr>
        <w:t xml:space="preserve">ی و پیش برد زمینه ما و نیز دیگر علوم اجتماعی (روانشناسی، </w:t>
      </w:r>
      <w:r w:rsidR="00B124DE" w:rsidRPr="0025250D">
        <w:rPr>
          <w:rFonts w:hint="cs"/>
          <w:rtl/>
        </w:rPr>
        <w:t>جامعه‌شناسی</w:t>
      </w:r>
      <w:r w:rsidRPr="0025250D">
        <w:rPr>
          <w:rFonts w:hint="cs"/>
          <w:rtl/>
        </w:rPr>
        <w:t>، اقتصاد و غیره) بازی کنند را تشخیص</w:t>
      </w:r>
      <w:r w:rsidR="00EE4B64" w:rsidRPr="0025250D">
        <w:rPr>
          <w:rFonts w:hint="cs"/>
          <w:rtl/>
        </w:rPr>
        <w:t xml:space="preserve"> نمی‌</w:t>
      </w:r>
      <w:r w:rsidRPr="0025250D">
        <w:rPr>
          <w:rFonts w:hint="cs"/>
          <w:rtl/>
        </w:rPr>
        <w:t xml:space="preserve">دهند. روانشناسی، در حقیقت، بخشی </w:t>
      </w:r>
      <w:r w:rsidR="0008779C" w:rsidRPr="0025250D">
        <w:rPr>
          <w:rFonts w:hint="cs"/>
          <w:rtl/>
        </w:rPr>
        <w:t>ایدئال</w:t>
      </w:r>
      <w:r w:rsidRPr="0025250D">
        <w:rPr>
          <w:rFonts w:hint="cs"/>
          <w:rtl/>
        </w:rPr>
        <w:t xml:space="preserve"> برای میزبانی از یک برنامه </w:t>
      </w:r>
      <w:r w:rsidRPr="0025250D">
        <w:rPr>
          <w:rtl/>
        </w:rPr>
        <w:t>آینده‌نگاری</w:t>
      </w:r>
      <w:r w:rsidRPr="0025250D">
        <w:rPr>
          <w:rFonts w:hint="cs"/>
          <w:rtl/>
        </w:rPr>
        <w:t xml:space="preserve"> و مرکز </w:t>
      </w:r>
      <w:r w:rsidRPr="0025250D">
        <w:rPr>
          <w:rtl/>
        </w:rPr>
        <w:t>آینده‌نگاری</w:t>
      </w:r>
      <w:r w:rsidRPr="0025250D">
        <w:rPr>
          <w:rFonts w:hint="cs"/>
          <w:rtl/>
        </w:rPr>
        <w:t xml:space="preserve"> خوب است، زیرا تحقیقات عملی تجربی</w:t>
      </w:r>
      <w:r w:rsidR="00FC714F" w:rsidRPr="0025250D">
        <w:rPr>
          <w:rFonts w:hint="cs"/>
          <w:rtl/>
        </w:rPr>
        <w:t xml:space="preserve"> </w:t>
      </w:r>
      <w:r w:rsidRPr="0025250D">
        <w:rPr>
          <w:rFonts w:hint="cs"/>
          <w:rtl/>
        </w:rPr>
        <w:t xml:space="preserve">زیادی </w:t>
      </w:r>
      <w:r w:rsidR="00FC714F" w:rsidRPr="0025250D">
        <w:rPr>
          <w:rFonts w:hint="cs"/>
          <w:rtl/>
        </w:rPr>
        <w:t>می‌</w:t>
      </w:r>
      <w:r w:rsidRPr="0025250D">
        <w:rPr>
          <w:rFonts w:hint="cs"/>
          <w:rtl/>
        </w:rPr>
        <w:t>توانند درمورد این که چگونه تیم‌ها و افراد به آینده نگاه کرده و آن را تحلیل می‌کنند، انجام شوند. روانشناسی تفکر درمورد آینده</w:t>
      </w:r>
      <w:r w:rsidRPr="0025250D">
        <w:rPr>
          <w:vertAlign w:val="superscript"/>
          <w:rtl/>
        </w:rPr>
        <w:footnoteReference w:id="1468"/>
      </w:r>
      <w:r w:rsidRPr="0025250D">
        <w:rPr>
          <w:rFonts w:hint="cs"/>
          <w:rtl/>
        </w:rPr>
        <w:t xml:space="preserve"> اثر </w:t>
      </w:r>
      <w:r w:rsidRPr="0025250D">
        <w:rPr>
          <w:rtl/>
        </w:rPr>
        <w:t>اوت</w:t>
      </w:r>
      <w:r w:rsidRPr="0025250D">
        <w:rPr>
          <w:rFonts w:hint="cs"/>
          <w:rtl/>
        </w:rPr>
        <w:t>ی</w:t>
      </w:r>
      <w:r w:rsidRPr="0025250D">
        <w:rPr>
          <w:rFonts w:hint="eastAsia"/>
          <w:rtl/>
        </w:rPr>
        <w:t>نگن</w:t>
      </w:r>
      <w:r w:rsidRPr="0025250D">
        <w:rPr>
          <w:rFonts w:hint="cs"/>
          <w:rtl/>
        </w:rPr>
        <w:t xml:space="preserve"> و همکاران در سال 2019 را،</w:t>
      </w:r>
      <w:r w:rsidR="0063099E" w:rsidRPr="0025250D">
        <w:rPr>
          <w:rtl/>
        </w:rPr>
        <w:t xml:space="preserve"> برا</w:t>
      </w:r>
      <w:r w:rsidR="0063099E" w:rsidRPr="0025250D">
        <w:rPr>
          <w:rFonts w:hint="cs"/>
          <w:rtl/>
        </w:rPr>
        <w:t>ی</w:t>
      </w:r>
      <w:r w:rsidRPr="0025250D">
        <w:rPr>
          <w:rFonts w:hint="cs"/>
          <w:rtl/>
        </w:rPr>
        <w:t xml:space="preserve"> تحقیقات مربوط به این که چگونه می‌توانیم به خوبی یا خیلی ضعیف درمورد آینده تفکر کنیم، بینید. </w:t>
      </w:r>
      <w:r w:rsidR="00FC714F" w:rsidRPr="0025250D">
        <w:rPr>
          <w:rFonts w:hint="cs"/>
          <w:rtl/>
        </w:rPr>
        <w:t>در حال حاضر</w:t>
      </w:r>
      <w:r w:rsidR="00FC714F" w:rsidRPr="0025250D">
        <w:rPr>
          <w:rtl/>
        </w:rPr>
        <w:t xml:space="preserve"> </w:t>
      </w:r>
      <w:r w:rsidR="00FC714F" w:rsidRPr="0025250D">
        <w:rPr>
          <w:rFonts w:hint="cs"/>
          <w:rtl/>
        </w:rPr>
        <w:t xml:space="preserve">تا جایی که ما می‌دانیم، </w:t>
      </w:r>
      <w:r w:rsidRPr="0025250D">
        <w:rPr>
          <w:rFonts w:hint="cs"/>
          <w:rtl/>
        </w:rPr>
        <w:t xml:space="preserve">هیچ یک از این تحقیقات حیاتی درون هیچ برنامه کسب مدرک </w:t>
      </w:r>
      <w:r w:rsidRPr="0025250D">
        <w:rPr>
          <w:rtl/>
        </w:rPr>
        <w:t>آینده‌نگاری</w:t>
      </w:r>
      <w:r w:rsidRPr="0025250D">
        <w:rPr>
          <w:rFonts w:hint="cs"/>
          <w:rtl/>
        </w:rPr>
        <w:t xml:space="preserve"> در هیچ دانشگاهی انجام</w:t>
      </w:r>
      <w:r w:rsidR="00EE4B64" w:rsidRPr="0025250D">
        <w:rPr>
          <w:rFonts w:hint="cs"/>
          <w:rtl/>
        </w:rPr>
        <w:t xml:space="preserve"> نمی‌</w:t>
      </w:r>
      <w:r w:rsidRPr="0025250D">
        <w:rPr>
          <w:rFonts w:hint="cs"/>
          <w:rtl/>
        </w:rPr>
        <w:t>شوند.</w:t>
      </w:r>
    </w:p>
    <w:p w14:paraId="6EE119FB" w14:textId="58CE8C3B" w:rsidR="00537CC8" w:rsidRPr="0025250D" w:rsidRDefault="00537CC8" w:rsidP="00537CC8">
      <w:pPr>
        <w:rPr>
          <w:rtl/>
        </w:rPr>
      </w:pPr>
      <w:r w:rsidRPr="0025250D">
        <w:rPr>
          <w:rFonts w:hint="cs"/>
          <w:rtl/>
        </w:rPr>
        <w:t xml:space="preserve">رهبران دانشگاهی که ارزش </w:t>
      </w:r>
      <w:r w:rsidRPr="0025250D">
        <w:rPr>
          <w:rtl/>
        </w:rPr>
        <w:t>آینده‌نگاری</w:t>
      </w:r>
      <w:r w:rsidRPr="0025250D">
        <w:rPr>
          <w:rFonts w:hint="cs"/>
          <w:rtl/>
        </w:rPr>
        <w:t xml:space="preserve"> برای موفقیت فردی و پیشرفت اجتماعی را تشخیص می‌دهند، باید روش‌ها و محتوای پایه‌ای </w:t>
      </w:r>
      <w:r w:rsidRPr="0025250D">
        <w:rPr>
          <w:rtl/>
        </w:rPr>
        <w:t>آینده‌نگاری</w:t>
      </w:r>
      <w:r w:rsidRPr="0025250D">
        <w:rPr>
          <w:rFonts w:hint="cs"/>
          <w:rtl/>
        </w:rPr>
        <w:t xml:space="preserve"> را در همه دوره‌های دانشگاهی ادغام کنند. آن‌ها باید از </w:t>
      </w:r>
      <w:r w:rsidR="00B13F65" w:rsidRPr="0025250D">
        <w:rPr>
          <w:rFonts w:hint="cs"/>
          <w:rtl/>
        </w:rPr>
        <w:t>چارچوب</w:t>
      </w:r>
      <w:r w:rsidRPr="0025250D">
        <w:rPr>
          <w:rFonts w:hint="cs"/>
          <w:rtl/>
        </w:rPr>
        <w:t xml:space="preserve">‌هایی برای ارزیابی کیفیت برنامه درسی </w:t>
      </w:r>
      <w:r w:rsidRPr="0025250D">
        <w:rPr>
          <w:rtl/>
        </w:rPr>
        <w:t>آینده‌نگاری</w:t>
      </w:r>
      <w:r w:rsidRPr="0025250D">
        <w:rPr>
          <w:rFonts w:hint="cs"/>
          <w:rtl/>
        </w:rPr>
        <w:t xml:space="preserve"> و </w:t>
      </w:r>
      <w:r w:rsidRPr="0025250D">
        <w:rPr>
          <w:rtl/>
        </w:rPr>
        <w:t>آینده‌نگاری</w:t>
      </w:r>
      <w:r w:rsidRPr="0025250D">
        <w:rPr>
          <w:rFonts w:hint="cs"/>
          <w:rtl/>
        </w:rPr>
        <w:t xml:space="preserve"> تولیدی دانشجویان نیز بهره گیرند. مدل‌های محک کم تعدادی، مانند دانشگاه تامکانگ در تایوان، همه دانشجویان سال آخر و تحصیلات تکمیلی خود را به اخذ سه واحد درسی درمورد روش‌های </w:t>
      </w:r>
      <w:r w:rsidRPr="0025250D">
        <w:rPr>
          <w:rtl/>
        </w:rPr>
        <w:t>آینده‌نگاری</w:t>
      </w:r>
      <w:r w:rsidRPr="0025250D">
        <w:rPr>
          <w:rFonts w:hint="cs"/>
          <w:rtl/>
        </w:rPr>
        <w:t xml:space="preserve"> یا آینده‌پژوهی ملزم می‌دارند</w:t>
      </w:r>
      <w:r w:rsidR="008D6F97" w:rsidRPr="0025250D">
        <w:rPr>
          <w:rtl/>
        </w:rPr>
        <w:t xml:space="preserve">؛ </w:t>
      </w:r>
      <w:r w:rsidRPr="0025250D">
        <w:rPr>
          <w:rFonts w:hint="cs"/>
          <w:rtl/>
        </w:rPr>
        <w:t>اما بیش‌تر دانشگاه‌ها دانشجویان خود را ملزم به یادگیری موارد پایه‌ای حتی به اندازه یک سوم از موضوعات موجود در این کتاب</w:t>
      </w:r>
      <w:r w:rsidR="00EE4B64" w:rsidRPr="0025250D">
        <w:rPr>
          <w:rFonts w:hint="cs"/>
          <w:rtl/>
        </w:rPr>
        <w:t xml:space="preserve"> نمی‌</w:t>
      </w:r>
      <w:r w:rsidRPr="0025250D">
        <w:rPr>
          <w:rFonts w:hint="cs"/>
          <w:rtl/>
        </w:rPr>
        <w:t>دارند.</w:t>
      </w:r>
    </w:p>
    <w:p w14:paraId="4CAE9AA2" w14:textId="5E386F32" w:rsidR="00537CC8" w:rsidRPr="0025250D" w:rsidRDefault="00537CC8" w:rsidP="00537CC8">
      <w:pPr>
        <w:rPr>
          <w:rtl/>
        </w:rPr>
      </w:pPr>
      <w:r w:rsidRPr="0025250D">
        <w:rPr>
          <w:rFonts w:hint="cs"/>
          <w:rtl/>
        </w:rPr>
        <w:t xml:space="preserve">از نظر ما، هر دوره‌ای که یک دانشجو در دانشگاهی مدرن اخذ می‌کند باید محتوا و تمریناتی داشته باشد که از دانشجو بخواهد آینده‌های محتمل، ممکن، مرجح و قابل اجتناب آن موضوع را ارزیابی کند. کتاب‌های زیادی چند صفحه‌ای درمورد </w:t>
      </w:r>
      <w:r w:rsidR="0063099E" w:rsidRPr="0025250D">
        <w:rPr>
          <w:rtl/>
        </w:rPr>
        <w:t>«</w:t>
      </w:r>
      <w:r w:rsidRPr="0025250D">
        <w:rPr>
          <w:rFonts w:hint="cs"/>
          <w:rtl/>
        </w:rPr>
        <w:t>آینده حوزه</w:t>
      </w:r>
      <w:r w:rsidRPr="0025250D">
        <w:rPr>
          <w:vertAlign w:val="superscript"/>
          <w:rtl/>
        </w:rPr>
        <w:footnoteReference w:id="1469"/>
      </w:r>
      <w:r w:rsidR="0063099E" w:rsidRPr="0025250D">
        <w:rPr>
          <w:rtl/>
        </w:rPr>
        <w:t>»</w:t>
      </w:r>
      <w:r w:rsidRPr="0025250D">
        <w:rPr>
          <w:rFonts w:hint="cs"/>
          <w:rtl/>
        </w:rPr>
        <w:t xml:space="preserve"> در پایان خود دارند و برخی اساتید به صورت داوطلبانه و خیرخاهانه‌ای یک یا دو جلسه در یک دوره 10 تا 15 جلسه درس دانشگاهی را به آینده موضوع تدریس خود اختصاص می‌دهند</w:t>
      </w:r>
      <w:r w:rsidR="008D6F97" w:rsidRPr="0025250D">
        <w:rPr>
          <w:rtl/>
        </w:rPr>
        <w:t xml:space="preserve">؛ </w:t>
      </w:r>
      <w:r w:rsidRPr="0025250D">
        <w:rPr>
          <w:rFonts w:hint="cs"/>
          <w:rtl/>
        </w:rPr>
        <w:t xml:space="preserve">اما در نظر گرفتن </w:t>
      </w:r>
      <w:r w:rsidRPr="0025250D">
        <w:rPr>
          <w:rtl/>
        </w:rPr>
        <w:t>آینده‌نگاری</w:t>
      </w:r>
      <w:r w:rsidRPr="0025250D">
        <w:rPr>
          <w:rFonts w:hint="cs"/>
          <w:rtl/>
        </w:rPr>
        <w:t xml:space="preserve"> تنها به‌عنوان یک سرپوش، نه به‌عنوان یک تمرین مهم در طول دوره درسی، به شکلی قابل </w:t>
      </w:r>
      <w:r w:rsidR="00D92F6E" w:rsidRPr="0025250D">
        <w:rPr>
          <w:rFonts w:hint="cs"/>
          <w:rtl/>
        </w:rPr>
        <w:t>پیش‌بین</w:t>
      </w:r>
      <w:r w:rsidRPr="0025250D">
        <w:rPr>
          <w:rFonts w:hint="cs"/>
          <w:rtl/>
        </w:rPr>
        <w:t xml:space="preserve">ی تفکر، بحث و اقدامات </w:t>
      </w:r>
      <w:r w:rsidR="00D30084" w:rsidRPr="0025250D">
        <w:rPr>
          <w:rFonts w:hint="cs"/>
          <w:rtl/>
        </w:rPr>
        <w:t>آینده‌نگار</w:t>
      </w:r>
      <w:r w:rsidRPr="0025250D">
        <w:rPr>
          <w:rFonts w:hint="cs"/>
          <w:rtl/>
        </w:rPr>
        <w:t xml:space="preserve">انه محدود و کم کیفیتی را تولید می‌کند. آینده یک ضلع از سه گانه زمانی روانشناسی است. آینده‌نگاری شایسته </w:t>
      </w:r>
      <w:r w:rsidR="00B13F65" w:rsidRPr="0025250D">
        <w:rPr>
          <w:rFonts w:hint="cs"/>
          <w:rtl/>
        </w:rPr>
        <w:t>یکپارچه‌سازی</w:t>
      </w:r>
      <w:r w:rsidRPr="0025250D">
        <w:rPr>
          <w:rFonts w:hint="cs"/>
          <w:rtl/>
        </w:rPr>
        <w:t xml:space="preserve"> درون برنامه درسی دانشگاهی و در هر برنامه یادگیری و توسعه‌ای در سازمان می‌باشد.</w:t>
      </w:r>
    </w:p>
    <w:p w14:paraId="616F1AC8" w14:textId="02C379E2" w:rsidR="00537CC8" w:rsidRPr="0025250D" w:rsidRDefault="00537CC8" w:rsidP="00537CC8">
      <w:pPr>
        <w:rPr>
          <w:rtl/>
        </w:rPr>
      </w:pPr>
      <w:r w:rsidRPr="0025250D">
        <w:rPr>
          <w:rFonts w:hint="cs"/>
          <w:rtl/>
        </w:rPr>
        <w:t xml:space="preserve">ما باید همچنین راز آشکار </w:t>
      </w:r>
      <w:r w:rsidRPr="0025250D">
        <w:rPr>
          <w:rtl/>
        </w:rPr>
        <w:t>آینده‌نگاری</w:t>
      </w:r>
      <w:r w:rsidRPr="0025250D">
        <w:rPr>
          <w:rFonts w:hint="cs"/>
          <w:rtl/>
        </w:rPr>
        <w:t xml:space="preserve"> را به یاد داشته باشیم. این تنها تا حدی می‌تواند مفید باشد. سپری کردن زمان بیش از حد برای تفکر درمورد آینده یا ایجاد </w:t>
      </w:r>
      <w:r w:rsidR="00701E03" w:rsidRPr="0025250D">
        <w:rPr>
          <w:rFonts w:hint="cs"/>
          <w:rtl/>
        </w:rPr>
        <w:t>راهبرد</w:t>
      </w:r>
      <w:r w:rsidRPr="0025250D">
        <w:rPr>
          <w:rFonts w:hint="cs"/>
          <w:rtl/>
        </w:rPr>
        <w:t xml:space="preserve">‌هایی برای آینده در هر دوره آموزشی نتایج به شدت رو به افولی خواهد داشت. یک دوره خوب به شکل ادامه داری </w:t>
      </w:r>
      <w:r w:rsidR="00923DDB" w:rsidRPr="0025250D">
        <w:rPr>
          <w:rFonts w:hint="cs"/>
          <w:rtl/>
        </w:rPr>
        <w:t>دانشجویان</w:t>
      </w:r>
      <w:r w:rsidRPr="0025250D">
        <w:rPr>
          <w:rFonts w:hint="cs"/>
          <w:rtl/>
        </w:rPr>
        <w:t xml:space="preserve"> را در میان 8 مهارت انتقال داده و </w:t>
      </w:r>
      <w:r w:rsidRPr="0025250D">
        <w:rPr>
          <w:rtl/>
        </w:rPr>
        <w:t>آینده‌نگاری</w:t>
      </w:r>
      <w:r w:rsidRPr="0025250D">
        <w:rPr>
          <w:rFonts w:hint="cs"/>
          <w:rtl/>
        </w:rPr>
        <w:t xml:space="preserve"> و عمل را متوازن می‌کند. این دوره‌ها نیز مانند برنامه‌های تحصیلات تکمیلی </w:t>
      </w:r>
      <w:r w:rsidRPr="0025250D">
        <w:rPr>
          <w:rtl/>
        </w:rPr>
        <w:t>آینده‌نگاری</w:t>
      </w:r>
      <w:r w:rsidRPr="0025250D">
        <w:rPr>
          <w:rFonts w:hint="cs"/>
          <w:rtl/>
        </w:rPr>
        <w:t xml:space="preserve"> باید همگی از نظر برآمد ارزیابی شوند. یک هیئت علمی باید همواره بپرسد که یادگیری، فعالیت‌ها، منابع و جوامع این برنامه چگونه به موفقیت آینده دانشجو و سازمان او کمک </w:t>
      </w:r>
      <w:r w:rsidR="007118DE" w:rsidRPr="0025250D">
        <w:rPr>
          <w:rFonts w:hint="cs"/>
          <w:rtl/>
        </w:rPr>
        <w:t>کرده‌اند</w:t>
      </w:r>
      <w:r w:rsidRPr="0025250D">
        <w:rPr>
          <w:rFonts w:hint="cs"/>
          <w:rtl/>
        </w:rPr>
        <w:t xml:space="preserve"> یا اصلا کمک ن</w:t>
      </w:r>
      <w:r w:rsidR="007118DE" w:rsidRPr="0025250D">
        <w:rPr>
          <w:rFonts w:hint="cs"/>
          <w:rtl/>
        </w:rPr>
        <w:t>کرده‌اند</w:t>
      </w:r>
      <w:r w:rsidRPr="0025250D">
        <w:rPr>
          <w:rFonts w:hint="cs"/>
          <w:rtl/>
        </w:rPr>
        <w:t>؟</w:t>
      </w:r>
    </w:p>
    <w:p w14:paraId="7E635400" w14:textId="2089212F" w:rsidR="00537CC8" w:rsidRPr="0025250D" w:rsidRDefault="00537CC8" w:rsidP="00537CC8">
      <w:pPr>
        <w:rPr>
          <w:rtl/>
        </w:rPr>
      </w:pPr>
      <w:r w:rsidRPr="0025250D">
        <w:rPr>
          <w:rFonts w:hint="cs"/>
          <w:rtl/>
        </w:rPr>
        <w:t>چهار سطح ارزیابی یادگیری</w:t>
      </w:r>
      <w:r w:rsidRPr="0025250D">
        <w:rPr>
          <w:vertAlign w:val="superscript"/>
          <w:rtl/>
        </w:rPr>
        <w:footnoteReference w:id="1470"/>
      </w:r>
      <w:r w:rsidRPr="0025250D">
        <w:rPr>
          <w:rFonts w:hint="cs"/>
          <w:rtl/>
        </w:rPr>
        <w:t xml:space="preserve"> اثر آموزش دهنده </w:t>
      </w:r>
      <w:r w:rsidRPr="0025250D">
        <w:rPr>
          <w:rtl/>
        </w:rPr>
        <w:t>دونالد کرک پاتر</w:t>
      </w:r>
      <w:r w:rsidRPr="0025250D">
        <w:rPr>
          <w:rFonts w:hint="cs"/>
          <w:rtl/>
        </w:rPr>
        <w:t>ی</w:t>
      </w:r>
      <w:r w:rsidRPr="0025250D">
        <w:rPr>
          <w:rFonts w:hint="eastAsia"/>
          <w:rtl/>
        </w:rPr>
        <w:t>ک</w:t>
      </w:r>
      <w:r w:rsidRPr="0025250D">
        <w:rPr>
          <w:vertAlign w:val="superscript"/>
          <w:rtl/>
        </w:rPr>
        <w:footnoteReference w:id="1471"/>
      </w:r>
      <w:r w:rsidRPr="0025250D">
        <w:rPr>
          <w:rFonts w:hint="cs"/>
          <w:rtl/>
        </w:rPr>
        <w:t xml:space="preserve"> یک مدل اولیه خوب برای ارزیابی ارزش برآمد آموزش </w:t>
      </w:r>
      <w:r w:rsidRPr="0025250D">
        <w:rPr>
          <w:rtl/>
        </w:rPr>
        <w:t>آینده‌نگاری</w:t>
      </w:r>
      <w:r w:rsidRPr="0025250D">
        <w:rPr>
          <w:rFonts w:hint="cs"/>
          <w:rtl/>
        </w:rPr>
        <w:t xml:space="preserve">، چه در یک سازمان و چه در یک دانشکده یا آموزشکده اعطا کننده مدرک ارائه می‌دهد. </w:t>
      </w:r>
      <w:r w:rsidRPr="0025250D">
        <w:rPr>
          <w:rtl/>
        </w:rPr>
        <w:t>کرک پاتر</w:t>
      </w:r>
      <w:r w:rsidRPr="0025250D">
        <w:rPr>
          <w:rFonts w:hint="cs"/>
          <w:rtl/>
        </w:rPr>
        <w:t>ی</w:t>
      </w:r>
      <w:r w:rsidRPr="0025250D">
        <w:rPr>
          <w:rFonts w:hint="eastAsia"/>
          <w:rtl/>
        </w:rPr>
        <w:t>ک</w:t>
      </w:r>
      <w:r w:rsidRPr="0025250D">
        <w:rPr>
          <w:rFonts w:hint="cs"/>
          <w:rtl/>
        </w:rPr>
        <w:t xml:space="preserve"> رئیس سابق </w:t>
      </w:r>
      <w:r w:rsidRPr="0025250D">
        <w:rPr>
          <w:rtl/>
        </w:rPr>
        <w:t>انجمن آمر</w:t>
      </w:r>
      <w:r w:rsidRPr="0025250D">
        <w:rPr>
          <w:rFonts w:hint="cs"/>
          <w:rtl/>
        </w:rPr>
        <w:t>ی</w:t>
      </w:r>
      <w:r w:rsidRPr="0025250D">
        <w:rPr>
          <w:rFonts w:hint="eastAsia"/>
          <w:rtl/>
        </w:rPr>
        <w:t>کا</w:t>
      </w:r>
      <w:r w:rsidRPr="0025250D">
        <w:rPr>
          <w:rFonts w:hint="cs"/>
          <w:rtl/>
        </w:rPr>
        <w:t>یی</w:t>
      </w:r>
      <w:r w:rsidRPr="0025250D">
        <w:rPr>
          <w:rtl/>
        </w:rPr>
        <w:t xml:space="preserve"> برا</w:t>
      </w:r>
      <w:r w:rsidRPr="0025250D">
        <w:rPr>
          <w:rFonts w:hint="cs"/>
          <w:rtl/>
        </w:rPr>
        <w:t>ی</w:t>
      </w:r>
      <w:r w:rsidRPr="0025250D">
        <w:rPr>
          <w:rtl/>
        </w:rPr>
        <w:t xml:space="preserve"> آموزش و توسعه</w:t>
      </w:r>
      <w:r w:rsidRPr="0025250D">
        <w:rPr>
          <w:vertAlign w:val="superscript"/>
          <w:rtl/>
        </w:rPr>
        <w:footnoteReference w:id="1472"/>
      </w:r>
      <w:r w:rsidRPr="0025250D">
        <w:rPr>
          <w:rFonts w:hint="cs"/>
          <w:rtl/>
        </w:rPr>
        <w:t xml:space="preserve"> (</w:t>
      </w:r>
      <w:r w:rsidRPr="0025250D">
        <w:t>ASTD</w:t>
      </w:r>
      <w:r w:rsidRPr="0025250D">
        <w:rPr>
          <w:rFonts w:hint="cs"/>
          <w:rtl/>
        </w:rPr>
        <w:t>) بود. او پیشنهاد می‌کند که همه برنامه‌های یادگیری به صورت چرخه‌ای خودشان را ارزیابی کنند و به صورت خارجی، به چهار شکل قابل اندازه گیری ارزیابی شوند:</w:t>
      </w:r>
    </w:p>
    <w:p w14:paraId="439A930A" w14:textId="77777777" w:rsidR="00537CC8" w:rsidRPr="0025250D" w:rsidRDefault="00537CC8" w:rsidP="00492C47">
      <w:pPr>
        <w:numPr>
          <w:ilvl w:val="0"/>
          <w:numId w:val="36"/>
        </w:numPr>
        <w:rPr>
          <w:rtl/>
        </w:rPr>
      </w:pPr>
      <w:r w:rsidRPr="0025250D">
        <w:rPr>
          <w:rFonts w:hint="cs"/>
          <w:b/>
          <w:bCs/>
          <w:rtl/>
        </w:rPr>
        <w:t>واکنش</w:t>
      </w:r>
      <w:r w:rsidRPr="0025250D">
        <w:rPr>
          <w:rFonts w:hint="cs"/>
          <w:rtl/>
        </w:rPr>
        <w:t>. دانشجو چه حس و نظری درمورد آموزش داشت؟ این امر باید با نظر سنجی‌های قبل و بعد از آموزش اندازه گیری شود.</w:t>
      </w:r>
    </w:p>
    <w:p w14:paraId="1C07B709" w14:textId="77777777" w:rsidR="00537CC8" w:rsidRPr="0025250D" w:rsidRDefault="00537CC8" w:rsidP="00492C47">
      <w:pPr>
        <w:numPr>
          <w:ilvl w:val="0"/>
          <w:numId w:val="36"/>
        </w:numPr>
        <w:rPr>
          <w:rtl/>
        </w:rPr>
      </w:pPr>
      <w:r w:rsidRPr="0025250D">
        <w:rPr>
          <w:rFonts w:hint="cs"/>
          <w:b/>
          <w:bCs/>
          <w:rtl/>
        </w:rPr>
        <w:t>یادگیری</w:t>
      </w:r>
      <w:r w:rsidRPr="0025250D">
        <w:rPr>
          <w:rFonts w:hint="cs"/>
          <w:rtl/>
        </w:rPr>
        <w:t>. چه تغییرات علمی، مهارتی و ذهنیتی رخ دادند؟ این امر باید با آزمون‌های قبل و بعد از آموزش اندازه گیری شود. برای ذهنیت‌ها، ارزیابی می‌تواند بااستفاده از پرسش‌های دارای پاسخ‌های کوتاه اندازه گیری شود.</w:t>
      </w:r>
    </w:p>
    <w:p w14:paraId="6F0583EC" w14:textId="576454B5" w:rsidR="00537CC8" w:rsidRPr="0025250D" w:rsidRDefault="00537CC8" w:rsidP="00492C47">
      <w:pPr>
        <w:numPr>
          <w:ilvl w:val="0"/>
          <w:numId w:val="36"/>
        </w:numPr>
        <w:rPr>
          <w:rtl/>
        </w:rPr>
      </w:pPr>
      <w:r w:rsidRPr="0025250D">
        <w:rPr>
          <w:rFonts w:hint="cs"/>
          <w:b/>
          <w:bCs/>
          <w:rtl/>
        </w:rPr>
        <w:t>رفتار</w:t>
      </w:r>
      <w:r w:rsidRPr="0025250D">
        <w:rPr>
          <w:rFonts w:hint="cs"/>
          <w:rtl/>
        </w:rPr>
        <w:t xml:space="preserve">. رفتار دانشجو در نتیجه آموزش چگونه تغییر کرد؟ این ارزیابی باید </w:t>
      </w:r>
      <w:r w:rsidR="0063099E" w:rsidRPr="0025250D">
        <w:rPr>
          <w:rtl/>
        </w:rPr>
        <w:t>«</w:t>
      </w:r>
      <w:r w:rsidRPr="0025250D">
        <w:rPr>
          <w:rFonts w:hint="cs"/>
          <w:rtl/>
        </w:rPr>
        <w:t>در شغل فرد</w:t>
      </w:r>
      <w:r w:rsidR="0063099E" w:rsidRPr="0025250D">
        <w:rPr>
          <w:rtl/>
        </w:rPr>
        <w:t>»</w:t>
      </w:r>
      <w:r w:rsidRPr="0025250D">
        <w:rPr>
          <w:rFonts w:hint="cs"/>
          <w:rtl/>
        </w:rPr>
        <w:t>، سه تا 6 ماه پس از آموزش، برای توصیف و اندازه گیری تغییر پایدارِ قابل مشاهده انجام شود.</w:t>
      </w:r>
    </w:p>
    <w:p w14:paraId="41A2E2A8" w14:textId="2936459E" w:rsidR="00537CC8" w:rsidRPr="0025250D" w:rsidRDefault="00537CC8" w:rsidP="00492C47">
      <w:pPr>
        <w:numPr>
          <w:ilvl w:val="0"/>
          <w:numId w:val="36"/>
        </w:numPr>
        <w:rPr>
          <w:rtl/>
        </w:rPr>
      </w:pPr>
      <w:r w:rsidRPr="0025250D">
        <w:rPr>
          <w:b/>
          <w:bCs/>
        </w:rPr>
        <w:t>ROI</w:t>
      </w:r>
      <w:r w:rsidRPr="0025250D">
        <w:rPr>
          <w:rFonts w:hint="cs"/>
          <w:b/>
          <w:bCs/>
          <w:rtl/>
        </w:rPr>
        <w:t xml:space="preserve"> (بازگشت سرمایه).</w:t>
      </w:r>
      <w:r w:rsidRPr="0025250D">
        <w:rPr>
          <w:rFonts w:hint="cs"/>
          <w:rtl/>
        </w:rPr>
        <w:t xml:space="preserve"> برآمدهای مفید، به‌عنوان تابعی از تلاش و پول </w:t>
      </w:r>
      <w:r w:rsidR="00F50EB4" w:rsidRPr="0025250D">
        <w:rPr>
          <w:rFonts w:hint="cs"/>
          <w:rtl/>
        </w:rPr>
        <w:t>سرمایه‌گذاری</w:t>
      </w:r>
      <w:r w:rsidRPr="0025250D">
        <w:rPr>
          <w:rFonts w:hint="cs"/>
          <w:rtl/>
        </w:rPr>
        <w:t xml:space="preserve"> شده چه بودند؟ چه تغییراتی در عملکرد شغلی (توانایی)، پاداش (دستمزد، شهرت)، یا </w:t>
      </w:r>
      <w:r w:rsidR="00B124DE" w:rsidRPr="0025250D">
        <w:rPr>
          <w:rFonts w:hint="cs"/>
          <w:rtl/>
        </w:rPr>
        <w:t>انطباق‌پذیر</w:t>
      </w:r>
      <w:r w:rsidRPr="0025250D">
        <w:rPr>
          <w:rFonts w:hint="cs"/>
          <w:rtl/>
        </w:rPr>
        <w:t xml:space="preserve">ی (موفقیت) رخ دادند؟ برنامه چگونه می‌توانست </w:t>
      </w:r>
      <w:r w:rsidRPr="0025250D">
        <w:t>ROI</w:t>
      </w:r>
      <w:r w:rsidRPr="0025250D">
        <w:rPr>
          <w:rFonts w:hint="cs"/>
          <w:rtl/>
        </w:rPr>
        <w:t xml:space="preserve"> خود را در هر یک از برآمدهای خود بهتر کند؟ آیا هیچ برنامه دیگری </w:t>
      </w:r>
      <w:r w:rsidRPr="0025250D">
        <w:t>ROI</w:t>
      </w:r>
      <w:r w:rsidRPr="0025250D">
        <w:rPr>
          <w:rFonts w:hint="cs"/>
          <w:rtl/>
        </w:rPr>
        <w:t xml:space="preserve"> بهتری، به طور خاص یا کلی، به‌عنوان یک مثال محک برای تغییر ارائه می‌دهد یا خیر؟</w:t>
      </w:r>
    </w:p>
    <w:p w14:paraId="20DE0C7E" w14:textId="18F6405C" w:rsidR="00537CC8" w:rsidRPr="0025250D" w:rsidRDefault="00537CC8" w:rsidP="00537CC8">
      <w:pPr>
        <w:rPr>
          <w:rtl/>
        </w:rPr>
      </w:pPr>
      <w:r w:rsidRPr="0025250D">
        <w:rPr>
          <w:rtl/>
        </w:rPr>
        <w:t>کرک پاتر</w:t>
      </w:r>
      <w:r w:rsidRPr="0025250D">
        <w:rPr>
          <w:rFonts w:hint="cs"/>
          <w:rtl/>
        </w:rPr>
        <w:t>ی</w:t>
      </w:r>
      <w:r w:rsidRPr="0025250D">
        <w:rPr>
          <w:rFonts w:hint="eastAsia"/>
          <w:rtl/>
        </w:rPr>
        <w:t>ک</w:t>
      </w:r>
      <w:r w:rsidRPr="0025250D">
        <w:rPr>
          <w:rFonts w:hint="cs"/>
          <w:rtl/>
        </w:rPr>
        <w:t xml:space="preserve"> به ما می‌گوید که سطوح 3 و 4 (رفتار و </w:t>
      </w:r>
      <w:r w:rsidRPr="0025250D">
        <w:t>ROI</w:t>
      </w:r>
      <w:r w:rsidRPr="0025250D">
        <w:rPr>
          <w:rFonts w:hint="cs"/>
          <w:rtl/>
        </w:rPr>
        <w:t xml:space="preserve">) به بهترین شکل توسط افرادی که تحت تاثیر آموزش قرار می‌گیرند، مانند استفاده از یک ارزیابی عملکرد 360 درجه‌ای، ارزیابی می‌شوند؛ نه توسط آموزش دهندگان یا حتی دانشجویان. اگر برنامه‌های آموزش </w:t>
      </w:r>
      <w:r w:rsidRPr="0025250D">
        <w:rPr>
          <w:rtl/>
        </w:rPr>
        <w:t>آینده‌نگاری</w:t>
      </w:r>
      <w:r w:rsidRPr="0025250D">
        <w:rPr>
          <w:rFonts w:hint="cs"/>
          <w:rtl/>
        </w:rPr>
        <w:t xml:space="preserve"> چنین ارزیابی‌هایی ارائه ندهند، می‌توانیم با پرسیدن این سؤالات از خود، مدیرانمان و گزارشات مستقیم</w:t>
      </w:r>
      <w:r w:rsidR="0082018C" w:rsidRPr="0025250D">
        <w:rPr>
          <w:rFonts w:hint="cs"/>
          <w:rtl/>
        </w:rPr>
        <w:t>‌</w:t>
      </w:r>
      <w:r w:rsidRPr="0025250D">
        <w:rPr>
          <w:rFonts w:hint="cs"/>
          <w:rtl/>
        </w:rPr>
        <w:t>مان خودارزیابی انجام دهیم. اگر پاسخ‌ها را دوست نداشته باشیم، زمان ایجاد تغییر تا زمانی که پاسخ‌های مناسب را داشته باشیم فرا رسیده است.</w:t>
      </w:r>
    </w:p>
    <w:p w14:paraId="0191FFDD" w14:textId="017F81BB" w:rsidR="00537CC8" w:rsidRPr="0025250D" w:rsidRDefault="00537CC8" w:rsidP="00537CC8">
      <w:pPr>
        <w:rPr>
          <w:rtl/>
        </w:rPr>
      </w:pPr>
      <w:r w:rsidRPr="0025250D">
        <w:rPr>
          <w:rFonts w:hint="cs"/>
          <w:rtl/>
        </w:rPr>
        <w:t>هرچه بیش‌تر عمر کنیم و تغییرات سریع‌تر انجام شوند، موفق‌ترین</w:t>
      </w:r>
      <w:r w:rsidR="008D6F97" w:rsidRPr="0025250D">
        <w:rPr>
          <w:rtl/>
        </w:rPr>
        <w:t xml:space="preserve"> </w:t>
      </w:r>
      <w:r w:rsidRPr="0025250D">
        <w:rPr>
          <w:rFonts w:hint="cs"/>
          <w:rtl/>
        </w:rPr>
        <w:t xml:space="preserve">یادگیرندگان بیشتر خودآموز خواهند شد، یاگیری خود را هدایت می‌کنند و کنجکاوی، </w:t>
      </w:r>
      <w:r w:rsidR="007118DE" w:rsidRPr="0025250D">
        <w:rPr>
          <w:rFonts w:hint="cs"/>
          <w:rtl/>
        </w:rPr>
        <w:t>اولویت‌بندی</w:t>
      </w:r>
      <w:r w:rsidRPr="0025250D">
        <w:rPr>
          <w:rFonts w:hint="cs"/>
          <w:rtl/>
        </w:rPr>
        <w:t xml:space="preserve"> و استحکام خود را ترویج می‌کنند. یک کتاب مقدماتی خوب درمورد خودآموزی، کتاب علم خودآموزی</w:t>
      </w:r>
      <w:r w:rsidRPr="0025250D">
        <w:rPr>
          <w:vertAlign w:val="superscript"/>
          <w:rtl/>
        </w:rPr>
        <w:footnoteReference w:id="1473"/>
      </w:r>
      <w:r w:rsidRPr="0025250D">
        <w:rPr>
          <w:rFonts w:hint="cs"/>
          <w:rtl/>
        </w:rPr>
        <w:t xml:space="preserve"> اثر </w:t>
      </w:r>
      <w:r w:rsidRPr="0025250D">
        <w:rPr>
          <w:rtl/>
        </w:rPr>
        <w:t>پ</w:t>
      </w:r>
      <w:r w:rsidRPr="0025250D">
        <w:rPr>
          <w:rFonts w:hint="cs"/>
          <w:rtl/>
        </w:rPr>
        <w:t>ی</w:t>
      </w:r>
      <w:r w:rsidRPr="0025250D">
        <w:rPr>
          <w:rFonts w:hint="eastAsia"/>
          <w:rtl/>
        </w:rPr>
        <w:t>تر</w:t>
      </w:r>
      <w:r w:rsidRPr="0025250D">
        <w:rPr>
          <w:rtl/>
        </w:rPr>
        <w:t xml:space="preserve"> هال</w:t>
      </w:r>
      <w:r w:rsidRPr="0025250D">
        <w:rPr>
          <w:rFonts w:hint="cs"/>
          <w:rtl/>
        </w:rPr>
        <w:t>ی</w:t>
      </w:r>
      <w:r w:rsidRPr="0025250D">
        <w:rPr>
          <w:rFonts w:hint="eastAsia"/>
          <w:rtl/>
        </w:rPr>
        <w:t>نز</w:t>
      </w:r>
      <w:r w:rsidRPr="0025250D">
        <w:rPr>
          <w:vertAlign w:val="superscript"/>
          <w:rtl/>
        </w:rPr>
        <w:footnoteReference w:id="1474"/>
      </w:r>
      <w:r w:rsidRPr="0025250D">
        <w:rPr>
          <w:rFonts w:hint="cs"/>
          <w:rtl/>
        </w:rPr>
        <w:t xml:space="preserve"> در سال 2018 می‌باشد. ما همچنین یادگیری در طول عمر</w:t>
      </w:r>
      <w:r w:rsidRPr="0025250D">
        <w:rPr>
          <w:vertAlign w:val="superscript"/>
          <w:rtl/>
        </w:rPr>
        <w:footnoteReference w:id="1475"/>
      </w:r>
      <w:r w:rsidRPr="0025250D">
        <w:rPr>
          <w:rFonts w:hint="cs"/>
          <w:rtl/>
        </w:rPr>
        <w:t xml:space="preserve"> اثر کارآفرین </w:t>
      </w:r>
      <w:r w:rsidRPr="0025250D">
        <w:rPr>
          <w:rtl/>
        </w:rPr>
        <w:t>م</w:t>
      </w:r>
      <w:r w:rsidRPr="0025250D">
        <w:rPr>
          <w:rFonts w:hint="cs"/>
          <w:rtl/>
        </w:rPr>
        <w:t>ی</w:t>
      </w:r>
      <w:r w:rsidRPr="0025250D">
        <w:rPr>
          <w:rFonts w:hint="eastAsia"/>
          <w:rtl/>
        </w:rPr>
        <w:t>شل</w:t>
      </w:r>
      <w:r w:rsidRPr="0025250D">
        <w:rPr>
          <w:rtl/>
        </w:rPr>
        <w:t xml:space="preserve"> وا</w:t>
      </w:r>
      <w:r w:rsidRPr="0025250D">
        <w:rPr>
          <w:rFonts w:hint="cs"/>
          <w:rtl/>
        </w:rPr>
        <w:t>ی</w:t>
      </w:r>
      <w:r w:rsidRPr="0025250D">
        <w:rPr>
          <w:rFonts w:hint="eastAsia"/>
          <w:rtl/>
        </w:rPr>
        <w:t>س</w:t>
      </w:r>
      <w:r w:rsidRPr="0025250D">
        <w:rPr>
          <w:vertAlign w:val="superscript"/>
          <w:rtl/>
        </w:rPr>
        <w:footnoteReference w:id="1476"/>
      </w:r>
      <w:r w:rsidRPr="0025250D">
        <w:rPr>
          <w:rFonts w:hint="cs"/>
          <w:rtl/>
        </w:rPr>
        <w:t xml:space="preserve"> در سال 2020 و جامعه علمی پس از این</w:t>
      </w:r>
      <w:r w:rsidRPr="0025250D">
        <w:rPr>
          <w:vertAlign w:val="superscript"/>
          <w:rtl/>
        </w:rPr>
        <w:footnoteReference w:id="1477"/>
      </w:r>
      <w:r w:rsidRPr="0025250D">
        <w:rPr>
          <w:rFonts w:hint="cs"/>
          <w:rtl/>
        </w:rPr>
        <w:t xml:space="preserve"> اثر آینده‌پژوه </w:t>
      </w:r>
      <w:r w:rsidRPr="0025250D">
        <w:rPr>
          <w:rtl/>
        </w:rPr>
        <w:t>برا</w:t>
      </w:r>
      <w:r w:rsidRPr="0025250D">
        <w:rPr>
          <w:rFonts w:hint="cs"/>
          <w:rtl/>
        </w:rPr>
        <w:t>ی</w:t>
      </w:r>
      <w:r w:rsidRPr="0025250D">
        <w:rPr>
          <w:rFonts w:hint="eastAsia"/>
          <w:rtl/>
        </w:rPr>
        <w:t>ان</w:t>
      </w:r>
      <w:r w:rsidRPr="0025250D">
        <w:rPr>
          <w:rtl/>
        </w:rPr>
        <w:t xml:space="preserve"> الکساندر</w:t>
      </w:r>
      <w:r w:rsidRPr="0025250D">
        <w:rPr>
          <w:vertAlign w:val="superscript"/>
          <w:rtl/>
        </w:rPr>
        <w:footnoteReference w:id="1478"/>
      </w:r>
      <w:r w:rsidRPr="0025250D">
        <w:rPr>
          <w:rFonts w:hint="cs"/>
          <w:rtl/>
        </w:rPr>
        <w:t xml:space="preserve"> در سال 2020 را توصیه می‌کنیم. </w:t>
      </w:r>
      <w:r w:rsidRPr="0025250D">
        <w:rPr>
          <w:rtl/>
        </w:rPr>
        <w:t>وا</w:t>
      </w:r>
      <w:r w:rsidRPr="0025250D">
        <w:rPr>
          <w:rFonts w:hint="cs"/>
          <w:rtl/>
        </w:rPr>
        <w:t>ی</w:t>
      </w:r>
      <w:r w:rsidRPr="0025250D">
        <w:rPr>
          <w:rFonts w:hint="eastAsia"/>
          <w:rtl/>
        </w:rPr>
        <w:t>س</w:t>
      </w:r>
      <w:r w:rsidRPr="0025250D">
        <w:rPr>
          <w:rFonts w:hint="cs"/>
          <w:rtl/>
        </w:rPr>
        <w:t xml:space="preserve"> نیاز به یادگیری و برنامه‌های توسعه (</w:t>
      </w:r>
      <w:r w:rsidRPr="0025250D">
        <w:t>L&amp;D</w:t>
      </w:r>
      <w:r w:rsidRPr="0025250D">
        <w:rPr>
          <w:rFonts w:hint="cs"/>
          <w:rtl/>
        </w:rPr>
        <w:t>) شرکتی برای ارائه ترکیب گسترده‌ای از خرده یادگیری ها</w:t>
      </w:r>
      <w:r w:rsidRPr="0025250D">
        <w:rPr>
          <w:vertAlign w:val="superscript"/>
          <w:rtl/>
        </w:rPr>
        <w:footnoteReference w:id="1479"/>
      </w:r>
      <w:r w:rsidRPr="0025250D">
        <w:rPr>
          <w:rFonts w:hint="cs"/>
          <w:rtl/>
        </w:rPr>
        <w:t xml:space="preserve">، گواهینامه‌ها و برنامه‌های رسمی به موقع و </w:t>
      </w:r>
      <w:r w:rsidR="007118DE" w:rsidRPr="0025250D">
        <w:rPr>
          <w:rFonts w:hint="cs"/>
          <w:rtl/>
        </w:rPr>
        <w:t>اولویت‌بندی</w:t>
      </w:r>
      <w:r w:rsidRPr="0025250D">
        <w:rPr>
          <w:rFonts w:hint="cs"/>
          <w:rtl/>
        </w:rPr>
        <w:t xml:space="preserve"> غیر مصرف</w:t>
      </w:r>
      <w:r w:rsidR="00FC714F" w:rsidRPr="0025250D">
        <w:rPr>
          <w:rFonts w:hint="cs"/>
          <w:rtl/>
        </w:rPr>
        <w:t>‌</w:t>
      </w:r>
      <w:r w:rsidRPr="0025250D">
        <w:rPr>
          <w:rFonts w:hint="cs"/>
          <w:rtl/>
        </w:rPr>
        <w:t>کنندگان</w:t>
      </w:r>
      <w:r w:rsidRPr="0025250D">
        <w:rPr>
          <w:vertAlign w:val="superscript"/>
          <w:rtl/>
        </w:rPr>
        <w:footnoteReference w:id="1480"/>
      </w:r>
      <w:r w:rsidRPr="0025250D">
        <w:rPr>
          <w:rFonts w:hint="cs"/>
          <w:rtl/>
        </w:rPr>
        <w:t>، کسانی که در حال حاضر نیاز خود به یادگیری در زمینه خود را درک</w:t>
      </w:r>
      <w:r w:rsidR="00EE4B64" w:rsidRPr="0025250D">
        <w:rPr>
          <w:rFonts w:hint="cs"/>
          <w:rtl/>
        </w:rPr>
        <w:t xml:space="preserve"> نمی‌</w:t>
      </w:r>
      <w:r w:rsidRPr="0025250D">
        <w:rPr>
          <w:rFonts w:hint="cs"/>
          <w:rtl/>
        </w:rPr>
        <w:t xml:space="preserve">کنند، توصیف می‌کند. </w:t>
      </w:r>
      <w:r w:rsidRPr="0025250D">
        <w:rPr>
          <w:rtl/>
        </w:rPr>
        <w:t>الکساندر</w:t>
      </w:r>
      <w:r w:rsidRPr="0025250D">
        <w:rPr>
          <w:rFonts w:hint="cs"/>
          <w:rtl/>
        </w:rPr>
        <w:t xml:space="preserve"> برنامه‌های دانشگاهی و </w:t>
      </w:r>
      <w:r w:rsidRPr="0025250D">
        <w:t>L&amp;D</w:t>
      </w:r>
      <w:r w:rsidRPr="0025250D">
        <w:rPr>
          <w:rFonts w:hint="cs"/>
          <w:rtl/>
        </w:rPr>
        <w:t xml:space="preserve"> را به‌عنوان </w:t>
      </w:r>
      <w:r w:rsidR="008D6F97" w:rsidRPr="0025250D">
        <w:rPr>
          <w:rFonts w:hint="cs"/>
          <w:rtl/>
        </w:rPr>
        <w:t>سامانه‌</w:t>
      </w:r>
      <w:r w:rsidRPr="0025250D">
        <w:rPr>
          <w:rFonts w:hint="cs"/>
          <w:rtl/>
        </w:rPr>
        <w:t xml:space="preserve">‌هایی پیچیده و پیامدهایی برای تحصیل تغییر </w:t>
      </w:r>
      <w:r w:rsidR="007A53FD" w:rsidRPr="0025250D">
        <w:rPr>
          <w:rFonts w:hint="cs"/>
          <w:rtl/>
        </w:rPr>
        <w:t>فناوری</w:t>
      </w:r>
      <w:r w:rsidRPr="0025250D">
        <w:rPr>
          <w:rFonts w:hint="cs"/>
          <w:rtl/>
        </w:rPr>
        <w:t xml:space="preserve"> </w:t>
      </w:r>
      <w:r w:rsidR="007B3B35" w:rsidRPr="0025250D">
        <w:rPr>
          <w:rFonts w:hint="cs"/>
          <w:rtl/>
        </w:rPr>
        <w:t>شتاب‌گیر</w:t>
      </w:r>
      <w:r w:rsidRPr="0025250D">
        <w:rPr>
          <w:rFonts w:hint="cs"/>
          <w:rtl/>
        </w:rPr>
        <w:t>نده کاوش می‌کند.</w:t>
      </w:r>
    </w:p>
    <w:p w14:paraId="59117CB4" w14:textId="7BA818A3" w:rsidR="00537CC8" w:rsidRPr="0025250D" w:rsidRDefault="00537CC8" w:rsidP="00537CC8">
      <w:pPr>
        <w:rPr>
          <w:rtl/>
        </w:rPr>
      </w:pPr>
      <w:r w:rsidRPr="0025250D">
        <w:rPr>
          <w:rFonts w:hint="cs"/>
          <w:rtl/>
        </w:rPr>
        <w:t xml:space="preserve">در </w:t>
      </w:r>
      <w:r w:rsidRPr="0025250D">
        <w:t>BPF</w:t>
      </w:r>
      <w:r w:rsidRPr="0025250D">
        <w:rPr>
          <w:rFonts w:hint="cs"/>
          <w:rtl/>
        </w:rPr>
        <w:t xml:space="preserve">، </w:t>
      </w:r>
      <w:r w:rsidR="00D92F6E" w:rsidRPr="0025250D">
        <w:rPr>
          <w:rFonts w:hint="cs"/>
          <w:rtl/>
        </w:rPr>
        <w:t>پیش‌بین</w:t>
      </w:r>
      <w:r w:rsidRPr="0025250D">
        <w:rPr>
          <w:rFonts w:hint="cs"/>
          <w:rtl/>
        </w:rPr>
        <w:t xml:space="preserve">ی می‌کنیم که پدیداری هوش مصنوعی شخصی، اولین نسخه‌های خامی که در دهه 2030 انتظار داریم، بزرگترین توسعه یادگیری واحد در تاریخ بشر خواهد بود. </w:t>
      </w:r>
      <w:r w:rsidRPr="0025250D">
        <w:t>PAI</w:t>
      </w:r>
      <w:r w:rsidRPr="0025250D">
        <w:rPr>
          <w:rFonts w:hint="cs"/>
          <w:rtl/>
        </w:rPr>
        <w:t xml:space="preserve">‌ها هر یک از ما را به یادگیری دائمی و ارزیابی فزاینده مرتبط بودن آموزش قادر خواهند ساخت تا بتوانیم در دنیایی از تغییر </w:t>
      </w:r>
      <w:r w:rsidR="007B3B35" w:rsidRPr="0025250D">
        <w:rPr>
          <w:rFonts w:hint="cs"/>
          <w:rtl/>
        </w:rPr>
        <w:t>شتاب‌گیر</w:t>
      </w:r>
      <w:r w:rsidRPr="0025250D">
        <w:rPr>
          <w:rFonts w:hint="cs"/>
          <w:rtl/>
        </w:rPr>
        <w:t xml:space="preserve">نده </w:t>
      </w:r>
      <w:r w:rsidR="00B124DE" w:rsidRPr="0025250D">
        <w:rPr>
          <w:rFonts w:hint="cs"/>
          <w:rtl/>
        </w:rPr>
        <w:t>انطباق‌پذیر</w:t>
      </w:r>
      <w:r w:rsidRPr="0025250D">
        <w:rPr>
          <w:rFonts w:hint="cs"/>
          <w:rtl/>
        </w:rPr>
        <w:t xml:space="preserve"> باقی بمانیم. ما به شکل فزاینده‌ای </w:t>
      </w:r>
      <w:r w:rsidR="0063099E" w:rsidRPr="0025250D">
        <w:rPr>
          <w:rtl/>
        </w:rPr>
        <w:t>«</w:t>
      </w:r>
      <w:r w:rsidRPr="0025250D">
        <w:rPr>
          <w:rFonts w:hint="cs"/>
          <w:rtl/>
        </w:rPr>
        <w:t>خود</w:t>
      </w:r>
      <w:r w:rsidR="00FC714F" w:rsidRPr="0025250D">
        <w:rPr>
          <w:rFonts w:hint="cs"/>
          <w:rtl/>
        </w:rPr>
        <w:t>ِ</w:t>
      </w:r>
      <w:r w:rsidRPr="0025250D">
        <w:rPr>
          <w:rFonts w:hint="cs"/>
          <w:rtl/>
        </w:rPr>
        <w:t xml:space="preserve"> متعالی تر</w:t>
      </w:r>
      <w:r w:rsidRPr="0025250D">
        <w:rPr>
          <w:vertAlign w:val="superscript"/>
          <w:rtl/>
        </w:rPr>
        <w:footnoteReference w:id="1481"/>
      </w:r>
      <w:r w:rsidR="0063099E" w:rsidRPr="0025250D">
        <w:rPr>
          <w:rtl/>
        </w:rPr>
        <w:t>»</w:t>
      </w:r>
      <w:r w:rsidRPr="0025250D">
        <w:rPr>
          <w:rFonts w:hint="cs"/>
          <w:rtl/>
        </w:rPr>
        <w:t xml:space="preserve"> را </w:t>
      </w:r>
      <w:r w:rsidR="00FC714F" w:rsidRPr="0025250D">
        <w:rPr>
          <w:rFonts w:hint="cs"/>
          <w:rtl/>
        </w:rPr>
        <w:t xml:space="preserve">به دو صورت </w:t>
      </w:r>
      <w:r w:rsidRPr="0025250D">
        <w:rPr>
          <w:rFonts w:hint="cs"/>
          <w:rtl/>
        </w:rPr>
        <w:t xml:space="preserve">زیستی و </w:t>
      </w:r>
      <w:r w:rsidR="007A53FD" w:rsidRPr="0025250D">
        <w:rPr>
          <w:rFonts w:hint="cs"/>
          <w:rtl/>
        </w:rPr>
        <w:t>فناورانه</w:t>
      </w:r>
      <w:r w:rsidRPr="0025250D">
        <w:rPr>
          <w:rFonts w:hint="cs"/>
          <w:rtl/>
        </w:rPr>
        <w:t xml:space="preserve"> می‌بینیم و از خود دیجیتالیمان برای ادامه یادگیری، به‌عنوان افراد بزرگسال، به سریع‌ترین</w:t>
      </w:r>
      <w:r w:rsidR="008D6F97" w:rsidRPr="0025250D">
        <w:rPr>
          <w:rtl/>
        </w:rPr>
        <w:t xml:space="preserve"> </w:t>
      </w:r>
      <w:r w:rsidRPr="0025250D">
        <w:rPr>
          <w:rFonts w:hint="cs"/>
          <w:rtl/>
        </w:rPr>
        <w:t xml:space="preserve">شکلی که در زمان کودکی خود یاد </w:t>
      </w:r>
      <w:r w:rsidR="00FC714F" w:rsidRPr="0025250D">
        <w:rPr>
          <w:rFonts w:hint="cs"/>
          <w:rtl/>
        </w:rPr>
        <w:t>می‌گرفته‌ایم</w:t>
      </w:r>
      <w:r w:rsidRPr="0025250D">
        <w:rPr>
          <w:rFonts w:hint="cs"/>
          <w:rtl/>
        </w:rPr>
        <w:t>، استفاده خواهیم کرد. این آینده هوش مصنوعی که به طور فزاینده‌ای پایین به بالا و شبکه محور می‌باشد</w:t>
      </w:r>
      <w:r w:rsidR="008D6F97" w:rsidRPr="0025250D">
        <w:rPr>
          <w:rtl/>
        </w:rPr>
        <w:t xml:space="preserve"> </w:t>
      </w:r>
      <w:r w:rsidRPr="0025250D">
        <w:rPr>
          <w:rFonts w:hint="cs"/>
          <w:rtl/>
        </w:rPr>
        <w:t xml:space="preserve">تا زمانی که به روند‌های </w:t>
      </w:r>
      <w:r w:rsidRPr="0025250D">
        <w:t>D&amp;D</w:t>
      </w:r>
      <w:r w:rsidRPr="0025250D">
        <w:rPr>
          <w:rFonts w:hint="cs"/>
          <w:rtl/>
        </w:rPr>
        <w:t xml:space="preserve"> که آن را به پیش می‌برند نگاه </w:t>
      </w:r>
      <w:r w:rsidR="00FC714F" w:rsidRPr="0025250D">
        <w:rPr>
          <w:rFonts w:hint="cs"/>
          <w:rtl/>
        </w:rPr>
        <w:t>نشود،</w:t>
      </w:r>
      <w:r w:rsidRPr="0025250D">
        <w:rPr>
          <w:rFonts w:hint="cs"/>
          <w:rtl/>
        </w:rPr>
        <w:t xml:space="preserve"> امکان ناپذیر به نظر می‌رسد.</w:t>
      </w:r>
    </w:p>
    <w:p w14:paraId="0EE9E0CF" w14:textId="77777777" w:rsidR="00537CC8" w:rsidRPr="0025250D" w:rsidRDefault="00537CC8" w:rsidP="00537CC8">
      <w:pPr>
        <w:rPr>
          <w:rtl/>
        </w:rPr>
      </w:pPr>
      <w:r w:rsidRPr="0025250D">
        <w:rPr>
          <w:rFonts w:hint="cs"/>
          <w:rtl/>
        </w:rPr>
        <w:t xml:space="preserve">به طور خلاصه، ما نباید بیش از حد بر دانشگاه هایمان که اغلب بسیار عقب‌تر از منحنی تغییرات هستند یا واحد‌های </w:t>
      </w:r>
      <w:r w:rsidRPr="0025250D">
        <w:t>L&amp;D</w:t>
      </w:r>
      <w:r w:rsidRPr="0025250D">
        <w:rPr>
          <w:rFonts w:hint="cs"/>
          <w:rtl/>
        </w:rPr>
        <w:t xml:space="preserve"> شرکتمان که برخی اوقات واهمه از دست دادن کارمندان در صورت بیش از حد ماهر شدن آن‌ها را دارند، برای تبدیل شدن به معماران سفر یادگیری خود تکیه کنیم. برای یادگیری به بهترین شکلی که می‌توانیم، باید کشف کنیم که چگونه یادگیری خود را هدایت کنیم. برای همه ما، بیش‌تر یادگیری در طول دوران حرفه‌ای و شغلیمان به صورت غیر رسمی و دائمی، زمانی که ذهنیت و رویکرد مناسب را داشته باشیم رخ می‌دهد.</w:t>
      </w:r>
    </w:p>
    <w:p w14:paraId="3D6214DB" w14:textId="08E87411" w:rsidR="00537CC8" w:rsidRPr="0025250D" w:rsidRDefault="00537CC8" w:rsidP="00537CC8">
      <w:pPr>
        <w:rPr>
          <w:rtl/>
        </w:rPr>
      </w:pPr>
      <w:r w:rsidRPr="0025250D">
        <w:rPr>
          <w:rFonts w:hint="cs"/>
          <w:rtl/>
        </w:rPr>
        <w:t xml:space="preserve">همزمان، برای رسیدن زمینه </w:t>
      </w:r>
      <w:r w:rsidRPr="0025250D">
        <w:rPr>
          <w:rtl/>
        </w:rPr>
        <w:t>آینده‌نگاری</w:t>
      </w:r>
      <w:r w:rsidRPr="0025250D">
        <w:rPr>
          <w:rFonts w:hint="cs"/>
          <w:rtl/>
        </w:rPr>
        <w:t xml:space="preserve"> به پتانسیل بزرگ خود، به فارغ التحصیلان ارشد و دکتری از برنامه‌های تحصیلات تکمیلی </w:t>
      </w:r>
      <w:r w:rsidRPr="0025250D">
        <w:rPr>
          <w:rtl/>
        </w:rPr>
        <w:t>آینده‌نگاری</w:t>
      </w:r>
      <w:r w:rsidRPr="0025250D">
        <w:rPr>
          <w:rFonts w:hint="cs"/>
          <w:rtl/>
        </w:rPr>
        <w:t xml:space="preserve"> موجود و از دیگر رشته‌ها، از جمله روانشناسی و خودآموزشی، برای کار و آغاز برنامه‌های </w:t>
      </w:r>
      <w:r w:rsidRPr="0025250D">
        <w:rPr>
          <w:rtl/>
        </w:rPr>
        <w:t>آینده‌نگاری</w:t>
      </w:r>
      <w:r w:rsidRPr="0025250D">
        <w:rPr>
          <w:rFonts w:hint="cs"/>
          <w:rtl/>
        </w:rPr>
        <w:t xml:space="preserve"> برای اعطای مدرک، نیاز خواهیم داشت. ما همچنین به کارآفرینان و رهبران </w:t>
      </w:r>
      <w:r w:rsidRPr="0025250D">
        <w:t>L&amp;D</w:t>
      </w:r>
      <w:r w:rsidRPr="0025250D">
        <w:rPr>
          <w:rFonts w:hint="cs"/>
          <w:rtl/>
        </w:rPr>
        <w:t xml:space="preserve"> شرکتی بسیار</w:t>
      </w:r>
      <w:r w:rsidR="0008779C" w:rsidRPr="0025250D">
        <w:rPr>
          <w:rFonts w:hint="cs"/>
          <w:rtl/>
        </w:rPr>
        <w:t xml:space="preserve"> بیش‌تر</w:t>
      </w:r>
      <w:r w:rsidRPr="0025250D">
        <w:rPr>
          <w:rFonts w:hint="cs"/>
          <w:rtl/>
        </w:rPr>
        <w:t xml:space="preserve">ی برای ایجاد ماژول‌ها، دوره‌ها و مدارک </w:t>
      </w:r>
      <w:r w:rsidRPr="0025250D">
        <w:rPr>
          <w:rtl/>
        </w:rPr>
        <w:t>آینده‌نگاری</w:t>
      </w:r>
      <w:r w:rsidRPr="0025250D">
        <w:rPr>
          <w:rFonts w:hint="cs"/>
          <w:rtl/>
        </w:rPr>
        <w:t xml:space="preserve"> متعدد</w:t>
      </w:r>
      <w:r w:rsidR="0008779C" w:rsidRPr="0025250D">
        <w:rPr>
          <w:rFonts w:hint="cs"/>
          <w:rtl/>
        </w:rPr>
        <w:t xml:space="preserve"> بیش‌تر</w:t>
      </w:r>
      <w:r w:rsidRPr="0025250D">
        <w:rPr>
          <w:rFonts w:hint="cs"/>
          <w:rtl/>
        </w:rPr>
        <w:t>ی نیاز داریم. هرچه برنامه‌های تحصیلی</w:t>
      </w:r>
      <w:r w:rsidR="0082018C" w:rsidRPr="0025250D">
        <w:rPr>
          <w:rFonts w:hint="cs"/>
          <w:rtl/>
        </w:rPr>
        <w:t>ِ</w:t>
      </w:r>
      <w:r w:rsidRPr="0025250D">
        <w:rPr>
          <w:rFonts w:hint="cs"/>
          <w:rtl/>
        </w:rPr>
        <w:t xml:space="preserve"> </w:t>
      </w:r>
      <w:r w:rsidRPr="0025250D">
        <w:rPr>
          <w:rtl/>
        </w:rPr>
        <w:t>آینده‌نگار</w:t>
      </w:r>
      <w:r w:rsidR="0082018C" w:rsidRPr="0025250D">
        <w:rPr>
          <w:rFonts w:hint="cs"/>
          <w:rtl/>
        </w:rPr>
        <w:t>ِ</w:t>
      </w:r>
      <w:r w:rsidRPr="0025250D">
        <w:rPr>
          <w:rtl/>
        </w:rPr>
        <w:t>ی</w:t>
      </w:r>
      <w:r w:rsidRPr="0025250D">
        <w:rPr>
          <w:rFonts w:hint="cs"/>
          <w:rtl/>
        </w:rPr>
        <w:t xml:space="preserve"> قابل استطاعت‌تر و با کیفیت</w:t>
      </w:r>
      <w:r w:rsidR="00FC714F" w:rsidRPr="0025250D">
        <w:rPr>
          <w:rFonts w:hint="cs"/>
          <w:rtl/>
        </w:rPr>
        <w:t>‌</w:t>
      </w:r>
      <w:r w:rsidRPr="0025250D">
        <w:rPr>
          <w:rFonts w:hint="cs"/>
          <w:rtl/>
        </w:rPr>
        <w:t xml:space="preserve">تری در جهان موجود باشند، </w:t>
      </w:r>
      <w:r w:rsidR="00FC714F" w:rsidRPr="0025250D">
        <w:rPr>
          <w:rFonts w:hint="cs"/>
          <w:rtl/>
        </w:rPr>
        <w:t xml:space="preserve">این </w:t>
      </w:r>
      <w:r w:rsidRPr="0025250D">
        <w:rPr>
          <w:rFonts w:hint="cs"/>
          <w:rtl/>
        </w:rPr>
        <w:t xml:space="preserve">زمینه قدرتمند‌تر و تأثیر گذار‌تر خواهد شد. با وجود همه دشواری‌های رو به رشد آن، </w:t>
      </w:r>
      <w:r w:rsidR="00D92F6E" w:rsidRPr="0025250D">
        <w:rPr>
          <w:rFonts w:hint="cs"/>
          <w:rtl/>
        </w:rPr>
        <w:t>پیش‌بین</w:t>
      </w:r>
      <w:r w:rsidRPr="0025250D">
        <w:rPr>
          <w:rFonts w:hint="cs"/>
          <w:rtl/>
        </w:rPr>
        <w:t xml:space="preserve">ی می‌کنیم که </w:t>
      </w:r>
      <w:r w:rsidR="00FC714F" w:rsidRPr="0025250D">
        <w:rPr>
          <w:rFonts w:hint="cs"/>
          <w:rtl/>
        </w:rPr>
        <w:t xml:space="preserve">این </w:t>
      </w:r>
      <w:r w:rsidRPr="0025250D">
        <w:rPr>
          <w:rFonts w:hint="cs"/>
          <w:rtl/>
        </w:rPr>
        <w:t>زمینه حیاتی در دهه‌های پیش رو شکوفا خواهد شد. آینده این زمینه روشن است.</w:t>
      </w:r>
    </w:p>
    <w:p w14:paraId="76C6DD1D" w14:textId="77777777" w:rsidR="00537CC8" w:rsidRPr="0025250D" w:rsidRDefault="00537CC8" w:rsidP="00537CC8">
      <w:pPr>
        <w:rPr>
          <w:rtl/>
        </w:rPr>
      </w:pPr>
    </w:p>
    <w:p w14:paraId="461D8D48" w14:textId="77777777" w:rsidR="00537CC8" w:rsidRPr="0025250D" w:rsidRDefault="00537CC8" w:rsidP="00537CC8">
      <w:pPr>
        <w:rPr>
          <w:rtl/>
        </w:rPr>
      </w:pPr>
    </w:p>
    <w:p w14:paraId="76C1E4C9" w14:textId="77777777" w:rsidR="00537CC8" w:rsidRPr="0025250D" w:rsidRDefault="00537CC8" w:rsidP="00537CC8">
      <w:pPr>
        <w:rPr>
          <w:rtl/>
        </w:rPr>
      </w:pPr>
    </w:p>
    <w:p w14:paraId="0772E6DD" w14:textId="77777777" w:rsidR="00537CC8" w:rsidRPr="0025250D" w:rsidRDefault="00537CC8" w:rsidP="00537CC8">
      <w:pPr>
        <w:rPr>
          <w:rtl/>
        </w:rPr>
      </w:pPr>
    </w:p>
    <w:p w14:paraId="5E0F58DE" w14:textId="77777777" w:rsidR="00537CC8" w:rsidRPr="0025250D" w:rsidRDefault="00537CC8" w:rsidP="00537CC8">
      <w:pPr>
        <w:rPr>
          <w:rtl/>
        </w:rPr>
      </w:pPr>
    </w:p>
    <w:p w14:paraId="0DD1196A" w14:textId="77777777" w:rsidR="00537CC8" w:rsidRPr="0025250D" w:rsidRDefault="00537CC8" w:rsidP="00537CC8">
      <w:pPr>
        <w:rPr>
          <w:rtl/>
        </w:rPr>
      </w:pPr>
    </w:p>
    <w:p w14:paraId="29C8A60A" w14:textId="77777777" w:rsidR="00537CC8" w:rsidRPr="0025250D" w:rsidRDefault="00537CC8" w:rsidP="00537CC8">
      <w:pPr>
        <w:rPr>
          <w:rtl/>
        </w:rPr>
      </w:pPr>
    </w:p>
    <w:p w14:paraId="11969FC2" w14:textId="77777777" w:rsidR="00537CC8" w:rsidRPr="0025250D" w:rsidRDefault="00537CC8" w:rsidP="00537CC8">
      <w:pPr>
        <w:rPr>
          <w:rtl/>
        </w:rPr>
      </w:pPr>
    </w:p>
    <w:p w14:paraId="5A7B8BF3" w14:textId="77777777" w:rsidR="00537CC8" w:rsidRPr="0025250D" w:rsidRDefault="00537CC8" w:rsidP="00537CC8">
      <w:pPr>
        <w:rPr>
          <w:rtl/>
        </w:rPr>
      </w:pPr>
    </w:p>
    <w:p w14:paraId="341F633B" w14:textId="2F2CC55E" w:rsidR="00537CC8" w:rsidRPr="0025250D" w:rsidRDefault="00537CC8" w:rsidP="000A674B">
      <w:pPr>
        <w:pStyle w:val="Heading2"/>
        <w:rPr>
          <w:rtl/>
        </w:rPr>
      </w:pPr>
      <w:bookmarkStart w:id="45" w:name="_Toc127831310"/>
      <w:r w:rsidRPr="0025250D">
        <w:rPr>
          <w:rFonts w:hint="cs"/>
          <w:rtl/>
        </w:rPr>
        <w:t xml:space="preserve">بهار </w:t>
      </w:r>
      <w:r w:rsidRPr="0025250D">
        <w:rPr>
          <w:rtl/>
        </w:rPr>
        <w:t>آینده‌نگاری</w:t>
      </w:r>
      <w:r w:rsidRPr="0025250D">
        <w:rPr>
          <w:rFonts w:hint="cs"/>
          <w:rtl/>
        </w:rPr>
        <w:t xml:space="preserve"> جدید </w:t>
      </w:r>
      <w:r w:rsidR="00FC714F" w:rsidRPr="0025250D">
        <w:rPr>
          <w:rFonts w:hint="cs"/>
          <w:rtl/>
        </w:rPr>
        <w:t>آینده‌نگاری</w:t>
      </w:r>
      <w:bookmarkEnd w:id="45"/>
    </w:p>
    <w:p w14:paraId="332E8E20" w14:textId="42100AC9" w:rsidR="00537CC8" w:rsidRPr="0025250D" w:rsidRDefault="00537CC8" w:rsidP="00537CC8">
      <w:pPr>
        <w:rPr>
          <w:rtl/>
        </w:rPr>
      </w:pPr>
      <w:r w:rsidRPr="0025250D">
        <w:rPr>
          <w:rFonts w:hint="cs"/>
          <w:rtl/>
        </w:rPr>
        <w:t xml:space="preserve">تمدن بشری نقاط اوج </w:t>
      </w:r>
      <w:r w:rsidR="0008779C" w:rsidRPr="0025250D">
        <w:rPr>
          <w:rFonts w:hint="cs"/>
          <w:rtl/>
        </w:rPr>
        <w:t>علاقه‌مند</w:t>
      </w:r>
      <w:r w:rsidRPr="0025250D">
        <w:rPr>
          <w:rFonts w:hint="cs"/>
          <w:rtl/>
        </w:rPr>
        <w:t xml:space="preserve">ی به آینده متعددی در طول قرن‌های گذشته داشته است. برخی از این موارد شور و شوقی خود به خودی یا هیجاناتی منفی بودند، همانند آنچه در </w:t>
      </w:r>
      <w:r w:rsidR="00B56611" w:rsidRPr="0025250D">
        <w:rPr>
          <w:rFonts w:hint="cs"/>
          <w:rtl/>
        </w:rPr>
        <w:t>چشم‌انداز</w:t>
      </w:r>
      <w:r w:rsidRPr="0025250D">
        <w:rPr>
          <w:rFonts w:hint="cs"/>
          <w:rtl/>
        </w:rPr>
        <w:t>‌های آخر الزمانی در انتهای هزاره اول (کتاب سال 1000</w:t>
      </w:r>
      <w:r w:rsidRPr="0025250D">
        <w:rPr>
          <w:vertAlign w:val="superscript"/>
          <w:rtl/>
        </w:rPr>
        <w:footnoteReference w:id="1482"/>
      </w:r>
      <w:r w:rsidRPr="0025250D">
        <w:rPr>
          <w:rFonts w:hint="cs"/>
          <w:rtl/>
        </w:rPr>
        <w:t xml:space="preserve">، اثر </w:t>
      </w:r>
      <w:r w:rsidRPr="0025250D">
        <w:rPr>
          <w:rtl/>
        </w:rPr>
        <w:t>ل</w:t>
      </w:r>
      <w:r w:rsidRPr="0025250D">
        <w:rPr>
          <w:rFonts w:hint="cs"/>
          <w:rtl/>
        </w:rPr>
        <w:t>ی</w:t>
      </w:r>
      <w:r w:rsidRPr="0025250D">
        <w:rPr>
          <w:rFonts w:hint="eastAsia"/>
          <w:rtl/>
        </w:rPr>
        <w:t>س</w:t>
      </w:r>
      <w:r w:rsidRPr="0025250D">
        <w:rPr>
          <w:rFonts w:hint="cs"/>
          <w:rtl/>
        </w:rPr>
        <w:t>ی</w:t>
      </w:r>
      <w:r w:rsidRPr="0025250D">
        <w:rPr>
          <w:vertAlign w:val="superscript"/>
          <w:rtl/>
        </w:rPr>
        <w:footnoteReference w:id="1483"/>
      </w:r>
      <w:r w:rsidRPr="0025250D">
        <w:rPr>
          <w:rFonts w:hint="cs"/>
          <w:rtl/>
        </w:rPr>
        <w:t xml:space="preserve"> و </w:t>
      </w:r>
      <w:r w:rsidRPr="0025250D">
        <w:rPr>
          <w:rtl/>
        </w:rPr>
        <w:t>دانز</w:t>
      </w:r>
      <w:r w:rsidRPr="0025250D">
        <w:rPr>
          <w:rFonts w:hint="cs"/>
          <w:rtl/>
        </w:rPr>
        <w:t>ی</w:t>
      </w:r>
      <w:r w:rsidRPr="0025250D">
        <w:rPr>
          <w:rFonts w:hint="eastAsia"/>
          <w:rtl/>
        </w:rPr>
        <w:t>گر</w:t>
      </w:r>
      <w:r w:rsidRPr="0025250D">
        <w:rPr>
          <w:vertAlign w:val="superscript"/>
          <w:rtl/>
        </w:rPr>
        <w:footnoteReference w:id="1484"/>
      </w:r>
      <w:r w:rsidRPr="0025250D">
        <w:rPr>
          <w:rFonts w:hint="cs"/>
          <w:rtl/>
        </w:rPr>
        <w:t xml:space="preserve"> در سال 2002) و وحشت </w:t>
      </w:r>
      <w:r w:rsidRPr="0025250D">
        <w:t>Y2K</w:t>
      </w:r>
      <w:r w:rsidRPr="0025250D">
        <w:rPr>
          <w:vertAlign w:val="superscript"/>
          <w:rtl/>
        </w:rPr>
        <w:footnoteReference w:id="1485"/>
      </w:r>
      <w:r w:rsidRPr="0025250D">
        <w:rPr>
          <w:rFonts w:hint="cs"/>
          <w:rtl/>
        </w:rPr>
        <w:t xml:space="preserve"> در هزاره پس از آن رخ داد. نقاط اوج دیگر با تهدید‌های قریب الوقوع واقعی همزمان بودند. بیش‌تر آن‌ها به دلیل تغییر </w:t>
      </w:r>
      <w:r w:rsidR="007A53FD" w:rsidRPr="0025250D">
        <w:rPr>
          <w:rFonts w:hint="cs"/>
          <w:rtl/>
        </w:rPr>
        <w:t>فناوری</w:t>
      </w:r>
      <w:r w:rsidRPr="0025250D">
        <w:rPr>
          <w:rFonts w:hint="cs"/>
          <w:rtl/>
        </w:rPr>
        <w:t xml:space="preserve"> و اجتماعی سریع و </w:t>
      </w:r>
      <w:r w:rsidRPr="0025250D">
        <w:rPr>
          <w:rtl/>
        </w:rPr>
        <w:t>منحرف کننده</w:t>
      </w:r>
      <w:r w:rsidRPr="0025250D">
        <w:rPr>
          <w:rFonts w:hint="cs"/>
          <w:rtl/>
        </w:rPr>
        <w:t xml:space="preserve"> رخ داده اند. وقتی علاقه عموم مردم و سازمان‌ها پایدار و منطقی باشد، ما آن را یک بهار </w:t>
      </w:r>
      <w:r w:rsidRPr="0025250D">
        <w:rPr>
          <w:rtl/>
        </w:rPr>
        <w:t>آینده‌نگاری</w:t>
      </w:r>
      <w:r w:rsidRPr="0025250D">
        <w:rPr>
          <w:rFonts w:hint="cs"/>
          <w:rtl/>
        </w:rPr>
        <w:t xml:space="preserve"> می‌نامیم.</w:t>
      </w:r>
    </w:p>
    <w:p w14:paraId="1C0F243D" w14:textId="4B56FBD1" w:rsidR="00537CC8" w:rsidRPr="0025250D" w:rsidRDefault="00537CC8" w:rsidP="00537CC8">
      <w:pPr>
        <w:rPr>
          <w:rtl/>
        </w:rPr>
      </w:pPr>
      <w:r w:rsidRPr="0025250D">
        <w:rPr>
          <w:rFonts w:hint="cs"/>
          <w:rtl/>
        </w:rPr>
        <w:t xml:space="preserve">معتقدیم که دوره زمانی از سال 1960 تا 1980 آخرین بهار </w:t>
      </w:r>
      <w:r w:rsidRPr="0025250D">
        <w:rPr>
          <w:rtl/>
        </w:rPr>
        <w:t>آینده‌نگاری</w:t>
      </w:r>
      <w:r w:rsidRPr="0025250D">
        <w:rPr>
          <w:rFonts w:hint="cs"/>
          <w:rtl/>
        </w:rPr>
        <w:t xml:space="preserve"> در آمریکا بود. این دوره با جبهه جدید رئیس جمهوری </w:t>
      </w:r>
      <w:r w:rsidRPr="0025250D">
        <w:rPr>
          <w:rtl/>
        </w:rPr>
        <w:t>جان کند</w:t>
      </w:r>
      <w:r w:rsidRPr="0025250D">
        <w:rPr>
          <w:rFonts w:hint="cs"/>
          <w:rtl/>
        </w:rPr>
        <w:t>ی</w:t>
      </w:r>
      <w:r w:rsidRPr="0025250D">
        <w:rPr>
          <w:vertAlign w:val="superscript"/>
          <w:rtl/>
        </w:rPr>
        <w:footnoteReference w:id="1486"/>
      </w:r>
      <w:r w:rsidRPr="0025250D">
        <w:rPr>
          <w:rFonts w:hint="cs"/>
          <w:rtl/>
        </w:rPr>
        <w:t xml:space="preserve"> آغاز شد و موجی از </w:t>
      </w:r>
      <w:r w:rsidR="0008779C" w:rsidRPr="0025250D">
        <w:rPr>
          <w:rFonts w:hint="cs"/>
          <w:rtl/>
        </w:rPr>
        <w:t>ایدئال</w:t>
      </w:r>
      <w:r w:rsidR="00FC714F" w:rsidRPr="0025250D">
        <w:rPr>
          <w:rFonts w:hint="cs"/>
          <w:rtl/>
        </w:rPr>
        <w:t>‌</w:t>
      </w:r>
      <w:r w:rsidRPr="0025250D">
        <w:rPr>
          <w:rFonts w:hint="cs"/>
          <w:rtl/>
        </w:rPr>
        <w:t xml:space="preserve">گرایی و </w:t>
      </w:r>
      <w:r w:rsidR="00EE4B64" w:rsidRPr="0025250D">
        <w:rPr>
          <w:rFonts w:hint="cs"/>
          <w:rtl/>
        </w:rPr>
        <w:t>چشم‌اندازسازی</w:t>
      </w:r>
      <w:r w:rsidRPr="0025250D">
        <w:rPr>
          <w:rFonts w:hint="cs"/>
          <w:rtl/>
        </w:rPr>
        <w:t xml:space="preserve"> عظیم ایجاد کرد. سیاست و فرهنگ این دوره پاسخی به بحران‌های وحشت زای دهه 1950 (پیشرفت هسته‌ای، پناه گرفتن، اسپاتنیک</w:t>
      </w:r>
      <w:r w:rsidRPr="0025250D">
        <w:rPr>
          <w:vertAlign w:val="superscript"/>
          <w:rtl/>
        </w:rPr>
        <w:footnoteReference w:id="1487"/>
      </w:r>
      <w:r w:rsidRPr="0025250D">
        <w:rPr>
          <w:rFonts w:hint="cs"/>
          <w:rtl/>
        </w:rPr>
        <w:t xml:space="preserve">، جنگ سرد، </w:t>
      </w:r>
      <w:r w:rsidRPr="0025250D">
        <w:t>HUAC</w:t>
      </w:r>
      <w:r w:rsidRPr="0025250D">
        <w:rPr>
          <w:rFonts w:hint="cs"/>
          <w:rtl/>
        </w:rPr>
        <w:t xml:space="preserve">) با ایده ها، حرکت‌ها و برنامه‌های آرمانگرایانه بود. این دوره شاهد کامپیوتری شدن، رقابت فضایی آپولو، سپاه صلح، فعالیت‌های حقوق بشری، </w:t>
      </w:r>
      <w:r w:rsidRPr="0025250D">
        <w:rPr>
          <w:rtl/>
        </w:rPr>
        <w:t>ضد فرهنگ</w:t>
      </w:r>
      <w:r w:rsidRPr="0025250D">
        <w:rPr>
          <w:rFonts w:hint="cs"/>
          <w:rtl/>
        </w:rPr>
        <w:t xml:space="preserve">ی، حقوق زنان، فعالیت‌های زیست محیطی و دیگر تفکرات و </w:t>
      </w:r>
      <w:r w:rsidR="00127288" w:rsidRPr="0025250D">
        <w:rPr>
          <w:rFonts w:hint="cs"/>
          <w:rtl/>
        </w:rPr>
        <w:t>آزمایش‌های</w:t>
      </w:r>
      <w:r w:rsidRPr="0025250D">
        <w:rPr>
          <w:rFonts w:hint="cs"/>
          <w:rtl/>
        </w:rPr>
        <w:t xml:space="preserve"> جدید بود. در این بافت تغییرات </w:t>
      </w:r>
      <w:r w:rsidR="00D92F6E" w:rsidRPr="0025250D">
        <w:rPr>
          <w:rFonts w:hint="cs"/>
          <w:rtl/>
        </w:rPr>
        <w:t>بنیان‌افکن</w:t>
      </w:r>
      <w:r w:rsidRPr="0025250D">
        <w:rPr>
          <w:rFonts w:hint="cs"/>
          <w:rtl/>
        </w:rPr>
        <w:t xml:space="preserve">، اقدامات آینده‌نگاری و جوامع </w:t>
      </w:r>
      <w:r w:rsidRPr="0025250D">
        <w:rPr>
          <w:rtl/>
        </w:rPr>
        <w:t>آینده‌نگاری</w:t>
      </w:r>
      <w:r w:rsidRPr="0025250D">
        <w:rPr>
          <w:rFonts w:hint="cs"/>
          <w:rtl/>
        </w:rPr>
        <w:t xml:space="preserve"> شکوفا شدند.</w:t>
      </w:r>
    </w:p>
    <w:p w14:paraId="0BEDFDFF" w14:textId="089C631C" w:rsidR="00537CC8" w:rsidRPr="0025250D" w:rsidRDefault="00537CC8" w:rsidP="00537CC8">
      <w:pPr>
        <w:rPr>
          <w:rtl/>
        </w:rPr>
      </w:pPr>
      <w:r w:rsidRPr="0025250D">
        <w:rPr>
          <w:rFonts w:hint="cs"/>
          <w:rtl/>
        </w:rPr>
        <w:t>بسیاری از اندیشکده‌های مدرن، برنامه‌های آکادمیک و سازمان‌های تخصصی در این دوره پدیدار شدند. جامعه آینده جهان (</w:t>
      </w:r>
      <w:r w:rsidRPr="0025250D">
        <w:t>WFS</w:t>
      </w:r>
      <w:r w:rsidRPr="0025250D">
        <w:rPr>
          <w:rFonts w:hint="cs"/>
          <w:rtl/>
        </w:rPr>
        <w:t>)، اولین انجمن آینده‌پژوهی عمومی بزرگ، درسال 1966 بنیان‌گذاری شد. بیش‌ترین</w:t>
      </w:r>
      <w:r w:rsidR="008D6F97" w:rsidRPr="0025250D">
        <w:rPr>
          <w:rtl/>
        </w:rPr>
        <w:t xml:space="preserve"> </w:t>
      </w:r>
      <w:r w:rsidRPr="0025250D">
        <w:rPr>
          <w:rFonts w:hint="cs"/>
          <w:rtl/>
        </w:rPr>
        <w:t xml:space="preserve">تعداد شرکت کننده در کنفرانس </w:t>
      </w:r>
      <w:r w:rsidRPr="0025250D">
        <w:t>WFS</w:t>
      </w:r>
      <w:r w:rsidRPr="0025250D">
        <w:rPr>
          <w:rFonts w:hint="cs"/>
          <w:rtl/>
        </w:rPr>
        <w:t xml:space="preserve"> آن‌ها در حدود 5000 نفر در اوایل دهه 1970 بود. </w:t>
      </w:r>
      <w:r w:rsidR="007118DE" w:rsidRPr="0025250D">
        <w:rPr>
          <w:rFonts w:hint="cs"/>
          <w:rtl/>
        </w:rPr>
        <w:t>همان‌طور</w:t>
      </w:r>
      <w:r w:rsidRPr="0025250D">
        <w:rPr>
          <w:rFonts w:hint="cs"/>
          <w:rtl/>
        </w:rPr>
        <w:t xml:space="preserve"> که </w:t>
      </w:r>
      <w:r w:rsidR="00D30084" w:rsidRPr="0025250D">
        <w:rPr>
          <w:rFonts w:hint="cs"/>
          <w:rtl/>
        </w:rPr>
        <w:t>آینده‌نگار</w:t>
      </w:r>
      <w:r w:rsidRPr="0025250D">
        <w:rPr>
          <w:rFonts w:hint="cs"/>
          <w:rtl/>
        </w:rPr>
        <w:t xml:space="preserve"> </w:t>
      </w:r>
      <w:r w:rsidRPr="0025250D">
        <w:rPr>
          <w:rtl/>
        </w:rPr>
        <w:t>گلن ه</w:t>
      </w:r>
      <w:r w:rsidRPr="0025250D">
        <w:rPr>
          <w:rFonts w:hint="cs"/>
          <w:rtl/>
        </w:rPr>
        <w:t>ی</w:t>
      </w:r>
      <w:r w:rsidRPr="0025250D">
        <w:rPr>
          <w:rFonts w:hint="eastAsia"/>
          <w:rtl/>
        </w:rPr>
        <w:t>مسترا</w:t>
      </w:r>
      <w:r w:rsidRPr="0025250D">
        <w:rPr>
          <w:vertAlign w:val="superscript"/>
          <w:rtl/>
        </w:rPr>
        <w:footnoteReference w:id="1488"/>
      </w:r>
      <w:r w:rsidRPr="0025250D">
        <w:rPr>
          <w:rFonts w:hint="cs"/>
          <w:rtl/>
        </w:rPr>
        <w:t xml:space="preserve"> توصیف می‌کند، در </w:t>
      </w:r>
      <w:r w:rsidRPr="0025250D">
        <w:t>WFS</w:t>
      </w:r>
      <w:r w:rsidR="00266BCA" w:rsidRPr="0025250D">
        <w:rPr>
          <w:rFonts w:hint="cs"/>
          <w:rtl/>
        </w:rPr>
        <w:t xml:space="preserve"> در سال</w:t>
      </w:r>
      <w:r w:rsidRPr="0025250D">
        <w:rPr>
          <w:rFonts w:hint="cs"/>
          <w:rtl/>
        </w:rPr>
        <w:t xml:space="preserve"> 1980، </w:t>
      </w:r>
      <w:r w:rsidR="00D30084" w:rsidRPr="0025250D">
        <w:rPr>
          <w:rFonts w:hint="cs"/>
          <w:rtl/>
        </w:rPr>
        <w:t>آینده‌نگار</w:t>
      </w:r>
      <w:r w:rsidRPr="0025250D">
        <w:rPr>
          <w:rFonts w:hint="cs"/>
          <w:rtl/>
        </w:rPr>
        <w:t xml:space="preserve"> </w:t>
      </w:r>
      <w:r w:rsidRPr="0025250D">
        <w:rPr>
          <w:rtl/>
        </w:rPr>
        <w:t>باکم</w:t>
      </w:r>
      <w:r w:rsidRPr="0025250D">
        <w:rPr>
          <w:rFonts w:hint="cs"/>
          <w:rtl/>
        </w:rPr>
        <w:t>ی</w:t>
      </w:r>
      <w:r w:rsidRPr="0025250D">
        <w:rPr>
          <w:rFonts w:hint="eastAsia"/>
          <w:rtl/>
        </w:rPr>
        <w:t>نستر</w:t>
      </w:r>
      <w:r w:rsidRPr="0025250D">
        <w:rPr>
          <w:rtl/>
        </w:rPr>
        <w:t xml:space="preserve"> فولر</w:t>
      </w:r>
      <w:r w:rsidRPr="0025250D">
        <w:rPr>
          <w:vertAlign w:val="superscript"/>
          <w:rtl/>
        </w:rPr>
        <w:footnoteReference w:id="1489"/>
      </w:r>
      <w:r w:rsidRPr="0025250D">
        <w:rPr>
          <w:rFonts w:hint="cs"/>
          <w:rtl/>
        </w:rPr>
        <w:t xml:space="preserve"> یک کارگاه بازی جهانی عظیم را راه‌اندازی کرد که از شرکت کنندگان می‌خواست که چگونگی تغییر سامانه‌های سیاسی جهان </w:t>
      </w:r>
      <w:r w:rsidR="0063099E" w:rsidRPr="0025250D">
        <w:rPr>
          <w:rtl/>
        </w:rPr>
        <w:t>«</w:t>
      </w:r>
      <w:r w:rsidRPr="0025250D">
        <w:rPr>
          <w:rFonts w:hint="cs"/>
          <w:rtl/>
        </w:rPr>
        <w:t>از اسلحه سازی به سمت زندگی</w:t>
      </w:r>
      <w:r w:rsidRPr="0025250D">
        <w:rPr>
          <w:vertAlign w:val="superscript"/>
          <w:rtl/>
        </w:rPr>
        <w:footnoteReference w:id="1490"/>
      </w:r>
      <w:r w:rsidR="0063099E" w:rsidRPr="0025250D">
        <w:rPr>
          <w:rtl/>
        </w:rPr>
        <w:t>»</w:t>
      </w:r>
      <w:r w:rsidRPr="0025250D">
        <w:rPr>
          <w:rFonts w:hint="cs"/>
          <w:rtl/>
        </w:rPr>
        <w:t xml:space="preserve"> را ترسیم کنند. چنین فعالیت‌هایی پایان دوره‌ای از </w:t>
      </w:r>
      <w:r w:rsidR="00EE4B64" w:rsidRPr="0025250D">
        <w:rPr>
          <w:rFonts w:hint="cs"/>
          <w:rtl/>
        </w:rPr>
        <w:t>چشم‌اندازسازی</w:t>
      </w:r>
      <w:r w:rsidRPr="0025250D">
        <w:rPr>
          <w:rFonts w:hint="cs"/>
          <w:rtl/>
        </w:rPr>
        <w:t xml:space="preserve"> برجسته توسط انجمن‌های آینده‌نگاری را مشخص می‌کردند. ظهور محافظه کاری نوین</w:t>
      </w:r>
      <w:r w:rsidRPr="0025250D">
        <w:rPr>
          <w:vertAlign w:val="superscript"/>
          <w:rtl/>
        </w:rPr>
        <w:footnoteReference w:id="1491"/>
      </w:r>
      <w:r w:rsidRPr="0025250D">
        <w:rPr>
          <w:rFonts w:hint="cs"/>
          <w:rtl/>
        </w:rPr>
        <w:t xml:space="preserve"> و بازگشتی به مادی گرایی در دهه 1980، </w:t>
      </w:r>
      <w:r w:rsidRPr="0025250D">
        <w:rPr>
          <w:rtl/>
        </w:rPr>
        <w:t>آینده‌نگاری</w:t>
      </w:r>
      <w:r w:rsidRPr="0025250D">
        <w:rPr>
          <w:rFonts w:hint="cs"/>
          <w:rtl/>
        </w:rPr>
        <w:t xml:space="preserve"> را شکاک‌تر، محدود‌تر و سیاسی‌تر کردند. تا دهه 1990، شرکت کنندگان کنفرانس‌های </w:t>
      </w:r>
      <w:r w:rsidRPr="0025250D">
        <w:t>WFS</w:t>
      </w:r>
      <w:r w:rsidRPr="0025250D">
        <w:rPr>
          <w:rFonts w:hint="cs"/>
          <w:rtl/>
        </w:rPr>
        <w:t xml:space="preserve"> به 800 نفر شرکت کننده مسن‌تر کاهش پیدا کرده بودند و این زمینه تا عمق آخرین زمستان خود فرو رفته بود.</w:t>
      </w:r>
    </w:p>
    <w:p w14:paraId="4435DE34" w14:textId="060B98BB" w:rsidR="00537CC8" w:rsidRPr="0025250D" w:rsidRDefault="00537CC8" w:rsidP="00537CC8">
      <w:pPr>
        <w:rPr>
          <w:rtl/>
        </w:rPr>
      </w:pPr>
      <w:r w:rsidRPr="0025250D">
        <w:rPr>
          <w:rFonts w:hint="cs"/>
          <w:rtl/>
        </w:rPr>
        <w:t xml:space="preserve">اما از زمان پیدایش گوشی‌های هوشمند در سال 2008 و بحران مالی بزرگ سال 2009 و مشخصا از میان پیدایش تک شاخ‌های </w:t>
      </w:r>
      <w:r w:rsidR="007A53FD" w:rsidRPr="0025250D">
        <w:rPr>
          <w:rFonts w:hint="cs"/>
          <w:rtl/>
        </w:rPr>
        <w:t>فناوری</w:t>
      </w:r>
      <w:r w:rsidRPr="0025250D">
        <w:rPr>
          <w:rFonts w:hint="cs"/>
          <w:rtl/>
        </w:rPr>
        <w:t xml:space="preserve"> در سال 2011 و هوش مصنوعی یادگیری عمیق در سال 2012، ما وارد یک بهار </w:t>
      </w:r>
      <w:r w:rsidRPr="0025250D">
        <w:rPr>
          <w:rtl/>
        </w:rPr>
        <w:t>آینده‌نگاری</w:t>
      </w:r>
      <w:r w:rsidRPr="0025250D">
        <w:rPr>
          <w:rFonts w:hint="cs"/>
          <w:rtl/>
        </w:rPr>
        <w:t xml:space="preserve"> جدید شدیم</w:t>
      </w:r>
      <w:r w:rsidR="00266BCA" w:rsidRPr="0025250D">
        <w:rPr>
          <w:rFonts w:hint="cs"/>
          <w:rtl/>
        </w:rPr>
        <w:t>؛</w:t>
      </w:r>
      <w:r w:rsidRPr="0025250D">
        <w:rPr>
          <w:rFonts w:hint="cs"/>
          <w:rtl/>
        </w:rPr>
        <w:t xml:space="preserve"> دوران تغییر اجتماعی و </w:t>
      </w:r>
      <w:r w:rsidR="007A53FD" w:rsidRPr="0025250D">
        <w:rPr>
          <w:rFonts w:hint="cs"/>
          <w:rtl/>
        </w:rPr>
        <w:t>فناوری</w:t>
      </w:r>
      <w:r w:rsidRPr="0025250D">
        <w:rPr>
          <w:rFonts w:hint="cs"/>
          <w:rtl/>
        </w:rPr>
        <w:t xml:space="preserve"> سریع و علاقه در حال رشد عمومی و تخصصی به تفکر آینده و اقدامات </w:t>
      </w:r>
      <w:r w:rsidRPr="0025250D">
        <w:rPr>
          <w:rtl/>
        </w:rPr>
        <w:t>آینده‌نگاری</w:t>
      </w:r>
      <w:r w:rsidRPr="0025250D">
        <w:rPr>
          <w:rFonts w:hint="cs"/>
          <w:rtl/>
        </w:rPr>
        <w:t xml:space="preserve">. ما این رویداد‌های </w:t>
      </w:r>
      <w:r w:rsidR="00D92F6E" w:rsidRPr="0025250D">
        <w:rPr>
          <w:rFonts w:hint="cs"/>
          <w:rtl/>
        </w:rPr>
        <w:t>بنیان‌افکن</w:t>
      </w:r>
      <w:r w:rsidRPr="0025250D">
        <w:rPr>
          <w:rFonts w:hint="cs"/>
          <w:rtl/>
        </w:rPr>
        <w:t xml:space="preserve"> را به طور میانگین در نظر می‌گیریم و سال 2010 را</w:t>
      </w:r>
      <w:r w:rsidR="008D6F97" w:rsidRPr="0025250D">
        <w:rPr>
          <w:rtl/>
        </w:rPr>
        <w:t xml:space="preserve"> </w:t>
      </w:r>
      <w:r w:rsidRPr="0025250D">
        <w:rPr>
          <w:rFonts w:hint="cs"/>
          <w:rtl/>
        </w:rPr>
        <w:t xml:space="preserve">تاریخ آغاز آخرین بهار این زمینه می‌نامیم. شاید این </w:t>
      </w:r>
      <w:r w:rsidR="00266BCA" w:rsidRPr="0025250D">
        <w:rPr>
          <w:rFonts w:hint="cs"/>
          <w:rtl/>
        </w:rPr>
        <w:t>بهار نیز</w:t>
      </w:r>
      <w:r w:rsidRPr="0025250D">
        <w:rPr>
          <w:rFonts w:hint="cs"/>
          <w:rtl/>
        </w:rPr>
        <w:t xml:space="preserve"> تا بیست سال ادامه یابد. همه گیری </w:t>
      </w:r>
      <w:r w:rsidRPr="0025250D">
        <w:rPr>
          <w:rtl/>
        </w:rPr>
        <w:t>کوو</w:t>
      </w:r>
      <w:r w:rsidRPr="0025250D">
        <w:rPr>
          <w:rFonts w:hint="cs"/>
          <w:rtl/>
        </w:rPr>
        <w:t>ی</w:t>
      </w:r>
      <w:r w:rsidRPr="0025250D">
        <w:rPr>
          <w:rFonts w:hint="eastAsia"/>
          <w:rtl/>
        </w:rPr>
        <w:t>د</w:t>
      </w:r>
      <w:r w:rsidRPr="0025250D">
        <w:rPr>
          <w:rtl/>
        </w:rPr>
        <w:t>-۱۹</w:t>
      </w:r>
      <w:r w:rsidRPr="0025250D">
        <w:rPr>
          <w:rFonts w:hint="cs"/>
          <w:rtl/>
        </w:rPr>
        <w:t xml:space="preserve"> از سال 2020 تنها علاقه </w:t>
      </w:r>
      <w:r w:rsidRPr="0025250D">
        <w:rPr>
          <w:rtl/>
        </w:rPr>
        <w:t>آینده‌نگاری</w:t>
      </w:r>
      <w:r w:rsidRPr="0025250D">
        <w:rPr>
          <w:rFonts w:hint="cs"/>
          <w:rtl/>
        </w:rPr>
        <w:t xml:space="preserve"> ما را افزایش داده است، زیرا برخی از متراکم‌ترین</w:t>
      </w:r>
      <w:r w:rsidR="008D6F97" w:rsidRPr="0025250D">
        <w:rPr>
          <w:rtl/>
        </w:rPr>
        <w:t xml:space="preserve"> </w:t>
      </w:r>
      <w:r w:rsidRPr="0025250D">
        <w:rPr>
          <w:rFonts w:hint="cs"/>
          <w:rtl/>
        </w:rPr>
        <w:t>و غیر مادی‌ترین</w:t>
      </w:r>
      <w:r w:rsidR="008D6F97" w:rsidRPr="0025250D">
        <w:rPr>
          <w:rtl/>
        </w:rPr>
        <w:t xml:space="preserve"> </w:t>
      </w:r>
      <w:r w:rsidRPr="0025250D">
        <w:rPr>
          <w:rFonts w:hint="cs"/>
          <w:rtl/>
        </w:rPr>
        <w:t>بخش‌های اقتصاد</w:t>
      </w:r>
      <w:r w:rsidR="00266BCA" w:rsidRPr="0025250D">
        <w:rPr>
          <w:rFonts w:hint="cs"/>
          <w:rtl/>
        </w:rPr>
        <w:t>،</w:t>
      </w:r>
      <w:r w:rsidRPr="0025250D">
        <w:rPr>
          <w:rFonts w:hint="cs"/>
          <w:rtl/>
        </w:rPr>
        <w:t xml:space="preserve"> به شدت به دلیل این فاجعه شتاب گرفته و غنی‌تر شده </w:t>
      </w:r>
      <w:r w:rsidR="00266BCA" w:rsidRPr="0025250D">
        <w:rPr>
          <w:rFonts w:hint="cs"/>
          <w:rtl/>
        </w:rPr>
        <w:t>اند</w:t>
      </w:r>
      <w:r w:rsidRPr="0025250D">
        <w:rPr>
          <w:rFonts w:hint="cs"/>
          <w:rtl/>
        </w:rPr>
        <w:t xml:space="preserve">، درحالی که بخش‌های دیگر به شدت و سختی ضربه خورده اند که </w:t>
      </w:r>
      <w:r w:rsidR="00266BCA" w:rsidRPr="0025250D">
        <w:rPr>
          <w:rFonts w:hint="cs"/>
          <w:rtl/>
        </w:rPr>
        <w:t xml:space="preserve">موجب ایجاد </w:t>
      </w:r>
      <w:r w:rsidRPr="0025250D">
        <w:rPr>
          <w:rFonts w:hint="cs"/>
          <w:rtl/>
        </w:rPr>
        <w:t xml:space="preserve">نابرابری اجتماعی بیش از هر زمان دیگری </w:t>
      </w:r>
      <w:r w:rsidR="00266BCA" w:rsidRPr="0025250D">
        <w:rPr>
          <w:rFonts w:hint="cs"/>
          <w:rtl/>
        </w:rPr>
        <w:t>شده است</w:t>
      </w:r>
      <w:r w:rsidRPr="0025250D">
        <w:rPr>
          <w:rFonts w:hint="cs"/>
          <w:rtl/>
        </w:rPr>
        <w:t xml:space="preserve">. در پاسخ به همه این </w:t>
      </w:r>
      <w:r w:rsidRPr="0025250D">
        <w:t>ADOR</w:t>
      </w:r>
      <w:r w:rsidRPr="0025250D">
        <w:rPr>
          <w:rFonts w:hint="cs"/>
          <w:rtl/>
        </w:rPr>
        <w:t xml:space="preserve">‌های جدید، تلاش‌های قابل توجه زیادی در تخصص‌های </w:t>
      </w:r>
      <w:r w:rsidRPr="0025250D">
        <w:rPr>
          <w:rtl/>
        </w:rPr>
        <w:t>آینده‌نگاری</w:t>
      </w:r>
      <w:r w:rsidRPr="0025250D">
        <w:rPr>
          <w:rFonts w:hint="cs"/>
          <w:rtl/>
        </w:rPr>
        <w:t xml:space="preserve"> سازمانی مانند </w:t>
      </w:r>
      <w:r w:rsidR="00FB6A7E" w:rsidRPr="0025250D">
        <w:rPr>
          <w:rFonts w:hint="cs"/>
          <w:rtl/>
        </w:rPr>
        <w:t>پیش‌نگری</w:t>
      </w:r>
      <w:r w:rsidRPr="0025250D">
        <w:rPr>
          <w:rFonts w:hint="cs"/>
          <w:rtl/>
        </w:rPr>
        <w:t xml:space="preserve">، تحلیل، مدیریت ریسک، مدیریت نوآوری، </w:t>
      </w:r>
      <w:r w:rsidR="00B124DE" w:rsidRPr="0025250D">
        <w:rPr>
          <w:rFonts w:hint="cs"/>
          <w:rtl/>
        </w:rPr>
        <w:t>برنامه‌ریزی</w:t>
      </w:r>
      <w:r w:rsidRPr="0025250D">
        <w:rPr>
          <w:rFonts w:hint="cs"/>
          <w:rtl/>
        </w:rPr>
        <w:t xml:space="preserve">، کارآفرینی، طراحی و اطلاعات انجام </w:t>
      </w:r>
      <w:r w:rsidR="00185F3E" w:rsidRPr="0025250D">
        <w:rPr>
          <w:rFonts w:hint="cs"/>
          <w:rtl/>
        </w:rPr>
        <w:t>شده‌اند</w:t>
      </w:r>
      <w:r w:rsidRPr="0025250D">
        <w:rPr>
          <w:rFonts w:hint="cs"/>
          <w:rtl/>
        </w:rPr>
        <w:t>.</w:t>
      </w:r>
    </w:p>
    <w:p w14:paraId="619A3E11" w14:textId="473B4E06" w:rsidR="00537CC8" w:rsidRPr="0025250D" w:rsidRDefault="00537CC8" w:rsidP="00537CC8">
      <w:pPr>
        <w:rPr>
          <w:rtl/>
        </w:rPr>
      </w:pPr>
      <w:r w:rsidRPr="0025250D">
        <w:rPr>
          <w:rFonts w:hint="cs"/>
          <w:rtl/>
        </w:rPr>
        <w:t xml:space="preserve">در میان پاسخ‌های </w:t>
      </w:r>
      <w:r w:rsidRPr="0025250D">
        <w:rPr>
          <w:rtl/>
        </w:rPr>
        <w:t>آینده‌نگاری</w:t>
      </w:r>
      <w:r w:rsidRPr="0025250D">
        <w:rPr>
          <w:rFonts w:hint="cs"/>
          <w:rtl/>
        </w:rPr>
        <w:t xml:space="preserve"> به این همه گیری، کارآفرینی جدیدی به کمک زمان سپری شده در خانه و یارانه‌های دولتی، عادات جدید دورکاری، یادگیری و حضور از راه دور، انعطاف کاری و یادگیری جدید، استاندارد‌های جدید برای توازن کار/زندگی و ظرفیت‌های جدید برای نظارت زیستی و ایمنی جمعی در مقابل پاتوژن‌های آینده یافت می‌شوند. اکثریت نسل جوان امروز که به‌عنوان بومیان دنیای دیجیتال رشد می‌کنند، همگی انتظار ادامه پیشرفت فنی و کارآفرینی را دارند. توسعه‌های امیدوار کننده متعددی به صورت حداقلی توسط رسانه‌های متمایل به </w:t>
      </w:r>
      <w:r w:rsidRPr="0025250D">
        <w:t>DROA</w:t>
      </w:r>
      <w:r w:rsidRPr="0025250D">
        <w:rPr>
          <w:rFonts w:hint="cs"/>
          <w:rtl/>
        </w:rPr>
        <w:t xml:space="preserve"> ما گزارش می‌شوند؛ برای مثال وقتی بخش‌های 3 و 4 لایحه شغلی</w:t>
      </w:r>
      <w:r w:rsidRPr="0025250D">
        <w:rPr>
          <w:vertAlign w:val="superscript"/>
          <w:rtl/>
        </w:rPr>
        <w:footnoteReference w:id="1492"/>
      </w:r>
      <w:r w:rsidRPr="0025250D">
        <w:rPr>
          <w:rFonts w:hint="cs"/>
          <w:rtl/>
        </w:rPr>
        <w:t xml:space="preserve"> در سال 2015 به‌عنوان قانون تصویب شدند، </w:t>
      </w:r>
      <w:r w:rsidRPr="0025250D">
        <w:rPr>
          <w:rtl/>
        </w:rPr>
        <w:t>تام</w:t>
      </w:r>
      <w:r w:rsidRPr="0025250D">
        <w:rPr>
          <w:rFonts w:hint="cs"/>
          <w:rtl/>
        </w:rPr>
        <w:t>ی</w:t>
      </w:r>
      <w:r w:rsidRPr="0025250D">
        <w:rPr>
          <w:rFonts w:hint="eastAsia"/>
          <w:rtl/>
        </w:rPr>
        <w:t>ن</w:t>
      </w:r>
      <w:r w:rsidRPr="0025250D">
        <w:rPr>
          <w:rtl/>
        </w:rPr>
        <w:t xml:space="preserve"> مال</w:t>
      </w:r>
      <w:r w:rsidRPr="0025250D">
        <w:rPr>
          <w:rFonts w:hint="cs"/>
          <w:rtl/>
        </w:rPr>
        <w:t>ی</w:t>
      </w:r>
      <w:r w:rsidRPr="0025250D">
        <w:rPr>
          <w:rtl/>
        </w:rPr>
        <w:t xml:space="preserve"> جمع</w:t>
      </w:r>
      <w:r w:rsidRPr="0025250D">
        <w:rPr>
          <w:rFonts w:hint="cs"/>
          <w:rtl/>
        </w:rPr>
        <w:t>ی</w:t>
      </w:r>
      <w:r w:rsidRPr="0025250D">
        <w:rPr>
          <w:vertAlign w:val="superscript"/>
          <w:rtl/>
        </w:rPr>
        <w:footnoteReference w:id="1493"/>
      </w:r>
      <w:r w:rsidRPr="0025250D">
        <w:rPr>
          <w:rFonts w:hint="cs"/>
          <w:rtl/>
        </w:rPr>
        <w:t xml:space="preserve">، به منبع جدیدی از </w:t>
      </w:r>
      <w:r w:rsidR="00F50EB4" w:rsidRPr="0025250D">
        <w:rPr>
          <w:rFonts w:hint="cs"/>
          <w:rtl/>
        </w:rPr>
        <w:t>سرمایه‌گذاری</w:t>
      </w:r>
      <w:r w:rsidRPr="0025250D">
        <w:rPr>
          <w:rFonts w:hint="cs"/>
          <w:rtl/>
        </w:rPr>
        <w:t xml:space="preserve"> برای استارتاپ‌ها و یک قید </w:t>
      </w:r>
      <w:r w:rsidR="00F50EB4" w:rsidRPr="0025250D">
        <w:rPr>
          <w:rFonts w:hint="cs"/>
          <w:rtl/>
        </w:rPr>
        <w:t>سرمایه‌گذاری</w:t>
      </w:r>
      <w:r w:rsidRPr="0025250D">
        <w:rPr>
          <w:rFonts w:hint="cs"/>
          <w:rtl/>
        </w:rPr>
        <w:t xml:space="preserve"> جدید برای همه تبدیل شد. برای اولین بار، سرمایه گذاران معمولی بدون اعتبار بالا توانستند در شرکت‌های کوچک از طریق پلتفرم‌های آنلاین </w:t>
      </w:r>
      <w:r w:rsidR="00F50EB4" w:rsidRPr="0025250D">
        <w:rPr>
          <w:rFonts w:hint="cs"/>
          <w:rtl/>
        </w:rPr>
        <w:t>سرمایه‌گذاری</w:t>
      </w:r>
      <w:r w:rsidRPr="0025250D">
        <w:rPr>
          <w:rFonts w:hint="cs"/>
          <w:rtl/>
        </w:rPr>
        <w:t xml:space="preserve"> کنند. با پیشرفت پلتفرم‌های ارزیابی و توصیه چنین </w:t>
      </w:r>
      <w:r w:rsidR="00B124DE" w:rsidRPr="0025250D">
        <w:rPr>
          <w:rFonts w:hint="cs"/>
          <w:rtl/>
        </w:rPr>
        <w:t>کسب‌و‌کار</w:t>
      </w:r>
      <w:r w:rsidRPr="0025250D">
        <w:rPr>
          <w:rFonts w:hint="cs"/>
          <w:rtl/>
        </w:rPr>
        <w:t xml:space="preserve">‌های کوچکی به سرمایه گذاران متوسط درسال‌های آینده، </w:t>
      </w:r>
      <w:r w:rsidR="00F50EB4" w:rsidRPr="0025250D">
        <w:rPr>
          <w:rFonts w:hint="cs"/>
          <w:rtl/>
        </w:rPr>
        <w:t>سرمایه‌گذاری</w:t>
      </w:r>
      <w:r w:rsidRPr="0025250D">
        <w:rPr>
          <w:rFonts w:hint="cs"/>
          <w:rtl/>
        </w:rPr>
        <w:t xml:space="preserve"> در کارآفرینی </w:t>
      </w:r>
      <w:r w:rsidR="00B124DE" w:rsidRPr="0025250D">
        <w:rPr>
          <w:rFonts w:hint="cs"/>
          <w:rtl/>
        </w:rPr>
        <w:t>کسب‌و‌کار</w:t>
      </w:r>
      <w:r w:rsidRPr="0025250D">
        <w:rPr>
          <w:rFonts w:hint="cs"/>
          <w:rtl/>
        </w:rPr>
        <w:t xml:space="preserve">‌های کوچک و </w:t>
      </w:r>
      <w:r w:rsidR="00B56611" w:rsidRPr="0025250D">
        <w:rPr>
          <w:rFonts w:hint="cs"/>
          <w:rtl/>
        </w:rPr>
        <w:t>چشم‌انداز</w:t>
      </w:r>
      <w:r w:rsidRPr="0025250D">
        <w:rPr>
          <w:rFonts w:hint="cs"/>
          <w:rtl/>
        </w:rPr>
        <w:t>‌های بنیان گذار برای ایجاد آینده‌های محلی و فردی مفید، مطمئنا بهبود خواند یافت.</w:t>
      </w:r>
    </w:p>
    <w:p w14:paraId="754BEF75" w14:textId="3A797D46" w:rsidR="00537CC8" w:rsidRPr="0025250D" w:rsidRDefault="00537CC8" w:rsidP="00537CC8">
      <w:pPr>
        <w:rPr>
          <w:rtl/>
        </w:rPr>
      </w:pPr>
      <w:r w:rsidRPr="0025250D">
        <w:rPr>
          <w:rFonts w:hint="cs"/>
          <w:rtl/>
        </w:rPr>
        <w:t xml:space="preserve">جوامع </w:t>
      </w:r>
      <w:r w:rsidRPr="0025250D">
        <w:rPr>
          <w:rtl/>
        </w:rPr>
        <w:t>آینده‌نگاری</w:t>
      </w:r>
      <w:r w:rsidRPr="0025250D">
        <w:rPr>
          <w:rFonts w:hint="cs"/>
          <w:rtl/>
        </w:rPr>
        <w:t xml:space="preserve"> آنلاین همچنین در حال شکوفایی هستند. </w:t>
      </w:r>
      <w:r w:rsidR="006C4DCD" w:rsidRPr="0025250D">
        <w:rPr>
          <w:rFonts w:hint="cs"/>
          <w:rtl/>
        </w:rPr>
        <w:t>آر</w:t>
      </w:r>
      <w:r w:rsidR="006C4DCD" w:rsidRPr="0025250D">
        <w:rPr>
          <w:rtl/>
        </w:rPr>
        <w:t>/آ</w:t>
      </w:r>
      <w:r w:rsidR="006C4DCD" w:rsidRPr="0025250D">
        <w:rPr>
          <w:rFonts w:hint="cs"/>
          <w:rtl/>
        </w:rPr>
        <w:t>ی</w:t>
      </w:r>
      <w:r w:rsidR="006C4DCD" w:rsidRPr="0025250D">
        <w:rPr>
          <w:rFonts w:hint="eastAsia"/>
          <w:rtl/>
        </w:rPr>
        <w:t>نده</w:t>
      </w:r>
      <w:r w:rsidR="006C4DCD" w:rsidRPr="0025250D">
        <w:rPr>
          <w:rtl/>
        </w:rPr>
        <w:t xml:space="preserve"> شناس</w:t>
      </w:r>
      <w:r w:rsidR="006C4DCD" w:rsidRPr="0025250D">
        <w:rPr>
          <w:rFonts w:hint="cs"/>
          <w:rtl/>
        </w:rPr>
        <w:t xml:space="preserve">ی </w:t>
      </w:r>
      <w:r w:rsidRPr="0025250D">
        <w:rPr>
          <w:rFonts w:hint="cs"/>
          <w:rtl/>
        </w:rPr>
        <w:t>ردیت</w:t>
      </w:r>
      <w:r w:rsidRPr="0025250D">
        <w:rPr>
          <w:vertAlign w:val="superscript"/>
          <w:rtl/>
        </w:rPr>
        <w:footnoteReference w:id="1494"/>
      </w:r>
      <w:r w:rsidRPr="0025250D">
        <w:rPr>
          <w:rFonts w:hint="cs"/>
          <w:rtl/>
        </w:rPr>
        <w:t xml:space="preserve">، بزرگترین جامعه آنلاین برای پست گذاشتن و نظر دادن درمورد مسائل </w:t>
      </w:r>
      <w:r w:rsidRPr="0025250D">
        <w:rPr>
          <w:rtl/>
        </w:rPr>
        <w:t>آینده‌نگاری</w:t>
      </w:r>
      <w:r w:rsidRPr="0025250D">
        <w:rPr>
          <w:rFonts w:hint="cs"/>
          <w:rtl/>
        </w:rPr>
        <w:t xml:space="preserve"> جهانی و اجتماعی، به 15 میلیون دنبال کننده از سال 2020 با میلیون‌ها نفر کاربر فعال رشد کرده است. تعداد تکرار و فراگیری </w:t>
      </w:r>
      <w:r w:rsidR="00B124DE" w:rsidRPr="0025250D">
        <w:rPr>
          <w:rFonts w:hint="cs"/>
          <w:rtl/>
        </w:rPr>
        <w:t>آینده‌اندیش</w:t>
      </w:r>
      <w:r w:rsidRPr="0025250D">
        <w:rPr>
          <w:rFonts w:hint="cs"/>
          <w:rtl/>
        </w:rPr>
        <w:t>ی کلی در آمریکا، در میان عموم مردم، اکنون بزرگتر از آنچه در آغاز دوره آپولو</w:t>
      </w:r>
      <w:r w:rsidRPr="0025250D">
        <w:rPr>
          <w:vertAlign w:val="superscript"/>
          <w:rtl/>
        </w:rPr>
        <w:footnoteReference w:id="1495"/>
      </w:r>
      <w:r w:rsidRPr="0025250D">
        <w:rPr>
          <w:rFonts w:hint="cs"/>
          <w:rtl/>
        </w:rPr>
        <w:t xml:space="preserve"> بود، می‌باشد. متأسفانه، با توجه به ظهور </w:t>
      </w:r>
      <w:r w:rsidRPr="0025250D">
        <w:rPr>
          <w:rtl/>
        </w:rPr>
        <w:t>زرسالار</w:t>
      </w:r>
      <w:r w:rsidRPr="0025250D">
        <w:rPr>
          <w:rFonts w:hint="cs"/>
          <w:rtl/>
        </w:rPr>
        <w:t>ی</w:t>
      </w:r>
      <w:r w:rsidRPr="0025250D">
        <w:rPr>
          <w:vertAlign w:val="superscript"/>
          <w:rtl/>
        </w:rPr>
        <w:footnoteReference w:id="1496"/>
      </w:r>
      <w:r w:rsidRPr="0025250D">
        <w:rPr>
          <w:rFonts w:hint="cs"/>
          <w:rtl/>
        </w:rPr>
        <w:t>، انحرافات قشر ثروتمند</w:t>
      </w:r>
      <w:r w:rsidR="0063099E" w:rsidRPr="0025250D">
        <w:rPr>
          <w:rtl/>
        </w:rPr>
        <w:t>،</w:t>
      </w:r>
      <w:r w:rsidRPr="0025250D">
        <w:rPr>
          <w:rFonts w:hint="cs"/>
          <w:rtl/>
        </w:rPr>
        <w:t xml:space="preserve"> </w:t>
      </w:r>
      <w:r w:rsidRPr="0025250D">
        <w:rPr>
          <w:rtl/>
        </w:rPr>
        <w:t>ب</w:t>
      </w:r>
      <w:r w:rsidRPr="0025250D">
        <w:rPr>
          <w:rFonts w:hint="cs"/>
          <w:rtl/>
        </w:rPr>
        <w:t>ی</w:t>
      </w:r>
      <w:r w:rsidRPr="0025250D">
        <w:rPr>
          <w:rFonts w:hint="eastAsia"/>
          <w:rtl/>
        </w:rPr>
        <w:t>هودگ</w:t>
      </w:r>
      <w:r w:rsidRPr="0025250D">
        <w:rPr>
          <w:rFonts w:hint="cs"/>
          <w:rtl/>
        </w:rPr>
        <w:t>ی</w:t>
      </w:r>
      <w:r w:rsidRPr="0025250D">
        <w:rPr>
          <w:rtl/>
        </w:rPr>
        <w:t xml:space="preserve"> رسانه‌ها </w:t>
      </w:r>
      <w:r w:rsidRPr="0025250D">
        <w:rPr>
          <w:rFonts w:hint="cs"/>
          <w:rtl/>
        </w:rPr>
        <w:t xml:space="preserve">و افول استاندارد‌های تحصیلی، کیفیت میانگین </w:t>
      </w:r>
      <w:r w:rsidR="00B124DE" w:rsidRPr="0025250D">
        <w:rPr>
          <w:rFonts w:hint="cs"/>
          <w:rtl/>
        </w:rPr>
        <w:t>آینده‌اندیش</w:t>
      </w:r>
      <w:r w:rsidRPr="0025250D">
        <w:rPr>
          <w:rFonts w:hint="cs"/>
          <w:rtl/>
        </w:rPr>
        <w:t xml:space="preserve">ی </w:t>
      </w:r>
      <w:r w:rsidRPr="0025250D">
        <w:rPr>
          <w:rFonts w:cs="Times New Roman" w:hint="cs"/>
          <w:rtl/>
        </w:rPr>
        <w:t>–</w:t>
      </w:r>
      <w:r w:rsidRPr="0025250D">
        <w:rPr>
          <w:rFonts w:hint="cs"/>
          <w:rtl/>
        </w:rPr>
        <w:t xml:space="preserve"> اما نه بالاترین کیفیت آن </w:t>
      </w:r>
      <w:r w:rsidRPr="0025250D">
        <w:rPr>
          <w:rFonts w:cs="Times New Roman" w:hint="cs"/>
          <w:rtl/>
        </w:rPr>
        <w:t>–</w:t>
      </w:r>
      <w:r w:rsidRPr="0025250D">
        <w:rPr>
          <w:rFonts w:hint="cs"/>
          <w:rtl/>
        </w:rPr>
        <w:t xml:space="preserve"> نیز به شکل بحث برانگیزی از آن زمان افت کرده است. توزیع کیفیت گسترش یافته است.</w:t>
      </w:r>
    </w:p>
    <w:p w14:paraId="7D2E612C" w14:textId="7468297F" w:rsidR="00537CC8" w:rsidRPr="0025250D" w:rsidRDefault="00537CC8" w:rsidP="00537CC8">
      <w:pPr>
        <w:rPr>
          <w:rtl/>
        </w:rPr>
      </w:pPr>
      <w:r w:rsidRPr="0025250D">
        <w:rPr>
          <w:rFonts w:hint="cs"/>
          <w:rtl/>
        </w:rPr>
        <w:t xml:space="preserve">با این وجود، درست </w:t>
      </w:r>
      <w:r w:rsidR="007118DE" w:rsidRPr="0025250D">
        <w:rPr>
          <w:rFonts w:hint="cs"/>
          <w:rtl/>
        </w:rPr>
        <w:t>همان‌طور</w:t>
      </w:r>
      <w:r w:rsidRPr="0025250D">
        <w:rPr>
          <w:rFonts w:hint="cs"/>
          <w:rtl/>
        </w:rPr>
        <w:t xml:space="preserve"> که رنسانس در اروپا (تولد دوباره به معنای واقعی کلمه) سبب تولد علوم مدرن شد، هر رنسانس </w:t>
      </w:r>
      <w:r w:rsidRPr="0025250D">
        <w:rPr>
          <w:rtl/>
        </w:rPr>
        <w:t>آینده‌نگاری</w:t>
      </w:r>
      <w:r w:rsidRPr="0025250D">
        <w:rPr>
          <w:rFonts w:hint="cs"/>
          <w:rtl/>
        </w:rPr>
        <w:t xml:space="preserve"> (</w:t>
      </w:r>
      <w:r w:rsidR="0020589F" w:rsidRPr="0025250D">
        <w:rPr>
          <w:rFonts w:hint="cs"/>
          <w:rtl/>
        </w:rPr>
        <w:t>ی</w:t>
      </w:r>
      <w:r w:rsidR="0020589F" w:rsidRPr="0025250D">
        <w:rPr>
          <w:rFonts w:hint="eastAsia"/>
          <w:rtl/>
        </w:rPr>
        <w:t>ا</w:t>
      </w:r>
      <w:r w:rsidRPr="0025250D">
        <w:rPr>
          <w:rFonts w:hint="cs"/>
          <w:rtl/>
        </w:rPr>
        <w:t xml:space="preserve"> بهار </w:t>
      </w:r>
      <w:r w:rsidRPr="0025250D">
        <w:rPr>
          <w:rtl/>
        </w:rPr>
        <w:t>آینده‌نگاری</w:t>
      </w:r>
      <w:r w:rsidRPr="0025250D">
        <w:rPr>
          <w:rFonts w:hint="cs"/>
          <w:rtl/>
        </w:rPr>
        <w:t xml:space="preserve">) در جهت مستحکم‌تر کردن بخش‌هایی از </w:t>
      </w:r>
      <w:r w:rsidR="00266BCA" w:rsidRPr="0025250D">
        <w:rPr>
          <w:rFonts w:hint="cs"/>
          <w:rtl/>
        </w:rPr>
        <w:t xml:space="preserve">این </w:t>
      </w:r>
      <w:r w:rsidRPr="0025250D">
        <w:rPr>
          <w:rFonts w:hint="cs"/>
          <w:rtl/>
        </w:rPr>
        <w:t xml:space="preserve">زمینه عمل کرده است. امروزه این پیشرفت در زمینه‌هایی مانند روانشناسی، علوم اعصاب، اقتصاد و مدل‌های ما از </w:t>
      </w:r>
      <w:r w:rsidR="00D92F6E" w:rsidRPr="0025250D">
        <w:rPr>
          <w:rFonts w:hint="cs"/>
          <w:rtl/>
        </w:rPr>
        <w:t>پیش‌بین</w:t>
      </w:r>
      <w:r w:rsidRPr="0025250D">
        <w:rPr>
          <w:rFonts w:hint="cs"/>
          <w:rtl/>
        </w:rPr>
        <w:t xml:space="preserve">ی، هوش جمعی، هوش ماشینی و پلتفمر‌های </w:t>
      </w:r>
      <w:r w:rsidR="00D92F6E" w:rsidRPr="0025250D">
        <w:rPr>
          <w:rFonts w:hint="cs"/>
          <w:rtl/>
        </w:rPr>
        <w:t>پیش‌بین</w:t>
      </w:r>
      <w:r w:rsidRPr="0025250D">
        <w:rPr>
          <w:rFonts w:hint="cs"/>
          <w:rtl/>
        </w:rPr>
        <w:t xml:space="preserve">ی رخ می‌دهد. روش علمی یک روش واحد نیست، بلکه مجموعه‌ای از روش‌ها و مدل هاست که اولین آن‌ها در قرن 17 پدیدار شد و به مجموعه‌ای از تشکیلات که اکنون علم می‌نامیم رشد کرد. به همین شکل، </w:t>
      </w:r>
      <w:r w:rsidRPr="0025250D">
        <w:rPr>
          <w:rtl/>
        </w:rPr>
        <w:t>آینده‌نگاری</w:t>
      </w:r>
      <w:r w:rsidRPr="0025250D">
        <w:rPr>
          <w:rFonts w:hint="cs"/>
          <w:rtl/>
        </w:rPr>
        <w:t xml:space="preserve"> نیز یک روش واحد نیست، بلکه مجموعه‌ای از روش‌ها و مدل‌های مفید است که بسیاری از آن‌ها با کمک هوش مصنوعی، شاید در میانه قرن 21، به مجموعه‌ای از ویژگی‌های </w:t>
      </w:r>
      <w:r w:rsidR="00B124DE" w:rsidRPr="0025250D">
        <w:rPr>
          <w:rFonts w:hint="cs"/>
          <w:rtl/>
        </w:rPr>
        <w:t>پایه‌گذار</w:t>
      </w:r>
      <w:r w:rsidRPr="0025250D">
        <w:rPr>
          <w:rFonts w:hint="cs"/>
          <w:rtl/>
        </w:rPr>
        <w:t>ی شده و علوم فنی و اجتماعی کمّی، رشته‌هایی که می‌توانند به مناسب‌ترین</w:t>
      </w:r>
      <w:r w:rsidR="008D6F97" w:rsidRPr="0025250D">
        <w:rPr>
          <w:rtl/>
        </w:rPr>
        <w:t xml:space="preserve"> </w:t>
      </w:r>
      <w:r w:rsidRPr="0025250D">
        <w:rPr>
          <w:rFonts w:hint="cs"/>
          <w:rtl/>
        </w:rPr>
        <w:t xml:space="preserve">شکل خلاق، </w:t>
      </w:r>
      <w:r w:rsidR="00127288" w:rsidRPr="0025250D">
        <w:rPr>
          <w:rFonts w:hint="cs"/>
          <w:rtl/>
        </w:rPr>
        <w:t>پیش‌انگار</w:t>
      </w:r>
      <w:r w:rsidRPr="0025250D">
        <w:rPr>
          <w:rFonts w:hint="cs"/>
          <w:rtl/>
        </w:rPr>
        <w:t xml:space="preserve"> و مدیریتی باشند، بالغ خواهند شد.</w:t>
      </w:r>
    </w:p>
    <w:p w14:paraId="7752D6FB" w14:textId="24777AB5" w:rsidR="00537CC8" w:rsidRPr="0025250D" w:rsidRDefault="00537CC8" w:rsidP="00537CC8">
      <w:pPr>
        <w:rPr>
          <w:rtl/>
        </w:rPr>
      </w:pPr>
      <w:r w:rsidRPr="0025250D">
        <w:rPr>
          <w:rFonts w:hint="cs"/>
          <w:rtl/>
        </w:rPr>
        <w:t xml:space="preserve">جامعه می‌تواند از رویکرد رشته‌های گسترده‌ای تحلیل شود که انسان شناسی، زیست شناسی، شیمی، علوم شناختی، توسعه، اقتصاد، مهندسی، تکامل، پیچیگی، محاسبات، </w:t>
      </w:r>
      <w:r w:rsidRPr="0025250D">
        <w:rPr>
          <w:rtl/>
        </w:rPr>
        <w:t>سا</w:t>
      </w:r>
      <w:r w:rsidRPr="0025250D">
        <w:rPr>
          <w:rFonts w:hint="cs"/>
          <w:rtl/>
        </w:rPr>
        <w:t>ی</w:t>
      </w:r>
      <w:r w:rsidRPr="0025250D">
        <w:rPr>
          <w:rFonts w:hint="eastAsia"/>
          <w:rtl/>
        </w:rPr>
        <w:t>برنت</w:t>
      </w:r>
      <w:r w:rsidRPr="0025250D">
        <w:rPr>
          <w:rFonts w:hint="cs"/>
          <w:rtl/>
        </w:rPr>
        <w:t>ی</w:t>
      </w:r>
      <w:r w:rsidRPr="0025250D">
        <w:rPr>
          <w:rFonts w:hint="eastAsia"/>
          <w:rtl/>
        </w:rPr>
        <w:t>ک</w:t>
      </w:r>
      <w:r w:rsidRPr="0025250D">
        <w:rPr>
          <w:vertAlign w:val="superscript"/>
          <w:rtl/>
        </w:rPr>
        <w:footnoteReference w:id="1497"/>
      </w:r>
      <w:r w:rsidRPr="0025250D">
        <w:rPr>
          <w:rFonts w:hint="cs"/>
          <w:rtl/>
        </w:rPr>
        <w:t xml:space="preserve">، نظریه اطلاعات، زبان شناسی، علوم فیزیکی، روانشناسی، معنا شناسی، آمار و نظریه </w:t>
      </w:r>
      <w:r w:rsidR="008D6F97" w:rsidRPr="0025250D">
        <w:rPr>
          <w:rFonts w:hint="cs"/>
          <w:rtl/>
        </w:rPr>
        <w:t>سامانه‌</w:t>
      </w:r>
      <w:r w:rsidRPr="0025250D">
        <w:rPr>
          <w:rFonts w:hint="cs"/>
          <w:rtl/>
        </w:rPr>
        <w:t>‌ها، تنها چند مورد از آن‌ها هستند. این موارد و دیگر علوم روش‌ها و مدل‌های خود را به شکل اجتناب ناپذیری بهبود می‌بخشند و ما را به</w:t>
      </w:r>
      <w:r w:rsidR="00266BCA" w:rsidRPr="0025250D">
        <w:rPr>
          <w:rFonts w:hint="cs"/>
          <w:rtl/>
        </w:rPr>
        <w:t xml:space="preserve"> سمت</w:t>
      </w:r>
      <w:r w:rsidRPr="0025250D">
        <w:rPr>
          <w:rFonts w:hint="cs"/>
          <w:rtl/>
        </w:rPr>
        <w:t xml:space="preserve"> درک بهتر و </w:t>
      </w:r>
      <w:r w:rsidR="00923DDB" w:rsidRPr="0025250D">
        <w:rPr>
          <w:rFonts w:hint="cs"/>
          <w:rtl/>
        </w:rPr>
        <w:t>پیش‌انگاری</w:t>
      </w:r>
      <w:r w:rsidRPr="0025250D">
        <w:rPr>
          <w:rFonts w:hint="cs"/>
          <w:rtl/>
        </w:rPr>
        <w:t xml:space="preserve"> سامانه‌های اجتماعی هدایت می‌کنند.</w:t>
      </w:r>
    </w:p>
    <w:p w14:paraId="400E6115" w14:textId="6500440F" w:rsidR="00537CC8" w:rsidRPr="0025250D" w:rsidRDefault="00537CC8" w:rsidP="00537CC8">
      <w:pPr>
        <w:rPr>
          <w:rtl/>
        </w:rPr>
      </w:pPr>
      <w:r w:rsidRPr="0025250D">
        <w:rPr>
          <w:rFonts w:hint="cs"/>
          <w:rtl/>
        </w:rPr>
        <w:t>توسعه‌های بسیاری تجزیه و تحلیل را در جهتی علمی‌تر و کمّی‌تر پیش برده اند. واضح‌ترین</w:t>
      </w:r>
      <w:r w:rsidR="008D6F97" w:rsidRPr="0025250D">
        <w:rPr>
          <w:rtl/>
        </w:rPr>
        <w:t xml:space="preserve"> </w:t>
      </w:r>
      <w:r w:rsidRPr="0025250D">
        <w:rPr>
          <w:rFonts w:hint="cs"/>
          <w:rtl/>
        </w:rPr>
        <w:t xml:space="preserve">موارد تغییرات </w:t>
      </w:r>
      <w:r w:rsidR="007B3B35" w:rsidRPr="0025250D">
        <w:rPr>
          <w:rFonts w:hint="cs"/>
          <w:rtl/>
        </w:rPr>
        <w:t>شتاب‌گیر</w:t>
      </w:r>
      <w:r w:rsidRPr="0025250D">
        <w:rPr>
          <w:rFonts w:hint="cs"/>
          <w:rtl/>
        </w:rPr>
        <w:t xml:space="preserve">نده در نظریه اطلاعات از میانه‌های دهه 1990، از جمله ظهور اینترنت، شبیه سازی‌ها، نقشه‌ها، حسگر‌ها، </w:t>
      </w:r>
      <w:r w:rsidR="007A53FD" w:rsidRPr="0025250D">
        <w:rPr>
          <w:rFonts w:hint="cs"/>
          <w:rtl/>
        </w:rPr>
        <w:t>فناوری</w:t>
      </w:r>
      <w:r w:rsidRPr="0025250D">
        <w:rPr>
          <w:rFonts w:hint="cs"/>
          <w:rtl/>
        </w:rPr>
        <w:t xml:space="preserve">‌های پوشیدنی و موبایل، شبکه‌های اجتماعی، نرم افزار‌های سازمانی، محاسبات ابری و توسعه‌های متعدد دیگر </w:t>
      </w:r>
      <w:r w:rsidR="00B124DE" w:rsidRPr="0025250D">
        <w:rPr>
          <w:rFonts w:hint="cs"/>
          <w:rtl/>
        </w:rPr>
        <w:t>بوده‌اند</w:t>
      </w:r>
      <w:r w:rsidRPr="0025250D">
        <w:rPr>
          <w:rFonts w:hint="cs"/>
          <w:rtl/>
        </w:rPr>
        <w:t>. این تغییرات دائمی در توانایی‌های محاسباتی و همکاری ما که در کتاب 2 بررسی می‌شوند، به این معنا هستند که بخش</w:t>
      </w:r>
      <w:r w:rsidR="0008779C" w:rsidRPr="0025250D">
        <w:rPr>
          <w:rFonts w:hint="cs"/>
          <w:rtl/>
        </w:rPr>
        <w:t xml:space="preserve"> بیش‌تر</w:t>
      </w:r>
      <w:r w:rsidRPr="0025250D">
        <w:rPr>
          <w:rFonts w:hint="cs"/>
          <w:rtl/>
        </w:rPr>
        <w:t xml:space="preserve">ی از جهان قابل اندازه گیری، قابل تصویر سازی، شواهد محور و از نظر آماری قابل </w:t>
      </w:r>
      <w:r w:rsidR="00D92F6E" w:rsidRPr="0025250D">
        <w:rPr>
          <w:rFonts w:hint="cs"/>
          <w:rtl/>
        </w:rPr>
        <w:t>پیش‌بین</w:t>
      </w:r>
      <w:r w:rsidRPr="0025250D">
        <w:rPr>
          <w:rFonts w:hint="cs"/>
          <w:rtl/>
        </w:rPr>
        <w:t>ی می‌شود. ما حتی توسعه‌هایی امیدوار کننده در اقتصاد، یک</w:t>
      </w:r>
      <w:r w:rsidRPr="0025250D">
        <w:rPr>
          <w:rtl/>
        </w:rPr>
        <w:t xml:space="preserve"> </w:t>
      </w:r>
      <w:r w:rsidRPr="0025250D">
        <w:rPr>
          <w:rFonts w:hint="cs"/>
          <w:rtl/>
        </w:rPr>
        <w:t>علم</w:t>
      </w:r>
      <w:r w:rsidRPr="0025250D">
        <w:rPr>
          <w:rtl/>
        </w:rPr>
        <w:t xml:space="preserve"> </w:t>
      </w:r>
      <w:r w:rsidRPr="0025250D">
        <w:rPr>
          <w:rFonts w:hint="cs"/>
          <w:rtl/>
        </w:rPr>
        <w:t>اجتماعی</w:t>
      </w:r>
      <w:r w:rsidRPr="0025250D">
        <w:rPr>
          <w:rtl/>
        </w:rPr>
        <w:t xml:space="preserve"> </w:t>
      </w:r>
      <w:r w:rsidRPr="0025250D">
        <w:rPr>
          <w:rFonts w:hint="cs"/>
          <w:rtl/>
        </w:rPr>
        <w:t xml:space="preserve">که با آغاز درک و مدل سازی تولید فنی نهایتا به شکلی مفید قابل </w:t>
      </w:r>
      <w:r w:rsidR="00D92F6E" w:rsidRPr="0025250D">
        <w:rPr>
          <w:rFonts w:hint="cs"/>
          <w:rtl/>
        </w:rPr>
        <w:t>پیش‌بین</w:t>
      </w:r>
      <w:r w:rsidRPr="0025250D">
        <w:rPr>
          <w:rFonts w:hint="cs"/>
          <w:rtl/>
        </w:rPr>
        <w:t>ی می‌شود، مشاهده می‌کنیم. کتاب عصر ماشینی دوم</w:t>
      </w:r>
      <w:r w:rsidRPr="0025250D">
        <w:rPr>
          <w:vertAlign w:val="superscript"/>
          <w:rtl/>
        </w:rPr>
        <w:footnoteReference w:id="1498"/>
      </w:r>
      <w:r w:rsidRPr="0025250D">
        <w:rPr>
          <w:rFonts w:hint="cs"/>
          <w:rtl/>
        </w:rPr>
        <w:t xml:space="preserve"> اثر </w:t>
      </w:r>
      <w:r w:rsidRPr="0025250D">
        <w:rPr>
          <w:rtl/>
        </w:rPr>
        <w:t>بر</w:t>
      </w:r>
      <w:r w:rsidRPr="0025250D">
        <w:rPr>
          <w:rFonts w:hint="cs"/>
          <w:rtl/>
        </w:rPr>
        <w:t>ی</w:t>
      </w:r>
      <w:r w:rsidRPr="0025250D">
        <w:rPr>
          <w:rFonts w:hint="eastAsia"/>
          <w:rtl/>
        </w:rPr>
        <w:t>ن</w:t>
      </w:r>
      <w:r w:rsidRPr="0025250D">
        <w:rPr>
          <w:rFonts w:hint="cs"/>
          <w:rtl/>
        </w:rPr>
        <w:t>ی</w:t>
      </w:r>
      <w:r w:rsidRPr="0025250D">
        <w:rPr>
          <w:rFonts w:hint="eastAsia"/>
          <w:rtl/>
        </w:rPr>
        <w:t>ولفسون</w:t>
      </w:r>
      <w:r w:rsidRPr="0025250D">
        <w:rPr>
          <w:vertAlign w:val="superscript"/>
          <w:rtl/>
        </w:rPr>
        <w:footnoteReference w:id="1499"/>
      </w:r>
      <w:r w:rsidRPr="0025250D">
        <w:rPr>
          <w:rFonts w:hint="cs"/>
          <w:rtl/>
        </w:rPr>
        <w:t xml:space="preserve"> و </w:t>
      </w:r>
      <w:r w:rsidRPr="0025250D">
        <w:rPr>
          <w:rtl/>
        </w:rPr>
        <w:t>مک آف</w:t>
      </w:r>
      <w:r w:rsidRPr="0025250D">
        <w:rPr>
          <w:rFonts w:hint="cs"/>
          <w:rtl/>
        </w:rPr>
        <w:t>ی در سال 2014 را برای اطلاعات بیش‌تر ببینید.</w:t>
      </w:r>
    </w:p>
    <w:p w14:paraId="02AF2CE3" w14:textId="6A656E06" w:rsidR="00537CC8" w:rsidRPr="0025250D" w:rsidRDefault="00537CC8" w:rsidP="00537CC8">
      <w:pPr>
        <w:rPr>
          <w:rtl/>
        </w:rPr>
      </w:pPr>
      <w:r w:rsidRPr="0025250D">
        <w:rPr>
          <w:rFonts w:hint="cs"/>
          <w:rtl/>
        </w:rPr>
        <w:t xml:space="preserve">با پیشرفت مدل‌ها و </w:t>
      </w:r>
      <w:r w:rsidR="00B124DE" w:rsidRPr="0025250D">
        <w:rPr>
          <w:rFonts w:hint="cs"/>
          <w:rtl/>
        </w:rPr>
        <w:t>جمع‌آوری</w:t>
      </w:r>
      <w:r w:rsidRPr="0025250D">
        <w:rPr>
          <w:rFonts w:hint="cs"/>
          <w:rtl/>
        </w:rPr>
        <w:t xml:space="preserve"> اطلاعات، انجام </w:t>
      </w:r>
      <w:r w:rsidRPr="0025250D">
        <w:rPr>
          <w:rtl/>
        </w:rPr>
        <w:t>آینده‌نگاری</w:t>
      </w:r>
      <w:r w:rsidRPr="0025250D">
        <w:rPr>
          <w:rFonts w:hint="cs"/>
          <w:rtl/>
        </w:rPr>
        <w:t xml:space="preserve"> به تکامل و توسعه ادامه خواهد داد. از نظر تکاملی، این امر به تقسیم شدن به آموزشکده‌ها و دانشکده‌های رقابتی، هر یک با دیدگاه‌های متناقض خود از آینده ادامه خواهد داد. چنین عدم توافقاتی سالم هستند و بر روی هر آموزشکده‌ای برای شفاف سازی فرضیات و نظریه خود فشار وارد می‌کنند. به این دلیل که به دنبال آزمایش و شواهدی هستیم که عدم توافقات ما را حل و فصل کنند، بنابراین </w:t>
      </w:r>
      <w:r w:rsidRPr="0025250D">
        <w:rPr>
          <w:rtl/>
        </w:rPr>
        <w:t>آینده‌نگاری</w:t>
      </w:r>
      <w:r w:rsidRPr="0025250D">
        <w:rPr>
          <w:rFonts w:hint="cs"/>
          <w:rtl/>
        </w:rPr>
        <w:t xml:space="preserve"> توسعه‌ای بهتری خواهیم داشت. ما نه تنها می‌آموزیم که عدم قطعیت بسیاری از موارد تکاملی ممکن را دیده و در نظر بگیریم، می‌آموزیم که احتمالات آماری بالا درمورد مقاصد توسعه‌ای قطعی را نیز که در انتظار پیدایش هستند، دیده و در نظر بگیریم. موارد</w:t>
      </w:r>
      <w:r w:rsidR="0008779C" w:rsidRPr="0025250D">
        <w:rPr>
          <w:rFonts w:hint="cs"/>
          <w:rtl/>
        </w:rPr>
        <w:t xml:space="preserve"> بیش‌تر</w:t>
      </w:r>
      <w:r w:rsidRPr="0025250D">
        <w:rPr>
          <w:rFonts w:hint="cs"/>
          <w:rtl/>
        </w:rPr>
        <w:t>ی درمورد آینده‌ها و آینده خود خواهیم دید.</w:t>
      </w:r>
    </w:p>
    <w:p w14:paraId="1559B42B" w14:textId="77777777" w:rsidR="00537CC8" w:rsidRPr="0025250D" w:rsidRDefault="00537CC8" w:rsidP="000A674B">
      <w:pPr>
        <w:pStyle w:val="Heading2"/>
        <w:rPr>
          <w:rtl/>
        </w:rPr>
      </w:pPr>
      <w:bookmarkStart w:id="46" w:name="_Toc127831311"/>
      <w:r w:rsidRPr="0025250D">
        <w:rPr>
          <w:rFonts w:hint="cs"/>
          <w:rtl/>
        </w:rPr>
        <w:t>نقش ما چه خواهد بود؟</w:t>
      </w:r>
      <w:bookmarkEnd w:id="46"/>
    </w:p>
    <w:p w14:paraId="2D6195D7" w14:textId="286803FD" w:rsidR="00537CC8" w:rsidRPr="0025250D" w:rsidRDefault="00537CC8" w:rsidP="00537CC8">
      <w:pPr>
        <w:rPr>
          <w:rtl/>
        </w:rPr>
      </w:pPr>
      <w:r w:rsidRPr="0025250D">
        <w:rPr>
          <w:rFonts w:hint="cs"/>
          <w:rtl/>
        </w:rPr>
        <w:t xml:space="preserve">قرن 21 زمان بسیار جالبی برای تبدیل شدن به یک متخصص </w:t>
      </w:r>
      <w:r w:rsidRPr="0025250D">
        <w:rPr>
          <w:rtl/>
        </w:rPr>
        <w:t>آینده‌نگاری</w:t>
      </w:r>
      <w:r w:rsidRPr="0025250D">
        <w:rPr>
          <w:rFonts w:hint="cs"/>
          <w:rtl/>
        </w:rPr>
        <w:t xml:space="preserve"> است. درصورتی که تغییر پر شتاب ادامه یابد، بشریت تغییر علمی‌تر و فناورانه تری را قبل از پایان این قرن نسبت به هر چیزی که در تاریخ بشر رخ داده است، تجربه خواهد کرد. حدس زدن این که دانش علمی و ظرفیت‌های فنی ما چگونه بر دامنه‌های کسب وکار و اجتماعی در نسل بعد تأثیر خواهند گذاشت دشوار خواهد بود، اگرچه، در این کتاب به دنبال پاسخ به این سؤال خواهیم بود.</w:t>
      </w:r>
    </w:p>
    <w:p w14:paraId="13BE16C6" w14:textId="17CCD18A" w:rsidR="00537CC8" w:rsidRPr="0025250D" w:rsidRDefault="00537CC8" w:rsidP="00537CC8">
      <w:pPr>
        <w:rPr>
          <w:rtl/>
        </w:rPr>
      </w:pPr>
      <w:r w:rsidRPr="0025250D">
        <w:rPr>
          <w:rFonts w:hint="cs"/>
          <w:rtl/>
        </w:rPr>
        <w:t>تا به حال، دیده ایم که هر سال فرایندها، روند‌ها و رویداد‌های علمی، فنی، کسب‌وکاری و اجتماعی</w:t>
      </w:r>
      <w:r w:rsidR="0008779C" w:rsidRPr="0025250D">
        <w:rPr>
          <w:rFonts w:hint="cs"/>
          <w:rtl/>
        </w:rPr>
        <w:t xml:space="preserve"> بیش‌تر</w:t>
      </w:r>
      <w:r w:rsidRPr="0025250D">
        <w:rPr>
          <w:rFonts w:hint="cs"/>
          <w:rtl/>
        </w:rPr>
        <w:t xml:space="preserve">ی به صورت شهودی یا آماری قابل </w:t>
      </w:r>
      <w:r w:rsidR="00D92F6E" w:rsidRPr="0025250D">
        <w:rPr>
          <w:rFonts w:hint="cs"/>
          <w:rtl/>
        </w:rPr>
        <w:t>پیش‌بین</w:t>
      </w:r>
      <w:r w:rsidRPr="0025250D">
        <w:rPr>
          <w:rFonts w:hint="cs"/>
          <w:rtl/>
        </w:rPr>
        <w:t>ی می‌شوند و ابزارها، تکنیک‌ها</w:t>
      </w:r>
      <w:r w:rsidR="008D6F97" w:rsidRPr="0025250D">
        <w:rPr>
          <w:rtl/>
        </w:rPr>
        <w:t xml:space="preserve"> </w:t>
      </w:r>
      <w:r w:rsidRPr="0025250D">
        <w:rPr>
          <w:rFonts w:hint="cs"/>
          <w:rtl/>
        </w:rPr>
        <w:t>و افراد</w:t>
      </w:r>
      <w:r w:rsidR="0008779C" w:rsidRPr="0025250D">
        <w:rPr>
          <w:rFonts w:hint="cs"/>
          <w:rtl/>
        </w:rPr>
        <w:t xml:space="preserve"> بیش‌تر</w:t>
      </w:r>
      <w:r w:rsidRPr="0025250D">
        <w:rPr>
          <w:rFonts w:hint="cs"/>
          <w:rtl/>
        </w:rPr>
        <w:t xml:space="preserve">ی عدم قطعیت و ریسک را مدیریت می‌کنند و کار </w:t>
      </w:r>
      <w:r w:rsidRPr="0025250D">
        <w:rPr>
          <w:rtl/>
        </w:rPr>
        <w:t>آینده‌نگاری</w:t>
      </w:r>
      <w:r w:rsidRPr="0025250D">
        <w:rPr>
          <w:rFonts w:hint="cs"/>
          <w:rtl/>
        </w:rPr>
        <w:t xml:space="preserve"> را برای کسب سود و مزایا نسبت به هر زمان دیگری انجام می‌دهند. همه این افراد باید به شکل فزاینده‌ای گفتگو کنند، دانش خود را به اشتراک بگذارند، به یکدیگر آموزش دهند و تخصصی شوند.</w:t>
      </w:r>
    </w:p>
    <w:p w14:paraId="7E7C7035" w14:textId="6C257A5B" w:rsidR="00537CC8" w:rsidRPr="0025250D" w:rsidRDefault="00537CC8" w:rsidP="00537CC8">
      <w:pPr>
        <w:rPr>
          <w:rtl/>
        </w:rPr>
      </w:pPr>
      <w:r w:rsidRPr="0025250D">
        <w:rPr>
          <w:rtl/>
        </w:rPr>
        <w:t>آینده‌نگاری</w:t>
      </w:r>
      <w:r w:rsidRPr="0025250D">
        <w:rPr>
          <w:rFonts w:hint="cs"/>
          <w:rtl/>
        </w:rPr>
        <w:t xml:space="preserve"> تخصصی امروزه دارای ارتباطات ضعیف است و اغلب درک نادرستی از آن وجود دارد. با این حال با هوشمند‌تر شدن شبکه اینترنت، با پیدایش اینترنت اشیاء، افزایش ربات‌ها، رسیدن به نقطه اوج تقاضا برای نفت، بیش‌ترین</w:t>
      </w:r>
      <w:r w:rsidR="008D6F97" w:rsidRPr="0025250D">
        <w:rPr>
          <w:rtl/>
        </w:rPr>
        <w:t xml:space="preserve"> </w:t>
      </w:r>
      <w:r w:rsidRPr="0025250D">
        <w:rPr>
          <w:rFonts w:hint="cs"/>
          <w:rtl/>
        </w:rPr>
        <w:t>جمعیت و بیش‌ترین</w:t>
      </w:r>
      <w:r w:rsidR="008D6F97" w:rsidRPr="0025250D">
        <w:rPr>
          <w:rtl/>
        </w:rPr>
        <w:t xml:space="preserve"> </w:t>
      </w:r>
      <w:r w:rsidRPr="0025250D">
        <w:rPr>
          <w:rFonts w:hint="cs"/>
          <w:rtl/>
        </w:rPr>
        <w:t xml:space="preserve">آلودگی، با حرکت سریع ملت‌های در حال ظهور به سمت سبک زندگی ملت‌های صنعتی، با ادامه حکومت دیجیتالی، فعالیت‌های دیجیتالی و تغییرات اقلیمی، با رمزگشایی علم از رازهای هوش زیستی، اخلاقیات و </w:t>
      </w:r>
      <w:r w:rsidR="00A936B3" w:rsidRPr="0025250D">
        <w:rPr>
          <w:rFonts w:hint="cs"/>
          <w:rtl/>
        </w:rPr>
        <w:t>همدلی</w:t>
      </w:r>
      <w:r w:rsidRPr="0025250D">
        <w:rPr>
          <w:rFonts w:hint="cs"/>
          <w:rtl/>
        </w:rPr>
        <w:t xml:space="preserve"> و ایجاد فزاینده یادگیری ماشین که هم می‌تواند تکاملی و هم توسعه‌ای باشد، مطمئنا می‌توانیم جریان مداومی از تحولات مهم پیش رو را </w:t>
      </w:r>
      <w:r w:rsidR="00D92F6E" w:rsidRPr="0025250D">
        <w:rPr>
          <w:rFonts w:hint="cs"/>
          <w:rtl/>
        </w:rPr>
        <w:t>پیش‌بین</w:t>
      </w:r>
      <w:r w:rsidRPr="0025250D">
        <w:rPr>
          <w:rFonts w:hint="cs"/>
          <w:rtl/>
        </w:rPr>
        <w:t xml:space="preserve">ی کنیم. مردم برای هدایت و راهبری </w:t>
      </w:r>
      <w:r w:rsidR="001D274D" w:rsidRPr="0025250D">
        <w:rPr>
          <w:rFonts w:hint="cs"/>
          <w:rtl/>
        </w:rPr>
        <w:t>از</w:t>
      </w:r>
      <w:r w:rsidRPr="0025250D">
        <w:rPr>
          <w:rFonts w:hint="cs"/>
          <w:rtl/>
        </w:rPr>
        <w:t xml:space="preserve"> میان همه این تغییرات امروزه بیش از هر زمان دیگری به کمک نیاز دارند.</w:t>
      </w:r>
    </w:p>
    <w:p w14:paraId="06E9AFFF" w14:textId="6C0A7999" w:rsidR="00537CC8" w:rsidRPr="0025250D" w:rsidRDefault="00537CC8" w:rsidP="00537CC8">
      <w:pPr>
        <w:rPr>
          <w:rtl/>
        </w:rPr>
      </w:pPr>
      <w:r w:rsidRPr="0025250D">
        <w:rPr>
          <w:rFonts w:hint="cs"/>
          <w:rtl/>
        </w:rPr>
        <w:t xml:space="preserve">نویسنده اصلی این کتاب، </w:t>
      </w:r>
      <w:r w:rsidRPr="0025250D">
        <w:rPr>
          <w:rtl/>
        </w:rPr>
        <w:t>سوزان فانت</w:t>
      </w:r>
      <w:r w:rsidRPr="0025250D">
        <w:rPr>
          <w:vertAlign w:val="superscript"/>
          <w:rtl/>
        </w:rPr>
        <w:footnoteReference w:id="1500"/>
      </w:r>
      <w:r w:rsidRPr="0025250D">
        <w:rPr>
          <w:rFonts w:hint="cs"/>
          <w:rtl/>
        </w:rPr>
        <w:t xml:space="preserve">، </w:t>
      </w:r>
      <w:r w:rsidRPr="0025250D">
        <w:rPr>
          <w:rtl/>
        </w:rPr>
        <w:t>شبکه آموزش و تحق</w:t>
      </w:r>
      <w:r w:rsidRPr="0025250D">
        <w:rPr>
          <w:rFonts w:hint="cs"/>
          <w:rtl/>
        </w:rPr>
        <w:t>ی</w:t>
      </w:r>
      <w:r w:rsidRPr="0025250D">
        <w:rPr>
          <w:rFonts w:hint="eastAsia"/>
          <w:rtl/>
        </w:rPr>
        <w:t>قات</w:t>
      </w:r>
      <w:r w:rsidRPr="0025250D">
        <w:rPr>
          <w:rtl/>
        </w:rPr>
        <w:t xml:space="preserve"> آ</w:t>
      </w:r>
      <w:r w:rsidRPr="0025250D">
        <w:rPr>
          <w:rFonts w:hint="cs"/>
          <w:rtl/>
        </w:rPr>
        <w:t>ی</w:t>
      </w:r>
      <w:r w:rsidRPr="0025250D">
        <w:rPr>
          <w:rFonts w:hint="eastAsia"/>
          <w:rtl/>
        </w:rPr>
        <w:t>نده</w:t>
      </w:r>
      <w:r w:rsidR="001D274D" w:rsidRPr="0025250D">
        <w:rPr>
          <w:rFonts w:hint="eastAsia"/>
        </w:rPr>
        <w:t>‌</w:t>
      </w:r>
      <w:r w:rsidRPr="0025250D">
        <w:rPr>
          <w:rtl/>
        </w:rPr>
        <w:t>نگ</w:t>
      </w:r>
      <w:r w:rsidR="001D274D" w:rsidRPr="0025250D">
        <w:rPr>
          <w:rFonts w:hint="cs"/>
          <w:rtl/>
        </w:rPr>
        <w:t>ا</w:t>
      </w:r>
      <w:r w:rsidRPr="0025250D">
        <w:rPr>
          <w:rtl/>
        </w:rPr>
        <w:t>ر</w:t>
      </w:r>
      <w:r w:rsidRPr="0025250D">
        <w:rPr>
          <w:rFonts w:hint="cs"/>
          <w:rtl/>
        </w:rPr>
        <w:t>ی</w:t>
      </w:r>
      <w:r w:rsidRPr="0025250D">
        <w:rPr>
          <w:vertAlign w:val="superscript"/>
          <w:rtl/>
        </w:rPr>
        <w:footnoteReference w:id="1501"/>
      </w:r>
      <w:r w:rsidRPr="0025250D">
        <w:rPr>
          <w:rFonts w:hint="cs"/>
          <w:rtl/>
        </w:rPr>
        <w:t xml:space="preserve"> (</w:t>
      </w:r>
      <w:r w:rsidRPr="0025250D">
        <w:t>FERN</w:t>
      </w:r>
      <w:r w:rsidRPr="0025250D">
        <w:rPr>
          <w:rFonts w:hint="cs"/>
          <w:rtl/>
        </w:rPr>
        <w:t xml:space="preserve">) را هدایت می‌کند که یک ورودی رایگان به زمینه آموزش، تمرین و تحقیقات </w:t>
      </w:r>
      <w:r w:rsidRPr="0025250D">
        <w:rPr>
          <w:rtl/>
        </w:rPr>
        <w:t>آینده‌نگاری</w:t>
      </w:r>
      <w:r w:rsidRPr="0025250D">
        <w:rPr>
          <w:rFonts w:hint="cs"/>
          <w:rtl/>
        </w:rPr>
        <w:t xml:space="preserve"> می‌باشد. ما </w:t>
      </w:r>
      <w:r w:rsidRPr="0025250D">
        <w:t>FERN</w:t>
      </w:r>
      <w:r w:rsidRPr="0025250D">
        <w:rPr>
          <w:rFonts w:hint="cs"/>
          <w:rtl/>
        </w:rPr>
        <w:t xml:space="preserve"> را برای کمک به مشارکت افراد بیش‌تر و قدردانی بیش‌تر از </w:t>
      </w:r>
      <w:r w:rsidRPr="0025250D">
        <w:rPr>
          <w:rtl/>
        </w:rPr>
        <w:t>آینده‌نگاری</w:t>
      </w:r>
      <w:r w:rsidRPr="0025250D">
        <w:rPr>
          <w:rFonts w:hint="cs"/>
          <w:rtl/>
        </w:rPr>
        <w:t xml:space="preserve"> ایجاد کردیم. </w:t>
      </w:r>
      <w:r w:rsidRPr="0025250D">
        <w:t>FERN</w:t>
      </w:r>
      <w:r w:rsidRPr="0025250D">
        <w:rPr>
          <w:rFonts w:hint="cs"/>
          <w:rtl/>
        </w:rPr>
        <w:t xml:space="preserve"> وبگاه </w:t>
      </w:r>
      <w:r w:rsidRPr="0025250D">
        <w:t>GlobalForesight.org</w:t>
      </w:r>
      <w:r w:rsidRPr="0025250D">
        <w:rPr>
          <w:rFonts w:hint="cs"/>
          <w:rtl/>
        </w:rPr>
        <w:t xml:space="preserve"> اولین دانشنامه آنلاین برای دانشجویان، فارغ التحصیلان، متخصصین و حامیان </w:t>
      </w:r>
      <w:r w:rsidRPr="0025250D">
        <w:rPr>
          <w:rtl/>
        </w:rPr>
        <w:t>آینده‌نگاری</w:t>
      </w:r>
      <w:r w:rsidRPr="0025250D">
        <w:rPr>
          <w:rFonts w:hint="cs"/>
          <w:rtl/>
        </w:rPr>
        <w:t xml:space="preserve"> را راه‌اندازی کرد که جامعه مباحثه </w:t>
      </w:r>
      <w:r w:rsidRPr="0025250D">
        <w:rPr>
          <w:rtl/>
        </w:rPr>
        <w:t>آینده‌نگاری</w:t>
      </w:r>
      <w:r w:rsidRPr="0025250D">
        <w:rPr>
          <w:rFonts w:hint="cs"/>
          <w:rtl/>
        </w:rPr>
        <w:t xml:space="preserve"> جهانی</w:t>
      </w:r>
      <w:r w:rsidRPr="0025250D">
        <w:rPr>
          <w:vertAlign w:val="superscript"/>
          <w:rtl/>
        </w:rPr>
        <w:footnoteReference w:id="1502"/>
      </w:r>
      <w:r w:rsidRPr="0025250D">
        <w:rPr>
          <w:rFonts w:hint="cs"/>
          <w:rtl/>
        </w:rPr>
        <w:t xml:space="preserve"> با 5600 عضو را در لینکدین برگزار می‌کند و یک کنفرانس کارراهه </w:t>
      </w:r>
      <w:r w:rsidRPr="0025250D">
        <w:rPr>
          <w:rtl/>
        </w:rPr>
        <w:t>آینده‌نگاری</w:t>
      </w:r>
      <w:r w:rsidRPr="0025250D">
        <w:rPr>
          <w:vertAlign w:val="superscript"/>
          <w:rtl/>
        </w:rPr>
        <w:footnoteReference w:id="1503"/>
      </w:r>
      <w:r w:rsidRPr="0025250D">
        <w:rPr>
          <w:rFonts w:hint="cs"/>
          <w:rtl/>
        </w:rPr>
        <w:t xml:space="preserve"> را در سال 2013 ایجاد کرد که در آن تصمیم به ایجاد این کتاب راهنما گرفتیم. ما اکنون درحال تبدیل </w:t>
      </w:r>
      <w:r w:rsidRPr="0025250D">
        <w:t>FERN</w:t>
      </w:r>
      <w:r w:rsidRPr="0025250D">
        <w:rPr>
          <w:rFonts w:hint="cs"/>
          <w:rtl/>
        </w:rPr>
        <w:t xml:space="preserve"> به دانشگاه </w:t>
      </w:r>
      <w:r w:rsidRPr="0025250D">
        <w:rPr>
          <w:rtl/>
        </w:rPr>
        <w:t>آینده‌نگاری</w:t>
      </w:r>
      <w:r w:rsidR="001D274D" w:rsidRPr="0025250D">
        <w:rPr>
          <w:rFonts w:hint="cs"/>
          <w:rtl/>
        </w:rPr>
        <w:t xml:space="preserve"> هستیم</w:t>
      </w:r>
      <w:r w:rsidRPr="0025250D">
        <w:rPr>
          <w:rFonts w:hint="cs"/>
          <w:rtl/>
        </w:rPr>
        <w:t xml:space="preserve">، زیرا در حال ورود به فاز بعدی سفر </w:t>
      </w:r>
      <w:r w:rsidRPr="0025250D">
        <w:rPr>
          <w:rtl/>
        </w:rPr>
        <w:t>آینده‌نگاری</w:t>
      </w:r>
      <w:r w:rsidRPr="0025250D">
        <w:rPr>
          <w:rFonts w:hint="cs"/>
          <w:rtl/>
        </w:rPr>
        <w:t xml:space="preserve"> خود هستیم. شما </w:t>
      </w:r>
      <w:r w:rsidRPr="0025250D">
        <w:rPr>
          <w:rtl/>
        </w:rPr>
        <w:t>چه کمک</w:t>
      </w:r>
      <w:r w:rsidRPr="0025250D">
        <w:rPr>
          <w:rFonts w:hint="cs"/>
          <w:rtl/>
        </w:rPr>
        <w:t>ی</w:t>
      </w:r>
      <w:r w:rsidRPr="0025250D">
        <w:rPr>
          <w:rtl/>
        </w:rPr>
        <w:t xml:space="preserve"> به حوزه ح</w:t>
      </w:r>
      <w:r w:rsidRPr="0025250D">
        <w:rPr>
          <w:rFonts w:hint="cs"/>
          <w:rtl/>
        </w:rPr>
        <w:t>ی</w:t>
      </w:r>
      <w:r w:rsidRPr="0025250D">
        <w:rPr>
          <w:rFonts w:hint="eastAsia"/>
          <w:rtl/>
        </w:rPr>
        <w:t>ات</w:t>
      </w:r>
      <w:r w:rsidRPr="0025250D">
        <w:rPr>
          <w:rFonts w:hint="cs"/>
          <w:rtl/>
        </w:rPr>
        <w:t>ی</w:t>
      </w:r>
      <w:r w:rsidRPr="0025250D">
        <w:rPr>
          <w:rtl/>
        </w:rPr>
        <w:t xml:space="preserve"> و کم‌نظ</w:t>
      </w:r>
      <w:r w:rsidRPr="0025250D">
        <w:rPr>
          <w:rFonts w:hint="cs"/>
          <w:rtl/>
        </w:rPr>
        <w:t>ی</w:t>
      </w:r>
      <w:r w:rsidRPr="0025250D">
        <w:rPr>
          <w:rFonts w:hint="eastAsia"/>
          <w:rtl/>
        </w:rPr>
        <w:t>ر</w:t>
      </w:r>
      <w:r w:rsidRPr="0025250D">
        <w:rPr>
          <w:rtl/>
        </w:rPr>
        <w:t xml:space="preserve"> </w:t>
      </w:r>
      <w:r w:rsidR="001D274D" w:rsidRPr="0025250D">
        <w:rPr>
          <w:rFonts w:hint="cs"/>
          <w:rtl/>
        </w:rPr>
        <w:t>آینده‌نگاری</w:t>
      </w:r>
      <w:r w:rsidRPr="0025250D">
        <w:rPr>
          <w:rtl/>
        </w:rPr>
        <w:t xml:space="preserve"> خواه</w:t>
      </w:r>
      <w:r w:rsidRPr="0025250D">
        <w:rPr>
          <w:rFonts w:hint="cs"/>
          <w:rtl/>
        </w:rPr>
        <w:t>ی</w:t>
      </w:r>
      <w:r w:rsidRPr="0025250D">
        <w:rPr>
          <w:rFonts w:hint="eastAsia"/>
          <w:rtl/>
        </w:rPr>
        <w:t>د</w:t>
      </w:r>
      <w:r w:rsidRPr="0025250D">
        <w:rPr>
          <w:rtl/>
        </w:rPr>
        <w:t xml:space="preserve"> کرد</w:t>
      </w:r>
      <w:r w:rsidRPr="0025250D">
        <w:rPr>
          <w:rFonts w:hint="cs"/>
          <w:rtl/>
        </w:rPr>
        <w:t>؟</w:t>
      </w:r>
    </w:p>
    <w:p w14:paraId="4E117E29" w14:textId="6512BA95" w:rsidR="00537CC8" w:rsidRPr="0025250D" w:rsidRDefault="00537CC8" w:rsidP="00537CC8">
      <w:pPr>
        <w:rPr>
          <w:rtl/>
        </w:rPr>
      </w:pPr>
      <w:r w:rsidRPr="0025250D">
        <w:rPr>
          <w:rFonts w:hint="cs"/>
          <w:rtl/>
        </w:rPr>
        <w:t xml:space="preserve">برخی می‌گویند که کار </w:t>
      </w:r>
      <w:r w:rsidRPr="0025250D">
        <w:rPr>
          <w:rtl/>
        </w:rPr>
        <w:t>آینده‌نگاری</w:t>
      </w:r>
      <w:r w:rsidRPr="0025250D">
        <w:rPr>
          <w:rFonts w:hint="cs"/>
          <w:rtl/>
        </w:rPr>
        <w:t xml:space="preserve"> چیزی بیش از </w:t>
      </w:r>
      <w:r w:rsidR="00950293" w:rsidRPr="0025250D">
        <w:rPr>
          <w:rFonts w:hint="cs"/>
          <w:rtl/>
        </w:rPr>
        <w:t>ق</w:t>
      </w:r>
      <w:r w:rsidRPr="0025250D">
        <w:rPr>
          <w:rFonts w:hint="cs"/>
          <w:rtl/>
        </w:rPr>
        <w:t>مار کردن بر روی رویداد‌های تصادفی نیست</w:t>
      </w:r>
      <w:r w:rsidR="008D6F97" w:rsidRPr="0025250D">
        <w:rPr>
          <w:rtl/>
        </w:rPr>
        <w:t xml:space="preserve">؛ </w:t>
      </w:r>
      <w:r w:rsidR="0020589F" w:rsidRPr="0025250D">
        <w:rPr>
          <w:rtl/>
        </w:rPr>
        <w:t>اما</w:t>
      </w:r>
      <w:r w:rsidRPr="0025250D">
        <w:rPr>
          <w:rFonts w:hint="cs"/>
          <w:rtl/>
        </w:rPr>
        <w:t xml:space="preserve"> حتی رویدادهای منفرد تصادفی هم می‌توانند مکررا (به صورت جدی!) به‌عنوان احتمالات، در صورت دیده شدن از نگاهی جمعی توصیف شوند. بازی‌های شانسی در سده 1600 این نکته را به ما آموختند و مدل‌های </w:t>
      </w:r>
      <w:r w:rsidRPr="0025250D">
        <w:rPr>
          <w:rtl/>
        </w:rPr>
        <w:t>واپاش</w:t>
      </w:r>
      <w:r w:rsidRPr="0025250D">
        <w:rPr>
          <w:rFonts w:hint="cs"/>
          <w:rtl/>
        </w:rPr>
        <w:t>ی</w:t>
      </w:r>
      <w:r w:rsidRPr="0025250D">
        <w:rPr>
          <w:rtl/>
        </w:rPr>
        <w:t xml:space="preserve"> هسته‌ای ارنست رادرفورد</w:t>
      </w:r>
      <w:r w:rsidRPr="0025250D">
        <w:rPr>
          <w:vertAlign w:val="superscript"/>
          <w:rtl/>
        </w:rPr>
        <w:footnoteReference w:id="1504"/>
      </w:r>
      <w:r w:rsidRPr="0025250D">
        <w:rPr>
          <w:rFonts w:hint="cs"/>
          <w:rtl/>
        </w:rPr>
        <w:t xml:space="preserve"> در سال 1907 نیز بار د</w:t>
      </w:r>
      <w:r w:rsidR="001D274D" w:rsidRPr="0025250D">
        <w:rPr>
          <w:rFonts w:hint="cs"/>
          <w:rtl/>
        </w:rPr>
        <w:t>یگ</w:t>
      </w:r>
      <w:r w:rsidRPr="0025250D">
        <w:rPr>
          <w:rFonts w:hint="cs"/>
          <w:rtl/>
        </w:rPr>
        <w:t xml:space="preserve">ر این کار را درمورد سامانه‌های طبیعی انجام داد. ما باید فراتر از سوگیری ضد </w:t>
      </w:r>
      <w:r w:rsidR="00D92F6E" w:rsidRPr="0025250D">
        <w:rPr>
          <w:rFonts w:hint="cs"/>
          <w:rtl/>
        </w:rPr>
        <w:t>پیش‌بین</w:t>
      </w:r>
      <w:r w:rsidRPr="0025250D">
        <w:rPr>
          <w:rFonts w:hint="cs"/>
          <w:rtl/>
        </w:rPr>
        <w:t xml:space="preserve">ی خود برویم. رویداد‌های طبیعی، اجتماعی، اقتصادی و </w:t>
      </w:r>
      <w:r w:rsidR="007A53FD" w:rsidRPr="0025250D">
        <w:rPr>
          <w:rFonts w:hint="cs"/>
          <w:rtl/>
        </w:rPr>
        <w:t>فناوری</w:t>
      </w:r>
      <w:r w:rsidRPr="0025250D">
        <w:rPr>
          <w:rFonts w:hint="cs"/>
          <w:rtl/>
        </w:rPr>
        <w:t xml:space="preserve"> تصادفی درون </w:t>
      </w:r>
      <w:r w:rsidR="00B13F65" w:rsidRPr="0025250D">
        <w:rPr>
          <w:rFonts w:hint="cs"/>
          <w:rtl/>
        </w:rPr>
        <w:t>چارچوب</w:t>
      </w:r>
      <w:r w:rsidRPr="0025250D">
        <w:rPr>
          <w:rFonts w:hint="cs"/>
          <w:rtl/>
        </w:rPr>
        <w:t>ی از احتمالات و دیگر قیود درمورد رفتار جمعی و شبکه‌ای آن‌ها رخ می‌دهند.</w:t>
      </w:r>
    </w:p>
    <w:p w14:paraId="1021D166" w14:textId="2684C98F" w:rsidR="00537CC8" w:rsidRPr="0025250D" w:rsidRDefault="00537CC8" w:rsidP="00537CC8">
      <w:pPr>
        <w:rPr>
          <w:rtl/>
        </w:rPr>
      </w:pPr>
      <w:r w:rsidRPr="0025250D">
        <w:rPr>
          <w:rFonts w:hint="cs"/>
          <w:rtl/>
        </w:rPr>
        <w:t xml:space="preserve">به شکل فزاینده‌ای، متخصصین </w:t>
      </w:r>
      <w:r w:rsidRPr="0025250D">
        <w:rPr>
          <w:rtl/>
        </w:rPr>
        <w:t>آینده‌نگاری</w:t>
      </w:r>
      <w:r w:rsidRPr="0025250D">
        <w:rPr>
          <w:rFonts w:hint="cs"/>
          <w:rtl/>
        </w:rPr>
        <w:t xml:space="preserve"> این احتمالات و قیود را می‌یابند، </w:t>
      </w:r>
      <w:r w:rsidR="00563645" w:rsidRPr="0025250D">
        <w:rPr>
          <w:rFonts w:hint="cs"/>
          <w:rtl/>
        </w:rPr>
        <w:t>بدیل</w:t>
      </w:r>
      <w:r w:rsidRPr="0025250D">
        <w:rPr>
          <w:rFonts w:hint="cs"/>
          <w:rtl/>
        </w:rPr>
        <w:t>‌های ممکن تحت قیود شناخته شده را کشف می‌کنند و موارد</w:t>
      </w:r>
      <w:r w:rsidR="0008779C" w:rsidRPr="0025250D">
        <w:rPr>
          <w:rFonts w:hint="cs"/>
          <w:rtl/>
        </w:rPr>
        <w:t xml:space="preserve"> بیش‌تر</w:t>
      </w:r>
      <w:r w:rsidRPr="0025250D">
        <w:rPr>
          <w:rFonts w:hint="cs"/>
          <w:rtl/>
        </w:rPr>
        <w:t xml:space="preserve">ی درمورد قوانین </w:t>
      </w:r>
      <w:r w:rsidR="00FB6A7E" w:rsidRPr="0025250D">
        <w:rPr>
          <w:rFonts w:hint="cs"/>
          <w:rtl/>
        </w:rPr>
        <w:t>پیش‌نگری</w:t>
      </w:r>
      <w:r w:rsidRPr="0025250D">
        <w:rPr>
          <w:rFonts w:hint="cs"/>
          <w:rtl/>
        </w:rPr>
        <w:t xml:space="preserve"> مفید در بازی‌های اجتماعی متنوع می‌آموزند. همه این</w:t>
      </w:r>
      <w:r w:rsidR="001D274D" w:rsidRPr="0025250D">
        <w:rPr>
          <w:rFonts w:hint="cs"/>
          <w:rtl/>
        </w:rPr>
        <w:t xml:space="preserve"> موارد</w:t>
      </w:r>
      <w:r w:rsidRPr="0025250D">
        <w:rPr>
          <w:rFonts w:hint="cs"/>
          <w:rtl/>
        </w:rPr>
        <w:t xml:space="preserve"> به آرامی اما به صورت</w:t>
      </w:r>
      <w:r w:rsidR="00950293" w:rsidRPr="0025250D">
        <w:rPr>
          <w:rFonts w:hint="cs"/>
          <w:rtl/>
        </w:rPr>
        <w:t>ی</w:t>
      </w:r>
      <w:r w:rsidRPr="0025250D">
        <w:rPr>
          <w:rFonts w:hint="cs"/>
          <w:rtl/>
        </w:rPr>
        <w:t xml:space="preserve"> پایدار شانس ما برای موفقیت در </w:t>
      </w:r>
      <w:r w:rsidR="00D92F6E" w:rsidRPr="0025250D">
        <w:rPr>
          <w:rFonts w:hint="cs"/>
          <w:rtl/>
        </w:rPr>
        <w:t>پیش‌بین</w:t>
      </w:r>
      <w:r w:rsidRPr="0025250D">
        <w:rPr>
          <w:rFonts w:hint="cs"/>
          <w:rtl/>
        </w:rPr>
        <w:t xml:space="preserve">ی </w:t>
      </w:r>
      <w:r w:rsidR="001D274D" w:rsidRPr="0025250D">
        <w:rPr>
          <w:rFonts w:hint="cs"/>
          <w:rtl/>
        </w:rPr>
        <w:t xml:space="preserve">را </w:t>
      </w:r>
      <w:r w:rsidRPr="0025250D">
        <w:rPr>
          <w:rFonts w:hint="cs"/>
          <w:rtl/>
        </w:rPr>
        <w:t xml:space="preserve">افزایش خواهند داد. </w:t>
      </w:r>
      <w:r w:rsidR="00FB6A7E" w:rsidRPr="0025250D">
        <w:rPr>
          <w:rFonts w:hint="cs"/>
          <w:rtl/>
        </w:rPr>
        <w:t>پیش‌نگری</w:t>
      </w:r>
      <w:r w:rsidRPr="0025250D">
        <w:rPr>
          <w:rFonts w:hint="cs"/>
          <w:rtl/>
        </w:rPr>
        <w:t xml:space="preserve"> و </w:t>
      </w:r>
      <w:r w:rsidR="00D92F6E" w:rsidRPr="0025250D">
        <w:rPr>
          <w:rFonts w:hint="cs"/>
          <w:rtl/>
        </w:rPr>
        <w:t>پیش‌بین</w:t>
      </w:r>
      <w:r w:rsidRPr="0025250D">
        <w:rPr>
          <w:rFonts w:hint="cs"/>
          <w:rtl/>
        </w:rPr>
        <w:t xml:space="preserve">ی بهتر، مهارت‌های کلیدی نه تنها برای </w:t>
      </w:r>
      <w:r w:rsidR="001D274D" w:rsidRPr="0025250D">
        <w:rPr>
          <w:rFonts w:hint="cs"/>
          <w:rtl/>
        </w:rPr>
        <w:t>ق</w:t>
      </w:r>
      <w:r w:rsidRPr="0025250D">
        <w:rPr>
          <w:rFonts w:hint="cs"/>
          <w:rtl/>
        </w:rPr>
        <w:t xml:space="preserve">ماربازان، </w:t>
      </w:r>
      <w:r w:rsidRPr="0025250D">
        <w:rPr>
          <w:rtl/>
        </w:rPr>
        <w:t>آماردانان</w:t>
      </w:r>
      <w:r w:rsidRPr="0025250D">
        <w:rPr>
          <w:rFonts w:hint="cs"/>
          <w:rtl/>
        </w:rPr>
        <w:t xml:space="preserve"> و دانشمندان بزرگ، بلکه برای سرمایه گذاران، </w:t>
      </w:r>
      <w:r w:rsidR="00B124DE" w:rsidRPr="0025250D">
        <w:rPr>
          <w:rFonts w:hint="cs"/>
          <w:rtl/>
        </w:rPr>
        <w:t>برنامه‌ریزی</w:t>
      </w:r>
      <w:r w:rsidRPr="0025250D">
        <w:rPr>
          <w:rFonts w:hint="cs"/>
          <w:rtl/>
        </w:rPr>
        <w:t xml:space="preserve"> کنندگان، نوآوران، مدیران و رهبران بزرگ می‌باشند. افرادی که</w:t>
      </w:r>
      <w:r w:rsidR="00EE4B64" w:rsidRPr="0025250D">
        <w:rPr>
          <w:rFonts w:hint="cs"/>
          <w:rtl/>
        </w:rPr>
        <w:t xml:space="preserve"> نمی‌</w:t>
      </w:r>
      <w:r w:rsidRPr="0025250D">
        <w:rPr>
          <w:rFonts w:hint="cs"/>
          <w:rtl/>
        </w:rPr>
        <w:t xml:space="preserve">توانند این حقیقت را درک کنند به شکل فزاینده‌ای نسبت به افرادی که یک سوگیری ضد </w:t>
      </w:r>
      <w:r w:rsidR="00D92F6E" w:rsidRPr="0025250D">
        <w:rPr>
          <w:rFonts w:hint="cs"/>
          <w:rtl/>
        </w:rPr>
        <w:t>پیش‌بین</w:t>
      </w:r>
      <w:r w:rsidRPr="0025250D">
        <w:rPr>
          <w:rFonts w:hint="cs"/>
          <w:rtl/>
        </w:rPr>
        <w:t>ی ندارند ضعیف‌تر هستند.</w:t>
      </w:r>
    </w:p>
    <w:p w14:paraId="7C6AFC1C" w14:textId="07320C29" w:rsidR="00537CC8" w:rsidRPr="0025250D" w:rsidRDefault="00537CC8" w:rsidP="00537CC8">
      <w:pPr>
        <w:rPr>
          <w:rtl/>
        </w:rPr>
      </w:pPr>
      <w:r w:rsidRPr="0025250D">
        <w:rPr>
          <w:rFonts w:hint="cs"/>
          <w:rtl/>
        </w:rPr>
        <w:t xml:space="preserve">افراد آکادمیک، فناوران، </w:t>
      </w:r>
      <w:r w:rsidR="00B124DE" w:rsidRPr="0025250D">
        <w:rPr>
          <w:rFonts w:hint="cs"/>
          <w:rtl/>
        </w:rPr>
        <w:t>کسب‌و‌کار</w:t>
      </w:r>
      <w:r w:rsidRPr="0025250D">
        <w:rPr>
          <w:rFonts w:hint="cs"/>
          <w:rtl/>
        </w:rPr>
        <w:t xml:space="preserve">‌ها، مؤسسات و عموم مردم به آرامی با این ایده که با تلاشی اندک و اقدامات مبتنی بر شواهد </w:t>
      </w:r>
      <w:r w:rsidRPr="0025250D">
        <w:rPr>
          <w:rtl/>
        </w:rPr>
        <w:t>آینده‌نگاری</w:t>
      </w:r>
      <w:r w:rsidRPr="0025250D">
        <w:rPr>
          <w:rFonts w:hint="cs"/>
          <w:rtl/>
        </w:rPr>
        <w:t xml:space="preserve"> حاشیه‌ای بسیار بهتر، در هر یک از چهار </w:t>
      </w:r>
      <w:r w:rsidRPr="0025250D">
        <w:t>P</w:t>
      </w:r>
      <w:r w:rsidRPr="0025250D">
        <w:rPr>
          <w:rFonts w:hint="cs"/>
          <w:rtl/>
        </w:rPr>
        <w:t xml:space="preserve">، با هزینه‌ای معمول قابل دست یابی است، آشنا می‌شوند. </w:t>
      </w:r>
      <w:r w:rsidRPr="0025250D">
        <w:rPr>
          <w:rtl/>
        </w:rPr>
        <w:t>آینده‌نگاری</w:t>
      </w:r>
      <w:r w:rsidRPr="0025250D">
        <w:rPr>
          <w:rFonts w:hint="cs"/>
          <w:rtl/>
        </w:rPr>
        <w:t xml:space="preserve"> که مزایای فردی، تیمی و سازمانی زیادی ایجاد می‌کند. برای یادگیرنده آینده محور و خود آغاز گر</w:t>
      </w:r>
      <w:r w:rsidRPr="0025250D">
        <w:rPr>
          <w:vertAlign w:val="superscript"/>
          <w:rtl/>
        </w:rPr>
        <w:footnoteReference w:id="1505"/>
      </w:r>
      <w:r w:rsidRPr="0025250D">
        <w:rPr>
          <w:rFonts w:hint="cs"/>
          <w:rtl/>
        </w:rPr>
        <w:t xml:space="preserve"> و فعال، وقتی بداند که چگونه به دنبال آن‌ها باشد، فرصت‌های تمرین </w:t>
      </w:r>
      <w:r w:rsidRPr="0025250D">
        <w:rPr>
          <w:rtl/>
        </w:rPr>
        <w:t>آینده‌نگاری</w:t>
      </w:r>
      <w:r w:rsidRPr="0025250D">
        <w:rPr>
          <w:rFonts w:hint="cs"/>
          <w:rtl/>
        </w:rPr>
        <w:t xml:space="preserve"> در همه جا وجود دارند.</w:t>
      </w:r>
    </w:p>
    <w:p w14:paraId="2F56B802" w14:textId="2939C99F" w:rsidR="00537CC8" w:rsidRPr="0025250D" w:rsidRDefault="00537CC8" w:rsidP="00537CC8">
      <w:pPr>
        <w:rPr>
          <w:rtl/>
        </w:rPr>
      </w:pPr>
      <w:r w:rsidRPr="0025250D">
        <w:rPr>
          <w:rFonts w:hint="cs"/>
          <w:rtl/>
        </w:rPr>
        <w:t xml:space="preserve">این کار همواره آسان نخواهد بود. بیش‌تر سازمان‌ها هنوز گستردگی کار </w:t>
      </w:r>
      <w:r w:rsidRPr="0025250D">
        <w:rPr>
          <w:rtl/>
        </w:rPr>
        <w:t>آینده‌نگاری</w:t>
      </w:r>
      <w:r w:rsidRPr="0025250D">
        <w:rPr>
          <w:rFonts w:hint="cs"/>
          <w:rtl/>
        </w:rPr>
        <w:t xml:space="preserve"> را که هم اکنون در دنیای امروز رخ می‌دهد یا امیدوار کنندگی آن را وقتی به صورت آگاهانه و ارادی انجامش دهیم، درک</w:t>
      </w:r>
      <w:r w:rsidR="00EE4B64" w:rsidRPr="0025250D">
        <w:rPr>
          <w:rFonts w:hint="cs"/>
          <w:rtl/>
        </w:rPr>
        <w:t xml:space="preserve"> نمی‌</w:t>
      </w:r>
      <w:r w:rsidRPr="0025250D">
        <w:rPr>
          <w:rFonts w:hint="cs"/>
          <w:rtl/>
        </w:rPr>
        <w:t xml:space="preserve">کنند. ممکن است هنوز یک یا دو دهه زمان و ابزارها و پلتفرم‌های </w:t>
      </w:r>
      <w:r w:rsidRPr="0025250D">
        <w:rPr>
          <w:rtl/>
        </w:rPr>
        <w:t>آینده‌نگاری</w:t>
      </w:r>
      <w:r w:rsidRPr="0025250D">
        <w:rPr>
          <w:rFonts w:hint="cs"/>
          <w:rtl/>
        </w:rPr>
        <w:t xml:space="preserve"> دیجیتالی قدرتمندتری برای شناخته شدن گسترده</w:t>
      </w:r>
      <w:r w:rsidR="001D274D" w:rsidRPr="0025250D">
        <w:rPr>
          <w:rFonts w:hint="cs"/>
          <w:rtl/>
        </w:rPr>
        <w:t xml:space="preserve"> این</w:t>
      </w:r>
      <w:r w:rsidRPr="0025250D">
        <w:rPr>
          <w:rFonts w:hint="cs"/>
          <w:rtl/>
        </w:rPr>
        <w:t xml:space="preserve"> زمینه و انفجار مشاغل و آموزش‌های </w:t>
      </w:r>
      <w:r w:rsidRPr="0025250D">
        <w:rPr>
          <w:rtl/>
        </w:rPr>
        <w:t>آینده‌نگاری</w:t>
      </w:r>
      <w:r w:rsidRPr="0025250D">
        <w:rPr>
          <w:rFonts w:hint="cs"/>
          <w:rtl/>
        </w:rPr>
        <w:t xml:space="preserve">، زمان لازم باشد. در همین زمان، موفقیت در یک شغل </w:t>
      </w:r>
      <w:r w:rsidRPr="0025250D">
        <w:rPr>
          <w:rtl/>
        </w:rPr>
        <w:t>آینده‌نگاری</w:t>
      </w:r>
      <w:r w:rsidRPr="0025250D">
        <w:rPr>
          <w:rFonts w:hint="cs"/>
          <w:rtl/>
        </w:rPr>
        <w:t xml:space="preserve"> به اخلاقیات مناسب، </w:t>
      </w:r>
      <w:r w:rsidR="00A936B3" w:rsidRPr="0025250D">
        <w:rPr>
          <w:rFonts w:hint="cs"/>
          <w:rtl/>
        </w:rPr>
        <w:t>همدلی</w:t>
      </w:r>
      <w:r w:rsidRPr="0025250D">
        <w:rPr>
          <w:rFonts w:hint="cs"/>
          <w:rtl/>
        </w:rPr>
        <w:t xml:space="preserve"> خوب، توانایی کشف و </w:t>
      </w:r>
      <w:r w:rsidR="00B13F65" w:rsidRPr="0025250D">
        <w:rPr>
          <w:rFonts w:hint="cs"/>
          <w:rtl/>
        </w:rPr>
        <w:t>چارچوب</w:t>
      </w:r>
      <w:r w:rsidRPr="0025250D">
        <w:rPr>
          <w:rFonts w:hint="cs"/>
          <w:rtl/>
        </w:rPr>
        <w:t xml:space="preserve"> بندی مسائل </w:t>
      </w:r>
      <w:r w:rsidRPr="0025250D">
        <w:rPr>
          <w:rtl/>
        </w:rPr>
        <w:t>آینده‌نگاری</w:t>
      </w:r>
      <w:r w:rsidRPr="0025250D">
        <w:rPr>
          <w:rFonts w:hint="cs"/>
          <w:rtl/>
        </w:rPr>
        <w:t xml:space="preserve"> پنهان کارسپاران، تواضع در ارزش‌ها و محدودیت‌های روش‌ها و همچنان باوری قدرتمند به این که محتوا و روش‌ها می‌توانند به کارسپاران ما برای دست یابی به </w:t>
      </w:r>
      <w:r w:rsidR="00701E03" w:rsidRPr="0025250D">
        <w:rPr>
          <w:rFonts w:hint="cs"/>
          <w:rtl/>
        </w:rPr>
        <w:t>راهبرد</w:t>
      </w:r>
      <w:r w:rsidRPr="0025250D">
        <w:rPr>
          <w:rFonts w:hint="cs"/>
          <w:rtl/>
        </w:rPr>
        <w:t xml:space="preserve">، </w:t>
      </w:r>
      <w:r w:rsidR="00B124DE" w:rsidRPr="0025250D">
        <w:rPr>
          <w:rFonts w:hint="cs"/>
          <w:rtl/>
        </w:rPr>
        <w:t>برنامه‌ریزی</w:t>
      </w:r>
      <w:r w:rsidRPr="0025250D">
        <w:rPr>
          <w:rFonts w:hint="cs"/>
          <w:rtl/>
        </w:rPr>
        <w:t xml:space="preserve"> و عمل بهتر کمک کنند، نیاز دارد.</w:t>
      </w:r>
    </w:p>
    <w:p w14:paraId="2CDDE5B1" w14:textId="654AAF93" w:rsidR="00537CC8" w:rsidRPr="0025250D" w:rsidRDefault="00537CC8" w:rsidP="00537CC8">
      <w:pPr>
        <w:rPr>
          <w:rtl/>
        </w:rPr>
      </w:pPr>
      <w:r w:rsidRPr="0025250D">
        <w:rPr>
          <w:rFonts w:hint="cs"/>
          <w:rtl/>
        </w:rPr>
        <w:t xml:space="preserve">فعالان </w:t>
      </w:r>
      <w:r w:rsidRPr="0025250D">
        <w:rPr>
          <w:rtl/>
        </w:rPr>
        <w:t>آینده‌نگاری</w:t>
      </w:r>
      <w:r w:rsidRPr="0025250D">
        <w:rPr>
          <w:rFonts w:hint="cs"/>
          <w:rtl/>
        </w:rPr>
        <w:t xml:space="preserve"> باید به یاد داشته باشند که آن‌ها پیشتازان، کاشفان و پیشگامان در یک جبهه جدید و بعضا متخاصمانه هستند. دورنما می‌تواند نفس گیر باشد اما باید مراقب باشیم. اگر بیش از حد در این زمینه سرگردان شویم، ریسک از بین رفتن شغلمان توسط منتقدین و پایان یافتن آن با شکست و درماندگی را به جان می‌خریم. بسیاری از رهبران سازمانی به شکل مشروعی درمورد روش‌ها و ارزش‌های همچنان در حال توسعه ما بدبین هستند. ما برخی اوقات </w:t>
      </w:r>
      <w:r w:rsidR="0008779C" w:rsidRPr="0025250D">
        <w:rPr>
          <w:rFonts w:hint="cs"/>
          <w:rtl/>
        </w:rPr>
        <w:t>ایدئال</w:t>
      </w:r>
      <w:r w:rsidRPr="0025250D">
        <w:rPr>
          <w:rFonts w:hint="cs"/>
          <w:rtl/>
        </w:rPr>
        <w:t xml:space="preserve"> گرایان، شارلاتان‌های ناکارآمد یا آموزگاران و کشیش‌هایی خود خوانده یا شیاد نامیده می‌شویم. برخی </w:t>
      </w:r>
      <w:r w:rsidR="00D30084" w:rsidRPr="0025250D">
        <w:rPr>
          <w:rFonts w:hint="cs"/>
          <w:rtl/>
        </w:rPr>
        <w:t>آینده‌نگار</w:t>
      </w:r>
      <w:r w:rsidRPr="0025250D">
        <w:rPr>
          <w:rFonts w:hint="cs"/>
          <w:rtl/>
        </w:rPr>
        <w:t xml:space="preserve">ان حقه باز حقیقتا شایسته این توصیفات هستند (نسخه </w:t>
      </w:r>
      <w:r w:rsidR="0019766B" w:rsidRPr="0025250D">
        <w:rPr>
          <w:rFonts w:hint="cs"/>
          <w:rtl/>
        </w:rPr>
        <w:t>دانشجو</w:t>
      </w:r>
      <w:r w:rsidR="001D274D" w:rsidRPr="0025250D">
        <w:rPr>
          <w:rFonts w:hint="cs"/>
          <w:rtl/>
        </w:rPr>
        <w:t>ی</w:t>
      </w:r>
      <w:r w:rsidRPr="0025250D">
        <w:rPr>
          <w:rFonts w:hint="cs"/>
          <w:rtl/>
        </w:rPr>
        <w:t xml:space="preserve"> این کتاب را برای نمونه‌ای از انواع </w:t>
      </w:r>
      <w:r w:rsidR="00D30084" w:rsidRPr="0025250D">
        <w:rPr>
          <w:rFonts w:hint="cs"/>
          <w:rtl/>
        </w:rPr>
        <w:t>آینده‌نگار</w:t>
      </w:r>
      <w:r w:rsidRPr="0025250D">
        <w:rPr>
          <w:rFonts w:hint="cs"/>
          <w:rtl/>
        </w:rPr>
        <w:t>ان ناکارآمد ببینید) و نیاز داریم تفکر و باور نادرستمان توسط همکارانمان، به ویژه وقتی تأثیر گذار باشند به چالش کشیده شود</w:t>
      </w:r>
      <w:r w:rsidR="008D6F97" w:rsidRPr="0025250D">
        <w:rPr>
          <w:rtl/>
        </w:rPr>
        <w:t xml:space="preserve">؛ </w:t>
      </w:r>
      <w:r w:rsidR="0020589F" w:rsidRPr="0025250D">
        <w:rPr>
          <w:rtl/>
        </w:rPr>
        <w:t>اما</w:t>
      </w:r>
      <w:r w:rsidRPr="0025250D">
        <w:rPr>
          <w:rFonts w:hint="cs"/>
          <w:rtl/>
        </w:rPr>
        <w:t xml:space="preserve"> به صورت عمده، ما یک جامعه عملی، کنجکاو، شجاع، فروتن، اخلاقی و به دنبال شواهد هستیم.</w:t>
      </w:r>
    </w:p>
    <w:p w14:paraId="57C17D48" w14:textId="77777777" w:rsidR="00537CC8" w:rsidRPr="0025250D" w:rsidRDefault="00537CC8" w:rsidP="000A674B">
      <w:pPr>
        <w:jc w:val="center"/>
        <w:rPr>
          <w:rtl/>
        </w:rPr>
      </w:pPr>
      <w:r w:rsidRPr="0025250D">
        <w:rPr>
          <w:noProof/>
          <w:rtl/>
          <w:lang w:bidi="ar-SA"/>
        </w:rPr>
        <w:drawing>
          <wp:inline distT="0" distB="0" distL="0" distR="0" wp14:anchorId="40BDBBC2" wp14:editId="1504A635">
            <wp:extent cx="3753015" cy="2155376"/>
            <wp:effectExtent l="0" t="0" r="0" b="0"/>
            <wp:docPr id="90" name="Picture 90" descr="D:\کار\مستقل\3 ( ترجمه ی دانشگاه تهران  )\Introduction to Foresight\part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4\8.png"/>
                    <pic:cNvPicPr>
                      <a:picLocks noChangeAspect="1" noChangeArrowheads="1"/>
                    </pic:cNvPicPr>
                  </pic:nvPicPr>
                  <pic:blipFill rotWithShape="1">
                    <a:blip r:embed="rId141" cstate="screen">
                      <a:extLst>
                        <a:ext uri="{BEBA8EAE-BF5A-486C-A8C5-ECC9F3942E4B}">
                          <a14:imgProps xmlns:a14="http://schemas.microsoft.com/office/drawing/2010/main">
                            <a14:imgLayer r:embed="rId142">
                              <a14:imgEffect>
                                <a14:saturation sat="0"/>
                              </a14:imgEffect>
                            </a14:imgLayer>
                          </a14:imgProps>
                        </a:ext>
                        <a:ext uri="{28A0092B-C50C-407E-A947-70E740481C1C}">
                          <a14:useLocalDpi xmlns:a14="http://schemas.microsoft.com/office/drawing/2010/main"/>
                        </a:ext>
                      </a:extLst>
                    </a:blip>
                    <a:srcRect/>
                    <a:stretch/>
                  </pic:blipFill>
                  <pic:spPr bwMode="auto">
                    <a:xfrm>
                      <a:off x="0" y="0"/>
                      <a:ext cx="3770889" cy="2165641"/>
                    </a:xfrm>
                    <a:prstGeom prst="rect">
                      <a:avLst/>
                    </a:prstGeom>
                    <a:noFill/>
                    <a:ln>
                      <a:noFill/>
                    </a:ln>
                    <a:extLst>
                      <a:ext uri="{53640926-AAD7-44D8-BBD7-CCE9431645EC}">
                        <a14:shadowObscured xmlns:a14="http://schemas.microsoft.com/office/drawing/2010/main"/>
                      </a:ext>
                    </a:extLst>
                  </pic:spPr>
                </pic:pic>
              </a:graphicData>
            </a:graphic>
          </wp:inline>
        </w:drawing>
      </w:r>
    </w:p>
    <w:p w14:paraId="34F02606" w14:textId="77777777" w:rsidR="00537CC8" w:rsidRPr="0025250D" w:rsidRDefault="00537CC8" w:rsidP="000A674B">
      <w:pPr>
        <w:jc w:val="center"/>
        <w:rPr>
          <w:rtl/>
        </w:rPr>
      </w:pPr>
      <w:r w:rsidRPr="0025250D">
        <w:rPr>
          <w:rFonts w:hint="cs"/>
          <w:rtl/>
        </w:rPr>
        <w:t xml:space="preserve">آلبرت بیرستاد، </w:t>
      </w:r>
      <w:r w:rsidRPr="0025250D">
        <w:rPr>
          <w:rtl/>
        </w:rPr>
        <w:t>مس</w:t>
      </w:r>
      <w:r w:rsidRPr="0025250D">
        <w:rPr>
          <w:rFonts w:hint="cs"/>
          <w:rtl/>
        </w:rPr>
        <w:t>ی</w:t>
      </w:r>
      <w:r w:rsidRPr="0025250D">
        <w:rPr>
          <w:rFonts w:hint="eastAsia"/>
          <w:rtl/>
        </w:rPr>
        <w:t>ر</w:t>
      </w:r>
      <w:r w:rsidRPr="0025250D">
        <w:rPr>
          <w:rtl/>
        </w:rPr>
        <w:t xml:space="preserve"> اورگان</w:t>
      </w:r>
      <w:r w:rsidRPr="0025250D">
        <w:rPr>
          <w:rFonts w:hint="cs"/>
          <w:rtl/>
        </w:rPr>
        <w:t>، 1896</w:t>
      </w:r>
    </w:p>
    <w:p w14:paraId="7BEF791C" w14:textId="7CBBA584" w:rsidR="00537CC8" w:rsidRPr="0025250D" w:rsidRDefault="00537CC8" w:rsidP="00537CC8">
      <w:pPr>
        <w:rPr>
          <w:rtl/>
        </w:rPr>
      </w:pPr>
      <w:r w:rsidRPr="0025250D">
        <w:rPr>
          <w:rFonts w:hint="cs"/>
          <w:rtl/>
        </w:rPr>
        <w:t xml:space="preserve">به‌عنوان پیشگامانی خوب، باید بیاموزیم که از یکدیگر حمایت کرده و بر یکدیگر تکیه کنیم تا به صورت مؤثری از خود دفاع کرده و برای استدلال هایمان در زمان تناقضات مبارزه کنیم. با کمک به یکدیگر برای بهبود دائمی اقدامات خود و با هوشیاری و پاسخگویی به انتقادها و چالش‌ها، مطمئنا جبهه </w:t>
      </w:r>
      <w:r w:rsidRPr="0025250D">
        <w:rPr>
          <w:rtl/>
        </w:rPr>
        <w:t>آینده‌نگاری</w:t>
      </w:r>
      <w:r w:rsidRPr="0025250D">
        <w:rPr>
          <w:rFonts w:hint="cs"/>
          <w:rtl/>
        </w:rPr>
        <w:t xml:space="preserve"> را سامان خواهیم داد. ما زمینه خود را به یک مجموعه مهم و بالغ از رشته‌های تخصصی و آکادمیک تبدیل خواهیم کرد و در راهبری و هدایت در میان آینده‌هایی جالب‌تر و پیچیده‌تر از همیشه موفق‌تر خواهیم بود. می‌توانیم هر یک امروزه نقش کوچک خود را در رشد زمینه خود، برای یادگیری از هم و حمایت از یکدیگر، برای کمک به کارسپاران در کنار آمدن با زمان حال و آینده و برای لذت بردن از این سفر در کنار هم ایفا کنیم. به این حرفه خوش آمدید!</w:t>
      </w:r>
    </w:p>
    <w:p w14:paraId="2D062B92" w14:textId="77777777" w:rsidR="00537CC8" w:rsidRPr="0025250D" w:rsidRDefault="00537CC8" w:rsidP="00537CC8">
      <w:pPr>
        <w:rPr>
          <w:rtl/>
        </w:rPr>
      </w:pPr>
    </w:p>
    <w:p w14:paraId="60C25861" w14:textId="77777777" w:rsidR="00537CC8" w:rsidRPr="0025250D" w:rsidRDefault="00537CC8" w:rsidP="00537CC8">
      <w:pPr>
        <w:rPr>
          <w:rtl/>
        </w:rPr>
      </w:pPr>
    </w:p>
    <w:p w14:paraId="1AC56100" w14:textId="77777777" w:rsidR="00537CC8" w:rsidRPr="0025250D" w:rsidRDefault="00537CC8" w:rsidP="00537CC8">
      <w:pPr>
        <w:rPr>
          <w:rtl/>
        </w:rPr>
      </w:pPr>
    </w:p>
    <w:p w14:paraId="2126F5B9" w14:textId="77777777" w:rsidR="00537CC8" w:rsidRPr="0025250D" w:rsidRDefault="00537CC8" w:rsidP="00537CC8">
      <w:pPr>
        <w:rPr>
          <w:rtl/>
        </w:rPr>
      </w:pPr>
    </w:p>
    <w:p w14:paraId="6EAD80F0" w14:textId="05D02332" w:rsidR="00537CC8" w:rsidRPr="0025250D" w:rsidRDefault="00537CC8" w:rsidP="000A674B">
      <w:pPr>
        <w:pStyle w:val="Heading1"/>
        <w:rPr>
          <w:rtl/>
        </w:rPr>
      </w:pPr>
      <w:bookmarkStart w:id="47" w:name="_Toc127831312"/>
      <w:r w:rsidRPr="0025250D">
        <w:rPr>
          <w:rFonts w:hint="cs"/>
          <w:rtl/>
        </w:rPr>
        <w:t xml:space="preserve">فصل 3: </w:t>
      </w:r>
      <w:r w:rsidR="00923DDB" w:rsidRPr="0025250D">
        <w:rPr>
          <w:rtl/>
        </w:rPr>
        <w:t>آینده‌نگاری انطباقی</w:t>
      </w:r>
      <w:r w:rsidRPr="0025250D">
        <w:rPr>
          <w:rFonts w:hint="cs"/>
          <w:rtl/>
        </w:rPr>
        <w:t xml:space="preserve"> </w:t>
      </w:r>
      <w:r w:rsidRPr="0025250D">
        <w:rPr>
          <w:rFonts w:ascii="Times New Roman" w:hAnsi="Times New Roman" w:cs="Times New Roman" w:hint="cs"/>
          <w:rtl/>
        </w:rPr>
        <w:t>–</w:t>
      </w:r>
      <w:r w:rsidRPr="0025250D">
        <w:rPr>
          <w:rFonts w:hint="cs"/>
          <w:rtl/>
        </w:rPr>
        <w:t xml:space="preserve"> وظایف و مهارت‌های ضروری</w:t>
      </w:r>
      <w:bookmarkEnd w:id="47"/>
    </w:p>
    <w:p w14:paraId="11386303" w14:textId="77777777" w:rsidR="00537CC8" w:rsidRPr="0025250D" w:rsidRDefault="00537CC8" w:rsidP="00537CC8">
      <w:pPr>
        <w:rPr>
          <w:rtl/>
        </w:rPr>
      </w:pPr>
    </w:p>
    <w:p w14:paraId="3B3B2C41" w14:textId="7DE3925A" w:rsidR="00537CC8" w:rsidRPr="0025250D" w:rsidRDefault="00537CC8" w:rsidP="00537CC8">
      <w:pPr>
        <w:rPr>
          <w:rtl/>
        </w:rPr>
      </w:pPr>
      <w:r w:rsidRPr="0025250D">
        <w:rPr>
          <w:rFonts w:hint="cs"/>
          <w:rtl/>
        </w:rPr>
        <w:t xml:space="preserve">این فصل ما را عمیق‌تر با وظایف و مهارت‌های فردی و تیمی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برای متخصصین شاغل در هر صنعت آشنا می‌کند. این فصل ما را برای بحث درمورد </w:t>
      </w:r>
      <w:r w:rsidRPr="0025250D">
        <w:rPr>
          <w:rtl/>
        </w:rPr>
        <w:t>آینده‌نگاری</w:t>
      </w:r>
      <w:r w:rsidRPr="0025250D">
        <w:rPr>
          <w:rFonts w:hint="cs"/>
          <w:rtl/>
        </w:rPr>
        <w:t xml:space="preserve"> سازمانی در دو فصل بعد آماده می‌کند.</w:t>
      </w:r>
    </w:p>
    <w:p w14:paraId="681D7BFF" w14:textId="77777777" w:rsidR="00537CC8" w:rsidRPr="0025250D" w:rsidRDefault="00537CC8" w:rsidP="00537CC8">
      <w:pPr>
        <w:rPr>
          <w:rtl/>
        </w:rPr>
      </w:pPr>
    </w:p>
    <w:p w14:paraId="4E2AE34A" w14:textId="77777777" w:rsidR="00537CC8" w:rsidRPr="0025250D" w:rsidRDefault="00537CC8" w:rsidP="00537CC8">
      <w:pPr>
        <w:rPr>
          <w:rtl/>
        </w:rPr>
      </w:pPr>
    </w:p>
    <w:p w14:paraId="5E5E7F2C" w14:textId="77777777" w:rsidR="00537CC8" w:rsidRPr="0025250D" w:rsidRDefault="00537CC8" w:rsidP="00537CC8">
      <w:pPr>
        <w:rPr>
          <w:rtl/>
        </w:rPr>
      </w:pPr>
    </w:p>
    <w:p w14:paraId="6A41AD66" w14:textId="77777777" w:rsidR="00537CC8" w:rsidRPr="0025250D" w:rsidRDefault="00537CC8" w:rsidP="00537CC8">
      <w:pPr>
        <w:rPr>
          <w:rtl/>
        </w:rPr>
      </w:pPr>
    </w:p>
    <w:p w14:paraId="74A609E7" w14:textId="77777777" w:rsidR="00537CC8" w:rsidRPr="0025250D" w:rsidRDefault="00537CC8" w:rsidP="00537CC8">
      <w:pPr>
        <w:rPr>
          <w:rtl/>
        </w:rPr>
      </w:pPr>
    </w:p>
    <w:p w14:paraId="20D6D9AE" w14:textId="77777777" w:rsidR="00537CC8" w:rsidRPr="0025250D" w:rsidRDefault="00537CC8" w:rsidP="00537CC8">
      <w:pPr>
        <w:rPr>
          <w:rtl/>
        </w:rPr>
      </w:pPr>
    </w:p>
    <w:p w14:paraId="6D69BE4D" w14:textId="77777777" w:rsidR="00537CC8" w:rsidRPr="0025250D" w:rsidRDefault="00537CC8" w:rsidP="00537CC8">
      <w:pPr>
        <w:rPr>
          <w:rtl/>
        </w:rPr>
      </w:pPr>
    </w:p>
    <w:p w14:paraId="0CB684DD" w14:textId="77777777" w:rsidR="00537CC8" w:rsidRPr="0025250D" w:rsidRDefault="00537CC8" w:rsidP="00537CC8">
      <w:pPr>
        <w:rPr>
          <w:rtl/>
        </w:rPr>
      </w:pPr>
    </w:p>
    <w:p w14:paraId="5113D38C" w14:textId="77777777" w:rsidR="00537CC8" w:rsidRPr="0025250D" w:rsidRDefault="00537CC8" w:rsidP="00537CC8">
      <w:pPr>
        <w:rPr>
          <w:rtl/>
        </w:rPr>
      </w:pPr>
    </w:p>
    <w:p w14:paraId="00A783B8" w14:textId="77777777" w:rsidR="00537CC8" w:rsidRPr="0025250D" w:rsidRDefault="00537CC8" w:rsidP="00537CC8">
      <w:pPr>
        <w:rPr>
          <w:rtl/>
        </w:rPr>
      </w:pPr>
    </w:p>
    <w:p w14:paraId="3574E5DD" w14:textId="77777777" w:rsidR="00537CC8" w:rsidRPr="0025250D" w:rsidRDefault="00537CC8" w:rsidP="00537CC8">
      <w:pPr>
        <w:rPr>
          <w:rtl/>
        </w:rPr>
      </w:pPr>
    </w:p>
    <w:p w14:paraId="60A315B8" w14:textId="77777777" w:rsidR="00537CC8" w:rsidRPr="0025250D" w:rsidRDefault="00537CC8" w:rsidP="00537CC8">
      <w:pPr>
        <w:rPr>
          <w:rtl/>
        </w:rPr>
      </w:pPr>
    </w:p>
    <w:p w14:paraId="6B850F41" w14:textId="77777777" w:rsidR="00537CC8" w:rsidRPr="0025250D" w:rsidRDefault="00537CC8" w:rsidP="00537CC8">
      <w:pPr>
        <w:rPr>
          <w:rtl/>
        </w:rPr>
      </w:pPr>
    </w:p>
    <w:p w14:paraId="6AA72187" w14:textId="77777777" w:rsidR="00537CC8" w:rsidRPr="0025250D" w:rsidRDefault="00537CC8" w:rsidP="00537CC8">
      <w:pPr>
        <w:rPr>
          <w:rtl/>
        </w:rPr>
      </w:pPr>
    </w:p>
    <w:p w14:paraId="28BE2E0F" w14:textId="77777777" w:rsidR="00537CC8" w:rsidRPr="0025250D" w:rsidRDefault="00537CC8" w:rsidP="00537CC8">
      <w:pPr>
        <w:rPr>
          <w:rtl/>
        </w:rPr>
      </w:pPr>
    </w:p>
    <w:p w14:paraId="762F28F2" w14:textId="77777777" w:rsidR="00537CC8" w:rsidRPr="0025250D" w:rsidRDefault="00537CC8" w:rsidP="000A674B">
      <w:pPr>
        <w:pStyle w:val="Heading2"/>
        <w:rPr>
          <w:rtl/>
        </w:rPr>
      </w:pPr>
      <w:bookmarkStart w:id="48" w:name="_Toc127831313"/>
      <w:r w:rsidRPr="0025250D">
        <w:rPr>
          <w:rFonts w:hint="cs"/>
          <w:rtl/>
        </w:rPr>
        <w:t xml:space="preserve">چهره‌های متعدد هرم </w:t>
      </w:r>
      <w:r w:rsidRPr="0025250D">
        <w:rPr>
          <w:rtl/>
        </w:rPr>
        <w:t>تکاملی - توسعه ای</w:t>
      </w:r>
      <w:r w:rsidRPr="0025250D">
        <w:rPr>
          <w:rFonts w:hint="cs"/>
          <w:rtl/>
        </w:rPr>
        <w:t xml:space="preserve">: چهار </w:t>
      </w:r>
      <w:r w:rsidRPr="0025250D">
        <w:t>P</w:t>
      </w:r>
      <w:r w:rsidRPr="0025250D">
        <w:rPr>
          <w:rFonts w:hint="cs"/>
          <w:rtl/>
        </w:rPr>
        <w:t xml:space="preserve"> در بافت جهانی و فراگیر</w:t>
      </w:r>
      <w:bookmarkEnd w:id="48"/>
    </w:p>
    <w:p w14:paraId="0A42C00E" w14:textId="22B6AA42" w:rsidR="00537CC8" w:rsidRPr="0025250D" w:rsidRDefault="00537CC8" w:rsidP="00537CC8">
      <w:pPr>
        <w:rPr>
          <w:rtl/>
        </w:rPr>
      </w:pPr>
      <w:r w:rsidRPr="0025250D">
        <w:rPr>
          <w:rFonts w:hint="cs"/>
          <w:rtl/>
        </w:rPr>
        <w:t>فراگیر‌ترین</w:t>
      </w:r>
      <w:r w:rsidR="008D6F97" w:rsidRPr="0025250D">
        <w:rPr>
          <w:rtl/>
        </w:rPr>
        <w:t xml:space="preserve"> </w:t>
      </w:r>
      <w:r w:rsidRPr="0025250D">
        <w:rPr>
          <w:rFonts w:hint="cs"/>
          <w:rtl/>
        </w:rPr>
        <w:t xml:space="preserve">مدلی که برای فرایند </w:t>
      </w:r>
      <w:r w:rsidRPr="0025250D">
        <w:rPr>
          <w:rtl/>
        </w:rPr>
        <w:t>آینده‌نگاری</w:t>
      </w:r>
      <w:r w:rsidRPr="0025250D">
        <w:rPr>
          <w:rFonts w:hint="cs"/>
          <w:rtl/>
        </w:rPr>
        <w:t xml:space="preserve">، در کنار حلقه انجام، معرفی </w:t>
      </w:r>
      <w:r w:rsidR="00950293" w:rsidRPr="0025250D">
        <w:rPr>
          <w:rFonts w:hint="cs"/>
          <w:rtl/>
        </w:rPr>
        <w:t>کرده‌ایم</w:t>
      </w:r>
      <w:r w:rsidRPr="0025250D">
        <w:rPr>
          <w:rFonts w:hint="cs"/>
          <w:rtl/>
        </w:rPr>
        <w:t xml:space="preserve">، چهار </w:t>
      </w:r>
      <w:r w:rsidRPr="0025250D">
        <w:t>P</w:t>
      </w:r>
      <w:r w:rsidRPr="0025250D">
        <w:rPr>
          <w:rFonts w:hint="cs"/>
          <w:rtl/>
        </w:rPr>
        <w:t xml:space="preserve"> و هرم </w:t>
      </w:r>
      <w:r w:rsidRPr="0025250D">
        <w:rPr>
          <w:rtl/>
        </w:rPr>
        <w:t xml:space="preserve">تکاملی - توسعه‌ای </w:t>
      </w:r>
      <w:r w:rsidRPr="0025250D">
        <w:rPr>
          <w:rFonts w:hint="cs"/>
          <w:rtl/>
        </w:rPr>
        <w:t>که از آن سرچشمه می‌گیرد</w:t>
      </w:r>
      <w:r w:rsidR="005E0138" w:rsidRPr="0025250D">
        <w:rPr>
          <w:rFonts w:hint="cs"/>
          <w:rtl/>
        </w:rPr>
        <w:t xml:space="preserve"> -</w:t>
      </w:r>
      <w:r w:rsidRPr="0025250D">
        <w:rPr>
          <w:rFonts w:hint="cs"/>
          <w:rtl/>
        </w:rPr>
        <w:t xml:space="preserve"> می‌باشد. اکنون بیایید به این هرم باز گردیم و اساسی‌ترین</w:t>
      </w:r>
      <w:r w:rsidR="008D6F97" w:rsidRPr="0025250D">
        <w:rPr>
          <w:rtl/>
        </w:rPr>
        <w:t xml:space="preserve"> </w:t>
      </w:r>
      <w:r w:rsidRPr="0025250D">
        <w:rPr>
          <w:rFonts w:hint="cs"/>
          <w:rtl/>
        </w:rPr>
        <w:t xml:space="preserve">راهی که </w:t>
      </w:r>
      <w:r w:rsidR="00A2429E" w:rsidRPr="0025250D">
        <w:rPr>
          <w:rFonts w:hint="cs"/>
          <w:rtl/>
        </w:rPr>
        <w:t xml:space="preserve">از طریق آن </w:t>
      </w:r>
      <w:r w:rsidRPr="0025250D">
        <w:rPr>
          <w:rFonts w:hint="cs"/>
          <w:rtl/>
        </w:rPr>
        <w:t xml:space="preserve">می‌توانیم وظایف ضروری کار </w:t>
      </w:r>
      <w:r w:rsidRPr="0025250D">
        <w:rPr>
          <w:rtl/>
        </w:rPr>
        <w:t>آینده‌نگاری</w:t>
      </w:r>
      <w:r w:rsidRPr="0025250D">
        <w:rPr>
          <w:rFonts w:hint="cs"/>
          <w:rtl/>
        </w:rPr>
        <w:t xml:space="preserve"> را ببینیم،</w:t>
      </w:r>
      <w:r w:rsidR="00A2429E" w:rsidRPr="0025250D">
        <w:rPr>
          <w:rFonts w:hint="cs"/>
          <w:rtl/>
        </w:rPr>
        <w:t xml:space="preserve"> بیابیم</w:t>
      </w:r>
      <w:r w:rsidRPr="0025250D">
        <w:rPr>
          <w:rFonts w:hint="cs"/>
          <w:rtl/>
        </w:rPr>
        <w:t xml:space="preserve">. ادعا </w:t>
      </w:r>
      <w:r w:rsidR="00950293" w:rsidRPr="0025250D">
        <w:rPr>
          <w:rFonts w:hint="cs"/>
          <w:rtl/>
        </w:rPr>
        <w:t>کرده‌ایم</w:t>
      </w:r>
      <w:r w:rsidRPr="0025250D">
        <w:rPr>
          <w:rFonts w:hint="cs"/>
          <w:rtl/>
        </w:rPr>
        <w:t xml:space="preserve"> که فعالان خوب برای دیدن و استفاده از این چهار نوع </w:t>
      </w:r>
      <w:r w:rsidR="00B124DE" w:rsidRPr="0025250D">
        <w:rPr>
          <w:rFonts w:hint="cs"/>
          <w:rtl/>
        </w:rPr>
        <w:t>آینده‌اندیش</w:t>
      </w:r>
      <w:r w:rsidRPr="0025250D">
        <w:rPr>
          <w:rFonts w:hint="cs"/>
          <w:rtl/>
        </w:rPr>
        <w:t xml:space="preserve">ی تلاش می‌کنند. باید از هر سوگیری فردی فرا‌تر رویم. باید </w:t>
      </w:r>
      <w:r w:rsidRPr="0025250D">
        <w:rPr>
          <w:rtl/>
        </w:rPr>
        <w:t>آینده‌نگاری</w:t>
      </w:r>
      <w:r w:rsidRPr="0025250D">
        <w:rPr>
          <w:rFonts w:hint="cs"/>
          <w:rtl/>
        </w:rPr>
        <w:t xml:space="preserve"> خود را با ترجیح به سپری کردن زمان بیش‌تر با تنها یک، دو یا سه مورد از این انواع، بیش از حد ساده سازی کنیم. باید بیش‌ترین</w:t>
      </w:r>
      <w:r w:rsidR="008D6F97" w:rsidRPr="0025250D">
        <w:rPr>
          <w:rtl/>
        </w:rPr>
        <w:t xml:space="preserve"> </w:t>
      </w:r>
      <w:r w:rsidRPr="0025250D">
        <w:rPr>
          <w:rFonts w:hint="cs"/>
          <w:rtl/>
        </w:rPr>
        <w:t xml:space="preserve">تلاش خود را برای دیدن و مهارت یابی در هر چهار نوع و استفاده از آن‌ها با عمق و قدرت مناسب برای بافت </w:t>
      </w:r>
      <w:r w:rsidRPr="0025250D">
        <w:rPr>
          <w:rtl/>
        </w:rPr>
        <w:t>آینده‌نگاری</w:t>
      </w:r>
      <w:r w:rsidRPr="0025250D">
        <w:rPr>
          <w:rFonts w:hint="cs"/>
          <w:rtl/>
        </w:rPr>
        <w:t xml:space="preserve"> خاص خود انجام دهیم. آن‌ها در ساده‌ترین</w:t>
      </w:r>
      <w:r w:rsidR="008D6F97" w:rsidRPr="0025250D">
        <w:rPr>
          <w:rtl/>
        </w:rPr>
        <w:t xml:space="preserve"> </w:t>
      </w:r>
      <w:r w:rsidRPr="0025250D">
        <w:rPr>
          <w:rFonts w:hint="cs"/>
          <w:rtl/>
        </w:rPr>
        <w:t xml:space="preserve">شکل خود، در قالب هرم </w:t>
      </w:r>
      <w:r w:rsidRPr="0025250D">
        <w:rPr>
          <w:rtl/>
        </w:rPr>
        <w:t>آینده‌نگاری</w:t>
      </w:r>
      <w:r w:rsidRPr="0025250D">
        <w:rPr>
          <w:rFonts w:hint="cs"/>
          <w:rtl/>
        </w:rPr>
        <w:t xml:space="preserve"> کلاسیک به ترتیب توصیه شده اولیه ما از عملیات‌ها ارائه شدند:</w:t>
      </w:r>
    </w:p>
    <w:p w14:paraId="3DCEA18B" w14:textId="3DF96A9D" w:rsidR="00537CC8" w:rsidRPr="0025250D" w:rsidRDefault="00537CC8" w:rsidP="00492C47">
      <w:pPr>
        <w:numPr>
          <w:ilvl w:val="0"/>
          <w:numId w:val="37"/>
        </w:numPr>
        <w:rPr>
          <w:rtl/>
        </w:rPr>
      </w:pPr>
      <w:r w:rsidRPr="0025250D">
        <w:rPr>
          <w:rFonts w:hint="cs"/>
          <w:rtl/>
        </w:rPr>
        <w:t xml:space="preserve">آینده‌های محتمل (تولید کننده قید و یکنواختی، قابل </w:t>
      </w:r>
      <w:r w:rsidR="00D92F6E" w:rsidRPr="0025250D">
        <w:rPr>
          <w:rFonts w:hint="cs"/>
          <w:rtl/>
        </w:rPr>
        <w:t>پیش‌بین</w:t>
      </w:r>
      <w:r w:rsidRPr="0025250D">
        <w:rPr>
          <w:rFonts w:hint="cs"/>
          <w:rtl/>
        </w:rPr>
        <w:t>ی، امن، مورد انتظار، آشنا)</w:t>
      </w:r>
    </w:p>
    <w:p w14:paraId="3B181DC6" w14:textId="40793483" w:rsidR="00537CC8" w:rsidRPr="0025250D" w:rsidRDefault="00537CC8" w:rsidP="00492C47">
      <w:pPr>
        <w:numPr>
          <w:ilvl w:val="0"/>
          <w:numId w:val="37"/>
        </w:numPr>
        <w:rPr>
          <w:rtl/>
        </w:rPr>
      </w:pPr>
      <w:r w:rsidRPr="0025250D">
        <w:rPr>
          <w:rFonts w:hint="cs"/>
          <w:rtl/>
        </w:rPr>
        <w:t xml:space="preserve">آینده‌های ممکن (ایجاد کننده آزادی و تنوع، غیر قابل </w:t>
      </w:r>
      <w:r w:rsidR="00D92F6E" w:rsidRPr="0025250D">
        <w:rPr>
          <w:rFonts w:hint="cs"/>
          <w:rtl/>
        </w:rPr>
        <w:t>پیش‌بین</w:t>
      </w:r>
      <w:r w:rsidRPr="0025250D">
        <w:rPr>
          <w:rFonts w:hint="cs"/>
          <w:rtl/>
        </w:rPr>
        <w:t xml:space="preserve">ی، خلاقانه، </w:t>
      </w:r>
      <w:r w:rsidR="00563645" w:rsidRPr="0025250D">
        <w:rPr>
          <w:rFonts w:hint="cs"/>
          <w:rtl/>
        </w:rPr>
        <w:t>بدیل</w:t>
      </w:r>
      <w:r w:rsidRPr="0025250D">
        <w:rPr>
          <w:rFonts w:hint="cs"/>
          <w:rtl/>
        </w:rPr>
        <w:t>، جدید)</w:t>
      </w:r>
    </w:p>
    <w:p w14:paraId="273B0B53" w14:textId="1C9F602D" w:rsidR="00537CC8" w:rsidRPr="0025250D" w:rsidRDefault="00537CC8" w:rsidP="00492C47">
      <w:pPr>
        <w:numPr>
          <w:ilvl w:val="0"/>
          <w:numId w:val="37"/>
        </w:numPr>
        <w:rPr>
          <w:rtl/>
        </w:rPr>
      </w:pPr>
      <w:r w:rsidRPr="0025250D">
        <w:rPr>
          <w:rFonts w:hint="cs"/>
          <w:rtl/>
        </w:rPr>
        <w:t>آینده‌های مرجح و قابل اجتناب (ارزش‌ها، اهداف</w:t>
      </w:r>
      <w:r w:rsidR="008D6F97" w:rsidRPr="0025250D">
        <w:rPr>
          <w:rtl/>
        </w:rPr>
        <w:t xml:space="preserve"> </w:t>
      </w:r>
      <w:r w:rsidRPr="0025250D">
        <w:rPr>
          <w:rFonts w:hint="cs"/>
          <w:rtl/>
        </w:rPr>
        <w:t>و برنامه‌های مرجح فردی و گروهی؛ اشتباهات، موانع و عقبگردهای اجتناب پذیر)</w:t>
      </w:r>
    </w:p>
    <w:p w14:paraId="4A6E8F94" w14:textId="2464EDFF" w:rsidR="00537CC8" w:rsidRPr="0025250D" w:rsidRDefault="00537CC8" w:rsidP="00537CC8">
      <w:pPr>
        <w:rPr>
          <w:rtl/>
        </w:rPr>
      </w:pPr>
      <w:r w:rsidRPr="0025250D">
        <w:rPr>
          <w:rFonts w:hint="cs"/>
          <w:rtl/>
        </w:rPr>
        <w:t xml:space="preserve">بسیاری از </w:t>
      </w:r>
      <w:r w:rsidR="00B124DE" w:rsidRPr="0025250D">
        <w:rPr>
          <w:rFonts w:hint="cs"/>
          <w:rtl/>
        </w:rPr>
        <w:t>آینده‌اندیش</w:t>
      </w:r>
      <w:r w:rsidRPr="0025250D">
        <w:rPr>
          <w:rFonts w:hint="cs"/>
          <w:rtl/>
        </w:rPr>
        <w:t xml:space="preserve">ان در پاسخ به این پرسش که آیا یک آینده یا چندین آینده در پیش رو قرار دارند، در بحث درمورد یک </w:t>
      </w:r>
      <w:r w:rsidR="008D6F97" w:rsidRPr="0025250D">
        <w:rPr>
          <w:rFonts w:hint="cs"/>
          <w:rtl/>
        </w:rPr>
        <w:t>سامانه‌</w:t>
      </w:r>
      <w:r w:rsidRPr="0025250D">
        <w:rPr>
          <w:rFonts w:hint="cs"/>
          <w:rtl/>
        </w:rPr>
        <w:t xml:space="preserve"> یا موضوع، یک طرف را انتخاب می‌کنند. آن‌ها معتقدند که تنها یکی از این حالات واقعیت می‌تواند درست باشد. تفکر </w:t>
      </w:r>
      <w:r w:rsidRPr="0025250D">
        <w:rPr>
          <w:rtl/>
        </w:rPr>
        <w:t xml:space="preserve">تکاملی - توسعه‌ای </w:t>
      </w:r>
      <w:r w:rsidRPr="0025250D">
        <w:rPr>
          <w:rFonts w:hint="cs"/>
          <w:rtl/>
        </w:rPr>
        <w:t xml:space="preserve">به ما می‌گوید که هر دو دیدگاه همواره، برای هر </w:t>
      </w:r>
      <w:r w:rsidR="008D6F97" w:rsidRPr="0025250D">
        <w:rPr>
          <w:rFonts w:hint="cs"/>
          <w:rtl/>
        </w:rPr>
        <w:t>سامانه‌</w:t>
      </w:r>
      <w:r w:rsidRPr="0025250D">
        <w:rPr>
          <w:rFonts w:hint="cs"/>
          <w:rtl/>
        </w:rPr>
        <w:t xml:space="preserve"> و محیط پیچیده‌ای درست هستند. یک پرسش بسیار مفید‌تر پرسیدن این سؤال است که ما چگونه می‌توانیم بهتر آنچه قابل </w:t>
      </w:r>
      <w:r w:rsidR="00D92F6E" w:rsidRPr="0025250D">
        <w:rPr>
          <w:rFonts w:hint="cs"/>
          <w:rtl/>
        </w:rPr>
        <w:t>پیش‌بین</w:t>
      </w:r>
      <w:r w:rsidRPr="0025250D">
        <w:rPr>
          <w:rFonts w:hint="cs"/>
          <w:rtl/>
        </w:rPr>
        <w:t xml:space="preserve">ی و آنچه غیر قابل </w:t>
      </w:r>
      <w:r w:rsidR="00D92F6E" w:rsidRPr="0025250D">
        <w:rPr>
          <w:rFonts w:hint="cs"/>
          <w:rtl/>
        </w:rPr>
        <w:t>پیش‌بین</w:t>
      </w:r>
      <w:r w:rsidRPr="0025250D">
        <w:rPr>
          <w:rFonts w:hint="cs"/>
          <w:rtl/>
        </w:rPr>
        <w:t xml:space="preserve">ی است را در متغیر‌های هر فرایند، رویداد یا </w:t>
      </w:r>
      <w:r w:rsidR="008D6F97" w:rsidRPr="0025250D">
        <w:rPr>
          <w:rFonts w:hint="cs"/>
          <w:rtl/>
        </w:rPr>
        <w:t>سامانه‌</w:t>
      </w:r>
      <w:r w:rsidRPr="0025250D">
        <w:rPr>
          <w:rFonts w:hint="cs"/>
          <w:rtl/>
        </w:rPr>
        <w:t xml:space="preserve"> مرتبط با </w:t>
      </w:r>
      <w:r w:rsidR="00701E03" w:rsidRPr="0025250D">
        <w:rPr>
          <w:rFonts w:hint="cs"/>
          <w:rtl/>
        </w:rPr>
        <w:t>راهبرد</w:t>
      </w:r>
      <w:r w:rsidRPr="0025250D">
        <w:rPr>
          <w:rFonts w:hint="cs"/>
          <w:rtl/>
        </w:rPr>
        <w:t xml:space="preserve"> خود تعیین کنیم. باید بیاموزیم که به صورت همزمان قیود احتمالات و آزادی‌های موارد ممکن را ببینیم و سپس آینده‌های مرجح و قابل اجتناب را که </w:t>
      </w:r>
      <w:r w:rsidR="00B124DE" w:rsidRPr="0025250D">
        <w:rPr>
          <w:rFonts w:hint="cs"/>
          <w:rtl/>
        </w:rPr>
        <w:t>انطباق‌پذیر</w:t>
      </w:r>
      <w:r w:rsidRPr="0025250D">
        <w:rPr>
          <w:rFonts w:hint="cs"/>
          <w:rtl/>
        </w:rPr>
        <w:t xml:space="preserve"> </w:t>
      </w:r>
      <w:r w:rsidR="00A2429E" w:rsidRPr="0025250D">
        <w:rPr>
          <w:rFonts w:hint="cs"/>
          <w:rtl/>
        </w:rPr>
        <w:t xml:space="preserve">به نظر </w:t>
      </w:r>
      <w:r w:rsidRPr="0025250D">
        <w:rPr>
          <w:rFonts w:hint="cs"/>
          <w:rtl/>
        </w:rPr>
        <w:t xml:space="preserve">می‌رسند استخراج نمایید. </w:t>
      </w:r>
      <w:r w:rsidR="00B13F65" w:rsidRPr="0025250D">
        <w:rPr>
          <w:rFonts w:hint="cs"/>
          <w:rtl/>
        </w:rPr>
        <w:t>چارچوب</w:t>
      </w:r>
      <w:r w:rsidRPr="0025250D">
        <w:rPr>
          <w:rFonts w:hint="cs"/>
          <w:rtl/>
        </w:rPr>
        <w:t xml:space="preserve">‌های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متوازنی مانند چهار </w:t>
      </w:r>
      <w:r w:rsidRPr="0025250D">
        <w:t>P</w:t>
      </w:r>
      <w:r w:rsidRPr="0025250D">
        <w:rPr>
          <w:rFonts w:hint="cs"/>
          <w:rtl/>
        </w:rPr>
        <w:t xml:space="preserve"> (چرخه </w:t>
      </w:r>
      <w:r w:rsidRPr="0025250D">
        <w:t>REOPS</w:t>
      </w:r>
      <w:r w:rsidRPr="0025250D">
        <w:rPr>
          <w:rFonts w:hint="cs"/>
          <w:rtl/>
        </w:rPr>
        <w:t xml:space="preserve">) و تحلیل </w:t>
      </w:r>
      <w:r w:rsidRPr="0025250D">
        <w:t>ADOR</w:t>
      </w:r>
      <w:r w:rsidRPr="0025250D">
        <w:rPr>
          <w:rFonts w:hint="cs"/>
          <w:rtl/>
        </w:rPr>
        <w:t xml:space="preserve">، وقتی با مدل‌های </w:t>
      </w:r>
      <w:r w:rsidRPr="0025250D">
        <w:rPr>
          <w:rtl/>
        </w:rPr>
        <w:t>آینده‌نگاری</w:t>
      </w:r>
      <w:r w:rsidR="008D6F97" w:rsidRPr="0025250D">
        <w:t xml:space="preserve"> </w:t>
      </w:r>
      <w:r w:rsidRPr="0025250D">
        <w:rPr>
          <w:rFonts w:hint="cs"/>
          <w:rtl/>
        </w:rPr>
        <w:t xml:space="preserve">هنجاری مانند اهداف </w:t>
      </w:r>
      <w:r w:rsidRPr="0025250D">
        <w:t>IES</w:t>
      </w:r>
      <w:r w:rsidRPr="0025250D">
        <w:rPr>
          <w:rFonts w:hint="cs"/>
          <w:rtl/>
        </w:rPr>
        <w:t xml:space="preserve"> ترکیب شوند، می‌توانند به شدت به ما از این نظر کمک کنند.</w:t>
      </w:r>
    </w:p>
    <w:p w14:paraId="0E870420" w14:textId="23BA1A63" w:rsidR="00537CC8" w:rsidRPr="0025250D" w:rsidRDefault="00537CC8" w:rsidP="00537CC8">
      <w:pPr>
        <w:rPr>
          <w:rtl/>
        </w:rPr>
      </w:pPr>
      <w:r w:rsidRPr="0025250D">
        <w:rPr>
          <w:rFonts w:hint="cs"/>
          <w:rtl/>
        </w:rPr>
        <w:t xml:space="preserve">اکنون بیایید مجددا هرم </w:t>
      </w:r>
      <w:r w:rsidRPr="0025250D">
        <w:rPr>
          <w:rtl/>
        </w:rPr>
        <w:t>آینده‌نگاری</w:t>
      </w:r>
      <w:r w:rsidRPr="0025250D">
        <w:rPr>
          <w:rFonts w:hint="cs"/>
          <w:rtl/>
        </w:rPr>
        <w:t xml:space="preserve"> مدرن را بازبینی کنیم که به ما می‌گوید که برای تولید </w:t>
      </w:r>
      <w:r w:rsidRPr="0025250D">
        <w:rPr>
          <w:rtl/>
        </w:rPr>
        <w:t>آینده‌نگاری</w:t>
      </w:r>
      <w:r w:rsidRPr="0025250D">
        <w:rPr>
          <w:rFonts w:hint="cs"/>
          <w:rtl/>
        </w:rPr>
        <w:t xml:space="preserve"> خوب، باید چهار ارزیابی تکمیلی انجام دهیم. از چپ به راست و از پایین به بالا، این هرم به ما می‌گوید که معمولا بهترین راه آغاز با </w:t>
      </w:r>
      <w:r w:rsidRPr="0025250D">
        <w:rPr>
          <w:rtl/>
        </w:rPr>
        <w:t>آینده‌نگاری</w:t>
      </w:r>
      <w:r w:rsidRPr="0025250D">
        <w:rPr>
          <w:rFonts w:hint="cs"/>
          <w:rtl/>
        </w:rPr>
        <w:t xml:space="preserve"> </w:t>
      </w:r>
      <w:r w:rsidR="00127C91" w:rsidRPr="0025250D">
        <w:rPr>
          <w:rFonts w:hint="cs"/>
          <w:rtl/>
        </w:rPr>
        <w:t xml:space="preserve">موارد </w:t>
      </w:r>
      <w:r w:rsidRPr="0025250D">
        <w:rPr>
          <w:rFonts w:hint="cs"/>
          <w:rtl/>
        </w:rPr>
        <w:t xml:space="preserve">محتمل، سپس بررسی موارد ممکن و سپس موارد مرجح و در آخر موارد قابل اجتناب است. بیان کردیم که </w:t>
      </w:r>
      <w:r w:rsidR="00D30084" w:rsidRPr="0025250D">
        <w:rPr>
          <w:rFonts w:hint="cs"/>
          <w:rtl/>
        </w:rPr>
        <w:t>آینده‌نگار</w:t>
      </w:r>
      <w:r w:rsidRPr="0025250D">
        <w:rPr>
          <w:rFonts w:hint="cs"/>
          <w:rtl/>
        </w:rPr>
        <w:t xml:space="preserve"> </w:t>
      </w:r>
      <w:r w:rsidRPr="0025250D">
        <w:rPr>
          <w:rtl/>
        </w:rPr>
        <w:t>آلو</w:t>
      </w:r>
      <w:r w:rsidRPr="0025250D">
        <w:rPr>
          <w:rFonts w:hint="cs"/>
          <w:rtl/>
        </w:rPr>
        <w:t>ی</w:t>
      </w:r>
      <w:r w:rsidRPr="0025250D">
        <w:rPr>
          <w:rFonts w:hint="eastAsia"/>
          <w:rtl/>
        </w:rPr>
        <w:t>ن</w:t>
      </w:r>
      <w:r w:rsidRPr="0025250D">
        <w:rPr>
          <w:rtl/>
        </w:rPr>
        <w:t xml:space="preserve"> تافلر</w:t>
      </w:r>
      <w:r w:rsidRPr="0025250D">
        <w:rPr>
          <w:vertAlign w:val="superscript"/>
          <w:rtl/>
        </w:rPr>
        <w:footnoteReference w:id="1506"/>
      </w:r>
      <w:r w:rsidRPr="0025250D">
        <w:rPr>
          <w:rFonts w:hint="cs"/>
          <w:rtl/>
        </w:rPr>
        <w:t xml:space="preserve"> هرم </w:t>
      </w:r>
      <w:r w:rsidRPr="0025250D">
        <w:rPr>
          <w:rtl/>
        </w:rPr>
        <w:t>آینده‌نگاری</w:t>
      </w:r>
      <w:r w:rsidRPr="0025250D">
        <w:rPr>
          <w:rFonts w:hint="cs"/>
          <w:rtl/>
        </w:rPr>
        <w:t xml:space="preserve"> کلاسیک (سه </w:t>
      </w:r>
      <w:r w:rsidRPr="0025250D">
        <w:t>P</w:t>
      </w:r>
      <w:r w:rsidRPr="0025250D">
        <w:rPr>
          <w:rFonts w:hint="cs"/>
          <w:rtl/>
        </w:rPr>
        <w:t>) را در کتاب شوک آینده</w:t>
      </w:r>
      <w:r w:rsidRPr="0025250D">
        <w:rPr>
          <w:vertAlign w:val="superscript"/>
          <w:rtl/>
        </w:rPr>
        <w:footnoteReference w:id="1507"/>
      </w:r>
      <w:r w:rsidRPr="0025250D">
        <w:rPr>
          <w:rFonts w:hint="cs"/>
          <w:rtl/>
        </w:rPr>
        <w:t xml:space="preserve"> در سال 1970 توصیف </w:t>
      </w:r>
      <w:r w:rsidR="00A2429E" w:rsidRPr="0025250D">
        <w:rPr>
          <w:rFonts w:hint="cs"/>
          <w:rtl/>
        </w:rPr>
        <w:t>نمود</w:t>
      </w:r>
      <w:r w:rsidRPr="0025250D">
        <w:rPr>
          <w:rFonts w:hint="cs"/>
          <w:rtl/>
        </w:rPr>
        <w:t xml:space="preserve"> که روی آمارا</w:t>
      </w:r>
      <w:r w:rsidRPr="0025250D">
        <w:rPr>
          <w:vertAlign w:val="superscript"/>
          <w:rtl/>
        </w:rPr>
        <w:footnoteReference w:id="1508"/>
      </w:r>
      <w:r w:rsidRPr="0025250D">
        <w:rPr>
          <w:rFonts w:hint="cs"/>
          <w:rtl/>
        </w:rPr>
        <w:t xml:space="preserve"> آن را بعد‌ها در دهه 1980 توسعه داد و آرت </w:t>
      </w:r>
      <w:r w:rsidRPr="0025250D">
        <w:rPr>
          <w:rtl/>
        </w:rPr>
        <w:t>شوستاک</w:t>
      </w:r>
      <w:r w:rsidRPr="0025250D">
        <w:rPr>
          <w:vertAlign w:val="superscript"/>
          <w:rtl/>
        </w:rPr>
        <w:footnoteReference w:id="1509"/>
      </w:r>
      <w:r w:rsidRPr="0025250D">
        <w:rPr>
          <w:rFonts w:hint="cs"/>
          <w:rtl/>
        </w:rPr>
        <w:t xml:space="preserve"> هرم مدرن (چهار </w:t>
      </w:r>
      <w:r w:rsidRPr="0025250D">
        <w:t>P</w:t>
      </w:r>
      <w:r w:rsidRPr="0025250D">
        <w:rPr>
          <w:rFonts w:hint="cs"/>
          <w:rtl/>
        </w:rPr>
        <w:t>) را در سال 2001 ارائه کرد. این هرم در زیر بار دیگر ارائه شده است:</w:t>
      </w:r>
    </w:p>
    <w:p w14:paraId="6CB5ED8E" w14:textId="77777777" w:rsidR="00537CC8" w:rsidRPr="0025250D" w:rsidRDefault="00537CC8" w:rsidP="00537CC8">
      <w:pPr>
        <w:rPr>
          <w:rtl/>
        </w:rPr>
      </w:pPr>
    </w:p>
    <w:p w14:paraId="1A6747B1" w14:textId="6F20A7D9" w:rsidR="00537CC8" w:rsidRPr="0025250D" w:rsidRDefault="00F004A5" w:rsidP="000A674B">
      <w:pPr>
        <w:jc w:val="center"/>
        <w:rPr>
          <w:rtl/>
        </w:rPr>
      </w:pPr>
      <w:r w:rsidRPr="0025250D">
        <w:rPr>
          <w:noProof/>
        </w:rPr>
        <w:drawing>
          <wp:inline distT="0" distB="0" distL="0" distR="0" wp14:anchorId="0CA8516B" wp14:editId="76392710">
            <wp:extent cx="3601941" cy="3128061"/>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3" cstate="screen">
                      <a:extLst>
                        <a:ext uri="{28A0092B-C50C-407E-A947-70E740481C1C}">
                          <a14:useLocalDpi xmlns:a14="http://schemas.microsoft.com/office/drawing/2010/main"/>
                        </a:ext>
                      </a:extLst>
                    </a:blip>
                    <a:srcRect/>
                    <a:stretch>
                      <a:fillRect/>
                    </a:stretch>
                  </pic:blipFill>
                  <pic:spPr bwMode="auto">
                    <a:xfrm>
                      <a:off x="0" y="0"/>
                      <a:ext cx="3613846" cy="3138400"/>
                    </a:xfrm>
                    <a:prstGeom prst="rect">
                      <a:avLst/>
                    </a:prstGeom>
                    <a:noFill/>
                  </pic:spPr>
                </pic:pic>
              </a:graphicData>
            </a:graphic>
          </wp:inline>
        </w:drawing>
      </w:r>
    </w:p>
    <w:p w14:paraId="07360262" w14:textId="35931C09" w:rsidR="00537CC8" w:rsidRPr="0025250D" w:rsidRDefault="00537CC8" w:rsidP="00537CC8">
      <w:pPr>
        <w:rPr>
          <w:rtl/>
        </w:rPr>
      </w:pPr>
      <w:r w:rsidRPr="0025250D">
        <w:rPr>
          <w:rFonts w:hint="cs"/>
          <w:rtl/>
        </w:rPr>
        <w:t xml:space="preserve">چه بخواهیم از نظر چهار </w:t>
      </w:r>
      <w:r w:rsidRPr="0025250D">
        <w:t>P</w:t>
      </w:r>
      <w:r w:rsidRPr="0025250D">
        <w:rPr>
          <w:rFonts w:hint="cs"/>
          <w:rtl/>
        </w:rPr>
        <w:t xml:space="preserve"> به این هرم فکر کنیم و چه به شکل ساده‌تر، آن را از نظر مهارت‌های محوری </w:t>
      </w:r>
      <w:r w:rsidRPr="0025250D">
        <w:t>AIS</w:t>
      </w:r>
      <w:r w:rsidRPr="0025250D">
        <w:rPr>
          <w:rFonts w:hint="cs"/>
          <w:rtl/>
        </w:rPr>
        <w:t xml:space="preserve"> نگاه کنیم، باید روابط آن‌ها و این که دو مورد اول هر دو اساسی بوده و توسط کارسپاران کم‌تر به آن‌ها بها داده می‌شود را تشخیص دهیم.</w:t>
      </w:r>
    </w:p>
    <w:p w14:paraId="3E061C1B" w14:textId="17604899" w:rsidR="00537CC8" w:rsidRPr="0025250D" w:rsidRDefault="00537CC8" w:rsidP="00537CC8">
      <w:pPr>
        <w:rPr>
          <w:rtl/>
        </w:rPr>
      </w:pPr>
      <w:r w:rsidRPr="0025250D">
        <w:rPr>
          <w:rFonts w:hint="cs"/>
          <w:rtl/>
        </w:rPr>
        <w:t xml:space="preserve">بسیاری از افراد دیگر نیز این هرم را بررسی </w:t>
      </w:r>
      <w:r w:rsidR="007118DE" w:rsidRPr="0025250D">
        <w:rPr>
          <w:rFonts w:hint="cs"/>
          <w:rtl/>
        </w:rPr>
        <w:t>کرده‌اند</w:t>
      </w:r>
      <w:r w:rsidRPr="0025250D">
        <w:rPr>
          <w:rFonts w:hint="cs"/>
          <w:rtl/>
        </w:rPr>
        <w:t xml:space="preserve">. </w:t>
      </w:r>
      <w:r w:rsidR="0008779C" w:rsidRPr="0025250D">
        <w:rPr>
          <w:rFonts w:hint="cs"/>
          <w:rtl/>
        </w:rPr>
        <w:t>پیش‌نگر</w:t>
      </w:r>
      <w:r w:rsidRPr="0025250D">
        <w:rPr>
          <w:rFonts w:hint="cs"/>
          <w:rtl/>
        </w:rPr>
        <w:t xml:space="preserve"> برجسته </w:t>
      </w:r>
      <w:r w:rsidR="007A53FD" w:rsidRPr="0025250D">
        <w:rPr>
          <w:rFonts w:hint="cs"/>
          <w:rtl/>
        </w:rPr>
        <w:t>فناوری</w:t>
      </w:r>
      <w:r w:rsidRPr="0025250D">
        <w:rPr>
          <w:rFonts w:hint="cs"/>
          <w:rtl/>
        </w:rPr>
        <w:t xml:space="preserve"> </w:t>
      </w:r>
      <w:r w:rsidRPr="0025250D">
        <w:rPr>
          <w:rtl/>
        </w:rPr>
        <w:t>هال ل</w:t>
      </w:r>
      <w:r w:rsidRPr="0025250D">
        <w:rPr>
          <w:rFonts w:hint="cs"/>
          <w:rtl/>
        </w:rPr>
        <w:t>ی</w:t>
      </w:r>
      <w:r w:rsidRPr="0025250D">
        <w:rPr>
          <w:rFonts w:hint="eastAsia"/>
          <w:rtl/>
        </w:rPr>
        <w:t>ن</w:t>
      </w:r>
      <w:r w:rsidRPr="0025250D">
        <w:rPr>
          <w:rtl/>
        </w:rPr>
        <w:t xml:space="preserve"> استون</w:t>
      </w:r>
      <w:r w:rsidRPr="0025250D">
        <w:rPr>
          <w:vertAlign w:val="superscript"/>
          <w:rtl/>
        </w:rPr>
        <w:footnoteReference w:id="1510"/>
      </w:r>
      <w:r w:rsidRPr="0025250D">
        <w:rPr>
          <w:rFonts w:hint="cs"/>
          <w:rtl/>
        </w:rPr>
        <w:t xml:space="preserve"> یک دیدگاه سه گانه در کتاب دیدگاه‌های چندگانه برای </w:t>
      </w:r>
      <w:r w:rsidR="0008779C" w:rsidRPr="0025250D">
        <w:rPr>
          <w:rFonts w:hint="cs"/>
          <w:rtl/>
        </w:rPr>
        <w:t>تصمیم‌گیری</w:t>
      </w:r>
      <w:r w:rsidRPr="0025250D">
        <w:rPr>
          <w:vertAlign w:val="superscript"/>
          <w:rtl/>
        </w:rPr>
        <w:footnoteReference w:id="1511"/>
      </w:r>
      <w:r w:rsidRPr="0025250D">
        <w:rPr>
          <w:rFonts w:hint="cs"/>
          <w:rtl/>
        </w:rPr>
        <w:t xml:space="preserve"> در سال 1984 ارائه کرد. </w:t>
      </w:r>
      <w:r w:rsidRPr="0025250D">
        <w:rPr>
          <w:rtl/>
        </w:rPr>
        <w:t>ل</w:t>
      </w:r>
      <w:r w:rsidRPr="0025250D">
        <w:rPr>
          <w:rFonts w:hint="cs"/>
          <w:rtl/>
        </w:rPr>
        <w:t>ی</w:t>
      </w:r>
      <w:r w:rsidRPr="0025250D">
        <w:rPr>
          <w:rFonts w:hint="eastAsia"/>
          <w:rtl/>
        </w:rPr>
        <w:t>ن</w:t>
      </w:r>
      <w:r w:rsidRPr="0025250D">
        <w:rPr>
          <w:rtl/>
        </w:rPr>
        <w:t xml:space="preserve"> استون</w:t>
      </w:r>
      <w:r w:rsidRPr="0025250D">
        <w:rPr>
          <w:rFonts w:hint="cs"/>
          <w:rtl/>
        </w:rPr>
        <w:t xml:space="preserve"> سردبیر مجله </w:t>
      </w:r>
      <w:r w:rsidR="00FB6A7E" w:rsidRPr="0025250D">
        <w:rPr>
          <w:rFonts w:hint="cs"/>
          <w:rtl/>
        </w:rPr>
        <w:t>پیش‌نگری</w:t>
      </w:r>
      <w:r w:rsidRPr="0025250D">
        <w:rPr>
          <w:rFonts w:hint="cs"/>
          <w:rtl/>
        </w:rPr>
        <w:t xml:space="preserve"> </w:t>
      </w:r>
      <w:r w:rsidR="007A53FD" w:rsidRPr="0025250D">
        <w:rPr>
          <w:rFonts w:hint="cs"/>
          <w:rtl/>
        </w:rPr>
        <w:t>فناوری</w:t>
      </w:r>
      <w:r w:rsidRPr="0025250D">
        <w:rPr>
          <w:rFonts w:hint="cs"/>
          <w:rtl/>
        </w:rPr>
        <w:t xml:space="preserve"> و تغییر اجتماعی</w:t>
      </w:r>
      <w:r w:rsidRPr="0025250D">
        <w:rPr>
          <w:vertAlign w:val="superscript"/>
          <w:rtl/>
        </w:rPr>
        <w:footnoteReference w:id="1512"/>
      </w:r>
      <w:r w:rsidRPr="0025250D">
        <w:rPr>
          <w:rFonts w:hint="cs"/>
          <w:rtl/>
        </w:rPr>
        <w:t xml:space="preserve">، تغییر </w:t>
      </w:r>
      <w:r w:rsidR="007A53FD" w:rsidRPr="0025250D">
        <w:rPr>
          <w:rFonts w:hint="cs"/>
          <w:rtl/>
        </w:rPr>
        <w:t>فناوری</w:t>
      </w:r>
      <w:r w:rsidRPr="0025250D">
        <w:rPr>
          <w:rFonts w:hint="cs"/>
          <w:rtl/>
        </w:rPr>
        <w:t xml:space="preserve"> قابل </w:t>
      </w:r>
      <w:r w:rsidR="00D92F6E" w:rsidRPr="0025250D">
        <w:rPr>
          <w:rFonts w:hint="cs"/>
          <w:rtl/>
        </w:rPr>
        <w:t>پیش‌بین</w:t>
      </w:r>
      <w:r w:rsidRPr="0025250D">
        <w:rPr>
          <w:rFonts w:hint="cs"/>
          <w:rtl/>
        </w:rPr>
        <w:t xml:space="preserve">ی را به‌عنوان پیشران اصلی آینده‌های محتمل، تغییر فردی را به‌عنوان پیشران اصلی آینده‌های ممکن، اکتشافی و غیر قابل </w:t>
      </w:r>
      <w:r w:rsidR="00D92F6E" w:rsidRPr="0025250D">
        <w:rPr>
          <w:rFonts w:hint="cs"/>
          <w:rtl/>
        </w:rPr>
        <w:t>پیش‌بین</w:t>
      </w:r>
      <w:r w:rsidRPr="0025250D">
        <w:rPr>
          <w:rFonts w:hint="cs"/>
          <w:rtl/>
        </w:rPr>
        <w:t xml:space="preserve">ی و تغییر سازمانی را به‌عنوان </w:t>
      </w:r>
      <w:r w:rsidR="008D6F97" w:rsidRPr="0025250D">
        <w:rPr>
          <w:rFonts w:hint="cs"/>
          <w:rtl/>
        </w:rPr>
        <w:t>سامانه‌</w:t>
      </w:r>
      <w:r w:rsidRPr="0025250D">
        <w:rPr>
          <w:rFonts w:hint="cs"/>
          <w:rtl/>
        </w:rPr>
        <w:t xml:space="preserve"> برجسته و هدایت گر پیشران آینده‌های مرجح می‌دید. آینده‌پژوهان گروس</w:t>
      </w:r>
      <w:r w:rsidRPr="0025250D">
        <w:rPr>
          <w:vertAlign w:val="superscript"/>
          <w:rtl/>
        </w:rPr>
        <w:footnoteReference w:id="1513"/>
      </w:r>
      <w:r w:rsidRPr="0025250D">
        <w:rPr>
          <w:rFonts w:hint="cs"/>
          <w:rtl/>
        </w:rPr>
        <w:t xml:space="preserve"> و </w:t>
      </w:r>
      <w:r w:rsidRPr="0025250D">
        <w:rPr>
          <w:rtl/>
        </w:rPr>
        <w:t>س</w:t>
      </w:r>
      <w:r w:rsidRPr="0025250D">
        <w:rPr>
          <w:rFonts w:hint="cs"/>
          <w:rtl/>
        </w:rPr>
        <w:t>ی</w:t>
      </w:r>
      <w:r w:rsidRPr="0025250D">
        <w:rPr>
          <w:rFonts w:hint="eastAsia"/>
          <w:rtl/>
        </w:rPr>
        <w:t>نگ</w:t>
      </w:r>
      <w:r w:rsidRPr="0025250D">
        <w:rPr>
          <w:vertAlign w:val="superscript"/>
          <w:rtl/>
        </w:rPr>
        <w:footnoteReference w:id="1514"/>
      </w:r>
      <w:r w:rsidRPr="0025250D">
        <w:rPr>
          <w:rFonts w:hint="cs"/>
          <w:rtl/>
        </w:rPr>
        <w:t xml:space="preserve">، در کتاب </w:t>
      </w:r>
      <w:r w:rsidR="0063099E" w:rsidRPr="0025250D">
        <w:rPr>
          <w:rtl/>
        </w:rPr>
        <w:t>«</w:t>
      </w:r>
      <w:r w:rsidRPr="0025250D">
        <w:rPr>
          <w:rFonts w:hint="cs"/>
          <w:rtl/>
        </w:rPr>
        <w:t>ماجراجویی‌های یادگیری</w:t>
      </w:r>
      <w:r w:rsidRPr="0025250D">
        <w:rPr>
          <w:vertAlign w:val="superscript"/>
          <w:rtl/>
        </w:rPr>
        <w:footnoteReference w:id="1515"/>
      </w:r>
      <w:r w:rsidR="0063099E" w:rsidRPr="0025250D">
        <w:rPr>
          <w:rtl/>
        </w:rPr>
        <w:t>»</w:t>
      </w:r>
      <w:r w:rsidRPr="0025250D">
        <w:rPr>
          <w:rFonts w:hint="cs"/>
          <w:rtl/>
        </w:rPr>
        <w:t xml:space="preserve"> در سال 1987 نیز رهبری گروه‌های کوچک را با این سه گانه توصیف می‌کنند. </w:t>
      </w:r>
      <w:r w:rsidR="00A2429E" w:rsidRPr="0025250D">
        <w:rPr>
          <w:rFonts w:hint="cs"/>
          <w:rtl/>
        </w:rPr>
        <w:t>آ</w:t>
      </w:r>
      <w:r w:rsidRPr="0025250D">
        <w:rPr>
          <w:rFonts w:hint="cs"/>
          <w:rtl/>
        </w:rPr>
        <w:t xml:space="preserve">ن‌ها مشاهده کردند که رهبران در گروه‌های کوچک تمایل دارند که </w:t>
      </w:r>
      <w:r w:rsidRPr="0025250D">
        <w:rPr>
          <w:rtl/>
        </w:rPr>
        <w:t>لسه فر</w:t>
      </w:r>
      <w:r w:rsidRPr="0025250D">
        <w:rPr>
          <w:vertAlign w:val="superscript"/>
          <w:rtl/>
        </w:rPr>
        <w:footnoteReference w:id="1516"/>
      </w:r>
      <w:r w:rsidRPr="0025250D">
        <w:rPr>
          <w:rFonts w:hint="cs"/>
          <w:rtl/>
        </w:rPr>
        <w:t xml:space="preserve"> (</w:t>
      </w:r>
      <w:r w:rsidR="00CF59DF" w:rsidRPr="0025250D">
        <w:rPr>
          <w:rFonts w:hint="cs"/>
          <w:rtl/>
        </w:rPr>
        <w:t>جهت‌گیری</w:t>
      </w:r>
      <w:r w:rsidRPr="0025250D">
        <w:rPr>
          <w:rFonts w:hint="cs"/>
          <w:rtl/>
        </w:rPr>
        <w:t xml:space="preserve"> به سمت موارد ممکن)، </w:t>
      </w:r>
      <w:r w:rsidRPr="0025250D">
        <w:rPr>
          <w:rtl/>
        </w:rPr>
        <w:t>اقتدارگرا</w:t>
      </w:r>
      <w:r w:rsidRPr="0025250D">
        <w:rPr>
          <w:vertAlign w:val="superscript"/>
          <w:rtl/>
        </w:rPr>
        <w:footnoteReference w:id="1517"/>
      </w:r>
      <w:r w:rsidRPr="0025250D">
        <w:rPr>
          <w:rFonts w:hint="cs"/>
          <w:rtl/>
        </w:rPr>
        <w:t xml:space="preserve"> (</w:t>
      </w:r>
      <w:r w:rsidR="00CF59DF" w:rsidRPr="0025250D">
        <w:rPr>
          <w:rFonts w:hint="cs"/>
          <w:rtl/>
        </w:rPr>
        <w:t>جهت‌گیری</w:t>
      </w:r>
      <w:r w:rsidRPr="0025250D">
        <w:rPr>
          <w:rFonts w:hint="cs"/>
          <w:rtl/>
        </w:rPr>
        <w:t xml:space="preserve"> به سمت موارد محتمل) یا </w:t>
      </w:r>
      <w:r w:rsidR="00EE4B64" w:rsidRPr="0025250D">
        <w:rPr>
          <w:rFonts w:hint="cs"/>
          <w:rtl/>
        </w:rPr>
        <w:t>مردم‌سالار</w:t>
      </w:r>
      <w:r w:rsidRPr="0025250D">
        <w:rPr>
          <w:rFonts w:hint="cs"/>
          <w:rtl/>
        </w:rPr>
        <w:t xml:space="preserve"> (</w:t>
      </w:r>
      <w:r w:rsidR="00CF59DF" w:rsidRPr="0025250D">
        <w:rPr>
          <w:rFonts w:hint="cs"/>
          <w:rtl/>
        </w:rPr>
        <w:t>جهت‌گیری</w:t>
      </w:r>
      <w:r w:rsidRPr="0025250D">
        <w:rPr>
          <w:rFonts w:hint="cs"/>
          <w:rtl/>
        </w:rPr>
        <w:t xml:space="preserve"> به سمت موارد مرجح) باشند. از نظر ما، این موارد و دیگر محققین، همگی نسخه‌های متفاوتی از هرم </w:t>
      </w:r>
      <w:r w:rsidRPr="0025250D">
        <w:rPr>
          <w:rtl/>
        </w:rPr>
        <w:t xml:space="preserve">تکاملی - توسعه‌ای </w:t>
      </w:r>
      <w:r w:rsidRPr="0025250D">
        <w:rPr>
          <w:rFonts w:hint="cs"/>
          <w:rtl/>
        </w:rPr>
        <w:t>را</w:t>
      </w:r>
      <w:r w:rsidR="00A2429E" w:rsidRPr="0025250D">
        <w:rPr>
          <w:rFonts w:hint="cs"/>
          <w:rtl/>
        </w:rPr>
        <w:t xml:space="preserve"> به عنوان</w:t>
      </w:r>
      <w:r w:rsidRPr="0025250D">
        <w:rPr>
          <w:rFonts w:hint="cs"/>
          <w:rtl/>
        </w:rPr>
        <w:t xml:space="preserve"> سه فرایند اساسی که سامانه‌های پیچیده برای </w:t>
      </w:r>
      <w:r w:rsidR="002F3C14" w:rsidRPr="0025250D">
        <w:rPr>
          <w:rFonts w:hint="cs"/>
          <w:rtl/>
        </w:rPr>
        <w:t>انطباق</w:t>
      </w:r>
      <w:r w:rsidRPr="0025250D">
        <w:rPr>
          <w:rFonts w:hint="cs"/>
          <w:rtl/>
        </w:rPr>
        <w:t xml:space="preserve"> یافتن با تغییرات استفاده می‌کنند، توصیف می‌کنند.</w:t>
      </w:r>
    </w:p>
    <w:p w14:paraId="0B70FB9F" w14:textId="12C1F3C4" w:rsidR="00537CC8" w:rsidRPr="0025250D" w:rsidRDefault="00537CC8" w:rsidP="00537CC8">
      <w:pPr>
        <w:rPr>
          <w:rtl/>
        </w:rPr>
      </w:pPr>
      <w:r w:rsidRPr="0025250D">
        <w:rPr>
          <w:rFonts w:hint="cs"/>
          <w:rtl/>
        </w:rPr>
        <w:t xml:space="preserve">هرم </w:t>
      </w:r>
      <w:r w:rsidRPr="0025250D">
        <w:rPr>
          <w:rtl/>
        </w:rPr>
        <w:t xml:space="preserve">تکاملی - توسعه‌ای </w:t>
      </w:r>
      <w:r w:rsidRPr="0025250D">
        <w:rPr>
          <w:rFonts w:hint="cs"/>
          <w:rtl/>
        </w:rPr>
        <w:t xml:space="preserve">به ما می‌گوید که زندگی و اولویت‌های آن در طی تاریخ جهانی، از یک </w:t>
      </w:r>
      <w:r w:rsidRPr="0025250D">
        <w:rPr>
          <w:rtl/>
        </w:rPr>
        <w:t>امتزاج</w:t>
      </w:r>
      <w:r w:rsidRPr="0025250D">
        <w:rPr>
          <w:rFonts w:hint="cs"/>
          <w:rtl/>
        </w:rPr>
        <w:t xml:space="preserve"> خاص قوانین احتمالی و امکانی پدیدار </w:t>
      </w:r>
      <w:r w:rsidR="00185F3E" w:rsidRPr="0025250D">
        <w:rPr>
          <w:rFonts w:hint="cs"/>
          <w:rtl/>
        </w:rPr>
        <w:t>شده‌اند</w:t>
      </w:r>
      <w:r w:rsidRPr="0025250D">
        <w:rPr>
          <w:rFonts w:hint="cs"/>
          <w:rtl/>
        </w:rPr>
        <w:t xml:space="preserve">. آنچه موجودات هوشمند فکر می‌کنند که باید و نباید رخ دهد، همواره ترکیب و زیرمجموعه خاصی از دو فرایند اساسی‌تر است: </w:t>
      </w:r>
      <w:r w:rsidR="00A2429E" w:rsidRPr="0025250D">
        <w:rPr>
          <w:rFonts w:hint="cs"/>
          <w:rtl/>
        </w:rPr>
        <w:t xml:space="preserve">بر اساس قوانین فیزیکی و اطلاعاتی از سامانه‌های پیچیده، </w:t>
      </w:r>
      <w:r w:rsidRPr="0025250D">
        <w:rPr>
          <w:rFonts w:hint="cs"/>
          <w:rtl/>
        </w:rPr>
        <w:t xml:space="preserve">چه می‌تواند رخ دهد و چه رخ خواهد داد. هرم </w:t>
      </w:r>
      <w:r w:rsidRPr="0025250D">
        <w:rPr>
          <w:rtl/>
        </w:rPr>
        <w:t xml:space="preserve">تکاملی - توسعه‌ای </w:t>
      </w:r>
      <w:r w:rsidRPr="0025250D">
        <w:rPr>
          <w:rFonts w:hint="cs"/>
          <w:rtl/>
        </w:rPr>
        <w:t xml:space="preserve">تفسیر ما از علم و فلسفه </w:t>
      </w:r>
      <w:r w:rsidRPr="0025250D">
        <w:rPr>
          <w:rtl/>
        </w:rPr>
        <w:t>ز</w:t>
      </w:r>
      <w:r w:rsidRPr="0025250D">
        <w:rPr>
          <w:rFonts w:hint="cs"/>
          <w:rtl/>
        </w:rPr>
        <w:t>ی</w:t>
      </w:r>
      <w:r w:rsidRPr="0025250D">
        <w:rPr>
          <w:rFonts w:hint="eastAsia"/>
          <w:rtl/>
        </w:rPr>
        <w:t>ست</w:t>
      </w:r>
      <w:r w:rsidRPr="0025250D">
        <w:rPr>
          <w:rtl/>
        </w:rPr>
        <w:t xml:space="preserve"> شناس</w:t>
      </w:r>
      <w:r w:rsidRPr="0025250D">
        <w:rPr>
          <w:rFonts w:hint="cs"/>
          <w:rtl/>
        </w:rPr>
        <w:t>ی</w:t>
      </w:r>
      <w:r w:rsidRPr="0025250D">
        <w:rPr>
          <w:rtl/>
        </w:rPr>
        <w:t xml:space="preserve"> تکاملی - توسعه‌ای </w:t>
      </w:r>
      <w:r w:rsidRPr="0025250D">
        <w:rPr>
          <w:rFonts w:hint="cs"/>
          <w:rtl/>
        </w:rPr>
        <w:t>می‌باشد.</w:t>
      </w:r>
    </w:p>
    <w:p w14:paraId="0871C501" w14:textId="220CE024" w:rsidR="00537CC8" w:rsidRPr="0025250D" w:rsidRDefault="00537CC8" w:rsidP="00537CC8">
      <w:pPr>
        <w:rPr>
          <w:rtl/>
        </w:rPr>
      </w:pPr>
      <w:r w:rsidRPr="0025250D">
        <w:rPr>
          <w:rFonts w:hint="cs"/>
          <w:rtl/>
        </w:rPr>
        <w:t xml:space="preserve"> توجه داشته باشید که قاعده هرم </w:t>
      </w:r>
      <w:r w:rsidRPr="0025250D">
        <w:rPr>
          <w:rtl/>
        </w:rPr>
        <w:t xml:space="preserve">تکاملی - توسعه‌ای </w:t>
      </w:r>
      <w:r w:rsidRPr="0025250D">
        <w:rPr>
          <w:rFonts w:hint="cs"/>
          <w:rtl/>
        </w:rPr>
        <w:t xml:space="preserve">(در زیر) از معکوس هرم </w:t>
      </w:r>
      <w:r w:rsidRPr="0025250D">
        <w:rPr>
          <w:rtl/>
        </w:rPr>
        <w:t>آینده‌نگاری</w:t>
      </w:r>
      <w:r w:rsidRPr="0025250D">
        <w:rPr>
          <w:rFonts w:hint="cs"/>
          <w:rtl/>
        </w:rPr>
        <w:t xml:space="preserve"> مدرن گرفته شده است. این امر به این دلیل است که نظریه تکامل</w:t>
      </w:r>
      <w:r w:rsidR="00A2429E" w:rsidRPr="0025250D">
        <w:rPr>
          <w:rFonts w:hint="cs"/>
          <w:rtl/>
        </w:rPr>
        <w:t>ی</w:t>
      </w:r>
      <w:r w:rsidRPr="0025250D">
        <w:rPr>
          <w:rFonts w:hint="cs"/>
          <w:rtl/>
        </w:rPr>
        <w:t xml:space="preserve">-توسعه‌ای، </w:t>
      </w:r>
      <w:r w:rsidR="007118DE" w:rsidRPr="0025250D">
        <w:rPr>
          <w:rFonts w:hint="cs"/>
          <w:rtl/>
        </w:rPr>
        <w:t>همان‌طور</w:t>
      </w:r>
      <w:r w:rsidRPr="0025250D">
        <w:rPr>
          <w:rFonts w:hint="cs"/>
          <w:rtl/>
        </w:rPr>
        <w:t xml:space="preserve"> که نام آن نشان می‌دهد، با تفکر درمورد فرایند تکاملی و سپس توسعه‌ای آغاز می‌شود. این امر به این دلیل که به طور میانگین، 95 درصد از تغییرات مشاهده شده برای هر </w:t>
      </w:r>
      <w:r w:rsidR="008D6F97" w:rsidRPr="0025250D">
        <w:rPr>
          <w:rFonts w:hint="cs"/>
          <w:rtl/>
        </w:rPr>
        <w:t>سامانه‌</w:t>
      </w:r>
      <w:r w:rsidRPr="0025250D">
        <w:rPr>
          <w:rFonts w:hint="cs"/>
          <w:rtl/>
        </w:rPr>
        <w:t xml:space="preserve"> پیچیده‌ای تکاملی (غیر قابل </w:t>
      </w:r>
      <w:r w:rsidR="00D92F6E" w:rsidRPr="0025250D">
        <w:rPr>
          <w:rFonts w:hint="cs"/>
          <w:rtl/>
        </w:rPr>
        <w:t>پیش‌بین</w:t>
      </w:r>
      <w:r w:rsidRPr="0025250D">
        <w:rPr>
          <w:rFonts w:hint="cs"/>
          <w:rtl/>
        </w:rPr>
        <w:t xml:space="preserve">ی) و تنها 5 درصد توسعه‌ای (قابل </w:t>
      </w:r>
      <w:r w:rsidR="00D92F6E" w:rsidRPr="0025250D">
        <w:rPr>
          <w:rFonts w:hint="cs"/>
          <w:rtl/>
        </w:rPr>
        <w:t>پیش‌بین</w:t>
      </w:r>
      <w:r w:rsidRPr="0025250D">
        <w:rPr>
          <w:rFonts w:hint="cs"/>
          <w:rtl/>
        </w:rPr>
        <w:t xml:space="preserve">ی) به نظر خواهند رسید، قابل درک </w:t>
      </w:r>
      <w:r w:rsidR="00950293" w:rsidRPr="0025250D">
        <w:rPr>
          <w:rFonts w:hint="cs"/>
          <w:rtl/>
        </w:rPr>
        <w:t>خواهد بود</w:t>
      </w:r>
      <w:r w:rsidRPr="0025250D">
        <w:rPr>
          <w:rFonts w:hint="cs"/>
          <w:rtl/>
        </w:rPr>
        <w:t xml:space="preserve">. این </w:t>
      </w:r>
      <w:r w:rsidR="0063099E" w:rsidRPr="0025250D">
        <w:rPr>
          <w:rtl/>
        </w:rPr>
        <w:t>نسبت 95</w:t>
      </w:r>
      <w:r w:rsidRPr="0025250D">
        <w:rPr>
          <w:rFonts w:hint="cs"/>
          <w:rtl/>
        </w:rPr>
        <w:t xml:space="preserve">/5 همچنین می‌تواند سبب شود که ما جهان را کاملا تکاملی (غیر قابل </w:t>
      </w:r>
      <w:r w:rsidR="00D92F6E" w:rsidRPr="0025250D">
        <w:rPr>
          <w:rFonts w:hint="cs"/>
          <w:rtl/>
        </w:rPr>
        <w:t>پیش‌بین</w:t>
      </w:r>
      <w:r w:rsidRPr="0025250D">
        <w:rPr>
          <w:rFonts w:hint="cs"/>
          <w:rtl/>
        </w:rPr>
        <w:t>ی، تصادفی) و کاملا فاقد فرایندهای توسعه‌ای ببینیم</w:t>
      </w:r>
      <w:r w:rsidR="008D6F97" w:rsidRPr="0025250D">
        <w:rPr>
          <w:rtl/>
        </w:rPr>
        <w:t xml:space="preserve">؛ </w:t>
      </w:r>
      <w:r w:rsidRPr="0025250D">
        <w:rPr>
          <w:rFonts w:hint="cs"/>
          <w:rtl/>
        </w:rPr>
        <w:t xml:space="preserve">اما در حالی که ترتیب تفکر درمورد این فرایند‌ها بر آنچه می‌بینیم تأثیر گذار است و به نظر ما زیست شناسی توسعه ای-تکاملی نام بهتری هم برای این زمینه و هم برای این هرم خواهد بود، از نام‌های مرسوم استفاده خواهیم کرد. آنچه بیش از همه اهمیت دارد دیدن این هرم در واقعیت، در همه ابعاد آن، از جمله ابعاد هنجاری آن است. یادگیری متوازن سازی و تنظیم این هرم از نظر ما جوهره </w:t>
      </w:r>
      <w:r w:rsidR="00B124DE" w:rsidRPr="0025250D">
        <w:rPr>
          <w:rFonts w:hint="cs"/>
          <w:rtl/>
        </w:rPr>
        <w:t>انطبا</w:t>
      </w:r>
      <w:r w:rsidR="00A2429E" w:rsidRPr="0025250D">
        <w:rPr>
          <w:rFonts w:hint="cs"/>
          <w:rtl/>
        </w:rPr>
        <w:t>ق</w:t>
      </w:r>
      <w:r w:rsidRPr="0025250D">
        <w:rPr>
          <w:rFonts w:hint="cs"/>
          <w:rtl/>
        </w:rPr>
        <w:t xml:space="preserve"> و رهبری </w:t>
      </w:r>
      <w:r w:rsidR="00B124DE" w:rsidRPr="0025250D">
        <w:rPr>
          <w:rFonts w:hint="cs"/>
          <w:rtl/>
        </w:rPr>
        <w:t>انطبا</w:t>
      </w:r>
      <w:r w:rsidR="00A2429E" w:rsidRPr="0025250D">
        <w:rPr>
          <w:rFonts w:hint="cs"/>
          <w:rtl/>
        </w:rPr>
        <w:t>قی</w:t>
      </w:r>
      <w:r w:rsidRPr="0025250D">
        <w:rPr>
          <w:rFonts w:hint="cs"/>
          <w:rtl/>
        </w:rPr>
        <w:t xml:space="preserve"> است.</w:t>
      </w:r>
    </w:p>
    <w:p w14:paraId="0F9F5A5C" w14:textId="77777777" w:rsidR="00537CC8" w:rsidRPr="0025250D" w:rsidRDefault="00537CC8" w:rsidP="00537CC8">
      <w:pPr>
        <w:rPr>
          <w:rtl/>
        </w:rPr>
      </w:pPr>
      <w:r w:rsidRPr="0025250D">
        <w:rPr>
          <w:rFonts w:hint="cs"/>
          <w:rtl/>
        </w:rPr>
        <w:t>هرم زیر سه مجموعه بازیگران، کارکرد‌ها و اهداف پیچیده را که برای مجموعه‌های انسانی نقش محوری دارند نشان می‌دهد:</w:t>
      </w:r>
    </w:p>
    <w:p w14:paraId="6F5A283A" w14:textId="731134BD" w:rsidR="00537CC8" w:rsidRPr="0025250D" w:rsidRDefault="00F004A5" w:rsidP="000A674B">
      <w:pPr>
        <w:jc w:val="center"/>
        <w:rPr>
          <w:rtl/>
        </w:rPr>
      </w:pPr>
      <w:r w:rsidRPr="0025250D">
        <w:rPr>
          <w:noProof/>
        </w:rPr>
        <w:drawing>
          <wp:inline distT="0" distB="0" distL="0" distR="0" wp14:anchorId="4891EB6B" wp14:editId="18DC1618">
            <wp:extent cx="3283889" cy="3048718"/>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3287049" cy="3051652"/>
                    </a:xfrm>
                    <a:prstGeom prst="rect">
                      <a:avLst/>
                    </a:prstGeom>
                    <a:noFill/>
                  </pic:spPr>
                </pic:pic>
              </a:graphicData>
            </a:graphic>
          </wp:inline>
        </w:drawing>
      </w:r>
    </w:p>
    <w:p w14:paraId="70C62ABC" w14:textId="702970F1" w:rsidR="00537CC8" w:rsidRPr="0025250D" w:rsidRDefault="00537CC8" w:rsidP="00537CC8">
      <w:pPr>
        <w:rPr>
          <w:rtl/>
        </w:rPr>
      </w:pPr>
      <w:r w:rsidRPr="0025250D">
        <w:rPr>
          <w:rFonts w:hint="cs"/>
          <w:rtl/>
        </w:rPr>
        <w:t xml:space="preserve">این نسخه بازیگر </w:t>
      </w:r>
      <w:r w:rsidRPr="0025250D">
        <w:rPr>
          <w:rFonts w:cs="Times New Roman" w:hint="cs"/>
          <w:rtl/>
        </w:rPr>
        <w:t>–</w:t>
      </w:r>
      <w:r w:rsidRPr="0025250D">
        <w:rPr>
          <w:rFonts w:hint="cs"/>
          <w:rtl/>
        </w:rPr>
        <w:t xml:space="preserve"> کارکرد - هدف از هرم </w:t>
      </w:r>
      <w:r w:rsidRPr="0025250D">
        <w:rPr>
          <w:rtl/>
        </w:rPr>
        <w:t xml:space="preserve">تکاملی - توسعه‌ای </w:t>
      </w:r>
      <w:r w:rsidRPr="0025250D">
        <w:rPr>
          <w:rFonts w:hint="cs"/>
          <w:rtl/>
        </w:rPr>
        <w:t xml:space="preserve">به راحتی از نوشته‌های زیست شناسان نظری، </w:t>
      </w:r>
      <w:r w:rsidRPr="0025250D">
        <w:rPr>
          <w:rtl/>
        </w:rPr>
        <w:t>بوم شناسان</w:t>
      </w:r>
      <w:r w:rsidRPr="0025250D">
        <w:rPr>
          <w:rFonts w:hint="cs"/>
          <w:rtl/>
        </w:rPr>
        <w:t xml:space="preserve"> و فلاسفه‌ای که در این زمینه جدید از زیست شناسی </w:t>
      </w:r>
      <w:r w:rsidRPr="0025250D">
        <w:rPr>
          <w:rtl/>
        </w:rPr>
        <w:t xml:space="preserve">تکاملی - توسعه‌ای </w:t>
      </w:r>
      <w:r w:rsidRPr="0025250D">
        <w:rPr>
          <w:rFonts w:hint="cs"/>
          <w:rtl/>
        </w:rPr>
        <w:t xml:space="preserve">مطالعاتی را منتشر </w:t>
      </w:r>
      <w:r w:rsidR="007118DE" w:rsidRPr="0025250D">
        <w:rPr>
          <w:rFonts w:hint="cs"/>
          <w:rtl/>
        </w:rPr>
        <w:t>کرده‌اند</w:t>
      </w:r>
      <w:r w:rsidRPr="0025250D">
        <w:rPr>
          <w:rFonts w:hint="cs"/>
          <w:rtl/>
        </w:rPr>
        <w:t>، برداشت می‌شود. محققین متعددی در این زمینه از جمله</w:t>
      </w:r>
      <w:r w:rsidR="008D6F97" w:rsidRPr="0025250D">
        <w:rPr>
          <w:rtl/>
        </w:rPr>
        <w:t xml:space="preserve"> </w:t>
      </w:r>
      <w:r w:rsidRPr="0025250D">
        <w:rPr>
          <w:rtl/>
        </w:rPr>
        <w:t>استن سالته</w:t>
      </w:r>
      <w:r w:rsidRPr="0025250D">
        <w:rPr>
          <w:vertAlign w:val="superscript"/>
          <w:rtl/>
        </w:rPr>
        <w:footnoteReference w:id="1518"/>
      </w:r>
      <w:r w:rsidRPr="0025250D">
        <w:rPr>
          <w:rFonts w:hint="cs"/>
          <w:rtl/>
        </w:rPr>
        <w:t xml:space="preserve">، </w:t>
      </w:r>
      <w:r w:rsidRPr="0025250D">
        <w:rPr>
          <w:rtl/>
        </w:rPr>
        <w:t>اوا جابلونکا</w:t>
      </w:r>
      <w:r w:rsidRPr="0025250D">
        <w:rPr>
          <w:vertAlign w:val="superscript"/>
          <w:rtl/>
        </w:rPr>
        <w:footnoteReference w:id="1519"/>
      </w:r>
      <w:r w:rsidRPr="0025250D">
        <w:rPr>
          <w:rFonts w:hint="cs"/>
          <w:rtl/>
        </w:rPr>
        <w:t xml:space="preserve">، </w:t>
      </w:r>
      <w:r w:rsidRPr="0025250D">
        <w:rPr>
          <w:rtl/>
        </w:rPr>
        <w:t>ر</w:t>
      </w:r>
      <w:r w:rsidRPr="0025250D">
        <w:rPr>
          <w:rFonts w:hint="cs"/>
          <w:rtl/>
        </w:rPr>
        <w:t>ی</w:t>
      </w:r>
      <w:r w:rsidRPr="0025250D">
        <w:rPr>
          <w:rFonts w:hint="eastAsia"/>
          <w:rtl/>
        </w:rPr>
        <w:t>چارد</w:t>
      </w:r>
      <w:r w:rsidRPr="0025250D">
        <w:rPr>
          <w:rtl/>
        </w:rPr>
        <w:t xml:space="preserve"> ر</w:t>
      </w:r>
      <w:r w:rsidRPr="0025250D">
        <w:rPr>
          <w:rFonts w:hint="cs"/>
          <w:rtl/>
        </w:rPr>
        <w:t>ی</w:t>
      </w:r>
      <w:r w:rsidRPr="0025250D">
        <w:rPr>
          <w:rFonts w:hint="eastAsia"/>
          <w:rtl/>
        </w:rPr>
        <w:t>د</w:t>
      </w:r>
      <w:r w:rsidRPr="0025250D">
        <w:rPr>
          <w:vertAlign w:val="superscript"/>
          <w:rtl/>
        </w:rPr>
        <w:footnoteReference w:id="1520"/>
      </w:r>
      <w:r w:rsidRPr="0025250D">
        <w:rPr>
          <w:rFonts w:hint="cs"/>
          <w:rtl/>
        </w:rPr>
        <w:t xml:space="preserve"> و </w:t>
      </w:r>
      <w:r w:rsidRPr="0025250D">
        <w:rPr>
          <w:rtl/>
        </w:rPr>
        <w:t>دن</w:t>
      </w:r>
      <w:r w:rsidRPr="0025250D">
        <w:rPr>
          <w:rFonts w:hint="cs"/>
          <w:rtl/>
        </w:rPr>
        <w:t>ی</w:t>
      </w:r>
      <w:r w:rsidRPr="0025250D">
        <w:rPr>
          <w:rFonts w:hint="eastAsia"/>
          <w:rtl/>
        </w:rPr>
        <w:t>س</w:t>
      </w:r>
      <w:r w:rsidRPr="0025250D">
        <w:rPr>
          <w:rtl/>
        </w:rPr>
        <w:t xml:space="preserve"> نوبل</w:t>
      </w:r>
      <w:r w:rsidRPr="0025250D">
        <w:rPr>
          <w:vertAlign w:val="superscript"/>
          <w:rtl/>
        </w:rPr>
        <w:footnoteReference w:id="1521"/>
      </w:r>
      <w:r w:rsidRPr="0025250D">
        <w:rPr>
          <w:rFonts w:hint="cs"/>
          <w:rtl/>
        </w:rPr>
        <w:t xml:space="preserve"> مشاهده </w:t>
      </w:r>
      <w:r w:rsidR="007118DE" w:rsidRPr="0025250D">
        <w:rPr>
          <w:rFonts w:hint="cs"/>
          <w:rtl/>
        </w:rPr>
        <w:t>کرده‌اند</w:t>
      </w:r>
      <w:r w:rsidRPr="0025250D">
        <w:rPr>
          <w:rFonts w:hint="cs"/>
          <w:rtl/>
        </w:rPr>
        <w:t xml:space="preserve"> که همه سامانه‌های زنده دو مجموعه رقابت کننده از ژن‌ها، </w:t>
      </w:r>
      <w:r w:rsidRPr="0025250D">
        <w:rPr>
          <w:rtl/>
        </w:rPr>
        <w:t>رُخ‏نمود</w:t>
      </w:r>
      <w:r w:rsidRPr="0025250D">
        <w:rPr>
          <w:rFonts w:hint="cs"/>
          <w:rtl/>
        </w:rPr>
        <w:t xml:space="preserve"> ها</w:t>
      </w:r>
      <w:r w:rsidRPr="0025250D">
        <w:rPr>
          <w:vertAlign w:val="superscript"/>
          <w:rtl/>
        </w:rPr>
        <w:footnoteReference w:id="1522"/>
      </w:r>
      <w:r w:rsidRPr="0025250D">
        <w:rPr>
          <w:rFonts w:hint="cs"/>
          <w:rtl/>
        </w:rPr>
        <w:t xml:space="preserve"> و عوامل محیطی دارند که دو فرایند مخالف را برای ایجاد یک فرایند پدیدآینده سوم مدیریت می‌کنند. بیایید به طور خلاصه اکنون هر فرایند را مورد بحث قرار دهیم.</w:t>
      </w:r>
    </w:p>
    <w:p w14:paraId="7D625D43" w14:textId="5939BD85" w:rsidR="00537CC8" w:rsidRPr="0025250D" w:rsidRDefault="00537CC8" w:rsidP="00537CC8">
      <w:pPr>
        <w:rPr>
          <w:rtl/>
        </w:rPr>
      </w:pPr>
      <w:r w:rsidRPr="0025250D">
        <w:rPr>
          <w:rFonts w:hint="cs"/>
          <w:rtl/>
        </w:rPr>
        <w:t>اولین مجموعه از اساسی‌ترین</w:t>
      </w:r>
      <w:r w:rsidR="008D6F97" w:rsidRPr="0025250D">
        <w:rPr>
          <w:rtl/>
        </w:rPr>
        <w:t xml:space="preserve"> </w:t>
      </w:r>
      <w:r w:rsidRPr="0025250D">
        <w:rPr>
          <w:rFonts w:hint="cs"/>
          <w:rtl/>
        </w:rPr>
        <w:t>فرایند‌ها که می‌توانیم آن‌ها را فرایند‌های تکاملی بنامیم، به حیات کمک می‌کنند که موارد ممکن را بررسی کند. این فرایند‌ها تنوع، آزمایش‌ها و نوآ</w:t>
      </w:r>
      <w:r w:rsidR="00A2429E" w:rsidRPr="0025250D">
        <w:rPr>
          <w:rFonts w:hint="cs"/>
          <w:rtl/>
        </w:rPr>
        <w:t>و</w:t>
      </w:r>
      <w:r w:rsidRPr="0025250D">
        <w:rPr>
          <w:rFonts w:hint="cs"/>
          <w:rtl/>
        </w:rPr>
        <w:t xml:space="preserve">ری را به شکل‌هایی تصادفی و غیر قابل </w:t>
      </w:r>
      <w:r w:rsidR="00D92F6E" w:rsidRPr="0025250D">
        <w:rPr>
          <w:rFonts w:hint="cs"/>
          <w:rtl/>
        </w:rPr>
        <w:t>پیش‌بین</w:t>
      </w:r>
      <w:r w:rsidRPr="0025250D">
        <w:rPr>
          <w:rFonts w:hint="cs"/>
          <w:rtl/>
        </w:rPr>
        <w:t xml:space="preserve">ی ایجاد می‌کنند. هم سازماندهی و هم ترکیب ژن‌ها، </w:t>
      </w:r>
      <w:r w:rsidRPr="0025250D">
        <w:rPr>
          <w:rtl/>
        </w:rPr>
        <w:t>رُخ‏نمود</w:t>
      </w:r>
      <w:r w:rsidRPr="0025250D">
        <w:rPr>
          <w:rFonts w:hint="cs"/>
          <w:rtl/>
        </w:rPr>
        <w:t>‌ها و عوامل محیطی یک ارگانیسم، در نسل‌های مختلف به شدت متفاوت هستند. مجموعه دوم فرایند‌های اساسی</w:t>
      </w:r>
      <w:r w:rsidR="00A2429E" w:rsidRPr="0025250D">
        <w:rPr>
          <w:rFonts w:hint="cs"/>
          <w:rtl/>
        </w:rPr>
        <w:t xml:space="preserve"> -</w:t>
      </w:r>
      <w:r w:rsidRPr="0025250D">
        <w:rPr>
          <w:rFonts w:hint="cs"/>
          <w:rtl/>
        </w:rPr>
        <w:t xml:space="preserve"> فرایند‌های توسعه‌ای</w:t>
      </w:r>
      <w:r w:rsidR="00A2429E" w:rsidRPr="0025250D">
        <w:rPr>
          <w:rFonts w:hint="cs"/>
          <w:rtl/>
        </w:rPr>
        <w:t xml:space="preserve"> -</w:t>
      </w:r>
      <w:r w:rsidRPr="0025250D">
        <w:rPr>
          <w:rFonts w:hint="cs"/>
          <w:rtl/>
        </w:rPr>
        <w:t xml:space="preserve"> به زندگی کمک می‌کنند که احتمال پدیداری قابل </w:t>
      </w:r>
      <w:r w:rsidR="00D92F6E" w:rsidRPr="0025250D">
        <w:rPr>
          <w:rFonts w:hint="cs"/>
          <w:rtl/>
        </w:rPr>
        <w:t>پیش‌بین</w:t>
      </w:r>
      <w:r w:rsidRPr="0025250D">
        <w:rPr>
          <w:rFonts w:hint="cs"/>
          <w:rtl/>
        </w:rPr>
        <w:t>ی پیچیدگی آینده محافظتی</w:t>
      </w:r>
      <w:r w:rsidRPr="0025250D">
        <w:rPr>
          <w:vertAlign w:val="superscript"/>
          <w:rtl/>
        </w:rPr>
        <w:footnoteReference w:id="1523"/>
      </w:r>
      <w:r w:rsidRPr="0025250D">
        <w:rPr>
          <w:rFonts w:hint="cs"/>
          <w:rtl/>
        </w:rPr>
        <w:t xml:space="preserve"> را نشان دهد. ژن‌ها، </w:t>
      </w:r>
      <w:r w:rsidRPr="0025250D">
        <w:rPr>
          <w:rtl/>
        </w:rPr>
        <w:t>رُخ‏نمود</w:t>
      </w:r>
      <w:r w:rsidRPr="0025250D">
        <w:rPr>
          <w:rFonts w:hint="cs"/>
          <w:rtl/>
        </w:rPr>
        <w:t xml:space="preserve">‌ها و عوامل محیطی پایدار توسعه‌ای ما </w:t>
      </w:r>
      <w:r w:rsidRPr="0025250D">
        <w:rPr>
          <w:rFonts w:cs="Times New Roman" w:hint="cs"/>
          <w:rtl/>
        </w:rPr>
        <w:t>–</w:t>
      </w:r>
      <w:r w:rsidRPr="0025250D">
        <w:rPr>
          <w:rFonts w:hint="cs"/>
          <w:rtl/>
        </w:rPr>
        <w:t xml:space="preserve"> از جمله قوانین فیزیکی و اطلاعاتی جهان ما </w:t>
      </w:r>
      <w:r w:rsidRPr="0025250D">
        <w:rPr>
          <w:rFonts w:cs="Times New Roman" w:hint="cs"/>
          <w:rtl/>
        </w:rPr>
        <w:t>–</w:t>
      </w:r>
      <w:r w:rsidRPr="0025250D">
        <w:rPr>
          <w:rFonts w:hint="cs"/>
          <w:rtl/>
        </w:rPr>
        <w:t xml:space="preserve"> به شدت در طول نسل‌ها محافظت شده، مقید کننده و افزودنی هستند. آن‌ها به شکل قابل اتکایی پیچیدگی ارگانیسمی و اجتماعی را در سلسله مراتبی از شکل‌ها و کارکرد‌های آینده قابل </w:t>
      </w:r>
      <w:r w:rsidR="00D92F6E" w:rsidRPr="0025250D">
        <w:rPr>
          <w:rFonts w:hint="cs"/>
          <w:rtl/>
        </w:rPr>
        <w:t>پیش‌بین</w:t>
      </w:r>
      <w:r w:rsidRPr="0025250D">
        <w:rPr>
          <w:rFonts w:hint="cs"/>
          <w:rtl/>
        </w:rPr>
        <w:t>ی (</w:t>
      </w:r>
      <w:r w:rsidRPr="0025250D">
        <w:rPr>
          <w:rtl/>
        </w:rPr>
        <w:t>در اصل</w:t>
      </w:r>
      <w:r w:rsidRPr="0025250D">
        <w:rPr>
          <w:rFonts w:hint="cs"/>
          <w:rtl/>
        </w:rPr>
        <w:t>) همگرا می‌کنند.</w:t>
      </w:r>
    </w:p>
    <w:p w14:paraId="41A0D3FE" w14:textId="7CD05146" w:rsidR="00537CC8" w:rsidRPr="0025250D" w:rsidRDefault="00537CC8" w:rsidP="00537CC8">
      <w:pPr>
        <w:rPr>
          <w:rtl/>
        </w:rPr>
      </w:pPr>
      <w:r w:rsidRPr="0025250D">
        <w:rPr>
          <w:rFonts w:hint="cs"/>
          <w:rtl/>
        </w:rPr>
        <w:t xml:space="preserve">این دو فرایند با هم برای تولید یک مورد سوم، یک شبکه </w:t>
      </w:r>
      <w:r w:rsidRPr="0025250D">
        <w:rPr>
          <w:rtl/>
        </w:rPr>
        <w:t xml:space="preserve">تکاملی - توسعه‌ای </w:t>
      </w:r>
      <w:r w:rsidRPr="0025250D">
        <w:rPr>
          <w:rFonts w:hint="cs"/>
          <w:rtl/>
        </w:rPr>
        <w:t>خود محافظت کننده</w:t>
      </w:r>
      <w:r w:rsidRPr="0025250D">
        <w:rPr>
          <w:vertAlign w:val="superscript"/>
          <w:rtl/>
        </w:rPr>
        <w:footnoteReference w:id="1524"/>
      </w:r>
      <w:r w:rsidRPr="0025250D">
        <w:rPr>
          <w:rFonts w:hint="cs"/>
          <w:rtl/>
        </w:rPr>
        <w:t xml:space="preserve"> و خود بازتولید کننده</w:t>
      </w:r>
      <w:r w:rsidRPr="0025250D">
        <w:rPr>
          <w:vertAlign w:val="superscript"/>
          <w:rtl/>
        </w:rPr>
        <w:footnoteReference w:id="1525"/>
      </w:r>
      <w:r w:rsidRPr="0025250D">
        <w:rPr>
          <w:rFonts w:hint="cs"/>
          <w:rtl/>
        </w:rPr>
        <w:t xml:space="preserve">، </w:t>
      </w:r>
      <w:r w:rsidR="008D6F97" w:rsidRPr="0025250D">
        <w:rPr>
          <w:rFonts w:hint="cs"/>
          <w:rtl/>
        </w:rPr>
        <w:t>سامانه‌ای</w:t>
      </w:r>
      <w:r w:rsidRPr="0025250D">
        <w:rPr>
          <w:rFonts w:hint="cs"/>
          <w:rtl/>
        </w:rPr>
        <w:t xml:space="preserve"> درگیر در چرخه حیات دائمی، کار می‌کنند. تنها سامانه‌های </w:t>
      </w:r>
      <w:r w:rsidRPr="0025250D">
        <w:rPr>
          <w:rtl/>
        </w:rPr>
        <w:t xml:space="preserve">تکاملی - توسعه‌ای </w:t>
      </w:r>
      <w:r w:rsidRPr="0025250D">
        <w:rPr>
          <w:rFonts w:hint="cs"/>
          <w:rtl/>
        </w:rPr>
        <w:t xml:space="preserve">توانایی تولید اولویت‌های مثبت و منفی را دارند. این امر این هرم را به یک مدل پایه‌ای از حیات و مطابق انتظار ما هر </w:t>
      </w:r>
      <w:r w:rsidR="008D6F97" w:rsidRPr="0025250D">
        <w:rPr>
          <w:rFonts w:hint="cs"/>
          <w:rtl/>
        </w:rPr>
        <w:t>سامانه‌</w:t>
      </w:r>
      <w:r w:rsidRPr="0025250D">
        <w:rPr>
          <w:rFonts w:hint="cs"/>
          <w:rtl/>
        </w:rPr>
        <w:t xml:space="preserve"> </w:t>
      </w:r>
      <w:r w:rsidR="00B124DE" w:rsidRPr="0025250D">
        <w:rPr>
          <w:rFonts w:hint="cs"/>
          <w:rtl/>
        </w:rPr>
        <w:t>انطباق‌پذیر</w:t>
      </w:r>
      <w:r w:rsidRPr="0025250D">
        <w:rPr>
          <w:rFonts w:hint="cs"/>
          <w:rtl/>
        </w:rPr>
        <w:t xml:space="preserve"> پیچیده همتاساز دیگر در جهان ما تبدیل می‌کند.</w:t>
      </w:r>
    </w:p>
    <w:p w14:paraId="51F18C77" w14:textId="24BECC56" w:rsidR="00537CC8" w:rsidRPr="0025250D" w:rsidRDefault="00537CC8" w:rsidP="00537CC8">
      <w:pPr>
        <w:rPr>
          <w:rtl/>
        </w:rPr>
      </w:pPr>
      <w:r w:rsidRPr="0025250D">
        <w:rPr>
          <w:rFonts w:hint="cs"/>
          <w:rtl/>
        </w:rPr>
        <w:t xml:space="preserve">جدول 1 در زیر برخی از راه‌های متعددی را که می‌توانیم کارکرد فرایند‌های </w:t>
      </w:r>
      <w:r w:rsidRPr="0025250D">
        <w:rPr>
          <w:rtl/>
        </w:rPr>
        <w:t xml:space="preserve">تکاملی - توسعه‌ای </w:t>
      </w:r>
      <w:r w:rsidRPr="0025250D">
        <w:rPr>
          <w:rFonts w:hint="cs"/>
          <w:rtl/>
        </w:rPr>
        <w:t>را در طبیعت و جامعه ببینیم خلاصه می‌کند. این جدول می‌تواند مهم‌ترین</w:t>
      </w:r>
      <w:r w:rsidR="008D6F97" w:rsidRPr="0025250D">
        <w:rPr>
          <w:rtl/>
        </w:rPr>
        <w:t xml:space="preserve"> </w:t>
      </w:r>
      <w:r w:rsidRPr="0025250D">
        <w:rPr>
          <w:rFonts w:hint="cs"/>
          <w:rtl/>
        </w:rPr>
        <w:t xml:space="preserve">مجموعه از بینش همگرای </w:t>
      </w:r>
      <w:r w:rsidRPr="0025250D">
        <w:rPr>
          <w:rtl/>
        </w:rPr>
        <w:t xml:space="preserve">تکاملی - توسعه‌ای </w:t>
      </w:r>
      <w:r w:rsidRPr="0025250D">
        <w:rPr>
          <w:rFonts w:hint="cs"/>
          <w:rtl/>
        </w:rPr>
        <w:t xml:space="preserve">در این کتاب باشد. هرچه روابط </w:t>
      </w:r>
      <w:r w:rsidRPr="0025250D">
        <w:rPr>
          <w:rtl/>
        </w:rPr>
        <w:t>تکاملی - توسعه‌ای</w:t>
      </w:r>
      <w:r w:rsidR="0008779C" w:rsidRPr="0025250D">
        <w:rPr>
          <w:rtl/>
        </w:rPr>
        <w:t xml:space="preserve"> بیش‌تر</w:t>
      </w:r>
      <w:r w:rsidRPr="0025250D">
        <w:rPr>
          <w:rFonts w:hint="cs"/>
          <w:rtl/>
        </w:rPr>
        <w:t xml:space="preserve">ی از این مجموعه‌ها را بتوانیم در خودمان و تیم هایمان ببینیم، استفاده کنیم، ارتقا داده و متوازن سازیم، می‌توانیم </w:t>
      </w:r>
      <w:r w:rsidR="00B124DE" w:rsidRPr="0025250D">
        <w:rPr>
          <w:rFonts w:hint="cs"/>
          <w:rtl/>
        </w:rPr>
        <w:t>انطباق‌پذیر</w:t>
      </w:r>
      <w:r w:rsidRPr="0025250D">
        <w:rPr>
          <w:rFonts w:hint="cs"/>
          <w:rtl/>
        </w:rPr>
        <w:t>‌تر شویم.</w:t>
      </w:r>
    </w:p>
    <w:p w14:paraId="182921ED" w14:textId="49558998" w:rsidR="000A674B" w:rsidRPr="0025250D" w:rsidRDefault="000A674B" w:rsidP="000A674B">
      <w:pPr>
        <w:rPr>
          <w:rtl/>
        </w:rPr>
      </w:pPr>
      <w:r w:rsidRPr="0025250D">
        <w:rPr>
          <w:rFonts w:hint="cs"/>
          <w:rtl/>
        </w:rPr>
        <w:t>جدول</w:t>
      </w:r>
      <w:r w:rsidRPr="0025250D">
        <w:rPr>
          <w:rtl/>
        </w:rPr>
        <w:t xml:space="preserve"> </w:t>
      </w:r>
      <w:r w:rsidRPr="0025250D">
        <w:rPr>
          <w:rtl/>
        </w:rPr>
        <w:fldChar w:fldCharType="begin"/>
      </w:r>
      <w:r w:rsidRPr="0025250D">
        <w:rPr>
          <w:rtl/>
        </w:rPr>
        <w:instrText xml:space="preserve"> </w:instrText>
      </w:r>
      <w:r w:rsidRPr="0025250D">
        <w:instrText>SEQ</w:instrText>
      </w:r>
      <w:r w:rsidRPr="0025250D">
        <w:rPr>
          <w:rtl/>
        </w:rPr>
        <w:instrText xml:space="preserve"> جدول \* </w:instrText>
      </w:r>
      <w:r w:rsidRPr="0025250D">
        <w:instrText>ARABIC</w:instrText>
      </w:r>
      <w:r w:rsidRPr="0025250D">
        <w:rPr>
          <w:rtl/>
        </w:rPr>
        <w:instrText xml:space="preserve"> </w:instrText>
      </w:r>
      <w:r w:rsidRPr="0025250D">
        <w:rPr>
          <w:rtl/>
        </w:rPr>
        <w:fldChar w:fldCharType="separate"/>
      </w:r>
      <w:r w:rsidR="00EB514D" w:rsidRPr="0025250D">
        <w:rPr>
          <w:noProof/>
          <w:rtl/>
        </w:rPr>
        <w:t>1</w:t>
      </w:r>
      <w:r w:rsidRPr="0025250D">
        <w:rPr>
          <w:rtl/>
        </w:rPr>
        <w:fldChar w:fldCharType="end"/>
      </w:r>
      <w:r w:rsidRPr="0025250D">
        <w:rPr>
          <w:rFonts w:hint="cs"/>
          <w:rtl/>
        </w:rPr>
        <w:t xml:space="preserve">: چهره‌های متعدد هرم </w:t>
      </w:r>
      <w:r w:rsidRPr="0025250D">
        <w:rPr>
          <w:rtl/>
        </w:rPr>
        <w:t>تکاملی - توسعه‌ای</w:t>
      </w:r>
    </w:p>
    <w:tbl>
      <w:tblPr>
        <w:tblStyle w:val="TableGrid"/>
        <w:bidiVisual/>
        <w:tblW w:w="0" w:type="auto"/>
        <w:jc w:val="center"/>
        <w:tblLook w:val="04A0" w:firstRow="1" w:lastRow="0" w:firstColumn="1" w:lastColumn="0" w:noHBand="0" w:noVBand="1"/>
      </w:tblPr>
      <w:tblGrid>
        <w:gridCol w:w="2254"/>
        <w:gridCol w:w="2254"/>
        <w:gridCol w:w="2254"/>
        <w:gridCol w:w="2254"/>
      </w:tblGrid>
      <w:tr w:rsidR="00537CC8" w:rsidRPr="0025250D" w14:paraId="168264A8" w14:textId="77777777" w:rsidTr="00F004A5">
        <w:trPr>
          <w:jc w:val="center"/>
        </w:trPr>
        <w:tc>
          <w:tcPr>
            <w:tcW w:w="2254" w:type="dxa"/>
            <w:vAlign w:val="center"/>
          </w:tcPr>
          <w:p w14:paraId="3AA69F3A" w14:textId="77777777" w:rsidR="00537CC8" w:rsidRPr="0025250D" w:rsidRDefault="00537CC8" w:rsidP="00F004A5">
            <w:pPr>
              <w:bidi/>
              <w:spacing w:after="160"/>
              <w:jc w:val="center"/>
              <w:rPr>
                <w:b/>
                <w:bCs/>
              </w:rPr>
            </w:pPr>
            <w:r w:rsidRPr="0025250D">
              <w:rPr>
                <w:b/>
                <w:bCs/>
                <w:rtl/>
              </w:rPr>
              <w:t>تکاملی - توسعه ای</w:t>
            </w:r>
          </w:p>
        </w:tc>
        <w:tc>
          <w:tcPr>
            <w:tcW w:w="2254" w:type="dxa"/>
            <w:vAlign w:val="center"/>
          </w:tcPr>
          <w:p w14:paraId="2537406D" w14:textId="77777777" w:rsidR="00537CC8" w:rsidRPr="0025250D" w:rsidRDefault="00537CC8" w:rsidP="00F004A5">
            <w:pPr>
              <w:bidi/>
              <w:spacing w:after="160"/>
              <w:jc w:val="center"/>
              <w:rPr>
                <w:b/>
                <w:bCs/>
                <w:rtl/>
              </w:rPr>
            </w:pPr>
            <w:r w:rsidRPr="0025250D">
              <w:rPr>
                <w:rFonts w:hint="cs"/>
                <w:b/>
                <w:bCs/>
                <w:rtl/>
              </w:rPr>
              <w:t>توسعه</w:t>
            </w:r>
          </w:p>
        </w:tc>
        <w:tc>
          <w:tcPr>
            <w:tcW w:w="2254" w:type="dxa"/>
            <w:vAlign w:val="center"/>
          </w:tcPr>
          <w:p w14:paraId="53AF4C98" w14:textId="77777777" w:rsidR="00537CC8" w:rsidRPr="0025250D" w:rsidRDefault="00537CC8" w:rsidP="00F004A5">
            <w:pPr>
              <w:bidi/>
              <w:spacing w:after="160"/>
              <w:jc w:val="center"/>
              <w:rPr>
                <w:b/>
                <w:bCs/>
                <w:rtl/>
              </w:rPr>
            </w:pPr>
            <w:r w:rsidRPr="0025250D">
              <w:rPr>
                <w:rFonts w:hint="cs"/>
                <w:b/>
                <w:bCs/>
                <w:rtl/>
              </w:rPr>
              <w:t>تکامل</w:t>
            </w:r>
          </w:p>
        </w:tc>
        <w:tc>
          <w:tcPr>
            <w:tcW w:w="2254" w:type="dxa"/>
            <w:shd w:val="clear" w:color="auto" w:fill="D9D9D9" w:themeFill="background1" w:themeFillShade="D9"/>
            <w:vAlign w:val="center"/>
          </w:tcPr>
          <w:p w14:paraId="071A4980" w14:textId="77777777" w:rsidR="00537CC8" w:rsidRPr="0025250D" w:rsidRDefault="00537CC8" w:rsidP="00F004A5">
            <w:pPr>
              <w:bidi/>
              <w:spacing w:after="160"/>
              <w:jc w:val="center"/>
              <w:rPr>
                <w:b/>
                <w:bCs/>
              </w:rPr>
            </w:pPr>
            <w:r w:rsidRPr="0025250D">
              <w:rPr>
                <w:rFonts w:hint="cs"/>
                <w:b/>
                <w:bCs/>
                <w:rtl/>
              </w:rPr>
              <w:t xml:space="preserve">هرم </w:t>
            </w:r>
            <w:r w:rsidRPr="0025250D">
              <w:rPr>
                <w:b/>
                <w:bCs/>
                <w:rtl/>
              </w:rPr>
              <w:t>تکاملی - توسعه ای</w:t>
            </w:r>
          </w:p>
        </w:tc>
      </w:tr>
      <w:tr w:rsidR="00537CC8" w:rsidRPr="0025250D" w14:paraId="2B3EC85A" w14:textId="77777777" w:rsidTr="00F004A5">
        <w:trPr>
          <w:jc w:val="center"/>
        </w:trPr>
        <w:tc>
          <w:tcPr>
            <w:tcW w:w="2254" w:type="dxa"/>
            <w:vAlign w:val="center"/>
          </w:tcPr>
          <w:p w14:paraId="235C3A81" w14:textId="79AF72F0" w:rsidR="00537CC8" w:rsidRPr="0025250D" w:rsidRDefault="00537CC8" w:rsidP="00F004A5">
            <w:pPr>
              <w:bidi/>
              <w:spacing w:after="160"/>
              <w:jc w:val="center"/>
              <w:rPr>
                <w:rtl/>
              </w:rPr>
            </w:pPr>
            <w:r w:rsidRPr="0025250D">
              <w:rPr>
                <w:rFonts w:hint="cs"/>
                <w:rtl/>
              </w:rPr>
              <w:t xml:space="preserve">انتخاب طبیعی، </w:t>
            </w:r>
            <w:r w:rsidR="00B124DE" w:rsidRPr="0025250D">
              <w:rPr>
                <w:rFonts w:hint="cs"/>
                <w:rtl/>
              </w:rPr>
              <w:t>انطباق‌پذیر</w:t>
            </w:r>
            <w:r w:rsidRPr="0025250D">
              <w:rPr>
                <w:rFonts w:hint="cs"/>
                <w:rtl/>
              </w:rPr>
              <w:t>ی پیچیده</w:t>
            </w:r>
          </w:p>
        </w:tc>
        <w:tc>
          <w:tcPr>
            <w:tcW w:w="2254" w:type="dxa"/>
            <w:vAlign w:val="center"/>
          </w:tcPr>
          <w:p w14:paraId="243D268E" w14:textId="77777777" w:rsidR="00537CC8" w:rsidRPr="0025250D" w:rsidRDefault="00537CC8" w:rsidP="00F004A5">
            <w:pPr>
              <w:bidi/>
              <w:spacing w:after="160"/>
              <w:jc w:val="center"/>
              <w:rPr>
                <w:rtl/>
              </w:rPr>
            </w:pPr>
            <w:r w:rsidRPr="0025250D">
              <w:rPr>
                <w:rFonts w:hint="cs"/>
                <w:rtl/>
              </w:rPr>
              <w:t>نسبیت عام، ترمودینامیک</w:t>
            </w:r>
          </w:p>
        </w:tc>
        <w:tc>
          <w:tcPr>
            <w:tcW w:w="2254" w:type="dxa"/>
            <w:vAlign w:val="center"/>
          </w:tcPr>
          <w:p w14:paraId="58FCD832" w14:textId="77777777" w:rsidR="00537CC8" w:rsidRPr="0025250D" w:rsidRDefault="00537CC8" w:rsidP="00F004A5">
            <w:pPr>
              <w:bidi/>
              <w:spacing w:after="160"/>
              <w:jc w:val="center"/>
              <w:rPr>
                <w:rtl/>
              </w:rPr>
            </w:pPr>
            <w:r w:rsidRPr="0025250D">
              <w:rPr>
                <w:rFonts w:hint="cs"/>
                <w:rtl/>
              </w:rPr>
              <w:t>فیزیک کوانتوم، آشوب</w:t>
            </w:r>
          </w:p>
        </w:tc>
        <w:tc>
          <w:tcPr>
            <w:tcW w:w="2254" w:type="dxa"/>
            <w:shd w:val="clear" w:color="auto" w:fill="D9D9D9" w:themeFill="background1" w:themeFillShade="D9"/>
            <w:vAlign w:val="center"/>
          </w:tcPr>
          <w:p w14:paraId="76FEE25C" w14:textId="77777777" w:rsidR="00537CC8" w:rsidRPr="0025250D" w:rsidRDefault="00537CC8" w:rsidP="00F004A5">
            <w:pPr>
              <w:bidi/>
              <w:spacing w:after="160"/>
              <w:jc w:val="center"/>
              <w:rPr>
                <w:rtl/>
              </w:rPr>
            </w:pPr>
            <w:r w:rsidRPr="0025250D">
              <w:rPr>
                <w:rFonts w:hint="cs"/>
                <w:rtl/>
              </w:rPr>
              <w:t>قوانین و فرایند‌های فیزیکی</w:t>
            </w:r>
          </w:p>
        </w:tc>
      </w:tr>
      <w:tr w:rsidR="00537CC8" w:rsidRPr="0025250D" w14:paraId="01B7E58F" w14:textId="77777777" w:rsidTr="00F004A5">
        <w:trPr>
          <w:jc w:val="center"/>
        </w:trPr>
        <w:tc>
          <w:tcPr>
            <w:tcW w:w="2254" w:type="dxa"/>
            <w:vAlign w:val="center"/>
          </w:tcPr>
          <w:p w14:paraId="2298F1F3" w14:textId="77777777" w:rsidR="00537CC8" w:rsidRPr="0025250D" w:rsidRDefault="00537CC8" w:rsidP="00F004A5">
            <w:pPr>
              <w:bidi/>
              <w:spacing w:after="160"/>
              <w:jc w:val="center"/>
              <w:rPr>
                <w:rtl/>
              </w:rPr>
            </w:pPr>
            <w:r w:rsidRPr="0025250D">
              <w:rPr>
                <w:rFonts w:hint="cs"/>
                <w:rtl/>
              </w:rPr>
              <w:t>ترجیح و اجتناب</w:t>
            </w:r>
          </w:p>
        </w:tc>
        <w:tc>
          <w:tcPr>
            <w:tcW w:w="2254" w:type="dxa"/>
            <w:vAlign w:val="center"/>
          </w:tcPr>
          <w:p w14:paraId="6086B52B" w14:textId="77777777" w:rsidR="00537CC8" w:rsidRPr="0025250D" w:rsidRDefault="00537CC8" w:rsidP="00F004A5">
            <w:pPr>
              <w:bidi/>
              <w:spacing w:after="160"/>
              <w:jc w:val="center"/>
              <w:rPr>
                <w:rtl/>
              </w:rPr>
            </w:pPr>
            <w:r w:rsidRPr="0025250D">
              <w:rPr>
                <w:rFonts w:hint="cs"/>
                <w:rtl/>
              </w:rPr>
              <w:t>احتمال</w:t>
            </w:r>
          </w:p>
        </w:tc>
        <w:tc>
          <w:tcPr>
            <w:tcW w:w="2254" w:type="dxa"/>
            <w:vAlign w:val="center"/>
          </w:tcPr>
          <w:p w14:paraId="2AE10DCF" w14:textId="77777777" w:rsidR="00537CC8" w:rsidRPr="0025250D" w:rsidRDefault="00537CC8" w:rsidP="00F004A5">
            <w:pPr>
              <w:bidi/>
              <w:spacing w:after="160"/>
              <w:jc w:val="center"/>
              <w:rPr>
                <w:rtl/>
              </w:rPr>
            </w:pPr>
            <w:r w:rsidRPr="0025250D">
              <w:rPr>
                <w:rFonts w:hint="cs"/>
                <w:rtl/>
              </w:rPr>
              <w:t>امکان</w:t>
            </w:r>
          </w:p>
        </w:tc>
        <w:tc>
          <w:tcPr>
            <w:tcW w:w="2254" w:type="dxa"/>
            <w:shd w:val="clear" w:color="auto" w:fill="D9D9D9" w:themeFill="background1" w:themeFillShade="D9"/>
            <w:vAlign w:val="center"/>
          </w:tcPr>
          <w:p w14:paraId="16DB9A37" w14:textId="77777777" w:rsidR="00537CC8" w:rsidRPr="0025250D" w:rsidRDefault="00537CC8" w:rsidP="00F004A5">
            <w:pPr>
              <w:bidi/>
              <w:spacing w:after="160"/>
              <w:jc w:val="center"/>
              <w:rPr>
                <w:rtl/>
              </w:rPr>
            </w:pPr>
            <w:r w:rsidRPr="0025250D">
              <w:rPr>
                <w:rFonts w:hint="cs"/>
                <w:rtl/>
              </w:rPr>
              <w:t xml:space="preserve">هرم </w:t>
            </w:r>
            <w:r w:rsidRPr="0025250D">
              <w:rPr>
                <w:rtl/>
              </w:rPr>
              <w:t>آینده‌نگاری</w:t>
            </w:r>
          </w:p>
        </w:tc>
      </w:tr>
      <w:tr w:rsidR="00537CC8" w:rsidRPr="0025250D" w14:paraId="6A02C0D1" w14:textId="77777777" w:rsidTr="00F004A5">
        <w:trPr>
          <w:jc w:val="center"/>
        </w:trPr>
        <w:tc>
          <w:tcPr>
            <w:tcW w:w="2254" w:type="dxa"/>
            <w:vAlign w:val="center"/>
          </w:tcPr>
          <w:p w14:paraId="06EE4D8F" w14:textId="77777777" w:rsidR="00537CC8" w:rsidRPr="0025250D" w:rsidRDefault="00537CC8" w:rsidP="00F004A5">
            <w:pPr>
              <w:bidi/>
              <w:spacing w:after="160"/>
              <w:jc w:val="center"/>
              <w:rPr>
                <w:rtl/>
              </w:rPr>
            </w:pPr>
            <w:r w:rsidRPr="0025250D">
              <w:rPr>
                <w:rFonts w:hint="cs"/>
                <w:rtl/>
              </w:rPr>
              <w:t>پیچیدگی</w:t>
            </w:r>
          </w:p>
        </w:tc>
        <w:tc>
          <w:tcPr>
            <w:tcW w:w="2254" w:type="dxa"/>
            <w:vAlign w:val="center"/>
          </w:tcPr>
          <w:p w14:paraId="7F2219AD" w14:textId="77777777" w:rsidR="00537CC8" w:rsidRPr="0025250D" w:rsidRDefault="00537CC8" w:rsidP="00F004A5">
            <w:pPr>
              <w:bidi/>
              <w:spacing w:after="160"/>
              <w:jc w:val="center"/>
              <w:rPr>
                <w:rtl/>
              </w:rPr>
            </w:pPr>
            <w:r w:rsidRPr="0025250D">
              <w:rPr>
                <w:rFonts w:hint="cs"/>
                <w:rtl/>
              </w:rPr>
              <w:t>آینده</w:t>
            </w:r>
          </w:p>
        </w:tc>
        <w:tc>
          <w:tcPr>
            <w:tcW w:w="2254" w:type="dxa"/>
            <w:vAlign w:val="center"/>
          </w:tcPr>
          <w:p w14:paraId="5A3FF18E" w14:textId="77777777" w:rsidR="00537CC8" w:rsidRPr="0025250D" w:rsidRDefault="00537CC8" w:rsidP="00F004A5">
            <w:pPr>
              <w:bidi/>
              <w:spacing w:after="160"/>
              <w:jc w:val="center"/>
              <w:rPr>
                <w:rtl/>
              </w:rPr>
            </w:pPr>
            <w:r w:rsidRPr="0025250D">
              <w:rPr>
                <w:rFonts w:hint="cs"/>
                <w:rtl/>
              </w:rPr>
              <w:t>آینده ها</w:t>
            </w:r>
          </w:p>
        </w:tc>
        <w:tc>
          <w:tcPr>
            <w:tcW w:w="2254" w:type="dxa"/>
            <w:shd w:val="clear" w:color="auto" w:fill="D9D9D9" w:themeFill="background1" w:themeFillShade="D9"/>
            <w:vAlign w:val="center"/>
          </w:tcPr>
          <w:p w14:paraId="6222BEE8" w14:textId="77777777" w:rsidR="00537CC8" w:rsidRPr="0025250D" w:rsidRDefault="00537CC8" w:rsidP="00F004A5">
            <w:pPr>
              <w:bidi/>
              <w:spacing w:after="160"/>
              <w:jc w:val="center"/>
            </w:pPr>
            <w:r w:rsidRPr="0025250D">
              <w:rPr>
                <w:rFonts w:hint="cs"/>
                <w:rtl/>
              </w:rPr>
              <w:t xml:space="preserve">اصطلاحات </w:t>
            </w:r>
            <w:r w:rsidRPr="0025250D">
              <w:rPr>
                <w:rtl/>
              </w:rPr>
              <w:t>آینده‌نگاری</w:t>
            </w:r>
          </w:p>
        </w:tc>
      </w:tr>
      <w:tr w:rsidR="00537CC8" w:rsidRPr="0025250D" w14:paraId="2F64C2DF" w14:textId="77777777" w:rsidTr="00F004A5">
        <w:trPr>
          <w:jc w:val="center"/>
        </w:trPr>
        <w:tc>
          <w:tcPr>
            <w:tcW w:w="2254" w:type="dxa"/>
            <w:vAlign w:val="center"/>
          </w:tcPr>
          <w:p w14:paraId="06ABF968" w14:textId="2B31BF3D" w:rsidR="00537CC8" w:rsidRPr="0025250D" w:rsidRDefault="00701E03" w:rsidP="00F004A5">
            <w:pPr>
              <w:bidi/>
              <w:spacing w:after="160"/>
              <w:jc w:val="center"/>
              <w:rPr>
                <w:rtl/>
              </w:rPr>
            </w:pPr>
            <w:r w:rsidRPr="0025250D">
              <w:rPr>
                <w:rFonts w:hint="cs"/>
                <w:rtl/>
              </w:rPr>
              <w:t>راهبرد</w:t>
            </w:r>
          </w:p>
        </w:tc>
        <w:tc>
          <w:tcPr>
            <w:tcW w:w="2254" w:type="dxa"/>
            <w:vAlign w:val="center"/>
          </w:tcPr>
          <w:p w14:paraId="0E8BB857" w14:textId="2888A308" w:rsidR="00537CC8" w:rsidRPr="0025250D" w:rsidRDefault="00923DDB" w:rsidP="00F004A5">
            <w:pPr>
              <w:bidi/>
              <w:spacing w:after="160"/>
              <w:jc w:val="center"/>
            </w:pPr>
            <w:r w:rsidRPr="0025250D">
              <w:rPr>
                <w:rFonts w:hint="cs"/>
                <w:rtl/>
              </w:rPr>
              <w:t>پیش‌انگاری</w:t>
            </w:r>
          </w:p>
        </w:tc>
        <w:tc>
          <w:tcPr>
            <w:tcW w:w="2254" w:type="dxa"/>
            <w:vAlign w:val="center"/>
          </w:tcPr>
          <w:p w14:paraId="212BA5DE" w14:textId="77777777" w:rsidR="00537CC8" w:rsidRPr="0025250D" w:rsidRDefault="00537CC8" w:rsidP="00F004A5">
            <w:pPr>
              <w:bidi/>
              <w:spacing w:after="160"/>
              <w:jc w:val="center"/>
              <w:rPr>
                <w:rtl/>
              </w:rPr>
            </w:pPr>
            <w:r w:rsidRPr="0025250D">
              <w:rPr>
                <w:rFonts w:hint="cs"/>
                <w:rtl/>
              </w:rPr>
              <w:t>نوآوری</w:t>
            </w:r>
          </w:p>
        </w:tc>
        <w:tc>
          <w:tcPr>
            <w:tcW w:w="2254" w:type="dxa"/>
            <w:shd w:val="clear" w:color="auto" w:fill="D9D9D9" w:themeFill="background1" w:themeFillShade="D9"/>
            <w:vAlign w:val="center"/>
          </w:tcPr>
          <w:p w14:paraId="2286FB55" w14:textId="77777777" w:rsidR="00537CC8" w:rsidRPr="0025250D" w:rsidRDefault="00537CC8" w:rsidP="00F004A5">
            <w:pPr>
              <w:bidi/>
              <w:spacing w:after="160"/>
              <w:jc w:val="center"/>
              <w:rPr>
                <w:rtl/>
              </w:rPr>
            </w:pPr>
            <w:r w:rsidRPr="0025250D">
              <w:rPr>
                <w:rFonts w:hint="cs"/>
                <w:rtl/>
              </w:rPr>
              <w:t xml:space="preserve">مهارت‌های </w:t>
            </w:r>
            <w:r w:rsidRPr="0025250D">
              <w:rPr>
                <w:rtl/>
              </w:rPr>
              <w:t>آینده‌نگاری</w:t>
            </w:r>
            <w:r w:rsidRPr="0025250D">
              <w:rPr>
                <w:rFonts w:hint="cs"/>
                <w:rtl/>
              </w:rPr>
              <w:t xml:space="preserve"> (کانونی)</w:t>
            </w:r>
          </w:p>
        </w:tc>
      </w:tr>
      <w:tr w:rsidR="00537CC8" w:rsidRPr="0025250D" w14:paraId="1ABC31E8" w14:textId="77777777" w:rsidTr="00F004A5">
        <w:trPr>
          <w:jc w:val="center"/>
        </w:trPr>
        <w:tc>
          <w:tcPr>
            <w:tcW w:w="2254" w:type="dxa"/>
            <w:vAlign w:val="center"/>
          </w:tcPr>
          <w:p w14:paraId="4794BA6E" w14:textId="77777777" w:rsidR="00537CC8" w:rsidRPr="0025250D" w:rsidRDefault="00537CC8" w:rsidP="00F004A5">
            <w:pPr>
              <w:bidi/>
              <w:spacing w:after="160"/>
              <w:jc w:val="center"/>
              <w:rPr>
                <w:rtl/>
              </w:rPr>
            </w:pPr>
            <w:r w:rsidRPr="0025250D">
              <w:rPr>
                <w:rFonts w:hint="cs"/>
                <w:rtl/>
              </w:rPr>
              <w:t>حال</w:t>
            </w:r>
          </w:p>
        </w:tc>
        <w:tc>
          <w:tcPr>
            <w:tcW w:w="2254" w:type="dxa"/>
            <w:vAlign w:val="center"/>
          </w:tcPr>
          <w:p w14:paraId="2FC0EA80" w14:textId="77777777" w:rsidR="00537CC8" w:rsidRPr="0025250D" w:rsidRDefault="00537CC8" w:rsidP="00F004A5">
            <w:pPr>
              <w:bidi/>
              <w:spacing w:after="160"/>
              <w:jc w:val="center"/>
              <w:rPr>
                <w:rtl/>
              </w:rPr>
            </w:pPr>
            <w:r w:rsidRPr="0025250D">
              <w:rPr>
                <w:rFonts w:hint="cs"/>
                <w:rtl/>
              </w:rPr>
              <w:t>گذشته</w:t>
            </w:r>
          </w:p>
        </w:tc>
        <w:tc>
          <w:tcPr>
            <w:tcW w:w="2254" w:type="dxa"/>
            <w:vAlign w:val="center"/>
          </w:tcPr>
          <w:p w14:paraId="16F0F07E" w14:textId="77777777" w:rsidR="00537CC8" w:rsidRPr="0025250D" w:rsidRDefault="00537CC8" w:rsidP="00F004A5">
            <w:pPr>
              <w:bidi/>
              <w:spacing w:after="160"/>
              <w:jc w:val="center"/>
              <w:rPr>
                <w:rtl/>
              </w:rPr>
            </w:pPr>
            <w:r w:rsidRPr="0025250D">
              <w:rPr>
                <w:rFonts w:hint="cs"/>
                <w:rtl/>
              </w:rPr>
              <w:t>آینده</w:t>
            </w:r>
          </w:p>
        </w:tc>
        <w:tc>
          <w:tcPr>
            <w:tcW w:w="2254" w:type="dxa"/>
            <w:shd w:val="clear" w:color="auto" w:fill="D9D9D9" w:themeFill="background1" w:themeFillShade="D9"/>
            <w:vAlign w:val="center"/>
          </w:tcPr>
          <w:p w14:paraId="3446C9E5" w14:textId="77777777" w:rsidR="00537CC8" w:rsidRPr="0025250D" w:rsidRDefault="00537CC8" w:rsidP="00F004A5">
            <w:pPr>
              <w:bidi/>
              <w:spacing w:after="160"/>
              <w:jc w:val="center"/>
              <w:rPr>
                <w:rtl/>
              </w:rPr>
            </w:pPr>
            <w:r w:rsidRPr="0025250D">
              <w:rPr>
                <w:rFonts w:hint="cs"/>
                <w:rtl/>
              </w:rPr>
              <w:t>هرم زمانی</w:t>
            </w:r>
          </w:p>
        </w:tc>
      </w:tr>
      <w:tr w:rsidR="00537CC8" w:rsidRPr="0025250D" w14:paraId="1046D513" w14:textId="77777777" w:rsidTr="00F004A5">
        <w:trPr>
          <w:jc w:val="center"/>
        </w:trPr>
        <w:tc>
          <w:tcPr>
            <w:tcW w:w="2254" w:type="dxa"/>
            <w:vAlign w:val="center"/>
          </w:tcPr>
          <w:p w14:paraId="40D35158" w14:textId="77777777" w:rsidR="00537CC8" w:rsidRPr="0025250D" w:rsidRDefault="00537CC8" w:rsidP="00F004A5">
            <w:pPr>
              <w:bidi/>
              <w:spacing w:after="160"/>
              <w:jc w:val="center"/>
              <w:rPr>
                <w:rtl/>
              </w:rPr>
            </w:pPr>
            <w:r w:rsidRPr="0025250D">
              <w:rPr>
                <w:rFonts w:hint="cs"/>
                <w:rtl/>
              </w:rPr>
              <w:t>واقع بینی</w:t>
            </w:r>
          </w:p>
        </w:tc>
        <w:tc>
          <w:tcPr>
            <w:tcW w:w="2254" w:type="dxa"/>
            <w:vAlign w:val="center"/>
          </w:tcPr>
          <w:p w14:paraId="05E4826D" w14:textId="77777777" w:rsidR="00537CC8" w:rsidRPr="0025250D" w:rsidRDefault="00537CC8" w:rsidP="00F004A5">
            <w:pPr>
              <w:bidi/>
              <w:spacing w:after="160"/>
              <w:jc w:val="center"/>
              <w:rPr>
                <w:rtl/>
              </w:rPr>
            </w:pPr>
            <w:r w:rsidRPr="0025250D">
              <w:rPr>
                <w:rFonts w:hint="cs"/>
                <w:rtl/>
              </w:rPr>
              <w:t>بدبینی</w:t>
            </w:r>
          </w:p>
        </w:tc>
        <w:tc>
          <w:tcPr>
            <w:tcW w:w="2254" w:type="dxa"/>
            <w:vAlign w:val="center"/>
          </w:tcPr>
          <w:p w14:paraId="2A6C40D4" w14:textId="77777777" w:rsidR="00537CC8" w:rsidRPr="0025250D" w:rsidRDefault="00537CC8" w:rsidP="00F004A5">
            <w:pPr>
              <w:bidi/>
              <w:spacing w:after="160"/>
              <w:jc w:val="center"/>
              <w:rPr>
                <w:rtl/>
              </w:rPr>
            </w:pPr>
            <w:r w:rsidRPr="0025250D">
              <w:rPr>
                <w:rFonts w:hint="cs"/>
                <w:rtl/>
              </w:rPr>
              <w:t>خوش بینی</w:t>
            </w:r>
          </w:p>
        </w:tc>
        <w:tc>
          <w:tcPr>
            <w:tcW w:w="2254" w:type="dxa"/>
            <w:shd w:val="clear" w:color="auto" w:fill="D9D9D9" w:themeFill="background1" w:themeFillShade="D9"/>
            <w:vAlign w:val="center"/>
          </w:tcPr>
          <w:p w14:paraId="15FFC575" w14:textId="5A46ADFB" w:rsidR="00537CC8" w:rsidRPr="0025250D" w:rsidRDefault="00537CC8" w:rsidP="00F004A5">
            <w:pPr>
              <w:bidi/>
              <w:spacing w:after="160"/>
              <w:jc w:val="center"/>
              <w:rPr>
                <w:rtl/>
              </w:rPr>
            </w:pPr>
            <w:r w:rsidRPr="0025250D">
              <w:rPr>
                <w:rFonts w:hint="cs"/>
                <w:rtl/>
              </w:rPr>
              <w:t xml:space="preserve">هرم </w:t>
            </w:r>
            <w:r w:rsidR="002B6515" w:rsidRPr="0025250D">
              <w:rPr>
                <w:rtl/>
              </w:rPr>
              <w:t>حس‌داد</w:t>
            </w:r>
          </w:p>
        </w:tc>
      </w:tr>
      <w:tr w:rsidR="00537CC8" w:rsidRPr="0025250D" w14:paraId="062E4746" w14:textId="77777777" w:rsidTr="00F004A5">
        <w:trPr>
          <w:jc w:val="center"/>
        </w:trPr>
        <w:tc>
          <w:tcPr>
            <w:tcW w:w="2254" w:type="dxa"/>
            <w:vAlign w:val="center"/>
          </w:tcPr>
          <w:p w14:paraId="0868FCE4" w14:textId="77777777" w:rsidR="00537CC8" w:rsidRPr="0025250D" w:rsidRDefault="00537CC8" w:rsidP="00F004A5">
            <w:pPr>
              <w:bidi/>
              <w:spacing w:after="160"/>
              <w:jc w:val="center"/>
              <w:rPr>
                <w:rtl/>
              </w:rPr>
            </w:pPr>
            <w:r w:rsidRPr="0025250D">
              <w:rPr>
                <w:rFonts w:hint="cs"/>
                <w:rtl/>
              </w:rPr>
              <w:t>پیوند دهنده</w:t>
            </w:r>
          </w:p>
        </w:tc>
        <w:tc>
          <w:tcPr>
            <w:tcW w:w="2254" w:type="dxa"/>
            <w:vAlign w:val="center"/>
          </w:tcPr>
          <w:p w14:paraId="3EBA7924" w14:textId="77777777" w:rsidR="00537CC8" w:rsidRPr="0025250D" w:rsidRDefault="00537CC8" w:rsidP="00F004A5">
            <w:pPr>
              <w:bidi/>
              <w:spacing w:after="160"/>
              <w:jc w:val="center"/>
              <w:rPr>
                <w:rtl/>
              </w:rPr>
            </w:pPr>
            <w:r w:rsidRPr="0025250D">
              <w:rPr>
                <w:rFonts w:hint="cs"/>
                <w:rtl/>
              </w:rPr>
              <w:t>محافظت کننده</w:t>
            </w:r>
          </w:p>
        </w:tc>
        <w:tc>
          <w:tcPr>
            <w:tcW w:w="2254" w:type="dxa"/>
            <w:vAlign w:val="center"/>
          </w:tcPr>
          <w:p w14:paraId="12C62A68" w14:textId="77777777" w:rsidR="00537CC8" w:rsidRPr="0025250D" w:rsidRDefault="00537CC8" w:rsidP="00F004A5">
            <w:pPr>
              <w:bidi/>
              <w:spacing w:after="160"/>
              <w:jc w:val="center"/>
              <w:rPr>
                <w:rtl/>
              </w:rPr>
            </w:pPr>
            <w:r w:rsidRPr="0025250D">
              <w:rPr>
                <w:rFonts w:hint="cs"/>
                <w:rtl/>
              </w:rPr>
              <w:t>نوآور</w:t>
            </w:r>
          </w:p>
        </w:tc>
        <w:tc>
          <w:tcPr>
            <w:tcW w:w="2254" w:type="dxa"/>
            <w:shd w:val="clear" w:color="auto" w:fill="D9D9D9" w:themeFill="background1" w:themeFillShade="D9"/>
            <w:vAlign w:val="center"/>
          </w:tcPr>
          <w:p w14:paraId="57558077" w14:textId="6B7CC53F" w:rsidR="00537CC8" w:rsidRPr="0025250D" w:rsidRDefault="00537CC8" w:rsidP="00F004A5">
            <w:pPr>
              <w:bidi/>
              <w:spacing w:after="160"/>
              <w:jc w:val="center"/>
              <w:rPr>
                <w:rtl/>
              </w:rPr>
            </w:pPr>
            <w:r w:rsidRPr="0025250D">
              <w:rPr>
                <w:rFonts w:hint="cs"/>
                <w:rtl/>
              </w:rPr>
              <w:t xml:space="preserve">سبک‌های </w:t>
            </w:r>
            <w:r w:rsidR="0008779C" w:rsidRPr="0025250D">
              <w:rPr>
                <w:rFonts w:hint="cs"/>
                <w:rtl/>
              </w:rPr>
              <w:t>تصمیم‌گیری</w:t>
            </w:r>
            <w:r w:rsidRPr="0025250D">
              <w:rPr>
                <w:rFonts w:hint="cs"/>
                <w:rtl/>
              </w:rPr>
              <w:t xml:space="preserve"> (کرتون)</w:t>
            </w:r>
          </w:p>
        </w:tc>
      </w:tr>
      <w:tr w:rsidR="00537CC8" w:rsidRPr="0025250D" w14:paraId="69F12B72" w14:textId="77777777" w:rsidTr="00F004A5">
        <w:trPr>
          <w:jc w:val="center"/>
        </w:trPr>
        <w:tc>
          <w:tcPr>
            <w:tcW w:w="2254" w:type="dxa"/>
            <w:vAlign w:val="center"/>
          </w:tcPr>
          <w:p w14:paraId="38710D70" w14:textId="15ACA538" w:rsidR="00537CC8" w:rsidRPr="0025250D" w:rsidRDefault="00D30084" w:rsidP="00F004A5">
            <w:pPr>
              <w:bidi/>
              <w:spacing w:after="160"/>
              <w:jc w:val="center"/>
              <w:rPr>
                <w:rtl/>
              </w:rPr>
            </w:pPr>
            <w:r w:rsidRPr="0025250D">
              <w:rPr>
                <w:rFonts w:hint="cs"/>
                <w:rtl/>
              </w:rPr>
              <w:t>آرمان‌گرا</w:t>
            </w:r>
            <w:r w:rsidR="00537CC8" w:rsidRPr="0025250D">
              <w:rPr>
                <w:rFonts w:hint="cs"/>
                <w:rtl/>
              </w:rPr>
              <w:t>، منطقی</w:t>
            </w:r>
          </w:p>
        </w:tc>
        <w:tc>
          <w:tcPr>
            <w:tcW w:w="2254" w:type="dxa"/>
            <w:vAlign w:val="center"/>
          </w:tcPr>
          <w:p w14:paraId="641D66B0" w14:textId="77777777" w:rsidR="00537CC8" w:rsidRPr="0025250D" w:rsidRDefault="00537CC8" w:rsidP="00F004A5">
            <w:pPr>
              <w:bidi/>
              <w:spacing w:after="160"/>
              <w:jc w:val="center"/>
              <w:rPr>
                <w:rtl/>
              </w:rPr>
            </w:pPr>
            <w:r w:rsidRPr="0025250D">
              <w:rPr>
                <w:rFonts w:hint="cs"/>
                <w:rtl/>
              </w:rPr>
              <w:t>نگهبان</w:t>
            </w:r>
          </w:p>
        </w:tc>
        <w:tc>
          <w:tcPr>
            <w:tcW w:w="2254" w:type="dxa"/>
            <w:vAlign w:val="center"/>
          </w:tcPr>
          <w:p w14:paraId="56F96872" w14:textId="77777777" w:rsidR="00537CC8" w:rsidRPr="0025250D" w:rsidRDefault="00537CC8" w:rsidP="00F004A5">
            <w:pPr>
              <w:bidi/>
              <w:spacing w:after="160"/>
              <w:jc w:val="center"/>
              <w:rPr>
                <w:rtl/>
              </w:rPr>
            </w:pPr>
            <w:r w:rsidRPr="0025250D">
              <w:rPr>
                <w:rFonts w:hint="cs"/>
                <w:rtl/>
              </w:rPr>
              <w:t>صنعتگر</w:t>
            </w:r>
          </w:p>
        </w:tc>
        <w:tc>
          <w:tcPr>
            <w:tcW w:w="2254" w:type="dxa"/>
            <w:shd w:val="clear" w:color="auto" w:fill="D9D9D9" w:themeFill="background1" w:themeFillShade="D9"/>
            <w:vAlign w:val="center"/>
          </w:tcPr>
          <w:p w14:paraId="3928B694" w14:textId="464DE545" w:rsidR="00537CC8" w:rsidRPr="0025250D" w:rsidRDefault="00A2429E" w:rsidP="00F004A5">
            <w:pPr>
              <w:bidi/>
              <w:spacing w:after="160"/>
              <w:jc w:val="center"/>
              <w:rPr>
                <w:rtl/>
              </w:rPr>
            </w:pPr>
            <w:r w:rsidRPr="0025250D">
              <w:rPr>
                <w:rFonts w:hint="cs"/>
                <w:rtl/>
              </w:rPr>
              <w:t>خلق و خو</w:t>
            </w:r>
            <w:r w:rsidR="00537CC8" w:rsidRPr="0025250D">
              <w:rPr>
                <w:rFonts w:hint="cs"/>
                <w:rtl/>
              </w:rPr>
              <w:t xml:space="preserve"> (</w:t>
            </w:r>
            <w:r w:rsidR="00537CC8" w:rsidRPr="0025250D">
              <w:rPr>
                <w:rtl/>
              </w:rPr>
              <w:t>ک</w:t>
            </w:r>
            <w:r w:rsidR="00537CC8" w:rsidRPr="0025250D">
              <w:rPr>
                <w:rFonts w:hint="cs"/>
                <w:rtl/>
              </w:rPr>
              <w:t>ی</w:t>
            </w:r>
            <w:r w:rsidR="00537CC8" w:rsidRPr="0025250D">
              <w:rPr>
                <w:rFonts w:hint="eastAsia"/>
                <w:rtl/>
              </w:rPr>
              <w:t>رس</w:t>
            </w:r>
            <w:r w:rsidR="00537CC8" w:rsidRPr="0025250D">
              <w:rPr>
                <w:rFonts w:hint="cs"/>
                <w:rtl/>
              </w:rPr>
              <w:t>ی)</w:t>
            </w:r>
          </w:p>
        </w:tc>
      </w:tr>
      <w:tr w:rsidR="00537CC8" w:rsidRPr="0025250D" w14:paraId="02BBFC35" w14:textId="77777777" w:rsidTr="00F004A5">
        <w:trPr>
          <w:jc w:val="center"/>
        </w:trPr>
        <w:tc>
          <w:tcPr>
            <w:tcW w:w="2254" w:type="dxa"/>
            <w:vAlign w:val="center"/>
          </w:tcPr>
          <w:p w14:paraId="641CB2E4" w14:textId="77777777" w:rsidR="00537CC8" w:rsidRPr="0025250D" w:rsidRDefault="00537CC8" w:rsidP="00F004A5">
            <w:pPr>
              <w:bidi/>
              <w:spacing w:after="160"/>
              <w:jc w:val="center"/>
              <w:rPr>
                <w:rtl/>
              </w:rPr>
            </w:pPr>
            <w:r w:rsidRPr="0025250D">
              <w:rPr>
                <w:rFonts w:hint="cs"/>
                <w:rtl/>
              </w:rPr>
              <w:t>پیشران، یکپارچه ساز</w:t>
            </w:r>
          </w:p>
        </w:tc>
        <w:tc>
          <w:tcPr>
            <w:tcW w:w="2254" w:type="dxa"/>
            <w:vAlign w:val="center"/>
          </w:tcPr>
          <w:p w14:paraId="3C07C60C" w14:textId="77777777" w:rsidR="00537CC8" w:rsidRPr="0025250D" w:rsidRDefault="00537CC8" w:rsidP="00F004A5">
            <w:pPr>
              <w:bidi/>
              <w:spacing w:after="160"/>
              <w:jc w:val="center"/>
              <w:rPr>
                <w:rtl/>
              </w:rPr>
            </w:pPr>
            <w:r w:rsidRPr="0025250D">
              <w:rPr>
                <w:rFonts w:hint="cs"/>
                <w:rtl/>
              </w:rPr>
              <w:t>نگهبان</w:t>
            </w:r>
          </w:p>
        </w:tc>
        <w:tc>
          <w:tcPr>
            <w:tcW w:w="2254" w:type="dxa"/>
            <w:vAlign w:val="center"/>
          </w:tcPr>
          <w:p w14:paraId="11457F72" w14:textId="77777777" w:rsidR="00537CC8" w:rsidRPr="0025250D" w:rsidRDefault="00537CC8" w:rsidP="00F004A5">
            <w:pPr>
              <w:bidi/>
              <w:spacing w:after="160"/>
              <w:jc w:val="center"/>
              <w:rPr>
                <w:rtl/>
              </w:rPr>
            </w:pPr>
            <w:r w:rsidRPr="0025250D">
              <w:rPr>
                <w:rFonts w:hint="cs"/>
                <w:rtl/>
              </w:rPr>
              <w:t>پیشگام</w:t>
            </w:r>
          </w:p>
        </w:tc>
        <w:tc>
          <w:tcPr>
            <w:tcW w:w="2254" w:type="dxa"/>
            <w:shd w:val="clear" w:color="auto" w:fill="D9D9D9" w:themeFill="background1" w:themeFillShade="D9"/>
            <w:vAlign w:val="center"/>
          </w:tcPr>
          <w:p w14:paraId="3236FE06" w14:textId="483F684C" w:rsidR="00537CC8" w:rsidRPr="0025250D" w:rsidRDefault="00537CC8" w:rsidP="00F004A5">
            <w:pPr>
              <w:bidi/>
              <w:spacing w:after="160"/>
              <w:jc w:val="center"/>
              <w:rPr>
                <w:rtl/>
              </w:rPr>
            </w:pPr>
            <w:r w:rsidRPr="0025250D">
              <w:rPr>
                <w:rFonts w:hint="cs"/>
                <w:rtl/>
              </w:rPr>
              <w:t xml:space="preserve">سبک‌های </w:t>
            </w:r>
            <w:r w:rsidR="00B124DE" w:rsidRPr="0025250D">
              <w:rPr>
                <w:rFonts w:hint="cs"/>
                <w:rtl/>
              </w:rPr>
              <w:t>کسب‌و‌کار</w:t>
            </w:r>
            <w:r w:rsidRPr="0025250D">
              <w:rPr>
                <w:rFonts w:hint="cs"/>
                <w:rtl/>
              </w:rPr>
              <w:t xml:space="preserve"> (</w:t>
            </w:r>
            <w:r w:rsidRPr="0025250D">
              <w:rPr>
                <w:rtl/>
              </w:rPr>
              <w:t>د</w:t>
            </w:r>
            <w:r w:rsidRPr="0025250D">
              <w:rPr>
                <w:rFonts w:hint="cs"/>
                <w:rtl/>
              </w:rPr>
              <w:t>ی</w:t>
            </w:r>
            <w:r w:rsidRPr="0025250D">
              <w:rPr>
                <w:rFonts w:hint="eastAsia"/>
                <w:rtl/>
              </w:rPr>
              <w:t>لو</w:t>
            </w:r>
            <w:r w:rsidRPr="0025250D">
              <w:rPr>
                <w:rFonts w:hint="cs"/>
                <w:rtl/>
              </w:rPr>
              <w:t>ی</w:t>
            </w:r>
            <w:r w:rsidRPr="0025250D">
              <w:rPr>
                <w:rFonts w:hint="eastAsia"/>
                <w:rtl/>
              </w:rPr>
              <w:t>ت</w:t>
            </w:r>
            <w:r w:rsidRPr="0025250D">
              <w:rPr>
                <w:rFonts w:hint="cs"/>
                <w:rtl/>
              </w:rPr>
              <w:t>)</w:t>
            </w:r>
          </w:p>
        </w:tc>
      </w:tr>
      <w:tr w:rsidR="00537CC8" w:rsidRPr="0025250D" w14:paraId="7FC21662" w14:textId="77777777" w:rsidTr="00F004A5">
        <w:trPr>
          <w:jc w:val="center"/>
        </w:trPr>
        <w:tc>
          <w:tcPr>
            <w:tcW w:w="2254" w:type="dxa"/>
            <w:vAlign w:val="center"/>
          </w:tcPr>
          <w:p w14:paraId="00C7306F" w14:textId="77777777" w:rsidR="00537CC8" w:rsidRPr="0025250D" w:rsidRDefault="00537CC8" w:rsidP="00F004A5">
            <w:pPr>
              <w:bidi/>
              <w:spacing w:after="160"/>
              <w:jc w:val="center"/>
              <w:rPr>
                <w:rtl/>
              </w:rPr>
            </w:pPr>
            <w:r w:rsidRPr="0025250D">
              <w:rPr>
                <w:rFonts w:hint="cs"/>
                <w:rtl/>
              </w:rPr>
              <w:t>خوبی</w:t>
            </w:r>
          </w:p>
        </w:tc>
        <w:tc>
          <w:tcPr>
            <w:tcW w:w="2254" w:type="dxa"/>
            <w:vAlign w:val="center"/>
          </w:tcPr>
          <w:p w14:paraId="7499C81F" w14:textId="77777777" w:rsidR="00537CC8" w:rsidRPr="0025250D" w:rsidRDefault="00537CC8" w:rsidP="00F004A5">
            <w:pPr>
              <w:bidi/>
              <w:spacing w:after="160"/>
              <w:jc w:val="center"/>
              <w:rPr>
                <w:rtl/>
              </w:rPr>
            </w:pPr>
            <w:r w:rsidRPr="0025250D">
              <w:rPr>
                <w:rFonts w:hint="cs"/>
                <w:rtl/>
              </w:rPr>
              <w:t>حقیقت</w:t>
            </w:r>
          </w:p>
        </w:tc>
        <w:tc>
          <w:tcPr>
            <w:tcW w:w="2254" w:type="dxa"/>
            <w:vAlign w:val="center"/>
          </w:tcPr>
          <w:p w14:paraId="4A9F4E22" w14:textId="77777777" w:rsidR="00537CC8" w:rsidRPr="0025250D" w:rsidRDefault="00537CC8" w:rsidP="00F004A5">
            <w:pPr>
              <w:bidi/>
              <w:spacing w:after="160"/>
              <w:jc w:val="center"/>
              <w:rPr>
                <w:rtl/>
              </w:rPr>
            </w:pPr>
            <w:r w:rsidRPr="0025250D">
              <w:rPr>
                <w:rFonts w:hint="cs"/>
                <w:rtl/>
              </w:rPr>
              <w:t>زیبایی</w:t>
            </w:r>
          </w:p>
        </w:tc>
        <w:tc>
          <w:tcPr>
            <w:tcW w:w="2254" w:type="dxa"/>
            <w:shd w:val="clear" w:color="auto" w:fill="D9D9D9" w:themeFill="background1" w:themeFillShade="D9"/>
            <w:vAlign w:val="center"/>
          </w:tcPr>
          <w:p w14:paraId="5C854558" w14:textId="77777777" w:rsidR="00537CC8" w:rsidRPr="0025250D" w:rsidRDefault="00537CC8" w:rsidP="00F004A5">
            <w:pPr>
              <w:bidi/>
              <w:spacing w:after="160"/>
              <w:jc w:val="center"/>
              <w:rPr>
                <w:rtl/>
              </w:rPr>
            </w:pPr>
            <w:r w:rsidRPr="0025250D">
              <w:rPr>
                <w:rFonts w:hint="cs"/>
                <w:rtl/>
              </w:rPr>
              <w:t>هرم ارزش ها</w:t>
            </w:r>
          </w:p>
        </w:tc>
      </w:tr>
      <w:tr w:rsidR="00537CC8" w:rsidRPr="0025250D" w14:paraId="4B2BAF5D" w14:textId="77777777" w:rsidTr="00F004A5">
        <w:trPr>
          <w:jc w:val="center"/>
        </w:trPr>
        <w:tc>
          <w:tcPr>
            <w:tcW w:w="2254" w:type="dxa"/>
            <w:vAlign w:val="center"/>
          </w:tcPr>
          <w:p w14:paraId="53E1B080" w14:textId="77777777" w:rsidR="00537CC8" w:rsidRPr="0025250D" w:rsidRDefault="00537CC8" w:rsidP="00F004A5">
            <w:pPr>
              <w:bidi/>
              <w:spacing w:after="160"/>
              <w:jc w:val="center"/>
              <w:rPr>
                <w:rtl/>
              </w:rPr>
            </w:pPr>
            <w:r w:rsidRPr="0025250D">
              <w:rPr>
                <w:rFonts w:hint="cs"/>
                <w:rtl/>
              </w:rPr>
              <w:t>عقاب</w:t>
            </w:r>
          </w:p>
        </w:tc>
        <w:tc>
          <w:tcPr>
            <w:tcW w:w="2254" w:type="dxa"/>
            <w:vAlign w:val="center"/>
          </w:tcPr>
          <w:p w14:paraId="143D04EE" w14:textId="77777777" w:rsidR="00537CC8" w:rsidRPr="0025250D" w:rsidRDefault="00537CC8" w:rsidP="00F004A5">
            <w:pPr>
              <w:bidi/>
              <w:spacing w:after="160"/>
              <w:jc w:val="center"/>
              <w:rPr>
                <w:rtl/>
              </w:rPr>
            </w:pPr>
            <w:r w:rsidRPr="0025250D">
              <w:rPr>
                <w:rFonts w:hint="cs"/>
                <w:rtl/>
              </w:rPr>
              <w:t>جوجه تیغی</w:t>
            </w:r>
          </w:p>
        </w:tc>
        <w:tc>
          <w:tcPr>
            <w:tcW w:w="2254" w:type="dxa"/>
            <w:vAlign w:val="center"/>
          </w:tcPr>
          <w:p w14:paraId="03F2DD8E" w14:textId="77777777" w:rsidR="00537CC8" w:rsidRPr="0025250D" w:rsidRDefault="00537CC8" w:rsidP="00F004A5">
            <w:pPr>
              <w:bidi/>
              <w:spacing w:after="160"/>
              <w:jc w:val="center"/>
              <w:rPr>
                <w:rtl/>
              </w:rPr>
            </w:pPr>
            <w:r w:rsidRPr="0025250D">
              <w:rPr>
                <w:rFonts w:hint="cs"/>
                <w:rtl/>
              </w:rPr>
              <w:t>روباه</w:t>
            </w:r>
          </w:p>
        </w:tc>
        <w:tc>
          <w:tcPr>
            <w:tcW w:w="2254" w:type="dxa"/>
            <w:shd w:val="clear" w:color="auto" w:fill="D9D9D9" w:themeFill="background1" w:themeFillShade="D9"/>
            <w:vAlign w:val="center"/>
          </w:tcPr>
          <w:p w14:paraId="172A41D1" w14:textId="77777777" w:rsidR="00537CC8" w:rsidRPr="0025250D" w:rsidRDefault="00537CC8" w:rsidP="00F004A5">
            <w:pPr>
              <w:bidi/>
              <w:spacing w:after="160"/>
              <w:jc w:val="center"/>
              <w:rPr>
                <w:rtl/>
              </w:rPr>
            </w:pPr>
            <w:r w:rsidRPr="0025250D">
              <w:rPr>
                <w:rFonts w:hint="cs"/>
                <w:rtl/>
              </w:rPr>
              <w:t>هرم رهبری</w:t>
            </w:r>
          </w:p>
        </w:tc>
      </w:tr>
      <w:tr w:rsidR="00537CC8" w:rsidRPr="0025250D" w14:paraId="7622292C" w14:textId="77777777" w:rsidTr="00F004A5">
        <w:trPr>
          <w:jc w:val="center"/>
        </w:trPr>
        <w:tc>
          <w:tcPr>
            <w:tcW w:w="2254" w:type="dxa"/>
            <w:vAlign w:val="center"/>
          </w:tcPr>
          <w:p w14:paraId="65F364B7" w14:textId="60594C87" w:rsidR="00537CC8" w:rsidRPr="0025250D" w:rsidRDefault="00EE4B64" w:rsidP="00F004A5">
            <w:pPr>
              <w:bidi/>
              <w:spacing w:after="160"/>
              <w:jc w:val="center"/>
              <w:rPr>
                <w:rtl/>
              </w:rPr>
            </w:pPr>
            <w:r w:rsidRPr="0025250D">
              <w:rPr>
                <w:rFonts w:hint="cs"/>
                <w:rtl/>
              </w:rPr>
              <w:t>مردم‌سالار</w:t>
            </w:r>
          </w:p>
        </w:tc>
        <w:tc>
          <w:tcPr>
            <w:tcW w:w="2254" w:type="dxa"/>
            <w:vAlign w:val="center"/>
          </w:tcPr>
          <w:p w14:paraId="456BA9D4" w14:textId="77777777" w:rsidR="00537CC8" w:rsidRPr="0025250D" w:rsidRDefault="00537CC8" w:rsidP="00F004A5">
            <w:pPr>
              <w:bidi/>
              <w:spacing w:after="160"/>
              <w:jc w:val="center"/>
              <w:rPr>
                <w:rtl/>
              </w:rPr>
            </w:pPr>
            <w:r w:rsidRPr="0025250D">
              <w:rPr>
                <w:rFonts w:hint="cs"/>
                <w:rtl/>
              </w:rPr>
              <w:t>اقتدارگرا</w:t>
            </w:r>
          </w:p>
        </w:tc>
        <w:tc>
          <w:tcPr>
            <w:tcW w:w="2254" w:type="dxa"/>
            <w:vAlign w:val="center"/>
          </w:tcPr>
          <w:p w14:paraId="4E5F12B1" w14:textId="77777777" w:rsidR="00537CC8" w:rsidRPr="0025250D" w:rsidRDefault="00537CC8" w:rsidP="00F004A5">
            <w:pPr>
              <w:bidi/>
              <w:spacing w:after="160"/>
              <w:jc w:val="center"/>
              <w:rPr>
                <w:rtl/>
              </w:rPr>
            </w:pPr>
            <w:r w:rsidRPr="0025250D">
              <w:rPr>
                <w:rFonts w:hint="cs"/>
                <w:rtl/>
              </w:rPr>
              <w:t>لسه فر</w:t>
            </w:r>
          </w:p>
        </w:tc>
        <w:tc>
          <w:tcPr>
            <w:tcW w:w="2254" w:type="dxa"/>
            <w:shd w:val="clear" w:color="auto" w:fill="D9D9D9" w:themeFill="background1" w:themeFillShade="D9"/>
            <w:vAlign w:val="center"/>
          </w:tcPr>
          <w:p w14:paraId="305CE0A0" w14:textId="77777777" w:rsidR="00537CC8" w:rsidRPr="0025250D" w:rsidRDefault="00537CC8" w:rsidP="00F004A5">
            <w:pPr>
              <w:bidi/>
              <w:spacing w:after="160"/>
              <w:jc w:val="center"/>
              <w:rPr>
                <w:rtl/>
              </w:rPr>
            </w:pPr>
            <w:r w:rsidRPr="0025250D">
              <w:rPr>
                <w:rFonts w:hint="cs"/>
                <w:rtl/>
              </w:rPr>
              <w:t>تمایلات رهبری</w:t>
            </w:r>
          </w:p>
        </w:tc>
      </w:tr>
      <w:tr w:rsidR="00537CC8" w:rsidRPr="0025250D" w14:paraId="2F2472A0" w14:textId="77777777" w:rsidTr="00F004A5">
        <w:trPr>
          <w:jc w:val="center"/>
        </w:trPr>
        <w:tc>
          <w:tcPr>
            <w:tcW w:w="2254" w:type="dxa"/>
            <w:vAlign w:val="center"/>
          </w:tcPr>
          <w:p w14:paraId="17926F07" w14:textId="77777777" w:rsidR="00537CC8" w:rsidRPr="0025250D" w:rsidRDefault="00537CC8" w:rsidP="00F004A5">
            <w:pPr>
              <w:bidi/>
              <w:spacing w:after="160"/>
              <w:jc w:val="center"/>
              <w:rPr>
                <w:rtl/>
              </w:rPr>
            </w:pPr>
            <w:r w:rsidRPr="0025250D">
              <w:rPr>
                <w:rFonts w:hint="cs"/>
                <w:rtl/>
              </w:rPr>
              <w:t>قیاس</w:t>
            </w:r>
          </w:p>
        </w:tc>
        <w:tc>
          <w:tcPr>
            <w:tcW w:w="2254" w:type="dxa"/>
            <w:vAlign w:val="center"/>
          </w:tcPr>
          <w:p w14:paraId="67BA24B3" w14:textId="77777777" w:rsidR="00537CC8" w:rsidRPr="0025250D" w:rsidRDefault="00537CC8" w:rsidP="00F004A5">
            <w:pPr>
              <w:bidi/>
              <w:spacing w:after="160"/>
              <w:jc w:val="center"/>
              <w:rPr>
                <w:rtl/>
              </w:rPr>
            </w:pPr>
            <w:r w:rsidRPr="0025250D">
              <w:rPr>
                <w:rFonts w:hint="cs"/>
                <w:rtl/>
              </w:rPr>
              <w:t>استنتاج</w:t>
            </w:r>
          </w:p>
        </w:tc>
        <w:tc>
          <w:tcPr>
            <w:tcW w:w="2254" w:type="dxa"/>
            <w:vAlign w:val="center"/>
          </w:tcPr>
          <w:p w14:paraId="6B1ED9F7" w14:textId="77777777" w:rsidR="00537CC8" w:rsidRPr="0025250D" w:rsidRDefault="00537CC8" w:rsidP="00F004A5">
            <w:pPr>
              <w:bidi/>
              <w:spacing w:after="160"/>
              <w:jc w:val="center"/>
              <w:rPr>
                <w:rtl/>
              </w:rPr>
            </w:pPr>
            <w:r w:rsidRPr="0025250D">
              <w:rPr>
                <w:rtl/>
              </w:rPr>
              <w:t>استقرا</w:t>
            </w:r>
          </w:p>
        </w:tc>
        <w:tc>
          <w:tcPr>
            <w:tcW w:w="2254" w:type="dxa"/>
            <w:shd w:val="clear" w:color="auto" w:fill="D9D9D9" w:themeFill="background1" w:themeFillShade="D9"/>
            <w:vAlign w:val="center"/>
          </w:tcPr>
          <w:p w14:paraId="199CCB00" w14:textId="77777777" w:rsidR="00537CC8" w:rsidRPr="0025250D" w:rsidRDefault="00537CC8" w:rsidP="00F004A5">
            <w:pPr>
              <w:bidi/>
              <w:spacing w:after="160"/>
              <w:jc w:val="center"/>
              <w:rPr>
                <w:rtl/>
              </w:rPr>
            </w:pPr>
            <w:r w:rsidRPr="0025250D">
              <w:rPr>
                <w:rFonts w:hint="cs"/>
                <w:rtl/>
              </w:rPr>
              <w:t>روش استدلال</w:t>
            </w:r>
          </w:p>
        </w:tc>
      </w:tr>
      <w:tr w:rsidR="00537CC8" w:rsidRPr="0025250D" w14:paraId="1FE40DC4" w14:textId="77777777" w:rsidTr="00F004A5">
        <w:trPr>
          <w:jc w:val="center"/>
        </w:trPr>
        <w:tc>
          <w:tcPr>
            <w:tcW w:w="2254" w:type="dxa"/>
            <w:vAlign w:val="center"/>
          </w:tcPr>
          <w:p w14:paraId="244E43BC" w14:textId="77777777" w:rsidR="00537CC8" w:rsidRPr="0025250D" w:rsidRDefault="00537CC8" w:rsidP="00F004A5">
            <w:pPr>
              <w:bidi/>
              <w:spacing w:after="160"/>
              <w:jc w:val="center"/>
              <w:rPr>
                <w:rtl/>
              </w:rPr>
            </w:pPr>
            <w:r w:rsidRPr="0025250D">
              <w:rPr>
                <w:rFonts w:hint="cs"/>
                <w:rtl/>
              </w:rPr>
              <w:t>کاربرد</w:t>
            </w:r>
          </w:p>
        </w:tc>
        <w:tc>
          <w:tcPr>
            <w:tcW w:w="2254" w:type="dxa"/>
            <w:vAlign w:val="center"/>
          </w:tcPr>
          <w:p w14:paraId="69895471" w14:textId="77777777" w:rsidR="00537CC8" w:rsidRPr="0025250D" w:rsidRDefault="00537CC8" w:rsidP="00F004A5">
            <w:pPr>
              <w:bidi/>
              <w:spacing w:after="160"/>
              <w:jc w:val="center"/>
              <w:rPr>
                <w:rtl/>
              </w:rPr>
            </w:pPr>
            <w:r w:rsidRPr="0025250D">
              <w:rPr>
                <w:rFonts w:hint="cs"/>
                <w:rtl/>
              </w:rPr>
              <w:t>نظری</w:t>
            </w:r>
          </w:p>
        </w:tc>
        <w:tc>
          <w:tcPr>
            <w:tcW w:w="2254" w:type="dxa"/>
            <w:vAlign w:val="center"/>
          </w:tcPr>
          <w:p w14:paraId="54796863" w14:textId="77777777" w:rsidR="00537CC8" w:rsidRPr="0025250D" w:rsidRDefault="00537CC8" w:rsidP="00F004A5">
            <w:pPr>
              <w:bidi/>
              <w:spacing w:after="160"/>
              <w:jc w:val="center"/>
              <w:rPr>
                <w:rtl/>
              </w:rPr>
            </w:pPr>
            <w:r w:rsidRPr="0025250D">
              <w:rPr>
                <w:rFonts w:hint="cs"/>
                <w:rtl/>
              </w:rPr>
              <w:t>تجربی بودن</w:t>
            </w:r>
          </w:p>
        </w:tc>
        <w:tc>
          <w:tcPr>
            <w:tcW w:w="2254" w:type="dxa"/>
            <w:shd w:val="clear" w:color="auto" w:fill="D9D9D9" w:themeFill="background1" w:themeFillShade="D9"/>
            <w:vAlign w:val="center"/>
          </w:tcPr>
          <w:p w14:paraId="50A68909" w14:textId="77777777" w:rsidR="00537CC8" w:rsidRPr="0025250D" w:rsidRDefault="00537CC8" w:rsidP="00F004A5">
            <w:pPr>
              <w:bidi/>
              <w:spacing w:after="160"/>
              <w:jc w:val="center"/>
              <w:rPr>
                <w:rtl/>
              </w:rPr>
            </w:pPr>
            <w:r w:rsidRPr="0025250D">
              <w:rPr>
                <w:rFonts w:hint="cs"/>
                <w:rtl/>
              </w:rPr>
              <w:t>رویکرد علمی</w:t>
            </w:r>
          </w:p>
        </w:tc>
      </w:tr>
      <w:tr w:rsidR="00537CC8" w:rsidRPr="0025250D" w14:paraId="4816BEE3" w14:textId="77777777" w:rsidTr="00F004A5">
        <w:trPr>
          <w:jc w:val="center"/>
        </w:trPr>
        <w:tc>
          <w:tcPr>
            <w:tcW w:w="2254" w:type="dxa"/>
            <w:vAlign w:val="center"/>
          </w:tcPr>
          <w:p w14:paraId="0AF0D679" w14:textId="77777777" w:rsidR="00537CC8" w:rsidRPr="0025250D" w:rsidRDefault="00537CC8" w:rsidP="00F004A5">
            <w:pPr>
              <w:bidi/>
              <w:spacing w:after="160"/>
              <w:jc w:val="center"/>
              <w:rPr>
                <w:rtl/>
              </w:rPr>
            </w:pPr>
            <w:r w:rsidRPr="0025250D">
              <w:rPr>
                <w:rFonts w:hint="cs"/>
                <w:rtl/>
              </w:rPr>
              <w:t>یکپارچه</w:t>
            </w:r>
          </w:p>
        </w:tc>
        <w:tc>
          <w:tcPr>
            <w:tcW w:w="2254" w:type="dxa"/>
            <w:vAlign w:val="center"/>
          </w:tcPr>
          <w:p w14:paraId="54609142" w14:textId="77777777" w:rsidR="00537CC8" w:rsidRPr="0025250D" w:rsidRDefault="00537CC8" w:rsidP="00F004A5">
            <w:pPr>
              <w:bidi/>
              <w:spacing w:after="160"/>
              <w:jc w:val="center"/>
              <w:rPr>
                <w:rtl/>
              </w:rPr>
            </w:pPr>
            <w:r w:rsidRPr="0025250D">
              <w:rPr>
                <w:rFonts w:hint="cs"/>
                <w:rtl/>
              </w:rPr>
              <w:t>همگرا</w:t>
            </w:r>
          </w:p>
        </w:tc>
        <w:tc>
          <w:tcPr>
            <w:tcW w:w="2254" w:type="dxa"/>
            <w:vAlign w:val="center"/>
          </w:tcPr>
          <w:p w14:paraId="17B17EC0" w14:textId="77777777" w:rsidR="00537CC8" w:rsidRPr="0025250D" w:rsidRDefault="00537CC8" w:rsidP="00F004A5">
            <w:pPr>
              <w:bidi/>
              <w:spacing w:after="160"/>
              <w:jc w:val="center"/>
              <w:rPr>
                <w:rtl/>
              </w:rPr>
            </w:pPr>
            <w:r w:rsidRPr="0025250D">
              <w:rPr>
                <w:rFonts w:hint="cs"/>
                <w:rtl/>
              </w:rPr>
              <w:t>واگرا</w:t>
            </w:r>
          </w:p>
        </w:tc>
        <w:tc>
          <w:tcPr>
            <w:tcW w:w="2254" w:type="dxa"/>
            <w:shd w:val="clear" w:color="auto" w:fill="D9D9D9" w:themeFill="background1" w:themeFillShade="D9"/>
            <w:vAlign w:val="center"/>
          </w:tcPr>
          <w:p w14:paraId="0F584333" w14:textId="77777777" w:rsidR="00537CC8" w:rsidRPr="0025250D" w:rsidRDefault="00537CC8" w:rsidP="00F004A5">
            <w:pPr>
              <w:bidi/>
              <w:spacing w:after="160"/>
              <w:jc w:val="center"/>
              <w:rPr>
                <w:rtl/>
              </w:rPr>
            </w:pPr>
            <w:r w:rsidRPr="0025250D">
              <w:rPr>
                <w:rFonts w:hint="cs"/>
                <w:rtl/>
              </w:rPr>
              <w:t>پویایی</w:t>
            </w:r>
          </w:p>
        </w:tc>
      </w:tr>
      <w:tr w:rsidR="00537CC8" w:rsidRPr="0025250D" w14:paraId="6B3E1D2B" w14:textId="77777777" w:rsidTr="00F004A5">
        <w:trPr>
          <w:jc w:val="center"/>
        </w:trPr>
        <w:tc>
          <w:tcPr>
            <w:tcW w:w="2254" w:type="dxa"/>
            <w:vAlign w:val="center"/>
          </w:tcPr>
          <w:p w14:paraId="2BA5EF9F" w14:textId="77777777" w:rsidR="00537CC8" w:rsidRPr="0025250D" w:rsidRDefault="00537CC8" w:rsidP="00F004A5">
            <w:pPr>
              <w:bidi/>
              <w:spacing w:after="160"/>
              <w:jc w:val="center"/>
              <w:rPr>
                <w:rtl/>
              </w:rPr>
            </w:pPr>
            <w:r w:rsidRPr="0025250D">
              <w:rPr>
                <w:rFonts w:hint="cs"/>
                <w:rtl/>
              </w:rPr>
              <w:t>وابستگی متقابل، همگامی</w:t>
            </w:r>
          </w:p>
        </w:tc>
        <w:tc>
          <w:tcPr>
            <w:tcW w:w="2254" w:type="dxa"/>
            <w:vAlign w:val="center"/>
          </w:tcPr>
          <w:p w14:paraId="17E6627B" w14:textId="77777777" w:rsidR="00537CC8" w:rsidRPr="0025250D" w:rsidRDefault="00537CC8" w:rsidP="00F004A5">
            <w:pPr>
              <w:bidi/>
              <w:spacing w:after="160"/>
              <w:jc w:val="center"/>
              <w:rPr>
                <w:rtl/>
              </w:rPr>
            </w:pPr>
            <w:r w:rsidRPr="0025250D">
              <w:rPr>
                <w:rFonts w:hint="cs"/>
                <w:rtl/>
              </w:rPr>
              <w:t>کشف، بهینه سازی</w:t>
            </w:r>
          </w:p>
        </w:tc>
        <w:tc>
          <w:tcPr>
            <w:tcW w:w="2254" w:type="dxa"/>
            <w:vAlign w:val="center"/>
          </w:tcPr>
          <w:p w14:paraId="7C5CD99A" w14:textId="77777777" w:rsidR="00537CC8" w:rsidRPr="0025250D" w:rsidRDefault="00537CC8" w:rsidP="00F004A5">
            <w:pPr>
              <w:bidi/>
              <w:spacing w:after="160"/>
              <w:jc w:val="center"/>
              <w:rPr>
                <w:rtl/>
              </w:rPr>
            </w:pPr>
            <w:r w:rsidRPr="0025250D">
              <w:rPr>
                <w:rFonts w:hint="cs"/>
                <w:rtl/>
              </w:rPr>
              <w:t>تنوع، اکتشاف</w:t>
            </w:r>
          </w:p>
        </w:tc>
        <w:tc>
          <w:tcPr>
            <w:tcW w:w="2254" w:type="dxa"/>
            <w:shd w:val="clear" w:color="auto" w:fill="D9D9D9" w:themeFill="background1" w:themeFillShade="D9"/>
            <w:vAlign w:val="center"/>
          </w:tcPr>
          <w:p w14:paraId="1114EFBF" w14:textId="77777777" w:rsidR="00537CC8" w:rsidRPr="0025250D" w:rsidRDefault="00537CC8" w:rsidP="00F004A5">
            <w:pPr>
              <w:bidi/>
              <w:spacing w:after="160"/>
              <w:jc w:val="center"/>
              <w:rPr>
                <w:rtl/>
              </w:rPr>
            </w:pPr>
            <w:r w:rsidRPr="0025250D">
              <w:rPr>
                <w:rFonts w:hint="cs"/>
                <w:rtl/>
              </w:rPr>
              <w:t>کارکردها</w:t>
            </w:r>
          </w:p>
        </w:tc>
      </w:tr>
      <w:tr w:rsidR="00537CC8" w:rsidRPr="0025250D" w14:paraId="5B2B9DDC" w14:textId="77777777" w:rsidTr="00F004A5">
        <w:trPr>
          <w:jc w:val="center"/>
        </w:trPr>
        <w:tc>
          <w:tcPr>
            <w:tcW w:w="2254" w:type="dxa"/>
            <w:vAlign w:val="center"/>
          </w:tcPr>
          <w:p w14:paraId="48F1EFF5" w14:textId="4749497C" w:rsidR="00537CC8" w:rsidRPr="0025250D" w:rsidRDefault="00A936B3" w:rsidP="00F004A5">
            <w:pPr>
              <w:bidi/>
              <w:spacing w:after="160"/>
              <w:jc w:val="center"/>
              <w:rPr>
                <w:rtl/>
              </w:rPr>
            </w:pPr>
            <w:r w:rsidRPr="0025250D">
              <w:rPr>
                <w:rFonts w:hint="cs"/>
                <w:rtl/>
              </w:rPr>
              <w:t>همدلی</w:t>
            </w:r>
            <w:r w:rsidR="00537CC8" w:rsidRPr="0025250D">
              <w:rPr>
                <w:rFonts w:hint="cs"/>
                <w:rtl/>
              </w:rPr>
              <w:t>، اخلاق</w:t>
            </w:r>
          </w:p>
        </w:tc>
        <w:tc>
          <w:tcPr>
            <w:tcW w:w="2254" w:type="dxa"/>
            <w:vAlign w:val="center"/>
          </w:tcPr>
          <w:p w14:paraId="048F753B" w14:textId="77777777" w:rsidR="00537CC8" w:rsidRPr="0025250D" w:rsidRDefault="00537CC8" w:rsidP="00F004A5">
            <w:pPr>
              <w:bidi/>
              <w:spacing w:after="160"/>
              <w:jc w:val="center"/>
              <w:rPr>
                <w:rtl/>
              </w:rPr>
            </w:pPr>
            <w:r w:rsidRPr="0025250D">
              <w:rPr>
                <w:rFonts w:hint="cs"/>
                <w:rtl/>
              </w:rPr>
              <w:t>پایداری، قدرت</w:t>
            </w:r>
          </w:p>
        </w:tc>
        <w:tc>
          <w:tcPr>
            <w:tcW w:w="2254" w:type="dxa"/>
            <w:vAlign w:val="center"/>
          </w:tcPr>
          <w:p w14:paraId="0E910924" w14:textId="77777777" w:rsidR="00537CC8" w:rsidRPr="0025250D" w:rsidRDefault="00537CC8" w:rsidP="00F004A5">
            <w:pPr>
              <w:bidi/>
              <w:spacing w:after="160"/>
              <w:jc w:val="center"/>
              <w:rPr>
                <w:rtl/>
              </w:rPr>
            </w:pPr>
            <w:r w:rsidRPr="0025250D">
              <w:rPr>
                <w:rFonts w:hint="cs"/>
                <w:rtl/>
              </w:rPr>
              <w:t>هوش، نوآوری</w:t>
            </w:r>
          </w:p>
        </w:tc>
        <w:tc>
          <w:tcPr>
            <w:tcW w:w="2254" w:type="dxa"/>
            <w:shd w:val="clear" w:color="auto" w:fill="D9D9D9" w:themeFill="background1" w:themeFillShade="D9"/>
            <w:vAlign w:val="center"/>
          </w:tcPr>
          <w:p w14:paraId="6D186019" w14:textId="77777777" w:rsidR="00537CC8" w:rsidRPr="0025250D" w:rsidRDefault="00537CC8" w:rsidP="00F004A5">
            <w:pPr>
              <w:bidi/>
              <w:spacing w:after="160"/>
              <w:jc w:val="center"/>
              <w:rPr>
                <w:rtl/>
              </w:rPr>
            </w:pPr>
            <w:r w:rsidRPr="0025250D">
              <w:rPr>
                <w:rFonts w:hint="cs"/>
                <w:rtl/>
              </w:rPr>
              <w:t xml:space="preserve">اهداف </w:t>
            </w:r>
            <w:r w:rsidRPr="0025250D">
              <w:t>IES</w:t>
            </w:r>
          </w:p>
        </w:tc>
      </w:tr>
      <w:tr w:rsidR="00537CC8" w:rsidRPr="0025250D" w14:paraId="3ABF105D" w14:textId="77777777" w:rsidTr="00F004A5">
        <w:trPr>
          <w:jc w:val="center"/>
        </w:trPr>
        <w:tc>
          <w:tcPr>
            <w:tcW w:w="2254" w:type="dxa"/>
            <w:vAlign w:val="center"/>
          </w:tcPr>
          <w:p w14:paraId="3353E7A6" w14:textId="77777777" w:rsidR="00537CC8" w:rsidRPr="0025250D" w:rsidRDefault="00537CC8" w:rsidP="00F004A5">
            <w:pPr>
              <w:bidi/>
              <w:spacing w:after="160"/>
              <w:jc w:val="center"/>
              <w:rPr>
                <w:rtl/>
              </w:rPr>
            </w:pPr>
            <w:r w:rsidRPr="0025250D">
              <w:rPr>
                <w:rFonts w:hint="cs"/>
                <w:rtl/>
              </w:rPr>
              <w:t xml:space="preserve">عزت، عشق، </w:t>
            </w:r>
            <w:r w:rsidRPr="0025250D">
              <w:rPr>
                <w:rtl/>
              </w:rPr>
              <w:t>وجدان</w:t>
            </w:r>
            <w:r w:rsidRPr="0025250D">
              <w:rPr>
                <w:rFonts w:hint="cs"/>
                <w:rtl/>
              </w:rPr>
              <w:t>، قضاوت</w:t>
            </w:r>
          </w:p>
        </w:tc>
        <w:tc>
          <w:tcPr>
            <w:tcW w:w="2254" w:type="dxa"/>
            <w:vAlign w:val="center"/>
          </w:tcPr>
          <w:p w14:paraId="34EAA645" w14:textId="77777777" w:rsidR="00537CC8" w:rsidRPr="0025250D" w:rsidRDefault="00537CC8" w:rsidP="00F004A5">
            <w:pPr>
              <w:bidi/>
              <w:spacing w:after="160"/>
              <w:jc w:val="center"/>
              <w:rPr>
                <w:rtl/>
              </w:rPr>
            </w:pPr>
            <w:r w:rsidRPr="0025250D">
              <w:rPr>
                <w:rFonts w:hint="cs"/>
                <w:rtl/>
              </w:rPr>
              <w:t>قدرت، امنیت، نظم، حقیقت</w:t>
            </w:r>
          </w:p>
        </w:tc>
        <w:tc>
          <w:tcPr>
            <w:tcW w:w="2254" w:type="dxa"/>
            <w:vAlign w:val="center"/>
          </w:tcPr>
          <w:p w14:paraId="28F96C2D" w14:textId="77777777" w:rsidR="00537CC8" w:rsidRPr="0025250D" w:rsidRDefault="00537CC8" w:rsidP="00F004A5">
            <w:pPr>
              <w:bidi/>
              <w:spacing w:after="160"/>
              <w:jc w:val="center"/>
              <w:rPr>
                <w:rtl/>
              </w:rPr>
            </w:pPr>
            <w:r w:rsidRPr="0025250D">
              <w:rPr>
                <w:rFonts w:hint="cs"/>
                <w:rtl/>
              </w:rPr>
              <w:t>آزادی، خلاقیت، بینش، تنوع</w:t>
            </w:r>
          </w:p>
        </w:tc>
        <w:tc>
          <w:tcPr>
            <w:tcW w:w="2254" w:type="dxa"/>
            <w:shd w:val="clear" w:color="auto" w:fill="D9D9D9" w:themeFill="background1" w:themeFillShade="D9"/>
            <w:vAlign w:val="center"/>
          </w:tcPr>
          <w:p w14:paraId="03B7BC4A" w14:textId="77777777" w:rsidR="00537CC8" w:rsidRPr="0025250D" w:rsidRDefault="00537CC8" w:rsidP="00F004A5">
            <w:pPr>
              <w:bidi/>
              <w:spacing w:after="160"/>
              <w:jc w:val="center"/>
              <w:rPr>
                <w:rtl/>
              </w:rPr>
            </w:pPr>
            <w:r w:rsidRPr="0025250D">
              <w:rPr>
                <w:rFonts w:hint="cs"/>
                <w:rtl/>
              </w:rPr>
              <w:t>ارزش‌های اجتماعی</w:t>
            </w:r>
          </w:p>
        </w:tc>
      </w:tr>
      <w:tr w:rsidR="00537CC8" w:rsidRPr="0025250D" w14:paraId="03424FBD" w14:textId="77777777" w:rsidTr="00F004A5">
        <w:trPr>
          <w:jc w:val="center"/>
        </w:trPr>
        <w:tc>
          <w:tcPr>
            <w:tcW w:w="2254" w:type="dxa"/>
            <w:vAlign w:val="center"/>
          </w:tcPr>
          <w:p w14:paraId="4EE3A370" w14:textId="0D462A7C" w:rsidR="00537CC8" w:rsidRPr="0025250D" w:rsidRDefault="007118DE" w:rsidP="00F004A5">
            <w:pPr>
              <w:bidi/>
              <w:spacing w:after="160"/>
              <w:jc w:val="center"/>
              <w:rPr>
                <w:rtl/>
              </w:rPr>
            </w:pPr>
            <w:r w:rsidRPr="0025250D">
              <w:rPr>
                <w:rFonts w:hint="cs"/>
                <w:rtl/>
              </w:rPr>
              <w:t>اولویت‌بندی</w:t>
            </w:r>
            <w:r w:rsidR="00537CC8" w:rsidRPr="0025250D">
              <w:rPr>
                <w:rFonts w:hint="cs"/>
                <w:rtl/>
              </w:rPr>
              <w:t>، هماهنگ سازی</w:t>
            </w:r>
          </w:p>
        </w:tc>
        <w:tc>
          <w:tcPr>
            <w:tcW w:w="2254" w:type="dxa"/>
            <w:vAlign w:val="center"/>
          </w:tcPr>
          <w:p w14:paraId="0E01EFDC" w14:textId="77777777" w:rsidR="00537CC8" w:rsidRPr="0025250D" w:rsidRDefault="00537CC8" w:rsidP="00F004A5">
            <w:pPr>
              <w:bidi/>
              <w:spacing w:after="160"/>
              <w:jc w:val="center"/>
              <w:rPr>
                <w:rtl/>
              </w:rPr>
            </w:pPr>
            <w:r w:rsidRPr="0025250D">
              <w:rPr>
                <w:rFonts w:hint="cs"/>
                <w:rtl/>
              </w:rPr>
              <w:t>کشف، حفاظت</w:t>
            </w:r>
          </w:p>
        </w:tc>
        <w:tc>
          <w:tcPr>
            <w:tcW w:w="2254" w:type="dxa"/>
            <w:vAlign w:val="center"/>
          </w:tcPr>
          <w:p w14:paraId="7B5B7B2C" w14:textId="77777777" w:rsidR="00537CC8" w:rsidRPr="0025250D" w:rsidRDefault="00537CC8" w:rsidP="00F004A5">
            <w:pPr>
              <w:bidi/>
              <w:spacing w:after="160"/>
              <w:jc w:val="center"/>
              <w:rPr>
                <w:rtl/>
              </w:rPr>
            </w:pPr>
            <w:r w:rsidRPr="0025250D">
              <w:rPr>
                <w:rFonts w:hint="cs"/>
                <w:rtl/>
              </w:rPr>
              <w:t>آزمایش، نوآوری</w:t>
            </w:r>
          </w:p>
        </w:tc>
        <w:tc>
          <w:tcPr>
            <w:tcW w:w="2254" w:type="dxa"/>
            <w:shd w:val="clear" w:color="auto" w:fill="D9D9D9" w:themeFill="background1" w:themeFillShade="D9"/>
            <w:vAlign w:val="center"/>
          </w:tcPr>
          <w:p w14:paraId="7F914649" w14:textId="77777777" w:rsidR="00537CC8" w:rsidRPr="0025250D" w:rsidRDefault="00537CC8" w:rsidP="00F004A5">
            <w:pPr>
              <w:bidi/>
              <w:spacing w:after="160"/>
              <w:jc w:val="center"/>
              <w:rPr>
                <w:rtl/>
              </w:rPr>
            </w:pPr>
            <w:r w:rsidRPr="0025250D">
              <w:rPr>
                <w:rFonts w:hint="cs"/>
                <w:rtl/>
              </w:rPr>
              <w:t>اهداف اجتماعی</w:t>
            </w:r>
          </w:p>
        </w:tc>
      </w:tr>
      <w:tr w:rsidR="00537CC8" w:rsidRPr="0025250D" w14:paraId="2F4910CA" w14:textId="77777777" w:rsidTr="00F004A5">
        <w:trPr>
          <w:jc w:val="center"/>
        </w:trPr>
        <w:tc>
          <w:tcPr>
            <w:tcW w:w="2254" w:type="dxa"/>
            <w:vAlign w:val="center"/>
          </w:tcPr>
          <w:p w14:paraId="21F9CAD2" w14:textId="77777777" w:rsidR="00537CC8" w:rsidRPr="0025250D" w:rsidRDefault="00537CC8" w:rsidP="00F004A5">
            <w:pPr>
              <w:bidi/>
              <w:spacing w:after="160"/>
              <w:jc w:val="center"/>
              <w:rPr>
                <w:rtl/>
              </w:rPr>
            </w:pPr>
            <w:r w:rsidRPr="0025250D">
              <w:rPr>
                <w:rFonts w:hint="cs"/>
                <w:rtl/>
              </w:rPr>
              <w:t>مدیر، مشاور</w:t>
            </w:r>
          </w:p>
        </w:tc>
        <w:tc>
          <w:tcPr>
            <w:tcW w:w="2254" w:type="dxa"/>
            <w:vAlign w:val="center"/>
          </w:tcPr>
          <w:p w14:paraId="06E6A6DF" w14:textId="77777777" w:rsidR="00537CC8" w:rsidRPr="0025250D" w:rsidRDefault="00537CC8" w:rsidP="00F004A5">
            <w:pPr>
              <w:bidi/>
              <w:spacing w:after="160"/>
              <w:jc w:val="center"/>
              <w:rPr>
                <w:rtl/>
              </w:rPr>
            </w:pPr>
            <w:r w:rsidRPr="0025250D">
              <w:rPr>
                <w:rFonts w:hint="cs"/>
                <w:rtl/>
              </w:rPr>
              <w:t>مدافع، آکادمیک</w:t>
            </w:r>
          </w:p>
        </w:tc>
        <w:tc>
          <w:tcPr>
            <w:tcW w:w="2254" w:type="dxa"/>
            <w:vAlign w:val="center"/>
          </w:tcPr>
          <w:p w14:paraId="599C758D" w14:textId="77777777" w:rsidR="00537CC8" w:rsidRPr="0025250D" w:rsidRDefault="00537CC8" w:rsidP="00F004A5">
            <w:pPr>
              <w:bidi/>
              <w:spacing w:after="160"/>
              <w:jc w:val="center"/>
              <w:rPr>
                <w:rtl/>
              </w:rPr>
            </w:pPr>
            <w:r w:rsidRPr="0025250D">
              <w:rPr>
                <w:rFonts w:hint="cs"/>
                <w:rtl/>
              </w:rPr>
              <w:t>خلاق، کارآفرین</w:t>
            </w:r>
          </w:p>
        </w:tc>
        <w:tc>
          <w:tcPr>
            <w:tcW w:w="2254" w:type="dxa"/>
            <w:shd w:val="clear" w:color="auto" w:fill="D9D9D9" w:themeFill="background1" w:themeFillShade="D9"/>
            <w:vAlign w:val="center"/>
          </w:tcPr>
          <w:p w14:paraId="6256996F" w14:textId="77777777" w:rsidR="00537CC8" w:rsidRPr="0025250D" w:rsidRDefault="00537CC8" w:rsidP="00F004A5">
            <w:pPr>
              <w:bidi/>
              <w:spacing w:after="160"/>
              <w:jc w:val="center"/>
              <w:rPr>
                <w:rtl/>
              </w:rPr>
            </w:pPr>
            <w:r w:rsidRPr="0025250D">
              <w:rPr>
                <w:rFonts w:hint="cs"/>
                <w:rtl/>
              </w:rPr>
              <w:t>نقش‌های اجتماعی</w:t>
            </w:r>
          </w:p>
        </w:tc>
      </w:tr>
      <w:tr w:rsidR="00537CC8" w:rsidRPr="0025250D" w14:paraId="3728625B" w14:textId="77777777" w:rsidTr="00F004A5">
        <w:trPr>
          <w:jc w:val="center"/>
        </w:trPr>
        <w:tc>
          <w:tcPr>
            <w:tcW w:w="2254" w:type="dxa"/>
            <w:vAlign w:val="center"/>
          </w:tcPr>
          <w:p w14:paraId="2115EA94" w14:textId="77777777" w:rsidR="00537CC8" w:rsidRPr="0025250D" w:rsidRDefault="00537CC8" w:rsidP="00F004A5">
            <w:pPr>
              <w:bidi/>
              <w:spacing w:after="160"/>
              <w:jc w:val="center"/>
              <w:rPr>
                <w:rtl/>
              </w:rPr>
            </w:pPr>
            <w:r w:rsidRPr="0025250D">
              <w:rPr>
                <w:rFonts w:hint="cs"/>
                <w:rtl/>
              </w:rPr>
              <w:t>سازمان ها</w:t>
            </w:r>
          </w:p>
        </w:tc>
        <w:tc>
          <w:tcPr>
            <w:tcW w:w="2254" w:type="dxa"/>
            <w:vAlign w:val="center"/>
          </w:tcPr>
          <w:p w14:paraId="60D4F765" w14:textId="7FFBCADE" w:rsidR="00537CC8" w:rsidRPr="0025250D" w:rsidRDefault="007A53FD" w:rsidP="00F004A5">
            <w:pPr>
              <w:bidi/>
              <w:spacing w:after="160"/>
              <w:jc w:val="center"/>
              <w:rPr>
                <w:rtl/>
              </w:rPr>
            </w:pPr>
            <w:r w:rsidRPr="0025250D">
              <w:rPr>
                <w:rFonts w:hint="cs"/>
                <w:rtl/>
              </w:rPr>
              <w:t>فناوری</w:t>
            </w:r>
            <w:r w:rsidR="00537CC8" w:rsidRPr="0025250D">
              <w:rPr>
                <w:rFonts w:hint="cs"/>
                <w:rtl/>
              </w:rPr>
              <w:t xml:space="preserve"> و محیط</w:t>
            </w:r>
          </w:p>
        </w:tc>
        <w:tc>
          <w:tcPr>
            <w:tcW w:w="2254" w:type="dxa"/>
            <w:vAlign w:val="center"/>
          </w:tcPr>
          <w:p w14:paraId="6523D068" w14:textId="77777777" w:rsidR="00537CC8" w:rsidRPr="0025250D" w:rsidRDefault="00537CC8" w:rsidP="00F004A5">
            <w:pPr>
              <w:bidi/>
              <w:spacing w:after="160"/>
              <w:jc w:val="center"/>
              <w:rPr>
                <w:rtl/>
              </w:rPr>
            </w:pPr>
            <w:r w:rsidRPr="0025250D">
              <w:rPr>
                <w:rFonts w:hint="cs"/>
                <w:rtl/>
              </w:rPr>
              <w:t>فردی</w:t>
            </w:r>
          </w:p>
        </w:tc>
        <w:tc>
          <w:tcPr>
            <w:tcW w:w="2254" w:type="dxa"/>
            <w:shd w:val="clear" w:color="auto" w:fill="D9D9D9" w:themeFill="background1" w:themeFillShade="D9"/>
            <w:vAlign w:val="center"/>
          </w:tcPr>
          <w:p w14:paraId="29FF0325" w14:textId="35616354" w:rsidR="00537CC8" w:rsidRPr="0025250D" w:rsidRDefault="00537CC8" w:rsidP="00F004A5">
            <w:pPr>
              <w:bidi/>
              <w:spacing w:after="160"/>
              <w:jc w:val="center"/>
              <w:rPr>
                <w:rtl/>
              </w:rPr>
            </w:pPr>
            <w:r w:rsidRPr="0025250D">
              <w:rPr>
                <w:rFonts w:hint="cs"/>
                <w:rtl/>
              </w:rPr>
              <w:t>پی</w:t>
            </w:r>
            <w:r w:rsidR="00A2429E" w:rsidRPr="0025250D">
              <w:rPr>
                <w:rFonts w:hint="cs"/>
                <w:rtl/>
              </w:rPr>
              <w:t>ش</w:t>
            </w:r>
            <w:r w:rsidRPr="0025250D">
              <w:rPr>
                <w:rFonts w:hint="cs"/>
                <w:rtl/>
              </w:rPr>
              <w:t>ران‌ها (لین استون)</w:t>
            </w:r>
          </w:p>
        </w:tc>
      </w:tr>
      <w:tr w:rsidR="00537CC8" w:rsidRPr="0025250D" w14:paraId="0FD57609" w14:textId="77777777" w:rsidTr="00F004A5">
        <w:trPr>
          <w:jc w:val="center"/>
        </w:trPr>
        <w:tc>
          <w:tcPr>
            <w:tcW w:w="2254" w:type="dxa"/>
            <w:vAlign w:val="center"/>
          </w:tcPr>
          <w:p w14:paraId="23521494" w14:textId="77777777" w:rsidR="00537CC8" w:rsidRPr="0025250D" w:rsidRDefault="00537CC8" w:rsidP="00F004A5">
            <w:pPr>
              <w:bidi/>
              <w:spacing w:after="160"/>
              <w:jc w:val="center"/>
              <w:rPr>
                <w:b/>
                <w:bCs/>
                <w:rtl/>
              </w:rPr>
            </w:pPr>
            <w:r w:rsidRPr="0025250D">
              <w:rPr>
                <w:rFonts w:hint="cs"/>
                <w:b/>
                <w:bCs/>
                <w:rtl/>
              </w:rPr>
              <w:t>شبکه ها</w:t>
            </w:r>
          </w:p>
        </w:tc>
        <w:tc>
          <w:tcPr>
            <w:tcW w:w="2254" w:type="dxa"/>
            <w:vAlign w:val="center"/>
          </w:tcPr>
          <w:p w14:paraId="1EEC2B3D" w14:textId="77777777" w:rsidR="00537CC8" w:rsidRPr="0025250D" w:rsidRDefault="00537CC8" w:rsidP="00F004A5">
            <w:pPr>
              <w:bidi/>
              <w:spacing w:after="160"/>
              <w:jc w:val="center"/>
              <w:rPr>
                <w:b/>
                <w:bCs/>
                <w:rtl/>
              </w:rPr>
            </w:pPr>
            <w:r w:rsidRPr="0025250D">
              <w:rPr>
                <w:rFonts w:hint="cs"/>
                <w:b/>
                <w:bCs/>
                <w:rtl/>
              </w:rPr>
              <w:t>جمعی (محیط)</w:t>
            </w:r>
          </w:p>
        </w:tc>
        <w:tc>
          <w:tcPr>
            <w:tcW w:w="2254" w:type="dxa"/>
            <w:vAlign w:val="center"/>
          </w:tcPr>
          <w:p w14:paraId="654382D9" w14:textId="77777777" w:rsidR="00537CC8" w:rsidRPr="0025250D" w:rsidRDefault="00537CC8" w:rsidP="00F004A5">
            <w:pPr>
              <w:bidi/>
              <w:spacing w:after="160"/>
              <w:jc w:val="center"/>
              <w:rPr>
                <w:b/>
                <w:bCs/>
                <w:rtl/>
              </w:rPr>
            </w:pPr>
            <w:r w:rsidRPr="0025250D">
              <w:rPr>
                <w:rFonts w:hint="cs"/>
                <w:b/>
                <w:bCs/>
                <w:rtl/>
              </w:rPr>
              <w:t>افراد</w:t>
            </w:r>
          </w:p>
        </w:tc>
        <w:tc>
          <w:tcPr>
            <w:tcW w:w="2254" w:type="dxa"/>
            <w:shd w:val="clear" w:color="auto" w:fill="D9D9D9" w:themeFill="background1" w:themeFillShade="D9"/>
            <w:vAlign w:val="center"/>
          </w:tcPr>
          <w:p w14:paraId="69FFA7CE" w14:textId="77777777" w:rsidR="00537CC8" w:rsidRPr="0025250D" w:rsidRDefault="00537CC8" w:rsidP="00F004A5">
            <w:pPr>
              <w:bidi/>
              <w:spacing w:after="160"/>
              <w:jc w:val="center"/>
              <w:rPr>
                <w:b/>
                <w:bCs/>
                <w:rtl/>
              </w:rPr>
            </w:pPr>
            <w:r w:rsidRPr="0025250D">
              <w:rPr>
                <w:rFonts w:hint="cs"/>
                <w:b/>
                <w:bCs/>
                <w:rtl/>
              </w:rPr>
              <w:t>بازیگران هدایت کننده</w:t>
            </w:r>
          </w:p>
        </w:tc>
      </w:tr>
    </w:tbl>
    <w:p w14:paraId="323C743C" w14:textId="77777777" w:rsidR="000A674B" w:rsidRPr="0025250D" w:rsidRDefault="000A674B" w:rsidP="00537CC8">
      <w:pPr>
        <w:rPr>
          <w:rtl/>
        </w:rPr>
      </w:pPr>
    </w:p>
    <w:p w14:paraId="176CDFEC" w14:textId="32062EC1" w:rsidR="00537CC8" w:rsidRPr="0025250D" w:rsidRDefault="00537CC8" w:rsidP="00537CC8">
      <w:pPr>
        <w:rPr>
          <w:rtl/>
        </w:rPr>
      </w:pPr>
      <w:r w:rsidRPr="0025250D">
        <w:rPr>
          <w:rFonts w:hint="cs"/>
          <w:rtl/>
        </w:rPr>
        <w:t xml:space="preserve">به طور خلاصه، نظریه </w:t>
      </w:r>
      <w:r w:rsidRPr="0025250D">
        <w:rPr>
          <w:rtl/>
        </w:rPr>
        <w:t xml:space="preserve">تکاملی - توسعه‌ای </w:t>
      </w:r>
      <w:r w:rsidRPr="0025250D">
        <w:rPr>
          <w:rFonts w:hint="cs"/>
          <w:rtl/>
        </w:rPr>
        <w:t>به ما می‌گوید که:</w:t>
      </w:r>
    </w:p>
    <w:p w14:paraId="46D717A8" w14:textId="1FB0F003" w:rsidR="00537CC8" w:rsidRPr="0025250D" w:rsidRDefault="00537CC8" w:rsidP="00537CC8">
      <w:pPr>
        <w:rPr>
          <w:rtl/>
        </w:rPr>
      </w:pPr>
      <w:r w:rsidRPr="0025250D">
        <w:rPr>
          <w:rFonts w:hint="cs"/>
          <w:rtl/>
        </w:rPr>
        <w:t xml:space="preserve"> 1. تنوع، نوآوری و هوش فردی (افراد، گروه‌ها، جوامع) رو</w:t>
      </w:r>
      <w:r w:rsidR="00A2429E" w:rsidRPr="0025250D">
        <w:rPr>
          <w:rFonts w:hint="cs"/>
          <w:rtl/>
        </w:rPr>
        <w:t xml:space="preserve"> </w:t>
      </w:r>
      <w:r w:rsidRPr="0025250D">
        <w:rPr>
          <w:rFonts w:hint="cs"/>
          <w:rtl/>
        </w:rPr>
        <w:t>ب</w:t>
      </w:r>
      <w:r w:rsidR="00A2429E" w:rsidRPr="0025250D">
        <w:rPr>
          <w:rFonts w:hint="cs"/>
          <w:rtl/>
        </w:rPr>
        <w:t xml:space="preserve">ه </w:t>
      </w:r>
      <w:r w:rsidRPr="0025250D">
        <w:rPr>
          <w:rFonts w:hint="cs"/>
          <w:rtl/>
        </w:rPr>
        <w:t>رشد اهداف کلیدی فرایند‌های تکاملی در طبیعت و جامعه هستند. این‌ها فرایند‌هایی واگرا هستند که آینده‌های ممکن را کاوش می‌کنند.</w:t>
      </w:r>
    </w:p>
    <w:p w14:paraId="44B36757" w14:textId="7D4048D0" w:rsidR="00537CC8" w:rsidRPr="0025250D" w:rsidRDefault="00537CC8" w:rsidP="00537CC8">
      <w:pPr>
        <w:rPr>
          <w:rtl/>
        </w:rPr>
      </w:pPr>
      <w:r w:rsidRPr="0025250D">
        <w:rPr>
          <w:rFonts w:hint="cs"/>
          <w:rtl/>
        </w:rPr>
        <w:t xml:space="preserve">2. قدرت، امنیت و حقیقت (قابلیت </w:t>
      </w:r>
      <w:r w:rsidR="00D92F6E" w:rsidRPr="0025250D">
        <w:rPr>
          <w:rFonts w:hint="cs"/>
          <w:rtl/>
        </w:rPr>
        <w:t>پیش‌بین</w:t>
      </w:r>
      <w:r w:rsidRPr="0025250D">
        <w:rPr>
          <w:rFonts w:hint="cs"/>
          <w:rtl/>
        </w:rPr>
        <w:t>ی) رو به رشد جمعی، اهداف کلیدی فرایند توسعه‌ای در طبیعت و جامعه هستند. این‌ها فرایند‌هایی همگرا هستند که آینده‌های محتمل را یافته و حفظ می‌کنند.</w:t>
      </w:r>
    </w:p>
    <w:p w14:paraId="3190503E" w14:textId="05151025" w:rsidR="00537CC8" w:rsidRPr="0025250D" w:rsidRDefault="00537CC8" w:rsidP="00537CC8">
      <w:pPr>
        <w:rPr>
          <w:rtl/>
        </w:rPr>
      </w:pPr>
      <w:r w:rsidRPr="0025250D">
        <w:rPr>
          <w:rFonts w:hint="cs"/>
          <w:rtl/>
        </w:rPr>
        <w:t xml:space="preserve">3. قانون 95/5 (یا نسبت 19:1 که به نسبت 20:1 آن را </w:t>
      </w:r>
      <w:r w:rsidR="00A2429E" w:rsidRPr="0025250D">
        <w:rPr>
          <w:rFonts w:hint="cs"/>
          <w:rtl/>
        </w:rPr>
        <w:t>گرد</w:t>
      </w:r>
      <w:r w:rsidRPr="0025250D">
        <w:rPr>
          <w:rFonts w:hint="cs"/>
          <w:rtl/>
        </w:rPr>
        <w:t xml:space="preserve"> می‌کنیم) به ما می‌گوید که درحالی که فرایند‌های تکاملی و توسعه‌ای به نظر به یک اندازه برای </w:t>
      </w:r>
      <w:r w:rsidR="00B124DE" w:rsidRPr="0025250D">
        <w:rPr>
          <w:rFonts w:hint="cs"/>
          <w:rtl/>
        </w:rPr>
        <w:t>انطباق‌پذیر</w:t>
      </w:r>
      <w:r w:rsidRPr="0025250D">
        <w:rPr>
          <w:rFonts w:hint="cs"/>
          <w:rtl/>
        </w:rPr>
        <w:t>ی اهمیت دارند، فرایند‌های تکاملی می‌توانند در سامانه‌های پیچیده، تقریباً بیست برابر بیش‌تر دیده شوند. این امر البته تنها یک تخمین کلی است.</w:t>
      </w:r>
    </w:p>
    <w:p w14:paraId="086339FC" w14:textId="0AABD53C" w:rsidR="00537CC8" w:rsidRPr="0025250D" w:rsidRDefault="00537CC8" w:rsidP="00537CC8">
      <w:pPr>
        <w:rPr>
          <w:rtl/>
        </w:rPr>
      </w:pPr>
      <w:r w:rsidRPr="0025250D">
        <w:rPr>
          <w:rFonts w:hint="cs"/>
          <w:rtl/>
        </w:rPr>
        <w:t>4. این دو فرایند، وقتی در شبکه‌های هوشمند استفاده</w:t>
      </w:r>
      <w:r w:rsidR="008D6F97" w:rsidRPr="0025250D">
        <w:rPr>
          <w:rtl/>
        </w:rPr>
        <w:t xml:space="preserve"> </w:t>
      </w:r>
      <w:r w:rsidRPr="0025250D">
        <w:rPr>
          <w:rFonts w:hint="cs"/>
          <w:rtl/>
        </w:rPr>
        <w:t xml:space="preserve">شوند مجموعه‌ای از </w:t>
      </w:r>
      <w:r w:rsidR="00B56611" w:rsidRPr="0025250D">
        <w:rPr>
          <w:rFonts w:hint="cs"/>
          <w:rtl/>
        </w:rPr>
        <w:t>چشم‌انداز</w:t>
      </w:r>
      <w:r w:rsidRPr="0025250D">
        <w:rPr>
          <w:rFonts w:hint="cs"/>
          <w:rtl/>
        </w:rPr>
        <w:t xml:space="preserve">‌ها، اخلاقیات، </w:t>
      </w:r>
      <w:r w:rsidR="00A936B3" w:rsidRPr="0025250D">
        <w:rPr>
          <w:rFonts w:hint="cs"/>
          <w:rtl/>
        </w:rPr>
        <w:t>همدلی</w:t>
      </w:r>
      <w:r w:rsidRPr="0025250D">
        <w:rPr>
          <w:rFonts w:hint="cs"/>
          <w:rtl/>
        </w:rPr>
        <w:t xml:space="preserve"> و ارزش‌های مرجح و آینده‌های قابل اجتناب مشترکی که سامانه‌های پیچیده به دنبال اجتناب از آن‌ها هستند را </w:t>
      </w:r>
      <w:r w:rsidR="00D92F6E" w:rsidRPr="0025250D">
        <w:rPr>
          <w:rFonts w:hint="cs"/>
          <w:rtl/>
        </w:rPr>
        <w:t>پیش‌بین</w:t>
      </w:r>
      <w:r w:rsidRPr="0025250D">
        <w:rPr>
          <w:rFonts w:hint="cs"/>
          <w:rtl/>
        </w:rPr>
        <w:t>ی می‌کنند.</w:t>
      </w:r>
    </w:p>
    <w:p w14:paraId="61B43BC1" w14:textId="433D716D" w:rsidR="00537CC8" w:rsidRPr="0025250D" w:rsidRDefault="007118DE" w:rsidP="00537CC8">
      <w:pPr>
        <w:rPr>
          <w:rtl/>
        </w:rPr>
      </w:pPr>
      <w:r w:rsidRPr="0025250D">
        <w:rPr>
          <w:rFonts w:hint="cs"/>
          <w:rtl/>
        </w:rPr>
        <w:t>همان‌طور</w:t>
      </w:r>
      <w:r w:rsidR="00537CC8" w:rsidRPr="0025250D">
        <w:rPr>
          <w:rFonts w:hint="cs"/>
          <w:rtl/>
        </w:rPr>
        <w:t xml:space="preserve"> که در </w:t>
      </w:r>
      <w:r w:rsidR="00537CC8" w:rsidRPr="0025250D">
        <w:t>BPF</w:t>
      </w:r>
      <w:r w:rsidR="00537CC8" w:rsidRPr="0025250D">
        <w:rPr>
          <w:rFonts w:hint="cs"/>
          <w:rtl/>
        </w:rPr>
        <w:t xml:space="preserve"> بررسی خواهیم کرد، مدل‌های </w:t>
      </w:r>
      <w:r w:rsidR="00537CC8" w:rsidRPr="0025250D">
        <w:rPr>
          <w:rtl/>
        </w:rPr>
        <w:t xml:space="preserve">تکاملی - توسعه‌ای </w:t>
      </w:r>
      <w:r w:rsidR="00537CC8" w:rsidRPr="0025250D">
        <w:rPr>
          <w:rFonts w:hint="cs"/>
          <w:rtl/>
        </w:rPr>
        <w:t>می‌توانند نام واحدی داشته باشند، یعنی شبکه گرایی</w:t>
      </w:r>
      <w:r w:rsidR="00537CC8" w:rsidRPr="0025250D">
        <w:rPr>
          <w:vertAlign w:val="superscript"/>
          <w:rtl/>
        </w:rPr>
        <w:footnoteReference w:id="1526"/>
      </w:r>
      <w:r w:rsidR="00537CC8" w:rsidRPr="0025250D">
        <w:rPr>
          <w:rFonts w:hint="cs"/>
          <w:rtl/>
        </w:rPr>
        <w:t xml:space="preserve">. شبکه گرایی یک </w:t>
      </w:r>
      <w:r w:rsidR="00A20CCB" w:rsidRPr="0025250D">
        <w:rPr>
          <w:rFonts w:hint="cs"/>
          <w:rtl/>
        </w:rPr>
        <w:t>جهان‌بینی</w:t>
      </w:r>
      <w:r w:rsidR="00537CC8" w:rsidRPr="0025250D">
        <w:rPr>
          <w:rFonts w:hint="cs"/>
          <w:rtl/>
        </w:rPr>
        <w:t xml:space="preserve"> است که از ما می‌خواهد که یک دیدگاه </w:t>
      </w:r>
      <w:r w:rsidR="00537CC8" w:rsidRPr="0025250D">
        <w:rPr>
          <w:rtl/>
        </w:rPr>
        <w:t xml:space="preserve">تکاملی - توسعه‌ای </w:t>
      </w:r>
      <w:r w:rsidR="00537CC8" w:rsidRPr="0025250D">
        <w:rPr>
          <w:rFonts w:hint="cs"/>
          <w:rtl/>
        </w:rPr>
        <w:t xml:space="preserve">با اولویت شبکه‌ای درمورد تفکر </w:t>
      </w:r>
      <w:r w:rsidR="008D6F97" w:rsidRPr="0025250D">
        <w:rPr>
          <w:rFonts w:hint="cs"/>
          <w:rtl/>
        </w:rPr>
        <w:t>سامانه‌ای</w:t>
      </w:r>
      <w:r w:rsidR="00537CC8" w:rsidRPr="0025250D">
        <w:rPr>
          <w:rFonts w:hint="cs"/>
          <w:rtl/>
        </w:rPr>
        <w:t xml:space="preserve"> و </w:t>
      </w:r>
      <w:r w:rsidR="00B124DE" w:rsidRPr="0025250D">
        <w:rPr>
          <w:rFonts w:hint="cs"/>
          <w:rtl/>
        </w:rPr>
        <w:t>انطباق‌پذیر</w:t>
      </w:r>
      <w:r w:rsidR="00537CC8" w:rsidRPr="0025250D">
        <w:rPr>
          <w:rFonts w:hint="cs"/>
          <w:rtl/>
        </w:rPr>
        <w:t xml:space="preserve">ی داشته باشیم. این اصطلاحی است که این نکته را مطرح می‌کند که همه </w:t>
      </w:r>
      <w:r w:rsidR="00B124DE" w:rsidRPr="0025250D">
        <w:rPr>
          <w:rFonts w:hint="cs"/>
          <w:rtl/>
        </w:rPr>
        <w:t>انطباق‌پذیر</w:t>
      </w:r>
      <w:r w:rsidR="00537CC8" w:rsidRPr="0025250D">
        <w:rPr>
          <w:rFonts w:hint="cs"/>
          <w:rtl/>
        </w:rPr>
        <w:t>‌ترین</w:t>
      </w:r>
      <w:r w:rsidR="008D6F97" w:rsidRPr="0025250D">
        <w:rPr>
          <w:rtl/>
        </w:rPr>
        <w:t xml:space="preserve"> </w:t>
      </w:r>
      <w:r w:rsidR="00537CC8" w:rsidRPr="0025250D">
        <w:rPr>
          <w:rFonts w:hint="cs"/>
          <w:rtl/>
        </w:rPr>
        <w:t xml:space="preserve">سامانه‌های پیچیده بر روی زمین شبکه‌های پیچیده‌ای در حال تکامل، خود بازتولید کننده و خود نگهدارنده تحت انتخاب طبیعی هستند. چنین شبکه‌هایی هوشمندی خود را از طریق فرایند‌های توسعه‌ای و تکاملی تنظیم می‌کنند. اکولوژی‌ها شبکه‌هایی </w:t>
      </w:r>
      <w:r w:rsidR="00537CC8" w:rsidRPr="0025250D">
        <w:rPr>
          <w:rtl/>
        </w:rPr>
        <w:t xml:space="preserve">تکاملی - توسعه‌ای </w:t>
      </w:r>
      <w:r w:rsidR="00537CC8" w:rsidRPr="0025250D">
        <w:rPr>
          <w:rFonts w:hint="cs"/>
          <w:rtl/>
        </w:rPr>
        <w:t xml:space="preserve">هستند، بدن انسان یک شبکه پیچیده از انواع سلول‌ها و سامانه‌های ارگانی است، مغز ما شبکه‌ای از ماژول‌ها و مجموعه‌های عصبی است، جوامع و اقتصاد‌های ما شبکه‌هایی پیچیده از ارتباطات، ایده‌ها، رفتار‌ها و </w:t>
      </w:r>
      <w:r w:rsidR="007A53FD" w:rsidRPr="0025250D">
        <w:rPr>
          <w:rFonts w:hint="cs"/>
          <w:rtl/>
        </w:rPr>
        <w:t>فناوری</w:t>
      </w:r>
      <w:r w:rsidR="00537CC8" w:rsidRPr="0025250D">
        <w:rPr>
          <w:rFonts w:hint="cs"/>
          <w:rtl/>
        </w:rPr>
        <w:t xml:space="preserve">‌ها هستند و اکنون، هوش‌های مصنوعی پیشتاز ما در حال تکامل و توسعه به سمت چنین شبکه‌هایی هستند. این منطق که هوش‌های مصنوعی ما می‌توانند درون شبکه‌های عصبی خود به کار گرفته شوند، محدودیت‌هایی قوی در مقایسه با پیچیدگی آینده دارد، درست همانند منطق زیستی خودمان که محدود است. وقتی منطق شکست می‌خورد، شبکه‌های عصبی آن‌ها باید همچنین از شهود و هیجان برای هدایت آن‌ها، مانند ما استفاده کنند. هوش‌های مصنوعی آینده ما یاد خواهند گرفت که چگونه شکل‌های پیچیده‌ای از خوش بینی </w:t>
      </w:r>
      <w:r w:rsidR="00701E03" w:rsidRPr="0025250D">
        <w:rPr>
          <w:rFonts w:hint="cs"/>
          <w:rtl/>
        </w:rPr>
        <w:t>راهبردی</w:t>
      </w:r>
      <w:r w:rsidR="00537CC8" w:rsidRPr="0025250D">
        <w:rPr>
          <w:rFonts w:hint="cs"/>
          <w:rtl/>
        </w:rPr>
        <w:t xml:space="preserve"> و </w:t>
      </w:r>
      <w:r w:rsidR="00D30084" w:rsidRPr="0025250D">
        <w:rPr>
          <w:rFonts w:hint="cs"/>
          <w:rtl/>
        </w:rPr>
        <w:t>بدبینی تدافعی</w:t>
      </w:r>
      <w:r w:rsidR="00537CC8" w:rsidRPr="0025250D">
        <w:rPr>
          <w:rFonts w:hint="cs"/>
          <w:rtl/>
        </w:rPr>
        <w:t xml:space="preserve"> را، درمورد هر چیز، درست مانند ما احساس کنند. آن‌ها باید تناقضات چهار </w:t>
      </w:r>
      <w:r w:rsidR="00537CC8" w:rsidRPr="0025250D">
        <w:t>P</w:t>
      </w:r>
      <w:r w:rsidR="00537CC8" w:rsidRPr="0025250D">
        <w:rPr>
          <w:rFonts w:hint="cs"/>
          <w:rtl/>
        </w:rPr>
        <w:t xml:space="preserve"> را در ذهن‌ها و تیم‌های خود درست مانند ما مدیریت کنند. آن‌ها محدود به فرایند‌های </w:t>
      </w:r>
      <w:r w:rsidR="00537CC8" w:rsidRPr="0025250D">
        <w:rPr>
          <w:rtl/>
        </w:rPr>
        <w:t xml:space="preserve">تکاملی - توسعه‌ای </w:t>
      </w:r>
      <w:r w:rsidR="00537CC8" w:rsidRPr="0025250D">
        <w:rPr>
          <w:rFonts w:hint="cs"/>
          <w:rtl/>
        </w:rPr>
        <w:t>در طبیعت خواهند بود، درست مانند ما.</w:t>
      </w:r>
    </w:p>
    <w:p w14:paraId="5A6558B1" w14:textId="141905DB" w:rsidR="00537CC8" w:rsidRPr="0025250D" w:rsidRDefault="00537CC8" w:rsidP="00537CC8">
      <w:pPr>
        <w:rPr>
          <w:rtl/>
        </w:rPr>
      </w:pPr>
      <w:r w:rsidRPr="0025250D">
        <w:rPr>
          <w:rFonts w:hint="cs"/>
          <w:rtl/>
        </w:rPr>
        <w:t xml:space="preserve">از نظر ما، هم آینده علم شبکه و هم آینده هوش مصنوعی به شناخت ذات تکاملی-توسعه‌ای شبکه‌های </w:t>
      </w:r>
      <w:r w:rsidR="00B124DE" w:rsidRPr="0025250D">
        <w:rPr>
          <w:rFonts w:hint="cs"/>
          <w:rtl/>
        </w:rPr>
        <w:t>انطباق‌پذیر</w:t>
      </w:r>
      <w:r w:rsidRPr="0025250D">
        <w:rPr>
          <w:rFonts w:hint="cs"/>
          <w:rtl/>
        </w:rPr>
        <w:t xml:space="preserve"> در سامانه‌های پیچیده در همه مقیاس‌ها، از مولکول‌های پیچیده گرفته تا جوامع پیچیده نیاز دارد. به‌عنوان یک مثال از این جبهه تحقیقاتی، </w:t>
      </w:r>
      <w:r w:rsidRPr="0025250D">
        <w:rPr>
          <w:rtl/>
        </w:rPr>
        <w:t>سزار ه</w:t>
      </w:r>
      <w:r w:rsidRPr="0025250D">
        <w:rPr>
          <w:rFonts w:hint="cs"/>
          <w:rtl/>
        </w:rPr>
        <w:t>ی</w:t>
      </w:r>
      <w:r w:rsidRPr="0025250D">
        <w:rPr>
          <w:rFonts w:hint="eastAsia"/>
          <w:rtl/>
        </w:rPr>
        <w:t>دالگو</w:t>
      </w:r>
      <w:r w:rsidRPr="0025250D">
        <w:rPr>
          <w:vertAlign w:val="superscript"/>
          <w:rtl/>
        </w:rPr>
        <w:footnoteReference w:id="1527"/>
      </w:r>
      <w:r w:rsidRPr="0025250D">
        <w:rPr>
          <w:rFonts w:hint="cs"/>
          <w:rtl/>
        </w:rPr>
        <w:t xml:space="preserve"> در </w:t>
      </w:r>
      <w:r w:rsidRPr="0025250D">
        <w:t>MIT</w:t>
      </w:r>
      <w:r w:rsidRPr="0025250D">
        <w:rPr>
          <w:rFonts w:hint="cs"/>
          <w:rtl/>
        </w:rPr>
        <w:t xml:space="preserve"> معیارهایی از پیچیدگی اقتصادی را توسعه داده است که به دقت چگونگی رشد و تبدیل شبکه‌های فیزیکی (شهرها و زنجیره‌های تأمین) و مجازی (شبکه‌های آنلاین) از مردم را از شبکه‌های پراکنده اولیه به شبکه‌هایی متنوع، تخصصی و متراکم از طریق یادگیری نوآوری و تولید ارزش اقتصادی </w:t>
      </w:r>
      <w:r w:rsidR="00D92F6E" w:rsidRPr="0025250D">
        <w:rPr>
          <w:rFonts w:hint="cs"/>
          <w:rtl/>
        </w:rPr>
        <w:t>پیش‌بین</w:t>
      </w:r>
      <w:r w:rsidRPr="0025250D">
        <w:rPr>
          <w:rFonts w:hint="cs"/>
          <w:rtl/>
        </w:rPr>
        <w:t>ی می‌کند. کتاب پایه‌ای او به نام چرا اطلاعات رشد می‌کند: تکامل نظم از اتم‌ها به اقتصاد ها</w:t>
      </w:r>
      <w:r w:rsidRPr="0025250D">
        <w:rPr>
          <w:vertAlign w:val="superscript"/>
          <w:rtl/>
        </w:rPr>
        <w:footnoteReference w:id="1528"/>
      </w:r>
      <w:r w:rsidRPr="0025250D">
        <w:rPr>
          <w:rFonts w:hint="cs"/>
          <w:rtl/>
        </w:rPr>
        <w:t xml:space="preserve"> در سال 2017 و کتاب فنی او، اطلس پیچیدگی اقتصادی: ترسیم راه‌ها به سمت کامیابی</w:t>
      </w:r>
      <w:r w:rsidRPr="0025250D">
        <w:rPr>
          <w:vertAlign w:val="superscript"/>
          <w:rtl/>
        </w:rPr>
        <w:footnoteReference w:id="1529"/>
      </w:r>
      <w:r w:rsidRPr="0025250D">
        <w:rPr>
          <w:rFonts w:hint="cs"/>
          <w:rtl/>
        </w:rPr>
        <w:t xml:space="preserve"> در سال 2014، هر دو این یافته‌ها را توصیف می‌کنند.</w:t>
      </w:r>
    </w:p>
    <w:p w14:paraId="7D08689F" w14:textId="1FC6B9DA" w:rsidR="00537CC8" w:rsidRPr="0025250D" w:rsidRDefault="00537CC8" w:rsidP="00537CC8">
      <w:pPr>
        <w:rPr>
          <w:rtl/>
        </w:rPr>
      </w:pPr>
      <w:r w:rsidRPr="0025250D">
        <w:rPr>
          <w:rFonts w:hint="cs"/>
          <w:rtl/>
        </w:rPr>
        <w:t xml:space="preserve">تیم </w:t>
      </w:r>
      <w:r w:rsidRPr="0025250D">
        <w:rPr>
          <w:rtl/>
        </w:rPr>
        <w:t>ه</w:t>
      </w:r>
      <w:r w:rsidRPr="0025250D">
        <w:rPr>
          <w:rFonts w:hint="cs"/>
          <w:rtl/>
        </w:rPr>
        <w:t>ی</w:t>
      </w:r>
      <w:r w:rsidRPr="0025250D">
        <w:rPr>
          <w:rFonts w:hint="eastAsia"/>
          <w:rtl/>
        </w:rPr>
        <w:t>دالگو</w:t>
      </w:r>
      <w:r w:rsidRPr="0025250D">
        <w:rPr>
          <w:rFonts w:hint="cs"/>
          <w:rtl/>
        </w:rPr>
        <w:t xml:space="preserve"> ارزش اقتصادی تولید شده توسط شهرهایی که از دو سنجه اصلی استفاده می‌کنند را توضیح می‌دهد. یک سنجه تکاملی و فردی که تنوع دانش موجود در یک شبکه فیزیکی و مجازی را اندازه گیری می‌کند و یک سنجه توسعه‌ای و جمعی که تراکم پیچیدگی اطلاعاتی (دانش تخصصی و سلسله مراتبی) موجود در این شبکه را اندازه گیری می‌کند. هر سنجه به دیگری مرتبط است.</w:t>
      </w:r>
      <w:r w:rsidR="00EE4B64" w:rsidRPr="0025250D">
        <w:rPr>
          <w:rFonts w:hint="cs"/>
          <w:rtl/>
        </w:rPr>
        <w:t xml:space="preserve"> نمی‌</w:t>
      </w:r>
      <w:r w:rsidRPr="0025250D">
        <w:rPr>
          <w:rFonts w:hint="cs"/>
          <w:rtl/>
        </w:rPr>
        <w:t>توان به افراد، سازمان‌ها یا جوامع به شدت متخصص که بالاترین سرانه ارزش اقتصادی را تولید می‌کنند، بدون تراکم و تنوع فردی و دانش (مرتبط با هر تخصص) درون شبکه دست یافت.</w:t>
      </w:r>
    </w:p>
    <w:p w14:paraId="46A2924C" w14:textId="275DE9BE" w:rsidR="00537CC8" w:rsidRPr="0025250D" w:rsidRDefault="00537CC8" w:rsidP="00537CC8">
      <w:pPr>
        <w:rPr>
          <w:rtl/>
        </w:rPr>
      </w:pPr>
      <w:r w:rsidRPr="0025250D">
        <w:rPr>
          <w:rFonts w:hint="cs"/>
          <w:rtl/>
        </w:rPr>
        <w:t>با بازگویی این کار در مدل فراگیر فرضی خود، می‌گوییم متراکم سازی</w:t>
      </w:r>
      <w:r w:rsidRPr="0025250D">
        <w:rPr>
          <w:vertAlign w:val="superscript"/>
          <w:rtl/>
        </w:rPr>
        <w:footnoteReference w:id="1530"/>
      </w:r>
      <w:r w:rsidRPr="0025250D">
        <w:rPr>
          <w:rFonts w:hint="cs"/>
          <w:rtl/>
        </w:rPr>
        <w:t xml:space="preserve"> (تراکم و کارایی همواره در حال رشد مکانی، زمانی، انرژتیک و مادی (</w:t>
      </w:r>
      <w:r w:rsidRPr="0025250D">
        <w:t>STEM</w:t>
      </w:r>
      <w:r w:rsidRPr="0025250D">
        <w:rPr>
          <w:rFonts w:hint="cs"/>
          <w:rtl/>
        </w:rPr>
        <w:t xml:space="preserve">) تعاملات هدایت کننده شبکه) همواره </w:t>
      </w:r>
      <w:r w:rsidR="000B4A71" w:rsidRPr="0025250D">
        <w:rPr>
          <w:rFonts w:hint="cs"/>
          <w:rtl/>
        </w:rPr>
        <w:t>مادی‌زدایی</w:t>
      </w:r>
      <w:r w:rsidRPr="0025250D">
        <w:rPr>
          <w:vertAlign w:val="superscript"/>
          <w:rtl/>
        </w:rPr>
        <w:footnoteReference w:id="1531"/>
      </w:r>
      <w:r w:rsidRPr="0025250D">
        <w:rPr>
          <w:rFonts w:hint="cs"/>
          <w:rtl/>
        </w:rPr>
        <w:t xml:space="preserve"> (</w:t>
      </w:r>
      <w:r w:rsidRPr="0025250D">
        <w:rPr>
          <w:rtl/>
        </w:rPr>
        <w:t>جا</w:t>
      </w:r>
      <w:r w:rsidRPr="0025250D">
        <w:rPr>
          <w:rFonts w:hint="cs"/>
          <w:rtl/>
        </w:rPr>
        <w:t>ی</w:t>
      </w:r>
      <w:r w:rsidRPr="0025250D">
        <w:rPr>
          <w:rFonts w:hint="eastAsia"/>
          <w:rtl/>
        </w:rPr>
        <w:t>گز</w:t>
      </w:r>
      <w:r w:rsidRPr="0025250D">
        <w:rPr>
          <w:rFonts w:hint="cs"/>
          <w:rtl/>
        </w:rPr>
        <w:t>ی</w:t>
      </w:r>
      <w:r w:rsidRPr="0025250D">
        <w:rPr>
          <w:rFonts w:hint="eastAsia"/>
          <w:rtl/>
        </w:rPr>
        <w:t>ن</w:t>
      </w:r>
      <w:r w:rsidRPr="0025250D">
        <w:rPr>
          <w:rFonts w:hint="cs"/>
          <w:rtl/>
        </w:rPr>
        <w:t>ی</w:t>
      </w:r>
      <w:r w:rsidRPr="0025250D">
        <w:rPr>
          <w:rtl/>
        </w:rPr>
        <w:t xml:space="preserve"> روزافزون </w:t>
      </w:r>
      <w:r w:rsidRPr="0025250D">
        <w:t>STEM</w:t>
      </w:r>
      <w:r w:rsidRPr="0025250D">
        <w:rPr>
          <w:rtl/>
        </w:rPr>
        <w:t xml:space="preserve"> اطلاعات، ارتباطات و محاسبات</w:t>
      </w:r>
      <w:r w:rsidRPr="0025250D">
        <w:rPr>
          <w:rFonts w:hint="cs"/>
          <w:rtl/>
        </w:rPr>
        <w:t xml:space="preserve"> </w:t>
      </w:r>
      <w:r w:rsidRPr="0025250D">
        <w:rPr>
          <w:rtl/>
        </w:rPr>
        <w:t>شبکه</w:t>
      </w:r>
      <w:r w:rsidRPr="0025250D">
        <w:rPr>
          <w:rFonts w:hint="cs"/>
          <w:rtl/>
        </w:rPr>
        <w:t xml:space="preserve">) را ترویج می‌کنند. ما این دو با هم را </w:t>
      </w:r>
      <w:r w:rsidRPr="0025250D">
        <w:t>D&amp;D</w:t>
      </w:r>
      <w:r w:rsidRPr="0025250D">
        <w:rPr>
          <w:rFonts w:hint="cs"/>
          <w:rtl/>
        </w:rPr>
        <w:t xml:space="preserve"> می‌نامیم. در </w:t>
      </w:r>
      <w:r w:rsidRPr="0025250D">
        <w:t>BPF</w:t>
      </w:r>
      <w:r w:rsidRPr="0025250D">
        <w:rPr>
          <w:rFonts w:hint="cs"/>
          <w:rtl/>
        </w:rPr>
        <w:t xml:space="preserve">، بررسی خواهیم کرد که چگونه کلان روندهای </w:t>
      </w:r>
      <w:r w:rsidRPr="0025250D">
        <w:t>D&amp;D</w:t>
      </w:r>
      <w:r w:rsidRPr="0025250D">
        <w:rPr>
          <w:rFonts w:hint="cs"/>
          <w:rtl/>
        </w:rPr>
        <w:t xml:space="preserve"> سبب تغییر </w:t>
      </w:r>
      <w:r w:rsidR="007B3B35" w:rsidRPr="0025250D">
        <w:rPr>
          <w:rFonts w:hint="cs"/>
          <w:rtl/>
        </w:rPr>
        <w:t>شتاب‌گیر</w:t>
      </w:r>
      <w:r w:rsidRPr="0025250D">
        <w:rPr>
          <w:rFonts w:hint="cs"/>
          <w:rtl/>
        </w:rPr>
        <w:t>نده می‌شوند. به نظر ما،</w:t>
      </w:r>
      <w:r w:rsidR="00EE4B64" w:rsidRPr="0025250D">
        <w:rPr>
          <w:rFonts w:hint="cs"/>
          <w:rtl/>
        </w:rPr>
        <w:t xml:space="preserve"> نمی‌</w:t>
      </w:r>
      <w:r w:rsidRPr="0025250D">
        <w:rPr>
          <w:rFonts w:hint="cs"/>
          <w:rtl/>
        </w:rPr>
        <w:t>توانیم از این کلان روندهاخارج شده یا از پیدایش هوش مصنوعی برتر از انسان و زنده نما</w:t>
      </w:r>
      <w:r w:rsidRPr="0025250D">
        <w:rPr>
          <w:vertAlign w:val="superscript"/>
          <w:rtl/>
        </w:rPr>
        <w:footnoteReference w:id="1532"/>
      </w:r>
      <w:r w:rsidRPr="0025250D">
        <w:rPr>
          <w:rFonts w:hint="cs"/>
          <w:rtl/>
        </w:rPr>
        <w:t xml:space="preserve"> جلوگیری کنیم. ما تنها می‌توانیم این فرایند‌ها را در مسیر‌هایی بهتر یا بد‌تر هدایت کنیم. به شکل ساده‌تر، ما تکامل آن‌ها را کنترل می‌کنیم نه توسعه آن‌ها را.</w:t>
      </w:r>
    </w:p>
    <w:p w14:paraId="65D3553C" w14:textId="18F9F1C6" w:rsidR="00537CC8" w:rsidRPr="0025250D" w:rsidRDefault="00537CC8" w:rsidP="00537CC8">
      <w:pPr>
        <w:rPr>
          <w:rtl/>
        </w:rPr>
      </w:pPr>
      <w:r w:rsidRPr="0025250D">
        <w:rPr>
          <w:rFonts w:hint="cs"/>
          <w:rtl/>
        </w:rPr>
        <w:t xml:space="preserve">کارهایی که در زمینه علم شبکه، تحت هدایت مکان‌هایی مانند مؤسسه </w:t>
      </w:r>
      <w:r w:rsidRPr="0025250D">
        <w:rPr>
          <w:rtl/>
        </w:rPr>
        <w:t>سانتا</w:t>
      </w:r>
      <w:r w:rsidRPr="0025250D">
        <w:rPr>
          <w:rFonts w:hint="cs"/>
          <w:rtl/>
        </w:rPr>
        <w:t xml:space="preserve"> </w:t>
      </w:r>
      <w:r w:rsidRPr="0025250D">
        <w:rPr>
          <w:rtl/>
        </w:rPr>
        <w:t>فه</w:t>
      </w:r>
      <w:r w:rsidRPr="0025250D">
        <w:rPr>
          <w:vertAlign w:val="superscript"/>
          <w:rtl/>
        </w:rPr>
        <w:footnoteReference w:id="1533"/>
      </w:r>
      <w:r w:rsidRPr="0025250D">
        <w:rPr>
          <w:rFonts w:hint="cs"/>
          <w:rtl/>
        </w:rPr>
        <w:t xml:space="preserve"> و </w:t>
      </w:r>
      <w:r w:rsidRPr="0025250D">
        <w:t>MIT</w:t>
      </w:r>
      <w:r w:rsidRPr="0025250D">
        <w:rPr>
          <w:rFonts w:hint="cs"/>
          <w:rtl/>
        </w:rPr>
        <w:t xml:space="preserve"> انجام </w:t>
      </w:r>
      <w:r w:rsidR="00185F3E" w:rsidRPr="0025250D">
        <w:rPr>
          <w:rFonts w:hint="cs"/>
          <w:rtl/>
        </w:rPr>
        <w:t>شده‌اند</w:t>
      </w:r>
      <w:r w:rsidRPr="0025250D">
        <w:rPr>
          <w:rFonts w:hint="cs"/>
          <w:rtl/>
        </w:rPr>
        <w:t xml:space="preserve">، مشخص می‌کنند که هرچه ارتباطات راه دور مجازی ما بهتر باشند، تعاملات غیر مادی و متنوع تری بر تعاملات فیزیکی و پراکنده غلبه خواهند کرد. ما شاهد </w:t>
      </w:r>
      <w:r w:rsidR="00B56611" w:rsidRPr="0025250D">
        <w:rPr>
          <w:rFonts w:hint="cs"/>
          <w:rtl/>
        </w:rPr>
        <w:t>شتاب‌گیری</w:t>
      </w:r>
      <w:r w:rsidRPr="0025250D">
        <w:rPr>
          <w:rFonts w:hint="cs"/>
          <w:rtl/>
        </w:rPr>
        <w:t xml:space="preserve"> این فرایند‌های </w:t>
      </w:r>
      <w:r w:rsidRPr="0025250D">
        <w:t>D&amp;D</w:t>
      </w:r>
      <w:r w:rsidRPr="0025250D">
        <w:rPr>
          <w:rFonts w:hint="cs"/>
          <w:rtl/>
        </w:rPr>
        <w:t xml:space="preserve"> در طول همه گیری جهانی اخیر خود بوده ایم. یک کلان روند واضح دیگر تمرکز نمایی بیش‌تر قدرت اقتصادی در بزرگترین و</w:t>
      </w:r>
      <w:r w:rsidR="008D6F97" w:rsidRPr="0025250D">
        <w:rPr>
          <w:rtl/>
        </w:rPr>
        <w:t xml:space="preserve"> </w:t>
      </w:r>
      <w:r w:rsidRPr="0025250D">
        <w:rPr>
          <w:rFonts w:hint="cs"/>
          <w:rtl/>
        </w:rPr>
        <w:t>متراکم‌ترین</w:t>
      </w:r>
      <w:r w:rsidR="008D6F97" w:rsidRPr="0025250D">
        <w:rPr>
          <w:rtl/>
        </w:rPr>
        <w:t xml:space="preserve"> </w:t>
      </w:r>
      <w:r w:rsidRPr="0025250D">
        <w:rPr>
          <w:rFonts w:hint="cs"/>
          <w:rtl/>
        </w:rPr>
        <w:t>نواحی شهری ما نسبت به نواحی رستایی است. کلان روند کم‌تر واضح دیگر مختص برخی شهر‌های دارای اندازه متوسط با تخصص‌های صنعتی خاص است که وقتی به خوبی به شهر‌های مشابه دیگر با همین تخصص‌ها متصل شوند، به شدت از شهر‌های بزرگ بهتر خواهند شد، زیرا همه شهر‌ها در مقابل هزینه‌ها و محدودیت‌های فزاینده رشد تسلیم می‌شوند. شهر‌های کوچک، مناطق، شرکت‌ها، تیم‌ها، گروه‌ها و افراد تخصصی مفید، در محیط بسیار مرتبط‌تر، متنوع‌تر و شبکه‌ای‌تر قرن 21 عملکرد بهتری خواهند داشت.</w:t>
      </w:r>
    </w:p>
    <w:p w14:paraId="7779C0A6" w14:textId="17E351FA" w:rsidR="00537CC8" w:rsidRPr="0025250D" w:rsidRDefault="00537CC8" w:rsidP="00537CC8">
      <w:pPr>
        <w:rPr>
          <w:rtl/>
        </w:rPr>
      </w:pPr>
      <w:r w:rsidRPr="0025250D">
        <w:rPr>
          <w:rFonts w:hint="cs"/>
          <w:rtl/>
        </w:rPr>
        <w:t>شبکه‌های کاملا مجازی، وقتی کارگزاران متنوع و پیچیده را به صورت متراکم و پیچیده حول هر محصول، خدمات یا مسئله پایدار ارتباط می‌دهند،</w:t>
      </w:r>
      <w:r w:rsidRPr="0025250D">
        <w:rPr>
          <w:rtl/>
        </w:rPr>
        <w:t xml:space="preserve"> </w:t>
      </w:r>
      <w:r w:rsidRPr="0025250D">
        <w:rPr>
          <w:rFonts w:hint="cs"/>
          <w:rtl/>
        </w:rPr>
        <w:t>رهبرانی</w:t>
      </w:r>
      <w:r w:rsidRPr="0025250D">
        <w:rPr>
          <w:rtl/>
        </w:rPr>
        <w:t xml:space="preserve"> </w:t>
      </w:r>
      <w:r w:rsidRPr="0025250D">
        <w:rPr>
          <w:rFonts w:hint="cs"/>
          <w:rtl/>
        </w:rPr>
        <w:t>اقتصادی</w:t>
      </w:r>
      <w:r w:rsidRPr="0025250D">
        <w:rPr>
          <w:rtl/>
        </w:rPr>
        <w:t xml:space="preserve"> </w:t>
      </w:r>
      <w:r w:rsidRPr="0025250D">
        <w:rPr>
          <w:rFonts w:hint="cs"/>
          <w:rtl/>
        </w:rPr>
        <w:t>خواهند</w:t>
      </w:r>
      <w:r w:rsidRPr="0025250D">
        <w:rPr>
          <w:rtl/>
        </w:rPr>
        <w:t xml:space="preserve"> </w:t>
      </w:r>
      <w:r w:rsidRPr="0025250D">
        <w:rPr>
          <w:rFonts w:hint="cs"/>
          <w:rtl/>
        </w:rPr>
        <w:t>بود. این امر البته</w:t>
      </w:r>
      <w:r w:rsidR="008D6F97" w:rsidRPr="0025250D">
        <w:rPr>
          <w:rtl/>
        </w:rPr>
        <w:t xml:space="preserve"> </w:t>
      </w:r>
      <w:r w:rsidRPr="0025250D">
        <w:rPr>
          <w:rFonts w:hint="cs"/>
          <w:rtl/>
        </w:rPr>
        <w:t>همان چیزی است که شرکت‌های چند ملیتی برتر ما امروزه در تلاش برای انجام آن هستند. آن‌ها به متخصصین شبکه تبدیل می‌شوند، نه صرفا بنگاه‌هایی چندپیشه</w:t>
      </w:r>
      <w:r w:rsidRPr="0025250D">
        <w:rPr>
          <w:vertAlign w:val="superscript"/>
          <w:rtl/>
        </w:rPr>
        <w:footnoteReference w:id="1534"/>
      </w:r>
      <w:r w:rsidRPr="0025250D">
        <w:rPr>
          <w:rFonts w:hint="cs"/>
          <w:rtl/>
        </w:rPr>
        <w:t xml:space="preserve">. همین تنوع، تراکم و پیچیدگی مفید شبکه‌های دانش، نیروی کار، فنی، اقتصادی و سیاسی و </w:t>
      </w:r>
      <w:r w:rsidR="00A936B3" w:rsidRPr="0025250D">
        <w:rPr>
          <w:rFonts w:hint="cs"/>
          <w:rtl/>
        </w:rPr>
        <w:t>همدلی</w:t>
      </w:r>
      <w:r w:rsidRPr="0025250D">
        <w:rPr>
          <w:rFonts w:hint="cs"/>
          <w:rtl/>
        </w:rPr>
        <w:t xml:space="preserve"> و مجموعه قوانین ماست که این پیچیدگی را حفظ می‌کند و در قلب </w:t>
      </w:r>
      <w:r w:rsidR="00B124DE" w:rsidRPr="0025250D">
        <w:rPr>
          <w:rFonts w:hint="cs"/>
          <w:rtl/>
        </w:rPr>
        <w:t>انطباق‌پذیر</w:t>
      </w:r>
      <w:r w:rsidRPr="0025250D">
        <w:rPr>
          <w:rFonts w:hint="cs"/>
          <w:rtl/>
        </w:rPr>
        <w:t xml:space="preserve">ی قرار دارد. چنین عواملی می‌توانند با تفکر </w:t>
      </w:r>
      <w:r w:rsidR="008D6F97" w:rsidRPr="0025250D">
        <w:rPr>
          <w:rFonts w:hint="cs"/>
          <w:rtl/>
        </w:rPr>
        <w:t>سامانه‌ای</w:t>
      </w:r>
      <w:r w:rsidRPr="0025250D">
        <w:rPr>
          <w:rFonts w:hint="cs"/>
          <w:rtl/>
        </w:rPr>
        <w:t xml:space="preserve"> مناسب تعریف، اندازه گیری و بهتر شوند. در حالی که آن‌ها امروزه گمانه‌ای بیش نیستند، امیدواریم که شما مدل‌های </w:t>
      </w:r>
      <w:r w:rsidRPr="0025250D">
        <w:rPr>
          <w:rtl/>
        </w:rPr>
        <w:t xml:space="preserve">تکاملی - توسعه‌ای </w:t>
      </w:r>
      <w:r w:rsidRPr="0025250D">
        <w:rPr>
          <w:rFonts w:hint="cs"/>
          <w:rtl/>
        </w:rPr>
        <w:t>را در سفر</w:t>
      </w:r>
      <w:r w:rsidRPr="0025250D">
        <w:rPr>
          <w:rtl/>
        </w:rPr>
        <w:t>آینده‌نگاری</w:t>
      </w:r>
      <w:r w:rsidRPr="0025250D">
        <w:rPr>
          <w:rFonts w:hint="cs"/>
          <w:rtl/>
        </w:rPr>
        <w:t xml:space="preserve"> خود مفید بیابید. دانستن این که چه متغیر‌هایی بیش از بقیه اهمیت دارند کلید تبدیل شدن به یک متخصص </w:t>
      </w:r>
      <w:r w:rsidR="00923DDB" w:rsidRPr="0025250D">
        <w:rPr>
          <w:rtl/>
        </w:rPr>
        <w:t>آینده‌نگاری انطباقی</w:t>
      </w:r>
      <w:r w:rsidRPr="0025250D">
        <w:rPr>
          <w:rFonts w:hint="cs"/>
          <w:rtl/>
        </w:rPr>
        <w:t xml:space="preserve"> و کارآمد است.</w:t>
      </w:r>
    </w:p>
    <w:p w14:paraId="14E0A90D" w14:textId="77777777" w:rsidR="00537CC8" w:rsidRPr="0025250D" w:rsidRDefault="00537CC8" w:rsidP="00537CC8">
      <w:pPr>
        <w:rPr>
          <w:rtl/>
        </w:rPr>
      </w:pPr>
    </w:p>
    <w:p w14:paraId="09C21E3C" w14:textId="77777777" w:rsidR="00537CC8" w:rsidRPr="0025250D" w:rsidRDefault="00537CC8" w:rsidP="00537CC8">
      <w:pPr>
        <w:rPr>
          <w:rtl/>
        </w:rPr>
      </w:pPr>
    </w:p>
    <w:p w14:paraId="770E9459" w14:textId="77777777" w:rsidR="00537CC8" w:rsidRPr="0025250D" w:rsidRDefault="00537CC8" w:rsidP="00537CC8">
      <w:pPr>
        <w:rPr>
          <w:rtl/>
        </w:rPr>
      </w:pPr>
    </w:p>
    <w:p w14:paraId="055E0F26" w14:textId="77777777" w:rsidR="00537CC8" w:rsidRPr="0025250D" w:rsidRDefault="00537CC8" w:rsidP="00537CC8">
      <w:pPr>
        <w:rPr>
          <w:rtl/>
        </w:rPr>
      </w:pPr>
    </w:p>
    <w:p w14:paraId="0477DF2E" w14:textId="77777777" w:rsidR="00537CC8" w:rsidRPr="0025250D" w:rsidRDefault="00537CC8" w:rsidP="00537CC8">
      <w:pPr>
        <w:rPr>
          <w:rtl/>
        </w:rPr>
      </w:pPr>
    </w:p>
    <w:p w14:paraId="05B987EF" w14:textId="77777777" w:rsidR="00537CC8" w:rsidRPr="0025250D" w:rsidRDefault="00537CC8" w:rsidP="00B25F58">
      <w:pPr>
        <w:pStyle w:val="Heading2"/>
        <w:rPr>
          <w:rtl/>
        </w:rPr>
      </w:pPr>
      <w:bookmarkStart w:id="49" w:name="_Toc127831314"/>
      <w:r w:rsidRPr="0025250D">
        <w:rPr>
          <w:rFonts w:hint="cs"/>
          <w:rtl/>
        </w:rPr>
        <w:t xml:space="preserve">هفت وظیفه </w:t>
      </w:r>
      <w:r w:rsidRPr="0025250D">
        <w:rPr>
          <w:rtl/>
        </w:rPr>
        <w:t>آینده‌نگاری</w:t>
      </w:r>
      <w:r w:rsidRPr="0025250D">
        <w:rPr>
          <w:rFonts w:hint="cs"/>
          <w:rtl/>
        </w:rPr>
        <w:t xml:space="preserve"> تخصصی</w:t>
      </w:r>
      <w:bookmarkEnd w:id="49"/>
    </w:p>
    <w:p w14:paraId="39A09359" w14:textId="77777777" w:rsidR="00537CC8" w:rsidRPr="0025250D" w:rsidRDefault="00537CC8" w:rsidP="00F004A5">
      <w:pPr>
        <w:jc w:val="center"/>
        <w:rPr>
          <w:rtl/>
        </w:rPr>
      </w:pPr>
      <w:r w:rsidRPr="0025250D">
        <w:rPr>
          <w:noProof/>
          <w:rtl/>
          <w:lang w:bidi="ar-SA"/>
        </w:rPr>
        <w:drawing>
          <wp:inline distT="0" distB="0" distL="0" distR="0" wp14:anchorId="144843F3" wp14:editId="4E48573B">
            <wp:extent cx="4667416" cy="1484264"/>
            <wp:effectExtent l="0" t="0" r="0" b="1905"/>
            <wp:docPr id="93" name="Picture 93" descr="D:\کار\مستقل\3 ( ترجمه ی دانشگاه تهران  )\Introduction to Foresight\part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کار\مستقل\3 ( ترجمه ی دانشگاه تهران  )\Introduction to Foresight\part4\11.png"/>
                    <pic:cNvPicPr>
                      <a:picLocks noChangeAspect="1" noChangeArrowheads="1"/>
                    </pic:cNvPicPr>
                  </pic:nvPicPr>
                  <pic:blipFill rotWithShape="1">
                    <a:blip r:embed="rId144" cstate="screen">
                      <a:extLst>
                        <a:ext uri="{BEBA8EAE-BF5A-486C-A8C5-ECC9F3942E4B}">
                          <a14:imgProps xmlns:a14="http://schemas.microsoft.com/office/drawing/2010/main">
                            <a14:imgLayer r:embed="rId145">
                              <a14:imgEffect>
                                <a14:saturation sat="0"/>
                              </a14:imgEffect>
                            </a14:imgLayer>
                          </a14:imgProps>
                        </a:ext>
                        <a:ext uri="{28A0092B-C50C-407E-A947-70E740481C1C}">
                          <a14:useLocalDpi xmlns:a14="http://schemas.microsoft.com/office/drawing/2010/main"/>
                        </a:ext>
                      </a:extLst>
                    </a:blip>
                    <a:srcRect/>
                    <a:stretch/>
                  </pic:blipFill>
                  <pic:spPr bwMode="auto">
                    <a:xfrm>
                      <a:off x="0" y="0"/>
                      <a:ext cx="4693942" cy="1492700"/>
                    </a:xfrm>
                    <a:prstGeom prst="rect">
                      <a:avLst/>
                    </a:prstGeom>
                    <a:noFill/>
                    <a:ln>
                      <a:noFill/>
                    </a:ln>
                    <a:extLst>
                      <a:ext uri="{53640926-AAD7-44D8-BBD7-CCE9431645EC}">
                        <a14:shadowObscured xmlns:a14="http://schemas.microsoft.com/office/drawing/2010/main"/>
                      </a:ext>
                    </a:extLst>
                  </pic:spPr>
                </pic:pic>
              </a:graphicData>
            </a:graphic>
          </wp:inline>
        </w:drawing>
      </w:r>
    </w:p>
    <w:p w14:paraId="604187A9" w14:textId="365120EF" w:rsidR="00537CC8" w:rsidRPr="0025250D" w:rsidRDefault="00537CC8" w:rsidP="00F156A3">
      <w:pPr>
        <w:rPr>
          <w:rtl/>
        </w:rPr>
      </w:pPr>
      <w:r w:rsidRPr="0025250D">
        <w:rPr>
          <w:rFonts w:hint="cs"/>
          <w:rtl/>
        </w:rPr>
        <w:t>سفر به آینده‌های بهتر، استفاده از هفت وظیفه (</w:t>
      </w:r>
      <w:r w:rsidRPr="0025250D">
        <w:t>REOPS</w:t>
      </w:r>
      <w:r w:rsidRPr="0025250D">
        <w:rPr>
          <w:rFonts w:hint="cs"/>
          <w:rtl/>
        </w:rPr>
        <w:t>، عمل و بازبینی)</w:t>
      </w:r>
    </w:p>
    <w:p w14:paraId="4CFE3F6D" w14:textId="53DC34E5" w:rsidR="00537CC8" w:rsidRPr="0025250D" w:rsidRDefault="00537CC8" w:rsidP="0063099E">
      <w:pPr>
        <w:rPr>
          <w:rtl/>
        </w:rPr>
      </w:pPr>
      <w:r w:rsidRPr="0025250D">
        <w:rPr>
          <w:rFonts w:hint="cs"/>
          <w:rtl/>
        </w:rPr>
        <w:t>ساده‌ترین</w:t>
      </w:r>
      <w:r w:rsidR="008D6F97" w:rsidRPr="0025250D">
        <w:rPr>
          <w:rtl/>
        </w:rPr>
        <w:t xml:space="preserve"> </w:t>
      </w:r>
      <w:r w:rsidR="00B13F65" w:rsidRPr="0025250D">
        <w:rPr>
          <w:rFonts w:hint="cs"/>
          <w:rtl/>
        </w:rPr>
        <w:t>چارچوب</w:t>
      </w:r>
      <w:r w:rsidRPr="0025250D">
        <w:rPr>
          <w:rFonts w:hint="cs"/>
          <w:rtl/>
        </w:rPr>
        <w:t xml:space="preserve"> عملی که ما برای متخصصین </w:t>
      </w:r>
      <w:r w:rsidRPr="0025250D">
        <w:rPr>
          <w:rtl/>
        </w:rPr>
        <w:t>آینده‌نگاری</w:t>
      </w:r>
      <w:r w:rsidRPr="0025250D">
        <w:rPr>
          <w:rFonts w:hint="cs"/>
          <w:rtl/>
        </w:rPr>
        <w:t xml:space="preserve"> پیشنهاد</w:t>
      </w:r>
      <w:r w:rsidRPr="0025250D">
        <w:rPr>
          <w:rtl/>
        </w:rPr>
        <w:t xml:space="preserve"> می‌</w:t>
      </w:r>
      <w:r w:rsidRPr="0025250D">
        <w:rPr>
          <w:rFonts w:hint="cs"/>
          <w:rtl/>
        </w:rPr>
        <w:t xml:space="preserve">کنیم چرخه </w:t>
      </w:r>
      <w:r w:rsidRPr="0025250D">
        <w:t>REOPS</w:t>
      </w:r>
      <w:r w:rsidRPr="0025250D">
        <w:rPr>
          <w:rFonts w:hint="cs"/>
          <w:rtl/>
        </w:rPr>
        <w:t xml:space="preserve"> (یادگیری و چهار </w:t>
      </w:r>
      <w:r w:rsidRPr="0025250D">
        <w:t>P</w:t>
      </w:r>
      <w:r w:rsidRPr="0025250D">
        <w:rPr>
          <w:rFonts w:hint="cs"/>
          <w:rtl/>
        </w:rPr>
        <w:t>) و حلقه انجام</w:t>
      </w:r>
      <w:r w:rsidR="00F627B4" w:rsidRPr="0025250D">
        <w:rPr>
          <w:rFonts w:hint="cs"/>
          <w:rtl/>
        </w:rPr>
        <w:t xml:space="preserve"> به عنوان</w:t>
      </w:r>
      <w:r w:rsidRPr="0025250D">
        <w:rPr>
          <w:rFonts w:hint="cs"/>
          <w:rtl/>
        </w:rPr>
        <w:t xml:space="preserve"> دو مدل فراگیر از </w:t>
      </w:r>
      <w:r w:rsidRPr="0025250D">
        <w:rPr>
          <w:rtl/>
        </w:rPr>
        <w:t>آینده‌نگاری</w:t>
      </w:r>
      <w:r w:rsidRPr="0025250D">
        <w:rPr>
          <w:rFonts w:hint="cs"/>
          <w:rtl/>
        </w:rPr>
        <w:t xml:space="preserve"> و عمل یکپارچه را ترکیب می‌کند. با توجه به این که وظایف چهار</w:t>
      </w:r>
      <w:r w:rsidR="0063099E" w:rsidRPr="0025250D">
        <w:rPr>
          <w:rFonts w:hint="cs"/>
          <w:rtl/>
        </w:rPr>
        <w:t xml:space="preserve"> </w:t>
      </w:r>
      <w:r w:rsidR="0063099E" w:rsidRPr="0025250D">
        <w:t>P</w:t>
      </w:r>
      <w:r w:rsidR="0063099E" w:rsidRPr="0025250D">
        <w:rPr>
          <w:rFonts w:hint="cs"/>
          <w:rtl/>
        </w:rPr>
        <w:t xml:space="preserve"> </w:t>
      </w:r>
      <w:r w:rsidRPr="0025250D">
        <w:rPr>
          <w:rFonts w:hint="cs"/>
          <w:rtl/>
        </w:rPr>
        <w:t>از هرم تکامل</w:t>
      </w:r>
      <w:r w:rsidR="00F627B4" w:rsidRPr="0025250D">
        <w:rPr>
          <w:rFonts w:hint="cs"/>
          <w:rtl/>
        </w:rPr>
        <w:t>ی</w:t>
      </w:r>
      <w:r w:rsidRPr="0025250D">
        <w:rPr>
          <w:rFonts w:hint="cs"/>
          <w:rtl/>
        </w:rPr>
        <w:t>-توسعه</w:t>
      </w:r>
      <w:r w:rsidR="00F627B4" w:rsidRPr="0025250D">
        <w:rPr>
          <w:rFonts w:hint="cs"/>
          <w:rtl/>
        </w:rPr>
        <w:t>‌ای</w:t>
      </w:r>
      <w:r w:rsidRPr="0025250D">
        <w:rPr>
          <w:rFonts w:hint="cs"/>
          <w:rtl/>
        </w:rPr>
        <w:t xml:space="preserve"> برداشت می‌شوند، شامل مدیریت </w:t>
      </w:r>
      <w:r w:rsidR="002B6515" w:rsidRPr="0025250D">
        <w:rPr>
          <w:rtl/>
        </w:rPr>
        <w:t>حس‌داد</w:t>
      </w:r>
      <w:r w:rsidRPr="0025250D">
        <w:rPr>
          <w:rFonts w:hint="cs"/>
          <w:rtl/>
        </w:rPr>
        <w:t xml:space="preserve">، اهداف و ارزش‌ها نیز می‌شود. ما آن را هفت وظیفه </w:t>
      </w:r>
      <w:r w:rsidRPr="0025250D">
        <w:rPr>
          <w:rtl/>
        </w:rPr>
        <w:t>آینده‌نگاری</w:t>
      </w:r>
      <w:r w:rsidRPr="0025250D">
        <w:rPr>
          <w:rFonts w:hint="cs"/>
          <w:rtl/>
        </w:rPr>
        <w:t xml:space="preserve"> تخصصی می‌نامیم و این وظایف تنها پنج گام </w:t>
      </w:r>
      <w:r w:rsidRPr="0025250D">
        <w:rPr>
          <w:rtl/>
        </w:rPr>
        <w:t>آینده‌نگاری</w:t>
      </w:r>
      <w:r w:rsidRPr="0025250D">
        <w:rPr>
          <w:rFonts w:hint="cs"/>
          <w:rtl/>
        </w:rPr>
        <w:t xml:space="preserve"> تخصصی </w:t>
      </w:r>
      <w:r w:rsidR="003C60A1" w:rsidRPr="0025250D">
        <w:rPr>
          <w:rFonts w:hint="cs"/>
          <w:rtl/>
        </w:rPr>
        <w:t>به همراه</w:t>
      </w:r>
      <w:r w:rsidRPr="0025250D">
        <w:rPr>
          <w:rFonts w:hint="cs"/>
          <w:rtl/>
        </w:rPr>
        <w:t xml:space="preserve"> دو گام نهایی تسهیل اقدام مشتری و بازبینی، هستند. این وظایف برترین مسئولیت‌های تخصصی را به ما و کارسپاران ما یادآوری می‌کنند. ما از اصطلاح کارسپار در اینجا برای اشاره به هر کسی که به دنبال کار </w:t>
      </w:r>
      <w:r w:rsidRPr="0025250D">
        <w:rPr>
          <w:rtl/>
        </w:rPr>
        <w:t>آینده‌نگاری</w:t>
      </w:r>
      <w:r w:rsidRPr="0025250D">
        <w:rPr>
          <w:rFonts w:hint="cs"/>
          <w:rtl/>
        </w:rPr>
        <w:t xml:space="preserve"> در هر زمینه‌ای می‌باشد استفاده می‌کنیم.</w:t>
      </w:r>
    </w:p>
    <w:p w14:paraId="50D41B0D" w14:textId="610D9B39" w:rsidR="00537CC8" w:rsidRPr="0025250D" w:rsidRDefault="00537CC8" w:rsidP="00537CC8">
      <w:pPr>
        <w:rPr>
          <w:rtl/>
        </w:rPr>
      </w:pPr>
      <w:r w:rsidRPr="0025250D">
        <w:rPr>
          <w:rFonts w:hint="cs"/>
          <w:rtl/>
        </w:rPr>
        <w:t xml:space="preserve">بر طبق هفت وظیفه، یک متخصص </w:t>
      </w:r>
      <w:r w:rsidRPr="0025250D">
        <w:rPr>
          <w:rtl/>
        </w:rPr>
        <w:t>آینده‌نگاری</w:t>
      </w:r>
      <w:r w:rsidRPr="0025250D">
        <w:rPr>
          <w:rFonts w:hint="cs"/>
          <w:rtl/>
        </w:rPr>
        <w:t xml:space="preserve"> باید در این موارد خوب باشد:</w:t>
      </w:r>
    </w:p>
    <w:p w14:paraId="741EB57C" w14:textId="32823014" w:rsidR="00537CC8" w:rsidRPr="0025250D" w:rsidRDefault="00537CC8" w:rsidP="00492C47">
      <w:pPr>
        <w:numPr>
          <w:ilvl w:val="0"/>
          <w:numId w:val="38"/>
        </w:numPr>
        <w:rPr>
          <w:rtl/>
        </w:rPr>
      </w:pPr>
      <w:r w:rsidRPr="0025250D">
        <w:rPr>
          <w:rFonts w:hint="cs"/>
          <w:b/>
          <w:bCs/>
          <w:rtl/>
        </w:rPr>
        <w:t>یادگیری (تحقیق).</w:t>
      </w:r>
      <w:r w:rsidRPr="0025250D">
        <w:rPr>
          <w:rFonts w:hint="cs"/>
          <w:rtl/>
        </w:rPr>
        <w:t xml:space="preserve"> اولین وظیفه هر متخصص </w:t>
      </w:r>
      <w:r w:rsidRPr="0025250D">
        <w:rPr>
          <w:rtl/>
        </w:rPr>
        <w:t>آینده‌نگاری</w:t>
      </w:r>
      <w:r w:rsidRPr="0025250D">
        <w:rPr>
          <w:rFonts w:hint="cs"/>
          <w:rtl/>
        </w:rPr>
        <w:t xml:space="preserve"> خوب کمک به کارسپار خود برای یادگیری مرتبط درمورد محیط گذشته و حال خود می‌باشد که می‌تواند مشخصا برای مسائل و آینده </w:t>
      </w:r>
      <w:r w:rsidR="003C60A1" w:rsidRPr="0025250D">
        <w:rPr>
          <w:rFonts w:hint="cs"/>
          <w:rtl/>
        </w:rPr>
        <w:t>آ</w:t>
      </w:r>
      <w:r w:rsidRPr="0025250D">
        <w:rPr>
          <w:rFonts w:hint="cs"/>
          <w:rtl/>
        </w:rPr>
        <w:t>ن مفید باشد. این کار با یادگیری درمورد این که کارسپار فکر می‌کند که چه مسئله و مشکلی باید حل شود یا چه خدماتی درخواست کرده است آغاز می‌شود. این کار همچنین شامل تحقیق، افق پویی</w:t>
      </w:r>
      <w:r w:rsidRPr="0025250D">
        <w:rPr>
          <w:vertAlign w:val="superscript"/>
          <w:rtl/>
        </w:rPr>
        <w:footnoteReference w:id="1535"/>
      </w:r>
      <w:r w:rsidRPr="0025250D">
        <w:rPr>
          <w:rFonts w:hint="cs"/>
          <w:rtl/>
        </w:rPr>
        <w:t xml:space="preserve"> و اطلاعات می‌شود و می‌تواند شامل ارزیابی مجدد مسئله و خدمات در نتیجه آنچه آموخته می‌شود باشد. همچنین می‌تواند شامل کمک به کارسپار برای بهبود انگیزه و ظرفیت یادگیری خود و ایجاد عادات یادگیری و فرهنگ یادگیری خوب باشد.</w:t>
      </w:r>
    </w:p>
    <w:p w14:paraId="5925483D" w14:textId="51B6F595" w:rsidR="00537CC8" w:rsidRPr="0025250D" w:rsidRDefault="00923DDB" w:rsidP="00492C47">
      <w:pPr>
        <w:numPr>
          <w:ilvl w:val="0"/>
          <w:numId w:val="38"/>
        </w:numPr>
        <w:rPr>
          <w:rtl/>
        </w:rPr>
      </w:pPr>
      <w:r w:rsidRPr="0025250D">
        <w:rPr>
          <w:rFonts w:hint="cs"/>
          <w:b/>
          <w:bCs/>
          <w:rtl/>
        </w:rPr>
        <w:t>پیش‌انگاری</w:t>
      </w:r>
      <w:r w:rsidR="00537CC8" w:rsidRPr="0025250D">
        <w:rPr>
          <w:rFonts w:hint="cs"/>
          <w:b/>
          <w:bCs/>
          <w:rtl/>
        </w:rPr>
        <w:t xml:space="preserve"> (انتظارات).</w:t>
      </w:r>
      <w:r w:rsidR="00537CC8" w:rsidRPr="0025250D">
        <w:rPr>
          <w:rFonts w:hint="cs"/>
          <w:rtl/>
        </w:rPr>
        <w:t xml:space="preserve"> دومین وظیفه متخصص کمک به کارسپاران خود برای پرده برداری از جنبه‌های آینده محتملی است که می‌تواند با مسئله، خدمت، </w:t>
      </w:r>
      <w:r w:rsidR="00701E03" w:rsidRPr="0025250D">
        <w:rPr>
          <w:rFonts w:hint="cs"/>
          <w:rtl/>
        </w:rPr>
        <w:t>راهبرد</w:t>
      </w:r>
      <w:r w:rsidR="00537CC8" w:rsidRPr="0025250D">
        <w:rPr>
          <w:rFonts w:hint="cs"/>
          <w:rtl/>
        </w:rPr>
        <w:t xml:space="preserve"> یا عمل ارتباط داشته باشد. این امر شامل کمک به کارسپاران برای تشخیص روند‌ها و قیود، نقد و رد آینده‌های غیر محتمل (کاهش عدم قطعیت)، انجام </w:t>
      </w:r>
      <w:r w:rsidR="00FB6A7E" w:rsidRPr="0025250D">
        <w:rPr>
          <w:rFonts w:hint="cs"/>
          <w:rtl/>
        </w:rPr>
        <w:t>پیش‌نگری</w:t>
      </w:r>
      <w:r w:rsidR="00537CC8" w:rsidRPr="0025250D">
        <w:rPr>
          <w:rFonts w:hint="cs"/>
          <w:rtl/>
        </w:rPr>
        <w:t xml:space="preserve">‌ها، </w:t>
      </w:r>
      <w:r w:rsidR="00537CC8" w:rsidRPr="0025250D">
        <w:rPr>
          <w:rtl/>
        </w:rPr>
        <w:t>مشاوره در مورد شرط بند</w:t>
      </w:r>
      <w:r w:rsidR="00537CC8" w:rsidRPr="0025250D">
        <w:rPr>
          <w:rFonts w:hint="cs"/>
          <w:rtl/>
        </w:rPr>
        <w:t>ی ها</w:t>
      </w:r>
      <w:r w:rsidR="00537CC8" w:rsidRPr="0025250D">
        <w:rPr>
          <w:vertAlign w:val="superscript"/>
          <w:rtl/>
        </w:rPr>
        <w:footnoteReference w:id="1536"/>
      </w:r>
      <w:r w:rsidR="00537CC8" w:rsidRPr="0025250D">
        <w:rPr>
          <w:rFonts w:hint="cs"/>
          <w:rtl/>
        </w:rPr>
        <w:t xml:space="preserve">، یافتن همگرایی‌ها و </w:t>
      </w:r>
      <w:r w:rsidR="00D92F6E" w:rsidRPr="0025250D">
        <w:rPr>
          <w:rFonts w:hint="cs"/>
          <w:rtl/>
        </w:rPr>
        <w:t>پیش‌بین</w:t>
      </w:r>
      <w:r w:rsidR="00537CC8" w:rsidRPr="0025250D">
        <w:rPr>
          <w:rFonts w:hint="cs"/>
          <w:rtl/>
        </w:rPr>
        <w:t>ی هنگامی که احتمالات به نظر بالا هستند می‌شود.</w:t>
      </w:r>
    </w:p>
    <w:p w14:paraId="06511F1C" w14:textId="75DD6F85" w:rsidR="00537CC8" w:rsidRPr="0025250D" w:rsidRDefault="00537CC8" w:rsidP="00492C47">
      <w:pPr>
        <w:numPr>
          <w:ilvl w:val="0"/>
          <w:numId w:val="38"/>
        </w:numPr>
        <w:rPr>
          <w:rtl/>
        </w:rPr>
      </w:pPr>
      <w:r w:rsidRPr="0025250D">
        <w:rPr>
          <w:rFonts w:hint="cs"/>
          <w:b/>
          <w:bCs/>
          <w:rtl/>
        </w:rPr>
        <w:t>نوآوری (گزینه ها).</w:t>
      </w:r>
      <w:r w:rsidRPr="0025250D">
        <w:rPr>
          <w:rFonts w:hint="cs"/>
          <w:rtl/>
        </w:rPr>
        <w:t xml:space="preserve"> سومین وظیفه این متخصص کمک به کارسپاران خود برای تصور بهتر و ایجاد جنبه‌هایی از آینده ممکن مرتبط با مسئله، خدمت، </w:t>
      </w:r>
      <w:r w:rsidR="00701E03" w:rsidRPr="0025250D">
        <w:rPr>
          <w:rFonts w:hint="cs"/>
          <w:rtl/>
        </w:rPr>
        <w:t>راهبرد</w:t>
      </w:r>
      <w:r w:rsidRPr="0025250D">
        <w:rPr>
          <w:rFonts w:hint="cs"/>
          <w:rtl/>
        </w:rPr>
        <w:t xml:space="preserve"> یا عمل است. این امر می‌تواند شامل کمک به کارسپار در تفکر خلاق و طراحی، نمونه سازی، طوفان فکری، فرانامه‌ها، </w:t>
      </w:r>
      <w:r w:rsidR="00923DDB" w:rsidRPr="0025250D">
        <w:rPr>
          <w:rFonts w:hint="cs"/>
          <w:rtl/>
        </w:rPr>
        <w:t>شگفتی‌ساز</w:t>
      </w:r>
      <w:r w:rsidRPr="0025250D">
        <w:rPr>
          <w:rFonts w:hint="cs"/>
          <w:rtl/>
        </w:rPr>
        <w:t xml:space="preserve">‌ها و دیگر انواع تولید آینده‌های </w:t>
      </w:r>
      <w:r w:rsidR="00563645" w:rsidRPr="0025250D">
        <w:rPr>
          <w:rFonts w:hint="cs"/>
          <w:rtl/>
        </w:rPr>
        <w:t>بدیل</w:t>
      </w:r>
      <w:r w:rsidRPr="0025250D">
        <w:rPr>
          <w:rFonts w:hint="cs"/>
          <w:rtl/>
        </w:rPr>
        <w:t xml:space="preserve"> باشد.</w:t>
      </w:r>
    </w:p>
    <w:p w14:paraId="71232B91" w14:textId="5CB01237" w:rsidR="00537CC8" w:rsidRPr="0025250D" w:rsidRDefault="00701E03" w:rsidP="00492C47">
      <w:pPr>
        <w:numPr>
          <w:ilvl w:val="0"/>
          <w:numId w:val="38"/>
        </w:numPr>
        <w:rPr>
          <w:rtl/>
        </w:rPr>
      </w:pPr>
      <w:r w:rsidRPr="0025250D">
        <w:rPr>
          <w:rFonts w:hint="cs"/>
          <w:b/>
          <w:bCs/>
          <w:rtl/>
        </w:rPr>
        <w:t>راهبرد</w:t>
      </w:r>
      <w:r w:rsidR="00537CC8" w:rsidRPr="0025250D">
        <w:rPr>
          <w:rFonts w:hint="cs"/>
          <w:b/>
          <w:bCs/>
          <w:rtl/>
        </w:rPr>
        <w:t xml:space="preserve"> مرجح (اولویت ها). </w:t>
      </w:r>
      <w:r w:rsidR="00537CC8" w:rsidRPr="0025250D">
        <w:rPr>
          <w:rFonts w:hint="cs"/>
          <w:rtl/>
        </w:rPr>
        <w:t xml:space="preserve">چهارمین وظیفه متخصص استفاده از ذهنیت </w:t>
      </w:r>
      <w:r w:rsidR="007118DE" w:rsidRPr="0025250D">
        <w:rPr>
          <w:rFonts w:hint="cs"/>
          <w:rtl/>
        </w:rPr>
        <w:t>اولویت‌بندی</w:t>
      </w:r>
      <w:r w:rsidR="00537CC8" w:rsidRPr="0025250D">
        <w:rPr>
          <w:rFonts w:hint="cs"/>
          <w:rtl/>
        </w:rPr>
        <w:t xml:space="preserve"> و خوش بینی </w:t>
      </w:r>
      <w:r w:rsidRPr="0025250D">
        <w:rPr>
          <w:rFonts w:hint="cs"/>
          <w:rtl/>
        </w:rPr>
        <w:t>راهبرد</w:t>
      </w:r>
      <w:r w:rsidR="003C60A1" w:rsidRPr="0025250D">
        <w:rPr>
          <w:rFonts w:hint="cs"/>
          <w:rtl/>
        </w:rPr>
        <w:t>ی</w:t>
      </w:r>
      <w:r w:rsidR="00537CC8" w:rsidRPr="0025250D">
        <w:rPr>
          <w:rFonts w:hint="cs"/>
          <w:rtl/>
        </w:rPr>
        <w:t xml:space="preserve">، </w:t>
      </w:r>
      <w:r w:rsidR="003C60A1" w:rsidRPr="0025250D">
        <w:rPr>
          <w:rFonts w:hint="cs"/>
          <w:rtl/>
        </w:rPr>
        <w:t>به‌منظور</w:t>
      </w:r>
      <w:r w:rsidR="00537CC8" w:rsidRPr="0025250D">
        <w:rPr>
          <w:rFonts w:hint="cs"/>
          <w:rtl/>
        </w:rPr>
        <w:t xml:space="preserve"> کمک به کارسپار خود برای داشتن دید بهتر و </w:t>
      </w:r>
      <w:r w:rsidR="00B124DE" w:rsidRPr="0025250D">
        <w:rPr>
          <w:rFonts w:hint="cs"/>
          <w:rtl/>
        </w:rPr>
        <w:t>برنامه‌ریزی</w:t>
      </w:r>
      <w:r w:rsidR="00537CC8" w:rsidRPr="0025250D">
        <w:rPr>
          <w:rFonts w:hint="cs"/>
          <w:rtl/>
        </w:rPr>
        <w:t xml:space="preserve"> بهتر برای مرجح‌ترین</w:t>
      </w:r>
      <w:r w:rsidR="008D6F97" w:rsidRPr="0025250D">
        <w:rPr>
          <w:rtl/>
        </w:rPr>
        <w:t xml:space="preserve"> </w:t>
      </w:r>
      <w:r w:rsidR="00537CC8" w:rsidRPr="0025250D">
        <w:rPr>
          <w:rFonts w:hint="cs"/>
          <w:rtl/>
        </w:rPr>
        <w:t xml:space="preserve">آینده‌های خود است. این امر می‌تواند شامل کمک به کارسپار، به صورت رسمی یا غیر رسمی، با </w:t>
      </w:r>
      <w:r w:rsidR="00EE4B64" w:rsidRPr="0025250D">
        <w:rPr>
          <w:rFonts w:hint="cs"/>
          <w:rtl/>
        </w:rPr>
        <w:t>چشم‌اندازسازی</w:t>
      </w:r>
      <w:r w:rsidR="00537CC8" w:rsidRPr="0025250D">
        <w:rPr>
          <w:rFonts w:hint="cs"/>
          <w:rtl/>
        </w:rPr>
        <w:t xml:space="preserve">، تنظیم اهداف، تحلیل تصمیم‌ها، درون داد‌های ذینفعان، تشخیص مشکلات، ایجاد </w:t>
      </w:r>
      <w:r w:rsidRPr="0025250D">
        <w:rPr>
          <w:rFonts w:hint="cs"/>
          <w:rtl/>
        </w:rPr>
        <w:t>راهبرد</w:t>
      </w:r>
      <w:r w:rsidR="00537CC8" w:rsidRPr="0025250D">
        <w:rPr>
          <w:rFonts w:hint="cs"/>
          <w:rtl/>
        </w:rPr>
        <w:t xml:space="preserve"> و تولید برنامه‌های اجرایی و به خوبی نقد شده باشد. قرار گیری در فضا و ذهنیت مناسب برای دیدن ارزشمند‌ترین</w:t>
      </w:r>
      <w:r w:rsidR="008D6F97" w:rsidRPr="0025250D">
        <w:rPr>
          <w:rtl/>
        </w:rPr>
        <w:t xml:space="preserve"> </w:t>
      </w:r>
      <w:r w:rsidR="00537CC8" w:rsidRPr="0025250D">
        <w:rPr>
          <w:rFonts w:hint="cs"/>
          <w:rtl/>
        </w:rPr>
        <w:t>فرصت‌ها می‌تواند مستلزم عقب نشینی کارسپار، کارگاه‌ها و دیگر راهنمایی‌ها است.</w:t>
      </w:r>
    </w:p>
    <w:p w14:paraId="6D4B54EE" w14:textId="0E39CE51" w:rsidR="00537CC8" w:rsidRPr="0025250D" w:rsidRDefault="00701E03" w:rsidP="00492C47">
      <w:pPr>
        <w:numPr>
          <w:ilvl w:val="0"/>
          <w:numId w:val="38"/>
        </w:numPr>
        <w:rPr>
          <w:rtl/>
        </w:rPr>
      </w:pPr>
      <w:r w:rsidRPr="0025250D">
        <w:rPr>
          <w:rFonts w:hint="cs"/>
          <w:b/>
          <w:bCs/>
          <w:rtl/>
        </w:rPr>
        <w:t>راهبرد</w:t>
      </w:r>
      <w:r w:rsidR="00537CC8" w:rsidRPr="0025250D">
        <w:rPr>
          <w:rFonts w:hint="cs"/>
          <w:b/>
          <w:bCs/>
          <w:rtl/>
        </w:rPr>
        <w:t xml:space="preserve"> اجتناب (عقبگردها).</w:t>
      </w:r>
      <w:r w:rsidR="00537CC8" w:rsidRPr="0025250D">
        <w:rPr>
          <w:rFonts w:hint="cs"/>
          <w:rtl/>
        </w:rPr>
        <w:t xml:space="preserve"> پنجمین وظیفه متخصص توصیف موانع، نواقص و تله‌های </w:t>
      </w:r>
      <w:r w:rsidR="00923DDB" w:rsidRPr="0025250D">
        <w:rPr>
          <w:rFonts w:hint="cs"/>
          <w:rtl/>
        </w:rPr>
        <w:t>باورپذیر</w:t>
      </w:r>
      <w:r w:rsidR="00537CC8" w:rsidRPr="0025250D">
        <w:rPr>
          <w:rFonts w:hint="cs"/>
          <w:rtl/>
        </w:rPr>
        <w:t xml:space="preserve">ی است که ممکن است اولویت‌ها و برنامه‌های آن‌ها را تهدید کنند. </w:t>
      </w:r>
      <w:r w:rsidR="00B13F65" w:rsidRPr="0025250D">
        <w:rPr>
          <w:rFonts w:hint="cs"/>
          <w:rtl/>
        </w:rPr>
        <w:t>چارچوب</w:t>
      </w:r>
      <w:r w:rsidR="00537CC8" w:rsidRPr="0025250D">
        <w:rPr>
          <w:rFonts w:hint="cs"/>
          <w:rtl/>
        </w:rPr>
        <w:t xml:space="preserve">‌های تحلیلی مانند </w:t>
      </w:r>
      <w:r w:rsidR="00537CC8" w:rsidRPr="0025250D">
        <w:t>ADOR</w:t>
      </w:r>
      <w:r w:rsidR="00537CC8" w:rsidRPr="0025250D">
        <w:rPr>
          <w:rFonts w:hint="cs"/>
          <w:rtl/>
        </w:rPr>
        <w:t xml:space="preserve"> (مزیت، </w:t>
      </w:r>
      <w:r w:rsidR="00D92F6E" w:rsidRPr="0025250D">
        <w:rPr>
          <w:rFonts w:hint="cs"/>
          <w:rtl/>
        </w:rPr>
        <w:t>بنیان‌افکن</w:t>
      </w:r>
      <w:r w:rsidR="00537CC8" w:rsidRPr="0025250D">
        <w:rPr>
          <w:rFonts w:hint="cs"/>
          <w:rtl/>
        </w:rPr>
        <w:t xml:space="preserve">ی، فرصت و ریسک) و تقابل </w:t>
      </w:r>
      <w:r w:rsidR="00D92F6E" w:rsidRPr="0025250D">
        <w:rPr>
          <w:rFonts w:hint="cs"/>
          <w:rtl/>
        </w:rPr>
        <w:t>پیش‌بین</w:t>
      </w:r>
      <w:r w:rsidR="00537CC8" w:rsidRPr="0025250D">
        <w:rPr>
          <w:rFonts w:hint="cs"/>
          <w:rtl/>
        </w:rPr>
        <w:t xml:space="preserve"> و </w:t>
      </w:r>
      <w:r w:rsidR="002B6515" w:rsidRPr="0025250D">
        <w:rPr>
          <w:rtl/>
        </w:rPr>
        <w:t>حس‌داد</w:t>
      </w:r>
      <w:r w:rsidR="00537CC8" w:rsidRPr="0025250D">
        <w:rPr>
          <w:rFonts w:hint="cs"/>
          <w:rtl/>
        </w:rPr>
        <w:t xml:space="preserve"> (چهار </w:t>
      </w:r>
      <w:r w:rsidR="00537CC8" w:rsidRPr="0025250D">
        <w:t>P</w:t>
      </w:r>
      <w:r w:rsidR="00537CC8" w:rsidRPr="0025250D">
        <w:rPr>
          <w:rFonts w:hint="cs"/>
          <w:rtl/>
        </w:rPr>
        <w:t xml:space="preserve">) می‌توانند به شدت به ایجاد </w:t>
      </w:r>
      <w:r w:rsidRPr="0025250D">
        <w:rPr>
          <w:rFonts w:hint="cs"/>
          <w:rtl/>
        </w:rPr>
        <w:t>راهبرد</w:t>
      </w:r>
      <w:r w:rsidR="00537CC8" w:rsidRPr="0025250D">
        <w:rPr>
          <w:rFonts w:hint="cs"/>
          <w:rtl/>
        </w:rPr>
        <w:t xml:space="preserve"> </w:t>
      </w:r>
      <w:r w:rsidR="003C60A1" w:rsidRPr="0025250D">
        <w:rPr>
          <w:rFonts w:hint="cs"/>
          <w:rtl/>
        </w:rPr>
        <w:t>تدافعی</w:t>
      </w:r>
      <w:r w:rsidR="00537CC8" w:rsidRPr="0025250D">
        <w:rPr>
          <w:rFonts w:hint="cs"/>
          <w:rtl/>
        </w:rPr>
        <w:t xml:space="preserve"> کمک کنند. داشتن فضا و ذهنیت لازم برای دیدن باورپذیر‌ترین</w:t>
      </w:r>
      <w:r w:rsidR="008D6F97" w:rsidRPr="0025250D">
        <w:rPr>
          <w:rtl/>
        </w:rPr>
        <w:t xml:space="preserve"> </w:t>
      </w:r>
      <w:r w:rsidR="00537CC8" w:rsidRPr="0025250D">
        <w:rPr>
          <w:rFonts w:hint="cs"/>
          <w:rtl/>
        </w:rPr>
        <w:t>موانع و تهدید‌ها نیز ممکن است مستلزم عقبگرد کارسپار، کارگاه‌ها، بارخورد یا دیگرراهنمایی‌ها باشد.</w:t>
      </w:r>
    </w:p>
    <w:p w14:paraId="7E062704" w14:textId="5AACA868" w:rsidR="00537CC8" w:rsidRPr="0025250D" w:rsidRDefault="00537CC8" w:rsidP="00492C47">
      <w:pPr>
        <w:numPr>
          <w:ilvl w:val="0"/>
          <w:numId w:val="38"/>
        </w:numPr>
        <w:rPr>
          <w:rtl/>
        </w:rPr>
      </w:pPr>
      <w:r w:rsidRPr="0025250D">
        <w:rPr>
          <w:rFonts w:hint="cs"/>
          <w:b/>
          <w:bCs/>
          <w:rtl/>
        </w:rPr>
        <w:t>تسهیل اقدام.</w:t>
      </w:r>
      <w:r w:rsidRPr="0025250D">
        <w:rPr>
          <w:rFonts w:hint="cs"/>
          <w:rtl/>
        </w:rPr>
        <w:t xml:space="preserve"> متخصص باید پس از این که موجب باور کردن </w:t>
      </w:r>
      <w:r w:rsidRPr="0025250D">
        <w:rPr>
          <w:rtl/>
        </w:rPr>
        <w:t>آینده‌نگاری</w:t>
      </w:r>
      <w:r w:rsidRPr="0025250D">
        <w:rPr>
          <w:rFonts w:hint="cs"/>
          <w:rtl/>
        </w:rPr>
        <w:t xml:space="preserve"> تولید شده توسط مشتری (از طریق چرخه‌های </w:t>
      </w:r>
      <w:r w:rsidRPr="0025250D">
        <w:t>REOPS</w:t>
      </w:r>
      <w:r w:rsidRPr="0025250D">
        <w:rPr>
          <w:rFonts w:hint="cs"/>
          <w:rtl/>
        </w:rPr>
        <w:t xml:space="preserve">، با بازبینی کیفیت) شد، پیشنهاد کمک به کارسپار یا یک همکار اختصاص یافته به اقدام بر مبنای خروجی </w:t>
      </w:r>
      <w:r w:rsidRPr="0025250D">
        <w:rPr>
          <w:rtl/>
        </w:rPr>
        <w:t>آینده‌نگاری</w:t>
      </w:r>
      <w:r w:rsidRPr="0025250D">
        <w:rPr>
          <w:rFonts w:hint="cs"/>
          <w:rtl/>
        </w:rPr>
        <w:t xml:space="preserve"> را ارائه دهد. این امر می‌تواند شامل مدیریت تعارضات (آینده سیاسی است) و ارزیابی ظرفیت مشتری در اجرا، </w:t>
      </w:r>
      <w:r w:rsidR="0008779C" w:rsidRPr="0025250D">
        <w:rPr>
          <w:rFonts w:hint="cs"/>
          <w:rtl/>
        </w:rPr>
        <w:t>تاثیرگذاری</w:t>
      </w:r>
      <w:r w:rsidRPr="0025250D">
        <w:rPr>
          <w:rFonts w:hint="cs"/>
          <w:rtl/>
        </w:rPr>
        <w:t xml:space="preserve"> و </w:t>
      </w:r>
      <w:r w:rsidR="0008779C" w:rsidRPr="0025250D">
        <w:rPr>
          <w:rFonts w:hint="cs"/>
          <w:rtl/>
        </w:rPr>
        <w:t>ارتباط‌دهی</w:t>
      </w:r>
      <w:r w:rsidRPr="0025250D">
        <w:rPr>
          <w:rFonts w:hint="cs"/>
          <w:rtl/>
        </w:rPr>
        <w:t xml:space="preserve"> (مهارت‌های عملی کانونی </w:t>
      </w:r>
      <w:r w:rsidRPr="0025250D">
        <w:rPr>
          <w:rtl/>
        </w:rPr>
        <w:t>گالوپ</w:t>
      </w:r>
      <w:r w:rsidRPr="0025250D">
        <w:rPr>
          <w:rFonts w:hint="cs"/>
          <w:rtl/>
        </w:rPr>
        <w:t xml:space="preserve">) شود. این متخصص باید همچنین خود به شکلی منطقی در این مهارت‌ها شایستگی کسب کند تا کار خود را تولید و توزیع کند. اگر با رهبری اصلی کار می‌کند، باید به کارسپار برای تشخیص نیاز‌ها و ظرفیت‌ها در بیست تخصص </w:t>
      </w:r>
      <w:r w:rsidRPr="0025250D">
        <w:rPr>
          <w:rtl/>
        </w:rPr>
        <w:t>آینده‌نگاری</w:t>
      </w:r>
      <w:r w:rsidRPr="0025250D">
        <w:rPr>
          <w:rFonts w:hint="cs"/>
          <w:rtl/>
        </w:rPr>
        <w:t xml:space="preserve"> کمک کند یا به کارسپار عناصر مهم مدیریت </w:t>
      </w:r>
      <w:r w:rsidR="00701E03" w:rsidRPr="0025250D">
        <w:rPr>
          <w:rFonts w:hint="cs"/>
          <w:rtl/>
        </w:rPr>
        <w:t>راهبرد</w:t>
      </w:r>
      <w:r w:rsidRPr="0025250D">
        <w:rPr>
          <w:rFonts w:hint="cs"/>
          <w:rtl/>
        </w:rPr>
        <w:t xml:space="preserve"> را آموزش دهد (فصول 5-9 در نسخه دانشجوی این کتاب را ببینید).</w:t>
      </w:r>
    </w:p>
    <w:p w14:paraId="4D13CEB2" w14:textId="6A9165E1" w:rsidR="00537CC8" w:rsidRPr="0025250D" w:rsidRDefault="00537CC8" w:rsidP="00492C47">
      <w:pPr>
        <w:numPr>
          <w:ilvl w:val="0"/>
          <w:numId w:val="38"/>
        </w:numPr>
        <w:rPr>
          <w:rtl/>
        </w:rPr>
      </w:pPr>
      <w:r w:rsidRPr="0025250D">
        <w:rPr>
          <w:rFonts w:hint="cs"/>
          <w:b/>
          <w:bCs/>
          <w:rtl/>
        </w:rPr>
        <w:t>تسهیل عمل.</w:t>
      </w:r>
      <w:r w:rsidRPr="0025250D">
        <w:rPr>
          <w:rFonts w:hint="cs"/>
          <w:rtl/>
        </w:rPr>
        <w:t xml:space="preserve"> آخرین وظیفه متخصص </w:t>
      </w:r>
      <w:r w:rsidRPr="0025250D">
        <w:rPr>
          <w:rtl/>
        </w:rPr>
        <w:t>آینده‌نگاری</w:t>
      </w:r>
      <w:r w:rsidRPr="0025250D">
        <w:rPr>
          <w:rFonts w:hint="cs"/>
          <w:rtl/>
        </w:rPr>
        <w:t xml:space="preserve"> کمک به کارسپار خود برای بستن این حلقه پس از عمل کردن است. آن‌ها باید نتایج تلاش‌های خود در این وظایف را پس از یک بازه زمانی مناسب بازبینی کنند. در این وظیفه آخر، متخصص باید خواستار بازخورد مشتری درمورد کیفیت </w:t>
      </w:r>
      <w:r w:rsidRPr="0025250D">
        <w:rPr>
          <w:rtl/>
        </w:rPr>
        <w:t>آینده‌نگاری</w:t>
      </w:r>
      <w:r w:rsidRPr="0025250D">
        <w:rPr>
          <w:rFonts w:hint="cs"/>
          <w:rtl/>
        </w:rPr>
        <w:t xml:space="preserve"> و عملی که ثمر بخش بوده یا نبوده شود. آیا آینده‌نگاری در کوتاه مدت مؤثر بوده است؟ آیا در بلند مدت </w:t>
      </w:r>
      <w:r w:rsidR="00B124DE" w:rsidRPr="0025250D">
        <w:rPr>
          <w:rFonts w:hint="cs"/>
          <w:rtl/>
        </w:rPr>
        <w:t>انطباق‌پذیر</w:t>
      </w:r>
      <w:r w:rsidRPr="0025250D">
        <w:rPr>
          <w:rFonts w:hint="cs"/>
          <w:rtl/>
        </w:rPr>
        <w:t xml:space="preserve"> بوده است؟</w:t>
      </w:r>
    </w:p>
    <w:p w14:paraId="0BED6174" w14:textId="0BFF57E8" w:rsidR="00537CC8" w:rsidRPr="0025250D" w:rsidRDefault="00537CC8" w:rsidP="00537CC8">
      <w:pPr>
        <w:rPr>
          <w:rtl/>
        </w:rPr>
      </w:pPr>
      <w:r w:rsidRPr="0025250D">
        <w:rPr>
          <w:rFonts w:hint="cs"/>
          <w:rtl/>
        </w:rPr>
        <w:t xml:space="preserve">برخی متخصصین </w:t>
      </w:r>
      <w:r w:rsidRPr="0025250D">
        <w:rPr>
          <w:rtl/>
        </w:rPr>
        <w:t>آینده‌نگاری</w:t>
      </w:r>
      <w:r w:rsidRPr="0025250D">
        <w:rPr>
          <w:rFonts w:hint="cs"/>
          <w:rtl/>
        </w:rPr>
        <w:t xml:space="preserve"> فکر می‌کنند که دو وظیفه آخر و مشارکت رسمی تخصصی در چهار مهارت عملی </w:t>
      </w:r>
      <w:r w:rsidRPr="0025250D">
        <w:rPr>
          <w:rtl/>
        </w:rPr>
        <w:t>آینده‌نگاری</w:t>
      </w:r>
      <w:r w:rsidRPr="0025250D">
        <w:rPr>
          <w:rFonts w:hint="cs"/>
          <w:rtl/>
        </w:rPr>
        <w:t xml:space="preserve"> (اجرا، </w:t>
      </w:r>
      <w:r w:rsidR="0008779C" w:rsidRPr="0025250D">
        <w:rPr>
          <w:rFonts w:hint="cs"/>
          <w:rtl/>
        </w:rPr>
        <w:t>تاثیرگذاری</w:t>
      </w:r>
      <w:r w:rsidRPr="0025250D">
        <w:rPr>
          <w:rFonts w:hint="cs"/>
          <w:rtl/>
        </w:rPr>
        <w:t xml:space="preserve">، </w:t>
      </w:r>
      <w:r w:rsidR="0008779C" w:rsidRPr="0025250D">
        <w:rPr>
          <w:rFonts w:hint="cs"/>
          <w:rtl/>
        </w:rPr>
        <w:t>ارتباط‌دهی</w:t>
      </w:r>
      <w:r w:rsidRPr="0025250D">
        <w:rPr>
          <w:rFonts w:hint="cs"/>
          <w:rtl/>
        </w:rPr>
        <w:t xml:space="preserve"> و بازبینی)، بخشی از کار ما نیستند؛ </w:t>
      </w:r>
      <w:r w:rsidR="0020589F" w:rsidRPr="0025250D">
        <w:rPr>
          <w:rtl/>
        </w:rPr>
        <w:t>اما</w:t>
      </w:r>
      <w:r w:rsidRPr="0025250D">
        <w:rPr>
          <w:rFonts w:hint="cs"/>
          <w:rtl/>
        </w:rPr>
        <w:t xml:space="preserve"> هستند. بهترین کار </w:t>
      </w:r>
      <w:r w:rsidRPr="0025250D">
        <w:rPr>
          <w:rtl/>
        </w:rPr>
        <w:t>آینده‌نگاری</w:t>
      </w:r>
      <w:r w:rsidRPr="0025250D">
        <w:rPr>
          <w:rFonts w:hint="cs"/>
          <w:rtl/>
        </w:rPr>
        <w:t xml:space="preserve"> با درونداد‌هایی برای </w:t>
      </w:r>
      <w:r w:rsidR="00701E03" w:rsidRPr="0025250D">
        <w:rPr>
          <w:rFonts w:hint="cs"/>
          <w:rtl/>
        </w:rPr>
        <w:t>راهبرد</w:t>
      </w:r>
      <w:r w:rsidRPr="0025250D">
        <w:rPr>
          <w:rFonts w:hint="cs"/>
          <w:rtl/>
        </w:rPr>
        <w:t xml:space="preserve">، با ایجاد </w:t>
      </w:r>
      <w:r w:rsidR="00701E03" w:rsidRPr="0025250D">
        <w:rPr>
          <w:rFonts w:hint="cs"/>
          <w:rtl/>
        </w:rPr>
        <w:t>راهبرد</w:t>
      </w:r>
      <w:r w:rsidRPr="0025250D">
        <w:rPr>
          <w:rFonts w:hint="cs"/>
          <w:rtl/>
        </w:rPr>
        <w:t xml:space="preserve"> تهاجمی یا تدافعی یا حتی با برنامه‌های عملی به خوبی ساخته شده پایان</w:t>
      </w:r>
      <w:r w:rsidR="00EE4B64" w:rsidRPr="0025250D">
        <w:rPr>
          <w:rFonts w:hint="cs"/>
          <w:rtl/>
        </w:rPr>
        <w:t xml:space="preserve"> نمی‌</w:t>
      </w:r>
      <w:r w:rsidRPr="0025250D">
        <w:rPr>
          <w:rFonts w:hint="cs"/>
          <w:rtl/>
        </w:rPr>
        <w:t xml:space="preserve">یابد. این کار همواره با عمل و بازبینی پایان می‌یابد. حتی اگر افرادی که تولید </w:t>
      </w:r>
      <w:r w:rsidR="00923DDB" w:rsidRPr="0025250D">
        <w:rPr>
          <w:rFonts w:hint="cs"/>
          <w:rtl/>
        </w:rPr>
        <w:t>کننده‌ای</w:t>
      </w:r>
      <w:r w:rsidRPr="0025250D">
        <w:rPr>
          <w:rtl/>
        </w:rPr>
        <w:t>نده‌نگاری</w:t>
      </w:r>
      <w:r w:rsidRPr="0025250D">
        <w:rPr>
          <w:rFonts w:hint="cs"/>
          <w:rtl/>
        </w:rPr>
        <w:t xml:space="preserve"> هستند تأثیر کمی بر روی عمل داشته باشند، ما هنوز تا حدی </w:t>
      </w:r>
      <w:r w:rsidR="0008779C" w:rsidRPr="0025250D">
        <w:rPr>
          <w:rFonts w:hint="cs"/>
          <w:rtl/>
        </w:rPr>
        <w:t>تاثیرگذاری</w:t>
      </w:r>
      <w:r w:rsidRPr="0025250D">
        <w:rPr>
          <w:rFonts w:hint="cs"/>
          <w:rtl/>
        </w:rPr>
        <w:t xml:space="preserve">م و می‌توانیم همواره بازبینی پس از عمل را انجام دهیم. انجام این بازبینی برای یادگیری خودمان و با مشارکت اندکی از سوی کارسپار، یک سطح از کار تخصصی است. وادار کردن کارسپاران به انجام این کار و بررسی بازبینی آن‌ها، حتی نتیجه بهتری در بر دارد. بازبینی کیفیت عمل حاصل به ما اجازه می‌دهد که کار خود را در بافت سازمان </w:t>
      </w:r>
      <w:r w:rsidRPr="0025250D">
        <w:rPr>
          <w:rtl/>
        </w:rPr>
        <w:t>زم</w:t>
      </w:r>
      <w:r w:rsidRPr="0025250D">
        <w:rPr>
          <w:rFonts w:hint="cs"/>
          <w:rtl/>
        </w:rPr>
        <w:t>ی</w:t>
      </w:r>
      <w:r w:rsidRPr="0025250D">
        <w:rPr>
          <w:rFonts w:hint="eastAsia"/>
          <w:rtl/>
        </w:rPr>
        <w:t>نه</w:t>
      </w:r>
      <w:r w:rsidRPr="0025250D">
        <w:rPr>
          <w:rtl/>
        </w:rPr>
        <w:t xml:space="preserve"> ساز</w:t>
      </w:r>
      <w:r w:rsidRPr="0025250D">
        <w:rPr>
          <w:rFonts w:hint="cs"/>
          <w:rtl/>
        </w:rPr>
        <w:t xml:space="preserve">ی نماییم. ما کشف می‌کنیم که چگونه می‌توانیم دفعه بعد بهتر عمل کنیم و چگونه کارسپاران ما می‌توانند همین کار را انجام دهند. با بستن حلقه هایمان با هر مشارکت، نه تنها حلقه واضح ما از تولید </w:t>
      </w:r>
      <w:r w:rsidRPr="0025250D">
        <w:rPr>
          <w:rtl/>
        </w:rPr>
        <w:t>آینده‌نگاری</w:t>
      </w:r>
      <w:r w:rsidRPr="0025250D">
        <w:rPr>
          <w:rFonts w:hint="cs"/>
          <w:rtl/>
        </w:rPr>
        <w:t xml:space="preserve"> (چرخه </w:t>
      </w:r>
      <w:r w:rsidRPr="0025250D">
        <w:rPr>
          <w:rtl/>
        </w:rPr>
        <w:t>آینده‌نگاری</w:t>
      </w:r>
      <w:r w:rsidRPr="0025250D">
        <w:rPr>
          <w:rFonts w:hint="cs"/>
          <w:rtl/>
        </w:rPr>
        <w:t>) بلکه با کمک به بستن حلقه عمل و بازبینی کارسپار، برای کسانی که به آن‌ها خدمت رسانی می‌کنیم بسیار ارزشمند‌تر خواهیم شد.</w:t>
      </w:r>
    </w:p>
    <w:p w14:paraId="2CC04A00" w14:textId="77777777" w:rsidR="00537CC8" w:rsidRPr="0025250D" w:rsidRDefault="00537CC8" w:rsidP="00537CC8">
      <w:pPr>
        <w:rPr>
          <w:rtl/>
        </w:rPr>
      </w:pPr>
      <w:r w:rsidRPr="0025250D">
        <w:rPr>
          <w:rFonts w:hint="cs"/>
          <w:rtl/>
        </w:rPr>
        <w:t xml:space="preserve">اغلب گفته می‌شود که ایده‌ها (محصولات </w:t>
      </w:r>
      <w:r w:rsidRPr="0025250D">
        <w:rPr>
          <w:rtl/>
        </w:rPr>
        <w:t>آینده‌نگاری</w:t>
      </w:r>
      <w:r w:rsidRPr="0025250D">
        <w:rPr>
          <w:rFonts w:hint="cs"/>
          <w:rtl/>
        </w:rPr>
        <w:t xml:space="preserve">) ارزان قیمت هستند و عمل ارزشمند است. در حقیقت، هم ایده‌ها و هم عمل، وقتی برای مسئله مناسب باشند و به سمت افراد مناسب هدایت شده و توسط آن‌ها در زمان مناسب انجام شوند، می‌توانند بسیار ارزشمند باشند. هم </w:t>
      </w:r>
      <w:r w:rsidRPr="0025250D">
        <w:rPr>
          <w:rtl/>
        </w:rPr>
        <w:t>آینده‌نگاری</w:t>
      </w:r>
      <w:r w:rsidRPr="0025250D">
        <w:rPr>
          <w:rFonts w:hint="cs"/>
          <w:rtl/>
        </w:rPr>
        <w:t xml:space="preserve"> و هم عمل تنها وقتی با هم در یک چرخه دائمی کار کنند به بهترین شکل خود تبدیل می‌شوند. ما برای کاهش عدم قطعیت که به گفته برخی از متخصصین </w:t>
      </w:r>
      <w:r w:rsidRPr="0025250D">
        <w:rPr>
          <w:rtl/>
        </w:rPr>
        <w:t>آینده‌نگاری</w:t>
      </w:r>
      <w:r w:rsidRPr="0025250D">
        <w:rPr>
          <w:rFonts w:hint="cs"/>
          <w:rtl/>
        </w:rPr>
        <w:t xml:space="preserve"> وظیفه اصلی آن هاست، به هر چهار گام حلقه انجام نیاز داریم.</w:t>
      </w:r>
    </w:p>
    <w:p w14:paraId="67E3B7F1" w14:textId="74AF2F6E" w:rsidR="00537CC8" w:rsidRPr="0025250D" w:rsidRDefault="00537CC8" w:rsidP="00537CC8">
      <w:pPr>
        <w:rPr>
          <w:rtl/>
        </w:rPr>
      </w:pPr>
      <w:r w:rsidRPr="0025250D">
        <w:rPr>
          <w:rFonts w:hint="cs"/>
          <w:rtl/>
        </w:rPr>
        <w:t xml:space="preserve">با رشد اعتماد کارسپاران به کار ما، ارزش بیشتری می‌تواند نه فقط از طریق محصولات </w:t>
      </w:r>
      <w:r w:rsidRPr="0025250D">
        <w:rPr>
          <w:rtl/>
        </w:rPr>
        <w:t>آینده‌نگاری</w:t>
      </w:r>
      <w:r w:rsidRPr="0025250D">
        <w:rPr>
          <w:rFonts w:hint="cs"/>
          <w:rtl/>
        </w:rPr>
        <w:t xml:space="preserve">، بلکه توسط تشخیص نقاط قوت کارسپاران در هشت مهارت و کمک به آن‌ها برای بهتر شدن در انجام حلقه‌های انجام خود، در هر افق </w:t>
      </w:r>
      <w:r w:rsidRPr="0025250D">
        <w:rPr>
          <w:rtl/>
        </w:rPr>
        <w:t>آینده‌نگاری</w:t>
      </w:r>
      <w:r w:rsidRPr="0025250D">
        <w:rPr>
          <w:rFonts w:hint="cs"/>
          <w:rtl/>
        </w:rPr>
        <w:t xml:space="preserve"> ایجاد شود. ارزیابی ما از هشت مهارت (پیوست 1)، می‌تواند به این کار کمک کند. در فصل 4، ما عمیق‌تر به هر یک از هشت مهارت </w:t>
      </w:r>
      <w:r w:rsidR="00923DDB" w:rsidRPr="0025250D">
        <w:rPr>
          <w:rtl/>
        </w:rPr>
        <w:t>آینده‌نگاری انطباقی</w:t>
      </w:r>
      <w:r w:rsidRPr="0025250D">
        <w:rPr>
          <w:rFonts w:hint="cs"/>
          <w:rtl/>
        </w:rPr>
        <w:t xml:space="preserve"> ورود خواهیم کرد. آن‌ها شایستگی‌هایی کلیدی هستند که به نظر ما هر مدیر و رهبری باید در تیم خود داشته باشد و مدل اصلی انجام </w:t>
      </w:r>
      <w:r w:rsidRPr="0025250D">
        <w:rPr>
          <w:rtl/>
        </w:rPr>
        <w:t>آینده‌نگاری</w:t>
      </w:r>
      <w:r w:rsidRPr="0025250D">
        <w:rPr>
          <w:rFonts w:hint="cs"/>
          <w:rtl/>
        </w:rPr>
        <w:t xml:space="preserve"> سازمانی در راهنمای ما هستند.</w:t>
      </w:r>
    </w:p>
    <w:p w14:paraId="26147F81" w14:textId="77777777" w:rsidR="00537CC8" w:rsidRPr="0025250D" w:rsidRDefault="00537CC8" w:rsidP="00537CC8">
      <w:pPr>
        <w:rPr>
          <w:rtl/>
        </w:rPr>
      </w:pPr>
      <w:r w:rsidRPr="0025250D">
        <w:rPr>
          <w:rFonts w:hint="cs"/>
          <w:rtl/>
        </w:rPr>
        <w:t>بیایید لحظه‌ای درمورد این هفت وظیفه تفکر کنیم: در حال حاضر در کدامیک بهتر هستیم؟ آیا هم اکنون با افراد دیگری که در وظایف ضعیف‌تر ما بهتر هستند کار می‌کنیم؟ آیا برنامه اگر-آنگاه خوبی برای توسعه شایستگی در وظایفی که در آن‌ها ضعیف‌تر هستیم داریم یا خیر؟</w:t>
      </w:r>
    </w:p>
    <w:p w14:paraId="7B6C415D" w14:textId="77777777" w:rsidR="00537CC8" w:rsidRPr="0025250D" w:rsidRDefault="00537CC8" w:rsidP="00537CC8">
      <w:pPr>
        <w:rPr>
          <w:rtl/>
        </w:rPr>
      </w:pPr>
    </w:p>
    <w:p w14:paraId="03149442" w14:textId="77777777" w:rsidR="00537CC8" w:rsidRPr="0025250D" w:rsidRDefault="00537CC8" w:rsidP="00537CC8">
      <w:pPr>
        <w:rPr>
          <w:rtl/>
        </w:rPr>
      </w:pPr>
    </w:p>
    <w:p w14:paraId="47886B0A" w14:textId="77777777" w:rsidR="00537CC8" w:rsidRPr="0025250D" w:rsidRDefault="00537CC8" w:rsidP="00537CC8">
      <w:pPr>
        <w:rPr>
          <w:rtl/>
        </w:rPr>
      </w:pPr>
    </w:p>
    <w:p w14:paraId="577F27EA" w14:textId="0863372A" w:rsidR="00537CC8" w:rsidRPr="0025250D" w:rsidRDefault="00537CC8" w:rsidP="00B25F58">
      <w:pPr>
        <w:pStyle w:val="Heading2"/>
        <w:rPr>
          <w:rtl/>
        </w:rPr>
      </w:pPr>
      <w:bookmarkStart w:id="50" w:name="_Toc127831315"/>
      <w:r w:rsidRPr="0025250D">
        <w:rPr>
          <w:rFonts w:hint="cs"/>
          <w:rtl/>
        </w:rPr>
        <w:t xml:space="preserve">شناخت جایگاهمان در زنجیره ارزش: تخصصی سازی و تیم سازی </w:t>
      </w:r>
      <w:r w:rsidR="00701E03" w:rsidRPr="0025250D">
        <w:rPr>
          <w:rFonts w:hint="cs"/>
          <w:rtl/>
        </w:rPr>
        <w:t>راهبردی</w:t>
      </w:r>
      <w:bookmarkEnd w:id="50"/>
    </w:p>
    <w:p w14:paraId="442B1F37" w14:textId="1EB23096" w:rsidR="00537CC8" w:rsidRPr="0025250D" w:rsidRDefault="00537CC8" w:rsidP="00537CC8">
      <w:pPr>
        <w:rPr>
          <w:rtl/>
        </w:rPr>
      </w:pPr>
      <w:r w:rsidRPr="0025250D">
        <w:rPr>
          <w:rFonts w:hint="cs"/>
          <w:rtl/>
        </w:rPr>
        <w:t xml:space="preserve">بحثمان درمورد بیست فعالیت تخصصی مدیریت </w:t>
      </w:r>
      <w:r w:rsidR="00701E03" w:rsidRPr="0025250D">
        <w:rPr>
          <w:rFonts w:hint="cs"/>
          <w:rtl/>
        </w:rPr>
        <w:t>راهبردی</w:t>
      </w:r>
      <w:r w:rsidRPr="0025250D">
        <w:rPr>
          <w:rFonts w:hint="cs"/>
          <w:rtl/>
        </w:rPr>
        <w:t xml:space="preserve"> در فصل 1 را به یاد آورید. این موارد فعالیت‌های متعدد </w:t>
      </w:r>
      <w:r w:rsidRPr="0025250D">
        <w:rPr>
          <w:rtl/>
        </w:rPr>
        <w:t>آینده‌نگاری</w:t>
      </w:r>
      <w:r w:rsidRPr="0025250D">
        <w:rPr>
          <w:rFonts w:hint="cs"/>
          <w:rtl/>
        </w:rPr>
        <w:t xml:space="preserve"> که معمولا در سازمان‌های بزرگتر یا پیچیده‌تر یافت می‌شوند را توصیف می‌کنند. بیش‌تر متخصصین تنها می‌توانند در تعداد کمی از این تخصص‌ها شایستگی لازم را داشته باشند. اگر از ما خواسته شود که به سازمانی در یک مسئله </w:t>
      </w:r>
      <w:r w:rsidRPr="0025250D">
        <w:rPr>
          <w:rtl/>
        </w:rPr>
        <w:t>آینده‌نگاری</w:t>
      </w:r>
      <w:r w:rsidRPr="0025250D">
        <w:rPr>
          <w:rFonts w:hint="cs"/>
          <w:rtl/>
        </w:rPr>
        <w:t xml:space="preserve"> کمک کنیم، باید نه تنها از یک فرایند </w:t>
      </w:r>
      <w:r w:rsidRPr="0025250D">
        <w:rPr>
          <w:rtl/>
        </w:rPr>
        <w:t>آینده‌نگاری</w:t>
      </w:r>
      <w:r w:rsidRPr="0025250D">
        <w:rPr>
          <w:rFonts w:hint="cs"/>
          <w:rtl/>
        </w:rPr>
        <w:t xml:space="preserve"> مناسب مانند مهارت‌های </w:t>
      </w:r>
      <w:r w:rsidRPr="0025250D">
        <w:t>LAIS</w:t>
      </w:r>
      <w:r w:rsidRPr="0025250D">
        <w:rPr>
          <w:rFonts w:hint="cs"/>
          <w:rtl/>
        </w:rPr>
        <w:t xml:space="preserve"> (چرخه </w:t>
      </w:r>
      <w:r w:rsidRPr="0025250D">
        <w:t>REOPS</w:t>
      </w:r>
      <w:r w:rsidRPr="0025250D">
        <w:rPr>
          <w:rFonts w:hint="cs"/>
          <w:rtl/>
        </w:rPr>
        <w:t xml:space="preserve">) استفاده کنیم، بلکه باید بتوانیم روش‌های </w:t>
      </w:r>
      <w:r w:rsidRPr="0025250D">
        <w:rPr>
          <w:rtl/>
        </w:rPr>
        <w:t>آینده‌نگاری</w:t>
      </w:r>
      <w:r w:rsidRPr="0025250D">
        <w:rPr>
          <w:rFonts w:hint="cs"/>
          <w:rtl/>
        </w:rPr>
        <w:t xml:space="preserve"> و تخصص‌های عملی را که می‌توانند برای کارسپارانمان مفید باشند، اما در حال حاضر چنین مواردی را در دسترس نداریم، ارزیابی کنیم.</w:t>
      </w:r>
    </w:p>
    <w:p w14:paraId="45594757" w14:textId="0FB77E17" w:rsidR="00537CC8" w:rsidRPr="0025250D" w:rsidRDefault="00537CC8" w:rsidP="00537CC8">
      <w:pPr>
        <w:rPr>
          <w:rtl/>
        </w:rPr>
      </w:pPr>
      <w:r w:rsidRPr="0025250D">
        <w:rPr>
          <w:rFonts w:hint="cs"/>
          <w:rtl/>
        </w:rPr>
        <w:t xml:space="preserve">آینده‌پژوه مشاور </w:t>
      </w:r>
      <w:r w:rsidRPr="0025250D">
        <w:rPr>
          <w:rtl/>
        </w:rPr>
        <w:t>لوک ون در لان</w:t>
      </w:r>
      <w:r w:rsidRPr="0025250D">
        <w:rPr>
          <w:vertAlign w:val="superscript"/>
          <w:rtl/>
        </w:rPr>
        <w:footnoteReference w:id="1537"/>
      </w:r>
      <w:r w:rsidRPr="0025250D">
        <w:rPr>
          <w:rFonts w:hint="cs"/>
          <w:rtl/>
        </w:rPr>
        <w:t xml:space="preserve"> می‌گوید که یکی از دلایلی که زمینه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بسیار ضعیف در بقیه بخش‌های مشاوره مدیریتی یکپارچه شده است، این است که فعالان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متعددی قول تولید </w:t>
      </w:r>
      <w:r w:rsidR="00701E03" w:rsidRPr="0025250D">
        <w:rPr>
          <w:rFonts w:hint="cs"/>
          <w:rtl/>
        </w:rPr>
        <w:t>راهبرد</w:t>
      </w:r>
      <w:r w:rsidRPr="0025250D">
        <w:rPr>
          <w:rFonts w:hint="cs"/>
          <w:rtl/>
        </w:rPr>
        <w:t xml:space="preserve"> را به کارسپار خود می‌دهند، اما سپس </w:t>
      </w:r>
      <w:r w:rsidR="00701E03" w:rsidRPr="0025250D">
        <w:rPr>
          <w:rFonts w:hint="cs"/>
          <w:rtl/>
        </w:rPr>
        <w:t>راهبرد</w:t>
      </w:r>
      <w:r w:rsidRPr="0025250D">
        <w:rPr>
          <w:rFonts w:hint="cs"/>
          <w:rtl/>
        </w:rPr>
        <w:t xml:space="preserve"> حقیقی ایجاد</w:t>
      </w:r>
      <w:r w:rsidR="00EE4B64" w:rsidRPr="0025250D">
        <w:rPr>
          <w:rFonts w:hint="cs"/>
          <w:rtl/>
        </w:rPr>
        <w:t xml:space="preserve"> نمی‌</w:t>
      </w:r>
      <w:r w:rsidRPr="0025250D">
        <w:rPr>
          <w:rFonts w:hint="cs"/>
          <w:rtl/>
        </w:rPr>
        <w:t xml:space="preserve">کنند یا حتی با تیم‌های </w:t>
      </w:r>
      <w:r w:rsidR="00701E03" w:rsidRPr="0025250D">
        <w:rPr>
          <w:rFonts w:hint="cs"/>
          <w:rtl/>
        </w:rPr>
        <w:t>راهبرد</w:t>
      </w:r>
      <w:r w:rsidRPr="0025250D">
        <w:rPr>
          <w:rFonts w:hint="cs"/>
          <w:rtl/>
        </w:rPr>
        <w:t xml:space="preserve"> کارسپار خود کار</w:t>
      </w:r>
      <w:r w:rsidR="00EE4B64" w:rsidRPr="0025250D">
        <w:rPr>
          <w:rFonts w:hint="cs"/>
          <w:rtl/>
        </w:rPr>
        <w:t xml:space="preserve"> نمی‌</w:t>
      </w:r>
      <w:r w:rsidRPr="0025250D">
        <w:rPr>
          <w:rFonts w:hint="cs"/>
          <w:rtl/>
        </w:rPr>
        <w:t>کنند. در نتیجه، مشارکت‌های آنان اغلب انتظارات کارسپار را برآورده</w:t>
      </w:r>
      <w:r w:rsidR="00EE4B64" w:rsidRPr="0025250D">
        <w:rPr>
          <w:rFonts w:hint="cs"/>
          <w:rtl/>
        </w:rPr>
        <w:t xml:space="preserve"> نمی‌</w:t>
      </w:r>
      <w:r w:rsidR="003C60A1" w:rsidRPr="0025250D">
        <w:rPr>
          <w:rFonts w:hint="cs"/>
          <w:rtl/>
        </w:rPr>
        <w:t>نمایند</w:t>
      </w:r>
      <w:r w:rsidRPr="0025250D">
        <w:rPr>
          <w:rFonts w:hint="cs"/>
          <w:rtl/>
        </w:rPr>
        <w:t>.</w:t>
      </w:r>
    </w:p>
    <w:p w14:paraId="0D129D97" w14:textId="0D6CE098" w:rsidR="00537CC8" w:rsidRPr="0025250D" w:rsidRDefault="00537CC8" w:rsidP="00537CC8">
      <w:pPr>
        <w:rPr>
          <w:rtl/>
        </w:rPr>
      </w:pPr>
      <w:r w:rsidRPr="0025250D">
        <w:rPr>
          <w:rFonts w:hint="cs"/>
          <w:rtl/>
        </w:rPr>
        <w:t xml:space="preserve">ما به‌عنوان متخصصین </w:t>
      </w:r>
      <w:r w:rsidRPr="0025250D">
        <w:rPr>
          <w:rtl/>
        </w:rPr>
        <w:t>آینده‌نگاری</w:t>
      </w:r>
      <w:r w:rsidRPr="0025250D">
        <w:rPr>
          <w:rFonts w:hint="cs"/>
          <w:rtl/>
        </w:rPr>
        <w:t xml:space="preserve"> باید بدانیم که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حداقل، به استفاده و </w:t>
      </w:r>
      <w:r w:rsidR="00B13F65" w:rsidRPr="0025250D">
        <w:rPr>
          <w:rFonts w:hint="cs"/>
          <w:rtl/>
        </w:rPr>
        <w:t>یکپارچه‌سازی</w:t>
      </w:r>
      <w:r w:rsidRPr="0025250D">
        <w:rPr>
          <w:rFonts w:hint="cs"/>
          <w:rtl/>
        </w:rPr>
        <w:t xml:space="preserve"> هر چهار مهارت </w:t>
      </w:r>
      <w:r w:rsidRPr="0025250D">
        <w:rPr>
          <w:rtl/>
        </w:rPr>
        <w:t>آینده‌نگاری</w:t>
      </w:r>
      <w:r w:rsidRPr="0025250D">
        <w:rPr>
          <w:rFonts w:hint="cs"/>
          <w:rtl/>
        </w:rPr>
        <w:t xml:space="preserve"> </w:t>
      </w:r>
      <w:r w:rsidRPr="0025250D">
        <w:t>LAIS</w:t>
      </w:r>
      <w:r w:rsidRPr="0025250D">
        <w:rPr>
          <w:rFonts w:hint="cs"/>
          <w:rtl/>
        </w:rPr>
        <w:t xml:space="preserve"> نیاز دارد. برای مثال اگر تنها ترجیح می‌دهیم که تحلیل روند‌ها</w:t>
      </w:r>
      <w:r w:rsidR="008D6F97" w:rsidRPr="0025250D">
        <w:rPr>
          <w:rtl/>
        </w:rPr>
        <w:t xml:space="preserve"> </w:t>
      </w:r>
      <w:r w:rsidRPr="0025250D">
        <w:rPr>
          <w:rFonts w:hint="cs"/>
          <w:rtl/>
        </w:rPr>
        <w:t xml:space="preserve">و </w:t>
      </w:r>
      <w:r w:rsidR="00FB6A7E" w:rsidRPr="0025250D">
        <w:rPr>
          <w:rFonts w:hint="cs"/>
          <w:rtl/>
        </w:rPr>
        <w:t>پیش‌نگری</w:t>
      </w:r>
      <w:r w:rsidRPr="0025250D">
        <w:rPr>
          <w:rFonts w:hint="cs"/>
          <w:rtl/>
        </w:rPr>
        <w:t xml:space="preserve"> (یا به طور کلی‌تر، آینده‌های محتمل) را</w:t>
      </w:r>
      <w:r w:rsidRPr="0025250D">
        <w:rPr>
          <w:rtl/>
        </w:rPr>
        <w:t xml:space="preserve"> </w:t>
      </w:r>
      <w:r w:rsidRPr="0025250D">
        <w:rPr>
          <w:rFonts w:hint="cs"/>
          <w:rtl/>
        </w:rPr>
        <w:t>انجام</w:t>
      </w:r>
      <w:r w:rsidRPr="0025250D">
        <w:rPr>
          <w:rtl/>
        </w:rPr>
        <w:t xml:space="preserve"> </w:t>
      </w:r>
      <w:r w:rsidRPr="0025250D">
        <w:rPr>
          <w:rFonts w:hint="cs"/>
          <w:rtl/>
        </w:rPr>
        <w:t xml:space="preserve">دهیم که قطعا کار </w:t>
      </w:r>
      <w:r w:rsidRPr="0025250D">
        <w:rPr>
          <w:rtl/>
        </w:rPr>
        <w:t>آینده‌نگاری</w:t>
      </w:r>
      <w:r w:rsidRPr="0025250D">
        <w:rPr>
          <w:rFonts w:hint="cs"/>
          <w:rtl/>
        </w:rPr>
        <w:t xml:space="preserve"> است، نباید این کار را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بنامیم. این کار </w:t>
      </w:r>
      <w:r w:rsidR="00923DDB" w:rsidRPr="0025250D">
        <w:rPr>
          <w:rFonts w:hint="cs"/>
          <w:rtl/>
        </w:rPr>
        <w:t>پیش‌انگاری</w:t>
      </w:r>
      <w:r w:rsidRPr="0025250D">
        <w:rPr>
          <w:rFonts w:hint="cs"/>
          <w:rtl/>
        </w:rPr>
        <w:t xml:space="preserve">، یکی از چهار مهارت کلیدی است که کارسپار ما نیاز دارد. اگر تنها دوست داشته باشیم که فرانامه‌ها و </w:t>
      </w:r>
      <w:r w:rsidR="00563645" w:rsidRPr="0025250D">
        <w:rPr>
          <w:rFonts w:hint="cs"/>
          <w:rtl/>
        </w:rPr>
        <w:t>بدیل</w:t>
      </w:r>
      <w:r w:rsidRPr="0025250D">
        <w:rPr>
          <w:rFonts w:hint="cs"/>
          <w:rtl/>
        </w:rPr>
        <w:t xml:space="preserve">‌ها را ایجاد نماییم، می‌توانیم باز هم این کار را </w:t>
      </w:r>
      <w:r w:rsidRPr="0025250D">
        <w:rPr>
          <w:rtl/>
        </w:rPr>
        <w:t>آینده‌نگاری</w:t>
      </w:r>
      <w:r w:rsidRPr="0025250D">
        <w:rPr>
          <w:rFonts w:hint="cs"/>
          <w:rtl/>
        </w:rPr>
        <w:t xml:space="preserve"> بنامیم، اما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نیست. این کار نوآوری است، شکلی از خلاقیت </w:t>
      </w:r>
      <w:r w:rsidR="00B13F65" w:rsidRPr="0025250D">
        <w:rPr>
          <w:rFonts w:hint="cs"/>
          <w:rtl/>
        </w:rPr>
        <w:t>چارچوب</w:t>
      </w:r>
      <w:r w:rsidRPr="0025250D">
        <w:rPr>
          <w:rFonts w:hint="cs"/>
          <w:rtl/>
        </w:rPr>
        <w:t xml:space="preserve"> بندی شده است که برای مخاطب قابل قدردانی (بازاری با اندازه‌های مختلف) است. برای هر یک از ما خوب است که در کاری که فکر می‌کنیم بهتر انجام می‌دهیم تخصص پیدا کنیم، اما وقتی این کار را انجام دهیم، تعهد داریم که به کارسپاران خود کمک کنیم تا نیاز به بقیه مهارت‌های </w:t>
      </w:r>
      <w:r w:rsidRPr="0025250D">
        <w:rPr>
          <w:rtl/>
        </w:rPr>
        <w:t>آینده‌نگاری</w:t>
      </w:r>
      <w:r w:rsidRPr="0025250D">
        <w:rPr>
          <w:rFonts w:hint="cs"/>
          <w:rtl/>
        </w:rPr>
        <w:t xml:space="preserve"> </w:t>
      </w:r>
      <w:r w:rsidRPr="0025250D">
        <w:t>LAIS</w:t>
      </w:r>
      <w:r w:rsidRPr="0025250D">
        <w:rPr>
          <w:rFonts w:hint="cs"/>
          <w:rtl/>
        </w:rPr>
        <w:t xml:space="preserve"> را نیز ببینند. کارسپاران ما باید حلقه انجام</w:t>
      </w:r>
      <w:r w:rsidRPr="0025250D">
        <w:rPr>
          <w:rtl/>
        </w:rPr>
        <w:t xml:space="preserve"> </w:t>
      </w:r>
      <w:r w:rsidRPr="0025250D">
        <w:rPr>
          <w:rFonts w:hint="cs"/>
          <w:rtl/>
        </w:rPr>
        <w:t>و</w:t>
      </w:r>
      <w:r w:rsidRPr="0025250D">
        <w:rPr>
          <w:rtl/>
        </w:rPr>
        <w:t xml:space="preserve"> </w:t>
      </w:r>
      <w:r w:rsidRPr="0025250D">
        <w:rPr>
          <w:rFonts w:hint="cs"/>
          <w:rtl/>
        </w:rPr>
        <w:t>به</w:t>
      </w:r>
      <w:r w:rsidRPr="0025250D">
        <w:rPr>
          <w:rtl/>
        </w:rPr>
        <w:t xml:space="preserve"> </w:t>
      </w:r>
      <w:r w:rsidRPr="0025250D">
        <w:rPr>
          <w:rFonts w:hint="cs"/>
          <w:rtl/>
        </w:rPr>
        <w:t>صورت</w:t>
      </w:r>
      <w:r w:rsidRPr="0025250D">
        <w:rPr>
          <w:rtl/>
        </w:rPr>
        <w:t xml:space="preserve"> </w:t>
      </w:r>
      <w:r w:rsidR="0008779C" w:rsidRPr="0025250D">
        <w:rPr>
          <w:rFonts w:hint="cs"/>
          <w:rtl/>
        </w:rPr>
        <w:t>ایدئال</w:t>
      </w:r>
      <w:r w:rsidRPr="0025250D">
        <w:rPr>
          <w:rFonts w:hint="cs"/>
          <w:rtl/>
        </w:rPr>
        <w:t>، هشت مهارت</w:t>
      </w:r>
      <w:r w:rsidRPr="0025250D">
        <w:rPr>
          <w:rtl/>
        </w:rPr>
        <w:t xml:space="preserve"> </w:t>
      </w:r>
      <w:r w:rsidRPr="0025250D">
        <w:rPr>
          <w:rFonts w:hint="cs"/>
          <w:rtl/>
        </w:rPr>
        <w:t>را درک کرده و از آن استفاده کنند. ما در عوض باید به هفت وظیفه خود توجه کنیم.</w:t>
      </w:r>
    </w:p>
    <w:p w14:paraId="1E345A30" w14:textId="57BB23A9" w:rsidR="00537CC8" w:rsidRPr="0025250D" w:rsidRDefault="00537CC8" w:rsidP="00537CC8">
      <w:pPr>
        <w:rPr>
          <w:rtl/>
        </w:rPr>
      </w:pPr>
      <w:r w:rsidRPr="0025250D">
        <w:rPr>
          <w:rFonts w:hint="cs"/>
          <w:rtl/>
        </w:rPr>
        <w:t xml:space="preserve">اگر متخصصین </w:t>
      </w:r>
      <w:r w:rsidRPr="0025250D">
        <w:rPr>
          <w:rtl/>
        </w:rPr>
        <w:t>آینده‌نگاری</w:t>
      </w:r>
      <w:r w:rsidRPr="0025250D">
        <w:rPr>
          <w:rFonts w:hint="cs"/>
          <w:rtl/>
        </w:rPr>
        <w:t xml:space="preserve"> ادعا کنند که خدمتی انجام می‌دهند که در نام خود کلمه </w:t>
      </w:r>
      <w:r w:rsidR="00701E03" w:rsidRPr="0025250D">
        <w:rPr>
          <w:rFonts w:hint="cs"/>
          <w:rtl/>
        </w:rPr>
        <w:t>راهبردی</w:t>
      </w:r>
      <w:r w:rsidRPr="0025250D">
        <w:rPr>
          <w:rFonts w:hint="cs"/>
          <w:rtl/>
        </w:rPr>
        <w:t xml:space="preserve"> دارد، اما در واقع کار </w:t>
      </w:r>
      <w:r w:rsidR="00701E03" w:rsidRPr="0025250D">
        <w:rPr>
          <w:rFonts w:hint="cs"/>
          <w:rtl/>
        </w:rPr>
        <w:t>راهبردی</w:t>
      </w:r>
      <w:r w:rsidRPr="0025250D">
        <w:rPr>
          <w:rFonts w:hint="cs"/>
          <w:rtl/>
        </w:rPr>
        <w:t xml:space="preserve"> نکنند، بسیار گمراه کننده خواهد بود و به وجهه این زمینه لطمه خواهد زد. تعریف ما از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را از فصل 1 به یاد آورید. اگر کار ما </w:t>
      </w:r>
      <w:r w:rsidR="00701E03" w:rsidRPr="0025250D">
        <w:rPr>
          <w:rFonts w:hint="cs"/>
          <w:rtl/>
        </w:rPr>
        <w:t>راهبرد</w:t>
      </w:r>
      <w:r w:rsidRPr="0025250D">
        <w:rPr>
          <w:rFonts w:hint="cs"/>
          <w:rtl/>
        </w:rPr>
        <w:t xml:space="preserve"> ایجاد نکند، آن را تأیید نکرده یا تغییر ندهد،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نیست. فردی در زنجیره ارزش مدیریت باید از این که کار ما تأثیر خود را خواهد داشت اطمینان حاصل کند. به‌علاوه، </w:t>
      </w:r>
      <w:r w:rsidRPr="0025250D">
        <w:rPr>
          <w:rtl/>
        </w:rPr>
        <w:t>آینده‌نگاری</w:t>
      </w:r>
      <w:r w:rsidRPr="0025250D">
        <w:rPr>
          <w:rFonts w:hint="cs"/>
          <w:rtl/>
        </w:rPr>
        <w:t xml:space="preserve"> برای این که به میزان حداقلی </w:t>
      </w:r>
      <w:r w:rsidR="00923DDB" w:rsidRPr="0025250D">
        <w:rPr>
          <w:rtl/>
        </w:rPr>
        <w:t>آینده‌نگاری انطباقی</w:t>
      </w:r>
      <w:r w:rsidRPr="0025250D">
        <w:rPr>
          <w:rFonts w:hint="cs"/>
          <w:rtl/>
        </w:rPr>
        <w:t xml:space="preserve"> محسوب شود، باید همچنین</w:t>
      </w:r>
      <w:r w:rsidRPr="0025250D">
        <w:rPr>
          <w:rFonts w:cs="Times New Roman" w:hint="cs"/>
          <w:rtl/>
        </w:rPr>
        <w:t>–</w:t>
      </w:r>
      <w:r w:rsidRPr="0025250D">
        <w:rPr>
          <w:rFonts w:hint="cs"/>
          <w:rtl/>
        </w:rPr>
        <w:t xml:space="preserve"> از طریق حلقه انجام یا هشت مهارت - به</w:t>
      </w:r>
      <w:r w:rsidRPr="0025250D">
        <w:rPr>
          <w:rtl/>
        </w:rPr>
        <w:t xml:space="preserve"> </w:t>
      </w:r>
      <w:r w:rsidRPr="0025250D">
        <w:rPr>
          <w:rFonts w:hint="cs"/>
          <w:rtl/>
        </w:rPr>
        <w:t>عمل</w:t>
      </w:r>
      <w:r w:rsidRPr="0025250D">
        <w:rPr>
          <w:rtl/>
        </w:rPr>
        <w:t xml:space="preserve"> </w:t>
      </w:r>
      <w:r w:rsidRPr="0025250D">
        <w:rPr>
          <w:rFonts w:hint="cs"/>
          <w:rtl/>
        </w:rPr>
        <w:t>و</w:t>
      </w:r>
      <w:r w:rsidRPr="0025250D">
        <w:rPr>
          <w:rtl/>
        </w:rPr>
        <w:t xml:space="preserve"> </w:t>
      </w:r>
      <w:r w:rsidRPr="0025250D">
        <w:rPr>
          <w:rFonts w:hint="cs"/>
          <w:rtl/>
        </w:rPr>
        <w:t>بازبینی</w:t>
      </w:r>
      <w:r w:rsidRPr="0025250D">
        <w:rPr>
          <w:rtl/>
        </w:rPr>
        <w:t xml:space="preserve"> </w:t>
      </w:r>
      <w:r w:rsidRPr="0025250D">
        <w:rPr>
          <w:rFonts w:hint="cs"/>
          <w:rtl/>
        </w:rPr>
        <w:t>منجر</w:t>
      </w:r>
      <w:r w:rsidRPr="0025250D">
        <w:rPr>
          <w:rtl/>
        </w:rPr>
        <w:t xml:space="preserve"> </w:t>
      </w:r>
      <w:r w:rsidRPr="0025250D">
        <w:rPr>
          <w:rFonts w:hint="cs"/>
          <w:rtl/>
        </w:rPr>
        <w:t>شود.</w:t>
      </w:r>
    </w:p>
    <w:p w14:paraId="59749CFB" w14:textId="3D48C9CC" w:rsidR="00537CC8" w:rsidRPr="0025250D" w:rsidRDefault="007118DE" w:rsidP="00537CC8">
      <w:pPr>
        <w:rPr>
          <w:rtl/>
        </w:rPr>
      </w:pPr>
      <w:r w:rsidRPr="0025250D">
        <w:rPr>
          <w:rFonts w:hint="cs"/>
          <w:rtl/>
        </w:rPr>
        <w:t>همان‌طور</w:t>
      </w:r>
      <w:r w:rsidR="00537CC8" w:rsidRPr="0025250D">
        <w:rPr>
          <w:rFonts w:hint="cs"/>
          <w:rtl/>
        </w:rPr>
        <w:t xml:space="preserve"> که </w:t>
      </w:r>
      <w:r w:rsidR="00537CC8" w:rsidRPr="0025250D">
        <w:rPr>
          <w:rtl/>
        </w:rPr>
        <w:t>ر</w:t>
      </w:r>
      <w:r w:rsidR="00537CC8" w:rsidRPr="0025250D">
        <w:rPr>
          <w:rFonts w:hint="cs"/>
          <w:rtl/>
        </w:rPr>
        <w:t>ی</w:t>
      </w:r>
      <w:r w:rsidR="00537CC8" w:rsidRPr="0025250D">
        <w:rPr>
          <w:rFonts w:hint="eastAsia"/>
          <w:rtl/>
        </w:rPr>
        <w:t>چارد</w:t>
      </w:r>
      <w:r w:rsidR="00537CC8" w:rsidRPr="0025250D">
        <w:rPr>
          <w:rtl/>
        </w:rPr>
        <w:t xml:space="preserve"> روملت</w:t>
      </w:r>
      <w:r w:rsidR="00537CC8" w:rsidRPr="0025250D">
        <w:rPr>
          <w:vertAlign w:val="superscript"/>
          <w:rtl/>
        </w:rPr>
        <w:footnoteReference w:id="1538"/>
      </w:r>
      <w:r w:rsidR="00537CC8" w:rsidRPr="0025250D">
        <w:rPr>
          <w:rFonts w:hint="cs"/>
          <w:rtl/>
        </w:rPr>
        <w:t xml:space="preserve"> در مدل سه مرحله‌ای خود از </w:t>
      </w:r>
      <w:r w:rsidR="00701E03" w:rsidRPr="0025250D">
        <w:rPr>
          <w:rFonts w:hint="cs"/>
          <w:rtl/>
        </w:rPr>
        <w:t>راهبرد</w:t>
      </w:r>
      <w:r w:rsidR="00537CC8" w:rsidRPr="0025250D">
        <w:rPr>
          <w:rFonts w:hint="cs"/>
          <w:rtl/>
        </w:rPr>
        <w:t xml:space="preserve"> می‌گوید، همه </w:t>
      </w:r>
      <w:r w:rsidR="00701E03" w:rsidRPr="0025250D">
        <w:rPr>
          <w:rFonts w:hint="cs"/>
          <w:rtl/>
        </w:rPr>
        <w:t>راهبرد</w:t>
      </w:r>
      <w:r w:rsidR="00537CC8" w:rsidRPr="0025250D">
        <w:rPr>
          <w:rFonts w:hint="cs"/>
          <w:rtl/>
        </w:rPr>
        <w:t>‌های خوب این عناصر مهم را دارند:</w:t>
      </w:r>
    </w:p>
    <w:p w14:paraId="69B73634" w14:textId="034AA0F7" w:rsidR="00537CC8" w:rsidRPr="0025250D" w:rsidRDefault="00537CC8" w:rsidP="00492C47">
      <w:pPr>
        <w:numPr>
          <w:ilvl w:val="0"/>
          <w:numId w:val="39"/>
        </w:numPr>
        <w:rPr>
          <w:rtl/>
        </w:rPr>
      </w:pPr>
      <w:r w:rsidRPr="0025250D">
        <w:rPr>
          <w:rFonts w:hint="cs"/>
          <w:rtl/>
        </w:rPr>
        <w:t xml:space="preserve">تشخیص وضعیت، فرصت‌ها و موانع پیش روی یک </w:t>
      </w:r>
      <w:r w:rsidR="008D6F97" w:rsidRPr="0025250D">
        <w:rPr>
          <w:rFonts w:hint="cs"/>
          <w:rtl/>
        </w:rPr>
        <w:t>سامانه‌</w:t>
      </w:r>
      <w:r w:rsidRPr="0025250D">
        <w:rPr>
          <w:rFonts w:hint="cs"/>
          <w:rtl/>
        </w:rPr>
        <w:t>،</w:t>
      </w:r>
    </w:p>
    <w:p w14:paraId="34A74DBF" w14:textId="610DC5F9" w:rsidR="00537CC8" w:rsidRPr="0025250D" w:rsidRDefault="00537CC8" w:rsidP="00492C47">
      <w:pPr>
        <w:numPr>
          <w:ilvl w:val="0"/>
          <w:numId w:val="39"/>
        </w:numPr>
        <w:rPr>
          <w:rtl/>
        </w:rPr>
      </w:pPr>
      <w:r w:rsidRPr="0025250D">
        <w:rPr>
          <w:rFonts w:hint="cs"/>
          <w:rtl/>
        </w:rPr>
        <w:t>یک سیاست هدایتی برای اهداف و جهت‌های کلی که اطلاعات لازم برای تصمیمات روزمره را فراهم می‌کند،</w:t>
      </w:r>
    </w:p>
    <w:p w14:paraId="115E5E99" w14:textId="77777777" w:rsidR="00537CC8" w:rsidRPr="0025250D" w:rsidRDefault="00537CC8" w:rsidP="00492C47">
      <w:pPr>
        <w:numPr>
          <w:ilvl w:val="0"/>
          <w:numId w:val="39"/>
        </w:numPr>
        <w:rPr>
          <w:rtl/>
        </w:rPr>
      </w:pPr>
      <w:r w:rsidRPr="0025250D">
        <w:rPr>
          <w:rFonts w:hint="cs"/>
          <w:rtl/>
        </w:rPr>
        <w:t>مجموعه هماهنگی از اقدامات (هدف‌های زیرمجموعه، تعهد به منابع، برنامه‌ها، طرح‌ها، اندازه گیری‌ها، عواقب) که سیاست هدایتی را تفسیر و اجرا می‌کند.</w:t>
      </w:r>
    </w:p>
    <w:p w14:paraId="6C5FCEA0" w14:textId="3A11123B" w:rsidR="00537CC8" w:rsidRPr="0025250D" w:rsidRDefault="00537CC8" w:rsidP="00537CC8">
      <w:pPr>
        <w:rPr>
          <w:rtl/>
        </w:rPr>
      </w:pPr>
      <w:r w:rsidRPr="0025250D">
        <w:rPr>
          <w:rFonts w:hint="cs"/>
          <w:rtl/>
        </w:rPr>
        <w:t xml:space="preserve">برای اطلاعات بیش‌تر، </w:t>
      </w:r>
      <w:r w:rsidR="00701E03" w:rsidRPr="0025250D">
        <w:rPr>
          <w:rFonts w:hint="cs"/>
          <w:rtl/>
        </w:rPr>
        <w:t>راهبرد</w:t>
      </w:r>
      <w:r w:rsidRPr="0025250D">
        <w:rPr>
          <w:rFonts w:hint="cs"/>
          <w:rtl/>
        </w:rPr>
        <w:t xml:space="preserve"> خوب/</w:t>
      </w:r>
      <w:r w:rsidR="00701E03" w:rsidRPr="0025250D">
        <w:rPr>
          <w:rFonts w:hint="cs"/>
          <w:rtl/>
        </w:rPr>
        <w:t>راهبرد</w:t>
      </w:r>
      <w:r w:rsidRPr="0025250D">
        <w:rPr>
          <w:rFonts w:hint="cs"/>
          <w:rtl/>
        </w:rPr>
        <w:t xml:space="preserve"> بد</w:t>
      </w:r>
      <w:r w:rsidRPr="0025250D">
        <w:rPr>
          <w:vertAlign w:val="superscript"/>
          <w:rtl/>
        </w:rPr>
        <w:footnoteReference w:id="1539"/>
      </w:r>
      <w:r w:rsidRPr="0025250D">
        <w:rPr>
          <w:rFonts w:hint="cs"/>
          <w:rtl/>
        </w:rPr>
        <w:t xml:space="preserve"> در سال 2011 را ببینید. </w:t>
      </w:r>
      <w:r w:rsidR="007118DE" w:rsidRPr="0025250D">
        <w:rPr>
          <w:rFonts w:hint="cs"/>
          <w:rtl/>
        </w:rPr>
        <w:t>همان‌طور</w:t>
      </w:r>
      <w:r w:rsidRPr="0025250D">
        <w:rPr>
          <w:rFonts w:hint="cs"/>
          <w:rtl/>
        </w:rPr>
        <w:t xml:space="preserve"> که </w:t>
      </w:r>
      <w:r w:rsidRPr="0025250D">
        <w:rPr>
          <w:rtl/>
        </w:rPr>
        <w:t>روملت</w:t>
      </w:r>
      <w:r w:rsidRPr="0025250D">
        <w:rPr>
          <w:rFonts w:hint="cs"/>
          <w:rtl/>
        </w:rPr>
        <w:t xml:space="preserve"> می‌گوید، اگر اکثریت تصمیم گیرندگان در یک سازمان نتوانند ذات سیاست هدایتی خود را توصیف کنند، در حقیقت هنوز یک </w:t>
      </w:r>
      <w:r w:rsidR="00701E03" w:rsidRPr="0025250D">
        <w:rPr>
          <w:rFonts w:hint="cs"/>
          <w:rtl/>
        </w:rPr>
        <w:t>راهبرد</w:t>
      </w:r>
      <w:r w:rsidRPr="0025250D">
        <w:rPr>
          <w:rFonts w:hint="cs"/>
          <w:rtl/>
        </w:rPr>
        <w:t xml:space="preserve"> درست (جمعی) برای سازمان وجود ندارد. دست یابی به همه این سه عنصر به درکی قوی از محیط رقابتی و استفاده ماهرانه از ابزارهای مدیریت </w:t>
      </w:r>
      <w:r w:rsidR="00701E03" w:rsidRPr="0025250D">
        <w:rPr>
          <w:rFonts w:hint="cs"/>
          <w:rtl/>
        </w:rPr>
        <w:t>راهبردی</w:t>
      </w:r>
      <w:r w:rsidRPr="0025250D">
        <w:rPr>
          <w:rFonts w:hint="cs"/>
          <w:rtl/>
        </w:rPr>
        <w:t xml:space="preserve"> نیاز دارد. اگر یک متخصص </w:t>
      </w:r>
      <w:r w:rsidRPr="0025250D">
        <w:rPr>
          <w:rtl/>
        </w:rPr>
        <w:t>آینده‌نگاری</w:t>
      </w:r>
      <w:r w:rsidRPr="0025250D">
        <w:rPr>
          <w:rFonts w:hint="cs"/>
          <w:rtl/>
        </w:rPr>
        <w:t xml:space="preserve"> در تشخیص مؤثر باشد، اما وارد فاز‌های باقیمانده از </w:t>
      </w:r>
      <w:r w:rsidR="00701E03" w:rsidRPr="0025250D">
        <w:rPr>
          <w:rFonts w:hint="cs"/>
          <w:rtl/>
        </w:rPr>
        <w:t>راهبرد</w:t>
      </w:r>
      <w:r w:rsidRPr="0025250D">
        <w:rPr>
          <w:rFonts w:hint="cs"/>
          <w:rtl/>
        </w:rPr>
        <w:t xml:space="preserve"> نشود، باید همکاران یا کارسپارانی را که می‌توانند این کار حیاتی را انجام دهند بیابند و با آن‌ها ملاقات کنند.</w:t>
      </w:r>
    </w:p>
    <w:p w14:paraId="3286AF0F" w14:textId="77777777" w:rsidR="00537CC8" w:rsidRPr="0025250D" w:rsidRDefault="00537CC8" w:rsidP="00B25F58">
      <w:pPr>
        <w:jc w:val="center"/>
        <w:rPr>
          <w:rtl/>
        </w:rPr>
      </w:pPr>
      <w:r w:rsidRPr="0025250D">
        <w:rPr>
          <w:noProof/>
          <w:rtl/>
          <w:lang w:bidi="ar-SA"/>
        </w:rPr>
        <w:drawing>
          <wp:inline distT="0" distB="0" distL="0" distR="0" wp14:anchorId="09B3BF97" wp14:editId="2F0904C3">
            <wp:extent cx="1362710" cy="2138900"/>
            <wp:effectExtent l="0" t="0" r="8890" b="0"/>
            <wp:docPr id="94" name="Picture 94" descr="D:\کار\مستقل\3 ( ترجمه ی دانشگاه تهران  )\Introduction to Foresight\part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4\12.png"/>
                    <pic:cNvPicPr>
                      <a:picLocks noChangeAspect="1" noChangeArrowheads="1"/>
                    </pic:cNvPicPr>
                  </pic:nvPicPr>
                  <pic:blipFill rotWithShape="1">
                    <a:blip r:embed="rId146" cstate="screen">
                      <a:extLst>
                        <a:ext uri="{BEBA8EAE-BF5A-486C-A8C5-ECC9F3942E4B}">
                          <a14:imgProps xmlns:a14="http://schemas.microsoft.com/office/drawing/2010/main">
                            <a14:imgLayer r:embed="rId147">
                              <a14:imgEffect>
                                <a14:saturation sat="0"/>
                              </a14:imgEffect>
                            </a14:imgLayer>
                          </a14:imgProps>
                        </a:ext>
                        <a:ext uri="{28A0092B-C50C-407E-A947-70E740481C1C}">
                          <a14:useLocalDpi xmlns:a14="http://schemas.microsoft.com/office/drawing/2010/main"/>
                        </a:ext>
                      </a:extLst>
                    </a:blip>
                    <a:srcRect b="8853"/>
                    <a:stretch/>
                  </pic:blipFill>
                  <pic:spPr bwMode="auto">
                    <a:xfrm>
                      <a:off x="0" y="0"/>
                      <a:ext cx="1367293" cy="2146093"/>
                    </a:xfrm>
                    <a:prstGeom prst="rect">
                      <a:avLst/>
                    </a:prstGeom>
                    <a:noFill/>
                    <a:ln>
                      <a:noFill/>
                    </a:ln>
                    <a:extLst>
                      <a:ext uri="{53640926-AAD7-44D8-BBD7-CCE9431645EC}">
                        <a14:shadowObscured xmlns:a14="http://schemas.microsoft.com/office/drawing/2010/main"/>
                      </a:ext>
                    </a:extLst>
                  </pic:spPr>
                </pic:pic>
              </a:graphicData>
            </a:graphic>
          </wp:inline>
        </w:drawing>
      </w:r>
    </w:p>
    <w:p w14:paraId="73F6B1AE" w14:textId="77777777" w:rsidR="00537CC8" w:rsidRPr="0025250D" w:rsidRDefault="00537CC8" w:rsidP="00B25F58">
      <w:pPr>
        <w:jc w:val="center"/>
        <w:rPr>
          <w:rtl/>
        </w:rPr>
      </w:pPr>
      <w:r w:rsidRPr="0025250D">
        <w:rPr>
          <w:rFonts w:hint="cs"/>
          <w:rtl/>
        </w:rPr>
        <w:t>روملت، 2011</w:t>
      </w:r>
    </w:p>
    <w:p w14:paraId="5A0B5B3E" w14:textId="428B4392" w:rsidR="00537CC8" w:rsidRPr="0025250D" w:rsidRDefault="00537CC8" w:rsidP="00537CC8">
      <w:pPr>
        <w:rPr>
          <w:rtl/>
        </w:rPr>
      </w:pPr>
      <w:r w:rsidRPr="0025250D">
        <w:rPr>
          <w:rFonts w:hint="cs"/>
          <w:rtl/>
        </w:rPr>
        <w:t xml:space="preserve">درحالی که هر متخصص </w:t>
      </w:r>
      <w:r w:rsidRPr="0025250D">
        <w:rPr>
          <w:rtl/>
        </w:rPr>
        <w:t>آینده‌نگاری</w:t>
      </w:r>
      <w:r w:rsidRPr="0025250D">
        <w:rPr>
          <w:rFonts w:hint="cs"/>
          <w:rtl/>
        </w:rPr>
        <w:t xml:space="preserve"> باید برای تخصص هر بخشی که به نظر خود در آن تناسب دارد آزاد باشد، به صورت </w:t>
      </w:r>
      <w:r w:rsidR="0008779C" w:rsidRPr="0025250D">
        <w:rPr>
          <w:rFonts w:hint="cs"/>
          <w:rtl/>
        </w:rPr>
        <w:t>ایدئال</w:t>
      </w:r>
      <w:r w:rsidRPr="0025250D">
        <w:rPr>
          <w:rFonts w:hint="cs"/>
          <w:rtl/>
        </w:rPr>
        <w:t xml:space="preserve">، هر مشاوری نیز باید در انجام کار و تسهیل مکالمات و ارتباطات درمورد چهار </w:t>
      </w:r>
      <w:r w:rsidRPr="0025250D">
        <w:t>P</w:t>
      </w:r>
      <w:r w:rsidRPr="0025250D">
        <w:rPr>
          <w:rFonts w:hint="cs"/>
          <w:rtl/>
        </w:rPr>
        <w:t xml:space="preserve"> راحت باشد. تقابل </w:t>
      </w:r>
      <w:r w:rsidR="00D92F6E" w:rsidRPr="0025250D">
        <w:rPr>
          <w:rFonts w:hint="cs"/>
          <w:rtl/>
        </w:rPr>
        <w:t>پیش‌بین</w:t>
      </w:r>
      <w:r w:rsidRPr="0025250D">
        <w:rPr>
          <w:rFonts w:hint="cs"/>
          <w:rtl/>
        </w:rPr>
        <w:t xml:space="preserve"> که پس از آن تقابل </w:t>
      </w:r>
      <w:r w:rsidR="002B6515" w:rsidRPr="0025250D">
        <w:rPr>
          <w:rtl/>
        </w:rPr>
        <w:t>حس‌داد</w:t>
      </w:r>
      <w:r w:rsidRPr="0025250D">
        <w:rPr>
          <w:rFonts w:hint="cs"/>
          <w:rtl/>
        </w:rPr>
        <w:t xml:space="preserve"> انجام شود و </w:t>
      </w:r>
      <w:r w:rsidR="00EE4B64" w:rsidRPr="0025250D">
        <w:rPr>
          <w:rFonts w:hint="cs"/>
          <w:rtl/>
        </w:rPr>
        <w:t>چشم‌اندازسازی</w:t>
      </w:r>
      <w:r w:rsidRPr="0025250D">
        <w:rPr>
          <w:rFonts w:hint="cs"/>
          <w:rtl/>
        </w:rPr>
        <w:t xml:space="preserve"> مثبت و منفی، باید معمولا به دقت در گام‌های اول و دوم ایجاد </w:t>
      </w:r>
      <w:r w:rsidR="00701E03" w:rsidRPr="0025250D">
        <w:rPr>
          <w:rFonts w:hint="cs"/>
          <w:rtl/>
        </w:rPr>
        <w:t>راهبرد</w:t>
      </w:r>
      <w:r w:rsidRPr="0025250D">
        <w:rPr>
          <w:rFonts w:hint="cs"/>
          <w:rtl/>
        </w:rPr>
        <w:t xml:space="preserve"> </w:t>
      </w:r>
      <w:r w:rsidRPr="0025250D">
        <w:rPr>
          <w:rtl/>
        </w:rPr>
        <w:t>روملت</w:t>
      </w:r>
      <w:r w:rsidRPr="0025250D">
        <w:rPr>
          <w:rFonts w:hint="cs"/>
          <w:rtl/>
        </w:rPr>
        <w:t xml:space="preserve"> انجام شوند. اگر متخصص </w:t>
      </w:r>
      <w:r w:rsidRPr="0025250D">
        <w:rPr>
          <w:rtl/>
        </w:rPr>
        <w:t>آینده‌نگاری</w:t>
      </w:r>
      <w:r w:rsidRPr="0025250D">
        <w:rPr>
          <w:rFonts w:hint="cs"/>
          <w:rtl/>
        </w:rPr>
        <w:t xml:space="preserve"> قبل از این کار یادگیری هدفمندی درمورد گذشته و حال مرتبط با این تشخیص داشته باشد، موارد اساسی و پایه‌ای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را انجام داده است.</w:t>
      </w:r>
    </w:p>
    <w:p w14:paraId="00B83D42" w14:textId="0D97229C" w:rsidR="00537CC8" w:rsidRPr="0025250D" w:rsidRDefault="00537CC8" w:rsidP="00537CC8">
      <w:pPr>
        <w:rPr>
          <w:rtl/>
        </w:rPr>
      </w:pPr>
      <w:r w:rsidRPr="0025250D">
        <w:rPr>
          <w:rFonts w:hint="cs"/>
          <w:rtl/>
        </w:rPr>
        <w:t xml:space="preserve">اگر متخصص </w:t>
      </w:r>
      <w:r w:rsidRPr="0025250D">
        <w:rPr>
          <w:rtl/>
        </w:rPr>
        <w:t>آینده‌نگاری</w:t>
      </w:r>
      <w:r w:rsidRPr="0025250D">
        <w:rPr>
          <w:rFonts w:hint="cs"/>
          <w:rtl/>
        </w:rPr>
        <w:t xml:space="preserve"> تجربه یا آموزش کافی برای تولید </w:t>
      </w:r>
      <w:r w:rsidR="00701E03" w:rsidRPr="0025250D">
        <w:rPr>
          <w:rFonts w:hint="cs"/>
          <w:rtl/>
        </w:rPr>
        <w:t>راهبرد</w:t>
      </w:r>
      <w:r w:rsidRPr="0025250D">
        <w:rPr>
          <w:rFonts w:hint="cs"/>
          <w:rtl/>
        </w:rPr>
        <w:t xml:space="preserve"> خوب نداشته باشد و با موارد پایه‌ای مدیریت </w:t>
      </w:r>
      <w:r w:rsidR="00701E03" w:rsidRPr="0025250D">
        <w:rPr>
          <w:rFonts w:hint="cs"/>
          <w:rtl/>
        </w:rPr>
        <w:t>راهبردی</w:t>
      </w:r>
      <w:r w:rsidRPr="0025250D">
        <w:rPr>
          <w:rFonts w:hint="cs"/>
          <w:rtl/>
        </w:rPr>
        <w:t xml:space="preserve"> آشنا نباشد، باید برای </w:t>
      </w:r>
      <w:r w:rsidR="003C60A1" w:rsidRPr="0025250D">
        <w:rPr>
          <w:rFonts w:hint="cs"/>
          <w:rtl/>
        </w:rPr>
        <w:t>همکاری</w:t>
      </w:r>
      <w:r w:rsidRPr="0025250D">
        <w:rPr>
          <w:rFonts w:hint="cs"/>
          <w:rtl/>
        </w:rPr>
        <w:t xml:space="preserve"> با متخصصینی که می‌توانند این کار را انجام دهند تلاش کند تا بتواند</w:t>
      </w:r>
      <w:r w:rsidR="00950293" w:rsidRPr="0025250D">
        <w:rPr>
          <w:rFonts w:hint="cs"/>
          <w:rtl/>
        </w:rPr>
        <w:t xml:space="preserve"> از</w:t>
      </w:r>
      <w:r w:rsidRPr="0025250D">
        <w:rPr>
          <w:rFonts w:hint="cs"/>
          <w:rtl/>
        </w:rPr>
        <w:t xml:space="preserve"> این که </w:t>
      </w:r>
      <w:r w:rsidRPr="0025250D">
        <w:rPr>
          <w:rtl/>
        </w:rPr>
        <w:t>آینده‌نگاری</w:t>
      </w:r>
      <w:r w:rsidRPr="0025250D">
        <w:rPr>
          <w:rFonts w:hint="cs"/>
          <w:rtl/>
        </w:rPr>
        <w:t xml:space="preserve"> به </w:t>
      </w:r>
      <w:r w:rsidR="00701E03" w:rsidRPr="0025250D">
        <w:rPr>
          <w:rFonts w:hint="cs"/>
          <w:rtl/>
        </w:rPr>
        <w:t>راهبرد</w:t>
      </w:r>
      <w:r w:rsidRPr="0025250D">
        <w:rPr>
          <w:rFonts w:hint="cs"/>
          <w:rtl/>
        </w:rPr>
        <w:t>، اعمال و نتایج تفسیر می‌شود</w:t>
      </w:r>
      <w:r w:rsidR="000B516C" w:rsidRPr="0025250D">
        <w:rPr>
          <w:rFonts w:hint="cs"/>
          <w:rtl/>
        </w:rPr>
        <w:t xml:space="preserve"> </w:t>
      </w:r>
      <w:r w:rsidR="00950293" w:rsidRPr="0025250D">
        <w:rPr>
          <w:rFonts w:hint="cs"/>
          <w:rtl/>
        </w:rPr>
        <w:t>اطمینان حاصل کند</w:t>
      </w:r>
      <w:r w:rsidRPr="0025250D">
        <w:rPr>
          <w:rFonts w:hint="cs"/>
          <w:rtl/>
        </w:rPr>
        <w:t>. به بیان دیگر، دانستن این که جایگاه ما در سازمان کجاست، هم درون هشت مهارت و هم در زنجیره ارزش مدیریت و کار با بهترین متخصصین ممکن در زنجیره ارزش، کلید داشتن تأثیر واقعی بر کارسپار و مورد احترام بودن توسط همکارانمان در مدیریت و رهبری است.</w:t>
      </w:r>
    </w:p>
    <w:p w14:paraId="3712B763" w14:textId="29A72863" w:rsidR="00537CC8" w:rsidRPr="0025250D" w:rsidRDefault="00537CC8" w:rsidP="00537CC8">
      <w:pPr>
        <w:rPr>
          <w:rtl/>
        </w:rPr>
      </w:pPr>
      <w:r w:rsidRPr="0025250D">
        <w:rPr>
          <w:rFonts w:hint="cs"/>
          <w:rtl/>
        </w:rPr>
        <w:t xml:space="preserve">برخی متخصصین </w:t>
      </w:r>
      <w:r w:rsidRPr="0025250D">
        <w:rPr>
          <w:rtl/>
        </w:rPr>
        <w:t>آینده‌نگاری</w:t>
      </w:r>
      <w:r w:rsidRPr="0025250D">
        <w:rPr>
          <w:rFonts w:hint="cs"/>
          <w:rtl/>
        </w:rPr>
        <w:t xml:space="preserve"> می‌توانند </w:t>
      </w:r>
      <w:r w:rsidR="00701E03" w:rsidRPr="0025250D">
        <w:rPr>
          <w:rFonts w:hint="cs"/>
          <w:rtl/>
        </w:rPr>
        <w:t>راهبرد</w:t>
      </w:r>
      <w:r w:rsidRPr="0025250D">
        <w:rPr>
          <w:rFonts w:hint="cs"/>
          <w:rtl/>
        </w:rPr>
        <w:t xml:space="preserve"> خوبی تولید کنند، اما بسیاری</w:t>
      </w:r>
      <w:r w:rsidR="00EE4B64" w:rsidRPr="0025250D">
        <w:rPr>
          <w:rFonts w:hint="cs"/>
          <w:rtl/>
        </w:rPr>
        <w:t xml:space="preserve"> نمی‌</w:t>
      </w:r>
      <w:r w:rsidRPr="0025250D">
        <w:rPr>
          <w:rFonts w:hint="cs"/>
          <w:rtl/>
        </w:rPr>
        <w:t xml:space="preserve">توانند. بسیاری از فعالان در زمینه ما ترجیح می‌دهند که بر تولید اسناد، کارگاه‌ها یا روید‌های تسهیل شده </w:t>
      </w:r>
      <w:r w:rsidRPr="0025250D">
        <w:rPr>
          <w:rtl/>
        </w:rPr>
        <w:t>آینده‌نگاری</w:t>
      </w:r>
      <w:r w:rsidRPr="0025250D">
        <w:rPr>
          <w:rFonts w:hint="cs"/>
          <w:rtl/>
        </w:rPr>
        <w:t xml:space="preserve"> که عناصر آینده در آن‌ها کاوش می‌شوند، تمرکز کنند. اغلب، چند طرح، سیاست و اقدام معدود جدید به‌عنوان نتیجه این کار توصیه می‌شوند. به صورت </w:t>
      </w:r>
      <w:r w:rsidR="0008779C" w:rsidRPr="0025250D">
        <w:rPr>
          <w:rFonts w:hint="cs"/>
          <w:rtl/>
        </w:rPr>
        <w:t>ایدئال</w:t>
      </w:r>
      <w:r w:rsidRPr="0025250D">
        <w:rPr>
          <w:rFonts w:hint="cs"/>
          <w:rtl/>
        </w:rPr>
        <w:t xml:space="preserve">، این برآمد‌ها به خوبی ثبت، خلاصه سازی، </w:t>
      </w:r>
      <w:r w:rsidR="00274907" w:rsidRPr="0025250D">
        <w:rPr>
          <w:rFonts w:hint="cs"/>
          <w:rtl/>
        </w:rPr>
        <w:t>به‌اشتراک‌گذار</w:t>
      </w:r>
      <w:r w:rsidRPr="0025250D">
        <w:rPr>
          <w:rFonts w:hint="cs"/>
          <w:rtl/>
        </w:rPr>
        <w:t xml:space="preserve">ی و نقد می‌شوند. با این حال هیچ یک از این‌ها یک </w:t>
      </w:r>
      <w:r w:rsidR="00701E03" w:rsidRPr="0025250D">
        <w:rPr>
          <w:rFonts w:hint="cs"/>
          <w:rtl/>
        </w:rPr>
        <w:t>راهبرد</w:t>
      </w:r>
      <w:r w:rsidRPr="0025250D">
        <w:rPr>
          <w:rFonts w:hint="cs"/>
          <w:rtl/>
        </w:rPr>
        <w:t xml:space="preserve"> نیستند. این تنها بستن یک حلقه انجام می‌باشد.</w:t>
      </w:r>
    </w:p>
    <w:p w14:paraId="64122376" w14:textId="28826DFF" w:rsidR="00537CC8" w:rsidRPr="0025250D" w:rsidRDefault="00537CC8" w:rsidP="00537CC8">
      <w:pPr>
        <w:rPr>
          <w:rtl/>
        </w:rPr>
      </w:pPr>
      <w:r w:rsidRPr="0025250D">
        <w:rPr>
          <w:rFonts w:hint="cs"/>
          <w:rtl/>
        </w:rPr>
        <w:t xml:space="preserve">متخصصین </w:t>
      </w:r>
      <w:r w:rsidRPr="0025250D">
        <w:rPr>
          <w:rtl/>
        </w:rPr>
        <w:t>آینده‌نگاری</w:t>
      </w:r>
      <w:r w:rsidRPr="0025250D">
        <w:rPr>
          <w:rFonts w:hint="cs"/>
          <w:rtl/>
        </w:rPr>
        <w:t xml:space="preserve"> بسیاری کاملا هم در هشت مهارت و هم در چهار مهارت کانونی </w:t>
      </w:r>
      <w:r w:rsidRPr="0025250D">
        <w:t>LAIS</w:t>
      </w:r>
      <w:r w:rsidRPr="0025250D">
        <w:rPr>
          <w:rFonts w:hint="cs"/>
          <w:rtl/>
        </w:rPr>
        <w:t xml:space="preserve"> ما تخصص دارند. تخصص ما را به طور مشخص شایسته می‌سازد</w:t>
      </w:r>
      <w:r w:rsidR="008D6F97" w:rsidRPr="0025250D">
        <w:rPr>
          <w:rtl/>
        </w:rPr>
        <w:t xml:space="preserve">؛ </w:t>
      </w:r>
      <w:r w:rsidR="0020589F" w:rsidRPr="0025250D">
        <w:rPr>
          <w:rtl/>
        </w:rPr>
        <w:t>اما</w:t>
      </w:r>
      <w:r w:rsidRPr="0025250D">
        <w:rPr>
          <w:rFonts w:hint="cs"/>
          <w:rtl/>
        </w:rPr>
        <w:t xml:space="preserve"> باید همچنین تصویر کلان‌تر را هم ببینیم و درک کنیم که چگونه </w:t>
      </w:r>
      <w:r w:rsidRPr="0025250D">
        <w:rPr>
          <w:rtl/>
        </w:rPr>
        <w:t>آینده‌نگاری</w:t>
      </w:r>
      <w:r w:rsidRPr="0025250D">
        <w:rPr>
          <w:rFonts w:hint="cs"/>
          <w:rtl/>
        </w:rPr>
        <w:t xml:space="preserve"> به عمل تفسیر و تعبیر می‌شود. ما باید ارزیابی کنیم که آیا حلقه‌های انجام کارسپار ما به خوبی اجرا می‌شوند یا خیر، آیا هیچ یک از هشت مهارت نادیده گرفته </w:t>
      </w:r>
      <w:r w:rsidR="00185F3E" w:rsidRPr="0025250D">
        <w:rPr>
          <w:rFonts w:hint="cs"/>
          <w:rtl/>
        </w:rPr>
        <w:t>شده‌اند</w:t>
      </w:r>
      <w:r w:rsidRPr="0025250D">
        <w:rPr>
          <w:rFonts w:hint="cs"/>
          <w:rtl/>
        </w:rPr>
        <w:t xml:space="preserve"> یا خیر و کدام تخصص‌های عملی </w:t>
      </w:r>
      <w:r w:rsidRPr="0025250D">
        <w:rPr>
          <w:rtl/>
        </w:rPr>
        <w:t>آینده‌نگاری</w:t>
      </w:r>
      <w:r w:rsidRPr="0025250D">
        <w:rPr>
          <w:rFonts w:hint="cs"/>
          <w:rtl/>
        </w:rPr>
        <w:t xml:space="preserve"> سازمانی مفید هستند و با این حال وجود ندارند؟ ما همچنین باید درمورد ارزش‌ها بحث کنیم تا به سازمان برای ارتقا کمک کنیم.</w:t>
      </w:r>
    </w:p>
    <w:p w14:paraId="26E74AA6" w14:textId="649B63FA" w:rsidR="00537CC8" w:rsidRPr="0025250D" w:rsidRDefault="00537CC8" w:rsidP="00537CC8">
      <w:pPr>
        <w:rPr>
          <w:rtl/>
        </w:rPr>
      </w:pPr>
      <w:r w:rsidRPr="0025250D">
        <w:rPr>
          <w:rFonts w:hint="cs"/>
          <w:rtl/>
        </w:rPr>
        <w:t xml:space="preserve">هر مهارت به خودی خود ممکن است به بهترین شکل از طریق روش‌ها و اقداماتی که ما در آن‌ها خوب نیستیم انجام شود. شناسایی آنچه مورد نیاز است و کمک به کارسپاران برای رسیدن به این </w:t>
      </w:r>
      <w:r w:rsidR="00923DDB" w:rsidRPr="0025250D">
        <w:rPr>
          <w:rFonts w:hint="cs"/>
          <w:rtl/>
        </w:rPr>
        <w:t>راه‌حل</w:t>
      </w:r>
      <w:r w:rsidRPr="0025250D">
        <w:rPr>
          <w:rFonts w:hint="cs"/>
          <w:rtl/>
        </w:rPr>
        <w:t>‌ها وظیفه ماست. بیایید چند مثال را در نظر بگیریم:</w:t>
      </w:r>
    </w:p>
    <w:p w14:paraId="1227818C" w14:textId="6870BBAC" w:rsidR="00537CC8" w:rsidRPr="0025250D" w:rsidRDefault="00537CC8" w:rsidP="00492C47">
      <w:pPr>
        <w:numPr>
          <w:ilvl w:val="0"/>
          <w:numId w:val="33"/>
        </w:numPr>
      </w:pPr>
      <w:r w:rsidRPr="0025250D">
        <w:rPr>
          <w:rFonts w:hint="cs"/>
          <w:rtl/>
        </w:rPr>
        <w:t xml:space="preserve">برای یادگیری، یک متخصص </w:t>
      </w:r>
      <w:r w:rsidRPr="0025250D">
        <w:rPr>
          <w:rtl/>
        </w:rPr>
        <w:t>آینده‌نگاری</w:t>
      </w:r>
      <w:r w:rsidRPr="0025250D">
        <w:rPr>
          <w:rFonts w:hint="cs"/>
          <w:rtl/>
        </w:rPr>
        <w:t xml:space="preserve"> ممکن است در اقداماتی مانند افق پویی یا تحلیل مسائل پدیدار شونده آینده تخصص داشته باشد، اما در دیگر موارد مفید، مانند تحقیقات تاریخی، محک زنی یا هوش رقابتی تخصصی نداشته باشد.</w:t>
      </w:r>
    </w:p>
    <w:p w14:paraId="10A19707" w14:textId="7FB7F1C2" w:rsidR="00537CC8" w:rsidRPr="0025250D" w:rsidRDefault="00537CC8" w:rsidP="00492C47">
      <w:pPr>
        <w:numPr>
          <w:ilvl w:val="0"/>
          <w:numId w:val="33"/>
        </w:numPr>
      </w:pPr>
      <w:r w:rsidRPr="0025250D">
        <w:rPr>
          <w:rFonts w:hint="cs"/>
          <w:rtl/>
        </w:rPr>
        <w:t xml:space="preserve">برای </w:t>
      </w:r>
      <w:r w:rsidR="00923DDB" w:rsidRPr="0025250D">
        <w:rPr>
          <w:rFonts w:hint="cs"/>
          <w:rtl/>
        </w:rPr>
        <w:t>پیش‌انگاری</w:t>
      </w:r>
      <w:r w:rsidRPr="0025250D">
        <w:rPr>
          <w:rFonts w:hint="cs"/>
          <w:rtl/>
        </w:rPr>
        <w:t xml:space="preserve">، یک متخصص </w:t>
      </w:r>
      <w:r w:rsidRPr="0025250D">
        <w:rPr>
          <w:rtl/>
        </w:rPr>
        <w:t>آینده‌نگاری</w:t>
      </w:r>
      <w:r w:rsidRPr="0025250D">
        <w:rPr>
          <w:rFonts w:hint="cs"/>
          <w:rtl/>
        </w:rPr>
        <w:t xml:space="preserve"> می‌تواند ارزیابی دلفی، کشف روندها، ترسیم همگرایی</w:t>
      </w:r>
      <w:r w:rsidRPr="0025250D">
        <w:rPr>
          <w:vertAlign w:val="superscript"/>
          <w:rtl/>
        </w:rPr>
        <w:footnoteReference w:id="1540"/>
      </w:r>
      <w:r w:rsidRPr="0025250D">
        <w:rPr>
          <w:rFonts w:hint="cs"/>
          <w:rtl/>
        </w:rPr>
        <w:t xml:space="preserve"> یا </w:t>
      </w:r>
      <w:r w:rsidRPr="0025250D">
        <w:rPr>
          <w:rtl/>
        </w:rPr>
        <w:t>ارز</w:t>
      </w:r>
      <w:r w:rsidRPr="0025250D">
        <w:rPr>
          <w:rFonts w:hint="cs"/>
          <w:rtl/>
        </w:rPr>
        <w:t>ی</w:t>
      </w:r>
      <w:r w:rsidRPr="0025250D">
        <w:rPr>
          <w:rFonts w:hint="eastAsia"/>
          <w:rtl/>
        </w:rPr>
        <w:t>اب</w:t>
      </w:r>
      <w:r w:rsidRPr="0025250D">
        <w:rPr>
          <w:rFonts w:hint="cs"/>
          <w:rtl/>
        </w:rPr>
        <w:t>ی</w:t>
      </w:r>
      <w:r w:rsidRPr="0025250D">
        <w:rPr>
          <w:rtl/>
        </w:rPr>
        <w:t xml:space="preserve"> صف</w:t>
      </w:r>
      <w:r w:rsidRPr="0025250D">
        <w:rPr>
          <w:rFonts w:hint="cs"/>
          <w:rtl/>
        </w:rPr>
        <w:t>ا</w:t>
      </w:r>
      <w:r w:rsidRPr="0025250D">
        <w:rPr>
          <w:rtl/>
        </w:rPr>
        <w:t>ت</w:t>
      </w:r>
      <w:r w:rsidRPr="0025250D">
        <w:rPr>
          <w:rFonts w:hint="cs"/>
          <w:rtl/>
        </w:rPr>
        <w:t xml:space="preserve"> را انجام دهد، اما ممکن است تحلیل آماری </w:t>
      </w:r>
      <w:r w:rsidR="00D92F6E" w:rsidRPr="0025250D">
        <w:rPr>
          <w:rFonts w:hint="cs"/>
          <w:rtl/>
        </w:rPr>
        <w:t>پیش‌بین</w:t>
      </w:r>
      <w:r w:rsidRPr="0025250D">
        <w:rPr>
          <w:rFonts w:hint="cs"/>
          <w:rtl/>
        </w:rPr>
        <w:t xml:space="preserve">ی کننده، </w:t>
      </w:r>
      <w:r w:rsidR="00FB6A7E" w:rsidRPr="0025250D">
        <w:rPr>
          <w:rFonts w:hint="cs"/>
          <w:rtl/>
        </w:rPr>
        <w:t>پیش‌نگری</w:t>
      </w:r>
      <w:r w:rsidRPr="0025250D">
        <w:rPr>
          <w:rFonts w:hint="cs"/>
          <w:rtl/>
        </w:rPr>
        <w:t xml:space="preserve">، مدلسازی، تحلیل ریسک یا </w:t>
      </w:r>
      <w:r w:rsidR="00D92F6E" w:rsidRPr="0025250D">
        <w:rPr>
          <w:rFonts w:hint="cs"/>
          <w:rtl/>
        </w:rPr>
        <w:t>پیش‌بین</w:t>
      </w:r>
      <w:r w:rsidRPr="0025250D">
        <w:rPr>
          <w:rFonts w:hint="cs"/>
          <w:rtl/>
        </w:rPr>
        <w:t>ی بازارها را انجام ندهد.</w:t>
      </w:r>
    </w:p>
    <w:p w14:paraId="222B9FBE" w14:textId="77777777" w:rsidR="00537CC8" w:rsidRPr="0025250D" w:rsidRDefault="00537CC8" w:rsidP="00492C47">
      <w:pPr>
        <w:numPr>
          <w:ilvl w:val="0"/>
          <w:numId w:val="33"/>
        </w:numPr>
      </w:pPr>
      <w:r w:rsidRPr="0025250D">
        <w:rPr>
          <w:rFonts w:hint="cs"/>
          <w:rtl/>
        </w:rPr>
        <w:t xml:space="preserve">برای نوآوری، یک متخصص </w:t>
      </w:r>
      <w:r w:rsidRPr="0025250D">
        <w:rPr>
          <w:rtl/>
        </w:rPr>
        <w:t>آینده‌نگاری</w:t>
      </w:r>
      <w:r w:rsidRPr="0025250D">
        <w:rPr>
          <w:rFonts w:hint="cs"/>
          <w:rtl/>
        </w:rPr>
        <w:t xml:space="preserve"> می‌تواند دوست داشته باشد که تصویر سازی خلاقانه، فرانامه‌ها، تحلیل تأثیر متقابل</w:t>
      </w:r>
      <w:r w:rsidRPr="0025250D">
        <w:rPr>
          <w:vertAlign w:val="superscript"/>
          <w:rtl/>
        </w:rPr>
        <w:footnoteReference w:id="1541"/>
      </w:r>
      <w:r w:rsidRPr="0025250D">
        <w:rPr>
          <w:rFonts w:hint="cs"/>
          <w:rtl/>
        </w:rPr>
        <w:t xml:space="preserve"> و ایده پردازی را انجام دهد، اما ممکن است ترجیح دهد که تفکر طراحی، ارزیابی فرصت‌ها، تحلیل ریخت شناسی، نمونه سازی، مدیریت ایده پردازی یا نوآوری باز را انجام ندهد.</w:t>
      </w:r>
    </w:p>
    <w:p w14:paraId="7E9BF856" w14:textId="30B3E370" w:rsidR="00537CC8" w:rsidRPr="0025250D" w:rsidRDefault="00537CC8" w:rsidP="00492C47">
      <w:pPr>
        <w:numPr>
          <w:ilvl w:val="0"/>
          <w:numId w:val="33"/>
        </w:numPr>
      </w:pPr>
      <w:r w:rsidRPr="0025250D">
        <w:rPr>
          <w:rFonts w:hint="cs"/>
          <w:rtl/>
        </w:rPr>
        <w:t xml:space="preserve">برای </w:t>
      </w:r>
      <w:r w:rsidR="00701E03" w:rsidRPr="0025250D">
        <w:rPr>
          <w:rFonts w:hint="cs"/>
          <w:rtl/>
        </w:rPr>
        <w:t>راهبرد</w:t>
      </w:r>
      <w:r w:rsidRPr="0025250D">
        <w:rPr>
          <w:rFonts w:hint="cs"/>
          <w:rtl/>
        </w:rPr>
        <w:t xml:space="preserve">، یک متخصص </w:t>
      </w:r>
      <w:r w:rsidRPr="0025250D">
        <w:rPr>
          <w:rtl/>
        </w:rPr>
        <w:t>آینده‌نگاری</w:t>
      </w:r>
      <w:r w:rsidRPr="0025250D">
        <w:rPr>
          <w:rFonts w:hint="cs"/>
          <w:rtl/>
        </w:rPr>
        <w:t xml:space="preserve"> ممکن است در تسهیل </w:t>
      </w:r>
      <w:r w:rsidR="00B56611" w:rsidRPr="0025250D">
        <w:rPr>
          <w:rFonts w:hint="cs"/>
          <w:rtl/>
        </w:rPr>
        <w:t>چشم‌انداز</w:t>
      </w:r>
      <w:r w:rsidRPr="0025250D">
        <w:rPr>
          <w:rFonts w:hint="cs"/>
          <w:rtl/>
        </w:rPr>
        <w:t xml:space="preserve">‌های مرجح و قابل اجتناب، بازی </w:t>
      </w:r>
      <w:r w:rsidR="00701E03" w:rsidRPr="0025250D">
        <w:rPr>
          <w:rFonts w:hint="cs"/>
          <w:rtl/>
        </w:rPr>
        <w:t>راهبرد</w:t>
      </w:r>
      <w:r w:rsidRPr="0025250D">
        <w:rPr>
          <w:rFonts w:hint="cs"/>
          <w:rtl/>
        </w:rPr>
        <w:t xml:space="preserve">، </w:t>
      </w:r>
      <w:r w:rsidR="007118DE" w:rsidRPr="0025250D">
        <w:rPr>
          <w:rFonts w:hint="cs"/>
          <w:rtl/>
        </w:rPr>
        <w:t>اولویت‌بندی</w:t>
      </w:r>
      <w:r w:rsidRPr="0025250D">
        <w:rPr>
          <w:rFonts w:hint="cs"/>
          <w:rtl/>
        </w:rPr>
        <w:t xml:space="preserve"> و </w:t>
      </w:r>
      <w:r w:rsidR="00B124DE" w:rsidRPr="0025250D">
        <w:rPr>
          <w:rFonts w:hint="cs"/>
          <w:rtl/>
        </w:rPr>
        <w:t>برنامه‌ریزی</w:t>
      </w:r>
      <w:r w:rsidRPr="0025250D">
        <w:rPr>
          <w:rFonts w:hint="cs"/>
          <w:rtl/>
        </w:rPr>
        <w:t xml:space="preserve"> ماهر باشد، اما در سه عنصر کلیدی </w:t>
      </w:r>
      <w:r w:rsidR="00701E03" w:rsidRPr="0025250D">
        <w:rPr>
          <w:rFonts w:hint="cs"/>
          <w:rtl/>
        </w:rPr>
        <w:t>راهبرد</w:t>
      </w:r>
      <w:r w:rsidRPr="0025250D">
        <w:rPr>
          <w:rFonts w:hint="cs"/>
          <w:rtl/>
        </w:rPr>
        <w:t xml:space="preserve"> </w:t>
      </w:r>
      <w:r w:rsidRPr="0025250D">
        <w:rPr>
          <w:rtl/>
        </w:rPr>
        <w:t>روملت</w:t>
      </w:r>
      <w:r w:rsidRPr="0025250D">
        <w:rPr>
          <w:rFonts w:hint="cs"/>
          <w:rtl/>
        </w:rPr>
        <w:t xml:space="preserve"> (تشخیص، سیاست راهنمایی، هماهنگ سازی مجموعه اقدامات) ماهر نباشد. به یاد داشته باشید که بسیاری از شرکت‌ها یک </w:t>
      </w:r>
      <w:r w:rsidR="00701E03" w:rsidRPr="0025250D">
        <w:rPr>
          <w:rFonts w:hint="cs"/>
          <w:rtl/>
        </w:rPr>
        <w:t>راهبرد</w:t>
      </w:r>
      <w:r w:rsidRPr="0025250D">
        <w:rPr>
          <w:rFonts w:hint="cs"/>
          <w:rtl/>
        </w:rPr>
        <w:t xml:space="preserve"> حقیقی ندارند، بلکه ب</w:t>
      </w:r>
      <w:r w:rsidR="00FB67ED" w:rsidRPr="0025250D">
        <w:rPr>
          <w:rFonts w:hint="cs"/>
          <w:rtl/>
        </w:rPr>
        <w:t xml:space="preserve">ه </w:t>
      </w:r>
      <w:r w:rsidRPr="0025250D">
        <w:rPr>
          <w:rFonts w:hint="cs"/>
          <w:rtl/>
        </w:rPr>
        <w:t xml:space="preserve">جای آن مجموعه گسترده‌ای از اهداف، برنامه‌ها و شعار‌ها دارند. آن‌ها ممکن است به یک مشاور </w:t>
      </w:r>
      <w:r w:rsidR="00701E03" w:rsidRPr="0025250D">
        <w:rPr>
          <w:rFonts w:hint="cs"/>
          <w:rtl/>
        </w:rPr>
        <w:t>راهبرد</w:t>
      </w:r>
      <w:r w:rsidRPr="0025250D">
        <w:rPr>
          <w:rFonts w:hint="cs"/>
          <w:rtl/>
        </w:rPr>
        <w:t xml:space="preserve"> نیاز داشته باشند که این نواقص را تشخیص</w:t>
      </w:r>
      <w:r w:rsidR="008D6F97" w:rsidRPr="0025250D">
        <w:rPr>
          <w:rtl/>
        </w:rPr>
        <w:t xml:space="preserve"> </w:t>
      </w:r>
      <w:r w:rsidRPr="0025250D">
        <w:rPr>
          <w:rFonts w:hint="cs"/>
          <w:rtl/>
        </w:rPr>
        <w:t xml:space="preserve">داده و اصلاح کند؛ حتی بیش از نیاز به جنبه‌های دیگر </w:t>
      </w:r>
      <w:r w:rsidRPr="0025250D">
        <w:rPr>
          <w:rtl/>
        </w:rPr>
        <w:t>آینده‌نگاری</w:t>
      </w:r>
      <w:r w:rsidRPr="0025250D">
        <w:rPr>
          <w:rFonts w:hint="cs"/>
          <w:rtl/>
        </w:rPr>
        <w:t xml:space="preserve"> </w:t>
      </w:r>
      <w:r w:rsidRPr="0025250D">
        <w:t>LAIS</w:t>
      </w:r>
      <w:r w:rsidRPr="0025250D">
        <w:rPr>
          <w:rFonts w:hint="cs"/>
          <w:rtl/>
        </w:rPr>
        <w:t>.</w:t>
      </w:r>
    </w:p>
    <w:p w14:paraId="409303E9" w14:textId="221F8789" w:rsidR="00537CC8" w:rsidRPr="0025250D" w:rsidRDefault="00537CC8" w:rsidP="00537CC8">
      <w:pPr>
        <w:rPr>
          <w:rtl/>
        </w:rPr>
      </w:pPr>
      <w:r w:rsidRPr="0025250D">
        <w:rPr>
          <w:rFonts w:hint="cs"/>
          <w:rtl/>
        </w:rPr>
        <w:t xml:space="preserve">همچنین مسئله ترجیحات کارسپار در مذاکره وجود دارد. در عمل، هر یک یا همه سه مهارت اول </w:t>
      </w:r>
      <w:r w:rsidRPr="0025250D">
        <w:t>LAIS</w:t>
      </w:r>
      <w:r w:rsidRPr="0025250D">
        <w:rPr>
          <w:rFonts w:hint="cs"/>
          <w:rtl/>
        </w:rPr>
        <w:t xml:space="preserve">، در حالی که هر یک گامی مقدماتی مهم و حیاتی برای </w:t>
      </w:r>
      <w:r w:rsidR="00701E03" w:rsidRPr="0025250D">
        <w:rPr>
          <w:rFonts w:hint="cs"/>
          <w:rtl/>
        </w:rPr>
        <w:t>راهبرد</w:t>
      </w:r>
      <w:r w:rsidRPr="0025250D">
        <w:rPr>
          <w:rFonts w:hint="cs"/>
          <w:rtl/>
        </w:rPr>
        <w:t xml:space="preserve"> هستند، ممکن است حتی برای کارسپار ما جالب هم نباشند. کارسپاران</w:t>
      </w:r>
      <w:r w:rsidRPr="0025250D">
        <w:rPr>
          <w:rtl/>
        </w:rPr>
        <w:t xml:space="preserve"> معمولاً ب</w:t>
      </w:r>
      <w:r w:rsidRPr="0025250D">
        <w:rPr>
          <w:rFonts w:hint="cs"/>
          <w:rtl/>
        </w:rPr>
        <w:t>ی</w:t>
      </w:r>
      <w:r w:rsidRPr="0025250D">
        <w:rPr>
          <w:rFonts w:hint="eastAsia"/>
          <w:rtl/>
        </w:rPr>
        <w:t>شتر</w:t>
      </w:r>
      <w:r w:rsidRPr="0025250D">
        <w:rPr>
          <w:rtl/>
        </w:rPr>
        <w:t xml:space="preserve"> به </w:t>
      </w:r>
      <w:r w:rsidR="00701E03" w:rsidRPr="0025250D">
        <w:rPr>
          <w:rtl/>
        </w:rPr>
        <w:t>راهبرد</w:t>
      </w:r>
      <w:r w:rsidRPr="0025250D">
        <w:rPr>
          <w:rtl/>
        </w:rPr>
        <w:t xml:space="preserve"> و </w:t>
      </w:r>
      <w:r w:rsidR="00B124DE" w:rsidRPr="0025250D">
        <w:rPr>
          <w:rtl/>
        </w:rPr>
        <w:t>برنامه‌ریزی</w:t>
      </w:r>
      <w:r w:rsidRPr="0025250D">
        <w:rPr>
          <w:rtl/>
        </w:rPr>
        <w:t xml:space="preserve"> </w:t>
      </w:r>
      <w:r w:rsidRPr="0025250D">
        <w:rPr>
          <w:rFonts w:hint="cs"/>
          <w:rtl/>
        </w:rPr>
        <w:t>ی</w:t>
      </w:r>
      <w:r w:rsidRPr="0025250D">
        <w:rPr>
          <w:rFonts w:hint="eastAsia"/>
          <w:rtl/>
        </w:rPr>
        <w:t>ا</w:t>
      </w:r>
      <w:r w:rsidRPr="0025250D">
        <w:rPr>
          <w:rtl/>
        </w:rPr>
        <w:t xml:space="preserve"> آنچه که با</w:t>
      </w:r>
      <w:r w:rsidRPr="0025250D">
        <w:rPr>
          <w:rFonts w:hint="cs"/>
          <w:rtl/>
        </w:rPr>
        <w:t>ی</w:t>
      </w:r>
      <w:r w:rsidRPr="0025250D">
        <w:rPr>
          <w:rFonts w:hint="eastAsia"/>
          <w:rtl/>
        </w:rPr>
        <w:t>د</w:t>
      </w:r>
      <w:r w:rsidRPr="0025250D">
        <w:rPr>
          <w:rtl/>
        </w:rPr>
        <w:t xml:space="preserve"> انجام دهند و چگون</w:t>
      </w:r>
      <w:r w:rsidRPr="0025250D">
        <w:rPr>
          <w:rFonts w:hint="cs"/>
          <w:rtl/>
        </w:rPr>
        <w:t>گی آن</w:t>
      </w:r>
      <w:r w:rsidRPr="0025250D">
        <w:rPr>
          <w:rtl/>
        </w:rPr>
        <w:t xml:space="preserve"> اهم</w:t>
      </w:r>
      <w:r w:rsidRPr="0025250D">
        <w:rPr>
          <w:rFonts w:hint="cs"/>
          <w:rtl/>
        </w:rPr>
        <w:t>ی</w:t>
      </w:r>
      <w:r w:rsidRPr="0025250D">
        <w:rPr>
          <w:rFonts w:hint="eastAsia"/>
          <w:rtl/>
        </w:rPr>
        <w:t>ت</w:t>
      </w:r>
      <w:r w:rsidRPr="0025250D">
        <w:rPr>
          <w:rtl/>
        </w:rPr>
        <w:t xml:space="preserve"> می‌دهند</w:t>
      </w:r>
      <w:r w:rsidRPr="0025250D">
        <w:rPr>
          <w:rFonts w:hint="cs"/>
          <w:rtl/>
        </w:rPr>
        <w:t xml:space="preserve">. </w:t>
      </w:r>
      <w:r w:rsidRPr="0025250D">
        <w:rPr>
          <w:rtl/>
        </w:rPr>
        <w:t>برخ</w:t>
      </w:r>
      <w:r w:rsidRPr="0025250D">
        <w:rPr>
          <w:rFonts w:hint="cs"/>
          <w:rtl/>
        </w:rPr>
        <w:t>ی</w:t>
      </w:r>
      <w:r w:rsidRPr="0025250D">
        <w:rPr>
          <w:rtl/>
        </w:rPr>
        <w:t xml:space="preserve"> از </w:t>
      </w:r>
      <w:r w:rsidRPr="0025250D">
        <w:rPr>
          <w:rFonts w:hint="cs"/>
          <w:rtl/>
        </w:rPr>
        <w:t>کارسپاران</w:t>
      </w:r>
      <w:r w:rsidRPr="0025250D">
        <w:rPr>
          <w:rtl/>
        </w:rPr>
        <w:t xml:space="preserve"> ممکن است حت</w:t>
      </w:r>
      <w:r w:rsidRPr="0025250D">
        <w:rPr>
          <w:rFonts w:hint="cs"/>
          <w:rtl/>
        </w:rPr>
        <w:t>ی</w:t>
      </w:r>
      <w:r w:rsidRPr="0025250D">
        <w:rPr>
          <w:rtl/>
        </w:rPr>
        <w:t xml:space="preserve"> به خود فرآ</w:t>
      </w:r>
      <w:r w:rsidRPr="0025250D">
        <w:rPr>
          <w:rFonts w:hint="cs"/>
          <w:rtl/>
        </w:rPr>
        <w:t>ی</w:t>
      </w:r>
      <w:r w:rsidRPr="0025250D">
        <w:rPr>
          <w:rFonts w:hint="eastAsia"/>
          <w:rtl/>
        </w:rPr>
        <w:t>ند</w:t>
      </w:r>
      <w:r w:rsidRPr="0025250D">
        <w:rPr>
          <w:rtl/>
        </w:rPr>
        <w:t xml:space="preserve"> تول</w:t>
      </w:r>
      <w:r w:rsidRPr="0025250D">
        <w:rPr>
          <w:rFonts w:hint="cs"/>
          <w:rtl/>
        </w:rPr>
        <w:t>ی</w:t>
      </w:r>
      <w:r w:rsidRPr="0025250D">
        <w:rPr>
          <w:rFonts w:hint="eastAsia"/>
          <w:rtl/>
        </w:rPr>
        <w:t>د</w:t>
      </w:r>
      <w:r w:rsidRPr="0025250D">
        <w:rPr>
          <w:rtl/>
        </w:rPr>
        <w:t xml:space="preserve"> </w:t>
      </w:r>
      <w:r w:rsidR="00701E03" w:rsidRPr="0025250D">
        <w:rPr>
          <w:rtl/>
        </w:rPr>
        <w:t>راهبرد</w:t>
      </w:r>
      <w:r w:rsidRPr="0025250D">
        <w:rPr>
          <w:rtl/>
        </w:rPr>
        <w:t xml:space="preserve"> اهم</w:t>
      </w:r>
      <w:r w:rsidRPr="0025250D">
        <w:rPr>
          <w:rFonts w:hint="cs"/>
          <w:rtl/>
        </w:rPr>
        <w:t>ی</w:t>
      </w:r>
      <w:r w:rsidRPr="0025250D">
        <w:rPr>
          <w:rFonts w:hint="eastAsia"/>
          <w:rtl/>
        </w:rPr>
        <w:t>ت</w:t>
      </w:r>
      <w:r w:rsidRPr="0025250D">
        <w:rPr>
          <w:rFonts w:hint="cs"/>
          <w:rtl/>
        </w:rPr>
        <w:t>ی</w:t>
      </w:r>
      <w:r w:rsidRPr="0025250D">
        <w:rPr>
          <w:rtl/>
        </w:rPr>
        <w:t xml:space="preserve"> ندهند</w:t>
      </w:r>
      <w:r w:rsidRPr="0025250D">
        <w:rPr>
          <w:rFonts w:hint="cs"/>
          <w:rtl/>
        </w:rPr>
        <w:t xml:space="preserve">. آن‌ها ممکن است بجای آن، بحث‌های </w:t>
      </w:r>
      <w:r w:rsidR="00701E03" w:rsidRPr="0025250D">
        <w:rPr>
          <w:rFonts w:hint="cs"/>
          <w:rtl/>
        </w:rPr>
        <w:t>راهبرد</w:t>
      </w:r>
      <w:r w:rsidRPr="0025250D">
        <w:rPr>
          <w:rFonts w:hint="cs"/>
          <w:rtl/>
        </w:rPr>
        <w:t xml:space="preserve"> هدایت شده یا با پایان باز، ایجاد </w:t>
      </w:r>
      <w:r w:rsidR="00B56611" w:rsidRPr="0025250D">
        <w:rPr>
          <w:rFonts w:hint="cs"/>
          <w:rtl/>
        </w:rPr>
        <w:t>چشم‌انداز</w:t>
      </w:r>
      <w:r w:rsidRPr="0025250D">
        <w:rPr>
          <w:rFonts w:hint="cs"/>
          <w:rtl/>
        </w:rPr>
        <w:t xml:space="preserve">‌هایی از آینده‌های مثبت (یا منفی) یا هر فعالیت دیگری را که به تنهایی ما را به خود </w:t>
      </w:r>
      <w:r w:rsidR="00701E03" w:rsidRPr="0025250D">
        <w:rPr>
          <w:rFonts w:hint="cs"/>
          <w:rtl/>
        </w:rPr>
        <w:t>راهبرد</w:t>
      </w:r>
      <w:r w:rsidR="00EE4B64" w:rsidRPr="0025250D">
        <w:rPr>
          <w:rFonts w:hint="cs"/>
          <w:rtl/>
        </w:rPr>
        <w:t xml:space="preserve"> نمی‌</w:t>
      </w:r>
      <w:r w:rsidRPr="0025250D">
        <w:rPr>
          <w:rFonts w:hint="cs"/>
          <w:rtl/>
        </w:rPr>
        <w:t>رساند، ترجیح دهند.</w:t>
      </w:r>
    </w:p>
    <w:p w14:paraId="6309E778" w14:textId="6B6E3B12" w:rsidR="00537CC8" w:rsidRPr="0025250D" w:rsidRDefault="00537CC8" w:rsidP="00537CC8">
      <w:pPr>
        <w:rPr>
          <w:rtl/>
        </w:rPr>
      </w:pPr>
      <w:r w:rsidRPr="0025250D">
        <w:rPr>
          <w:rFonts w:hint="cs"/>
          <w:rtl/>
        </w:rPr>
        <w:t xml:space="preserve">ما به‌عنوان متخصصین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باید </w:t>
      </w:r>
      <w:r w:rsidR="00FB67ED" w:rsidRPr="0025250D">
        <w:rPr>
          <w:rFonts w:hint="cs"/>
          <w:rtl/>
        </w:rPr>
        <w:t>اطمینان حاصل کنیم که</w:t>
      </w:r>
      <w:r w:rsidRPr="0025250D">
        <w:rPr>
          <w:rFonts w:hint="cs"/>
          <w:rtl/>
        </w:rPr>
        <w:t xml:space="preserve"> کارمان با محصولات </w:t>
      </w:r>
      <w:r w:rsidRPr="0025250D">
        <w:rPr>
          <w:rtl/>
        </w:rPr>
        <w:t>آینده‌نگاری</w:t>
      </w:r>
      <w:r w:rsidRPr="0025250D">
        <w:rPr>
          <w:rFonts w:hint="cs"/>
          <w:rtl/>
        </w:rPr>
        <w:t>، کارگاه‌ها یا رویداد‌هایی که افراد را به فکر وا می‌دارند اما زود فراموش می‌شوند، پایان</w:t>
      </w:r>
      <w:r w:rsidR="00EE4B64" w:rsidRPr="0025250D">
        <w:rPr>
          <w:rFonts w:hint="cs"/>
          <w:rtl/>
        </w:rPr>
        <w:t xml:space="preserve"> نمی‌</w:t>
      </w:r>
      <w:r w:rsidRPr="0025250D">
        <w:rPr>
          <w:rFonts w:hint="cs"/>
          <w:rtl/>
        </w:rPr>
        <w:t xml:space="preserve">یابد و گام‌های لازم برای کمک به کارسپارانمان برای رسیدن به </w:t>
      </w:r>
      <w:r w:rsidR="00701E03" w:rsidRPr="0025250D">
        <w:rPr>
          <w:rFonts w:hint="cs"/>
          <w:rtl/>
        </w:rPr>
        <w:t>راهبرد</w:t>
      </w:r>
      <w:r w:rsidRPr="0025250D">
        <w:rPr>
          <w:rFonts w:hint="cs"/>
          <w:rtl/>
        </w:rPr>
        <w:t>، برنامه‌ها، عمل و بازبینی مؤثر را برداریم. برای انجام این کار، ما باید بیاموزیم که در زنجیره ارزش مدیریت در کجا قرار می‌گیریم، باید بتوانیم تشخیص دهیم که یک تیم در کجای این زنجیره ارزش ضعیف است و بتوانیم به کارسپارانمان برای تشخیص و رسیدن به متخصصین و فرایند‌های حیاتی مورد نیاز خود کمک کنیم. این بهترین دستورالعمل برای موفقیت تخصصی است.</w:t>
      </w:r>
    </w:p>
    <w:p w14:paraId="0E01E108" w14:textId="77777777" w:rsidR="00537CC8" w:rsidRPr="0025250D" w:rsidRDefault="00537CC8" w:rsidP="00537CC8">
      <w:pPr>
        <w:rPr>
          <w:rtl/>
        </w:rPr>
      </w:pPr>
    </w:p>
    <w:p w14:paraId="79229BBC" w14:textId="29AF011B" w:rsidR="00537CC8" w:rsidRPr="0025250D" w:rsidRDefault="00537CC8" w:rsidP="00B25F58">
      <w:pPr>
        <w:pStyle w:val="Heading2"/>
        <w:rPr>
          <w:rtl/>
        </w:rPr>
      </w:pPr>
      <w:bookmarkStart w:id="51" w:name="_Toc127831316"/>
      <w:r w:rsidRPr="0025250D">
        <w:rPr>
          <w:rFonts w:hint="cs"/>
          <w:rtl/>
        </w:rPr>
        <w:t xml:space="preserve">نکات اثبات </w:t>
      </w:r>
      <w:r w:rsidR="00923DDB" w:rsidRPr="0025250D">
        <w:rPr>
          <w:rFonts w:hint="cs"/>
          <w:rtl/>
        </w:rPr>
        <w:t>کننده‌ای</w:t>
      </w:r>
      <w:r w:rsidRPr="0025250D">
        <w:rPr>
          <w:rtl/>
        </w:rPr>
        <w:t>نده‌نگاری</w:t>
      </w:r>
      <w:r w:rsidRPr="0025250D">
        <w:rPr>
          <w:rFonts w:hint="cs"/>
          <w:rtl/>
        </w:rPr>
        <w:t xml:space="preserve">: تبحر در چهار مهارت </w:t>
      </w:r>
      <w:r w:rsidRPr="0025250D">
        <w:rPr>
          <w:rtl/>
        </w:rPr>
        <w:t>آینده‌نگاری</w:t>
      </w:r>
      <w:bookmarkEnd w:id="51"/>
    </w:p>
    <w:p w14:paraId="3FBD8577" w14:textId="53458429" w:rsidR="00537CC8" w:rsidRPr="0025250D" w:rsidRDefault="00537CC8" w:rsidP="00537CC8">
      <w:pPr>
        <w:rPr>
          <w:rtl/>
        </w:rPr>
      </w:pPr>
      <w:r w:rsidRPr="0025250D">
        <w:rPr>
          <w:rFonts w:hint="cs"/>
          <w:rtl/>
        </w:rPr>
        <w:t>اکنون بیایید برخی مثال‌های موفق، یعنی نکات اثبات کننده</w:t>
      </w:r>
      <w:r w:rsidRPr="0025250D">
        <w:rPr>
          <w:vertAlign w:val="superscript"/>
          <w:rtl/>
        </w:rPr>
        <w:footnoteReference w:id="1542"/>
      </w:r>
      <w:r w:rsidRPr="0025250D">
        <w:rPr>
          <w:rFonts w:hint="cs"/>
          <w:rtl/>
        </w:rPr>
        <w:t xml:space="preserve"> برای کار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که به خوبی انجام گرفته </w:t>
      </w:r>
      <w:r w:rsidR="00DA6E11" w:rsidRPr="0025250D">
        <w:rPr>
          <w:rFonts w:hint="cs"/>
          <w:rtl/>
        </w:rPr>
        <w:t>است را</w:t>
      </w:r>
      <w:r w:rsidRPr="0025250D">
        <w:rPr>
          <w:rFonts w:hint="cs"/>
          <w:rtl/>
        </w:rPr>
        <w:t xml:space="preserve"> برای کمک به شناخت بهتر کار </w:t>
      </w:r>
      <w:r w:rsidRPr="0025250D">
        <w:rPr>
          <w:rtl/>
        </w:rPr>
        <w:t>آینده‌نگاری</w:t>
      </w:r>
      <w:r w:rsidRPr="0025250D">
        <w:rPr>
          <w:rFonts w:hint="cs"/>
          <w:rtl/>
        </w:rPr>
        <w:t xml:space="preserve"> خوب برای دیگران، خود و تیم هایمان در نظر بگیریم. برخی همچنین مثال‌هایی از مهارت‌های عملی را ارائه می‌کنند، زیرا </w:t>
      </w:r>
      <w:r w:rsidRPr="0025250D">
        <w:rPr>
          <w:rtl/>
        </w:rPr>
        <w:t>آینده‌نگاری</w:t>
      </w:r>
      <w:r w:rsidRPr="0025250D">
        <w:rPr>
          <w:rFonts w:hint="cs"/>
          <w:rtl/>
        </w:rPr>
        <w:t xml:space="preserve"> باید به عمل و بازبینی مؤثر برای</w:t>
      </w:r>
      <w:r w:rsidR="00DA6E11" w:rsidRPr="0025250D">
        <w:rPr>
          <w:rFonts w:hint="cs"/>
          <w:rtl/>
        </w:rPr>
        <w:t xml:space="preserve"> انطباق‌</w:t>
      </w:r>
      <w:r w:rsidRPr="0025250D">
        <w:rPr>
          <w:rFonts w:hint="cs"/>
          <w:rtl/>
        </w:rPr>
        <w:t>پذیر بودن منجر شود. ما عمل سازمانی را با عمق</w:t>
      </w:r>
      <w:r w:rsidR="0008779C" w:rsidRPr="0025250D">
        <w:rPr>
          <w:rFonts w:hint="cs"/>
          <w:rtl/>
        </w:rPr>
        <w:t xml:space="preserve"> بیش‌تر</w:t>
      </w:r>
      <w:r w:rsidRPr="0025250D">
        <w:rPr>
          <w:rFonts w:hint="cs"/>
          <w:rtl/>
        </w:rPr>
        <w:t>ی در فصل‌ها 4 و 5 بررسی خواهیم کرد</w:t>
      </w:r>
      <w:r w:rsidR="008D6F97" w:rsidRPr="0025250D">
        <w:rPr>
          <w:rtl/>
        </w:rPr>
        <w:t xml:space="preserve">؛ </w:t>
      </w:r>
      <w:r w:rsidR="0020589F" w:rsidRPr="0025250D">
        <w:rPr>
          <w:rtl/>
        </w:rPr>
        <w:t>اما</w:t>
      </w:r>
      <w:r w:rsidRPr="0025250D">
        <w:rPr>
          <w:rFonts w:hint="cs"/>
          <w:rtl/>
        </w:rPr>
        <w:t xml:space="preserve"> در ذهن داشته باشید که چنین مهارت‌هایی به بهترین شکل در یک متن مدیریت </w:t>
      </w:r>
      <w:r w:rsidR="00701E03" w:rsidRPr="0025250D">
        <w:rPr>
          <w:rFonts w:hint="cs"/>
          <w:rtl/>
        </w:rPr>
        <w:t>راهبرد</w:t>
      </w:r>
      <w:r w:rsidRPr="0025250D">
        <w:rPr>
          <w:rFonts w:hint="cs"/>
          <w:rtl/>
        </w:rPr>
        <w:t xml:space="preserve"> پوشش داده خواهند شد، نه در متون </w:t>
      </w:r>
      <w:r w:rsidRPr="0025250D">
        <w:rPr>
          <w:rtl/>
        </w:rPr>
        <w:t>آینده‌نگاری</w:t>
      </w:r>
      <w:r w:rsidRPr="0025250D">
        <w:rPr>
          <w:rFonts w:hint="cs"/>
          <w:rtl/>
        </w:rPr>
        <w:t xml:space="preserve"> فردی، تیمی و سازمانی. پیوست 3 را برای چندین کتاب خوب درمورد مدیریت </w:t>
      </w:r>
      <w:r w:rsidR="00701E03" w:rsidRPr="0025250D">
        <w:rPr>
          <w:rFonts w:hint="cs"/>
          <w:rtl/>
        </w:rPr>
        <w:t>راهبردی</w:t>
      </w:r>
      <w:r w:rsidRPr="0025250D">
        <w:rPr>
          <w:rFonts w:hint="cs"/>
          <w:rtl/>
        </w:rPr>
        <w:t xml:space="preserve"> ببینید.</w:t>
      </w:r>
    </w:p>
    <w:p w14:paraId="64B5FDF8" w14:textId="77777777" w:rsidR="00537CC8" w:rsidRPr="0025250D" w:rsidRDefault="00537CC8" w:rsidP="00B25F58">
      <w:pPr>
        <w:jc w:val="center"/>
        <w:rPr>
          <w:rtl/>
        </w:rPr>
      </w:pPr>
      <w:r w:rsidRPr="0025250D">
        <w:rPr>
          <w:noProof/>
          <w:rtl/>
          <w:lang w:bidi="ar-SA"/>
        </w:rPr>
        <w:drawing>
          <wp:inline distT="0" distB="0" distL="0" distR="0" wp14:anchorId="09799ED2" wp14:editId="08087BF8">
            <wp:extent cx="3390900" cy="2230324"/>
            <wp:effectExtent l="0" t="0" r="0" b="0"/>
            <wp:docPr id="95" name="Picture 95" descr="D:\کار\مستقل\3 ( ترجمه ی دانشگاه تهران  )\Introduction to Foresight\part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4\13.png"/>
                    <pic:cNvPicPr>
                      <a:picLocks noChangeAspect="1" noChangeArrowheads="1"/>
                    </pic:cNvPicPr>
                  </pic:nvPicPr>
                  <pic:blipFill>
                    <a:blip r:embed="rId148" cstate="screen">
                      <a:extLst>
                        <a:ext uri="{BEBA8EAE-BF5A-486C-A8C5-ECC9F3942E4B}">
                          <a14:imgProps xmlns:a14="http://schemas.microsoft.com/office/drawing/2010/main">
                            <a14:imgLayer r:embed="rId149">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3399272" cy="2235831"/>
                    </a:xfrm>
                    <a:prstGeom prst="rect">
                      <a:avLst/>
                    </a:prstGeom>
                    <a:noFill/>
                    <a:ln>
                      <a:noFill/>
                    </a:ln>
                  </pic:spPr>
                </pic:pic>
              </a:graphicData>
            </a:graphic>
          </wp:inline>
        </w:drawing>
      </w:r>
    </w:p>
    <w:p w14:paraId="34DD07D5" w14:textId="1EBEBF6E" w:rsidR="00537CC8" w:rsidRPr="0025250D" w:rsidRDefault="00537CC8" w:rsidP="00537CC8">
      <w:pPr>
        <w:rPr>
          <w:rtl/>
        </w:rPr>
      </w:pPr>
      <w:r w:rsidRPr="0025250D">
        <w:rPr>
          <w:rFonts w:hint="cs"/>
          <w:rtl/>
        </w:rPr>
        <w:t xml:space="preserve">برای یک فرمول بندی </w:t>
      </w:r>
      <w:r w:rsidR="00563645" w:rsidRPr="0025250D">
        <w:rPr>
          <w:rFonts w:hint="cs"/>
          <w:rtl/>
        </w:rPr>
        <w:t>بدیل</w:t>
      </w:r>
      <w:r w:rsidRPr="0025250D">
        <w:rPr>
          <w:rFonts w:hint="cs"/>
          <w:rtl/>
        </w:rPr>
        <w:t xml:space="preserve"> برای مدل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w:t>
      </w:r>
      <w:r w:rsidRPr="0025250D">
        <w:t>LAIS</w:t>
      </w:r>
      <w:r w:rsidRPr="0025250D">
        <w:rPr>
          <w:rFonts w:hint="cs"/>
          <w:rtl/>
        </w:rPr>
        <w:t xml:space="preserve">، </w:t>
      </w:r>
      <w:r w:rsidR="00B13F65" w:rsidRPr="0025250D">
        <w:rPr>
          <w:rFonts w:hint="cs"/>
          <w:rtl/>
        </w:rPr>
        <w:t>چارچوب</w:t>
      </w:r>
      <w:r w:rsidRPr="0025250D">
        <w:rPr>
          <w:rFonts w:hint="cs"/>
          <w:rtl/>
        </w:rPr>
        <w:t xml:space="preserve">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شش مرحله‌ای </w:t>
      </w:r>
      <w:r w:rsidRPr="0025250D">
        <w:rPr>
          <w:rtl/>
        </w:rPr>
        <w:t>موسسه آ</w:t>
      </w:r>
      <w:r w:rsidRPr="0025250D">
        <w:rPr>
          <w:rFonts w:hint="cs"/>
          <w:rtl/>
        </w:rPr>
        <w:t>ی</w:t>
      </w:r>
      <w:r w:rsidRPr="0025250D">
        <w:rPr>
          <w:rFonts w:hint="eastAsia"/>
          <w:rtl/>
        </w:rPr>
        <w:t>نده</w:t>
      </w:r>
      <w:r w:rsidRPr="0025250D">
        <w:rPr>
          <w:rtl/>
        </w:rPr>
        <w:t xml:space="preserve"> امروز</w:t>
      </w:r>
      <w:r w:rsidRPr="0025250D">
        <w:rPr>
          <w:vertAlign w:val="superscript"/>
          <w:rtl/>
        </w:rPr>
        <w:footnoteReference w:id="1543"/>
      </w:r>
      <w:r w:rsidRPr="0025250D">
        <w:rPr>
          <w:rFonts w:hint="cs"/>
          <w:rtl/>
        </w:rPr>
        <w:t xml:space="preserve"> (فصل 5) را توصیه می‌کنیم. این مدل به صورت ضمنی مبتنی بر </w:t>
      </w:r>
      <w:r w:rsidRPr="0025250D">
        <w:t>LAIS</w:t>
      </w:r>
      <w:r w:rsidRPr="0025250D">
        <w:rPr>
          <w:rFonts w:hint="cs"/>
          <w:rtl/>
        </w:rPr>
        <w:t xml:space="preserve"> است و نقش محوری هیجانات در تولید </w:t>
      </w:r>
      <w:r w:rsidR="00701E03" w:rsidRPr="0025250D">
        <w:rPr>
          <w:rFonts w:hint="cs"/>
          <w:rtl/>
        </w:rPr>
        <w:t>راهبرد</w:t>
      </w:r>
      <w:r w:rsidRPr="0025250D">
        <w:rPr>
          <w:rFonts w:hint="cs"/>
          <w:rtl/>
        </w:rPr>
        <w:t xml:space="preserve"> را تشخیص می‌دهد که آن را به یک مدل </w:t>
      </w:r>
      <w:r w:rsidRPr="0025250D">
        <w:t>REOPS</w:t>
      </w:r>
      <w:r w:rsidRPr="0025250D">
        <w:rPr>
          <w:rFonts w:hint="cs"/>
          <w:rtl/>
        </w:rPr>
        <w:t xml:space="preserve"> نزدیک‌تر می‌کند. از نظر ما، این عوامل آن را مشخصا شایسته توجه شما، به‌عنوان یک رویکرد تکاملی می‌سازند.</w:t>
      </w:r>
    </w:p>
    <w:p w14:paraId="1E825012" w14:textId="48B38C54" w:rsidR="00537CC8" w:rsidRPr="0025250D" w:rsidRDefault="00537CC8" w:rsidP="00537CC8">
      <w:pPr>
        <w:rPr>
          <w:rtl/>
        </w:rPr>
      </w:pPr>
      <w:r w:rsidRPr="0025250D">
        <w:rPr>
          <w:rFonts w:hint="cs"/>
          <w:rtl/>
        </w:rPr>
        <w:t>مثال‌های موفق ما در این فصل دامنه‌های عملی فردی، تیمی، سازمانی و اجتماعی (</w:t>
      </w:r>
      <w:r w:rsidRPr="0025250D">
        <w:t>STOS</w:t>
      </w:r>
      <w:r w:rsidRPr="0025250D">
        <w:rPr>
          <w:rFonts w:hint="cs"/>
          <w:rtl/>
        </w:rPr>
        <w:t xml:space="preserve">) را در بر می‌گیرند. برای سادگی، هر مثال معمولا با توجه به تنها یک یا چند مورد از 20 تخصص در نظر گرفته می‌شود. با این حال، </w:t>
      </w:r>
      <w:r w:rsidR="007118DE" w:rsidRPr="0025250D">
        <w:rPr>
          <w:rFonts w:hint="cs"/>
          <w:rtl/>
        </w:rPr>
        <w:t>همان‌طور</w:t>
      </w:r>
      <w:r w:rsidRPr="0025250D">
        <w:rPr>
          <w:rFonts w:hint="cs"/>
          <w:rtl/>
        </w:rPr>
        <w:t xml:space="preserve"> که </w:t>
      </w:r>
      <w:r w:rsidR="00923DDB" w:rsidRPr="0025250D">
        <w:rPr>
          <w:rtl/>
        </w:rPr>
        <w:t>آینده‌نگاری انطباقی</w:t>
      </w:r>
      <w:r w:rsidRPr="0025250D">
        <w:rPr>
          <w:rFonts w:hint="cs"/>
          <w:rtl/>
        </w:rPr>
        <w:t xml:space="preserve"> ممکن است به استفاده از چندین مورد یا همه هشت مهارت نیاز داشته باشد، بسیاری از این مثال‌ها ممکن است به استفاده از چندین مورد از 20 تخصص، به ویژه در سازمان‌های بزرگ و پیچیده نیاز داشته باشند.</w:t>
      </w:r>
    </w:p>
    <w:p w14:paraId="08468647" w14:textId="0487B0AF" w:rsidR="00537CC8" w:rsidRPr="0025250D" w:rsidRDefault="00537CC8" w:rsidP="00537CC8">
      <w:pPr>
        <w:rPr>
          <w:rtl/>
        </w:rPr>
      </w:pPr>
      <w:r w:rsidRPr="0025250D">
        <w:rPr>
          <w:rFonts w:hint="cs"/>
          <w:rtl/>
        </w:rPr>
        <w:t xml:space="preserve">با این اطلاعات اولیه، بیایید نگاهی به چند مثال موفق، برای دیدن آنچه با رهبری، فرایند و به صورت </w:t>
      </w:r>
      <w:r w:rsidR="0008779C" w:rsidRPr="0025250D">
        <w:rPr>
          <w:rFonts w:hint="cs"/>
          <w:rtl/>
        </w:rPr>
        <w:t>ایدئال</w:t>
      </w:r>
      <w:r w:rsidRPr="0025250D">
        <w:rPr>
          <w:rFonts w:hint="cs"/>
          <w:rtl/>
        </w:rPr>
        <w:t xml:space="preserve">، فرهنگ </w:t>
      </w:r>
      <w:r w:rsidRPr="0025250D">
        <w:rPr>
          <w:rtl/>
        </w:rPr>
        <w:t>آینده‌نگاری</w:t>
      </w:r>
      <w:r w:rsidRPr="0025250D">
        <w:rPr>
          <w:rFonts w:hint="cs"/>
          <w:rtl/>
        </w:rPr>
        <w:t xml:space="preserve"> در تیم‌ها قابل دست یابی است داشته باشیم.</w:t>
      </w:r>
    </w:p>
    <w:p w14:paraId="149A0D10" w14:textId="77777777" w:rsidR="00537CC8" w:rsidRPr="0025250D" w:rsidRDefault="00537CC8" w:rsidP="00B25F58">
      <w:pPr>
        <w:pStyle w:val="Heading3"/>
        <w:rPr>
          <w:rtl/>
        </w:rPr>
      </w:pPr>
      <w:r w:rsidRPr="0025250D">
        <w:rPr>
          <w:rFonts w:hint="cs"/>
          <w:rtl/>
        </w:rPr>
        <w:t xml:space="preserve">مهارت یادگیری </w:t>
      </w:r>
      <w:r w:rsidRPr="0025250D">
        <w:rPr>
          <w:rFonts w:ascii="Times New Roman" w:hAnsi="Times New Roman" w:cs="Times New Roman" w:hint="cs"/>
          <w:rtl/>
        </w:rPr>
        <w:t>–</w:t>
      </w:r>
      <w:r w:rsidRPr="0025250D">
        <w:rPr>
          <w:rFonts w:hint="cs"/>
          <w:rtl/>
        </w:rPr>
        <w:t xml:space="preserve"> تمرکز تخصصی بر مدیریت اطلاعات و دانش</w:t>
      </w:r>
    </w:p>
    <w:p w14:paraId="74F3EC49" w14:textId="182CCEAD" w:rsidR="00537CC8" w:rsidRPr="0025250D" w:rsidRDefault="00537CC8" w:rsidP="00537CC8">
      <w:pPr>
        <w:rPr>
          <w:rtl/>
        </w:rPr>
      </w:pPr>
      <w:r w:rsidRPr="0025250D">
        <w:rPr>
          <w:rFonts w:hint="cs"/>
          <w:rtl/>
        </w:rPr>
        <w:t>مثال ها: کامپ استات</w:t>
      </w:r>
      <w:r w:rsidRPr="0025250D">
        <w:rPr>
          <w:vertAlign w:val="superscript"/>
          <w:rtl/>
        </w:rPr>
        <w:footnoteReference w:id="1544"/>
      </w:r>
      <w:r w:rsidRPr="0025250D">
        <w:rPr>
          <w:rFonts w:hint="cs"/>
          <w:rtl/>
        </w:rPr>
        <w:t>، پالانتیر</w:t>
      </w:r>
      <w:r w:rsidRPr="0025250D">
        <w:rPr>
          <w:vertAlign w:val="superscript"/>
          <w:rtl/>
        </w:rPr>
        <w:footnoteReference w:id="1545"/>
      </w:r>
      <w:r w:rsidRPr="0025250D">
        <w:rPr>
          <w:rFonts w:hint="cs"/>
          <w:rtl/>
        </w:rPr>
        <w:t>، اینلیپدیا</w:t>
      </w:r>
      <w:r w:rsidRPr="0025250D">
        <w:rPr>
          <w:vertAlign w:val="superscript"/>
          <w:rtl/>
        </w:rPr>
        <w:footnoteReference w:id="1546"/>
      </w:r>
      <w:r w:rsidRPr="0025250D">
        <w:rPr>
          <w:rFonts w:hint="cs"/>
          <w:rtl/>
        </w:rPr>
        <w:t xml:space="preserve">. سه جفت تخصص عملی </w:t>
      </w:r>
      <w:r w:rsidRPr="0025250D">
        <w:rPr>
          <w:rtl/>
        </w:rPr>
        <w:t>آینده‌نگاری</w:t>
      </w:r>
      <w:r w:rsidRPr="0025250D">
        <w:rPr>
          <w:rFonts w:hint="cs"/>
          <w:rtl/>
        </w:rPr>
        <w:t xml:space="preserve"> در مدل ما، حسابداری و دارایی‌های ناملموس، اطلاعات و مدیریت دانش و یادگیری و توسعه (آموزش)، بیش‌ترین</w:t>
      </w:r>
      <w:r w:rsidR="008D6F97" w:rsidRPr="0025250D">
        <w:rPr>
          <w:rtl/>
        </w:rPr>
        <w:t xml:space="preserve"> </w:t>
      </w:r>
      <w:r w:rsidRPr="0025250D">
        <w:rPr>
          <w:rFonts w:hint="cs"/>
          <w:rtl/>
        </w:rPr>
        <w:t xml:space="preserve">کمک را به یادگیری مدیریت مبتنی بر شواهد در سازمان می‌کنند. بیایید اکنون نگاهی به چند موفقیت </w:t>
      </w:r>
      <w:r w:rsidRPr="0025250D">
        <w:rPr>
          <w:rtl/>
        </w:rPr>
        <w:t>آینده‌نگاری</w:t>
      </w:r>
      <w:r w:rsidRPr="0025250D">
        <w:rPr>
          <w:rFonts w:hint="cs"/>
          <w:rtl/>
        </w:rPr>
        <w:t xml:space="preserve"> شناخته شده در دامنه سازمانی، با تمرکز بیش‌تر بر تخصص یادگیریِ اطلاعات و مدیریت دانش داشته باشیم. ما چند مثال </w:t>
      </w:r>
      <w:r w:rsidRPr="0025250D">
        <w:rPr>
          <w:rtl/>
        </w:rPr>
        <w:t>آینده‌نگاری</w:t>
      </w:r>
      <w:r w:rsidRPr="0025250D">
        <w:rPr>
          <w:rFonts w:hint="cs"/>
          <w:rtl/>
        </w:rPr>
        <w:t xml:space="preserve"> را از تخصص‌های </w:t>
      </w:r>
      <w:r w:rsidRPr="0025250D">
        <w:rPr>
          <w:rtl/>
        </w:rPr>
        <w:t>آینده‌نگاری</w:t>
      </w:r>
      <w:r w:rsidRPr="0025250D">
        <w:rPr>
          <w:rFonts w:hint="cs"/>
          <w:rtl/>
        </w:rPr>
        <w:t xml:space="preserve"> دیگر در این زمینه در سراسر این کتاب راهنما در نظر خواهیم گرفت.</w:t>
      </w:r>
    </w:p>
    <w:p w14:paraId="4CBCA5AE" w14:textId="18F54708" w:rsidR="00537CC8" w:rsidRPr="0025250D" w:rsidRDefault="00537CC8" w:rsidP="00537CC8">
      <w:pPr>
        <w:rPr>
          <w:rtl/>
        </w:rPr>
      </w:pPr>
      <w:r w:rsidRPr="0025250D">
        <w:rPr>
          <w:rFonts w:hint="cs"/>
          <w:rtl/>
        </w:rPr>
        <w:t>یک نکته اثبات کننده یادگیری در قرن بیستم (مهارت 1) در اطلاعات</w:t>
      </w:r>
      <w:r w:rsidRPr="0025250D">
        <w:rPr>
          <w:rtl/>
        </w:rPr>
        <w:t xml:space="preserve"> </w:t>
      </w:r>
      <w:r w:rsidRPr="0025250D">
        <w:rPr>
          <w:rFonts w:hint="cs"/>
          <w:rtl/>
        </w:rPr>
        <w:t>و</w:t>
      </w:r>
      <w:r w:rsidRPr="0025250D">
        <w:rPr>
          <w:rtl/>
        </w:rPr>
        <w:t xml:space="preserve"> </w:t>
      </w:r>
      <w:r w:rsidRPr="0025250D">
        <w:rPr>
          <w:rFonts w:hint="cs"/>
          <w:rtl/>
        </w:rPr>
        <w:t xml:space="preserve">مدیریت دانش سازمانی که همچنین، در درجه دوم، یک نکته اثبات کننده </w:t>
      </w:r>
      <w:r w:rsidR="00923DDB" w:rsidRPr="0025250D">
        <w:rPr>
          <w:rFonts w:hint="cs"/>
          <w:rtl/>
        </w:rPr>
        <w:t>پیش‌انگاری</w:t>
      </w:r>
      <w:r w:rsidRPr="0025250D">
        <w:rPr>
          <w:rFonts w:hint="cs"/>
          <w:rtl/>
        </w:rPr>
        <w:t xml:space="preserve"> (علم داده، </w:t>
      </w:r>
      <w:r w:rsidR="00FB6A7E" w:rsidRPr="0025250D">
        <w:rPr>
          <w:rFonts w:hint="cs"/>
          <w:rtl/>
        </w:rPr>
        <w:t>پیش‌نگری</w:t>
      </w:r>
      <w:r w:rsidRPr="0025250D">
        <w:rPr>
          <w:rFonts w:hint="cs"/>
          <w:rtl/>
        </w:rPr>
        <w:t xml:space="preserve">، ایمنی) (مهارت 2) می‌باشد را می‌توان در کامپ استات، پلتفرمی که از سال 1994 در واحد پلیس ترابری نیویورک برای </w:t>
      </w:r>
      <w:r w:rsidR="00274907" w:rsidRPr="0025250D">
        <w:rPr>
          <w:rFonts w:hint="cs"/>
          <w:rtl/>
        </w:rPr>
        <w:t>به‌اشتراک‌گذار</w:t>
      </w:r>
      <w:r w:rsidRPr="0025250D">
        <w:rPr>
          <w:rFonts w:hint="cs"/>
          <w:rtl/>
        </w:rPr>
        <w:t xml:space="preserve">ی آمار جرایم، مدیریت منابع، گزینه‌های تاکتیکی و بازخورد در میان تخصصین اجرای قانون در آن واحد آغاز به کار کرد، یافت. کامپ استات در اصل </w:t>
      </w:r>
      <w:r w:rsidRPr="0025250D">
        <w:rPr>
          <w:rtl/>
        </w:rPr>
        <w:t>نمودارها</w:t>
      </w:r>
      <w:r w:rsidRPr="0025250D">
        <w:rPr>
          <w:rFonts w:hint="cs"/>
          <w:rtl/>
        </w:rPr>
        <w:t>ی</w:t>
      </w:r>
      <w:r w:rsidRPr="0025250D">
        <w:rPr>
          <w:rtl/>
        </w:rPr>
        <w:t xml:space="preserve"> آ</w:t>
      </w:r>
      <w:r w:rsidRPr="0025250D">
        <w:rPr>
          <w:rFonts w:hint="cs"/>
          <w:rtl/>
        </w:rPr>
        <w:t>ی</w:t>
      </w:r>
      <w:r w:rsidRPr="0025250D">
        <w:rPr>
          <w:rFonts w:hint="eastAsia"/>
          <w:rtl/>
        </w:rPr>
        <w:t>نده</w:t>
      </w:r>
      <w:r w:rsidRPr="0025250D">
        <w:rPr>
          <w:vertAlign w:val="superscript"/>
          <w:rtl/>
        </w:rPr>
        <w:footnoteReference w:id="1547"/>
      </w:r>
      <w:r w:rsidRPr="0025250D">
        <w:rPr>
          <w:rFonts w:hint="cs"/>
          <w:rtl/>
        </w:rPr>
        <w:t xml:space="preserve"> نامیده می‌شد، زیرا دائما داده‌های تاریخی جرایم را دنبال کرده و روند‌های آینده را در ابتدا از طریق علامت گذاری بر روی نقشه برون یابی می‌کرد. این آغاز آنچ</w:t>
      </w:r>
      <w:r w:rsidR="00DA6E11" w:rsidRPr="0025250D">
        <w:rPr>
          <w:rFonts w:hint="cs"/>
          <w:rtl/>
        </w:rPr>
        <w:t>یزی بود</w:t>
      </w:r>
      <w:r w:rsidRPr="0025250D">
        <w:rPr>
          <w:rFonts w:hint="cs"/>
          <w:rtl/>
        </w:rPr>
        <w:t xml:space="preserve"> امروزه کار پلیسی </w:t>
      </w:r>
      <w:r w:rsidR="00D92F6E" w:rsidRPr="0025250D">
        <w:rPr>
          <w:rFonts w:hint="cs"/>
          <w:rtl/>
        </w:rPr>
        <w:t>پیش‌بین</w:t>
      </w:r>
      <w:r w:rsidRPr="0025250D">
        <w:rPr>
          <w:rFonts w:hint="cs"/>
          <w:rtl/>
        </w:rPr>
        <w:t xml:space="preserve">ی کننده، یا به شکل کلی‌تر، کار پلیسی هدایت شده </w:t>
      </w:r>
      <w:r w:rsidR="00DA6E11" w:rsidRPr="0025250D">
        <w:rPr>
          <w:rFonts w:hint="cs"/>
          <w:rtl/>
        </w:rPr>
        <w:t>توسط</w:t>
      </w:r>
      <w:r w:rsidRPr="0025250D">
        <w:rPr>
          <w:rFonts w:hint="cs"/>
          <w:rtl/>
        </w:rPr>
        <w:t xml:space="preserve"> اطلاعات</w:t>
      </w:r>
      <w:r w:rsidRPr="0025250D">
        <w:rPr>
          <w:vertAlign w:val="superscript"/>
          <w:rtl/>
        </w:rPr>
        <w:footnoteReference w:id="1548"/>
      </w:r>
      <w:r w:rsidRPr="0025250D">
        <w:rPr>
          <w:rFonts w:hint="cs"/>
          <w:rtl/>
        </w:rPr>
        <w:t xml:space="preserve"> در آمریکا می‌نامیم.</w:t>
      </w:r>
    </w:p>
    <w:p w14:paraId="7C2CD31B" w14:textId="275ED351" w:rsidR="00537CC8" w:rsidRPr="0025250D" w:rsidRDefault="00537CC8" w:rsidP="00537CC8">
      <w:pPr>
        <w:rPr>
          <w:rtl/>
        </w:rPr>
      </w:pPr>
      <w:r w:rsidRPr="0025250D">
        <w:rPr>
          <w:rFonts w:hint="cs"/>
          <w:rtl/>
        </w:rPr>
        <w:t xml:space="preserve">تحت نظر رئیس پلیس </w:t>
      </w:r>
      <w:r w:rsidRPr="0025250D">
        <w:rPr>
          <w:rtl/>
        </w:rPr>
        <w:t>و</w:t>
      </w:r>
      <w:r w:rsidRPr="0025250D">
        <w:rPr>
          <w:rFonts w:hint="cs"/>
          <w:rtl/>
        </w:rPr>
        <w:t>ی</w:t>
      </w:r>
      <w:r w:rsidRPr="0025250D">
        <w:rPr>
          <w:rFonts w:hint="eastAsia"/>
          <w:rtl/>
        </w:rPr>
        <w:t>ل</w:t>
      </w:r>
      <w:r w:rsidRPr="0025250D">
        <w:rPr>
          <w:rFonts w:hint="cs"/>
          <w:rtl/>
        </w:rPr>
        <w:t>ی</w:t>
      </w:r>
      <w:r w:rsidRPr="0025250D">
        <w:rPr>
          <w:rFonts w:hint="eastAsia"/>
          <w:rtl/>
        </w:rPr>
        <w:t>ام</w:t>
      </w:r>
      <w:r w:rsidRPr="0025250D">
        <w:rPr>
          <w:rtl/>
        </w:rPr>
        <w:t xml:space="preserve"> براتون</w:t>
      </w:r>
      <w:r w:rsidRPr="0025250D">
        <w:rPr>
          <w:vertAlign w:val="superscript"/>
          <w:rtl/>
        </w:rPr>
        <w:footnoteReference w:id="1549"/>
      </w:r>
      <w:r w:rsidRPr="0025250D">
        <w:rPr>
          <w:rFonts w:hint="cs"/>
          <w:rtl/>
        </w:rPr>
        <w:t xml:space="preserve">، کامپ استات به زودی تخصصی شده و در ابتدا در 77 حوزه و 12 ناحیه ترابری در شهر نیویورک به کار گرفته شد. این پلتفرم کنترل پلیسی آماری و </w:t>
      </w:r>
      <w:r w:rsidR="00D92F6E" w:rsidRPr="0025250D">
        <w:rPr>
          <w:rFonts w:hint="cs"/>
          <w:rtl/>
        </w:rPr>
        <w:t>پیش‌بین</w:t>
      </w:r>
      <w:r w:rsidRPr="0025250D">
        <w:rPr>
          <w:rFonts w:hint="cs"/>
          <w:rtl/>
        </w:rPr>
        <w:t xml:space="preserve">ی کننده، </w:t>
      </w:r>
      <w:r w:rsidR="00DA6E11" w:rsidRPr="0025250D">
        <w:rPr>
          <w:rFonts w:hint="cs"/>
          <w:rtl/>
        </w:rPr>
        <w:t>ترسیم</w:t>
      </w:r>
      <w:r w:rsidRPr="0025250D">
        <w:rPr>
          <w:rFonts w:hint="cs"/>
          <w:rtl/>
        </w:rPr>
        <w:t xml:space="preserve"> جرایم، گزارشات جرایم هفتگی و مسئولیت فرماندهان واحد‌ها برای برآمدهای جرایم را معرفی کرد. همچنین این پلتفرم برای به کارگیری نظریه پنجره‌های شکسته</w:t>
      </w:r>
      <w:r w:rsidRPr="0025250D">
        <w:rPr>
          <w:vertAlign w:val="superscript"/>
          <w:rtl/>
        </w:rPr>
        <w:footnoteReference w:id="1550"/>
      </w:r>
      <w:r w:rsidRPr="0025250D">
        <w:rPr>
          <w:rFonts w:hint="cs"/>
          <w:rtl/>
        </w:rPr>
        <w:t xml:space="preserve">، یک نظریه جرم شناسی مبتنی بر روانشناسی و شواهد که متخصصین امنیتی را ابتدا بر مثال‌های </w:t>
      </w:r>
      <w:r w:rsidR="00B0171C" w:rsidRPr="0025250D">
        <w:rPr>
          <w:rFonts w:hint="cs"/>
          <w:rtl/>
        </w:rPr>
        <w:t>به‌سادگی</w:t>
      </w:r>
      <w:r w:rsidRPr="0025250D">
        <w:rPr>
          <w:rFonts w:hint="cs"/>
          <w:rtl/>
        </w:rPr>
        <w:t xml:space="preserve"> قابل اصلاح و قابل مشاهده از جرایم، بی نظمی و رفتار ضد اجتماعی متمرکز می‌سازد، قابل توجه است. پنجره‌های شکسته گاهی اوقات به دلیل منحرف کردن اجرای قانون از توجه به نیازهای مهم‌تر جامعه مورد انتقاد قرار می‌گیرد. این نقد نادرستی است. این نظریه به سادی چگونگی شکل گیری رفتار توسط جامعه را تشخیص داده و اصلاحات ساده و قابل مشاهده برای محیط زندگی ما را </w:t>
      </w:r>
      <w:r w:rsidR="007118DE" w:rsidRPr="0025250D">
        <w:rPr>
          <w:rFonts w:hint="cs"/>
          <w:rtl/>
        </w:rPr>
        <w:t>اولویت‌بندی</w:t>
      </w:r>
      <w:r w:rsidRPr="0025250D">
        <w:rPr>
          <w:rFonts w:hint="cs"/>
          <w:rtl/>
        </w:rPr>
        <w:t xml:space="preserve"> می‌کند. کنترل پلیسیِ برخی از اثرات مشخص‌تر رفتار اجتماعی در ابتدا و صدا و فرصت بخشیدن به جامعه برای کمک به چنین اصلاحاتی، راه‌های خوبی برای تغییر سریع و قابل اندازه گیری درک عمومی از شایستگی پلیس و ایجاد اعتماد به شکلی می‌باشد که مشکلات پیچیده‌تر نیز قابل حل باشند. یک گزارش عالی (اما خودستا</w:t>
      </w:r>
      <w:r w:rsidRPr="0025250D">
        <w:rPr>
          <w:vertAlign w:val="superscript"/>
          <w:rtl/>
        </w:rPr>
        <w:footnoteReference w:id="1551"/>
      </w:r>
      <w:r w:rsidRPr="0025250D">
        <w:rPr>
          <w:rFonts w:hint="cs"/>
          <w:rtl/>
        </w:rPr>
        <w:t xml:space="preserve">) از ارزش کامپ استات در </w:t>
      </w:r>
      <w:r w:rsidRPr="0025250D">
        <w:rPr>
          <w:rtl/>
        </w:rPr>
        <w:t>آینده‌نگاری</w:t>
      </w:r>
      <w:r w:rsidRPr="0025250D">
        <w:rPr>
          <w:rFonts w:hint="cs"/>
          <w:rtl/>
        </w:rPr>
        <w:t xml:space="preserve"> و برخی از سیاست‌های تأسیس آن، در کتاب چرخش</w:t>
      </w:r>
      <w:r w:rsidRPr="0025250D">
        <w:rPr>
          <w:vertAlign w:val="superscript"/>
          <w:rtl/>
        </w:rPr>
        <w:footnoteReference w:id="1552"/>
      </w:r>
      <w:r w:rsidRPr="0025250D">
        <w:rPr>
          <w:rFonts w:hint="cs"/>
          <w:rtl/>
        </w:rPr>
        <w:t xml:space="preserve"> اثر </w:t>
      </w:r>
      <w:r w:rsidRPr="0025250D">
        <w:rPr>
          <w:rtl/>
        </w:rPr>
        <w:t>براتون</w:t>
      </w:r>
      <w:r w:rsidRPr="0025250D">
        <w:rPr>
          <w:rFonts w:hint="cs"/>
          <w:rtl/>
        </w:rPr>
        <w:t xml:space="preserve"> و نوبلر</w:t>
      </w:r>
      <w:r w:rsidRPr="0025250D">
        <w:rPr>
          <w:vertAlign w:val="superscript"/>
          <w:rtl/>
        </w:rPr>
        <w:footnoteReference w:id="1553"/>
      </w:r>
      <w:r w:rsidRPr="0025250D">
        <w:rPr>
          <w:rFonts w:hint="cs"/>
          <w:rtl/>
        </w:rPr>
        <w:t xml:space="preserve"> در سال 1998 یافت می‌شود. کتاب اخیر آن‌ها</w:t>
      </w:r>
      <w:r w:rsidR="00DA6E11" w:rsidRPr="0025250D">
        <w:rPr>
          <w:rFonts w:hint="cs"/>
          <w:rtl/>
        </w:rPr>
        <w:t xml:space="preserve"> با عنوان</w:t>
      </w:r>
      <w:r w:rsidRPr="0025250D">
        <w:rPr>
          <w:rFonts w:hint="cs"/>
          <w:rtl/>
        </w:rPr>
        <w:t xml:space="preserve"> تخصص</w:t>
      </w:r>
      <w:r w:rsidRPr="0025250D">
        <w:rPr>
          <w:vertAlign w:val="superscript"/>
          <w:rtl/>
        </w:rPr>
        <w:footnoteReference w:id="1554"/>
      </w:r>
      <w:r w:rsidRPr="0025250D">
        <w:rPr>
          <w:rFonts w:hint="cs"/>
          <w:rtl/>
        </w:rPr>
        <w:t xml:space="preserve"> در سال 2021 نیز یک کاندید و گزارشی ستودنی از تاریخ متنوع و پیچیده اجرای قانون در آمریکا </w:t>
      </w:r>
      <w:r w:rsidR="00DA6E11" w:rsidRPr="0025250D">
        <w:rPr>
          <w:rFonts w:hint="cs"/>
          <w:rtl/>
        </w:rPr>
        <w:t xml:space="preserve">درباره </w:t>
      </w:r>
      <w:r w:rsidRPr="0025250D">
        <w:rPr>
          <w:rFonts w:hint="cs"/>
          <w:rtl/>
        </w:rPr>
        <w:t>مشارکت اجتماعی و روابط اقلیت‌ها و نژاد هاست.</w:t>
      </w:r>
    </w:p>
    <w:p w14:paraId="5EABBD46" w14:textId="5E22DBD5" w:rsidR="00537CC8" w:rsidRPr="0025250D" w:rsidRDefault="00537CC8" w:rsidP="00537CC8">
      <w:pPr>
        <w:rPr>
          <w:rtl/>
        </w:rPr>
      </w:pPr>
      <w:r w:rsidRPr="0025250D">
        <w:rPr>
          <w:rFonts w:hint="cs"/>
          <w:rtl/>
        </w:rPr>
        <w:t xml:space="preserve">یک پلتفرم قدرتمند اطلاعات و مدیریت دانش قرن 21 که همچنین عمدتا در درجه اول یک پلتفرم یادگیری و در درجه دوم </w:t>
      </w:r>
      <w:r w:rsidR="00923DDB" w:rsidRPr="0025250D">
        <w:rPr>
          <w:rFonts w:hint="cs"/>
          <w:rtl/>
        </w:rPr>
        <w:t>پیش‌انگاری</w:t>
      </w:r>
      <w:r w:rsidRPr="0025250D">
        <w:rPr>
          <w:rFonts w:hint="cs"/>
          <w:rtl/>
        </w:rPr>
        <w:t xml:space="preserve"> است، </w:t>
      </w:r>
      <w:r w:rsidRPr="0025250D">
        <w:rPr>
          <w:rtl/>
        </w:rPr>
        <w:t>پالانت</w:t>
      </w:r>
      <w:r w:rsidRPr="0025250D">
        <w:rPr>
          <w:rFonts w:hint="cs"/>
          <w:rtl/>
        </w:rPr>
        <w:t>ی</w:t>
      </w:r>
      <w:r w:rsidRPr="0025250D">
        <w:rPr>
          <w:rFonts w:hint="eastAsia"/>
          <w:rtl/>
        </w:rPr>
        <w:t>ر</w:t>
      </w:r>
      <w:r w:rsidRPr="0025250D">
        <w:rPr>
          <w:rFonts w:hint="cs"/>
          <w:rtl/>
        </w:rPr>
        <w:t xml:space="preserve"> می‌باشد که در سال 2003 </w:t>
      </w:r>
      <w:r w:rsidR="00B124DE" w:rsidRPr="0025250D">
        <w:rPr>
          <w:rFonts w:hint="cs"/>
          <w:rtl/>
        </w:rPr>
        <w:t>پایه‌گذار</w:t>
      </w:r>
      <w:r w:rsidRPr="0025250D">
        <w:rPr>
          <w:rFonts w:hint="cs"/>
          <w:rtl/>
        </w:rPr>
        <w:t xml:space="preserve">ی شد. </w:t>
      </w:r>
      <w:r w:rsidRPr="0025250D">
        <w:rPr>
          <w:rtl/>
        </w:rPr>
        <w:t>پالانت</w:t>
      </w:r>
      <w:r w:rsidRPr="0025250D">
        <w:rPr>
          <w:rFonts w:hint="cs"/>
          <w:rtl/>
        </w:rPr>
        <w:t>ی</w:t>
      </w:r>
      <w:r w:rsidRPr="0025250D">
        <w:rPr>
          <w:rFonts w:hint="eastAsia"/>
          <w:rtl/>
        </w:rPr>
        <w:t>ر</w:t>
      </w:r>
      <w:r w:rsidRPr="0025250D">
        <w:rPr>
          <w:rFonts w:hint="cs"/>
          <w:rtl/>
        </w:rPr>
        <w:t xml:space="preserve"> یک پلتفرم اطلاعاتی توسعه داد که آن را به کارسپاران نظامی، اطلاعاتی، مجری قانون و مدنی ارائه می‌دهد. این پلتفرم یکی از نسخه‌های کامپ استات است؛ </w:t>
      </w:r>
      <w:r w:rsidRPr="0025250D">
        <w:rPr>
          <w:rtl/>
        </w:rPr>
        <w:t>اگرچه پلتفرم پالانت</w:t>
      </w:r>
      <w:r w:rsidRPr="0025250D">
        <w:rPr>
          <w:rFonts w:hint="cs"/>
          <w:rtl/>
        </w:rPr>
        <w:t>ی</w:t>
      </w:r>
      <w:r w:rsidRPr="0025250D">
        <w:rPr>
          <w:rFonts w:hint="eastAsia"/>
          <w:rtl/>
        </w:rPr>
        <w:t>ر</w:t>
      </w:r>
      <w:r w:rsidRPr="0025250D">
        <w:rPr>
          <w:rtl/>
        </w:rPr>
        <w:t xml:space="preserve"> هنوز همان فلسفه کاهش جرم و و</w:t>
      </w:r>
      <w:r w:rsidRPr="0025250D">
        <w:rPr>
          <w:rFonts w:hint="cs"/>
          <w:rtl/>
        </w:rPr>
        <w:t>ی</w:t>
      </w:r>
      <w:r w:rsidRPr="0025250D">
        <w:rPr>
          <w:rFonts w:hint="eastAsia"/>
          <w:rtl/>
        </w:rPr>
        <w:t>ژگ</w:t>
      </w:r>
      <w:r w:rsidRPr="0025250D">
        <w:rPr>
          <w:rFonts w:hint="cs"/>
          <w:rtl/>
        </w:rPr>
        <w:t>ی</w:t>
      </w:r>
      <w:r w:rsidRPr="0025250D">
        <w:rPr>
          <w:rtl/>
        </w:rPr>
        <w:t>‌های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مسئول</w:t>
      </w:r>
      <w:r w:rsidRPr="0025250D">
        <w:rPr>
          <w:rFonts w:hint="cs"/>
          <w:rtl/>
        </w:rPr>
        <w:t>ی</w:t>
      </w:r>
      <w:r w:rsidRPr="0025250D">
        <w:rPr>
          <w:rFonts w:hint="eastAsia"/>
          <w:rtl/>
        </w:rPr>
        <w:t>ت</w:t>
      </w:r>
      <w:r w:rsidRPr="0025250D">
        <w:rPr>
          <w:rtl/>
        </w:rPr>
        <w:t xml:space="preserve"> قبل</w:t>
      </w:r>
      <w:r w:rsidRPr="0025250D">
        <w:rPr>
          <w:rFonts w:hint="cs"/>
          <w:rtl/>
        </w:rPr>
        <w:t>ی</w:t>
      </w:r>
      <w:r w:rsidRPr="0025250D">
        <w:rPr>
          <w:rtl/>
        </w:rPr>
        <w:t xml:space="preserve"> خود را ندارد</w:t>
      </w:r>
      <w:r w:rsidRPr="0025250D">
        <w:rPr>
          <w:rFonts w:hint="cs"/>
          <w:rtl/>
        </w:rPr>
        <w:t xml:space="preserve">. </w:t>
      </w:r>
      <w:r w:rsidRPr="0025250D">
        <w:rPr>
          <w:rtl/>
        </w:rPr>
        <w:t>پالانت</w:t>
      </w:r>
      <w:r w:rsidRPr="0025250D">
        <w:rPr>
          <w:rFonts w:hint="cs"/>
          <w:rtl/>
        </w:rPr>
        <w:t>ی</w:t>
      </w:r>
      <w:r w:rsidRPr="0025250D">
        <w:rPr>
          <w:rFonts w:hint="eastAsia"/>
          <w:rtl/>
        </w:rPr>
        <w:t>ر</w:t>
      </w:r>
      <w:r w:rsidRPr="0025250D">
        <w:rPr>
          <w:rFonts w:hint="cs"/>
          <w:rtl/>
        </w:rPr>
        <w:t xml:space="preserve"> اولین </w:t>
      </w:r>
      <w:r w:rsidR="008D6F97" w:rsidRPr="0025250D">
        <w:rPr>
          <w:rFonts w:hint="cs"/>
          <w:rtl/>
        </w:rPr>
        <w:t>سامانه‌</w:t>
      </w:r>
      <w:r w:rsidRPr="0025250D">
        <w:rPr>
          <w:rFonts w:hint="cs"/>
          <w:rtl/>
        </w:rPr>
        <w:t xml:space="preserve"> خود که شورش‌ها در عراق را بر مبنای نرم افزار </w:t>
      </w:r>
      <w:r w:rsidR="00D92F6E" w:rsidRPr="0025250D">
        <w:rPr>
          <w:rFonts w:hint="cs"/>
          <w:rtl/>
        </w:rPr>
        <w:t>پیش‌بین</w:t>
      </w:r>
      <w:r w:rsidRPr="0025250D">
        <w:rPr>
          <w:rFonts w:hint="cs"/>
          <w:rtl/>
        </w:rPr>
        <w:t xml:space="preserve">ی تقلب شبکه عصبی مورد استفاده در </w:t>
      </w:r>
      <w:r w:rsidRPr="0025250D">
        <w:rPr>
          <w:rtl/>
        </w:rPr>
        <w:t>پ</w:t>
      </w:r>
      <w:r w:rsidRPr="0025250D">
        <w:rPr>
          <w:rFonts w:hint="cs"/>
          <w:rtl/>
        </w:rPr>
        <w:t>ی</w:t>
      </w:r>
      <w:r w:rsidRPr="0025250D">
        <w:rPr>
          <w:rtl/>
        </w:rPr>
        <w:t xml:space="preserve"> پال</w:t>
      </w:r>
      <w:r w:rsidRPr="0025250D">
        <w:rPr>
          <w:rFonts w:hint="cs"/>
          <w:rtl/>
        </w:rPr>
        <w:t xml:space="preserve"> مدیریت و </w:t>
      </w:r>
      <w:r w:rsidR="00D92F6E" w:rsidRPr="0025250D">
        <w:rPr>
          <w:rFonts w:hint="cs"/>
          <w:rtl/>
        </w:rPr>
        <w:t>پیش‌بین</w:t>
      </w:r>
      <w:r w:rsidRPr="0025250D">
        <w:rPr>
          <w:rFonts w:hint="cs"/>
          <w:rtl/>
        </w:rPr>
        <w:t xml:space="preserve">ی می‌کرد، ایجاد کرد. این شرکت سپس پلتفرم خود را برای اجرای قانون به کار برد. این پلتفرم در آنجا هنوز سطح مشابهی از موفقیت را، عمدتا به دلیل خطا‌های اخلاقی نداشته است. در آن بازار، رهبران </w:t>
      </w:r>
      <w:r w:rsidRPr="0025250D">
        <w:rPr>
          <w:rtl/>
        </w:rPr>
        <w:t>پالانت</w:t>
      </w:r>
      <w:r w:rsidRPr="0025250D">
        <w:rPr>
          <w:rFonts w:hint="cs"/>
          <w:rtl/>
        </w:rPr>
        <w:t>ی</w:t>
      </w:r>
      <w:r w:rsidRPr="0025250D">
        <w:rPr>
          <w:rFonts w:hint="eastAsia"/>
          <w:rtl/>
        </w:rPr>
        <w:t>ر</w:t>
      </w:r>
      <w:r w:rsidRPr="0025250D">
        <w:rPr>
          <w:rFonts w:hint="cs"/>
          <w:rtl/>
        </w:rPr>
        <w:t xml:space="preserve"> شفافیت کافی شامل عدم افشا و کسب موافقت قبلی برای کارکرد آن در </w:t>
      </w:r>
      <w:r w:rsidRPr="0025250D">
        <w:rPr>
          <w:rtl/>
        </w:rPr>
        <w:t>ن</w:t>
      </w:r>
      <w:r w:rsidRPr="0025250D">
        <w:rPr>
          <w:rFonts w:hint="cs"/>
          <w:rtl/>
        </w:rPr>
        <w:t>ی</w:t>
      </w:r>
      <w:r w:rsidRPr="0025250D">
        <w:rPr>
          <w:rFonts w:hint="eastAsia"/>
          <w:rtl/>
        </w:rPr>
        <w:t>واورلان</w:t>
      </w:r>
      <w:r w:rsidRPr="0025250D">
        <w:rPr>
          <w:rFonts w:hint="cs"/>
          <w:rtl/>
        </w:rPr>
        <w:t xml:space="preserve"> (2012-2018) را از خود نشان ندادند. ریسک بزرگتر تخلف از آزادی‌های مدنی </w:t>
      </w:r>
      <w:r w:rsidR="00DA6E11" w:rsidRPr="0025250D">
        <w:rPr>
          <w:rFonts w:hint="cs"/>
          <w:rtl/>
        </w:rPr>
        <w:t>ناشی از</w:t>
      </w:r>
      <w:r w:rsidRPr="0025250D">
        <w:rPr>
          <w:rFonts w:hint="cs"/>
          <w:rtl/>
        </w:rPr>
        <w:t xml:space="preserve"> </w:t>
      </w:r>
      <w:r w:rsidR="00DA6E11" w:rsidRPr="0025250D">
        <w:rPr>
          <w:rFonts w:hint="cs"/>
          <w:rtl/>
        </w:rPr>
        <w:t>استفاده</w:t>
      </w:r>
      <w:r w:rsidRPr="0025250D">
        <w:rPr>
          <w:rFonts w:hint="cs"/>
          <w:rtl/>
        </w:rPr>
        <w:t xml:space="preserve"> قانون مدنی از چنین سامانه‌های یادگیری-</w:t>
      </w:r>
      <w:r w:rsidR="00D92F6E" w:rsidRPr="0025250D">
        <w:rPr>
          <w:rFonts w:hint="cs"/>
          <w:rtl/>
        </w:rPr>
        <w:t>پیش‌بین</w:t>
      </w:r>
      <w:r w:rsidRPr="0025250D">
        <w:rPr>
          <w:rFonts w:hint="cs"/>
          <w:rtl/>
        </w:rPr>
        <w:t>ی کننده‌ای، مشخص می‌کند که آن‌ها هم به شفافیت و هم به نظارت دموکراتیک</w:t>
      </w:r>
      <w:r w:rsidR="0008779C" w:rsidRPr="0025250D">
        <w:rPr>
          <w:rFonts w:hint="cs"/>
          <w:rtl/>
        </w:rPr>
        <w:t xml:space="preserve"> بیش‌تر</w:t>
      </w:r>
      <w:r w:rsidRPr="0025250D">
        <w:rPr>
          <w:rFonts w:hint="cs"/>
          <w:rtl/>
        </w:rPr>
        <w:t>ی برای موفقیت نیاز دارند.</w:t>
      </w:r>
    </w:p>
    <w:p w14:paraId="7D891A0A" w14:textId="4C791005" w:rsidR="00537CC8" w:rsidRPr="0025250D" w:rsidRDefault="00537CC8" w:rsidP="00537CC8">
      <w:pPr>
        <w:rPr>
          <w:rtl/>
        </w:rPr>
      </w:pPr>
      <w:r w:rsidRPr="0025250D">
        <w:rPr>
          <w:rFonts w:hint="cs"/>
          <w:rtl/>
        </w:rPr>
        <w:t xml:space="preserve">یک نکته اثبات کننده قرن 21 دیگر برای </w:t>
      </w:r>
      <w:r w:rsidRPr="0025250D">
        <w:rPr>
          <w:rtl/>
        </w:rPr>
        <w:t>آینده‌نگاری</w:t>
      </w:r>
      <w:r w:rsidRPr="0025250D">
        <w:rPr>
          <w:rFonts w:hint="cs"/>
          <w:rtl/>
        </w:rPr>
        <w:t xml:space="preserve"> اطلاعات و مدیریت دانش، پلتفرم یادگیری مشارکتی (ویکی</w:t>
      </w:r>
      <w:r w:rsidRPr="0025250D">
        <w:rPr>
          <w:vertAlign w:val="superscript"/>
          <w:rtl/>
        </w:rPr>
        <w:footnoteReference w:id="1555"/>
      </w:r>
      <w:r w:rsidRPr="0025250D">
        <w:rPr>
          <w:rFonts w:hint="cs"/>
          <w:rtl/>
        </w:rPr>
        <w:t>) به نام انتلیپدیا</w:t>
      </w:r>
      <w:r w:rsidRPr="0025250D">
        <w:rPr>
          <w:vertAlign w:val="superscript"/>
          <w:rtl/>
        </w:rPr>
        <w:footnoteReference w:id="1556"/>
      </w:r>
      <w:r w:rsidRPr="0025250D">
        <w:rPr>
          <w:rFonts w:hint="cs"/>
          <w:rtl/>
        </w:rPr>
        <w:t xml:space="preserve"> است که در اواخر سال 2005 توسط </w:t>
      </w:r>
      <w:r w:rsidRPr="0025250D">
        <w:rPr>
          <w:rtl/>
        </w:rPr>
        <w:t>کر</w:t>
      </w:r>
      <w:r w:rsidRPr="0025250D">
        <w:rPr>
          <w:rFonts w:hint="cs"/>
          <w:rtl/>
        </w:rPr>
        <w:t>ی</w:t>
      </w:r>
      <w:r w:rsidRPr="0025250D">
        <w:rPr>
          <w:rFonts w:hint="eastAsia"/>
          <w:rtl/>
        </w:rPr>
        <w:t>س</w:t>
      </w:r>
      <w:r w:rsidRPr="0025250D">
        <w:rPr>
          <w:rtl/>
        </w:rPr>
        <w:t xml:space="preserve"> راسموسن</w:t>
      </w:r>
      <w:r w:rsidRPr="0025250D">
        <w:rPr>
          <w:vertAlign w:val="superscript"/>
          <w:rtl/>
        </w:rPr>
        <w:footnoteReference w:id="1557"/>
      </w:r>
      <w:r w:rsidRPr="0025250D">
        <w:rPr>
          <w:rFonts w:hint="cs"/>
          <w:rtl/>
        </w:rPr>
        <w:t xml:space="preserve"> و دیگر تحلیلگران جدید در جامعه اطلاعاتی آمریکا تأسیس شده است. اینتلیپدیا اولین </w:t>
      </w:r>
      <w:r w:rsidR="008D6F97" w:rsidRPr="0025250D">
        <w:rPr>
          <w:rFonts w:hint="cs"/>
          <w:rtl/>
        </w:rPr>
        <w:t>سامانه‌</w:t>
      </w:r>
      <w:r w:rsidRPr="0025250D">
        <w:rPr>
          <w:rFonts w:hint="cs"/>
          <w:rtl/>
        </w:rPr>
        <w:t xml:space="preserve"> مدیریت دانش آنلاین برای قادر ساختن 16 سازمان اطلاعاتی متفاوت و بخش بندی شده در آمریکا برای </w:t>
      </w:r>
      <w:r w:rsidR="00274907" w:rsidRPr="0025250D">
        <w:rPr>
          <w:rFonts w:hint="cs"/>
          <w:rtl/>
        </w:rPr>
        <w:t>به‌اشتراک‌گذار</w:t>
      </w:r>
      <w:r w:rsidRPr="0025250D">
        <w:rPr>
          <w:rFonts w:hint="cs"/>
          <w:rtl/>
        </w:rPr>
        <w:t xml:space="preserve">ی دانش </w:t>
      </w:r>
      <w:r w:rsidR="00DA6E11" w:rsidRPr="0025250D">
        <w:rPr>
          <w:rFonts w:hint="cs"/>
          <w:rtl/>
        </w:rPr>
        <w:t>طبقه‌بندی</w:t>
      </w:r>
      <w:r w:rsidRPr="0025250D">
        <w:rPr>
          <w:rFonts w:hint="cs"/>
          <w:rtl/>
        </w:rPr>
        <w:t xml:space="preserve"> شده مرتبط آن‌ها با یکدیگر، در تعداد همواره رو به رشدی از موضوعات است. این </w:t>
      </w:r>
      <w:r w:rsidR="008D6F97" w:rsidRPr="0025250D">
        <w:rPr>
          <w:rFonts w:hint="cs"/>
          <w:rtl/>
        </w:rPr>
        <w:t>سامانه‌</w:t>
      </w:r>
      <w:r w:rsidRPr="0025250D">
        <w:rPr>
          <w:rFonts w:hint="cs"/>
          <w:rtl/>
        </w:rPr>
        <w:t xml:space="preserve"> شامل سه سطح </w:t>
      </w:r>
      <w:r w:rsidR="00DA6E11" w:rsidRPr="0025250D">
        <w:rPr>
          <w:rFonts w:hint="cs"/>
          <w:rtl/>
        </w:rPr>
        <w:t>طبقه‌بندی</w:t>
      </w:r>
      <w:r w:rsidRPr="0025250D">
        <w:rPr>
          <w:rFonts w:hint="cs"/>
          <w:rtl/>
        </w:rPr>
        <w:t xml:space="preserve"> حساس، محرمانه و فوق محرمانه می‌شود. در ابتدای تأسیس آن، بیش‌تر افسرهای ارشد انتظار داشتند که این </w:t>
      </w:r>
      <w:r w:rsidR="008D6F97" w:rsidRPr="0025250D">
        <w:rPr>
          <w:rFonts w:hint="cs"/>
          <w:rtl/>
        </w:rPr>
        <w:t>سامانه‌</w:t>
      </w:r>
      <w:r w:rsidRPr="0025250D">
        <w:rPr>
          <w:rFonts w:hint="cs"/>
          <w:rtl/>
        </w:rPr>
        <w:t xml:space="preserve"> شکست بخورد و برخی به صورت فعال در برابر آن مقاومت کردند. افسران ارشد اغلب از استفاده تحلیلگران تازه کار از آن یا ارجاع به آن به‌عنوان یک منبع ممانعت می‌کردند، همانگونه که امروزه برخی معلمان استفاده از </w:t>
      </w:r>
      <w:r w:rsidRPr="0025250D">
        <w:rPr>
          <w:rtl/>
        </w:rPr>
        <w:t>و</w:t>
      </w:r>
      <w:r w:rsidRPr="0025250D">
        <w:rPr>
          <w:rFonts w:hint="cs"/>
          <w:rtl/>
        </w:rPr>
        <w:t>ی</w:t>
      </w:r>
      <w:r w:rsidRPr="0025250D">
        <w:rPr>
          <w:rFonts w:hint="eastAsia"/>
          <w:rtl/>
        </w:rPr>
        <w:t>ک</w:t>
      </w:r>
      <w:r w:rsidRPr="0025250D">
        <w:rPr>
          <w:rFonts w:hint="cs"/>
          <w:rtl/>
        </w:rPr>
        <w:t>ی</w:t>
      </w:r>
      <w:r w:rsidRPr="0025250D">
        <w:rPr>
          <w:rFonts w:hint="eastAsia"/>
          <w:rtl/>
        </w:rPr>
        <w:t>پد</w:t>
      </w:r>
      <w:r w:rsidRPr="0025250D">
        <w:rPr>
          <w:rFonts w:hint="cs"/>
          <w:rtl/>
        </w:rPr>
        <w:t>ی</w:t>
      </w:r>
      <w:r w:rsidRPr="0025250D">
        <w:rPr>
          <w:rFonts w:hint="eastAsia"/>
          <w:rtl/>
        </w:rPr>
        <w:t>ا</w:t>
      </w:r>
      <w:r w:rsidRPr="0025250D">
        <w:rPr>
          <w:rFonts w:hint="cs"/>
          <w:rtl/>
        </w:rPr>
        <w:t xml:space="preserve"> به‌عنوان یک منبع را تقبیح می‌کنند. امروزه هر تحلیلگری، چه تازه کار و چه ارشد، معمولا در مرورگر </w:t>
      </w:r>
      <w:r w:rsidR="00DA6E11" w:rsidRPr="0025250D">
        <w:rPr>
          <w:rFonts w:hint="cs"/>
          <w:rtl/>
        </w:rPr>
        <w:t>طبقه‌بندی</w:t>
      </w:r>
      <w:r w:rsidRPr="0025250D">
        <w:rPr>
          <w:rFonts w:hint="cs"/>
          <w:rtl/>
        </w:rPr>
        <w:t xml:space="preserve"> شده خود یک میانبر به آن دارد. این </w:t>
      </w:r>
      <w:r w:rsidR="008D6F97" w:rsidRPr="0025250D">
        <w:rPr>
          <w:rFonts w:hint="cs"/>
          <w:rtl/>
        </w:rPr>
        <w:t>سامانه‌</w:t>
      </w:r>
      <w:r w:rsidRPr="0025250D">
        <w:rPr>
          <w:rFonts w:hint="cs"/>
          <w:rtl/>
        </w:rPr>
        <w:t xml:space="preserve"> به شدت دانش تحلیلگران را از تاریخ مرتبط و وضعیت فعلیِ بسیاری از موضوعات چالش برانگیز در اطلاعات آمریکا گسترش و بهبود داده است. این </w:t>
      </w:r>
      <w:r w:rsidR="008D6F97" w:rsidRPr="0025250D">
        <w:rPr>
          <w:rFonts w:hint="cs"/>
          <w:rtl/>
        </w:rPr>
        <w:t>سامانه‌</w:t>
      </w:r>
      <w:r w:rsidRPr="0025250D">
        <w:rPr>
          <w:rFonts w:hint="cs"/>
          <w:rtl/>
        </w:rPr>
        <w:t xml:space="preserve"> همچنین با توجه به این که راه جدیدی برای متخصصین جهت </w:t>
      </w:r>
      <w:r w:rsidR="00274907" w:rsidRPr="0025250D">
        <w:rPr>
          <w:rFonts w:hint="cs"/>
          <w:rtl/>
        </w:rPr>
        <w:t>به‌اشتراک‌گذار</w:t>
      </w:r>
      <w:r w:rsidRPr="0025250D">
        <w:rPr>
          <w:rFonts w:hint="cs"/>
          <w:rtl/>
        </w:rPr>
        <w:t>ی اطلاعات و گفت و گو در جامعه، بدون توجه به رتبه آنان ارائه می‌دهد، مانند یک محل بحث جدید در مکان‌های متعددی در آمریکا عمل کرده است.</w:t>
      </w:r>
    </w:p>
    <w:p w14:paraId="0FB8FC41" w14:textId="572EAE47" w:rsidR="00537CC8" w:rsidRPr="0025250D" w:rsidRDefault="00537CC8" w:rsidP="00537CC8">
      <w:pPr>
        <w:rPr>
          <w:rtl/>
        </w:rPr>
      </w:pPr>
      <w:r w:rsidRPr="0025250D">
        <w:rPr>
          <w:rFonts w:hint="cs"/>
          <w:rtl/>
        </w:rPr>
        <w:t xml:space="preserve">بازگشت سرمایه راه‌اندازی پروژه‌ای مانند اینتلیپدیا، در صورت بررسی آن بر اساس میزان استفاده، رضایت و یادگیری مشخصا بسیار زیاد است. ممکن است امیدوار باشیم که موفقیت آن، </w:t>
      </w:r>
      <w:r w:rsidR="00DA6E11" w:rsidRPr="0025250D">
        <w:rPr>
          <w:rFonts w:hint="cs"/>
          <w:rtl/>
        </w:rPr>
        <w:t xml:space="preserve">سبب </w:t>
      </w:r>
      <w:r w:rsidRPr="0025250D">
        <w:rPr>
          <w:rFonts w:hint="cs"/>
          <w:rtl/>
        </w:rPr>
        <w:t>سرمایه</w:t>
      </w:r>
      <w:r w:rsidR="00DA6E11" w:rsidRPr="0025250D">
        <w:rPr>
          <w:rFonts w:hint="cs"/>
          <w:rtl/>
        </w:rPr>
        <w:t>‌</w:t>
      </w:r>
      <w:r w:rsidRPr="0025250D">
        <w:rPr>
          <w:rFonts w:hint="cs"/>
          <w:rtl/>
        </w:rPr>
        <w:t xml:space="preserve">گذاری در نوعی از پلتفرم ایجاد خلاصه و </w:t>
      </w:r>
      <w:r w:rsidR="00D92F6E" w:rsidRPr="0025250D">
        <w:rPr>
          <w:rFonts w:hint="cs"/>
          <w:rtl/>
        </w:rPr>
        <w:t>پیش‌بین</w:t>
      </w:r>
      <w:r w:rsidRPr="0025250D">
        <w:rPr>
          <w:rFonts w:hint="cs"/>
          <w:rtl/>
        </w:rPr>
        <w:t xml:space="preserve">ی مشارکتی </w:t>
      </w:r>
      <w:r w:rsidR="00DA6E11" w:rsidRPr="0025250D">
        <w:rPr>
          <w:rFonts w:hint="cs"/>
          <w:rtl/>
        </w:rPr>
        <w:t xml:space="preserve">شود </w:t>
      </w:r>
      <w:r w:rsidRPr="0025250D">
        <w:rPr>
          <w:rFonts w:hint="cs"/>
          <w:rtl/>
        </w:rPr>
        <w:t xml:space="preserve">که همچنین در اصل به‌عنوان یک ویژگی اینتلیپدیا توسط </w:t>
      </w:r>
      <w:r w:rsidRPr="0025250D">
        <w:rPr>
          <w:rtl/>
        </w:rPr>
        <w:t>راسموسن</w:t>
      </w:r>
      <w:r w:rsidRPr="0025250D">
        <w:rPr>
          <w:rFonts w:hint="cs"/>
          <w:rtl/>
        </w:rPr>
        <w:t xml:space="preserve"> دیده می‌شد، اما هیچگاه سرمایه آن تأمین نشده است. در واقعیت، سیاست‌های معمول و دیوان سالاری تأسیسات دفاعی سبب شده که حرکت به سمت هر نوع از کارکرد </w:t>
      </w:r>
      <w:r w:rsidR="00923DDB" w:rsidRPr="0025250D">
        <w:rPr>
          <w:rFonts w:hint="cs"/>
          <w:rtl/>
        </w:rPr>
        <w:t>پیش‌انگاری</w:t>
      </w:r>
      <w:r w:rsidRPr="0025250D">
        <w:rPr>
          <w:rFonts w:hint="cs"/>
          <w:rtl/>
        </w:rPr>
        <w:t xml:space="preserve"> به شکل قابل توجهی آهسته‌تر از سرعت مورد انتظار باشد. با این وجود، می‌توان </w:t>
      </w:r>
      <w:r w:rsidR="00D92F6E" w:rsidRPr="0025250D">
        <w:rPr>
          <w:rFonts w:hint="cs"/>
          <w:rtl/>
        </w:rPr>
        <w:t>پیش‌بین</w:t>
      </w:r>
      <w:r w:rsidRPr="0025250D">
        <w:rPr>
          <w:rFonts w:hint="cs"/>
          <w:rtl/>
        </w:rPr>
        <w:t xml:space="preserve">ی کرد که </w:t>
      </w:r>
      <w:r w:rsidR="00391434" w:rsidRPr="0025250D">
        <w:rPr>
          <w:rFonts w:hint="cs"/>
          <w:rtl/>
        </w:rPr>
        <w:t xml:space="preserve">در نهایت </w:t>
      </w:r>
      <w:r w:rsidRPr="0025250D">
        <w:rPr>
          <w:rFonts w:hint="cs"/>
          <w:rtl/>
        </w:rPr>
        <w:t xml:space="preserve">یک پلتفرم چهار </w:t>
      </w:r>
      <w:r w:rsidRPr="0025250D">
        <w:t>P</w:t>
      </w:r>
      <w:r w:rsidRPr="0025250D">
        <w:rPr>
          <w:rFonts w:hint="cs"/>
          <w:rtl/>
        </w:rPr>
        <w:t xml:space="preserve"> متوازن‌تر پدیدار شده و ارزش بالایی در بالا بردن امنیت آمریکا داشته باشد.</w:t>
      </w:r>
    </w:p>
    <w:p w14:paraId="46B1FE96" w14:textId="3A84A773" w:rsidR="00537CC8" w:rsidRPr="0025250D" w:rsidRDefault="00537CC8" w:rsidP="00537CC8">
      <w:pPr>
        <w:rPr>
          <w:rtl/>
        </w:rPr>
      </w:pPr>
      <w:r w:rsidRPr="0025250D">
        <w:rPr>
          <w:rFonts w:hint="cs"/>
          <w:rtl/>
        </w:rPr>
        <w:t xml:space="preserve">این نکات اثبات کننده یادگیری بر دولت و صنایع اطلاعاتی و امنیتی تمرکز دارند، چرا که این سازمان‌ها جزو کارسپاران </w:t>
      </w:r>
      <w:r w:rsidR="00565B68" w:rsidRPr="0025250D">
        <w:rPr>
          <w:rFonts w:hint="cs"/>
          <w:rtl/>
        </w:rPr>
        <w:t>جان اسمارت</w:t>
      </w:r>
      <w:r w:rsidRPr="0025250D">
        <w:rPr>
          <w:rFonts w:hint="cs"/>
          <w:rtl/>
        </w:rPr>
        <w:t xml:space="preserve"> هستند و این موضوعات اغلب در کار </w:t>
      </w:r>
      <w:r w:rsidRPr="0025250D">
        <w:rPr>
          <w:rtl/>
        </w:rPr>
        <w:t>آینده‌نگاری</w:t>
      </w:r>
      <w:r w:rsidRPr="0025250D">
        <w:rPr>
          <w:rFonts w:hint="cs"/>
          <w:rtl/>
        </w:rPr>
        <w:t xml:space="preserve"> مدنی نادیده گرفته می‌شوند</w:t>
      </w:r>
      <w:r w:rsidR="008D6F97" w:rsidRPr="0025250D">
        <w:rPr>
          <w:rtl/>
        </w:rPr>
        <w:t xml:space="preserve">؛ </w:t>
      </w:r>
      <w:r w:rsidR="0020589F" w:rsidRPr="0025250D">
        <w:rPr>
          <w:rtl/>
        </w:rPr>
        <w:t>اما</w:t>
      </w:r>
      <w:r w:rsidRPr="0025250D">
        <w:rPr>
          <w:rFonts w:hint="cs"/>
          <w:rtl/>
        </w:rPr>
        <w:t xml:space="preserve"> مثال‌های متعدد خوبی از فرایند‌های شرکتی مبتنی بر یادگیری و فرهنگ‌ها نیز وجود دارند. مدیریت مبتنی بر شواهد</w:t>
      </w:r>
      <w:r w:rsidRPr="0025250D">
        <w:rPr>
          <w:vertAlign w:val="superscript"/>
          <w:rtl/>
        </w:rPr>
        <w:footnoteReference w:id="1558"/>
      </w:r>
      <w:r w:rsidRPr="0025250D">
        <w:rPr>
          <w:rFonts w:hint="cs"/>
          <w:rtl/>
        </w:rPr>
        <w:t xml:space="preserve"> یکی از اصطلاحاتی است که محققین برای توصیف سازمان‌های یادگیری</w:t>
      </w:r>
      <w:r w:rsidR="00565B68" w:rsidRPr="0025250D">
        <w:rPr>
          <w:rFonts w:hint="cs"/>
          <w:rtl/>
        </w:rPr>
        <w:t>‌</w:t>
      </w:r>
      <w:r w:rsidRPr="0025250D">
        <w:rPr>
          <w:rFonts w:hint="cs"/>
          <w:rtl/>
        </w:rPr>
        <w:t>محور استفاده می‌کنند. کتاب شرکت اطلاعاتی</w:t>
      </w:r>
      <w:r w:rsidRPr="0025250D">
        <w:rPr>
          <w:vertAlign w:val="superscript"/>
          <w:rtl/>
        </w:rPr>
        <w:footnoteReference w:id="1559"/>
      </w:r>
      <w:r w:rsidRPr="0025250D">
        <w:rPr>
          <w:rFonts w:hint="cs"/>
          <w:rtl/>
        </w:rPr>
        <w:t xml:space="preserve"> اثر </w:t>
      </w:r>
      <w:r w:rsidRPr="0025250D">
        <w:rPr>
          <w:rtl/>
        </w:rPr>
        <w:t>مار</w:t>
      </w:r>
      <w:r w:rsidRPr="0025250D">
        <w:rPr>
          <w:vertAlign w:val="superscript"/>
          <w:rtl/>
        </w:rPr>
        <w:footnoteReference w:id="1560"/>
      </w:r>
      <w:r w:rsidRPr="0025250D">
        <w:rPr>
          <w:rFonts w:hint="cs"/>
          <w:rtl/>
        </w:rPr>
        <w:t xml:space="preserve"> و </w:t>
      </w:r>
      <w:r w:rsidRPr="0025250D">
        <w:rPr>
          <w:rtl/>
        </w:rPr>
        <w:t>داونپورت</w:t>
      </w:r>
      <w:r w:rsidRPr="0025250D">
        <w:rPr>
          <w:vertAlign w:val="superscript"/>
          <w:rtl/>
        </w:rPr>
        <w:footnoteReference w:id="1561"/>
      </w:r>
      <w:r w:rsidRPr="0025250D">
        <w:rPr>
          <w:rFonts w:hint="cs"/>
          <w:rtl/>
        </w:rPr>
        <w:t xml:space="preserve"> در سال 2010 ابزارهای مدیریتی (داشبورد‌های عملکردی، کارت‌های امتیازی متوازن، </w:t>
      </w:r>
      <w:r w:rsidRPr="0025250D">
        <w:t>KPI</w:t>
      </w:r>
      <w:r w:rsidRPr="0025250D">
        <w:rPr>
          <w:rFonts w:hint="cs"/>
          <w:rtl/>
        </w:rPr>
        <w:t xml:space="preserve">‌ها، </w:t>
      </w:r>
      <w:r w:rsidRPr="0025250D">
        <w:t>KPQ</w:t>
      </w:r>
      <w:r w:rsidRPr="0025250D">
        <w:rPr>
          <w:rFonts w:hint="cs"/>
          <w:rtl/>
        </w:rPr>
        <w:t xml:space="preserve">‌ها، نظر سنجی‌های ناملموس) را که به رهبران برای استفاده از یادگیری و حقایق برای هدایت </w:t>
      </w:r>
      <w:r w:rsidR="0008779C" w:rsidRPr="0025250D">
        <w:rPr>
          <w:rFonts w:hint="cs"/>
          <w:rtl/>
        </w:rPr>
        <w:t>تصمیم‌گیری</w:t>
      </w:r>
      <w:r w:rsidRPr="0025250D">
        <w:rPr>
          <w:rFonts w:hint="cs"/>
          <w:rtl/>
        </w:rPr>
        <w:t xml:space="preserve"> هایشان کمک می‌کنند، معرفی می‌کند. این کتاب مثال‌هایی از تعدادی از شرکت‌ها، اعم از کوچک و بزرگ را که از این ابزارها به خوبی بهره می‌گیرند ارائه می‌دهد.</w:t>
      </w:r>
    </w:p>
    <w:p w14:paraId="3580AA71" w14:textId="55FECAF4" w:rsidR="00537CC8" w:rsidRPr="0025250D" w:rsidRDefault="00537CC8" w:rsidP="00537CC8">
      <w:pPr>
        <w:rPr>
          <w:rtl/>
        </w:rPr>
      </w:pPr>
      <w:r w:rsidRPr="0025250D">
        <w:rPr>
          <w:rFonts w:hint="cs"/>
          <w:rtl/>
        </w:rPr>
        <w:t xml:space="preserve">گوگل </w:t>
      </w:r>
      <w:r w:rsidR="00565B68" w:rsidRPr="0025250D">
        <w:rPr>
          <w:rFonts w:hint="cs"/>
          <w:rtl/>
        </w:rPr>
        <w:t xml:space="preserve">مشخصاً </w:t>
      </w:r>
      <w:r w:rsidRPr="0025250D">
        <w:rPr>
          <w:rFonts w:hint="cs"/>
          <w:rtl/>
        </w:rPr>
        <w:t>مثال قدرتمندی از یک فرهنگ شرکتی مبتنی بر شواهد یادگیری</w:t>
      </w:r>
      <w:r w:rsidR="00565B68" w:rsidRPr="0025250D">
        <w:rPr>
          <w:rFonts w:hint="cs"/>
          <w:rtl/>
        </w:rPr>
        <w:t>‌</w:t>
      </w:r>
      <w:r w:rsidRPr="0025250D">
        <w:rPr>
          <w:rFonts w:hint="cs"/>
          <w:rtl/>
        </w:rPr>
        <w:t>محور ارائه می‌دهد. آن‌ها دائما داده‌هایی را</w:t>
      </w:r>
      <w:r w:rsidR="0062465E" w:rsidRPr="0025250D">
        <w:rPr>
          <w:rFonts w:hint="cs"/>
          <w:rtl/>
        </w:rPr>
        <w:t xml:space="preserve"> </w:t>
      </w:r>
      <w:r w:rsidR="00B124DE" w:rsidRPr="0025250D">
        <w:rPr>
          <w:rFonts w:hint="cs"/>
          <w:rtl/>
        </w:rPr>
        <w:t>جمع‌آوری</w:t>
      </w:r>
      <w:r w:rsidRPr="0025250D">
        <w:rPr>
          <w:rFonts w:hint="cs"/>
          <w:rtl/>
        </w:rPr>
        <w:t xml:space="preserve"> می‌کنند و به دنبال استفاده از اقدامات مبتنی بر شواهد در سر تا سر سازمان، در منابع انسانی، تحقیق و توسعه، مهندسی، فروش و تقریباً در هر بخش دیگر هستند. کتاب قوانین کاری</w:t>
      </w:r>
      <w:r w:rsidRPr="0025250D">
        <w:rPr>
          <w:vertAlign w:val="superscript"/>
          <w:rtl/>
        </w:rPr>
        <w:footnoteReference w:id="1562"/>
      </w:r>
      <w:r w:rsidRPr="0025250D">
        <w:rPr>
          <w:rFonts w:hint="cs"/>
          <w:rtl/>
        </w:rPr>
        <w:t xml:space="preserve"> اثر </w:t>
      </w:r>
      <w:r w:rsidRPr="0025250D">
        <w:rPr>
          <w:rtl/>
        </w:rPr>
        <w:t>لازلو بوک</w:t>
      </w:r>
      <w:r w:rsidRPr="0025250D">
        <w:rPr>
          <w:vertAlign w:val="superscript"/>
          <w:rtl/>
        </w:rPr>
        <w:footnoteReference w:id="1563"/>
      </w:r>
      <w:r w:rsidRPr="0025250D">
        <w:rPr>
          <w:rFonts w:hint="cs"/>
          <w:rtl/>
        </w:rPr>
        <w:t xml:space="preserve"> در سال 2015 یک مرور کلی خوب از فعالیت‌های مدیریت مردمی مبتنی بر شواهد است که گوگل برای استخدام، مدیریت و حفظ استعداد‌ها به کار می‌گیرد.</w:t>
      </w:r>
    </w:p>
    <w:p w14:paraId="241784BF" w14:textId="4C8027EA" w:rsidR="00537CC8" w:rsidRPr="0025250D" w:rsidRDefault="00537CC8" w:rsidP="00537CC8">
      <w:pPr>
        <w:rPr>
          <w:rtl/>
        </w:rPr>
      </w:pPr>
      <w:r w:rsidRPr="0025250D">
        <w:t>IBM</w:t>
      </w:r>
      <w:r w:rsidRPr="0025250D">
        <w:rPr>
          <w:rFonts w:hint="cs"/>
          <w:rtl/>
        </w:rPr>
        <w:t xml:space="preserve"> زمانی یک شرکت به شدت شواهد محور و مبتنی بر تحقیق و توسعه بود، اما </w:t>
      </w:r>
      <w:r w:rsidR="007118DE" w:rsidRPr="0025250D">
        <w:rPr>
          <w:rFonts w:hint="cs"/>
          <w:rtl/>
        </w:rPr>
        <w:t>همان‌طور</w:t>
      </w:r>
      <w:r w:rsidRPr="0025250D">
        <w:rPr>
          <w:rFonts w:hint="cs"/>
          <w:rtl/>
        </w:rPr>
        <w:t xml:space="preserve"> که </w:t>
      </w:r>
      <w:r w:rsidRPr="0025250D">
        <w:rPr>
          <w:rtl/>
        </w:rPr>
        <w:t>رابرت کر</w:t>
      </w:r>
      <w:r w:rsidRPr="0025250D">
        <w:rPr>
          <w:rFonts w:hint="cs"/>
          <w:rtl/>
        </w:rPr>
        <w:t>ی</w:t>
      </w:r>
      <w:r w:rsidRPr="0025250D">
        <w:rPr>
          <w:rFonts w:hint="eastAsia"/>
          <w:rtl/>
        </w:rPr>
        <w:t>نگل</w:t>
      </w:r>
      <w:r w:rsidRPr="0025250D">
        <w:rPr>
          <w:rFonts w:hint="cs"/>
          <w:rtl/>
        </w:rPr>
        <w:t>ی</w:t>
      </w:r>
      <w:r w:rsidRPr="0025250D">
        <w:rPr>
          <w:vertAlign w:val="superscript"/>
          <w:rtl/>
        </w:rPr>
        <w:footnoteReference w:id="1564"/>
      </w:r>
      <w:r w:rsidRPr="0025250D">
        <w:rPr>
          <w:rFonts w:hint="cs"/>
          <w:rtl/>
        </w:rPr>
        <w:t xml:space="preserve"> در کتاب افول و سقوط</w:t>
      </w:r>
      <w:r w:rsidRPr="0025250D">
        <w:rPr>
          <w:vertAlign w:val="superscript"/>
        </w:rPr>
        <w:footnoteReference w:id="1565"/>
      </w:r>
      <w:r w:rsidR="0063099E" w:rsidRPr="0025250D">
        <w:rPr>
          <w:rFonts w:hint="cs"/>
          <w:rtl/>
        </w:rPr>
        <w:t xml:space="preserve"> </w:t>
      </w:r>
      <w:r w:rsidRPr="0025250D">
        <w:t>IBM</w:t>
      </w:r>
      <w:r w:rsidRPr="0025250D">
        <w:rPr>
          <w:rFonts w:hint="cs"/>
          <w:rtl/>
        </w:rPr>
        <w:t xml:space="preserve"> در سال 2014 بیان می‌کند</w:t>
      </w:r>
      <w:r w:rsidR="00565B68" w:rsidRPr="0025250D">
        <w:rPr>
          <w:rFonts w:hint="cs"/>
          <w:rtl/>
        </w:rPr>
        <w:t xml:space="preserve"> </w:t>
      </w:r>
      <w:r w:rsidRPr="0025250D">
        <w:rPr>
          <w:rFonts w:hint="cs"/>
          <w:rtl/>
        </w:rPr>
        <w:t xml:space="preserve">این شرکت در دهه‌های اخیر از مسیر خود منحرف شده است. </w:t>
      </w:r>
      <w:r w:rsidRPr="0025250D">
        <w:t>IBM</w:t>
      </w:r>
      <w:r w:rsidRPr="0025250D">
        <w:rPr>
          <w:rFonts w:hint="cs"/>
          <w:rtl/>
        </w:rPr>
        <w:t xml:space="preserve"> می‌تواند از مسیری که </w:t>
      </w:r>
      <w:r w:rsidRPr="0025250D">
        <w:t>HP</w:t>
      </w:r>
      <w:r w:rsidRPr="0025250D">
        <w:rPr>
          <w:rFonts w:hint="cs"/>
          <w:rtl/>
        </w:rPr>
        <w:t xml:space="preserve">، </w:t>
      </w:r>
      <w:r w:rsidRPr="0025250D">
        <w:t>GE</w:t>
      </w:r>
      <w:r w:rsidRPr="0025250D">
        <w:rPr>
          <w:rFonts w:hint="cs"/>
          <w:rtl/>
        </w:rPr>
        <w:t xml:space="preserve"> و دیگر غول‌های صنعتی با تحقیق و توسعه، شواهد و فرهنگ‌های مبتنی بر یادگیری پیروی کند. این شرکت هنوز هم می‌تواند باز گردد اما پنجره زمانی انجام این کار برای این شرکت در حال بسته شدن است. </w:t>
      </w:r>
      <w:r w:rsidRPr="0025250D">
        <w:rPr>
          <w:rtl/>
        </w:rPr>
        <w:t>ما</w:t>
      </w:r>
      <w:r w:rsidRPr="0025250D">
        <w:rPr>
          <w:rFonts w:hint="cs"/>
          <w:rtl/>
        </w:rPr>
        <w:t>ی</w:t>
      </w:r>
      <w:r w:rsidRPr="0025250D">
        <w:rPr>
          <w:rFonts w:hint="eastAsia"/>
          <w:rtl/>
        </w:rPr>
        <w:t>کروسافت</w:t>
      </w:r>
      <w:r w:rsidRPr="0025250D">
        <w:rPr>
          <w:rFonts w:hint="cs"/>
          <w:rtl/>
        </w:rPr>
        <w:t>، در مقابل، به شکل موفق تری خود را به‌عنوان یک سازمان یادگیرنده و نوآور مجددا سازماندهی و بازسازی کرده است و تشخیص داده است که باید ایجاد ارزش و رضایت مشتری و کارمندان را در مرکز فرایند‌های خود قرار دهد. کتاب انجام نوسازی</w:t>
      </w:r>
      <w:r w:rsidRPr="0025250D">
        <w:rPr>
          <w:vertAlign w:val="superscript"/>
          <w:rtl/>
        </w:rPr>
        <w:footnoteReference w:id="1566"/>
      </w:r>
      <w:r w:rsidRPr="0025250D">
        <w:rPr>
          <w:rFonts w:hint="cs"/>
          <w:rtl/>
        </w:rPr>
        <w:t xml:space="preserve"> اثر مدیر عامل </w:t>
      </w:r>
      <w:r w:rsidRPr="0025250D">
        <w:rPr>
          <w:rtl/>
        </w:rPr>
        <w:t>ما</w:t>
      </w:r>
      <w:r w:rsidRPr="0025250D">
        <w:rPr>
          <w:rFonts w:hint="cs"/>
          <w:rtl/>
        </w:rPr>
        <w:t>ی</w:t>
      </w:r>
      <w:r w:rsidRPr="0025250D">
        <w:rPr>
          <w:rFonts w:hint="eastAsia"/>
          <w:rtl/>
        </w:rPr>
        <w:t>کروسافت</w:t>
      </w:r>
      <w:r w:rsidRPr="0025250D">
        <w:rPr>
          <w:rFonts w:hint="cs"/>
          <w:rtl/>
        </w:rPr>
        <w:t xml:space="preserve">، </w:t>
      </w:r>
      <w:r w:rsidRPr="0025250D">
        <w:rPr>
          <w:rtl/>
        </w:rPr>
        <w:t>سات</w:t>
      </w:r>
      <w:r w:rsidRPr="0025250D">
        <w:rPr>
          <w:rFonts w:hint="cs"/>
          <w:rtl/>
        </w:rPr>
        <w:t>ی</w:t>
      </w:r>
      <w:r w:rsidRPr="0025250D">
        <w:rPr>
          <w:rFonts w:hint="eastAsia"/>
          <w:rtl/>
        </w:rPr>
        <w:t>ا</w:t>
      </w:r>
      <w:r w:rsidRPr="0025250D">
        <w:rPr>
          <w:rtl/>
        </w:rPr>
        <w:t xml:space="preserve"> نادلا</w:t>
      </w:r>
      <w:r w:rsidRPr="0025250D">
        <w:rPr>
          <w:vertAlign w:val="superscript"/>
          <w:rtl/>
        </w:rPr>
        <w:footnoteReference w:id="1567"/>
      </w:r>
      <w:r w:rsidRPr="0025250D">
        <w:rPr>
          <w:rFonts w:hint="cs"/>
          <w:rtl/>
        </w:rPr>
        <w:t xml:space="preserve"> در سال 2017 گزارشی عالی </w:t>
      </w:r>
      <w:r w:rsidR="0063099E" w:rsidRPr="0025250D">
        <w:rPr>
          <w:rtl/>
        </w:rPr>
        <w:t>(</w:t>
      </w:r>
      <w:r w:rsidRPr="0025250D">
        <w:rPr>
          <w:rFonts w:hint="cs"/>
          <w:rtl/>
        </w:rPr>
        <w:t>و خودستا) از چرخش مبتنی بر یادگیری آن‌ها در سال‌های اخیر ارائه می‌دهد.</w:t>
      </w:r>
    </w:p>
    <w:p w14:paraId="354C691B" w14:textId="79235EFC" w:rsidR="00537CC8" w:rsidRPr="0025250D" w:rsidRDefault="00537CC8" w:rsidP="00B25F58">
      <w:pPr>
        <w:pStyle w:val="Heading3"/>
        <w:rPr>
          <w:rtl/>
        </w:rPr>
      </w:pPr>
      <w:r w:rsidRPr="0025250D">
        <w:rPr>
          <w:rFonts w:hint="cs"/>
          <w:rtl/>
        </w:rPr>
        <w:t xml:space="preserve">مهارت </w:t>
      </w:r>
      <w:r w:rsidR="00923DDB" w:rsidRPr="0025250D">
        <w:rPr>
          <w:rFonts w:hint="cs"/>
          <w:rtl/>
        </w:rPr>
        <w:t>پیش‌انگاری</w:t>
      </w:r>
      <w:r w:rsidRPr="0025250D">
        <w:rPr>
          <w:rFonts w:hint="cs"/>
          <w:rtl/>
        </w:rPr>
        <w:t xml:space="preserve"> </w:t>
      </w:r>
      <w:r w:rsidRPr="0025250D">
        <w:rPr>
          <w:rFonts w:ascii="Times New Roman" w:hAnsi="Times New Roman" w:cs="Times New Roman" w:hint="cs"/>
          <w:rtl/>
        </w:rPr>
        <w:t>–</w:t>
      </w:r>
      <w:r w:rsidRPr="0025250D">
        <w:rPr>
          <w:rFonts w:hint="cs"/>
          <w:rtl/>
        </w:rPr>
        <w:t xml:space="preserve"> تمرکز بر تخصص </w:t>
      </w:r>
      <w:r w:rsidR="00FB6A7E" w:rsidRPr="0025250D">
        <w:rPr>
          <w:rFonts w:hint="cs"/>
          <w:rtl/>
        </w:rPr>
        <w:t>پیش‌نگری</w:t>
      </w:r>
      <w:r w:rsidRPr="0025250D">
        <w:rPr>
          <w:rFonts w:hint="cs"/>
          <w:rtl/>
        </w:rPr>
        <w:t xml:space="preserve"> و </w:t>
      </w:r>
      <w:r w:rsidR="00D92F6E" w:rsidRPr="0025250D">
        <w:rPr>
          <w:rFonts w:hint="cs"/>
          <w:rtl/>
        </w:rPr>
        <w:t>پیش‌بین</w:t>
      </w:r>
      <w:r w:rsidRPr="0025250D">
        <w:rPr>
          <w:rFonts w:hint="cs"/>
          <w:rtl/>
        </w:rPr>
        <w:t>ی</w:t>
      </w:r>
    </w:p>
    <w:p w14:paraId="4F6902DB" w14:textId="63591C7A" w:rsidR="00537CC8" w:rsidRPr="0025250D" w:rsidRDefault="00537CC8" w:rsidP="00537CC8">
      <w:pPr>
        <w:rPr>
          <w:rtl/>
        </w:rPr>
      </w:pPr>
      <w:r w:rsidRPr="0025250D">
        <w:rPr>
          <w:rFonts w:hint="cs"/>
          <w:rtl/>
        </w:rPr>
        <w:t xml:space="preserve">مثال ها: </w:t>
      </w:r>
      <w:r w:rsidRPr="0025250D">
        <w:rPr>
          <w:rtl/>
        </w:rPr>
        <w:t>ورن</w:t>
      </w:r>
      <w:r w:rsidRPr="0025250D">
        <w:rPr>
          <w:vertAlign w:val="superscript"/>
          <w:rtl/>
        </w:rPr>
        <w:footnoteReference w:id="1568"/>
      </w:r>
      <w:r w:rsidRPr="0025250D">
        <w:rPr>
          <w:rFonts w:hint="cs"/>
          <w:rtl/>
        </w:rPr>
        <w:t xml:space="preserve">، </w:t>
      </w:r>
      <w:r w:rsidRPr="0025250D">
        <w:rPr>
          <w:rtl/>
        </w:rPr>
        <w:t>کلارک</w:t>
      </w:r>
      <w:r w:rsidRPr="0025250D">
        <w:rPr>
          <w:vertAlign w:val="superscript"/>
          <w:rtl/>
        </w:rPr>
        <w:footnoteReference w:id="1569"/>
      </w:r>
      <w:r w:rsidRPr="0025250D">
        <w:rPr>
          <w:rFonts w:hint="cs"/>
          <w:rtl/>
        </w:rPr>
        <w:t xml:space="preserve">، </w:t>
      </w:r>
      <w:r w:rsidRPr="0025250D">
        <w:rPr>
          <w:rtl/>
        </w:rPr>
        <w:t>کان</w:t>
      </w:r>
      <w:r w:rsidRPr="0025250D">
        <w:rPr>
          <w:vertAlign w:val="superscript"/>
          <w:rtl/>
        </w:rPr>
        <w:footnoteReference w:id="1570"/>
      </w:r>
      <w:r w:rsidRPr="0025250D">
        <w:rPr>
          <w:rFonts w:hint="cs"/>
          <w:rtl/>
        </w:rPr>
        <w:t xml:space="preserve">، </w:t>
      </w:r>
      <w:r w:rsidRPr="0025250D">
        <w:rPr>
          <w:rtl/>
        </w:rPr>
        <w:t>کورزو</w:t>
      </w:r>
      <w:r w:rsidRPr="0025250D">
        <w:rPr>
          <w:rFonts w:hint="cs"/>
          <w:rtl/>
        </w:rPr>
        <w:t>ی</w:t>
      </w:r>
      <w:r w:rsidRPr="0025250D">
        <w:rPr>
          <w:rFonts w:hint="eastAsia"/>
          <w:rtl/>
        </w:rPr>
        <w:t>ل</w:t>
      </w:r>
      <w:r w:rsidRPr="0025250D">
        <w:rPr>
          <w:vertAlign w:val="superscript"/>
          <w:rtl/>
        </w:rPr>
        <w:footnoteReference w:id="1571"/>
      </w:r>
      <w:r w:rsidRPr="0025250D">
        <w:rPr>
          <w:rFonts w:hint="cs"/>
          <w:rtl/>
        </w:rPr>
        <w:t>، ولز</w:t>
      </w:r>
      <w:r w:rsidRPr="0025250D">
        <w:rPr>
          <w:vertAlign w:val="superscript"/>
          <w:rtl/>
        </w:rPr>
        <w:footnoteReference w:id="1572"/>
      </w:r>
      <w:r w:rsidRPr="0025250D">
        <w:rPr>
          <w:rFonts w:hint="cs"/>
          <w:rtl/>
        </w:rPr>
        <w:t xml:space="preserve">، </w:t>
      </w:r>
      <w:r w:rsidRPr="0025250D">
        <w:rPr>
          <w:rtl/>
        </w:rPr>
        <w:t>پروژه قضاوت خوب</w:t>
      </w:r>
      <w:r w:rsidRPr="0025250D">
        <w:rPr>
          <w:vertAlign w:val="superscript"/>
          <w:rtl/>
        </w:rPr>
        <w:footnoteReference w:id="1573"/>
      </w:r>
      <w:r w:rsidRPr="0025250D">
        <w:rPr>
          <w:rFonts w:hint="cs"/>
          <w:rtl/>
        </w:rPr>
        <w:t xml:space="preserve">، تحلیل آماری </w:t>
      </w:r>
      <w:r w:rsidR="00D92F6E" w:rsidRPr="0025250D">
        <w:rPr>
          <w:rFonts w:hint="cs"/>
          <w:rtl/>
        </w:rPr>
        <w:t>پیش‌بین</w:t>
      </w:r>
      <w:r w:rsidRPr="0025250D">
        <w:rPr>
          <w:rFonts w:hint="cs"/>
          <w:rtl/>
        </w:rPr>
        <w:t xml:space="preserve">ی کننده. </w:t>
      </w:r>
      <w:r w:rsidR="00923DDB" w:rsidRPr="0025250D">
        <w:rPr>
          <w:rtl/>
        </w:rPr>
        <w:t>پیش‌انگاری</w:t>
      </w:r>
      <w:r w:rsidRPr="0025250D">
        <w:rPr>
          <w:rFonts w:hint="cs"/>
          <w:rtl/>
        </w:rPr>
        <w:t xml:space="preserve"> مهارت کلاسیکی است که فعالان </w:t>
      </w:r>
      <w:r w:rsidRPr="0025250D">
        <w:rPr>
          <w:rtl/>
        </w:rPr>
        <w:t>آینده‌نگاری</w:t>
      </w:r>
      <w:r w:rsidRPr="0025250D">
        <w:rPr>
          <w:rFonts w:hint="cs"/>
          <w:rtl/>
        </w:rPr>
        <w:t xml:space="preserve"> به وسیله آن از روی حقایق توسط عموم مردم ارزیابی می‌شوند. وقتی به خوبی </w:t>
      </w:r>
      <w:r w:rsidR="00923DDB" w:rsidRPr="0025250D">
        <w:rPr>
          <w:rtl/>
        </w:rPr>
        <w:t>پیش‌انگاری</w:t>
      </w:r>
      <w:r w:rsidRPr="0025250D">
        <w:rPr>
          <w:rFonts w:hint="cs"/>
          <w:rtl/>
        </w:rPr>
        <w:t xml:space="preserve"> کنیم، بهتر می‌توانیم موارد ممکن را کاوش کرده و برای بهره برداری از آنچه احتمالا رخ خواهد داد</w:t>
      </w:r>
      <w:r w:rsidR="00565B68" w:rsidRPr="0025250D">
        <w:rPr>
          <w:rFonts w:hint="cs"/>
          <w:rtl/>
        </w:rPr>
        <w:t xml:space="preserve">، </w:t>
      </w:r>
      <w:r w:rsidR="00701E03" w:rsidRPr="0025250D">
        <w:rPr>
          <w:rFonts w:hint="cs"/>
          <w:rtl/>
        </w:rPr>
        <w:t>راهبرد</w:t>
      </w:r>
      <w:r w:rsidR="00565B68" w:rsidRPr="0025250D">
        <w:rPr>
          <w:rFonts w:hint="cs"/>
          <w:rtl/>
        </w:rPr>
        <w:t xml:space="preserve"> بهتری</w:t>
      </w:r>
      <w:r w:rsidRPr="0025250D">
        <w:rPr>
          <w:rFonts w:hint="cs"/>
          <w:rtl/>
        </w:rPr>
        <w:t xml:space="preserve"> ایجاد کنیم</w:t>
      </w:r>
      <w:r w:rsidR="00565B68" w:rsidRPr="0025250D">
        <w:rPr>
          <w:rFonts w:hint="cs"/>
          <w:rtl/>
        </w:rPr>
        <w:t>؛</w:t>
      </w:r>
      <w:r w:rsidRPr="0025250D">
        <w:rPr>
          <w:rFonts w:hint="cs"/>
          <w:rtl/>
        </w:rPr>
        <w:t xml:space="preserve"> اغلب به دلیل فرایند‌های بسیار بزرگتر و قدرتمند‌تر از خودمان، فرایند‌هایی که اغلب می‌توانیم تنها بر آن‌ها تأثیر بگذاریم نه این که کنترلشان کنیم. در مدل ما، </w:t>
      </w:r>
      <w:r w:rsidR="00923DDB" w:rsidRPr="0025250D">
        <w:rPr>
          <w:rtl/>
        </w:rPr>
        <w:t>پیش‌انگاری</w:t>
      </w:r>
      <w:r w:rsidRPr="0025250D">
        <w:rPr>
          <w:rFonts w:hint="cs"/>
          <w:rtl/>
        </w:rPr>
        <w:t xml:space="preserve"> سازمانی توسط پنج فعالیت تخصصی، یعنی علم داده و یادگیری ماشین، </w:t>
      </w:r>
      <w:r w:rsidR="00FB6A7E" w:rsidRPr="0025250D">
        <w:rPr>
          <w:rFonts w:hint="cs"/>
          <w:rtl/>
        </w:rPr>
        <w:t>پیش‌نگری</w:t>
      </w:r>
      <w:r w:rsidRPr="0025250D">
        <w:rPr>
          <w:rFonts w:hint="cs"/>
          <w:rtl/>
        </w:rPr>
        <w:t xml:space="preserve"> و </w:t>
      </w:r>
      <w:r w:rsidR="00D92F6E" w:rsidRPr="0025250D">
        <w:rPr>
          <w:rFonts w:hint="cs"/>
          <w:rtl/>
        </w:rPr>
        <w:t>پیش‌بین</w:t>
      </w:r>
      <w:r w:rsidRPr="0025250D">
        <w:rPr>
          <w:rFonts w:hint="cs"/>
          <w:rtl/>
        </w:rPr>
        <w:t xml:space="preserve">ی، </w:t>
      </w:r>
      <w:r w:rsidR="00F50EB4" w:rsidRPr="0025250D">
        <w:rPr>
          <w:rFonts w:hint="cs"/>
          <w:rtl/>
        </w:rPr>
        <w:t>سرمایه‌گذاری</w:t>
      </w:r>
      <w:r w:rsidRPr="0025250D">
        <w:rPr>
          <w:rFonts w:hint="cs"/>
          <w:rtl/>
        </w:rPr>
        <w:t xml:space="preserve"> و امور مالی، قانون و امنیت و مدیریت ریسک و بیمه بازنمایی می‌شود. بیایید این بخش را با چند موفقیت در زمینه </w:t>
      </w:r>
      <w:r w:rsidR="00923DDB" w:rsidRPr="0025250D">
        <w:rPr>
          <w:rFonts w:hint="cs"/>
          <w:rtl/>
        </w:rPr>
        <w:t>پیش‌انگاری</w:t>
      </w:r>
      <w:r w:rsidRPr="0025250D">
        <w:rPr>
          <w:rFonts w:hint="cs"/>
          <w:rtl/>
        </w:rPr>
        <w:t>، با تمرکز بر مشخص‌ترین</w:t>
      </w:r>
      <w:r w:rsidR="008D6F97" w:rsidRPr="0025250D">
        <w:rPr>
          <w:rtl/>
        </w:rPr>
        <w:t xml:space="preserve"> </w:t>
      </w:r>
      <w:r w:rsidRPr="0025250D">
        <w:rPr>
          <w:rFonts w:hint="cs"/>
          <w:rtl/>
        </w:rPr>
        <w:t xml:space="preserve">تخصص عملی </w:t>
      </w:r>
      <w:r w:rsidR="00FB6A7E" w:rsidRPr="0025250D">
        <w:rPr>
          <w:rFonts w:hint="cs"/>
          <w:rtl/>
        </w:rPr>
        <w:t>پیش‌نگری</w:t>
      </w:r>
      <w:r w:rsidRPr="0025250D">
        <w:rPr>
          <w:rFonts w:hint="cs"/>
          <w:rtl/>
        </w:rPr>
        <w:t xml:space="preserve"> و </w:t>
      </w:r>
      <w:r w:rsidR="00D92F6E" w:rsidRPr="0025250D">
        <w:rPr>
          <w:rFonts w:hint="cs"/>
          <w:rtl/>
        </w:rPr>
        <w:t>پیش‌بین</w:t>
      </w:r>
      <w:r w:rsidRPr="0025250D">
        <w:rPr>
          <w:rFonts w:hint="cs"/>
          <w:rtl/>
        </w:rPr>
        <w:t xml:space="preserve">ی آغاز کنیم. بیایید همچنین در دسته‌ای از مثال‌های شناخته شده‌تر، از </w:t>
      </w:r>
      <w:r w:rsidR="00923DDB" w:rsidRPr="0025250D">
        <w:rPr>
          <w:rFonts w:hint="cs"/>
          <w:rtl/>
        </w:rPr>
        <w:t>پیش‌انگاری</w:t>
      </w:r>
      <w:r w:rsidRPr="0025250D">
        <w:rPr>
          <w:rFonts w:hint="cs"/>
          <w:rtl/>
        </w:rPr>
        <w:t xml:space="preserve">‌هایی که به صورت عمومی توسط نویسندگان منفرد ادبیات </w:t>
      </w:r>
      <w:r w:rsidRPr="0025250D">
        <w:rPr>
          <w:rtl/>
        </w:rPr>
        <w:t>آینده‌نگاری</w:t>
      </w:r>
      <w:r w:rsidRPr="0025250D">
        <w:rPr>
          <w:rFonts w:hint="cs"/>
          <w:rtl/>
        </w:rPr>
        <w:t xml:space="preserve"> منتشر </w:t>
      </w:r>
      <w:r w:rsidR="00185F3E" w:rsidRPr="0025250D">
        <w:rPr>
          <w:rFonts w:hint="cs"/>
          <w:rtl/>
        </w:rPr>
        <w:t>شده‌اند</w:t>
      </w:r>
      <w:r w:rsidRPr="0025250D">
        <w:rPr>
          <w:rFonts w:hint="cs"/>
          <w:rtl/>
        </w:rPr>
        <w:t xml:space="preserve"> آغاز کنیم. سپس درمورد </w:t>
      </w:r>
      <w:r w:rsidR="00923DDB" w:rsidRPr="0025250D">
        <w:rPr>
          <w:rFonts w:hint="cs"/>
          <w:rtl/>
        </w:rPr>
        <w:t>پیش‌انگاری</w:t>
      </w:r>
      <w:r w:rsidRPr="0025250D">
        <w:rPr>
          <w:rFonts w:hint="cs"/>
          <w:rtl/>
        </w:rPr>
        <w:t xml:space="preserve"> در سازمان‌ها در هر یک از تخصص‌های بالا بحث می‌کنیم.</w:t>
      </w:r>
    </w:p>
    <w:p w14:paraId="0A9F616E" w14:textId="3782CEB4" w:rsidR="00537CC8" w:rsidRPr="0025250D" w:rsidRDefault="00537CC8" w:rsidP="00537CC8">
      <w:pPr>
        <w:rPr>
          <w:rtl/>
        </w:rPr>
      </w:pPr>
      <w:r w:rsidRPr="0025250D">
        <w:rPr>
          <w:rFonts w:hint="cs"/>
          <w:rtl/>
        </w:rPr>
        <w:t xml:space="preserve">یک مثال قرن نوزدهمی از </w:t>
      </w:r>
      <w:r w:rsidR="00923DDB" w:rsidRPr="0025250D">
        <w:rPr>
          <w:rFonts w:hint="cs"/>
          <w:rtl/>
        </w:rPr>
        <w:t>پیش‌انگاری</w:t>
      </w:r>
      <w:r w:rsidRPr="0025250D">
        <w:rPr>
          <w:rFonts w:hint="cs"/>
          <w:rtl/>
        </w:rPr>
        <w:t xml:space="preserve"> ستودنی در سطح فردی کتاب پاریس در قرن بیستم</w:t>
      </w:r>
      <w:r w:rsidRPr="0025250D">
        <w:rPr>
          <w:vertAlign w:val="superscript"/>
          <w:rtl/>
        </w:rPr>
        <w:footnoteReference w:id="1574"/>
      </w:r>
      <w:r w:rsidRPr="0025250D">
        <w:rPr>
          <w:rFonts w:hint="cs"/>
          <w:rtl/>
        </w:rPr>
        <w:t xml:space="preserve"> اثر </w:t>
      </w:r>
      <w:r w:rsidR="00D30084" w:rsidRPr="0025250D">
        <w:rPr>
          <w:rFonts w:hint="cs"/>
          <w:rtl/>
        </w:rPr>
        <w:t>آینده‌نگار</w:t>
      </w:r>
      <w:r w:rsidRPr="0025250D">
        <w:rPr>
          <w:rFonts w:hint="cs"/>
          <w:rtl/>
        </w:rPr>
        <w:t xml:space="preserve"> جوان آن زمان ژول ورن</w:t>
      </w:r>
      <w:r w:rsidRPr="0025250D">
        <w:rPr>
          <w:vertAlign w:val="superscript"/>
          <w:rtl/>
        </w:rPr>
        <w:footnoteReference w:id="1575"/>
      </w:r>
      <w:r w:rsidRPr="0025250D">
        <w:rPr>
          <w:rFonts w:hint="cs"/>
          <w:rtl/>
        </w:rPr>
        <w:t xml:space="preserve"> در سال 1863 است. این اثر تا پایان یافتن آن منتشر نشد، زیرا </w:t>
      </w:r>
      <w:r w:rsidRPr="0025250D">
        <w:rPr>
          <w:rtl/>
        </w:rPr>
        <w:t>ناشر سفارش دهنده آن را برا</w:t>
      </w:r>
      <w:r w:rsidRPr="0025250D">
        <w:rPr>
          <w:rFonts w:hint="cs"/>
          <w:rtl/>
        </w:rPr>
        <w:t>ی</w:t>
      </w:r>
      <w:r w:rsidRPr="0025250D">
        <w:rPr>
          <w:rtl/>
        </w:rPr>
        <w:t xml:space="preserve"> مصرف عموم</w:t>
      </w:r>
      <w:r w:rsidRPr="0025250D">
        <w:rPr>
          <w:rFonts w:hint="cs"/>
          <w:rtl/>
        </w:rPr>
        <w:t>ی</w:t>
      </w:r>
      <w:r w:rsidRPr="0025250D">
        <w:rPr>
          <w:rtl/>
        </w:rPr>
        <w:t xml:space="preserve"> بس</w:t>
      </w:r>
      <w:r w:rsidRPr="0025250D">
        <w:rPr>
          <w:rFonts w:hint="cs"/>
          <w:rtl/>
        </w:rPr>
        <w:t>ی</w:t>
      </w:r>
      <w:r w:rsidRPr="0025250D">
        <w:rPr>
          <w:rFonts w:hint="eastAsia"/>
          <w:rtl/>
        </w:rPr>
        <w:t>ار</w:t>
      </w:r>
      <w:r w:rsidRPr="0025250D">
        <w:rPr>
          <w:rtl/>
        </w:rPr>
        <w:t xml:space="preserve"> دور از ذهن می‌دانست</w:t>
      </w:r>
      <w:r w:rsidRPr="0025250D">
        <w:rPr>
          <w:rFonts w:hint="cs"/>
          <w:rtl/>
        </w:rPr>
        <w:t>. این کتاب مجددا در دهه 1990 در یک گاوصندوق خانوادگی توسط نتیجه (فرزند نوه ی) ژول ورن کشف شد. پاریس دقیقا نمایانگر شهر‌های بزرگ آرمانشهری، فرهنگ مبتنی بر اتومبیل، آسانسورها، دستگاه‌های فکس، اینترنت اولیه، سلاح‌های جدیدی که می‌توانستند جنگ جهانی غیر قابل تصوری ایجاد کنند، حومه‌ها، چند حزبی بودن، موسیقی الکترونیک، بیخانمانی، فمنیسم و فرهنگ سرگرمی عمده، در میان دیگر بینش‌ها بود.</w:t>
      </w:r>
    </w:p>
    <w:p w14:paraId="1F697295" w14:textId="1E41A914" w:rsidR="00537CC8" w:rsidRPr="0025250D" w:rsidRDefault="00537CC8" w:rsidP="00537CC8">
      <w:pPr>
        <w:rPr>
          <w:rtl/>
        </w:rPr>
      </w:pPr>
      <w:r w:rsidRPr="0025250D">
        <w:rPr>
          <w:rFonts w:hint="cs"/>
          <w:rtl/>
        </w:rPr>
        <w:t xml:space="preserve">یک اثر منتشر شده قرن بیستمی عالی دیگر درمورد </w:t>
      </w:r>
      <w:r w:rsidR="00923DDB" w:rsidRPr="0025250D">
        <w:rPr>
          <w:rFonts w:hint="cs"/>
          <w:rtl/>
        </w:rPr>
        <w:t>پیش‌انگاری</w:t>
      </w:r>
      <w:r w:rsidRPr="0025250D">
        <w:rPr>
          <w:rFonts w:hint="cs"/>
          <w:rtl/>
        </w:rPr>
        <w:t xml:space="preserve"> عنوان مشابهی با خود این مهارت دارد. </w:t>
      </w:r>
      <w:r w:rsidR="00923DDB" w:rsidRPr="0025250D">
        <w:rPr>
          <w:rFonts w:hint="cs"/>
          <w:rtl/>
        </w:rPr>
        <w:t>پیش‌انگاری</w:t>
      </w:r>
      <w:r w:rsidRPr="0025250D">
        <w:rPr>
          <w:rFonts w:hint="cs"/>
          <w:rtl/>
        </w:rPr>
        <w:t xml:space="preserve"> ها: واکنش پیشرفت مکانیکی و علمی نسبت به زندگی و تفکر انسان</w:t>
      </w:r>
      <w:r w:rsidRPr="0025250D">
        <w:rPr>
          <w:vertAlign w:val="superscript"/>
          <w:rtl/>
        </w:rPr>
        <w:footnoteReference w:id="1576"/>
      </w:r>
      <w:r w:rsidRPr="0025250D">
        <w:rPr>
          <w:rFonts w:hint="cs"/>
          <w:rtl/>
        </w:rPr>
        <w:t xml:space="preserve"> اثر یک آینده‌پژوه جوان دیگر در آن زمان به نام </w:t>
      </w:r>
      <w:r w:rsidRPr="0025250D">
        <w:rPr>
          <w:rtl/>
        </w:rPr>
        <w:t>اچ.ج</w:t>
      </w:r>
      <w:r w:rsidRPr="0025250D">
        <w:rPr>
          <w:rFonts w:hint="cs"/>
          <w:rtl/>
        </w:rPr>
        <w:t>ی</w:t>
      </w:r>
      <w:r w:rsidRPr="0025250D">
        <w:rPr>
          <w:rtl/>
        </w:rPr>
        <w:t xml:space="preserve"> ولز</w:t>
      </w:r>
      <w:r w:rsidRPr="0025250D">
        <w:rPr>
          <w:vertAlign w:val="superscript"/>
          <w:rtl/>
        </w:rPr>
        <w:footnoteReference w:id="1577"/>
      </w:r>
      <w:r w:rsidRPr="0025250D">
        <w:rPr>
          <w:rFonts w:hint="cs"/>
          <w:rtl/>
        </w:rPr>
        <w:t xml:space="preserve"> در سال 1901 به صورت گسترده مورد مطالعه قرار گرفت</w:t>
      </w:r>
      <w:r w:rsidR="008D6F97" w:rsidRPr="0025250D">
        <w:rPr>
          <w:rtl/>
        </w:rPr>
        <w:t xml:space="preserve">؛ </w:t>
      </w:r>
      <w:r w:rsidRPr="0025250D">
        <w:rPr>
          <w:rFonts w:hint="cs"/>
          <w:rtl/>
        </w:rPr>
        <w:t xml:space="preserve">مانند پاریس، کتاب </w:t>
      </w:r>
      <w:r w:rsidR="00923DDB" w:rsidRPr="0025250D">
        <w:rPr>
          <w:rFonts w:hint="cs"/>
          <w:rtl/>
        </w:rPr>
        <w:t>پیش‌انگاری</w:t>
      </w:r>
      <w:r w:rsidRPr="0025250D">
        <w:rPr>
          <w:rFonts w:hint="cs"/>
          <w:rtl/>
        </w:rPr>
        <w:t xml:space="preserve">‌ها مجموعه گسترده‌ای از </w:t>
      </w:r>
      <w:r w:rsidR="00D92F6E" w:rsidRPr="0025250D">
        <w:rPr>
          <w:rFonts w:hint="cs"/>
          <w:rtl/>
        </w:rPr>
        <w:t>پیش‌بین</w:t>
      </w:r>
      <w:r w:rsidRPr="0025250D">
        <w:rPr>
          <w:rFonts w:hint="cs"/>
          <w:rtl/>
        </w:rPr>
        <w:t xml:space="preserve">ی‌های دقیق و یک مجموعه بسیار کوچک‌تر از </w:t>
      </w:r>
      <w:r w:rsidR="00D92F6E" w:rsidRPr="0025250D">
        <w:rPr>
          <w:rFonts w:hint="cs"/>
          <w:rtl/>
        </w:rPr>
        <w:t>پیش‌بین</w:t>
      </w:r>
      <w:r w:rsidRPr="0025250D">
        <w:rPr>
          <w:rFonts w:hint="cs"/>
          <w:rtl/>
        </w:rPr>
        <w:t xml:space="preserve">ی‌های دارای سوگیری و ناقص، از جنبه‌های مختلفی از </w:t>
      </w:r>
      <w:r w:rsidR="007A53FD" w:rsidRPr="0025250D">
        <w:rPr>
          <w:rFonts w:hint="cs"/>
          <w:rtl/>
        </w:rPr>
        <w:t>فناوری</w:t>
      </w:r>
      <w:r w:rsidRPr="0025250D">
        <w:rPr>
          <w:rFonts w:hint="cs"/>
          <w:rtl/>
        </w:rPr>
        <w:t xml:space="preserve"> و علم است. یک </w:t>
      </w:r>
      <w:r w:rsidRPr="0025250D">
        <w:rPr>
          <w:rtl/>
        </w:rPr>
        <w:t>زندگ</w:t>
      </w:r>
      <w:r w:rsidRPr="0025250D">
        <w:rPr>
          <w:rFonts w:hint="cs"/>
          <w:rtl/>
        </w:rPr>
        <w:t>ی</w:t>
      </w:r>
      <w:r w:rsidRPr="0025250D">
        <w:rPr>
          <w:rtl/>
        </w:rPr>
        <w:t xml:space="preserve"> نامه نو</w:t>
      </w:r>
      <w:r w:rsidRPr="0025250D">
        <w:rPr>
          <w:rFonts w:hint="cs"/>
          <w:rtl/>
        </w:rPr>
        <w:t>ی</w:t>
      </w:r>
      <w:r w:rsidRPr="0025250D">
        <w:rPr>
          <w:rFonts w:hint="eastAsia"/>
          <w:rtl/>
        </w:rPr>
        <w:t>س</w:t>
      </w:r>
      <w:r w:rsidRPr="0025250D">
        <w:rPr>
          <w:rFonts w:hint="cs"/>
          <w:rtl/>
        </w:rPr>
        <w:t xml:space="preserve"> آکادمیک هم گستردگی و هم دقت </w:t>
      </w:r>
      <w:r w:rsidR="00D92F6E" w:rsidRPr="0025250D">
        <w:rPr>
          <w:rFonts w:hint="cs"/>
          <w:rtl/>
        </w:rPr>
        <w:t>پیش‌بین</w:t>
      </w:r>
      <w:r w:rsidRPr="0025250D">
        <w:rPr>
          <w:rFonts w:hint="cs"/>
          <w:rtl/>
        </w:rPr>
        <w:t xml:space="preserve">ی‌های </w:t>
      </w:r>
      <w:r w:rsidRPr="0025250D">
        <w:rPr>
          <w:rtl/>
        </w:rPr>
        <w:t>ولز</w:t>
      </w:r>
      <w:r w:rsidRPr="0025250D">
        <w:rPr>
          <w:rFonts w:hint="cs"/>
          <w:rtl/>
        </w:rPr>
        <w:t xml:space="preserve"> در این کتاب را به‌عنوان یک پدیده توصیف می‌کند.</w:t>
      </w:r>
    </w:p>
    <w:p w14:paraId="2B5D8BC2" w14:textId="0F06C42B" w:rsidR="00537CC8" w:rsidRPr="0025250D" w:rsidRDefault="00537CC8" w:rsidP="00537CC8">
      <w:pPr>
        <w:rPr>
          <w:rtl/>
        </w:rPr>
      </w:pPr>
      <w:r w:rsidRPr="0025250D">
        <w:rPr>
          <w:rFonts w:hint="cs"/>
          <w:rtl/>
        </w:rPr>
        <w:t xml:space="preserve">یک اثر کم‌تر شناخته شده و ابتدایی در قرن بیستم از </w:t>
      </w:r>
      <w:r w:rsidR="00923DDB" w:rsidRPr="0025250D">
        <w:rPr>
          <w:rFonts w:hint="cs"/>
          <w:rtl/>
        </w:rPr>
        <w:t>پیش‌انگاری</w:t>
      </w:r>
      <w:r w:rsidRPr="0025250D">
        <w:rPr>
          <w:rFonts w:hint="cs"/>
          <w:rtl/>
        </w:rPr>
        <w:t xml:space="preserve"> علمی، کتاب صد سال بعد: </w:t>
      </w:r>
      <w:r w:rsidR="00B124DE" w:rsidRPr="0025250D">
        <w:rPr>
          <w:rFonts w:hint="cs"/>
          <w:rtl/>
        </w:rPr>
        <w:t>کسب‌و‌کار</w:t>
      </w:r>
      <w:r w:rsidRPr="0025250D">
        <w:rPr>
          <w:rFonts w:hint="cs"/>
          <w:rtl/>
        </w:rPr>
        <w:t xml:space="preserve"> ناتمام علم</w:t>
      </w:r>
      <w:r w:rsidRPr="0025250D">
        <w:rPr>
          <w:vertAlign w:val="superscript"/>
          <w:rtl/>
        </w:rPr>
        <w:footnoteReference w:id="1578"/>
      </w:r>
      <w:r w:rsidRPr="0025250D">
        <w:rPr>
          <w:rFonts w:hint="cs"/>
          <w:rtl/>
        </w:rPr>
        <w:t xml:space="preserve"> اثر مهندس شیمی </w:t>
      </w:r>
      <w:r w:rsidRPr="0025250D">
        <w:rPr>
          <w:rtl/>
        </w:rPr>
        <w:t>کل</w:t>
      </w:r>
      <w:r w:rsidRPr="0025250D">
        <w:rPr>
          <w:rFonts w:hint="cs"/>
          <w:rtl/>
        </w:rPr>
        <w:t>ی</w:t>
      </w:r>
      <w:r w:rsidRPr="0025250D">
        <w:rPr>
          <w:rFonts w:hint="eastAsia"/>
          <w:rtl/>
        </w:rPr>
        <w:t>فورد</w:t>
      </w:r>
      <w:r w:rsidRPr="0025250D">
        <w:rPr>
          <w:rtl/>
        </w:rPr>
        <w:t xml:space="preserve"> فرناس</w:t>
      </w:r>
      <w:r w:rsidRPr="0025250D">
        <w:rPr>
          <w:vertAlign w:val="superscript"/>
          <w:rtl/>
        </w:rPr>
        <w:footnoteReference w:id="1579"/>
      </w:r>
      <w:r w:rsidRPr="0025250D">
        <w:rPr>
          <w:rFonts w:hint="cs"/>
          <w:rtl/>
        </w:rPr>
        <w:t xml:space="preserve"> در سال 1936 می‌باشد. این یک نکته اثبات کننده برای بسیاری از </w:t>
      </w:r>
      <w:r w:rsidR="00D92F6E" w:rsidRPr="0025250D">
        <w:rPr>
          <w:rFonts w:hint="cs"/>
          <w:rtl/>
        </w:rPr>
        <w:t>پیش‌بین</w:t>
      </w:r>
      <w:r w:rsidRPr="0025250D">
        <w:rPr>
          <w:rFonts w:hint="cs"/>
          <w:rtl/>
        </w:rPr>
        <w:t xml:space="preserve">ی‌های درخشان در </w:t>
      </w:r>
      <w:r w:rsidRPr="0025250D">
        <w:rPr>
          <w:rtl/>
        </w:rPr>
        <w:t>آینده‌نگاری</w:t>
      </w:r>
      <w:r w:rsidRPr="0025250D">
        <w:rPr>
          <w:rFonts w:hint="cs"/>
          <w:rtl/>
        </w:rPr>
        <w:t xml:space="preserve"> علوم پایه است. </w:t>
      </w:r>
      <w:r w:rsidR="00D92F6E" w:rsidRPr="0025250D">
        <w:rPr>
          <w:rFonts w:hint="cs"/>
          <w:rtl/>
        </w:rPr>
        <w:t>پیش‌بین</w:t>
      </w:r>
      <w:r w:rsidRPr="0025250D">
        <w:rPr>
          <w:rFonts w:hint="cs"/>
          <w:rtl/>
        </w:rPr>
        <w:t xml:space="preserve">ی علم، برخلاف آن چه برخی محققین </w:t>
      </w:r>
      <w:r w:rsidRPr="0025250D">
        <w:rPr>
          <w:rtl/>
        </w:rPr>
        <w:t>آینده‌نگاری</w:t>
      </w:r>
      <w:r w:rsidRPr="0025250D">
        <w:rPr>
          <w:rFonts w:hint="cs"/>
          <w:rtl/>
        </w:rPr>
        <w:t xml:space="preserve"> ادعا </w:t>
      </w:r>
      <w:r w:rsidR="007118DE" w:rsidRPr="0025250D">
        <w:rPr>
          <w:rFonts w:hint="cs"/>
          <w:rtl/>
        </w:rPr>
        <w:t>کرده‌اند</w:t>
      </w:r>
      <w:r w:rsidRPr="0025250D">
        <w:rPr>
          <w:rFonts w:hint="cs"/>
          <w:rtl/>
        </w:rPr>
        <w:t>، دشوار‌تر از دیگر دامنه‌ها نیست</w:t>
      </w:r>
      <w:r w:rsidR="008D6F97" w:rsidRPr="0025250D">
        <w:rPr>
          <w:rtl/>
        </w:rPr>
        <w:t xml:space="preserve">؛ </w:t>
      </w:r>
      <w:r w:rsidRPr="0025250D">
        <w:rPr>
          <w:rFonts w:hint="cs"/>
          <w:rtl/>
        </w:rPr>
        <w:t>مانند هر زمینه‌ای از تحقیقات و اعمال انسان، علم بسته به این که آیا عوامل تکاملی و توسعه‌ای در پویایی رشد در آن زمان رایج باشند یا خیر، فازهای</w:t>
      </w:r>
      <w:r w:rsidR="008D6F97" w:rsidRPr="0025250D">
        <w:rPr>
          <w:rtl/>
        </w:rPr>
        <w:t xml:space="preserve"> </w:t>
      </w:r>
      <w:r w:rsidRPr="0025250D">
        <w:rPr>
          <w:rFonts w:hint="cs"/>
          <w:rtl/>
        </w:rPr>
        <w:t>قابلیت</w:t>
      </w:r>
      <w:r w:rsidRPr="0025250D">
        <w:rPr>
          <w:rtl/>
        </w:rPr>
        <w:t xml:space="preserve"> </w:t>
      </w:r>
      <w:r w:rsidR="00D92F6E" w:rsidRPr="0025250D">
        <w:rPr>
          <w:rFonts w:hint="cs"/>
          <w:rtl/>
        </w:rPr>
        <w:t>پیش‌بین</w:t>
      </w:r>
      <w:r w:rsidRPr="0025250D">
        <w:rPr>
          <w:rFonts w:hint="cs"/>
          <w:rtl/>
        </w:rPr>
        <w:t>ی</w:t>
      </w:r>
      <w:r w:rsidRPr="0025250D">
        <w:rPr>
          <w:rtl/>
        </w:rPr>
        <w:t xml:space="preserve"> </w:t>
      </w:r>
      <w:r w:rsidRPr="0025250D">
        <w:rPr>
          <w:rFonts w:hint="cs"/>
          <w:rtl/>
        </w:rPr>
        <w:t>بیش</w:t>
      </w:r>
      <w:r w:rsidRPr="0025250D">
        <w:rPr>
          <w:rtl/>
        </w:rPr>
        <w:t xml:space="preserve">‌تر </w:t>
      </w:r>
      <w:r w:rsidRPr="0025250D">
        <w:rPr>
          <w:rFonts w:hint="cs"/>
          <w:rtl/>
        </w:rPr>
        <w:t>و</w:t>
      </w:r>
      <w:r w:rsidRPr="0025250D">
        <w:rPr>
          <w:rtl/>
        </w:rPr>
        <w:t xml:space="preserve"> </w:t>
      </w:r>
      <w:r w:rsidRPr="0025250D">
        <w:rPr>
          <w:rFonts w:hint="cs"/>
          <w:rtl/>
        </w:rPr>
        <w:t>کم</w:t>
      </w:r>
      <w:r w:rsidRPr="0025250D">
        <w:rPr>
          <w:rtl/>
        </w:rPr>
        <w:t xml:space="preserve">‌تر </w:t>
      </w:r>
      <w:r w:rsidR="00565B68" w:rsidRPr="0025250D">
        <w:rPr>
          <w:rFonts w:hint="cs"/>
          <w:rtl/>
        </w:rPr>
        <w:t>را طی می نماید</w:t>
      </w:r>
      <w:r w:rsidRPr="0025250D">
        <w:rPr>
          <w:rFonts w:hint="cs"/>
          <w:rtl/>
        </w:rPr>
        <w:t xml:space="preserve">. این کار به دلیل سوگیری‌های فرهنگی نامشخص خود بر دوش </w:t>
      </w:r>
      <w:r w:rsidRPr="0025250D">
        <w:rPr>
          <w:rtl/>
        </w:rPr>
        <w:t>آینده‌نگاری</w:t>
      </w:r>
      <w:r w:rsidRPr="0025250D">
        <w:rPr>
          <w:rFonts w:hint="cs"/>
          <w:rtl/>
        </w:rPr>
        <w:t xml:space="preserve"> اجتماعی قرار می‌گیرد. درک کلان روند‌های توسعه‌ای اجتماعی که در کتاب 2 مورد بحث قرار گرفته اند، راه خوبی برای تنظیم سوگیری‌های زمانی و فرهنگی مشخص فرد است. تا اواخر قرن بیستم، می‌توان به خوبی بیان کرد که دیدن کلان روند‌های سیاسی، قانونی، اخلاقی و اجتماعی اصلی متعددی دشوار‌تر از موارد موجود در دامنه‌های</w:t>
      </w:r>
      <w:r w:rsidR="008D6F97" w:rsidRPr="0025250D">
        <w:rPr>
          <w:rtl/>
        </w:rPr>
        <w:t xml:space="preserve"> </w:t>
      </w:r>
      <w:r w:rsidRPr="0025250D">
        <w:t>STEEPLES</w:t>
      </w:r>
      <w:r w:rsidRPr="0025250D">
        <w:rPr>
          <w:rFonts w:hint="cs"/>
          <w:rtl/>
        </w:rPr>
        <w:t xml:space="preserve"> بودند. از نظر ما، با دانشی که از </w:t>
      </w:r>
      <w:r w:rsidRPr="0025250D">
        <w:t>D&amp;D</w:t>
      </w:r>
      <w:r w:rsidRPr="0025250D">
        <w:rPr>
          <w:rFonts w:hint="cs"/>
          <w:rtl/>
        </w:rPr>
        <w:t xml:space="preserve"> حاصل می‌کنیم، این امر دیگر صحت ندارد.</w:t>
      </w:r>
    </w:p>
    <w:p w14:paraId="3EC74BD9" w14:textId="1CF11128" w:rsidR="00537CC8" w:rsidRPr="0025250D" w:rsidRDefault="00537CC8" w:rsidP="00537CC8">
      <w:pPr>
        <w:rPr>
          <w:rtl/>
        </w:rPr>
      </w:pPr>
      <w:r w:rsidRPr="0025250D">
        <w:rPr>
          <w:rFonts w:hint="cs"/>
          <w:rtl/>
        </w:rPr>
        <w:t xml:space="preserve">یک مجموعه بزرگ دیگر از </w:t>
      </w:r>
      <w:r w:rsidR="00923DDB" w:rsidRPr="0025250D">
        <w:rPr>
          <w:rFonts w:hint="cs"/>
          <w:rtl/>
        </w:rPr>
        <w:t>پیش‌انگاری</w:t>
      </w:r>
      <w:r w:rsidRPr="0025250D">
        <w:rPr>
          <w:rFonts w:hint="cs"/>
          <w:rtl/>
        </w:rPr>
        <w:t xml:space="preserve">‌ها در کارهای نویسنده افسانه‌ای علمی و علمی تخیلی </w:t>
      </w:r>
      <w:r w:rsidRPr="0025250D">
        <w:rPr>
          <w:rtl/>
        </w:rPr>
        <w:t>آرتور س</w:t>
      </w:r>
      <w:r w:rsidRPr="0025250D">
        <w:rPr>
          <w:rFonts w:hint="cs"/>
          <w:rtl/>
        </w:rPr>
        <w:t>ی</w:t>
      </w:r>
      <w:r w:rsidRPr="0025250D">
        <w:rPr>
          <w:rtl/>
        </w:rPr>
        <w:t xml:space="preserve"> کلارک</w:t>
      </w:r>
      <w:r w:rsidRPr="0025250D">
        <w:rPr>
          <w:vertAlign w:val="superscript"/>
          <w:rtl/>
        </w:rPr>
        <w:footnoteReference w:id="1580"/>
      </w:r>
      <w:r w:rsidRPr="0025250D">
        <w:rPr>
          <w:rFonts w:hint="cs"/>
          <w:rtl/>
        </w:rPr>
        <w:t xml:space="preserve"> یافت می‌شود. ما سه قانون </w:t>
      </w:r>
      <w:r w:rsidR="00D92F6E" w:rsidRPr="0025250D">
        <w:rPr>
          <w:rFonts w:hint="cs"/>
          <w:rtl/>
        </w:rPr>
        <w:t>پیش‌بین</w:t>
      </w:r>
      <w:r w:rsidRPr="0025250D">
        <w:rPr>
          <w:rFonts w:hint="cs"/>
          <w:rtl/>
        </w:rPr>
        <w:t xml:space="preserve">ی </w:t>
      </w:r>
      <w:r w:rsidRPr="0025250D">
        <w:rPr>
          <w:rtl/>
        </w:rPr>
        <w:t>کلارک</w:t>
      </w:r>
      <w:r w:rsidRPr="0025250D">
        <w:rPr>
          <w:rFonts w:hint="cs"/>
          <w:rtl/>
        </w:rPr>
        <w:t xml:space="preserve"> را در کتاب 2 بیان می‌کنیم. </w:t>
      </w:r>
      <w:r w:rsidRPr="0025250D">
        <w:rPr>
          <w:rtl/>
        </w:rPr>
        <w:t>کلارک</w:t>
      </w:r>
      <w:r w:rsidRPr="0025250D">
        <w:rPr>
          <w:rFonts w:hint="cs"/>
          <w:rtl/>
        </w:rPr>
        <w:t xml:space="preserve"> استعداد و اشتیاقی برای یادگیری، عمومی سازی و برون یابی علم و </w:t>
      </w:r>
      <w:r w:rsidR="007A53FD" w:rsidRPr="0025250D">
        <w:rPr>
          <w:rFonts w:hint="cs"/>
          <w:rtl/>
        </w:rPr>
        <w:t>فناوری</w:t>
      </w:r>
      <w:r w:rsidRPr="0025250D">
        <w:rPr>
          <w:rFonts w:hint="cs"/>
          <w:rtl/>
        </w:rPr>
        <w:t xml:space="preserve"> و علاقه خاصی به آینده‌های فضایی داشت. او همچنین یک تخیل شجاعانه</w:t>
      </w:r>
      <w:r w:rsidR="008D6F97" w:rsidRPr="0025250D">
        <w:rPr>
          <w:rtl/>
        </w:rPr>
        <w:t xml:space="preserve"> </w:t>
      </w:r>
      <w:r w:rsidRPr="0025250D">
        <w:rPr>
          <w:rFonts w:hint="cs"/>
          <w:rtl/>
        </w:rPr>
        <w:t>و یک ذهنیت فروتن، خود-منتقد، آزاد و کنجکاو داشت. استعداد‌ها و تمایلات او، ویژگی‌های فردی او و حرفه‌های دوگانه او به‌عنوان یک رواج دهنده علمی</w:t>
      </w:r>
      <w:r w:rsidRPr="0025250D">
        <w:rPr>
          <w:vertAlign w:val="superscript"/>
          <w:rtl/>
        </w:rPr>
        <w:footnoteReference w:id="1581"/>
      </w:r>
      <w:r w:rsidRPr="0025250D">
        <w:rPr>
          <w:rFonts w:hint="cs"/>
          <w:rtl/>
        </w:rPr>
        <w:t xml:space="preserve"> و نویسنده کتاب‌های علمی تخیلی احتمالا به موفقیت‌های متعدد او به‌عنوان یک </w:t>
      </w:r>
      <w:r w:rsidR="00127288" w:rsidRPr="0025250D">
        <w:rPr>
          <w:rFonts w:hint="cs"/>
          <w:rtl/>
        </w:rPr>
        <w:t>پیش‌انگار</w:t>
      </w:r>
      <w:r w:rsidRPr="0025250D">
        <w:rPr>
          <w:rFonts w:hint="cs"/>
          <w:rtl/>
        </w:rPr>
        <w:t xml:space="preserve"> علم و </w:t>
      </w:r>
      <w:r w:rsidR="007A53FD" w:rsidRPr="0025250D">
        <w:rPr>
          <w:rFonts w:hint="cs"/>
          <w:rtl/>
        </w:rPr>
        <w:t>فناوری</w:t>
      </w:r>
      <w:r w:rsidRPr="0025250D">
        <w:rPr>
          <w:rFonts w:hint="cs"/>
          <w:rtl/>
        </w:rPr>
        <w:t xml:space="preserve"> کمک </w:t>
      </w:r>
      <w:r w:rsidR="007118DE" w:rsidRPr="0025250D">
        <w:rPr>
          <w:rFonts w:hint="cs"/>
          <w:rtl/>
        </w:rPr>
        <w:t>کرده‌اند</w:t>
      </w:r>
      <w:r w:rsidRPr="0025250D">
        <w:rPr>
          <w:rFonts w:hint="cs"/>
          <w:rtl/>
        </w:rPr>
        <w:t>. اثر رخ‌نماهای آینده</w:t>
      </w:r>
      <w:r w:rsidRPr="0025250D">
        <w:rPr>
          <w:vertAlign w:val="superscript"/>
          <w:rtl/>
        </w:rPr>
        <w:footnoteReference w:id="1582"/>
      </w:r>
      <w:r w:rsidRPr="0025250D">
        <w:rPr>
          <w:rFonts w:hint="cs"/>
          <w:rtl/>
        </w:rPr>
        <w:t xml:space="preserve"> او در سال 1958-1984</w:t>
      </w:r>
      <w:r w:rsidR="008D6F97" w:rsidRPr="0025250D">
        <w:t xml:space="preserve"> </w:t>
      </w:r>
      <w:r w:rsidRPr="0025250D">
        <w:rPr>
          <w:rFonts w:hint="cs"/>
          <w:rtl/>
        </w:rPr>
        <w:t>یکی از شناخته شده‌ترین</w:t>
      </w:r>
      <w:r w:rsidR="008D6F97" w:rsidRPr="0025250D">
        <w:rPr>
          <w:rtl/>
        </w:rPr>
        <w:t xml:space="preserve"> </w:t>
      </w:r>
      <w:r w:rsidRPr="0025250D">
        <w:rPr>
          <w:rFonts w:hint="cs"/>
          <w:rtl/>
        </w:rPr>
        <w:t>مطالعات آینده اوست.</w:t>
      </w:r>
    </w:p>
    <w:p w14:paraId="7EB58A69" w14:textId="1D7BDA24" w:rsidR="00537CC8" w:rsidRPr="0025250D" w:rsidRDefault="00537CC8" w:rsidP="0063099E">
      <w:pPr>
        <w:rPr>
          <w:rtl/>
        </w:rPr>
      </w:pPr>
      <w:r w:rsidRPr="0025250D">
        <w:rPr>
          <w:rtl/>
        </w:rPr>
        <w:t>کلارک</w:t>
      </w:r>
      <w:r w:rsidRPr="0025250D">
        <w:rPr>
          <w:rFonts w:hint="cs"/>
          <w:rtl/>
        </w:rPr>
        <w:t xml:space="preserve"> به‌عنوان یک مرد جوان ماهواره </w:t>
      </w:r>
      <w:r w:rsidRPr="0025250D">
        <w:rPr>
          <w:rtl/>
        </w:rPr>
        <w:t>ژئوسنکرون</w:t>
      </w:r>
      <w:r w:rsidRPr="0025250D">
        <w:rPr>
          <w:vertAlign w:val="superscript"/>
          <w:rtl/>
        </w:rPr>
        <w:footnoteReference w:id="1583"/>
      </w:r>
      <w:r w:rsidRPr="0025250D">
        <w:rPr>
          <w:rFonts w:hint="cs"/>
          <w:rtl/>
        </w:rPr>
        <w:t xml:space="preserve"> را در یک مقاله فنی در مجله جهان بی سیم</w:t>
      </w:r>
      <w:r w:rsidRPr="0025250D">
        <w:rPr>
          <w:vertAlign w:val="superscript"/>
          <w:rtl/>
        </w:rPr>
        <w:footnoteReference w:id="1584"/>
      </w:r>
      <w:r w:rsidRPr="0025250D">
        <w:rPr>
          <w:rFonts w:hint="cs"/>
          <w:rtl/>
        </w:rPr>
        <w:t xml:space="preserve"> در سال 1945 </w:t>
      </w:r>
      <w:r w:rsidR="00D92F6E" w:rsidRPr="0025250D">
        <w:rPr>
          <w:rFonts w:hint="cs"/>
          <w:rtl/>
        </w:rPr>
        <w:t>پیش‌بین</w:t>
      </w:r>
      <w:r w:rsidRPr="0025250D">
        <w:rPr>
          <w:rFonts w:hint="cs"/>
          <w:rtl/>
        </w:rPr>
        <w:t xml:space="preserve">ی کرد. او به شکل هوشمندانه‌ای یک کتابخانه جهانی الکترونیکی (اینترنت) را که در سال 2000 ایجاد خواهد شد (او تنها چند سال </w:t>
      </w:r>
      <w:r w:rsidR="00A20CCB" w:rsidRPr="0025250D">
        <w:rPr>
          <w:rFonts w:hint="cs"/>
          <w:rtl/>
        </w:rPr>
        <w:t>زمان‌بندی</w:t>
      </w:r>
      <w:r w:rsidRPr="0025250D">
        <w:rPr>
          <w:rFonts w:hint="cs"/>
          <w:rtl/>
        </w:rPr>
        <w:t xml:space="preserve"> دیرتری را ارئه کرده بود)، اتومبیل‌های خودران که ما از طریق دستورات صوتی با آن‌ها تعامل می‌کنیم، انبوه سازی پهپاد‌های مسافری (</w:t>
      </w:r>
      <w:r w:rsidR="0063099E" w:rsidRPr="0025250D">
        <w:rPr>
          <w:rtl/>
        </w:rPr>
        <w:t>«</w:t>
      </w:r>
      <w:r w:rsidRPr="0025250D">
        <w:rPr>
          <w:rFonts w:hint="cs"/>
          <w:rtl/>
        </w:rPr>
        <w:t xml:space="preserve">ترافیک مسافری </w:t>
      </w:r>
      <w:r w:rsidRPr="0025250D">
        <w:t>VTOL</w:t>
      </w:r>
      <w:r w:rsidR="0063099E" w:rsidRPr="0025250D">
        <w:rPr>
          <w:rFonts w:hint="cs"/>
          <w:rtl/>
        </w:rPr>
        <w:t>»</w:t>
      </w:r>
      <w:r w:rsidRPr="0025250D">
        <w:rPr>
          <w:rFonts w:hint="cs"/>
          <w:rtl/>
        </w:rPr>
        <w:t xml:space="preserve">) و بسیاری از موارد دیگر را </w:t>
      </w:r>
      <w:r w:rsidR="00D92F6E" w:rsidRPr="0025250D">
        <w:rPr>
          <w:rFonts w:hint="cs"/>
          <w:rtl/>
        </w:rPr>
        <w:t>پیش‌بین</w:t>
      </w:r>
      <w:r w:rsidRPr="0025250D">
        <w:rPr>
          <w:rFonts w:hint="cs"/>
          <w:rtl/>
        </w:rPr>
        <w:t>ی می‌کند. شاید مهم‌ترین</w:t>
      </w:r>
      <w:r w:rsidR="008D6F97" w:rsidRPr="0025250D">
        <w:rPr>
          <w:rtl/>
        </w:rPr>
        <w:t xml:space="preserve"> </w:t>
      </w:r>
      <w:r w:rsidR="00923DDB" w:rsidRPr="0025250D">
        <w:rPr>
          <w:rFonts w:hint="cs"/>
          <w:rtl/>
        </w:rPr>
        <w:t>پیش‌انگاری</w:t>
      </w:r>
      <w:r w:rsidR="008D6F97" w:rsidRPr="0025250D">
        <w:t xml:space="preserve"> </w:t>
      </w:r>
      <w:r w:rsidRPr="0025250D">
        <w:rPr>
          <w:rFonts w:hint="cs"/>
          <w:rtl/>
        </w:rPr>
        <w:t>او در کتابش بحث فرا رسیدن هوش مصنوعی پیشرفته قریب الوقوع (مثلا</w:t>
      </w:r>
      <w:r w:rsidR="008D6F97" w:rsidRPr="0025250D">
        <w:rPr>
          <w:rtl/>
        </w:rPr>
        <w:t xml:space="preserve"> </w:t>
      </w:r>
      <w:r w:rsidRPr="0025250D">
        <w:rPr>
          <w:rFonts w:hint="cs"/>
          <w:rtl/>
        </w:rPr>
        <w:t>تا یک قرن بعد) باشد، موضوعی که او همچنین در رمان و فیلم خود به نام 2001: ادیسه فضایی</w:t>
      </w:r>
      <w:r w:rsidRPr="0025250D">
        <w:rPr>
          <w:vertAlign w:val="superscript"/>
          <w:rtl/>
        </w:rPr>
        <w:footnoteReference w:id="1585"/>
      </w:r>
      <w:r w:rsidRPr="0025250D">
        <w:rPr>
          <w:rFonts w:hint="cs"/>
          <w:rtl/>
        </w:rPr>
        <w:t xml:space="preserve"> در سال 1968، یکی از تأثیر گذارترین فیلم‌های علمی تخیلی تمام دوران، بررسی می‌کند.</w:t>
      </w:r>
    </w:p>
    <w:p w14:paraId="158BE265" w14:textId="39564D24" w:rsidR="00537CC8" w:rsidRPr="0025250D" w:rsidRDefault="00537CC8" w:rsidP="00537CC8">
      <w:pPr>
        <w:rPr>
          <w:rtl/>
        </w:rPr>
      </w:pPr>
      <w:r w:rsidRPr="0025250D">
        <w:rPr>
          <w:rFonts w:hint="cs"/>
          <w:rtl/>
        </w:rPr>
        <w:t xml:space="preserve">این موارد مثال‌های خوبی از </w:t>
      </w:r>
      <w:r w:rsidRPr="0025250D">
        <w:rPr>
          <w:rtl/>
        </w:rPr>
        <w:t>آینده‌نگاری</w:t>
      </w:r>
      <w:r w:rsidRPr="0025250D">
        <w:rPr>
          <w:rFonts w:hint="cs"/>
          <w:rtl/>
        </w:rPr>
        <w:t xml:space="preserve"> </w:t>
      </w:r>
      <w:r w:rsidR="00303635" w:rsidRPr="0025250D">
        <w:rPr>
          <w:rtl/>
        </w:rPr>
        <w:t>چابک‌بین</w:t>
      </w:r>
      <w:r w:rsidRPr="0025250D">
        <w:rPr>
          <w:vertAlign w:val="superscript"/>
        </w:rPr>
        <w:footnoteReference w:id="1586"/>
      </w:r>
      <w:r w:rsidRPr="0025250D">
        <w:rPr>
          <w:rFonts w:hint="cs"/>
          <w:rtl/>
        </w:rPr>
        <w:t xml:space="preserve"> هستند، الگوی رایجی که برخی متفکرین </w:t>
      </w:r>
      <w:r w:rsidRPr="0025250D">
        <w:rPr>
          <w:rFonts w:cs="Times New Roman" w:hint="cs"/>
          <w:rtl/>
        </w:rPr>
        <w:t>–</w:t>
      </w:r>
      <w:r w:rsidRPr="0025250D">
        <w:rPr>
          <w:rFonts w:hint="cs"/>
          <w:rtl/>
        </w:rPr>
        <w:t xml:space="preserve"> معمولا دارای آرمان‌های گسترده و نسبتا </w:t>
      </w:r>
      <w:r w:rsidRPr="0025250D">
        <w:rPr>
          <w:rtl/>
        </w:rPr>
        <w:t>همه‌چ</w:t>
      </w:r>
      <w:r w:rsidRPr="0025250D">
        <w:rPr>
          <w:rFonts w:hint="cs"/>
          <w:rtl/>
        </w:rPr>
        <w:t>ی</w:t>
      </w:r>
      <w:r w:rsidRPr="0025250D">
        <w:rPr>
          <w:rFonts w:hint="eastAsia"/>
          <w:rtl/>
        </w:rPr>
        <w:t>زدان</w:t>
      </w:r>
      <w:r w:rsidRPr="0025250D">
        <w:rPr>
          <w:vertAlign w:val="superscript"/>
          <w:rtl/>
        </w:rPr>
        <w:footnoteReference w:id="1587"/>
      </w:r>
      <w:r w:rsidRPr="0025250D">
        <w:rPr>
          <w:rFonts w:hint="cs"/>
          <w:rtl/>
        </w:rPr>
        <w:t xml:space="preserve"> </w:t>
      </w:r>
      <w:r w:rsidRPr="0025250D">
        <w:rPr>
          <w:rFonts w:cs="Times New Roman" w:hint="cs"/>
          <w:rtl/>
        </w:rPr>
        <w:t>–</w:t>
      </w:r>
      <w:r w:rsidRPr="0025250D">
        <w:rPr>
          <w:rFonts w:hint="cs"/>
          <w:rtl/>
        </w:rPr>
        <w:t xml:space="preserve"> به‌عنوان جنبه‌هایی از آینده پیش روی بشریت می‌بینند. این امر گاهی اوقات </w:t>
      </w:r>
      <w:r w:rsidR="0063099E" w:rsidRPr="0025250D">
        <w:rPr>
          <w:rtl/>
        </w:rPr>
        <w:t>«</w:t>
      </w:r>
      <w:r w:rsidRPr="0025250D">
        <w:rPr>
          <w:rtl/>
        </w:rPr>
        <w:t>آینده‌نگاری</w:t>
      </w:r>
      <w:r w:rsidRPr="0025250D">
        <w:rPr>
          <w:rFonts w:hint="cs"/>
          <w:rtl/>
        </w:rPr>
        <w:t xml:space="preserve"> نبوغ</w:t>
      </w:r>
      <w:r w:rsidR="00CD1F78" w:rsidRPr="0025250D">
        <w:rPr>
          <w:rFonts w:hint="cs"/>
          <w:rtl/>
        </w:rPr>
        <w:t>‌آمیز</w:t>
      </w:r>
      <w:r w:rsidRPr="0025250D">
        <w:rPr>
          <w:vertAlign w:val="superscript"/>
          <w:rtl/>
        </w:rPr>
        <w:footnoteReference w:id="1588"/>
      </w:r>
      <w:r w:rsidR="0063099E" w:rsidRPr="0025250D">
        <w:rPr>
          <w:rtl/>
        </w:rPr>
        <w:t>»</w:t>
      </w:r>
      <w:r w:rsidRPr="0025250D">
        <w:rPr>
          <w:rFonts w:hint="cs"/>
          <w:rtl/>
        </w:rPr>
        <w:t xml:space="preserve"> نامیده می‌شود، اما این یک اصطلاح </w:t>
      </w:r>
      <w:r w:rsidR="00CD1F78" w:rsidRPr="0025250D">
        <w:rPr>
          <w:rFonts w:hint="cs"/>
          <w:rtl/>
        </w:rPr>
        <w:t>با</w:t>
      </w:r>
      <w:r w:rsidRPr="0025250D">
        <w:rPr>
          <w:rFonts w:hint="cs"/>
          <w:rtl/>
        </w:rPr>
        <w:t xml:space="preserve"> دق</w:t>
      </w:r>
      <w:r w:rsidR="00CD1F78" w:rsidRPr="0025250D">
        <w:rPr>
          <w:rFonts w:hint="cs"/>
          <w:rtl/>
        </w:rPr>
        <w:t>ت</w:t>
      </w:r>
      <w:r w:rsidRPr="0025250D">
        <w:rPr>
          <w:rFonts w:hint="cs"/>
          <w:rtl/>
        </w:rPr>
        <w:t xml:space="preserve"> و برجست</w:t>
      </w:r>
      <w:r w:rsidR="00CD1F78" w:rsidRPr="0025250D">
        <w:rPr>
          <w:rFonts w:hint="cs"/>
          <w:rtl/>
        </w:rPr>
        <w:t>گی کمتر</w:t>
      </w:r>
      <w:r w:rsidRPr="0025250D">
        <w:rPr>
          <w:rFonts w:hint="cs"/>
          <w:rtl/>
        </w:rPr>
        <w:t xml:space="preserve"> است. تاریخ نشان داده است که هر کسی قادر به انجام </w:t>
      </w:r>
      <w:r w:rsidRPr="0025250D">
        <w:rPr>
          <w:rtl/>
        </w:rPr>
        <w:t>آینده‌نگاری</w:t>
      </w:r>
      <w:r w:rsidRPr="0025250D">
        <w:rPr>
          <w:rFonts w:hint="cs"/>
          <w:rtl/>
        </w:rPr>
        <w:t xml:space="preserve"> </w:t>
      </w:r>
      <w:r w:rsidR="00303635" w:rsidRPr="0025250D">
        <w:rPr>
          <w:rtl/>
        </w:rPr>
        <w:t>چابک‌بین</w:t>
      </w:r>
      <w:r w:rsidRPr="0025250D">
        <w:rPr>
          <w:rFonts w:hint="cs"/>
          <w:rtl/>
        </w:rPr>
        <w:t xml:space="preserve"> می‌باشد. داشتن یک </w:t>
      </w:r>
      <w:r w:rsidRPr="0025250D">
        <w:t>IQ</w:t>
      </w:r>
      <w:r w:rsidRPr="0025250D">
        <w:rPr>
          <w:rFonts w:hint="cs"/>
          <w:rtl/>
        </w:rPr>
        <w:t xml:space="preserve"> برجسته اهمیت بسیار</w:t>
      </w:r>
      <w:r w:rsidR="00BB406C" w:rsidRPr="0025250D">
        <w:rPr>
          <w:rFonts w:hint="cs"/>
          <w:rtl/>
        </w:rPr>
        <w:t xml:space="preserve"> کم‌تر</w:t>
      </w:r>
      <w:r w:rsidRPr="0025250D">
        <w:rPr>
          <w:rFonts w:hint="cs"/>
          <w:rtl/>
        </w:rPr>
        <w:t xml:space="preserve">ی </w:t>
      </w:r>
      <w:r w:rsidR="00CD1F78" w:rsidRPr="0025250D">
        <w:rPr>
          <w:rFonts w:hint="cs"/>
          <w:rtl/>
        </w:rPr>
        <w:t>در مقایسه با</w:t>
      </w:r>
      <w:r w:rsidRPr="0025250D">
        <w:rPr>
          <w:rFonts w:hint="cs"/>
          <w:rtl/>
        </w:rPr>
        <w:t xml:space="preserve"> قرار داشتن در مکان درست، </w:t>
      </w:r>
      <w:r w:rsidR="00CD1F78" w:rsidRPr="0025250D">
        <w:rPr>
          <w:rFonts w:hint="cs"/>
          <w:rtl/>
        </w:rPr>
        <w:t xml:space="preserve">در </w:t>
      </w:r>
      <w:r w:rsidRPr="0025250D">
        <w:rPr>
          <w:rFonts w:hint="cs"/>
          <w:rtl/>
        </w:rPr>
        <w:t>زمان درست، پذیرش بینش و اعتماد به هم و دیگر مؤسسات، بر سر رویکرد‌ها و جانب داری‌های فرهنگی دارد.</w:t>
      </w:r>
    </w:p>
    <w:p w14:paraId="32790719" w14:textId="7975F774" w:rsidR="00537CC8" w:rsidRPr="0025250D" w:rsidRDefault="00537CC8" w:rsidP="00537CC8">
      <w:pPr>
        <w:rPr>
          <w:rtl/>
        </w:rPr>
      </w:pPr>
      <w:r w:rsidRPr="0025250D">
        <w:rPr>
          <w:rtl/>
        </w:rPr>
        <w:t>آینده‌نگاری</w:t>
      </w:r>
      <w:r w:rsidRPr="0025250D">
        <w:rPr>
          <w:rFonts w:hint="cs"/>
          <w:rtl/>
        </w:rPr>
        <w:t xml:space="preserve"> </w:t>
      </w:r>
      <w:r w:rsidR="007A53FD" w:rsidRPr="0025250D">
        <w:rPr>
          <w:rFonts w:hint="cs"/>
          <w:rtl/>
        </w:rPr>
        <w:t>فناوری</w:t>
      </w:r>
      <w:r w:rsidRPr="0025250D">
        <w:rPr>
          <w:rFonts w:hint="cs"/>
          <w:rtl/>
        </w:rPr>
        <w:t xml:space="preserve"> </w:t>
      </w:r>
      <w:r w:rsidR="00127288" w:rsidRPr="0025250D">
        <w:rPr>
          <w:rFonts w:hint="cs"/>
          <w:rtl/>
        </w:rPr>
        <w:t>پیش‌انگار</w:t>
      </w:r>
      <w:r w:rsidRPr="0025250D">
        <w:rPr>
          <w:rFonts w:hint="cs"/>
          <w:rtl/>
        </w:rPr>
        <w:t xml:space="preserve"> </w:t>
      </w:r>
      <w:r w:rsidR="00303635" w:rsidRPr="0025250D">
        <w:rPr>
          <w:rtl/>
        </w:rPr>
        <w:t>چابک‌بین</w:t>
      </w:r>
      <w:r w:rsidRPr="0025250D">
        <w:rPr>
          <w:rFonts w:hint="cs"/>
          <w:rtl/>
        </w:rPr>
        <w:t xml:space="preserve"> را در نوشته‌های پیشگام </w:t>
      </w:r>
      <w:r w:rsidRPr="0025250D">
        <w:rPr>
          <w:rtl/>
        </w:rPr>
        <w:t>سا</w:t>
      </w:r>
      <w:r w:rsidRPr="0025250D">
        <w:rPr>
          <w:rFonts w:hint="cs"/>
          <w:rtl/>
        </w:rPr>
        <w:t>ی</w:t>
      </w:r>
      <w:r w:rsidRPr="0025250D">
        <w:rPr>
          <w:rFonts w:hint="eastAsia"/>
          <w:rtl/>
        </w:rPr>
        <w:t>برنت</w:t>
      </w:r>
      <w:r w:rsidRPr="0025250D">
        <w:rPr>
          <w:rFonts w:hint="cs"/>
          <w:rtl/>
        </w:rPr>
        <w:t>ی</w:t>
      </w:r>
      <w:r w:rsidRPr="0025250D">
        <w:rPr>
          <w:rFonts w:hint="eastAsia"/>
          <w:rtl/>
        </w:rPr>
        <w:t>ک</w:t>
      </w:r>
      <w:r w:rsidRPr="0025250D">
        <w:rPr>
          <w:rtl/>
        </w:rPr>
        <w:t xml:space="preserve"> نوربرت و</w:t>
      </w:r>
      <w:r w:rsidRPr="0025250D">
        <w:rPr>
          <w:rFonts w:hint="cs"/>
          <w:rtl/>
        </w:rPr>
        <w:t>ی</w:t>
      </w:r>
      <w:r w:rsidRPr="0025250D">
        <w:rPr>
          <w:rFonts w:hint="eastAsia"/>
          <w:rtl/>
        </w:rPr>
        <w:t>نر</w:t>
      </w:r>
      <w:r w:rsidRPr="0025250D">
        <w:rPr>
          <w:vertAlign w:val="superscript"/>
          <w:rtl/>
        </w:rPr>
        <w:footnoteReference w:id="1589"/>
      </w:r>
      <w:r w:rsidRPr="0025250D">
        <w:rPr>
          <w:rFonts w:hint="cs"/>
          <w:rtl/>
        </w:rPr>
        <w:t xml:space="preserve"> در دهه 1940 و 1950 و اقتصاد دان و دانشمند علوم کامپیوتر </w:t>
      </w:r>
      <w:r w:rsidRPr="0025250D">
        <w:rPr>
          <w:rtl/>
        </w:rPr>
        <w:t>هربرت سا</w:t>
      </w:r>
      <w:r w:rsidRPr="0025250D">
        <w:rPr>
          <w:rFonts w:hint="cs"/>
          <w:rtl/>
        </w:rPr>
        <w:t>ی</w:t>
      </w:r>
      <w:r w:rsidRPr="0025250D">
        <w:rPr>
          <w:rFonts w:hint="eastAsia"/>
          <w:rtl/>
        </w:rPr>
        <w:t>مون</w:t>
      </w:r>
      <w:r w:rsidRPr="0025250D">
        <w:rPr>
          <w:vertAlign w:val="superscript"/>
          <w:rtl/>
        </w:rPr>
        <w:footnoteReference w:id="1590"/>
      </w:r>
      <w:r w:rsidRPr="0025250D">
        <w:rPr>
          <w:rFonts w:hint="cs"/>
          <w:rtl/>
        </w:rPr>
        <w:t xml:space="preserve"> در دهه‌های 1950 و 1960 می‌یابیم. هر دو نفر درمورد </w:t>
      </w:r>
      <w:r w:rsidR="00CD1F78" w:rsidRPr="0025250D">
        <w:rPr>
          <w:rFonts w:hint="cs"/>
          <w:rtl/>
        </w:rPr>
        <w:t>موضوعاتی</w:t>
      </w:r>
      <w:r w:rsidRPr="0025250D">
        <w:rPr>
          <w:rFonts w:hint="cs"/>
          <w:rtl/>
        </w:rPr>
        <w:t xml:space="preserve"> مانند هوش مصنوعی، بی</w:t>
      </w:r>
      <w:r w:rsidR="00CD1F78" w:rsidRPr="0025250D">
        <w:rPr>
          <w:rFonts w:hint="cs"/>
          <w:rtl/>
        </w:rPr>
        <w:t>‌</w:t>
      </w:r>
      <w:r w:rsidRPr="0025250D">
        <w:rPr>
          <w:rFonts w:hint="cs"/>
          <w:rtl/>
        </w:rPr>
        <w:t xml:space="preserve">کاری فناورانه و همکاری انسان و ماشین، بسیار قبل‌تر و به شکل‌های متعددی، بهتر و واضح‌تر از بیش‌تر نویسندگان امروزی، مطالبی نوشته اند. وقتی برای بازبینی بینش‌های </w:t>
      </w:r>
      <w:r w:rsidR="00303635" w:rsidRPr="0025250D">
        <w:rPr>
          <w:rtl/>
        </w:rPr>
        <w:t>چابک‌بین</w:t>
      </w:r>
      <w:r w:rsidRPr="0025250D">
        <w:rPr>
          <w:rFonts w:hint="cs"/>
          <w:rtl/>
        </w:rPr>
        <w:t xml:space="preserve"> اصلی، در هر زمینه‌ای، زمان می‌گذاریم، می‌توانیم اغلب موارد بیشتری را ببینیم و </w:t>
      </w:r>
      <w:r w:rsidR="00701E03" w:rsidRPr="0025250D">
        <w:rPr>
          <w:rFonts w:hint="cs"/>
          <w:rtl/>
        </w:rPr>
        <w:t>راهبرد</w:t>
      </w:r>
      <w:r w:rsidRPr="0025250D">
        <w:rPr>
          <w:rFonts w:hint="cs"/>
          <w:rtl/>
        </w:rPr>
        <w:t xml:space="preserve">‌های بهتری را ایجاد کنیم. ما </w:t>
      </w:r>
      <w:r w:rsidRPr="0025250D">
        <w:rPr>
          <w:rtl/>
        </w:rPr>
        <w:t>آینده‌نگاری</w:t>
      </w:r>
      <w:r w:rsidRPr="0025250D">
        <w:rPr>
          <w:rFonts w:hint="cs"/>
          <w:rtl/>
        </w:rPr>
        <w:t xml:space="preserve"> شجاعانه</w:t>
      </w:r>
      <w:r w:rsidRPr="0025250D">
        <w:rPr>
          <w:vertAlign w:val="superscript"/>
          <w:rtl/>
        </w:rPr>
        <w:footnoteReference w:id="1591"/>
      </w:r>
      <w:r w:rsidRPr="0025250D">
        <w:rPr>
          <w:rFonts w:hint="cs"/>
          <w:rtl/>
        </w:rPr>
        <w:t xml:space="preserve"> را به‌عنوان </w:t>
      </w:r>
      <w:r w:rsidR="00B124DE" w:rsidRPr="0025250D">
        <w:rPr>
          <w:rFonts w:hint="cs"/>
          <w:rtl/>
        </w:rPr>
        <w:t>آینده‌اندیش</w:t>
      </w:r>
      <w:r w:rsidRPr="0025250D">
        <w:rPr>
          <w:rFonts w:hint="cs"/>
          <w:rtl/>
        </w:rPr>
        <w:t xml:space="preserve">ی که با موضوعات بحث برانگیز اما مهم کار می‌کند و </w:t>
      </w:r>
      <w:r w:rsidR="00D92F6E" w:rsidRPr="0025250D">
        <w:rPr>
          <w:rFonts w:hint="cs"/>
          <w:rtl/>
        </w:rPr>
        <w:t>پیش‌بین</w:t>
      </w:r>
      <w:r w:rsidRPr="0025250D">
        <w:rPr>
          <w:rFonts w:hint="cs"/>
          <w:rtl/>
        </w:rPr>
        <w:t xml:space="preserve">ی‌ها و قضاوت‌های ارزشی غیر رایج اما احتمالا مفیدی را درمورد آینده انجام می‌دهد، تعریف می‌کنیم. آینده‌پژوه متخصص </w:t>
      </w:r>
      <w:r w:rsidRPr="0025250D">
        <w:rPr>
          <w:rtl/>
        </w:rPr>
        <w:t>جو کوتس</w:t>
      </w:r>
      <w:r w:rsidRPr="0025250D">
        <w:rPr>
          <w:rFonts w:hint="cs"/>
          <w:rtl/>
        </w:rPr>
        <w:t xml:space="preserve"> که ترسی از </w:t>
      </w:r>
      <w:r w:rsidR="00D92F6E" w:rsidRPr="0025250D">
        <w:rPr>
          <w:rFonts w:hint="cs"/>
          <w:rtl/>
        </w:rPr>
        <w:t>پیش‌بین</w:t>
      </w:r>
      <w:r w:rsidRPr="0025250D">
        <w:rPr>
          <w:rFonts w:hint="cs"/>
          <w:rtl/>
        </w:rPr>
        <w:t xml:space="preserve">ی و نقد کارسپاران و جامعه خود نداشت، مثالی از این نوع تفکر است. </w:t>
      </w:r>
      <w:r w:rsidRPr="0025250D">
        <w:rPr>
          <w:rtl/>
        </w:rPr>
        <w:t>کوتس</w:t>
      </w:r>
      <w:r w:rsidRPr="0025250D">
        <w:rPr>
          <w:rFonts w:hint="cs"/>
          <w:rtl/>
        </w:rPr>
        <w:t xml:space="preserve"> شاید می‌توانست با برخی افراد در کار خود ظریف‌تر و بهتر برخورد کند، اما انتقاد‌های او اغلب دقیقا همان چیزی بودند که در زمان درست، برای آشکار سازی نقص‌های پنهان یا فرضیات نادرست در پس </w:t>
      </w:r>
      <w:r w:rsidR="00B56611" w:rsidRPr="0025250D">
        <w:rPr>
          <w:rFonts w:hint="cs"/>
          <w:rtl/>
        </w:rPr>
        <w:t>چشم‌انداز</w:t>
      </w:r>
      <w:r w:rsidRPr="0025250D">
        <w:rPr>
          <w:rFonts w:hint="cs"/>
          <w:rtl/>
        </w:rPr>
        <w:t xml:space="preserve">‌ها، بحث‌ها، </w:t>
      </w:r>
      <w:r w:rsidR="00701E03" w:rsidRPr="0025250D">
        <w:rPr>
          <w:rFonts w:hint="cs"/>
          <w:rtl/>
        </w:rPr>
        <w:t>راهبرد</w:t>
      </w:r>
      <w:r w:rsidRPr="0025250D">
        <w:rPr>
          <w:rFonts w:hint="cs"/>
          <w:rtl/>
        </w:rPr>
        <w:t xml:space="preserve">‌ها یا برنامه‌ها به آن‌ها نیاز بود. همه متفکرین </w:t>
      </w:r>
      <w:r w:rsidR="00303635" w:rsidRPr="0025250D">
        <w:rPr>
          <w:rtl/>
        </w:rPr>
        <w:t>چابک‌بین</w:t>
      </w:r>
      <w:r w:rsidRPr="0025250D">
        <w:rPr>
          <w:rFonts w:hint="cs"/>
          <w:rtl/>
        </w:rPr>
        <w:t xml:space="preserve"> در زمان‌هایی از </w:t>
      </w:r>
      <w:r w:rsidRPr="0025250D">
        <w:rPr>
          <w:rtl/>
        </w:rPr>
        <w:t>آینده‌نگاری</w:t>
      </w:r>
      <w:r w:rsidRPr="0025250D">
        <w:rPr>
          <w:rFonts w:hint="cs"/>
          <w:rtl/>
        </w:rPr>
        <w:t xml:space="preserve"> شجاعانه استفاده می‌کنند، چه قصد این کار را داشته باشند و چه </w:t>
      </w:r>
      <w:r w:rsidR="00CD1F78" w:rsidRPr="0025250D">
        <w:rPr>
          <w:rFonts w:hint="cs"/>
          <w:rtl/>
        </w:rPr>
        <w:t>نداشته باشند</w:t>
      </w:r>
      <w:r w:rsidRPr="0025250D">
        <w:rPr>
          <w:rFonts w:hint="cs"/>
          <w:rtl/>
        </w:rPr>
        <w:t>. بسیار جلوتر بودن از منحنی</w:t>
      </w:r>
      <w:r w:rsidRPr="0025250D">
        <w:rPr>
          <w:vertAlign w:val="superscript"/>
          <w:rtl/>
        </w:rPr>
        <w:footnoteReference w:id="1592"/>
      </w:r>
      <w:r w:rsidRPr="0025250D">
        <w:rPr>
          <w:rFonts w:hint="cs"/>
          <w:rtl/>
        </w:rPr>
        <w:t xml:space="preserve"> می‌تواند اغلب بحث برانگیز یا غیر محبوب و </w:t>
      </w:r>
      <w:r w:rsidR="00CD1F78" w:rsidRPr="0025250D">
        <w:rPr>
          <w:rFonts w:hint="cs"/>
          <w:rtl/>
        </w:rPr>
        <w:t xml:space="preserve">غیر </w:t>
      </w:r>
      <w:r w:rsidRPr="0025250D">
        <w:rPr>
          <w:rFonts w:hint="cs"/>
          <w:rtl/>
        </w:rPr>
        <w:t xml:space="preserve">رایج باشد. می‌خواهیم بیاموزیم زمانی که </w:t>
      </w:r>
      <w:r w:rsidR="00CD1F78" w:rsidRPr="0025250D">
        <w:rPr>
          <w:rFonts w:hint="cs"/>
          <w:rtl/>
        </w:rPr>
        <w:t xml:space="preserve">لزوم انجام این نوع آینده‌نگاری را احساس می نماییم، باید </w:t>
      </w:r>
      <w:r w:rsidRPr="0025250D">
        <w:rPr>
          <w:rFonts w:hint="cs"/>
          <w:rtl/>
        </w:rPr>
        <w:t xml:space="preserve">تا حد امکان با </w:t>
      </w:r>
      <w:r w:rsidR="00202882" w:rsidRPr="0025250D">
        <w:rPr>
          <w:rFonts w:hint="cs"/>
          <w:rtl/>
        </w:rPr>
        <w:t>همدلی</w:t>
      </w:r>
      <w:r w:rsidRPr="0025250D">
        <w:rPr>
          <w:rFonts w:hint="cs"/>
          <w:rtl/>
        </w:rPr>
        <w:t xml:space="preserve">، </w:t>
      </w:r>
      <w:r w:rsidR="00A20CCB" w:rsidRPr="0025250D">
        <w:rPr>
          <w:rFonts w:hint="cs"/>
          <w:rtl/>
        </w:rPr>
        <w:t>زمان‌بندی</w:t>
      </w:r>
      <w:r w:rsidRPr="0025250D">
        <w:rPr>
          <w:rFonts w:hint="cs"/>
          <w:rtl/>
        </w:rPr>
        <w:t xml:space="preserve"> و مصلحت اندیشی، </w:t>
      </w:r>
      <w:r w:rsidR="00CD1F78" w:rsidRPr="0025250D">
        <w:rPr>
          <w:rFonts w:hint="cs"/>
          <w:rtl/>
        </w:rPr>
        <w:t>آن</w:t>
      </w:r>
      <w:r w:rsidRPr="0025250D">
        <w:rPr>
          <w:rtl/>
        </w:rPr>
        <w:t xml:space="preserve"> </w:t>
      </w:r>
      <w:r w:rsidRPr="0025250D">
        <w:rPr>
          <w:rFonts w:hint="cs"/>
          <w:rtl/>
        </w:rPr>
        <w:t>را انجام دهیم.</w:t>
      </w:r>
    </w:p>
    <w:p w14:paraId="68120BB8" w14:textId="4313DB9B" w:rsidR="00537CC8" w:rsidRPr="0025250D" w:rsidRDefault="00537CC8" w:rsidP="00537CC8">
      <w:pPr>
        <w:rPr>
          <w:rtl/>
        </w:rPr>
      </w:pPr>
      <w:r w:rsidRPr="0025250D">
        <w:rPr>
          <w:rFonts w:hint="cs"/>
          <w:rtl/>
        </w:rPr>
        <w:t>شاید شجاعانه‌ترین</w:t>
      </w:r>
      <w:r w:rsidR="008D6F97" w:rsidRPr="0025250D">
        <w:rPr>
          <w:rtl/>
        </w:rPr>
        <w:t xml:space="preserve"> </w:t>
      </w:r>
      <w:r w:rsidR="00D92F6E" w:rsidRPr="0025250D">
        <w:rPr>
          <w:rFonts w:hint="cs"/>
          <w:rtl/>
        </w:rPr>
        <w:t>پیش‌بین</w:t>
      </w:r>
      <w:r w:rsidRPr="0025250D">
        <w:rPr>
          <w:rFonts w:hint="cs"/>
          <w:rtl/>
        </w:rPr>
        <w:t xml:space="preserve">ی </w:t>
      </w:r>
      <w:r w:rsidRPr="0025250D">
        <w:rPr>
          <w:rtl/>
        </w:rPr>
        <w:t>کلارک</w:t>
      </w:r>
      <w:r w:rsidRPr="0025250D">
        <w:rPr>
          <w:rFonts w:hint="cs"/>
          <w:rtl/>
        </w:rPr>
        <w:t xml:space="preserve"> در کتاب رخ‌نما، در فصل 18 آن رخ می‌دهد، یعنی منسوخ شدن و از کار افتادگی انسان. در آن فصل، </w:t>
      </w:r>
      <w:r w:rsidRPr="0025250D">
        <w:rPr>
          <w:rtl/>
        </w:rPr>
        <w:t>کلارک</w:t>
      </w:r>
      <w:r w:rsidRPr="0025250D">
        <w:rPr>
          <w:rFonts w:hint="cs"/>
          <w:rtl/>
        </w:rPr>
        <w:t xml:space="preserve"> مشاهده می‌کند که </w:t>
      </w:r>
      <w:r w:rsidR="007A53FD" w:rsidRPr="0025250D">
        <w:rPr>
          <w:rFonts w:hint="cs"/>
          <w:rtl/>
        </w:rPr>
        <w:t>فناوری</w:t>
      </w:r>
      <w:r w:rsidRPr="0025250D">
        <w:rPr>
          <w:rFonts w:hint="cs"/>
          <w:rtl/>
        </w:rPr>
        <w:t xml:space="preserve"> و مشخصا فناوری اطلاعات، هم اکنون نیز مزایای به شدت برتری را نسبت به سرعت تفکر، یادگیری و ظرفیت و دوام زیستی ما از خود نشان داده است. او به شکل شجاعانه‌ای دیدگاه خود درمورد این که ماشین‌های هوشمند، خود تعمیر کننده</w:t>
      </w:r>
      <w:r w:rsidR="008D6F97" w:rsidRPr="0025250D">
        <w:rPr>
          <w:rtl/>
        </w:rPr>
        <w:t xml:space="preserve"> </w:t>
      </w:r>
      <w:r w:rsidRPr="0025250D">
        <w:rPr>
          <w:rFonts w:hint="cs"/>
          <w:rtl/>
        </w:rPr>
        <w:t>و خود بازتولید کننده اجتناب ناپذیر هستند را بیان می‌کند. او دریافت که یک ماشین که می‌تواند با سرعت الکتریسیته، هفت میلیون برابرسریع‌تر از پتانسیل‌های عملی در مغز‌های زیستی ما فکر کند و اعمال احتمالی را در این سرعت حیرت انگیز شبیه سازی کند، باید به شکل فزاینده‌ای پیشران جنبه‌های متعددی از آینده جهانی ما باشد.</w:t>
      </w:r>
    </w:p>
    <w:p w14:paraId="1758702E" w14:textId="19A69244" w:rsidR="00537CC8" w:rsidRPr="0025250D" w:rsidRDefault="00537CC8" w:rsidP="00537CC8">
      <w:pPr>
        <w:rPr>
          <w:rtl/>
        </w:rPr>
      </w:pPr>
      <w:r w:rsidRPr="0025250D">
        <w:rPr>
          <w:rFonts w:hint="cs"/>
          <w:rtl/>
        </w:rPr>
        <w:t xml:space="preserve">وقتی فردی تفاوت‌های عملی و </w:t>
      </w:r>
      <w:r w:rsidRPr="0025250D">
        <w:rPr>
          <w:rtl/>
        </w:rPr>
        <w:t>آینده‌نگاری</w:t>
      </w:r>
      <w:r w:rsidRPr="0025250D">
        <w:rPr>
          <w:rFonts w:hint="cs"/>
          <w:rtl/>
        </w:rPr>
        <w:t xml:space="preserve"> گسترده میان بیولوژی و </w:t>
      </w:r>
      <w:r w:rsidR="007A53FD" w:rsidRPr="0025250D">
        <w:rPr>
          <w:rFonts w:hint="cs"/>
          <w:rtl/>
        </w:rPr>
        <w:t>فناوری</w:t>
      </w:r>
      <w:r w:rsidRPr="0025250D">
        <w:rPr>
          <w:rFonts w:hint="cs"/>
          <w:rtl/>
        </w:rPr>
        <w:t xml:space="preserve"> را درک کند، یک سؤال بزرگ این خواهد بود که آیا بشریت به شکل فزاینده‌ای با ماشین‌های ما، </w:t>
      </w:r>
      <w:r w:rsidR="008F0DD8" w:rsidRPr="0025250D">
        <w:rPr>
          <w:rFonts w:hint="cs"/>
          <w:rtl/>
        </w:rPr>
        <w:t>آن‌قدر</w:t>
      </w:r>
      <w:r w:rsidRPr="0025250D">
        <w:rPr>
          <w:rFonts w:hint="cs"/>
          <w:rtl/>
        </w:rPr>
        <w:t xml:space="preserve"> عمیق که </w:t>
      </w:r>
      <w:r w:rsidR="0063099E" w:rsidRPr="0025250D">
        <w:rPr>
          <w:rtl/>
        </w:rPr>
        <w:t>«</w:t>
      </w:r>
      <w:r w:rsidRPr="0025250D">
        <w:rPr>
          <w:rFonts w:hint="cs"/>
          <w:rtl/>
        </w:rPr>
        <w:t>آن ها</w:t>
      </w:r>
      <w:r w:rsidR="0063099E" w:rsidRPr="0025250D">
        <w:rPr>
          <w:rtl/>
        </w:rPr>
        <w:t>»</w:t>
      </w:r>
      <w:r w:rsidRPr="0025250D">
        <w:rPr>
          <w:rFonts w:hint="cs"/>
          <w:rtl/>
        </w:rPr>
        <w:t xml:space="preserve"> به </w:t>
      </w:r>
      <w:r w:rsidR="0063099E" w:rsidRPr="0025250D">
        <w:rPr>
          <w:rtl/>
        </w:rPr>
        <w:t>«</w:t>
      </w:r>
      <w:r w:rsidRPr="0025250D">
        <w:rPr>
          <w:rFonts w:hint="cs"/>
          <w:rtl/>
        </w:rPr>
        <w:t>ما</w:t>
      </w:r>
      <w:r w:rsidR="0063099E" w:rsidRPr="0025250D">
        <w:rPr>
          <w:rtl/>
        </w:rPr>
        <w:t>»</w:t>
      </w:r>
      <w:r w:rsidRPr="0025250D">
        <w:rPr>
          <w:rFonts w:hint="cs"/>
          <w:rtl/>
        </w:rPr>
        <w:t xml:space="preserve"> تبدیل شوند، ادغام می‌شود یا خیر. این امر نظریه ادغام شوندگی</w:t>
      </w:r>
      <w:r w:rsidRPr="0025250D">
        <w:rPr>
          <w:vertAlign w:val="superscript"/>
          <w:rtl/>
        </w:rPr>
        <w:footnoteReference w:id="1593"/>
      </w:r>
      <w:r w:rsidRPr="0025250D">
        <w:rPr>
          <w:rFonts w:hint="cs"/>
          <w:rtl/>
        </w:rPr>
        <w:t xml:space="preserve"> نامیده می‌شود. این نظریه ادغام انسان‌ها و </w:t>
      </w:r>
      <w:r w:rsidR="007A53FD" w:rsidRPr="0025250D">
        <w:rPr>
          <w:rFonts w:hint="cs"/>
          <w:rtl/>
        </w:rPr>
        <w:t>فناوری</w:t>
      </w:r>
      <w:r w:rsidRPr="0025250D">
        <w:rPr>
          <w:rFonts w:hint="cs"/>
          <w:rtl/>
        </w:rPr>
        <w:t xml:space="preserve"> انسان نمای ما را فرض می‌کند. این آینده مرجح‌ترین</w:t>
      </w:r>
      <w:r w:rsidR="008D6F97" w:rsidRPr="0025250D">
        <w:rPr>
          <w:rtl/>
        </w:rPr>
        <w:t xml:space="preserve"> </w:t>
      </w:r>
      <w:r w:rsidRPr="0025250D">
        <w:rPr>
          <w:rFonts w:hint="cs"/>
          <w:rtl/>
        </w:rPr>
        <w:t xml:space="preserve">حالت به نظر می‌رسد، زیرا تنها آینده‌ای است که در آن انسان‌ها (تقویت شده با </w:t>
      </w:r>
      <w:r w:rsidR="007A53FD" w:rsidRPr="0025250D">
        <w:rPr>
          <w:rFonts w:hint="cs"/>
          <w:rtl/>
        </w:rPr>
        <w:t>فناوری</w:t>
      </w:r>
      <w:r w:rsidRPr="0025250D">
        <w:rPr>
          <w:rFonts w:hint="cs"/>
          <w:rtl/>
        </w:rPr>
        <w:t xml:space="preserve">) هنوز همه چیز را تحت کنترل دارند. با این حال این نظریه فورا یک پرسش بزرگ فرعی را ایجاد می‌کند: در نهایت این ادغام چقدر باید گسترده باشد؟ آیا بشریت باید به شکل تدریجی به مرور زمان کم‌تر </w:t>
      </w:r>
      <w:r w:rsidR="00127288" w:rsidRPr="0025250D">
        <w:rPr>
          <w:rFonts w:hint="cs"/>
          <w:rtl/>
        </w:rPr>
        <w:t>زیستی</w:t>
      </w:r>
      <w:r w:rsidRPr="0025250D">
        <w:rPr>
          <w:rFonts w:hint="cs"/>
          <w:rtl/>
        </w:rPr>
        <w:t xml:space="preserve"> و بیش‌تر </w:t>
      </w:r>
      <w:r w:rsidR="007A53FD" w:rsidRPr="0025250D">
        <w:rPr>
          <w:rFonts w:hint="cs"/>
          <w:rtl/>
        </w:rPr>
        <w:t>فناورانه</w:t>
      </w:r>
      <w:r w:rsidRPr="0025250D">
        <w:rPr>
          <w:rFonts w:hint="cs"/>
          <w:rtl/>
        </w:rPr>
        <w:t xml:space="preserve"> شود؟ آیا این ادغام در نهایت محل تولد یک شکل جدید‌تر بسیار </w:t>
      </w:r>
      <w:r w:rsidR="00B124DE" w:rsidRPr="0025250D">
        <w:rPr>
          <w:rFonts w:hint="cs"/>
          <w:rtl/>
        </w:rPr>
        <w:t>انطباق‌پذیر</w:t>
      </w:r>
      <w:r w:rsidRPr="0025250D">
        <w:rPr>
          <w:rFonts w:hint="cs"/>
          <w:rtl/>
        </w:rPr>
        <w:t xml:space="preserve">‌تر از حیات مبتنی بر بیولوژی اما تماما </w:t>
      </w:r>
      <w:r w:rsidR="007A53FD" w:rsidRPr="0025250D">
        <w:rPr>
          <w:rFonts w:hint="cs"/>
          <w:rtl/>
        </w:rPr>
        <w:t>فناورانه</w:t>
      </w:r>
      <w:r w:rsidRPr="0025250D">
        <w:rPr>
          <w:rFonts w:hint="cs"/>
          <w:rtl/>
        </w:rPr>
        <w:t xml:space="preserve"> است؟ این نظریه پسا</w:t>
      </w:r>
      <w:r w:rsidR="0044659F" w:rsidRPr="0025250D">
        <w:rPr>
          <w:rFonts w:hint="cs"/>
          <w:rtl/>
        </w:rPr>
        <w:t>زیستی</w:t>
      </w:r>
      <w:r w:rsidRPr="0025250D">
        <w:rPr>
          <w:vertAlign w:val="superscript"/>
          <w:rtl/>
        </w:rPr>
        <w:footnoteReference w:id="1594"/>
      </w:r>
      <w:r w:rsidRPr="0025250D">
        <w:rPr>
          <w:rFonts w:hint="cs"/>
          <w:rtl/>
        </w:rPr>
        <w:t xml:space="preserve"> است. می‌توانیم بینش‌های بسیاری در هر دو نظریه بیابیم و هر دو را در </w:t>
      </w:r>
      <w:r w:rsidRPr="0025250D">
        <w:t>BPF</w:t>
      </w:r>
      <w:r w:rsidRPr="0025250D">
        <w:rPr>
          <w:rFonts w:hint="cs"/>
          <w:rtl/>
        </w:rPr>
        <w:t xml:space="preserve"> در نظر خواهیم گرفت.</w:t>
      </w:r>
    </w:p>
    <w:p w14:paraId="36D4627D" w14:textId="5FD35475" w:rsidR="00537CC8" w:rsidRPr="0025250D" w:rsidRDefault="00537CC8" w:rsidP="00537CC8">
      <w:pPr>
        <w:rPr>
          <w:rtl/>
        </w:rPr>
      </w:pPr>
      <w:r w:rsidRPr="0025250D">
        <w:rPr>
          <w:rtl/>
        </w:rPr>
        <w:t>کلارک</w:t>
      </w:r>
      <w:r w:rsidRPr="0025250D">
        <w:rPr>
          <w:rFonts w:hint="cs"/>
          <w:rtl/>
        </w:rPr>
        <w:t xml:space="preserve"> متوجه انگیزه اقتصادی برای ادامه بهبود </w:t>
      </w:r>
      <w:r w:rsidR="007A53FD" w:rsidRPr="0025250D">
        <w:rPr>
          <w:rFonts w:hint="cs"/>
          <w:rtl/>
        </w:rPr>
        <w:t>فناوری</w:t>
      </w:r>
      <w:r w:rsidRPr="0025250D">
        <w:rPr>
          <w:rFonts w:hint="cs"/>
          <w:rtl/>
        </w:rPr>
        <w:t xml:space="preserve">‌های اطلاعاتی به طور مشخص، نسبت به دیگر </w:t>
      </w:r>
      <w:r w:rsidR="007A53FD" w:rsidRPr="0025250D">
        <w:rPr>
          <w:rFonts w:hint="cs"/>
          <w:rtl/>
        </w:rPr>
        <w:t>فناوری</w:t>
      </w:r>
      <w:r w:rsidRPr="0025250D">
        <w:rPr>
          <w:rFonts w:hint="cs"/>
          <w:rtl/>
        </w:rPr>
        <w:t>‌ها شد</w:t>
      </w:r>
      <w:r w:rsidR="008D6F97" w:rsidRPr="0025250D">
        <w:rPr>
          <w:rtl/>
        </w:rPr>
        <w:t xml:space="preserve">؛ </w:t>
      </w:r>
      <w:r w:rsidRPr="0025250D">
        <w:rPr>
          <w:rFonts w:hint="cs"/>
          <w:rtl/>
        </w:rPr>
        <w:t xml:space="preserve">اما </w:t>
      </w:r>
      <w:r w:rsidR="00923DDB" w:rsidRPr="0025250D">
        <w:rPr>
          <w:rFonts w:hint="cs"/>
          <w:rtl/>
        </w:rPr>
        <w:t>پیش‌انگاری</w:t>
      </w:r>
      <w:r w:rsidRPr="0025250D">
        <w:rPr>
          <w:rFonts w:hint="cs"/>
          <w:rtl/>
        </w:rPr>
        <w:t xml:space="preserve"> نکرد که اکتشافات فضای داخلی بشر، در دامنه‌هایی مانند علوم فیزیکی و حیات، علوم کامپیوتر، فناوری اطلاعات، علم نانو و فناوری نانو، به کوچک جلوه دادن دیگر پیشرفت‌های </w:t>
      </w:r>
      <w:r w:rsidR="007A53FD" w:rsidRPr="0025250D">
        <w:rPr>
          <w:rFonts w:hint="cs"/>
          <w:rtl/>
        </w:rPr>
        <w:t>فناورانه</w:t>
      </w:r>
      <w:r w:rsidRPr="0025250D">
        <w:rPr>
          <w:rFonts w:hint="cs"/>
          <w:rtl/>
        </w:rPr>
        <w:t xml:space="preserve"> با پیچیدگی، قدرت و ارزش تولیدی مختص آن‌ها، ادامه خواهند داد.</w:t>
      </w:r>
    </w:p>
    <w:p w14:paraId="0CD31DB8" w14:textId="690F2D36" w:rsidR="00537CC8" w:rsidRPr="0025250D" w:rsidRDefault="00537CC8" w:rsidP="00537CC8">
      <w:pPr>
        <w:rPr>
          <w:rtl/>
        </w:rPr>
      </w:pPr>
      <w:r w:rsidRPr="0025250D">
        <w:rPr>
          <w:rFonts w:hint="cs"/>
          <w:rtl/>
        </w:rPr>
        <w:t xml:space="preserve">این امر شاید به این دلیل است که </w:t>
      </w:r>
      <w:r w:rsidRPr="0025250D">
        <w:rPr>
          <w:rtl/>
        </w:rPr>
        <w:t>کلارک</w:t>
      </w:r>
      <w:r w:rsidRPr="0025250D">
        <w:rPr>
          <w:rFonts w:hint="cs"/>
          <w:rtl/>
        </w:rPr>
        <w:t xml:space="preserve"> به صورت آگاهانه‌ای تصمیم گرفت که آینده‌های تصور شده خود را، براساس نرخ‌های پیشرفت متفاوت خود </w:t>
      </w:r>
      <w:r w:rsidR="007118DE" w:rsidRPr="0025250D">
        <w:rPr>
          <w:rFonts w:hint="cs"/>
          <w:rtl/>
        </w:rPr>
        <w:t>اولویت‌بندی</w:t>
      </w:r>
      <w:r w:rsidRPr="0025250D">
        <w:rPr>
          <w:rFonts w:hint="cs"/>
          <w:rtl/>
        </w:rPr>
        <w:t xml:space="preserve"> کند. او می‌گوید که معمولا بیش‌تر به کاوش موارد ممکن (مهارت 3، نوآوری) </w:t>
      </w:r>
      <w:r w:rsidR="0008779C" w:rsidRPr="0025250D">
        <w:rPr>
          <w:rFonts w:hint="cs"/>
          <w:rtl/>
        </w:rPr>
        <w:t>علاقه‌مند</w:t>
      </w:r>
      <w:r w:rsidRPr="0025250D">
        <w:rPr>
          <w:rFonts w:hint="cs"/>
          <w:rtl/>
        </w:rPr>
        <w:t xml:space="preserve"> بوده تا </w:t>
      </w:r>
      <w:r w:rsidR="00923DDB" w:rsidRPr="0025250D">
        <w:rPr>
          <w:rFonts w:hint="cs"/>
          <w:rtl/>
        </w:rPr>
        <w:t>پیش‌انگاری</w:t>
      </w:r>
      <w:r w:rsidR="008D6F97" w:rsidRPr="0025250D">
        <w:rPr>
          <w:rtl/>
        </w:rPr>
        <w:t xml:space="preserve">؛ </w:t>
      </w:r>
      <w:r w:rsidRPr="0025250D">
        <w:rPr>
          <w:rFonts w:hint="cs"/>
          <w:rtl/>
        </w:rPr>
        <w:t xml:space="preserve">اما اگر اولویت دیگری را در نظر می‌گرفت، ناچار باید می‌پذیرفت که فناوری‌های اطلاعاتی و نه آن فناوری‌های فضایی که او بسیار دوست می‌داشت، به شکل فزاینده‌ای پیشران و هدایت </w:t>
      </w:r>
      <w:r w:rsidR="00923DDB" w:rsidRPr="0025250D">
        <w:rPr>
          <w:rFonts w:hint="cs"/>
          <w:rtl/>
        </w:rPr>
        <w:t>کننده</w:t>
      </w:r>
      <w:r w:rsidR="00393B67" w:rsidRPr="0025250D">
        <w:rPr>
          <w:rFonts w:hint="cs"/>
          <w:rtl/>
        </w:rPr>
        <w:t xml:space="preserve"> </w:t>
      </w:r>
      <w:r w:rsidR="00923DDB" w:rsidRPr="0025250D">
        <w:rPr>
          <w:rFonts w:hint="cs"/>
          <w:rtl/>
        </w:rPr>
        <w:t>‌</w:t>
      </w:r>
      <w:r w:rsidR="00393B67" w:rsidRPr="0025250D">
        <w:rPr>
          <w:rFonts w:hint="cs"/>
          <w:rtl/>
        </w:rPr>
        <w:t>آ</w:t>
      </w:r>
      <w:r w:rsidR="00923DDB" w:rsidRPr="0025250D">
        <w:rPr>
          <w:rFonts w:hint="cs"/>
          <w:rtl/>
        </w:rPr>
        <w:t>ی</w:t>
      </w:r>
      <w:r w:rsidRPr="0025250D">
        <w:rPr>
          <w:rFonts w:hint="cs"/>
          <w:rtl/>
        </w:rPr>
        <w:t>نده ما خواهند بود، مگر این که علوم جدیدی</w:t>
      </w:r>
      <w:r w:rsidR="00393B67" w:rsidRPr="0025250D">
        <w:rPr>
          <w:rFonts w:hint="cs"/>
          <w:rtl/>
        </w:rPr>
        <w:t xml:space="preserve"> کشف شوند</w:t>
      </w:r>
      <w:r w:rsidRPr="0025250D">
        <w:rPr>
          <w:rFonts w:hint="cs"/>
          <w:rtl/>
        </w:rPr>
        <w:t xml:space="preserve"> که می‌توانند روند بلند مدت و پایدار قدرتمند‌تر بودن در حوزه کوچک‌تر شدن را تغییر دهند.</w:t>
      </w:r>
    </w:p>
    <w:p w14:paraId="1A27DA30" w14:textId="2624933A" w:rsidR="00537CC8" w:rsidRPr="0025250D" w:rsidRDefault="00537CC8" w:rsidP="00537CC8">
      <w:pPr>
        <w:rPr>
          <w:rtl/>
        </w:rPr>
      </w:pPr>
      <w:r w:rsidRPr="0025250D">
        <w:rPr>
          <w:rFonts w:hint="cs"/>
          <w:rtl/>
        </w:rPr>
        <w:t xml:space="preserve">مانند همه ما، </w:t>
      </w:r>
      <w:r w:rsidRPr="0025250D">
        <w:rPr>
          <w:rtl/>
        </w:rPr>
        <w:t>آینده‌نگاری</w:t>
      </w:r>
      <w:r w:rsidRPr="0025250D">
        <w:rPr>
          <w:rFonts w:hint="cs"/>
          <w:rtl/>
        </w:rPr>
        <w:t xml:space="preserve"> </w:t>
      </w:r>
      <w:r w:rsidRPr="0025250D">
        <w:rPr>
          <w:rtl/>
        </w:rPr>
        <w:t>کلارک</w:t>
      </w:r>
      <w:r w:rsidRPr="0025250D">
        <w:rPr>
          <w:rFonts w:hint="cs"/>
          <w:rtl/>
        </w:rPr>
        <w:t xml:space="preserve"> تحت تأثیر سرگذشت شخصی خود بود. او درست در سال‌های پس از آنچه </w:t>
      </w:r>
      <w:r w:rsidR="0063099E" w:rsidRPr="0025250D">
        <w:rPr>
          <w:rtl/>
        </w:rPr>
        <w:t>«</w:t>
      </w:r>
      <w:r w:rsidRPr="0025250D">
        <w:rPr>
          <w:rFonts w:hint="cs"/>
          <w:rtl/>
        </w:rPr>
        <w:t>سال‌های معجزه آسای</w:t>
      </w:r>
      <w:r w:rsidR="0063099E" w:rsidRPr="0025250D">
        <w:rPr>
          <w:rtl/>
        </w:rPr>
        <w:t>»</w:t>
      </w:r>
      <w:r w:rsidRPr="0025250D">
        <w:rPr>
          <w:rFonts w:hint="cs"/>
          <w:rtl/>
        </w:rPr>
        <w:t xml:space="preserve"> علم در نظر گرفته می‌شود، رشد کرد؛ سال‌های 1895-1930، یک دوره 35 ساله که بشریت در آن چیزهای شگفت انگیز و غیر منتظره‌ای را در حوزه </w:t>
      </w:r>
      <w:r w:rsidR="00D87CD8" w:rsidRPr="0025250D">
        <w:rPr>
          <w:rFonts w:hint="cs"/>
          <w:rtl/>
        </w:rPr>
        <w:t>محدوده‌</w:t>
      </w:r>
      <w:r w:rsidRPr="0025250D">
        <w:rPr>
          <w:rFonts w:hint="cs"/>
          <w:rtl/>
        </w:rPr>
        <w:t xml:space="preserve">‌های کوچک، شامل فرایند‌های زیراتمی و کاربرد‌های عملی آن‌ها (اشعه ایکس، </w:t>
      </w:r>
      <w:r w:rsidRPr="0025250D">
        <w:rPr>
          <w:rtl/>
        </w:rPr>
        <w:t>رونتگن</w:t>
      </w:r>
      <w:r w:rsidRPr="0025250D">
        <w:rPr>
          <w:vertAlign w:val="superscript"/>
          <w:rtl/>
        </w:rPr>
        <w:footnoteReference w:id="1595"/>
      </w:r>
      <w:r w:rsidRPr="0025250D">
        <w:rPr>
          <w:rtl/>
        </w:rPr>
        <w:t xml:space="preserve"> 1985</w:t>
      </w:r>
      <w:r w:rsidRPr="0025250D">
        <w:rPr>
          <w:rFonts w:hint="cs"/>
          <w:rtl/>
        </w:rPr>
        <w:t>)، واکنش‌های هسته‌ای و فیزیک کوانتوم و تعداد بسیار</w:t>
      </w:r>
      <w:r w:rsidR="00BB406C" w:rsidRPr="0025250D">
        <w:rPr>
          <w:rFonts w:hint="cs"/>
          <w:rtl/>
        </w:rPr>
        <w:t xml:space="preserve"> کم‌تر</w:t>
      </w:r>
      <w:r w:rsidRPr="0025250D">
        <w:rPr>
          <w:rFonts w:hint="cs"/>
          <w:rtl/>
        </w:rPr>
        <w:t xml:space="preserve">ی از چیز‌های حیرت آور و غیر منتظره در </w:t>
      </w:r>
      <w:r w:rsidR="00D87CD8" w:rsidRPr="0025250D">
        <w:rPr>
          <w:rFonts w:hint="cs"/>
          <w:rtl/>
        </w:rPr>
        <w:t>محدوده‌</w:t>
      </w:r>
      <w:r w:rsidRPr="0025250D">
        <w:rPr>
          <w:rFonts w:hint="cs"/>
          <w:rtl/>
        </w:rPr>
        <w:t xml:space="preserve">‌های بسیاربزرگ، شامل نسبیت عام و خاص کشف کرد. کتاب </w:t>
      </w:r>
      <w:r w:rsidRPr="0025250D">
        <w:rPr>
          <w:rtl/>
        </w:rPr>
        <w:t>محدود به درون</w:t>
      </w:r>
      <w:r w:rsidRPr="0025250D">
        <w:rPr>
          <w:vertAlign w:val="superscript"/>
          <w:rtl/>
        </w:rPr>
        <w:footnoteReference w:id="1596"/>
      </w:r>
      <w:r w:rsidRPr="0025250D">
        <w:rPr>
          <w:rFonts w:hint="cs"/>
          <w:rtl/>
        </w:rPr>
        <w:t xml:space="preserve"> اثر </w:t>
      </w:r>
      <w:r w:rsidRPr="0025250D">
        <w:rPr>
          <w:rtl/>
        </w:rPr>
        <w:t>آبراهام پا</w:t>
      </w:r>
      <w:r w:rsidRPr="0025250D">
        <w:rPr>
          <w:rFonts w:hint="cs"/>
          <w:rtl/>
        </w:rPr>
        <w:t>ی</w:t>
      </w:r>
      <w:r w:rsidRPr="0025250D">
        <w:rPr>
          <w:rFonts w:hint="eastAsia"/>
          <w:rtl/>
        </w:rPr>
        <w:t>س</w:t>
      </w:r>
      <w:r w:rsidRPr="0025250D">
        <w:rPr>
          <w:vertAlign w:val="superscript"/>
          <w:rtl/>
        </w:rPr>
        <w:footnoteReference w:id="1597"/>
      </w:r>
      <w:r w:rsidRPr="0025250D">
        <w:rPr>
          <w:rFonts w:hint="cs"/>
          <w:rtl/>
        </w:rPr>
        <w:t xml:space="preserve"> در سال 1988 را برای یک گزارش استادانه از دیدگاه فیزیکی درمورد این که اکتشافات فضای داخلی ما چقدر ثمر بخش‌تر و پیچیده‌تر </w:t>
      </w:r>
      <w:r w:rsidR="00B124DE" w:rsidRPr="0025250D">
        <w:rPr>
          <w:rFonts w:hint="cs"/>
          <w:rtl/>
        </w:rPr>
        <w:t>بوده‌اند</w:t>
      </w:r>
      <w:r w:rsidRPr="0025250D">
        <w:rPr>
          <w:rFonts w:hint="cs"/>
          <w:rtl/>
        </w:rPr>
        <w:t>، ببینید.</w:t>
      </w:r>
    </w:p>
    <w:p w14:paraId="05EA1BB6" w14:textId="61665F16" w:rsidR="00537CC8" w:rsidRPr="0025250D" w:rsidRDefault="00393B67" w:rsidP="00537CC8">
      <w:pPr>
        <w:rPr>
          <w:rtl/>
        </w:rPr>
      </w:pPr>
      <w:r w:rsidRPr="0025250D">
        <w:rPr>
          <w:rFonts w:hint="cs"/>
          <w:rtl/>
        </w:rPr>
        <w:t>کلارک</w:t>
      </w:r>
      <w:r w:rsidR="00537CC8" w:rsidRPr="0025250D">
        <w:rPr>
          <w:rFonts w:hint="cs"/>
          <w:rtl/>
        </w:rPr>
        <w:t xml:space="preserve"> را می‌توان به دلیل تصور این که اکتشافات متحول کننده جهان در دهه‌های بعد ادامه خواهند داشت بخشید. او برخی از این آینده‌ها را در فصل‌هایی خیالی درمورد موضوعاتی مانند سفر ضد جاذبه در زمان، سفر با سرعتی بیش از سرعت نور، </w:t>
      </w:r>
      <w:r w:rsidR="00537CC8" w:rsidRPr="0025250D">
        <w:rPr>
          <w:rtl/>
        </w:rPr>
        <w:t>دوربر</w:t>
      </w:r>
      <w:r w:rsidR="00537CC8" w:rsidRPr="0025250D">
        <w:rPr>
          <w:rFonts w:hint="cs"/>
          <w:rtl/>
        </w:rPr>
        <w:t>ی</w:t>
      </w:r>
      <w:r w:rsidR="00537CC8" w:rsidRPr="0025250D">
        <w:rPr>
          <w:vertAlign w:val="superscript"/>
          <w:rtl/>
        </w:rPr>
        <w:footnoteReference w:id="1598"/>
      </w:r>
      <w:r w:rsidR="00537CC8" w:rsidRPr="0025250D">
        <w:rPr>
          <w:rFonts w:hint="cs"/>
          <w:rtl/>
        </w:rPr>
        <w:t xml:space="preserve"> و نامرئی شدن متصور می‌شود. امروزه، با دهه‌ها دانش، می‌توانیم بیان کنیم که این موارد توسعه‌هایی با احتمال بسیار کم برای علم تولید شده توسط ذهن‌های انسانی ما هستند. کتاب شجاعانه </w:t>
      </w:r>
      <w:r w:rsidR="00537CC8" w:rsidRPr="0025250D">
        <w:rPr>
          <w:rtl/>
        </w:rPr>
        <w:t>جان هورگان</w:t>
      </w:r>
      <w:r w:rsidR="00537CC8" w:rsidRPr="0025250D">
        <w:rPr>
          <w:rFonts w:hint="cs"/>
          <w:rtl/>
        </w:rPr>
        <w:t>، به نام پایان علم</w:t>
      </w:r>
      <w:r w:rsidR="00537CC8" w:rsidRPr="0025250D">
        <w:rPr>
          <w:vertAlign w:val="superscript"/>
          <w:rtl/>
        </w:rPr>
        <w:footnoteReference w:id="1599"/>
      </w:r>
      <w:r w:rsidR="00537CC8" w:rsidRPr="0025250D">
        <w:rPr>
          <w:rFonts w:hint="cs"/>
          <w:rtl/>
        </w:rPr>
        <w:t xml:space="preserve"> در سال 1997/2015، این نکته غیر محبوب اما مبتنی بر شواهد را بیان می‌کند که ظرفیت انسان‌های خردمند برای کشف علوم اساسی جدید، بیش از هفتاد سال است که اشباع شده است. ما به محدودیت‌های کوتاه مدت برای آنچه بشریت </w:t>
      </w:r>
      <w:r w:rsidR="00127288" w:rsidRPr="0025250D">
        <w:rPr>
          <w:rFonts w:hint="cs"/>
          <w:rtl/>
        </w:rPr>
        <w:t>زیستی</w:t>
      </w:r>
      <w:r w:rsidR="00537CC8" w:rsidRPr="0025250D">
        <w:rPr>
          <w:rFonts w:hint="cs"/>
          <w:rtl/>
        </w:rPr>
        <w:t xml:space="preserve"> می‌تواند، درهمه مقیاس‌های مشاهده و آزمایش، از </w:t>
      </w:r>
      <w:r w:rsidR="00D87CD8" w:rsidRPr="0025250D">
        <w:rPr>
          <w:rFonts w:hint="cs"/>
          <w:rtl/>
        </w:rPr>
        <w:t>محدوده‌</w:t>
      </w:r>
      <w:r w:rsidR="00537CC8" w:rsidRPr="0025250D">
        <w:rPr>
          <w:rFonts w:hint="cs"/>
          <w:rtl/>
        </w:rPr>
        <w:t xml:space="preserve">های کوانتوم گرفته تا </w:t>
      </w:r>
      <w:r w:rsidR="00D87CD8" w:rsidRPr="0025250D">
        <w:rPr>
          <w:rFonts w:hint="cs"/>
          <w:rtl/>
        </w:rPr>
        <w:t>محدوده‌</w:t>
      </w:r>
      <w:r w:rsidR="00537CC8" w:rsidRPr="0025250D">
        <w:rPr>
          <w:rFonts w:hint="cs"/>
          <w:rtl/>
        </w:rPr>
        <w:t xml:space="preserve">های کیهانی، </w:t>
      </w:r>
      <w:r w:rsidR="00B0171C" w:rsidRPr="0025250D">
        <w:rPr>
          <w:rFonts w:hint="cs"/>
          <w:rtl/>
        </w:rPr>
        <w:t>به‌سادگی</w:t>
      </w:r>
      <w:r w:rsidR="00537CC8" w:rsidRPr="0025250D">
        <w:rPr>
          <w:rFonts w:hint="cs"/>
          <w:rtl/>
        </w:rPr>
        <w:t xml:space="preserve"> کشف کند رسیده ایم. در دهه‌های بعد </w:t>
      </w:r>
      <w:r w:rsidR="00537CC8" w:rsidRPr="0025250D">
        <w:rPr>
          <w:rtl/>
        </w:rPr>
        <w:t>ورنر ها</w:t>
      </w:r>
      <w:r w:rsidR="00537CC8" w:rsidRPr="0025250D">
        <w:rPr>
          <w:rFonts w:hint="cs"/>
          <w:rtl/>
        </w:rPr>
        <w:t>ی</w:t>
      </w:r>
      <w:r w:rsidR="00537CC8" w:rsidRPr="0025250D">
        <w:rPr>
          <w:rFonts w:hint="eastAsia"/>
          <w:rtl/>
        </w:rPr>
        <w:t>زنبرگ</w:t>
      </w:r>
      <w:r w:rsidR="00537CC8" w:rsidRPr="0025250D">
        <w:rPr>
          <w:vertAlign w:val="superscript"/>
          <w:rtl/>
        </w:rPr>
        <w:footnoteReference w:id="1600"/>
      </w:r>
      <w:r w:rsidR="00537CC8" w:rsidRPr="0025250D">
        <w:rPr>
          <w:rFonts w:hint="cs"/>
          <w:rtl/>
        </w:rPr>
        <w:t xml:space="preserve"> یکی از بنیان گذاران نظریه کوانتوم، همچنین به شکل آگاهانه‌ای این اشباع را در اندازه و ارزش اکتشافات ما مشاهده کرد. ما انتظار داریم که فراتر رفتن از محدودیت‌های مفهومی </w:t>
      </w:r>
      <w:r w:rsidR="0044659F" w:rsidRPr="0025250D">
        <w:rPr>
          <w:rFonts w:hint="cs"/>
          <w:rtl/>
        </w:rPr>
        <w:t>زیستی</w:t>
      </w:r>
      <w:r w:rsidR="00537CC8" w:rsidRPr="0025250D">
        <w:rPr>
          <w:rFonts w:hint="cs"/>
          <w:rtl/>
        </w:rPr>
        <w:t xml:space="preserve"> ما به هوش غیر </w:t>
      </w:r>
      <w:r w:rsidR="00127288" w:rsidRPr="0025250D">
        <w:rPr>
          <w:rFonts w:hint="cs"/>
          <w:rtl/>
        </w:rPr>
        <w:t>زیستی</w:t>
      </w:r>
      <w:r w:rsidR="00537CC8" w:rsidRPr="0025250D">
        <w:rPr>
          <w:rFonts w:hint="cs"/>
          <w:rtl/>
        </w:rPr>
        <w:t xml:space="preserve"> قدرتمند جدید نیاز داشته باشد.</w:t>
      </w:r>
    </w:p>
    <w:p w14:paraId="0135D868" w14:textId="087B0B43" w:rsidR="00537CC8" w:rsidRPr="0025250D" w:rsidRDefault="00537CC8" w:rsidP="00537CC8">
      <w:pPr>
        <w:rPr>
          <w:rtl/>
        </w:rPr>
      </w:pPr>
      <w:r w:rsidRPr="0025250D">
        <w:rPr>
          <w:rtl/>
        </w:rPr>
        <w:t>کلارک</w:t>
      </w:r>
      <w:r w:rsidRPr="0025250D">
        <w:rPr>
          <w:rFonts w:hint="cs"/>
          <w:rtl/>
        </w:rPr>
        <w:t xml:space="preserve"> همچنین، از نظر ما، بیش از حد درمورد </w:t>
      </w:r>
      <w:r w:rsidR="007A53FD" w:rsidRPr="0025250D">
        <w:rPr>
          <w:rFonts w:hint="cs"/>
          <w:rtl/>
        </w:rPr>
        <w:t>زیست‌فناوری</w:t>
      </w:r>
      <w:r w:rsidRPr="0025250D">
        <w:rPr>
          <w:rFonts w:hint="cs"/>
          <w:rtl/>
        </w:rPr>
        <w:t xml:space="preserve"> و پیشرفت‌های علمی خوش بین است. به این دلیل که بشریت علم </w:t>
      </w:r>
      <w:r w:rsidR="00D92F6E" w:rsidRPr="0025250D">
        <w:rPr>
          <w:rFonts w:hint="cs"/>
          <w:rtl/>
        </w:rPr>
        <w:t>پیش‌بین</w:t>
      </w:r>
      <w:r w:rsidRPr="0025250D">
        <w:rPr>
          <w:rFonts w:hint="cs"/>
          <w:rtl/>
        </w:rPr>
        <w:t>ی کننده‌ای از سلول ندارد و احتمال</w:t>
      </w:r>
      <w:r w:rsidR="00393B67" w:rsidRPr="0025250D">
        <w:rPr>
          <w:rFonts w:hint="cs"/>
          <w:rtl/>
        </w:rPr>
        <w:t xml:space="preserve"> اندکی وجود دارد که</w:t>
      </w:r>
      <w:r w:rsidRPr="0025250D">
        <w:rPr>
          <w:rFonts w:hint="cs"/>
          <w:rtl/>
        </w:rPr>
        <w:t xml:space="preserve"> به چنین علمی در کوتاه مدت، بدون محاسبات کوانتومی و هوش مصنوعی پیشرفته برسد، به این دلیل که بیولوژی نسبت به فناوری اطلاعات یک </w:t>
      </w:r>
      <w:r w:rsidR="008D6F97" w:rsidRPr="0025250D">
        <w:rPr>
          <w:rFonts w:hint="cs"/>
          <w:rtl/>
        </w:rPr>
        <w:t>سامانه‌</w:t>
      </w:r>
      <w:r w:rsidRPr="0025250D">
        <w:rPr>
          <w:rFonts w:hint="cs"/>
          <w:rtl/>
        </w:rPr>
        <w:t xml:space="preserve"> خیلی کم‌تر غیر مادی است و </w:t>
      </w:r>
      <w:r w:rsidR="00393B67" w:rsidRPr="0025250D">
        <w:rPr>
          <w:rFonts w:hint="cs"/>
          <w:rtl/>
        </w:rPr>
        <w:t xml:space="preserve">همچنین </w:t>
      </w:r>
      <w:r w:rsidRPr="0025250D">
        <w:rPr>
          <w:rFonts w:hint="cs"/>
          <w:rtl/>
        </w:rPr>
        <w:t xml:space="preserve">به این دلیل که برای تکامل و توسعه با نرخ‌هایی بسیار آهسته‌تر مقید به فیزیک و اخلاقیات می‌شود، </w:t>
      </w:r>
      <w:r w:rsidR="00D92F6E" w:rsidRPr="0025250D">
        <w:rPr>
          <w:rFonts w:hint="cs"/>
          <w:rtl/>
        </w:rPr>
        <w:t>پیش‌بین</w:t>
      </w:r>
      <w:r w:rsidRPr="0025250D">
        <w:rPr>
          <w:rFonts w:hint="cs"/>
          <w:rtl/>
        </w:rPr>
        <w:t xml:space="preserve">ی می‌کنیم که تلاش‌های نوآورانه </w:t>
      </w:r>
      <w:r w:rsidR="00E03473" w:rsidRPr="0025250D">
        <w:rPr>
          <w:rFonts w:hint="cs"/>
          <w:rtl/>
        </w:rPr>
        <w:t>زیست‌</w:t>
      </w:r>
      <w:r w:rsidR="007A53FD" w:rsidRPr="0025250D">
        <w:rPr>
          <w:rFonts w:hint="cs"/>
          <w:rtl/>
        </w:rPr>
        <w:t>فناورانه</w:t>
      </w:r>
      <w:r w:rsidRPr="0025250D">
        <w:rPr>
          <w:rFonts w:hint="cs"/>
          <w:rtl/>
        </w:rPr>
        <w:t xml:space="preserve"> به‌عنوان یک دسته بندی، عملکردی ضعیف‌تر از نوآوری فناوری اطلاعات برای آینده قابل </w:t>
      </w:r>
      <w:r w:rsidR="00D92F6E" w:rsidRPr="0025250D">
        <w:rPr>
          <w:rFonts w:hint="cs"/>
          <w:rtl/>
        </w:rPr>
        <w:t>پیش‌بین</w:t>
      </w:r>
      <w:r w:rsidRPr="0025250D">
        <w:rPr>
          <w:rFonts w:hint="cs"/>
          <w:rtl/>
        </w:rPr>
        <w:t xml:space="preserve">ی خواهند داشت. مقاله آنلاین </w:t>
      </w:r>
      <w:r w:rsidRPr="0025250D">
        <w:rPr>
          <w:rtl/>
        </w:rPr>
        <w:t>جان</w:t>
      </w:r>
      <w:r w:rsidR="00E03473" w:rsidRPr="0025250D">
        <w:rPr>
          <w:rFonts w:hint="cs"/>
          <w:rtl/>
        </w:rPr>
        <w:t xml:space="preserve"> اسمارت</w:t>
      </w:r>
      <w:r w:rsidRPr="0025250D">
        <w:rPr>
          <w:rFonts w:hint="cs"/>
          <w:rtl/>
        </w:rPr>
        <w:t>، به نام محدودیت‌های بیولوژی</w:t>
      </w:r>
      <w:r w:rsidRPr="0025250D">
        <w:rPr>
          <w:vertAlign w:val="superscript"/>
          <w:rtl/>
        </w:rPr>
        <w:footnoteReference w:id="1601"/>
      </w:r>
      <w:r w:rsidRPr="0025250D">
        <w:rPr>
          <w:rFonts w:hint="cs"/>
          <w:rtl/>
        </w:rPr>
        <w:t xml:space="preserve"> در سال 2001 را برای اطلاعات بیش‌تر (همچنین غیر محبوب) در مورد آن </w:t>
      </w:r>
      <w:r w:rsidR="00D92F6E" w:rsidRPr="0025250D">
        <w:rPr>
          <w:rFonts w:hint="cs"/>
          <w:rtl/>
        </w:rPr>
        <w:t>پیش‌بین</w:t>
      </w:r>
      <w:r w:rsidRPr="0025250D">
        <w:rPr>
          <w:rFonts w:hint="cs"/>
          <w:rtl/>
        </w:rPr>
        <w:t>ی ببینید.</w:t>
      </w:r>
    </w:p>
    <w:p w14:paraId="09BBC59B" w14:textId="736BB16C" w:rsidR="00537CC8" w:rsidRPr="0025250D" w:rsidRDefault="00537CC8" w:rsidP="00537CC8">
      <w:pPr>
        <w:rPr>
          <w:rtl/>
        </w:rPr>
      </w:pPr>
      <w:r w:rsidRPr="0025250D">
        <w:rPr>
          <w:rFonts w:hint="cs"/>
          <w:rtl/>
        </w:rPr>
        <w:t xml:space="preserve">از نظر ما، جبهه فضایی که </w:t>
      </w:r>
      <w:r w:rsidRPr="0025250D">
        <w:rPr>
          <w:rtl/>
        </w:rPr>
        <w:t>کلارک</w:t>
      </w:r>
      <w:r w:rsidRPr="0025250D">
        <w:rPr>
          <w:rFonts w:hint="cs"/>
          <w:rtl/>
        </w:rPr>
        <w:t xml:space="preserve"> به آن علاقه داشت تنها در پیچیدگی سیاره زمینِ درحال پیشرفت ارزشمند خواهد بود. اغلب شور و اشتیاق ما می‌تواند ما را برای دیدن یک آینده کم‌تر مقید نسبت به آنچه حقیقتا وجود دارد، متمایل سازد. </w:t>
      </w:r>
      <w:r w:rsidR="007118DE" w:rsidRPr="0025250D">
        <w:rPr>
          <w:rFonts w:hint="cs"/>
          <w:rtl/>
        </w:rPr>
        <w:t>همان‌طور</w:t>
      </w:r>
      <w:r w:rsidRPr="0025250D">
        <w:rPr>
          <w:rFonts w:hint="cs"/>
          <w:rtl/>
        </w:rPr>
        <w:t xml:space="preserve">که در </w:t>
      </w:r>
      <w:r w:rsidRPr="0025250D">
        <w:t>BPF</w:t>
      </w:r>
      <w:r w:rsidRPr="0025250D">
        <w:rPr>
          <w:rFonts w:hint="cs"/>
          <w:rtl/>
        </w:rPr>
        <w:t xml:space="preserve"> بررسی خواهیم کرد، درحالی که تاریخ </w:t>
      </w:r>
      <w:r w:rsidR="007B3B35" w:rsidRPr="0025250D">
        <w:rPr>
          <w:rFonts w:hint="cs"/>
          <w:rtl/>
        </w:rPr>
        <w:t>شتاب‌گیر</w:t>
      </w:r>
      <w:r w:rsidRPr="0025250D">
        <w:rPr>
          <w:rFonts w:hint="cs"/>
          <w:rtl/>
        </w:rPr>
        <w:t>نده پدیداری پیچیدگی همواره شامل حرکات کوتاه رو به بیرون به سمت فضای مجاور</w:t>
      </w:r>
      <w:r w:rsidRPr="0025250D">
        <w:rPr>
          <w:vertAlign w:val="superscript"/>
          <w:rtl/>
        </w:rPr>
        <w:footnoteReference w:id="1602"/>
      </w:r>
      <w:r w:rsidRPr="0025250D">
        <w:rPr>
          <w:rFonts w:hint="cs"/>
          <w:rtl/>
        </w:rPr>
        <w:t xml:space="preserve"> بوده است، این‌ها همواره در خدمت پدیداری توسعه‌ای محلی‌تر پیچیدگی، هوشمندی و آگاهی بعدی </w:t>
      </w:r>
      <w:r w:rsidR="00B124DE" w:rsidRPr="0025250D">
        <w:rPr>
          <w:rFonts w:hint="cs"/>
          <w:rtl/>
        </w:rPr>
        <w:t>بوده‌اند</w:t>
      </w:r>
      <w:r w:rsidRPr="0025250D">
        <w:rPr>
          <w:rFonts w:hint="cs"/>
          <w:rtl/>
        </w:rPr>
        <w:t xml:space="preserve">. به عصر اکتشافات انسان قبل از تمدن مدرن بیندیشید. روند توسعه‌ای، برای </w:t>
      </w:r>
      <w:r w:rsidR="00B124DE" w:rsidRPr="0025250D">
        <w:rPr>
          <w:rFonts w:hint="cs"/>
          <w:rtl/>
        </w:rPr>
        <w:t>انطباق‌پذیر</w:t>
      </w:r>
      <w:r w:rsidRPr="0025250D">
        <w:rPr>
          <w:rFonts w:hint="cs"/>
          <w:rtl/>
        </w:rPr>
        <w:t>‌ترین</w:t>
      </w:r>
      <w:r w:rsidR="008D6F97" w:rsidRPr="0025250D">
        <w:rPr>
          <w:rtl/>
        </w:rPr>
        <w:t xml:space="preserve"> </w:t>
      </w:r>
      <w:r w:rsidR="008D6F97" w:rsidRPr="0025250D">
        <w:rPr>
          <w:rFonts w:hint="cs"/>
          <w:rtl/>
        </w:rPr>
        <w:t>سامانه‌</w:t>
      </w:r>
      <w:r w:rsidRPr="0025250D">
        <w:rPr>
          <w:rFonts w:hint="cs"/>
          <w:rtl/>
        </w:rPr>
        <w:t xml:space="preserve">‌ها، همواره به سمت ورود بیش‌تر به فضای داخلی بوده است، نه فضای خارجی. در آنچه که ما نظریه هوش طبیعی می‌نامیم، بیان خواهیم کرد که هوش مصنوعی خودآگاه آینده ما، اگر بخواهد تقلیدی از بیولوژی و مبتنی بر تکامل-توسعه باشد، با قوانین فیزیکی و اطلاعاتی، از جمله اخلاق و </w:t>
      </w:r>
      <w:r w:rsidR="00A936B3" w:rsidRPr="0025250D">
        <w:rPr>
          <w:rFonts w:hint="cs"/>
          <w:rtl/>
        </w:rPr>
        <w:t>همدلی</w:t>
      </w:r>
      <w:r w:rsidRPr="0025250D">
        <w:rPr>
          <w:rFonts w:hint="cs"/>
          <w:rtl/>
        </w:rPr>
        <w:t xml:space="preserve"> شبکه، مجبور به ارزش قائل شدن برای چیز‌هایی مشابه با آنچه که ما ارزشمند می‌دانیم و برخی مواردی که ما برای آن‌ها ارزش قائل نیستیم خواهد شد. در آینده خواهیم دید.</w:t>
      </w:r>
    </w:p>
    <w:p w14:paraId="03988B27" w14:textId="400858E8" w:rsidR="00537CC8" w:rsidRPr="0025250D" w:rsidRDefault="00537CC8" w:rsidP="00537CC8">
      <w:pPr>
        <w:rPr>
          <w:rtl/>
        </w:rPr>
      </w:pPr>
      <w:r w:rsidRPr="0025250D">
        <w:rPr>
          <w:rtl/>
        </w:rPr>
        <w:t>کلارک</w:t>
      </w:r>
      <w:r w:rsidRPr="0025250D">
        <w:rPr>
          <w:rFonts w:hint="cs"/>
          <w:rtl/>
        </w:rPr>
        <w:t xml:space="preserve"> همچنین یک دیدگاه </w:t>
      </w:r>
      <w:r w:rsidR="00127288" w:rsidRPr="0025250D">
        <w:rPr>
          <w:rFonts w:hint="cs"/>
          <w:rtl/>
        </w:rPr>
        <w:t>پیش‌انگار</w:t>
      </w:r>
      <w:r w:rsidRPr="0025250D">
        <w:rPr>
          <w:rFonts w:hint="cs"/>
          <w:rtl/>
        </w:rPr>
        <w:t xml:space="preserve"> بیش از حد ساده درمورد سیاست، اقتصاد و فرهنگ داشت. او انتظار داشت که اهمیت هر سه با پیشرفت علم کاهش یابد. او ظهور قابل </w:t>
      </w:r>
      <w:r w:rsidR="00D92F6E" w:rsidRPr="0025250D">
        <w:rPr>
          <w:rFonts w:hint="cs"/>
          <w:rtl/>
        </w:rPr>
        <w:t>پیش‌بین</w:t>
      </w:r>
      <w:r w:rsidRPr="0025250D">
        <w:rPr>
          <w:rFonts w:hint="cs"/>
          <w:rtl/>
        </w:rPr>
        <w:t xml:space="preserve">ی زرسالاری به همراه ثروت ایجاد شده از </w:t>
      </w:r>
      <w:r w:rsidR="007A53FD" w:rsidRPr="0025250D">
        <w:rPr>
          <w:rFonts w:hint="cs"/>
          <w:rtl/>
        </w:rPr>
        <w:t>فناوری</w:t>
      </w:r>
      <w:r w:rsidRPr="0025250D">
        <w:rPr>
          <w:rFonts w:hint="cs"/>
          <w:rtl/>
        </w:rPr>
        <w:t xml:space="preserve"> و این که چرا</w:t>
      </w:r>
      <w:r w:rsidR="008D6F97" w:rsidRPr="0025250D">
        <w:rPr>
          <w:rtl/>
        </w:rPr>
        <w:t xml:space="preserve"> </w:t>
      </w:r>
      <w:r w:rsidRPr="0025250D">
        <w:rPr>
          <w:rFonts w:hint="cs"/>
          <w:rtl/>
        </w:rPr>
        <w:t xml:space="preserve">زرسالاری باید تعدیل شده و ثروت به طور طبیعی توزیع شود (قانون توانی) تا </w:t>
      </w:r>
      <w:r w:rsidR="00B124DE" w:rsidRPr="0025250D">
        <w:rPr>
          <w:rFonts w:hint="cs"/>
          <w:rtl/>
        </w:rPr>
        <w:t>انطباق‌پذیر</w:t>
      </w:r>
      <w:r w:rsidRPr="0025250D">
        <w:rPr>
          <w:rFonts w:hint="cs"/>
          <w:rtl/>
        </w:rPr>
        <w:t xml:space="preserve">ی بهبود یابد را </w:t>
      </w:r>
      <w:r w:rsidR="00D92F6E" w:rsidRPr="0025250D">
        <w:rPr>
          <w:rFonts w:hint="cs"/>
          <w:rtl/>
        </w:rPr>
        <w:t>پیش‌بین</w:t>
      </w:r>
      <w:r w:rsidRPr="0025250D">
        <w:rPr>
          <w:rFonts w:hint="cs"/>
          <w:rtl/>
        </w:rPr>
        <w:t>ی نکرد. او همچنین سطوح حیرت آور از دست رفتن گونه‌ها و تخریب بایوسفر</w:t>
      </w:r>
      <w:r w:rsidRPr="0025250D">
        <w:rPr>
          <w:vertAlign w:val="superscript"/>
          <w:rtl/>
        </w:rPr>
        <w:footnoteReference w:id="1603"/>
      </w:r>
      <w:r w:rsidRPr="0025250D">
        <w:rPr>
          <w:rFonts w:hint="cs"/>
          <w:rtl/>
        </w:rPr>
        <w:t xml:space="preserve"> (زیست کره) که ما ایجاد خواهیم کرد را ندید. در </w:t>
      </w:r>
      <w:r w:rsidRPr="0025250D">
        <w:t>BPF</w:t>
      </w:r>
      <w:r w:rsidRPr="0025250D">
        <w:rPr>
          <w:rFonts w:hint="cs"/>
          <w:rtl/>
        </w:rPr>
        <w:t xml:space="preserve">، یک قانون پایداری </w:t>
      </w:r>
      <w:r w:rsidR="007B3B35" w:rsidRPr="0025250D">
        <w:rPr>
          <w:rFonts w:hint="cs"/>
          <w:rtl/>
        </w:rPr>
        <w:t>شتاب‌گیر</w:t>
      </w:r>
      <w:r w:rsidRPr="0025250D">
        <w:rPr>
          <w:rFonts w:hint="cs"/>
          <w:rtl/>
        </w:rPr>
        <w:t>نده</w:t>
      </w:r>
      <w:r w:rsidR="00E03473" w:rsidRPr="0025250D">
        <w:rPr>
          <w:rFonts w:hint="cs"/>
          <w:rtl/>
        </w:rPr>
        <w:t xml:space="preserve"> را به عنوان</w:t>
      </w:r>
      <w:r w:rsidRPr="0025250D">
        <w:rPr>
          <w:rFonts w:hint="cs"/>
          <w:rtl/>
        </w:rPr>
        <w:t xml:space="preserve"> یکی از راه‌هایی که آینده فرهنگ از نظر ما در آن کاملا قابل </w:t>
      </w:r>
      <w:r w:rsidR="00D92F6E" w:rsidRPr="0025250D">
        <w:rPr>
          <w:rFonts w:hint="cs"/>
          <w:rtl/>
        </w:rPr>
        <w:t>پیش‌بین</w:t>
      </w:r>
      <w:r w:rsidRPr="0025250D">
        <w:rPr>
          <w:rFonts w:hint="cs"/>
          <w:rtl/>
        </w:rPr>
        <w:t>ی است</w:t>
      </w:r>
      <w:r w:rsidR="00E03473" w:rsidRPr="0025250D">
        <w:rPr>
          <w:rFonts w:hint="cs"/>
          <w:rtl/>
        </w:rPr>
        <w:t>،</w:t>
      </w:r>
      <w:r w:rsidRPr="0025250D">
        <w:rPr>
          <w:rFonts w:hint="cs"/>
          <w:rtl/>
        </w:rPr>
        <w:t xml:space="preserve"> توصیف خواهیم کرد. قانون ما تمرکز سیاسی و اجتماعی فزاینده‌ای را بر ایمنی و امنیت انسان، در عدالت اجتماعی</w:t>
      </w:r>
      <w:r w:rsidR="008D6F97" w:rsidRPr="0025250D">
        <w:rPr>
          <w:rtl/>
        </w:rPr>
        <w:t xml:space="preserve"> </w:t>
      </w:r>
      <w:r w:rsidRPr="0025250D">
        <w:rPr>
          <w:rFonts w:hint="cs"/>
          <w:rtl/>
        </w:rPr>
        <w:t xml:space="preserve">و پایداری زیست محیطی، با نسبتی مستقیم با توسعه اقتصادی و </w:t>
      </w:r>
      <w:r w:rsidR="007A53FD" w:rsidRPr="0025250D">
        <w:rPr>
          <w:rFonts w:hint="cs"/>
          <w:rtl/>
        </w:rPr>
        <w:t>فناوری</w:t>
      </w:r>
      <w:r w:rsidRPr="0025250D">
        <w:rPr>
          <w:rFonts w:hint="cs"/>
          <w:rtl/>
        </w:rPr>
        <w:t xml:space="preserve"> ما </w:t>
      </w:r>
      <w:r w:rsidR="00D92F6E" w:rsidRPr="0025250D">
        <w:rPr>
          <w:rFonts w:hint="cs"/>
          <w:rtl/>
        </w:rPr>
        <w:t>پیش‌بین</w:t>
      </w:r>
      <w:r w:rsidRPr="0025250D">
        <w:rPr>
          <w:rFonts w:hint="cs"/>
          <w:rtl/>
        </w:rPr>
        <w:t>ی می‌کند.</w:t>
      </w:r>
    </w:p>
    <w:p w14:paraId="0E1F0CDC" w14:textId="4E742D6D" w:rsidR="00537CC8" w:rsidRPr="0025250D" w:rsidRDefault="00923DDB" w:rsidP="00537CC8">
      <w:pPr>
        <w:rPr>
          <w:rtl/>
        </w:rPr>
      </w:pPr>
      <w:r w:rsidRPr="0025250D">
        <w:rPr>
          <w:rFonts w:hint="cs"/>
          <w:rtl/>
        </w:rPr>
        <w:t>پیش‌انگاری</w:t>
      </w:r>
      <w:r w:rsidR="00537CC8" w:rsidRPr="0025250D">
        <w:rPr>
          <w:rFonts w:hint="cs"/>
          <w:rtl/>
        </w:rPr>
        <w:t xml:space="preserve"> چند روند توسعه پایدار فرهنگی می‌توانست از اشتباهات </w:t>
      </w:r>
      <w:r w:rsidR="00537CC8" w:rsidRPr="0025250D">
        <w:rPr>
          <w:rtl/>
        </w:rPr>
        <w:t>کلارک</w:t>
      </w:r>
      <w:r w:rsidR="00537CC8" w:rsidRPr="0025250D">
        <w:rPr>
          <w:rFonts w:hint="cs"/>
          <w:rtl/>
        </w:rPr>
        <w:t xml:space="preserve"> در موضوعاتی مانند حمل و نقل مافوق صوت (بیش از حد دارای آلودگی صوتی و تلف کننده سوخت است و</w:t>
      </w:r>
      <w:r w:rsidR="00EE4B64" w:rsidRPr="0025250D">
        <w:rPr>
          <w:rFonts w:hint="cs"/>
          <w:rtl/>
        </w:rPr>
        <w:t xml:space="preserve"> نمی‌</w:t>
      </w:r>
      <w:r w:rsidR="00537CC8" w:rsidRPr="0025250D">
        <w:rPr>
          <w:rFonts w:hint="cs"/>
          <w:rtl/>
        </w:rPr>
        <w:t xml:space="preserve">تواند چیزی فرا‌تر از یک نمونه آزمایشی باشد) یا هاورکرافت زمینی (این موارد توسط منتقدین حتی در همان زمان از نظر زیست محیطی نامناسب تشخیص داده شدند) جلوگیری کند. با این حال، تنها به دلیل موفقیت‌های متعدد </w:t>
      </w:r>
      <w:r w:rsidR="00E03473" w:rsidRPr="0025250D">
        <w:rPr>
          <w:rFonts w:hint="cs"/>
          <w:rtl/>
        </w:rPr>
        <w:t>کلارک</w:t>
      </w:r>
      <w:r w:rsidR="00537CC8" w:rsidRPr="0025250D">
        <w:rPr>
          <w:rFonts w:hint="cs"/>
          <w:rtl/>
        </w:rPr>
        <w:t xml:space="preserve"> به‌عنوان یک </w:t>
      </w:r>
      <w:r w:rsidR="00127288" w:rsidRPr="0025250D">
        <w:rPr>
          <w:rFonts w:hint="cs"/>
          <w:rtl/>
        </w:rPr>
        <w:t>پیش‌انگار</w:t>
      </w:r>
      <w:r w:rsidR="00537CC8" w:rsidRPr="0025250D">
        <w:rPr>
          <w:rFonts w:hint="cs"/>
          <w:rtl/>
        </w:rPr>
        <w:t xml:space="preserve"> بود که می‌توانیم درس‌های مهمی از پیروزی‌ها و شکست‌های او برای کار خودمان بگیریم. او یکی از بزرگترین آینده‌پژوهان قرن بیستم بود و </w:t>
      </w:r>
      <w:r w:rsidR="00537CC8" w:rsidRPr="0025250D">
        <w:rPr>
          <w:rtl/>
        </w:rPr>
        <w:t>آینده‌نگاری</w:t>
      </w:r>
      <w:r w:rsidR="00537CC8" w:rsidRPr="0025250D">
        <w:rPr>
          <w:rFonts w:hint="cs"/>
          <w:rtl/>
        </w:rPr>
        <w:t xml:space="preserve"> بلند مدت ما به شدت مدیون اوست.</w:t>
      </w:r>
    </w:p>
    <w:p w14:paraId="583CF9CC" w14:textId="0507AC60" w:rsidR="00537CC8" w:rsidRPr="0025250D" w:rsidRDefault="00537CC8" w:rsidP="00537CC8">
      <w:pPr>
        <w:rPr>
          <w:rtl/>
        </w:rPr>
      </w:pPr>
      <w:r w:rsidRPr="0025250D">
        <w:rPr>
          <w:rFonts w:hint="cs"/>
          <w:rtl/>
        </w:rPr>
        <w:t xml:space="preserve">یک نکته اثبات کننده </w:t>
      </w:r>
      <w:r w:rsidR="00923DDB" w:rsidRPr="0025250D">
        <w:rPr>
          <w:rFonts w:hint="cs"/>
          <w:rtl/>
        </w:rPr>
        <w:t>پیش‌انگاری</w:t>
      </w:r>
      <w:r w:rsidRPr="0025250D">
        <w:rPr>
          <w:rFonts w:hint="cs"/>
          <w:rtl/>
        </w:rPr>
        <w:t xml:space="preserve"> قرن بیستمی دیگر در کار آینده‌پژوه </w:t>
      </w:r>
      <w:r w:rsidRPr="0025250D">
        <w:rPr>
          <w:rtl/>
        </w:rPr>
        <w:t>هرمان کان (1922-1983)</w:t>
      </w:r>
      <w:r w:rsidRPr="0025250D">
        <w:rPr>
          <w:rFonts w:hint="cs"/>
          <w:rtl/>
        </w:rPr>
        <w:t xml:space="preserve"> و تیم او در مؤسسه </w:t>
      </w:r>
      <w:r w:rsidRPr="0025250D">
        <w:rPr>
          <w:rtl/>
        </w:rPr>
        <w:t>هادسون</w:t>
      </w:r>
      <w:r w:rsidRPr="0025250D">
        <w:rPr>
          <w:vertAlign w:val="superscript"/>
          <w:rtl/>
        </w:rPr>
        <w:footnoteReference w:id="1604"/>
      </w:r>
      <w:r w:rsidRPr="0025250D">
        <w:rPr>
          <w:rFonts w:hint="cs"/>
          <w:rtl/>
        </w:rPr>
        <w:t xml:space="preserve"> یافت می‌شود. سال 2000: </w:t>
      </w:r>
      <w:r w:rsidR="00B13F65" w:rsidRPr="0025250D">
        <w:rPr>
          <w:rFonts w:hint="cs"/>
          <w:rtl/>
        </w:rPr>
        <w:t>چارچوب</w:t>
      </w:r>
      <w:r w:rsidRPr="0025250D">
        <w:rPr>
          <w:rFonts w:hint="cs"/>
          <w:rtl/>
        </w:rPr>
        <w:t xml:space="preserve">ی برای </w:t>
      </w:r>
      <w:r w:rsidR="00F662B0" w:rsidRPr="0025250D">
        <w:rPr>
          <w:rFonts w:hint="cs"/>
          <w:rtl/>
        </w:rPr>
        <w:t>گمانه‌زنی</w:t>
      </w:r>
      <w:r w:rsidRPr="0025250D">
        <w:rPr>
          <w:rFonts w:hint="cs"/>
          <w:rtl/>
        </w:rPr>
        <w:t xml:space="preserve"> سی سال بعد</w:t>
      </w:r>
      <w:r w:rsidRPr="0025250D">
        <w:rPr>
          <w:vertAlign w:val="superscript"/>
          <w:rtl/>
        </w:rPr>
        <w:footnoteReference w:id="1605"/>
      </w:r>
      <w:r w:rsidRPr="0025250D">
        <w:rPr>
          <w:rFonts w:hint="cs"/>
          <w:rtl/>
        </w:rPr>
        <w:t xml:space="preserve"> اثر </w:t>
      </w:r>
      <w:r w:rsidRPr="0025250D">
        <w:rPr>
          <w:rtl/>
        </w:rPr>
        <w:t xml:space="preserve">کان </w:t>
      </w:r>
      <w:r w:rsidRPr="0025250D">
        <w:rPr>
          <w:rFonts w:hint="cs"/>
          <w:rtl/>
        </w:rPr>
        <w:t xml:space="preserve">و </w:t>
      </w:r>
      <w:r w:rsidRPr="0025250D">
        <w:rPr>
          <w:rtl/>
        </w:rPr>
        <w:t>آنتون</w:t>
      </w:r>
      <w:r w:rsidRPr="0025250D">
        <w:rPr>
          <w:rFonts w:hint="cs"/>
          <w:rtl/>
        </w:rPr>
        <w:t>ی</w:t>
      </w:r>
      <w:r w:rsidRPr="0025250D">
        <w:rPr>
          <w:rtl/>
        </w:rPr>
        <w:t xml:space="preserve"> و</w:t>
      </w:r>
      <w:r w:rsidRPr="0025250D">
        <w:rPr>
          <w:rFonts w:hint="cs"/>
          <w:rtl/>
        </w:rPr>
        <w:t>ی</w:t>
      </w:r>
      <w:r w:rsidRPr="0025250D">
        <w:rPr>
          <w:rFonts w:hint="eastAsia"/>
          <w:rtl/>
        </w:rPr>
        <w:t>نر</w:t>
      </w:r>
      <w:r w:rsidRPr="0025250D">
        <w:rPr>
          <w:vertAlign w:val="superscript"/>
          <w:rtl/>
        </w:rPr>
        <w:footnoteReference w:id="1606"/>
      </w:r>
      <w:r w:rsidRPr="0025250D">
        <w:rPr>
          <w:rFonts w:hint="cs"/>
          <w:rtl/>
        </w:rPr>
        <w:t xml:space="preserve"> در سال 1967 شاید مشهور‌ترین</w:t>
      </w:r>
      <w:r w:rsidR="008D6F97" w:rsidRPr="0025250D">
        <w:rPr>
          <w:rtl/>
        </w:rPr>
        <w:t xml:space="preserve"> </w:t>
      </w:r>
      <w:r w:rsidRPr="0025250D">
        <w:rPr>
          <w:rFonts w:hint="cs"/>
          <w:rtl/>
        </w:rPr>
        <w:t xml:space="preserve">کار </w:t>
      </w:r>
      <w:r w:rsidRPr="0025250D">
        <w:rPr>
          <w:rtl/>
        </w:rPr>
        <w:t>آینده‌نگاری</w:t>
      </w:r>
      <w:r w:rsidRPr="0025250D">
        <w:rPr>
          <w:rFonts w:hint="cs"/>
          <w:rtl/>
        </w:rPr>
        <w:t xml:space="preserve"> آن‌ها بوده باشد. </w:t>
      </w:r>
      <w:r w:rsidR="00E03473" w:rsidRPr="0025250D">
        <w:rPr>
          <w:rFonts w:hint="cs"/>
          <w:rtl/>
        </w:rPr>
        <w:t xml:space="preserve">هرمان </w:t>
      </w:r>
      <w:r w:rsidRPr="0025250D">
        <w:rPr>
          <w:rtl/>
        </w:rPr>
        <w:t xml:space="preserve">کان </w:t>
      </w:r>
      <w:r w:rsidRPr="0025250D">
        <w:rPr>
          <w:rFonts w:hint="cs"/>
          <w:rtl/>
        </w:rPr>
        <w:t xml:space="preserve">یک فعال </w:t>
      </w:r>
      <w:r w:rsidR="00E03473" w:rsidRPr="0025250D">
        <w:rPr>
          <w:rFonts w:hint="cs"/>
          <w:rtl/>
        </w:rPr>
        <w:t xml:space="preserve">در زمینه </w:t>
      </w:r>
      <w:r w:rsidRPr="0025250D">
        <w:rPr>
          <w:rtl/>
        </w:rPr>
        <w:t>آینده‌نگاری</w:t>
      </w:r>
      <w:r w:rsidRPr="0025250D">
        <w:rPr>
          <w:rFonts w:hint="cs"/>
          <w:rtl/>
        </w:rPr>
        <w:t xml:space="preserve"> بود که کاملا ارزش آغاز</w:t>
      </w:r>
      <w:r w:rsidR="00E03473" w:rsidRPr="0025250D">
        <w:rPr>
          <w:rFonts w:hint="cs"/>
          <w:rtl/>
        </w:rPr>
        <w:t xml:space="preserve"> نمودن</w:t>
      </w:r>
      <w:r w:rsidRPr="0025250D">
        <w:rPr>
          <w:rFonts w:hint="cs"/>
          <w:rtl/>
        </w:rPr>
        <w:t xml:space="preserve"> با آینده محتمل و سپس توسعه آینده‌های ممکن و مرجح با توجه به محدودیت‌های موارد محتمل را درک می</w:t>
      </w:r>
      <w:r w:rsidR="00E03473" w:rsidRPr="0025250D">
        <w:rPr>
          <w:rFonts w:hint="cs"/>
          <w:rtl/>
        </w:rPr>
        <w:t>‌</w:t>
      </w:r>
      <w:r w:rsidRPr="0025250D">
        <w:rPr>
          <w:rFonts w:hint="cs"/>
          <w:rtl/>
        </w:rPr>
        <w:t xml:space="preserve">کرد. یک بازبینی گذشته نگر از این کتاب توسط </w:t>
      </w:r>
      <w:r w:rsidRPr="0025250D">
        <w:rPr>
          <w:rtl/>
        </w:rPr>
        <w:t>ر</w:t>
      </w:r>
      <w:r w:rsidRPr="0025250D">
        <w:rPr>
          <w:rFonts w:hint="cs"/>
          <w:rtl/>
        </w:rPr>
        <w:t>ی</w:t>
      </w:r>
      <w:r w:rsidRPr="0025250D">
        <w:rPr>
          <w:rFonts w:hint="eastAsia"/>
          <w:rtl/>
        </w:rPr>
        <w:t>چارد</w:t>
      </w:r>
      <w:r w:rsidRPr="0025250D">
        <w:rPr>
          <w:rtl/>
        </w:rPr>
        <w:t xml:space="preserve"> آلبرا</w:t>
      </w:r>
      <w:r w:rsidRPr="0025250D">
        <w:rPr>
          <w:rFonts w:hint="cs"/>
          <w:rtl/>
        </w:rPr>
        <w:t>ی</w:t>
      </w:r>
      <w:r w:rsidRPr="0025250D">
        <w:rPr>
          <w:rFonts w:hint="eastAsia"/>
          <w:rtl/>
        </w:rPr>
        <w:t>ت</w:t>
      </w:r>
      <w:r w:rsidRPr="0025250D">
        <w:rPr>
          <w:vertAlign w:val="superscript"/>
          <w:rtl/>
        </w:rPr>
        <w:footnoteReference w:id="1607"/>
      </w:r>
      <w:r w:rsidRPr="0025250D">
        <w:rPr>
          <w:rFonts w:hint="cs"/>
          <w:rtl/>
        </w:rPr>
        <w:t xml:space="preserve">، با عنوان آنچه </w:t>
      </w:r>
      <w:r w:rsidR="00FB6A7E" w:rsidRPr="0025250D">
        <w:rPr>
          <w:rFonts w:hint="cs"/>
          <w:rtl/>
        </w:rPr>
        <w:t>پیش‌نگری</w:t>
      </w:r>
      <w:r w:rsidRPr="0025250D">
        <w:rPr>
          <w:rFonts w:hint="cs"/>
          <w:rtl/>
        </w:rPr>
        <w:t xml:space="preserve">‌های </w:t>
      </w:r>
      <w:r w:rsidR="007A53FD" w:rsidRPr="0025250D">
        <w:rPr>
          <w:rFonts w:hint="cs"/>
          <w:rtl/>
        </w:rPr>
        <w:t>فناوری</w:t>
      </w:r>
      <w:r w:rsidRPr="0025250D">
        <w:rPr>
          <w:rFonts w:hint="cs"/>
          <w:rtl/>
        </w:rPr>
        <w:t xml:space="preserve"> گذشته می‌توانند به ما درمورد آینده بگویند</w:t>
      </w:r>
      <w:r w:rsidRPr="0025250D">
        <w:rPr>
          <w:vertAlign w:val="superscript"/>
          <w:rtl/>
        </w:rPr>
        <w:footnoteReference w:id="1608"/>
      </w:r>
      <w:r w:rsidRPr="0025250D">
        <w:rPr>
          <w:rFonts w:hint="cs"/>
          <w:rtl/>
        </w:rPr>
        <w:t xml:space="preserve"> در مجله </w:t>
      </w:r>
      <w:r w:rsidR="00FB6A7E" w:rsidRPr="0025250D">
        <w:rPr>
          <w:rFonts w:hint="cs"/>
          <w:rtl/>
        </w:rPr>
        <w:t>پیش‌نگری</w:t>
      </w:r>
      <w:r w:rsidRPr="0025250D">
        <w:rPr>
          <w:rFonts w:hint="cs"/>
          <w:rtl/>
        </w:rPr>
        <w:t xml:space="preserve"> </w:t>
      </w:r>
      <w:r w:rsidR="007A53FD" w:rsidRPr="0025250D">
        <w:rPr>
          <w:rFonts w:hint="cs"/>
          <w:rtl/>
        </w:rPr>
        <w:t>فناوری</w:t>
      </w:r>
      <w:r w:rsidRPr="0025250D">
        <w:rPr>
          <w:rFonts w:hint="cs"/>
          <w:rtl/>
        </w:rPr>
        <w:t xml:space="preserve"> و تغییر اجتماعی</w:t>
      </w:r>
      <w:r w:rsidRPr="0025250D">
        <w:rPr>
          <w:vertAlign w:val="superscript"/>
          <w:rtl/>
        </w:rPr>
        <w:footnoteReference w:id="1609"/>
      </w:r>
      <w:r w:rsidRPr="0025250D">
        <w:rPr>
          <w:rFonts w:hint="cs"/>
          <w:rtl/>
        </w:rPr>
        <w:t xml:space="preserve">، در ژانویه 2002، دریافت که 50 درصد از </w:t>
      </w:r>
      <w:r w:rsidR="00923DDB" w:rsidRPr="0025250D">
        <w:rPr>
          <w:rFonts w:hint="cs"/>
          <w:rtl/>
        </w:rPr>
        <w:t>پیش‌انگاری</w:t>
      </w:r>
      <w:r w:rsidRPr="0025250D">
        <w:rPr>
          <w:rFonts w:hint="cs"/>
          <w:rtl/>
        </w:rPr>
        <w:t>‌های نوآوری فهرست شده در انتهای کتاب سال 2000</w:t>
      </w:r>
      <w:r w:rsidRPr="0025250D">
        <w:rPr>
          <w:vertAlign w:val="superscript"/>
          <w:rtl/>
        </w:rPr>
        <w:footnoteReference w:id="1610"/>
      </w:r>
      <w:r w:rsidRPr="0025250D">
        <w:rPr>
          <w:rFonts w:hint="cs"/>
          <w:rtl/>
        </w:rPr>
        <w:t xml:space="preserve"> </w:t>
      </w:r>
      <w:r w:rsidR="00FB6A7E" w:rsidRPr="0025250D">
        <w:rPr>
          <w:rFonts w:hint="cs"/>
          <w:rtl/>
        </w:rPr>
        <w:t>پیش‌نگری</w:t>
      </w:r>
      <w:r w:rsidRPr="0025250D">
        <w:rPr>
          <w:rFonts w:hint="cs"/>
          <w:rtl/>
        </w:rPr>
        <w:t xml:space="preserve">‌های خوب و </w:t>
      </w:r>
      <w:r w:rsidR="00A20CCB" w:rsidRPr="0025250D">
        <w:rPr>
          <w:rFonts w:hint="cs"/>
          <w:rtl/>
        </w:rPr>
        <w:t>زمان‌بندی</w:t>
      </w:r>
      <w:r w:rsidRPr="0025250D">
        <w:rPr>
          <w:rFonts w:hint="cs"/>
          <w:rtl/>
        </w:rPr>
        <w:t xml:space="preserve"> شده‌ای تا سال 2000 بودند و آن </w:t>
      </w:r>
      <w:r w:rsidR="00FB6A7E" w:rsidRPr="0025250D">
        <w:rPr>
          <w:rFonts w:hint="cs"/>
          <w:rtl/>
        </w:rPr>
        <w:t>پیش‌نگری</w:t>
      </w:r>
      <w:r w:rsidRPr="0025250D">
        <w:rPr>
          <w:rFonts w:hint="cs"/>
          <w:rtl/>
        </w:rPr>
        <w:t>‌ها در زمینه زیرشاخه‌ای از کامپیوتر‌ها و ارتباطات بیش‌ترین</w:t>
      </w:r>
      <w:r w:rsidR="008D6F97" w:rsidRPr="0025250D">
        <w:rPr>
          <w:rtl/>
        </w:rPr>
        <w:t xml:space="preserve"> </w:t>
      </w:r>
      <w:r w:rsidRPr="0025250D">
        <w:rPr>
          <w:rFonts w:hint="cs"/>
          <w:rtl/>
        </w:rPr>
        <w:t>موفقیت را</w:t>
      </w:r>
      <w:r w:rsidR="008D6F97" w:rsidRPr="0025250D">
        <w:rPr>
          <w:rtl/>
        </w:rPr>
        <w:t xml:space="preserve"> </w:t>
      </w:r>
      <w:r w:rsidRPr="0025250D">
        <w:rPr>
          <w:rFonts w:hint="cs"/>
          <w:rtl/>
        </w:rPr>
        <w:t xml:space="preserve">تا 80 درصد </w:t>
      </w:r>
      <w:r w:rsidR="00B124DE" w:rsidRPr="0025250D">
        <w:rPr>
          <w:rFonts w:hint="cs"/>
          <w:rtl/>
        </w:rPr>
        <w:t>داشته‌اند</w:t>
      </w:r>
      <w:r w:rsidRPr="0025250D">
        <w:rPr>
          <w:rFonts w:hint="cs"/>
          <w:rtl/>
        </w:rPr>
        <w:t>.</w:t>
      </w:r>
    </w:p>
    <w:p w14:paraId="3647ED33" w14:textId="341F98F3" w:rsidR="00537CC8" w:rsidRPr="0025250D" w:rsidRDefault="00537CC8" w:rsidP="00537CC8">
      <w:pPr>
        <w:rPr>
          <w:rtl/>
        </w:rPr>
      </w:pPr>
      <w:r w:rsidRPr="0025250D">
        <w:rPr>
          <w:rFonts w:hint="cs"/>
          <w:rtl/>
        </w:rPr>
        <w:t xml:space="preserve">کتاب سال 2000، هم در </w:t>
      </w:r>
      <w:r w:rsidR="00FB6A7E" w:rsidRPr="0025250D">
        <w:rPr>
          <w:rFonts w:hint="cs"/>
          <w:rtl/>
        </w:rPr>
        <w:t>پیش‌نگری</w:t>
      </w:r>
      <w:r w:rsidRPr="0025250D">
        <w:rPr>
          <w:rFonts w:hint="cs"/>
          <w:rtl/>
        </w:rPr>
        <w:t xml:space="preserve"> علم و </w:t>
      </w:r>
      <w:r w:rsidR="007A53FD" w:rsidRPr="0025250D">
        <w:rPr>
          <w:rFonts w:hint="cs"/>
          <w:rtl/>
        </w:rPr>
        <w:t>فناوری</w:t>
      </w:r>
      <w:r w:rsidRPr="0025250D">
        <w:rPr>
          <w:rFonts w:hint="cs"/>
          <w:rtl/>
        </w:rPr>
        <w:t xml:space="preserve"> و هم در حوزه‌های </w:t>
      </w:r>
      <w:r w:rsidR="00FB6A7E" w:rsidRPr="0025250D">
        <w:rPr>
          <w:rFonts w:hint="cs"/>
          <w:rtl/>
        </w:rPr>
        <w:t>پیش‌نگری</w:t>
      </w:r>
      <w:r w:rsidRPr="0025250D">
        <w:rPr>
          <w:rFonts w:hint="cs"/>
          <w:rtl/>
        </w:rPr>
        <w:t>‌های اقتصادی و اجتماعی متعددی خردمندانه است</w:t>
      </w:r>
      <w:r w:rsidR="008D6F97" w:rsidRPr="0025250D">
        <w:rPr>
          <w:rtl/>
        </w:rPr>
        <w:t xml:space="preserve">؛ </w:t>
      </w:r>
      <w:r w:rsidRPr="0025250D">
        <w:rPr>
          <w:rFonts w:hint="cs"/>
          <w:rtl/>
        </w:rPr>
        <w:t xml:space="preserve">اما این کتاب برخی جنبه‌های آینده علم و </w:t>
      </w:r>
      <w:r w:rsidR="007A53FD" w:rsidRPr="0025250D">
        <w:rPr>
          <w:rFonts w:hint="cs"/>
          <w:rtl/>
        </w:rPr>
        <w:t>فناوری</w:t>
      </w:r>
      <w:r w:rsidRPr="0025250D">
        <w:rPr>
          <w:rFonts w:hint="cs"/>
          <w:rtl/>
        </w:rPr>
        <w:t xml:space="preserve"> (</w:t>
      </w:r>
      <w:r w:rsidRPr="0025250D">
        <w:t>S&amp;T</w:t>
      </w:r>
      <w:r w:rsidRPr="0025250D">
        <w:rPr>
          <w:rFonts w:hint="cs"/>
          <w:rtl/>
        </w:rPr>
        <w:t xml:space="preserve">) را در بر </w:t>
      </w:r>
      <w:r w:rsidR="00E03473" w:rsidRPr="0025250D">
        <w:rPr>
          <w:rFonts w:hint="cs"/>
          <w:rtl/>
        </w:rPr>
        <w:t>نمی‌گیرد</w:t>
      </w:r>
      <w:r w:rsidRPr="0025250D">
        <w:rPr>
          <w:rFonts w:hint="cs"/>
          <w:rtl/>
        </w:rPr>
        <w:t xml:space="preserve">. این کتاب ادامه متمرکز سازی محاسبات به جای دیدن فازهای تکاملی-توسعه‌ای </w:t>
      </w:r>
      <w:r w:rsidR="00EC25F0" w:rsidRPr="0025250D">
        <w:rPr>
          <w:rFonts w:hint="cs"/>
          <w:rtl/>
        </w:rPr>
        <w:t>غیرمتمرکزسازی</w:t>
      </w:r>
      <w:r w:rsidRPr="0025250D">
        <w:rPr>
          <w:rFonts w:hint="cs"/>
          <w:rtl/>
        </w:rPr>
        <w:t xml:space="preserve"> (عصر موبایل و کامپیوترهای شخصی) و بعد‌ها، یک موج </w:t>
      </w:r>
      <w:r w:rsidR="00EC25F0" w:rsidRPr="0025250D">
        <w:rPr>
          <w:rFonts w:hint="cs"/>
          <w:rtl/>
        </w:rPr>
        <w:t>غیرمتمرکزسازی</w:t>
      </w:r>
      <w:r w:rsidRPr="0025250D">
        <w:rPr>
          <w:rFonts w:hint="cs"/>
          <w:rtl/>
        </w:rPr>
        <w:t xml:space="preserve"> دیگر (محاسبات ادج</w:t>
      </w:r>
      <w:r w:rsidRPr="0025250D">
        <w:rPr>
          <w:vertAlign w:val="superscript"/>
          <w:rtl/>
        </w:rPr>
        <w:footnoteReference w:id="1611"/>
      </w:r>
      <w:r w:rsidRPr="0025250D">
        <w:rPr>
          <w:rFonts w:hint="cs"/>
          <w:rtl/>
        </w:rPr>
        <w:t xml:space="preserve">، </w:t>
      </w:r>
      <w:r w:rsidRPr="0025250D">
        <w:t>IoT</w:t>
      </w:r>
      <w:r w:rsidRPr="0025250D">
        <w:rPr>
          <w:rFonts w:hint="cs"/>
          <w:rtl/>
        </w:rPr>
        <w:t xml:space="preserve">) </w:t>
      </w:r>
      <w:r w:rsidR="00E03473" w:rsidRPr="0025250D">
        <w:rPr>
          <w:rFonts w:hint="cs"/>
          <w:rtl/>
        </w:rPr>
        <w:t>را</w:t>
      </w:r>
      <w:r w:rsidRPr="0025250D">
        <w:rPr>
          <w:rFonts w:hint="cs"/>
          <w:rtl/>
        </w:rPr>
        <w:t xml:space="preserve"> فرض می‌کند. این کتاب این که فناوری اطلاعات، مانند هر </w:t>
      </w:r>
      <w:r w:rsidR="008D6F97" w:rsidRPr="0025250D">
        <w:rPr>
          <w:rFonts w:hint="cs"/>
          <w:rtl/>
        </w:rPr>
        <w:t>سامانه‌</w:t>
      </w:r>
      <w:r w:rsidRPr="0025250D">
        <w:rPr>
          <w:rFonts w:hint="cs"/>
          <w:rtl/>
        </w:rPr>
        <w:t xml:space="preserve"> پیچیده دیگری، در یک تنش تکاملی-توسعه‌ای دائمی میان کنترل پایین به بالا و </w:t>
      </w:r>
      <w:r w:rsidR="009D17DA" w:rsidRPr="0025250D">
        <w:rPr>
          <w:rFonts w:hint="cs"/>
          <w:rtl/>
        </w:rPr>
        <w:t>بالا‌به‌پایین</w:t>
      </w:r>
      <w:r w:rsidRPr="0025250D">
        <w:rPr>
          <w:rFonts w:hint="cs"/>
          <w:rtl/>
        </w:rPr>
        <w:t xml:space="preserve"> است را تشخیص نداد.</w:t>
      </w:r>
    </w:p>
    <w:p w14:paraId="006396D9" w14:textId="1C1E740D" w:rsidR="00537CC8" w:rsidRPr="0025250D" w:rsidRDefault="00537CC8" w:rsidP="00537CC8">
      <w:pPr>
        <w:rPr>
          <w:rtl/>
        </w:rPr>
      </w:pPr>
      <w:r w:rsidRPr="0025250D">
        <w:rPr>
          <w:rFonts w:hint="cs"/>
          <w:rtl/>
        </w:rPr>
        <w:t xml:space="preserve">اما حتی در سال 1967، کان و </w:t>
      </w:r>
      <w:r w:rsidRPr="0025250D">
        <w:rPr>
          <w:rtl/>
        </w:rPr>
        <w:t>و</w:t>
      </w:r>
      <w:r w:rsidRPr="0025250D">
        <w:rPr>
          <w:rFonts w:hint="cs"/>
          <w:rtl/>
        </w:rPr>
        <w:t>ی</w:t>
      </w:r>
      <w:r w:rsidRPr="0025250D">
        <w:rPr>
          <w:rFonts w:hint="eastAsia"/>
          <w:rtl/>
        </w:rPr>
        <w:t>نر</w:t>
      </w:r>
      <w:r w:rsidRPr="0025250D">
        <w:rPr>
          <w:vertAlign w:val="superscript"/>
          <w:rtl/>
        </w:rPr>
        <w:footnoteReference w:id="1612"/>
      </w:r>
      <w:r w:rsidRPr="0025250D">
        <w:rPr>
          <w:rFonts w:hint="cs"/>
          <w:rtl/>
        </w:rPr>
        <w:t xml:space="preserve"> دیدگاه نمایی را، با اشاره به </w:t>
      </w:r>
      <w:r w:rsidR="0063099E" w:rsidRPr="0025250D">
        <w:rPr>
          <w:rtl/>
        </w:rPr>
        <w:t>«</w:t>
      </w:r>
      <w:r w:rsidRPr="0025250D">
        <w:rPr>
          <w:rFonts w:hint="cs"/>
          <w:rtl/>
        </w:rPr>
        <w:t>سرعت حیرت انگیز دو برابر</w:t>
      </w:r>
      <w:r w:rsidR="00E03473" w:rsidRPr="0025250D">
        <w:rPr>
          <w:rFonts w:hint="cs"/>
          <w:rtl/>
        </w:rPr>
        <w:t xml:space="preserve"> شدن</w:t>
      </w:r>
      <w:r w:rsidRPr="0025250D">
        <w:rPr>
          <w:rFonts w:hint="cs"/>
          <w:rtl/>
        </w:rPr>
        <w:t xml:space="preserve"> </w:t>
      </w:r>
      <w:r w:rsidR="007A53FD" w:rsidRPr="0025250D">
        <w:rPr>
          <w:rFonts w:hint="cs"/>
          <w:rtl/>
        </w:rPr>
        <w:t>فناور</w:t>
      </w:r>
      <w:r w:rsidR="00E03473" w:rsidRPr="0025250D">
        <w:rPr>
          <w:rFonts w:hint="cs"/>
          <w:rtl/>
        </w:rPr>
        <w:t>ی</w:t>
      </w:r>
      <w:r w:rsidR="00E03473" w:rsidRPr="0025250D">
        <w:rPr>
          <w:rStyle w:val="FootnoteReference"/>
          <w:rtl/>
        </w:rPr>
        <w:footnoteReference w:id="1613"/>
      </w:r>
      <w:r w:rsidR="0063099E" w:rsidRPr="0025250D">
        <w:rPr>
          <w:rtl/>
        </w:rPr>
        <w:t>»</w:t>
      </w:r>
      <w:r w:rsidRPr="0025250D">
        <w:rPr>
          <w:rFonts w:hint="cs"/>
          <w:rtl/>
        </w:rPr>
        <w:t xml:space="preserve"> (قانون </w:t>
      </w:r>
      <w:r w:rsidRPr="0025250D">
        <w:rPr>
          <w:rtl/>
        </w:rPr>
        <w:t>مور</w:t>
      </w:r>
      <w:r w:rsidRPr="0025250D">
        <w:rPr>
          <w:vertAlign w:val="superscript"/>
          <w:rtl/>
        </w:rPr>
        <w:footnoteReference w:id="1614"/>
      </w:r>
      <w:r w:rsidRPr="0025250D">
        <w:rPr>
          <w:rFonts w:hint="cs"/>
          <w:rtl/>
        </w:rPr>
        <w:t xml:space="preserve"> در آن زمان تنها دو سال سن داشت) به ما ارائه کردند. از بسیاری جهات، کتاب </w:t>
      </w:r>
      <w:r w:rsidR="00E03473" w:rsidRPr="0025250D">
        <w:rPr>
          <w:rFonts w:hint="cs"/>
          <w:rtl/>
        </w:rPr>
        <w:t>«</w:t>
      </w:r>
      <w:r w:rsidRPr="0025250D">
        <w:rPr>
          <w:rFonts w:hint="cs"/>
          <w:rtl/>
        </w:rPr>
        <w:t>سال 2000</w:t>
      </w:r>
      <w:r w:rsidR="00E03473" w:rsidRPr="0025250D">
        <w:rPr>
          <w:rFonts w:hint="cs"/>
          <w:rtl/>
        </w:rPr>
        <w:t>»</w:t>
      </w:r>
      <w:r w:rsidRPr="0025250D">
        <w:rPr>
          <w:rFonts w:hint="cs"/>
          <w:rtl/>
        </w:rPr>
        <w:t xml:space="preserve"> بحث </w:t>
      </w:r>
      <w:r w:rsidRPr="0025250D">
        <w:rPr>
          <w:rtl/>
        </w:rPr>
        <w:t>آلو</w:t>
      </w:r>
      <w:r w:rsidRPr="0025250D">
        <w:rPr>
          <w:rFonts w:hint="cs"/>
          <w:rtl/>
        </w:rPr>
        <w:t>ی</w:t>
      </w:r>
      <w:r w:rsidRPr="0025250D">
        <w:rPr>
          <w:rFonts w:hint="eastAsia"/>
          <w:rtl/>
        </w:rPr>
        <w:t>ن</w:t>
      </w:r>
      <w:r w:rsidRPr="0025250D">
        <w:rPr>
          <w:rtl/>
        </w:rPr>
        <w:t xml:space="preserve"> تافلر</w:t>
      </w:r>
      <w:r w:rsidRPr="0025250D">
        <w:rPr>
          <w:vertAlign w:val="superscript"/>
          <w:rtl/>
        </w:rPr>
        <w:footnoteReference w:id="1615"/>
      </w:r>
      <w:r w:rsidRPr="0025250D">
        <w:rPr>
          <w:rFonts w:hint="cs"/>
          <w:rtl/>
        </w:rPr>
        <w:t xml:space="preserve"> درمورد </w:t>
      </w:r>
      <w:r w:rsidR="00B56611" w:rsidRPr="0025250D">
        <w:rPr>
          <w:rFonts w:hint="cs"/>
          <w:rtl/>
        </w:rPr>
        <w:t>شتاب‌گیری</w:t>
      </w:r>
      <w:r w:rsidRPr="0025250D">
        <w:rPr>
          <w:rFonts w:hint="cs"/>
          <w:rtl/>
        </w:rPr>
        <w:t xml:space="preserve"> اجتماعی-فنی را در کتاب شوک آینده</w:t>
      </w:r>
      <w:r w:rsidRPr="0025250D">
        <w:rPr>
          <w:vertAlign w:val="superscript"/>
          <w:rtl/>
        </w:rPr>
        <w:footnoteReference w:id="1616"/>
      </w:r>
      <w:r w:rsidRPr="0025250D">
        <w:rPr>
          <w:rFonts w:hint="cs"/>
          <w:rtl/>
        </w:rPr>
        <w:t xml:space="preserve"> در سال 1970 </w:t>
      </w:r>
      <w:r w:rsidR="00D92F6E" w:rsidRPr="0025250D">
        <w:rPr>
          <w:rFonts w:hint="cs"/>
          <w:rtl/>
        </w:rPr>
        <w:t>پیش‌بین</w:t>
      </w:r>
      <w:r w:rsidRPr="0025250D">
        <w:rPr>
          <w:rFonts w:hint="cs"/>
          <w:rtl/>
        </w:rPr>
        <w:t xml:space="preserve">ی </w:t>
      </w:r>
      <w:r w:rsidR="00E03473" w:rsidRPr="0025250D">
        <w:rPr>
          <w:rFonts w:hint="cs"/>
          <w:rtl/>
        </w:rPr>
        <w:t>نمود</w:t>
      </w:r>
      <w:r w:rsidRPr="0025250D">
        <w:rPr>
          <w:rFonts w:hint="cs"/>
          <w:rtl/>
        </w:rPr>
        <w:t xml:space="preserve">. کان همچنین </w:t>
      </w:r>
      <w:r w:rsidR="0063099E" w:rsidRPr="0025250D">
        <w:rPr>
          <w:rtl/>
        </w:rPr>
        <w:t>«</w:t>
      </w:r>
      <w:r w:rsidRPr="0025250D">
        <w:rPr>
          <w:rFonts w:hint="cs"/>
          <w:rtl/>
        </w:rPr>
        <w:t>انفجار‌های بلند مدت</w:t>
      </w:r>
      <w:r w:rsidRPr="0025250D">
        <w:rPr>
          <w:vertAlign w:val="superscript"/>
          <w:rtl/>
        </w:rPr>
        <w:footnoteReference w:id="1617"/>
      </w:r>
      <w:r w:rsidR="0063099E" w:rsidRPr="0025250D">
        <w:rPr>
          <w:rtl/>
        </w:rPr>
        <w:t>»</w:t>
      </w:r>
      <w:r w:rsidRPr="0025250D">
        <w:rPr>
          <w:rFonts w:hint="cs"/>
          <w:rtl/>
        </w:rPr>
        <w:t xml:space="preserve"> در ثروت زایی مبتنی بر بازار یا </w:t>
      </w:r>
      <w:r w:rsidR="007A53FD" w:rsidRPr="0025250D">
        <w:rPr>
          <w:rFonts w:hint="cs"/>
          <w:rtl/>
        </w:rPr>
        <w:t>فناوری</w:t>
      </w:r>
      <w:r w:rsidRPr="0025250D">
        <w:rPr>
          <w:rFonts w:hint="cs"/>
          <w:rtl/>
        </w:rPr>
        <w:t xml:space="preserve"> را که توسط اصلاحات رکودی مختصر به‌عنوان علامت اصلی تغییر اقتصادی در قرن بیستم، تأیید می‌شد، محبوب کرد و به درستی </w:t>
      </w:r>
      <w:r w:rsidR="00D92F6E" w:rsidRPr="0025250D">
        <w:rPr>
          <w:rFonts w:hint="cs"/>
          <w:rtl/>
        </w:rPr>
        <w:t>پیش‌بین</w:t>
      </w:r>
      <w:r w:rsidRPr="0025250D">
        <w:rPr>
          <w:rFonts w:hint="cs"/>
          <w:rtl/>
        </w:rPr>
        <w:t xml:space="preserve">ی نمود. کان همچنین اصطلاح بسیار مفید </w:t>
      </w:r>
      <w:r w:rsidR="0063099E" w:rsidRPr="0025250D">
        <w:rPr>
          <w:rtl/>
        </w:rPr>
        <w:t>«</w:t>
      </w:r>
      <w:r w:rsidRPr="0025250D">
        <w:rPr>
          <w:rtl/>
        </w:rPr>
        <w:t xml:space="preserve">روند </w:t>
      </w:r>
      <w:r w:rsidR="00127288" w:rsidRPr="0025250D">
        <w:rPr>
          <w:rtl/>
        </w:rPr>
        <w:t>چندگانه</w:t>
      </w:r>
      <w:r w:rsidRPr="0025250D">
        <w:rPr>
          <w:vertAlign w:val="superscript"/>
          <w:rtl/>
        </w:rPr>
        <w:footnoteReference w:id="1618"/>
      </w:r>
      <w:r w:rsidR="0063099E" w:rsidRPr="0025250D">
        <w:rPr>
          <w:rtl/>
        </w:rPr>
        <w:t>»</w:t>
      </w:r>
      <w:r w:rsidRPr="0025250D">
        <w:rPr>
          <w:rFonts w:hint="cs"/>
          <w:rtl/>
        </w:rPr>
        <w:t xml:space="preserve"> را به ما ارائه کرد. آزاد سازی، دموکراتیک سازی، اثبات اخلاقیات و </w:t>
      </w:r>
      <w:r w:rsidR="00A936B3" w:rsidRPr="0025250D">
        <w:rPr>
          <w:rFonts w:hint="cs"/>
          <w:rtl/>
        </w:rPr>
        <w:t>همدلی</w:t>
      </w:r>
      <w:r w:rsidRPr="0025250D">
        <w:rPr>
          <w:rFonts w:hint="cs"/>
          <w:rtl/>
        </w:rPr>
        <w:t xml:space="preserve"> و شتابگیری اطلاعات، محاسبات و ثروت زایی برخی از مثال‌های شناخته شده‌تر از چنین روند‌هایی هستند، اما موارد متعدد دیگری نیز وجود دارند. می‌توانیم وقتی </w:t>
      </w:r>
      <w:r w:rsidR="00E03473" w:rsidRPr="0025250D">
        <w:rPr>
          <w:rFonts w:hint="cs"/>
          <w:rtl/>
        </w:rPr>
        <w:t xml:space="preserve">که </w:t>
      </w:r>
      <w:r w:rsidRPr="0025250D">
        <w:rPr>
          <w:rFonts w:hint="cs"/>
          <w:rtl/>
        </w:rPr>
        <w:t>یک روند مشخصا</w:t>
      </w:r>
      <w:r w:rsidR="00E03473" w:rsidRPr="0025250D">
        <w:rPr>
          <w:rFonts w:hint="cs"/>
          <w:rtl/>
        </w:rPr>
        <w:t>ً</w:t>
      </w:r>
      <w:r w:rsidRPr="0025250D">
        <w:rPr>
          <w:rFonts w:hint="cs"/>
          <w:rtl/>
        </w:rPr>
        <w:t xml:space="preserve"> ماهیتی عمومی داشته، در محیط‌های متعددی کار می‌کند و به شکل‌های متعددی (چند برابر) قابل اندازه گیری می‌باشد، آن را چند برابر بنامیم. برخی روند‌های چندبرابر به صورت تدریجی یا نمایی توسعه‌ای هستند. برخی دیگر، مانند زرسالاری و آلودگی، منحنی‌های </w:t>
      </w:r>
      <w:r w:rsidR="00B124DE" w:rsidRPr="0025250D">
        <w:rPr>
          <w:rFonts w:hint="cs"/>
          <w:rtl/>
        </w:rPr>
        <w:t>انطباق‌پذیر</w:t>
      </w:r>
      <w:r w:rsidRPr="0025250D">
        <w:rPr>
          <w:rFonts w:hint="cs"/>
          <w:rtl/>
        </w:rPr>
        <w:t xml:space="preserve"> می‌باشند. آن‌ها به شکلی قابل </w:t>
      </w:r>
      <w:r w:rsidR="00D92F6E" w:rsidRPr="0025250D">
        <w:rPr>
          <w:rFonts w:hint="cs"/>
          <w:rtl/>
        </w:rPr>
        <w:t>پیش‌بین</w:t>
      </w:r>
      <w:r w:rsidRPr="0025250D">
        <w:rPr>
          <w:rFonts w:hint="cs"/>
          <w:rtl/>
        </w:rPr>
        <w:t xml:space="preserve">ی در یک چرخه </w:t>
      </w:r>
      <w:r w:rsidRPr="0025250D">
        <w:t>U</w:t>
      </w:r>
      <w:r w:rsidRPr="0025250D">
        <w:rPr>
          <w:rFonts w:hint="cs"/>
          <w:rtl/>
        </w:rPr>
        <w:t xml:space="preserve"> شکل، در مقیاس‌های زمانی بلند مدت‌تر، در ابتدا بد‌تر شده و سپس بهتر می‌شوند.</w:t>
      </w:r>
    </w:p>
    <w:p w14:paraId="079EA3BB" w14:textId="62B31EF6" w:rsidR="00537CC8" w:rsidRPr="0025250D" w:rsidRDefault="00537CC8" w:rsidP="00537CC8">
      <w:r w:rsidRPr="0025250D">
        <w:rPr>
          <w:rFonts w:hint="cs"/>
          <w:rtl/>
        </w:rPr>
        <w:t xml:space="preserve">یک کار </w:t>
      </w:r>
      <w:r w:rsidRPr="0025250D">
        <w:rPr>
          <w:rtl/>
        </w:rPr>
        <w:t>آینده‌نگاری</w:t>
      </w:r>
      <w:r w:rsidRPr="0025250D">
        <w:rPr>
          <w:rFonts w:hint="cs"/>
          <w:rtl/>
        </w:rPr>
        <w:t xml:space="preserve"> دیگر کان، 200 سال بعد: فرانامه‌ای برای آمریکا و جهان</w:t>
      </w:r>
      <w:r w:rsidRPr="0025250D">
        <w:rPr>
          <w:vertAlign w:val="superscript"/>
          <w:rtl/>
        </w:rPr>
        <w:footnoteReference w:id="1619"/>
      </w:r>
      <w:r w:rsidRPr="0025250D">
        <w:rPr>
          <w:rFonts w:hint="cs"/>
          <w:rtl/>
        </w:rPr>
        <w:t xml:space="preserve"> در سال 1976 نیز کاملا خردمندانه است. او روند‌های فناورانه و اجتماعی متعددی را مشخص می‌کند، برای مثال به شکل صحیحی یک کاهش 500 برابری در هزینه تولید پنل‌های فوتوولتائیک خورشیدی را تا دهه 2020 </w:t>
      </w:r>
      <w:r w:rsidR="00D92F6E" w:rsidRPr="0025250D">
        <w:rPr>
          <w:rFonts w:hint="cs"/>
          <w:rtl/>
        </w:rPr>
        <w:t>پیش‌بین</w:t>
      </w:r>
      <w:r w:rsidRPr="0025250D">
        <w:rPr>
          <w:rFonts w:hint="cs"/>
          <w:rtl/>
        </w:rPr>
        <w:t xml:space="preserve">ی می‌کند. دیدگاه تصویر کلان او از روند‌های </w:t>
      </w:r>
      <w:r w:rsidR="00127288" w:rsidRPr="0025250D">
        <w:rPr>
          <w:rFonts w:hint="cs"/>
          <w:rtl/>
        </w:rPr>
        <w:t>چندگانه</w:t>
      </w:r>
      <w:r w:rsidRPr="0025250D">
        <w:rPr>
          <w:rFonts w:hint="cs"/>
          <w:rtl/>
        </w:rPr>
        <w:t xml:space="preserve"> از خیلی جهات حتی بهتر</w:t>
      </w:r>
      <w:r w:rsidR="00E03473" w:rsidRPr="0025250D">
        <w:rPr>
          <w:rFonts w:hint="cs"/>
          <w:rtl/>
        </w:rPr>
        <w:t xml:space="preserve"> بود</w:t>
      </w:r>
      <w:r w:rsidRPr="0025250D">
        <w:rPr>
          <w:rFonts w:hint="cs"/>
          <w:rtl/>
        </w:rPr>
        <w:t xml:space="preserve"> و </w:t>
      </w:r>
      <w:r w:rsidR="00E03473" w:rsidRPr="0025250D">
        <w:rPr>
          <w:rFonts w:hint="cs"/>
          <w:rtl/>
        </w:rPr>
        <w:t xml:space="preserve">اتکای بیشتری بر </w:t>
      </w:r>
      <w:r w:rsidRPr="0025250D">
        <w:rPr>
          <w:rFonts w:hint="cs"/>
          <w:rtl/>
        </w:rPr>
        <w:t xml:space="preserve">شواهد </w:t>
      </w:r>
      <w:r w:rsidR="00E03473" w:rsidRPr="0025250D">
        <w:rPr>
          <w:rFonts w:hint="cs"/>
          <w:rtl/>
        </w:rPr>
        <w:t>نسبت به</w:t>
      </w:r>
      <w:r w:rsidRPr="0025250D">
        <w:rPr>
          <w:rFonts w:hint="cs"/>
          <w:rtl/>
        </w:rPr>
        <w:t xml:space="preserve"> </w:t>
      </w:r>
      <w:r w:rsidRPr="0025250D">
        <w:rPr>
          <w:rtl/>
        </w:rPr>
        <w:t>تافلر</w:t>
      </w:r>
      <w:r w:rsidRPr="0025250D">
        <w:rPr>
          <w:rFonts w:hint="cs"/>
          <w:rtl/>
        </w:rPr>
        <w:t xml:space="preserve"> </w:t>
      </w:r>
      <w:r w:rsidR="00E03473" w:rsidRPr="0025250D">
        <w:rPr>
          <w:rFonts w:hint="cs"/>
          <w:rtl/>
        </w:rPr>
        <w:t>داشت</w:t>
      </w:r>
      <w:r w:rsidRPr="0025250D">
        <w:rPr>
          <w:rFonts w:hint="cs"/>
          <w:rtl/>
        </w:rPr>
        <w:t xml:space="preserve">. برای مرورهای اخیر خوب از پیشران‌ها و پیامدهای تغییر </w:t>
      </w:r>
      <w:r w:rsidR="007B3B35" w:rsidRPr="0025250D">
        <w:rPr>
          <w:rFonts w:hint="cs"/>
          <w:rtl/>
        </w:rPr>
        <w:t>شتاب‌گیر</w:t>
      </w:r>
      <w:r w:rsidRPr="0025250D">
        <w:rPr>
          <w:rFonts w:hint="cs"/>
          <w:rtl/>
        </w:rPr>
        <w:t xml:space="preserve">نده، کتاب </w:t>
      </w:r>
      <w:r w:rsidRPr="0025250D">
        <w:rPr>
          <w:rtl/>
        </w:rPr>
        <w:t>فراوان</w:t>
      </w:r>
      <w:r w:rsidRPr="0025250D">
        <w:rPr>
          <w:rFonts w:hint="cs"/>
          <w:rtl/>
        </w:rPr>
        <w:t>ی</w:t>
      </w:r>
      <w:r w:rsidRPr="0025250D">
        <w:rPr>
          <w:vertAlign w:val="superscript"/>
          <w:rtl/>
        </w:rPr>
        <w:footnoteReference w:id="1620"/>
      </w:r>
      <w:r w:rsidRPr="0025250D">
        <w:rPr>
          <w:rFonts w:hint="cs"/>
          <w:rtl/>
        </w:rPr>
        <w:t xml:space="preserve"> اثر </w:t>
      </w:r>
      <w:r w:rsidRPr="0025250D">
        <w:rPr>
          <w:rtl/>
        </w:rPr>
        <w:t>د</w:t>
      </w:r>
      <w:r w:rsidRPr="0025250D">
        <w:rPr>
          <w:rFonts w:hint="cs"/>
          <w:rtl/>
        </w:rPr>
        <w:t>ی</w:t>
      </w:r>
      <w:r w:rsidRPr="0025250D">
        <w:rPr>
          <w:rFonts w:hint="eastAsia"/>
          <w:rtl/>
        </w:rPr>
        <w:t>اماند</w:t>
      </w:r>
      <w:r w:rsidRPr="0025250D">
        <w:rPr>
          <w:rFonts w:hint="cs"/>
          <w:rtl/>
        </w:rPr>
        <w:t>ی</w:t>
      </w:r>
      <w:r w:rsidRPr="0025250D">
        <w:rPr>
          <w:rFonts w:hint="eastAsia"/>
          <w:rtl/>
        </w:rPr>
        <w:t>س</w:t>
      </w:r>
      <w:r w:rsidRPr="0025250D">
        <w:rPr>
          <w:rFonts w:hint="cs"/>
          <w:rtl/>
        </w:rPr>
        <w:t xml:space="preserve"> و </w:t>
      </w:r>
      <w:r w:rsidRPr="0025250D">
        <w:rPr>
          <w:rtl/>
        </w:rPr>
        <w:t>کاتلر</w:t>
      </w:r>
      <w:r w:rsidRPr="0025250D">
        <w:rPr>
          <w:rFonts w:hint="cs"/>
          <w:rtl/>
        </w:rPr>
        <w:t xml:space="preserve"> در سال 2014، </w:t>
      </w:r>
      <w:r w:rsidRPr="0025250D">
        <w:rPr>
          <w:rtl/>
        </w:rPr>
        <w:t>ماش</w:t>
      </w:r>
      <w:r w:rsidRPr="0025250D">
        <w:rPr>
          <w:rFonts w:hint="cs"/>
          <w:rtl/>
        </w:rPr>
        <w:t>ی</w:t>
      </w:r>
      <w:r w:rsidRPr="0025250D">
        <w:rPr>
          <w:rFonts w:hint="eastAsia"/>
          <w:rtl/>
        </w:rPr>
        <w:t>ن،</w:t>
      </w:r>
      <w:r w:rsidRPr="0025250D">
        <w:rPr>
          <w:rtl/>
        </w:rPr>
        <w:t xml:space="preserve"> پلت فرم، جمع</w:t>
      </w:r>
      <w:r w:rsidRPr="0025250D">
        <w:rPr>
          <w:rFonts w:hint="cs"/>
          <w:rtl/>
        </w:rPr>
        <w:t>ی</w:t>
      </w:r>
      <w:r w:rsidRPr="0025250D">
        <w:rPr>
          <w:rFonts w:hint="eastAsia"/>
          <w:rtl/>
        </w:rPr>
        <w:t>ت</w:t>
      </w:r>
      <w:r w:rsidRPr="0025250D">
        <w:rPr>
          <w:vertAlign w:val="superscript"/>
          <w:rtl/>
        </w:rPr>
        <w:footnoteReference w:id="1621"/>
      </w:r>
      <w:r w:rsidRPr="0025250D">
        <w:rPr>
          <w:rFonts w:hint="cs"/>
          <w:rtl/>
        </w:rPr>
        <w:t xml:space="preserve"> اثر </w:t>
      </w:r>
      <w:r w:rsidRPr="0025250D">
        <w:rPr>
          <w:rtl/>
        </w:rPr>
        <w:t>مک آف</w:t>
      </w:r>
      <w:r w:rsidRPr="0025250D">
        <w:rPr>
          <w:rFonts w:hint="cs"/>
          <w:rtl/>
        </w:rPr>
        <w:t xml:space="preserve">ی و </w:t>
      </w:r>
      <w:r w:rsidRPr="0025250D">
        <w:rPr>
          <w:rtl/>
        </w:rPr>
        <w:t>بر</w:t>
      </w:r>
      <w:r w:rsidRPr="0025250D">
        <w:rPr>
          <w:rFonts w:hint="cs"/>
          <w:rtl/>
        </w:rPr>
        <w:t>ی</w:t>
      </w:r>
      <w:r w:rsidRPr="0025250D">
        <w:rPr>
          <w:rFonts w:hint="eastAsia"/>
          <w:rtl/>
        </w:rPr>
        <w:t>ن</w:t>
      </w:r>
      <w:r w:rsidRPr="0025250D">
        <w:rPr>
          <w:rFonts w:hint="cs"/>
          <w:rtl/>
        </w:rPr>
        <w:t>ی</w:t>
      </w:r>
      <w:r w:rsidRPr="0025250D">
        <w:rPr>
          <w:rFonts w:hint="eastAsia"/>
          <w:rtl/>
        </w:rPr>
        <w:t>ولفسون</w:t>
      </w:r>
      <w:r w:rsidRPr="0025250D">
        <w:rPr>
          <w:vertAlign w:val="superscript"/>
          <w:rtl/>
        </w:rPr>
        <w:footnoteReference w:id="1622"/>
      </w:r>
      <w:r w:rsidRPr="0025250D">
        <w:rPr>
          <w:rFonts w:hint="cs"/>
          <w:rtl/>
        </w:rPr>
        <w:t xml:space="preserve"> در سال 2017، </w:t>
      </w:r>
      <w:r w:rsidRPr="0025250D">
        <w:rPr>
          <w:rtl/>
        </w:rPr>
        <w:t xml:space="preserve">فرشتگان بهتر </w:t>
      </w:r>
      <w:r w:rsidRPr="0025250D">
        <w:rPr>
          <w:rFonts w:hint="cs"/>
          <w:rtl/>
        </w:rPr>
        <w:t xml:space="preserve">از </w:t>
      </w:r>
      <w:r w:rsidRPr="0025250D">
        <w:rPr>
          <w:rtl/>
        </w:rPr>
        <w:t>طب</w:t>
      </w:r>
      <w:r w:rsidRPr="0025250D">
        <w:rPr>
          <w:rFonts w:hint="cs"/>
          <w:rtl/>
        </w:rPr>
        <w:t>ی</w:t>
      </w:r>
      <w:r w:rsidRPr="0025250D">
        <w:rPr>
          <w:rFonts w:hint="eastAsia"/>
          <w:rtl/>
        </w:rPr>
        <w:t>عت</w:t>
      </w:r>
      <w:r w:rsidRPr="0025250D">
        <w:rPr>
          <w:rtl/>
        </w:rPr>
        <w:t xml:space="preserve"> ما</w:t>
      </w:r>
      <w:r w:rsidRPr="0025250D">
        <w:rPr>
          <w:vertAlign w:val="superscript"/>
          <w:rtl/>
        </w:rPr>
        <w:footnoteReference w:id="1623"/>
      </w:r>
      <w:r w:rsidRPr="0025250D">
        <w:rPr>
          <w:rFonts w:hint="cs"/>
          <w:rtl/>
        </w:rPr>
        <w:t xml:space="preserve"> اثر </w:t>
      </w:r>
      <w:r w:rsidRPr="0025250D">
        <w:rPr>
          <w:rtl/>
        </w:rPr>
        <w:t>است</w:t>
      </w:r>
      <w:r w:rsidRPr="0025250D">
        <w:rPr>
          <w:rFonts w:hint="cs"/>
          <w:rtl/>
        </w:rPr>
        <w:t>ی</w:t>
      </w:r>
      <w:r w:rsidRPr="0025250D">
        <w:rPr>
          <w:rFonts w:hint="eastAsia"/>
          <w:rtl/>
        </w:rPr>
        <w:t>ون</w:t>
      </w:r>
      <w:r w:rsidRPr="0025250D">
        <w:rPr>
          <w:rtl/>
        </w:rPr>
        <w:t xml:space="preserve"> پ</w:t>
      </w:r>
      <w:r w:rsidRPr="0025250D">
        <w:rPr>
          <w:rFonts w:hint="cs"/>
          <w:rtl/>
        </w:rPr>
        <w:t>ی</w:t>
      </w:r>
      <w:r w:rsidRPr="0025250D">
        <w:rPr>
          <w:rFonts w:hint="eastAsia"/>
          <w:rtl/>
        </w:rPr>
        <w:t>نکر</w:t>
      </w:r>
      <w:r w:rsidRPr="0025250D">
        <w:rPr>
          <w:vertAlign w:val="superscript"/>
          <w:rtl/>
        </w:rPr>
        <w:footnoteReference w:id="1624"/>
      </w:r>
      <w:r w:rsidRPr="0025250D">
        <w:rPr>
          <w:rFonts w:hint="cs"/>
          <w:rtl/>
        </w:rPr>
        <w:t xml:space="preserve"> در سال 2012، </w:t>
      </w:r>
      <w:r w:rsidRPr="0025250D">
        <w:rPr>
          <w:rtl/>
        </w:rPr>
        <w:t>واقع</w:t>
      </w:r>
      <w:r w:rsidRPr="0025250D">
        <w:rPr>
          <w:rFonts w:hint="cs"/>
          <w:rtl/>
        </w:rPr>
        <w:t>ی</w:t>
      </w:r>
      <w:r w:rsidRPr="0025250D">
        <w:rPr>
          <w:rFonts w:hint="eastAsia"/>
          <w:rtl/>
        </w:rPr>
        <w:t>ت</w:t>
      </w:r>
      <w:r w:rsidRPr="0025250D">
        <w:rPr>
          <w:rtl/>
        </w:rPr>
        <w:t xml:space="preserve"> گرا</w:t>
      </w:r>
      <w:r w:rsidRPr="0025250D">
        <w:rPr>
          <w:rFonts w:hint="cs"/>
          <w:rtl/>
        </w:rPr>
        <w:t>یی</w:t>
      </w:r>
      <w:r w:rsidRPr="0025250D">
        <w:rPr>
          <w:vertAlign w:val="superscript"/>
          <w:rtl/>
        </w:rPr>
        <w:footnoteReference w:id="1625"/>
      </w:r>
      <w:r w:rsidRPr="0025250D">
        <w:rPr>
          <w:rFonts w:hint="cs"/>
          <w:rtl/>
        </w:rPr>
        <w:t xml:space="preserve"> اثر </w:t>
      </w:r>
      <w:r w:rsidRPr="0025250D">
        <w:rPr>
          <w:rtl/>
        </w:rPr>
        <w:t>هانس روسل</w:t>
      </w:r>
      <w:r w:rsidRPr="0025250D">
        <w:rPr>
          <w:rFonts w:hint="cs"/>
          <w:rtl/>
        </w:rPr>
        <w:t>ی</w:t>
      </w:r>
      <w:r w:rsidRPr="0025250D">
        <w:rPr>
          <w:rFonts w:hint="eastAsia"/>
          <w:rtl/>
        </w:rPr>
        <w:t>نگ</w:t>
      </w:r>
      <w:r w:rsidRPr="0025250D">
        <w:rPr>
          <w:vertAlign w:val="superscript"/>
          <w:rtl/>
        </w:rPr>
        <w:footnoteReference w:id="1626"/>
      </w:r>
      <w:r w:rsidR="008D6F97" w:rsidRPr="0025250D">
        <w:rPr>
          <w:rtl/>
        </w:rPr>
        <w:t xml:space="preserve"> </w:t>
      </w:r>
      <w:r w:rsidRPr="0025250D">
        <w:rPr>
          <w:rFonts w:hint="cs"/>
          <w:rtl/>
        </w:rPr>
        <w:t>در سال 2018 و کتاب‌های دیگری در فهرست کتاب‌ها</w:t>
      </w:r>
      <w:r w:rsidR="00E03473" w:rsidRPr="0025250D">
        <w:rPr>
          <w:rFonts w:hint="cs"/>
          <w:rtl/>
        </w:rPr>
        <w:t xml:space="preserve"> </w:t>
      </w:r>
      <w:r w:rsidRPr="0025250D">
        <w:rPr>
          <w:rFonts w:hint="cs"/>
          <w:rtl/>
        </w:rPr>
        <w:t>در پیوست 3 را پیشنهاد می‌کنیم.</w:t>
      </w:r>
    </w:p>
    <w:p w14:paraId="6BFBE671" w14:textId="2CDC1077" w:rsidR="00537CC8" w:rsidRPr="0025250D" w:rsidRDefault="00537CC8" w:rsidP="00537CC8">
      <w:pPr>
        <w:rPr>
          <w:rtl/>
        </w:rPr>
      </w:pPr>
      <w:r w:rsidRPr="0025250D">
        <w:rPr>
          <w:rFonts w:hint="cs"/>
          <w:rtl/>
        </w:rPr>
        <w:t xml:space="preserve">البته که </w:t>
      </w:r>
      <w:r w:rsidRPr="0025250D">
        <w:rPr>
          <w:rtl/>
        </w:rPr>
        <w:t>کان</w:t>
      </w:r>
      <w:r w:rsidRPr="0025250D">
        <w:rPr>
          <w:rFonts w:hint="cs"/>
          <w:rtl/>
        </w:rPr>
        <w:t xml:space="preserve"> هم اشتباهاتی دارد. او بیش از حد مسائل زیست محیطی و آلودگی و چالش‌های سیاسی توسعه اقتصادی را ساده سازی می‌کند. یکی از اصلی‌ترین</w:t>
      </w:r>
      <w:r w:rsidR="008D6F97" w:rsidRPr="0025250D">
        <w:rPr>
          <w:rtl/>
        </w:rPr>
        <w:t xml:space="preserve"> </w:t>
      </w:r>
      <w:r w:rsidRPr="0025250D">
        <w:rPr>
          <w:rFonts w:hint="cs"/>
          <w:rtl/>
        </w:rPr>
        <w:t xml:space="preserve">اشتباهات </w:t>
      </w:r>
      <w:r w:rsidR="00923DDB" w:rsidRPr="0025250D">
        <w:rPr>
          <w:rFonts w:hint="cs"/>
          <w:rtl/>
        </w:rPr>
        <w:t>پیش‌انگاری</w:t>
      </w:r>
      <w:r w:rsidRPr="0025250D">
        <w:rPr>
          <w:rFonts w:hint="cs"/>
          <w:rtl/>
        </w:rPr>
        <w:t xml:space="preserve"> او در دامنه اقتصاد، فرضیه و منحنی ترسیم شده او در کتاب 200 سال بعد بود که به این فرضیه اشاره داشت که رشد اقتصادی جهانی باید در نهایت اشباع شود، تنها به این دلیل که رشد جمعیت انسان در جهان اشباع می‌شود و سپس با توسعه اقتصاد‌ها کاهش یابد. تیم او به درستی اشباع شدن جمعیت جهان را خیلی زود </w:t>
      </w:r>
      <w:r w:rsidR="00D92F6E" w:rsidRPr="0025250D">
        <w:rPr>
          <w:rFonts w:hint="cs"/>
          <w:rtl/>
        </w:rPr>
        <w:t>پیش‌بین</w:t>
      </w:r>
      <w:r w:rsidRPr="0025250D">
        <w:rPr>
          <w:rFonts w:hint="cs"/>
          <w:rtl/>
        </w:rPr>
        <w:t>ی کردند</w:t>
      </w:r>
      <w:r w:rsidR="008D6F97" w:rsidRPr="0025250D">
        <w:rPr>
          <w:rtl/>
        </w:rPr>
        <w:t xml:space="preserve">؛ </w:t>
      </w:r>
      <w:r w:rsidRPr="0025250D">
        <w:rPr>
          <w:rFonts w:hint="cs"/>
          <w:rtl/>
        </w:rPr>
        <w:t xml:space="preserve">اما مانند بیش‌تر اقتصاد دانان، جامعه شناسان و سیاست گذاران امروزی، او به اشتباه فرض کرد که تنها مردم ثروت اقتصادی ایجاد می‌کنند، بجای این که پویایی عمیق‌تر و فراگیر‌تر ایجاد ارزش </w:t>
      </w:r>
      <w:r w:rsidR="007B3B35" w:rsidRPr="0025250D">
        <w:rPr>
          <w:rFonts w:hint="cs"/>
          <w:rtl/>
        </w:rPr>
        <w:t>شتاب‌گیر</w:t>
      </w:r>
      <w:r w:rsidRPr="0025250D">
        <w:rPr>
          <w:rFonts w:hint="cs"/>
          <w:rtl/>
        </w:rPr>
        <w:t xml:space="preserve">نده در همه شبکه‌های پیچیده </w:t>
      </w:r>
      <w:r w:rsidR="00B124DE" w:rsidRPr="0025250D">
        <w:rPr>
          <w:rFonts w:hint="cs"/>
          <w:rtl/>
        </w:rPr>
        <w:t>انطباق‌پذیر</w:t>
      </w:r>
      <w:r w:rsidRPr="0025250D">
        <w:rPr>
          <w:rFonts w:hint="cs"/>
          <w:rtl/>
        </w:rPr>
        <w:t xml:space="preserve">، اعم از انسانی، اکولوژیکی و ماشینی را تشخیص دهد. به طور مشخص، </w:t>
      </w:r>
      <w:r w:rsidRPr="0025250D">
        <w:rPr>
          <w:rtl/>
        </w:rPr>
        <w:t>کان</w:t>
      </w:r>
      <w:r w:rsidRPr="0025250D">
        <w:rPr>
          <w:rFonts w:hint="cs"/>
          <w:rtl/>
        </w:rPr>
        <w:t xml:space="preserve"> روند‌های </w:t>
      </w:r>
      <w:r w:rsidR="00127288" w:rsidRPr="0025250D">
        <w:rPr>
          <w:rFonts w:hint="cs"/>
          <w:rtl/>
        </w:rPr>
        <w:t>چندگانه</w:t>
      </w:r>
      <w:r w:rsidRPr="0025250D">
        <w:rPr>
          <w:rFonts w:hint="cs"/>
          <w:rtl/>
        </w:rPr>
        <w:t xml:space="preserve"> متراکم سازی و </w:t>
      </w:r>
      <w:r w:rsidR="000B4A71" w:rsidRPr="0025250D">
        <w:rPr>
          <w:rFonts w:hint="cs"/>
          <w:rtl/>
        </w:rPr>
        <w:t>مادی‌زدایی</w:t>
      </w:r>
      <w:r w:rsidRPr="0025250D">
        <w:rPr>
          <w:rFonts w:hint="cs"/>
          <w:rtl/>
        </w:rPr>
        <w:t xml:space="preserve"> را حتی با این که مدارکی برای آن‌ها تا اوایل دهه 1960 وجود داشت ندید. این روند‌ها به ما می‌گویند که رشد اقتصادی به شکل فزاینده‌ای مبتنی بر دانش و بیت‌های اطلاعاتی می‌شود، نه اتم‌ها و بنابراین به شکل فزاینده‌ای از محدودیت‌های منابع محلی برای رشد خود خارج می‌شود. اگر یک محدودیت رشد اقتصادی در پیش باشد، به شکل غافل گیر کننده‌ای کوتاه بوده و سپس حتی سریع‌تر از قبل در اقتصاد مبتنی بر هوش مصنوعی و پسا</w:t>
      </w:r>
      <w:r w:rsidR="00127288" w:rsidRPr="0025250D">
        <w:rPr>
          <w:rFonts w:hint="cs"/>
          <w:rtl/>
        </w:rPr>
        <w:t>زیستی</w:t>
      </w:r>
      <w:r w:rsidRPr="0025250D">
        <w:rPr>
          <w:vertAlign w:val="superscript"/>
          <w:rtl/>
        </w:rPr>
        <w:footnoteReference w:id="1627"/>
      </w:r>
      <w:r w:rsidRPr="0025250D">
        <w:rPr>
          <w:rFonts w:hint="cs"/>
          <w:rtl/>
        </w:rPr>
        <w:t xml:space="preserve"> آینده شتاب می‌گیرد.</w:t>
      </w:r>
    </w:p>
    <w:p w14:paraId="39C47D65" w14:textId="1ED6E01E" w:rsidR="00537CC8" w:rsidRPr="0025250D" w:rsidRDefault="00537CC8" w:rsidP="00537CC8">
      <w:pPr>
        <w:rPr>
          <w:rtl/>
        </w:rPr>
      </w:pPr>
      <w:r w:rsidRPr="0025250D">
        <w:rPr>
          <w:rFonts w:hint="cs"/>
          <w:rtl/>
        </w:rPr>
        <w:t>به بیان دیگر، از زمان انقلاب اطلاعاتی، سریع‌ترین</w:t>
      </w:r>
      <w:r w:rsidR="008D6F97" w:rsidRPr="0025250D">
        <w:rPr>
          <w:rtl/>
        </w:rPr>
        <w:t xml:space="preserve"> </w:t>
      </w:r>
      <w:r w:rsidRPr="0025250D">
        <w:rPr>
          <w:rFonts w:hint="cs"/>
          <w:rtl/>
        </w:rPr>
        <w:t xml:space="preserve">رشد ایجاد ارزش اقتصادی حاشیه‌ای بشر به شکل فزاینده‌ای تحت تأثیر پیشرفت‌های ما در ظرفیت و یادگیری ماشین‌ها و ارتباطات، نیاز‌ها و آرمان‌های ماشین به ماشین بوده است، نه تحت تاثیر نیاز‌ها و آرمان‌های </w:t>
      </w:r>
      <w:r w:rsidR="0044659F" w:rsidRPr="0025250D">
        <w:rPr>
          <w:rFonts w:hint="cs"/>
          <w:rtl/>
        </w:rPr>
        <w:t>زیستی</w:t>
      </w:r>
      <w:r w:rsidRPr="0025250D">
        <w:rPr>
          <w:rFonts w:hint="cs"/>
          <w:rtl/>
        </w:rPr>
        <w:t xml:space="preserve"> انسانی ما. به دلیل متراکم سازی و </w:t>
      </w:r>
      <w:r w:rsidR="000B4A71" w:rsidRPr="0025250D">
        <w:rPr>
          <w:rFonts w:hint="cs"/>
          <w:rtl/>
        </w:rPr>
        <w:t>مادی‌زدایی</w:t>
      </w:r>
      <w:r w:rsidRPr="0025250D">
        <w:rPr>
          <w:rFonts w:hint="cs"/>
          <w:rtl/>
        </w:rPr>
        <w:t>، مرز تمدن باید به شکل فزاینده‌ای وارد فضای داخلی</w:t>
      </w:r>
      <w:r w:rsidRPr="0025250D">
        <w:rPr>
          <w:vertAlign w:val="superscript"/>
          <w:rtl/>
        </w:rPr>
        <w:footnoteReference w:id="1628"/>
      </w:r>
      <w:r w:rsidR="00E03473" w:rsidRPr="0025250D">
        <w:rPr>
          <w:rFonts w:hint="cs"/>
          <w:rtl/>
        </w:rPr>
        <w:t xml:space="preserve"> به معنای</w:t>
      </w:r>
      <w:r w:rsidRPr="0025250D">
        <w:rPr>
          <w:rFonts w:hint="cs"/>
          <w:rtl/>
        </w:rPr>
        <w:t xml:space="preserve"> مقیاس‌های هرچه کوچکتر از پیچیدگی فضا، زمان، انرژی و ماده شود</w:t>
      </w:r>
      <w:r w:rsidR="008D6F97" w:rsidRPr="0025250D">
        <w:rPr>
          <w:rtl/>
        </w:rPr>
        <w:t xml:space="preserve"> </w:t>
      </w:r>
      <w:r w:rsidRPr="0025250D">
        <w:rPr>
          <w:rFonts w:hint="cs"/>
          <w:rtl/>
        </w:rPr>
        <w:t>تا ارزش ایجاد کند. هم</w:t>
      </w:r>
      <w:r w:rsidR="008F0DD8" w:rsidRPr="0025250D">
        <w:rPr>
          <w:rFonts w:hint="cs"/>
          <w:rtl/>
        </w:rPr>
        <w:t>آن‌قدر</w:t>
      </w:r>
      <w:r w:rsidRPr="0025250D">
        <w:rPr>
          <w:rFonts w:hint="cs"/>
          <w:rtl/>
        </w:rPr>
        <w:t xml:space="preserve"> که عجیب به نظر می‌رسد، رشد اقتصادی، درست مانند ظرفیت اطلاعاتی و محاسباتی و هوشی در آینده قابل </w:t>
      </w:r>
      <w:r w:rsidR="00D92F6E" w:rsidRPr="0025250D">
        <w:rPr>
          <w:rFonts w:hint="cs"/>
          <w:rtl/>
        </w:rPr>
        <w:t>پیش‌بین</w:t>
      </w:r>
      <w:r w:rsidRPr="0025250D">
        <w:rPr>
          <w:rFonts w:hint="cs"/>
          <w:rtl/>
        </w:rPr>
        <w:t>ی، نه تنها نمایی، بلکه در حقیقت فوق نمایی</w:t>
      </w:r>
      <w:r w:rsidRPr="0025250D">
        <w:rPr>
          <w:vertAlign w:val="superscript"/>
          <w:rtl/>
        </w:rPr>
        <w:footnoteReference w:id="1629"/>
      </w:r>
      <w:r w:rsidRPr="0025250D">
        <w:rPr>
          <w:rFonts w:hint="cs"/>
          <w:rtl/>
        </w:rPr>
        <w:t xml:space="preserve"> باقی می‌ماند.</w:t>
      </w:r>
    </w:p>
    <w:p w14:paraId="420B5C17" w14:textId="6AFB9F78" w:rsidR="00537CC8" w:rsidRPr="0025250D" w:rsidRDefault="00537CC8" w:rsidP="00537CC8">
      <w:pPr>
        <w:rPr>
          <w:rtl/>
        </w:rPr>
      </w:pPr>
      <w:r w:rsidRPr="0025250D">
        <w:rPr>
          <w:rFonts w:hint="cs"/>
          <w:rtl/>
        </w:rPr>
        <w:t>اکنون می‌توانیم ببینیم که هوش عالی بعدی ما و جبهه‌های عملی ما، مانند محاسبات کوانتومی و نانو</w:t>
      </w:r>
      <w:r w:rsidR="007A53FD" w:rsidRPr="0025250D">
        <w:rPr>
          <w:rFonts w:hint="cs"/>
          <w:rtl/>
        </w:rPr>
        <w:t>فناوری</w:t>
      </w:r>
      <w:r w:rsidRPr="0025250D">
        <w:rPr>
          <w:rFonts w:hint="cs"/>
          <w:rtl/>
        </w:rPr>
        <w:t xml:space="preserve">، عملا به هیچ منبع فیزیکی برای پدیدار شدن و ادامه </w:t>
      </w:r>
      <w:r w:rsidR="00B56611" w:rsidRPr="0025250D">
        <w:rPr>
          <w:rFonts w:hint="cs"/>
          <w:rtl/>
        </w:rPr>
        <w:t>شتاب‌گیری</w:t>
      </w:r>
      <w:r w:rsidRPr="0025250D">
        <w:rPr>
          <w:rFonts w:hint="cs"/>
          <w:rtl/>
        </w:rPr>
        <w:t xml:space="preserve"> خود نیاز ندارند. آنچه آن‌ها حقیقتا نیاز دارند یک هوش شبکه‌ای خوش ساخت برای راهنمایی توسعه تکاملی آن‌ها در شبیه سازی‌ها است. چالش بزرگ ما بهتر دیدن، توسعه و راهنمایی اخلاق شبکه و </w:t>
      </w:r>
      <w:r w:rsidR="00A936B3" w:rsidRPr="0025250D">
        <w:rPr>
          <w:rFonts w:hint="cs"/>
          <w:rtl/>
        </w:rPr>
        <w:t>همدلی</w:t>
      </w:r>
      <w:r w:rsidRPr="0025250D">
        <w:rPr>
          <w:rFonts w:hint="cs"/>
          <w:rtl/>
        </w:rPr>
        <w:t xml:space="preserve"> مورد نیاز برای انسانی سازی این آینده </w:t>
      </w:r>
      <w:r w:rsidR="007B3B35" w:rsidRPr="0025250D">
        <w:rPr>
          <w:rFonts w:hint="cs"/>
          <w:rtl/>
        </w:rPr>
        <w:t>شتاب‌گیر</w:t>
      </w:r>
      <w:r w:rsidRPr="0025250D">
        <w:rPr>
          <w:rFonts w:hint="cs"/>
          <w:rtl/>
        </w:rPr>
        <w:t>نده است.</w:t>
      </w:r>
    </w:p>
    <w:p w14:paraId="48D8B45F" w14:textId="45F9901B" w:rsidR="00537CC8" w:rsidRPr="0025250D" w:rsidRDefault="00537CC8" w:rsidP="00537CC8">
      <w:pPr>
        <w:rPr>
          <w:rtl/>
        </w:rPr>
      </w:pPr>
      <w:r w:rsidRPr="0025250D">
        <w:rPr>
          <w:rFonts w:hint="cs"/>
          <w:rtl/>
        </w:rPr>
        <w:t>به صورت انفرادی، هیچ یک از ما</w:t>
      </w:r>
      <w:r w:rsidR="00EE4B64" w:rsidRPr="0025250D">
        <w:rPr>
          <w:rFonts w:hint="cs"/>
          <w:rtl/>
        </w:rPr>
        <w:t xml:space="preserve"> نمی‌</w:t>
      </w:r>
      <w:r w:rsidRPr="0025250D">
        <w:rPr>
          <w:rFonts w:hint="cs"/>
          <w:rtl/>
        </w:rPr>
        <w:t xml:space="preserve">توانیم پیش انگار‌هایی کامل باشیم. ما همگی </w:t>
      </w:r>
      <w:r w:rsidRPr="0025250D">
        <w:rPr>
          <w:rtl/>
        </w:rPr>
        <w:t>خطاپذ</w:t>
      </w:r>
      <w:r w:rsidRPr="0025250D">
        <w:rPr>
          <w:rFonts w:hint="cs"/>
          <w:rtl/>
        </w:rPr>
        <w:t>ی</w:t>
      </w:r>
      <w:r w:rsidRPr="0025250D">
        <w:rPr>
          <w:rFonts w:hint="eastAsia"/>
          <w:rtl/>
        </w:rPr>
        <w:t>ر</w:t>
      </w:r>
      <w:r w:rsidRPr="0025250D">
        <w:rPr>
          <w:rFonts w:hint="cs"/>
          <w:rtl/>
        </w:rPr>
        <w:t xml:space="preserve"> هستیم. برای مثال، درمورد </w:t>
      </w:r>
      <w:r w:rsidRPr="0025250D">
        <w:rPr>
          <w:rtl/>
        </w:rPr>
        <w:t>ر</w:t>
      </w:r>
      <w:r w:rsidRPr="0025250D">
        <w:rPr>
          <w:rFonts w:hint="cs"/>
          <w:rtl/>
        </w:rPr>
        <w:t>ی</w:t>
      </w:r>
      <w:r w:rsidRPr="0025250D">
        <w:rPr>
          <w:rtl/>
        </w:rPr>
        <w:t xml:space="preserve"> کورزو</w:t>
      </w:r>
      <w:r w:rsidRPr="0025250D">
        <w:rPr>
          <w:rFonts w:hint="cs"/>
          <w:rtl/>
        </w:rPr>
        <w:t>ی</w:t>
      </w:r>
      <w:r w:rsidRPr="0025250D">
        <w:rPr>
          <w:rFonts w:hint="eastAsia"/>
          <w:rtl/>
        </w:rPr>
        <w:t>ل</w:t>
      </w:r>
      <w:r w:rsidRPr="0025250D">
        <w:rPr>
          <w:vertAlign w:val="superscript"/>
          <w:rtl/>
        </w:rPr>
        <w:footnoteReference w:id="1630"/>
      </w:r>
      <w:r w:rsidRPr="0025250D">
        <w:rPr>
          <w:rFonts w:hint="cs"/>
          <w:rtl/>
        </w:rPr>
        <w:t xml:space="preserve">، آینده‌پژوه </w:t>
      </w:r>
      <w:r w:rsidR="007A53FD" w:rsidRPr="0025250D">
        <w:rPr>
          <w:rFonts w:hint="cs"/>
          <w:rtl/>
        </w:rPr>
        <w:t>فناوری</w:t>
      </w:r>
      <w:r w:rsidRPr="0025250D">
        <w:rPr>
          <w:rFonts w:hint="cs"/>
          <w:rtl/>
        </w:rPr>
        <w:t xml:space="preserve">، عمیقا بیش‌تر </w:t>
      </w:r>
      <w:r w:rsidR="00D92F6E" w:rsidRPr="0025250D">
        <w:rPr>
          <w:rFonts w:hint="cs"/>
          <w:rtl/>
        </w:rPr>
        <w:t>پیش‌بین</w:t>
      </w:r>
      <w:r w:rsidRPr="0025250D">
        <w:rPr>
          <w:rFonts w:hint="cs"/>
          <w:rtl/>
        </w:rPr>
        <w:t>ی‌های نانو</w:t>
      </w:r>
      <w:r w:rsidR="007A53FD" w:rsidRPr="0025250D">
        <w:rPr>
          <w:rFonts w:hint="cs"/>
          <w:rtl/>
        </w:rPr>
        <w:t>فناوری</w:t>
      </w:r>
      <w:r w:rsidRPr="0025250D">
        <w:rPr>
          <w:rFonts w:hint="cs"/>
          <w:rtl/>
        </w:rPr>
        <w:t xml:space="preserve">، بیولوژی، پزشکی و تغییرات اجتماعی او را پیشنهاد می‌کنیم. همچنین </w:t>
      </w:r>
      <w:r w:rsidR="00D92F6E" w:rsidRPr="0025250D">
        <w:rPr>
          <w:rFonts w:hint="cs"/>
          <w:rtl/>
        </w:rPr>
        <w:t>پیش‌بین</w:t>
      </w:r>
      <w:r w:rsidRPr="0025250D">
        <w:rPr>
          <w:rFonts w:hint="cs"/>
          <w:rtl/>
        </w:rPr>
        <w:t xml:space="preserve">ی‌های هوش مصنوعی و واقعیت افزوده او را با حداقل یک تأخیر 20 تا 30 ساله پیشنهاد می‌کنیم. در حوزه‌های قبلی او خارج از تخصص خود کار می‌کرد. علم </w:t>
      </w:r>
      <w:r w:rsidR="00D92F6E" w:rsidRPr="0025250D">
        <w:rPr>
          <w:rFonts w:hint="cs"/>
          <w:rtl/>
        </w:rPr>
        <w:t>پیش‌بین</w:t>
      </w:r>
      <w:r w:rsidRPr="0025250D">
        <w:rPr>
          <w:rFonts w:hint="cs"/>
          <w:rtl/>
        </w:rPr>
        <w:t xml:space="preserve">ی کننده که برای </w:t>
      </w:r>
      <w:r w:rsidR="007A53FD" w:rsidRPr="0025250D">
        <w:rPr>
          <w:rFonts w:hint="cs"/>
          <w:rtl/>
        </w:rPr>
        <w:t>فناوری</w:t>
      </w:r>
      <w:r w:rsidRPr="0025250D">
        <w:rPr>
          <w:rFonts w:hint="cs"/>
          <w:rtl/>
        </w:rPr>
        <w:t xml:space="preserve"> قوی نانو، بایو و پزشکی مورد نیاز است هنوز وجود ندارد و مهندسی هنوز در ابتدای راه خود است. </w:t>
      </w:r>
      <w:r w:rsidRPr="0025250D">
        <w:t>IT</w:t>
      </w:r>
      <w:r w:rsidRPr="0025250D">
        <w:rPr>
          <w:rFonts w:hint="cs"/>
          <w:rtl/>
        </w:rPr>
        <w:t xml:space="preserve"> و </w:t>
      </w:r>
      <w:r w:rsidRPr="0025250D">
        <w:t>AI</w:t>
      </w:r>
      <w:r w:rsidRPr="0025250D">
        <w:rPr>
          <w:rFonts w:hint="cs"/>
          <w:rtl/>
        </w:rPr>
        <w:t xml:space="preserve"> بسیار نمایی هستند، اما حتی در اینجا، معتقدیم که او جدا</w:t>
      </w:r>
      <w:r w:rsidR="00E03473" w:rsidRPr="0025250D">
        <w:rPr>
          <w:rFonts w:hint="cs"/>
          <w:rtl/>
        </w:rPr>
        <w:t>ً</w:t>
      </w:r>
      <w:r w:rsidRPr="0025250D">
        <w:rPr>
          <w:rFonts w:hint="cs"/>
          <w:rtl/>
        </w:rPr>
        <w:t xml:space="preserve"> پیچیدگی این چالش، لزوم رویکرد‌های </w:t>
      </w:r>
      <w:r w:rsidRPr="0025250D">
        <w:rPr>
          <w:rtl/>
        </w:rPr>
        <w:t xml:space="preserve">تکاملی - توسعه‌ای </w:t>
      </w:r>
      <w:r w:rsidRPr="0025250D">
        <w:rPr>
          <w:rFonts w:hint="cs"/>
          <w:rtl/>
        </w:rPr>
        <w:t xml:space="preserve">و قانون گذاری اجتماعی و عقبگرد‌هایی را که تغییرات متحول کننده و مختل </w:t>
      </w:r>
      <w:r w:rsidR="00923DDB" w:rsidRPr="0025250D">
        <w:rPr>
          <w:rFonts w:hint="cs"/>
          <w:rtl/>
        </w:rPr>
        <w:t>کننده‌ای</w:t>
      </w:r>
      <w:r w:rsidRPr="0025250D">
        <w:rPr>
          <w:rFonts w:hint="cs"/>
          <w:rtl/>
        </w:rPr>
        <w:t>جاد خواهند کرد دست کم می‌گیرد.</w:t>
      </w:r>
    </w:p>
    <w:p w14:paraId="3C8C8E6F" w14:textId="121A2AB6" w:rsidR="00537CC8" w:rsidRPr="0025250D" w:rsidRDefault="007118DE" w:rsidP="00537CC8">
      <w:pPr>
        <w:rPr>
          <w:rtl/>
        </w:rPr>
      </w:pPr>
      <w:r w:rsidRPr="0025250D">
        <w:rPr>
          <w:rFonts w:hint="cs"/>
          <w:rtl/>
        </w:rPr>
        <w:t>همان‌طور</w:t>
      </w:r>
      <w:r w:rsidR="00537CC8" w:rsidRPr="0025250D">
        <w:rPr>
          <w:rFonts w:hint="cs"/>
          <w:rtl/>
        </w:rPr>
        <w:t xml:space="preserve"> که در </w:t>
      </w:r>
      <w:r w:rsidR="00537CC8" w:rsidRPr="0025250D">
        <w:t>BPF</w:t>
      </w:r>
      <w:r w:rsidR="00537CC8" w:rsidRPr="0025250D">
        <w:rPr>
          <w:rFonts w:hint="cs"/>
          <w:rtl/>
        </w:rPr>
        <w:t xml:space="preserve"> بحث خواهیم کرد، انتظار داریم که پیشرفت‌های زیست دارویی</w:t>
      </w:r>
      <w:r w:rsidR="00537CC8" w:rsidRPr="0025250D">
        <w:rPr>
          <w:vertAlign w:val="superscript"/>
          <w:rtl/>
        </w:rPr>
        <w:footnoteReference w:id="1631"/>
      </w:r>
      <w:r w:rsidR="00537CC8" w:rsidRPr="0025250D">
        <w:rPr>
          <w:rFonts w:hint="cs"/>
          <w:rtl/>
        </w:rPr>
        <w:t xml:space="preserve"> و زیست فناوری</w:t>
      </w:r>
      <w:r w:rsidR="00537CC8" w:rsidRPr="0025250D">
        <w:rPr>
          <w:vertAlign w:val="superscript"/>
          <w:rtl/>
        </w:rPr>
        <w:footnoteReference w:id="1632"/>
      </w:r>
      <w:r w:rsidR="00537CC8" w:rsidRPr="0025250D">
        <w:rPr>
          <w:rFonts w:hint="cs"/>
          <w:rtl/>
        </w:rPr>
        <w:t xml:space="preserve"> نسبت به فناروی اطلاعات، حداقل برای دو دهه بعدی به طور مشخص کاملا حداقلی باقی بمانند. با این وجود، </w:t>
      </w:r>
      <w:r w:rsidR="00537CC8" w:rsidRPr="0025250D">
        <w:rPr>
          <w:rtl/>
        </w:rPr>
        <w:t>کورزو</w:t>
      </w:r>
      <w:r w:rsidR="00537CC8" w:rsidRPr="0025250D">
        <w:rPr>
          <w:rFonts w:hint="cs"/>
          <w:rtl/>
        </w:rPr>
        <w:t>ی</w:t>
      </w:r>
      <w:r w:rsidR="00537CC8" w:rsidRPr="0025250D">
        <w:rPr>
          <w:rFonts w:hint="eastAsia"/>
          <w:rtl/>
        </w:rPr>
        <w:t>ل</w:t>
      </w:r>
      <w:r w:rsidR="00537CC8" w:rsidRPr="0025250D">
        <w:rPr>
          <w:rFonts w:hint="cs"/>
          <w:rtl/>
        </w:rPr>
        <w:t xml:space="preserve"> با شروع از کتاب خردمندانه </w:t>
      </w:r>
      <w:r w:rsidR="00537CC8" w:rsidRPr="0025250D">
        <w:rPr>
          <w:rtl/>
        </w:rPr>
        <w:t>عصر ماش</w:t>
      </w:r>
      <w:r w:rsidR="00537CC8" w:rsidRPr="0025250D">
        <w:rPr>
          <w:rFonts w:hint="cs"/>
          <w:rtl/>
        </w:rPr>
        <w:t>ی</w:t>
      </w:r>
      <w:r w:rsidR="00537CC8" w:rsidRPr="0025250D">
        <w:rPr>
          <w:rFonts w:hint="eastAsia"/>
          <w:rtl/>
        </w:rPr>
        <w:t>ن</w:t>
      </w:r>
      <w:r w:rsidR="00537CC8" w:rsidRPr="0025250D">
        <w:rPr>
          <w:rtl/>
        </w:rPr>
        <w:t>‌های هوشمند</w:t>
      </w:r>
      <w:r w:rsidR="00537CC8" w:rsidRPr="0025250D">
        <w:rPr>
          <w:vertAlign w:val="superscript"/>
          <w:rtl/>
        </w:rPr>
        <w:footnoteReference w:id="1633"/>
      </w:r>
      <w:r w:rsidR="00537CC8" w:rsidRPr="0025250D">
        <w:rPr>
          <w:rFonts w:hint="cs"/>
          <w:rtl/>
        </w:rPr>
        <w:t xml:space="preserve"> در سال 1990 باید به شدت فقط برای گفتن این که هوش مصنوعی در دهه‌های آینده چقدر قدرتمند خواهد شد و چرا نه تنها به دلیل انتخاب تکاملی ما، بلکه به‌عنوان یک فرایند توسعه فراگیر پدیدار خواهد شد، مورد تحسین قرار گیرد.</w:t>
      </w:r>
    </w:p>
    <w:p w14:paraId="7740FDB4" w14:textId="44339F81" w:rsidR="00537CC8" w:rsidRPr="0025250D" w:rsidRDefault="00923DDB" w:rsidP="00537CC8">
      <w:pPr>
        <w:rPr>
          <w:rtl/>
        </w:rPr>
      </w:pPr>
      <w:r w:rsidRPr="0025250D">
        <w:rPr>
          <w:rFonts w:hint="cs"/>
          <w:rtl/>
        </w:rPr>
        <w:t>پیش‌انگاری</w:t>
      </w:r>
      <w:r w:rsidR="00537CC8" w:rsidRPr="0025250D">
        <w:rPr>
          <w:rFonts w:hint="cs"/>
          <w:rtl/>
        </w:rPr>
        <w:t xml:space="preserve"> سازمانی حداقل در پنج فعالیت تخصصی، </w:t>
      </w:r>
      <w:r w:rsidR="007118DE" w:rsidRPr="0025250D">
        <w:rPr>
          <w:rFonts w:hint="cs"/>
          <w:rtl/>
        </w:rPr>
        <w:t>همان‌طور</w:t>
      </w:r>
      <w:r w:rsidR="00537CC8" w:rsidRPr="0025250D">
        <w:rPr>
          <w:rFonts w:hint="cs"/>
          <w:rtl/>
        </w:rPr>
        <w:t xml:space="preserve"> که توصیف </w:t>
      </w:r>
      <w:r w:rsidR="00950293" w:rsidRPr="0025250D">
        <w:rPr>
          <w:rFonts w:hint="cs"/>
          <w:rtl/>
        </w:rPr>
        <w:t>کرده‌ایم</w:t>
      </w:r>
      <w:r w:rsidR="00537CC8" w:rsidRPr="0025250D">
        <w:rPr>
          <w:rFonts w:hint="cs"/>
          <w:rtl/>
        </w:rPr>
        <w:t xml:space="preserve"> انجام می‌شود. بیایید اکنون نگاهی به آن‌ها داشته باشیم. برخی شرکت‌ها، تیم‌ها و فرایند‌های قدرتمندی را در علوم داده و یادگیری ماشین توسعه می‌دهند. در موارد بسیاری آن‌ها در حال کشف آینده محتمل کوتاه مدت، </w:t>
      </w:r>
      <w:r w:rsidR="00537CC8" w:rsidRPr="0025250D">
        <w:rPr>
          <w:rtl/>
        </w:rPr>
        <w:t>مانند تجز</w:t>
      </w:r>
      <w:r w:rsidR="00537CC8" w:rsidRPr="0025250D">
        <w:rPr>
          <w:rFonts w:hint="cs"/>
          <w:rtl/>
        </w:rPr>
        <w:t>ی</w:t>
      </w:r>
      <w:r w:rsidR="00537CC8" w:rsidRPr="0025250D">
        <w:rPr>
          <w:rFonts w:hint="eastAsia"/>
          <w:rtl/>
        </w:rPr>
        <w:t>ه</w:t>
      </w:r>
      <w:r w:rsidR="00537CC8" w:rsidRPr="0025250D">
        <w:rPr>
          <w:rtl/>
        </w:rPr>
        <w:t xml:space="preserve"> و تحل</w:t>
      </w:r>
      <w:r w:rsidR="00537CC8" w:rsidRPr="0025250D">
        <w:rPr>
          <w:rFonts w:hint="cs"/>
          <w:rtl/>
        </w:rPr>
        <w:t>ی</w:t>
      </w:r>
      <w:r w:rsidR="00537CC8" w:rsidRPr="0025250D">
        <w:rPr>
          <w:rFonts w:hint="eastAsia"/>
          <w:rtl/>
        </w:rPr>
        <w:t>ل</w:t>
      </w:r>
      <w:r w:rsidR="00537CC8" w:rsidRPr="0025250D">
        <w:rPr>
          <w:rtl/>
        </w:rPr>
        <w:t xml:space="preserve"> </w:t>
      </w:r>
      <w:r w:rsidR="00D92F6E" w:rsidRPr="0025250D">
        <w:rPr>
          <w:rtl/>
        </w:rPr>
        <w:t>پیش‌بین</w:t>
      </w:r>
      <w:r w:rsidR="00537CC8" w:rsidRPr="0025250D">
        <w:rPr>
          <w:vertAlign w:val="superscript"/>
          <w:rtl/>
        </w:rPr>
        <w:footnoteReference w:id="1634"/>
      </w:r>
      <w:r w:rsidR="00537CC8" w:rsidRPr="0025250D">
        <w:rPr>
          <w:rFonts w:hint="cs"/>
          <w:rtl/>
        </w:rPr>
        <w:t xml:space="preserve"> هستند، اما برخی آینده بلند مدت را نیز بسیار واضح می‌بینند. برای مثال، در حال حاضر هم </w:t>
      </w:r>
      <w:r w:rsidR="00537CC8" w:rsidRPr="0025250D">
        <w:rPr>
          <w:rtl/>
        </w:rPr>
        <w:t>گوگل</w:t>
      </w:r>
      <w:r w:rsidR="00537CC8" w:rsidRPr="0025250D">
        <w:rPr>
          <w:rFonts w:hint="cs"/>
          <w:rtl/>
        </w:rPr>
        <w:t xml:space="preserve"> و هم انویدیا</w:t>
      </w:r>
      <w:r w:rsidR="00537CC8" w:rsidRPr="0025250D">
        <w:rPr>
          <w:vertAlign w:val="superscript"/>
          <w:rtl/>
        </w:rPr>
        <w:footnoteReference w:id="1635"/>
      </w:r>
      <w:r w:rsidR="00537CC8" w:rsidRPr="0025250D">
        <w:rPr>
          <w:rFonts w:hint="cs"/>
          <w:rtl/>
        </w:rPr>
        <w:t xml:space="preserve"> در هوش مصنوعی پیشتاز هستند و </w:t>
      </w:r>
      <w:r w:rsidR="00B56611" w:rsidRPr="0025250D">
        <w:rPr>
          <w:rFonts w:hint="cs"/>
          <w:rtl/>
        </w:rPr>
        <w:t>چشم‌انداز</w:t>
      </w:r>
      <w:r w:rsidR="00537CC8" w:rsidRPr="0025250D">
        <w:rPr>
          <w:rFonts w:hint="cs"/>
          <w:rtl/>
        </w:rPr>
        <w:t xml:space="preserve">، جایگاه بازار، فرهنگ‌ها و </w:t>
      </w:r>
      <w:r w:rsidR="00F50EB4" w:rsidRPr="0025250D">
        <w:rPr>
          <w:rFonts w:hint="cs"/>
          <w:rtl/>
        </w:rPr>
        <w:t>سرمایه‌گذاری</w:t>
      </w:r>
      <w:r w:rsidR="00537CC8" w:rsidRPr="0025250D">
        <w:rPr>
          <w:rFonts w:hint="cs"/>
          <w:rtl/>
        </w:rPr>
        <w:t>‌های بلند مدت آن‌ها در حال حاضر کاملا در حفظ جایگاه رهبری فعلی آن‌ها مؤثر هستند.</w:t>
      </w:r>
    </w:p>
    <w:p w14:paraId="1351EA3D" w14:textId="53971B06" w:rsidR="00537CC8" w:rsidRPr="0025250D" w:rsidRDefault="00537CC8" w:rsidP="00537CC8">
      <w:pPr>
        <w:rPr>
          <w:rtl/>
        </w:rPr>
      </w:pPr>
      <w:r w:rsidRPr="0025250D">
        <w:rPr>
          <w:rFonts w:hint="cs"/>
          <w:rtl/>
        </w:rPr>
        <w:t xml:space="preserve">امروزه برخی از بهترین مطالعات در یادگیری ماشین هم از تیم‌های هوش مصنوعی و هم از تیم‌های انسانی (تیم‌های کوچک یا جمعیت‌های بزرگ) برای آموزش الگوریتم‌های یادگیری ماشین استفاده می‌کند. برای مثال، در سال 2017، آزمایشگاه پرنده شناسی دانشگاه </w:t>
      </w:r>
      <w:r w:rsidRPr="0025250D">
        <w:rPr>
          <w:rtl/>
        </w:rPr>
        <w:t>کرنل</w:t>
      </w:r>
      <w:r w:rsidRPr="0025250D">
        <w:rPr>
          <w:vertAlign w:val="superscript"/>
          <w:rtl/>
        </w:rPr>
        <w:footnoteReference w:id="1636"/>
      </w:r>
      <w:r w:rsidRPr="0025250D">
        <w:rPr>
          <w:rFonts w:hint="cs"/>
          <w:rtl/>
        </w:rPr>
        <w:t xml:space="preserve"> یک اپلیکیشن موبایلی به نام </w:t>
      </w:r>
      <w:r w:rsidRPr="0025250D">
        <w:rPr>
          <w:rtl/>
        </w:rPr>
        <w:t>مرل</w:t>
      </w:r>
      <w:r w:rsidRPr="0025250D">
        <w:rPr>
          <w:rFonts w:hint="cs"/>
          <w:rtl/>
        </w:rPr>
        <w:t>ی</w:t>
      </w:r>
      <w:r w:rsidRPr="0025250D">
        <w:rPr>
          <w:rFonts w:hint="eastAsia"/>
          <w:rtl/>
        </w:rPr>
        <w:t>ن</w:t>
      </w:r>
      <w:r w:rsidRPr="0025250D">
        <w:rPr>
          <w:vertAlign w:val="superscript"/>
          <w:rtl/>
        </w:rPr>
        <w:footnoteReference w:id="1637"/>
      </w:r>
      <w:r w:rsidRPr="0025250D">
        <w:rPr>
          <w:rFonts w:hint="cs"/>
          <w:rtl/>
        </w:rPr>
        <w:t xml:space="preserve"> را راه‌اندازی کرد که در آن کاربران یک پایگاه داده جهانی بزرگ از تصاویر پرنده‌ها با نام ای‌بیرد</w:t>
      </w:r>
      <w:r w:rsidRPr="0025250D">
        <w:rPr>
          <w:vertAlign w:val="superscript"/>
          <w:rtl/>
        </w:rPr>
        <w:footnoteReference w:id="1638"/>
      </w:r>
      <w:r w:rsidRPr="0025250D">
        <w:rPr>
          <w:rFonts w:hint="cs"/>
          <w:rtl/>
        </w:rPr>
        <w:t xml:space="preserve"> ایجاد می‌کنند. تا به حال، ده‌ها هزار نفر از شهروندان دانشمند و مجموعه کوچکی از متخصصین پرنده شناسی، به هوش مصنوعی یادگیری عمیق در پس </w:t>
      </w:r>
      <w:r w:rsidRPr="0025250D">
        <w:rPr>
          <w:rtl/>
        </w:rPr>
        <w:t>مرل</w:t>
      </w:r>
      <w:r w:rsidRPr="0025250D">
        <w:rPr>
          <w:rFonts w:hint="cs"/>
          <w:rtl/>
        </w:rPr>
        <w:t>ی</w:t>
      </w:r>
      <w:r w:rsidRPr="0025250D">
        <w:rPr>
          <w:rFonts w:hint="eastAsia"/>
          <w:rtl/>
        </w:rPr>
        <w:t>ن</w:t>
      </w:r>
      <w:r w:rsidRPr="0025250D">
        <w:rPr>
          <w:rFonts w:hint="cs"/>
          <w:rtl/>
        </w:rPr>
        <w:t xml:space="preserve"> برای دسته بندی تصاویر کاربران به گونه‌های مختلف کمک کرده</w:t>
      </w:r>
      <w:r w:rsidR="00543186" w:rsidRPr="0025250D">
        <w:rPr>
          <w:rFonts w:hint="cs"/>
          <w:rtl/>
        </w:rPr>
        <w:t>‌اند</w:t>
      </w:r>
      <w:r w:rsidRPr="0025250D">
        <w:rPr>
          <w:rFonts w:hint="cs"/>
          <w:rtl/>
        </w:rPr>
        <w:t xml:space="preserve">. در سال 2021، آن‌ها صدای پرندگان را نیز به این اپلیکیشن اضافه کردند. این اپلیکیشن رایگان اکنون به شکل شگفت انگیزی در شناسایی پرندگان، چه با تصویر و چه با صدا خوب عمل می‌کند. این رویکرد شبکه محور برای بسیاری از اپلیکیشن‌های </w:t>
      </w:r>
      <w:r w:rsidRPr="0025250D">
        <w:t>AI/ML</w:t>
      </w:r>
      <w:r w:rsidRPr="0025250D">
        <w:rPr>
          <w:rFonts w:hint="cs"/>
          <w:rtl/>
        </w:rPr>
        <w:t xml:space="preserve"> نیز استفاده می‌شود.</w:t>
      </w:r>
    </w:p>
    <w:p w14:paraId="4893E5C6" w14:textId="2AC015DA" w:rsidR="00537CC8" w:rsidRPr="0025250D" w:rsidRDefault="00537CC8" w:rsidP="00537CC8">
      <w:pPr>
        <w:rPr>
          <w:rtl/>
        </w:rPr>
      </w:pPr>
      <w:r w:rsidRPr="0025250D">
        <w:rPr>
          <w:rFonts w:hint="cs"/>
          <w:rtl/>
        </w:rPr>
        <w:t xml:space="preserve">مقاله </w:t>
      </w:r>
      <w:r w:rsidRPr="0025250D">
        <w:rPr>
          <w:rtl/>
        </w:rPr>
        <w:t>کوارتز</w:t>
      </w:r>
      <w:r w:rsidRPr="0025250D">
        <w:rPr>
          <w:vertAlign w:val="superscript"/>
          <w:rtl/>
        </w:rPr>
        <w:footnoteReference w:id="1639"/>
      </w:r>
      <w:r w:rsidRPr="0025250D">
        <w:rPr>
          <w:rFonts w:hint="cs"/>
          <w:rtl/>
        </w:rPr>
        <w:t xml:space="preserve"> در سال 2017 توسط </w:t>
      </w:r>
      <w:r w:rsidRPr="0025250D">
        <w:rPr>
          <w:rtl/>
        </w:rPr>
        <w:t>الکساندرا اوسولا</w:t>
      </w:r>
      <w:r w:rsidRPr="0025250D">
        <w:rPr>
          <w:vertAlign w:val="superscript"/>
          <w:rtl/>
        </w:rPr>
        <w:footnoteReference w:id="1640"/>
      </w:r>
      <w:r w:rsidRPr="0025250D">
        <w:rPr>
          <w:rFonts w:hint="cs"/>
          <w:rtl/>
        </w:rPr>
        <w:t>، در ایمیل ویکلی آبسشن</w:t>
      </w:r>
      <w:r w:rsidRPr="0025250D">
        <w:rPr>
          <w:vertAlign w:val="superscript"/>
          <w:rtl/>
        </w:rPr>
        <w:footnoteReference w:id="1641"/>
      </w:r>
      <w:r w:rsidRPr="0025250D">
        <w:rPr>
          <w:rFonts w:hint="cs"/>
          <w:rtl/>
        </w:rPr>
        <w:t xml:space="preserve"> (که دنبال کردن آن را پیشنهاد می‌کنیم) بر </w:t>
      </w:r>
      <w:r w:rsidR="00D92F6E" w:rsidRPr="0025250D">
        <w:rPr>
          <w:rFonts w:hint="cs"/>
          <w:rtl/>
        </w:rPr>
        <w:t>پیش‌بین</w:t>
      </w:r>
      <w:r w:rsidRPr="0025250D">
        <w:rPr>
          <w:rFonts w:hint="cs"/>
          <w:rtl/>
        </w:rPr>
        <w:t xml:space="preserve">ی تمرکز کرد. این مقاله میزان حرکت علوم داده به سمت </w:t>
      </w:r>
      <w:r w:rsidR="00D92F6E" w:rsidRPr="0025250D">
        <w:rPr>
          <w:rFonts w:hint="cs"/>
          <w:rtl/>
        </w:rPr>
        <w:t>پیش‌بین</w:t>
      </w:r>
      <w:r w:rsidRPr="0025250D">
        <w:rPr>
          <w:rFonts w:hint="cs"/>
          <w:rtl/>
        </w:rPr>
        <w:t>ی برای سازمان‌ها، با پیشرفت الگوریتم‌ها، سخت افزارها، حسگر‌ها و مجموعه داده‌های ما را توصیف می‌کند.</w:t>
      </w:r>
    </w:p>
    <w:p w14:paraId="6CE2BEEF" w14:textId="3682CD3A" w:rsidR="00537CC8" w:rsidRPr="0025250D" w:rsidRDefault="00537CC8" w:rsidP="00537CC8">
      <w:pPr>
        <w:rPr>
          <w:rtl/>
        </w:rPr>
      </w:pPr>
      <w:r w:rsidRPr="0025250D">
        <w:rPr>
          <w:rFonts w:hint="cs"/>
          <w:rtl/>
        </w:rPr>
        <w:t>تصویر زیر یک نظرسنجی از کاربران کاگل</w:t>
      </w:r>
      <w:r w:rsidRPr="0025250D">
        <w:rPr>
          <w:vertAlign w:val="superscript"/>
          <w:rtl/>
        </w:rPr>
        <w:footnoteReference w:id="1642"/>
      </w:r>
      <w:r w:rsidRPr="0025250D">
        <w:rPr>
          <w:rFonts w:hint="cs"/>
          <w:rtl/>
        </w:rPr>
        <w:t xml:space="preserve"> از مقاله </w:t>
      </w:r>
      <w:r w:rsidR="002B304C" w:rsidRPr="0025250D">
        <w:rPr>
          <w:rtl/>
        </w:rPr>
        <w:t>اوسولا</w:t>
      </w:r>
      <w:r w:rsidR="002B304C" w:rsidRPr="0025250D">
        <w:rPr>
          <w:rFonts w:hint="cs"/>
          <w:rtl/>
        </w:rPr>
        <w:t xml:space="preserve"> </w:t>
      </w:r>
      <w:r w:rsidRPr="0025250D">
        <w:rPr>
          <w:rFonts w:hint="cs"/>
          <w:rtl/>
        </w:rPr>
        <w:t xml:space="preserve">می‌باشد که روش‌های </w:t>
      </w:r>
      <w:r w:rsidR="00D92F6E" w:rsidRPr="0025250D">
        <w:rPr>
          <w:rFonts w:hint="cs"/>
          <w:rtl/>
        </w:rPr>
        <w:t>پیش‌بین</w:t>
      </w:r>
      <w:r w:rsidRPr="0025250D">
        <w:rPr>
          <w:rFonts w:hint="cs"/>
          <w:rtl/>
        </w:rPr>
        <w:t>ی ماشین محبوب آن‌ها را نشان می‌دهد. توجه کنید که رگرسیون لجستیک استاندارد</w:t>
      </w:r>
      <w:r w:rsidRPr="0025250D">
        <w:rPr>
          <w:vertAlign w:val="superscript"/>
          <w:rtl/>
        </w:rPr>
        <w:footnoteReference w:id="1643"/>
      </w:r>
      <w:r w:rsidRPr="0025250D">
        <w:rPr>
          <w:rFonts w:hint="cs"/>
          <w:rtl/>
        </w:rPr>
        <w:t xml:space="preserve"> محبوب‌ترین</w:t>
      </w:r>
      <w:r w:rsidR="008D6F97" w:rsidRPr="0025250D">
        <w:rPr>
          <w:rtl/>
        </w:rPr>
        <w:t xml:space="preserve"> </w:t>
      </w:r>
      <w:r w:rsidRPr="0025250D">
        <w:rPr>
          <w:rFonts w:hint="cs"/>
          <w:rtl/>
        </w:rPr>
        <w:t xml:space="preserve">روش در این نظر سنجی است، </w:t>
      </w:r>
      <w:r w:rsidR="007118DE" w:rsidRPr="0025250D">
        <w:rPr>
          <w:rFonts w:hint="cs"/>
          <w:rtl/>
        </w:rPr>
        <w:t>همان‌طور</w:t>
      </w:r>
      <w:r w:rsidRPr="0025250D">
        <w:rPr>
          <w:rFonts w:hint="cs"/>
          <w:rtl/>
        </w:rPr>
        <w:t xml:space="preserve"> که دهه‌ها در این جایگاه بوده است</w:t>
      </w:r>
      <w:r w:rsidR="008D6F97" w:rsidRPr="0025250D">
        <w:rPr>
          <w:rtl/>
        </w:rPr>
        <w:t xml:space="preserve">؛ </w:t>
      </w:r>
      <w:r w:rsidRPr="0025250D">
        <w:rPr>
          <w:rFonts w:hint="cs"/>
          <w:rtl/>
        </w:rPr>
        <w:t>اما همچنین به تنوع الگوریتم‌های دیگری که اکنون فعال هستند و ارزش جدید روش‌های الهام گرفته از بیولوژی مانند شبکه‌های عصبی و تکنیک‌های بیزی</w:t>
      </w:r>
      <w:r w:rsidRPr="0025250D">
        <w:rPr>
          <w:vertAlign w:val="superscript"/>
          <w:rtl/>
        </w:rPr>
        <w:footnoteReference w:id="1644"/>
      </w:r>
      <w:r w:rsidRPr="0025250D">
        <w:rPr>
          <w:rFonts w:hint="cs"/>
          <w:rtl/>
        </w:rPr>
        <w:t xml:space="preserve"> توجه</w:t>
      </w:r>
      <w:r w:rsidRPr="0025250D">
        <w:rPr>
          <w:rtl/>
        </w:rPr>
        <w:t xml:space="preserve"> </w:t>
      </w:r>
      <w:r w:rsidRPr="0025250D">
        <w:rPr>
          <w:rFonts w:hint="cs"/>
          <w:rtl/>
        </w:rPr>
        <w:t>داشته</w:t>
      </w:r>
      <w:r w:rsidRPr="0025250D">
        <w:rPr>
          <w:rtl/>
        </w:rPr>
        <w:t xml:space="preserve"> </w:t>
      </w:r>
      <w:r w:rsidRPr="0025250D">
        <w:rPr>
          <w:rFonts w:hint="cs"/>
          <w:rtl/>
        </w:rPr>
        <w:t xml:space="preserve">باشید. در </w:t>
      </w:r>
      <w:r w:rsidRPr="0025250D">
        <w:t>BPF</w:t>
      </w:r>
      <w:r w:rsidRPr="0025250D">
        <w:rPr>
          <w:rFonts w:hint="cs"/>
          <w:rtl/>
        </w:rPr>
        <w:t xml:space="preserve">، خواهیم گفت که چرا </w:t>
      </w:r>
      <w:r w:rsidR="00D92F6E" w:rsidRPr="0025250D">
        <w:rPr>
          <w:rFonts w:hint="cs"/>
          <w:rtl/>
        </w:rPr>
        <w:t>پیش‌بین</w:t>
      </w:r>
      <w:r w:rsidRPr="0025250D">
        <w:rPr>
          <w:rFonts w:hint="cs"/>
          <w:rtl/>
        </w:rPr>
        <w:t xml:space="preserve">ی می‌کنیم که روش‌های </w:t>
      </w:r>
      <w:r w:rsidR="00D92F6E" w:rsidRPr="0025250D">
        <w:rPr>
          <w:rFonts w:hint="cs"/>
          <w:rtl/>
        </w:rPr>
        <w:t>پیش‌بین</w:t>
      </w:r>
      <w:r w:rsidRPr="0025250D">
        <w:rPr>
          <w:rFonts w:hint="cs"/>
          <w:rtl/>
        </w:rPr>
        <w:t xml:space="preserve">ی الهام گرفته از مغز و بیولوژی و نهایتا، یک علم کامپیوتر با پشتوانه اطلاعات به صورت </w:t>
      </w:r>
      <w:r w:rsidRPr="0025250D">
        <w:rPr>
          <w:rtl/>
        </w:rPr>
        <w:t xml:space="preserve">تکاملی - توسعه‌ای، </w:t>
      </w:r>
      <w:r w:rsidRPr="0025250D">
        <w:rPr>
          <w:rFonts w:hint="cs"/>
          <w:rtl/>
        </w:rPr>
        <w:t xml:space="preserve">به شکل فزاینده‌ای نسبت به رویکرد‌های </w:t>
      </w:r>
      <w:r w:rsidR="009D17DA" w:rsidRPr="0025250D">
        <w:rPr>
          <w:rFonts w:hint="cs"/>
          <w:rtl/>
        </w:rPr>
        <w:t>بالا‌به‌پایین</w:t>
      </w:r>
      <w:r w:rsidRPr="0025250D">
        <w:rPr>
          <w:rFonts w:hint="cs"/>
          <w:rtl/>
        </w:rPr>
        <w:t xml:space="preserve"> و مهندسی برای </w:t>
      </w:r>
      <w:r w:rsidR="00D92F6E" w:rsidRPr="0025250D">
        <w:rPr>
          <w:rFonts w:hint="cs"/>
          <w:rtl/>
        </w:rPr>
        <w:t>پیش‌بین</w:t>
      </w:r>
      <w:r w:rsidRPr="0025250D">
        <w:rPr>
          <w:rFonts w:hint="cs"/>
          <w:rtl/>
        </w:rPr>
        <w:t>ی ماشینی که امروزه هنوز غالب هستند، بهتر عمل می‌کند.</w:t>
      </w:r>
    </w:p>
    <w:p w14:paraId="51C3C724" w14:textId="77777777" w:rsidR="00537CC8" w:rsidRPr="0025250D" w:rsidRDefault="00537CC8" w:rsidP="00B25F58">
      <w:pPr>
        <w:jc w:val="center"/>
        <w:rPr>
          <w:rtl/>
        </w:rPr>
      </w:pPr>
      <w:r w:rsidRPr="0025250D">
        <w:rPr>
          <w:noProof/>
          <w:lang w:bidi="ar-SA"/>
        </w:rPr>
        <w:drawing>
          <wp:inline distT="0" distB="0" distL="0" distR="0" wp14:anchorId="25253918" wp14:editId="48888560">
            <wp:extent cx="3975652" cy="2887090"/>
            <wp:effectExtent l="0" t="0" r="6350" b="889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cstate="screen">
                      <a:extLst>
                        <a:ext uri="{BEBA8EAE-BF5A-486C-A8C5-ECC9F3942E4B}">
                          <a14:imgProps xmlns:a14="http://schemas.microsoft.com/office/drawing/2010/main">
                            <a14:imgLayer r:embed="rId151">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3978325" cy="2889031"/>
                    </a:xfrm>
                    <a:prstGeom prst="rect">
                      <a:avLst/>
                    </a:prstGeom>
                    <a:noFill/>
                  </pic:spPr>
                </pic:pic>
              </a:graphicData>
            </a:graphic>
          </wp:inline>
        </w:drawing>
      </w:r>
    </w:p>
    <w:p w14:paraId="5EBB94B5" w14:textId="05A2657D" w:rsidR="00537CC8" w:rsidRPr="0025250D" w:rsidRDefault="00537CC8" w:rsidP="00537CC8">
      <w:pPr>
        <w:rPr>
          <w:rtl/>
        </w:rPr>
      </w:pPr>
      <w:r w:rsidRPr="0025250D">
        <w:rPr>
          <w:rtl/>
        </w:rPr>
        <w:t>پل سافو</w:t>
      </w:r>
      <w:r w:rsidRPr="0025250D">
        <w:rPr>
          <w:vertAlign w:val="superscript"/>
          <w:rtl/>
        </w:rPr>
        <w:footnoteReference w:id="1645"/>
      </w:r>
      <w:r w:rsidRPr="0025250D">
        <w:rPr>
          <w:rFonts w:hint="cs"/>
          <w:rtl/>
        </w:rPr>
        <w:t xml:space="preserve"> توصیه عمومی خوبی برای تیم‌های </w:t>
      </w:r>
      <w:r w:rsidR="00FB6A7E" w:rsidRPr="0025250D">
        <w:rPr>
          <w:rFonts w:hint="cs"/>
          <w:rtl/>
        </w:rPr>
        <w:t>پیش‌نگری</w:t>
      </w:r>
      <w:r w:rsidRPr="0025250D">
        <w:rPr>
          <w:rFonts w:hint="cs"/>
          <w:rtl/>
        </w:rPr>
        <w:t xml:space="preserve"> </w:t>
      </w:r>
      <w:r w:rsidR="00B124DE" w:rsidRPr="0025250D">
        <w:rPr>
          <w:rFonts w:hint="cs"/>
          <w:rtl/>
        </w:rPr>
        <w:t>کسب‌و‌کار</w:t>
      </w:r>
      <w:r w:rsidRPr="0025250D">
        <w:rPr>
          <w:rFonts w:hint="cs"/>
          <w:rtl/>
        </w:rPr>
        <w:t xml:space="preserve"> در کتاب شش قاعده </w:t>
      </w:r>
      <w:r w:rsidR="00FB6A7E" w:rsidRPr="0025250D">
        <w:rPr>
          <w:rFonts w:hint="cs"/>
          <w:rtl/>
        </w:rPr>
        <w:t>پیش‌نگری</w:t>
      </w:r>
      <w:r w:rsidRPr="0025250D">
        <w:rPr>
          <w:rFonts w:hint="cs"/>
          <w:rtl/>
        </w:rPr>
        <w:t xml:space="preserve"> مؤثر</w:t>
      </w:r>
      <w:r w:rsidRPr="0025250D">
        <w:rPr>
          <w:vertAlign w:val="superscript"/>
          <w:rtl/>
        </w:rPr>
        <w:footnoteReference w:id="1646"/>
      </w:r>
      <w:r w:rsidRPr="0025250D">
        <w:rPr>
          <w:rFonts w:hint="cs"/>
          <w:rtl/>
        </w:rPr>
        <w:t>،</w:t>
      </w:r>
      <w:r w:rsidR="00543186" w:rsidRPr="0025250D">
        <w:rPr>
          <w:rFonts w:hint="cs"/>
          <w:rtl/>
        </w:rPr>
        <w:t xml:space="preserve"> منتشر شده توسط</w:t>
      </w:r>
      <w:r w:rsidRPr="0025250D">
        <w:rPr>
          <w:rFonts w:hint="cs"/>
          <w:rtl/>
        </w:rPr>
        <w:t xml:space="preserve"> </w:t>
      </w:r>
      <w:r w:rsidRPr="0025250D">
        <w:t>HBR</w:t>
      </w:r>
      <w:r w:rsidRPr="0025250D">
        <w:rPr>
          <w:rFonts w:hint="cs"/>
          <w:rtl/>
        </w:rPr>
        <w:t xml:space="preserve"> در سال 2007 ارائه می‌دهد. برای </w:t>
      </w:r>
      <w:r w:rsidR="00D92F6E" w:rsidRPr="0025250D">
        <w:rPr>
          <w:rFonts w:hint="cs"/>
          <w:rtl/>
        </w:rPr>
        <w:t>پیش‌بین</w:t>
      </w:r>
      <w:r w:rsidRPr="0025250D">
        <w:rPr>
          <w:rFonts w:hint="cs"/>
          <w:rtl/>
        </w:rPr>
        <w:t xml:space="preserve">ی تیمی، ما همچنین معامله </w:t>
      </w:r>
      <w:r w:rsidR="00FB6A7E" w:rsidRPr="0025250D">
        <w:rPr>
          <w:rFonts w:hint="cs"/>
          <w:rtl/>
        </w:rPr>
        <w:t>پیش‌نگری</w:t>
      </w:r>
      <w:r w:rsidRPr="0025250D">
        <w:rPr>
          <w:rFonts w:hint="cs"/>
          <w:rtl/>
        </w:rPr>
        <w:t xml:space="preserve"> </w:t>
      </w:r>
      <w:r w:rsidR="00B124DE" w:rsidRPr="0025250D">
        <w:rPr>
          <w:rFonts w:hint="cs"/>
          <w:rtl/>
        </w:rPr>
        <w:t>کسب‌و‌کار</w:t>
      </w:r>
      <w:r w:rsidRPr="0025250D">
        <w:rPr>
          <w:vertAlign w:val="superscript"/>
          <w:rtl/>
        </w:rPr>
        <w:footnoteReference w:id="1647"/>
      </w:r>
      <w:r w:rsidRPr="0025250D">
        <w:rPr>
          <w:rFonts w:hint="cs"/>
          <w:rtl/>
        </w:rPr>
        <w:t xml:space="preserve"> اثر </w:t>
      </w:r>
      <w:r w:rsidRPr="0025250D">
        <w:rPr>
          <w:rtl/>
        </w:rPr>
        <w:t>ما</w:t>
      </w:r>
      <w:r w:rsidRPr="0025250D">
        <w:rPr>
          <w:rFonts w:hint="cs"/>
          <w:rtl/>
        </w:rPr>
        <w:t>ی</w:t>
      </w:r>
      <w:r w:rsidRPr="0025250D">
        <w:rPr>
          <w:rFonts w:hint="eastAsia"/>
          <w:rtl/>
        </w:rPr>
        <w:t>کل</w:t>
      </w:r>
      <w:r w:rsidRPr="0025250D">
        <w:rPr>
          <w:rtl/>
        </w:rPr>
        <w:t xml:space="preserve"> گ</w:t>
      </w:r>
      <w:r w:rsidRPr="0025250D">
        <w:rPr>
          <w:rFonts w:hint="cs"/>
          <w:rtl/>
        </w:rPr>
        <w:t>ی</w:t>
      </w:r>
      <w:r w:rsidRPr="0025250D">
        <w:rPr>
          <w:rFonts w:hint="eastAsia"/>
          <w:rtl/>
        </w:rPr>
        <w:t>ل</w:t>
      </w:r>
      <w:r w:rsidRPr="0025250D">
        <w:rPr>
          <w:rFonts w:hint="cs"/>
          <w:rtl/>
        </w:rPr>
        <w:t>ی</w:t>
      </w:r>
      <w:r w:rsidRPr="0025250D">
        <w:rPr>
          <w:rFonts w:hint="eastAsia"/>
          <w:rtl/>
        </w:rPr>
        <w:t>لند</w:t>
      </w:r>
      <w:r w:rsidRPr="0025250D">
        <w:rPr>
          <w:vertAlign w:val="superscript"/>
          <w:rtl/>
        </w:rPr>
        <w:footnoteReference w:id="1648"/>
      </w:r>
      <w:r w:rsidRPr="0025250D">
        <w:rPr>
          <w:rFonts w:hint="cs"/>
          <w:rtl/>
        </w:rPr>
        <w:t xml:space="preserve"> در سال 2010 را برای مطالعه مثال‌های خوبی از </w:t>
      </w:r>
      <w:r w:rsidRPr="0025250D">
        <w:rPr>
          <w:rtl/>
        </w:rPr>
        <w:t>ا</w:t>
      </w:r>
      <w:r w:rsidRPr="0025250D">
        <w:rPr>
          <w:rFonts w:hint="cs"/>
          <w:rtl/>
        </w:rPr>
        <w:t>ی</w:t>
      </w:r>
      <w:r w:rsidRPr="0025250D">
        <w:rPr>
          <w:rFonts w:hint="eastAsia"/>
          <w:rtl/>
        </w:rPr>
        <w:t>نتل</w:t>
      </w:r>
      <w:r w:rsidRPr="0025250D">
        <w:rPr>
          <w:rFonts w:hint="cs"/>
          <w:rtl/>
        </w:rPr>
        <w:t>، آسترازنکا</w:t>
      </w:r>
      <w:r w:rsidRPr="0025250D">
        <w:rPr>
          <w:vertAlign w:val="superscript"/>
          <w:rtl/>
        </w:rPr>
        <w:footnoteReference w:id="1649"/>
      </w:r>
      <w:r w:rsidRPr="0025250D">
        <w:rPr>
          <w:rFonts w:hint="cs"/>
          <w:rtl/>
        </w:rPr>
        <w:t xml:space="preserve"> و </w:t>
      </w:r>
      <w:r w:rsidRPr="0025250D">
        <w:rPr>
          <w:rtl/>
        </w:rPr>
        <w:t>س</w:t>
      </w:r>
      <w:r w:rsidRPr="0025250D">
        <w:rPr>
          <w:rFonts w:hint="cs"/>
          <w:rtl/>
        </w:rPr>
        <w:t>ی</w:t>
      </w:r>
      <w:r w:rsidRPr="0025250D">
        <w:rPr>
          <w:rFonts w:hint="eastAsia"/>
          <w:rtl/>
        </w:rPr>
        <w:t>سکو</w:t>
      </w:r>
      <w:r w:rsidRPr="0025250D">
        <w:rPr>
          <w:vertAlign w:val="superscript"/>
          <w:rtl/>
        </w:rPr>
        <w:footnoteReference w:id="1650"/>
      </w:r>
      <w:r w:rsidRPr="0025250D">
        <w:rPr>
          <w:rFonts w:hint="cs"/>
          <w:rtl/>
        </w:rPr>
        <w:t xml:space="preserve"> در زمینه استفاده خوب آن‌ها از </w:t>
      </w:r>
      <w:r w:rsidR="00FB6A7E" w:rsidRPr="0025250D">
        <w:rPr>
          <w:rFonts w:hint="cs"/>
          <w:rtl/>
        </w:rPr>
        <w:t>پیش‌نگری</w:t>
      </w:r>
      <w:r w:rsidRPr="0025250D">
        <w:rPr>
          <w:rFonts w:hint="cs"/>
          <w:rtl/>
        </w:rPr>
        <w:t xml:space="preserve"> پیشنهاد می‌کنیم. هر کتاب </w:t>
      </w:r>
      <w:r w:rsidR="00FB6A7E" w:rsidRPr="0025250D">
        <w:rPr>
          <w:rFonts w:hint="cs"/>
          <w:rtl/>
        </w:rPr>
        <w:t>پیش‌نگری</w:t>
      </w:r>
      <w:r w:rsidRPr="0025250D">
        <w:rPr>
          <w:rFonts w:hint="cs"/>
          <w:rtl/>
        </w:rPr>
        <w:t xml:space="preserve"> خوبی</w:t>
      </w:r>
      <w:r w:rsidR="00543186" w:rsidRPr="0025250D">
        <w:rPr>
          <w:rFonts w:hint="cs"/>
          <w:rtl/>
        </w:rPr>
        <w:t xml:space="preserve"> از</w:t>
      </w:r>
      <w:r w:rsidRPr="0025250D">
        <w:rPr>
          <w:rFonts w:hint="cs"/>
          <w:rtl/>
        </w:rPr>
        <w:t xml:space="preserve"> مثال‌های موفق ارائه می‌دهد.</w:t>
      </w:r>
    </w:p>
    <w:p w14:paraId="5D44BB6B" w14:textId="1AE8CC73" w:rsidR="00537CC8" w:rsidRPr="0025250D" w:rsidRDefault="00537CC8" w:rsidP="00537CC8">
      <w:pPr>
        <w:rPr>
          <w:rtl/>
        </w:rPr>
      </w:pPr>
      <w:r w:rsidRPr="0025250D">
        <w:rPr>
          <w:rFonts w:hint="cs"/>
          <w:rtl/>
        </w:rPr>
        <w:t xml:space="preserve">هر از چند گاهی، آینده‌پژوهان برجسته و پیشتاز نیاز به پلتفرم‌ها و فرایند‌هایی را برای بهبود </w:t>
      </w:r>
      <w:r w:rsidR="00923DDB" w:rsidRPr="0025250D">
        <w:rPr>
          <w:rFonts w:hint="cs"/>
          <w:rtl/>
        </w:rPr>
        <w:t>پیش‌انگاری</w:t>
      </w:r>
      <w:r w:rsidRPr="0025250D">
        <w:rPr>
          <w:rFonts w:hint="cs"/>
          <w:rtl/>
        </w:rPr>
        <w:t xml:space="preserve"> جمعی ما مطرح </w:t>
      </w:r>
      <w:r w:rsidR="007118DE" w:rsidRPr="0025250D">
        <w:rPr>
          <w:rFonts w:hint="cs"/>
          <w:rtl/>
        </w:rPr>
        <w:t>کرده‌اند</w:t>
      </w:r>
      <w:r w:rsidRPr="0025250D">
        <w:rPr>
          <w:rFonts w:hint="cs"/>
          <w:rtl/>
        </w:rPr>
        <w:t>. کانال رادیویی اچ جی ول</w:t>
      </w:r>
      <w:r w:rsidRPr="0025250D">
        <w:rPr>
          <w:vertAlign w:val="superscript"/>
          <w:rtl/>
        </w:rPr>
        <w:footnoteReference w:id="1651"/>
      </w:r>
      <w:r w:rsidRPr="0025250D">
        <w:rPr>
          <w:rFonts w:hint="cs"/>
          <w:rtl/>
        </w:rPr>
        <w:t xml:space="preserve"> در </w:t>
      </w:r>
      <w:r w:rsidRPr="0025250D">
        <w:t>BBC</w:t>
      </w:r>
      <w:r w:rsidRPr="0025250D">
        <w:rPr>
          <w:rFonts w:hint="cs"/>
          <w:rtl/>
        </w:rPr>
        <w:t xml:space="preserve"> با عنوان تحت تعقیب </w:t>
      </w:r>
      <w:r w:rsidRPr="0025250D">
        <w:rPr>
          <w:rFonts w:cs="Times New Roman" w:hint="cs"/>
          <w:rtl/>
        </w:rPr>
        <w:t>–</w:t>
      </w:r>
      <w:r w:rsidRPr="0025250D">
        <w:rPr>
          <w:rFonts w:hint="cs"/>
          <w:rtl/>
        </w:rPr>
        <w:t xml:space="preserve"> پروفسور‌های </w:t>
      </w:r>
      <w:r w:rsidRPr="0025250D">
        <w:rPr>
          <w:rtl/>
        </w:rPr>
        <w:t>آینده‌نگاری</w:t>
      </w:r>
      <w:r w:rsidRPr="0025250D">
        <w:rPr>
          <w:rFonts w:hint="cs"/>
          <w:rtl/>
        </w:rPr>
        <w:t>!</w:t>
      </w:r>
      <w:r w:rsidRPr="0025250D">
        <w:rPr>
          <w:vertAlign w:val="superscript"/>
          <w:rtl/>
        </w:rPr>
        <w:footnoteReference w:id="1652"/>
      </w:r>
      <w:r w:rsidRPr="0025250D">
        <w:rPr>
          <w:rFonts w:hint="cs"/>
          <w:rtl/>
        </w:rPr>
        <w:t xml:space="preserve"> در سال 1932، مشخصا در قرن قبل تأثیر گذار بوده است. چالش ولز همزمان با ظهور نظر سنجی‌های آماری و کشف روند‌ها برای فراهم آوردن پشتوانه اطلاعاتی برای سیاست‌ها، با آغاز در دوران ریاست جمهوری </w:t>
      </w:r>
      <w:r w:rsidRPr="0025250D">
        <w:rPr>
          <w:rtl/>
        </w:rPr>
        <w:t>هوور</w:t>
      </w:r>
      <w:r w:rsidRPr="0025250D">
        <w:rPr>
          <w:vertAlign w:val="superscript"/>
          <w:rtl/>
        </w:rPr>
        <w:footnoteReference w:id="1653"/>
      </w:r>
      <w:r w:rsidRPr="0025250D">
        <w:rPr>
          <w:rFonts w:hint="cs"/>
          <w:rtl/>
        </w:rPr>
        <w:t xml:space="preserve"> در دهه 1930 رخ داد. ولز به دنبال تلاش‌های دولتی و آکادمیک بهتر در </w:t>
      </w:r>
      <w:r w:rsidRPr="0025250D">
        <w:rPr>
          <w:rtl/>
        </w:rPr>
        <w:t>آینده‌نگاری</w:t>
      </w:r>
      <w:r w:rsidRPr="0025250D">
        <w:rPr>
          <w:rFonts w:hint="cs"/>
          <w:rtl/>
        </w:rPr>
        <w:t xml:space="preserve"> به ویژه برای </w:t>
      </w:r>
      <w:r w:rsidR="00923DDB" w:rsidRPr="0025250D">
        <w:rPr>
          <w:rFonts w:hint="cs"/>
          <w:rtl/>
        </w:rPr>
        <w:t>پیش‌انگاری</w:t>
      </w:r>
      <w:r w:rsidRPr="0025250D">
        <w:rPr>
          <w:rFonts w:hint="cs"/>
          <w:rtl/>
        </w:rPr>
        <w:t xml:space="preserve"> و پاسخ به عواقب قابل </w:t>
      </w:r>
      <w:r w:rsidR="00D92F6E" w:rsidRPr="0025250D">
        <w:rPr>
          <w:rFonts w:hint="cs"/>
          <w:rtl/>
        </w:rPr>
        <w:t>پیش‌بین</w:t>
      </w:r>
      <w:r w:rsidRPr="0025250D">
        <w:rPr>
          <w:rFonts w:hint="cs"/>
          <w:rtl/>
        </w:rPr>
        <w:t>ی ناخواسته</w:t>
      </w:r>
      <w:r w:rsidRPr="0025250D">
        <w:rPr>
          <w:vertAlign w:val="superscript"/>
          <w:rtl/>
        </w:rPr>
        <w:footnoteReference w:id="1654"/>
      </w:r>
      <w:r w:rsidRPr="0025250D">
        <w:rPr>
          <w:rFonts w:hint="cs"/>
          <w:rtl/>
        </w:rPr>
        <w:t xml:space="preserve"> (</w:t>
      </w:r>
      <w:r w:rsidRPr="0025250D">
        <w:t>PUC</w:t>
      </w:r>
      <w:r w:rsidRPr="0025250D">
        <w:rPr>
          <w:rFonts w:hint="cs"/>
          <w:rtl/>
        </w:rPr>
        <w:t xml:space="preserve"> ها) نوآوری‌های آن‌ها بود.</w:t>
      </w:r>
    </w:p>
    <w:p w14:paraId="30D6E5A4" w14:textId="13B8E46B" w:rsidR="00537CC8" w:rsidRPr="0025250D" w:rsidRDefault="0020589F" w:rsidP="00537CC8">
      <w:pPr>
        <w:rPr>
          <w:rtl/>
        </w:rPr>
      </w:pPr>
      <w:r w:rsidRPr="0025250D">
        <w:rPr>
          <w:rtl/>
        </w:rPr>
        <w:t>بله</w:t>
      </w:r>
      <w:r w:rsidR="00537CC8" w:rsidRPr="0025250D">
        <w:rPr>
          <w:rFonts w:hint="cs"/>
          <w:rtl/>
        </w:rPr>
        <w:t xml:space="preserve"> </w:t>
      </w:r>
      <w:r w:rsidR="0063099E" w:rsidRPr="0025250D">
        <w:rPr>
          <w:rtl/>
        </w:rPr>
        <w:t>«</w:t>
      </w:r>
      <w:r w:rsidR="00537CC8" w:rsidRPr="0025250D">
        <w:rPr>
          <w:rFonts w:hint="cs"/>
          <w:rtl/>
        </w:rPr>
        <w:t xml:space="preserve">عواقب ناخواسته قابل </w:t>
      </w:r>
      <w:r w:rsidR="00D92F6E" w:rsidRPr="0025250D">
        <w:rPr>
          <w:rFonts w:hint="cs"/>
          <w:rtl/>
        </w:rPr>
        <w:t>پیش‌بین</w:t>
      </w:r>
      <w:r w:rsidR="00537CC8" w:rsidRPr="0025250D">
        <w:rPr>
          <w:rFonts w:hint="cs"/>
          <w:rtl/>
        </w:rPr>
        <w:t>ی</w:t>
      </w:r>
      <w:r w:rsidR="0063099E" w:rsidRPr="0025250D">
        <w:rPr>
          <w:rtl/>
        </w:rPr>
        <w:t>»</w:t>
      </w:r>
      <w:r w:rsidR="00537CC8" w:rsidRPr="0025250D">
        <w:rPr>
          <w:rFonts w:hint="cs"/>
          <w:rtl/>
        </w:rPr>
        <w:t xml:space="preserve"> واقعی هستند. برای دیدن </w:t>
      </w:r>
      <w:r w:rsidR="00537CC8" w:rsidRPr="0025250D">
        <w:t>PUC</w:t>
      </w:r>
      <w:r w:rsidR="00537CC8" w:rsidRPr="0025250D">
        <w:rPr>
          <w:rFonts w:hint="cs"/>
          <w:rtl/>
        </w:rPr>
        <w:t xml:space="preserve">‌ها، ممکن است مجبور باشیم که گروه متنوعی را به نگاه منتقدانه و عمیق نسبت به </w:t>
      </w:r>
      <w:r w:rsidR="00A20CCB" w:rsidRPr="0025250D">
        <w:rPr>
          <w:rFonts w:hint="cs"/>
          <w:rtl/>
        </w:rPr>
        <w:t>جهان‌بینی</w:t>
      </w:r>
      <w:r w:rsidR="00537CC8" w:rsidRPr="0025250D">
        <w:rPr>
          <w:rFonts w:hint="cs"/>
          <w:rtl/>
        </w:rPr>
        <w:t xml:space="preserve">‌ها، فرضیات و سوگیری‌های کسانی که پیشران تغییر هستند اختصاص دهیم. یک نقد خوب می‌تواند اغلب نواقص و سوگیری‌های پایدار در مدل‌های گروهی و برخی تحولات مختل کننده و معایب ناخواسته واضح (در تحلیل دقیق) را که احتمالا از </w:t>
      </w:r>
      <w:r w:rsidR="00701E03" w:rsidRPr="0025250D">
        <w:rPr>
          <w:rFonts w:hint="cs"/>
          <w:rtl/>
        </w:rPr>
        <w:t>راهبرد</w:t>
      </w:r>
      <w:r w:rsidR="00537CC8" w:rsidRPr="0025250D">
        <w:rPr>
          <w:rFonts w:hint="cs"/>
          <w:rtl/>
        </w:rPr>
        <w:t xml:space="preserve">‌ها و برنامه‌های مورد انتظار هر گروهی حاصل </w:t>
      </w:r>
      <w:r w:rsidR="00543186" w:rsidRPr="0025250D">
        <w:rPr>
          <w:rFonts w:hint="cs"/>
          <w:rtl/>
        </w:rPr>
        <w:t>می‌</w:t>
      </w:r>
      <w:r w:rsidR="00537CC8" w:rsidRPr="0025250D">
        <w:rPr>
          <w:rFonts w:hint="cs"/>
          <w:rtl/>
        </w:rPr>
        <w:t>شوند، آشکار کند.</w:t>
      </w:r>
    </w:p>
    <w:p w14:paraId="3F34A264" w14:textId="53C8B749" w:rsidR="00537CC8" w:rsidRPr="0025250D" w:rsidRDefault="00537CC8" w:rsidP="00537CC8">
      <w:pPr>
        <w:rPr>
          <w:rtl/>
        </w:rPr>
      </w:pPr>
      <w:r w:rsidRPr="0025250D">
        <w:rPr>
          <w:rFonts w:hint="cs"/>
          <w:rtl/>
        </w:rPr>
        <w:t xml:space="preserve">برخی پروفسورها در آمریکا در دهه 1970، مانند یک آینده‌پژوه تأثیر گذار قرن بیستمی، </w:t>
      </w:r>
      <w:r w:rsidRPr="0025250D">
        <w:rPr>
          <w:rtl/>
        </w:rPr>
        <w:t>آلو</w:t>
      </w:r>
      <w:r w:rsidRPr="0025250D">
        <w:rPr>
          <w:rFonts w:hint="cs"/>
          <w:rtl/>
        </w:rPr>
        <w:t>ی</w:t>
      </w:r>
      <w:r w:rsidRPr="0025250D">
        <w:rPr>
          <w:rFonts w:hint="eastAsia"/>
          <w:rtl/>
        </w:rPr>
        <w:t>ن</w:t>
      </w:r>
      <w:r w:rsidRPr="0025250D">
        <w:rPr>
          <w:rtl/>
        </w:rPr>
        <w:t xml:space="preserve"> تافلر</w:t>
      </w:r>
      <w:r w:rsidRPr="0025250D">
        <w:rPr>
          <w:rFonts w:hint="cs"/>
          <w:rtl/>
        </w:rPr>
        <w:t xml:space="preserve"> با کتاب شوک آینده در سال 1970، همان چیزی را که ولز، چهل سال قبل گفته بود، بیان کردند. به یاد داشته باشید که 1970 نقطه اوج آخرین بهار بزرگ </w:t>
      </w:r>
      <w:r w:rsidRPr="0025250D">
        <w:rPr>
          <w:rtl/>
        </w:rPr>
        <w:t>آینده‌نگاری</w:t>
      </w:r>
      <w:r w:rsidRPr="0025250D">
        <w:rPr>
          <w:rFonts w:hint="cs"/>
          <w:rtl/>
        </w:rPr>
        <w:t xml:space="preserve"> آمریکا (1960-1980) بود. در سال 1972، </w:t>
      </w:r>
      <w:r w:rsidR="00B124DE" w:rsidRPr="0025250D">
        <w:rPr>
          <w:rFonts w:hint="cs"/>
          <w:rtl/>
        </w:rPr>
        <w:t>آینده‌اندیش</w:t>
      </w:r>
      <w:r w:rsidRPr="0025250D">
        <w:rPr>
          <w:rFonts w:hint="cs"/>
          <w:rtl/>
        </w:rPr>
        <w:t xml:space="preserve">ان در دولت آمریکا </w:t>
      </w:r>
      <w:r w:rsidRPr="0025250D">
        <w:rPr>
          <w:rtl/>
        </w:rPr>
        <w:t>دفتر ارز</w:t>
      </w:r>
      <w:r w:rsidRPr="0025250D">
        <w:rPr>
          <w:rFonts w:hint="cs"/>
          <w:rtl/>
        </w:rPr>
        <w:t>ی</w:t>
      </w:r>
      <w:r w:rsidRPr="0025250D">
        <w:rPr>
          <w:rFonts w:hint="eastAsia"/>
          <w:rtl/>
        </w:rPr>
        <w:t>اب</w:t>
      </w:r>
      <w:r w:rsidRPr="0025250D">
        <w:rPr>
          <w:rFonts w:hint="cs"/>
          <w:rtl/>
        </w:rPr>
        <w:t>ی</w:t>
      </w:r>
      <w:r w:rsidRPr="0025250D">
        <w:rPr>
          <w:rtl/>
        </w:rPr>
        <w:t xml:space="preserve"> فناور</w:t>
      </w:r>
      <w:r w:rsidRPr="0025250D">
        <w:rPr>
          <w:rFonts w:hint="cs"/>
          <w:rtl/>
        </w:rPr>
        <w:t>ی</w:t>
      </w:r>
      <w:r w:rsidRPr="0025250D">
        <w:rPr>
          <w:vertAlign w:val="superscript"/>
          <w:rtl/>
        </w:rPr>
        <w:footnoteReference w:id="1655"/>
      </w:r>
      <w:r w:rsidRPr="0025250D">
        <w:rPr>
          <w:rtl/>
        </w:rPr>
        <w:t xml:space="preserve"> دو حزب</w:t>
      </w:r>
      <w:r w:rsidRPr="0025250D">
        <w:rPr>
          <w:rFonts w:hint="cs"/>
          <w:rtl/>
        </w:rPr>
        <w:t>ی</w:t>
      </w:r>
      <w:r w:rsidRPr="0025250D">
        <w:rPr>
          <w:vertAlign w:val="superscript"/>
          <w:rtl/>
        </w:rPr>
        <w:footnoteReference w:id="1656"/>
      </w:r>
      <w:r w:rsidRPr="0025250D">
        <w:rPr>
          <w:rFonts w:hint="cs"/>
          <w:rtl/>
        </w:rPr>
        <w:t xml:space="preserve"> را برای راهنمایی کنگره که چند عضو آن هیچ آموزش علمی آکادمیکی درمورد موضوعات علمی و </w:t>
      </w:r>
      <w:r w:rsidR="007A53FD" w:rsidRPr="0025250D">
        <w:rPr>
          <w:rFonts w:hint="cs"/>
          <w:rtl/>
        </w:rPr>
        <w:t>فناوری</w:t>
      </w:r>
      <w:r w:rsidRPr="0025250D">
        <w:rPr>
          <w:rFonts w:hint="cs"/>
          <w:rtl/>
        </w:rPr>
        <w:t xml:space="preserve"> ندیده بودند، ایجاد کردند. </w:t>
      </w:r>
      <w:r w:rsidRPr="0025250D">
        <w:t>OTA</w:t>
      </w:r>
      <w:r w:rsidRPr="0025250D">
        <w:rPr>
          <w:rFonts w:hint="cs"/>
          <w:rtl/>
        </w:rPr>
        <w:t xml:space="preserve"> 750 مطالعه عالی تولید کرد، اما آن‌ها متأسفانه توسط </w:t>
      </w:r>
      <w:r w:rsidRPr="0025250D">
        <w:rPr>
          <w:rtl/>
        </w:rPr>
        <w:t>نومحافظه کاران</w:t>
      </w:r>
      <w:r w:rsidRPr="0025250D">
        <w:rPr>
          <w:vertAlign w:val="superscript"/>
          <w:rtl/>
        </w:rPr>
        <w:footnoteReference w:id="1657"/>
      </w:r>
      <w:r w:rsidRPr="0025250D">
        <w:rPr>
          <w:rFonts w:hint="cs"/>
          <w:rtl/>
        </w:rPr>
        <w:t xml:space="preserve"> در یک حرکت تجمیع و تحکیم قدرت سیاسی در سال 1955 از هم پاشیدند. به شکل تصادفی تری، جامعه اطلاعاتی و اندیشکده‌های دفاعی و </w:t>
      </w:r>
      <w:r w:rsidRPr="0025250D">
        <w:t>FERDC</w:t>
      </w:r>
      <w:r w:rsidRPr="0025250D">
        <w:rPr>
          <w:rFonts w:hint="cs"/>
          <w:rtl/>
        </w:rPr>
        <w:t xml:space="preserve">‌ها (مراکز تحقیق و توسعه با سرمایه فدرال) به استفاده از روش‌های </w:t>
      </w:r>
      <w:r w:rsidR="00923DDB" w:rsidRPr="0025250D">
        <w:rPr>
          <w:rFonts w:hint="cs"/>
          <w:rtl/>
        </w:rPr>
        <w:t>پیش‌انگاری</w:t>
      </w:r>
      <w:r w:rsidRPr="0025250D">
        <w:rPr>
          <w:rFonts w:hint="cs"/>
          <w:rtl/>
        </w:rPr>
        <w:t xml:space="preserve"> ادامه دادند، اما یک مشکل فرایند آن‌ها این است که بخش زیادی از کار آن‌ها به صورت آزاد منتشر نشده یا در معرض نقد خارجی قرار ندارد. سیاست‌های سازمانی همواره آنچه تحلیلگران داخلی می‌توانند درمورد آینده بگویند را محدود می‌کنند.</w:t>
      </w:r>
    </w:p>
    <w:p w14:paraId="614699B0" w14:textId="6D3C16D9" w:rsidR="00537CC8" w:rsidRPr="0025250D" w:rsidRDefault="00537CC8" w:rsidP="00537CC8">
      <w:pPr>
        <w:rPr>
          <w:rtl/>
        </w:rPr>
      </w:pPr>
      <w:r w:rsidRPr="0025250D">
        <w:rPr>
          <w:rFonts w:hint="cs"/>
          <w:rtl/>
        </w:rPr>
        <w:t>خوشبختانه، از سال 2011، پروژه قضاوت خوب</w:t>
      </w:r>
      <w:r w:rsidRPr="0025250D">
        <w:rPr>
          <w:vertAlign w:val="superscript"/>
          <w:rtl/>
        </w:rPr>
        <w:footnoteReference w:id="1658"/>
      </w:r>
      <w:r w:rsidRPr="0025250D">
        <w:rPr>
          <w:rFonts w:hint="cs"/>
          <w:rtl/>
        </w:rPr>
        <w:t xml:space="preserve"> توسط </w:t>
      </w:r>
      <w:r w:rsidRPr="0025250D">
        <w:rPr>
          <w:rtl/>
        </w:rPr>
        <w:t>ف</w:t>
      </w:r>
      <w:r w:rsidRPr="0025250D">
        <w:rPr>
          <w:rFonts w:hint="cs"/>
          <w:rtl/>
        </w:rPr>
        <w:t>ی</w:t>
      </w:r>
      <w:r w:rsidRPr="0025250D">
        <w:rPr>
          <w:rFonts w:hint="eastAsia"/>
          <w:rtl/>
        </w:rPr>
        <w:t>ل</w:t>
      </w:r>
      <w:r w:rsidRPr="0025250D">
        <w:rPr>
          <w:rFonts w:hint="cs"/>
          <w:rtl/>
        </w:rPr>
        <w:t>ی</w:t>
      </w:r>
      <w:r w:rsidRPr="0025250D">
        <w:rPr>
          <w:rFonts w:hint="eastAsia"/>
          <w:rtl/>
        </w:rPr>
        <w:t>پ</w:t>
      </w:r>
      <w:r w:rsidRPr="0025250D">
        <w:rPr>
          <w:rtl/>
        </w:rPr>
        <w:t xml:space="preserve"> تتلاک</w:t>
      </w:r>
      <w:r w:rsidRPr="0025250D">
        <w:rPr>
          <w:rFonts w:hint="cs"/>
          <w:rtl/>
        </w:rPr>
        <w:t xml:space="preserve"> نشان داد که بهترین </w:t>
      </w:r>
      <w:r w:rsidR="0008779C" w:rsidRPr="0025250D">
        <w:rPr>
          <w:rFonts w:hint="cs"/>
          <w:rtl/>
        </w:rPr>
        <w:t>پیش‌نگر</w:t>
      </w:r>
      <w:r w:rsidRPr="0025250D">
        <w:rPr>
          <w:rFonts w:hint="cs"/>
          <w:rtl/>
        </w:rPr>
        <w:t xml:space="preserve">‌های آماتور دائما متخصصین در جامعه اطلاعاتی را در تخمین احتمال رویداد‌های اجتماعی شکست می‌دهند. آن‌ها همیشه تا 30 درصد بهتر از متخصصین عمل می‌کنند، حتی وقتی این متخصصین به اطلاعات محرمانه دسترسی داشته باشند. این یک نشانک بزرگ برای ارزش پلتفرم‌های </w:t>
      </w:r>
      <w:r w:rsidR="00923DDB" w:rsidRPr="0025250D">
        <w:rPr>
          <w:rFonts w:hint="cs"/>
          <w:rtl/>
        </w:rPr>
        <w:t>پیش‌انگاری</w:t>
      </w:r>
      <w:r w:rsidRPr="0025250D">
        <w:rPr>
          <w:rFonts w:hint="cs"/>
          <w:rtl/>
        </w:rPr>
        <w:t xml:space="preserve"> و </w:t>
      </w:r>
      <w:r w:rsidR="00FB6A7E" w:rsidRPr="0025250D">
        <w:rPr>
          <w:rFonts w:hint="cs"/>
          <w:rtl/>
        </w:rPr>
        <w:t>پیش‌نگری</w:t>
      </w:r>
      <w:r w:rsidRPr="0025250D">
        <w:rPr>
          <w:rFonts w:hint="cs"/>
          <w:rtl/>
        </w:rPr>
        <w:t xml:space="preserve"> دولتی است. </w:t>
      </w:r>
      <w:r w:rsidR="00127288" w:rsidRPr="0025250D">
        <w:rPr>
          <w:rFonts w:hint="cs"/>
          <w:rtl/>
        </w:rPr>
        <w:t>فراپیش‌نگری</w:t>
      </w:r>
      <w:r w:rsidRPr="0025250D">
        <w:rPr>
          <w:rFonts w:hint="cs"/>
          <w:rtl/>
        </w:rPr>
        <w:t xml:space="preserve"> اثر </w:t>
      </w:r>
      <w:r w:rsidRPr="0025250D">
        <w:rPr>
          <w:rtl/>
        </w:rPr>
        <w:t>تتلاک</w:t>
      </w:r>
      <w:r w:rsidRPr="0025250D">
        <w:rPr>
          <w:rFonts w:hint="cs"/>
          <w:rtl/>
        </w:rPr>
        <w:t xml:space="preserve"> در سال 2015 یک نکته اثبات کننده محک برای فرایند‌های </w:t>
      </w:r>
      <w:r w:rsidR="00FB6A7E" w:rsidRPr="0025250D">
        <w:rPr>
          <w:rFonts w:hint="cs"/>
          <w:rtl/>
        </w:rPr>
        <w:t>پیش‌نگری</w:t>
      </w:r>
      <w:r w:rsidRPr="0025250D">
        <w:rPr>
          <w:rFonts w:hint="cs"/>
          <w:rtl/>
        </w:rPr>
        <w:t xml:space="preserve"> و </w:t>
      </w:r>
      <w:r w:rsidR="00D92F6E" w:rsidRPr="0025250D">
        <w:rPr>
          <w:rFonts w:hint="cs"/>
          <w:rtl/>
        </w:rPr>
        <w:t>پیش‌بین</w:t>
      </w:r>
      <w:r w:rsidRPr="0025250D">
        <w:rPr>
          <w:rFonts w:hint="cs"/>
          <w:rtl/>
        </w:rPr>
        <w:t xml:space="preserve">ی گروهی است که به شدت از دیگر رویکرد‌ها بهتر عمل می‌کنند. وقتی آمریکا نهایتا یک </w:t>
      </w:r>
      <w:r w:rsidRPr="0025250D">
        <w:t>OTA</w:t>
      </w:r>
      <w:r w:rsidRPr="0025250D">
        <w:rPr>
          <w:rFonts w:hint="cs"/>
          <w:rtl/>
        </w:rPr>
        <w:t xml:space="preserve"> دیگر و یک مجموعه از بازارهای </w:t>
      </w:r>
      <w:r w:rsidR="00D92F6E" w:rsidRPr="0025250D">
        <w:rPr>
          <w:rFonts w:hint="cs"/>
          <w:rtl/>
        </w:rPr>
        <w:t>پیش‌بین</w:t>
      </w:r>
      <w:r w:rsidRPr="0025250D">
        <w:rPr>
          <w:rFonts w:hint="cs"/>
          <w:rtl/>
        </w:rPr>
        <w:t xml:space="preserve"> دیگر با یک طراحی که در آن موبایل در اولویت قرار دارد به دست آورد، ممکن است ما بار دیگر در یک بهار </w:t>
      </w:r>
      <w:r w:rsidRPr="0025250D">
        <w:rPr>
          <w:rtl/>
        </w:rPr>
        <w:t>آینده‌نگاری</w:t>
      </w:r>
      <w:r w:rsidRPr="0025250D">
        <w:rPr>
          <w:rFonts w:hint="cs"/>
          <w:rtl/>
        </w:rPr>
        <w:t xml:space="preserve"> دولتی دیگر قرار گیریم. تا آن زمان، آماده باشید.</w:t>
      </w:r>
    </w:p>
    <w:p w14:paraId="6C82DA17" w14:textId="46E2DE76" w:rsidR="00537CC8" w:rsidRPr="0025250D" w:rsidRDefault="00537CC8" w:rsidP="00537CC8">
      <w:pPr>
        <w:rPr>
          <w:rtl/>
        </w:rPr>
      </w:pPr>
      <w:r w:rsidRPr="0025250D">
        <w:rPr>
          <w:rFonts w:hint="cs"/>
          <w:rtl/>
        </w:rPr>
        <w:t xml:space="preserve">در سال 2021، </w:t>
      </w:r>
      <w:r w:rsidRPr="0025250D">
        <w:rPr>
          <w:rtl/>
        </w:rPr>
        <w:t>ما</w:t>
      </w:r>
      <w:r w:rsidRPr="0025250D">
        <w:rPr>
          <w:rFonts w:hint="cs"/>
          <w:rtl/>
        </w:rPr>
        <w:t>ی</w:t>
      </w:r>
      <w:r w:rsidRPr="0025250D">
        <w:rPr>
          <w:rFonts w:hint="eastAsia"/>
          <w:rtl/>
        </w:rPr>
        <w:t>کل</w:t>
      </w:r>
      <w:r w:rsidRPr="0025250D">
        <w:rPr>
          <w:rtl/>
        </w:rPr>
        <w:t xml:space="preserve"> هوروو</w:t>
      </w:r>
      <w:r w:rsidRPr="0025250D">
        <w:rPr>
          <w:rFonts w:hint="cs"/>
          <w:rtl/>
        </w:rPr>
        <w:t>ی</w:t>
      </w:r>
      <w:r w:rsidRPr="0025250D">
        <w:rPr>
          <w:vertAlign w:val="superscript"/>
          <w:rtl/>
        </w:rPr>
        <w:footnoteReference w:id="1659"/>
      </w:r>
      <w:r w:rsidRPr="0025250D">
        <w:rPr>
          <w:rFonts w:hint="cs"/>
          <w:rtl/>
        </w:rPr>
        <w:t xml:space="preserve"> و همکاران در مرکز پری ورلد هاوس</w:t>
      </w:r>
      <w:r w:rsidRPr="0025250D">
        <w:rPr>
          <w:vertAlign w:val="superscript"/>
          <w:rtl/>
        </w:rPr>
        <w:footnoteReference w:id="1660"/>
      </w:r>
      <w:r w:rsidRPr="0025250D">
        <w:rPr>
          <w:rFonts w:hint="cs"/>
          <w:rtl/>
        </w:rPr>
        <w:t xml:space="preserve"> در </w:t>
      </w:r>
      <w:r w:rsidRPr="0025250D">
        <w:rPr>
          <w:rtl/>
        </w:rPr>
        <w:t>دانشگاه پنس</w:t>
      </w:r>
      <w:r w:rsidRPr="0025250D">
        <w:rPr>
          <w:rFonts w:hint="cs"/>
          <w:rtl/>
        </w:rPr>
        <w:t>ی</w:t>
      </w:r>
      <w:r w:rsidRPr="0025250D">
        <w:rPr>
          <w:rFonts w:hint="eastAsia"/>
          <w:rtl/>
        </w:rPr>
        <w:t>لوان</w:t>
      </w:r>
      <w:r w:rsidRPr="0025250D">
        <w:rPr>
          <w:rFonts w:hint="cs"/>
          <w:rtl/>
        </w:rPr>
        <w:t>ی</w:t>
      </w:r>
      <w:r w:rsidRPr="0025250D">
        <w:rPr>
          <w:rFonts w:hint="eastAsia"/>
          <w:rtl/>
        </w:rPr>
        <w:t>ا</w:t>
      </w:r>
      <w:r w:rsidRPr="0025250D">
        <w:rPr>
          <w:rFonts w:hint="cs"/>
          <w:rtl/>
        </w:rPr>
        <w:t xml:space="preserve">، یک مرکز مطالعات جهانی، مقاله‌ای با عنوان ثبت رخداد ها: یک رویکرد جدید نسبت به </w:t>
      </w:r>
      <w:r w:rsidR="00FB6A7E" w:rsidRPr="0025250D">
        <w:rPr>
          <w:rFonts w:hint="cs"/>
          <w:rtl/>
        </w:rPr>
        <w:t>پیش‌نگری</w:t>
      </w:r>
      <w:r w:rsidRPr="0025250D">
        <w:rPr>
          <w:rFonts w:hint="cs"/>
          <w:rtl/>
        </w:rPr>
        <w:t xml:space="preserve"> ژئوپولتیک</w:t>
      </w:r>
      <w:r w:rsidRPr="0025250D">
        <w:rPr>
          <w:vertAlign w:val="superscript"/>
          <w:rtl/>
        </w:rPr>
        <w:footnoteReference w:id="1661"/>
      </w:r>
      <w:r w:rsidRPr="0025250D">
        <w:rPr>
          <w:rFonts w:hint="cs"/>
          <w:rtl/>
        </w:rPr>
        <w:t xml:space="preserve"> منتشر کردند. این گزارش </w:t>
      </w:r>
      <w:r w:rsidR="00B56611" w:rsidRPr="0025250D">
        <w:rPr>
          <w:rFonts w:hint="cs"/>
          <w:rtl/>
        </w:rPr>
        <w:t>چشم‌انداز</w:t>
      </w:r>
      <w:r w:rsidRPr="0025250D">
        <w:rPr>
          <w:rFonts w:hint="cs"/>
          <w:rtl/>
        </w:rPr>
        <w:t xml:space="preserve"> گرا تحقیقات جدیدی که ارزش استفاده از بازارهای </w:t>
      </w:r>
      <w:r w:rsidR="00D92F6E" w:rsidRPr="0025250D">
        <w:rPr>
          <w:rFonts w:hint="cs"/>
          <w:rtl/>
        </w:rPr>
        <w:t>پیش‌بین</w:t>
      </w:r>
      <w:r w:rsidRPr="0025250D">
        <w:rPr>
          <w:rFonts w:hint="cs"/>
          <w:rtl/>
        </w:rPr>
        <w:t xml:space="preserve">ی و پلتفرم‌های انباشت </w:t>
      </w:r>
      <w:r w:rsidR="00FB6A7E" w:rsidRPr="0025250D">
        <w:rPr>
          <w:rFonts w:hint="cs"/>
          <w:rtl/>
        </w:rPr>
        <w:t>پیش‌نگری</w:t>
      </w:r>
      <w:r w:rsidRPr="0025250D">
        <w:rPr>
          <w:rFonts w:hint="cs"/>
          <w:rtl/>
        </w:rPr>
        <w:t xml:space="preserve"> را برای درک احتمالات رویداد‌های مختلف و بهبود دائمی مدلهای جهان ما نشان می‌دهند، مشخص می‌کند. آن‌ها نشان می‌دهند که چگونه </w:t>
      </w:r>
      <w:r w:rsidR="00362EF3" w:rsidRPr="0025250D">
        <w:rPr>
          <w:rFonts w:hint="cs"/>
          <w:rtl/>
        </w:rPr>
        <w:t>فرانامه‌های</w:t>
      </w:r>
      <w:r w:rsidRPr="0025250D">
        <w:rPr>
          <w:rFonts w:hint="cs"/>
          <w:rtl/>
        </w:rPr>
        <w:t xml:space="preserve"> متعدد با کلماتی دروغین و مبهم نوشته می‌شوند، اما </w:t>
      </w:r>
      <w:r w:rsidR="00FB6A7E" w:rsidRPr="0025250D">
        <w:rPr>
          <w:rFonts w:hint="cs"/>
          <w:rtl/>
        </w:rPr>
        <w:t>پیش‌نگری</w:t>
      </w:r>
      <w:r w:rsidRPr="0025250D">
        <w:rPr>
          <w:rFonts w:hint="cs"/>
          <w:rtl/>
        </w:rPr>
        <w:t xml:space="preserve">‌ها دقیق هستند. دانستن این که چه کسی </w:t>
      </w:r>
      <w:r w:rsidR="00FB6A7E" w:rsidRPr="0025250D">
        <w:rPr>
          <w:rFonts w:hint="cs"/>
          <w:rtl/>
        </w:rPr>
        <w:t>پیش‌نگری</w:t>
      </w:r>
      <w:r w:rsidRPr="0025250D">
        <w:rPr>
          <w:rFonts w:hint="cs"/>
          <w:rtl/>
        </w:rPr>
        <w:t xml:space="preserve"> خوبی انجام می‌دهد می‌تواند به ما برای دیدن این که فرضیات و مدل‌های ما در کجا اشتباه هستند کمک کند. </w:t>
      </w:r>
      <w:r w:rsidRPr="0025250D">
        <w:rPr>
          <w:rtl/>
        </w:rPr>
        <w:t>جول</w:t>
      </w:r>
      <w:r w:rsidRPr="0025250D">
        <w:rPr>
          <w:rFonts w:hint="cs"/>
          <w:rtl/>
        </w:rPr>
        <w:t>ی</w:t>
      </w:r>
      <w:r w:rsidRPr="0025250D">
        <w:rPr>
          <w:rFonts w:hint="eastAsia"/>
          <w:rtl/>
        </w:rPr>
        <w:t>ا</w:t>
      </w:r>
      <w:r w:rsidRPr="0025250D">
        <w:rPr>
          <w:rtl/>
        </w:rPr>
        <w:t xml:space="preserve"> س</w:t>
      </w:r>
      <w:r w:rsidRPr="0025250D">
        <w:rPr>
          <w:rFonts w:hint="cs"/>
          <w:rtl/>
        </w:rPr>
        <w:t>ی</w:t>
      </w:r>
      <w:r w:rsidRPr="0025250D">
        <w:rPr>
          <w:rFonts w:hint="eastAsia"/>
          <w:rtl/>
        </w:rPr>
        <w:t>وکا</w:t>
      </w:r>
      <w:r w:rsidRPr="0025250D">
        <w:rPr>
          <w:vertAlign w:val="superscript"/>
          <w:rtl/>
        </w:rPr>
        <w:footnoteReference w:id="1662"/>
      </w:r>
      <w:r w:rsidRPr="0025250D">
        <w:rPr>
          <w:rFonts w:hint="cs"/>
          <w:rtl/>
        </w:rPr>
        <w:t xml:space="preserve"> و همکاران در پری ورلد هاوس این مطالعه را با اثری به نام دولت آمریکا چگونه می‌تواند دیدن آینده را یاد بگیرد</w:t>
      </w:r>
      <w:r w:rsidRPr="0025250D">
        <w:rPr>
          <w:vertAlign w:val="superscript"/>
          <w:rtl/>
        </w:rPr>
        <w:footnoteReference w:id="1663"/>
      </w:r>
      <w:r w:rsidRPr="0025250D">
        <w:rPr>
          <w:rFonts w:hint="cs"/>
          <w:rtl/>
        </w:rPr>
        <w:t xml:space="preserve"> در وبگاه </w:t>
      </w:r>
      <w:r w:rsidRPr="0025250D">
        <w:t>Lawfareblog.com</w:t>
      </w:r>
      <w:r w:rsidRPr="0025250D">
        <w:rPr>
          <w:rFonts w:hint="cs"/>
          <w:rtl/>
        </w:rPr>
        <w:t xml:space="preserve"> در سال 2021 ادامه دادند. این نویسندگان به نبود دقت در بیش‌تر ارزیابی‌های </w:t>
      </w:r>
      <w:r w:rsidRPr="0025250D">
        <w:rPr>
          <w:rtl/>
        </w:rPr>
        <w:t>آینده‌نگاری</w:t>
      </w:r>
      <w:r w:rsidRPr="0025250D">
        <w:rPr>
          <w:rFonts w:hint="cs"/>
          <w:rtl/>
        </w:rPr>
        <w:t xml:space="preserve"> و این که ما چقدر راحت زبان را وقتی بازه‌های اطمینان و احتمالات به آن‌ها متصل نشوند به اشتباه تفسیر می‌کنیم، توجه دارند.</w:t>
      </w:r>
    </w:p>
    <w:p w14:paraId="72F5866F" w14:textId="1C067912" w:rsidR="00537CC8" w:rsidRPr="0025250D" w:rsidRDefault="00537CC8" w:rsidP="00537CC8">
      <w:pPr>
        <w:rPr>
          <w:rtl/>
        </w:rPr>
      </w:pPr>
      <w:r w:rsidRPr="0025250D">
        <w:rPr>
          <w:rFonts w:hint="cs"/>
          <w:rtl/>
        </w:rPr>
        <w:t xml:space="preserve">برای مثال، رئیس جمهور آمریکا </w:t>
      </w:r>
      <w:r w:rsidRPr="0025250D">
        <w:rPr>
          <w:rtl/>
        </w:rPr>
        <w:t>جان کند</w:t>
      </w:r>
      <w:r w:rsidRPr="0025250D">
        <w:rPr>
          <w:rFonts w:hint="cs"/>
          <w:rtl/>
        </w:rPr>
        <w:t xml:space="preserve">ی تهاجم بد فرجام به خلیج </w:t>
      </w:r>
      <w:r w:rsidR="00543186" w:rsidRPr="0025250D">
        <w:rPr>
          <w:rFonts w:hint="cs"/>
          <w:rtl/>
        </w:rPr>
        <w:t>پیگز</w:t>
      </w:r>
      <w:r w:rsidR="00543186" w:rsidRPr="0025250D">
        <w:rPr>
          <w:rStyle w:val="FootnoteReference"/>
          <w:rtl/>
        </w:rPr>
        <w:footnoteReference w:id="1664"/>
      </w:r>
      <w:r w:rsidRPr="0025250D">
        <w:rPr>
          <w:rFonts w:hint="cs"/>
          <w:rtl/>
        </w:rPr>
        <w:t xml:space="preserve"> در کوبا را در سال 1961 به این دلیل که تحلیلگرانش به او گفتند که شانس خوبی برای موفقیت وجود دارد آغاز کرد. </w:t>
      </w:r>
      <w:r w:rsidRPr="0025250D">
        <w:rPr>
          <w:rtl/>
        </w:rPr>
        <w:t>کند</w:t>
      </w:r>
      <w:r w:rsidRPr="0025250D">
        <w:rPr>
          <w:rFonts w:hint="cs"/>
          <w:rtl/>
        </w:rPr>
        <w:t>ی</w:t>
      </w:r>
      <w:r w:rsidR="00EE4B64" w:rsidRPr="0025250D">
        <w:rPr>
          <w:rFonts w:hint="cs"/>
          <w:rtl/>
        </w:rPr>
        <w:t xml:space="preserve"> نمی‌</w:t>
      </w:r>
      <w:r w:rsidRPr="0025250D">
        <w:rPr>
          <w:rFonts w:hint="cs"/>
          <w:rtl/>
        </w:rPr>
        <w:t xml:space="preserve">دانست که از نظر آن تحلیلگران شانس خوب موفقیت تنها 30 درصد شانس بود. با توجه به شخصیتش اگر امکانش را داشت، قبل از موافقت با چنین تهاجمی، احتمالا مطالعات حقیقت یاب (یک پاسخ مورد علاقه اش) را انجام می‌داد. این هوشمندی و اطلاعات مضاعف، درصورتی که به شکلی منطقی بدون سوگیری بودند، می‌توانستند فرضیات معیوب تیم او را آشکار کنند. چه با این تاریخ </w:t>
      </w:r>
      <w:r w:rsidR="00563645" w:rsidRPr="0025250D">
        <w:rPr>
          <w:rFonts w:hint="cs"/>
          <w:rtl/>
        </w:rPr>
        <w:t>بدیل</w:t>
      </w:r>
      <w:r w:rsidRPr="0025250D">
        <w:rPr>
          <w:rFonts w:hint="cs"/>
          <w:rtl/>
        </w:rPr>
        <w:t xml:space="preserve"> موافق باشیم یا خیر، می‌توانیم حداقل موافق باشیم که اغلب، احتمالات اهمیت دارند. ما امیدواریم که مطالعاتی مانند مطالعات </w:t>
      </w:r>
      <w:r w:rsidRPr="0025250D">
        <w:rPr>
          <w:rtl/>
        </w:rPr>
        <w:t>هوروو</w:t>
      </w:r>
      <w:r w:rsidRPr="0025250D">
        <w:rPr>
          <w:rFonts w:hint="cs"/>
          <w:rtl/>
        </w:rPr>
        <w:t>ی</w:t>
      </w:r>
      <w:r w:rsidRPr="0025250D">
        <w:rPr>
          <w:rFonts w:hint="eastAsia"/>
          <w:rtl/>
        </w:rPr>
        <w:t>تز</w:t>
      </w:r>
      <w:r w:rsidRPr="0025250D">
        <w:rPr>
          <w:vertAlign w:val="superscript"/>
          <w:rtl/>
        </w:rPr>
        <w:footnoteReference w:id="1665"/>
      </w:r>
      <w:r w:rsidRPr="0025250D">
        <w:rPr>
          <w:rFonts w:hint="cs"/>
          <w:rtl/>
        </w:rPr>
        <w:t xml:space="preserve"> به بودجه‌های حقیقی برای فرایند </w:t>
      </w:r>
      <w:r w:rsidRPr="0025250D">
        <w:rPr>
          <w:rtl/>
        </w:rPr>
        <w:t>آینده‌نگاری</w:t>
      </w:r>
      <w:r w:rsidRPr="0025250D">
        <w:rPr>
          <w:rFonts w:hint="cs"/>
          <w:rtl/>
        </w:rPr>
        <w:t xml:space="preserve"> دولتی بهتر تعبیر شوند. اگرچه زیاد منتظر آن درآینده نزدیک نباشید. </w:t>
      </w:r>
      <w:r w:rsidR="00923DDB" w:rsidRPr="0025250D">
        <w:rPr>
          <w:rFonts w:hint="cs"/>
          <w:rtl/>
        </w:rPr>
        <w:t>پیش‌انگاری</w:t>
      </w:r>
      <w:r w:rsidRPr="0025250D">
        <w:rPr>
          <w:rFonts w:hint="cs"/>
          <w:rtl/>
        </w:rPr>
        <w:t xml:space="preserve"> دولتی در حکومت زرسالاری </w:t>
      </w:r>
      <w:r w:rsidR="00543186" w:rsidRPr="0025250D">
        <w:rPr>
          <w:rFonts w:hint="cs"/>
          <w:rtl/>
        </w:rPr>
        <w:t xml:space="preserve">بیش از جستجوی حقیقت، </w:t>
      </w:r>
      <w:r w:rsidRPr="0025250D">
        <w:rPr>
          <w:rFonts w:hint="cs"/>
          <w:rtl/>
        </w:rPr>
        <w:t xml:space="preserve">در خدمت علایق نخبگان می‌باشد. تا زمانی که به یک حالت دموکراتیک‌تر از دولت بازنگردیم، دولتی که بازنمایی کننده همه علایق ما باشد، نباید انتظار داشته باشیم که بهترین </w:t>
      </w:r>
      <w:r w:rsidRPr="0025250D">
        <w:rPr>
          <w:rtl/>
        </w:rPr>
        <w:t>آینده‌نگاری</w:t>
      </w:r>
      <w:r w:rsidRPr="0025250D">
        <w:rPr>
          <w:rFonts w:hint="cs"/>
          <w:rtl/>
        </w:rPr>
        <w:t xml:space="preserve"> از عمومی‌ترین</w:t>
      </w:r>
      <w:r w:rsidR="008D6F97" w:rsidRPr="0025250D">
        <w:rPr>
          <w:rtl/>
        </w:rPr>
        <w:t xml:space="preserve"> </w:t>
      </w:r>
      <w:r w:rsidRPr="0025250D">
        <w:rPr>
          <w:rFonts w:hint="cs"/>
          <w:rtl/>
        </w:rPr>
        <w:t>مؤسسات ایجاد شود.</w:t>
      </w:r>
    </w:p>
    <w:p w14:paraId="503347AF" w14:textId="3876C36C" w:rsidR="00537CC8" w:rsidRPr="0025250D" w:rsidRDefault="00537CC8" w:rsidP="00537CC8">
      <w:pPr>
        <w:rPr>
          <w:rtl/>
        </w:rPr>
      </w:pPr>
      <w:r w:rsidRPr="0025250D">
        <w:rPr>
          <w:rFonts w:hint="cs"/>
          <w:rtl/>
        </w:rPr>
        <w:t xml:space="preserve">دو مثال از </w:t>
      </w:r>
      <w:r w:rsidR="00923DDB" w:rsidRPr="0025250D">
        <w:rPr>
          <w:rFonts w:hint="cs"/>
          <w:rtl/>
        </w:rPr>
        <w:t>پیش‌انگاری</w:t>
      </w:r>
      <w:r w:rsidRPr="0025250D">
        <w:rPr>
          <w:rFonts w:hint="cs"/>
          <w:rtl/>
        </w:rPr>
        <w:t xml:space="preserve"> تیمی موفق را در سازمان‌های انتفاعی در نظر بگیرید. معروف است که تیم‌های توسعه محصول اپل تقاضای انبوه مصرف کننده را برای آیپاد، گوشی‌های هوشمند و آیپد </w:t>
      </w:r>
      <w:r w:rsidR="00923DDB" w:rsidRPr="0025250D">
        <w:rPr>
          <w:rFonts w:hint="cs"/>
          <w:rtl/>
        </w:rPr>
        <w:t>پیش‌انگاری</w:t>
      </w:r>
      <w:r w:rsidRPr="0025250D">
        <w:rPr>
          <w:rFonts w:hint="cs"/>
          <w:rtl/>
        </w:rPr>
        <w:t xml:space="preserve"> کردند. آن‌ها از </w:t>
      </w:r>
      <w:r w:rsidR="00923DDB" w:rsidRPr="0025250D">
        <w:rPr>
          <w:rtl/>
        </w:rPr>
        <w:t>پیش‌انگاری</w:t>
      </w:r>
      <w:r w:rsidRPr="0025250D">
        <w:rPr>
          <w:rFonts w:hint="cs"/>
          <w:rtl/>
        </w:rPr>
        <w:t xml:space="preserve"> برای متحول سازی این سه دسته محصول استفاده کردند و تشخیص دادند که قفل</w:t>
      </w:r>
      <w:r w:rsidR="00543186" w:rsidRPr="0025250D">
        <w:rPr>
          <w:rFonts w:hint="cs"/>
          <w:rtl/>
        </w:rPr>
        <w:t>‌</w:t>
      </w:r>
      <w:r w:rsidRPr="0025250D">
        <w:rPr>
          <w:rFonts w:hint="cs"/>
          <w:rtl/>
        </w:rPr>
        <w:t>گشایی از طریق کلید رابط‌های کاربری ساده اما قدرتمندی خواهند بود که تحت پشتیبانی بازار (آیتونز</w:t>
      </w:r>
      <w:r w:rsidRPr="0025250D">
        <w:rPr>
          <w:vertAlign w:val="superscript"/>
          <w:rtl/>
        </w:rPr>
        <w:footnoteReference w:id="1666"/>
      </w:r>
      <w:r w:rsidRPr="0025250D">
        <w:rPr>
          <w:rFonts w:hint="cs"/>
          <w:rtl/>
        </w:rPr>
        <w:t xml:space="preserve">، </w:t>
      </w:r>
      <w:r w:rsidRPr="0025250D">
        <w:rPr>
          <w:rtl/>
        </w:rPr>
        <w:t>اپ استور</w:t>
      </w:r>
      <w:r w:rsidRPr="0025250D">
        <w:rPr>
          <w:vertAlign w:val="superscript"/>
          <w:rtl/>
        </w:rPr>
        <w:footnoteReference w:id="1667"/>
      </w:r>
      <w:r w:rsidRPr="0025250D">
        <w:rPr>
          <w:rFonts w:hint="cs"/>
          <w:rtl/>
        </w:rPr>
        <w:t xml:space="preserve">) با گزینه‌های بهبود یافته هستند. این سه محصول همگی مشخصا می‌بایست در نهایت وجود می‌داشتند و هر یک برای مدت‌ها در ادبیات علمی تخیلی </w:t>
      </w:r>
      <w:r w:rsidR="00923DDB" w:rsidRPr="0025250D">
        <w:rPr>
          <w:rFonts w:hint="cs"/>
          <w:rtl/>
        </w:rPr>
        <w:t>پیش‌انگاری</w:t>
      </w:r>
      <w:r w:rsidRPr="0025250D">
        <w:rPr>
          <w:rFonts w:hint="cs"/>
          <w:rtl/>
        </w:rPr>
        <w:t xml:space="preserve"> شده بودند. آیپد (تبلت)، برای مثال، در فیلم </w:t>
      </w:r>
      <w:r w:rsidRPr="0025250D">
        <w:rPr>
          <w:rtl/>
        </w:rPr>
        <w:t>کوبر</w:t>
      </w:r>
      <w:r w:rsidRPr="0025250D">
        <w:rPr>
          <w:rFonts w:hint="cs"/>
          <w:rtl/>
        </w:rPr>
        <w:t>ی</w:t>
      </w:r>
      <w:r w:rsidRPr="0025250D">
        <w:rPr>
          <w:rFonts w:hint="eastAsia"/>
          <w:rtl/>
        </w:rPr>
        <w:t>ک</w:t>
      </w:r>
      <w:r w:rsidRPr="0025250D">
        <w:rPr>
          <w:vertAlign w:val="superscript"/>
          <w:rtl/>
        </w:rPr>
        <w:footnoteReference w:id="1668"/>
      </w:r>
      <w:r w:rsidRPr="0025250D">
        <w:rPr>
          <w:rFonts w:hint="cs"/>
          <w:rtl/>
        </w:rPr>
        <w:t xml:space="preserve"> و </w:t>
      </w:r>
      <w:r w:rsidRPr="0025250D">
        <w:rPr>
          <w:rtl/>
        </w:rPr>
        <w:t>کلارک</w:t>
      </w:r>
      <w:r w:rsidRPr="0025250D">
        <w:rPr>
          <w:vertAlign w:val="superscript"/>
          <w:rtl/>
        </w:rPr>
        <w:footnoteReference w:id="1669"/>
      </w:r>
      <w:r w:rsidRPr="0025250D">
        <w:rPr>
          <w:rFonts w:hint="cs"/>
          <w:rtl/>
        </w:rPr>
        <w:t xml:space="preserve"> به نام 2001: یک ادیسه فضایی در سال 1968 ظاهر شد. با این وجود، کسی باید </w:t>
      </w:r>
      <w:r w:rsidR="00D92F6E" w:rsidRPr="0025250D">
        <w:rPr>
          <w:rFonts w:hint="cs"/>
          <w:rtl/>
        </w:rPr>
        <w:t>پیش‌بین</w:t>
      </w:r>
      <w:r w:rsidRPr="0025250D">
        <w:rPr>
          <w:rFonts w:hint="cs"/>
          <w:rtl/>
        </w:rPr>
        <w:t xml:space="preserve">ی می‌کرد که چه زمانی </w:t>
      </w:r>
      <w:r w:rsidR="007A53FD" w:rsidRPr="0025250D">
        <w:rPr>
          <w:rFonts w:hint="cs"/>
          <w:rtl/>
        </w:rPr>
        <w:t>فناوری</w:t>
      </w:r>
      <w:r w:rsidRPr="0025250D">
        <w:rPr>
          <w:rFonts w:hint="cs"/>
          <w:rtl/>
        </w:rPr>
        <w:t xml:space="preserve"> و مجموعه ویژگی‌های مهم و بازاریابی که ما را قادر به پذیرش انبوه </w:t>
      </w:r>
      <w:r w:rsidR="00543186" w:rsidRPr="0025250D">
        <w:rPr>
          <w:rFonts w:hint="cs"/>
          <w:rtl/>
        </w:rPr>
        <w:t>می‌نمودند</w:t>
      </w:r>
      <w:r w:rsidRPr="0025250D">
        <w:rPr>
          <w:rFonts w:hint="cs"/>
          <w:rtl/>
        </w:rPr>
        <w:t xml:space="preserve">، برای عرضه چنین محصولی مناسب </w:t>
      </w:r>
      <w:r w:rsidR="00543186" w:rsidRPr="0025250D">
        <w:rPr>
          <w:rFonts w:hint="cs"/>
          <w:rtl/>
        </w:rPr>
        <w:t>خواهند بود</w:t>
      </w:r>
      <w:r w:rsidRPr="0025250D">
        <w:rPr>
          <w:rFonts w:hint="cs"/>
          <w:rtl/>
        </w:rPr>
        <w:t>. دهه‌های 1990 و 2000 پر از پخش کننده‌های موسیقی دیجیتال، گوشی‌های هوشمند اولیه و تبلت‌های دیجیتالی شکست</w:t>
      </w:r>
      <w:r w:rsidRPr="0025250D">
        <w:rPr>
          <w:rtl/>
        </w:rPr>
        <w:t xml:space="preserve"> </w:t>
      </w:r>
      <w:r w:rsidRPr="0025250D">
        <w:rPr>
          <w:rFonts w:hint="cs"/>
          <w:rtl/>
        </w:rPr>
        <w:t>خورده</w:t>
      </w:r>
      <w:r w:rsidRPr="0025250D">
        <w:rPr>
          <w:rtl/>
        </w:rPr>
        <w:t xml:space="preserve"> </w:t>
      </w:r>
      <w:r w:rsidRPr="0025250D">
        <w:rPr>
          <w:rFonts w:hint="cs"/>
          <w:rtl/>
        </w:rPr>
        <w:t>یا</w:t>
      </w:r>
      <w:r w:rsidRPr="0025250D">
        <w:rPr>
          <w:rtl/>
        </w:rPr>
        <w:t xml:space="preserve"> </w:t>
      </w:r>
      <w:r w:rsidRPr="0025250D">
        <w:rPr>
          <w:rFonts w:hint="cs"/>
          <w:rtl/>
        </w:rPr>
        <w:t>با موفقیت تجاری ناچیز</w:t>
      </w:r>
      <w:r w:rsidRPr="0025250D">
        <w:rPr>
          <w:rtl/>
        </w:rPr>
        <w:t xml:space="preserve"> </w:t>
      </w:r>
      <w:r w:rsidRPr="0025250D">
        <w:rPr>
          <w:rFonts w:hint="cs"/>
          <w:rtl/>
        </w:rPr>
        <w:t>بودند.</w:t>
      </w:r>
    </w:p>
    <w:p w14:paraId="5A51EC0D" w14:textId="3F33E505" w:rsidR="00537CC8" w:rsidRPr="0025250D" w:rsidRDefault="00537CC8" w:rsidP="00537CC8">
      <w:pPr>
        <w:rPr>
          <w:rtl/>
        </w:rPr>
      </w:pPr>
      <w:r w:rsidRPr="0025250D">
        <w:rPr>
          <w:rFonts w:hint="cs"/>
          <w:rtl/>
        </w:rPr>
        <w:t xml:space="preserve">گروه هوش مصنوعی گوگل یک مثال </w:t>
      </w:r>
      <w:r w:rsidR="00923DDB" w:rsidRPr="0025250D">
        <w:rPr>
          <w:rtl/>
        </w:rPr>
        <w:t>پیش‌انگاری</w:t>
      </w:r>
      <w:r w:rsidR="008D6F97" w:rsidRPr="0025250D">
        <w:t xml:space="preserve"> </w:t>
      </w:r>
      <w:r w:rsidRPr="0025250D">
        <w:rPr>
          <w:rFonts w:hint="cs"/>
          <w:rtl/>
        </w:rPr>
        <w:t>شرکتی دیگر است. در سال 2015، گوگل ابزارها و کتاب خانه‌های هوش</w:t>
      </w:r>
      <w:r w:rsidRPr="0025250D">
        <w:rPr>
          <w:rtl/>
        </w:rPr>
        <w:t xml:space="preserve"> </w:t>
      </w:r>
      <w:r w:rsidRPr="0025250D">
        <w:rPr>
          <w:rFonts w:hint="cs"/>
          <w:rtl/>
        </w:rPr>
        <w:t>مصنوعی آزاد خود برای استفاده عمومی را تحت یک مجوز متن باز</w:t>
      </w:r>
      <w:r w:rsidRPr="0025250D">
        <w:rPr>
          <w:vertAlign w:val="superscript"/>
          <w:rtl/>
        </w:rPr>
        <w:footnoteReference w:id="1670"/>
      </w:r>
      <w:r w:rsidRPr="0025250D">
        <w:rPr>
          <w:rFonts w:hint="cs"/>
          <w:rtl/>
        </w:rPr>
        <w:t xml:space="preserve"> منتشر کرد. آن‌ها دریافتند که 15 میلیون کد نویس در گیت هاب، یک شبکه بسیار پیچیده‌تر نسبت به 30000 نفر مهندس نرم افزار آن‌ها بودند. استفاده از این جامعه از کدنویس‌ها برای استفاده از ابزارهای آنان در ابتدا به گوگل دسترسی به یک مخزن و بازار توسعه و استخدام کلیدی را داد. آن‌ها متوجه شدند که هر کسی که ابتدا یک </w:t>
      </w:r>
      <w:r w:rsidR="00701E03" w:rsidRPr="0025250D">
        <w:rPr>
          <w:rFonts w:hint="cs"/>
          <w:rtl/>
        </w:rPr>
        <w:t>راهبرد</w:t>
      </w:r>
      <w:r w:rsidRPr="0025250D">
        <w:rPr>
          <w:rFonts w:hint="cs"/>
          <w:rtl/>
        </w:rPr>
        <w:t xml:space="preserve"> باز را اتخاذ کند و ساده‌ترین</w:t>
      </w:r>
      <w:r w:rsidR="008D6F97" w:rsidRPr="0025250D">
        <w:rPr>
          <w:rtl/>
        </w:rPr>
        <w:t xml:space="preserve"> </w:t>
      </w:r>
      <w:r w:rsidRPr="0025250D">
        <w:rPr>
          <w:rFonts w:hint="cs"/>
          <w:rtl/>
        </w:rPr>
        <w:t xml:space="preserve">ابزارها برای استفاده و محیط‌های توسعه را برای استفاده عمومی فراهم کند، احتمالا می‌تواند رهبری استعداد‌های هوش مصنوعی را به دست گیرد. گوگل این کار را تقریباً یک سال قبل از این که </w:t>
      </w:r>
      <w:r w:rsidRPr="0025250D">
        <w:rPr>
          <w:rtl/>
        </w:rPr>
        <w:t>آمازون</w:t>
      </w:r>
      <w:r w:rsidRPr="0025250D">
        <w:rPr>
          <w:rFonts w:hint="cs"/>
          <w:rtl/>
        </w:rPr>
        <w:t xml:space="preserve">، </w:t>
      </w:r>
      <w:r w:rsidRPr="0025250D">
        <w:rPr>
          <w:rtl/>
        </w:rPr>
        <w:t>ف</w:t>
      </w:r>
      <w:r w:rsidRPr="0025250D">
        <w:rPr>
          <w:rFonts w:hint="cs"/>
          <w:rtl/>
        </w:rPr>
        <w:t>ی</w:t>
      </w:r>
      <w:r w:rsidRPr="0025250D">
        <w:rPr>
          <w:rFonts w:hint="eastAsia"/>
          <w:rtl/>
        </w:rPr>
        <w:t>س</w:t>
      </w:r>
      <w:r w:rsidRPr="0025250D">
        <w:rPr>
          <w:rtl/>
        </w:rPr>
        <w:t xml:space="preserve"> بوک</w:t>
      </w:r>
      <w:r w:rsidRPr="0025250D">
        <w:rPr>
          <w:rFonts w:hint="cs"/>
          <w:rtl/>
        </w:rPr>
        <w:t xml:space="preserve">، </w:t>
      </w:r>
      <w:r w:rsidRPr="0025250D">
        <w:rPr>
          <w:rtl/>
        </w:rPr>
        <w:t>ما</w:t>
      </w:r>
      <w:r w:rsidRPr="0025250D">
        <w:rPr>
          <w:rFonts w:hint="cs"/>
          <w:rtl/>
        </w:rPr>
        <w:t>ی</w:t>
      </w:r>
      <w:r w:rsidRPr="0025250D">
        <w:rPr>
          <w:rFonts w:hint="eastAsia"/>
          <w:rtl/>
        </w:rPr>
        <w:t>کروسافت</w:t>
      </w:r>
      <w:r w:rsidRPr="0025250D">
        <w:rPr>
          <w:rFonts w:hint="cs"/>
          <w:rtl/>
        </w:rPr>
        <w:t xml:space="preserve"> و دیگران کار مشابهی را با ابزار‌ها و کتاب خانه‌های هوش مصنوعی خود، با نتایج مشخصا ضعیف‌تر انجام دهند، انجام داد. این نوع از </w:t>
      </w:r>
      <w:r w:rsidR="00923DDB" w:rsidRPr="0025250D">
        <w:rPr>
          <w:rtl/>
        </w:rPr>
        <w:t>پیش‌انگاری</w:t>
      </w:r>
      <w:r w:rsidRPr="0025250D">
        <w:rPr>
          <w:rFonts w:hint="cs"/>
          <w:rtl/>
        </w:rPr>
        <w:t xml:space="preserve"> تیمی و شرکتی به اندازه نویسندگان انفرادی شناخته شده نیستند، اما همواره رخ می‌دهد و از نظر تجمعی مهم‌تر است.</w:t>
      </w:r>
    </w:p>
    <w:p w14:paraId="13D982A5" w14:textId="06052FA4" w:rsidR="00537CC8" w:rsidRPr="0025250D" w:rsidRDefault="00537CC8" w:rsidP="00537CC8">
      <w:pPr>
        <w:rPr>
          <w:rtl/>
        </w:rPr>
      </w:pPr>
      <w:r w:rsidRPr="0025250D">
        <w:rPr>
          <w:rFonts w:hint="cs"/>
          <w:rtl/>
        </w:rPr>
        <w:t xml:space="preserve">در یک تخصص </w:t>
      </w:r>
      <w:r w:rsidR="00923DDB" w:rsidRPr="0025250D">
        <w:rPr>
          <w:rtl/>
        </w:rPr>
        <w:t>پیش‌انگاری</w:t>
      </w:r>
      <w:r w:rsidRPr="0025250D">
        <w:rPr>
          <w:rFonts w:hint="cs"/>
          <w:rtl/>
        </w:rPr>
        <w:t xml:space="preserve"> دیگر، برخی شرکت‌ها تیم‌های قدرتمندی را در </w:t>
      </w:r>
      <w:r w:rsidR="00F50EB4" w:rsidRPr="0025250D">
        <w:rPr>
          <w:rFonts w:hint="cs"/>
          <w:rtl/>
        </w:rPr>
        <w:t>سرمایه‌گذاری</w:t>
      </w:r>
      <w:r w:rsidRPr="0025250D">
        <w:rPr>
          <w:rFonts w:hint="cs"/>
          <w:rtl/>
        </w:rPr>
        <w:t xml:space="preserve"> و امور مالی ایجاد می‌کنند. این امر می‌تواند شامل تیم‌های </w:t>
      </w:r>
      <w:r w:rsidR="00F50EB4" w:rsidRPr="0025250D">
        <w:rPr>
          <w:rFonts w:hint="cs"/>
          <w:rtl/>
        </w:rPr>
        <w:t>سرمایه‌گذاری</w:t>
      </w:r>
      <w:r w:rsidRPr="0025250D">
        <w:rPr>
          <w:rFonts w:hint="cs"/>
          <w:rtl/>
        </w:rPr>
        <w:t xml:space="preserve"> داخلی شود که به شکل مناسبی دارایی‌های قابل </w:t>
      </w:r>
      <w:r w:rsidR="00F50EB4" w:rsidRPr="0025250D">
        <w:rPr>
          <w:rFonts w:hint="cs"/>
          <w:rtl/>
        </w:rPr>
        <w:t>سرمایه‌گذاری</w:t>
      </w:r>
      <w:r w:rsidRPr="0025250D">
        <w:rPr>
          <w:rFonts w:hint="cs"/>
          <w:rtl/>
        </w:rPr>
        <w:t xml:space="preserve"> یک شرکت، </w:t>
      </w:r>
      <w:r w:rsidR="00701E03" w:rsidRPr="0025250D">
        <w:rPr>
          <w:rFonts w:hint="cs"/>
          <w:rtl/>
        </w:rPr>
        <w:t>راهبرد</w:t>
      </w:r>
      <w:r w:rsidRPr="0025250D">
        <w:rPr>
          <w:rFonts w:hint="cs"/>
          <w:rtl/>
        </w:rPr>
        <w:t xml:space="preserve"> امور مالی خلاق و حتی تجارت الگوریتمی را مدیریت می‌کنند. برای دسترسی به گزارشاتی درمورد جهان غرب وحشی تجارت ماشینی که هنوز دارای مقررات ضعیف و ترویج کننده نابرابری است کتاب کوانتز</w:t>
      </w:r>
      <w:r w:rsidRPr="0025250D">
        <w:rPr>
          <w:vertAlign w:val="superscript"/>
          <w:rtl/>
        </w:rPr>
        <w:footnoteReference w:id="1671"/>
      </w:r>
      <w:r w:rsidRPr="0025250D">
        <w:rPr>
          <w:rFonts w:hint="cs"/>
          <w:rtl/>
        </w:rPr>
        <w:t xml:space="preserve"> در سال 2011 و مخازن تاریک</w:t>
      </w:r>
      <w:r w:rsidRPr="0025250D">
        <w:rPr>
          <w:vertAlign w:val="superscript"/>
          <w:rtl/>
        </w:rPr>
        <w:footnoteReference w:id="1672"/>
      </w:r>
      <w:r w:rsidRPr="0025250D">
        <w:rPr>
          <w:rFonts w:hint="cs"/>
          <w:rtl/>
        </w:rPr>
        <w:t xml:space="preserve"> در سال 2013</w:t>
      </w:r>
      <w:r w:rsidR="008D6F97" w:rsidRPr="0025250D">
        <w:t xml:space="preserve"> </w:t>
      </w:r>
      <w:r w:rsidRPr="0025250D">
        <w:rPr>
          <w:rFonts w:hint="cs"/>
          <w:rtl/>
        </w:rPr>
        <w:t>اثر</w:t>
      </w:r>
      <w:r w:rsidRPr="0025250D">
        <w:rPr>
          <w:rtl/>
        </w:rPr>
        <w:t xml:space="preserve"> اسکات پترسون</w:t>
      </w:r>
      <w:r w:rsidRPr="0025250D">
        <w:rPr>
          <w:rFonts w:hint="cs"/>
          <w:rtl/>
        </w:rPr>
        <w:t xml:space="preserve"> را ببینید. رمزارزها و </w:t>
      </w:r>
      <w:r w:rsidRPr="0025250D">
        <w:t>ICO</w:t>
      </w:r>
      <w:r w:rsidRPr="0025250D">
        <w:rPr>
          <w:rFonts w:hint="cs"/>
          <w:rtl/>
        </w:rPr>
        <w:t xml:space="preserve">‌های بلاکچین که بیش‌تر آن‌ها طبق </w:t>
      </w:r>
      <w:r w:rsidR="00D92F6E" w:rsidRPr="0025250D">
        <w:rPr>
          <w:rFonts w:hint="cs"/>
          <w:rtl/>
        </w:rPr>
        <w:t>پیش‌بین</w:t>
      </w:r>
      <w:r w:rsidRPr="0025250D">
        <w:rPr>
          <w:rFonts w:hint="cs"/>
          <w:rtl/>
        </w:rPr>
        <w:t>ی ما ارزش</w:t>
      </w:r>
      <w:r w:rsidR="006061A2" w:rsidRPr="0025250D">
        <w:rPr>
          <w:rFonts w:hint="cs"/>
          <w:rtl/>
        </w:rPr>
        <w:t>ی</w:t>
      </w:r>
      <w:r w:rsidRPr="0025250D">
        <w:rPr>
          <w:rFonts w:hint="cs"/>
          <w:rtl/>
        </w:rPr>
        <w:t xml:space="preserve"> تولید نخواهند کرد، بلکه بیش‌تر سرمایه گذاران گمانه زننده و نابالغ را از پس انداز‌های خود جدا خواهند کرد، یک مثال جدید‌تر از جبهه </w:t>
      </w:r>
      <w:r w:rsidR="00F50EB4" w:rsidRPr="0025250D">
        <w:rPr>
          <w:rFonts w:hint="cs"/>
          <w:rtl/>
        </w:rPr>
        <w:t>سرمایه‌گذاری</w:t>
      </w:r>
      <w:r w:rsidRPr="0025250D">
        <w:rPr>
          <w:rFonts w:hint="cs"/>
          <w:rtl/>
        </w:rPr>
        <w:t xml:space="preserve"> و امور مالی قدرتمند و همواره در حال تکامل و متغیر است.</w:t>
      </w:r>
    </w:p>
    <w:p w14:paraId="1A75B834" w14:textId="1278276B" w:rsidR="00537CC8" w:rsidRPr="0025250D" w:rsidRDefault="00537CC8" w:rsidP="00537CC8">
      <w:pPr>
        <w:rPr>
          <w:rtl/>
        </w:rPr>
      </w:pPr>
      <w:r w:rsidRPr="0025250D">
        <w:rPr>
          <w:rFonts w:hint="cs"/>
          <w:rtl/>
        </w:rPr>
        <w:t xml:space="preserve">برخی شرکت‌ها </w:t>
      </w:r>
      <w:r w:rsidR="00923DDB" w:rsidRPr="0025250D">
        <w:rPr>
          <w:rtl/>
        </w:rPr>
        <w:t>پیش‌انگاری</w:t>
      </w:r>
      <w:r w:rsidRPr="0025250D">
        <w:rPr>
          <w:rFonts w:hint="cs"/>
          <w:rtl/>
        </w:rPr>
        <w:t xml:space="preserve"> برتری را در قانون و امنیت توسعه می‌دهند. وجه مثبت این امر در طرح‌های مسئولیت اجتماعی شرکتی و حسابداری سود و زیان سالیانه</w:t>
      </w:r>
      <w:r w:rsidRPr="0025250D">
        <w:rPr>
          <w:vertAlign w:val="superscript"/>
          <w:rtl/>
        </w:rPr>
        <w:footnoteReference w:id="1673"/>
      </w:r>
      <w:r w:rsidRPr="0025250D">
        <w:rPr>
          <w:rFonts w:hint="cs"/>
          <w:rtl/>
        </w:rPr>
        <w:t xml:space="preserve"> دیده می‌شود. وجه منفی آن در شکل‌های جدیدی از فرار مالیاتی و پنهان سازی حاکمیتی و درآمدی و انواع مبهم جدیدی از ابزارهای مالی و قرض‌هایی دیده می‌شود که به ایجاد بحران مالی جهانی سال 2008 و کمک‌های مالی دولتی به شرکت‌ها و بازیابی اقتصادی </w:t>
      </w:r>
      <w:r w:rsidRPr="0025250D">
        <w:t>K</w:t>
      </w:r>
      <w:r w:rsidRPr="0025250D">
        <w:rPr>
          <w:rFonts w:hint="cs"/>
          <w:rtl/>
        </w:rPr>
        <w:t>-شکلی که به دنبال آن ایجاد شد کمک کردند.</w:t>
      </w:r>
    </w:p>
    <w:p w14:paraId="31286893" w14:textId="3543D23B" w:rsidR="00537CC8" w:rsidRPr="0025250D" w:rsidRDefault="00537CC8" w:rsidP="00537CC8">
      <w:pPr>
        <w:rPr>
          <w:rtl/>
        </w:rPr>
      </w:pPr>
      <w:r w:rsidRPr="0025250D">
        <w:rPr>
          <w:rFonts w:hint="cs"/>
          <w:rtl/>
        </w:rPr>
        <w:t>برای یافتن رهبران سازمانی در مدیریت ریسک و بیمه، به همه بیمه گران اتکایی</w:t>
      </w:r>
      <w:r w:rsidRPr="0025250D">
        <w:rPr>
          <w:vertAlign w:val="superscript"/>
          <w:rtl/>
        </w:rPr>
        <w:footnoteReference w:id="1674"/>
      </w:r>
      <w:r w:rsidRPr="0025250D">
        <w:rPr>
          <w:rFonts w:hint="cs"/>
          <w:rtl/>
        </w:rPr>
        <w:t xml:space="preserve"> بزرگی مانند سوییس‌ر</w:t>
      </w:r>
      <w:r w:rsidRPr="0025250D">
        <w:rPr>
          <w:vertAlign w:val="superscript"/>
          <w:rtl/>
        </w:rPr>
        <w:footnoteReference w:id="1675"/>
      </w:r>
      <w:r w:rsidRPr="0025250D">
        <w:rPr>
          <w:rFonts w:hint="cs"/>
          <w:rtl/>
        </w:rPr>
        <w:t xml:space="preserve"> که دقیق‌ترین</w:t>
      </w:r>
      <w:r w:rsidR="008D6F97" w:rsidRPr="0025250D">
        <w:rPr>
          <w:rtl/>
        </w:rPr>
        <w:t xml:space="preserve"> </w:t>
      </w:r>
      <w:r w:rsidRPr="0025250D">
        <w:rPr>
          <w:rFonts w:hint="cs"/>
          <w:rtl/>
        </w:rPr>
        <w:t>مدل‌های ریسک را در جهان امروز دارند بیندیشید. همچنین به استارتاپ‌های فناوری بیمه</w:t>
      </w:r>
      <w:r w:rsidRPr="0025250D">
        <w:rPr>
          <w:vertAlign w:val="superscript"/>
          <w:rtl/>
        </w:rPr>
        <w:footnoteReference w:id="1676"/>
      </w:r>
      <w:r w:rsidRPr="0025250D">
        <w:rPr>
          <w:rFonts w:hint="cs"/>
          <w:rtl/>
        </w:rPr>
        <w:t xml:space="preserve"> مانند روت</w:t>
      </w:r>
      <w:r w:rsidRPr="0025250D">
        <w:rPr>
          <w:vertAlign w:val="superscript"/>
          <w:rtl/>
        </w:rPr>
        <w:footnoteReference w:id="1677"/>
      </w:r>
      <w:r w:rsidRPr="0025250D">
        <w:rPr>
          <w:rFonts w:hint="cs"/>
          <w:rtl/>
        </w:rPr>
        <w:t xml:space="preserve"> بیندیشید که رهبران آن‌ها دریافتند که یک اپلیکیشن بر روی موبایل‌های </w:t>
      </w:r>
      <w:r w:rsidR="006061A2" w:rsidRPr="0025250D">
        <w:rPr>
          <w:rFonts w:hint="cs"/>
          <w:rtl/>
        </w:rPr>
        <w:t>هوشمند</w:t>
      </w:r>
      <w:r w:rsidRPr="0025250D">
        <w:rPr>
          <w:rFonts w:hint="cs"/>
          <w:rtl/>
        </w:rPr>
        <w:t xml:space="preserve"> که رانندگی ما را ردیابی کرده و به بیمه کننده امکان ارائه نرخ‌های شخصی سازی شده بر اساس میزان رانندگی و کیفیت رانندگی را می‌دهد، می‌تواند حتی ارزان‌تر از یک دستگاه ردیاب 100 دلاری برای اتومبیل باشد. مورد آخر توسط شرکت‌هایی مانند اوکتو</w:t>
      </w:r>
      <w:r w:rsidRPr="0025250D">
        <w:rPr>
          <w:vertAlign w:val="superscript"/>
          <w:rtl/>
        </w:rPr>
        <w:footnoteReference w:id="1678"/>
      </w:r>
      <w:r w:rsidRPr="0025250D">
        <w:rPr>
          <w:rFonts w:hint="cs"/>
          <w:rtl/>
        </w:rPr>
        <w:t xml:space="preserve"> ارائه می‌شود و توسط استارتاپ</w:t>
      </w:r>
      <w:r w:rsidRPr="0025250D">
        <w:rPr>
          <w:rtl/>
        </w:rPr>
        <w:t xml:space="preserve">‌های </w:t>
      </w:r>
      <w:r w:rsidRPr="0025250D">
        <w:rPr>
          <w:rFonts w:hint="cs"/>
          <w:rtl/>
        </w:rPr>
        <w:t xml:space="preserve">فناوری بیمه مانند </w:t>
      </w:r>
      <w:r w:rsidRPr="0025250D">
        <w:rPr>
          <w:rtl/>
        </w:rPr>
        <w:t>متروما</w:t>
      </w:r>
      <w:r w:rsidRPr="0025250D">
        <w:rPr>
          <w:rFonts w:hint="cs"/>
          <w:rtl/>
        </w:rPr>
        <w:t>ی</w:t>
      </w:r>
      <w:r w:rsidRPr="0025250D">
        <w:rPr>
          <w:rFonts w:hint="eastAsia"/>
          <w:rtl/>
        </w:rPr>
        <w:t>ل</w:t>
      </w:r>
      <w:r w:rsidRPr="0025250D">
        <w:rPr>
          <w:vertAlign w:val="superscript"/>
          <w:rtl/>
        </w:rPr>
        <w:footnoteReference w:id="1679"/>
      </w:r>
      <w:r w:rsidRPr="0025250D">
        <w:rPr>
          <w:rFonts w:hint="cs"/>
          <w:rtl/>
        </w:rPr>
        <w:t xml:space="preserve"> استفاده می‌شود. شرکت‌هایی مانند روت و </w:t>
      </w:r>
      <w:r w:rsidRPr="0025250D">
        <w:rPr>
          <w:rtl/>
        </w:rPr>
        <w:t>متروما</w:t>
      </w:r>
      <w:r w:rsidRPr="0025250D">
        <w:rPr>
          <w:rFonts w:hint="cs"/>
          <w:rtl/>
        </w:rPr>
        <w:t>ی</w:t>
      </w:r>
      <w:r w:rsidRPr="0025250D">
        <w:rPr>
          <w:rFonts w:hint="eastAsia"/>
          <w:rtl/>
        </w:rPr>
        <w:t>ل</w:t>
      </w:r>
      <w:r w:rsidRPr="0025250D">
        <w:rPr>
          <w:rFonts w:hint="cs"/>
          <w:rtl/>
        </w:rPr>
        <w:t xml:space="preserve"> از </w:t>
      </w:r>
      <w:r w:rsidR="00206F11" w:rsidRPr="0025250D">
        <w:rPr>
          <w:rFonts w:hint="cs"/>
          <w:rtl/>
        </w:rPr>
        <w:t>پیاده‌سازی</w:t>
      </w:r>
      <w:r w:rsidRPr="0025250D">
        <w:rPr>
          <w:rFonts w:hint="cs"/>
          <w:rtl/>
        </w:rPr>
        <w:t xml:space="preserve"> یک ویژگی مفید جدید بیمه اتومبیل (تعیین نرخ بیمه مبتنی بر استفاده و رانندگی) سود می‌برند. با خوش شانسی، چنین شرکت‌های ارزش زایی احتمالا در مقابل رقبای خود موفق خواهند بود. </w:t>
      </w:r>
      <w:r w:rsidR="00701E03" w:rsidRPr="0025250D">
        <w:rPr>
          <w:rFonts w:hint="cs"/>
          <w:rtl/>
        </w:rPr>
        <w:t>راهبرد</w:t>
      </w:r>
      <w:r w:rsidRPr="0025250D">
        <w:rPr>
          <w:rFonts w:hint="cs"/>
          <w:rtl/>
        </w:rPr>
        <w:t xml:space="preserve"> روت</w:t>
      </w:r>
      <w:r w:rsidRPr="0025250D">
        <w:rPr>
          <w:vertAlign w:val="superscript"/>
          <w:rtl/>
        </w:rPr>
        <w:footnoteReference w:id="1680"/>
      </w:r>
      <w:r w:rsidRPr="0025250D">
        <w:rPr>
          <w:rFonts w:hint="cs"/>
          <w:rtl/>
        </w:rPr>
        <w:t xml:space="preserve"> غیر مادی‌ترین</w:t>
      </w:r>
      <w:r w:rsidR="008D6F97" w:rsidRPr="0025250D">
        <w:rPr>
          <w:rtl/>
        </w:rPr>
        <w:t xml:space="preserve"> </w:t>
      </w:r>
      <w:r w:rsidRPr="0025250D">
        <w:rPr>
          <w:rFonts w:hint="cs"/>
          <w:rtl/>
        </w:rPr>
        <w:t>مورد است که پتانسیل سریع‌ترین</w:t>
      </w:r>
      <w:r w:rsidR="008D6F97" w:rsidRPr="0025250D">
        <w:rPr>
          <w:rtl/>
        </w:rPr>
        <w:t xml:space="preserve"> </w:t>
      </w:r>
      <w:r w:rsidRPr="0025250D">
        <w:rPr>
          <w:rFonts w:hint="cs"/>
          <w:rtl/>
        </w:rPr>
        <w:t>رشد در شرایط مشابه را برای آن فراهم می‌کند. در اختیار گرفتن داده‌های بهتر یکی از پایه‌های ارزیابی ریسک</w:t>
      </w:r>
      <w:r w:rsidR="006061A2" w:rsidRPr="0025250D">
        <w:rPr>
          <w:rFonts w:hint="cs"/>
          <w:rtl/>
        </w:rPr>
        <w:t xml:space="preserve"> و در واقع یک گام اولیه برای مدیریت ریسک بهتر می‌باشد</w:t>
      </w:r>
      <w:r w:rsidRPr="0025250D">
        <w:rPr>
          <w:rFonts w:hint="cs"/>
          <w:rtl/>
        </w:rPr>
        <w:t>. یک ابزار کلاسیک برای ارزیابی ریسک ماتریس ریسک است که در تصویر زیر دیده می‌شود. چنین ابزارهایی ما را به کشف و دسته بندی انواع رویداد‌های ریسک احتمالی دعوت می‌کنند. آن‌ها اغلب برای کشف آینده‌های قابل اجتناب، پیش از انجام اقدامات مهم، به طور مشخص برای تیم‌های دفاعی و امنیتی استفاده می‌شوند.</w:t>
      </w:r>
    </w:p>
    <w:p w14:paraId="7640A664" w14:textId="063281EE" w:rsidR="00537CC8" w:rsidRPr="0025250D" w:rsidRDefault="00F004A5" w:rsidP="00B25F58">
      <w:pPr>
        <w:jc w:val="center"/>
        <w:rPr>
          <w:rtl/>
        </w:rPr>
      </w:pPr>
      <w:r w:rsidRPr="0025250D">
        <w:rPr>
          <w:noProof/>
        </w:rPr>
        <w:drawing>
          <wp:inline distT="0" distB="0" distL="0" distR="0" wp14:anchorId="574D0C78" wp14:editId="048AB1B6">
            <wp:extent cx="5685182" cy="2842402"/>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2" cstate="screen">
                      <a:extLst>
                        <a:ext uri="{28A0092B-C50C-407E-A947-70E740481C1C}">
                          <a14:useLocalDpi xmlns:a14="http://schemas.microsoft.com/office/drawing/2010/main"/>
                        </a:ext>
                      </a:extLst>
                    </a:blip>
                    <a:srcRect/>
                    <a:stretch>
                      <a:fillRect/>
                    </a:stretch>
                  </pic:blipFill>
                  <pic:spPr bwMode="auto">
                    <a:xfrm>
                      <a:off x="0" y="0"/>
                      <a:ext cx="5693403" cy="2846512"/>
                    </a:xfrm>
                    <a:prstGeom prst="rect">
                      <a:avLst/>
                    </a:prstGeom>
                    <a:noFill/>
                  </pic:spPr>
                </pic:pic>
              </a:graphicData>
            </a:graphic>
          </wp:inline>
        </w:drawing>
      </w:r>
    </w:p>
    <w:p w14:paraId="293C461D" w14:textId="55EB9310" w:rsidR="00537CC8" w:rsidRPr="0025250D" w:rsidRDefault="00537CC8" w:rsidP="00537CC8">
      <w:pPr>
        <w:rPr>
          <w:rtl/>
        </w:rPr>
      </w:pPr>
      <w:r w:rsidRPr="0025250D">
        <w:rPr>
          <w:rFonts w:hint="cs"/>
          <w:rtl/>
        </w:rPr>
        <w:t xml:space="preserve">مطالعات </w:t>
      </w:r>
      <w:r w:rsidR="00923DDB" w:rsidRPr="0025250D">
        <w:rPr>
          <w:rtl/>
        </w:rPr>
        <w:t>پیش‌انگاری</w:t>
      </w:r>
      <w:r w:rsidRPr="0025250D">
        <w:rPr>
          <w:rFonts w:hint="cs"/>
          <w:rtl/>
        </w:rPr>
        <w:t xml:space="preserve"> یک زمینه آکادمیک جدید است. دستنامه </w:t>
      </w:r>
      <w:r w:rsidR="00923DDB" w:rsidRPr="0025250D">
        <w:rPr>
          <w:rtl/>
        </w:rPr>
        <w:t>پیش‌انگاری</w:t>
      </w:r>
      <w:r w:rsidRPr="0025250D">
        <w:rPr>
          <w:vertAlign w:val="superscript"/>
          <w:rtl/>
        </w:rPr>
        <w:footnoteReference w:id="1681"/>
      </w:r>
      <w:r w:rsidRPr="0025250D">
        <w:rPr>
          <w:rFonts w:hint="cs"/>
          <w:rtl/>
        </w:rPr>
        <w:t xml:space="preserve">، اثر </w:t>
      </w:r>
      <w:r w:rsidRPr="0025250D">
        <w:rPr>
          <w:rtl/>
        </w:rPr>
        <w:t>رابرت پول</w:t>
      </w:r>
      <w:r w:rsidRPr="0025250D">
        <w:rPr>
          <w:rFonts w:hint="cs"/>
          <w:rtl/>
        </w:rPr>
        <w:t>ی</w:t>
      </w:r>
      <w:r w:rsidRPr="0025250D">
        <w:rPr>
          <w:vertAlign w:val="superscript"/>
          <w:rtl/>
        </w:rPr>
        <w:footnoteReference w:id="1682"/>
      </w:r>
      <w:r w:rsidRPr="0025250D">
        <w:rPr>
          <w:rFonts w:hint="cs"/>
          <w:rtl/>
        </w:rPr>
        <w:t xml:space="preserve"> در سال 2019، مدل‌ها و </w:t>
      </w:r>
      <w:r w:rsidR="00B13F65" w:rsidRPr="0025250D">
        <w:rPr>
          <w:rFonts w:hint="cs"/>
          <w:rtl/>
        </w:rPr>
        <w:t>چارچوب</w:t>
      </w:r>
      <w:r w:rsidRPr="0025250D">
        <w:rPr>
          <w:rFonts w:hint="cs"/>
          <w:rtl/>
        </w:rPr>
        <w:t xml:space="preserve">‌های </w:t>
      </w:r>
      <w:r w:rsidR="00923DDB" w:rsidRPr="0025250D">
        <w:rPr>
          <w:rtl/>
        </w:rPr>
        <w:t>پیش‌انگاری</w:t>
      </w:r>
      <w:r w:rsidRPr="0025250D">
        <w:rPr>
          <w:rFonts w:hint="cs"/>
          <w:rtl/>
        </w:rPr>
        <w:t xml:space="preserve"> مختلفی را با مقالات دارای کیفیت‌های مختلفی بررسی می‌کند. </w:t>
      </w:r>
      <w:r w:rsidRPr="0025250D">
        <w:rPr>
          <w:rtl/>
        </w:rPr>
        <w:t>ا</w:t>
      </w:r>
      <w:r w:rsidRPr="0025250D">
        <w:rPr>
          <w:rFonts w:hint="cs"/>
          <w:rtl/>
        </w:rPr>
        <w:t>ش</w:t>
      </w:r>
      <w:r w:rsidRPr="0025250D">
        <w:rPr>
          <w:rtl/>
        </w:rPr>
        <w:t>پر</w:t>
      </w:r>
      <w:r w:rsidRPr="0025250D">
        <w:rPr>
          <w:rFonts w:hint="cs"/>
          <w:rtl/>
        </w:rPr>
        <w:t>ی</w:t>
      </w:r>
      <w:r w:rsidRPr="0025250D">
        <w:rPr>
          <w:rFonts w:hint="eastAsia"/>
          <w:rtl/>
        </w:rPr>
        <w:t>نگر</w:t>
      </w:r>
      <w:r w:rsidRPr="0025250D">
        <w:rPr>
          <w:vertAlign w:val="superscript"/>
          <w:rtl/>
        </w:rPr>
        <w:footnoteReference w:id="1683"/>
      </w:r>
      <w:r w:rsidRPr="0025250D">
        <w:rPr>
          <w:rFonts w:hint="cs"/>
          <w:rtl/>
        </w:rPr>
        <w:t>، ناشر آکادمیک این کتاب، اغلب قیمت‌هایی نجومی را برای مطالعات آکادمیک خود تعیین می‌کند. قیمت 599 دلار برای این دستنامه تعیین شده است که از نظر ما غیر قابل دفاع است. در موارد قیمت گذاری انتفاعی مانند این مورد، برخی افراد دانلود رایگان کتاب‌ها از لیب جن</w:t>
      </w:r>
      <w:r w:rsidRPr="0025250D">
        <w:rPr>
          <w:vertAlign w:val="superscript"/>
          <w:rtl/>
        </w:rPr>
        <w:footnoteReference w:id="1684"/>
      </w:r>
      <w:r w:rsidRPr="0025250D">
        <w:rPr>
          <w:rFonts w:hint="cs"/>
          <w:rtl/>
        </w:rPr>
        <w:t>، پلتفرم ناقض مالکیت معنوی که بر روی سرور‌هایی در سراسر جهان قرار دارد را اخلاقی می‌دانند. ویرایشگران آن، کتاب‌های فنی را اسکن کرده و در سراسر جهان به صورت رایگان توزیع می‌کنند. سای هاب</w:t>
      </w:r>
      <w:r w:rsidRPr="0025250D">
        <w:rPr>
          <w:vertAlign w:val="superscript"/>
          <w:rtl/>
        </w:rPr>
        <w:footnoteReference w:id="1685"/>
      </w:r>
      <w:r w:rsidRPr="0025250D">
        <w:rPr>
          <w:rFonts w:hint="cs"/>
          <w:rtl/>
        </w:rPr>
        <w:t xml:space="preserve"> همین کار را برای مقالات آکادمیک انجام می‌دهد. در حقیقت، بسیاری از مطالعات آکادمیک محافظت شده و مجلات آکادمیک گرانقیمت به طور کامل یا تا حدی از سرمایه عمومی استفاده </w:t>
      </w:r>
      <w:r w:rsidR="007118DE" w:rsidRPr="0025250D">
        <w:rPr>
          <w:rFonts w:hint="cs"/>
          <w:rtl/>
        </w:rPr>
        <w:t>کرده‌اند</w:t>
      </w:r>
      <w:r w:rsidRPr="0025250D">
        <w:rPr>
          <w:rFonts w:hint="cs"/>
          <w:rtl/>
        </w:rPr>
        <w:t xml:space="preserve">. دانشجویان در بسیاری از کشور‌ها در حال حاضر از دسترسی مجاز به این دانش حیاتی محروم هستند. در </w:t>
      </w:r>
      <w:r w:rsidRPr="0025250D">
        <w:t>4U</w:t>
      </w:r>
      <w:r w:rsidRPr="0025250D">
        <w:rPr>
          <w:rFonts w:hint="cs"/>
          <w:rtl/>
        </w:rPr>
        <w:t xml:space="preserve"> باور داریم که عموم مردم به دسترسی قابل استطاعت به دانش علمی و فنی، با مقیاس‌های مختلف بر اساس توانایی پرداخت ما نیاز دارند. تا فرا رسیدن این آینده، ممکن است هر از گاهی استفاده از پلتفرم‌های غیرمجازی که دانش حیاتی را به صورت آزاد منتشر می‌کنند، از نظر اخلاقی قابل توجیه و یک </w:t>
      </w:r>
      <w:r w:rsidRPr="0025250D">
        <w:rPr>
          <w:rtl/>
        </w:rPr>
        <w:t>عمل کنشگر</w:t>
      </w:r>
      <w:r w:rsidRPr="0025250D">
        <w:rPr>
          <w:rFonts w:hint="cs"/>
          <w:rtl/>
        </w:rPr>
        <w:t>ی</w:t>
      </w:r>
      <w:r w:rsidRPr="0025250D">
        <w:rPr>
          <w:rtl/>
        </w:rPr>
        <w:t xml:space="preserve"> اجتماع</w:t>
      </w:r>
      <w:r w:rsidRPr="0025250D">
        <w:rPr>
          <w:rFonts w:hint="cs"/>
          <w:rtl/>
        </w:rPr>
        <w:t xml:space="preserve">ی </w:t>
      </w:r>
      <w:r w:rsidR="006061A2" w:rsidRPr="0025250D">
        <w:rPr>
          <w:rFonts w:hint="cs"/>
          <w:rtl/>
        </w:rPr>
        <w:t>دانسته شود</w:t>
      </w:r>
      <w:r w:rsidRPr="0025250D">
        <w:rPr>
          <w:rFonts w:hint="cs"/>
          <w:rtl/>
        </w:rPr>
        <w:t>. مثل همیشه، وجدان خود را گواه بگیرید.</w:t>
      </w:r>
    </w:p>
    <w:p w14:paraId="085A7CB6" w14:textId="615F5BCC" w:rsidR="00537CC8" w:rsidRPr="0025250D" w:rsidRDefault="00537CC8" w:rsidP="00537CC8">
      <w:pPr>
        <w:rPr>
          <w:rtl/>
        </w:rPr>
      </w:pPr>
      <w:r w:rsidRPr="0025250D">
        <w:rPr>
          <w:rFonts w:hint="cs"/>
          <w:rtl/>
        </w:rPr>
        <w:t>بار دیگر، فرهنگ آزادی محور غربی مدرن، ما را در مقابل تفکر مکرر و دقیق درمورد آینده‌های محتمل متعصب می‌سازد. ممکن است این باور که ما توسط آینده هم توانمند و هم محدود می‌شویم</w:t>
      </w:r>
      <w:r w:rsidR="006061A2" w:rsidRPr="0025250D">
        <w:rPr>
          <w:rFonts w:hint="cs"/>
          <w:rtl/>
        </w:rPr>
        <w:t xml:space="preserve"> را</w:t>
      </w:r>
      <w:r w:rsidRPr="0025250D">
        <w:rPr>
          <w:rFonts w:hint="cs"/>
          <w:rtl/>
        </w:rPr>
        <w:t xml:space="preserve"> دوست نداشته باشیم، اما هرچه بیش‌تر از مهارت‌های </w:t>
      </w:r>
      <w:r w:rsidRPr="0025250D">
        <w:t>LAIS</w:t>
      </w:r>
      <w:r w:rsidRPr="0025250D">
        <w:rPr>
          <w:rFonts w:hint="cs"/>
          <w:rtl/>
        </w:rPr>
        <w:t xml:space="preserve"> در یک گروه متنوع و انتقادی استفاده کنیم، می‌توانیم محدودیت‌ها و احتمالات محیطی</w:t>
      </w:r>
      <w:r w:rsidR="0008779C" w:rsidRPr="0025250D">
        <w:rPr>
          <w:rFonts w:hint="cs"/>
          <w:rtl/>
        </w:rPr>
        <w:t xml:space="preserve"> بیش‌تر</w:t>
      </w:r>
      <w:r w:rsidRPr="0025250D">
        <w:rPr>
          <w:rFonts w:hint="cs"/>
          <w:rtl/>
        </w:rPr>
        <w:t>ی را ببینیم.</w:t>
      </w:r>
    </w:p>
    <w:p w14:paraId="126F121C" w14:textId="6E28B449" w:rsidR="00537CC8" w:rsidRPr="0025250D" w:rsidRDefault="00537CC8" w:rsidP="00B25F58">
      <w:pPr>
        <w:pStyle w:val="Heading3"/>
        <w:rPr>
          <w:rtl/>
        </w:rPr>
      </w:pPr>
      <w:r w:rsidRPr="0025250D">
        <w:rPr>
          <w:rFonts w:hint="cs"/>
          <w:rtl/>
        </w:rPr>
        <w:t xml:space="preserve">مهارت نوآوری </w:t>
      </w:r>
      <w:r w:rsidRPr="0025250D">
        <w:rPr>
          <w:rFonts w:ascii="Times New Roman" w:hAnsi="Times New Roman" w:cs="Times New Roman" w:hint="cs"/>
          <w:rtl/>
        </w:rPr>
        <w:t>–</w:t>
      </w:r>
      <w:r w:rsidRPr="0025250D">
        <w:rPr>
          <w:rFonts w:hint="cs"/>
          <w:rtl/>
        </w:rPr>
        <w:t xml:space="preserve"> تمرکز بر تخصص گزینه‌های </w:t>
      </w:r>
      <w:r w:rsidR="00563645" w:rsidRPr="0025250D">
        <w:rPr>
          <w:rFonts w:hint="cs"/>
          <w:rtl/>
        </w:rPr>
        <w:t>بدیل</w:t>
      </w:r>
      <w:r w:rsidRPr="0025250D">
        <w:rPr>
          <w:rFonts w:hint="cs"/>
          <w:rtl/>
        </w:rPr>
        <w:t xml:space="preserve"> و فرانامه‌ها</w:t>
      </w:r>
    </w:p>
    <w:p w14:paraId="4A16744B" w14:textId="4824A884" w:rsidR="00537CC8" w:rsidRPr="0025250D" w:rsidRDefault="00537CC8" w:rsidP="00537CC8">
      <w:pPr>
        <w:rPr>
          <w:rtl/>
        </w:rPr>
      </w:pPr>
      <w:r w:rsidRPr="0025250D">
        <w:rPr>
          <w:rFonts w:hint="cs"/>
          <w:rtl/>
        </w:rPr>
        <w:t>مثال: شل</w:t>
      </w:r>
      <w:r w:rsidRPr="0025250D">
        <w:rPr>
          <w:vertAlign w:val="superscript"/>
          <w:rtl/>
        </w:rPr>
        <w:footnoteReference w:id="1686"/>
      </w:r>
      <w:r w:rsidRPr="0025250D">
        <w:rPr>
          <w:rFonts w:hint="cs"/>
          <w:rtl/>
        </w:rPr>
        <w:t xml:space="preserve">، </w:t>
      </w:r>
      <w:r w:rsidR="00362EF3" w:rsidRPr="0025250D">
        <w:rPr>
          <w:rFonts w:hint="cs"/>
          <w:rtl/>
        </w:rPr>
        <w:t>فرانامه‌های</w:t>
      </w:r>
      <w:r w:rsidR="00E4279E" w:rsidRPr="0025250D">
        <w:rPr>
          <w:rFonts w:hint="cs"/>
          <w:rtl/>
        </w:rPr>
        <w:t xml:space="preserve"> مونت فلور</w:t>
      </w:r>
      <w:r w:rsidRPr="0025250D">
        <w:rPr>
          <w:vertAlign w:val="superscript"/>
          <w:rtl/>
        </w:rPr>
        <w:footnoteReference w:id="1687"/>
      </w:r>
      <w:r w:rsidRPr="0025250D">
        <w:rPr>
          <w:rFonts w:hint="cs"/>
          <w:rtl/>
        </w:rPr>
        <w:t xml:space="preserve">، </w:t>
      </w:r>
      <w:r w:rsidR="007A53FD" w:rsidRPr="0025250D">
        <w:rPr>
          <w:rFonts w:hint="cs"/>
          <w:rtl/>
        </w:rPr>
        <w:t>فرانامه</w:t>
      </w:r>
      <w:r w:rsidRPr="0025250D">
        <w:rPr>
          <w:rFonts w:hint="cs"/>
          <w:rtl/>
        </w:rPr>
        <w:t xml:space="preserve"> لرنینگ</w:t>
      </w:r>
      <w:r w:rsidRPr="0025250D">
        <w:rPr>
          <w:vertAlign w:val="superscript"/>
          <w:rtl/>
        </w:rPr>
        <w:footnoteReference w:id="1688"/>
      </w:r>
      <w:r w:rsidRPr="0025250D">
        <w:rPr>
          <w:rFonts w:hint="cs"/>
          <w:rtl/>
        </w:rPr>
        <w:t xml:space="preserve"> و وارگیمینگ</w:t>
      </w:r>
      <w:r w:rsidRPr="0025250D">
        <w:rPr>
          <w:vertAlign w:val="superscript"/>
          <w:rtl/>
        </w:rPr>
        <w:footnoteReference w:id="1689"/>
      </w:r>
    </w:p>
    <w:p w14:paraId="5A783CF5" w14:textId="019A84B3" w:rsidR="00537CC8" w:rsidRPr="0025250D" w:rsidRDefault="00537CC8" w:rsidP="00537CC8">
      <w:pPr>
        <w:rPr>
          <w:rtl/>
        </w:rPr>
      </w:pPr>
      <w:r w:rsidRPr="0025250D">
        <w:rPr>
          <w:rFonts w:hint="cs"/>
          <w:rtl/>
        </w:rPr>
        <w:t xml:space="preserve">نوآوری، یا تفکر درمورد موارد ممکن، توسط پنج تخصص عملی در مدل ما یاری می‌شود. این موارد گزینه‌های </w:t>
      </w:r>
      <w:r w:rsidR="00563645" w:rsidRPr="0025250D">
        <w:rPr>
          <w:rFonts w:hint="cs"/>
          <w:rtl/>
        </w:rPr>
        <w:t>بدیل</w:t>
      </w:r>
      <w:r w:rsidRPr="0025250D">
        <w:rPr>
          <w:rFonts w:hint="cs"/>
          <w:rtl/>
        </w:rPr>
        <w:t xml:space="preserve"> و فرانامه‌ها، کارآفرینی و کارآفرینی سازمانی، تسهیل و بازی سازی، ایده پردازی و طراحی و نوآوری و تحقیق و توسعه هستند. اکنون بیایید چند مورد موفق </w:t>
      </w:r>
      <w:r w:rsidRPr="0025250D">
        <w:rPr>
          <w:rtl/>
        </w:rPr>
        <w:t>آینده‌نگاری</w:t>
      </w:r>
      <w:r w:rsidRPr="0025250D">
        <w:rPr>
          <w:rFonts w:hint="cs"/>
          <w:rtl/>
        </w:rPr>
        <w:t xml:space="preserve"> قرن بیستمی و قرن بیست و یکمی که تمرکز اصلی آن‌ها بر به کارگیری تخصص‌های گزینه‌های </w:t>
      </w:r>
      <w:r w:rsidR="00563645" w:rsidRPr="0025250D">
        <w:rPr>
          <w:rFonts w:hint="cs"/>
          <w:rtl/>
        </w:rPr>
        <w:t>بدیل</w:t>
      </w:r>
      <w:r w:rsidRPr="0025250D">
        <w:rPr>
          <w:rFonts w:hint="cs"/>
          <w:rtl/>
        </w:rPr>
        <w:t xml:space="preserve"> و فرانامه‌ها</w:t>
      </w:r>
      <w:r w:rsidR="006061A2" w:rsidRPr="0025250D">
        <w:rPr>
          <w:rFonts w:hint="cs"/>
          <w:rtl/>
        </w:rPr>
        <w:t xml:space="preserve"> نگاهی داشته باشیم</w:t>
      </w:r>
      <w:r w:rsidRPr="0025250D">
        <w:rPr>
          <w:rFonts w:hint="cs"/>
          <w:rtl/>
        </w:rPr>
        <w:t xml:space="preserve"> و چند مثال در دامنه‌های </w:t>
      </w:r>
      <w:r w:rsidRPr="0025250D">
        <w:rPr>
          <w:rtl/>
        </w:rPr>
        <w:t>آینده‌نگاری</w:t>
      </w:r>
      <w:r w:rsidRPr="0025250D">
        <w:rPr>
          <w:rFonts w:hint="cs"/>
          <w:rtl/>
        </w:rPr>
        <w:t xml:space="preserve"> سازمانی و </w:t>
      </w:r>
      <w:r w:rsidRPr="0025250D">
        <w:rPr>
          <w:rtl/>
        </w:rPr>
        <w:t>آینده‌نگاری</w:t>
      </w:r>
      <w:r w:rsidRPr="0025250D">
        <w:rPr>
          <w:rFonts w:hint="cs"/>
          <w:rtl/>
        </w:rPr>
        <w:t xml:space="preserve"> جهانی-اجتماعی (مورد آخر در </w:t>
      </w:r>
      <w:r w:rsidRPr="0025250D">
        <w:rPr>
          <w:rtl/>
        </w:rPr>
        <w:t>آینده‌نگاری</w:t>
      </w:r>
      <w:r w:rsidRPr="0025250D">
        <w:rPr>
          <w:rFonts w:hint="cs"/>
          <w:rtl/>
        </w:rPr>
        <w:t xml:space="preserve"> دولتی) را بررسی کنیم. همچنین به چند شرکت نوآوری محور در هر یک از این تخصص‌ها در پایان این بخش اشاره می‌کنیم.</w:t>
      </w:r>
    </w:p>
    <w:p w14:paraId="51C7696E" w14:textId="76D84450" w:rsidR="00537CC8" w:rsidRPr="0025250D" w:rsidRDefault="00537CC8" w:rsidP="00537CC8">
      <w:pPr>
        <w:rPr>
          <w:rtl/>
        </w:rPr>
      </w:pPr>
      <w:r w:rsidRPr="0025250D">
        <w:rPr>
          <w:rFonts w:hint="cs"/>
          <w:rtl/>
        </w:rPr>
        <w:t>یکی از شناخته شده‌ترین</w:t>
      </w:r>
      <w:r w:rsidR="008D6F97" w:rsidRPr="0025250D">
        <w:rPr>
          <w:rtl/>
        </w:rPr>
        <w:t xml:space="preserve"> </w:t>
      </w:r>
      <w:r w:rsidRPr="0025250D">
        <w:rPr>
          <w:rFonts w:hint="cs"/>
          <w:rtl/>
        </w:rPr>
        <w:t xml:space="preserve">نکات اثبات کننده قرن بیستمی در تخصص عملی گزینه‌های </w:t>
      </w:r>
      <w:r w:rsidR="00563645" w:rsidRPr="0025250D">
        <w:rPr>
          <w:rFonts w:hint="cs"/>
          <w:rtl/>
        </w:rPr>
        <w:t>بدیل</w:t>
      </w:r>
      <w:r w:rsidRPr="0025250D">
        <w:rPr>
          <w:rFonts w:hint="cs"/>
          <w:rtl/>
        </w:rPr>
        <w:t xml:space="preserve"> و </w:t>
      </w:r>
      <w:r w:rsidR="00701E03" w:rsidRPr="0025250D">
        <w:rPr>
          <w:rFonts w:hint="cs"/>
          <w:rtl/>
        </w:rPr>
        <w:t>فرانامه</w:t>
      </w:r>
      <w:r w:rsidRPr="0025250D">
        <w:rPr>
          <w:rFonts w:hint="cs"/>
          <w:rtl/>
        </w:rPr>
        <w:t xml:space="preserve">‌ها، فرایند </w:t>
      </w:r>
      <w:r w:rsidR="00B124DE" w:rsidRPr="0025250D">
        <w:rPr>
          <w:rFonts w:hint="cs"/>
          <w:rtl/>
        </w:rPr>
        <w:t>برنامه‌ریزی</w:t>
      </w:r>
      <w:r w:rsidRPr="0025250D">
        <w:rPr>
          <w:rFonts w:hint="cs"/>
          <w:rtl/>
        </w:rPr>
        <w:t xml:space="preserve"> </w:t>
      </w:r>
      <w:r w:rsidR="00701E03" w:rsidRPr="0025250D">
        <w:rPr>
          <w:rFonts w:hint="cs"/>
          <w:rtl/>
        </w:rPr>
        <w:t>فرانامه</w:t>
      </w:r>
      <w:r w:rsidRPr="0025250D">
        <w:rPr>
          <w:rFonts w:hint="cs"/>
          <w:rtl/>
        </w:rPr>
        <w:t xml:space="preserve"> </w:t>
      </w:r>
      <w:r w:rsidRPr="0025250D">
        <w:rPr>
          <w:rtl/>
        </w:rPr>
        <w:t>رو</w:t>
      </w:r>
      <w:r w:rsidRPr="0025250D">
        <w:rPr>
          <w:rFonts w:hint="cs"/>
          <w:rtl/>
        </w:rPr>
        <w:t>ی</w:t>
      </w:r>
      <w:r w:rsidRPr="0025250D">
        <w:rPr>
          <w:rFonts w:hint="eastAsia"/>
          <w:rtl/>
        </w:rPr>
        <w:t>ال</w:t>
      </w:r>
      <w:r w:rsidRPr="0025250D">
        <w:rPr>
          <w:rtl/>
        </w:rPr>
        <w:t xml:space="preserve"> داچ/شل</w:t>
      </w:r>
      <w:r w:rsidRPr="0025250D">
        <w:rPr>
          <w:vertAlign w:val="superscript"/>
          <w:rtl/>
        </w:rPr>
        <w:footnoteReference w:id="1690"/>
      </w:r>
      <w:r w:rsidRPr="0025250D">
        <w:rPr>
          <w:rFonts w:hint="cs"/>
          <w:rtl/>
        </w:rPr>
        <w:t xml:space="preserve"> است. این مورد توسط </w:t>
      </w:r>
      <w:r w:rsidRPr="0025250D">
        <w:rPr>
          <w:rtl/>
        </w:rPr>
        <w:t>پ</w:t>
      </w:r>
      <w:r w:rsidRPr="0025250D">
        <w:rPr>
          <w:rFonts w:hint="cs"/>
          <w:rtl/>
        </w:rPr>
        <w:t>ی</w:t>
      </w:r>
      <w:r w:rsidRPr="0025250D">
        <w:rPr>
          <w:rFonts w:hint="eastAsia"/>
          <w:rtl/>
        </w:rPr>
        <w:t>تر</w:t>
      </w:r>
      <w:r w:rsidRPr="0025250D">
        <w:rPr>
          <w:rtl/>
        </w:rPr>
        <w:t xml:space="preserve"> شوارتز</w:t>
      </w:r>
      <w:r w:rsidRPr="0025250D">
        <w:rPr>
          <w:vertAlign w:val="superscript"/>
          <w:rtl/>
        </w:rPr>
        <w:footnoteReference w:id="1691"/>
      </w:r>
      <w:r w:rsidRPr="0025250D">
        <w:rPr>
          <w:rFonts w:hint="cs"/>
          <w:rtl/>
        </w:rPr>
        <w:t xml:space="preserve"> در کتاب </w:t>
      </w:r>
      <w:r w:rsidRPr="0025250D">
        <w:rPr>
          <w:rtl/>
        </w:rPr>
        <w:t xml:space="preserve">هنر </w:t>
      </w:r>
      <w:r w:rsidRPr="0025250D">
        <w:rPr>
          <w:rFonts w:hint="cs"/>
          <w:rtl/>
        </w:rPr>
        <w:t>دید بلندمدت</w:t>
      </w:r>
      <w:r w:rsidRPr="0025250D">
        <w:rPr>
          <w:vertAlign w:val="superscript"/>
          <w:rtl/>
        </w:rPr>
        <w:footnoteReference w:id="1692"/>
      </w:r>
      <w:r w:rsidRPr="0025250D">
        <w:rPr>
          <w:rFonts w:hint="cs"/>
          <w:rtl/>
        </w:rPr>
        <w:t xml:space="preserve"> در سال 1991، اولین اثر منتشر شده محبوب درمورد </w:t>
      </w:r>
      <w:r w:rsidR="00B124DE" w:rsidRPr="0025250D">
        <w:rPr>
          <w:rFonts w:hint="cs"/>
          <w:rtl/>
        </w:rPr>
        <w:t>برنامه‌ریزی</w:t>
      </w:r>
      <w:r w:rsidRPr="0025250D">
        <w:rPr>
          <w:rFonts w:hint="cs"/>
          <w:rtl/>
        </w:rPr>
        <w:t xml:space="preserve"> </w:t>
      </w:r>
      <w:r w:rsidR="00701E03" w:rsidRPr="0025250D">
        <w:rPr>
          <w:rFonts w:hint="cs"/>
          <w:rtl/>
        </w:rPr>
        <w:t>فرانامه</w:t>
      </w:r>
      <w:r w:rsidRPr="0025250D">
        <w:rPr>
          <w:rFonts w:hint="cs"/>
          <w:rtl/>
        </w:rPr>
        <w:t xml:space="preserve">‌ها، توصیف شد. </w:t>
      </w:r>
      <w:r w:rsidRPr="0025250D">
        <w:rPr>
          <w:rtl/>
        </w:rPr>
        <w:t>شوارتز</w:t>
      </w:r>
      <w:r w:rsidRPr="0025250D">
        <w:rPr>
          <w:rFonts w:hint="cs"/>
          <w:rtl/>
        </w:rPr>
        <w:t xml:space="preserve"> رئیس واحد </w:t>
      </w:r>
      <w:r w:rsidR="00B124DE" w:rsidRPr="0025250D">
        <w:rPr>
          <w:rFonts w:hint="cs"/>
          <w:rtl/>
        </w:rPr>
        <w:t>برنامه‌ریزی</w:t>
      </w:r>
      <w:r w:rsidRPr="0025250D">
        <w:rPr>
          <w:rFonts w:hint="cs"/>
          <w:rtl/>
        </w:rPr>
        <w:t xml:space="preserve"> </w:t>
      </w:r>
      <w:r w:rsidR="00701E03" w:rsidRPr="0025250D">
        <w:rPr>
          <w:rFonts w:hint="cs"/>
          <w:rtl/>
        </w:rPr>
        <w:t>فرانامه</w:t>
      </w:r>
      <w:r w:rsidRPr="0025250D">
        <w:rPr>
          <w:rFonts w:hint="cs"/>
          <w:rtl/>
        </w:rPr>
        <w:t xml:space="preserve"> شعبه لندن شرکت شل از سال 1982-1986 بود. </w:t>
      </w:r>
      <w:r w:rsidR="00B124DE" w:rsidRPr="0025250D">
        <w:rPr>
          <w:rFonts w:hint="cs"/>
          <w:rtl/>
        </w:rPr>
        <w:t>برنامه‌ریزی</w:t>
      </w:r>
      <w:r w:rsidRPr="0025250D">
        <w:rPr>
          <w:rFonts w:hint="cs"/>
          <w:rtl/>
        </w:rPr>
        <w:t xml:space="preserve"> </w:t>
      </w:r>
      <w:r w:rsidR="007A53FD" w:rsidRPr="0025250D">
        <w:rPr>
          <w:rFonts w:hint="cs"/>
          <w:rtl/>
        </w:rPr>
        <w:t>فرانامه</w:t>
      </w:r>
      <w:r w:rsidRPr="0025250D">
        <w:rPr>
          <w:rFonts w:hint="cs"/>
          <w:rtl/>
        </w:rPr>
        <w:t xml:space="preserve">‌ها در شل در اوایل دهه 1970، تحت نظر </w:t>
      </w:r>
      <w:r w:rsidRPr="0025250D">
        <w:rPr>
          <w:rtl/>
        </w:rPr>
        <w:t>پ</w:t>
      </w:r>
      <w:r w:rsidRPr="0025250D">
        <w:rPr>
          <w:rFonts w:hint="cs"/>
          <w:rtl/>
        </w:rPr>
        <w:t>ی</w:t>
      </w:r>
      <w:r w:rsidRPr="0025250D">
        <w:rPr>
          <w:rFonts w:hint="eastAsia"/>
          <w:rtl/>
        </w:rPr>
        <w:t>ر</w:t>
      </w:r>
      <w:r w:rsidRPr="0025250D">
        <w:rPr>
          <w:rtl/>
        </w:rPr>
        <w:t xml:space="preserve"> واک</w:t>
      </w:r>
      <w:r w:rsidRPr="0025250D">
        <w:rPr>
          <w:vertAlign w:val="superscript"/>
          <w:rtl/>
        </w:rPr>
        <w:footnoteReference w:id="1693"/>
      </w:r>
      <w:r w:rsidRPr="0025250D">
        <w:rPr>
          <w:rFonts w:hint="cs"/>
          <w:rtl/>
        </w:rPr>
        <w:t xml:space="preserve"> آغاز شد. </w:t>
      </w:r>
      <w:r w:rsidR="007118DE" w:rsidRPr="0025250D">
        <w:rPr>
          <w:rFonts w:hint="cs"/>
          <w:rtl/>
        </w:rPr>
        <w:t>همان‌طور</w:t>
      </w:r>
      <w:r w:rsidRPr="0025250D">
        <w:rPr>
          <w:rFonts w:hint="cs"/>
          <w:rtl/>
        </w:rPr>
        <w:t xml:space="preserve"> که آرت</w:t>
      </w:r>
      <w:r w:rsidRPr="0025250D">
        <w:rPr>
          <w:rtl/>
        </w:rPr>
        <w:t xml:space="preserve"> کلا</w:t>
      </w:r>
      <w:r w:rsidRPr="0025250D">
        <w:rPr>
          <w:rFonts w:hint="cs"/>
          <w:rtl/>
        </w:rPr>
        <w:t>ی</w:t>
      </w:r>
      <w:r w:rsidRPr="0025250D">
        <w:rPr>
          <w:rFonts w:hint="eastAsia"/>
          <w:rtl/>
        </w:rPr>
        <w:t>نر</w:t>
      </w:r>
      <w:r w:rsidRPr="0025250D">
        <w:rPr>
          <w:vertAlign w:val="superscript"/>
          <w:rtl/>
        </w:rPr>
        <w:footnoteReference w:id="1694"/>
      </w:r>
      <w:r w:rsidRPr="0025250D">
        <w:rPr>
          <w:rFonts w:hint="cs"/>
          <w:rtl/>
        </w:rPr>
        <w:t xml:space="preserve"> در اثر </w:t>
      </w:r>
      <w:r w:rsidR="0063099E" w:rsidRPr="0025250D">
        <w:rPr>
          <w:rtl/>
        </w:rPr>
        <w:t>«</w:t>
      </w:r>
      <w:r w:rsidRPr="0025250D">
        <w:rPr>
          <w:rFonts w:hint="cs"/>
          <w:rtl/>
        </w:rPr>
        <w:t>مردی که آینده را دید</w:t>
      </w:r>
      <w:r w:rsidRPr="0025250D">
        <w:rPr>
          <w:vertAlign w:val="superscript"/>
          <w:rtl/>
        </w:rPr>
        <w:footnoteReference w:id="1695"/>
      </w:r>
      <w:r w:rsidR="0063099E" w:rsidRPr="0025250D">
        <w:rPr>
          <w:rtl/>
        </w:rPr>
        <w:t>»</w:t>
      </w:r>
      <w:r w:rsidRPr="0025250D">
        <w:rPr>
          <w:rFonts w:hint="cs"/>
          <w:rtl/>
        </w:rPr>
        <w:t xml:space="preserve"> در مجله </w:t>
      </w:r>
      <w:r w:rsidR="00701E03" w:rsidRPr="0025250D">
        <w:rPr>
          <w:rtl/>
        </w:rPr>
        <w:t>راهبرد</w:t>
      </w:r>
      <w:r w:rsidRPr="0025250D">
        <w:rPr>
          <w:rtl/>
        </w:rPr>
        <w:t xml:space="preserve"> + </w:t>
      </w:r>
      <w:r w:rsidR="00B124DE" w:rsidRPr="0025250D">
        <w:rPr>
          <w:rtl/>
        </w:rPr>
        <w:t>کسب‌و‌کار</w:t>
      </w:r>
      <w:r w:rsidRPr="0025250D">
        <w:rPr>
          <w:vertAlign w:val="superscript"/>
          <w:rtl/>
        </w:rPr>
        <w:footnoteReference w:id="1696"/>
      </w:r>
      <w:r w:rsidRPr="0025250D">
        <w:rPr>
          <w:rFonts w:hint="cs"/>
          <w:rtl/>
        </w:rPr>
        <w:t xml:space="preserve"> (بهار 2003)، بیان می‌کند، تیم </w:t>
      </w:r>
      <w:r w:rsidRPr="0025250D">
        <w:rPr>
          <w:rtl/>
        </w:rPr>
        <w:t>واک</w:t>
      </w:r>
      <w:r w:rsidRPr="0025250D">
        <w:rPr>
          <w:rFonts w:hint="cs"/>
          <w:rtl/>
        </w:rPr>
        <w:t xml:space="preserve"> و جانشینان بعدی او در </w:t>
      </w:r>
      <w:r w:rsidR="00B124DE" w:rsidRPr="0025250D">
        <w:rPr>
          <w:rFonts w:hint="cs"/>
          <w:rtl/>
        </w:rPr>
        <w:t>برنامه‌ریزی</w:t>
      </w:r>
      <w:r w:rsidRPr="0025250D">
        <w:rPr>
          <w:rFonts w:hint="cs"/>
          <w:rtl/>
        </w:rPr>
        <w:t xml:space="preserve"> </w:t>
      </w:r>
      <w:r w:rsidR="007A53FD" w:rsidRPr="0025250D">
        <w:rPr>
          <w:rFonts w:hint="cs"/>
          <w:rtl/>
        </w:rPr>
        <w:t>فرانامه</w:t>
      </w:r>
      <w:r w:rsidRPr="0025250D">
        <w:rPr>
          <w:rFonts w:hint="cs"/>
          <w:rtl/>
        </w:rPr>
        <w:t xml:space="preserve"> در شل، به دلیل کمک به شرکت در </w:t>
      </w:r>
      <w:r w:rsidR="00923DDB" w:rsidRPr="0025250D">
        <w:rPr>
          <w:rFonts w:hint="cs"/>
          <w:rtl/>
        </w:rPr>
        <w:t>پیش‌انگاری</w:t>
      </w:r>
      <w:r w:rsidRPr="0025250D">
        <w:rPr>
          <w:rFonts w:hint="cs"/>
          <w:rtl/>
        </w:rPr>
        <w:t xml:space="preserve"> </w:t>
      </w:r>
      <w:r w:rsidR="0063099E" w:rsidRPr="0025250D">
        <w:rPr>
          <w:rtl/>
        </w:rPr>
        <w:t>«</w:t>
      </w:r>
      <w:r w:rsidRPr="0025250D">
        <w:rPr>
          <w:rFonts w:hint="cs"/>
          <w:rtl/>
        </w:rPr>
        <w:t>بحران انرژی 1973، شوک قیمت نفت سال 1979، فروپاشی بازار نفت در سال 1986، سقوط اتحادیه جماهیر شوری در سال 1991، ظهور رادیکالیسم اسلامی در سال 2000 و افزایش فشار بر شرکت‌ها برای پرداختن به مسائل زیست محیطی و اجتماعی</w:t>
      </w:r>
      <w:r w:rsidR="0063099E" w:rsidRPr="0025250D">
        <w:rPr>
          <w:rtl/>
        </w:rPr>
        <w:t>»</w:t>
      </w:r>
      <w:r w:rsidRPr="0025250D">
        <w:rPr>
          <w:rFonts w:hint="cs"/>
          <w:rtl/>
        </w:rPr>
        <w:t xml:space="preserve">، در میان دیگر تغییرات، اعتبار یافتند. اگر حتی تنها چند مورد از این ادعا‌ها درست باشند، مثال حیرت آوری از ارزش </w:t>
      </w:r>
      <w:r w:rsidR="0063099E" w:rsidRPr="0025250D">
        <w:rPr>
          <w:rtl/>
        </w:rPr>
        <w:t>«</w:t>
      </w:r>
      <w:r w:rsidR="00FB6A7E" w:rsidRPr="0025250D">
        <w:rPr>
          <w:rFonts w:hint="cs"/>
          <w:rtl/>
        </w:rPr>
        <w:t>اگر-آنگاه</w:t>
      </w:r>
      <w:r w:rsidR="0063099E" w:rsidRPr="0025250D">
        <w:rPr>
          <w:rtl/>
        </w:rPr>
        <w:t>»</w:t>
      </w:r>
      <w:r w:rsidRPr="0025250D">
        <w:rPr>
          <w:rFonts w:hint="cs"/>
          <w:rtl/>
        </w:rPr>
        <w:t xml:space="preserve"> درمورد آینده به صورت منظم می‌باشد.</w:t>
      </w:r>
    </w:p>
    <w:p w14:paraId="6A248669" w14:textId="730B9535" w:rsidR="00537CC8" w:rsidRPr="0025250D" w:rsidRDefault="00537CC8" w:rsidP="00537CC8">
      <w:pPr>
        <w:rPr>
          <w:rtl/>
        </w:rPr>
      </w:pPr>
      <w:r w:rsidRPr="0025250D">
        <w:rPr>
          <w:rFonts w:hint="cs"/>
          <w:rtl/>
        </w:rPr>
        <w:t xml:space="preserve">متأسفانه، دریافت جزئیات درمورد ماهیت این </w:t>
      </w:r>
      <w:r w:rsidR="00923DDB" w:rsidRPr="0025250D">
        <w:rPr>
          <w:rtl/>
        </w:rPr>
        <w:t>پیش‌انگاری</w:t>
      </w:r>
      <w:r w:rsidRPr="0025250D">
        <w:rPr>
          <w:rFonts w:hint="cs"/>
          <w:rtl/>
        </w:rPr>
        <w:t xml:space="preserve">‌ها در حال حاضر دشوار است. برخی از این ادعا‌ها می‌توانند تنها افسانه باشند، برخی دیگر ممکن است اغراق شده باشند. </w:t>
      </w:r>
      <w:r w:rsidRPr="0025250D">
        <w:rPr>
          <w:rtl/>
        </w:rPr>
        <w:t>آنجلا و</w:t>
      </w:r>
      <w:r w:rsidRPr="0025250D">
        <w:rPr>
          <w:rFonts w:hint="cs"/>
          <w:rtl/>
        </w:rPr>
        <w:t>ی</w:t>
      </w:r>
      <w:r w:rsidRPr="0025250D">
        <w:rPr>
          <w:rFonts w:hint="eastAsia"/>
          <w:rtl/>
        </w:rPr>
        <w:t>لک</w:t>
      </w:r>
      <w:r w:rsidRPr="0025250D">
        <w:rPr>
          <w:rFonts w:hint="cs"/>
          <w:rtl/>
        </w:rPr>
        <w:t>ی</w:t>
      </w:r>
      <w:r w:rsidRPr="0025250D">
        <w:rPr>
          <w:rFonts w:hint="eastAsia"/>
          <w:rtl/>
        </w:rPr>
        <w:t>نسون</w:t>
      </w:r>
      <w:r w:rsidRPr="0025250D">
        <w:rPr>
          <w:vertAlign w:val="superscript"/>
          <w:rtl/>
        </w:rPr>
        <w:footnoteReference w:id="1697"/>
      </w:r>
      <w:r w:rsidRPr="0025250D">
        <w:rPr>
          <w:rFonts w:hint="cs"/>
          <w:rtl/>
        </w:rPr>
        <w:t xml:space="preserve">، عضو سابق تیم </w:t>
      </w:r>
      <w:r w:rsidR="00701E03" w:rsidRPr="0025250D">
        <w:rPr>
          <w:rFonts w:hint="cs"/>
          <w:rtl/>
        </w:rPr>
        <w:t>فرانامه</w:t>
      </w:r>
      <w:r w:rsidRPr="0025250D">
        <w:rPr>
          <w:rFonts w:hint="cs"/>
          <w:rtl/>
        </w:rPr>
        <w:t xml:space="preserve"> شل و عضو سابق هیئت علمی برنامه </w:t>
      </w:r>
      <w:r w:rsidR="00701E03" w:rsidRPr="0025250D">
        <w:rPr>
          <w:rFonts w:hint="cs"/>
          <w:rtl/>
        </w:rPr>
        <w:t>فرانامه</w:t>
      </w:r>
      <w:r w:rsidRPr="0025250D">
        <w:rPr>
          <w:rFonts w:hint="cs"/>
          <w:rtl/>
        </w:rPr>
        <w:t xml:space="preserve"> آکسفورد</w:t>
      </w:r>
      <w:r w:rsidRPr="0025250D">
        <w:rPr>
          <w:vertAlign w:val="superscript"/>
          <w:rtl/>
        </w:rPr>
        <w:footnoteReference w:id="1698"/>
      </w:r>
      <w:r w:rsidRPr="0025250D">
        <w:rPr>
          <w:rFonts w:hint="cs"/>
          <w:rtl/>
        </w:rPr>
        <w:t xml:space="preserve"> برخوردی انتقادی دارند. او، در یک مقاله در سال 2013 در مجله </w:t>
      </w:r>
      <w:r w:rsidRPr="0025250D">
        <w:t>HBR</w:t>
      </w:r>
      <w:r w:rsidRPr="0025250D">
        <w:rPr>
          <w:rFonts w:hint="cs"/>
          <w:rtl/>
        </w:rPr>
        <w:t xml:space="preserve"> که به صورت مشترک با </w:t>
      </w:r>
      <w:r w:rsidRPr="0025250D">
        <w:rPr>
          <w:rtl/>
        </w:rPr>
        <w:t>رولاند کوپرز</w:t>
      </w:r>
      <w:r w:rsidRPr="0025250D">
        <w:rPr>
          <w:vertAlign w:val="superscript"/>
          <w:rtl/>
        </w:rPr>
        <w:footnoteReference w:id="1699"/>
      </w:r>
      <w:r w:rsidRPr="0025250D">
        <w:rPr>
          <w:rFonts w:hint="cs"/>
          <w:rtl/>
        </w:rPr>
        <w:t xml:space="preserve"> نوشته شده است، بیان می‌کند که </w:t>
      </w:r>
      <w:r w:rsidR="0063099E" w:rsidRPr="0025250D">
        <w:rPr>
          <w:rtl/>
        </w:rPr>
        <w:t>«</w:t>
      </w:r>
      <w:r w:rsidRPr="0025250D">
        <w:rPr>
          <w:rFonts w:hint="cs"/>
          <w:rtl/>
        </w:rPr>
        <w:t xml:space="preserve">ما هیچ مثالی بهتر از دیگر شرکت‌ها درمورد توسعه‌های آینده </w:t>
      </w:r>
      <w:r w:rsidR="00923DDB" w:rsidRPr="0025250D">
        <w:rPr>
          <w:rFonts w:hint="cs"/>
          <w:rtl/>
        </w:rPr>
        <w:t>پیش‌انگاری</w:t>
      </w:r>
      <w:r w:rsidRPr="0025250D">
        <w:rPr>
          <w:rFonts w:hint="cs"/>
          <w:rtl/>
        </w:rPr>
        <w:t xml:space="preserve"> شده شل نداریم</w:t>
      </w:r>
      <w:r w:rsidR="0063099E" w:rsidRPr="0025250D">
        <w:rPr>
          <w:rtl/>
        </w:rPr>
        <w:t>»</w:t>
      </w:r>
      <w:r w:rsidR="008D6F97" w:rsidRPr="0025250D">
        <w:rPr>
          <w:rtl/>
        </w:rPr>
        <w:t xml:space="preserve">؛ </w:t>
      </w:r>
      <w:r w:rsidR="0020589F" w:rsidRPr="0025250D">
        <w:rPr>
          <w:rtl/>
        </w:rPr>
        <w:t>اما</w:t>
      </w:r>
      <w:r w:rsidRPr="0025250D">
        <w:rPr>
          <w:rFonts w:hint="cs"/>
          <w:rtl/>
        </w:rPr>
        <w:t xml:space="preserve"> در دفاع از شل باید به یاد داشته باشیم که بر خلاف </w:t>
      </w:r>
      <w:r w:rsidR="00701E03" w:rsidRPr="0025250D">
        <w:rPr>
          <w:rFonts w:hint="cs"/>
          <w:rtl/>
        </w:rPr>
        <w:t>فرانامه</w:t>
      </w:r>
      <w:r w:rsidRPr="0025250D">
        <w:rPr>
          <w:rFonts w:hint="cs"/>
          <w:rtl/>
        </w:rPr>
        <w:t xml:space="preserve"> آینده‌پژوهانی مانند </w:t>
      </w:r>
      <w:r w:rsidRPr="0025250D">
        <w:rPr>
          <w:rtl/>
        </w:rPr>
        <w:t>هرمان کان</w:t>
      </w:r>
      <w:r w:rsidRPr="0025250D">
        <w:rPr>
          <w:rFonts w:hint="cs"/>
          <w:rtl/>
        </w:rPr>
        <w:t xml:space="preserve"> که اغلب به شدت در تمرکز خود بر آینده‌های محتمل اثر بخش بود یا آینده‌پژوهان هنجاری مانند </w:t>
      </w:r>
      <w:r w:rsidRPr="0025250D">
        <w:rPr>
          <w:rtl/>
        </w:rPr>
        <w:t>گاستون برگر</w:t>
      </w:r>
      <w:r w:rsidRPr="0025250D">
        <w:rPr>
          <w:vertAlign w:val="superscript"/>
          <w:rtl/>
        </w:rPr>
        <w:footnoteReference w:id="1700"/>
      </w:r>
      <w:r w:rsidRPr="0025250D">
        <w:rPr>
          <w:rFonts w:hint="cs"/>
          <w:rtl/>
        </w:rPr>
        <w:t xml:space="preserve"> و </w:t>
      </w:r>
      <w:r w:rsidRPr="0025250D">
        <w:rPr>
          <w:rtl/>
        </w:rPr>
        <w:t>برتراند دو ژوونل</w:t>
      </w:r>
      <w:r w:rsidRPr="0025250D">
        <w:rPr>
          <w:vertAlign w:val="superscript"/>
          <w:rtl/>
        </w:rPr>
        <w:footnoteReference w:id="1701"/>
      </w:r>
      <w:r w:rsidRPr="0025250D">
        <w:rPr>
          <w:rFonts w:hint="cs"/>
          <w:rtl/>
        </w:rPr>
        <w:t xml:space="preserve"> که </w:t>
      </w:r>
      <w:r w:rsidR="007A53FD" w:rsidRPr="0025250D">
        <w:rPr>
          <w:rFonts w:hint="cs"/>
          <w:rtl/>
        </w:rPr>
        <w:t>فرانامه</w:t>
      </w:r>
      <w:r w:rsidRPr="0025250D">
        <w:rPr>
          <w:rFonts w:hint="cs"/>
          <w:rtl/>
        </w:rPr>
        <w:t xml:space="preserve">‌ها را بر آینده‌های محتمل متمرکز می‌کردند، شل </w:t>
      </w:r>
      <w:r w:rsidR="00362EF3" w:rsidRPr="0025250D">
        <w:rPr>
          <w:rFonts w:hint="cs"/>
          <w:rtl/>
        </w:rPr>
        <w:t>فرانامه‌های</w:t>
      </w:r>
      <w:r w:rsidRPr="0025250D">
        <w:rPr>
          <w:rFonts w:hint="cs"/>
          <w:rtl/>
        </w:rPr>
        <w:t xml:space="preserve"> خود را بر آینده‌های ممکن (و همزمان، </w:t>
      </w:r>
      <w:r w:rsidR="00923DDB" w:rsidRPr="0025250D">
        <w:rPr>
          <w:rFonts w:hint="cs"/>
          <w:rtl/>
        </w:rPr>
        <w:t>باورپذیر</w:t>
      </w:r>
      <w:r w:rsidRPr="0025250D">
        <w:rPr>
          <w:rFonts w:hint="cs"/>
          <w:rtl/>
        </w:rPr>
        <w:t>) متمرکز کرد</w:t>
      </w:r>
      <w:r w:rsidR="008D6F97" w:rsidRPr="0025250D">
        <w:rPr>
          <w:rtl/>
        </w:rPr>
        <w:t xml:space="preserve">؛ </w:t>
      </w:r>
      <w:r w:rsidRPr="0025250D">
        <w:rPr>
          <w:rFonts w:hint="cs"/>
          <w:rtl/>
        </w:rPr>
        <w:t xml:space="preserve">بنابراین با توجه به هدف اکتشافی اولیه </w:t>
      </w:r>
      <w:r w:rsidR="00362EF3" w:rsidRPr="0025250D">
        <w:rPr>
          <w:rFonts w:hint="cs"/>
          <w:rtl/>
        </w:rPr>
        <w:t>فرانامه‌های</w:t>
      </w:r>
      <w:r w:rsidRPr="0025250D">
        <w:rPr>
          <w:rFonts w:hint="cs"/>
          <w:rtl/>
        </w:rPr>
        <w:t xml:space="preserve"> شل، این امر منطقی است که </w:t>
      </w:r>
      <w:r w:rsidRPr="0025250D">
        <w:rPr>
          <w:rtl/>
        </w:rPr>
        <w:t>و</w:t>
      </w:r>
      <w:r w:rsidRPr="0025250D">
        <w:rPr>
          <w:rFonts w:hint="cs"/>
          <w:rtl/>
        </w:rPr>
        <w:t>ی</w:t>
      </w:r>
      <w:r w:rsidRPr="0025250D">
        <w:rPr>
          <w:rFonts w:hint="eastAsia"/>
          <w:rtl/>
        </w:rPr>
        <w:t>لک</w:t>
      </w:r>
      <w:r w:rsidRPr="0025250D">
        <w:rPr>
          <w:rFonts w:hint="cs"/>
          <w:rtl/>
        </w:rPr>
        <w:t>ی</w:t>
      </w:r>
      <w:r w:rsidRPr="0025250D">
        <w:rPr>
          <w:rFonts w:hint="eastAsia"/>
          <w:rtl/>
        </w:rPr>
        <w:t>نسون</w:t>
      </w:r>
      <w:r w:rsidRPr="0025250D">
        <w:rPr>
          <w:rFonts w:hint="cs"/>
          <w:rtl/>
        </w:rPr>
        <w:t xml:space="preserve"> و </w:t>
      </w:r>
      <w:r w:rsidRPr="0025250D">
        <w:rPr>
          <w:rtl/>
        </w:rPr>
        <w:t>کوپر</w:t>
      </w:r>
      <w:r w:rsidRPr="0025250D">
        <w:rPr>
          <w:rFonts w:hint="cs"/>
          <w:rtl/>
        </w:rPr>
        <w:t>ز</w:t>
      </w:r>
      <w:r w:rsidRPr="0025250D">
        <w:rPr>
          <w:vertAlign w:val="superscript"/>
          <w:rtl/>
        </w:rPr>
        <w:footnoteReference w:id="1702"/>
      </w:r>
      <w:r w:rsidRPr="0025250D">
        <w:rPr>
          <w:rFonts w:hint="cs"/>
          <w:rtl/>
        </w:rPr>
        <w:t xml:space="preserve"> ارزش </w:t>
      </w:r>
      <w:r w:rsidR="00923DDB" w:rsidRPr="0025250D">
        <w:rPr>
          <w:rFonts w:hint="cs"/>
          <w:rtl/>
        </w:rPr>
        <w:t>پیش‌انگاری</w:t>
      </w:r>
      <w:r w:rsidRPr="0025250D">
        <w:rPr>
          <w:rFonts w:hint="cs"/>
          <w:rtl/>
        </w:rPr>
        <w:t xml:space="preserve"> اندکی در آن‌ها می‌یابند.</w:t>
      </w:r>
    </w:p>
    <w:p w14:paraId="1645681A" w14:textId="4DAF274A" w:rsidR="00537CC8" w:rsidRPr="0025250D" w:rsidRDefault="00537CC8" w:rsidP="00537CC8">
      <w:pPr>
        <w:rPr>
          <w:rtl/>
        </w:rPr>
      </w:pPr>
      <w:r w:rsidRPr="0025250D">
        <w:rPr>
          <w:rtl/>
        </w:rPr>
        <w:t>و</w:t>
      </w:r>
      <w:r w:rsidRPr="0025250D">
        <w:rPr>
          <w:rFonts w:hint="cs"/>
          <w:rtl/>
        </w:rPr>
        <w:t>ی</w:t>
      </w:r>
      <w:r w:rsidRPr="0025250D">
        <w:rPr>
          <w:rFonts w:hint="eastAsia"/>
          <w:rtl/>
        </w:rPr>
        <w:t>لک</w:t>
      </w:r>
      <w:r w:rsidRPr="0025250D">
        <w:rPr>
          <w:rFonts w:hint="cs"/>
          <w:rtl/>
        </w:rPr>
        <w:t>ی</w:t>
      </w:r>
      <w:r w:rsidRPr="0025250D">
        <w:rPr>
          <w:rFonts w:hint="eastAsia"/>
          <w:rtl/>
        </w:rPr>
        <w:t>نسون</w:t>
      </w:r>
      <w:r w:rsidRPr="0025250D">
        <w:rPr>
          <w:rFonts w:hint="cs"/>
          <w:rtl/>
        </w:rPr>
        <w:t xml:space="preserve"> و</w:t>
      </w:r>
      <w:r w:rsidRPr="0025250D">
        <w:rPr>
          <w:rtl/>
        </w:rPr>
        <w:t xml:space="preserve"> کوپر</w:t>
      </w:r>
      <w:r w:rsidRPr="0025250D">
        <w:rPr>
          <w:rFonts w:hint="cs"/>
          <w:rtl/>
        </w:rPr>
        <w:t xml:space="preserve">ز در مقاله خود فرض می‌کنند که </w:t>
      </w:r>
      <w:r w:rsidR="007A53FD" w:rsidRPr="0025250D">
        <w:rPr>
          <w:rFonts w:hint="cs"/>
          <w:rtl/>
        </w:rPr>
        <w:t>فرانامه</w:t>
      </w:r>
      <w:r w:rsidRPr="0025250D">
        <w:rPr>
          <w:rFonts w:hint="cs"/>
          <w:rtl/>
        </w:rPr>
        <w:t>‌ها در اصل برای توصیف آینده‌های ممکن</w:t>
      </w:r>
      <w:r w:rsidR="008D6F97" w:rsidRPr="0025250D">
        <w:rPr>
          <w:rtl/>
        </w:rPr>
        <w:t xml:space="preserve"> </w:t>
      </w:r>
      <w:r w:rsidRPr="0025250D">
        <w:rPr>
          <w:rFonts w:hint="cs"/>
          <w:rtl/>
        </w:rPr>
        <w:t xml:space="preserve">که می‌توانند مرجح یا </w:t>
      </w:r>
      <w:r w:rsidR="0060055A" w:rsidRPr="0025250D">
        <w:rPr>
          <w:rFonts w:hint="cs"/>
          <w:rtl/>
        </w:rPr>
        <w:t>ویران‌شهر</w:t>
      </w:r>
      <w:r w:rsidRPr="0025250D">
        <w:rPr>
          <w:rFonts w:hint="cs"/>
          <w:rtl/>
        </w:rPr>
        <w:t xml:space="preserve">ی باشند به کار می‌روند. از نظر آن‌ها، در هر صورت هدف </w:t>
      </w:r>
      <w:r w:rsidR="007A53FD" w:rsidRPr="0025250D">
        <w:rPr>
          <w:rFonts w:hint="cs"/>
          <w:rtl/>
        </w:rPr>
        <w:t>فرانامه</w:t>
      </w:r>
      <w:r w:rsidRPr="0025250D">
        <w:rPr>
          <w:rFonts w:hint="cs"/>
          <w:rtl/>
        </w:rPr>
        <w:t xml:space="preserve">‌ها تنها کاوش آینده‌های محتمل نیست. </w:t>
      </w:r>
      <w:r w:rsidR="007118DE" w:rsidRPr="0025250D">
        <w:rPr>
          <w:rFonts w:hint="cs"/>
          <w:rtl/>
        </w:rPr>
        <w:t>همان‌طور</w:t>
      </w:r>
      <w:r w:rsidRPr="0025250D">
        <w:rPr>
          <w:rFonts w:hint="cs"/>
          <w:rtl/>
        </w:rPr>
        <w:t xml:space="preserve"> که </w:t>
      </w:r>
      <w:r w:rsidRPr="0025250D">
        <w:rPr>
          <w:rtl/>
        </w:rPr>
        <w:t>کان</w:t>
      </w:r>
      <w:r w:rsidRPr="0025250D">
        <w:rPr>
          <w:rFonts w:hint="cs"/>
          <w:rtl/>
        </w:rPr>
        <w:t xml:space="preserve"> و دیگران به دفعات نشان دادند، این فرضیه درمورد کار </w:t>
      </w:r>
      <w:r w:rsidR="007A53FD" w:rsidRPr="0025250D">
        <w:rPr>
          <w:rFonts w:hint="cs"/>
          <w:rtl/>
        </w:rPr>
        <w:t>فرانامه</w:t>
      </w:r>
      <w:r w:rsidRPr="0025250D">
        <w:rPr>
          <w:rFonts w:hint="cs"/>
          <w:rtl/>
        </w:rPr>
        <w:t xml:space="preserve"> پردازی در ابتدای استفاده از آن صدق</w:t>
      </w:r>
      <w:r w:rsidR="00EE4B64" w:rsidRPr="0025250D">
        <w:rPr>
          <w:rFonts w:hint="cs"/>
          <w:rtl/>
        </w:rPr>
        <w:t xml:space="preserve"> نمی‌</w:t>
      </w:r>
      <w:r w:rsidRPr="0025250D">
        <w:rPr>
          <w:rFonts w:hint="cs"/>
          <w:rtl/>
        </w:rPr>
        <w:t>کرد</w:t>
      </w:r>
      <w:r w:rsidR="008D6F97" w:rsidRPr="0025250D">
        <w:rPr>
          <w:rtl/>
        </w:rPr>
        <w:t xml:space="preserve">؛ </w:t>
      </w:r>
      <w:r w:rsidRPr="0025250D">
        <w:rPr>
          <w:rFonts w:hint="cs"/>
          <w:rtl/>
        </w:rPr>
        <w:t xml:space="preserve">اما امروزه استفاده از </w:t>
      </w:r>
      <w:r w:rsidR="007A53FD" w:rsidRPr="0025250D">
        <w:rPr>
          <w:rFonts w:hint="cs"/>
          <w:rtl/>
        </w:rPr>
        <w:t>فرانامه</w:t>
      </w:r>
      <w:r w:rsidRPr="0025250D">
        <w:rPr>
          <w:rFonts w:hint="cs"/>
          <w:rtl/>
        </w:rPr>
        <w:t xml:space="preserve"> </w:t>
      </w:r>
      <w:r w:rsidR="008F0DD8" w:rsidRPr="0025250D">
        <w:rPr>
          <w:rFonts w:hint="cs"/>
          <w:rtl/>
        </w:rPr>
        <w:t>آن‌قدر</w:t>
      </w:r>
      <w:r w:rsidRPr="0025250D">
        <w:rPr>
          <w:rFonts w:hint="cs"/>
          <w:rtl/>
        </w:rPr>
        <w:t xml:space="preserve"> در انجام </w:t>
      </w:r>
      <w:r w:rsidRPr="0025250D">
        <w:rPr>
          <w:rtl/>
        </w:rPr>
        <w:t>آینده‌نگاری</w:t>
      </w:r>
      <w:r w:rsidRPr="0025250D">
        <w:rPr>
          <w:rFonts w:hint="cs"/>
          <w:rtl/>
        </w:rPr>
        <w:t xml:space="preserve"> گسترده شده که ما استفاده از کلمه </w:t>
      </w:r>
      <w:r w:rsidR="007A53FD" w:rsidRPr="0025250D">
        <w:rPr>
          <w:rFonts w:hint="cs"/>
          <w:rtl/>
        </w:rPr>
        <w:t>فرانامه</w:t>
      </w:r>
      <w:r w:rsidRPr="0025250D">
        <w:rPr>
          <w:rFonts w:hint="cs"/>
          <w:rtl/>
        </w:rPr>
        <w:t xml:space="preserve"> را برای این تعریف مدرن محدود خواهیم کرد. در این کتاب راهنما، یک </w:t>
      </w:r>
      <w:r w:rsidR="007A53FD" w:rsidRPr="0025250D">
        <w:rPr>
          <w:rFonts w:hint="cs"/>
          <w:rtl/>
        </w:rPr>
        <w:t>فرانامه</w:t>
      </w:r>
      <w:r w:rsidRPr="0025250D">
        <w:rPr>
          <w:rFonts w:hint="cs"/>
          <w:rtl/>
        </w:rPr>
        <w:t xml:space="preserve"> داستانی از یک آینده ممکن </w:t>
      </w:r>
      <w:r w:rsidR="00923DDB" w:rsidRPr="0025250D">
        <w:rPr>
          <w:rFonts w:hint="cs"/>
          <w:rtl/>
        </w:rPr>
        <w:t>باورپذیر</w:t>
      </w:r>
      <w:r w:rsidRPr="0025250D">
        <w:rPr>
          <w:rFonts w:hint="cs"/>
          <w:rtl/>
        </w:rPr>
        <w:t xml:space="preserve"> است. فقط به یاد داشته باشید که در سال‌های اول پدیداری این زمینه، </w:t>
      </w:r>
      <w:r w:rsidR="007A53FD" w:rsidRPr="0025250D">
        <w:rPr>
          <w:rFonts w:hint="cs"/>
          <w:rtl/>
        </w:rPr>
        <w:t>فرانامه</w:t>
      </w:r>
      <w:r w:rsidRPr="0025250D">
        <w:rPr>
          <w:rFonts w:hint="cs"/>
          <w:rtl/>
        </w:rPr>
        <w:t xml:space="preserve">‌ها اغلب در </w:t>
      </w:r>
      <w:r w:rsidR="00B13F65" w:rsidRPr="0025250D">
        <w:rPr>
          <w:rFonts w:hint="cs"/>
          <w:rtl/>
        </w:rPr>
        <w:t>چارچوب</w:t>
      </w:r>
      <w:r w:rsidRPr="0025250D">
        <w:rPr>
          <w:rFonts w:hint="cs"/>
          <w:rtl/>
        </w:rPr>
        <w:t xml:space="preserve"> چهار </w:t>
      </w:r>
      <w:r w:rsidRPr="0025250D">
        <w:t>P</w:t>
      </w:r>
      <w:r w:rsidRPr="0025250D">
        <w:rPr>
          <w:rFonts w:hint="cs"/>
          <w:rtl/>
        </w:rPr>
        <w:t xml:space="preserve"> بسیار متوازن تری استفاده می‌شدند. برخی فعالان حتی عناصر متعدد و فرضیات خود را، از نظر احتمال، نه فقط از نظر </w:t>
      </w:r>
      <w:r w:rsidR="00923DDB" w:rsidRPr="0025250D">
        <w:rPr>
          <w:rFonts w:hint="cs"/>
          <w:rtl/>
        </w:rPr>
        <w:t>باورپذیر</w:t>
      </w:r>
      <w:r w:rsidRPr="0025250D">
        <w:rPr>
          <w:rFonts w:hint="cs"/>
          <w:rtl/>
        </w:rPr>
        <w:t>ی، ارزیابی می‌کردند.</w:t>
      </w:r>
    </w:p>
    <w:p w14:paraId="7FB76DE1" w14:textId="18C14DE1" w:rsidR="00537CC8" w:rsidRPr="0025250D" w:rsidRDefault="00537CC8" w:rsidP="00537CC8">
      <w:pPr>
        <w:rPr>
          <w:rtl/>
        </w:rPr>
      </w:pPr>
      <w:r w:rsidRPr="0025250D">
        <w:rPr>
          <w:rFonts w:hint="cs"/>
          <w:rtl/>
        </w:rPr>
        <w:t xml:space="preserve">به نظر ما داستان‌های آینده چهار </w:t>
      </w:r>
      <w:r w:rsidRPr="0025250D">
        <w:t>P</w:t>
      </w:r>
      <w:r w:rsidRPr="0025250D">
        <w:rPr>
          <w:rFonts w:hint="cs"/>
          <w:rtl/>
        </w:rPr>
        <w:t xml:space="preserve"> بسیار مهم‌تر و </w:t>
      </w:r>
      <w:r w:rsidR="00B124DE" w:rsidRPr="0025250D">
        <w:rPr>
          <w:rFonts w:hint="cs"/>
          <w:rtl/>
        </w:rPr>
        <w:t>انطباق‌پذیر</w:t>
      </w:r>
      <w:r w:rsidRPr="0025250D">
        <w:rPr>
          <w:rFonts w:hint="cs"/>
          <w:rtl/>
        </w:rPr>
        <w:t>‌تر از صرف ایجاد داستان‌های (</w:t>
      </w:r>
      <w:r w:rsidR="00362EF3" w:rsidRPr="0025250D">
        <w:rPr>
          <w:rFonts w:hint="cs"/>
          <w:rtl/>
        </w:rPr>
        <w:t>فرانامه‌های</w:t>
      </w:r>
      <w:r w:rsidRPr="0025250D">
        <w:rPr>
          <w:rFonts w:hint="cs"/>
          <w:rtl/>
        </w:rPr>
        <w:t xml:space="preserve">) آینده ممکن هستند. ما داستان‌ها آینده‌های محتمل را چیزهایی مانند </w:t>
      </w:r>
      <w:r w:rsidR="00923DDB" w:rsidRPr="0025250D">
        <w:rPr>
          <w:rFonts w:hint="cs"/>
          <w:rtl/>
        </w:rPr>
        <w:t>پیش‌انگاری</w:t>
      </w:r>
      <w:r w:rsidRPr="0025250D">
        <w:rPr>
          <w:rFonts w:hint="cs"/>
          <w:rtl/>
        </w:rPr>
        <w:t xml:space="preserve">‌ها، احتمالات و </w:t>
      </w:r>
      <w:r w:rsidR="00D92F6E" w:rsidRPr="0025250D">
        <w:rPr>
          <w:rFonts w:hint="cs"/>
          <w:rtl/>
        </w:rPr>
        <w:t>پیش‌بین</w:t>
      </w:r>
      <w:r w:rsidRPr="0025250D">
        <w:rPr>
          <w:rFonts w:hint="cs"/>
          <w:rtl/>
        </w:rPr>
        <w:t xml:space="preserve">ی‌ها می‌نامیم. داستان‌هایی از آینده‌های مرجح را مواردی مانند اهداف، </w:t>
      </w:r>
      <w:r w:rsidR="00B56611" w:rsidRPr="0025250D">
        <w:rPr>
          <w:rFonts w:hint="cs"/>
          <w:rtl/>
        </w:rPr>
        <w:t>چشم‌انداز</w:t>
      </w:r>
      <w:r w:rsidRPr="0025250D">
        <w:rPr>
          <w:rFonts w:hint="cs"/>
          <w:rtl/>
        </w:rPr>
        <w:t xml:space="preserve">‌ها، آرمان‌ها، </w:t>
      </w:r>
      <w:r w:rsidR="00701E03" w:rsidRPr="0025250D">
        <w:rPr>
          <w:rFonts w:hint="cs"/>
          <w:rtl/>
        </w:rPr>
        <w:t>راهبرد</w:t>
      </w:r>
      <w:r w:rsidRPr="0025250D">
        <w:rPr>
          <w:rFonts w:hint="cs"/>
          <w:rtl/>
        </w:rPr>
        <w:t xml:space="preserve">‌ها و داستان‌های پیشرفت (که </w:t>
      </w:r>
      <w:r w:rsidR="00B56611" w:rsidRPr="0025250D">
        <w:rPr>
          <w:rFonts w:hint="cs"/>
          <w:rtl/>
        </w:rPr>
        <w:t>چشم‌انداز</w:t>
      </w:r>
      <w:r w:rsidRPr="0025250D">
        <w:rPr>
          <w:rFonts w:hint="cs"/>
          <w:rtl/>
        </w:rPr>
        <w:t xml:space="preserve">‌های آینده مطلوب مشترک هستند) و دیگر نام‌ها می‌نامیم. ما همچنین توصیه می‌کنیم که عناصر و فرضیات همه </w:t>
      </w:r>
      <w:r w:rsidR="007A53FD" w:rsidRPr="0025250D">
        <w:rPr>
          <w:rFonts w:hint="cs"/>
          <w:rtl/>
        </w:rPr>
        <w:t>فرانامه</w:t>
      </w:r>
      <w:r w:rsidRPr="0025250D">
        <w:rPr>
          <w:rFonts w:hint="cs"/>
          <w:rtl/>
        </w:rPr>
        <w:t xml:space="preserve">‌ها از نظر باورپذیری و احتمال، توسط یک جمعیت دارای تخصص‌های متنوع، قبل از استفاده از آن‌ها برای ایجاد </w:t>
      </w:r>
      <w:r w:rsidR="00701E03" w:rsidRPr="0025250D">
        <w:rPr>
          <w:rFonts w:hint="cs"/>
          <w:rtl/>
        </w:rPr>
        <w:t>راهبرد</w:t>
      </w:r>
      <w:r w:rsidRPr="0025250D">
        <w:rPr>
          <w:rFonts w:hint="cs"/>
          <w:rtl/>
        </w:rPr>
        <w:t xml:space="preserve"> ارزیابی شوند.</w:t>
      </w:r>
    </w:p>
    <w:p w14:paraId="3AFF5909" w14:textId="77B480AD" w:rsidR="00537CC8" w:rsidRPr="0025250D" w:rsidRDefault="00537CC8" w:rsidP="00537CC8">
      <w:pPr>
        <w:rPr>
          <w:rtl/>
        </w:rPr>
      </w:pPr>
      <w:r w:rsidRPr="0025250D">
        <w:rPr>
          <w:rtl/>
        </w:rPr>
        <w:t>و</w:t>
      </w:r>
      <w:r w:rsidRPr="0025250D">
        <w:rPr>
          <w:rFonts w:hint="cs"/>
          <w:rtl/>
        </w:rPr>
        <w:t>ی</w:t>
      </w:r>
      <w:r w:rsidRPr="0025250D">
        <w:rPr>
          <w:rFonts w:hint="eastAsia"/>
          <w:rtl/>
        </w:rPr>
        <w:t>لک</w:t>
      </w:r>
      <w:r w:rsidRPr="0025250D">
        <w:rPr>
          <w:rFonts w:hint="cs"/>
          <w:rtl/>
        </w:rPr>
        <w:t>ی</w:t>
      </w:r>
      <w:r w:rsidRPr="0025250D">
        <w:rPr>
          <w:rFonts w:hint="eastAsia"/>
          <w:rtl/>
        </w:rPr>
        <w:t>نسون</w:t>
      </w:r>
      <w:r w:rsidRPr="0025250D">
        <w:rPr>
          <w:rFonts w:hint="cs"/>
          <w:rtl/>
        </w:rPr>
        <w:t xml:space="preserve"> و</w:t>
      </w:r>
      <w:r w:rsidRPr="0025250D">
        <w:rPr>
          <w:rtl/>
        </w:rPr>
        <w:t xml:space="preserve"> کوپر</w:t>
      </w:r>
      <w:r w:rsidRPr="0025250D">
        <w:rPr>
          <w:rFonts w:hint="cs"/>
          <w:rtl/>
        </w:rPr>
        <w:t xml:space="preserve">ز بیان می‌کنند که </w:t>
      </w:r>
      <w:r w:rsidR="007A53FD" w:rsidRPr="0025250D">
        <w:rPr>
          <w:rFonts w:hint="cs"/>
          <w:rtl/>
        </w:rPr>
        <w:t>فرانامه</w:t>
      </w:r>
      <w:r w:rsidRPr="0025250D">
        <w:rPr>
          <w:rFonts w:hint="cs"/>
          <w:rtl/>
        </w:rPr>
        <w:t>‌ها</w:t>
      </w:r>
      <w:r w:rsidR="000B4A71" w:rsidRPr="0025250D">
        <w:rPr>
          <w:rFonts w:hint="cs"/>
          <w:rtl/>
        </w:rPr>
        <w:t xml:space="preserve"> کار</w:t>
      </w:r>
      <w:r w:rsidRPr="0025250D">
        <w:rPr>
          <w:rFonts w:hint="cs"/>
          <w:rtl/>
        </w:rPr>
        <w:t xml:space="preserve"> رهبران را </w:t>
      </w:r>
      <w:r w:rsidR="000B4A71" w:rsidRPr="0025250D">
        <w:rPr>
          <w:rFonts w:hint="cs"/>
          <w:rtl/>
        </w:rPr>
        <w:t>در برخورد با یک</w:t>
      </w:r>
      <w:r w:rsidRPr="0025250D">
        <w:rPr>
          <w:rFonts w:hint="cs"/>
          <w:rtl/>
        </w:rPr>
        <w:t xml:space="preserve"> آینده آزاد مبهم راحت‌تر می‌سازند، به شکلی که می‌توانند با فرضیات جسورانه و آشکار مواجه شوند، درک مشترک و </w:t>
      </w:r>
      <w:r w:rsidR="00127288" w:rsidRPr="0025250D">
        <w:rPr>
          <w:rFonts w:hint="cs"/>
          <w:rtl/>
        </w:rPr>
        <w:t>نظام‌مند</w:t>
      </w:r>
      <w:r w:rsidRPr="0025250D">
        <w:rPr>
          <w:rFonts w:hint="cs"/>
          <w:rtl/>
        </w:rPr>
        <w:t xml:space="preserve"> داشته باشند و </w:t>
      </w:r>
      <w:r w:rsidR="002F3C14" w:rsidRPr="0025250D">
        <w:rPr>
          <w:rFonts w:hint="cs"/>
          <w:rtl/>
        </w:rPr>
        <w:t>انطباق</w:t>
      </w:r>
      <w:r w:rsidRPr="0025250D">
        <w:rPr>
          <w:rFonts w:hint="cs"/>
          <w:rtl/>
        </w:rPr>
        <w:t xml:space="preserve"> سریع تری را در زمان بحران داشته باشند. باز </w:t>
      </w:r>
      <w:r w:rsidR="0020589F" w:rsidRPr="0025250D">
        <w:rPr>
          <w:rtl/>
        </w:rPr>
        <w:t>هم</w:t>
      </w:r>
      <w:r w:rsidRPr="0025250D">
        <w:rPr>
          <w:rFonts w:hint="cs"/>
          <w:rtl/>
        </w:rPr>
        <w:t xml:space="preserve"> </w:t>
      </w:r>
      <w:r w:rsidR="00923DDB" w:rsidRPr="0025250D">
        <w:rPr>
          <w:rtl/>
        </w:rPr>
        <w:t>پیش‌انگاری</w:t>
      </w:r>
      <w:r w:rsidRPr="0025250D">
        <w:rPr>
          <w:rFonts w:hint="cs"/>
          <w:rtl/>
        </w:rPr>
        <w:t xml:space="preserve"> هدف </w:t>
      </w:r>
      <w:r w:rsidR="00362EF3" w:rsidRPr="0025250D">
        <w:rPr>
          <w:rFonts w:hint="cs"/>
          <w:rtl/>
        </w:rPr>
        <w:t>فرانامه‌های</w:t>
      </w:r>
      <w:r w:rsidRPr="0025250D">
        <w:rPr>
          <w:rFonts w:hint="cs"/>
          <w:rtl/>
        </w:rPr>
        <w:t xml:space="preserve"> مدرن نیست؛ </w:t>
      </w:r>
      <w:r w:rsidR="0020589F" w:rsidRPr="0025250D">
        <w:rPr>
          <w:rtl/>
        </w:rPr>
        <w:t>اما</w:t>
      </w:r>
      <w:r w:rsidRPr="0025250D">
        <w:rPr>
          <w:rFonts w:hint="cs"/>
          <w:rtl/>
        </w:rPr>
        <w:t xml:space="preserve"> اگر به اندازه کافی آن را انجام دهیم و به‌علاوه گزینه‌ها و موارد ممکن</w:t>
      </w:r>
      <w:r w:rsidR="0008779C" w:rsidRPr="0025250D">
        <w:rPr>
          <w:rFonts w:hint="cs"/>
          <w:rtl/>
        </w:rPr>
        <w:t xml:space="preserve"> بیش‌تر</w:t>
      </w:r>
      <w:r w:rsidRPr="0025250D">
        <w:rPr>
          <w:rFonts w:hint="cs"/>
          <w:rtl/>
        </w:rPr>
        <w:t xml:space="preserve">ی را کشف کنیم، به </w:t>
      </w:r>
      <w:r w:rsidR="00923DDB" w:rsidRPr="0025250D">
        <w:rPr>
          <w:rFonts w:hint="cs"/>
          <w:rtl/>
        </w:rPr>
        <w:t>پیش‌انگاری</w:t>
      </w:r>
      <w:r w:rsidRPr="0025250D">
        <w:rPr>
          <w:rFonts w:hint="cs"/>
          <w:rtl/>
        </w:rPr>
        <w:t xml:space="preserve"> برخی آینده‌ها و کمک به ما برای پاسخ دهی قبل از رقبایمان خواهند انجامید. نویسندگان از تاریخدان </w:t>
      </w:r>
      <w:r w:rsidRPr="0025250D">
        <w:rPr>
          <w:rtl/>
        </w:rPr>
        <w:t>ک</w:t>
      </w:r>
      <w:r w:rsidRPr="0025250D">
        <w:rPr>
          <w:rFonts w:hint="cs"/>
          <w:rtl/>
        </w:rPr>
        <w:t>ی</w:t>
      </w:r>
      <w:r w:rsidRPr="0025250D">
        <w:rPr>
          <w:rFonts w:hint="eastAsia"/>
          <w:rtl/>
        </w:rPr>
        <w:t>ت</w:t>
      </w:r>
      <w:r w:rsidRPr="0025250D">
        <w:rPr>
          <w:rFonts w:hint="cs"/>
          <w:rtl/>
        </w:rPr>
        <w:t>ی</w:t>
      </w:r>
      <w:r w:rsidRPr="0025250D">
        <w:rPr>
          <w:rtl/>
        </w:rPr>
        <w:t xml:space="preserve"> اسلا</w:t>
      </w:r>
      <w:r w:rsidRPr="0025250D">
        <w:rPr>
          <w:rFonts w:hint="cs"/>
          <w:rtl/>
        </w:rPr>
        <w:t>ی</w:t>
      </w:r>
      <w:r w:rsidRPr="0025250D">
        <w:rPr>
          <w:rFonts w:hint="eastAsia"/>
          <w:rtl/>
        </w:rPr>
        <w:t>ترمن</w:t>
      </w:r>
      <w:r w:rsidRPr="0025250D">
        <w:rPr>
          <w:vertAlign w:val="superscript"/>
          <w:rtl/>
        </w:rPr>
        <w:footnoteReference w:id="1703"/>
      </w:r>
      <w:r w:rsidRPr="0025250D">
        <w:rPr>
          <w:rFonts w:hint="cs"/>
          <w:rtl/>
        </w:rPr>
        <w:t xml:space="preserve"> که شل را به‌عنوان </w:t>
      </w:r>
      <w:r w:rsidR="0063099E" w:rsidRPr="0025250D">
        <w:rPr>
          <w:rtl/>
        </w:rPr>
        <w:t>«</w:t>
      </w:r>
      <w:r w:rsidRPr="0025250D">
        <w:rPr>
          <w:rFonts w:hint="cs"/>
          <w:rtl/>
        </w:rPr>
        <w:t xml:space="preserve">شرکتی که شاید سریع‌تر از دیگر شرکت‌ها با تغییرات در بازار یا فرهنگ، به دلیل حساسیت خود به موضوعات در حال ظهوری مانند تغییرات اقلیمی، قدرت گرفتن چین و </w:t>
      </w:r>
      <w:r w:rsidRPr="0025250D">
        <w:rPr>
          <w:rtl/>
        </w:rPr>
        <w:t>رونق</w:t>
      </w:r>
      <w:r w:rsidRPr="0025250D">
        <w:rPr>
          <w:vertAlign w:val="superscript"/>
          <w:rtl/>
        </w:rPr>
        <w:footnoteReference w:id="1704"/>
      </w:r>
      <w:r w:rsidRPr="0025250D">
        <w:rPr>
          <w:rFonts w:hint="cs"/>
          <w:rtl/>
        </w:rPr>
        <w:t xml:space="preserve"> بحث برانگیز در توسعه منابع گازی غیر مرسوم در آمریکا همگام می‌شود</w:t>
      </w:r>
      <w:r w:rsidR="0063099E" w:rsidRPr="0025250D">
        <w:rPr>
          <w:rtl/>
        </w:rPr>
        <w:t>»</w:t>
      </w:r>
      <w:r w:rsidRPr="0025250D">
        <w:rPr>
          <w:rFonts w:hint="cs"/>
          <w:rtl/>
        </w:rPr>
        <w:t xml:space="preserve"> توصیف می‌کند، نقل قول می‌کنند.</w:t>
      </w:r>
    </w:p>
    <w:p w14:paraId="71077154" w14:textId="61AEE91F" w:rsidR="00537CC8" w:rsidRPr="0025250D" w:rsidRDefault="00537CC8" w:rsidP="00537CC8">
      <w:pPr>
        <w:rPr>
          <w:rtl/>
        </w:rPr>
      </w:pPr>
      <w:r w:rsidRPr="0025250D">
        <w:rPr>
          <w:rFonts w:hint="cs"/>
          <w:rtl/>
        </w:rPr>
        <w:t xml:space="preserve">مشخصا، </w:t>
      </w:r>
      <w:r w:rsidR="007A53FD" w:rsidRPr="0025250D">
        <w:rPr>
          <w:rFonts w:hint="cs"/>
          <w:rtl/>
        </w:rPr>
        <w:t>فرانامه</w:t>
      </w:r>
      <w:r w:rsidRPr="0025250D">
        <w:rPr>
          <w:rFonts w:hint="cs"/>
          <w:rtl/>
        </w:rPr>
        <w:t xml:space="preserve"> سازی منظم باید هر تیم </w:t>
      </w:r>
      <w:r w:rsidR="00701E03" w:rsidRPr="0025250D">
        <w:rPr>
          <w:rFonts w:hint="cs"/>
          <w:rtl/>
        </w:rPr>
        <w:t>راهبرد</w:t>
      </w:r>
      <w:r w:rsidRPr="0025250D">
        <w:rPr>
          <w:rFonts w:hint="cs"/>
          <w:rtl/>
        </w:rPr>
        <w:t xml:space="preserve"> را بیش‌تر </w:t>
      </w:r>
      <w:r w:rsidR="000B4A71" w:rsidRPr="0025250D">
        <w:rPr>
          <w:rFonts w:hint="cs"/>
          <w:rtl/>
        </w:rPr>
        <w:t>نسبت به</w:t>
      </w:r>
      <w:r w:rsidRPr="0025250D">
        <w:rPr>
          <w:rFonts w:hint="cs"/>
          <w:rtl/>
        </w:rPr>
        <w:t xml:space="preserve"> آینده‌های ممکن آگاه کند و قادر به</w:t>
      </w:r>
      <w:r w:rsidR="008D6F97" w:rsidRPr="0025250D">
        <w:rPr>
          <w:rtl/>
        </w:rPr>
        <w:t xml:space="preserve"> </w:t>
      </w:r>
      <w:r w:rsidRPr="0025250D">
        <w:rPr>
          <w:rFonts w:hint="cs"/>
          <w:rtl/>
        </w:rPr>
        <w:t xml:space="preserve">شناسایی نشانگر‌ها و روند‌های اولیه‌ای سازد که </w:t>
      </w:r>
      <w:r w:rsidR="000B4A71" w:rsidRPr="0025250D">
        <w:rPr>
          <w:rFonts w:hint="cs"/>
          <w:rtl/>
        </w:rPr>
        <w:t>می توانند</w:t>
      </w:r>
      <w:r w:rsidRPr="0025250D">
        <w:rPr>
          <w:rFonts w:hint="cs"/>
          <w:rtl/>
        </w:rPr>
        <w:t xml:space="preserve"> آینده‌های </w:t>
      </w:r>
      <w:r w:rsidR="00563645" w:rsidRPr="0025250D">
        <w:rPr>
          <w:rFonts w:hint="cs"/>
          <w:rtl/>
        </w:rPr>
        <w:t>بدیل</w:t>
      </w:r>
      <w:r w:rsidRPr="0025250D">
        <w:rPr>
          <w:rFonts w:hint="cs"/>
          <w:rtl/>
        </w:rPr>
        <w:t>ی را که ممکن است</w:t>
      </w:r>
      <w:r w:rsidR="000B4A71" w:rsidRPr="0025250D">
        <w:rPr>
          <w:rFonts w:hint="cs"/>
          <w:rtl/>
        </w:rPr>
        <w:t xml:space="preserve"> این اعضای تیم</w:t>
      </w:r>
      <w:r w:rsidRPr="0025250D">
        <w:rPr>
          <w:rFonts w:hint="cs"/>
          <w:rtl/>
        </w:rPr>
        <w:t xml:space="preserve"> از قبل درنظر گرفته باش</w:t>
      </w:r>
      <w:r w:rsidR="000B4A71" w:rsidRPr="0025250D">
        <w:rPr>
          <w:rFonts w:hint="cs"/>
          <w:rtl/>
        </w:rPr>
        <w:t>ن</w:t>
      </w:r>
      <w:r w:rsidRPr="0025250D">
        <w:rPr>
          <w:rFonts w:hint="cs"/>
          <w:rtl/>
        </w:rPr>
        <w:t>د، نشان دهند</w:t>
      </w:r>
      <w:r w:rsidR="000B4A71" w:rsidRPr="0025250D">
        <w:rPr>
          <w:rFonts w:hint="cs"/>
          <w:rtl/>
        </w:rPr>
        <w:t>.</w:t>
      </w:r>
      <w:r w:rsidRPr="0025250D">
        <w:rPr>
          <w:rFonts w:hint="cs"/>
          <w:rtl/>
        </w:rPr>
        <w:t xml:space="preserve"> </w:t>
      </w:r>
      <w:r w:rsidR="000B4A71" w:rsidRPr="0025250D">
        <w:rPr>
          <w:rFonts w:hint="cs"/>
          <w:rtl/>
        </w:rPr>
        <w:t xml:space="preserve">همچنین باید تیم را </w:t>
      </w:r>
      <w:r w:rsidRPr="0025250D">
        <w:rPr>
          <w:rFonts w:hint="cs"/>
          <w:rtl/>
        </w:rPr>
        <w:t xml:space="preserve"> قادر به </w:t>
      </w:r>
      <w:r w:rsidR="000B4A71" w:rsidRPr="0025250D">
        <w:rPr>
          <w:rFonts w:hint="cs"/>
          <w:rtl/>
        </w:rPr>
        <w:t>آماده سازی</w:t>
      </w:r>
      <w:r w:rsidRPr="0025250D">
        <w:rPr>
          <w:rFonts w:hint="cs"/>
          <w:rtl/>
        </w:rPr>
        <w:t xml:space="preserve"> آزمایش‌ها، </w:t>
      </w:r>
      <w:r w:rsidR="00701E03" w:rsidRPr="0025250D">
        <w:rPr>
          <w:rFonts w:hint="cs"/>
          <w:rtl/>
        </w:rPr>
        <w:t>راهبرد</w:t>
      </w:r>
      <w:r w:rsidRPr="0025250D">
        <w:rPr>
          <w:rFonts w:hint="cs"/>
          <w:rtl/>
        </w:rPr>
        <w:t>‌ها و برنامه‌های دارای پتانسیل</w:t>
      </w:r>
      <w:r w:rsidR="000B4A71" w:rsidRPr="0025250D">
        <w:rPr>
          <w:rFonts w:hint="cs"/>
          <w:rtl/>
        </w:rPr>
        <w:t>ی سازد که در صورت ضرورت قابلیت اجرا شدن دارند.</w:t>
      </w:r>
      <w:r w:rsidRPr="0025250D">
        <w:rPr>
          <w:rFonts w:hint="cs"/>
          <w:rtl/>
        </w:rPr>
        <w:t xml:space="preserve"> همه این‌ها می‌توانند به یک شرکت امکان دهند سریع‌تر و بهتر از رقبا در صورت ظهور چنین تغییری سود ببرد.</w:t>
      </w:r>
    </w:p>
    <w:p w14:paraId="45939329" w14:textId="5432FD07" w:rsidR="00537CC8" w:rsidRPr="0025250D" w:rsidRDefault="00537CC8" w:rsidP="00537CC8">
      <w:pPr>
        <w:rPr>
          <w:rtl/>
        </w:rPr>
      </w:pPr>
      <w:r w:rsidRPr="0025250D">
        <w:rPr>
          <w:rFonts w:hint="cs"/>
          <w:rtl/>
        </w:rPr>
        <w:t xml:space="preserve">در سال 1970، شل وقتی کار </w:t>
      </w:r>
      <w:r w:rsidR="007A53FD" w:rsidRPr="0025250D">
        <w:rPr>
          <w:rFonts w:hint="cs"/>
          <w:rtl/>
        </w:rPr>
        <w:t>فرانامه</w:t>
      </w:r>
      <w:r w:rsidRPr="0025250D">
        <w:rPr>
          <w:rFonts w:hint="cs"/>
          <w:rtl/>
        </w:rPr>
        <w:t xml:space="preserve"> سازی خود را آغاز کرد، از قبل رتبه دوم جهان را در میان شرکت‌های نفت و گاز از نظر درآمد، با درآمد 10.8 میلیارد دلار، در اختیار داشت، اما هنوز با </w:t>
      </w:r>
      <w:r w:rsidRPr="0025250D">
        <w:rPr>
          <w:rtl/>
        </w:rPr>
        <w:t>اکسون</w:t>
      </w:r>
      <w:r w:rsidRPr="0025250D">
        <w:rPr>
          <w:vertAlign w:val="superscript"/>
          <w:rtl/>
        </w:rPr>
        <w:footnoteReference w:id="1705"/>
      </w:r>
      <w:r w:rsidRPr="0025250D">
        <w:rPr>
          <w:rFonts w:hint="cs"/>
          <w:rtl/>
        </w:rPr>
        <w:t xml:space="preserve"> که درآمدی 60 درصد بیش‌تر (16.6 میلیارد دلار) داشت، فاصله زیادی داشت. تا سال 2004، شل از </w:t>
      </w:r>
      <w:r w:rsidRPr="0025250D">
        <w:rPr>
          <w:rtl/>
        </w:rPr>
        <w:t>اکسون</w:t>
      </w:r>
      <w:r w:rsidRPr="0025250D">
        <w:rPr>
          <w:rFonts w:hint="cs"/>
          <w:rtl/>
        </w:rPr>
        <w:t xml:space="preserve"> که توجه و تعهد مشابهی به </w:t>
      </w:r>
      <w:r w:rsidRPr="0025250D">
        <w:rPr>
          <w:rtl/>
        </w:rPr>
        <w:t>آینده‌نگاری</w:t>
      </w:r>
      <w:r w:rsidRPr="0025250D">
        <w:rPr>
          <w:rFonts w:hint="cs"/>
          <w:rtl/>
        </w:rPr>
        <w:t xml:space="preserve"> نداشت سبقت گرفته بود. اگر آن‌ها هم چنین تمرکزی داشتند، می‌توانستند از هدر رفت بی ملاحظه نفت </w:t>
      </w:r>
      <w:r w:rsidRPr="0025250D">
        <w:rPr>
          <w:rtl/>
        </w:rPr>
        <w:t>اکسون والدز</w:t>
      </w:r>
      <w:r w:rsidRPr="0025250D">
        <w:rPr>
          <w:vertAlign w:val="superscript"/>
          <w:rtl/>
        </w:rPr>
        <w:footnoteReference w:id="1706"/>
      </w:r>
      <w:r w:rsidRPr="0025250D">
        <w:rPr>
          <w:rFonts w:hint="cs"/>
          <w:rtl/>
        </w:rPr>
        <w:t xml:space="preserve"> در سال 1989 جلوگیری کنند. شل به شکل بحث برانگیزی در آن زمان شرکت اول نفت و گاز در جهان بود. درآمد </w:t>
      </w:r>
      <w:r w:rsidRPr="0025250D">
        <w:t>BP</w:t>
      </w:r>
      <w:r w:rsidRPr="0025250D">
        <w:rPr>
          <w:rFonts w:hint="cs"/>
          <w:rtl/>
        </w:rPr>
        <w:t xml:space="preserve"> در سال 2004 اندکی بیش‌تر از از شل بود (285 میلیارد دلار در مقابل 265 میلیارد دلار)، اما این تنها به دلیل یک ادغام عظیم میان </w:t>
      </w:r>
      <w:r w:rsidRPr="0025250D">
        <w:rPr>
          <w:rtl/>
        </w:rPr>
        <w:t>بر</w:t>
      </w:r>
      <w:r w:rsidRPr="0025250D">
        <w:rPr>
          <w:rFonts w:hint="cs"/>
          <w:rtl/>
        </w:rPr>
        <w:t>ی</w:t>
      </w:r>
      <w:r w:rsidRPr="0025250D">
        <w:rPr>
          <w:rFonts w:hint="eastAsia"/>
          <w:rtl/>
        </w:rPr>
        <w:t>ت</w:t>
      </w:r>
      <w:r w:rsidRPr="0025250D">
        <w:rPr>
          <w:rFonts w:hint="cs"/>
          <w:rtl/>
        </w:rPr>
        <w:t>ی</w:t>
      </w:r>
      <w:r w:rsidRPr="0025250D">
        <w:rPr>
          <w:rFonts w:hint="eastAsia"/>
          <w:rtl/>
        </w:rPr>
        <w:t>ش</w:t>
      </w:r>
      <w:r w:rsidRPr="0025250D">
        <w:rPr>
          <w:rtl/>
        </w:rPr>
        <w:t xml:space="preserve"> پترول</w:t>
      </w:r>
      <w:r w:rsidRPr="0025250D">
        <w:rPr>
          <w:rFonts w:hint="cs"/>
          <w:rtl/>
        </w:rPr>
        <w:t>ی</w:t>
      </w:r>
      <w:r w:rsidRPr="0025250D">
        <w:rPr>
          <w:rFonts w:hint="eastAsia"/>
          <w:rtl/>
        </w:rPr>
        <w:t>وم</w:t>
      </w:r>
      <w:r w:rsidRPr="0025250D">
        <w:rPr>
          <w:vertAlign w:val="superscript"/>
          <w:rtl/>
        </w:rPr>
        <w:footnoteReference w:id="1707"/>
      </w:r>
      <w:r w:rsidRPr="0025250D">
        <w:rPr>
          <w:rFonts w:hint="cs"/>
          <w:rtl/>
        </w:rPr>
        <w:t xml:space="preserve"> و </w:t>
      </w:r>
      <w:r w:rsidRPr="0025250D">
        <w:rPr>
          <w:rtl/>
        </w:rPr>
        <w:t>آموکو</w:t>
      </w:r>
      <w:r w:rsidRPr="0025250D">
        <w:rPr>
          <w:vertAlign w:val="superscript"/>
          <w:rtl/>
        </w:rPr>
        <w:footnoteReference w:id="1708"/>
      </w:r>
      <w:r w:rsidRPr="0025250D">
        <w:rPr>
          <w:rFonts w:hint="cs"/>
          <w:rtl/>
        </w:rPr>
        <w:t xml:space="preserve"> در سال 1998 بود. با این حال موفقیت </w:t>
      </w:r>
      <w:r w:rsidR="00701E03" w:rsidRPr="0025250D">
        <w:rPr>
          <w:rFonts w:hint="cs"/>
          <w:rtl/>
        </w:rPr>
        <w:t>فرانامه</w:t>
      </w:r>
      <w:r w:rsidRPr="0025250D">
        <w:rPr>
          <w:rFonts w:hint="cs"/>
          <w:rtl/>
        </w:rPr>
        <w:t xml:space="preserve"> قرن بیستم شل تضمینی برای موفقیت در قرن 21، به ویژه با مختل شدن کل صنعت توسط روند‌های قابل </w:t>
      </w:r>
      <w:r w:rsidR="00D92F6E" w:rsidRPr="0025250D">
        <w:rPr>
          <w:rFonts w:hint="cs"/>
          <w:rtl/>
        </w:rPr>
        <w:t>پیش‌بین</w:t>
      </w:r>
      <w:r w:rsidRPr="0025250D">
        <w:rPr>
          <w:rFonts w:hint="cs"/>
          <w:rtl/>
        </w:rPr>
        <w:t xml:space="preserve">ی متعدد، نبود. شاید آن‌ها باید </w:t>
      </w:r>
      <w:r w:rsidR="00923DDB" w:rsidRPr="0025250D">
        <w:rPr>
          <w:rtl/>
        </w:rPr>
        <w:t>پیش‌انگاری</w:t>
      </w:r>
      <w:r w:rsidR="0008779C" w:rsidRPr="0025250D">
        <w:rPr>
          <w:rFonts w:hint="cs"/>
          <w:rtl/>
        </w:rPr>
        <w:t xml:space="preserve"> بیش‌تر</w:t>
      </w:r>
      <w:r w:rsidRPr="0025250D">
        <w:rPr>
          <w:rFonts w:hint="cs"/>
          <w:rtl/>
        </w:rPr>
        <w:t xml:space="preserve">ی انجام می‌دادند. تا سال 2017، شل به جایگاه ششم، پشت سر شرکت‌های نفتی عربستان سعودی و چین که به تازگی جهانی شده بودند سقوط کرد. </w:t>
      </w:r>
      <w:r w:rsidRPr="0025250D">
        <w:t>BP</w:t>
      </w:r>
      <w:r w:rsidRPr="0025250D">
        <w:rPr>
          <w:rFonts w:hint="cs"/>
          <w:rtl/>
        </w:rPr>
        <w:t xml:space="preserve">، در عوض، پس از فاجعه </w:t>
      </w:r>
      <w:r w:rsidRPr="0025250D">
        <w:rPr>
          <w:rtl/>
        </w:rPr>
        <w:t>د</w:t>
      </w:r>
      <w:r w:rsidRPr="0025250D">
        <w:rPr>
          <w:rFonts w:hint="cs"/>
          <w:rtl/>
        </w:rPr>
        <w:t>ی</w:t>
      </w:r>
      <w:r w:rsidRPr="0025250D">
        <w:rPr>
          <w:rFonts w:hint="eastAsia"/>
          <w:rtl/>
        </w:rPr>
        <w:t>پ‌واتر</w:t>
      </w:r>
      <w:r w:rsidRPr="0025250D">
        <w:rPr>
          <w:rtl/>
        </w:rPr>
        <w:t xml:space="preserve"> هورا</w:t>
      </w:r>
      <w:r w:rsidRPr="0025250D">
        <w:rPr>
          <w:rFonts w:hint="cs"/>
          <w:rtl/>
        </w:rPr>
        <w:t>ی</w:t>
      </w:r>
      <w:r w:rsidRPr="0025250D">
        <w:rPr>
          <w:rFonts w:hint="eastAsia"/>
          <w:rtl/>
        </w:rPr>
        <w:t>زن</w:t>
      </w:r>
      <w:r w:rsidRPr="0025250D">
        <w:rPr>
          <w:vertAlign w:val="superscript"/>
          <w:rtl/>
        </w:rPr>
        <w:footnoteReference w:id="1709"/>
      </w:r>
      <w:r w:rsidRPr="0025250D">
        <w:rPr>
          <w:rFonts w:hint="cs"/>
          <w:rtl/>
        </w:rPr>
        <w:t xml:space="preserve"> (یک عدم نظارت و </w:t>
      </w:r>
      <w:r w:rsidRPr="0025250D">
        <w:rPr>
          <w:rtl/>
        </w:rPr>
        <w:t>آینده‌نگاری</w:t>
      </w:r>
      <w:r w:rsidRPr="0025250D">
        <w:rPr>
          <w:rFonts w:hint="cs"/>
          <w:rtl/>
        </w:rPr>
        <w:t xml:space="preserve"> دیگر) در سال 2010، به جایگاه هشتم سقوط کرد.</w:t>
      </w:r>
    </w:p>
    <w:p w14:paraId="4981583F" w14:textId="51EAD8E8" w:rsidR="00537CC8" w:rsidRPr="0025250D" w:rsidRDefault="00537CC8" w:rsidP="00537CC8">
      <w:pPr>
        <w:rPr>
          <w:rtl/>
        </w:rPr>
      </w:pPr>
      <w:r w:rsidRPr="0025250D">
        <w:rPr>
          <w:rFonts w:hint="cs"/>
          <w:rtl/>
        </w:rPr>
        <w:t xml:space="preserve">شل در صورتی که جستجوی آینده‌های محتمل را، برای متوازن کردن کار </w:t>
      </w:r>
      <w:r w:rsidR="000B4A71" w:rsidRPr="0025250D">
        <w:rPr>
          <w:rFonts w:hint="cs"/>
          <w:rtl/>
        </w:rPr>
        <w:t>فرانامه‌سازی</w:t>
      </w:r>
      <w:r w:rsidRPr="0025250D">
        <w:rPr>
          <w:rFonts w:hint="cs"/>
          <w:rtl/>
        </w:rPr>
        <w:t xml:space="preserve"> امکان محور، در اولویت قرار می‌داد بسیار بهتر عمل می‌کرد. آن‌ها می‌توانستند الکتریکی شدن جهان، روند‌های پایداری مختلف، قدرت گرفتن چین و ادغام‌های بزرگ را تشخیص دهند. تیم </w:t>
      </w:r>
      <w:r w:rsidRPr="0025250D">
        <w:rPr>
          <w:rtl/>
        </w:rPr>
        <w:t>واک</w:t>
      </w:r>
      <w:r w:rsidRPr="0025250D">
        <w:rPr>
          <w:rFonts w:hint="cs"/>
          <w:rtl/>
        </w:rPr>
        <w:t xml:space="preserve"> قطعا شل را در مسیر </w:t>
      </w:r>
      <w:r w:rsidR="00923DDB" w:rsidRPr="0025250D">
        <w:rPr>
          <w:rtl/>
        </w:rPr>
        <w:t>پیش‌انگاری</w:t>
      </w:r>
      <w:r w:rsidRPr="0025250D">
        <w:rPr>
          <w:rFonts w:hint="cs"/>
          <w:rtl/>
        </w:rPr>
        <w:t xml:space="preserve"> قرار داد. آن‌ها فهرستی از روند‌های ظاهرا چند گانه </w:t>
      </w:r>
      <w:r w:rsidRPr="0025250D">
        <w:rPr>
          <w:rtl/>
        </w:rPr>
        <w:t>اجتناب ناپذ</w:t>
      </w:r>
      <w:r w:rsidRPr="0025250D">
        <w:rPr>
          <w:rFonts w:hint="cs"/>
          <w:rtl/>
        </w:rPr>
        <w:t>ی</w:t>
      </w:r>
      <w:r w:rsidRPr="0025250D">
        <w:rPr>
          <w:rFonts w:hint="eastAsia"/>
          <w:rtl/>
        </w:rPr>
        <w:t>ر</w:t>
      </w:r>
      <w:r w:rsidRPr="0025250D">
        <w:rPr>
          <w:rFonts w:hint="cs"/>
          <w:rtl/>
        </w:rPr>
        <w:t xml:space="preserve"> را که روند‌های </w:t>
      </w:r>
      <w:r w:rsidRPr="0025250D">
        <w:t>TINA</w:t>
      </w:r>
      <w:r w:rsidRPr="0025250D">
        <w:rPr>
          <w:rFonts w:hint="cs"/>
          <w:rtl/>
        </w:rPr>
        <w:t xml:space="preserve"> نامیده می‌شدند </w:t>
      </w:r>
      <w:r w:rsidR="000B4A71" w:rsidRPr="0025250D">
        <w:rPr>
          <w:rFonts w:hint="cs"/>
          <w:rtl/>
        </w:rPr>
        <w:t>ایجاد</w:t>
      </w:r>
      <w:r w:rsidRPr="0025250D">
        <w:rPr>
          <w:rFonts w:hint="cs"/>
          <w:rtl/>
        </w:rPr>
        <w:t xml:space="preserve"> کردند. </w:t>
      </w:r>
      <w:r w:rsidRPr="0025250D">
        <w:t>TINA</w:t>
      </w:r>
      <w:r w:rsidRPr="0025250D">
        <w:rPr>
          <w:rFonts w:hint="cs"/>
          <w:rtl/>
        </w:rPr>
        <w:t xml:space="preserve"> عبارتی اختصاری است که برای روندهایی که </w:t>
      </w:r>
      <w:r w:rsidR="0063099E" w:rsidRPr="0025250D">
        <w:rPr>
          <w:rtl/>
        </w:rPr>
        <w:t>«</w:t>
      </w:r>
      <w:r w:rsidR="00563645" w:rsidRPr="0025250D">
        <w:rPr>
          <w:rFonts w:hint="cs"/>
          <w:rtl/>
        </w:rPr>
        <w:t>بدیل</w:t>
      </w:r>
      <w:r w:rsidRPr="0025250D">
        <w:rPr>
          <w:rFonts w:hint="cs"/>
          <w:rtl/>
        </w:rPr>
        <w:t xml:space="preserve"> دیگری </w:t>
      </w:r>
      <w:r w:rsidR="000B4A71" w:rsidRPr="0025250D">
        <w:rPr>
          <w:rFonts w:hint="cs"/>
          <w:rtl/>
        </w:rPr>
        <w:t xml:space="preserve">برای آن‌ها </w:t>
      </w:r>
      <w:r w:rsidRPr="0025250D">
        <w:rPr>
          <w:rFonts w:hint="cs"/>
          <w:rtl/>
        </w:rPr>
        <w:t>وجود ندارد</w:t>
      </w:r>
      <w:r w:rsidRPr="0025250D">
        <w:rPr>
          <w:vertAlign w:val="superscript"/>
          <w:rtl/>
        </w:rPr>
        <w:footnoteReference w:id="1710"/>
      </w:r>
      <w:r w:rsidR="0063099E" w:rsidRPr="0025250D">
        <w:rPr>
          <w:rtl/>
        </w:rPr>
        <w:t>»</w:t>
      </w:r>
      <w:r w:rsidRPr="0025250D">
        <w:rPr>
          <w:rFonts w:hint="cs"/>
          <w:rtl/>
        </w:rPr>
        <w:t xml:space="preserve"> استفاده می‌شود. فهرست آن‌ها با آزاد سازی</w:t>
      </w:r>
      <w:r w:rsidRPr="0025250D">
        <w:rPr>
          <w:vertAlign w:val="superscript"/>
          <w:rtl/>
        </w:rPr>
        <w:footnoteReference w:id="1711"/>
      </w:r>
      <w:r w:rsidRPr="0025250D">
        <w:rPr>
          <w:rFonts w:hint="cs"/>
          <w:rtl/>
        </w:rPr>
        <w:t xml:space="preserve"> و جهانی سازی،</w:t>
      </w:r>
      <w:r w:rsidR="008D6F97" w:rsidRPr="0025250D">
        <w:rPr>
          <w:rtl/>
        </w:rPr>
        <w:t xml:space="preserve"> </w:t>
      </w:r>
      <w:r w:rsidRPr="0025250D">
        <w:rPr>
          <w:rFonts w:hint="cs"/>
          <w:rtl/>
        </w:rPr>
        <w:t xml:space="preserve">دو مثال خوب از توسعه اجتماعی آغاز می‌شد. متأسفانه، آن‌ها تلاشی برای کمی سازی، </w:t>
      </w:r>
      <w:r w:rsidR="00FB6A7E" w:rsidRPr="0025250D">
        <w:rPr>
          <w:rFonts w:hint="cs"/>
          <w:rtl/>
        </w:rPr>
        <w:t>پیش‌نگری</w:t>
      </w:r>
      <w:r w:rsidRPr="0025250D">
        <w:rPr>
          <w:rFonts w:hint="cs"/>
          <w:rtl/>
        </w:rPr>
        <w:t xml:space="preserve"> آزادانه و نقد جمعی این روند‌ها انجام ندادند. اغلب از نظر سیاسی حداقل سازی </w:t>
      </w:r>
      <w:r w:rsidR="00923DDB" w:rsidRPr="0025250D">
        <w:rPr>
          <w:rtl/>
        </w:rPr>
        <w:t>پیش‌انگاری</w:t>
      </w:r>
      <w:r w:rsidRPr="0025250D">
        <w:rPr>
          <w:rFonts w:hint="cs"/>
          <w:rtl/>
        </w:rPr>
        <w:t xml:space="preserve"> امن‌تر است و چنین کاری به نظر از محدوده کار </w:t>
      </w:r>
      <w:r w:rsidRPr="0025250D">
        <w:rPr>
          <w:rtl/>
        </w:rPr>
        <w:t>واک</w:t>
      </w:r>
      <w:r w:rsidRPr="0025250D">
        <w:rPr>
          <w:rFonts w:hint="cs"/>
          <w:rtl/>
        </w:rPr>
        <w:t xml:space="preserve"> فرا‌تر</w:t>
      </w:r>
      <w:r w:rsidR="00EE4B64" w:rsidRPr="0025250D">
        <w:rPr>
          <w:rFonts w:hint="cs"/>
          <w:rtl/>
        </w:rPr>
        <w:t xml:space="preserve"> نمی‌</w:t>
      </w:r>
      <w:r w:rsidRPr="0025250D">
        <w:rPr>
          <w:rFonts w:hint="cs"/>
          <w:rtl/>
        </w:rPr>
        <w:t>رفت.</w:t>
      </w:r>
    </w:p>
    <w:p w14:paraId="02234640" w14:textId="701422EB" w:rsidR="00537CC8" w:rsidRPr="0025250D" w:rsidRDefault="00537CC8" w:rsidP="000A4C38">
      <w:pPr>
        <w:rPr>
          <w:rtl/>
        </w:rPr>
      </w:pPr>
      <w:r w:rsidRPr="0025250D">
        <w:rPr>
          <w:rFonts w:hint="cs"/>
          <w:rtl/>
        </w:rPr>
        <w:t xml:space="preserve">برای اطلاعات بیش‌تر درمورد شل، کتاب </w:t>
      </w:r>
      <w:r w:rsidR="0063099E" w:rsidRPr="0025250D">
        <w:rPr>
          <w:rtl/>
        </w:rPr>
        <w:t>«</w:t>
      </w:r>
      <w:r w:rsidR="00362EF3" w:rsidRPr="0025250D">
        <w:rPr>
          <w:rFonts w:hint="cs"/>
          <w:rtl/>
        </w:rPr>
        <w:t>فرانامه‌های</w:t>
      </w:r>
      <w:r w:rsidRPr="0025250D">
        <w:rPr>
          <w:rFonts w:hint="cs"/>
          <w:rtl/>
        </w:rPr>
        <w:t xml:space="preserve"> جهانی شل تا سال 2025</w:t>
      </w:r>
      <w:r w:rsidRPr="0025250D">
        <w:rPr>
          <w:vertAlign w:val="superscript"/>
          <w:rtl/>
        </w:rPr>
        <w:footnoteReference w:id="1712"/>
      </w:r>
      <w:r w:rsidR="0063099E" w:rsidRPr="0025250D">
        <w:rPr>
          <w:rtl/>
        </w:rPr>
        <w:t>»</w:t>
      </w:r>
      <w:r w:rsidRPr="0025250D">
        <w:rPr>
          <w:rFonts w:hint="cs"/>
          <w:rtl/>
        </w:rPr>
        <w:t xml:space="preserve"> در سال 2005، خلاصه‌ای از </w:t>
      </w:r>
      <w:r w:rsidR="007A53FD" w:rsidRPr="0025250D">
        <w:rPr>
          <w:rFonts w:hint="cs"/>
          <w:rtl/>
        </w:rPr>
        <w:t>فرانامه</w:t>
      </w:r>
      <w:r w:rsidRPr="0025250D">
        <w:rPr>
          <w:rFonts w:hint="cs"/>
          <w:rtl/>
        </w:rPr>
        <w:t xml:space="preserve"> سازی جهانی آن‌ها را ببینید. همچنین کتاب </w:t>
      </w:r>
      <w:r w:rsidR="0063099E" w:rsidRPr="0025250D">
        <w:rPr>
          <w:rtl/>
        </w:rPr>
        <w:t>«</w:t>
      </w:r>
      <w:r w:rsidRPr="0025250D">
        <w:rPr>
          <w:rFonts w:hint="cs"/>
          <w:rtl/>
        </w:rPr>
        <w:t xml:space="preserve">جوهره </w:t>
      </w:r>
      <w:r w:rsidR="007A53FD" w:rsidRPr="0025250D">
        <w:rPr>
          <w:rFonts w:hint="cs"/>
          <w:rtl/>
        </w:rPr>
        <w:t>فرانامه</w:t>
      </w:r>
      <w:r w:rsidRPr="0025250D">
        <w:rPr>
          <w:rFonts w:hint="cs"/>
          <w:rtl/>
        </w:rPr>
        <w:t>ها: یادگیری از تجربه شل</w:t>
      </w:r>
      <w:r w:rsidR="000A4C38" w:rsidRPr="0025250D">
        <w:rPr>
          <w:vertAlign w:val="superscript"/>
          <w:rtl/>
        </w:rPr>
        <w:footnoteReference w:id="1713"/>
      </w:r>
      <w:r w:rsidR="000A4C38" w:rsidRPr="0025250D">
        <w:rPr>
          <w:rFonts w:hint="cs"/>
          <w:rtl/>
        </w:rPr>
        <w:t>»</w:t>
      </w:r>
      <w:r w:rsidRPr="0025250D">
        <w:rPr>
          <w:rFonts w:hint="cs"/>
          <w:rtl/>
        </w:rPr>
        <w:t xml:space="preserve"> در سال 2014 را برای یک تحلیل عمیق از ارزش کار </w:t>
      </w:r>
      <w:r w:rsidR="007A53FD" w:rsidRPr="0025250D">
        <w:rPr>
          <w:rFonts w:hint="cs"/>
          <w:rtl/>
        </w:rPr>
        <w:t>فرانامه</w:t>
      </w:r>
      <w:r w:rsidRPr="0025250D">
        <w:rPr>
          <w:rFonts w:hint="cs"/>
          <w:rtl/>
        </w:rPr>
        <w:t xml:space="preserve"> سازی برای شل و دیگر سازمان‌ها برای نوآوری، </w:t>
      </w:r>
      <w:r w:rsidR="00701E03" w:rsidRPr="0025250D">
        <w:rPr>
          <w:rFonts w:hint="cs"/>
          <w:rtl/>
        </w:rPr>
        <w:t>راهبرد</w:t>
      </w:r>
      <w:r w:rsidRPr="0025250D">
        <w:rPr>
          <w:rFonts w:hint="cs"/>
          <w:rtl/>
        </w:rPr>
        <w:t xml:space="preserve"> و </w:t>
      </w:r>
      <w:r w:rsidR="00B124DE" w:rsidRPr="0025250D">
        <w:rPr>
          <w:rFonts w:hint="cs"/>
          <w:rtl/>
        </w:rPr>
        <w:t>برنامه‌ریزی</w:t>
      </w:r>
      <w:r w:rsidRPr="0025250D">
        <w:rPr>
          <w:rFonts w:hint="cs"/>
          <w:rtl/>
        </w:rPr>
        <w:t xml:space="preserve"> شرکتی ببینید. </w:t>
      </w:r>
      <w:r w:rsidR="00362EF3" w:rsidRPr="0025250D">
        <w:rPr>
          <w:rFonts w:hint="cs"/>
          <w:rtl/>
        </w:rPr>
        <w:t>فرانامه‌های</w:t>
      </w:r>
      <w:r w:rsidRPr="0025250D">
        <w:rPr>
          <w:rFonts w:hint="cs"/>
          <w:rtl/>
        </w:rPr>
        <w:t xml:space="preserve"> شل به‌عنوان موارد ممکن نوشته می‌شوند، اما هر یک قطعه‌های متعددی از </w:t>
      </w:r>
      <w:r w:rsidR="00923DDB" w:rsidRPr="0025250D">
        <w:rPr>
          <w:rtl/>
        </w:rPr>
        <w:t>پیش‌انگاری</w:t>
      </w:r>
      <w:r w:rsidRPr="0025250D">
        <w:rPr>
          <w:rFonts w:hint="cs"/>
          <w:rtl/>
        </w:rPr>
        <w:t xml:space="preserve"> را نیز در خود دارند. برای مثال، کتاب 2005 شل که در بالا گفته شد شامل یک منحنی کلیدی </w:t>
      </w:r>
      <w:r w:rsidRPr="0025250D">
        <w:t>D&amp;D</w:t>
      </w:r>
      <w:r w:rsidRPr="0025250D">
        <w:rPr>
          <w:rFonts w:hint="cs"/>
          <w:rtl/>
        </w:rPr>
        <w:t xml:space="preserve"> (متراکم سازی و </w:t>
      </w:r>
      <w:r w:rsidR="000B4A71" w:rsidRPr="0025250D">
        <w:rPr>
          <w:rFonts w:hint="cs"/>
          <w:rtl/>
        </w:rPr>
        <w:t>مادی‌زدایی</w:t>
      </w:r>
      <w:r w:rsidRPr="0025250D">
        <w:rPr>
          <w:rFonts w:hint="cs"/>
          <w:rtl/>
        </w:rPr>
        <w:t xml:space="preserve">) می‌شود. این منحنی اشباع شدت انرژی (کاهش استفاده از انرژی به ازای هر شهروند) با ثروتمندتر شدن (و متراکم‌تر، کارآمد‌تر و غیر مادی‌تر شدن) هر کشور را </w:t>
      </w:r>
      <w:r w:rsidR="00D92F6E" w:rsidRPr="0025250D">
        <w:rPr>
          <w:rFonts w:hint="cs"/>
          <w:rtl/>
        </w:rPr>
        <w:t>پیش‌بین</w:t>
      </w:r>
      <w:r w:rsidRPr="0025250D">
        <w:rPr>
          <w:rFonts w:hint="cs"/>
          <w:rtl/>
        </w:rPr>
        <w:t>ی می‌کند.</w:t>
      </w:r>
    </w:p>
    <w:p w14:paraId="1E4AC52B" w14:textId="46CE8207" w:rsidR="00537CC8" w:rsidRPr="0025250D" w:rsidRDefault="00537CC8" w:rsidP="00537CC8">
      <w:pPr>
        <w:rPr>
          <w:rtl/>
        </w:rPr>
      </w:pPr>
      <w:r w:rsidRPr="0025250D">
        <w:rPr>
          <w:rFonts w:hint="cs"/>
          <w:rtl/>
        </w:rPr>
        <w:t xml:space="preserve">اگر تیم شل </w:t>
      </w:r>
      <w:r w:rsidR="00923DDB" w:rsidRPr="0025250D">
        <w:rPr>
          <w:rtl/>
        </w:rPr>
        <w:t>پیش‌انگاری</w:t>
      </w:r>
      <w:r w:rsidRPr="0025250D">
        <w:rPr>
          <w:rFonts w:hint="cs"/>
          <w:rtl/>
        </w:rPr>
        <w:t xml:space="preserve"> را در اولویت قرار می‌داد،</w:t>
      </w:r>
      <w:r w:rsidR="008D6F97" w:rsidRPr="0025250D">
        <w:rPr>
          <w:rtl/>
        </w:rPr>
        <w:t xml:space="preserve"> </w:t>
      </w:r>
      <w:r w:rsidRPr="0025250D">
        <w:rPr>
          <w:rFonts w:hint="cs"/>
          <w:rtl/>
        </w:rPr>
        <w:t>می‌توانست یک مدل چند عاملی</w:t>
      </w:r>
      <w:r w:rsidRPr="0025250D">
        <w:rPr>
          <w:vertAlign w:val="superscript"/>
          <w:rtl/>
        </w:rPr>
        <w:footnoteReference w:id="1714"/>
      </w:r>
      <w:r w:rsidRPr="0025250D">
        <w:rPr>
          <w:rFonts w:hint="cs"/>
          <w:rtl/>
        </w:rPr>
        <w:t xml:space="preserve"> را برای چگونگی و چرایی رخ دادن این اشباع عجیب استفاده از انرژی و بهره برداری از فرصت‌های تجاری این فرایند </w:t>
      </w:r>
      <w:r w:rsidRPr="0025250D">
        <w:t>D&amp;D</w:t>
      </w:r>
      <w:r w:rsidRPr="0025250D">
        <w:rPr>
          <w:rFonts w:hint="cs"/>
          <w:rtl/>
        </w:rPr>
        <w:t xml:space="preserve"> جهانی، ایجاد کرده و آزمایش </w:t>
      </w:r>
      <w:r w:rsidR="000B4A71" w:rsidRPr="0025250D">
        <w:rPr>
          <w:rFonts w:hint="cs"/>
          <w:rtl/>
        </w:rPr>
        <w:t>نماید</w:t>
      </w:r>
      <w:r w:rsidRPr="0025250D">
        <w:rPr>
          <w:rFonts w:hint="cs"/>
          <w:rtl/>
        </w:rPr>
        <w:t>. تا همین اواخر، چنین منحنی‌هایی تقریباً هیچگاه در گزارشات زیست محیطی درمورد آینده دیده</w:t>
      </w:r>
      <w:r w:rsidR="00EE4B64" w:rsidRPr="0025250D">
        <w:rPr>
          <w:rFonts w:hint="cs"/>
          <w:rtl/>
        </w:rPr>
        <w:t xml:space="preserve"> نمی‌</w:t>
      </w:r>
      <w:r w:rsidRPr="0025250D">
        <w:rPr>
          <w:rFonts w:hint="cs"/>
          <w:rtl/>
        </w:rPr>
        <w:t>شدند. در عوض، جناح سیاسی چپ معمولا ترجیح می‌دهد که پیشگویی‌های خودبازدارنده‌ای را از فاجعه اقلیمی احتمالی پیش رو بر اساس مدل‌های نادرستی از رشد جمعیت و استفاده نامحدود از انرژی بیان</w:t>
      </w:r>
      <w:r w:rsidRPr="0025250D">
        <w:rPr>
          <w:rtl/>
        </w:rPr>
        <w:t xml:space="preserve"> </w:t>
      </w:r>
      <w:r w:rsidRPr="0025250D">
        <w:rPr>
          <w:rFonts w:hint="cs"/>
          <w:rtl/>
        </w:rPr>
        <w:t xml:space="preserve">کند، درحالی که جناح راست متأسفانه همه مسائل زیست محیطی همچنان در حال رشد را نادیده یا دست کم می‌گیرد. هر دو مورد رویکرد‌های ضعیفی برای درک آینده هستند. وقتی برای مدل سازی و درک چگونگی تکامل و توسعه حقیقی آینده تلاش نکنیم، این امر ممکن است دیدگاه ما را درمورد این که باید چه چیزی را تغییر دهیم به شدت منحرف کند. جناح چپ ممکن است بیش از حد واکنش نشان دهد و از آزمایش، ریسک و تغییر اجتماعی مفید جلوگیری کند و جناح راست ممکن است کم‌تر از حد لازم واکنش نشان داده و مانع قانون گذاری مورد نیاز شود و علم، </w:t>
      </w:r>
      <w:r w:rsidR="007A53FD" w:rsidRPr="0025250D">
        <w:rPr>
          <w:rFonts w:hint="cs"/>
          <w:rtl/>
        </w:rPr>
        <w:t>فناوری</w:t>
      </w:r>
      <w:r w:rsidRPr="0025250D">
        <w:rPr>
          <w:rFonts w:hint="cs"/>
          <w:rtl/>
        </w:rPr>
        <w:t xml:space="preserve"> شرکت‌ها و بازار ما را از پرداختن به تغییرات لازم باز دارد.</w:t>
      </w:r>
    </w:p>
    <w:p w14:paraId="357AB3C7" w14:textId="204BD1E9" w:rsidR="00537CC8" w:rsidRPr="0025250D" w:rsidRDefault="00537CC8" w:rsidP="00537CC8">
      <w:pPr>
        <w:rPr>
          <w:rtl/>
        </w:rPr>
      </w:pPr>
      <w:r w:rsidRPr="0025250D">
        <w:rPr>
          <w:rFonts w:hint="cs"/>
          <w:rtl/>
        </w:rPr>
        <w:t xml:space="preserve">داستانی از تصویر کلان‌تر که در کتاب 2 بیان می‌کنیم این است که ما از فرایند‌های نمایی، سیاست‌های مبتنی بر شواهد، کاهش جمعیت و تغییر ذهنیت‌های قدرتمند برای حفظ کاهش تأثیر کلی و سرانه خود بر جهان طبیعی استفاده می‌کنیم. </w:t>
      </w:r>
      <w:r w:rsidR="008126FA" w:rsidRPr="0025250D">
        <w:rPr>
          <w:rtl/>
        </w:rPr>
        <w:t>«</w:t>
      </w:r>
      <w:r w:rsidRPr="0025250D">
        <w:rPr>
          <w:rFonts w:hint="cs"/>
          <w:rtl/>
        </w:rPr>
        <w:t>عامل چهارم: دو برابر کردن درآمد، نصف شدن استفاده از منابع</w:t>
      </w:r>
      <w:r w:rsidRPr="0025250D">
        <w:rPr>
          <w:vertAlign w:val="superscript"/>
          <w:rtl/>
        </w:rPr>
        <w:footnoteReference w:id="1715"/>
      </w:r>
      <w:r w:rsidR="008126FA" w:rsidRPr="0025250D">
        <w:rPr>
          <w:rFonts w:hint="cs"/>
          <w:rtl/>
        </w:rPr>
        <w:t>»</w:t>
      </w:r>
      <w:r w:rsidRPr="0025250D">
        <w:rPr>
          <w:rFonts w:hint="cs"/>
          <w:rtl/>
        </w:rPr>
        <w:t xml:space="preserve">، اثر </w:t>
      </w:r>
      <w:r w:rsidRPr="0025250D">
        <w:rPr>
          <w:rtl/>
        </w:rPr>
        <w:t>و</w:t>
      </w:r>
      <w:r w:rsidRPr="0025250D">
        <w:rPr>
          <w:rFonts w:hint="cs"/>
          <w:rtl/>
        </w:rPr>
        <w:t>ی</w:t>
      </w:r>
      <w:r w:rsidRPr="0025250D">
        <w:rPr>
          <w:rFonts w:hint="eastAsia"/>
          <w:rtl/>
        </w:rPr>
        <w:t>زساکر</w:t>
      </w:r>
      <w:r w:rsidRPr="0025250D">
        <w:rPr>
          <w:vertAlign w:val="superscript"/>
          <w:rtl/>
        </w:rPr>
        <w:footnoteReference w:id="1716"/>
      </w:r>
      <w:r w:rsidRPr="0025250D">
        <w:rPr>
          <w:rFonts w:hint="cs"/>
          <w:rtl/>
        </w:rPr>
        <w:t xml:space="preserve"> و همکاران در سال </w:t>
      </w:r>
      <w:r w:rsidR="000B4A71" w:rsidRPr="0025250D">
        <w:rPr>
          <w:rFonts w:hint="cs"/>
          <w:rtl/>
        </w:rPr>
        <w:t xml:space="preserve">1998 </w:t>
      </w:r>
      <w:r w:rsidRPr="0025250D">
        <w:rPr>
          <w:rFonts w:hint="cs"/>
          <w:rtl/>
        </w:rPr>
        <w:t xml:space="preserve">و </w:t>
      </w:r>
      <w:r w:rsidR="008126FA" w:rsidRPr="0025250D">
        <w:rPr>
          <w:rtl/>
        </w:rPr>
        <w:t>«</w:t>
      </w:r>
      <w:r w:rsidRPr="0025250D">
        <w:rPr>
          <w:rFonts w:hint="cs"/>
          <w:rtl/>
        </w:rPr>
        <w:t>بهره بیش‌تر از مقدار</w:t>
      </w:r>
      <w:r w:rsidR="00BB406C" w:rsidRPr="0025250D">
        <w:rPr>
          <w:rFonts w:hint="cs"/>
          <w:rtl/>
        </w:rPr>
        <w:t xml:space="preserve"> کم‌تر</w:t>
      </w:r>
      <w:r w:rsidRPr="0025250D">
        <w:rPr>
          <w:vertAlign w:val="superscript"/>
          <w:rtl/>
        </w:rPr>
        <w:footnoteReference w:id="1717"/>
      </w:r>
      <w:r w:rsidR="008126FA" w:rsidRPr="0025250D">
        <w:rPr>
          <w:rFonts w:hint="cs"/>
          <w:rtl/>
        </w:rPr>
        <w:t>»</w:t>
      </w:r>
      <w:r w:rsidRPr="0025250D">
        <w:rPr>
          <w:rFonts w:hint="cs"/>
          <w:rtl/>
        </w:rPr>
        <w:t xml:space="preserve"> اثر </w:t>
      </w:r>
      <w:r w:rsidRPr="0025250D">
        <w:rPr>
          <w:rtl/>
        </w:rPr>
        <w:t>اندرو مک آف</w:t>
      </w:r>
      <w:r w:rsidRPr="0025250D">
        <w:rPr>
          <w:rFonts w:hint="cs"/>
          <w:rtl/>
        </w:rPr>
        <w:t xml:space="preserve">ی در سال 2019 دو کتاب خوب درمورد فرایند‌های </w:t>
      </w:r>
      <w:r w:rsidR="000B4A71" w:rsidRPr="0025250D">
        <w:rPr>
          <w:rFonts w:hint="cs"/>
          <w:rtl/>
        </w:rPr>
        <w:t>مادی‌زدایی</w:t>
      </w:r>
      <w:r w:rsidRPr="0025250D">
        <w:rPr>
          <w:rFonts w:hint="cs"/>
          <w:rtl/>
        </w:rPr>
        <w:t xml:space="preserve"> نمایی هستند. پیش انگارهای مختلفی جنبه‌هایی از روند‌های </w:t>
      </w:r>
      <w:r w:rsidRPr="0025250D">
        <w:t>D&amp;D</w:t>
      </w:r>
      <w:r w:rsidRPr="0025250D">
        <w:rPr>
          <w:rFonts w:hint="cs"/>
          <w:rtl/>
        </w:rPr>
        <w:t xml:space="preserve"> اجتماعی را برای دهه‌ها دیده اند. هرچه تغییر سریع‌تر پیش رود، تعداد</w:t>
      </w:r>
      <w:r w:rsidR="0008779C" w:rsidRPr="0025250D">
        <w:rPr>
          <w:rFonts w:hint="cs"/>
          <w:rtl/>
        </w:rPr>
        <w:t xml:space="preserve"> بیش‌تر</w:t>
      </w:r>
      <w:r w:rsidRPr="0025250D">
        <w:rPr>
          <w:rFonts w:hint="cs"/>
          <w:rtl/>
        </w:rPr>
        <w:t>ی از ما می‌توانند توسعه ضروری خود را دیده و هدایت کنند.</w:t>
      </w:r>
    </w:p>
    <w:p w14:paraId="3F4FA9C4" w14:textId="3F5353EF" w:rsidR="00537CC8" w:rsidRPr="0025250D" w:rsidRDefault="00537CC8" w:rsidP="00537CC8">
      <w:pPr>
        <w:rPr>
          <w:rtl/>
        </w:rPr>
      </w:pPr>
      <w:r w:rsidRPr="0025250D">
        <w:rPr>
          <w:rFonts w:hint="cs"/>
          <w:rtl/>
        </w:rPr>
        <w:t xml:space="preserve">در مطالعه ما از تاریخ، اکثر شبکه‌های انسانی به صورت طبیعی </w:t>
      </w:r>
      <w:r w:rsidR="008D6F97" w:rsidRPr="0025250D">
        <w:rPr>
          <w:rFonts w:hint="cs"/>
          <w:rtl/>
        </w:rPr>
        <w:t>سامانه‌</w:t>
      </w:r>
      <w:r w:rsidRPr="0025250D">
        <w:rPr>
          <w:rFonts w:hint="cs"/>
          <w:rtl/>
        </w:rPr>
        <w:t xml:space="preserve">‌هایی خود-اصلاح کننده هستند. استفاده بهتر از موارد نمایی اهرم </w:t>
      </w:r>
      <w:r w:rsidR="00701E03" w:rsidRPr="0025250D">
        <w:rPr>
          <w:rFonts w:hint="cs"/>
          <w:rtl/>
        </w:rPr>
        <w:t>راهبرد</w:t>
      </w:r>
      <w:r w:rsidRPr="0025250D">
        <w:rPr>
          <w:rFonts w:hint="cs"/>
          <w:rtl/>
        </w:rPr>
        <w:t xml:space="preserve"> بسیار خوبی، تقریباً برای هر مسئله انسانی در اختیار ما قرار می‌دهد. ما از طریق نوآوری راه خود از میان مسائل و مشکلات زیست محیطی که ایجاد </w:t>
      </w:r>
      <w:r w:rsidR="00950293" w:rsidRPr="0025250D">
        <w:rPr>
          <w:rFonts w:hint="cs"/>
          <w:rtl/>
        </w:rPr>
        <w:t>کرده‌ایم</w:t>
      </w:r>
      <w:r w:rsidR="00E4279E" w:rsidRPr="0025250D">
        <w:rPr>
          <w:rFonts w:hint="cs"/>
          <w:rtl/>
        </w:rPr>
        <w:t xml:space="preserve"> را</w:t>
      </w:r>
      <w:r w:rsidRPr="0025250D">
        <w:rPr>
          <w:rFonts w:hint="cs"/>
          <w:rtl/>
        </w:rPr>
        <w:t xml:space="preserve"> پیدا خواهیم کرد. در این فرایند، تمدن ما به شکل اجتناب ناپذیری متراکم‌تر، دیجیتالی‌تر، غیر مادی‌تر و پیچیده‌تر خواهد شد. ما با تغییر ارزش هایمان و پیشرفت هوش‌های مصنوعی فردی مان کم‌تر مصرف نخواهیم کرد، بلکه به شکلی متفاوت و بسیار غیر مادی‌تر مصرف خواهیم کرد. رهبران و شهروندان به درک این که این خود اصلاحی هم اکنون چگونه در حال وقوع است، نیاز دارند. </w:t>
      </w:r>
      <w:r w:rsidR="007118DE" w:rsidRPr="0025250D">
        <w:rPr>
          <w:rFonts w:hint="cs"/>
          <w:rtl/>
        </w:rPr>
        <w:t>همان‌طور</w:t>
      </w:r>
      <w:r w:rsidRPr="0025250D">
        <w:rPr>
          <w:rFonts w:hint="cs"/>
          <w:rtl/>
        </w:rPr>
        <w:t xml:space="preserve"> که تحلیل </w:t>
      </w:r>
      <w:r w:rsidRPr="0025250D">
        <w:t>ADOR</w:t>
      </w:r>
      <w:r w:rsidRPr="0025250D">
        <w:rPr>
          <w:rFonts w:hint="cs"/>
          <w:rtl/>
        </w:rPr>
        <w:t xml:space="preserve"> به ما یادآوری می‌کند، این امر در حال حاضر معمولا برای دیگران، بهتر از ما رخ می‌دهد.</w:t>
      </w:r>
    </w:p>
    <w:p w14:paraId="6E30A130" w14:textId="5CD69BE0" w:rsidR="00537CC8" w:rsidRPr="0025250D" w:rsidRDefault="00537CC8" w:rsidP="00537CC8">
      <w:pPr>
        <w:rPr>
          <w:rtl/>
        </w:rPr>
      </w:pPr>
      <w:r w:rsidRPr="0025250D">
        <w:rPr>
          <w:rFonts w:hint="cs"/>
          <w:rtl/>
        </w:rPr>
        <w:t xml:space="preserve">بیایید اکنون به یک مثال ستودنی دولتی از استفاده از گزینه‌های </w:t>
      </w:r>
      <w:r w:rsidR="00563645" w:rsidRPr="0025250D">
        <w:rPr>
          <w:rFonts w:hint="cs"/>
          <w:rtl/>
        </w:rPr>
        <w:t>بدیل</w:t>
      </w:r>
      <w:r w:rsidRPr="0025250D">
        <w:rPr>
          <w:rFonts w:hint="cs"/>
          <w:rtl/>
        </w:rPr>
        <w:t xml:space="preserve"> و </w:t>
      </w:r>
      <w:r w:rsidR="007A53FD" w:rsidRPr="0025250D">
        <w:rPr>
          <w:rFonts w:hint="cs"/>
          <w:rtl/>
        </w:rPr>
        <w:t>فرانامه</w:t>
      </w:r>
      <w:r w:rsidRPr="0025250D">
        <w:rPr>
          <w:rFonts w:hint="cs"/>
          <w:rtl/>
        </w:rPr>
        <w:t>‌ها بازگردیم. در سال 1991،</w:t>
      </w:r>
      <w:r w:rsidR="00E4279E" w:rsidRPr="0025250D">
        <w:rPr>
          <w:rFonts w:hint="cs"/>
          <w:rtl/>
        </w:rPr>
        <w:t xml:space="preserve"> </w:t>
      </w:r>
      <w:r w:rsidR="00362EF3" w:rsidRPr="0025250D">
        <w:rPr>
          <w:rFonts w:hint="cs"/>
          <w:rtl/>
        </w:rPr>
        <w:t>فرانامه‌های</w:t>
      </w:r>
      <w:r w:rsidRPr="0025250D">
        <w:rPr>
          <w:rFonts w:hint="cs"/>
          <w:rtl/>
        </w:rPr>
        <w:t xml:space="preserve"> مونت فلور برای آفریقای جنوبی، توسط ذینفعان (که همچنین مثالی از تسهیل و بازی سازی است)</w:t>
      </w:r>
      <w:r w:rsidR="00E4279E" w:rsidRPr="0025250D">
        <w:rPr>
          <w:rFonts w:hint="cs"/>
          <w:rtl/>
        </w:rPr>
        <w:t xml:space="preserve"> و در واقع</w:t>
      </w:r>
      <w:r w:rsidRPr="0025250D">
        <w:rPr>
          <w:rFonts w:hint="cs"/>
          <w:rtl/>
        </w:rPr>
        <w:t xml:space="preserve"> توسط گروه </w:t>
      </w:r>
      <w:r w:rsidRPr="0025250D">
        <w:rPr>
          <w:rtl/>
        </w:rPr>
        <w:t>آدام کاهانه</w:t>
      </w:r>
      <w:r w:rsidRPr="0025250D">
        <w:rPr>
          <w:vertAlign w:val="superscript"/>
          <w:rtl/>
        </w:rPr>
        <w:footnoteReference w:id="1718"/>
      </w:r>
      <w:r w:rsidRPr="0025250D">
        <w:rPr>
          <w:rFonts w:hint="cs"/>
          <w:rtl/>
        </w:rPr>
        <w:t xml:space="preserve"> در شرکت مشاوره‌ای </w:t>
      </w:r>
      <w:r w:rsidRPr="0025250D">
        <w:rPr>
          <w:rtl/>
        </w:rPr>
        <w:t>جنرون</w:t>
      </w:r>
      <w:r w:rsidRPr="0025250D">
        <w:rPr>
          <w:vertAlign w:val="superscript"/>
          <w:rtl/>
        </w:rPr>
        <w:footnoteReference w:id="1719"/>
      </w:r>
      <w:r w:rsidRPr="0025250D">
        <w:rPr>
          <w:rFonts w:hint="cs"/>
          <w:rtl/>
        </w:rPr>
        <w:t xml:space="preserve"> توسعه داده شدند. تیم </w:t>
      </w:r>
      <w:r w:rsidRPr="0025250D">
        <w:rPr>
          <w:rtl/>
        </w:rPr>
        <w:t>کاهان</w:t>
      </w:r>
      <w:r w:rsidRPr="0025250D">
        <w:rPr>
          <w:vertAlign w:val="superscript"/>
          <w:rtl/>
        </w:rPr>
        <w:footnoteReference w:id="1720"/>
      </w:r>
      <w:r w:rsidRPr="0025250D">
        <w:rPr>
          <w:rFonts w:hint="cs"/>
          <w:rtl/>
        </w:rPr>
        <w:t xml:space="preserve"> چهار </w:t>
      </w:r>
      <w:r w:rsidR="007A53FD" w:rsidRPr="0025250D">
        <w:rPr>
          <w:rFonts w:hint="cs"/>
          <w:rtl/>
        </w:rPr>
        <w:t>فرانامه</w:t>
      </w:r>
      <w:r w:rsidRPr="0025250D">
        <w:rPr>
          <w:rFonts w:hint="cs"/>
          <w:rtl/>
        </w:rPr>
        <w:t xml:space="preserve"> را که به صورت گسترده‌ای عمومی شده بودند (که برای کار </w:t>
      </w:r>
      <w:r w:rsidR="007A53FD" w:rsidRPr="0025250D">
        <w:rPr>
          <w:rFonts w:hint="cs"/>
          <w:rtl/>
        </w:rPr>
        <w:t>فرانامه</w:t>
      </w:r>
      <w:r w:rsidRPr="0025250D">
        <w:rPr>
          <w:rFonts w:hint="cs"/>
          <w:rtl/>
        </w:rPr>
        <w:t xml:space="preserve"> سازی نادر بود) توسعه داد. آن‌ها برای شبیه سازی بحث‌های تخصصی و عمومی درمورد این که آفریقای جنوبی در سال 2012، بیست سال پس از گذار آن از یک دولت کاملا سفیدپوست چگونه خواهد بود، استفاده شدند.</w:t>
      </w:r>
    </w:p>
    <w:p w14:paraId="5AA4983C" w14:textId="1C36BBCC" w:rsidR="00537CC8" w:rsidRPr="0025250D" w:rsidRDefault="00537CC8" w:rsidP="00537CC8">
      <w:pPr>
        <w:rPr>
          <w:rtl/>
        </w:rPr>
      </w:pPr>
      <w:r w:rsidRPr="0025250D">
        <w:rPr>
          <w:rFonts w:hint="cs"/>
          <w:rtl/>
        </w:rPr>
        <w:t xml:space="preserve">به این </w:t>
      </w:r>
      <w:r w:rsidR="007A53FD" w:rsidRPr="0025250D">
        <w:rPr>
          <w:rFonts w:hint="cs"/>
          <w:rtl/>
        </w:rPr>
        <w:t>فرانامه</w:t>
      </w:r>
      <w:r w:rsidRPr="0025250D">
        <w:rPr>
          <w:rFonts w:hint="cs"/>
          <w:rtl/>
        </w:rPr>
        <w:t>‌ها نام‌هایی جالب و یادآور داده شد: شتر مرغ</w:t>
      </w:r>
      <w:r w:rsidRPr="0025250D">
        <w:rPr>
          <w:vertAlign w:val="superscript"/>
          <w:rtl/>
        </w:rPr>
        <w:footnoteReference w:id="1721"/>
      </w:r>
      <w:r w:rsidRPr="0025250D">
        <w:rPr>
          <w:rFonts w:hint="cs"/>
          <w:rtl/>
        </w:rPr>
        <w:t>، اردک از کار افتاده</w:t>
      </w:r>
      <w:r w:rsidRPr="0025250D">
        <w:rPr>
          <w:vertAlign w:val="superscript"/>
          <w:rtl/>
        </w:rPr>
        <w:footnoteReference w:id="1722"/>
      </w:r>
      <w:r w:rsidRPr="0025250D">
        <w:rPr>
          <w:rFonts w:hint="cs"/>
          <w:rtl/>
        </w:rPr>
        <w:t>، ایکاروس</w:t>
      </w:r>
      <w:r w:rsidRPr="0025250D">
        <w:rPr>
          <w:vertAlign w:val="superscript"/>
          <w:rtl/>
        </w:rPr>
        <w:footnoteReference w:id="1723"/>
      </w:r>
      <w:r w:rsidRPr="0025250D">
        <w:rPr>
          <w:rFonts w:hint="cs"/>
          <w:rtl/>
        </w:rPr>
        <w:t xml:space="preserve"> و پرواز. شترمرغ (یک دولت عدم بازنمایی کننده)، ریسک</w:t>
      </w:r>
      <w:r w:rsidRPr="0025250D">
        <w:rPr>
          <w:rtl/>
        </w:rPr>
        <w:t xml:space="preserve"> و ب</w:t>
      </w:r>
      <w:r w:rsidRPr="0025250D">
        <w:rPr>
          <w:rFonts w:hint="cs"/>
          <w:rtl/>
        </w:rPr>
        <w:t>ی</w:t>
      </w:r>
      <w:r w:rsidRPr="0025250D">
        <w:rPr>
          <w:rFonts w:hint="eastAsia"/>
          <w:rtl/>
        </w:rPr>
        <w:t>هودگ</w:t>
      </w:r>
      <w:r w:rsidRPr="0025250D">
        <w:rPr>
          <w:rFonts w:hint="cs"/>
          <w:rtl/>
        </w:rPr>
        <w:t>ی</w:t>
      </w:r>
      <w:r w:rsidRPr="0025250D">
        <w:rPr>
          <w:rtl/>
        </w:rPr>
        <w:t xml:space="preserve"> تلاش دولت سف</w:t>
      </w:r>
      <w:r w:rsidRPr="0025250D">
        <w:rPr>
          <w:rFonts w:hint="cs"/>
          <w:rtl/>
        </w:rPr>
        <w:t>ی</w:t>
      </w:r>
      <w:r w:rsidRPr="0025250D">
        <w:rPr>
          <w:rFonts w:hint="eastAsia"/>
          <w:rtl/>
        </w:rPr>
        <w:t>دپوستان</w:t>
      </w:r>
      <w:r w:rsidRPr="0025250D">
        <w:rPr>
          <w:rtl/>
        </w:rPr>
        <w:t xml:space="preserve"> برا</w:t>
      </w:r>
      <w:r w:rsidRPr="0025250D">
        <w:rPr>
          <w:rFonts w:hint="cs"/>
          <w:rtl/>
        </w:rPr>
        <w:t>ی</w:t>
      </w:r>
      <w:r w:rsidRPr="0025250D">
        <w:rPr>
          <w:rtl/>
        </w:rPr>
        <w:t xml:space="preserve"> اجتناب از مذاکرات را برجسته می‌کرد</w:t>
      </w:r>
      <w:r w:rsidRPr="0025250D">
        <w:rPr>
          <w:rFonts w:hint="cs"/>
          <w:rtl/>
        </w:rPr>
        <w:t xml:space="preserve">. اردک از کار افتاده (دولت و اقتصاد بی ظرفیت) یک گذار طولانی مدت قدرت، با یک دولت قانونی ضعیف و </w:t>
      </w:r>
      <w:r w:rsidR="00F50EB4" w:rsidRPr="0025250D">
        <w:rPr>
          <w:rFonts w:hint="cs"/>
          <w:rtl/>
        </w:rPr>
        <w:t>سرمایه‌گذاری</w:t>
      </w:r>
      <w:r w:rsidRPr="0025250D">
        <w:rPr>
          <w:rFonts w:hint="cs"/>
          <w:rtl/>
        </w:rPr>
        <w:t xml:space="preserve"> بین المللی اندک به دلیل عدم قطعیت سیاسی و اقتصادی طولانی را متصور می‌شد. ایکاروس (اکنون پرواز کن، بعدا سقوط کن) به قدرت رسیدن یک دولت سیاه پوست جدید در موجی از حمایت عمومی و سقوط سریع اقتصاد (به صورت قابل </w:t>
      </w:r>
      <w:r w:rsidR="00D92F6E" w:rsidRPr="0025250D">
        <w:rPr>
          <w:rFonts w:hint="cs"/>
          <w:rtl/>
        </w:rPr>
        <w:t>پیش‌بین</w:t>
      </w:r>
      <w:r w:rsidRPr="0025250D">
        <w:rPr>
          <w:rFonts w:hint="cs"/>
          <w:rtl/>
        </w:rPr>
        <w:t>ی به دلیل عدم تجربه) با آغاز برنامه‌های مخارج عمومی ناپایدار بزرگ را متصور می‌شد. پرواز (</w:t>
      </w:r>
      <w:r w:rsidR="00EE4B64" w:rsidRPr="0025250D">
        <w:rPr>
          <w:rFonts w:hint="cs"/>
          <w:rtl/>
        </w:rPr>
        <w:t>مردم‌سالار</w:t>
      </w:r>
      <w:r w:rsidRPr="0025250D">
        <w:rPr>
          <w:rFonts w:hint="cs"/>
          <w:rtl/>
        </w:rPr>
        <w:t xml:space="preserve">ی و رشد اقتصادی فراگیر) یک سامان گیری سیاسی سریع با پذیرش سیاست‌های اقتصادی و اجتماعی مناسب، سیاست‌های </w:t>
      </w:r>
      <w:r w:rsidR="00EE4B64" w:rsidRPr="0025250D">
        <w:rPr>
          <w:rFonts w:hint="cs"/>
          <w:rtl/>
        </w:rPr>
        <w:t>مردم‌سالار</w:t>
      </w:r>
      <w:r w:rsidRPr="0025250D">
        <w:rPr>
          <w:rFonts w:hint="cs"/>
          <w:rtl/>
        </w:rPr>
        <w:t xml:space="preserve"> فراگیر و رشد اقتصادی آهسته‌تر نسبت به ایکاروس در ابتدا، اما رفاه بیش‌تر در بلند مدت، به دلیل عدم سقوط را متصور می‌شد.</w:t>
      </w:r>
    </w:p>
    <w:p w14:paraId="777121EA" w14:textId="4EAFC089" w:rsidR="00537CC8" w:rsidRPr="0025250D" w:rsidRDefault="00537CC8" w:rsidP="00537CC8">
      <w:pPr>
        <w:rPr>
          <w:rtl/>
        </w:rPr>
      </w:pPr>
      <w:r w:rsidRPr="0025250D">
        <w:rPr>
          <w:rFonts w:hint="cs"/>
          <w:rtl/>
        </w:rPr>
        <w:t xml:space="preserve">مشخصا این </w:t>
      </w:r>
      <w:r w:rsidR="007A53FD" w:rsidRPr="0025250D">
        <w:rPr>
          <w:rFonts w:hint="cs"/>
          <w:rtl/>
        </w:rPr>
        <w:t>فرانامه</w:t>
      </w:r>
      <w:r w:rsidRPr="0025250D">
        <w:rPr>
          <w:rFonts w:hint="cs"/>
          <w:rtl/>
        </w:rPr>
        <w:t>‌ها هدایتگر و آینده نگرانه بودند و شامل تعدادی از برآمدهای محتمل با توجه به فرضیات مختلف بودند</w:t>
      </w:r>
      <w:r w:rsidR="008D6F97" w:rsidRPr="0025250D">
        <w:rPr>
          <w:rtl/>
        </w:rPr>
        <w:t xml:space="preserve">؛ </w:t>
      </w:r>
      <w:r w:rsidRPr="0025250D">
        <w:rPr>
          <w:rFonts w:hint="cs"/>
          <w:rtl/>
        </w:rPr>
        <w:t xml:space="preserve">بنابراین آن‌ها ترکیب قدرتمندی از چهار </w:t>
      </w:r>
      <w:r w:rsidRPr="0025250D">
        <w:t>P</w:t>
      </w:r>
      <w:r w:rsidRPr="0025250D">
        <w:rPr>
          <w:rFonts w:hint="cs"/>
          <w:rtl/>
        </w:rPr>
        <w:t xml:space="preserve"> هستند؛ </w:t>
      </w:r>
      <w:r w:rsidR="007118DE" w:rsidRPr="0025250D">
        <w:rPr>
          <w:rFonts w:hint="cs"/>
          <w:rtl/>
        </w:rPr>
        <w:t>همان‌طور</w:t>
      </w:r>
      <w:r w:rsidRPr="0025250D">
        <w:rPr>
          <w:rFonts w:hint="cs"/>
          <w:rtl/>
        </w:rPr>
        <w:t xml:space="preserve"> که به باور ما همه </w:t>
      </w:r>
      <w:r w:rsidR="00362EF3" w:rsidRPr="0025250D">
        <w:rPr>
          <w:rFonts w:hint="cs"/>
          <w:rtl/>
        </w:rPr>
        <w:t>فرانامه‌های</w:t>
      </w:r>
      <w:r w:rsidRPr="0025250D">
        <w:rPr>
          <w:rFonts w:hint="cs"/>
          <w:rtl/>
        </w:rPr>
        <w:t xml:space="preserve"> خوب باید</w:t>
      </w:r>
      <w:r w:rsidR="00E4279E" w:rsidRPr="0025250D">
        <w:rPr>
          <w:rFonts w:hint="cs"/>
          <w:rtl/>
        </w:rPr>
        <w:t xml:space="preserve"> این چنین</w:t>
      </w:r>
      <w:r w:rsidRPr="0025250D">
        <w:rPr>
          <w:rFonts w:hint="cs"/>
          <w:rtl/>
        </w:rPr>
        <w:t xml:space="preserve"> باشند. </w:t>
      </w:r>
      <w:r w:rsidR="00E4279E" w:rsidRPr="0025250D">
        <w:rPr>
          <w:rFonts w:hint="cs"/>
          <w:rtl/>
        </w:rPr>
        <w:t xml:space="preserve">اگرچه، </w:t>
      </w:r>
      <w:r w:rsidRPr="0025250D">
        <w:rPr>
          <w:rFonts w:hint="cs"/>
          <w:rtl/>
        </w:rPr>
        <w:t xml:space="preserve">فرایند ایجاد </w:t>
      </w:r>
      <w:r w:rsidR="007A53FD" w:rsidRPr="0025250D">
        <w:rPr>
          <w:rFonts w:hint="cs"/>
          <w:rtl/>
        </w:rPr>
        <w:t>فرانامه</w:t>
      </w:r>
      <w:r w:rsidRPr="0025250D">
        <w:rPr>
          <w:rFonts w:hint="cs"/>
          <w:rtl/>
        </w:rPr>
        <w:t xml:space="preserve">‌ها باید برای کاوش موارد ممکن، فراگیری و غیر قابل </w:t>
      </w:r>
      <w:r w:rsidR="00D92F6E" w:rsidRPr="0025250D">
        <w:rPr>
          <w:rFonts w:hint="cs"/>
          <w:rtl/>
        </w:rPr>
        <w:t>پیش‌بین</w:t>
      </w:r>
      <w:r w:rsidRPr="0025250D">
        <w:rPr>
          <w:rFonts w:hint="cs"/>
          <w:rtl/>
        </w:rPr>
        <w:t xml:space="preserve">ی بودن، حداقل در ابتدا، وزن بیشتری در نظر بگیرد. از این نظر، خلق </w:t>
      </w:r>
      <w:r w:rsidR="007A53FD" w:rsidRPr="0025250D">
        <w:rPr>
          <w:rFonts w:hint="cs"/>
          <w:rtl/>
        </w:rPr>
        <w:t>فرانامه</w:t>
      </w:r>
      <w:r w:rsidRPr="0025250D">
        <w:rPr>
          <w:rFonts w:hint="cs"/>
          <w:rtl/>
        </w:rPr>
        <w:t xml:space="preserve"> عمدتا یک مهارت نوآورانه و تنها در درجه دوم یک مهارت </w:t>
      </w:r>
      <w:r w:rsidR="00701E03" w:rsidRPr="0025250D">
        <w:rPr>
          <w:rFonts w:hint="cs"/>
          <w:rtl/>
        </w:rPr>
        <w:t>راهبرد</w:t>
      </w:r>
      <w:r w:rsidRPr="0025250D">
        <w:rPr>
          <w:rFonts w:hint="cs"/>
          <w:rtl/>
        </w:rPr>
        <w:t xml:space="preserve"> و </w:t>
      </w:r>
      <w:r w:rsidR="00923DDB" w:rsidRPr="0025250D">
        <w:rPr>
          <w:rtl/>
        </w:rPr>
        <w:t>پیش‌انگاری</w:t>
      </w:r>
      <w:r w:rsidRPr="0025250D">
        <w:rPr>
          <w:rFonts w:hint="cs"/>
          <w:rtl/>
        </w:rPr>
        <w:t xml:space="preserve"> است. تیم </w:t>
      </w:r>
      <w:r w:rsidR="00362EF3" w:rsidRPr="0025250D">
        <w:rPr>
          <w:rFonts w:hint="cs"/>
          <w:rtl/>
        </w:rPr>
        <w:t>فرانامه‌های</w:t>
      </w:r>
      <w:r w:rsidR="00E4279E" w:rsidRPr="0025250D">
        <w:rPr>
          <w:rFonts w:hint="cs"/>
          <w:rtl/>
        </w:rPr>
        <w:t xml:space="preserve"> مونت فلور </w:t>
      </w:r>
      <w:r w:rsidRPr="0025250D">
        <w:rPr>
          <w:rFonts w:hint="cs"/>
          <w:rtl/>
        </w:rPr>
        <w:t xml:space="preserve">22 ذینفع مختلف را شامل می‌شد که سه بار و هر بار برای یک کارگاه سه روزه، برای تولید </w:t>
      </w:r>
      <w:r w:rsidR="00362EF3" w:rsidRPr="0025250D">
        <w:rPr>
          <w:rFonts w:hint="cs"/>
          <w:rtl/>
        </w:rPr>
        <w:t>فرانامه‌های</w:t>
      </w:r>
      <w:r w:rsidRPr="0025250D">
        <w:rPr>
          <w:rFonts w:hint="cs"/>
          <w:rtl/>
        </w:rPr>
        <w:t>ی در</w:t>
      </w:r>
      <w:r w:rsidR="00E4279E" w:rsidRPr="0025250D">
        <w:rPr>
          <w:rFonts w:hint="cs"/>
          <w:rtl/>
        </w:rPr>
        <w:t xml:space="preserve"> قالب</w:t>
      </w:r>
      <w:r w:rsidRPr="0025250D">
        <w:rPr>
          <w:rFonts w:hint="cs"/>
          <w:rtl/>
        </w:rPr>
        <w:t xml:space="preserve"> فعالیت‌های گروهی بزرگ و کوچک، ملاقات </w:t>
      </w:r>
      <w:r w:rsidR="00E4279E" w:rsidRPr="0025250D">
        <w:rPr>
          <w:rFonts w:hint="cs"/>
          <w:rtl/>
        </w:rPr>
        <w:t>می‌</w:t>
      </w:r>
      <w:r w:rsidRPr="0025250D">
        <w:rPr>
          <w:rFonts w:hint="cs"/>
          <w:rtl/>
        </w:rPr>
        <w:t xml:space="preserve">کردند. پس از تلاش‌های در ابتدا واگرا و خلاقانه متعدد، تسهیلگر </w:t>
      </w:r>
      <w:r w:rsidRPr="0025250D">
        <w:rPr>
          <w:rtl/>
        </w:rPr>
        <w:t>جنرون</w:t>
      </w:r>
      <w:r w:rsidRPr="0025250D">
        <w:rPr>
          <w:rFonts w:hint="cs"/>
          <w:rtl/>
        </w:rPr>
        <w:t xml:space="preserve"> آن‌ها را در این مجموعه آموزش دهنده چهار </w:t>
      </w:r>
      <w:r w:rsidRPr="0025250D">
        <w:t>P</w:t>
      </w:r>
      <w:r w:rsidRPr="0025250D">
        <w:rPr>
          <w:rFonts w:hint="cs"/>
          <w:rtl/>
        </w:rPr>
        <w:t xml:space="preserve"> تجمیع کرد. توجه داشته باشید که آن‌ها به شکل هوشمندانه‌ای این </w:t>
      </w:r>
      <w:r w:rsidR="007A53FD" w:rsidRPr="0025250D">
        <w:rPr>
          <w:rFonts w:hint="cs"/>
          <w:rtl/>
        </w:rPr>
        <w:t>فرانامه</w:t>
      </w:r>
      <w:r w:rsidRPr="0025250D">
        <w:rPr>
          <w:rFonts w:hint="cs"/>
          <w:rtl/>
        </w:rPr>
        <w:t>‌ها را به دو برآمد مرجح</w:t>
      </w:r>
      <w:r w:rsidR="008D6F97" w:rsidRPr="0025250D">
        <w:rPr>
          <w:rtl/>
        </w:rPr>
        <w:t xml:space="preserve"> </w:t>
      </w:r>
      <w:r w:rsidRPr="0025250D">
        <w:rPr>
          <w:rFonts w:hint="cs"/>
          <w:rtl/>
        </w:rPr>
        <w:t xml:space="preserve">و دو برآمد قابل اجتناب، هر یک با درجات مختلفی از نتایج مثبت و منفی تقسیم کردند. این </w:t>
      </w:r>
      <w:r w:rsidR="007A53FD" w:rsidRPr="0025250D">
        <w:rPr>
          <w:rFonts w:hint="cs"/>
          <w:rtl/>
        </w:rPr>
        <w:t>فرانامه</w:t>
      </w:r>
      <w:r w:rsidRPr="0025250D">
        <w:rPr>
          <w:rFonts w:hint="cs"/>
          <w:rtl/>
        </w:rPr>
        <w:t>‌ها برانگیزاننده بوده و به صورت گسترده‌ای مورد بحث قرار گرفتند و به سیاست مداران کشور و عموم مردم کمک کردند تا از مشکلات واضح‌تر گذار پیش رو دوری کنند. اف دبلیو د کلرک</w:t>
      </w:r>
      <w:r w:rsidRPr="0025250D">
        <w:rPr>
          <w:vertAlign w:val="superscript"/>
          <w:rtl/>
        </w:rPr>
        <w:footnoteReference w:id="1724"/>
      </w:r>
      <w:r w:rsidRPr="0025250D">
        <w:rPr>
          <w:rFonts w:hint="cs"/>
          <w:rtl/>
        </w:rPr>
        <w:t xml:space="preserve">، آخرین نخست وزیر سفید پوست آفریقای جنوبی، با ارجاع به این </w:t>
      </w:r>
      <w:r w:rsidR="007A53FD" w:rsidRPr="0025250D">
        <w:rPr>
          <w:rFonts w:hint="cs"/>
          <w:rtl/>
        </w:rPr>
        <w:t>فرانامه</w:t>
      </w:r>
      <w:r w:rsidRPr="0025250D">
        <w:rPr>
          <w:rFonts w:hint="cs"/>
          <w:rtl/>
        </w:rPr>
        <w:t xml:space="preserve">‌ها، در سخن معروفی در یک کنفرانس رسانه‌ای قبل از این گذار گفت </w:t>
      </w:r>
      <w:r w:rsidR="008126FA" w:rsidRPr="0025250D">
        <w:rPr>
          <w:rtl/>
        </w:rPr>
        <w:t>«</w:t>
      </w:r>
      <w:r w:rsidRPr="0025250D">
        <w:rPr>
          <w:rFonts w:hint="cs"/>
          <w:rtl/>
        </w:rPr>
        <w:t>من یک شتر مرغ نیستم</w:t>
      </w:r>
      <w:r w:rsidR="008126FA" w:rsidRPr="0025250D">
        <w:rPr>
          <w:rtl/>
        </w:rPr>
        <w:t>»</w:t>
      </w:r>
      <w:r w:rsidRPr="0025250D">
        <w:rPr>
          <w:rFonts w:hint="cs"/>
          <w:rtl/>
        </w:rPr>
        <w:t xml:space="preserve">. این یک پیروزی بزرگ برای صحت سنجی تأثیر </w:t>
      </w:r>
      <w:r w:rsidR="007A53FD" w:rsidRPr="0025250D">
        <w:rPr>
          <w:rFonts w:hint="cs"/>
          <w:rtl/>
        </w:rPr>
        <w:t>فرانامه</w:t>
      </w:r>
      <w:r w:rsidRPr="0025250D">
        <w:rPr>
          <w:rFonts w:hint="cs"/>
          <w:rtl/>
        </w:rPr>
        <w:t xml:space="preserve"> بود.</w:t>
      </w:r>
    </w:p>
    <w:p w14:paraId="4A2F1255" w14:textId="59F8A76C" w:rsidR="00537CC8" w:rsidRPr="0025250D" w:rsidRDefault="00537CC8" w:rsidP="00537CC8">
      <w:pPr>
        <w:rPr>
          <w:rtl/>
        </w:rPr>
      </w:pPr>
      <w:r w:rsidRPr="0025250D">
        <w:rPr>
          <w:rFonts w:hint="cs"/>
          <w:rtl/>
        </w:rPr>
        <w:t xml:space="preserve">مانند سال 2001، </w:t>
      </w:r>
      <w:r w:rsidRPr="0025250D">
        <w:rPr>
          <w:rtl/>
        </w:rPr>
        <w:t>جنرون</w:t>
      </w:r>
      <w:r w:rsidRPr="0025250D">
        <w:rPr>
          <w:rFonts w:hint="cs"/>
          <w:rtl/>
        </w:rPr>
        <w:t xml:space="preserve"> آنچه را که آن‌ها </w:t>
      </w:r>
      <w:r w:rsidR="00362EF3" w:rsidRPr="0025250D">
        <w:rPr>
          <w:rFonts w:hint="cs"/>
          <w:rtl/>
        </w:rPr>
        <w:t>فرانامه‌های</w:t>
      </w:r>
      <w:r w:rsidRPr="0025250D">
        <w:rPr>
          <w:rFonts w:hint="cs"/>
          <w:rtl/>
        </w:rPr>
        <w:t xml:space="preserve"> مدنی</w:t>
      </w:r>
      <w:r w:rsidRPr="0025250D">
        <w:rPr>
          <w:vertAlign w:val="superscript"/>
          <w:rtl/>
        </w:rPr>
        <w:footnoteReference w:id="1725"/>
      </w:r>
      <w:r w:rsidRPr="0025250D">
        <w:rPr>
          <w:rFonts w:hint="cs"/>
          <w:rtl/>
        </w:rPr>
        <w:t xml:space="preserve"> می‌نامند برای هفت کشور دیگر اجرا </w:t>
      </w:r>
      <w:r w:rsidR="00E4279E" w:rsidRPr="0025250D">
        <w:rPr>
          <w:rFonts w:hint="cs"/>
          <w:rtl/>
        </w:rPr>
        <w:t>نمودند</w:t>
      </w:r>
      <w:r w:rsidRPr="0025250D">
        <w:rPr>
          <w:rFonts w:hint="cs"/>
          <w:rtl/>
        </w:rPr>
        <w:t xml:space="preserve"> و سپس توانستند به وجود حداقل 6 پروژه دیگر مانند آن درسراسر جهان توسط دیگر تیم‌های </w:t>
      </w:r>
      <w:r w:rsidRPr="0025250D">
        <w:rPr>
          <w:rtl/>
        </w:rPr>
        <w:t>آینده‌نگاری</w:t>
      </w:r>
      <w:r w:rsidR="00E4279E" w:rsidRPr="0025250D">
        <w:rPr>
          <w:rFonts w:hint="cs"/>
          <w:rtl/>
        </w:rPr>
        <w:t xml:space="preserve"> که</w:t>
      </w:r>
      <w:r w:rsidRPr="0025250D">
        <w:rPr>
          <w:rFonts w:hint="cs"/>
          <w:rtl/>
        </w:rPr>
        <w:t xml:space="preserve"> با الهام از کار آنها اجرا می‌شدند، پی ببرند. برای اطلاعات بیشتر در مورد روش‌ها، مقاله </w:t>
      </w:r>
      <w:r w:rsidR="00362EF3" w:rsidRPr="0025250D">
        <w:rPr>
          <w:rFonts w:hint="cs"/>
          <w:rtl/>
        </w:rPr>
        <w:t>فرانامه‌های</w:t>
      </w:r>
      <w:r w:rsidRPr="0025250D">
        <w:rPr>
          <w:rFonts w:hint="cs"/>
          <w:rtl/>
        </w:rPr>
        <w:t xml:space="preserve"> مدنی به‌عنوان ابزاری برای تاریخ سازی</w:t>
      </w:r>
      <w:r w:rsidRPr="0025250D">
        <w:rPr>
          <w:vertAlign w:val="superscript"/>
          <w:rtl/>
        </w:rPr>
        <w:footnoteReference w:id="1726"/>
      </w:r>
      <w:r w:rsidRPr="0025250D">
        <w:rPr>
          <w:rFonts w:hint="cs"/>
          <w:rtl/>
        </w:rPr>
        <w:t xml:space="preserve"> اثر </w:t>
      </w:r>
      <w:r w:rsidRPr="0025250D">
        <w:rPr>
          <w:rtl/>
        </w:rPr>
        <w:t>کاهان</w:t>
      </w:r>
      <w:r w:rsidRPr="0025250D">
        <w:rPr>
          <w:rFonts w:hint="cs"/>
          <w:rtl/>
        </w:rPr>
        <w:t xml:space="preserve"> در سال 2001 را مشاهده کنید. </w:t>
      </w:r>
      <w:r w:rsidRPr="0025250D">
        <w:rPr>
          <w:rtl/>
        </w:rPr>
        <w:t>کاهان</w:t>
      </w:r>
      <w:r w:rsidRPr="0025250D">
        <w:rPr>
          <w:rFonts w:hint="cs"/>
          <w:rtl/>
        </w:rPr>
        <w:t xml:space="preserve"> معتقد است که </w:t>
      </w:r>
      <w:r w:rsidR="00362EF3" w:rsidRPr="0025250D">
        <w:rPr>
          <w:rFonts w:hint="cs"/>
          <w:rtl/>
        </w:rPr>
        <w:t>فرانامه‌های</w:t>
      </w:r>
      <w:r w:rsidRPr="0025250D">
        <w:rPr>
          <w:rFonts w:hint="cs"/>
          <w:rtl/>
        </w:rPr>
        <w:t xml:space="preserve"> مدنی چهار برآمد مهم ارائه می‌دهند.</w:t>
      </w:r>
    </w:p>
    <w:p w14:paraId="0ADF1854" w14:textId="1991C71B" w:rsidR="00537CC8" w:rsidRPr="0025250D" w:rsidRDefault="00537CC8" w:rsidP="00492C47">
      <w:pPr>
        <w:numPr>
          <w:ilvl w:val="0"/>
          <w:numId w:val="40"/>
        </w:numPr>
        <w:rPr>
          <w:rtl/>
        </w:rPr>
      </w:pPr>
      <w:r w:rsidRPr="0025250D">
        <w:rPr>
          <w:rFonts w:hint="cs"/>
          <w:rtl/>
        </w:rPr>
        <w:t xml:space="preserve">مدل‌های ذهنی مجددا </w:t>
      </w:r>
      <w:r w:rsidR="00B13F65" w:rsidRPr="0025250D">
        <w:rPr>
          <w:rFonts w:hint="cs"/>
          <w:rtl/>
        </w:rPr>
        <w:t>چارچوب</w:t>
      </w:r>
      <w:r w:rsidRPr="0025250D">
        <w:rPr>
          <w:rFonts w:hint="cs"/>
          <w:rtl/>
        </w:rPr>
        <w:t xml:space="preserve"> بندی شده،</w:t>
      </w:r>
    </w:p>
    <w:p w14:paraId="2BB51300" w14:textId="01816370" w:rsidR="00537CC8" w:rsidRPr="0025250D" w:rsidRDefault="00537CC8" w:rsidP="00492C47">
      <w:pPr>
        <w:numPr>
          <w:ilvl w:val="0"/>
          <w:numId w:val="40"/>
        </w:numPr>
        <w:rPr>
          <w:rtl/>
        </w:rPr>
      </w:pPr>
      <w:r w:rsidRPr="0025250D">
        <w:rPr>
          <w:rFonts w:hint="cs"/>
          <w:rtl/>
        </w:rPr>
        <w:t>تعهد مشترک به تغییر که از طریق گفتمان توسعه می‌یابد،</w:t>
      </w:r>
    </w:p>
    <w:p w14:paraId="5CA6C196" w14:textId="168AA89C" w:rsidR="00537CC8" w:rsidRPr="0025250D" w:rsidRDefault="00537CC8" w:rsidP="00492C47">
      <w:pPr>
        <w:numPr>
          <w:ilvl w:val="0"/>
          <w:numId w:val="40"/>
        </w:numPr>
        <w:rPr>
          <w:rtl/>
        </w:rPr>
      </w:pPr>
      <w:r w:rsidRPr="0025250D">
        <w:rPr>
          <w:rFonts w:hint="cs"/>
          <w:rtl/>
        </w:rPr>
        <w:t>انرژی و خوش بینی بازتولید شده</w:t>
      </w:r>
      <w:r w:rsidR="008D6F97" w:rsidRPr="0025250D">
        <w:rPr>
          <w:rtl/>
        </w:rPr>
        <w:t xml:space="preserve"> </w:t>
      </w:r>
      <w:r w:rsidRPr="0025250D">
        <w:rPr>
          <w:rFonts w:hint="cs"/>
          <w:rtl/>
        </w:rPr>
        <w:t>و</w:t>
      </w:r>
    </w:p>
    <w:p w14:paraId="045D887D" w14:textId="69124A95" w:rsidR="00537CC8" w:rsidRPr="0025250D" w:rsidRDefault="00537CC8" w:rsidP="00492C47">
      <w:pPr>
        <w:numPr>
          <w:ilvl w:val="0"/>
          <w:numId w:val="40"/>
        </w:numPr>
        <w:rPr>
          <w:rtl/>
        </w:rPr>
      </w:pPr>
      <w:r w:rsidRPr="0025250D">
        <w:rPr>
          <w:rFonts w:hint="cs"/>
          <w:rtl/>
        </w:rPr>
        <w:t>عمل و تکانه نوسازی شده.</w:t>
      </w:r>
    </w:p>
    <w:p w14:paraId="1349D398" w14:textId="164F795E" w:rsidR="00537CC8" w:rsidRPr="0025250D" w:rsidRDefault="00537CC8" w:rsidP="00537CC8">
      <w:pPr>
        <w:rPr>
          <w:rtl/>
        </w:rPr>
      </w:pPr>
      <w:r w:rsidRPr="0025250D">
        <w:rPr>
          <w:rFonts w:hint="cs"/>
          <w:rtl/>
        </w:rPr>
        <w:t xml:space="preserve">این موارد ادعاهایی قابل تأیید هستند و دیدن این که رهبران دیگری از جهان توسعه یافته هم </w:t>
      </w:r>
      <w:r w:rsidR="00362EF3" w:rsidRPr="0025250D">
        <w:rPr>
          <w:rFonts w:hint="cs"/>
          <w:rtl/>
        </w:rPr>
        <w:t>فرانامه‌های</w:t>
      </w:r>
      <w:r w:rsidRPr="0025250D">
        <w:rPr>
          <w:rFonts w:hint="cs"/>
          <w:rtl/>
        </w:rPr>
        <w:t xml:space="preserve"> مدنی را برای مشارکت دادن شهروندان خود در بحث‌های عمومی به کار می‌گیرند، بسیار عالی است. در بازگشت بعدی ما از زرسالاری فعلی به سمت یک دموکراسی بازنمایی کننده، می‌توانیم امیدوار باشیم که این امر رخ خواهد داد.</w:t>
      </w:r>
    </w:p>
    <w:p w14:paraId="124719D5" w14:textId="6792F939" w:rsidR="00537CC8" w:rsidRPr="0025250D" w:rsidRDefault="00537CC8" w:rsidP="00537CC8">
      <w:pPr>
        <w:rPr>
          <w:rtl/>
        </w:rPr>
      </w:pPr>
      <w:r w:rsidRPr="0025250D">
        <w:rPr>
          <w:rFonts w:hint="cs"/>
          <w:rtl/>
        </w:rPr>
        <w:t xml:space="preserve">برای یک مقدمه خوب </w:t>
      </w:r>
      <w:r w:rsidR="00E4279E" w:rsidRPr="0025250D">
        <w:rPr>
          <w:rFonts w:hint="cs"/>
          <w:rtl/>
        </w:rPr>
        <w:t>در مورد</w:t>
      </w:r>
      <w:r w:rsidRPr="0025250D">
        <w:rPr>
          <w:rFonts w:hint="cs"/>
          <w:rtl/>
        </w:rPr>
        <w:t xml:space="preserve"> تیم‌ها و شرکت‌های </w:t>
      </w:r>
      <w:r w:rsidR="00B124DE" w:rsidRPr="0025250D">
        <w:rPr>
          <w:rFonts w:hint="cs"/>
          <w:rtl/>
        </w:rPr>
        <w:t>برنامه‌ریزی</w:t>
      </w:r>
      <w:r w:rsidRPr="0025250D">
        <w:rPr>
          <w:rFonts w:hint="cs"/>
          <w:rtl/>
        </w:rPr>
        <w:t xml:space="preserve"> </w:t>
      </w:r>
      <w:r w:rsidR="007A53FD" w:rsidRPr="0025250D">
        <w:rPr>
          <w:rFonts w:hint="cs"/>
          <w:rtl/>
        </w:rPr>
        <w:t>فرانامه</w:t>
      </w:r>
      <w:r w:rsidRPr="0025250D">
        <w:rPr>
          <w:rFonts w:hint="cs"/>
          <w:rtl/>
        </w:rPr>
        <w:t xml:space="preserve">، </w:t>
      </w:r>
      <w:r w:rsidR="00B124DE" w:rsidRPr="0025250D">
        <w:rPr>
          <w:rFonts w:hint="cs"/>
          <w:rtl/>
        </w:rPr>
        <w:t>برنامه‌ریزی</w:t>
      </w:r>
      <w:r w:rsidRPr="0025250D">
        <w:rPr>
          <w:rFonts w:hint="cs"/>
          <w:rtl/>
        </w:rPr>
        <w:t xml:space="preserve"> </w:t>
      </w:r>
      <w:r w:rsidR="007A53FD" w:rsidRPr="0025250D">
        <w:rPr>
          <w:rFonts w:hint="cs"/>
          <w:rtl/>
        </w:rPr>
        <w:t>فرانامه</w:t>
      </w:r>
      <w:r w:rsidRPr="0025250D">
        <w:rPr>
          <w:rFonts w:hint="cs"/>
          <w:rtl/>
        </w:rPr>
        <w:t>‌ها در سازمان ها</w:t>
      </w:r>
      <w:r w:rsidRPr="0025250D">
        <w:rPr>
          <w:vertAlign w:val="superscript"/>
          <w:rtl/>
        </w:rPr>
        <w:footnoteReference w:id="1727"/>
      </w:r>
      <w:r w:rsidRPr="0025250D">
        <w:rPr>
          <w:rFonts w:hint="cs"/>
          <w:rtl/>
        </w:rPr>
        <w:t xml:space="preserve"> اثر </w:t>
      </w:r>
      <w:r w:rsidRPr="0025250D">
        <w:rPr>
          <w:rtl/>
        </w:rPr>
        <w:t>تام چرمک</w:t>
      </w:r>
      <w:r w:rsidRPr="0025250D">
        <w:rPr>
          <w:vertAlign w:val="superscript"/>
          <w:rtl/>
        </w:rPr>
        <w:footnoteReference w:id="1728"/>
      </w:r>
      <w:r w:rsidRPr="0025250D">
        <w:rPr>
          <w:rFonts w:hint="cs"/>
          <w:rtl/>
        </w:rPr>
        <w:t xml:space="preserve"> در سال 2011 را ببینید. یکی از کتاب‌های </w:t>
      </w:r>
      <w:r w:rsidR="00B124DE" w:rsidRPr="0025250D">
        <w:rPr>
          <w:rFonts w:hint="cs"/>
          <w:rtl/>
        </w:rPr>
        <w:t>برنامه‌ریزی</w:t>
      </w:r>
      <w:r w:rsidRPr="0025250D">
        <w:rPr>
          <w:rFonts w:hint="cs"/>
          <w:rtl/>
        </w:rPr>
        <w:t xml:space="preserve"> </w:t>
      </w:r>
      <w:r w:rsidR="007A53FD" w:rsidRPr="0025250D">
        <w:rPr>
          <w:rFonts w:hint="cs"/>
          <w:rtl/>
        </w:rPr>
        <w:t>فرانامه</w:t>
      </w:r>
      <w:r w:rsidRPr="0025250D">
        <w:rPr>
          <w:rFonts w:hint="cs"/>
          <w:rtl/>
        </w:rPr>
        <w:t xml:space="preserve"> پیشرفته ما کتاب یادگیری از آینده: </w:t>
      </w:r>
      <w:r w:rsidR="00362EF3" w:rsidRPr="0025250D">
        <w:rPr>
          <w:rFonts w:hint="cs"/>
          <w:rtl/>
        </w:rPr>
        <w:t>فرانامه‌های</w:t>
      </w:r>
      <w:r w:rsidRPr="0025250D">
        <w:rPr>
          <w:rFonts w:hint="cs"/>
          <w:rtl/>
        </w:rPr>
        <w:t xml:space="preserve"> </w:t>
      </w:r>
      <w:r w:rsidRPr="0025250D">
        <w:rPr>
          <w:rtl/>
        </w:rPr>
        <w:t>آینده‌نگاری</w:t>
      </w:r>
      <w:r w:rsidRPr="0025250D">
        <w:rPr>
          <w:rFonts w:hint="cs"/>
          <w:rtl/>
        </w:rPr>
        <w:t xml:space="preserve"> رقابتی</w:t>
      </w:r>
      <w:r w:rsidRPr="0025250D">
        <w:rPr>
          <w:vertAlign w:val="superscript"/>
          <w:rtl/>
        </w:rPr>
        <w:footnoteReference w:id="1729"/>
      </w:r>
      <w:r w:rsidRPr="0025250D">
        <w:rPr>
          <w:rFonts w:hint="cs"/>
          <w:rtl/>
        </w:rPr>
        <w:t xml:space="preserve"> اثر </w:t>
      </w:r>
      <w:r w:rsidRPr="0025250D">
        <w:rPr>
          <w:rtl/>
        </w:rPr>
        <w:t>فاه</w:t>
      </w:r>
      <w:r w:rsidRPr="0025250D">
        <w:rPr>
          <w:rFonts w:hint="cs"/>
          <w:rtl/>
        </w:rPr>
        <w:t>ی</w:t>
      </w:r>
      <w:r w:rsidRPr="0025250D">
        <w:rPr>
          <w:vertAlign w:val="superscript"/>
          <w:rtl/>
        </w:rPr>
        <w:footnoteReference w:id="1730"/>
      </w:r>
      <w:r w:rsidRPr="0025250D">
        <w:rPr>
          <w:rFonts w:hint="cs"/>
          <w:rtl/>
        </w:rPr>
        <w:t xml:space="preserve"> و </w:t>
      </w:r>
      <w:r w:rsidRPr="0025250D">
        <w:rPr>
          <w:rtl/>
        </w:rPr>
        <w:t>راندال</w:t>
      </w:r>
      <w:r w:rsidRPr="0025250D">
        <w:rPr>
          <w:vertAlign w:val="superscript"/>
          <w:rtl/>
        </w:rPr>
        <w:footnoteReference w:id="1731"/>
      </w:r>
      <w:r w:rsidRPr="0025250D">
        <w:rPr>
          <w:rFonts w:hint="cs"/>
          <w:rtl/>
        </w:rPr>
        <w:t xml:space="preserve"> در سال 1997 است. این کتاب اکنون که تقریباً 25 ساله است، دقیقا به اندازه زمان نگارش خود ارزشمند است. در نسخه ویرایش شده، 25 توسعه دهنده </w:t>
      </w:r>
      <w:r w:rsidR="00701E03" w:rsidRPr="0025250D">
        <w:rPr>
          <w:rFonts w:hint="cs"/>
          <w:rtl/>
        </w:rPr>
        <w:t>فرانامه</w:t>
      </w:r>
      <w:r w:rsidRPr="0025250D">
        <w:rPr>
          <w:rFonts w:hint="cs"/>
          <w:rtl/>
        </w:rPr>
        <w:t xml:space="preserve"> به شدت با تجربه بینش خود را درمورد استفاده از </w:t>
      </w:r>
      <w:r w:rsidR="00701E03" w:rsidRPr="0025250D">
        <w:rPr>
          <w:rFonts w:hint="cs"/>
          <w:rtl/>
        </w:rPr>
        <w:t>فرانامه</w:t>
      </w:r>
      <w:r w:rsidRPr="0025250D">
        <w:rPr>
          <w:rFonts w:hint="cs"/>
          <w:rtl/>
        </w:rPr>
        <w:t xml:space="preserve">، در گستره‌ای از محیط‌های شرکتی، غیرانتفاعی و دولتی، برای کاوش آینده‌های ممکن، تولید </w:t>
      </w:r>
      <w:r w:rsidR="00B56611" w:rsidRPr="0025250D">
        <w:rPr>
          <w:rFonts w:hint="cs"/>
          <w:rtl/>
        </w:rPr>
        <w:t>چشم‌انداز</w:t>
      </w:r>
      <w:r w:rsidRPr="0025250D">
        <w:rPr>
          <w:rFonts w:hint="cs"/>
          <w:rtl/>
        </w:rPr>
        <w:t xml:space="preserve">‌های رقابتی، ایجاد تنش‌هایی میان آن‌ها و تسریع و حل و فصل این تنش‌ها با </w:t>
      </w:r>
      <w:r w:rsidR="00701E03" w:rsidRPr="0025250D">
        <w:rPr>
          <w:rFonts w:hint="cs"/>
          <w:rtl/>
        </w:rPr>
        <w:t>راهبرد</w:t>
      </w:r>
      <w:r w:rsidRPr="0025250D">
        <w:rPr>
          <w:rFonts w:hint="cs"/>
          <w:rtl/>
        </w:rPr>
        <w:t xml:space="preserve"> بهتر به اشتراک می‌گذارند. </w:t>
      </w:r>
      <w:r w:rsidRPr="0025250D">
        <w:rPr>
          <w:rtl/>
        </w:rPr>
        <w:t>فاه</w:t>
      </w:r>
      <w:r w:rsidRPr="0025250D">
        <w:rPr>
          <w:rFonts w:hint="cs"/>
          <w:rtl/>
        </w:rPr>
        <w:t xml:space="preserve">ی و </w:t>
      </w:r>
      <w:r w:rsidRPr="0025250D">
        <w:rPr>
          <w:rtl/>
        </w:rPr>
        <w:t>راندال</w:t>
      </w:r>
      <w:r w:rsidRPr="0025250D">
        <w:rPr>
          <w:rFonts w:hint="cs"/>
          <w:rtl/>
        </w:rPr>
        <w:t xml:space="preserve"> اصطلاح یادگیری </w:t>
      </w:r>
      <w:r w:rsidR="00E4279E" w:rsidRPr="0025250D">
        <w:rPr>
          <w:rFonts w:hint="cs"/>
          <w:rtl/>
        </w:rPr>
        <w:t>فرانامه‌ای</w:t>
      </w:r>
      <w:r w:rsidRPr="0025250D">
        <w:rPr>
          <w:vertAlign w:val="superscript"/>
          <w:rtl/>
        </w:rPr>
        <w:footnoteReference w:id="1732"/>
      </w:r>
      <w:r w:rsidRPr="0025250D">
        <w:rPr>
          <w:rFonts w:hint="cs"/>
          <w:rtl/>
        </w:rPr>
        <w:t xml:space="preserve"> را به‌عنوان راهی برای درک این که </w:t>
      </w:r>
      <w:r w:rsidR="00701E03" w:rsidRPr="0025250D">
        <w:rPr>
          <w:rFonts w:hint="cs"/>
          <w:rtl/>
        </w:rPr>
        <w:t>فرانامه</w:t>
      </w:r>
      <w:r w:rsidRPr="0025250D">
        <w:rPr>
          <w:rFonts w:hint="cs"/>
          <w:rtl/>
        </w:rPr>
        <w:t xml:space="preserve">‌ها چگونه مناسب سازمان‌ها خواهد بود رواج دادند. آن‌ها این نکته را بیان می‌کنند که رهبران </w:t>
      </w:r>
      <w:r w:rsidRPr="0025250D">
        <w:rPr>
          <w:rtl/>
        </w:rPr>
        <w:t>آینده‌نگاری</w:t>
      </w:r>
      <w:r w:rsidRPr="0025250D">
        <w:rPr>
          <w:rFonts w:hint="cs"/>
          <w:rtl/>
        </w:rPr>
        <w:t xml:space="preserve"> در ابتدا از </w:t>
      </w:r>
      <w:r w:rsidR="00701E03" w:rsidRPr="0025250D">
        <w:rPr>
          <w:rFonts w:hint="cs"/>
          <w:rtl/>
        </w:rPr>
        <w:t>فرانامه</w:t>
      </w:r>
      <w:r w:rsidRPr="0025250D">
        <w:rPr>
          <w:rFonts w:hint="cs"/>
          <w:rtl/>
        </w:rPr>
        <w:t xml:space="preserve">‌ها برای </w:t>
      </w:r>
      <w:r w:rsidR="00B124DE" w:rsidRPr="0025250D">
        <w:rPr>
          <w:rFonts w:hint="cs"/>
          <w:rtl/>
        </w:rPr>
        <w:t>برنامه‌ریزی</w:t>
      </w:r>
      <w:r w:rsidRPr="0025250D">
        <w:rPr>
          <w:rFonts w:hint="cs"/>
          <w:rtl/>
        </w:rPr>
        <w:t xml:space="preserve"> بهتر بهره</w:t>
      </w:r>
      <w:r w:rsidR="00EE4B64" w:rsidRPr="0025250D">
        <w:rPr>
          <w:rFonts w:hint="cs"/>
          <w:rtl/>
        </w:rPr>
        <w:t xml:space="preserve"> نمی‌</w:t>
      </w:r>
      <w:r w:rsidRPr="0025250D">
        <w:rPr>
          <w:rFonts w:hint="cs"/>
          <w:rtl/>
        </w:rPr>
        <w:t xml:space="preserve">گیرند: آن‌ها از </w:t>
      </w:r>
      <w:r w:rsidR="00701E03" w:rsidRPr="0025250D">
        <w:rPr>
          <w:rFonts w:hint="cs"/>
          <w:rtl/>
        </w:rPr>
        <w:t>فرانامه</w:t>
      </w:r>
      <w:r w:rsidRPr="0025250D">
        <w:rPr>
          <w:rFonts w:hint="cs"/>
          <w:rtl/>
        </w:rPr>
        <w:t xml:space="preserve">‌ها به‌عنوان یک ابزار یادگیری، با هدف نهایی بهبود </w:t>
      </w:r>
      <w:r w:rsidR="0008779C" w:rsidRPr="0025250D">
        <w:rPr>
          <w:rFonts w:hint="cs"/>
          <w:rtl/>
        </w:rPr>
        <w:t>تصمیم‌گیری</w:t>
      </w:r>
      <w:r w:rsidRPr="0025250D">
        <w:rPr>
          <w:rFonts w:hint="cs"/>
          <w:rtl/>
        </w:rPr>
        <w:t xml:space="preserve"> سازمانی استفاده می‌کنند.</w:t>
      </w:r>
      <w:r w:rsidR="00E4279E" w:rsidRPr="0025250D">
        <w:rPr>
          <w:rFonts w:hint="cs"/>
          <w:rtl/>
        </w:rPr>
        <w:t xml:space="preserve"> بنابراین</w:t>
      </w:r>
      <w:r w:rsidRPr="0025250D">
        <w:rPr>
          <w:rFonts w:hint="cs"/>
          <w:rtl/>
        </w:rPr>
        <w:t xml:space="preserve"> یادگیری </w:t>
      </w:r>
      <w:r w:rsidR="00E4279E" w:rsidRPr="0025250D">
        <w:rPr>
          <w:rFonts w:hint="cs"/>
          <w:rtl/>
        </w:rPr>
        <w:t>فرانامه‌ای</w:t>
      </w:r>
      <w:r w:rsidRPr="0025250D">
        <w:rPr>
          <w:rFonts w:hint="cs"/>
          <w:rtl/>
        </w:rPr>
        <w:t xml:space="preserve"> می‌تواند یک اصطلاح مفید‌تر و کلی‌تر از </w:t>
      </w:r>
      <w:r w:rsidR="00B124DE" w:rsidRPr="0025250D">
        <w:rPr>
          <w:rFonts w:hint="cs"/>
          <w:rtl/>
        </w:rPr>
        <w:t>برنامه‌ریزی</w:t>
      </w:r>
      <w:r w:rsidRPr="0025250D">
        <w:rPr>
          <w:rFonts w:hint="cs"/>
          <w:rtl/>
        </w:rPr>
        <w:t xml:space="preserve"> </w:t>
      </w:r>
      <w:r w:rsidR="00E4279E" w:rsidRPr="0025250D">
        <w:rPr>
          <w:rFonts w:hint="cs"/>
          <w:rtl/>
        </w:rPr>
        <w:t>فرانامه‌ای</w:t>
      </w:r>
      <w:r w:rsidRPr="0025250D">
        <w:rPr>
          <w:rFonts w:hint="cs"/>
          <w:rtl/>
        </w:rPr>
        <w:t xml:space="preserve"> باشد. این اصطلاح همچنین به ما یادآوری می‌کند که بهترین فرایند تولید </w:t>
      </w:r>
      <w:r w:rsidR="00701E03" w:rsidRPr="0025250D">
        <w:rPr>
          <w:rFonts w:hint="cs"/>
          <w:rtl/>
        </w:rPr>
        <w:t>فرانامه</w:t>
      </w:r>
      <w:r w:rsidRPr="0025250D">
        <w:rPr>
          <w:rFonts w:hint="cs"/>
          <w:rtl/>
        </w:rPr>
        <w:t xml:space="preserve"> باید به خوبی با </w:t>
      </w:r>
      <w:r w:rsidRPr="0025250D">
        <w:t>LAIS</w:t>
      </w:r>
      <w:r w:rsidRPr="0025250D">
        <w:rPr>
          <w:rFonts w:hint="cs"/>
          <w:rtl/>
        </w:rPr>
        <w:t xml:space="preserve">، چهار مهارت </w:t>
      </w:r>
      <w:r w:rsidRPr="0025250D">
        <w:rPr>
          <w:rtl/>
        </w:rPr>
        <w:t>آینده‌نگاری</w:t>
      </w:r>
      <w:r w:rsidRPr="0025250D">
        <w:rPr>
          <w:rFonts w:hint="cs"/>
          <w:rtl/>
        </w:rPr>
        <w:t xml:space="preserve"> یکپارچه شود. ما پیشنهاد می‌کنم که تسهیلگران کتاب کلاسیک </w:t>
      </w:r>
      <w:r w:rsidRPr="0025250D">
        <w:rPr>
          <w:rtl/>
        </w:rPr>
        <w:t>فاه</w:t>
      </w:r>
      <w:r w:rsidRPr="0025250D">
        <w:rPr>
          <w:rFonts w:hint="cs"/>
          <w:rtl/>
        </w:rPr>
        <w:t xml:space="preserve">ی و </w:t>
      </w:r>
      <w:r w:rsidRPr="0025250D">
        <w:rPr>
          <w:rtl/>
        </w:rPr>
        <w:t>راندال</w:t>
      </w:r>
      <w:r w:rsidRPr="0025250D">
        <w:rPr>
          <w:rFonts w:hint="cs"/>
          <w:rtl/>
        </w:rPr>
        <w:t xml:space="preserve"> را در زمان توسعه </w:t>
      </w:r>
      <w:r w:rsidR="00701E03" w:rsidRPr="0025250D">
        <w:rPr>
          <w:rFonts w:hint="cs"/>
          <w:rtl/>
        </w:rPr>
        <w:t>فرانامه</w:t>
      </w:r>
      <w:r w:rsidRPr="0025250D">
        <w:rPr>
          <w:rFonts w:hint="cs"/>
          <w:rtl/>
        </w:rPr>
        <w:t>‌ها درون تیم‌ها مرور کنند.</w:t>
      </w:r>
    </w:p>
    <w:p w14:paraId="4CB6A8EA" w14:textId="7E8DBD35" w:rsidR="00537CC8" w:rsidRPr="0025250D" w:rsidRDefault="00537CC8" w:rsidP="00537CC8">
      <w:pPr>
        <w:rPr>
          <w:rtl/>
        </w:rPr>
      </w:pPr>
      <w:r w:rsidRPr="0025250D">
        <w:rPr>
          <w:rFonts w:hint="cs"/>
          <w:rtl/>
        </w:rPr>
        <w:t xml:space="preserve">بیایید اکنون به صورت خلاصه‌تر، نگاهی به چهار تخصص عملی نوآوری در </w:t>
      </w:r>
      <w:r w:rsidRPr="0025250D">
        <w:rPr>
          <w:rtl/>
        </w:rPr>
        <w:t>آینده‌نگاری</w:t>
      </w:r>
      <w:r w:rsidRPr="0025250D">
        <w:rPr>
          <w:rFonts w:hint="cs"/>
          <w:rtl/>
        </w:rPr>
        <w:t xml:space="preserve"> سازمانی داشته باشیم. برخی شرکت‌ها در کارآفرینی داخلی و سازمانی برجسته هستند. درحالی که کارآفرینی در ظاهر خود می‌تواند به نظر خلق یک آینده مرجح باشد، در واقعیت هر </w:t>
      </w:r>
      <w:r w:rsidR="00F50EB4" w:rsidRPr="0025250D">
        <w:rPr>
          <w:rFonts w:hint="cs"/>
          <w:rtl/>
        </w:rPr>
        <w:t>سرمایه‌گذاری</w:t>
      </w:r>
      <w:r w:rsidRPr="0025250D">
        <w:rPr>
          <w:rFonts w:hint="cs"/>
          <w:rtl/>
        </w:rPr>
        <w:t xml:space="preserve"> پرخطر به‌عنوان یک اقدام آزمایشی خلاقانه آغاز می‌شود. اکثر اقدامات مخاطره آمیز</w:t>
      </w:r>
      <w:r w:rsidR="00EE4B64" w:rsidRPr="0025250D">
        <w:rPr>
          <w:rFonts w:hint="cs"/>
          <w:rtl/>
        </w:rPr>
        <w:t xml:space="preserve"> نمی‌</w:t>
      </w:r>
      <w:r w:rsidRPr="0025250D">
        <w:rPr>
          <w:rFonts w:hint="cs"/>
          <w:rtl/>
        </w:rPr>
        <w:t xml:space="preserve">توانند با واقعیت ارتباط برقرار کنند. تنها </w:t>
      </w:r>
      <w:r w:rsidR="00701E03" w:rsidRPr="0025250D">
        <w:rPr>
          <w:rFonts w:hint="cs"/>
          <w:rtl/>
        </w:rPr>
        <w:t>راهبرد</w:t>
      </w:r>
      <w:r w:rsidR="00E4279E" w:rsidRPr="0025250D">
        <w:rPr>
          <w:rFonts w:hint="cs"/>
          <w:rtl/>
        </w:rPr>
        <w:t xml:space="preserve"> و</w:t>
      </w:r>
      <w:r w:rsidRPr="0025250D">
        <w:rPr>
          <w:rFonts w:hint="cs"/>
          <w:rtl/>
        </w:rPr>
        <w:t xml:space="preserve"> تحلیل </w:t>
      </w:r>
      <w:r w:rsidR="00B124DE" w:rsidRPr="0025250D">
        <w:rPr>
          <w:rFonts w:hint="cs"/>
          <w:rtl/>
        </w:rPr>
        <w:t>برنامه‌ریزی</w:t>
      </w:r>
      <w:r w:rsidRPr="0025250D">
        <w:rPr>
          <w:rFonts w:hint="cs"/>
          <w:rtl/>
        </w:rPr>
        <w:t xml:space="preserve"> که</w:t>
      </w:r>
      <w:r w:rsidR="00E4279E" w:rsidRPr="0025250D">
        <w:rPr>
          <w:rFonts w:hint="cs"/>
          <w:rtl/>
        </w:rPr>
        <w:t xml:space="preserve"> از</w:t>
      </w:r>
      <w:r w:rsidRPr="0025250D">
        <w:rPr>
          <w:rFonts w:hint="cs"/>
          <w:rtl/>
        </w:rPr>
        <w:t xml:space="preserve"> قبل یا به همراه یک اقدام مخاطره آمیز انجام می‌شود، مشخصا</w:t>
      </w:r>
      <w:r w:rsidR="00E4279E" w:rsidRPr="0025250D">
        <w:rPr>
          <w:rFonts w:hint="cs"/>
          <w:rtl/>
        </w:rPr>
        <w:t>ً</w:t>
      </w:r>
      <w:r w:rsidRPr="0025250D">
        <w:rPr>
          <w:rFonts w:hint="cs"/>
          <w:rtl/>
        </w:rPr>
        <w:t xml:space="preserve"> </w:t>
      </w:r>
      <w:r w:rsidRPr="0025250D">
        <w:rPr>
          <w:rtl/>
        </w:rPr>
        <w:t>آینده‌نگاری</w:t>
      </w:r>
      <w:r w:rsidRPr="0025250D">
        <w:rPr>
          <w:rFonts w:hint="cs"/>
          <w:rtl/>
        </w:rPr>
        <w:t xml:space="preserve"> ترجیحی</w:t>
      </w:r>
      <w:r w:rsidRPr="0025250D">
        <w:rPr>
          <w:vertAlign w:val="superscript"/>
          <w:rtl/>
        </w:rPr>
        <w:footnoteReference w:id="1733"/>
      </w:r>
      <w:r w:rsidRPr="0025250D">
        <w:rPr>
          <w:rFonts w:hint="cs"/>
          <w:rtl/>
        </w:rPr>
        <w:t xml:space="preserve"> است. کارآفرینی، هم ترجیح رهبران و هم یک آزمایش اجتماعی است.</w:t>
      </w:r>
    </w:p>
    <w:p w14:paraId="167AFD1D" w14:textId="7A3EE782" w:rsidR="00537CC8" w:rsidRPr="0025250D" w:rsidRDefault="00537CC8" w:rsidP="00537CC8">
      <w:pPr>
        <w:rPr>
          <w:rtl/>
        </w:rPr>
      </w:pPr>
      <w:r w:rsidRPr="0025250D">
        <w:rPr>
          <w:rFonts w:hint="cs"/>
          <w:rtl/>
        </w:rPr>
        <w:t xml:space="preserve">بنابراین کارآفرینی ذاتا، یک فعالیت اکتشافی آزمایشی است. این کار حقیقتا از </w:t>
      </w:r>
      <w:r w:rsidR="00701E03" w:rsidRPr="0025250D">
        <w:rPr>
          <w:rFonts w:hint="cs"/>
          <w:rtl/>
        </w:rPr>
        <w:t>راهبرد</w:t>
      </w:r>
      <w:r w:rsidRPr="0025250D">
        <w:rPr>
          <w:rFonts w:hint="cs"/>
          <w:rtl/>
        </w:rPr>
        <w:t xml:space="preserve"> و فعالیت‌های </w:t>
      </w:r>
      <w:r w:rsidR="00B124DE" w:rsidRPr="0025250D">
        <w:rPr>
          <w:rFonts w:hint="cs"/>
          <w:rtl/>
        </w:rPr>
        <w:t>کسب‌و‌کار</w:t>
      </w:r>
      <w:r w:rsidRPr="0025250D">
        <w:rPr>
          <w:rFonts w:hint="cs"/>
          <w:rtl/>
        </w:rPr>
        <w:t xml:space="preserve"> فعلی متفاوت است. رهبرانی که این امر را درک می‌کنند</w:t>
      </w:r>
      <w:r w:rsidR="00E4279E" w:rsidRPr="0025250D">
        <w:rPr>
          <w:rFonts w:hint="cs"/>
          <w:rtl/>
        </w:rPr>
        <w:t>،</w:t>
      </w:r>
      <w:r w:rsidRPr="0025250D">
        <w:rPr>
          <w:rFonts w:hint="cs"/>
          <w:rtl/>
        </w:rPr>
        <w:t xml:space="preserve"> سرمایه گذاران خطر پذیر و تیم‌های خود را از بقیه شرکت منزوی می‌کنند تا سیاست‌ها و فرهنگ محافظه کارانه و تدافعی بقیه سازمان مانع آن‌ها نشو</w:t>
      </w:r>
      <w:r w:rsidR="00E4279E" w:rsidRPr="0025250D">
        <w:rPr>
          <w:rFonts w:hint="cs"/>
          <w:rtl/>
        </w:rPr>
        <w:t>ن</w:t>
      </w:r>
      <w:r w:rsidRPr="0025250D">
        <w:rPr>
          <w:rFonts w:hint="cs"/>
          <w:rtl/>
        </w:rPr>
        <w:t>د. آن‌ها همچنین احترام لازم برای شکست یک سرمایه گذار خطر پذیر خوب، با انتظار شکست سریع، آسان و مکرر و یادگیری از این شکست‌ها</w:t>
      </w:r>
      <w:r w:rsidR="00362EF3" w:rsidRPr="0025250D">
        <w:rPr>
          <w:rFonts w:hint="cs"/>
          <w:rtl/>
        </w:rPr>
        <w:t xml:space="preserve"> را</w:t>
      </w:r>
      <w:r w:rsidRPr="0025250D">
        <w:rPr>
          <w:rFonts w:hint="cs"/>
          <w:rtl/>
        </w:rPr>
        <w:t xml:space="preserve"> ایجاد می‌کنند. آزمایش‌ها معمولا باید در راه خود به سمت موفقیت شکست بخورند.</w:t>
      </w:r>
    </w:p>
    <w:p w14:paraId="074D0ECA" w14:textId="696B2EE6" w:rsidR="00537CC8" w:rsidRPr="0025250D" w:rsidRDefault="00537CC8" w:rsidP="008126FA">
      <w:pPr>
        <w:rPr>
          <w:rtl/>
        </w:rPr>
      </w:pPr>
      <w:r w:rsidRPr="0025250D">
        <w:rPr>
          <w:rFonts w:hint="cs"/>
          <w:rtl/>
        </w:rPr>
        <w:t xml:space="preserve">کتاب‌های </w:t>
      </w:r>
      <w:r w:rsidR="008126FA" w:rsidRPr="0025250D">
        <w:rPr>
          <w:rFonts w:hint="cs"/>
          <w:rtl/>
        </w:rPr>
        <w:t>«</w:t>
      </w:r>
      <w:r w:rsidRPr="0025250D">
        <w:rPr>
          <w:rFonts w:hint="cs"/>
          <w:rtl/>
        </w:rPr>
        <w:t>بنگاه ناب: شرکت‌ها چگونه می‌توانند مانند استارتاپ‌ها نوآور باشند</w:t>
      </w:r>
      <w:r w:rsidRPr="0025250D">
        <w:rPr>
          <w:vertAlign w:val="superscript"/>
          <w:rtl/>
        </w:rPr>
        <w:footnoteReference w:id="1734"/>
      </w:r>
      <w:r w:rsidR="008126FA" w:rsidRPr="0025250D">
        <w:rPr>
          <w:rFonts w:hint="cs"/>
          <w:rtl/>
        </w:rPr>
        <w:t>»</w:t>
      </w:r>
      <w:r w:rsidRPr="0025250D">
        <w:rPr>
          <w:rFonts w:hint="cs"/>
          <w:rtl/>
        </w:rPr>
        <w:t xml:space="preserve"> اثر </w:t>
      </w:r>
      <w:r w:rsidRPr="0025250D">
        <w:rPr>
          <w:rtl/>
        </w:rPr>
        <w:t>اوون</w:t>
      </w:r>
      <w:r w:rsidRPr="0025250D">
        <w:rPr>
          <w:vertAlign w:val="superscript"/>
          <w:rtl/>
        </w:rPr>
        <w:footnoteReference w:id="1735"/>
      </w:r>
      <w:r w:rsidRPr="0025250D">
        <w:rPr>
          <w:rFonts w:hint="cs"/>
          <w:rtl/>
        </w:rPr>
        <w:t xml:space="preserve"> و </w:t>
      </w:r>
      <w:r w:rsidRPr="0025250D">
        <w:rPr>
          <w:rtl/>
        </w:rPr>
        <w:t>فرناندز</w:t>
      </w:r>
      <w:r w:rsidRPr="0025250D">
        <w:rPr>
          <w:vertAlign w:val="superscript"/>
          <w:rtl/>
        </w:rPr>
        <w:footnoteReference w:id="1736"/>
      </w:r>
      <w:r w:rsidRPr="0025250D">
        <w:rPr>
          <w:rFonts w:hint="cs"/>
          <w:rtl/>
        </w:rPr>
        <w:t xml:space="preserve"> در سال 2014 و اپلیکشین‌های جدید قاتل: شرکت‌های بزرگ چگونه می‌توانند بهتر از استارتاپ‌ها نوآوری کنند</w:t>
      </w:r>
      <w:r w:rsidRPr="0025250D">
        <w:rPr>
          <w:vertAlign w:val="superscript"/>
          <w:rtl/>
        </w:rPr>
        <w:footnoteReference w:id="1737"/>
      </w:r>
      <w:r w:rsidRPr="0025250D">
        <w:rPr>
          <w:rFonts w:hint="cs"/>
          <w:rtl/>
        </w:rPr>
        <w:t xml:space="preserve"> اثر </w:t>
      </w:r>
      <w:r w:rsidRPr="0025250D">
        <w:rPr>
          <w:rtl/>
        </w:rPr>
        <w:t>مو</w:t>
      </w:r>
      <w:r w:rsidRPr="0025250D">
        <w:rPr>
          <w:rFonts w:hint="cs"/>
          <w:rtl/>
        </w:rPr>
        <w:t>ی</w:t>
      </w:r>
      <w:r w:rsidRPr="0025250D">
        <w:rPr>
          <w:rtl/>
        </w:rPr>
        <w:t xml:space="preserve"> و کارول</w:t>
      </w:r>
      <w:r w:rsidRPr="0025250D">
        <w:rPr>
          <w:vertAlign w:val="superscript"/>
          <w:rtl/>
        </w:rPr>
        <w:footnoteReference w:id="1738"/>
      </w:r>
      <w:r w:rsidRPr="0025250D">
        <w:rPr>
          <w:rFonts w:hint="cs"/>
          <w:rtl/>
        </w:rPr>
        <w:t xml:space="preserve"> در سال 2013 هر یک پیشنهادها و مثال‌های خوبی از شرکت‌های بزرگی که </w:t>
      </w:r>
      <w:r w:rsidR="00F50EB4" w:rsidRPr="0025250D">
        <w:rPr>
          <w:rFonts w:hint="cs"/>
          <w:rtl/>
        </w:rPr>
        <w:t>سرمایه‌گذاری</w:t>
      </w:r>
      <w:r w:rsidRPr="0025250D">
        <w:rPr>
          <w:rFonts w:hint="cs"/>
          <w:rtl/>
        </w:rPr>
        <w:t xml:space="preserve"> خطر پذیر داخلی و خارجی را به خوبی انجام می‌دهند، ارائه می‌دهند. </w:t>
      </w:r>
      <w:r w:rsidR="00F50EB4" w:rsidRPr="0025250D">
        <w:rPr>
          <w:rFonts w:hint="cs"/>
          <w:rtl/>
        </w:rPr>
        <w:t>سرمایه‌گذاری</w:t>
      </w:r>
      <w:r w:rsidRPr="0025250D">
        <w:rPr>
          <w:rFonts w:hint="cs"/>
          <w:rtl/>
        </w:rPr>
        <w:t xml:space="preserve"> خطر پذیر در شرکت‌های بین المللی</w:t>
      </w:r>
      <w:r w:rsidRPr="0025250D">
        <w:rPr>
          <w:vertAlign w:val="superscript"/>
          <w:rtl/>
        </w:rPr>
        <w:footnoteReference w:id="1739"/>
      </w:r>
      <w:r w:rsidRPr="0025250D">
        <w:rPr>
          <w:rFonts w:hint="cs"/>
          <w:rtl/>
        </w:rPr>
        <w:t xml:space="preserve"> اثر </w:t>
      </w:r>
      <w:r w:rsidRPr="0025250D">
        <w:rPr>
          <w:rtl/>
        </w:rPr>
        <w:t>کر</w:t>
      </w:r>
      <w:r w:rsidRPr="0025250D">
        <w:rPr>
          <w:rFonts w:hint="cs"/>
          <w:rtl/>
        </w:rPr>
        <w:t>ی</w:t>
      </w:r>
      <w:r w:rsidRPr="0025250D">
        <w:rPr>
          <w:rFonts w:hint="eastAsia"/>
          <w:rtl/>
        </w:rPr>
        <w:t>س</w:t>
      </w:r>
      <w:r w:rsidRPr="0025250D">
        <w:rPr>
          <w:rtl/>
        </w:rPr>
        <w:t xml:space="preserve"> و</w:t>
      </w:r>
      <w:r w:rsidRPr="0025250D">
        <w:rPr>
          <w:rFonts w:hint="cs"/>
          <w:rtl/>
        </w:rPr>
        <w:t>ی</w:t>
      </w:r>
      <w:r w:rsidRPr="0025250D">
        <w:rPr>
          <w:rFonts w:hint="eastAsia"/>
          <w:rtl/>
        </w:rPr>
        <w:t>ل</w:t>
      </w:r>
      <w:r w:rsidRPr="0025250D">
        <w:rPr>
          <w:rFonts w:hint="cs"/>
          <w:rtl/>
        </w:rPr>
        <w:t>ی</w:t>
      </w:r>
      <w:r w:rsidRPr="0025250D">
        <w:rPr>
          <w:rFonts w:hint="eastAsia"/>
          <w:rtl/>
        </w:rPr>
        <w:t>ام</w:t>
      </w:r>
      <w:r w:rsidRPr="0025250D">
        <w:rPr>
          <w:vertAlign w:val="superscript"/>
          <w:rtl/>
        </w:rPr>
        <w:footnoteReference w:id="1740"/>
      </w:r>
      <w:r w:rsidRPr="0025250D">
        <w:rPr>
          <w:rFonts w:hint="cs"/>
          <w:rtl/>
        </w:rPr>
        <w:t xml:space="preserve"> در سال 2018 هشت مثال خردمندانه از کارآفرینی و کارآفرینی سازمانی در یک زمینه بین المللی را کاوش می‌کند.</w:t>
      </w:r>
    </w:p>
    <w:p w14:paraId="323D1946" w14:textId="3BEAC2C8" w:rsidR="00537CC8" w:rsidRPr="0025250D" w:rsidRDefault="00537CC8" w:rsidP="00537CC8">
      <w:pPr>
        <w:rPr>
          <w:rtl/>
        </w:rPr>
      </w:pPr>
      <w:r w:rsidRPr="0025250D">
        <w:rPr>
          <w:rFonts w:hint="cs"/>
          <w:rtl/>
        </w:rPr>
        <w:t>یک داستان کارآفرینی سازمانی موفق متناقض</w:t>
      </w:r>
      <w:r w:rsidRPr="0025250D">
        <w:rPr>
          <w:vertAlign w:val="superscript"/>
          <w:rtl/>
        </w:rPr>
        <w:footnoteReference w:id="1741"/>
      </w:r>
      <w:r w:rsidRPr="0025250D">
        <w:rPr>
          <w:rFonts w:hint="cs"/>
          <w:rtl/>
        </w:rPr>
        <w:t xml:space="preserve"> در کتاب اپلیکشین‌های جدید قاتل ارائه شده است. این داستان شامل </w:t>
      </w:r>
      <w:r w:rsidRPr="0025250D">
        <w:rPr>
          <w:rtl/>
        </w:rPr>
        <w:t>ز</w:t>
      </w:r>
      <w:r w:rsidRPr="0025250D">
        <w:rPr>
          <w:rFonts w:hint="cs"/>
          <w:rtl/>
        </w:rPr>
        <w:t>ی</w:t>
      </w:r>
      <w:r w:rsidRPr="0025250D">
        <w:rPr>
          <w:rFonts w:hint="eastAsia"/>
          <w:rtl/>
        </w:rPr>
        <w:t>راکس</w:t>
      </w:r>
      <w:r w:rsidRPr="0025250D">
        <w:rPr>
          <w:vertAlign w:val="superscript"/>
          <w:rtl/>
        </w:rPr>
        <w:footnoteReference w:id="1742"/>
      </w:r>
      <w:r w:rsidRPr="0025250D">
        <w:rPr>
          <w:rFonts w:hint="cs"/>
          <w:rtl/>
        </w:rPr>
        <w:t xml:space="preserve"> و آزمایشگاه تحقیق و توسعه معروف آن‌ها، </w:t>
      </w:r>
      <w:r w:rsidRPr="0025250D">
        <w:rPr>
          <w:rtl/>
        </w:rPr>
        <w:t>ز</w:t>
      </w:r>
      <w:r w:rsidRPr="0025250D">
        <w:rPr>
          <w:rFonts w:hint="cs"/>
          <w:rtl/>
        </w:rPr>
        <w:t>ی</w:t>
      </w:r>
      <w:r w:rsidRPr="0025250D">
        <w:rPr>
          <w:rFonts w:hint="eastAsia"/>
          <w:rtl/>
        </w:rPr>
        <w:t>راک</w:t>
      </w:r>
      <w:r w:rsidRPr="0025250D">
        <w:rPr>
          <w:rFonts w:hint="cs"/>
          <w:rtl/>
        </w:rPr>
        <w:t xml:space="preserve">س </w:t>
      </w:r>
      <w:r w:rsidRPr="0025250D">
        <w:t>PARC</w:t>
      </w:r>
      <w:r w:rsidRPr="0025250D">
        <w:rPr>
          <w:rFonts w:hint="cs"/>
          <w:rtl/>
        </w:rPr>
        <w:t xml:space="preserve"> می‌شود. دانشجویان تاریخ </w:t>
      </w:r>
      <w:r w:rsidR="00B124DE" w:rsidRPr="0025250D">
        <w:rPr>
          <w:rFonts w:hint="cs"/>
          <w:rtl/>
        </w:rPr>
        <w:t>کسب‌و‌کار</w:t>
      </w:r>
      <w:r w:rsidRPr="0025250D">
        <w:rPr>
          <w:rFonts w:hint="cs"/>
          <w:rtl/>
        </w:rPr>
        <w:t xml:space="preserve"> می‌دانند که </w:t>
      </w:r>
      <w:r w:rsidRPr="0025250D">
        <w:rPr>
          <w:rtl/>
        </w:rPr>
        <w:t>ز</w:t>
      </w:r>
      <w:r w:rsidRPr="0025250D">
        <w:rPr>
          <w:rFonts w:hint="cs"/>
          <w:rtl/>
        </w:rPr>
        <w:t>ی</w:t>
      </w:r>
      <w:r w:rsidRPr="0025250D">
        <w:rPr>
          <w:rFonts w:hint="eastAsia"/>
          <w:rtl/>
        </w:rPr>
        <w:t>راکس</w:t>
      </w:r>
      <w:r w:rsidRPr="0025250D">
        <w:rPr>
          <w:rFonts w:hint="cs"/>
          <w:rtl/>
        </w:rPr>
        <w:t xml:space="preserve"> نتوانست بر روی اختراع </w:t>
      </w:r>
      <w:r w:rsidRPr="0025250D">
        <w:rPr>
          <w:rtl/>
        </w:rPr>
        <w:t>کامپ</w:t>
      </w:r>
      <w:r w:rsidRPr="0025250D">
        <w:rPr>
          <w:rFonts w:hint="cs"/>
          <w:rtl/>
        </w:rPr>
        <w:t>ی</w:t>
      </w:r>
      <w:r w:rsidRPr="0025250D">
        <w:rPr>
          <w:rFonts w:hint="eastAsia"/>
          <w:rtl/>
        </w:rPr>
        <w:t>وتر</w:t>
      </w:r>
      <w:r w:rsidRPr="0025250D">
        <w:rPr>
          <w:rtl/>
        </w:rPr>
        <w:t xml:space="preserve"> گراف</w:t>
      </w:r>
      <w:r w:rsidRPr="0025250D">
        <w:rPr>
          <w:rFonts w:hint="cs"/>
          <w:rtl/>
        </w:rPr>
        <w:t>ی</w:t>
      </w:r>
      <w:r w:rsidRPr="0025250D">
        <w:rPr>
          <w:rFonts w:hint="eastAsia"/>
          <w:rtl/>
        </w:rPr>
        <w:t>ک</w:t>
      </w:r>
      <w:r w:rsidRPr="0025250D">
        <w:rPr>
          <w:rFonts w:hint="cs"/>
          <w:rtl/>
        </w:rPr>
        <w:t>ی</w:t>
      </w:r>
      <w:r w:rsidRPr="0025250D">
        <w:rPr>
          <w:rtl/>
        </w:rPr>
        <w:t xml:space="preserve"> روم</w:t>
      </w:r>
      <w:r w:rsidRPr="0025250D">
        <w:rPr>
          <w:rFonts w:hint="cs"/>
          <w:rtl/>
        </w:rPr>
        <w:t>ی</w:t>
      </w:r>
      <w:r w:rsidRPr="0025250D">
        <w:rPr>
          <w:rFonts w:hint="eastAsia"/>
          <w:rtl/>
        </w:rPr>
        <w:t>ز</w:t>
      </w:r>
      <w:r w:rsidRPr="0025250D">
        <w:rPr>
          <w:rFonts w:hint="cs"/>
          <w:rtl/>
        </w:rPr>
        <w:t xml:space="preserve">ی که هم از نظر سخت افزاری و هم نرم افزاری در دهه 1970 در </w:t>
      </w:r>
      <w:r w:rsidRPr="0025250D">
        <w:t>PARC</w:t>
      </w:r>
      <w:r w:rsidRPr="0025250D">
        <w:rPr>
          <w:rFonts w:hint="cs"/>
          <w:rtl/>
        </w:rPr>
        <w:t xml:space="preserve"> توسعه </w:t>
      </w:r>
      <w:r w:rsidR="00362EF3" w:rsidRPr="0025250D">
        <w:rPr>
          <w:rFonts w:hint="cs"/>
          <w:rtl/>
        </w:rPr>
        <w:t>داد</w:t>
      </w:r>
      <w:r w:rsidRPr="0025250D">
        <w:rPr>
          <w:rFonts w:hint="cs"/>
          <w:rtl/>
        </w:rPr>
        <w:t xml:space="preserve">، </w:t>
      </w:r>
      <w:r w:rsidR="00F50EB4" w:rsidRPr="0025250D">
        <w:rPr>
          <w:rFonts w:hint="cs"/>
          <w:rtl/>
        </w:rPr>
        <w:t>سرمایه‌گذاری</w:t>
      </w:r>
      <w:r w:rsidRPr="0025250D">
        <w:rPr>
          <w:rFonts w:hint="cs"/>
          <w:rtl/>
        </w:rPr>
        <w:t xml:space="preserve"> کند. آن‌ها هیچگاه یک بازار انبوه با این نوآوری‌ها نیافتند و به شکل عجیبی، هیچگاه حتی مجوز این اختراع باور نکردنی را به دیگر شرکت‌ها مانند اپل، مایکروسافت، یا </w:t>
      </w:r>
      <w:r w:rsidRPr="0025250D">
        <w:t>IBM</w:t>
      </w:r>
      <w:r w:rsidRPr="0025250D">
        <w:rPr>
          <w:rFonts w:hint="cs"/>
          <w:rtl/>
        </w:rPr>
        <w:t xml:space="preserve"> که می‌توانستند آن را ارتقاء دهند نفروختند</w:t>
      </w:r>
      <w:r w:rsidR="008D6F97" w:rsidRPr="0025250D">
        <w:rPr>
          <w:rtl/>
        </w:rPr>
        <w:t xml:space="preserve">؛ </w:t>
      </w:r>
      <w:r w:rsidR="0020589F" w:rsidRPr="0025250D">
        <w:rPr>
          <w:rtl/>
        </w:rPr>
        <w:t>اما</w:t>
      </w:r>
      <w:r w:rsidRPr="0025250D">
        <w:rPr>
          <w:rFonts w:hint="cs"/>
          <w:rtl/>
        </w:rPr>
        <w:t xml:space="preserve"> </w:t>
      </w:r>
      <w:r w:rsidR="007118DE" w:rsidRPr="0025250D">
        <w:rPr>
          <w:rFonts w:hint="cs"/>
          <w:rtl/>
        </w:rPr>
        <w:t>همان‌طور</w:t>
      </w:r>
      <w:r w:rsidRPr="0025250D">
        <w:rPr>
          <w:rFonts w:hint="cs"/>
          <w:rtl/>
        </w:rPr>
        <w:t xml:space="preserve"> که موی و کرول اشاره دارند، </w:t>
      </w:r>
      <w:r w:rsidRPr="0025250D">
        <w:rPr>
          <w:rtl/>
        </w:rPr>
        <w:t>ز</w:t>
      </w:r>
      <w:r w:rsidRPr="0025250D">
        <w:rPr>
          <w:rFonts w:hint="cs"/>
          <w:rtl/>
        </w:rPr>
        <w:t>ی</w:t>
      </w:r>
      <w:r w:rsidRPr="0025250D">
        <w:rPr>
          <w:rFonts w:hint="eastAsia"/>
          <w:rtl/>
        </w:rPr>
        <w:t>راکس</w:t>
      </w:r>
      <w:r w:rsidRPr="0025250D">
        <w:rPr>
          <w:rFonts w:hint="cs"/>
          <w:rtl/>
        </w:rPr>
        <w:t xml:space="preserve"> 43 میلیون دلار به ارزش دلار امروزی بر روی </w:t>
      </w:r>
      <w:r w:rsidRPr="0025250D">
        <w:t>PARC</w:t>
      </w:r>
      <w:r w:rsidRPr="0025250D">
        <w:rPr>
          <w:rFonts w:hint="cs"/>
          <w:rtl/>
        </w:rPr>
        <w:t xml:space="preserve"> تا دهه 1980 هزینه کرد. کارآفرینان سازمانی آن‌ها توانستند از تحقیق و توسعه برای راه‌اندازی موفق پرینتر لیزری که تا به امروز 100 میلیارد دلار برای </w:t>
      </w:r>
      <w:r w:rsidRPr="0025250D">
        <w:rPr>
          <w:rtl/>
        </w:rPr>
        <w:t>ز</w:t>
      </w:r>
      <w:r w:rsidRPr="0025250D">
        <w:rPr>
          <w:rFonts w:hint="cs"/>
          <w:rtl/>
        </w:rPr>
        <w:t>ی</w:t>
      </w:r>
      <w:r w:rsidRPr="0025250D">
        <w:rPr>
          <w:rFonts w:hint="eastAsia"/>
          <w:rtl/>
        </w:rPr>
        <w:t>راکس</w:t>
      </w:r>
      <w:r w:rsidRPr="0025250D">
        <w:rPr>
          <w:rFonts w:hint="cs"/>
          <w:rtl/>
        </w:rPr>
        <w:t xml:space="preserve"> درآمد داشته است، استفاده کنند. این نتیجه به تنهایی یک نرخ بازگشت سرمایه شگفت انگیز است.</w:t>
      </w:r>
    </w:p>
    <w:p w14:paraId="6CFF6D9D" w14:textId="70D38562" w:rsidR="00537CC8" w:rsidRPr="0025250D" w:rsidRDefault="00537CC8" w:rsidP="00537CC8">
      <w:pPr>
        <w:rPr>
          <w:rtl/>
        </w:rPr>
      </w:pPr>
      <w:r w:rsidRPr="0025250D">
        <w:rPr>
          <w:rFonts w:hint="cs"/>
          <w:rtl/>
        </w:rPr>
        <w:t xml:space="preserve">این درس خوبی در کارآفرینی سازمانی و تحقیق و توسعه است. وقتی مجموعه‌ای از ابزارها و فرصت‌های جدیدی همگی همزمان ظاهر می‌شوند، </w:t>
      </w:r>
      <w:r w:rsidR="007118DE" w:rsidRPr="0025250D">
        <w:rPr>
          <w:rFonts w:hint="cs"/>
          <w:rtl/>
        </w:rPr>
        <w:t>همان‌طور</w:t>
      </w:r>
      <w:r w:rsidRPr="0025250D">
        <w:rPr>
          <w:rFonts w:hint="cs"/>
          <w:rtl/>
        </w:rPr>
        <w:t xml:space="preserve"> که انقلاب کامپیوتر شخصی در </w:t>
      </w:r>
      <w:r w:rsidRPr="0025250D">
        <w:t>PARC</w:t>
      </w:r>
      <w:r w:rsidRPr="0025250D">
        <w:rPr>
          <w:rFonts w:hint="cs"/>
          <w:rtl/>
        </w:rPr>
        <w:t xml:space="preserve"> در دهه 1970</w:t>
      </w:r>
      <w:r w:rsidR="008202E6" w:rsidRPr="0025250D">
        <w:rPr>
          <w:rtl/>
        </w:rPr>
        <w:t xml:space="preserve"> سبب</w:t>
      </w:r>
      <w:r w:rsidRPr="0025250D">
        <w:rPr>
          <w:rFonts w:hint="cs"/>
          <w:rtl/>
        </w:rPr>
        <w:t xml:space="preserve"> شد و فضای ابری، هوش مصنوعی، اتوماسیون و پلتفرم‌های </w:t>
      </w:r>
      <w:r w:rsidRPr="0025250D">
        <w:t>IoT</w:t>
      </w:r>
      <w:r w:rsidRPr="0025250D">
        <w:rPr>
          <w:rFonts w:hint="cs"/>
          <w:rtl/>
        </w:rPr>
        <w:t xml:space="preserve"> امروزه سبب می‌شوند، تسلیم شدن موقتی </w:t>
      </w:r>
      <w:r w:rsidRPr="0025250D">
        <w:rPr>
          <w:rtl/>
        </w:rPr>
        <w:t>آینده‌نگاری</w:t>
      </w:r>
      <w:r w:rsidRPr="0025250D">
        <w:rPr>
          <w:rFonts w:hint="cs"/>
          <w:rtl/>
        </w:rPr>
        <w:t xml:space="preserve"> و </w:t>
      </w:r>
      <w:r w:rsidR="00701E03" w:rsidRPr="0025250D">
        <w:rPr>
          <w:rFonts w:hint="cs"/>
          <w:rtl/>
        </w:rPr>
        <w:t>راهبرد</w:t>
      </w:r>
      <w:r w:rsidRPr="0025250D">
        <w:rPr>
          <w:rFonts w:hint="cs"/>
          <w:rtl/>
        </w:rPr>
        <w:t xml:space="preserve"> یک شرکت ساده است. </w:t>
      </w:r>
      <w:r w:rsidRPr="0025250D">
        <w:rPr>
          <w:rtl/>
        </w:rPr>
        <w:t>ز</w:t>
      </w:r>
      <w:r w:rsidRPr="0025250D">
        <w:rPr>
          <w:rFonts w:hint="cs"/>
          <w:rtl/>
        </w:rPr>
        <w:t>ی</w:t>
      </w:r>
      <w:r w:rsidRPr="0025250D">
        <w:rPr>
          <w:rFonts w:hint="eastAsia"/>
          <w:rtl/>
        </w:rPr>
        <w:t>راکس</w:t>
      </w:r>
      <w:r w:rsidRPr="0025250D">
        <w:rPr>
          <w:rFonts w:hint="cs"/>
          <w:rtl/>
        </w:rPr>
        <w:t xml:space="preserve"> مشخصا بیش از حد تمرکز کرد و </w:t>
      </w:r>
      <w:r w:rsidR="00362EF3" w:rsidRPr="0025250D">
        <w:rPr>
          <w:rFonts w:hint="cs"/>
          <w:rtl/>
        </w:rPr>
        <w:t>حجم</w:t>
      </w:r>
      <w:r w:rsidRPr="0025250D">
        <w:rPr>
          <w:rFonts w:hint="cs"/>
          <w:rtl/>
        </w:rPr>
        <w:t xml:space="preserve"> زیادی از پول را به کار گرفت، اما بقای خود را به خطر نیانداخت. توجیه یک تعهد تحقیق و توسعه تنها به یک پیروزی تجاری بزرگ و یک حفاظت مالکیت معنوی و عملکردی حول این پیروزی نیاز دارد. شرکت‌ها به بهره بردن از همه ثمرات یک تعهد </w:t>
      </w:r>
      <w:r w:rsidRPr="0025250D">
        <w:t>R&amp;D</w:t>
      </w:r>
      <w:r w:rsidRPr="0025250D">
        <w:rPr>
          <w:rFonts w:hint="cs"/>
          <w:rtl/>
        </w:rPr>
        <w:t xml:space="preserve"> نیاز ندارند </w:t>
      </w:r>
      <w:r w:rsidRPr="0025250D">
        <w:rPr>
          <w:rFonts w:cs="Times New Roman" w:hint="cs"/>
          <w:rtl/>
        </w:rPr>
        <w:t>–</w:t>
      </w:r>
      <w:r w:rsidRPr="0025250D">
        <w:rPr>
          <w:rFonts w:hint="cs"/>
          <w:rtl/>
        </w:rPr>
        <w:t xml:space="preserve"> تنها یک محصول یا خط تولید قابل دفاع جدید یا نرخ بازگشت سرمایه بهتر کافی است. </w:t>
      </w:r>
      <w:r w:rsidRPr="0025250D">
        <w:rPr>
          <w:rtl/>
        </w:rPr>
        <w:t>ز</w:t>
      </w:r>
      <w:r w:rsidRPr="0025250D">
        <w:rPr>
          <w:rFonts w:hint="cs"/>
          <w:rtl/>
        </w:rPr>
        <w:t>ی</w:t>
      </w:r>
      <w:r w:rsidRPr="0025250D">
        <w:rPr>
          <w:rFonts w:hint="eastAsia"/>
          <w:rtl/>
        </w:rPr>
        <w:t>راکس</w:t>
      </w:r>
      <w:r w:rsidRPr="0025250D">
        <w:rPr>
          <w:rFonts w:hint="cs"/>
          <w:rtl/>
        </w:rPr>
        <w:t xml:space="preserve"> پیروزی‌های بزرگی در پرینت و کپی به دلیل تعهد تحقیق و توسعه بلند مدت خود در </w:t>
      </w:r>
      <w:r w:rsidRPr="0025250D">
        <w:t>PARC</w:t>
      </w:r>
      <w:r w:rsidRPr="0025250D">
        <w:rPr>
          <w:rFonts w:hint="cs"/>
          <w:rtl/>
        </w:rPr>
        <w:t xml:space="preserve"> کسب کرد. به‌عنوان یک نتیجه مستقیم، این شرکت یک فاز رشد نمایی داشت که دو دهه تا میانه دهه 2000 طول کشید. متأسفانه تا میانه دهه 1990، آن‌ها تحقیق و توسعه و </w:t>
      </w:r>
      <w:r w:rsidR="00F50EB4" w:rsidRPr="0025250D">
        <w:rPr>
          <w:rFonts w:hint="cs"/>
          <w:rtl/>
        </w:rPr>
        <w:t>سرمایه‌گذاری</w:t>
      </w:r>
      <w:r w:rsidRPr="0025250D">
        <w:rPr>
          <w:rFonts w:hint="cs"/>
          <w:rtl/>
        </w:rPr>
        <w:t xml:space="preserve"> خطر پذیر اساسی خود را به صورت ثابتی کاهش می‌دادند، </w:t>
      </w:r>
      <w:r w:rsidR="007118DE" w:rsidRPr="0025250D">
        <w:rPr>
          <w:rFonts w:hint="cs"/>
          <w:rtl/>
        </w:rPr>
        <w:t>همان‌طور</w:t>
      </w:r>
      <w:r w:rsidRPr="0025250D">
        <w:rPr>
          <w:rFonts w:hint="cs"/>
          <w:rtl/>
        </w:rPr>
        <w:t xml:space="preserve"> که </w:t>
      </w:r>
      <w:r w:rsidRPr="0025250D">
        <w:t>HP</w:t>
      </w:r>
      <w:r w:rsidRPr="0025250D">
        <w:rPr>
          <w:rFonts w:hint="cs"/>
          <w:rtl/>
        </w:rPr>
        <w:t xml:space="preserve">، </w:t>
      </w:r>
      <w:r w:rsidRPr="0025250D">
        <w:t>GE</w:t>
      </w:r>
      <w:r w:rsidRPr="0025250D">
        <w:rPr>
          <w:rFonts w:hint="cs"/>
          <w:rtl/>
        </w:rPr>
        <w:t xml:space="preserve"> و دیگر غول‌های صنعتی این کار را انجام دادند. چالش‌های رقابت جهانی برای آنها بیش از حد زیاد بود. با این وجود، آن‌ها یک داستان تاریخی خوب از موفقیت در انجام نوآوری هستند.</w:t>
      </w:r>
    </w:p>
    <w:p w14:paraId="1E1D226A" w14:textId="5A41ECB2" w:rsidR="00537CC8" w:rsidRPr="0025250D" w:rsidRDefault="00537CC8" w:rsidP="00537CC8">
      <w:pPr>
        <w:rPr>
          <w:rtl/>
        </w:rPr>
      </w:pPr>
      <w:r w:rsidRPr="0025250D">
        <w:rPr>
          <w:rFonts w:hint="cs"/>
          <w:rtl/>
        </w:rPr>
        <w:t xml:space="preserve">دیگر موفقیت‌های نوآوری در تسهیل و بازی سازی یافت می‌شوند. بازی‌های جنگی برای مدت‌ها در محیط‌های نظامی برای یافتن فرصت‌ها و آشکار کردن نقاط ضعف در </w:t>
      </w:r>
      <w:r w:rsidR="00701E03" w:rsidRPr="0025250D">
        <w:rPr>
          <w:rFonts w:hint="cs"/>
          <w:rtl/>
        </w:rPr>
        <w:t>راهبرد</w:t>
      </w:r>
      <w:r w:rsidRPr="0025250D">
        <w:rPr>
          <w:rFonts w:hint="cs"/>
          <w:rtl/>
        </w:rPr>
        <w:t xml:space="preserve"> و تاکتیک‌ها استفاده می‌شدند.</w:t>
      </w:r>
      <w:r w:rsidR="0020589F" w:rsidRPr="0025250D">
        <w:rPr>
          <w:rtl/>
        </w:rPr>
        <w:t xml:space="preserve"> کتاب</w:t>
      </w:r>
      <w:r w:rsidRPr="0025250D">
        <w:rPr>
          <w:rFonts w:hint="cs"/>
          <w:rtl/>
        </w:rPr>
        <w:t xml:space="preserve"> </w:t>
      </w:r>
      <w:r w:rsidR="008202E6" w:rsidRPr="0025250D">
        <w:rPr>
          <w:rtl/>
        </w:rPr>
        <w:t>«</w:t>
      </w:r>
      <w:r w:rsidRPr="0025250D">
        <w:rPr>
          <w:rFonts w:hint="cs"/>
          <w:rtl/>
        </w:rPr>
        <w:t>بازی‌های جنگی برای رهبران</w:t>
      </w:r>
      <w:r w:rsidRPr="0025250D">
        <w:rPr>
          <w:vertAlign w:val="superscript"/>
          <w:rtl/>
        </w:rPr>
        <w:footnoteReference w:id="1743"/>
      </w:r>
      <w:r w:rsidR="008202E6" w:rsidRPr="0025250D">
        <w:rPr>
          <w:rtl/>
        </w:rPr>
        <w:t>»</w:t>
      </w:r>
      <w:r w:rsidRPr="0025250D">
        <w:rPr>
          <w:rFonts w:hint="cs"/>
          <w:rtl/>
        </w:rPr>
        <w:t xml:space="preserve"> اثر </w:t>
      </w:r>
      <w:r w:rsidRPr="0025250D">
        <w:rPr>
          <w:rtl/>
        </w:rPr>
        <w:t>مارک هرمان</w:t>
      </w:r>
      <w:r w:rsidRPr="0025250D">
        <w:rPr>
          <w:vertAlign w:val="superscript"/>
          <w:rtl/>
        </w:rPr>
        <w:footnoteReference w:id="1744"/>
      </w:r>
      <w:r w:rsidRPr="0025250D">
        <w:rPr>
          <w:rFonts w:hint="cs"/>
          <w:rtl/>
        </w:rPr>
        <w:t xml:space="preserve"> و همکاران در سال 2009 کار یکی از بزرگترین مشاوران </w:t>
      </w:r>
      <w:r w:rsidRPr="0025250D">
        <w:rPr>
          <w:rtl/>
        </w:rPr>
        <w:t>بوز آلن هم</w:t>
      </w:r>
      <w:r w:rsidRPr="0025250D">
        <w:rPr>
          <w:rFonts w:hint="cs"/>
          <w:rtl/>
        </w:rPr>
        <w:t>ی</w:t>
      </w:r>
      <w:r w:rsidRPr="0025250D">
        <w:rPr>
          <w:rFonts w:hint="eastAsia"/>
          <w:rtl/>
        </w:rPr>
        <w:t>لتون</w:t>
      </w:r>
      <w:r w:rsidRPr="0025250D">
        <w:rPr>
          <w:vertAlign w:val="superscript"/>
          <w:rtl/>
        </w:rPr>
        <w:footnoteReference w:id="1745"/>
      </w:r>
      <w:r w:rsidRPr="0025250D">
        <w:rPr>
          <w:rFonts w:hint="cs"/>
          <w:rtl/>
        </w:rPr>
        <w:t xml:space="preserve"> (</w:t>
      </w:r>
      <w:r w:rsidRPr="0025250D">
        <w:t>BAH</w:t>
      </w:r>
      <w:r w:rsidRPr="0025250D">
        <w:rPr>
          <w:rFonts w:hint="cs"/>
          <w:rtl/>
        </w:rPr>
        <w:t xml:space="preserve">) را در این حوزه برای مشتریان شرکتی و دفاعی توصیف می‌کند. بازی‌های آنان معمولا در طول سه روز انجام می‌شوند و سه سال بعدی فعالیت شرکت را با پذیرش مرحله‌ای حرکات و برنامه‌های </w:t>
      </w:r>
      <w:r w:rsidR="00701E03" w:rsidRPr="0025250D">
        <w:rPr>
          <w:rFonts w:hint="cs"/>
          <w:rtl/>
        </w:rPr>
        <w:t>راهبردی</w:t>
      </w:r>
      <w:r w:rsidRPr="0025250D">
        <w:rPr>
          <w:rFonts w:hint="cs"/>
          <w:rtl/>
        </w:rPr>
        <w:t xml:space="preserve"> تیم‌های محصول و بازاریابی یک شرکت و تیم‌های رقیب شبیه سازی می‌کنند. تسهیلگران بازی سپس تیم‌ها را برای اجرای پاسخ‌ها توسط قانون گذاران، مشتریان و عموم مردم مدل سازی کرده یا به کار می‌گیرند.</w:t>
      </w:r>
    </w:p>
    <w:p w14:paraId="5EBDF214" w14:textId="6256C021" w:rsidR="00537CC8" w:rsidRPr="0025250D" w:rsidRDefault="00537CC8" w:rsidP="00537CC8">
      <w:pPr>
        <w:rPr>
          <w:rtl/>
        </w:rPr>
      </w:pPr>
      <w:r w:rsidRPr="0025250D">
        <w:rPr>
          <w:rFonts w:hint="cs"/>
          <w:rtl/>
        </w:rPr>
        <w:t xml:space="preserve">یک بازی شبیه سازی خوب می‌تواند تنها اندکی از رایانه‌ها (برای داشبورد‌های مالی و عددی) استفاده کند. این بازی این که جایگاه یک سازمان در رقابت و محیط عملکردی آن چگونه می‌تواند، براساس حرکاتی که تیم‌های </w:t>
      </w:r>
      <w:r w:rsidR="00701E03" w:rsidRPr="0025250D">
        <w:rPr>
          <w:rFonts w:hint="cs"/>
          <w:rtl/>
        </w:rPr>
        <w:t>راهبرد</w:t>
      </w:r>
      <w:r w:rsidRPr="0025250D">
        <w:rPr>
          <w:rFonts w:hint="cs"/>
          <w:rtl/>
        </w:rPr>
        <w:t xml:space="preserve"> شرکت به کار می‌گیرند تغییر کند را بررسی خواهد کرد. </w:t>
      </w:r>
      <w:r w:rsidRPr="0025250D">
        <w:rPr>
          <w:rtl/>
        </w:rPr>
        <w:t>هرمان</w:t>
      </w:r>
      <w:r w:rsidRPr="0025250D">
        <w:rPr>
          <w:rFonts w:hint="cs"/>
          <w:rtl/>
        </w:rPr>
        <w:t xml:space="preserve"> و همکاران بررسی می‌کنند که چگونه فلوریدا پاور اند لایت</w:t>
      </w:r>
      <w:r w:rsidRPr="0025250D">
        <w:rPr>
          <w:vertAlign w:val="superscript"/>
          <w:rtl/>
        </w:rPr>
        <w:footnoteReference w:id="1746"/>
      </w:r>
      <w:r w:rsidRPr="0025250D">
        <w:rPr>
          <w:rFonts w:hint="cs"/>
          <w:rtl/>
        </w:rPr>
        <w:t xml:space="preserve"> از این بازی‌ها برای رد یک ایده گسترش پر ریسک و تغییر رویکرد‌های خود به سیاست‌ها و توسعه دسترسی عمومی ایمن استفاده کرد. کاترپیلار</w:t>
      </w:r>
      <w:r w:rsidRPr="0025250D">
        <w:rPr>
          <w:vertAlign w:val="superscript"/>
          <w:rtl/>
        </w:rPr>
        <w:footnoteReference w:id="1747"/>
      </w:r>
      <w:r w:rsidRPr="0025250D">
        <w:rPr>
          <w:rFonts w:hint="cs"/>
          <w:rtl/>
        </w:rPr>
        <w:t xml:space="preserve"> که یک شرکت سازنده لوازم ساخت و ساز است، از نتایج بازی خود برای ارزیابی </w:t>
      </w:r>
      <w:r w:rsidR="00362EF3" w:rsidRPr="0025250D">
        <w:rPr>
          <w:rFonts w:hint="cs"/>
          <w:rtl/>
        </w:rPr>
        <w:t>فرانامه‌های</w:t>
      </w:r>
      <w:r w:rsidRPr="0025250D">
        <w:rPr>
          <w:rFonts w:hint="cs"/>
          <w:rtl/>
        </w:rPr>
        <w:t xml:space="preserve"> ادغام و تغییر برنامه‌های تحقیق و توسعه خود استفاده کرد. مدل سازی صنعتی لازم برای توسعه یک بازی خوب و ایجاد تیم‌های داخلی که </w:t>
      </w:r>
      <w:r w:rsidR="00362EF3" w:rsidRPr="0025250D">
        <w:rPr>
          <w:rFonts w:hint="cs"/>
          <w:rtl/>
        </w:rPr>
        <w:t xml:space="preserve">مجبور شده باشند مانند رقبا </w:t>
      </w:r>
      <w:r w:rsidRPr="0025250D">
        <w:rPr>
          <w:rFonts w:hint="cs"/>
          <w:rtl/>
        </w:rPr>
        <w:t xml:space="preserve">(یا دیگر تهدید ها) </w:t>
      </w:r>
      <w:r w:rsidR="00362EF3" w:rsidRPr="0025250D">
        <w:rPr>
          <w:rFonts w:hint="cs"/>
          <w:rtl/>
        </w:rPr>
        <w:t>تفکر کنند</w:t>
      </w:r>
      <w:r w:rsidRPr="0025250D">
        <w:rPr>
          <w:rFonts w:hint="cs"/>
          <w:rtl/>
        </w:rPr>
        <w:t xml:space="preserve">، می‌توانند در بلند مدت دقیقا برای سازمان به اندازه بینش </w:t>
      </w:r>
      <w:r w:rsidR="00701E03" w:rsidRPr="0025250D">
        <w:rPr>
          <w:rFonts w:hint="cs"/>
          <w:rtl/>
        </w:rPr>
        <w:t>راهبرد</w:t>
      </w:r>
      <w:r w:rsidRPr="0025250D">
        <w:rPr>
          <w:rFonts w:hint="cs"/>
          <w:rtl/>
        </w:rPr>
        <w:t xml:space="preserve"> حاصل شده توسط شبیه سازی‌ها در هر بازی ارزشمند باشند.</w:t>
      </w:r>
    </w:p>
    <w:p w14:paraId="37FCE499" w14:textId="35159F89" w:rsidR="00537CC8" w:rsidRPr="0025250D" w:rsidRDefault="00537CC8" w:rsidP="008202E6">
      <w:pPr>
        <w:rPr>
          <w:rtl/>
        </w:rPr>
      </w:pPr>
      <w:r w:rsidRPr="0025250D">
        <w:rPr>
          <w:rFonts w:hint="cs"/>
          <w:rtl/>
        </w:rPr>
        <w:t>داستان‌های شناخته شده متعددی از موفقیت در یک تخصص عملی نوآوری دیگر، ایده پردازی و طراحی، وجود دارند. تفکر طراحی</w:t>
      </w:r>
      <w:r w:rsidRPr="0025250D">
        <w:rPr>
          <w:vertAlign w:val="superscript"/>
          <w:rtl/>
        </w:rPr>
        <w:footnoteReference w:id="1748"/>
      </w:r>
      <w:r w:rsidRPr="0025250D">
        <w:rPr>
          <w:rFonts w:hint="cs"/>
          <w:rtl/>
        </w:rPr>
        <w:t xml:space="preserve"> مجموعه رو به رشدی از اقدامات، به نمایندگی شرکت‌هایی مانند </w:t>
      </w:r>
      <w:r w:rsidRPr="0025250D">
        <w:t>IDEO</w:t>
      </w:r>
      <w:r w:rsidRPr="0025250D">
        <w:rPr>
          <w:rFonts w:hint="cs"/>
          <w:rtl/>
        </w:rPr>
        <w:t xml:space="preserve">، برای تصور و نمونه سازی محصولات و خدمات جدید و تصور مجدد و بهبود محصولات و خدمات موجود است. چنین تفکری از دیدگاه مشتری آغاز شده و به دنبال </w:t>
      </w:r>
      <w:r w:rsidR="00923DDB" w:rsidRPr="0025250D">
        <w:rPr>
          <w:rFonts w:hint="cs"/>
          <w:rtl/>
        </w:rPr>
        <w:t>راه‌حل</w:t>
      </w:r>
      <w:r w:rsidRPr="0025250D">
        <w:rPr>
          <w:rFonts w:hint="cs"/>
          <w:rtl/>
        </w:rPr>
        <w:t>‌های غیر منتظره است. تغییر از طریق طراحی</w:t>
      </w:r>
      <w:r w:rsidRPr="0025250D">
        <w:rPr>
          <w:vertAlign w:val="superscript"/>
          <w:rtl/>
        </w:rPr>
        <w:footnoteReference w:id="1749"/>
      </w:r>
      <w:r w:rsidRPr="0025250D">
        <w:rPr>
          <w:rFonts w:hint="cs"/>
          <w:rtl/>
        </w:rPr>
        <w:t xml:space="preserve"> اثر </w:t>
      </w:r>
      <w:r w:rsidRPr="0025250D">
        <w:rPr>
          <w:rtl/>
        </w:rPr>
        <w:t>ت</w:t>
      </w:r>
      <w:r w:rsidRPr="0025250D">
        <w:rPr>
          <w:rFonts w:hint="cs"/>
          <w:rtl/>
        </w:rPr>
        <w:t>ی</w:t>
      </w:r>
      <w:r w:rsidRPr="0025250D">
        <w:rPr>
          <w:rFonts w:hint="eastAsia"/>
          <w:rtl/>
        </w:rPr>
        <w:t>م</w:t>
      </w:r>
      <w:r w:rsidRPr="0025250D">
        <w:rPr>
          <w:rtl/>
        </w:rPr>
        <w:t xml:space="preserve"> براون</w:t>
      </w:r>
      <w:r w:rsidRPr="0025250D">
        <w:rPr>
          <w:rFonts w:hint="cs"/>
          <w:rtl/>
        </w:rPr>
        <w:t xml:space="preserve"> در سال 2009 یک مقدمه خوب در رابطه با این موضوع است. </w:t>
      </w:r>
      <w:r w:rsidRPr="0025250D">
        <w:rPr>
          <w:rtl/>
        </w:rPr>
        <w:t>براون</w:t>
      </w:r>
      <w:r w:rsidRPr="0025250D">
        <w:rPr>
          <w:rFonts w:hint="cs"/>
          <w:rtl/>
        </w:rPr>
        <w:t xml:space="preserve"> مدیر عامل </w:t>
      </w:r>
      <w:r w:rsidRPr="0025250D">
        <w:t>IDEO</w:t>
      </w:r>
      <w:r w:rsidRPr="0025250D">
        <w:rPr>
          <w:rFonts w:hint="cs"/>
          <w:rtl/>
        </w:rPr>
        <w:t xml:space="preserve"> می‌باشد. ما همچنین کتاب </w:t>
      </w:r>
      <w:r w:rsidR="008202E6" w:rsidRPr="0025250D">
        <w:rPr>
          <w:rFonts w:hint="cs"/>
          <w:rtl/>
        </w:rPr>
        <w:t xml:space="preserve">«40 </w:t>
      </w:r>
      <w:r w:rsidRPr="0025250D">
        <w:rPr>
          <w:rFonts w:hint="cs"/>
          <w:rtl/>
        </w:rPr>
        <w:t>داستان موفقیت تفکر طراحی</w:t>
      </w:r>
      <w:r w:rsidRPr="0025250D">
        <w:rPr>
          <w:vertAlign w:val="superscript"/>
          <w:rtl/>
        </w:rPr>
        <w:footnoteReference w:id="1750"/>
      </w:r>
      <w:r w:rsidR="008202E6" w:rsidRPr="0025250D">
        <w:rPr>
          <w:rFonts w:hint="cs"/>
          <w:rtl/>
        </w:rPr>
        <w:t>»</w:t>
      </w:r>
      <w:r w:rsidRPr="0025250D">
        <w:rPr>
          <w:rFonts w:hint="cs"/>
          <w:rtl/>
        </w:rPr>
        <w:t xml:space="preserve"> اثر </w:t>
      </w:r>
      <w:r w:rsidRPr="0025250D">
        <w:rPr>
          <w:rtl/>
        </w:rPr>
        <w:t>متفکر طراح</w:t>
      </w:r>
      <w:r w:rsidRPr="0025250D">
        <w:rPr>
          <w:rFonts w:hint="cs"/>
          <w:rtl/>
        </w:rPr>
        <w:t>ی</w:t>
      </w:r>
      <w:r w:rsidRPr="0025250D">
        <w:rPr>
          <w:rtl/>
        </w:rPr>
        <w:t xml:space="preserve"> تصادف</w:t>
      </w:r>
      <w:r w:rsidRPr="0025250D">
        <w:rPr>
          <w:rFonts w:hint="cs"/>
          <w:rtl/>
        </w:rPr>
        <w:t>ی</w:t>
      </w:r>
      <w:r w:rsidRPr="0025250D">
        <w:rPr>
          <w:vertAlign w:val="superscript"/>
          <w:rtl/>
        </w:rPr>
        <w:footnoteReference w:id="1751"/>
      </w:r>
      <w:r w:rsidRPr="0025250D">
        <w:rPr>
          <w:rFonts w:hint="cs"/>
          <w:rtl/>
        </w:rPr>
        <w:t xml:space="preserve"> در سال 2017 را برای برخی نکات اثبات کننده خوب درمورد این تخصص عملی پیشنهاد می‌کنیم.</w:t>
      </w:r>
    </w:p>
    <w:p w14:paraId="7BDA9AAB" w14:textId="50948C39" w:rsidR="00537CC8" w:rsidRPr="0025250D" w:rsidRDefault="00537CC8" w:rsidP="00537CC8">
      <w:pPr>
        <w:rPr>
          <w:rtl/>
        </w:rPr>
      </w:pPr>
      <w:r w:rsidRPr="0025250D">
        <w:rPr>
          <w:rFonts w:hint="cs"/>
          <w:rtl/>
        </w:rPr>
        <w:t>یک داستان موفقیت طراحی کم‌تر شناخته شده خوب از ایربی‌ان‌بی</w:t>
      </w:r>
      <w:r w:rsidRPr="0025250D">
        <w:rPr>
          <w:vertAlign w:val="superscript"/>
          <w:rtl/>
        </w:rPr>
        <w:footnoteReference w:id="1752"/>
      </w:r>
      <w:r w:rsidRPr="0025250D">
        <w:rPr>
          <w:rFonts w:hint="cs"/>
          <w:rtl/>
        </w:rPr>
        <w:t xml:space="preserve"> سرچشمه می‌گیرد. ایربی‌ان‌بی در ابتدای فاز استارتاپی خود، وب سایت جذابی نداشت. با توجه به این که یکی از بنیان گذاران آن‌ها، </w:t>
      </w:r>
      <w:r w:rsidRPr="0025250D">
        <w:rPr>
          <w:rtl/>
        </w:rPr>
        <w:t>جو گب</w:t>
      </w:r>
      <w:r w:rsidRPr="0025250D">
        <w:rPr>
          <w:rFonts w:hint="cs"/>
          <w:rtl/>
        </w:rPr>
        <w:t>ی</w:t>
      </w:r>
      <w:r w:rsidRPr="0025250D">
        <w:rPr>
          <w:rFonts w:hint="eastAsia"/>
          <w:rtl/>
        </w:rPr>
        <w:t>ا</w:t>
      </w:r>
      <w:r w:rsidRPr="0025250D">
        <w:rPr>
          <w:vertAlign w:val="superscript"/>
          <w:rtl/>
        </w:rPr>
        <w:footnoteReference w:id="1753"/>
      </w:r>
      <w:r w:rsidRPr="0025250D">
        <w:rPr>
          <w:rFonts w:hint="cs"/>
          <w:rtl/>
        </w:rPr>
        <w:t xml:space="preserve">، تجربه تفکر طراحی را داشت، آن‌ها تصمیم گرفتند که وب سایت خود را از یک دیدگاه مشتری محور در نظر بگیرند. در یک جلسه طوفان فکری، آن‌ها به این فرضیه رسیدند که رزرو‌های آن‌ها عمدتا به دلیل این که عکس‌ها بیش از حد غیر حرفه‌ای و به صورت ناشیانه‌ای گرفته </w:t>
      </w:r>
      <w:r w:rsidR="00185F3E" w:rsidRPr="0025250D">
        <w:rPr>
          <w:rFonts w:hint="cs"/>
          <w:rtl/>
        </w:rPr>
        <w:t>شده‌اند</w:t>
      </w:r>
      <w:r w:rsidRPr="0025250D">
        <w:rPr>
          <w:rFonts w:hint="cs"/>
          <w:rtl/>
        </w:rPr>
        <w:t xml:space="preserve">، کم هستند. </w:t>
      </w:r>
      <w:r w:rsidR="00923DDB" w:rsidRPr="0025250D">
        <w:rPr>
          <w:rFonts w:hint="cs"/>
          <w:rtl/>
        </w:rPr>
        <w:t>راه‌حل</w:t>
      </w:r>
      <w:r w:rsidRPr="0025250D">
        <w:rPr>
          <w:rFonts w:hint="cs"/>
          <w:rtl/>
        </w:rPr>
        <w:t xml:space="preserve"> خلاقانه آن‌ها این بود که با یک دوربین به خانه مشتری رفته و خودشان عکس‌ها را بگیرند. عکس گرفتن یک </w:t>
      </w:r>
      <w:r w:rsidR="00701E03" w:rsidRPr="0025250D">
        <w:rPr>
          <w:rFonts w:hint="cs"/>
          <w:rtl/>
        </w:rPr>
        <w:t>راهبرد</w:t>
      </w:r>
      <w:r w:rsidRPr="0025250D">
        <w:rPr>
          <w:rFonts w:hint="cs"/>
          <w:rtl/>
        </w:rPr>
        <w:t xml:space="preserve"> قابل ترقی و گسترش به مقیاس بیش‌تر، مطابق با نظر تیم </w:t>
      </w:r>
      <w:r w:rsidR="00701E03" w:rsidRPr="0025250D">
        <w:rPr>
          <w:rFonts w:hint="cs"/>
          <w:rtl/>
        </w:rPr>
        <w:t>راهبرد</w:t>
      </w:r>
      <w:r w:rsidRPr="0025250D">
        <w:rPr>
          <w:rFonts w:hint="cs"/>
          <w:rtl/>
        </w:rPr>
        <w:t xml:space="preserve"> آن‌ها نبود، اما وقتی </w:t>
      </w:r>
      <w:r w:rsidRPr="0025250D">
        <w:rPr>
          <w:rtl/>
        </w:rPr>
        <w:t>گب</w:t>
      </w:r>
      <w:r w:rsidRPr="0025250D">
        <w:rPr>
          <w:rFonts w:hint="cs"/>
          <w:rtl/>
        </w:rPr>
        <w:t>ی</w:t>
      </w:r>
      <w:r w:rsidRPr="0025250D">
        <w:rPr>
          <w:rFonts w:hint="eastAsia"/>
          <w:rtl/>
        </w:rPr>
        <w:t>ا</w:t>
      </w:r>
      <w:r w:rsidRPr="0025250D">
        <w:rPr>
          <w:rFonts w:hint="cs"/>
          <w:rtl/>
        </w:rPr>
        <w:t xml:space="preserve"> این آزمایش را انجام داد، خیلی زود نشان داد که رزرو اقامتگاه در خانه‌هایی با تصاویر بهتر دو برابر بودند. این امر این نکته را</w:t>
      </w:r>
      <w:r w:rsidR="00362EF3" w:rsidRPr="0025250D">
        <w:rPr>
          <w:rFonts w:hint="cs"/>
          <w:rtl/>
        </w:rPr>
        <w:t xml:space="preserve"> از ابتدا مشخص کرد</w:t>
      </w:r>
      <w:r w:rsidRPr="0025250D">
        <w:rPr>
          <w:rFonts w:hint="cs"/>
          <w:rtl/>
        </w:rPr>
        <w:t xml:space="preserve"> که عکس‌های خوب برای خدمات آن‌ها محوری هستند. این آزمایش ممکن است حتی شرکت را در آسیب پذیر‌ترین</w:t>
      </w:r>
      <w:r w:rsidR="008D6F97" w:rsidRPr="0025250D">
        <w:rPr>
          <w:rtl/>
        </w:rPr>
        <w:t xml:space="preserve"> </w:t>
      </w:r>
      <w:r w:rsidRPr="0025250D">
        <w:rPr>
          <w:rFonts w:hint="cs"/>
          <w:rtl/>
        </w:rPr>
        <w:t>مرحله</w:t>
      </w:r>
      <w:r w:rsidR="00362EF3" w:rsidRPr="0025250D">
        <w:rPr>
          <w:rFonts w:hint="cs"/>
          <w:rtl/>
        </w:rPr>
        <w:t>‌</w:t>
      </w:r>
      <w:r w:rsidRPr="0025250D">
        <w:rPr>
          <w:rFonts w:hint="cs"/>
          <w:rtl/>
        </w:rPr>
        <w:t xml:space="preserve">اش حفظ کرده باشد. تفکر طراحی دائمی می‌تواند برای استارتاپ‌ها که بسیاری از آن‌ها باید در ابتدا اغلب تغییرات زیادی داشته باشند تا نقطه ضعف‌ها، </w:t>
      </w:r>
      <w:r w:rsidR="00923DDB" w:rsidRPr="0025250D">
        <w:rPr>
          <w:rFonts w:hint="cs"/>
          <w:rtl/>
        </w:rPr>
        <w:t>راه‌حل</w:t>
      </w:r>
      <w:r w:rsidRPr="0025250D">
        <w:rPr>
          <w:rFonts w:hint="cs"/>
          <w:rtl/>
        </w:rPr>
        <w:t xml:space="preserve">‌ها، مشتریان و مدل‌های </w:t>
      </w:r>
      <w:r w:rsidR="00B124DE" w:rsidRPr="0025250D">
        <w:rPr>
          <w:rFonts w:hint="cs"/>
          <w:rtl/>
        </w:rPr>
        <w:t>کسب‌و‌کار</w:t>
      </w:r>
      <w:r w:rsidRPr="0025250D">
        <w:rPr>
          <w:rFonts w:hint="cs"/>
          <w:rtl/>
        </w:rPr>
        <w:t xml:space="preserve"> صحیح را بیابند، حیاتی باشد</w:t>
      </w:r>
      <w:r w:rsidR="008D6F97" w:rsidRPr="0025250D">
        <w:rPr>
          <w:rtl/>
        </w:rPr>
        <w:t xml:space="preserve">؛ </w:t>
      </w:r>
      <w:r w:rsidRPr="0025250D">
        <w:rPr>
          <w:rFonts w:hint="cs"/>
          <w:rtl/>
        </w:rPr>
        <w:t>اما هر کسی می‌تواند از آن استفاده کند.</w:t>
      </w:r>
    </w:p>
    <w:p w14:paraId="0C6C9134" w14:textId="74B5DF8B" w:rsidR="00537CC8" w:rsidRPr="0025250D" w:rsidRDefault="00537CC8" w:rsidP="00537CC8">
      <w:pPr>
        <w:rPr>
          <w:rtl/>
        </w:rPr>
      </w:pPr>
      <w:r w:rsidRPr="0025250D">
        <w:rPr>
          <w:rFonts w:hint="cs"/>
          <w:rtl/>
        </w:rPr>
        <w:t>بسیاری از سازمان‌ها، از استارتاپ‌های کوچک گرفته تا غول‌های تجاری مانند آزمایشگاه‌های بل</w:t>
      </w:r>
      <w:r w:rsidRPr="0025250D">
        <w:rPr>
          <w:vertAlign w:val="superscript"/>
          <w:rtl/>
        </w:rPr>
        <w:footnoteReference w:id="1754"/>
      </w:r>
      <w:r w:rsidRPr="0025250D">
        <w:rPr>
          <w:rFonts w:hint="cs"/>
          <w:rtl/>
        </w:rPr>
        <w:t xml:space="preserve"> شرکت ای‌تی‌اندتی</w:t>
      </w:r>
      <w:r w:rsidRPr="0025250D">
        <w:rPr>
          <w:vertAlign w:val="superscript"/>
          <w:rtl/>
        </w:rPr>
        <w:footnoteReference w:id="1755"/>
      </w:r>
      <w:r w:rsidRPr="0025250D">
        <w:rPr>
          <w:rFonts w:hint="cs"/>
          <w:rtl/>
        </w:rPr>
        <w:t xml:space="preserve">، </w:t>
      </w:r>
      <w:r w:rsidRPr="0025250D">
        <w:rPr>
          <w:rtl/>
        </w:rPr>
        <w:t>بوئ</w:t>
      </w:r>
      <w:r w:rsidRPr="0025250D">
        <w:rPr>
          <w:rFonts w:hint="cs"/>
          <w:rtl/>
        </w:rPr>
        <w:t>ی</w:t>
      </w:r>
      <w:r w:rsidRPr="0025250D">
        <w:rPr>
          <w:rFonts w:hint="eastAsia"/>
          <w:rtl/>
        </w:rPr>
        <w:t>نگ</w:t>
      </w:r>
      <w:r w:rsidRPr="0025250D">
        <w:rPr>
          <w:vertAlign w:val="superscript"/>
          <w:rtl/>
        </w:rPr>
        <w:footnoteReference w:id="1756"/>
      </w:r>
      <w:r w:rsidRPr="0025250D">
        <w:rPr>
          <w:rFonts w:hint="cs"/>
          <w:rtl/>
        </w:rPr>
        <w:t xml:space="preserve"> و </w:t>
      </w:r>
      <w:r w:rsidRPr="0025250D">
        <w:t>DARPA</w:t>
      </w:r>
      <w:r w:rsidRPr="0025250D">
        <w:rPr>
          <w:rFonts w:hint="cs"/>
          <w:rtl/>
        </w:rPr>
        <w:t xml:space="preserve"> در انجام نوآورانه‌ترین</w:t>
      </w:r>
      <w:r w:rsidR="008D6F97" w:rsidRPr="0025250D">
        <w:rPr>
          <w:rtl/>
        </w:rPr>
        <w:t xml:space="preserve"> </w:t>
      </w:r>
      <w:r w:rsidRPr="0025250D">
        <w:rPr>
          <w:rFonts w:hint="cs"/>
          <w:rtl/>
        </w:rPr>
        <w:t xml:space="preserve">تخصص‌های عملی، نوآوری و تحقیق و توسعه بهتر عمل می‌کنند. یک داستان جالب کلاسیک در مورد شرکت بزرگ تصویر برداری یعنی </w:t>
      </w:r>
      <w:r w:rsidRPr="0025250D">
        <w:rPr>
          <w:rtl/>
        </w:rPr>
        <w:t>کداک</w:t>
      </w:r>
      <w:r w:rsidRPr="0025250D">
        <w:rPr>
          <w:vertAlign w:val="superscript"/>
          <w:rtl/>
        </w:rPr>
        <w:footnoteReference w:id="1757"/>
      </w:r>
      <w:r w:rsidRPr="0025250D">
        <w:rPr>
          <w:rFonts w:hint="cs"/>
          <w:rtl/>
        </w:rPr>
        <w:t xml:space="preserve"> وجود دارد. آن‌ها عکاسی دیجیتال را در سال 1975 اختراع کردند. تیم‌های </w:t>
      </w:r>
      <w:r w:rsidR="00701E03" w:rsidRPr="0025250D">
        <w:rPr>
          <w:rFonts w:hint="cs"/>
          <w:rtl/>
        </w:rPr>
        <w:t>راهبرد</w:t>
      </w:r>
      <w:r w:rsidRPr="0025250D">
        <w:rPr>
          <w:rFonts w:hint="cs"/>
          <w:rtl/>
        </w:rPr>
        <w:t xml:space="preserve"> آن‌ها حتی به صورت دوره‌ای مطالعات </w:t>
      </w:r>
      <w:r w:rsidRPr="0025250D">
        <w:rPr>
          <w:rtl/>
        </w:rPr>
        <w:t>آینده‌نگاری</w:t>
      </w:r>
      <w:r w:rsidRPr="0025250D">
        <w:rPr>
          <w:rFonts w:hint="cs"/>
          <w:rtl/>
        </w:rPr>
        <w:t xml:space="preserve"> داخلی خوبی را درمورد آینده این </w:t>
      </w:r>
      <w:r w:rsidR="007A53FD" w:rsidRPr="0025250D">
        <w:rPr>
          <w:rFonts w:hint="cs"/>
          <w:rtl/>
        </w:rPr>
        <w:t>فناوری</w:t>
      </w:r>
      <w:r w:rsidRPr="0025250D">
        <w:rPr>
          <w:rFonts w:hint="cs"/>
          <w:rtl/>
        </w:rPr>
        <w:t xml:space="preserve"> انجام دادند</w:t>
      </w:r>
      <w:r w:rsidR="008D6F97" w:rsidRPr="0025250D">
        <w:rPr>
          <w:rtl/>
        </w:rPr>
        <w:t xml:space="preserve">؛ </w:t>
      </w:r>
      <w:r w:rsidRPr="0025250D">
        <w:rPr>
          <w:rFonts w:hint="cs"/>
          <w:rtl/>
        </w:rPr>
        <w:t xml:space="preserve">اما با این وجود، آن‌ها نتوانستند این </w:t>
      </w:r>
      <w:r w:rsidRPr="0025250D">
        <w:rPr>
          <w:rtl/>
        </w:rPr>
        <w:t>آینده‌نگاری</w:t>
      </w:r>
      <w:r w:rsidRPr="0025250D">
        <w:rPr>
          <w:rFonts w:hint="cs"/>
          <w:rtl/>
        </w:rPr>
        <w:t xml:space="preserve"> را به عمل تبدیل کنند. رهبران ارشد آن‌ها </w:t>
      </w:r>
      <w:r w:rsidR="008F0DD8" w:rsidRPr="0025250D">
        <w:rPr>
          <w:rFonts w:hint="cs"/>
          <w:rtl/>
        </w:rPr>
        <w:t>آن‌قدر</w:t>
      </w:r>
      <w:r w:rsidRPr="0025250D">
        <w:rPr>
          <w:rFonts w:hint="cs"/>
          <w:rtl/>
        </w:rPr>
        <w:t xml:space="preserve"> بر محصول ثمر بخش خود یعنی فیلم</w:t>
      </w:r>
      <w:r w:rsidRPr="0025250D">
        <w:rPr>
          <w:vertAlign w:val="superscript"/>
          <w:rtl/>
        </w:rPr>
        <w:footnoteReference w:id="1758"/>
      </w:r>
      <w:r w:rsidRPr="0025250D">
        <w:rPr>
          <w:rFonts w:hint="cs"/>
          <w:rtl/>
        </w:rPr>
        <w:t xml:space="preserve"> متمرکز بودند که توانایی تغییر نداشتند. حتی افرادی که خطر را می‌دیدند نتوانستند با سیاست‌های تغییر داخلی مستحکم مقابله و مبارزه کنند</w:t>
      </w:r>
      <w:r w:rsidR="008D6F97" w:rsidRPr="0025250D">
        <w:rPr>
          <w:rtl/>
        </w:rPr>
        <w:t xml:space="preserve">؛ </w:t>
      </w:r>
      <w:r w:rsidRPr="0025250D">
        <w:rPr>
          <w:rFonts w:hint="cs"/>
          <w:rtl/>
        </w:rPr>
        <w:t xml:space="preserve">مانند بسیاری از شرکت‌های موفق، </w:t>
      </w:r>
      <w:r w:rsidR="00362EF3" w:rsidRPr="0025250D">
        <w:rPr>
          <w:rFonts w:hint="cs"/>
          <w:rtl/>
        </w:rPr>
        <w:t>کداک</w:t>
      </w:r>
      <w:r w:rsidRPr="0025250D">
        <w:rPr>
          <w:rFonts w:hint="cs"/>
          <w:rtl/>
        </w:rPr>
        <w:t xml:space="preserve"> به شکل فزاینده‌ای با رشد اندازه و بروکراسی خود </w:t>
      </w:r>
      <w:r w:rsidR="00795397" w:rsidRPr="0025250D">
        <w:rPr>
          <w:rFonts w:hint="cs"/>
          <w:rtl/>
        </w:rPr>
        <w:t>انعطاف‌پذیر</w:t>
      </w:r>
      <w:r w:rsidRPr="0025250D">
        <w:rPr>
          <w:rFonts w:hint="cs"/>
          <w:rtl/>
        </w:rPr>
        <w:t>ی خود را از دست داد.</w:t>
      </w:r>
    </w:p>
    <w:p w14:paraId="3C0B2DC4" w14:textId="57763574" w:rsidR="00537CC8" w:rsidRPr="0025250D" w:rsidRDefault="00537CC8" w:rsidP="00362EF3">
      <w:pPr>
        <w:rPr>
          <w:rtl/>
        </w:rPr>
      </w:pPr>
      <w:r w:rsidRPr="0025250D">
        <w:rPr>
          <w:rtl/>
        </w:rPr>
        <w:t>کداک</w:t>
      </w:r>
      <w:r w:rsidRPr="0025250D">
        <w:rPr>
          <w:rFonts w:hint="cs"/>
          <w:rtl/>
        </w:rPr>
        <w:t xml:space="preserve">، با آغاز از دهه 1970، می‌توانست به راحتی مشتریان پذیرایی برای عکس‌های دیجیتال، برای مثال، در جوامع اطلاعاتی و دفاعی بیابد. این مشتریان می‌توانستند از تصاویر دیجیتالی تکی و گرانقیمت آن زمان، با توجه به مزایایی که پایگاه‌های داده توزیع شده چنین عکس‌هایی ارائه می‌دادند، راضی باشند. برای مثال، </w:t>
      </w:r>
      <w:r w:rsidRPr="0025250D">
        <w:rPr>
          <w:rtl/>
        </w:rPr>
        <w:t>مرکز مل</w:t>
      </w:r>
      <w:r w:rsidRPr="0025250D">
        <w:rPr>
          <w:rFonts w:hint="cs"/>
          <w:rtl/>
        </w:rPr>
        <w:t>ی</w:t>
      </w:r>
      <w:r w:rsidRPr="0025250D">
        <w:rPr>
          <w:rtl/>
        </w:rPr>
        <w:t xml:space="preserve"> اطلاعات جرا</w:t>
      </w:r>
      <w:r w:rsidRPr="0025250D">
        <w:rPr>
          <w:rFonts w:hint="cs"/>
          <w:rtl/>
        </w:rPr>
        <w:t>ی</w:t>
      </w:r>
      <w:r w:rsidRPr="0025250D">
        <w:rPr>
          <w:rFonts w:hint="eastAsia"/>
          <w:rtl/>
        </w:rPr>
        <w:t>م</w:t>
      </w:r>
      <w:r w:rsidRPr="0025250D">
        <w:rPr>
          <w:vertAlign w:val="superscript"/>
          <w:rtl/>
        </w:rPr>
        <w:footnoteReference w:id="1759"/>
      </w:r>
      <w:r w:rsidRPr="0025250D">
        <w:rPr>
          <w:rFonts w:hint="cs"/>
          <w:rtl/>
        </w:rPr>
        <w:t xml:space="preserve"> (</w:t>
      </w:r>
      <w:r w:rsidRPr="0025250D">
        <w:t>NCIC</w:t>
      </w:r>
      <w:r w:rsidRPr="0025250D">
        <w:rPr>
          <w:rFonts w:hint="cs"/>
          <w:rtl/>
        </w:rPr>
        <w:t xml:space="preserve">) در سال 1967 ایجاد شد، 20 سال قبل از اینترنت. با کسب تجربه و پیشروی </w:t>
      </w:r>
      <w:r w:rsidRPr="0025250D">
        <w:rPr>
          <w:rtl/>
        </w:rPr>
        <w:t>کداک</w:t>
      </w:r>
      <w:r w:rsidRPr="0025250D">
        <w:rPr>
          <w:rFonts w:hint="cs"/>
          <w:rtl/>
        </w:rPr>
        <w:t xml:space="preserve"> بر روی منحنی تجربه در تولید عکس‌های دیجیتال، کار با آن‌ها و ذخیره سازی آن‌ها، کاربردهای تجاری ارزان‌تر متعددی می‌توانستند پدیدار شوند</w:t>
      </w:r>
      <w:r w:rsidR="008D6F97" w:rsidRPr="0025250D">
        <w:rPr>
          <w:rtl/>
        </w:rPr>
        <w:t xml:space="preserve">؛ </w:t>
      </w:r>
      <w:r w:rsidRPr="0025250D">
        <w:rPr>
          <w:rFonts w:hint="cs"/>
          <w:rtl/>
        </w:rPr>
        <w:t xml:space="preserve">اما </w:t>
      </w:r>
      <w:r w:rsidRPr="0025250D">
        <w:rPr>
          <w:rtl/>
        </w:rPr>
        <w:t>کداک</w:t>
      </w:r>
      <w:r w:rsidR="00EE4B64" w:rsidRPr="0025250D">
        <w:rPr>
          <w:rFonts w:hint="cs"/>
          <w:rtl/>
        </w:rPr>
        <w:t xml:space="preserve"> نمی‌</w:t>
      </w:r>
      <w:r w:rsidRPr="0025250D">
        <w:rPr>
          <w:rFonts w:hint="cs"/>
          <w:rtl/>
        </w:rPr>
        <w:t xml:space="preserve">توانست خود را متحول و مختل سازد. موفقیت گذشته آن‌ها با </w:t>
      </w:r>
      <w:r w:rsidR="007A53FD" w:rsidRPr="0025250D">
        <w:rPr>
          <w:rFonts w:hint="cs"/>
          <w:rtl/>
        </w:rPr>
        <w:t>فناوری</w:t>
      </w:r>
      <w:r w:rsidRPr="0025250D">
        <w:rPr>
          <w:rFonts w:hint="cs"/>
          <w:rtl/>
        </w:rPr>
        <w:t xml:space="preserve"> موجود مانع دیدن و عملکرد مناسب درمورد </w:t>
      </w:r>
      <w:r w:rsidR="007A53FD" w:rsidRPr="0025250D">
        <w:rPr>
          <w:rFonts w:hint="cs"/>
          <w:rtl/>
        </w:rPr>
        <w:t>فناوری</w:t>
      </w:r>
      <w:r w:rsidRPr="0025250D">
        <w:rPr>
          <w:rFonts w:hint="cs"/>
          <w:rtl/>
        </w:rPr>
        <w:t xml:space="preserve"> جدید</w:t>
      </w:r>
      <w:r w:rsidR="00362EF3" w:rsidRPr="0025250D">
        <w:rPr>
          <w:rFonts w:hint="cs"/>
          <w:rtl/>
        </w:rPr>
        <w:t>ی که به زودی از فناوری‌های گذشته پیشی گرفتند</w:t>
      </w:r>
      <w:r w:rsidRPr="0025250D">
        <w:rPr>
          <w:rFonts w:hint="cs"/>
          <w:rtl/>
        </w:rPr>
        <w:t xml:space="preserve"> شد. این دو راهی کلاسیک نوآوران</w:t>
      </w:r>
      <w:r w:rsidR="008D6F97" w:rsidRPr="0025250D">
        <w:rPr>
          <w:rtl/>
        </w:rPr>
        <w:t xml:space="preserve"> </w:t>
      </w:r>
      <w:r w:rsidRPr="0025250D">
        <w:rPr>
          <w:rFonts w:hint="cs"/>
          <w:rtl/>
        </w:rPr>
        <w:t xml:space="preserve">است که به خوبی در کتاب دو راهی نوآوران: زمانی که </w:t>
      </w:r>
      <w:r w:rsidR="007A53FD" w:rsidRPr="0025250D">
        <w:rPr>
          <w:rFonts w:hint="cs"/>
          <w:rtl/>
        </w:rPr>
        <w:t>فناوری</w:t>
      </w:r>
      <w:r w:rsidRPr="0025250D">
        <w:rPr>
          <w:rFonts w:hint="cs"/>
          <w:rtl/>
        </w:rPr>
        <w:t>‌های جدید سبب شکست خوردن شرکت‌های بزرگ می‌شوند</w:t>
      </w:r>
      <w:r w:rsidRPr="0025250D">
        <w:rPr>
          <w:vertAlign w:val="superscript"/>
          <w:rtl/>
        </w:rPr>
        <w:footnoteReference w:id="1760"/>
      </w:r>
      <w:r w:rsidRPr="0025250D">
        <w:rPr>
          <w:rFonts w:hint="cs"/>
          <w:rtl/>
        </w:rPr>
        <w:t xml:space="preserve"> اثر </w:t>
      </w:r>
      <w:r w:rsidRPr="0025250D">
        <w:rPr>
          <w:rtl/>
        </w:rPr>
        <w:t>کل</w:t>
      </w:r>
      <w:r w:rsidRPr="0025250D">
        <w:rPr>
          <w:rFonts w:hint="cs"/>
          <w:rtl/>
        </w:rPr>
        <w:t>ی</w:t>
      </w:r>
      <w:r w:rsidRPr="0025250D">
        <w:rPr>
          <w:rtl/>
        </w:rPr>
        <w:t xml:space="preserve"> کر</w:t>
      </w:r>
      <w:r w:rsidRPr="0025250D">
        <w:rPr>
          <w:rFonts w:hint="cs"/>
          <w:rtl/>
        </w:rPr>
        <w:t>ی</w:t>
      </w:r>
      <w:r w:rsidRPr="0025250D">
        <w:rPr>
          <w:rFonts w:hint="eastAsia"/>
          <w:rtl/>
        </w:rPr>
        <w:t>ستنسن</w:t>
      </w:r>
      <w:r w:rsidRPr="0025250D">
        <w:rPr>
          <w:rFonts w:hint="cs"/>
          <w:rtl/>
        </w:rPr>
        <w:t xml:space="preserve"> در سال 1997/2013 به خوبی توصیف شده است. آن‌ها به یک ظرفیت کارآفرینی سازمانی که در شرکت‌های بزرگ نادر است، نیاز داشتند.</w:t>
      </w:r>
    </w:p>
    <w:p w14:paraId="13E782AF" w14:textId="77777777" w:rsidR="00537CC8" w:rsidRPr="0025250D" w:rsidRDefault="00537CC8" w:rsidP="00537CC8">
      <w:pPr>
        <w:rPr>
          <w:rtl/>
        </w:rPr>
      </w:pPr>
      <w:r w:rsidRPr="0025250D">
        <w:rPr>
          <w:rFonts w:hint="cs"/>
          <w:rtl/>
        </w:rPr>
        <w:t xml:space="preserve">در نتیجه، رقبای چابک‌تر، کوچک‌تر و نوآور تری مانند </w:t>
      </w:r>
      <w:r w:rsidRPr="0025250D">
        <w:rPr>
          <w:rtl/>
        </w:rPr>
        <w:t>فوج</w:t>
      </w:r>
      <w:r w:rsidRPr="0025250D">
        <w:rPr>
          <w:rFonts w:hint="cs"/>
          <w:rtl/>
        </w:rPr>
        <w:t>ی</w:t>
      </w:r>
      <w:r w:rsidRPr="0025250D">
        <w:rPr>
          <w:vertAlign w:val="superscript"/>
          <w:rtl/>
        </w:rPr>
        <w:footnoteReference w:id="1761"/>
      </w:r>
      <w:r w:rsidRPr="0025250D">
        <w:rPr>
          <w:rFonts w:hint="cs"/>
          <w:rtl/>
        </w:rPr>
        <w:t xml:space="preserve"> که آن‌ها نیز کار خود را با صنعت فیلم شروع کردند، سهم </w:t>
      </w:r>
      <w:r w:rsidRPr="0025250D">
        <w:rPr>
          <w:rtl/>
        </w:rPr>
        <w:t>کداک</w:t>
      </w:r>
      <w:r w:rsidRPr="0025250D">
        <w:rPr>
          <w:rFonts w:hint="cs"/>
          <w:rtl/>
        </w:rPr>
        <w:t xml:space="preserve"> از بازار را در اختیار گرفتند. از ابتدا، </w:t>
      </w:r>
      <w:r w:rsidRPr="0025250D">
        <w:rPr>
          <w:rtl/>
        </w:rPr>
        <w:t>فوج</w:t>
      </w:r>
      <w:r w:rsidRPr="0025250D">
        <w:rPr>
          <w:rFonts w:hint="cs"/>
          <w:rtl/>
        </w:rPr>
        <w:t xml:space="preserve">ی یک تمرکز قوی بر تحقیق و توسعه داشت، آن‌ها به خوبی برای استعداد‌ها هزینه می‌کردند و یک فرهنگ </w:t>
      </w:r>
      <w:r w:rsidRPr="0025250D">
        <w:rPr>
          <w:rtl/>
        </w:rPr>
        <w:t>آینده‌نگاری</w:t>
      </w:r>
      <w:r w:rsidRPr="0025250D">
        <w:rPr>
          <w:rFonts w:hint="cs"/>
          <w:rtl/>
        </w:rPr>
        <w:t xml:space="preserve"> تقویت شده با فلسفه</w:t>
      </w:r>
      <w:r w:rsidRPr="0025250D">
        <w:rPr>
          <w:rtl/>
        </w:rPr>
        <w:t xml:space="preserve"> </w:t>
      </w:r>
      <w:r w:rsidRPr="0025250D">
        <w:rPr>
          <w:rFonts w:hint="cs"/>
          <w:rtl/>
        </w:rPr>
        <w:t xml:space="preserve">پیشرفت دائمی </w:t>
      </w:r>
      <w:r w:rsidRPr="0025250D">
        <w:rPr>
          <w:rtl/>
        </w:rPr>
        <w:t>کا</w:t>
      </w:r>
      <w:r w:rsidRPr="0025250D">
        <w:rPr>
          <w:rFonts w:hint="cs"/>
          <w:rtl/>
        </w:rPr>
        <w:t>ی</w:t>
      </w:r>
      <w:r w:rsidRPr="0025250D">
        <w:rPr>
          <w:rFonts w:hint="eastAsia"/>
          <w:rtl/>
        </w:rPr>
        <w:t>زن</w:t>
      </w:r>
      <w:r w:rsidRPr="0025250D">
        <w:rPr>
          <w:rFonts w:hint="cs"/>
          <w:rtl/>
        </w:rPr>
        <w:t xml:space="preserve"> داشتند. </w:t>
      </w:r>
      <w:r w:rsidRPr="0025250D">
        <w:rPr>
          <w:rtl/>
        </w:rPr>
        <w:t>کداک</w:t>
      </w:r>
      <w:r w:rsidRPr="0025250D">
        <w:rPr>
          <w:rFonts w:hint="cs"/>
          <w:rtl/>
        </w:rPr>
        <w:t xml:space="preserve"> درنهایت درسال 2012 از هم پاشید. </w:t>
      </w:r>
      <w:r w:rsidRPr="0025250D">
        <w:rPr>
          <w:rtl/>
        </w:rPr>
        <w:t>فوج</w:t>
      </w:r>
      <w:r w:rsidRPr="0025250D">
        <w:rPr>
          <w:rFonts w:hint="cs"/>
          <w:rtl/>
        </w:rPr>
        <w:t>ی به شدت تا به امروز نوآور بوده است، حتی با این که به یک شرکت چند میلیون دلاری رشد کرده است.</w:t>
      </w:r>
    </w:p>
    <w:p w14:paraId="338D3C2E" w14:textId="60E3C4AE" w:rsidR="00537CC8" w:rsidRPr="0025250D" w:rsidRDefault="00537CC8" w:rsidP="00537CC8">
      <w:pPr>
        <w:rPr>
          <w:rtl/>
        </w:rPr>
      </w:pPr>
      <w:r w:rsidRPr="0025250D">
        <w:rPr>
          <w:rFonts w:hint="cs"/>
          <w:rtl/>
        </w:rPr>
        <w:t xml:space="preserve">فرصت‌های پیشرفت از دست رفته متعدد در عکاسی دیجیتال برای </w:t>
      </w:r>
      <w:r w:rsidRPr="0025250D">
        <w:rPr>
          <w:rtl/>
        </w:rPr>
        <w:t>کداک</w:t>
      </w:r>
      <w:r w:rsidRPr="0025250D">
        <w:rPr>
          <w:rFonts w:hint="cs"/>
          <w:rtl/>
        </w:rPr>
        <w:t xml:space="preserve"> درس خوبی در زمینه چالش‌های نوآوری است. در عکاسی دیجیتال، </w:t>
      </w:r>
      <w:r w:rsidRPr="0025250D">
        <w:rPr>
          <w:rtl/>
        </w:rPr>
        <w:t>کداک</w:t>
      </w:r>
      <w:r w:rsidRPr="0025250D">
        <w:rPr>
          <w:rFonts w:hint="cs"/>
          <w:rtl/>
        </w:rPr>
        <w:t xml:space="preserve"> یک اختراع عالی داشت (طراحی، نمونه سازی)</w:t>
      </w:r>
      <w:r w:rsidR="008D6F97" w:rsidRPr="0025250D">
        <w:rPr>
          <w:rtl/>
        </w:rPr>
        <w:t xml:space="preserve"> </w:t>
      </w:r>
      <w:r w:rsidRPr="0025250D">
        <w:rPr>
          <w:rFonts w:hint="cs"/>
          <w:rtl/>
        </w:rPr>
        <w:t xml:space="preserve">که نتوانست آن را به یک نوآوری تبدیل کند (یک محصول جدید یا خدمتی که مشتریان کافی برای موفقیت تجاری بیابد). آن‌ها </w:t>
      </w:r>
      <w:r w:rsidRPr="0025250D">
        <w:rPr>
          <w:rtl/>
        </w:rPr>
        <w:t>آینده‌نگاری</w:t>
      </w:r>
      <w:r w:rsidRPr="0025250D">
        <w:rPr>
          <w:rFonts w:hint="cs"/>
          <w:rtl/>
        </w:rPr>
        <w:t xml:space="preserve"> پیش انگار</w:t>
      </w:r>
      <w:r w:rsidRPr="0025250D">
        <w:rPr>
          <w:vertAlign w:val="superscript"/>
          <w:rtl/>
        </w:rPr>
        <w:footnoteReference w:id="1762"/>
      </w:r>
      <w:r w:rsidRPr="0025250D">
        <w:rPr>
          <w:rFonts w:hint="cs"/>
          <w:rtl/>
        </w:rPr>
        <w:t xml:space="preserve"> لازم برای دیدن آن را داشتند، اما فرهنگ یا </w:t>
      </w:r>
      <w:r w:rsidR="00701E03" w:rsidRPr="0025250D">
        <w:rPr>
          <w:rFonts w:hint="cs"/>
          <w:rtl/>
        </w:rPr>
        <w:t>راهبرد</w:t>
      </w:r>
      <w:r w:rsidRPr="0025250D">
        <w:rPr>
          <w:rFonts w:hint="cs"/>
          <w:rtl/>
        </w:rPr>
        <w:t xml:space="preserve"> سازمانی لازم برای </w:t>
      </w:r>
      <w:r w:rsidR="00B453C0" w:rsidRPr="0025250D">
        <w:rPr>
          <w:rFonts w:hint="cs"/>
          <w:rtl/>
        </w:rPr>
        <w:t>امکان‌پذیر</w:t>
      </w:r>
      <w:r w:rsidRPr="0025250D">
        <w:rPr>
          <w:rFonts w:hint="cs"/>
          <w:rtl/>
        </w:rPr>
        <w:t xml:space="preserve"> کردن تجزیه و چینش مجدد اجزاء </w:t>
      </w:r>
      <w:r w:rsidR="00B124DE" w:rsidRPr="0025250D">
        <w:rPr>
          <w:rFonts w:hint="cs"/>
          <w:rtl/>
        </w:rPr>
        <w:t>کسب‌و‌کار</w:t>
      </w:r>
      <w:r w:rsidRPr="0025250D">
        <w:rPr>
          <w:rFonts w:hint="cs"/>
          <w:rtl/>
        </w:rPr>
        <w:t xml:space="preserve"> فیلم غالب خود را نداشتند. ما در نقاط مختلفی در این کتاب مجددا به دوراهی نوآوران خواهیم پرداخت. ما به هر هشت مهارت برای فراتر بردن یک تیم رهبری از </w:t>
      </w:r>
      <w:r w:rsidR="00923DDB" w:rsidRPr="0025250D">
        <w:rPr>
          <w:rtl/>
        </w:rPr>
        <w:t>پیش‌انگاری</w:t>
      </w:r>
      <w:r w:rsidRPr="0025250D">
        <w:t xml:space="preserve"> </w:t>
      </w:r>
      <w:r w:rsidRPr="0025250D">
        <w:rPr>
          <w:rFonts w:hint="cs"/>
          <w:rtl/>
        </w:rPr>
        <w:t xml:space="preserve">خوب که </w:t>
      </w:r>
      <w:r w:rsidRPr="0025250D">
        <w:rPr>
          <w:rtl/>
        </w:rPr>
        <w:t>کداک</w:t>
      </w:r>
      <w:r w:rsidRPr="0025250D">
        <w:rPr>
          <w:rFonts w:hint="cs"/>
          <w:rtl/>
        </w:rPr>
        <w:t xml:space="preserve"> آن را داشت و رساندن آن به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که می‌توانست یک </w:t>
      </w:r>
      <w:r w:rsidR="00701E03" w:rsidRPr="0025250D">
        <w:rPr>
          <w:rFonts w:hint="cs"/>
          <w:rtl/>
        </w:rPr>
        <w:t>راهبرد</w:t>
      </w:r>
      <w:r w:rsidRPr="0025250D">
        <w:rPr>
          <w:rFonts w:hint="cs"/>
          <w:rtl/>
        </w:rPr>
        <w:t xml:space="preserve"> مؤثر، مانند دنبال کردن </w:t>
      </w:r>
      <w:r w:rsidRPr="0025250D">
        <w:t>NCIC</w:t>
      </w:r>
      <w:r w:rsidRPr="0025250D">
        <w:rPr>
          <w:rFonts w:hint="cs"/>
          <w:rtl/>
        </w:rPr>
        <w:t xml:space="preserve"> به‌عنوان یک مشتری پذیرنده اولیه باشد و بعدها، </w:t>
      </w:r>
      <w:r w:rsidR="00923DDB" w:rsidRPr="0025250D">
        <w:rPr>
          <w:rtl/>
        </w:rPr>
        <w:t>آینده‌نگاری انطباقی</w:t>
      </w:r>
      <w:r w:rsidRPr="0025250D">
        <w:rPr>
          <w:rFonts w:hint="cs"/>
          <w:rtl/>
        </w:rPr>
        <w:t xml:space="preserve"> که به </w:t>
      </w:r>
      <w:r w:rsidRPr="0025250D">
        <w:rPr>
          <w:rtl/>
        </w:rPr>
        <w:t>کداک</w:t>
      </w:r>
      <w:r w:rsidRPr="0025250D">
        <w:rPr>
          <w:rFonts w:hint="cs"/>
          <w:rtl/>
        </w:rPr>
        <w:t xml:space="preserve"> برای ترقی بلند مدت کمک می‌کرد، نیاز داریم.</w:t>
      </w:r>
    </w:p>
    <w:p w14:paraId="4C4A8AED" w14:textId="0B1A7070" w:rsidR="00537CC8" w:rsidRPr="0025250D" w:rsidRDefault="00537CC8" w:rsidP="00537CC8">
      <w:pPr>
        <w:rPr>
          <w:rtl/>
        </w:rPr>
      </w:pPr>
      <w:r w:rsidRPr="0025250D">
        <w:rPr>
          <w:rFonts w:hint="cs"/>
          <w:rtl/>
        </w:rPr>
        <w:t xml:space="preserve">به‌عنوان چند توصیه عملی برای موفقیت در نوآوری، ما کتاب </w:t>
      </w:r>
      <w:r w:rsidR="008202E6" w:rsidRPr="0025250D">
        <w:rPr>
          <w:rtl/>
        </w:rPr>
        <w:t>«</w:t>
      </w:r>
      <w:r w:rsidRPr="0025250D">
        <w:rPr>
          <w:rFonts w:hint="cs"/>
          <w:rtl/>
        </w:rPr>
        <w:t>ده چهره نوآوری</w:t>
      </w:r>
      <w:r w:rsidRPr="0025250D">
        <w:rPr>
          <w:vertAlign w:val="superscript"/>
          <w:rtl/>
        </w:rPr>
        <w:footnoteReference w:id="1763"/>
      </w:r>
      <w:r w:rsidR="008202E6" w:rsidRPr="0025250D">
        <w:rPr>
          <w:rtl/>
        </w:rPr>
        <w:t>»</w:t>
      </w:r>
      <w:r w:rsidRPr="0025250D">
        <w:rPr>
          <w:rFonts w:hint="cs"/>
          <w:rtl/>
        </w:rPr>
        <w:t xml:space="preserve"> اثر </w:t>
      </w:r>
      <w:r w:rsidRPr="0025250D">
        <w:rPr>
          <w:rtl/>
        </w:rPr>
        <w:t>کل</w:t>
      </w:r>
      <w:r w:rsidRPr="0025250D">
        <w:rPr>
          <w:rFonts w:hint="cs"/>
          <w:rtl/>
        </w:rPr>
        <w:t>ی</w:t>
      </w:r>
      <w:r w:rsidRPr="0025250D">
        <w:rPr>
          <w:vertAlign w:val="superscript"/>
          <w:rtl/>
        </w:rPr>
        <w:footnoteReference w:id="1764"/>
      </w:r>
      <w:r w:rsidRPr="0025250D">
        <w:rPr>
          <w:rFonts w:hint="cs"/>
          <w:rtl/>
        </w:rPr>
        <w:t xml:space="preserve"> و </w:t>
      </w:r>
      <w:r w:rsidRPr="0025250D">
        <w:rPr>
          <w:rtl/>
        </w:rPr>
        <w:t>ل</w:t>
      </w:r>
      <w:r w:rsidRPr="0025250D">
        <w:rPr>
          <w:rFonts w:hint="cs"/>
          <w:rtl/>
        </w:rPr>
        <w:t>ی</w:t>
      </w:r>
      <w:r w:rsidRPr="0025250D">
        <w:rPr>
          <w:rFonts w:hint="eastAsia"/>
          <w:rtl/>
        </w:rPr>
        <w:t>تمن</w:t>
      </w:r>
      <w:r w:rsidRPr="0025250D">
        <w:rPr>
          <w:vertAlign w:val="superscript"/>
          <w:rtl/>
        </w:rPr>
        <w:footnoteReference w:id="1765"/>
      </w:r>
      <w:r w:rsidRPr="0025250D">
        <w:rPr>
          <w:rFonts w:hint="cs"/>
          <w:rtl/>
        </w:rPr>
        <w:t xml:space="preserve"> در سال 2006 و نیز نویسندگان </w:t>
      </w:r>
      <w:r w:rsidRPr="0025250D">
        <w:t>IDEO</w:t>
      </w:r>
      <w:r w:rsidRPr="0025250D">
        <w:rPr>
          <w:rFonts w:hint="cs"/>
          <w:rtl/>
        </w:rPr>
        <w:t xml:space="preserve"> را پیشنهاد می‌کنیم. این نویسندگان منابع انسانی و فرایندی که به رهبران برای غلبه بر مقاومت داخلی برای ایجاد </w:t>
      </w:r>
      <w:r w:rsidR="00923DDB" w:rsidRPr="0025250D">
        <w:rPr>
          <w:rFonts w:hint="cs"/>
          <w:rtl/>
        </w:rPr>
        <w:t>راه‌حل</w:t>
      </w:r>
      <w:r w:rsidRPr="0025250D">
        <w:rPr>
          <w:rFonts w:hint="cs"/>
          <w:rtl/>
        </w:rPr>
        <w:t xml:space="preserve">‌ها کمک می‌کنند را بررسی می‌کنند. آن‌ها انواع مشخصی از افراد، از جمله انسان شناسان (داده‌هایی درمورد رفتار و علایق مشتری </w:t>
      </w:r>
      <w:r w:rsidR="00B124DE" w:rsidRPr="0025250D">
        <w:rPr>
          <w:rFonts w:hint="cs"/>
          <w:rtl/>
        </w:rPr>
        <w:t>جمع‌آوری</w:t>
      </w:r>
      <w:r w:rsidRPr="0025250D">
        <w:rPr>
          <w:rFonts w:hint="cs"/>
          <w:rtl/>
        </w:rPr>
        <w:t xml:space="preserve"> می‌کنند)، </w:t>
      </w:r>
      <w:r w:rsidR="00822BD5" w:rsidRPr="0025250D">
        <w:rPr>
          <w:rFonts w:hint="cs"/>
          <w:rtl/>
        </w:rPr>
        <w:t>ایده افشان و ایده پرور</w:t>
      </w:r>
      <w:r w:rsidR="00822BD5" w:rsidRPr="0025250D">
        <w:rPr>
          <w:rStyle w:val="FootnoteReference"/>
          <w:rtl/>
        </w:rPr>
        <w:footnoteReference w:id="1766"/>
      </w:r>
      <w:r w:rsidRPr="0025250D">
        <w:rPr>
          <w:rFonts w:hint="cs"/>
          <w:rtl/>
        </w:rPr>
        <w:t xml:space="preserve"> (ترکیب ایده‌ها و فرایند‌ها میان بخش‌های مختلف) و </w:t>
      </w:r>
      <w:r w:rsidR="00822BD5" w:rsidRPr="0025250D">
        <w:rPr>
          <w:rFonts w:hint="cs"/>
          <w:rtl/>
        </w:rPr>
        <w:t>راه گشا</w:t>
      </w:r>
      <w:r w:rsidR="00822BD5" w:rsidRPr="0025250D">
        <w:rPr>
          <w:rStyle w:val="FootnoteReference"/>
          <w:rtl/>
        </w:rPr>
        <w:footnoteReference w:id="1767"/>
      </w:r>
      <w:r w:rsidRPr="0025250D">
        <w:rPr>
          <w:rFonts w:hint="cs"/>
          <w:rtl/>
        </w:rPr>
        <w:t xml:space="preserve"> (به دنبال راه‌هایی خلاقانه برای دور زدن و عبور از موانع و محدودیت هاست) را دسته بندی می‌کنند که برای تیم‌های نوآوری داخلی موفق ضروری هستند. آن‌ها همچنین مثال‌هایی از نوآوری موفق را از </w:t>
      </w:r>
      <w:r w:rsidRPr="0025250D">
        <w:rPr>
          <w:rtl/>
        </w:rPr>
        <w:t>کرافت</w:t>
      </w:r>
      <w:r w:rsidRPr="0025250D">
        <w:rPr>
          <w:vertAlign w:val="superscript"/>
          <w:rtl/>
        </w:rPr>
        <w:footnoteReference w:id="1768"/>
      </w:r>
      <w:r w:rsidRPr="0025250D">
        <w:rPr>
          <w:rFonts w:hint="cs"/>
          <w:rtl/>
        </w:rPr>
        <w:t xml:space="preserve">، </w:t>
      </w:r>
      <w:r w:rsidRPr="0025250D">
        <w:rPr>
          <w:rtl/>
        </w:rPr>
        <w:t xml:space="preserve">پروکتر </w:t>
      </w:r>
      <w:r w:rsidRPr="0025250D">
        <w:rPr>
          <w:rFonts w:hint="cs"/>
          <w:rtl/>
        </w:rPr>
        <w:t>اند</w:t>
      </w:r>
      <w:r w:rsidRPr="0025250D">
        <w:rPr>
          <w:rtl/>
        </w:rPr>
        <w:t xml:space="preserve"> گمبل</w:t>
      </w:r>
      <w:r w:rsidRPr="0025250D">
        <w:rPr>
          <w:vertAlign w:val="superscript"/>
          <w:rtl/>
        </w:rPr>
        <w:footnoteReference w:id="1769"/>
      </w:r>
      <w:r w:rsidRPr="0025250D">
        <w:rPr>
          <w:rFonts w:hint="cs"/>
          <w:rtl/>
        </w:rPr>
        <w:t>،</w:t>
      </w:r>
      <w:r w:rsidRPr="0025250D">
        <w:t xml:space="preserve"> </w:t>
      </w:r>
      <w:r w:rsidRPr="0025250D">
        <w:rPr>
          <w:rFonts w:hint="cs"/>
          <w:rtl/>
        </w:rPr>
        <w:t>سیف‌وی</w:t>
      </w:r>
      <w:r w:rsidRPr="0025250D">
        <w:rPr>
          <w:vertAlign w:val="superscript"/>
          <w:rtl/>
        </w:rPr>
        <w:footnoteReference w:id="1770"/>
      </w:r>
      <w:r w:rsidRPr="0025250D">
        <w:rPr>
          <w:rFonts w:hint="cs"/>
          <w:rtl/>
        </w:rPr>
        <w:t xml:space="preserve"> و مایو کلینیک</w:t>
      </w:r>
      <w:r w:rsidRPr="0025250D">
        <w:rPr>
          <w:vertAlign w:val="superscript"/>
          <w:rtl/>
        </w:rPr>
        <w:footnoteReference w:id="1771"/>
      </w:r>
      <w:r w:rsidRPr="0025250D">
        <w:rPr>
          <w:rFonts w:hint="cs"/>
          <w:rtl/>
        </w:rPr>
        <w:t xml:space="preserve"> ارائه می‌دهند.</w:t>
      </w:r>
    </w:p>
    <w:p w14:paraId="62C0743F" w14:textId="57C7C4AA" w:rsidR="00537CC8" w:rsidRPr="0025250D" w:rsidRDefault="00537CC8" w:rsidP="00537CC8">
      <w:pPr>
        <w:rPr>
          <w:rtl/>
        </w:rPr>
      </w:pPr>
      <w:r w:rsidRPr="0025250D">
        <w:rPr>
          <w:rFonts w:hint="cs"/>
          <w:rtl/>
        </w:rPr>
        <w:t>کتاب جودوی نوآوری</w:t>
      </w:r>
      <w:r w:rsidRPr="0025250D">
        <w:rPr>
          <w:vertAlign w:val="superscript"/>
          <w:rtl/>
        </w:rPr>
        <w:footnoteReference w:id="1772"/>
      </w:r>
      <w:r w:rsidRPr="0025250D">
        <w:rPr>
          <w:rFonts w:hint="cs"/>
          <w:rtl/>
        </w:rPr>
        <w:t xml:space="preserve"> اثر </w:t>
      </w:r>
      <w:r w:rsidRPr="0025250D">
        <w:rPr>
          <w:rtl/>
        </w:rPr>
        <w:t>ن</w:t>
      </w:r>
      <w:r w:rsidRPr="0025250D">
        <w:rPr>
          <w:rFonts w:hint="cs"/>
          <w:rtl/>
        </w:rPr>
        <w:t>ی</w:t>
      </w:r>
      <w:r w:rsidRPr="0025250D">
        <w:rPr>
          <w:rFonts w:hint="eastAsia"/>
          <w:rtl/>
        </w:rPr>
        <w:t>ل</w:t>
      </w:r>
      <w:r w:rsidRPr="0025250D">
        <w:rPr>
          <w:rtl/>
        </w:rPr>
        <w:t xml:space="preserve"> تورنبر</w:t>
      </w:r>
      <w:r w:rsidRPr="0025250D">
        <w:rPr>
          <w:rFonts w:hint="cs"/>
          <w:rtl/>
        </w:rPr>
        <w:t>ی</w:t>
      </w:r>
      <w:r w:rsidRPr="0025250D">
        <w:rPr>
          <w:vertAlign w:val="superscript"/>
          <w:rtl/>
        </w:rPr>
        <w:footnoteReference w:id="1773"/>
      </w:r>
      <w:r w:rsidRPr="0025250D">
        <w:rPr>
          <w:rFonts w:hint="cs"/>
          <w:rtl/>
        </w:rPr>
        <w:t xml:space="preserve"> در سال 2014 نیز به چالش‌های نوآوری داخلی می‌پردازد. این کتاب راه‌های متعددی را که بازیگران داخلی و خارجی (</w:t>
      </w:r>
      <w:r w:rsidR="008202E6" w:rsidRPr="0025250D">
        <w:rPr>
          <w:rtl/>
        </w:rPr>
        <w:t>«</w:t>
      </w:r>
      <w:r w:rsidRPr="0025250D">
        <w:rPr>
          <w:rtl/>
        </w:rPr>
        <w:t>مسدود کننده ها</w:t>
      </w:r>
      <w:r w:rsidR="008202E6" w:rsidRPr="0025250D">
        <w:rPr>
          <w:rtl/>
        </w:rPr>
        <w:t>»</w:t>
      </w:r>
      <w:r w:rsidRPr="0025250D">
        <w:rPr>
          <w:rFonts w:hint="cs"/>
          <w:rtl/>
        </w:rPr>
        <w:t xml:space="preserve">) به دنبال سرکوب آزمایش‌هایی که می‌توانند قدرت یا فرایند آن‌ها را تهدید کنند و </w:t>
      </w:r>
      <w:r w:rsidR="008202E6" w:rsidRPr="0025250D">
        <w:rPr>
          <w:rtl/>
        </w:rPr>
        <w:t>«</w:t>
      </w:r>
      <w:r w:rsidRPr="0025250D">
        <w:rPr>
          <w:rFonts w:hint="cs"/>
          <w:rtl/>
        </w:rPr>
        <w:t>مهارت‌های جودویی</w:t>
      </w:r>
      <w:r w:rsidR="008202E6" w:rsidRPr="0025250D">
        <w:rPr>
          <w:rtl/>
        </w:rPr>
        <w:t>»</w:t>
      </w:r>
      <w:r w:rsidRPr="0025250D">
        <w:rPr>
          <w:rFonts w:hint="cs"/>
          <w:rtl/>
        </w:rPr>
        <w:t xml:space="preserve"> که نوآوران برای موفقیت به آن‌ها نیاز دارند</w:t>
      </w:r>
      <w:r w:rsidR="002C2EAB" w:rsidRPr="0025250D">
        <w:rPr>
          <w:rFonts w:hint="cs"/>
          <w:rtl/>
        </w:rPr>
        <w:t xml:space="preserve"> را</w:t>
      </w:r>
      <w:r w:rsidRPr="0025250D">
        <w:rPr>
          <w:rFonts w:hint="cs"/>
          <w:rtl/>
        </w:rPr>
        <w:t xml:space="preserve"> بررسی می‌کند. تیم </w:t>
      </w:r>
      <w:r w:rsidRPr="0025250D">
        <w:rPr>
          <w:rtl/>
        </w:rPr>
        <w:t>کرا</w:t>
      </w:r>
      <w:r w:rsidRPr="0025250D">
        <w:rPr>
          <w:rFonts w:hint="cs"/>
          <w:rtl/>
        </w:rPr>
        <w:t>ی</w:t>
      </w:r>
      <w:r w:rsidRPr="0025250D">
        <w:rPr>
          <w:rFonts w:hint="eastAsia"/>
          <w:rtl/>
        </w:rPr>
        <w:t>سلر</w:t>
      </w:r>
      <w:r w:rsidRPr="0025250D">
        <w:rPr>
          <w:vertAlign w:val="superscript"/>
          <w:rtl/>
        </w:rPr>
        <w:footnoteReference w:id="1774"/>
      </w:r>
      <w:r w:rsidRPr="0025250D">
        <w:rPr>
          <w:rFonts w:hint="cs"/>
          <w:rtl/>
        </w:rPr>
        <w:t xml:space="preserve"> که </w:t>
      </w:r>
      <w:r w:rsidRPr="0025250D">
        <w:rPr>
          <w:rtl/>
        </w:rPr>
        <w:t>ج</w:t>
      </w:r>
      <w:r w:rsidRPr="0025250D">
        <w:rPr>
          <w:rFonts w:hint="cs"/>
          <w:rtl/>
        </w:rPr>
        <w:t>ی</w:t>
      </w:r>
      <w:r w:rsidRPr="0025250D">
        <w:rPr>
          <w:rFonts w:hint="eastAsia"/>
          <w:rtl/>
        </w:rPr>
        <w:t>پ</w:t>
      </w:r>
      <w:r w:rsidRPr="0025250D">
        <w:rPr>
          <w:rtl/>
        </w:rPr>
        <w:t xml:space="preserve"> رانگلر روب</w:t>
      </w:r>
      <w:r w:rsidRPr="0025250D">
        <w:rPr>
          <w:rFonts w:hint="cs"/>
          <w:rtl/>
        </w:rPr>
        <w:t>ی</w:t>
      </w:r>
      <w:r w:rsidRPr="0025250D">
        <w:rPr>
          <w:rFonts w:hint="eastAsia"/>
          <w:rtl/>
        </w:rPr>
        <w:t>کون</w:t>
      </w:r>
      <w:r w:rsidRPr="0025250D">
        <w:rPr>
          <w:vertAlign w:val="superscript"/>
          <w:rtl/>
        </w:rPr>
        <w:footnoteReference w:id="1775"/>
      </w:r>
      <w:r w:rsidRPr="0025250D">
        <w:rPr>
          <w:rFonts w:hint="cs"/>
          <w:rtl/>
        </w:rPr>
        <w:t xml:space="preserve"> را در سال 2003 ایجاد کرد یک مطالعه موردی از تاکتیک‌های موفقیت نوآوری در این کتاب است. حتی سازمان‌های دولتی می‌توانند چنین کارهایی را هدایت کنند. برای مثال، در مورد آینده هوش مصنوعی، سازمان تحقیق و توسعه صنایع دفاع آمریکا </w:t>
      </w:r>
      <w:r w:rsidRPr="0025250D">
        <w:t>DARPA</w:t>
      </w:r>
      <w:r w:rsidRPr="0025250D">
        <w:rPr>
          <w:rFonts w:hint="cs"/>
          <w:rtl/>
        </w:rPr>
        <w:t xml:space="preserve"> در حال انجام مطالعاتی ستودنی برای بررسی نیاز رو به رشد ما به هوش مصنوعی قابل توضیح، امن و از نظر آماری قابل اطمینان است. در </w:t>
      </w:r>
      <w:r w:rsidRPr="0025250D">
        <w:t>BPF</w:t>
      </w:r>
      <w:r w:rsidRPr="0025250D">
        <w:rPr>
          <w:rFonts w:hint="cs"/>
          <w:rtl/>
        </w:rPr>
        <w:t xml:space="preserve"> موارد</w:t>
      </w:r>
      <w:r w:rsidR="0008779C" w:rsidRPr="0025250D">
        <w:rPr>
          <w:rFonts w:hint="cs"/>
          <w:rtl/>
        </w:rPr>
        <w:t xml:space="preserve"> بیش‌تر</w:t>
      </w:r>
      <w:r w:rsidRPr="0025250D">
        <w:rPr>
          <w:rFonts w:hint="cs"/>
          <w:rtl/>
        </w:rPr>
        <w:t>ی را درمورد این موضوع مهم خواهیم گفت.</w:t>
      </w:r>
    </w:p>
    <w:p w14:paraId="0C38800A" w14:textId="3BCE6E49" w:rsidR="00537CC8" w:rsidRPr="0025250D" w:rsidRDefault="00537CC8" w:rsidP="00C330B2">
      <w:pPr>
        <w:pStyle w:val="Heading3"/>
        <w:rPr>
          <w:rtl/>
        </w:rPr>
      </w:pPr>
      <w:r w:rsidRPr="0025250D">
        <w:rPr>
          <w:rFonts w:hint="cs"/>
          <w:rtl/>
        </w:rPr>
        <w:t xml:space="preserve">مهارت </w:t>
      </w:r>
      <w:r w:rsidR="00701E03" w:rsidRPr="0025250D">
        <w:rPr>
          <w:rFonts w:hint="cs"/>
          <w:rtl/>
        </w:rPr>
        <w:t>راهبرد</w:t>
      </w:r>
      <w:r w:rsidRPr="0025250D">
        <w:rPr>
          <w:rFonts w:hint="cs"/>
          <w:rtl/>
        </w:rPr>
        <w:t xml:space="preserve"> </w:t>
      </w:r>
      <w:r w:rsidRPr="0025250D">
        <w:rPr>
          <w:rFonts w:ascii="Times New Roman" w:hAnsi="Times New Roman" w:cs="Times New Roman" w:hint="cs"/>
          <w:rtl/>
        </w:rPr>
        <w:t>–</w:t>
      </w:r>
      <w:r w:rsidRPr="0025250D">
        <w:rPr>
          <w:rFonts w:hint="cs"/>
          <w:rtl/>
        </w:rPr>
        <w:t xml:space="preserve"> تمرکز بر تخصص </w:t>
      </w:r>
      <w:r w:rsidR="00701E03" w:rsidRPr="0025250D">
        <w:rPr>
          <w:rFonts w:hint="cs"/>
          <w:rtl/>
        </w:rPr>
        <w:t>راهبرد</w:t>
      </w:r>
      <w:r w:rsidRPr="0025250D">
        <w:rPr>
          <w:rFonts w:hint="cs"/>
          <w:rtl/>
        </w:rPr>
        <w:t xml:space="preserve"> و </w:t>
      </w:r>
      <w:r w:rsidR="00B124DE" w:rsidRPr="0025250D">
        <w:rPr>
          <w:rFonts w:hint="cs"/>
          <w:rtl/>
        </w:rPr>
        <w:t>برنامه‌ریزی</w:t>
      </w:r>
    </w:p>
    <w:p w14:paraId="6E94A95E" w14:textId="3B05EFBC" w:rsidR="00537CC8" w:rsidRPr="0025250D" w:rsidRDefault="00537CC8" w:rsidP="00537CC8">
      <w:pPr>
        <w:rPr>
          <w:rtl/>
        </w:rPr>
      </w:pPr>
      <w:r w:rsidRPr="0025250D">
        <w:rPr>
          <w:rFonts w:hint="cs"/>
          <w:rtl/>
        </w:rPr>
        <w:t>مثال ها: آمازون، اپل، گوگل</w:t>
      </w:r>
      <w:r w:rsidR="008D6F97" w:rsidRPr="0025250D">
        <w:rPr>
          <w:rtl/>
        </w:rPr>
        <w:t xml:space="preserve"> </w:t>
      </w:r>
      <w:r w:rsidRPr="0025250D">
        <w:rPr>
          <w:rFonts w:hint="cs"/>
          <w:rtl/>
        </w:rPr>
        <w:t xml:space="preserve">و </w:t>
      </w:r>
      <w:r w:rsidRPr="0025250D">
        <w:rPr>
          <w:rtl/>
        </w:rPr>
        <w:t>ر</w:t>
      </w:r>
      <w:r w:rsidRPr="0025250D">
        <w:rPr>
          <w:rFonts w:hint="cs"/>
          <w:rtl/>
        </w:rPr>
        <w:t>ی</w:t>
      </w:r>
      <w:r w:rsidRPr="0025250D">
        <w:rPr>
          <w:rFonts w:hint="eastAsia"/>
          <w:rtl/>
        </w:rPr>
        <w:t>ک</w:t>
      </w:r>
      <w:r w:rsidRPr="0025250D">
        <w:rPr>
          <w:rtl/>
        </w:rPr>
        <w:t xml:space="preserve"> رسکولا</w:t>
      </w:r>
      <w:r w:rsidRPr="0025250D">
        <w:rPr>
          <w:vertAlign w:val="superscript"/>
          <w:rtl/>
        </w:rPr>
        <w:footnoteReference w:id="1776"/>
      </w:r>
    </w:p>
    <w:p w14:paraId="58325BA8" w14:textId="2EA81430" w:rsidR="00537CC8" w:rsidRPr="0025250D" w:rsidRDefault="00701E03" w:rsidP="00537CC8">
      <w:pPr>
        <w:rPr>
          <w:rtl/>
        </w:rPr>
      </w:pPr>
      <w:r w:rsidRPr="0025250D">
        <w:rPr>
          <w:rFonts w:hint="cs"/>
          <w:rtl/>
        </w:rPr>
        <w:t>راهبرد</w:t>
      </w:r>
      <w:r w:rsidR="00537CC8" w:rsidRPr="0025250D">
        <w:rPr>
          <w:rFonts w:hint="cs"/>
          <w:rtl/>
        </w:rPr>
        <w:t xml:space="preserve"> یا تفکر ترجیحی و اجتنابی، توسط دو تخصص عملی در مدل ما، تحلیل و پشتیبانی از تصمیم و </w:t>
      </w:r>
      <w:r w:rsidRPr="0025250D">
        <w:rPr>
          <w:rFonts w:hint="cs"/>
          <w:rtl/>
        </w:rPr>
        <w:t>راهبرد</w:t>
      </w:r>
      <w:r w:rsidR="00537CC8" w:rsidRPr="0025250D">
        <w:rPr>
          <w:rFonts w:hint="cs"/>
          <w:rtl/>
        </w:rPr>
        <w:t xml:space="preserve"> و </w:t>
      </w:r>
      <w:r w:rsidR="00B124DE" w:rsidRPr="0025250D">
        <w:rPr>
          <w:rFonts w:hint="cs"/>
          <w:rtl/>
        </w:rPr>
        <w:t>برنامه‌ریزی</w:t>
      </w:r>
      <w:r w:rsidR="00537CC8" w:rsidRPr="0025250D">
        <w:rPr>
          <w:rFonts w:hint="cs"/>
          <w:rtl/>
        </w:rPr>
        <w:t xml:space="preserve"> یاری می‌شود. به بیان دیگر، توسعه </w:t>
      </w:r>
      <w:r w:rsidRPr="0025250D">
        <w:rPr>
          <w:rFonts w:hint="cs"/>
          <w:rtl/>
        </w:rPr>
        <w:t>راهبرد</w:t>
      </w:r>
      <w:r w:rsidR="00537CC8" w:rsidRPr="0025250D">
        <w:rPr>
          <w:rFonts w:hint="cs"/>
          <w:rtl/>
        </w:rPr>
        <w:t xml:space="preserve"> به تحلیل، </w:t>
      </w:r>
      <w:r w:rsidR="007118DE" w:rsidRPr="0025250D">
        <w:rPr>
          <w:rFonts w:hint="cs"/>
          <w:rtl/>
        </w:rPr>
        <w:t>اولویت‌بندی</w:t>
      </w:r>
      <w:r w:rsidR="00537CC8" w:rsidRPr="0025250D">
        <w:rPr>
          <w:rFonts w:hint="cs"/>
          <w:rtl/>
        </w:rPr>
        <w:t xml:space="preserve">، </w:t>
      </w:r>
      <w:r w:rsidR="0008779C" w:rsidRPr="0025250D">
        <w:rPr>
          <w:rFonts w:hint="cs"/>
          <w:rtl/>
        </w:rPr>
        <w:t>تصمیم‌گیری</w:t>
      </w:r>
      <w:r w:rsidR="00537CC8" w:rsidRPr="0025250D">
        <w:rPr>
          <w:rFonts w:hint="cs"/>
          <w:rtl/>
        </w:rPr>
        <w:t xml:space="preserve">، </w:t>
      </w:r>
      <w:r w:rsidR="00EE4B64" w:rsidRPr="0025250D">
        <w:rPr>
          <w:rFonts w:hint="cs"/>
          <w:rtl/>
        </w:rPr>
        <w:t>چشم‌اندازسازی</w:t>
      </w:r>
      <w:r w:rsidR="00537CC8" w:rsidRPr="0025250D">
        <w:rPr>
          <w:rFonts w:hint="cs"/>
          <w:rtl/>
        </w:rPr>
        <w:t xml:space="preserve"> و </w:t>
      </w:r>
      <w:r w:rsidR="00B124DE" w:rsidRPr="0025250D">
        <w:rPr>
          <w:rFonts w:hint="cs"/>
          <w:rtl/>
        </w:rPr>
        <w:t>برنامه‌ریزی</w:t>
      </w:r>
      <w:r w:rsidR="00537CC8" w:rsidRPr="0025250D">
        <w:rPr>
          <w:rFonts w:hint="cs"/>
          <w:rtl/>
        </w:rPr>
        <w:t xml:space="preserve"> حول آینده‌های مرجح و قابل اجتناب نیاز دارد. </w:t>
      </w:r>
      <w:r w:rsidR="00537CC8" w:rsidRPr="0025250D">
        <w:rPr>
          <w:rtl/>
        </w:rPr>
        <w:t>آینده‌نگاری</w:t>
      </w:r>
      <w:r w:rsidR="00537CC8" w:rsidRPr="0025250D">
        <w:rPr>
          <w:rFonts w:hint="cs"/>
          <w:rtl/>
        </w:rPr>
        <w:t xml:space="preserve"> </w:t>
      </w:r>
      <w:r w:rsidRPr="0025250D">
        <w:rPr>
          <w:rFonts w:hint="cs"/>
          <w:rtl/>
        </w:rPr>
        <w:t>راهبردی</w:t>
      </w:r>
      <w:r w:rsidR="00537CC8" w:rsidRPr="0025250D">
        <w:rPr>
          <w:rFonts w:hint="cs"/>
          <w:rtl/>
        </w:rPr>
        <w:t xml:space="preserve"> خوب همواره بر اساس یادگیری (درک گذشته و حال مرتبط)، </w:t>
      </w:r>
      <w:r w:rsidR="00923DDB" w:rsidRPr="0025250D">
        <w:rPr>
          <w:rtl/>
        </w:rPr>
        <w:t>پیش‌انگاری</w:t>
      </w:r>
      <w:r w:rsidR="00537CC8" w:rsidRPr="0025250D">
        <w:rPr>
          <w:rFonts w:hint="cs"/>
          <w:rtl/>
        </w:rPr>
        <w:t xml:space="preserve"> (پرده برداری از آینده‌های محتمل) و نوآوری (تصور آینده‌های ممکن) می‌باشد. ما از آن برای ایجاد آینده‌های مرجح و قابل اجتناب استفاده کرده و ابزارها و راهنمایی‌هایی (تشخیص مشکلات، سیاست‌های هماهنگ سازی و برنامه‌های عملی) برای چگونگی رسیدن به آنجا در اختیار ما قرار می‌دهد.</w:t>
      </w:r>
    </w:p>
    <w:p w14:paraId="1EF31413" w14:textId="656EB930" w:rsidR="00537CC8" w:rsidRPr="0025250D" w:rsidRDefault="00537CC8" w:rsidP="00537CC8">
      <w:pPr>
        <w:rPr>
          <w:rtl/>
        </w:rPr>
      </w:pPr>
      <w:r w:rsidRPr="0025250D">
        <w:rPr>
          <w:rFonts w:hint="cs"/>
          <w:rtl/>
        </w:rPr>
        <w:t>فرمانده پروسی</w:t>
      </w:r>
      <w:r w:rsidRPr="0025250D">
        <w:rPr>
          <w:vertAlign w:val="superscript"/>
          <w:rtl/>
        </w:rPr>
        <w:footnoteReference w:id="1777"/>
      </w:r>
      <w:r w:rsidRPr="0025250D">
        <w:rPr>
          <w:rFonts w:hint="cs"/>
          <w:rtl/>
        </w:rPr>
        <w:t xml:space="preserve"> در قرن نوزدهم </w:t>
      </w:r>
      <w:r w:rsidRPr="0025250D">
        <w:rPr>
          <w:rtl/>
        </w:rPr>
        <w:t>هلموت فون مولتکه</w:t>
      </w:r>
      <w:r w:rsidRPr="0025250D">
        <w:rPr>
          <w:vertAlign w:val="superscript"/>
          <w:rtl/>
        </w:rPr>
        <w:footnoteReference w:id="1778"/>
      </w:r>
      <w:r w:rsidRPr="0025250D">
        <w:rPr>
          <w:rFonts w:hint="cs"/>
          <w:rtl/>
        </w:rPr>
        <w:t xml:space="preserve"> در سخن مشهوری می‌گوید (با جایگزینی عبارات): </w:t>
      </w:r>
      <w:r w:rsidR="008202E6" w:rsidRPr="0025250D">
        <w:rPr>
          <w:rtl/>
        </w:rPr>
        <w:t>«</w:t>
      </w:r>
      <w:r w:rsidRPr="0025250D">
        <w:rPr>
          <w:rFonts w:hint="cs"/>
          <w:rtl/>
        </w:rPr>
        <w:t>هیچ برنامه‌ای از اولین تماس با دشمن جان سالم به در</w:t>
      </w:r>
      <w:r w:rsidR="00EE4B64" w:rsidRPr="0025250D">
        <w:rPr>
          <w:rFonts w:hint="cs"/>
          <w:rtl/>
        </w:rPr>
        <w:t xml:space="preserve"> نمی‌</w:t>
      </w:r>
      <w:r w:rsidRPr="0025250D">
        <w:rPr>
          <w:rFonts w:hint="cs"/>
          <w:rtl/>
        </w:rPr>
        <w:t>برد</w:t>
      </w:r>
      <w:r w:rsidR="008202E6" w:rsidRPr="0025250D">
        <w:rPr>
          <w:rtl/>
        </w:rPr>
        <w:t>»</w:t>
      </w:r>
      <w:r w:rsidRPr="0025250D">
        <w:rPr>
          <w:rFonts w:hint="cs"/>
          <w:rtl/>
        </w:rPr>
        <w:t xml:space="preserve">. برخی این مشاهده را به این شکل به صورت کلی درآورده اند: </w:t>
      </w:r>
      <w:r w:rsidR="008202E6" w:rsidRPr="0025250D">
        <w:rPr>
          <w:rtl/>
        </w:rPr>
        <w:t>«</w:t>
      </w:r>
      <w:r w:rsidRPr="0025250D">
        <w:rPr>
          <w:rFonts w:hint="cs"/>
          <w:rtl/>
        </w:rPr>
        <w:t xml:space="preserve">هیچ برنامه </w:t>
      </w:r>
      <w:r w:rsidR="00701E03" w:rsidRPr="0025250D">
        <w:rPr>
          <w:rFonts w:hint="cs"/>
          <w:rtl/>
        </w:rPr>
        <w:t>راهبردی</w:t>
      </w:r>
      <w:r w:rsidRPr="0025250D">
        <w:rPr>
          <w:rFonts w:hint="cs"/>
          <w:rtl/>
        </w:rPr>
        <w:t>ی از تماس اولیه با واقعیت جان سالم به در</w:t>
      </w:r>
      <w:r w:rsidR="00EE4B64" w:rsidRPr="0025250D">
        <w:rPr>
          <w:rFonts w:hint="cs"/>
          <w:rtl/>
        </w:rPr>
        <w:t xml:space="preserve"> نمی‌</w:t>
      </w:r>
      <w:r w:rsidRPr="0025250D">
        <w:rPr>
          <w:rFonts w:hint="cs"/>
          <w:rtl/>
        </w:rPr>
        <w:t>برد</w:t>
      </w:r>
      <w:r w:rsidR="008202E6" w:rsidRPr="0025250D">
        <w:rPr>
          <w:rtl/>
        </w:rPr>
        <w:t>»</w:t>
      </w:r>
      <w:r w:rsidRPr="0025250D">
        <w:rPr>
          <w:rFonts w:hint="cs"/>
          <w:rtl/>
        </w:rPr>
        <w:t xml:space="preserve">. تکرار دائمی </w:t>
      </w:r>
      <w:r w:rsidR="00701E03" w:rsidRPr="0025250D">
        <w:rPr>
          <w:rFonts w:hint="cs"/>
          <w:rtl/>
        </w:rPr>
        <w:t>راهبرد</w:t>
      </w:r>
      <w:r w:rsidRPr="0025250D">
        <w:rPr>
          <w:rFonts w:hint="cs"/>
          <w:rtl/>
        </w:rPr>
        <w:t xml:space="preserve"> و عمل، از طریق حلقه انجام، تنها راهی است که می‌توانیم </w:t>
      </w:r>
      <w:r w:rsidR="002F3C14" w:rsidRPr="0025250D">
        <w:rPr>
          <w:rFonts w:hint="cs"/>
          <w:rtl/>
        </w:rPr>
        <w:t>انطباق</w:t>
      </w:r>
      <w:r w:rsidRPr="0025250D">
        <w:rPr>
          <w:rFonts w:hint="cs"/>
          <w:rtl/>
        </w:rPr>
        <w:t xml:space="preserve"> یابیم. بهبود </w:t>
      </w:r>
      <w:r w:rsidR="00701E03" w:rsidRPr="0025250D">
        <w:rPr>
          <w:rFonts w:hint="cs"/>
          <w:rtl/>
        </w:rPr>
        <w:t>راهبرد</w:t>
      </w:r>
      <w:r w:rsidRPr="0025250D">
        <w:rPr>
          <w:rFonts w:hint="cs"/>
          <w:rtl/>
        </w:rPr>
        <w:t xml:space="preserve"> به به‌کارگیری مکرر هشت مهارت نیاز دارد. تنها وقتی یک </w:t>
      </w:r>
      <w:r w:rsidR="00701E03" w:rsidRPr="0025250D">
        <w:rPr>
          <w:rFonts w:hint="cs"/>
          <w:rtl/>
        </w:rPr>
        <w:t>راهبرد</w:t>
      </w:r>
      <w:r w:rsidRPr="0025250D">
        <w:rPr>
          <w:rFonts w:hint="cs"/>
          <w:rtl/>
        </w:rPr>
        <w:t xml:space="preserve"> اجرا شود و رهبران اقدام به استفاده از آن برای </w:t>
      </w:r>
      <w:r w:rsidR="0008779C" w:rsidRPr="0025250D">
        <w:rPr>
          <w:rFonts w:hint="cs"/>
          <w:rtl/>
        </w:rPr>
        <w:t>تاثیرگذاری</w:t>
      </w:r>
      <w:r w:rsidRPr="0025250D">
        <w:rPr>
          <w:rFonts w:hint="cs"/>
          <w:rtl/>
        </w:rPr>
        <w:t xml:space="preserve"> بر تیم‌ها و ذینفعان خود کنند، در این فرایند با آن‌ها ارتباط داشته باشند و تأثیر آن را بازبینی کنند (چهار مهارت اجرایی)، می‌توانیم یک </w:t>
      </w:r>
      <w:r w:rsidR="00701E03" w:rsidRPr="0025250D">
        <w:rPr>
          <w:rFonts w:hint="cs"/>
          <w:rtl/>
        </w:rPr>
        <w:t>راهبرد</w:t>
      </w:r>
      <w:r w:rsidRPr="0025250D">
        <w:rPr>
          <w:rFonts w:hint="cs"/>
          <w:rtl/>
        </w:rPr>
        <w:t xml:space="preserve"> را در برابر جهان در فرایندی از انتخاب طبیعی بیازماییم. با این آگاهی‌ها، بیایید چند </w:t>
      </w:r>
      <w:r w:rsidR="00701E03" w:rsidRPr="0025250D">
        <w:rPr>
          <w:rFonts w:hint="cs"/>
          <w:rtl/>
        </w:rPr>
        <w:t>راهبرد</w:t>
      </w:r>
      <w:r w:rsidRPr="0025250D">
        <w:rPr>
          <w:rFonts w:hint="cs"/>
          <w:rtl/>
        </w:rPr>
        <w:t xml:space="preserve"> عالی مشخص را (با نگاهی به گذشته) توسط برخی از رهبران </w:t>
      </w:r>
      <w:r w:rsidR="00B124DE" w:rsidRPr="0025250D">
        <w:rPr>
          <w:rFonts w:hint="cs"/>
          <w:rtl/>
        </w:rPr>
        <w:t>کسب‌و‌کار</w:t>
      </w:r>
      <w:r w:rsidRPr="0025250D">
        <w:rPr>
          <w:rFonts w:hint="cs"/>
          <w:rtl/>
        </w:rPr>
        <w:t xml:space="preserve"> بهتر شناخته شده خود در دهه‌های اخیر بررسی کنیم.</w:t>
      </w:r>
    </w:p>
    <w:p w14:paraId="6E55E0C9" w14:textId="7ED6F870" w:rsidR="00537CC8" w:rsidRPr="0025250D" w:rsidRDefault="00537CC8" w:rsidP="00537CC8">
      <w:pPr>
        <w:rPr>
          <w:rtl/>
        </w:rPr>
      </w:pPr>
      <w:r w:rsidRPr="0025250D">
        <w:rPr>
          <w:rFonts w:hint="cs"/>
          <w:rtl/>
        </w:rPr>
        <w:t xml:space="preserve">پیشروی و ورود </w:t>
      </w:r>
      <w:r w:rsidRPr="0025250D">
        <w:rPr>
          <w:rtl/>
        </w:rPr>
        <w:t>آمازون</w:t>
      </w:r>
      <w:r w:rsidRPr="0025250D">
        <w:rPr>
          <w:rFonts w:hint="cs"/>
          <w:rtl/>
        </w:rPr>
        <w:t xml:space="preserve"> به خدمات اینترنتی در سال 2006 را درنظر بگیرید. با درآمدی 17 میلیارد دلاری در یک سال در آن زمان، این شرکت پلتفرمی برای رقابت با گوگل برای محاسبات ابری با خدمات و محصولات هوش مصنوعی خود ایجاد کرد. این حرکت برای </w:t>
      </w:r>
      <w:r w:rsidRPr="0025250D">
        <w:rPr>
          <w:rtl/>
        </w:rPr>
        <w:t>آمازون</w:t>
      </w:r>
      <w:r w:rsidRPr="0025250D">
        <w:rPr>
          <w:rFonts w:hint="cs"/>
          <w:rtl/>
        </w:rPr>
        <w:t xml:space="preserve"> از نظر </w:t>
      </w:r>
      <w:r w:rsidR="00701E03" w:rsidRPr="0025250D">
        <w:rPr>
          <w:rFonts w:hint="cs"/>
          <w:rtl/>
        </w:rPr>
        <w:t>راهبردی</w:t>
      </w:r>
      <w:r w:rsidRPr="0025250D">
        <w:rPr>
          <w:rFonts w:hint="cs"/>
          <w:rtl/>
        </w:rPr>
        <w:t xml:space="preserve"> کاملا منطقی بود، با این حال اجتناب ناپذیر نبود. آن‌ها به راحتی می‌توانستند پلتفرم ابری خود را به‌عنوان یک دارایی دفاعی خصوصی ببینند</w:t>
      </w:r>
      <w:r w:rsidR="008D6F97" w:rsidRPr="0025250D">
        <w:rPr>
          <w:rtl/>
        </w:rPr>
        <w:t xml:space="preserve"> </w:t>
      </w:r>
      <w:r w:rsidRPr="0025250D">
        <w:rPr>
          <w:rFonts w:hint="cs"/>
          <w:rtl/>
        </w:rPr>
        <w:t xml:space="preserve">تا به‌عنوان یک راز تجاری آن را حفظ کنند. این دیدگاه </w:t>
      </w:r>
      <w:r w:rsidR="009D17DA" w:rsidRPr="0025250D">
        <w:rPr>
          <w:rFonts w:hint="cs"/>
          <w:rtl/>
        </w:rPr>
        <w:t>بالا‌به‌پایین</w:t>
      </w:r>
      <w:r w:rsidRPr="0025250D">
        <w:rPr>
          <w:rFonts w:hint="cs"/>
          <w:rtl/>
        </w:rPr>
        <w:t xml:space="preserve"> در بسیاری از شرکت‌ها رایج است. در عوض، آن‌ها </w:t>
      </w:r>
      <w:r w:rsidR="00923DDB" w:rsidRPr="0025250D">
        <w:rPr>
          <w:rFonts w:hint="cs"/>
          <w:rtl/>
        </w:rPr>
        <w:t>پیش‌انگاری</w:t>
      </w:r>
      <w:r w:rsidRPr="0025250D">
        <w:rPr>
          <w:rFonts w:hint="cs"/>
          <w:rtl/>
        </w:rPr>
        <w:t xml:space="preserve"> (</w:t>
      </w:r>
      <w:r w:rsidR="00D92F6E" w:rsidRPr="0025250D">
        <w:rPr>
          <w:rFonts w:hint="cs"/>
          <w:rtl/>
        </w:rPr>
        <w:t>پیش‌بین</w:t>
      </w:r>
      <w:r w:rsidRPr="0025250D">
        <w:rPr>
          <w:rFonts w:hint="cs"/>
          <w:rtl/>
        </w:rPr>
        <w:t xml:space="preserve">ی) کردند که به صورت تصادفی یک نوع جدید و اجتناب ناپذیر از زیرساخت تجاری جهانی ایجاد </w:t>
      </w:r>
      <w:r w:rsidR="007118DE" w:rsidRPr="0025250D">
        <w:rPr>
          <w:rFonts w:hint="cs"/>
          <w:rtl/>
        </w:rPr>
        <w:t>کرده‌اند</w:t>
      </w:r>
      <w:r w:rsidRPr="0025250D">
        <w:rPr>
          <w:rFonts w:hint="cs"/>
          <w:rtl/>
        </w:rPr>
        <w:t xml:space="preserve"> و می‌توانند رهبران این پلتفرم و اولین افراد در ترقی و رشد دادن آن باشند. این یک </w:t>
      </w:r>
      <w:r w:rsidR="00A20CCB" w:rsidRPr="0025250D">
        <w:rPr>
          <w:rFonts w:hint="cs"/>
          <w:rtl/>
        </w:rPr>
        <w:t>جهان‌بینی</w:t>
      </w:r>
      <w:r w:rsidRPr="0025250D">
        <w:rPr>
          <w:rFonts w:hint="cs"/>
          <w:rtl/>
        </w:rPr>
        <w:t xml:space="preserve"> (</w:t>
      </w:r>
      <w:r w:rsidRPr="0025250D">
        <w:rPr>
          <w:rtl/>
        </w:rPr>
        <w:t>تکاملی - توسعه ای</w:t>
      </w:r>
      <w:r w:rsidRPr="0025250D">
        <w:rPr>
          <w:rFonts w:hint="cs"/>
          <w:rtl/>
        </w:rPr>
        <w:t xml:space="preserve">) متوازن‌تر </w:t>
      </w:r>
      <w:r w:rsidR="009D17DA" w:rsidRPr="0025250D">
        <w:rPr>
          <w:rFonts w:hint="cs"/>
          <w:rtl/>
        </w:rPr>
        <w:t>بالا‌به‌پایین</w:t>
      </w:r>
      <w:r w:rsidRPr="0025250D">
        <w:rPr>
          <w:rFonts w:hint="cs"/>
          <w:rtl/>
        </w:rPr>
        <w:t xml:space="preserve"> و پایین به بالا است.</w:t>
      </w:r>
    </w:p>
    <w:p w14:paraId="6F9D6E96" w14:textId="4BE64B8C" w:rsidR="00537CC8" w:rsidRPr="0025250D" w:rsidRDefault="00537CC8" w:rsidP="00537CC8">
      <w:pPr>
        <w:rPr>
          <w:rtl/>
        </w:rPr>
      </w:pPr>
      <w:r w:rsidRPr="0025250D">
        <w:rPr>
          <w:rFonts w:hint="cs"/>
          <w:rtl/>
        </w:rPr>
        <w:t xml:space="preserve">تجدید حیات اپل زیر نظر </w:t>
      </w:r>
      <w:r w:rsidRPr="0025250D">
        <w:rPr>
          <w:rtl/>
        </w:rPr>
        <w:t>است</w:t>
      </w:r>
      <w:r w:rsidRPr="0025250D">
        <w:rPr>
          <w:rFonts w:hint="cs"/>
          <w:rtl/>
        </w:rPr>
        <w:t>ی</w:t>
      </w:r>
      <w:r w:rsidRPr="0025250D">
        <w:rPr>
          <w:rFonts w:hint="eastAsia"/>
          <w:rtl/>
        </w:rPr>
        <w:t>و</w:t>
      </w:r>
      <w:r w:rsidRPr="0025250D">
        <w:rPr>
          <w:rtl/>
        </w:rPr>
        <w:t xml:space="preserve"> جابز</w:t>
      </w:r>
      <w:r w:rsidRPr="0025250D">
        <w:rPr>
          <w:rFonts w:hint="cs"/>
          <w:rtl/>
        </w:rPr>
        <w:t>، با</w:t>
      </w:r>
      <w:r w:rsidR="002C2EAB" w:rsidRPr="0025250D">
        <w:rPr>
          <w:rFonts w:hint="cs"/>
          <w:rtl/>
        </w:rPr>
        <w:t xml:space="preserve"> آ</w:t>
      </w:r>
      <w:r w:rsidRPr="0025250D">
        <w:rPr>
          <w:rFonts w:hint="cs"/>
          <w:rtl/>
        </w:rPr>
        <w:t xml:space="preserve">ی </w:t>
      </w:r>
      <w:r w:rsidRPr="0025250D">
        <w:rPr>
          <w:rtl/>
        </w:rPr>
        <w:t>مک‌ها،</w:t>
      </w:r>
      <w:r w:rsidR="002C2EAB" w:rsidRPr="0025250D">
        <w:rPr>
          <w:rFonts w:hint="cs"/>
          <w:rtl/>
        </w:rPr>
        <w:t xml:space="preserve"> آ</w:t>
      </w:r>
      <w:r w:rsidRPr="0025250D">
        <w:rPr>
          <w:rtl/>
        </w:rPr>
        <w:t>ی پاد</w:t>
      </w:r>
      <w:r w:rsidRPr="0025250D">
        <w:rPr>
          <w:rFonts w:hint="cs"/>
          <w:rtl/>
        </w:rPr>
        <w:t>،‌</w:t>
      </w:r>
      <w:r w:rsidR="002C2EAB" w:rsidRPr="0025250D">
        <w:rPr>
          <w:rFonts w:hint="cs"/>
          <w:rtl/>
        </w:rPr>
        <w:t xml:space="preserve"> آ</w:t>
      </w:r>
      <w:r w:rsidRPr="0025250D">
        <w:rPr>
          <w:rFonts w:hint="cs"/>
          <w:rtl/>
        </w:rPr>
        <w:t xml:space="preserve">ی </w:t>
      </w:r>
      <w:r w:rsidRPr="0025250D">
        <w:rPr>
          <w:rtl/>
        </w:rPr>
        <w:t>پد</w:t>
      </w:r>
      <w:r w:rsidRPr="0025250D">
        <w:rPr>
          <w:rFonts w:hint="cs"/>
          <w:rtl/>
        </w:rPr>
        <w:t xml:space="preserve"> و </w:t>
      </w:r>
      <w:r w:rsidRPr="0025250D">
        <w:rPr>
          <w:rtl/>
        </w:rPr>
        <w:t>آ</w:t>
      </w:r>
      <w:r w:rsidRPr="0025250D">
        <w:rPr>
          <w:rFonts w:hint="cs"/>
          <w:rtl/>
        </w:rPr>
        <w:t>ی</w:t>
      </w:r>
      <w:r w:rsidRPr="0025250D">
        <w:rPr>
          <w:rFonts w:hint="eastAsia"/>
          <w:rtl/>
        </w:rPr>
        <w:t>فون</w:t>
      </w:r>
      <w:r w:rsidRPr="0025250D">
        <w:rPr>
          <w:rFonts w:hint="cs"/>
          <w:rtl/>
        </w:rPr>
        <w:t xml:space="preserve"> را در نظر بگیرید. توجه داشته باشید که حداقل در دو دسته از این محصولات،‌ای </w:t>
      </w:r>
      <w:r w:rsidRPr="0025250D">
        <w:rPr>
          <w:rtl/>
        </w:rPr>
        <w:t>پد</w:t>
      </w:r>
      <w:r w:rsidRPr="0025250D">
        <w:rPr>
          <w:rFonts w:hint="cs"/>
          <w:rtl/>
        </w:rPr>
        <w:t xml:space="preserve"> و </w:t>
      </w:r>
      <w:r w:rsidRPr="0025250D">
        <w:rPr>
          <w:rtl/>
        </w:rPr>
        <w:t>آ</w:t>
      </w:r>
      <w:r w:rsidRPr="0025250D">
        <w:rPr>
          <w:rFonts w:hint="cs"/>
          <w:rtl/>
        </w:rPr>
        <w:t>ی</w:t>
      </w:r>
      <w:r w:rsidRPr="0025250D">
        <w:rPr>
          <w:rFonts w:hint="eastAsia"/>
          <w:rtl/>
        </w:rPr>
        <w:t>فون</w:t>
      </w:r>
      <w:r w:rsidRPr="0025250D">
        <w:rPr>
          <w:rFonts w:hint="cs"/>
          <w:rtl/>
        </w:rPr>
        <w:t xml:space="preserve">، اپل یک دنبال کننده سریع (دومین حرکت کننده) بود، نه پیشتاز. یک دنبال کننده سریع بودن، برخی اوقات </w:t>
      </w:r>
      <w:r w:rsidR="00701E03" w:rsidRPr="0025250D">
        <w:rPr>
          <w:rFonts w:hint="cs"/>
          <w:rtl/>
        </w:rPr>
        <w:t>راهبرد</w:t>
      </w:r>
      <w:r w:rsidRPr="0025250D">
        <w:rPr>
          <w:rFonts w:hint="cs"/>
          <w:rtl/>
        </w:rPr>
        <w:t xml:space="preserve"> عرضه و راه‌اندازی بهتری است. اغلب فراموش می‌شود که </w:t>
      </w:r>
      <w:r w:rsidRPr="0025250D">
        <w:rPr>
          <w:rtl/>
        </w:rPr>
        <w:t>آمازون</w:t>
      </w:r>
      <w:r w:rsidRPr="0025250D">
        <w:rPr>
          <w:rFonts w:hint="cs"/>
          <w:rtl/>
        </w:rPr>
        <w:t xml:space="preserve"> نیز دومین مورد در کتاب فروشی‌های آنلاین بود. بوک استکس آنلیمیتد</w:t>
      </w:r>
      <w:r w:rsidRPr="0025250D">
        <w:rPr>
          <w:vertAlign w:val="superscript"/>
          <w:rtl/>
        </w:rPr>
        <w:footnoteReference w:id="1779"/>
      </w:r>
      <w:r w:rsidRPr="0025250D">
        <w:rPr>
          <w:rFonts w:hint="cs"/>
          <w:rtl/>
        </w:rPr>
        <w:t xml:space="preserve"> سه سال زود‌تر، در سال 1992، آغاز به کار کرد و به 500 هزار عنوان کتاب و 25 کارمند رشد کرد. آن‌ها این دسته را اختراع کردند، اما برتری اولیه خود را به سهم غالب تبدیل نکردند. </w:t>
      </w:r>
      <w:r w:rsidRPr="0025250D">
        <w:rPr>
          <w:rtl/>
        </w:rPr>
        <w:t>آمازون</w:t>
      </w:r>
      <w:r w:rsidRPr="0025250D">
        <w:rPr>
          <w:rFonts w:hint="cs"/>
          <w:rtl/>
        </w:rPr>
        <w:t xml:space="preserve">، تحت نظر یک مدیرعامل متمرکز‌تر یعنی </w:t>
      </w:r>
      <w:r w:rsidRPr="0025250D">
        <w:rPr>
          <w:rtl/>
        </w:rPr>
        <w:t>جف بزوس</w:t>
      </w:r>
      <w:r w:rsidRPr="0025250D">
        <w:rPr>
          <w:vertAlign w:val="superscript"/>
          <w:rtl/>
        </w:rPr>
        <w:footnoteReference w:id="1780"/>
      </w:r>
      <w:r w:rsidRPr="0025250D">
        <w:rPr>
          <w:rFonts w:hint="cs"/>
          <w:rtl/>
        </w:rPr>
        <w:t xml:space="preserve">، </w:t>
      </w:r>
      <w:r w:rsidR="00701E03" w:rsidRPr="0025250D">
        <w:rPr>
          <w:rFonts w:hint="cs"/>
          <w:rtl/>
        </w:rPr>
        <w:t>راهبرد</w:t>
      </w:r>
      <w:r w:rsidRPr="0025250D">
        <w:rPr>
          <w:rFonts w:hint="cs"/>
          <w:rtl/>
        </w:rPr>
        <w:t>‌های اجرایی، بازاریابی (</w:t>
      </w:r>
      <w:r w:rsidR="0008779C" w:rsidRPr="0025250D">
        <w:rPr>
          <w:rFonts w:hint="cs"/>
          <w:rtl/>
        </w:rPr>
        <w:t>تاثیرگذاری</w:t>
      </w:r>
      <w:r w:rsidRPr="0025250D">
        <w:rPr>
          <w:rFonts w:hint="cs"/>
          <w:rtl/>
        </w:rPr>
        <w:t xml:space="preserve">) و رشد بهتری داشت و نام بهتری هم داشت. آن‌ها به سرعت از بوک استکس </w:t>
      </w:r>
      <w:r w:rsidRPr="0025250D">
        <w:rPr>
          <w:rFonts w:cs="Times New Roman" w:hint="cs"/>
          <w:rtl/>
        </w:rPr>
        <w:t>–</w:t>
      </w:r>
      <w:r w:rsidRPr="0025250D">
        <w:rPr>
          <w:rFonts w:hint="cs"/>
          <w:rtl/>
        </w:rPr>
        <w:t xml:space="preserve"> که در اواخر دهه 1990 به </w:t>
      </w:r>
      <w:r w:rsidRPr="0025250D">
        <w:rPr>
          <w:rtl/>
        </w:rPr>
        <w:t>بارنز و نوبل</w:t>
      </w:r>
      <w:r w:rsidRPr="0025250D">
        <w:rPr>
          <w:vertAlign w:val="superscript"/>
          <w:rtl/>
        </w:rPr>
        <w:footnoteReference w:id="1781"/>
      </w:r>
      <w:r w:rsidRPr="0025250D">
        <w:rPr>
          <w:rFonts w:hint="cs"/>
          <w:rtl/>
        </w:rPr>
        <w:t xml:space="preserve"> فروخته شد (ولی آن‌ها هم نتوانستند به صورت آنلاین رشد کنند) - پیشی گرفتند.</w:t>
      </w:r>
    </w:p>
    <w:p w14:paraId="05A85C2B" w14:textId="0C3025A0" w:rsidR="00537CC8" w:rsidRPr="0025250D" w:rsidRDefault="00537CC8" w:rsidP="00537CC8">
      <w:pPr>
        <w:rPr>
          <w:rtl/>
        </w:rPr>
      </w:pPr>
      <w:r w:rsidRPr="0025250D">
        <w:rPr>
          <w:rFonts w:hint="cs"/>
          <w:rtl/>
        </w:rPr>
        <w:t>همچنین درمورد تصمیم گوگل برای باز کردن</w:t>
      </w:r>
      <w:r w:rsidRPr="0025250D">
        <w:rPr>
          <w:vertAlign w:val="superscript"/>
          <w:rtl/>
        </w:rPr>
        <w:footnoteReference w:id="1782"/>
      </w:r>
      <w:r w:rsidRPr="0025250D">
        <w:rPr>
          <w:rFonts w:hint="cs"/>
          <w:rtl/>
        </w:rPr>
        <w:t xml:space="preserve"> و واگذاری </w:t>
      </w:r>
      <w:r w:rsidR="002C2EAB" w:rsidRPr="0025250D">
        <w:rPr>
          <w:rFonts w:hint="cs"/>
          <w:rtl/>
        </w:rPr>
        <w:t>سیستم‌</w:t>
      </w:r>
      <w:r w:rsidRPr="0025250D">
        <w:rPr>
          <w:rFonts w:hint="cs"/>
          <w:rtl/>
        </w:rPr>
        <w:t xml:space="preserve">عامل موبایل </w:t>
      </w:r>
      <w:r w:rsidRPr="0025250D">
        <w:rPr>
          <w:rtl/>
        </w:rPr>
        <w:t>اندرو</w:t>
      </w:r>
      <w:r w:rsidRPr="0025250D">
        <w:rPr>
          <w:rFonts w:hint="cs"/>
          <w:rtl/>
        </w:rPr>
        <w:t>ی</w:t>
      </w:r>
      <w:r w:rsidRPr="0025250D">
        <w:rPr>
          <w:rFonts w:hint="eastAsia"/>
          <w:rtl/>
        </w:rPr>
        <w:t>د</w:t>
      </w:r>
      <w:r w:rsidRPr="0025250D">
        <w:rPr>
          <w:vertAlign w:val="superscript"/>
          <w:rtl/>
        </w:rPr>
        <w:footnoteReference w:id="1783"/>
      </w:r>
      <w:r w:rsidRPr="0025250D">
        <w:rPr>
          <w:rFonts w:hint="cs"/>
          <w:rtl/>
        </w:rPr>
        <w:t xml:space="preserve">، یک </w:t>
      </w:r>
      <w:r w:rsidR="00701E03" w:rsidRPr="0025250D">
        <w:rPr>
          <w:rFonts w:hint="cs"/>
          <w:rtl/>
        </w:rPr>
        <w:t>راهبرد</w:t>
      </w:r>
      <w:r w:rsidRPr="0025250D">
        <w:rPr>
          <w:rFonts w:hint="cs"/>
          <w:rtl/>
        </w:rPr>
        <w:t xml:space="preserve"> متقابل در برابر </w:t>
      </w:r>
      <w:r w:rsidRPr="0025250D">
        <w:t>iOS</w:t>
      </w:r>
      <w:r w:rsidRPr="0025250D">
        <w:rPr>
          <w:rFonts w:hint="cs"/>
          <w:rtl/>
        </w:rPr>
        <w:t xml:space="preserve"> شرکت اپل فکر کنید. </w:t>
      </w:r>
      <w:r w:rsidR="007118DE" w:rsidRPr="0025250D">
        <w:rPr>
          <w:rFonts w:hint="cs"/>
          <w:rtl/>
        </w:rPr>
        <w:t>همان‌طور</w:t>
      </w:r>
      <w:r w:rsidRPr="0025250D">
        <w:rPr>
          <w:rFonts w:hint="cs"/>
          <w:rtl/>
        </w:rPr>
        <w:t xml:space="preserve"> که </w:t>
      </w:r>
      <w:r w:rsidRPr="0025250D">
        <w:rPr>
          <w:rtl/>
        </w:rPr>
        <w:t>جرالد نان</w:t>
      </w:r>
      <w:r w:rsidRPr="0025250D">
        <w:rPr>
          <w:rFonts w:hint="cs"/>
          <w:rtl/>
        </w:rPr>
        <w:t>ی</w:t>
      </w:r>
      <w:r w:rsidRPr="0025250D">
        <w:rPr>
          <w:rFonts w:hint="eastAsia"/>
          <w:rtl/>
        </w:rPr>
        <w:t>نگا</w:t>
      </w:r>
      <w:r w:rsidRPr="0025250D">
        <w:rPr>
          <w:vertAlign w:val="superscript"/>
          <w:rtl/>
        </w:rPr>
        <w:footnoteReference w:id="1784"/>
      </w:r>
      <w:r w:rsidRPr="0025250D">
        <w:rPr>
          <w:rFonts w:hint="cs"/>
          <w:rtl/>
        </w:rPr>
        <w:t xml:space="preserve"> اشاره می‌کند، این تصمیم همچنین </w:t>
      </w:r>
      <w:r w:rsidR="00B124DE" w:rsidRPr="0025250D">
        <w:rPr>
          <w:rFonts w:hint="cs"/>
          <w:rtl/>
        </w:rPr>
        <w:t>کسب‌و‌کار</w:t>
      </w:r>
      <w:r w:rsidRPr="0025250D">
        <w:rPr>
          <w:rFonts w:hint="cs"/>
          <w:rtl/>
        </w:rPr>
        <w:t xml:space="preserve"> موتور جستجوی اولیه گوگل را، با انتقال قابل </w:t>
      </w:r>
      <w:r w:rsidR="00D92F6E" w:rsidRPr="0025250D">
        <w:rPr>
          <w:rFonts w:hint="cs"/>
          <w:rtl/>
        </w:rPr>
        <w:t>پیش‌بین</w:t>
      </w:r>
      <w:r w:rsidRPr="0025250D">
        <w:rPr>
          <w:rFonts w:hint="cs"/>
          <w:rtl/>
        </w:rPr>
        <w:t xml:space="preserve">ی ترافیک اینترنتی جهانی از کامپیوترها به گوشی‌ها حفظ کرد. همچنین درمورد </w:t>
      </w:r>
      <w:r w:rsidR="00701E03" w:rsidRPr="0025250D">
        <w:rPr>
          <w:rFonts w:hint="cs"/>
          <w:rtl/>
        </w:rPr>
        <w:t>راهبرد</w:t>
      </w:r>
      <w:r w:rsidRPr="0025250D">
        <w:rPr>
          <w:rFonts w:hint="cs"/>
          <w:rtl/>
        </w:rPr>
        <w:t xml:space="preserve"> مونتاژ طبق سفارش </w:t>
      </w:r>
      <w:r w:rsidRPr="0025250D">
        <w:rPr>
          <w:rtl/>
        </w:rPr>
        <w:t>دل</w:t>
      </w:r>
      <w:r w:rsidRPr="0025250D">
        <w:rPr>
          <w:vertAlign w:val="superscript"/>
          <w:rtl/>
        </w:rPr>
        <w:footnoteReference w:id="1785"/>
      </w:r>
      <w:r w:rsidRPr="0025250D">
        <w:rPr>
          <w:rFonts w:hint="cs"/>
          <w:rtl/>
        </w:rPr>
        <w:t xml:space="preserve"> که به شرکت امکان داد تا شرکت‌های اصلی پردازش و محاسبات در آن زمان (</w:t>
      </w:r>
      <w:r w:rsidRPr="0025250D">
        <w:t>IBM</w:t>
      </w:r>
      <w:r w:rsidRPr="0025250D">
        <w:rPr>
          <w:rFonts w:hint="cs"/>
          <w:rtl/>
        </w:rPr>
        <w:t>، کامپکت</w:t>
      </w:r>
      <w:r w:rsidRPr="0025250D">
        <w:rPr>
          <w:vertAlign w:val="superscript"/>
          <w:rtl/>
        </w:rPr>
        <w:footnoteReference w:id="1786"/>
      </w:r>
      <w:r w:rsidRPr="0025250D">
        <w:rPr>
          <w:rFonts w:hint="cs"/>
          <w:rtl/>
        </w:rPr>
        <w:t xml:space="preserve">، </w:t>
      </w:r>
      <w:r w:rsidRPr="0025250D">
        <w:t>HP</w:t>
      </w:r>
      <w:r w:rsidRPr="0025250D">
        <w:rPr>
          <w:rFonts w:hint="cs"/>
          <w:rtl/>
        </w:rPr>
        <w:t xml:space="preserve">) را بدون داشتن موجودی تمام کالاهای تمام شده شکست دهد، فکر کنید. </w:t>
      </w:r>
      <w:r w:rsidR="007118DE" w:rsidRPr="0025250D">
        <w:rPr>
          <w:rFonts w:hint="cs"/>
          <w:rtl/>
        </w:rPr>
        <w:t>همان‌طور</w:t>
      </w:r>
      <w:r w:rsidRPr="0025250D">
        <w:rPr>
          <w:rFonts w:hint="cs"/>
          <w:rtl/>
        </w:rPr>
        <w:t xml:space="preserve"> که </w:t>
      </w:r>
      <w:r w:rsidRPr="0025250D">
        <w:rPr>
          <w:rtl/>
        </w:rPr>
        <w:t>و</w:t>
      </w:r>
      <w:r w:rsidRPr="0025250D">
        <w:rPr>
          <w:rFonts w:hint="cs"/>
          <w:rtl/>
        </w:rPr>
        <w:t>ی</w:t>
      </w:r>
      <w:r w:rsidRPr="0025250D">
        <w:rPr>
          <w:rFonts w:hint="eastAsia"/>
          <w:rtl/>
        </w:rPr>
        <w:t>وک</w:t>
      </w:r>
      <w:r w:rsidRPr="0025250D">
        <w:rPr>
          <w:rtl/>
        </w:rPr>
        <w:t xml:space="preserve"> س</w:t>
      </w:r>
      <w:r w:rsidRPr="0025250D">
        <w:rPr>
          <w:rFonts w:hint="cs"/>
          <w:rtl/>
        </w:rPr>
        <w:t>ی</w:t>
      </w:r>
      <w:r w:rsidRPr="0025250D">
        <w:rPr>
          <w:rFonts w:hint="eastAsia"/>
          <w:rtl/>
        </w:rPr>
        <w:t>نگ</w:t>
      </w:r>
      <w:r w:rsidRPr="0025250D">
        <w:rPr>
          <w:vertAlign w:val="superscript"/>
          <w:rtl/>
        </w:rPr>
        <w:footnoteReference w:id="1787"/>
      </w:r>
      <w:r w:rsidRPr="0025250D">
        <w:rPr>
          <w:rFonts w:hint="cs"/>
          <w:rtl/>
        </w:rPr>
        <w:t xml:space="preserve"> در کورا</w:t>
      </w:r>
      <w:r w:rsidRPr="0025250D">
        <w:rPr>
          <w:vertAlign w:val="superscript"/>
          <w:rtl/>
        </w:rPr>
        <w:footnoteReference w:id="1788"/>
      </w:r>
      <w:r w:rsidRPr="0025250D">
        <w:rPr>
          <w:rFonts w:hint="cs"/>
          <w:rtl/>
        </w:rPr>
        <w:t xml:space="preserve"> بیان می‌کند، این یک حرکت </w:t>
      </w:r>
      <w:r w:rsidR="00701E03" w:rsidRPr="0025250D">
        <w:rPr>
          <w:rFonts w:hint="cs"/>
          <w:rtl/>
        </w:rPr>
        <w:t>راهبردی</w:t>
      </w:r>
      <w:r w:rsidRPr="0025250D">
        <w:rPr>
          <w:rFonts w:hint="cs"/>
          <w:rtl/>
        </w:rPr>
        <w:t xml:space="preserve"> عالی و مثالی از غیر مادی سازی فرایند بود.</w:t>
      </w:r>
    </w:p>
    <w:p w14:paraId="26E491D9" w14:textId="1AD2222F" w:rsidR="00537CC8" w:rsidRPr="0025250D" w:rsidRDefault="00537CC8" w:rsidP="00537CC8">
      <w:pPr>
        <w:rPr>
          <w:rtl/>
        </w:rPr>
      </w:pPr>
      <w:r w:rsidRPr="0025250D">
        <w:rPr>
          <w:rFonts w:hint="cs"/>
          <w:rtl/>
        </w:rPr>
        <w:t xml:space="preserve">همچنین </w:t>
      </w:r>
      <w:r w:rsidR="00701E03" w:rsidRPr="0025250D">
        <w:rPr>
          <w:rFonts w:hint="cs"/>
          <w:rtl/>
        </w:rPr>
        <w:t>راهبرد</w:t>
      </w:r>
      <w:r w:rsidRPr="0025250D">
        <w:rPr>
          <w:rFonts w:hint="cs"/>
          <w:rtl/>
        </w:rPr>
        <w:t xml:space="preserve"> تویوتا برای ایجاد یک فرهنگ نوآوری فرایند </w:t>
      </w:r>
      <w:r w:rsidR="00B124DE" w:rsidRPr="0025250D">
        <w:rPr>
          <w:rFonts w:hint="cs"/>
          <w:rtl/>
        </w:rPr>
        <w:t>کسب‌و‌کار</w:t>
      </w:r>
      <w:r w:rsidRPr="0025250D">
        <w:rPr>
          <w:rFonts w:hint="cs"/>
          <w:rtl/>
        </w:rPr>
        <w:t xml:space="preserve"> دائمی، یعنی </w:t>
      </w:r>
      <w:r w:rsidRPr="0025250D">
        <w:rPr>
          <w:rtl/>
        </w:rPr>
        <w:t>کا</w:t>
      </w:r>
      <w:r w:rsidRPr="0025250D">
        <w:rPr>
          <w:rFonts w:hint="cs"/>
          <w:rtl/>
        </w:rPr>
        <w:t>ی</w:t>
      </w:r>
      <w:r w:rsidRPr="0025250D">
        <w:rPr>
          <w:rFonts w:hint="eastAsia"/>
          <w:rtl/>
        </w:rPr>
        <w:t>زن</w:t>
      </w:r>
      <w:r w:rsidRPr="0025250D">
        <w:rPr>
          <w:vertAlign w:val="superscript"/>
          <w:rtl/>
        </w:rPr>
        <w:footnoteReference w:id="1789"/>
      </w:r>
      <w:r w:rsidRPr="0025250D">
        <w:rPr>
          <w:rFonts w:hint="cs"/>
          <w:rtl/>
        </w:rPr>
        <w:t xml:space="preserve"> را در نظر بگیرید. این </w:t>
      </w:r>
      <w:r w:rsidR="00701E03" w:rsidRPr="0025250D">
        <w:rPr>
          <w:rFonts w:hint="cs"/>
          <w:rtl/>
        </w:rPr>
        <w:t>راهبرد</w:t>
      </w:r>
      <w:r w:rsidRPr="0025250D">
        <w:rPr>
          <w:rFonts w:hint="cs"/>
          <w:rtl/>
        </w:rPr>
        <w:t xml:space="preserve"> به آنها امکان شکست دادن غول‌های اتومبیل سازی آمریکایی با کیفیت در دهه 1970 را داد. سپس، پس از معرفی تعرفه‌های محافظه کارانه توسط آمریکا، تویوتا این </w:t>
      </w:r>
      <w:r w:rsidR="00701E03" w:rsidRPr="0025250D">
        <w:rPr>
          <w:rFonts w:hint="cs"/>
          <w:rtl/>
        </w:rPr>
        <w:t>راهبرد</w:t>
      </w:r>
      <w:r w:rsidRPr="0025250D">
        <w:rPr>
          <w:rFonts w:hint="cs"/>
          <w:rtl/>
        </w:rPr>
        <w:t xml:space="preserve"> و فرهنگ را به کارخانه‌های تولیدی خود در آمریکا، با آغاز در 1986، وارد کرد و نادرستی نظر </w:t>
      </w:r>
      <w:r w:rsidRPr="0025250D">
        <w:rPr>
          <w:rtl/>
        </w:rPr>
        <w:t>مخالفان</w:t>
      </w:r>
      <w:r w:rsidRPr="0025250D">
        <w:rPr>
          <w:rFonts w:hint="cs"/>
          <w:rtl/>
        </w:rPr>
        <w:t xml:space="preserve">ی را که می‌گفتند این </w:t>
      </w:r>
      <w:r w:rsidR="00701E03" w:rsidRPr="0025250D">
        <w:rPr>
          <w:rFonts w:hint="cs"/>
          <w:rtl/>
        </w:rPr>
        <w:t>راهبرد</w:t>
      </w:r>
      <w:r w:rsidRPr="0025250D">
        <w:rPr>
          <w:rFonts w:hint="cs"/>
          <w:rtl/>
        </w:rPr>
        <w:t xml:space="preserve"> در آمریکا جواب نخواهد داد را اثبات کرد. کارخانه تویوتا در </w:t>
      </w:r>
      <w:r w:rsidRPr="0025250D">
        <w:rPr>
          <w:rtl/>
        </w:rPr>
        <w:t>کنتاک</w:t>
      </w:r>
      <w:r w:rsidRPr="0025250D">
        <w:rPr>
          <w:rFonts w:hint="cs"/>
          <w:rtl/>
        </w:rPr>
        <w:t>ی</w:t>
      </w:r>
      <w:r w:rsidRPr="0025250D">
        <w:rPr>
          <w:vertAlign w:val="superscript"/>
          <w:rtl/>
        </w:rPr>
        <w:footnoteReference w:id="1790"/>
      </w:r>
      <w:r w:rsidRPr="0025250D">
        <w:rPr>
          <w:rFonts w:hint="cs"/>
          <w:rtl/>
        </w:rPr>
        <w:t xml:space="preserve"> در حال حاضر بزرگترین تأسیسات تولیدی در جهان است. کتاب روش تویوتا</w:t>
      </w:r>
      <w:r w:rsidRPr="0025250D">
        <w:rPr>
          <w:vertAlign w:val="superscript"/>
          <w:rtl/>
        </w:rPr>
        <w:footnoteReference w:id="1791"/>
      </w:r>
      <w:r w:rsidRPr="0025250D">
        <w:rPr>
          <w:rFonts w:hint="cs"/>
          <w:rtl/>
        </w:rPr>
        <w:t xml:space="preserve"> اثر </w:t>
      </w:r>
      <w:r w:rsidRPr="0025250D">
        <w:rPr>
          <w:rtl/>
        </w:rPr>
        <w:t>جف ل</w:t>
      </w:r>
      <w:r w:rsidRPr="0025250D">
        <w:rPr>
          <w:rFonts w:hint="cs"/>
          <w:rtl/>
        </w:rPr>
        <w:t>ی</w:t>
      </w:r>
      <w:r w:rsidRPr="0025250D">
        <w:rPr>
          <w:rFonts w:hint="eastAsia"/>
          <w:rtl/>
        </w:rPr>
        <w:t>کر</w:t>
      </w:r>
      <w:r w:rsidRPr="0025250D">
        <w:rPr>
          <w:vertAlign w:val="superscript"/>
          <w:rtl/>
        </w:rPr>
        <w:footnoteReference w:id="1792"/>
      </w:r>
      <w:r w:rsidRPr="0025250D">
        <w:rPr>
          <w:rFonts w:hint="cs"/>
          <w:rtl/>
        </w:rPr>
        <w:t xml:space="preserve"> در سال 2004 را برای مطالعه درباره این درس تجاری الهام بخش و یک مرورخوب بر </w:t>
      </w:r>
      <w:r w:rsidRPr="0025250D">
        <w:rPr>
          <w:rtl/>
        </w:rPr>
        <w:t>کا</w:t>
      </w:r>
      <w:r w:rsidRPr="0025250D">
        <w:rPr>
          <w:rFonts w:hint="cs"/>
          <w:rtl/>
        </w:rPr>
        <w:t>ی</w:t>
      </w:r>
      <w:r w:rsidRPr="0025250D">
        <w:rPr>
          <w:rFonts w:hint="eastAsia"/>
          <w:rtl/>
        </w:rPr>
        <w:t>زن</w:t>
      </w:r>
      <w:r w:rsidRPr="0025250D">
        <w:rPr>
          <w:rFonts w:hint="cs"/>
          <w:rtl/>
        </w:rPr>
        <w:t xml:space="preserve"> ببینید.</w:t>
      </w:r>
    </w:p>
    <w:p w14:paraId="29BBFC76" w14:textId="1C295883" w:rsidR="00537CC8" w:rsidRPr="0025250D" w:rsidRDefault="00537CC8" w:rsidP="00537CC8">
      <w:pPr>
        <w:rPr>
          <w:rtl/>
        </w:rPr>
      </w:pPr>
      <w:r w:rsidRPr="0025250D">
        <w:rPr>
          <w:rFonts w:hint="cs"/>
          <w:rtl/>
        </w:rPr>
        <w:t xml:space="preserve">ما همچنین کتاب </w:t>
      </w:r>
      <w:r w:rsidRPr="0025250D">
        <w:rPr>
          <w:rtl/>
        </w:rPr>
        <w:t>اسکات گالوو</w:t>
      </w:r>
      <w:r w:rsidRPr="0025250D">
        <w:rPr>
          <w:rFonts w:hint="cs"/>
          <w:rtl/>
        </w:rPr>
        <w:t>ی</w:t>
      </w:r>
      <w:r w:rsidRPr="0025250D">
        <w:rPr>
          <w:vertAlign w:val="superscript"/>
          <w:rtl/>
        </w:rPr>
        <w:footnoteReference w:id="1793"/>
      </w:r>
      <w:r w:rsidRPr="0025250D">
        <w:rPr>
          <w:rFonts w:hint="cs"/>
          <w:rtl/>
        </w:rPr>
        <w:t xml:space="preserve"> با عنوان چهار شرکت: </w:t>
      </w:r>
      <w:r w:rsidRPr="0025250D">
        <w:t>DNA</w:t>
      </w:r>
      <w:r w:rsidRPr="0025250D">
        <w:rPr>
          <w:rFonts w:hint="cs"/>
          <w:rtl/>
        </w:rPr>
        <w:t xml:space="preserve"> پنهان </w:t>
      </w:r>
      <w:r w:rsidRPr="0025250D">
        <w:rPr>
          <w:rtl/>
        </w:rPr>
        <w:t>آمازون</w:t>
      </w:r>
      <w:r w:rsidRPr="0025250D">
        <w:rPr>
          <w:rFonts w:hint="cs"/>
          <w:rtl/>
        </w:rPr>
        <w:t xml:space="preserve">، اپل، </w:t>
      </w:r>
      <w:r w:rsidRPr="0025250D">
        <w:rPr>
          <w:rtl/>
        </w:rPr>
        <w:t>ف</w:t>
      </w:r>
      <w:r w:rsidRPr="0025250D">
        <w:rPr>
          <w:rFonts w:hint="cs"/>
          <w:rtl/>
        </w:rPr>
        <w:t>ی</w:t>
      </w:r>
      <w:r w:rsidRPr="0025250D">
        <w:rPr>
          <w:rFonts w:hint="eastAsia"/>
          <w:rtl/>
        </w:rPr>
        <w:t>س</w:t>
      </w:r>
      <w:r w:rsidRPr="0025250D">
        <w:rPr>
          <w:rtl/>
        </w:rPr>
        <w:t xml:space="preserve"> بوک</w:t>
      </w:r>
      <w:r w:rsidR="008D6F97" w:rsidRPr="0025250D">
        <w:rPr>
          <w:rtl/>
        </w:rPr>
        <w:t xml:space="preserve"> </w:t>
      </w:r>
      <w:r w:rsidRPr="0025250D">
        <w:rPr>
          <w:rFonts w:hint="cs"/>
          <w:rtl/>
        </w:rPr>
        <w:t xml:space="preserve">و </w:t>
      </w:r>
      <w:r w:rsidRPr="0025250D">
        <w:rPr>
          <w:rtl/>
        </w:rPr>
        <w:t>گوگل</w:t>
      </w:r>
      <w:r w:rsidRPr="0025250D">
        <w:rPr>
          <w:vertAlign w:val="superscript"/>
          <w:rtl/>
        </w:rPr>
        <w:footnoteReference w:id="1794"/>
      </w:r>
      <w:r w:rsidRPr="0025250D">
        <w:rPr>
          <w:rFonts w:hint="cs"/>
          <w:rtl/>
        </w:rPr>
        <w:t xml:space="preserve"> در سال 2017 را برای مثال‌هایی از مدیریت </w:t>
      </w:r>
      <w:r w:rsidR="00701E03" w:rsidRPr="0025250D">
        <w:rPr>
          <w:rFonts w:hint="cs"/>
          <w:rtl/>
        </w:rPr>
        <w:t>راهبردی</w:t>
      </w:r>
      <w:r w:rsidRPr="0025250D">
        <w:rPr>
          <w:rFonts w:hint="cs"/>
          <w:rtl/>
        </w:rPr>
        <w:t xml:space="preserve"> هوشمند توسط تیم‌هایی در چهار غول </w:t>
      </w:r>
      <w:r w:rsidR="007A53FD" w:rsidRPr="0025250D">
        <w:rPr>
          <w:rFonts w:hint="cs"/>
          <w:rtl/>
        </w:rPr>
        <w:t>فناوری</w:t>
      </w:r>
      <w:r w:rsidRPr="0025250D">
        <w:rPr>
          <w:rFonts w:hint="cs"/>
          <w:rtl/>
        </w:rPr>
        <w:t xml:space="preserve"> فعلی آمریکا ببینید. شرکت‌های </w:t>
      </w:r>
      <w:r w:rsidR="007A53FD" w:rsidRPr="0025250D">
        <w:rPr>
          <w:rFonts w:hint="cs"/>
          <w:rtl/>
        </w:rPr>
        <w:t>فناوری</w:t>
      </w:r>
      <w:r w:rsidRPr="0025250D">
        <w:rPr>
          <w:rFonts w:hint="cs"/>
          <w:rtl/>
        </w:rPr>
        <w:t xml:space="preserve"> برتر اکنون </w:t>
      </w:r>
      <w:r w:rsidR="008F0DD8" w:rsidRPr="0025250D">
        <w:rPr>
          <w:rFonts w:hint="cs"/>
          <w:rtl/>
        </w:rPr>
        <w:t>آن‌قدر</w:t>
      </w:r>
      <w:r w:rsidRPr="0025250D">
        <w:rPr>
          <w:rFonts w:hint="cs"/>
          <w:rtl/>
        </w:rPr>
        <w:t xml:space="preserve"> موفق هستند که </w:t>
      </w:r>
      <w:r w:rsidR="002C2EAB" w:rsidRPr="0025250D">
        <w:rPr>
          <w:rFonts w:hint="cs"/>
          <w:rtl/>
        </w:rPr>
        <w:t>باید</w:t>
      </w:r>
      <w:r w:rsidRPr="0025250D">
        <w:rPr>
          <w:rFonts w:hint="cs"/>
          <w:rtl/>
        </w:rPr>
        <w:t xml:space="preserve"> مقررات بسیار قوی تری برای آن‌ها وضع شوند و موارد متعددی به اقدامات ضد انحصاری نیاز دارند. همچنین کتاب ماشین، پلتفرم، مردم</w:t>
      </w:r>
      <w:r w:rsidRPr="0025250D">
        <w:rPr>
          <w:vertAlign w:val="superscript"/>
          <w:rtl/>
        </w:rPr>
        <w:footnoteReference w:id="1795"/>
      </w:r>
      <w:r w:rsidRPr="0025250D">
        <w:rPr>
          <w:rFonts w:hint="cs"/>
          <w:rtl/>
        </w:rPr>
        <w:t xml:space="preserve"> اثر </w:t>
      </w:r>
      <w:r w:rsidRPr="0025250D">
        <w:rPr>
          <w:rtl/>
        </w:rPr>
        <w:t>مک آف</w:t>
      </w:r>
      <w:r w:rsidRPr="0025250D">
        <w:rPr>
          <w:rFonts w:hint="cs"/>
          <w:rtl/>
        </w:rPr>
        <w:t xml:space="preserve">ی و </w:t>
      </w:r>
      <w:r w:rsidRPr="0025250D">
        <w:rPr>
          <w:rtl/>
        </w:rPr>
        <w:t>بر</w:t>
      </w:r>
      <w:r w:rsidRPr="0025250D">
        <w:rPr>
          <w:rFonts w:hint="cs"/>
          <w:rtl/>
        </w:rPr>
        <w:t>ی</w:t>
      </w:r>
      <w:r w:rsidRPr="0025250D">
        <w:rPr>
          <w:rFonts w:hint="eastAsia"/>
          <w:rtl/>
        </w:rPr>
        <w:t>ن</w:t>
      </w:r>
      <w:r w:rsidRPr="0025250D">
        <w:rPr>
          <w:rFonts w:hint="cs"/>
          <w:rtl/>
        </w:rPr>
        <w:t>ی</w:t>
      </w:r>
      <w:r w:rsidRPr="0025250D">
        <w:rPr>
          <w:rFonts w:hint="eastAsia"/>
          <w:rtl/>
        </w:rPr>
        <w:t>ولفسون</w:t>
      </w:r>
      <w:r w:rsidRPr="0025250D">
        <w:rPr>
          <w:rFonts w:hint="cs"/>
          <w:rtl/>
        </w:rPr>
        <w:t xml:space="preserve"> در سال 2017 را درمورد سه روند مبتنی بر </w:t>
      </w:r>
      <w:r w:rsidR="007A53FD" w:rsidRPr="0025250D">
        <w:rPr>
          <w:rFonts w:hint="cs"/>
          <w:rtl/>
        </w:rPr>
        <w:t>فناوری</w:t>
      </w:r>
      <w:r w:rsidRPr="0025250D">
        <w:rPr>
          <w:rFonts w:hint="cs"/>
          <w:rtl/>
        </w:rPr>
        <w:t xml:space="preserve"> (نرم افزار‌های مبتنی بر داده‌ها، اپلیکیشن به‌عنوان پلتفرم و تولید و بازخورد جمعی) که به پیشران‌های حیاتی تغییر تبدیل </w:t>
      </w:r>
      <w:r w:rsidR="00185F3E" w:rsidRPr="0025250D">
        <w:rPr>
          <w:rFonts w:hint="cs"/>
          <w:rtl/>
        </w:rPr>
        <w:t>شده‌اند</w:t>
      </w:r>
      <w:r w:rsidRPr="0025250D">
        <w:rPr>
          <w:rFonts w:hint="cs"/>
          <w:rtl/>
        </w:rPr>
        <w:t>، پیشنهاد می‌کنیم. آن‌ها روندهای توسعه جدیدی (</w:t>
      </w:r>
      <w:r w:rsidR="00923DDB" w:rsidRPr="0025250D">
        <w:rPr>
          <w:rtl/>
        </w:rPr>
        <w:t>پیش‌انگاری</w:t>
      </w:r>
      <w:r w:rsidRPr="0025250D">
        <w:rPr>
          <w:rFonts w:hint="cs"/>
          <w:rtl/>
        </w:rPr>
        <w:t xml:space="preserve"> ها) هستند که می‌توانیم از آن‌ها به خوبی یا نه چندان خوب، بسته به </w:t>
      </w:r>
      <w:r w:rsidR="00701E03" w:rsidRPr="0025250D">
        <w:rPr>
          <w:rFonts w:hint="cs"/>
          <w:rtl/>
        </w:rPr>
        <w:t>راهبرد</w:t>
      </w:r>
      <w:r w:rsidRPr="0025250D">
        <w:rPr>
          <w:rFonts w:hint="cs"/>
          <w:rtl/>
        </w:rPr>
        <w:t xml:space="preserve"> خودمان، استفاده کنیم.</w:t>
      </w:r>
    </w:p>
    <w:p w14:paraId="2BD11169" w14:textId="5D284D7B" w:rsidR="00537CC8" w:rsidRPr="0025250D" w:rsidRDefault="00537CC8" w:rsidP="00537CC8">
      <w:pPr>
        <w:rPr>
          <w:rtl/>
        </w:rPr>
      </w:pPr>
      <w:r w:rsidRPr="0025250D">
        <w:rPr>
          <w:rFonts w:hint="cs"/>
          <w:rtl/>
        </w:rPr>
        <w:t xml:space="preserve">به‌عنوان آخرین نکته اثبات کننده </w:t>
      </w:r>
      <w:r w:rsidR="00701E03" w:rsidRPr="0025250D">
        <w:rPr>
          <w:rFonts w:hint="cs"/>
          <w:rtl/>
        </w:rPr>
        <w:t>راهبرد</w:t>
      </w:r>
      <w:r w:rsidRPr="0025250D">
        <w:rPr>
          <w:rFonts w:hint="cs"/>
          <w:rtl/>
        </w:rPr>
        <w:t xml:space="preserve">مان در این بخش، داستان </w:t>
      </w:r>
      <w:r w:rsidRPr="0025250D">
        <w:rPr>
          <w:rtl/>
        </w:rPr>
        <w:t>ر</w:t>
      </w:r>
      <w:r w:rsidRPr="0025250D">
        <w:rPr>
          <w:rFonts w:hint="cs"/>
          <w:rtl/>
        </w:rPr>
        <w:t>ی</w:t>
      </w:r>
      <w:r w:rsidRPr="0025250D">
        <w:rPr>
          <w:rFonts w:hint="eastAsia"/>
          <w:rtl/>
        </w:rPr>
        <w:t>ک</w:t>
      </w:r>
      <w:r w:rsidRPr="0025250D">
        <w:rPr>
          <w:rtl/>
        </w:rPr>
        <w:t xml:space="preserve"> رسکولا</w:t>
      </w:r>
      <w:r w:rsidRPr="0025250D">
        <w:rPr>
          <w:vertAlign w:val="superscript"/>
          <w:rtl/>
        </w:rPr>
        <w:footnoteReference w:id="1796"/>
      </w:r>
      <w:r w:rsidRPr="0025250D">
        <w:rPr>
          <w:rFonts w:hint="cs"/>
          <w:rtl/>
        </w:rPr>
        <w:t xml:space="preserve"> را در نظر بگیرید. این داستان یک مثال قهرمانانه از رهبری که هر هشت مهارت را ادغام کرده و یک </w:t>
      </w:r>
      <w:r w:rsidR="00701E03" w:rsidRPr="0025250D">
        <w:rPr>
          <w:rFonts w:hint="cs"/>
          <w:rtl/>
        </w:rPr>
        <w:t>راهبرد</w:t>
      </w:r>
      <w:r w:rsidRPr="0025250D">
        <w:rPr>
          <w:rFonts w:hint="cs"/>
          <w:rtl/>
        </w:rPr>
        <w:t xml:space="preserve"> قدرتمند </w:t>
      </w:r>
      <w:r w:rsidR="002C2EAB" w:rsidRPr="0025250D">
        <w:rPr>
          <w:rFonts w:hint="cs"/>
          <w:rtl/>
        </w:rPr>
        <w:t xml:space="preserve">ایجاد کرد </w:t>
      </w:r>
      <w:r w:rsidRPr="0025250D">
        <w:rPr>
          <w:rFonts w:hint="cs"/>
          <w:rtl/>
        </w:rPr>
        <w:t xml:space="preserve">که به شکل </w:t>
      </w:r>
      <w:r w:rsidR="0008779C" w:rsidRPr="0025250D">
        <w:rPr>
          <w:rFonts w:hint="cs"/>
          <w:rtl/>
        </w:rPr>
        <w:t>موفقیت‌آمیز</w:t>
      </w:r>
      <w:r w:rsidRPr="0025250D">
        <w:rPr>
          <w:rFonts w:hint="cs"/>
          <w:rtl/>
        </w:rPr>
        <w:t xml:space="preserve">ی اجرا شد و در این فرایند جان هزاران نفر را نجات داد، ارائه می‌دهد. این نشانی از این نکته است که </w:t>
      </w:r>
      <w:r w:rsidRPr="0025250D">
        <w:rPr>
          <w:rtl/>
        </w:rPr>
        <w:t>آینده‌نگاری</w:t>
      </w:r>
      <w:r w:rsidRPr="0025250D">
        <w:rPr>
          <w:rFonts w:hint="cs"/>
          <w:rtl/>
        </w:rPr>
        <w:t xml:space="preserve"> در فرهنگ آمریکایی مدرن چقدر کم ارزش است که اقدامات </w:t>
      </w:r>
      <w:r w:rsidRPr="0025250D">
        <w:rPr>
          <w:rtl/>
        </w:rPr>
        <w:t>رسکولا</w:t>
      </w:r>
      <w:r w:rsidRPr="0025250D">
        <w:rPr>
          <w:rFonts w:hint="cs"/>
          <w:rtl/>
        </w:rPr>
        <w:t xml:space="preserve"> برای عموم مردم در ارتباط با رویداد مهم حملات تروریستی 11 سپتامبر که این اقدامات در آن روز رخ دادند، ناشناخته باقی مانده است</w:t>
      </w:r>
      <w:r w:rsidR="008D6F97" w:rsidRPr="0025250D">
        <w:rPr>
          <w:rtl/>
        </w:rPr>
        <w:t xml:space="preserve">؛ </w:t>
      </w:r>
      <w:r w:rsidRPr="0025250D">
        <w:rPr>
          <w:rFonts w:hint="cs"/>
          <w:rtl/>
        </w:rPr>
        <w:t>مانند هر داستان تاریخی حقیقی، این داستان درس‌های متعددی درمورد این که چگونه هر یک می‌توانیم برای احتمال و امکان فجایع، چه کوچک و چه بزرگ، برای خودمان، تیممان، سازمان‌ها و جوامعمان آماده شده و آن‌ها را ببینیم ارائه می‌دهد.</w:t>
      </w:r>
    </w:p>
    <w:p w14:paraId="0E95BB1F" w14:textId="77777777" w:rsidR="00537CC8" w:rsidRPr="0025250D" w:rsidRDefault="00537CC8" w:rsidP="00C330B2">
      <w:pPr>
        <w:jc w:val="center"/>
        <w:rPr>
          <w:rtl/>
        </w:rPr>
      </w:pPr>
      <w:r w:rsidRPr="0025250D">
        <w:rPr>
          <w:noProof/>
          <w:rtl/>
          <w:lang w:bidi="ar-SA"/>
        </w:rPr>
        <w:drawing>
          <wp:inline distT="0" distB="0" distL="0" distR="0" wp14:anchorId="42A482FF" wp14:editId="57D04757">
            <wp:extent cx="1665879" cy="2238053"/>
            <wp:effectExtent l="0" t="0" r="0" b="0"/>
            <wp:docPr id="98" name="Picture 98" descr="D:\کار\مستقل\3 ( ترجمه ی دانشگاه تهران  )\Introduction to Foresight\part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4\16.png"/>
                    <pic:cNvPicPr>
                      <a:picLocks noChangeAspect="1" noChangeArrowheads="1"/>
                    </pic:cNvPicPr>
                  </pic:nvPicPr>
                  <pic:blipFill rotWithShape="1">
                    <a:blip r:embed="rId153" cstate="screen">
                      <a:extLst>
                        <a:ext uri="{BEBA8EAE-BF5A-486C-A8C5-ECC9F3942E4B}">
                          <a14:imgProps xmlns:a14="http://schemas.microsoft.com/office/drawing/2010/main">
                            <a14:imgLayer r:embed="rId154">
                              <a14:imgEffect>
                                <a14:saturation sat="0"/>
                              </a14:imgEffect>
                            </a14:imgLayer>
                          </a14:imgProps>
                        </a:ext>
                        <a:ext uri="{28A0092B-C50C-407E-A947-70E740481C1C}">
                          <a14:useLocalDpi xmlns:a14="http://schemas.microsoft.com/office/drawing/2010/main"/>
                        </a:ext>
                      </a:extLst>
                    </a:blip>
                    <a:srcRect/>
                    <a:stretch/>
                  </pic:blipFill>
                  <pic:spPr bwMode="auto">
                    <a:xfrm>
                      <a:off x="0" y="0"/>
                      <a:ext cx="1669238" cy="2242565"/>
                    </a:xfrm>
                    <a:prstGeom prst="rect">
                      <a:avLst/>
                    </a:prstGeom>
                    <a:noFill/>
                    <a:ln>
                      <a:noFill/>
                    </a:ln>
                    <a:extLst>
                      <a:ext uri="{53640926-AAD7-44D8-BBD7-CCE9431645EC}">
                        <a14:shadowObscured xmlns:a14="http://schemas.microsoft.com/office/drawing/2010/main"/>
                      </a:ext>
                    </a:extLst>
                  </pic:spPr>
                </pic:pic>
              </a:graphicData>
            </a:graphic>
          </wp:inline>
        </w:drawing>
      </w:r>
    </w:p>
    <w:p w14:paraId="21383CCD" w14:textId="77777777" w:rsidR="00537CC8" w:rsidRPr="0025250D" w:rsidRDefault="00537CC8" w:rsidP="00C330B2">
      <w:pPr>
        <w:jc w:val="center"/>
        <w:rPr>
          <w:rtl/>
        </w:rPr>
      </w:pPr>
      <w:r w:rsidRPr="0025250D">
        <w:rPr>
          <w:rFonts w:hint="cs"/>
          <w:rtl/>
        </w:rPr>
        <w:t>ریک رسکولا</w:t>
      </w:r>
    </w:p>
    <w:p w14:paraId="05814238" w14:textId="1F91C85C" w:rsidR="00537CC8" w:rsidRPr="0025250D" w:rsidRDefault="00537CC8" w:rsidP="00537CC8">
      <w:pPr>
        <w:rPr>
          <w:rtl/>
        </w:rPr>
      </w:pPr>
      <w:r w:rsidRPr="0025250D">
        <w:rPr>
          <w:rtl/>
        </w:rPr>
        <w:t>رسکولا</w:t>
      </w:r>
      <w:r w:rsidRPr="0025250D">
        <w:rPr>
          <w:rFonts w:hint="cs"/>
          <w:rtl/>
        </w:rPr>
        <w:t xml:space="preserve"> یک افسر مورد احترام در ارتش انگلستان، </w:t>
      </w:r>
      <w:r w:rsidRPr="0025250D">
        <w:rPr>
          <w:rtl/>
        </w:rPr>
        <w:t>رودز</w:t>
      </w:r>
      <w:r w:rsidRPr="0025250D">
        <w:rPr>
          <w:rFonts w:hint="cs"/>
          <w:rtl/>
        </w:rPr>
        <w:t>ی</w:t>
      </w:r>
      <w:r w:rsidRPr="0025250D">
        <w:rPr>
          <w:rFonts w:hint="eastAsia"/>
          <w:rtl/>
        </w:rPr>
        <w:t>ان</w:t>
      </w:r>
      <w:r w:rsidRPr="0025250D">
        <w:rPr>
          <w:vertAlign w:val="superscript"/>
          <w:rtl/>
        </w:rPr>
        <w:footnoteReference w:id="1797"/>
      </w:r>
      <w:r w:rsidRPr="0025250D">
        <w:rPr>
          <w:rFonts w:hint="cs"/>
          <w:rtl/>
        </w:rPr>
        <w:t xml:space="preserve"> و آمریکا به‌عنوان یک کلنل در جنگ ویتنام بود. پس از باگشت به آمریکا از جنگ ویتنام، او کتابی در مورد عدالت جنایی</w:t>
      </w:r>
      <w:r w:rsidRPr="0025250D">
        <w:rPr>
          <w:vertAlign w:val="superscript"/>
          <w:rtl/>
        </w:rPr>
        <w:footnoteReference w:id="1798"/>
      </w:r>
      <w:r w:rsidRPr="0025250D">
        <w:rPr>
          <w:rFonts w:hint="cs"/>
          <w:rtl/>
        </w:rPr>
        <w:t xml:space="preserve"> نوشت، سپس برای حقوق و مسئولیت بیش‌تر معلمی را کنار گذاشته و به امنیت شرکتی روی آورد. او حرفه شرکتی خود را به‌عنوان یک عضو غیر ناظر تیم امنیتی </w:t>
      </w:r>
      <w:r w:rsidRPr="0025250D">
        <w:rPr>
          <w:rtl/>
        </w:rPr>
        <w:t>د</w:t>
      </w:r>
      <w:r w:rsidRPr="0025250D">
        <w:rPr>
          <w:rFonts w:hint="cs"/>
          <w:rtl/>
        </w:rPr>
        <w:t>ی</w:t>
      </w:r>
      <w:r w:rsidRPr="0025250D">
        <w:rPr>
          <w:rFonts w:hint="eastAsia"/>
          <w:rtl/>
        </w:rPr>
        <w:t>ن</w:t>
      </w:r>
      <w:r w:rsidRPr="0025250D">
        <w:rPr>
          <w:rtl/>
        </w:rPr>
        <w:t xml:space="preserve"> و</w:t>
      </w:r>
      <w:r w:rsidRPr="0025250D">
        <w:rPr>
          <w:rFonts w:hint="cs"/>
          <w:rtl/>
        </w:rPr>
        <w:t>ی</w:t>
      </w:r>
      <w:r w:rsidRPr="0025250D">
        <w:rPr>
          <w:rFonts w:hint="eastAsia"/>
          <w:rtl/>
        </w:rPr>
        <w:t>تر</w:t>
      </w:r>
      <w:r w:rsidRPr="0025250D">
        <w:rPr>
          <w:rtl/>
        </w:rPr>
        <w:t xml:space="preserve"> ر</w:t>
      </w:r>
      <w:r w:rsidRPr="0025250D">
        <w:rPr>
          <w:rFonts w:hint="cs"/>
          <w:rtl/>
        </w:rPr>
        <w:t>ی</w:t>
      </w:r>
      <w:r w:rsidRPr="0025250D">
        <w:rPr>
          <w:rFonts w:hint="eastAsia"/>
          <w:rtl/>
        </w:rPr>
        <w:t>نولدز</w:t>
      </w:r>
      <w:r w:rsidRPr="0025250D">
        <w:rPr>
          <w:vertAlign w:val="superscript"/>
          <w:rtl/>
        </w:rPr>
        <w:footnoteReference w:id="1799"/>
      </w:r>
      <w:r w:rsidRPr="0025250D">
        <w:rPr>
          <w:rFonts w:hint="cs"/>
          <w:rtl/>
        </w:rPr>
        <w:t xml:space="preserve"> در دفاتر مرکز تجارت جهانی</w:t>
      </w:r>
      <w:r w:rsidRPr="0025250D">
        <w:rPr>
          <w:vertAlign w:val="superscript"/>
          <w:rtl/>
        </w:rPr>
        <w:footnoteReference w:id="1800"/>
      </w:r>
      <w:r w:rsidRPr="0025250D">
        <w:rPr>
          <w:rFonts w:hint="cs"/>
          <w:rtl/>
        </w:rPr>
        <w:t xml:space="preserve"> آن‌ها در شهر نیویورک در سال 1985 آغاز کرد. پس از بمب گذاری تروریستی سال 1988 در پرواز</w:t>
      </w:r>
      <w:r w:rsidR="00C7712C" w:rsidRPr="0025250D">
        <w:rPr>
          <w:rFonts w:hint="cs"/>
          <w:rtl/>
        </w:rPr>
        <w:t xml:space="preserve"> پان اِم فلایت 103</w:t>
      </w:r>
      <w:r w:rsidR="00C7712C" w:rsidRPr="0025250D">
        <w:rPr>
          <w:rStyle w:val="FootnoteReference"/>
          <w:rtl/>
        </w:rPr>
        <w:footnoteReference w:id="1801"/>
      </w:r>
      <w:r w:rsidRPr="0025250D">
        <w:rPr>
          <w:rFonts w:hint="cs"/>
          <w:rtl/>
        </w:rPr>
        <w:t xml:space="preserve"> بر روی شهر </w:t>
      </w:r>
      <w:r w:rsidRPr="0025250D">
        <w:rPr>
          <w:rtl/>
        </w:rPr>
        <w:t>لاکرب</w:t>
      </w:r>
      <w:r w:rsidRPr="0025250D">
        <w:rPr>
          <w:rFonts w:hint="cs"/>
          <w:rtl/>
        </w:rPr>
        <w:t>ی</w:t>
      </w:r>
      <w:r w:rsidRPr="0025250D">
        <w:rPr>
          <w:vertAlign w:val="superscript"/>
          <w:rtl/>
        </w:rPr>
        <w:footnoteReference w:id="1802"/>
      </w:r>
      <w:r w:rsidRPr="0025250D">
        <w:rPr>
          <w:rFonts w:hint="cs"/>
          <w:rtl/>
        </w:rPr>
        <w:t xml:space="preserve"> در اسکاتلند، او یک حمله تروریستی </w:t>
      </w:r>
      <w:r w:rsidR="00923DDB" w:rsidRPr="0025250D">
        <w:rPr>
          <w:rFonts w:hint="cs"/>
          <w:rtl/>
        </w:rPr>
        <w:t>باورپذیر</w:t>
      </w:r>
      <w:r w:rsidRPr="0025250D">
        <w:rPr>
          <w:rFonts w:hint="cs"/>
          <w:rtl/>
        </w:rPr>
        <w:t xml:space="preserve"> بر روی مرکز تجارت جهانی را </w:t>
      </w:r>
      <w:r w:rsidR="00923DDB" w:rsidRPr="0025250D">
        <w:rPr>
          <w:rFonts w:hint="cs"/>
          <w:rtl/>
        </w:rPr>
        <w:t>پیش‌انگاری</w:t>
      </w:r>
      <w:r w:rsidRPr="0025250D">
        <w:rPr>
          <w:rFonts w:hint="cs"/>
          <w:rtl/>
        </w:rPr>
        <w:t xml:space="preserve"> کرد. او از یک همکار آموزش دیده در اقدامات ضد تروریستی، </w:t>
      </w:r>
      <w:r w:rsidRPr="0025250D">
        <w:rPr>
          <w:rtl/>
        </w:rPr>
        <w:t>دان</w:t>
      </w:r>
      <w:r w:rsidRPr="0025250D">
        <w:rPr>
          <w:rFonts w:hint="cs"/>
          <w:rtl/>
        </w:rPr>
        <w:t>ی</w:t>
      </w:r>
      <w:r w:rsidRPr="0025250D">
        <w:rPr>
          <w:rFonts w:hint="eastAsia"/>
          <w:rtl/>
        </w:rPr>
        <w:t>ل</w:t>
      </w:r>
      <w:r w:rsidRPr="0025250D">
        <w:rPr>
          <w:rtl/>
        </w:rPr>
        <w:t xml:space="preserve"> ه</w:t>
      </w:r>
      <w:r w:rsidRPr="0025250D">
        <w:rPr>
          <w:rFonts w:hint="cs"/>
          <w:rtl/>
        </w:rPr>
        <w:t>ی</w:t>
      </w:r>
      <w:r w:rsidRPr="0025250D">
        <w:rPr>
          <w:rFonts w:hint="eastAsia"/>
          <w:rtl/>
        </w:rPr>
        <w:t>ل</w:t>
      </w:r>
      <w:r w:rsidRPr="0025250D">
        <w:rPr>
          <w:vertAlign w:val="superscript"/>
          <w:rtl/>
        </w:rPr>
        <w:footnoteReference w:id="1803"/>
      </w:r>
      <w:r w:rsidRPr="0025250D">
        <w:rPr>
          <w:rFonts w:hint="cs"/>
          <w:rtl/>
        </w:rPr>
        <w:t>، خواست که امنیت مرکز تجارت جهانی (</w:t>
      </w:r>
      <w:r w:rsidRPr="0025250D">
        <w:t>WTC</w:t>
      </w:r>
      <w:r w:rsidRPr="0025250D">
        <w:rPr>
          <w:rFonts w:hint="cs"/>
          <w:rtl/>
        </w:rPr>
        <w:t>) را در مقابل تهدید‌ها و آسیب پذیری‌ها بازبینی کند. در بازی‌های شبیه سازی جنگی، این کار تمرین تیم قرمز</w:t>
      </w:r>
      <w:r w:rsidRPr="0025250D">
        <w:rPr>
          <w:vertAlign w:val="superscript"/>
          <w:rtl/>
        </w:rPr>
        <w:footnoteReference w:id="1804"/>
      </w:r>
      <w:r w:rsidRPr="0025250D">
        <w:rPr>
          <w:rFonts w:hint="cs"/>
          <w:rtl/>
        </w:rPr>
        <w:t xml:space="preserve"> نامیده می‌شود.</w:t>
      </w:r>
      <w:r w:rsidR="008D6F97" w:rsidRPr="0025250D">
        <w:rPr>
          <w:rtl/>
        </w:rPr>
        <w:t xml:space="preserve"> </w:t>
      </w:r>
      <w:r w:rsidRPr="0025250D">
        <w:rPr>
          <w:rFonts w:hint="cs"/>
          <w:rtl/>
        </w:rPr>
        <w:t xml:space="preserve">هیل متوجه دسترسی آسان به ستون‌های حامل بار در زیر زمین </w:t>
      </w:r>
      <w:r w:rsidRPr="0025250D">
        <w:t>WTC</w:t>
      </w:r>
      <w:r w:rsidRPr="0025250D">
        <w:rPr>
          <w:rFonts w:hint="cs"/>
          <w:rtl/>
        </w:rPr>
        <w:t xml:space="preserve"> شد و گفت </w:t>
      </w:r>
      <w:r w:rsidR="008202E6" w:rsidRPr="0025250D">
        <w:rPr>
          <w:rtl/>
        </w:rPr>
        <w:t>«</w:t>
      </w:r>
      <w:r w:rsidRPr="0025250D">
        <w:rPr>
          <w:rFonts w:hint="cs"/>
          <w:rtl/>
        </w:rPr>
        <w:t>من می‌توانم یک کامیون پر از مواد منفجره را وارد اینجا کنم، خودم بیرون بروم و آن را منفجر کنم</w:t>
      </w:r>
      <w:r w:rsidR="008202E6" w:rsidRPr="0025250D">
        <w:rPr>
          <w:rtl/>
        </w:rPr>
        <w:t>»</w:t>
      </w:r>
      <w:r w:rsidRPr="0025250D">
        <w:rPr>
          <w:rFonts w:hint="cs"/>
          <w:rtl/>
        </w:rPr>
        <w:t xml:space="preserve">. </w:t>
      </w:r>
      <w:r w:rsidRPr="0025250D">
        <w:rPr>
          <w:rtl/>
        </w:rPr>
        <w:t>رسکولا</w:t>
      </w:r>
      <w:r w:rsidRPr="0025250D">
        <w:rPr>
          <w:rFonts w:hint="cs"/>
          <w:rtl/>
        </w:rPr>
        <w:t xml:space="preserve"> و </w:t>
      </w:r>
      <w:r w:rsidRPr="0025250D">
        <w:rPr>
          <w:rtl/>
        </w:rPr>
        <w:t>ه</w:t>
      </w:r>
      <w:r w:rsidRPr="0025250D">
        <w:rPr>
          <w:rFonts w:hint="cs"/>
          <w:rtl/>
        </w:rPr>
        <w:t>ی</w:t>
      </w:r>
      <w:r w:rsidRPr="0025250D">
        <w:rPr>
          <w:rFonts w:hint="eastAsia"/>
          <w:rtl/>
        </w:rPr>
        <w:t>ل</w:t>
      </w:r>
      <w:r w:rsidRPr="0025250D">
        <w:rPr>
          <w:rFonts w:hint="cs"/>
          <w:rtl/>
        </w:rPr>
        <w:t xml:space="preserve"> سپس نامه مشترکی را به سازمان بنادر نیویورک و نیوجرسی نوشت</w:t>
      </w:r>
      <w:r w:rsidR="00C7712C" w:rsidRPr="0025250D">
        <w:rPr>
          <w:rFonts w:hint="cs"/>
          <w:rtl/>
        </w:rPr>
        <w:t>ند</w:t>
      </w:r>
      <w:r w:rsidRPr="0025250D">
        <w:rPr>
          <w:rFonts w:hint="cs"/>
          <w:rtl/>
        </w:rPr>
        <w:t xml:space="preserve"> و بر نیاز به ایمنی بیش‌تر در </w:t>
      </w:r>
      <w:r w:rsidRPr="0025250D">
        <w:t>WTC</w:t>
      </w:r>
      <w:r w:rsidRPr="0025250D">
        <w:rPr>
          <w:rFonts w:hint="cs"/>
          <w:rtl/>
        </w:rPr>
        <w:t>، به ویژه شامل زیرزمین اصرار کرد</w:t>
      </w:r>
      <w:r w:rsidR="00C7712C" w:rsidRPr="0025250D">
        <w:rPr>
          <w:rFonts w:hint="cs"/>
          <w:rtl/>
        </w:rPr>
        <w:t>ند</w:t>
      </w:r>
      <w:r w:rsidRPr="0025250D">
        <w:rPr>
          <w:rFonts w:hint="cs"/>
          <w:rtl/>
        </w:rPr>
        <w:t xml:space="preserve">. متأسفانه توصیه‌های </w:t>
      </w:r>
      <w:r w:rsidRPr="0025250D">
        <w:rPr>
          <w:rtl/>
        </w:rPr>
        <w:t>رسکولا</w:t>
      </w:r>
      <w:r w:rsidRPr="0025250D">
        <w:rPr>
          <w:rFonts w:hint="cs"/>
          <w:rtl/>
        </w:rPr>
        <w:t xml:space="preserve"> و </w:t>
      </w:r>
      <w:r w:rsidRPr="0025250D">
        <w:rPr>
          <w:rtl/>
        </w:rPr>
        <w:t>ه</w:t>
      </w:r>
      <w:r w:rsidRPr="0025250D">
        <w:rPr>
          <w:rFonts w:hint="cs"/>
          <w:rtl/>
        </w:rPr>
        <w:t>ی</w:t>
      </w:r>
      <w:r w:rsidRPr="0025250D">
        <w:rPr>
          <w:rFonts w:hint="eastAsia"/>
          <w:rtl/>
        </w:rPr>
        <w:t>ل</w:t>
      </w:r>
      <w:r w:rsidRPr="0025250D">
        <w:rPr>
          <w:rFonts w:hint="cs"/>
          <w:rtl/>
        </w:rPr>
        <w:t xml:space="preserve"> نادیده گرفته شدند و هیچ تغییر امنیتی رخ نداد. پس بمب گذاری در یک کامیون مواد منفجره در مرکز تجارت جهانی در سال 1993</w:t>
      </w:r>
      <w:r w:rsidR="008D6F97" w:rsidRPr="0025250D">
        <w:rPr>
          <w:rtl/>
        </w:rPr>
        <w:t xml:space="preserve"> </w:t>
      </w:r>
      <w:r w:rsidRPr="0025250D">
        <w:rPr>
          <w:rFonts w:hint="cs"/>
          <w:rtl/>
        </w:rPr>
        <w:t xml:space="preserve">که دقیقا </w:t>
      </w:r>
      <w:r w:rsidR="007118DE" w:rsidRPr="0025250D">
        <w:rPr>
          <w:rFonts w:hint="cs"/>
          <w:rtl/>
        </w:rPr>
        <w:t>همان‌طور</w:t>
      </w:r>
      <w:r w:rsidRPr="0025250D">
        <w:rPr>
          <w:rFonts w:hint="cs"/>
          <w:rtl/>
        </w:rPr>
        <w:t xml:space="preserve"> که تیم او </w:t>
      </w:r>
      <w:r w:rsidR="00D92F6E" w:rsidRPr="0025250D">
        <w:rPr>
          <w:rFonts w:hint="cs"/>
          <w:rtl/>
        </w:rPr>
        <w:t>پیش‌بین</w:t>
      </w:r>
      <w:r w:rsidRPr="0025250D">
        <w:rPr>
          <w:rFonts w:hint="cs"/>
          <w:rtl/>
        </w:rPr>
        <w:t xml:space="preserve">ی کرده بودند زیرزمین را هدف گرفت، </w:t>
      </w:r>
      <w:r w:rsidRPr="0025250D">
        <w:rPr>
          <w:rtl/>
        </w:rPr>
        <w:t>رسکولا</w:t>
      </w:r>
      <w:r w:rsidRPr="0025250D">
        <w:rPr>
          <w:rFonts w:hint="cs"/>
          <w:rtl/>
        </w:rPr>
        <w:t xml:space="preserve"> به سمت رئیس تیم امنیتی در </w:t>
      </w:r>
      <w:r w:rsidRPr="0025250D">
        <w:rPr>
          <w:rtl/>
        </w:rPr>
        <w:t>د</w:t>
      </w:r>
      <w:r w:rsidRPr="0025250D">
        <w:rPr>
          <w:rFonts w:hint="cs"/>
          <w:rtl/>
        </w:rPr>
        <w:t>ی</w:t>
      </w:r>
      <w:r w:rsidRPr="0025250D">
        <w:rPr>
          <w:rFonts w:hint="eastAsia"/>
          <w:rtl/>
        </w:rPr>
        <w:t>ن</w:t>
      </w:r>
      <w:r w:rsidRPr="0025250D">
        <w:rPr>
          <w:rtl/>
        </w:rPr>
        <w:t xml:space="preserve"> و</w:t>
      </w:r>
      <w:r w:rsidRPr="0025250D">
        <w:rPr>
          <w:rFonts w:hint="cs"/>
          <w:rtl/>
        </w:rPr>
        <w:t>ی</w:t>
      </w:r>
      <w:r w:rsidRPr="0025250D">
        <w:rPr>
          <w:rFonts w:hint="eastAsia"/>
          <w:rtl/>
        </w:rPr>
        <w:t>تر</w:t>
      </w:r>
      <w:r w:rsidRPr="0025250D">
        <w:rPr>
          <w:vertAlign w:val="superscript"/>
          <w:rtl/>
        </w:rPr>
        <w:footnoteReference w:id="1805"/>
      </w:r>
      <w:r w:rsidRPr="0025250D">
        <w:rPr>
          <w:rFonts w:hint="cs"/>
          <w:rtl/>
        </w:rPr>
        <w:t xml:space="preserve"> ترفیع یافت. او سپس </w:t>
      </w:r>
      <w:r w:rsidRPr="0025250D">
        <w:rPr>
          <w:rtl/>
        </w:rPr>
        <w:t>ه</w:t>
      </w:r>
      <w:r w:rsidRPr="0025250D">
        <w:rPr>
          <w:rFonts w:hint="cs"/>
          <w:rtl/>
        </w:rPr>
        <w:t>ی</w:t>
      </w:r>
      <w:r w:rsidRPr="0025250D">
        <w:rPr>
          <w:rFonts w:hint="eastAsia"/>
          <w:rtl/>
        </w:rPr>
        <w:t>ل</w:t>
      </w:r>
      <w:r w:rsidRPr="0025250D">
        <w:rPr>
          <w:rFonts w:hint="cs"/>
          <w:rtl/>
        </w:rPr>
        <w:t xml:space="preserve"> و متخصص دیگری به نام </w:t>
      </w:r>
      <w:r w:rsidRPr="0025250D">
        <w:rPr>
          <w:rtl/>
        </w:rPr>
        <w:t>فرد مک ب</w:t>
      </w:r>
      <w:r w:rsidRPr="0025250D">
        <w:rPr>
          <w:rFonts w:hint="cs"/>
          <w:rtl/>
        </w:rPr>
        <w:t>ی</w:t>
      </w:r>
      <w:r w:rsidRPr="0025250D">
        <w:rPr>
          <w:vertAlign w:val="superscript"/>
          <w:rtl/>
        </w:rPr>
        <w:footnoteReference w:id="1806"/>
      </w:r>
      <w:r w:rsidRPr="0025250D">
        <w:rPr>
          <w:rFonts w:hint="cs"/>
          <w:rtl/>
        </w:rPr>
        <w:t xml:space="preserve"> را به‌عنوان مشاور استخدام کرد و یک تیم مشاوره‌ای با تخصص‌ها و ذینفعان متنوع </w:t>
      </w:r>
      <w:r w:rsidR="00C7712C" w:rsidRPr="0025250D">
        <w:rPr>
          <w:rFonts w:hint="cs"/>
          <w:rtl/>
        </w:rPr>
        <w:t>ایجاد کرد</w:t>
      </w:r>
      <w:r w:rsidRPr="0025250D">
        <w:rPr>
          <w:rFonts w:hint="cs"/>
          <w:rtl/>
        </w:rPr>
        <w:t xml:space="preserve"> که به صورت غیر رسمی </w:t>
      </w:r>
      <w:r w:rsidR="008202E6" w:rsidRPr="0025250D">
        <w:rPr>
          <w:rtl/>
        </w:rPr>
        <w:t>«</w:t>
      </w:r>
      <w:r w:rsidRPr="0025250D">
        <w:rPr>
          <w:rFonts w:hint="cs"/>
          <w:rtl/>
        </w:rPr>
        <w:t xml:space="preserve">تیم </w:t>
      </w:r>
      <w:r w:rsidRPr="0025250D">
        <w:rPr>
          <w:rtl/>
        </w:rPr>
        <w:t>رسکولا</w:t>
      </w:r>
      <w:r w:rsidR="008202E6" w:rsidRPr="0025250D">
        <w:rPr>
          <w:rtl/>
        </w:rPr>
        <w:t>»</w:t>
      </w:r>
      <w:r w:rsidRPr="0025250D">
        <w:rPr>
          <w:rFonts w:hint="cs"/>
          <w:rtl/>
        </w:rPr>
        <w:t xml:space="preserve"> نامیده شد. هیل سپس </w:t>
      </w:r>
      <w:r w:rsidR="00D92F6E" w:rsidRPr="0025250D">
        <w:rPr>
          <w:rFonts w:hint="cs"/>
          <w:rtl/>
        </w:rPr>
        <w:t>پیش‌بین</w:t>
      </w:r>
      <w:r w:rsidRPr="0025250D">
        <w:rPr>
          <w:rFonts w:hint="cs"/>
          <w:rtl/>
        </w:rPr>
        <w:t xml:space="preserve">ی کرد که اولین حمله </w:t>
      </w:r>
      <w:r w:rsidRPr="0025250D">
        <w:t>WTC</w:t>
      </w:r>
      <w:r w:rsidRPr="0025250D">
        <w:rPr>
          <w:rFonts w:hint="cs"/>
          <w:rtl/>
        </w:rPr>
        <w:t xml:space="preserve"> احتمالا توسط یک امام جماعت رادیکال در مسجدی در نیویورک یا نیوجرسی </w:t>
      </w:r>
      <w:r w:rsidR="00B124DE" w:rsidRPr="0025250D">
        <w:rPr>
          <w:rFonts w:hint="cs"/>
          <w:rtl/>
        </w:rPr>
        <w:t>برنامه‌ریزی</w:t>
      </w:r>
      <w:r w:rsidRPr="0025250D">
        <w:rPr>
          <w:rFonts w:hint="cs"/>
          <w:rtl/>
        </w:rPr>
        <w:t xml:space="preserve"> شود. بعدا در آن سال، پیروی کنندگان از امام جماعتی به نام </w:t>
      </w:r>
      <w:r w:rsidRPr="0025250D">
        <w:rPr>
          <w:rtl/>
        </w:rPr>
        <w:t>عمر رحمان</w:t>
      </w:r>
      <w:r w:rsidRPr="0025250D">
        <w:rPr>
          <w:vertAlign w:val="superscript"/>
          <w:rtl/>
        </w:rPr>
        <w:footnoteReference w:id="1807"/>
      </w:r>
      <w:r w:rsidRPr="0025250D">
        <w:rPr>
          <w:rFonts w:hint="cs"/>
          <w:rtl/>
        </w:rPr>
        <w:t xml:space="preserve"> از بروکلین برای بمب گذاری دستگیری شدند.</w:t>
      </w:r>
    </w:p>
    <w:p w14:paraId="4AD6053B" w14:textId="295B9D75" w:rsidR="00537CC8" w:rsidRPr="0025250D" w:rsidRDefault="00537CC8" w:rsidP="00537CC8">
      <w:pPr>
        <w:rPr>
          <w:rtl/>
        </w:rPr>
      </w:pPr>
      <w:r w:rsidRPr="0025250D">
        <w:rPr>
          <w:rFonts w:hint="cs"/>
          <w:rtl/>
        </w:rPr>
        <w:t xml:space="preserve">سپس، </w:t>
      </w:r>
      <w:r w:rsidR="007118DE" w:rsidRPr="0025250D">
        <w:rPr>
          <w:rFonts w:hint="cs"/>
          <w:rtl/>
        </w:rPr>
        <w:t>همان‌طور</w:t>
      </w:r>
      <w:r w:rsidRPr="0025250D">
        <w:rPr>
          <w:rFonts w:hint="cs"/>
          <w:rtl/>
        </w:rPr>
        <w:t xml:space="preserve"> که </w:t>
      </w:r>
      <w:r w:rsidRPr="0025250D">
        <w:rPr>
          <w:rtl/>
        </w:rPr>
        <w:t>ج</w:t>
      </w:r>
      <w:r w:rsidRPr="0025250D">
        <w:rPr>
          <w:rFonts w:hint="cs"/>
          <w:rtl/>
        </w:rPr>
        <w:t>ی</w:t>
      </w:r>
      <w:r w:rsidRPr="0025250D">
        <w:rPr>
          <w:rFonts w:hint="eastAsia"/>
          <w:rtl/>
        </w:rPr>
        <w:t>مز</w:t>
      </w:r>
      <w:r w:rsidRPr="0025250D">
        <w:rPr>
          <w:rtl/>
        </w:rPr>
        <w:t xml:space="preserve"> استوارت</w:t>
      </w:r>
      <w:r w:rsidRPr="0025250D">
        <w:rPr>
          <w:vertAlign w:val="superscript"/>
          <w:rtl/>
        </w:rPr>
        <w:footnoteReference w:id="1808"/>
      </w:r>
      <w:r w:rsidRPr="0025250D">
        <w:rPr>
          <w:rFonts w:hint="cs"/>
          <w:rtl/>
        </w:rPr>
        <w:t xml:space="preserve"> در یک مقاله در سال 2002 در نیویورکر</w:t>
      </w:r>
      <w:r w:rsidRPr="0025250D">
        <w:rPr>
          <w:vertAlign w:val="superscript"/>
          <w:rtl/>
        </w:rPr>
        <w:footnoteReference w:id="1809"/>
      </w:r>
      <w:r w:rsidRPr="0025250D">
        <w:rPr>
          <w:rFonts w:hint="cs"/>
          <w:rtl/>
        </w:rPr>
        <w:t xml:space="preserve"> بیان می‌کند، بر اساس یک تمرین شبیه سازی پرواز انجام شده توسط </w:t>
      </w:r>
      <w:r w:rsidRPr="0025250D">
        <w:rPr>
          <w:rtl/>
        </w:rPr>
        <w:t>مک ب</w:t>
      </w:r>
      <w:r w:rsidRPr="0025250D">
        <w:rPr>
          <w:rFonts w:hint="cs"/>
          <w:rtl/>
        </w:rPr>
        <w:t xml:space="preserve">ی، تیم او یک </w:t>
      </w:r>
      <w:r w:rsidR="00701E03" w:rsidRPr="0025250D">
        <w:rPr>
          <w:rFonts w:hint="cs"/>
          <w:rtl/>
        </w:rPr>
        <w:t>فرانامه</w:t>
      </w:r>
      <w:r w:rsidRPr="0025250D">
        <w:rPr>
          <w:rFonts w:hint="cs"/>
          <w:rtl/>
        </w:rPr>
        <w:t xml:space="preserve"> ترسناک برای مدیریت </w:t>
      </w:r>
      <w:r w:rsidRPr="0025250D">
        <w:rPr>
          <w:rtl/>
        </w:rPr>
        <w:t>د</w:t>
      </w:r>
      <w:r w:rsidRPr="0025250D">
        <w:rPr>
          <w:rFonts w:hint="cs"/>
          <w:rtl/>
        </w:rPr>
        <w:t>ی</w:t>
      </w:r>
      <w:r w:rsidRPr="0025250D">
        <w:rPr>
          <w:rFonts w:hint="eastAsia"/>
          <w:rtl/>
        </w:rPr>
        <w:t>ن</w:t>
      </w:r>
      <w:r w:rsidRPr="0025250D">
        <w:rPr>
          <w:rtl/>
        </w:rPr>
        <w:t xml:space="preserve"> و</w:t>
      </w:r>
      <w:r w:rsidRPr="0025250D">
        <w:rPr>
          <w:rFonts w:hint="cs"/>
          <w:rtl/>
        </w:rPr>
        <w:t>ی</w:t>
      </w:r>
      <w:r w:rsidRPr="0025250D">
        <w:rPr>
          <w:rFonts w:hint="eastAsia"/>
          <w:rtl/>
        </w:rPr>
        <w:t>تر</w:t>
      </w:r>
      <w:r w:rsidRPr="0025250D">
        <w:rPr>
          <w:rFonts w:hint="cs"/>
          <w:rtl/>
        </w:rPr>
        <w:t xml:space="preserve"> درمورد این که حمله تروریستی بعدی به </w:t>
      </w:r>
      <w:r w:rsidRPr="0025250D">
        <w:t>WTC</w:t>
      </w:r>
      <w:r w:rsidRPr="0025250D">
        <w:rPr>
          <w:rFonts w:hint="cs"/>
          <w:rtl/>
        </w:rPr>
        <w:t xml:space="preserve"> ممکن است چگونه باشد ایجاد کردند. آن‌ها یک هواپیمای باری پر از مواد منفجره، سلاح‌های شیمیایی، رادیولوژیکی و </w:t>
      </w:r>
      <w:r w:rsidR="0044659F" w:rsidRPr="0025250D">
        <w:rPr>
          <w:rFonts w:hint="cs"/>
          <w:rtl/>
        </w:rPr>
        <w:t>زیستی</w:t>
      </w:r>
      <w:r w:rsidRPr="0025250D">
        <w:rPr>
          <w:rFonts w:hint="cs"/>
          <w:rtl/>
        </w:rPr>
        <w:t xml:space="preserve"> که می‌توانست </w:t>
      </w:r>
      <w:r w:rsidR="00B0171C" w:rsidRPr="0025250D">
        <w:rPr>
          <w:rFonts w:hint="cs"/>
          <w:rtl/>
        </w:rPr>
        <w:t>به‌سادگی</w:t>
      </w:r>
      <w:r w:rsidRPr="0025250D">
        <w:rPr>
          <w:rFonts w:hint="cs"/>
          <w:rtl/>
        </w:rPr>
        <w:t xml:space="preserve"> توسط تروریست‌ها برای برخورد با این برج‌ها استفاده شود را متصور شدند. گزارش آن‌ها بیان می‌کرد که </w:t>
      </w:r>
      <w:r w:rsidR="008202E6" w:rsidRPr="0025250D">
        <w:rPr>
          <w:rtl/>
        </w:rPr>
        <w:t>«</w:t>
      </w:r>
      <w:r w:rsidRPr="0025250D">
        <w:rPr>
          <w:rFonts w:hint="cs"/>
          <w:rtl/>
        </w:rPr>
        <w:t>در زمین ایمنی وجود دارد، اما حمله بعدی می‌تواند از آسمان فرا رسد</w:t>
      </w:r>
      <w:r w:rsidR="008202E6" w:rsidRPr="0025250D">
        <w:rPr>
          <w:rtl/>
        </w:rPr>
        <w:t>»</w:t>
      </w:r>
      <w:r w:rsidRPr="0025250D">
        <w:rPr>
          <w:rFonts w:hint="cs"/>
          <w:rtl/>
        </w:rPr>
        <w:t>.</w:t>
      </w:r>
    </w:p>
    <w:p w14:paraId="0F938CB1" w14:textId="5EAA245B" w:rsidR="00537CC8" w:rsidRPr="0025250D" w:rsidRDefault="00537CC8" w:rsidP="00537CC8">
      <w:pPr>
        <w:rPr>
          <w:rtl/>
        </w:rPr>
      </w:pPr>
      <w:r w:rsidRPr="0025250D">
        <w:rPr>
          <w:rFonts w:hint="cs"/>
          <w:rtl/>
        </w:rPr>
        <w:t xml:space="preserve">وقتی </w:t>
      </w:r>
      <w:r w:rsidRPr="0025250D">
        <w:rPr>
          <w:rtl/>
        </w:rPr>
        <w:t>د</w:t>
      </w:r>
      <w:r w:rsidRPr="0025250D">
        <w:rPr>
          <w:rFonts w:hint="cs"/>
          <w:rtl/>
        </w:rPr>
        <w:t>ی</w:t>
      </w:r>
      <w:r w:rsidRPr="0025250D">
        <w:rPr>
          <w:rFonts w:hint="eastAsia"/>
          <w:rtl/>
        </w:rPr>
        <w:t>ن</w:t>
      </w:r>
      <w:r w:rsidRPr="0025250D">
        <w:rPr>
          <w:rtl/>
        </w:rPr>
        <w:t xml:space="preserve"> و</w:t>
      </w:r>
      <w:r w:rsidRPr="0025250D">
        <w:rPr>
          <w:rFonts w:hint="cs"/>
          <w:rtl/>
        </w:rPr>
        <w:t>ی</w:t>
      </w:r>
      <w:r w:rsidRPr="0025250D">
        <w:rPr>
          <w:rFonts w:hint="eastAsia"/>
          <w:rtl/>
        </w:rPr>
        <w:t>تر</w:t>
      </w:r>
      <w:r w:rsidRPr="0025250D">
        <w:rPr>
          <w:rFonts w:hint="cs"/>
          <w:rtl/>
        </w:rPr>
        <w:t xml:space="preserve"> با </w:t>
      </w:r>
      <w:r w:rsidRPr="0025250D">
        <w:rPr>
          <w:rtl/>
        </w:rPr>
        <w:t>مورگان استنل</w:t>
      </w:r>
      <w:r w:rsidRPr="0025250D">
        <w:rPr>
          <w:rFonts w:hint="cs"/>
          <w:rtl/>
        </w:rPr>
        <w:t xml:space="preserve">ی در سال 1997 ادغام شد، </w:t>
      </w:r>
      <w:r w:rsidRPr="0025250D">
        <w:rPr>
          <w:rtl/>
        </w:rPr>
        <w:t>رسکولا</w:t>
      </w:r>
      <w:r w:rsidRPr="0025250D">
        <w:rPr>
          <w:rFonts w:hint="cs"/>
          <w:rtl/>
        </w:rPr>
        <w:t xml:space="preserve"> به مافوق‌های خود توصیه کرد که </w:t>
      </w:r>
      <w:r w:rsidRPr="0025250D">
        <w:rPr>
          <w:rtl/>
        </w:rPr>
        <w:t>مورگان استنل</w:t>
      </w:r>
      <w:r w:rsidRPr="0025250D">
        <w:rPr>
          <w:rFonts w:hint="cs"/>
          <w:rtl/>
        </w:rPr>
        <w:t>ی برای ریسک امنیتی کم‌تر برج‌ها را به مقصد نیوجرسی ترک کند</w:t>
      </w:r>
      <w:r w:rsidR="008D6F97" w:rsidRPr="0025250D">
        <w:rPr>
          <w:rtl/>
        </w:rPr>
        <w:t xml:space="preserve">؛ </w:t>
      </w:r>
      <w:r w:rsidRPr="0025250D">
        <w:rPr>
          <w:rFonts w:hint="cs"/>
          <w:rtl/>
        </w:rPr>
        <w:t xml:space="preserve">اما مدت اجاره آن‌ها تا سال 2006 ادامه داشت و یک جابجایی در آن زمان از نظر مالی غیر ممکن بود، بنابراین </w:t>
      </w:r>
      <w:r w:rsidRPr="0025250D">
        <w:rPr>
          <w:rtl/>
        </w:rPr>
        <w:t>رسکولا</w:t>
      </w:r>
      <w:r w:rsidRPr="0025250D">
        <w:rPr>
          <w:rFonts w:hint="cs"/>
          <w:rtl/>
        </w:rPr>
        <w:t xml:space="preserve"> از اختیارات امنیتی خود برای ابداع یک برنامه تخلیه اضطراری برای همه کارمندان شرکت که 22 طبقه در برج جنوبی و چهار طبقه در یک ساختمان مجاور را اشغال می‌کردند استفاده کرد. به شکلی حیاتی، او همچنین دستور داد تا سامانه‌های خارج کننده دود و چراغ‌های اضطراری قدرتمند تری در راه پله‌های </w:t>
      </w:r>
      <w:r w:rsidRPr="0025250D">
        <w:t>WTC</w:t>
      </w:r>
      <w:r w:rsidRPr="0025250D">
        <w:rPr>
          <w:rFonts w:hint="cs"/>
          <w:rtl/>
        </w:rPr>
        <w:t xml:space="preserve"> نصب شوند. در نهایت، او مجموعه‌ای از تمرین‌ها و مانور‌های امنیتی را برای آموزش همه کارمندان شرکت در مورد سازو کار‌های تخلیه سریع ایجاد کرد. تا جایی که کارمندان به یاد دارند، این تمرین‌ها به تعداد دفعات کافی، هر 3 تا 6 ماه یک بار، انجام می‌شدند تا جایی که مدیریت ارشد را آزرده خاطر کردند.</w:t>
      </w:r>
    </w:p>
    <w:p w14:paraId="2A891720" w14:textId="17795B24" w:rsidR="00537CC8" w:rsidRPr="0025250D" w:rsidRDefault="00537CC8" w:rsidP="00537CC8">
      <w:pPr>
        <w:rPr>
          <w:rtl/>
        </w:rPr>
      </w:pPr>
      <w:r w:rsidRPr="0025250D">
        <w:rPr>
          <w:rFonts w:hint="cs"/>
          <w:rtl/>
        </w:rPr>
        <w:t xml:space="preserve">در صبح 11 سپتامبر 2001، </w:t>
      </w:r>
      <w:r w:rsidRPr="0025250D">
        <w:rPr>
          <w:rtl/>
        </w:rPr>
        <w:t>رسکولا</w:t>
      </w:r>
      <w:r w:rsidRPr="0025250D">
        <w:rPr>
          <w:rFonts w:hint="cs"/>
          <w:rtl/>
        </w:rPr>
        <w:t xml:space="preserve"> صدای انفجار را در برج شمالی </w:t>
      </w:r>
      <w:r w:rsidRPr="0025250D">
        <w:t>WTC</w:t>
      </w:r>
      <w:r w:rsidRPr="0025250D">
        <w:rPr>
          <w:rFonts w:hint="cs"/>
          <w:rtl/>
        </w:rPr>
        <w:t xml:space="preserve"> شنید</w:t>
      </w:r>
      <w:r w:rsidR="008D6F97" w:rsidRPr="0025250D">
        <w:rPr>
          <w:rtl/>
        </w:rPr>
        <w:t xml:space="preserve"> </w:t>
      </w:r>
      <w:r w:rsidRPr="0025250D">
        <w:rPr>
          <w:rFonts w:hint="cs"/>
          <w:rtl/>
        </w:rPr>
        <w:t xml:space="preserve">و فورا شروع به دستور دادن به همه کارمندان </w:t>
      </w:r>
      <w:r w:rsidRPr="0025250D">
        <w:rPr>
          <w:rtl/>
        </w:rPr>
        <w:t>مورگان استنل</w:t>
      </w:r>
      <w:r w:rsidRPr="0025250D">
        <w:rPr>
          <w:rFonts w:hint="cs"/>
          <w:rtl/>
        </w:rPr>
        <w:t xml:space="preserve">ی برای پایین رفتن از راه پله‌ها به صورت دو نفر دو نفر، طبق برنامه امنیتی کرد. او در اقدامی حیاتی، تصمیم به نادیده گرفتن اعلام عمومی سازمان بنادر در برج جنوبی، مبنی بر باقی ماندن کارمندان در پشت میز هایشان برای عدم مداخله در تخلیه برج جنوبی کرد. این دستور یک واکنش </w:t>
      </w:r>
      <w:r w:rsidR="005B1DA7" w:rsidRPr="0025250D">
        <w:rPr>
          <w:rtl/>
        </w:rPr>
        <w:t>«</w:t>
      </w:r>
      <w:r w:rsidRPr="0025250D">
        <w:rPr>
          <w:rFonts w:hint="cs"/>
          <w:rtl/>
        </w:rPr>
        <w:t>هیچ کاری انجام ندادن</w:t>
      </w:r>
      <w:r w:rsidR="005B1DA7" w:rsidRPr="0025250D">
        <w:rPr>
          <w:rtl/>
        </w:rPr>
        <w:t>»</w:t>
      </w:r>
      <w:r w:rsidRPr="0025250D">
        <w:rPr>
          <w:rFonts w:hint="cs"/>
          <w:rtl/>
        </w:rPr>
        <w:t xml:space="preserve"> معمول در پاسخ به بحران بود که در میان رهبران بدون </w:t>
      </w:r>
      <w:r w:rsidRPr="0025250D">
        <w:rPr>
          <w:rtl/>
        </w:rPr>
        <w:t>آینده‌نگاری</w:t>
      </w:r>
      <w:r w:rsidRPr="0025250D">
        <w:rPr>
          <w:rFonts w:hint="cs"/>
          <w:rtl/>
        </w:rPr>
        <w:t xml:space="preserve"> رایج است. او بینش لازم را داشت و به اجرای </w:t>
      </w:r>
      <w:r w:rsidR="00701E03" w:rsidRPr="0025250D">
        <w:rPr>
          <w:rFonts w:hint="cs"/>
          <w:rtl/>
        </w:rPr>
        <w:t>راهبرد</w:t>
      </w:r>
      <w:r w:rsidRPr="0025250D">
        <w:rPr>
          <w:rFonts w:hint="cs"/>
          <w:rtl/>
        </w:rPr>
        <w:t xml:space="preserve"> خود ادامه داد.</w:t>
      </w:r>
    </w:p>
    <w:p w14:paraId="684902A3" w14:textId="2EC320C1" w:rsidR="00537CC8" w:rsidRPr="0025250D" w:rsidRDefault="00537CC8" w:rsidP="00537CC8">
      <w:pPr>
        <w:rPr>
          <w:rtl/>
        </w:rPr>
      </w:pPr>
      <w:r w:rsidRPr="0025250D">
        <w:rPr>
          <w:rFonts w:hint="cs"/>
          <w:rtl/>
        </w:rPr>
        <w:t xml:space="preserve">به‌عنوان یک نتیجه </w:t>
      </w:r>
      <w:r w:rsidRPr="0025250D">
        <w:rPr>
          <w:rtl/>
        </w:rPr>
        <w:t>آینده‌نگاری</w:t>
      </w:r>
      <w:r w:rsidRPr="0025250D">
        <w:rPr>
          <w:rFonts w:hint="cs"/>
          <w:rtl/>
        </w:rPr>
        <w:t xml:space="preserve"> و عمل ستودنی </w:t>
      </w:r>
      <w:r w:rsidRPr="0025250D">
        <w:rPr>
          <w:rtl/>
        </w:rPr>
        <w:t>رسکولا</w:t>
      </w:r>
      <w:r w:rsidRPr="0025250D">
        <w:rPr>
          <w:rFonts w:hint="cs"/>
          <w:rtl/>
        </w:rPr>
        <w:t xml:space="preserve">، هم قبل و هم در زمان وقوع حادثه، او برای تخلیه </w:t>
      </w:r>
      <w:r w:rsidR="0008779C" w:rsidRPr="0025250D">
        <w:rPr>
          <w:rFonts w:hint="cs"/>
          <w:rtl/>
        </w:rPr>
        <w:t>موفقیت‌آمیز</w:t>
      </w:r>
      <w:r w:rsidRPr="0025250D">
        <w:rPr>
          <w:rFonts w:hint="cs"/>
          <w:rtl/>
        </w:rPr>
        <w:t xml:space="preserve"> همه 2687 کارمند به جز پنج نفر از این برج‌ها و ساختمان‌های اطراف قبل از فرو ریختن آن‌ها اعتبار یافت. او آخرین بار در طبقه دهم برج جنوبی، در حال حرکت به سمت بالا با بلند گوی دستی، بی سیم و گوشی خود دیده شد. او، آنطور که به همسر خود در تماس تلفنی با او تنها مدت کوتاهی قبل از فروریختن برج گفت، تصمیم گرفت تا زمانی که آخرین نفری که او مسئول حفاظت از آن‌ها بود از ساختمان خارج نشده است، در آنجا باقی بماند. مستند عالی شبکه هیستوری</w:t>
      </w:r>
      <w:r w:rsidRPr="0025250D">
        <w:rPr>
          <w:vertAlign w:val="superscript"/>
          <w:rtl/>
        </w:rPr>
        <w:footnoteReference w:id="1810"/>
      </w:r>
      <w:r w:rsidRPr="0025250D">
        <w:rPr>
          <w:rFonts w:hint="cs"/>
          <w:rtl/>
        </w:rPr>
        <w:t xml:space="preserve"> به نام مردی که 11 سپتامبر را </w:t>
      </w:r>
      <w:r w:rsidR="00D92F6E" w:rsidRPr="0025250D">
        <w:rPr>
          <w:rFonts w:hint="cs"/>
          <w:rtl/>
        </w:rPr>
        <w:t>پیش‌بین</w:t>
      </w:r>
      <w:r w:rsidRPr="0025250D">
        <w:rPr>
          <w:rFonts w:hint="cs"/>
          <w:rtl/>
        </w:rPr>
        <w:t>ی کرد</w:t>
      </w:r>
      <w:r w:rsidRPr="0025250D">
        <w:rPr>
          <w:vertAlign w:val="superscript"/>
          <w:rtl/>
        </w:rPr>
        <w:footnoteReference w:id="1811"/>
      </w:r>
      <w:r w:rsidRPr="0025250D">
        <w:rPr>
          <w:rFonts w:hint="cs"/>
          <w:rtl/>
        </w:rPr>
        <w:t xml:space="preserve"> در سال 2005 را برای مروری کلی این داستان الهام بخش و مهارت‌ها، عادات و ذهنیت‌هایی که یک رهبر برای تولید</w:t>
      </w:r>
      <w:r w:rsidR="008D6F97" w:rsidRPr="0025250D">
        <w:rPr>
          <w:rtl/>
        </w:rPr>
        <w:t xml:space="preserve"> </w:t>
      </w:r>
      <w:r w:rsidR="00923DDB" w:rsidRPr="0025250D">
        <w:rPr>
          <w:rtl/>
        </w:rPr>
        <w:t>آینده‌نگاری انطباقی</w:t>
      </w:r>
      <w:r w:rsidRPr="0025250D">
        <w:rPr>
          <w:rFonts w:hint="cs"/>
          <w:rtl/>
        </w:rPr>
        <w:t xml:space="preserve"> به آن‌ها نیاز دارد ببینید.</w:t>
      </w:r>
    </w:p>
    <w:p w14:paraId="53F70327" w14:textId="36C03C6D" w:rsidR="00537CC8" w:rsidRPr="0025250D" w:rsidRDefault="00537CC8" w:rsidP="00537CC8">
      <w:pPr>
        <w:rPr>
          <w:rtl/>
        </w:rPr>
      </w:pPr>
      <w:r w:rsidRPr="0025250D">
        <w:rPr>
          <w:rFonts w:hint="cs"/>
          <w:rtl/>
        </w:rPr>
        <w:t xml:space="preserve">داستان </w:t>
      </w:r>
      <w:r w:rsidRPr="0025250D">
        <w:rPr>
          <w:rtl/>
        </w:rPr>
        <w:t>رسکولا</w:t>
      </w:r>
      <w:r w:rsidRPr="0025250D">
        <w:rPr>
          <w:rFonts w:hint="cs"/>
          <w:rtl/>
        </w:rPr>
        <w:t xml:space="preserve"> مثال قدرتمندی از استفاده از هر یک از هشت مهارت را به ما ارائه می‌دهد. او در یادگیری (استفاده از متخصصین متنوع برای درک عمیق تری از تهدیدها)، در </w:t>
      </w:r>
      <w:r w:rsidR="00923DDB" w:rsidRPr="0025250D">
        <w:rPr>
          <w:rtl/>
        </w:rPr>
        <w:t>پیش‌انگاری</w:t>
      </w:r>
      <w:r w:rsidRPr="0025250D">
        <w:rPr>
          <w:rFonts w:hint="cs"/>
          <w:rtl/>
        </w:rPr>
        <w:t xml:space="preserve"> (</w:t>
      </w:r>
      <w:r w:rsidR="00D92F6E" w:rsidRPr="0025250D">
        <w:rPr>
          <w:rFonts w:hint="cs"/>
          <w:rtl/>
        </w:rPr>
        <w:t>پیش‌بین</w:t>
      </w:r>
      <w:r w:rsidRPr="0025250D">
        <w:rPr>
          <w:rFonts w:hint="cs"/>
          <w:rtl/>
        </w:rPr>
        <w:t xml:space="preserve">ی موفق ریسک‌های اصلی، بیش از یک بار)، نوآوری (مسئولیت پذیری برای ابداع و </w:t>
      </w:r>
      <w:r w:rsidR="00206F11" w:rsidRPr="0025250D">
        <w:rPr>
          <w:rFonts w:hint="cs"/>
          <w:rtl/>
        </w:rPr>
        <w:t>پیاده‌سازی</w:t>
      </w:r>
      <w:r w:rsidRPr="0025250D">
        <w:rPr>
          <w:rFonts w:hint="cs"/>
          <w:rtl/>
        </w:rPr>
        <w:t xml:space="preserve"> </w:t>
      </w:r>
      <w:r w:rsidR="00923DDB" w:rsidRPr="0025250D">
        <w:rPr>
          <w:rFonts w:hint="cs"/>
          <w:rtl/>
        </w:rPr>
        <w:t>راه‌حل</w:t>
      </w:r>
      <w:r w:rsidRPr="0025250D">
        <w:rPr>
          <w:rFonts w:hint="cs"/>
          <w:rtl/>
        </w:rPr>
        <w:t xml:space="preserve">‌های خلاقانه) و </w:t>
      </w:r>
      <w:r w:rsidR="00701E03" w:rsidRPr="0025250D">
        <w:rPr>
          <w:rFonts w:hint="cs"/>
          <w:rtl/>
        </w:rPr>
        <w:t>راهبرد</w:t>
      </w:r>
      <w:r w:rsidRPr="0025250D">
        <w:rPr>
          <w:rFonts w:hint="cs"/>
          <w:rtl/>
        </w:rPr>
        <w:t xml:space="preserve"> (ابداع، تمرین و اجرای پاسخ‌های امنیتی مؤثر، درون محدودیت‌های تنظیم شده توسط مافوق ها) اثربخش بود. او همچنین از اجرا، </w:t>
      </w:r>
      <w:r w:rsidR="0008779C" w:rsidRPr="0025250D">
        <w:rPr>
          <w:rFonts w:hint="cs"/>
          <w:rtl/>
        </w:rPr>
        <w:t>تاثیرگذاری</w:t>
      </w:r>
      <w:r w:rsidRPr="0025250D">
        <w:rPr>
          <w:rFonts w:hint="cs"/>
          <w:rtl/>
        </w:rPr>
        <w:t xml:space="preserve">، </w:t>
      </w:r>
      <w:r w:rsidR="0008779C" w:rsidRPr="0025250D">
        <w:rPr>
          <w:rFonts w:hint="cs"/>
          <w:rtl/>
        </w:rPr>
        <w:t>ارتباط‌دهی</w:t>
      </w:r>
      <w:r w:rsidRPr="0025250D">
        <w:rPr>
          <w:rFonts w:hint="cs"/>
          <w:rtl/>
        </w:rPr>
        <w:t xml:space="preserve"> و بازبینی برای اعمال پروتکل‌های امنیتی خود، برای ایمن سازی پوشش رهبران، آشنا سازی کارمندان با آن‌ها و بهبود پروتکل‌ها بر اساس بازخورد دوره‌ای استفاده کرد. در آخر، </w:t>
      </w:r>
      <w:r w:rsidRPr="0025250D">
        <w:rPr>
          <w:rtl/>
        </w:rPr>
        <w:t>رسکولا</w:t>
      </w:r>
      <w:r w:rsidRPr="0025250D">
        <w:rPr>
          <w:rFonts w:hint="cs"/>
          <w:rtl/>
        </w:rPr>
        <w:t xml:space="preserve"> همچنین اخلاق و </w:t>
      </w:r>
      <w:r w:rsidR="00A936B3" w:rsidRPr="0025250D">
        <w:rPr>
          <w:rFonts w:hint="cs"/>
          <w:rtl/>
        </w:rPr>
        <w:t>همدلی</w:t>
      </w:r>
      <w:r w:rsidRPr="0025250D">
        <w:rPr>
          <w:rFonts w:hint="cs"/>
          <w:rtl/>
        </w:rPr>
        <w:t xml:space="preserve"> مثال زدنی یک رهبر خوب را نیز از خود نشان داد.</w:t>
      </w:r>
    </w:p>
    <w:p w14:paraId="4640C423" w14:textId="07DAF49F" w:rsidR="00537CC8" w:rsidRPr="0025250D" w:rsidRDefault="00537CC8" w:rsidP="00537CC8">
      <w:pPr>
        <w:rPr>
          <w:rtl/>
        </w:rPr>
      </w:pPr>
      <w:r w:rsidRPr="0025250D">
        <w:rPr>
          <w:rFonts w:hint="cs"/>
          <w:rtl/>
        </w:rPr>
        <w:t xml:space="preserve">همچنین یک داستان خلاف واقع امنیتی در سطح دولتی نیز می‌توان به این داستان افزود. تصور کنید که یکی از دستیاران </w:t>
      </w:r>
      <w:r w:rsidRPr="0025250D">
        <w:rPr>
          <w:rtl/>
        </w:rPr>
        <w:t>رسکولا</w:t>
      </w:r>
      <w:r w:rsidRPr="0025250D">
        <w:rPr>
          <w:rFonts w:hint="cs"/>
          <w:rtl/>
        </w:rPr>
        <w:t xml:space="preserve"> یا یک نفر در بخش ضد تروریسم داخلی آمریکا، از </w:t>
      </w:r>
      <w:r w:rsidR="00701E03" w:rsidRPr="0025250D">
        <w:rPr>
          <w:rFonts w:hint="cs"/>
          <w:rtl/>
        </w:rPr>
        <w:t>فرانامه</w:t>
      </w:r>
      <w:r w:rsidRPr="0025250D">
        <w:rPr>
          <w:rFonts w:hint="cs"/>
          <w:rtl/>
        </w:rPr>
        <w:t xml:space="preserve"> هواپیمای تیم </w:t>
      </w:r>
      <w:r w:rsidRPr="0025250D">
        <w:rPr>
          <w:rtl/>
        </w:rPr>
        <w:t>رسکولا</w:t>
      </w:r>
      <w:r w:rsidRPr="0025250D">
        <w:rPr>
          <w:rFonts w:hint="cs"/>
          <w:rtl/>
        </w:rPr>
        <w:t xml:space="preserve"> با خبر می‌شد. تصور کنید که آن‌ها همچنین تشخیص می‌دادند که یک هواپیمای بزرگ پر از مسافر و سوخت جت می‌تواند یک سلاح حتی ساده‌تر و مؤثر‌تر نسبت به یک هواپیمای پر از سلاح‌های رادیولوژیک و انفجاری باشد. یک نفر می‌توانست در آن صورت </w:t>
      </w:r>
      <w:r w:rsidR="00185F3E" w:rsidRPr="0025250D">
        <w:rPr>
          <w:rFonts w:hint="cs"/>
          <w:rtl/>
        </w:rPr>
        <w:t>نتیجه‌گیری</w:t>
      </w:r>
      <w:r w:rsidRPr="0025250D">
        <w:rPr>
          <w:rFonts w:hint="cs"/>
          <w:rtl/>
        </w:rPr>
        <w:t xml:space="preserve"> کند که این تهدید می‌تواند با ایجاد امنیت بیش‌تر در هواپیماهای تجاری و نظارت بیش‌تر سازمان‌های هوایی آمریکا کاهش یابد.</w:t>
      </w:r>
    </w:p>
    <w:p w14:paraId="3DB14BCE" w14:textId="43934E84" w:rsidR="00537CC8" w:rsidRPr="0025250D" w:rsidRDefault="00537CC8" w:rsidP="00537CC8">
      <w:pPr>
        <w:rPr>
          <w:rtl/>
        </w:rPr>
      </w:pPr>
      <w:r w:rsidRPr="0025250D">
        <w:rPr>
          <w:rFonts w:hint="cs"/>
          <w:rtl/>
        </w:rPr>
        <w:t>ال آل</w:t>
      </w:r>
      <w:r w:rsidRPr="0025250D">
        <w:rPr>
          <w:vertAlign w:val="superscript"/>
          <w:rtl/>
        </w:rPr>
        <w:footnoteReference w:id="1812"/>
      </w:r>
      <w:r w:rsidRPr="0025250D">
        <w:rPr>
          <w:rFonts w:hint="cs"/>
          <w:rtl/>
        </w:rPr>
        <w:t>، یک شرکت هواپیمایی اسرائیلی، برای مدت‌ها به‌عنوان یک شرکت برجسته امنیتی فیزیکی و فرایندی شناخته شده است که تنها یک هواپیما ربایی را از آغاز به کار خود در سال 1948 تا به حال، با وجود اقدامات متعدد در این زمینه تجربه کرده است. در سال 2001، هواپیمایی‌ها و فرودگاه‌های آمریکا از تعداد کمی از نوآوری‌های ال آل استفاده می‌کردند.</w:t>
      </w:r>
    </w:p>
    <w:p w14:paraId="55B5F68D" w14:textId="1D56A0EA" w:rsidR="00537CC8" w:rsidRPr="0025250D" w:rsidRDefault="00537CC8" w:rsidP="00537CC8">
      <w:pPr>
        <w:rPr>
          <w:rtl/>
        </w:rPr>
      </w:pPr>
      <w:r w:rsidRPr="0025250D">
        <w:rPr>
          <w:rFonts w:hint="cs"/>
          <w:rtl/>
        </w:rPr>
        <w:t>در آخر، تصور کنید که یک نفر بحث عمومی درمورد این تهدید را</w:t>
      </w:r>
      <w:r w:rsidR="001D6A0F" w:rsidRPr="0025250D">
        <w:rPr>
          <w:rFonts w:hint="cs"/>
          <w:rtl/>
        </w:rPr>
        <w:t xml:space="preserve"> می‌توانست</w:t>
      </w:r>
      <w:r w:rsidRPr="0025250D">
        <w:rPr>
          <w:rFonts w:hint="cs"/>
          <w:rtl/>
        </w:rPr>
        <w:t xml:space="preserve"> با منتشر کردن این </w:t>
      </w:r>
      <w:r w:rsidR="00701E03" w:rsidRPr="0025250D">
        <w:rPr>
          <w:rFonts w:hint="cs"/>
          <w:rtl/>
        </w:rPr>
        <w:t>فرانامه</w:t>
      </w:r>
      <w:r w:rsidRPr="0025250D">
        <w:rPr>
          <w:rFonts w:hint="cs"/>
          <w:rtl/>
        </w:rPr>
        <w:t xml:space="preserve"> در مجلات یا رسانه‌های چاپی، با </w:t>
      </w:r>
      <w:r w:rsidR="00923DDB" w:rsidRPr="0025250D">
        <w:rPr>
          <w:rFonts w:hint="cs"/>
          <w:rtl/>
        </w:rPr>
        <w:t>راه‌حل</w:t>
      </w:r>
      <w:r w:rsidRPr="0025250D">
        <w:rPr>
          <w:rFonts w:hint="cs"/>
          <w:rtl/>
        </w:rPr>
        <w:t>‌های پیشنهادی یا حتی بهتر از آن، با در بر گرفتن این طرح در یک فیلم سینمایی دراماتیک، برانگیزاند.</w:t>
      </w:r>
    </w:p>
    <w:p w14:paraId="40C05B76" w14:textId="2E0F1631" w:rsidR="00537CC8" w:rsidRPr="0025250D" w:rsidRDefault="00537CC8" w:rsidP="005B1DA7">
      <w:pPr>
        <w:rPr>
          <w:rtl/>
        </w:rPr>
      </w:pPr>
      <w:r w:rsidRPr="0025250D">
        <w:rPr>
          <w:rFonts w:hint="cs"/>
          <w:rtl/>
        </w:rPr>
        <w:t xml:space="preserve">یک عبارت خوب در مورد تغییر وجود دارد که به چهلمین رئیس جمهور آمریکا </w:t>
      </w:r>
      <w:r w:rsidRPr="0025250D">
        <w:rPr>
          <w:rtl/>
        </w:rPr>
        <w:t>رونالد ر</w:t>
      </w:r>
      <w:r w:rsidRPr="0025250D">
        <w:rPr>
          <w:rFonts w:hint="cs"/>
          <w:rtl/>
        </w:rPr>
        <w:t>ی</w:t>
      </w:r>
      <w:r w:rsidRPr="0025250D">
        <w:rPr>
          <w:rFonts w:hint="eastAsia"/>
          <w:rtl/>
        </w:rPr>
        <w:t>گان</w:t>
      </w:r>
      <w:r w:rsidRPr="0025250D">
        <w:rPr>
          <w:vertAlign w:val="superscript"/>
          <w:rtl/>
        </w:rPr>
        <w:footnoteReference w:id="1813"/>
      </w:r>
      <w:r w:rsidRPr="0025250D">
        <w:rPr>
          <w:rFonts w:hint="cs"/>
          <w:rtl/>
        </w:rPr>
        <w:t xml:space="preserve"> نسبت داده می‌شود:</w:t>
      </w:r>
      <w:r w:rsidR="005B1DA7" w:rsidRPr="0025250D">
        <w:rPr>
          <w:rtl/>
        </w:rPr>
        <w:t>«</w:t>
      </w:r>
      <w:r w:rsidRPr="0025250D">
        <w:rPr>
          <w:rFonts w:hint="cs"/>
          <w:rtl/>
        </w:rPr>
        <w:t>وقتی</w:t>
      </w:r>
      <w:r w:rsidR="00EE4B64" w:rsidRPr="0025250D">
        <w:rPr>
          <w:rFonts w:hint="cs"/>
          <w:rtl/>
        </w:rPr>
        <w:t xml:space="preserve"> نمی‌</w:t>
      </w:r>
      <w:r w:rsidRPr="0025250D">
        <w:rPr>
          <w:rFonts w:hint="cs"/>
          <w:rtl/>
        </w:rPr>
        <w:t>توانید سبب شوید آن‌ها نور را ببینند، کاری کنید گرمای آن را حس کنند</w:t>
      </w:r>
      <w:r w:rsidR="005B1DA7" w:rsidRPr="0025250D">
        <w:rPr>
          <w:rtl/>
        </w:rPr>
        <w:t>»</w:t>
      </w:r>
      <w:r w:rsidRPr="0025250D">
        <w:rPr>
          <w:rFonts w:hint="cs"/>
          <w:rtl/>
        </w:rPr>
        <w:t>. می‌توان این عبارت را به بیان دیگری به این صورت گفت:</w:t>
      </w:r>
      <w:r w:rsidR="005B1DA7" w:rsidRPr="0025250D">
        <w:rPr>
          <w:rFonts w:hint="cs"/>
          <w:rtl/>
        </w:rPr>
        <w:t xml:space="preserve"> </w:t>
      </w:r>
      <w:r w:rsidR="005B1DA7" w:rsidRPr="0025250D">
        <w:rPr>
          <w:rtl/>
        </w:rPr>
        <w:t>«</w:t>
      </w:r>
      <w:r w:rsidRPr="0025250D">
        <w:rPr>
          <w:rFonts w:hint="cs"/>
          <w:rtl/>
        </w:rPr>
        <w:t xml:space="preserve">برخی اوقات خوش بینی </w:t>
      </w:r>
      <w:r w:rsidR="00701E03" w:rsidRPr="0025250D">
        <w:rPr>
          <w:rFonts w:hint="cs"/>
          <w:rtl/>
        </w:rPr>
        <w:t>راهبردی</w:t>
      </w:r>
      <w:r w:rsidRPr="0025250D">
        <w:rPr>
          <w:rFonts w:hint="cs"/>
          <w:rtl/>
        </w:rPr>
        <w:t xml:space="preserve"> بهترین انگیزه را ایجاد می‌کند، برخی اوقات </w:t>
      </w:r>
      <w:r w:rsidR="00D30084" w:rsidRPr="0025250D">
        <w:rPr>
          <w:rFonts w:hint="cs"/>
          <w:rtl/>
        </w:rPr>
        <w:t>بدبینی تدافعی</w:t>
      </w:r>
      <w:r w:rsidRPr="0025250D">
        <w:rPr>
          <w:rFonts w:hint="cs"/>
          <w:rtl/>
        </w:rPr>
        <w:t xml:space="preserve"> به بهترین شکل این کار را انجام می‌دهد</w:t>
      </w:r>
      <w:r w:rsidR="005B1DA7" w:rsidRPr="0025250D">
        <w:rPr>
          <w:rFonts w:hint="cs"/>
          <w:rtl/>
        </w:rPr>
        <w:t>»</w:t>
      </w:r>
      <w:r w:rsidR="008D6F97" w:rsidRPr="0025250D">
        <w:rPr>
          <w:rtl/>
        </w:rPr>
        <w:t xml:space="preserve">؛ </w:t>
      </w:r>
      <w:r w:rsidRPr="0025250D">
        <w:rPr>
          <w:rFonts w:hint="cs"/>
          <w:rtl/>
        </w:rPr>
        <w:t xml:space="preserve">به عبارت دیگر، برخی اوقات با آنچه که </w:t>
      </w:r>
      <w:r w:rsidRPr="0025250D">
        <w:rPr>
          <w:rtl/>
        </w:rPr>
        <w:t>دان</w:t>
      </w:r>
      <w:r w:rsidRPr="0025250D">
        <w:rPr>
          <w:rFonts w:hint="cs"/>
          <w:rtl/>
        </w:rPr>
        <w:t>ی</w:t>
      </w:r>
      <w:r w:rsidRPr="0025250D">
        <w:rPr>
          <w:rFonts w:hint="eastAsia"/>
          <w:rtl/>
        </w:rPr>
        <w:t>ل</w:t>
      </w:r>
      <w:r w:rsidRPr="0025250D">
        <w:rPr>
          <w:rtl/>
        </w:rPr>
        <w:t xml:space="preserve"> کانمن</w:t>
      </w:r>
      <w:r w:rsidRPr="0025250D">
        <w:rPr>
          <w:vertAlign w:val="superscript"/>
          <w:rtl/>
        </w:rPr>
        <w:footnoteReference w:id="1814"/>
      </w:r>
      <w:r w:rsidRPr="0025250D">
        <w:rPr>
          <w:rFonts w:hint="cs"/>
          <w:rtl/>
        </w:rPr>
        <w:t xml:space="preserve"> درکتاب تفکر سریع و آهسته</w:t>
      </w:r>
      <w:r w:rsidRPr="0025250D">
        <w:rPr>
          <w:vertAlign w:val="superscript"/>
          <w:rtl/>
        </w:rPr>
        <w:footnoteReference w:id="1815"/>
      </w:r>
      <w:r w:rsidRPr="0025250D">
        <w:rPr>
          <w:rFonts w:hint="cs"/>
          <w:rtl/>
        </w:rPr>
        <w:t xml:space="preserve"> در سال 2013 تفکر </w:t>
      </w:r>
      <w:r w:rsidR="008D6F97" w:rsidRPr="0025250D">
        <w:rPr>
          <w:rFonts w:hint="cs"/>
          <w:rtl/>
        </w:rPr>
        <w:t>سامانه‌ای</w:t>
      </w:r>
      <w:r w:rsidRPr="0025250D">
        <w:rPr>
          <w:rFonts w:hint="cs"/>
          <w:rtl/>
        </w:rPr>
        <w:t xml:space="preserve"> 2</w:t>
      </w:r>
      <w:r w:rsidRPr="0025250D">
        <w:rPr>
          <w:vertAlign w:val="superscript"/>
          <w:rtl/>
        </w:rPr>
        <w:footnoteReference w:id="1816"/>
      </w:r>
      <w:r w:rsidRPr="0025250D">
        <w:rPr>
          <w:rFonts w:hint="cs"/>
          <w:rtl/>
        </w:rPr>
        <w:t xml:space="preserve"> (منطق، استدلال منطقی، شواهد) می‌نامد متقاعد می‌شویم، در حالی که در دیگر موارد به انگیزه‌های </w:t>
      </w:r>
      <w:r w:rsidR="008D6F97" w:rsidRPr="0025250D">
        <w:rPr>
          <w:rFonts w:hint="cs"/>
          <w:rtl/>
        </w:rPr>
        <w:t>سامانه‌ای</w:t>
      </w:r>
      <w:r w:rsidRPr="0025250D">
        <w:rPr>
          <w:rFonts w:hint="cs"/>
          <w:rtl/>
        </w:rPr>
        <w:t xml:space="preserve"> 1 (شهود و احساس، از جمله ترس) برای تغییر نیاز داریم. برخی اوقات ایجاد گرمای لازم که سبب شود سازمان‌های ضد تغییر بزرگی مانند شرکت‌های هواپیمایی، فرودگاه‌ها و دولت آمریکا، </w:t>
      </w:r>
      <w:r w:rsidR="00701E03" w:rsidRPr="0025250D">
        <w:rPr>
          <w:rFonts w:hint="cs"/>
          <w:rtl/>
        </w:rPr>
        <w:t>راهبرد</w:t>
      </w:r>
      <w:r w:rsidRPr="0025250D">
        <w:rPr>
          <w:rFonts w:hint="cs"/>
          <w:rtl/>
        </w:rPr>
        <w:t xml:space="preserve">‌هایی را اجرا کنند که ما </w:t>
      </w:r>
      <w:r w:rsidR="00923DDB" w:rsidRPr="0025250D">
        <w:rPr>
          <w:rFonts w:hint="cs"/>
          <w:rtl/>
        </w:rPr>
        <w:t>پیش‌انگاری</w:t>
      </w:r>
      <w:r w:rsidRPr="0025250D">
        <w:rPr>
          <w:rFonts w:hint="cs"/>
          <w:rtl/>
        </w:rPr>
        <w:t xml:space="preserve"> می‌کنیم که ما را به سمت آینده‌های بهتری می‌برند، به شناخت تهدید توسط یک جمعیت انبوه، مانند یک مقاله یا فیلم پر طرفدار و بار‌ها دیده و خوانده شده، نیاز دارد.</w:t>
      </w:r>
    </w:p>
    <w:p w14:paraId="2E818859" w14:textId="5A4C13B8" w:rsidR="00537CC8" w:rsidRPr="0025250D" w:rsidRDefault="00537CC8" w:rsidP="00537CC8">
      <w:pPr>
        <w:rPr>
          <w:rtl/>
        </w:rPr>
      </w:pPr>
      <w:r w:rsidRPr="0025250D">
        <w:rPr>
          <w:rFonts w:hint="cs"/>
          <w:rtl/>
        </w:rPr>
        <w:t>به‌عنوان مثالی از این ادعای آخر، فشار عمومی برای پیشرفت در گفتگو‌های خلع سلاح هسته‌ای که پس از اولین نمایش فیلم هولوکاست هسته‌ای، به نام روز بعد</w:t>
      </w:r>
      <w:r w:rsidRPr="0025250D">
        <w:rPr>
          <w:vertAlign w:val="superscript"/>
          <w:rtl/>
        </w:rPr>
        <w:footnoteReference w:id="1817"/>
      </w:r>
      <w:r w:rsidRPr="0025250D">
        <w:rPr>
          <w:rFonts w:hint="cs"/>
          <w:rtl/>
        </w:rPr>
        <w:t xml:space="preserve"> در سال 1983 در تلویزیون </w:t>
      </w:r>
      <w:r w:rsidRPr="0025250D">
        <w:t>ABC</w:t>
      </w:r>
      <w:r w:rsidRPr="0025250D">
        <w:rPr>
          <w:rFonts w:hint="cs"/>
          <w:rtl/>
        </w:rPr>
        <w:t xml:space="preserve"> ایجاد شد را در نظر بگیرید. این فیلم 100 میلیون بیننده را در اولین نمایش خود جلب کرد. این فیلم توسط سیاست گذاران و سپس رئیس جمهور آن وقت </w:t>
      </w:r>
      <w:r w:rsidRPr="0025250D">
        <w:rPr>
          <w:rtl/>
        </w:rPr>
        <w:t>ر</w:t>
      </w:r>
      <w:r w:rsidRPr="0025250D">
        <w:rPr>
          <w:rFonts w:hint="cs"/>
          <w:rtl/>
        </w:rPr>
        <w:t>ی</w:t>
      </w:r>
      <w:r w:rsidRPr="0025250D">
        <w:rPr>
          <w:rFonts w:hint="eastAsia"/>
          <w:rtl/>
        </w:rPr>
        <w:t>گان</w:t>
      </w:r>
      <w:r w:rsidRPr="0025250D">
        <w:rPr>
          <w:rFonts w:hint="cs"/>
          <w:rtl/>
        </w:rPr>
        <w:t>، مورد تمجید قرار گرفت و بر دولت آمریکا برای پیشرفت در خلأ سلاح هسته‌ای در طول جنگ سرد فشار وارد کرد. این فیلم همچنین در تلویزیون اتحاد جماهیر شوروی در سال 1987 نمایش داده شد و اثر مشابهی داشت. کتاب جنگ مخفی ریگان</w:t>
      </w:r>
      <w:r w:rsidRPr="0025250D">
        <w:rPr>
          <w:vertAlign w:val="superscript"/>
          <w:rtl/>
        </w:rPr>
        <w:footnoteReference w:id="1818"/>
      </w:r>
      <w:r w:rsidRPr="0025250D">
        <w:rPr>
          <w:rFonts w:hint="cs"/>
          <w:rtl/>
        </w:rPr>
        <w:t xml:space="preserve"> در سال 2009، گزارشی غیرمحرمانه از تمایل دوگانه این رئیس جمهور به کاهش اتکا بر سلاح‌های هسته‌ای گرانقیمت و غیر قابل استفاده و پایان دادن به تأثیر جهانی اتحاد جماهیر شوروی و مصالحه‌ها و </w:t>
      </w:r>
      <w:r w:rsidR="007118DE" w:rsidRPr="0025250D">
        <w:rPr>
          <w:rFonts w:hint="cs"/>
          <w:rtl/>
        </w:rPr>
        <w:t>سبک‌سنگین</w:t>
      </w:r>
      <w:r w:rsidRPr="0025250D">
        <w:rPr>
          <w:rFonts w:hint="cs"/>
          <w:rtl/>
        </w:rPr>
        <w:t>‌های تیم او در مدیریت این دو که بعضا اهداف</w:t>
      </w:r>
      <w:r w:rsidR="001D6A0F" w:rsidRPr="0025250D">
        <w:rPr>
          <w:rFonts w:hint="cs"/>
          <w:rtl/>
        </w:rPr>
        <w:t>ی</w:t>
      </w:r>
      <w:r w:rsidRPr="0025250D">
        <w:rPr>
          <w:rFonts w:hint="cs"/>
          <w:rtl/>
        </w:rPr>
        <w:t xml:space="preserve"> </w:t>
      </w:r>
      <w:r w:rsidR="00701E03" w:rsidRPr="0025250D">
        <w:rPr>
          <w:rFonts w:hint="cs"/>
          <w:rtl/>
        </w:rPr>
        <w:t>راهبرد</w:t>
      </w:r>
      <w:r w:rsidR="001D6A0F" w:rsidRPr="0025250D">
        <w:rPr>
          <w:rFonts w:hint="cs"/>
          <w:rtl/>
        </w:rPr>
        <w:t>ی</w:t>
      </w:r>
      <w:r w:rsidRPr="0025250D">
        <w:rPr>
          <w:rFonts w:hint="cs"/>
          <w:rtl/>
        </w:rPr>
        <w:t xml:space="preserve"> بودند که با هم با تناقض داشتند، ارائه می‌دهد.</w:t>
      </w:r>
    </w:p>
    <w:p w14:paraId="3A5886F0" w14:textId="76166E54" w:rsidR="00537CC8" w:rsidRPr="0025250D" w:rsidRDefault="007118DE" w:rsidP="00537CC8">
      <w:pPr>
        <w:rPr>
          <w:rtl/>
        </w:rPr>
      </w:pPr>
      <w:r w:rsidRPr="0025250D">
        <w:rPr>
          <w:rFonts w:hint="cs"/>
          <w:rtl/>
        </w:rPr>
        <w:t>همان‌طور</w:t>
      </w:r>
      <w:r w:rsidR="00537CC8" w:rsidRPr="0025250D">
        <w:rPr>
          <w:rFonts w:hint="cs"/>
          <w:rtl/>
        </w:rPr>
        <w:t xml:space="preserve"> که کتاب عالی </w:t>
      </w:r>
      <w:r w:rsidR="00537CC8" w:rsidRPr="0025250D">
        <w:rPr>
          <w:rtl/>
        </w:rPr>
        <w:t>ت</w:t>
      </w:r>
      <w:r w:rsidR="00537CC8" w:rsidRPr="0025250D">
        <w:rPr>
          <w:rFonts w:hint="cs"/>
          <w:rtl/>
        </w:rPr>
        <w:t>ی</w:t>
      </w:r>
      <w:r w:rsidR="00537CC8" w:rsidRPr="0025250D">
        <w:rPr>
          <w:rFonts w:hint="eastAsia"/>
          <w:rtl/>
        </w:rPr>
        <w:t>لور</w:t>
      </w:r>
      <w:r w:rsidR="00537CC8" w:rsidRPr="0025250D">
        <w:rPr>
          <w:rtl/>
        </w:rPr>
        <w:t xml:space="preserve"> داون</w:t>
      </w:r>
      <w:r w:rsidR="00537CC8" w:rsidRPr="0025250D">
        <w:rPr>
          <w:rFonts w:hint="cs"/>
          <w:rtl/>
        </w:rPr>
        <w:t>ی</w:t>
      </w:r>
      <w:r w:rsidR="00537CC8" w:rsidRPr="0025250D">
        <w:rPr>
          <w:rFonts w:hint="eastAsia"/>
          <w:rtl/>
        </w:rPr>
        <w:t>نگ</w:t>
      </w:r>
      <w:r w:rsidR="00537CC8" w:rsidRPr="0025250D">
        <w:rPr>
          <w:vertAlign w:val="superscript"/>
          <w:rtl/>
        </w:rPr>
        <w:footnoteReference w:id="1819"/>
      </w:r>
      <w:r w:rsidR="00537CC8" w:rsidRPr="0025250D">
        <w:rPr>
          <w:rFonts w:hint="cs"/>
          <w:rtl/>
        </w:rPr>
        <w:t xml:space="preserve"> با عنوان 1983 در سال 2018 توصیف می‌کند، سیاست‌های ضد کمونیستی </w:t>
      </w:r>
      <w:r w:rsidR="00537CC8" w:rsidRPr="0025250D">
        <w:rPr>
          <w:rtl/>
        </w:rPr>
        <w:t>ر</w:t>
      </w:r>
      <w:r w:rsidR="00537CC8" w:rsidRPr="0025250D">
        <w:rPr>
          <w:rFonts w:hint="cs"/>
          <w:rtl/>
        </w:rPr>
        <w:t>ی</w:t>
      </w:r>
      <w:r w:rsidR="00537CC8" w:rsidRPr="0025250D">
        <w:rPr>
          <w:rFonts w:hint="eastAsia"/>
          <w:rtl/>
        </w:rPr>
        <w:t>گان</w:t>
      </w:r>
      <w:r w:rsidR="00537CC8" w:rsidRPr="0025250D">
        <w:rPr>
          <w:rFonts w:hint="cs"/>
          <w:rtl/>
        </w:rPr>
        <w:t xml:space="preserve"> در حقیقت ما را به یک قله دیگر از تنش‌های جنگ سرد و شلیک قریب الوقوع موشک‌های هسته‌ای در سال 1983 هدایت کرد. این امر تقریباً به اندازه بحران موشکی کوبا در سال 1962 خطرناک بود، اگر چه رویداد‌های این نقطه اوج دوم بسیار کم‌تر شناخته شده هستند. با نگاهی به گذشته این طور </w:t>
      </w:r>
      <w:r w:rsidR="001D6A0F" w:rsidRPr="0025250D">
        <w:rPr>
          <w:rFonts w:hint="cs"/>
          <w:rtl/>
        </w:rPr>
        <w:t xml:space="preserve">به نظر </w:t>
      </w:r>
      <w:r w:rsidR="00537CC8" w:rsidRPr="0025250D">
        <w:rPr>
          <w:rFonts w:hint="cs"/>
          <w:rtl/>
        </w:rPr>
        <w:t xml:space="preserve">می‌رسد که رویداد‌های سرّی استرس زای آن سال و واکنش عمومی به این فیلم </w:t>
      </w:r>
      <w:r w:rsidR="00B56611" w:rsidRPr="0025250D">
        <w:rPr>
          <w:rFonts w:hint="cs"/>
          <w:rtl/>
        </w:rPr>
        <w:t>چشم‌انداز</w:t>
      </w:r>
      <w:r w:rsidR="00537CC8" w:rsidRPr="0025250D">
        <w:rPr>
          <w:rFonts w:hint="cs"/>
          <w:rtl/>
        </w:rPr>
        <w:t xml:space="preserve">گرا و </w:t>
      </w:r>
      <w:r w:rsidR="0060055A" w:rsidRPr="0025250D">
        <w:rPr>
          <w:rFonts w:hint="cs"/>
          <w:rtl/>
        </w:rPr>
        <w:t>ویران‌شهر</w:t>
      </w:r>
      <w:r w:rsidR="00537CC8" w:rsidRPr="0025250D">
        <w:rPr>
          <w:rFonts w:hint="cs"/>
          <w:rtl/>
        </w:rPr>
        <w:t xml:space="preserve">ی اثر بخش، هر دو تأثیرات مهمی بر تعهد </w:t>
      </w:r>
      <w:r w:rsidR="00537CC8" w:rsidRPr="0025250D">
        <w:rPr>
          <w:rtl/>
        </w:rPr>
        <w:t>ر</w:t>
      </w:r>
      <w:r w:rsidR="00537CC8" w:rsidRPr="0025250D">
        <w:rPr>
          <w:rFonts w:hint="cs"/>
          <w:rtl/>
        </w:rPr>
        <w:t>ی</w:t>
      </w:r>
      <w:r w:rsidR="00537CC8" w:rsidRPr="0025250D">
        <w:rPr>
          <w:rFonts w:hint="eastAsia"/>
          <w:rtl/>
        </w:rPr>
        <w:t>گان</w:t>
      </w:r>
      <w:r w:rsidR="00537CC8" w:rsidRPr="0025250D">
        <w:rPr>
          <w:rFonts w:hint="cs"/>
          <w:rtl/>
        </w:rPr>
        <w:t xml:space="preserve"> به پیشرفت در خلع سلاح هسته‌ای داشتند که در معاهده نیروهای هسته‌ای میان برد</w:t>
      </w:r>
      <w:r w:rsidR="00537CC8" w:rsidRPr="0025250D">
        <w:rPr>
          <w:vertAlign w:val="superscript"/>
          <w:rtl/>
        </w:rPr>
        <w:footnoteReference w:id="1820"/>
      </w:r>
      <w:r w:rsidR="00537CC8" w:rsidRPr="0025250D">
        <w:rPr>
          <w:rFonts w:hint="cs"/>
          <w:rtl/>
        </w:rPr>
        <w:t xml:space="preserve"> در سال 1987، یک قدم مهم رو به جلو در آن زمان، به اوج خود رسید. </w:t>
      </w:r>
      <w:r w:rsidR="00537CC8" w:rsidRPr="0025250D">
        <w:rPr>
          <w:rtl/>
        </w:rPr>
        <w:t>آینده‌نگاری</w:t>
      </w:r>
      <w:r w:rsidR="00537CC8" w:rsidRPr="0025250D">
        <w:rPr>
          <w:rFonts w:hint="cs"/>
          <w:rtl/>
        </w:rPr>
        <w:t xml:space="preserve"> جهانی اهمیت دارد!</w:t>
      </w:r>
    </w:p>
    <w:p w14:paraId="713D7F66" w14:textId="77777777" w:rsidR="00537CC8" w:rsidRPr="0025250D" w:rsidRDefault="00537CC8" w:rsidP="00537CC8">
      <w:pPr>
        <w:rPr>
          <w:rtl/>
        </w:rPr>
      </w:pPr>
    </w:p>
    <w:p w14:paraId="5F4D6091" w14:textId="77777777" w:rsidR="00537CC8" w:rsidRPr="0025250D" w:rsidRDefault="00537CC8" w:rsidP="00537CC8">
      <w:pPr>
        <w:rPr>
          <w:rtl/>
        </w:rPr>
      </w:pPr>
    </w:p>
    <w:p w14:paraId="367E85E6" w14:textId="77777777" w:rsidR="00537CC8" w:rsidRPr="0025250D" w:rsidRDefault="00537CC8" w:rsidP="00537CC8">
      <w:pPr>
        <w:rPr>
          <w:rtl/>
        </w:rPr>
      </w:pPr>
    </w:p>
    <w:p w14:paraId="2EE39F9F" w14:textId="77777777" w:rsidR="00537CC8" w:rsidRPr="0025250D" w:rsidRDefault="00537CC8" w:rsidP="00537CC8">
      <w:pPr>
        <w:rPr>
          <w:rtl/>
        </w:rPr>
      </w:pPr>
    </w:p>
    <w:p w14:paraId="6D6F7325" w14:textId="77777777" w:rsidR="00537CC8" w:rsidRPr="0025250D" w:rsidRDefault="00537CC8" w:rsidP="00537CC8">
      <w:pPr>
        <w:rPr>
          <w:rtl/>
        </w:rPr>
      </w:pPr>
    </w:p>
    <w:p w14:paraId="67A15138" w14:textId="77777777" w:rsidR="00537CC8" w:rsidRPr="0025250D" w:rsidRDefault="00537CC8" w:rsidP="00537CC8">
      <w:pPr>
        <w:rPr>
          <w:rtl/>
        </w:rPr>
      </w:pPr>
    </w:p>
    <w:p w14:paraId="32B5B812" w14:textId="77777777" w:rsidR="00537CC8" w:rsidRPr="0025250D" w:rsidRDefault="00537CC8" w:rsidP="00537CC8">
      <w:pPr>
        <w:rPr>
          <w:rtl/>
        </w:rPr>
      </w:pPr>
    </w:p>
    <w:p w14:paraId="00636582" w14:textId="77777777" w:rsidR="00537CC8" w:rsidRPr="0025250D" w:rsidRDefault="00537CC8" w:rsidP="00D53F87">
      <w:pPr>
        <w:pStyle w:val="Heading2"/>
        <w:rPr>
          <w:rtl/>
        </w:rPr>
      </w:pPr>
      <w:bookmarkStart w:id="52" w:name="_Toc127831317"/>
      <w:r w:rsidRPr="0025250D">
        <w:rPr>
          <w:rFonts w:hint="cs"/>
          <w:rtl/>
        </w:rPr>
        <w:t>آشکارسازی فرضیات و مدل‌های ضمنی خود</w:t>
      </w:r>
      <w:bookmarkEnd w:id="52"/>
    </w:p>
    <w:p w14:paraId="0039CCF9" w14:textId="4721D043" w:rsidR="00537CC8" w:rsidRPr="0025250D" w:rsidRDefault="007118DE" w:rsidP="00537CC8">
      <w:pPr>
        <w:rPr>
          <w:rtl/>
        </w:rPr>
      </w:pPr>
      <w:r w:rsidRPr="0025250D">
        <w:rPr>
          <w:rFonts w:hint="cs"/>
          <w:rtl/>
        </w:rPr>
        <w:t>همان‌طور</w:t>
      </w:r>
      <w:r w:rsidR="00537CC8" w:rsidRPr="0025250D">
        <w:rPr>
          <w:rFonts w:hint="cs"/>
          <w:rtl/>
        </w:rPr>
        <w:t xml:space="preserve"> که آینده‌پژوه تخصصی معاصر </w:t>
      </w:r>
      <w:r w:rsidR="00537CC8" w:rsidRPr="0025250D">
        <w:rPr>
          <w:rtl/>
        </w:rPr>
        <w:t>جو کوتس</w:t>
      </w:r>
      <w:r w:rsidR="00537CC8" w:rsidRPr="0025250D">
        <w:rPr>
          <w:rFonts w:hint="cs"/>
          <w:rtl/>
        </w:rPr>
        <w:t xml:space="preserve"> بیان می‌کرد، یکی از مهم‌ترین</w:t>
      </w:r>
      <w:r w:rsidR="008D6F97" w:rsidRPr="0025250D">
        <w:rPr>
          <w:rtl/>
        </w:rPr>
        <w:t xml:space="preserve"> </w:t>
      </w:r>
      <w:r w:rsidR="00537CC8" w:rsidRPr="0025250D">
        <w:rPr>
          <w:rFonts w:hint="cs"/>
          <w:rtl/>
        </w:rPr>
        <w:t xml:space="preserve">ارزش‌های کار </w:t>
      </w:r>
      <w:r w:rsidR="00537CC8" w:rsidRPr="0025250D">
        <w:rPr>
          <w:rtl/>
        </w:rPr>
        <w:t>آینده‌نگاری</w:t>
      </w:r>
      <w:r w:rsidR="00537CC8" w:rsidRPr="0025250D">
        <w:rPr>
          <w:rFonts w:hint="cs"/>
          <w:rtl/>
        </w:rPr>
        <w:t xml:space="preserve"> آشکار کردن فرضیات پنهان ما درمورد جهان و سپس امکان دادن به ما برای بهبود آن هاست. برای بررسی این بینش، مثال </w:t>
      </w:r>
      <w:r w:rsidR="00537CC8" w:rsidRPr="0025250D">
        <w:rPr>
          <w:rtl/>
        </w:rPr>
        <w:t>آینده‌نگاری</w:t>
      </w:r>
      <w:r w:rsidR="00537CC8" w:rsidRPr="0025250D">
        <w:rPr>
          <w:rFonts w:hint="cs"/>
          <w:rtl/>
        </w:rPr>
        <w:t xml:space="preserve"> تحصیلی زیر را در نظر بگیرید.</w:t>
      </w:r>
    </w:p>
    <w:p w14:paraId="44792E65" w14:textId="77777777" w:rsidR="00537CC8" w:rsidRPr="0025250D" w:rsidRDefault="00537CC8" w:rsidP="00D53F87">
      <w:pPr>
        <w:jc w:val="center"/>
        <w:rPr>
          <w:rtl/>
        </w:rPr>
      </w:pPr>
      <w:r w:rsidRPr="0025250D">
        <w:rPr>
          <w:noProof/>
          <w:rtl/>
          <w:lang w:bidi="ar-SA"/>
        </w:rPr>
        <w:drawing>
          <wp:inline distT="0" distB="0" distL="0" distR="0" wp14:anchorId="56219CA3" wp14:editId="6C4DC598">
            <wp:extent cx="1500701" cy="2186608"/>
            <wp:effectExtent l="0" t="0" r="4445" b="4445"/>
            <wp:docPr id="99" name="Picture 99" descr="D:\کار\مستقل\3 ( ترجمه ی دانشگاه تهران  )\Introduction to Foresight\part4\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4\17.png"/>
                    <pic:cNvPicPr>
                      <a:picLocks noChangeAspect="1" noChangeArrowheads="1"/>
                    </pic:cNvPicPr>
                  </pic:nvPicPr>
                  <pic:blipFill rotWithShape="1">
                    <a:blip r:embed="rId155" cstate="screen">
                      <a:extLst>
                        <a:ext uri="{BEBA8EAE-BF5A-486C-A8C5-ECC9F3942E4B}">
                          <a14:imgProps xmlns:a14="http://schemas.microsoft.com/office/drawing/2010/main">
                            <a14:imgLayer r:embed="rId156">
                              <a14:imgEffect>
                                <a14:saturation sat="0"/>
                              </a14:imgEffect>
                            </a14:imgLayer>
                          </a14:imgProps>
                        </a:ext>
                        <a:ext uri="{28A0092B-C50C-407E-A947-70E740481C1C}">
                          <a14:useLocalDpi xmlns:a14="http://schemas.microsoft.com/office/drawing/2010/main"/>
                        </a:ext>
                      </a:extLst>
                    </a:blip>
                    <a:srcRect/>
                    <a:stretch/>
                  </pic:blipFill>
                  <pic:spPr bwMode="auto">
                    <a:xfrm>
                      <a:off x="0" y="0"/>
                      <a:ext cx="1509813" cy="2199885"/>
                    </a:xfrm>
                    <a:prstGeom prst="rect">
                      <a:avLst/>
                    </a:prstGeom>
                    <a:noFill/>
                    <a:ln>
                      <a:noFill/>
                    </a:ln>
                    <a:extLst>
                      <a:ext uri="{53640926-AAD7-44D8-BBD7-CCE9431645EC}">
                        <a14:shadowObscured xmlns:a14="http://schemas.microsoft.com/office/drawing/2010/main"/>
                      </a:ext>
                    </a:extLst>
                  </pic:spPr>
                </pic:pic>
              </a:graphicData>
            </a:graphic>
          </wp:inline>
        </w:drawing>
      </w:r>
    </w:p>
    <w:p w14:paraId="77F5BAE8" w14:textId="77777777" w:rsidR="00537CC8" w:rsidRPr="0025250D" w:rsidRDefault="00537CC8" w:rsidP="00D53F87">
      <w:pPr>
        <w:jc w:val="center"/>
        <w:rPr>
          <w:rtl/>
        </w:rPr>
      </w:pPr>
      <w:r w:rsidRPr="0025250D">
        <w:rPr>
          <w:rtl/>
        </w:rPr>
        <w:t>پرلمن</w:t>
      </w:r>
      <w:r w:rsidRPr="0025250D">
        <w:rPr>
          <w:rFonts w:hint="cs"/>
          <w:rtl/>
        </w:rPr>
        <w:t>، 1992</w:t>
      </w:r>
    </w:p>
    <w:p w14:paraId="291055E3" w14:textId="06ADBD9D" w:rsidR="00537CC8" w:rsidRPr="0025250D" w:rsidRDefault="00537CC8" w:rsidP="00537CC8">
      <w:pPr>
        <w:rPr>
          <w:rtl/>
        </w:rPr>
      </w:pPr>
      <w:r w:rsidRPr="0025250D">
        <w:rPr>
          <w:rFonts w:hint="cs"/>
          <w:rtl/>
        </w:rPr>
        <w:t xml:space="preserve">کتاب </w:t>
      </w:r>
      <w:r w:rsidR="00822BD5" w:rsidRPr="0025250D">
        <w:rPr>
          <w:rtl/>
        </w:rPr>
        <w:t>به سر رس</w:t>
      </w:r>
      <w:r w:rsidR="00822BD5" w:rsidRPr="0025250D">
        <w:rPr>
          <w:rFonts w:hint="cs"/>
          <w:rtl/>
        </w:rPr>
        <w:t>ی</w:t>
      </w:r>
      <w:r w:rsidR="00822BD5" w:rsidRPr="0025250D">
        <w:rPr>
          <w:rFonts w:hint="eastAsia"/>
          <w:rtl/>
        </w:rPr>
        <w:t>دن</w:t>
      </w:r>
      <w:r w:rsidR="00822BD5" w:rsidRPr="0025250D">
        <w:rPr>
          <w:rtl/>
        </w:rPr>
        <w:t xml:space="preserve"> عصر مدرسه</w:t>
      </w:r>
      <w:r w:rsidR="00822BD5" w:rsidRPr="0025250D">
        <w:rPr>
          <w:rStyle w:val="FootnoteReference"/>
          <w:rtl/>
        </w:rPr>
        <w:footnoteReference w:id="1821"/>
      </w:r>
      <w:r w:rsidR="00822BD5" w:rsidRPr="0025250D">
        <w:rPr>
          <w:rFonts w:hint="cs"/>
          <w:rtl/>
        </w:rPr>
        <w:t xml:space="preserve"> </w:t>
      </w:r>
      <w:r w:rsidRPr="0025250D">
        <w:rPr>
          <w:rFonts w:hint="cs"/>
          <w:rtl/>
        </w:rPr>
        <w:t xml:space="preserve">در سال 1992، اثر تحلیلگر سیاسی </w:t>
      </w:r>
      <w:r w:rsidRPr="0025250D">
        <w:rPr>
          <w:rtl/>
        </w:rPr>
        <w:t>لوئ</w:t>
      </w:r>
      <w:r w:rsidRPr="0025250D">
        <w:rPr>
          <w:rFonts w:hint="cs"/>
          <w:rtl/>
        </w:rPr>
        <w:t>ی</w:t>
      </w:r>
      <w:r w:rsidRPr="0025250D">
        <w:rPr>
          <w:rFonts w:hint="eastAsia"/>
          <w:rtl/>
        </w:rPr>
        <w:t>س</w:t>
      </w:r>
      <w:r w:rsidRPr="0025250D">
        <w:rPr>
          <w:rtl/>
        </w:rPr>
        <w:t xml:space="preserve"> پرلمن</w:t>
      </w:r>
      <w:r w:rsidRPr="0025250D">
        <w:rPr>
          <w:vertAlign w:val="superscript"/>
          <w:rtl/>
        </w:rPr>
        <w:footnoteReference w:id="1822"/>
      </w:r>
      <w:r w:rsidRPr="0025250D">
        <w:rPr>
          <w:rFonts w:hint="cs"/>
          <w:rtl/>
        </w:rPr>
        <w:t xml:space="preserve">، یک اثر بسیار هوشمندانه و آگاهی بخش قرن بیستم در </w:t>
      </w:r>
      <w:r w:rsidRPr="0025250D">
        <w:rPr>
          <w:rtl/>
        </w:rPr>
        <w:t>آینده‌نگاری</w:t>
      </w:r>
      <w:r w:rsidRPr="0025250D">
        <w:rPr>
          <w:rFonts w:hint="cs"/>
          <w:rtl/>
        </w:rPr>
        <w:t xml:space="preserve"> </w:t>
      </w:r>
      <w:r w:rsidR="00303635" w:rsidRPr="0025250D">
        <w:rPr>
          <w:rtl/>
        </w:rPr>
        <w:t>چابک‌بین</w:t>
      </w:r>
      <w:r w:rsidRPr="0025250D">
        <w:rPr>
          <w:rFonts w:hint="cs"/>
          <w:rtl/>
        </w:rPr>
        <w:t xml:space="preserve"> است. مقاله ویرد</w:t>
      </w:r>
      <w:r w:rsidRPr="0025250D">
        <w:rPr>
          <w:vertAlign w:val="superscript"/>
          <w:rtl/>
        </w:rPr>
        <w:footnoteReference w:id="1823"/>
      </w:r>
      <w:r w:rsidRPr="0025250D">
        <w:rPr>
          <w:rFonts w:hint="cs"/>
          <w:rtl/>
        </w:rPr>
        <w:t xml:space="preserve"> اثر </w:t>
      </w:r>
      <w:r w:rsidRPr="0025250D">
        <w:rPr>
          <w:rtl/>
        </w:rPr>
        <w:t>پرلمن</w:t>
      </w:r>
      <w:r w:rsidRPr="0025250D">
        <w:rPr>
          <w:vertAlign w:val="superscript"/>
          <w:rtl/>
        </w:rPr>
        <w:footnoteReference w:id="1824"/>
      </w:r>
      <w:r w:rsidRPr="0025250D">
        <w:rPr>
          <w:rFonts w:hint="cs"/>
          <w:rtl/>
        </w:rPr>
        <w:t xml:space="preserve"> در سال 1993 را که </w:t>
      </w:r>
      <w:r w:rsidR="005B1DA7" w:rsidRPr="0025250D">
        <w:rPr>
          <w:rtl/>
        </w:rPr>
        <w:t>«</w:t>
      </w:r>
      <w:r w:rsidR="00822BD5" w:rsidRPr="0025250D">
        <w:rPr>
          <w:rtl/>
        </w:rPr>
        <w:t>به سر رس</w:t>
      </w:r>
      <w:r w:rsidR="00822BD5" w:rsidRPr="0025250D">
        <w:rPr>
          <w:rFonts w:hint="cs"/>
          <w:rtl/>
        </w:rPr>
        <w:t>ی</w:t>
      </w:r>
      <w:r w:rsidR="00822BD5" w:rsidRPr="0025250D">
        <w:rPr>
          <w:rFonts w:hint="eastAsia"/>
          <w:rtl/>
        </w:rPr>
        <w:t>دن</w:t>
      </w:r>
      <w:r w:rsidR="00822BD5" w:rsidRPr="0025250D">
        <w:rPr>
          <w:rtl/>
        </w:rPr>
        <w:t xml:space="preserve"> عصر مدرسه</w:t>
      </w:r>
      <w:r w:rsidR="005B1DA7" w:rsidRPr="0025250D">
        <w:rPr>
          <w:rtl/>
        </w:rPr>
        <w:t>»</w:t>
      </w:r>
      <w:r w:rsidRPr="0025250D">
        <w:rPr>
          <w:rFonts w:hint="cs"/>
          <w:rtl/>
        </w:rPr>
        <w:t xml:space="preserve"> نیز نامیده می‌شود، برای یک خلاصه دیگر از این کتاب ببینید. در هر دو مقاله و کتاب، </w:t>
      </w:r>
      <w:r w:rsidRPr="0025250D">
        <w:rPr>
          <w:rtl/>
        </w:rPr>
        <w:t>پرلمن</w:t>
      </w:r>
      <w:r w:rsidRPr="0025250D">
        <w:rPr>
          <w:rFonts w:hint="cs"/>
          <w:rtl/>
        </w:rPr>
        <w:t xml:space="preserve"> </w:t>
      </w:r>
      <w:r w:rsidR="00B56611" w:rsidRPr="0025250D">
        <w:rPr>
          <w:rFonts w:hint="cs"/>
          <w:rtl/>
        </w:rPr>
        <w:t>چشم‌انداز</w:t>
      </w:r>
      <w:r w:rsidRPr="0025250D">
        <w:rPr>
          <w:rFonts w:hint="cs"/>
          <w:rtl/>
        </w:rPr>
        <w:t xml:space="preserve"> قدرتمندی را برای تحصیل دیجیتال و بهبود یافته با هوش مصنوعی، مدارک شایستگی و استخدام شایستگی محور، به ما ارائه می‌دهد. اگر چه این کتاب در ابتدای ظهور اینترنت نوشته شده است، به صورت گسترده پیشرفت ادامه دار بیکاری </w:t>
      </w:r>
      <w:r w:rsidR="007A53FD" w:rsidRPr="0025250D">
        <w:rPr>
          <w:rFonts w:hint="cs"/>
          <w:rtl/>
        </w:rPr>
        <w:t>فناورانه</w:t>
      </w:r>
      <w:r w:rsidRPr="0025250D">
        <w:rPr>
          <w:rFonts w:hint="cs"/>
          <w:rtl/>
        </w:rPr>
        <w:t>، ظهور اقتصاد گیگ ها</w:t>
      </w:r>
      <w:r w:rsidRPr="0025250D">
        <w:rPr>
          <w:vertAlign w:val="superscript"/>
          <w:rtl/>
        </w:rPr>
        <w:footnoteReference w:id="1825"/>
      </w:r>
      <w:r w:rsidRPr="0025250D">
        <w:rPr>
          <w:rFonts w:hint="cs"/>
          <w:rtl/>
        </w:rPr>
        <w:t xml:space="preserve"> و امیدوار کنندگی زیاد نرم افزار تحصیلی، از جمله، </w:t>
      </w:r>
      <w:r w:rsidRPr="0025250D">
        <w:t>MOOC</w:t>
      </w:r>
      <w:r w:rsidRPr="0025250D">
        <w:rPr>
          <w:rFonts w:hint="cs"/>
          <w:rtl/>
        </w:rPr>
        <w:t>‌ها، میکروگواهینامه‌ها</w:t>
      </w:r>
      <w:r w:rsidR="001D6A0F" w:rsidRPr="0025250D">
        <w:rPr>
          <w:rFonts w:hint="cs"/>
          <w:rtl/>
        </w:rPr>
        <w:t>ی</w:t>
      </w:r>
      <w:r w:rsidRPr="0025250D">
        <w:rPr>
          <w:rFonts w:hint="cs"/>
          <w:rtl/>
        </w:rPr>
        <w:t xml:space="preserve"> یادگیری </w:t>
      </w:r>
      <w:r w:rsidR="00B124DE" w:rsidRPr="0025250D">
        <w:rPr>
          <w:rFonts w:hint="cs"/>
          <w:rtl/>
        </w:rPr>
        <w:t>انطباق‌پذیر</w:t>
      </w:r>
      <w:r w:rsidRPr="0025250D">
        <w:rPr>
          <w:rFonts w:hint="cs"/>
          <w:rtl/>
        </w:rPr>
        <w:t xml:space="preserve"> و دیگر ویژگی‌های دورنمای استارتاپ ادتک فعلی ما را </w:t>
      </w:r>
      <w:r w:rsidR="00923DDB" w:rsidRPr="0025250D">
        <w:rPr>
          <w:rFonts w:hint="cs"/>
          <w:rtl/>
        </w:rPr>
        <w:t>پیش‌انگاری</w:t>
      </w:r>
      <w:r w:rsidRPr="0025250D">
        <w:rPr>
          <w:rFonts w:hint="cs"/>
          <w:rtl/>
        </w:rPr>
        <w:t xml:space="preserve"> می‌کند. هم از نظر قاعده مندی و هم از نظر ساختاری، این کتاب یک </w:t>
      </w:r>
      <w:r w:rsidR="00B56611" w:rsidRPr="0025250D">
        <w:rPr>
          <w:rFonts w:hint="cs"/>
          <w:rtl/>
        </w:rPr>
        <w:t>چشم‌انداز</w:t>
      </w:r>
      <w:r w:rsidRPr="0025250D">
        <w:rPr>
          <w:rFonts w:hint="cs"/>
          <w:rtl/>
        </w:rPr>
        <w:t xml:space="preserve"> آرمانی را برای آینده صنعت تحصیلات در طول 5 سال آینده ارائه می‌دهد</w:t>
      </w:r>
      <w:r w:rsidR="008D6F97" w:rsidRPr="0025250D">
        <w:rPr>
          <w:rtl/>
        </w:rPr>
        <w:t xml:space="preserve">؛ </w:t>
      </w:r>
      <w:r w:rsidR="0020589F" w:rsidRPr="0025250D">
        <w:rPr>
          <w:rtl/>
        </w:rPr>
        <w:t>اما</w:t>
      </w:r>
      <w:r w:rsidRPr="0025250D">
        <w:rPr>
          <w:rFonts w:hint="cs"/>
          <w:rtl/>
        </w:rPr>
        <w:t xml:space="preserve"> حتی با وجود همه مزایای آن، </w:t>
      </w:r>
      <w:r w:rsidRPr="0025250D">
        <w:rPr>
          <w:rtl/>
        </w:rPr>
        <w:t>پرلمن</w:t>
      </w:r>
      <w:r w:rsidRPr="0025250D">
        <w:rPr>
          <w:rFonts w:hint="cs"/>
          <w:rtl/>
        </w:rPr>
        <w:t xml:space="preserve"> فرضیاتی دارد که بسیاری از آن‌ها ضمنی هستند که او را وادار می‌کند </w:t>
      </w:r>
      <w:r w:rsidR="00D92F6E" w:rsidRPr="0025250D">
        <w:rPr>
          <w:rFonts w:hint="cs"/>
          <w:rtl/>
        </w:rPr>
        <w:t>پیش‌بین</w:t>
      </w:r>
      <w:r w:rsidRPr="0025250D">
        <w:rPr>
          <w:rFonts w:hint="cs"/>
          <w:rtl/>
        </w:rPr>
        <w:t xml:space="preserve">ی کند که </w:t>
      </w:r>
      <w:r w:rsidR="00B56611" w:rsidRPr="0025250D">
        <w:rPr>
          <w:rFonts w:hint="cs"/>
          <w:rtl/>
        </w:rPr>
        <w:t>چشم‌انداز</w:t>
      </w:r>
      <w:r w:rsidRPr="0025250D">
        <w:rPr>
          <w:rFonts w:hint="cs"/>
          <w:rtl/>
        </w:rPr>
        <w:t>ش بسیار سریع‌تر و با دامنه بسیار</w:t>
      </w:r>
      <w:r w:rsidR="0008779C" w:rsidRPr="0025250D">
        <w:rPr>
          <w:rFonts w:hint="cs"/>
          <w:rtl/>
        </w:rPr>
        <w:t xml:space="preserve"> بیش‌تر</w:t>
      </w:r>
      <w:r w:rsidRPr="0025250D">
        <w:rPr>
          <w:rFonts w:hint="cs"/>
          <w:rtl/>
        </w:rPr>
        <w:t>ی، نسبت به آنچه از نظر ما واقعیت به آن امکان می‌دهد، رخ دهد.</w:t>
      </w:r>
    </w:p>
    <w:p w14:paraId="72BBA5D3" w14:textId="5C98D89E" w:rsidR="00537CC8" w:rsidRPr="0025250D" w:rsidRDefault="00537CC8" w:rsidP="00537CC8">
      <w:pPr>
        <w:rPr>
          <w:rtl/>
        </w:rPr>
      </w:pPr>
      <w:r w:rsidRPr="0025250D">
        <w:rPr>
          <w:rFonts w:hint="cs"/>
          <w:rtl/>
        </w:rPr>
        <w:t xml:space="preserve">در یک فرضیه اشتباه، </w:t>
      </w:r>
      <w:r w:rsidRPr="0025250D">
        <w:rPr>
          <w:rtl/>
        </w:rPr>
        <w:t>پرلمن</w:t>
      </w:r>
      <w:r w:rsidRPr="0025250D">
        <w:rPr>
          <w:rFonts w:hint="cs"/>
          <w:rtl/>
        </w:rPr>
        <w:t xml:space="preserve"> فرض می‌کند که شرکت‌ها بسیار سریع‌تر از واقعیت، خواهان حرکت به سمت آزمون و استخدام شایستگی محور خواه</w:t>
      </w:r>
      <w:r w:rsidR="001D6A0F" w:rsidRPr="0025250D">
        <w:rPr>
          <w:rFonts w:hint="cs"/>
          <w:rtl/>
        </w:rPr>
        <w:t>ن</w:t>
      </w:r>
      <w:r w:rsidRPr="0025250D">
        <w:rPr>
          <w:rFonts w:hint="cs"/>
          <w:rtl/>
        </w:rPr>
        <w:t>د بود. ما معتقدیم که چنین حرکتی باتوجه به این که شامل تغییر رفتار گرانقیمت و بحث برانگیزی از طرف شرکت‌ها می‌شود، به شواهد بسیار</w:t>
      </w:r>
      <w:r w:rsidR="0008779C" w:rsidRPr="0025250D">
        <w:rPr>
          <w:rFonts w:hint="cs"/>
          <w:rtl/>
        </w:rPr>
        <w:t xml:space="preserve"> بیش‌تر</w:t>
      </w:r>
      <w:r w:rsidRPr="0025250D">
        <w:rPr>
          <w:rFonts w:hint="cs"/>
          <w:rtl/>
        </w:rPr>
        <w:t xml:space="preserve">ی برای ارزش خود و داده کاوی، مدل‌ها و هوش مصنوعی برای کمک به ما برای تعیین این که کدام شایستگی‌ها در حقیقت برای شرکت‌ها اهمیت دارند و پلتفرم‌های آزمایشی </w:t>
      </w:r>
      <w:r w:rsidR="00B124DE" w:rsidRPr="0025250D">
        <w:rPr>
          <w:rFonts w:hint="cs"/>
          <w:rtl/>
        </w:rPr>
        <w:t>انطباق‌پذیر</w:t>
      </w:r>
      <w:r w:rsidRPr="0025250D">
        <w:rPr>
          <w:rFonts w:hint="cs"/>
          <w:rtl/>
        </w:rPr>
        <w:t xml:space="preserve"> برای ارزیابی و بهبود آن‌ها نیاز خواهد داشت. شرکت‌هایی مانند ایندید</w:t>
      </w:r>
      <w:r w:rsidRPr="0025250D">
        <w:rPr>
          <w:vertAlign w:val="superscript"/>
          <w:rtl/>
        </w:rPr>
        <w:footnoteReference w:id="1826"/>
      </w:r>
      <w:r w:rsidRPr="0025250D">
        <w:rPr>
          <w:rFonts w:hint="cs"/>
          <w:rtl/>
        </w:rPr>
        <w:t xml:space="preserve"> اخیرا به ارزیابی شایستگی‌ها وارد</w:t>
      </w:r>
      <w:r w:rsidR="00185F3E" w:rsidRPr="0025250D">
        <w:rPr>
          <w:rFonts w:hint="cs"/>
          <w:rtl/>
        </w:rPr>
        <w:t>شده‌اند</w:t>
      </w:r>
      <w:r w:rsidRPr="0025250D">
        <w:rPr>
          <w:rFonts w:hint="cs"/>
          <w:rtl/>
        </w:rPr>
        <w:t xml:space="preserve">، اما تا به امروز تنها به شکل‌هایی بسیار محدود به این موضوع پرداخته شده است. </w:t>
      </w:r>
      <w:r w:rsidRPr="0025250D">
        <w:rPr>
          <w:rtl/>
        </w:rPr>
        <w:t>پرلمن</w:t>
      </w:r>
      <w:r w:rsidRPr="0025250D">
        <w:rPr>
          <w:rFonts w:hint="cs"/>
          <w:rtl/>
        </w:rPr>
        <w:t xml:space="preserve"> همچنین فرض کرد که شرکت‌های</w:t>
      </w:r>
      <w:r w:rsidR="008D6F97" w:rsidRPr="0025250D">
        <w:rPr>
          <w:rtl/>
        </w:rPr>
        <w:t xml:space="preserve"> </w:t>
      </w:r>
      <w:r w:rsidRPr="0025250D">
        <w:rPr>
          <w:rFonts w:hint="cs"/>
          <w:rtl/>
        </w:rPr>
        <w:t>ادتک (</w:t>
      </w:r>
      <w:r w:rsidR="007A53FD" w:rsidRPr="0025250D">
        <w:rPr>
          <w:rFonts w:hint="cs"/>
          <w:rtl/>
        </w:rPr>
        <w:t>فناوری</w:t>
      </w:r>
      <w:r w:rsidRPr="0025250D">
        <w:rPr>
          <w:rFonts w:hint="cs"/>
          <w:rtl/>
        </w:rPr>
        <w:t xml:space="preserve"> تحصیلی) تمرکز بسیار</w:t>
      </w:r>
      <w:r w:rsidR="0008779C" w:rsidRPr="0025250D">
        <w:rPr>
          <w:rFonts w:hint="cs"/>
          <w:rtl/>
        </w:rPr>
        <w:t xml:space="preserve"> بیش‌تر</w:t>
      </w:r>
      <w:r w:rsidRPr="0025250D">
        <w:rPr>
          <w:rFonts w:hint="cs"/>
          <w:rtl/>
        </w:rPr>
        <w:t xml:space="preserve">ی بر ایجاد پلتفرم‌های بهینه سازی شده قابل اندازه گیری، </w:t>
      </w:r>
      <w:r w:rsidR="00D92F6E" w:rsidRPr="0025250D">
        <w:rPr>
          <w:rFonts w:hint="cs"/>
          <w:rtl/>
        </w:rPr>
        <w:t>پیش‌بین</w:t>
      </w:r>
      <w:r w:rsidRPr="0025250D">
        <w:rPr>
          <w:rFonts w:hint="cs"/>
          <w:rtl/>
        </w:rPr>
        <w:t xml:space="preserve">ی کننده و </w:t>
      </w:r>
      <w:r w:rsidR="007118DE" w:rsidRPr="0025250D">
        <w:rPr>
          <w:rFonts w:hint="cs"/>
          <w:rtl/>
        </w:rPr>
        <w:t>اولویت‌بندی</w:t>
      </w:r>
      <w:r w:rsidRPr="0025250D">
        <w:rPr>
          <w:rFonts w:hint="cs"/>
          <w:rtl/>
        </w:rPr>
        <w:t xml:space="preserve"> شده یادگیری نسبت به آنچه تا به امروز انجام داده اند، خواهند داشت. </w:t>
      </w:r>
      <w:r w:rsidR="00B56611" w:rsidRPr="0025250D">
        <w:rPr>
          <w:rFonts w:hint="cs"/>
          <w:rtl/>
        </w:rPr>
        <w:t>چشم‌انداز</w:t>
      </w:r>
      <w:r w:rsidRPr="0025250D">
        <w:rPr>
          <w:rFonts w:hint="cs"/>
          <w:rtl/>
        </w:rPr>
        <w:t xml:space="preserve"> نهایی او در این موارد به نظر درست می‌رسد، اما </w:t>
      </w:r>
      <w:r w:rsidR="00A20CCB" w:rsidRPr="0025250D">
        <w:rPr>
          <w:rFonts w:hint="cs"/>
          <w:rtl/>
        </w:rPr>
        <w:t>زمان‌بندی</w:t>
      </w:r>
      <w:r w:rsidRPr="0025250D">
        <w:rPr>
          <w:rFonts w:hint="cs"/>
          <w:rtl/>
        </w:rPr>
        <w:t xml:space="preserve"> او برای هر یک بیش از حد نابالغ است.</w:t>
      </w:r>
    </w:p>
    <w:p w14:paraId="23D590FB" w14:textId="57F6FE6B" w:rsidR="00537CC8" w:rsidRPr="0025250D" w:rsidRDefault="00537CC8" w:rsidP="00537CC8">
      <w:pPr>
        <w:rPr>
          <w:rtl/>
        </w:rPr>
      </w:pPr>
      <w:r w:rsidRPr="0025250D">
        <w:rPr>
          <w:rFonts w:hint="cs"/>
          <w:rtl/>
        </w:rPr>
        <w:t xml:space="preserve">در حقیقت، بهبود نرم افزار و </w:t>
      </w:r>
      <w:r w:rsidR="00923DDB" w:rsidRPr="0025250D">
        <w:rPr>
          <w:rFonts w:hint="cs"/>
          <w:rtl/>
        </w:rPr>
        <w:t>راه‌حل</w:t>
      </w:r>
      <w:r w:rsidRPr="0025250D">
        <w:rPr>
          <w:rFonts w:hint="cs"/>
          <w:rtl/>
        </w:rPr>
        <w:t xml:space="preserve">‌های تحصیلی از نظر فنی بسیار دشوار‌تر و گرانقیمت‌تر از آنچه می‌باشد که </w:t>
      </w:r>
      <w:r w:rsidRPr="0025250D">
        <w:rPr>
          <w:rtl/>
        </w:rPr>
        <w:t>پرلمن</w:t>
      </w:r>
      <w:r w:rsidRPr="0025250D">
        <w:rPr>
          <w:rFonts w:hint="cs"/>
          <w:rtl/>
        </w:rPr>
        <w:t xml:space="preserve"> تصور کرده بود. همچنین انگیزه بسیار</w:t>
      </w:r>
      <w:r w:rsidR="00BB406C" w:rsidRPr="0025250D">
        <w:rPr>
          <w:rFonts w:hint="cs"/>
          <w:rtl/>
        </w:rPr>
        <w:t xml:space="preserve"> کم‌تر</w:t>
      </w:r>
      <w:r w:rsidRPr="0025250D">
        <w:rPr>
          <w:rFonts w:hint="cs"/>
          <w:rtl/>
        </w:rPr>
        <w:t xml:space="preserve">ی نسبت به فرضیه او برای ایجاد سامانه‌های یادگیری اثربخش و عبور دادن آنها از موانع سیاسی و کاری در مدارس وجود خواهد داشت. در نتیجه، </w:t>
      </w:r>
      <w:r w:rsidR="00B56611" w:rsidRPr="0025250D">
        <w:rPr>
          <w:rFonts w:hint="cs"/>
          <w:rtl/>
        </w:rPr>
        <w:t>چشم‌انداز</w:t>
      </w:r>
      <w:r w:rsidRPr="0025250D">
        <w:rPr>
          <w:rFonts w:hint="cs"/>
          <w:rtl/>
        </w:rPr>
        <w:t xml:space="preserve"> او از تحصیل دیجیتال بسیار آرام‌تر از سرعت مورد علاقه همه کسانی که به شایستگی، مسئولیت پذیری فردی و عملکرد اهمیت می‌دهند، پدیدار شده است.</w:t>
      </w:r>
    </w:p>
    <w:p w14:paraId="5327B471" w14:textId="74BDDA20" w:rsidR="00537CC8" w:rsidRPr="0025250D" w:rsidRDefault="00537CC8" w:rsidP="00537CC8">
      <w:pPr>
        <w:rPr>
          <w:rtl/>
        </w:rPr>
      </w:pPr>
      <w:r w:rsidRPr="0025250D">
        <w:rPr>
          <w:rFonts w:hint="cs"/>
          <w:rtl/>
        </w:rPr>
        <w:t>با این حال اشتباه‌ترین</w:t>
      </w:r>
      <w:r w:rsidR="008D6F97" w:rsidRPr="0025250D">
        <w:rPr>
          <w:rtl/>
        </w:rPr>
        <w:t xml:space="preserve"> </w:t>
      </w:r>
      <w:r w:rsidRPr="0025250D">
        <w:rPr>
          <w:rFonts w:hint="cs"/>
          <w:rtl/>
        </w:rPr>
        <w:t xml:space="preserve">فرضیه‌های </w:t>
      </w:r>
      <w:r w:rsidRPr="0025250D">
        <w:rPr>
          <w:rtl/>
        </w:rPr>
        <w:t>پرلمن</w:t>
      </w:r>
      <w:r w:rsidRPr="0025250D">
        <w:rPr>
          <w:rFonts w:hint="cs"/>
          <w:rtl/>
        </w:rPr>
        <w:t xml:space="preserve"> از نظر ما، موارد سیاسی هستند. </w:t>
      </w:r>
      <w:r w:rsidRPr="0025250D">
        <w:rPr>
          <w:rtl/>
        </w:rPr>
        <w:t>پرلمن</w:t>
      </w:r>
      <w:r w:rsidRPr="0025250D">
        <w:rPr>
          <w:rFonts w:hint="cs"/>
          <w:rtl/>
        </w:rPr>
        <w:t xml:space="preserve"> یک طرفدار آزادی فردی</w:t>
      </w:r>
      <w:r w:rsidRPr="0025250D">
        <w:rPr>
          <w:vertAlign w:val="superscript"/>
          <w:rtl/>
        </w:rPr>
        <w:footnoteReference w:id="1827"/>
      </w:r>
      <w:r w:rsidRPr="0025250D">
        <w:rPr>
          <w:rFonts w:hint="cs"/>
          <w:rtl/>
        </w:rPr>
        <w:t xml:space="preserve">، یک </w:t>
      </w:r>
      <w:r w:rsidR="00A20CCB" w:rsidRPr="0025250D">
        <w:rPr>
          <w:rFonts w:hint="cs"/>
          <w:rtl/>
        </w:rPr>
        <w:t>جهان‌بینی</w:t>
      </w:r>
      <w:r w:rsidRPr="0025250D">
        <w:rPr>
          <w:rFonts w:hint="cs"/>
          <w:rtl/>
        </w:rPr>
        <w:t xml:space="preserve"> با توجه کم‌تر بر شواهد است و این </w:t>
      </w:r>
      <w:r w:rsidR="00A20CCB" w:rsidRPr="0025250D">
        <w:rPr>
          <w:rFonts w:hint="cs"/>
          <w:rtl/>
        </w:rPr>
        <w:t>جهان‌بینی</w:t>
      </w:r>
      <w:r w:rsidRPr="0025250D">
        <w:rPr>
          <w:rFonts w:hint="cs"/>
          <w:rtl/>
        </w:rPr>
        <w:t xml:space="preserve"> در بسیاری از نوشته‌های او ضمنی است، نه صریح. دیدگاه آزادی فردی او، او را به </w:t>
      </w:r>
      <w:r w:rsidR="00D92F6E" w:rsidRPr="0025250D">
        <w:rPr>
          <w:rFonts w:hint="cs"/>
          <w:rtl/>
        </w:rPr>
        <w:t>پیش‌بین</w:t>
      </w:r>
      <w:r w:rsidRPr="0025250D">
        <w:rPr>
          <w:rFonts w:hint="cs"/>
          <w:rtl/>
        </w:rPr>
        <w:t xml:space="preserve">ی این که با به بلوغ رسیدن </w:t>
      </w:r>
      <w:r w:rsidR="007A53FD" w:rsidRPr="0025250D">
        <w:rPr>
          <w:rFonts w:hint="cs"/>
          <w:rtl/>
        </w:rPr>
        <w:t>فناوری</w:t>
      </w:r>
      <w:r w:rsidRPr="0025250D">
        <w:rPr>
          <w:rFonts w:hint="cs"/>
          <w:rtl/>
        </w:rPr>
        <w:t xml:space="preserve">‌های دیجیتال کارآفرینان به شکل فزاینده‌ای هم </w:t>
      </w:r>
      <w:r w:rsidR="008D6F97" w:rsidRPr="0025250D">
        <w:rPr>
          <w:rFonts w:hint="cs"/>
          <w:rtl/>
        </w:rPr>
        <w:t>سامانه‌</w:t>
      </w:r>
      <w:r w:rsidRPr="0025250D">
        <w:rPr>
          <w:rFonts w:hint="cs"/>
          <w:rtl/>
        </w:rPr>
        <w:t xml:space="preserve"> تحصیلی ما را متحول کرده و هم آن را جایگزین می‌کنند، سوق می‌دهد. هیچ چیزی مانند این، از نظر ما، در آینده قابل </w:t>
      </w:r>
      <w:r w:rsidR="00D92F6E" w:rsidRPr="0025250D">
        <w:rPr>
          <w:rFonts w:hint="cs"/>
          <w:rtl/>
        </w:rPr>
        <w:t>پیش‌بین</w:t>
      </w:r>
      <w:r w:rsidRPr="0025250D">
        <w:rPr>
          <w:rFonts w:hint="cs"/>
          <w:rtl/>
        </w:rPr>
        <w:t>ی رخ نخواهد داد.</w:t>
      </w:r>
    </w:p>
    <w:p w14:paraId="354222ED" w14:textId="5B0ABB58" w:rsidR="00537CC8" w:rsidRPr="0025250D" w:rsidRDefault="00537CC8" w:rsidP="00537CC8">
      <w:pPr>
        <w:rPr>
          <w:rtl/>
        </w:rPr>
      </w:pPr>
      <w:r w:rsidRPr="0025250D">
        <w:rPr>
          <w:rFonts w:hint="cs"/>
          <w:rtl/>
        </w:rPr>
        <w:t xml:space="preserve">او به درستی بر این نکته که سامانه‌های تحصیلات عمومی ما در آمریکا چقدر گرانقیمت، تغییر ناپذیر، ناکارآمد و غیر </w:t>
      </w:r>
      <w:r w:rsidR="00B124DE" w:rsidRPr="0025250D">
        <w:rPr>
          <w:rFonts w:hint="cs"/>
          <w:rtl/>
        </w:rPr>
        <w:t>انطباق‌پذیر</w:t>
      </w:r>
      <w:r w:rsidRPr="0025250D">
        <w:rPr>
          <w:rFonts w:hint="cs"/>
          <w:rtl/>
        </w:rPr>
        <w:t xml:space="preserve"> هستند تأکید می‌کند</w:t>
      </w:r>
      <w:r w:rsidR="008D6F97" w:rsidRPr="0025250D">
        <w:rPr>
          <w:rtl/>
        </w:rPr>
        <w:t xml:space="preserve">؛ </w:t>
      </w:r>
      <w:r w:rsidR="0020589F" w:rsidRPr="0025250D">
        <w:rPr>
          <w:rtl/>
        </w:rPr>
        <w:t>اما</w:t>
      </w:r>
      <w:r w:rsidRPr="0025250D">
        <w:rPr>
          <w:rFonts w:hint="cs"/>
          <w:rtl/>
        </w:rPr>
        <w:t xml:space="preserve"> نشان دادن بد بودن یک </w:t>
      </w:r>
      <w:r w:rsidR="008D6F97" w:rsidRPr="0025250D">
        <w:rPr>
          <w:rFonts w:hint="cs"/>
          <w:rtl/>
        </w:rPr>
        <w:t>سامانه‌</w:t>
      </w:r>
      <w:r w:rsidRPr="0025250D">
        <w:rPr>
          <w:rFonts w:hint="cs"/>
          <w:rtl/>
        </w:rPr>
        <w:t>، آنچه پس از آن رخ خواهد داد را به ما</w:t>
      </w:r>
      <w:r w:rsidR="00EE4B64" w:rsidRPr="0025250D">
        <w:rPr>
          <w:rFonts w:hint="cs"/>
          <w:rtl/>
        </w:rPr>
        <w:t xml:space="preserve"> نمی‌</w:t>
      </w:r>
      <w:r w:rsidRPr="0025250D">
        <w:rPr>
          <w:rFonts w:hint="cs"/>
          <w:rtl/>
        </w:rPr>
        <w:t xml:space="preserve">گوید. </w:t>
      </w:r>
      <w:r w:rsidRPr="0025250D">
        <w:rPr>
          <w:rtl/>
        </w:rPr>
        <w:t>مردم‌سالار</w:t>
      </w:r>
      <w:r w:rsidRPr="0025250D">
        <w:rPr>
          <w:rFonts w:hint="cs"/>
          <w:rtl/>
        </w:rPr>
        <w:t xml:space="preserve">ی نیز، از خیلی جهات، به اندازه </w:t>
      </w:r>
      <w:r w:rsidR="008D6F97" w:rsidRPr="0025250D">
        <w:rPr>
          <w:rFonts w:hint="cs"/>
          <w:rtl/>
        </w:rPr>
        <w:t>سامانه‌</w:t>
      </w:r>
      <w:r w:rsidRPr="0025250D">
        <w:rPr>
          <w:rFonts w:hint="cs"/>
          <w:rtl/>
        </w:rPr>
        <w:t xml:space="preserve"> تحصیلات عمومی ما دچار اشکال است. </w:t>
      </w:r>
      <w:r w:rsidR="007118DE" w:rsidRPr="0025250D">
        <w:rPr>
          <w:rFonts w:hint="cs"/>
          <w:rtl/>
        </w:rPr>
        <w:t>همان‌طور</w:t>
      </w:r>
      <w:r w:rsidRPr="0025250D">
        <w:rPr>
          <w:rFonts w:hint="cs"/>
          <w:rtl/>
        </w:rPr>
        <w:t xml:space="preserve"> که </w:t>
      </w:r>
      <w:r w:rsidRPr="0025250D">
        <w:rPr>
          <w:rtl/>
        </w:rPr>
        <w:t>و</w:t>
      </w:r>
      <w:r w:rsidRPr="0025250D">
        <w:rPr>
          <w:rFonts w:hint="cs"/>
          <w:rtl/>
        </w:rPr>
        <w:t>ی</w:t>
      </w:r>
      <w:r w:rsidRPr="0025250D">
        <w:rPr>
          <w:rFonts w:hint="eastAsia"/>
          <w:rtl/>
        </w:rPr>
        <w:t>نستون</w:t>
      </w:r>
      <w:r w:rsidRPr="0025250D">
        <w:rPr>
          <w:rtl/>
        </w:rPr>
        <w:t xml:space="preserve"> چرچ</w:t>
      </w:r>
      <w:r w:rsidRPr="0025250D">
        <w:rPr>
          <w:rFonts w:hint="cs"/>
          <w:rtl/>
        </w:rPr>
        <w:t>ی</w:t>
      </w:r>
      <w:r w:rsidRPr="0025250D">
        <w:rPr>
          <w:rFonts w:hint="eastAsia"/>
          <w:rtl/>
        </w:rPr>
        <w:t>ل</w:t>
      </w:r>
      <w:r w:rsidRPr="0025250D">
        <w:rPr>
          <w:vertAlign w:val="superscript"/>
          <w:rtl/>
        </w:rPr>
        <w:footnoteReference w:id="1828"/>
      </w:r>
      <w:r w:rsidRPr="0025250D">
        <w:rPr>
          <w:rFonts w:hint="cs"/>
          <w:rtl/>
        </w:rPr>
        <w:t xml:space="preserve"> در سخن معروفی به طعنه می‌گوید، </w:t>
      </w:r>
      <w:r w:rsidR="005B1DA7" w:rsidRPr="0025250D">
        <w:rPr>
          <w:rtl/>
        </w:rPr>
        <w:t>«</w:t>
      </w:r>
      <w:r w:rsidRPr="0025250D">
        <w:rPr>
          <w:rtl/>
        </w:rPr>
        <w:t>مردم‌سالار</w:t>
      </w:r>
      <w:r w:rsidRPr="0025250D">
        <w:rPr>
          <w:rFonts w:hint="cs"/>
          <w:rtl/>
        </w:rPr>
        <w:t>ی بد‌ترین</w:t>
      </w:r>
      <w:r w:rsidR="008D6F97" w:rsidRPr="0025250D">
        <w:rPr>
          <w:rtl/>
        </w:rPr>
        <w:t xml:space="preserve"> </w:t>
      </w:r>
      <w:r w:rsidRPr="0025250D">
        <w:rPr>
          <w:rFonts w:hint="cs"/>
          <w:rtl/>
        </w:rPr>
        <w:t>شکل حکومت است، به جز در میان بقیه شکل‌های حکومت</w:t>
      </w:r>
      <w:r w:rsidR="005B1DA7" w:rsidRPr="0025250D">
        <w:rPr>
          <w:rtl/>
        </w:rPr>
        <w:t>»</w:t>
      </w:r>
      <w:r w:rsidR="008D6F97" w:rsidRPr="0025250D">
        <w:rPr>
          <w:rtl/>
        </w:rPr>
        <w:t xml:space="preserve">؛ </w:t>
      </w:r>
      <w:r w:rsidRPr="0025250D">
        <w:rPr>
          <w:rFonts w:hint="cs"/>
          <w:rtl/>
        </w:rPr>
        <w:t xml:space="preserve">بنابراین، ما نیز </w:t>
      </w:r>
      <w:r w:rsidR="00D92F6E" w:rsidRPr="0025250D">
        <w:rPr>
          <w:rFonts w:hint="cs"/>
          <w:rtl/>
        </w:rPr>
        <w:t>پیش‌بین</w:t>
      </w:r>
      <w:r w:rsidRPr="0025250D">
        <w:rPr>
          <w:rFonts w:hint="cs"/>
          <w:rtl/>
        </w:rPr>
        <w:t>ی می‌کنیم که تعهد آمریکا به تحصیلات عمومی اکنون و در آینده انتخابی خواهد بود که رأی دهندگان به نسبت موارد بد‌تر دیگر، آن را انتخاب خواهند کرد.</w:t>
      </w:r>
    </w:p>
    <w:p w14:paraId="4542A9B3" w14:textId="6EBAFBDD" w:rsidR="00537CC8" w:rsidRPr="0025250D" w:rsidRDefault="00EE4B64" w:rsidP="00537CC8">
      <w:pPr>
        <w:rPr>
          <w:rtl/>
        </w:rPr>
      </w:pPr>
      <w:r w:rsidRPr="0025250D">
        <w:rPr>
          <w:rFonts w:hint="cs"/>
          <w:rtl/>
        </w:rPr>
        <w:t>مردم‌سالار</w:t>
      </w:r>
      <w:r w:rsidR="00537CC8" w:rsidRPr="0025250D">
        <w:rPr>
          <w:rFonts w:hint="cs"/>
          <w:rtl/>
        </w:rPr>
        <w:t>ی لیبرال آمریکا برای اصلاح تحصیلات عمومی به آرامی، با یک سرعت اغلب آزار دهنده، دچار مشکل بوده است، اما هیچگاه آن را با بازار آزاد</w:t>
      </w:r>
      <w:r w:rsidR="008D6F97" w:rsidRPr="0025250D">
        <w:rPr>
          <w:rtl/>
        </w:rPr>
        <w:t xml:space="preserve"> </w:t>
      </w:r>
      <w:r w:rsidR="00537CC8" w:rsidRPr="0025250D">
        <w:rPr>
          <w:rFonts w:hint="cs"/>
          <w:rtl/>
        </w:rPr>
        <w:t xml:space="preserve">تا جایی که امروزه می‌توانیم ببینیم، حتی با پیشرفت‌های متحول کننده در هوش‌های مصنوعی فردی و ادتک که می‌توانیم ظهور آن‌ها را ببینیم، جایگزین نخواهیم کرد. بزرگترین گزند تفکر </w:t>
      </w:r>
      <w:r w:rsidR="00537CC8" w:rsidRPr="0025250D">
        <w:rPr>
          <w:rtl/>
        </w:rPr>
        <w:t>آزاد</w:t>
      </w:r>
      <w:r w:rsidR="00537CC8" w:rsidRPr="0025250D">
        <w:rPr>
          <w:rFonts w:hint="cs"/>
          <w:rtl/>
        </w:rPr>
        <w:t>ی</w:t>
      </w:r>
      <w:r w:rsidR="00537CC8" w:rsidRPr="0025250D">
        <w:rPr>
          <w:rFonts w:hint="eastAsia"/>
          <w:rtl/>
        </w:rPr>
        <w:t>خواه</w:t>
      </w:r>
      <w:r w:rsidR="00537CC8" w:rsidRPr="0025250D">
        <w:rPr>
          <w:vertAlign w:val="superscript"/>
          <w:rtl/>
        </w:rPr>
        <w:footnoteReference w:id="1829"/>
      </w:r>
      <w:r w:rsidR="00537CC8" w:rsidRPr="0025250D">
        <w:rPr>
          <w:rFonts w:hint="cs"/>
          <w:rtl/>
        </w:rPr>
        <w:t xml:space="preserve"> نادیده گرفتن مسئولین برای ایجاد یک دولت </w:t>
      </w:r>
      <w:r w:rsidRPr="0025250D">
        <w:rPr>
          <w:rFonts w:hint="cs"/>
          <w:rtl/>
        </w:rPr>
        <w:t>مردم‌سالار</w:t>
      </w:r>
      <w:r w:rsidR="00537CC8" w:rsidRPr="0025250D">
        <w:rPr>
          <w:rFonts w:hint="cs"/>
          <w:rtl/>
        </w:rPr>
        <w:t xml:space="preserve"> قوی و کارآمد و استفاده از این دولت برای اجرای بازار آزاد و پشتیبانی از یک جامعه مدنی قدرتمند است.</w:t>
      </w:r>
    </w:p>
    <w:p w14:paraId="29751C6F" w14:textId="12395FC4" w:rsidR="00537CC8" w:rsidRPr="0025250D" w:rsidRDefault="007118DE" w:rsidP="00537CC8">
      <w:pPr>
        <w:rPr>
          <w:rtl/>
        </w:rPr>
      </w:pPr>
      <w:r w:rsidRPr="0025250D">
        <w:rPr>
          <w:rFonts w:hint="cs"/>
          <w:rtl/>
        </w:rPr>
        <w:t>همان‌طور</w:t>
      </w:r>
      <w:r w:rsidR="00537CC8" w:rsidRPr="0025250D">
        <w:rPr>
          <w:rFonts w:hint="cs"/>
          <w:rtl/>
        </w:rPr>
        <w:t xml:space="preserve"> که استاد </w:t>
      </w:r>
      <w:r w:rsidR="00B124DE" w:rsidRPr="0025250D">
        <w:rPr>
          <w:rFonts w:hint="cs"/>
          <w:rtl/>
        </w:rPr>
        <w:t>کسب‌و‌کار</w:t>
      </w:r>
      <w:r w:rsidR="00537CC8" w:rsidRPr="0025250D">
        <w:rPr>
          <w:rFonts w:hint="cs"/>
          <w:rtl/>
        </w:rPr>
        <w:t xml:space="preserve"> دانشگاه هاروارد </w:t>
      </w:r>
      <w:r w:rsidR="00537CC8" w:rsidRPr="0025250D">
        <w:rPr>
          <w:rtl/>
        </w:rPr>
        <w:t>ربکا هندرسون</w:t>
      </w:r>
      <w:r w:rsidR="00537CC8" w:rsidRPr="0025250D">
        <w:rPr>
          <w:vertAlign w:val="superscript"/>
          <w:rtl/>
        </w:rPr>
        <w:footnoteReference w:id="1830"/>
      </w:r>
      <w:r w:rsidR="00537CC8" w:rsidRPr="0025250D">
        <w:rPr>
          <w:rFonts w:hint="cs"/>
          <w:rtl/>
        </w:rPr>
        <w:t xml:space="preserve"> در کتاب خوب خود به نام تصور مجدد </w:t>
      </w:r>
      <w:r w:rsidR="00B0171C" w:rsidRPr="0025250D">
        <w:rPr>
          <w:rFonts w:hint="cs"/>
          <w:rtl/>
        </w:rPr>
        <w:t xml:space="preserve"> سرمایه‌دار</w:t>
      </w:r>
      <w:r w:rsidR="00537CC8" w:rsidRPr="0025250D">
        <w:rPr>
          <w:rFonts w:hint="cs"/>
          <w:rtl/>
        </w:rPr>
        <w:t>ی</w:t>
      </w:r>
      <w:r w:rsidR="00537CC8" w:rsidRPr="0025250D">
        <w:rPr>
          <w:vertAlign w:val="superscript"/>
          <w:rtl/>
        </w:rPr>
        <w:footnoteReference w:id="1831"/>
      </w:r>
      <w:r w:rsidR="00537CC8" w:rsidRPr="0025250D">
        <w:rPr>
          <w:rFonts w:hint="cs"/>
          <w:rtl/>
        </w:rPr>
        <w:t xml:space="preserve"> در سالار 2020 توصیف می‌کند، بازار آزاد، دولت و جامعه مدنی سه ستون اصلی همه تمدن‌های </w:t>
      </w:r>
      <w:r w:rsidR="00EE4B64" w:rsidRPr="0025250D">
        <w:rPr>
          <w:rFonts w:hint="cs"/>
          <w:rtl/>
        </w:rPr>
        <w:t>مردم‌سالار</w:t>
      </w:r>
      <w:r w:rsidR="00537CC8" w:rsidRPr="0025250D">
        <w:rPr>
          <w:rFonts w:hint="cs"/>
          <w:rtl/>
        </w:rPr>
        <w:t xml:space="preserve"> هستند. </w:t>
      </w:r>
      <w:r w:rsidRPr="0025250D">
        <w:rPr>
          <w:rFonts w:hint="cs"/>
          <w:rtl/>
        </w:rPr>
        <w:t>همان‌طور</w:t>
      </w:r>
      <w:r w:rsidR="00537CC8" w:rsidRPr="0025250D">
        <w:rPr>
          <w:rFonts w:hint="cs"/>
          <w:rtl/>
        </w:rPr>
        <w:t xml:space="preserve"> که در </w:t>
      </w:r>
      <w:r w:rsidR="00537CC8" w:rsidRPr="0025250D">
        <w:t>BPF</w:t>
      </w:r>
      <w:r w:rsidR="00537CC8" w:rsidRPr="0025250D">
        <w:rPr>
          <w:rFonts w:hint="cs"/>
          <w:rtl/>
        </w:rPr>
        <w:t xml:space="preserve"> بحث می‌کنیم، </w:t>
      </w:r>
      <w:r w:rsidR="00537CC8" w:rsidRPr="0025250D">
        <w:rPr>
          <w:rtl/>
        </w:rPr>
        <w:t>نومحافظه کاران</w:t>
      </w:r>
      <w:r w:rsidR="00537CC8" w:rsidRPr="0025250D">
        <w:rPr>
          <w:rFonts w:hint="cs"/>
          <w:rtl/>
        </w:rPr>
        <w:t xml:space="preserve"> و بنیان گذاران زرسالاری آن‌ها از دهه 1970 جامعه را پژمرده و تضعیف </w:t>
      </w:r>
      <w:r w:rsidRPr="0025250D">
        <w:rPr>
          <w:rFonts w:hint="cs"/>
          <w:rtl/>
        </w:rPr>
        <w:t>کرده‌اند</w:t>
      </w:r>
      <w:r w:rsidR="00537CC8" w:rsidRPr="0025250D">
        <w:rPr>
          <w:rFonts w:hint="cs"/>
          <w:rtl/>
        </w:rPr>
        <w:t xml:space="preserve">. باور داریم که بازیابی قدرت و </w:t>
      </w:r>
      <w:r w:rsidR="00923DDB" w:rsidRPr="0025250D">
        <w:rPr>
          <w:rFonts w:hint="cs"/>
          <w:rtl/>
        </w:rPr>
        <w:t>اثربخشی</w:t>
      </w:r>
      <w:r w:rsidR="00537CC8" w:rsidRPr="0025250D">
        <w:rPr>
          <w:rFonts w:hint="cs"/>
          <w:rtl/>
        </w:rPr>
        <w:t xml:space="preserve"> همه این سه ستون یکی از مسئولیت‌های جمعی و فردی مهم ماست. </w:t>
      </w:r>
      <w:r w:rsidR="00D92F6E" w:rsidRPr="0025250D">
        <w:rPr>
          <w:rFonts w:hint="cs"/>
          <w:rtl/>
        </w:rPr>
        <w:t>پیش‌بین</w:t>
      </w:r>
      <w:r w:rsidR="00537CC8" w:rsidRPr="0025250D">
        <w:rPr>
          <w:rFonts w:hint="cs"/>
          <w:rtl/>
        </w:rPr>
        <w:t xml:space="preserve">ی می‌کنیم که </w:t>
      </w:r>
      <w:r w:rsidR="00EE4B64" w:rsidRPr="0025250D">
        <w:rPr>
          <w:rFonts w:hint="cs"/>
          <w:rtl/>
        </w:rPr>
        <w:t>مردم‌سالار</w:t>
      </w:r>
      <w:r w:rsidR="00537CC8" w:rsidRPr="0025250D">
        <w:rPr>
          <w:rFonts w:hint="cs"/>
          <w:rtl/>
        </w:rPr>
        <w:t>ی‌ها از قدرت‌های در حال ظهور مانند هوش مصنوعی‌های فردی برای این کار بهره گیرند.</w:t>
      </w:r>
    </w:p>
    <w:p w14:paraId="0CD09117" w14:textId="1C00C2CB" w:rsidR="00537CC8" w:rsidRPr="0025250D" w:rsidRDefault="00537CC8" w:rsidP="00537CC8">
      <w:pPr>
        <w:rPr>
          <w:rtl/>
        </w:rPr>
      </w:pPr>
      <w:r w:rsidRPr="0025250D">
        <w:rPr>
          <w:rFonts w:hint="cs"/>
          <w:rtl/>
        </w:rPr>
        <w:t xml:space="preserve">اکنون بیایید مدل متفاوتی را نسبت به مدل </w:t>
      </w:r>
      <w:r w:rsidRPr="0025250D">
        <w:rPr>
          <w:rtl/>
        </w:rPr>
        <w:t>پرلمن</w:t>
      </w:r>
      <w:r w:rsidRPr="0025250D">
        <w:rPr>
          <w:rFonts w:hint="cs"/>
          <w:rtl/>
        </w:rPr>
        <w:t xml:space="preserve"> برای آینده تحصیلات عمومی ارائه دهیم. این مدل</w:t>
      </w:r>
      <w:r w:rsidR="001D6A0F" w:rsidRPr="0025250D">
        <w:rPr>
          <w:rFonts w:hint="cs"/>
          <w:rtl/>
        </w:rPr>
        <w:t xml:space="preserve"> به جای فرضیات آزادیخواهی،</w:t>
      </w:r>
      <w:r w:rsidRPr="0025250D">
        <w:rPr>
          <w:rFonts w:hint="cs"/>
          <w:rtl/>
        </w:rPr>
        <w:t xml:space="preserve"> بر آنچه به‌عنوان مجموعه‌ای از فرضیات سیاسی </w:t>
      </w:r>
      <w:r w:rsidRPr="0025250D">
        <w:rPr>
          <w:rtl/>
        </w:rPr>
        <w:t>تکنو ل</w:t>
      </w:r>
      <w:r w:rsidRPr="0025250D">
        <w:rPr>
          <w:rFonts w:hint="cs"/>
          <w:rtl/>
        </w:rPr>
        <w:t>ی</w:t>
      </w:r>
      <w:r w:rsidRPr="0025250D">
        <w:rPr>
          <w:rFonts w:hint="eastAsia"/>
          <w:rtl/>
        </w:rPr>
        <w:t>برال</w:t>
      </w:r>
      <w:r w:rsidRPr="0025250D">
        <w:rPr>
          <w:vertAlign w:val="superscript"/>
          <w:rtl/>
        </w:rPr>
        <w:footnoteReference w:id="1832"/>
      </w:r>
      <w:r w:rsidR="001D6A0F" w:rsidRPr="0025250D">
        <w:rPr>
          <w:rFonts w:hint="cs"/>
          <w:rtl/>
        </w:rPr>
        <w:t xml:space="preserve"> مشخص می‌نماییم</w:t>
      </w:r>
      <w:r w:rsidRPr="0025250D">
        <w:rPr>
          <w:rFonts w:hint="cs"/>
          <w:rtl/>
        </w:rPr>
        <w:t>، متکی است. برخی از این فرضیات را به‌عنوان تلاشی برای ترسیم فرضیات، در</w:t>
      </w:r>
      <w:r w:rsidRPr="0025250D">
        <w:rPr>
          <w:rtl/>
        </w:rPr>
        <w:t xml:space="preserve"> </w:t>
      </w:r>
      <w:r w:rsidRPr="0025250D">
        <w:rPr>
          <w:rFonts w:hint="cs"/>
          <w:rtl/>
        </w:rPr>
        <w:t>زیر</w:t>
      </w:r>
      <w:r w:rsidRPr="0025250D">
        <w:rPr>
          <w:rtl/>
        </w:rPr>
        <w:t xml:space="preserve"> </w:t>
      </w:r>
      <w:r w:rsidRPr="0025250D">
        <w:rPr>
          <w:rFonts w:hint="cs"/>
          <w:rtl/>
        </w:rPr>
        <w:t xml:space="preserve">فهرست </w:t>
      </w:r>
      <w:r w:rsidR="00950293" w:rsidRPr="0025250D">
        <w:rPr>
          <w:rFonts w:hint="cs"/>
          <w:rtl/>
        </w:rPr>
        <w:t>کرده‌ایم</w:t>
      </w:r>
      <w:r w:rsidRPr="0025250D">
        <w:rPr>
          <w:rFonts w:hint="cs"/>
          <w:rtl/>
        </w:rPr>
        <w:t xml:space="preserve"> تا نقد آن‌ها برای خوانندگان نیز راحت‌تر باشد. روندها و بحث‌هایی را برای پشتیبانی از موارد متعددی از این فرضیات در کتاب 2 ارائه خواهیم کرد. برخی فرضیاتی که در ارتباط با آینده تحصیلات عمومی داریم، این موارد هستند:</w:t>
      </w:r>
    </w:p>
    <w:p w14:paraId="385ACCC3" w14:textId="2E144460" w:rsidR="00537CC8" w:rsidRPr="0025250D" w:rsidRDefault="00537CC8" w:rsidP="00492C47">
      <w:pPr>
        <w:numPr>
          <w:ilvl w:val="0"/>
          <w:numId w:val="41"/>
        </w:numPr>
        <w:rPr>
          <w:rtl/>
        </w:rPr>
      </w:pPr>
      <w:r w:rsidRPr="0025250D">
        <w:rPr>
          <w:rFonts w:hint="cs"/>
          <w:rtl/>
        </w:rPr>
        <w:t xml:space="preserve">علم و </w:t>
      </w:r>
      <w:r w:rsidR="007A53FD" w:rsidRPr="0025250D">
        <w:rPr>
          <w:rFonts w:hint="cs"/>
          <w:rtl/>
        </w:rPr>
        <w:t>فناوری</w:t>
      </w:r>
      <w:r w:rsidRPr="0025250D">
        <w:rPr>
          <w:rFonts w:hint="cs"/>
          <w:rtl/>
        </w:rPr>
        <w:t xml:space="preserve"> به </w:t>
      </w:r>
      <w:r w:rsidR="00B56611" w:rsidRPr="0025250D">
        <w:rPr>
          <w:rFonts w:hint="cs"/>
          <w:rtl/>
        </w:rPr>
        <w:t>شتاب‌گیری</w:t>
      </w:r>
      <w:r w:rsidRPr="0025250D">
        <w:rPr>
          <w:rFonts w:hint="cs"/>
          <w:rtl/>
        </w:rPr>
        <w:t xml:space="preserve"> خود با فرض عدم وقوع هیچ رویدادی در سطح انقراض برای تمدن ما ادامه خواه</w:t>
      </w:r>
      <w:r w:rsidR="001D6A0F" w:rsidRPr="0025250D">
        <w:rPr>
          <w:rFonts w:hint="cs"/>
          <w:rtl/>
        </w:rPr>
        <w:t>ن</w:t>
      </w:r>
      <w:r w:rsidRPr="0025250D">
        <w:rPr>
          <w:rFonts w:hint="cs"/>
          <w:rtl/>
        </w:rPr>
        <w:t xml:space="preserve">د داد. این امر در عوض سبب </w:t>
      </w:r>
      <w:r w:rsidR="00B56611" w:rsidRPr="0025250D">
        <w:rPr>
          <w:rFonts w:hint="cs"/>
          <w:rtl/>
        </w:rPr>
        <w:t>شتاب‌گیری</w:t>
      </w:r>
      <w:r w:rsidRPr="0025250D">
        <w:rPr>
          <w:rFonts w:hint="cs"/>
          <w:rtl/>
        </w:rPr>
        <w:t xml:space="preserve"> تولید ثروت در همه </w:t>
      </w:r>
      <w:r w:rsidR="00EE4B64" w:rsidRPr="0025250D">
        <w:rPr>
          <w:rFonts w:hint="cs"/>
          <w:rtl/>
        </w:rPr>
        <w:t>مردم‌سالار</w:t>
      </w:r>
      <w:r w:rsidRPr="0025250D">
        <w:rPr>
          <w:rFonts w:hint="cs"/>
          <w:rtl/>
        </w:rPr>
        <w:t>ی‌های صنعتی خواهد شد.</w:t>
      </w:r>
    </w:p>
    <w:p w14:paraId="0E6E3188" w14:textId="5A8FE194" w:rsidR="00537CC8" w:rsidRPr="0025250D" w:rsidRDefault="00537CC8" w:rsidP="00492C47">
      <w:pPr>
        <w:numPr>
          <w:ilvl w:val="0"/>
          <w:numId w:val="41"/>
        </w:numPr>
        <w:rPr>
          <w:rtl/>
        </w:rPr>
      </w:pPr>
      <w:r w:rsidRPr="0025250D">
        <w:rPr>
          <w:rFonts w:hint="cs"/>
          <w:rtl/>
        </w:rPr>
        <w:t xml:space="preserve">ارزش‌های آزادیخواهی (به ویژه، کوچک کردن دولت) هیچگاه یک اکثریت در میان رأی دهندگان در هر </w:t>
      </w:r>
      <w:r w:rsidR="00EE4B64" w:rsidRPr="0025250D">
        <w:rPr>
          <w:rFonts w:hint="cs"/>
          <w:rtl/>
        </w:rPr>
        <w:t>مردم‌سالار</w:t>
      </w:r>
      <w:r w:rsidRPr="0025250D">
        <w:rPr>
          <w:rFonts w:hint="cs"/>
          <w:rtl/>
        </w:rPr>
        <w:t xml:space="preserve">ی با ثروت </w:t>
      </w:r>
      <w:r w:rsidR="007B3B35" w:rsidRPr="0025250D">
        <w:rPr>
          <w:rFonts w:hint="cs"/>
          <w:rtl/>
        </w:rPr>
        <w:t>شتاب‌گیر</w:t>
      </w:r>
      <w:r w:rsidRPr="0025250D">
        <w:rPr>
          <w:rFonts w:hint="cs"/>
          <w:rtl/>
        </w:rPr>
        <w:t>نده، به دلیل ایجاد ثروت مشخصا</w:t>
      </w:r>
      <w:r w:rsidR="001D6A0F" w:rsidRPr="0025250D">
        <w:rPr>
          <w:rFonts w:hint="cs"/>
          <w:rtl/>
        </w:rPr>
        <w:t>ً</w:t>
      </w:r>
      <w:r w:rsidRPr="0025250D">
        <w:rPr>
          <w:rFonts w:hint="cs"/>
          <w:rtl/>
        </w:rPr>
        <w:t xml:space="preserve"> رو به رشد در چنین جوامعی، نخواهند بود.</w:t>
      </w:r>
    </w:p>
    <w:p w14:paraId="346ED5F8" w14:textId="5EA81D8E" w:rsidR="00537CC8" w:rsidRPr="0025250D" w:rsidRDefault="00537CC8" w:rsidP="00492C47">
      <w:pPr>
        <w:numPr>
          <w:ilvl w:val="0"/>
          <w:numId w:val="41"/>
        </w:numPr>
        <w:rPr>
          <w:rtl/>
        </w:rPr>
      </w:pPr>
      <w:r w:rsidRPr="0025250D">
        <w:rPr>
          <w:rFonts w:hint="cs"/>
          <w:rtl/>
        </w:rPr>
        <w:t xml:space="preserve">با رشد ثروت و </w:t>
      </w:r>
      <w:r w:rsidR="007A53FD" w:rsidRPr="0025250D">
        <w:rPr>
          <w:rFonts w:hint="cs"/>
          <w:rtl/>
        </w:rPr>
        <w:t>فناوری</w:t>
      </w:r>
      <w:r w:rsidRPr="0025250D">
        <w:rPr>
          <w:rFonts w:hint="cs"/>
          <w:rtl/>
        </w:rPr>
        <w:t xml:space="preserve"> به طور میانگین ارزش‌های زرسالاری و </w:t>
      </w:r>
      <w:r w:rsidRPr="0025250D">
        <w:rPr>
          <w:rtl/>
        </w:rPr>
        <w:t>نومحافظه کار</w:t>
      </w:r>
      <w:r w:rsidRPr="0025250D">
        <w:rPr>
          <w:rFonts w:hint="cs"/>
          <w:rtl/>
        </w:rPr>
        <w:t>انه</w:t>
      </w:r>
      <w:r w:rsidR="0008779C" w:rsidRPr="0025250D">
        <w:rPr>
          <w:rFonts w:hint="cs"/>
          <w:rtl/>
        </w:rPr>
        <w:t xml:space="preserve"> بیش‌تر</w:t>
      </w:r>
      <w:r w:rsidRPr="0025250D">
        <w:rPr>
          <w:rFonts w:hint="cs"/>
          <w:rtl/>
        </w:rPr>
        <w:t>ی در شرکت‌ها و دولت خواهیم داشت. ارزش‌های زرسالاری به طور طبیعی به دنبال تحکیم قدرت و برتری و محدود سازی رقابت و آزادی هستند که می‌توانند چنین قدرت و برتری را مختل سازند.</w:t>
      </w:r>
    </w:p>
    <w:p w14:paraId="1B136157" w14:textId="5CCDC846" w:rsidR="00537CC8" w:rsidRPr="0025250D" w:rsidRDefault="00537CC8" w:rsidP="00492C47">
      <w:pPr>
        <w:numPr>
          <w:ilvl w:val="0"/>
          <w:numId w:val="41"/>
        </w:numPr>
        <w:rPr>
          <w:rtl/>
        </w:rPr>
      </w:pPr>
      <w:r w:rsidRPr="0025250D">
        <w:rPr>
          <w:rFonts w:hint="cs"/>
          <w:rtl/>
        </w:rPr>
        <w:t>همچنین ارزش‌های لیبرال و برابری طلبی</w:t>
      </w:r>
      <w:r w:rsidRPr="0025250D">
        <w:rPr>
          <w:vertAlign w:val="superscript"/>
          <w:rtl/>
        </w:rPr>
        <w:footnoteReference w:id="1833"/>
      </w:r>
      <w:r w:rsidR="0008779C" w:rsidRPr="0025250D">
        <w:rPr>
          <w:rFonts w:hint="cs"/>
          <w:rtl/>
        </w:rPr>
        <w:t xml:space="preserve"> بیش‌تر</w:t>
      </w:r>
      <w:r w:rsidRPr="0025250D">
        <w:rPr>
          <w:rFonts w:hint="cs"/>
          <w:rtl/>
        </w:rPr>
        <w:t xml:space="preserve">ی در شهروندان و جوامع با رشد ثروت و </w:t>
      </w:r>
      <w:r w:rsidR="007A53FD" w:rsidRPr="0025250D">
        <w:rPr>
          <w:rFonts w:hint="cs"/>
          <w:rtl/>
        </w:rPr>
        <w:t>فناوری</w:t>
      </w:r>
      <w:r w:rsidRPr="0025250D">
        <w:rPr>
          <w:rFonts w:hint="cs"/>
          <w:rtl/>
        </w:rPr>
        <w:t xml:space="preserve"> خواهیم داشت. مسائل عدالت، انصاف و عدم برابری اهمیت حتی</w:t>
      </w:r>
      <w:r w:rsidR="0008779C" w:rsidRPr="0025250D">
        <w:rPr>
          <w:rFonts w:hint="cs"/>
          <w:rtl/>
        </w:rPr>
        <w:t xml:space="preserve"> بیش‌تر</w:t>
      </w:r>
      <w:r w:rsidRPr="0025250D">
        <w:rPr>
          <w:rFonts w:hint="cs"/>
          <w:rtl/>
        </w:rPr>
        <w:t xml:space="preserve">ی در میان رأی دهندگان خواهند یافت. در نهایت آن‌ها قدرت رأی دهی برای شنیده شدن صدای خود، به صورت دوره‌ای به دلیل اصلاحات </w:t>
      </w:r>
      <w:r w:rsidR="00EE4B64" w:rsidRPr="0025250D">
        <w:rPr>
          <w:rFonts w:hint="cs"/>
          <w:rtl/>
        </w:rPr>
        <w:t>مردم‌سالار</w:t>
      </w:r>
      <w:r w:rsidRPr="0025250D">
        <w:rPr>
          <w:rFonts w:hint="cs"/>
          <w:rtl/>
        </w:rPr>
        <w:t xml:space="preserve"> خواهند داشت.</w:t>
      </w:r>
    </w:p>
    <w:p w14:paraId="5189FCB4" w14:textId="116F5CD8" w:rsidR="00537CC8" w:rsidRPr="0025250D" w:rsidRDefault="00537CC8" w:rsidP="00492C47">
      <w:pPr>
        <w:numPr>
          <w:ilvl w:val="0"/>
          <w:numId w:val="41"/>
        </w:numPr>
        <w:rPr>
          <w:rtl/>
        </w:rPr>
      </w:pPr>
      <w:r w:rsidRPr="0025250D">
        <w:rPr>
          <w:rFonts w:hint="cs"/>
          <w:rtl/>
        </w:rPr>
        <w:t xml:space="preserve">با </w:t>
      </w:r>
      <w:r w:rsidR="00B56611" w:rsidRPr="0025250D">
        <w:rPr>
          <w:rFonts w:hint="cs"/>
          <w:rtl/>
        </w:rPr>
        <w:t>شتاب‌گیری</w:t>
      </w:r>
      <w:r w:rsidRPr="0025250D">
        <w:rPr>
          <w:rFonts w:hint="cs"/>
          <w:rtl/>
        </w:rPr>
        <w:t xml:space="preserve"> ظرفیت‌های ثروت اقتصادی و </w:t>
      </w:r>
      <w:r w:rsidR="007A53FD" w:rsidRPr="0025250D">
        <w:rPr>
          <w:rFonts w:hint="cs"/>
          <w:rtl/>
        </w:rPr>
        <w:t>فناوری</w:t>
      </w:r>
      <w:r w:rsidRPr="0025250D">
        <w:rPr>
          <w:rFonts w:hint="cs"/>
          <w:rtl/>
        </w:rPr>
        <w:t>، بهره وری و رقابت فردی (مسائل مهمی که با حقوق سیاسی بازنمایی می‌شوند) اهمیت</w:t>
      </w:r>
      <w:r w:rsidR="00BB406C" w:rsidRPr="0025250D">
        <w:rPr>
          <w:rFonts w:hint="cs"/>
          <w:rtl/>
        </w:rPr>
        <w:t xml:space="preserve"> کم‌تر</w:t>
      </w:r>
      <w:r w:rsidRPr="0025250D">
        <w:rPr>
          <w:rFonts w:hint="cs"/>
          <w:rtl/>
        </w:rPr>
        <w:t>ی برای عموم رأی دهندگان خواهند یافت. آنچه در عوض به آن اهمیت خواهیم داد قوانین و توزیع مجدد ثروت اقتصادی، هم برای طبقه متوسط و هم برای طبقه کم برخوردار</w:t>
      </w:r>
      <w:r w:rsidR="001D6A0F" w:rsidRPr="0025250D">
        <w:rPr>
          <w:rFonts w:hint="cs"/>
          <w:rtl/>
        </w:rPr>
        <w:t>تر</w:t>
      </w:r>
      <w:r w:rsidRPr="0025250D">
        <w:rPr>
          <w:rFonts w:hint="cs"/>
          <w:rtl/>
        </w:rPr>
        <w:t xml:space="preserve"> است. در کتاب 2، این کلان روند را قانون پایداری </w:t>
      </w:r>
      <w:r w:rsidR="00B56611" w:rsidRPr="0025250D">
        <w:rPr>
          <w:rFonts w:hint="cs"/>
          <w:rtl/>
        </w:rPr>
        <w:t>شتاب‌گیری</w:t>
      </w:r>
      <w:r w:rsidRPr="0025250D">
        <w:rPr>
          <w:rFonts w:hint="cs"/>
          <w:rtl/>
        </w:rPr>
        <w:t xml:space="preserve"> می‌نامیم.</w:t>
      </w:r>
    </w:p>
    <w:p w14:paraId="35B064C6" w14:textId="3E90F79F" w:rsidR="00537CC8" w:rsidRPr="0025250D" w:rsidRDefault="00537CC8" w:rsidP="00492C47">
      <w:pPr>
        <w:numPr>
          <w:ilvl w:val="0"/>
          <w:numId w:val="41"/>
        </w:numPr>
        <w:rPr>
          <w:rtl/>
        </w:rPr>
      </w:pPr>
      <w:r w:rsidRPr="0025250D">
        <w:rPr>
          <w:rFonts w:hint="cs"/>
          <w:rtl/>
        </w:rPr>
        <w:t>تحصیلات عمومی همچنان بیش‌تر بودجه تحصیلی و آموزشی ما را در محیط سیاسی در اختیار خواهد داشت. مدارس نمونه مردمی</w:t>
      </w:r>
      <w:r w:rsidRPr="0025250D">
        <w:rPr>
          <w:vertAlign w:val="superscript"/>
          <w:rtl/>
        </w:rPr>
        <w:footnoteReference w:id="1834"/>
      </w:r>
      <w:r w:rsidRPr="0025250D">
        <w:rPr>
          <w:rFonts w:hint="cs"/>
          <w:rtl/>
        </w:rPr>
        <w:t xml:space="preserve"> (ترویج کننده آزادی تحصیلی) و مدارس خصوصی (به ویژه برای ثروتمندان)</w:t>
      </w:r>
      <w:r w:rsidR="0008779C" w:rsidRPr="0025250D">
        <w:rPr>
          <w:rFonts w:hint="cs"/>
          <w:rtl/>
        </w:rPr>
        <w:t xml:space="preserve"> بیش‌تر</w:t>
      </w:r>
      <w:r w:rsidRPr="0025250D">
        <w:rPr>
          <w:rFonts w:hint="cs"/>
          <w:rtl/>
        </w:rPr>
        <w:t>ی وجود خواهند داشت، اما این‌ها روند‌های حداقلی خواهند بود. اندازه و قدرت کلی بودجه‌های دولتی و پس از آن بودجه‌های مردمی، به رشد خود، حتی با این وجود که عوامل متعددی به دنبال محدود کردن اندازه و اثربخشی دولت خواهند بود، ادامه خواهد داد.</w:t>
      </w:r>
    </w:p>
    <w:p w14:paraId="4B16E289" w14:textId="38A2055E" w:rsidR="00537CC8" w:rsidRPr="0025250D" w:rsidRDefault="00537CC8" w:rsidP="00537CC8">
      <w:pPr>
        <w:rPr>
          <w:rtl/>
        </w:rPr>
      </w:pPr>
      <w:r w:rsidRPr="0025250D">
        <w:rPr>
          <w:rFonts w:hint="cs"/>
          <w:rtl/>
        </w:rPr>
        <w:t xml:space="preserve">توجه داشته باشید که به جز فرضیه 1 که اطمینان داریم </w:t>
      </w:r>
      <w:r w:rsidRPr="0025250D">
        <w:rPr>
          <w:rtl/>
        </w:rPr>
        <w:t>پرلمن</w:t>
      </w:r>
      <w:r w:rsidRPr="0025250D">
        <w:rPr>
          <w:rFonts w:hint="cs"/>
          <w:rtl/>
        </w:rPr>
        <w:t xml:space="preserve"> نیز با آن موافق خواهد بود، بقیه فرضیات ما احتمالا با فرضیات او یا به صورت اندک یا خیلی زیاد، متفاوت خواهند بود. فرضیات ما نیز بر مجموعه متفاوتی از فرضیه‌ها نسبت به او درمورد روند‌های </w:t>
      </w:r>
      <w:r w:rsidRPr="0025250D">
        <w:t>STEEPLES</w:t>
      </w:r>
      <w:r w:rsidRPr="0025250D">
        <w:rPr>
          <w:rFonts w:hint="cs"/>
          <w:rtl/>
        </w:rPr>
        <w:t xml:space="preserve"> در </w:t>
      </w:r>
      <w:r w:rsidR="00EE4B64" w:rsidRPr="0025250D">
        <w:rPr>
          <w:rFonts w:hint="cs"/>
          <w:rtl/>
        </w:rPr>
        <w:t>مردم‌سالار</w:t>
      </w:r>
      <w:r w:rsidRPr="0025250D">
        <w:rPr>
          <w:rFonts w:hint="cs"/>
          <w:rtl/>
        </w:rPr>
        <w:t>ی‌های مدرن متکی هستند.</w:t>
      </w:r>
    </w:p>
    <w:p w14:paraId="47FD7D1B" w14:textId="53671653" w:rsidR="00537CC8" w:rsidRPr="0025250D" w:rsidRDefault="00537CC8" w:rsidP="00537CC8">
      <w:pPr>
        <w:rPr>
          <w:rtl/>
        </w:rPr>
      </w:pPr>
      <w:r w:rsidRPr="0025250D">
        <w:rPr>
          <w:rFonts w:hint="cs"/>
          <w:rtl/>
        </w:rPr>
        <w:t xml:space="preserve">مشخصا توضیح و دفاع از فرضیه 5 که آن را قانون پایداری </w:t>
      </w:r>
      <w:r w:rsidR="007B3B35" w:rsidRPr="0025250D">
        <w:rPr>
          <w:rFonts w:hint="cs"/>
          <w:rtl/>
        </w:rPr>
        <w:t>شتاب‌گیر</w:t>
      </w:r>
      <w:r w:rsidRPr="0025250D">
        <w:rPr>
          <w:rFonts w:hint="cs"/>
          <w:rtl/>
        </w:rPr>
        <w:t xml:space="preserve">نده می‌نامیم، اهمیت دارد. این فرض بیان می‌کند آنچه رأی دهندگان در </w:t>
      </w:r>
      <w:r w:rsidR="00EE4B64" w:rsidRPr="0025250D">
        <w:rPr>
          <w:rFonts w:hint="cs"/>
          <w:rtl/>
        </w:rPr>
        <w:t>مردم‌سالار</w:t>
      </w:r>
      <w:r w:rsidRPr="0025250D">
        <w:rPr>
          <w:rFonts w:hint="cs"/>
          <w:rtl/>
        </w:rPr>
        <w:t>ی‌های لیبرال با</w:t>
      </w:r>
      <w:r w:rsidRPr="0025250D">
        <w:rPr>
          <w:rtl/>
        </w:rPr>
        <w:t xml:space="preserve"> </w:t>
      </w:r>
      <w:r w:rsidRPr="0025250D">
        <w:rPr>
          <w:rFonts w:hint="cs"/>
          <w:rtl/>
        </w:rPr>
        <w:t>رشد</w:t>
      </w:r>
      <w:r w:rsidRPr="0025250D">
        <w:rPr>
          <w:rtl/>
        </w:rPr>
        <w:t xml:space="preserve"> </w:t>
      </w:r>
      <w:r w:rsidRPr="0025250D">
        <w:rPr>
          <w:rFonts w:hint="cs"/>
          <w:rtl/>
        </w:rPr>
        <w:t>ثروت</w:t>
      </w:r>
      <w:r w:rsidRPr="0025250D">
        <w:rPr>
          <w:rtl/>
        </w:rPr>
        <w:t xml:space="preserve"> </w:t>
      </w:r>
      <w:r w:rsidRPr="0025250D">
        <w:rPr>
          <w:rFonts w:hint="cs"/>
          <w:rtl/>
        </w:rPr>
        <w:t>اجتماعی می‌خواهند، عدالت اجتماعی، برابری و پایداری بیش‌تر است، نه بهره وری فردی</w:t>
      </w:r>
      <w:r w:rsidR="0008779C" w:rsidRPr="0025250D">
        <w:rPr>
          <w:rFonts w:hint="cs"/>
          <w:rtl/>
        </w:rPr>
        <w:t xml:space="preserve"> بیش‌تر</w:t>
      </w:r>
      <w:r w:rsidRPr="0025250D">
        <w:rPr>
          <w:rFonts w:hint="cs"/>
          <w:rtl/>
        </w:rPr>
        <w:t xml:space="preserve">. این مورد بیان می‌کند که نه تنها می‌خواهیم نسبت به والدینمان در چیز‌هایی که برای آن‌ها ارزش قائل هستیم موفق‌تر باشیم، </w:t>
      </w:r>
      <w:r w:rsidR="001D6A0F" w:rsidRPr="0025250D">
        <w:rPr>
          <w:rFonts w:hint="cs"/>
          <w:rtl/>
        </w:rPr>
        <w:t>بلکه</w:t>
      </w:r>
      <w:r w:rsidRPr="0025250D">
        <w:rPr>
          <w:rFonts w:hint="cs"/>
          <w:rtl/>
        </w:rPr>
        <w:t xml:space="preserve"> برای چیز‌های متفاوتی ارزش قائل می‌شویم و می‌خواهیم کار</w:t>
      </w:r>
      <w:r w:rsidR="00BB406C" w:rsidRPr="0025250D">
        <w:rPr>
          <w:rFonts w:hint="cs"/>
          <w:rtl/>
        </w:rPr>
        <w:t xml:space="preserve"> کم‌تر</w:t>
      </w:r>
      <w:r w:rsidRPr="0025250D">
        <w:rPr>
          <w:rFonts w:hint="cs"/>
          <w:rtl/>
        </w:rPr>
        <w:t xml:space="preserve">ی نسبت به آن‌ها و به شکل‌های </w:t>
      </w:r>
      <w:r w:rsidR="00795397" w:rsidRPr="0025250D">
        <w:rPr>
          <w:rFonts w:hint="cs"/>
          <w:rtl/>
        </w:rPr>
        <w:t>انعطاف‌پذیر</w:t>
      </w:r>
      <w:r w:rsidRPr="0025250D">
        <w:rPr>
          <w:rFonts w:hint="cs"/>
          <w:rtl/>
        </w:rPr>
        <w:t>تری انجام دهیم و می‌خواهیم که کار ما معنا دار‌تر باشد. ما دولت، بازارها و جامعه مدنی خود را برای ایجاد واقعیتی که به شکل فزاینده‌ای همه این موارد را به ما ارائه می‌دهد، تغییر شکل خواهیم داد، زیرا این آینده‌ای است که ما به‌عنوان ر</w:t>
      </w:r>
      <w:r w:rsidR="00795397" w:rsidRPr="0025250D">
        <w:rPr>
          <w:rFonts w:hint="cs"/>
          <w:rtl/>
        </w:rPr>
        <w:t>أی</w:t>
      </w:r>
      <w:r w:rsidRPr="0025250D">
        <w:rPr>
          <w:rFonts w:hint="cs"/>
          <w:rtl/>
        </w:rPr>
        <w:t xml:space="preserve"> دهندگان می‌خواهیم.</w:t>
      </w:r>
    </w:p>
    <w:p w14:paraId="62B55EC1" w14:textId="33F6BD80" w:rsidR="00537CC8" w:rsidRPr="0025250D" w:rsidRDefault="00537CC8" w:rsidP="00537CC8">
      <w:pPr>
        <w:rPr>
          <w:rtl/>
        </w:rPr>
      </w:pPr>
      <w:r w:rsidRPr="0025250D">
        <w:rPr>
          <w:rFonts w:hint="cs"/>
          <w:rtl/>
        </w:rPr>
        <w:t xml:space="preserve">در سال‌های پیش از در اختیار داشتن هوش‌های مصنوعی قدرتمند و این که بتوانیم از آن‌ها برای آموزش خودمان در واقعیت استفاده کنیم (کتاب 2 را ببینید)، انتظار داریم که طرح‌های ستودنی اما ضروری متعددی را در اصلاحات فردی ببینیم. کتاب خوب و بحث برانگیز </w:t>
      </w:r>
      <w:r w:rsidRPr="0025250D">
        <w:rPr>
          <w:rtl/>
        </w:rPr>
        <w:t>دا</w:t>
      </w:r>
      <w:r w:rsidRPr="0025250D">
        <w:rPr>
          <w:rFonts w:hint="cs"/>
          <w:rtl/>
        </w:rPr>
        <w:t>ی</w:t>
      </w:r>
      <w:r w:rsidRPr="0025250D">
        <w:rPr>
          <w:rFonts w:hint="eastAsia"/>
          <w:rtl/>
        </w:rPr>
        <w:t>ان</w:t>
      </w:r>
      <w:r w:rsidRPr="0025250D">
        <w:rPr>
          <w:rtl/>
        </w:rPr>
        <w:t xml:space="preserve"> تاونر</w:t>
      </w:r>
      <w:r w:rsidRPr="0025250D">
        <w:rPr>
          <w:vertAlign w:val="superscript"/>
          <w:rtl/>
        </w:rPr>
        <w:footnoteReference w:id="1835"/>
      </w:r>
      <w:r w:rsidRPr="0025250D">
        <w:rPr>
          <w:rFonts w:hint="cs"/>
          <w:rtl/>
        </w:rPr>
        <w:t xml:space="preserve"> به نام </w:t>
      </w:r>
      <w:r w:rsidR="00795397" w:rsidRPr="0025250D">
        <w:rPr>
          <w:rFonts w:hint="cs"/>
          <w:rtl/>
        </w:rPr>
        <w:t>«</w:t>
      </w:r>
      <w:r w:rsidRPr="0025250D">
        <w:rPr>
          <w:rFonts w:hint="cs"/>
          <w:rtl/>
        </w:rPr>
        <w:t>آماده: آنچه کودکان برای یک زندگی موفق نیاز دارند</w:t>
      </w:r>
      <w:r w:rsidRPr="0025250D">
        <w:rPr>
          <w:vertAlign w:val="superscript"/>
          <w:rtl/>
        </w:rPr>
        <w:footnoteReference w:id="1836"/>
      </w:r>
      <w:r w:rsidR="00795397" w:rsidRPr="0025250D">
        <w:rPr>
          <w:rFonts w:hint="cs"/>
          <w:rtl/>
        </w:rPr>
        <w:t>»</w:t>
      </w:r>
      <w:r w:rsidRPr="0025250D">
        <w:rPr>
          <w:rFonts w:hint="cs"/>
          <w:rtl/>
        </w:rPr>
        <w:t xml:space="preserve"> در سال 2019، یک مثال الهام بخش از چگونگی ترکیب موارد آکادمیک دقیق در رشد فردی در مدارس عمومی امروزی است. این مدلی است که می‌توانیم آن را به شکل گسترده تری، در هر جایی که می‌توانیم اتحادیه‌ها و اداره تحصیلی خود را اصلاح کنیم </w:t>
      </w:r>
      <w:r w:rsidR="00923DDB" w:rsidRPr="0025250D">
        <w:rPr>
          <w:rFonts w:hint="cs"/>
          <w:rtl/>
        </w:rPr>
        <w:t>به‌کارگیری</w:t>
      </w:r>
      <w:r w:rsidRPr="0025250D">
        <w:rPr>
          <w:rFonts w:hint="cs"/>
          <w:rtl/>
        </w:rPr>
        <w:t>م.</w:t>
      </w:r>
    </w:p>
    <w:p w14:paraId="63010C2B" w14:textId="77777777" w:rsidR="00537CC8" w:rsidRPr="0025250D" w:rsidRDefault="00537CC8" w:rsidP="00761941">
      <w:pPr>
        <w:jc w:val="center"/>
        <w:rPr>
          <w:rtl/>
        </w:rPr>
      </w:pPr>
      <w:r w:rsidRPr="0025250D">
        <w:rPr>
          <w:noProof/>
          <w:rtl/>
          <w:lang w:bidi="ar-SA"/>
        </w:rPr>
        <w:drawing>
          <wp:inline distT="0" distB="0" distL="0" distR="0" wp14:anchorId="57B86EF8" wp14:editId="7EA2551F">
            <wp:extent cx="1760855" cy="2504660"/>
            <wp:effectExtent l="0" t="0" r="0" b="0"/>
            <wp:docPr id="100" name="Picture 100" descr="D:\کار\مستقل\3 ( ترجمه ی دانشگاه تهران  )\Introduction to Foresight\part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کار\مستقل\3 ( ترجمه ی دانشگاه تهران  )\Introduction to Foresight\part4\18.png"/>
                    <pic:cNvPicPr>
                      <a:picLocks noChangeAspect="1" noChangeArrowheads="1"/>
                    </pic:cNvPicPr>
                  </pic:nvPicPr>
                  <pic:blipFill rotWithShape="1">
                    <a:blip r:embed="rId157" cstate="screen">
                      <a:extLst>
                        <a:ext uri="{BEBA8EAE-BF5A-486C-A8C5-ECC9F3942E4B}">
                          <a14:imgProps xmlns:a14="http://schemas.microsoft.com/office/drawing/2010/main">
                            <a14:imgLayer r:embed="rId158">
                              <a14:imgEffect>
                                <a14:saturation sat="0"/>
                              </a14:imgEffect>
                            </a14:imgLayer>
                          </a14:imgProps>
                        </a:ext>
                        <a:ext uri="{28A0092B-C50C-407E-A947-70E740481C1C}">
                          <a14:useLocalDpi xmlns:a14="http://schemas.microsoft.com/office/drawing/2010/main"/>
                        </a:ext>
                      </a:extLst>
                    </a:blip>
                    <a:srcRect/>
                    <a:stretch/>
                  </pic:blipFill>
                  <pic:spPr bwMode="auto">
                    <a:xfrm>
                      <a:off x="0" y="0"/>
                      <a:ext cx="1764294" cy="2509552"/>
                    </a:xfrm>
                    <a:prstGeom prst="rect">
                      <a:avLst/>
                    </a:prstGeom>
                    <a:noFill/>
                    <a:ln>
                      <a:noFill/>
                    </a:ln>
                    <a:extLst>
                      <a:ext uri="{53640926-AAD7-44D8-BBD7-CCE9431645EC}">
                        <a14:shadowObscured xmlns:a14="http://schemas.microsoft.com/office/drawing/2010/main"/>
                      </a:ext>
                    </a:extLst>
                  </pic:spPr>
                </pic:pic>
              </a:graphicData>
            </a:graphic>
          </wp:inline>
        </w:drawing>
      </w:r>
    </w:p>
    <w:p w14:paraId="3A3CC9B4" w14:textId="77777777" w:rsidR="00537CC8" w:rsidRPr="0025250D" w:rsidRDefault="00537CC8" w:rsidP="00761941">
      <w:pPr>
        <w:jc w:val="center"/>
        <w:rPr>
          <w:rtl/>
        </w:rPr>
      </w:pPr>
      <w:r w:rsidRPr="0025250D">
        <w:rPr>
          <w:rtl/>
        </w:rPr>
        <w:t>تاونر</w:t>
      </w:r>
      <w:r w:rsidRPr="0025250D">
        <w:rPr>
          <w:rFonts w:hint="cs"/>
          <w:rtl/>
        </w:rPr>
        <w:t>، 2019</w:t>
      </w:r>
    </w:p>
    <w:p w14:paraId="4912D070" w14:textId="13B3BD60" w:rsidR="00537CC8" w:rsidRPr="0025250D" w:rsidRDefault="00537CC8" w:rsidP="00537CC8">
      <w:pPr>
        <w:rPr>
          <w:rtl/>
        </w:rPr>
      </w:pPr>
      <w:r w:rsidRPr="0025250D">
        <w:rPr>
          <w:rFonts w:hint="cs"/>
          <w:rtl/>
        </w:rPr>
        <w:t xml:space="preserve">با نشان دادن این که چه چیزی با </w:t>
      </w:r>
      <w:r w:rsidR="00B56611" w:rsidRPr="0025250D">
        <w:rPr>
          <w:rFonts w:hint="cs"/>
          <w:rtl/>
        </w:rPr>
        <w:t>چشم‌انداز</w:t>
      </w:r>
      <w:r w:rsidRPr="0025250D">
        <w:rPr>
          <w:rFonts w:hint="cs"/>
          <w:rtl/>
        </w:rPr>
        <w:t xml:space="preserve"> و حل و فصل کردن</w:t>
      </w:r>
      <w:r w:rsidRPr="0025250D">
        <w:rPr>
          <w:vertAlign w:val="superscript"/>
          <w:rtl/>
        </w:rPr>
        <w:footnoteReference w:id="1837"/>
      </w:r>
      <w:r w:rsidRPr="0025250D">
        <w:rPr>
          <w:rFonts w:hint="cs"/>
          <w:rtl/>
        </w:rPr>
        <w:t xml:space="preserve"> </w:t>
      </w:r>
      <w:r w:rsidR="00B453C0" w:rsidRPr="0025250D">
        <w:rPr>
          <w:rFonts w:hint="cs"/>
          <w:rtl/>
        </w:rPr>
        <w:t>امکان‌پذیر</w:t>
      </w:r>
      <w:r w:rsidRPr="0025250D">
        <w:rPr>
          <w:rtl/>
        </w:rPr>
        <w:t xml:space="preserve"> </w:t>
      </w:r>
      <w:r w:rsidRPr="0025250D">
        <w:rPr>
          <w:rFonts w:hint="cs"/>
          <w:rtl/>
        </w:rPr>
        <w:t xml:space="preserve">است، چند کشور </w:t>
      </w:r>
      <w:r w:rsidR="00303635" w:rsidRPr="0025250D">
        <w:rPr>
          <w:rtl/>
        </w:rPr>
        <w:t>چابک‌بین</w:t>
      </w:r>
      <w:r w:rsidRPr="0025250D">
        <w:rPr>
          <w:rFonts w:hint="cs"/>
          <w:rtl/>
        </w:rPr>
        <w:t xml:space="preserve"> کل </w:t>
      </w:r>
      <w:r w:rsidR="008D6F97" w:rsidRPr="0025250D">
        <w:rPr>
          <w:rFonts w:hint="cs"/>
          <w:rtl/>
        </w:rPr>
        <w:t>سامانه‌</w:t>
      </w:r>
      <w:r w:rsidRPr="0025250D">
        <w:rPr>
          <w:rFonts w:hint="cs"/>
          <w:rtl/>
        </w:rPr>
        <w:t xml:space="preserve"> تحصیلی دبیرستان عمومی خود را در دهه‌های اخیر مجددا طراحی </w:t>
      </w:r>
      <w:r w:rsidR="007118DE" w:rsidRPr="0025250D">
        <w:rPr>
          <w:rFonts w:hint="cs"/>
          <w:rtl/>
        </w:rPr>
        <w:t>کرده‌اند</w:t>
      </w:r>
      <w:r w:rsidRPr="0025250D">
        <w:rPr>
          <w:rFonts w:hint="cs"/>
          <w:rtl/>
        </w:rPr>
        <w:t>. فنلاند یکی از شناخته شده‌ترین</w:t>
      </w:r>
      <w:r w:rsidR="008D6F97" w:rsidRPr="0025250D">
        <w:rPr>
          <w:rtl/>
        </w:rPr>
        <w:t xml:space="preserve"> </w:t>
      </w:r>
      <w:r w:rsidRPr="0025250D">
        <w:rPr>
          <w:rFonts w:hint="cs"/>
          <w:rtl/>
        </w:rPr>
        <w:t xml:space="preserve">مثال هاست. آن‌ها نیمی از برنامه درسی خود را حذف کردند و آن را با آزادی، در یک مدل آموزش </w:t>
      </w:r>
      <w:r w:rsidRPr="0025250D">
        <w:rPr>
          <w:rtl/>
        </w:rPr>
        <w:t>مونته سور</w:t>
      </w:r>
      <w:r w:rsidRPr="0025250D">
        <w:rPr>
          <w:rFonts w:hint="cs"/>
          <w:rtl/>
        </w:rPr>
        <w:t>ی اصلاح شده</w:t>
      </w:r>
      <w:r w:rsidRPr="0025250D">
        <w:rPr>
          <w:vertAlign w:val="superscript"/>
          <w:rtl/>
        </w:rPr>
        <w:footnoteReference w:id="1838"/>
      </w:r>
      <w:r w:rsidRPr="0025250D">
        <w:rPr>
          <w:rFonts w:hint="cs"/>
          <w:rtl/>
        </w:rPr>
        <w:t xml:space="preserve"> جایگزین کردند، حرکتی که </w:t>
      </w:r>
      <w:r w:rsidRPr="0025250D">
        <w:rPr>
          <w:rtl/>
        </w:rPr>
        <w:t>پرلمن</w:t>
      </w:r>
      <w:r w:rsidRPr="0025250D">
        <w:rPr>
          <w:rFonts w:hint="cs"/>
          <w:rtl/>
        </w:rPr>
        <w:t xml:space="preserve"> مطمئنا از آن پشتیبانی می‌کند. آنها همچنین با منابع انسانی، مالی و زیرساختی گسترده از این تغییر پشتیبانی کردند، حرکتی که او مطمئنا (و به صورت </w:t>
      </w:r>
      <w:r w:rsidRPr="0025250D">
        <w:rPr>
          <w:rtl/>
        </w:rPr>
        <w:t>نادرست</w:t>
      </w:r>
      <w:r w:rsidRPr="0025250D">
        <w:rPr>
          <w:rFonts w:hint="cs"/>
          <w:rtl/>
        </w:rPr>
        <w:t>) با آن مخالفت می‌کرد. پدیده فنلاند</w:t>
      </w:r>
      <w:r w:rsidRPr="0025250D">
        <w:rPr>
          <w:vertAlign w:val="superscript"/>
          <w:rtl/>
        </w:rPr>
        <w:footnoteReference w:id="1839"/>
      </w:r>
      <w:r w:rsidRPr="0025250D">
        <w:rPr>
          <w:rFonts w:hint="cs"/>
          <w:rtl/>
        </w:rPr>
        <w:t xml:space="preserve"> اثر </w:t>
      </w:r>
      <w:r w:rsidRPr="0025250D">
        <w:rPr>
          <w:rtl/>
        </w:rPr>
        <w:t>شان فاوست</w:t>
      </w:r>
      <w:r w:rsidRPr="0025250D">
        <w:rPr>
          <w:vertAlign w:val="superscript"/>
          <w:rtl/>
        </w:rPr>
        <w:footnoteReference w:id="1840"/>
      </w:r>
      <w:r w:rsidRPr="0025250D">
        <w:rPr>
          <w:rFonts w:hint="cs"/>
          <w:rtl/>
        </w:rPr>
        <w:t xml:space="preserve"> در سال 2016 را برای این داستان الهام بخش ببینید</w:t>
      </w:r>
      <w:r w:rsidR="008D6F97" w:rsidRPr="0025250D">
        <w:rPr>
          <w:rtl/>
        </w:rPr>
        <w:t xml:space="preserve">؛ </w:t>
      </w:r>
      <w:r w:rsidRPr="0025250D">
        <w:rPr>
          <w:rFonts w:hint="cs"/>
          <w:rtl/>
        </w:rPr>
        <w:t>اما این تغییر دو دهه به طول انجامید و به رهبری خوبی در میان سیاست مداران، اتحادیه‌ها و شهروندان نیاز داشت.</w:t>
      </w:r>
    </w:p>
    <w:p w14:paraId="71D32E8D" w14:textId="74D6BB81" w:rsidR="00537CC8" w:rsidRPr="0025250D" w:rsidRDefault="00537CC8" w:rsidP="00537CC8">
      <w:pPr>
        <w:rPr>
          <w:rtl/>
        </w:rPr>
      </w:pPr>
      <w:r w:rsidRPr="0025250D">
        <w:rPr>
          <w:rFonts w:hint="cs"/>
          <w:rtl/>
        </w:rPr>
        <w:t>در طول دو دهه بعدی اتفاق مشابهی می‌توانست به طور گسترده در آمریکا رخ دهد، اما ادامه</w:t>
      </w:r>
      <w:r w:rsidRPr="0025250D">
        <w:rPr>
          <w:rtl/>
        </w:rPr>
        <w:t xml:space="preserve"> </w:t>
      </w:r>
      <w:r w:rsidRPr="0025250D">
        <w:rPr>
          <w:rFonts w:hint="cs"/>
          <w:rtl/>
        </w:rPr>
        <w:t>ورود</w:t>
      </w:r>
      <w:r w:rsidRPr="0025250D">
        <w:rPr>
          <w:rtl/>
        </w:rPr>
        <w:t xml:space="preserve"> </w:t>
      </w:r>
      <w:r w:rsidRPr="0025250D">
        <w:rPr>
          <w:rFonts w:hint="cs"/>
          <w:rtl/>
        </w:rPr>
        <w:t>تدریجی</w:t>
      </w:r>
      <w:r w:rsidRPr="0025250D">
        <w:rPr>
          <w:rtl/>
        </w:rPr>
        <w:t xml:space="preserve"> </w:t>
      </w:r>
      <w:r w:rsidRPr="0025250D">
        <w:rPr>
          <w:rFonts w:hint="cs"/>
          <w:rtl/>
        </w:rPr>
        <w:t xml:space="preserve">رویکرد دارای حداکثر آزادی و نوآوری فنلاند در چند ایالت آمریکا و در چند ناحیه محصور خلاق و ثروت مند محتمل‌تر </w:t>
      </w:r>
      <w:r w:rsidR="00795397" w:rsidRPr="0025250D">
        <w:rPr>
          <w:rFonts w:hint="cs"/>
          <w:rtl/>
        </w:rPr>
        <w:t>به</w:t>
      </w:r>
      <w:r w:rsidR="00795397" w:rsidRPr="0025250D">
        <w:rPr>
          <w:rtl/>
        </w:rPr>
        <w:t xml:space="preserve"> </w:t>
      </w:r>
      <w:r w:rsidR="00795397" w:rsidRPr="0025250D">
        <w:rPr>
          <w:rFonts w:hint="cs"/>
          <w:rtl/>
        </w:rPr>
        <w:t>نظر</w:t>
      </w:r>
      <w:r w:rsidR="00795397" w:rsidRPr="0025250D">
        <w:rPr>
          <w:rtl/>
        </w:rPr>
        <w:t xml:space="preserve"> </w:t>
      </w:r>
      <w:r w:rsidRPr="0025250D">
        <w:rPr>
          <w:rFonts w:hint="cs"/>
          <w:rtl/>
        </w:rPr>
        <w:t xml:space="preserve">می‌رسد. باید به جای این برای ایجاد تغییر تحصیلی عمده به دنبال فعالیت </w:t>
      </w:r>
      <w:r w:rsidR="007B3B35" w:rsidRPr="0025250D">
        <w:rPr>
          <w:rFonts w:hint="cs"/>
          <w:rtl/>
        </w:rPr>
        <w:t>شتاب‌گیر</w:t>
      </w:r>
      <w:r w:rsidRPr="0025250D">
        <w:rPr>
          <w:rFonts w:hint="cs"/>
          <w:rtl/>
        </w:rPr>
        <w:t xml:space="preserve">نده </w:t>
      </w:r>
      <w:r w:rsidR="007A53FD" w:rsidRPr="0025250D">
        <w:rPr>
          <w:rFonts w:hint="cs"/>
          <w:rtl/>
        </w:rPr>
        <w:t>فناوری</w:t>
      </w:r>
      <w:r w:rsidRPr="0025250D">
        <w:rPr>
          <w:rFonts w:hint="cs"/>
          <w:rtl/>
        </w:rPr>
        <w:t xml:space="preserve"> و مشتریان و رأی دهندگان باشیم. یک مرور کلی خوب از وضعیت امروز </w:t>
      </w:r>
      <w:r w:rsidR="007A53FD" w:rsidRPr="0025250D">
        <w:rPr>
          <w:rFonts w:hint="cs"/>
          <w:rtl/>
        </w:rPr>
        <w:t>فناوری</w:t>
      </w:r>
      <w:r w:rsidRPr="0025250D">
        <w:rPr>
          <w:rFonts w:hint="cs"/>
          <w:rtl/>
        </w:rPr>
        <w:t xml:space="preserve"> تحصیلی را می‌توان در خبرنامه آزاد ادسرج</w:t>
      </w:r>
      <w:r w:rsidRPr="0025250D">
        <w:rPr>
          <w:vertAlign w:val="superscript"/>
          <w:rtl/>
        </w:rPr>
        <w:footnoteReference w:id="1841"/>
      </w:r>
      <w:r w:rsidRPr="0025250D">
        <w:rPr>
          <w:rFonts w:hint="cs"/>
          <w:rtl/>
        </w:rPr>
        <w:t xml:space="preserve"> یافت. از نظر ما، مثبت‌ترین</w:t>
      </w:r>
      <w:r w:rsidR="008D6F97" w:rsidRPr="0025250D">
        <w:rPr>
          <w:rtl/>
        </w:rPr>
        <w:t xml:space="preserve"> </w:t>
      </w:r>
      <w:r w:rsidRPr="0025250D">
        <w:rPr>
          <w:rFonts w:hint="cs"/>
          <w:rtl/>
        </w:rPr>
        <w:t xml:space="preserve">روند </w:t>
      </w:r>
      <w:r w:rsidR="007A53FD" w:rsidRPr="0025250D">
        <w:rPr>
          <w:rFonts w:hint="cs"/>
          <w:rtl/>
        </w:rPr>
        <w:t>فناوری</w:t>
      </w:r>
      <w:r w:rsidRPr="0025250D">
        <w:rPr>
          <w:rFonts w:hint="cs"/>
          <w:rtl/>
        </w:rPr>
        <w:t xml:space="preserve"> تحصیلی بلند مدت در قرن بیست و یکم می‌تواند ظهور هوش‌های مصنوعی شخصی باشد. آنها بخشی از پلتفرم‌های </w:t>
      </w:r>
      <w:r w:rsidR="005B1DA7" w:rsidRPr="0025250D">
        <w:rPr>
          <w:rtl/>
        </w:rPr>
        <w:t>«</w:t>
      </w:r>
      <w:r w:rsidRPr="0025250D">
        <w:rPr>
          <w:rFonts w:hint="cs"/>
          <w:rtl/>
        </w:rPr>
        <w:t>تحصیل عمومی بدون معلم</w:t>
      </w:r>
      <w:r w:rsidR="005B1DA7" w:rsidRPr="0025250D">
        <w:rPr>
          <w:rtl/>
        </w:rPr>
        <w:t>»</w:t>
      </w:r>
      <w:r w:rsidRPr="0025250D">
        <w:rPr>
          <w:rFonts w:hint="cs"/>
          <w:rtl/>
        </w:rPr>
        <w:t xml:space="preserve"> خواهند بود که می‌توانند کاملا تا دهه 2040 قدرتمند و قابل شخصی سازی باشند. وقتی هوش‌های مصنوعی شخصی مورد استفاده انبوه قرار گیرند، </w:t>
      </w:r>
      <w:r w:rsidR="00D92F6E" w:rsidRPr="0025250D">
        <w:rPr>
          <w:rFonts w:hint="cs"/>
          <w:rtl/>
        </w:rPr>
        <w:t>پیش‌بین</w:t>
      </w:r>
      <w:r w:rsidRPr="0025250D">
        <w:rPr>
          <w:rFonts w:hint="cs"/>
          <w:rtl/>
        </w:rPr>
        <w:t xml:space="preserve">ی می‌کنیم که پلتفرم‌های </w:t>
      </w:r>
      <w:r w:rsidR="007A53FD" w:rsidRPr="0025250D">
        <w:rPr>
          <w:rFonts w:hint="cs"/>
          <w:rtl/>
        </w:rPr>
        <w:t>فناوری</w:t>
      </w:r>
      <w:r w:rsidRPr="0025250D">
        <w:rPr>
          <w:rFonts w:hint="cs"/>
          <w:rtl/>
        </w:rPr>
        <w:t xml:space="preserve"> تحصیلی برتر ما بتوانند بسیاری از نقص‌های بلند مدت موجود در شبکه‌های مدارس عمومی را اصلاح کنند. در همین زمان، اکثریت مدارس ما به نظر احتمالا بسیار آهسته‌تر از آنچه بسیاری به دلایل فرهنگی، سیاسی و سازمانی می‌خواهیم، پیشرفت خواهند کرد.</w:t>
      </w:r>
    </w:p>
    <w:p w14:paraId="4DADDD92" w14:textId="1B3360F9" w:rsidR="00537CC8" w:rsidRPr="0025250D" w:rsidRDefault="00537CC8" w:rsidP="00566B6A">
      <w:pPr>
        <w:rPr>
          <w:rtl/>
        </w:rPr>
      </w:pPr>
      <w:r w:rsidRPr="0025250D">
        <w:rPr>
          <w:rFonts w:hint="cs"/>
          <w:rtl/>
        </w:rPr>
        <w:t xml:space="preserve">در مجموع، </w:t>
      </w:r>
      <w:r w:rsidR="00D92F6E" w:rsidRPr="0025250D">
        <w:rPr>
          <w:rFonts w:hint="cs"/>
          <w:rtl/>
        </w:rPr>
        <w:t>پیش‌بین</w:t>
      </w:r>
      <w:r w:rsidRPr="0025250D">
        <w:rPr>
          <w:rFonts w:hint="cs"/>
          <w:rtl/>
        </w:rPr>
        <w:t xml:space="preserve">ی‌های ما همواره بر اساس فرضیات و مدل‌های ما هستند. ما به آشکار سازی، نقد و آزمایش این فرضیات، مدل‌ها و </w:t>
      </w:r>
      <w:r w:rsidR="00D92F6E" w:rsidRPr="0025250D">
        <w:rPr>
          <w:rFonts w:hint="cs"/>
          <w:rtl/>
        </w:rPr>
        <w:t>پیش‌بین</w:t>
      </w:r>
      <w:r w:rsidRPr="0025250D">
        <w:rPr>
          <w:rFonts w:hint="cs"/>
          <w:rtl/>
        </w:rPr>
        <w:t xml:space="preserve">ی‌ها به بهترین شکل ممکن نیاز داریم. بیایید این بخش را با چند پرسش برای </w:t>
      </w:r>
      <w:r w:rsidR="00566B6A" w:rsidRPr="0025250D">
        <w:rPr>
          <w:rFonts w:hint="cs"/>
          <w:rtl/>
        </w:rPr>
        <w:t>شما</w:t>
      </w:r>
      <w:r w:rsidRPr="0025250D">
        <w:rPr>
          <w:rFonts w:hint="cs"/>
          <w:rtl/>
        </w:rPr>
        <w:t xml:space="preserve"> و تیم هایتان به اتمام برسانیم: شما چقدر در فرضیات و مدل‌های خود صریح هستید؟ در گفتمان خود چطور؟ آیا برای یافتن داده‌ها و روند‌های کمّی </w:t>
      </w:r>
      <w:r w:rsidR="00566B6A" w:rsidRPr="0025250D">
        <w:rPr>
          <w:rFonts w:hint="cs"/>
          <w:rtl/>
        </w:rPr>
        <w:t>از آن‌ها</w:t>
      </w:r>
      <w:r w:rsidRPr="0025250D">
        <w:rPr>
          <w:rFonts w:hint="cs"/>
          <w:rtl/>
        </w:rPr>
        <w:t xml:space="preserve"> پشتیبانی یا </w:t>
      </w:r>
      <w:r w:rsidR="00566B6A" w:rsidRPr="0025250D">
        <w:rPr>
          <w:rFonts w:hint="cs"/>
          <w:rtl/>
        </w:rPr>
        <w:t xml:space="preserve">با آن‌ها </w:t>
      </w:r>
      <w:r w:rsidRPr="0025250D">
        <w:rPr>
          <w:rFonts w:hint="cs"/>
          <w:rtl/>
        </w:rPr>
        <w:t xml:space="preserve">مخالفت می‌کنید؟ شما و تیم هایتان هر چند وقت یکبار نظریات (مدل ها)، </w:t>
      </w:r>
      <w:r w:rsidR="00D92F6E" w:rsidRPr="0025250D">
        <w:rPr>
          <w:rFonts w:hint="cs"/>
          <w:rtl/>
        </w:rPr>
        <w:t>پیش‌بین</w:t>
      </w:r>
      <w:r w:rsidRPr="0025250D">
        <w:rPr>
          <w:rFonts w:hint="cs"/>
          <w:rtl/>
        </w:rPr>
        <w:t xml:space="preserve">ی‌ها و بازه‌های اطمینان تولید می‌کنید؟ آیا پرسیده اید که چه انواعی از آزمایش‌ها یا نتایج می‌توانند </w:t>
      </w:r>
      <w:r w:rsidR="00D92F6E" w:rsidRPr="0025250D">
        <w:rPr>
          <w:rFonts w:hint="cs"/>
          <w:rtl/>
        </w:rPr>
        <w:t>پیش‌بین</w:t>
      </w:r>
      <w:r w:rsidRPr="0025250D">
        <w:rPr>
          <w:rFonts w:hint="cs"/>
          <w:rtl/>
        </w:rPr>
        <w:t>ی‌های شما را تغییر دهند؟</w:t>
      </w:r>
    </w:p>
    <w:p w14:paraId="4A99D0A0" w14:textId="77777777" w:rsidR="00537CC8" w:rsidRPr="0025250D" w:rsidRDefault="00537CC8" w:rsidP="00D53F87">
      <w:pPr>
        <w:pStyle w:val="Heading2"/>
        <w:rPr>
          <w:rtl/>
        </w:rPr>
      </w:pPr>
      <w:bookmarkStart w:id="53" w:name="_Toc127831318"/>
      <w:r w:rsidRPr="0025250D">
        <w:rPr>
          <w:rFonts w:hint="cs"/>
          <w:rtl/>
        </w:rPr>
        <w:t xml:space="preserve">بیان داستان‌های بهتر از آینده، با استفاده از چهار </w:t>
      </w:r>
      <w:r w:rsidRPr="0025250D">
        <w:t>P</w:t>
      </w:r>
      <w:bookmarkEnd w:id="53"/>
    </w:p>
    <w:p w14:paraId="09E57979" w14:textId="321122F6" w:rsidR="00537CC8" w:rsidRPr="0025250D" w:rsidRDefault="00537CC8" w:rsidP="00BE4252">
      <w:pPr>
        <w:rPr>
          <w:rtl/>
        </w:rPr>
      </w:pPr>
      <w:r w:rsidRPr="0025250D">
        <w:rPr>
          <w:rFonts w:hint="cs"/>
          <w:rtl/>
        </w:rPr>
        <w:t xml:space="preserve">داستان‌ها بسیار فریبنده و قدرتمند هستند. ما به‌عنوان </w:t>
      </w:r>
      <w:r w:rsidR="00B124DE" w:rsidRPr="0025250D">
        <w:rPr>
          <w:rFonts w:hint="cs"/>
          <w:rtl/>
        </w:rPr>
        <w:t>آینده‌اندیش</w:t>
      </w:r>
      <w:r w:rsidRPr="0025250D">
        <w:rPr>
          <w:rFonts w:hint="cs"/>
          <w:rtl/>
        </w:rPr>
        <w:t xml:space="preserve">ان انواع مختلفی از این داستان‌ها را تعریف می‌کنیم. یک داستان خوب در فیلم، به صورت چاپی یا بیانی می‌تواند به سرعت ما را به یک جهان متفاوت، هم از نظر </w:t>
      </w:r>
      <w:r w:rsidR="00BE4252" w:rsidRPr="0025250D">
        <w:rPr>
          <w:rFonts w:hint="cs"/>
          <w:rtl/>
        </w:rPr>
        <w:t>هیجانی</w:t>
      </w:r>
      <w:r w:rsidRPr="0025250D">
        <w:rPr>
          <w:rFonts w:hint="cs"/>
          <w:rtl/>
        </w:rPr>
        <w:t xml:space="preserve"> و هم از نظر منطقی و بسیار سریع‌تر و عمیق‌تر از شاید هر دستگاه دیگری ببرد. با توجه به این که گم کردن خود در داستان هایمان برای ما بسیار ساده است، باید درمورد منطقی و </w:t>
      </w:r>
      <w:r w:rsidR="00B124DE" w:rsidRPr="0025250D">
        <w:rPr>
          <w:rFonts w:hint="cs"/>
          <w:rtl/>
        </w:rPr>
        <w:t>انطباق‌پذیر</w:t>
      </w:r>
      <w:r w:rsidR="00C762AF" w:rsidRPr="0025250D">
        <w:rPr>
          <w:rFonts w:hint="cs"/>
          <w:rtl/>
        </w:rPr>
        <w:t xml:space="preserve"> بودن این داستان‌ها</w:t>
      </w:r>
      <w:r w:rsidRPr="0025250D">
        <w:rPr>
          <w:rFonts w:hint="cs"/>
          <w:rtl/>
        </w:rPr>
        <w:t>، بسیار مراقب باشیم. حیوان داستان سرا: داستان‌ها چگونه ما را به انسان تبدیل می‌کنند</w:t>
      </w:r>
      <w:r w:rsidRPr="0025250D">
        <w:rPr>
          <w:vertAlign w:val="superscript"/>
          <w:rtl/>
        </w:rPr>
        <w:footnoteReference w:id="1842"/>
      </w:r>
      <w:r w:rsidRPr="0025250D">
        <w:rPr>
          <w:rFonts w:hint="cs"/>
          <w:rtl/>
        </w:rPr>
        <w:t xml:space="preserve"> اثر </w:t>
      </w:r>
      <w:r w:rsidRPr="0025250D">
        <w:rPr>
          <w:rtl/>
        </w:rPr>
        <w:t>جاناتان گوتشال</w:t>
      </w:r>
      <w:r w:rsidRPr="0025250D">
        <w:rPr>
          <w:vertAlign w:val="superscript"/>
          <w:rtl/>
        </w:rPr>
        <w:footnoteReference w:id="1843"/>
      </w:r>
      <w:r w:rsidRPr="0025250D">
        <w:rPr>
          <w:rFonts w:hint="cs"/>
          <w:rtl/>
        </w:rPr>
        <w:t xml:space="preserve"> در سال 2013 اشتهای فراگیر ما برای داستان‌ها را بیان می‌کند و نظریه‌ای مفید از این که چرا آن‌ها می‌توانند تا این حد متقاعد کننده باشند ارائه می‌دهد. یک داستان خوب واقعیت را با یک مجموعه به یاد ماندنی و به شدت کاهش یافته از عوامل</w:t>
      </w:r>
      <w:r w:rsidR="008D6F97" w:rsidRPr="0025250D">
        <w:rPr>
          <w:rtl/>
        </w:rPr>
        <w:t xml:space="preserve"> </w:t>
      </w:r>
      <w:r w:rsidRPr="0025250D">
        <w:rPr>
          <w:rFonts w:hint="cs"/>
          <w:rtl/>
        </w:rPr>
        <w:t xml:space="preserve">شبیه سازی می‌کند و روایتی ساده را </w:t>
      </w:r>
      <w:r w:rsidR="00C762AF" w:rsidRPr="0025250D">
        <w:rPr>
          <w:rFonts w:hint="cs"/>
          <w:rtl/>
        </w:rPr>
        <w:t xml:space="preserve">بیان می‌کند </w:t>
      </w:r>
      <w:r w:rsidRPr="0025250D">
        <w:rPr>
          <w:rFonts w:hint="cs"/>
          <w:rtl/>
        </w:rPr>
        <w:t xml:space="preserve">که مدل‌های ذهنی‌ای ایجاد می‌کند که به ما برای آماده شدن و </w:t>
      </w:r>
      <w:r w:rsidR="002F3C14" w:rsidRPr="0025250D">
        <w:rPr>
          <w:rFonts w:hint="cs"/>
          <w:rtl/>
        </w:rPr>
        <w:t>انطباق</w:t>
      </w:r>
      <w:r w:rsidRPr="0025250D">
        <w:rPr>
          <w:rFonts w:hint="cs"/>
          <w:rtl/>
        </w:rPr>
        <w:t xml:space="preserve"> یافتن با یک جهان بسیار پیچیده‌تر و جامع‌تر کمک می‌کند.</w:t>
      </w:r>
    </w:p>
    <w:p w14:paraId="4371C749" w14:textId="5676F9AD" w:rsidR="00537CC8" w:rsidRPr="0025250D" w:rsidRDefault="00537CC8" w:rsidP="00537CC8">
      <w:pPr>
        <w:rPr>
          <w:rtl/>
        </w:rPr>
      </w:pPr>
      <w:r w:rsidRPr="0025250D">
        <w:rPr>
          <w:rFonts w:hint="cs"/>
          <w:rtl/>
        </w:rPr>
        <w:t xml:space="preserve">متأسفانه، جلب مردم به یک داستان نسبت به تبدیل این داستان به بازتابی از واقعیت بسیار آسان‌تر است. متخصصین </w:t>
      </w:r>
      <w:r w:rsidRPr="0025250D">
        <w:rPr>
          <w:rtl/>
        </w:rPr>
        <w:t>آینده‌نگاری</w:t>
      </w:r>
      <w:r w:rsidRPr="0025250D">
        <w:rPr>
          <w:rFonts w:hint="cs"/>
          <w:rtl/>
        </w:rPr>
        <w:t xml:space="preserve"> به‌عنوان داستان سرا وظیفه دارند که راه ساده‌تر را انتخاب نکنند. کتاب‌هایی مانند داستان بیش از حد عجیب</w:t>
      </w:r>
      <w:r w:rsidRPr="0025250D">
        <w:rPr>
          <w:vertAlign w:val="superscript"/>
          <w:rtl/>
        </w:rPr>
        <w:footnoteReference w:id="1844"/>
      </w:r>
      <w:r w:rsidRPr="0025250D">
        <w:rPr>
          <w:rFonts w:hint="cs"/>
          <w:rtl/>
        </w:rPr>
        <w:t xml:space="preserve"> اثر </w:t>
      </w:r>
      <w:r w:rsidRPr="0025250D">
        <w:rPr>
          <w:rtl/>
        </w:rPr>
        <w:t>ل</w:t>
      </w:r>
      <w:r w:rsidRPr="0025250D">
        <w:rPr>
          <w:rFonts w:hint="cs"/>
          <w:rtl/>
        </w:rPr>
        <w:t>ی</w:t>
      </w:r>
      <w:r w:rsidRPr="0025250D">
        <w:rPr>
          <w:rFonts w:hint="eastAsia"/>
          <w:rtl/>
        </w:rPr>
        <w:t>زا</w:t>
      </w:r>
      <w:r w:rsidRPr="0025250D">
        <w:rPr>
          <w:rtl/>
        </w:rPr>
        <w:t xml:space="preserve"> کرون</w:t>
      </w:r>
      <w:r w:rsidRPr="0025250D">
        <w:rPr>
          <w:vertAlign w:val="superscript"/>
          <w:rtl/>
        </w:rPr>
        <w:footnoteReference w:id="1845"/>
      </w:r>
      <w:r w:rsidRPr="0025250D">
        <w:rPr>
          <w:rFonts w:hint="cs"/>
          <w:rtl/>
        </w:rPr>
        <w:t xml:space="preserve"> در سال 2012 و مانند </w:t>
      </w:r>
      <w:r w:rsidRPr="0025250D">
        <w:t>TED</w:t>
      </w:r>
      <w:r w:rsidRPr="0025250D">
        <w:rPr>
          <w:rFonts w:hint="cs"/>
          <w:rtl/>
        </w:rPr>
        <w:t xml:space="preserve"> سخن بگویید</w:t>
      </w:r>
      <w:r w:rsidRPr="0025250D">
        <w:rPr>
          <w:vertAlign w:val="superscript"/>
          <w:rtl/>
        </w:rPr>
        <w:footnoteReference w:id="1846"/>
      </w:r>
      <w:r w:rsidRPr="0025250D">
        <w:rPr>
          <w:rFonts w:hint="cs"/>
          <w:rtl/>
        </w:rPr>
        <w:t xml:space="preserve"> اثر </w:t>
      </w:r>
      <w:r w:rsidRPr="0025250D">
        <w:rPr>
          <w:rtl/>
        </w:rPr>
        <w:t>کارم</w:t>
      </w:r>
      <w:r w:rsidRPr="0025250D">
        <w:rPr>
          <w:rFonts w:hint="cs"/>
          <w:rtl/>
        </w:rPr>
        <w:t>ی</w:t>
      </w:r>
      <w:r w:rsidRPr="0025250D">
        <w:rPr>
          <w:rFonts w:hint="eastAsia"/>
          <w:rtl/>
        </w:rPr>
        <w:t>ن</w:t>
      </w:r>
      <w:r w:rsidRPr="0025250D">
        <w:rPr>
          <w:rtl/>
        </w:rPr>
        <w:t xml:space="preserve"> گالو</w:t>
      </w:r>
      <w:r w:rsidRPr="0025250D">
        <w:rPr>
          <w:vertAlign w:val="superscript"/>
          <w:rtl/>
        </w:rPr>
        <w:footnoteReference w:id="1847"/>
      </w:r>
      <w:r w:rsidRPr="0025250D">
        <w:rPr>
          <w:rFonts w:hint="cs"/>
          <w:rtl/>
        </w:rPr>
        <w:t xml:space="preserve"> در سال 2015 نکات مفیدی برای رسیدن به آرمان‌های شناختی تکامل یافته مان برای داستان‌های فراگیر، چشم گیر و ساده به ما ارائه می‌دهد. چنین کتاب‌هایی تاجایی که دستکاری ما اخلاقی و مبتنی بر شواهد باشد، پیشنهادهای خوبی ارائه می‌دهند. اگر داستان‌هایی را که مبتنی بر شواهد باشند بیان نکنیم </w:t>
      </w:r>
      <w:r w:rsidRPr="0025250D">
        <w:rPr>
          <w:rFonts w:cs="Times New Roman" w:hint="cs"/>
          <w:rtl/>
        </w:rPr>
        <w:t>–</w:t>
      </w:r>
      <w:r w:rsidRPr="0025250D">
        <w:rPr>
          <w:rFonts w:hint="cs"/>
          <w:rtl/>
        </w:rPr>
        <w:t xml:space="preserve"> در حالی که این پیشنهاد داستان سرایی می‌تواند به ما برای موفقیت در موارد دیگر کمک کند </w:t>
      </w:r>
      <w:r w:rsidRPr="0025250D">
        <w:rPr>
          <w:rFonts w:cs="Times New Roman" w:hint="cs"/>
          <w:rtl/>
        </w:rPr>
        <w:t>–</w:t>
      </w:r>
      <w:r w:rsidRPr="0025250D">
        <w:rPr>
          <w:rFonts w:hint="cs"/>
          <w:rtl/>
        </w:rPr>
        <w:t xml:space="preserve">داستان‌های ما خودشان مدل‌ها و </w:t>
      </w:r>
      <w:r w:rsidRPr="0025250D">
        <w:rPr>
          <w:rtl/>
        </w:rPr>
        <w:t>آینده‌نگاری</w:t>
      </w:r>
      <w:r w:rsidRPr="0025250D">
        <w:rPr>
          <w:rFonts w:hint="cs"/>
          <w:rtl/>
        </w:rPr>
        <w:t xml:space="preserve"> بهتری را سبب</w:t>
      </w:r>
      <w:r w:rsidR="00EE4B64" w:rsidRPr="0025250D">
        <w:rPr>
          <w:rFonts w:hint="cs"/>
          <w:rtl/>
        </w:rPr>
        <w:t xml:space="preserve"> نمی‌</w:t>
      </w:r>
      <w:r w:rsidRPr="0025250D">
        <w:rPr>
          <w:rFonts w:hint="cs"/>
          <w:rtl/>
        </w:rPr>
        <w:t xml:space="preserve">شوند. اگر بخواهیم واقعا به مردم برای آماده شدن و </w:t>
      </w:r>
      <w:r w:rsidR="002F3C14" w:rsidRPr="0025250D">
        <w:rPr>
          <w:rFonts w:hint="cs"/>
          <w:rtl/>
        </w:rPr>
        <w:t>انطباق</w:t>
      </w:r>
      <w:r w:rsidRPr="0025250D">
        <w:rPr>
          <w:rFonts w:hint="cs"/>
          <w:rtl/>
        </w:rPr>
        <w:t xml:space="preserve"> یافتن بهتر با آینده کمک کنیم، باید فرا‌تر از صرف سرگرم کنندگی برای ایجاد ارزش </w:t>
      </w:r>
      <w:r w:rsidR="00B124DE" w:rsidRPr="0025250D">
        <w:rPr>
          <w:rFonts w:hint="cs"/>
          <w:rtl/>
        </w:rPr>
        <w:t>انطباق‌پذیر</w:t>
      </w:r>
      <w:r w:rsidRPr="0025250D">
        <w:rPr>
          <w:rFonts w:hint="cs"/>
          <w:rtl/>
        </w:rPr>
        <w:t xml:space="preserve"> برای شهروندانمان بریم. بیایید اکنون این چالش را مورد بحث قرار دهیم.</w:t>
      </w:r>
    </w:p>
    <w:p w14:paraId="7EF71B6D" w14:textId="0EE76647" w:rsidR="00537CC8" w:rsidRPr="0025250D" w:rsidRDefault="00537CC8" w:rsidP="00537CC8">
      <w:pPr>
        <w:rPr>
          <w:rtl/>
        </w:rPr>
      </w:pPr>
      <w:r w:rsidRPr="0025250D">
        <w:rPr>
          <w:rtl/>
        </w:rPr>
        <w:t>گوتشال</w:t>
      </w:r>
      <w:r w:rsidRPr="0025250D">
        <w:rPr>
          <w:rFonts w:hint="cs"/>
          <w:rtl/>
        </w:rPr>
        <w:t xml:space="preserve"> و بسیاری دیگر معتقدند که ما بخش زیادی از زندگی خود را با اتکا بر تخیلات لذت بخشی می‌گذرانیم که در ذهن خود ایجاد </w:t>
      </w:r>
      <w:r w:rsidR="00950293" w:rsidRPr="0025250D">
        <w:rPr>
          <w:rFonts w:hint="cs"/>
          <w:rtl/>
        </w:rPr>
        <w:t>کرده‌ایم</w:t>
      </w:r>
      <w:r w:rsidRPr="0025250D">
        <w:rPr>
          <w:rFonts w:hint="cs"/>
          <w:rtl/>
        </w:rPr>
        <w:t xml:space="preserve">. ما از این تخیلات برای منطقی سازی زندگی‌ها و جهان استفاده می‌کنیم. ما همچنین یادگیری درمورد واقعیت را، اغلب تنها به‌عنوان یک اولویت ثانویه دوست داریم. سرگرمی‌های خوب یا بد، اولویت اول ما هستند. این نکته را در نظر داشته باشید که تقریباً بیش از نیمی از کتاب‌ها در یک کتاب فروشی بزرگ معمولی (در تخمین‌های گذشته </w:t>
      </w:r>
      <w:r w:rsidRPr="0025250D">
        <w:rPr>
          <w:rtl/>
        </w:rPr>
        <w:t>جان</w:t>
      </w:r>
      <w:r w:rsidRPr="0025250D">
        <w:rPr>
          <w:rFonts w:hint="cs"/>
          <w:rtl/>
        </w:rPr>
        <w:t>) در ژانر‌های غیر تخیلی هستند که خود صد‌ها ژانر زیرمجموعه دارند. نیمه دیگر کتاب‌ها در یک کتاب فروشی بزرگ معمولا تخیلی هستند که تعداد زیاد اما کاهش یافته‌ای از ژانر‌های زیر مجموعه در آن‌ها وجود دارند. تقریباً</w:t>
      </w:r>
      <w:r w:rsidR="008D6F97" w:rsidRPr="0025250D">
        <w:rPr>
          <w:rtl/>
        </w:rPr>
        <w:t xml:space="preserve"> </w:t>
      </w:r>
      <w:r w:rsidRPr="0025250D">
        <w:rPr>
          <w:rFonts w:hint="cs"/>
          <w:rtl/>
        </w:rPr>
        <w:t xml:space="preserve">تعداد کتاب‌های پر فروش غیرتخیلی در میان 100 کتاب پر فروش </w:t>
      </w:r>
      <w:r w:rsidRPr="0025250D">
        <w:rPr>
          <w:rtl/>
        </w:rPr>
        <w:t>آمازون</w:t>
      </w:r>
      <w:r w:rsidRPr="0025250D">
        <w:rPr>
          <w:rFonts w:hint="cs"/>
          <w:rtl/>
        </w:rPr>
        <w:t xml:space="preserve"> دو برابر عناوین تخیلی هستند. با این حال کتاب‌های پر تأثیر تخیلی، به‌عنوان عناوین منفرد، دائما از کتاب‌های مشابه غیر تخیلی تا حد زیادی بیش‌تر فروش می‌کنند. ما انسان‌ها دوست داریم که بفهمیم جهان چگونه کار می‌کند، اما حداقل به همان اندازه دوست داریم سرگرم شویم و تمایل داریم که بهترین سرگرمی‌هایی که می‌یابیم، </w:t>
      </w:r>
      <w:r w:rsidR="005B1DA7" w:rsidRPr="0025250D">
        <w:rPr>
          <w:rtl/>
        </w:rPr>
        <w:t>«</w:t>
      </w:r>
      <w:r w:rsidR="0053184A" w:rsidRPr="0025250D">
        <w:rPr>
          <w:rFonts w:hint="cs"/>
          <w:rtl/>
        </w:rPr>
        <w:t>بخش چاق</w:t>
      </w:r>
      <w:r w:rsidRPr="0025250D">
        <w:rPr>
          <w:vertAlign w:val="superscript"/>
          <w:rtl/>
        </w:rPr>
        <w:footnoteReference w:id="1848"/>
      </w:r>
      <w:r w:rsidR="005B1DA7" w:rsidRPr="0025250D">
        <w:rPr>
          <w:rtl/>
        </w:rPr>
        <w:t>»</w:t>
      </w:r>
      <w:r w:rsidRPr="0025250D">
        <w:rPr>
          <w:rFonts w:hint="cs"/>
          <w:rtl/>
        </w:rPr>
        <w:t xml:space="preserve"> قانون توانی داستان‌های تخیلی را به‌عنوان یک تجربه مشترک به اشتراک بگذاریم. ما باید این حقیقت را بدانیم</w:t>
      </w:r>
      <w:r w:rsidR="00C762AF" w:rsidRPr="0025250D">
        <w:rPr>
          <w:rFonts w:hint="cs"/>
          <w:rtl/>
        </w:rPr>
        <w:t xml:space="preserve"> که باید</w:t>
      </w:r>
      <w:r w:rsidRPr="0025250D">
        <w:rPr>
          <w:rFonts w:hint="cs"/>
          <w:rtl/>
        </w:rPr>
        <w:t xml:space="preserve"> در مقابل همه سرگرمی‌هایی که می‌یابیم، به ویژه داستان‌های اشتباهی که تولید می‌کنیم، مراقب باشیم.</w:t>
      </w:r>
    </w:p>
    <w:p w14:paraId="0012B27E" w14:textId="1E0EECB2" w:rsidR="00BE4252" w:rsidRPr="0025250D" w:rsidRDefault="00537CC8" w:rsidP="00BE4252">
      <w:pPr>
        <w:rPr>
          <w:rtl/>
        </w:rPr>
      </w:pPr>
      <w:r w:rsidRPr="0025250D">
        <w:rPr>
          <w:rFonts w:hint="cs"/>
          <w:rtl/>
        </w:rPr>
        <w:t xml:space="preserve">همه انسان‌ها، از جمله مخاطبین و مشتریان ما، به همان اندازه که ما معنا ساز هستیم، به دنبال تجربه هستند. ما داستانی با شخصیت‌های مثبت و منفی، پر رمز و راز و غیر قابل </w:t>
      </w:r>
      <w:r w:rsidR="00D92F6E" w:rsidRPr="0025250D">
        <w:rPr>
          <w:rFonts w:hint="cs"/>
          <w:rtl/>
        </w:rPr>
        <w:t>پیش‌بین</w:t>
      </w:r>
      <w:r w:rsidR="00C762AF" w:rsidRPr="0025250D">
        <w:rPr>
          <w:rFonts w:hint="cs"/>
          <w:rtl/>
        </w:rPr>
        <w:t>ی</w:t>
      </w:r>
      <w:r w:rsidRPr="0025250D">
        <w:rPr>
          <w:rFonts w:hint="cs"/>
          <w:rtl/>
        </w:rPr>
        <w:t xml:space="preserve">، با مجموعه خوشایندی از </w:t>
      </w:r>
      <w:r w:rsidRPr="0025250D">
        <w:rPr>
          <w:rtl/>
        </w:rPr>
        <w:t>روا</w:t>
      </w:r>
      <w:r w:rsidRPr="0025250D">
        <w:rPr>
          <w:rFonts w:hint="cs"/>
          <w:rtl/>
        </w:rPr>
        <w:t>ی</w:t>
      </w:r>
      <w:r w:rsidRPr="0025250D">
        <w:rPr>
          <w:rFonts w:hint="eastAsia"/>
          <w:rtl/>
        </w:rPr>
        <w:t>ات</w:t>
      </w:r>
      <w:r w:rsidRPr="0025250D">
        <w:rPr>
          <w:rFonts w:hint="cs"/>
          <w:rtl/>
        </w:rPr>
        <w:t xml:space="preserve">، تنش‌های دراماتیک و </w:t>
      </w:r>
      <w:r w:rsidR="00BE4252" w:rsidRPr="0025250D">
        <w:rPr>
          <w:rFonts w:hint="cs"/>
          <w:rtl/>
        </w:rPr>
        <w:t>هیجانات</w:t>
      </w:r>
      <w:r w:rsidRPr="0025250D">
        <w:rPr>
          <w:rFonts w:hint="cs"/>
          <w:rtl/>
        </w:rPr>
        <w:t xml:space="preserve"> پیچیده را دوست داریم. اینکه آیا داستان و مدل‌های آن محتمل باشند، اغلب در درجه دوم اهمیت</w:t>
      </w:r>
      <w:r w:rsidR="00C762AF" w:rsidRPr="0025250D">
        <w:rPr>
          <w:rFonts w:hint="cs"/>
          <w:rtl/>
        </w:rPr>
        <w:t xml:space="preserve"> قرار</w:t>
      </w:r>
      <w:r w:rsidRPr="0025250D">
        <w:rPr>
          <w:rFonts w:hint="cs"/>
          <w:rtl/>
        </w:rPr>
        <w:t xml:space="preserve"> دارد. این داستان اغلب باید برای </w:t>
      </w:r>
      <w:r w:rsidR="00BE4252" w:rsidRPr="0025250D">
        <w:rPr>
          <w:rFonts w:hint="cs"/>
          <w:rtl/>
        </w:rPr>
        <w:t>هیجانات</w:t>
      </w:r>
      <w:r w:rsidRPr="0025250D">
        <w:rPr>
          <w:rFonts w:hint="cs"/>
          <w:rtl/>
        </w:rPr>
        <w:t xml:space="preserve"> و ارزش‌های ما</w:t>
      </w:r>
      <w:r w:rsidR="00BE4252" w:rsidRPr="0025250D">
        <w:rPr>
          <w:rFonts w:hint="cs"/>
          <w:rtl/>
        </w:rPr>
        <w:t xml:space="preserve"> درست باشد</w:t>
      </w:r>
      <w:r w:rsidRPr="0025250D">
        <w:rPr>
          <w:rFonts w:hint="cs"/>
          <w:rtl/>
        </w:rPr>
        <w:t xml:space="preserve"> </w:t>
      </w:r>
      <w:r w:rsidR="00BE4252" w:rsidRPr="0025250D">
        <w:rPr>
          <w:rFonts w:hint="cs"/>
          <w:rtl/>
        </w:rPr>
        <w:t>تا</w:t>
      </w:r>
      <w:r w:rsidRPr="0025250D">
        <w:rPr>
          <w:rFonts w:hint="cs"/>
          <w:rtl/>
        </w:rPr>
        <w:t xml:space="preserve"> آن را دوست داشته باشیم و</w:t>
      </w:r>
      <w:r w:rsidR="00BE4252" w:rsidRPr="0025250D">
        <w:rPr>
          <w:rFonts w:hint="cs"/>
          <w:rtl/>
        </w:rPr>
        <w:t xml:space="preserve"> به شدت تحت تأثیر آن قرار گیریم</w:t>
      </w:r>
      <w:r w:rsidRPr="0025250D">
        <w:rPr>
          <w:rFonts w:hint="cs"/>
          <w:rtl/>
        </w:rPr>
        <w:t xml:space="preserve">. </w:t>
      </w:r>
    </w:p>
    <w:p w14:paraId="68E4119E" w14:textId="553CCD0D" w:rsidR="00537CC8" w:rsidRPr="0025250D" w:rsidRDefault="00537CC8" w:rsidP="00BE4252">
      <w:pPr>
        <w:rPr>
          <w:rtl/>
        </w:rPr>
      </w:pPr>
      <w:r w:rsidRPr="0025250D">
        <w:rPr>
          <w:rFonts w:hint="cs"/>
          <w:rtl/>
        </w:rPr>
        <w:t xml:space="preserve">به همین دلیل است که فیلم‌های دنباله دار علمی تخیلی مانند </w:t>
      </w:r>
      <w:r w:rsidRPr="0025250D">
        <w:rPr>
          <w:rtl/>
        </w:rPr>
        <w:t>پ</w:t>
      </w:r>
      <w:r w:rsidRPr="0025250D">
        <w:rPr>
          <w:rFonts w:hint="cs"/>
          <w:rtl/>
        </w:rPr>
        <w:t>ی</w:t>
      </w:r>
      <w:r w:rsidRPr="0025250D">
        <w:rPr>
          <w:rFonts w:hint="eastAsia"/>
          <w:rtl/>
        </w:rPr>
        <w:t>شتازان</w:t>
      </w:r>
      <w:r w:rsidRPr="0025250D">
        <w:rPr>
          <w:rtl/>
        </w:rPr>
        <w:t xml:space="preserve"> فضا</w:t>
      </w:r>
      <w:r w:rsidRPr="0025250D">
        <w:rPr>
          <w:vertAlign w:val="superscript"/>
          <w:rtl/>
        </w:rPr>
        <w:footnoteReference w:id="1849"/>
      </w:r>
      <w:r w:rsidRPr="0025250D">
        <w:rPr>
          <w:rFonts w:hint="cs"/>
          <w:rtl/>
        </w:rPr>
        <w:t xml:space="preserve"> و </w:t>
      </w:r>
      <w:r w:rsidRPr="0025250D">
        <w:rPr>
          <w:rtl/>
        </w:rPr>
        <w:t>جنگ ستارگان</w:t>
      </w:r>
      <w:r w:rsidRPr="0025250D">
        <w:rPr>
          <w:vertAlign w:val="superscript"/>
          <w:rtl/>
        </w:rPr>
        <w:footnoteReference w:id="1850"/>
      </w:r>
      <w:r w:rsidRPr="0025250D">
        <w:rPr>
          <w:rFonts w:hint="cs"/>
          <w:rtl/>
        </w:rPr>
        <w:t xml:space="preserve"> را اینقدر دوست داریم. در یک سطح منطقی، می‌دانیم که این داستان‌ها</w:t>
      </w:r>
      <w:r w:rsidR="00EE4B64" w:rsidRPr="0025250D">
        <w:rPr>
          <w:rFonts w:hint="cs"/>
          <w:rtl/>
        </w:rPr>
        <w:t xml:space="preserve"> نمی‌</w:t>
      </w:r>
      <w:r w:rsidRPr="0025250D">
        <w:rPr>
          <w:rFonts w:hint="cs"/>
          <w:rtl/>
        </w:rPr>
        <w:t xml:space="preserve">توانند به این شکلی که نوشته </w:t>
      </w:r>
      <w:r w:rsidR="00185F3E" w:rsidRPr="0025250D">
        <w:rPr>
          <w:rFonts w:hint="cs"/>
          <w:rtl/>
        </w:rPr>
        <w:t>شده‌اند</w:t>
      </w:r>
      <w:r w:rsidRPr="0025250D">
        <w:rPr>
          <w:rFonts w:hint="cs"/>
          <w:rtl/>
        </w:rPr>
        <w:t xml:space="preserve"> رخ دهند، اما تا وقتی ارزش‌ها و </w:t>
      </w:r>
      <w:r w:rsidR="00BE4252" w:rsidRPr="0025250D">
        <w:rPr>
          <w:rFonts w:hint="cs"/>
          <w:rtl/>
        </w:rPr>
        <w:t>هیجانات</w:t>
      </w:r>
      <w:r w:rsidRPr="0025250D">
        <w:rPr>
          <w:rFonts w:hint="cs"/>
          <w:rtl/>
        </w:rPr>
        <w:t xml:space="preserve"> آن‌ها حقیقی به نظر برسند و نواقص داستانی </w:t>
      </w:r>
      <w:r w:rsidR="008F0DD8" w:rsidRPr="0025250D">
        <w:rPr>
          <w:rFonts w:hint="cs"/>
          <w:rtl/>
        </w:rPr>
        <w:t>آن‌قدر</w:t>
      </w:r>
      <w:r w:rsidRPr="0025250D">
        <w:rPr>
          <w:rFonts w:hint="cs"/>
          <w:rtl/>
        </w:rPr>
        <w:t xml:space="preserve"> بزرگ نباشند که سبب عدم باور ما شوند، ما هم سرگرم شده و هم تحت تأثیر قرار می‌گیریم. ما تشخیص </w:t>
      </w:r>
      <w:r w:rsidR="00C762AF" w:rsidRPr="0025250D">
        <w:rPr>
          <w:rFonts w:hint="cs"/>
          <w:rtl/>
        </w:rPr>
        <w:t>می‌</w:t>
      </w:r>
      <w:r w:rsidRPr="0025250D">
        <w:rPr>
          <w:rFonts w:hint="cs"/>
          <w:rtl/>
        </w:rPr>
        <w:t xml:space="preserve">دهیم که این داستان‌های اخلاقی تلاشی برای ژانر غیر علمی تخیلی، در </w:t>
      </w:r>
      <w:r w:rsidR="00BE4252" w:rsidRPr="0025250D">
        <w:rPr>
          <w:rFonts w:hint="cs"/>
          <w:rtl/>
        </w:rPr>
        <w:t>هیجانات</w:t>
      </w:r>
      <w:r w:rsidRPr="0025250D">
        <w:rPr>
          <w:rFonts w:hint="cs"/>
          <w:rtl/>
        </w:rPr>
        <w:t xml:space="preserve"> و ارزش‌ها هستند. ما تصور کردن این که چگونه می‌توانیم در یک </w:t>
      </w:r>
      <w:r w:rsidR="00701E03" w:rsidRPr="0025250D">
        <w:rPr>
          <w:rFonts w:hint="cs"/>
          <w:rtl/>
        </w:rPr>
        <w:t>فرانامه</w:t>
      </w:r>
      <w:r w:rsidRPr="0025250D">
        <w:rPr>
          <w:rFonts w:hint="cs"/>
          <w:rtl/>
        </w:rPr>
        <w:t xml:space="preserve"> مشابه واکنش نشان دهیم را دوست داریم.</w:t>
      </w:r>
    </w:p>
    <w:p w14:paraId="1084BF54" w14:textId="33147B76" w:rsidR="00537CC8" w:rsidRPr="0025250D" w:rsidRDefault="00537CC8" w:rsidP="00BE4252">
      <w:pPr>
        <w:rPr>
          <w:rtl/>
        </w:rPr>
      </w:pPr>
      <w:r w:rsidRPr="0025250D">
        <w:rPr>
          <w:rFonts w:hint="cs"/>
          <w:rtl/>
        </w:rPr>
        <w:t xml:space="preserve">سازندگان </w:t>
      </w:r>
      <w:r w:rsidRPr="0025250D">
        <w:rPr>
          <w:rtl/>
        </w:rPr>
        <w:t>تبل</w:t>
      </w:r>
      <w:r w:rsidRPr="0025250D">
        <w:rPr>
          <w:rFonts w:hint="cs"/>
          <w:rtl/>
        </w:rPr>
        <w:t>ی</w:t>
      </w:r>
      <w:r w:rsidRPr="0025250D">
        <w:rPr>
          <w:rFonts w:hint="eastAsia"/>
          <w:rtl/>
        </w:rPr>
        <w:t>غات</w:t>
      </w:r>
      <w:r w:rsidRPr="0025250D">
        <w:rPr>
          <w:rtl/>
        </w:rPr>
        <w:t xml:space="preserve"> س</w:t>
      </w:r>
      <w:r w:rsidRPr="0025250D">
        <w:rPr>
          <w:rFonts w:hint="cs"/>
          <w:rtl/>
        </w:rPr>
        <w:t>ی</w:t>
      </w:r>
      <w:r w:rsidRPr="0025250D">
        <w:rPr>
          <w:rFonts w:hint="eastAsia"/>
          <w:rtl/>
        </w:rPr>
        <w:t>اس</w:t>
      </w:r>
      <w:r w:rsidRPr="0025250D">
        <w:rPr>
          <w:rFonts w:hint="cs"/>
          <w:rtl/>
        </w:rPr>
        <w:t xml:space="preserve">ی، یک نوع خاص از داستان نادرست (بخش بعدی را ببینید) که برای </w:t>
      </w:r>
      <w:r w:rsidR="0008779C" w:rsidRPr="0025250D">
        <w:rPr>
          <w:rFonts w:hint="cs"/>
          <w:rtl/>
        </w:rPr>
        <w:t>تاثیرگذاری</w:t>
      </w:r>
      <w:r w:rsidRPr="0025250D">
        <w:rPr>
          <w:rFonts w:hint="cs"/>
          <w:rtl/>
        </w:rPr>
        <w:t xml:space="preserve"> بر دیگران مورد استفاده قرار می‌گیرد، برای مدت‌ها می‌دانستند که هر چه یک داستان را از نظر </w:t>
      </w:r>
      <w:r w:rsidR="00BE4252" w:rsidRPr="0025250D">
        <w:rPr>
          <w:rFonts w:hint="cs"/>
          <w:rtl/>
        </w:rPr>
        <w:t>هیجانی</w:t>
      </w:r>
      <w:r w:rsidRPr="0025250D">
        <w:rPr>
          <w:rFonts w:hint="cs"/>
          <w:rtl/>
        </w:rPr>
        <w:t xml:space="preserve"> صحیح‌تر سازیم، راحت‌تر می‌توان</w:t>
      </w:r>
      <w:r w:rsidR="00C762AF" w:rsidRPr="0025250D">
        <w:rPr>
          <w:rFonts w:hint="cs"/>
          <w:rtl/>
        </w:rPr>
        <w:t>یم</w:t>
      </w:r>
      <w:r w:rsidRPr="0025250D">
        <w:rPr>
          <w:rFonts w:hint="cs"/>
          <w:rtl/>
        </w:rPr>
        <w:t xml:space="preserve"> اشتباهات منطقی </w:t>
      </w:r>
      <w:r w:rsidR="00C762AF" w:rsidRPr="0025250D">
        <w:rPr>
          <w:rFonts w:hint="cs"/>
          <w:rtl/>
        </w:rPr>
        <w:t>را در آن بگنجانیم</w:t>
      </w:r>
      <w:r w:rsidRPr="0025250D">
        <w:rPr>
          <w:rFonts w:hint="cs"/>
          <w:rtl/>
        </w:rPr>
        <w:t>. در کتاب 2، بیان خواهیم کرد که هر چه جوامع ما ثروتمند‌تر شوند، شهروندان عادی در درجه اول سرگرمی و در درجه دوم واقعیت را بیش</w:t>
      </w:r>
      <w:r w:rsidRPr="0025250D">
        <w:rPr>
          <w:rtl/>
        </w:rPr>
        <w:t xml:space="preserve">‌تر </w:t>
      </w:r>
      <w:r w:rsidRPr="0025250D">
        <w:rPr>
          <w:rFonts w:hint="cs"/>
          <w:rtl/>
        </w:rPr>
        <w:t>ترجیح</w:t>
      </w:r>
      <w:r w:rsidRPr="0025250D">
        <w:rPr>
          <w:rtl/>
        </w:rPr>
        <w:t xml:space="preserve"> </w:t>
      </w:r>
      <w:r w:rsidRPr="0025250D">
        <w:rPr>
          <w:rFonts w:hint="cs"/>
          <w:rtl/>
        </w:rPr>
        <w:t>خواهند</w:t>
      </w:r>
      <w:r w:rsidRPr="0025250D">
        <w:rPr>
          <w:rtl/>
        </w:rPr>
        <w:t xml:space="preserve"> </w:t>
      </w:r>
      <w:r w:rsidRPr="0025250D">
        <w:rPr>
          <w:rFonts w:hint="cs"/>
          <w:rtl/>
        </w:rPr>
        <w:t xml:space="preserve">داد. این ترجیح فزاینده برای سرگرمی نسبت به واقعیت یک کلان روند قابل </w:t>
      </w:r>
      <w:r w:rsidR="00D92F6E" w:rsidRPr="0025250D">
        <w:rPr>
          <w:rFonts w:hint="cs"/>
          <w:rtl/>
        </w:rPr>
        <w:t>پیش‌بین</w:t>
      </w:r>
      <w:r w:rsidRPr="0025250D">
        <w:rPr>
          <w:rFonts w:hint="cs"/>
          <w:rtl/>
        </w:rPr>
        <w:t xml:space="preserve">ی از توسعه اجتماعی </w:t>
      </w:r>
      <w:r w:rsidR="00C762AF" w:rsidRPr="0025250D">
        <w:rPr>
          <w:rFonts w:hint="cs"/>
          <w:rtl/>
        </w:rPr>
        <w:t xml:space="preserve">به نظر </w:t>
      </w:r>
      <w:r w:rsidRPr="0025250D">
        <w:rPr>
          <w:rFonts w:hint="cs"/>
          <w:rtl/>
        </w:rPr>
        <w:t xml:space="preserve">می‌رسد. این روندی است که همه متخصصین باید برای بهبود فرهنگ </w:t>
      </w:r>
      <w:r w:rsidRPr="0025250D">
        <w:rPr>
          <w:rtl/>
        </w:rPr>
        <w:t>آینده‌نگاری</w:t>
      </w:r>
      <w:r w:rsidRPr="0025250D">
        <w:rPr>
          <w:rFonts w:hint="cs"/>
          <w:rtl/>
        </w:rPr>
        <w:t xml:space="preserve"> در هر سازمان آن را درک کنند. شناسایی </w:t>
      </w:r>
      <w:r w:rsidRPr="0025250D">
        <w:rPr>
          <w:rtl/>
        </w:rPr>
        <w:t>تبل</w:t>
      </w:r>
      <w:r w:rsidRPr="0025250D">
        <w:rPr>
          <w:rFonts w:hint="cs"/>
          <w:rtl/>
        </w:rPr>
        <w:t>ی</w:t>
      </w:r>
      <w:r w:rsidRPr="0025250D">
        <w:rPr>
          <w:rFonts w:hint="eastAsia"/>
          <w:rtl/>
        </w:rPr>
        <w:t>غات</w:t>
      </w:r>
      <w:r w:rsidRPr="0025250D">
        <w:rPr>
          <w:rtl/>
        </w:rPr>
        <w:t xml:space="preserve"> س</w:t>
      </w:r>
      <w:r w:rsidRPr="0025250D">
        <w:rPr>
          <w:rFonts w:hint="cs"/>
          <w:rtl/>
        </w:rPr>
        <w:t>ی</w:t>
      </w:r>
      <w:r w:rsidRPr="0025250D">
        <w:rPr>
          <w:rFonts w:hint="eastAsia"/>
          <w:rtl/>
        </w:rPr>
        <w:t>اس</w:t>
      </w:r>
      <w:r w:rsidRPr="0025250D">
        <w:rPr>
          <w:rFonts w:hint="cs"/>
          <w:rtl/>
        </w:rPr>
        <w:t>ی، برنامه‌های پنهان و بخش‌های دچار اشکال هر داستان محبوبی مشخصا با پیچیده‌تر شدن جامعه اهمیت</w:t>
      </w:r>
      <w:r w:rsidR="0008779C" w:rsidRPr="0025250D">
        <w:rPr>
          <w:rFonts w:hint="cs"/>
          <w:rtl/>
        </w:rPr>
        <w:t xml:space="preserve"> بیش‌تر</w:t>
      </w:r>
      <w:r w:rsidRPr="0025250D">
        <w:rPr>
          <w:rFonts w:hint="cs"/>
          <w:rtl/>
        </w:rPr>
        <w:t>ی می‌یابد.</w:t>
      </w:r>
    </w:p>
    <w:p w14:paraId="4FACC6B1" w14:textId="37459B73" w:rsidR="00537CC8" w:rsidRPr="0025250D" w:rsidRDefault="00537CC8" w:rsidP="00537CC8">
      <w:pPr>
        <w:rPr>
          <w:rtl/>
        </w:rPr>
      </w:pPr>
      <w:r w:rsidRPr="0025250D">
        <w:rPr>
          <w:rFonts w:hint="cs"/>
          <w:rtl/>
        </w:rPr>
        <w:t>تخیل آینده</w:t>
      </w:r>
      <w:r w:rsidRPr="0025250D">
        <w:rPr>
          <w:vertAlign w:val="superscript"/>
          <w:rtl/>
        </w:rPr>
        <w:footnoteReference w:id="1851"/>
      </w:r>
      <w:r w:rsidRPr="0025250D">
        <w:rPr>
          <w:rFonts w:hint="cs"/>
          <w:rtl/>
        </w:rPr>
        <w:t xml:space="preserve"> یک ژانر زیرمجموعه از ژانر علمی تخیلی است. خود ژانر علمی تخیلی در ابتدا به دنبال سرگرم کردن است و لزوما به دنبال </w:t>
      </w:r>
      <w:r w:rsidR="0008779C" w:rsidRPr="0025250D">
        <w:rPr>
          <w:rFonts w:hint="cs"/>
          <w:rtl/>
        </w:rPr>
        <w:t>واقع‌گرا</w:t>
      </w:r>
      <w:r w:rsidRPr="0025250D">
        <w:rPr>
          <w:rFonts w:hint="cs"/>
          <w:rtl/>
        </w:rPr>
        <w:t>یی نیست. این ژانر به یک ژانر زیرمجموعه</w:t>
      </w:r>
      <w:r w:rsidR="008D6F97" w:rsidRPr="0025250D">
        <w:rPr>
          <w:rtl/>
        </w:rPr>
        <w:t xml:space="preserve"> </w:t>
      </w:r>
      <w:r w:rsidRPr="0025250D">
        <w:rPr>
          <w:rFonts w:hint="cs"/>
          <w:rtl/>
        </w:rPr>
        <w:t xml:space="preserve">علمی تخیلی دیگر، یعنی ژانر علمی تخیلی </w:t>
      </w:r>
      <w:r w:rsidR="00C762AF" w:rsidRPr="0025250D">
        <w:rPr>
          <w:rFonts w:hint="cs"/>
          <w:rtl/>
        </w:rPr>
        <w:t>سخت</w:t>
      </w:r>
      <w:r w:rsidRPr="0025250D">
        <w:rPr>
          <w:vertAlign w:val="superscript"/>
          <w:rtl/>
        </w:rPr>
        <w:footnoteReference w:id="1852"/>
      </w:r>
      <w:r w:rsidRPr="0025250D">
        <w:rPr>
          <w:rFonts w:hint="cs"/>
          <w:rtl/>
        </w:rPr>
        <w:t xml:space="preserve"> مرتبط می‌شود که دارای عناصر داستانی می‌باشد که هم از نظر علمی </w:t>
      </w:r>
      <w:r w:rsidR="00923DDB" w:rsidRPr="0025250D">
        <w:rPr>
          <w:rFonts w:hint="cs"/>
          <w:rtl/>
        </w:rPr>
        <w:t>باورپذیر</w:t>
      </w:r>
      <w:r w:rsidRPr="0025250D">
        <w:rPr>
          <w:rFonts w:hint="cs"/>
          <w:rtl/>
        </w:rPr>
        <w:t xml:space="preserve"> بوده و هم از نظر فنی معرفی </w:t>
      </w:r>
      <w:r w:rsidR="00185F3E" w:rsidRPr="0025250D">
        <w:rPr>
          <w:rFonts w:hint="cs"/>
          <w:rtl/>
        </w:rPr>
        <w:t>شده‌اند</w:t>
      </w:r>
      <w:r w:rsidRPr="0025250D">
        <w:rPr>
          <w:rFonts w:hint="cs"/>
          <w:rtl/>
        </w:rPr>
        <w:t xml:space="preserve">. علمی تخیلی </w:t>
      </w:r>
      <w:r w:rsidR="00C762AF" w:rsidRPr="0025250D">
        <w:rPr>
          <w:rFonts w:hint="cs"/>
          <w:rtl/>
        </w:rPr>
        <w:t>سخت</w:t>
      </w:r>
      <w:r w:rsidRPr="0025250D">
        <w:rPr>
          <w:rFonts w:hint="cs"/>
          <w:rtl/>
        </w:rPr>
        <w:t xml:space="preserve"> می‌تواند موارد زیادی درمورد علم و </w:t>
      </w:r>
      <w:r w:rsidR="007A53FD" w:rsidRPr="0025250D">
        <w:rPr>
          <w:rFonts w:hint="cs"/>
          <w:rtl/>
        </w:rPr>
        <w:t>فناوری</w:t>
      </w:r>
      <w:r w:rsidRPr="0025250D">
        <w:rPr>
          <w:rFonts w:hint="cs"/>
          <w:rtl/>
        </w:rPr>
        <w:t xml:space="preserve"> به ما بیاموزد، اما لزوما هدف آن تبدیل شدن به یک آینده محتمل اجتماعی و سیاسی نیست.</w:t>
      </w:r>
    </w:p>
    <w:p w14:paraId="324F5196" w14:textId="7E1B460F" w:rsidR="00537CC8" w:rsidRPr="0025250D" w:rsidRDefault="00537CC8" w:rsidP="00537CC8">
      <w:pPr>
        <w:rPr>
          <w:rtl/>
        </w:rPr>
      </w:pPr>
      <w:r w:rsidRPr="0025250D">
        <w:rPr>
          <w:rFonts w:hint="cs"/>
          <w:rtl/>
        </w:rPr>
        <w:t xml:space="preserve">تخیل آینده، طبق تعریف ما، یک داستان از آینده است که نه تنها </w:t>
      </w:r>
      <w:r w:rsidRPr="0025250D">
        <w:t>STEEPLES</w:t>
      </w:r>
      <w:r w:rsidRPr="0025250D">
        <w:rPr>
          <w:rFonts w:hint="cs"/>
          <w:rtl/>
        </w:rPr>
        <w:t xml:space="preserve"> باورپذیر است، بلکه داستانی است که اکثریت منتقدین به‌عنوان یک داستان محتمل، محسوب خواهند کرد. تخیل آینده خوب با یادداشت‌هایی که به ادبیات غیر تخیلی ارجاع دارد</w:t>
      </w:r>
      <w:r w:rsidR="00CF7248" w:rsidRPr="0025250D">
        <w:rPr>
          <w:rFonts w:hint="cs"/>
          <w:rtl/>
        </w:rPr>
        <w:t xml:space="preserve"> همراه است</w:t>
      </w:r>
      <w:r w:rsidRPr="0025250D">
        <w:rPr>
          <w:rFonts w:hint="cs"/>
          <w:rtl/>
        </w:rPr>
        <w:t xml:space="preserve"> تا از برخی از ادعا‌های آن پشتیبانی کن</w:t>
      </w:r>
      <w:r w:rsidR="00CF7248" w:rsidRPr="0025250D">
        <w:rPr>
          <w:rFonts w:hint="cs"/>
          <w:rtl/>
        </w:rPr>
        <w:t>ن</w:t>
      </w:r>
      <w:r w:rsidRPr="0025250D">
        <w:rPr>
          <w:rFonts w:hint="cs"/>
          <w:rtl/>
        </w:rPr>
        <w:t>د</w:t>
      </w:r>
      <w:r w:rsidR="00CF7248" w:rsidRPr="0025250D">
        <w:rPr>
          <w:rFonts w:hint="cs"/>
          <w:rtl/>
        </w:rPr>
        <w:t xml:space="preserve"> و </w:t>
      </w:r>
      <w:r w:rsidRPr="0025250D">
        <w:rPr>
          <w:rFonts w:hint="cs"/>
          <w:rtl/>
        </w:rPr>
        <w:t xml:space="preserve">لزوما توصیف و تعریف فنی ندارد. این ادبیات اغلب نکات مثبت و منفی قابل توجه در پیش روی ما را توصیف می‌کند و </w:t>
      </w:r>
      <w:r w:rsidRPr="0025250D">
        <w:t>ADOR</w:t>
      </w:r>
      <w:r w:rsidRPr="0025250D">
        <w:rPr>
          <w:rFonts w:hint="cs"/>
          <w:rtl/>
        </w:rPr>
        <w:t xml:space="preserve"> را به ساختار خود وارد می‌نماید.</w:t>
      </w:r>
      <w:r w:rsidR="0020589F" w:rsidRPr="0025250D">
        <w:rPr>
          <w:rtl/>
        </w:rPr>
        <w:t xml:space="preserve"> ا</w:t>
      </w:r>
      <w:r w:rsidR="0020589F" w:rsidRPr="0025250D">
        <w:rPr>
          <w:rFonts w:hint="cs"/>
          <w:rtl/>
        </w:rPr>
        <w:t>ی</w:t>
      </w:r>
      <w:r w:rsidR="0020589F" w:rsidRPr="0025250D">
        <w:rPr>
          <w:rFonts w:hint="eastAsia"/>
          <w:rtl/>
        </w:rPr>
        <w:t>ن</w:t>
      </w:r>
      <w:r w:rsidRPr="0025250D">
        <w:rPr>
          <w:rFonts w:hint="cs"/>
          <w:rtl/>
        </w:rPr>
        <w:t xml:space="preserve"> ادبیات همچنین معمولا در چند دهه آینده رخ می‌دهد، زیرا در فرا‌تر از آن، وادار کردن اکثریت منتقدین به موافقت در برابر موارد متعدد دشوار است.</w:t>
      </w:r>
    </w:p>
    <w:p w14:paraId="27F9C6CE" w14:textId="775BBB96" w:rsidR="00537CC8" w:rsidRPr="0025250D" w:rsidRDefault="00537CC8" w:rsidP="00537CC8">
      <w:pPr>
        <w:rPr>
          <w:rtl/>
        </w:rPr>
      </w:pPr>
      <w:r w:rsidRPr="0025250D">
        <w:rPr>
          <w:rFonts w:hint="cs"/>
          <w:rtl/>
        </w:rPr>
        <w:t xml:space="preserve">کتاب </w:t>
      </w:r>
      <w:r w:rsidRPr="0025250D">
        <w:rPr>
          <w:rtl/>
        </w:rPr>
        <w:t>پ</w:t>
      </w:r>
      <w:r w:rsidRPr="0025250D">
        <w:rPr>
          <w:rFonts w:hint="cs"/>
          <w:rtl/>
        </w:rPr>
        <w:t>ی</w:t>
      </w:r>
      <w:r w:rsidRPr="0025250D">
        <w:rPr>
          <w:rFonts w:hint="eastAsia"/>
          <w:rtl/>
        </w:rPr>
        <w:t>تر</w:t>
      </w:r>
      <w:r w:rsidRPr="0025250D">
        <w:rPr>
          <w:rtl/>
        </w:rPr>
        <w:t xml:space="preserve"> س</w:t>
      </w:r>
      <w:r w:rsidRPr="0025250D">
        <w:rPr>
          <w:rFonts w:hint="cs"/>
          <w:rtl/>
        </w:rPr>
        <w:t>ی</w:t>
      </w:r>
      <w:r w:rsidRPr="0025250D">
        <w:rPr>
          <w:rFonts w:hint="eastAsia"/>
          <w:rtl/>
        </w:rPr>
        <w:t>نگر</w:t>
      </w:r>
      <w:r w:rsidRPr="0025250D">
        <w:rPr>
          <w:vertAlign w:val="superscript"/>
          <w:rtl/>
        </w:rPr>
        <w:footnoteReference w:id="1853"/>
      </w:r>
      <w:r w:rsidRPr="0025250D">
        <w:rPr>
          <w:rFonts w:hint="cs"/>
          <w:rtl/>
        </w:rPr>
        <w:t xml:space="preserve"> و </w:t>
      </w:r>
      <w:r w:rsidRPr="0025250D">
        <w:rPr>
          <w:rtl/>
        </w:rPr>
        <w:t>آگوست کول</w:t>
      </w:r>
      <w:r w:rsidRPr="0025250D">
        <w:rPr>
          <w:vertAlign w:val="superscript"/>
          <w:rtl/>
        </w:rPr>
        <w:footnoteReference w:id="1854"/>
      </w:r>
      <w:r w:rsidRPr="0025250D">
        <w:rPr>
          <w:rFonts w:hint="cs"/>
          <w:rtl/>
        </w:rPr>
        <w:t xml:space="preserve"> به نام سوختن: رمانی از انقلاب روباتیک حقیقی</w:t>
      </w:r>
      <w:r w:rsidRPr="0025250D">
        <w:rPr>
          <w:vertAlign w:val="superscript"/>
          <w:rtl/>
        </w:rPr>
        <w:footnoteReference w:id="1855"/>
      </w:r>
      <w:r w:rsidRPr="0025250D">
        <w:rPr>
          <w:rFonts w:hint="cs"/>
          <w:rtl/>
        </w:rPr>
        <w:t xml:space="preserve"> در سال 2020، درمورد همکاری ربات‌های مجهز به هوش مصنوعی و انسان‌ها برای حل جرایم در یک </w:t>
      </w:r>
      <w:r w:rsidRPr="0025250D">
        <w:rPr>
          <w:rtl/>
        </w:rPr>
        <w:t>ا</w:t>
      </w:r>
      <w:r w:rsidRPr="0025250D">
        <w:rPr>
          <w:rFonts w:hint="cs"/>
          <w:rtl/>
        </w:rPr>
        <w:t>ی</w:t>
      </w:r>
      <w:r w:rsidRPr="0025250D">
        <w:rPr>
          <w:rFonts w:hint="eastAsia"/>
          <w:rtl/>
        </w:rPr>
        <w:t>الت</w:t>
      </w:r>
      <w:r w:rsidRPr="0025250D">
        <w:rPr>
          <w:rtl/>
        </w:rPr>
        <w:t xml:space="preserve"> واشنگتن</w:t>
      </w:r>
      <w:r w:rsidRPr="0025250D">
        <w:rPr>
          <w:vertAlign w:val="superscript"/>
          <w:rtl/>
        </w:rPr>
        <w:footnoteReference w:id="1856"/>
      </w:r>
      <w:r w:rsidRPr="0025250D">
        <w:rPr>
          <w:rFonts w:hint="cs"/>
          <w:rtl/>
        </w:rPr>
        <w:t xml:space="preserve"> میانه قرن بیست و یکمی، یک مثال اخیر عالی از تخیل آینده است. </w:t>
      </w:r>
      <w:r w:rsidRPr="0025250D">
        <w:rPr>
          <w:rtl/>
        </w:rPr>
        <w:t>س</w:t>
      </w:r>
      <w:r w:rsidRPr="0025250D">
        <w:rPr>
          <w:rFonts w:hint="cs"/>
          <w:rtl/>
        </w:rPr>
        <w:t>ی</w:t>
      </w:r>
      <w:r w:rsidRPr="0025250D">
        <w:rPr>
          <w:rFonts w:hint="eastAsia"/>
          <w:rtl/>
        </w:rPr>
        <w:t>نگر</w:t>
      </w:r>
      <w:r w:rsidRPr="0025250D">
        <w:rPr>
          <w:rFonts w:hint="cs"/>
          <w:rtl/>
        </w:rPr>
        <w:t xml:space="preserve"> و </w:t>
      </w:r>
      <w:r w:rsidRPr="0025250D">
        <w:rPr>
          <w:rtl/>
        </w:rPr>
        <w:t>کول</w:t>
      </w:r>
      <w:r w:rsidRPr="0025250D">
        <w:rPr>
          <w:rFonts w:hint="cs"/>
          <w:rtl/>
        </w:rPr>
        <w:t xml:space="preserve"> این را </w:t>
      </w:r>
      <w:r w:rsidR="005B1DA7" w:rsidRPr="0025250D">
        <w:rPr>
          <w:rtl/>
        </w:rPr>
        <w:t>«</w:t>
      </w:r>
      <w:r w:rsidRPr="0025250D">
        <w:rPr>
          <w:rFonts w:hint="cs"/>
          <w:rtl/>
        </w:rPr>
        <w:t>تخیل مفید</w:t>
      </w:r>
      <w:r w:rsidRPr="0025250D">
        <w:rPr>
          <w:vertAlign w:val="superscript"/>
          <w:rtl/>
        </w:rPr>
        <w:footnoteReference w:id="1857"/>
      </w:r>
      <w:r w:rsidR="005B1DA7" w:rsidRPr="0025250D">
        <w:rPr>
          <w:rtl/>
        </w:rPr>
        <w:t>»</w:t>
      </w:r>
      <w:r w:rsidRPr="0025250D">
        <w:rPr>
          <w:rFonts w:hint="cs"/>
          <w:rtl/>
        </w:rPr>
        <w:t xml:space="preserve"> می‌نامند، اما این نام کمی نادرست است. همه ادبیات علمی تخیلی، برای کسی مفید است. سوختن در حقیقت تخیل آینده است که دقت بسیار بالایی دارد. این نویسندگان در یادداشت‌های خود، منابع پشتیبانی کننده را برای بسیاری از رویداد‌های به تصویر کشیده شده در این داستان ارجاع می‌دهند. وقتی یک تخیل آینده از نظر چهار </w:t>
      </w:r>
      <w:r w:rsidRPr="0025250D">
        <w:t>P</w:t>
      </w:r>
      <w:r w:rsidRPr="0025250D">
        <w:rPr>
          <w:rFonts w:hint="cs"/>
          <w:rtl/>
        </w:rPr>
        <w:t xml:space="preserve"> متوازن باشد، مشخصا برای کار </w:t>
      </w:r>
      <w:r w:rsidRPr="0025250D">
        <w:rPr>
          <w:rtl/>
        </w:rPr>
        <w:t>آینده‌نگاری</w:t>
      </w:r>
      <w:r w:rsidRPr="0025250D">
        <w:rPr>
          <w:rFonts w:hint="cs"/>
          <w:rtl/>
        </w:rPr>
        <w:t xml:space="preserve"> ارزشمند است و بهترین موارد از این بین آن‌هایی هستند که سرگرم کننده نیز باشند. امیدواریم که تخیل آینده به ژانر شناخته شده خاص خود توسط کتابفروشی‌ها در سال‌های آینده تبدیل شود. همه ما باید به صورت منظم چنین مطالعاتی را به‌عنوان راهی هم برای سرگرم کردن و هم آگاهی بخشی به خود خوانده و به اشتراک بگذاریم و بیاموزیم که چگونه داستان‌های آینده بهتری تعریف کنیم.</w:t>
      </w:r>
    </w:p>
    <w:p w14:paraId="344C821C" w14:textId="77777777" w:rsidR="00537CC8" w:rsidRPr="0025250D" w:rsidRDefault="00537CC8" w:rsidP="00D53F87">
      <w:pPr>
        <w:jc w:val="center"/>
        <w:rPr>
          <w:rtl/>
        </w:rPr>
      </w:pPr>
      <w:r w:rsidRPr="0025250D">
        <w:rPr>
          <w:noProof/>
          <w:rtl/>
          <w:lang w:bidi="ar-SA"/>
        </w:rPr>
        <w:drawing>
          <wp:inline distT="0" distB="0" distL="0" distR="0" wp14:anchorId="0459316C" wp14:editId="34A87EAC">
            <wp:extent cx="1461770" cy="2107096"/>
            <wp:effectExtent l="0" t="0" r="5080" b="7620"/>
            <wp:docPr id="101" name="Picture 101" descr="D:\کار\مستقل\3 ( ترجمه ی دانشگاه تهران  )\Introduction to Foresight\part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کار\مستقل\3 ( ترجمه ی دانشگاه تهران  )\Introduction to Foresight\part4\19.png"/>
                    <pic:cNvPicPr>
                      <a:picLocks noChangeAspect="1" noChangeArrowheads="1"/>
                    </pic:cNvPicPr>
                  </pic:nvPicPr>
                  <pic:blipFill rotWithShape="1">
                    <a:blip r:embed="rId159" cstate="screen">
                      <a:extLst>
                        <a:ext uri="{BEBA8EAE-BF5A-486C-A8C5-ECC9F3942E4B}">
                          <a14:imgProps xmlns:a14="http://schemas.microsoft.com/office/drawing/2010/main">
                            <a14:imgLayer r:embed="rId160">
                              <a14:imgEffect>
                                <a14:saturation sat="0"/>
                              </a14:imgEffect>
                            </a14:imgLayer>
                          </a14:imgProps>
                        </a:ext>
                        <a:ext uri="{28A0092B-C50C-407E-A947-70E740481C1C}">
                          <a14:useLocalDpi xmlns:a14="http://schemas.microsoft.com/office/drawing/2010/main"/>
                        </a:ext>
                      </a:extLst>
                    </a:blip>
                    <a:srcRect/>
                    <a:stretch/>
                  </pic:blipFill>
                  <pic:spPr bwMode="auto">
                    <a:xfrm>
                      <a:off x="0" y="0"/>
                      <a:ext cx="1467471" cy="2115314"/>
                    </a:xfrm>
                    <a:prstGeom prst="rect">
                      <a:avLst/>
                    </a:prstGeom>
                    <a:noFill/>
                    <a:ln>
                      <a:noFill/>
                    </a:ln>
                    <a:extLst>
                      <a:ext uri="{53640926-AAD7-44D8-BBD7-CCE9431645EC}">
                        <a14:shadowObscured xmlns:a14="http://schemas.microsoft.com/office/drawing/2010/main"/>
                      </a:ext>
                    </a:extLst>
                  </pic:spPr>
                </pic:pic>
              </a:graphicData>
            </a:graphic>
          </wp:inline>
        </w:drawing>
      </w:r>
    </w:p>
    <w:p w14:paraId="76284BA1" w14:textId="77777777" w:rsidR="00537CC8" w:rsidRPr="0025250D" w:rsidRDefault="00537CC8" w:rsidP="00D53F87">
      <w:pPr>
        <w:jc w:val="center"/>
        <w:rPr>
          <w:rtl/>
        </w:rPr>
      </w:pPr>
      <w:r w:rsidRPr="0025250D">
        <w:rPr>
          <w:rtl/>
        </w:rPr>
        <w:t>کول</w:t>
      </w:r>
      <w:r w:rsidRPr="0025250D">
        <w:rPr>
          <w:rFonts w:hint="cs"/>
          <w:rtl/>
        </w:rPr>
        <w:t xml:space="preserve"> و سینگر، 2020</w:t>
      </w:r>
    </w:p>
    <w:p w14:paraId="02EA4911" w14:textId="3AB2B2B5" w:rsidR="00537CC8" w:rsidRPr="0025250D" w:rsidRDefault="00537CC8" w:rsidP="00537CC8">
      <w:pPr>
        <w:rPr>
          <w:rtl/>
        </w:rPr>
      </w:pPr>
      <w:r w:rsidRPr="0025250D">
        <w:rPr>
          <w:rFonts w:hint="cs"/>
          <w:rtl/>
        </w:rPr>
        <w:t>همچنین یک دسته بزرگ از داستان‌های آینده وجود دارند که ما آن‌ها را داستان‌های نادرست می‌نامیم (که در بخش بعدی مورد بحث قرار خواهند گرفت) که این‌</w:t>
      </w:r>
      <w:r w:rsidR="00CF7248" w:rsidRPr="0025250D">
        <w:rPr>
          <w:rFonts w:hint="cs"/>
          <w:rtl/>
        </w:rPr>
        <w:t xml:space="preserve"> موارد</w:t>
      </w:r>
      <w:r w:rsidRPr="0025250D">
        <w:rPr>
          <w:rFonts w:hint="cs"/>
          <w:rtl/>
        </w:rPr>
        <w:t xml:space="preserve"> نیز باید شناسایی شوند تا بتوانیم ادبیات تخیلی را که بیش‌تر به ما در تفکر آینده کمک می‌کند، شناسایی کنیم. داستان‌های نادرست اغلب بسیار جذاب هستند، اما در یک یا چند عنصر داستانی نوشته شده باور ناپذیر هستند. داستان‌های نادرست می‌توانند برای سرگرمی، </w:t>
      </w:r>
      <w:r w:rsidRPr="0025250D">
        <w:rPr>
          <w:rtl/>
        </w:rPr>
        <w:t>تبل</w:t>
      </w:r>
      <w:r w:rsidRPr="0025250D">
        <w:rPr>
          <w:rFonts w:hint="cs"/>
          <w:rtl/>
        </w:rPr>
        <w:t>ی</w:t>
      </w:r>
      <w:r w:rsidRPr="0025250D">
        <w:rPr>
          <w:rFonts w:hint="eastAsia"/>
          <w:rtl/>
        </w:rPr>
        <w:t>غات</w:t>
      </w:r>
      <w:r w:rsidRPr="0025250D">
        <w:rPr>
          <w:rtl/>
        </w:rPr>
        <w:t xml:space="preserve"> س</w:t>
      </w:r>
      <w:r w:rsidRPr="0025250D">
        <w:rPr>
          <w:rFonts w:hint="cs"/>
          <w:rtl/>
        </w:rPr>
        <w:t>ی</w:t>
      </w:r>
      <w:r w:rsidRPr="0025250D">
        <w:rPr>
          <w:rFonts w:hint="eastAsia"/>
          <w:rtl/>
        </w:rPr>
        <w:t>اس</w:t>
      </w:r>
      <w:r w:rsidRPr="0025250D">
        <w:rPr>
          <w:rFonts w:hint="cs"/>
          <w:rtl/>
        </w:rPr>
        <w:t xml:space="preserve">ی یا صرفا فروش باشند. آن‌ها می‌توانند برنامه‌های واضح و پنهانی را ترویج کنند. اگر ما ایرادات آن‌ها را کشف نکنیم، ما و دیگران ممکن است بی جهت توسط آن‌ها تحت تأثیر قرار گیریم و این امر به </w:t>
      </w:r>
      <w:r w:rsidRPr="0025250D">
        <w:rPr>
          <w:rtl/>
        </w:rPr>
        <w:t>آینده‌نگاری</w:t>
      </w:r>
      <w:r w:rsidRPr="0025250D">
        <w:rPr>
          <w:rFonts w:hint="cs"/>
          <w:rtl/>
        </w:rPr>
        <w:t xml:space="preserve"> ما ضربه خواهد زد. برای فعالان </w:t>
      </w:r>
      <w:r w:rsidRPr="0025250D">
        <w:rPr>
          <w:rtl/>
        </w:rPr>
        <w:t>آینده‌نگاری</w:t>
      </w:r>
      <w:r w:rsidRPr="0025250D">
        <w:rPr>
          <w:rFonts w:hint="cs"/>
          <w:rtl/>
        </w:rPr>
        <w:t>، مهم‌ترین</w:t>
      </w:r>
      <w:r w:rsidR="008D6F97" w:rsidRPr="0025250D">
        <w:rPr>
          <w:rtl/>
        </w:rPr>
        <w:t xml:space="preserve"> </w:t>
      </w:r>
      <w:r w:rsidRPr="0025250D">
        <w:rPr>
          <w:rFonts w:hint="cs"/>
          <w:rtl/>
        </w:rPr>
        <w:t xml:space="preserve">عناصر داستانی، چهار </w:t>
      </w:r>
      <w:r w:rsidRPr="0025250D">
        <w:t>P</w:t>
      </w:r>
      <w:r w:rsidRPr="0025250D">
        <w:rPr>
          <w:rFonts w:hint="cs"/>
          <w:rtl/>
        </w:rPr>
        <w:t xml:space="preserve"> هستند. در هر داستانی، ما می‌توانیم چهار عنصر داستان آینده را شناسایی کنیم: داستان‌های محتمل، ممکن، مرجح و قابل اجتناب. آنچه می‌خواهیم با هر یک از این عناصر داستانی آینده انجام دهیم این است که </w:t>
      </w:r>
      <w:r w:rsidR="005B1DA7" w:rsidRPr="0025250D">
        <w:rPr>
          <w:rtl/>
        </w:rPr>
        <w:t>«</w:t>
      </w:r>
      <w:r w:rsidR="00822BD5" w:rsidRPr="0025250D">
        <w:rPr>
          <w:rtl/>
        </w:rPr>
        <w:t>تخم مرغ شانس</w:t>
      </w:r>
      <w:r w:rsidR="00822BD5" w:rsidRPr="0025250D">
        <w:rPr>
          <w:rFonts w:hint="cs"/>
          <w:rtl/>
        </w:rPr>
        <w:t>ی</w:t>
      </w:r>
      <w:r w:rsidR="00822BD5" w:rsidRPr="0025250D">
        <w:rPr>
          <w:rtl/>
        </w:rPr>
        <w:t xml:space="preserve"> </w:t>
      </w:r>
      <w:r w:rsidRPr="0025250D">
        <w:rPr>
          <w:rFonts w:hint="cs"/>
          <w:rtl/>
        </w:rPr>
        <w:t>ها</w:t>
      </w:r>
      <w:r w:rsidR="00822BD5" w:rsidRPr="0025250D">
        <w:rPr>
          <w:rStyle w:val="FootnoteReference"/>
          <w:rtl/>
        </w:rPr>
        <w:footnoteReference w:id="1858"/>
      </w:r>
      <w:r w:rsidR="005B1DA7" w:rsidRPr="0025250D">
        <w:rPr>
          <w:rtl/>
        </w:rPr>
        <w:t>»</w:t>
      </w:r>
      <w:r w:rsidRPr="0025250D">
        <w:rPr>
          <w:rFonts w:hint="cs"/>
          <w:rtl/>
        </w:rPr>
        <w:t xml:space="preserve"> را بیابیم که داستانهای مهم، به خوبی نقد شده</w:t>
      </w:r>
      <w:r w:rsidR="008D6F97" w:rsidRPr="0025250D">
        <w:rPr>
          <w:rtl/>
        </w:rPr>
        <w:t xml:space="preserve"> </w:t>
      </w:r>
      <w:r w:rsidR="00747EAB" w:rsidRPr="0025250D">
        <w:rPr>
          <w:rFonts w:hint="cs"/>
          <w:rtl/>
        </w:rPr>
        <w:t xml:space="preserve">و </w:t>
      </w:r>
      <w:r w:rsidRPr="0025250D">
        <w:rPr>
          <w:rFonts w:hint="cs"/>
          <w:rtl/>
        </w:rPr>
        <w:t xml:space="preserve">تا حدی شواهد محور و همچنان </w:t>
      </w:r>
      <w:r w:rsidR="00923DDB" w:rsidRPr="0025250D">
        <w:rPr>
          <w:rFonts w:hint="cs"/>
          <w:rtl/>
        </w:rPr>
        <w:t>باورپذیر</w:t>
      </w:r>
      <w:r w:rsidRPr="0025250D">
        <w:rPr>
          <w:rFonts w:hint="cs"/>
          <w:rtl/>
        </w:rPr>
        <w:t xml:space="preserve"> هستند. برخی نمونه‌های داستان‌های </w:t>
      </w:r>
      <w:r w:rsidR="00822BD5" w:rsidRPr="0025250D">
        <w:rPr>
          <w:rtl/>
        </w:rPr>
        <w:t>تخم مرغ شانس</w:t>
      </w:r>
      <w:r w:rsidR="00822BD5" w:rsidRPr="0025250D">
        <w:rPr>
          <w:rFonts w:hint="cs"/>
          <w:rtl/>
        </w:rPr>
        <w:t xml:space="preserve">ی مانند </w:t>
      </w:r>
      <w:r w:rsidRPr="0025250D">
        <w:rPr>
          <w:rFonts w:hint="cs"/>
          <w:rtl/>
        </w:rPr>
        <w:t xml:space="preserve">را به طور خلاصه مورد بحث قرار خواهیم داد. همچنین می‌خواهیم به شکل قابل اتکایی داستان‌های نادرست را شناسایی کنیم و به صورتی </w:t>
      </w:r>
      <w:r w:rsidR="00701E03" w:rsidRPr="0025250D">
        <w:rPr>
          <w:rFonts w:hint="cs"/>
          <w:rtl/>
        </w:rPr>
        <w:t>راهبردی</w:t>
      </w:r>
      <w:r w:rsidRPr="0025250D">
        <w:rPr>
          <w:rFonts w:hint="cs"/>
          <w:rtl/>
        </w:rPr>
        <w:t xml:space="preserve"> با آن‌ها برخورد کنیم. اگر دیگران (رقبا، مشتریان،</w:t>
      </w:r>
      <w:r w:rsidR="005B1DA7" w:rsidRPr="0025250D">
        <w:rPr>
          <w:rtl/>
        </w:rPr>
        <w:t xml:space="preserve"> و</w:t>
      </w:r>
      <w:r w:rsidRPr="0025250D">
        <w:rPr>
          <w:rFonts w:hint="cs"/>
          <w:rtl/>
        </w:rPr>
        <w:t xml:space="preserve"> عموم مردم) داستانی را باورکنند و به نظر ما این داستان نادرست باشد، ممکن است بتوانیم از این دانش به نفع خود استفاده کنیم. تصویر زیر برخی از مهم‌ترین</w:t>
      </w:r>
      <w:r w:rsidR="008D6F97" w:rsidRPr="0025250D">
        <w:rPr>
          <w:rtl/>
        </w:rPr>
        <w:t xml:space="preserve"> </w:t>
      </w:r>
      <w:r w:rsidRPr="0025250D">
        <w:rPr>
          <w:rFonts w:hint="cs"/>
          <w:rtl/>
        </w:rPr>
        <w:t xml:space="preserve">چالش‌های داستان سرایی </w:t>
      </w:r>
      <w:r w:rsidRPr="0025250D">
        <w:rPr>
          <w:rtl/>
        </w:rPr>
        <w:t>آینده‌نگار</w:t>
      </w:r>
      <w:r w:rsidRPr="0025250D">
        <w:rPr>
          <w:rFonts w:hint="cs"/>
          <w:rtl/>
        </w:rPr>
        <w:t xml:space="preserve"> را به طور خلاصه بیان می‌کند. بیایید به طور خلاصه اکنون درمورد داستان‌های نادرست و پس از آن داستان‌های </w:t>
      </w:r>
      <w:r w:rsidR="00822BD5" w:rsidRPr="0025250D">
        <w:rPr>
          <w:rtl/>
        </w:rPr>
        <w:t>تخم مرغ شانسی مانند</w:t>
      </w:r>
      <w:r w:rsidRPr="0025250D">
        <w:rPr>
          <w:rFonts w:hint="cs"/>
          <w:rtl/>
        </w:rPr>
        <w:t xml:space="preserve"> بحث کنیم.</w:t>
      </w:r>
    </w:p>
    <w:p w14:paraId="6B8050BD" w14:textId="7E583514" w:rsidR="00537CC8" w:rsidRPr="0025250D" w:rsidRDefault="00F004A5" w:rsidP="00742F25">
      <w:pPr>
        <w:jc w:val="center"/>
      </w:pPr>
      <w:r w:rsidRPr="0025250D">
        <w:rPr>
          <w:noProof/>
        </w:rPr>
        <w:drawing>
          <wp:inline distT="0" distB="0" distL="0" distR="0" wp14:anchorId="05DFA8BB" wp14:editId="4C6EAD75">
            <wp:extent cx="5239910" cy="4210659"/>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0" y="0"/>
                      <a:ext cx="5249329" cy="4218228"/>
                    </a:xfrm>
                    <a:prstGeom prst="rect">
                      <a:avLst/>
                    </a:prstGeom>
                    <a:noFill/>
                  </pic:spPr>
                </pic:pic>
              </a:graphicData>
            </a:graphic>
          </wp:inline>
        </w:drawing>
      </w:r>
    </w:p>
    <w:p w14:paraId="16120381" w14:textId="77777777" w:rsidR="00537CC8" w:rsidRPr="0025250D" w:rsidRDefault="00537CC8" w:rsidP="00D53F87">
      <w:pPr>
        <w:pStyle w:val="Heading2"/>
        <w:rPr>
          <w:rtl/>
        </w:rPr>
      </w:pPr>
      <w:bookmarkStart w:id="54" w:name="_Toc127831319"/>
      <w:r w:rsidRPr="0025250D">
        <w:rPr>
          <w:rFonts w:hint="cs"/>
          <w:rtl/>
        </w:rPr>
        <w:t>نقد داستان‌های نادرست (یافتن بخش‌های نادرست در داستان‌های آینده)</w:t>
      </w:r>
      <w:bookmarkEnd w:id="54"/>
    </w:p>
    <w:p w14:paraId="4C1D34EB" w14:textId="4FDF20A2" w:rsidR="00537CC8" w:rsidRPr="0025250D" w:rsidRDefault="00537CC8" w:rsidP="00537CC8">
      <w:pPr>
        <w:rPr>
          <w:rtl/>
        </w:rPr>
      </w:pPr>
      <w:r w:rsidRPr="0025250D">
        <w:rPr>
          <w:rFonts w:hint="cs"/>
          <w:rtl/>
        </w:rPr>
        <w:t xml:space="preserve">یادگرفتن شناسایی داستان‌های نادرست، رفتار </w:t>
      </w:r>
      <w:r w:rsidR="00701E03" w:rsidRPr="0025250D">
        <w:rPr>
          <w:rFonts w:hint="cs"/>
          <w:rtl/>
        </w:rPr>
        <w:t>راهبردی</w:t>
      </w:r>
      <w:r w:rsidRPr="0025250D">
        <w:rPr>
          <w:rFonts w:hint="cs"/>
          <w:rtl/>
        </w:rPr>
        <w:t xml:space="preserve"> در مقابل آن‌ها و عدم بیان آن‌ها به‌عنوان حقیقت توسط خودمان، یکی از راه‌هایی است که می‌توانیم در حرفه خود اعتبار کسب کنیم. تشخیص این که بخش‌های مشخصی از یک داستان آینده به نظر بیش‌تر تخیل هستند تا واقعیت، به ما امکان می‌دهد تا ضمن سرگرم شدن با آن داستان، از تأثیرگذاری آن بر </w:t>
      </w:r>
      <w:r w:rsidR="00701E03" w:rsidRPr="0025250D">
        <w:rPr>
          <w:rFonts w:hint="cs"/>
          <w:rtl/>
        </w:rPr>
        <w:t>راهبرد</w:t>
      </w:r>
      <w:r w:rsidRPr="0025250D">
        <w:rPr>
          <w:rFonts w:hint="cs"/>
          <w:rtl/>
        </w:rPr>
        <w:t xml:space="preserve"> خود یا کارسپارمان جلوگیری کنیم. متأسفانه، بسیاری از عناصر داستان‌های نادرست و </w:t>
      </w:r>
      <w:r w:rsidR="005833B1" w:rsidRPr="0025250D">
        <w:rPr>
          <w:rFonts w:hint="cs"/>
          <w:rtl/>
        </w:rPr>
        <w:t>دارای</w:t>
      </w:r>
      <w:r w:rsidRPr="0025250D">
        <w:rPr>
          <w:rFonts w:hint="cs"/>
          <w:rtl/>
        </w:rPr>
        <w:t xml:space="preserve"> اشکال به درستی </w:t>
      </w:r>
      <w:r w:rsidRPr="0025250D">
        <w:rPr>
          <w:rFonts w:cs="Times New Roman" w:hint="cs"/>
          <w:rtl/>
        </w:rPr>
        <w:t>–</w:t>
      </w:r>
      <w:r w:rsidRPr="0025250D">
        <w:rPr>
          <w:rFonts w:hint="cs"/>
          <w:rtl/>
        </w:rPr>
        <w:t xml:space="preserve"> توسط گوینده داستان، مخاطب آن یا هر دو - تشخیص داده نمی‌شوند. اغلب در ارزیابی عناصر داستانی چهار </w:t>
      </w:r>
      <w:r w:rsidRPr="0025250D">
        <w:t>P</w:t>
      </w:r>
      <w:r w:rsidRPr="0025250D">
        <w:rPr>
          <w:rFonts w:hint="cs"/>
          <w:rtl/>
        </w:rPr>
        <w:t xml:space="preserve"> به‌اندازه کافی انتقادی عمل نمی‌کنیم؛ در عوض، عدم باور را کنار گذاشته و اجازه می‌دهیم داستان ما را سرگرم کند. این کار برای عموم مردم مشکلی ندارد، اما نقش ما، به‌عنوان متخصصین </w:t>
      </w:r>
      <w:r w:rsidRPr="0025250D">
        <w:rPr>
          <w:rtl/>
        </w:rPr>
        <w:t>آینده‌نگاری</w:t>
      </w:r>
      <w:r w:rsidRPr="0025250D">
        <w:rPr>
          <w:rFonts w:hint="cs"/>
          <w:rtl/>
        </w:rPr>
        <w:t xml:space="preserve"> این نیست.</w:t>
      </w:r>
    </w:p>
    <w:p w14:paraId="1783F909" w14:textId="0361A34F" w:rsidR="00537CC8" w:rsidRPr="0025250D" w:rsidRDefault="00537CC8" w:rsidP="00537CC8">
      <w:pPr>
        <w:rPr>
          <w:rtl/>
        </w:rPr>
      </w:pPr>
      <w:r w:rsidRPr="0025250D">
        <w:rPr>
          <w:rFonts w:hint="cs"/>
          <w:rtl/>
        </w:rPr>
        <w:t xml:space="preserve">انجام آزمایش‌های کنترل شده در زمینه </w:t>
      </w:r>
      <w:r w:rsidRPr="0025250D">
        <w:rPr>
          <w:rtl/>
        </w:rPr>
        <w:t>آینده‌نگاری</w:t>
      </w:r>
      <w:r w:rsidRPr="0025250D">
        <w:rPr>
          <w:rFonts w:hint="cs"/>
          <w:rtl/>
        </w:rPr>
        <w:t xml:space="preserve"> آسان نیست. ما می‌توانیم </w:t>
      </w:r>
      <w:r w:rsidRPr="0025250D">
        <w:rPr>
          <w:rtl/>
        </w:rPr>
        <w:t>آینده‌نگاری</w:t>
      </w:r>
      <w:r w:rsidRPr="0025250D">
        <w:rPr>
          <w:rFonts w:hint="cs"/>
          <w:rtl/>
        </w:rPr>
        <w:t xml:space="preserve"> خود را بعدا از نظر دقت ارزیابی کنیم، اما اغلب بهترین کاری که می‌توانیم قبل از آن انجام دهیم این است که از این که پیش‌نگری‌ها، پیش‌بینی‌ها، نظرات و حدس و گمان‌هایمان به‌خوبی نقد شده‌اند و موارد غیر باورپذیر و نشدنی از آن‌ها جدا شده‌اند، اطمینان حاصل کنیم. انتقاد همچنین برای بازبینی</w:t>
      </w:r>
      <w:r w:rsidRPr="0025250D">
        <w:rPr>
          <w:rtl/>
        </w:rPr>
        <w:t xml:space="preserve"> دق</w:t>
      </w:r>
      <w:r w:rsidRPr="0025250D">
        <w:rPr>
          <w:rFonts w:hint="cs"/>
          <w:rtl/>
        </w:rPr>
        <w:t>ی</w:t>
      </w:r>
      <w:r w:rsidRPr="0025250D">
        <w:rPr>
          <w:rFonts w:hint="eastAsia"/>
          <w:rtl/>
        </w:rPr>
        <w:t>ق</w:t>
      </w:r>
      <w:r w:rsidRPr="0025250D">
        <w:rPr>
          <w:vertAlign w:val="superscript"/>
          <w:rtl/>
        </w:rPr>
        <w:footnoteReference w:id="1859"/>
      </w:r>
      <w:r w:rsidRPr="0025250D">
        <w:rPr>
          <w:rFonts w:hint="cs"/>
          <w:rtl/>
        </w:rPr>
        <w:t xml:space="preserve"> </w:t>
      </w:r>
      <w:r w:rsidRPr="0025250D">
        <w:rPr>
          <w:rFonts w:cs="Times New Roman" w:hint="cs"/>
          <w:rtl/>
        </w:rPr>
        <w:t>–</w:t>
      </w:r>
      <w:r w:rsidRPr="0025250D">
        <w:rPr>
          <w:rFonts w:hint="cs"/>
          <w:rtl/>
        </w:rPr>
        <w:t xml:space="preserve"> یک پیش‌شرط تولید علم خوب- اهمیت دارد. با بهبود و پیشرفت ابزارهای درک و تحلیل معنایی خودکار در سال‌های آینده، سطح بازبینی</w:t>
      </w:r>
      <w:r w:rsidRPr="0025250D">
        <w:rPr>
          <w:rtl/>
        </w:rPr>
        <w:t xml:space="preserve"> دق</w:t>
      </w:r>
      <w:r w:rsidRPr="0025250D">
        <w:rPr>
          <w:rFonts w:hint="cs"/>
          <w:rtl/>
        </w:rPr>
        <w:t>ی</w:t>
      </w:r>
      <w:r w:rsidRPr="0025250D">
        <w:rPr>
          <w:rFonts w:hint="eastAsia"/>
          <w:rtl/>
        </w:rPr>
        <w:t>ق</w:t>
      </w:r>
      <w:r w:rsidRPr="0025250D">
        <w:rPr>
          <w:rFonts w:hint="cs"/>
          <w:rtl/>
        </w:rPr>
        <w:t xml:space="preserve"> و انتقادی برای هر داستان آینده‌ای برای تعداد بیش‌تری از داستان‌های یافت شده بر روی اینترنت قابل مشاهده خواهد بود. در همین زمان، ما باید بررسی و نقد خود را با استفاده از بهترین شبکه‌های تخصصی انجام دهیم.</w:t>
      </w:r>
    </w:p>
    <w:p w14:paraId="3CF583B2" w14:textId="6D86D552" w:rsidR="00537CC8" w:rsidRPr="0025250D" w:rsidRDefault="00537CC8" w:rsidP="00537CC8">
      <w:pPr>
        <w:rPr>
          <w:rtl/>
        </w:rPr>
      </w:pPr>
      <w:r w:rsidRPr="0025250D">
        <w:rPr>
          <w:rFonts w:hint="cs"/>
          <w:rtl/>
        </w:rPr>
        <w:t xml:space="preserve">ترتیب </w:t>
      </w:r>
      <w:r w:rsidRPr="0025250D">
        <w:t>LAIS</w:t>
      </w:r>
      <w:r w:rsidRPr="0025250D">
        <w:rPr>
          <w:rFonts w:hint="cs"/>
          <w:rtl/>
        </w:rPr>
        <w:t xml:space="preserve"> عملیات‌ها در آینده‌نگاری </w:t>
      </w:r>
      <w:r w:rsidR="00701E03" w:rsidRPr="0025250D">
        <w:rPr>
          <w:rFonts w:hint="cs"/>
          <w:rtl/>
        </w:rPr>
        <w:t>راهبردی</w:t>
      </w:r>
      <w:r w:rsidRPr="0025250D">
        <w:rPr>
          <w:rFonts w:hint="cs"/>
          <w:rtl/>
        </w:rPr>
        <w:t xml:space="preserve"> را به یاد آورید. دنبال کردن این ترتیب می‌تواند وقتی به دنبال تولید داستان‌هایی هستیم که دچار اشکال نباشند مفید باشد</w:t>
      </w:r>
      <w:r w:rsidR="008D6F97" w:rsidRPr="0025250D">
        <w:rPr>
          <w:rtl/>
        </w:rPr>
        <w:t xml:space="preserve">؛ </w:t>
      </w:r>
      <w:r w:rsidRPr="0025250D">
        <w:rPr>
          <w:rFonts w:hint="cs"/>
          <w:rtl/>
        </w:rPr>
        <w:t>اما در میان هشت مهارت، بازبینی تکرار شونده داستان‌ها اهمیت خاصی دارد. نوعی از بازبینی دقیق وجود دارد که تفسیر دقیق</w:t>
      </w:r>
      <w:r w:rsidR="008D6F97" w:rsidRPr="0025250D">
        <w:t xml:space="preserve"> </w:t>
      </w:r>
      <w:r w:rsidRPr="0025250D">
        <w:rPr>
          <w:rFonts w:hint="cs"/>
          <w:rtl/>
        </w:rPr>
        <w:t>آزاد</w:t>
      </w:r>
      <w:r w:rsidRPr="0025250D">
        <w:rPr>
          <w:vertAlign w:val="superscript"/>
          <w:rtl/>
        </w:rPr>
        <w:footnoteReference w:id="1860"/>
      </w:r>
      <w:r w:rsidRPr="0025250D">
        <w:rPr>
          <w:rFonts w:hint="cs"/>
          <w:rtl/>
        </w:rPr>
        <w:t xml:space="preserve"> نامیده می‌شود که در آن از بازبینی کنندگان از تخصص‌های مختلف تقاضا می‌شود که به صورت عمومی درمورد یک مقاله نظر دهند و نویسنده اجازه دارد که پاسخ عمومی خلاصه‌ای به هر نظر بدهد و هر دو ذیل هر مقاله منتشر شده‌ای نمایش داده می‌شوند. تفسیر دقیق آزاد راه مشخصاً خوبی برای نشان دادن و اندازه‌گیری سطح و کیفیت نقدی است که برای ادعایی بحث‌برانگیز، انتزاعی یا یک گمانه وجود دارد. متأسفانه، امروزه این کار به‌ندرت در مجلات و تحقیقات </w:t>
      </w:r>
      <w:r w:rsidRPr="0025250D">
        <w:rPr>
          <w:rtl/>
        </w:rPr>
        <w:t>آینده‌نگاری</w:t>
      </w:r>
      <w:r w:rsidRPr="0025250D">
        <w:rPr>
          <w:rFonts w:hint="cs"/>
          <w:rtl/>
        </w:rPr>
        <w:t xml:space="preserve"> انجام می‌شود. امیدواریم که مجلات </w:t>
      </w:r>
      <w:r w:rsidRPr="0025250D">
        <w:rPr>
          <w:rtl/>
        </w:rPr>
        <w:t>آینده‌نگاری</w:t>
      </w:r>
      <w:r w:rsidRPr="0025250D">
        <w:rPr>
          <w:rFonts w:hint="cs"/>
          <w:rtl/>
        </w:rPr>
        <w:t xml:space="preserve"> بیش‌تری از تفسیر دقیق آزاد در سال‌های آینده استفاده کنند. آن‌ها به این کار نیاز دارند، زیرا مقالات و مدل‌ها در زمینه </w:t>
      </w:r>
      <w:r w:rsidR="005833B1" w:rsidRPr="0025250D">
        <w:rPr>
          <w:rFonts w:hint="cs"/>
          <w:rtl/>
        </w:rPr>
        <w:t>آینده‌نگاری</w:t>
      </w:r>
      <w:r w:rsidRPr="0025250D">
        <w:rPr>
          <w:rFonts w:hint="cs"/>
          <w:rtl/>
        </w:rPr>
        <w:t xml:space="preserve"> اغلب ذاتا به طور مشخص مبت</w:t>
      </w:r>
      <w:r w:rsidR="005833B1" w:rsidRPr="0025250D">
        <w:rPr>
          <w:rFonts w:hint="cs"/>
          <w:rtl/>
        </w:rPr>
        <w:t>ن</w:t>
      </w:r>
      <w:r w:rsidRPr="0025250D">
        <w:rPr>
          <w:rFonts w:hint="cs"/>
          <w:rtl/>
        </w:rPr>
        <w:t>ی بر گمانه هستند.</w:t>
      </w:r>
    </w:p>
    <w:p w14:paraId="31CA0AB3" w14:textId="3636A292" w:rsidR="00537CC8" w:rsidRPr="0025250D" w:rsidRDefault="00537CC8" w:rsidP="00537CC8">
      <w:pPr>
        <w:rPr>
          <w:rtl/>
        </w:rPr>
      </w:pPr>
      <w:r w:rsidRPr="0025250D">
        <w:rPr>
          <w:rFonts w:hint="cs"/>
          <w:rtl/>
        </w:rPr>
        <w:t xml:space="preserve">متأسفانه، داستان‌های آینده بسیاری که به صورت کتبی و نوشته شده می‌توان یافت، از جمله </w:t>
      </w:r>
      <w:r w:rsidR="00362EF3" w:rsidRPr="0025250D">
        <w:rPr>
          <w:rFonts w:hint="cs"/>
          <w:rtl/>
        </w:rPr>
        <w:t>فرانامه‌های</w:t>
      </w:r>
      <w:r w:rsidRPr="0025250D">
        <w:rPr>
          <w:rFonts w:hint="cs"/>
          <w:rtl/>
        </w:rPr>
        <w:t xml:space="preserve"> متعدد (داستان‌هایی از آینده‌های ممکن)، حتی در مجلات، شامل عناصر داستانی متعددی هستند که به شکلی که نوشته شده‌اند به شدت باورناپذیر و نشدنی هستند. در حقیقت، بسیاری از </w:t>
      </w:r>
      <w:r w:rsidR="00701E03" w:rsidRPr="0025250D">
        <w:rPr>
          <w:rFonts w:hint="cs"/>
          <w:rtl/>
        </w:rPr>
        <w:t>فرانامه</w:t>
      </w:r>
      <w:r w:rsidRPr="0025250D">
        <w:rPr>
          <w:rFonts w:hint="cs"/>
          <w:rtl/>
        </w:rPr>
        <w:t xml:space="preserve">‌ها که به‌عنوان موارد ممکن در آینده ارائه شده‌اند، </w:t>
      </w:r>
      <w:r w:rsidR="008F0DD8" w:rsidRPr="0025250D">
        <w:rPr>
          <w:rFonts w:hint="cs"/>
          <w:rtl/>
        </w:rPr>
        <w:t>آن‌قدر</w:t>
      </w:r>
      <w:r w:rsidRPr="0025250D">
        <w:rPr>
          <w:rFonts w:hint="cs"/>
          <w:rtl/>
        </w:rPr>
        <w:t xml:space="preserve"> نشدنی </w:t>
      </w:r>
      <w:r w:rsidR="005833B1" w:rsidRPr="0025250D">
        <w:rPr>
          <w:rFonts w:hint="cs"/>
          <w:rtl/>
        </w:rPr>
        <w:t xml:space="preserve">به نظر </w:t>
      </w:r>
      <w:r w:rsidRPr="0025250D">
        <w:rPr>
          <w:rFonts w:hint="cs"/>
          <w:rtl/>
        </w:rPr>
        <w:t xml:space="preserve">می‌رسند که افراد دارای ذهنیت، خواندن کامل آن‌ها را هدر دادن وقت می‌دانند. یک </w:t>
      </w:r>
      <w:r w:rsidR="00701E03" w:rsidRPr="0025250D">
        <w:rPr>
          <w:rFonts w:hint="cs"/>
          <w:rtl/>
        </w:rPr>
        <w:t>فرانامه</w:t>
      </w:r>
      <w:r w:rsidRPr="0025250D">
        <w:rPr>
          <w:rFonts w:hint="cs"/>
          <w:rtl/>
        </w:rPr>
        <w:t xml:space="preserve"> که خیلی بد نوشته شده باشد می‌تواند تنها در چند جمله نادیده گرفتن روند‌های کلیدی یا آینده‌های قابل اجتناب توسط نویسنده را نشان دهد و نشانه‌ای برای خواننده باشد که داستانی که در حال خواندن آن است یک داستان تخیلی درمورد آینده است، نه یک واقعیت شدنی و باورپذیر.</w:t>
      </w:r>
    </w:p>
    <w:p w14:paraId="2F092FFF" w14:textId="75BE01C4" w:rsidR="00537CC8" w:rsidRPr="0025250D" w:rsidRDefault="00701E03" w:rsidP="00537CC8">
      <w:pPr>
        <w:rPr>
          <w:rtl/>
        </w:rPr>
      </w:pPr>
      <w:r w:rsidRPr="0025250D">
        <w:rPr>
          <w:rFonts w:hint="cs"/>
          <w:rtl/>
        </w:rPr>
        <w:t>فرانامه</w:t>
      </w:r>
      <w:r w:rsidR="00537CC8" w:rsidRPr="0025250D">
        <w:rPr>
          <w:rFonts w:hint="cs"/>
          <w:rtl/>
        </w:rPr>
        <w:t xml:space="preserve">‌ها باید تنها پس از این </w:t>
      </w:r>
      <w:r w:rsidR="005833B1" w:rsidRPr="0025250D">
        <w:rPr>
          <w:rFonts w:hint="cs"/>
          <w:rtl/>
        </w:rPr>
        <w:t xml:space="preserve">توسعه داده شوند </w:t>
      </w:r>
      <w:r w:rsidR="00537CC8" w:rsidRPr="0025250D">
        <w:rPr>
          <w:rFonts w:hint="cs"/>
          <w:rtl/>
        </w:rPr>
        <w:t xml:space="preserve">که یک متخصص </w:t>
      </w:r>
      <w:r w:rsidR="00537CC8" w:rsidRPr="0025250D">
        <w:rPr>
          <w:rtl/>
        </w:rPr>
        <w:t>آینده‌نگاری</w:t>
      </w:r>
      <w:r w:rsidR="00537CC8" w:rsidRPr="0025250D">
        <w:rPr>
          <w:rFonts w:hint="cs"/>
          <w:rtl/>
        </w:rPr>
        <w:t xml:space="preserve"> انواع </w:t>
      </w:r>
      <w:r w:rsidR="00537CC8" w:rsidRPr="0025250D">
        <w:rPr>
          <w:rtl/>
        </w:rPr>
        <w:t>آینده‌نگاری</w:t>
      </w:r>
      <w:r w:rsidR="00537CC8" w:rsidRPr="0025250D">
        <w:rPr>
          <w:rFonts w:hint="cs"/>
          <w:rtl/>
        </w:rPr>
        <w:t xml:space="preserve"> </w:t>
      </w:r>
      <w:r w:rsidR="004F67D4" w:rsidRPr="0025250D">
        <w:rPr>
          <w:rFonts w:hint="cs"/>
          <w:rtl/>
        </w:rPr>
        <w:t xml:space="preserve">موارد </w:t>
      </w:r>
      <w:r w:rsidR="00537CC8" w:rsidRPr="0025250D">
        <w:rPr>
          <w:rFonts w:hint="cs"/>
          <w:rtl/>
        </w:rPr>
        <w:t xml:space="preserve">محتملی را </w:t>
      </w:r>
      <w:r w:rsidR="005833B1" w:rsidRPr="0025250D">
        <w:rPr>
          <w:rFonts w:hint="cs"/>
          <w:rtl/>
        </w:rPr>
        <w:t xml:space="preserve">که </w:t>
      </w:r>
      <w:r w:rsidR="00537CC8" w:rsidRPr="0025250D">
        <w:rPr>
          <w:rFonts w:hint="cs"/>
          <w:rtl/>
        </w:rPr>
        <w:t xml:space="preserve">به این داستان مرتبط </w:t>
      </w:r>
      <w:r w:rsidR="005833B1" w:rsidRPr="0025250D">
        <w:rPr>
          <w:rFonts w:hint="cs"/>
          <w:rtl/>
        </w:rPr>
        <w:t>هستند</w:t>
      </w:r>
      <w:r w:rsidR="00537CC8" w:rsidRPr="0025250D">
        <w:rPr>
          <w:rFonts w:hint="cs"/>
          <w:rtl/>
        </w:rPr>
        <w:t xml:space="preserve"> بررسی کرده باشد. آن‌ها همچنین باید به شکل هوشمندانه‌ای آینده‌های ممکن باورپذیر اما متفاوت و دورنمای </w:t>
      </w:r>
      <w:r w:rsidR="00537CC8" w:rsidRPr="0025250D">
        <w:rPr>
          <w:rtl/>
        </w:rPr>
        <w:t>ترج</w:t>
      </w:r>
      <w:r w:rsidR="00537CC8" w:rsidRPr="0025250D">
        <w:rPr>
          <w:rFonts w:hint="cs"/>
          <w:rtl/>
        </w:rPr>
        <w:t>ی</w:t>
      </w:r>
      <w:r w:rsidR="00537CC8" w:rsidRPr="0025250D">
        <w:rPr>
          <w:rFonts w:hint="eastAsia"/>
          <w:rtl/>
        </w:rPr>
        <w:t>ح</w:t>
      </w:r>
      <w:r w:rsidR="00537CC8" w:rsidRPr="0025250D">
        <w:rPr>
          <w:rFonts w:hint="cs"/>
          <w:rtl/>
        </w:rPr>
        <w:t>ی</w:t>
      </w:r>
      <w:r w:rsidR="00537CC8" w:rsidRPr="0025250D">
        <w:rPr>
          <w:rtl/>
        </w:rPr>
        <w:t xml:space="preserve"> رقابت و همکار</w:t>
      </w:r>
      <w:r w:rsidR="00537CC8" w:rsidRPr="0025250D">
        <w:rPr>
          <w:rFonts w:hint="cs"/>
          <w:rtl/>
        </w:rPr>
        <w:t xml:space="preserve">ی در ارتباط با آینده مورد نظر را بررسی کنند. اگر آن‌ها کار خود را با یادگیری (تحقیق) آغاز نکنند، احتمالا </w:t>
      </w:r>
      <w:r w:rsidR="0008779C" w:rsidRPr="0025250D">
        <w:rPr>
          <w:rFonts w:hint="cs"/>
          <w:rtl/>
        </w:rPr>
        <w:t>واقع‌گرا</w:t>
      </w:r>
      <w:r w:rsidR="00537CC8" w:rsidRPr="0025250D">
        <w:rPr>
          <w:rFonts w:hint="cs"/>
          <w:rtl/>
        </w:rPr>
        <w:t>یانه نخواهند بود. عرضه چنین داستان‌هایی به‌عنوان یک داستان شدنی، وقتی یک مخاطب با تکیه بر مدارک و شواهد می‌تواند به سرعت عناصر نادرست در داستان ما را رد کند، زیان بار است.</w:t>
      </w:r>
    </w:p>
    <w:p w14:paraId="0E83219B" w14:textId="06B5BBD6" w:rsidR="00537CC8" w:rsidRPr="0025250D" w:rsidRDefault="00537CC8" w:rsidP="00537CC8">
      <w:pPr>
        <w:rPr>
          <w:rtl/>
        </w:rPr>
      </w:pPr>
      <w:r w:rsidRPr="0025250D">
        <w:rPr>
          <w:rFonts w:hint="cs"/>
          <w:rtl/>
        </w:rPr>
        <w:t xml:space="preserve">یک راه برای شناسایی داستان‌های آینده نادرست پرسیدن این نکته است که آیا آن‌ها به شکل مناسبی فرایند تکاملی و توسعه را متوازن می‌سازند یا خیر. هم آینده‌های واگرا و هم یک آینده همگرا همواره در پیش روی ما قرار دارند. در فصل 5، </w:t>
      </w:r>
      <w:r w:rsidR="00B13F65" w:rsidRPr="0025250D">
        <w:rPr>
          <w:rFonts w:hint="cs"/>
          <w:rtl/>
        </w:rPr>
        <w:t>چارچوب</w:t>
      </w:r>
      <w:r w:rsidRPr="0025250D">
        <w:rPr>
          <w:rFonts w:hint="cs"/>
          <w:rtl/>
        </w:rPr>
        <w:t xml:space="preserve"> چهار آینده</w:t>
      </w:r>
      <w:r w:rsidRPr="0025250D">
        <w:rPr>
          <w:vertAlign w:val="superscript"/>
          <w:rtl/>
        </w:rPr>
        <w:footnoteReference w:id="1861"/>
      </w:r>
      <w:r w:rsidRPr="0025250D">
        <w:rPr>
          <w:rFonts w:hint="cs"/>
          <w:rtl/>
        </w:rPr>
        <w:t xml:space="preserve"> </w:t>
      </w:r>
      <w:r w:rsidRPr="0025250D">
        <w:rPr>
          <w:rtl/>
        </w:rPr>
        <w:t>داتور</w:t>
      </w:r>
      <w:r w:rsidRPr="0025250D">
        <w:rPr>
          <w:vertAlign w:val="superscript"/>
          <w:rtl/>
        </w:rPr>
        <w:footnoteReference w:id="1862"/>
      </w:r>
      <w:r w:rsidRPr="0025250D">
        <w:rPr>
          <w:rFonts w:hint="cs"/>
          <w:rtl/>
        </w:rPr>
        <w:t xml:space="preserve"> را مورد بحث قرار خواهیم داد. هر یک از آینده‌های </w:t>
      </w:r>
      <w:r w:rsidRPr="0025250D">
        <w:rPr>
          <w:rtl/>
        </w:rPr>
        <w:t>داتور</w:t>
      </w:r>
      <w:r w:rsidRPr="0025250D">
        <w:rPr>
          <w:rFonts w:hint="cs"/>
          <w:rtl/>
        </w:rPr>
        <w:t xml:space="preserve"> همواره، برای بازیگران مختلفی، در حال وقوع هستند. هر چهار داستان مستحق </w:t>
      </w:r>
      <w:r w:rsidR="005833B1" w:rsidRPr="0025250D">
        <w:rPr>
          <w:rFonts w:hint="cs"/>
          <w:rtl/>
        </w:rPr>
        <w:t>این هستند که نقل شوند</w:t>
      </w:r>
      <w:r w:rsidRPr="0025250D">
        <w:rPr>
          <w:rFonts w:hint="cs"/>
          <w:rtl/>
        </w:rPr>
        <w:t xml:space="preserve">. یک راه دیگر بررسی انگیزه‌های داستان سرا است. اگر </w:t>
      </w:r>
      <w:r w:rsidR="005833B1" w:rsidRPr="0025250D">
        <w:rPr>
          <w:rFonts w:hint="cs"/>
          <w:rtl/>
        </w:rPr>
        <w:t>بازیگران</w:t>
      </w:r>
      <w:r w:rsidRPr="0025250D">
        <w:rPr>
          <w:rFonts w:hint="cs"/>
          <w:rtl/>
        </w:rPr>
        <w:t xml:space="preserve"> </w:t>
      </w:r>
      <w:r w:rsidR="00F50EB4" w:rsidRPr="0025250D">
        <w:rPr>
          <w:rFonts w:hint="cs"/>
          <w:rtl/>
        </w:rPr>
        <w:t>سرمایه‌گذاری</w:t>
      </w:r>
      <w:r w:rsidRPr="0025250D">
        <w:rPr>
          <w:rFonts w:hint="cs"/>
          <w:rtl/>
        </w:rPr>
        <w:t xml:space="preserve"> خاصی بر روی یک آینده مشخص داشته باشند یا شیفته یک آینده خاص باشند، ممکن است برای بیان داستانی بدون در نظر گرفتن شواهدی که بر ضد آن وجود دارند برانگیخته شوند. مؤثر‌ترین راه برای شناسایی داستان‌های نادرست قرا</w:t>
      </w:r>
      <w:r w:rsidR="005833B1" w:rsidRPr="0025250D">
        <w:rPr>
          <w:rFonts w:hint="cs"/>
          <w:rtl/>
        </w:rPr>
        <w:t>ر</w:t>
      </w:r>
      <w:r w:rsidRPr="0025250D">
        <w:rPr>
          <w:rFonts w:hint="cs"/>
          <w:rtl/>
        </w:rPr>
        <w:t xml:space="preserve"> دادن آن‌ها در معرض نقد دقیق، آزاد و متنوع از نظر شناختی است. به این ترتیب داستان‌های نادرست بسیار سریع توسط متخصصین در هر جمعیتی شناسایی می‌شوند. از آن پس تنها معتقدین واقعی، افر</w:t>
      </w:r>
      <w:r w:rsidR="005833B1" w:rsidRPr="0025250D">
        <w:rPr>
          <w:rFonts w:hint="cs"/>
          <w:rtl/>
        </w:rPr>
        <w:t>ا</w:t>
      </w:r>
      <w:r w:rsidRPr="0025250D">
        <w:rPr>
          <w:rFonts w:hint="cs"/>
          <w:rtl/>
        </w:rPr>
        <w:t>دی که از نظر مالی یا شهرت ازاین داستان سود می‌برند و کسانی که به دنبال سرگرمی یا کشمکش هستن</w:t>
      </w:r>
      <w:r w:rsidR="005833B1" w:rsidRPr="0025250D">
        <w:rPr>
          <w:rFonts w:hint="cs"/>
          <w:rtl/>
        </w:rPr>
        <w:t>د</w:t>
      </w:r>
      <w:r w:rsidRPr="0025250D">
        <w:rPr>
          <w:rFonts w:hint="cs"/>
          <w:rtl/>
        </w:rPr>
        <w:t xml:space="preserve"> به بیان آن ادامه خواهند داد.</w:t>
      </w:r>
    </w:p>
    <w:p w14:paraId="57ACF439" w14:textId="575D9C73" w:rsidR="00537CC8" w:rsidRPr="0025250D" w:rsidRDefault="00537CC8" w:rsidP="00BE4252">
      <w:pPr>
        <w:rPr>
          <w:rtl/>
        </w:rPr>
      </w:pPr>
      <w:r w:rsidRPr="0025250D">
        <w:rPr>
          <w:rFonts w:hint="cs"/>
          <w:rtl/>
        </w:rPr>
        <w:t xml:space="preserve">البته، تنها این که یک داستان نادرست است به این معنی نیست که تأثیر عمیق یا با دوامی بر آینده نخواهد داشت- یا این که می‌توانیم </w:t>
      </w:r>
      <w:r w:rsidR="00B0171C" w:rsidRPr="0025250D">
        <w:rPr>
          <w:rFonts w:hint="cs"/>
          <w:rtl/>
        </w:rPr>
        <w:t>به‌سادگی</w:t>
      </w:r>
      <w:r w:rsidRPr="0025250D">
        <w:rPr>
          <w:rFonts w:hint="cs"/>
          <w:rtl/>
        </w:rPr>
        <w:t xml:space="preserve"> بیان آن را با آشکارکردن ایرادهایش متوقف کنیم. همه ما از بیان داستان‌هایی که مشخصاً تا</w:t>
      </w:r>
      <w:r w:rsidR="008D6F97" w:rsidRPr="0025250D">
        <w:rPr>
          <w:rtl/>
        </w:rPr>
        <w:t xml:space="preserve"> </w:t>
      </w:r>
      <w:r w:rsidRPr="0025250D">
        <w:rPr>
          <w:rFonts w:hint="cs"/>
          <w:rtl/>
        </w:rPr>
        <w:t xml:space="preserve">حدی دچار اشکال هستند و می‌توانند در خدمت نیاز‌های اخلاقی یا </w:t>
      </w:r>
      <w:r w:rsidR="00BE4252" w:rsidRPr="0025250D">
        <w:rPr>
          <w:rFonts w:hint="cs"/>
          <w:rtl/>
        </w:rPr>
        <w:t>هیجانی</w:t>
      </w:r>
      <w:r w:rsidRPr="0025250D">
        <w:rPr>
          <w:rFonts w:hint="cs"/>
          <w:rtl/>
        </w:rPr>
        <w:t xml:space="preserve"> خاصی باشند سود می‌بریم. این نکته درمورد بسیاری از داستان‌های سیاسی، مذهبی و انگیزشی ما صحیح است. ما به بسیاری از داستان‌ها نه به دلیل حقیقت ادبی آن‌ها (که ممکن است احساس کنیم نمی‌توانیم آن را ارزیابی کنیم)، بلکه به دلیل مزایای اجتماعی، جمعی و </w:t>
      </w:r>
      <w:r w:rsidR="001A3F0A" w:rsidRPr="0025250D">
        <w:rPr>
          <w:rFonts w:hint="cs"/>
          <w:rtl/>
        </w:rPr>
        <w:t>فردی</w:t>
      </w:r>
      <w:r w:rsidRPr="0025250D">
        <w:rPr>
          <w:rFonts w:hint="cs"/>
          <w:rtl/>
        </w:rPr>
        <w:t xml:space="preserve"> آن‌ها باور داریم. با این وجود، اهداف</w:t>
      </w:r>
      <w:r w:rsidR="008D6F97" w:rsidRPr="0025250D">
        <w:rPr>
          <w:rtl/>
        </w:rPr>
        <w:t xml:space="preserve"> </w:t>
      </w:r>
      <w:r w:rsidRPr="0025250D">
        <w:t>IES</w:t>
      </w:r>
      <w:r w:rsidRPr="0025250D">
        <w:rPr>
          <w:rFonts w:hint="cs"/>
          <w:rtl/>
        </w:rPr>
        <w:t xml:space="preserve"> بیان می‌کنند که با </w:t>
      </w:r>
      <w:r w:rsidR="005833B1" w:rsidRPr="0025250D">
        <w:rPr>
          <w:rFonts w:hint="cs"/>
          <w:rtl/>
        </w:rPr>
        <w:t xml:space="preserve">تکیه بیشتر داستان‌هایمان </w:t>
      </w:r>
      <w:r w:rsidRPr="0025250D">
        <w:rPr>
          <w:rFonts w:hint="cs"/>
          <w:rtl/>
        </w:rPr>
        <w:t xml:space="preserve"> بر شواهد و در بر گرفتن همه ارزش‌های فراگیرمان پیشرفت می‌کنیم. اشاره به بخش‌های حقیقی و سودمند یک داستان و همزمان آشکار کردن اشتباهات و مضرات آن، راه خوبی برای اصلاح و بهبود آن است. چند مثال از داستان‌های نادرست به اعتقاد ما در این جا می‌تواند مفید باشد.</w:t>
      </w:r>
    </w:p>
    <w:p w14:paraId="21222266" w14:textId="38763589" w:rsidR="00537CC8" w:rsidRPr="0025250D" w:rsidRDefault="00537CC8" w:rsidP="00BE4252">
      <w:pPr>
        <w:rPr>
          <w:b/>
          <w:bCs/>
          <w:rtl/>
        </w:rPr>
      </w:pPr>
      <w:r w:rsidRPr="0025250D">
        <w:rPr>
          <w:rFonts w:hint="cs"/>
          <w:b/>
          <w:bCs/>
          <w:rtl/>
        </w:rPr>
        <w:t>شناسایی عناصر داستانی نادرست</w:t>
      </w:r>
      <w:r w:rsidR="00BE4252" w:rsidRPr="0025250D">
        <w:rPr>
          <w:rFonts w:hint="cs"/>
          <w:b/>
          <w:bCs/>
          <w:rtl/>
        </w:rPr>
        <w:t xml:space="preserve"> در یک مثال</w:t>
      </w:r>
      <w:r w:rsidRPr="0025250D">
        <w:rPr>
          <w:rFonts w:hint="cs"/>
          <w:b/>
          <w:bCs/>
          <w:rtl/>
        </w:rPr>
        <w:t>: فناناپذ</w:t>
      </w:r>
      <w:r w:rsidR="005833B1" w:rsidRPr="0025250D">
        <w:rPr>
          <w:rFonts w:hint="cs"/>
          <w:b/>
          <w:bCs/>
          <w:rtl/>
        </w:rPr>
        <w:t>ی</w:t>
      </w:r>
      <w:r w:rsidRPr="0025250D">
        <w:rPr>
          <w:rFonts w:hint="cs"/>
          <w:b/>
          <w:bCs/>
          <w:rtl/>
        </w:rPr>
        <w:t>ری زیستی انسان</w:t>
      </w:r>
    </w:p>
    <w:p w14:paraId="358E67EA" w14:textId="011AB8FF" w:rsidR="00537CC8" w:rsidRPr="0025250D" w:rsidRDefault="00537CC8" w:rsidP="00537CC8">
      <w:pPr>
        <w:rPr>
          <w:rtl/>
        </w:rPr>
      </w:pPr>
      <w:r w:rsidRPr="0025250D">
        <w:rPr>
          <w:rFonts w:hint="cs"/>
          <w:rtl/>
        </w:rPr>
        <w:t>داستان‌های مربوط به طول عمر انسان را در نظر بگیرید. فنا ناپذریی</w:t>
      </w:r>
      <w:r w:rsidRPr="0025250D">
        <w:rPr>
          <w:rtl/>
        </w:rPr>
        <w:t xml:space="preserve"> </w:t>
      </w:r>
      <w:r w:rsidRPr="0025250D">
        <w:rPr>
          <w:rFonts w:hint="cs"/>
          <w:rtl/>
        </w:rPr>
        <w:t xml:space="preserve">زیستی یک داستان محبوب اما نادرست است که توسط </w:t>
      </w:r>
      <w:r w:rsidR="00D92F6E" w:rsidRPr="0025250D">
        <w:rPr>
          <w:rFonts w:hint="cs"/>
          <w:rtl/>
        </w:rPr>
        <w:t>آینده‌پژوه</w:t>
      </w:r>
      <w:r w:rsidRPr="0025250D">
        <w:rPr>
          <w:rFonts w:hint="cs"/>
          <w:rtl/>
        </w:rPr>
        <w:t xml:space="preserve">انی </w:t>
      </w:r>
      <w:r w:rsidR="0008779C" w:rsidRPr="0025250D">
        <w:rPr>
          <w:rFonts w:hint="cs"/>
          <w:rtl/>
        </w:rPr>
        <w:t>علاقه‌مند</w:t>
      </w:r>
      <w:r w:rsidRPr="0025250D">
        <w:rPr>
          <w:rFonts w:hint="cs"/>
          <w:rtl/>
        </w:rPr>
        <w:t xml:space="preserve"> به این موضوع مانند </w:t>
      </w:r>
      <w:r w:rsidRPr="0025250D">
        <w:rPr>
          <w:rtl/>
        </w:rPr>
        <w:t>اوبر</w:t>
      </w:r>
      <w:r w:rsidRPr="0025250D">
        <w:rPr>
          <w:rFonts w:hint="cs"/>
          <w:rtl/>
        </w:rPr>
        <w:t>ی</w:t>
      </w:r>
      <w:r w:rsidRPr="0025250D">
        <w:rPr>
          <w:rtl/>
        </w:rPr>
        <w:t xml:space="preserve"> د</w:t>
      </w:r>
      <w:r w:rsidRPr="0025250D">
        <w:rPr>
          <w:rFonts w:hint="cs"/>
          <w:rtl/>
        </w:rPr>
        <w:t>ی</w:t>
      </w:r>
      <w:r w:rsidRPr="0025250D">
        <w:rPr>
          <w:rtl/>
        </w:rPr>
        <w:t xml:space="preserve"> گر</w:t>
      </w:r>
      <w:r w:rsidRPr="0025250D">
        <w:rPr>
          <w:rFonts w:hint="cs"/>
          <w:rtl/>
        </w:rPr>
        <w:t>ی</w:t>
      </w:r>
      <w:r w:rsidRPr="0025250D">
        <w:rPr>
          <w:vertAlign w:val="superscript"/>
          <w:rtl/>
        </w:rPr>
        <w:footnoteReference w:id="1863"/>
      </w:r>
      <w:r w:rsidRPr="0025250D">
        <w:rPr>
          <w:rFonts w:hint="cs"/>
          <w:rtl/>
        </w:rPr>
        <w:t xml:space="preserve">، طرح غیر انتفاعی </w:t>
      </w:r>
      <w:r w:rsidRPr="0025250D">
        <w:t>SENS</w:t>
      </w:r>
      <w:r w:rsidRPr="0025250D">
        <w:rPr>
          <w:rFonts w:hint="cs"/>
          <w:rtl/>
        </w:rPr>
        <w:t xml:space="preserve"> او (</w:t>
      </w:r>
      <w:r w:rsidR="00701E03" w:rsidRPr="0025250D">
        <w:rPr>
          <w:rFonts w:hint="cs"/>
          <w:rtl/>
        </w:rPr>
        <w:t>راهبرد</w:t>
      </w:r>
      <w:r w:rsidRPr="0025250D">
        <w:rPr>
          <w:rFonts w:hint="cs"/>
          <w:rtl/>
        </w:rPr>
        <w:t xml:space="preserve">‌هایی برای </w:t>
      </w:r>
      <w:r w:rsidR="005B1DA7" w:rsidRPr="0025250D">
        <w:rPr>
          <w:rtl/>
        </w:rPr>
        <w:t>«</w:t>
      </w:r>
      <w:r w:rsidRPr="0025250D">
        <w:rPr>
          <w:rFonts w:hint="cs"/>
          <w:rtl/>
        </w:rPr>
        <w:t>پیری ناچیز</w:t>
      </w:r>
      <w:r w:rsidR="005B1DA7" w:rsidRPr="0025250D">
        <w:rPr>
          <w:rtl/>
        </w:rPr>
        <w:t>»</w:t>
      </w:r>
      <w:r w:rsidRPr="0025250D">
        <w:rPr>
          <w:rFonts w:hint="cs"/>
          <w:rtl/>
        </w:rPr>
        <w:t xml:space="preserve"> مهندسی شده</w:t>
      </w:r>
      <w:r w:rsidRPr="0025250D">
        <w:rPr>
          <w:vertAlign w:val="superscript"/>
          <w:rtl/>
        </w:rPr>
        <w:footnoteReference w:id="1864"/>
      </w:r>
      <w:r w:rsidRPr="0025250D">
        <w:rPr>
          <w:rFonts w:hint="cs"/>
          <w:rtl/>
        </w:rPr>
        <w:t>) و دیگران ترویج می‌شود</w:t>
      </w:r>
      <w:r w:rsidR="008D6F97" w:rsidRPr="0025250D">
        <w:rPr>
          <w:rtl/>
        </w:rPr>
        <w:t xml:space="preserve">؛ </w:t>
      </w:r>
      <w:r w:rsidRPr="0025250D">
        <w:rPr>
          <w:rFonts w:hint="cs"/>
          <w:rtl/>
        </w:rPr>
        <w:t>اما از هر زیست شناس مولکولی که خواستید درمورد اصلاح خطاهای ناکامل انباشت زباله‌های تدریجی که به شکل اجتناب ناپذیری در هر سلول زیستی متمایز در طول عمر آن رخ می‌دهد</w:t>
      </w:r>
      <w:r w:rsidR="005833B1" w:rsidRPr="0025250D">
        <w:rPr>
          <w:rFonts w:hint="cs"/>
          <w:rtl/>
        </w:rPr>
        <w:t>،</w:t>
      </w:r>
      <w:r w:rsidRPr="0025250D">
        <w:rPr>
          <w:rFonts w:hint="cs"/>
          <w:rtl/>
        </w:rPr>
        <w:t xml:space="preserve"> </w:t>
      </w:r>
      <w:r w:rsidR="005833B1" w:rsidRPr="0025250D">
        <w:rPr>
          <w:rFonts w:hint="cs"/>
          <w:rtl/>
        </w:rPr>
        <w:t>سوال کنید و پس از آن</w:t>
      </w:r>
      <w:r w:rsidRPr="0025250D">
        <w:rPr>
          <w:rFonts w:hint="cs"/>
          <w:rtl/>
        </w:rPr>
        <w:t xml:space="preserve"> دیدن این که دست یابی به این هدف برای انسان‌ها غیر ممکن است آسان خواهد بود. ما هنوز دهه‌ها با یک علم </w:t>
      </w:r>
      <w:r w:rsidR="00D92F6E" w:rsidRPr="0025250D">
        <w:rPr>
          <w:rFonts w:hint="cs"/>
          <w:rtl/>
        </w:rPr>
        <w:t>پیش‌بین</w:t>
      </w:r>
      <w:r w:rsidRPr="0025250D">
        <w:rPr>
          <w:rFonts w:hint="cs"/>
          <w:rtl/>
        </w:rPr>
        <w:t xml:space="preserve"> خوب برای سلول‌ها فاصله داریم.</w:t>
      </w:r>
    </w:p>
    <w:p w14:paraId="33355313" w14:textId="40E76336" w:rsidR="00537CC8" w:rsidRPr="0025250D" w:rsidRDefault="0020589F" w:rsidP="00537CC8">
      <w:pPr>
        <w:rPr>
          <w:rtl/>
        </w:rPr>
      </w:pPr>
      <w:r w:rsidRPr="0025250D">
        <w:rPr>
          <w:rtl/>
        </w:rPr>
        <w:t>بله</w:t>
      </w:r>
      <w:r w:rsidR="00537CC8" w:rsidRPr="0025250D">
        <w:rPr>
          <w:rFonts w:hint="cs"/>
          <w:rtl/>
        </w:rPr>
        <w:t xml:space="preserve"> امروزه در حال یادگیری این هستیم که تا حدی سلول‌ها و بافت‌ها را جوان سازی کنیم و داروها و پزشکی ضد پیری، طول عمر و جوان سازی یک زمینه لازم و در حال گسترش هستند</w:t>
      </w:r>
      <w:r w:rsidR="008D6F97" w:rsidRPr="0025250D">
        <w:rPr>
          <w:rtl/>
        </w:rPr>
        <w:t xml:space="preserve">؛ </w:t>
      </w:r>
      <w:r w:rsidR="00537CC8" w:rsidRPr="0025250D">
        <w:rPr>
          <w:rFonts w:hint="cs"/>
          <w:rtl/>
        </w:rPr>
        <w:t xml:space="preserve">اما متخصصین می‌دانند که درمان‌های ما در همه ارگانیسم‌های پیچیده‌ای که برای بازیافت خود به شکل دوره‌ای تکامل </w:t>
      </w:r>
      <w:r w:rsidR="0008779C" w:rsidRPr="0025250D">
        <w:rPr>
          <w:rFonts w:hint="cs"/>
          <w:rtl/>
        </w:rPr>
        <w:t>یافته‌اند</w:t>
      </w:r>
      <w:r w:rsidR="00537CC8" w:rsidRPr="0025250D">
        <w:rPr>
          <w:rFonts w:hint="cs"/>
          <w:rtl/>
        </w:rPr>
        <w:t xml:space="preserve"> چقدر محدود هستند. مطمئنا می‌توانیم دهه‌های متعدد بیش‌تری طول عمر سالم را افزایش دهیم. اکنون در حال یادگیری این هستیم که چگونه پیری پس زایشی</w:t>
      </w:r>
      <w:r w:rsidR="00537CC8" w:rsidRPr="0025250D">
        <w:rPr>
          <w:vertAlign w:val="superscript"/>
          <w:rtl/>
        </w:rPr>
        <w:footnoteReference w:id="1865"/>
      </w:r>
      <w:r w:rsidR="00537CC8" w:rsidRPr="0025250D">
        <w:rPr>
          <w:rFonts w:hint="cs"/>
          <w:rtl/>
        </w:rPr>
        <w:t xml:space="preserve"> در سطح سلولی را اندازه‌گیری کرده و تا حدی آن را معکوس کنیم و نیروی جوانی مفید بیش‌تری برای سلول‌ها فراهم کنیم.</w:t>
      </w:r>
    </w:p>
    <w:p w14:paraId="1FC0DC4B" w14:textId="14631D2A" w:rsidR="00537CC8" w:rsidRPr="0025250D" w:rsidRDefault="00537CC8" w:rsidP="00537CC8">
      <w:pPr>
        <w:rPr>
          <w:rtl/>
        </w:rPr>
      </w:pPr>
      <w:r w:rsidRPr="0025250D">
        <w:rPr>
          <w:rFonts w:hint="cs"/>
          <w:rtl/>
        </w:rPr>
        <w:t xml:space="preserve">ممکن است بتوانیم کاملا خون و </w:t>
      </w:r>
      <w:r w:rsidR="008D6F97" w:rsidRPr="0025250D">
        <w:rPr>
          <w:rFonts w:hint="cs"/>
          <w:rtl/>
        </w:rPr>
        <w:t>سامانه‌</w:t>
      </w:r>
      <w:r w:rsidRPr="0025250D">
        <w:rPr>
          <w:rFonts w:hint="cs"/>
          <w:rtl/>
        </w:rPr>
        <w:t xml:space="preserve">‌های ایمنی خود را با </w:t>
      </w:r>
      <w:r w:rsidR="00B124DE" w:rsidRPr="0025250D">
        <w:rPr>
          <w:rFonts w:hint="cs"/>
          <w:rtl/>
        </w:rPr>
        <w:t>برنامه‌ریزی</w:t>
      </w:r>
      <w:r w:rsidRPr="0025250D">
        <w:rPr>
          <w:rFonts w:hint="cs"/>
          <w:rtl/>
        </w:rPr>
        <w:t xml:space="preserve"> مجدد سلول‌</w:t>
      </w:r>
      <w:r w:rsidR="005833B1" w:rsidRPr="0025250D">
        <w:rPr>
          <w:rFonts w:hint="cs"/>
          <w:rtl/>
        </w:rPr>
        <w:t>ه</w:t>
      </w:r>
      <w:r w:rsidRPr="0025250D">
        <w:rPr>
          <w:rFonts w:hint="cs"/>
          <w:rtl/>
        </w:rPr>
        <w:t>ای بنیادی جوان سازی کنیم</w:t>
      </w:r>
      <w:r w:rsidR="008D6F97" w:rsidRPr="0025250D">
        <w:rPr>
          <w:rtl/>
        </w:rPr>
        <w:t xml:space="preserve">؛ </w:t>
      </w:r>
      <w:r w:rsidRPr="0025250D">
        <w:rPr>
          <w:rFonts w:hint="cs"/>
          <w:rtl/>
        </w:rPr>
        <w:t>اما نخواهیم توانست از این فرایند‌ها برای جوان سازی قابل توجه ساختار‌های پس رشتمانی</w:t>
      </w:r>
      <w:r w:rsidRPr="0025250D">
        <w:rPr>
          <w:vertAlign w:val="superscript"/>
          <w:rtl/>
        </w:rPr>
        <w:footnoteReference w:id="1866"/>
      </w:r>
      <w:r w:rsidRPr="0025250D">
        <w:rPr>
          <w:rFonts w:hint="cs"/>
          <w:rtl/>
        </w:rPr>
        <w:t xml:space="preserve"> پیچیده‌ای مانند مغز انسان استفاده کنیم. با طراحی فعلی، به مرور زمان همه سلول‌های متمایز</w:t>
      </w:r>
      <w:r w:rsidR="00C21187" w:rsidRPr="0025250D">
        <w:rPr>
          <w:rFonts w:hint="cs"/>
          <w:rtl/>
        </w:rPr>
        <w:t>،</w:t>
      </w:r>
      <w:r w:rsidRPr="0025250D">
        <w:rPr>
          <w:rFonts w:hint="cs"/>
          <w:rtl/>
        </w:rPr>
        <w:t xml:space="preserve"> انتروپی</w:t>
      </w:r>
      <w:r w:rsidRPr="0025250D">
        <w:rPr>
          <w:vertAlign w:val="superscript"/>
          <w:rtl/>
        </w:rPr>
        <w:footnoteReference w:id="1867"/>
      </w:r>
      <w:r w:rsidRPr="0025250D">
        <w:rPr>
          <w:rFonts w:hint="cs"/>
          <w:rtl/>
        </w:rPr>
        <w:t xml:space="preserve"> (بی نظمی) مولکولی تجمعی یافته و در نهایت می‌میرند.</w:t>
      </w:r>
    </w:p>
    <w:p w14:paraId="44CFDB4C" w14:textId="62C5DF95" w:rsidR="00537CC8" w:rsidRPr="0025250D" w:rsidRDefault="0020589F" w:rsidP="00537CC8">
      <w:pPr>
        <w:rPr>
          <w:rtl/>
        </w:rPr>
      </w:pPr>
      <w:r w:rsidRPr="0025250D">
        <w:rPr>
          <w:rtl/>
        </w:rPr>
        <w:t>بله</w:t>
      </w:r>
      <w:r w:rsidR="00537CC8" w:rsidRPr="0025250D">
        <w:rPr>
          <w:rFonts w:hint="cs"/>
          <w:rtl/>
        </w:rPr>
        <w:t xml:space="preserve"> برخی هوش‌های ماشینی آینده، با ظرفیت پردازش کوانتومی پیشرفته، از جمله توانایی شبیه سازی گسترده پویایی مولکولی و توانایی طراحی مجدد </w:t>
      </w:r>
      <w:r w:rsidR="00537CC8" w:rsidRPr="0025250D">
        <w:t>DNA</w:t>
      </w:r>
      <w:r w:rsidR="00537CC8" w:rsidRPr="0025250D">
        <w:rPr>
          <w:rFonts w:hint="cs"/>
          <w:rtl/>
        </w:rPr>
        <w:t xml:space="preserve"> ما، می‌توانند در آینده دور این واقعیت تأسف بار را تغییر دهند</w:t>
      </w:r>
      <w:r w:rsidR="008D6F97" w:rsidRPr="0025250D">
        <w:rPr>
          <w:rtl/>
        </w:rPr>
        <w:t xml:space="preserve">؛ </w:t>
      </w:r>
      <w:r w:rsidRPr="0025250D">
        <w:rPr>
          <w:rtl/>
        </w:rPr>
        <w:t>اما</w:t>
      </w:r>
      <w:r w:rsidR="00537CC8" w:rsidRPr="0025250D">
        <w:rPr>
          <w:rFonts w:hint="cs"/>
          <w:rtl/>
        </w:rPr>
        <w:t xml:space="preserve"> ما انسان‌ها هیچ شانسی برای انجام این کار در آینده نزدیک و قابل </w:t>
      </w:r>
      <w:r w:rsidR="00D92F6E" w:rsidRPr="0025250D">
        <w:rPr>
          <w:rFonts w:hint="cs"/>
          <w:rtl/>
        </w:rPr>
        <w:t>پیش‌بین</w:t>
      </w:r>
      <w:r w:rsidR="00537CC8" w:rsidRPr="0025250D">
        <w:rPr>
          <w:rFonts w:hint="cs"/>
          <w:rtl/>
        </w:rPr>
        <w:t>ی نداریم. ما حتی نمی‌توانیم کاری کنیم که بیولوژی مصنوعی در سطح سلول‌های واحد به‌خوبی کار کند. بسیاری از مردم آرزو دارند که بتوانیم از نظر زیستی فنا ناپذیر شویم، اما آرزو داشتن این کار را شدنی نمی‌سازد.</w:t>
      </w:r>
    </w:p>
    <w:p w14:paraId="751CD955" w14:textId="381B986D" w:rsidR="00537CC8" w:rsidRPr="0025250D" w:rsidRDefault="00537CC8" w:rsidP="00537CC8">
      <w:pPr>
        <w:rPr>
          <w:rtl/>
        </w:rPr>
      </w:pPr>
      <w:r w:rsidRPr="0025250D">
        <w:rPr>
          <w:rFonts w:hint="cs"/>
          <w:rtl/>
        </w:rPr>
        <w:t>داستان‌های پیشرفت متعددی درمور</w:t>
      </w:r>
      <w:r w:rsidR="005904EB" w:rsidRPr="0025250D">
        <w:rPr>
          <w:rFonts w:hint="cs"/>
          <w:rtl/>
        </w:rPr>
        <w:t>د</w:t>
      </w:r>
      <w:r w:rsidRPr="0025250D">
        <w:rPr>
          <w:rFonts w:hint="cs"/>
          <w:rtl/>
        </w:rPr>
        <w:t xml:space="preserve"> طول عمر انسان وجود دارند که نادرست نیستند</w:t>
      </w:r>
      <w:r w:rsidR="008D6F97" w:rsidRPr="0025250D">
        <w:rPr>
          <w:rtl/>
        </w:rPr>
        <w:t xml:space="preserve">؛ </w:t>
      </w:r>
      <w:r w:rsidRPr="0025250D">
        <w:rPr>
          <w:rFonts w:hint="cs"/>
          <w:rtl/>
        </w:rPr>
        <w:t>اما نیاز دارند که ما انتظارات خود را مجدد تنظیم کنیم. متخصصین پیری شناسی متعددی انتظار دارند که بتوانیم در بیست تا سی سال آینده، درصورتی که درک بسیار بهتری از فرایند‌هایی مانند پیری</w:t>
      </w:r>
      <w:r w:rsidRPr="0025250D">
        <w:rPr>
          <w:vertAlign w:val="superscript"/>
          <w:rtl/>
        </w:rPr>
        <w:footnoteReference w:id="1868"/>
      </w:r>
      <w:r w:rsidRPr="0025250D">
        <w:rPr>
          <w:rFonts w:hint="cs"/>
          <w:rtl/>
        </w:rPr>
        <w:t xml:space="preserve">، </w:t>
      </w:r>
      <w:r w:rsidRPr="0025250D">
        <w:rPr>
          <w:rtl/>
        </w:rPr>
        <w:t>خو</w:t>
      </w:r>
      <w:r w:rsidRPr="0025250D">
        <w:rPr>
          <w:rFonts w:hint="cs"/>
          <w:rtl/>
        </w:rPr>
        <w:t>ی</w:t>
      </w:r>
      <w:r w:rsidRPr="0025250D">
        <w:rPr>
          <w:rFonts w:hint="eastAsia"/>
          <w:rtl/>
        </w:rPr>
        <w:t>شتن</w:t>
      </w:r>
      <w:r w:rsidRPr="0025250D">
        <w:rPr>
          <w:rtl/>
        </w:rPr>
        <w:t xml:space="preserve"> خوار</w:t>
      </w:r>
      <w:r w:rsidRPr="0025250D">
        <w:rPr>
          <w:rFonts w:hint="cs"/>
          <w:rtl/>
        </w:rPr>
        <w:t>ی</w:t>
      </w:r>
      <w:r w:rsidRPr="0025250D">
        <w:rPr>
          <w:vertAlign w:val="superscript"/>
          <w:rtl/>
        </w:rPr>
        <w:footnoteReference w:id="1869"/>
      </w:r>
      <w:r w:rsidRPr="0025250D">
        <w:rPr>
          <w:rFonts w:hint="cs"/>
          <w:rtl/>
        </w:rPr>
        <w:t>، مرگ سلولی</w:t>
      </w:r>
      <w:r w:rsidRPr="0025250D">
        <w:rPr>
          <w:vertAlign w:val="superscript"/>
          <w:rtl/>
        </w:rPr>
        <w:footnoteReference w:id="1870"/>
      </w:r>
      <w:r w:rsidRPr="0025250D">
        <w:rPr>
          <w:rFonts w:hint="cs"/>
          <w:rtl/>
        </w:rPr>
        <w:t>، جوان سازی مجدد</w:t>
      </w:r>
      <w:r w:rsidRPr="0025250D">
        <w:rPr>
          <w:vertAlign w:val="superscript"/>
          <w:rtl/>
        </w:rPr>
        <w:footnoteReference w:id="1871"/>
      </w:r>
      <w:r w:rsidRPr="0025250D">
        <w:rPr>
          <w:rFonts w:hint="cs"/>
          <w:rtl/>
        </w:rPr>
        <w:t xml:space="preserve"> و عملکرد </w:t>
      </w:r>
      <w:r w:rsidR="008D6F97" w:rsidRPr="0025250D">
        <w:rPr>
          <w:rFonts w:hint="cs"/>
          <w:rtl/>
        </w:rPr>
        <w:t>سامانه‌</w:t>
      </w:r>
      <w:r w:rsidRPr="0025250D">
        <w:rPr>
          <w:rFonts w:hint="cs"/>
          <w:rtl/>
        </w:rPr>
        <w:t xml:space="preserve"> ایمنی و مغزی در سطوح مولکولی، سلولی، ارگانی و فیزیولوژیکی داشته باشیم، </w:t>
      </w:r>
      <w:r w:rsidR="00B0171C" w:rsidRPr="0025250D">
        <w:rPr>
          <w:rFonts w:hint="cs"/>
          <w:rtl/>
        </w:rPr>
        <w:t>به‌سادگی</w:t>
      </w:r>
      <w:r w:rsidRPr="0025250D">
        <w:rPr>
          <w:rFonts w:hint="cs"/>
          <w:rtl/>
        </w:rPr>
        <w:t xml:space="preserve"> بیست یا سی سال بیش‌تر عمر کنیم. تاکنون توانسته ایم جوان سازی مجدد را</w:t>
      </w:r>
      <w:r w:rsidR="008D6F97" w:rsidRPr="0025250D">
        <w:rPr>
          <w:rtl/>
        </w:rPr>
        <w:t xml:space="preserve"> </w:t>
      </w:r>
      <w:r w:rsidRPr="0025250D">
        <w:rPr>
          <w:rFonts w:hint="cs"/>
          <w:rtl/>
        </w:rPr>
        <w:t xml:space="preserve">تا حدی، در حیوانات و انسان‌های بسیاری با نظام‌هایی مانند روزه داری دوره‌ای و محدودیت مصرف کالری انجام دهیم. در طول دهه گذشته، ما شروع به بررسی درمان‌های قدرتمند جدیدی </w:t>
      </w:r>
      <w:r w:rsidR="00950293" w:rsidRPr="0025250D">
        <w:rPr>
          <w:rFonts w:hint="cs"/>
          <w:rtl/>
        </w:rPr>
        <w:t>کرده‌ایم</w:t>
      </w:r>
      <w:r w:rsidRPr="0025250D">
        <w:rPr>
          <w:rFonts w:hint="cs"/>
          <w:rtl/>
        </w:rPr>
        <w:t xml:space="preserve"> که می‌توانند سلول‌های پیر را حذف کنند</w:t>
      </w:r>
      <w:r w:rsidRPr="0025250D">
        <w:rPr>
          <w:vertAlign w:val="superscript"/>
          <w:rtl/>
        </w:rPr>
        <w:footnoteReference w:id="1872"/>
      </w:r>
      <w:r w:rsidRPr="0025250D">
        <w:rPr>
          <w:rFonts w:hint="cs"/>
          <w:rtl/>
        </w:rPr>
        <w:t xml:space="preserve"> و داروهایی مانند </w:t>
      </w:r>
      <w:r w:rsidRPr="0025250D">
        <w:rPr>
          <w:rtl/>
        </w:rPr>
        <w:t>راپاما</w:t>
      </w:r>
      <w:r w:rsidRPr="0025250D">
        <w:rPr>
          <w:rFonts w:hint="cs"/>
          <w:rtl/>
        </w:rPr>
        <w:t>ی</w:t>
      </w:r>
      <w:r w:rsidRPr="0025250D">
        <w:rPr>
          <w:rFonts w:hint="eastAsia"/>
          <w:rtl/>
        </w:rPr>
        <w:t>س</w:t>
      </w:r>
      <w:r w:rsidRPr="0025250D">
        <w:rPr>
          <w:rFonts w:hint="cs"/>
          <w:rtl/>
        </w:rPr>
        <w:t>ی</w:t>
      </w:r>
      <w:r w:rsidRPr="0025250D">
        <w:rPr>
          <w:rFonts w:hint="eastAsia"/>
          <w:rtl/>
        </w:rPr>
        <w:t>ن</w:t>
      </w:r>
      <w:r w:rsidRPr="0025250D">
        <w:rPr>
          <w:vertAlign w:val="superscript"/>
          <w:rtl/>
        </w:rPr>
        <w:footnoteReference w:id="1873"/>
      </w:r>
      <w:r w:rsidRPr="0025250D">
        <w:rPr>
          <w:rFonts w:hint="cs"/>
          <w:rtl/>
        </w:rPr>
        <w:t xml:space="preserve"> تولید </w:t>
      </w:r>
      <w:r w:rsidR="00950293" w:rsidRPr="0025250D">
        <w:rPr>
          <w:rFonts w:hint="cs"/>
          <w:rtl/>
        </w:rPr>
        <w:t>کرده‌ایم</w:t>
      </w:r>
      <w:r w:rsidRPr="0025250D">
        <w:rPr>
          <w:rFonts w:hint="cs"/>
          <w:rtl/>
        </w:rPr>
        <w:t xml:space="preserve"> که می‌توانند سلول‌های ما را در یک حالت پیرشدن محافظه کارانه و کند‌تر قرار دهند و ممکن است یک دهه یا بیش‌تر به ما طول عمر و سلامت کاربردی بدهند. </w:t>
      </w:r>
      <w:r w:rsidR="00B124DE" w:rsidRPr="0025250D">
        <w:rPr>
          <w:rFonts w:hint="cs"/>
          <w:rtl/>
        </w:rPr>
        <w:t>برنامه‌ریزی</w:t>
      </w:r>
      <w:r w:rsidRPr="0025250D">
        <w:rPr>
          <w:rFonts w:hint="cs"/>
          <w:rtl/>
        </w:rPr>
        <w:t xml:space="preserve"> مجدد سلول‌های بنیادی و پیوند مجدد مغز استخوان می‌توانند به ما امکان دهند که به شکل قابل توجهی کارکردهای خون و </w:t>
      </w:r>
      <w:r w:rsidR="008D6F97" w:rsidRPr="0025250D">
        <w:rPr>
          <w:rFonts w:hint="cs"/>
          <w:rtl/>
        </w:rPr>
        <w:t>سامانه‌</w:t>
      </w:r>
      <w:r w:rsidRPr="0025250D">
        <w:rPr>
          <w:rFonts w:hint="cs"/>
          <w:rtl/>
        </w:rPr>
        <w:t xml:space="preserve"> ایمنی بدن خود را جوان سازی کنیم. ما باید احتمالا همگی در زمان تولد فرزندانمان خون بند ناف را (که غنی از سلول‌های بنیادی است) ذخیره کنیم</w:t>
      </w:r>
      <w:r w:rsidR="008D6F97" w:rsidRPr="0025250D">
        <w:rPr>
          <w:rtl/>
        </w:rPr>
        <w:t xml:space="preserve">؛ </w:t>
      </w:r>
      <w:r w:rsidRPr="0025250D">
        <w:rPr>
          <w:rFonts w:hint="cs"/>
          <w:rtl/>
        </w:rPr>
        <w:t>اما هیچ یک از این‌ها حتی نزدیک به فناناپذیری زیستی هم نیستند. هیچ یک از این‌ها هیچگاه بیش از سی سال عمر بیش‌تر به ما نمی‌دهند.</w:t>
      </w:r>
    </w:p>
    <w:p w14:paraId="6ECA9334" w14:textId="564FBE42" w:rsidR="00537CC8" w:rsidRPr="0025250D" w:rsidRDefault="00537CC8" w:rsidP="00537CC8">
      <w:pPr>
        <w:rPr>
          <w:rtl/>
        </w:rPr>
      </w:pPr>
      <w:r w:rsidRPr="0025250D">
        <w:rPr>
          <w:rFonts w:hint="cs"/>
          <w:rtl/>
        </w:rPr>
        <w:t xml:space="preserve">زیست شناس محاسباتی </w:t>
      </w:r>
      <w:r w:rsidRPr="0025250D">
        <w:rPr>
          <w:rtl/>
        </w:rPr>
        <w:t>اندرو است</w:t>
      </w:r>
      <w:r w:rsidRPr="0025250D">
        <w:rPr>
          <w:rFonts w:hint="cs"/>
          <w:rtl/>
        </w:rPr>
        <w:t>ی</w:t>
      </w:r>
      <w:r w:rsidRPr="0025250D">
        <w:rPr>
          <w:rFonts w:hint="eastAsia"/>
          <w:rtl/>
        </w:rPr>
        <w:t>ل</w:t>
      </w:r>
      <w:r w:rsidRPr="0025250D">
        <w:rPr>
          <w:vertAlign w:val="superscript"/>
          <w:rtl/>
        </w:rPr>
        <w:footnoteReference w:id="1874"/>
      </w:r>
      <w:r w:rsidRPr="0025250D">
        <w:rPr>
          <w:rFonts w:hint="cs"/>
          <w:rtl/>
        </w:rPr>
        <w:t xml:space="preserve"> درکتاب خود به نام نامحدود: علم جدید افزایش سن بدون پیر شدن</w:t>
      </w:r>
      <w:r w:rsidRPr="0025250D">
        <w:rPr>
          <w:vertAlign w:val="superscript"/>
          <w:rtl/>
        </w:rPr>
        <w:footnoteReference w:id="1875"/>
      </w:r>
      <w:r w:rsidRPr="0025250D">
        <w:rPr>
          <w:rFonts w:hint="cs"/>
          <w:rtl/>
        </w:rPr>
        <w:t xml:space="preserve"> در سال 2021، خلاصه خوبی از دستاورد‌های ارزشمند اما بسیار محدود در زمینه طول عمر و جوانی را که ممکن است در چند دهه آتی ببینیم ارائه می‌دهد. جوامع دارای بیش از 100 سال سن در دهه 2030 و پس از آن ممکن خواهند شد. حتی هم اکنون می‌توانیم از سنلویتیکز</w:t>
      </w:r>
      <w:r w:rsidRPr="0025250D">
        <w:rPr>
          <w:vertAlign w:val="superscript"/>
          <w:rtl/>
        </w:rPr>
        <w:footnoteReference w:id="1876"/>
      </w:r>
      <w:r w:rsidRPr="0025250D">
        <w:rPr>
          <w:rFonts w:hint="cs"/>
          <w:rtl/>
        </w:rPr>
        <w:t xml:space="preserve"> و درمان‌های کاهش پیری مؤثری استفاده کنیم. برای این نوع فرایند طول عمر و جوانی بسیار محدود، گروه‌هایی مانند </w:t>
      </w:r>
      <w:r w:rsidRPr="0025250D">
        <w:t>SENS</w:t>
      </w:r>
      <w:r w:rsidRPr="0025250D">
        <w:rPr>
          <w:rFonts w:hint="cs"/>
          <w:rtl/>
        </w:rPr>
        <w:t xml:space="preserve"> از </w:t>
      </w:r>
      <w:r w:rsidRPr="0025250D">
        <w:rPr>
          <w:rtl/>
        </w:rPr>
        <w:t>د</w:t>
      </w:r>
      <w:r w:rsidRPr="0025250D">
        <w:rPr>
          <w:rFonts w:hint="cs"/>
          <w:rtl/>
        </w:rPr>
        <w:t>ی</w:t>
      </w:r>
      <w:r w:rsidRPr="0025250D">
        <w:rPr>
          <w:rtl/>
        </w:rPr>
        <w:t xml:space="preserve"> گر</w:t>
      </w:r>
      <w:r w:rsidRPr="0025250D">
        <w:rPr>
          <w:rFonts w:hint="cs"/>
          <w:rtl/>
        </w:rPr>
        <w:t>ی</w:t>
      </w:r>
      <w:r w:rsidRPr="0025250D">
        <w:rPr>
          <w:vertAlign w:val="superscript"/>
          <w:rtl/>
        </w:rPr>
        <w:footnoteReference w:id="1877"/>
      </w:r>
      <w:r w:rsidRPr="0025250D">
        <w:rPr>
          <w:rFonts w:hint="cs"/>
          <w:rtl/>
        </w:rPr>
        <w:t xml:space="preserve"> کاملا ارزش </w:t>
      </w:r>
      <w:r w:rsidR="00F50EB4" w:rsidRPr="0025250D">
        <w:rPr>
          <w:rFonts w:hint="cs"/>
          <w:rtl/>
        </w:rPr>
        <w:t>سرمایه‌گذاری</w:t>
      </w:r>
      <w:r w:rsidRPr="0025250D">
        <w:rPr>
          <w:rFonts w:hint="cs"/>
          <w:rtl/>
        </w:rPr>
        <w:t xml:space="preserve"> را دارند. به دلیل مطالعات حمایتی چنین گروه‌ها و دسته‌</w:t>
      </w:r>
      <w:r w:rsidR="005904EB" w:rsidRPr="0025250D">
        <w:rPr>
          <w:rFonts w:hint="cs"/>
          <w:rtl/>
        </w:rPr>
        <w:t>ه</w:t>
      </w:r>
      <w:r w:rsidRPr="0025250D">
        <w:rPr>
          <w:rFonts w:hint="cs"/>
          <w:rtl/>
        </w:rPr>
        <w:t>ای</w:t>
      </w:r>
      <w:r w:rsidR="005904EB" w:rsidRPr="0025250D">
        <w:rPr>
          <w:rFonts w:hint="cs"/>
          <w:rtl/>
        </w:rPr>
        <w:t>ی</w:t>
      </w:r>
      <w:r w:rsidRPr="0025250D">
        <w:rPr>
          <w:rFonts w:hint="cs"/>
          <w:rtl/>
        </w:rPr>
        <w:t xml:space="preserve"> از دانشگاه‌های برتر، </w:t>
      </w:r>
      <w:r w:rsidRPr="0025250D">
        <w:rPr>
          <w:rtl/>
        </w:rPr>
        <w:t>موسسه مل</w:t>
      </w:r>
      <w:r w:rsidRPr="0025250D">
        <w:rPr>
          <w:rFonts w:hint="cs"/>
          <w:rtl/>
        </w:rPr>
        <w:t>ی</w:t>
      </w:r>
      <w:r w:rsidRPr="0025250D">
        <w:rPr>
          <w:rtl/>
        </w:rPr>
        <w:t xml:space="preserve"> بهداشت</w:t>
      </w:r>
      <w:r w:rsidRPr="0025250D">
        <w:rPr>
          <w:rFonts w:hint="cs"/>
          <w:rtl/>
        </w:rPr>
        <w:t xml:space="preserve"> آمریکا</w:t>
      </w:r>
      <w:r w:rsidRPr="0025250D">
        <w:rPr>
          <w:vertAlign w:val="superscript"/>
          <w:rtl/>
        </w:rPr>
        <w:footnoteReference w:id="1878"/>
      </w:r>
      <w:r w:rsidRPr="0025250D">
        <w:rPr>
          <w:rFonts w:hint="cs"/>
          <w:rtl/>
        </w:rPr>
        <w:t xml:space="preserve"> سرانجام </w:t>
      </w:r>
      <w:r w:rsidR="005B1DA7" w:rsidRPr="0025250D">
        <w:rPr>
          <w:rtl/>
        </w:rPr>
        <w:t>(</w:t>
      </w:r>
      <w:r w:rsidRPr="0025250D">
        <w:rPr>
          <w:rFonts w:hint="cs"/>
          <w:rtl/>
        </w:rPr>
        <w:t xml:space="preserve">اما هنوز با میلی) در حال </w:t>
      </w:r>
      <w:r w:rsidR="00F50EB4" w:rsidRPr="0025250D">
        <w:rPr>
          <w:rFonts w:hint="cs"/>
          <w:rtl/>
        </w:rPr>
        <w:t>سرمایه‌گذاری</w:t>
      </w:r>
      <w:r w:rsidRPr="0025250D">
        <w:rPr>
          <w:rFonts w:hint="cs"/>
          <w:rtl/>
        </w:rPr>
        <w:t xml:space="preserve"> بر تحقیقات طول عمر می‌باشد</w:t>
      </w:r>
      <w:r w:rsidR="008D6F97" w:rsidRPr="0025250D">
        <w:rPr>
          <w:rtl/>
        </w:rPr>
        <w:t>؛ که</w:t>
      </w:r>
      <w:r w:rsidRPr="0025250D">
        <w:rPr>
          <w:rFonts w:hint="cs"/>
          <w:rtl/>
        </w:rPr>
        <w:t xml:space="preserve"> این واقعا جای تأسف دارد.</w:t>
      </w:r>
    </w:p>
    <w:p w14:paraId="6C7E1F82" w14:textId="14C8B89B" w:rsidR="00537CC8" w:rsidRPr="0025250D" w:rsidRDefault="00537CC8" w:rsidP="00BE4252">
      <w:pPr>
        <w:rPr>
          <w:rtl/>
        </w:rPr>
      </w:pPr>
      <w:r w:rsidRPr="0025250D">
        <w:rPr>
          <w:rFonts w:hint="cs"/>
          <w:rtl/>
        </w:rPr>
        <w:t xml:space="preserve">اما در همین زمان، ما باید غیر ممکن بودن داستان‌های مربوط به </w:t>
      </w:r>
      <w:r w:rsidR="005B1DA7" w:rsidRPr="0025250D">
        <w:rPr>
          <w:rtl/>
        </w:rPr>
        <w:t>«</w:t>
      </w:r>
      <w:r w:rsidRPr="0025250D">
        <w:rPr>
          <w:rFonts w:hint="cs"/>
          <w:rtl/>
        </w:rPr>
        <w:t xml:space="preserve">فنا ناپذیزی </w:t>
      </w:r>
      <w:r w:rsidR="0044659F" w:rsidRPr="0025250D">
        <w:rPr>
          <w:rFonts w:hint="cs"/>
          <w:rtl/>
        </w:rPr>
        <w:t>زیستی</w:t>
      </w:r>
      <w:r w:rsidR="005B1DA7" w:rsidRPr="0025250D">
        <w:rPr>
          <w:rtl/>
        </w:rPr>
        <w:t>»</w:t>
      </w:r>
      <w:r w:rsidRPr="0025250D">
        <w:rPr>
          <w:rFonts w:hint="cs"/>
          <w:rtl/>
        </w:rPr>
        <w:t xml:space="preserve"> که توسط تحسین کنندگان </w:t>
      </w:r>
      <w:r w:rsidRPr="0025250D">
        <w:t>SENS</w:t>
      </w:r>
      <w:r w:rsidRPr="0025250D">
        <w:rPr>
          <w:rFonts w:hint="cs"/>
          <w:rtl/>
        </w:rPr>
        <w:t xml:space="preserve"> بیان می‌شوند را بدانیم. هیچ راهی برای این که بتوانیم پیری ناچیزی در سطح سلولی داشته باشیم، برای هیچ ارگانیسم پیچیده‌ای وجود ندارد؛ تا زمانی که دارای هوش‌های مصنوعی به‌اندازه کافی هوشمند برای طراحی مجدد یوکاریوتیک</w:t>
      </w:r>
      <w:r w:rsidRPr="0025250D">
        <w:rPr>
          <w:vertAlign w:val="superscript"/>
          <w:rtl/>
        </w:rPr>
        <w:footnoteReference w:id="1879"/>
      </w:r>
      <w:r w:rsidRPr="0025250D">
        <w:rPr>
          <w:rFonts w:hint="cs"/>
          <w:rtl/>
        </w:rPr>
        <w:t xml:space="preserve"> </w:t>
      </w:r>
      <w:r w:rsidR="005904EB" w:rsidRPr="0025250D">
        <w:rPr>
          <w:rFonts w:hint="cs"/>
          <w:rtl/>
        </w:rPr>
        <w:t>ن</w:t>
      </w:r>
      <w:r w:rsidRPr="0025250D">
        <w:rPr>
          <w:rFonts w:hint="cs"/>
          <w:rtl/>
        </w:rPr>
        <w:t>باشیم. چنین هوش‌های مصنوعی پیشرفته ای، نه ما، تنها موجودیت‌هایی خواهند بود که این آینده را محقق خ</w:t>
      </w:r>
      <w:r w:rsidR="005904EB" w:rsidRPr="0025250D">
        <w:rPr>
          <w:rFonts w:hint="cs"/>
          <w:rtl/>
        </w:rPr>
        <w:t>و</w:t>
      </w:r>
      <w:r w:rsidRPr="0025250D">
        <w:rPr>
          <w:rFonts w:hint="cs"/>
          <w:rtl/>
        </w:rPr>
        <w:t xml:space="preserve">اهند کرد. نکته به همین اندازه مهم، این است که امروزه این که چگونه بسیاری از ما در آن آینده هوش مصنوعی محور خواهان فناناپذیری زیستی خواهیم بود، کاملا واضح نیست. این که آیا اصلا بخواهیم در آن زمان </w:t>
      </w:r>
      <w:r w:rsidR="00127288" w:rsidRPr="0025250D">
        <w:rPr>
          <w:rFonts w:hint="cs"/>
          <w:rtl/>
        </w:rPr>
        <w:t>زیستی</w:t>
      </w:r>
      <w:r w:rsidRPr="0025250D">
        <w:rPr>
          <w:rFonts w:hint="cs"/>
          <w:rtl/>
        </w:rPr>
        <w:t xml:space="preserve"> باقی بمانیم یا خیر به طبیعت و کیفیت ذهن </w:t>
      </w:r>
      <w:r w:rsidR="007A53FD" w:rsidRPr="0025250D">
        <w:rPr>
          <w:rFonts w:hint="cs"/>
          <w:rtl/>
        </w:rPr>
        <w:t>فناورانه</w:t>
      </w:r>
      <w:r w:rsidRPr="0025250D">
        <w:rPr>
          <w:rFonts w:hint="cs"/>
          <w:rtl/>
        </w:rPr>
        <w:t xml:space="preserve"> در مقابل ذهن </w:t>
      </w:r>
      <w:r w:rsidR="0044659F" w:rsidRPr="0025250D">
        <w:rPr>
          <w:rFonts w:hint="cs"/>
          <w:rtl/>
        </w:rPr>
        <w:t>زیستی</w:t>
      </w:r>
      <w:r w:rsidRPr="0025250D">
        <w:rPr>
          <w:rFonts w:hint="cs"/>
          <w:rtl/>
        </w:rPr>
        <w:t xml:space="preserve"> بستگی دارد. اگر بتوانید به‌عنوان یک موجود دیجیتال آگاه‌تر، دلسوزتر، </w:t>
      </w:r>
      <w:r w:rsidR="00BE4252" w:rsidRPr="0025250D">
        <w:rPr>
          <w:rFonts w:hint="cs"/>
          <w:rtl/>
        </w:rPr>
        <w:t>هیجانی</w:t>
      </w:r>
      <w:r w:rsidRPr="0025250D">
        <w:rPr>
          <w:rFonts w:hint="cs"/>
          <w:rtl/>
        </w:rPr>
        <w:t xml:space="preserve">‌تر، هوشمند‌تر بوده و با دیگر گونه‌های زنده بیش‌تر در ارتباط باشید و میلیون‌ها برابر سریع‌تر از همتای </w:t>
      </w:r>
      <w:r w:rsidR="0044659F" w:rsidRPr="0025250D">
        <w:rPr>
          <w:rFonts w:hint="cs"/>
          <w:rtl/>
        </w:rPr>
        <w:t>زیستی</w:t>
      </w:r>
      <w:r w:rsidRPr="0025250D">
        <w:rPr>
          <w:rFonts w:hint="cs"/>
          <w:rtl/>
        </w:rPr>
        <w:t xml:space="preserve"> خود فکر کرده و احساس کنید، آیا اصلا می‌خواهید به صورت محدودی در شکل </w:t>
      </w:r>
      <w:r w:rsidR="0044659F" w:rsidRPr="0025250D">
        <w:rPr>
          <w:rFonts w:hint="cs"/>
          <w:rtl/>
        </w:rPr>
        <w:t>زیستی</w:t>
      </w:r>
      <w:r w:rsidRPr="0025250D">
        <w:rPr>
          <w:rFonts w:hint="cs"/>
          <w:rtl/>
        </w:rPr>
        <w:t xml:space="preserve"> خود باقی بمانید؟ به نظر ما خیر، </w:t>
      </w:r>
      <w:r w:rsidR="007118DE" w:rsidRPr="0025250D">
        <w:rPr>
          <w:rFonts w:hint="cs"/>
          <w:rtl/>
        </w:rPr>
        <w:t>همان‌طور</w:t>
      </w:r>
      <w:r w:rsidRPr="0025250D">
        <w:rPr>
          <w:rFonts w:hint="cs"/>
          <w:rtl/>
        </w:rPr>
        <w:t xml:space="preserve"> که در </w:t>
      </w:r>
      <w:r w:rsidRPr="0025250D">
        <w:t>BPF</w:t>
      </w:r>
      <w:r w:rsidRPr="0025250D">
        <w:rPr>
          <w:rFonts w:hint="cs"/>
          <w:rtl/>
        </w:rPr>
        <w:t xml:space="preserve"> بحث خواهیم کرد.</w:t>
      </w:r>
    </w:p>
    <w:p w14:paraId="3D8BB48A" w14:textId="77777777" w:rsidR="00537CC8" w:rsidRPr="0025250D" w:rsidRDefault="00537CC8" w:rsidP="00537CC8">
      <w:pPr>
        <w:rPr>
          <w:rtl/>
        </w:rPr>
      </w:pPr>
      <w:r w:rsidRPr="0025250D">
        <w:rPr>
          <w:rFonts w:hint="cs"/>
          <w:b/>
          <w:bCs/>
          <w:rtl/>
        </w:rPr>
        <w:t>شناسایی عناصر داستانی نادرست در یک مثال: داستان‌های مربوط به کلنی سازی در مریخ</w:t>
      </w:r>
    </w:p>
    <w:p w14:paraId="3399E4C8" w14:textId="3C97C9F9" w:rsidR="00537CC8" w:rsidRPr="0025250D" w:rsidRDefault="00537CC8" w:rsidP="00537CC8">
      <w:pPr>
        <w:rPr>
          <w:rtl/>
        </w:rPr>
      </w:pPr>
      <w:r w:rsidRPr="0025250D">
        <w:rPr>
          <w:rFonts w:hint="cs"/>
          <w:rtl/>
        </w:rPr>
        <w:t xml:space="preserve">داستان‌های بعدی درمورد انسان‌های </w:t>
      </w:r>
      <w:r w:rsidR="0044659F" w:rsidRPr="0025250D">
        <w:rPr>
          <w:rFonts w:hint="cs"/>
          <w:rtl/>
        </w:rPr>
        <w:t>زیستی</w:t>
      </w:r>
      <w:r w:rsidRPr="0025250D">
        <w:rPr>
          <w:rFonts w:hint="cs"/>
          <w:rtl/>
        </w:rPr>
        <w:t xml:space="preserve"> که در مریخ</w:t>
      </w:r>
      <w:r w:rsidR="005904EB" w:rsidRPr="0025250D">
        <w:rPr>
          <w:rFonts w:hint="cs"/>
          <w:rtl/>
        </w:rPr>
        <w:t xml:space="preserve"> به عنوان</w:t>
      </w:r>
      <w:r w:rsidRPr="0025250D">
        <w:rPr>
          <w:rFonts w:hint="cs"/>
          <w:rtl/>
        </w:rPr>
        <w:t xml:space="preserve"> یک سیاره متخاصم، بدون هوا و بسیار کوچک‌تر از زمین با جاذبه‌ای به‌اندازه 38 درصد جاذبه زمین</w:t>
      </w:r>
      <w:r w:rsidR="005904EB" w:rsidRPr="0025250D">
        <w:rPr>
          <w:rFonts w:hint="cs"/>
          <w:rtl/>
        </w:rPr>
        <w:t>،</w:t>
      </w:r>
      <w:r w:rsidRPr="0025250D">
        <w:rPr>
          <w:rFonts w:hint="cs"/>
          <w:rtl/>
        </w:rPr>
        <w:t xml:space="preserve"> مستقر می‌شوند و کلنی تشکیل می‌دهند را در نظر بگیرید. پزشکی فضایی هم اکنون نیز </w:t>
      </w:r>
      <w:r w:rsidR="008F0DD8" w:rsidRPr="0025250D">
        <w:rPr>
          <w:rFonts w:hint="cs"/>
          <w:rtl/>
        </w:rPr>
        <w:t>آن‌قدر</w:t>
      </w:r>
      <w:r w:rsidRPr="0025250D">
        <w:rPr>
          <w:rFonts w:hint="cs"/>
          <w:rtl/>
        </w:rPr>
        <w:t xml:space="preserve"> پیشرفت کرده که ما بدانیم که هر کسی که هر مدتی را در مریخ بگذراند، به دلیل جاذبه کم‌تر آن آسیب‌های دائمی به بدن خود وارد می‌کند</w:t>
      </w:r>
      <w:r w:rsidR="008D6F97" w:rsidRPr="0025250D">
        <w:rPr>
          <w:rtl/>
        </w:rPr>
        <w:t xml:space="preserve">؛ </w:t>
      </w:r>
      <w:r w:rsidRPr="0025250D">
        <w:rPr>
          <w:rFonts w:hint="cs"/>
          <w:rtl/>
        </w:rPr>
        <w:t>مانند فناناپذیری زیستی، داستان کلنی سازی</w:t>
      </w:r>
      <w:r w:rsidRPr="0025250D">
        <w:rPr>
          <w:vertAlign w:val="superscript"/>
          <w:rtl/>
        </w:rPr>
        <w:footnoteReference w:id="1880"/>
      </w:r>
      <w:r w:rsidRPr="0025250D">
        <w:rPr>
          <w:rFonts w:hint="cs"/>
          <w:rtl/>
        </w:rPr>
        <w:t xml:space="preserve"> در مریخ نیز الهام بخش نوآوری و </w:t>
      </w:r>
      <w:r w:rsidR="00F50EB4" w:rsidRPr="0025250D">
        <w:rPr>
          <w:rFonts w:hint="cs"/>
          <w:rtl/>
        </w:rPr>
        <w:t>سرمایه‌گذاری</w:t>
      </w:r>
      <w:r w:rsidRPr="0025250D">
        <w:rPr>
          <w:rFonts w:hint="cs"/>
          <w:rtl/>
        </w:rPr>
        <w:t xml:space="preserve"> در </w:t>
      </w:r>
      <w:r w:rsidR="007A53FD" w:rsidRPr="0025250D">
        <w:rPr>
          <w:rFonts w:hint="cs"/>
          <w:rtl/>
        </w:rPr>
        <w:t>فناوری</w:t>
      </w:r>
      <w:r w:rsidRPr="0025250D">
        <w:rPr>
          <w:rFonts w:hint="cs"/>
          <w:rtl/>
        </w:rPr>
        <w:t xml:space="preserve"> فضایی است. این داستان جالب است و ارزشمند، اما همچنین ایرادات متعدد خطرناک آن نیز باید آشکار شوند.</w:t>
      </w:r>
    </w:p>
    <w:p w14:paraId="31EA8D8C" w14:textId="1901331C" w:rsidR="00537CC8" w:rsidRPr="0025250D" w:rsidRDefault="00537CC8" w:rsidP="00537CC8">
      <w:pPr>
        <w:rPr>
          <w:rtl/>
        </w:rPr>
      </w:pPr>
      <w:r w:rsidRPr="0025250D">
        <w:rPr>
          <w:rFonts w:hint="cs"/>
          <w:rtl/>
        </w:rPr>
        <w:t xml:space="preserve">یک بازار </w:t>
      </w:r>
      <w:r w:rsidR="00D92F6E" w:rsidRPr="0025250D">
        <w:rPr>
          <w:rFonts w:hint="cs"/>
          <w:rtl/>
        </w:rPr>
        <w:t>پیش‌بین</w:t>
      </w:r>
      <w:r w:rsidRPr="0025250D">
        <w:rPr>
          <w:rFonts w:hint="cs"/>
          <w:rtl/>
        </w:rPr>
        <w:t>ی آنلاین خوب امروزی، با رأی گیری از متخصصین در این موضوع، بیان می‌کند که بشریت تنها تعدادی محقق به مریخ در طول پنجاه سال آینده خواهد فرستاد که بیش‌تر برای مدت</w:t>
      </w:r>
      <w:r w:rsidR="005904EB" w:rsidRPr="0025250D">
        <w:rPr>
          <w:rFonts w:hint="cs"/>
          <w:rtl/>
        </w:rPr>
        <w:t>ی</w:t>
      </w:r>
      <w:r w:rsidRPr="0025250D">
        <w:rPr>
          <w:rFonts w:hint="cs"/>
          <w:rtl/>
        </w:rPr>
        <w:t xml:space="preserve"> کوتاه در آن جا حضور خواهند داشت. تنها چند فردگرا</w:t>
      </w:r>
      <w:r w:rsidRPr="0025250D">
        <w:rPr>
          <w:vertAlign w:val="superscript"/>
          <w:rtl/>
        </w:rPr>
        <w:footnoteReference w:id="1881"/>
      </w:r>
      <w:r w:rsidRPr="0025250D">
        <w:rPr>
          <w:rFonts w:hint="cs"/>
          <w:rtl/>
        </w:rPr>
        <w:t>، آزادی خواه و تابوشکن</w:t>
      </w:r>
      <w:r w:rsidRPr="0025250D">
        <w:rPr>
          <w:vertAlign w:val="superscript"/>
          <w:rtl/>
        </w:rPr>
        <w:footnoteReference w:id="1882"/>
      </w:r>
      <w:r w:rsidRPr="0025250D">
        <w:rPr>
          <w:rFonts w:hint="cs"/>
          <w:rtl/>
        </w:rPr>
        <w:t xml:space="preserve"> برای طولانی مدت بر روی مریخ زندگی خواهند کرد و آن‌ها فداکاری‌های بسیاری را برای این انتخاب خود خواهند داشت. ربات‌ها و هوش‌های مصنوعی روش </w:t>
      </w:r>
      <w:r w:rsidR="0008779C" w:rsidRPr="0025250D">
        <w:rPr>
          <w:rFonts w:hint="cs"/>
          <w:rtl/>
        </w:rPr>
        <w:t>ایدئال</w:t>
      </w:r>
      <w:r w:rsidRPr="0025250D">
        <w:rPr>
          <w:rFonts w:hint="cs"/>
          <w:rtl/>
        </w:rPr>
        <w:t xml:space="preserve"> ما در حال حاضر برای بررسی منظومه شمسی هستند. ما حتی به مواد خام شهاب سنگ‌ها، بر خلاف ادعای حامیان اکتشافات فضایی، نیاز نداریم. مواد خام بسیار زیادی همینجا و بر روی زمین وجود دارند. کف اقیانوس‌های ما غنی از سنگ‌ها و برآمدگی‌های چند فلزی هستند که ربات‌های زیردریایی ما به‌ندرت از آن‌ها نمونه برداری </w:t>
      </w:r>
      <w:r w:rsidR="007118DE" w:rsidRPr="0025250D">
        <w:rPr>
          <w:rFonts w:hint="cs"/>
          <w:rtl/>
        </w:rPr>
        <w:t>کرده‌اند</w:t>
      </w:r>
      <w:r w:rsidRPr="0025250D">
        <w:rPr>
          <w:rFonts w:hint="cs"/>
          <w:rtl/>
        </w:rPr>
        <w:t>. تنها یک کشور، یعنی ژاپن، آغاز به حفاری‌های زیردریایی کرده است.</w:t>
      </w:r>
    </w:p>
    <w:p w14:paraId="0E44F2E1" w14:textId="2B998AE5" w:rsidR="00537CC8" w:rsidRPr="0025250D" w:rsidRDefault="00537CC8" w:rsidP="00537CC8">
      <w:pPr>
        <w:rPr>
          <w:rtl/>
        </w:rPr>
      </w:pPr>
      <w:r w:rsidRPr="0025250D">
        <w:rPr>
          <w:rFonts w:hint="cs"/>
          <w:rtl/>
        </w:rPr>
        <w:t>هر سیاره‌ای در منظومه شمسی، به جز زمین ارزشمند و شگفت انگیز خودمان، یک زمین بایر و برهوت است. ماه و مریخ مانند کوه اورست هستند. برای ماجراجویی و کمی کسب علم (که بیش از حد درمورد آن اغراق شده است) به آنجا می‌رویم، اما رفتن به این مکان‌ها به شدت گران قیمت بوده و سکونت در آن‌ها بی حاصل است و جذابیتی ندارد. ارزش اصلی فضا در هر چیزی است که در آنجا می‌گذاریم تا زمین را نظاره کند تا بتوانیم این تنها سیاره قابل سکونت خود را بهبود بخشیم.</w:t>
      </w:r>
    </w:p>
    <w:p w14:paraId="06264C00" w14:textId="43E666BB" w:rsidR="00537CC8" w:rsidRPr="0025250D" w:rsidRDefault="00537CC8" w:rsidP="00537CC8">
      <w:pPr>
        <w:rPr>
          <w:rtl/>
        </w:rPr>
      </w:pPr>
      <w:r w:rsidRPr="0025250D">
        <w:rPr>
          <w:rFonts w:hint="cs"/>
          <w:rtl/>
        </w:rPr>
        <w:t xml:space="preserve">محتمل‌ترین آینده بشریت، </w:t>
      </w:r>
      <w:r w:rsidR="007118DE" w:rsidRPr="0025250D">
        <w:rPr>
          <w:rFonts w:hint="cs"/>
          <w:rtl/>
        </w:rPr>
        <w:t>همان‌طور</w:t>
      </w:r>
      <w:r w:rsidRPr="0025250D">
        <w:rPr>
          <w:rFonts w:hint="cs"/>
          <w:rtl/>
        </w:rPr>
        <w:t xml:space="preserve"> که در </w:t>
      </w:r>
      <w:r w:rsidRPr="0025250D">
        <w:t>BPF</w:t>
      </w:r>
      <w:r w:rsidRPr="0025250D">
        <w:rPr>
          <w:rFonts w:hint="cs"/>
          <w:rtl/>
        </w:rPr>
        <w:t xml:space="preserve"> خواهیم گفت، ادامه حرکت به سمت فضای درونی و نفوذ بیش‌تر به </w:t>
      </w:r>
      <w:r w:rsidR="00D87CD8" w:rsidRPr="0025250D">
        <w:rPr>
          <w:rFonts w:hint="cs"/>
          <w:rtl/>
        </w:rPr>
        <w:t>محدوده‌</w:t>
      </w:r>
      <w:r w:rsidRPr="0025250D">
        <w:rPr>
          <w:rFonts w:hint="cs"/>
          <w:rtl/>
        </w:rPr>
        <w:t xml:space="preserve">‌های بسیار کوچک، بسیار متراکم، بسیار انتزاعی و بسیار آگاهانه است. </w:t>
      </w:r>
      <w:r w:rsidR="00D92F6E" w:rsidRPr="0025250D">
        <w:rPr>
          <w:rFonts w:hint="cs"/>
          <w:rtl/>
        </w:rPr>
        <w:t>پیش‌بین</w:t>
      </w:r>
      <w:r w:rsidRPr="0025250D">
        <w:rPr>
          <w:rFonts w:hint="cs"/>
          <w:rtl/>
        </w:rPr>
        <w:t>ی می‌کنیم که تقریبا هیچ یک از ما زمین را برای رسیدن به مرزهای گسترده، آهسته، خطرناک و ساده فضای خارج از زمین ترک نخواهیم کرد. ارزش‌های اصلی فعلی فضا برای بشریت مانند</w:t>
      </w:r>
      <w:r w:rsidRPr="0025250D">
        <w:rPr>
          <w:rtl/>
        </w:rPr>
        <w:t xml:space="preserve"> </w:t>
      </w:r>
      <w:r w:rsidRPr="0025250D">
        <w:rPr>
          <w:rFonts w:hint="cs"/>
          <w:rtl/>
        </w:rPr>
        <w:t>یک</w:t>
      </w:r>
      <w:r w:rsidRPr="0025250D">
        <w:rPr>
          <w:rtl/>
        </w:rPr>
        <w:t xml:space="preserve"> </w:t>
      </w:r>
      <w:r w:rsidRPr="0025250D">
        <w:rPr>
          <w:rFonts w:hint="cs"/>
          <w:rtl/>
        </w:rPr>
        <w:t>زباله</w:t>
      </w:r>
      <w:r w:rsidRPr="0025250D">
        <w:rPr>
          <w:rtl/>
        </w:rPr>
        <w:t xml:space="preserve"> </w:t>
      </w:r>
      <w:r w:rsidRPr="0025250D">
        <w:rPr>
          <w:rFonts w:hint="cs"/>
          <w:rtl/>
        </w:rPr>
        <w:t>سوز</w:t>
      </w:r>
      <w:r w:rsidRPr="0025250D">
        <w:rPr>
          <w:rtl/>
        </w:rPr>
        <w:t xml:space="preserve"> </w:t>
      </w:r>
      <w:r w:rsidRPr="0025250D">
        <w:rPr>
          <w:rFonts w:hint="cs"/>
          <w:rtl/>
        </w:rPr>
        <w:t>بی</w:t>
      </w:r>
      <w:r w:rsidRPr="0025250D">
        <w:rPr>
          <w:rtl/>
        </w:rPr>
        <w:t xml:space="preserve"> </w:t>
      </w:r>
      <w:r w:rsidRPr="0025250D">
        <w:rPr>
          <w:rFonts w:hint="cs"/>
          <w:rtl/>
        </w:rPr>
        <w:t xml:space="preserve">نقص برای ایجاد پیچیدگی </w:t>
      </w:r>
      <w:r w:rsidR="007B3B35" w:rsidRPr="0025250D">
        <w:rPr>
          <w:rFonts w:hint="cs"/>
          <w:rtl/>
        </w:rPr>
        <w:t>شتاب‌گیر</w:t>
      </w:r>
      <w:r w:rsidRPr="0025250D">
        <w:rPr>
          <w:rFonts w:hint="cs"/>
          <w:rtl/>
        </w:rPr>
        <w:t xml:space="preserve">نده بیش‌تر بر روی زمین و مکانی </w:t>
      </w:r>
      <w:r w:rsidR="005904EB" w:rsidRPr="0025250D">
        <w:rPr>
          <w:rFonts w:hint="cs"/>
          <w:rtl/>
        </w:rPr>
        <w:t>مناسب</w:t>
      </w:r>
      <w:r w:rsidRPr="0025250D">
        <w:rPr>
          <w:rFonts w:hint="cs"/>
          <w:rtl/>
        </w:rPr>
        <w:t xml:space="preserve"> برای ساختن ساختار‌های مفید در مدار نزدیک به زمین </w:t>
      </w:r>
      <w:r w:rsidR="005904EB" w:rsidRPr="0025250D">
        <w:rPr>
          <w:rFonts w:hint="cs"/>
          <w:rtl/>
        </w:rPr>
        <w:t>به‌منظور</w:t>
      </w:r>
      <w:r w:rsidRPr="0025250D">
        <w:rPr>
          <w:rFonts w:hint="cs"/>
          <w:rtl/>
        </w:rPr>
        <w:t xml:space="preserve"> بهبود زندگی ما بر روی زمین یا بهبود درک ما از جهان و سیارات متعدد مانند زمین است. انتظار داریم که علم آینده کشف کند که همه هوش‌های موجود بر روی آن سیارات </w:t>
      </w:r>
      <w:r w:rsidR="005904EB" w:rsidRPr="0025250D">
        <w:rPr>
          <w:rFonts w:hint="cs"/>
          <w:rtl/>
        </w:rPr>
        <w:t>نیز</w:t>
      </w:r>
      <w:r w:rsidRPr="0025250D">
        <w:rPr>
          <w:rFonts w:hint="cs"/>
          <w:rtl/>
        </w:rPr>
        <w:t xml:space="preserve"> در حال حرکت به سمت فضای داخلی هستند. </w:t>
      </w:r>
      <w:r w:rsidRPr="0025250D">
        <w:rPr>
          <w:rtl/>
        </w:rPr>
        <w:t>فکر می‌کن</w:t>
      </w:r>
      <w:r w:rsidRPr="0025250D">
        <w:rPr>
          <w:rFonts w:hint="cs"/>
          <w:rtl/>
        </w:rPr>
        <w:t>ی</w:t>
      </w:r>
      <w:r w:rsidRPr="0025250D">
        <w:rPr>
          <w:rFonts w:hint="eastAsia"/>
          <w:rtl/>
        </w:rPr>
        <w:t>م</w:t>
      </w:r>
      <w:r w:rsidRPr="0025250D">
        <w:rPr>
          <w:rtl/>
        </w:rPr>
        <w:t xml:space="preserve"> سرنوشت تمام هوش‌های پ</w:t>
      </w:r>
      <w:r w:rsidRPr="0025250D">
        <w:rPr>
          <w:rFonts w:hint="cs"/>
          <w:rtl/>
        </w:rPr>
        <w:t>ی</w:t>
      </w:r>
      <w:r w:rsidRPr="0025250D">
        <w:rPr>
          <w:rFonts w:hint="eastAsia"/>
          <w:rtl/>
        </w:rPr>
        <w:t>شرفته</w:t>
      </w:r>
      <w:r w:rsidRPr="0025250D">
        <w:rPr>
          <w:rtl/>
        </w:rPr>
        <w:t xml:space="preserve"> ا</w:t>
      </w:r>
      <w:r w:rsidRPr="0025250D">
        <w:rPr>
          <w:rFonts w:hint="cs"/>
          <w:rtl/>
        </w:rPr>
        <w:t>ی</w:t>
      </w:r>
      <w:r w:rsidRPr="0025250D">
        <w:rPr>
          <w:rFonts w:hint="eastAsia"/>
          <w:rtl/>
        </w:rPr>
        <w:t>ن</w:t>
      </w:r>
      <w:r w:rsidRPr="0025250D">
        <w:rPr>
          <w:rtl/>
        </w:rPr>
        <w:t xml:space="preserve"> است که در نها</w:t>
      </w:r>
      <w:r w:rsidRPr="0025250D">
        <w:rPr>
          <w:rFonts w:hint="cs"/>
          <w:rtl/>
        </w:rPr>
        <w:t>ی</w:t>
      </w:r>
      <w:r w:rsidRPr="0025250D">
        <w:rPr>
          <w:rFonts w:hint="eastAsia"/>
          <w:rtl/>
        </w:rPr>
        <w:t>ت</w:t>
      </w:r>
      <w:r w:rsidRPr="0025250D">
        <w:rPr>
          <w:rtl/>
        </w:rPr>
        <w:t xml:space="preserve"> از جهان ما فرار کنند، نه در سراسر </w:t>
      </w:r>
      <w:r w:rsidR="00B56611" w:rsidRPr="0025250D">
        <w:rPr>
          <w:rtl/>
        </w:rPr>
        <w:t>چشم‌انداز</w:t>
      </w:r>
      <w:r w:rsidRPr="0025250D">
        <w:rPr>
          <w:rtl/>
        </w:rPr>
        <w:t xml:space="preserve"> وس</w:t>
      </w:r>
      <w:r w:rsidRPr="0025250D">
        <w:rPr>
          <w:rFonts w:hint="cs"/>
          <w:rtl/>
        </w:rPr>
        <w:t>ی</w:t>
      </w:r>
      <w:r w:rsidRPr="0025250D">
        <w:rPr>
          <w:rFonts w:hint="eastAsia"/>
          <w:rtl/>
        </w:rPr>
        <w:t>ع</w:t>
      </w:r>
      <w:r w:rsidRPr="0025250D">
        <w:rPr>
          <w:rtl/>
        </w:rPr>
        <w:t xml:space="preserve"> و متروک آن</w:t>
      </w:r>
      <w:r w:rsidRPr="0025250D">
        <w:rPr>
          <w:rFonts w:hint="cs"/>
          <w:rtl/>
        </w:rPr>
        <w:t xml:space="preserve"> </w:t>
      </w:r>
      <w:r w:rsidRPr="0025250D">
        <w:rPr>
          <w:rtl/>
        </w:rPr>
        <w:t>گسترش</w:t>
      </w:r>
      <w:r w:rsidRPr="0025250D">
        <w:rPr>
          <w:rFonts w:hint="cs"/>
          <w:rtl/>
        </w:rPr>
        <w:t xml:space="preserve"> یابند.</w:t>
      </w:r>
    </w:p>
    <w:p w14:paraId="063E6090" w14:textId="3AFF42F2" w:rsidR="00537CC8" w:rsidRPr="0025250D" w:rsidRDefault="0020589F" w:rsidP="00537CC8">
      <w:pPr>
        <w:rPr>
          <w:rtl/>
        </w:rPr>
      </w:pPr>
      <w:r w:rsidRPr="0025250D">
        <w:rPr>
          <w:rtl/>
        </w:rPr>
        <w:t>بله</w:t>
      </w:r>
      <w:r w:rsidR="00537CC8" w:rsidRPr="0025250D">
        <w:rPr>
          <w:rFonts w:hint="cs"/>
          <w:rtl/>
        </w:rPr>
        <w:t xml:space="preserve"> بررسی منظومه شمسی (نه فضای میان ستاره ای) توسط انسان ارزشمند است. تماشای این که انسان‌های ماجراجویی سیاره مریخ، قمر یوروپا</w:t>
      </w:r>
      <w:r w:rsidR="00537CC8" w:rsidRPr="0025250D">
        <w:rPr>
          <w:vertAlign w:val="superscript"/>
          <w:rtl/>
        </w:rPr>
        <w:footnoteReference w:id="1883"/>
      </w:r>
      <w:r w:rsidR="00537CC8" w:rsidRPr="0025250D">
        <w:rPr>
          <w:rFonts w:hint="cs"/>
          <w:rtl/>
        </w:rPr>
        <w:t xml:space="preserve"> و دیگر محیط‌های نه چندان قابل سکونت را بررسی می‌کنند الهام بخش است. تعداد محدودی از ساختار‌ها را بر روی ماه خواهیم ساخت و ساختار‌های بهتری را نیز در مدار نزدیک به زمین خواهیم ساخت، اما به جز برای گردشگری ماجراجویی، قرار دادن انسان‌ها در فضا یک سفر بسیار کم ارزش است. از نظر ما، همه پیشرفت‌های عالی ما همچنان همین جا بر روی زمین، در مرز‌های متراکم، غیر مادی و ارزشمند فضای درونی رخ خواهند داد. علم نمی‌داند که درون سیاه چاله‌ها چه رخ می‌دهد و نمی‌دانیم که خارج از جهان ما چه چیز‌هایی وجود دارند</w:t>
      </w:r>
      <w:r w:rsidR="008D6F97" w:rsidRPr="0025250D">
        <w:rPr>
          <w:rtl/>
        </w:rPr>
        <w:t xml:space="preserve">؛ </w:t>
      </w:r>
      <w:r w:rsidR="00537CC8" w:rsidRPr="0025250D">
        <w:rPr>
          <w:rFonts w:hint="cs"/>
          <w:rtl/>
        </w:rPr>
        <w:t xml:space="preserve">اما می‌توانیم </w:t>
      </w:r>
      <w:r w:rsidR="00D92F6E" w:rsidRPr="0025250D">
        <w:rPr>
          <w:rFonts w:hint="cs"/>
          <w:rtl/>
        </w:rPr>
        <w:t>پیش‌بین</w:t>
      </w:r>
      <w:r w:rsidR="00537CC8" w:rsidRPr="0025250D">
        <w:rPr>
          <w:rFonts w:hint="cs"/>
          <w:rtl/>
        </w:rPr>
        <w:t xml:space="preserve">ی کنیم که برخی اعضای هوش‌های مصنوعی کاملا پیشرفته ما خواهند خواست به همه تمدن‌های پیشرفته دیگر در جهان متصل شوند، زیرا بسیاری از ما نیز این را می‌خواهیم. اگر فضای درونی امکان داشتن چنین ارتباطی را بدهد که فیزیکدانان متعددی اینطور حدس زده اند و اگر ما در حال </w:t>
      </w:r>
      <w:r w:rsidR="00B56611" w:rsidRPr="0025250D">
        <w:rPr>
          <w:rFonts w:hint="cs"/>
          <w:rtl/>
        </w:rPr>
        <w:t>شتاب‌گیری</w:t>
      </w:r>
      <w:r w:rsidR="00537CC8" w:rsidRPr="0025250D">
        <w:rPr>
          <w:rFonts w:hint="cs"/>
          <w:rtl/>
        </w:rPr>
        <w:t xml:space="preserve"> به سمت آن هدف به‌عنوان یک فرایند توسعه‌ای باشیم، این کار به نظر برای ما نسبت به هر چیز دیگری که ممکن است در آینده کیهانی خود انجام دهیم، بسیار جالب‌تر است. باید ببینیم.</w:t>
      </w:r>
    </w:p>
    <w:p w14:paraId="220B2F82" w14:textId="7F285B11" w:rsidR="00537CC8" w:rsidRPr="0025250D" w:rsidRDefault="00D92F6E" w:rsidP="00537CC8">
      <w:pPr>
        <w:rPr>
          <w:rtl/>
        </w:rPr>
      </w:pPr>
      <w:r w:rsidRPr="0025250D">
        <w:rPr>
          <w:rtl/>
        </w:rPr>
        <w:t>آینده‌پژوه</w:t>
      </w:r>
      <w:r w:rsidR="00537CC8" w:rsidRPr="0025250D">
        <w:rPr>
          <w:rtl/>
        </w:rPr>
        <w:t>ان عموم</w:t>
      </w:r>
      <w:r w:rsidR="00537CC8" w:rsidRPr="0025250D">
        <w:rPr>
          <w:rFonts w:hint="cs"/>
          <w:rtl/>
        </w:rPr>
        <w:t>ی</w:t>
      </w:r>
      <w:r w:rsidR="00537CC8" w:rsidRPr="0025250D">
        <w:rPr>
          <w:vertAlign w:val="superscript"/>
          <w:rtl/>
        </w:rPr>
        <w:footnoteReference w:id="1884"/>
      </w:r>
      <w:r w:rsidR="00537CC8" w:rsidRPr="0025250D">
        <w:rPr>
          <w:rFonts w:hint="cs"/>
          <w:rtl/>
        </w:rPr>
        <w:t xml:space="preserve"> که به یادگیری و نوشتن در حوزه‌های متعدد </w:t>
      </w:r>
      <w:r w:rsidR="0008779C" w:rsidRPr="0025250D">
        <w:rPr>
          <w:rFonts w:hint="cs"/>
          <w:rtl/>
        </w:rPr>
        <w:t>علاقه‌مند</w:t>
      </w:r>
      <w:r w:rsidR="00537CC8" w:rsidRPr="0025250D">
        <w:rPr>
          <w:rFonts w:hint="cs"/>
          <w:rtl/>
        </w:rPr>
        <w:t xml:space="preserve"> هستند و </w:t>
      </w:r>
      <w:r w:rsidRPr="0025250D">
        <w:rPr>
          <w:rtl/>
        </w:rPr>
        <w:t>آینده‌پژوه</w:t>
      </w:r>
      <w:r w:rsidR="00537CC8" w:rsidRPr="0025250D">
        <w:rPr>
          <w:rtl/>
        </w:rPr>
        <w:t xml:space="preserve">ان </w:t>
      </w:r>
      <w:r w:rsidR="00537CC8" w:rsidRPr="0025250D">
        <w:rPr>
          <w:rFonts w:hint="cs"/>
          <w:rtl/>
        </w:rPr>
        <w:t xml:space="preserve">خلاقی که دوست دارند جهان‌های </w:t>
      </w:r>
      <w:r w:rsidR="00563645" w:rsidRPr="0025250D">
        <w:rPr>
          <w:rFonts w:hint="cs"/>
          <w:rtl/>
        </w:rPr>
        <w:t>بدیل</w:t>
      </w:r>
      <w:r w:rsidR="00537CC8" w:rsidRPr="0025250D">
        <w:rPr>
          <w:rFonts w:hint="cs"/>
          <w:rtl/>
        </w:rPr>
        <w:t xml:space="preserve"> را تصور کنند، دو نوع از فعالان هستند که مشخصاً به نقد شدید تخیل آینده خود قبل از منتشر کردن آن نیاز دارند. هم تمایلات عمومی و هم تمایلات خلاقانه ما می‌توانند </w:t>
      </w:r>
      <w:r w:rsidR="00B0171C" w:rsidRPr="0025250D">
        <w:rPr>
          <w:rFonts w:hint="cs"/>
          <w:rtl/>
        </w:rPr>
        <w:t>به‌سادگی</w:t>
      </w:r>
      <w:r w:rsidR="00537CC8" w:rsidRPr="0025250D">
        <w:rPr>
          <w:rFonts w:hint="cs"/>
          <w:rtl/>
        </w:rPr>
        <w:t xml:space="preserve"> ما را به سمت نظرات، پیش‌بینی‌ها و داستان‌هایی ببرند که می‌توانند در ابتدا بسیار عالی به نظر برسند، حداقل از برخی دیدگاه‌ها، اما می‌توانند بسیاری در میان یک جمعیت متنوع از نظر شناختی و تجربی باور ناپذیر، غیر ممکن، غیر منطقی، غیر عملی یا مسخره </w:t>
      </w:r>
      <w:r w:rsidR="005904EB" w:rsidRPr="0025250D">
        <w:rPr>
          <w:rFonts w:hint="cs"/>
          <w:rtl/>
        </w:rPr>
        <w:t xml:space="preserve">به نظر </w:t>
      </w:r>
      <w:r w:rsidR="00537CC8" w:rsidRPr="0025250D">
        <w:rPr>
          <w:rFonts w:hint="cs"/>
          <w:rtl/>
        </w:rPr>
        <w:t>برسند.</w:t>
      </w:r>
    </w:p>
    <w:p w14:paraId="222A54BC" w14:textId="1A6C16E0" w:rsidR="00537CC8" w:rsidRPr="0025250D" w:rsidRDefault="00537CC8" w:rsidP="00537CC8">
      <w:pPr>
        <w:rPr>
          <w:rtl/>
        </w:rPr>
      </w:pPr>
      <w:r w:rsidRPr="0025250D">
        <w:rPr>
          <w:rFonts w:hint="cs"/>
          <w:rtl/>
        </w:rPr>
        <w:t xml:space="preserve">همه متخصصین </w:t>
      </w:r>
      <w:r w:rsidRPr="0025250D">
        <w:rPr>
          <w:rtl/>
        </w:rPr>
        <w:t>آینده‌نگاری</w:t>
      </w:r>
      <w:r w:rsidRPr="0025250D">
        <w:rPr>
          <w:rFonts w:hint="cs"/>
          <w:rtl/>
        </w:rPr>
        <w:t xml:space="preserve"> باید هر از گاهی حدس بزنند</w:t>
      </w:r>
      <w:r w:rsidR="005904EB" w:rsidRPr="0025250D">
        <w:rPr>
          <w:rFonts w:hint="cs"/>
          <w:rtl/>
        </w:rPr>
        <w:t>.</w:t>
      </w:r>
      <w:r w:rsidRPr="0025250D">
        <w:rPr>
          <w:rFonts w:hint="cs"/>
          <w:rtl/>
        </w:rPr>
        <w:t xml:space="preserve"> تفکر خلاق اغلب ما را به بینش جدیدی می‌رساند، اما حدس‌های ما باید </w:t>
      </w:r>
      <w:r w:rsidR="005904EB" w:rsidRPr="0025250D">
        <w:rPr>
          <w:rFonts w:hint="cs"/>
          <w:rtl/>
        </w:rPr>
        <w:t>مطابق</w:t>
      </w:r>
      <w:r w:rsidRPr="0025250D">
        <w:rPr>
          <w:rFonts w:hint="cs"/>
          <w:rtl/>
        </w:rPr>
        <w:t xml:space="preserve"> اهداف سازمانی و حرفه‌ای ما </w:t>
      </w:r>
      <w:r w:rsidR="005904EB" w:rsidRPr="0025250D">
        <w:rPr>
          <w:rFonts w:hint="cs"/>
          <w:rtl/>
        </w:rPr>
        <w:t>باشند</w:t>
      </w:r>
      <w:r w:rsidRPr="0025250D">
        <w:rPr>
          <w:rFonts w:hint="cs"/>
          <w:rtl/>
        </w:rPr>
        <w:t>. حدس و گمان همچنین باید بخش بندی شده یا محدود به زمان و مکان‌ شود، در غیر این صورت با واقعیت اشتباه گرفته می‌شود. همه ما چند نفری را می‌شناسیم که نمی‌توانند این بخش بندی را به‌خوبی انجام دهند و به شدت در خیالات خود زندگی می‌کنند. تفکر انتقادی</w:t>
      </w:r>
      <w:r w:rsidRPr="0025250D">
        <w:rPr>
          <w:vertAlign w:val="superscript"/>
          <w:rtl/>
        </w:rPr>
        <w:footnoteReference w:id="1885"/>
      </w:r>
      <w:r w:rsidRPr="0025250D">
        <w:rPr>
          <w:rFonts w:hint="cs"/>
          <w:rtl/>
        </w:rPr>
        <w:t xml:space="preserve">، ویرایش دوم اثر </w:t>
      </w:r>
      <w:r w:rsidRPr="0025250D">
        <w:rPr>
          <w:rtl/>
        </w:rPr>
        <w:t>پل</w:t>
      </w:r>
      <w:r w:rsidRPr="0025250D">
        <w:rPr>
          <w:vertAlign w:val="superscript"/>
          <w:rtl/>
        </w:rPr>
        <w:footnoteReference w:id="1886"/>
      </w:r>
      <w:r w:rsidRPr="0025250D">
        <w:rPr>
          <w:rFonts w:hint="cs"/>
          <w:rtl/>
        </w:rPr>
        <w:t xml:space="preserve"> و الدلر</w:t>
      </w:r>
      <w:r w:rsidRPr="0025250D">
        <w:rPr>
          <w:vertAlign w:val="superscript"/>
          <w:rtl/>
        </w:rPr>
        <w:footnoteReference w:id="1887"/>
      </w:r>
      <w:r w:rsidRPr="0025250D">
        <w:rPr>
          <w:rFonts w:hint="cs"/>
          <w:rtl/>
        </w:rPr>
        <w:t xml:space="preserve"> در سال 2013 یک متن بسیار خوب است که به ما می‌گوید </w:t>
      </w:r>
      <w:r w:rsidR="005904EB" w:rsidRPr="0025250D">
        <w:rPr>
          <w:rFonts w:hint="cs"/>
          <w:rtl/>
        </w:rPr>
        <w:t xml:space="preserve">که </w:t>
      </w:r>
      <w:r w:rsidRPr="0025250D">
        <w:rPr>
          <w:rFonts w:hint="cs"/>
          <w:rtl/>
        </w:rPr>
        <w:t xml:space="preserve">خلاقیت ما اگر بخواهد </w:t>
      </w:r>
      <w:r w:rsidR="00B124DE" w:rsidRPr="0025250D">
        <w:rPr>
          <w:rFonts w:hint="cs"/>
          <w:rtl/>
        </w:rPr>
        <w:t>انطباق‌پذیر</w:t>
      </w:r>
      <w:r w:rsidRPr="0025250D">
        <w:rPr>
          <w:rFonts w:hint="cs"/>
          <w:rtl/>
        </w:rPr>
        <w:t xml:space="preserve"> باشد باید همواره بر پایه واقعیت و کاربرد باشد. ما نیاز داریم که از هر سه گوشه هرم </w:t>
      </w:r>
      <w:r w:rsidRPr="0025250D">
        <w:rPr>
          <w:rtl/>
        </w:rPr>
        <w:t>آینده‌نگاری</w:t>
      </w:r>
      <w:r w:rsidRPr="0025250D">
        <w:rPr>
          <w:rFonts w:hint="cs"/>
          <w:rtl/>
        </w:rPr>
        <w:t xml:space="preserve"> کلاسیک استفاده کنیم. می‌توانیم امیدوار باشیم که در نسل بعدی پلتفرم‌ها و فرایند‌های </w:t>
      </w:r>
      <w:r w:rsidRPr="0025250D">
        <w:rPr>
          <w:rtl/>
        </w:rPr>
        <w:t>آینده‌نگاری</w:t>
      </w:r>
      <w:r w:rsidRPr="0025250D">
        <w:rPr>
          <w:rFonts w:hint="cs"/>
          <w:rtl/>
        </w:rPr>
        <w:t xml:space="preserve"> آنلاین، جامعه جهانی متفکرین آینده داستان‌های آینده ما را </w:t>
      </w:r>
      <w:r w:rsidR="005904EB" w:rsidRPr="0025250D">
        <w:rPr>
          <w:rFonts w:hint="cs"/>
          <w:rtl/>
        </w:rPr>
        <w:t xml:space="preserve">بهتر </w:t>
      </w:r>
      <w:r w:rsidRPr="0025250D">
        <w:rPr>
          <w:rFonts w:hint="cs"/>
          <w:rtl/>
        </w:rPr>
        <w:t xml:space="preserve">نقد کرده، جنبه‌های اشتباه بیش‌تری از آن‌ها را آشکار کنند و </w:t>
      </w:r>
      <w:r w:rsidR="00B124DE" w:rsidRPr="0025250D">
        <w:rPr>
          <w:rFonts w:hint="cs"/>
          <w:rtl/>
        </w:rPr>
        <w:t>آینده‌اندیش</w:t>
      </w:r>
      <w:r w:rsidRPr="0025250D">
        <w:rPr>
          <w:rFonts w:hint="cs"/>
          <w:rtl/>
        </w:rPr>
        <w:t xml:space="preserve">ی بیش‌تری را برای همه ما قابل دسترسی سازند. ما تلاش کوچک خود، </w:t>
      </w:r>
      <w:r w:rsidRPr="0025250D">
        <w:rPr>
          <w:rtl/>
        </w:rPr>
        <w:t>ف</w:t>
      </w:r>
      <w:r w:rsidRPr="0025250D">
        <w:rPr>
          <w:rFonts w:hint="cs"/>
          <w:rtl/>
        </w:rPr>
        <w:t>ی</w:t>
      </w:r>
      <w:r w:rsidRPr="0025250D">
        <w:rPr>
          <w:rFonts w:hint="eastAsia"/>
          <w:rtl/>
        </w:rPr>
        <w:t>وچرپد</w:t>
      </w:r>
      <w:r w:rsidRPr="0025250D">
        <w:rPr>
          <w:rFonts w:hint="cs"/>
          <w:rtl/>
        </w:rPr>
        <w:t>ی</w:t>
      </w:r>
      <w:r w:rsidRPr="0025250D">
        <w:rPr>
          <w:rFonts w:hint="eastAsia"/>
          <w:rtl/>
        </w:rPr>
        <w:t>ا</w:t>
      </w:r>
      <w:r w:rsidRPr="0025250D">
        <w:rPr>
          <w:vertAlign w:val="superscript"/>
          <w:rtl/>
        </w:rPr>
        <w:footnoteReference w:id="1888"/>
      </w:r>
      <w:r w:rsidRPr="0025250D">
        <w:rPr>
          <w:rFonts w:hint="cs"/>
          <w:rtl/>
        </w:rPr>
        <w:t xml:space="preserve"> را در انتهای این کتاب، از این نظر انجام خواهیم داد.</w:t>
      </w:r>
    </w:p>
    <w:p w14:paraId="4D018737" w14:textId="77777777" w:rsidR="00537CC8" w:rsidRPr="0025250D" w:rsidRDefault="00537CC8" w:rsidP="00537CC8">
      <w:pPr>
        <w:rPr>
          <w:rtl/>
        </w:rPr>
      </w:pPr>
    </w:p>
    <w:p w14:paraId="4EAD176E" w14:textId="77777777" w:rsidR="00537CC8" w:rsidRPr="0025250D" w:rsidRDefault="00537CC8" w:rsidP="00537CC8">
      <w:pPr>
        <w:rPr>
          <w:rtl/>
        </w:rPr>
      </w:pPr>
    </w:p>
    <w:p w14:paraId="6168B79E" w14:textId="77777777" w:rsidR="00537CC8" w:rsidRPr="0025250D" w:rsidRDefault="00537CC8" w:rsidP="00537CC8">
      <w:pPr>
        <w:rPr>
          <w:rtl/>
        </w:rPr>
      </w:pPr>
    </w:p>
    <w:p w14:paraId="09590E61" w14:textId="66408AF1" w:rsidR="00537CC8" w:rsidRPr="0025250D" w:rsidRDefault="00B124DE" w:rsidP="00D53F87">
      <w:pPr>
        <w:pStyle w:val="Heading2"/>
        <w:rPr>
          <w:rtl/>
        </w:rPr>
      </w:pPr>
      <w:bookmarkStart w:id="55" w:name="_Toc127831320"/>
      <w:r w:rsidRPr="0025250D">
        <w:rPr>
          <w:rFonts w:hint="cs"/>
          <w:rtl/>
        </w:rPr>
        <w:t>جمع‌آوری</w:t>
      </w:r>
      <w:r w:rsidR="00537CC8" w:rsidRPr="0025250D">
        <w:rPr>
          <w:rFonts w:hint="cs"/>
          <w:rtl/>
        </w:rPr>
        <w:t xml:space="preserve"> داستان‌های </w:t>
      </w:r>
      <w:r w:rsidR="00822BD5" w:rsidRPr="0025250D">
        <w:rPr>
          <w:rtl/>
        </w:rPr>
        <w:t>تخم مرغ شانسی مانند</w:t>
      </w:r>
      <w:r w:rsidR="00537CC8" w:rsidRPr="0025250D">
        <w:rPr>
          <w:rFonts w:hint="cs"/>
          <w:rtl/>
        </w:rPr>
        <w:t xml:space="preserve"> (آینده‌های مهم، به‌خوبی نقد شده و </w:t>
      </w:r>
      <w:r w:rsidR="00923DDB" w:rsidRPr="0025250D">
        <w:rPr>
          <w:rFonts w:hint="cs"/>
          <w:rtl/>
        </w:rPr>
        <w:t>باورپذیر</w:t>
      </w:r>
      <w:r w:rsidR="00537CC8" w:rsidRPr="0025250D">
        <w:rPr>
          <w:rFonts w:hint="cs"/>
          <w:rtl/>
        </w:rPr>
        <w:t>)</w:t>
      </w:r>
      <w:bookmarkEnd w:id="55"/>
    </w:p>
    <w:p w14:paraId="38895AE2" w14:textId="0FE90D82" w:rsidR="00537CC8" w:rsidRPr="0025250D" w:rsidRDefault="00537CC8" w:rsidP="00537CC8">
      <w:pPr>
        <w:rPr>
          <w:rtl/>
        </w:rPr>
      </w:pPr>
      <w:r w:rsidRPr="0025250D">
        <w:rPr>
          <w:rFonts w:hint="cs"/>
          <w:rtl/>
        </w:rPr>
        <w:t>همه متخصصین آینده که به صورت جدی در این زمینه کار می‌کنند، مستقل از این که در زندگی خصوصی خود و در ذهن خود چه می‌کنند، در تلاش برای بیان</w:t>
      </w:r>
      <w:r w:rsidR="008D6F97" w:rsidRPr="0025250D">
        <w:rPr>
          <w:rtl/>
        </w:rPr>
        <w:t xml:space="preserve"> </w:t>
      </w:r>
      <w:r w:rsidRPr="0025250D">
        <w:rPr>
          <w:rFonts w:hint="cs"/>
          <w:rtl/>
        </w:rPr>
        <w:t xml:space="preserve">عمومی و نگارش داستان‌های مبتنی بر چهار </w:t>
      </w:r>
      <w:r w:rsidRPr="0025250D">
        <w:t>P</w:t>
      </w:r>
      <w:r w:rsidRPr="0025250D">
        <w:rPr>
          <w:rFonts w:hint="cs"/>
          <w:rtl/>
        </w:rPr>
        <w:t xml:space="preserve"> هستند که از </w:t>
      </w:r>
      <w:r w:rsidR="00891C50" w:rsidRPr="0025250D">
        <w:rPr>
          <w:rFonts w:hint="cs"/>
          <w:rtl/>
        </w:rPr>
        <w:t>حجم</w:t>
      </w:r>
      <w:r w:rsidRPr="0025250D">
        <w:rPr>
          <w:rFonts w:hint="cs"/>
          <w:rtl/>
        </w:rPr>
        <w:t xml:space="preserve"> زیادی از نقد‌های تخصصی و عمومی جان سالم به در برده باشند. انجام یک حلقه انجام از تحقیق، خلق (</w:t>
      </w:r>
      <w:r w:rsidRPr="0025250D">
        <w:rPr>
          <w:rtl/>
        </w:rPr>
        <w:t>آینده‌نگاری</w:t>
      </w:r>
      <w:r w:rsidRPr="0025250D">
        <w:rPr>
          <w:rFonts w:hint="cs"/>
          <w:rtl/>
        </w:rPr>
        <w:t xml:space="preserve">)، بیان (عمل) و نقد (بازبینی) بیش‌ترین باورپذیری و </w:t>
      </w:r>
      <w:r w:rsidR="00891C50" w:rsidRPr="0025250D">
        <w:rPr>
          <w:rFonts w:hint="cs"/>
          <w:rtl/>
        </w:rPr>
        <w:t xml:space="preserve">تا حدی </w:t>
      </w:r>
      <w:r w:rsidRPr="0025250D">
        <w:rPr>
          <w:rFonts w:hint="cs"/>
          <w:rtl/>
        </w:rPr>
        <w:t>احتمال تبدیل شدن به حقیقت را</w:t>
      </w:r>
      <w:r w:rsidR="00891C50" w:rsidRPr="0025250D">
        <w:rPr>
          <w:rFonts w:hint="cs"/>
          <w:rtl/>
        </w:rPr>
        <w:t xml:space="preserve"> </w:t>
      </w:r>
      <w:r w:rsidRPr="0025250D">
        <w:rPr>
          <w:rFonts w:hint="cs"/>
          <w:rtl/>
        </w:rPr>
        <w:t xml:space="preserve">دارد. ما هر داستان مهم، به‌خوبی نقد شده و همچنان باورپذیر و شدنی را داستان </w:t>
      </w:r>
      <w:r w:rsidR="00822BD5" w:rsidRPr="0025250D">
        <w:rPr>
          <w:rtl/>
        </w:rPr>
        <w:t>تخم مرغ شانسی مانند</w:t>
      </w:r>
      <w:r w:rsidRPr="0025250D">
        <w:rPr>
          <w:rFonts w:hint="cs"/>
          <w:rtl/>
        </w:rPr>
        <w:t xml:space="preserve"> می‌نامیم. این داستان‌ها به دلیل همه نقد‌هایی که دریافت </w:t>
      </w:r>
      <w:r w:rsidR="007118DE" w:rsidRPr="0025250D">
        <w:rPr>
          <w:rFonts w:hint="cs"/>
          <w:rtl/>
        </w:rPr>
        <w:t>کرده‌اند</w:t>
      </w:r>
      <w:r w:rsidRPr="0025250D">
        <w:rPr>
          <w:rFonts w:hint="cs"/>
          <w:rtl/>
        </w:rPr>
        <w:t xml:space="preserve">، به خود لرزیده اند و نجات </w:t>
      </w:r>
      <w:r w:rsidR="0008779C" w:rsidRPr="0025250D">
        <w:rPr>
          <w:rFonts w:hint="cs"/>
          <w:rtl/>
        </w:rPr>
        <w:t>یافته‌اند</w:t>
      </w:r>
      <w:r w:rsidRPr="0025250D">
        <w:rPr>
          <w:rFonts w:hint="cs"/>
          <w:rtl/>
        </w:rPr>
        <w:t xml:space="preserve"> و به طور مشخص برای </w:t>
      </w:r>
      <w:r w:rsidR="00B124DE" w:rsidRPr="0025250D">
        <w:rPr>
          <w:rFonts w:hint="cs"/>
          <w:rtl/>
        </w:rPr>
        <w:t>جمع‌آوری</w:t>
      </w:r>
      <w:r w:rsidRPr="0025250D">
        <w:rPr>
          <w:rFonts w:hint="cs"/>
          <w:rtl/>
        </w:rPr>
        <w:t xml:space="preserve">، درک و </w:t>
      </w:r>
      <w:r w:rsidR="00923DDB" w:rsidRPr="0025250D">
        <w:rPr>
          <w:rFonts w:hint="cs"/>
          <w:rtl/>
        </w:rPr>
        <w:t>به‌کارگیری</w:t>
      </w:r>
      <w:r w:rsidRPr="0025250D">
        <w:rPr>
          <w:rFonts w:hint="cs"/>
          <w:rtl/>
        </w:rPr>
        <w:t xml:space="preserve"> ارزشمند هستند.</w:t>
      </w:r>
    </w:p>
    <w:p w14:paraId="08705A0F" w14:textId="05709193" w:rsidR="00537CC8" w:rsidRPr="0025250D" w:rsidRDefault="00822BD5" w:rsidP="00537CC8">
      <w:pPr>
        <w:rPr>
          <w:rtl/>
        </w:rPr>
      </w:pPr>
      <w:r w:rsidRPr="0025250D">
        <w:rPr>
          <w:rtl/>
        </w:rPr>
        <w:t>تخم مرغ شانسی</w:t>
      </w:r>
      <w:r w:rsidR="00537CC8" w:rsidRPr="0025250D">
        <w:rPr>
          <w:rFonts w:hint="cs"/>
          <w:rtl/>
        </w:rPr>
        <w:t xml:space="preserve"> یک اسباب بازی کوچک به شکل تخم مرغ است که اولین بار توسط </w:t>
      </w:r>
      <w:r w:rsidR="00537CC8" w:rsidRPr="0025250D">
        <w:rPr>
          <w:rtl/>
        </w:rPr>
        <w:t>هاسبرو</w:t>
      </w:r>
      <w:r w:rsidR="00537CC8" w:rsidRPr="0025250D">
        <w:rPr>
          <w:vertAlign w:val="superscript"/>
          <w:rtl/>
        </w:rPr>
        <w:footnoteReference w:id="1889"/>
      </w:r>
      <w:r w:rsidR="00537CC8" w:rsidRPr="0025250D">
        <w:rPr>
          <w:rFonts w:hint="cs"/>
          <w:rtl/>
        </w:rPr>
        <w:t xml:space="preserve"> در سال 1971 فروخته شد و امروزه </w:t>
      </w:r>
      <w:r w:rsidR="00891C50" w:rsidRPr="0025250D">
        <w:rPr>
          <w:rFonts w:hint="cs"/>
          <w:rtl/>
        </w:rPr>
        <w:t>نیز</w:t>
      </w:r>
      <w:r w:rsidR="00537CC8" w:rsidRPr="0025250D">
        <w:rPr>
          <w:rFonts w:hint="cs"/>
          <w:rtl/>
        </w:rPr>
        <w:t xml:space="preserve"> هنوز </w:t>
      </w:r>
      <w:r w:rsidR="00891C50" w:rsidRPr="0025250D">
        <w:rPr>
          <w:rFonts w:hint="cs"/>
          <w:rtl/>
        </w:rPr>
        <w:t>به فروش می‌رسد</w:t>
      </w:r>
      <w:r w:rsidR="00537CC8" w:rsidRPr="0025250D">
        <w:rPr>
          <w:rFonts w:hint="cs"/>
          <w:rtl/>
        </w:rPr>
        <w:t xml:space="preserve">. تقریبا همه وزن یک </w:t>
      </w:r>
      <w:r w:rsidRPr="0025250D">
        <w:rPr>
          <w:rtl/>
        </w:rPr>
        <w:t>تخم مرغ شانسی</w:t>
      </w:r>
      <w:r w:rsidR="00537CC8" w:rsidRPr="0025250D">
        <w:rPr>
          <w:rFonts w:hint="cs"/>
          <w:rtl/>
        </w:rPr>
        <w:t xml:space="preserve"> در پایین آن قرار دارد، بنابراین وقتی آن را سرنگون کنید، دوباره با لرزیدن و لق خوردن به جای خود بر می‌گردد. همین نکته درمورد هر داستان</w:t>
      </w:r>
      <w:r w:rsidR="00891C50" w:rsidRPr="0025250D">
        <w:rPr>
          <w:rFonts w:hint="cs"/>
          <w:rtl/>
        </w:rPr>
        <w:t xml:space="preserve"> خوبی از</w:t>
      </w:r>
      <w:r w:rsidR="00537CC8" w:rsidRPr="0025250D">
        <w:rPr>
          <w:rFonts w:hint="cs"/>
          <w:rtl/>
        </w:rPr>
        <w:t xml:space="preserve"> آینده صدق می‌کند. </w:t>
      </w:r>
      <w:r w:rsidR="007118DE" w:rsidRPr="0025250D">
        <w:rPr>
          <w:rFonts w:hint="cs"/>
          <w:rtl/>
        </w:rPr>
        <w:t>همان‌طور</w:t>
      </w:r>
      <w:r w:rsidR="00537CC8" w:rsidRPr="0025250D">
        <w:rPr>
          <w:rFonts w:hint="cs"/>
          <w:rtl/>
        </w:rPr>
        <w:t xml:space="preserve"> که تبلیغات این اسباب بازی‌ها بیان می‌کردند، </w:t>
      </w:r>
      <w:r w:rsidR="005B1DA7" w:rsidRPr="0025250D">
        <w:rPr>
          <w:rtl/>
        </w:rPr>
        <w:t>«</w:t>
      </w:r>
      <w:r w:rsidRPr="0025250D">
        <w:rPr>
          <w:rtl/>
        </w:rPr>
        <w:t>تخم مرغ شانسی</w:t>
      </w:r>
      <w:r w:rsidR="00537CC8" w:rsidRPr="0025250D">
        <w:rPr>
          <w:rFonts w:hint="cs"/>
          <w:rtl/>
        </w:rPr>
        <w:t>‌ها لق می‌خورند، اما نمی‌افتند</w:t>
      </w:r>
      <w:r w:rsidR="00537CC8" w:rsidRPr="0025250D">
        <w:rPr>
          <w:vertAlign w:val="superscript"/>
          <w:rtl/>
        </w:rPr>
        <w:footnoteReference w:id="1890"/>
      </w:r>
      <w:r w:rsidR="005B1DA7" w:rsidRPr="0025250D">
        <w:rPr>
          <w:rtl/>
        </w:rPr>
        <w:t>»</w:t>
      </w:r>
      <w:r w:rsidR="00537CC8" w:rsidRPr="0025250D">
        <w:rPr>
          <w:rFonts w:hint="cs"/>
          <w:rtl/>
        </w:rPr>
        <w:t xml:space="preserve">. </w:t>
      </w:r>
      <w:r w:rsidR="00537CC8" w:rsidRPr="0025250D">
        <w:rPr>
          <w:rtl/>
        </w:rPr>
        <w:t>جان</w:t>
      </w:r>
      <w:r w:rsidR="00891C50" w:rsidRPr="0025250D">
        <w:rPr>
          <w:rFonts w:hint="cs"/>
          <w:rtl/>
        </w:rPr>
        <w:t xml:space="preserve"> اسمارت</w:t>
      </w:r>
      <w:r w:rsidR="00537CC8" w:rsidRPr="0025250D">
        <w:rPr>
          <w:rFonts w:hint="cs"/>
          <w:rtl/>
        </w:rPr>
        <w:t xml:space="preserve"> یک </w:t>
      </w:r>
      <w:r w:rsidRPr="0025250D">
        <w:rPr>
          <w:rtl/>
        </w:rPr>
        <w:t>تخم مرغ شانسی</w:t>
      </w:r>
      <w:r w:rsidR="00537CC8" w:rsidRPr="0025250D">
        <w:rPr>
          <w:rFonts w:hint="cs"/>
          <w:rtl/>
        </w:rPr>
        <w:t xml:space="preserve"> بر روی میز خود دارد تا به او ویژگی‌های کلیدی هر داستان آینده خوب را</w:t>
      </w:r>
      <w:r w:rsidR="00891C50" w:rsidRPr="0025250D">
        <w:rPr>
          <w:rFonts w:hint="cs"/>
          <w:rtl/>
        </w:rPr>
        <w:t xml:space="preserve"> یادآوری کند تا</w:t>
      </w:r>
      <w:r w:rsidR="00537CC8" w:rsidRPr="0025250D">
        <w:rPr>
          <w:rFonts w:hint="cs"/>
          <w:rtl/>
        </w:rPr>
        <w:t xml:space="preserve"> بتوانیم اعتماد معقولی به ارزشمند بودن آن‌ها داشته باشیم.</w:t>
      </w:r>
    </w:p>
    <w:p w14:paraId="593BAFA3" w14:textId="77777777" w:rsidR="00537CC8" w:rsidRPr="0025250D" w:rsidRDefault="00537CC8" w:rsidP="00761941">
      <w:pPr>
        <w:jc w:val="center"/>
        <w:rPr>
          <w:rtl/>
        </w:rPr>
      </w:pPr>
      <w:r w:rsidRPr="0025250D">
        <w:rPr>
          <w:noProof/>
          <w:rtl/>
          <w:lang w:bidi="ar-SA"/>
        </w:rPr>
        <w:drawing>
          <wp:inline distT="0" distB="0" distL="0" distR="0" wp14:anchorId="72352014" wp14:editId="4D0151F9">
            <wp:extent cx="1988323" cy="1638300"/>
            <wp:effectExtent l="0" t="0" r="0" b="0"/>
            <wp:docPr id="103" name="Picture 103" descr="D:\کار\مستقل\3 ( ترجمه ی دانشگاه تهران  )\Introduction to Foresight\part5\1-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کار\مستقل\3 ( ترجمه ی دانشگاه تهران  )\Introduction to Foresight\part5\1-new.png"/>
                    <pic:cNvPicPr>
                      <a:picLocks noChangeAspect="1" noChangeArrowheads="1"/>
                    </pic:cNvPicPr>
                  </pic:nvPicPr>
                  <pic:blipFill rotWithShape="1">
                    <a:blip r:embed="rId162" cstate="screen">
                      <a:extLst>
                        <a:ext uri="{BEBA8EAE-BF5A-486C-A8C5-ECC9F3942E4B}">
                          <a14:imgProps xmlns:a14="http://schemas.microsoft.com/office/drawing/2010/main">
                            <a14:imgLayer r:embed="rId163">
                              <a14:imgEffect>
                                <a14:saturation sat="0"/>
                              </a14:imgEffect>
                            </a14:imgLayer>
                          </a14:imgProps>
                        </a:ext>
                        <a:ext uri="{28A0092B-C50C-407E-A947-70E740481C1C}">
                          <a14:useLocalDpi xmlns:a14="http://schemas.microsoft.com/office/drawing/2010/main"/>
                        </a:ext>
                      </a:extLst>
                    </a:blip>
                    <a:srcRect/>
                    <a:stretch/>
                  </pic:blipFill>
                  <pic:spPr bwMode="auto">
                    <a:xfrm>
                      <a:off x="0" y="0"/>
                      <a:ext cx="1993655" cy="1642693"/>
                    </a:xfrm>
                    <a:prstGeom prst="rect">
                      <a:avLst/>
                    </a:prstGeom>
                    <a:noFill/>
                    <a:ln>
                      <a:noFill/>
                    </a:ln>
                    <a:extLst>
                      <a:ext uri="{53640926-AAD7-44D8-BBD7-CCE9431645EC}">
                        <a14:shadowObscured xmlns:a14="http://schemas.microsoft.com/office/drawing/2010/main"/>
                      </a:ext>
                    </a:extLst>
                  </pic:spPr>
                </pic:pic>
              </a:graphicData>
            </a:graphic>
          </wp:inline>
        </w:drawing>
      </w:r>
    </w:p>
    <w:p w14:paraId="61CDF746" w14:textId="77777777" w:rsidR="00537CC8" w:rsidRPr="0025250D" w:rsidRDefault="00537CC8" w:rsidP="00761941">
      <w:pPr>
        <w:jc w:val="center"/>
        <w:rPr>
          <w:rtl/>
        </w:rPr>
      </w:pPr>
      <w:r w:rsidRPr="0025250D">
        <w:rPr>
          <w:rFonts w:hint="cs"/>
          <w:rtl/>
        </w:rPr>
        <w:t>تخم مرغ شانسی، 1971</w:t>
      </w:r>
    </w:p>
    <w:p w14:paraId="35942A52" w14:textId="2D9BDE47" w:rsidR="00537CC8" w:rsidRPr="0025250D" w:rsidRDefault="00537CC8" w:rsidP="00537CC8">
      <w:pPr>
        <w:rPr>
          <w:rtl/>
        </w:rPr>
      </w:pPr>
      <w:r w:rsidRPr="0025250D">
        <w:rPr>
          <w:rFonts w:hint="cs"/>
          <w:rtl/>
        </w:rPr>
        <w:t xml:space="preserve">یک داستان </w:t>
      </w:r>
      <w:r w:rsidR="00822BD5" w:rsidRPr="0025250D">
        <w:rPr>
          <w:rtl/>
        </w:rPr>
        <w:t>تخم مرغ شانسی مانند</w:t>
      </w:r>
      <w:r w:rsidRPr="0025250D">
        <w:rPr>
          <w:rFonts w:hint="cs"/>
          <w:rtl/>
        </w:rPr>
        <w:t xml:space="preserve"> یک روند، </w:t>
      </w:r>
      <w:r w:rsidR="00D92F6E" w:rsidRPr="0025250D">
        <w:rPr>
          <w:rFonts w:hint="cs"/>
          <w:rtl/>
        </w:rPr>
        <w:t>پیش‌بین</w:t>
      </w:r>
      <w:r w:rsidRPr="0025250D">
        <w:rPr>
          <w:rFonts w:hint="cs"/>
          <w:rtl/>
        </w:rPr>
        <w:t xml:space="preserve">ی، ریسک، </w:t>
      </w:r>
      <w:r w:rsidR="00701E03" w:rsidRPr="0025250D">
        <w:rPr>
          <w:rFonts w:hint="cs"/>
          <w:rtl/>
        </w:rPr>
        <w:t>فرانامه</w:t>
      </w:r>
      <w:r w:rsidRPr="0025250D">
        <w:rPr>
          <w:rFonts w:hint="cs"/>
          <w:rtl/>
        </w:rPr>
        <w:t xml:space="preserve">، فرصت، </w:t>
      </w:r>
      <w:r w:rsidR="00701E03" w:rsidRPr="0025250D">
        <w:rPr>
          <w:rFonts w:hint="cs"/>
          <w:rtl/>
        </w:rPr>
        <w:t>راهبرد</w:t>
      </w:r>
      <w:r w:rsidRPr="0025250D">
        <w:rPr>
          <w:rFonts w:hint="cs"/>
          <w:rtl/>
        </w:rPr>
        <w:t xml:space="preserve">، </w:t>
      </w:r>
      <w:r w:rsidR="00B56611" w:rsidRPr="0025250D">
        <w:rPr>
          <w:rFonts w:hint="cs"/>
          <w:rtl/>
        </w:rPr>
        <w:t>چشم‌انداز</w:t>
      </w:r>
      <w:r w:rsidRPr="0025250D">
        <w:rPr>
          <w:rFonts w:hint="cs"/>
          <w:rtl/>
        </w:rPr>
        <w:t xml:space="preserve"> پیشرفت یا دیگر قضاوت‌ها درمورد گذشته، حال یا آینده است که در گذشته شاهد انتقادات زیادی (اقداماتی برای سرنگون کردن آن) بوده است، اما تا به حال، سرپا مانده </w:t>
      </w:r>
      <w:r w:rsidR="005B1DA7" w:rsidRPr="0025250D">
        <w:rPr>
          <w:rtl/>
        </w:rPr>
        <w:t>است</w:t>
      </w:r>
      <w:r w:rsidRPr="0025250D">
        <w:rPr>
          <w:rFonts w:hint="cs"/>
          <w:rtl/>
        </w:rPr>
        <w:t xml:space="preserve">. روند‌های ضمنی یا شرایط به نظر از آن حمایت می‌کنند، بنابراین این داستان همچنان باورپذیر و شدنی باقی می‌ماند. یک داستان </w:t>
      </w:r>
      <w:r w:rsidR="00822BD5" w:rsidRPr="0025250D">
        <w:rPr>
          <w:rtl/>
        </w:rPr>
        <w:t>تخم مرغ شانسی مانند</w:t>
      </w:r>
      <w:r w:rsidRPr="0025250D">
        <w:rPr>
          <w:rFonts w:hint="cs"/>
          <w:rtl/>
        </w:rPr>
        <w:t xml:space="preserve"> خوب هم معنا دار خواهد بود (این آینده در صورت درست بودن به شکل‌های مهمی تغییر خواهد کرد) و هم تاریخچه‌ای از مقاومت در برابر نقد در ادعاهای مهم خود، حتی با وجود تغییر و بهبود توسط نقد در بسیاری از عناصر داستانی خود خواهد داشت.</w:t>
      </w:r>
    </w:p>
    <w:p w14:paraId="1028693A" w14:textId="16827B80" w:rsidR="00537CC8" w:rsidRPr="0025250D" w:rsidRDefault="00537CC8" w:rsidP="00537CC8">
      <w:pPr>
        <w:rPr>
          <w:rtl/>
        </w:rPr>
      </w:pPr>
      <w:r w:rsidRPr="0025250D">
        <w:rPr>
          <w:rFonts w:hint="cs"/>
          <w:rtl/>
        </w:rPr>
        <w:t xml:space="preserve">بهترین داستان‌های </w:t>
      </w:r>
      <w:r w:rsidR="00822BD5" w:rsidRPr="0025250D">
        <w:rPr>
          <w:rtl/>
        </w:rPr>
        <w:t>تخم مرغ شانسی مانند</w:t>
      </w:r>
      <w:r w:rsidRPr="0025250D">
        <w:rPr>
          <w:rFonts w:hint="cs"/>
          <w:rtl/>
        </w:rPr>
        <w:t xml:space="preserve"> دائما شواهد و استدلال‌هایی را به خود جلب می‌کنند، زیرا روند‌ها یا شرایط صریح و ضمنی فعلی به شکل فزاینده‌ای به نظر از آن‌ها پشتیبانی می‌کنند. با ادامه لرزش و تلو تلو خوردن در مسیر، آن‌ها </w:t>
      </w:r>
      <w:r w:rsidR="00841C3C" w:rsidRPr="0025250D">
        <w:rPr>
          <w:rFonts w:hint="cs"/>
          <w:rtl/>
        </w:rPr>
        <w:t>بیشتر جدی گرفته می‌شوند</w:t>
      </w:r>
      <w:r w:rsidRPr="0025250D">
        <w:rPr>
          <w:rFonts w:hint="cs"/>
          <w:rtl/>
        </w:rPr>
        <w:t xml:space="preserve">. برخی داستان‌های </w:t>
      </w:r>
      <w:r w:rsidR="00822BD5" w:rsidRPr="0025250D">
        <w:rPr>
          <w:rtl/>
        </w:rPr>
        <w:t>تخم مرغ شانسی مانند</w:t>
      </w:r>
      <w:r w:rsidRPr="0025250D">
        <w:rPr>
          <w:rFonts w:hint="cs"/>
          <w:rtl/>
        </w:rPr>
        <w:t xml:space="preserve"> طبیعتا وقتی ادعاهای </w:t>
      </w:r>
      <w:r w:rsidR="00841C3C" w:rsidRPr="0025250D">
        <w:rPr>
          <w:rFonts w:hint="cs"/>
          <w:rtl/>
        </w:rPr>
        <w:t xml:space="preserve">خاصی نسبت به </w:t>
      </w:r>
      <w:r w:rsidRPr="0025250D">
        <w:rPr>
          <w:rFonts w:hint="cs"/>
          <w:rtl/>
        </w:rPr>
        <w:t>آینده د</w:t>
      </w:r>
      <w:r w:rsidR="00841C3C" w:rsidRPr="0025250D">
        <w:rPr>
          <w:rFonts w:hint="cs"/>
          <w:rtl/>
        </w:rPr>
        <w:t>ا</w:t>
      </w:r>
      <w:r w:rsidRPr="0025250D">
        <w:rPr>
          <w:rFonts w:hint="cs"/>
          <w:rtl/>
        </w:rPr>
        <w:t>شته باشند انتقاداتی را متوجه خود می‌سازند. دیگر داستان‌ها وقتی با فرضیات یا توافقات فعلی مخالفت داشته باشند،</w:t>
      </w:r>
      <w:r w:rsidR="005B1DA7" w:rsidRPr="0025250D">
        <w:rPr>
          <w:rtl/>
        </w:rPr>
        <w:t xml:space="preserve"> انتقادات</w:t>
      </w:r>
      <w:r w:rsidRPr="0025250D">
        <w:rPr>
          <w:rFonts w:hint="cs"/>
          <w:rtl/>
        </w:rPr>
        <w:t xml:space="preserve"> را به خود جلب می‌کنند. برخی دیگر در صورتی که ناراحت کننده و دشوار باشند (تغییرات اقلیمی را در نظر بگیرید)</w:t>
      </w:r>
      <w:r w:rsidR="00841C3C" w:rsidRPr="0025250D">
        <w:rPr>
          <w:rFonts w:hint="cs"/>
          <w:rtl/>
        </w:rPr>
        <w:t xml:space="preserve"> یا</w:t>
      </w:r>
      <w:r w:rsidRPr="0025250D">
        <w:rPr>
          <w:rFonts w:hint="cs"/>
          <w:rtl/>
        </w:rPr>
        <w:t xml:space="preserve"> در صورتی که کسی پول، قدرت یا موقعیت خود را </w:t>
      </w:r>
      <w:r w:rsidR="00841C3C" w:rsidRPr="0025250D">
        <w:rPr>
          <w:rFonts w:hint="cs"/>
          <w:rtl/>
        </w:rPr>
        <w:t xml:space="preserve">در اثر درست بودن داستان </w:t>
      </w:r>
      <w:r w:rsidRPr="0025250D">
        <w:rPr>
          <w:rFonts w:hint="cs"/>
          <w:rtl/>
        </w:rPr>
        <w:t xml:space="preserve">از دست بدهد یا مجبور باشد که رفتار خود را اصلاح کند (باز </w:t>
      </w:r>
      <w:r w:rsidR="0020589F" w:rsidRPr="0025250D">
        <w:rPr>
          <w:rtl/>
        </w:rPr>
        <w:t>هم</w:t>
      </w:r>
      <w:r w:rsidRPr="0025250D">
        <w:rPr>
          <w:rFonts w:hint="cs"/>
          <w:rtl/>
        </w:rPr>
        <w:t xml:space="preserve"> تغییرات اقلیمی را در نظر بگیرید) مورد انتقاد قرار می‌گیرند. دیگر داستان‌های </w:t>
      </w:r>
      <w:r w:rsidR="00822BD5" w:rsidRPr="0025250D">
        <w:rPr>
          <w:rtl/>
        </w:rPr>
        <w:t>تخم مرغ شانسی مانند</w:t>
      </w:r>
      <w:r w:rsidRPr="0025250D">
        <w:rPr>
          <w:rFonts w:hint="cs"/>
          <w:rtl/>
        </w:rPr>
        <w:t xml:space="preserve"> </w:t>
      </w:r>
      <w:r w:rsidR="00841C3C" w:rsidRPr="0025250D">
        <w:rPr>
          <w:rFonts w:hint="cs"/>
          <w:rtl/>
        </w:rPr>
        <w:t xml:space="preserve">به دلیل این که ممکن است فاقد هر یک از این عوامل باشند یا به این دلیل که فنی، پیچیده یا انتزاعی هستند یا به هر دلیل دیگری </w:t>
      </w:r>
      <w:r w:rsidRPr="0025250D">
        <w:rPr>
          <w:rFonts w:hint="cs"/>
          <w:rtl/>
        </w:rPr>
        <w:t>انتقادات زیادی را متوجه خود نمی‌سازند. در آن صورت، نویسنده یا استفاده کننده از این داستان، درصورتی که بخواهد واجد شرایط</w:t>
      </w:r>
      <w:r w:rsidR="00B4242B" w:rsidRPr="0025250D">
        <w:rPr>
          <w:rFonts w:hint="cs"/>
          <w:rtl/>
        </w:rPr>
        <w:t xml:space="preserve"> تبدیل شدن به</w:t>
      </w:r>
      <w:r w:rsidRPr="0025250D">
        <w:rPr>
          <w:rFonts w:hint="cs"/>
          <w:rtl/>
        </w:rPr>
        <w:t xml:space="preserve"> یک</w:t>
      </w:r>
      <w:r w:rsidR="00B4242B" w:rsidRPr="0025250D">
        <w:rPr>
          <w:rFonts w:hint="cs"/>
          <w:rtl/>
        </w:rPr>
        <w:t xml:space="preserve"> داستان</w:t>
      </w:r>
      <w:r w:rsidRPr="0025250D">
        <w:rPr>
          <w:rFonts w:hint="cs"/>
          <w:rtl/>
        </w:rPr>
        <w:t xml:space="preserve"> </w:t>
      </w:r>
      <w:r w:rsidR="00822BD5" w:rsidRPr="0025250D">
        <w:rPr>
          <w:rtl/>
        </w:rPr>
        <w:t>تخم مرغ شانسی مانند</w:t>
      </w:r>
      <w:r w:rsidRPr="0025250D">
        <w:rPr>
          <w:rFonts w:hint="cs"/>
          <w:rtl/>
        </w:rPr>
        <w:t xml:space="preserve"> باشد، به انجام یک تلاش اضافی برای دریافت نقد کافی درمورد این داستان نیاز دارد و باید همچنین از این انتقادات جان سالم به در ببرد.</w:t>
      </w:r>
    </w:p>
    <w:p w14:paraId="79599CF3" w14:textId="5972C4FD" w:rsidR="00537CC8" w:rsidRPr="0025250D" w:rsidRDefault="00537CC8" w:rsidP="00537CC8">
      <w:pPr>
        <w:rPr>
          <w:rtl/>
        </w:rPr>
      </w:pPr>
      <w:r w:rsidRPr="0025250D">
        <w:rPr>
          <w:rFonts w:hint="cs"/>
          <w:rtl/>
        </w:rPr>
        <w:t xml:space="preserve">ما به‌عنوان فعالان </w:t>
      </w:r>
      <w:r w:rsidRPr="0025250D">
        <w:rPr>
          <w:rtl/>
        </w:rPr>
        <w:t>آینده‌نگاری</w:t>
      </w:r>
      <w:r w:rsidRPr="0025250D">
        <w:rPr>
          <w:rFonts w:hint="cs"/>
          <w:rtl/>
        </w:rPr>
        <w:t xml:space="preserve">، می‌خواهیم هر تعداد داستان </w:t>
      </w:r>
      <w:r w:rsidR="00822BD5" w:rsidRPr="0025250D">
        <w:rPr>
          <w:rtl/>
        </w:rPr>
        <w:t>تخم مرغ شانسی مانند</w:t>
      </w:r>
      <w:r w:rsidRPr="0025250D">
        <w:rPr>
          <w:rFonts w:hint="cs"/>
          <w:rtl/>
        </w:rPr>
        <w:t xml:space="preserve"> ممکنی را که به نظر به کارسپاران ما مرتبط هستند بیابیم و خودمان اقدام به نوشتن داستان‌های جدیدی کنیم. این</w:t>
      </w:r>
      <w:r w:rsidR="006F5AD5" w:rsidRPr="0025250D">
        <w:rPr>
          <w:rFonts w:hint="cs"/>
          <w:rtl/>
        </w:rPr>
        <w:t xml:space="preserve"> موارد</w:t>
      </w:r>
      <w:r w:rsidRPr="0025250D">
        <w:rPr>
          <w:rFonts w:hint="cs"/>
          <w:rtl/>
        </w:rPr>
        <w:t xml:space="preserve"> داستان‌هایی هستند که </w:t>
      </w:r>
      <w:r w:rsidR="006F5AD5" w:rsidRPr="0025250D">
        <w:rPr>
          <w:rFonts w:hint="cs"/>
          <w:rtl/>
        </w:rPr>
        <w:t>تلاش می‌کنیم</w:t>
      </w:r>
      <w:r w:rsidRPr="0025250D">
        <w:rPr>
          <w:rFonts w:hint="cs"/>
          <w:rtl/>
        </w:rPr>
        <w:t xml:space="preserve"> وقتی </w:t>
      </w:r>
      <w:r w:rsidR="006F5AD5" w:rsidRPr="0025250D">
        <w:rPr>
          <w:rFonts w:hint="cs"/>
          <w:rtl/>
        </w:rPr>
        <w:t>تصور</w:t>
      </w:r>
      <w:r w:rsidRPr="0025250D">
        <w:rPr>
          <w:rFonts w:hint="cs"/>
          <w:rtl/>
        </w:rPr>
        <w:t xml:space="preserve"> می‌کنیم فواید زیادی دارند</w:t>
      </w:r>
      <w:r w:rsidR="006F5AD5" w:rsidRPr="0025250D">
        <w:rPr>
          <w:rFonts w:hint="cs"/>
          <w:rtl/>
        </w:rPr>
        <w:t>،</w:t>
      </w:r>
      <w:r w:rsidRPr="0025250D">
        <w:rPr>
          <w:rFonts w:hint="cs"/>
          <w:rtl/>
        </w:rPr>
        <w:t xml:space="preserve"> </w:t>
      </w:r>
      <w:r w:rsidR="006F5AD5" w:rsidRPr="0025250D">
        <w:rPr>
          <w:rFonts w:hint="cs"/>
          <w:rtl/>
        </w:rPr>
        <w:t>برای</w:t>
      </w:r>
      <w:r w:rsidRPr="0025250D">
        <w:rPr>
          <w:rFonts w:hint="cs"/>
          <w:rtl/>
        </w:rPr>
        <w:t xml:space="preserve"> کارسپاران خود </w:t>
      </w:r>
      <w:r w:rsidR="006F5AD5" w:rsidRPr="0025250D">
        <w:rPr>
          <w:rFonts w:hint="cs"/>
          <w:rtl/>
        </w:rPr>
        <w:t>نقل کنیم</w:t>
      </w:r>
      <w:r w:rsidRPr="0025250D">
        <w:rPr>
          <w:rFonts w:hint="cs"/>
          <w:rtl/>
        </w:rPr>
        <w:t xml:space="preserve">. تلاش کنید که داستان‌های مبتنی بر حدس خود را ابتدا در مکالمات خصوصی برای همکاران منتقد اما حامی بیان کنید و از این که این داستان‌ها از نقد آن‌ها جان سالم به در می‌برند، قبل از </w:t>
      </w:r>
      <w:r w:rsidR="00274907" w:rsidRPr="0025250D">
        <w:rPr>
          <w:rFonts w:hint="cs"/>
          <w:rtl/>
        </w:rPr>
        <w:t>به‌اشتراک‌گذار</w:t>
      </w:r>
      <w:r w:rsidRPr="0025250D">
        <w:rPr>
          <w:rFonts w:hint="cs"/>
          <w:rtl/>
        </w:rPr>
        <w:t>ی آن‌ها به صورت گسترده‌تر اطمینان حاصل کنید. اگر ما باید حدس و گمان‌ها را به صورت عمومی بیان کنیم، باید از این که آن‌ها به صورت</w:t>
      </w:r>
      <w:r w:rsidR="00725F0F" w:rsidRPr="0025250D">
        <w:rPr>
          <w:rFonts w:hint="cs"/>
          <w:rtl/>
        </w:rPr>
        <w:t>ی</w:t>
      </w:r>
      <w:r w:rsidRPr="0025250D">
        <w:rPr>
          <w:rFonts w:hint="cs"/>
          <w:rtl/>
        </w:rPr>
        <w:t xml:space="preserve"> شفاف به‌عنوان حدس‌هایی تأیید می‌شوند، اطمینان حاصل کنیم و همواره تقاضای نقد را داشته باشیم. اگر نقد بهترین پادزهر برای خطا می‌باشد، نقد و سنجش خصوصی بهترین محافظت را از شهرت ما انجام می‌دهند.</w:t>
      </w:r>
    </w:p>
    <w:p w14:paraId="7DE71008" w14:textId="02CF6E7D" w:rsidR="00537CC8" w:rsidRPr="0025250D" w:rsidRDefault="00537CC8" w:rsidP="00537CC8">
      <w:pPr>
        <w:rPr>
          <w:rtl/>
        </w:rPr>
      </w:pPr>
      <w:r w:rsidRPr="0025250D">
        <w:rPr>
          <w:rFonts w:hint="cs"/>
          <w:rtl/>
        </w:rPr>
        <w:t xml:space="preserve">برخی داستان‌های </w:t>
      </w:r>
      <w:r w:rsidR="00822BD5" w:rsidRPr="0025250D">
        <w:rPr>
          <w:rtl/>
        </w:rPr>
        <w:t>تخم مرغ شانسی مانند</w:t>
      </w:r>
      <w:r w:rsidRPr="0025250D">
        <w:rPr>
          <w:rFonts w:hint="cs"/>
          <w:rtl/>
        </w:rPr>
        <w:t xml:space="preserve"> در واقع </w:t>
      </w:r>
      <w:r w:rsidR="00923DDB" w:rsidRPr="0025250D">
        <w:rPr>
          <w:rFonts w:hint="cs"/>
          <w:rtl/>
        </w:rPr>
        <w:t>شگفتی‌ساز</w:t>
      </w:r>
      <w:r w:rsidRPr="0025250D">
        <w:rPr>
          <w:rFonts w:hint="cs"/>
          <w:rtl/>
        </w:rPr>
        <w:t xml:space="preserve">‌ها هستند، آینده‌هایی که ما به‌عنوان رویداد‌های دارای احتمال کم، اما در صورت وقوع، دارای احتمال بالایی برای تأثیر </w:t>
      </w:r>
      <w:r w:rsidRPr="0025250D">
        <w:t>ADOR</w:t>
      </w:r>
      <w:r w:rsidRPr="0025250D">
        <w:rPr>
          <w:rFonts w:hint="cs"/>
          <w:rtl/>
        </w:rPr>
        <w:t xml:space="preserve"> مثبت یا منفی شدید در نظر می‌گیریم. علاوه بر دسته کلی رویداد‌های آینده به شدت محتمل مرتبط، می‌خواهیم</w:t>
      </w:r>
      <w:r w:rsidR="00725F0F" w:rsidRPr="0025250D">
        <w:rPr>
          <w:rFonts w:hint="cs"/>
          <w:rtl/>
        </w:rPr>
        <w:t xml:space="preserve"> هر زمانی که بتوانیم</w:t>
      </w:r>
      <w:r w:rsidRPr="0025250D">
        <w:rPr>
          <w:rFonts w:hint="cs"/>
          <w:rtl/>
        </w:rPr>
        <w:t xml:space="preserve"> </w:t>
      </w:r>
      <w:r w:rsidR="00923DDB" w:rsidRPr="0025250D">
        <w:rPr>
          <w:rFonts w:hint="cs"/>
          <w:rtl/>
        </w:rPr>
        <w:t>شگفتی‌ساز</w:t>
      </w:r>
      <w:r w:rsidRPr="0025250D">
        <w:rPr>
          <w:rFonts w:hint="cs"/>
          <w:rtl/>
        </w:rPr>
        <w:t xml:space="preserve">‌های مرتبط را بیابیم. همچنین تمایل داریم که </w:t>
      </w:r>
      <w:r w:rsidR="008D6F97" w:rsidRPr="0025250D">
        <w:rPr>
          <w:rFonts w:hint="cs"/>
          <w:rtl/>
        </w:rPr>
        <w:t>سامانه‌</w:t>
      </w:r>
      <w:r w:rsidRPr="0025250D">
        <w:rPr>
          <w:rFonts w:hint="cs"/>
          <w:rtl/>
        </w:rPr>
        <w:t xml:space="preserve">‌های بررسی و تحلیل نشانک‌های هشدار زودهنگام برای وقوع رویداد‌های منفی مرتبط بسازیم و </w:t>
      </w:r>
      <w:r w:rsidR="00701E03" w:rsidRPr="0025250D">
        <w:rPr>
          <w:rFonts w:hint="cs"/>
          <w:rtl/>
        </w:rPr>
        <w:t>راهبرد</w:t>
      </w:r>
      <w:r w:rsidRPr="0025250D">
        <w:rPr>
          <w:rFonts w:hint="cs"/>
          <w:rtl/>
        </w:rPr>
        <w:t>‌هایی را برای حفظ رویداد‌های منفی دارای احتمال کم و واکنش سریع و کارآمد به آن‌ها در زمان وقوعشان داشته باشیم.</w:t>
      </w:r>
    </w:p>
    <w:p w14:paraId="245F098E" w14:textId="2998F067" w:rsidR="00537CC8" w:rsidRPr="0025250D" w:rsidRDefault="00537CC8" w:rsidP="00537CC8">
      <w:pPr>
        <w:rPr>
          <w:rtl/>
        </w:rPr>
      </w:pPr>
      <w:r w:rsidRPr="0025250D">
        <w:rPr>
          <w:rFonts w:hint="cs"/>
          <w:rtl/>
        </w:rPr>
        <w:t xml:space="preserve">این‌ها همگی مثال‌هایی از مدیریت ریسک خوب، یک عمل تخصصی </w:t>
      </w:r>
      <w:r w:rsidRPr="0025250D">
        <w:rPr>
          <w:rtl/>
        </w:rPr>
        <w:t>آینده‌نگاری</w:t>
      </w:r>
      <w:r w:rsidRPr="0025250D">
        <w:rPr>
          <w:rFonts w:hint="cs"/>
          <w:rtl/>
        </w:rPr>
        <w:t xml:space="preserve"> کلیدی هستند. داستان کلاسیک </w:t>
      </w:r>
      <w:r w:rsidRPr="0025250D">
        <w:rPr>
          <w:rtl/>
        </w:rPr>
        <w:t>جان پترسن</w:t>
      </w:r>
      <w:r w:rsidRPr="0025250D">
        <w:rPr>
          <w:vertAlign w:val="superscript"/>
          <w:rtl/>
        </w:rPr>
        <w:footnoteReference w:id="1891"/>
      </w:r>
      <w:r w:rsidRPr="0025250D">
        <w:rPr>
          <w:rFonts w:hint="cs"/>
          <w:rtl/>
        </w:rPr>
        <w:t xml:space="preserve"> به نام، ناگهانی: </w:t>
      </w:r>
      <w:r w:rsidR="00923DDB" w:rsidRPr="0025250D">
        <w:rPr>
          <w:rFonts w:hint="cs"/>
          <w:rtl/>
        </w:rPr>
        <w:t>شگفتی‌ساز</w:t>
      </w:r>
      <w:r w:rsidRPr="0025250D">
        <w:rPr>
          <w:rFonts w:hint="cs"/>
          <w:rtl/>
        </w:rPr>
        <w:t>‌ها و دیگر غافل گیری‌های بزرگ آینده</w:t>
      </w:r>
      <w:r w:rsidRPr="0025250D">
        <w:rPr>
          <w:vertAlign w:val="superscript"/>
          <w:rtl/>
        </w:rPr>
        <w:footnoteReference w:id="1892"/>
      </w:r>
      <w:r w:rsidRPr="0025250D">
        <w:rPr>
          <w:rFonts w:hint="cs"/>
          <w:rtl/>
        </w:rPr>
        <w:t xml:space="preserve"> در سال</w:t>
      </w:r>
      <w:r w:rsidR="00725F0F" w:rsidRPr="0025250D">
        <w:rPr>
          <w:rFonts w:hint="cs"/>
          <w:rtl/>
        </w:rPr>
        <w:t xml:space="preserve"> 1997</w:t>
      </w:r>
      <w:r w:rsidRPr="0025250D">
        <w:rPr>
          <w:rFonts w:hint="cs"/>
          <w:rtl/>
        </w:rPr>
        <w:t xml:space="preserve"> و قوی سیاه: اثر موارد به شدت غیر محتمل</w:t>
      </w:r>
      <w:r w:rsidRPr="0025250D">
        <w:rPr>
          <w:vertAlign w:val="superscript"/>
          <w:rtl/>
        </w:rPr>
        <w:footnoteReference w:id="1893"/>
      </w:r>
      <w:r w:rsidRPr="0025250D">
        <w:rPr>
          <w:rFonts w:hint="cs"/>
          <w:rtl/>
        </w:rPr>
        <w:t xml:space="preserve"> اثر </w:t>
      </w:r>
      <w:r w:rsidRPr="0025250D">
        <w:rPr>
          <w:rtl/>
        </w:rPr>
        <w:t>ن</w:t>
      </w:r>
      <w:r w:rsidRPr="0025250D">
        <w:rPr>
          <w:rFonts w:hint="cs"/>
          <w:rtl/>
        </w:rPr>
        <w:t>ی</w:t>
      </w:r>
      <w:r w:rsidRPr="0025250D">
        <w:rPr>
          <w:rFonts w:hint="eastAsia"/>
          <w:rtl/>
        </w:rPr>
        <w:t>کلاس</w:t>
      </w:r>
      <w:r w:rsidRPr="0025250D">
        <w:rPr>
          <w:rtl/>
        </w:rPr>
        <w:t xml:space="preserve"> طالب</w:t>
      </w:r>
      <w:r w:rsidRPr="0025250D">
        <w:rPr>
          <w:vertAlign w:val="superscript"/>
          <w:rtl/>
        </w:rPr>
        <w:footnoteReference w:id="1894"/>
      </w:r>
      <w:r w:rsidRPr="0025250D">
        <w:rPr>
          <w:rFonts w:hint="cs"/>
          <w:rtl/>
        </w:rPr>
        <w:t xml:space="preserve"> در سال 2010 دو مقدمه بسیار خوب برای شناسایی و مدیریت </w:t>
      </w:r>
      <w:r w:rsidR="00923DDB" w:rsidRPr="0025250D">
        <w:rPr>
          <w:rFonts w:hint="cs"/>
          <w:rtl/>
        </w:rPr>
        <w:t>شگفتی‌ساز</w:t>
      </w:r>
      <w:r w:rsidRPr="0025250D">
        <w:rPr>
          <w:rFonts w:hint="cs"/>
          <w:rtl/>
        </w:rPr>
        <w:t xml:space="preserve">ها هستند. کتاب </w:t>
      </w:r>
      <w:r w:rsidRPr="0025250D">
        <w:rPr>
          <w:rtl/>
        </w:rPr>
        <w:t>طالب</w:t>
      </w:r>
      <w:r w:rsidRPr="0025250D">
        <w:rPr>
          <w:rFonts w:hint="cs"/>
          <w:rtl/>
        </w:rPr>
        <w:t xml:space="preserve"> همچنین در نظر می‌گیرد که چگونه </w:t>
      </w:r>
      <w:r w:rsidR="00923DDB" w:rsidRPr="0025250D">
        <w:rPr>
          <w:rFonts w:hint="cs"/>
          <w:rtl/>
        </w:rPr>
        <w:t>شگفتی‌ساز</w:t>
      </w:r>
      <w:r w:rsidRPr="0025250D">
        <w:rPr>
          <w:rFonts w:hint="cs"/>
          <w:rtl/>
        </w:rPr>
        <w:t xml:space="preserve">ها بر استحکام و ضد شکنندگی یک </w:t>
      </w:r>
      <w:r w:rsidR="008D6F97" w:rsidRPr="0025250D">
        <w:rPr>
          <w:rFonts w:hint="cs"/>
          <w:rtl/>
        </w:rPr>
        <w:t>سامانه‌</w:t>
      </w:r>
      <w:r w:rsidRPr="0025250D">
        <w:rPr>
          <w:rFonts w:hint="cs"/>
          <w:rtl/>
        </w:rPr>
        <w:t xml:space="preserve"> یا توانایی یادگیری و قوی‌تر شدن پس از هر خطا یا فاجعه‌ای تأثیر می‌گذارند. درمورد خاصیت ضد شکنندگی در کتاب 2 بیش‌تر صحبت خواهیم کرد و آن را به‌عنوان شکلی از ایمنی و مصونیت تحلیل خواهیم </w:t>
      </w:r>
      <w:r w:rsidR="00725F0F" w:rsidRPr="0025250D">
        <w:rPr>
          <w:rFonts w:hint="cs"/>
          <w:rtl/>
        </w:rPr>
        <w:t>نمود</w:t>
      </w:r>
      <w:r w:rsidRPr="0025250D">
        <w:rPr>
          <w:rFonts w:hint="cs"/>
          <w:rtl/>
        </w:rPr>
        <w:t xml:space="preserve">. همه </w:t>
      </w:r>
      <w:r w:rsidR="008D6F97" w:rsidRPr="0025250D">
        <w:rPr>
          <w:rFonts w:hint="cs"/>
          <w:rtl/>
        </w:rPr>
        <w:t>سامانه‌</w:t>
      </w:r>
      <w:r w:rsidRPr="0025250D">
        <w:rPr>
          <w:rFonts w:hint="cs"/>
          <w:rtl/>
        </w:rPr>
        <w:t xml:space="preserve">‌های </w:t>
      </w:r>
      <w:r w:rsidR="00B124DE" w:rsidRPr="0025250D">
        <w:rPr>
          <w:rFonts w:hint="cs"/>
          <w:rtl/>
        </w:rPr>
        <w:t>انطباق‌پذیر</w:t>
      </w:r>
      <w:r w:rsidRPr="0025250D">
        <w:rPr>
          <w:rFonts w:hint="cs"/>
          <w:rtl/>
        </w:rPr>
        <w:t xml:space="preserve"> پیچیده</w:t>
      </w:r>
      <w:r w:rsidR="00725F0F" w:rsidRPr="0025250D">
        <w:rPr>
          <w:rFonts w:hint="cs"/>
          <w:rtl/>
        </w:rPr>
        <w:t xml:space="preserve"> </w:t>
      </w:r>
      <w:r w:rsidR="00127288" w:rsidRPr="0025250D">
        <w:rPr>
          <w:rFonts w:hint="cs"/>
          <w:rtl/>
        </w:rPr>
        <w:t>زیستی</w:t>
      </w:r>
      <w:r w:rsidR="00725F0F" w:rsidRPr="0025250D">
        <w:rPr>
          <w:rFonts w:hint="cs"/>
          <w:rtl/>
        </w:rPr>
        <w:t xml:space="preserve">، </w:t>
      </w:r>
      <w:r w:rsidRPr="0025250D">
        <w:rPr>
          <w:rFonts w:hint="cs"/>
          <w:rtl/>
        </w:rPr>
        <w:t xml:space="preserve">اجتماعی یا </w:t>
      </w:r>
      <w:r w:rsidR="007A53FD" w:rsidRPr="0025250D">
        <w:rPr>
          <w:rFonts w:hint="cs"/>
          <w:rtl/>
        </w:rPr>
        <w:t>فناورانه</w:t>
      </w:r>
      <w:r w:rsidRPr="0025250D">
        <w:rPr>
          <w:rFonts w:hint="cs"/>
          <w:rtl/>
        </w:rPr>
        <w:t xml:space="preserve">، </w:t>
      </w:r>
      <w:r w:rsidR="008D6F97" w:rsidRPr="0025250D">
        <w:rPr>
          <w:rFonts w:hint="cs"/>
          <w:rtl/>
        </w:rPr>
        <w:t>سامانه‌</w:t>
      </w:r>
      <w:r w:rsidRPr="0025250D">
        <w:rPr>
          <w:rFonts w:hint="cs"/>
          <w:rtl/>
        </w:rPr>
        <w:t xml:space="preserve">‌های ایمنی مبتنی بر شبکه دارند که آن‌ها را از فرایند‌های انتقادی ایمن نگاه می‌دارند. اگر ما عملیات‌های این </w:t>
      </w:r>
      <w:r w:rsidR="008D6F97" w:rsidRPr="0025250D">
        <w:rPr>
          <w:rFonts w:hint="cs"/>
          <w:rtl/>
        </w:rPr>
        <w:t>سامانه‌</w:t>
      </w:r>
      <w:r w:rsidRPr="0025250D">
        <w:rPr>
          <w:rFonts w:hint="cs"/>
          <w:rtl/>
        </w:rPr>
        <w:t xml:space="preserve">‌های ایمنی را نبینیم، چگونگی کارکرد امنیت (یکی از ارزش‌های </w:t>
      </w:r>
      <w:r w:rsidRPr="0025250D">
        <w:t>IES</w:t>
      </w:r>
      <w:r w:rsidRPr="0025250D">
        <w:rPr>
          <w:rFonts w:hint="cs"/>
          <w:rtl/>
        </w:rPr>
        <w:t>)</w:t>
      </w:r>
      <w:r w:rsidR="008D6F97" w:rsidRPr="0025250D">
        <w:rPr>
          <w:rtl/>
        </w:rPr>
        <w:t xml:space="preserve"> </w:t>
      </w:r>
      <w:r w:rsidRPr="0025250D">
        <w:rPr>
          <w:rFonts w:hint="cs"/>
          <w:rtl/>
        </w:rPr>
        <w:t xml:space="preserve">و چگونگی امکان بهبود برای </w:t>
      </w:r>
      <w:r w:rsidR="008D6F97" w:rsidRPr="0025250D">
        <w:rPr>
          <w:rFonts w:hint="cs"/>
          <w:rtl/>
        </w:rPr>
        <w:t>سامانه‌</w:t>
      </w:r>
      <w:r w:rsidRPr="0025250D">
        <w:rPr>
          <w:rFonts w:hint="cs"/>
          <w:rtl/>
        </w:rPr>
        <w:t xml:space="preserve"> مورد نظر (ارگانیسم، جامعه، هوش مصنوعی) را درک نمی‌کنیم.</w:t>
      </w:r>
    </w:p>
    <w:p w14:paraId="6CFE4FCB" w14:textId="3810F90F" w:rsidR="00537CC8" w:rsidRPr="0025250D" w:rsidRDefault="00537CC8" w:rsidP="00537CC8">
      <w:pPr>
        <w:rPr>
          <w:rtl/>
        </w:rPr>
      </w:pPr>
      <w:r w:rsidRPr="0025250D">
        <w:rPr>
          <w:rFonts w:hint="cs"/>
          <w:rtl/>
        </w:rPr>
        <w:t xml:space="preserve">درست همان طور که حیات با آزمون و خطا‌های متعدد پیشرفت می‌کند، </w:t>
      </w:r>
      <w:r w:rsidRPr="0025250D">
        <w:rPr>
          <w:rtl/>
        </w:rPr>
        <w:t>آینده‌نگاری</w:t>
      </w:r>
      <w:r w:rsidRPr="0025250D">
        <w:rPr>
          <w:rFonts w:hint="cs"/>
          <w:rtl/>
        </w:rPr>
        <w:t xml:space="preserve"> انسان هم تنها با بیان داستان‌های قابل تصور متعدد، قرار دادن آن‌ها در معرض نقد دقیق و جداسازی اکثر داستان‌های تا حدی نادرست یا به شدت نادرست از مجموعه بسیار کوچک‌تر از </w:t>
      </w:r>
      <w:r w:rsidR="00822BD5" w:rsidRPr="0025250D">
        <w:rPr>
          <w:rFonts w:hint="cs"/>
          <w:rtl/>
        </w:rPr>
        <w:t>داستان های تخم مرغ شانسی مانند</w:t>
      </w:r>
      <w:r w:rsidRPr="0025250D">
        <w:rPr>
          <w:rFonts w:hint="cs"/>
          <w:rtl/>
        </w:rPr>
        <w:t xml:space="preserve"> پیشرفت می‌کند. بیایید اکنون بپرسیم: چه نوع عواملی به ایجاد داستان‌های نادرست کمک می‌کنند؟ تیم‌های ما می‌توانند در چه نوع فعالیت‌هایی برای تبدیل برخی داستان‌های نادرست به </w:t>
      </w:r>
      <w:r w:rsidR="00822BD5" w:rsidRPr="0025250D">
        <w:rPr>
          <w:rFonts w:hint="cs"/>
          <w:rtl/>
        </w:rPr>
        <w:t>داستان های تخم مرغ شانسی مانند</w:t>
      </w:r>
      <w:r w:rsidRPr="0025250D">
        <w:rPr>
          <w:rFonts w:hint="cs"/>
          <w:rtl/>
        </w:rPr>
        <w:t xml:space="preserve"> شرکت کنند؟ بیایید نگاهی به یک مثال داشته باشیم.</w:t>
      </w:r>
    </w:p>
    <w:p w14:paraId="73481C53" w14:textId="6BC4A6DE" w:rsidR="00537CC8" w:rsidRPr="0025250D" w:rsidRDefault="00537CC8" w:rsidP="00537CC8">
      <w:pPr>
        <w:rPr>
          <w:rtl/>
        </w:rPr>
      </w:pPr>
      <w:r w:rsidRPr="0025250D">
        <w:rPr>
          <w:rFonts w:hint="cs"/>
          <w:b/>
          <w:bCs/>
          <w:rtl/>
        </w:rPr>
        <w:t xml:space="preserve">تبدیل داستان‌های نادرست به داستان‌های </w:t>
      </w:r>
      <w:r w:rsidR="00822BD5" w:rsidRPr="0025250D">
        <w:rPr>
          <w:b/>
          <w:bCs/>
          <w:rtl/>
        </w:rPr>
        <w:t xml:space="preserve">تخم مرغ شانسی </w:t>
      </w:r>
      <w:r w:rsidR="005B1DA7" w:rsidRPr="0025250D">
        <w:rPr>
          <w:b/>
          <w:bCs/>
          <w:rtl/>
        </w:rPr>
        <w:t>مانند</w:t>
      </w:r>
      <w:r w:rsidR="00725F0F" w:rsidRPr="0025250D">
        <w:rPr>
          <w:rFonts w:hint="cs"/>
          <w:b/>
          <w:bCs/>
          <w:rtl/>
        </w:rPr>
        <w:t>:</w:t>
      </w:r>
      <w:r w:rsidRPr="0025250D">
        <w:rPr>
          <w:rFonts w:hint="cs"/>
          <w:b/>
          <w:bCs/>
          <w:rtl/>
        </w:rPr>
        <w:t xml:space="preserve"> آتش نشان‌های پرنده در مقابل پهباد‌های آتشنشان</w:t>
      </w:r>
    </w:p>
    <w:p w14:paraId="3073867A" w14:textId="3F8EEB77" w:rsidR="00537CC8" w:rsidRPr="0025250D" w:rsidRDefault="00537CC8" w:rsidP="00537CC8">
      <w:pPr>
        <w:rPr>
          <w:rtl/>
        </w:rPr>
      </w:pPr>
      <w:r w:rsidRPr="0025250D">
        <w:rPr>
          <w:rFonts w:hint="cs"/>
          <w:rtl/>
        </w:rPr>
        <w:t xml:space="preserve">تصویر زیر </w:t>
      </w:r>
      <w:r w:rsidR="00725F0F" w:rsidRPr="0025250D">
        <w:rPr>
          <w:rFonts w:hint="cs"/>
          <w:rtl/>
        </w:rPr>
        <w:t>به منظور</w:t>
      </w:r>
      <w:r w:rsidRPr="0025250D">
        <w:rPr>
          <w:rFonts w:hint="cs"/>
          <w:rtl/>
        </w:rPr>
        <w:t xml:space="preserve"> مجموعه‌ای با موضوع </w:t>
      </w:r>
      <w:r w:rsidR="00D92F6E" w:rsidRPr="0025250D">
        <w:rPr>
          <w:rFonts w:hint="cs"/>
          <w:rtl/>
        </w:rPr>
        <w:t>آینده‌نگاری</w:t>
      </w:r>
      <w:r w:rsidRPr="0025250D">
        <w:rPr>
          <w:rFonts w:hint="cs"/>
          <w:rtl/>
        </w:rPr>
        <w:t xml:space="preserve"> عامه پسند با عنوان </w:t>
      </w:r>
      <w:r w:rsidR="005B1DA7" w:rsidRPr="0025250D">
        <w:rPr>
          <w:rtl/>
        </w:rPr>
        <w:t>«</w:t>
      </w:r>
      <w:r w:rsidRPr="0025250D">
        <w:rPr>
          <w:rFonts w:hint="cs"/>
          <w:rtl/>
        </w:rPr>
        <w:t>در سال 2000</w:t>
      </w:r>
      <w:r w:rsidRPr="0025250D">
        <w:rPr>
          <w:vertAlign w:val="superscript"/>
          <w:rtl/>
        </w:rPr>
        <w:footnoteReference w:id="1895"/>
      </w:r>
      <w:r w:rsidR="005B1DA7" w:rsidRPr="0025250D">
        <w:rPr>
          <w:rtl/>
        </w:rPr>
        <w:t>»</w:t>
      </w:r>
      <w:r w:rsidRPr="0025250D">
        <w:rPr>
          <w:rFonts w:hint="cs"/>
          <w:rtl/>
        </w:rPr>
        <w:t xml:space="preserve"> ایجاد شده است. این اثر یکی از 87 </w:t>
      </w:r>
      <w:r w:rsidR="00B56611" w:rsidRPr="0025250D">
        <w:rPr>
          <w:rFonts w:hint="cs"/>
          <w:rtl/>
        </w:rPr>
        <w:t>چشم‌انداز</w:t>
      </w:r>
      <w:r w:rsidRPr="0025250D">
        <w:rPr>
          <w:rFonts w:hint="cs"/>
          <w:rtl/>
        </w:rPr>
        <w:t xml:space="preserve"> آینده دور منتشر شده در آن مجموعه در اولین دهه از قرن بیستم</w:t>
      </w:r>
      <w:r w:rsidR="00725F0F" w:rsidRPr="0025250D">
        <w:rPr>
          <w:rFonts w:hint="cs"/>
          <w:rtl/>
        </w:rPr>
        <w:t xml:space="preserve"> از سال</w:t>
      </w:r>
      <w:r w:rsidRPr="0025250D">
        <w:rPr>
          <w:rFonts w:hint="cs"/>
          <w:rtl/>
        </w:rPr>
        <w:t xml:space="preserve"> 1899</w:t>
      </w:r>
      <w:r w:rsidR="008D6F97" w:rsidRPr="0025250D">
        <w:rPr>
          <w:rtl/>
        </w:rPr>
        <w:t xml:space="preserve"> </w:t>
      </w:r>
      <w:r w:rsidRPr="0025250D">
        <w:rPr>
          <w:rFonts w:hint="cs"/>
          <w:rtl/>
        </w:rPr>
        <w:t>تا 1910 بود</w:t>
      </w:r>
      <w:r w:rsidR="008D6F97" w:rsidRPr="0025250D">
        <w:rPr>
          <w:rtl/>
        </w:rPr>
        <w:t xml:space="preserve">؛ </w:t>
      </w:r>
      <w:r w:rsidRPr="0025250D">
        <w:rPr>
          <w:rFonts w:hint="cs"/>
          <w:rtl/>
        </w:rPr>
        <w:t xml:space="preserve">مانند همه کارهای </w:t>
      </w:r>
      <w:r w:rsidR="00D92F6E" w:rsidRPr="0025250D">
        <w:rPr>
          <w:rFonts w:hint="cs"/>
          <w:rtl/>
        </w:rPr>
        <w:t>آینده‌نگاری</w:t>
      </w:r>
      <w:r w:rsidRPr="0025250D">
        <w:rPr>
          <w:rFonts w:hint="cs"/>
          <w:rtl/>
        </w:rPr>
        <w:t xml:space="preserve"> عامه پسند، در سال 2000 نیز هم سرگرمی (داستان سرایی) و هم چند اقدام جدی در </w:t>
      </w:r>
      <w:r w:rsidRPr="0025250D">
        <w:rPr>
          <w:rtl/>
        </w:rPr>
        <w:t>آینده‌نگاری</w:t>
      </w:r>
      <w:r w:rsidRPr="0025250D">
        <w:rPr>
          <w:rFonts w:hint="cs"/>
          <w:rtl/>
        </w:rPr>
        <w:t xml:space="preserve"> را با هم ترکیب می‌کند. هر </w:t>
      </w:r>
      <w:r w:rsidR="00725F0F" w:rsidRPr="0025250D">
        <w:rPr>
          <w:rFonts w:hint="cs"/>
          <w:rtl/>
        </w:rPr>
        <w:t>شخصی</w:t>
      </w:r>
      <w:r w:rsidRPr="0025250D">
        <w:rPr>
          <w:rFonts w:hint="cs"/>
          <w:rtl/>
        </w:rPr>
        <w:t xml:space="preserve"> با تجربه مهندسی در قرن بیستم می‌توانست تشخیص دهد که این وسیله ابداعی بال انسانی یک آینده آرمانی اما غیر محتمل است.</w:t>
      </w:r>
    </w:p>
    <w:p w14:paraId="5AFAC691" w14:textId="6B332ADB" w:rsidR="00537CC8" w:rsidRPr="0025250D" w:rsidRDefault="00537CC8" w:rsidP="00537CC8">
      <w:pPr>
        <w:rPr>
          <w:rtl/>
        </w:rPr>
      </w:pPr>
      <w:r w:rsidRPr="0025250D">
        <w:rPr>
          <w:rFonts w:hint="cs"/>
          <w:rtl/>
        </w:rPr>
        <w:t>همه دوست داریم که مانند این تصویر پرواز کنیم، اما حتی در آن زمان هم یک مهندس خوب می‌توانست تراکم انرژی، کوچک سازی و نسبت‌های توان به وزن خوب مورد نیاز برای چنین ماشینی را تخمین</w:t>
      </w:r>
      <w:r w:rsidRPr="0025250D">
        <w:rPr>
          <w:rtl/>
        </w:rPr>
        <w:t xml:space="preserve"> </w:t>
      </w:r>
      <w:r w:rsidRPr="0025250D">
        <w:rPr>
          <w:rFonts w:hint="cs"/>
          <w:rtl/>
        </w:rPr>
        <w:t>بزند و آن را غیر محتمل بداند. این داستان جذابی است که در آن انسان‌ها قهرمان هستند. این داستان حتی در نهایت باورپذیر هم هست</w:t>
      </w:r>
      <w:r w:rsidR="008D6F97" w:rsidRPr="0025250D">
        <w:rPr>
          <w:rtl/>
        </w:rPr>
        <w:t xml:space="preserve">؛ </w:t>
      </w:r>
      <w:r w:rsidRPr="0025250D">
        <w:rPr>
          <w:rFonts w:hint="cs"/>
          <w:rtl/>
        </w:rPr>
        <w:t xml:space="preserve">اما یک کار ارزشمند‌تر این است که از خود بپرسیم که چه چیزی از این داستان، بسیار قبل از ممکن شدن آن، سبقت خواهد گرفت و بهتر خواهد بود. با توجه به روند توسعه </w:t>
      </w:r>
      <w:r w:rsidR="007A53FD" w:rsidRPr="0025250D">
        <w:rPr>
          <w:rFonts w:hint="cs"/>
          <w:rtl/>
        </w:rPr>
        <w:t>فناوری</w:t>
      </w:r>
      <w:r w:rsidRPr="0025250D">
        <w:rPr>
          <w:rFonts w:hint="cs"/>
          <w:rtl/>
        </w:rPr>
        <w:t xml:space="preserve"> آتش نشانی، چه مواردی می‌توانند بسیار قبل از این </w:t>
      </w:r>
      <w:r w:rsidR="00B56611" w:rsidRPr="0025250D">
        <w:rPr>
          <w:rFonts w:hint="cs"/>
          <w:rtl/>
        </w:rPr>
        <w:t>چشم‌انداز</w:t>
      </w:r>
      <w:r w:rsidRPr="0025250D">
        <w:rPr>
          <w:rFonts w:hint="cs"/>
          <w:rtl/>
        </w:rPr>
        <w:t xml:space="preserve"> رخ دهند و ایجاد شوند؟</w:t>
      </w:r>
    </w:p>
    <w:p w14:paraId="61A0971E" w14:textId="77777777" w:rsidR="00537CC8" w:rsidRPr="0025250D" w:rsidRDefault="00537CC8" w:rsidP="00D53F87">
      <w:pPr>
        <w:jc w:val="center"/>
        <w:rPr>
          <w:rtl/>
        </w:rPr>
      </w:pPr>
      <w:r w:rsidRPr="0025250D">
        <w:rPr>
          <w:noProof/>
          <w:rtl/>
          <w:lang w:bidi="ar-SA"/>
        </w:rPr>
        <w:drawing>
          <wp:inline distT="0" distB="0" distL="0" distR="0" wp14:anchorId="14C268E6" wp14:editId="46B28996">
            <wp:extent cx="4503414" cy="2657475"/>
            <wp:effectExtent l="0" t="0" r="0" b="0"/>
            <wp:docPr id="104" name="Picture 104" descr="D:\کار\مستقل\3 ( ترجمه ی دانشگاه تهران  )\Introduction to Foresight\part5\2-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کار\مستقل\3 ( ترجمه ی دانشگاه تهران  )\Introduction to Foresight\part5\2-new.png"/>
                    <pic:cNvPicPr>
                      <a:picLocks noChangeAspect="1" noChangeArrowheads="1"/>
                    </pic:cNvPicPr>
                  </pic:nvPicPr>
                  <pic:blipFill rotWithShape="1">
                    <a:blip r:embed="rId164" cstate="screen">
                      <a:extLst>
                        <a:ext uri="{BEBA8EAE-BF5A-486C-A8C5-ECC9F3942E4B}">
                          <a14:imgProps xmlns:a14="http://schemas.microsoft.com/office/drawing/2010/main">
                            <a14:imgLayer r:embed="rId165">
                              <a14:imgEffect>
                                <a14:saturation sat="0"/>
                              </a14:imgEffect>
                            </a14:imgLayer>
                          </a14:imgProps>
                        </a:ext>
                        <a:ext uri="{28A0092B-C50C-407E-A947-70E740481C1C}">
                          <a14:useLocalDpi xmlns:a14="http://schemas.microsoft.com/office/drawing/2010/main"/>
                        </a:ext>
                      </a:extLst>
                    </a:blip>
                    <a:srcRect/>
                    <a:stretch/>
                  </pic:blipFill>
                  <pic:spPr bwMode="auto">
                    <a:xfrm>
                      <a:off x="0" y="0"/>
                      <a:ext cx="4505758" cy="2658858"/>
                    </a:xfrm>
                    <a:prstGeom prst="rect">
                      <a:avLst/>
                    </a:prstGeom>
                    <a:noFill/>
                    <a:ln>
                      <a:noFill/>
                    </a:ln>
                    <a:extLst>
                      <a:ext uri="{53640926-AAD7-44D8-BBD7-CCE9431645EC}">
                        <a14:shadowObscured xmlns:a14="http://schemas.microsoft.com/office/drawing/2010/main"/>
                      </a:ext>
                    </a:extLst>
                  </pic:spPr>
                </pic:pic>
              </a:graphicData>
            </a:graphic>
          </wp:inline>
        </w:drawing>
      </w:r>
    </w:p>
    <w:p w14:paraId="68D2500F" w14:textId="77777777" w:rsidR="00537CC8" w:rsidRPr="0025250D" w:rsidRDefault="00537CC8" w:rsidP="00D53F87">
      <w:pPr>
        <w:jc w:val="center"/>
        <w:rPr>
          <w:rtl/>
        </w:rPr>
      </w:pPr>
      <w:r w:rsidRPr="0025250D">
        <w:rPr>
          <w:rFonts w:hint="cs"/>
          <w:rtl/>
        </w:rPr>
        <w:t>آتش نشانی در سال 2000، جین مارک کوته، 1900 نمایشگاه جهانی، پاریس</w:t>
      </w:r>
    </w:p>
    <w:p w14:paraId="67563A72" w14:textId="2E0885EF" w:rsidR="00537CC8" w:rsidRPr="0025250D" w:rsidRDefault="00537CC8" w:rsidP="00537CC8">
      <w:pPr>
        <w:rPr>
          <w:rtl/>
        </w:rPr>
      </w:pPr>
      <w:r w:rsidRPr="0025250D">
        <w:rPr>
          <w:rFonts w:hint="cs"/>
          <w:rtl/>
        </w:rPr>
        <w:t>درصورتی که از ما پرسیده شود، امروزه بیش‌تر ما موافق خواهیم بود که استفاده از شکلی از ربات‌های آتش نشان، امن‌تر، کارآمد‌تر و محتمل‌تر از به کارگیری انسان‌ها به این شکل پر ریسک خواهد بود</w:t>
      </w:r>
      <w:r w:rsidR="008D6F97" w:rsidRPr="0025250D">
        <w:rPr>
          <w:rtl/>
        </w:rPr>
        <w:t xml:space="preserve">؛ </w:t>
      </w:r>
      <w:r w:rsidRPr="0025250D">
        <w:rPr>
          <w:rFonts w:hint="cs"/>
          <w:rtl/>
        </w:rPr>
        <w:t>اما حتی این هنرمند که این اثر را حدود</w:t>
      </w:r>
      <w:r w:rsidR="00725F0F" w:rsidRPr="0025250D">
        <w:rPr>
          <w:rFonts w:hint="cs"/>
          <w:rtl/>
        </w:rPr>
        <w:t xml:space="preserve"> سال</w:t>
      </w:r>
      <w:r w:rsidRPr="0025250D">
        <w:rPr>
          <w:rFonts w:hint="cs"/>
          <w:rtl/>
        </w:rPr>
        <w:t xml:space="preserve"> 1899</w:t>
      </w:r>
      <w:r w:rsidR="005B1DA7" w:rsidRPr="0025250D">
        <w:rPr>
          <w:rtl/>
        </w:rPr>
        <w:t xml:space="preserve"> </w:t>
      </w:r>
      <w:r w:rsidRPr="0025250D">
        <w:rPr>
          <w:rFonts w:hint="cs"/>
          <w:rtl/>
        </w:rPr>
        <w:t xml:space="preserve">نقاشی کرده است، اگر به یک جمعیت مهندسی دسترسی داشت، می‌توانست این نکته را به‌خوبی </w:t>
      </w:r>
      <w:r w:rsidR="00725F0F" w:rsidRPr="0025250D">
        <w:rPr>
          <w:rFonts w:hint="cs"/>
          <w:rtl/>
        </w:rPr>
        <w:t>دریابد</w:t>
      </w:r>
      <w:r w:rsidRPr="0025250D">
        <w:rPr>
          <w:rFonts w:hint="cs"/>
          <w:rtl/>
        </w:rPr>
        <w:t xml:space="preserve">. تا آن زمان مجموعه‌های بزرگی از دستگاه‌های خودکار مکانیکی در قرن 19 وجود داشتند. مهندسین توانایی‌های برتر ماشین‌ها برای استفاده از توان و کار در محیط‌های خطرناک را می‌دانستند. مهندسین بسیاری طراحی‌های بالگرد انجام داده بودند. مخترع فرانسوی </w:t>
      </w:r>
      <w:r w:rsidRPr="0025250D">
        <w:rPr>
          <w:rtl/>
        </w:rPr>
        <w:t>گوستاو آمکور</w:t>
      </w:r>
      <w:r w:rsidRPr="0025250D">
        <w:rPr>
          <w:vertAlign w:val="superscript"/>
          <w:rtl/>
        </w:rPr>
        <w:footnoteReference w:id="1896"/>
      </w:r>
      <w:r w:rsidRPr="0025250D">
        <w:rPr>
          <w:rFonts w:hint="cs"/>
          <w:rtl/>
        </w:rPr>
        <w:t>، واژه هلیکوپتر</w:t>
      </w:r>
      <w:r w:rsidRPr="0025250D">
        <w:rPr>
          <w:vertAlign w:val="superscript"/>
          <w:rtl/>
        </w:rPr>
        <w:footnoteReference w:id="1897"/>
      </w:r>
      <w:r w:rsidRPr="0025250D">
        <w:rPr>
          <w:rFonts w:hint="cs"/>
          <w:rtl/>
        </w:rPr>
        <w:t xml:space="preserve"> را اولین بار در سال 1861 به کار برد. توماس ادیسون یک نمونه از هلیکوپتر</w:t>
      </w:r>
      <w:r w:rsidRPr="0025250D">
        <w:rPr>
          <w:vertAlign w:val="superscript"/>
          <w:rtl/>
        </w:rPr>
        <w:footnoteReference w:id="1898"/>
      </w:r>
      <w:r w:rsidRPr="0025250D">
        <w:rPr>
          <w:rFonts w:hint="cs"/>
          <w:rtl/>
        </w:rPr>
        <w:t xml:space="preserve"> را با یک موتور احتراق داخلی در سال 1885 ساخت. اگرچه این نمونه پرواز نکرد، او از آن برای </w:t>
      </w:r>
      <w:r w:rsidR="00D92F6E" w:rsidRPr="0025250D">
        <w:rPr>
          <w:rFonts w:hint="cs"/>
          <w:rtl/>
        </w:rPr>
        <w:t>پیش‌بین</w:t>
      </w:r>
      <w:r w:rsidRPr="0025250D">
        <w:rPr>
          <w:rFonts w:hint="cs"/>
          <w:rtl/>
        </w:rPr>
        <w:t>ی نسبت توان به وزنی که این وسیله برای پرواز به آن نیاز داشت استفاده کرد.</w:t>
      </w:r>
    </w:p>
    <w:p w14:paraId="720D0FF0" w14:textId="4B00C9A5" w:rsidR="00537CC8" w:rsidRPr="0025250D" w:rsidRDefault="00537CC8" w:rsidP="00725F0F">
      <w:pPr>
        <w:rPr>
          <w:rtl/>
        </w:rPr>
      </w:pPr>
      <w:r w:rsidRPr="0025250D">
        <w:rPr>
          <w:rFonts w:hint="cs"/>
          <w:rtl/>
        </w:rPr>
        <w:t xml:space="preserve">ترسیم انسان‌هایی که درون هلیکوپتر‌ها نشسته اند، بر روی آتش آب می‌پاشند و مردم را با بازوهای مکانیکی نجات می‌دهند، می‌توانست کم‌تر سرگرم کننده باشد، اما یک کار </w:t>
      </w:r>
      <w:r w:rsidRPr="0025250D">
        <w:rPr>
          <w:rtl/>
        </w:rPr>
        <w:t>آینده‌نگاری</w:t>
      </w:r>
      <w:r w:rsidRPr="0025250D">
        <w:rPr>
          <w:rFonts w:hint="cs"/>
          <w:rtl/>
        </w:rPr>
        <w:t xml:space="preserve"> بسیار خردمندانه‌تر و مفید‌تر باشد. وقتی متفکر آینده به دنبال سرگرمی و نیز آموزش باشد، تولید </w:t>
      </w:r>
      <w:r w:rsidR="00B56611" w:rsidRPr="0025250D">
        <w:rPr>
          <w:rFonts w:hint="cs"/>
          <w:rtl/>
        </w:rPr>
        <w:t>چشم‌انداز</w:t>
      </w:r>
      <w:r w:rsidRPr="0025250D">
        <w:rPr>
          <w:rFonts w:hint="cs"/>
          <w:rtl/>
        </w:rPr>
        <w:t>‌های نادرست آسان است. البته</w:t>
      </w:r>
      <w:r w:rsidR="008D6F97" w:rsidRPr="0025250D">
        <w:rPr>
          <w:rtl/>
        </w:rPr>
        <w:t xml:space="preserve"> </w:t>
      </w:r>
      <w:r w:rsidRPr="0025250D">
        <w:rPr>
          <w:rFonts w:hint="cs"/>
          <w:rtl/>
        </w:rPr>
        <w:t xml:space="preserve">تا زمانی که ما پهپادها را به‌عنوان نقطه مرجع نداشته باشیم، کسانی که به </w:t>
      </w:r>
      <w:r w:rsidR="00B56611" w:rsidRPr="0025250D">
        <w:rPr>
          <w:rFonts w:hint="cs"/>
          <w:rtl/>
        </w:rPr>
        <w:t>چشم‌انداز</w:t>
      </w:r>
      <w:r w:rsidRPr="0025250D">
        <w:rPr>
          <w:rFonts w:hint="cs"/>
          <w:rtl/>
        </w:rPr>
        <w:t xml:space="preserve"> قهرمانان آتش نشان انسان </w:t>
      </w:r>
      <w:r w:rsidR="0008779C" w:rsidRPr="0025250D">
        <w:rPr>
          <w:rFonts w:hint="cs"/>
          <w:rtl/>
        </w:rPr>
        <w:t>علاقه‌مند</w:t>
      </w:r>
      <w:r w:rsidRPr="0025250D">
        <w:rPr>
          <w:rFonts w:hint="cs"/>
          <w:rtl/>
        </w:rPr>
        <w:t xml:space="preserve"> هستند، هنوز می‌توانند ساخت نوعی از کوله پشتی بالدار را </w:t>
      </w:r>
      <w:r w:rsidR="00725F0F" w:rsidRPr="0025250D">
        <w:rPr>
          <w:rFonts w:hint="cs"/>
          <w:rtl/>
        </w:rPr>
        <w:t xml:space="preserve">تصور کنند </w:t>
      </w:r>
      <w:r w:rsidRPr="0025250D">
        <w:rPr>
          <w:rFonts w:hint="cs"/>
          <w:rtl/>
        </w:rPr>
        <w:t>که به مردم برای پرواز در خارج از یک ساختمان و نجات دادن افراد و حتی حمل شلنگ آتش نشانی و پاشیدن آب به داخل ساختمان</w:t>
      </w:r>
      <w:r w:rsidR="00725F0F" w:rsidRPr="0025250D">
        <w:rPr>
          <w:rFonts w:hint="cs"/>
          <w:rtl/>
        </w:rPr>
        <w:t xml:space="preserve"> کمک می‌کنند</w:t>
      </w:r>
      <w:r w:rsidRPr="0025250D">
        <w:rPr>
          <w:rFonts w:hint="cs"/>
          <w:rtl/>
        </w:rPr>
        <w:t xml:space="preserve">. همچنان </w:t>
      </w:r>
      <w:r w:rsidR="00725F0F" w:rsidRPr="0025250D">
        <w:rPr>
          <w:rFonts w:hint="cs"/>
          <w:rtl/>
        </w:rPr>
        <w:t>نیز</w:t>
      </w:r>
      <w:r w:rsidRPr="0025250D">
        <w:rPr>
          <w:rFonts w:hint="cs"/>
          <w:rtl/>
        </w:rPr>
        <w:t xml:space="preserve"> به دنبال همین </w:t>
      </w:r>
      <w:r w:rsidR="00B56611" w:rsidRPr="0025250D">
        <w:rPr>
          <w:rFonts w:hint="cs"/>
          <w:rtl/>
        </w:rPr>
        <w:t>چشم‌انداز</w:t>
      </w:r>
      <w:r w:rsidRPr="0025250D">
        <w:rPr>
          <w:rFonts w:hint="cs"/>
          <w:rtl/>
        </w:rPr>
        <w:t xml:space="preserve"> نادرست، شاهد کوله پشتی‌های آتش نشانی در چند کشور، به طور مشخص در دوبی بوده ایم. از نظر ما این امر به این دلیلی رخ می‌دهد که توسعه دهندگان این کوله پشتی‌ها علاقه خود برای پرواز مانند یک پرنده را که به شکل تدریجی رخ خواهد داد، با استفاده از چنین ابزاری برای آتش نشانی که هیچگاه به صورت عمده رخ نخواهد داد، در هم می‌آمیزند. از نظر ما، </w:t>
      </w:r>
      <w:r w:rsidR="00D30084" w:rsidRPr="0025250D">
        <w:rPr>
          <w:rFonts w:hint="cs"/>
          <w:rtl/>
        </w:rPr>
        <w:t>آینده‌نگار</w:t>
      </w:r>
      <w:r w:rsidRPr="0025250D">
        <w:rPr>
          <w:rFonts w:hint="cs"/>
          <w:rtl/>
        </w:rPr>
        <w:t>ان و مهندسین باید تاکنون این نکته را بهتر بدانند.</w:t>
      </w:r>
    </w:p>
    <w:p w14:paraId="7A2952EF" w14:textId="7E38FE50" w:rsidR="00537CC8" w:rsidRPr="0025250D" w:rsidRDefault="00537CC8" w:rsidP="00537CC8">
      <w:pPr>
        <w:rPr>
          <w:rtl/>
        </w:rPr>
      </w:pPr>
      <w:r w:rsidRPr="0025250D">
        <w:rPr>
          <w:rFonts w:hint="cs"/>
          <w:rtl/>
        </w:rPr>
        <w:t xml:space="preserve">چرا این </w:t>
      </w:r>
      <w:r w:rsidRPr="0025250D">
        <w:rPr>
          <w:rtl/>
        </w:rPr>
        <w:t>آینده‌نگاری</w:t>
      </w:r>
      <w:r w:rsidRPr="0025250D">
        <w:rPr>
          <w:rFonts w:hint="cs"/>
          <w:rtl/>
        </w:rPr>
        <w:t xml:space="preserve"> اهمیت دارد؟ چرا ما باید داستان‌های نادرست مانند این مورد را هر چه زود‌تر ریشه کن کنیم؟ زیرا بسیاری از داستان‌های ما ریسک بسیار زیادی دارند. هر چه زود‌تر بتوانیم </w:t>
      </w:r>
      <w:r w:rsidR="00923DDB" w:rsidRPr="0025250D">
        <w:rPr>
          <w:rFonts w:hint="cs"/>
          <w:rtl/>
        </w:rPr>
        <w:t>راه‌حل</w:t>
      </w:r>
      <w:r w:rsidRPr="0025250D">
        <w:rPr>
          <w:rFonts w:hint="cs"/>
          <w:rtl/>
        </w:rPr>
        <w:t xml:space="preserve">‌های توسعه‌ای بهینه پیش روی خود را ببینیم، بهتر می‌توانیم در انجام آن‌ها </w:t>
      </w:r>
      <w:r w:rsidR="00F50EB4" w:rsidRPr="0025250D">
        <w:rPr>
          <w:rFonts w:hint="cs"/>
          <w:rtl/>
        </w:rPr>
        <w:t>سرمایه‌گذاری</w:t>
      </w:r>
      <w:r w:rsidRPr="0025250D">
        <w:rPr>
          <w:rFonts w:hint="cs"/>
          <w:rtl/>
        </w:rPr>
        <w:t xml:space="preserve"> کنیم. درمورد آتش نشانی، مردم هنوز به این دلیل که ما </w:t>
      </w:r>
      <w:r w:rsidR="00B56611" w:rsidRPr="0025250D">
        <w:rPr>
          <w:rFonts w:hint="cs"/>
          <w:rtl/>
        </w:rPr>
        <w:t>چشم‌انداز</w:t>
      </w:r>
      <w:r w:rsidRPr="0025250D">
        <w:rPr>
          <w:rFonts w:hint="cs"/>
          <w:rtl/>
        </w:rPr>
        <w:t xml:space="preserve"> با کیفیت و تعهد سیاسی، تحقیق و توسعه و کارآفرینی مورد نیاز را نداریم می‌میرند. آتش سوزی‌های زود گستر</w:t>
      </w:r>
      <w:r w:rsidRPr="0025250D">
        <w:rPr>
          <w:vertAlign w:val="superscript"/>
          <w:rtl/>
        </w:rPr>
        <w:footnoteReference w:id="1899"/>
      </w:r>
      <w:r w:rsidRPr="0025250D">
        <w:rPr>
          <w:rFonts w:hint="cs"/>
          <w:rtl/>
        </w:rPr>
        <w:t xml:space="preserve"> یک مشکل سالانه مرگبار و میلیون دلاری، در سراسر جهان هستند که به دلیل تغییرات ا</w:t>
      </w:r>
      <w:r w:rsidR="00725F0F" w:rsidRPr="0025250D">
        <w:rPr>
          <w:rFonts w:hint="cs"/>
          <w:rtl/>
        </w:rPr>
        <w:t>ق</w:t>
      </w:r>
      <w:r w:rsidRPr="0025250D">
        <w:rPr>
          <w:rFonts w:hint="cs"/>
          <w:rtl/>
        </w:rPr>
        <w:t>لیمی در حال رشد می‌باشند. بشریت به مدیریت بهتری در محیط‌های طبیعی حفاظت شده، با آتش سوزی‌های کنترل شده و مدیریت شده توسط ربات نیاز دارد و ما به دفاع بسیار بهتری در مقابل آتش</w:t>
      </w:r>
      <w:r w:rsidRPr="0025250D">
        <w:rPr>
          <w:rtl/>
        </w:rPr>
        <w:t xml:space="preserve"> </w:t>
      </w:r>
      <w:r w:rsidRPr="0025250D">
        <w:rPr>
          <w:rFonts w:hint="cs"/>
          <w:rtl/>
        </w:rPr>
        <w:t>سوزی</w:t>
      </w:r>
      <w:r w:rsidRPr="0025250D">
        <w:rPr>
          <w:rtl/>
        </w:rPr>
        <w:t xml:space="preserve">‌های </w:t>
      </w:r>
      <w:r w:rsidRPr="0025250D">
        <w:rPr>
          <w:rFonts w:hint="cs"/>
          <w:rtl/>
        </w:rPr>
        <w:t>زود</w:t>
      </w:r>
      <w:r w:rsidRPr="0025250D">
        <w:rPr>
          <w:rtl/>
        </w:rPr>
        <w:t xml:space="preserve"> </w:t>
      </w:r>
      <w:r w:rsidRPr="0025250D">
        <w:rPr>
          <w:rFonts w:hint="cs"/>
          <w:rtl/>
        </w:rPr>
        <w:t xml:space="preserve">گستر نیاز داریم. ما تنها به شجاعت، </w:t>
      </w:r>
      <w:r w:rsidR="00F50EB4" w:rsidRPr="0025250D">
        <w:rPr>
          <w:rFonts w:hint="cs"/>
          <w:rtl/>
        </w:rPr>
        <w:t>سرمایه‌گذاری</w:t>
      </w:r>
      <w:r w:rsidRPr="0025250D">
        <w:rPr>
          <w:rFonts w:hint="cs"/>
          <w:rtl/>
        </w:rPr>
        <w:t xml:space="preserve"> و </w:t>
      </w:r>
      <w:r w:rsidR="00701E03" w:rsidRPr="0025250D">
        <w:rPr>
          <w:rFonts w:hint="cs"/>
          <w:rtl/>
        </w:rPr>
        <w:t>راهبرد</w:t>
      </w:r>
      <w:r w:rsidRPr="0025250D">
        <w:rPr>
          <w:rFonts w:hint="cs"/>
          <w:rtl/>
        </w:rPr>
        <w:t xml:space="preserve">‌های لازم برای این که آن‌ها را اکنون، نه دهه‌ها بعد، </w:t>
      </w:r>
      <w:r w:rsidR="00B453C0" w:rsidRPr="0025250D">
        <w:rPr>
          <w:rFonts w:hint="cs"/>
          <w:rtl/>
        </w:rPr>
        <w:t>امکان‌پذیر</w:t>
      </w:r>
      <w:r w:rsidRPr="0025250D">
        <w:rPr>
          <w:rFonts w:hint="cs"/>
          <w:rtl/>
        </w:rPr>
        <w:t xml:space="preserve"> کنیم نیاز داریم.</w:t>
      </w:r>
    </w:p>
    <w:p w14:paraId="1E5F98A2" w14:textId="50CEF95F" w:rsidR="00537CC8" w:rsidRPr="0025250D" w:rsidRDefault="00537CC8" w:rsidP="00C56C14">
      <w:pPr>
        <w:rPr>
          <w:rtl/>
        </w:rPr>
      </w:pPr>
      <w:r w:rsidRPr="0025250D">
        <w:rPr>
          <w:rFonts w:hint="cs"/>
          <w:rtl/>
        </w:rPr>
        <w:t xml:space="preserve">دسته‌های پهپادی آتش نشان یک </w:t>
      </w:r>
      <w:r w:rsidR="00923DDB" w:rsidRPr="0025250D">
        <w:rPr>
          <w:rFonts w:hint="cs"/>
          <w:rtl/>
        </w:rPr>
        <w:t>راه‌حل</w:t>
      </w:r>
      <w:r w:rsidRPr="0025250D">
        <w:rPr>
          <w:rFonts w:hint="cs"/>
          <w:rtl/>
        </w:rPr>
        <w:t xml:space="preserve"> واضح نسل آینده برای دفاع از مردم و اموال در نزدیکی آتش سوزی‌های زود گستر هستند. </w:t>
      </w:r>
      <w:r w:rsidR="00725F0F" w:rsidRPr="0025250D">
        <w:rPr>
          <w:rFonts w:hint="cs"/>
          <w:rtl/>
        </w:rPr>
        <w:t>این</w:t>
      </w:r>
      <w:r w:rsidRPr="0025250D">
        <w:rPr>
          <w:rFonts w:hint="cs"/>
          <w:rtl/>
        </w:rPr>
        <w:t xml:space="preserve"> پهپاد‌ه</w:t>
      </w:r>
      <w:r w:rsidR="00725F0F" w:rsidRPr="0025250D">
        <w:rPr>
          <w:rFonts w:hint="cs"/>
          <w:rtl/>
        </w:rPr>
        <w:t>ا</w:t>
      </w:r>
      <w:r w:rsidRPr="0025250D">
        <w:rPr>
          <w:rFonts w:hint="cs"/>
          <w:rtl/>
        </w:rPr>
        <w:t xml:space="preserve"> و یک شبکه حسگر‌های مادون قرمز در اطراف ساختمان‌های ما، می‌توانند به شکل ارزان قیمتی به ما </w:t>
      </w:r>
      <w:r w:rsidR="00725F0F" w:rsidRPr="0025250D">
        <w:rPr>
          <w:rFonts w:hint="cs"/>
          <w:rtl/>
        </w:rPr>
        <w:t>در</w:t>
      </w:r>
      <w:r w:rsidRPr="0025250D">
        <w:rPr>
          <w:rFonts w:hint="cs"/>
          <w:rtl/>
        </w:rPr>
        <w:t xml:space="preserve"> نظارت و از بین بردن سریع خاکستر‌های نیم سوز یا گرمی که سبب می‌شوند آتش از هر زمین و آتش شکن</w:t>
      </w:r>
      <w:r w:rsidRPr="0025250D">
        <w:rPr>
          <w:vertAlign w:val="superscript"/>
          <w:rtl/>
        </w:rPr>
        <w:footnoteReference w:id="1900"/>
      </w:r>
      <w:r w:rsidRPr="0025250D">
        <w:rPr>
          <w:rFonts w:hint="cs"/>
          <w:rtl/>
        </w:rPr>
        <w:t xml:space="preserve"> و ساختاری بگذرد کمک کنند. آن‌ها همچنین می‌توانند آب را از مخازن آب موجود که در نزدیکی آن ساختمان‌ها در نواحی مستعد آتش سوزی، مخازن</w:t>
      </w:r>
      <w:r w:rsidR="00725F0F" w:rsidRPr="0025250D">
        <w:rPr>
          <w:rFonts w:hint="cs"/>
          <w:rtl/>
        </w:rPr>
        <w:t xml:space="preserve"> دارای</w:t>
      </w:r>
      <w:r w:rsidRPr="0025250D">
        <w:rPr>
          <w:rFonts w:hint="cs"/>
          <w:rtl/>
        </w:rPr>
        <w:t xml:space="preserve"> دو کاربر‌ی که همچنین آب مصرفی در طول سال برای خانه‌های اطراف</w:t>
      </w:r>
      <w:r w:rsidR="00725F0F" w:rsidRPr="0025250D">
        <w:rPr>
          <w:rFonts w:hint="cs"/>
          <w:rtl/>
        </w:rPr>
        <w:t xml:space="preserve"> را</w:t>
      </w:r>
      <w:r w:rsidRPr="0025250D">
        <w:rPr>
          <w:rFonts w:hint="cs"/>
          <w:rtl/>
        </w:rPr>
        <w:t xml:space="preserve"> تهیه می‌کنند، برداشت کنند. درمورد منطقه </w:t>
      </w:r>
      <w:r w:rsidR="00C56C14" w:rsidRPr="0025250D">
        <w:rPr>
          <w:rFonts w:hint="cs"/>
          <w:rtl/>
        </w:rPr>
        <w:t>69</w:t>
      </w:r>
      <w:r w:rsidRPr="0025250D">
        <w:rPr>
          <w:rtl/>
        </w:rPr>
        <w:t xml:space="preserve"> براوو</w:t>
      </w:r>
      <w:r w:rsidRPr="0025250D">
        <w:rPr>
          <w:vertAlign w:val="superscript"/>
          <w:rtl/>
        </w:rPr>
        <w:footnoteReference w:id="1901"/>
      </w:r>
      <w:r w:rsidRPr="0025250D">
        <w:rPr>
          <w:rFonts w:hint="cs"/>
          <w:rtl/>
        </w:rPr>
        <w:t xml:space="preserve"> در لس آنجلس (3</w:t>
      </w:r>
      <w:r w:rsidRPr="0025250D">
        <w:rPr>
          <w:rtl/>
        </w:rPr>
        <w:t xml:space="preserve"> دق</w:t>
      </w:r>
      <w:r w:rsidRPr="0025250D">
        <w:rPr>
          <w:rFonts w:hint="cs"/>
          <w:rtl/>
        </w:rPr>
        <w:t>ی</w:t>
      </w:r>
      <w:r w:rsidRPr="0025250D">
        <w:rPr>
          <w:rFonts w:hint="eastAsia"/>
          <w:rtl/>
        </w:rPr>
        <w:t>قه،</w:t>
      </w:r>
      <w:r w:rsidRPr="0025250D">
        <w:rPr>
          <w:rtl/>
        </w:rPr>
        <w:t xml:space="preserve"> </w:t>
      </w:r>
      <w:r w:rsidRPr="0025250D">
        <w:rPr>
          <w:rFonts w:hint="cs"/>
          <w:rtl/>
        </w:rPr>
        <w:t>ویمئو</w:t>
      </w:r>
      <w:r w:rsidRPr="0025250D">
        <w:rPr>
          <w:vertAlign w:val="superscript"/>
          <w:rtl/>
        </w:rPr>
        <w:footnoteReference w:id="1902"/>
      </w:r>
      <w:r w:rsidRPr="0025250D">
        <w:rPr>
          <w:rtl/>
        </w:rPr>
        <w:t>، 2016</w:t>
      </w:r>
      <w:r w:rsidRPr="0025250D">
        <w:rPr>
          <w:rFonts w:hint="cs"/>
          <w:rtl/>
        </w:rPr>
        <w:t>)، برای تأمین آب به کمک هلیکوپتر، اما با کمک پهپاد‌ها بیندیشید. په</w:t>
      </w:r>
      <w:r w:rsidR="00725F0F" w:rsidRPr="0025250D">
        <w:rPr>
          <w:rFonts w:hint="cs"/>
          <w:rtl/>
        </w:rPr>
        <w:t>پ</w:t>
      </w:r>
      <w:r w:rsidRPr="0025250D">
        <w:rPr>
          <w:rFonts w:hint="cs"/>
          <w:rtl/>
        </w:rPr>
        <w:t>اد‌های بدون سرنشین مقاوم در مقابل گرما می‌توانند آب بسیار کم‌تری را، به شکل بسیار دقیق‌تر، نزدیک‌تر</w:t>
      </w:r>
      <w:r w:rsidR="008D6F97" w:rsidRPr="0025250D">
        <w:rPr>
          <w:rtl/>
        </w:rPr>
        <w:t xml:space="preserve"> </w:t>
      </w:r>
      <w:r w:rsidRPr="0025250D">
        <w:rPr>
          <w:rFonts w:hint="cs"/>
          <w:rtl/>
        </w:rPr>
        <w:t xml:space="preserve">و اقتصادی‌تر به منطقه برسانند. واحد‌های آتش نشانی نیز باید بتوانند به سرعت </w:t>
      </w:r>
      <w:r w:rsidR="00933C48" w:rsidRPr="0025250D">
        <w:rPr>
          <w:rFonts w:hint="cs"/>
          <w:rtl/>
        </w:rPr>
        <w:t>آتش‌های انحرافی</w:t>
      </w:r>
      <w:r w:rsidR="00933C48" w:rsidRPr="0025250D">
        <w:rPr>
          <w:rStyle w:val="FootnoteReference"/>
          <w:rtl/>
        </w:rPr>
        <w:footnoteReference w:id="1903"/>
      </w:r>
      <w:r w:rsidRPr="0025250D">
        <w:rPr>
          <w:rFonts w:hint="cs"/>
          <w:rtl/>
        </w:rPr>
        <w:t xml:space="preserve"> و آتش شکن‌ها را به سرعت برای حفاظت از مردم و اموال ایجاد کنند. مواد منفجره خط آتش</w:t>
      </w:r>
      <w:r w:rsidRPr="0025250D">
        <w:rPr>
          <w:vertAlign w:val="superscript"/>
          <w:rtl/>
        </w:rPr>
        <w:footnoteReference w:id="1904"/>
      </w:r>
      <w:r w:rsidRPr="0025250D">
        <w:rPr>
          <w:rFonts w:hint="cs"/>
          <w:rtl/>
        </w:rPr>
        <w:t xml:space="preserve"> که آزمایش‌هایی بر روی آن‌ها انجام گرفته و متأسفانه بعدا این کار به دلیل احتیاط بیش از حد ادامه نیافت، می‌توانند به سرعت و با ایمنی آتش شکن‌های دقیق و بزرگی ایجاد کنند. پهپادها می‌توانند </w:t>
      </w:r>
      <w:r w:rsidR="00933C48" w:rsidRPr="0025250D">
        <w:rPr>
          <w:rFonts w:hint="cs"/>
          <w:rtl/>
        </w:rPr>
        <w:t>آتش‌های انحرافی</w:t>
      </w:r>
      <w:r w:rsidRPr="0025250D">
        <w:rPr>
          <w:rFonts w:hint="cs"/>
          <w:rtl/>
        </w:rPr>
        <w:t xml:space="preserve"> سریعی را در نزدیکی ساختمان‌ها برای از بین بردن مواد آتش زا ایجاد کنند. همه این </w:t>
      </w:r>
      <w:r w:rsidR="00701E03" w:rsidRPr="0025250D">
        <w:rPr>
          <w:rFonts w:hint="cs"/>
          <w:rtl/>
        </w:rPr>
        <w:t>راهبرد</w:t>
      </w:r>
      <w:r w:rsidRPr="0025250D">
        <w:rPr>
          <w:rFonts w:hint="cs"/>
          <w:rtl/>
        </w:rPr>
        <w:t xml:space="preserve">‌ها حتی در باد شدید کار می‌کنند. این </w:t>
      </w:r>
      <w:r w:rsidR="007A53FD" w:rsidRPr="0025250D">
        <w:rPr>
          <w:rFonts w:hint="cs"/>
          <w:rtl/>
        </w:rPr>
        <w:t>فناوری</w:t>
      </w:r>
      <w:r w:rsidRPr="0025250D">
        <w:rPr>
          <w:rFonts w:hint="cs"/>
          <w:rtl/>
        </w:rPr>
        <w:t>‌های قدرتمند به ابزارهای آتش نشانی تعلق دارند.</w:t>
      </w:r>
    </w:p>
    <w:p w14:paraId="546F316D" w14:textId="2F419B63" w:rsidR="00537CC8" w:rsidRPr="0025250D" w:rsidRDefault="00537CC8" w:rsidP="00537CC8">
      <w:pPr>
        <w:rPr>
          <w:rtl/>
        </w:rPr>
      </w:pPr>
      <w:r w:rsidRPr="0025250D">
        <w:rPr>
          <w:rFonts w:hint="cs"/>
          <w:rtl/>
        </w:rPr>
        <w:t xml:space="preserve"> این </w:t>
      </w:r>
      <w:r w:rsidR="00B56611" w:rsidRPr="0025250D">
        <w:rPr>
          <w:rFonts w:hint="cs"/>
          <w:rtl/>
        </w:rPr>
        <w:t>چشم‌انداز</w:t>
      </w:r>
      <w:r w:rsidRPr="0025250D">
        <w:rPr>
          <w:rFonts w:hint="cs"/>
          <w:rtl/>
        </w:rPr>
        <w:t xml:space="preserve">، در </w:t>
      </w:r>
      <w:r w:rsidRPr="0025250D">
        <w:rPr>
          <w:rtl/>
        </w:rPr>
        <w:t xml:space="preserve">پوشش‌های </w:t>
      </w:r>
      <w:r w:rsidRPr="0025250D">
        <w:rPr>
          <w:rFonts w:hint="cs"/>
          <w:rtl/>
        </w:rPr>
        <w:t>مختلف، اکنون برای دهه‌ها وجود داشته است. مواد منفجره خط آتش در دهه 1970 استفاده می‌شدند. رقابت‌های رباتیکی، برای استفاده از ربات‌های چرخ دار برای از بین بردن آتش، از دهه 1990 در آمریکا انجام برگزار می‌شده‌اند. تنها باید این امر را ممکن کنیم. به نظر ما واحد‌های آتش نشانی در نهایت دسته‌های پهپادی و بولدوزر‌های بدون سرنشین را به کار خواهند گرفت و ساکنین در نزدیکی آتش‌های زود گستر به آن‌ها وابسته خواهند بود. آن‌ها از پهپاد‌ها و وسایل بدون سرنشین برای اهداف مفید متعدد دیگری (مانند حمل و نقل و امنیت) هم استفاده خواهند کرد.</w:t>
      </w:r>
    </w:p>
    <w:p w14:paraId="48C813BD" w14:textId="02F2F1B2" w:rsidR="00537CC8" w:rsidRPr="0025250D" w:rsidRDefault="00537CC8" w:rsidP="00537CC8">
      <w:pPr>
        <w:rPr>
          <w:rtl/>
        </w:rPr>
      </w:pPr>
      <w:r w:rsidRPr="0025250D">
        <w:rPr>
          <w:rFonts w:hint="cs"/>
          <w:rtl/>
        </w:rPr>
        <w:t xml:space="preserve">البته، توزیع این توسعه پیش رو، در مقابل شکل‌های متنوعی از موانع سازمانی و اجتماعی، مسئله‌ای کاملا متفاوت است. این توسعه‌های قابل </w:t>
      </w:r>
      <w:r w:rsidR="00D92F6E" w:rsidRPr="0025250D">
        <w:rPr>
          <w:rFonts w:hint="cs"/>
          <w:rtl/>
        </w:rPr>
        <w:t>پیش‌بین</w:t>
      </w:r>
      <w:r w:rsidRPr="0025250D">
        <w:rPr>
          <w:rFonts w:hint="cs"/>
          <w:rtl/>
        </w:rPr>
        <w:t xml:space="preserve">ی باید از میان موانع سیاسی (ریسک، ایمنی) و کاری (امنیت شغلی) راه خود را پیدا کنند. کارآفرینان به اتکا بر همه هشت مهارت برای ساختن این </w:t>
      </w:r>
      <w:r w:rsidR="00923DDB" w:rsidRPr="0025250D">
        <w:rPr>
          <w:rFonts w:hint="cs"/>
          <w:rtl/>
        </w:rPr>
        <w:t>راه‌حل</w:t>
      </w:r>
      <w:r w:rsidRPr="0025250D">
        <w:rPr>
          <w:rFonts w:hint="cs"/>
          <w:rtl/>
        </w:rPr>
        <w:t xml:space="preserve">‌ها، نشان دادن کارایی آن‌ها، متقاعد کردن واحد‌های آتش نشانی برای ارزش قائل شدن برای آن‌ها و ایجاد حمایت عمومی و سیاسی برای </w:t>
      </w:r>
      <w:r w:rsidR="00923DDB" w:rsidRPr="0025250D">
        <w:rPr>
          <w:rFonts w:hint="cs"/>
          <w:rtl/>
        </w:rPr>
        <w:t>به‌کارگیری</w:t>
      </w:r>
      <w:r w:rsidRPr="0025250D">
        <w:rPr>
          <w:rFonts w:hint="cs"/>
          <w:rtl/>
        </w:rPr>
        <w:t xml:space="preserve"> آن‌ها، نیاز خواهند داشت</w:t>
      </w:r>
      <w:r w:rsidR="008D6F97" w:rsidRPr="0025250D">
        <w:rPr>
          <w:rtl/>
        </w:rPr>
        <w:t xml:space="preserve">؛ </w:t>
      </w:r>
      <w:r w:rsidRPr="0025250D">
        <w:rPr>
          <w:rFonts w:hint="cs"/>
          <w:rtl/>
        </w:rPr>
        <w:t xml:space="preserve">اما این توسعه در نهایت، از راه خواهد رسید. پس بیایید این داستان </w:t>
      </w:r>
      <w:r w:rsidR="00822BD5" w:rsidRPr="0025250D">
        <w:rPr>
          <w:rtl/>
        </w:rPr>
        <w:t>تخم مرغ شانسی مانند</w:t>
      </w:r>
      <w:r w:rsidRPr="0025250D">
        <w:rPr>
          <w:rFonts w:hint="cs"/>
          <w:rtl/>
        </w:rPr>
        <w:t xml:space="preserve"> مفید را تا حد امکان شجاعانه و بی صبرانه بیان کنیم.</w:t>
      </w:r>
    </w:p>
    <w:p w14:paraId="3EAA1E24" w14:textId="597A7599" w:rsidR="00537CC8" w:rsidRPr="0025250D" w:rsidRDefault="00537CC8" w:rsidP="00BE4252">
      <w:pPr>
        <w:rPr>
          <w:rtl/>
        </w:rPr>
      </w:pPr>
      <w:r w:rsidRPr="0025250D">
        <w:rPr>
          <w:rFonts w:hint="cs"/>
          <w:rtl/>
        </w:rPr>
        <w:t xml:space="preserve">بنابراین، چه درس‌هایی می‌توانیم از این داستان </w:t>
      </w:r>
      <w:r w:rsidR="00822BD5" w:rsidRPr="0025250D">
        <w:rPr>
          <w:rtl/>
        </w:rPr>
        <w:t>تخم مرغ شانسی مانند</w:t>
      </w:r>
      <w:r w:rsidRPr="0025250D">
        <w:rPr>
          <w:rFonts w:hint="cs"/>
          <w:rtl/>
        </w:rPr>
        <w:t xml:space="preserve"> و داستان نادرست آتش نشانان پرواز کننده که برای مدت‌ها قبل از آن وجود داشته است بگیریم؟ یک درسی که می‌توانیم بیاموزیم این است که در بیان هر داستانی درمورد آینده، باید پیوند‌ها و </w:t>
      </w:r>
      <w:r w:rsidR="00BE4252" w:rsidRPr="0025250D">
        <w:rPr>
          <w:rFonts w:hint="cs"/>
          <w:rtl/>
        </w:rPr>
        <w:t>سوگیری‌های هیجانی</w:t>
      </w:r>
      <w:r w:rsidRPr="0025250D">
        <w:rPr>
          <w:rFonts w:hint="cs"/>
          <w:rtl/>
        </w:rPr>
        <w:t xml:space="preserve"> خود را بشناسیم و از در هم آمیختن اهدافمان اجتناب کنیم. یک درس دیگر این است که باید به دنبال روند‌های توسعه‌ای باشیم. یک درس سوم این است که باید به همه عوامل ممانعت کننده‌ای که وقوع تا حد امکان زودهنگام یک آینده توسعه‌ای را به تأخیر می‌اندازند، توجه کنیم و از خود بپرسیم که چه </w:t>
      </w:r>
      <w:r w:rsidR="00701E03" w:rsidRPr="0025250D">
        <w:rPr>
          <w:rFonts w:hint="cs"/>
          <w:rtl/>
        </w:rPr>
        <w:t>راهبرد</w:t>
      </w:r>
      <w:r w:rsidRPr="0025250D">
        <w:rPr>
          <w:rFonts w:hint="cs"/>
          <w:rtl/>
        </w:rPr>
        <w:t xml:space="preserve">‌هایی را می‌توانیم برای غلبه بر این عوامل و تسریع توسعه‌های مثبت </w:t>
      </w:r>
      <w:r w:rsidR="00923DDB" w:rsidRPr="0025250D">
        <w:rPr>
          <w:rFonts w:hint="cs"/>
          <w:rtl/>
        </w:rPr>
        <w:t>به‌کارگیری</w:t>
      </w:r>
      <w:r w:rsidRPr="0025250D">
        <w:rPr>
          <w:rFonts w:hint="cs"/>
          <w:rtl/>
        </w:rPr>
        <w:t>م.</w:t>
      </w:r>
    </w:p>
    <w:p w14:paraId="1F5314CF" w14:textId="1CABB70C" w:rsidR="00537CC8" w:rsidRPr="0025250D" w:rsidRDefault="00537CC8" w:rsidP="00537CC8">
      <w:pPr>
        <w:rPr>
          <w:rtl/>
        </w:rPr>
      </w:pPr>
      <w:r w:rsidRPr="0025250D">
        <w:rPr>
          <w:rFonts w:hint="cs"/>
          <w:rtl/>
        </w:rPr>
        <w:t xml:space="preserve">داستان‌های نادرست متعدد بسیاری امروزه دست به دست می‌شوند. داستان‌های علمی و </w:t>
      </w:r>
      <w:r w:rsidR="007A53FD" w:rsidRPr="0025250D">
        <w:rPr>
          <w:rFonts w:hint="cs"/>
          <w:rtl/>
        </w:rPr>
        <w:t>فناورانه</w:t>
      </w:r>
      <w:r w:rsidRPr="0025250D">
        <w:rPr>
          <w:rFonts w:hint="cs"/>
          <w:rtl/>
        </w:rPr>
        <w:t xml:space="preserve"> که به نظر ما امروزه بیش از هر زمانی به صورت تجملی و اغراق شده بیان می‌شوند، افزایش توانایی‌های انسان، دارو‌های هوشمند</w:t>
      </w:r>
      <w:r w:rsidRPr="0025250D">
        <w:rPr>
          <w:vertAlign w:val="superscript"/>
          <w:rtl/>
        </w:rPr>
        <w:footnoteReference w:id="1905"/>
      </w:r>
      <w:r w:rsidRPr="0025250D">
        <w:rPr>
          <w:rFonts w:hint="cs"/>
          <w:rtl/>
        </w:rPr>
        <w:t xml:space="preserve">، آسانسور‌های فضایی، </w:t>
      </w:r>
      <w:r w:rsidRPr="0025250D">
        <w:rPr>
          <w:rtl/>
        </w:rPr>
        <w:t>خودآرا</w:t>
      </w:r>
      <w:r w:rsidRPr="0025250D">
        <w:rPr>
          <w:rFonts w:hint="cs"/>
          <w:rtl/>
        </w:rPr>
        <w:t xml:space="preserve">یی کننده‌های </w:t>
      </w:r>
      <w:r w:rsidRPr="0025250D">
        <w:rPr>
          <w:rtl/>
        </w:rPr>
        <w:t>مولکول</w:t>
      </w:r>
      <w:r w:rsidRPr="0025250D">
        <w:rPr>
          <w:rFonts w:hint="cs"/>
          <w:rtl/>
        </w:rPr>
        <w:t>ی</w:t>
      </w:r>
      <w:r w:rsidRPr="0025250D">
        <w:rPr>
          <w:vertAlign w:val="superscript"/>
          <w:rtl/>
        </w:rPr>
        <w:footnoteReference w:id="1906"/>
      </w:r>
      <w:r w:rsidRPr="0025250D">
        <w:rPr>
          <w:rFonts w:hint="cs"/>
          <w:rtl/>
        </w:rPr>
        <w:t xml:space="preserve">، </w:t>
      </w:r>
      <w:r w:rsidRPr="0025250D">
        <w:rPr>
          <w:rtl/>
        </w:rPr>
        <w:t>تول</w:t>
      </w:r>
      <w:r w:rsidRPr="0025250D">
        <w:rPr>
          <w:rFonts w:hint="cs"/>
          <w:rtl/>
        </w:rPr>
        <w:t>ی</w:t>
      </w:r>
      <w:r w:rsidRPr="0025250D">
        <w:rPr>
          <w:rFonts w:hint="eastAsia"/>
          <w:rtl/>
        </w:rPr>
        <w:t>د</w:t>
      </w:r>
      <w:r w:rsidRPr="0025250D">
        <w:rPr>
          <w:rtl/>
        </w:rPr>
        <w:t xml:space="preserve"> افزودن</w:t>
      </w:r>
      <w:r w:rsidRPr="0025250D">
        <w:rPr>
          <w:rFonts w:hint="cs"/>
          <w:rtl/>
        </w:rPr>
        <w:t>ی</w:t>
      </w:r>
      <w:r w:rsidRPr="0025250D">
        <w:rPr>
          <w:rtl/>
        </w:rPr>
        <w:t xml:space="preserve"> روم</w:t>
      </w:r>
      <w:r w:rsidRPr="0025250D">
        <w:rPr>
          <w:rFonts w:hint="cs"/>
          <w:rtl/>
        </w:rPr>
        <w:t>ی</w:t>
      </w:r>
      <w:r w:rsidRPr="0025250D">
        <w:rPr>
          <w:rFonts w:hint="eastAsia"/>
          <w:rtl/>
        </w:rPr>
        <w:t>ز</w:t>
      </w:r>
      <w:r w:rsidRPr="0025250D">
        <w:rPr>
          <w:rFonts w:hint="cs"/>
          <w:rtl/>
        </w:rPr>
        <w:t>ی</w:t>
      </w:r>
      <w:r w:rsidRPr="0025250D">
        <w:rPr>
          <w:vertAlign w:val="superscript"/>
          <w:rtl/>
        </w:rPr>
        <w:footnoteReference w:id="1907"/>
      </w:r>
      <w:r w:rsidRPr="0025250D">
        <w:rPr>
          <w:rFonts w:hint="cs"/>
          <w:rtl/>
        </w:rPr>
        <w:t xml:space="preserve"> و بسیاری از موارد سرگرم کننده و اغلب مورد بحث دیگر هستند. حتی موارد استانداردی مانند هوش مصنوعی، اینترنت اشیا، رباتیک و واقعیت مجازی و افزوده همواره به طور گسترده در کوتاه مدت بیش از حد اغراق می‌شوند، هم توسط رسانه‌های فرصت طلب و هم توسط جامعه </w:t>
      </w:r>
      <w:r w:rsidR="00D92F6E" w:rsidRPr="0025250D">
        <w:rPr>
          <w:rFonts w:hint="cs"/>
          <w:rtl/>
        </w:rPr>
        <w:t>آینده‌نگاری</w:t>
      </w:r>
      <w:r w:rsidRPr="0025250D">
        <w:rPr>
          <w:rFonts w:hint="cs"/>
          <w:rtl/>
        </w:rPr>
        <w:t xml:space="preserve"> مبتدی. هرچه دانش بیش‌تری درمورد قیود و محرک‌های </w:t>
      </w:r>
      <w:r w:rsidRPr="0025250D">
        <w:t>STEEPLES</w:t>
      </w:r>
      <w:r w:rsidRPr="0025250D">
        <w:rPr>
          <w:rFonts w:hint="cs"/>
          <w:rtl/>
        </w:rPr>
        <w:t xml:space="preserve"> در پس هر داستان بیان شده و سطح انتقاد تخصصی پیش روی آن داشته باشیم، بهتر می‌توانیم تعیین کنیم که آیا این یک داستان محتمل، ممکن، پیش رونده، قابل اجتناب یا نادرست است</w:t>
      </w:r>
      <w:r w:rsidR="00725F0F" w:rsidRPr="0025250D">
        <w:rPr>
          <w:rFonts w:hint="cs"/>
          <w:rtl/>
        </w:rPr>
        <w:t>.</w:t>
      </w:r>
      <w:r w:rsidRPr="0025250D">
        <w:rPr>
          <w:rFonts w:hint="cs"/>
          <w:rtl/>
        </w:rPr>
        <w:t xml:space="preserve">. با یافتن و بیان داستان‌های </w:t>
      </w:r>
      <w:r w:rsidR="00822BD5" w:rsidRPr="0025250D">
        <w:rPr>
          <w:rtl/>
        </w:rPr>
        <w:t>تخم مرغ شانسی مانند</w:t>
      </w:r>
      <w:r w:rsidRPr="0025250D">
        <w:rPr>
          <w:rFonts w:hint="cs"/>
          <w:rtl/>
        </w:rPr>
        <w:t xml:space="preserve"> در هر یک از چهار </w:t>
      </w:r>
      <w:r w:rsidRPr="0025250D">
        <w:t>P</w:t>
      </w:r>
      <w:r w:rsidRPr="0025250D">
        <w:rPr>
          <w:rFonts w:hint="cs"/>
          <w:rtl/>
        </w:rPr>
        <w:t xml:space="preserve">، نقشه‌ای را ایجاد می‌کنیم که می‌توانیم از آن برای ایجاد </w:t>
      </w:r>
      <w:r w:rsidR="00701E03" w:rsidRPr="0025250D">
        <w:rPr>
          <w:rFonts w:hint="cs"/>
          <w:rtl/>
        </w:rPr>
        <w:t>راهبرد</w:t>
      </w:r>
      <w:r w:rsidRPr="0025250D">
        <w:rPr>
          <w:rFonts w:hint="cs"/>
          <w:rtl/>
        </w:rPr>
        <w:t xml:space="preserve"> بهتر، در هر دامنه‌ای استفاده کنیم.</w:t>
      </w:r>
    </w:p>
    <w:p w14:paraId="515218D9" w14:textId="65A202EC" w:rsidR="00537CC8" w:rsidRPr="0025250D" w:rsidRDefault="00537CC8" w:rsidP="00D53F87">
      <w:pPr>
        <w:pStyle w:val="Heading2"/>
        <w:rPr>
          <w:rtl/>
        </w:rPr>
      </w:pPr>
      <w:bookmarkStart w:id="56" w:name="_Toc127831321"/>
      <w:r w:rsidRPr="0025250D">
        <w:rPr>
          <w:rFonts w:hint="cs"/>
          <w:rtl/>
        </w:rPr>
        <w:t xml:space="preserve">خلق </w:t>
      </w:r>
      <w:r w:rsidR="00B56611" w:rsidRPr="0025250D">
        <w:rPr>
          <w:rFonts w:hint="cs"/>
          <w:rtl/>
        </w:rPr>
        <w:t>چشم‌انداز</w:t>
      </w:r>
      <w:r w:rsidRPr="0025250D">
        <w:rPr>
          <w:rFonts w:hint="cs"/>
          <w:rtl/>
        </w:rPr>
        <w:t xml:space="preserve">‌های مشترک (داستان‌های پیشرفت انگیزشی و </w:t>
      </w:r>
      <w:r w:rsidR="00B124DE" w:rsidRPr="0025250D">
        <w:rPr>
          <w:rFonts w:hint="cs"/>
          <w:rtl/>
        </w:rPr>
        <w:t>انطباق</w:t>
      </w:r>
      <w:r w:rsidR="00725F0F" w:rsidRPr="0025250D">
        <w:rPr>
          <w:rFonts w:hint="cs"/>
          <w:rtl/>
        </w:rPr>
        <w:t>ی</w:t>
      </w:r>
      <w:r w:rsidRPr="0025250D">
        <w:rPr>
          <w:rFonts w:hint="cs"/>
          <w:rtl/>
        </w:rPr>
        <w:t>)</w:t>
      </w:r>
      <w:bookmarkEnd w:id="56"/>
    </w:p>
    <w:p w14:paraId="559019E4" w14:textId="3CEFB5CB" w:rsidR="00537CC8" w:rsidRPr="0025250D" w:rsidRDefault="00537CC8" w:rsidP="00537CC8">
      <w:pPr>
        <w:rPr>
          <w:rtl/>
        </w:rPr>
      </w:pPr>
      <w:r w:rsidRPr="0025250D">
        <w:rPr>
          <w:rFonts w:hint="cs"/>
          <w:rtl/>
        </w:rPr>
        <w:t xml:space="preserve">برای ایجاد نقشه‌ای خوب از آینده، ما باید </w:t>
      </w:r>
      <w:r w:rsidR="00822BD5" w:rsidRPr="0025250D">
        <w:rPr>
          <w:rFonts w:hint="cs"/>
          <w:rtl/>
        </w:rPr>
        <w:t>داستان های تخم مرغ شانسی مانند</w:t>
      </w:r>
      <w:r w:rsidRPr="0025250D">
        <w:rPr>
          <w:rFonts w:hint="cs"/>
          <w:rtl/>
        </w:rPr>
        <w:t xml:space="preserve"> را از میان چهار </w:t>
      </w:r>
      <w:r w:rsidRPr="0025250D">
        <w:t>P</w:t>
      </w:r>
      <w:r w:rsidRPr="0025250D">
        <w:rPr>
          <w:rFonts w:hint="cs"/>
          <w:rtl/>
        </w:rPr>
        <w:t xml:space="preserve"> </w:t>
      </w:r>
      <w:r w:rsidR="00B124DE" w:rsidRPr="0025250D">
        <w:rPr>
          <w:rFonts w:hint="cs"/>
          <w:rtl/>
        </w:rPr>
        <w:t>جمع‌آوری</w:t>
      </w:r>
      <w:r w:rsidRPr="0025250D">
        <w:rPr>
          <w:rFonts w:hint="cs"/>
          <w:rtl/>
        </w:rPr>
        <w:t xml:space="preserve"> کنیم. یک کار دیگر این است که هر چه داستان‌های به‌خوبی نقد شده بیش‌تری از همه چهار نوع داشته باشیم، بهتر می‌توانیم </w:t>
      </w:r>
      <w:r w:rsidR="002F3C14" w:rsidRPr="0025250D">
        <w:rPr>
          <w:rFonts w:hint="cs"/>
          <w:rtl/>
        </w:rPr>
        <w:t>انطباق</w:t>
      </w:r>
      <w:r w:rsidRPr="0025250D">
        <w:rPr>
          <w:rFonts w:hint="cs"/>
          <w:rtl/>
        </w:rPr>
        <w:t xml:space="preserve"> یابیم</w:t>
      </w:r>
      <w:r w:rsidR="008D6F97" w:rsidRPr="0025250D">
        <w:rPr>
          <w:rtl/>
        </w:rPr>
        <w:t xml:space="preserve">؛ </w:t>
      </w:r>
      <w:r w:rsidRPr="0025250D">
        <w:rPr>
          <w:rFonts w:hint="cs"/>
          <w:rtl/>
        </w:rPr>
        <w:t xml:space="preserve">اما </w:t>
      </w:r>
      <w:r w:rsidR="007118DE" w:rsidRPr="0025250D">
        <w:rPr>
          <w:rFonts w:hint="cs"/>
          <w:rtl/>
        </w:rPr>
        <w:t>همان‌طور</w:t>
      </w:r>
      <w:r w:rsidRPr="0025250D">
        <w:rPr>
          <w:rFonts w:hint="cs"/>
          <w:rtl/>
        </w:rPr>
        <w:t xml:space="preserve"> که قبلا گفتیم، داستان‌های موجود در رأس هرم، آینده‌های مرجح و قابل اجتناب، مواردی هستند که ما و کارسپارانمان طبیعتا بیش‌تر به آن‌ها اهمیت می‌دهیم. بیش از هر چیز دیگری به دنبال یافتن </w:t>
      </w:r>
      <w:r w:rsidR="00B56611" w:rsidRPr="0025250D">
        <w:rPr>
          <w:rFonts w:hint="cs"/>
          <w:rtl/>
        </w:rPr>
        <w:t>چشم‌انداز</w:t>
      </w:r>
      <w:r w:rsidRPr="0025250D">
        <w:rPr>
          <w:rFonts w:hint="cs"/>
          <w:rtl/>
        </w:rPr>
        <w:t xml:space="preserve">‌های مثبت </w:t>
      </w:r>
      <w:r w:rsidR="00B124DE" w:rsidRPr="0025250D">
        <w:rPr>
          <w:rFonts w:hint="cs"/>
          <w:rtl/>
        </w:rPr>
        <w:t>انطباق‌پذیر</w:t>
      </w:r>
      <w:r w:rsidRPr="0025250D">
        <w:rPr>
          <w:rFonts w:hint="cs"/>
          <w:rtl/>
        </w:rPr>
        <w:t xml:space="preserve"> و اخلاقی که الهام بخش ما و </w:t>
      </w:r>
      <w:r w:rsidR="00B56611" w:rsidRPr="0025250D">
        <w:rPr>
          <w:rFonts w:hint="cs"/>
          <w:rtl/>
        </w:rPr>
        <w:t>چشم‌انداز</w:t>
      </w:r>
      <w:r w:rsidRPr="0025250D">
        <w:rPr>
          <w:rFonts w:hint="cs"/>
          <w:rtl/>
        </w:rPr>
        <w:t xml:space="preserve">‌های منفی </w:t>
      </w:r>
      <w:r w:rsidR="00923DDB" w:rsidRPr="0025250D">
        <w:rPr>
          <w:rFonts w:hint="cs"/>
          <w:rtl/>
        </w:rPr>
        <w:t>باورپذیر</w:t>
      </w:r>
      <w:r w:rsidR="00725F0F" w:rsidRPr="0025250D">
        <w:rPr>
          <w:rFonts w:hint="cs"/>
          <w:rtl/>
        </w:rPr>
        <w:t>ی</w:t>
      </w:r>
      <w:r w:rsidRPr="0025250D">
        <w:rPr>
          <w:rFonts w:hint="cs"/>
          <w:rtl/>
        </w:rPr>
        <w:t xml:space="preserve"> که ما را برای ایجاد تغییرات لازم </w:t>
      </w:r>
      <w:r w:rsidR="00A11B9B" w:rsidRPr="0025250D">
        <w:rPr>
          <w:rFonts w:hint="cs"/>
          <w:rtl/>
        </w:rPr>
        <w:t xml:space="preserve"> می‌</w:t>
      </w:r>
      <w:r w:rsidRPr="0025250D">
        <w:rPr>
          <w:rFonts w:hint="cs"/>
          <w:rtl/>
        </w:rPr>
        <w:t>ترسانند</w:t>
      </w:r>
      <w:r w:rsidR="00725F0F" w:rsidRPr="0025250D">
        <w:rPr>
          <w:rFonts w:hint="cs"/>
          <w:rtl/>
        </w:rPr>
        <w:t>، هستیم</w:t>
      </w:r>
      <w:r w:rsidRPr="0025250D">
        <w:rPr>
          <w:rFonts w:hint="cs"/>
          <w:rtl/>
        </w:rPr>
        <w:t xml:space="preserve">. رهبری شامل یادگیری چگونگی ایجاد چنین داستان‌هایی برای خود و تیم هایمان و بیان آن‌ها به شکلی می‌باشد که دیگران را برای کمک به ما برای تحقق بخشیدن به </w:t>
      </w:r>
      <w:r w:rsidR="00B56611" w:rsidRPr="0025250D">
        <w:rPr>
          <w:rFonts w:hint="cs"/>
          <w:rtl/>
        </w:rPr>
        <w:t>چشم‌انداز</w:t>
      </w:r>
      <w:r w:rsidRPr="0025250D">
        <w:rPr>
          <w:rFonts w:hint="cs"/>
          <w:rtl/>
        </w:rPr>
        <w:t>‌های مثبتمان به کار واداشته و به آن‌ها انگیزه دهد.</w:t>
      </w:r>
    </w:p>
    <w:p w14:paraId="143E3099" w14:textId="5B866E0F" w:rsidR="00537CC8" w:rsidRPr="0025250D" w:rsidRDefault="00537CC8" w:rsidP="00537CC8">
      <w:pPr>
        <w:rPr>
          <w:rtl/>
        </w:rPr>
      </w:pPr>
      <w:r w:rsidRPr="0025250D">
        <w:rPr>
          <w:rFonts w:hint="cs"/>
          <w:rtl/>
        </w:rPr>
        <w:t>آینده‌های مرجحی که به صورت گسترده برای ذینفعان مورد توافق جمعی و انگیزه بخش هستند را می‌توان داستان‌های پیشرفت نامید</w:t>
      </w:r>
      <w:r w:rsidR="008D6F97" w:rsidRPr="0025250D">
        <w:rPr>
          <w:rtl/>
        </w:rPr>
        <w:t xml:space="preserve">؛ </w:t>
      </w:r>
      <w:r w:rsidRPr="0025250D">
        <w:rPr>
          <w:rFonts w:hint="cs"/>
          <w:rtl/>
        </w:rPr>
        <w:t xml:space="preserve">اما باید به یاد داشته باشیم که ایجاد آینده‌های قابل اجتناب مفید آسان‌تر از داستان‌های پیشرفت است. سوگیری </w:t>
      </w:r>
      <w:r w:rsidRPr="0025250D">
        <w:t>DROA</w:t>
      </w:r>
      <w:r w:rsidRPr="0025250D">
        <w:rPr>
          <w:rFonts w:hint="cs"/>
          <w:rtl/>
        </w:rPr>
        <w:t xml:space="preserve"> به ما یادآوری می‌کند که بشر یک تمایل تکاملی علیه بیان داستان‌های بیش از حد از پیشرفت دارد. تا همین اواخر، اشاره به ریسک‌ها، خطرات و مشکلات آینده برای ما بسیار </w:t>
      </w:r>
      <w:r w:rsidR="00B124DE" w:rsidRPr="0025250D">
        <w:rPr>
          <w:rFonts w:hint="cs"/>
          <w:rtl/>
        </w:rPr>
        <w:t>انطباق‌پذیر</w:t>
      </w:r>
      <w:r w:rsidRPr="0025250D">
        <w:rPr>
          <w:rFonts w:hint="cs"/>
          <w:rtl/>
        </w:rPr>
        <w:t>‌تر بوده است.</w:t>
      </w:r>
    </w:p>
    <w:p w14:paraId="30DB1F38" w14:textId="5B207AA6" w:rsidR="00537CC8" w:rsidRPr="0025250D" w:rsidRDefault="00537CC8" w:rsidP="00537CC8">
      <w:pPr>
        <w:rPr>
          <w:rtl/>
        </w:rPr>
      </w:pPr>
      <w:r w:rsidRPr="0025250D">
        <w:rPr>
          <w:rFonts w:hint="cs"/>
          <w:rtl/>
        </w:rPr>
        <w:t>در نتیجه، تمایل داریم که داستان‌های پیشرفت را تنها به خودمان به آرامی بگوییم. از آنجا که آن‌ها کم‌تر آشکار شده و نقد کم‌تری دریافت می‌کنند، اغلب ساده انگارانه و مبهم هستند</w:t>
      </w:r>
      <w:r w:rsidR="008D6F97" w:rsidRPr="0025250D">
        <w:rPr>
          <w:rtl/>
        </w:rPr>
        <w:t xml:space="preserve">؛ </w:t>
      </w:r>
      <w:r w:rsidR="0020589F" w:rsidRPr="0025250D">
        <w:rPr>
          <w:rtl/>
        </w:rPr>
        <w:t>اما</w:t>
      </w:r>
      <w:r w:rsidRPr="0025250D">
        <w:rPr>
          <w:rFonts w:hint="cs"/>
          <w:rtl/>
        </w:rPr>
        <w:t xml:space="preserve"> وقتی آن‌ها را با صدای بلند بیان کرده و نقد دیگران را دریافت می‌کنیم، می‌توانیم آن‌ها را برای عملی‌تر، دقیق‌تر و انگیزه بخش‌تر بودن </w:t>
      </w:r>
      <w:r w:rsidR="002F3C14" w:rsidRPr="0025250D">
        <w:rPr>
          <w:rFonts w:hint="cs"/>
          <w:rtl/>
        </w:rPr>
        <w:t>انطباق</w:t>
      </w:r>
      <w:r w:rsidRPr="0025250D">
        <w:rPr>
          <w:rFonts w:hint="cs"/>
          <w:rtl/>
        </w:rPr>
        <w:t xml:space="preserve"> دهیم. </w:t>
      </w:r>
      <w:r w:rsidR="00B124DE" w:rsidRPr="0025250D">
        <w:rPr>
          <w:rFonts w:hint="cs"/>
          <w:rtl/>
        </w:rPr>
        <w:t>جمع‌آوری</w:t>
      </w:r>
      <w:r w:rsidRPr="0025250D">
        <w:rPr>
          <w:rFonts w:hint="cs"/>
          <w:rtl/>
        </w:rPr>
        <w:t xml:space="preserve"> و </w:t>
      </w:r>
      <w:r w:rsidR="00274907" w:rsidRPr="0025250D">
        <w:rPr>
          <w:rFonts w:hint="cs"/>
          <w:rtl/>
        </w:rPr>
        <w:t>به‌اشتراک‌گذار</w:t>
      </w:r>
      <w:r w:rsidRPr="0025250D">
        <w:rPr>
          <w:rFonts w:hint="cs"/>
          <w:rtl/>
        </w:rPr>
        <w:t>ی داستان‌های پیشرفت مهم‌تر و پیچیده‌تر، نتیجه‌ای است که امید داریم برای همه کسانی که این کتاب را می‌خوانند الهام بخش باشد.</w:t>
      </w:r>
    </w:p>
    <w:p w14:paraId="614985AD" w14:textId="1C3F992E" w:rsidR="00537CC8" w:rsidRPr="0025250D" w:rsidRDefault="00537CC8" w:rsidP="00537CC8">
      <w:pPr>
        <w:rPr>
          <w:rtl/>
        </w:rPr>
      </w:pPr>
      <w:r w:rsidRPr="0025250D">
        <w:rPr>
          <w:rFonts w:hint="cs"/>
          <w:rtl/>
        </w:rPr>
        <w:t xml:space="preserve">از نظر ما، یافتن و بیان داستان‌های پیشرفت نمایی به طور مشخص اهمیت دارند، زیرا همه بهترین </w:t>
      </w:r>
      <w:r w:rsidR="00B56611" w:rsidRPr="0025250D">
        <w:rPr>
          <w:rFonts w:hint="cs"/>
          <w:rtl/>
        </w:rPr>
        <w:t>چشم‌انداز</w:t>
      </w:r>
      <w:r w:rsidRPr="0025250D">
        <w:rPr>
          <w:rFonts w:hint="cs"/>
          <w:rtl/>
        </w:rPr>
        <w:t xml:space="preserve">‌های ما، هم حاوی </w:t>
      </w:r>
      <w:r w:rsidR="00923DDB" w:rsidRPr="0025250D">
        <w:rPr>
          <w:rFonts w:hint="cs"/>
          <w:rtl/>
        </w:rPr>
        <w:t>پیش‌انگاری</w:t>
      </w:r>
      <w:r w:rsidRPr="0025250D">
        <w:rPr>
          <w:rFonts w:hint="cs"/>
          <w:rtl/>
        </w:rPr>
        <w:t xml:space="preserve"> تغییر </w:t>
      </w:r>
      <w:r w:rsidR="007A53FD" w:rsidRPr="0025250D">
        <w:rPr>
          <w:rFonts w:hint="cs"/>
          <w:rtl/>
        </w:rPr>
        <w:t>فناورانه</w:t>
      </w:r>
      <w:r w:rsidRPr="0025250D">
        <w:rPr>
          <w:rFonts w:hint="cs"/>
          <w:rtl/>
        </w:rPr>
        <w:t xml:space="preserve"> و علمی نمایی و هم حاوی ایده‌هایی از پیشرفت فردی، تیمی، سازمانی، جهانی یا فراگیر هستند که ممکن است، با توجه به واقعیت قابل </w:t>
      </w:r>
      <w:r w:rsidR="00D92F6E" w:rsidRPr="0025250D">
        <w:rPr>
          <w:rFonts w:hint="cs"/>
          <w:rtl/>
        </w:rPr>
        <w:t>پیش‌بین</w:t>
      </w:r>
      <w:r w:rsidRPr="0025250D">
        <w:rPr>
          <w:rFonts w:hint="cs"/>
          <w:rtl/>
        </w:rPr>
        <w:t xml:space="preserve">ی تغییر </w:t>
      </w:r>
      <w:r w:rsidR="007B3B35" w:rsidRPr="0025250D">
        <w:rPr>
          <w:rFonts w:hint="cs"/>
          <w:rtl/>
        </w:rPr>
        <w:t>شتاب‌گیر</w:t>
      </w:r>
      <w:r w:rsidRPr="0025250D">
        <w:rPr>
          <w:rFonts w:hint="cs"/>
          <w:rtl/>
        </w:rPr>
        <w:t>نده داشته باشیم.</w:t>
      </w:r>
    </w:p>
    <w:p w14:paraId="5C9A31FC" w14:textId="1F508978" w:rsidR="00537CC8" w:rsidRPr="0025250D" w:rsidRDefault="00537CC8" w:rsidP="00537CC8">
      <w:pPr>
        <w:rPr>
          <w:rtl/>
        </w:rPr>
      </w:pPr>
      <w:r w:rsidRPr="0025250D">
        <w:rPr>
          <w:rtl/>
        </w:rPr>
        <w:t>پ</w:t>
      </w:r>
      <w:r w:rsidRPr="0025250D">
        <w:rPr>
          <w:rFonts w:hint="cs"/>
          <w:rtl/>
        </w:rPr>
        <w:t>ی</w:t>
      </w:r>
      <w:r w:rsidRPr="0025250D">
        <w:rPr>
          <w:rFonts w:hint="eastAsia"/>
          <w:rtl/>
        </w:rPr>
        <w:t>تر</w:t>
      </w:r>
      <w:r w:rsidRPr="0025250D">
        <w:rPr>
          <w:rtl/>
        </w:rPr>
        <w:t xml:space="preserve"> د</w:t>
      </w:r>
      <w:r w:rsidRPr="0025250D">
        <w:rPr>
          <w:rFonts w:hint="cs"/>
          <w:rtl/>
        </w:rPr>
        <w:t>ی</w:t>
      </w:r>
      <w:r w:rsidRPr="0025250D">
        <w:rPr>
          <w:rFonts w:hint="eastAsia"/>
          <w:rtl/>
        </w:rPr>
        <w:t>اماند</w:t>
      </w:r>
      <w:r w:rsidRPr="0025250D">
        <w:rPr>
          <w:rFonts w:hint="cs"/>
          <w:rtl/>
        </w:rPr>
        <w:t>ی</w:t>
      </w:r>
      <w:r w:rsidRPr="0025250D">
        <w:rPr>
          <w:rFonts w:hint="eastAsia"/>
          <w:rtl/>
        </w:rPr>
        <w:t>س</w:t>
      </w:r>
      <w:r w:rsidRPr="0025250D">
        <w:rPr>
          <w:rFonts w:hint="cs"/>
          <w:rtl/>
        </w:rPr>
        <w:t xml:space="preserve"> از دانشگاه تکینگی ما را تشویق به یافتن </w:t>
      </w:r>
      <w:r w:rsidRPr="0025250D">
        <w:t>MTP</w:t>
      </w:r>
      <w:r w:rsidRPr="0025250D">
        <w:rPr>
          <w:rFonts w:hint="cs"/>
          <w:rtl/>
        </w:rPr>
        <w:t>، یا هدف تحولی بزرگ</w:t>
      </w:r>
      <w:r w:rsidRPr="0025250D">
        <w:rPr>
          <w:vertAlign w:val="superscript"/>
          <w:rtl/>
        </w:rPr>
        <w:footnoteReference w:id="1908"/>
      </w:r>
      <w:r w:rsidRPr="0025250D">
        <w:rPr>
          <w:rFonts w:hint="cs"/>
          <w:rtl/>
        </w:rPr>
        <w:t xml:space="preserve"> خود می‌کند، یک شکل تغییر یافته مدرن از </w:t>
      </w:r>
      <w:r w:rsidRPr="0025250D">
        <w:t>BHAG</w:t>
      </w:r>
      <w:r w:rsidRPr="0025250D">
        <w:rPr>
          <w:vertAlign w:val="superscript"/>
          <w:rtl/>
        </w:rPr>
        <w:footnoteReference w:id="1909"/>
      </w:r>
      <w:r w:rsidRPr="0025250D">
        <w:rPr>
          <w:rFonts w:hint="cs"/>
          <w:rtl/>
        </w:rPr>
        <w:t xml:space="preserve"> (هدف بزرگ، مهیج و بی باکانه) پیشنهاد شده توسط </w:t>
      </w:r>
      <w:r w:rsidRPr="0025250D">
        <w:rPr>
          <w:rtl/>
        </w:rPr>
        <w:t>ج</w:t>
      </w:r>
      <w:r w:rsidRPr="0025250D">
        <w:rPr>
          <w:rFonts w:hint="cs"/>
          <w:rtl/>
        </w:rPr>
        <w:t>ی</w:t>
      </w:r>
      <w:r w:rsidRPr="0025250D">
        <w:rPr>
          <w:rFonts w:hint="eastAsia"/>
          <w:rtl/>
        </w:rPr>
        <w:t>م</w:t>
      </w:r>
      <w:r w:rsidRPr="0025250D">
        <w:rPr>
          <w:rtl/>
        </w:rPr>
        <w:t xml:space="preserve"> کال</w:t>
      </w:r>
      <w:r w:rsidRPr="0025250D">
        <w:rPr>
          <w:rFonts w:hint="cs"/>
          <w:rtl/>
        </w:rPr>
        <w:t>ی</w:t>
      </w:r>
      <w:r w:rsidRPr="0025250D">
        <w:rPr>
          <w:rFonts w:hint="eastAsia"/>
          <w:rtl/>
        </w:rPr>
        <w:t>نز</w:t>
      </w:r>
      <w:r w:rsidRPr="0025250D">
        <w:rPr>
          <w:vertAlign w:val="superscript"/>
          <w:rtl/>
        </w:rPr>
        <w:footnoteReference w:id="1910"/>
      </w:r>
      <w:r w:rsidRPr="0025250D">
        <w:rPr>
          <w:rFonts w:hint="cs"/>
          <w:rtl/>
        </w:rPr>
        <w:t xml:space="preserve"> و </w:t>
      </w:r>
      <w:r w:rsidRPr="0025250D">
        <w:rPr>
          <w:rtl/>
        </w:rPr>
        <w:t>جر</w:t>
      </w:r>
      <w:r w:rsidRPr="0025250D">
        <w:rPr>
          <w:rFonts w:hint="cs"/>
          <w:rtl/>
        </w:rPr>
        <w:t>ی</w:t>
      </w:r>
      <w:r w:rsidRPr="0025250D">
        <w:rPr>
          <w:rtl/>
        </w:rPr>
        <w:t xml:space="preserve"> پوراس</w:t>
      </w:r>
      <w:r w:rsidRPr="0025250D">
        <w:rPr>
          <w:vertAlign w:val="superscript"/>
          <w:rtl/>
        </w:rPr>
        <w:footnoteReference w:id="1911"/>
      </w:r>
      <w:r w:rsidRPr="0025250D">
        <w:rPr>
          <w:rFonts w:hint="cs"/>
          <w:rtl/>
        </w:rPr>
        <w:t xml:space="preserve"> در کتاب ساختن برای ماندن</w:t>
      </w:r>
      <w:r w:rsidRPr="0025250D">
        <w:rPr>
          <w:vertAlign w:val="superscript"/>
          <w:rtl/>
        </w:rPr>
        <w:footnoteReference w:id="1912"/>
      </w:r>
      <w:r w:rsidRPr="0025250D">
        <w:rPr>
          <w:rFonts w:hint="cs"/>
          <w:rtl/>
        </w:rPr>
        <w:t xml:space="preserve"> در سال 1994. از سال 2009، شرکت‌هایی مانند </w:t>
      </w:r>
      <w:r w:rsidRPr="0025250D">
        <w:t>MITRE</w:t>
      </w:r>
      <w:r w:rsidRPr="0025250D">
        <w:rPr>
          <w:rFonts w:hint="cs"/>
          <w:rtl/>
        </w:rPr>
        <w:t xml:space="preserve"> و </w:t>
      </w:r>
      <w:r w:rsidRPr="0025250D">
        <w:rPr>
          <w:rtl/>
        </w:rPr>
        <w:t>گوگل</w:t>
      </w:r>
      <w:r w:rsidRPr="0025250D">
        <w:rPr>
          <w:rFonts w:hint="cs"/>
          <w:rtl/>
        </w:rPr>
        <w:t xml:space="preserve"> درمورد تفکر ده برابری</w:t>
      </w:r>
      <w:r w:rsidRPr="0025250D">
        <w:rPr>
          <w:vertAlign w:val="superscript"/>
          <w:rtl/>
        </w:rPr>
        <w:footnoteReference w:id="1913"/>
      </w:r>
      <w:r w:rsidRPr="0025250D">
        <w:rPr>
          <w:rFonts w:hint="cs"/>
          <w:rtl/>
        </w:rPr>
        <w:t xml:space="preserve"> و مون شات</w:t>
      </w:r>
      <w:r w:rsidRPr="0025250D">
        <w:rPr>
          <w:vertAlign w:val="superscript"/>
          <w:rtl/>
        </w:rPr>
        <w:footnoteReference w:id="1914"/>
      </w:r>
      <w:r w:rsidRPr="0025250D">
        <w:rPr>
          <w:rFonts w:hint="cs"/>
          <w:rtl/>
        </w:rPr>
        <w:t xml:space="preserve"> در جستجو برای یافتن راه‌هایی که تیم‌ها، شرکت‌ها، صنعت، یا جامعه ما بتوانند از روند‌های نمایی برای ایجاد یک آینده به شدت بهتر و حل یک یا چند مورد از بزرگترین مشکلات یا قید‌ها و محدودیت‌ها استفاده کنند، صحبت </w:t>
      </w:r>
      <w:r w:rsidR="007118DE" w:rsidRPr="0025250D">
        <w:rPr>
          <w:rFonts w:hint="cs"/>
          <w:rtl/>
        </w:rPr>
        <w:t>کرده‌اند</w:t>
      </w:r>
      <w:r w:rsidRPr="0025250D">
        <w:rPr>
          <w:rFonts w:hint="cs"/>
          <w:rtl/>
        </w:rPr>
        <w:t>.</w:t>
      </w:r>
    </w:p>
    <w:p w14:paraId="227C7F38" w14:textId="6FB673B1" w:rsidR="00537CC8" w:rsidRPr="0025250D" w:rsidRDefault="00537CC8" w:rsidP="00BE4252">
      <w:pPr>
        <w:rPr>
          <w:rtl/>
        </w:rPr>
      </w:pPr>
      <w:r w:rsidRPr="0025250D">
        <w:rPr>
          <w:rFonts w:hint="cs"/>
          <w:rtl/>
        </w:rPr>
        <w:t xml:space="preserve">داستان‌های پیشرفت به تلاش فکری، شجاعت و </w:t>
      </w:r>
      <w:r w:rsidRPr="0025250D">
        <w:rPr>
          <w:rtl/>
        </w:rPr>
        <w:t>آینده‌نگاری</w:t>
      </w:r>
      <w:r w:rsidRPr="0025250D">
        <w:rPr>
          <w:rFonts w:hint="cs"/>
          <w:rtl/>
        </w:rPr>
        <w:t xml:space="preserve"> جمعی نیاز دارند. کلمه پیشرفت هنوز برای بسیاری در فرهنگ ما رایج و محبوب نیست. برخی متفکرین، روزنامه نگاران، افراد بدبین و دیگران هنوز به این خیال که جهان ما با یک نرخ </w:t>
      </w:r>
      <w:r w:rsidR="007B3B35" w:rsidRPr="0025250D">
        <w:rPr>
          <w:rFonts w:hint="cs"/>
          <w:rtl/>
        </w:rPr>
        <w:t>شتاب‌گیر</w:t>
      </w:r>
      <w:r w:rsidRPr="0025250D">
        <w:rPr>
          <w:rFonts w:hint="cs"/>
          <w:rtl/>
        </w:rPr>
        <w:t>نده در حال پیشرفت نیست، به</w:t>
      </w:r>
      <w:r w:rsidRPr="0025250D">
        <w:rPr>
          <w:rtl/>
        </w:rPr>
        <w:t xml:space="preserve"> </w:t>
      </w:r>
      <w:r w:rsidRPr="0025250D">
        <w:rPr>
          <w:rFonts w:hint="cs"/>
          <w:rtl/>
        </w:rPr>
        <w:t>شکل</w:t>
      </w:r>
      <w:r w:rsidRPr="0025250D">
        <w:rPr>
          <w:rtl/>
        </w:rPr>
        <w:t xml:space="preserve">‌های </w:t>
      </w:r>
      <w:r w:rsidRPr="0025250D">
        <w:rPr>
          <w:rFonts w:hint="cs"/>
          <w:rtl/>
        </w:rPr>
        <w:t>متعددی</w:t>
      </w:r>
      <w:r w:rsidRPr="0025250D">
        <w:rPr>
          <w:rtl/>
        </w:rPr>
        <w:t xml:space="preserve"> </w:t>
      </w:r>
      <w:r w:rsidRPr="0025250D">
        <w:rPr>
          <w:rFonts w:hint="cs"/>
          <w:rtl/>
        </w:rPr>
        <w:t>باور</w:t>
      </w:r>
      <w:r w:rsidRPr="0025250D">
        <w:rPr>
          <w:rtl/>
        </w:rPr>
        <w:t xml:space="preserve"> </w:t>
      </w:r>
      <w:r w:rsidRPr="0025250D">
        <w:rPr>
          <w:rFonts w:hint="cs"/>
          <w:rtl/>
        </w:rPr>
        <w:t xml:space="preserve">دارند. آن‌ها در عوض فکر می‌کنند که این جهان ثابت است که به شکل پایداری بد‌تر می‌شود و اکنون در نقطه‌ای بحرانی یا حتی در حال فروپاشی است. در نتیجه، </w:t>
      </w:r>
      <w:r w:rsidR="00B56611" w:rsidRPr="0025250D">
        <w:rPr>
          <w:rFonts w:hint="cs"/>
          <w:rtl/>
        </w:rPr>
        <w:t>چشم‌انداز</w:t>
      </w:r>
      <w:r w:rsidRPr="0025250D">
        <w:rPr>
          <w:rFonts w:hint="cs"/>
          <w:rtl/>
        </w:rPr>
        <w:t xml:space="preserve">‌های آن‌ها از تصویر کلان‌تر نادرست هستند. ندیدن پیشرفت </w:t>
      </w:r>
      <w:r w:rsidR="007B3B35" w:rsidRPr="0025250D">
        <w:rPr>
          <w:rFonts w:hint="cs"/>
          <w:rtl/>
        </w:rPr>
        <w:t>شتاب‌گیر</w:t>
      </w:r>
      <w:r w:rsidRPr="0025250D">
        <w:rPr>
          <w:rFonts w:hint="cs"/>
          <w:rtl/>
        </w:rPr>
        <w:t xml:space="preserve">نده می‌تواند از نظر </w:t>
      </w:r>
      <w:r w:rsidR="00BE4252" w:rsidRPr="0025250D">
        <w:rPr>
          <w:rFonts w:hint="cs"/>
          <w:rtl/>
        </w:rPr>
        <w:t>هیجانی</w:t>
      </w:r>
      <w:r w:rsidRPr="0025250D">
        <w:rPr>
          <w:rFonts w:hint="cs"/>
          <w:rtl/>
        </w:rPr>
        <w:t xml:space="preserve"> راضی کننده باشد. این کار به داستان سرا امکان می‌دهد که نقش یک قهرمان، بیان کننده حقیقت یا ناجی را ایفا کند</w:t>
      </w:r>
      <w:r w:rsidR="008D6F97" w:rsidRPr="0025250D">
        <w:rPr>
          <w:rtl/>
        </w:rPr>
        <w:t xml:space="preserve">؛ </w:t>
      </w:r>
      <w:r w:rsidRPr="0025250D">
        <w:rPr>
          <w:rFonts w:hint="cs"/>
          <w:rtl/>
        </w:rPr>
        <w:t>اما این داستان اصلا با چگونگی کارکرد ظاهری تکامل و توسعه پیچیده در جهان ما، در سطح شبکه تناسب ندارد.</w:t>
      </w:r>
    </w:p>
    <w:p w14:paraId="1D2945B0" w14:textId="0BD4E7A2" w:rsidR="00537CC8" w:rsidRPr="0025250D" w:rsidRDefault="007118DE" w:rsidP="00537CC8">
      <w:pPr>
        <w:rPr>
          <w:rtl/>
        </w:rPr>
      </w:pPr>
      <w:r w:rsidRPr="0025250D">
        <w:rPr>
          <w:rFonts w:hint="cs"/>
          <w:rtl/>
        </w:rPr>
        <w:t>همان‌طور</w:t>
      </w:r>
      <w:r w:rsidR="00537CC8" w:rsidRPr="0025250D">
        <w:rPr>
          <w:rFonts w:hint="cs"/>
          <w:rtl/>
        </w:rPr>
        <w:t xml:space="preserve"> که در بحث سوگیری </w:t>
      </w:r>
      <w:r w:rsidR="00537CC8" w:rsidRPr="0025250D">
        <w:t>DROA</w:t>
      </w:r>
      <w:r w:rsidR="00537CC8" w:rsidRPr="0025250D">
        <w:rPr>
          <w:rFonts w:hint="cs"/>
          <w:rtl/>
        </w:rPr>
        <w:t xml:space="preserve"> بیان </w:t>
      </w:r>
      <w:r w:rsidR="00950293" w:rsidRPr="0025250D">
        <w:rPr>
          <w:rFonts w:hint="cs"/>
          <w:rtl/>
        </w:rPr>
        <w:t>کرده‌ایم</w:t>
      </w:r>
      <w:r w:rsidR="00537CC8" w:rsidRPr="0025250D">
        <w:rPr>
          <w:rFonts w:hint="cs"/>
          <w:rtl/>
        </w:rPr>
        <w:t xml:space="preserve">، معتقدیم که چنین دیدگاه‌هایی نادرست هستند. درحالی که بسیاری از بازیگران، سازمان‌ها و ملل منفرد (تکاملی)، همواره با بحران‌ها و نقاط بحرانی روبرو هستند، تمدن به طور کلی </w:t>
      </w:r>
      <w:r w:rsidR="00537CC8" w:rsidRPr="0025250D">
        <w:rPr>
          <w:rFonts w:cs="Times New Roman" w:hint="cs"/>
          <w:rtl/>
        </w:rPr>
        <w:t>–</w:t>
      </w:r>
      <w:r w:rsidR="00537CC8" w:rsidRPr="0025250D">
        <w:rPr>
          <w:rFonts w:hint="cs"/>
          <w:rtl/>
        </w:rPr>
        <w:t xml:space="preserve"> به‌عنوان یک شبکه پیچیده </w:t>
      </w:r>
      <w:r w:rsidR="00537CC8" w:rsidRPr="0025250D">
        <w:rPr>
          <w:rFonts w:cs="Times New Roman" w:hint="cs"/>
          <w:rtl/>
        </w:rPr>
        <w:t>–</w:t>
      </w:r>
      <w:r w:rsidR="00537CC8" w:rsidRPr="0025250D">
        <w:rPr>
          <w:rFonts w:hint="cs"/>
          <w:rtl/>
        </w:rPr>
        <w:t xml:space="preserve"> همواره در حال توسعه هوش، پیچیدگی، توانایی‌ها و مصونیت و ایمنی خود است. تمدن ما به شکل کلی هیچگاه پایدار‌تر، با ظرفیت‌تر، هوشمند‌تر یا دارای سرعت یادگیری بالاتری، نسبت به اکنون نبوده است.</w:t>
      </w:r>
    </w:p>
    <w:p w14:paraId="53632935" w14:textId="3B9D276A" w:rsidR="00537CC8" w:rsidRPr="0025250D" w:rsidRDefault="00537CC8" w:rsidP="00537CC8">
      <w:pPr>
        <w:rPr>
          <w:rtl/>
        </w:rPr>
      </w:pPr>
      <w:r w:rsidRPr="0025250D">
        <w:rPr>
          <w:rFonts w:hint="cs"/>
          <w:rtl/>
        </w:rPr>
        <w:t xml:space="preserve">وقتی با افراد شکاک و بدبین مواجه می‌شویم، می‌توانیم آن‌ها را برای نگاه به وب سایت‌هایی مانند </w:t>
      </w:r>
      <w:r w:rsidRPr="0025250D">
        <w:t>HumanProgress.org</w:t>
      </w:r>
      <w:r w:rsidRPr="0025250D">
        <w:rPr>
          <w:rFonts w:hint="cs"/>
          <w:rtl/>
        </w:rPr>
        <w:t xml:space="preserve"> که تنها تعداد اندکی از پیشرفت‌های ادامه دار ما را مستند می‌کنند و شرکت در آزمون </w:t>
      </w:r>
      <w:r w:rsidR="005B1DA7" w:rsidRPr="0025250D">
        <w:rPr>
          <w:rtl/>
        </w:rPr>
        <w:t>«</w:t>
      </w:r>
      <w:r w:rsidRPr="0025250D">
        <w:rPr>
          <w:rFonts w:hint="cs"/>
          <w:rtl/>
        </w:rPr>
        <w:t>وضعیت جهان</w:t>
      </w:r>
      <w:r w:rsidRPr="0025250D">
        <w:rPr>
          <w:vertAlign w:val="superscript"/>
          <w:rtl/>
        </w:rPr>
        <w:footnoteReference w:id="1915"/>
      </w:r>
      <w:r w:rsidR="005B1DA7" w:rsidRPr="0025250D">
        <w:rPr>
          <w:rtl/>
        </w:rPr>
        <w:t>»</w:t>
      </w:r>
      <w:r w:rsidRPr="0025250D">
        <w:rPr>
          <w:rFonts w:hint="cs"/>
          <w:rtl/>
        </w:rPr>
        <w:t>، خلاصه جدید و دائما در حال تغییر گپ مایندر</w:t>
      </w:r>
      <w:r w:rsidRPr="0025250D">
        <w:rPr>
          <w:vertAlign w:val="superscript"/>
          <w:rtl/>
        </w:rPr>
        <w:footnoteReference w:id="1916"/>
      </w:r>
      <w:r w:rsidRPr="0025250D">
        <w:rPr>
          <w:rFonts w:hint="cs"/>
          <w:rtl/>
        </w:rPr>
        <w:t xml:space="preserve"> به چالش بکشیم. از میان 12000 نفری که در این آزمون خلاصه در سال 2017، در 14 کشور، شرکت </w:t>
      </w:r>
      <w:r w:rsidR="007118DE" w:rsidRPr="0025250D">
        <w:rPr>
          <w:rFonts w:hint="cs"/>
          <w:rtl/>
        </w:rPr>
        <w:t>کرده‌اند</w:t>
      </w:r>
      <w:r w:rsidRPr="0025250D">
        <w:rPr>
          <w:rFonts w:hint="cs"/>
          <w:rtl/>
        </w:rPr>
        <w:t xml:space="preserve">، نمره متوسط صحیح تنها 41 درصد </w:t>
      </w:r>
      <w:r w:rsidR="00700588" w:rsidRPr="0025250D">
        <w:rPr>
          <w:rFonts w:hint="cs"/>
          <w:rtl/>
        </w:rPr>
        <w:t>می باشد</w:t>
      </w:r>
      <w:r w:rsidRPr="0025250D">
        <w:rPr>
          <w:rFonts w:hint="cs"/>
          <w:rtl/>
        </w:rPr>
        <w:t xml:space="preserve">. در حال حاضر 80 درصد از همه پاسخ دهندگان نمره‌ای پایین‌تر از حالت تصادفی (50 درصد) ثبت می‌کنند. آمریکایی‌ها که توسط رسانه‌های مبتنی بر </w:t>
      </w:r>
      <w:r w:rsidRPr="0025250D">
        <w:t>DROA</w:t>
      </w:r>
      <w:r w:rsidRPr="0025250D">
        <w:rPr>
          <w:rFonts w:hint="cs"/>
          <w:rtl/>
        </w:rPr>
        <w:t xml:space="preserve"> و زرسالار ما فریب داده شده‌اند، مشخصاً عملکرد بسیار بدی در این آزمون‌ها نسبت به دیگر </w:t>
      </w:r>
      <w:r w:rsidR="00EE4B64" w:rsidRPr="0025250D">
        <w:rPr>
          <w:rFonts w:hint="cs"/>
          <w:rtl/>
        </w:rPr>
        <w:t>مردم‌سالار</w:t>
      </w:r>
      <w:r w:rsidRPr="0025250D">
        <w:rPr>
          <w:rFonts w:hint="cs"/>
          <w:rtl/>
        </w:rPr>
        <w:t xml:space="preserve">ی‌های پیشرفته دارند. تنها 10 درصد عملکرد بهتری نسبت به حالت تصادفی درآزمون </w:t>
      </w:r>
      <w:r w:rsidRPr="0025250D">
        <w:rPr>
          <w:rtl/>
        </w:rPr>
        <w:t>روزل</w:t>
      </w:r>
      <w:r w:rsidRPr="0025250D">
        <w:rPr>
          <w:rFonts w:hint="cs"/>
          <w:rtl/>
        </w:rPr>
        <w:t>ی</w:t>
      </w:r>
      <w:r w:rsidRPr="0025250D">
        <w:rPr>
          <w:rFonts w:hint="eastAsia"/>
          <w:rtl/>
        </w:rPr>
        <w:t>نگ</w:t>
      </w:r>
      <w:r w:rsidRPr="0025250D">
        <w:rPr>
          <w:vertAlign w:val="superscript"/>
          <w:rtl/>
        </w:rPr>
        <w:footnoteReference w:id="1917"/>
      </w:r>
      <w:r w:rsidRPr="0025250D">
        <w:rPr>
          <w:rFonts w:hint="cs"/>
          <w:rtl/>
        </w:rPr>
        <w:t xml:space="preserve"> دارند و هیچ یک از 12000 شرکت کننده در نظر سنجی او </w:t>
      </w:r>
      <w:r w:rsidR="00700588" w:rsidRPr="0025250D">
        <w:rPr>
          <w:rFonts w:hint="cs"/>
          <w:rtl/>
        </w:rPr>
        <w:t>همه</w:t>
      </w:r>
      <w:r w:rsidRPr="0025250D">
        <w:rPr>
          <w:rFonts w:hint="cs"/>
          <w:rtl/>
        </w:rPr>
        <w:t xml:space="preserve"> 12 سؤال را به درستی پاسخ ندادند. نویسنده اصلی این کتاب (</w:t>
      </w:r>
      <w:r w:rsidRPr="0025250D">
        <w:rPr>
          <w:rtl/>
        </w:rPr>
        <w:t>جان</w:t>
      </w:r>
      <w:r w:rsidRPr="0025250D">
        <w:rPr>
          <w:rFonts w:hint="cs"/>
          <w:rtl/>
        </w:rPr>
        <w:t>) تنها 9 مورد از 12 پرسش را به درستی پاسخ داد و این درحالی است که او برای تحقیق و دیدن روند‌های مثبت جهان به خود افتخار می‌کند. ما باید همگی این آزمون را انجام داده و ببینیم که عملکردمان چقدر خوب است!</w:t>
      </w:r>
    </w:p>
    <w:p w14:paraId="1E30BFE8" w14:textId="6517629F" w:rsidR="00537CC8" w:rsidRPr="0025250D" w:rsidRDefault="00537CC8" w:rsidP="00537CC8">
      <w:pPr>
        <w:rPr>
          <w:rtl/>
        </w:rPr>
      </w:pPr>
      <w:r w:rsidRPr="0025250D">
        <w:rPr>
          <w:rFonts w:hint="cs"/>
          <w:rtl/>
        </w:rPr>
        <w:t xml:space="preserve">درسی که در اینجا می‌گیریم این است که اطلاعات قدیمی، سوگیری‌های تکاملی و رسانه‌ها می‌توانند تفکر ما را برای دیدن مسائل و مشکلات تمدن، بسیار بدتر از آنچه حقیقتا هستند، منحرف سازند. کتاب </w:t>
      </w:r>
      <w:r w:rsidRPr="0025250D">
        <w:rPr>
          <w:rtl/>
        </w:rPr>
        <w:t>واقع</w:t>
      </w:r>
      <w:r w:rsidRPr="0025250D">
        <w:rPr>
          <w:rFonts w:hint="cs"/>
          <w:rtl/>
        </w:rPr>
        <w:t>ی</w:t>
      </w:r>
      <w:r w:rsidRPr="0025250D">
        <w:rPr>
          <w:rFonts w:hint="eastAsia"/>
          <w:rtl/>
        </w:rPr>
        <w:t>ت</w:t>
      </w:r>
      <w:r w:rsidRPr="0025250D">
        <w:rPr>
          <w:rtl/>
        </w:rPr>
        <w:t xml:space="preserve"> گرا</w:t>
      </w:r>
      <w:r w:rsidRPr="0025250D">
        <w:rPr>
          <w:rFonts w:hint="cs"/>
          <w:rtl/>
        </w:rPr>
        <w:t>یی</w:t>
      </w:r>
      <w:r w:rsidRPr="0025250D">
        <w:rPr>
          <w:vertAlign w:val="superscript"/>
          <w:rtl/>
        </w:rPr>
        <w:footnoteReference w:id="1918"/>
      </w:r>
      <w:r w:rsidRPr="0025250D">
        <w:rPr>
          <w:rFonts w:hint="cs"/>
          <w:rtl/>
        </w:rPr>
        <w:t xml:space="preserve"> در سال 2018 را برای دیدن روند‌های مثبت جهانی و کتاب ده روند جهانی که هر فرد باهوشی باید بداند</w:t>
      </w:r>
      <w:r w:rsidRPr="0025250D">
        <w:rPr>
          <w:vertAlign w:val="superscript"/>
          <w:rtl/>
        </w:rPr>
        <w:footnoteReference w:id="1919"/>
      </w:r>
      <w:r w:rsidRPr="0025250D">
        <w:rPr>
          <w:rFonts w:hint="cs"/>
          <w:rtl/>
        </w:rPr>
        <w:t xml:space="preserve"> اثر </w:t>
      </w:r>
      <w:r w:rsidRPr="0025250D">
        <w:rPr>
          <w:rtl/>
        </w:rPr>
        <w:t>ب</w:t>
      </w:r>
      <w:r w:rsidRPr="0025250D">
        <w:rPr>
          <w:rFonts w:hint="cs"/>
          <w:rtl/>
        </w:rPr>
        <w:t>ی</w:t>
      </w:r>
      <w:r w:rsidRPr="0025250D">
        <w:rPr>
          <w:rFonts w:hint="eastAsia"/>
          <w:rtl/>
        </w:rPr>
        <w:t>ل</w:t>
      </w:r>
      <w:r w:rsidRPr="0025250D">
        <w:rPr>
          <w:rFonts w:hint="cs"/>
          <w:rtl/>
        </w:rPr>
        <w:t>ی</w:t>
      </w:r>
      <w:r w:rsidRPr="0025250D">
        <w:rPr>
          <w:vertAlign w:val="superscript"/>
          <w:rtl/>
        </w:rPr>
        <w:footnoteReference w:id="1920"/>
      </w:r>
      <w:r w:rsidRPr="0025250D">
        <w:rPr>
          <w:rFonts w:hint="cs"/>
          <w:rtl/>
        </w:rPr>
        <w:t xml:space="preserve"> و </w:t>
      </w:r>
      <w:r w:rsidRPr="0025250D">
        <w:rPr>
          <w:rtl/>
        </w:rPr>
        <w:t>توپ</w:t>
      </w:r>
      <w:r w:rsidRPr="0025250D">
        <w:rPr>
          <w:rFonts w:hint="cs"/>
          <w:rtl/>
        </w:rPr>
        <w:t>ی</w:t>
      </w:r>
      <w:r w:rsidRPr="0025250D">
        <w:rPr>
          <w:vertAlign w:val="superscript"/>
          <w:rtl/>
        </w:rPr>
        <w:footnoteReference w:id="1921"/>
      </w:r>
      <w:r w:rsidRPr="0025250D">
        <w:rPr>
          <w:rFonts w:hint="cs"/>
          <w:rtl/>
        </w:rPr>
        <w:t xml:space="preserve"> در سال 2020 را برای اطلاعات بیش‌تر درمورد پیشرفت </w:t>
      </w:r>
      <w:r w:rsidR="007B3B35" w:rsidRPr="0025250D">
        <w:rPr>
          <w:rFonts w:hint="cs"/>
          <w:rtl/>
        </w:rPr>
        <w:t>شتاب‌گیر</w:t>
      </w:r>
      <w:r w:rsidRPr="0025250D">
        <w:rPr>
          <w:rFonts w:hint="cs"/>
          <w:rtl/>
        </w:rPr>
        <w:t xml:space="preserve">نده انسانی و برای </w:t>
      </w:r>
      <w:r w:rsidR="00700588" w:rsidRPr="0025250D">
        <w:rPr>
          <w:rFonts w:hint="cs"/>
          <w:rtl/>
        </w:rPr>
        <w:t xml:space="preserve">فهم اینکه </w:t>
      </w:r>
      <w:r w:rsidRPr="0025250D">
        <w:rPr>
          <w:rFonts w:hint="cs"/>
          <w:rtl/>
        </w:rPr>
        <w:t>مردم آمریکا، در میان همه کشور‌های مرفه از نظر اقتصادی</w:t>
      </w:r>
      <w:r w:rsidR="00700588" w:rsidRPr="0025250D">
        <w:rPr>
          <w:rFonts w:hint="cs"/>
          <w:rtl/>
        </w:rPr>
        <w:t>،</w:t>
      </w:r>
      <w:r w:rsidRPr="0025250D">
        <w:rPr>
          <w:rFonts w:hint="cs"/>
          <w:rtl/>
        </w:rPr>
        <w:t xml:space="preserve"> به طور مشخص در دیدن روندها ضعیف هستند، ببینید. معتقدیم که مطالعه نسخه‌هایی از کتاب‌هایی مانند این موارد باید در هر مدرسه متوسطه و دبیرستانی در آمریکا اجباری باشد. </w:t>
      </w:r>
      <w:r w:rsidR="00575289" w:rsidRPr="0025250D">
        <w:rPr>
          <w:rFonts w:hint="cs"/>
          <w:rtl/>
        </w:rPr>
        <w:t>این مقاطع تحصیلی</w:t>
      </w:r>
      <w:r w:rsidRPr="0025250D">
        <w:rPr>
          <w:rFonts w:hint="cs"/>
          <w:rtl/>
        </w:rPr>
        <w:t xml:space="preserve"> زمان‌های خاصی هستند که بسیاری از ما اولین </w:t>
      </w:r>
      <w:r w:rsidR="00A20CCB" w:rsidRPr="0025250D">
        <w:rPr>
          <w:rFonts w:hint="cs"/>
          <w:rtl/>
        </w:rPr>
        <w:t>جهان‌بینی</w:t>
      </w:r>
      <w:r w:rsidRPr="0025250D">
        <w:rPr>
          <w:rFonts w:hint="cs"/>
          <w:rtl/>
        </w:rPr>
        <w:t xml:space="preserve"> پیچیده خود را توسعه خواهیم داد.</w:t>
      </w:r>
    </w:p>
    <w:p w14:paraId="4F3EDF1A" w14:textId="77777777" w:rsidR="00537CC8" w:rsidRPr="0025250D" w:rsidRDefault="00537CC8" w:rsidP="00D53F87">
      <w:pPr>
        <w:jc w:val="center"/>
        <w:rPr>
          <w:rtl/>
        </w:rPr>
      </w:pPr>
      <w:r w:rsidRPr="0025250D">
        <w:rPr>
          <w:noProof/>
          <w:rtl/>
          <w:lang w:bidi="ar-SA"/>
        </w:rPr>
        <w:drawing>
          <wp:inline distT="0" distB="0" distL="0" distR="0" wp14:anchorId="663AD45F" wp14:editId="4A5507F3">
            <wp:extent cx="1402007" cy="2228850"/>
            <wp:effectExtent l="0" t="0" r="8255" b="0"/>
            <wp:docPr id="105" name="Picture 105" descr="D:\کار\مستقل\3 ( ترجمه ی دانشگاه تهران  )\Introduction to Foresight\part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5\3.png"/>
                    <pic:cNvPicPr>
                      <a:picLocks noChangeAspect="1" noChangeArrowheads="1"/>
                    </pic:cNvPicPr>
                  </pic:nvPicPr>
                  <pic:blipFill rotWithShape="1">
                    <a:blip r:embed="rId166" cstate="screen">
                      <a:extLst>
                        <a:ext uri="{BEBA8EAE-BF5A-486C-A8C5-ECC9F3942E4B}">
                          <a14:imgProps xmlns:a14="http://schemas.microsoft.com/office/drawing/2010/main">
                            <a14:imgLayer r:embed="rId167">
                              <a14:imgEffect>
                                <a14:saturation sat="0"/>
                              </a14:imgEffect>
                            </a14:imgLayer>
                          </a14:imgProps>
                        </a:ext>
                        <a:ext uri="{28A0092B-C50C-407E-A947-70E740481C1C}">
                          <a14:useLocalDpi xmlns:a14="http://schemas.microsoft.com/office/drawing/2010/main"/>
                        </a:ext>
                      </a:extLst>
                    </a:blip>
                    <a:srcRect/>
                    <a:stretch/>
                  </pic:blipFill>
                  <pic:spPr bwMode="auto">
                    <a:xfrm>
                      <a:off x="0" y="0"/>
                      <a:ext cx="1405307" cy="2234096"/>
                    </a:xfrm>
                    <a:prstGeom prst="rect">
                      <a:avLst/>
                    </a:prstGeom>
                    <a:noFill/>
                    <a:ln>
                      <a:noFill/>
                    </a:ln>
                    <a:extLst>
                      <a:ext uri="{53640926-AAD7-44D8-BBD7-CCE9431645EC}">
                        <a14:shadowObscured xmlns:a14="http://schemas.microsoft.com/office/drawing/2010/main"/>
                      </a:ext>
                    </a:extLst>
                  </pic:spPr>
                </pic:pic>
              </a:graphicData>
            </a:graphic>
          </wp:inline>
        </w:drawing>
      </w:r>
    </w:p>
    <w:p w14:paraId="3A01CEA6" w14:textId="77777777" w:rsidR="00537CC8" w:rsidRPr="0025250D" w:rsidRDefault="00537CC8" w:rsidP="00D53F87">
      <w:pPr>
        <w:jc w:val="center"/>
        <w:rPr>
          <w:rtl/>
        </w:rPr>
      </w:pPr>
      <w:r w:rsidRPr="0025250D">
        <w:rPr>
          <w:rFonts w:hint="cs"/>
          <w:rtl/>
        </w:rPr>
        <w:t>بیلی و توپی، 2020</w:t>
      </w:r>
    </w:p>
    <w:p w14:paraId="726186DA" w14:textId="29F76F53" w:rsidR="00537CC8" w:rsidRPr="0025250D" w:rsidRDefault="0020589F" w:rsidP="00537CC8">
      <w:pPr>
        <w:rPr>
          <w:rtl/>
        </w:rPr>
      </w:pPr>
      <w:r w:rsidRPr="0025250D">
        <w:rPr>
          <w:rtl/>
        </w:rPr>
        <w:t>اما</w:t>
      </w:r>
      <w:r w:rsidR="00537CC8" w:rsidRPr="0025250D">
        <w:rPr>
          <w:rFonts w:hint="cs"/>
          <w:rtl/>
        </w:rPr>
        <w:t xml:space="preserve"> </w:t>
      </w:r>
      <w:r w:rsidR="007118DE" w:rsidRPr="0025250D">
        <w:rPr>
          <w:rFonts w:hint="cs"/>
          <w:rtl/>
        </w:rPr>
        <w:t>همان‌طور</w:t>
      </w:r>
      <w:r w:rsidR="00537CC8" w:rsidRPr="0025250D">
        <w:rPr>
          <w:rFonts w:hint="cs"/>
          <w:rtl/>
        </w:rPr>
        <w:t xml:space="preserve"> که در </w:t>
      </w:r>
      <w:r w:rsidR="00537CC8" w:rsidRPr="0025250D">
        <w:t>BPF</w:t>
      </w:r>
      <w:r w:rsidR="00537CC8" w:rsidRPr="0025250D">
        <w:rPr>
          <w:rFonts w:hint="cs"/>
          <w:rtl/>
        </w:rPr>
        <w:t xml:space="preserve"> توصیف خواهیم کرد، همه مسائلی که امروزه با آن‌ها مواجه هستیم، از جمله مشکلات </w:t>
      </w:r>
      <w:r w:rsidR="007B3B35" w:rsidRPr="0025250D">
        <w:rPr>
          <w:rFonts w:hint="cs"/>
          <w:rtl/>
        </w:rPr>
        <w:t>شتاب‌گیر</w:t>
      </w:r>
      <w:r w:rsidR="00537CC8" w:rsidRPr="0025250D">
        <w:rPr>
          <w:rFonts w:hint="cs"/>
          <w:rtl/>
        </w:rPr>
        <w:t xml:space="preserve">نده ایجاد شده توسط </w:t>
      </w:r>
      <w:r w:rsidR="007A53FD" w:rsidRPr="0025250D">
        <w:rPr>
          <w:rFonts w:hint="cs"/>
          <w:rtl/>
        </w:rPr>
        <w:t>فناوری</w:t>
      </w:r>
      <w:r w:rsidR="00537CC8" w:rsidRPr="0025250D">
        <w:rPr>
          <w:rFonts w:hint="cs"/>
          <w:rtl/>
        </w:rPr>
        <w:t xml:space="preserve"> و زرسالاری در دهه‌های اخیر، مسائل مربوط به پیشرفت هستند. آن‌ها یا مشکلاتی هستند که خودمان، به دلیل انتخاب‌های کم‌تر اخلاقی و دلسوزانه و </w:t>
      </w:r>
      <w:r w:rsidR="00B124DE" w:rsidRPr="0025250D">
        <w:rPr>
          <w:rFonts w:hint="cs"/>
          <w:rtl/>
        </w:rPr>
        <w:t>انطباق‌پذیر</w:t>
      </w:r>
      <w:r w:rsidR="00537CC8" w:rsidRPr="0025250D">
        <w:rPr>
          <w:rFonts w:hint="cs"/>
          <w:rtl/>
        </w:rPr>
        <w:t xml:space="preserve">، برای خودمان ایجاد </w:t>
      </w:r>
      <w:r w:rsidR="00950293" w:rsidRPr="0025250D">
        <w:rPr>
          <w:rFonts w:hint="cs"/>
          <w:rtl/>
        </w:rPr>
        <w:t>کرده‌ایم</w:t>
      </w:r>
      <w:r w:rsidR="00537CC8" w:rsidRPr="0025250D">
        <w:rPr>
          <w:rFonts w:hint="cs"/>
          <w:rtl/>
        </w:rPr>
        <w:t xml:space="preserve"> یا اثرات جانبی اولیه موفقیت‌های اقتصادی، فنی و اجتماعی ما هستند. بسیاری از تغییرات اجتماعی، در آنچه که منحنی </w:t>
      </w:r>
      <w:r w:rsidR="002F3C14" w:rsidRPr="0025250D">
        <w:rPr>
          <w:rFonts w:hint="cs"/>
          <w:rtl/>
        </w:rPr>
        <w:t>انطباق</w:t>
      </w:r>
      <w:r w:rsidR="00537CC8" w:rsidRPr="0025250D">
        <w:rPr>
          <w:rFonts w:hint="cs"/>
          <w:rtl/>
        </w:rPr>
        <w:t xml:space="preserve"> نامیده می‌شود، هم مزایای جدید و هم مشکلات جدیدی را به ویژه در نسل اول ایجاد می‌کنند. مشکلات اغلب در نسل دوم هم شدید هستند. در آخر، در نسل سوم، ما شروع به ایجاد قواعد، نوآوری‌ها، رفتارهای جدید و دیگر </w:t>
      </w:r>
      <w:r w:rsidR="00923DDB" w:rsidRPr="0025250D">
        <w:rPr>
          <w:rFonts w:hint="cs"/>
          <w:rtl/>
        </w:rPr>
        <w:t>راه‌حل</w:t>
      </w:r>
      <w:r w:rsidR="00537CC8" w:rsidRPr="0025250D">
        <w:rPr>
          <w:rFonts w:hint="cs"/>
          <w:rtl/>
        </w:rPr>
        <w:t xml:space="preserve">‌هایی می‌کنیم که ما را از مشکلات جدیدمان خارج می‌سازند. هرچه جدی‌تر و زود‌تر این </w:t>
      </w:r>
      <w:r w:rsidR="00923DDB" w:rsidRPr="0025250D">
        <w:rPr>
          <w:rFonts w:hint="cs"/>
          <w:rtl/>
        </w:rPr>
        <w:t>راه‌حل</w:t>
      </w:r>
      <w:r w:rsidR="00537CC8" w:rsidRPr="0025250D">
        <w:rPr>
          <w:rFonts w:hint="cs"/>
          <w:rtl/>
        </w:rPr>
        <w:t>‌ها را مورد بحث قرار دهیم، زود‌تر می‌توانیم به پیشرفتی که به دنبال آن هستیم برسیم.</w:t>
      </w:r>
    </w:p>
    <w:p w14:paraId="227F3D27" w14:textId="76AF5FB5" w:rsidR="00537CC8" w:rsidRPr="0025250D" w:rsidRDefault="00537CC8" w:rsidP="00537CC8">
      <w:pPr>
        <w:rPr>
          <w:rtl/>
        </w:rPr>
      </w:pPr>
      <w:r w:rsidRPr="0025250D">
        <w:rPr>
          <w:rFonts w:hint="cs"/>
          <w:rtl/>
        </w:rPr>
        <w:t>ما هنوز علمی از پیشرفت نداریم، اما در عوض مجموعه مفیدی از باور‌ها و فلسفه‌هایی در این زمینه داریم. با این وجود فلاسفه خوب همواره به دنبال آینده‌ای هستند که در آن علم بتواند مدل‌های ناکامل ما را صحت سنجی کرده و بهبود دهد</w:t>
      </w:r>
      <w:r w:rsidR="008D6F97" w:rsidRPr="0025250D">
        <w:rPr>
          <w:rtl/>
        </w:rPr>
        <w:t xml:space="preserve">؛ </w:t>
      </w:r>
      <w:r w:rsidRPr="0025250D">
        <w:rPr>
          <w:rFonts w:hint="cs"/>
          <w:rtl/>
        </w:rPr>
        <w:t>بنابراین، حتی با این وجود که کلمه پیشرفت معانی بسیار متفاوتی برای هر یک از ما دارد، هر یک از ما تا کنون مفهومی از این که کلمه پیشرفت چه معنی می‌تواند داشته باشد و چه مسیری ما را به مکانی بهتر از آنچه امروزه در آن هستیم خواهد رساند، داریم.</w:t>
      </w:r>
    </w:p>
    <w:p w14:paraId="0659C0A3" w14:textId="7AE2A7C7" w:rsidR="00537CC8" w:rsidRPr="0025250D" w:rsidRDefault="00D92F6E" w:rsidP="00537CC8">
      <w:pPr>
        <w:rPr>
          <w:rtl/>
        </w:rPr>
      </w:pPr>
      <w:r w:rsidRPr="0025250D">
        <w:rPr>
          <w:rFonts w:hint="cs"/>
          <w:rtl/>
        </w:rPr>
        <w:t>آینده‌پژوه</w:t>
      </w:r>
      <w:r w:rsidR="00537CC8" w:rsidRPr="0025250D">
        <w:rPr>
          <w:rFonts w:hint="cs"/>
          <w:rtl/>
        </w:rPr>
        <w:t xml:space="preserve"> پیشتاز </w:t>
      </w:r>
      <w:r w:rsidR="00537CC8" w:rsidRPr="0025250D">
        <w:rPr>
          <w:rtl/>
        </w:rPr>
        <w:t>فرد پولاک</w:t>
      </w:r>
      <w:r w:rsidR="00537CC8" w:rsidRPr="0025250D">
        <w:rPr>
          <w:vertAlign w:val="superscript"/>
          <w:rtl/>
        </w:rPr>
        <w:footnoteReference w:id="1922"/>
      </w:r>
      <w:r w:rsidR="00537CC8" w:rsidRPr="0025250D">
        <w:rPr>
          <w:rFonts w:hint="cs"/>
          <w:rtl/>
        </w:rPr>
        <w:t xml:space="preserve"> در کتاب کلاسیک خود با عنوان تصویر آینده</w:t>
      </w:r>
      <w:r w:rsidR="00537CC8" w:rsidRPr="0025250D">
        <w:rPr>
          <w:vertAlign w:val="superscript"/>
          <w:rtl/>
        </w:rPr>
        <w:footnoteReference w:id="1923"/>
      </w:r>
      <w:r w:rsidR="00537CC8" w:rsidRPr="0025250D">
        <w:rPr>
          <w:rFonts w:hint="cs"/>
          <w:rtl/>
        </w:rPr>
        <w:t xml:space="preserve"> در سال 1995 (به زبان لهستانی)، ادعا کرد که تصاویر فردی و فرهنگی ما از چگونگی کارکرد جهان </w:t>
      </w:r>
      <w:r w:rsidR="00537CC8" w:rsidRPr="0025250D">
        <w:rPr>
          <w:rFonts w:cs="Times New Roman" w:hint="cs"/>
          <w:rtl/>
        </w:rPr>
        <w:t>–</w:t>
      </w:r>
      <w:r w:rsidR="00537CC8" w:rsidRPr="0025250D">
        <w:rPr>
          <w:rFonts w:hint="cs"/>
          <w:rtl/>
        </w:rPr>
        <w:t xml:space="preserve"> و تصاویری از آینده‌هایی که باور داریم می‌توانیم در نتیجه آن داشته باشیم </w:t>
      </w:r>
      <w:r w:rsidR="00537CC8" w:rsidRPr="0025250D">
        <w:rPr>
          <w:rFonts w:cs="Times New Roman" w:hint="cs"/>
          <w:rtl/>
        </w:rPr>
        <w:t>–</w:t>
      </w:r>
      <w:r w:rsidR="00537CC8" w:rsidRPr="0025250D">
        <w:rPr>
          <w:rFonts w:hint="cs"/>
          <w:rtl/>
        </w:rPr>
        <w:t xml:space="preserve">تعیین کننده کلیدی رفتار ما هستند. </w:t>
      </w:r>
      <w:r w:rsidRPr="0025250D">
        <w:rPr>
          <w:rFonts w:hint="cs"/>
          <w:rtl/>
        </w:rPr>
        <w:t>آینده‌پژوه</w:t>
      </w:r>
      <w:r w:rsidR="00537CC8" w:rsidRPr="0025250D">
        <w:rPr>
          <w:rFonts w:hint="cs"/>
          <w:rtl/>
        </w:rPr>
        <w:t xml:space="preserve"> </w:t>
      </w:r>
      <w:r w:rsidR="00537CC8" w:rsidRPr="0025250D">
        <w:rPr>
          <w:rtl/>
        </w:rPr>
        <w:t>ال</w:t>
      </w:r>
      <w:r w:rsidR="00537CC8" w:rsidRPr="0025250D">
        <w:rPr>
          <w:rFonts w:hint="cs"/>
          <w:rtl/>
        </w:rPr>
        <w:t>ی</w:t>
      </w:r>
      <w:r w:rsidR="00537CC8" w:rsidRPr="0025250D">
        <w:rPr>
          <w:rFonts w:hint="eastAsia"/>
          <w:rtl/>
        </w:rPr>
        <w:t>ز</w:t>
      </w:r>
      <w:r w:rsidR="00537CC8" w:rsidRPr="0025250D">
        <w:rPr>
          <w:rtl/>
        </w:rPr>
        <w:t xml:space="preserve"> بولد</w:t>
      </w:r>
      <w:r w:rsidR="00537CC8" w:rsidRPr="0025250D">
        <w:rPr>
          <w:rFonts w:hint="cs"/>
          <w:rtl/>
        </w:rPr>
        <w:t>ی</w:t>
      </w:r>
      <w:r w:rsidR="00537CC8" w:rsidRPr="0025250D">
        <w:rPr>
          <w:rFonts w:hint="eastAsia"/>
          <w:rtl/>
        </w:rPr>
        <w:t>نگ</w:t>
      </w:r>
      <w:r w:rsidR="00537CC8" w:rsidRPr="0025250D">
        <w:rPr>
          <w:rFonts w:hint="cs"/>
          <w:rtl/>
        </w:rPr>
        <w:t xml:space="preserve"> یک نسخه خلاصه شده از تصور آینده </w:t>
      </w:r>
      <w:r w:rsidR="00537CC8" w:rsidRPr="0025250D">
        <w:rPr>
          <w:rtl/>
        </w:rPr>
        <w:t>پولاک</w:t>
      </w:r>
      <w:r w:rsidR="00537CC8" w:rsidRPr="0025250D">
        <w:rPr>
          <w:rFonts w:hint="cs"/>
          <w:rtl/>
        </w:rPr>
        <w:t xml:space="preserve"> را در سال 1973 منتشر کرد. همسر او، اقتصاددان و جامعه شناس </w:t>
      </w:r>
      <w:r w:rsidR="00537CC8" w:rsidRPr="0025250D">
        <w:rPr>
          <w:rtl/>
        </w:rPr>
        <w:t>کنت بولد</w:t>
      </w:r>
      <w:r w:rsidR="00537CC8" w:rsidRPr="0025250D">
        <w:rPr>
          <w:rFonts w:hint="cs"/>
          <w:rtl/>
        </w:rPr>
        <w:t>ی</w:t>
      </w:r>
      <w:r w:rsidR="00537CC8" w:rsidRPr="0025250D">
        <w:rPr>
          <w:rFonts w:hint="eastAsia"/>
          <w:rtl/>
        </w:rPr>
        <w:t>نگ</w:t>
      </w:r>
      <w:r w:rsidR="00537CC8" w:rsidRPr="0025250D">
        <w:rPr>
          <w:vertAlign w:val="superscript"/>
          <w:rtl/>
        </w:rPr>
        <w:footnoteReference w:id="1924"/>
      </w:r>
      <w:r w:rsidR="00537CC8" w:rsidRPr="0025250D">
        <w:rPr>
          <w:rFonts w:hint="cs"/>
          <w:rtl/>
        </w:rPr>
        <w:t xml:space="preserve"> همین نکته را در کتاب تصویر</w:t>
      </w:r>
      <w:r w:rsidR="00537CC8" w:rsidRPr="0025250D">
        <w:rPr>
          <w:vertAlign w:val="superscript"/>
          <w:rtl/>
        </w:rPr>
        <w:footnoteReference w:id="1925"/>
      </w:r>
      <w:r w:rsidR="00537CC8" w:rsidRPr="0025250D">
        <w:rPr>
          <w:rFonts w:hint="cs"/>
          <w:rtl/>
        </w:rPr>
        <w:t xml:space="preserve"> در سال 1956 بیان کرد. از نظر </w:t>
      </w:r>
      <w:r w:rsidR="00537CC8" w:rsidRPr="0025250D">
        <w:rPr>
          <w:rtl/>
        </w:rPr>
        <w:t>پولاک و بولد</w:t>
      </w:r>
      <w:r w:rsidR="00537CC8" w:rsidRPr="0025250D">
        <w:rPr>
          <w:rFonts w:hint="cs"/>
          <w:rtl/>
        </w:rPr>
        <w:t>ی</w:t>
      </w:r>
      <w:r w:rsidR="00537CC8" w:rsidRPr="0025250D">
        <w:rPr>
          <w:rFonts w:hint="eastAsia"/>
          <w:rtl/>
        </w:rPr>
        <w:t>نگ</w:t>
      </w:r>
      <w:r w:rsidR="00537CC8" w:rsidRPr="0025250D">
        <w:rPr>
          <w:rFonts w:hint="cs"/>
          <w:rtl/>
        </w:rPr>
        <w:t xml:space="preserve">، یافتن و </w:t>
      </w:r>
      <w:r w:rsidR="00274907" w:rsidRPr="0025250D">
        <w:rPr>
          <w:rFonts w:hint="cs"/>
          <w:rtl/>
        </w:rPr>
        <w:t>به‌اشتراک‌گذار</w:t>
      </w:r>
      <w:r w:rsidR="00537CC8" w:rsidRPr="0025250D">
        <w:rPr>
          <w:rFonts w:hint="cs"/>
          <w:rtl/>
        </w:rPr>
        <w:t xml:space="preserve">ی مفید‌ترین و انگیزه بخش‌ترین </w:t>
      </w:r>
      <w:r w:rsidR="00B56611" w:rsidRPr="0025250D">
        <w:rPr>
          <w:rFonts w:hint="cs"/>
          <w:rtl/>
        </w:rPr>
        <w:t>چشم‌انداز</w:t>
      </w:r>
      <w:r w:rsidR="00537CC8" w:rsidRPr="0025250D">
        <w:rPr>
          <w:rFonts w:hint="cs"/>
          <w:rtl/>
        </w:rPr>
        <w:t xml:space="preserve">‌هایی که می‌توانیم داشته باشیم، یکی از مهم‌ترین مسئولیت‌های ما به‌عنوان </w:t>
      </w:r>
      <w:r w:rsidR="00B124DE" w:rsidRPr="0025250D">
        <w:rPr>
          <w:rFonts w:hint="cs"/>
          <w:rtl/>
        </w:rPr>
        <w:t>آینده‌اندیش</w:t>
      </w:r>
      <w:r w:rsidR="00537CC8" w:rsidRPr="0025250D">
        <w:rPr>
          <w:rFonts w:hint="cs"/>
          <w:rtl/>
        </w:rPr>
        <w:t>ان است. در کنار نیروهای جهانی که در کنترل ما نیستند، آینده‌هایی که برای خودمان می‌سازیم مستقیما از تصورات ما سرچشمه می‌گیرند</w:t>
      </w:r>
      <w:r w:rsidR="008D6F97" w:rsidRPr="0025250D">
        <w:rPr>
          <w:rtl/>
        </w:rPr>
        <w:t xml:space="preserve">؛ </w:t>
      </w:r>
      <w:r w:rsidR="00537CC8" w:rsidRPr="0025250D">
        <w:rPr>
          <w:rFonts w:hint="cs"/>
          <w:rtl/>
        </w:rPr>
        <w:t xml:space="preserve">بنابراین، بیایید بهترین </w:t>
      </w:r>
      <w:r w:rsidR="00EE4B64" w:rsidRPr="0025250D">
        <w:rPr>
          <w:rFonts w:hint="cs"/>
          <w:rtl/>
        </w:rPr>
        <w:t>چشم‌اندازسازی</w:t>
      </w:r>
      <w:r w:rsidR="00537CC8" w:rsidRPr="0025250D">
        <w:rPr>
          <w:rFonts w:hint="cs"/>
          <w:rtl/>
        </w:rPr>
        <w:t xml:space="preserve"> </w:t>
      </w:r>
      <w:r w:rsidR="00575289" w:rsidRPr="0025250D">
        <w:rPr>
          <w:rFonts w:hint="cs"/>
          <w:rtl/>
        </w:rPr>
        <w:t>خود را</w:t>
      </w:r>
      <w:r w:rsidR="00537CC8" w:rsidRPr="0025250D">
        <w:rPr>
          <w:rFonts w:hint="cs"/>
          <w:rtl/>
        </w:rPr>
        <w:t xml:space="preserve"> انجام دهیم و باور کنیم که ما و بشریت مستحق آینده‌های عالی هستیم </w:t>
      </w:r>
      <w:r w:rsidR="00537CC8" w:rsidRPr="0025250D">
        <w:rPr>
          <w:rFonts w:cs="Times New Roman" w:hint="cs"/>
          <w:rtl/>
        </w:rPr>
        <w:t>–</w:t>
      </w:r>
      <w:r w:rsidR="00537CC8" w:rsidRPr="0025250D">
        <w:rPr>
          <w:rFonts w:hint="cs"/>
          <w:rtl/>
        </w:rPr>
        <w:t xml:space="preserve"> زیرا همینطور است.</w:t>
      </w:r>
    </w:p>
    <w:p w14:paraId="3C3FDAEC" w14:textId="3EFD842D" w:rsidR="00537CC8" w:rsidRPr="0025250D" w:rsidRDefault="00537CC8" w:rsidP="00537CC8">
      <w:pPr>
        <w:rPr>
          <w:rtl/>
        </w:rPr>
      </w:pPr>
      <w:r w:rsidRPr="0025250D">
        <w:rPr>
          <w:rtl/>
        </w:rPr>
        <w:t>پولاک و بولد</w:t>
      </w:r>
      <w:r w:rsidRPr="0025250D">
        <w:rPr>
          <w:rFonts w:hint="cs"/>
          <w:rtl/>
        </w:rPr>
        <w:t>ی</w:t>
      </w:r>
      <w:r w:rsidRPr="0025250D">
        <w:rPr>
          <w:rFonts w:hint="eastAsia"/>
          <w:rtl/>
        </w:rPr>
        <w:t>نگ</w:t>
      </w:r>
      <w:r w:rsidRPr="0025250D">
        <w:rPr>
          <w:rFonts w:hint="cs"/>
          <w:rtl/>
        </w:rPr>
        <w:t xml:space="preserve"> همچنین یادآوری می‌کنند که همه باورهای علمی، </w:t>
      </w:r>
      <w:r w:rsidR="007A53FD" w:rsidRPr="0025250D">
        <w:rPr>
          <w:rFonts w:hint="cs"/>
          <w:rtl/>
        </w:rPr>
        <w:t>فناوری</w:t>
      </w:r>
      <w:r w:rsidRPr="0025250D">
        <w:rPr>
          <w:rFonts w:hint="cs"/>
          <w:rtl/>
        </w:rPr>
        <w:t>، اقتصادی، سیاسی و اجتماعی ما، در ریشه خود، ساختارهای ذهنی آزمایشی</w:t>
      </w:r>
      <w:r w:rsidRPr="0025250D">
        <w:rPr>
          <w:vertAlign w:val="superscript"/>
          <w:rtl/>
        </w:rPr>
        <w:footnoteReference w:id="1926"/>
      </w:r>
      <w:r w:rsidRPr="0025250D">
        <w:rPr>
          <w:rFonts w:hint="cs"/>
          <w:rtl/>
        </w:rPr>
        <w:t xml:space="preserve"> (مسیرهای تکاملی) هستند. تنها کسر کوچکی از این </w:t>
      </w:r>
      <w:r w:rsidR="00933C48" w:rsidRPr="0025250D">
        <w:rPr>
          <w:rFonts w:hint="cs"/>
          <w:rtl/>
        </w:rPr>
        <w:t>الگوهای رفتاری</w:t>
      </w:r>
      <w:r w:rsidR="00933C48" w:rsidRPr="0025250D">
        <w:rPr>
          <w:rStyle w:val="FootnoteReference"/>
          <w:rtl/>
        </w:rPr>
        <w:footnoteReference w:id="1927"/>
      </w:r>
      <w:r w:rsidRPr="0025250D">
        <w:rPr>
          <w:rFonts w:hint="cs"/>
          <w:rtl/>
        </w:rPr>
        <w:t xml:space="preserve"> (الگوهای اعتقادی) به حقایق فراگیر تبدیل خواهند شد (فرایند‌ها و مقاصد توسعه ای). اغلب نمی‌توانیم از قبل تعیین کنیم که کدامیک از </w:t>
      </w:r>
      <w:r w:rsidR="00933C48" w:rsidRPr="0025250D">
        <w:rPr>
          <w:rFonts w:hint="cs"/>
          <w:rtl/>
        </w:rPr>
        <w:t>الگو</w:t>
      </w:r>
      <w:r w:rsidRPr="0025250D">
        <w:rPr>
          <w:rFonts w:hint="cs"/>
          <w:rtl/>
        </w:rPr>
        <w:t>‌های</w:t>
      </w:r>
      <w:r w:rsidR="00933C48" w:rsidRPr="0025250D">
        <w:rPr>
          <w:rFonts w:hint="cs"/>
          <w:rtl/>
        </w:rPr>
        <w:t xml:space="preserve"> رفتاری</w:t>
      </w:r>
      <w:r w:rsidRPr="0025250D">
        <w:rPr>
          <w:rFonts w:hint="cs"/>
          <w:rtl/>
        </w:rPr>
        <w:t xml:space="preserve"> ما در برابر آزمون زمان دوام خواهند آورد</w:t>
      </w:r>
      <w:r w:rsidR="008D6F97" w:rsidRPr="0025250D">
        <w:rPr>
          <w:rtl/>
        </w:rPr>
        <w:t xml:space="preserve">؛ </w:t>
      </w:r>
      <w:r w:rsidRPr="0025250D">
        <w:rPr>
          <w:rFonts w:hint="cs"/>
          <w:rtl/>
        </w:rPr>
        <w:t xml:space="preserve">بنابراین، برای داشتن بیش‌ترین تأثیر مثبت بر آینده‌های خود، باید تشخیص دهیم که کیفیت </w:t>
      </w:r>
      <w:r w:rsidR="00B56611" w:rsidRPr="0025250D">
        <w:rPr>
          <w:rFonts w:hint="cs"/>
          <w:rtl/>
        </w:rPr>
        <w:t>چشم‌انداز</w:t>
      </w:r>
      <w:r w:rsidRPr="0025250D">
        <w:rPr>
          <w:rFonts w:hint="cs"/>
          <w:rtl/>
        </w:rPr>
        <w:t xml:space="preserve">‌های مثبت ما می‌توانند اغلب بزرگترین اهرم برای تغییر فردی و اجتماعی باشند. محققین دیگر در علوم شناختی، روانشناسی، </w:t>
      </w:r>
      <w:r w:rsidR="00B124DE" w:rsidRPr="0025250D">
        <w:rPr>
          <w:rFonts w:hint="cs"/>
          <w:rtl/>
        </w:rPr>
        <w:t>جامعه‌شناسی</w:t>
      </w:r>
      <w:r w:rsidR="008D6F97" w:rsidRPr="0025250D">
        <w:rPr>
          <w:rtl/>
        </w:rPr>
        <w:t xml:space="preserve"> </w:t>
      </w:r>
      <w:r w:rsidRPr="0025250D">
        <w:rPr>
          <w:rFonts w:hint="cs"/>
          <w:rtl/>
        </w:rPr>
        <w:t xml:space="preserve">و فلسفه از آن زمان این موارد را بیان </w:t>
      </w:r>
      <w:r w:rsidR="007118DE" w:rsidRPr="0025250D">
        <w:rPr>
          <w:rFonts w:hint="cs"/>
          <w:rtl/>
        </w:rPr>
        <w:t>کرده‌اند</w:t>
      </w:r>
      <w:r w:rsidRPr="0025250D">
        <w:rPr>
          <w:rFonts w:hint="cs"/>
          <w:rtl/>
        </w:rPr>
        <w:t xml:space="preserve">، اما شفافیت و دامنه گفته‌های </w:t>
      </w:r>
      <w:r w:rsidRPr="0025250D">
        <w:rPr>
          <w:rtl/>
        </w:rPr>
        <w:t>پولاک و بولد</w:t>
      </w:r>
      <w:r w:rsidRPr="0025250D">
        <w:rPr>
          <w:rFonts w:hint="cs"/>
          <w:rtl/>
        </w:rPr>
        <w:t>ی</w:t>
      </w:r>
      <w:r w:rsidRPr="0025250D">
        <w:rPr>
          <w:rFonts w:hint="eastAsia"/>
          <w:rtl/>
        </w:rPr>
        <w:t>نگ</w:t>
      </w:r>
      <w:r w:rsidRPr="0025250D">
        <w:rPr>
          <w:rFonts w:hint="cs"/>
          <w:rtl/>
        </w:rPr>
        <w:t xml:space="preserve"> در این مورد مشخصاً از نظر ما خردمندانه هستند.</w:t>
      </w:r>
    </w:p>
    <w:p w14:paraId="78BE61ED" w14:textId="60532A0C" w:rsidR="00537CC8" w:rsidRPr="0025250D" w:rsidRDefault="00B56611" w:rsidP="00537CC8">
      <w:pPr>
        <w:rPr>
          <w:rtl/>
        </w:rPr>
      </w:pPr>
      <w:r w:rsidRPr="0025250D">
        <w:rPr>
          <w:rFonts w:hint="cs"/>
          <w:rtl/>
        </w:rPr>
        <w:t>چشم‌انداز</w:t>
      </w:r>
      <w:r w:rsidR="00537CC8" w:rsidRPr="0025250D">
        <w:rPr>
          <w:rFonts w:hint="cs"/>
          <w:rtl/>
        </w:rPr>
        <w:t xml:space="preserve">‌های ما </w:t>
      </w:r>
      <w:r w:rsidR="00575289" w:rsidRPr="0025250D">
        <w:rPr>
          <w:rFonts w:hint="cs"/>
          <w:rtl/>
        </w:rPr>
        <w:t>ممکن است</w:t>
      </w:r>
      <w:r w:rsidR="00537CC8" w:rsidRPr="0025250D">
        <w:rPr>
          <w:rFonts w:hint="cs"/>
          <w:rtl/>
        </w:rPr>
        <w:t xml:space="preserve"> در ابتدا ضعیف باشند، اما هرچه بیش‌تر آن‌ها را تکامل و توسعه دهیم، مؤثر‌تر می‌شوند. نباید از </w:t>
      </w:r>
      <w:r w:rsidR="00EE4B64" w:rsidRPr="0025250D">
        <w:rPr>
          <w:rFonts w:hint="cs"/>
          <w:rtl/>
        </w:rPr>
        <w:t>چشم‌اندازسازی</w:t>
      </w:r>
      <w:r w:rsidR="00537CC8" w:rsidRPr="0025250D">
        <w:rPr>
          <w:rFonts w:hint="cs"/>
          <w:rtl/>
        </w:rPr>
        <w:t xml:space="preserve"> روزمره، هم برای خودمان و هم برای کارسپارانمان غافل شویم. باید همچنین تماس اجتماعی منظمی با دیگر افرادی </w:t>
      </w:r>
      <w:r w:rsidR="00575289" w:rsidRPr="0025250D">
        <w:rPr>
          <w:rFonts w:hint="cs"/>
          <w:rtl/>
        </w:rPr>
        <w:t xml:space="preserve">داشته باشیم </w:t>
      </w:r>
      <w:r w:rsidR="00537CC8" w:rsidRPr="0025250D">
        <w:rPr>
          <w:rFonts w:hint="cs"/>
          <w:rtl/>
        </w:rPr>
        <w:t xml:space="preserve">که می‌توانند آن‌ها را شنیده و به ما بازخورد </w:t>
      </w:r>
      <w:r w:rsidR="00575289" w:rsidRPr="0025250D">
        <w:rPr>
          <w:rFonts w:hint="cs"/>
          <w:rtl/>
        </w:rPr>
        <w:t>ارائه دهند</w:t>
      </w:r>
      <w:r w:rsidR="00537CC8" w:rsidRPr="0025250D">
        <w:rPr>
          <w:rFonts w:hint="cs"/>
          <w:rtl/>
        </w:rPr>
        <w:t xml:space="preserve">. به علاوه، باید به توسعه این نوع استعداد‌ها، تجارب و هوشمندی‌هایی که از توانایی ما برای تصور آینده پشتیبانی کرده و آن را رشد می‌دهند ادامه دهیم. یک مقدمه خوب برای </w:t>
      </w:r>
      <w:r w:rsidR="00EE4B64" w:rsidRPr="0025250D">
        <w:rPr>
          <w:rFonts w:hint="cs"/>
          <w:rtl/>
        </w:rPr>
        <w:t>چشم‌اندازسازی</w:t>
      </w:r>
      <w:r w:rsidR="00537CC8" w:rsidRPr="0025250D">
        <w:rPr>
          <w:rFonts w:hint="cs"/>
          <w:rtl/>
        </w:rPr>
        <w:t xml:space="preserve"> فردی و یادداشت برداری روزمره کتاب </w:t>
      </w:r>
      <w:r w:rsidR="00EE4B64" w:rsidRPr="0025250D">
        <w:rPr>
          <w:rFonts w:hint="cs"/>
          <w:rtl/>
        </w:rPr>
        <w:t>چشم‌اندازسازی</w:t>
      </w:r>
      <w:r w:rsidR="00537CC8" w:rsidRPr="0025250D">
        <w:rPr>
          <w:vertAlign w:val="superscript"/>
          <w:rtl/>
        </w:rPr>
        <w:footnoteReference w:id="1928"/>
      </w:r>
      <w:r w:rsidR="00537CC8" w:rsidRPr="0025250D">
        <w:rPr>
          <w:rFonts w:hint="cs"/>
          <w:rtl/>
        </w:rPr>
        <w:t xml:space="preserve"> اثر </w:t>
      </w:r>
      <w:r w:rsidR="00537CC8" w:rsidRPr="0025250D">
        <w:rPr>
          <w:rtl/>
        </w:rPr>
        <w:t>لوس</w:t>
      </w:r>
      <w:r w:rsidR="00537CC8" w:rsidRPr="0025250D">
        <w:rPr>
          <w:rFonts w:hint="cs"/>
          <w:rtl/>
        </w:rPr>
        <w:t>ی</w:t>
      </w:r>
      <w:r w:rsidR="00537CC8" w:rsidRPr="0025250D">
        <w:rPr>
          <w:rFonts w:hint="eastAsia"/>
          <w:rtl/>
        </w:rPr>
        <w:t>ا</w:t>
      </w:r>
      <w:r w:rsidR="00537CC8" w:rsidRPr="0025250D">
        <w:rPr>
          <w:rtl/>
        </w:rPr>
        <w:t xml:space="preserve"> کاپاک</w:t>
      </w:r>
      <w:r w:rsidR="00537CC8" w:rsidRPr="0025250D">
        <w:rPr>
          <w:rFonts w:hint="cs"/>
          <w:rtl/>
        </w:rPr>
        <w:t>ی</w:t>
      </w:r>
      <w:r w:rsidR="00537CC8" w:rsidRPr="0025250D">
        <w:rPr>
          <w:rFonts w:hint="eastAsia"/>
          <w:rtl/>
        </w:rPr>
        <w:t>ونه</w:t>
      </w:r>
      <w:r w:rsidR="00537CC8" w:rsidRPr="0025250D">
        <w:rPr>
          <w:vertAlign w:val="superscript"/>
          <w:rtl/>
        </w:rPr>
        <w:footnoteReference w:id="1929"/>
      </w:r>
      <w:r w:rsidR="00537CC8" w:rsidRPr="0025250D">
        <w:rPr>
          <w:rFonts w:hint="cs"/>
          <w:rtl/>
        </w:rPr>
        <w:t xml:space="preserve"> در سال 2000 است. همه ما به دنبال </w:t>
      </w:r>
      <w:r w:rsidRPr="0025250D">
        <w:rPr>
          <w:rFonts w:hint="cs"/>
          <w:rtl/>
        </w:rPr>
        <w:t>چشم‌انداز</w:t>
      </w:r>
      <w:r w:rsidR="00537CC8" w:rsidRPr="0025250D">
        <w:rPr>
          <w:rFonts w:hint="cs"/>
          <w:rtl/>
        </w:rPr>
        <w:t xml:space="preserve"> هستیم (به نظر ما جستجوی </w:t>
      </w:r>
      <w:r w:rsidRPr="0025250D">
        <w:rPr>
          <w:rFonts w:hint="cs"/>
          <w:rtl/>
        </w:rPr>
        <w:t>چشم‌انداز</w:t>
      </w:r>
      <w:r w:rsidR="00537CC8" w:rsidRPr="0025250D">
        <w:rPr>
          <w:vertAlign w:val="superscript"/>
          <w:rtl/>
        </w:rPr>
        <w:footnoteReference w:id="1930"/>
      </w:r>
      <w:r w:rsidR="00537CC8" w:rsidRPr="0025250D">
        <w:rPr>
          <w:rFonts w:hint="cs"/>
          <w:rtl/>
        </w:rPr>
        <w:t xml:space="preserve"> در سال 1985، یک فیلم خوب در این زمینه است</w:t>
      </w:r>
      <w:r w:rsidR="00537CC8" w:rsidRPr="0025250D">
        <w:rPr>
          <w:vertAlign w:val="superscript"/>
          <w:rtl/>
        </w:rPr>
        <w:footnoteReference w:id="1931"/>
      </w:r>
      <w:r w:rsidR="00537CC8" w:rsidRPr="0025250D">
        <w:rPr>
          <w:rFonts w:hint="cs"/>
          <w:rtl/>
        </w:rPr>
        <w:t xml:space="preserve">، </w:t>
      </w:r>
      <w:r w:rsidR="00537CC8" w:rsidRPr="0025250D">
        <w:t>BTW</w:t>
      </w:r>
      <w:r w:rsidR="00537CC8" w:rsidRPr="0025250D">
        <w:rPr>
          <w:rFonts w:hint="cs"/>
          <w:rtl/>
        </w:rPr>
        <w:t xml:space="preserve">)، چه آن را به رسمیت بشناسیم و چه </w:t>
      </w:r>
      <w:r w:rsidR="00575289" w:rsidRPr="0025250D">
        <w:rPr>
          <w:rFonts w:hint="cs"/>
          <w:rtl/>
        </w:rPr>
        <w:t>نشناسیم</w:t>
      </w:r>
      <w:r w:rsidR="00537CC8" w:rsidRPr="0025250D">
        <w:rPr>
          <w:rFonts w:hint="cs"/>
          <w:rtl/>
        </w:rPr>
        <w:t xml:space="preserve">. هر </w:t>
      </w:r>
      <w:r w:rsidR="00D92F6E" w:rsidRPr="0025250D">
        <w:rPr>
          <w:rFonts w:hint="cs"/>
          <w:rtl/>
        </w:rPr>
        <w:t>آینده‌پژوه</w:t>
      </w:r>
      <w:r w:rsidR="00537CC8" w:rsidRPr="0025250D">
        <w:rPr>
          <w:rFonts w:hint="cs"/>
          <w:rtl/>
        </w:rPr>
        <w:t xml:space="preserve"> و </w:t>
      </w:r>
      <w:r w:rsidR="00537CC8" w:rsidRPr="0025250D">
        <w:rPr>
          <w:rtl/>
        </w:rPr>
        <w:t>آینده‌نگ</w:t>
      </w:r>
      <w:r w:rsidR="00537CC8" w:rsidRPr="0025250D">
        <w:rPr>
          <w:rFonts w:hint="cs"/>
          <w:rtl/>
        </w:rPr>
        <w:t xml:space="preserve">اری که فکر می‌کند اندکی بیش از دیگران آینده را می‌بیند، می‌تواند از این موهبت برای کمک به دیگران برای ایجاد داستان‌های پیشرفت بهتر استفاده کند. نویسنده رهبری </w:t>
      </w:r>
      <w:r w:rsidR="00537CC8" w:rsidRPr="0025250D">
        <w:rPr>
          <w:rtl/>
        </w:rPr>
        <w:t>استفان کاو</w:t>
      </w:r>
      <w:r w:rsidR="00537CC8" w:rsidRPr="0025250D">
        <w:rPr>
          <w:rFonts w:hint="cs"/>
          <w:rtl/>
        </w:rPr>
        <w:t>ی</w:t>
      </w:r>
      <w:r w:rsidR="00537CC8" w:rsidRPr="0025250D">
        <w:rPr>
          <w:vertAlign w:val="superscript"/>
          <w:rtl/>
        </w:rPr>
        <w:footnoteReference w:id="1932"/>
      </w:r>
      <w:r w:rsidR="00537CC8" w:rsidRPr="0025250D">
        <w:rPr>
          <w:rFonts w:hint="cs"/>
          <w:rtl/>
        </w:rPr>
        <w:t xml:space="preserve"> این امر را فرصت </w:t>
      </w:r>
      <w:r w:rsidR="005B1DA7" w:rsidRPr="0025250D">
        <w:rPr>
          <w:rtl/>
        </w:rPr>
        <w:t>«</w:t>
      </w:r>
      <w:r w:rsidR="00537CC8" w:rsidRPr="0025250D">
        <w:rPr>
          <w:rFonts w:hint="cs"/>
          <w:rtl/>
        </w:rPr>
        <w:t>یافتن صدای خود و الهام بخشیدن به دیگران برای یافتن صدای خودشان</w:t>
      </w:r>
      <w:r w:rsidR="005B1DA7" w:rsidRPr="0025250D">
        <w:rPr>
          <w:rtl/>
        </w:rPr>
        <w:t>»</w:t>
      </w:r>
      <w:r w:rsidR="00537CC8" w:rsidRPr="0025250D">
        <w:rPr>
          <w:rFonts w:hint="cs"/>
          <w:rtl/>
        </w:rPr>
        <w:t xml:space="preserve"> می‌نامد. او این امر را در کتاب هشت عادت</w:t>
      </w:r>
      <w:r w:rsidR="00537CC8" w:rsidRPr="0025250D">
        <w:rPr>
          <w:vertAlign w:val="superscript"/>
          <w:rtl/>
        </w:rPr>
        <w:footnoteReference w:id="1933"/>
      </w:r>
      <w:r w:rsidR="00537CC8" w:rsidRPr="0025250D">
        <w:rPr>
          <w:rFonts w:hint="cs"/>
          <w:rtl/>
        </w:rPr>
        <w:t xml:space="preserve"> در سال 2005، دنباله‌ای برای کتاب پرفروش خود به نام 7 عادت افراد به شدت اثر بخش</w:t>
      </w:r>
      <w:r w:rsidR="00537CC8" w:rsidRPr="0025250D">
        <w:rPr>
          <w:vertAlign w:val="superscript"/>
          <w:rtl/>
        </w:rPr>
        <w:footnoteReference w:id="1934"/>
      </w:r>
      <w:r w:rsidR="00537CC8" w:rsidRPr="0025250D">
        <w:rPr>
          <w:rFonts w:hint="cs"/>
          <w:rtl/>
        </w:rPr>
        <w:t xml:space="preserve"> در سال 1989/2013، بررسی می‌کند. </w:t>
      </w:r>
      <w:r w:rsidR="007118DE" w:rsidRPr="0025250D">
        <w:rPr>
          <w:rFonts w:hint="cs"/>
          <w:rtl/>
        </w:rPr>
        <w:t>همان‌طور</w:t>
      </w:r>
      <w:r w:rsidR="00537CC8" w:rsidRPr="0025250D">
        <w:rPr>
          <w:rFonts w:hint="cs"/>
          <w:rtl/>
        </w:rPr>
        <w:t xml:space="preserve"> که </w:t>
      </w:r>
      <w:r w:rsidR="00537CC8" w:rsidRPr="0025250D">
        <w:rPr>
          <w:rtl/>
        </w:rPr>
        <w:t>کاو</w:t>
      </w:r>
      <w:r w:rsidR="00537CC8" w:rsidRPr="0025250D">
        <w:rPr>
          <w:rFonts w:hint="cs"/>
          <w:rtl/>
        </w:rPr>
        <w:t xml:space="preserve">ی می‌گوید، یافتن صدا و </w:t>
      </w:r>
      <w:r w:rsidRPr="0025250D">
        <w:rPr>
          <w:rFonts w:hint="cs"/>
          <w:rtl/>
        </w:rPr>
        <w:t>چشم‌انداز</w:t>
      </w:r>
      <w:r w:rsidR="00537CC8" w:rsidRPr="0025250D">
        <w:rPr>
          <w:rFonts w:hint="cs"/>
          <w:rtl/>
        </w:rPr>
        <w:t xml:space="preserve"> خود و کمک به دیگران برای یافتن صدا و </w:t>
      </w:r>
      <w:r w:rsidRPr="0025250D">
        <w:rPr>
          <w:rFonts w:hint="cs"/>
          <w:rtl/>
        </w:rPr>
        <w:t>چشم‌انداز</w:t>
      </w:r>
      <w:r w:rsidR="00537CC8" w:rsidRPr="0025250D">
        <w:rPr>
          <w:rFonts w:hint="cs"/>
          <w:rtl/>
        </w:rPr>
        <w:t xml:space="preserve"> خودشان (این‌ها در واقع از نظر فنی دو عادت هستند) می‌تواند ما را از </w:t>
      </w:r>
      <w:r w:rsidR="00923DDB" w:rsidRPr="0025250D">
        <w:rPr>
          <w:rFonts w:hint="cs"/>
          <w:rtl/>
        </w:rPr>
        <w:t>اثربخشی</w:t>
      </w:r>
      <w:r w:rsidR="00537CC8" w:rsidRPr="0025250D">
        <w:rPr>
          <w:rFonts w:hint="cs"/>
          <w:rtl/>
        </w:rPr>
        <w:t xml:space="preserve"> به عالی بودن در سفر رهبری خود برساند.</w:t>
      </w:r>
    </w:p>
    <w:p w14:paraId="3ABFCB44" w14:textId="2C792569" w:rsidR="00537CC8" w:rsidRPr="0025250D" w:rsidRDefault="00537CC8" w:rsidP="00537CC8">
      <w:pPr>
        <w:rPr>
          <w:rtl/>
        </w:rPr>
      </w:pPr>
      <w:r w:rsidRPr="0025250D">
        <w:rPr>
          <w:rFonts w:hint="cs"/>
          <w:rtl/>
        </w:rPr>
        <w:t xml:space="preserve">ما باید به‌عنوان </w:t>
      </w:r>
      <w:r w:rsidR="00B124DE" w:rsidRPr="0025250D">
        <w:rPr>
          <w:rFonts w:hint="cs"/>
          <w:rtl/>
        </w:rPr>
        <w:t>آینده‌اندیش</w:t>
      </w:r>
      <w:r w:rsidRPr="0025250D">
        <w:rPr>
          <w:rFonts w:hint="cs"/>
          <w:rtl/>
        </w:rPr>
        <w:t xml:space="preserve">ان متعهد از خود بپرسیم که: واقعیت فعلی ما چگونه می‌تواند به شکل قابل توجهی بهتر باشد؟ کیفیت </w:t>
      </w:r>
      <w:r w:rsidR="00B56611" w:rsidRPr="0025250D">
        <w:rPr>
          <w:rFonts w:hint="cs"/>
          <w:rtl/>
        </w:rPr>
        <w:t>چشم‌انداز</w:t>
      </w:r>
      <w:r w:rsidRPr="0025250D">
        <w:rPr>
          <w:rFonts w:hint="cs"/>
          <w:rtl/>
        </w:rPr>
        <w:t xml:space="preserve">‌های فردی، تیمی، سازمانی و اجتماعی ما چگونه است؟ آیا ما به شکل محتاطانه‌ای آنچه باید بعدا رخ دهد را </w:t>
      </w:r>
      <w:r w:rsidR="00923DDB" w:rsidRPr="0025250D">
        <w:rPr>
          <w:rFonts w:hint="cs"/>
          <w:rtl/>
        </w:rPr>
        <w:t>پیش‌انگاری</w:t>
      </w:r>
      <w:r w:rsidRPr="0025250D">
        <w:rPr>
          <w:rFonts w:hint="cs"/>
          <w:rtl/>
        </w:rPr>
        <w:t xml:space="preserve"> </w:t>
      </w:r>
      <w:r w:rsidR="00950293" w:rsidRPr="0025250D">
        <w:rPr>
          <w:rFonts w:hint="cs"/>
          <w:rtl/>
        </w:rPr>
        <w:t>کرده‌ایم</w:t>
      </w:r>
      <w:r w:rsidRPr="0025250D">
        <w:rPr>
          <w:rFonts w:hint="cs"/>
          <w:rtl/>
        </w:rPr>
        <w:t xml:space="preserve"> یا خیر؟ هر یک از ما واقعا چه می‌خواهیم؟ باید بیش‌تر خواهان جلوگیری از چه امری باشیم؟ وقتی </w:t>
      </w:r>
      <w:r w:rsidR="00B56611" w:rsidRPr="0025250D">
        <w:rPr>
          <w:rFonts w:hint="cs"/>
          <w:rtl/>
        </w:rPr>
        <w:t>چشم‌انداز</w:t>
      </w:r>
      <w:r w:rsidRPr="0025250D">
        <w:rPr>
          <w:rFonts w:hint="cs"/>
          <w:rtl/>
        </w:rPr>
        <w:t xml:space="preserve">‌هایی را که به اعتقاد ما انگیزه بخش اما عملی باشند در اختیار داشته باشیم، آیا شجاعت لازم برای </w:t>
      </w:r>
      <w:r w:rsidR="00274907" w:rsidRPr="0025250D">
        <w:rPr>
          <w:rFonts w:hint="cs"/>
          <w:rtl/>
        </w:rPr>
        <w:t>به‌اشتراک‌گذار</w:t>
      </w:r>
      <w:r w:rsidRPr="0025250D">
        <w:rPr>
          <w:rFonts w:hint="cs"/>
          <w:rtl/>
        </w:rPr>
        <w:t xml:space="preserve">ی آن‌ها و قراردادن آن‌ها در معرض انتقادات سازنده را داریم یا خیر؟ چنین پرسش‌هایی می‌توانند به ما در جستجوی </w:t>
      </w:r>
      <w:r w:rsidR="00B56611" w:rsidRPr="0025250D">
        <w:rPr>
          <w:rFonts w:hint="cs"/>
          <w:rtl/>
        </w:rPr>
        <w:t>چشم‌انداز</w:t>
      </w:r>
      <w:r w:rsidRPr="0025250D">
        <w:rPr>
          <w:rFonts w:hint="cs"/>
          <w:rtl/>
        </w:rPr>
        <w:t xml:space="preserve"> فردی، تیمی</w:t>
      </w:r>
      <w:r w:rsidR="008D6F97" w:rsidRPr="0025250D">
        <w:rPr>
          <w:rtl/>
        </w:rPr>
        <w:t xml:space="preserve"> </w:t>
      </w:r>
      <w:r w:rsidRPr="0025250D">
        <w:rPr>
          <w:rFonts w:hint="cs"/>
          <w:rtl/>
        </w:rPr>
        <w:t>و سازمانی خود کمک کنند.</w:t>
      </w:r>
    </w:p>
    <w:p w14:paraId="6AE5C771" w14:textId="48559EC0" w:rsidR="00537CC8" w:rsidRPr="0025250D" w:rsidRDefault="00537CC8" w:rsidP="00D53F87">
      <w:pPr>
        <w:pStyle w:val="Heading2"/>
        <w:rPr>
          <w:rtl/>
        </w:rPr>
      </w:pPr>
      <w:bookmarkStart w:id="57" w:name="_Toc127831322"/>
      <w:r w:rsidRPr="0025250D">
        <w:rPr>
          <w:rFonts w:hint="cs"/>
          <w:rtl/>
        </w:rPr>
        <w:t xml:space="preserve">رهبری </w:t>
      </w:r>
      <w:r w:rsidR="002B6515" w:rsidRPr="0025250D">
        <w:rPr>
          <w:rtl/>
        </w:rPr>
        <w:t>حس‌داد</w:t>
      </w:r>
      <w:r w:rsidRPr="0025250D">
        <w:rPr>
          <w:rFonts w:hint="cs"/>
          <w:rtl/>
        </w:rPr>
        <w:t xml:space="preserve"> 1: نسبت‌های خوش بینی به بدبینی (</w:t>
      </w:r>
      <w:r w:rsidR="00BE4252" w:rsidRPr="0025250D">
        <w:rPr>
          <w:rtl/>
        </w:rPr>
        <w:t>خوش</w:t>
      </w:r>
      <w:r w:rsidR="00BE4252" w:rsidRPr="0025250D">
        <w:rPr>
          <w:rFonts w:hint="cs"/>
          <w:rtl/>
        </w:rPr>
        <w:t>‌</w:t>
      </w:r>
      <w:r w:rsidRPr="0025250D">
        <w:rPr>
          <w:rtl/>
        </w:rPr>
        <w:t>بینی:</w:t>
      </w:r>
      <w:r w:rsidR="005B1DA7" w:rsidRPr="0025250D">
        <w:rPr>
          <w:rFonts w:hint="eastAsia"/>
          <w:rtl/>
        </w:rPr>
        <w:t>بدب</w:t>
      </w:r>
      <w:r w:rsidR="005B1DA7" w:rsidRPr="0025250D">
        <w:rPr>
          <w:rFonts w:hint="cs"/>
          <w:rtl/>
        </w:rPr>
        <w:t>ی</w:t>
      </w:r>
      <w:r w:rsidR="005B1DA7" w:rsidRPr="0025250D">
        <w:rPr>
          <w:rFonts w:hint="eastAsia"/>
          <w:rtl/>
        </w:rPr>
        <w:t>ن</w:t>
      </w:r>
      <w:r w:rsidR="005B1DA7" w:rsidRPr="0025250D">
        <w:rPr>
          <w:rFonts w:hint="cs"/>
          <w:rtl/>
        </w:rPr>
        <w:t>ی</w:t>
      </w:r>
      <w:r w:rsidRPr="0025250D">
        <w:rPr>
          <w:rFonts w:hint="cs"/>
          <w:rtl/>
        </w:rPr>
        <w:t>) ارزشمند</w:t>
      </w:r>
      <w:bookmarkEnd w:id="57"/>
    </w:p>
    <w:p w14:paraId="0C212ECB" w14:textId="303CCBFD" w:rsidR="00537CC8" w:rsidRPr="0025250D" w:rsidRDefault="00537CC8" w:rsidP="00BE4252">
      <w:pPr>
        <w:rPr>
          <w:rtl/>
        </w:rPr>
      </w:pPr>
      <w:r w:rsidRPr="0025250D">
        <w:rPr>
          <w:rFonts w:hint="cs"/>
          <w:rtl/>
        </w:rPr>
        <w:t xml:space="preserve">گفتیم که </w:t>
      </w:r>
      <w:r w:rsidRPr="0025250D">
        <w:rPr>
          <w:rtl/>
        </w:rPr>
        <w:t>آینده‌نگاری</w:t>
      </w:r>
      <w:r w:rsidRPr="0025250D">
        <w:rPr>
          <w:rFonts w:hint="cs"/>
          <w:rtl/>
        </w:rPr>
        <w:t xml:space="preserve"> هیجانی به آگاهی از و توانایی تأثیرگذاری اخلاقی بر </w:t>
      </w:r>
      <w:r w:rsidR="00BE4252" w:rsidRPr="0025250D">
        <w:rPr>
          <w:rFonts w:hint="cs"/>
          <w:rtl/>
        </w:rPr>
        <w:t>هیجانیات</w:t>
      </w:r>
      <w:r w:rsidRPr="0025250D">
        <w:rPr>
          <w:rFonts w:hint="cs"/>
          <w:rtl/>
        </w:rPr>
        <w:t xml:space="preserve"> خودمان و دیگران نسبت به حالات دقیق‌تر و </w:t>
      </w:r>
      <w:r w:rsidR="00B124DE" w:rsidRPr="0025250D">
        <w:rPr>
          <w:rFonts w:hint="cs"/>
          <w:rtl/>
        </w:rPr>
        <w:t>انطباق‌پذیر</w:t>
      </w:r>
      <w:r w:rsidRPr="0025250D">
        <w:rPr>
          <w:rFonts w:hint="cs"/>
          <w:rtl/>
        </w:rPr>
        <w:t>‌تری از ذهن ما نیاز دارد. اکنون بیایید در این مورد، در بافت‌های تیمی و سازمانی بحث کنیم.</w:t>
      </w:r>
    </w:p>
    <w:p w14:paraId="700CD538" w14:textId="1314037A" w:rsidR="00537CC8" w:rsidRPr="0025250D" w:rsidRDefault="00537CC8" w:rsidP="00537CC8">
      <w:pPr>
        <w:rPr>
          <w:rtl/>
        </w:rPr>
      </w:pPr>
      <w:r w:rsidRPr="0025250D">
        <w:rPr>
          <w:rFonts w:hint="cs"/>
          <w:rtl/>
        </w:rPr>
        <w:t xml:space="preserve">کتاب‌هایی مانند هوش </w:t>
      </w:r>
      <w:r w:rsidR="00761941" w:rsidRPr="0025250D">
        <w:rPr>
          <w:rFonts w:hint="cs"/>
          <w:rtl/>
        </w:rPr>
        <w:t>هیجانی</w:t>
      </w:r>
      <w:r w:rsidRPr="0025250D">
        <w:rPr>
          <w:rFonts w:hint="cs"/>
          <w:rtl/>
        </w:rPr>
        <w:t xml:space="preserve"> 2.0</w:t>
      </w:r>
      <w:r w:rsidRPr="0025250D">
        <w:rPr>
          <w:vertAlign w:val="superscript"/>
          <w:rtl/>
        </w:rPr>
        <w:footnoteReference w:id="1935"/>
      </w:r>
      <w:r w:rsidRPr="0025250D">
        <w:rPr>
          <w:rFonts w:hint="cs"/>
          <w:rtl/>
        </w:rPr>
        <w:t xml:space="preserve"> اثر </w:t>
      </w:r>
      <w:r w:rsidRPr="0025250D">
        <w:rPr>
          <w:rtl/>
        </w:rPr>
        <w:t>بردبر</w:t>
      </w:r>
      <w:r w:rsidRPr="0025250D">
        <w:rPr>
          <w:rFonts w:hint="cs"/>
          <w:rtl/>
        </w:rPr>
        <w:t>ی</w:t>
      </w:r>
      <w:r w:rsidRPr="0025250D">
        <w:rPr>
          <w:vertAlign w:val="superscript"/>
          <w:rtl/>
        </w:rPr>
        <w:footnoteReference w:id="1936"/>
      </w:r>
      <w:r w:rsidRPr="0025250D">
        <w:rPr>
          <w:rtl/>
        </w:rPr>
        <w:t xml:space="preserve"> و گر</w:t>
      </w:r>
      <w:r w:rsidRPr="0025250D">
        <w:rPr>
          <w:rFonts w:hint="cs"/>
          <w:rtl/>
        </w:rPr>
        <w:t>ی</w:t>
      </w:r>
      <w:r w:rsidRPr="0025250D">
        <w:rPr>
          <w:rFonts w:hint="eastAsia"/>
          <w:rtl/>
        </w:rPr>
        <w:t>وز</w:t>
      </w:r>
      <w:r w:rsidRPr="0025250D">
        <w:rPr>
          <w:vertAlign w:val="superscript"/>
          <w:rtl/>
        </w:rPr>
        <w:footnoteReference w:id="1937"/>
      </w:r>
      <w:r w:rsidRPr="0025250D">
        <w:rPr>
          <w:rFonts w:hint="cs"/>
          <w:rtl/>
        </w:rPr>
        <w:t xml:space="preserve"> در سال 2009 نکات و تشخیص‌های خوبی برای بهبود هوش هیجانی (</w:t>
      </w:r>
      <w:r w:rsidRPr="0025250D">
        <w:t>EI</w:t>
      </w:r>
      <w:r w:rsidRPr="0025250D">
        <w:rPr>
          <w:rFonts w:hint="cs"/>
          <w:rtl/>
        </w:rPr>
        <w:t>) ما ارائه می‌دهند. کتاب هوش اجتماعی</w:t>
      </w:r>
      <w:r w:rsidRPr="0025250D">
        <w:rPr>
          <w:vertAlign w:val="superscript"/>
          <w:rtl/>
        </w:rPr>
        <w:footnoteReference w:id="1938"/>
      </w:r>
      <w:r w:rsidRPr="0025250D">
        <w:rPr>
          <w:rFonts w:hint="cs"/>
          <w:rtl/>
        </w:rPr>
        <w:t xml:space="preserve"> اثر </w:t>
      </w:r>
      <w:r w:rsidRPr="0025250D">
        <w:rPr>
          <w:rtl/>
        </w:rPr>
        <w:t>دان</w:t>
      </w:r>
      <w:r w:rsidRPr="0025250D">
        <w:rPr>
          <w:rFonts w:hint="cs"/>
          <w:rtl/>
        </w:rPr>
        <w:t>ی</w:t>
      </w:r>
      <w:r w:rsidRPr="0025250D">
        <w:rPr>
          <w:rFonts w:hint="eastAsia"/>
          <w:rtl/>
        </w:rPr>
        <w:t>ل</w:t>
      </w:r>
      <w:r w:rsidRPr="0025250D">
        <w:rPr>
          <w:rtl/>
        </w:rPr>
        <w:t xml:space="preserve"> گلمن</w:t>
      </w:r>
      <w:r w:rsidRPr="0025250D">
        <w:rPr>
          <w:vertAlign w:val="superscript"/>
          <w:rtl/>
        </w:rPr>
        <w:footnoteReference w:id="1939"/>
      </w:r>
      <w:r w:rsidRPr="0025250D">
        <w:rPr>
          <w:rFonts w:hint="cs"/>
          <w:rtl/>
        </w:rPr>
        <w:t xml:space="preserve"> در سال 2007 به ما یادآوری می‌کند که آگاهی از و پاسخگو بودن نسبت به حالات هیجانی دیگران همچنین یک عادت کلیدی تیم‌های قوی می‌باشد. هوش اجتماعی</w:t>
      </w:r>
      <w:r w:rsidRPr="0025250D">
        <w:rPr>
          <w:vertAlign w:val="superscript"/>
          <w:rtl/>
        </w:rPr>
        <w:footnoteReference w:id="1940"/>
      </w:r>
      <w:r w:rsidRPr="0025250D">
        <w:rPr>
          <w:rFonts w:hint="cs"/>
          <w:rtl/>
        </w:rPr>
        <w:t xml:space="preserve"> به زیربنایی از </w:t>
      </w:r>
      <w:r w:rsidRPr="0025250D">
        <w:t>EI</w:t>
      </w:r>
      <w:r w:rsidRPr="0025250D">
        <w:rPr>
          <w:rFonts w:hint="cs"/>
          <w:rtl/>
        </w:rPr>
        <w:t xml:space="preserve"> و موارد دیگر نیاز دارد. برای ساختن هر دو، باید یاد بگیریم که درون نگری</w:t>
      </w:r>
      <w:r w:rsidRPr="0025250D">
        <w:rPr>
          <w:vertAlign w:val="superscript"/>
          <w:rtl/>
        </w:rPr>
        <w:footnoteReference w:id="1941"/>
      </w:r>
      <w:r w:rsidRPr="0025250D">
        <w:rPr>
          <w:rFonts w:hint="cs"/>
          <w:rtl/>
        </w:rPr>
        <w:t xml:space="preserve"> (مشاهده خود) را با </w:t>
      </w:r>
      <w:r w:rsidRPr="0025250D">
        <w:rPr>
          <w:rtl/>
        </w:rPr>
        <w:t>برون نگر</w:t>
      </w:r>
      <w:r w:rsidRPr="0025250D">
        <w:rPr>
          <w:rFonts w:hint="cs"/>
          <w:rtl/>
        </w:rPr>
        <w:t>ی</w:t>
      </w:r>
      <w:r w:rsidRPr="0025250D">
        <w:rPr>
          <w:vertAlign w:val="superscript"/>
          <w:rtl/>
        </w:rPr>
        <w:footnoteReference w:id="1942"/>
      </w:r>
      <w:r w:rsidRPr="0025250D">
        <w:rPr>
          <w:rFonts w:hint="cs"/>
          <w:rtl/>
        </w:rPr>
        <w:t xml:space="preserve"> (مشاهده و داشتن اخلاق و </w:t>
      </w:r>
      <w:r w:rsidR="00A936B3" w:rsidRPr="0025250D">
        <w:rPr>
          <w:rFonts w:hint="cs"/>
          <w:rtl/>
        </w:rPr>
        <w:t>همدلی</w:t>
      </w:r>
      <w:r w:rsidRPr="0025250D">
        <w:rPr>
          <w:rFonts w:hint="cs"/>
          <w:rtl/>
        </w:rPr>
        <w:t xml:space="preserve"> با دیگران) متوازن و متعادل کنیم. باید هم در ذهن خود و هم در جهان با نسبت مناسب حضور داشته باشیم.</w:t>
      </w:r>
    </w:p>
    <w:p w14:paraId="375CBD61" w14:textId="4F32E12A" w:rsidR="00537CC8" w:rsidRPr="0025250D" w:rsidRDefault="00537CC8" w:rsidP="00537CC8">
      <w:pPr>
        <w:rPr>
          <w:rtl/>
        </w:rPr>
      </w:pPr>
      <w:r w:rsidRPr="0025250D">
        <w:rPr>
          <w:rFonts w:hint="cs"/>
          <w:rtl/>
        </w:rPr>
        <w:t>وقتی کسی آگاهی هیجانی</w:t>
      </w:r>
      <w:r w:rsidRPr="0025250D">
        <w:rPr>
          <w:vertAlign w:val="superscript"/>
          <w:rtl/>
        </w:rPr>
        <w:footnoteReference w:id="1943"/>
      </w:r>
      <w:r w:rsidRPr="0025250D">
        <w:rPr>
          <w:rFonts w:hint="cs"/>
          <w:rtl/>
        </w:rPr>
        <w:t>، خودکنترلی</w:t>
      </w:r>
      <w:r w:rsidRPr="0025250D">
        <w:rPr>
          <w:vertAlign w:val="superscript"/>
          <w:rtl/>
        </w:rPr>
        <w:footnoteReference w:id="1944"/>
      </w:r>
      <w:r w:rsidRPr="0025250D">
        <w:rPr>
          <w:rFonts w:hint="cs"/>
          <w:rtl/>
        </w:rPr>
        <w:t xml:space="preserve"> هیجانی و مالکیت هیجانی</w:t>
      </w:r>
      <w:r w:rsidRPr="0025250D">
        <w:rPr>
          <w:vertAlign w:val="superscript"/>
          <w:rtl/>
        </w:rPr>
        <w:footnoteReference w:id="1945"/>
      </w:r>
      <w:r w:rsidRPr="0025250D">
        <w:rPr>
          <w:rFonts w:hint="cs"/>
          <w:rtl/>
        </w:rPr>
        <w:t xml:space="preserve"> خوبی (</w:t>
      </w:r>
      <w:r w:rsidRPr="0025250D">
        <w:t>ASO</w:t>
      </w:r>
      <w:r w:rsidRPr="0025250D">
        <w:rPr>
          <w:rFonts w:hint="cs"/>
          <w:rtl/>
        </w:rPr>
        <w:t xml:space="preserve"> از میان چالش‌های </w:t>
      </w:r>
      <w:r w:rsidRPr="0025250D">
        <w:t>ASOFA</w:t>
      </w:r>
      <w:r w:rsidRPr="0025250D">
        <w:rPr>
          <w:rFonts w:hint="cs"/>
          <w:rtl/>
        </w:rPr>
        <w:t xml:space="preserve"> که در نسخه </w:t>
      </w:r>
      <w:r w:rsidR="0019766B" w:rsidRPr="0025250D">
        <w:rPr>
          <w:rFonts w:hint="cs"/>
          <w:rtl/>
        </w:rPr>
        <w:t>دانشجو</w:t>
      </w:r>
      <w:r w:rsidR="00C76006" w:rsidRPr="0025250D">
        <w:rPr>
          <w:rFonts w:hint="cs"/>
          <w:rtl/>
        </w:rPr>
        <w:t>ی</w:t>
      </w:r>
      <w:r w:rsidRPr="0025250D">
        <w:rPr>
          <w:rFonts w:hint="cs"/>
          <w:rtl/>
        </w:rPr>
        <w:t xml:space="preserve"> این کتاب توصیف شده است) داشته باشد، از جمله مدیریت خوش بینی </w:t>
      </w:r>
      <w:r w:rsidR="00701E03" w:rsidRPr="0025250D">
        <w:rPr>
          <w:rFonts w:hint="cs"/>
          <w:rtl/>
        </w:rPr>
        <w:t>راهبردی</w:t>
      </w:r>
      <w:r w:rsidRPr="0025250D">
        <w:rPr>
          <w:rFonts w:hint="cs"/>
          <w:rtl/>
        </w:rPr>
        <w:t xml:space="preserve"> و </w:t>
      </w:r>
      <w:r w:rsidR="00D30084" w:rsidRPr="0025250D">
        <w:rPr>
          <w:rFonts w:hint="cs"/>
          <w:rtl/>
        </w:rPr>
        <w:t>بدبینی تدافعی</w:t>
      </w:r>
      <w:r w:rsidRPr="0025250D">
        <w:rPr>
          <w:rFonts w:hint="cs"/>
          <w:rtl/>
        </w:rPr>
        <w:t xml:space="preserve">، شاید چالش مهم بعدی در </w:t>
      </w:r>
      <w:r w:rsidRPr="0025250D">
        <w:t>EI</w:t>
      </w:r>
      <w:r w:rsidRPr="0025250D">
        <w:rPr>
          <w:rFonts w:hint="cs"/>
          <w:rtl/>
        </w:rPr>
        <w:t xml:space="preserve"> و </w:t>
      </w:r>
      <w:r w:rsidRPr="0025250D">
        <w:t>SI</w:t>
      </w:r>
      <w:r w:rsidRPr="0025250D">
        <w:rPr>
          <w:rFonts w:hint="cs"/>
          <w:rtl/>
        </w:rPr>
        <w:t xml:space="preserve"> این باشد که به دنبال تأثیرگذاری اخلاقی بر خوش بینی و بدبینی دیگران، در حرکت به سمت پاسخ‌های </w:t>
      </w:r>
      <w:r w:rsidR="00B124DE" w:rsidRPr="0025250D">
        <w:rPr>
          <w:rFonts w:hint="cs"/>
          <w:rtl/>
        </w:rPr>
        <w:t>انطباق‌پذیر</w:t>
      </w:r>
      <w:r w:rsidRPr="0025250D">
        <w:rPr>
          <w:rFonts w:hint="cs"/>
          <w:rtl/>
        </w:rPr>
        <w:t xml:space="preserve"> باشد. در این مسیر، از </w:t>
      </w:r>
      <w:r w:rsidRPr="0025250D">
        <w:rPr>
          <w:rtl/>
        </w:rPr>
        <w:t>آینده‌نگاری</w:t>
      </w:r>
      <w:r w:rsidRPr="0025250D">
        <w:rPr>
          <w:rFonts w:hint="cs"/>
          <w:rtl/>
        </w:rPr>
        <w:t xml:space="preserve"> </w:t>
      </w:r>
      <w:r w:rsidR="002B6515" w:rsidRPr="0025250D">
        <w:rPr>
          <w:rtl/>
        </w:rPr>
        <w:t>حس‌داد</w:t>
      </w:r>
      <w:r w:rsidRPr="0025250D">
        <w:rPr>
          <w:rFonts w:hint="cs"/>
          <w:rtl/>
        </w:rPr>
        <w:t xml:space="preserve"> به رهبری </w:t>
      </w:r>
      <w:r w:rsidR="002B6515" w:rsidRPr="0025250D">
        <w:rPr>
          <w:rtl/>
        </w:rPr>
        <w:t>حس‌داد</w:t>
      </w:r>
      <w:r w:rsidRPr="0025250D">
        <w:rPr>
          <w:rFonts w:hint="cs"/>
          <w:rtl/>
        </w:rPr>
        <w:t xml:space="preserve"> حرکت می‌کنیم. </w:t>
      </w:r>
      <w:r w:rsidR="007118DE" w:rsidRPr="0025250D">
        <w:rPr>
          <w:rFonts w:hint="cs"/>
          <w:rtl/>
        </w:rPr>
        <w:t>همان‌طور</w:t>
      </w:r>
      <w:r w:rsidRPr="0025250D">
        <w:rPr>
          <w:rFonts w:hint="cs"/>
          <w:rtl/>
        </w:rPr>
        <w:t xml:space="preserve"> که </w:t>
      </w:r>
      <w:r w:rsidR="00F51D2D" w:rsidRPr="0025250D">
        <w:rPr>
          <w:rFonts w:hint="cs"/>
          <w:rtl/>
        </w:rPr>
        <w:t>فرضیه</w:t>
      </w:r>
      <w:r w:rsidRPr="0025250D">
        <w:rPr>
          <w:rFonts w:hint="cs"/>
          <w:rtl/>
        </w:rPr>
        <w:t xml:space="preserve"> ذهن آگاهی</w:t>
      </w:r>
      <w:r w:rsidRPr="0025250D">
        <w:rPr>
          <w:vertAlign w:val="superscript"/>
          <w:rtl/>
        </w:rPr>
        <w:footnoteReference w:id="1946"/>
      </w:r>
      <w:r w:rsidRPr="0025250D">
        <w:rPr>
          <w:rFonts w:hint="cs"/>
          <w:rtl/>
        </w:rPr>
        <w:t xml:space="preserve"> به ما می‌گوید</w:t>
      </w:r>
      <w:r w:rsidR="00C76006" w:rsidRPr="0025250D">
        <w:rPr>
          <w:rFonts w:hint="cs"/>
          <w:rtl/>
        </w:rPr>
        <w:t xml:space="preserve">، </w:t>
      </w:r>
      <w:r w:rsidRPr="0025250D">
        <w:rPr>
          <w:rFonts w:hint="cs"/>
          <w:rtl/>
        </w:rPr>
        <w:t>در بیش‌تر مواقع می‌خواهیم در زمان حال باقی بمانیم، نه در گذشته یا آینده، می‌توانیم یک نظریه اثربخشی هیجانی</w:t>
      </w:r>
      <w:r w:rsidRPr="0025250D">
        <w:rPr>
          <w:vertAlign w:val="superscript"/>
          <w:rtl/>
        </w:rPr>
        <w:footnoteReference w:id="1947"/>
      </w:r>
      <w:r w:rsidRPr="0025250D">
        <w:rPr>
          <w:rFonts w:hint="cs"/>
          <w:rtl/>
        </w:rPr>
        <w:t xml:space="preserve"> را ارائه دهیم و پیشنهاد کنیم که در بیش‌تر مواقع می‌خواهیم واقع بین باشیم که آن را به‌عنوان متعادل سازی احساس و تفکر خوش بینانه و بدبینانه با نسبت‌های درست برای هر زمینه تعریف می‌کنیم. حتی با این وجود که ما </w:t>
      </w:r>
      <w:r w:rsidR="00933C48" w:rsidRPr="0025250D">
        <w:rPr>
          <w:rtl/>
        </w:rPr>
        <w:t>سرشت ذات</w:t>
      </w:r>
      <w:r w:rsidR="00933C48" w:rsidRPr="0025250D">
        <w:rPr>
          <w:rFonts w:hint="cs"/>
          <w:rtl/>
        </w:rPr>
        <w:t>ی</w:t>
      </w:r>
      <w:r w:rsidR="00933C48" w:rsidRPr="0025250D">
        <w:rPr>
          <w:rStyle w:val="FootnoteReference"/>
          <w:rtl/>
        </w:rPr>
        <w:footnoteReference w:id="1948"/>
      </w:r>
      <w:r w:rsidRPr="0025250D">
        <w:rPr>
          <w:rFonts w:hint="cs"/>
          <w:rtl/>
        </w:rPr>
        <w:t xml:space="preserve"> خود را به‌عنوان بدبینی یا خوش بینی می‌شناسیم، باید ارزش حفظ تنوع مناسب از نسبت‌های خوش بینی و بدبینی را در احساس و تفکر آینده خود ببینیم. بیایید نگاهی دقیق‌تر به این نظریه داشته باشیم.</w:t>
      </w:r>
    </w:p>
    <w:p w14:paraId="7BDA0BC6" w14:textId="715321C2" w:rsidR="00537CC8" w:rsidRPr="0025250D" w:rsidRDefault="00537CC8" w:rsidP="00BE4252">
      <w:pPr>
        <w:rPr>
          <w:rtl/>
        </w:rPr>
      </w:pPr>
      <w:r w:rsidRPr="0025250D">
        <w:rPr>
          <w:rFonts w:hint="cs"/>
          <w:rtl/>
        </w:rPr>
        <w:t xml:space="preserve">در نظر بگیرید که احساسات و تفکر خوش بینانه:بدبینانه ما می‌توانند هم از وظایف ما حمایت کنند و هم در کار ما اختلال ایجاد کنند. مشخصاً، یک توازن 50:50 میان هر دو </w:t>
      </w:r>
      <w:r w:rsidR="00BE4252" w:rsidRPr="0025250D">
        <w:rPr>
          <w:rFonts w:hint="cs"/>
          <w:rtl/>
        </w:rPr>
        <w:t>حس‌داد</w:t>
      </w:r>
      <w:r w:rsidRPr="0025250D">
        <w:rPr>
          <w:rFonts w:hint="cs"/>
          <w:rtl/>
        </w:rPr>
        <w:t xml:space="preserve"> تنها در بعضی مواقع </w:t>
      </w:r>
      <w:r w:rsidR="00B124DE" w:rsidRPr="0025250D">
        <w:rPr>
          <w:rFonts w:hint="cs"/>
          <w:rtl/>
        </w:rPr>
        <w:t>انطباق‌پذیر</w:t>
      </w:r>
      <w:r w:rsidRPr="0025250D">
        <w:rPr>
          <w:rFonts w:hint="cs"/>
          <w:rtl/>
        </w:rPr>
        <w:t xml:space="preserve">‌ترین حالت ممکن خواهد بود. پیشنهاد </w:t>
      </w:r>
      <w:r w:rsidR="00950293" w:rsidRPr="0025250D">
        <w:rPr>
          <w:rFonts w:hint="cs"/>
          <w:rtl/>
        </w:rPr>
        <w:t>کرده‌ایم</w:t>
      </w:r>
      <w:r w:rsidRPr="0025250D">
        <w:rPr>
          <w:rFonts w:hint="cs"/>
          <w:rtl/>
        </w:rPr>
        <w:t xml:space="preserve"> که این امر برای تفکر </w:t>
      </w:r>
      <w:r w:rsidRPr="0025250D">
        <w:t>GRASP</w:t>
      </w:r>
      <w:r w:rsidRPr="0025250D">
        <w:rPr>
          <w:rFonts w:hint="cs"/>
          <w:rtl/>
        </w:rPr>
        <w:t xml:space="preserve">، در </w:t>
      </w:r>
      <w:r w:rsidR="00B124DE" w:rsidRPr="0025250D">
        <w:rPr>
          <w:rFonts w:hint="cs"/>
          <w:rtl/>
        </w:rPr>
        <w:t>برنامه‌ریزی</w:t>
      </w:r>
      <w:r w:rsidRPr="0025250D">
        <w:rPr>
          <w:rFonts w:hint="cs"/>
          <w:rtl/>
        </w:rPr>
        <w:t xml:space="preserve"> فعالیت‌ها منطقی است، اما حتی در آنجا هم در بافت‌های خاصی، صرف زمان بیش‌تری برای جنبه‌های خوش بینانه نسبت به جنبه‌های بدبینانه </w:t>
      </w:r>
      <w:r w:rsidRPr="0025250D">
        <w:t>GRASP</w:t>
      </w:r>
      <w:r w:rsidRPr="0025250D">
        <w:rPr>
          <w:rFonts w:hint="cs"/>
          <w:rtl/>
        </w:rPr>
        <w:t xml:space="preserve"> را ارزشمند می‌یابیم. پس نقطه توازن و تعادل ما در بافت‌های مختلف باید کجا باشد و چگونه می‌توانیم بیش‌تر از توازن فعلی خود در احساس، تفکر و </w:t>
      </w:r>
      <w:r w:rsidR="00B124DE" w:rsidRPr="0025250D">
        <w:rPr>
          <w:rFonts w:hint="cs"/>
          <w:rtl/>
        </w:rPr>
        <w:t>برنامه‌ریزی</w:t>
      </w:r>
      <w:r w:rsidRPr="0025250D">
        <w:rPr>
          <w:rFonts w:hint="cs"/>
          <w:rtl/>
        </w:rPr>
        <w:t xml:space="preserve"> آگاه شویم؟ چه نسبت </w:t>
      </w:r>
      <w:r w:rsidRPr="0025250D">
        <w:rPr>
          <w:rtl/>
        </w:rPr>
        <w:t>خوش بینی:بدبینی</w:t>
      </w:r>
      <w:r w:rsidRPr="0025250D">
        <w:rPr>
          <w:rFonts w:hint="cs"/>
          <w:rtl/>
        </w:rPr>
        <w:t xml:space="preserve"> می‌تواند در تیم‌ها و سازمان‌ها، در بافت‌های مختلف، </w:t>
      </w:r>
      <w:r w:rsidR="00B124DE" w:rsidRPr="0025250D">
        <w:rPr>
          <w:rFonts w:hint="cs"/>
          <w:rtl/>
        </w:rPr>
        <w:t>انطباق‌پذیر</w:t>
      </w:r>
      <w:r w:rsidRPr="0025250D">
        <w:rPr>
          <w:rFonts w:hint="cs"/>
          <w:rtl/>
        </w:rPr>
        <w:t>‌ترین حالت باشد؟</w:t>
      </w:r>
    </w:p>
    <w:p w14:paraId="7702AD74" w14:textId="1AFF27DB" w:rsidR="00537CC8" w:rsidRPr="0025250D" w:rsidRDefault="00537CC8" w:rsidP="00537CC8">
      <w:pPr>
        <w:rPr>
          <w:rtl/>
        </w:rPr>
      </w:pPr>
      <w:r w:rsidRPr="0025250D">
        <w:rPr>
          <w:rFonts w:hint="cs"/>
          <w:rtl/>
        </w:rPr>
        <w:t xml:space="preserve">برای آغاز به بررسی این پرسش مهم، بیایید نگاه مختصری به نسبت‌های </w:t>
      </w:r>
      <w:r w:rsidR="002B6515" w:rsidRPr="0025250D">
        <w:rPr>
          <w:rtl/>
        </w:rPr>
        <w:t>حس‌داد</w:t>
      </w:r>
      <w:r w:rsidRPr="0025250D">
        <w:rPr>
          <w:rFonts w:hint="cs"/>
          <w:rtl/>
        </w:rPr>
        <w:t xml:space="preserve"> و برخی مشاهدات اولیه داشته باشیم. بسیاری از خواص </w:t>
      </w:r>
      <w:r w:rsidR="0044659F" w:rsidRPr="0025250D">
        <w:rPr>
          <w:rFonts w:hint="cs"/>
          <w:rtl/>
        </w:rPr>
        <w:t>زیستی</w:t>
      </w:r>
      <w:r w:rsidRPr="0025250D">
        <w:rPr>
          <w:rFonts w:hint="cs"/>
          <w:rtl/>
        </w:rPr>
        <w:t xml:space="preserve"> نمایی هستند. برای مثال، هر ده دسیبل صوت به میزان دو برابر بلندی آن ادراک (حس) می‌شود. با هر بار دو برابر شدن، از یک آستانه خارج شده و ماهیت آن تغییر می‌کند. ما همین تبدیل را برای دسته بندی مجموعه‌ای از 7 نسبت </w:t>
      </w:r>
      <w:r w:rsidRPr="0025250D">
        <w:rPr>
          <w:rtl/>
        </w:rPr>
        <w:t>خوش بینی:بدبینی</w:t>
      </w:r>
      <w:r w:rsidRPr="0025250D">
        <w:rPr>
          <w:rFonts w:hint="cs"/>
          <w:rtl/>
        </w:rPr>
        <w:t xml:space="preserve"> متفاوت استفاده خواهیم کرد و موارد اندکی را درمورد هر یک از آن‌ها، با هدف پیشرفت بینش و </w:t>
      </w:r>
      <w:r w:rsidRPr="0025250D">
        <w:rPr>
          <w:rtl/>
        </w:rPr>
        <w:t>آینده‌نگاری</w:t>
      </w:r>
      <w:r w:rsidRPr="0025250D">
        <w:rPr>
          <w:rFonts w:hint="cs"/>
          <w:rtl/>
        </w:rPr>
        <w:t xml:space="preserve"> ما در رهبری </w:t>
      </w:r>
      <w:r w:rsidR="002B6515" w:rsidRPr="0025250D">
        <w:rPr>
          <w:rtl/>
        </w:rPr>
        <w:t>حس‌داد</w:t>
      </w:r>
      <w:r w:rsidRPr="0025250D">
        <w:rPr>
          <w:rFonts w:hint="cs"/>
          <w:rtl/>
        </w:rPr>
        <w:t xml:space="preserve"> بیان خواهیم کرد.</w:t>
      </w:r>
    </w:p>
    <w:p w14:paraId="3CC5252A" w14:textId="76D5C81A" w:rsidR="00537CC8" w:rsidRPr="0025250D" w:rsidRDefault="00537CC8" w:rsidP="00537CC8">
      <w:pPr>
        <w:rPr>
          <w:rtl/>
        </w:rPr>
      </w:pPr>
      <w:r w:rsidRPr="0025250D">
        <w:rPr>
          <w:rFonts w:hint="cs"/>
          <w:rtl/>
        </w:rPr>
        <w:t>جدول زیر نسبت‌های اصلی را که مورد بحث قرار خواهیم داد بیان می‌کند:</w:t>
      </w:r>
    </w:p>
    <w:p w14:paraId="722F96FE" w14:textId="026A821D" w:rsidR="00537CC8" w:rsidRPr="0025250D" w:rsidRDefault="00537CC8" w:rsidP="00537CC8">
      <w:pPr>
        <w:rPr>
          <w:rtl/>
        </w:rPr>
      </w:pPr>
      <w:r w:rsidRPr="0025250D">
        <w:rPr>
          <w:rFonts w:hint="cs"/>
          <w:rtl/>
        </w:rPr>
        <w:t>نسبت خوش بینی:بدبینی در بافت‌های معمولی زندگی</w:t>
      </w:r>
    </w:p>
    <w:tbl>
      <w:tblPr>
        <w:tblStyle w:val="TableGrid"/>
        <w:bidiVisual/>
        <w:tblW w:w="7366" w:type="dxa"/>
        <w:jc w:val="center"/>
        <w:tblLook w:val="04A0" w:firstRow="1" w:lastRow="0" w:firstColumn="1" w:lastColumn="0" w:noHBand="0" w:noVBand="1"/>
      </w:tblPr>
      <w:tblGrid>
        <w:gridCol w:w="1091"/>
        <w:gridCol w:w="6275"/>
      </w:tblGrid>
      <w:tr w:rsidR="00537CC8" w:rsidRPr="0025250D" w14:paraId="48933443" w14:textId="77777777" w:rsidTr="00F004A5">
        <w:trPr>
          <w:jc w:val="center"/>
        </w:trPr>
        <w:tc>
          <w:tcPr>
            <w:tcW w:w="1091" w:type="dxa"/>
          </w:tcPr>
          <w:p w14:paraId="26C08D34" w14:textId="77777777" w:rsidR="00537CC8" w:rsidRPr="0025250D" w:rsidRDefault="00537CC8" w:rsidP="00537CC8">
            <w:pPr>
              <w:bidi/>
              <w:spacing w:after="160"/>
              <w:rPr>
                <w:rtl/>
              </w:rPr>
            </w:pPr>
            <w:r w:rsidRPr="0025250D">
              <w:rPr>
                <w:rFonts w:hint="cs"/>
                <w:rtl/>
              </w:rPr>
              <w:t>1:1</w:t>
            </w:r>
          </w:p>
        </w:tc>
        <w:tc>
          <w:tcPr>
            <w:tcW w:w="6275" w:type="dxa"/>
          </w:tcPr>
          <w:p w14:paraId="43F5D257" w14:textId="56C3951A" w:rsidR="00537CC8" w:rsidRPr="0025250D" w:rsidRDefault="00537CC8" w:rsidP="00537CC8">
            <w:pPr>
              <w:bidi/>
              <w:spacing w:after="160"/>
              <w:rPr>
                <w:rtl/>
              </w:rPr>
            </w:pPr>
            <w:r w:rsidRPr="0025250D">
              <w:rPr>
                <w:rFonts w:hint="cs"/>
                <w:rtl/>
              </w:rPr>
              <w:t xml:space="preserve">تقابل </w:t>
            </w:r>
            <w:r w:rsidR="002B6515" w:rsidRPr="0025250D">
              <w:rPr>
                <w:rtl/>
              </w:rPr>
              <w:t>حس‌داد</w:t>
            </w:r>
            <w:r w:rsidRPr="0025250D">
              <w:rPr>
                <w:rFonts w:hint="cs"/>
                <w:rtl/>
              </w:rPr>
              <w:t xml:space="preserve">، </w:t>
            </w:r>
            <w:r w:rsidRPr="0025250D">
              <w:t>GRASP</w:t>
            </w:r>
            <w:r w:rsidRPr="0025250D">
              <w:rPr>
                <w:rFonts w:hint="cs"/>
                <w:rtl/>
              </w:rPr>
              <w:t xml:space="preserve">؛ </w:t>
            </w:r>
            <w:r w:rsidR="0008779C" w:rsidRPr="0025250D">
              <w:rPr>
                <w:rtl/>
              </w:rPr>
              <w:t>واقع‌گرا</w:t>
            </w:r>
            <w:r w:rsidRPr="0025250D">
              <w:rPr>
                <w:rFonts w:hint="cs"/>
                <w:rtl/>
              </w:rPr>
              <w:t>یی</w:t>
            </w:r>
          </w:p>
        </w:tc>
      </w:tr>
      <w:tr w:rsidR="00537CC8" w:rsidRPr="0025250D" w14:paraId="35A4B148" w14:textId="77777777" w:rsidTr="00F004A5">
        <w:trPr>
          <w:jc w:val="center"/>
        </w:trPr>
        <w:tc>
          <w:tcPr>
            <w:tcW w:w="1091" w:type="dxa"/>
          </w:tcPr>
          <w:p w14:paraId="5248D451" w14:textId="77777777" w:rsidR="00537CC8" w:rsidRPr="0025250D" w:rsidRDefault="00537CC8" w:rsidP="00537CC8">
            <w:pPr>
              <w:bidi/>
              <w:spacing w:after="160"/>
              <w:rPr>
                <w:rtl/>
              </w:rPr>
            </w:pPr>
            <w:r w:rsidRPr="0025250D">
              <w:rPr>
                <w:rFonts w:hint="cs"/>
                <w:rtl/>
              </w:rPr>
              <w:t>1:2</w:t>
            </w:r>
          </w:p>
        </w:tc>
        <w:tc>
          <w:tcPr>
            <w:tcW w:w="6275" w:type="dxa"/>
          </w:tcPr>
          <w:p w14:paraId="4F06096E" w14:textId="283DB32A" w:rsidR="00537CC8" w:rsidRPr="0025250D" w:rsidRDefault="00537CC8" w:rsidP="00537CC8">
            <w:pPr>
              <w:bidi/>
              <w:spacing w:after="160"/>
              <w:rPr>
                <w:rtl/>
              </w:rPr>
            </w:pPr>
            <w:r w:rsidRPr="0025250D">
              <w:rPr>
                <w:rtl/>
              </w:rPr>
              <w:t>ارز</w:t>
            </w:r>
            <w:r w:rsidRPr="0025250D">
              <w:rPr>
                <w:rFonts w:hint="cs"/>
                <w:rtl/>
              </w:rPr>
              <w:t>ی</w:t>
            </w:r>
            <w:r w:rsidRPr="0025250D">
              <w:rPr>
                <w:rFonts w:hint="eastAsia"/>
                <w:rtl/>
              </w:rPr>
              <w:t>اب</w:t>
            </w:r>
            <w:r w:rsidRPr="0025250D">
              <w:rPr>
                <w:rFonts w:hint="cs"/>
                <w:rtl/>
              </w:rPr>
              <w:t>ی</w:t>
            </w:r>
            <w:r w:rsidRPr="0025250D">
              <w:rPr>
                <w:rtl/>
              </w:rPr>
              <w:t xml:space="preserve"> مز</w:t>
            </w:r>
            <w:r w:rsidRPr="0025250D">
              <w:rPr>
                <w:rFonts w:hint="cs"/>
                <w:rtl/>
              </w:rPr>
              <w:t>ی</w:t>
            </w:r>
            <w:r w:rsidRPr="0025250D">
              <w:rPr>
                <w:rFonts w:hint="eastAsia"/>
                <w:rtl/>
              </w:rPr>
              <w:t>ت</w:t>
            </w:r>
            <w:r w:rsidRPr="0025250D">
              <w:rPr>
                <w:rtl/>
              </w:rPr>
              <w:t xml:space="preserve"> و فرصت؛ خوش ب</w:t>
            </w:r>
            <w:r w:rsidRPr="0025250D">
              <w:rPr>
                <w:rFonts w:hint="cs"/>
                <w:rtl/>
              </w:rPr>
              <w:t>ی</w:t>
            </w:r>
            <w:r w:rsidRPr="0025250D">
              <w:rPr>
                <w:rFonts w:hint="eastAsia"/>
                <w:rtl/>
              </w:rPr>
              <w:t>ن</w:t>
            </w:r>
            <w:r w:rsidRPr="0025250D">
              <w:rPr>
                <w:rFonts w:hint="cs"/>
                <w:rtl/>
              </w:rPr>
              <w:t>ی</w:t>
            </w:r>
            <w:r w:rsidRPr="0025250D">
              <w:rPr>
                <w:rtl/>
              </w:rPr>
              <w:t xml:space="preserve"> </w:t>
            </w:r>
            <w:r w:rsidR="00701E03" w:rsidRPr="0025250D">
              <w:rPr>
                <w:rtl/>
              </w:rPr>
              <w:t>راهبردی</w:t>
            </w:r>
          </w:p>
        </w:tc>
      </w:tr>
      <w:tr w:rsidR="00537CC8" w:rsidRPr="0025250D" w14:paraId="0BB96670" w14:textId="77777777" w:rsidTr="00F004A5">
        <w:trPr>
          <w:jc w:val="center"/>
        </w:trPr>
        <w:tc>
          <w:tcPr>
            <w:tcW w:w="1091" w:type="dxa"/>
          </w:tcPr>
          <w:p w14:paraId="0A31D55A" w14:textId="77777777" w:rsidR="00537CC8" w:rsidRPr="0025250D" w:rsidRDefault="00537CC8" w:rsidP="00537CC8">
            <w:pPr>
              <w:bidi/>
              <w:spacing w:after="160"/>
              <w:rPr>
                <w:rtl/>
              </w:rPr>
            </w:pPr>
            <w:r w:rsidRPr="0025250D">
              <w:rPr>
                <w:rFonts w:hint="cs"/>
                <w:rtl/>
              </w:rPr>
              <w:t>2:1</w:t>
            </w:r>
          </w:p>
        </w:tc>
        <w:tc>
          <w:tcPr>
            <w:tcW w:w="6275" w:type="dxa"/>
          </w:tcPr>
          <w:p w14:paraId="34D28808" w14:textId="230C1162" w:rsidR="00537CC8" w:rsidRPr="0025250D" w:rsidRDefault="00537CC8" w:rsidP="00537CC8">
            <w:pPr>
              <w:bidi/>
              <w:spacing w:after="160"/>
              <w:rPr>
                <w:rtl/>
              </w:rPr>
            </w:pPr>
            <w:r w:rsidRPr="0025250D">
              <w:rPr>
                <w:rtl/>
              </w:rPr>
              <w:t>ارز</w:t>
            </w:r>
            <w:r w:rsidRPr="0025250D">
              <w:rPr>
                <w:rFonts w:hint="cs"/>
                <w:rtl/>
              </w:rPr>
              <w:t>ی</w:t>
            </w:r>
            <w:r w:rsidRPr="0025250D">
              <w:rPr>
                <w:rFonts w:hint="eastAsia"/>
                <w:rtl/>
              </w:rPr>
              <w:t>اب</w:t>
            </w:r>
            <w:r w:rsidRPr="0025250D">
              <w:rPr>
                <w:rFonts w:hint="cs"/>
                <w:rtl/>
              </w:rPr>
              <w:t>ی</w:t>
            </w:r>
            <w:r w:rsidRPr="0025250D">
              <w:rPr>
                <w:rtl/>
              </w:rPr>
              <w:t xml:space="preserve"> اختلال و ر</w:t>
            </w:r>
            <w:r w:rsidRPr="0025250D">
              <w:rPr>
                <w:rFonts w:hint="cs"/>
                <w:rtl/>
              </w:rPr>
              <w:t>ی</w:t>
            </w:r>
            <w:r w:rsidRPr="0025250D">
              <w:rPr>
                <w:rFonts w:hint="eastAsia"/>
                <w:rtl/>
              </w:rPr>
              <w:t>سک؛</w:t>
            </w:r>
            <w:r w:rsidRPr="0025250D">
              <w:rPr>
                <w:rtl/>
              </w:rPr>
              <w:t xml:space="preserve"> </w:t>
            </w:r>
            <w:r w:rsidR="00D30084" w:rsidRPr="0025250D">
              <w:rPr>
                <w:rtl/>
              </w:rPr>
              <w:t>بدبینی تدافعی</w:t>
            </w:r>
          </w:p>
        </w:tc>
      </w:tr>
      <w:tr w:rsidR="00537CC8" w:rsidRPr="0025250D" w14:paraId="2B7EE49B" w14:textId="77777777" w:rsidTr="00F004A5">
        <w:trPr>
          <w:jc w:val="center"/>
        </w:trPr>
        <w:tc>
          <w:tcPr>
            <w:tcW w:w="1091" w:type="dxa"/>
          </w:tcPr>
          <w:p w14:paraId="629B8DC2" w14:textId="4B0E3EF8" w:rsidR="00537CC8" w:rsidRPr="0025250D" w:rsidRDefault="00537CC8" w:rsidP="00537CC8">
            <w:pPr>
              <w:bidi/>
              <w:spacing w:after="160"/>
              <w:rPr>
                <w:rtl/>
              </w:rPr>
            </w:pPr>
            <w:r w:rsidRPr="0025250D">
              <w:rPr>
                <w:rFonts w:hint="cs"/>
                <w:rtl/>
              </w:rPr>
              <w:t>1:4</w:t>
            </w:r>
          </w:p>
        </w:tc>
        <w:tc>
          <w:tcPr>
            <w:tcW w:w="6275" w:type="dxa"/>
          </w:tcPr>
          <w:p w14:paraId="049A38BA" w14:textId="77777777" w:rsidR="00537CC8" w:rsidRPr="0025250D" w:rsidRDefault="00537CC8" w:rsidP="00537CC8">
            <w:pPr>
              <w:bidi/>
              <w:spacing w:after="160"/>
              <w:rPr>
                <w:rtl/>
              </w:rPr>
            </w:pPr>
            <w:r w:rsidRPr="0025250D">
              <w:rPr>
                <w:rtl/>
              </w:rPr>
              <w:t>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روابط و مح</w:t>
            </w:r>
            <w:r w:rsidRPr="0025250D">
              <w:rPr>
                <w:rFonts w:hint="cs"/>
                <w:rtl/>
              </w:rPr>
              <w:t>ی</w:t>
            </w:r>
            <w:r w:rsidRPr="0025250D">
              <w:rPr>
                <w:rFonts w:hint="eastAsia"/>
                <w:rtl/>
              </w:rPr>
              <w:t>ط</w:t>
            </w:r>
            <w:r w:rsidRPr="0025250D">
              <w:rPr>
                <w:rtl/>
              </w:rPr>
              <w:t>‌های جد</w:t>
            </w:r>
            <w:r w:rsidRPr="0025250D">
              <w:rPr>
                <w:rFonts w:hint="cs"/>
                <w:rtl/>
              </w:rPr>
              <w:t>ی</w:t>
            </w:r>
            <w:r w:rsidRPr="0025250D">
              <w:rPr>
                <w:rFonts w:hint="eastAsia"/>
                <w:rtl/>
              </w:rPr>
              <w:t>د</w:t>
            </w:r>
          </w:p>
        </w:tc>
      </w:tr>
      <w:tr w:rsidR="00537CC8" w:rsidRPr="0025250D" w14:paraId="068A4167" w14:textId="77777777" w:rsidTr="00F004A5">
        <w:trPr>
          <w:jc w:val="center"/>
        </w:trPr>
        <w:tc>
          <w:tcPr>
            <w:tcW w:w="1091" w:type="dxa"/>
          </w:tcPr>
          <w:p w14:paraId="3E14C827" w14:textId="77777777" w:rsidR="00537CC8" w:rsidRPr="0025250D" w:rsidRDefault="00537CC8" w:rsidP="00537CC8">
            <w:pPr>
              <w:bidi/>
              <w:spacing w:after="160"/>
              <w:rPr>
                <w:rtl/>
              </w:rPr>
            </w:pPr>
            <w:r w:rsidRPr="0025250D">
              <w:rPr>
                <w:rFonts w:hint="cs"/>
                <w:rtl/>
              </w:rPr>
              <w:t>4:1</w:t>
            </w:r>
          </w:p>
        </w:tc>
        <w:tc>
          <w:tcPr>
            <w:tcW w:w="6275" w:type="dxa"/>
          </w:tcPr>
          <w:p w14:paraId="3E4F62B3" w14:textId="77777777" w:rsidR="00537CC8" w:rsidRPr="0025250D" w:rsidRDefault="00537CC8" w:rsidP="00537CC8">
            <w:pPr>
              <w:bidi/>
              <w:spacing w:after="160"/>
              <w:rPr>
                <w:rtl/>
              </w:rPr>
            </w:pPr>
            <w:r w:rsidRPr="0025250D">
              <w:rPr>
                <w:rFonts w:hint="cs"/>
                <w:rtl/>
              </w:rPr>
              <w:t xml:space="preserve">تولید </w:t>
            </w:r>
            <w:r w:rsidRPr="0025250D">
              <w:rPr>
                <w:rtl/>
              </w:rPr>
              <w:t xml:space="preserve">انتقاد </w:t>
            </w:r>
            <w:r w:rsidRPr="0025250D">
              <w:rPr>
                <w:rFonts w:hint="cs"/>
                <w:rtl/>
              </w:rPr>
              <w:t xml:space="preserve">و </w:t>
            </w:r>
            <w:r w:rsidRPr="0025250D">
              <w:rPr>
                <w:rtl/>
              </w:rPr>
              <w:t>مح</w:t>
            </w:r>
            <w:r w:rsidRPr="0025250D">
              <w:rPr>
                <w:rFonts w:hint="cs"/>
                <w:rtl/>
              </w:rPr>
              <w:t>ی</w:t>
            </w:r>
            <w:r w:rsidRPr="0025250D">
              <w:rPr>
                <w:rFonts w:hint="eastAsia"/>
                <w:rtl/>
              </w:rPr>
              <w:t>ط</w:t>
            </w:r>
            <w:r w:rsidRPr="0025250D">
              <w:rPr>
                <w:rtl/>
              </w:rPr>
              <w:t>‌های بحران</w:t>
            </w:r>
            <w:r w:rsidRPr="0025250D">
              <w:rPr>
                <w:rFonts w:hint="cs"/>
                <w:rtl/>
              </w:rPr>
              <w:t>ی</w:t>
            </w:r>
          </w:p>
        </w:tc>
      </w:tr>
      <w:tr w:rsidR="00537CC8" w:rsidRPr="0025250D" w14:paraId="5E752F22" w14:textId="77777777" w:rsidTr="00F004A5">
        <w:trPr>
          <w:jc w:val="center"/>
        </w:trPr>
        <w:tc>
          <w:tcPr>
            <w:tcW w:w="1091" w:type="dxa"/>
          </w:tcPr>
          <w:p w14:paraId="00FBADC4" w14:textId="7C927EEB" w:rsidR="00537CC8" w:rsidRPr="0025250D" w:rsidRDefault="00537CC8" w:rsidP="00537CC8">
            <w:pPr>
              <w:bidi/>
              <w:spacing w:after="160"/>
              <w:rPr>
                <w:rtl/>
              </w:rPr>
            </w:pPr>
            <w:r w:rsidRPr="0025250D">
              <w:rPr>
                <w:rFonts w:hint="cs"/>
                <w:rtl/>
              </w:rPr>
              <w:t>1:8</w:t>
            </w:r>
          </w:p>
        </w:tc>
        <w:tc>
          <w:tcPr>
            <w:tcW w:w="6275" w:type="dxa"/>
          </w:tcPr>
          <w:p w14:paraId="5245E529" w14:textId="31DAB366" w:rsidR="00537CC8" w:rsidRPr="0025250D" w:rsidRDefault="00B56611" w:rsidP="00537CC8">
            <w:pPr>
              <w:bidi/>
              <w:spacing w:after="160"/>
              <w:rPr>
                <w:rtl/>
              </w:rPr>
            </w:pPr>
            <w:r w:rsidRPr="0025250D">
              <w:rPr>
                <w:rtl/>
              </w:rPr>
              <w:t>چشم‌انداز</w:t>
            </w:r>
            <w:r w:rsidR="00537CC8" w:rsidRPr="0025250D">
              <w:rPr>
                <w:rFonts w:hint="cs"/>
                <w:rtl/>
              </w:rPr>
              <w:t>سازی</w:t>
            </w:r>
            <w:r w:rsidR="00537CC8" w:rsidRPr="0025250D">
              <w:rPr>
                <w:rtl/>
              </w:rPr>
              <w:t xml:space="preserve"> و فروش (مولد) و </w:t>
            </w:r>
            <w:r w:rsidR="00933C48" w:rsidRPr="0025250D">
              <w:rPr>
                <w:rFonts w:hint="cs"/>
                <w:rtl/>
              </w:rPr>
              <w:t>شیدایی</w:t>
            </w:r>
            <w:r w:rsidR="00933C48" w:rsidRPr="0025250D">
              <w:rPr>
                <w:rStyle w:val="FootnoteReference"/>
                <w:rtl/>
              </w:rPr>
              <w:footnoteReference w:id="1949"/>
            </w:r>
            <w:r w:rsidR="00537CC8" w:rsidRPr="0025250D">
              <w:rPr>
                <w:rtl/>
              </w:rPr>
              <w:t xml:space="preserve"> (ضد مولد)</w:t>
            </w:r>
          </w:p>
        </w:tc>
      </w:tr>
      <w:tr w:rsidR="00537CC8" w:rsidRPr="0025250D" w14:paraId="3168D1EC" w14:textId="77777777" w:rsidTr="00F004A5">
        <w:trPr>
          <w:jc w:val="center"/>
        </w:trPr>
        <w:tc>
          <w:tcPr>
            <w:tcW w:w="1091" w:type="dxa"/>
          </w:tcPr>
          <w:p w14:paraId="509E1D77" w14:textId="1B1BF183" w:rsidR="00537CC8" w:rsidRPr="0025250D" w:rsidRDefault="00537CC8" w:rsidP="00537CC8">
            <w:pPr>
              <w:bidi/>
              <w:spacing w:after="160"/>
              <w:rPr>
                <w:rtl/>
              </w:rPr>
            </w:pPr>
            <w:r w:rsidRPr="0025250D">
              <w:rPr>
                <w:rFonts w:hint="cs"/>
                <w:rtl/>
              </w:rPr>
              <w:t>8:1</w:t>
            </w:r>
          </w:p>
        </w:tc>
        <w:tc>
          <w:tcPr>
            <w:tcW w:w="6275" w:type="dxa"/>
          </w:tcPr>
          <w:p w14:paraId="5CDD5092" w14:textId="77777777" w:rsidR="00537CC8" w:rsidRPr="0025250D" w:rsidRDefault="00537CC8" w:rsidP="00537CC8">
            <w:pPr>
              <w:bidi/>
              <w:spacing w:after="160"/>
              <w:rPr>
                <w:rtl/>
              </w:rPr>
            </w:pPr>
            <w:r w:rsidRPr="0025250D">
              <w:rPr>
                <w:rFonts w:hint="cs"/>
                <w:rtl/>
              </w:rPr>
              <w:t>وضعیت‌های تعارض</w:t>
            </w:r>
            <w:r w:rsidRPr="0025250D">
              <w:rPr>
                <w:rtl/>
              </w:rPr>
              <w:t xml:space="preserve"> (مولد) و هراس (ضد مولد)</w:t>
            </w:r>
          </w:p>
        </w:tc>
      </w:tr>
    </w:tbl>
    <w:p w14:paraId="1D4A1F42" w14:textId="77777777" w:rsidR="00537CC8" w:rsidRPr="0025250D" w:rsidRDefault="00537CC8" w:rsidP="00537CC8">
      <w:pPr>
        <w:rPr>
          <w:rtl/>
        </w:rPr>
      </w:pPr>
    </w:p>
    <w:p w14:paraId="3F9DD642" w14:textId="1D42F9BA" w:rsidR="00537CC8" w:rsidRPr="0025250D" w:rsidRDefault="00537CC8" w:rsidP="005B1DA7">
      <w:pPr>
        <w:rPr>
          <w:rtl/>
        </w:rPr>
      </w:pPr>
      <w:r w:rsidRPr="0025250D">
        <w:rPr>
          <w:rFonts w:hint="cs"/>
          <w:rtl/>
        </w:rPr>
        <w:t xml:space="preserve">بیایید ابتدا ارزش نسبت 1:1 برای خوش بینی:بدبینی را برای </w:t>
      </w:r>
      <w:r w:rsidR="00B124DE" w:rsidRPr="0025250D">
        <w:rPr>
          <w:rFonts w:hint="cs"/>
          <w:rtl/>
        </w:rPr>
        <w:t>برنامه‌ریزی</w:t>
      </w:r>
      <w:r w:rsidRPr="0025250D">
        <w:rPr>
          <w:rFonts w:hint="cs"/>
          <w:rtl/>
        </w:rPr>
        <w:t xml:space="preserve"> </w:t>
      </w:r>
      <w:r w:rsidR="00701E03" w:rsidRPr="0025250D">
        <w:rPr>
          <w:rFonts w:hint="cs"/>
          <w:rtl/>
        </w:rPr>
        <w:t>راهبرد</w:t>
      </w:r>
      <w:r w:rsidRPr="0025250D">
        <w:rPr>
          <w:rFonts w:hint="cs"/>
          <w:rtl/>
        </w:rPr>
        <w:t xml:space="preserve"> سریع (تقابل </w:t>
      </w:r>
      <w:r w:rsidR="002B6515" w:rsidRPr="0025250D">
        <w:rPr>
          <w:rtl/>
        </w:rPr>
        <w:t>حس‌داد</w:t>
      </w:r>
      <w:r w:rsidRPr="0025250D">
        <w:rPr>
          <w:rFonts w:hint="cs"/>
          <w:rtl/>
        </w:rPr>
        <w:t>) مرور کنیم. سپس درمورد ارزش ظاهری سه مرتبه دو برابر کردن متوالی این نسبت‌ها، هم در نسبت‌های خوش بینانه</w:t>
      </w:r>
      <w:r w:rsidR="008D6F97" w:rsidRPr="0025250D">
        <w:rPr>
          <w:rtl/>
        </w:rPr>
        <w:t xml:space="preserve"> </w:t>
      </w:r>
      <w:r w:rsidRPr="0025250D">
        <w:rPr>
          <w:rtl/>
        </w:rPr>
        <w:t>(1:2</w:t>
      </w:r>
      <w:r w:rsidRPr="0025250D">
        <w:rPr>
          <w:rFonts w:hint="cs"/>
          <w:rtl/>
        </w:rPr>
        <w:t>،</w:t>
      </w:r>
      <w:r w:rsidRPr="0025250D">
        <w:rPr>
          <w:rtl/>
        </w:rPr>
        <w:t xml:space="preserve"> 1:4 </w:t>
      </w:r>
      <w:r w:rsidRPr="0025250D">
        <w:rPr>
          <w:rFonts w:hint="cs"/>
          <w:rtl/>
        </w:rPr>
        <w:t>و</w:t>
      </w:r>
      <w:r w:rsidRPr="0025250D">
        <w:rPr>
          <w:rtl/>
        </w:rPr>
        <w:t xml:space="preserve"> 1:8)</w:t>
      </w:r>
      <w:r w:rsidRPr="0025250D">
        <w:rPr>
          <w:rFonts w:hint="cs"/>
          <w:rtl/>
        </w:rPr>
        <w:t xml:space="preserve"> و هم در نسبت‌های بدبینانه (2:1، 4:1 و 8:1</w:t>
      </w:r>
      <w:r w:rsidR="005B1DA7" w:rsidRPr="0025250D">
        <w:rPr>
          <w:rFonts w:hint="cs"/>
          <w:rtl/>
        </w:rPr>
        <w:t>) د</w:t>
      </w:r>
      <w:r w:rsidRPr="0025250D">
        <w:rPr>
          <w:rFonts w:hint="cs"/>
          <w:rtl/>
        </w:rPr>
        <w:t>ر تفکر</w:t>
      </w:r>
      <w:r w:rsidRPr="0025250D">
        <w:rPr>
          <w:rtl/>
        </w:rPr>
        <w:t>آینده‌نگاری</w:t>
      </w:r>
      <w:r w:rsidRPr="0025250D">
        <w:rPr>
          <w:rFonts w:hint="cs"/>
          <w:rtl/>
        </w:rPr>
        <w:t xml:space="preserve"> صحبت خواهیم کرد</w:t>
      </w:r>
      <w:r w:rsidR="008D6F97" w:rsidRPr="0025250D">
        <w:rPr>
          <w:rtl/>
        </w:rPr>
        <w:t xml:space="preserve">؛ </w:t>
      </w:r>
      <w:r w:rsidRPr="0025250D">
        <w:rPr>
          <w:rFonts w:hint="cs"/>
          <w:rtl/>
        </w:rPr>
        <w:t xml:space="preserve">مانند هر ده دسیبل صوت، هر یک بار دو برابر کردن، یک محیط هیجانی به شدت متفاوت نسبت به محیط قبلی ایجاد می‌کند. هر آستانه جدید می‌تواند </w:t>
      </w:r>
      <w:r w:rsidR="00B124DE" w:rsidRPr="0025250D">
        <w:rPr>
          <w:rFonts w:hint="cs"/>
          <w:rtl/>
        </w:rPr>
        <w:t>انطباق‌پذیر</w:t>
      </w:r>
      <w:r w:rsidRPr="0025250D">
        <w:rPr>
          <w:rFonts w:hint="cs"/>
          <w:rtl/>
        </w:rPr>
        <w:t xml:space="preserve"> باشد یا نباشد که این امر به مناسب بودن آن برای وظیفه یا کار مورد نظر بستگی دارد.</w:t>
      </w:r>
    </w:p>
    <w:p w14:paraId="25316D0F" w14:textId="0E5376D4" w:rsidR="00537CC8" w:rsidRPr="0025250D" w:rsidRDefault="00537CC8" w:rsidP="00D53F87">
      <w:pPr>
        <w:pStyle w:val="Heading3"/>
        <w:rPr>
          <w:rtl/>
        </w:rPr>
      </w:pPr>
      <w:r w:rsidRPr="0025250D">
        <w:rPr>
          <w:rFonts w:hint="cs"/>
          <w:rtl/>
        </w:rPr>
        <w:t xml:space="preserve">نسبت 1:1: تقابل </w:t>
      </w:r>
      <w:r w:rsidR="002B6515" w:rsidRPr="0025250D">
        <w:rPr>
          <w:rtl/>
        </w:rPr>
        <w:t>حس‌داد</w:t>
      </w:r>
      <w:r w:rsidRPr="0025250D">
        <w:rPr>
          <w:rFonts w:hint="cs"/>
          <w:rtl/>
        </w:rPr>
        <w:t xml:space="preserve"> برای دقت، توانایی و پافشاری</w:t>
      </w:r>
    </w:p>
    <w:p w14:paraId="74318C12" w14:textId="1ACCE987" w:rsidR="00537CC8" w:rsidRPr="0025250D" w:rsidRDefault="007118DE" w:rsidP="00537CC8">
      <w:pPr>
        <w:rPr>
          <w:rtl/>
        </w:rPr>
      </w:pPr>
      <w:r w:rsidRPr="0025250D">
        <w:rPr>
          <w:rFonts w:hint="cs"/>
          <w:rtl/>
        </w:rPr>
        <w:t>همان‌طور</w:t>
      </w:r>
      <w:r w:rsidR="00537CC8" w:rsidRPr="0025250D">
        <w:rPr>
          <w:rFonts w:hint="cs"/>
          <w:rtl/>
        </w:rPr>
        <w:t xml:space="preserve"> که گفتیم، یکی از هیجان انگیز‌ترین یافته‌های </w:t>
      </w:r>
      <w:r w:rsidR="00537CC8" w:rsidRPr="0025250D">
        <w:rPr>
          <w:rtl/>
        </w:rPr>
        <w:t>آینده‌نگاری</w:t>
      </w:r>
      <w:r w:rsidR="00537CC8" w:rsidRPr="0025250D">
        <w:rPr>
          <w:rFonts w:hint="cs"/>
          <w:rtl/>
        </w:rPr>
        <w:t xml:space="preserve"> در سال‌های اخیر یک فرایند توازن </w:t>
      </w:r>
      <w:r w:rsidR="002B6515" w:rsidRPr="0025250D">
        <w:rPr>
          <w:rtl/>
        </w:rPr>
        <w:t>حس‌داد</w:t>
      </w:r>
      <w:r w:rsidR="00537CC8" w:rsidRPr="0025250D">
        <w:rPr>
          <w:rFonts w:hint="cs"/>
          <w:rtl/>
        </w:rPr>
        <w:t xml:space="preserve"> است که ما آن را </w:t>
      </w:r>
      <w:r w:rsidR="00537CC8" w:rsidRPr="0025250D">
        <w:rPr>
          <w:rtl/>
        </w:rPr>
        <w:t xml:space="preserve">تقابل </w:t>
      </w:r>
      <w:r w:rsidR="002B6515" w:rsidRPr="0025250D">
        <w:rPr>
          <w:rtl/>
        </w:rPr>
        <w:t>حس‌داد</w:t>
      </w:r>
      <w:r w:rsidR="00537CC8" w:rsidRPr="0025250D">
        <w:rPr>
          <w:rFonts w:hint="cs"/>
          <w:rtl/>
        </w:rPr>
        <w:t xml:space="preserve"> می‌نامیم. این فرایند شامل یک استفاده هدفمند و یک توازن تقریبا 1:1 از خوش بینی و بدبینی با این ترتیب، برای دست یابی به سطوح بهینه عملکرد در زندگی‌ها و تیم هایمان است. روانشناس </w:t>
      </w:r>
      <w:r w:rsidR="00537CC8" w:rsidRPr="0025250D">
        <w:rPr>
          <w:rtl/>
        </w:rPr>
        <w:t>گابر</w:t>
      </w:r>
      <w:r w:rsidR="00537CC8" w:rsidRPr="0025250D">
        <w:rPr>
          <w:rFonts w:hint="cs"/>
          <w:rtl/>
        </w:rPr>
        <w:t>ی</w:t>
      </w:r>
      <w:r w:rsidR="00537CC8" w:rsidRPr="0025250D">
        <w:rPr>
          <w:rFonts w:hint="eastAsia"/>
          <w:rtl/>
        </w:rPr>
        <w:t>ل</w:t>
      </w:r>
      <w:r w:rsidR="00537CC8" w:rsidRPr="0025250D">
        <w:rPr>
          <w:rtl/>
        </w:rPr>
        <w:t xml:space="preserve"> اوت</w:t>
      </w:r>
      <w:r w:rsidR="00537CC8" w:rsidRPr="0025250D">
        <w:rPr>
          <w:rFonts w:hint="cs"/>
          <w:rtl/>
        </w:rPr>
        <w:t>ی</w:t>
      </w:r>
      <w:r w:rsidR="00537CC8" w:rsidRPr="0025250D">
        <w:rPr>
          <w:rFonts w:hint="eastAsia"/>
          <w:rtl/>
        </w:rPr>
        <w:t>نگن</w:t>
      </w:r>
      <w:r w:rsidR="00537CC8" w:rsidRPr="0025250D">
        <w:rPr>
          <w:rFonts w:hint="cs"/>
          <w:rtl/>
        </w:rPr>
        <w:t xml:space="preserve"> آزمایشهای کنترل شده تصادفی متعددی درمورد اثرات تفکر آینده بر شناخت، هیجان و رفتار انجام داده است. او کار آزمایشی دشواری را برای بررسی تغییرات و انواع تفکرات خوش بینانه و بدبینانه انجام داده است.</w:t>
      </w:r>
    </w:p>
    <w:p w14:paraId="2BD79483" w14:textId="347FBE85" w:rsidR="00537CC8" w:rsidRPr="0025250D" w:rsidRDefault="00537CC8" w:rsidP="00537CC8">
      <w:pPr>
        <w:rPr>
          <w:rtl/>
        </w:rPr>
      </w:pPr>
      <w:r w:rsidRPr="0025250D">
        <w:rPr>
          <w:rtl/>
        </w:rPr>
        <w:t>اوت</w:t>
      </w:r>
      <w:r w:rsidRPr="0025250D">
        <w:rPr>
          <w:rFonts w:hint="cs"/>
          <w:rtl/>
        </w:rPr>
        <w:t>ی</w:t>
      </w:r>
      <w:r w:rsidRPr="0025250D">
        <w:rPr>
          <w:rFonts w:hint="eastAsia"/>
          <w:rtl/>
        </w:rPr>
        <w:t>نگن</w:t>
      </w:r>
      <w:r w:rsidRPr="0025250D">
        <w:rPr>
          <w:rFonts w:hint="cs"/>
          <w:rtl/>
        </w:rPr>
        <w:t xml:space="preserve"> این نتایج را در کتاب </w:t>
      </w:r>
      <w:r w:rsidRPr="0025250D">
        <w:rPr>
          <w:rtl/>
        </w:rPr>
        <w:t>بازاند</w:t>
      </w:r>
      <w:r w:rsidRPr="0025250D">
        <w:rPr>
          <w:rFonts w:hint="cs"/>
          <w:rtl/>
        </w:rPr>
        <w:t>ی</w:t>
      </w:r>
      <w:r w:rsidRPr="0025250D">
        <w:rPr>
          <w:rFonts w:hint="eastAsia"/>
          <w:rtl/>
        </w:rPr>
        <w:t>ش</w:t>
      </w:r>
      <w:r w:rsidRPr="0025250D">
        <w:rPr>
          <w:rFonts w:hint="cs"/>
          <w:rtl/>
        </w:rPr>
        <w:t>ی</w:t>
      </w:r>
      <w:r w:rsidRPr="0025250D">
        <w:rPr>
          <w:rtl/>
        </w:rPr>
        <w:t xml:space="preserve"> </w:t>
      </w:r>
      <w:r w:rsidRPr="0025250D">
        <w:rPr>
          <w:rFonts w:hint="cs"/>
          <w:rtl/>
        </w:rPr>
        <w:t xml:space="preserve">در مورد </w:t>
      </w:r>
      <w:r w:rsidRPr="0025250D">
        <w:rPr>
          <w:rtl/>
        </w:rPr>
        <w:t>مثبت اند</w:t>
      </w:r>
      <w:r w:rsidRPr="0025250D">
        <w:rPr>
          <w:rFonts w:hint="cs"/>
          <w:rtl/>
        </w:rPr>
        <w:t>ی</w:t>
      </w:r>
      <w:r w:rsidRPr="0025250D">
        <w:rPr>
          <w:rFonts w:hint="eastAsia"/>
          <w:rtl/>
        </w:rPr>
        <w:t>ش</w:t>
      </w:r>
      <w:r w:rsidR="00C76006" w:rsidRPr="0025250D">
        <w:rPr>
          <w:rFonts w:hint="cs"/>
          <w:rtl/>
        </w:rPr>
        <w:t>ی</w:t>
      </w:r>
      <w:r w:rsidRPr="0025250D">
        <w:rPr>
          <w:vertAlign w:val="superscript"/>
          <w:rtl/>
        </w:rPr>
        <w:footnoteReference w:id="1950"/>
      </w:r>
      <w:r w:rsidRPr="0025250D">
        <w:rPr>
          <w:rFonts w:hint="cs"/>
          <w:rtl/>
        </w:rPr>
        <w:t xml:space="preserve"> در سال 2015 بررسی می‌کند. او مشکلات خوش بینی و بدبینی بیش از حد، عدم تمایل به هیچ یک از این‌ها (بی تفاوتی) و ترتیب </w:t>
      </w:r>
      <w:r w:rsidR="0008779C" w:rsidRPr="0025250D">
        <w:rPr>
          <w:rFonts w:hint="cs"/>
          <w:rtl/>
        </w:rPr>
        <w:t>ایدئال</w:t>
      </w:r>
      <w:r w:rsidRPr="0025250D">
        <w:rPr>
          <w:rFonts w:hint="cs"/>
          <w:rtl/>
        </w:rPr>
        <w:t xml:space="preserve"> احساس و تفکر ما در هر فعالیتی را بررسی می‌کند. از نگاه </w:t>
      </w:r>
      <w:r w:rsidRPr="0025250D">
        <w:rPr>
          <w:rtl/>
        </w:rPr>
        <w:t>اوت</w:t>
      </w:r>
      <w:r w:rsidRPr="0025250D">
        <w:rPr>
          <w:rFonts w:hint="cs"/>
          <w:rtl/>
        </w:rPr>
        <w:t>ی</w:t>
      </w:r>
      <w:r w:rsidRPr="0025250D">
        <w:rPr>
          <w:rFonts w:hint="eastAsia"/>
          <w:rtl/>
        </w:rPr>
        <w:t>نگن</w:t>
      </w:r>
      <w:r w:rsidRPr="0025250D">
        <w:rPr>
          <w:rFonts w:hint="cs"/>
          <w:rtl/>
        </w:rPr>
        <w:t xml:space="preserve">، یک نسبت خوش بینی:بدبینی </w:t>
      </w:r>
      <w:r w:rsidR="0008779C" w:rsidRPr="0025250D">
        <w:rPr>
          <w:rFonts w:hint="cs"/>
          <w:rtl/>
        </w:rPr>
        <w:t>ایدئال</w:t>
      </w:r>
      <w:r w:rsidRPr="0025250D">
        <w:rPr>
          <w:rFonts w:hint="cs"/>
          <w:rtl/>
        </w:rPr>
        <w:t xml:space="preserve"> پیش از بسیاری از </w:t>
      </w:r>
      <w:r w:rsidR="00B124DE" w:rsidRPr="0025250D">
        <w:rPr>
          <w:rFonts w:hint="cs"/>
          <w:rtl/>
        </w:rPr>
        <w:t>برنامه‌ریزی</w:t>
      </w:r>
      <w:r w:rsidRPr="0025250D">
        <w:rPr>
          <w:rFonts w:hint="cs"/>
          <w:rtl/>
        </w:rPr>
        <w:t xml:space="preserve">‌های فعالیت‌های ما تقریبا 1:1 است. او دریافت که اگر از سوژه‌های آزمایش خواسته شود تا ابتدا خوش بین بوده و خود را در شرایط موفقیت در یک فعالیت ارزشمند و پیچیده تصور کرده و تصور کنند که چقدر احساس خوبی خواهند داشت و سپس </w:t>
      </w:r>
      <w:r w:rsidR="00C76006" w:rsidRPr="0025250D">
        <w:rPr>
          <w:rFonts w:hint="cs"/>
          <w:rtl/>
        </w:rPr>
        <w:t>بدبین</w:t>
      </w:r>
      <w:r w:rsidRPr="0025250D">
        <w:rPr>
          <w:rFonts w:hint="cs"/>
          <w:rtl/>
        </w:rPr>
        <w:t xml:space="preserve"> باشند و تقریبا زمان مشابهی را برای تصور راه‌های قابل </w:t>
      </w:r>
      <w:r w:rsidR="00D92F6E" w:rsidRPr="0025250D">
        <w:rPr>
          <w:rFonts w:hint="cs"/>
          <w:rtl/>
        </w:rPr>
        <w:t>پیش‌بین</w:t>
      </w:r>
      <w:r w:rsidRPr="0025250D">
        <w:rPr>
          <w:rFonts w:hint="cs"/>
          <w:rtl/>
        </w:rPr>
        <w:t>ی که ممکن است به شکستشان بینجامند و موانعی که باید بر آن‌ها غلبه کنند اختصاص دهند، این سوژه‌ها دائما سه کار را بهتر از هر گروه آزمایشی دیگری انجام می‌دهند:</w:t>
      </w:r>
    </w:p>
    <w:p w14:paraId="086936BE" w14:textId="31F65E12" w:rsidR="00537CC8" w:rsidRPr="0025250D" w:rsidRDefault="00537CC8" w:rsidP="00492C47">
      <w:pPr>
        <w:numPr>
          <w:ilvl w:val="0"/>
          <w:numId w:val="44"/>
        </w:numPr>
        <w:rPr>
          <w:rtl/>
        </w:rPr>
      </w:pPr>
      <w:r w:rsidRPr="0025250D">
        <w:rPr>
          <w:rFonts w:hint="cs"/>
          <w:rtl/>
        </w:rPr>
        <w:t xml:space="preserve">آن‌ها </w:t>
      </w:r>
      <w:r w:rsidRPr="0025250D">
        <w:rPr>
          <w:rtl/>
        </w:rPr>
        <w:t>آینده‌نگاری</w:t>
      </w:r>
      <w:r w:rsidRPr="0025250D">
        <w:rPr>
          <w:rFonts w:hint="cs"/>
          <w:rtl/>
        </w:rPr>
        <w:t xml:space="preserve"> بهتری دارند. آن‌ها می‌توانند بسیار دقیق‌تر (با 50 تا 100 درصد خطای </w:t>
      </w:r>
      <w:r w:rsidR="00D92F6E" w:rsidRPr="0025250D">
        <w:rPr>
          <w:rFonts w:hint="cs"/>
          <w:rtl/>
        </w:rPr>
        <w:t>پیش‌بین</w:t>
      </w:r>
      <w:r w:rsidRPr="0025250D">
        <w:rPr>
          <w:rFonts w:hint="cs"/>
          <w:rtl/>
        </w:rPr>
        <w:t>ی</w:t>
      </w:r>
      <w:r w:rsidR="00BB406C" w:rsidRPr="0025250D">
        <w:rPr>
          <w:rFonts w:hint="cs"/>
          <w:rtl/>
        </w:rPr>
        <w:t xml:space="preserve"> کم‌تر</w:t>
      </w:r>
      <w:r w:rsidRPr="0025250D">
        <w:rPr>
          <w:rFonts w:hint="cs"/>
          <w:rtl/>
        </w:rPr>
        <w:t>ی) این که چگونه این فعالیت در ساعات، روز‌ها، یا ماه‌های بعدی تکمیل</w:t>
      </w:r>
      <w:r w:rsidRPr="0025250D">
        <w:rPr>
          <w:rtl/>
        </w:rPr>
        <w:t xml:space="preserve"> </w:t>
      </w:r>
      <w:r w:rsidRPr="0025250D">
        <w:rPr>
          <w:rFonts w:hint="cs"/>
          <w:rtl/>
        </w:rPr>
        <w:t>خواهد</w:t>
      </w:r>
      <w:r w:rsidRPr="0025250D">
        <w:rPr>
          <w:rtl/>
        </w:rPr>
        <w:t xml:space="preserve"> </w:t>
      </w:r>
      <w:r w:rsidRPr="0025250D">
        <w:rPr>
          <w:rFonts w:hint="cs"/>
          <w:rtl/>
        </w:rPr>
        <w:t>شد</w:t>
      </w:r>
      <w:r w:rsidRPr="0025250D">
        <w:rPr>
          <w:rtl/>
        </w:rPr>
        <w:t xml:space="preserve"> </w:t>
      </w:r>
      <w:r w:rsidRPr="0025250D">
        <w:rPr>
          <w:rFonts w:hint="cs"/>
          <w:rtl/>
        </w:rPr>
        <w:t>را</w:t>
      </w:r>
      <w:r w:rsidRPr="0025250D">
        <w:rPr>
          <w:rtl/>
        </w:rPr>
        <w:t xml:space="preserve"> </w:t>
      </w:r>
      <w:r w:rsidR="00D92F6E" w:rsidRPr="0025250D">
        <w:rPr>
          <w:rFonts w:hint="cs"/>
          <w:rtl/>
        </w:rPr>
        <w:t>پیش‌بین</w:t>
      </w:r>
      <w:r w:rsidRPr="0025250D">
        <w:rPr>
          <w:rFonts w:hint="cs"/>
          <w:rtl/>
        </w:rPr>
        <w:t xml:space="preserve">ی کنند. یک استدلال </w:t>
      </w:r>
      <w:r w:rsidR="00923DDB" w:rsidRPr="0025250D">
        <w:rPr>
          <w:rFonts w:hint="cs"/>
          <w:rtl/>
        </w:rPr>
        <w:t>باورپذیر</w:t>
      </w:r>
      <w:r w:rsidRPr="0025250D">
        <w:rPr>
          <w:rFonts w:hint="cs"/>
          <w:rtl/>
        </w:rPr>
        <w:t xml:space="preserve"> وجود دارد (اما هنوز زیاد مبتنی بر شواهد نیست) که آن‌ها </w:t>
      </w:r>
      <w:r w:rsidR="00494325" w:rsidRPr="0025250D">
        <w:rPr>
          <w:rFonts w:hint="cs"/>
          <w:rtl/>
        </w:rPr>
        <w:t>نیز</w:t>
      </w:r>
      <w:r w:rsidRPr="0025250D">
        <w:rPr>
          <w:rFonts w:hint="cs"/>
          <w:rtl/>
        </w:rPr>
        <w:t xml:space="preserve"> </w:t>
      </w:r>
      <w:r w:rsidR="007118DE" w:rsidRPr="0025250D">
        <w:rPr>
          <w:rFonts w:hint="cs"/>
          <w:rtl/>
        </w:rPr>
        <w:t>اولویت‌بندی</w:t>
      </w:r>
      <w:r w:rsidRPr="0025250D">
        <w:rPr>
          <w:rFonts w:hint="cs"/>
          <w:rtl/>
        </w:rPr>
        <w:t xml:space="preserve"> بهتری دارند.</w:t>
      </w:r>
    </w:p>
    <w:p w14:paraId="4765BFA2" w14:textId="7BE16EA6" w:rsidR="00537CC8" w:rsidRPr="0025250D" w:rsidRDefault="00537CC8" w:rsidP="00492C47">
      <w:pPr>
        <w:numPr>
          <w:ilvl w:val="0"/>
          <w:numId w:val="44"/>
        </w:numPr>
        <w:rPr>
          <w:rtl/>
        </w:rPr>
      </w:pPr>
      <w:r w:rsidRPr="0025250D">
        <w:rPr>
          <w:rFonts w:hint="cs"/>
          <w:rtl/>
        </w:rPr>
        <w:t>آن‌ها توانایی (بهره وری) بیش‌تری دارند. آن‌ها کار‌های بیش‌تری را (بین 30 تا 150 درصد</w:t>
      </w:r>
      <w:r w:rsidR="0008779C" w:rsidRPr="0025250D">
        <w:rPr>
          <w:rFonts w:hint="cs"/>
          <w:rtl/>
        </w:rPr>
        <w:t xml:space="preserve"> بیش‌تر</w:t>
      </w:r>
      <w:r w:rsidRPr="0025250D">
        <w:rPr>
          <w:rFonts w:hint="cs"/>
          <w:rtl/>
        </w:rPr>
        <w:t>) در مدت زمان مشابه انجام خواهند داد.</w:t>
      </w:r>
    </w:p>
    <w:p w14:paraId="257594ED" w14:textId="7D2B72BF" w:rsidR="00537CC8" w:rsidRPr="0025250D" w:rsidRDefault="00537CC8" w:rsidP="00492C47">
      <w:pPr>
        <w:numPr>
          <w:ilvl w:val="0"/>
          <w:numId w:val="44"/>
        </w:numPr>
        <w:rPr>
          <w:rtl/>
        </w:rPr>
      </w:pPr>
      <w:r w:rsidRPr="0025250D">
        <w:rPr>
          <w:rFonts w:hint="cs"/>
          <w:rtl/>
        </w:rPr>
        <w:t>آن‌ها پافشاری (انگیزه) بیش‌تری برای ادامه یک فعالیت حتی در زمان وقوع موانع و عقبگرد‌ها دارند. به این دلیل که آن‌ها باور بیش‌تری به پیش‌بینی‌های خود دارند، با قاطعیت بیش‌تری برای تحقق بخشیدن به آن‌ها عمل می‌کنند.</w:t>
      </w:r>
    </w:p>
    <w:p w14:paraId="2ADF113B" w14:textId="06DDF5BD" w:rsidR="00537CC8" w:rsidRPr="0025250D" w:rsidRDefault="00537CC8" w:rsidP="00537CC8">
      <w:pPr>
        <w:rPr>
          <w:rtl/>
        </w:rPr>
      </w:pPr>
      <w:r w:rsidRPr="0025250D">
        <w:rPr>
          <w:rFonts w:hint="cs"/>
          <w:rtl/>
        </w:rPr>
        <w:t xml:space="preserve">در نظر بگیرید که این یافته برای زندگی‌های ما چقدر ارزشمند است. سوژه‌هایی که از آن‌ها خواسته شده بود قبل از انجام یک فعالیت بدبین یا خوش بین یا هیچکدام یا هر دو باشند، اما ابتدا با بدبینی آغاز کنند به شکل قابل توجهی هم در </w:t>
      </w:r>
      <w:r w:rsidR="00D92F6E" w:rsidRPr="0025250D">
        <w:rPr>
          <w:rFonts w:hint="cs"/>
          <w:rtl/>
        </w:rPr>
        <w:t>پیش‌بین</w:t>
      </w:r>
      <w:r w:rsidRPr="0025250D">
        <w:rPr>
          <w:rFonts w:hint="cs"/>
          <w:rtl/>
        </w:rPr>
        <w:t xml:space="preserve">ی رفتار خود و هم در انجام امور عملکرد بدتری داشتند. اگر توجه دقیقی به احساسات خود، قبل از تفکر در مورد هر فعالیتی داشته باشیم و زمان اندکی را ابتدا در یک شرایط خوش بینی </w:t>
      </w:r>
      <w:r w:rsidR="00701E03" w:rsidRPr="0025250D">
        <w:rPr>
          <w:rFonts w:hint="cs"/>
          <w:rtl/>
        </w:rPr>
        <w:t>راهبردی</w:t>
      </w:r>
      <w:r w:rsidRPr="0025250D">
        <w:rPr>
          <w:rFonts w:hint="cs"/>
          <w:rtl/>
        </w:rPr>
        <w:t xml:space="preserve">، با تصور مزایای دست یابی به </w:t>
      </w:r>
      <w:r w:rsidR="008F0DD8" w:rsidRPr="0025250D">
        <w:rPr>
          <w:rFonts w:hint="cs"/>
          <w:rtl/>
        </w:rPr>
        <w:t>برنامه‌ها</w:t>
      </w:r>
      <w:r w:rsidRPr="0025250D">
        <w:rPr>
          <w:rFonts w:hint="cs"/>
          <w:rtl/>
        </w:rPr>
        <w:t xml:space="preserve">یمان و سپس به طور تقریبی همان مقدار زمان را برای </w:t>
      </w:r>
      <w:r w:rsidR="00D30084" w:rsidRPr="0025250D">
        <w:rPr>
          <w:rFonts w:hint="cs"/>
          <w:rtl/>
        </w:rPr>
        <w:t>بدبینی تدافعی</w:t>
      </w:r>
      <w:r w:rsidRPr="0025250D">
        <w:rPr>
          <w:rFonts w:hint="cs"/>
          <w:rtl/>
        </w:rPr>
        <w:t xml:space="preserve"> اختصاص دهیم و همه راه‌هایی را که می‌توانند به شکست ما منجر شوند تصور کنیم، به شکل تغییر ناپذیری برنامه‌های بسیار بهتری ایجاد کرده و به اعمال </w:t>
      </w:r>
      <w:r w:rsidR="00B124DE" w:rsidRPr="0025250D">
        <w:rPr>
          <w:rFonts w:hint="cs"/>
          <w:rtl/>
        </w:rPr>
        <w:t>برنامه‌ریزی</w:t>
      </w:r>
      <w:r w:rsidRPr="0025250D">
        <w:rPr>
          <w:rFonts w:hint="cs"/>
          <w:rtl/>
        </w:rPr>
        <w:t xml:space="preserve"> شده بسیار بیش‌تری دست خواهیم یافت. همچنین انگیزه بسیار بیش‌تری برای مقاومت و پافشاری، مستقل از موانع موجود خواهیم داشت.</w:t>
      </w:r>
    </w:p>
    <w:p w14:paraId="4AA4C2B3" w14:textId="6F8365C2" w:rsidR="00537CC8" w:rsidRPr="0025250D" w:rsidRDefault="00537CC8" w:rsidP="00D53F87">
      <w:pPr>
        <w:pStyle w:val="Heading3"/>
        <w:rPr>
          <w:rtl/>
        </w:rPr>
      </w:pPr>
      <w:r w:rsidRPr="0025250D">
        <w:rPr>
          <w:rFonts w:hint="cs"/>
          <w:rtl/>
        </w:rPr>
        <w:t>نسبت‌های 2:1 و 1:2: تمایل به دیدن فرصت‌ها در مقابل تمایل به ریسک ها</w:t>
      </w:r>
    </w:p>
    <w:p w14:paraId="2DCE24B2" w14:textId="2C8C0F7B" w:rsidR="00537CC8" w:rsidRPr="0025250D" w:rsidRDefault="00537CC8" w:rsidP="00537CC8">
      <w:pPr>
        <w:rPr>
          <w:rtl/>
        </w:rPr>
      </w:pPr>
      <w:r w:rsidRPr="0025250D">
        <w:rPr>
          <w:rFonts w:hint="cs"/>
          <w:rtl/>
        </w:rPr>
        <w:t xml:space="preserve">بر خلاف </w:t>
      </w:r>
      <w:r w:rsidRPr="0025250D">
        <w:rPr>
          <w:rtl/>
        </w:rPr>
        <w:t>اوت</w:t>
      </w:r>
      <w:r w:rsidRPr="0025250D">
        <w:rPr>
          <w:rFonts w:hint="cs"/>
          <w:rtl/>
        </w:rPr>
        <w:t>ی</w:t>
      </w:r>
      <w:r w:rsidRPr="0025250D">
        <w:rPr>
          <w:rFonts w:hint="eastAsia"/>
          <w:rtl/>
        </w:rPr>
        <w:t>نگن</w:t>
      </w:r>
      <w:r w:rsidRPr="0025250D">
        <w:rPr>
          <w:rFonts w:hint="cs"/>
          <w:rtl/>
        </w:rPr>
        <w:t xml:space="preserve">، روانشناس </w:t>
      </w:r>
      <w:r w:rsidRPr="0025250D">
        <w:rPr>
          <w:rtl/>
        </w:rPr>
        <w:t>د</w:t>
      </w:r>
      <w:r w:rsidRPr="0025250D">
        <w:rPr>
          <w:rFonts w:hint="cs"/>
          <w:rtl/>
        </w:rPr>
        <w:t>ی</w:t>
      </w:r>
      <w:r w:rsidRPr="0025250D">
        <w:rPr>
          <w:rFonts w:hint="eastAsia"/>
          <w:rtl/>
        </w:rPr>
        <w:t>ل</w:t>
      </w:r>
      <w:r w:rsidRPr="0025250D">
        <w:rPr>
          <w:rFonts w:hint="cs"/>
          <w:rtl/>
        </w:rPr>
        <w:t>ی</w:t>
      </w:r>
      <w:r w:rsidRPr="0025250D">
        <w:rPr>
          <w:rFonts w:hint="eastAsia"/>
          <w:rtl/>
        </w:rPr>
        <w:t>پ</w:t>
      </w:r>
      <w:r w:rsidRPr="0025250D">
        <w:rPr>
          <w:rtl/>
        </w:rPr>
        <w:t xml:space="preserve"> جسته</w:t>
      </w:r>
      <w:r w:rsidRPr="0025250D">
        <w:rPr>
          <w:vertAlign w:val="superscript"/>
          <w:rtl/>
        </w:rPr>
        <w:footnoteReference w:id="1951"/>
      </w:r>
      <w:r w:rsidRPr="0025250D">
        <w:rPr>
          <w:rFonts w:hint="cs"/>
          <w:rtl/>
        </w:rPr>
        <w:t xml:space="preserve"> به ما می‌گوید که یک نسبت خوش بینی به بدبینی 2 به 1 می‌تواند </w:t>
      </w:r>
      <w:r w:rsidR="008F0DD8" w:rsidRPr="0025250D">
        <w:rPr>
          <w:rFonts w:hint="cs"/>
          <w:rtl/>
        </w:rPr>
        <w:t>آن‌قدر</w:t>
      </w:r>
      <w:r w:rsidRPr="0025250D">
        <w:rPr>
          <w:rFonts w:hint="cs"/>
          <w:rtl/>
        </w:rPr>
        <w:t xml:space="preserve"> </w:t>
      </w:r>
      <w:r w:rsidR="00B124DE" w:rsidRPr="0025250D">
        <w:rPr>
          <w:rFonts w:hint="cs"/>
          <w:rtl/>
        </w:rPr>
        <w:t>انطباق‌پذیر</w:t>
      </w:r>
      <w:r w:rsidRPr="0025250D">
        <w:rPr>
          <w:rFonts w:hint="cs"/>
          <w:rtl/>
        </w:rPr>
        <w:t xml:space="preserve"> باشد که یک نقطه مرجع </w:t>
      </w:r>
      <w:r w:rsidR="0008779C" w:rsidRPr="0025250D">
        <w:rPr>
          <w:rFonts w:hint="cs"/>
          <w:rtl/>
        </w:rPr>
        <w:t>ایدئال</w:t>
      </w:r>
      <w:r w:rsidRPr="0025250D">
        <w:rPr>
          <w:rFonts w:hint="cs"/>
          <w:rtl/>
        </w:rPr>
        <w:t xml:space="preserve"> برای گفتگو با خود، در بیش‌تر زمینه‌ها و شرایط زندگی باشد. ما همچنین نظر </w:t>
      </w:r>
      <w:r w:rsidRPr="0025250D">
        <w:rPr>
          <w:rtl/>
        </w:rPr>
        <w:t>جسته</w:t>
      </w:r>
      <w:r w:rsidRPr="0025250D">
        <w:rPr>
          <w:rFonts w:hint="cs"/>
          <w:rtl/>
        </w:rPr>
        <w:t xml:space="preserve"> مبنی بر این که یک نقطه خوش بینی به بدبینی 2 به 1 بازنمایی کننده </w:t>
      </w:r>
      <w:r w:rsidRPr="0025250D">
        <w:rPr>
          <w:rtl/>
        </w:rPr>
        <w:t xml:space="preserve">گفتگو با </w:t>
      </w:r>
      <w:r w:rsidRPr="0025250D">
        <w:rPr>
          <w:rFonts w:hint="cs"/>
          <w:rtl/>
        </w:rPr>
        <w:t xml:space="preserve">یک فرد با خوش بینی </w:t>
      </w:r>
      <w:r w:rsidR="00701E03" w:rsidRPr="0025250D">
        <w:rPr>
          <w:rFonts w:hint="cs"/>
          <w:rtl/>
        </w:rPr>
        <w:t>راهبردی</w:t>
      </w:r>
      <w:r w:rsidRPr="0025250D">
        <w:rPr>
          <w:rFonts w:hint="cs"/>
          <w:rtl/>
        </w:rPr>
        <w:t xml:space="preserve"> در بیش‌تر بافت‌ها است</w:t>
      </w:r>
      <w:r w:rsidR="00494325" w:rsidRPr="0025250D">
        <w:rPr>
          <w:rFonts w:hint="cs"/>
          <w:rtl/>
        </w:rPr>
        <w:t xml:space="preserve"> را</w:t>
      </w:r>
      <w:r w:rsidRPr="0025250D">
        <w:rPr>
          <w:rFonts w:hint="cs"/>
          <w:rtl/>
        </w:rPr>
        <w:t xml:space="preserve"> تفسیر می‌کنیم. به بیان دیگر در دنیای مدرن، با همه فرصت‌های آن، بیش‌تر ما باید در بیش‌تر مواقع خوش بینی </w:t>
      </w:r>
      <w:r w:rsidR="00701E03" w:rsidRPr="0025250D">
        <w:rPr>
          <w:rFonts w:hint="cs"/>
          <w:rtl/>
        </w:rPr>
        <w:t>راهبردی</w:t>
      </w:r>
      <w:r w:rsidRPr="0025250D">
        <w:rPr>
          <w:rFonts w:hint="cs"/>
          <w:rtl/>
        </w:rPr>
        <w:t xml:space="preserve"> داشته باشیم.</w:t>
      </w:r>
    </w:p>
    <w:p w14:paraId="58628812" w14:textId="6DEA498E" w:rsidR="00537CC8" w:rsidRPr="0025250D" w:rsidRDefault="00537CC8" w:rsidP="00537CC8">
      <w:pPr>
        <w:rPr>
          <w:rtl/>
        </w:rPr>
      </w:pPr>
      <w:r w:rsidRPr="0025250D">
        <w:rPr>
          <w:rFonts w:hint="cs"/>
          <w:rtl/>
        </w:rPr>
        <w:t xml:space="preserve">درمورد </w:t>
      </w:r>
      <w:r w:rsidRPr="0025250D">
        <w:t>ADOR</w:t>
      </w:r>
      <w:r w:rsidRPr="0025250D">
        <w:rPr>
          <w:rFonts w:hint="cs"/>
          <w:rtl/>
        </w:rPr>
        <w:t xml:space="preserve">، یک نقطه مرجع 1:2 ما را به سمت مزایا و فرصت‌های اطرافمان متمایل می‌کند. ما با </w:t>
      </w:r>
      <w:r w:rsidRPr="0025250D">
        <w:rPr>
          <w:rtl/>
        </w:rPr>
        <w:t>جسته</w:t>
      </w:r>
      <w:r w:rsidRPr="0025250D">
        <w:rPr>
          <w:rFonts w:hint="cs"/>
          <w:rtl/>
        </w:rPr>
        <w:t xml:space="preserve"> موافقیم که چیزی مانند نسبت </w:t>
      </w:r>
      <w:r w:rsidRPr="0025250D">
        <w:rPr>
          <w:rtl/>
        </w:rPr>
        <w:t>خوش بینی:بدبینی</w:t>
      </w:r>
      <w:r w:rsidRPr="0025250D">
        <w:rPr>
          <w:rFonts w:hint="cs"/>
          <w:rtl/>
        </w:rPr>
        <w:t xml:space="preserve"> 1:2 همان جایی است که هنگامی که هنوز به </w:t>
      </w:r>
      <w:r w:rsidR="00B124DE" w:rsidRPr="0025250D">
        <w:rPr>
          <w:rFonts w:hint="cs"/>
          <w:rtl/>
        </w:rPr>
        <w:t>برنامه‌ریزی</w:t>
      </w:r>
      <w:r w:rsidRPr="0025250D">
        <w:rPr>
          <w:rFonts w:hint="cs"/>
          <w:rtl/>
        </w:rPr>
        <w:t xml:space="preserve"> (تقابل </w:t>
      </w:r>
      <w:r w:rsidR="002B6515" w:rsidRPr="0025250D">
        <w:rPr>
          <w:rtl/>
        </w:rPr>
        <w:t>حس‌داد</w:t>
      </w:r>
      <w:r w:rsidRPr="0025250D">
        <w:rPr>
          <w:rFonts w:hint="cs"/>
          <w:rtl/>
        </w:rPr>
        <w:t>، 1:1)، ارزیابی یک عدم قطعیت (ریسک احتمالی)، آغاز چیزی جدید، پاسخ به یک بحران، یا هر تعدادی از دیگر زمینه‌های مشخصی که در چند صفحه آینده درمورد آن‌ها صحبت خواهیم کرد نپرداخته ایم، می‌خواهیم باشیم.</w:t>
      </w:r>
    </w:p>
    <w:p w14:paraId="570AF859" w14:textId="6AF0841D" w:rsidR="00537CC8" w:rsidRPr="0025250D" w:rsidRDefault="007118DE" w:rsidP="00537CC8">
      <w:pPr>
        <w:rPr>
          <w:rtl/>
        </w:rPr>
      </w:pPr>
      <w:r w:rsidRPr="0025250D">
        <w:rPr>
          <w:rFonts w:hint="cs"/>
          <w:rtl/>
        </w:rPr>
        <w:t>همان‌طور</w:t>
      </w:r>
      <w:r w:rsidR="00537CC8" w:rsidRPr="0025250D">
        <w:rPr>
          <w:rFonts w:hint="cs"/>
          <w:rtl/>
        </w:rPr>
        <w:t xml:space="preserve"> که </w:t>
      </w:r>
      <w:r w:rsidR="00537CC8" w:rsidRPr="0025250D">
        <w:rPr>
          <w:rtl/>
        </w:rPr>
        <w:t>جسته</w:t>
      </w:r>
      <w:r w:rsidR="00537CC8" w:rsidRPr="0025250D">
        <w:rPr>
          <w:rFonts w:hint="cs"/>
          <w:rtl/>
        </w:rPr>
        <w:t xml:space="preserve"> مشاهده می‌کند، چیز‌های زیادی وجود دارند که ما می‌توانیم در زندگی‌های خود آن‌ها را کنترل کنیم و فرصت‌های متعددی برای بهبود شرایط موجود ما، مستقل از این که چقدر به چالش کشیده شده ایم، وجود دارند که اگر معمولا به ازای هر یک فکر بدبینانه دفاعی دو فکر خوش بینانه </w:t>
      </w:r>
      <w:r w:rsidR="00701E03" w:rsidRPr="0025250D">
        <w:rPr>
          <w:rFonts w:hint="cs"/>
          <w:rtl/>
        </w:rPr>
        <w:t>راهبردی</w:t>
      </w:r>
      <w:r w:rsidR="00537CC8" w:rsidRPr="0025250D">
        <w:rPr>
          <w:rFonts w:hint="cs"/>
          <w:rtl/>
        </w:rPr>
        <w:t xml:space="preserve"> نداشته باشیم، درمورد افکار و اعمالی که در محدوده کنترلمان هستند، دائما راه‌های کلیدی برای بهتر کردن زندگی هایمان را از دست خواهیم داد. راه‌های بسیار متعددی وجود دارند که می‌توانیم از آن‌ها در </w:t>
      </w:r>
      <w:r w:rsidR="00537CC8" w:rsidRPr="0025250D">
        <w:rPr>
          <w:rtl/>
        </w:rPr>
        <w:t>آینده‌نگاری</w:t>
      </w:r>
      <w:r w:rsidR="00537CC8" w:rsidRPr="0025250D">
        <w:rPr>
          <w:rFonts w:hint="cs"/>
          <w:rtl/>
        </w:rPr>
        <w:t xml:space="preserve"> مقیاس کوچک، روزمره و کوتاه مدت برای پیشرفت در چیزهایی که برای ما مهم هستند استفاده کنیم.</w:t>
      </w:r>
    </w:p>
    <w:p w14:paraId="5AE6580E" w14:textId="074AA66A" w:rsidR="00537CC8" w:rsidRPr="0025250D" w:rsidRDefault="00537CC8" w:rsidP="00537CC8">
      <w:pPr>
        <w:rPr>
          <w:rtl/>
        </w:rPr>
      </w:pPr>
      <w:r w:rsidRPr="0025250D">
        <w:rPr>
          <w:rFonts w:hint="cs"/>
          <w:rtl/>
        </w:rPr>
        <w:t>این نسبت مرجع داخلی 1:2 می‌تواند همچنین آن</w:t>
      </w:r>
      <w:r w:rsidR="008D6F97" w:rsidRPr="0025250D">
        <w:rPr>
          <w:rtl/>
        </w:rPr>
        <w:t xml:space="preserve"> </w:t>
      </w:r>
      <w:r w:rsidRPr="0025250D">
        <w:rPr>
          <w:rFonts w:hint="cs"/>
          <w:rtl/>
        </w:rPr>
        <w:t xml:space="preserve">چیزی را که روانشناس </w:t>
      </w:r>
      <w:r w:rsidRPr="0025250D">
        <w:rPr>
          <w:rtl/>
        </w:rPr>
        <w:t>شل</w:t>
      </w:r>
      <w:r w:rsidRPr="0025250D">
        <w:rPr>
          <w:rFonts w:hint="cs"/>
          <w:rtl/>
        </w:rPr>
        <w:t>ی</w:t>
      </w:r>
      <w:r w:rsidRPr="0025250D">
        <w:rPr>
          <w:rtl/>
        </w:rPr>
        <w:t xml:space="preserve"> ت</w:t>
      </w:r>
      <w:r w:rsidRPr="0025250D">
        <w:rPr>
          <w:rFonts w:hint="cs"/>
          <w:rtl/>
        </w:rPr>
        <w:t>ی</w:t>
      </w:r>
      <w:r w:rsidRPr="0025250D">
        <w:rPr>
          <w:rFonts w:hint="eastAsia"/>
          <w:rtl/>
        </w:rPr>
        <w:t>لور</w:t>
      </w:r>
      <w:r w:rsidRPr="0025250D">
        <w:rPr>
          <w:vertAlign w:val="superscript"/>
          <w:rtl/>
        </w:rPr>
        <w:footnoteReference w:id="1952"/>
      </w:r>
      <w:r w:rsidRPr="0025250D">
        <w:rPr>
          <w:rFonts w:hint="cs"/>
          <w:rtl/>
        </w:rPr>
        <w:t>، در کتاب خود با عنوان توهمات مثبت</w:t>
      </w:r>
      <w:r w:rsidRPr="0025250D">
        <w:rPr>
          <w:vertAlign w:val="superscript"/>
          <w:rtl/>
        </w:rPr>
        <w:footnoteReference w:id="1953"/>
      </w:r>
      <w:r w:rsidRPr="0025250D">
        <w:rPr>
          <w:rFonts w:hint="cs"/>
          <w:rtl/>
        </w:rPr>
        <w:t xml:space="preserve"> در سال 1991، </w:t>
      </w:r>
      <w:r w:rsidR="00E402E3" w:rsidRPr="0025250D">
        <w:rPr>
          <w:rtl/>
        </w:rPr>
        <w:t>«</w:t>
      </w:r>
      <w:r w:rsidRPr="0025250D">
        <w:rPr>
          <w:rFonts w:hint="cs"/>
          <w:rtl/>
        </w:rPr>
        <w:t>خود فریبی‌های سالم</w:t>
      </w:r>
      <w:r w:rsidRPr="0025250D">
        <w:rPr>
          <w:vertAlign w:val="superscript"/>
          <w:rtl/>
        </w:rPr>
        <w:footnoteReference w:id="1954"/>
      </w:r>
      <w:r w:rsidR="00E402E3" w:rsidRPr="0025250D">
        <w:rPr>
          <w:rtl/>
        </w:rPr>
        <w:t>»</w:t>
      </w:r>
      <w:r w:rsidRPr="0025250D">
        <w:rPr>
          <w:rFonts w:hint="cs"/>
          <w:rtl/>
        </w:rPr>
        <w:t xml:space="preserve"> می‌نامد، ایجاد کند. می‌توانیم به شکل مفیدی خود را هوشمند‌تر و بهتر از آنچه واقعا هستیم تصور کنیم و اگر این کار را بیش از حد انجام ندهیم، این نوع از خود فریبی ملایم توانمند ساز خواهد بود. تنها باید مراقب باشیم که بیش از حد از این کار استفاده نکنیم که در غیر اینصورت مغرور، </w:t>
      </w:r>
      <w:r w:rsidRPr="0025250D">
        <w:rPr>
          <w:rtl/>
        </w:rPr>
        <w:t>منفعل</w:t>
      </w:r>
      <w:r w:rsidRPr="0025250D">
        <w:rPr>
          <w:rFonts w:hint="cs"/>
          <w:rtl/>
        </w:rPr>
        <w:t xml:space="preserve"> و خود فریفته خواهیم شد.</w:t>
      </w:r>
    </w:p>
    <w:p w14:paraId="51CCF63D" w14:textId="55DEE568" w:rsidR="00537CC8" w:rsidRPr="0025250D" w:rsidRDefault="00537CC8" w:rsidP="00537CC8">
      <w:pPr>
        <w:rPr>
          <w:rtl/>
        </w:rPr>
      </w:pPr>
      <w:r w:rsidRPr="0025250D">
        <w:rPr>
          <w:rFonts w:hint="cs"/>
          <w:rtl/>
        </w:rPr>
        <w:t xml:space="preserve">در مقابل، یک نسبت </w:t>
      </w:r>
      <w:r w:rsidR="00B124DE" w:rsidRPr="0025250D">
        <w:rPr>
          <w:rFonts w:hint="cs"/>
          <w:rtl/>
        </w:rPr>
        <w:t>انطباق‌پذیر</w:t>
      </w:r>
      <w:r w:rsidRPr="0025250D">
        <w:rPr>
          <w:rFonts w:hint="cs"/>
          <w:rtl/>
        </w:rPr>
        <w:t xml:space="preserve"> خوش بینی:بدبینی 2:1، با توجه به </w:t>
      </w:r>
      <w:r w:rsidRPr="0025250D">
        <w:t>ADOR</w:t>
      </w:r>
      <w:r w:rsidRPr="0025250D">
        <w:rPr>
          <w:rFonts w:hint="cs"/>
          <w:rtl/>
        </w:rPr>
        <w:t xml:space="preserve">، می‌تواند به‌عنوان مجموعه‌ای از نقاط مرجع افراد با </w:t>
      </w:r>
      <w:r w:rsidR="00D30084" w:rsidRPr="0025250D">
        <w:rPr>
          <w:rFonts w:hint="cs"/>
          <w:rtl/>
        </w:rPr>
        <w:t>بدبینی تدافعی</w:t>
      </w:r>
      <w:r w:rsidRPr="0025250D">
        <w:rPr>
          <w:rFonts w:hint="cs"/>
          <w:rtl/>
        </w:rPr>
        <w:t xml:space="preserve"> تعریف شود. چنین نسبتی ما را دو برابر بیش‌تر، از نظر زمان و اولویت‌های اختصاص</w:t>
      </w:r>
      <w:r w:rsidRPr="0025250D">
        <w:rPr>
          <w:rtl/>
        </w:rPr>
        <w:t xml:space="preserve"> </w:t>
      </w:r>
      <w:r w:rsidRPr="0025250D">
        <w:rPr>
          <w:rFonts w:hint="cs"/>
          <w:rtl/>
        </w:rPr>
        <w:t>یافته</w:t>
      </w:r>
      <w:r w:rsidRPr="0025250D">
        <w:rPr>
          <w:rtl/>
        </w:rPr>
        <w:t xml:space="preserve"> </w:t>
      </w:r>
      <w:r w:rsidRPr="0025250D">
        <w:rPr>
          <w:rFonts w:hint="cs"/>
          <w:rtl/>
        </w:rPr>
        <w:t>در</w:t>
      </w:r>
      <w:r w:rsidRPr="0025250D">
        <w:rPr>
          <w:rtl/>
        </w:rPr>
        <w:t xml:space="preserve"> </w:t>
      </w:r>
      <w:r w:rsidRPr="0025250D">
        <w:rPr>
          <w:rFonts w:hint="cs"/>
          <w:rtl/>
        </w:rPr>
        <w:t>ذهن، به ریسک‌ها و اختلالات و تحولات اطراف ما متمایل می‌سازد. در افراد مسن‌تر، مطالعات نشان داده اند که افراد بدبین دفاعی، تقریبا 10 درصد طولانی‌تر از افراد خوش بین زندگی می‌کنند. آن‌ها بیش‌تر احتیاط می‌کنند و زندگی‌هایی با هرج و مرج کم‌تر دارند. روانشناسان سازمانی نیز به ما می‌گویند که داشتن برخی افراد بدبین دفاعی در تیم به شدت برای پیش تصور و اجتناب از مشکلات مؤثر است.</w:t>
      </w:r>
    </w:p>
    <w:p w14:paraId="3F0F643E" w14:textId="6757561A" w:rsidR="00537CC8" w:rsidRPr="0025250D" w:rsidRDefault="00537CC8" w:rsidP="00537CC8">
      <w:pPr>
        <w:rPr>
          <w:rtl/>
        </w:rPr>
      </w:pPr>
      <w:r w:rsidRPr="0025250D">
        <w:rPr>
          <w:rFonts w:hint="cs"/>
          <w:rtl/>
        </w:rPr>
        <w:t xml:space="preserve">به شکل منظمی، با مکان‌هایی روبرو خواهیم شد که در آن‌ها مطمئن نیستیم که ریسک‌ها در کجا هستند یا در کجا باید تحولات و اختلالات را بررسی و ارزیابی </w:t>
      </w:r>
      <w:r w:rsidR="006F3070" w:rsidRPr="0025250D">
        <w:rPr>
          <w:rFonts w:hint="cs"/>
          <w:rtl/>
        </w:rPr>
        <w:t>نماییم</w:t>
      </w:r>
      <w:r w:rsidRPr="0025250D">
        <w:rPr>
          <w:rFonts w:hint="cs"/>
          <w:rtl/>
        </w:rPr>
        <w:t>. در آن شرایط، دو برابر بدبین بودن موقتی نسبت به خوش بینی</w:t>
      </w:r>
      <w:r w:rsidR="008D6F97" w:rsidRPr="0025250D">
        <w:rPr>
          <w:rtl/>
        </w:rPr>
        <w:t xml:space="preserve"> </w:t>
      </w:r>
      <w:r w:rsidRPr="0025250D">
        <w:rPr>
          <w:rFonts w:hint="cs"/>
          <w:rtl/>
        </w:rPr>
        <w:t xml:space="preserve">تا زمانی که یک ارزیابی از ریسک‌ها و اختلالات احتمالی </w:t>
      </w:r>
      <w:r w:rsidR="006F3070" w:rsidRPr="0025250D">
        <w:rPr>
          <w:rFonts w:hint="cs"/>
          <w:rtl/>
        </w:rPr>
        <w:t>بدست آوریم</w:t>
      </w:r>
      <w:r w:rsidRPr="0025250D">
        <w:rPr>
          <w:rFonts w:hint="cs"/>
          <w:rtl/>
        </w:rPr>
        <w:t xml:space="preserve"> و با بهبود تفکر، وضعیت آمادگی یا محیطمان </w:t>
      </w:r>
      <w:r w:rsidR="006F3070" w:rsidRPr="0025250D">
        <w:rPr>
          <w:rFonts w:hint="cs"/>
          <w:rtl/>
        </w:rPr>
        <w:t xml:space="preserve">بتوانیم به آن‌ها </w:t>
      </w:r>
      <w:r w:rsidRPr="0025250D">
        <w:rPr>
          <w:rFonts w:hint="cs"/>
          <w:rtl/>
        </w:rPr>
        <w:t xml:space="preserve">پاسخ داده </w:t>
      </w:r>
      <w:r w:rsidR="006F3070" w:rsidRPr="0025250D">
        <w:rPr>
          <w:rFonts w:hint="cs"/>
          <w:rtl/>
        </w:rPr>
        <w:t>بدهیم</w:t>
      </w:r>
      <w:r w:rsidRPr="0025250D">
        <w:rPr>
          <w:rFonts w:hint="cs"/>
          <w:rtl/>
        </w:rPr>
        <w:t>، منطقی به نظر می‌رسد.</w:t>
      </w:r>
    </w:p>
    <w:p w14:paraId="4C856F72" w14:textId="6ECAA02B" w:rsidR="00537CC8" w:rsidRPr="0025250D" w:rsidRDefault="00537CC8" w:rsidP="00537CC8">
      <w:pPr>
        <w:rPr>
          <w:rtl/>
        </w:rPr>
      </w:pPr>
      <w:r w:rsidRPr="0025250D">
        <w:rPr>
          <w:rFonts w:hint="cs"/>
          <w:rtl/>
        </w:rPr>
        <w:t xml:space="preserve">وقتی ما تفکر دفاعی نداشته باشیم، باقی ماندن در یک نسبت </w:t>
      </w:r>
      <w:r w:rsidRPr="0025250D">
        <w:rPr>
          <w:rtl/>
        </w:rPr>
        <w:t>خوش بینی:بدبینی</w:t>
      </w:r>
      <w:r w:rsidRPr="0025250D">
        <w:rPr>
          <w:rFonts w:hint="cs"/>
          <w:rtl/>
        </w:rPr>
        <w:t xml:space="preserve"> 2:1</w:t>
      </w:r>
      <w:r w:rsidR="008D6F97" w:rsidRPr="0025250D">
        <w:t xml:space="preserve"> </w:t>
      </w:r>
      <w:r w:rsidRPr="0025250D">
        <w:rPr>
          <w:rFonts w:hint="cs"/>
          <w:rtl/>
        </w:rPr>
        <w:t xml:space="preserve">ممکن است </w:t>
      </w:r>
      <w:r w:rsidR="00B124DE" w:rsidRPr="0025250D">
        <w:rPr>
          <w:rFonts w:hint="cs"/>
          <w:rtl/>
        </w:rPr>
        <w:t>انطباق‌پذیر</w:t>
      </w:r>
      <w:r w:rsidRPr="0025250D">
        <w:rPr>
          <w:rFonts w:hint="cs"/>
          <w:rtl/>
        </w:rPr>
        <w:t xml:space="preserve">ی خوبی نداشته باشد. اگر به شکل غیر قابل تمایزی بدبین باشیم، </w:t>
      </w:r>
      <w:r w:rsidR="006F3070" w:rsidRPr="0025250D">
        <w:rPr>
          <w:rFonts w:hint="cs"/>
          <w:rtl/>
        </w:rPr>
        <w:t>ممکن است</w:t>
      </w:r>
      <w:r w:rsidRPr="0025250D">
        <w:rPr>
          <w:rFonts w:hint="cs"/>
          <w:rtl/>
        </w:rPr>
        <w:t xml:space="preserve"> در یک زندان ذهنی منفی از افکار خودمان گرفتار شویم. ممکن است به </w:t>
      </w:r>
      <w:r w:rsidR="00E402E3" w:rsidRPr="0025250D">
        <w:rPr>
          <w:rtl/>
        </w:rPr>
        <w:t>«</w:t>
      </w:r>
      <w:r w:rsidRPr="0025250D">
        <w:rPr>
          <w:rFonts w:hint="cs"/>
          <w:rtl/>
        </w:rPr>
        <w:t>افراد بدبین توضیحی</w:t>
      </w:r>
      <w:r w:rsidRPr="0025250D">
        <w:rPr>
          <w:vertAlign w:val="superscript"/>
          <w:rtl/>
        </w:rPr>
        <w:footnoteReference w:id="1955"/>
      </w:r>
      <w:r w:rsidR="00E402E3" w:rsidRPr="0025250D">
        <w:rPr>
          <w:rtl/>
        </w:rPr>
        <w:t>»</w:t>
      </w:r>
      <w:r w:rsidRPr="0025250D">
        <w:rPr>
          <w:rFonts w:hint="cs"/>
          <w:rtl/>
        </w:rPr>
        <w:t xml:space="preserve"> تبدیل شده و در هر چیزی، به‌عنوان اولین پاسخ، فقط جنبه‌های منفی را ببینیم. ما دیدن همه مسیر‌های منفی اطراف خود را متوقف می‌کنیم. به بیان دیگر، حتی کسانی که ذاتا بدبین دفاعی هستند باید بتوانند بر حسب شرایط، به دیگر نسبت‌ها تغییر رویه دهند.</w:t>
      </w:r>
    </w:p>
    <w:p w14:paraId="361148D9" w14:textId="5773FC0B" w:rsidR="00537CC8" w:rsidRPr="0025250D" w:rsidRDefault="00537CC8" w:rsidP="00D53F87">
      <w:pPr>
        <w:pStyle w:val="Heading3"/>
        <w:rPr>
          <w:rtl/>
        </w:rPr>
      </w:pPr>
      <w:r w:rsidRPr="0025250D">
        <w:rPr>
          <w:rFonts w:hint="cs"/>
          <w:rtl/>
        </w:rPr>
        <w:t xml:space="preserve">نسبت‌های </w:t>
      </w:r>
      <w:r w:rsidRPr="0025250D">
        <w:rPr>
          <w:rtl/>
        </w:rPr>
        <w:t>خوش بینی:بدبینی</w:t>
      </w:r>
      <w:r w:rsidRPr="0025250D">
        <w:rPr>
          <w:rFonts w:hint="cs"/>
          <w:rtl/>
        </w:rPr>
        <w:t xml:space="preserve"> 4:1 و 1:4: </w:t>
      </w:r>
      <w:r w:rsidR="0008779C" w:rsidRPr="0025250D">
        <w:rPr>
          <w:rFonts w:hint="cs"/>
          <w:rtl/>
        </w:rPr>
        <w:t>ارتباط‌دهی</w:t>
      </w:r>
      <w:r w:rsidRPr="0025250D">
        <w:rPr>
          <w:rFonts w:hint="cs"/>
          <w:rtl/>
        </w:rPr>
        <w:t xml:space="preserve"> و تازگی در مقابل انتقاد و بحران ها</w:t>
      </w:r>
    </w:p>
    <w:p w14:paraId="50247DE7" w14:textId="6E6F80AA" w:rsidR="00537CC8" w:rsidRPr="0025250D" w:rsidRDefault="00537CC8" w:rsidP="00537CC8">
      <w:pPr>
        <w:rPr>
          <w:rtl/>
        </w:rPr>
      </w:pPr>
      <w:r w:rsidRPr="0025250D">
        <w:rPr>
          <w:rFonts w:hint="cs"/>
          <w:rtl/>
        </w:rPr>
        <w:t xml:space="preserve">دو برابر کردن مجدد خوش بینی در نسبت‌های </w:t>
      </w:r>
      <w:r w:rsidR="002B6515" w:rsidRPr="0025250D">
        <w:rPr>
          <w:rtl/>
        </w:rPr>
        <w:t>حس‌داد</w:t>
      </w:r>
      <w:r w:rsidRPr="0025250D">
        <w:rPr>
          <w:rFonts w:hint="cs"/>
          <w:rtl/>
        </w:rPr>
        <w:t xml:space="preserve"> (1:4) به شدت در حداقل دو بافت مفید است. اول، ما به آن برای مدیریت روابط (ارتباط یافتن با دیگران و رهبری و مدیریت دیگران) و برای نقاط جدید (وقتی با ابزارها، قوانین، یا شرایط جدید مواجه می‌شویم) نیاز داریم. دو برابر کردن مجدد بدبینی (4:1) در بحران‌ها (آسیب و اختلات واقعی) و برای ارزیابی انتقاد (تهدیدی برای غرور ما)، در گام بازبینی حلقه انجام بسیار مفید به نظر می‌رسد.</w:t>
      </w:r>
    </w:p>
    <w:p w14:paraId="22FEF54A" w14:textId="19848B08" w:rsidR="00537CC8" w:rsidRPr="0025250D" w:rsidRDefault="00537CC8" w:rsidP="00537CC8">
      <w:pPr>
        <w:rPr>
          <w:rtl/>
        </w:rPr>
      </w:pPr>
      <w:r w:rsidRPr="0025250D">
        <w:rPr>
          <w:rFonts w:hint="cs"/>
          <w:rtl/>
        </w:rPr>
        <w:t xml:space="preserve">نظریه نسبت </w:t>
      </w:r>
      <w:r w:rsidRPr="0025250D">
        <w:rPr>
          <w:rtl/>
        </w:rPr>
        <w:t>خوش بینی:بدبینی</w:t>
      </w:r>
      <w:r w:rsidRPr="0025250D">
        <w:rPr>
          <w:rFonts w:hint="cs"/>
          <w:rtl/>
        </w:rPr>
        <w:t xml:space="preserve"> </w:t>
      </w:r>
      <w:r w:rsidR="006F3070" w:rsidRPr="0025250D">
        <w:rPr>
          <w:rFonts w:hint="cs"/>
          <w:rtl/>
        </w:rPr>
        <w:t>1:4</w:t>
      </w:r>
      <w:r w:rsidRPr="0025250D">
        <w:rPr>
          <w:rFonts w:hint="cs"/>
          <w:rtl/>
        </w:rPr>
        <w:t xml:space="preserve"> برای روابط در مطالعه روانشناس</w:t>
      </w:r>
      <w:r w:rsidR="008D6F97" w:rsidRPr="0025250D">
        <w:rPr>
          <w:rtl/>
        </w:rPr>
        <w:t xml:space="preserve"> </w:t>
      </w:r>
      <w:r w:rsidRPr="0025250D">
        <w:rPr>
          <w:rtl/>
        </w:rPr>
        <w:t>جان گاتمن</w:t>
      </w:r>
      <w:r w:rsidRPr="0025250D">
        <w:rPr>
          <w:vertAlign w:val="superscript"/>
          <w:rtl/>
        </w:rPr>
        <w:footnoteReference w:id="1956"/>
      </w:r>
      <w:r w:rsidRPr="0025250D">
        <w:rPr>
          <w:rFonts w:hint="cs"/>
          <w:rtl/>
        </w:rPr>
        <w:t xml:space="preserve"> یافت می‌شود. او یک نسبت </w:t>
      </w:r>
      <w:r w:rsidR="0008779C" w:rsidRPr="0025250D">
        <w:rPr>
          <w:rFonts w:hint="cs"/>
          <w:rtl/>
        </w:rPr>
        <w:t>ایدئال</w:t>
      </w:r>
      <w:r w:rsidRPr="0025250D">
        <w:rPr>
          <w:rFonts w:hint="cs"/>
          <w:rtl/>
        </w:rPr>
        <w:t xml:space="preserve"> گفتمان مثبت و منفی را برای ایجاد یک ازدواج پایدار قابل </w:t>
      </w:r>
      <w:r w:rsidR="00D92F6E" w:rsidRPr="0025250D">
        <w:rPr>
          <w:rFonts w:hint="cs"/>
          <w:rtl/>
        </w:rPr>
        <w:t>پیش‌بین</w:t>
      </w:r>
      <w:r w:rsidRPr="0025250D">
        <w:rPr>
          <w:rFonts w:hint="cs"/>
          <w:rtl/>
        </w:rPr>
        <w:t xml:space="preserve">ی پیشنهاد کرد. کار تجربی او یک نسبت 1:5 را به‌عنوان نسبت </w:t>
      </w:r>
      <w:r w:rsidR="0008779C" w:rsidRPr="0025250D">
        <w:rPr>
          <w:rFonts w:hint="cs"/>
          <w:rtl/>
        </w:rPr>
        <w:t>ایدئال</w:t>
      </w:r>
      <w:r w:rsidRPr="0025250D">
        <w:rPr>
          <w:rFonts w:hint="cs"/>
          <w:rtl/>
        </w:rPr>
        <w:t xml:space="preserve"> یافت که به‌اندازه کافی به نسبت </w:t>
      </w:r>
      <w:r w:rsidR="006F3070" w:rsidRPr="0025250D">
        <w:rPr>
          <w:rFonts w:hint="cs"/>
          <w:rtl/>
        </w:rPr>
        <w:t>1:4</w:t>
      </w:r>
      <w:r w:rsidRPr="0025250D">
        <w:rPr>
          <w:rFonts w:hint="cs"/>
          <w:rtl/>
        </w:rPr>
        <w:t xml:space="preserve"> ما نزدیک است که ما مطالعه او را در همین دسته قرار می‌دهیم. از نظر </w:t>
      </w:r>
      <w:r w:rsidRPr="0025250D">
        <w:rPr>
          <w:rtl/>
        </w:rPr>
        <w:t>گاتمن</w:t>
      </w:r>
      <w:r w:rsidRPr="0025250D">
        <w:rPr>
          <w:rFonts w:hint="cs"/>
          <w:rtl/>
        </w:rPr>
        <w:t>، شریک زندگی ما باید تقریبا 5 برابر بیش‌تر از بدبینی، منبعی از خوش بینی در تفکر و گفتمان باشد.</w:t>
      </w:r>
    </w:p>
    <w:p w14:paraId="2A14E0B7" w14:textId="5B4EBD1B" w:rsidR="00537CC8" w:rsidRPr="0025250D" w:rsidRDefault="00537CC8" w:rsidP="00537CC8">
      <w:pPr>
        <w:rPr>
          <w:rtl/>
        </w:rPr>
      </w:pPr>
      <w:r w:rsidRPr="0025250D">
        <w:rPr>
          <w:rFonts w:hint="cs"/>
          <w:rtl/>
        </w:rPr>
        <w:t xml:space="preserve">ما </w:t>
      </w:r>
      <w:r w:rsidR="00D92F6E" w:rsidRPr="0025250D">
        <w:rPr>
          <w:rFonts w:hint="cs"/>
          <w:rtl/>
        </w:rPr>
        <w:t>پیش‌بین</w:t>
      </w:r>
      <w:r w:rsidRPr="0025250D">
        <w:rPr>
          <w:rFonts w:hint="cs"/>
          <w:rtl/>
        </w:rPr>
        <w:t xml:space="preserve">ی می‌کنیم که مدلی از یک ازدواج </w:t>
      </w:r>
      <w:r w:rsidR="00B124DE" w:rsidRPr="0025250D">
        <w:rPr>
          <w:rFonts w:hint="cs"/>
          <w:rtl/>
        </w:rPr>
        <w:t>انطباق‌پذیر</w:t>
      </w:r>
      <w:r w:rsidRPr="0025250D">
        <w:rPr>
          <w:rFonts w:hint="cs"/>
          <w:rtl/>
        </w:rPr>
        <w:t xml:space="preserve">، در مقابل یک ازدواج پایدار (آنچه </w:t>
      </w:r>
      <w:r w:rsidRPr="0025250D">
        <w:rPr>
          <w:rtl/>
        </w:rPr>
        <w:t>گاتمن</w:t>
      </w:r>
      <w:r w:rsidRPr="0025250D">
        <w:rPr>
          <w:rFonts w:hint="cs"/>
          <w:rtl/>
        </w:rPr>
        <w:t xml:space="preserve"> ممکن است در حال اندازه‌گیری آن بوده باشد)، چیزی نزدیک‌تر به یک نسبت </w:t>
      </w:r>
      <w:r w:rsidRPr="0025250D">
        <w:rPr>
          <w:rtl/>
        </w:rPr>
        <w:t>خوش بینی:بدبینی</w:t>
      </w:r>
      <w:r w:rsidRPr="0025250D">
        <w:rPr>
          <w:rFonts w:hint="cs"/>
          <w:rtl/>
        </w:rPr>
        <w:t xml:space="preserve"> 1:4 به ما خواهد داد. بسیاری از ازدواج‌ها تنها برای هدف پایداری در تعادل و پایداری نگهداشته می‌شوند، نه برای مزیت </w:t>
      </w:r>
      <w:r w:rsidR="00B124DE" w:rsidRPr="0025250D">
        <w:rPr>
          <w:rFonts w:hint="cs"/>
          <w:rtl/>
        </w:rPr>
        <w:t>انطباق‌پذیر</w:t>
      </w:r>
      <w:r w:rsidRPr="0025250D">
        <w:rPr>
          <w:rFonts w:hint="cs"/>
          <w:rtl/>
        </w:rPr>
        <w:t>ی هر دو نفر. از دید ما، باید همگی به دنبال این باشیم که بیش‌ترین انتقادات ممکن را به همراه بیش‌ترین دلسوزی و آداب و اخلاق ممکن</w:t>
      </w:r>
      <w:r w:rsidR="008D6F97" w:rsidRPr="0025250D">
        <w:rPr>
          <w:rtl/>
        </w:rPr>
        <w:t xml:space="preserve"> </w:t>
      </w:r>
      <w:r w:rsidRPr="0025250D">
        <w:rPr>
          <w:rFonts w:hint="cs"/>
          <w:rtl/>
        </w:rPr>
        <w:t xml:space="preserve">تا سر حد تحمل، برای </w:t>
      </w:r>
      <w:r w:rsidR="00B124DE" w:rsidRPr="0025250D">
        <w:rPr>
          <w:rFonts w:hint="cs"/>
          <w:rtl/>
        </w:rPr>
        <w:t>انطباق‌پذیر</w:t>
      </w:r>
      <w:r w:rsidRPr="0025250D">
        <w:rPr>
          <w:rFonts w:hint="cs"/>
          <w:rtl/>
        </w:rPr>
        <w:t>ی داشته باشیم. پیشنهاد می‌کنیم که این کار احتمالا چیزی نزدیک‌تر به نسبت 1:4 باشد تا نسبت 1:5. در پشتیبانی از دیدگاه ما، قدرت بدی: اثر منفی بودن چگونه بر ما مسلط می‌شود و چگونه می‌توانیم بر آن مسلط شویم</w:t>
      </w:r>
      <w:r w:rsidRPr="0025250D">
        <w:rPr>
          <w:vertAlign w:val="superscript"/>
          <w:rtl/>
        </w:rPr>
        <w:footnoteReference w:id="1957"/>
      </w:r>
      <w:r w:rsidRPr="0025250D">
        <w:rPr>
          <w:rFonts w:hint="cs"/>
          <w:rtl/>
        </w:rPr>
        <w:t xml:space="preserve"> اثر </w:t>
      </w:r>
      <w:r w:rsidRPr="0025250D">
        <w:rPr>
          <w:rtl/>
        </w:rPr>
        <w:t>ت</w:t>
      </w:r>
      <w:r w:rsidRPr="0025250D">
        <w:rPr>
          <w:rFonts w:hint="cs"/>
          <w:rtl/>
        </w:rPr>
        <w:t>ی</w:t>
      </w:r>
      <w:r w:rsidRPr="0025250D">
        <w:rPr>
          <w:rFonts w:hint="eastAsia"/>
          <w:rtl/>
        </w:rPr>
        <w:t>رن</w:t>
      </w:r>
      <w:r w:rsidRPr="0025250D">
        <w:rPr>
          <w:rFonts w:hint="cs"/>
          <w:rtl/>
        </w:rPr>
        <w:t>ی</w:t>
      </w:r>
      <w:r w:rsidRPr="0025250D">
        <w:rPr>
          <w:vertAlign w:val="superscript"/>
          <w:rtl/>
        </w:rPr>
        <w:footnoteReference w:id="1958"/>
      </w:r>
      <w:r w:rsidRPr="0025250D">
        <w:rPr>
          <w:rFonts w:hint="cs"/>
          <w:rtl/>
        </w:rPr>
        <w:t xml:space="preserve"> و </w:t>
      </w:r>
      <w:r w:rsidRPr="0025250D">
        <w:rPr>
          <w:rtl/>
        </w:rPr>
        <w:t>بائرما</w:t>
      </w:r>
      <w:r w:rsidRPr="0025250D">
        <w:rPr>
          <w:rFonts w:hint="cs"/>
          <w:rtl/>
        </w:rPr>
        <w:t>ی</w:t>
      </w:r>
      <w:r w:rsidRPr="0025250D">
        <w:rPr>
          <w:rFonts w:hint="eastAsia"/>
          <w:rtl/>
        </w:rPr>
        <w:t>ستر</w:t>
      </w:r>
      <w:r w:rsidRPr="0025250D">
        <w:rPr>
          <w:vertAlign w:val="superscript"/>
          <w:rtl/>
        </w:rPr>
        <w:footnoteReference w:id="1959"/>
      </w:r>
      <w:r w:rsidRPr="0025250D">
        <w:rPr>
          <w:rFonts w:hint="cs"/>
          <w:rtl/>
        </w:rPr>
        <w:t xml:space="preserve"> در سال 2010 نسبت </w:t>
      </w:r>
      <w:r w:rsidRPr="0025250D">
        <w:rPr>
          <w:rtl/>
        </w:rPr>
        <w:t>خوش بینی:بدبینی</w:t>
      </w:r>
      <w:r w:rsidRPr="0025250D">
        <w:rPr>
          <w:rFonts w:hint="cs"/>
          <w:rtl/>
        </w:rPr>
        <w:t xml:space="preserve"> 1:4 را به‌عنوان یک قاعده سرانگشتی پیشنهاد می‌کند،</w:t>
      </w:r>
      <w:r w:rsidR="00E402E3" w:rsidRPr="0025250D">
        <w:rPr>
          <w:rtl/>
        </w:rPr>
        <w:t>«</w:t>
      </w:r>
      <w:r w:rsidRPr="0025250D">
        <w:rPr>
          <w:rFonts w:hint="cs"/>
          <w:rtl/>
        </w:rPr>
        <w:t>برای غلبه بر یک چیز بد به چهار چیز خوب نیاز است</w:t>
      </w:r>
      <w:r w:rsidR="00E402E3" w:rsidRPr="0025250D">
        <w:rPr>
          <w:rtl/>
        </w:rPr>
        <w:t>»</w:t>
      </w:r>
      <w:r w:rsidRPr="0025250D">
        <w:rPr>
          <w:rFonts w:hint="cs"/>
          <w:rtl/>
        </w:rPr>
        <w:t>.</w:t>
      </w:r>
    </w:p>
    <w:p w14:paraId="7DFD953B" w14:textId="76B98E32" w:rsidR="00537CC8" w:rsidRPr="0025250D" w:rsidRDefault="00537CC8" w:rsidP="00537CC8">
      <w:pPr>
        <w:rPr>
          <w:rtl/>
        </w:rPr>
      </w:pPr>
      <w:r w:rsidRPr="0025250D">
        <w:rPr>
          <w:rFonts w:hint="cs"/>
          <w:rtl/>
        </w:rPr>
        <w:t xml:space="preserve">بنابراین، حتی اگر ذاتا خوش بین </w:t>
      </w:r>
      <w:r w:rsidR="00701E03" w:rsidRPr="0025250D">
        <w:rPr>
          <w:rFonts w:hint="cs"/>
          <w:rtl/>
        </w:rPr>
        <w:t>راهبردی</w:t>
      </w:r>
      <w:r w:rsidRPr="0025250D">
        <w:rPr>
          <w:rFonts w:hint="cs"/>
          <w:rtl/>
        </w:rPr>
        <w:t xml:space="preserve"> باشیم که یک رابطه </w:t>
      </w:r>
      <w:r w:rsidR="00B124DE" w:rsidRPr="0025250D">
        <w:rPr>
          <w:rFonts w:hint="cs"/>
          <w:rtl/>
        </w:rPr>
        <w:t>انطباق‌پذیر</w:t>
      </w:r>
      <w:r w:rsidRPr="0025250D">
        <w:rPr>
          <w:rFonts w:hint="cs"/>
          <w:rtl/>
        </w:rPr>
        <w:t xml:space="preserve"> از نظر هیجانی را با شریک زندگی خود، فرزندانمان، هم تیمی هایمان و همسایگانمان حفظ می‌کنیم، نیاز خواهیم داشت تا افکار منفی درونی خود را حداقل دو برابر میزانی که آن‌ها را به زبان می‌آوریم کنترل کنیم. به مرور زمان، ممکن است حتی بتوانیم در تفکر درمورد دیگران با این نسبت 4:1 فکر کنیم، حتی اگر خودمان (در صحبت عادی با خود) با نسبت 2:1 فکر می‌کنیم. ممکن است این طرز تفکر برای ما، در این بافت، خودکار شود و بنابراین از بیان موارد آزار دهنده یا انتقادی غیر ضروری جلوگیری کند.</w:t>
      </w:r>
    </w:p>
    <w:p w14:paraId="045306F4" w14:textId="479108C1" w:rsidR="00537CC8" w:rsidRPr="0025250D" w:rsidRDefault="00537CC8" w:rsidP="00537CC8">
      <w:pPr>
        <w:rPr>
          <w:rtl/>
        </w:rPr>
      </w:pPr>
      <w:r w:rsidRPr="0025250D">
        <w:rPr>
          <w:rFonts w:hint="cs"/>
          <w:rtl/>
        </w:rPr>
        <w:t>در مقابل، اگر ما به طور طبیعی واقع بین باشیم، باید احتمالا تلاش کنیم تا چهار برابر با دیگران خوش بین‌تر از میزانی باشیم که نسبت به خودمان تمایل به خوش بینی داریم. اگر بدبین دفاعی هستیم، باید تلاش کنیم تا هشت برابر در تفکر و گفتگو با دیگران خوش بین‌تر باشیم.</w:t>
      </w:r>
      <w:r w:rsidR="008D6F97" w:rsidRPr="0025250D">
        <w:rPr>
          <w:rtl/>
        </w:rPr>
        <w:t xml:space="preserve"> </w:t>
      </w:r>
      <w:r w:rsidRPr="0025250D">
        <w:rPr>
          <w:rtl/>
        </w:rPr>
        <w:t>ت</w:t>
      </w:r>
      <w:r w:rsidRPr="0025250D">
        <w:rPr>
          <w:rFonts w:hint="cs"/>
          <w:rtl/>
        </w:rPr>
        <w:t>ی</w:t>
      </w:r>
      <w:r w:rsidRPr="0025250D">
        <w:rPr>
          <w:rFonts w:hint="eastAsia"/>
          <w:rtl/>
        </w:rPr>
        <w:t>رن</w:t>
      </w:r>
      <w:r w:rsidRPr="0025250D">
        <w:rPr>
          <w:rFonts w:hint="cs"/>
          <w:rtl/>
        </w:rPr>
        <w:t xml:space="preserve">ی و </w:t>
      </w:r>
      <w:r w:rsidRPr="0025250D">
        <w:rPr>
          <w:rtl/>
        </w:rPr>
        <w:t>بائرما</w:t>
      </w:r>
      <w:r w:rsidRPr="0025250D">
        <w:rPr>
          <w:rFonts w:hint="cs"/>
          <w:rtl/>
        </w:rPr>
        <w:t>ی</w:t>
      </w:r>
      <w:r w:rsidRPr="0025250D">
        <w:rPr>
          <w:rFonts w:hint="eastAsia"/>
          <w:rtl/>
        </w:rPr>
        <w:t>ستر</w:t>
      </w:r>
      <w:r w:rsidRPr="0025250D">
        <w:rPr>
          <w:rFonts w:hint="cs"/>
          <w:rtl/>
        </w:rPr>
        <w:t xml:space="preserve"> نکاتی را برای بهبود نسبت گفتمان خوش بینانه: بدبینانه ما بدون </w:t>
      </w:r>
      <w:r w:rsidR="0008779C" w:rsidRPr="0025250D">
        <w:rPr>
          <w:rFonts w:hint="cs"/>
          <w:rtl/>
        </w:rPr>
        <w:t>واقع‌گرا</w:t>
      </w:r>
      <w:r w:rsidRPr="0025250D">
        <w:rPr>
          <w:rFonts w:hint="cs"/>
          <w:rtl/>
        </w:rPr>
        <w:t xml:space="preserve"> شدن ارائه می‌دهند. درمان رفتاری شناختی</w:t>
      </w:r>
      <w:r w:rsidRPr="0025250D">
        <w:rPr>
          <w:vertAlign w:val="superscript"/>
          <w:rtl/>
        </w:rPr>
        <w:footnoteReference w:id="1960"/>
      </w:r>
      <w:r w:rsidRPr="0025250D">
        <w:rPr>
          <w:rFonts w:hint="cs"/>
          <w:rtl/>
        </w:rPr>
        <w:t xml:space="preserve"> (</w:t>
      </w:r>
      <w:r w:rsidRPr="0025250D">
        <w:t>CBT</w:t>
      </w:r>
      <w:r w:rsidRPr="0025250D">
        <w:rPr>
          <w:rFonts w:hint="cs"/>
          <w:rtl/>
        </w:rPr>
        <w:t>)، درمان رفتاری منطقی-هیجانی</w:t>
      </w:r>
      <w:r w:rsidRPr="0025250D">
        <w:rPr>
          <w:vertAlign w:val="superscript"/>
          <w:rtl/>
        </w:rPr>
        <w:footnoteReference w:id="1961"/>
      </w:r>
      <w:r w:rsidRPr="0025250D">
        <w:rPr>
          <w:rFonts w:hint="cs"/>
          <w:rtl/>
        </w:rPr>
        <w:t xml:space="preserve"> (</w:t>
      </w:r>
      <w:r w:rsidRPr="0025250D">
        <w:t>REBT</w:t>
      </w:r>
      <w:r w:rsidRPr="0025250D">
        <w:rPr>
          <w:rFonts w:hint="cs"/>
          <w:rtl/>
        </w:rPr>
        <w:t xml:space="preserve">) و حتی هوش‌های مصنوعی شخصی </w:t>
      </w:r>
      <w:r w:rsidRPr="0025250D">
        <w:t>CBT</w:t>
      </w:r>
      <w:r w:rsidRPr="0025250D">
        <w:rPr>
          <w:rFonts w:hint="cs"/>
          <w:rtl/>
        </w:rPr>
        <w:t xml:space="preserve"> امروزی، مانند ووبات</w:t>
      </w:r>
      <w:r w:rsidRPr="0025250D">
        <w:rPr>
          <w:vertAlign w:val="superscript"/>
          <w:rtl/>
        </w:rPr>
        <w:footnoteReference w:id="1962"/>
      </w:r>
      <w:r w:rsidRPr="0025250D">
        <w:rPr>
          <w:rFonts w:hint="cs"/>
          <w:rtl/>
        </w:rPr>
        <w:t>، نیز می‌توانند به ما</w:t>
      </w:r>
      <w:r w:rsidR="006F3070" w:rsidRPr="0025250D">
        <w:rPr>
          <w:rFonts w:hint="cs"/>
          <w:rtl/>
        </w:rPr>
        <w:t xml:space="preserve"> </w:t>
      </w:r>
      <w:r w:rsidRPr="0025250D">
        <w:rPr>
          <w:rFonts w:hint="cs"/>
          <w:rtl/>
        </w:rPr>
        <w:t>در این زمینه کمک کنند.</w:t>
      </w:r>
    </w:p>
    <w:p w14:paraId="003E5E57" w14:textId="61F58EA8" w:rsidR="00537CC8" w:rsidRPr="0025250D" w:rsidRDefault="00537CC8" w:rsidP="00E402E3">
      <w:pPr>
        <w:rPr>
          <w:rtl/>
        </w:rPr>
      </w:pPr>
      <w:r w:rsidRPr="0025250D">
        <w:rPr>
          <w:rFonts w:hint="cs"/>
          <w:rtl/>
        </w:rPr>
        <w:t xml:space="preserve">دیگران نیز این تحقیقات را همتاسازی </w:t>
      </w:r>
      <w:r w:rsidR="007118DE" w:rsidRPr="0025250D">
        <w:rPr>
          <w:rFonts w:hint="cs"/>
          <w:rtl/>
        </w:rPr>
        <w:t>کرده‌اند</w:t>
      </w:r>
      <w:r w:rsidRPr="0025250D">
        <w:rPr>
          <w:rFonts w:hint="cs"/>
          <w:rtl/>
        </w:rPr>
        <w:t xml:space="preserve">. به نظر ما یک نسبت گفتمان رابطه‌ای </w:t>
      </w:r>
      <w:r w:rsidR="00E402E3" w:rsidRPr="0025250D">
        <w:rPr>
          <w:rFonts w:hint="cs"/>
          <w:rtl/>
        </w:rPr>
        <w:t>خوش بینی</w:t>
      </w:r>
      <w:r w:rsidRPr="0025250D">
        <w:rPr>
          <w:rFonts w:hint="cs"/>
          <w:rtl/>
        </w:rPr>
        <w:t>:</w:t>
      </w:r>
      <w:r w:rsidR="00E402E3" w:rsidRPr="0025250D">
        <w:rPr>
          <w:rFonts w:hint="cs"/>
          <w:rtl/>
        </w:rPr>
        <w:t>بدبینی</w:t>
      </w:r>
      <w:r w:rsidRPr="0025250D">
        <w:rPr>
          <w:rFonts w:hint="cs"/>
          <w:rtl/>
        </w:rPr>
        <w:t xml:space="preserve"> 1:4 به نظر مشخصاً هم در روابط و هم در مدیریت دیگران، به‌عنوان یک نسبت تقریبی، </w:t>
      </w:r>
      <w:r w:rsidR="00B124DE" w:rsidRPr="0025250D">
        <w:rPr>
          <w:rFonts w:hint="cs"/>
          <w:rtl/>
        </w:rPr>
        <w:t>انطباق‌پذیر</w:t>
      </w:r>
      <w:r w:rsidRPr="0025250D">
        <w:rPr>
          <w:rFonts w:hint="cs"/>
          <w:rtl/>
        </w:rPr>
        <w:t xml:space="preserve"> می‌باشد. برای متوقف کردن ترس هایمان و قوی نگهداشتن امیدهایمان، همه ما نیاز داریم که تشویق شده و از ما به شکل قابل توجهی بیش‌تر از انتقاد تعریف شود</w:t>
      </w:r>
      <w:r w:rsidR="008D6F97" w:rsidRPr="0025250D">
        <w:rPr>
          <w:rtl/>
        </w:rPr>
        <w:t xml:space="preserve">؛ </w:t>
      </w:r>
      <w:r w:rsidR="0020589F" w:rsidRPr="0025250D">
        <w:rPr>
          <w:rtl/>
        </w:rPr>
        <w:t>اما</w:t>
      </w:r>
      <w:r w:rsidRPr="0025250D">
        <w:rPr>
          <w:rFonts w:hint="cs"/>
          <w:rtl/>
        </w:rPr>
        <w:t xml:space="preserve"> اگر بازخورد مثبت بیش از حد زیادی، نسبت به انتقاد بگیریم، ممکن است کار سخت تغییر را انجام ندهیم.</w:t>
      </w:r>
    </w:p>
    <w:p w14:paraId="73B5DCB6" w14:textId="1CF5AC28" w:rsidR="00537CC8" w:rsidRPr="0025250D" w:rsidRDefault="00537CC8" w:rsidP="00537CC8">
      <w:pPr>
        <w:rPr>
          <w:rtl/>
        </w:rPr>
      </w:pPr>
      <w:r w:rsidRPr="0025250D">
        <w:rPr>
          <w:rFonts w:hint="cs"/>
          <w:rtl/>
        </w:rPr>
        <w:t xml:space="preserve">همچنین </w:t>
      </w:r>
      <w:r w:rsidR="00D92F6E" w:rsidRPr="0025250D">
        <w:rPr>
          <w:rFonts w:hint="cs"/>
          <w:rtl/>
        </w:rPr>
        <w:t>پیش‌بین</w:t>
      </w:r>
      <w:r w:rsidRPr="0025250D">
        <w:rPr>
          <w:rFonts w:hint="cs"/>
          <w:rtl/>
        </w:rPr>
        <w:t>ی می‌کنیم که این نسبت 1:4 برای نوعی از ارتباطات که شرکت‌ها</w:t>
      </w:r>
      <w:r w:rsidR="006F3070" w:rsidRPr="0025250D">
        <w:rPr>
          <w:rFonts w:hint="cs"/>
          <w:rtl/>
        </w:rPr>
        <w:t xml:space="preserve"> </w:t>
      </w:r>
      <w:r w:rsidRPr="0025250D">
        <w:rPr>
          <w:rFonts w:hint="cs"/>
          <w:rtl/>
        </w:rPr>
        <w:t>باید با کارمندان خود داشته باشند و دولت‌ها و سیاست مداران باید</w:t>
      </w:r>
      <w:r w:rsidR="006F3070" w:rsidRPr="0025250D">
        <w:rPr>
          <w:rFonts w:hint="cs"/>
          <w:rtl/>
        </w:rPr>
        <w:t xml:space="preserve"> با</w:t>
      </w:r>
      <w:r w:rsidRPr="0025250D">
        <w:rPr>
          <w:rFonts w:hint="cs"/>
          <w:rtl/>
        </w:rPr>
        <w:t xml:space="preserve"> شهروندان خود داشته باشند، کاربرد دارد. اگر شرکت‌ها و رهبران چهار برابر بیش‌تر درمورد فرصت‌ها و مزایا نسبت به خطرات، </w:t>
      </w:r>
      <w:r w:rsidR="006F3070" w:rsidRPr="0025250D">
        <w:rPr>
          <w:rFonts w:hint="cs"/>
          <w:rtl/>
        </w:rPr>
        <w:t>پیگرد</w:t>
      </w:r>
      <w:r w:rsidRPr="0025250D">
        <w:rPr>
          <w:rFonts w:hint="cs"/>
          <w:rtl/>
        </w:rPr>
        <w:t xml:space="preserve"> و جریمه‌ها برای بد رفتاری صحبت نکنند، حتما ایرادی جدی وجود دارد. آن‌ها به جای هویج با چماق رهبری می‌کنند. وقتی در حالت بحران دائمی گفتگو کنیم، امید و نوآوری تنزل می‌یابند و رابطه صدمه می‌بیند. اگر فاصله زیاد شرکت‌ها و سیاست مداران امروز از این نوع گفتمانِ ایجاد رابطه 1:4 را به خاطر داشته باشیم، می‌توانیم ببینیم که هر روزه چه فرصت‌هایی را برای اعتماد اجتماعی بیش‌تر از دست می‌دهیم و چه فرصت جمعی را از دست می‌دهیم.</w:t>
      </w:r>
    </w:p>
    <w:p w14:paraId="22E1194C" w14:textId="446F09D9" w:rsidR="00537CC8" w:rsidRPr="0025250D" w:rsidRDefault="00537CC8" w:rsidP="00537CC8">
      <w:pPr>
        <w:rPr>
          <w:rtl/>
        </w:rPr>
      </w:pPr>
      <w:r w:rsidRPr="0025250D">
        <w:rPr>
          <w:rFonts w:hint="cs"/>
          <w:rtl/>
        </w:rPr>
        <w:t xml:space="preserve">همزمان، هر از چند گاهی نیاز خواهیم داشت که چیزی به شدت جدید </w:t>
      </w:r>
      <w:r w:rsidRPr="0025250D">
        <w:rPr>
          <w:rFonts w:cs="Times New Roman" w:hint="cs"/>
          <w:rtl/>
        </w:rPr>
        <w:t>–</w:t>
      </w:r>
      <w:r w:rsidRPr="0025250D">
        <w:rPr>
          <w:rFonts w:hint="cs"/>
          <w:rtl/>
        </w:rPr>
        <w:t xml:space="preserve"> هم حاوی فرصت‌ها و هم حاوی ریسک‌ها - را انجام دهیم. می‌توانیم این امر را یک نقطه مرجع جدید بنامیم. در چنین شرایطی، ممکن است ناچار به یادگیری چیزهای جدیدی درمورد محیطمان شویم، فعالیت‌ها و رفتار‌های جدیدی را امتحان کنیم، ماجراجویی جدیدی را آغاز کنیم یا در غیر اینصورت وارد حالت استارتاپ</w:t>
      </w:r>
      <w:r w:rsidRPr="0025250D">
        <w:rPr>
          <w:vertAlign w:val="superscript"/>
          <w:rtl/>
        </w:rPr>
        <w:footnoteReference w:id="1963"/>
      </w:r>
      <w:r w:rsidRPr="0025250D">
        <w:rPr>
          <w:rFonts w:hint="cs"/>
          <w:rtl/>
        </w:rPr>
        <w:t xml:space="preserve"> شویم. در آن حالت، یک نسبت خوش بینی: بدبینی استارتاپ/تازگی 1:4 می‌تواند باز هم </w:t>
      </w:r>
      <w:r w:rsidR="0008779C" w:rsidRPr="0025250D">
        <w:rPr>
          <w:rFonts w:hint="cs"/>
          <w:rtl/>
        </w:rPr>
        <w:t>ایدئال</w:t>
      </w:r>
      <w:r w:rsidRPr="0025250D">
        <w:rPr>
          <w:rFonts w:hint="cs"/>
          <w:rtl/>
        </w:rPr>
        <w:t xml:space="preserve"> باشد، زیرا تغییر مثبت دشوار است </w:t>
      </w:r>
      <w:r w:rsidRPr="0025250D">
        <w:rPr>
          <w:rFonts w:cs="Times New Roman" w:hint="cs"/>
          <w:rtl/>
        </w:rPr>
        <w:t>–</w:t>
      </w:r>
      <w:r w:rsidRPr="0025250D">
        <w:rPr>
          <w:rFonts w:hint="cs"/>
          <w:rtl/>
        </w:rPr>
        <w:t xml:space="preserve"> و تازگی (ابزاری جدید، پدیده‌ای جدید، قانونی جدید) اغلب بار شناختی زیادی از موارد ممکن جدید را برای بررسی </w:t>
      </w:r>
      <w:r w:rsidR="00701E03" w:rsidRPr="0025250D">
        <w:rPr>
          <w:rFonts w:hint="cs"/>
          <w:rtl/>
        </w:rPr>
        <w:t>راهبردی</w:t>
      </w:r>
      <w:r w:rsidRPr="0025250D">
        <w:rPr>
          <w:rFonts w:hint="cs"/>
          <w:rtl/>
        </w:rPr>
        <w:t xml:space="preserve"> ایجاد می‌کند. ما به خوش بینی </w:t>
      </w:r>
      <w:r w:rsidR="00701E03" w:rsidRPr="0025250D">
        <w:rPr>
          <w:rFonts w:hint="cs"/>
          <w:rtl/>
        </w:rPr>
        <w:t>راهبردی</w:t>
      </w:r>
      <w:r w:rsidRPr="0025250D">
        <w:rPr>
          <w:rFonts w:hint="cs"/>
          <w:rtl/>
        </w:rPr>
        <w:t xml:space="preserve"> قدرتمندی برای عبور از دره‌ها و چالش‌های پیش رو و آشکار سازی فرصت‌ها و </w:t>
      </w:r>
      <w:r w:rsidR="00701E03" w:rsidRPr="0025250D">
        <w:rPr>
          <w:rFonts w:hint="cs"/>
          <w:rtl/>
        </w:rPr>
        <w:t>راهبرد</w:t>
      </w:r>
      <w:r w:rsidRPr="0025250D">
        <w:rPr>
          <w:rFonts w:hint="cs"/>
          <w:rtl/>
        </w:rPr>
        <w:t xml:space="preserve">‌هایی که می‌توانند در غیر اینصورت از دید ما پنهان </w:t>
      </w:r>
      <w:r w:rsidR="006F3070" w:rsidRPr="0025250D">
        <w:rPr>
          <w:rFonts w:hint="cs"/>
          <w:rtl/>
        </w:rPr>
        <w:t>بمانند</w:t>
      </w:r>
      <w:r w:rsidRPr="0025250D">
        <w:rPr>
          <w:rFonts w:hint="cs"/>
          <w:rtl/>
        </w:rPr>
        <w:t xml:space="preserve"> نیاز داریم.</w:t>
      </w:r>
    </w:p>
    <w:p w14:paraId="30943F1E" w14:textId="72D14A2B" w:rsidR="00537CC8" w:rsidRPr="0025250D" w:rsidRDefault="00537CC8" w:rsidP="00537CC8">
      <w:pPr>
        <w:rPr>
          <w:rtl/>
        </w:rPr>
      </w:pPr>
      <w:r w:rsidRPr="0025250D">
        <w:rPr>
          <w:rFonts w:hint="cs"/>
          <w:rtl/>
        </w:rPr>
        <w:t xml:space="preserve">از هر کارآفرینی </w:t>
      </w:r>
      <w:r w:rsidRPr="0025250D">
        <w:rPr>
          <w:rFonts w:cs="Times New Roman" w:hint="cs"/>
          <w:rtl/>
        </w:rPr>
        <w:t>–</w:t>
      </w:r>
      <w:r w:rsidRPr="0025250D">
        <w:rPr>
          <w:rFonts w:hint="cs"/>
          <w:rtl/>
        </w:rPr>
        <w:t xml:space="preserve"> شخصی که دائما ناچار به یادگیری و امتحان کردن موارد جدید برای حفظ شناوری </w:t>
      </w:r>
      <w:r w:rsidR="00B124DE" w:rsidRPr="0025250D">
        <w:rPr>
          <w:rFonts w:hint="cs"/>
          <w:rtl/>
        </w:rPr>
        <w:t>کسب‌و‌کار</w:t>
      </w:r>
      <w:r w:rsidRPr="0025250D">
        <w:rPr>
          <w:rFonts w:hint="cs"/>
          <w:rtl/>
        </w:rPr>
        <w:t xml:space="preserve"> خود است -</w:t>
      </w:r>
      <w:r w:rsidR="008D6F97" w:rsidRPr="0025250D">
        <w:rPr>
          <w:rtl/>
        </w:rPr>
        <w:t xml:space="preserve"> </w:t>
      </w:r>
      <w:r w:rsidRPr="0025250D">
        <w:rPr>
          <w:rFonts w:hint="cs"/>
          <w:rtl/>
        </w:rPr>
        <w:t xml:space="preserve">که می‌خواهید بپرسید و به شما خواهند گفت که اغلب از خوش بینی </w:t>
      </w:r>
      <w:r w:rsidR="00701E03" w:rsidRPr="0025250D">
        <w:rPr>
          <w:rFonts w:hint="cs"/>
          <w:rtl/>
        </w:rPr>
        <w:t>راهبردی</w:t>
      </w:r>
      <w:r w:rsidRPr="0025250D">
        <w:rPr>
          <w:rFonts w:hint="cs"/>
          <w:rtl/>
        </w:rPr>
        <w:t xml:space="preserve"> برای ادامه کار خود استفاده می‌کنند. تازگی حالتی نیست که تا ابد در آن بمانیم (و بیش از حد باقی ماندن در آن </w:t>
      </w:r>
      <w:r w:rsidR="00B124DE" w:rsidRPr="0025250D">
        <w:rPr>
          <w:rFonts w:hint="cs"/>
          <w:rtl/>
        </w:rPr>
        <w:t>انطباق‌پذیر</w:t>
      </w:r>
      <w:r w:rsidRPr="0025250D">
        <w:rPr>
          <w:rFonts w:hint="cs"/>
          <w:rtl/>
        </w:rPr>
        <w:t xml:space="preserve"> نیست، همچنین به ساختار‌های قابل </w:t>
      </w:r>
      <w:r w:rsidR="00D92F6E" w:rsidRPr="0025250D">
        <w:rPr>
          <w:rFonts w:hint="cs"/>
          <w:rtl/>
        </w:rPr>
        <w:t>پیش‌بین</w:t>
      </w:r>
      <w:r w:rsidRPr="0025250D">
        <w:rPr>
          <w:rFonts w:hint="cs"/>
          <w:rtl/>
        </w:rPr>
        <w:t xml:space="preserve">ی نیز نیاز داریم)؛ </w:t>
      </w:r>
      <w:r w:rsidR="0020589F" w:rsidRPr="0025250D">
        <w:rPr>
          <w:rtl/>
        </w:rPr>
        <w:t>اما</w:t>
      </w:r>
      <w:r w:rsidRPr="0025250D">
        <w:rPr>
          <w:rFonts w:hint="cs"/>
          <w:rtl/>
        </w:rPr>
        <w:t xml:space="preserve"> وقتی در آن هستیم، به خوش بینی </w:t>
      </w:r>
      <w:r w:rsidR="00701E03" w:rsidRPr="0025250D">
        <w:rPr>
          <w:rFonts w:hint="cs"/>
          <w:rtl/>
        </w:rPr>
        <w:t>راهبردی</w:t>
      </w:r>
      <w:r w:rsidRPr="0025250D">
        <w:rPr>
          <w:rFonts w:hint="cs"/>
          <w:rtl/>
        </w:rPr>
        <w:t xml:space="preserve"> بسیار زیای برای هدایت از میان آن نیاز داریم.</w:t>
      </w:r>
    </w:p>
    <w:p w14:paraId="424638D1" w14:textId="328C6D0D" w:rsidR="00537CC8" w:rsidRPr="0025250D" w:rsidRDefault="00537CC8" w:rsidP="00537CC8">
      <w:pPr>
        <w:rPr>
          <w:rtl/>
        </w:rPr>
      </w:pPr>
      <w:r w:rsidRPr="0025250D">
        <w:rPr>
          <w:rFonts w:hint="cs"/>
          <w:rtl/>
        </w:rPr>
        <w:t xml:space="preserve">در مقابل، یک نسبت </w:t>
      </w:r>
      <w:r w:rsidR="00B124DE" w:rsidRPr="0025250D">
        <w:rPr>
          <w:rFonts w:hint="cs"/>
          <w:rtl/>
        </w:rPr>
        <w:t>انطباق‌پذیر</w:t>
      </w:r>
      <w:r w:rsidRPr="0025250D">
        <w:rPr>
          <w:rFonts w:hint="cs"/>
          <w:rtl/>
        </w:rPr>
        <w:t xml:space="preserve"> خوش بینی: بدبینی 4:1 می‌تواند در هر نقطه بحرانی رخ دهد. در یک بحران، ما نه تنها با ریسک‌ها و اختلالاتی که باید ارزیابی شوند، بلکه با یک خطر یا فاجعه که باید به آن پاسخگو باشیم روبرو می‌شویم. ممکن است از نوعی فقدان یا آسیب، چه </w:t>
      </w:r>
      <w:r w:rsidR="00923DDB" w:rsidRPr="0025250D">
        <w:rPr>
          <w:rFonts w:hint="cs"/>
          <w:rtl/>
        </w:rPr>
        <w:t>پیش‌انگاری</w:t>
      </w:r>
      <w:r w:rsidRPr="0025250D">
        <w:rPr>
          <w:rFonts w:hint="cs"/>
          <w:rtl/>
        </w:rPr>
        <w:t xml:space="preserve"> شده </w:t>
      </w:r>
      <w:r w:rsidR="006F3070" w:rsidRPr="0025250D">
        <w:rPr>
          <w:rFonts w:hint="cs"/>
          <w:rtl/>
        </w:rPr>
        <w:t xml:space="preserve">باشد </w:t>
      </w:r>
      <w:r w:rsidRPr="0025250D">
        <w:rPr>
          <w:rFonts w:hint="cs"/>
          <w:rtl/>
        </w:rPr>
        <w:t>و چه</w:t>
      </w:r>
      <w:r w:rsidR="006F3070" w:rsidRPr="0025250D">
        <w:rPr>
          <w:rFonts w:hint="cs"/>
          <w:rtl/>
        </w:rPr>
        <w:t xml:space="preserve"> نشده باشد</w:t>
      </w:r>
      <w:r w:rsidRPr="0025250D">
        <w:rPr>
          <w:rFonts w:hint="cs"/>
          <w:rtl/>
        </w:rPr>
        <w:t>، رنج ببریم. ممکن است یک ارزیابی عملکرد دریافت کرده باشیم، یک بیماری جدی در ما تشخیص داده شده باشد، اموالمان دزدیده شده باشد، به کس دیگری آسیب زده باشیم (به عمد یا غیر عمد) یا در غیر اینصورت در یک بحران مشارکت داشته باشیم.</w:t>
      </w:r>
    </w:p>
    <w:p w14:paraId="1AFE7861" w14:textId="181FBB77" w:rsidR="00537CC8" w:rsidRPr="0025250D" w:rsidRDefault="00537CC8" w:rsidP="00537CC8">
      <w:pPr>
        <w:rPr>
          <w:rtl/>
        </w:rPr>
      </w:pPr>
      <w:r w:rsidRPr="0025250D">
        <w:rPr>
          <w:rFonts w:hint="cs"/>
          <w:rtl/>
        </w:rPr>
        <w:t xml:space="preserve">یک نسبت خوش بینی به بدبینی 4:1 همچنین می‌تواند وقتی در حال دریافت انتقاد </w:t>
      </w:r>
      <w:r w:rsidR="003B7DAA" w:rsidRPr="0025250D">
        <w:rPr>
          <w:rFonts w:hint="cs"/>
          <w:rtl/>
        </w:rPr>
        <w:t>هستیم</w:t>
      </w:r>
      <w:r w:rsidRPr="0025250D">
        <w:rPr>
          <w:rFonts w:hint="cs"/>
          <w:rtl/>
        </w:rPr>
        <w:t xml:space="preserve">، یک اختلال شفاهی هم برای تعادل و هم برای غرورمان، </w:t>
      </w:r>
      <w:r w:rsidR="00B124DE" w:rsidRPr="0025250D">
        <w:rPr>
          <w:rFonts w:hint="cs"/>
          <w:rtl/>
        </w:rPr>
        <w:t>انطباق‌پذیر</w:t>
      </w:r>
      <w:r w:rsidRPr="0025250D">
        <w:rPr>
          <w:rFonts w:hint="cs"/>
          <w:rtl/>
        </w:rPr>
        <w:t xml:space="preserve"> باشد. در آن شرایط، بازبینی (توجه به) نقد، پذیرش دردهای آن در مواردی که تضمین شده به نظر می‌رسد و تفکر درمورد آنچه می‌توانیم برای جلوگیری از چنین بازخورد منفی در آینده انجام دهیم برای ما </w:t>
      </w:r>
      <w:r w:rsidR="00B124DE" w:rsidRPr="0025250D">
        <w:rPr>
          <w:rFonts w:hint="cs"/>
          <w:rtl/>
        </w:rPr>
        <w:t>انطباق‌پذیر</w:t>
      </w:r>
      <w:r w:rsidRPr="0025250D">
        <w:rPr>
          <w:rFonts w:hint="cs"/>
          <w:rtl/>
        </w:rPr>
        <w:t xml:space="preserve"> است. به این </w:t>
      </w:r>
      <w:r w:rsidR="00D30084" w:rsidRPr="0025250D">
        <w:rPr>
          <w:rFonts w:hint="cs"/>
          <w:rtl/>
        </w:rPr>
        <w:t>بدبینی تدافعی</w:t>
      </w:r>
      <w:r w:rsidRPr="0025250D">
        <w:rPr>
          <w:rFonts w:hint="cs"/>
          <w:rtl/>
        </w:rPr>
        <w:t xml:space="preserve"> برای تولید </w:t>
      </w:r>
      <w:r w:rsidR="00701E03" w:rsidRPr="0025250D">
        <w:rPr>
          <w:rFonts w:hint="cs"/>
          <w:rtl/>
        </w:rPr>
        <w:t>راهبرد</w:t>
      </w:r>
      <w:r w:rsidRPr="0025250D">
        <w:rPr>
          <w:rFonts w:hint="cs"/>
          <w:rtl/>
        </w:rPr>
        <w:t xml:space="preserve">‌ها و برنامه‌های جدیدی که به ما برای </w:t>
      </w:r>
      <w:r w:rsidR="002F3C14" w:rsidRPr="0025250D">
        <w:rPr>
          <w:rFonts w:hint="cs"/>
          <w:rtl/>
        </w:rPr>
        <w:t>انطباق</w:t>
      </w:r>
      <w:r w:rsidRPr="0025250D">
        <w:rPr>
          <w:rFonts w:hint="cs"/>
          <w:rtl/>
        </w:rPr>
        <w:t xml:space="preserve"> با این آسیب یا تحول کمک خواهند کرد نیاز خواهیم داشت.</w:t>
      </w:r>
    </w:p>
    <w:p w14:paraId="2F5CDB89" w14:textId="19017D53" w:rsidR="00537CC8" w:rsidRPr="0025250D" w:rsidRDefault="00537CC8" w:rsidP="00537CC8">
      <w:pPr>
        <w:rPr>
          <w:rtl/>
        </w:rPr>
      </w:pPr>
      <w:r w:rsidRPr="0025250D">
        <w:rPr>
          <w:rFonts w:hint="cs"/>
          <w:rtl/>
        </w:rPr>
        <w:t xml:space="preserve">باز </w:t>
      </w:r>
      <w:r w:rsidR="0020589F" w:rsidRPr="0025250D">
        <w:rPr>
          <w:rtl/>
        </w:rPr>
        <w:t>هم</w:t>
      </w:r>
      <w:r w:rsidRPr="0025250D">
        <w:rPr>
          <w:rFonts w:hint="cs"/>
          <w:rtl/>
        </w:rPr>
        <w:t xml:space="preserve"> بحران و انتقاد شرایطی نیستند که ما همواره در آن‌ها باقی بمانیم. تجربه هر یک از این‌ها برای مدت طولانی استرس زا می‌باشد</w:t>
      </w:r>
      <w:r w:rsidR="008D6F97" w:rsidRPr="0025250D">
        <w:rPr>
          <w:rtl/>
        </w:rPr>
        <w:t xml:space="preserve">؛ </w:t>
      </w:r>
      <w:r w:rsidRPr="0025250D">
        <w:rPr>
          <w:rFonts w:hint="cs"/>
          <w:rtl/>
        </w:rPr>
        <w:t>اما رهبران، تیم‌ها، سازمان‌ها و دولت‌ها می‌توانند استفاده آگاهانه از این نسبت 4:1 را در هرجایی که در بحران قرار گرفته یا به برخی انتقادات ضمنی پاسخ می‌دهند (مانند زمانی که یک شرکت وجهه منفی در رسانه‌ها پیدا می‌کند یا توسط برخی از مشتریان تحریم می‌شود) مفید بدانند. پذیرش موارد منفی و انجام گام‌های سریع برای پاسخ به آن، می‌تواند راه قدرتمندی برای بازسازی اعتماد باشد.</w:t>
      </w:r>
    </w:p>
    <w:p w14:paraId="185ED663" w14:textId="2D5C10CD" w:rsidR="00537CC8" w:rsidRPr="0025250D" w:rsidRDefault="00537CC8" w:rsidP="00BE4252">
      <w:pPr>
        <w:rPr>
          <w:rtl/>
        </w:rPr>
      </w:pPr>
      <w:r w:rsidRPr="0025250D">
        <w:rPr>
          <w:rFonts w:hint="cs"/>
          <w:rtl/>
        </w:rPr>
        <w:t xml:space="preserve">در همین زمان، ما باید مراقب باشیم که از حالات </w:t>
      </w:r>
      <w:r w:rsidR="002B6515" w:rsidRPr="0025250D">
        <w:rPr>
          <w:rtl/>
        </w:rPr>
        <w:t>حس‌داد</w:t>
      </w:r>
      <w:r w:rsidRPr="0025250D">
        <w:rPr>
          <w:rFonts w:hint="cs"/>
          <w:rtl/>
        </w:rPr>
        <w:t xml:space="preserve"> 4:1 و 1:4 بیش از حد استفاده نکنیم. برای یک فرد، تیم، یا سازمان استفاده بیش از حد از ارتباط و گفتمان منفی و نادیده گرفتن مشکلات آسان است. همچنین برای ما استفاده بیش از حد از گفتمان منفی یا خطرات یا متمرکز بر </w:t>
      </w:r>
      <w:r w:rsidR="003B7DAA" w:rsidRPr="0025250D">
        <w:rPr>
          <w:rFonts w:hint="cs"/>
          <w:rtl/>
        </w:rPr>
        <w:t>پیگرد</w:t>
      </w:r>
      <w:r w:rsidRPr="0025250D">
        <w:rPr>
          <w:rFonts w:hint="cs"/>
          <w:rtl/>
        </w:rPr>
        <w:t xml:space="preserve"> و تمرکز بیش از حد بر بحران‌ها دشوار است. باید بازگشت کاهشی</w:t>
      </w:r>
      <w:r w:rsidRPr="0025250D">
        <w:rPr>
          <w:vertAlign w:val="superscript"/>
          <w:rtl/>
        </w:rPr>
        <w:footnoteReference w:id="1964"/>
      </w:r>
      <w:r w:rsidRPr="0025250D">
        <w:rPr>
          <w:rFonts w:hint="cs"/>
          <w:rtl/>
        </w:rPr>
        <w:t xml:space="preserve"> را برای هر یک از این </w:t>
      </w:r>
      <w:r w:rsidR="00BE4252" w:rsidRPr="0025250D">
        <w:rPr>
          <w:rFonts w:hint="cs"/>
          <w:rtl/>
        </w:rPr>
        <w:t>حس‌دادها</w:t>
      </w:r>
      <w:r w:rsidRPr="0025250D">
        <w:rPr>
          <w:rFonts w:hint="cs"/>
          <w:rtl/>
        </w:rPr>
        <w:t xml:space="preserve"> تشخیص دهیم.</w:t>
      </w:r>
    </w:p>
    <w:p w14:paraId="09534F9D" w14:textId="663442A4" w:rsidR="00537CC8" w:rsidRPr="0025250D" w:rsidRDefault="00537CC8" w:rsidP="00D53F87">
      <w:pPr>
        <w:pStyle w:val="Heading3"/>
        <w:rPr>
          <w:rtl/>
        </w:rPr>
      </w:pPr>
      <w:r w:rsidRPr="0025250D">
        <w:rPr>
          <w:rFonts w:hint="cs"/>
          <w:rtl/>
        </w:rPr>
        <w:t xml:space="preserve">نسبت‌های </w:t>
      </w:r>
      <w:r w:rsidRPr="0025250D">
        <w:rPr>
          <w:rtl/>
        </w:rPr>
        <w:t>خوش بینی:بدبینی</w:t>
      </w:r>
      <w:r w:rsidRPr="0025250D">
        <w:rPr>
          <w:rFonts w:hint="cs"/>
          <w:rtl/>
        </w:rPr>
        <w:t xml:space="preserve"> 8:1 و 1:8: فروش و </w:t>
      </w:r>
      <w:r w:rsidR="00933C48" w:rsidRPr="0025250D">
        <w:rPr>
          <w:rtl/>
        </w:rPr>
        <w:t>شیدایی</w:t>
      </w:r>
      <w:r w:rsidRPr="0025250D">
        <w:rPr>
          <w:rFonts w:hint="cs"/>
          <w:rtl/>
        </w:rPr>
        <w:t xml:space="preserve"> در مقابل تعارضات و ترس ها</w:t>
      </w:r>
    </w:p>
    <w:p w14:paraId="5C21DDA0" w14:textId="3766EE77" w:rsidR="00537CC8" w:rsidRPr="0025250D" w:rsidRDefault="00537CC8" w:rsidP="00537CC8">
      <w:pPr>
        <w:rPr>
          <w:rtl/>
        </w:rPr>
      </w:pPr>
      <w:r w:rsidRPr="0025250D">
        <w:rPr>
          <w:rFonts w:hint="cs"/>
          <w:rtl/>
        </w:rPr>
        <w:t xml:space="preserve">آخرین مجموعه نسبت </w:t>
      </w:r>
      <w:r w:rsidR="002B6515" w:rsidRPr="0025250D">
        <w:rPr>
          <w:rtl/>
        </w:rPr>
        <w:t>حس‌داد</w:t>
      </w:r>
      <w:r w:rsidRPr="0025250D">
        <w:rPr>
          <w:rFonts w:hint="cs"/>
          <w:rtl/>
        </w:rPr>
        <w:t xml:space="preserve"> که مورد بحث قرار خواهیم داد، نسبت‌های 8:1 و 1:8 هستند. این نسبت‌ها آن قدر شدید هستند که تنها در شرایط خاص، برای دوره‌های کوتاه </w:t>
      </w:r>
      <w:r w:rsidR="00B124DE" w:rsidRPr="0025250D">
        <w:rPr>
          <w:rFonts w:hint="cs"/>
          <w:rtl/>
        </w:rPr>
        <w:t>انطباق‌پذیر</w:t>
      </w:r>
      <w:r w:rsidRPr="0025250D">
        <w:rPr>
          <w:rFonts w:hint="cs"/>
          <w:rtl/>
        </w:rPr>
        <w:t xml:space="preserve"> </w:t>
      </w:r>
      <w:r w:rsidR="003B7DAA" w:rsidRPr="0025250D">
        <w:rPr>
          <w:rFonts w:hint="cs"/>
          <w:rtl/>
        </w:rPr>
        <w:t xml:space="preserve">به نظر </w:t>
      </w:r>
      <w:r w:rsidRPr="0025250D">
        <w:rPr>
          <w:rFonts w:hint="cs"/>
          <w:rtl/>
        </w:rPr>
        <w:t xml:space="preserve">می‌رسند. متأسفانه، نسبت 8:1 در محیط رسانه‌های جمعی مدرن ما، </w:t>
      </w:r>
      <w:r w:rsidR="007118DE" w:rsidRPr="0025250D">
        <w:rPr>
          <w:rFonts w:hint="cs"/>
          <w:rtl/>
        </w:rPr>
        <w:t>همان‌طور</w:t>
      </w:r>
      <w:r w:rsidRPr="0025250D">
        <w:rPr>
          <w:rFonts w:hint="cs"/>
          <w:rtl/>
        </w:rPr>
        <w:t xml:space="preserve"> که خواهیم دید، رایج است.</w:t>
      </w:r>
    </w:p>
    <w:p w14:paraId="1A4027AE" w14:textId="78283925" w:rsidR="00537CC8" w:rsidRPr="0025250D" w:rsidRDefault="00537CC8" w:rsidP="00537CC8">
      <w:pPr>
        <w:rPr>
          <w:rtl/>
        </w:rPr>
      </w:pPr>
      <w:r w:rsidRPr="0025250D">
        <w:rPr>
          <w:rFonts w:hint="cs"/>
          <w:rtl/>
        </w:rPr>
        <w:t xml:space="preserve">نسبت‌های خوش بینی:بدبینی 1:8 </w:t>
      </w:r>
      <w:r w:rsidR="00B124DE" w:rsidRPr="0025250D">
        <w:rPr>
          <w:rFonts w:hint="cs"/>
          <w:rtl/>
        </w:rPr>
        <w:t>انطباق‌پذیر</w:t>
      </w:r>
      <w:r w:rsidRPr="0025250D">
        <w:rPr>
          <w:rFonts w:hint="cs"/>
          <w:rtl/>
        </w:rPr>
        <w:t xml:space="preserve"> اغلب در فروش یافت می‌شوند. وقتی کسی چیزی را می‌فروشد، تأکید شدید بر موارد مثبت تا زمان پایان فروش منطقی به نظر می‌رسد. فروشنده یک توهم مثبت قدرتمند را که بیش از حد ساده سازی شده اما کارآمد است ایجاد می‌کند. همه فروشندگان و تأثیر گذاران خوب ارزش این نسبت را می‌دانند. فروشندگان کارآمد موارد منفی جزئی اندک را برای برطرف کردن شک خریدار درمورد احتمال فریب داده شدن بیان می‌کنند </w:t>
      </w:r>
      <w:r w:rsidR="0020589F" w:rsidRPr="0025250D">
        <w:rPr>
          <w:rtl/>
        </w:rPr>
        <w:t>اما</w:t>
      </w:r>
      <w:r w:rsidRPr="0025250D">
        <w:rPr>
          <w:rFonts w:hint="cs"/>
          <w:rtl/>
        </w:rPr>
        <w:t xml:space="preserve"> آن‌ها فریبنده</w:t>
      </w:r>
      <w:r w:rsidR="003B7DAA" w:rsidRPr="0025250D">
        <w:rPr>
          <w:rFonts w:hint="cs"/>
          <w:rtl/>
        </w:rPr>
        <w:t xml:space="preserve"> نیز</w:t>
      </w:r>
      <w:r w:rsidRPr="0025250D">
        <w:rPr>
          <w:rFonts w:hint="cs"/>
          <w:rtl/>
        </w:rPr>
        <w:t xml:space="preserve"> هستند و این کار اعتماد پایدار ایجاد نمی‌کند. یک فروشنده خوب برخی موارد منفی حقیقی را برای اطلاعات دادن به خریدار و ایجاد اعتماد بیان می‌کند و سپس در مقابل آن موارد مثبت متعددی بیان می‌کند، به طوری که فروش قانع کننده باشد.</w:t>
      </w:r>
    </w:p>
    <w:p w14:paraId="2A3F0EE9" w14:textId="7E6D46A5" w:rsidR="00537CC8" w:rsidRPr="0025250D" w:rsidRDefault="00537CC8" w:rsidP="00537CC8">
      <w:pPr>
        <w:rPr>
          <w:rtl/>
        </w:rPr>
      </w:pPr>
      <w:r w:rsidRPr="0025250D">
        <w:rPr>
          <w:rFonts w:hint="cs"/>
          <w:rtl/>
        </w:rPr>
        <w:t xml:space="preserve">یک نسبت </w:t>
      </w:r>
      <w:r w:rsidRPr="0025250D">
        <w:rPr>
          <w:rtl/>
        </w:rPr>
        <w:t>خوش بینی:بدبینی</w:t>
      </w:r>
      <w:r w:rsidRPr="0025250D">
        <w:rPr>
          <w:rFonts w:hint="cs"/>
          <w:rtl/>
        </w:rPr>
        <w:t xml:space="preserve"> 1:8 غیر </w:t>
      </w:r>
      <w:r w:rsidR="00B124DE" w:rsidRPr="0025250D">
        <w:rPr>
          <w:rFonts w:hint="cs"/>
          <w:rtl/>
        </w:rPr>
        <w:t>انطباق‌پذیر</w:t>
      </w:r>
      <w:r w:rsidRPr="0025250D">
        <w:rPr>
          <w:rFonts w:hint="cs"/>
          <w:rtl/>
        </w:rPr>
        <w:t xml:space="preserve"> وقتی رخ می‌دهد که درگیر نوعی از </w:t>
      </w:r>
      <w:r w:rsidRPr="0025250D">
        <w:rPr>
          <w:rtl/>
        </w:rPr>
        <w:t>ش</w:t>
      </w:r>
      <w:r w:rsidRPr="0025250D">
        <w:rPr>
          <w:rFonts w:hint="cs"/>
          <w:rtl/>
        </w:rPr>
        <w:t>ی</w:t>
      </w:r>
      <w:r w:rsidRPr="0025250D">
        <w:rPr>
          <w:rFonts w:hint="eastAsia"/>
          <w:rtl/>
        </w:rPr>
        <w:t>دا</w:t>
      </w:r>
      <w:r w:rsidRPr="0025250D">
        <w:rPr>
          <w:rFonts w:hint="cs"/>
          <w:rtl/>
        </w:rPr>
        <w:t>یی</w:t>
      </w:r>
      <w:r w:rsidRPr="0025250D">
        <w:rPr>
          <w:vertAlign w:val="superscript"/>
          <w:rtl/>
        </w:rPr>
        <w:footnoteReference w:id="1965"/>
      </w:r>
      <w:r w:rsidRPr="0025250D">
        <w:rPr>
          <w:rFonts w:hint="cs"/>
          <w:rtl/>
        </w:rPr>
        <w:t xml:space="preserve"> باشیم. کتاب کلاسیک</w:t>
      </w:r>
      <w:r w:rsidR="008D6F97" w:rsidRPr="0025250D">
        <w:rPr>
          <w:rtl/>
        </w:rPr>
        <w:t xml:space="preserve"> </w:t>
      </w:r>
      <w:r w:rsidR="006A0B96" w:rsidRPr="0025250D">
        <w:rPr>
          <w:rtl/>
        </w:rPr>
        <w:t>چارلز مک</w:t>
      </w:r>
      <w:r w:rsidR="006A0B96" w:rsidRPr="0025250D">
        <w:rPr>
          <w:rFonts w:hint="cs"/>
          <w:rtl/>
        </w:rPr>
        <w:t>ی</w:t>
      </w:r>
      <w:r w:rsidR="006A0B96" w:rsidRPr="0025250D">
        <w:rPr>
          <w:rStyle w:val="FootnoteReference"/>
          <w:rtl/>
        </w:rPr>
        <w:footnoteReference w:id="1966"/>
      </w:r>
      <w:r w:rsidRPr="0025250D">
        <w:rPr>
          <w:rFonts w:hint="cs"/>
          <w:rtl/>
        </w:rPr>
        <w:t xml:space="preserve"> با عنوان توهمات محبوب خارق العاده و جنون مردم</w:t>
      </w:r>
      <w:r w:rsidRPr="0025250D">
        <w:rPr>
          <w:vertAlign w:val="superscript"/>
          <w:rtl/>
        </w:rPr>
        <w:footnoteReference w:id="1967"/>
      </w:r>
      <w:r w:rsidRPr="0025250D">
        <w:rPr>
          <w:rFonts w:hint="cs"/>
          <w:rtl/>
        </w:rPr>
        <w:t xml:space="preserve"> در سال 1841، یک کتاب کلاسیک درمورد این نسبت است. این کتاب نشان می‌دهد که چگونه تفکر </w:t>
      </w:r>
      <w:r w:rsidR="00933C48" w:rsidRPr="0025250D">
        <w:rPr>
          <w:rFonts w:hint="cs"/>
          <w:rtl/>
        </w:rPr>
        <w:t>شیدا</w:t>
      </w:r>
      <w:r w:rsidR="006A0B96" w:rsidRPr="0025250D">
        <w:rPr>
          <w:rFonts w:hint="cs"/>
          <w:rtl/>
        </w:rPr>
        <w:t>یی</w:t>
      </w:r>
      <w:r w:rsidRPr="0025250D">
        <w:rPr>
          <w:rFonts w:hint="cs"/>
          <w:rtl/>
        </w:rPr>
        <w:t xml:space="preserve"> و از روی ترس چندساله در طول تاریخ رخ داده اند. </w:t>
      </w:r>
      <w:r w:rsidR="00933C48" w:rsidRPr="0025250D">
        <w:rPr>
          <w:rtl/>
        </w:rPr>
        <w:t>شیدایی</w:t>
      </w:r>
      <w:r w:rsidRPr="0025250D">
        <w:rPr>
          <w:rFonts w:hint="cs"/>
          <w:rtl/>
        </w:rPr>
        <w:t xml:space="preserve"> </w:t>
      </w:r>
      <w:r w:rsidR="00F50EB4" w:rsidRPr="0025250D">
        <w:rPr>
          <w:rFonts w:hint="cs"/>
          <w:rtl/>
        </w:rPr>
        <w:t>سرمایه‌گذاری</w:t>
      </w:r>
      <w:r w:rsidRPr="0025250D">
        <w:rPr>
          <w:rFonts w:hint="cs"/>
          <w:rtl/>
        </w:rPr>
        <w:t xml:space="preserve"> وقتی طمع از عقل سلیم بیشتر باشد </w:t>
      </w:r>
      <w:r w:rsidRPr="0025250D">
        <w:rPr>
          <w:rFonts w:cs="Times New Roman" w:hint="cs"/>
          <w:rtl/>
        </w:rPr>
        <w:t>–</w:t>
      </w:r>
      <w:r w:rsidRPr="0025250D">
        <w:rPr>
          <w:rFonts w:hint="cs"/>
          <w:rtl/>
        </w:rPr>
        <w:t xml:space="preserve"> مانند </w:t>
      </w:r>
      <w:r w:rsidR="00933C48" w:rsidRPr="0025250D">
        <w:rPr>
          <w:rFonts w:hint="cs"/>
          <w:rtl/>
        </w:rPr>
        <w:t xml:space="preserve">شیدایی برای دامنه </w:t>
      </w:r>
      <w:r w:rsidRPr="0025250D">
        <w:rPr>
          <w:rtl/>
        </w:rPr>
        <w:t>دات کام</w:t>
      </w:r>
      <w:r w:rsidR="00933C48" w:rsidRPr="0025250D">
        <w:rPr>
          <w:rStyle w:val="FootnoteReference"/>
          <w:rtl/>
        </w:rPr>
        <w:footnoteReference w:id="1968"/>
      </w:r>
      <w:r w:rsidRPr="0025250D">
        <w:rPr>
          <w:rFonts w:hint="cs"/>
          <w:rtl/>
        </w:rPr>
        <w:t xml:space="preserve">، </w:t>
      </w:r>
      <w:r w:rsidR="00933C48" w:rsidRPr="0025250D">
        <w:rPr>
          <w:rtl/>
        </w:rPr>
        <w:t>شیدایی</w:t>
      </w:r>
      <w:r w:rsidRPr="0025250D">
        <w:rPr>
          <w:rFonts w:hint="cs"/>
          <w:rtl/>
        </w:rPr>
        <w:t xml:space="preserve"> املاک متعدد و </w:t>
      </w:r>
      <w:r w:rsidR="00933C48" w:rsidRPr="0025250D">
        <w:rPr>
          <w:rtl/>
        </w:rPr>
        <w:t>شیدایی</w:t>
      </w:r>
      <w:r w:rsidRPr="0025250D">
        <w:rPr>
          <w:rFonts w:hint="cs"/>
          <w:rtl/>
        </w:rPr>
        <w:t xml:space="preserve"> اخیر </w:t>
      </w:r>
      <w:r w:rsidR="00F50EB4" w:rsidRPr="0025250D">
        <w:rPr>
          <w:rFonts w:hint="cs"/>
          <w:rtl/>
        </w:rPr>
        <w:t>سرمایه‌گذاری</w:t>
      </w:r>
      <w:r w:rsidRPr="0025250D">
        <w:rPr>
          <w:rFonts w:hint="cs"/>
          <w:rtl/>
        </w:rPr>
        <w:t xml:space="preserve"> بیت کوین و </w:t>
      </w:r>
      <w:r w:rsidRPr="0025250D">
        <w:t>ICO</w:t>
      </w:r>
      <w:r w:rsidRPr="0025250D">
        <w:rPr>
          <w:rFonts w:hint="cs"/>
          <w:rtl/>
        </w:rPr>
        <w:t xml:space="preserve"> </w:t>
      </w:r>
      <w:r w:rsidRPr="0025250D">
        <w:rPr>
          <w:rFonts w:cs="Times New Roman" w:hint="cs"/>
          <w:rtl/>
        </w:rPr>
        <w:t>–</w:t>
      </w:r>
      <w:r w:rsidRPr="0025250D">
        <w:rPr>
          <w:rFonts w:hint="cs"/>
          <w:rtl/>
        </w:rPr>
        <w:t xml:space="preserve"> پدیدار می‌شوند. چنین تفکری همچنین در تفکر آرمان شهری، وقتی به تصور واقعیت‌های آینده‌ای به طرز غیر واقعی کامل، هماهنگ یا </w:t>
      </w:r>
      <w:r w:rsidR="0008779C" w:rsidRPr="0025250D">
        <w:rPr>
          <w:rFonts w:hint="cs"/>
          <w:rtl/>
        </w:rPr>
        <w:t>ایدئال</w:t>
      </w:r>
      <w:r w:rsidRPr="0025250D">
        <w:rPr>
          <w:rFonts w:hint="cs"/>
          <w:rtl/>
        </w:rPr>
        <w:t xml:space="preserve"> ادامه می‌دهیم رخ می‌دهد. ما به درستی یک متفکر آرمانشهری را </w:t>
      </w:r>
      <w:r w:rsidRPr="0025250D">
        <w:rPr>
          <w:rtl/>
        </w:rPr>
        <w:t>پول</w:t>
      </w:r>
      <w:r w:rsidRPr="0025250D">
        <w:rPr>
          <w:rFonts w:hint="cs"/>
          <w:rtl/>
        </w:rPr>
        <w:t>ی</w:t>
      </w:r>
      <w:r w:rsidRPr="0025250D">
        <w:rPr>
          <w:rFonts w:hint="eastAsia"/>
          <w:rtl/>
        </w:rPr>
        <w:t>انا</w:t>
      </w:r>
      <w:r w:rsidRPr="0025250D">
        <w:rPr>
          <w:vertAlign w:val="superscript"/>
          <w:rtl/>
        </w:rPr>
        <w:footnoteReference w:id="1969"/>
      </w:r>
      <w:r w:rsidRPr="0025250D">
        <w:rPr>
          <w:rFonts w:hint="cs"/>
          <w:rtl/>
        </w:rPr>
        <w:t xml:space="preserve"> می‌نامیم، یعنی کسی که </w:t>
      </w:r>
      <w:r w:rsidR="008F0DD8" w:rsidRPr="0025250D">
        <w:rPr>
          <w:rFonts w:hint="cs"/>
          <w:rtl/>
        </w:rPr>
        <w:t>آن‌قدر</w:t>
      </w:r>
      <w:r w:rsidRPr="0025250D">
        <w:rPr>
          <w:rFonts w:hint="cs"/>
          <w:rtl/>
        </w:rPr>
        <w:t xml:space="preserve"> بر پتانسیل مثبت چیزها متمرکز است که نمی‌تواند فجایع را </w:t>
      </w:r>
      <w:r w:rsidR="00D92F6E" w:rsidRPr="0025250D">
        <w:rPr>
          <w:rFonts w:hint="cs"/>
          <w:rtl/>
        </w:rPr>
        <w:t>پیش‌بین</w:t>
      </w:r>
      <w:r w:rsidRPr="0025250D">
        <w:rPr>
          <w:rFonts w:hint="cs"/>
          <w:rtl/>
        </w:rPr>
        <w:t xml:space="preserve">ی کند یا برای آن‌ها آماده شود. در </w:t>
      </w:r>
      <w:r w:rsidR="00933C48" w:rsidRPr="0025250D">
        <w:rPr>
          <w:rtl/>
        </w:rPr>
        <w:t>شیدایی</w:t>
      </w:r>
      <w:r w:rsidRPr="0025250D">
        <w:rPr>
          <w:rFonts w:hint="cs"/>
          <w:rtl/>
        </w:rPr>
        <w:t>، ما به خیالات خوشایند وسواس پیدا می‌کنیم. ما هیچگاه ریسک و خطر را نمی‌بینیم، یا از خود در مقابل آینده‌های قابل اجتناب دفاع نمی‌کنیم.</w:t>
      </w:r>
    </w:p>
    <w:p w14:paraId="502BCC2C" w14:textId="6D4555FF" w:rsidR="00537CC8" w:rsidRPr="0025250D" w:rsidRDefault="00537CC8" w:rsidP="00537CC8">
      <w:pPr>
        <w:rPr>
          <w:rtl/>
        </w:rPr>
      </w:pPr>
      <w:r w:rsidRPr="0025250D">
        <w:rPr>
          <w:rFonts w:hint="cs"/>
          <w:rtl/>
        </w:rPr>
        <w:t xml:space="preserve">یک نسبت </w:t>
      </w:r>
      <w:r w:rsidR="00B124DE" w:rsidRPr="0025250D">
        <w:rPr>
          <w:rFonts w:hint="cs"/>
          <w:rtl/>
        </w:rPr>
        <w:t>انطباق‌پذیر</w:t>
      </w:r>
      <w:r w:rsidRPr="0025250D">
        <w:rPr>
          <w:rFonts w:hint="cs"/>
          <w:rtl/>
        </w:rPr>
        <w:t xml:space="preserve"> خوش بینی:بدبینی 8:1 وقتی درگیر تعارضات شویم رخ می‌دهد. در یک مبارزه برای یک علت اخلاقی، این کار به ما در مواردی، برای تمرکز توجهمان بر روی همه جوانب منفی یا ایراد دار رقیب کمک می‌کند تا برای فعالیت‌های دردناک و پر ریسک، از جمله فداکاری </w:t>
      </w:r>
      <w:r w:rsidR="001A3F0A" w:rsidRPr="0025250D">
        <w:rPr>
          <w:rFonts w:hint="cs"/>
          <w:rtl/>
        </w:rPr>
        <w:t>فردی</w:t>
      </w:r>
      <w:r w:rsidRPr="0025250D">
        <w:rPr>
          <w:rFonts w:hint="cs"/>
          <w:rtl/>
        </w:rPr>
        <w:t>، مثلا</w:t>
      </w:r>
      <w:r w:rsidR="003B7DAA" w:rsidRPr="0025250D">
        <w:rPr>
          <w:rFonts w:hint="cs"/>
          <w:rtl/>
        </w:rPr>
        <w:t xml:space="preserve"> برای حل و فصل نزاع</w:t>
      </w:r>
      <w:r w:rsidRPr="0025250D">
        <w:rPr>
          <w:rFonts w:hint="cs"/>
          <w:rtl/>
        </w:rPr>
        <w:t xml:space="preserve"> در یک جنگ موجه انگیزه دهد. در یک مورد رایج‌تر، یک آشکار سازی یا نقد دقیق در مورد یک </w:t>
      </w:r>
      <w:r w:rsidR="008D6F97" w:rsidRPr="0025250D">
        <w:rPr>
          <w:rFonts w:hint="cs"/>
          <w:rtl/>
        </w:rPr>
        <w:t>سامانه‌</w:t>
      </w:r>
      <w:r w:rsidRPr="0025250D">
        <w:rPr>
          <w:rFonts w:hint="cs"/>
          <w:rtl/>
        </w:rPr>
        <w:t xml:space="preserve"> دچار اشکال، نوع دیگری از نزاع است که این نسبت شدید می‌تواند بسیار مفید باشد. ما از این نسبت در روزنامه نگاری جستجوگر</w:t>
      </w:r>
      <w:r w:rsidRPr="0025250D">
        <w:rPr>
          <w:vertAlign w:val="superscript"/>
          <w:rtl/>
        </w:rPr>
        <w:footnoteReference w:id="1970"/>
      </w:r>
      <w:r w:rsidRPr="0025250D">
        <w:rPr>
          <w:rFonts w:hint="cs"/>
          <w:rtl/>
        </w:rPr>
        <w:t>، وقتی درمورد یک جرم، بحران یا فساد و دلایل پیچیده آن گزارش می‌دهیم استفاده می‌کنیم. نقد و ارتباط منفی گسترده در چنین زمینه‌هایی برای دوره‌های کوتاه تضمین شده به نظر می‌رسند. گاهی اوقات یک آشکار سازی برای خارج کردن مخاطب از خوشنودی و تشخیص جدی بودن یک مسئله مورد نیاز است.</w:t>
      </w:r>
    </w:p>
    <w:p w14:paraId="3B44916C" w14:textId="195B43A6" w:rsidR="00537CC8" w:rsidRPr="0025250D" w:rsidRDefault="00537CC8" w:rsidP="00537CC8">
      <w:pPr>
        <w:rPr>
          <w:rtl/>
        </w:rPr>
      </w:pPr>
      <w:r w:rsidRPr="0025250D">
        <w:rPr>
          <w:rFonts w:hint="cs"/>
          <w:rtl/>
        </w:rPr>
        <w:t xml:space="preserve">این امر همچنین همان چیزی است که ما در ذهن خود وقتی داستان‌های </w:t>
      </w:r>
      <w:r w:rsidR="0060055A" w:rsidRPr="0025250D">
        <w:rPr>
          <w:rFonts w:hint="cs"/>
          <w:rtl/>
        </w:rPr>
        <w:t>ویران‌شهر</w:t>
      </w:r>
      <w:r w:rsidRPr="0025250D">
        <w:rPr>
          <w:rFonts w:hint="cs"/>
          <w:rtl/>
        </w:rPr>
        <w:t>ی</w:t>
      </w:r>
      <w:r w:rsidRPr="0025250D">
        <w:rPr>
          <w:vertAlign w:val="superscript"/>
          <w:rtl/>
        </w:rPr>
        <w:footnoteReference w:id="1971"/>
      </w:r>
      <w:r w:rsidRPr="0025250D">
        <w:rPr>
          <w:rFonts w:hint="cs"/>
          <w:rtl/>
        </w:rPr>
        <w:t xml:space="preserve"> را به‌عنوان یک سرگرمی تماشا می‌کنیم انجام می‌دهیم. به طور تقریبی، تخمین می‌زنیم که بیش‌تر ما ترجیح می‌دهیم که </w:t>
      </w:r>
      <w:r w:rsidRPr="0025250D">
        <w:rPr>
          <w:rtl/>
        </w:rPr>
        <w:t>پروتوپ</w:t>
      </w:r>
      <w:r w:rsidRPr="0025250D">
        <w:rPr>
          <w:rFonts w:hint="cs"/>
          <w:rtl/>
        </w:rPr>
        <w:t>ی</w:t>
      </w:r>
      <w:r w:rsidRPr="0025250D">
        <w:rPr>
          <w:rFonts w:hint="eastAsia"/>
          <w:rtl/>
        </w:rPr>
        <w:t>ا</w:t>
      </w:r>
      <w:r w:rsidRPr="0025250D">
        <w:rPr>
          <w:vertAlign w:val="superscript"/>
          <w:rtl/>
        </w:rPr>
        <w:footnoteReference w:id="1972"/>
      </w:r>
      <w:r w:rsidRPr="0025250D">
        <w:rPr>
          <w:rFonts w:hint="cs"/>
          <w:rtl/>
        </w:rPr>
        <w:t xml:space="preserve"> (واقع شهر) و </w:t>
      </w:r>
      <w:r w:rsidR="0060055A" w:rsidRPr="0025250D">
        <w:rPr>
          <w:rFonts w:hint="cs"/>
          <w:rtl/>
        </w:rPr>
        <w:t>ویران‌شهر</w:t>
      </w:r>
      <w:r w:rsidRPr="0025250D">
        <w:rPr>
          <w:rFonts w:hint="cs"/>
          <w:rtl/>
        </w:rPr>
        <w:t>‌ها را با نسبت 8:1 ببینیم. ممکن است این کار را به این دلیل انجام دهیم که از درامای</w:t>
      </w:r>
      <w:r w:rsidRPr="0025250D">
        <w:rPr>
          <w:rtl/>
        </w:rPr>
        <w:t xml:space="preserve"> </w:t>
      </w:r>
      <w:r w:rsidRPr="0025250D">
        <w:rPr>
          <w:rFonts w:hint="cs"/>
          <w:rtl/>
        </w:rPr>
        <w:t xml:space="preserve">تعارض و حل و فصل آن لذت می‌بریم. اگرچه، توجه کنید که تقریبا همه دراماهای مطلوب ما با نوعی پایان مثبت تمام می‌شوند، بنابراین درحالی که آن‌ها ممکن است در طرح داستانی و تجربه کلی خود نسبت‌های </w:t>
      </w:r>
      <w:r w:rsidRPr="0025250D">
        <w:rPr>
          <w:rtl/>
        </w:rPr>
        <w:t>خوش بینی:بدبینی</w:t>
      </w:r>
      <w:r w:rsidRPr="0025250D">
        <w:rPr>
          <w:rFonts w:hint="cs"/>
          <w:rtl/>
        </w:rPr>
        <w:t xml:space="preserve"> 8:1 داشته باشند، در منحنی‌های توسعه شخصیت‌های کلیدی بدبینی بسیار کم‌تری دارند. حتی در شرایط </w:t>
      </w:r>
      <w:r w:rsidR="0060055A" w:rsidRPr="0025250D">
        <w:rPr>
          <w:rFonts w:hint="cs"/>
          <w:rtl/>
        </w:rPr>
        <w:t>ویران‌شهر</w:t>
      </w:r>
      <w:r w:rsidRPr="0025250D">
        <w:rPr>
          <w:rFonts w:hint="cs"/>
          <w:rtl/>
        </w:rPr>
        <w:t xml:space="preserve">ی، ما به دنبال یک توسعه مثبت و حل و فصل راضی </w:t>
      </w:r>
      <w:r w:rsidR="00923DDB" w:rsidRPr="0025250D">
        <w:rPr>
          <w:rFonts w:hint="cs"/>
          <w:rtl/>
        </w:rPr>
        <w:t>کننده‌ای</w:t>
      </w:r>
      <w:r w:rsidRPr="0025250D">
        <w:rPr>
          <w:rFonts w:hint="cs"/>
          <w:rtl/>
        </w:rPr>
        <w:t>ن تعارض هستیم. جستجویی برای تعارض و حل و فصل آن، همان روشی است که همه ما از طریق آن دراما تولید می‌کنیم.</w:t>
      </w:r>
    </w:p>
    <w:p w14:paraId="508BA31E" w14:textId="77777777" w:rsidR="00537CC8" w:rsidRPr="0025250D" w:rsidRDefault="00537CC8" w:rsidP="00537CC8">
      <w:pPr>
        <w:rPr>
          <w:rtl/>
        </w:rPr>
      </w:pPr>
      <w:r w:rsidRPr="0025250D">
        <w:rPr>
          <w:rFonts w:hint="cs"/>
          <w:rtl/>
        </w:rPr>
        <w:t>در نظر بگیرید که شادی انسان چقدر فرار است. ما به سرعت از شرایط فعلی خود ناراضی می‌شویم؛ مستقل از این که این شرایط به صورت منصفانه ممکن است چقدر عالی باشد. ما از نظر باطنی، به صورت پیاپی بر نواقص متعددی در تجارب خودمان تمرکز می‌کنیم، اگرچه به صورت حداقلی. درست مانند توهمات مثبت، توهمات منفی موقتی‌تر می‌توانند ما را به اصلاح این نواقص و پیشرفت برسانند.</w:t>
      </w:r>
    </w:p>
    <w:p w14:paraId="17FD894C" w14:textId="0E1F6B47" w:rsidR="00537CC8" w:rsidRPr="0025250D" w:rsidRDefault="00537CC8" w:rsidP="00537CC8">
      <w:pPr>
        <w:rPr>
          <w:rtl/>
        </w:rPr>
      </w:pPr>
      <w:r w:rsidRPr="0025250D">
        <w:rPr>
          <w:rFonts w:hint="cs"/>
          <w:rtl/>
        </w:rPr>
        <w:t xml:space="preserve">یک نسبت </w:t>
      </w:r>
      <w:r w:rsidRPr="0025250D">
        <w:rPr>
          <w:rtl/>
        </w:rPr>
        <w:t>خوش بینی:بدبینی</w:t>
      </w:r>
      <w:r w:rsidRPr="0025250D">
        <w:rPr>
          <w:rFonts w:hint="cs"/>
          <w:rtl/>
        </w:rPr>
        <w:t xml:space="preserve"> 8:1 غیر </w:t>
      </w:r>
      <w:r w:rsidR="00B124DE" w:rsidRPr="0025250D">
        <w:rPr>
          <w:rFonts w:hint="cs"/>
          <w:rtl/>
        </w:rPr>
        <w:t>انطباق‌پذیر</w:t>
      </w:r>
      <w:r w:rsidRPr="0025250D">
        <w:rPr>
          <w:rFonts w:hint="cs"/>
          <w:rtl/>
        </w:rPr>
        <w:t xml:space="preserve"> در ترس‌ها رخ می‌دهد؛ زمانی که ما دچار ترس توجیه نشده ای، اغلب به صورت گروهی می‌شویم، مانند ترس‌ها در بازار سهام. این امر همچنین وقتی یک تبلیغ سیاسی ترس اشتباه و تهدید‌های قلابی ایجاد می‌کند، رخ می‌دهد. یک فروشنده کوتاه مدت ممکن است تلاش کند تا چنین وحشتی را ایجاد کرده و از آن سود ببرد. رهبران مستبد این امر را وقتی به دنبال ترساندن شهروندان خود برای اطاعت آن‌ها از خود باشند مفید می‌دانند. وحشت مراکز ترس ما</w:t>
      </w:r>
      <w:r w:rsidR="003B7DAA" w:rsidRPr="0025250D">
        <w:rPr>
          <w:rFonts w:hint="cs"/>
          <w:rtl/>
        </w:rPr>
        <w:t xml:space="preserve"> را</w:t>
      </w:r>
      <w:r w:rsidRPr="0025250D">
        <w:rPr>
          <w:rFonts w:hint="cs"/>
          <w:rtl/>
        </w:rPr>
        <w:t xml:space="preserve"> (</w:t>
      </w:r>
      <w:r w:rsidR="008D6F97" w:rsidRPr="0025250D">
        <w:rPr>
          <w:rFonts w:hint="cs"/>
          <w:rtl/>
        </w:rPr>
        <w:t>سامانه‌</w:t>
      </w:r>
      <w:r w:rsidRPr="0025250D">
        <w:rPr>
          <w:rFonts w:hint="cs"/>
          <w:rtl/>
        </w:rPr>
        <w:t xml:space="preserve"> </w:t>
      </w:r>
      <w:r w:rsidRPr="0025250D">
        <w:rPr>
          <w:rtl/>
        </w:rPr>
        <w:t>ل</w:t>
      </w:r>
      <w:r w:rsidRPr="0025250D">
        <w:rPr>
          <w:rFonts w:hint="cs"/>
          <w:rtl/>
        </w:rPr>
        <w:t>ی</w:t>
      </w:r>
      <w:r w:rsidRPr="0025250D">
        <w:rPr>
          <w:rFonts w:hint="eastAsia"/>
          <w:rtl/>
        </w:rPr>
        <w:t>مب</w:t>
      </w:r>
      <w:r w:rsidRPr="0025250D">
        <w:rPr>
          <w:rFonts w:hint="cs"/>
          <w:rtl/>
        </w:rPr>
        <w:t>ی</w:t>
      </w:r>
      <w:r w:rsidRPr="0025250D">
        <w:rPr>
          <w:rFonts w:hint="eastAsia"/>
          <w:rtl/>
        </w:rPr>
        <w:t>ک</w:t>
      </w:r>
      <w:r w:rsidRPr="0025250D">
        <w:rPr>
          <w:rFonts w:hint="cs"/>
          <w:rtl/>
        </w:rPr>
        <w:t xml:space="preserve">) فعال می‌کند و یک پاسخ مبارزه یا فرار (که اکنون همچنین پاسخ استرسی حاد نیز نامیده می‌شود) ایجاد می‌کند. این کار </w:t>
      </w:r>
      <w:r w:rsidR="008D6F97" w:rsidRPr="0025250D">
        <w:rPr>
          <w:rFonts w:hint="cs"/>
          <w:rtl/>
        </w:rPr>
        <w:t>سامانه‌</w:t>
      </w:r>
      <w:r w:rsidRPr="0025250D">
        <w:rPr>
          <w:rFonts w:hint="cs"/>
          <w:rtl/>
        </w:rPr>
        <w:t xml:space="preserve"> عصبی سمپاتیک</w:t>
      </w:r>
      <w:r w:rsidRPr="0025250D">
        <w:rPr>
          <w:vertAlign w:val="superscript"/>
          <w:rtl/>
        </w:rPr>
        <w:footnoteReference w:id="1973"/>
      </w:r>
      <w:r w:rsidRPr="0025250D">
        <w:rPr>
          <w:rFonts w:hint="cs"/>
          <w:rtl/>
        </w:rPr>
        <w:t xml:space="preserve"> ما را فعال کرده و ما را برای مبارزه یا فرار آماده می‌کند. این فعال سازی برای کوتاه مدت </w:t>
      </w:r>
      <w:r w:rsidR="00B124DE" w:rsidRPr="0025250D">
        <w:rPr>
          <w:rFonts w:hint="cs"/>
          <w:rtl/>
        </w:rPr>
        <w:t>انطباق‌پذیر</w:t>
      </w:r>
      <w:r w:rsidRPr="0025250D">
        <w:rPr>
          <w:rFonts w:hint="cs"/>
          <w:rtl/>
        </w:rPr>
        <w:t xml:space="preserve"> است، زمانی که به </w:t>
      </w:r>
      <w:r w:rsidR="00D92F6E" w:rsidRPr="0025250D">
        <w:rPr>
          <w:rFonts w:hint="cs"/>
          <w:rtl/>
        </w:rPr>
        <w:t>آماده‌سازی</w:t>
      </w:r>
      <w:r w:rsidRPr="0025250D">
        <w:rPr>
          <w:rFonts w:hint="cs"/>
          <w:rtl/>
        </w:rPr>
        <w:t xml:space="preserve"> برای حل و فصل یا اجتناب از تعارض آماده می‌شویم، اما فعال سازی مزمن این پاسخ استرسی از نظر هیجانی برای هر فرد، گروه یا جامعه‌ای ناسالم است.</w:t>
      </w:r>
    </w:p>
    <w:p w14:paraId="7488E273" w14:textId="61BD8A6C" w:rsidR="00537CC8" w:rsidRPr="0025250D" w:rsidRDefault="00537CC8" w:rsidP="00537CC8">
      <w:pPr>
        <w:rPr>
          <w:rtl/>
        </w:rPr>
      </w:pPr>
      <w:r w:rsidRPr="0025250D">
        <w:rPr>
          <w:rFonts w:hint="cs"/>
          <w:rtl/>
        </w:rPr>
        <w:t xml:space="preserve">یک نسبت </w:t>
      </w:r>
      <w:r w:rsidRPr="0025250D">
        <w:rPr>
          <w:rtl/>
        </w:rPr>
        <w:t>خوش بینی:بدبینی</w:t>
      </w:r>
      <w:r w:rsidRPr="0025250D">
        <w:rPr>
          <w:rFonts w:hint="cs"/>
          <w:rtl/>
        </w:rPr>
        <w:t xml:space="preserve"> 8:1 بنابراین یک نسخه بسیار بد برای اخبار و رسانه‌های غیر تخیلی است. با این وجود، بسیاری از اخبار شبکه‌ای و بسیاری از رسانه‌های اجتماعی به این نسبت </w:t>
      </w:r>
      <w:r w:rsidR="002B6515" w:rsidRPr="0025250D">
        <w:rPr>
          <w:rtl/>
        </w:rPr>
        <w:t>حس‌داد</w:t>
      </w:r>
      <w:r w:rsidRPr="0025250D">
        <w:rPr>
          <w:rFonts w:hint="cs"/>
          <w:rtl/>
        </w:rPr>
        <w:t xml:space="preserve"> در سال‌های اخیر متمایل شده‌اند، زیرا این نسبت توجه ما را جلب می‌کند و وحشت نادرستی ایجاد می‌کند. نسبت‌های 2:1، 4:1 یا 8:1 مداوم هر یک به شکل فزاینده‌ای نسخه‌های شدید سوگیری </w:t>
      </w:r>
      <w:r w:rsidRPr="0025250D">
        <w:t>DROA</w:t>
      </w:r>
      <w:r w:rsidRPr="0025250D">
        <w:rPr>
          <w:rFonts w:hint="cs"/>
          <w:rtl/>
        </w:rPr>
        <w:t xml:space="preserve"> هستند. وقتی ما از آن‌ها به شکل شدیدی استفاده می‌کنیم، این نسبت‌ها تهدید مهمی برای توانایی بشر </w:t>
      </w:r>
      <w:r w:rsidR="003B7DAA" w:rsidRPr="0025250D">
        <w:rPr>
          <w:rFonts w:hint="cs"/>
          <w:rtl/>
        </w:rPr>
        <w:t>جهت</w:t>
      </w:r>
      <w:r w:rsidRPr="0025250D">
        <w:rPr>
          <w:rFonts w:hint="cs"/>
          <w:rtl/>
        </w:rPr>
        <w:t xml:space="preserve"> دیدن مزایا و فرصت‌های اطراف هستند.</w:t>
      </w:r>
    </w:p>
    <w:p w14:paraId="42645EAC" w14:textId="797ED8E7" w:rsidR="00537CC8" w:rsidRPr="0025250D" w:rsidRDefault="007118DE" w:rsidP="00537CC8">
      <w:pPr>
        <w:rPr>
          <w:rtl/>
        </w:rPr>
      </w:pPr>
      <w:r w:rsidRPr="0025250D">
        <w:rPr>
          <w:rFonts w:hint="cs"/>
          <w:rtl/>
        </w:rPr>
        <w:t>همان‌طور</w:t>
      </w:r>
      <w:r w:rsidR="00537CC8" w:rsidRPr="0025250D">
        <w:rPr>
          <w:rFonts w:hint="cs"/>
          <w:rtl/>
        </w:rPr>
        <w:t xml:space="preserve"> که کتاب </w:t>
      </w:r>
      <w:r w:rsidR="00E402E3" w:rsidRPr="0025250D">
        <w:rPr>
          <w:rtl/>
        </w:rPr>
        <w:t>«</w:t>
      </w:r>
      <w:r w:rsidR="00537CC8" w:rsidRPr="0025250D">
        <w:rPr>
          <w:rFonts w:hint="cs"/>
          <w:rtl/>
        </w:rPr>
        <w:t>فرهنگ ترس: چرا آمریکایی‌ها از چیز‌های اشتباهی می‌ترسند</w:t>
      </w:r>
      <w:r w:rsidR="00537CC8" w:rsidRPr="0025250D">
        <w:rPr>
          <w:vertAlign w:val="superscript"/>
          <w:rtl/>
        </w:rPr>
        <w:footnoteReference w:id="1974"/>
      </w:r>
      <w:r w:rsidR="00E402E3" w:rsidRPr="0025250D">
        <w:rPr>
          <w:rtl/>
        </w:rPr>
        <w:t>»</w:t>
      </w:r>
      <w:r w:rsidR="00537CC8" w:rsidRPr="0025250D">
        <w:rPr>
          <w:rFonts w:hint="cs"/>
          <w:rtl/>
        </w:rPr>
        <w:t xml:space="preserve"> در سال 1999/2018 به ما یادآوری می‌کند، این امر برای بیش‌تر اخبار شبکه‌ای در 60 سال قبل حقیقت نداشت. برخی از منابع خبری محبوب‌تر ما از زمان ظهور روزنامه نگاری زرد</w:t>
      </w:r>
      <w:r w:rsidR="00537CC8" w:rsidRPr="0025250D">
        <w:rPr>
          <w:vertAlign w:val="superscript"/>
          <w:rtl/>
        </w:rPr>
        <w:footnoteReference w:id="1975"/>
      </w:r>
      <w:r w:rsidR="00537CC8" w:rsidRPr="0025250D">
        <w:rPr>
          <w:rFonts w:hint="cs"/>
          <w:rtl/>
        </w:rPr>
        <w:t xml:space="preserve"> در اواخر قرن 19 تمایل به منفی بافی داشه اند</w:t>
      </w:r>
      <w:r w:rsidR="008D6F97" w:rsidRPr="0025250D">
        <w:rPr>
          <w:rtl/>
        </w:rPr>
        <w:t xml:space="preserve">؛ </w:t>
      </w:r>
      <w:r w:rsidR="00537CC8" w:rsidRPr="0025250D">
        <w:rPr>
          <w:rFonts w:hint="cs"/>
          <w:rtl/>
        </w:rPr>
        <w:t xml:space="preserve">اما تنها اخیرا این امر برای توصیف اکثریت رسانه‌های جمعی استفاده می‌شود. این نسبت‌های </w:t>
      </w:r>
      <w:r w:rsidR="00537CC8" w:rsidRPr="0025250D">
        <w:rPr>
          <w:rtl/>
        </w:rPr>
        <w:t>خوش بینی:بدبینی</w:t>
      </w:r>
      <w:r w:rsidR="00537CC8" w:rsidRPr="0025250D">
        <w:rPr>
          <w:rFonts w:hint="cs"/>
          <w:rtl/>
        </w:rPr>
        <w:t xml:space="preserve"> منفی با تجاری‌تر شدن و 24 ساعته شدن کانال‌های رسانه‌ای ما در دهه 1980 رشد کردند. از آن زمان، پلتفرم‌های برتر، دیگر به دنبال الهام بخشی، </w:t>
      </w:r>
      <w:r w:rsidR="00EE4B64" w:rsidRPr="0025250D">
        <w:rPr>
          <w:rFonts w:hint="cs"/>
          <w:rtl/>
        </w:rPr>
        <w:t>چشم‌اندازسازی</w:t>
      </w:r>
      <w:r w:rsidR="00537CC8" w:rsidRPr="0025250D">
        <w:rPr>
          <w:rFonts w:hint="cs"/>
          <w:rtl/>
        </w:rPr>
        <w:t xml:space="preserve"> و بحث </w:t>
      </w:r>
      <w:r w:rsidR="003B7DAA" w:rsidRPr="0025250D">
        <w:rPr>
          <w:rFonts w:hint="cs"/>
          <w:rtl/>
        </w:rPr>
        <w:t>نبوده‌اند</w:t>
      </w:r>
      <w:r w:rsidR="00537CC8" w:rsidRPr="0025250D">
        <w:rPr>
          <w:rFonts w:hint="cs"/>
          <w:rtl/>
        </w:rPr>
        <w:t xml:space="preserve">، بلکه بیش‌تر داستان‌هایی دراماتیک از تحول و اختلال، ریسک و تهدید را </w:t>
      </w:r>
      <w:r w:rsidR="003B7DAA" w:rsidRPr="0025250D">
        <w:rPr>
          <w:rFonts w:hint="cs"/>
          <w:rtl/>
        </w:rPr>
        <w:t>ارائه می‌کرده‌اند</w:t>
      </w:r>
      <w:r w:rsidR="00537CC8" w:rsidRPr="0025250D">
        <w:rPr>
          <w:rFonts w:hint="cs"/>
          <w:rtl/>
        </w:rPr>
        <w:t>. در همین زمان، با رشد زرسالاری، قواعد برای محتوای منصفانه و متوازن از بین رفته اند.</w:t>
      </w:r>
    </w:p>
    <w:p w14:paraId="1F90C0EE" w14:textId="12EFC6DB" w:rsidR="00537CC8" w:rsidRPr="0025250D" w:rsidRDefault="00537CC8" w:rsidP="00537CC8">
      <w:pPr>
        <w:rPr>
          <w:rtl/>
        </w:rPr>
      </w:pPr>
      <w:r w:rsidRPr="0025250D">
        <w:rPr>
          <w:rFonts w:hint="cs"/>
          <w:rtl/>
        </w:rPr>
        <w:t>رسانه‌های جمعی امروزی، دنیای اطراف ما را به‌عنوان مجموعه‌ای از بحران‌ها و درام‌های ساختگی ارائه می‌دهند. چنین اخباری دنیا را به یک تصادف ماشینی بی پایان و افرادی که تمایل به مصرف آن را دارند به جهانگردانی دائمی تبدیل کرده</w:t>
      </w:r>
      <w:r w:rsidR="003B7DAA" w:rsidRPr="0025250D">
        <w:rPr>
          <w:rFonts w:hint="cs"/>
          <w:rtl/>
        </w:rPr>
        <w:t>‌اند</w:t>
      </w:r>
      <w:r w:rsidRPr="0025250D">
        <w:rPr>
          <w:rFonts w:hint="cs"/>
          <w:rtl/>
        </w:rPr>
        <w:t xml:space="preserve">. </w:t>
      </w:r>
      <w:r w:rsidR="00D30084" w:rsidRPr="0025250D">
        <w:rPr>
          <w:rFonts w:hint="cs"/>
          <w:rtl/>
        </w:rPr>
        <w:t>آینده‌نگار</w:t>
      </w:r>
      <w:r w:rsidRPr="0025250D">
        <w:rPr>
          <w:rFonts w:hint="cs"/>
          <w:rtl/>
        </w:rPr>
        <w:t xml:space="preserve"> و سیاست مدار آل گور</w:t>
      </w:r>
      <w:r w:rsidRPr="0025250D">
        <w:rPr>
          <w:vertAlign w:val="superscript"/>
          <w:rtl/>
        </w:rPr>
        <w:footnoteReference w:id="1976"/>
      </w:r>
      <w:r w:rsidRPr="0025250D">
        <w:rPr>
          <w:rFonts w:hint="cs"/>
          <w:rtl/>
        </w:rPr>
        <w:t xml:space="preserve"> در کتاب خود به نام حمله به استدلال</w:t>
      </w:r>
      <w:r w:rsidRPr="0025250D">
        <w:rPr>
          <w:vertAlign w:val="superscript"/>
          <w:rtl/>
        </w:rPr>
        <w:footnoteReference w:id="1977"/>
      </w:r>
      <w:r w:rsidRPr="0025250D">
        <w:rPr>
          <w:rFonts w:hint="cs"/>
          <w:rtl/>
        </w:rPr>
        <w:t xml:space="preserve"> در سال 2008/2017 به‌خوبی رسانه‌های جمعی </w:t>
      </w:r>
      <w:r w:rsidR="0060055A" w:rsidRPr="0025250D">
        <w:rPr>
          <w:rFonts w:hint="cs"/>
          <w:rtl/>
        </w:rPr>
        <w:t>ویران‌شهری</w:t>
      </w:r>
      <w:r w:rsidRPr="0025250D">
        <w:rPr>
          <w:rFonts w:hint="cs"/>
          <w:rtl/>
        </w:rPr>
        <w:t xml:space="preserve"> ما را توصیف می‌کند و به شکل خردمندانه‌ای همه گیری اخبار جعلی امروزی ما را </w:t>
      </w:r>
      <w:r w:rsidR="00D92F6E" w:rsidRPr="0025250D">
        <w:rPr>
          <w:rFonts w:hint="cs"/>
          <w:rtl/>
        </w:rPr>
        <w:t>پیش‌بین</w:t>
      </w:r>
      <w:r w:rsidRPr="0025250D">
        <w:rPr>
          <w:rFonts w:hint="cs"/>
          <w:rtl/>
        </w:rPr>
        <w:t>ی کرد. کتاب بشریت: یک تاریخ امیدوارانه</w:t>
      </w:r>
      <w:r w:rsidRPr="0025250D">
        <w:rPr>
          <w:vertAlign w:val="superscript"/>
          <w:rtl/>
        </w:rPr>
        <w:footnoteReference w:id="1978"/>
      </w:r>
      <w:r w:rsidRPr="0025250D">
        <w:rPr>
          <w:rFonts w:hint="cs"/>
          <w:rtl/>
        </w:rPr>
        <w:t xml:space="preserve"> اثر </w:t>
      </w:r>
      <w:r w:rsidRPr="0025250D">
        <w:rPr>
          <w:rtl/>
        </w:rPr>
        <w:t>راتگر برگمن</w:t>
      </w:r>
      <w:r w:rsidRPr="0025250D">
        <w:rPr>
          <w:vertAlign w:val="superscript"/>
          <w:rtl/>
        </w:rPr>
        <w:footnoteReference w:id="1979"/>
      </w:r>
      <w:r w:rsidRPr="0025250D">
        <w:rPr>
          <w:rFonts w:hint="cs"/>
          <w:rtl/>
        </w:rPr>
        <w:t xml:space="preserve"> در سال 2020 مطالعاتی از شهر‌ها است که نشان می‌دهند چگونه مصرف دائمی چنین اخباری به سلامت ذهنی و فیزیکی ما آسیب می‌زند.</w:t>
      </w:r>
    </w:p>
    <w:p w14:paraId="0F463924" w14:textId="15F3C7EE" w:rsidR="00537CC8" w:rsidRPr="0025250D" w:rsidRDefault="00537CC8" w:rsidP="00BE4252">
      <w:pPr>
        <w:rPr>
          <w:rtl/>
        </w:rPr>
      </w:pPr>
      <w:r w:rsidRPr="0025250D">
        <w:rPr>
          <w:rtl/>
        </w:rPr>
        <w:t>دان گلمن</w:t>
      </w:r>
      <w:r w:rsidRPr="0025250D">
        <w:rPr>
          <w:vertAlign w:val="superscript"/>
          <w:rtl/>
        </w:rPr>
        <w:footnoteReference w:id="1980"/>
      </w:r>
      <w:r w:rsidRPr="0025250D">
        <w:rPr>
          <w:rFonts w:hint="cs"/>
          <w:rtl/>
        </w:rPr>
        <w:t xml:space="preserve"> این نوع از ارتباطات را </w:t>
      </w:r>
      <w:r w:rsidR="00E402E3" w:rsidRPr="0025250D">
        <w:rPr>
          <w:rtl/>
        </w:rPr>
        <w:t>«</w:t>
      </w:r>
      <w:r w:rsidRPr="0025250D">
        <w:rPr>
          <w:rtl/>
        </w:rPr>
        <w:t>ربودن آم</w:t>
      </w:r>
      <w:r w:rsidRPr="0025250D">
        <w:rPr>
          <w:rFonts w:hint="cs"/>
          <w:rtl/>
        </w:rPr>
        <w:t>ی</w:t>
      </w:r>
      <w:r w:rsidRPr="0025250D">
        <w:rPr>
          <w:rFonts w:hint="eastAsia"/>
          <w:rtl/>
        </w:rPr>
        <w:t>گدال</w:t>
      </w:r>
      <w:r w:rsidRPr="0025250D">
        <w:rPr>
          <w:vertAlign w:val="superscript"/>
          <w:rtl/>
        </w:rPr>
        <w:footnoteReference w:id="1981"/>
      </w:r>
      <w:r w:rsidR="00E402E3" w:rsidRPr="0025250D">
        <w:rPr>
          <w:rtl/>
        </w:rPr>
        <w:t>»</w:t>
      </w:r>
      <w:r w:rsidRPr="0025250D">
        <w:rPr>
          <w:rFonts w:hint="cs"/>
          <w:rtl/>
        </w:rPr>
        <w:t xml:space="preserve"> می‌نامد. این ارتباطات از </w:t>
      </w:r>
      <w:r w:rsidR="008D6F97" w:rsidRPr="0025250D">
        <w:rPr>
          <w:rFonts w:hint="cs"/>
          <w:rtl/>
        </w:rPr>
        <w:t>سامانه‌</w:t>
      </w:r>
      <w:r w:rsidRPr="0025250D">
        <w:rPr>
          <w:rFonts w:hint="cs"/>
          <w:rtl/>
        </w:rPr>
        <w:t xml:space="preserve"> 1، یعنی مغز هیجانی ما، برای متمرکز نگهداشتن ما بر فجایع و بحران‌ها، هم موارد حقیقی و هم موارد خیالی، استفاده می‌کند. تحمل چنین اخبار یا سرگرمی‌هایی از نظر </w:t>
      </w:r>
      <w:r w:rsidR="00BE4252" w:rsidRPr="0025250D">
        <w:rPr>
          <w:rFonts w:hint="cs"/>
          <w:rtl/>
        </w:rPr>
        <w:t>هیجانی</w:t>
      </w:r>
      <w:r w:rsidRPr="0025250D">
        <w:rPr>
          <w:rFonts w:hint="cs"/>
          <w:rtl/>
        </w:rPr>
        <w:t xml:space="preserve"> خسته کننده است. این کار قدرت اراده ما را تحلیل می‌برد و ما را کم‌تر مط</w:t>
      </w:r>
      <w:r w:rsidR="005005E7" w:rsidRPr="0025250D">
        <w:rPr>
          <w:rFonts w:hint="cs"/>
          <w:rtl/>
        </w:rPr>
        <w:t>مئ</w:t>
      </w:r>
      <w:r w:rsidRPr="0025250D">
        <w:rPr>
          <w:rFonts w:hint="cs"/>
          <w:rtl/>
        </w:rPr>
        <w:t>ن و نوآور می‌سازد. ما نیاز داریم تشخیص دهیم که چه زمانی فریب داده می‌شویم</w:t>
      </w:r>
      <w:r w:rsidR="005005E7" w:rsidRPr="0025250D">
        <w:rPr>
          <w:rFonts w:hint="cs"/>
          <w:rtl/>
        </w:rPr>
        <w:t xml:space="preserve"> و</w:t>
      </w:r>
      <w:r w:rsidRPr="0025250D">
        <w:rPr>
          <w:rFonts w:hint="cs"/>
          <w:rtl/>
        </w:rPr>
        <w:t xml:space="preserve"> زمان بیش از حدی را به تخریب جهان پیرامونمان می‌گذرانیم و چه زمانی از این نسبت </w:t>
      </w:r>
      <w:r w:rsidR="002B6515" w:rsidRPr="0025250D">
        <w:rPr>
          <w:rtl/>
        </w:rPr>
        <w:t>حس‌داد</w:t>
      </w:r>
      <w:r w:rsidRPr="0025250D">
        <w:rPr>
          <w:rFonts w:hint="cs"/>
          <w:rtl/>
        </w:rPr>
        <w:t xml:space="preserve"> سمی خارج شویم. همه شبکه‌های اصلی ما، در هر دو جناح سیاسی راست و چپ، اکنون این کار را به صورت دائمی انجام می‌دهند. شاید یک نام تعریف کننده بهتر برای شبکه </w:t>
      </w:r>
      <w:r w:rsidRPr="0025250D">
        <w:rPr>
          <w:rtl/>
        </w:rPr>
        <w:t>اخبار فاکس</w:t>
      </w:r>
      <w:r w:rsidRPr="0025250D">
        <w:rPr>
          <w:vertAlign w:val="superscript"/>
          <w:rtl/>
        </w:rPr>
        <w:footnoteReference w:id="1982"/>
      </w:r>
      <w:r w:rsidRPr="0025250D">
        <w:rPr>
          <w:rFonts w:hint="cs"/>
          <w:rtl/>
        </w:rPr>
        <w:t xml:space="preserve"> می‌توانست </w:t>
      </w:r>
      <w:r w:rsidR="00E402E3" w:rsidRPr="0025250D">
        <w:rPr>
          <w:rtl/>
        </w:rPr>
        <w:t>«</w:t>
      </w:r>
      <w:r w:rsidRPr="0025250D">
        <w:rPr>
          <w:rtl/>
        </w:rPr>
        <w:t>اخبار فاکس</w:t>
      </w:r>
      <w:r w:rsidRPr="0025250D">
        <w:rPr>
          <w:rFonts w:hint="cs"/>
          <w:rtl/>
        </w:rPr>
        <w:t xml:space="preserve"> ه</w:t>
      </w:r>
      <w:r w:rsidRPr="0025250D">
        <w:rPr>
          <w:rtl/>
        </w:rPr>
        <w:t>ول</w:t>
      </w:r>
      <w:r w:rsidRPr="0025250D">
        <w:rPr>
          <w:vertAlign w:val="superscript"/>
          <w:rtl/>
        </w:rPr>
        <w:footnoteReference w:id="1983"/>
      </w:r>
      <w:r w:rsidR="00E402E3" w:rsidRPr="0025250D">
        <w:rPr>
          <w:rtl/>
        </w:rPr>
        <w:t>»</w:t>
      </w:r>
      <w:r w:rsidRPr="0025250D">
        <w:rPr>
          <w:rFonts w:hint="cs"/>
          <w:rtl/>
        </w:rPr>
        <w:t xml:space="preserve"> باشد زیرا </w:t>
      </w:r>
      <w:r w:rsidR="008F0DD8" w:rsidRPr="0025250D">
        <w:rPr>
          <w:rFonts w:hint="cs"/>
          <w:rtl/>
        </w:rPr>
        <w:t>آن‌قدر</w:t>
      </w:r>
      <w:r w:rsidRPr="0025250D">
        <w:rPr>
          <w:rFonts w:hint="cs"/>
          <w:rtl/>
        </w:rPr>
        <w:t xml:space="preserve"> </w:t>
      </w:r>
      <w:r w:rsidR="005005E7" w:rsidRPr="0025250D">
        <w:rPr>
          <w:rFonts w:hint="cs"/>
          <w:rtl/>
        </w:rPr>
        <w:t>تعارضات</w:t>
      </w:r>
      <w:r w:rsidRPr="0025250D">
        <w:rPr>
          <w:rFonts w:hint="cs"/>
          <w:rtl/>
        </w:rPr>
        <w:t xml:space="preserve"> دراماتیک را گزارش می‌کند که ما را به عقب نشینی به لانه روباه و جوامع محصور خود تشویق می‌</w:t>
      </w:r>
      <w:r w:rsidR="005005E7" w:rsidRPr="0025250D">
        <w:rPr>
          <w:rFonts w:hint="cs"/>
          <w:rtl/>
        </w:rPr>
        <w:t>نماید</w:t>
      </w:r>
      <w:r w:rsidRPr="0025250D">
        <w:rPr>
          <w:rFonts w:hint="cs"/>
          <w:rtl/>
        </w:rPr>
        <w:t>؛ ب</w:t>
      </w:r>
      <w:r w:rsidR="005005E7" w:rsidRPr="0025250D">
        <w:rPr>
          <w:rFonts w:hint="cs"/>
          <w:rtl/>
        </w:rPr>
        <w:t xml:space="preserve">ه </w:t>
      </w:r>
      <w:r w:rsidRPr="0025250D">
        <w:rPr>
          <w:rFonts w:hint="cs"/>
          <w:rtl/>
        </w:rPr>
        <w:t xml:space="preserve">جای این که ما را با دیگر افرادی که تفکر متفاوتی نسبت به ما دارند برای یافتن </w:t>
      </w:r>
      <w:r w:rsidR="00B56611" w:rsidRPr="0025250D">
        <w:rPr>
          <w:rFonts w:hint="cs"/>
          <w:rtl/>
        </w:rPr>
        <w:t>چشم‌انداز</w:t>
      </w:r>
      <w:r w:rsidRPr="0025250D">
        <w:rPr>
          <w:rFonts w:hint="cs"/>
          <w:rtl/>
        </w:rPr>
        <w:t xml:space="preserve">‌های مثبت مشترک برای آینده مواجه کند. نام بهتر برای </w:t>
      </w:r>
      <w:r w:rsidRPr="0025250D">
        <w:t>CNN</w:t>
      </w:r>
      <w:r w:rsidRPr="0025250D">
        <w:rPr>
          <w:rFonts w:hint="cs"/>
          <w:rtl/>
        </w:rPr>
        <w:t xml:space="preserve">، آنطور که </w:t>
      </w:r>
      <w:r w:rsidRPr="0025250D">
        <w:rPr>
          <w:rtl/>
        </w:rPr>
        <w:t>پ</w:t>
      </w:r>
      <w:r w:rsidRPr="0025250D">
        <w:rPr>
          <w:rFonts w:hint="cs"/>
          <w:rtl/>
        </w:rPr>
        <w:t>ی</w:t>
      </w:r>
      <w:r w:rsidRPr="0025250D">
        <w:rPr>
          <w:rFonts w:hint="eastAsia"/>
          <w:rtl/>
        </w:rPr>
        <w:t>تر</w:t>
      </w:r>
      <w:r w:rsidRPr="0025250D">
        <w:rPr>
          <w:rtl/>
        </w:rPr>
        <w:t xml:space="preserve"> د</w:t>
      </w:r>
      <w:r w:rsidRPr="0025250D">
        <w:rPr>
          <w:rFonts w:hint="cs"/>
          <w:rtl/>
        </w:rPr>
        <w:t>ی</w:t>
      </w:r>
      <w:r w:rsidRPr="0025250D">
        <w:rPr>
          <w:rFonts w:hint="eastAsia"/>
          <w:rtl/>
        </w:rPr>
        <w:t>اماند</w:t>
      </w:r>
      <w:r w:rsidRPr="0025250D">
        <w:rPr>
          <w:rFonts w:hint="cs"/>
          <w:rtl/>
        </w:rPr>
        <w:t>ی</w:t>
      </w:r>
      <w:r w:rsidRPr="0025250D">
        <w:rPr>
          <w:rFonts w:hint="eastAsia"/>
          <w:rtl/>
        </w:rPr>
        <w:t>س</w:t>
      </w:r>
      <w:r w:rsidRPr="0025250D">
        <w:rPr>
          <w:rFonts w:hint="cs"/>
          <w:rtl/>
        </w:rPr>
        <w:t xml:space="preserve"> می‌گوید، می‌تواند </w:t>
      </w:r>
      <w:r w:rsidR="00E402E3" w:rsidRPr="0025250D">
        <w:rPr>
          <w:rtl/>
        </w:rPr>
        <w:t>«</w:t>
      </w:r>
      <w:r w:rsidRPr="0025250D">
        <w:rPr>
          <w:rFonts w:hint="cs"/>
          <w:rtl/>
        </w:rPr>
        <w:t>اخبار منفی دائمی</w:t>
      </w:r>
      <w:r w:rsidR="00E402E3" w:rsidRPr="0025250D">
        <w:rPr>
          <w:rtl/>
        </w:rPr>
        <w:t>»</w:t>
      </w:r>
      <w:r w:rsidRPr="0025250D">
        <w:rPr>
          <w:rFonts w:hint="cs"/>
          <w:rtl/>
        </w:rPr>
        <w:t xml:space="preserve"> باشد. </w:t>
      </w:r>
      <w:r w:rsidRPr="0025250D">
        <w:rPr>
          <w:rtl/>
        </w:rPr>
        <w:t>ف</w:t>
      </w:r>
      <w:r w:rsidRPr="0025250D">
        <w:rPr>
          <w:rFonts w:hint="cs"/>
          <w:rtl/>
        </w:rPr>
        <w:t>ی</w:t>
      </w:r>
      <w:r w:rsidRPr="0025250D">
        <w:rPr>
          <w:rFonts w:hint="eastAsia"/>
          <w:rtl/>
        </w:rPr>
        <w:t>س</w:t>
      </w:r>
      <w:r w:rsidRPr="0025250D">
        <w:rPr>
          <w:rtl/>
        </w:rPr>
        <w:t xml:space="preserve"> بوک</w:t>
      </w:r>
      <w:r w:rsidRPr="0025250D">
        <w:rPr>
          <w:rFonts w:hint="cs"/>
          <w:rtl/>
        </w:rPr>
        <w:t xml:space="preserve"> هم به نوبه خود در سال‌های اخیر به فیک بوک</w:t>
      </w:r>
      <w:r w:rsidRPr="0025250D">
        <w:rPr>
          <w:vertAlign w:val="superscript"/>
          <w:rtl/>
        </w:rPr>
        <w:footnoteReference w:id="1984"/>
      </w:r>
      <w:r w:rsidRPr="0025250D">
        <w:rPr>
          <w:rFonts w:hint="cs"/>
          <w:rtl/>
        </w:rPr>
        <w:t xml:space="preserve"> (کتاب جعلی) تبدیل شده است. این شبکه اکنون به تازگی آغاز به توسعه ابزار‌هایی برای شناسایی اخبار جعلی</w:t>
      </w:r>
      <w:r w:rsidR="005005E7" w:rsidRPr="0025250D">
        <w:rPr>
          <w:rFonts w:hint="cs"/>
          <w:rtl/>
        </w:rPr>
        <w:t xml:space="preserve"> کرده است؛</w:t>
      </w:r>
      <w:r w:rsidRPr="0025250D">
        <w:rPr>
          <w:rFonts w:hint="cs"/>
          <w:rtl/>
        </w:rPr>
        <w:t xml:space="preserve"> پس از </w:t>
      </w:r>
      <w:r w:rsidR="005005E7" w:rsidRPr="0025250D">
        <w:rPr>
          <w:rFonts w:hint="cs"/>
          <w:rtl/>
        </w:rPr>
        <w:t>اینکه</w:t>
      </w:r>
      <w:r w:rsidRPr="0025250D">
        <w:rPr>
          <w:rFonts w:hint="cs"/>
          <w:rtl/>
        </w:rPr>
        <w:t xml:space="preserve"> به انجام این کار پس از انتخابات 2016 </w:t>
      </w:r>
      <w:r w:rsidR="005005E7" w:rsidRPr="0025250D">
        <w:rPr>
          <w:rFonts w:hint="cs"/>
          <w:rtl/>
        </w:rPr>
        <w:t>وادار شد</w:t>
      </w:r>
      <w:r w:rsidRPr="0025250D">
        <w:rPr>
          <w:rFonts w:hint="cs"/>
          <w:rtl/>
        </w:rPr>
        <w:t xml:space="preserve">. این شبکه همچنین هیچ علاقه‌ای به کنار گذاشتن هیچ یک از ابزارهای موجودِ در اختیار ما ندارد، زیرا این کار </w:t>
      </w:r>
      <w:r w:rsidRPr="0025250D">
        <w:rPr>
          <w:rtl/>
        </w:rPr>
        <w:t>م</w:t>
      </w:r>
      <w:r w:rsidRPr="0025250D">
        <w:rPr>
          <w:rFonts w:hint="cs"/>
          <w:rtl/>
        </w:rPr>
        <w:t>ی</w:t>
      </w:r>
      <w:r w:rsidRPr="0025250D">
        <w:rPr>
          <w:rFonts w:hint="eastAsia"/>
          <w:rtl/>
        </w:rPr>
        <w:t>کرو</w:t>
      </w:r>
      <w:r w:rsidRPr="0025250D">
        <w:rPr>
          <w:rtl/>
        </w:rPr>
        <w:t xml:space="preserve"> هدف گذار</w:t>
      </w:r>
      <w:r w:rsidRPr="0025250D">
        <w:rPr>
          <w:rFonts w:hint="cs"/>
          <w:rtl/>
        </w:rPr>
        <w:t>ی</w:t>
      </w:r>
      <w:r w:rsidRPr="0025250D">
        <w:rPr>
          <w:vertAlign w:val="superscript"/>
          <w:rtl/>
        </w:rPr>
        <w:footnoteReference w:id="1985"/>
      </w:r>
      <w:r w:rsidRPr="0025250D">
        <w:rPr>
          <w:rFonts w:hint="cs"/>
          <w:rtl/>
        </w:rPr>
        <w:t xml:space="preserve"> و مدل تبلیغات رانشی</w:t>
      </w:r>
      <w:r w:rsidRPr="0025250D">
        <w:rPr>
          <w:vertAlign w:val="superscript"/>
          <w:rtl/>
        </w:rPr>
        <w:footnoteReference w:id="1986"/>
      </w:r>
      <w:r w:rsidRPr="0025250D">
        <w:rPr>
          <w:rFonts w:hint="cs"/>
          <w:rtl/>
        </w:rPr>
        <w:t xml:space="preserve"> آن را مختل می‌کند.</w:t>
      </w:r>
    </w:p>
    <w:p w14:paraId="140AC2EB" w14:textId="3B6AD4C1" w:rsidR="00537CC8" w:rsidRPr="0025250D" w:rsidRDefault="00537CC8" w:rsidP="00537CC8">
      <w:pPr>
        <w:rPr>
          <w:rtl/>
        </w:rPr>
      </w:pPr>
      <w:r w:rsidRPr="0025250D">
        <w:rPr>
          <w:rFonts w:hint="cs"/>
          <w:rtl/>
        </w:rPr>
        <w:t xml:space="preserve">برای محافظت از عاملیت فردی خود، ما باید قرار گیری خود در معرض رسانه‌های گزارش دهنده بحران‌های جعلی را به حداقل برسانیم. یک راه برای اجتناب از جانب داری </w:t>
      </w:r>
      <w:r w:rsidRPr="0025250D">
        <w:t>DROA</w:t>
      </w:r>
      <w:r w:rsidRPr="0025250D">
        <w:rPr>
          <w:rFonts w:hint="cs"/>
          <w:rtl/>
        </w:rPr>
        <w:t xml:space="preserve"> رسانه ای، دریافت بیش‌تر خبر هایمان از تازه واردان آنلاینی است که محتوای خود را بر اخبار و نکات مفید متمرکز می‌کنند (برای یک لیست اولیه پیوست 3 را ببینید)؛ از خبرنامه‌های هفتگی مانند، اکونومیست و </w:t>
      </w:r>
      <w:r w:rsidRPr="0025250D">
        <w:rPr>
          <w:rtl/>
        </w:rPr>
        <w:t>ب</w:t>
      </w:r>
      <w:r w:rsidRPr="0025250D">
        <w:rPr>
          <w:rFonts w:hint="cs"/>
          <w:rtl/>
        </w:rPr>
        <w:t>ی</w:t>
      </w:r>
      <w:r w:rsidRPr="0025250D">
        <w:rPr>
          <w:rFonts w:hint="eastAsia"/>
          <w:rtl/>
        </w:rPr>
        <w:t>ز</w:t>
      </w:r>
      <w:r w:rsidRPr="0025250D">
        <w:rPr>
          <w:rFonts w:hint="cs"/>
          <w:rtl/>
        </w:rPr>
        <w:t>ی</w:t>
      </w:r>
      <w:r w:rsidRPr="0025250D">
        <w:rPr>
          <w:rFonts w:hint="eastAsia"/>
          <w:rtl/>
        </w:rPr>
        <w:t>نس</w:t>
      </w:r>
      <w:r w:rsidRPr="0025250D">
        <w:rPr>
          <w:rtl/>
        </w:rPr>
        <w:t xml:space="preserve"> و</w:t>
      </w:r>
      <w:r w:rsidRPr="0025250D">
        <w:rPr>
          <w:rFonts w:hint="cs"/>
          <w:rtl/>
        </w:rPr>
        <w:t>ی</w:t>
      </w:r>
      <w:r w:rsidRPr="0025250D">
        <w:rPr>
          <w:rFonts w:hint="eastAsia"/>
          <w:rtl/>
        </w:rPr>
        <w:t>ک</w:t>
      </w:r>
      <w:r w:rsidRPr="0025250D">
        <w:rPr>
          <w:vertAlign w:val="superscript"/>
          <w:rtl/>
        </w:rPr>
        <w:footnoteReference w:id="1987"/>
      </w:r>
      <w:r w:rsidRPr="0025250D">
        <w:rPr>
          <w:rFonts w:hint="cs"/>
          <w:rtl/>
        </w:rPr>
        <w:t xml:space="preserve"> گرفته تا خبرنامه‌های دو هفته نامه و ماهانه‌ای مانند ساینس نیوز</w:t>
      </w:r>
      <w:r w:rsidRPr="0025250D">
        <w:rPr>
          <w:vertAlign w:val="superscript"/>
          <w:rtl/>
        </w:rPr>
        <w:footnoteReference w:id="1988"/>
      </w:r>
      <w:r w:rsidRPr="0025250D">
        <w:rPr>
          <w:rFonts w:hint="cs"/>
          <w:rtl/>
        </w:rPr>
        <w:t>. ما استفاده صحیح از پلتفرم‌هایی مانند ریل کلیر ورلد</w:t>
      </w:r>
      <w:r w:rsidRPr="0025250D">
        <w:rPr>
          <w:vertAlign w:val="superscript"/>
          <w:rtl/>
        </w:rPr>
        <w:footnoteReference w:id="1989"/>
      </w:r>
      <w:r w:rsidRPr="0025250D">
        <w:rPr>
          <w:rFonts w:hint="cs"/>
          <w:rtl/>
        </w:rPr>
        <w:t>، مدیوم</w:t>
      </w:r>
      <w:r w:rsidRPr="0025250D">
        <w:rPr>
          <w:vertAlign w:val="superscript"/>
          <w:rtl/>
        </w:rPr>
        <w:footnoteReference w:id="1990"/>
      </w:r>
      <w:r w:rsidRPr="0025250D">
        <w:rPr>
          <w:rFonts w:hint="cs"/>
          <w:rtl/>
        </w:rPr>
        <w:t>، کورا</w:t>
      </w:r>
      <w:r w:rsidRPr="0025250D">
        <w:rPr>
          <w:vertAlign w:val="superscript"/>
          <w:rtl/>
        </w:rPr>
        <w:footnoteReference w:id="1991"/>
      </w:r>
      <w:r w:rsidRPr="0025250D">
        <w:rPr>
          <w:rFonts w:hint="cs"/>
          <w:rtl/>
        </w:rPr>
        <w:t xml:space="preserve">، </w:t>
      </w:r>
      <w:r w:rsidRPr="0025250D">
        <w:rPr>
          <w:rtl/>
        </w:rPr>
        <w:t>ل</w:t>
      </w:r>
      <w:r w:rsidRPr="0025250D">
        <w:rPr>
          <w:rFonts w:hint="cs"/>
          <w:rtl/>
        </w:rPr>
        <w:t>ی</w:t>
      </w:r>
      <w:r w:rsidRPr="0025250D">
        <w:rPr>
          <w:rFonts w:hint="eastAsia"/>
          <w:rtl/>
        </w:rPr>
        <w:t>نکد</w:t>
      </w:r>
      <w:r w:rsidRPr="0025250D">
        <w:rPr>
          <w:rFonts w:hint="cs"/>
          <w:rtl/>
        </w:rPr>
        <w:t>ی</w:t>
      </w:r>
      <w:r w:rsidRPr="0025250D">
        <w:rPr>
          <w:rFonts w:hint="eastAsia"/>
          <w:rtl/>
        </w:rPr>
        <w:t>ن</w:t>
      </w:r>
      <w:r w:rsidRPr="0025250D">
        <w:rPr>
          <w:rFonts w:hint="cs"/>
          <w:rtl/>
        </w:rPr>
        <w:t xml:space="preserve"> و ردیت</w:t>
      </w:r>
      <w:r w:rsidRPr="0025250D">
        <w:rPr>
          <w:vertAlign w:val="superscript"/>
          <w:rtl/>
        </w:rPr>
        <w:footnoteReference w:id="1992"/>
      </w:r>
      <w:r w:rsidRPr="0025250D">
        <w:rPr>
          <w:rFonts w:hint="cs"/>
          <w:rtl/>
        </w:rPr>
        <w:t xml:space="preserve"> را توصیه می‌کنیم. خواندن بیش‌تر خبرها یک هفته دیرتر از وقوع می‌تواند به ما برای قرار دادن آن‌ها در بافت مناسب کمک کند و این کار به ما برای اجتناب از درام روزمره کمک می‌کند. ایجاد ارزش روزانه و عدم جستجوی درام، باید بالاترین اولویت </w:t>
      </w:r>
      <w:r w:rsidR="00B124DE" w:rsidRPr="0025250D">
        <w:rPr>
          <w:rFonts w:hint="cs"/>
          <w:rtl/>
        </w:rPr>
        <w:t>انطباق‌پذیر</w:t>
      </w:r>
      <w:r w:rsidRPr="0025250D">
        <w:rPr>
          <w:rFonts w:hint="cs"/>
          <w:rtl/>
        </w:rPr>
        <w:t xml:space="preserve"> ما باشد.</w:t>
      </w:r>
    </w:p>
    <w:p w14:paraId="7BE4649E" w14:textId="2F776960" w:rsidR="00537CC8" w:rsidRPr="0025250D" w:rsidRDefault="00537CC8" w:rsidP="00537CC8">
      <w:pPr>
        <w:rPr>
          <w:rtl/>
        </w:rPr>
      </w:pPr>
      <w:r w:rsidRPr="0025250D">
        <w:rPr>
          <w:rFonts w:hint="cs"/>
          <w:rtl/>
        </w:rPr>
        <w:t>خوشبختانه، اکنون می‌توانیم دنیایی را در پیش روی خود ببینیم که در آن هوش‌های مصنوعی شخصی ما (</w:t>
      </w:r>
      <w:r w:rsidRPr="0025250D">
        <w:t>PAI</w:t>
      </w:r>
      <w:r w:rsidRPr="0025250D">
        <w:rPr>
          <w:rFonts w:hint="cs"/>
          <w:rtl/>
        </w:rPr>
        <w:t xml:space="preserve"> ها) برای اطمینان از این که توجه و عاملیت فردی ربوده نمی‌شود، به ما کمک می‌کنند. در دنیایی از </w:t>
      </w:r>
      <w:r w:rsidRPr="0025250D">
        <w:t>PAI</w:t>
      </w:r>
      <w:r w:rsidRPr="0025250D">
        <w:rPr>
          <w:rFonts w:hint="cs"/>
          <w:rtl/>
        </w:rPr>
        <w:t xml:space="preserve">‌ها که </w:t>
      </w:r>
      <w:r w:rsidR="00D92F6E" w:rsidRPr="0025250D">
        <w:rPr>
          <w:rFonts w:hint="cs"/>
          <w:rtl/>
        </w:rPr>
        <w:t>پیش‌بین</w:t>
      </w:r>
      <w:r w:rsidRPr="0025250D">
        <w:rPr>
          <w:rFonts w:hint="cs"/>
          <w:rtl/>
        </w:rPr>
        <w:t xml:space="preserve">ی می‌کنیم ابتدا از دهه 2030 پدیدار می‌شوند، تعداد روز افزونی از ما خواهیم توانست دریافت رسانه‌ها و تبلیغات مورد نیاز خود و نه رسانه‌ها و تبلیغاتی که فقط برای ما هزینه زیادی در بر دارند را انتخاب کنیم که با نسبت‌های </w:t>
      </w:r>
      <w:r w:rsidR="002B6515" w:rsidRPr="0025250D">
        <w:rPr>
          <w:rtl/>
        </w:rPr>
        <w:t>حس‌داد</w:t>
      </w:r>
      <w:r w:rsidRPr="0025250D">
        <w:rPr>
          <w:rFonts w:hint="cs"/>
          <w:rtl/>
        </w:rPr>
        <w:t xml:space="preserve"> </w:t>
      </w:r>
      <w:r w:rsidR="0008779C" w:rsidRPr="0025250D">
        <w:rPr>
          <w:rFonts w:hint="cs"/>
          <w:rtl/>
        </w:rPr>
        <w:t>ایدئال</w:t>
      </w:r>
      <w:r w:rsidRPr="0025250D">
        <w:rPr>
          <w:rFonts w:hint="cs"/>
          <w:rtl/>
        </w:rPr>
        <w:t xml:space="preserve"> برای هر بافت و شرایط به ما برسند. این </w:t>
      </w:r>
      <w:r w:rsidR="00B56611" w:rsidRPr="0025250D">
        <w:rPr>
          <w:rFonts w:hint="cs"/>
          <w:rtl/>
        </w:rPr>
        <w:t>چشم‌انداز</w:t>
      </w:r>
      <w:r w:rsidRPr="0025250D">
        <w:rPr>
          <w:rFonts w:hint="cs"/>
          <w:rtl/>
        </w:rPr>
        <w:t xml:space="preserve"> را در کتاب 2 بررسی خواهیم کرد.</w:t>
      </w:r>
    </w:p>
    <w:p w14:paraId="03F50AE5" w14:textId="5C0F7DAA" w:rsidR="00537CC8" w:rsidRPr="0025250D" w:rsidRDefault="00537CC8" w:rsidP="00537CC8">
      <w:pPr>
        <w:rPr>
          <w:rtl/>
        </w:rPr>
      </w:pPr>
      <w:r w:rsidRPr="0025250D">
        <w:rPr>
          <w:rFonts w:hint="cs"/>
          <w:rtl/>
        </w:rPr>
        <w:t xml:space="preserve">یک رهبر و خودرهبر این نسبت‌های </w:t>
      </w:r>
      <w:r w:rsidRPr="0025250D">
        <w:rPr>
          <w:rtl/>
        </w:rPr>
        <w:t>خوش بینی:بدبینی</w:t>
      </w:r>
      <w:r w:rsidRPr="0025250D">
        <w:rPr>
          <w:rFonts w:hint="cs"/>
          <w:rtl/>
        </w:rPr>
        <w:t xml:space="preserve"> را می‌شناسد و می‌داند که چگونه به صورت اخلاقی بر خود و دیگران برای حرکت به سمت نسبت‌های بهتری برای هر بافت تأثیر بگذارد. قبل از </w:t>
      </w:r>
      <w:r w:rsidR="00185F3E" w:rsidRPr="0025250D">
        <w:rPr>
          <w:rFonts w:hint="cs"/>
          <w:rtl/>
        </w:rPr>
        <w:t>نتیجه‌گیری</w:t>
      </w:r>
      <w:r w:rsidRPr="0025250D">
        <w:rPr>
          <w:rFonts w:hint="cs"/>
          <w:rtl/>
        </w:rPr>
        <w:t xml:space="preserve">، بیایید تأمل کنیم: آیا در استفاده از هر یک از این نسبت‌های </w:t>
      </w:r>
      <w:r w:rsidR="002B6515" w:rsidRPr="0025250D">
        <w:rPr>
          <w:rtl/>
        </w:rPr>
        <w:t>حس‌داد</w:t>
      </w:r>
      <w:r w:rsidRPr="0025250D">
        <w:rPr>
          <w:rFonts w:hint="cs"/>
          <w:rtl/>
        </w:rPr>
        <w:t xml:space="preserve"> در کار </w:t>
      </w:r>
      <w:r w:rsidRPr="0025250D">
        <w:rPr>
          <w:rtl/>
        </w:rPr>
        <w:t>آینده‌نگاری</w:t>
      </w:r>
      <w:r w:rsidRPr="0025250D">
        <w:rPr>
          <w:rFonts w:hint="cs"/>
          <w:rtl/>
        </w:rPr>
        <w:t xml:space="preserve"> خود مشکل داریم؟ آیا ما یا تیم هایمان تمایل به استفاده بیش از حد از هیچکدام از این موارد داریم؟ اگر اینطور است، چگونه می‌توانیم این سوگیری را تعدیل کنیم؟ بیایید ارزش </w:t>
      </w:r>
      <w:r w:rsidR="00B124DE" w:rsidRPr="0025250D">
        <w:rPr>
          <w:rFonts w:hint="cs"/>
          <w:rtl/>
        </w:rPr>
        <w:t>انطباق‌پذیر</w:t>
      </w:r>
      <w:r w:rsidRPr="0025250D">
        <w:rPr>
          <w:rFonts w:hint="cs"/>
          <w:rtl/>
        </w:rPr>
        <w:t xml:space="preserve"> هر نسبت را بشناسیم و بیاموزیم که بر حسب نیاز میان آن‌ها حرکت کنیم.</w:t>
      </w:r>
    </w:p>
    <w:p w14:paraId="6AAFB2A7" w14:textId="77777777" w:rsidR="00537CC8" w:rsidRPr="0025250D" w:rsidRDefault="00537CC8" w:rsidP="00537CC8">
      <w:pPr>
        <w:rPr>
          <w:rtl/>
        </w:rPr>
      </w:pPr>
    </w:p>
    <w:p w14:paraId="7165AB19" w14:textId="77777777" w:rsidR="00537CC8" w:rsidRPr="0025250D" w:rsidRDefault="00537CC8" w:rsidP="00537CC8">
      <w:pPr>
        <w:rPr>
          <w:rtl/>
        </w:rPr>
      </w:pPr>
    </w:p>
    <w:p w14:paraId="6461D6A4" w14:textId="77777777" w:rsidR="00537CC8" w:rsidRPr="0025250D" w:rsidRDefault="00537CC8" w:rsidP="00537CC8">
      <w:pPr>
        <w:rPr>
          <w:rtl/>
        </w:rPr>
      </w:pPr>
    </w:p>
    <w:p w14:paraId="18743576" w14:textId="77777777" w:rsidR="00537CC8" w:rsidRPr="0025250D" w:rsidRDefault="00537CC8" w:rsidP="00537CC8">
      <w:pPr>
        <w:rPr>
          <w:rtl/>
        </w:rPr>
      </w:pPr>
    </w:p>
    <w:p w14:paraId="3D33A837" w14:textId="77777777" w:rsidR="00537CC8" w:rsidRPr="0025250D" w:rsidRDefault="00537CC8" w:rsidP="00537CC8">
      <w:pPr>
        <w:rPr>
          <w:rtl/>
        </w:rPr>
      </w:pPr>
    </w:p>
    <w:p w14:paraId="01C9103D" w14:textId="77777777" w:rsidR="00537CC8" w:rsidRPr="0025250D" w:rsidRDefault="00537CC8" w:rsidP="00537CC8">
      <w:pPr>
        <w:rPr>
          <w:rtl/>
        </w:rPr>
      </w:pPr>
    </w:p>
    <w:p w14:paraId="1980A7DD" w14:textId="77777777" w:rsidR="00537CC8" w:rsidRPr="0025250D" w:rsidRDefault="00537CC8" w:rsidP="00537CC8">
      <w:pPr>
        <w:rPr>
          <w:rtl/>
        </w:rPr>
      </w:pPr>
    </w:p>
    <w:p w14:paraId="77B4897F" w14:textId="77777777" w:rsidR="00537CC8" w:rsidRPr="0025250D" w:rsidRDefault="00537CC8" w:rsidP="00537CC8">
      <w:pPr>
        <w:rPr>
          <w:rtl/>
        </w:rPr>
      </w:pPr>
    </w:p>
    <w:p w14:paraId="640BD787" w14:textId="77777777" w:rsidR="00537CC8" w:rsidRPr="0025250D" w:rsidRDefault="00537CC8" w:rsidP="00537CC8">
      <w:pPr>
        <w:rPr>
          <w:rtl/>
        </w:rPr>
      </w:pPr>
    </w:p>
    <w:p w14:paraId="355842C4" w14:textId="77777777" w:rsidR="00537CC8" w:rsidRPr="0025250D" w:rsidRDefault="00537CC8" w:rsidP="00537CC8">
      <w:pPr>
        <w:rPr>
          <w:rtl/>
        </w:rPr>
      </w:pPr>
    </w:p>
    <w:p w14:paraId="16062230" w14:textId="77777777" w:rsidR="00537CC8" w:rsidRPr="0025250D" w:rsidRDefault="00537CC8" w:rsidP="00537CC8">
      <w:pPr>
        <w:rPr>
          <w:rtl/>
        </w:rPr>
      </w:pPr>
    </w:p>
    <w:p w14:paraId="045A3BC5" w14:textId="77777777" w:rsidR="00537CC8" w:rsidRPr="0025250D" w:rsidRDefault="00537CC8" w:rsidP="00537CC8">
      <w:pPr>
        <w:rPr>
          <w:rtl/>
        </w:rPr>
      </w:pPr>
    </w:p>
    <w:p w14:paraId="14B3AE1D" w14:textId="23BCDCE3" w:rsidR="00537CC8" w:rsidRPr="0025250D" w:rsidRDefault="00537CC8" w:rsidP="00D53F87">
      <w:pPr>
        <w:pStyle w:val="Heading2"/>
        <w:rPr>
          <w:rtl/>
        </w:rPr>
      </w:pPr>
      <w:bookmarkStart w:id="58" w:name="_Toc127831323"/>
      <w:r w:rsidRPr="0025250D">
        <w:rPr>
          <w:rFonts w:hint="cs"/>
          <w:rtl/>
        </w:rPr>
        <w:t xml:space="preserve">رهبری </w:t>
      </w:r>
      <w:r w:rsidR="002B6515" w:rsidRPr="0025250D">
        <w:rPr>
          <w:rtl/>
        </w:rPr>
        <w:t>حس‌داد</w:t>
      </w:r>
      <w:r w:rsidRPr="0025250D">
        <w:rPr>
          <w:rFonts w:hint="cs"/>
          <w:rtl/>
        </w:rPr>
        <w:t xml:space="preserve"> 2: </w:t>
      </w:r>
      <w:r w:rsidR="00B56611" w:rsidRPr="0025250D">
        <w:rPr>
          <w:rFonts w:hint="cs"/>
          <w:rtl/>
        </w:rPr>
        <w:t>چشم‌انداز</w:t>
      </w:r>
      <w:r w:rsidRPr="0025250D">
        <w:rPr>
          <w:rFonts w:hint="cs"/>
          <w:rtl/>
        </w:rPr>
        <w:t xml:space="preserve">‌های موفقیت، </w:t>
      </w:r>
      <w:r w:rsidR="00362EF3" w:rsidRPr="0025250D">
        <w:rPr>
          <w:rFonts w:hint="cs"/>
          <w:rtl/>
        </w:rPr>
        <w:t>فرانامه‌های</w:t>
      </w:r>
      <w:r w:rsidRPr="0025250D">
        <w:rPr>
          <w:rFonts w:hint="cs"/>
          <w:rtl/>
        </w:rPr>
        <w:t xml:space="preserve"> شکست، بررسی‌های واقعی</w:t>
      </w:r>
      <w:bookmarkEnd w:id="58"/>
    </w:p>
    <w:p w14:paraId="4C2B5531" w14:textId="4DD8F697" w:rsidR="00537CC8" w:rsidRPr="0025250D" w:rsidRDefault="00537CC8" w:rsidP="00537CC8">
      <w:pPr>
        <w:rPr>
          <w:rtl/>
        </w:rPr>
      </w:pPr>
      <w:r w:rsidRPr="0025250D">
        <w:rPr>
          <w:rFonts w:hint="cs"/>
          <w:rtl/>
        </w:rPr>
        <w:t>هر سازمانی فرهنگ خود را دارد که تحت تأثیر شرایط خاص آن قرار می‌گیرد. سازمان‌های به شدت قابل اطمینان (</w:t>
      </w:r>
      <w:r w:rsidRPr="0025250D">
        <w:t>HRO</w:t>
      </w:r>
      <w:r w:rsidRPr="0025250D">
        <w:rPr>
          <w:rFonts w:hint="cs"/>
          <w:rtl/>
        </w:rPr>
        <w:t xml:space="preserve">) زیادی </w:t>
      </w:r>
      <w:r w:rsidR="00D30084" w:rsidRPr="0025250D">
        <w:rPr>
          <w:rFonts w:hint="cs"/>
          <w:rtl/>
        </w:rPr>
        <w:t>بدبینی تدافعی</w:t>
      </w:r>
      <w:r w:rsidRPr="0025250D">
        <w:rPr>
          <w:rFonts w:hint="cs"/>
          <w:rtl/>
        </w:rPr>
        <w:t xml:space="preserve"> دارند. بسیاری از سازمان‌هایی که اغلب یا اخیرا در بحران </w:t>
      </w:r>
      <w:r w:rsidR="00B124DE" w:rsidRPr="0025250D">
        <w:rPr>
          <w:rFonts w:hint="cs"/>
          <w:rtl/>
        </w:rPr>
        <w:t>بوده‌اند</w:t>
      </w:r>
      <w:r w:rsidRPr="0025250D">
        <w:rPr>
          <w:rFonts w:hint="cs"/>
          <w:rtl/>
        </w:rPr>
        <w:t xml:space="preserve"> نیز ممکن است </w:t>
      </w:r>
      <w:r w:rsidR="00D30084" w:rsidRPr="0025250D">
        <w:rPr>
          <w:rFonts w:hint="cs"/>
          <w:rtl/>
        </w:rPr>
        <w:t>بدبینی تدافعی</w:t>
      </w:r>
      <w:r w:rsidRPr="0025250D">
        <w:rPr>
          <w:rFonts w:hint="cs"/>
          <w:rtl/>
        </w:rPr>
        <w:t xml:space="preserve"> داشته باشند. در مقابل، سازمانهایی که دائما در حال رشد و ترقی هستند می‌توانند خوش بینی </w:t>
      </w:r>
      <w:r w:rsidR="00701E03" w:rsidRPr="0025250D">
        <w:rPr>
          <w:rFonts w:hint="cs"/>
          <w:rtl/>
        </w:rPr>
        <w:t>راهبردی</w:t>
      </w:r>
      <w:r w:rsidRPr="0025250D">
        <w:rPr>
          <w:rFonts w:hint="cs"/>
          <w:rtl/>
        </w:rPr>
        <w:t xml:space="preserve"> داشته باشند</w:t>
      </w:r>
      <w:r w:rsidR="008D6F97" w:rsidRPr="0025250D">
        <w:rPr>
          <w:rtl/>
        </w:rPr>
        <w:t xml:space="preserve">؛ </w:t>
      </w:r>
      <w:r w:rsidR="0020589F" w:rsidRPr="0025250D">
        <w:rPr>
          <w:rtl/>
        </w:rPr>
        <w:t>اما</w:t>
      </w:r>
      <w:r w:rsidRPr="0025250D">
        <w:rPr>
          <w:rFonts w:hint="cs"/>
          <w:rtl/>
        </w:rPr>
        <w:t xml:space="preserve"> تنها به این دلیل که یک سازمان یک فرهنگ </w:t>
      </w:r>
      <w:r w:rsidR="002B6515" w:rsidRPr="0025250D">
        <w:rPr>
          <w:rtl/>
        </w:rPr>
        <w:t>حس‌داد</w:t>
      </w:r>
      <w:r w:rsidRPr="0025250D">
        <w:rPr>
          <w:rFonts w:hint="cs"/>
          <w:rtl/>
        </w:rPr>
        <w:t xml:space="preserve"> خاص دارد، ما نباید از این فرهنگ به‌عنوان بهانه‌ای برای اجتناب از هدایت تیم هایمان به سمت نسبت‌های </w:t>
      </w:r>
      <w:r w:rsidR="002B6515" w:rsidRPr="0025250D">
        <w:rPr>
          <w:rtl/>
        </w:rPr>
        <w:t>حس‌داد</w:t>
      </w:r>
      <w:r w:rsidRPr="0025250D">
        <w:rPr>
          <w:rFonts w:hint="cs"/>
          <w:rtl/>
        </w:rPr>
        <w:t xml:space="preserve"> متفاوت مورد نیاز استفاده کنیم.</w:t>
      </w:r>
    </w:p>
    <w:p w14:paraId="35701DA8" w14:textId="1B040A9E" w:rsidR="00537CC8" w:rsidRPr="0025250D" w:rsidRDefault="007118DE" w:rsidP="00E402E3">
      <w:pPr>
        <w:rPr>
          <w:rtl/>
        </w:rPr>
      </w:pPr>
      <w:r w:rsidRPr="0025250D">
        <w:rPr>
          <w:rFonts w:hint="cs"/>
          <w:rtl/>
        </w:rPr>
        <w:t>همان‌طور</w:t>
      </w:r>
      <w:r w:rsidR="00537CC8" w:rsidRPr="0025250D">
        <w:rPr>
          <w:rFonts w:hint="cs"/>
          <w:rtl/>
        </w:rPr>
        <w:t xml:space="preserve"> که </w:t>
      </w:r>
      <w:r w:rsidR="00537CC8" w:rsidRPr="0025250D">
        <w:rPr>
          <w:rtl/>
        </w:rPr>
        <w:t>پ</w:t>
      </w:r>
      <w:r w:rsidR="00537CC8" w:rsidRPr="0025250D">
        <w:rPr>
          <w:rFonts w:hint="cs"/>
          <w:rtl/>
        </w:rPr>
        <w:t>ی</w:t>
      </w:r>
      <w:r w:rsidR="00537CC8" w:rsidRPr="0025250D">
        <w:rPr>
          <w:rFonts w:hint="eastAsia"/>
          <w:rtl/>
        </w:rPr>
        <w:t>تر</w:t>
      </w:r>
      <w:r w:rsidR="00537CC8" w:rsidRPr="0025250D">
        <w:rPr>
          <w:rtl/>
        </w:rPr>
        <w:t xml:space="preserve"> دراکر</w:t>
      </w:r>
      <w:r w:rsidR="00537CC8" w:rsidRPr="0025250D">
        <w:rPr>
          <w:rFonts w:hint="cs"/>
          <w:rtl/>
        </w:rPr>
        <w:t xml:space="preserve"> می‌گوید، </w:t>
      </w:r>
      <w:r w:rsidR="00E402E3" w:rsidRPr="0025250D">
        <w:rPr>
          <w:rFonts w:hint="cs"/>
          <w:rtl/>
        </w:rPr>
        <w:t>«</w:t>
      </w:r>
      <w:r w:rsidR="00537CC8" w:rsidRPr="0025250D">
        <w:rPr>
          <w:rFonts w:hint="cs"/>
          <w:rtl/>
        </w:rPr>
        <w:t xml:space="preserve">این درست است که فرهنگ </w:t>
      </w:r>
      <w:r w:rsidR="00701E03" w:rsidRPr="0025250D">
        <w:rPr>
          <w:rFonts w:hint="cs"/>
          <w:rtl/>
        </w:rPr>
        <w:t>راهبرد</w:t>
      </w:r>
      <w:r w:rsidR="00537CC8" w:rsidRPr="0025250D">
        <w:rPr>
          <w:rFonts w:hint="cs"/>
          <w:rtl/>
        </w:rPr>
        <w:t xml:space="preserve"> را برای صبحانه می‌خورد</w:t>
      </w:r>
      <w:r w:rsidR="00537CC8" w:rsidRPr="0025250D">
        <w:rPr>
          <w:vertAlign w:val="superscript"/>
          <w:rtl/>
        </w:rPr>
        <w:footnoteReference w:id="1993"/>
      </w:r>
      <w:r w:rsidR="00E402E3" w:rsidRPr="0025250D">
        <w:rPr>
          <w:rtl/>
        </w:rPr>
        <w:t>»</w:t>
      </w:r>
      <w:r w:rsidR="008D6F97" w:rsidRPr="0025250D">
        <w:rPr>
          <w:rtl/>
        </w:rPr>
        <w:t xml:space="preserve">؛ </w:t>
      </w:r>
      <w:r w:rsidR="00537CC8" w:rsidRPr="0025250D">
        <w:rPr>
          <w:rFonts w:hint="cs"/>
          <w:rtl/>
        </w:rPr>
        <w:t xml:space="preserve">اما </w:t>
      </w:r>
      <w:r w:rsidRPr="0025250D">
        <w:rPr>
          <w:rFonts w:hint="cs"/>
          <w:rtl/>
        </w:rPr>
        <w:t>همان‌طور</w:t>
      </w:r>
      <w:r w:rsidR="00537CC8" w:rsidRPr="0025250D">
        <w:rPr>
          <w:rFonts w:hint="cs"/>
          <w:rtl/>
        </w:rPr>
        <w:t xml:space="preserve"> که </w:t>
      </w:r>
      <w:r w:rsidR="00537CC8" w:rsidRPr="0025250D">
        <w:rPr>
          <w:rtl/>
        </w:rPr>
        <w:t>کاتزنباخ</w:t>
      </w:r>
      <w:r w:rsidR="00537CC8" w:rsidRPr="0025250D">
        <w:rPr>
          <w:vertAlign w:val="superscript"/>
          <w:rtl/>
        </w:rPr>
        <w:footnoteReference w:id="1994"/>
      </w:r>
      <w:r w:rsidR="00537CC8" w:rsidRPr="0025250D">
        <w:rPr>
          <w:rFonts w:hint="cs"/>
          <w:rtl/>
        </w:rPr>
        <w:t xml:space="preserve"> و </w:t>
      </w:r>
      <w:r w:rsidR="00537CC8" w:rsidRPr="0025250D">
        <w:rPr>
          <w:rtl/>
        </w:rPr>
        <w:t>هارشاک</w:t>
      </w:r>
      <w:r w:rsidR="00537CC8" w:rsidRPr="0025250D">
        <w:rPr>
          <w:vertAlign w:val="superscript"/>
          <w:rtl/>
        </w:rPr>
        <w:footnoteReference w:id="1995"/>
      </w:r>
      <w:r w:rsidR="00537CC8" w:rsidRPr="0025250D">
        <w:rPr>
          <w:rFonts w:hint="cs"/>
          <w:rtl/>
        </w:rPr>
        <w:t xml:space="preserve"> در </w:t>
      </w:r>
      <w:r w:rsidR="00E402E3" w:rsidRPr="0025250D">
        <w:rPr>
          <w:rFonts w:hint="cs"/>
          <w:rtl/>
        </w:rPr>
        <w:t>«</w:t>
      </w:r>
      <w:r w:rsidR="00537CC8" w:rsidRPr="0025250D">
        <w:rPr>
          <w:rFonts w:hint="cs"/>
          <w:rtl/>
        </w:rPr>
        <w:t>سرزنش کردن فرهنگ خود را متوقف کنید</w:t>
      </w:r>
      <w:r w:rsidR="00537CC8" w:rsidRPr="0025250D">
        <w:rPr>
          <w:vertAlign w:val="superscript"/>
          <w:rtl/>
        </w:rPr>
        <w:footnoteReference w:id="1996"/>
      </w:r>
      <w:r w:rsidR="00E402E3" w:rsidRPr="0025250D">
        <w:rPr>
          <w:rFonts w:hint="cs"/>
          <w:rtl/>
        </w:rPr>
        <w:t>»</w:t>
      </w:r>
      <w:r w:rsidR="005005E7" w:rsidRPr="0025250D">
        <w:rPr>
          <w:rFonts w:hint="cs"/>
          <w:rtl/>
        </w:rPr>
        <w:t xml:space="preserve"> در مجله</w:t>
      </w:r>
      <w:r w:rsidR="00537CC8" w:rsidRPr="0025250D">
        <w:rPr>
          <w:rFonts w:hint="cs"/>
          <w:rtl/>
        </w:rPr>
        <w:t xml:space="preserve"> </w:t>
      </w:r>
      <w:r w:rsidR="00701E03" w:rsidRPr="0025250D">
        <w:rPr>
          <w:rFonts w:hint="cs"/>
          <w:rtl/>
        </w:rPr>
        <w:t>راهبرد</w:t>
      </w:r>
      <w:r w:rsidR="00537CC8" w:rsidRPr="0025250D">
        <w:rPr>
          <w:rFonts w:hint="cs"/>
          <w:rtl/>
        </w:rPr>
        <w:t xml:space="preserve"> + تجارت</w:t>
      </w:r>
      <w:r w:rsidR="00537CC8" w:rsidRPr="0025250D">
        <w:rPr>
          <w:vertAlign w:val="superscript"/>
          <w:rtl/>
        </w:rPr>
        <w:footnoteReference w:id="1997"/>
      </w:r>
      <w:r w:rsidR="00537CC8" w:rsidRPr="0025250D">
        <w:rPr>
          <w:rFonts w:hint="cs"/>
          <w:rtl/>
        </w:rPr>
        <w:t xml:space="preserve"> در سال 2011 می‌گویند، این نیز درست است که یک مدیر می‌تواند برای هدایت نسبت‌های </w:t>
      </w:r>
      <w:r w:rsidR="002B6515" w:rsidRPr="0025250D">
        <w:rPr>
          <w:rtl/>
        </w:rPr>
        <w:t>حس‌داد</w:t>
      </w:r>
      <w:r w:rsidR="00537CC8" w:rsidRPr="0025250D">
        <w:rPr>
          <w:rFonts w:hint="cs"/>
          <w:rtl/>
        </w:rPr>
        <w:t xml:space="preserve"> تیم‌های خود، روز به روز، مستقل از فرهنگ سازمانی عملکرد بهتری داشته باشد. رهبران خوب این فرایند را با مسئولیت پذیری فردی برای </w:t>
      </w:r>
      <w:r w:rsidR="002B6515" w:rsidRPr="0025250D">
        <w:rPr>
          <w:rtl/>
        </w:rPr>
        <w:t>حس‌داد</w:t>
      </w:r>
      <w:r w:rsidR="00537CC8" w:rsidRPr="0025250D">
        <w:rPr>
          <w:rFonts w:hint="cs"/>
          <w:rtl/>
        </w:rPr>
        <w:t xml:space="preserve"> خود (رهبری فردی)، با عدم اجازه به دیگران </w:t>
      </w:r>
      <w:r w:rsidR="005005E7" w:rsidRPr="0025250D">
        <w:rPr>
          <w:rFonts w:hint="cs"/>
          <w:rtl/>
        </w:rPr>
        <w:t>در</w:t>
      </w:r>
      <w:r w:rsidR="00537CC8" w:rsidRPr="0025250D">
        <w:rPr>
          <w:rFonts w:hint="cs"/>
          <w:rtl/>
        </w:rPr>
        <w:t xml:space="preserve"> تعیین رویکرد‌ها برای آنان و با کمک به گزاراشات مستقیمشان برای یادگیری انجام همین کار، آغاز می‌کنند.</w:t>
      </w:r>
    </w:p>
    <w:p w14:paraId="292E7C3E" w14:textId="6090F2BB" w:rsidR="00537CC8" w:rsidRPr="0025250D" w:rsidRDefault="00537CC8" w:rsidP="00537CC8">
      <w:pPr>
        <w:rPr>
          <w:rtl/>
        </w:rPr>
      </w:pPr>
      <w:r w:rsidRPr="0025250D">
        <w:rPr>
          <w:rFonts w:hint="cs"/>
          <w:rtl/>
        </w:rPr>
        <w:t xml:space="preserve">بیایید اکنون نگاهی به سه </w:t>
      </w:r>
      <w:r w:rsidR="00701E03" w:rsidRPr="0025250D">
        <w:rPr>
          <w:rFonts w:hint="cs"/>
          <w:rtl/>
        </w:rPr>
        <w:t>راهبرد</w:t>
      </w:r>
      <w:r w:rsidRPr="0025250D">
        <w:rPr>
          <w:rFonts w:hint="cs"/>
          <w:rtl/>
        </w:rPr>
        <w:t xml:space="preserve"> بنیادی برای مدیریت </w:t>
      </w:r>
      <w:r w:rsidR="002B6515" w:rsidRPr="0025250D">
        <w:rPr>
          <w:rtl/>
        </w:rPr>
        <w:t>حس‌داد</w:t>
      </w:r>
      <w:r w:rsidRPr="0025250D">
        <w:rPr>
          <w:rFonts w:hint="cs"/>
          <w:rtl/>
        </w:rPr>
        <w:t xml:space="preserve"> تیمی و حرکت دادن آن به سمت خوش بینی، بدبینی یا واقع بینی بیش‌تر، بر حسب نظر هم تیمی‌ها یا رهبر درمورد این که کدامیک برای هر بافت مناسب‌تر است، داشته باشیم.</w:t>
      </w:r>
    </w:p>
    <w:p w14:paraId="77611190" w14:textId="3FC1C4C5" w:rsidR="00537CC8" w:rsidRPr="0025250D" w:rsidRDefault="00537CC8" w:rsidP="00537CC8">
      <w:pPr>
        <w:rPr>
          <w:rtl/>
        </w:rPr>
      </w:pPr>
      <w:r w:rsidRPr="0025250D">
        <w:rPr>
          <w:rFonts w:hint="cs"/>
          <w:b/>
          <w:bCs/>
          <w:rtl/>
        </w:rPr>
        <w:t xml:space="preserve">1. </w:t>
      </w:r>
      <w:r w:rsidR="00EE4B64" w:rsidRPr="0025250D">
        <w:rPr>
          <w:rFonts w:hint="cs"/>
          <w:b/>
          <w:bCs/>
          <w:rtl/>
        </w:rPr>
        <w:t>چشم‌اندازسازی</w:t>
      </w:r>
      <w:r w:rsidRPr="0025250D">
        <w:rPr>
          <w:rFonts w:hint="cs"/>
          <w:b/>
          <w:bCs/>
          <w:rtl/>
        </w:rPr>
        <w:t xml:space="preserve"> موفقیت.</w:t>
      </w:r>
      <w:r w:rsidRPr="0025250D">
        <w:rPr>
          <w:rFonts w:hint="cs"/>
          <w:rtl/>
        </w:rPr>
        <w:t xml:space="preserve"> رهبران برای توانمند سازی خوش بینی </w:t>
      </w:r>
      <w:r w:rsidR="00701E03" w:rsidRPr="0025250D">
        <w:rPr>
          <w:rFonts w:hint="cs"/>
          <w:rtl/>
        </w:rPr>
        <w:t>راهبردی</w:t>
      </w:r>
      <w:r w:rsidRPr="0025250D">
        <w:rPr>
          <w:rFonts w:hint="cs"/>
          <w:rtl/>
        </w:rPr>
        <w:t xml:space="preserve"> در تیم‌های خود و شکست دادن کوته نظری</w:t>
      </w:r>
      <w:r w:rsidRPr="0025250D">
        <w:rPr>
          <w:vertAlign w:val="superscript"/>
          <w:rtl/>
        </w:rPr>
        <w:footnoteReference w:id="1998"/>
      </w:r>
      <w:r w:rsidRPr="0025250D">
        <w:rPr>
          <w:rFonts w:hint="cs"/>
          <w:rtl/>
        </w:rPr>
        <w:t xml:space="preserve"> و ترس، می‌توانند </w:t>
      </w:r>
      <w:r w:rsidR="00EE4B64" w:rsidRPr="0025250D">
        <w:rPr>
          <w:rFonts w:hint="cs"/>
          <w:rtl/>
        </w:rPr>
        <w:t>چشم‌اندازسازی</w:t>
      </w:r>
      <w:r w:rsidRPr="0025250D">
        <w:rPr>
          <w:rFonts w:hint="cs"/>
          <w:rtl/>
        </w:rPr>
        <w:t xml:space="preserve"> موفقیت (یعنی کشیدگی</w:t>
      </w:r>
      <w:r w:rsidRPr="0025250D">
        <w:rPr>
          <w:vertAlign w:val="superscript"/>
          <w:rtl/>
        </w:rPr>
        <w:footnoteReference w:id="1999"/>
      </w:r>
      <w:r w:rsidRPr="0025250D">
        <w:rPr>
          <w:rFonts w:hint="cs"/>
          <w:rtl/>
        </w:rPr>
        <w:t xml:space="preserve"> تعیین اهداف) را با پرسیدن یا بیان این امر برای گروه انجام دهند: </w:t>
      </w:r>
      <w:r w:rsidR="00E402E3" w:rsidRPr="0025250D">
        <w:rPr>
          <w:rtl/>
        </w:rPr>
        <w:t>«</w:t>
      </w:r>
      <w:r w:rsidRPr="0025250D">
        <w:rPr>
          <w:rFonts w:hint="cs"/>
          <w:rtl/>
        </w:rPr>
        <w:t>تصور کنید که ما به این آینده مرجح رسیده ایم. چگونه به اینجا رسیدیم؟</w:t>
      </w:r>
      <w:r w:rsidR="00E402E3" w:rsidRPr="0025250D">
        <w:rPr>
          <w:rtl/>
        </w:rPr>
        <w:t>»</w:t>
      </w:r>
      <w:r w:rsidRPr="0025250D">
        <w:rPr>
          <w:rFonts w:hint="cs"/>
          <w:rtl/>
        </w:rPr>
        <w:t xml:space="preserve"> این </w:t>
      </w:r>
      <w:r w:rsidR="00701E03" w:rsidRPr="0025250D">
        <w:rPr>
          <w:rFonts w:hint="cs"/>
          <w:rtl/>
        </w:rPr>
        <w:t>راهبرد</w:t>
      </w:r>
      <w:r w:rsidRPr="0025250D">
        <w:rPr>
          <w:rFonts w:hint="cs"/>
          <w:rtl/>
        </w:rPr>
        <w:t xml:space="preserve"> برای هر رهبر </w:t>
      </w:r>
      <w:r w:rsidR="005005E7" w:rsidRPr="0025250D">
        <w:rPr>
          <w:rFonts w:hint="cs"/>
          <w:rtl/>
        </w:rPr>
        <w:t>موفق</w:t>
      </w:r>
      <w:r w:rsidRPr="0025250D">
        <w:rPr>
          <w:rFonts w:hint="cs"/>
          <w:rtl/>
        </w:rPr>
        <w:t xml:space="preserve">، به‌خوبی شناخته شده است. نکته، دانستن زمان انجام این کار است و این که تا چه فاصله‌ای را ببینیم. </w:t>
      </w:r>
      <w:r w:rsidR="007118DE" w:rsidRPr="0025250D">
        <w:rPr>
          <w:rFonts w:hint="cs"/>
          <w:rtl/>
        </w:rPr>
        <w:t>همان‌طور</w:t>
      </w:r>
      <w:r w:rsidRPr="0025250D">
        <w:rPr>
          <w:rFonts w:hint="cs"/>
          <w:rtl/>
        </w:rPr>
        <w:t xml:space="preserve"> که حلقه انجام به ما می‌گوید، می‌خواهیم یک چرخه موفقیت که پیشرفت تدریجی را تشویق می‌کند، تنظیم کنیم. در برخی موارد، وقتی </w:t>
      </w:r>
      <w:r w:rsidRPr="0025250D">
        <w:rPr>
          <w:rtl/>
        </w:rPr>
        <w:t>تکانه</w:t>
      </w:r>
      <w:r w:rsidRPr="0025250D">
        <w:rPr>
          <w:rFonts w:hint="cs"/>
          <w:rtl/>
        </w:rPr>
        <w:t xml:space="preserve"> و نیروی رو به جلو ضعیف هستند، ممکن است تنها چند ساعت یا یک روز بعد را تصور و </w:t>
      </w:r>
      <w:r w:rsidR="00EE4B64" w:rsidRPr="0025250D">
        <w:rPr>
          <w:rFonts w:hint="cs"/>
          <w:rtl/>
        </w:rPr>
        <w:t>چشم‌اندازسازی</w:t>
      </w:r>
      <w:r w:rsidRPr="0025250D">
        <w:rPr>
          <w:rFonts w:hint="cs"/>
          <w:rtl/>
        </w:rPr>
        <w:t xml:space="preserve"> کنیم. افق زمانی ما هر چه باشد، </w:t>
      </w:r>
      <w:r w:rsidR="00B56611" w:rsidRPr="0025250D">
        <w:rPr>
          <w:rFonts w:hint="cs"/>
          <w:rtl/>
        </w:rPr>
        <w:t>چشم‌انداز</w:t>
      </w:r>
      <w:r w:rsidRPr="0025250D">
        <w:rPr>
          <w:rFonts w:hint="cs"/>
          <w:rtl/>
        </w:rPr>
        <w:t xml:space="preserve"> موفقیت را به‌اندازه کافی چالش برانگیز اما قابل دست یابی ساخته و موجب موفقیت تدریجی می‌شود.</w:t>
      </w:r>
    </w:p>
    <w:p w14:paraId="61EBC69C" w14:textId="75A77D82" w:rsidR="00537CC8" w:rsidRPr="0025250D" w:rsidRDefault="00537CC8" w:rsidP="00537CC8">
      <w:pPr>
        <w:rPr>
          <w:rtl/>
        </w:rPr>
      </w:pPr>
      <w:r w:rsidRPr="0025250D">
        <w:rPr>
          <w:rFonts w:hint="cs"/>
          <w:b/>
          <w:bCs/>
          <w:rtl/>
        </w:rPr>
        <w:t xml:space="preserve">2. </w:t>
      </w:r>
      <w:r w:rsidR="00EE4B64" w:rsidRPr="0025250D">
        <w:rPr>
          <w:rFonts w:hint="cs"/>
          <w:b/>
          <w:bCs/>
          <w:rtl/>
        </w:rPr>
        <w:t>چشم‌اندازسازی</w:t>
      </w:r>
      <w:r w:rsidRPr="0025250D">
        <w:rPr>
          <w:rFonts w:hint="cs"/>
          <w:b/>
          <w:bCs/>
          <w:rtl/>
        </w:rPr>
        <w:t xml:space="preserve"> شکست.</w:t>
      </w:r>
      <w:r w:rsidRPr="0025250D">
        <w:rPr>
          <w:rFonts w:hint="cs"/>
          <w:rtl/>
        </w:rPr>
        <w:t xml:space="preserve"> برای توانمند سازی افراد بدبین دفاعی در تیممان و شکست دادن غرور و تفکر غالب تیمی، رهبران می‌توانند </w:t>
      </w:r>
      <w:r w:rsidR="00EE4B64" w:rsidRPr="0025250D">
        <w:rPr>
          <w:rFonts w:hint="cs"/>
          <w:rtl/>
        </w:rPr>
        <w:t>چشم‌اندازسازی</w:t>
      </w:r>
      <w:r w:rsidRPr="0025250D">
        <w:rPr>
          <w:rFonts w:hint="cs"/>
          <w:rtl/>
        </w:rPr>
        <w:t xml:space="preserve"> شکست (یا</w:t>
      </w:r>
      <w:r w:rsidR="006A0B96" w:rsidRPr="0025250D">
        <w:rPr>
          <w:rFonts w:hint="cs"/>
          <w:rtl/>
        </w:rPr>
        <w:t xml:space="preserve"> </w:t>
      </w:r>
      <w:r w:rsidR="006A0B96" w:rsidRPr="0025250D">
        <w:rPr>
          <w:rFonts w:cs="B Nazanin"/>
          <w:rtl/>
        </w:rPr>
        <w:t>پ</w:t>
      </w:r>
      <w:r w:rsidR="006A0B96" w:rsidRPr="0025250D">
        <w:rPr>
          <w:rFonts w:cs="B Nazanin" w:hint="cs"/>
          <w:rtl/>
        </w:rPr>
        <w:t>ی</w:t>
      </w:r>
      <w:r w:rsidR="006A0B96" w:rsidRPr="0025250D">
        <w:rPr>
          <w:rFonts w:cs="B Nazanin" w:hint="eastAsia"/>
          <w:rtl/>
        </w:rPr>
        <w:t>ش</w:t>
      </w:r>
      <w:r w:rsidR="006A0B96" w:rsidRPr="0025250D">
        <w:rPr>
          <w:rFonts w:cs="B Nazanin"/>
          <w:rtl/>
        </w:rPr>
        <w:t xml:space="preserve"> اند</w:t>
      </w:r>
      <w:r w:rsidR="006A0B96" w:rsidRPr="0025250D">
        <w:rPr>
          <w:rFonts w:cs="B Nazanin" w:hint="cs"/>
          <w:rtl/>
        </w:rPr>
        <w:t>ی</w:t>
      </w:r>
      <w:r w:rsidR="006A0B96" w:rsidRPr="0025250D">
        <w:rPr>
          <w:rFonts w:cs="B Nazanin" w:hint="eastAsia"/>
          <w:rtl/>
        </w:rPr>
        <w:t>ش</w:t>
      </w:r>
      <w:r w:rsidR="006A0B96" w:rsidRPr="0025250D">
        <w:rPr>
          <w:rFonts w:cs="B Nazanin" w:hint="cs"/>
          <w:rtl/>
        </w:rPr>
        <w:t>ی</w:t>
      </w:r>
      <w:r w:rsidR="006A0B96" w:rsidRPr="0025250D">
        <w:rPr>
          <w:rFonts w:cs="B Nazanin"/>
          <w:rtl/>
        </w:rPr>
        <w:t xml:space="preserve"> شکست</w:t>
      </w:r>
      <w:r w:rsidR="006A0B96" w:rsidRPr="0025250D">
        <w:rPr>
          <w:rStyle w:val="FootnoteReference"/>
          <w:rtl/>
        </w:rPr>
        <w:footnoteReference w:id="2000"/>
      </w:r>
      <w:r w:rsidRPr="0025250D">
        <w:rPr>
          <w:rFonts w:hint="cs"/>
          <w:rtl/>
        </w:rPr>
        <w:t xml:space="preserve">) را انجام دهند و از گروه بپرسند یا برای آن‌ها بیان کنند که: </w:t>
      </w:r>
      <w:r w:rsidR="00E402E3" w:rsidRPr="0025250D">
        <w:rPr>
          <w:rtl/>
        </w:rPr>
        <w:t>«</w:t>
      </w:r>
      <w:r w:rsidRPr="0025250D">
        <w:rPr>
          <w:rFonts w:hint="cs"/>
          <w:rtl/>
        </w:rPr>
        <w:t>تصور کنید که این پروژه مهم شکست خورده است. این امر چگونه رخ داده است؟</w:t>
      </w:r>
      <w:r w:rsidR="00E402E3" w:rsidRPr="0025250D">
        <w:rPr>
          <w:rtl/>
        </w:rPr>
        <w:t>»</w:t>
      </w:r>
      <w:r w:rsidRPr="0025250D">
        <w:rPr>
          <w:rFonts w:hint="cs"/>
          <w:rtl/>
        </w:rPr>
        <w:t xml:space="preserve"> این </w:t>
      </w:r>
      <w:r w:rsidR="00701E03" w:rsidRPr="0025250D">
        <w:rPr>
          <w:rFonts w:hint="cs"/>
          <w:rtl/>
        </w:rPr>
        <w:t>راهبرد</w:t>
      </w:r>
      <w:r w:rsidRPr="0025250D">
        <w:rPr>
          <w:rFonts w:hint="cs"/>
          <w:rtl/>
        </w:rPr>
        <w:t xml:space="preserve"> کم‌تر شناخته شده، درصورتی که افراد بدبین دفاعی ما از صحبت درمورد افکار (در شرایط غالب بودن تفکر خوش بینانه در گروه) بترسند یا درصورتی که تیم در گذشته موفقیت را تجربه کرده و احساس شکست ناپذیری می‌کند، حیاتی است. اگر نمی‌خواهیم که افراد بدبین دفاعی را در یک پروژه کلیدی برای هم تیمی هایشان آشکار کنیم، می‌توانیم از همه بخواهیم که به صورت محرمانه یک استدلال </w:t>
      </w:r>
      <w:r w:rsidRPr="0025250D">
        <w:rPr>
          <w:rFonts w:cs="Times New Roman" w:hint="cs"/>
          <w:rtl/>
        </w:rPr>
        <w:t>–</w:t>
      </w:r>
      <w:r w:rsidRPr="0025250D">
        <w:rPr>
          <w:rFonts w:hint="cs"/>
          <w:rtl/>
        </w:rPr>
        <w:t xml:space="preserve"> شاید بر روی یک کارت 3</w:t>
      </w:r>
      <w:r w:rsidRPr="0025250D">
        <w:rPr>
          <w:rFonts w:ascii="Cambria Math" w:hAnsi="Cambria Math" w:cs="Cambria Math" w:hint="cs"/>
          <w:rtl/>
        </w:rPr>
        <w:t>⨯</w:t>
      </w:r>
      <w:r w:rsidRPr="0025250D">
        <w:rPr>
          <w:rFonts w:hint="cs"/>
          <w:rtl/>
        </w:rPr>
        <w:t xml:space="preserve">5 </w:t>
      </w:r>
      <w:r w:rsidRPr="0025250D">
        <w:rPr>
          <w:rFonts w:cs="Times New Roman" w:hint="cs"/>
          <w:rtl/>
        </w:rPr>
        <w:t>–</w:t>
      </w:r>
      <w:r w:rsidRPr="0025250D">
        <w:rPr>
          <w:rFonts w:hint="cs"/>
          <w:rtl/>
        </w:rPr>
        <w:t xml:space="preserve"> درمورد این که چرا ممکن است پروژه شکست خورده یا با تأخیر مواجه شود ارائه دهند. سپس، می‌توانیم درمورد برخی از این موارد در گروه، بدون آشکار کردن منبع این نظرات، بحث کنیم. </w:t>
      </w:r>
      <w:r w:rsidR="00E402E3" w:rsidRPr="0025250D">
        <w:rPr>
          <w:rtl/>
        </w:rPr>
        <w:t>«</w:t>
      </w:r>
      <w:r w:rsidRPr="0025250D">
        <w:rPr>
          <w:rFonts w:hint="cs"/>
          <w:rtl/>
        </w:rPr>
        <w:t xml:space="preserve">انجام یک </w:t>
      </w:r>
      <w:r w:rsidR="006A0B96" w:rsidRPr="0025250D">
        <w:rPr>
          <w:rFonts w:cs="B Nazanin"/>
          <w:rtl/>
        </w:rPr>
        <w:t>پ</w:t>
      </w:r>
      <w:r w:rsidR="006A0B96" w:rsidRPr="0025250D">
        <w:rPr>
          <w:rFonts w:cs="B Nazanin" w:hint="cs"/>
          <w:rtl/>
        </w:rPr>
        <w:t>ی</w:t>
      </w:r>
      <w:r w:rsidR="006A0B96" w:rsidRPr="0025250D">
        <w:rPr>
          <w:rFonts w:cs="B Nazanin" w:hint="eastAsia"/>
          <w:rtl/>
        </w:rPr>
        <w:t>ش</w:t>
      </w:r>
      <w:r w:rsidR="006A0B96" w:rsidRPr="0025250D">
        <w:rPr>
          <w:rFonts w:cs="B Nazanin"/>
          <w:rtl/>
        </w:rPr>
        <w:t xml:space="preserve"> اند</w:t>
      </w:r>
      <w:r w:rsidR="006A0B96" w:rsidRPr="0025250D">
        <w:rPr>
          <w:rFonts w:cs="B Nazanin" w:hint="cs"/>
          <w:rtl/>
        </w:rPr>
        <w:t>ی</w:t>
      </w:r>
      <w:r w:rsidR="006A0B96" w:rsidRPr="0025250D">
        <w:rPr>
          <w:rFonts w:cs="B Nazanin" w:hint="eastAsia"/>
          <w:rtl/>
        </w:rPr>
        <w:t>ش</w:t>
      </w:r>
      <w:r w:rsidR="006A0B96" w:rsidRPr="0025250D">
        <w:rPr>
          <w:rFonts w:cs="B Nazanin" w:hint="cs"/>
          <w:rtl/>
        </w:rPr>
        <w:t>ی</w:t>
      </w:r>
      <w:r w:rsidR="006A0B96" w:rsidRPr="0025250D">
        <w:rPr>
          <w:rFonts w:cs="B Nazanin"/>
          <w:rtl/>
        </w:rPr>
        <w:t xml:space="preserve"> شکست</w:t>
      </w:r>
      <w:r w:rsidR="006A0B96" w:rsidRPr="0025250D">
        <w:rPr>
          <w:rFonts w:hint="cs"/>
          <w:rtl/>
        </w:rPr>
        <w:t xml:space="preserve"> </w:t>
      </w:r>
      <w:r w:rsidRPr="0025250D">
        <w:rPr>
          <w:rFonts w:hint="cs"/>
          <w:rtl/>
        </w:rPr>
        <w:t>در یک پروژه</w:t>
      </w:r>
      <w:r w:rsidRPr="0025250D">
        <w:rPr>
          <w:vertAlign w:val="superscript"/>
          <w:rtl/>
        </w:rPr>
        <w:footnoteReference w:id="2001"/>
      </w:r>
      <w:r w:rsidR="00E402E3" w:rsidRPr="0025250D">
        <w:rPr>
          <w:rtl/>
        </w:rPr>
        <w:t>»</w:t>
      </w:r>
      <w:r w:rsidR="005005E7" w:rsidRPr="0025250D">
        <w:rPr>
          <w:rFonts w:hint="cs"/>
          <w:rtl/>
        </w:rPr>
        <w:t xml:space="preserve"> در مجله</w:t>
      </w:r>
      <w:r w:rsidRPr="0025250D">
        <w:rPr>
          <w:rFonts w:hint="cs"/>
          <w:rtl/>
        </w:rPr>
        <w:t xml:space="preserve"> </w:t>
      </w:r>
      <w:r w:rsidRPr="0025250D">
        <w:t>HBR</w:t>
      </w:r>
      <w:r w:rsidRPr="0025250D">
        <w:rPr>
          <w:rFonts w:hint="cs"/>
          <w:rtl/>
        </w:rPr>
        <w:t xml:space="preserve">، اثر </w:t>
      </w:r>
      <w:r w:rsidRPr="0025250D">
        <w:rPr>
          <w:rtl/>
        </w:rPr>
        <w:t>گر</w:t>
      </w:r>
      <w:r w:rsidRPr="0025250D">
        <w:rPr>
          <w:rFonts w:hint="cs"/>
          <w:rtl/>
        </w:rPr>
        <w:t>ی</w:t>
      </w:r>
      <w:r w:rsidRPr="0025250D">
        <w:rPr>
          <w:rtl/>
        </w:rPr>
        <w:t xml:space="preserve"> کلا</w:t>
      </w:r>
      <w:r w:rsidRPr="0025250D">
        <w:rPr>
          <w:rFonts w:hint="cs"/>
          <w:rtl/>
        </w:rPr>
        <w:t>ی</w:t>
      </w:r>
      <w:r w:rsidRPr="0025250D">
        <w:rPr>
          <w:rFonts w:hint="eastAsia"/>
          <w:rtl/>
        </w:rPr>
        <w:t>ن</w:t>
      </w:r>
      <w:r w:rsidRPr="0025250D">
        <w:rPr>
          <w:vertAlign w:val="superscript"/>
          <w:rtl/>
        </w:rPr>
        <w:footnoteReference w:id="2002"/>
      </w:r>
      <w:r w:rsidRPr="0025250D">
        <w:rPr>
          <w:rFonts w:hint="cs"/>
          <w:rtl/>
        </w:rPr>
        <w:t xml:space="preserve"> در سال 2007 را برای نکاتی درمورد استفاده از این </w:t>
      </w:r>
      <w:r w:rsidR="00701E03" w:rsidRPr="0025250D">
        <w:rPr>
          <w:rFonts w:hint="cs"/>
          <w:rtl/>
        </w:rPr>
        <w:t>راهبرد</w:t>
      </w:r>
      <w:r w:rsidRPr="0025250D">
        <w:rPr>
          <w:rFonts w:hint="cs"/>
          <w:rtl/>
        </w:rPr>
        <w:t xml:space="preserve"> عالی ببینید. شرکت نرم افزاری تیمی اتلاسیان</w:t>
      </w:r>
      <w:r w:rsidRPr="0025250D">
        <w:rPr>
          <w:vertAlign w:val="superscript"/>
          <w:rtl/>
        </w:rPr>
        <w:footnoteReference w:id="2003"/>
      </w:r>
      <w:r w:rsidRPr="0025250D">
        <w:rPr>
          <w:rFonts w:hint="cs"/>
          <w:rtl/>
        </w:rPr>
        <w:t xml:space="preserve"> یک </w:t>
      </w:r>
      <w:r w:rsidR="00B13F65" w:rsidRPr="0025250D">
        <w:rPr>
          <w:rFonts w:hint="cs"/>
          <w:rtl/>
        </w:rPr>
        <w:t>چارچوب</w:t>
      </w:r>
      <w:r w:rsidRPr="0025250D">
        <w:rPr>
          <w:rFonts w:hint="cs"/>
          <w:rtl/>
        </w:rPr>
        <w:t xml:space="preserve"> </w:t>
      </w:r>
      <w:r w:rsidR="006A0B96" w:rsidRPr="0025250D">
        <w:rPr>
          <w:rFonts w:cs="B Nazanin"/>
          <w:rtl/>
        </w:rPr>
        <w:t>پ</w:t>
      </w:r>
      <w:r w:rsidR="006A0B96" w:rsidRPr="0025250D">
        <w:rPr>
          <w:rFonts w:cs="B Nazanin" w:hint="cs"/>
          <w:rtl/>
        </w:rPr>
        <w:t>ی</w:t>
      </w:r>
      <w:r w:rsidR="006A0B96" w:rsidRPr="0025250D">
        <w:rPr>
          <w:rFonts w:cs="B Nazanin" w:hint="eastAsia"/>
          <w:rtl/>
        </w:rPr>
        <w:t>ش</w:t>
      </w:r>
      <w:r w:rsidR="006A0B96" w:rsidRPr="0025250D">
        <w:rPr>
          <w:rFonts w:cs="B Nazanin"/>
          <w:rtl/>
        </w:rPr>
        <w:t xml:space="preserve"> اند</w:t>
      </w:r>
      <w:r w:rsidR="006A0B96" w:rsidRPr="0025250D">
        <w:rPr>
          <w:rFonts w:cs="B Nazanin" w:hint="cs"/>
          <w:rtl/>
        </w:rPr>
        <w:t>ی</w:t>
      </w:r>
      <w:r w:rsidR="006A0B96" w:rsidRPr="0025250D">
        <w:rPr>
          <w:rFonts w:cs="B Nazanin" w:hint="eastAsia"/>
          <w:rtl/>
        </w:rPr>
        <w:t>ش</w:t>
      </w:r>
      <w:r w:rsidR="006A0B96" w:rsidRPr="0025250D">
        <w:rPr>
          <w:rFonts w:cs="B Nazanin" w:hint="cs"/>
          <w:rtl/>
        </w:rPr>
        <w:t>ی</w:t>
      </w:r>
      <w:r w:rsidR="006A0B96" w:rsidRPr="0025250D">
        <w:rPr>
          <w:rFonts w:cs="B Nazanin"/>
          <w:rtl/>
        </w:rPr>
        <w:t xml:space="preserve"> شکست</w:t>
      </w:r>
      <w:r w:rsidR="006A0B96" w:rsidRPr="0025250D">
        <w:rPr>
          <w:rFonts w:hint="cs"/>
          <w:rtl/>
        </w:rPr>
        <w:t xml:space="preserve"> </w:t>
      </w:r>
      <w:r w:rsidRPr="0025250D">
        <w:rPr>
          <w:rFonts w:hint="cs"/>
          <w:rtl/>
        </w:rPr>
        <w:t>خوب در دستورالعمل تیمی ستودنی خود ارائه می‌دهد.</w:t>
      </w:r>
    </w:p>
    <w:p w14:paraId="2D2F2DE8" w14:textId="2A01D01F" w:rsidR="00537CC8" w:rsidRPr="0025250D" w:rsidRDefault="00537CC8" w:rsidP="00537CC8">
      <w:pPr>
        <w:rPr>
          <w:rtl/>
        </w:rPr>
      </w:pPr>
      <w:r w:rsidRPr="0025250D">
        <w:rPr>
          <w:rFonts w:hint="cs"/>
          <w:b/>
          <w:bCs/>
          <w:rtl/>
        </w:rPr>
        <w:t>3. بررسی</w:t>
      </w:r>
      <w:r w:rsidR="008D6F97" w:rsidRPr="0025250D">
        <w:rPr>
          <w:b/>
          <w:bCs/>
          <w:rtl/>
        </w:rPr>
        <w:t xml:space="preserve"> </w:t>
      </w:r>
      <w:r w:rsidRPr="0025250D">
        <w:rPr>
          <w:rFonts w:hint="cs"/>
          <w:b/>
          <w:bCs/>
          <w:rtl/>
        </w:rPr>
        <w:t xml:space="preserve">واقعیت (وضعیت). </w:t>
      </w:r>
      <w:r w:rsidRPr="0025250D">
        <w:rPr>
          <w:rFonts w:hint="cs"/>
          <w:rtl/>
        </w:rPr>
        <w:t xml:space="preserve">برای توانمند سازی افراد </w:t>
      </w:r>
      <w:r w:rsidR="0008779C" w:rsidRPr="0025250D">
        <w:rPr>
          <w:rFonts w:hint="cs"/>
          <w:rtl/>
        </w:rPr>
        <w:t>واقع‌گرا</w:t>
      </w:r>
      <w:r w:rsidRPr="0025250D">
        <w:rPr>
          <w:rFonts w:hint="cs"/>
          <w:rtl/>
        </w:rPr>
        <w:t xml:space="preserve"> در تیم هایمان و </w:t>
      </w:r>
      <w:r w:rsidR="00D92F6E" w:rsidRPr="0025250D">
        <w:rPr>
          <w:rFonts w:hint="cs"/>
          <w:rtl/>
        </w:rPr>
        <w:t>آماده‌سازی</w:t>
      </w:r>
      <w:r w:rsidRPr="0025250D">
        <w:rPr>
          <w:rFonts w:hint="cs"/>
          <w:rtl/>
        </w:rPr>
        <w:t xml:space="preserve"> خود برای یک دور جدید از تقابل ذهنی که </w:t>
      </w:r>
      <w:r w:rsidR="007118DE" w:rsidRPr="0025250D">
        <w:rPr>
          <w:rFonts w:hint="cs"/>
          <w:rtl/>
        </w:rPr>
        <w:t>اولویت‌بندی</w:t>
      </w:r>
      <w:r w:rsidRPr="0025250D">
        <w:rPr>
          <w:rFonts w:hint="cs"/>
          <w:rtl/>
        </w:rPr>
        <w:t xml:space="preserve"> ما را تغییر خواهد داد و امیدواریم که به ما برای دست یابی به اولویت‌های برتر بعدی کمک کند، رهبران می‌توانند زمان و شرایط مناسب برای بازگرداندن تیم به زمان حال را با بررسی واقعیت / وضعیت / پیشرفت انجام دهند. آن‌ها می‌توانند از گروه بپرسند که: </w:t>
      </w:r>
      <w:r w:rsidR="00E402E3" w:rsidRPr="0025250D">
        <w:rPr>
          <w:rtl/>
        </w:rPr>
        <w:t>«</w:t>
      </w:r>
      <w:r w:rsidRPr="0025250D">
        <w:rPr>
          <w:rFonts w:hint="cs"/>
          <w:rtl/>
        </w:rPr>
        <w:t xml:space="preserve">شرایط ما درمورد اولویت هایمان چگونه است؟ هنوز چقدر کار باقیمانده است؟ موانع ما چه هستند؟ آیا ما به </w:t>
      </w:r>
      <w:r w:rsidR="00A20CCB" w:rsidRPr="0025250D">
        <w:rPr>
          <w:rFonts w:hint="cs"/>
          <w:rtl/>
        </w:rPr>
        <w:t>‌روز</w:t>
      </w:r>
      <w:r w:rsidR="005005E7" w:rsidRPr="0025250D">
        <w:rPr>
          <w:rFonts w:hint="cs"/>
          <w:rtl/>
        </w:rPr>
        <w:t>آمدسازی</w:t>
      </w:r>
      <w:r w:rsidRPr="0025250D">
        <w:rPr>
          <w:rFonts w:hint="cs"/>
          <w:rtl/>
        </w:rPr>
        <w:t xml:space="preserve"> </w:t>
      </w:r>
      <w:r w:rsidR="00701E03" w:rsidRPr="0025250D">
        <w:rPr>
          <w:rFonts w:hint="cs"/>
          <w:rtl/>
        </w:rPr>
        <w:t>راهبرد</w:t>
      </w:r>
      <w:r w:rsidRPr="0025250D">
        <w:rPr>
          <w:rFonts w:hint="cs"/>
          <w:rtl/>
        </w:rPr>
        <w:t xml:space="preserve"> خود نیاز داریم؟ آیا به اصلاح برنامه نیاز داریم؟</w:t>
      </w:r>
      <w:r w:rsidR="00E402E3" w:rsidRPr="0025250D">
        <w:rPr>
          <w:rtl/>
        </w:rPr>
        <w:t>»</w:t>
      </w:r>
      <w:r w:rsidRPr="0025250D">
        <w:rPr>
          <w:rFonts w:hint="cs"/>
          <w:rtl/>
        </w:rPr>
        <w:t xml:space="preserve"> معمولا، این فرایند هم شامل بازبینی </w:t>
      </w:r>
      <w:r w:rsidR="00701E03" w:rsidRPr="0025250D">
        <w:rPr>
          <w:rFonts w:hint="cs"/>
          <w:rtl/>
        </w:rPr>
        <w:t>راهبرد</w:t>
      </w:r>
      <w:r w:rsidRPr="0025250D">
        <w:rPr>
          <w:rFonts w:hint="cs"/>
          <w:rtl/>
        </w:rPr>
        <w:t xml:space="preserve"> فعلی و هم معیار‌ها و بازخوردی که گروه برای اندازه‌گیری وضعیت خود در مقابل برنامه از آن‌ها استفاده می‌کند (یا آن‌ها را نادیده می‌گیرد)، می‌شود. برخی مواقع، برای پاسخ به سؤال مربوط به وضعیت موجود به </w:t>
      </w:r>
      <w:r w:rsidR="00B124DE" w:rsidRPr="0025250D">
        <w:rPr>
          <w:rFonts w:hint="cs"/>
          <w:rtl/>
        </w:rPr>
        <w:t>جمع‌آوری</w:t>
      </w:r>
      <w:r w:rsidRPr="0025250D">
        <w:rPr>
          <w:rFonts w:hint="cs"/>
          <w:rtl/>
        </w:rPr>
        <w:t xml:space="preserve"> اطلاعات نیاز است. سپس، تفکر </w:t>
      </w:r>
      <w:r w:rsidRPr="0025250D">
        <w:t>GRASP</w:t>
      </w:r>
      <w:r w:rsidRPr="0025250D">
        <w:rPr>
          <w:rFonts w:hint="cs"/>
          <w:rtl/>
        </w:rPr>
        <w:t xml:space="preserve">، یک چرخه </w:t>
      </w:r>
      <w:r w:rsidRPr="0025250D">
        <w:t>REOPS</w:t>
      </w:r>
      <w:r w:rsidRPr="0025250D">
        <w:rPr>
          <w:rFonts w:hint="cs"/>
          <w:rtl/>
        </w:rPr>
        <w:t xml:space="preserve"> یا یک عقب گرد </w:t>
      </w:r>
      <w:r w:rsidRPr="0025250D">
        <w:rPr>
          <w:rtl/>
        </w:rPr>
        <w:t>آینده‌نگاری</w:t>
      </w:r>
      <w:r w:rsidRPr="0025250D">
        <w:rPr>
          <w:rFonts w:hint="cs"/>
          <w:rtl/>
        </w:rPr>
        <w:t xml:space="preserve"> مختصر می‌تواند برای </w:t>
      </w:r>
      <w:r w:rsidR="00A20CCB" w:rsidRPr="0025250D">
        <w:rPr>
          <w:rFonts w:hint="cs"/>
          <w:rtl/>
        </w:rPr>
        <w:t>به‌روزرسانی</w:t>
      </w:r>
      <w:r w:rsidRPr="0025250D">
        <w:rPr>
          <w:rFonts w:hint="cs"/>
          <w:rtl/>
        </w:rPr>
        <w:t xml:space="preserve"> </w:t>
      </w:r>
      <w:r w:rsidR="00701E03" w:rsidRPr="0025250D">
        <w:rPr>
          <w:rFonts w:hint="cs"/>
          <w:rtl/>
        </w:rPr>
        <w:t>راهبرد</w:t>
      </w:r>
      <w:r w:rsidRPr="0025250D">
        <w:rPr>
          <w:rFonts w:hint="cs"/>
          <w:rtl/>
        </w:rPr>
        <w:t xml:space="preserve"> و/یا برنامه مورد نیاز باشد.</w:t>
      </w:r>
    </w:p>
    <w:p w14:paraId="0600F1F4" w14:textId="7DED9BD0" w:rsidR="00537CC8" w:rsidRPr="0025250D" w:rsidRDefault="00537CC8" w:rsidP="00537CC8">
      <w:pPr>
        <w:rPr>
          <w:rtl/>
        </w:rPr>
      </w:pPr>
      <w:r w:rsidRPr="0025250D">
        <w:rPr>
          <w:rFonts w:hint="cs"/>
          <w:rtl/>
        </w:rPr>
        <w:t xml:space="preserve">وقتی رهبران از این ابزارها استفاده می‌کنند، می‌توانند به صورت اخلاقی تیم‌های خود را به نسبت‌های </w:t>
      </w:r>
      <w:r w:rsidR="002B6515" w:rsidRPr="0025250D">
        <w:rPr>
          <w:rtl/>
        </w:rPr>
        <w:t>حس‌داد</w:t>
      </w:r>
      <w:r w:rsidRPr="0025250D">
        <w:rPr>
          <w:rFonts w:hint="cs"/>
          <w:rtl/>
        </w:rPr>
        <w:t xml:space="preserve"> متمایل کنند که برای این شرایط بسیار </w:t>
      </w:r>
      <w:r w:rsidR="00B124DE" w:rsidRPr="0025250D">
        <w:rPr>
          <w:rFonts w:hint="cs"/>
          <w:rtl/>
        </w:rPr>
        <w:t>انطباق‌پذیر</w:t>
      </w:r>
      <w:r w:rsidRPr="0025250D">
        <w:rPr>
          <w:rFonts w:hint="cs"/>
          <w:rtl/>
        </w:rPr>
        <w:t xml:space="preserve">‌تر هستند و به شدت </w:t>
      </w:r>
      <w:r w:rsidRPr="0025250D">
        <w:rPr>
          <w:rtl/>
        </w:rPr>
        <w:t>آینده‌نگاری</w:t>
      </w:r>
      <w:r w:rsidRPr="0025250D">
        <w:rPr>
          <w:rFonts w:hint="cs"/>
          <w:rtl/>
        </w:rPr>
        <w:t xml:space="preserve"> </w:t>
      </w:r>
      <w:r w:rsidR="002B6515" w:rsidRPr="0025250D">
        <w:rPr>
          <w:rtl/>
        </w:rPr>
        <w:t>حس‌داد</w:t>
      </w:r>
      <w:r w:rsidRPr="0025250D">
        <w:rPr>
          <w:rFonts w:hint="cs"/>
          <w:rtl/>
        </w:rPr>
        <w:t xml:space="preserve"> را بهبود می‌دهند. </w:t>
      </w:r>
      <w:r w:rsidR="00EE4B64" w:rsidRPr="0025250D">
        <w:rPr>
          <w:rFonts w:hint="cs"/>
          <w:rtl/>
        </w:rPr>
        <w:t>چشم‌اندازسازی</w:t>
      </w:r>
      <w:r w:rsidRPr="0025250D">
        <w:rPr>
          <w:rFonts w:hint="cs"/>
          <w:rtl/>
        </w:rPr>
        <w:t xml:space="preserve"> شکست توسط رهبران امروزی کمتر از دیگر موارد استفاده شده است. هر سه باید به صورت آگاهانه توسط رهبر و تیم او</w:t>
      </w:r>
      <w:r w:rsidR="008D6F97" w:rsidRPr="0025250D">
        <w:rPr>
          <w:rtl/>
        </w:rPr>
        <w:t xml:space="preserve"> </w:t>
      </w:r>
      <w:r w:rsidRPr="0025250D">
        <w:rPr>
          <w:rFonts w:hint="cs"/>
          <w:rtl/>
        </w:rPr>
        <w:t>تا زمانی که هر کس بتواند از هر یک از آن‌ها به صورت خودکار، شهو</w:t>
      </w:r>
      <w:r w:rsidR="005005E7" w:rsidRPr="0025250D">
        <w:rPr>
          <w:rFonts w:hint="cs"/>
          <w:rtl/>
        </w:rPr>
        <w:t>د</w:t>
      </w:r>
      <w:r w:rsidRPr="0025250D">
        <w:rPr>
          <w:rFonts w:hint="cs"/>
          <w:rtl/>
        </w:rPr>
        <w:t xml:space="preserve">ی و به سرعت استفاده کرده و بر حسب شرایط میان آن‌ها تغییر کند، انجام شوند. هر سه ابزار باید همچنین تا حد امکان به صورت شفاف استفاده شوند. رهبر می‌تواند اغلب از تیم بپرسد که آیا نسبت </w:t>
      </w:r>
      <w:r w:rsidR="002B6515" w:rsidRPr="0025250D">
        <w:rPr>
          <w:rtl/>
        </w:rPr>
        <w:t>حس‌داد</w:t>
      </w:r>
      <w:r w:rsidRPr="0025250D">
        <w:rPr>
          <w:rFonts w:hint="cs"/>
          <w:rtl/>
        </w:rPr>
        <w:t xml:space="preserve"> آن به نظر از توازن خارج شده یا برای شرایط نا مناسب است یا خیر. تیم اغلب تشخیص </w:t>
      </w:r>
      <w:r w:rsidR="005005E7" w:rsidRPr="0025250D">
        <w:rPr>
          <w:rFonts w:hint="cs"/>
          <w:rtl/>
        </w:rPr>
        <w:t>می‌</w:t>
      </w:r>
      <w:r w:rsidRPr="0025250D">
        <w:rPr>
          <w:rFonts w:hint="cs"/>
          <w:rtl/>
        </w:rPr>
        <w:t xml:space="preserve">دهد که از توازن خارج شده و هر عضوی از تیم می‌تواند یاد بگیرد که از </w:t>
      </w:r>
      <w:r w:rsidR="00EE4B64" w:rsidRPr="0025250D">
        <w:rPr>
          <w:rFonts w:hint="cs"/>
          <w:rtl/>
        </w:rPr>
        <w:t>چشم‌اندازسازی</w:t>
      </w:r>
      <w:r w:rsidRPr="0025250D">
        <w:rPr>
          <w:rFonts w:hint="cs"/>
          <w:rtl/>
        </w:rPr>
        <w:t xml:space="preserve"> موفقیت یا شکست یا بررسی واقعیت برای بازگرداندن تیم به مسیر درست استفاده کند.</w:t>
      </w:r>
    </w:p>
    <w:p w14:paraId="6D4EDADB" w14:textId="77777777" w:rsidR="00537CC8" w:rsidRPr="0025250D" w:rsidRDefault="00537CC8" w:rsidP="00537CC8">
      <w:pPr>
        <w:rPr>
          <w:rtl/>
        </w:rPr>
      </w:pPr>
    </w:p>
    <w:p w14:paraId="052EECC3" w14:textId="77777777" w:rsidR="00537CC8" w:rsidRPr="0025250D" w:rsidRDefault="00537CC8" w:rsidP="00537CC8">
      <w:pPr>
        <w:rPr>
          <w:rtl/>
        </w:rPr>
      </w:pPr>
    </w:p>
    <w:p w14:paraId="743DA936" w14:textId="77777777" w:rsidR="00537CC8" w:rsidRPr="0025250D" w:rsidRDefault="00537CC8" w:rsidP="00537CC8">
      <w:pPr>
        <w:rPr>
          <w:rtl/>
        </w:rPr>
      </w:pPr>
    </w:p>
    <w:p w14:paraId="7C917B8B" w14:textId="77777777" w:rsidR="00537CC8" w:rsidRPr="0025250D" w:rsidRDefault="00537CC8" w:rsidP="00537CC8">
      <w:pPr>
        <w:rPr>
          <w:rtl/>
        </w:rPr>
      </w:pPr>
    </w:p>
    <w:p w14:paraId="743D784E" w14:textId="77777777" w:rsidR="00537CC8" w:rsidRPr="0025250D" w:rsidRDefault="00537CC8" w:rsidP="00537CC8">
      <w:pPr>
        <w:rPr>
          <w:rtl/>
        </w:rPr>
      </w:pPr>
    </w:p>
    <w:p w14:paraId="753D4F6E" w14:textId="77777777" w:rsidR="00537CC8" w:rsidRPr="0025250D" w:rsidRDefault="00537CC8" w:rsidP="00537CC8">
      <w:pPr>
        <w:rPr>
          <w:rtl/>
        </w:rPr>
      </w:pPr>
    </w:p>
    <w:p w14:paraId="4C1D1BFB" w14:textId="77777777" w:rsidR="00537CC8" w:rsidRPr="0025250D" w:rsidRDefault="00537CC8" w:rsidP="00537CC8">
      <w:pPr>
        <w:rPr>
          <w:rtl/>
        </w:rPr>
      </w:pPr>
    </w:p>
    <w:p w14:paraId="13C7511D" w14:textId="77777777" w:rsidR="00537CC8" w:rsidRPr="0025250D" w:rsidRDefault="00537CC8" w:rsidP="00537CC8">
      <w:pPr>
        <w:rPr>
          <w:rtl/>
        </w:rPr>
      </w:pPr>
    </w:p>
    <w:p w14:paraId="607F92B6" w14:textId="77777777" w:rsidR="00537CC8" w:rsidRPr="0025250D" w:rsidRDefault="00537CC8" w:rsidP="00537CC8">
      <w:pPr>
        <w:rPr>
          <w:rtl/>
        </w:rPr>
      </w:pPr>
    </w:p>
    <w:p w14:paraId="192C2D68" w14:textId="77777777" w:rsidR="00537CC8" w:rsidRPr="0025250D" w:rsidRDefault="00537CC8" w:rsidP="00537CC8">
      <w:pPr>
        <w:rPr>
          <w:rtl/>
        </w:rPr>
      </w:pPr>
    </w:p>
    <w:p w14:paraId="4ED6A7BA" w14:textId="77777777" w:rsidR="00537CC8" w:rsidRPr="0025250D" w:rsidRDefault="00537CC8" w:rsidP="00537CC8">
      <w:pPr>
        <w:rPr>
          <w:rtl/>
        </w:rPr>
      </w:pPr>
    </w:p>
    <w:p w14:paraId="1BED6636" w14:textId="77777777" w:rsidR="00537CC8" w:rsidRPr="0025250D" w:rsidRDefault="00537CC8" w:rsidP="00537CC8">
      <w:pPr>
        <w:rPr>
          <w:rtl/>
        </w:rPr>
      </w:pPr>
    </w:p>
    <w:p w14:paraId="7D76DEB6" w14:textId="77777777" w:rsidR="00537CC8" w:rsidRPr="0025250D" w:rsidRDefault="00537CC8" w:rsidP="00537CC8">
      <w:pPr>
        <w:rPr>
          <w:rtl/>
        </w:rPr>
      </w:pPr>
    </w:p>
    <w:p w14:paraId="544AD5B1" w14:textId="77777777" w:rsidR="00537CC8" w:rsidRPr="0025250D" w:rsidRDefault="00537CC8" w:rsidP="00537CC8">
      <w:pPr>
        <w:rPr>
          <w:rtl/>
        </w:rPr>
      </w:pPr>
    </w:p>
    <w:p w14:paraId="55F4BE97" w14:textId="77777777" w:rsidR="00537CC8" w:rsidRPr="0025250D" w:rsidRDefault="00537CC8" w:rsidP="00537CC8">
      <w:pPr>
        <w:rPr>
          <w:rtl/>
        </w:rPr>
      </w:pPr>
    </w:p>
    <w:p w14:paraId="7BFEDE8A" w14:textId="77777777" w:rsidR="00537CC8" w:rsidRPr="0025250D" w:rsidRDefault="00537CC8" w:rsidP="00D53F87">
      <w:pPr>
        <w:pStyle w:val="Heading2"/>
        <w:rPr>
          <w:rtl/>
        </w:rPr>
      </w:pPr>
      <w:bookmarkStart w:id="59" w:name="_Toc127831324"/>
      <w:r w:rsidRPr="0025250D">
        <w:rPr>
          <w:rFonts w:hint="cs"/>
          <w:rtl/>
        </w:rPr>
        <w:t>مدل‌های رهبری و ارزش ها</w:t>
      </w:r>
      <w:bookmarkEnd w:id="59"/>
    </w:p>
    <w:p w14:paraId="7BAC5083" w14:textId="1F7F8961" w:rsidR="00537CC8" w:rsidRPr="0025250D" w:rsidRDefault="00537CC8" w:rsidP="00537CC8">
      <w:pPr>
        <w:rPr>
          <w:rtl/>
        </w:rPr>
      </w:pPr>
      <w:r w:rsidRPr="0025250D">
        <w:rPr>
          <w:rFonts w:hint="cs"/>
          <w:rtl/>
        </w:rPr>
        <w:t>بخش آخر این فصل و شاید مهم‌ترین بخش آن، شامل مدل‌ها</w:t>
      </w:r>
      <w:r w:rsidR="005005E7" w:rsidRPr="0025250D">
        <w:rPr>
          <w:rFonts w:hint="cs"/>
          <w:rtl/>
        </w:rPr>
        <w:t>ی</w:t>
      </w:r>
      <w:r w:rsidRPr="0025250D">
        <w:rPr>
          <w:rFonts w:hint="cs"/>
          <w:rtl/>
        </w:rPr>
        <w:t xml:space="preserve"> رهبری و ارزش‌ها می‌شود که ما را به فراتر از </w:t>
      </w:r>
      <w:r w:rsidR="002B6515" w:rsidRPr="0025250D">
        <w:rPr>
          <w:rtl/>
        </w:rPr>
        <w:t>حس‌داد</w:t>
      </w:r>
      <w:r w:rsidRPr="0025250D">
        <w:rPr>
          <w:rFonts w:hint="cs"/>
          <w:rtl/>
        </w:rPr>
        <w:t xml:space="preserve"> می‌برند. در یک دنیای پیچیده، با</w:t>
      </w:r>
      <w:r w:rsidR="008D6F97" w:rsidRPr="0025250D">
        <w:rPr>
          <w:rtl/>
        </w:rPr>
        <w:t xml:space="preserve"> </w:t>
      </w:r>
      <w:r w:rsidRPr="0025250D">
        <w:t>ADOR</w:t>
      </w:r>
      <w:r w:rsidRPr="0025250D">
        <w:rPr>
          <w:rFonts w:hint="cs"/>
          <w:rtl/>
        </w:rPr>
        <w:t xml:space="preserve"> </w:t>
      </w:r>
      <w:r w:rsidR="007B3B35" w:rsidRPr="0025250D">
        <w:rPr>
          <w:rFonts w:hint="cs"/>
          <w:rtl/>
        </w:rPr>
        <w:t>شتاب‌گیر</w:t>
      </w:r>
      <w:r w:rsidRPr="0025250D">
        <w:rPr>
          <w:rFonts w:hint="cs"/>
          <w:rtl/>
        </w:rPr>
        <w:t xml:space="preserve">نده فرصت‌های بی شمار برای همکاری و رقابت دائمی میان ایده‌ها، اولویت‌ها و </w:t>
      </w:r>
      <w:r w:rsidR="00701E03" w:rsidRPr="0025250D">
        <w:rPr>
          <w:rFonts w:hint="cs"/>
          <w:rtl/>
        </w:rPr>
        <w:t>راهبرد</w:t>
      </w:r>
      <w:r w:rsidRPr="0025250D">
        <w:rPr>
          <w:rFonts w:hint="cs"/>
          <w:rtl/>
        </w:rPr>
        <w:t>‌ها، مدل‌های رهبری و هنجاری ما می‌توانند به ما برای انجام بهترین انتخاب‌هایی که می‌توانیم داشته باشیم کمک کنند. این مدل‌ها کامل نیستند، اما هیچ مدلی کامل نیست. ما امیدواریم که حداقل شما آن‌ها را در مسیر خود مفید بیابید.</w:t>
      </w:r>
    </w:p>
    <w:p w14:paraId="1C999F83" w14:textId="230CC9BA" w:rsidR="00537CC8" w:rsidRPr="0025250D" w:rsidRDefault="00537CC8" w:rsidP="00D53F87">
      <w:pPr>
        <w:pStyle w:val="Heading3"/>
        <w:rPr>
          <w:rtl/>
        </w:rPr>
      </w:pPr>
      <w:r w:rsidRPr="0025250D">
        <w:rPr>
          <w:rFonts w:hint="cs"/>
          <w:rtl/>
        </w:rPr>
        <w:t xml:space="preserve">مقدمه‌ای بر رهبری </w:t>
      </w:r>
      <w:r w:rsidR="00B124DE" w:rsidRPr="0025250D">
        <w:rPr>
          <w:rFonts w:hint="cs"/>
          <w:rtl/>
        </w:rPr>
        <w:t>انطباق</w:t>
      </w:r>
      <w:r w:rsidR="005005E7" w:rsidRPr="0025250D">
        <w:rPr>
          <w:rFonts w:hint="cs"/>
          <w:rtl/>
        </w:rPr>
        <w:t>ی</w:t>
      </w:r>
      <w:r w:rsidRPr="0025250D">
        <w:rPr>
          <w:rFonts w:hint="cs"/>
          <w:rtl/>
        </w:rPr>
        <w:t>: دامنه‌ها، شایستگی‌ها و ارزش</w:t>
      </w:r>
      <w:r w:rsidR="00986693" w:rsidRPr="0025250D">
        <w:rPr>
          <w:rFonts w:hint="cs"/>
          <w:rtl/>
        </w:rPr>
        <w:t>‌</w:t>
      </w:r>
      <w:r w:rsidRPr="0025250D">
        <w:rPr>
          <w:rFonts w:hint="cs"/>
          <w:rtl/>
        </w:rPr>
        <w:t>ها</w:t>
      </w:r>
    </w:p>
    <w:p w14:paraId="4C892A0C" w14:textId="31655517" w:rsidR="00537CC8" w:rsidRPr="0025250D" w:rsidRDefault="00537CC8" w:rsidP="00537CC8">
      <w:pPr>
        <w:rPr>
          <w:rtl/>
        </w:rPr>
      </w:pPr>
      <w:r w:rsidRPr="0025250D">
        <w:rPr>
          <w:rFonts w:hint="cs"/>
          <w:rtl/>
        </w:rPr>
        <w:t xml:space="preserve">استاد </w:t>
      </w:r>
      <w:r w:rsidR="00B124DE" w:rsidRPr="0025250D">
        <w:rPr>
          <w:rFonts w:hint="cs"/>
          <w:rtl/>
        </w:rPr>
        <w:t>کسب‌و‌کار</w:t>
      </w:r>
      <w:r w:rsidRPr="0025250D">
        <w:rPr>
          <w:rFonts w:hint="cs"/>
          <w:rtl/>
        </w:rPr>
        <w:t xml:space="preserve"> هاروارد </w:t>
      </w:r>
      <w:r w:rsidRPr="0025250D">
        <w:rPr>
          <w:rtl/>
        </w:rPr>
        <w:t>جان کوتر</w:t>
      </w:r>
      <w:r w:rsidRPr="0025250D">
        <w:rPr>
          <w:vertAlign w:val="superscript"/>
          <w:rtl/>
        </w:rPr>
        <w:footnoteReference w:id="2004"/>
      </w:r>
      <w:r w:rsidRPr="0025250D">
        <w:rPr>
          <w:rFonts w:hint="cs"/>
          <w:rtl/>
        </w:rPr>
        <w:t xml:space="preserve"> می‌گوید که هدف بنیادین مدیریت حفظ کارکرد فعلی </w:t>
      </w:r>
      <w:r w:rsidR="008D6F97" w:rsidRPr="0025250D">
        <w:rPr>
          <w:rFonts w:hint="cs"/>
          <w:rtl/>
        </w:rPr>
        <w:t>سامانه‌</w:t>
      </w:r>
      <w:r w:rsidRPr="0025250D">
        <w:rPr>
          <w:rFonts w:hint="cs"/>
          <w:rtl/>
        </w:rPr>
        <w:t xml:space="preserve"> است و همزمان هدف بنیادین رهبری تولید تغییر مفید است. رهبری بنابراین، مدیریت را در بر می‌گیرد، اما چیزی فرا‌تر از آن است. این بیشتر </w:t>
      </w:r>
      <w:r w:rsidR="00D92F6E" w:rsidRPr="0025250D">
        <w:rPr>
          <w:rFonts w:hint="cs"/>
          <w:rtl/>
        </w:rPr>
        <w:t>آینده‌نگاری</w:t>
      </w:r>
      <w:r w:rsidRPr="0025250D">
        <w:rPr>
          <w:rFonts w:hint="cs"/>
          <w:rtl/>
        </w:rPr>
        <w:t xml:space="preserve"> بلند مدت: توانایی دیدین بهترین مسیر (رهبران </w:t>
      </w:r>
      <w:r w:rsidR="009D17DA" w:rsidRPr="0025250D">
        <w:rPr>
          <w:rFonts w:hint="cs"/>
          <w:rtl/>
        </w:rPr>
        <w:t>بالا‌به‌پایین</w:t>
      </w:r>
      <w:r w:rsidRPr="0025250D">
        <w:rPr>
          <w:rFonts w:hint="cs"/>
          <w:rtl/>
        </w:rPr>
        <w:t>) یا توانمند ساختن تیم به دیدن آن (رهبران پایین به بالا) و اقدام بلند مدت تر: توانایی کمک به تیم برای دست یابی به اهداف نهایی آن، می‌باشد</w:t>
      </w:r>
      <w:r w:rsidR="008D6F97" w:rsidRPr="0025250D">
        <w:rPr>
          <w:rtl/>
        </w:rPr>
        <w:t xml:space="preserve">؛ </w:t>
      </w:r>
      <w:r w:rsidRPr="0025250D">
        <w:rPr>
          <w:rFonts w:hint="cs"/>
          <w:rtl/>
        </w:rPr>
        <w:t xml:space="preserve">بنابراین، هم انگیزه بخشی به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و هم تغذیه اقدام گروهی برای موفقیت رهبران ضروری هستند.</w:t>
      </w:r>
    </w:p>
    <w:p w14:paraId="451EF6CF" w14:textId="632EC7F3" w:rsidR="00537CC8" w:rsidRPr="0025250D" w:rsidRDefault="00537CC8" w:rsidP="00537CC8">
      <w:pPr>
        <w:rPr>
          <w:rtl/>
        </w:rPr>
      </w:pPr>
      <w:r w:rsidRPr="0025250D">
        <w:rPr>
          <w:rtl/>
        </w:rPr>
        <w:t>کورن فر</w:t>
      </w:r>
      <w:r w:rsidRPr="0025250D">
        <w:rPr>
          <w:rFonts w:hint="cs"/>
          <w:rtl/>
        </w:rPr>
        <w:t>ی</w:t>
      </w:r>
      <w:r w:rsidRPr="0025250D">
        <w:rPr>
          <w:vertAlign w:val="superscript"/>
          <w:rtl/>
        </w:rPr>
        <w:footnoteReference w:id="2005"/>
      </w:r>
      <w:r w:rsidRPr="0025250D">
        <w:rPr>
          <w:rFonts w:hint="cs"/>
          <w:rtl/>
        </w:rPr>
        <w:t xml:space="preserve"> (از طریق بخش فرعی خود، </w:t>
      </w:r>
      <w:r w:rsidRPr="0025250D">
        <w:t>PDI</w:t>
      </w:r>
      <w:r w:rsidRPr="0025250D">
        <w:rPr>
          <w:rFonts w:hint="cs"/>
          <w:rtl/>
        </w:rPr>
        <w:t xml:space="preserve"> ناین هاوس</w:t>
      </w:r>
      <w:r w:rsidRPr="0025250D">
        <w:rPr>
          <w:vertAlign w:val="superscript"/>
          <w:rtl/>
        </w:rPr>
        <w:footnoteReference w:id="2006"/>
      </w:r>
      <w:r w:rsidRPr="0025250D">
        <w:rPr>
          <w:rFonts w:hint="cs"/>
          <w:rtl/>
        </w:rPr>
        <w:t>) رهبری را وابسته به چهار عامل رهبری مدلسازی می‌کند: رهبری فکری</w:t>
      </w:r>
      <w:r w:rsidRPr="0025250D">
        <w:rPr>
          <w:vertAlign w:val="superscript"/>
          <w:rtl/>
        </w:rPr>
        <w:footnoteReference w:id="2007"/>
      </w:r>
      <w:r w:rsidRPr="0025250D">
        <w:rPr>
          <w:rFonts w:hint="cs"/>
          <w:rtl/>
        </w:rPr>
        <w:t xml:space="preserve"> (</w:t>
      </w:r>
      <w:r w:rsidR="00701E03" w:rsidRPr="0025250D">
        <w:rPr>
          <w:rFonts w:hint="cs"/>
          <w:rtl/>
        </w:rPr>
        <w:t>راهبردی</w:t>
      </w:r>
      <w:r w:rsidRPr="0025250D">
        <w:rPr>
          <w:rFonts w:hint="cs"/>
          <w:rtl/>
        </w:rPr>
        <w:t xml:space="preserve"> بودن)، رهبری نتایج با تمرکز خارجی</w:t>
      </w:r>
      <w:r w:rsidRPr="0025250D">
        <w:rPr>
          <w:vertAlign w:val="superscript"/>
          <w:rtl/>
        </w:rPr>
        <w:footnoteReference w:id="2008"/>
      </w:r>
      <w:r w:rsidRPr="0025250D">
        <w:rPr>
          <w:rFonts w:hint="cs"/>
          <w:rtl/>
        </w:rPr>
        <w:t xml:space="preserve"> (وابسته بودن به برآمدها)، رهبری افراد با تمرکز خارجی</w:t>
      </w:r>
      <w:r w:rsidRPr="0025250D">
        <w:rPr>
          <w:vertAlign w:val="superscript"/>
          <w:rtl/>
        </w:rPr>
        <w:footnoteReference w:id="2009"/>
      </w:r>
      <w:r w:rsidRPr="0025250D">
        <w:rPr>
          <w:rFonts w:hint="cs"/>
          <w:rtl/>
        </w:rPr>
        <w:t xml:space="preserve"> (توسعه دهنده بودن) و رهبری فردی با تمرکز داخلی</w:t>
      </w:r>
      <w:r w:rsidRPr="0025250D">
        <w:rPr>
          <w:vertAlign w:val="superscript"/>
          <w:rtl/>
        </w:rPr>
        <w:footnoteReference w:id="2010"/>
      </w:r>
      <w:r w:rsidRPr="0025250D">
        <w:rPr>
          <w:rFonts w:hint="cs"/>
          <w:rtl/>
        </w:rPr>
        <w:t xml:space="preserve"> (</w:t>
      </w:r>
      <w:r w:rsidRPr="0025250D">
        <w:t>EQ</w:t>
      </w:r>
      <w:r w:rsidRPr="0025250D">
        <w:rPr>
          <w:rFonts w:hint="cs"/>
          <w:rtl/>
        </w:rPr>
        <w:t xml:space="preserve">، اخلاق و آداب، </w:t>
      </w:r>
      <w:r w:rsidR="00B124DE" w:rsidRPr="0025250D">
        <w:rPr>
          <w:rFonts w:hint="cs"/>
          <w:rtl/>
        </w:rPr>
        <w:t>انطباق‌پذیر</w:t>
      </w:r>
      <w:r w:rsidRPr="0025250D">
        <w:rPr>
          <w:rFonts w:hint="cs"/>
          <w:rtl/>
        </w:rPr>
        <w:t>ی).</w:t>
      </w:r>
    </w:p>
    <w:p w14:paraId="4FEF44FB" w14:textId="0ED388E9" w:rsidR="00537CC8" w:rsidRPr="0025250D" w:rsidRDefault="00537CC8" w:rsidP="00537CC8">
      <w:pPr>
        <w:rPr>
          <w:rtl/>
        </w:rPr>
      </w:pPr>
      <w:r w:rsidRPr="0025250D">
        <w:rPr>
          <w:rFonts w:hint="cs"/>
          <w:rtl/>
        </w:rPr>
        <w:t xml:space="preserve">ما کتاب دستورالعمل رهبری </w:t>
      </w:r>
      <w:r w:rsidRPr="0025250D">
        <w:rPr>
          <w:rtl/>
        </w:rPr>
        <w:t>کورن فر</w:t>
      </w:r>
      <w:r w:rsidRPr="0025250D">
        <w:rPr>
          <w:rFonts w:hint="cs"/>
          <w:rtl/>
        </w:rPr>
        <w:t xml:space="preserve">ی با عنوان </w:t>
      </w:r>
      <w:r w:rsidRPr="0025250D">
        <w:t>FYI</w:t>
      </w:r>
      <w:r w:rsidRPr="0025250D">
        <w:rPr>
          <w:rFonts w:hint="cs"/>
          <w:rtl/>
        </w:rPr>
        <w:t>: برای پیشرفت شما</w:t>
      </w:r>
      <w:r w:rsidRPr="0025250D">
        <w:rPr>
          <w:vertAlign w:val="superscript"/>
          <w:rtl/>
        </w:rPr>
        <w:footnoteReference w:id="2011"/>
      </w:r>
      <w:r w:rsidRPr="0025250D">
        <w:rPr>
          <w:rFonts w:hint="cs"/>
          <w:rtl/>
        </w:rPr>
        <w:t xml:space="preserve"> ویرایش ششم در سال 2017 را پیشنهاد می‌کنیم. </w:t>
      </w:r>
      <w:r w:rsidR="005005E7" w:rsidRPr="0025250D">
        <w:rPr>
          <w:rFonts w:hint="cs"/>
          <w:rtl/>
        </w:rPr>
        <w:t>وی</w:t>
      </w:r>
      <w:r w:rsidRPr="0025250D">
        <w:rPr>
          <w:rFonts w:hint="cs"/>
          <w:rtl/>
        </w:rPr>
        <w:t xml:space="preserve"> به شکل مفیدی این چهار عامل رهبری حیاتی را به 12 دسته و 38 شایستگی تقسیم بندی می‌کند. بهبود </w:t>
      </w:r>
      <w:r w:rsidRPr="0025250D">
        <w:rPr>
          <w:rtl/>
        </w:rPr>
        <w:t>آینده‌نگاری</w:t>
      </w:r>
      <w:r w:rsidRPr="0025250D">
        <w:rPr>
          <w:rFonts w:hint="cs"/>
          <w:rtl/>
        </w:rPr>
        <w:t xml:space="preserve"> و بازخورد 360 درجه‌ای برای این عوامل یک مدل کلی عالی برای رهبری سازمانی است. این چهار عامل می‌توانند به‌عنوان </w:t>
      </w:r>
      <w:r w:rsidRPr="0025250D">
        <w:t>TRPP</w:t>
      </w:r>
      <w:r w:rsidRPr="0025250D">
        <w:rPr>
          <w:rFonts w:hint="cs"/>
          <w:rtl/>
        </w:rPr>
        <w:t xml:space="preserve"> به خاطر سپرده شوند. دو دامنه اول به تغییر خارجی (مثلا سازمانی) مرتبط هستند. دو دامنه دوم به تغییر داخلی و ایجاد شایستگی‌های میان فردی و فردی مربوط می‌شوند تا تیم‌ها و افراد بتوانند </w:t>
      </w:r>
      <w:r w:rsidR="002F3C14" w:rsidRPr="0025250D">
        <w:rPr>
          <w:rFonts w:hint="cs"/>
          <w:rtl/>
        </w:rPr>
        <w:t>انطباق</w:t>
      </w:r>
      <w:r w:rsidRPr="0025250D">
        <w:rPr>
          <w:rFonts w:hint="cs"/>
          <w:rtl/>
        </w:rPr>
        <w:t xml:space="preserve"> یافته و ترقی کنند. در زیر برخی شایستگی‌ها در هر دامنه آورده شده‌اند:</w:t>
      </w:r>
    </w:p>
    <w:p w14:paraId="29362C99" w14:textId="77777777" w:rsidR="00537CC8" w:rsidRPr="0025250D" w:rsidRDefault="00537CC8" w:rsidP="00537CC8">
      <w:pPr>
        <w:rPr>
          <w:b/>
          <w:bCs/>
          <w:rtl/>
        </w:rPr>
      </w:pPr>
      <w:r w:rsidRPr="0025250D">
        <w:rPr>
          <w:rFonts w:hint="cs"/>
          <w:b/>
          <w:bCs/>
          <w:rtl/>
        </w:rPr>
        <w:t>دامنه ها</w:t>
      </w:r>
      <w:r w:rsidRPr="0025250D">
        <w:rPr>
          <w:b/>
          <w:bCs/>
          <w:rtl/>
        </w:rPr>
        <w:t xml:space="preserve">/ </w:t>
      </w:r>
      <w:r w:rsidRPr="0025250D">
        <w:rPr>
          <w:rFonts w:hint="cs"/>
          <w:b/>
          <w:bCs/>
          <w:rtl/>
        </w:rPr>
        <w:t>شایستگی</w:t>
      </w:r>
      <w:r w:rsidRPr="0025250D">
        <w:rPr>
          <w:b/>
          <w:bCs/>
          <w:rtl/>
        </w:rPr>
        <w:t xml:space="preserve">‌های </w:t>
      </w:r>
      <w:r w:rsidRPr="0025250D">
        <w:rPr>
          <w:rFonts w:hint="cs"/>
          <w:b/>
          <w:bCs/>
          <w:rtl/>
        </w:rPr>
        <w:t>خارجی</w:t>
      </w:r>
    </w:p>
    <w:p w14:paraId="1E59B423" w14:textId="29497CA9" w:rsidR="00537CC8" w:rsidRPr="0025250D" w:rsidRDefault="00537CC8" w:rsidP="00537CC8">
      <w:pPr>
        <w:rPr>
          <w:rtl/>
        </w:rPr>
      </w:pPr>
      <w:r w:rsidRPr="0025250D">
        <w:rPr>
          <w:rFonts w:hint="cs"/>
          <w:rtl/>
        </w:rPr>
        <w:t xml:space="preserve">رهبری فکری / </w:t>
      </w:r>
      <w:r w:rsidR="00B56611" w:rsidRPr="0025250D">
        <w:rPr>
          <w:rFonts w:hint="cs"/>
          <w:rtl/>
        </w:rPr>
        <w:t>چشم‌انداز</w:t>
      </w:r>
      <w:r w:rsidRPr="0025250D">
        <w:rPr>
          <w:rFonts w:hint="cs"/>
          <w:rtl/>
        </w:rPr>
        <w:t xml:space="preserve">، </w:t>
      </w:r>
      <w:r w:rsidR="00701E03" w:rsidRPr="0025250D">
        <w:rPr>
          <w:rFonts w:hint="cs"/>
          <w:rtl/>
        </w:rPr>
        <w:t>راهبرد</w:t>
      </w:r>
      <w:r w:rsidRPr="0025250D">
        <w:rPr>
          <w:rFonts w:hint="cs"/>
          <w:rtl/>
        </w:rPr>
        <w:t xml:space="preserve">، نظام مالی، قضاوت </w:t>
      </w:r>
      <w:r w:rsidR="00701E03" w:rsidRPr="0025250D">
        <w:rPr>
          <w:rFonts w:hint="cs"/>
          <w:rtl/>
        </w:rPr>
        <w:t>راهبردی</w:t>
      </w:r>
      <w:r w:rsidRPr="0025250D">
        <w:rPr>
          <w:rFonts w:hint="cs"/>
          <w:rtl/>
        </w:rPr>
        <w:t xml:space="preserve"> و نوآوری</w:t>
      </w:r>
    </w:p>
    <w:p w14:paraId="72607249" w14:textId="77777777" w:rsidR="00537CC8" w:rsidRPr="0025250D" w:rsidRDefault="00537CC8" w:rsidP="00537CC8">
      <w:pPr>
        <w:rPr>
          <w:rtl/>
        </w:rPr>
      </w:pPr>
      <w:r w:rsidRPr="0025250D">
        <w:rPr>
          <w:rFonts w:hint="cs"/>
          <w:rtl/>
        </w:rPr>
        <w:t>رهبری</w:t>
      </w:r>
      <w:r w:rsidRPr="0025250D">
        <w:rPr>
          <w:rtl/>
        </w:rPr>
        <w:t xml:space="preserve"> </w:t>
      </w:r>
      <w:r w:rsidRPr="0025250D">
        <w:rPr>
          <w:rFonts w:hint="cs"/>
          <w:rtl/>
        </w:rPr>
        <w:t>نتایج / تشویق و انگیزه بخشی برای نتایج، حصول اطمینان از اجرا، قدرت مالی، شجاعت در هدایت، تمرکز بر مشتری</w:t>
      </w:r>
    </w:p>
    <w:p w14:paraId="790D56F9" w14:textId="77777777" w:rsidR="00537CC8" w:rsidRPr="0025250D" w:rsidRDefault="00537CC8" w:rsidP="00537CC8">
      <w:pPr>
        <w:rPr>
          <w:b/>
          <w:bCs/>
          <w:rtl/>
        </w:rPr>
      </w:pPr>
      <w:r w:rsidRPr="0025250D">
        <w:rPr>
          <w:rFonts w:hint="cs"/>
          <w:b/>
          <w:bCs/>
          <w:rtl/>
        </w:rPr>
        <w:t>دامنه ها/شایستگی‌های داخلی</w:t>
      </w:r>
    </w:p>
    <w:p w14:paraId="0FCE836C" w14:textId="667BD5FF" w:rsidR="00537CC8" w:rsidRPr="0025250D" w:rsidRDefault="00537CC8" w:rsidP="00537CC8">
      <w:pPr>
        <w:rPr>
          <w:rtl/>
        </w:rPr>
      </w:pPr>
      <w:r w:rsidRPr="0025250D">
        <w:rPr>
          <w:rFonts w:hint="cs"/>
          <w:rtl/>
        </w:rPr>
        <w:t xml:space="preserve">رهبری افراد / مشارکت، الهام بخشی، ترویج همکاری، ایجاد استعداد، </w:t>
      </w:r>
      <w:r w:rsidR="0008779C" w:rsidRPr="0025250D">
        <w:rPr>
          <w:rFonts w:hint="cs"/>
          <w:rtl/>
        </w:rPr>
        <w:t>ارتباط‌دهی</w:t>
      </w:r>
      <w:r w:rsidRPr="0025250D">
        <w:rPr>
          <w:rFonts w:hint="cs"/>
          <w:rtl/>
        </w:rPr>
        <w:t>، حصول اطمینان از امنیت روانشناختی</w:t>
      </w:r>
    </w:p>
    <w:p w14:paraId="00948E8B" w14:textId="3088A2FB" w:rsidR="00537CC8" w:rsidRPr="0025250D" w:rsidRDefault="00537CC8" w:rsidP="00537CC8">
      <w:pPr>
        <w:rPr>
          <w:rtl/>
        </w:rPr>
      </w:pPr>
      <w:r w:rsidRPr="0025250D">
        <w:rPr>
          <w:rFonts w:hint="cs"/>
          <w:rtl/>
        </w:rPr>
        <w:t>رهبری</w:t>
      </w:r>
      <w:r w:rsidRPr="0025250D">
        <w:rPr>
          <w:rtl/>
        </w:rPr>
        <w:t xml:space="preserve"> </w:t>
      </w:r>
      <w:r w:rsidR="001A3F0A" w:rsidRPr="0025250D">
        <w:rPr>
          <w:rFonts w:hint="cs"/>
          <w:rtl/>
        </w:rPr>
        <w:t>فردی</w:t>
      </w:r>
      <w:r w:rsidRPr="0025250D">
        <w:rPr>
          <w:rFonts w:hint="cs"/>
          <w:rtl/>
        </w:rPr>
        <w:t xml:space="preserve"> / یکپارچگی، اعتبار، الهام بخشی برای اعتماد، قضاوت </w:t>
      </w:r>
      <w:r w:rsidR="001A3F0A" w:rsidRPr="0025250D">
        <w:rPr>
          <w:rFonts w:hint="cs"/>
          <w:rtl/>
        </w:rPr>
        <w:t>فردی</w:t>
      </w:r>
      <w:r w:rsidRPr="0025250D">
        <w:rPr>
          <w:rFonts w:hint="cs"/>
          <w:rtl/>
        </w:rPr>
        <w:t xml:space="preserve">، یادگیری، </w:t>
      </w:r>
      <w:r w:rsidR="00B124DE" w:rsidRPr="0025250D">
        <w:rPr>
          <w:rFonts w:hint="cs"/>
          <w:b/>
          <w:bCs/>
          <w:rtl/>
        </w:rPr>
        <w:t>انطباق‌پذیر</w:t>
      </w:r>
      <w:r w:rsidRPr="0025250D">
        <w:rPr>
          <w:rFonts w:hint="cs"/>
          <w:b/>
          <w:bCs/>
          <w:rtl/>
        </w:rPr>
        <w:t>ی</w:t>
      </w:r>
    </w:p>
    <w:p w14:paraId="5E2D28D6" w14:textId="77777777" w:rsidR="00537CC8" w:rsidRPr="0025250D" w:rsidRDefault="00537CC8" w:rsidP="00D53F87">
      <w:pPr>
        <w:jc w:val="center"/>
        <w:rPr>
          <w:rtl/>
        </w:rPr>
      </w:pPr>
      <w:r w:rsidRPr="0025250D">
        <w:rPr>
          <w:noProof/>
          <w:rtl/>
          <w:lang w:bidi="ar-SA"/>
        </w:rPr>
        <w:drawing>
          <wp:inline distT="0" distB="0" distL="0" distR="0" wp14:anchorId="5998F86E" wp14:editId="3B1EC18E">
            <wp:extent cx="1455174" cy="2190750"/>
            <wp:effectExtent l="0" t="0" r="0" b="0"/>
            <wp:docPr id="106" name="Picture 106" descr="D:\کار\مستقل\3 ( ترجمه ی دانشگاه تهران  )\Introduction to Foresight\part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5\4.png"/>
                    <pic:cNvPicPr>
                      <a:picLocks noChangeAspect="1" noChangeArrowheads="1"/>
                    </pic:cNvPicPr>
                  </pic:nvPicPr>
                  <pic:blipFill rotWithShape="1">
                    <a:blip r:embed="rId168" cstate="screen">
                      <a:extLst>
                        <a:ext uri="{BEBA8EAE-BF5A-486C-A8C5-ECC9F3942E4B}">
                          <a14:imgProps xmlns:a14="http://schemas.microsoft.com/office/drawing/2010/main">
                            <a14:imgLayer r:embed="rId169">
                              <a14:imgEffect>
                                <a14:saturation sat="0"/>
                              </a14:imgEffect>
                            </a14:imgLayer>
                          </a14:imgProps>
                        </a:ext>
                        <a:ext uri="{28A0092B-C50C-407E-A947-70E740481C1C}">
                          <a14:useLocalDpi xmlns:a14="http://schemas.microsoft.com/office/drawing/2010/main"/>
                        </a:ext>
                      </a:extLst>
                    </a:blip>
                    <a:srcRect/>
                    <a:stretch/>
                  </pic:blipFill>
                  <pic:spPr bwMode="auto">
                    <a:xfrm>
                      <a:off x="0" y="0"/>
                      <a:ext cx="1458004" cy="2195010"/>
                    </a:xfrm>
                    <a:prstGeom prst="rect">
                      <a:avLst/>
                    </a:prstGeom>
                    <a:noFill/>
                    <a:ln>
                      <a:noFill/>
                    </a:ln>
                    <a:extLst>
                      <a:ext uri="{53640926-AAD7-44D8-BBD7-CCE9431645EC}">
                        <a14:shadowObscured xmlns:a14="http://schemas.microsoft.com/office/drawing/2010/main"/>
                      </a:ext>
                    </a:extLst>
                  </pic:spPr>
                </pic:pic>
              </a:graphicData>
            </a:graphic>
          </wp:inline>
        </w:drawing>
      </w:r>
    </w:p>
    <w:p w14:paraId="05847862" w14:textId="77777777" w:rsidR="00537CC8" w:rsidRPr="0025250D" w:rsidRDefault="00537CC8" w:rsidP="00D53F87">
      <w:pPr>
        <w:jc w:val="center"/>
        <w:rPr>
          <w:rtl/>
        </w:rPr>
      </w:pPr>
      <w:r w:rsidRPr="0025250D">
        <w:rPr>
          <w:rFonts w:hint="cs"/>
          <w:rtl/>
        </w:rPr>
        <w:t>کورن فری، 2017</w:t>
      </w:r>
    </w:p>
    <w:p w14:paraId="460AEFFD" w14:textId="3CD771A5" w:rsidR="00537CC8" w:rsidRPr="0025250D" w:rsidRDefault="00537CC8" w:rsidP="00537CC8">
      <w:pPr>
        <w:rPr>
          <w:rtl/>
        </w:rPr>
      </w:pPr>
      <w:r w:rsidRPr="0025250D">
        <w:rPr>
          <w:rFonts w:hint="cs"/>
          <w:rtl/>
        </w:rPr>
        <w:t xml:space="preserve">این یک مدل قدرتمند است. آخرین شایستگی که به صورت پر رنگ نوشته شده است، یعنی </w:t>
      </w:r>
      <w:r w:rsidR="00B124DE" w:rsidRPr="0025250D">
        <w:rPr>
          <w:rFonts w:hint="cs"/>
          <w:rtl/>
        </w:rPr>
        <w:t>انطباق‌پذیر</w:t>
      </w:r>
      <w:r w:rsidRPr="0025250D">
        <w:rPr>
          <w:rFonts w:hint="cs"/>
          <w:rtl/>
        </w:rPr>
        <w:t>ی، یک خلاصه یک کلمه‌ای مهم از آنچه</w:t>
      </w:r>
      <w:r w:rsidR="005005E7" w:rsidRPr="0025250D">
        <w:rPr>
          <w:rFonts w:hint="cs"/>
          <w:rtl/>
        </w:rPr>
        <w:t xml:space="preserve"> می‌باشد که</w:t>
      </w:r>
      <w:r w:rsidRPr="0025250D">
        <w:rPr>
          <w:rFonts w:hint="cs"/>
          <w:rtl/>
        </w:rPr>
        <w:t xml:space="preserve"> یک رهبر خوب باید برای خود به طور مشخص انجام دهد. در سال 2016، </w:t>
      </w:r>
      <w:r w:rsidRPr="0025250D">
        <w:rPr>
          <w:rtl/>
        </w:rPr>
        <w:t>سان</w:t>
      </w:r>
      <w:r w:rsidRPr="0025250D">
        <w:rPr>
          <w:rFonts w:hint="cs"/>
          <w:rtl/>
        </w:rPr>
        <w:t>ی</w:t>
      </w:r>
      <w:r w:rsidRPr="0025250D">
        <w:rPr>
          <w:rtl/>
        </w:rPr>
        <w:t xml:space="preserve"> گ</w:t>
      </w:r>
      <w:r w:rsidRPr="0025250D">
        <w:rPr>
          <w:rFonts w:hint="cs"/>
          <w:rtl/>
        </w:rPr>
        <w:t>ی</w:t>
      </w:r>
      <w:r w:rsidRPr="0025250D">
        <w:rPr>
          <w:rFonts w:hint="eastAsia"/>
          <w:rtl/>
        </w:rPr>
        <w:t>لز</w:t>
      </w:r>
      <w:r w:rsidRPr="0025250D">
        <w:rPr>
          <w:vertAlign w:val="superscript"/>
          <w:rtl/>
        </w:rPr>
        <w:footnoteReference w:id="2012"/>
      </w:r>
      <w:r w:rsidRPr="0025250D">
        <w:rPr>
          <w:rFonts w:hint="cs"/>
          <w:rtl/>
        </w:rPr>
        <w:t xml:space="preserve"> از 195 رهبر در 30 سازمان جهان</w:t>
      </w:r>
      <w:r w:rsidR="005005E7" w:rsidRPr="0025250D">
        <w:rPr>
          <w:rFonts w:hint="cs"/>
          <w:rtl/>
        </w:rPr>
        <w:t>ی</w:t>
      </w:r>
      <w:r w:rsidRPr="0025250D">
        <w:rPr>
          <w:rFonts w:hint="cs"/>
          <w:rtl/>
        </w:rPr>
        <w:t xml:space="preserve"> در 15 کشور در سراسر جهان نظر سنجی کرد و از آن‌ها خواست که ده مورد اول از شایستگی‌های رهبران را که از یک فهرست فراهم شده از 74 طرح شایستگی انتخاب شده بودند، شناسایی کنند. </w:t>
      </w:r>
      <w:r w:rsidR="007118DE" w:rsidRPr="0025250D">
        <w:rPr>
          <w:rFonts w:hint="cs"/>
          <w:rtl/>
        </w:rPr>
        <w:t>همان‌طور</w:t>
      </w:r>
      <w:r w:rsidRPr="0025250D">
        <w:rPr>
          <w:rFonts w:hint="cs"/>
          <w:rtl/>
        </w:rPr>
        <w:t xml:space="preserve"> که در مقاله </w:t>
      </w:r>
      <w:r w:rsidRPr="0025250D">
        <w:t>HBR</w:t>
      </w:r>
      <w:r w:rsidRPr="0025250D">
        <w:rPr>
          <w:rFonts w:hint="cs"/>
          <w:rtl/>
        </w:rPr>
        <w:t xml:space="preserve"> او گزارش شده است، ده شایستگی برتر طبق رأی مدیر عاملان به شرح زیر بودند. دامنه </w:t>
      </w:r>
      <w:r w:rsidRPr="0025250D">
        <w:t>TRPP</w:t>
      </w:r>
      <w:r w:rsidRPr="0025250D">
        <w:rPr>
          <w:rFonts w:hint="cs"/>
          <w:rtl/>
        </w:rPr>
        <w:t xml:space="preserve"> در کنار هر یک نوشته شده است.</w:t>
      </w:r>
    </w:p>
    <w:p w14:paraId="2CA59314" w14:textId="2DC22BAB" w:rsidR="00537CC8" w:rsidRPr="0025250D" w:rsidRDefault="00537CC8" w:rsidP="00537CC8">
      <w:pPr>
        <w:rPr>
          <w:rtl/>
        </w:rPr>
      </w:pPr>
      <w:r w:rsidRPr="0025250D">
        <w:rPr>
          <w:rFonts w:hint="cs"/>
          <w:rtl/>
        </w:rPr>
        <w:t>1. استاندارد‌های اخلاقی و معنوی والایی دارد (فردی) 2. اهداف و مقاصدی با راهنمایی ها/هدایت آزاد ارائه می‌دهد (فکری) 3. به شکل شفافی انتظارات خود را بیان می‌کند (افراد) 4. انعطاف لازم برای تغییر نظرات را دارد (فردی) 5. به آموزش همیشگی خود متعهد است (افراد) 6. اغلب و به صورت آزادانه گفتگو می‌کند</w:t>
      </w:r>
      <w:r w:rsidR="00BC2104" w:rsidRPr="0025250D">
        <w:rPr>
          <w:rFonts w:hint="cs"/>
          <w:rtl/>
        </w:rPr>
        <w:t xml:space="preserve"> (افراد)</w:t>
      </w:r>
      <w:r w:rsidRPr="0025250D">
        <w:rPr>
          <w:rFonts w:hint="cs"/>
          <w:rtl/>
        </w:rPr>
        <w:t xml:space="preserve"> 7. ذهن بازی برای ایده‌ها و رویکردهای جدید دارد (فکری) 8. احساس موفقیت و شکست را به همراه هم ایجاد می‌کند (افراد) 9. به افراد برای رشد یافتن و تبدیل شدن به یک رهبر نسل بعدی کمک می‌کند (افراد) 10. برای آزمون و خطا ایمنی ایجاد می‌کند (افراد).</w:t>
      </w:r>
    </w:p>
    <w:p w14:paraId="67083BC2" w14:textId="0D120F73" w:rsidR="00537CC8" w:rsidRPr="0025250D" w:rsidRDefault="00537CC8" w:rsidP="00537CC8">
      <w:pPr>
        <w:rPr>
          <w:rtl/>
        </w:rPr>
      </w:pPr>
      <w:r w:rsidRPr="0025250D">
        <w:rPr>
          <w:rFonts w:hint="cs"/>
          <w:rtl/>
        </w:rPr>
        <w:t xml:space="preserve">توجه داشته باشید رهبری نتایج حتی در بین ده مورد اول در نظرسنجی </w:t>
      </w:r>
      <w:r w:rsidRPr="0025250D">
        <w:rPr>
          <w:rtl/>
        </w:rPr>
        <w:t>گ</w:t>
      </w:r>
      <w:r w:rsidRPr="0025250D">
        <w:rPr>
          <w:rFonts w:hint="cs"/>
          <w:rtl/>
        </w:rPr>
        <w:t>ی</w:t>
      </w:r>
      <w:r w:rsidRPr="0025250D">
        <w:rPr>
          <w:rFonts w:hint="eastAsia"/>
          <w:rtl/>
        </w:rPr>
        <w:t>لز</w:t>
      </w:r>
      <w:r w:rsidRPr="0025250D">
        <w:rPr>
          <w:rFonts w:hint="cs"/>
          <w:rtl/>
        </w:rPr>
        <w:t xml:space="preserve"> هم نیست. برخی محققین مدیریت می‌گویند که رهبری نتایج و حتی رهبری فکری می‌توانند حاصل یک رهبری افراد و فردی خوب باشند. </w:t>
      </w:r>
      <w:r w:rsidR="007118DE" w:rsidRPr="0025250D">
        <w:rPr>
          <w:rFonts w:hint="cs"/>
          <w:rtl/>
        </w:rPr>
        <w:t>همان‌طور</w:t>
      </w:r>
      <w:r w:rsidRPr="0025250D">
        <w:rPr>
          <w:rFonts w:hint="cs"/>
          <w:rtl/>
        </w:rPr>
        <w:t xml:space="preserve"> که پیش‌تر گفتیم، یک رهبر فکری پیچیدگی و </w:t>
      </w:r>
      <w:r w:rsidR="00701E03" w:rsidRPr="0025250D">
        <w:rPr>
          <w:rFonts w:hint="cs"/>
          <w:rtl/>
        </w:rPr>
        <w:t>راهبرد</w:t>
      </w:r>
      <w:r w:rsidRPr="0025250D">
        <w:rPr>
          <w:rFonts w:hint="cs"/>
          <w:rtl/>
        </w:rPr>
        <w:t xml:space="preserve"> به نام </w:t>
      </w:r>
      <w:r w:rsidRPr="0025250D">
        <w:rPr>
          <w:rtl/>
        </w:rPr>
        <w:t>د</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rtl/>
        </w:rPr>
        <w:t xml:space="preserve"> اسنودن</w:t>
      </w:r>
      <w:r w:rsidRPr="0025250D">
        <w:rPr>
          <w:vertAlign w:val="superscript"/>
          <w:rtl/>
        </w:rPr>
        <w:footnoteReference w:id="2013"/>
      </w:r>
      <w:r w:rsidRPr="0025250D">
        <w:rPr>
          <w:rFonts w:hint="cs"/>
          <w:rtl/>
        </w:rPr>
        <w:t xml:space="preserve"> یک مدل رهبری ارائه داده است که رهبران برتر را به‌عنوان هماهنگ ساز و تصمیم گیرنده دسته بندی می‌کند. چنین رهبرانی عمدتا بر دو مورد از چهار عامل </w:t>
      </w:r>
      <w:r w:rsidRPr="0025250D">
        <w:rPr>
          <w:rtl/>
        </w:rPr>
        <w:t>کورن فر</w:t>
      </w:r>
      <w:r w:rsidRPr="0025250D">
        <w:rPr>
          <w:rFonts w:hint="cs"/>
          <w:rtl/>
        </w:rPr>
        <w:t xml:space="preserve">ی، رهبری مردم (افراد) و رهبری </w:t>
      </w:r>
      <w:r w:rsidR="001A3F0A" w:rsidRPr="0025250D">
        <w:rPr>
          <w:rFonts w:hint="cs"/>
          <w:rtl/>
        </w:rPr>
        <w:t>فردی</w:t>
      </w:r>
      <w:r w:rsidRPr="0025250D">
        <w:rPr>
          <w:rFonts w:hint="cs"/>
          <w:rtl/>
        </w:rPr>
        <w:t xml:space="preserve"> تمرکز دارند. آن‌ها بر انتخاب، توسعه، حفاظت و ایجاد مثالی برای افراد برتر که خودشان مسئول رهبری فکری و نتایج هستند تأکید دارند. چنین تخصصی می‌تواند برای رهبران در سازمان‌های بزرگ دارای تغییرات سریع یا پیچیده </w:t>
      </w:r>
      <w:r w:rsidR="0008779C" w:rsidRPr="0025250D">
        <w:rPr>
          <w:rFonts w:hint="cs"/>
          <w:rtl/>
        </w:rPr>
        <w:t>ایدئال</w:t>
      </w:r>
      <w:r w:rsidRPr="0025250D">
        <w:rPr>
          <w:rFonts w:hint="cs"/>
          <w:rtl/>
        </w:rPr>
        <w:t xml:space="preserve"> باشد. همچنین به تعداد شایستگی‌ها در این فهرست توجه کنید. برای تبدیل شدن به رهبرانی بهتر در بلند مدت، ما باید </w:t>
      </w:r>
      <w:r w:rsidRPr="0025250D">
        <w:rPr>
          <w:rtl/>
        </w:rPr>
        <w:t>آینده‌نگاری</w:t>
      </w:r>
      <w:r w:rsidRPr="0025250D">
        <w:rPr>
          <w:rFonts w:hint="cs"/>
          <w:rtl/>
        </w:rPr>
        <w:t xml:space="preserve"> اصولی را در اولویت قرار دهیم، اهداف و ارزش‌هایی درست داشته باشیم و آن‌ها را خودمان به‌خوبی متوازن سازیم تا آن‌ها را در تیم هایمان مدلسازی کنیم. داشتن ارزش‌های مناسب از انحرافات اخلاقی و دلسوزانه‌ای که می‌توانند مشاغل ما را از مسیر خارج کرده و به شدت تأثیر ما در بلند مدت را محدود سازند جلوگیری کند.</w:t>
      </w:r>
    </w:p>
    <w:p w14:paraId="41E964FB" w14:textId="741AD1AB" w:rsidR="00537CC8" w:rsidRPr="0025250D" w:rsidRDefault="00537CC8" w:rsidP="00537CC8">
      <w:pPr>
        <w:rPr>
          <w:rtl/>
        </w:rPr>
      </w:pPr>
      <w:r w:rsidRPr="0025250D">
        <w:rPr>
          <w:rFonts w:hint="cs"/>
          <w:rtl/>
        </w:rPr>
        <w:t xml:space="preserve">بیایید اکنون به موضوع مدل‌های ارزش‌ها باز گردیم. در ادامه مدل مورد علاقه ما ارائه شده است که از هرم </w:t>
      </w:r>
      <w:r w:rsidRPr="0025250D">
        <w:rPr>
          <w:rtl/>
        </w:rPr>
        <w:t>آینده‌نگاری</w:t>
      </w:r>
      <w:r w:rsidRPr="0025250D">
        <w:rPr>
          <w:rFonts w:hint="cs"/>
          <w:rtl/>
        </w:rPr>
        <w:t xml:space="preserve"> کلاسیک، برای آنچه که اهداف و ارزش‌های فراگیر باید در بر داشته باشند، استخراج شده است. ما این مدل را در دو نسخه ارائه خواهیم داد. اولین مورد، مدل پنج </w:t>
      </w:r>
      <w:r w:rsidRPr="0025250D">
        <w:t>E</w:t>
      </w:r>
      <w:r w:rsidRPr="0025250D">
        <w:rPr>
          <w:rFonts w:hint="cs"/>
          <w:rtl/>
        </w:rPr>
        <w:t xml:space="preserve">، می‌تواند ساده‌ترین مدل برای به خاطر سپردن و استفاده باشد. مورد دوم، مدل 6 هدف </w:t>
      </w:r>
      <w:r w:rsidRPr="0025250D">
        <w:t>IES</w:t>
      </w:r>
      <w:r w:rsidRPr="0025250D">
        <w:rPr>
          <w:rFonts w:hint="cs"/>
          <w:rtl/>
        </w:rPr>
        <w:t xml:space="preserve"> پیچیده‌تر است، زیرا 12 ارزشی را </w:t>
      </w:r>
      <w:r w:rsidR="00BC2104" w:rsidRPr="0025250D">
        <w:rPr>
          <w:rFonts w:hint="cs"/>
          <w:rtl/>
        </w:rPr>
        <w:t xml:space="preserve">که </w:t>
      </w:r>
      <w:r w:rsidRPr="0025250D">
        <w:rPr>
          <w:rFonts w:hint="cs"/>
          <w:rtl/>
        </w:rPr>
        <w:t>معمولا در بحث حول هر مسئله، کشمکش یا پروژه‌ای دیده می‌شوند شامل می‌شود. امیدواریم یک یا چند مورد از این نسخه‌ها بتوانند برای شما و تیم هایتان ارزشمند باشند.</w:t>
      </w:r>
    </w:p>
    <w:p w14:paraId="31D3D36A" w14:textId="74B7CC36" w:rsidR="00537CC8" w:rsidRPr="0025250D" w:rsidRDefault="00537CC8" w:rsidP="00D53F87">
      <w:pPr>
        <w:pStyle w:val="Heading3"/>
        <w:rPr>
          <w:rtl/>
        </w:rPr>
      </w:pPr>
      <w:r w:rsidRPr="0025250D">
        <w:rPr>
          <w:rFonts w:hint="cs"/>
          <w:rtl/>
        </w:rPr>
        <w:t xml:space="preserve">پنج </w:t>
      </w:r>
      <w:r w:rsidRPr="0025250D">
        <w:t>E</w:t>
      </w:r>
      <w:r w:rsidRPr="0025250D">
        <w:rPr>
          <w:rFonts w:hint="cs"/>
          <w:rtl/>
        </w:rPr>
        <w:t xml:space="preserve"> </w:t>
      </w:r>
      <w:r w:rsidR="008D6F97" w:rsidRPr="0025250D">
        <w:rPr>
          <w:rFonts w:hint="cs"/>
          <w:rtl/>
        </w:rPr>
        <w:t>سامانه‌</w:t>
      </w:r>
      <w:r w:rsidRPr="0025250D">
        <w:rPr>
          <w:rFonts w:hint="cs"/>
          <w:rtl/>
        </w:rPr>
        <w:t xml:space="preserve">‌های </w:t>
      </w:r>
      <w:r w:rsidR="00B124DE" w:rsidRPr="0025250D">
        <w:rPr>
          <w:rFonts w:hint="cs"/>
          <w:rtl/>
        </w:rPr>
        <w:t>انطباق</w:t>
      </w:r>
      <w:r w:rsidR="00BC2104" w:rsidRPr="0025250D">
        <w:rPr>
          <w:rFonts w:hint="cs"/>
          <w:rtl/>
        </w:rPr>
        <w:t>ی</w:t>
      </w:r>
      <w:r w:rsidRPr="0025250D">
        <w:rPr>
          <w:rFonts w:hint="cs"/>
          <w:rtl/>
        </w:rPr>
        <w:t xml:space="preserve"> (افراد، سازمان‌ها و جوامع)</w:t>
      </w:r>
    </w:p>
    <w:p w14:paraId="2662685E" w14:textId="2083AD1C" w:rsidR="00537CC8" w:rsidRPr="0025250D" w:rsidRDefault="00BC2104" w:rsidP="00537CC8">
      <w:pPr>
        <w:rPr>
          <w:rtl/>
        </w:rPr>
      </w:pPr>
      <w:r w:rsidRPr="0025250D">
        <w:rPr>
          <w:rFonts w:hint="cs"/>
          <w:rtl/>
        </w:rPr>
        <w:t>بیان کردیم</w:t>
      </w:r>
      <w:r w:rsidR="00537CC8" w:rsidRPr="0025250D">
        <w:rPr>
          <w:rFonts w:hint="cs"/>
          <w:rtl/>
        </w:rPr>
        <w:t xml:space="preserve"> که خردمندی بالایی در قاعده </w:t>
      </w:r>
      <w:r w:rsidR="00537CC8" w:rsidRPr="0025250D">
        <w:rPr>
          <w:rtl/>
        </w:rPr>
        <w:t>آنا کارن</w:t>
      </w:r>
      <w:r w:rsidR="00537CC8" w:rsidRPr="0025250D">
        <w:rPr>
          <w:rFonts w:hint="cs"/>
          <w:rtl/>
        </w:rPr>
        <w:t>ی</w:t>
      </w:r>
      <w:r w:rsidR="00537CC8" w:rsidRPr="0025250D">
        <w:rPr>
          <w:rFonts w:hint="eastAsia"/>
          <w:rtl/>
        </w:rPr>
        <w:t>نا</w:t>
      </w:r>
      <w:r w:rsidR="00537CC8" w:rsidRPr="0025250D">
        <w:rPr>
          <w:rFonts w:hint="cs"/>
          <w:rtl/>
        </w:rPr>
        <w:t xml:space="preserve"> می‌یابیم که توسط جمله آغازین لئو تولستوی در آن رمان،</w:t>
      </w:r>
      <w:r w:rsidR="000C0324" w:rsidRPr="0025250D">
        <w:rPr>
          <w:rFonts w:hint="cs"/>
          <w:rtl/>
        </w:rPr>
        <w:t xml:space="preserve"> به صورت</w:t>
      </w:r>
      <w:r w:rsidR="00537CC8" w:rsidRPr="0025250D">
        <w:rPr>
          <w:rFonts w:hint="cs"/>
          <w:rtl/>
        </w:rPr>
        <w:t xml:space="preserve"> </w:t>
      </w:r>
      <w:r w:rsidR="00E402E3" w:rsidRPr="0025250D">
        <w:rPr>
          <w:rtl/>
        </w:rPr>
        <w:t>«</w:t>
      </w:r>
      <w:r w:rsidR="00537CC8" w:rsidRPr="0025250D">
        <w:rPr>
          <w:rFonts w:hint="cs"/>
          <w:rtl/>
        </w:rPr>
        <w:t>خانواده‌های خوشبخت همه مثل هم هستند، خانواده‌هایی که خوشبخت نیستند هر یک به شکل منحصر به فرد خود خوشبخت نیستند</w:t>
      </w:r>
      <w:r w:rsidR="00E402E3" w:rsidRPr="0025250D">
        <w:rPr>
          <w:rtl/>
        </w:rPr>
        <w:t>»</w:t>
      </w:r>
      <w:r w:rsidR="00537CC8" w:rsidRPr="0025250D">
        <w:rPr>
          <w:rFonts w:hint="cs"/>
          <w:rtl/>
        </w:rPr>
        <w:t xml:space="preserve">، خلاصه می‌شود. راه‌های متعددی برای مردم، تیم‌ها، شرکت‌ها و جوامع برای شکست خوردن یا سقوط وجود دارند، اما تنها چند راه فراگیر معدود برای </w:t>
      </w:r>
      <w:r w:rsidR="00B124DE" w:rsidRPr="0025250D">
        <w:rPr>
          <w:rFonts w:hint="cs"/>
          <w:rtl/>
        </w:rPr>
        <w:t>انطباق‌پذیر</w:t>
      </w:r>
      <w:r w:rsidR="00537CC8" w:rsidRPr="0025250D">
        <w:rPr>
          <w:rFonts w:hint="cs"/>
          <w:rtl/>
        </w:rPr>
        <w:t xml:space="preserve"> بودن، مستقل از بافت و شرایط وجود دارند. در همه </w:t>
      </w:r>
      <w:r w:rsidR="008D6F97" w:rsidRPr="0025250D">
        <w:rPr>
          <w:rFonts w:hint="cs"/>
          <w:rtl/>
        </w:rPr>
        <w:t>سامانه‌</w:t>
      </w:r>
      <w:r w:rsidR="00537CC8" w:rsidRPr="0025250D">
        <w:rPr>
          <w:rFonts w:hint="cs"/>
          <w:rtl/>
        </w:rPr>
        <w:t xml:space="preserve">‌های هوشمند </w:t>
      </w:r>
      <w:r w:rsidR="00B124DE" w:rsidRPr="0025250D">
        <w:rPr>
          <w:rFonts w:hint="cs"/>
          <w:rtl/>
        </w:rPr>
        <w:t>انطباق‌پذیر</w:t>
      </w:r>
      <w:r w:rsidR="00537CC8" w:rsidRPr="0025250D">
        <w:rPr>
          <w:rFonts w:hint="cs"/>
          <w:rtl/>
        </w:rPr>
        <w:t xml:space="preserve">، در افراد، سازمان‌ها یا جوامع، باور داریم که می‌توانیم اهداف و ارزش‌های فراگیر را شناسایی کنیم </w:t>
      </w:r>
      <w:r w:rsidR="00537CC8" w:rsidRPr="0025250D">
        <w:rPr>
          <w:rFonts w:cs="Times New Roman" w:hint="cs"/>
          <w:rtl/>
        </w:rPr>
        <w:t>–</w:t>
      </w:r>
      <w:r w:rsidR="00537CC8" w:rsidRPr="0025250D">
        <w:rPr>
          <w:rFonts w:hint="cs"/>
          <w:rtl/>
        </w:rPr>
        <w:t xml:space="preserve"> و به هر یک مستقل از فرهنگ، زمان یا بافت بازگردیم.</w:t>
      </w:r>
    </w:p>
    <w:p w14:paraId="284AB657" w14:textId="7694C8AF" w:rsidR="00537CC8" w:rsidRPr="0025250D" w:rsidRDefault="00537CC8" w:rsidP="00537CC8">
      <w:pPr>
        <w:rPr>
          <w:rtl/>
        </w:rPr>
      </w:pPr>
      <w:r w:rsidRPr="0025250D">
        <w:rPr>
          <w:rFonts w:hint="cs"/>
          <w:rtl/>
        </w:rPr>
        <w:t xml:space="preserve">هرم افلاطون، ساده‌ترین مدل ما از ارزش‌های </w:t>
      </w:r>
      <w:r w:rsidR="00B124DE" w:rsidRPr="0025250D">
        <w:rPr>
          <w:rFonts w:hint="cs"/>
          <w:rtl/>
        </w:rPr>
        <w:t>انطباق‌پذیر</w:t>
      </w:r>
      <w:r w:rsidRPr="0025250D">
        <w:rPr>
          <w:rFonts w:hint="cs"/>
          <w:rtl/>
        </w:rPr>
        <w:t xml:space="preserve"> را به یاد آورید. می‌توانیم هر تعدادی از مدل‌های ارزش پیچیده‌تر و مفید‌تر را به‌عنوان تعمیمی از این سه گانه فراگیر ایجاد کنیم. یک تعمیم مفید بر این مورد را پنج </w:t>
      </w:r>
      <w:r w:rsidRPr="0025250D">
        <w:t>E</w:t>
      </w:r>
      <w:r w:rsidRPr="0025250D">
        <w:rPr>
          <w:rFonts w:hint="cs"/>
          <w:rtl/>
        </w:rPr>
        <w:t xml:space="preserve"> می‌نامیم. افلاطون گفت که خوبی مهم‌ترین مورد از ارزش‌های متعالی می‌باشد. این مرد شایسته اولویت مرکزی (بالاترین اولویت) در تفکر ماست. در کتاب‌هایی مانند </w:t>
      </w:r>
      <w:r w:rsidRPr="0025250D">
        <w:rPr>
          <w:rtl/>
        </w:rPr>
        <w:t>ت</w:t>
      </w:r>
      <w:r w:rsidRPr="0025250D">
        <w:rPr>
          <w:rFonts w:hint="cs"/>
          <w:rtl/>
        </w:rPr>
        <w:t>ی</w:t>
      </w:r>
      <w:r w:rsidRPr="0025250D">
        <w:rPr>
          <w:rFonts w:hint="eastAsia"/>
          <w:rtl/>
        </w:rPr>
        <w:t>مائوس</w:t>
      </w:r>
      <w:r w:rsidRPr="0025250D">
        <w:rPr>
          <w:vertAlign w:val="superscript"/>
          <w:rtl/>
        </w:rPr>
        <w:footnoteReference w:id="2014"/>
      </w:r>
      <w:r w:rsidRPr="0025250D">
        <w:rPr>
          <w:rFonts w:hint="cs"/>
          <w:rtl/>
        </w:rPr>
        <w:t>، افلاطون شکل‌های متفاوت متعددی از خوبی را</w:t>
      </w:r>
      <w:r w:rsidR="008D6F97" w:rsidRPr="0025250D">
        <w:rPr>
          <w:rtl/>
        </w:rPr>
        <w:t xml:space="preserve"> </w:t>
      </w:r>
      <w:r w:rsidRPr="0025250D">
        <w:rPr>
          <w:rFonts w:hint="cs"/>
          <w:rtl/>
        </w:rPr>
        <w:t xml:space="preserve">بررسی می‌کند. ما این دیدگاه‌ها را در مهم‌ترین اهداف برای یک زندگی خوب در مدل ساده زیر خلاصه </w:t>
      </w:r>
      <w:r w:rsidR="00950293" w:rsidRPr="0025250D">
        <w:rPr>
          <w:rFonts w:hint="cs"/>
          <w:rtl/>
        </w:rPr>
        <w:t>کرده‌ایم</w:t>
      </w:r>
      <w:r w:rsidRPr="0025250D">
        <w:rPr>
          <w:rFonts w:hint="cs"/>
          <w:rtl/>
        </w:rPr>
        <w:t>.</w:t>
      </w:r>
    </w:p>
    <w:p w14:paraId="5541F96D" w14:textId="77777777" w:rsidR="00537CC8" w:rsidRPr="0025250D" w:rsidRDefault="00537CC8" w:rsidP="00537CC8">
      <w:pPr>
        <w:rPr>
          <w:rtl/>
        </w:rPr>
      </w:pPr>
      <w:r w:rsidRPr="0025250D">
        <w:rPr>
          <w:rFonts w:hint="cs"/>
          <w:rtl/>
        </w:rPr>
        <w:t xml:space="preserve">در پنج </w:t>
      </w:r>
      <w:r w:rsidRPr="0025250D">
        <w:t>E</w:t>
      </w:r>
      <w:r w:rsidRPr="0025250D">
        <w:rPr>
          <w:rFonts w:hint="cs"/>
          <w:rtl/>
        </w:rPr>
        <w:t xml:space="preserve"> افلاطون، افراد، تیم‌ها و جوامع سالم به پنج </w:t>
      </w:r>
      <w:r w:rsidRPr="0025250D">
        <w:t>E</w:t>
      </w:r>
      <w:r w:rsidRPr="0025250D">
        <w:rPr>
          <w:rFonts w:hint="cs"/>
          <w:rtl/>
        </w:rPr>
        <w:t xml:space="preserve"> اهمیت داده و پنج ارزش و هدف را مدیریت می‌کنند:</w:t>
      </w:r>
    </w:p>
    <w:p w14:paraId="5F0AB1EC" w14:textId="13F60508" w:rsidR="00537CC8" w:rsidRPr="0025250D" w:rsidRDefault="00537CC8" w:rsidP="00537CC8">
      <w:pPr>
        <w:rPr>
          <w:rtl/>
        </w:rPr>
      </w:pPr>
      <w:r w:rsidRPr="0025250D">
        <w:rPr>
          <w:rFonts w:hint="cs"/>
          <w:rtl/>
        </w:rPr>
        <w:t xml:space="preserve">1. </w:t>
      </w:r>
      <w:r w:rsidR="00A936B3" w:rsidRPr="0025250D">
        <w:rPr>
          <w:rFonts w:hint="cs"/>
          <w:rtl/>
        </w:rPr>
        <w:t>همدلی</w:t>
      </w:r>
      <w:r w:rsidRPr="0025250D">
        <w:rPr>
          <w:rFonts w:hint="cs"/>
          <w:rtl/>
        </w:rPr>
        <w:t xml:space="preserve"> (احساسات خوب، ارتباط) 2. اخلاق (افکار و مجموعه قوانین خوب) 3. توان بخشی</w:t>
      </w:r>
      <w:r w:rsidRPr="0025250D">
        <w:rPr>
          <w:vertAlign w:val="superscript"/>
          <w:rtl/>
        </w:rPr>
        <w:footnoteReference w:id="2015"/>
      </w:r>
      <w:r w:rsidRPr="0025250D">
        <w:rPr>
          <w:rFonts w:hint="cs"/>
          <w:rtl/>
        </w:rPr>
        <w:t xml:space="preserve"> (</w:t>
      </w:r>
      <w:r w:rsidR="00701E03" w:rsidRPr="0025250D">
        <w:rPr>
          <w:rFonts w:hint="cs"/>
          <w:rtl/>
        </w:rPr>
        <w:t>راهبرد</w:t>
      </w:r>
      <w:r w:rsidRPr="0025250D">
        <w:rPr>
          <w:rFonts w:hint="cs"/>
          <w:rtl/>
        </w:rPr>
        <w:t>‌ها، برنامه‌ها، اعمال و توانایی‌های خوب) 4. جستجوی شواهد</w:t>
      </w:r>
      <w:r w:rsidRPr="0025250D">
        <w:rPr>
          <w:vertAlign w:val="superscript"/>
          <w:rtl/>
        </w:rPr>
        <w:footnoteReference w:id="2016"/>
      </w:r>
      <w:r w:rsidRPr="0025250D">
        <w:rPr>
          <w:rFonts w:hint="cs"/>
          <w:rtl/>
        </w:rPr>
        <w:t xml:space="preserve"> (علم، حقیقت) 5. </w:t>
      </w:r>
      <w:r w:rsidR="006A0B96" w:rsidRPr="0025250D">
        <w:rPr>
          <w:rFonts w:hint="cs"/>
          <w:rtl/>
        </w:rPr>
        <w:t>تجلی</w:t>
      </w:r>
      <w:r w:rsidRPr="0025250D">
        <w:rPr>
          <w:vertAlign w:val="superscript"/>
          <w:rtl/>
        </w:rPr>
        <w:footnoteReference w:id="2017"/>
      </w:r>
      <w:r w:rsidRPr="0025250D">
        <w:rPr>
          <w:rFonts w:hint="cs"/>
          <w:rtl/>
        </w:rPr>
        <w:t xml:space="preserve"> (آزادی، زیبایی)</w:t>
      </w:r>
    </w:p>
    <w:p w14:paraId="38589715" w14:textId="2E0AB89D" w:rsidR="00537CC8" w:rsidRPr="0025250D" w:rsidRDefault="00537CC8" w:rsidP="00537CC8">
      <w:pPr>
        <w:rPr>
          <w:rtl/>
        </w:rPr>
      </w:pPr>
      <w:r w:rsidRPr="0025250D">
        <w:rPr>
          <w:rFonts w:hint="cs"/>
          <w:rtl/>
        </w:rPr>
        <w:t xml:space="preserve">این مدل از </w:t>
      </w:r>
      <w:r w:rsidR="00E402E3" w:rsidRPr="0025250D">
        <w:rPr>
          <w:rtl/>
        </w:rPr>
        <w:t>«</w:t>
      </w:r>
      <w:r w:rsidRPr="0025250D">
        <w:rPr>
          <w:rFonts w:hint="cs"/>
          <w:rtl/>
        </w:rPr>
        <w:t>خوبی</w:t>
      </w:r>
      <w:r w:rsidR="00E402E3" w:rsidRPr="0025250D">
        <w:rPr>
          <w:rtl/>
        </w:rPr>
        <w:t>»</w:t>
      </w:r>
      <w:r w:rsidRPr="0025250D">
        <w:rPr>
          <w:rFonts w:hint="cs"/>
          <w:rtl/>
        </w:rPr>
        <w:t xml:space="preserve"> که سه مورد از این پنج دسته (60 درصد) به آن مربوط می‌شوند، بهره می‌گیرد. این مدل همچنین راهنمایی خاص‌تر نسبت به هرم افلاطون فراهم می‌کند، </w:t>
      </w:r>
      <w:r w:rsidR="000C0324" w:rsidRPr="0025250D">
        <w:rPr>
          <w:rFonts w:hint="cs"/>
          <w:rtl/>
        </w:rPr>
        <w:t>ضمن اینکه</w:t>
      </w:r>
      <w:r w:rsidRPr="0025250D">
        <w:rPr>
          <w:rFonts w:hint="cs"/>
          <w:rtl/>
        </w:rPr>
        <w:t xml:space="preserve"> ساده بودن به خاطر سپاری آن را هم حفظ می‌کند. ما این مدل را در بافت‌های سازمانی مفید‌تر می‌یابیم و آن را به رهبران و تیم‌ها پیشنهاد می‌کنیم. این پنج دسته همچنین در یک ترتیب تقریبی مرتب شده‌اند. </w:t>
      </w:r>
      <w:r w:rsidR="000C0324" w:rsidRPr="0025250D">
        <w:rPr>
          <w:rFonts w:hint="cs"/>
          <w:rtl/>
        </w:rPr>
        <w:t xml:space="preserve">در </w:t>
      </w:r>
      <w:r w:rsidRPr="0025250D">
        <w:rPr>
          <w:rFonts w:hint="cs"/>
          <w:rtl/>
        </w:rPr>
        <w:t xml:space="preserve">نسخه ما از مدل پنج </w:t>
      </w:r>
      <w:r w:rsidRPr="0025250D">
        <w:t>E</w:t>
      </w:r>
      <w:r w:rsidRPr="0025250D">
        <w:rPr>
          <w:rFonts w:hint="cs"/>
          <w:rtl/>
        </w:rPr>
        <w:t xml:space="preserve">، </w:t>
      </w:r>
      <w:r w:rsidR="00202882" w:rsidRPr="0025250D">
        <w:rPr>
          <w:rFonts w:hint="cs"/>
          <w:rtl/>
        </w:rPr>
        <w:t>همدلی</w:t>
      </w:r>
      <w:r w:rsidRPr="0025250D">
        <w:rPr>
          <w:rFonts w:hint="cs"/>
          <w:rtl/>
        </w:rPr>
        <w:t xml:space="preserve"> و عشق در ابتدا قرار می‌گیرند </w:t>
      </w:r>
      <w:r w:rsidR="001C47CF" w:rsidRPr="0025250D">
        <w:rPr>
          <w:rFonts w:hint="cs"/>
          <w:rtl/>
        </w:rPr>
        <w:t>که</w:t>
      </w:r>
      <w:r w:rsidRPr="0025250D">
        <w:rPr>
          <w:rFonts w:hint="cs"/>
          <w:rtl/>
        </w:rPr>
        <w:t xml:space="preserve"> قوی‌ترین عوامل در پیوستگی شبکه، در نظریه فرایند دوگانه هستند. سپس، افکار اخلاقی و مجموعه قوانین ارادی ما قرار می‌گیرند. به همراه </w:t>
      </w:r>
      <w:r w:rsidR="0020589F" w:rsidRPr="0025250D">
        <w:rPr>
          <w:rtl/>
        </w:rPr>
        <w:t>هم</w:t>
      </w:r>
      <w:r w:rsidRPr="0025250D">
        <w:rPr>
          <w:rFonts w:hint="cs"/>
          <w:rtl/>
        </w:rPr>
        <w:t xml:space="preserve"> </w:t>
      </w:r>
      <w:r w:rsidR="00A936B3" w:rsidRPr="0025250D">
        <w:rPr>
          <w:rFonts w:hint="cs"/>
          <w:rtl/>
        </w:rPr>
        <w:t>همدلی</w:t>
      </w:r>
      <w:r w:rsidRPr="0025250D">
        <w:rPr>
          <w:rFonts w:hint="cs"/>
          <w:rtl/>
        </w:rPr>
        <w:t xml:space="preserve"> و اخلاق وجدان ما هستند. </w:t>
      </w:r>
      <w:r w:rsidR="001C47CF" w:rsidRPr="0025250D">
        <w:rPr>
          <w:rFonts w:hint="cs"/>
          <w:rtl/>
        </w:rPr>
        <w:t>بعد</w:t>
      </w:r>
      <w:r w:rsidRPr="0025250D">
        <w:rPr>
          <w:rFonts w:hint="cs"/>
          <w:rtl/>
        </w:rPr>
        <w:t xml:space="preserve"> برخی </w:t>
      </w:r>
      <w:r w:rsidR="00701E03" w:rsidRPr="0025250D">
        <w:rPr>
          <w:rFonts w:hint="cs"/>
          <w:rtl/>
        </w:rPr>
        <w:t>راهبرد</w:t>
      </w:r>
      <w:r w:rsidRPr="0025250D">
        <w:rPr>
          <w:rFonts w:hint="cs"/>
          <w:rtl/>
        </w:rPr>
        <w:t xml:space="preserve">‌ها، برنامه‌ها، اعمال و توانایی های‌ها برای انجام خوبی‌ها و سپس دنبال کردن دانش و سپس آزادی و خلاقیت قرار می‌گیرند. همه این‌ها مهم هستند، اما پنج </w:t>
      </w:r>
      <w:r w:rsidRPr="0025250D">
        <w:t>E</w:t>
      </w:r>
      <w:r w:rsidRPr="0025250D">
        <w:rPr>
          <w:rFonts w:hint="cs"/>
          <w:rtl/>
        </w:rPr>
        <w:t xml:space="preserve"> یک ترتیب تقریبی از اهداف را ارائه می‌دهد که می‌تواند برای حل و فصل تعارضات و مسائل دشوار به کار رود.</w:t>
      </w:r>
    </w:p>
    <w:p w14:paraId="39A8CD22" w14:textId="31F108B3" w:rsidR="00537CC8" w:rsidRPr="0025250D" w:rsidRDefault="00537CC8" w:rsidP="00537CC8">
      <w:pPr>
        <w:rPr>
          <w:rtl/>
        </w:rPr>
      </w:pPr>
      <w:r w:rsidRPr="0025250D">
        <w:rPr>
          <w:rFonts w:hint="cs"/>
          <w:rtl/>
        </w:rPr>
        <w:t xml:space="preserve">وقتی از مدل پنج </w:t>
      </w:r>
      <w:r w:rsidRPr="0025250D">
        <w:t>E</w:t>
      </w:r>
      <w:r w:rsidRPr="0025250D">
        <w:rPr>
          <w:rFonts w:hint="cs"/>
          <w:rtl/>
        </w:rPr>
        <w:t xml:space="preserve"> استفاده می‌کنیم، تلاش می‌کنیم که به صورت آگاهانه ابتدا به </w:t>
      </w:r>
      <w:r w:rsidR="00202882" w:rsidRPr="0025250D">
        <w:rPr>
          <w:rFonts w:hint="cs"/>
          <w:rtl/>
        </w:rPr>
        <w:t>همدلی</w:t>
      </w:r>
      <w:r w:rsidRPr="0025250D">
        <w:rPr>
          <w:rFonts w:hint="cs"/>
          <w:rtl/>
        </w:rPr>
        <w:t xml:space="preserve"> و اخلاق و معمولا به همین ترتیب به ارزش قائل شدن برای بینش‌های نظری فرایند دوگانه در روانشناسی انسانی فکر کرده و برای آن اولویت قائل شویم. سپس باید به توانبخشی، جستجوی شواهد و در آخر </w:t>
      </w:r>
      <w:r w:rsidR="006A0B96" w:rsidRPr="0025250D">
        <w:rPr>
          <w:rFonts w:hint="cs"/>
          <w:rtl/>
        </w:rPr>
        <w:t>تجلی</w:t>
      </w:r>
      <w:r w:rsidRPr="0025250D">
        <w:rPr>
          <w:rFonts w:hint="cs"/>
          <w:rtl/>
        </w:rPr>
        <w:t xml:space="preserve"> فکر کنیم. همچنین ممکن است بسته به ترجیح و شرایط خود، هر یک از این گام‌ها را به صورت معکوس طی کرده یا ترتیب آن‌ها را بر هم بزنیم. از نظر ما، حفظ تمرکز مأموریت و </w:t>
      </w:r>
      <w:r w:rsidR="00B56611" w:rsidRPr="0025250D">
        <w:rPr>
          <w:rFonts w:hint="cs"/>
          <w:rtl/>
        </w:rPr>
        <w:t>چشم‌انداز</w:t>
      </w:r>
      <w:r w:rsidRPr="0025250D">
        <w:rPr>
          <w:rFonts w:hint="cs"/>
          <w:rtl/>
        </w:rPr>
        <w:t xml:space="preserve"> سازمانتان بر پنج </w:t>
      </w:r>
      <w:r w:rsidRPr="0025250D">
        <w:t>E</w:t>
      </w:r>
      <w:r w:rsidRPr="0025250D">
        <w:rPr>
          <w:rFonts w:hint="cs"/>
          <w:rtl/>
        </w:rPr>
        <w:t>، با استفاده از موارد تغییر یافته‌ای از این‌ها در روابط و گفتمان‌های داخلی و خارجی و اندازه‌گیری تأثیرتان در هر یک از این موارد ناملموس حیاتی، از طریق بازخورد، یک فرمول ساده عالی برای موفقیت بلند مدت است.</w:t>
      </w:r>
    </w:p>
    <w:p w14:paraId="1BD2564A" w14:textId="5DC2F684" w:rsidR="00537CC8" w:rsidRPr="0025250D" w:rsidRDefault="00537CC8" w:rsidP="00537CC8">
      <w:pPr>
        <w:rPr>
          <w:rtl/>
        </w:rPr>
      </w:pPr>
      <w:r w:rsidRPr="0025250D">
        <w:rPr>
          <w:rFonts w:hint="cs"/>
          <w:rtl/>
        </w:rPr>
        <w:t xml:space="preserve">ما اکنون آماده ارائه یک تعمیم دوم بر هرم افلاطون، یعنی 6 اهداف </w:t>
      </w:r>
      <w:r w:rsidRPr="0025250D">
        <w:t>IES</w:t>
      </w:r>
      <w:r w:rsidRPr="0025250D">
        <w:rPr>
          <w:rFonts w:hint="cs"/>
          <w:rtl/>
        </w:rPr>
        <w:t xml:space="preserve"> هستیم. این هرم ما را به شکل </w:t>
      </w:r>
      <w:r w:rsidR="001C47CF" w:rsidRPr="0025250D">
        <w:rPr>
          <w:rFonts w:hint="cs"/>
          <w:rtl/>
        </w:rPr>
        <w:t>آ</w:t>
      </w:r>
      <w:r w:rsidRPr="0025250D">
        <w:rPr>
          <w:rFonts w:hint="cs"/>
          <w:rtl/>
        </w:rPr>
        <w:t xml:space="preserve">گاهانه‌تری بر پیشران‌های تکاملی و توسعه‌ای و بر مدیریت تعارضات از طریق </w:t>
      </w:r>
      <w:r w:rsidR="00A936B3" w:rsidRPr="0025250D">
        <w:rPr>
          <w:rFonts w:hint="cs"/>
          <w:rtl/>
        </w:rPr>
        <w:t>همدلی</w:t>
      </w:r>
      <w:r w:rsidRPr="0025250D">
        <w:rPr>
          <w:rFonts w:hint="cs"/>
          <w:rtl/>
        </w:rPr>
        <w:t xml:space="preserve"> و اخلاق (وابستگی داخلی) متمرکز می‌سازد. چه </w:t>
      </w:r>
      <w:r w:rsidR="001C47CF" w:rsidRPr="0025250D">
        <w:rPr>
          <w:rFonts w:hint="cs"/>
          <w:rtl/>
        </w:rPr>
        <w:t>قصد داشته باشید</w:t>
      </w:r>
      <w:r w:rsidRPr="0025250D">
        <w:rPr>
          <w:rFonts w:hint="cs"/>
          <w:rtl/>
        </w:rPr>
        <w:t xml:space="preserve"> از هرم افلاطون استفاده کنید، یا از پنج </w:t>
      </w:r>
      <w:r w:rsidRPr="0025250D">
        <w:t>E</w:t>
      </w:r>
      <w:r w:rsidRPr="0025250D">
        <w:rPr>
          <w:rFonts w:hint="cs"/>
          <w:rtl/>
        </w:rPr>
        <w:t xml:space="preserve"> یا اهداف </w:t>
      </w:r>
      <w:r w:rsidRPr="0025250D">
        <w:t>IES</w:t>
      </w:r>
      <w:r w:rsidRPr="0025250D">
        <w:rPr>
          <w:rFonts w:hint="cs"/>
          <w:rtl/>
        </w:rPr>
        <w:t xml:space="preserve">، هر مدل به‌خوبی در قضاوت و </w:t>
      </w:r>
      <w:r w:rsidR="00701E03" w:rsidRPr="0025250D">
        <w:rPr>
          <w:rFonts w:hint="cs"/>
          <w:rtl/>
        </w:rPr>
        <w:t>راهبرد</w:t>
      </w:r>
      <w:r w:rsidRPr="0025250D">
        <w:rPr>
          <w:rFonts w:hint="cs"/>
          <w:rtl/>
        </w:rPr>
        <w:t xml:space="preserve">‌های اصولی برای رشد </w:t>
      </w:r>
      <w:r w:rsidR="00B124DE" w:rsidRPr="0025250D">
        <w:rPr>
          <w:rFonts w:hint="cs"/>
          <w:rtl/>
        </w:rPr>
        <w:t>انطباق‌پذیر</w:t>
      </w:r>
      <w:r w:rsidRPr="0025250D">
        <w:rPr>
          <w:rFonts w:hint="cs"/>
          <w:rtl/>
        </w:rPr>
        <w:t>ی به شما کمک خواهد کرد.</w:t>
      </w:r>
    </w:p>
    <w:p w14:paraId="6F450C8D" w14:textId="40DCB3CC" w:rsidR="00537CC8" w:rsidRPr="0025250D" w:rsidRDefault="00537CC8" w:rsidP="00D53F87">
      <w:pPr>
        <w:pStyle w:val="Heading2"/>
        <w:rPr>
          <w:rtl/>
        </w:rPr>
      </w:pPr>
      <w:bookmarkStart w:id="60" w:name="_Toc127831325"/>
      <w:r w:rsidRPr="0025250D">
        <w:rPr>
          <w:rFonts w:hint="cs"/>
          <w:rtl/>
        </w:rPr>
        <w:t xml:space="preserve">6 هدف و 12 ارزش </w:t>
      </w:r>
      <w:r w:rsidR="008D6F97" w:rsidRPr="0025250D">
        <w:rPr>
          <w:rFonts w:hint="cs"/>
          <w:rtl/>
        </w:rPr>
        <w:t>سامانه‌</w:t>
      </w:r>
      <w:r w:rsidRPr="0025250D">
        <w:rPr>
          <w:rFonts w:hint="cs"/>
          <w:rtl/>
        </w:rPr>
        <w:t xml:space="preserve">‌های </w:t>
      </w:r>
      <w:r w:rsidR="00B124DE" w:rsidRPr="0025250D">
        <w:rPr>
          <w:rFonts w:hint="cs"/>
          <w:rtl/>
        </w:rPr>
        <w:t>انطباق</w:t>
      </w:r>
      <w:r w:rsidR="001C47CF" w:rsidRPr="0025250D">
        <w:rPr>
          <w:rFonts w:hint="cs"/>
          <w:rtl/>
        </w:rPr>
        <w:t>ی</w:t>
      </w:r>
      <w:r w:rsidRPr="0025250D">
        <w:rPr>
          <w:rFonts w:hint="cs"/>
          <w:rtl/>
        </w:rPr>
        <w:t xml:space="preserve">: هرم ارزش‌های تکاملی </w:t>
      </w:r>
      <w:r w:rsidRPr="0025250D">
        <w:rPr>
          <w:rFonts w:ascii="Times New Roman" w:hAnsi="Times New Roman" w:cs="Times New Roman" w:hint="cs"/>
          <w:rtl/>
        </w:rPr>
        <w:t>–</w:t>
      </w:r>
      <w:r w:rsidRPr="0025250D">
        <w:rPr>
          <w:rFonts w:hint="cs"/>
          <w:rtl/>
        </w:rPr>
        <w:t xml:space="preserve"> توسعه ای</w:t>
      </w:r>
      <w:bookmarkEnd w:id="60"/>
    </w:p>
    <w:p w14:paraId="46FF7BDA" w14:textId="6DEA5D5E" w:rsidR="00537CC8" w:rsidRPr="0025250D" w:rsidRDefault="00537CC8" w:rsidP="00537CC8">
      <w:pPr>
        <w:rPr>
          <w:rtl/>
        </w:rPr>
      </w:pPr>
      <w:r w:rsidRPr="0025250D">
        <w:rPr>
          <w:rFonts w:hint="cs"/>
          <w:rtl/>
        </w:rPr>
        <w:t xml:space="preserve">در فصل 1 گفتیم که هرم </w:t>
      </w:r>
      <w:r w:rsidRPr="0025250D">
        <w:rPr>
          <w:rtl/>
        </w:rPr>
        <w:t>آینده‌نگاری</w:t>
      </w:r>
      <w:r w:rsidRPr="0025250D">
        <w:rPr>
          <w:rFonts w:hint="cs"/>
          <w:rtl/>
        </w:rPr>
        <w:t xml:space="preserve"> یک نام دقیق‌تر دیگر هم دارد، هرم تکاملی </w:t>
      </w:r>
      <w:r w:rsidRPr="0025250D">
        <w:rPr>
          <w:rFonts w:cs="Times New Roman" w:hint="cs"/>
          <w:rtl/>
        </w:rPr>
        <w:t>–</w:t>
      </w:r>
      <w:r w:rsidRPr="0025250D">
        <w:rPr>
          <w:rFonts w:hint="cs"/>
          <w:rtl/>
        </w:rPr>
        <w:t xml:space="preserve"> توسعه ای. هر گوشه از این هرم مجموعه متفاوتی از بازیگران، کارکرد‌ها و اهدافی را که می‌توانند در </w:t>
      </w:r>
      <w:r w:rsidR="008D6F97" w:rsidRPr="0025250D">
        <w:rPr>
          <w:rFonts w:hint="cs"/>
          <w:rtl/>
        </w:rPr>
        <w:t>سامانه‌</w:t>
      </w:r>
      <w:r w:rsidRPr="0025250D">
        <w:rPr>
          <w:rFonts w:hint="cs"/>
          <w:rtl/>
        </w:rPr>
        <w:t xml:space="preserve">‌های </w:t>
      </w:r>
      <w:r w:rsidR="00B124DE" w:rsidRPr="0025250D">
        <w:rPr>
          <w:rFonts w:hint="cs"/>
          <w:rtl/>
        </w:rPr>
        <w:t>انطباق‌پذیر</w:t>
      </w:r>
      <w:r w:rsidRPr="0025250D">
        <w:rPr>
          <w:rFonts w:hint="cs"/>
          <w:rtl/>
        </w:rPr>
        <w:t xml:space="preserve"> پیچیده خودپایدار شناسایی شوند توصیف می‌کند. باز </w:t>
      </w:r>
      <w:r w:rsidR="0020589F" w:rsidRPr="0025250D">
        <w:rPr>
          <w:rtl/>
        </w:rPr>
        <w:t>هم</w:t>
      </w:r>
      <w:r w:rsidRPr="0025250D">
        <w:rPr>
          <w:rFonts w:hint="cs"/>
          <w:rtl/>
        </w:rPr>
        <w:t xml:space="preserve"> این سه مجموعه در حال تعامل در تصویر زیر خلاصه سازی شده‌اند:</w:t>
      </w:r>
    </w:p>
    <w:p w14:paraId="523F3322" w14:textId="06A69BDB" w:rsidR="00537CC8" w:rsidRPr="0025250D" w:rsidRDefault="00D76D11" w:rsidP="00D53F87">
      <w:pPr>
        <w:jc w:val="center"/>
        <w:rPr>
          <w:rtl/>
        </w:rPr>
      </w:pPr>
      <w:r w:rsidRPr="0025250D">
        <w:rPr>
          <w:noProof/>
        </w:rPr>
        <w:drawing>
          <wp:inline distT="0" distB="0" distL="0" distR="0" wp14:anchorId="04EBDCF7" wp14:editId="0FC781CD">
            <wp:extent cx="3355451" cy="3115155"/>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3366149" cy="3125087"/>
                    </a:xfrm>
                    <a:prstGeom prst="rect">
                      <a:avLst/>
                    </a:prstGeom>
                    <a:noFill/>
                  </pic:spPr>
                </pic:pic>
              </a:graphicData>
            </a:graphic>
          </wp:inline>
        </w:drawing>
      </w:r>
    </w:p>
    <w:p w14:paraId="5D99907E" w14:textId="1203D7B2" w:rsidR="00537CC8" w:rsidRPr="0025250D" w:rsidRDefault="00537CC8" w:rsidP="00537CC8">
      <w:pPr>
        <w:rPr>
          <w:rtl/>
        </w:rPr>
      </w:pPr>
      <w:r w:rsidRPr="0025250D">
        <w:rPr>
          <w:rFonts w:hint="cs"/>
          <w:rtl/>
        </w:rPr>
        <w:t xml:space="preserve">در کتاب 2 این هرم را برای </w:t>
      </w:r>
      <w:r w:rsidR="008D6F97" w:rsidRPr="0025250D">
        <w:rPr>
          <w:rFonts w:hint="cs"/>
          <w:rtl/>
        </w:rPr>
        <w:t>سامانه‌</w:t>
      </w:r>
      <w:r w:rsidRPr="0025250D">
        <w:rPr>
          <w:rFonts w:hint="cs"/>
          <w:rtl/>
        </w:rPr>
        <w:t xml:space="preserve">‌های پیچیده متعددی، از جمله </w:t>
      </w:r>
      <w:r w:rsidR="007A53FD" w:rsidRPr="0025250D">
        <w:rPr>
          <w:rFonts w:hint="cs"/>
          <w:rtl/>
        </w:rPr>
        <w:t>فناوری</w:t>
      </w:r>
      <w:r w:rsidRPr="0025250D">
        <w:rPr>
          <w:rFonts w:hint="cs"/>
          <w:rtl/>
        </w:rPr>
        <w:t xml:space="preserve"> اطلاعات که می‌تواند به زودی خود پایدار شود به کار می‌بریم. با تفکر </w:t>
      </w:r>
      <w:r w:rsidRPr="0025250D">
        <w:rPr>
          <w:rtl/>
        </w:rPr>
        <w:t>تکاملی - توسعه‌ای می‌توانیم</w:t>
      </w:r>
      <w:r w:rsidRPr="0025250D">
        <w:rPr>
          <w:rFonts w:hint="cs"/>
          <w:rtl/>
        </w:rPr>
        <w:t xml:space="preserve"> هر </w:t>
      </w:r>
      <w:r w:rsidR="008D6F97" w:rsidRPr="0025250D">
        <w:rPr>
          <w:rFonts w:hint="cs"/>
          <w:rtl/>
        </w:rPr>
        <w:t>سامانه‌</w:t>
      </w:r>
      <w:r w:rsidRPr="0025250D">
        <w:rPr>
          <w:rFonts w:hint="cs"/>
          <w:rtl/>
        </w:rPr>
        <w:t xml:space="preserve"> پیچیده‌ای را از یک دیگاه فردی، جمعی و شبکه‌ای تحلیل کنیم. وقتی برای هر سه دیدگاه ارزش قائل شده و آن‌ها را </w:t>
      </w:r>
      <w:r w:rsidR="00B13F65" w:rsidRPr="0025250D">
        <w:rPr>
          <w:rFonts w:hint="cs"/>
          <w:rtl/>
        </w:rPr>
        <w:t>یکپارچه</w:t>
      </w:r>
      <w:r w:rsidR="001C47CF" w:rsidRPr="0025250D">
        <w:rPr>
          <w:rFonts w:hint="cs"/>
          <w:rtl/>
        </w:rPr>
        <w:t xml:space="preserve"> </w:t>
      </w:r>
      <w:r w:rsidR="00B13F65" w:rsidRPr="0025250D">
        <w:rPr>
          <w:rFonts w:hint="cs"/>
          <w:rtl/>
        </w:rPr>
        <w:t>‌سازی</w:t>
      </w:r>
      <w:r w:rsidRPr="0025250D">
        <w:rPr>
          <w:rFonts w:hint="cs"/>
          <w:rtl/>
        </w:rPr>
        <w:t xml:space="preserve">م، می‌توانیم به شدت </w:t>
      </w:r>
      <w:r w:rsidRPr="0025250D">
        <w:rPr>
          <w:rtl/>
        </w:rPr>
        <w:t>آینده‌نگاری</w:t>
      </w:r>
      <w:r w:rsidRPr="0025250D">
        <w:rPr>
          <w:rFonts w:hint="cs"/>
          <w:rtl/>
        </w:rPr>
        <w:t xml:space="preserve"> و عمل را بهبود بخشیم.</w:t>
      </w:r>
    </w:p>
    <w:p w14:paraId="67491640" w14:textId="338A2F52" w:rsidR="00537CC8" w:rsidRPr="0025250D" w:rsidRDefault="00537CC8" w:rsidP="00537CC8">
      <w:pPr>
        <w:rPr>
          <w:rtl/>
        </w:rPr>
      </w:pPr>
      <w:r w:rsidRPr="0025250D">
        <w:rPr>
          <w:rFonts w:hint="cs"/>
          <w:rtl/>
        </w:rPr>
        <w:t xml:space="preserve">ما پنج </w:t>
      </w:r>
      <w:r w:rsidRPr="0025250D">
        <w:t>E</w:t>
      </w:r>
      <w:r w:rsidRPr="0025250D">
        <w:rPr>
          <w:rFonts w:hint="cs"/>
          <w:rtl/>
        </w:rPr>
        <w:t xml:space="preserve"> را به‌عنوان یک تعمیم ساده برای هرم افلاطون، با تأکید بر خوبی دیدیم. وقتی ماهیت و هدف فرایند‌های تکاملی و توسعه‌ای را در </w:t>
      </w:r>
      <w:r w:rsidR="008D6F97" w:rsidRPr="0025250D">
        <w:rPr>
          <w:rFonts w:hint="cs"/>
          <w:rtl/>
        </w:rPr>
        <w:t>سامانه‌</w:t>
      </w:r>
      <w:r w:rsidRPr="0025250D">
        <w:rPr>
          <w:rFonts w:hint="cs"/>
          <w:rtl/>
        </w:rPr>
        <w:t xml:space="preserve">‌های زنده در نظر می‌گیریم، می‌توانیم تعمیم دیگری نیز ارائه دهیم که همچنین بر خوبی تأکید دارد؛ ما آن را اهداف </w:t>
      </w:r>
      <w:r w:rsidRPr="0025250D">
        <w:t>IES</w:t>
      </w:r>
      <w:r w:rsidRPr="0025250D">
        <w:rPr>
          <w:rFonts w:hint="cs"/>
          <w:rtl/>
        </w:rPr>
        <w:t xml:space="preserve"> می‌نامیم. در تحلیل ما، </w:t>
      </w:r>
      <w:r w:rsidR="007118DE" w:rsidRPr="0025250D">
        <w:rPr>
          <w:rFonts w:hint="cs"/>
          <w:rtl/>
        </w:rPr>
        <w:t>همان‌طور</w:t>
      </w:r>
      <w:r w:rsidRPr="0025250D">
        <w:rPr>
          <w:rFonts w:hint="cs"/>
          <w:rtl/>
        </w:rPr>
        <w:t xml:space="preserve"> که در مدل </w:t>
      </w:r>
      <w:r w:rsidRPr="0025250D">
        <w:rPr>
          <w:rtl/>
        </w:rPr>
        <w:t>آینده‌نگاری</w:t>
      </w:r>
      <w:r w:rsidRPr="0025250D">
        <w:rPr>
          <w:rFonts w:hint="cs"/>
          <w:rtl/>
        </w:rPr>
        <w:t xml:space="preserve"> تکاملی- توسعه‌ای توضیح داده شد، </w:t>
      </w:r>
      <w:r w:rsidR="00B124DE" w:rsidRPr="0025250D">
        <w:rPr>
          <w:rFonts w:hint="cs"/>
          <w:rtl/>
        </w:rPr>
        <w:t>انطباق‌پذیر</w:t>
      </w:r>
      <w:r w:rsidRPr="0025250D">
        <w:rPr>
          <w:rFonts w:hint="cs"/>
          <w:rtl/>
        </w:rPr>
        <w:t xml:space="preserve">‌ترین </w:t>
      </w:r>
      <w:r w:rsidR="008D6F97" w:rsidRPr="0025250D">
        <w:rPr>
          <w:rFonts w:hint="cs"/>
          <w:rtl/>
        </w:rPr>
        <w:t>سامانه‌</w:t>
      </w:r>
      <w:r w:rsidRPr="0025250D">
        <w:rPr>
          <w:rFonts w:hint="cs"/>
          <w:rtl/>
        </w:rPr>
        <w:t xml:space="preserve">‌های پیچیده دائما در حال پیشرفت و متوازن سازی دو مجموعه مخالف از اهداف تکاملی و توسعه ای، از طریق شبکه‌های همکاری و رقابتی هستند که در عوض اهداف </w:t>
      </w:r>
      <w:r w:rsidRPr="0025250D">
        <w:rPr>
          <w:rtl/>
        </w:rPr>
        <w:t xml:space="preserve">تکاملی - توسعه‌ای </w:t>
      </w:r>
      <w:r w:rsidRPr="0025250D">
        <w:rPr>
          <w:rFonts w:hint="cs"/>
          <w:rtl/>
        </w:rPr>
        <w:t>خود را بیان می‌کنند. می‌توانیم این سه مجموعه اهداف را بیان کنیم.</w:t>
      </w:r>
    </w:p>
    <w:p w14:paraId="79E78557" w14:textId="7A0549DE" w:rsidR="00537CC8" w:rsidRPr="0025250D" w:rsidRDefault="00537CC8" w:rsidP="00537CC8">
      <w:pPr>
        <w:rPr>
          <w:rtl/>
        </w:rPr>
      </w:pPr>
      <w:r w:rsidRPr="0025250D">
        <w:rPr>
          <w:rFonts w:hint="cs"/>
          <w:rtl/>
        </w:rPr>
        <w:t xml:space="preserve">1. اهداف تکاملی: نوآوری و هوشمندی 2. اهداف توسعه ای: قدرت و پایداری 3. اهداف </w:t>
      </w:r>
      <w:r w:rsidRPr="0025250D">
        <w:rPr>
          <w:rtl/>
        </w:rPr>
        <w:t>تکاملی - توسعه ای</w:t>
      </w:r>
      <w:r w:rsidRPr="0025250D">
        <w:rPr>
          <w:rFonts w:hint="cs"/>
          <w:rtl/>
        </w:rPr>
        <w:t xml:space="preserve">: </w:t>
      </w:r>
      <w:r w:rsidR="00202882" w:rsidRPr="0025250D">
        <w:rPr>
          <w:rFonts w:hint="cs"/>
          <w:rtl/>
        </w:rPr>
        <w:t>همدلی</w:t>
      </w:r>
      <w:r w:rsidRPr="0025250D">
        <w:rPr>
          <w:rFonts w:hint="cs"/>
          <w:rtl/>
        </w:rPr>
        <w:t xml:space="preserve"> و اخلاق (یعنی، اتصال و وابستگی متقابل)</w:t>
      </w:r>
    </w:p>
    <w:p w14:paraId="41F3509E" w14:textId="6369BA3E" w:rsidR="00537CC8" w:rsidRPr="0025250D" w:rsidRDefault="00537CC8" w:rsidP="00537CC8">
      <w:pPr>
        <w:rPr>
          <w:rtl/>
        </w:rPr>
      </w:pPr>
      <w:r w:rsidRPr="0025250D">
        <w:rPr>
          <w:rFonts w:hint="cs"/>
          <w:rtl/>
        </w:rPr>
        <w:t xml:space="preserve">می توانیم همچنین 12 ارزش را به این 6 هدف، با پیوند دادن دو ارزش فردی، سازمانی و اجتماعی از نظر فرهنگی فراگیر، به این جفت‌های </w:t>
      </w:r>
      <w:r w:rsidRPr="0025250D">
        <w:rPr>
          <w:rtl/>
        </w:rPr>
        <w:t xml:space="preserve">تکاملی - توسعه‌ای </w:t>
      </w:r>
      <w:r w:rsidRPr="0025250D">
        <w:rPr>
          <w:rFonts w:hint="cs"/>
          <w:rtl/>
        </w:rPr>
        <w:t xml:space="preserve">به شکل زیر </w:t>
      </w:r>
      <w:r w:rsidR="0008779C" w:rsidRPr="0025250D">
        <w:rPr>
          <w:rFonts w:hint="cs"/>
          <w:rtl/>
        </w:rPr>
        <w:t>ارتباط‌دهی</w:t>
      </w:r>
      <w:r w:rsidRPr="0025250D">
        <w:rPr>
          <w:rFonts w:hint="cs"/>
          <w:rtl/>
        </w:rPr>
        <w:t>م:</w:t>
      </w:r>
    </w:p>
    <w:p w14:paraId="2E689A89" w14:textId="3BB5DC09" w:rsidR="00537CC8" w:rsidRPr="0025250D" w:rsidRDefault="00D76D11" w:rsidP="00D53F87">
      <w:pPr>
        <w:jc w:val="center"/>
        <w:rPr>
          <w:rtl/>
        </w:rPr>
      </w:pPr>
      <w:r w:rsidRPr="0025250D">
        <w:rPr>
          <w:noProof/>
        </w:rPr>
        <w:drawing>
          <wp:inline distT="0" distB="0" distL="0" distR="0" wp14:anchorId="426D8FAB" wp14:editId="2AC9DEC1">
            <wp:extent cx="5531312" cy="3132814"/>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0" cstate="screen">
                      <a:extLst>
                        <a:ext uri="{28A0092B-C50C-407E-A947-70E740481C1C}">
                          <a14:useLocalDpi xmlns:a14="http://schemas.microsoft.com/office/drawing/2010/main"/>
                        </a:ext>
                      </a:extLst>
                    </a:blip>
                    <a:srcRect/>
                    <a:stretch>
                      <a:fillRect/>
                    </a:stretch>
                  </pic:blipFill>
                  <pic:spPr bwMode="auto">
                    <a:xfrm>
                      <a:off x="0" y="0"/>
                      <a:ext cx="5539601" cy="3137509"/>
                    </a:xfrm>
                    <a:prstGeom prst="rect">
                      <a:avLst/>
                    </a:prstGeom>
                    <a:noFill/>
                  </pic:spPr>
                </pic:pic>
              </a:graphicData>
            </a:graphic>
          </wp:inline>
        </w:drawing>
      </w:r>
    </w:p>
    <w:p w14:paraId="7DFD4B23" w14:textId="04422BFB" w:rsidR="00537CC8" w:rsidRPr="0025250D" w:rsidRDefault="00537CC8" w:rsidP="00537CC8">
      <w:pPr>
        <w:rPr>
          <w:rtl/>
        </w:rPr>
      </w:pPr>
      <w:r w:rsidRPr="0025250D">
        <w:rPr>
          <w:rFonts w:hint="cs"/>
          <w:rtl/>
        </w:rPr>
        <w:t xml:space="preserve">می توانیم این‌ها را - به دلیل نام هایشان یعنی نوآوری، هوشمندی، </w:t>
      </w:r>
      <w:r w:rsidR="00202882" w:rsidRPr="0025250D">
        <w:rPr>
          <w:rFonts w:hint="cs"/>
          <w:rtl/>
        </w:rPr>
        <w:t>همدلی</w:t>
      </w:r>
      <w:r w:rsidRPr="0025250D">
        <w:rPr>
          <w:rFonts w:hint="cs"/>
          <w:rtl/>
        </w:rPr>
        <w:t>، اخلاق، قدرت و پایداری</w:t>
      </w:r>
      <w:r w:rsidRPr="0025250D">
        <w:rPr>
          <w:vertAlign w:val="superscript"/>
          <w:rtl/>
        </w:rPr>
        <w:footnoteReference w:id="2018"/>
      </w:r>
      <w:r w:rsidRPr="0025250D">
        <w:rPr>
          <w:rFonts w:hint="cs"/>
          <w:rtl/>
        </w:rPr>
        <w:t xml:space="preserve">- اهداف </w:t>
      </w:r>
      <w:r w:rsidRPr="0025250D">
        <w:t>IES</w:t>
      </w:r>
      <w:r w:rsidRPr="0025250D">
        <w:rPr>
          <w:rFonts w:hint="cs"/>
          <w:rtl/>
        </w:rPr>
        <w:t xml:space="preserve"> بنامیم. در زیر چند کلمه‌ای برای توضیح بیش‌تر درمورد هر یک از این 12 ارزش آورده شده است:</w:t>
      </w:r>
    </w:p>
    <w:p w14:paraId="793887F4" w14:textId="5CC5E3A2" w:rsidR="00537CC8" w:rsidRPr="0025250D" w:rsidRDefault="00537CC8" w:rsidP="00537CC8">
      <w:pPr>
        <w:rPr>
          <w:rtl/>
        </w:rPr>
      </w:pPr>
      <w:r w:rsidRPr="0025250D">
        <w:rPr>
          <w:rFonts w:hint="cs"/>
          <w:rtl/>
        </w:rPr>
        <w:t xml:space="preserve">1. ارزش‌های </w:t>
      </w:r>
      <w:r w:rsidR="00202882" w:rsidRPr="0025250D">
        <w:rPr>
          <w:rFonts w:hint="cs"/>
          <w:rtl/>
        </w:rPr>
        <w:t>همدلی</w:t>
      </w:r>
      <w:r w:rsidRPr="0025250D">
        <w:rPr>
          <w:rFonts w:hint="cs"/>
          <w:rtl/>
        </w:rPr>
        <w:t xml:space="preserve"> (اتصال): </w:t>
      </w:r>
      <w:r w:rsidR="001C47CF" w:rsidRPr="0025250D">
        <w:rPr>
          <w:rFonts w:hint="cs"/>
          <w:rtl/>
        </w:rPr>
        <w:t xml:space="preserve">عزت </w:t>
      </w:r>
      <w:r w:rsidRPr="0025250D">
        <w:rPr>
          <w:rFonts w:hint="cs"/>
          <w:rtl/>
        </w:rPr>
        <w:t>(</w:t>
      </w:r>
      <w:r w:rsidR="001C47CF" w:rsidRPr="0025250D">
        <w:rPr>
          <w:rFonts w:hint="cs"/>
          <w:rtl/>
        </w:rPr>
        <w:t>عزت</w:t>
      </w:r>
      <w:r w:rsidRPr="0025250D">
        <w:rPr>
          <w:rFonts w:hint="cs"/>
          <w:rtl/>
        </w:rPr>
        <w:t>، ارزشمندی، هویت، پذیرش، ارزش)</w:t>
      </w:r>
      <w:r w:rsidR="001C47CF" w:rsidRPr="0025250D">
        <w:rPr>
          <w:rFonts w:hint="cs"/>
          <w:rtl/>
        </w:rPr>
        <w:t xml:space="preserve"> و</w:t>
      </w:r>
      <w:r w:rsidRPr="0025250D">
        <w:rPr>
          <w:rFonts w:hint="cs"/>
          <w:rtl/>
        </w:rPr>
        <w:t xml:space="preserve"> عشق (دلسوزی، بخشش، درک، همگام سازی، آگاهی)</w:t>
      </w:r>
    </w:p>
    <w:p w14:paraId="08C4A0CB" w14:textId="4ACCAB45" w:rsidR="00537CC8" w:rsidRPr="0025250D" w:rsidRDefault="00537CC8" w:rsidP="00537CC8">
      <w:pPr>
        <w:rPr>
          <w:rtl/>
        </w:rPr>
      </w:pPr>
      <w:r w:rsidRPr="0025250D">
        <w:rPr>
          <w:rFonts w:hint="cs"/>
          <w:rtl/>
        </w:rPr>
        <w:t xml:space="preserve">2. ارزش‌های اخلاقی (وابستگی متقابل): وجدان (پرهیزکاری، نظم فردی، مسئولیت پذیری، هنجارها، </w:t>
      </w:r>
      <w:r w:rsidR="0008779C" w:rsidRPr="0025250D">
        <w:rPr>
          <w:rFonts w:hint="cs"/>
          <w:rtl/>
        </w:rPr>
        <w:t>ایدئال</w:t>
      </w:r>
      <w:r w:rsidRPr="0025250D">
        <w:rPr>
          <w:rFonts w:hint="cs"/>
          <w:rtl/>
        </w:rPr>
        <w:t xml:space="preserve"> ها)</w:t>
      </w:r>
      <w:r w:rsidR="001C47CF" w:rsidRPr="0025250D">
        <w:rPr>
          <w:rFonts w:hint="cs"/>
          <w:rtl/>
        </w:rPr>
        <w:t xml:space="preserve"> و</w:t>
      </w:r>
      <w:r w:rsidRPr="0025250D">
        <w:rPr>
          <w:rFonts w:hint="cs"/>
          <w:rtl/>
        </w:rPr>
        <w:t xml:space="preserve"> قضاوت (</w:t>
      </w:r>
      <w:r w:rsidRPr="0025250D">
        <w:rPr>
          <w:rtl/>
        </w:rPr>
        <w:t>انصاف</w:t>
      </w:r>
      <w:r w:rsidRPr="0025250D">
        <w:rPr>
          <w:rFonts w:hint="cs"/>
          <w:rtl/>
        </w:rPr>
        <w:t>، لیاقت، نقد، جمع بندی مثبت، مجموعه قوانین)</w:t>
      </w:r>
    </w:p>
    <w:p w14:paraId="7A5936AD" w14:textId="4DBBA84E" w:rsidR="00537CC8" w:rsidRPr="0025250D" w:rsidRDefault="00537CC8" w:rsidP="00537CC8">
      <w:pPr>
        <w:rPr>
          <w:rtl/>
        </w:rPr>
      </w:pPr>
      <w:r w:rsidRPr="0025250D">
        <w:rPr>
          <w:rFonts w:hint="cs"/>
          <w:rtl/>
        </w:rPr>
        <w:t>3. ارزش‌های هوشمندی: بینش (غیر مادی سازی، مجازی سازی، مدلسازی، آگاهی، هوشمندی)</w:t>
      </w:r>
      <w:r w:rsidR="001C47CF" w:rsidRPr="0025250D">
        <w:rPr>
          <w:rFonts w:hint="cs"/>
          <w:rtl/>
        </w:rPr>
        <w:t xml:space="preserve"> و</w:t>
      </w:r>
      <w:r w:rsidRPr="0025250D">
        <w:rPr>
          <w:rFonts w:hint="cs"/>
          <w:rtl/>
        </w:rPr>
        <w:t xml:space="preserve"> تنوع (اطلاعات، فردی سازی، تخصص، تفاوت، استقلال)</w:t>
      </w:r>
    </w:p>
    <w:p w14:paraId="4B938E1F" w14:textId="05709C26" w:rsidR="00537CC8" w:rsidRPr="0025250D" w:rsidRDefault="00537CC8" w:rsidP="00537CC8">
      <w:pPr>
        <w:rPr>
          <w:rtl/>
        </w:rPr>
      </w:pPr>
      <w:r w:rsidRPr="0025250D">
        <w:rPr>
          <w:rFonts w:hint="cs"/>
          <w:rtl/>
        </w:rPr>
        <w:t xml:space="preserve">4. ارزش‌های قدرت: قدرت (متراکم سازی، ثروت، سرعت، فشرده سازی </w:t>
      </w:r>
      <w:r w:rsidRPr="0025250D">
        <w:t>STEM</w:t>
      </w:r>
      <w:r w:rsidRPr="0025250D">
        <w:rPr>
          <w:rFonts w:hint="cs"/>
          <w:rtl/>
        </w:rPr>
        <w:t>، کارایی تولید و تراکم)</w:t>
      </w:r>
      <w:r w:rsidR="001C47CF" w:rsidRPr="0025250D">
        <w:rPr>
          <w:rFonts w:hint="cs"/>
          <w:rtl/>
        </w:rPr>
        <w:t xml:space="preserve"> و</w:t>
      </w:r>
      <w:r w:rsidRPr="0025250D">
        <w:rPr>
          <w:rFonts w:hint="cs"/>
          <w:rtl/>
        </w:rPr>
        <w:t xml:space="preserve"> امنیت (هوشیاری، حفاظت، ایمنی، مدیریت ریسک، مصونیت)</w:t>
      </w:r>
    </w:p>
    <w:p w14:paraId="76C01E17" w14:textId="795A9D51" w:rsidR="00537CC8" w:rsidRPr="0025250D" w:rsidRDefault="00537CC8" w:rsidP="00537CC8">
      <w:pPr>
        <w:rPr>
          <w:rtl/>
        </w:rPr>
      </w:pPr>
      <w:r w:rsidRPr="0025250D">
        <w:rPr>
          <w:rFonts w:hint="cs"/>
          <w:rtl/>
        </w:rPr>
        <w:t>5. ارزش‌های نوآوری: آزادی (پایین به بالا بودن، غیر قطعی بودن، گزینه‌ها، عدم قطعیت)</w:t>
      </w:r>
      <w:r w:rsidR="001C47CF" w:rsidRPr="0025250D">
        <w:rPr>
          <w:rFonts w:hint="cs"/>
          <w:rtl/>
        </w:rPr>
        <w:t xml:space="preserve"> و</w:t>
      </w:r>
      <w:r w:rsidRPr="0025250D">
        <w:rPr>
          <w:rFonts w:hint="cs"/>
          <w:rtl/>
        </w:rPr>
        <w:t xml:space="preserve"> خلاقیت (غیر قابل </w:t>
      </w:r>
      <w:r w:rsidR="00D92F6E" w:rsidRPr="0025250D">
        <w:rPr>
          <w:rFonts w:hint="cs"/>
          <w:rtl/>
        </w:rPr>
        <w:t>پیش‌بین</w:t>
      </w:r>
      <w:r w:rsidRPr="0025250D">
        <w:rPr>
          <w:rFonts w:hint="cs"/>
          <w:rtl/>
        </w:rPr>
        <w:t>ی بودن، تازگی، تصور، خیال، آزمایش، نوآوری)</w:t>
      </w:r>
    </w:p>
    <w:p w14:paraId="434F4899" w14:textId="7C3CB433" w:rsidR="00537CC8" w:rsidRPr="0025250D" w:rsidRDefault="00537CC8" w:rsidP="00537CC8">
      <w:pPr>
        <w:rPr>
          <w:rtl/>
        </w:rPr>
      </w:pPr>
      <w:r w:rsidRPr="0025250D">
        <w:rPr>
          <w:rFonts w:hint="cs"/>
          <w:rtl/>
        </w:rPr>
        <w:t>6. ارزش‌های پایداری: نظم (</w:t>
      </w:r>
      <w:r w:rsidR="009D17DA" w:rsidRPr="0025250D">
        <w:rPr>
          <w:rFonts w:hint="cs"/>
          <w:rtl/>
        </w:rPr>
        <w:t>بالا‌به‌پایین</w:t>
      </w:r>
      <w:r w:rsidRPr="0025250D">
        <w:rPr>
          <w:rFonts w:hint="cs"/>
          <w:rtl/>
        </w:rPr>
        <w:t xml:space="preserve"> بودن، ساختار، قواعد، قیود)</w:t>
      </w:r>
      <w:r w:rsidR="001C47CF" w:rsidRPr="0025250D">
        <w:rPr>
          <w:rFonts w:hint="cs"/>
          <w:rtl/>
        </w:rPr>
        <w:t xml:space="preserve"> و</w:t>
      </w:r>
      <w:r w:rsidRPr="0025250D">
        <w:rPr>
          <w:rFonts w:hint="cs"/>
          <w:rtl/>
        </w:rPr>
        <w:t xml:space="preserve"> حقیقت (قابل </w:t>
      </w:r>
      <w:r w:rsidR="00D92F6E" w:rsidRPr="0025250D">
        <w:rPr>
          <w:rFonts w:hint="cs"/>
          <w:rtl/>
        </w:rPr>
        <w:t>پیش‌بین</w:t>
      </w:r>
      <w:r w:rsidRPr="0025250D">
        <w:rPr>
          <w:rFonts w:hint="cs"/>
          <w:rtl/>
        </w:rPr>
        <w:t xml:space="preserve">ی بودن، بهینه سازی، دقت، </w:t>
      </w:r>
      <w:r w:rsidRPr="0025250D">
        <w:rPr>
          <w:rtl/>
        </w:rPr>
        <w:t>ا</w:t>
      </w:r>
      <w:r w:rsidRPr="0025250D">
        <w:rPr>
          <w:rFonts w:hint="cs"/>
          <w:rtl/>
        </w:rPr>
        <w:t>ی</w:t>
      </w:r>
      <w:r w:rsidRPr="0025250D">
        <w:rPr>
          <w:rFonts w:hint="eastAsia"/>
          <w:rtl/>
        </w:rPr>
        <w:t>نرس</w:t>
      </w:r>
      <w:r w:rsidRPr="0025250D">
        <w:rPr>
          <w:rFonts w:hint="cs"/>
          <w:rtl/>
        </w:rPr>
        <w:t>ی، پایداری)</w:t>
      </w:r>
    </w:p>
    <w:p w14:paraId="53A0F351" w14:textId="5AA2BE18" w:rsidR="00537CC8" w:rsidRPr="0025250D" w:rsidRDefault="00537CC8" w:rsidP="00537CC8">
      <w:pPr>
        <w:rPr>
          <w:rtl/>
        </w:rPr>
      </w:pPr>
      <w:r w:rsidRPr="0025250D">
        <w:rPr>
          <w:rFonts w:hint="cs"/>
          <w:rtl/>
        </w:rPr>
        <w:t xml:space="preserve">ما آن‌ها را در این جا در یک سلسله مراتب ارزش تقریبی، از مرکز به سمت </w:t>
      </w:r>
      <w:r w:rsidR="001C47CF" w:rsidRPr="0025250D">
        <w:rPr>
          <w:rFonts w:hint="cs"/>
          <w:rtl/>
        </w:rPr>
        <w:t>کناره‌های</w:t>
      </w:r>
      <w:r w:rsidRPr="0025250D">
        <w:rPr>
          <w:rFonts w:hint="cs"/>
          <w:rtl/>
        </w:rPr>
        <w:t xml:space="preserve"> یک توزیع نرمال (گاوسی) فهرست </w:t>
      </w:r>
      <w:r w:rsidR="00950293" w:rsidRPr="0025250D">
        <w:rPr>
          <w:rFonts w:hint="cs"/>
          <w:rtl/>
        </w:rPr>
        <w:t>کرده‌ایم</w:t>
      </w:r>
      <w:r w:rsidRPr="0025250D">
        <w:rPr>
          <w:rFonts w:hint="cs"/>
          <w:rtl/>
        </w:rPr>
        <w:t xml:space="preserve">. به بیان دیگر، در یک تحلیل </w:t>
      </w:r>
      <w:r w:rsidR="00701E03" w:rsidRPr="0025250D">
        <w:rPr>
          <w:rFonts w:hint="cs"/>
          <w:rtl/>
        </w:rPr>
        <w:t>راهبردی</w:t>
      </w:r>
      <w:r w:rsidRPr="0025250D">
        <w:rPr>
          <w:rFonts w:hint="cs"/>
          <w:rtl/>
        </w:rPr>
        <w:t xml:space="preserve"> هنجاری برای افراد، تیم‌ها و شرکت‌ها بحث‌های </w:t>
      </w:r>
      <w:r w:rsidR="00202882" w:rsidRPr="0025250D">
        <w:rPr>
          <w:rFonts w:hint="cs"/>
          <w:rtl/>
        </w:rPr>
        <w:t>همدلی</w:t>
      </w:r>
      <w:r w:rsidRPr="0025250D">
        <w:rPr>
          <w:rFonts w:hint="cs"/>
          <w:rtl/>
        </w:rPr>
        <w:t xml:space="preserve"> و اخلاق باید در درجه اول</w:t>
      </w:r>
      <w:r w:rsidR="001C47CF" w:rsidRPr="0025250D">
        <w:rPr>
          <w:rFonts w:hint="cs"/>
          <w:rtl/>
        </w:rPr>
        <w:t xml:space="preserve">، </w:t>
      </w:r>
      <w:r w:rsidRPr="0025250D">
        <w:rPr>
          <w:rFonts w:hint="cs"/>
          <w:rtl/>
        </w:rPr>
        <w:t>هوشمندی و قدرت در درجه دوم و نوآوری و پایداری در درجه سوم</w:t>
      </w:r>
      <w:r w:rsidR="001C47CF" w:rsidRPr="0025250D">
        <w:rPr>
          <w:rFonts w:hint="cs"/>
          <w:rtl/>
        </w:rPr>
        <w:t xml:space="preserve"> قرار داشته باشند</w:t>
      </w:r>
      <w:r w:rsidRPr="0025250D">
        <w:rPr>
          <w:rFonts w:hint="cs"/>
          <w:rtl/>
        </w:rPr>
        <w:t xml:space="preserve">. باور داریم که دنبال کردن و متوازن ساختن این اهداف و ارزش‌ها برای خودرهبری </w:t>
      </w:r>
      <w:r w:rsidR="00B124DE" w:rsidRPr="0025250D">
        <w:rPr>
          <w:rFonts w:hint="cs"/>
          <w:rtl/>
        </w:rPr>
        <w:t>انطباق‌پذیر</w:t>
      </w:r>
      <w:r w:rsidRPr="0025250D">
        <w:rPr>
          <w:rFonts w:hint="cs"/>
          <w:rtl/>
        </w:rPr>
        <w:t xml:space="preserve"> است و دنبال کردن آن‌ها در تیم هایمان برای رهبری </w:t>
      </w:r>
      <w:r w:rsidR="00B124DE" w:rsidRPr="0025250D">
        <w:rPr>
          <w:rFonts w:hint="cs"/>
          <w:rtl/>
        </w:rPr>
        <w:t>انطباق‌پذیر</w:t>
      </w:r>
      <w:r w:rsidRPr="0025250D">
        <w:rPr>
          <w:rFonts w:hint="cs"/>
          <w:rtl/>
        </w:rPr>
        <w:t xml:space="preserve"> ضروری است. استدلال‌های خود را برای این سلسله مراتب و توزیع در </w:t>
      </w:r>
      <w:r w:rsidRPr="0025250D">
        <w:t>BPF</w:t>
      </w:r>
      <w:r w:rsidRPr="0025250D">
        <w:rPr>
          <w:rFonts w:hint="cs"/>
          <w:rtl/>
        </w:rPr>
        <w:t xml:space="preserve"> بیان خواهیم کرد.</w:t>
      </w:r>
    </w:p>
    <w:p w14:paraId="60A34D2E" w14:textId="72C73B1C" w:rsidR="00537CC8" w:rsidRPr="0025250D" w:rsidRDefault="00537CC8" w:rsidP="00537CC8">
      <w:pPr>
        <w:rPr>
          <w:rtl/>
        </w:rPr>
      </w:pPr>
      <w:r w:rsidRPr="0025250D">
        <w:rPr>
          <w:rFonts w:hint="cs"/>
          <w:rtl/>
        </w:rPr>
        <w:t xml:space="preserve">بسیاری از این جفت ارزش‌ها به شکل متعادلی برای ارائه ارزش‌های فردی و شبکه محور قطبی سازی شده‌اند. برای مثال، برای هدف </w:t>
      </w:r>
      <w:r w:rsidR="00202882" w:rsidRPr="0025250D">
        <w:rPr>
          <w:rFonts w:hint="cs"/>
          <w:rtl/>
        </w:rPr>
        <w:t>همدلی</w:t>
      </w:r>
      <w:r w:rsidRPr="0025250D">
        <w:rPr>
          <w:rFonts w:hint="cs"/>
          <w:rtl/>
        </w:rPr>
        <w:t xml:space="preserve"> (مجموعه ارزش ها)، می‌توانیم به </w:t>
      </w:r>
      <w:r w:rsidR="001C47CF" w:rsidRPr="0025250D">
        <w:rPr>
          <w:rFonts w:hint="cs"/>
          <w:rtl/>
        </w:rPr>
        <w:t xml:space="preserve">عزت </w:t>
      </w:r>
      <w:r w:rsidRPr="0025250D">
        <w:rPr>
          <w:rFonts w:hint="cs"/>
          <w:rtl/>
        </w:rPr>
        <w:t>به‌عنوان یک ارزش فردی غالب و به عشق به‌عنوان یک ارزش ارتباطی (شبکه ای) غالب فکر کنیم. برای اهداف اخلاقی، وجدان در درجه اول</w:t>
      </w:r>
      <w:r w:rsidR="008D6F97" w:rsidRPr="0025250D">
        <w:rPr>
          <w:rtl/>
        </w:rPr>
        <w:t xml:space="preserve"> </w:t>
      </w:r>
      <w:r w:rsidRPr="0025250D">
        <w:rPr>
          <w:rFonts w:hint="cs"/>
          <w:rtl/>
        </w:rPr>
        <w:t xml:space="preserve">یک ارزش فردی است، در حالی که قضاوت در درجه اول یک ارزش ارتباطی است وغیره. این قطبی بودن متعادل تنش مقدماتی میان تناسب فردی و گروهی در همه شبکه‌های </w:t>
      </w:r>
      <w:r w:rsidR="00B124DE" w:rsidRPr="0025250D">
        <w:rPr>
          <w:rFonts w:hint="cs"/>
          <w:rtl/>
        </w:rPr>
        <w:t>انطباق‌پذیر</w:t>
      </w:r>
      <w:r w:rsidRPr="0025250D">
        <w:rPr>
          <w:rFonts w:hint="cs"/>
          <w:rtl/>
        </w:rPr>
        <w:t xml:space="preserve"> را بیان می‌کند. می‌توانیم همچنین از هرم افلاطون برای دسته بندی این 12 مجموعه ارزش رهبری </w:t>
      </w:r>
      <w:r w:rsidR="00B124DE" w:rsidRPr="0025250D">
        <w:rPr>
          <w:rFonts w:hint="cs"/>
          <w:rtl/>
        </w:rPr>
        <w:t>انطباق‌پذیر</w:t>
      </w:r>
      <w:r w:rsidRPr="0025250D">
        <w:rPr>
          <w:rFonts w:hint="cs"/>
          <w:rtl/>
        </w:rPr>
        <w:t xml:space="preserve">، </w:t>
      </w:r>
      <w:r w:rsidR="007118DE" w:rsidRPr="0025250D">
        <w:rPr>
          <w:rFonts w:hint="cs"/>
          <w:rtl/>
        </w:rPr>
        <w:t>همان‌طور</w:t>
      </w:r>
      <w:r w:rsidRPr="0025250D">
        <w:rPr>
          <w:rFonts w:hint="cs"/>
          <w:rtl/>
        </w:rPr>
        <w:t xml:space="preserve"> که در زیر به تصویر کشیده شده‌اند استفاده کنیم:</w:t>
      </w:r>
    </w:p>
    <w:p w14:paraId="73D4C6FB" w14:textId="77777777" w:rsidR="00537CC8" w:rsidRPr="0025250D" w:rsidRDefault="00537CC8" w:rsidP="00D53F87">
      <w:pPr>
        <w:jc w:val="center"/>
        <w:rPr>
          <w:rtl/>
        </w:rPr>
      </w:pPr>
      <w:r w:rsidRPr="0025250D">
        <w:rPr>
          <w:noProof/>
          <w:lang w:bidi="ar-SA"/>
        </w:rPr>
        <w:drawing>
          <wp:inline distT="0" distB="0" distL="0" distR="0" wp14:anchorId="7AEA89CA" wp14:editId="1D73631D">
            <wp:extent cx="4572000" cy="1955728"/>
            <wp:effectExtent l="0" t="0" r="0" b="698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cstate="screen">
                      <a:extLst>
                        <a:ext uri="{BEBA8EAE-BF5A-486C-A8C5-ECC9F3942E4B}">
                          <a14:imgProps xmlns:a14="http://schemas.microsoft.com/office/drawing/2010/main">
                            <a14:imgLayer r:embed="rId172">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4614615" cy="1973957"/>
                    </a:xfrm>
                    <a:prstGeom prst="rect">
                      <a:avLst/>
                    </a:prstGeom>
                    <a:noFill/>
                  </pic:spPr>
                </pic:pic>
              </a:graphicData>
            </a:graphic>
          </wp:inline>
        </w:drawing>
      </w:r>
    </w:p>
    <w:p w14:paraId="44E29341" w14:textId="483933DB" w:rsidR="00537CC8" w:rsidRPr="0025250D" w:rsidRDefault="00537CC8" w:rsidP="00537CC8">
      <w:pPr>
        <w:rPr>
          <w:rtl/>
        </w:rPr>
      </w:pPr>
      <w:r w:rsidRPr="0025250D">
        <w:rPr>
          <w:rFonts w:hint="cs"/>
          <w:rtl/>
        </w:rPr>
        <w:t xml:space="preserve">سه مجموعه ارزش رهبری </w:t>
      </w:r>
      <w:r w:rsidR="00B124DE" w:rsidRPr="0025250D">
        <w:rPr>
          <w:rFonts w:hint="cs"/>
          <w:rtl/>
        </w:rPr>
        <w:t>انطباق‌پذیر</w:t>
      </w:r>
      <w:r w:rsidRPr="0025250D">
        <w:rPr>
          <w:rFonts w:hint="cs"/>
          <w:rtl/>
        </w:rPr>
        <w:t xml:space="preserve"> </w:t>
      </w:r>
      <w:r w:rsidRPr="0025250D">
        <w:rPr>
          <w:rFonts w:cs="Times New Roman" w:hint="cs"/>
          <w:rtl/>
        </w:rPr>
        <w:t>–</w:t>
      </w:r>
      <w:r w:rsidRPr="0025250D">
        <w:rPr>
          <w:rFonts w:hint="cs"/>
          <w:rtl/>
        </w:rPr>
        <w:t xml:space="preserve"> یک مدل تکاملی </w:t>
      </w:r>
      <w:r w:rsidRPr="0025250D">
        <w:rPr>
          <w:rFonts w:cs="Times New Roman" w:hint="cs"/>
          <w:rtl/>
        </w:rPr>
        <w:t>–</w:t>
      </w:r>
      <w:r w:rsidRPr="0025250D">
        <w:rPr>
          <w:rFonts w:hint="cs"/>
          <w:rtl/>
        </w:rPr>
        <w:t xml:space="preserve"> توسعه ای</w:t>
      </w:r>
    </w:p>
    <w:p w14:paraId="4337F90F" w14:textId="60339D1A" w:rsidR="00537CC8" w:rsidRPr="0025250D" w:rsidRDefault="00537CC8" w:rsidP="00701E03">
      <w:pPr>
        <w:rPr>
          <w:rtl/>
        </w:rPr>
      </w:pPr>
      <w:r w:rsidRPr="0025250D">
        <w:rPr>
          <w:rFonts w:hint="cs"/>
          <w:rtl/>
        </w:rPr>
        <w:t xml:space="preserve">توجه داشته باشید که این سه گروه ارزشی با سه سبک </w:t>
      </w:r>
      <w:r w:rsidR="0008779C" w:rsidRPr="0025250D">
        <w:rPr>
          <w:rFonts w:hint="cs"/>
          <w:rtl/>
        </w:rPr>
        <w:t>تصمیم‌گیری</w:t>
      </w:r>
      <w:r w:rsidRPr="0025250D">
        <w:rPr>
          <w:rFonts w:hint="cs"/>
          <w:rtl/>
        </w:rPr>
        <w:t xml:space="preserve"> </w:t>
      </w:r>
      <w:r w:rsidRPr="0025250D">
        <w:rPr>
          <w:rtl/>
        </w:rPr>
        <w:t>کرتون</w:t>
      </w:r>
      <w:r w:rsidRPr="0025250D">
        <w:rPr>
          <w:rFonts w:hint="cs"/>
          <w:rtl/>
        </w:rPr>
        <w:t xml:space="preserve"> تناسب دارند. می‌توانیم سه نوع سازمانی </w:t>
      </w:r>
      <w:r w:rsidRPr="0025250D">
        <w:rPr>
          <w:rtl/>
        </w:rPr>
        <w:t>کرتون</w:t>
      </w:r>
      <w:r w:rsidRPr="0025250D">
        <w:rPr>
          <w:rFonts w:hint="cs"/>
          <w:rtl/>
        </w:rPr>
        <w:t xml:space="preserve"> را نوآور-آزمایشگر-خالق، مدافع-بازرسی کننده-پیش انگار و </w:t>
      </w:r>
      <w:r w:rsidR="00701E03" w:rsidRPr="0025250D">
        <w:rPr>
          <w:rFonts w:hint="cs"/>
          <w:rtl/>
        </w:rPr>
        <w:t>راهبردشناس</w:t>
      </w:r>
      <w:r w:rsidRPr="0025250D">
        <w:rPr>
          <w:rFonts w:hint="cs"/>
          <w:rtl/>
        </w:rPr>
        <w:t xml:space="preserve">-برنامه ریز-مدیر بنامیم. این‌ها مجموعه ارزش‌هایی هستند که به هر یک از این انواع افراد و گروه‌ها، در یک شکل </w:t>
      </w:r>
      <w:r w:rsidR="0008779C" w:rsidRPr="0025250D">
        <w:rPr>
          <w:rFonts w:hint="cs"/>
          <w:rtl/>
        </w:rPr>
        <w:t>ایدئال</w:t>
      </w:r>
      <w:r w:rsidRPr="0025250D">
        <w:rPr>
          <w:rFonts w:hint="cs"/>
          <w:rtl/>
        </w:rPr>
        <w:t xml:space="preserve"> انگیزه می‌دهند.</w:t>
      </w:r>
    </w:p>
    <w:p w14:paraId="555A831F" w14:textId="5567A3F3" w:rsidR="00537CC8" w:rsidRPr="0025250D" w:rsidRDefault="00537CC8" w:rsidP="00537CC8">
      <w:pPr>
        <w:rPr>
          <w:rtl/>
        </w:rPr>
      </w:pPr>
      <w:r w:rsidRPr="0025250D">
        <w:rPr>
          <w:rFonts w:hint="cs"/>
          <w:rtl/>
        </w:rPr>
        <w:t>رهبرانی که درمورد همه این سه مجموعه ارزش یاد می‌گیرند</w:t>
      </w:r>
      <w:r w:rsidR="008D6F97" w:rsidRPr="0025250D">
        <w:rPr>
          <w:rtl/>
        </w:rPr>
        <w:t xml:space="preserve"> </w:t>
      </w:r>
      <w:r w:rsidRPr="0025250D">
        <w:rPr>
          <w:rFonts w:hint="cs"/>
          <w:rtl/>
        </w:rPr>
        <w:t>و تیم</w:t>
      </w:r>
      <w:r w:rsidRPr="0025250D">
        <w:rPr>
          <w:rtl/>
        </w:rPr>
        <w:t xml:space="preserve">‌های </w:t>
      </w:r>
      <w:r w:rsidRPr="0025250D">
        <w:rPr>
          <w:rFonts w:hint="cs"/>
          <w:rtl/>
        </w:rPr>
        <w:t>خود</w:t>
      </w:r>
      <w:r w:rsidRPr="0025250D">
        <w:rPr>
          <w:rtl/>
        </w:rPr>
        <w:t xml:space="preserve"> </w:t>
      </w:r>
      <w:r w:rsidRPr="0025250D">
        <w:rPr>
          <w:rFonts w:hint="cs"/>
          <w:rtl/>
        </w:rPr>
        <w:t xml:space="preserve">را نسبت به آن‌ها </w:t>
      </w:r>
      <w:r w:rsidR="001C47CF" w:rsidRPr="0025250D">
        <w:rPr>
          <w:rFonts w:hint="cs"/>
          <w:rtl/>
        </w:rPr>
        <w:t>سنجش</w:t>
      </w:r>
      <w:r w:rsidRPr="0025250D">
        <w:rPr>
          <w:rFonts w:hint="cs"/>
          <w:rtl/>
        </w:rPr>
        <w:t xml:space="preserve"> کرده و توسعه می‌دهند، از نظر ما سازمان‌های </w:t>
      </w:r>
      <w:r w:rsidR="00B124DE" w:rsidRPr="0025250D">
        <w:rPr>
          <w:rFonts w:hint="cs"/>
          <w:rtl/>
        </w:rPr>
        <w:t>انطباق‌پذیر</w:t>
      </w:r>
      <w:r w:rsidRPr="0025250D">
        <w:rPr>
          <w:rFonts w:hint="cs"/>
          <w:rtl/>
        </w:rPr>
        <w:t xml:space="preserve">‌تری خواهند ساخت. از میان این سه نوع ارزش، ارزش‌های ترکیبی </w:t>
      </w:r>
      <w:r w:rsidRPr="0025250D">
        <w:rPr>
          <w:rtl/>
        </w:rPr>
        <w:t xml:space="preserve">تکاملی - توسعه‌ای </w:t>
      </w:r>
      <w:r w:rsidRPr="0025250D">
        <w:rPr>
          <w:rFonts w:hint="cs"/>
          <w:rtl/>
        </w:rPr>
        <w:t xml:space="preserve">در رأس هرم باید اولویت اول ما باشند. آن‌ها رایج‌ترین و مهم‌ترین ارزش‌هایی هستند که تیم‌ها، شرکت‌ها و جوامع </w:t>
      </w:r>
      <w:r w:rsidR="00B124DE" w:rsidRPr="0025250D">
        <w:rPr>
          <w:rFonts w:hint="cs"/>
          <w:rtl/>
        </w:rPr>
        <w:t>انطباق‌پذیر</w:t>
      </w:r>
      <w:r w:rsidRPr="0025250D">
        <w:rPr>
          <w:rFonts w:hint="cs"/>
          <w:rtl/>
        </w:rPr>
        <w:t xml:space="preserve"> باید برای راهنمایی و هدایت </w:t>
      </w:r>
      <w:r w:rsidRPr="0025250D">
        <w:rPr>
          <w:rtl/>
        </w:rPr>
        <w:t>آینده‌نگاری</w:t>
      </w:r>
      <w:r w:rsidRPr="0025250D">
        <w:rPr>
          <w:rFonts w:hint="cs"/>
          <w:rtl/>
        </w:rPr>
        <w:t xml:space="preserve"> و عمل از آن‌ها استفاده کنند.</w:t>
      </w:r>
    </w:p>
    <w:p w14:paraId="0C6531D4" w14:textId="37333675" w:rsidR="00537CC8" w:rsidRPr="0025250D" w:rsidRDefault="00537CC8" w:rsidP="00537CC8">
      <w:pPr>
        <w:rPr>
          <w:rtl/>
        </w:rPr>
      </w:pPr>
      <w:r w:rsidRPr="0025250D">
        <w:rPr>
          <w:rFonts w:hint="cs"/>
          <w:rtl/>
        </w:rPr>
        <w:t xml:space="preserve">ما این موارد را اهداف و ارزش‌های </w:t>
      </w:r>
      <w:r w:rsidR="00B124DE" w:rsidRPr="0025250D">
        <w:rPr>
          <w:rFonts w:hint="cs"/>
          <w:rtl/>
        </w:rPr>
        <w:t>انطباق‌پذیر</w:t>
      </w:r>
      <w:r w:rsidRPr="0025250D">
        <w:rPr>
          <w:rFonts w:hint="cs"/>
          <w:rtl/>
        </w:rPr>
        <w:t xml:space="preserve"> می‌نامیم زیرا از دید ما، </w:t>
      </w:r>
      <w:r w:rsidR="00B124DE" w:rsidRPr="0025250D">
        <w:rPr>
          <w:rFonts w:hint="cs"/>
          <w:rtl/>
        </w:rPr>
        <w:t>انطباق‌پذیر</w:t>
      </w:r>
      <w:r w:rsidRPr="0025250D">
        <w:rPr>
          <w:rFonts w:hint="cs"/>
          <w:rtl/>
        </w:rPr>
        <w:t xml:space="preserve">ی رو به رشد هدف اول </w:t>
      </w:r>
      <w:r w:rsidRPr="0025250D">
        <w:rPr>
          <w:rtl/>
        </w:rPr>
        <w:t>آینده‌نگاری</w:t>
      </w:r>
      <w:r w:rsidRPr="0025250D">
        <w:rPr>
          <w:rFonts w:hint="cs"/>
          <w:rtl/>
        </w:rPr>
        <w:t xml:space="preserve"> و عمل انسان می‌باشد. در زیست شناسی نظری </w:t>
      </w:r>
      <w:r w:rsidRPr="0025250D">
        <w:rPr>
          <w:rtl/>
        </w:rPr>
        <w:t>تکاملی - توسعه ای</w:t>
      </w:r>
      <w:r w:rsidRPr="0025250D">
        <w:rPr>
          <w:rFonts w:hint="cs"/>
          <w:rtl/>
        </w:rPr>
        <w:t xml:space="preserve">، هیچ یک از فرایند‌های تکاملی و توسعه‌ای در زندگی غالب نیستند. هر یک از آن‌ها فرایند‌هایی بنیادی هستند و </w:t>
      </w:r>
      <w:r w:rsidR="00D2504D" w:rsidRPr="0025250D">
        <w:rPr>
          <w:rFonts w:hint="cs"/>
          <w:rtl/>
        </w:rPr>
        <w:t>باید</w:t>
      </w:r>
      <w:r w:rsidRPr="0025250D">
        <w:rPr>
          <w:rFonts w:hint="cs"/>
          <w:rtl/>
        </w:rPr>
        <w:t xml:space="preserve"> درتوازن مناسب باشند تا ترقی کنند، اما اولویت اول ما تقاطع آن‌ها یا </w:t>
      </w:r>
      <w:r w:rsidR="00B124DE" w:rsidRPr="0025250D">
        <w:rPr>
          <w:rFonts w:hint="cs"/>
          <w:rtl/>
        </w:rPr>
        <w:t>انطباق‌پذیر</w:t>
      </w:r>
      <w:r w:rsidRPr="0025250D">
        <w:rPr>
          <w:rFonts w:hint="cs"/>
          <w:rtl/>
        </w:rPr>
        <w:t xml:space="preserve">ی است. بسیاری از بد‌ترین تصمیماتی که توسط رهبران اتخاذ شده‌اند هنگامی انجام شده‌اند که بیش از حد به یکی از این دو دسته فرایند </w:t>
      </w:r>
      <w:r w:rsidRPr="0025250D">
        <w:rPr>
          <w:rFonts w:cs="Times New Roman" w:hint="cs"/>
          <w:rtl/>
        </w:rPr>
        <w:t>–</w:t>
      </w:r>
      <w:r w:rsidRPr="0025250D">
        <w:rPr>
          <w:rFonts w:hint="cs"/>
          <w:rtl/>
        </w:rPr>
        <w:t xml:space="preserve"> یا مجموعه ارزش‌ها و اهداف </w:t>
      </w:r>
      <w:r w:rsidRPr="0025250D">
        <w:rPr>
          <w:rFonts w:cs="Times New Roman" w:hint="cs"/>
          <w:rtl/>
        </w:rPr>
        <w:t>–</w:t>
      </w:r>
      <w:r w:rsidRPr="0025250D">
        <w:rPr>
          <w:rFonts w:hint="cs"/>
          <w:rtl/>
        </w:rPr>
        <w:t>نسبت به دیگری اهمیت داده اند. برای مثال، ممکن است ما به اشتباه تصمیم بگیریم که یک پایان خوب (توسعه آینده) یک ابزار بد (عمل تکاملی) را توجیه می‌کند. ممکن است تصمیم بگیریم که شیوه‌های م</w:t>
      </w:r>
      <w:r w:rsidR="00D2504D" w:rsidRPr="0025250D">
        <w:rPr>
          <w:rFonts w:hint="cs"/>
          <w:rtl/>
        </w:rPr>
        <w:t>ا</w:t>
      </w:r>
      <w:r w:rsidRPr="0025250D">
        <w:rPr>
          <w:rFonts w:hint="cs"/>
          <w:rtl/>
        </w:rPr>
        <w:t xml:space="preserve"> (انتخاب‌های تکاملی) ذاتا خوب هستند و نتایج بدی را که احتمالا ایجاد خواهند کرد نادیده بگیریم. می‌توانیم از اشتباهات ارزشی و ورود به انتخاب‌های بد، با در نظر گرفتن دقیق اخلاق و </w:t>
      </w:r>
      <w:r w:rsidR="00A936B3" w:rsidRPr="0025250D">
        <w:rPr>
          <w:rFonts w:hint="cs"/>
          <w:rtl/>
        </w:rPr>
        <w:t>همدلی</w:t>
      </w:r>
      <w:r w:rsidRPr="0025250D">
        <w:rPr>
          <w:rFonts w:hint="cs"/>
          <w:rtl/>
        </w:rPr>
        <w:t xml:space="preserve"> شبکه‌ای اجتناب کنیم. آن‌ها همواره در مرکز </w:t>
      </w:r>
      <w:r w:rsidR="00B124DE" w:rsidRPr="0025250D">
        <w:rPr>
          <w:rFonts w:hint="cs"/>
          <w:rtl/>
        </w:rPr>
        <w:t>انطباق‌پذیر</w:t>
      </w:r>
      <w:r w:rsidRPr="0025250D">
        <w:rPr>
          <w:rFonts w:hint="cs"/>
          <w:rtl/>
        </w:rPr>
        <w:t>ی در گروه‌های انسانی قرار دارند.</w:t>
      </w:r>
    </w:p>
    <w:p w14:paraId="21354545" w14:textId="42A72227" w:rsidR="00537CC8" w:rsidRPr="0025250D" w:rsidRDefault="00537CC8" w:rsidP="00537CC8">
      <w:pPr>
        <w:rPr>
          <w:rtl/>
        </w:rPr>
      </w:pPr>
      <w:r w:rsidRPr="0025250D">
        <w:rPr>
          <w:rFonts w:hint="cs"/>
          <w:rtl/>
        </w:rPr>
        <w:t xml:space="preserve">کتاب‌های خوب متعددی درمورد مدیریت و رهبری وجود دارند. یک کتاب کلاسیک مورد علاقه ما </w:t>
      </w:r>
      <w:r w:rsidR="00E402E3" w:rsidRPr="0025250D">
        <w:rPr>
          <w:rtl/>
        </w:rPr>
        <w:t>«</w:t>
      </w:r>
      <w:r w:rsidRPr="0025250D">
        <w:rPr>
          <w:rFonts w:hint="cs"/>
          <w:rtl/>
        </w:rPr>
        <w:t>رقابت برای آینده</w:t>
      </w:r>
      <w:r w:rsidRPr="0025250D">
        <w:rPr>
          <w:vertAlign w:val="superscript"/>
          <w:rtl/>
        </w:rPr>
        <w:footnoteReference w:id="2019"/>
      </w:r>
      <w:r w:rsidR="00E402E3" w:rsidRPr="0025250D">
        <w:rPr>
          <w:rFonts w:hint="cs"/>
          <w:rtl/>
        </w:rPr>
        <w:t xml:space="preserve">» </w:t>
      </w:r>
      <w:r w:rsidRPr="0025250D">
        <w:rPr>
          <w:rFonts w:hint="cs"/>
          <w:rtl/>
        </w:rPr>
        <w:t xml:space="preserve">اثر </w:t>
      </w:r>
      <w:r w:rsidRPr="0025250D">
        <w:rPr>
          <w:rtl/>
        </w:rPr>
        <w:t>همل</w:t>
      </w:r>
      <w:r w:rsidRPr="0025250D">
        <w:rPr>
          <w:vertAlign w:val="superscript"/>
          <w:rtl/>
        </w:rPr>
        <w:footnoteReference w:id="2020"/>
      </w:r>
      <w:r w:rsidRPr="0025250D">
        <w:rPr>
          <w:rFonts w:hint="cs"/>
          <w:rtl/>
        </w:rPr>
        <w:t xml:space="preserve"> و </w:t>
      </w:r>
      <w:r w:rsidRPr="0025250D">
        <w:rPr>
          <w:rtl/>
        </w:rPr>
        <w:t>پرال</w:t>
      </w:r>
      <w:r w:rsidRPr="0025250D">
        <w:rPr>
          <w:rFonts w:hint="cs"/>
          <w:rtl/>
        </w:rPr>
        <w:t>ا</w:t>
      </w:r>
      <w:r w:rsidRPr="0025250D">
        <w:rPr>
          <w:rtl/>
        </w:rPr>
        <w:t>ه</w:t>
      </w:r>
      <w:r w:rsidRPr="0025250D">
        <w:rPr>
          <w:rFonts w:hint="cs"/>
          <w:rtl/>
        </w:rPr>
        <w:t>ا</w:t>
      </w:r>
      <w:r w:rsidRPr="0025250D">
        <w:rPr>
          <w:rtl/>
        </w:rPr>
        <w:t>د</w:t>
      </w:r>
      <w:r w:rsidRPr="0025250D">
        <w:rPr>
          <w:vertAlign w:val="superscript"/>
          <w:rtl/>
        </w:rPr>
        <w:footnoteReference w:id="2021"/>
      </w:r>
      <w:r w:rsidRPr="0025250D">
        <w:rPr>
          <w:rFonts w:hint="cs"/>
          <w:rtl/>
        </w:rPr>
        <w:t xml:space="preserve"> در سال 1996 است. این کتاب هم مدیریت و هم رهبری را به‌عنوان رقابتی برای تصور دائمی آینده‌های مرجح و </w:t>
      </w:r>
      <w:r w:rsidR="00B124DE" w:rsidRPr="0025250D">
        <w:rPr>
          <w:rFonts w:hint="cs"/>
          <w:rtl/>
        </w:rPr>
        <w:t>انطباق‌پذیر</w:t>
      </w:r>
      <w:r w:rsidRPr="0025250D">
        <w:rPr>
          <w:rFonts w:hint="cs"/>
          <w:rtl/>
        </w:rPr>
        <w:t>‌تر، هم برای خودمان و هم برای سازمان هایمان به تصویر می‌کشد</w:t>
      </w:r>
      <w:r w:rsidR="008D6F97" w:rsidRPr="0025250D">
        <w:rPr>
          <w:rtl/>
        </w:rPr>
        <w:t xml:space="preserve">؛ </w:t>
      </w:r>
      <w:r w:rsidRPr="0025250D">
        <w:rPr>
          <w:rFonts w:hint="cs"/>
          <w:rtl/>
        </w:rPr>
        <w:t xml:space="preserve">بنابراین، این کتاب یک رویکرد </w:t>
      </w:r>
      <w:r w:rsidRPr="0025250D">
        <w:rPr>
          <w:rtl/>
        </w:rPr>
        <w:t>آینده‌نگاری</w:t>
      </w:r>
      <w:r w:rsidRPr="0025250D">
        <w:rPr>
          <w:rFonts w:hint="cs"/>
          <w:rtl/>
        </w:rPr>
        <w:t xml:space="preserve"> محور مشخص نسبت به رهبری اتخاذ می‌کند و بحث‌های اصولی آن در میان اهداف </w:t>
      </w:r>
      <w:r w:rsidRPr="0025250D">
        <w:t>IES</w:t>
      </w:r>
      <w:r w:rsidRPr="0025250D">
        <w:rPr>
          <w:rFonts w:hint="cs"/>
          <w:rtl/>
        </w:rPr>
        <w:t xml:space="preserve"> به‌خوبی متوازن شده‌اند.</w:t>
      </w:r>
    </w:p>
    <w:p w14:paraId="13AF24D6" w14:textId="1D9681D1" w:rsidR="00537CC8" w:rsidRPr="0025250D" w:rsidRDefault="00537CC8" w:rsidP="00537CC8">
      <w:pPr>
        <w:rPr>
          <w:rtl/>
        </w:rPr>
      </w:pPr>
      <w:r w:rsidRPr="0025250D">
        <w:rPr>
          <w:rFonts w:hint="cs"/>
          <w:rtl/>
        </w:rPr>
        <w:t xml:space="preserve">قصد این کتاب آموزش فلسفه اخلاقی، مدیریت و رهبری نیست. اگرچه، در همه کتاب‌های خود از این فرصت استفاده می‌کنیم تا این نکته را بیان کنیم که ما مشخصاً چه چیزی را بنیادی و مفید درمورد اخلاقی بودن، مدیریت و رهبری در زمانی که از یک دیدگاه </w:t>
      </w:r>
      <w:r w:rsidRPr="0025250D">
        <w:rPr>
          <w:rtl/>
        </w:rPr>
        <w:t xml:space="preserve">تکاملی - توسعه‌ای </w:t>
      </w:r>
      <w:r w:rsidRPr="0025250D">
        <w:rPr>
          <w:rFonts w:hint="cs"/>
          <w:rtl/>
        </w:rPr>
        <w:t xml:space="preserve">به آن نگاه کنیم، در نظر می‌گیریم. این مدل مبتنی بر </w:t>
      </w:r>
      <w:r w:rsidR="00F662B0" w:rsidRPr="0025250D">
        <w:rPr>
          <w:rFonts w:hint="cs"/>
          <w:rtl/>
        </w:rPr>
        <w:t>گمانه‌زنی</w:t>
      </w:r>
      <w:r w:rsidRPr="0025250D">
        <w:rPr>
          <w:rFonts w:hint="cs"/>
          <w:rtl/>
        </w:rPr>
        <w:t xml:space="preserve"> است، </w:t>
      </w:r>
      <w:r w:rsidR="0020589F" w:rsidRPr="0025250D">
        <w:rPr>
          <w:rtl/>
        </w:rPr>
        <w:t>اما</w:t>
      </w:r>
      <w:r w:rsidRPr="0025250D">
        <w:rPr>
          <w:rFonts w:hint="cs"/>
          <w:rtl/>
        </w:rPr>
        <w:t xml:space="preserve"> شروع خوبی به نظر می‌رسد، بنابراین ما آن را برای نقد و در نظر گرفتن پیشنهاد می‌کنیم. امیدواریم که این افکار در مسیر هر کس مفید باشند.</w:t>
      </w:r>
    </w:p>
    <w:p w14:paraId="4124E522" w14:textId="2F5FFF17" w:rsidR="00537CC8" w:rsidRPr="0025250D" w:rsidRDefault="00537CC8" w:rsidP="00537CC8">
      <w:pPr>
        <w:rPr>
          <w:rtl/>
        </w:rPr>
      </w:pPr>
      <w:r w:rsidRPr="0025250D">
        <w:rPr>
          <w:rFonts w:hint="cs"/>
          <w:rtl/>
        </w:rPr>
        <w:t>می توانیم هر چیزی را که تا به حال گفته ایم با بازگشت به شعار خودمان خلاصه کنیم:</w:t>
      </w:r>
    </w:p>
    <w:p w14:paraId="3F771674" w14:textId="77777777" w:rsidR="00537CC8" w:rsidRPr="0025250D" w:rsidRDefault="00537CC8" w:rsidP="00537CC8">
      <w:pPr>
        <w:rPr>
          <w:rtl/>
        </w:rPr>
      </w:pPr>
      <w:r w:rsidRPr="0025250D">
        <w:rPr>
          <w:rFonts w:hint="cs"/>
          <w:rtl/>
        </w:rPr>
        <w:t>اول مردم!</w:t>
      </w:r>
    </w:p>
    <w:p w14:paraId="56A53675" w14:textId="71A0B85E" w:rsidR="00537CC8" w:rsidRPr="0025250D" w:rsidRDefault="00537CC8" w:rsidP="00537CC8">
      <w:pPr>
        <w:rPr>
          <w:rtl/>
        </w:rPr>
      </w:pPr>
      <w:r w:rsidRPr="0025250D">
        <w:rPr>
          <w:rFonts w:hint="cs"/>
          <w:rtl/>
        </w:rPr>
        <w:t xml:space="preserve">کیفیت </w:t>
      </w:r>
      <w:r w:rsidR="00B56611" w:rsidRPr="0025250D">
        <w:rPr>
          <w:rFonts w:hint="cs"/>
          <w:rtl/>
        </w:rPr>
        <w:t>چشم‌انداز</w:t>
      </w:r>
      <w:r w:rsidRPr="0025250D">
        <w:rPr>
          <w:rFonts w:hint="cs"/>
          <w:rtl/>
        </w:rPr>
        <w:t>!</w:t>
      </w:r>
    </w:p>
    <w:p w14:paraId="1B2709F0" w14:textId="62ED56A4" w:rsidR="00537CC8" w:rsidRPr="0025250D" w:rsidRDefault="00923DDB" w:rsidP="00537CC8">
      <w:pPr>
        <w:rPr>
          <w:rtl/>
        </w:rPr>
      </w:pPr>
      <w:r w:rsidRPr="0025250D">
        <w:rPr>
          <w:rtl/>
        </w:rPr>
        <w:t>آینده‌نگاری انطباقی</w:t>
      </w:r>
      <w:r w:rsidR="00537CC8" w:rsidRPr="0025250D">
        <w:rPr>
          <w:rFonts w:hint="cs"/>
          <w:rtl/>
        </w:rPr>
        <w:t xml:space="preserve"> اهمیت دارد!</w:t>
      </w:r>
    </w:p>
    <w:p w14:paraId="43B4F116" w14:textId="77777777" w:rsidR="00537CC8" w:rsidRPr="0025250D" w:rsidRDefault="00537CC8" w:rsidP="00537CC8">
      <w:pPr>
        <w:rPr>
          <w:bCs/>
          <w:rtl/>
        </w:rPr>
      </w:pPr>
    </w:p>
    <w:p w14:paraId="0F91BBFA" w14:textId="77777777" w:rsidR="00537CC8" w:rsidRPr="0025250D" w:rsidRDefault="00537CC8" w:rsidP="00537CC8">
      <w:pPr>
        <w:rPr>
          <w:bCs/>
          <w:rtl/>
        </w:rPr>
      </w:pPr>
    </w:p>
    <w:p w14:paraId="64E51745" w14:textId="77777777" w:rsidR="00537CC8" w:rsidRPr="0025250D" w:rsidRDefault="00537CC8" w:rsidP="00537CC8">
      <w:pPr>
        <w:rPr>
          <w:bCs/>
          <w:rtl/>
        </w:rPr>
      </w:pPr>
    </w:p>
    <w:p w14:paraId="43BAADC6" w14:textId="77777777" w:rsidR="00537CC8" w:rsidRPr="0025250D" w:rsidRDefault="00537CC8" w:rsidP="00D53F87">
      <w:pPr>
        <w:pStyle w:val="Heading1"/>
        <w:rPr>
          <w:rtl/>
        </w:rPr>
      </w:pPr>
      <w:bookmarkStart w:id="61" w:name="_Toc127831326"/>
      <w:r w:rsidRPr="0025250D">
        <w:rPr>
          <w:rFonts w:hint="cs"/>
          <w:rtl/>
        </w:rPr>
        <w:t xml:space="preserve">فصل 4: </w:t>
      </w:r>
      <w:r w:rsidRPr="0025250D">
        <w:rPr>
          <w:rtl/>
        </w:rPr>
        <w:t>آینده‌نگاری</w:t>
      </w:r>
      <w:r w:rsidRPr="0025250D">
        <w:rPr>
          <w:rFonts w:hint="cs"/>
          <w:rtl/>
        </w:rPr>
        <w:t xml:space="preserve"> سازمانی 2 </w:t>
      </w:r>
      <w:r w:rsidRPr="0025250D">
        <w:rPr>
          <w:rFonts w:ascii="Times New Roman" w:hAnsi="Times New Roman" w:cs="Times New Roman" w:hint="cs"/>
          <w:rtl/>
        </w:rPr>
        <w:t>–</w:t>
      </w:r>
      <w:r w:rsidRPr="0025250D">
        <w:rPr>
          <w:rFonts w:hint="cs"/>
          <w:rtl/>
        </w:rPr>
        <w:t xml:space="preserve"> هشت مهارت</w:t>
      </w:r>
      <w:bookmarkEnd w:id="61"/>
    </w:p>
    <w:p w14:paraId="6BA95A7F" w14:textId="77777777" w:rsidR="00537CC8" w:rsidRPr="0025250D" w:rsidRDefault="00537CC8" w:rsidP="00537CC8">
      <w:pPr>
        <w:rPr>
          <w:rtl/>
        </w:rPr>
      </w:pPr>
    </w:p>
    <w:p w14:paraId="5B01A49C" w14:textId="5E50CC11" w:rsidR="00537CC8" w:rsidRPr="0025250D" w:rsidRDefault="00537CC8" w:rsidP="00537CC8">
      <w:pPr>
        <w:rPr>
          <w:rtl/>
        </w:rPr>
      </w:pPr>
      <w:r w:rsidRPr="0025250D">
        <w:rPr>
          <w:rFonts w:hint="cs"/>
          <w:rtl/>
        </w:rPr>
        <w:t xml:space="preserve">نسخه دانش جوی </w:t>
      </w:r>
      <w:r w:rsidRPr="0025250D">
        <w:t>ITF</w:t>
      </w:r>
      <w:r w:rsidRPr="0025250D">
        <w:rPr>
          <w:rFonts w:hint="cs"/>
          <w:rtl/>
        </w:rPr>
        <w:t xml:space="preserve"> 12 واحد کلاسیک شرکت‌ها را معرفی می‌کند: مدیریت ارشد، سنجه‌ها و </w:t>
      </w:r>
      <w:r w:rsidR="00B124DE" w:rsidRPr="0025250D">
        <w:rPr>
          <w:rFonts w:hint="cs"/>
          <w:rtl/>
        </w:rPr>
        <w:t>برنامه‌ریزی</w:t>
      </w:r>
      <w:r w:rsidRPr="0025250D">
        <w:rPr>
          <w:rFonts w:hint="cs"/>
          <w:rtl/>
        </w:rPr>
        <w:t xml:space="preserve">، امنیت و مدیریت ریسک، تحقیق و توسعه، عملیات، منابع انسانی، منبع یابی، فناوری اطلاعات، فروش و توسعه </w:t>
      </w:r>
      <w:r w:rsidR="00B124DE" w:rsidRPr="0025250D">
        <w:rPr>
          <w:rFonts w:hint="cs"/>
          <w:rtl/>
        </w:rPr>
        <w:t>کسب‌و‌کار</w:t>
      </w:r>
      <w:r w:rsidRPr="0025250D">
        <w:rPr>
          <w:rFonts w:hint="cs"/>
          <w:rtl/>
        </w:rPr>
        <w:t xml:space="preserve">، بازاریابی و تحقیقات بازار، خدمات مشتری و روابط اجتماعی. دانستن چگونگی کارکرد معمول واحد‌های سازمانی همان چیزی است که ما سطح پایه از </w:t>
      </w:r>
      <w:r w:rsidRPr="0025250D">
        <w:rPr>
          <w:rtl/>
        </w:rPr>
        <w:t>آینده‌نگاری</w:t>
      </w:r>
      <w:r w:rsidRPr="0025250D">
        <w:rPr>
          <w:rFonts w:hint="cs"/>
          <w:rtl/>
        </w:rPr>
        <w:t xml:space="preserve"> سازمانی می‌نامیم. مدیران اجرایی می‌توانند فصل 5: </w:t>
      </w:r>
      <w:r w:rsidRPr="0025250D">
        <w:rPr>
          <w:rtl/>
        </w:rPr>
        <w:t>آینده‌نگاری</w:t>
      </w:r>
      <w:r w:rsidRPr="0025250D">
        <w:rPr>
          <w:rFonts w:hint="cs"/>
          <w:rtl/>
        </w:rPr>
        <w:t xml:space="preserve"> سازمانی 1 را در آن کتاب در صورت علاقه به یک یادآوری در مورد واحد‌ها مطالعه کنند. اِعمال حلقه انجام برای تیم‌ها، از طریق هشت مهارت، در هر واحد، موضوع این فصل است. ما این امر را یک سطح متوسط از </w:t>
      </w:r>
      <w:r w:rsidRPr="0025250D">
        <w:rPr>
          <w:rtl/>
        </w:rPr>
        <w:t>آینده‌نگاری</w:t>
      </w:r>
      <w:r w:rsidRPr="0025250D">
        <w:rPr>
          <w:rFonts w:hint="cs"/>
          <w:rtl/>
        </w:rPr>
        <w:t xml:space="preserve"> سازمانی می‌خوانیم.</w:t>
      </w:r>
    </w:p>
    <w:p w14:paraId="6914D2DB" w14:textId="77777777" w:rsidR="00537CC8" w:rsidRPr="0025250D" w:rsidRDefault="00537CC8" w:rsidP="00537CC8">
      <w:pPr>
        <w:rPr>
          <w:rtl/>
        </w:rPr>
      </w:pPr>
    </w:p>
    <w:p w14:paraId="5EEA01C2" w14:textId="77777777" w:rsidR="00537CC8" w:rsidRPr="0025250D" w:rsidRDefault="00537CC8" w:rsidP="00537CC8">
      <w:pPr>
        <w:rPr>
          <w:rtl/>
        </w:rPr>
      </w:pPr>
    </w:p>
    <w:p w14:paraId="52526663" w14:textId="77777777" w:rsidR="00537CC8" w:rsidRPr="0025250D" w:rsidRDefault="00537CC8" w:rsidP="00537CC8">
      <w:pPr>
        <w:rPr>
          <w:rtl/>
        </w:rPr>
      </w:pPr>
    </w:p>
    <w:p w14:paraId="3E2EC7EB" w14:textId="77777777" w:rsidR="00537CC8" w:rsidRPr="0025250D" w:rsidRDefault="00537CC8" w:rsidP="00537CC8">
      <w:pPr>
        <w:rPr>
          <w:rtl/>
        </w:rPr>
      </w:pPr>
    </w:p>
    <w:p w14:paraId="23B8680D" w14:textId="77777777" w:rsidR="00537CC8" w:rsidRPr="0025250D" w:rsidRDefault="00537CC8" w:rsidP="00537CC8">
      <w:pPr>
        <w:rPr>
          <w:rtl/>
        </w:rPr>
      </w:pPr>
    </w:p>
    <w:p w14:paraId="747C80DA" w14:textId="77777777" w:rsidR="00537CC8" w:rsidRPr="0025250D" w:rsidRDefault="00537CC8" w:rsidP="00537CC8">
      <w:pPr>
        <w:rPr>
          <w:rtl/>
        </w:rPr>
      </w:pPr>
    </w:p>
    <w:p w14:paraId="67682BFF" w14:textId="77777777" w:rsidR="00537CC8" w:rsidRPr="0025250D" w:rsidRDefault="00537CC8" w:rsidP="00537CC8">
      <w:pPr>
        <w:rPr>
          <w:rtl/>
        </w:rPr>
      </w:pPr>
    </w:p>
    <w:p w14:paraId="226CB8C5" w14:textId="16F8DFAE" w:rsidR="00537CC8" w:rsidRPr="0025250D" w:rsidRDefault="00537CC8" w:rsidP="00D53F87">
      <w:pPr>
        <w:pStyle w:val="Heading2"/>
        <w:rPr>
          <w:rtl/>
        </w:rPr>
      </w:pPr>
      <w:bookmarkStart w:id="62" w:name="_Toc127831327"/>
      <w:r w:rsidRPr="0025250D">
        <w:t>LAISEIRR</w:t>
      </w:r>
      <w:r w:rsidRPr="0025250D">
        <w:rPr>
          <w:rFonts w:hint="cs"/>
          <w:rtl/>
        </w:rPr>
        <w:t xml:space="preserve">: هشت مهارت </w:t>
      </w:r>
      <w:r w:rsidR="00923DDB" w:rsidRPr="0025250D">
        <w:rPr>
          <w:rtl/>
        </w:rPr>
        <w:t>آینده‌نگاری انطباقی</w:t>
      </w:r>
      <w:bookmarkEnd w:id="62"/>
    </w:p>
    <w:p w14:paraId="3FF91CF5" w14:textId="77777777" w:rsidR="00537CC8" w:rsidRPr="0025250D" w:rsidRDefault="00537CC8" w:rsidP="00537CC8">
      <w:pPr>
        <w:rPr>
          <w:rtl/>
        </w:rPr>
      </w:pPr>
      <w:r w:rsidRPr="0025250D">
        <w:rPr>
          <w:rFonts w:hint="cs"/>
          <w:rtl/>
        </w:rPr>
        <w:t xml:space="preserve">در مرور خود بر ادبیات مدیریتی، وقتی تیم‌ها و سازمان‌های اثر بخش را در نظر می‌گیریم، می‌توانیم هشت مهارت کلیدی </w:t>
      </w:r>
      <w:r w:rsidRPr="0025250D">
        <w:rPr>
          <w:rtl/>
        </w:rPr>
        <w:t>آینده‌نگاری</w:t>
      </w:r>
      <w:r w:rsidRPr="0025250D">
        <w:rPr>
          <w:rFonts w:hint="cs"/>
          <w:rtl/>
        </w:rPr>
        <w:t xml:space="preserve"> و عمل را در نظر بگیریم. این‌ها مهارت‌های کاری هستند و تیم‌ها و سازمان‌ها را مشخصاً در فعالیت‌های </w:t>
      </w:r>
      <w:r w:rsidRPr="0025250D">
        <w:rPr>
          <w:rtl/>
        </w:rPr>
        <w:t>آینده‌نگاری</w:t>
      </w:r>
      <w:r w:rsidRPr="0025250D">
        <w:rPr>
          <w:rFonts w:hint="cs"/>
          <w:rtl/>
        </w:rPr>
        <w:t xml:space="preserve"> کوتاه مدت و میان مدت، جایی که هر کس می‌تواند اغلب کم‌تر در مورد اهداف و ارزش‌ها تفکر کند و به جای آن موفقیت را با نتایج یا به طور مشخص‌تر، با اثربخشی در مقابل برنامه‌ها اندازه‌گیری کند. به یاد داشته باشید که هشت مهارت شامل این موارد هستند:</w:t>
      </w:r>
    </w:p>
    <w:p w14:paraId="52D8B01B" w14:textId="77777777" w:rsidR="00537CC8" w:rsidRPr="0025250D" w:rsidRDefault="00537CC8" w:rsidP="00D53F87">
      <w:pPr>
        <w:jc w:val="center"/>
        <w:rPr>
          <w:rtl/>
        </w:rPr>
      </w:pPr>
      <w:r w:rsidRPr="0025250D">
        <w:rPr>
          <w:noProof/>
          <w:lang w:bidi="ar-SA"/>
        </w:rPr>
        <w:drawing>
          <wp:inline distT="0" distB="0" distL="0" distR="0" wp14:anchorId="45B77600" wp14:editId="6EAE1092">
            <wp:extent cx="3076575" cy="3072883"/>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3" cstate="screen">
                      <a:extLst>
                        <a:ext uri="{BEBA8EAE-BF5A-486C-A8C5-ECC9F3942E4B}">
                          <a14:imgProps xmlns:a14="http://schemas.microsoft.com/office/drawing/2010/main">
                            <a14:imgLayer r:embed="rId174">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3081358" cy="3077660"/>
                    </a:xfrm>
                    <a:prstGeom prst="rect">
                      <a:avLst/>
                    </a:prstGeom>
                    <a:noFill/>
                  </pic:spPr>
                </pic:pic>
              </a:graphicData>
            </a:graphic>
          </wp:inline>
        </w:drawing>
      </w:r>
    </w:p>
    <w:p w14:paraId="5DE8D220" w14:textId="0F2A78C6" w:rsidR="00537CC8" w:rsidRPr="0025250D" w:rsidRDefault="00537CC8" w:rsidP="00537CC8">
      <w:pPr>
        <w:rPr>
          <w:rtl/>
        </w:rPr>
      </w:pPr>
      <w:r w:rsidRPr="0025250D">
        <w:rPr>
          <w:rFonts w:hint="cs"/>
          <w:rtl/>
        </w:rPr>
        <w:t xml:space="preserve">مهارت‌های </w:t>
      </w:r>
      <w:r w:rsidRPr="0025250D">
        <w:rPr>
          <w:rtl/>
        </w:rPr>
        <w:t>آینده‌نگاری</w:t>
      </w:r>
      <w:r w:rsidRPr="0025250D">
        <w:rPr>
          <w:rFonts w:hint="cs"/>
          <w:rtl/>
        </w:rPr>
        <w:t xml:space="preserve">: 1. یادگیری (تفکر </w:t>
      </w:r>
      <w:r w:rsidR="00127288" w:rsidRPr="0025250D">
        <w:rPr>
          <w:rFonts w:hint="cs"/>
          <w:rtl/>
        </w:rPr>
        <w:t>جستجوگر</w:t>
      </w:r>
      <w:r w:rsidRPr="0025250D">
        <w:rPr>
          <w:rFonts w:hint="cs"/>
          <w:rtl/>
        </w:rPr>
        <w:t xml:space="preserve">) 2. </w:t>
      </w:r>
      <w:r w:rsidR="00923DDB" w:rsidRPr="0025250D">
        <w:rPr>
          <w:rFonts w:hint="cs"/>
          <w:rtl/>
        </w:rPr>
        <w:t>پیش‌انگاری</w:t>
      </w:r>
      <w:r w:rsidRPr="0025250D">
        <w:rPr>
          <w:rFonts w:hint="cs"/>
          <w:rtl/>
        </w:rPr>
        <w:t xml:space="preserve"> (</w:t>
      </w:r>
      <w:r w:rsidRPr="0025250D">
        <w:rPr>
          <w:rtl/>
        </w:rPr>
        <w:t>آینده‌نگاری</w:t>
      </w:r>
      <w:r w:rsidRPr="0025250D">
        <w:rPr>
          <w:rFonts w:hint="cs"/>
          <w:rtl/>
        </w:rPr>
        <w:t xml:space="preserve"> موارد محتمل) 3. نوآوری (</w:t>
      </w:r>
      <w:r w:rsidRPr="0025250D">
        <w:rPr>
          <w:rtl/>
        </w:rPr>
        <w:t>آینده‌نگاری</w:t>
      </w:r>
      <w:r w:rsidRPr="0025250D">
        <w:rPr>
          <w:rFonts w:hint="cs"/>
          <w:rtl/>
        </w:rPr>
        <w:t xml:space="preserve"> موارد ممکن) 4. </w:t>
      </w:r>
      <w:r w:rsidR="00701E03" w:rsidRPr="0025250D">
        <w:rPr>
          <w:rFonts w:hint="cs"/>
          <w:rtl/>
        </w:rPr>
        <w:t>راهبرد</w:t>
      </w:r>
      <w:r w:rsidRPr="0025250D">
        <w:rPr>
          <w:rFonts w:hint="cs"/>
          <w:rtl/>
        </w:rPr>
        <w:t xml:space="preserve"> (</w:t>
      </w:r>
      <w:r w:rsidRPr="0025250D">
        <w:rPr>
          <w:rtl/>
        </w:rPr>
        <w:t>آینده‌نگاری</w:t>
      </w:r>
      <w:r w:rsidRPr="0025250D">
        <w:rPr>
          <w:rFonts w:hint="cs"/>
          <w:rtl/>
        </w:rPr>
        <w:t xml:space="preserve"> موارد مرجح مرجح و قابل اجتناب)</w:t>
      </w:r>
    </w:p>
    <w:p w14:paraId="47D1F90E" w14:textId="228A2924" w:rsidR="00537CC8" w:rsidRPr="0025250D" w:rsidRDefault="00537CC8" w:rsidP="00537CC8">
      <w:pPr>
        <w:rPr>
          <w:rtl/>
        </w:rPr>
      </w:pPr>
      <w:r w:rsidRPr="0025250D">
        <w:rPr>
          <w:rFonts w:hint="cs"/>
          <w:rtl/>
        </w:rPr>
        <w:t xml:space="preserve">مهارت‌های عملی: 1. اجرا (تفکر تولیدی) 2. تأثیرگذاری (تفکر بازار) 3. </w:t>
      </w:r>
      <w:r w:rsidR="0008779C" w:rsidRPr="0025250D">
        <w:rPr>
          <w:rFonts w:hint="cs"/>
          <w:rtl/>
        </w:rPr>
        <w:t>ارتباط‌دهی</w:t>
      </w:r>
      <w:r w:rsidRPr="0025250D">
        <w:rPr>
          <w:rFonts w:hint="cs"/>
          <w:rtl/>
        </w:rPr>
        <w:t xml:space="preserve"> (تفکر تیمی) 4. بازبینی (تفکر تعدیلی)</w:t>
      </w:r>
    </w:p>
    <w:p w14:paraId="5D4C6959" w14:textId="5D5DE885" w:rsidR="00537CC8" w:rsidRPr="0025250D" w:rsidRDefault="00537CC8" w:rsidP="00537CC8">
      <w:pPr>
        <w:rPr>
          <w:rtl/>
        </w:rPr>
      </w:pPr>
      <w:r w:rsidRPr="0025250D">
        <w:rPr>
          <w:rFonts w:hint="cs"/>
          <w:rtl/>
        </w:rPr>
        <w:t xml:space="preserve">ما گفته ایم که می‌توانیم هشت مهارت را به صورت کلمه </w:t>
      </w:r>
      <w:r w:rsidRPr="0025250D">
        <w:t>LAISEIRR</w:t>
      </w:r>
      <w:r w:rsidRPr="0025250D">
        <w:rPr>
          <w:rFonts w:hint="cs"/>
          <w:rtl/>
        </w:rPr>
        <w:t xml:space="preserve"> </w:t>
      </w:r>
      <w:r w:rsidRPr="0025250D">
        <w:rPr>
          <w:rFonts w:cs="Times New Roman" w:hint="cs"/>
          <w:rtl/>
        </w:rPr>
        <w:t>–</w:t>
      </w:r>
      <w:r w:rsidRPr="0025250D">
        <w:rPr>
          <w:rFonts w:hint="cs"/>
          <w:rtl/>
        </w:rPr>
        <w:t xml:space="preserve"> یک کلمه اختصاری که به </w:t>
      </w:r>
      <w:r w:rsidR="00E402E3" w:rsidRPr="0025250D">
        <w:rPr>
          <w:rtl/>
        </w:rPr>
        <w:t>شکل «</w:t>
      </w:r>
      <w:r w:rsidRPr="0025250D">
        <w:rPr>
          <w:rFonts w:hint="cs"/>
          <w:rtl/>
        </w:rPr>
        <w:t>لیزر</w:t>
      </w:r>
      <w:r w:rsidR="00E402E3" w:rsidRPr="0025250D">
        <w:rPr>
          <w:rtl/>
        </w:rPr>
        <w:t>»</w:t>
      </w:r>
      <w:r w:rsidRPr="0025250D">
        <w:rPr>
          <w:rFonts w:hint="cs"/>
          <w:rtl/>
        </w:rPr>
        <w:t xml:space="preserve"> تلفظ میشود </w:t>
      </w:r>
      <w:r w:rsidRPr="0025250D">
        <w:rPr>
          <w:rFonts w:cs="Times New Roman" w:hint="cs"/>
          <w:rtl/>
        </w:rPr>
        <w:t>–</w:t>
      </w:r>
      <w:r w:rsidRPr="0025250D">
        <w:rPr>
          <w:rFonts w:hint="cs"/>
          <w:rtl/>
        </w:rPr>
        <w:t xml:space="preserve"> با عبارت </w:t>
      </w:r>
      <w:r w:rsidR="00E402E3" w:rsidRPr="0025250D">
        <w:rPr>
          <w:rtl/>
        </w:rPr>
        <w:t>«</w:t>
      </w:r>
      <w:r w:rsidRPr="0025250D">
        <w:rPr>
          <w:rFonts w:hint="cs"/>
          <w:rtl/>
        </w:rPr>
        <w:t xml:space="preserve">یک تمرکز </w:t>
      </w:r>
      <w:r w:rsidRPr="0025250D">
        <w:t>LAISEIRR</w:t>
      </w:r>
      <w:r w:rsidRPr="0025250D">
        <w:rPr>
          <w:rFonts w:hint="cs"/>
          <w:rtl/>
        </w:rPr>
        <w:t xml:space="preserve"> اغلب موجب موفقیت می‌شود</w:t>
      </w:r>
      <w:r w:rsidR="00E402E3" w:rsidRPr="0025250D">
        <w:rPr>
          <w:rtl/>
        </w:rPr>
        <w:t>»</w:t>
      </w:r>
      <w:r w:rsidRPr="0025250D">
        <w:rPr>
          <w:rFonts w:hint="cs"/>
          <w:rtl/>
        </w:rPr>
        <w:t xml:space="preserve"> به یاد آوریم. این عبارت یادآور، در صورتی که این مهارت‌های تیمی و سازمانی اهمیت داشته باشند، مفید </w:t>
      </w:r>
      <w:r w:rsidR="00EB4428" w:rsidRPr="0025250D">
        <w:rPr>
          <w:rFonts w:hint="cs"/>
          <w:rtl/>
        </w:rPr>
        <w:t>خواهد بود</w:t>
      </w:r>
      <w:r w:rsidRPr="0025250D">
        <w:rPr>
          <w:rFonts w:hint="cs"/>
          <w:rtl/>
        </w:rPr>
        <w:t>.</w:t>
      </w:r>
    </w:p>
    <w:p w14:paraId="57725E50" w14:textId="04C575A1" w:rsidR="00537CC8" w:rsidRPr="0025250D" w:rsidRDefault="00537CC8" w:rsidP="00537CC8">
      <w:pPr>
        <w:rPr>
          <w:rtl/>
        </w:rPr>
      </w:pPr>
      <w:r w:rsidRPr="0025250D">
        <w:rPr>
          <w:rFonts w:hint="cs"/>
          <w:rtl/>
        </w:rPr>
        <w:t xml:space="preserve">این هشت مهارت مدل </w:t>
      </w:r>
      <w:r w:rsidR="00B453C0" w:rsidRPr="0025250D">
        <w:rPr>
          <w:rFonts w:hint="cs"/>
          <w:rtl/>
        </w:rPr>
        <w:t>امکان‌پذیر</w:t>
      </w:r>
      <w:r w:rsidRPr="0025250D">
        <w:rPr>
          <w:rFonts w:hint="cs"/>
          <w:rtl/>
        </w:rPr>
        <w:t xml:space="preserve"> حداقلی ما برای </w:t>
      </w:r>
      <w:r w:rsidRPr="0025250D">
        <w:rPr>
          <w:rtl/>
        </w:rPr>
        <w:t>آینده‌نگاری</w:t>
      </w:r>
      <w:r w:rsidRPr="0025250D">
        <w:rPr>
          <w:rFonts w:hint="cs"/>
          <w:rtl/>
        </w:rPr>
        <w:t xml:space="preserve"> و رهبری محل کار هستند. از نظر ما، در بر گرفتن دسته‌های مهارتی کم تعداد‌تر برخی ویژگی‌های کلیدی فرایند </w:t>
      </w:r>
      <w:r w:rsidRPr="0025250D">
        <w:rPr>
          <w:rtl/>
        </w:rPr>
        <w:t>آینده‌نگاری</w:t>
      </w:r>
      <w:r w:rsidRPr="0025250D">
        <w:rPr>
          <w:rFonts w:hint="cs"/>
          <w:rtl/>
        </w:rPr>
        <w:t xml:space="preserve"> سازمانی را در بر نخواهد گرفت، در حالی که داشتن دسته‌هایی بیش از هشت مورد مدل ما را به شکل غیر ضروری پیچیده می‌سازد. توجه داشته باشید که با کمی عدم دقت، می‌توانیم چهار مورد اول را مهارت‌های </w:t>
      </w:r>
      <w:r w:rsidRPr="0025250D">
        <w:rPr>
          <w:rtl/>
        </w:rPr>
        <w:t>آینده‌نگاری</w:t>
      </w:r>
      <w:r w:rsidRPr="0025250D">
        <w:rPr>
          <w:rFonts w:hint="cs"/>
          <w:rtl/>
        </w:rPr>
        <w:t xml:space="preserve"> (مهارت‌های کلیدی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و چهار مور دوم را مهارت‌های عملی بنامیم.</w:t>
      </w:r>
    </w:p>
    <w:p w14:paraId="5998FAE1" w14:textId="77777777" w:rsidR="00537CC8" w:rsidRPr="0025250D" w:rsidRDefault="00537CC8" w:rsidP="00537CC8">
      <w:pPr>
        <w:rPr>
          <w:rtl/>
        </w:rPr>
      </w:pPr>
      <w:r w:rsidRPr="0025250D">
        <w:rPr>
          <w:rFonts w:hint="cs"/>
          <w:rtl/>
        </w:rPr>
        <w:t xml:space="preserve">ما گفتیم که هشت مهارت </w:t>
      </w:r>
      <w:r w:rsidRPr="0025250D">
        <w:rPr>
          <w:rtl/>
        </w:rPr>
        <w:t>از نظر منشأ</w:t>
      </w:r>
      <w:r w:rsidRPr="0025250D">
        <w:rPr>
          <w:rFonts w:hint="cs"/>
          <w:rtl/>
        </w:rPr>
        <w:t>،</w:t>
      </w:r>
      <w:r w:rsidRPr="0025250D">
        <w:rPr>
          <w:rtl/>
        </w:rPr>
        <w:t xml:space="preserve"> </w:t>
      </w:r>
      <w:r w:rsidRPr="0025250D">
        <w:rPr>
          <w:rFonts w:hint="cs"/>
          <w:rtl/>
        </w:rPr>
        <w:t>در اصل ترکیبی از این مدل‌ها می‌باشند:</w:t>
      </w:r>
    </w:p>
    <w:p w14:paraId="5CDD5F15" w14:textId="37F79450" w:rsidR="00537CC8" w:rsidRPr="0025250D" w:rsidRDefault="00537CC8" w:rsidP="00492C47">
      <w:pPr>
        <w:numPr>
          <w:ilvl w:val="0"/>
          <w:numId w:val="42"/>
        </w:numPr>
      </w:pPr>
      <w:r w:rsidRPr="0025250D">
        <w:rPr>
          <w:rFonts w:hint="cs"/>
          <w:rtl/>
        </w:rPr>
        <w:t>حلقه یادگیری-</w:t>
      </w:r>
      <w:r w:rsidR="000F16F1" w:rsidRPr="0025250D">
        <w:rPr>
          <w:rFonts w:hint="cs"/>
          <w:rtl/>
        </w:rPr>
        <w:t>فراپایی</w:t>
      </w:r>
      <w:r w:rsidRPr="0025250D">
        <w:rPr>
          <w:rFonts w:hint="cs"/>
          <w:rtl/>
        </w:rPr>
        <w:t>-عمل-بازبینی (</w:t>
      </w:r>
      <w:r w:rsidRPr="0025250D">
        <w:t>LFAR</w:t>
      </w:r>
      <w:r w:rsidRPr="0025250D">
        <w:rPr>
          <w:rFonts w:hint="cs"/>
          <w:rtl/>
        </w:rPr>
        <w:t>) از علم شناخت،</w:t>
      </w:r>
    </w:p>
    <w:p w14:paraId="33957E33" w14:textId="15B30A47" w:rsidR="00537CC8" w:rsidRPr="0025250D" w:rsidRDefault="00537CC8" w:rsidP="00492C47">
      <w:pPr>
        <w:numPr>
          <w:ilvl w:val="0"/>
          <w:numId w:val="42"/>
        </w:numPr>
      </w:pPr>
      <w:r w:rsidRPr="0025250D">
        <w:rPr>
          <w:rFonts w:hint="cs"/>
          <w:rtl/>
        </w:rPr>
        <w:t xml:space="preserve">تنوع خوبی از مدل‌های حلقه انجام، از مدیریت </w:t>
      </w:r>
      <w:r w:rsidR="00701E03" w:rsidRPr="0025250D">
        <w:rPr>
          <w:rFonts w:hint="cs"/>
          <w:rtl/>
        </w:rPr>
        <w:t>راهبردی</w:t>
      </w:r>
    </w:p>
    <w:p w14:paraId="09172EA4" w14:textId="30018C97" w:rsidR="00537CC8" w:rsidRPr="0025250D" w:rsidRDefault="00537CC8" w:rsidP="00492C47">
      <w:pPr>
        <w:numPr>
          <w:ilvl w:val="0"/>
          <w:numId w:val="42"/>
        </w:numPr>
      </w:pPr>
      <w:r w:rsidRPr="0025250D">
        <w:rPr>
          <w:rFonts w:hint="cs"/>
          <w:rtl/>
        </w:rPr>
        <w:t xml:space="preserve">هرم </w:t>
      </w:r>
      <w:r w:rsidRPr="0025250D">
        <w:rPr>
          <w:rtl/>
        </w:rPr>
        <w:t>آینده‌نگاری</w:t>
      </w:r>
      <w:r w:rsidRPr="0025250D">
        <w:rPr>
          <w:rFonts w:hint="cs"/>
          <w:rtl/>
        </w:rPr>
        <w:t xml:space="preserve"> کلاسیک </w:t>
      </w:r>
      <w:r w:rsidRPr="0025250D">
        <w:rPr>
          <w:rtl/>
        </w:rPr>
        <w:t>تافلر-آمارا</w:t>
      </w:r>
      <w:r w:rsidRPr="0025250D">
        <w:rPr>
          <w:vertAlign w:val="superscript"/>
          <w:rtl/>
        </w:rPr>
        <w:footnoteReference w:id="2022"/>
      </w:r>
      <w:r w:rsidRPr="0025250D">
        <w:rPr>
          <w:rFonts w:hint="cs"/>
          <w:rtl/>
        </w:rPr>
        <w:t xml:space="preserve"> (سه مهارت </w:t>
      </w:r>
      <w:r w:rsidRPr="0025250D">
        <w:rPr>
          <w:rtl/>
        </w:rPr>
        <w:t>آینده‌نگاری</w:t>
      </w:r>
      <w:r w:rsidRPr="0025250D">
        <w:rPr>
          <w:rFonts w:hint="cs"/>
          <w:rtl/>
        </w:rPr>
        <w:t xml:space="preserve"> حلقه انجام)،</w:t>
      </w:r>
    </w:p>
    <w:p w14:paraId="59650153" w14:textId="77777777" w:rsidR="00537CC8" w:rsidRPr="0025250D" w:rsidRDefault="00537CC8" w:rsidP="00492C47">
      <w:pPr>
        <w:numPr>
          <w:ilvl w:val="0"/>
          <w:numId w:val="42"/>
        </w:numPr>
      </w:pPr>
      <w:r w:rsidRPr="0025250D">
        <w:rPr>
          <w:rFonts w:hint="cs"/>
          <w:rtl/>
        </w:rPr>
        <w:t xml:space="preserve">سه مهارت عملی محوری </w:t>
      </w:r>
      <w:r w:rsidRPr="0025250D">
        <w:rPr>
          <w:rtl/>
        </w:rPr>
        <w:t>گالوپ</w:t>
      </w:r>
      <w:r w:rsidRPr="0025250D">
        <w:rPr>
          <w:rFonts w:hint="cs"/>
          <w:rtl/>
        </w:rPr>
        <w:t xml:space="preserve"> (مهارت‌های عملی حلقه انجام).</w:t>
      </w:r>
    </w:p>
    <w:p w14:paraId="12F0AC64" w14:textId="319D11FE" w:rsidR="00537CC8" w:rsidRPr="0025250D" w:rsidRDefault="00537CC8" w:rsidP="00537CC8">
      <w:pPr>
        <w:rPr>
          <w:rtl/>
        </w:rPr>
      </w:pPr>
      <w:r w:rsidRPr="0025250D">
        <w:rPr>
          <w:rFonts w:hint="cs"/>
          <w:rtl/>
        </w:rPr>
        <w:t>هر یک از ما، به‌عنوان افراد و تیم‌ها، برخی از این گام‌ها و مهارت‌ها را در مواقعی نادیده گرفته، کم‌تر استفاده می‌کنیم، بیش از حد استفاده می‌کنیم یا به شکل نادرست به کار می‌بریم. با این وجود، همه ما دائما در حلقه‌ای از نسخه‌هایی از این چرخه</w:t>
      </w:r>
      <w:r w:rsidR="008D6F97" w:rsidRPr="0025250D">
        <w:rPr>
          <w:rtl/>
        </w:rPr>
        <w:t xml:space="preserve"> </w:t>
      </w:r>
      <w:r w:rsidRPr="0025250D">
        <w:rPr>
          <w:rFonts w:hint="cs"/>
          <w:rtl/>
        </w:rPr>
        <w:t xml:space="preserve">فراگیر، با سرعت‌های مختلف و در زمینه‌های متفاوت حضور داریم. هر چه بیش‌تر از این فرایند آگاه باشیم، بهتر می‌توانیم پیشرفت کرده و </w:t>
      </w:r>
      <w:r w:rsidR="002F3C14" w:rsidRPr="0025250D">
        <w:rPr>
          <w:rFonts w:hint="cs"/>
          <w:rtl/>
        </w:rPr>
        <w:t>انطباق</w:t>
      </w:r>
      <w:r w:rsidRPr="0025250D">
        <w:rPr>
          <w:rFonts w:hint="cs"/>
          <w:rtl/>
        </w:rPr>
        <w:t xml:space="preserve"> یابیم.</w:t>
      </w:r>
    </w:p>
    <w:p w14:paraId="361226A2" w14:textId="77777777" w:rsidR="00537CC8" w:rsidRPr="0025250D" w:rsidRDefault="00537CC8" w:rsidP="00537CC8">
      <w:pPr>
        <w:rPr>
          <w:rtl/>
        </w:rPr>
      </w:pPr>
    </w:p>
    <w:p w14:paraId="7160F86E" w14:textId="77777777" w:rsidR="00537CC8" w:rsidRPr="0025250D" w:rsidRDefault="00537CC8" w:rsidP="00537CC8">
      <w:pPr>
        <w:rPr>
          <w:rtl/>
        </w:rPr>
      </w:pPr>
    </w:p>
    <w:p w14:paraId="30277D29" w14:textId="77777777" w:rsidR="00537CC8" w:rsidRPr="0025250D" w:rsidRDefault="00537CC8" w:rsidP="00537CC8">
      <w:pPr>
        <w:rPr>
          <w:rtl/>
        </w:rPr>
      </w:pPr>
    </w:p>
    <w:p w14:paraId="75F968A1" w14:textId="77777777" w:rsidR="00537CC8" w:rsidRPr="0025250D" w:rsidRDefault="00537CC8" w:rsidP="00537CC8">
      <w:pPr>
        <w:rPr>
          <w:rtl/>
        </w:rPr>
      </w:pPr>
    </w:p>
    <w:p w14:paraId="7C2FE76A" w14:textId="77777777" w:rsidR="00537CC8" w:rsidRPr="0025250D" w:rsidRDefault="00537CC8" w:rsidP="00537CC8">
      <w:pPr>
        <w:rPr>
          <w:rtl/>
        </w:rPr>
      </w:pPr>
    </w:p>
    <w:p w14:paraId="54CDC252" w14:textId="77777777" w:rsidR="00537CC8" w:rsidRPr="0025250D" w:rsidRDefault="00537CC8" w:rsidP="00537CC8">
      <w:pPr>
        <w:rPr>
          <w:rtl/>
        </w:rPr>
      </w:pPr>
    </w:p>
    <w:p w14:paraId="74A4A485" w14:textId="77777777" w:rsidR="00537CC8" w:rsidRPr="0025250D" w:rsidRDefault="00537CC8" w:rsidP="00537CC8">
      <w:pPr>
        <w:rPr>
          <w:rtl/>
        </w:rPr>
      </w:pPr>
    </w:p>
    <w:p w14:paraId="68C3812F" w14:textId="77777777" w:rsidR="00537CC8" w:rsidRPr="0025250D" w:rsidRDefault="00537CC8" w:rsidP="00D53F87">
      <w:pPr>
        <w:pStyle w:val="Heading2"/>
        <w:rPr>
          <w:rtl/>
        </w:rPr>
      </w:pPr>
      <w:bookmarkStart w:id="63" w:name="_Toc127831328"/>
      <w:r w:rsidRPr="0025250D">
        <w:rPr>
          <w:rFonts w:hint="cs"/>
          <w:rtl/>
        </w:rPr>
        <w:t xml:space="preserve">مدل </w:t>
      </w:r>
      <w:r w:rsidRPr="0025250D">
        <w:t>OODA</w:t>
      </w:r>
      <w:r w:rsidRPr="0025250D">
        <w:rPr>
          <w:rFonts w:hint="cs"/>
          <w:rtl/>
        </w:rPr>
        <w:t xml:space="preserve"> </w:t>
      </w:r>
      <w:r w:rsidRPr="0025250D">
        <w:rPr>
          <w:rtl/>
        </w:rPr>
        <w:t>بو</w:t>
      </w:r>
      <w:r w:rsidRPr="0025250D">
        <w:rPr>
          <w:rFonts w:hint="cs"/>
          <w:rtl/>
        </w:rPr>
        <w:t>ی</w:t>
      </w:r>
      <w:r w:rsidRPr="0025250D">
        <w:rPr>
          <w:rFonts w:hint="eastAsia"/>
          <w:rtl/>
        </w:rPr>
        <w:t>د</w:t>
      </w:r>
      <w:r w:rsidRPr="0025250D">
        <w:rPr>
          <w:rFonts w:hint="cs"/>
          <w:rtl/>
        </w:rPr>
        <w:t xml:space="preserve"> برای تسلط رقابتی</w:t>
      </w:r>
      <w:bookmarkEnd w:id="63"/>
    </w:p>
    <w:p w14:paraId="2F3FCA3B" w14:textId="30CF20A5" w:rsidR="00537CC8" w:rsidRPr="0025250D" w:rsidRDefault="00537CC8" w:rsidP="00701E03">
      <w:pPr>
        <w:rPr>
          <w:rtl/>
        </w:rPr>
      </w:pPr>
      <w:r w:rsidRPr="0025250D">
        <w:rPr>
          <w:rFonts w:hint="cs"/>
          <w:rtl/>
        </w:rPr>
        <w:t xml:space="preserve">بیایید اکنون نگاهی مختصر به مدل </w:t>
      </w:r>
      <w:r w:rsidRPr="0025250D">
        <w:t>OODA</w:t>
      </w:r>
      <w:r w:rsidRPr="0025250D">
        <w:rPr>
          <w:rFonts w:hint="cs"/>
          <w:rtl/>
        </w:rPr>
        <w:t xml:space="preserve"> </w:t>
      </w:r>
      <w:r w:rsidRPr="0025250D">
        <w:rPr>
          <w:rtl/>
        </w:rPr>
        <w:t>بو</w:t>
      </w:r>
      <w:r w:rsidRPr="0025250D">
        <w:rPr>
          <w:rFonts w:hint="cs"/>
          <w:rtl/>
        </w:rPr>
        <w:t>ی</w:t>
      </w:r>
      <w:r w:rsidRPr="0025250D">
        <w:rPr>
          <w:rFonts w:hint="eastAsia"/>
          <w:rtl/>
        </w:rPr>
        <w:t>د</w:t>
      </w:r>
      <w:r w:rsidRPr="0025250D">
        <w:rPr>
          <w:vertAlign w:val="superscript"/>
          <w:rtl/>
        </w:rPr>
        <w:footnoteReference w:id="2023"/>
      </w:r>
      <w:r w:rsidRPr="0025250D">
        <w:rPr>
          <w:rFonts w:hint="cs"/>
          <w:rtl/>
        </w:rPr>
        <w:t xml:space="preserve"> داشته باشیم</w:t>
      </w:r>
      <w:r w:rsidR="008D6F97" w:rsidRPr="0025250D">
        <w:rPr>
          <w:rtl/>
        </w:rPr>
        <w:t xml:space="preserve"> </w:t>
      </w:r>
      <w:r w:rsidRPr="0025250D">
        <w:rPr>
          <w:rFonts w:hint="cs"/>
          <w:rtl/>
        </w:rPr>
        <w:t xml:space="preserve">تا یک کاربرد مشخصاً مفید حلقه انجام را ببینیم. </w:t>
      </w:r>
      <w:r w:rsidRPr="0025250D">
        <w:rPr>
          <w:rtl/>
        </w:rPr>
        <w:t>جان بو</w:t>
      </w:r>
      <w:r w:rsidRPr="0025250D">
        <w:rPr>
          <w:rFonts w:hint="cs"/>
          <w:rtl/>
        </w:rPr>
        <w:t>ی</w:t>
      </w:r>
      <w:r w:rsidRPr="0025250D">
        <w:rPr>
          <w:rFonts w:hint="eastAsia"/>
          <w:rtl/>
        </w:rPr>
        <w:t>د</w:t>
      </w:r>
      <w:r w:rsidRPr="0025250D">
        <w:rPr>
          <w:rtl/>
        </w:rPr>
        <w:t xml:space="preserve"> (1927-1997)</w:t>
      </w:r>
      <w:r w:rsidRPr="0025250D">
        <w:rPr>
          <w:rFonts w:hint="cs"/>
          <w:rtl/>
        </w:rPr>
        <w:t xml:space="preserve"> یک کلنل تابوشکن و </w:t>
      </w:r>
      <w:r w:rsidR="00701E03" w:rsidRPr="0025250D">
        <w:rPr>
          <w:rFonts w:hint="cs"/>
          <w:rtl/>
        </w:rPr>
        <w:t>راهبردشناس</w:t>
      </w:r>
      <w:r w:rsidRPr="0025250D">
        <w:rPr>
          <w:rFonts w:hint="cs"/>
          <w:rtl/>
        </w:rPr>
        <w:t xml:space="preserve"> نظامی باهوش نیروی هوایی آمریکا بود. در میان دیگر نقش‌ها، او حلقه </w:t>
      </w:r>
      <w:r w:rsidRPr="0025250D">
        <w:t>LFAR</w:t>
      </w:r>
      <w:r w:rsidRPr="0025250D">
        <w:rPr>
          <w:rFonts w:hint="cs"/>
          <w:rtl/>
        </w:rPr>
        <w:t xml:space="preserve"> را برای </w:t>
      </w:r>
      <w:r w:rsidR="00701E03" w:rsidRPr="0025250D">
        <w:rPr>
          <w:rFonts w:hint="cs"/>
          <w:rtl/>
        </w:rPr>
        <w:t>راهبرد</w:t>
      </w:r>
      <w:r w:rsidRPr="0025250D">
        <w:rPr>
          <w:rFonts w:hint="cs"/>
          <w:rtl/>
        </w:rPr>
        <w:t xml:space="preserve"> نظامی، طراحی هواپیما و عملیات‌های جنگی در محیط‌های به سرعت در حال تغییر، با آغاز کار در طول جنگ ویتنام به کار گرفت. اصطلاح </w:t>
      </w:r>
      <w:r w:rsidRPr="0025250D">
        <w:rPr>
          <w:rtl/>
        </w:rPr>
        <w:t>بو</w:t>
      </w:r>
      <w:r w:rsidRPr="0025250D">
        <w:rPr>
          <w:rFonts w:hint="cs"/>
          <w:rtl/>
        </w:rPr>
        <w:t>ی</w:t>
      </w:r>
      <w:r w:rsidRPr="0025250D">
        <w:rPr>
          <w:rFonts w:hint="eastAsia"/>
          <w:rtl/>
        </w:rPr>
        <w:t>د</w:t>
      </w:r>
      <w:r w:rsidRPr="0025250D">
        <w:rPr>
          <w:rFonts w:hint="cs"/>
          <w:rtl/>
        </w:rPr>
        <w:t xml:space="preserve"> برای حلقه </w:t>
      </w:r>
      <w:r w:rsidRPr="0025250D">
        <w:t>LFAR</w:t>
      </w:r>
      <w:r w:rsidRPr="0025250D">
        <w:rPr>
          <w:rFonts w:hint="cs"/>
          <w:rtl/>
        </w:rPr>
        <w:t xml:space="preserve"> حلقه </w:t>
      </w:r>
      <w:r w:rsidRPr="0025250D">
        <w:t>OODA</w:t>
      </w:r>
      <w:r w:rsidRPr="0025250D">
        <w:rPr>
          <w:rFonts w:hint="cs"/>
          <w:rtl/>
        </w:rPr>
        <w:t xml:space="preserve"> بود.</w:t>
      </w:r>
    </w:p>
    <w:p w14:paraId="3D3E1153" w14:textId="77777777" w:rsidR="00537CC8" w:rsidRPr="0025250D" w:rsidRDefault="00537CC8" w:rsidP="00D335B2">
      <w:pPr>
        <w:jc w:val="center"/>
        <w:rPr>
          <w:rtl/>
        </w:rPr>
      </w:pPr>
      <w:r w:rsidRPr="0025250D">
        <w:rPr>
          <w:noProof/>
          <w:rtl/>
          <w:lang w:bidi="ar-SA"/>
        </w:rPr>
        <w:drawing>
          <wp:inline distT="0" distB="0" distL="0" distR="0" wp14:anchorId="0E013E42" wp14:editId="60BE2338">
            <wp:extent cx="2148498" cy="2638425"/>
            <wp:effectExtent l="0" t="0" r="4445" b="0"/>
            <wp:docPr id="111" name="Picture 111" descr="D:\کار\مستقل\3 ( ترجمه ی دانشگاه تهران  )\Introduction to Foresight\part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کار\مستقل\3 ( ترجمه ی دانشگاه تهران  )\Introduction to Foresight\part5\9.png"/>
                    <pic:cNvPicPr>
                      <a:picLocks noChangeAspect="1" noChangeArrowheads="1"/>
                    </pic:cNvPicPr>
                  </pic:nvPicPr>
                  <pic:blipFill rotWithShape="1">
                    <a:blip r:embed="rId175" cstate="screen">
                      <a:extLst>
                        <a:ext uri="{28A0092B-C50C-407E-A947-70E740481C1C}">
                          <a14:useLocalDpi xmlns:a14="http://schemas.microsoft.com/office/drawing/2010/main"/>
                        </a:ext>
                      </a:extLst>
                    </a:blip>
                    <a:srcRect/>
                    <a:stretch/>
                  </pic:blipFill>
                  <pic:spPr bwMode="auto">
                    <a:xfrm>
                      <a:off x="0" y="0"/>
                      <a:ext cx="2148840" cy="2638845"/>
                    </a:xfrm>
                    <a:prstGeom prst="rect">
                      <a:avLst/>
                    </a:prstGeom>
                    <a:noFill/>
                    <a:ln>
                      <a:noFill/>
                    </a:ln>
                    <a:extLst>
                      <a:ext uri="{53640926-AAD7-44D8-BBD7-CCE9431645EC}">
                        <a14:shadowObscured xmlns:a14="http://schemas.microsoft.com/office/drawing/2010/main"/>
                      </a:ext>
                    </a:extLst>
                  </pic:spPr>
                </pic:pic>
              </a:graphicData>
            </a:graphic>
          </wp:inline>
        </w:drawing>
      </w:r>
    </w:p>
    <w:p w14:paraId="112B7978" w14:textId="77777777" w:rsidR="00537CC8" w:rsidRPr="0025250D" w:rsidRDefault="00537CC8" w:rsidP="00D335B2">
      <w:pPr>
        <w:jc w:val="center"/>
        <w:rPr>
          <w:rtl/>
        </w:rPr>
      </w:pPr>
      <w:r w:rsidRPr="0025250D">
        <w:rPr>
          <w:rFonts w:hint="cs"/>
          <w:rtl/>
        </w:rPr>
        <w:t>کلنل جان بوید</w:t>
      </w:r>
    </w:p>
    <w:p w14:paraId="4BDF9BAD" w14:textId="11AEE363" w:rsidR="00537CC8" w:rsidRPr="0025250D" w:rsidRDefault="00537CC8" w:rsidP="00537CC8">
      <w:pPr>
        <w:rPr>
          <w:rtl/>
        </w:rPr>
      </w:pPr>
      <w:r w:rsidRPr="0025250D">
        <w:rPr>
          <w:rFonts w:hint="cs"/>
          <w:rtl/>
        </w:rPr>
        <w:t xml:space="preserve">حلقه </w:t>
      </w:r>
      <w:r w:rsidRPr="0025250D">
        <w:t>OODA</w:t>
      </w:r>
      <w:r w:rsidRPr="0025250D">
        <w:rPr>
          <w:rFonts w:hint="cs"/>
          <w:rtl/>
        </w:rPr>
        <w:t xml:space="preserve"> </w:t>
      </w:r>
      <w:r w:rsidRPr="0025250D">
        <w:rPr>
          <w:rtl/>
        </w:rPr>
        <w:t>بو</w:t>
      </w:r>
      <w:r w:rsidRPr="0025250D">
        <w:rPr>
          <w:rFonts w:hint="cs"/>
          <w:rtl/>
        </w:rPr>
        <w:t>ی</w:t>
      </w:r>
      <w:r w:rsidRPr="0025250D">
        <w:rPr>
          <w:rFonts w:hint="eastAsia"/>
          <w:rtl/>
        </w:rPr>
        <w:t>د</w:t>
      </w:r>
      <w:r w:rsidRPr="0025250D">
        <w:rPr>
          <w:rFonts w:hint="cs"/>
          <w:rtl/>
        </w:rPr>
        <w:t xml:space="preserve"> شامل چهار مرحله به شکل زیر بود:</w:t>
      </w:r>
    </w:p>
    <w:p w14:paraId="5C6426B2" w14:textId="7D5606CE" w:rsidR="00537CC8" w:rsidRPr="0025250D" w:rsidRDefault="00537CC8" w:rsidP="00492C47">
      <w:pPr>
        <w:numPr>
          <w:ilvl w:val="0"/>
          <w:numId w:val="45"/>
        </w:numPr>
        <w:rPr>
          <w:rtl/>
        </w:rPr>
      </w:pPr>
      <w:r w:rsidRPr="0025250D">
        <w:rPr>
          <w:rFonts w:hint="cs"/>
          <w:rtl/>
        </w:rPr>
        <w:t xml:space="preserve">مشاهده (درک نتایج و وضعیت موجود) </w:t>
      </w:r>
      <w:r w:rsidRPr="0025250D">
        <w:rPr>
          <w:rFonts w:cs="Times New Roman" w:hint="cs"/>
          <w:rtl/>
        </w:rPr>
        <w:t>←</w:t>
      </w:r>
      <w:r w:rsidRPr="0025250D">
        <w:rPr>
          <w:rFonts w:hint="cs"/>
          <w:rtl/>
        </w:rPr>
        <w:t xml:space="preserve"> بازبینی و یادگیری</w:t>
      </w:r>
    </w:p>
    <w:p w14:paraId="092D5542" w14:textId="3AB006EA" w:rsidR="00537CC8" w:rsidRPr="0025250D" w:rsidRDefault="00537CC8" w:rsidP="00492C47">
      <w:pPr>
        <w:numPr>
          <w:ilvl w:val="0"/>
          <w:numId w:val="45"/>
        </w:numPr>
        <w:rPr>
          <w:rtl/>
        </w:rPr>
      </w:pPr>
      <w:r w:rsidRPr="0025250D">
        <w:rPr>
          <w:rFonts w:hint="cs"/>
          <w:rtl/>
        </w:rPr>
        <w:t xml:space="preserve">جهت دهی (دیدن احتمالات و موارد ممکن پیش رو) </w:t>
      </w:r>
      <w:r w:rsidRPr="0025250D">
        <w:rPr>
          <w:rFonts w:cs="Times New Roman" w:hint="cs"/>
          <w:rtl/>
        </w:rPr>
        <w:t>←</w:t>
      </w:r>
      <w:r w:rsidRPr="0025250D">
        <w:rPr>
          <w:rFonts w:hint="cs"/>
          <w:rtl/>
        </w:rPr>
        <w:t xml:space="preserve"> </w:t>
      </w:r>
      <w:r w:rsidRPr="0025250D">
        <w:rPr>
          <w:rtl/>
        </w:rPr>
        <w:t>آینده‌نگاری</w:t>
      </w:r>
      <w:r w:rsidR="008D6F97" w:rsidRPr="0025250D">
        <w:t xml:space="preserve"> </w:t>
      </w:r>
      <w:r w:rsidRPr="0025250D">
        <w:rPr>
          <w:rFonts w:hint="cs"/>
          <w:rtl/>
        </w:rPr>
        <w:t>1</w:t>
      </w:r>
    </w:p>
    <w:p w14:paraId="2B2C693E" w14:textId="26005186" w:rsidR="00537CC8" w:rsidRPr="0025250D" w:rsidRDefault="0008779C" w:rsidP="00492C47">
      <w:pPr>
        <w:numPr>
          <w:ilvl w:val="0"/>
          <w:numId w:val="45"/>
        </w:numPr>
        <w:rPr>
          <w:rtl/>
        </w:rPr>
      </w:pPr>
      <w:r w:rsidRPr="0025250D">
        <w:rPr>
          <w:rFonts w:hint="cs"/>
          <w:rtl/>
        </w:rPr>
        <w:t>تصمیم‌گیری</w:t>
      </w:r>
      <w:r w:rsidR="00537CC8" w:rsidRPr="0025250D">
        <w:rPr>
          <w:rFonts w:hint="cs"/>
          <w:rtl/>
        </w:rPr>
        <w:t xml:space="preserve"> (انتخاب یک </w:t>
      </w:r>
      <w:r w:rsidR="00701E03" w:rsidRPr="0025250D">
        <w:rPr>
          <w:rFonts w:hint="cs"/>
          <w:rtl/>
        </w:rPr>
        <w:t>راهبرد</w:t>
      </w:r>
      <w:r w:rsidR="00537CC8" w:rsidRPr="0025250D">
        <w:rPr>
          <w:rFonts w:hint="cs"/>
          <w:rtl/>
        </w:rPr>
        <w:t xml:space="preserve">) </w:t>
      </w:r>
      <w:r w:rsidR="00537CC8" w:rsidRPr="0025250D">
        <w:rPr>
          <w:rFonts w:cs="Times New Roman" w:hint="cs"/>
          <w:rtl/>
        </w:rPr>
        <w:t>←</w:t>
      </w:r>
      <w:r w:rsidR="00537CC8" w:rsidRPr="0025250D">
        <w:rPr>
          <w:rFonts w:hint="cs"/>
          <w:rtl/>
        </w:rPr>
        <w:t xml:space="preserve"> </w:t>
      </w:r>
      <w:r w:rsidR="00537CC8" w:rsidRPr="0025250D">
        <w:rPr>
          <w:rtl/>
        </w:rPr>
        <w:t>آینده‌نگاری</w:t>
      </w:r>
      <w:r w:rsidR="008D6F97" w:rsidRPr="0025250D">
        <w:t xml:space="preserve"> </w:t>
      </w:r>
      <w:r w:rsidR="00537CC8" w:rsidRPr="0025250D">
        <w:rPr>
          <w:rFonts w:hint="cs"/>
          <w:rtl/>
        </w:rPr>
        <w:t>2</w:t>
      </w:r>
    </w:p>
    <w:p w14:paraId="61CE4610" w14:textId="323BC30C" w:rsidR="00537CC8" w:rsidRPr="0025250D" w:rsidRDefault="00537CC8" w:rsidP="00492C47">
      <w:pPr>
        <w:numPr>
          <w:ilvl w:val="0"/>
          <w:numId w:val="45"/>
        </w:numPr>
        <w:rPr>
          <w:rtl/>
        </w:rPr>
      </w:pPr>
      <w:r w:rsidRPr="0025250D">
        <w:rPr>
          <w:rFonts w:hint="cs"/>
          <w:rtl/>
        </w:rPr>
        <w:t xml:space="preserve">عمل (انجام دادن کاری) </w:t>
      </w:r>
      <w:r w:rsidRPr="0025250D">
        <w:rPr>
          <w:rFonts w:cs="Times New Roman" w:hint="cs"/>
          <w:rtl/>
        </w:rPr>
        <w:t>←</w:t>
      </w:r>
      <w:r w:rsidRPr="0025250D">
        <w:rPr>
          <w:rFonts w:hint="cs"/>
          <w:rtl/>
        </w:rPr>
        <w:t xml:space="preserve"> اقدام</w:t>
      </w:r>
    </w:p>
    <w:p w14:paraId="4162CC26" w14:textId="2B08801A" w:rsidR="00537CC8" w:rsidRPr="0025250D" w:rsidRDefault="00537CC8" w:rsidP="00537CC8">
      <w:pPr>
        <w:rPr>
          <w:rtl/>
        </w:rPr>
      </w:pPr>
      <w:r w:rsidRPr="0025250D">
        <w:rPr>
          <w:rtl/>
        </w:rPr>
        <w:t>بو</w:t>
      </w:r>
      <w:r w:rsidRPr="0025250D">
        <w:rPr>
          <w:rFonts w:hint="cs"/>
          <w:rtl/>
        </w:rPr>
        <w:t>ی</w:t>
      </w:r>
      <w:r w:rsidRPr="0025250D">
        <w:rPr>
          <w:rFonts w:hint="eastAsia"/>
          <w:rtl/>
        </w:rPr>
        <w:t>د</w:t>
      </w:r>
      <w:r w:rsidRPr="0025250D">
        <w:rPr>
          <w:rFonts w:hint="cs"/>
          <w:rtl/>
        </w:rPr>
        <w:t xml:space="preserve"> گفت که سرعت طی این حلقه </w:t>
      </w:r>
      <w:r w:rsidRPr="0025250D">
        <w:t>OODA</w:t>
      </w:r>
      <w:r w:rsidRPr="0025250D">
        <w:rPr>
          <w:rFonts w:hint="cs"/>
          <w:rtl/>
        </w:rPr>
        <w:t xml:space="preserve"> رفتاری شناختی سرعت یادگیری و سرعت </w:t>
      </w:r>
      <w:r w:rsidR="00B124DE" w:rsidRPr="0025250D">
        <w:rPr>
          <w:rFonts w:hint="cs"/>
          <w:rtl/>
        </w:rPr>
        <w:t>انطباق‌پذیر</w:t>
      </w:r>
      <w:r w:rsidRPr="0025250D">
        <w:rPr>
          <w:rFonts w:hint="cs"/>
          <w:rtl/>
        </w:rPr>
        <w:t xml:space="preserve">ی ما در محیط‌های رقابتی را تعیین می‌کند. هر چه سریع‌تر حلقه خود را اجرا کنیم، سریع‌تر می‌توانیم اشتباهات خود را اصلاح نماییم و به اقدامات </w:t>
      </w:r>
      <w:r w:rsidRPr="0025250D">
        <w:rPr>
          <w:rFonts w:cs="Times New Roman" w:hint="cs"/>
          <w:rtl/>
        </w:rPr>
        <w:t>–</w:t>
      </w:r>
      <w:r w:rsidRPr="0025250D">
        <w:rPr>
          <w:rFonts w:hint="cs"/>
          <w:rtl/>
        </w:rPr>
        <w:t xml:space="preserve"> مفید یا تهاجمی- دیگران پاسخ</w:t>
      </w:r>
      <w:r w:rsidRPr="0025250D">
        <w:rPr>
          <w:rtl/>
        </w:rPr>
        <w:t xml:space="preserve"> </w:t>
      </w:r>
      <w:r w:rsidRPr="0025250D">
        <w:rPr>
          <w:rFonts w:hint="cs"/>
          <w:rtl/>
        </w:rPr>
        <w:t>دهیم. در بسیاری از انواع تعارضات، توانایی نفوذ به حلقه‌های رقبایمان می‌تواند یک مزیت تعیین کننده را در رقابت‌ها و تعارضات در اختیار ما قرار دهد.</w:t>
      </w:r>
      <w:r w:rsidR="00EB4428" w:rsidRPr="0025250D">
        <w:rPr>
          <w:rFonts w:hint="cs"/>
          <w:rtl/>
        </w:rPr>
        <w:t xml:space="preserve"> همچنین</w:t>
      </w:r>
      <w:r w:rsidR="008D6F97" w:rsidRPr="0025250D">
        <w:rPr>
          <w:rtl/>
        </w:rPr>
        <w:t xml:space="preserve"> </w:t>
      </w:r>
      <w:r w:rsidR="00EB4428" w:rsidRPr="0025250D">
        <w:rPr>
          <w:rFonts w:hint="cs"/>
          <w:rtl/>
        </w:rPr>
        <w:t xml:space="preserve">می‌تواند به ما برای رهبری در اهداف و رفتار‌های مشارکتی اولیه </w:t>
      </w:r>
      <w:r w:rsidRPr="0025250D">
        <w:rPr>
          <w:rFonts w:hint="cs"/>
          <w:rtl/>
        </w:rPr>
        <w:t>درون حلقه‌هایی که در آن‌ها کار می‌کنیم</w:t>
      </w:r>
      <w:r w:rsidR="00EB4428" w:rsidRPr="0025250D">
        <w:rPr>
          <w:rFonts w:hint="cs"/>
          <w:rtl/>
        </w:rPr>
        <w:t>،</w:t>
      </w:r>
      <w:r w:rsidRPr="0025250D">
        <w:rPr>
          <w:rFonts w:hint="cs"/>
          <w:rtl/>
        </w:rPr>
        <w:t xml:space="preserve"> کمک کند. </w:t>
      </w:r>
      <w:r w:rsidR="007A53FD" w:rsidRPr="0025250D">
        <w:rPr>
          <w:rFonts w:hint="cs"/>
          <w:rtl/>
        </w:rPr>
        <w:t>فناوری</w:t>
      </w:r>
      <w:r w:rsidRPr="0025250D">
        <w:rPr>
          <w:rFonts w:hint="cs"/>
          <w:rtl/>
        </w:rPr>
        <w:t>، ارتباطات و</w:t>
      </w:r>
      <w:r w:rsidR="008D6F97" w:rsidRPr="0025250D">
        <w:rPr>
          <w:rtl/>
        </w:rPr>
        <w:t xml:space="preserve"> </w:t>
      </w:r>
      <w:r w:rsidR="0008779C" w:rsidRPr="0025250D">
        <w:rPr>
          <w:rFonts w:hint="cs"/>
          <w:rtl/>
        </w:rPr>
        <w:t>تصمیم‌گیری</w:t>
      </w:r>
      <w:r w:rsidRPr="0025250D">
        <w:rPr>
          <w:rFonts w:hint="cs"/>
          <w:rtl/>
        </w:rPr>
        <w:t xml:space="preserve"> غیرمتمرکز تنها تعداد اندکی از ابزارها و </w:t>
      </w:r>
      <w:r w:rsidR="00701E03" w:rsidRPr="0025250D">
        <w:rPr>
          <w:rFonts w:hint="cs"/>
          <w:rtl/>
        </w:rPr>
        <w:t>راهبرد</w:t>
      </w:r>
      <w:r w:rsidRPr="0025250D">
        <w:rPr>
          <w:rFonts w:hint="cs"/>
          <w:rtl/>
        </w:rPr>
        <w:t xml:space="preserve">‌هایی هستند که می‌توانند به تیم‌ها برای اجرای سریع‌تر حلقه‌های خود نسبت به همکاران و رقبای بزرگتر و یادگیری، </w:t>
      </w:r>
      <w:r w:rsidR="0060055A" w:rsidRPr="0025250D">
        <w:rPr>
          <w:rtl/>
        </w:rPr>
        <w:t>فراپایی</w:t>
      </w:r>
      <w:r w:rsidRPr="0025250D">
        <w:rPr>
          <w:rFonts w:hint="cs"/>
          <w:rtl/>
        </w:rPr>
        <w:t xml:space="preserve">، عمل و بازبینی کارآمد‌تر کمک کنند </w:t>
      </w:r>
      <w:r w:rsidRPr="0025250D">
        <w:rPr>
          <w:rFonts w:cs="Times New Roman" w:hint="cs"/>
          <w:rtl/>
        </w:rPr>
        <w:t>–</w:t>
      </w:r>
      <w:r w:rsidRPr="0025250D">
        <w:rPr>
          <w:rFonts w:hint="cs"/>
          <w:rtl/>
        </w:rPr>
        <w:t xml:space="preserve"> تا در نتیجه </w:t>
      </w:r>
      <w:r w:rsidR="00B124DE" w:rsidRPr="0025250D">
        <w:rPr>
          <w:rFonts w:hint="cs"/>
          <w:rtl/>
        </w:rPr>
        <w:t>انطباق‌پذیر</w:t>
      </w:r>
      <w:r w:rsidRPr="0025250D">
        <w:rPr>
          <w:rFonts w:hint="cs"/>
          <w:rtl/>
        </w:rPr>
        <w:t>‌تر شوند.</w:t>
      </w:r>
    </w:p>
    <w:p w14:paraId="063E9CB5" w14:textId="7DB46D6D" w:rsidR="00537CC8" w:rsidRPr="0025250D" w:rsidRDefault="00537CC8" w:rsidP="00537CC8">
      <w:pPr>
        <w:rPr>
          <w:rtl/>
        </w:rPr>
      </w:pPr>
      <w:r w:rsidRPr="0025250D">
        <w:rPr>
          <w:rtl/>
        </w:rPr>
        <w:t>بو</w:t>
      </w:r>
      <w:r w:rsidRPr="0025250D">
        <w:rPr>
          <w:rFonts w:hint="cs"/>
          <w:rtl/>
        </w:rPr>
        <w:t>ی</w:t>
      </w:r>
      <w:r w:rsidRPr="0025250D">
        <w:rPr>
          <w:rFonts w:hint="eastAsia"/>
          <w:rtl/>
        </w:rPr>
        <w:t>د</w:t>
      </w:r>
      <w:r w:rsidRPr="0025250D">
        <w:rPr>
          <w:rFonts w:hint="cs"/>
          <w:rtl/>
        </w:rPr>
        <w:t xml:space="preserve"> حلقه </w:t>
      </w:r>
      <w:r w:rsidRPr="0025250D">
        <w:t>OODA</w:t>
      </w:r>
      <w:r w:rsidRPr="0025250D">
        <w:rPr>
          <w:rFonts w:hint="cs"/>
          <w:rtl/>
        </w:rPr>
        <w:t xml:space="preserve"> را در زمینه‌های نظامی کاوش کرد. دیگران آن را برای </w:t>
      </w:r>
      <w:r w:rsidR="00701E03" w:rsidRPr="0025250D">
        <w:rPr>
          <w:rFonts w:hint="cs"/>
          <w:rtl/>
        </w:rPr>
        <w:t>راهبرد</w:t>
      </w:r>
      <w:r w:rsidRPr="0025250D">
        <w:rPr>
          <w:rFonts w:hint="cs"/>
          <w:rtl/>
        </w:rPr>
        <w:t xml:space="preserve"> </w:t>
      </w:r>
      <w:r w:rsidR="00B124DE" w:rsidRPr="0025250D">
        <w:rPr>
          <w:rFonts w:hint="cs"/>
          <w:rtl/>
        </w:rPr>
        <w:t>کسب‌و‌کار</w:t>
      </w:r>
      <w:r w:rsidRPr="0025250D">
        <w:rPr>
          <w:rFonts w:hint="cs"/>
          <w:rtl/>
        </w:rPr>
        <w:t xml:space="preserve">، اجرای قانون، دعوی قضایی و بسیاری از حوزه‌های دیگر به کار برده اند. برای اطلاعات بیش‌تر درمورد </w:t>
      </w:r>
      <w:r w:rsidRPr="0025250D">
        <w:rPr>
          <w:rtl/>
        </w:rPr>
        <w:t>بو</w:t>
      </w:r>
      <w:r w:rsidRPr="0025250D">
        <w:rPr>
          <w:rFonts w:hint="cs"/>
          <w:rtl/>
        </w:rPr>
        <w:t>ی</w:t>
      </w:r>
      <w:r w:rsidRPr="0025250D">
        <w:rPr>
          <w:rFonts w:hint="eastAsia"/>
          <w:rtl/>
        </w:rPr>
        <w:t>د</w:t>
      </w:r>
      <w:r w:rsidRPr="0025250D">
        <w:rPr>
          <w:rFonts w:hint="cs"/>
          <w:rtl/>
        </w:rPr>
        <w:t xml:space="preserve">، بیوگرافی عالی </w:t>
      </w:r>
      <w:r w:rsidRPr="0025250D">
        <w:rPr>
          <w:rtl/>
        </w:rPr>
        <w:t>رابرت کورام</w:t>
      </w:r>
      <w:r w:rsidRPr="0025250D">
        <w:rPr>
          <w:vertAlign w:val="superscript"/>
          <w:rtl/>
        </w:rPr>
        <w:footnoteReference w:id="2024"/>
      </w:r>
      <w:r w:rsidRPr="0025250D">
        <w:rPr>
          <w:rFonts w:hint="cs"/>
          <w:rtl/>
        </w:rPr>
        <w:t xml:space="preserve"> با عنوان </w:t>
      </w:r>
      <w:r w:rsidRPr="0025250D">
        <w:rPr>
          <w:rtl/>
        </w:rPr>
        <w:t>بو</w:t>
      </w:r>
      <w:r w:rsidRPr="0025250D">
        <w:rPr>
          <w:rFonts w:hint="cs"/>
          <w:rtl/>
        </w:rPr>
        <w:t>ی</w:t>
      </w:r>
      <w:r w:rsidRPr="0025250D">
        <w:rPr>
          <w:rFonts w:hint="eastAsia"/>
          <w:rtl/>
        </w:rPr>
        <w:t>د</w:t>
      </w:r>
      <w:r w:rsidRPr="0025250D">
        <w:rPr>
          <w:rFonts w:hint="cs"/>
          <w:rtl/>
        </w:rPr>
        <w:t>: خلبان جنگنده‌ای که هنر جنگ را تغییر داد</w:t>
      </w:r>
      <w:r w:rsidRPr="0025250D">
        <w:rPr>
          <w:vertAlign w:val="superscript"/>
          <w:rtl/>
        </w:rPr>
        <w:footnoteReference w:id="2025"/>
      </w:r>
      <w:r w:rsidRPr="0025250D">
        <w:rPr>
          <w:rFonts w:hint="cs"/>
          <w:rtl/>
        </w:rPr>
        <w:t xml:space="preserve"> در سال 2004 را بخوانید. برای مروری بر این که </w:t>
      </w:r>
      <w:r w:rsidRPr="0025250D">
        <w:rPr>
          <w:rtl/>
        </w:rPr>
        <w:t>بو</w:t>
      </w:r>
      <w:r w:rsidRPr="0025250D">
        <w:rPr>
          <w:rFonts w:hint="cs"/>
          <w:rtl/>
        </w:rPr>
        <w:t>ی</w:t>
      </w:r>
      <w:r w:rsidRPr="0025250D">
        <w:rPr>
          <w:rFonts w:hint="eastAsia"/>
          <w:rtl/>
        </w:rPr>
        <w:t>د</w:t>
      </w:r>
      <w:r w:rsidRPr="0025250D">
        <w:rPr>
          <w:rFonts w:hint="cs"/>
          <w:rtl/>
        </w:rPr>
        <w:t xml:space="preserve"> چگونه به طور گسترده بر تفکر امنیتی آمریکا تأثیر گذار بوده است، کتاب ذهن جنگ: </w:t>
      </w:r>
      <w:r w:rsidRPr="0025250D">
        <w:rPr>
          <w:rtl/>
        </w:rPr>
        <w:t>جان بو</w:t>
      </w:r>
      <w:r w:rsidRPr="0025250D">
        <w:rPr>
          <w:rFonts w:hint="cs"/>
          <w:rtl/>
        </w:rPr>
        <w:t>ی</w:t>
      </w:r>
      <w:r w:rsidRPr="0025250D">
        <w:rPr>
          <w:rFonts w:hint="eastAsia"/>
          <w:rtl/>
        </w:rPr>
        <w:t>د</w:t>
      </w:r>
      <w:r w:rsidRPr="0025250D">
        <w:rPr>
          <w:rFonts w:hint="cs"/>
          <w:rtl/>
        </w:rPr>
        <w:t xml:space="preserve"> و امینت آمریکایی</w:t>
      </w:r>
      <w:r w:rsidRPr="0025250D">
        <w:rPr>
          <w:vertAlign w:val="superscript"/>
          <w:rtl/>
        </w:rPr>
        <w:footnoteReference w:id="2026"/>
      </w:r>
      <w:r w:rsidRPr="0025250D">
        <w:rPr>
          <w:rFonts w:hint="cs"/>
          <w:rtl/>
        </w:rPr>
        <w:t xml:space="preserve"> در سال 2004 را بخوانید. برای یک کاربرد خردمندانه از حلقه </w:t>
      </w:r>
      <w:r w:rsidRPr="0025250D">
        <w:t>OODA</w:t>
      </w:r>
      <w:r w:rsidRPr="0025250D">
        <w:rPr>
          <w:rFonts w:hint="cs"/>
          <w:rtl/>
        </w:rPr>
        <w:t xml:space="preserve"> </w:t>
      </w:r>
      <w:r w:rsidRPr="0025250D">
        <w:rPr>
          <w:rtl/>
        </w:rPr>
        <w:t>بو</w:t>
      </w:r>
      <w:r w:rsidRPr="0025250D">
        <w:rPr>
          <w:rFonts w:hint="cs"/>
          <w:rtl/>
        </w:rPr>
        <w:t>ی</w:t>
      </w:r>
      <w:r w:rsidRPr="0025250D">
        <w:rPr>
          <w:rFonts w:hint="eastAsia"/>
          <w:rtl/>
        </w:rPr>
        <w:t>د</w:t>
      </w:r>
      <w:r w:rsidRPr="0025250D">
        <w:rPr>
          <w:rFonts w:hint="cs"/>
          <w:rtl/>
        </w:rPr>
        <w:t xml:space="preserve"> برای همکاری </w:t>
      </w:r>
      <w:r w:rsidR="00B124DE" w:rsidRPr="0025250D">
        <w:rPr>
          <w:rFonts w:hint="cs"/>
          <w:rtl/>
        </w:rPr>
        <w:t>کسب‌و‌کار</w:t>
      </w:r>
      <w:r w:rsidRPr="0025250D">
        <w:rPr>
          <w:rFonts w:hint="cs"/>
          <w:rtl/>
        </w:rPr>
        <w:t xml:space="preserve"> کتاب پیروزی قطعی: </w:t>
      </w:r>
      <w:r w:rsidR="00701E03" w:rsidRPr="0025250D">
        <w:rPr>
          <w:rFonts w:hint="cs"/>
          <w:rtl/>
        </w:rPr>
        <w:t>راهبرد</w:t>
      </w:r>
      <w:r w:rsidRPr="0025250D">
        <w:rPr>
          <w:rFonts w:hint="cs"/>
          <w:rtl/>
        </w:rPr>
        <w:t xml:space="preserve"> </w:t>
      </w:r>
      <w:r w:rsidRPr="0025250D">
        <w:rPr>
          <w:rtl/>
        </w:rPr>
        <w:t>جان بو</w:t>
      </w:r>
      <w:r w:rsidRPr="0025250D">
        <w:rPr>
          <w:rFonts w:hint="cs"/>
          <w:rtl/>
        </w:rPr>
        <w:t>ی</w:t>
      </w:r>
      <w:r w:rsidRPr="0025250D">
        <w:rPr>
          <w:rFonts w:hint="eastAsia"/>
          <w:rtl/>
        </w:rPr>
        <w:t>د</w:t>
      </w:r>
      <w:r w:rsidRPr="0025250D">
        <w:rPr>
          <w:rFonts w:hint="cs"/>
          <w:rtl/>
        </w:rPr>
        <w:t xml:space="preserve">، به کار گرفته شده برای </w:t>
      </w:r>
      <w:r w:rsidR="00B124DE" w:rsidRPr="0025250D">
        <w:rPr>
          <w:rFonts w:hint="cs"/>
          <w:rtl/>
        </w:rPr>
        <w:t>کسب‌و‌کار</w:t>
      </w:r>
      <w:r w:rsidRPr="0025250D">
        <w:rPr>
          <w:vertAlign w:val="superscript"/>
          <w:rtl/>
        </w:rPr>
        <w:footnoteReference w:id="2027"/>
      </w:r>
      <w:r w:rsidRPr="0025250D">
        <w:rPr>
          <w:rFonts w:hint="cs"/>
          <w:rtl/>
        </w:rPr>
        <w:t xml:space="preserve"> اثر </w:t>
      </w:r>
      <w:r w:rsidRPr="0025250D">
        <w:rPr>
          <w:rtl/>
        </w:rPr>
        <w:t>چت ر</w:t>
      </w:r>
      <w:r w:rsidRPr="0025250D">
        <w:rPr>
          <w:rFonts w:hint="cs"/>
          <w:rtl/>
        </w:rPr>
        <w:t>ی</w:t>
      </w:r>
      <w:r w:rsidRPr="0025250D">
        <w:rPr>
          <w:rFonts w:hint="eastAsia"/>
          <w:rtl/>
        </w:rPr>
        <w:t>چاردز</w:t>
      </w:r>
      <w:r w:rsidRPr="0025250D">
        <w:rPr>
          <w:vertAlign w:val="superscript"/>
          <w:rtl/>
        </w:rPr>
        <w:footnoteReference w:id="2028"/>
      </w:r>
      <w:r w:rsidRPr="0025250D">
        <w:rPr>
          <w:rFonts w:hint="cs"/>
          <w:rtl/>
        </w:rPr>
        <w:t xml:space="preserve"> در سال 2004 را بخوانید.</w:t>
      </w:r>
    </w:p>
    <w:p w14:paraId="2B0E897F" w14:textId="0ED60273" w:rsidR="00537CC8" w:rsidRPr="0025250D" w:rsidRDefault="00537CC8" w:rsidP="00537CC8">
      <w:pPr>
        <w:rPr>
          <w:rtl/>
        </w:rPr>
      </w:pPr>
      <w:r w:rsidRPr="0025250D">
        <w:rPr>
          <w:rFonts w:hint="cs"/>
          <w:rtl/>
        </w:rPr>
        <w:t xml:space="preserve">ما نسخه </w:t>
      </w:r>
      <w:r w:rsidRPr="0025250D">
        <w:t>LFAR</w:t>
      </w:r>
      <w:r w:rsidRPr="0025250D">
        <w:rPr>
          <w:rFonts w:hint="cs"/>
          <w:rtl/>
        </w:rPr>
        <w:t xml:space="preserve"> خود از این حلقه را یک حلقه انجام می‌نامیم، زیرا انجام (عمل) </w:t>
      </w:r>
      <w:r w:rsidR="0008779C" w:rsidRPr="0025250D">
        <w:rPr>
          <w:rFonts w:hint="cs"/>
          <w:rtl/>
        </w:rPr>
        <w:t>موفقیت‌آمیز</w:t>
      </w:r>
      <w:r w:rsidRPr="0025250D">
        <w:rPr>
          <w:rFonts w:hint="cs"/>
          <w:rtl/>
        </w:rPr>
        <w:t xml:space="preserve"> جوهره </w:t>
      </w:r>
      <w:r w:rsidR="00B124DE" w:rsidRPr="0025250D">
        <w:rPr>
          <w:rFonts w:hint="cs"/>
          <w:rtl/>
        </w:rPr>
        <w:t>انطباق‌پذیر</w:t>
      </w:r>
      <w:r w:rsidRPr="0025250D">
        <w:rPr>
          <w:rFonts w:hint="cs"/>
          <w:rtl/>
        </w:rPr>
        <w:t xml:space="preserve">ی است و </w:t>
      </w:r>
      <w:r w:rsidR="00EB4428" w:rsidRPr="0025250D">
        <w:rPr>
          <w:rFonts w:hint="cs"/>
          <w:rtl/>
        </w:rPr>
        <w:t>همچنین تلفظ عبارت</w:t>
      </w:r>
      <w:r w:rsidRPr="0025250D">
        <w:rPr>
          <w:rFonts w:hint="cs"/>
          <w:rtl/>
        </w:rPr>
        <w:t xml:space="preserve"> </w:t>
      </w:r>
      <w:r w:rsidR="00E402E3" w:rsidRPr="0025250D">
        <w:rPr>
          <w:rtl/>
        </w:rPr>
        <w:t>«</w:t>
      </w:r>
      <w:r w:rsidRPr="0025250D">
        <w:rPr>
          <w:rFonts w:hint="cs"/>
          <w:rtl/>
        </w:rPr>
        <w:t>انجام</w:t>
      </w:r>
      <w:r w:rsidR="00E402E3" w:rsidRPr="0025250D">
        <w:rPr>
          <w:rtl/>
        </w:rPr>
        <w:t>»</w:t>
      </w:r>
      <w:r w:rsidRPr="0025250D">
        <w:rPr>
          <w:rFonts w:hint="cs"/>
          <w:rtl/>
        </w:rPr>
        <w:t xml:space="preserve"> کوتاه‌تر و ساده‌تر از </w:t>
      </w:r>
      <w:r w:rsidRPr="0025250D">
        <w:t>LFAR</w:t>
      </w:r>
      <w:r w:rsidRPr="0025250D">
        <w:rPr>
          <w:rFonts w:hint="cs"/>
          <w:rtl/>
        </w:rPr>
        <w:t xml:space="preserve"> است. به نظر ما </w:t>
      </w:r>
      <w:r w:rsidRPr="0025250D">
        <w:rPr>
          <w:rtl/>
        </w:rPr>
        <w:t>بو</w:t>
      </w:r>
      <w:r w:rsidRPr="0025250D">
        <w:rPr>
          <w:rFonts w:hint="cs"/>
          <w:rtl/>
        </w:rPr>
        <w:t>ی</w:t>
      </w:r>
      <w:r w:rsidRPr="0025250D">
        <w:rPr>
          <w:rFonts w:hint="eastAsia"/>
          <w:rtl/>
        </w:rPr>
        <w:t>د</w:t>
      </w:r>
      <w:r w:rsidRPr="0025250D">
        <w:rPr>
          <w:rFonts w:hint="cs"/>
          <w:rtl/>
        </w:rPr>
        <w:t xml:space="preserve"> خلاصه سازی ما را تأیید می‌کرد. حلقه‌های انجام در قلب </w:t>
      </w:r>
      <w:r w:rsidRPr="0025250D">
        <w:rPr>
          <w:rtl/>
        </w:rPr>
        <w:t>آینده‌نگاری</w:t>
      </w:r>
      <w:r w:rsidRPr="0025250D">
        <w:rPr>
          <w:rFonts w:hint="cs"/>
          <w:rtl/>
        </w:rPr>
        <w:t xml:space="preserve">، مدیریت و رهبری </w:t>
      </w:r>
      <w:r w:rsidR="00B124DE" w:rsidRPr="0025250D">
        <w:rPr>
          <w:rFonts w:hint="cs"/>
          <w:rtl/>
        </w:rPr>
        <w:t>انطباق‌پذیر</w:t>
      </w:r>
      <w:r w:rsidRPr="0025250D">
        <w:rPr>
          <w:rFonts w:hint="cs"/>
          <w:rtl/>
        </w:rPr>
        <w:t xml:space="preserve"> هستند.</w:t>
      </w:r>
    </w:p>
    <w:p w14:paraId="67BD9A63" w14:textId="77777777" w:rsidR="00537CC8" w:rsidRPr="0025250D" w:rsidRDefault="00537CC8" w:rsidP="00537CC8">
      <w:pPr>
        <w:rPr>
          <w:rtl/>
        </w:rPr>
      </w:pPr>
    </w:p>
    <w:p w14:paraId="6FD8AC37" w14:textId="77777777" w:rsidR="00537CC8" w:rsidRPr="0025250D" w:rsidRDefault="00537CC8" w:rsidP="00537CC8">
      <w:pPr>
        <w:rPr>
          <w:rtl/>
        </w:rPr>
      </w:pPr>
    </w:p>
    <w:p w14:paraId="6653BB88" w14:textId="77777777" w:rsidR="00537CC8" w:rsidRPr="0025250D" w:rsidRDefault="00537CC8" w:rsidP="00537CC8">
      <w:pPr>
        <w:rPr>
          <w:rtl/>
        </w:rPr>
      </w:pPr>
    </w:p>
    <w:p w14:paraId="354E2C7E" w14:textId="77777777" w:rsidR="00537CC8" w:rsidRPr="0025250D" w:rsidRDefault="00537CC8" w:rsidP="00537CC8">
      <w:pPr>
        <w:rPr>
          <w:rtl/>
        </w:rPr>
      </w:pPr>
    </w:p>
    <w:p w14:paraId="130DC0AF" w14:textId="77777777" w:rsidR="00537CC8" w:rsidRPr="0025250D" w:rsidRDefault="00537CC8" w:rsidP="00537CC8">
      <w:pPr>
        <w:rPr>
          <w:rtl/>
        </w:rPr>
      </w:pPr>
    </w:p>
    <w:p w14:paraId="75F1DD07" w14:textId="18C8D9CE" w:rsidR="00537CC8" w:rsidRPr="0025250D" w:rsidRDefault="00537CC8" w:rsidP="00D53F87">
      <w:pPr>
        <w:pStyle w:val="Heading2"/>
        <w:rPr>
          <w:rtl/>
        </w:rPr>
      </w:pPr>
      <w:bookmarkStart w:id="64" w:name="_Toc127831329"/>
      <w:r w:rsidRPr="0025250D">
        <w:rPr>
          <w:rFonts w:hint="cs"/>
          <w:rtl/>
        </w:rPr>
        <w:t xml:space="preserve">هشت مهارت </w:t>
      </w:r>
      <w:r w:rsidR="00923DDB" w:rsidRPr="0025250D">
        <w:rPr>
          <w:rtl/>
        </w:rPr>
        <w:t>آینده‌نگاری انطباقی</w:t>
      </w:r>
      <w:r w:rsidRPr="0025250D">
        <w:rPr>
          <w:rFonts w:hint="cs"/>
          <w:rtl/>
        </w:rPr>
        <w:t>: نگاهی عمیق تر</w:t>
      </w:r>
      <w:bookmarkEnd w:id="64"/>
    </w:p>
    <w:p w14:paraId="5AB95944" w14:textId="455F3E2D" w:rsidR="00537CC8" w:rsidRPr="0025250D" w:rsidRDefault="00537CC8" w:rsidP="00537CC8">
      <w:pPr>
        <w:rPr>
          <w:rtl/>
        </w:rPr>
      </w:pPr>
      <w:r w:rsidRPr="0025250D">
        <w:rPr>
          <w:rFonts w:hint="cs"/>
          <w:rtl/>
        </w:rPr>
        <w:t xml:space="preserve">این هشت مهارت به ما یادآوری می‌کنند که </w:t>
      </w:r>
      <w:r w:rsidR="00923DDB" w:rsidRPr="0025250D">
        <w:rPr>
          <w:rtl/>
        </w:rPr>
        <w:t>آینده‌نگاری انطباقی</w:t>
      </w:r>
      <w:r w:rsidRPr="0025250D">
        <w:rPr>
          <w:rFonts w:hint="cs"/>
          <w:rtl/>
        </w:rPr>
        <w:t xml:space="preserve"> یک فرایند بی پایان چرخه ای، شامل بازبینی همیشگی پس از عمل و یادگیری قبل از تولید </w:t>
      </w:r>
      <w:r w:rsidRPr="0025250D">
        <w:rPr>
          <w:rtl/>
        </w:rPr>
        <w:t>آینده‌نگاری</w:t>
      </w:r>
      <w:r w:rsidRPr="0025250D">
        <w:rPr>
          <w:rFonts w:hint="cs"/>
          <w:rtl/>
        </w:rPr>
        <w:t xml:space="preserve"> جدید می‌باشد. برای کمک به مشتریانمان برای </w:t>
      </w:r>
      <w:r w:rsidR="00B124DE" w:rsidRPr="0025250D">
        <w:rPr>
          <w:rFonts w:hint="cs"/>
          <w:rtl/>
        </w:rPr>
        <w:t>انطباق‌پذیر</w:t>
      </w:r>
      <w:r w:rsidRPr="0025250D">
        <w:rPr>
          <w:rFonts w:hint="cs"/>
          <w:rtl/>
        </w:rPr>
        <w:t xml:space="preserve">ی، ما به صحبت درمورد هر 8 مهارت و رابطه چرخه‌ای و تکراری میان </w:t>
      </w:r>
      <w:r w:rsidRPr="0025250D">
        <w:rPr>
          <w:rtl/>
        </w:rPr>
        <w:t>آینده‌نگاری</w:t>
      </w:r>
      <w:r w:rsidRPr="0025250D">
        <w:rPr>
          <w:rFonts w:hint="cs"/>
          <w:rtl/>
        </w:rPr>
        <w:t xml:space="preserve"> و عمل نیاز داریم.</w:t>
      </w:r>
    </w:p>
    <w:p w14:paraId="13A26C22" w14:textId="1A6C3950" w:rsidR="00537CC8" w:rsidRPr="0025250D" w:rsidRDefault="00537CC8" w:rsidP="00537CC8">
      <w:pPr>
        <w:rPr>
          <w:rtl/>
        </w:rPr>
      </w:pPr>
      <w:r w:rsidRPr="0025250D">
        <w:rPr>
          <w:rFonts w:hint="cs"/>
          <w:rtl/>
        </w:rPr>
        <w:t>بیایید نگاه مختصری به برخی از علوم پایه‌ای هشت مهارت داشته باشیم. اشاره کردیم که یک مدل پایه‌ای از علم شناختی</w:t>
      </w:r>
      <w:r w:rsidR="00EB61C4" w:rsidRPr="0025250D">
        <w:rPr>
          <w:rFonts w:hint="cs"/>
          <w:rtl/>
        </w:rPr>
        <w:t>،</w:t>
      </w:r>
      <w:r w:rsidRPr="0025250D">
        <w:rPr>
          <w:rFonts w:hint="cs"/>
          <w:rtl/>
        </w:rPr>
        <w:t xml:space="preserve"> چرخه درک-عمل در روانشناسی شناختی و روانشناسی اکولوژیکی است. یک نام فنی برای این چرخه، چرخه درک-تصمیم-عمل-بازخورد</w:t>
      </w:r>
      <w:r w:rsidRPr="0025250D">
        <w:rPr>
          <w:vertAlign w:val="superscript"/>
          <w:rtl/>
        </w:rPr>
        <w:footnoteReference w:id="2029"/>
      </w:r>
      <w:r w:rsidRPr="0025250D">
        <w:rPr>
          <w:rFonts w:hint="cs"/>
          <w:rtl/>
        </w:rPr>
        <w:t xml:space="preserve"> (</w:t>
      </w:r>
      <w:r w:rsidRPr="0025250D">
        <w:t>PDAF</w:t>
      </w:r>
      <w:r w:rsidRPr="0025250D">
        <w:rPr>
          <w:rFonts w:hint="cs"/>
          <w:rtl/>
        </w:rPr>
        <w:t xml:space="preserve">) است. برای اطلاعات بیش‌تر درمورد چرخه‌های </w:t>
      </w:r>
      <w:r w:rsidRPr="0025250D">
        <w:t>PDAF</w:t>
      </w:r>
      <w:r w:rsidRPr="0025250D">
        <w:rPr>
          <w:rFonts w:hint="cs"/>
          <w:rtl/>
        </w:rPr>
        <w:t xml:space="preserve">، کتاب کلاسیک </w:t>
      </w:r>
      <w:r w:rsidRPr="0025250D">
        <w:rPr>
          <w:rtl/>
        </w:rPr>
        <w:t>پچر</w:t>
      </w:r>
      <w:r w:rsidRPr="0025250D">
        <w:rPr>
          <w:vertAlign w:val="superscript"/>
          <w:rtl/>
        </w:rPr>
        <w:footnoteReference w:id="2030"/>
      </w:r>
      <w:r w:rsidRPr="0025250D">
        <w:rPr>
          <w:rFonts w:hint="cs"/>
          <w:rtl/>
        </w:rPr>
        <w:t xml:space="preserve"> و </w:t>
      </w:r>
      <w:r w:rsidRPr="0025250D">
        <w:rPr>
          <w:rtl/>
        </w:rPr>
        <w:t>زوان</w:t>
      </w:r>
      <w:r w:rsidRPr="0025250D">
        <w:rPr>
          <w:vertAlign w:val="superscript"/>
          <w:rtl/>
        </w:rPr>
        <w:footnoteReference w:id="2031"/>
      </w:r>
      <w:r w:rsidRPr="0025250D">
        <w:rPr>
          <w:rFonts w:hint="cs"/>
          <w:rtl/>
        </w:rPr>
        <w:t xml:space="preserve"> با عنوان </w:t>
      </w:r>
      <w:r w:rsidR="00E402E3" w:rsidRPr="0025250D">
        <w:rPr>
          <w:rtl/>
        </w:rPr>
        <w:t>«</w:t>
      </w:r>
      <w:r w:rsidR="00B124DE" w:rsidRPr="0025250D">
        <w:rPr>
          <w:rFonts w:hint="cs"/>
          <w:rtl/>
        </w:rPr>
        <w:t>پایه‌گذار</w:t>
      </w:r>
      <w:r w:rsidRPr="0025250D">
        <w:rPr>
          <w:rFonts w:hint="cs"/>
          <w:rtl/>
        </w:rPr>
        <w:t>ی شناخت</w:t>
      </w:r>
      <w:r w:rsidRPr="0025250D">
        <w:rPr>
          <w:vertAlign w:val="superscript"/>
          <w:rtl/>
        </w:rPr>
        <w:footnoteReference w:id="2032"/>
      </w:r>
      <w:r w:rsidR="00E402E3" w:rsidRPr="0025250D">
        <w:rPr>
          <w:rtl/>
        </w:rPr>
        <w:t>»</w:t>
      </w:r>
      <w:r w:rsidRPr="0025250D">
        <w:rPr>
          <w:rFonts w:hint="cs"/>
          <w:rtl/>
        </w:rPr>
        <w:t xml:space="preserve"> در سال 2010 را ببینید. برای </w:t>
      </w:r>
      <w:r w:rsidR="00B81BD2" w:rsidRPr="0025250D">
        <w:rPr>
          <w:rFonts w:hint="cs"/>
          <w:rtl/>
        </w:rPr>
        <w:t xml:space="preserve">دسترسی به </w:t>
      </w:r>
      <w:r w:rsidRPr="0025250D">
        <w:rPr>
          <w:rFonts w:hint="cs"/>
          <w:rtl/>
        </w:rPr>
        <w:t>مقدمه‌ای بر حرکت چرخه</w:t>
      </w:r>
      <w:r w:rsidR="00B81BD2" w:rsidRPr="0025250D">
        <w:rPr>
          <w:rFonts w:hint="cs"/>
          <w:rtl/>
        </w:rPr>
        <w:t>‌</w:t>
      </w:r>
      <w:r w:rsidRPr="0025250D">
        <w:rPr>
          <w:rFonts w:hint="cs"/>
          <w:rtl/>
        </w:rPr>
        <w:t xml:space="preserve">ای، رقابت و هماهنگی مدارهای طبیعی </w:t>
      </w:r>
      <w:r w:rsidR="00B81BD2" w:rsidRPr="0025250D">
        <w:rPr>
          <w:rFonts w:hint="cs"/>
          <w:rtl/>
        </w:rPr>
        <w:t>مغز</w:t>
      </w:r>
      <w:r w:rsidRPr="0025250D">
        <w:rPr>
          <w:rFonts w:hint="cs"/>
          <w:rtl/>
        </w:rPr>
        <w:t xml:space="preserve">، مطالعات فنی </w:t>
      </w:r>
      <w:r w:rsidRPr="0025250D">
        <w:rPr>
          <w:rtl/>
        </w:rPr>
        <w:t>گ</w:t>
      </w:r>
      <w:r w:rsidRPr="0025250D">
        <w:rPr>
          <w:rFonts w:hint="cs"/>
          <w:rtl/>
        </w:rPr>
        <w:t>ی</w:t>
      </w:r>
      <w:r w:rsidRPr="0025250D">
        <w:rPr>
          <w:rFonts w:hint="eastAsia"/>
          <w:rtl/>
        </w:rPr>
        <w:t>ورگ</w:t>
      </w:r>
      <w:r w:rsidRPr="0025250D">
        <w:rPr>
          <w:rFonts w:hint="cs"/>
          <w:rtl/>
        </w:rPr>
        <w:t>ی</w:t>
      </w:r>
      <w:r w:rsidRPr="0025250D">
        <w:rPr>
          <w:rtl/>
        </w:rPr>
        <w:t xml:space="preserve"> بوزاک</w:t>
      </w:r>
      <w:r w:rsidRPr="0025250D">
        <w:rPr>
          <w:rFonts w:hint="cs"/>
          <w:rtl/>
        </w:rPr>
        <w:t>ی</w:t>
      </w:r>
      <w:r w:rsidRPr="0025250D">
        <w:rPr>
          <w:vertAlign w:val="superscript"/>
          <w:rtl/>
        </w:rPr>
        <w:footnoteReference w:id="2033"/>
      </w:r>
      <w:r w:rsidRPr="0025250D">
        <w:rPr>
          <w:rFonts w:hint="cs"/>
          <w:rtl/>
        </w:rPr>
        <w:t xml:space="preserve"> را در کتاب </w:t>
      </w:r>
      <w:r w:rsidR="00E402E3" w:rsidRPr="0025250D">
        <w:rPr>
          <w:rtl/>
        </w:rPr>
        <w:t>«</w:t>
      </w:r>
      <w:r w:rsidRPr="0025250D">
        <w:rPr>
          <w:rFonts w:hint="cs"/>
          <w:rtl/>
        </w:rPr>
        <w:t>مغز از داخل به بیرون</w:t>
      </w:r>
      <w:r w:rsidRPr="0025250D">
        <w:rPr>
          <w:vertAlign w:val="superscript"/>
          <w:rtl/>
        </w:rPr>
        <w:footnoteReference w:id="2034"/>
      </w:r>
      <w:r w:rsidR="00E402E3" w:rsidRPr="0025250D">
        <w:rPr>
          <w:rtl/>
        </w:rPr>
        <w:t>»</w:t>
      </w:r>
      <w:r w:rsidRPr="0025250D">
        <w:rPr>
          <w:rFonts w:hint="cs"/>
          <w:rtl/>
        </w:rPr>
        <w:t xml:space="preserve"> در سال 2020 را ببینید. نامیدن این چرخه‌های فراگیر با</w:t>
      </w:r>
      <w:r w:rsidRPr="0025250D">
        <w:rPr>
          <w:rtl/>
        </w:rPr>
        <w:t xml:space="preserve"> </w:t>
      </w:r>
      <w:r w:rsidRPr="0025250D">
        <w:rPr>
          <w:rFonts w:hint="cs"/>
          <w:rtl/>
        </w:rPr>
        <w:t>عنوان</w:t>
      </w:r>
      <w:r w:rsidRPr="0025250D">
        <w:rPr>
          <w:rtl/>
        </w:rPr>
        <w:t xml:space="preserve"> </w:t>
      </w:r>
      <w:r w:rsidRPr="0025250D">
        <w:rPr>
          <w:rFonts w:hint="cs"/>
          <w:rtl/>
        </w:rPr>
        <w:t xml:space="preserve">حلقه‌های </w:t>
      </w:r>
      <w:r w:rsidRPr="0025250D">
        <w:t>LFAR</w:t>
      </w:r>
      <w:r w:rsidRPr="0025250D">
        <w:rPr>
          <w:rFonts w:hint="cs"/>
          <w:rtl/>
        </w:rPr>
        <w:t xml:space="preserve">، بجای چرخه‌های </w:t>
      </w:r>
      <w:r w:rsidRPr="0025250D">
        <w:t>PDAF</w:t>
      </w:r>
      <w:r w:rsidRPr="0025250D">
        <w:rPr>
          <w:rFonts w:hint="cs"/>
          <w:rtl/>
        </w:rPr>
        <w:t xml:space="preserve">، به ما امکان می‌دهد که نام‌ها را با کاربرد بیش‌تری در مدیریت </w:t>
      </w:r>
      <w:r w:rsidR="00701E03" w:rsidRPr="0025250D">
        <w:rPr>
          <w:rFonts w:hint="cs"/>
          <w:rtl/>
        </w:rPr>
        <w:t>راهبردی</w:t>
      </w:r>
      <w:r w:rsidRPr="0025250D">
        <w:rPr>
          <w:rFonts w:hint="cs"/>
          <w:rtl/>
        </w:rPr>
        <w:t xml:space="preserve"> استفاده کنیم.</w:t>
      </w:r>
    </w:p>
    <w:p w14:paraId="591B1371" w14:textId="443985AC" w:rsidR="00537CC8" w:rsidRPr="0025250D" w:rsidRDefault="00537CC8" w:rsidP="00537CC8">
      <w:pPr>
        <w:rPr>
          <w:rtl/>
        </w:rPr>
      </w:pPr>
      <w:r w:rsidRPr="0025250D">
        <w:t>LFAR</w:t>
      </w:r>
      <w:r w:rsidRPr="0025250D">
        <w:rPr>
          <w:rFonts w:hint="cs"/>
          <w:rtl/>
        </w:rPr>
        <w:t xml:space="preserve"> ساده‌ترین مدل ما برای چگونگی </w:t>
      </w:r>
      <w:r w:rsidR="00B13F65" w:rsidRPr="0025250D">
        <w:rPr>
          <w:rFonts w:hint="cs"/>
          <w:rtl/>
        </w:rPr>
        <w:t>یکپارچه‌سازی</w:t>
      </w:r>
      <w:r w:rsidRPr="0025250D">
        <w:rPr>
          <w:rFonts w:hint="cs"/>
          <w:rtl/>
        </w:rPr>
        <w:t xml:space="preserve"> </w:t>
      </w:r>
      <w:r w:rsidRPr="0025250D">
        <w:rPr>
          <w:rtl/>
        </w:rPr>
        <w:t>آینده‌نگاری</w:t>
      </w:r>
      <w:r w:rsidRPr="0025250D">
        <w:rPr>
          <w:rFonts w:hint="cs"/>
          <w:rtl/>
        </w:rPr>
        <w:t xml:space="preserve"> و عمل است. ابتدا، وضعیت موجود محیط اطراف خود را ارزیابی می‌کنیم (یادگیری)، سپس (</w:t>
      </w:r>
      <w:r w:rsidR="0060055A" w:rsidRPr="0025250D">
        <w:rPr>
          <w:rtl/>
        </w:rPr>
        <w:t>فراپایی</w:t>
      </w:r>
      <w:r w:rsidRPr="0025250D">
        <w:rPr>
          <w:rFonts w:hint="cs"/>
          <w:rtl/>
        </w:rPr>
        <w:t xml:space="preserve">) می‌کنیم، </w:t>
      </w:r>
      <w:r w:rsidR="00B81BD2" w:rsidRPr="0025250D">
        <w:rPr>
          <w:rFonts w:hint="cs"/>
          <w:rtl/>
        </w:rPr>
        <w:t>بعد</w:t>
      </w:r>
      <w:r w:rsidRPr="0025250D">
        <w:rPr>
          <w:rFonts w:hint="cs"/>
          <w:rtl/>
        </w:rPr>
        <w:t xml:space="preserve"> عمل می‌کنیم و در آخر باید نتایج اقدامات خود را تفسیر کنیم (بازبینی). ما باید از خود بپرسیم که: آیا تیم‌های ما در هر چهار مرحله </w:t>
      </w:r>
      <w:r w:rsidRPr="0025250D">
        <w:rPr>
          <w:rtl/>
        </w:rPr>
        <w:t>آینده‌نگاری</w:t>
      </w:r>
      <w:r w:rsidRPr="0025250D">
        <w:rPr>
          <w:rFonts w:hint="cs"/>
          <w:rtl/>
        </w:rPr>
        <w:t xml:space="preserve"> قوی هستند یا خیر؟ آیا هیچ یک به توجه یا بهبود بیش‌تری نیاز دارند؟ بیایید به تصویر هشت مهارت در فصل 2 باز گردیم. نام‌های خاکستری در شکل زیر به تأثیرات تحقیقات ابتدایی ما در ایجاد این مدل اشاره دارند:</w:t>
      </w:r>
    </w:p>
    <w:p w14:paraId="7EC5ADA3" w14:textId="34220589" w:rsidR="00537CC8" w:rsidRPr="0025250D" w:rsidRDefault="00D76D11" w:rsidP="00D76D11">
      <w:pPr>
        <w:jc w:val="center"/>
        <w:rPr>
          <w:rtl/>
        </w:rPr>
      </w:pPr>
      <w:r w:rsidRPr="0025250D">
        <w:rPr>
          <w:noProof/>
        </w:rPr>
        <w:drawing>
          <wp:inline distT="0" distB="0" distL="0" distR="0" wp14:anchorId="665E373A" wp14:editId="50CDCD96">
            <wp:extent cx="4531581" cy="4126727"/>
            <wp:effectExtent l="0" t="0" r="254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76" cstate="screen">
                      <a:extLst>
                        <a:ext uri="{28A0092B-C50C-407E-A947-70E740481C1C}">
                          <a14:useLocalDpi xmlns:a14="http://schemas.microsoft.com/office/drawing/2010/main"/>
                        </a:ext>
                      </a:extLst>
                    </a:blip>
                    <a:srcRect/>
                    <a:stretch>
                      <a:fillRect/>
                    </a:stretch>
                  </pic:blipFill>
                  <pic:spPr bwMode="auto">
                    <a:xfrm>
                      <a:off x="0" y="0"/>
                      <a:ext cx="4532892" cy="4127921"/>
                    </a:xfrm>
                    <a:prstGeom prst="rect">
                      <a:avLst/>
                    </a:prstGeom>
                    <a:noFill/>
                  </pic:spPr>
                </pic:pic>
              </a:graphicData>
            </a:graphic>
          </wp:inline>
        </w:drawing>
      </w:r>
    </w:p>
    <w:p w14:paraId="00A35362" w14:textId="594BB124" w:rsidR="00537CC8" w:rsidRPr="0025250D" w:rsidRDefault="00537CC8" w:rsidP="00537CC8">
      <w:pPr>
        <w:rPr>
          <w:rtl/>
        </w:rPr>
      </w:pPr>
      <w:r w:rsidRPr="0025250D">
        <w:rPr>
          <w:rFonts w:hint="cs"/>
          <w:rtl/>
        </w:rPr>
        <w:t xml:space="preserve">گفتیم که حلقه انجام توسط بسیاری از نظریه پردازان مدیریت و </w:t>
      </w:r>
      <w:r w:rsidR="0008779C" w:rsidRPr="0025250D">
        <w:rPr>
          <w:rFonts w:hint="cs"/>
          <w:rtl/>
        </w:rPr>
        <w:t>تصمیم‌گیری</w:t>
      </w:r>
      <w:r w:rsidRPr="0025250D">
        <w:rPr>
          <w:rFonts w:hint="cs"/>
          <w:rtl/>
        </w:rPr>
        <w:t xml:space="preserve">، معمولا بدون تشخیص فراگیری آن در روانشناسی شناختی استفاده شده است. برای مثال، چرخه انجام در مدل </w:t>
      </w:r>
      <w:r w:rsidRPr="0025250D">
        <w:rPr>
          <w:rtl/>
        </w:rPr>
        <w:t>د</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rtl/>
        </w:rPr>
        <w:t xml:space="preserve"> کولب</w:t>
      </w:r>
      <w:r w:rsidRPr="0025250D">
        <w:rPr>
          <w:vertAlign w:val="superscript"/>
          <w:rtl/>
        </w:rPr>
        <w:footnoteReference w:id="2035"/>
      </w:r>
      <w:r w:rsidRPr="0025250D">
        <w:rPr>
          <w:rFonts w:hint="cs"/>
          <w:rtl/>
        </w:rPr>
        <w:t xml:space="preserve"> از یادگیری تجربی</w:t>
      </w:r>
      <w:r w:rsidRPr="0025250D">
        <w:rPr>
          <w:vertAlign w:val="superscript"/>
          <w:rtl/>
        </w:rPr>
        <w:footnoteReference w:id="2036"/>
      </w:r>
      <w:r w:rsidRPr="0025250D">
        <w:rPr>
          <w:rFonts w:hint="cs"/>
          <w:rtl/>
        </w:rPr>
        <w:t xml:space="preserve">، مدل </w:t>
      </w:r>
      <w:r w:rsidRPr="0025250D">
        <w:rPr>
          <w:rtl/>
        </w:rPr>
        <w:t>ار</w:t>
      </w:r>
      <w:r w:rsidRPr="0025250D">
        <w:rPr>
          <w:rFonts w:hint="cs"/>
          <w:rtl/>
        </w:rPr>
        <w:t>ی</w:t>
      </w:r>
      <w:r w:rsidRPr="0025250D">
        <w:rPr>
          <w:rFonts w:hint="eastAsia"/>
          <w:rtl/>
        </w:rPr>
        <w:t>ک</w:t>
      </w:r>
      <w:r w:rsidRPr="0025250D">
        <w:rPr>
          <w:rtl/>
        </w:rPr>
        <w:t xml:space="preserve"> ار</w:t>
      </w:r>
      <w:r w:rsidRPr="0025250D">
        <w:rPr>
          <w:rFonts w:hint="cs"/>
          <w:rtl/>
        </w:rPr>
        <w:t>ی</w:t>
      </w:r>
      <w:r w:rsidRPr="0025250D">
        <w:rPr>
          <w:rFonts w:hint="eastAsia"/>
          <w:rtl/>
        </w:rPr>
        <w:t>کسون</w:t>
      </w:r>
      <w:r w:rsidRPr="0025250D">
        <w:rPr>
          <w:vertAlign w:val="superscript"/>
          <w:rtl/>
        </w:rPr>
        <w:footnoteReference w:id="2037"/>
      </w:r>
      <w:r w:rsidRPr="0025250D">
        <w:rPr>
          <w:rFonts w:hint="cs"/>
          <w:rtl/>
        </w:rPr>
        <w:t xml:space="preserve"> از اوج عملکرد</w:t>
      </w:r>
      <w:r w:rsidRPr="0025250D">
        <w:rPr>
          <w:vertAlign w:val="superscript"/>
          <w:rtl/>
        </w:rPr>
        <w:footnoteReference w:id="2038"/>
      </w:r>
      <w:r w:rsidRPr="0025250D">
        <w:rPr>
          <w:rFonts w:hint="cs"/>
          <w:rtl/>
        </w:rPr>
        <w:t xml:space="preserve">، مدل </w:t>
      </w:r>
      <w:r w:rsidRPr="0025250D">
        <w:rPr>
          <w:rtl/>
        </w:rPr>
        <w:t>ج</w:t>
      </w:r>
      <w:r w:rsidRPr="0025250D">
        <w:rPr>
          <w:rFonts w:hint="cs"/>
          <w:rtl/>
        </w:rPr>
        <w:t>ی</w:t>
      </w:r>
      <w:r w:rsidRPr="0025250D">
        <w:rPr>
          <w:rFonts w:hint="eastAsia"/>
          <w:rtl/>
        </w:rPr>
        <w:t>مز</w:t>
      </w:r>
      <w:r w:rsidRPr="0025250D">
        <w:rPr>
          <w:rtl/>
        </w:rPr>
        <w:t xml:space="preserve"> کل</w:t>
      </w:r>
      <w:r w:rsidRPr="0025250D">
        <w:rPr>
          <w:rFonts w:hint="cs"/>
          <w:rtl/>
        </w:rPr>
        <w:t>ی</w:t>
      </w:r>
      <w:r w:rsidRPr="0025250D">
        <w:rPr>
          <w:rFonts w:hint="eastAsia"/>
          <w:rtl/>
        </w:rPr>
        <w:t>ر</w:t>
      </w:r>
      <w:r w:rsidRPr="0025250D">
        <w:rPr>
          <w:vertAlign w:val="superscript"/>
          <w:rtl/>
        </w:rPr>
        <w:footnoteReference w:id="2039"/>
      </w:r>
      <w:r w:rsidRPr="0025250D">
        <w:rPr>
          <w:rFonts w:hint="cs"/>
          <w:rtl/>
        </w:rPr>
        <w:t xml:space="preserve"> از شکل گیری عادت، مدل </w:t>
      </w:r>
      <w:r w:rsidRPr="0025250D">
        <w:rPr>
          <w:rtl/>
        </w:rPr>
        <w:t>والتر شوهارت</w:t>
      </w:r>
      <w:r w:rsidRPr="0025250D">
        <w:rPr>
          <w:vertAlign w:val="superscript"/>
          <w:rtl/>
        </w:rPr>
        <w:footnoteReference w:id="2040"/>
      </w:r>
      <w:r w:rsidRPr="0025250D">
        <w:rPr>
          <w:rFonts w:hint="cs"/>
          <w:rtl/>
        </w:rPr>
        <w:t xml:space="preserve"> از </w:t>
      </w:r>
      <w:r w:rsidR="00B124DE" w:rsidRPr="0025250D">
        <w:rPr>
          <w:rFonts w:hint="cs"/>
          <w:rtl/>
        </w:rPr>
        <w:t>برنامه‌ریزی</w:t>
      </w:r>
      <w:r w:rsidRPr="0025250D">
        <w:rPr>
          <w:rFonts w:hint="cs"/>
          <w:rtl/>
        </w:rPr>
        <w:t xml:space="preserve"> </w:t>
      </w:r>
      <w:r w:rsidR="00701E03" w:rsidRPr="0025250D">
        <w:rPr>
          <w:rFonts w:hint="cs"/>
          <w:rtl/>
        </w:rPr>
        <w:t>راهبردی</w:t>
      </w:r>
      <w:r w:rsidRPr="0025250D">
        <w:rPr>
          <w:rFonts w:hint="cs"/>
          <w:rtl/>
        </w:rPr>
        <w:t xml:space="preserve">، مدل </w:t>
      </w:r>
      <w:r w:rsidRPr="0025250D">
        <w:rPr>
          <w:rtl/>
        </w:rPr>
        <w:t>ادواردز دم</w:t>
      </w:r>
      <w:r w:rsidRPr="0025250D">
        <w:rPr>
          <w:rFonts w:hint="cs"/>
          <w:rtl/>
        </w:rPr>
        <w:t>ی</w:t>
      </w:r>
      <w:r w:rsidRPr="0025250D">
        <w:rPr>
          <w:rFonts w:hint="eastAsia"/>
          <w:rtl/>
        </w:rPr>
        <w:t>نگ</w:t>
      </w:r>
      <w:r w:rsidRPr="0025250D">
        <w:rPr>
          <w:vertAlign w:val="superscript"/>
          <w:rtl/>
        </w:rPr>
        <w:footnoteReference w:id="2041"/>
      </w:r>
      <w:r w:rsidRPr="0025250D">
        <w:rPr>
          <w:rFonts w:hint="cs"/>
          <w:rtl/>
        </w:rPr>
        <w:t xml:space="preserve"> از مدیریت کیفیت، مدل </w:t>
      </w:r>
      <w:r w:rsidRPr="0025250D">
        <w:rPr>
          <w:rtl/>
        </w:rPr>
        <w:t>هربرت سا</w:t>
      </w:r>
      <w:r w:rsidRPr="0025250D">
        <w:rPr>
          <w:rFonts w:hint="cs"/>
          <w:rtl/>
        </w:rPr>
        <w:t>ی</w:t>
      </w:r>
      <w:r w:rsidRPr="0025250D">
        <w:rPr>
          <w:rFonts w:hint="eastAsia"/>
          <w:rtl/>
        </w:rPr>
        <w:t>مون</w:t>
      </w:r>
      <w:r w:rsidRPr="0025250D">
        <w:rPr>
          <w:vertAlign w:val="superscript"/>
          <w:rtl/>
        </w:rPr>
        <w:footnoteReference w:id="2042"/>
      </w:r>
      <w:r w:rsidRPr="0025250D">
        <w:rPr>
          <w:rFonts w:hint="cs"/>
          <w:rtl/>
        </w:rPr>
        <w:t xml:space="preserve"> از تفکر طراحی، مدل </w:t>
      </w:r>
      <w:r w:rsidRPr="0025250D">
        <w:rPr>
          <w:rtl/>
        </w:rPr>
        <w:t>جان بو</w:t>
      </w:r>
      <w:r w:rsidRPr="0025250D">
        <w:rPr>
          <w:rFonts w:hint="cs"/>
          <w:rtl/>
        </w:rPr>
        <w:t>ی</w:t>
      </w:r>
      <w:r w:rsidRPr="0025250D">
        <w:rPr>
          <w:rFonts w:hint="eastAsia"/>
          <w:rtl/>
        </w:rPr>
        <w:t>د</w:t>
      </w:r>
      <w:r w:rsidRPr="0025250D">
        <w:rPr>
          <w:rFonts w:hint="cs"/>
          <w:rtl/>
        </w:rPr>
        <w:t xml:space="preserve"> از تسلط نظامی و رقابتی، مدل </w:t>
      </w:r>
      <w:r w:rsidRPr="0025250D">
        <w:rPr>
          <w:rtl/>
        </w:rPr>
        <w:t>کنت بک</w:t>
      </w:r>
      <w:r w:rsidRPr="0025250D">
        <w:rPr>
          <w:vertAlign w:val="superscript"/>
          <w:rtl/>
        </w:rPr>
        <w:footnoteReference w:id="2043"/>
      </w:r>
      <w:r w:rsidRPr="0025250D">
        <w:rPr>
          <w:rFonts w:hint="cs"/>
          <w:rtl/>
        </w:rPr>
        <w:t xml:space="preserve"> از توسعه چابک، مدل </w:t>
      </w:r>
      <w:r w:rsidRPr="0025250D">
        <w:rPr>
          <w:rtl/>
        </w:rPr>
        <w:t>ار</w:t>
      </w:r>
      <w:r w:rsidRPr="0025250D">
        <w:rPr>
          <w:rFonts w:hint="cs"/>
          <w:rtl/>
        </w:rPr>
        <w:t>ی</w:t>
      </w:r>
      <w:r w:rsidRPr="0025250D">
        <w:rPr>
          <w:rFonts w:hint="eastAsia"/>
          <w:rtl/>
        </w:rPr>
        <w:t>ک</w:t>
      </w:r>
      <w:r w:rsidRPr="0025250D">
        <w:rPr>
          <w:rtl/>
        </w:rPr>
        <w:t xml:space="preserve"> ر</w:t>
      </w:r>
      <w:r w:rsidRPr="0025250D">
        <w:rPr>
          <w:rFonts w:hint="cs"/>
          <w:rtl/>
        </w:rPr>
        <w:t>ی</w:t>
      </w:r>
      <w:r w:rsidRPr="0025250D">
        <w:rPr>
          <w:rFonts w:hint="eastAsia"/>
          <w:rtl/>
        </w:rPr>
        <w:t>س</w:t>
      </w:r>
      <w:r w:rsidRPr="0025250D">
        <w:rPr>
          <w:vertAlign w:val="superscript"/>
          <w:rtl/>
        </w:rPr>
        <w:footnoteReference w:id="2044"/>
      </w:r>
      <w:r w:rsidRPr="0025250D">
        <w:rPr>
          <w:rFonts w:hint="cs"/>
          <w:rtl/>
        </w:rPr>
        <w:t xml:space="preserve"> از استارتاپ ناب و بسیاری دیگر نقش محوری دارد. این نویسندگان همگی از نام‌ها و شاخص‌های متفاوتی برای گام‌های چرخه خود استفاده می‌کنند </w:t>
      </w:r>
      <w:r w:rsidRPr="0025250D">
        <w:rPr>
          <w:rFonts w:cs="Times New Roman" w:hint="cs"/>
          <w:rtl/>
        </w:rPr>
        <w:t>–</w:t>
      </w:r>
      <w:r w:rsidRPr="0025250D">
        <w:rPr>
          <w:rFonts w:hint="cs"/>
          <w:rtl/>
        </w:rPr>
        <w:t xml:space="preserve"> و برخی اوقات بیش از چهار گام در چرخه‌های خود دارند </w:t>
      </w:r>
      <w:r w:rsidRPr="0025250D">
        <w:rPr>
          <w:rFonts w:cs="Times New Roman" w:hint="cs"/>
          <w:rtl/>
        </w:rPr>
        <w:t>–</w:t>
      </w:r>
      <w:r w:rsidRPr="0025250D">
        <w:rPr>
          <w:rFonts w:hint="cs"/>
          <w:rtl/>
        </w:rPr>
        <w:t xml:space="preserve"> اما از نظر ما، همگی درمورد این چرخه فراگیر و گام‌های آن صحبت می‌کنند.</w:t>
      </w:r>
    </w:p>
    <w:p w14:paraId="14C2922C" w14:textId="2206443B" w:rsidR="00537CC8" w:rsidRPr="0025250D" w:rsidRDefault="00537CC8" w:rsidP="00537CC8">
      <w:pPr>
        <w:rPr>
          <w:rtl/>
        </w:rPr>
      </w:pPr>
      <w:r w:rsidRPr="0025250D">
        <w:rPr>
          <w:rFonts w:hint="cs"/>
          <w:rtl/>
        </w:rPr>
        <w:t xml:space="preserve">بیایید مروری هم بر تصویر خود از سبک تفکر اولیه مورد استفاده در هر یک از این مهارت‌ها داشته باشیم. آیا شما متوجه استفاده خود از هر یک از این موارد می‌شوید؟ چند وقت یکبار و در کدام زمینه ها؟ به یاد آورید که چهار مهارت </w:t>
      </w:r>
      <w:r w:rsidRPr="0025250D">
        <w:rPr>
          <w:rtl/>
        </w:rPr>
        <w:t>آینده‌نگاری</w:t>
      </w:r>
      <w:r w:rsidRPr="0025250D">
        <w:rPr>
          <w:rFonts w:hint="cs"/>
          <w:rtl/>
        </w:rPr>
        <w:t xml:space="preserve"> شامل تفکر واگرا (تکاملی)، همگرا (توسعه ای)، واگرا و همگرا می‌شوند. چهار مهارت عملی، در مقابل، بر ترکیبی از تفکر </w:t>
      </w:r>
      <w:r w:rsidR="0076586B" w:rsidRPr="0025250D">
        <w:rPr>
          <w:rFonts w:hint="cs"/>
          <w:rtl/>
        </w:rPr>
        <w:t>انتقالی</w:t>
      </w:r>
      <w:r w:rsidR="0076586B" w:rsidRPr="0025250D">
        <w:rPr>
          <w:rStyle w:val="FootnoteReference"/>
          <w:rtl/>
        </w:rPr>
        <w:footnoteReference w:id="2045"/>
      </w:r>
      <w:r w:rsidRPr="0025250D">
        <w:rPr>
          <w:rFonts w:hint="cs"/>
          <w:rtl/>
        </w:rPr>
        <w:t xml:space="preserve">، </w:t>
      </w:r>
      <w:r w:rsidR="0076586B" w:rsidRPr="0025250D">
        <w:rPr>
          <w:rFonts w:hint="cs"/>
          <w:rtl/>
        </w:rPr>
        <w:t>تابشی</w:t>
      </w:r>
      <w:r w:rsidR="0076586B" w:rsidRPr="0025250D">
        <w:rPr>
          <w:rStyle w:val="FootnoteReference"/>
          <w:rtl/>
        </w:rPr>
        <w:footnoteReference w:id="2046"/>
      </w:r>
      <w:r w:rsidRPr="0025250D">
        <w:rPr>
          <w:rFonts w:hint="cs"/>
          <w:rtl/>
        </w:rPr>
        <w:t xml:space="preserve">، یکپارچه کننده و چرخه‌ای بستگی دارند. همه این‌ها همچنین فرایند‌های </w:t>
      </w:r>
      <w:r w:rsidR="0044659F" w:rsidRPr="0025250D">
        <w:rPr>
          <w:rFonts w:hint="cs"/>
          <w:rtl/>
        </w:rPr>
        <w:t>زیستی</w:t>
      </w:r>
      <w:r w:rsidRPr="0025250D">
        <w:rPr>
          <w:rFonts w:hint="cs"/>
          <w:rtl/>
        </w:rPr>
        <w:t xml:space="preserve"> کلیدی مورد استفاده شبکه‌های حیاتی برای عمل و </w:t>
      </w:r>
      <w:r w:rsidR="00B124DE" w:rsidRPr="0025250D">
        <w:rPr>
          <w:rFonts w:hint="cs"/>
          <w:rtl/>
        </w:rPr>
        <w:t>انطباق‌پذیر</w:t>
      </w:r>
      <w:r w:rsidRPr="0025250D">
        <w:rPr>
          <w:rFonts w:hint="cs"/>
          <w:rtl/>
        </w:rPr>
        <w:t>ی هستند.</w:t>
      </w:r>
    </w:p>
    <w:p w14:paraId="076E64FA" w14:textId="1F29A208" w:rsidR="00537CC8" w:rsidRPr="0025250D" w:rsidRDefault="00D76D11" w:rsidP="00D76D11">
      <w:pPr>
        <w:jc w:val="center"/>
        <w:rPr>
          <w:rtl/>
        </w:rPr>
      </w:pPr>
      <w:r w:rsidRPr="0025250D">
        <w:rPr>
          <w:noProof/>
        </w:rPr>
        <w:drawing>
          <wp:inline distT="0" distB="0" distL="0" distR="0" wp14:anchorId="5BF09CD0" wp14:editId="58BF1829">
            <wp:extent cx="5160397" cy="4220025"/>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77" cstate="screen">
                      <a:extLst>
                        <a:ext uri="{28A0092B-C50C-407E-A947-70E740481C1C}">
                          <a14:useLocalDpi xmlns:a14="http://schemas.microsoft.com/office/drawing/2010/main"/>
                        </a:ext>
                      </a:extLst>
                    </a:blip>
                    <a:srcRect/>
                    <a:stretch>
                      <a:fillRect/>
                    </a:stretch>
                  </pic:blipFill>
                  <pic:spPr bwMode="auto">
                    <a:xfrm>
                      <a:off x="0" y="0"/>
                      <a:ext cx="5174894" cy="4231880"/>
                    </a:xfrm>
                    <a:prstGeom prst="rect">
                      <a:avLst/>
                    </a:prstGeom>
                    <a:noFill/>
                  </pic:spPr>
                </pic:pic>
              </a:graphicData>
            </a:graphic>
          </wp:inline>
        </w:drawing>
      </w:r>
    </w:p>
    <w:p w14:paraId="31247245" w14:textId="6DCC4560" w:rsidR="00537CC8" w:rsidRPr="0025250D" w:rsidRDefault="00537CC8" w:rsidP="00537CC8">
      <w:pPr>
        <w:rPr>
          <w:rtl/>
        </w:rPr>
      </w:pPr>
      <w:r w:rsidRPr="0025250D">
        <w:rPr>
          <w:rFonts w:hint="cs"/>
          <w:rtl/>
        </w:rPr>
        <w:t xml:space="preserve">باز </w:t>
      </w:r>
      <w:r w:rsidR="0020589F" w:rsidRPr="0025250D">
        <w:rPr>
          <w:rtl/>
        </w:rPr>
        <w:t>هم</w:t>
      </w:r>
      <w:r w:rsidRPr="0025250D">
        <w:rPr>
          <w:rFonts w:hint="cs"/>
          <w:rtl/>
        </w:rPr>
        <w:t xml:space="preserve"> پیشنهاد می‌کنیم که هر 8 مهارت برای تیم‌های خوب نقشی محوری دارند. نمی‌توانیم هیچ یک از آن‌ها را نادیده بگیریم. اگر ما در یک یا چند مورد ضعیف باشیم، باید بهبود آن‌ها را </w:t>
      </w:r>
      <w:r w:rsidR="007118DE" w:rsidRPr="0025250D">
        <w:rPr>
          <w:rFonts w:hint="cs"/>
          <w:rtl/>
        </w:rPr>
        <w:t>اولویت‌بندی</w:t>
      </w:r>
      <w:r w:rsidRPr="0025250D">
        <w:rPr>
          <w:rFonts w:hint="cs"/>
          <w:rtl/>
        </w:rPr>
        <w:t xml:space="preserve"> کنیم، روال‌هایی حول آن‌ها ایجاد کنیم و تیم‌های خود را برای داشتن حداقل قدرت متوسط در همه هشت فرایند توسعه دهیم. باید همچنین مراقب استفاده بیش از حد و بد به کار بردن قوی‌ترین مهارت هایمان باشیم. پیوست 1 را برای </w:t>
      </w:r>
      <w:r w:rsidR="00B81BD2" w:rsidRPr="0025250D">
        <w:rPr>
          <w:rFonts w:hint="cs"/>
          <w:rtl/>
        </w:rPr>
        <w:t xml:space="preserve">دسترسی به </w:t>
      </w:r>
      <w:r w:rsidRPr="0025250D">
        <w:rPr>
          <w:rFonts w:hint="cs"/>
          <w:rtl/>
        </w:rPr>
        <w:t xml:space="preserve">پرسش‌هایی </w:t>
      </w:r>
      <w:r w:rsidR="00B81BD2" w:rsidRPr="0025250D">
        <w:rPr>
          <w:rFonts w:hint="cs"/>
          <w:rtl/>
        </w:rPr>
        <w:t>که</w:t>
      </w:r>
      <w:r w:rsidRPr="0025250D">
        <w:rPr>
          <w:rFonts w:hint="cs"/>
          <w:rtl/>
        </w:rPr>
        <w:t xml:space="preserve"> به تیم هایتان جهت تفکر دقیق در مورد نقاط قوت و ضعف فردی در این مهارت‌ها</w:t>
      </w:r>
      <w:r w:rsidR="00B81BD2" w:rsidRPr="0025250D">
        <w:rPr>
          <w:rFonts w:hint="cs"/>
          <w:rtl/>
        </w:rPr>
        <w:t xml:space="preserve"> کمک می کنند،</w:t>
      </w:r>
      <w:r w:rsidRPr="0025250D">
        <w:rPr>
          <w:rFonts w:hint="cs"/>
          <w:rtl/>
        </w:rPr>
        <w:t xml:space="preserve"> ببینید.</w:t>
      </w:r>
    </w:p>
    <w:p w14:paraId="5E40A009" w14:textId="72772611" w:rsidR="00537CC8" w:rsidRPr="0025250D" w:rsidRDefault="00537CC8" w:rsidP="00537CC8">
      <w:pPr>
        <w:rPr>
          <w:rtl/>
        </w:rPr>
      </w:pPr>
      <w:r w:rsidRPr="0025250D">
        <w:rPr>
          <w:rFonts w:hint="cs"/>
          <w:rtl/>
        </w:rPr>
        <w:t xml:space="preserve">در سازمان‌ها،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زیادی هر ساله تولید می‌شود، اما بخش زیادی از آن پس از تولید دست نخورده باقی می‌ماند </w:t>
      </w:r>
      <w:r w:rsidRPr="0025250D">
        <w:rPr>
          <w:rFonts w:cs="Times New Roman" w:hint="cs"/>
          <w:rtl/>
        </w:rPr>
        <w:t>–</w:t>
      </w:r>
      <w:r w:rsidRPr="0025250D">
        <w:rPr>
          <w:rFonts w:hint="cs"/>
          <w:rtl/>
        </w:rPr>
        <w:t xml:space="preserve"> خوانده نشده و بی استفاده </w:t>
      </w:r>
      <w:r w:rsidRPr="0025250D">
        <w:rPr>
          <w:rFonts w:cs="Times New Roman" w:hint="cs"/>
          <w:rtl/>
        </w:rPr>
        <w:t>–</w:t>
      </w:r>
      <w:r w:rsidRPr="0025250D">
        <w:rPr>
          <w:rFonts w:hint="cs"/>
          <w:rtl/>
        </w:rPr>
        <w:t xml:space="preserve"> زیرا هر هشت مهارت توسط رهبران و مدیران </w:t>
      </w:r>
      <w:r w:rsidR="007118DE" w:rsidRPr="0025250D">
        <w:rPr>
          <w:rFonts w:hint="cs"/>
          <w:rtl/>
        </w:rPr>
        <w:t>اولویت‌بندی</w:t>
      </w:r>
      <w:r w:rsidRPr="0025250D">
        <w:rPr>
          <w:rFonts w:hint="cs"/>
          <w:rtl/>
        </w:rPr>
        <w:t xml:space="preserve"> نشده‌اند. بخش زیادی از کارهای </w:t>
      </w:r>
      <w:r w:rsidRPr="0025250D">
        <w:rPr>
          <w:rtl/>
        </w:rPr>
        <w:t>آینده‌نگاری</w:t>
      </w:r>
      <w:r w:rsidRPr="0025250D">
        <w:rPr>
          <w:rFonts w:hint="cs"/>
          <w:rtl/>
        </w:rPr>
        <w:t xml:space="preserve"> سازمانی بعدا از نظر دقت یا بازگشت سرمایه‌ای که ایجاد </w:t>
      </w:r>
      <w:r w:rsidR="007118DE" w:rsidRPr="0025250D">
        <w:rPr>
          <w:rFonts w:hint="cs"/>
          <w:rtl/>
        </w:rPr>
        <w:t>کرده‌اند</w:t>
      </w:r>
      <w:r w:rsidRPr="0025250D">
        <w:rPr>
          <w:rFonts w:hint="cs"/>
          <w:rtl/>
        </w:rPr>
        <w:t xml:space="preserve"> ارزیابی (بازبینی) نمی‌شوند. مهارت </w:t>
      </w:r>
      <w:r w:rsidR="00701E03" w:rsidRPr="0025250D">
        <w:rPr>
          <w:rFonts w:hint="cs"/>
          <w:rtl/>
        </w:rPr>
        <w:t>راهبرد</w:t>
      </w:r>
      <w:r w:rsidRPr="0025250D">
        <w:rPr>
          <w:rFonts w:hint="cs"/>
          <w:rtl/>
        </w:rPr>
        <w:t xml:space="preserve"> ممکن است به سیاست‌ها و برنامه‌های هماهنگ منجر نشود، این موارد ممکن است به سه مهارت عملی محوری (</w:t>
      </w:r>
      <w:r w:rsidR="00E402E3" w:rsidRPr="0025250D">
        <w:rPr>
          <w:rtl/>
        </w:rPr>
        <w:t>«</w:t>
      </w:r>
      <w:r w:rsidRPr="0025250D">
        <w:rPr>
          <w:rFonts w:hint="cs"/>
          <w:rtl/>
        </w:rPr>
        <w:t>اقدامات هماهنگ</w:t>
      </w:r>
      <w:r w:rsidR="00E402E3" w:rsidRPr="0025250D">
        <w:rPr>
          <w:rtl/>
        </w:rPr>
        <w:t>»</w:t>
      </w:r>
      <w:r w:rsidRPr="0025250D">
        <w:rPr>
          <w:rFonts w:hint="cs"/>
          <w:rtl/>
        </w:rPr>
        <w:t xml:space="preserve"> </w:t>
      </w:r>
      <w:r w:rsidRPr="0025250D">
        <w:rPr>
          <w:rtl/>
        </w:rPr>
        <w:t>روملت</w:t>
      </w:r>
      <w:r w:rsidRPr="0025250D">
        <w:rPr>
          <w:rFonts w:hint="cs"/>
          <w:rtl/>
        </w:rPr>
        <w:t>) تفسیر</w:t>
      </w:r>
      <w:r w:rsidRPr="0025250D">
        <w:rPr>
          <w:rtl/>
        </w:rPr>
        <w:t xml:space="preserve"> </w:t>
      </w:r>
      <w:r w:rsidRPr="0025250D">
        <w:rPr>
          <w:rFonts w:hint="cs"/>
          <w:rtl/>
        </w:rPr>
        <w:t>نشوند</w:t>
      </w:r>
      <w:r w:rsidRPr="0025250D">
        <w:rPr>
          <w:rtl/>
        </w:rPr>
        <w:t xml:space="preserve"> </w:t>
      </w:r>
      <w:r w:rsidRPr="0025250D">
        <w:rPr>
          <w:rFonts w:hint="cs"/>
          <w:rtl/>
        </w:rPr>
        <w:t>یا مهارت بازبینی ممکن است نادیده گرفته شود، اغلب به این دلیل که رهبران اخبار بد را نمی‌خواهند.</w:t>
      </w:r>
    </w:p>
    <w:p w14:paraId="70486F17" w14:textId="46366264" w:rsidR="00537CC8" w:rsidRPr="0025250D" w:rsidRDefault="00537CC8" w:rsidP="00537CC8">
      <w:pPr>
        <w:rPr>
          <w:rtl/>
        </w:rPr>
      </w:pPr>
      <w:r w:rsidRPr="0025250D">
        <w:rPr>
          <w:rFonts w:hint="cs"/>
          <w:rtl/>
        </w:rPr>
        <w:t xml:space="preserve">یک نقد برای مدل هشت مهارت این است که ترتیب نوآوری و </w:t>
      </w:r>
      <w:r w:rsidR="00701E03" w:rsidRPr="0025250D">
        <w:rPr>
          <w:rFonts w:hint="cs"/>
          <w:rtl/>
        </w:rPr>
        <w:t>راهبرد</w:t>
      </w:r>
      <w:r w:rsidRPr="0025250D">
        <w:rPr>
          <w:rFonts w:hint="cs"/>
          <w:rtl/>
        </w:rPr>
        <w:t xml:space="preserve"> به نظر اشتباه می‌رسد. برخی منتقدین فکر می‌کنند که ما اول </w:t>
      </w:r>
      <w:r w:rsidR="00701E03" w:rsidRPr="0025250D">
        <w:rPr>
          <w:rFonts w:hint="cs"/>
          <w:rtl/>
        </w:rPr>
        <w:t>راهبرد</w:t>
      </w:r>
      <w:r w:rsidRPr="0025250D">
        <w:rPr>
          <w:rFonts w:hint="cs"/>
          <w:rtl/>
        </w:rPr>
        <w:t xml:space="preserve"> ایجاد می‌کنیم و سپس نوآوری می‌کنیم</w:t>
      </w:r>
      <w:r w:rsidR="008D6F97" w:rsidRPr="0025250D">
        <w:rPr>
          <w:rtl/>
        </w:rPr>
        <w:t xml:space="preserve">؛ </w:t>
      </w:r>
      <w:r w:rsidRPr="0025250D">
        <w:rPr>
          <w:rFonts w:hint="cs"/>
          <w:rtl/>
        </w:rPr>
        <w:t xml:space="preserve">اما این کار مفهوم نوآوری را اشتباه تعریف می‌کند و آن را تنها بر محصولات فیزیکی متمرکز می‌سازد. نوآوری در ابتدا ذهنی است و تنها پس از آن فیزیکی می‌شود. </w:t>
      </w:r>
      <w:r w:rsidR="007118DE" w:rsidRPr="0025250D">
        <w:rPr>
          <w:rFonts w:hint="cs"/>
          <w:rtl/>
        </w:rPr>
        <w:t>همان‌طور</w:t>
      </w:r>
      <w:r w:rsidRPr="0025250D">
        <w:rPr>
          <w:rFonts w:hint="cs"/>
          <w:rtl/>
        </w:rPr>
        <w:t xml:space="preserve"> که هرم </w:t>
      </w:r>
      <w:r w:rsidRPr="0025250D">
        <w:rPr>
          <w:rtl/>
        </w:rPr>
        <w:t>آینده‌نگاری</w:t>
      </w:r>
      <w:r w:rsidRPr="0025250D">
        <w:rPr>
          <w:rFonts w:hint="cs"/>
          <w:rtl/>
        </w:rPr>
        <w:t xml:space="preserve"> بیان می‌کند، نوآوری بررسی فضای موارد ممکن است. ما این کار را اول به ساده‌ترین شکل در ذهن خود انجام می‌دهیم و سپس به شکل آرام‌تر و گرانقیمت تری، به صورت فیزیکی انجام می‌دهیم. نوآوری مشخصاً به یادگیری و تخیل، برای یافتن ایده‌های جدید و به فرایند خوب، مانند تفکر طراحی وابسته است</w:t>
      </w:r>
      <w:r w:rsidR="008D6F97" w:rsidRPr="0025250D">
        <w:rPr>
          <w:rtl/>
        </w:rPr>
        <w:t xml:space="preserve">؛ </w:t>
      </w:r>
      <w:r w:rsidRPr="0025250D">
        <w:rPr>
          <w:rFonts w:hint="cs"/>
          <w:rtl/>
        </w:rPr>
        <w:t xml:space="preserve">اما در واقع به همه مهارت‌های </w:t>
      </w:r>
      <w:r w:rsidRPr="0025250D">
        <w:t>LAISEIRR</w:t>
      </w:r>
      <w:r w:rsidRPr="0025250D">
        <w:rPr>
          <w:rFonts w:hint="cs"/>
          <w:rtl/>
        </w:rPr>
        <w:t xml:space="preserve"> بستگی دارد. </w:t>
      </w:r>
      <w:r w:rsidR="00701E03" w:rsidRPr="0025250D">
        <w:rPr>
          <w:rFonts w:hint="cs"/>
          <w:rtl/>
        </w:rPr>
        <w:t>راهبرد</w:t>
      </w:r>
      <w:r w:rsidRPr="0025250D">
        <w:rPr>
          <w:rFonts w:hint="cs"/>
          <w:rtl/>
        </w:rPr>
        <w:t xml:space="preserve"> (و </w:t>
      </w:r>
      <w:r w:rsidR="00B124DE" w:rsidRPr="0025250D">
        <w:rPr>
          <w:rFonts w:hint="cs"/>
          <w:rtl/>
        </w:rPr>
        <w:t>برنامه‌ریزی</w:t>
      </w:r>
      <w:r w:rsidRPr="0025250D">
        <w:rPr>
          <w:rFonts w:hint="cs"/>
          <w:rtl/>
        </w:rPr>
        <w:t xml:space="preserve">) هر هشت مهارت را در بر می‌گیرد، اما مهم‌ترین نقش آن پس از </w:t>
      </w:r>
      <w:r w:rsidR="00B81BD2" w:rsidRPr="0025250D">
        <w:rPr>
          <w:rFonts w:hint="cs"/>
          <w:rtl/>
        </w:rPr>
        <w:t>انجام</w:t>
      </w:r>
      <w:r w:rsidRPr="0025250D">
        <w:rPr>
          <w:rFonts w:hint="cs"/>
          <w:rtl/>
        </w:rPr>
        <w:t xml:space="preserve"> مقداری نوآوری و قبل از نمونه سازی فیزیکی یا </w:t>
      </w:r>
      <w:r w:rsidR="00B81BD2" w:rsidRPr="0025250D">
        <w:rPr>
          <w:rFonts w:hint="cs"/>
          <w:rtl/>
        </w:rPr>
        <w:t xml:space="preserve">انجام </w:t>
      </w:r>
      <w:r w:rsidRPr="0025250D">
        <w:rPr>
          <w:rFonts w:hint="cs"/>
          <w:rtl/>
        </w:rPr>
        <w:t>اقدامات جدید (اجرا)</w:t>
      </w:r>
      <w:r w:rsidR="00B81BD2" w:rsidRPr="0025250D">
        <w:rPr>
          <w:rFonts w:hint="cs"/>
          <w:rtl/>
        </w:rPr>
        <w:t xml:space="preserve"> خواهد بود</w:t>
      </w:r>
      <w:r w:rsidRPr="0025250D">
        <w:rPr>
          <w:rFonts w:hint="cs"/>
          <w:rtl/>
        </w:rPr>
        <w:t xml:space="preserve">. سپس تأثیرگذاری (یادگیری در صورتی که کسی خواهان نوآوری ما باشد)، </w:t>
      </w:r>
      <w:r w:rsidR="0008779C" w:rsidRPr="0025250D">
        <w:rPr>
          <w:rFonts w:hint="cs"/>
          <w:rtl/>
        </w:rPr>
        <w:t>ارتباط‌دهی</w:t>
      </w:r>
      <w:r w:rsidRPr="0025250D">
        <w:rPr>
          <w:rFonts w:hint="cs"/>
          <w:rtl/>
        </w:rPr>
        <w:t xml:space="preserve"> و بازبینی رخ می‌دهند.</w:t>
      </w:r>
    </w:p>
    <w:p w14:paraId="25DACA94" w14:textId="37DCA6D5" w:rsidR="00537CC8" w:rsidRPr="0025250D" w:rsidRDefault="00537CC8" w:rsidP="00537CC8">
      <w:pPr>
        <w:rPr>
          <w:rtl/>
        </w:rPr>
      </w:pPr>
      <w:r w:rsidRPr="0025250D">
        <w:rPr>
          <w:rFonts w:hint="cs"/>
          <w:rtl/>
        </w:rPr>
        <w:t xml:space="preserve">استفاده تکراری از مهارت‌های </w:t>
      </w:r>
      <w:r w:rsidRPr="0025250D">
        <w:t>LAISEIRR</w:t>
      </w:r>
      <w:r w:rsidRPr="0025250D">
        <w:rPr>
          <w:rFonts w:hint="cs"/>
          <w:rtl/>
        </w:rPr>
        <w:t xml:space="preserve">، اجرای حلقه‌های انجام، طریقه تفسیر ایده‌ها (نوآوری ذهنی) به محصولات و خدمات مورد درخواست مردم (نوآوری فیزیکی) است. این ترتیب مورد حمایت نظریه یادگیری عملی است که به ما می‌گوید که ابتدا کاوش می‌کنیم </w:t>
      </w:r>
      <w:r w:rsidRPr="0025250D">
        <w:rPr>
          <w:rFonts w:cs="Times New Roman" w:hint="cs"/>
          <w:rtl/>
        </w:rPr>
        <w:t>–</w:t>
      </w:r>
      <w:r w:rsidRPr="0025250D">
        <w:rPr>
          <w:rFonts w:hint="cs"/>
          <w:rtl/>
        </w:rPr>
        <w:t xml:space="preserve"> در نوآوری ذهنی </w:t>
      </w:r>
      <w:r w:rsidRPr="0025250D">
        <w:rPr>
          <w:rFonts w:cs="Times New Roman" w:hint="cs"/>
          <w:rtl/>
        </w:rPr>
        <w:t>–</w:t>
      </w:r>
      <w:r w:rsidRPr="0025250D">
        <w:rPr>
          <w:rFonts w:hint="cs"/>
          <w:rtl/>
        </w:rPr>
        <w:t xml:space="preserve"> و سپس عمل کرده، نمونه سازی می‌کنیم و حتی پس از آن، محصولات قابل عرضه در بازار تولید می‌نماییم. برای اطلاعات بیش‌تر، کتاب </w:t>
      </w:r>
      <w:r w:rsidR="00E402E3" w:rsidRPr="0025250D">
        <w:rPr>
          <w:rtl/>
        </w:rPr>
        <w:t>«</w:t>
      </w:r>
      <w:r w:rsidRPr="0025250D">
        <w:rPr>
          <w:rFonts w:hint="cs"/>
          <w:rtl/>
        </w:rPr>
        <w:t>یادگیری آزمایشی</w:t>
      </w:r>
      <w:r w:rsidRPr="0025250D">
        <w:rPr>
          <w:vertAlign w:val="superscript"/>
          <w:rtl/>
        </w:rPr>
        <w:footnoteReference w:id="2047"/>
      </w:r>
      <w:r w:rsidR="00E402E3" w:rsidRPr="0025250D">
        <w:rPr>
          <w:rtl/>
        </w:rPr>
        <w:t>»</w:t>
      </w:r>
      <w:r w:rsidRPr="0025250D">
        <w:rPr>
          <w:rFonts w:hint="cs"/>
          <w:rtl/>
        </w:rPr>
        <w:t xml:space="preserve"> ویرایش دوم اثر </w:t>
      </w:r>
      <w:r w:rsidRPr="0025250D">
        <w:rPr>
          <w:rtl/>
        </w:rPr>
        <w:t>د</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rtl/>
        </w:rPr>
        <w:t xml:space="preserve"> کولب</w:t>
      </w:r>
      <w:r w:rsidRPr="0025250D">
        <w:rPr>
          <w:rFonts w:hint="cs"/>
          <w:rtl/>
        </w:rPr>
        <w:t xml:space="preserve"> در سال 2014</w:t>
      </w:r>
      <w:r w:rsidR="00875BFA" w:rsidRPr="0025250D">
        <w:rPr>
          <w:rFonts w:hint="cs"/>
          <w:rtl/>
        </w:rPr>
        <w:t xml:space="preserve"> را به عنوان</w:t>
      </w:r>
      <w:r w:rsidRPr="0025250D">
        <w:rPr>
          <w:rFonts w:hint="cs"/>
          <w:rtl/>
        </w:rPr>
        <w:t xml:space="preserve"> یک متن کلاسیک درمورد یادگیری و انجام ببینید.</w:t>
      </w:r>
    </w:p>
    <w:p w14:paraId="559A681B" w14:textId="26F90D13" w:rsidR="00537CC8" w:rsidRPr="0025250D" w:rsidRDefault="007118DE" w:rsidP="00537CC8">
      <w:pPr>
        <w:rPr>
          <w:rtl/>
        </w:rPr>
      </w:pPr>
      <w:r w:rsidRPr="0025250D">
        <w:rPr>
          <w:rFonts w:hint="cs"/>
          <w:rtl/>
        </w:rPr>
        <w:t>همان‌طور</w:t>
      </w:r>
      <w:r w:rsidR="00537CC8" w:rsidRPr="0025250D">
        <w:rPr>
          <w:rFonts w:hint="cs"/>
          <w:rtl/>
        </w:rPr>
        <w:t xml:space="preserve"> که </w:t>
      </w:r>
      <w:r w:rsidR="00537CC8" w:rsidRPr="0025250D">
        <w:rPr>
          <w:rtl/>
        </w:rPr>
        <w:t>بو</w:t>
      </w:r>
      <w:r w:rsidR="00537CC8" w:rsidRPr="0025250D">
        <w:rPr>
          <w:rFonts w:hint="cs"/>
          <w:rtl/>
        </w:rPr>
        <w:t>ی</w:t>
      </w:r>
      <w:r w:rsidR="00537CC8" w:rsidRPr="0025250D">
        <w:rPr>
          <w:rFonts w:hint="eastAsia"/>
          <w:rtl/>
        </w:rPr>
        <w:t>د</w:t>
      </w:r>
      <w:r w:rsidR="00537CC8" w:rsidRPr="0025250D">
        <w:rPr>
          <w:rFonts w:hint="cs"/>
          <w:rtl/>
        </w:rPr>
        <w:t xml:space="preserve"> ممکن است موافق باشد، در کنار کشف همه حلقه‌های انجام مهم، فعالان </w:t>
      </w:r>
      <w:r w:rsidR="00537CC8" w:rsidRPr="0025250D">
        <w:rPr>
          <w:rtl/>
        </w:rPr>
        <w:t>آینده‌نگاری</w:t>
      </w:r>
      <w:r w:rsidR="00537CC8" w:rsidRPr="0025250D">
        <w:rPr>
          <w:rFonts w:hint="cs"/>
          <w:rtl/>
        </w:rPr>
        <w:t xml:space="preserve"> باید از این که تکرار، قدرت و کیفیت مناسب را در هر حلقه مرتبط با مشکل کارسپار و پایش خود دارند اطمینان حاصل کنند (یک ارزیابی </w:t>
      </w:r>
      <w:r w:rsidR="00537CC8" w:rsidRPr="0025250D">
        <w:t>FSQ</w:t>
      </w:r>
      <w:r w:rsidR="00537CC8" w:rsidRPr="0025250D">
        <w:rPr>
          <w:rFonts w:hint="cs"/>
          <w:rtl/>
        </w:rPr>
        <w:t xml:space="preserve"> انجام دهند). تحلیلگران کیفی </w:t>
      </w:r>
      <w:r w:rsidR="00537CC8" w:rsidRPr="0025250D">
        <w:rPr>
          <w:rtl/>
        </w:rPr>
        <w:t>(ادوارد دم</w:t>
      </w:r>
      <w:r w:rsidR="00537CC8" w:rsidRPr="0025250D">
        <w:rPr>
          <w:rFonts w:hint="cs"/>
          <w:rtl/>
        </w:rPr>
        <w:t>ی</w:t>
      </w:r>
      <w:r w:rsidR="00537CC8" w:rsidRPr="0025250D">
        <w:rPr>
          <w:rFonts w:hint="eastAsia"/>
          <w:rtl/>
        </w:rPr>
        <w:t>نگ</w:t>
      </w:r>
      <w:r w:rsidR="00537CC8" w:rsidRPr="0025250D">
        <w:rPr>
          <w:rtl/>
        </w:rPr>
        <w:t>)</w:t>
      </w:r>
      <w:r w:rsidR="00537CC8" w:rsidRPr="0025250D">
        <w:rPr>
          <w:rFonts w:hint="cs"/>
          <w:rtl/>
        </w:rPr>
        <w:t xml:space="preserve"> مشخصاً از ارزش شناسایی و پایش همه حلقه‌های کیفی آگاه هستند. در رأس این تمرکز حلقه انجام، همچنین توصیه می‌کنیم که فعالان بر رشد درک و استفاده خود از هر یک از هشت مهارت، کشف نواقص مهارتی خود و </w:t>
      </w:r>
      <w:r w:rsidR="0008779C" w:rsidRPr="0025250D">
        <w:rPr>
          <w:rFonts w:hint="cs"/>
          <w:rtl/>
        </w:rPr>
        <w:t>تصمیم‌گیری</w:t>
      </w:r>
      <w:r w:rsidR="00537CC8" w:rsidRPr="0025250D">
        <w:rPr>
          <w:rFonts w:hint="cs"/>
          <w:rtl/>
        </w:rPr>
        <w:t xml:space="preserve"> درمورد این که کدام </w:t>
      </w:r>
      <w:r w:rsidR="00701E03" w:rsidRPr="0025250D">
        <w:rPr>
          <w:rFonts w:hint="cs"/>
          <w:rtl/>
        </w:rPr>
        <w:t>راهبرد</w:t>
      </w:r>
      <w:r w:rsidR="00537CC8" w:rsidRPr="0025250D">
        <w:rPr>
          <w:rFonts w:hint="cs"/>
          <w:rtl/>
        </w:rPr>
        <w:t>‌ها و روش‌ها می‌توانند به بهترین شکل به آن‌ها برای بهبود هر مهارت کمک کنند تمرکز نمایند. بیایید مجددا مروری بر هشت مهارت داشته و چگونگی ارتباط آن‌ها با بیست تخصص را بررسی کنیم که این کار به طور خلاصه در فهرست زیر انجام شده است:</w:t>
      </w:r>
    </w:p>
    <w:p w14:paraId="1F98B392" w14:textId="2B32BE34" w:rsidR="00537CC8" w:rsidRPr="0025250D" w:rsidRDefault="00537CC8" w:rsidP="00537CC8">
      <w:r w:rsidRPr="0025250D">
        <w:rPr>
          <w:rFonts w:hint="cs"/>
          <w:rtl/>
        </w:rPr>
        <w:t xml:space="preserve">الف) یادگیری (یا </w:t>
      </w:r>
      <w:r w:rsidR="00E402E3" w:rsidRPr="0025250D">
        <w:rPr>
          <w:rtl/>
        </w:rPr>
        <w:t>«</w:t>
      </w:r>
      <w:r w:rsidRPr="0025250D">
        <w:rPr>
          <w:rFonts w:hint="cs"/>
          <w:rtl/>
        </w:rPr>
        <w:t>بینش</w:t>
      </w:r>
      <w:r w:rsidR="00E402E3" w:rsidRPr="0025250D">
        <w:rPr>
          <w:rtl/>
        </w:rPr>
        <w:t>»</w:t>
      </w:r>
      <w:r w:rsidRPr="0025250D">
        <w:rPr>
          <w:rFonts w:hint="cs"/>
          <w:rtl/>
        </w:rPr>
        <w:t>)</w:t>
      </w:r>
    </w:p>
    <w:p w14:paraId="402DA0C3" w14:textId="5922D82F" w:rsidR="00537CC8" w:rsidRPr="0025250D" w:rsidRDefault="00537CC8" w:rsidP="00492C47">
      <w:pPr>
        <w:numPr>
          <w:ilvl w:val="0"/>
          <w:numId w:val="43"/>
        </w:numPr>
      </w:pPr>
      <w:r w:rsidRPr="0025250D">
        <w:rPr>
          <w:rFonts w:hint="cs"/>
          <w:rtl/>
        </w:rPr>
        <w:t xml:space="preserve">یادگیری </w:t>
      </w:r>
      <w:r w:rsidRPr="0025250D">
        <w:rPr>
          <w:rFonts w:cs="Times New Roman" w:hint="cs"/>
          <w:rtl/>
        </w:rPr>
        <w:t>–</w:t>
      </w:r>
      <w:r w:rsidRPr="0025250D">
        <w:rPr>
          <w:rFonts w:hint="cs"/>
          <w:rtl/>
        </w:rPr>
        <w:t xml:space="preserve"> </w:t>
      </w:r>
      <w:r w:rsidR="00E402E3" w:rsidRPr="0025250D">
        <w:rPr>
          <w:rtl/>
        </w:rPr>
        <w:t>«</w:t>
      </w:r>
      <w:r w:rsidRPr="0025250D">
        <w:rPr>
          <w:rFonts w:hint="cs"/>
          <w:rtl/>
        </w:rPr>
        <w:t>دانستن تاریخ و وضعیت خود</w:t>
      </w:r>
      <w:r w:rsidR="00E402E3" w:rsidRPr="0025250D">
        <w:rPr>
          <w:rtl/>
        </w:rPr>
        <w:t>»</w:t>
      </w:r>
      <w:r w:rsidRPr="0025250D">
        <w:rPr>
          <w:rFonts w:hint="cs"/>
          <w:rtl/>
        </w:rPr>
        <w:t xml:space="preserve"> (تفکر </w:t>
      </w:r>
      <w:r w:rsidR="00127288" w:rsidRPr="0025250D">
        <w:rPr>
          <w:rFonts w:hint="cs"/>
          <w:rtl/>
        </w:rPr>
        <w:t>جستجوگر</w:t>
      </w:r>
      <w:r w:rsidRPr="0025250D">
        <w:rPr>
          <w:rFonts w:hint="cs"/>
          <w:rtl/>
        </w:rPr>
        <w:t>). تخصص ها: حسابداری و دارایی‌های ناملموس، اطلاعات و مدیریت دانش، یادگیری و توسعه</w:t>
      </w:r>
    </w:p>
    <w:p w14:paraId="317D1F93" w14:textId="6A074B73" w:rsidR="00537CC8" w:rsidRPr="0025250D" w:rsidRDefault="00537CC8" w:rsidP="00537CC8">
      <w:pPr>
        <w:rPr>
          <w:rtl/>
        </w:rPr>
      </w:pPr>
      <w:r w:rsidRPr="0025250D">
        <w:rPr>
          <w:rFonts w:hint="cs"/>
          <w:rtl/>
        </w:rPr>
        <w:t xml:space="preserve">ب) </w:t>
      </w:r>
      <w:r w:rsidRPr="0025250D">
        <w:rPr>
          <w:rtl/>
        </w:rPr>
        <w:t>آینده‌نگاری</w:t>
      </w:r>
    </w:p>
    <w:p w14:paraId="28310FDD" w14:textId="3AE5B050" w:rsidR="00537CC8" w:rsidRPr="0025250D" w:rsidRDefault="00923DDB" w:rsidP="00492C47">
      <w:pPr>
        <w:numPr>
          <w:ilvl w:val="0"/>
          <w:numId w:val="43"/>
        </w:numPr>
        <w:rPr>
          <w:rtl/>
        </w:rPr>
      </w:pPr>
      <w:r w:rsidRPr="0025250D">
        <w:rPr>
          <w:rFonts w:hint="cs"/>
          <w:rtl/>
        </w:rPr>
        <w:t>پیش‌انگاری</w:t>
      </w:r>
      <w:r w:rsidR="00537CC8" w:rsidRPr="0025250D">
        <w:rPr>
          <w:rFonts w:hint="cs"/>
          <w:rtl/>
        </w:rPr>
        <w:t xml:space="preserve"> </w:t>
      </w:r>
      <w:r w:rsidR="00537CC8" w:rsidRPr="0025250D">
        <w:rPr>
          <w:rFonts w:cs="Times New Roman" w:hint="cs"/>
          <w:rtl/>
        </w:rPr>
        <w:t>–</w:t>
      </w:r>
      <w:r w:rsidR="00537CC8" w:rsidRPr="0025250D">
        <w:rPr>
          <w:rFonts w:hint="cs"/>
          <w:rtl/>
        </w:rPr>
        <w:t xml:space="preserve"> </w:t>
      </w:r>
      <w:r w:rsidR="00E402E3" w:rsidRPr="0025250D">
        <w:rPr>
          <w:rtl/>
        </w:rPr>
        <w:t>«</w:t>
      </w:r>
      <w:r w:rsidR="00537CC8" w:rsidRPr="0025250D">
        <w:rPr>
          <w:rtl/>
        </w:rPr>
        <w:t>آینده‌نگاری</w:t>
      </w:r>
      <w:r w:rsidR="00537CC8" w:rsidRPr="0025250D">
        <w:rPr>
          <w:rFonts w:hint="cs"/>
          <w:rtl/>
        </w:rPr>
        <w:t xml:space="preserve"> موارد محتمل</w:t>
      </w:r>
      <w:r w:rsidR="00E402E3" w:rsidRPr="0025250D">
        <w:rPr>
          <w:rtl/>
        </w:rPr>
        <w:t>»</w:t>
      </w:r>
      <w:r w:rsidR="00537CC8" w:rsidRPr="0025250D">
        <w:rPr>
          <w:rFonts w:hint="cs"/>
          <w:rtl/>
        </w:rPr>
        <w:t xml:space="preserve"> (تفکر همگرا). تخصص ها: علوم داده و یادگیری ماشین، </w:t>
      </w:r>
      <w:r w:rsidR="00FB6A7E" w:rsidRPr="0025250D">
        <w:rPr>
          <w:rFonts w:hint="cs"/>
          <w:rtl/>
        </w:rPr>
        <w:t>پیش‌نگری</w:t>
      </w:r>
      <w:r w:rsidR="00537CC8" w:rsidRPr="0025250D">
        <w:rPr>
          <w:rFonts w:hint="cs"/>
          <w:rtl/>
        </w:rPr>
        <w:t xml:space="preserve"> و </w:t>
      </w:r>
      <w:r w:rsidR="00D92F6E" w:rsidRPr="0025250D">
        <w:rPr>
          <w:rFonts w:hint="cs"/>
          <w:rtl/>
        </w:rPr>
        <w:t>پیش‌بین</w:t>
      </w:r>
      <w:r w:rsidR="00537CC8" w:rsidRPr="0025250D">
        <w:rPr>
          <w:rFonts w:hint="cs"/>
          <w:rtl/>
        </w:rPr>
        <w:t xml:space="preserve">ی، </w:t>
      </w:r>
      <w:r w:rsidR="00F50EB4" w:rsidRPr="0025250D">
        <w:rPr>
          <w:rFonts w:hint="cs"/>
          <w:rtl/>
        </w:rPr>
        <w:t>سرمایه‌گذاری</w:t>
      </w:r>
      <w:r w:rsidR="00537CC8" w:rsidRPr="0025250D">
        <w:rPr>
          <w:rFonts w:hint="cs"/>
          <w:rtl/>
        </w:rPr>
        <w:t xml:space="preserve"> و امور مالی، قانون و امنیت، مدریت ریسک و بیمه</w:t>
      </w:r>
    </w:p>
    <w:p w14:paraId="7D3A535E" w14:textId="53995299" w:rsidR="00537CC8" w:rsidRPr="0025250D" w:rsidRDefault="00537CC8" w:rsidP="00492C47">
      <w:pPr>
        <w:numPr>
          <w:ilvl w:val="0"/>
          <w:numId w:val="43"/>
        </w:numPr>
        <w:rPr>
          <w:rtl/>
        </w:rPr>
      </w:pPr>
      <w:r w:rsidRPr="0025250D">
        <w:rPr>
          <w:rFonts w:hint="cs"/>
          <w:rtl/>
        </w:rPr>
        <w:t xml:space="preserve">نوآوری </w:t>
      </w:r>
      <w:r w:rsidRPr="0025250D">
        <w:rPr>
          <w:rFonts w:cs="Times New Roman" w:hint="cs"/>
          <w:rtl/>
        </w:rPr>
        <w:t>–</w:t>
      </w:r>
      <w:r w:rsidRPr="0025250D">
        <w:rPr>
          <w:rFonts w:hint="cs"/>
          <w:rtl/>
        </w:rPr>
        <w:t xml:space="preserve"> </w:t>
      </w:r>
      <w:r w:rsidR="00E402E3" w:rsidRPr="0025250D">
        <w:rPr>
          <w:rtl/>
        </w:rPr>
        <w:t>«</w:t>
      </w:r>
      <w:r w:rsidRPr="0025250D">
        <w:rPr>
          <w:rtl/>
        </w:rPr>
        <w:t>آینده‌نگاری</w:t>
      </w:r>
      <w:r w:rsidRPr="0025250D">
        <w:rPr>
          <w:rFonts w:hint="cs"/>
          <w:rtl/>
        </w:rPr>
        <w:t xml:space="preserve"> موارد ممکن</w:t>
      </w:r>
      <w:r w:rsidR="00E402E3" w:rsidRPr="0025250D">
        <w:rPr>
          <w:rtl/>
        </w:rPr>
        <w:t>»</w:t>
      </w:r>
      <w:r w:rsidRPr="0025250D">
        <w:rPr>
          <w:rFonts w:hint="cs"/>
          <w:rtl/>
        </w:rPr>
        <w:t xml:space="preserve"> (تفکر واگرا). تخصص ها: راهکارهای </w:t>
      </w:r>
      <w:r w:rsidR="00563645" w:rsidRPr="0025250D">
        <w:rPr>
          <w:rFonts w:hint="cs"/>
          <w:rtl/>
        </w:rPr>
        <w:t>بدیل</w:t>
      </w:r>
      <w:r w:rsidRPr="0025250D">
        <w:rPr>
          <w:rFonts w:hint="cs"/>
          <w:rtl/>
        </w:rPr>
        <w:t xml:space="preserve"> و </w:t>
      </w:r>
      <w:r w:rsidR="007A53FD" w:rsidRPr="0025250D">
        <w:rPr>
          <w:rFonts w:hint="cs"/>
          <w:rtl/>
        </w:rPr>
        <w:t>فرانامه</w:t>
      </w:r>
      <w:r w:rsidRPr="0025250D">
        <w:rPr>
          <w:rFonts w:hint="cs"/>
          <w:rtl/>
        </w:rPr>
        <w:t>‌ها، کارآفرینی و کارآفرینی سازمانی، تسهیل و بازی سازی، ایده پردازی و طراحی، نوآوری و تحقیق و توسعه</w:t>
      </w:r>
    </w:p>
    <w:p w14:paraId="419D454B" w14:textId="2E00B734" w:rsidR="00537CC8" w:rsidRPr="0025250D" w:rsidRDefault="00701E03" w:rsidP="00492C47">
      <w:pPr>
        <w:numPr>
          <w:ilvl w:val="0"/>
          <w:numId w:val="43"/>
        </w:numPr>
      </w:pPr>
      <w:r w:rsidRPr="0025250D">
        <w:rPr>
          <w:rFonts w:hint="cs"/>
          <w:rtl/>
        </w:rPr>
        <w:t>راهبرد</w:t>
      </w:r>
      <w:r w:rsidR="00537CC8" w:rsidRPr="0025250D">
        <w:rPr>
          <w:rFonts w:hint="cs"/>
          <w:rtl/>
        </w:rPr>
        <w:t xml:space="preserve"> </w:t>
      </w:r>
      <w:r w:rsidR="00537CC8" w:rsidRPr="0025250D">
        <w:rPr>
          <w:rFonts w:cs="Times New Roman" w:hint="cs"/>
          <w:rtl/>
        </w:rPr>
        <w:t>–</w:t>
      </w:r>
      <w:r w:rsidR="00537CC8" w:rsidRPr="0025250D">
        <w:rPr>
          <w:rFonts w:hint="cs"/>
          <w:rtl/>
        </w:rPr>
        <w:t xml:space="preserve"> </w:t>
      </w:r>
      <w:r w:rsidR="00E402E3" w:rsidRPr="0025250D">
        <w:rPr>
          <w:rtl/>
        </w:rPr>
        <w:t>«</w:t>
      </w:r>
      <w:r w:rsidR="00537CC8" w:rsidRPr="0025250D">
        <w:rPr>
          <w:rtl/>
        </w:rPr>
        <w:t>آینده‌نگاری</w:t>
      </w:r>
      <w:r w:rsidR="00537CC8" w:rsidRPr="0025250D">
        <w:rPr>
          <w:rFonts w:hint="cs"/>
          <w:rtl/>
        </w:rPr>
        <w:t xml:space="preserve"> موارد مرجح و قابل اجتناب</w:t>
      </w:r>
      <w:r w:rsidR="00E402E3" w:rsidRPr="0025250D">
        <w:rPr>
          <w:rtl/>
        </w:rPr>
        <w:t>»</w:t>
      </w:r>
      <w:r w:rsidR="00537CC8" w:rsidRPr="0025250D">
        <w:rPr>
          <w:rFonts w:hint="cs"/>
          <w:rtl/>
        </w:rPr>
        <w:t xml:space="preserve"> (تفکر </w:t>
      </w:r>
      <w:r w:rsidR="00537CC8" w:rsidRPr="0025250D">
        <w:rPr>
          <w:rtl/>
        </w:rPr>
        <w:t>تع</w:t>
      </w:r>
      <w:r w:rsidR="00537CC8" w:rsidRPr="0025250D">
        <w:rPr>
          <w:rFonts w:hint="cs"/>
          <w:rtl/>
        </w:rPr>
        <w:t>یی</w:t>
      </w:r>
      <w:r w:rsidR="00537CC8" w:rsidRPr="0025250D">
        <w:rPr>
          <w:rFonts w:hint="eastAsia"/>
          <w:rtl/>
        </w:rPr>
        <w:t>ن</w:t>
      </w:r>
      <w:r w:rsidR="00537CC8" w:rsidRPr="0025250D">
        <w:rPr>
          <w:rtl/>
        </w:rPr>
        <w:t xml:space="preserve"> کننده</w:t>
      </w:r>
      <w:r w:rsidR="00537CC8" w:rsidRPr="0025250D">
        <w:rPr>
          <w:vertAlign w:val="superscript"/>
          <w:rtl/>
        </w:rPr>
        <w:footnoteReference w:id="2048"/>
      </w:r>
      <w:r w:rsidR="00537CC8" w:rsidRPr="0025250D">
        <w:rPr>
          <w:rFonts w:hint="cs"/>
          <w:rtl/>
        </w:rPr>
        <w:t xml:space="preserve">). تخصص ها: تحلیل و پشتیبانی از تصمیم، </w:t>
      </w:r>
      <w:r w:rsidRPr="0025250D">
        <w:rPr>
          <w:rFonts w:hint="cs"/>
          <w:rtl/>
        </w:rPr>
        <w:t>راهبرد</w:t>
      </w:r>
      <w:r w:rsidR="00537CC8" w:rsidRPr="0025250D">
        <w:rPr>
          <w:rFonts w:hint="cs"/>
          <w:rtl/>
        </w:rPr>
        <w:t xml:space="preserve"> و </w:t>
      </w:r>
      <w:r w:rsidR="00B124DE" w:rsidRPr="0025250D">
        <w:rPr>
          <w:rFonts w:hint="cs"/>
          <w:rtl/>
        </w:rPr>
        <w:t>برنامه‌ریزی</w:t>
      </w:r>
    </w:p>
    <w:p w14:paraId="497829BC" w14:textId="5198FE8F" w:rsidR="00537CC8" w:rsidRPr="0025250D" w:rsidRDefault="00537CC8" w:rsidP="00537CC8">
      <w:pPr>
        <w:rPr>
          <w:rtl/>
        </w:rPr>
      </w:pPr>
      <w:r w:rsidRPr="0025250D">
        <w:rPr>
          <w:rFonts w:hint="cs"/>
          <w:rtl/>
        </w:rPr>
        <w:t>ج) عمل</w:t>
      </w:r>
    </w:p>
    <w:p w14:paraId="21E5E2D2" w14:textId="32896CCF" w:rsidR="00537CC8" w:rsidRPr="0025250D" w:rsidRDefault="00537CC8" w:rsidP="00492C47">
      <w:pPr>
        <w:numPr>
          <w:ilvl w:val="0"/>
          <w:numId w:val="43"/>
        </w:numPr>
        <w:rPr>
          <w:rtl/>
        </w:rPr>
      </w:pPr>
      <w:r w:rsidRPr="0025250D">
        <w:rPr>
          <w:rFonts w:hint="cs"/>
          <w:rtl/>
        </w:rPr>
        <w:t xml:space="preserve">اجرا </w:t>
      </w:r>
      <w:r w:rsidRPr="0025250D">
        <w:rPr>
          <w:rFonts w:cs="Times New Roman" w:hint="cs"/>
          <w:rtl/>
        </w:rPr>
        <w:t>–</w:t>
      </w:r>
      <w:r w:rsidRPr="0025250D">
        <w:rPr>
          <w:rFonts w:hint="cs"/>
          <w:rtl/>
        </w:rPr>
        <w:t xml:space="preserve"> </w:t>
      </w:r>
      <w:r w:rsidR="00E402E3" w:rsidRPr="0025250D">
        <w:rPr>
          <w:rtl/>
        </w:rPr>
        <w:t>«</w:t>
      </w:r>
      <w:r w:rsidRPr="0025250D">
        <w:rPr>
          <w:rFonts w:hint="cs"/>
          <w:rtl/>
        </w:rPr>
        <w:t>به جایی رسیدن</w:t>
      </w:r>
      <w:r w:rsidR="00E402E3" w:rsidRPr="0025250D">
        <w:rPr>
          <w:rtl/>
        </w:rPr>
        <w:t>»</w:t>
      </w:r>
      <w:r w:rsidRPr="0025250D">
        <w:rPr>
          <w:rFonts w:hint="cs"/>
          <w:rtl/>
        </w:rPr>
        <w:t xml:space="preserve"> (تفکر تولیدی). تخصص: مدیریت و رهبری</w:t>
      </w:r>
    </w:p>
    <w:p w14:paraId="0B3B5DBF" w14:textId="0B5CD39C" w:rsidR="00537CC8" w:rsidRPr="0025250D" w:rsidRDefault="00537CC8" w:rsidP="00492C47">
      <w:pPr>
        <w:numPr>
          <w:ilvl w:val="0"/>
          <w:numId w:val="43"/>
        </w:numPr>
        <w:rPr>
          <w:rtl/>
        </w:rPr>
      </w:pPr>
      <w:r w:rsidRPr="0025250D">
        <w:rPr>
          <w:rFonts w:hint="cs"/>
          <w:rtl/>
        </w:rPr>
        <w:t xml:space="preserve">تأثیرگذاری </w:t>
      </w:r>
      <w:r w:rsidRPr="0025250D">
        <w:rPr>
          <w:rFonts w:cs="Times New Roman" w:hint="cs"/>
          <w:rtl/>
        </w:rPr>
        <w:t>–</w:t>
      </w:r>
      <w:r w:rsidRPr="0025250D">
        <w:rPr>
          <w:rFonts w:hint="cs"/>
          <w:rtl/>
        </w:rPr>
        <w:t xml:space="preserve"> </w:t>
      </w:r>
      <w:r w:rsidR="00E402E3" w:rsidRPr="0025250D">
        <w:rPr>
          <w:rtl/>
        </w:rPr>
        <w:t>«</w:t>
      </w:r>
      <w:r w:rsidRPr="0025250D">
        <w:rPr>
          <w:rFonts w:hint="cs"/>
          <w:rtl/>
        </w:rPr>
        <w:t>به کار گرفتن دیگران</w:t>
      </w:r>
      <w:r w:rsidR="00E402E3" w:rsidRPr="0025250D">
        <w:rPr>
          <w:rtl/>
        </w:rPr>
        <w:t>»</w:t>
      </w:r>
      <w:r w:rsidRPr="0025250D">
        <w:rPr>
          <w:rFonts w:hint="cs"/>
          <w:rtl/>
        </w:rPr>
        <w:t xml:space="preserve"> (تفکر بازار). تخصص: بازاریابی و فروش</w:t>
      </w:r>
    </w:p>
    <w:p w14:paraId="7F88187D" w14:textId="0DFED9D0" w:rsidR="00537CC8" w:rsidRPr="0025250D" w:rsidRDefault="0008779C" w:rsidP="00492C47">
      <w:pPr>
        <w:numPr>
          <w:ilvl w:val="0"/>
          <w:numId w:val="43"/>
        </w:numPr>
      </w:pPr>
      <w:r w:rsidRPr="0025250D">
        <w:rPr>
          <w:rFonts w:hint="cs"/>
          <w:rtl/>
        </w:rPr>
        <w:t>ارتباط‌دهی</w:t>
      </w:r>
      <w:r w:rsidR="00537CC8" w:rsidRPr="0025250D">
        <w:rPr>
          <w:rFonts w:hint="cs"/>
          <w:rtl/>
        </w:rPr>
        <w:t xml:space="preserve"> </w:t>
      </w:r>
      <w:r w:rsidR="00537CC8" w:rsidRPr="0025250D">
        <w:rPr>
          <w:rFonts w:cs="Times New Roman" w:hint="cs"/>
          <w:rtl/>
        </w:rPr>
        <w:t>–</w:t>
      </w:r>
      <w:r w:rsidR="00537CC8" w:rsidRPr="0025250D">
        <w:rPr>
          <w:rFonts w:hint="cs"/>
          <w:rtl/>
        </w:rPr>
        <w:t xml:space="preserve"> </w:t>
      </w:r>
      <w:r w:rsidR="00E402E3" w:rsidRPr="0025250D">
        <w:rPr>
          <w:rtl/>
        </w:rPr>
        <w:t>«</w:t>
      </w:r>
      <w:r w:rsidR="00537CC8" w:rsidRPr="0025250D">
        <w:rPr>
          <w:rFonts w:hint="cs"/>
          <w:rtl/>
        </w:rPr>
        <w:t>حفظ تیم خود</w:t>
      </w:r>
      <w:r w:rsidR="00E402E3" w:rsidRPr="0025250D">
        <w:rPr>
          <w:rtl/>
        </w:rPr>
        <w:t>»</w:t>
      </w:r>
      <w:r w:rsidR="00537CC8" w:rsidRPr="0025250D">
        <w:rPr>
          <w:rFonts w:hint="cs"/>
          <w:rtl/>
        </w:rPr>
        <w:t xml:space="preserve"> (تفکر تیمی). تخصص: منابع انسانی و مدیریت عملکرد</w:t>
      </w:r>
    </w:p>
    <w:p w14:paraId="232064C7" w14:textId="2046FE00" w:rsidR="00537CC8" w:rsidRPr="0025250D" w:rsidRDefault="00537CC8" w:rsidP="00537CC8">
      <w:pPr>
        <w:rPr>
          <w:rtl/>
        </w:rPr>
      </w:pPr>
      <w:r w:rsidRPr="0025250D">
        <w:rPr>
          <w:rFonts w:hint="cs"/>
          <w:rtl/>
        </w:rPr>
        <w:t>د) بازبینی</w:t>
      </w:r>
    </w:p>
    <w:p w14:paraId="2CC6F964" w14:textId="04BC655A" w:rsidR="00537CC8" w:rsidRPr="0025250D" w:rsidRDefault="00537CC8" w:rsidP="00492C47">
      <w:pPr>
        <w:numPr>
          <w:ilvl w:val="0"/>
          <w:numId w:val="43"/>
        </w:numPr>
      </w:pPr>
      <w:r w:rsidRPr="0025250D">
        <w:rPr>
          <w:rFonts w:hint="cs"/>
          <w:rtl/>
        </w:rPr>
        <w:t xml:space="preserve">بازبینی </w:t>
      </w:r>
      <w:r w:rsidRPr="0025250D">
        <w:rPr>
          <w:rFonts w:cs="Times New Roman" w:hint="cs"/>
          <w:rtl/>
        </w:rPr>
        <w:t>–</w:t>
      </w:r>
      <w:r w:rsidRPr="0025250D">
        <w:rPr>
          <w:rFonts w:hint="cs"/>
          <w:rtl/>
        </w:rPr>
        <w:t xml:space="preserve"> </w:t>
      </w:r>
      <w:r w:rsidR="00E402E3" w:rsidRPr="0025250D">
        <w:rPr>
          <w:rtl/>
        </w:rPr>
        <w:t>«</w:t>
      </w:r>
      <w:r w:rsidRPr="0025250D">
        <w:rPr>
          <w:rFonts w:hint="cs"/>
          <w:rtl/>
        </w:rPr>
        <w:t>متمرکز ماندن بر روی هدف</w:t>
      </w:r>
      <w:r w:rsidR="00E402E3" w:rsidRPr="0025250D">
        <w:rPr>
          <w:rtl/>
        </w:rPr>
        <w:t>»</w:t>
      </w:r>
      <w:r w:rsidRPr="0025250D">
        <w:rPr>
          <w:rFonts w:hint="cs"/>
          <w:rtl/>
        </w:rPr>
        <w:t xml:space="preserve"> (تفکر تعدیلی). تخصص ها: مدیریت حسابرسی و تغییر، محک زنی و کیفیت</w:t>
      </w:r>
    </w:p>
    <w:p w14:paraId="685A35A9" w14:textId="63EE17B5" w:rsidR="00537CC8" w:rsidRPr="0025250D" w:rsidRDefault="00537CC8" w:rsidP="00537CC8">
      <w:pPr>
        <w:rPr>
          <w:rtl/>
        </w:rPr>
      </w:pPr>
      <w:r w:rsidRPr="0025250D">
        <w:rPr>
          <w:rFonts w:hint="cs"/>
          <w:rtl/>
        </w:rPr>
        <w:t xml:space="preserve">ما در نگاشت بالا، توجه داریم که پنج مورد از بیست تخصص به </w:t>
      </w:r>
      <w:r w:rsidR="00923DDB" w:rsidRPr="0025250D">
        <w:rPr>
          <w:rFonts w:hint="cs"/>
          <w:rtl/>
        </w:rPr>
        <w:t>پیش‌انگاری</w:t>
      </w:r>
      <w:r w:rsidRPr="0025250D">
        <w:rPr>
          <w:rFonts w:hint="cs"/>
          <w:rtl/>
        </w:rPr>
        <w:t xml:space="preserve"> مربوط می‌شوند و پنج مورد به نوآوری و 10 مورد از بیست تخصص تنها به دو مورد از هشت مهارت مرتبط هستند. این امر از یک دیدگاه </w:t>
      </w:r>
      <w:r w:rsidRPr="0025250D">
        <w:rPr>
          <w:rtl/>
        </w:rPr>
        <w:t xml:space="preserve">تکاملی - توسعه‌ای </w:t>
      </w:r>
      <w:r w:rsidRPr="0025250D">
        <w:rPr>
          <w:rFonts w:hint="cs"/>
          <w:rtl/>
        </w:rPr>
        <w:t xml:space="preserve">منطقی است. این دو مهارت و تقابل </w:t>
      </w:r>
      <w:r w:rsidR="00D92F6E" w:rsidRPr="0025250D">
        <w:rPr>
          <w:rFonts w:hint="cs"/>
          <w:rtl/>
        </w:rPr>
        <w:t>پیش‌بین</w:t>
      </w:r>
      <w:r w:rsidRPr="0025250D">
        <w:rPr>
          <w:rFonts w:hint="cs"/>
          <w:rtl/>
        </w:rPr>
        <w:t xml:space="preserve">، قاعده هرم </w:t>
      </w:r>
      <w:r w:rsidRPr="0025250D">
        <w:rPr>
          <w:rtl/>
        </w:rPr>
        <w:t>آینده‌نگاری</w:t>
      </w:r>
      <w:r w:rsidRPr="0025250D">
        <w:rPr>
          <w:rFonts w:hint="cs"/>
          <w:rtl/>
        </w:rPr>
        <w:t xml:space="preserve"> ما را شکل می‌دهند. </w:t>
      </w:r>
      <w:r w:rsidRPr="0025250D">
        <w:rPr>
          <w:rtl/>
        </w:rPr>
        <w:t>تعارض</w:t>
      </w:r>
      <w:r w:rsidRPr="0025250D">
        <w:rPr>
          <w:rFonts w:hint="cs"/>
          <w:rtl/>
        </w:rPr>
        <w:t xml:space="preserve"> ذهنی ما میان موارد محتمل و ممکن گسترده‌ترین مورد از این میان و دشوار‌ترین مورد برای انجام صحیح است. این هرم به ما می‌گوید که </w:t>
      </w:r>
      <w:r w:rsidR="00923DDB" w:rsidRPr="0025250D">
        <w:rPr>
          <w:rFonts w:hint="cs"/>
          <w:rtl/>
        </w:rPr>
        <w:t>پیش‌انگاری</w:t>
      </w:r>
      <w:r w:rsidRPr="0025250D">
        <w:rPr>
          <w:rFonts w:hint="cs"/>
          <w:rtl/>
        </w:rPr>
        <w:t xml:space="preserve"> و نوآوری اساسی‌ترین انواع کار </w:t>
      </w:r>
      <w:r w:rsidRPr="0025250D">
        <w:rPr>
          <w:rtl/>
        </w:rPr>
        <w:t>آینده‌نگاری</w:t>
      </w:r>
      <w:r w:rsidRPr="0025250D">
        <w:rPr>
          <w:rFonts w:hint="cs"/>
          <w:rtl/>
        </w:rPr>
        <w:t xml:space="preserve"> هستند. با این وجود، یک یا چند مورد از این مبنا‌ها معمولا توسط سازمان‌ها که اغلب به </w:t>
      </w:r>
      <w:r w:rsidR="00701E03" w:rsidRPr="0025250D">
        <w:rPr>
          <w:rFonts w:hint="cs"/>
          <w:rtl/>
        </w:rPr>
        <w:t>راهبرد</w:t>
      </w:r>
      <w:r w:rsidRPr="0025250D">
        <w:rPr>
          <w:rFonts w:hint="cs"/>
          <w:rtl/>
        </w:rPr>
        <w:t xml:space="preserve"> تمایل دارند، نادیده گرفته می‌شوند. با این حال مدل ما بیان می‌کند که </w:t>
      </w:r>
      <w:r w:rsidR="00701E03" w:rsidRPr="0025250D">
        <w:rPr>
          <w:rFonts w:hint="cs"/>
          <w:rtl/>
        </w:rPr>
        <w:t>راهبرد</w:t>
      </w:r>
      <w:r w:rsidRPr="0025250D">
        <w:rPr>
          <w:rFonts w:hint="cs"/>
          <w:rtl/>
        </w:rPr>
        <w:t xml:space="preserve"> که تنها دو مورد از بیست تخصص را دارد، کاملا وابسته به این دو نوع تفکر (تقابل </w:t>
      </w:r>
      <w:r w:rsidR="00D92F6E" w:rsidRPr="0025250D">
        <w:rPr>
          <w:rFonts w:hint="cs"/>
          <w:rtl/>
        </w:rPr>
        <w:t>پیش‌بین</w:t>
      </w:r>
      <w:r w:rsidRPr="0025250D">
        <w:rPr>
          <w:rFonts w:hint="cs"/>
          <w:rtl/>
        </w:rPr>
        <w:t xml:space="preserve">) و نیز بر تقابل </w:t>
      </w:r>
      <w:r w:rsidR="002B6515" w:rsidRPr="0025250D">
        <w:rPr>
          <w:rtl/>
        </w:rPr>
        <w:t>حس‌داد</w:t>
      </w:r>
      <w:r w:rsidRPr="0025250D">
        <w:rPr>
          <w:rFonts w:hint="cs"/>
          <w:rtl/>
        </w:rPr>
        <w:t xml:space="preserve"> خوب، پس از ارزیابی قابل </w:t>
      </w:r>
      <w:r w:rsidR="00D92F6E" w:rsidRPr="0025250D">
        <w:rPr>
          <w:rFonts w:hint="cs"/>
          <w:rtl/>
        </w:rPr>
        <w:t>پیش‌بین</w:t>
      </w:r>
      <w:r w:rsidRPr="0025250D">
        <w:rPr>
          <w:rFonts w:hint="cs"/>
          <w:rtl/>
        </w:rPr>
        <w:t xml:space="preserve">ی و غیر قابل </w:t>
      </w:r>
      <w:r w:rsidR="00D92F6E" w:rsidRPr="0025250D">
        <w:rPr>
          <w:rFonts w:hint="cs"/>
          <w:rtl/>
        </w:rPr>
        <w:t>پیش‌بین</w:t>
      </w:r>
      <w:r w:rsidRPr="0025250D">
        <w:rPr>
          <w:rFonts w:hint="cs"/>
          <w:rtl/>
        </w:rPr>
        <w:t>ی بودن می‌باشد.</w:t>
      </w:r>
    </w:p>
    <w:p w14:paraId="67C98768" w14:textId="1B6AE485" w:rsidR="00537CC8" w:rsidRPr="0025250D" w:rsidRDefault="00D76D11" w:rsidP="00537CC8">
      <w:pPr>
        <w:rPr>
          <w:rtl/>
        </w:rPr>
      </w:pPr>
      <w:r w:rsidRPr="0025250D">
        <w:rPr>
          <w:noProof/>
        </w:rPr>
        <w:drawing>
          <wp:inline distT="0" distB="0" distL="0" distR="0" wp14:anchorId="791CBD84" wp14:editId="79D089EA">
            <wp:extent cx="5713174" cy="4389120"/>
            <wp:effectExtent l="0" t="0" r="190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5721664" cy="4395642"/>
                    </a:xfrm>
                    <a:prstGeom prst="rect">
                      <a:avLst/>
                    </a:prstGeom>
                    <a:noFill/>
                  </pic:spPr>
                </pic:pic>
              </a:graphicData>
            </a:graphic>
          </wp:inline>
        </w:drawing>
      </w:r>
    </w:p>
    <w:p w14:paraId="395C9A04" w14:textId="77777777" w:rsidR="00537CC8" w:rsidRPr="0025250D" w:rsidRDefault="00537CC8" w:rsidP="00537CC8">
      <w:pPr>
        <w:rPr>
          <w:rtl/>
        </w:rPr>
      </w:pPr>
    </w:p>
    <w:p w14:paraId="308D613F" w14:textId="6ECF10CE" w:rsidR="00537CC8" w:rsidRPr="0025250D" w:rsidRDefault="00701E03" w:rsidP="00537CC8">
      <w:pPr>
        <w:rPr>
          <w:rtl/>
        </w:rPr>
      </w:pPr>
      <w:r w:rsidRPr="0025250D">
        <w:rPr>
          <w:rFonts w:hint="cs"/>
          <w:rtl/>
        </w:rPr>
        <w:t>راهبرد</w:t>
      </w:r>
      <w:r w:rsidR="00537CC8" w:rsidRPr="0025250D">
        <w:rPr>
          <w:rFonts w:hint="cs"/>
          <w:rtl/>
        </w:rPr>
        <w:t xml:space="preserve"> همچنین به یادگیری (</w:t>
      </w:r>
      <w:r w:rsidR="00D92F6E" w:rsidRPr="0025250D">
        <w:rPr>
          <w:rFonts w:hint="cs"/>
          <w:rtl/>
        </w:rPr>
        <w:t>آماده‌سازی</w:t>
      </w:r>
      <w:r w:rsidR="00537CC8" w:rsidRPr="0025250D">
        <w:rPr>
          <w:rFonts w:hint="cs"/>
          <w:rtl/>
        </w:rPr>
        <w:t xml:space="preserve"> </w:t>
      </w:r>
      <w:r w:rsidR="00537CC8" w:rsidRPr="0025250D">
        <w:rPr>
          <w:rtl/>
        </w:rPr>
        <w:t>آینده‌نگاری</w:t>
      </w:r>
      <w:r w:rsidR="00537CC8" w:rsidRPr="0025250D">
        <w:rPr>
          <w:rFonts w:hint="cs"/>
          <w:rtl/>
        </w:rPr>
        <w:t xml:space="preserve">) و بازبینی (بازخورد) وابسته است. توجه داشته باشید که پس از </w:t>
      </w:r>
      <w:r w:rsidR="00923DDB" w:rsidRPr="0025250D">
        <w:rPr>
          <w:rFonts w:hint="cs"/>
          <w:rtl/>
        </w:rPr>
        <w:t>پیش‌انگاری</w:t>
      </w:r>
      <w:r w:rsidR="00537CC8" w:rsidRPr="0025250D">
        <w:rPr>
          <w:rFonts w:hint="cs"/>
          <w:rtl/>
        </w:rPr>
        <w:t xml:space="preserve"> و نوآوری، بزرگترین مجموعه از بیست تخصص تحت یادگیری (سه تخصص) و بازبینی (دو تخصص) قرار دارند. مهارت‌های عملی، هر یک تنها یک تخصص را در مدل </w:t>
      </w:r>
      <w:r w:rsidR="00923DDB" w:rsidRPr="0025250D">
        <w:rPr>
          <w:rtl/>
        </w:rPr>
        <w:t>آینده‌نگاری انطباقی</w:t>
      </w:r>
      <w:r w:rsidR="00537CC8" w:rsidRPr="0025250D">
        <w:rPr>
          <w:rFonts w:hint="cs"/>
          <w:rtl/>
        </w:rPr>
        <w:t xml:space="preserve"> ما به خود اختصاص می‌دهند. یادگیری و چهار </w:t>
      </w:r>
      <w:r w:rsidR="00537CC8" w:rsidRPr="0025250D">
        <w:t>P</w:t>
      </w:r>
      <w:r w:rsidR="00537CC8" w:rsidRPr="0025250D">
        <w:rPr>
          <w:rFonts w:hint="cs"/>
          <w:rtl/>
        </w:rPr>
        <w:t xml:space="preserve">، مهارت‌های </w:t>
      </w:r>
      <w:r w:rsidR="00537CC8" w:rsidRPr="0025250D">
        <w:rPr>
          <w:rtl/>
        </w:rPr>
        <w:t>آینده‌نگاری</w:t>
      </w:r>
      <w:r w:rsidR="00537CC8" w:rsidRPr="0025250D">
        <w:rPr>
          <w:rFonts w:hint="cs"/>
          <w:rtl/>
        </w:rPr>
        <w:t xml:space="preserve"> </w:t>
      </w:r>
      <w:r w:rsidRPr="0025250D">
        <w:rPr>
          <w:rFonts w:hint="cs"/>
          <w:rtl/>
        </w:rPr>
        <w:t>راهبردی</w:t>
      </w:r>
      <w:r w:rsidR="00537CC8" w:rsidRPr="0025250D">
        <w:rPr>
          <w:rFonts w:hint="cs"/>
          <w:rtl/>
        </w:rPr>
        <w:t xml:space="preserve"> </w:t>
      </w:r>
      <w:r w:rsidR="00537CC8" w:rsidRPr="0025250D">
        <w:t>LAIS</w:t>
      </w:r>
      <w:r w:rsidR="00537CC8" w:rsidRPr="0025250D">
        <w:rPr>
          <w:rFonts w:hint="cs"/>
          <w:rtl/>
        </w:rPr>
        <w:t xml:space="preserve">، 15 مورد از بیست تخصص را تشکیل می‌دهند. این نسبت‌ها مشخص می‌کنند که این مدلی از </w:t>
      </w:r>
      <w:r w:rsidR="00923DDB" w:rsidRPr="0025250D">
        <w:rPr>
          <w:rtl/>
        </w:rPr>
        <w:t>آینده‌نگاری انطباقی</w:t>
      </w:r>
      <w:r w:rsidR="00537CC8" w:rsidRPr="0025250D">
        <w:rPr>
          <w:rFonts w:hint="cs"/>
          <w:rtl/>
        </w:rPr>
        <w:t xml:space="preserve"> است، نه مدیریت </w:t>
      </w:r>
      <w:r w:rsidRPr="0025250D">
        <w:rPr>
          <w:rFonts w:hint="cs"/>
          <w:rtl/>
        </w:rPr>
        <w:t>راهبردی</w:t>
      </w:r>
      <w:r w:rsidR="00537CC8" w:rsidRPr="0025250D">
        <w:rPr>
          <w:rFonts w:hint="cs"/>
          <w:rtl/>
        </w:rPr>
        <w:t xml:space="preserve">. </w:t>
      </w:r>
      <w:r w:rsidR="006A0B96" w:rsidRPr="0025250D">
        <w:rPr>
          <w:rtl/>
        </w:rPr>
        <w:t>تصو</w:t>
      </w:r>
      <w:r w:rsidR="006A0B96" w:rsidRPr="0025250D">
        <w:rPr>
          <w:rFonts w:hint="cs"/>
          <w:rtl/>
        </w:rPr>
        <w:t>ی</w:t>
      </w:r>
      <w:r w:rsidR="006A0B96" w:rsidRPr="0025250D">
        <w:rPr>
          <w:rFonts w:hint="eastAsia"/>
          <w:rtl/>
        </w:rPr>
        <w:t>ر</w:t>
      </w:r>
      <w:r w:rsidR="006A0B96" w:rsidRPr="0025250D">
        <w:rPr>
          <w:rtl/>
        </w:rPr>
        <w:t xml:space="preserve"> </w:t>
      </w:r>
      <w:r w:rsidR="006A0B96" w:rsidRPr="0025250D">
        <w:rPr>
          <w:rFonts w:hint="cs"/>
          <w:rtl/>
        </w:rPr>
        <w:t>ی</w:t>
      </w:r>
      <w:r w:rsidR="006A0B96" w:rsidRPr="0025250D">
        <w:rPr>
          <w:rFonts w:hint="eastAsia"/>
          <w:rtl/>
        </w:rPr>
        <w:t>ک‌صفحه‌ا</w:t>
      </w:r>
      <w:r w:rsidR="006A0B96" w:rsidRPr="0025250D">
        <w:rPr>
          <w:rFonts w:hint="cs"/>
          <w:rtl/>
        </w:rPr>
        <w:t>ی</w:t>
      </w:r>
      <w:r w:rsidR="00537CC8" w:rsidRPr="0025250D">
        <w:rPr>
          <w:rFonts w:hint="cs"/>
          <w:rtl/>
        </w:rPr>
        <w:t xml:space="preserve"> را که درمورد </w:t>
      </w:r>
      <w:r w:rsidR="00923DDB" w:rsidRPr="0025250D">
        <w:rPr>
          <w:rtl/>
        </w:rPr>
        <w:t>آینده‌نگاری انطباقی</w:t>
      </w:r>
      <w:r w:rsidR="00537CC8" w:rsidRPr="0025250D">
        <w:rPr>
          <w:rFonts w:hint="cs"/>
          <w:rtl/>
        </w:rPr>
        <w:t xml:space="preserve"> بیان شده بود (بدون ارزش ها) به یاد آورید: این </w:t>
      </w:r>
      <w:r w:rsidR="006A0B96" w:rsidRPr="0025250D">
        <w:rPr>
          <w:rtl/>
        </w:rPr>
        <w:t>تصو</w:t>
      </w:r>
      <w:r w:rsidR="006A0B96" w:rsidRPr="0025250D">
        <w:rPr>
          <w:rFonts w:hint="cs"/>
          <w:rtl/>
        </w:rPr>
        <w:t>ی</w:t>
      </w:r>
      <w:r w:rsidR="006A0B96" w:rsidRPr="0025250D">
        <w:rPr>
          <w:rFonts w:hint="eastAsia"/>
          <w:rtl/>
        </w:rPr>
        <w:t>ر</w:t>
      </w:r>
      <w:r w:rsidR="006A0B96" w:rsidRPr="0025250D">
        <w:rPr>
          <w:rtl/>
        </w:rPr>
        <w:t xml:space="preserve"> </w:t>
      </w:r>
      <w:r w:rsidR="006A0B96" w:rsidRPr="0025250D">
        <w:rPr>
          <w:rFonts w:hint="cs"/>
          <w:rtl/>
        </w:rPr>
        <w:t>ی</w:t>
      </w:r>
      <w:r w:rsidR="006A0B96" w:rsidRPr="0025250D">
        <w:rPr>
          <w:rFonts w:hint="eastAsia"/>
          <w:rtl/>
        </w:rPr>
        <w:t>ک‌صفحه‌ا</w:t>
      </w:r>
      <w:r w:rsidR="006A0B96" w:rsidRPr="0025250D">
        <w:rPr>
          <w:rFonts w:hint="cs"/>
          <w:rtl/>
        </w:rPr>
        <w:t xml:space="preserve">ی </w:t>
      </w:r>
      <w:r w:rsidR="00537CC8" w:rsidRPr="0025250D">
        <w:rPr>
          <w:rFonts w:hint="cs"/>
          <w:rtl/>
        </w:rPr>
        <w:t xml:space="preserve">به ما می‌گوید که همه شرکت‌ها </w:t>
      </w:r>
      <w:r w:rsidR="00537CC8" w:rsidRPr="0025250D">
        <w:rPr>
          <w:rtl/>
        </w:rPr>
        <w:t>آینده‌نگاری</w:t>
      </w:r>
      <w:r w:rsidR="00537CC8" w:rsidRPr="0025250D">
        <w:rPr>
          <w:rFonts w:hint="cs"/>
          <w:rtl/>
        </w:rPr>
        <w:t xml:space="preserve"> را انجام می‌دهند، اما آن‌ها اغلب نمی‌توانند آن را تشخیص دهند. یکی از وظایف ما به‌عنوان متخصصین </w:t>
      </w:r>
      <w:r w:rsidR="00537CC8" w:rsidRPr="0025250D">
        <w:rPr>
          <w:rtl/>
        </w:rPr>
        <w:t>آینده‌نگاری</w:t>
      </w:r>
      <w:r w:rsidR="00537CC8" w:rsidRPr="0025250D">
        <w:rPr>
          <w:rFonts w:hint="cs"/>
          <w:rtl/>
        </w:rPr>
        <w:t xml:space="preserve"> کمک به کارسپارانمان برای دیدن </w:t>
      </w:r>
      <w:r w:rsidR="00537CC8" w:rsidRPr="0025250D">
        <w:rPr>
          <w:rtl/>
        </w:rPr>
        <w:t>آینده‌نگاری</w:t>
      </w:r>
      <w:r w:rsidR="00537CC8" w:rsidRPr="0025250D">
        <w:rPr>
          <w:rFonts w:hint="cs"/>
          <w:rtl/>
        </w:rPr>
        <w:t xml:space="preserve"> که هم اکنون در حال انجام آن هستند و انجام بیش‌تر آن با توازن مناسب می‌باشد. مدلهایی مانند این می‌توانند به ما برای ارزیابی اولویت هایمان کمک کنند. آن‌ها همچنین پرسش‌هایی را بر می‌انگیزانند: آیا شرکت ما به شکل منطقی درهر هشت مهارت متب</w:t>
      </w:r>
      <w:r w:rsidR="00875BFA" w:rsidRPr="0025250D">
        <w:rPr>
          <w:rFonts w:hint="cs"/>
          <w:rtl/>
        </w:rPr>
        <w:t>ح</w:t>
      </w:r>
      <w:r w:rsidR="00537CC8" w:rsidRPr="0025250D">
        <w:rPr>
          <w:rFonts w:hint="cs"/>
          <w:rtl/>
        </w:rPr>
        <w:t xml:space="preserve">ر است؟ کدام تخصص‌ها ممکن است برای </w:t>
      </w:r>
      <w:r w:rsidRPr="0025250D">
        <w:rPr>
          <w:rFonts w:hint="cs"/>
          <w:rtl/>
        </w:rPr>
        <w:t>راهبرد</w:t>
      </w:r>
      <w:r w:rsidR="00537CC8" w:rsidRPr="0025250D">
        <w:rPr>
          <w:rFonts w:hint="cs"/>
          <w:rtl/>
        </w:rPr>
        <w:t xml:space="preserve"> ما بیش از همه مفید باشند؟ کدام یک از آن‌ها در حال حاضر در تیم‌های ما ضعیف هستند؟</w:t>
      </w:r>
    </w:p>
    <w:p w14:paraId="3AD886E7" w14:textId="77777777" w:rsidR="00537CC8" w:rsidRPr="0025250D" w:rsidRDefault="00537CC8" w:rsidP="00537CC8">
      <w:pPr>
        <w:rPr>
          <w:rtl/>
        </w:rPr>
      </w:pPr>
    </w:p>
    <w:p w14:paraId="1FBC1DAB" w14:textId="77777777" w:rsidR="00537CC8" w:rsidRPr="0025250D" w:rsidRDefault="00537CC8" w:rsidP="00537CC8">
      <w:pPr>
        <w:rPr>
          <w:rtl/>
        </w:rPr>
      </w:pPr>
    </w:p>
    <w:p w14:paraId="0ECAE31E" w14:textId="77777777" w:rsidR="00537CC8" w:rsidRPr="0025250D" w:rsidRDefault="00537CC8" w:rsidP="00537CC8">
      <w:pPr>
        <w:rPr>
          <w:rtl/>
        </w:rPr>
      </w:pPr>
    </w:p>
    <w:p w14:paraId="1877C001" w14:textId="77777777" w:rsidR="00537CC8" w:rsidRPr="0025250D" w:rsidRDefault="00537CC8" w:rsidP="00537CC8">
      <w:pPr>
        <w:rPr>
          <w:rtl/>
        </w:rPr>
      </w:pPr>
    </w:p>
    <w:p w14:paraId="450DB27E" w14:textId="77777777" w:rsidR="00537CC8" w:rsidRPr="0025250D" w:rsidRDefault="00537CC8" w:rsidP="00537CC8">
      <w:pPr>
        <w:rPr>
          <w:rtl/>
        </w:rPr>
      </w:pPr>
    </w:p>
    <w:p w14:paraId="3985543B" w14:textId="77777777" w:rsidR="00537CC8" w:rsidRPr="0025250D" w:rsidRDefault="00537CC8" w:rsidP="00537CC8">
      <w:pPr>
        <w:rPr>
          <w:rtl/>
        </w:rPr>
      </w:pPr>
    </w:p>
    <w:p w14:paraId="4AFD27B6" w14:textId="77777777" w:rsidR="00537CC8" w:rsidRPr="0025250D" w:rsidRDefault="00537CC8" w:rsidP="00537CC8">
      <w:pPr>
        <w:rPr>
          <w:rtl/>
        </w:rPr>
      </w:pPr>
    </w:p>
    <w:p w14:paraId="6CE94782" w14:textId="77777777" w:rsidR="00537CC8" w:rsidRPr="0025250D" w:rsidRDefault="00537CC8" w:rsidP="00537CC8">
      <w:pPr>
        <w:rPr>
          <w:rtl/>
        </w:rPr>
      </w:pPr>
    </w:p>
    <w:p w14:paraId="4C6930A0" w14:textId="77777777" w:rsidR="00537CC8" w:rsidRPr="0025250D" w:rsidRDefault="00537CC8" w:rsidP="00537CC8">
      <w:pPr>
        <w:rPr>
          <w:rtl/>
        </w:rPr>
      </w:pPr>
    </w:p>
    <w:p w14:paraId="7A7B4143" w14:textId="77777777" w:rsidR="00537CC8" w:rsidRPr="0025250D" w:rsidRDefault="00537CC8" w:rsidP="00537CC8">
      <w:pPr>
        <w:rPr>
          <w:rtl/>
        </w:rPr>
      </w:pPr>
    </w:p>
    <w:p w14:paraId="6583B10E" w14:textId="77777777" w:rsidR="00537CC8" w:rsidRPr="0025250D" w:rsidRDefault="00537CC8" w:rsidP="00537CC8">
      <w:pPr>
        <w:rPr>
          <w:rtl/>
        </w:rPr>
      </w:pPr>
    </w:p>
    <w:p w14:paraId="479DB6D9" w14:textId="01A31B09" w:rsidR="00537CC8" w:rsidRPr="0025250D" w:rsidRDefault="00923DDB" w:rsidP="00D53F87">
      <w:pPr>
        <w:pStyle w:val="Heading2"/>
        <w:rPr>
          <w:rtl/>
        </w:rPr>
      </w:pPr>
      <w:bookmarkStart w:id="65" w:name="_Toc127831330"/>
      <w:r w:rsidRPr="0025250D">
        <w:rPr>
          <w:rtl/>
        </w:rPr>
        <w:t>آینده‌نگاری انطباقی</w:t>
      </w:r>
      <w:r w:rsidR="00537CC8" w:rsidRPr="0025250D">
        <w:rPr>
          <w:rFonts w:hint="cs"/>
          <w:rtl/>
        </w:rPr>
        <w:t xml:space="preserve"> هنجاری: </w:t>
      </w:r>
      <w:r w:rsidR="00537CC8" w:rsidRPr="0025250D">
        <w:rPr>
          <w:rtl/>
        </w:rPr>
        <w:t>گنجاندن ارزش ها</w:t>
      </w:r>
      <w:bookmarkEnd w:id="65"/>
    </w:p>
    <w:p w14:paraId="087C7C73" w14:textId="1E708C89" w:rsidR="00537CC8" w:rsidRPr="0025250D" w:rsidRDefault="00537CC8" w:rsidP="00537CC8">
      <w:pPr>
        <w:rPr>
          <w:rtl/>
        </w:rPr>
      </w:pPr>
      <w:r w:rsidRPr="0025250D">
        <w:rPr>
          <w:rFonts w:hint="cs"/>
          <w:rtl/>
        </w:rPr>
        <w:t xml:space="preserve">از نظر ما، </w:t>
      </w:r>
      <w:r w:rsidR="00923DDB" w:rsidRPr="0025250D">
        <w:rPr>
          <w:rtl/>
        </w:rPr>
        <w:t>آینده‌نگاری انطباقی</w:t>
      </w:r>
      <w:r w:rsidRPr="0025250D">
        <w:rPr>
          <w:rFonts w:hint="cs"/>
          <w:rtl/>
        </w:rPr>
        <w:t xml:space="preserve"> را می‌توان از دو لنز بررسی کرد:</w:t>
      </w:r>
    </w:p>
    <w:p w14:paraId="2ABF048C" w14:textId="577C33DC" w:rsidR="00537CC8" w:rsidRPr="0025250D" w:rsidRDefault="00537CC8" w:rsidP="00537CC8">
      <w:pPr>
        <w:rPr>
          <w:rtl/>
        </w:rPr>
      </w:pPr>
      <w:r w:rsidRPr="0025250D">
        <w:rPr>
          <w:rFonts w:hint="cs"/>
          <w:b/>
          <w:bCs/>
          <w:rtl/>
        </w:rPr>
        <w:t>1. کوتاه مدت.</w:t>
      </w:r>
      <w:r w:rsidRPr="0025250D">
        <w:rPr>
          <w:rFonts w:hint="cs"/>
          <w:rtl/>
        </w:rPr>
        <w:t xml:space="preserve"> در </w:t>
      </w:r>
      <w:r w:rsidRPr="0025250D">
        <w:rPr>
          <w:rtl/>
        </w:rPr>
        <w:t>آینده‌نگاری</w:t>
      </w:r>
      <w:r w:rsidRPr="0025250D">
        <w:rPr>
          <w:rFonts w:hint="cs"/>
          <w:rtl/>
        </w:rPr>
        <w:t xml:space="preserve"> روزانه و بخش زیادی از میان مدت، </w:t>
      </w:r>
      <w:r w:rsidR="00923DDB" w:rsidRPr="0025250D">
        <w:rPr>
          <w:rtl/>
        </w:rPr>
        <w:t>آینده‌نگاری انطباقی</w:t>
      </w:r>
      <w:r w:rsidRPr="0025250D">
        <w:rPr>
          <w:rFonts w:hint="cs"/>
          <w:rtl/>
        </w:rPr>
        <w:t xml:space="preserve"> می‌تواند غیرهنجاری</w:t>
      </w:r>
      <w:r w:rsidRPr="0025250D">
        <w:rPr>
          <w:vertAlign w:val="superscript"/>
          <w:rtl/>
        </w:rPr>
        <w:footnoteReference w:id="2049"/>
      </w:r>
      <w:r w:rsidRPr="0025250D">
        <w:rPr>
          <w:rFonts w:hint="cs"/>
          <w:rtl/>
        </w:rPr>
        <w:t xml:space="preserve"> باشد. این امر بر اثربخشی </w:t>
      </w:r>
      <w:r w:rsidR="00701E03" w:rsidRPr="0025250D">
        <w:rPr>
          <w:rFonts w:hint="cs"/>
          <w:rtl/>
        </w:rPr>
        <w:t>راهبرد</w:t>
      </w:r>
      <w:r w:rsidRPr="0025250D">
        <w:rPr>
          <w:rFonts w:hint="cs"/>
          <w:rtl/>
        </w:rPr>
        <w:t xml:space="preserve"> در تولید نتایج تأکید دارد، نه این که آیا این </w:t>
      </w:r>
      <w:r w:rsidR="00701E03" w:rsidRPr="0025250D">
        <w:rPr>
          <w:rFonts w:hint="cs"/>
          <w:rtl/>
        </w:rPr>
        <w:t>راهبرد</w:t>
      </w:r>
      <w:r w:rsidRPr="0025250D">
        <w:rPr>
          <w:rFonts w:hint="cs"/>
          <w:rtl/>
        </w:rPr>
        <w:t xml:space="preserve"> یا نتیجه بهترین مورد برای شبکه است یا خیر. این نگاه کوتاه مدت می‌تواند عمدتا بر انجام خوب حلقه‌های انجام، چهار </w:t>
      </w:r>
      <w:r w:rsidRPr="0025250D">
        <w:t>P</w:t>
      </w:r>
      <w:r w:rsidRPr="0025250D">
        <w:rPr>
          <w:rFonts w:hint="cs"/>
          <w:rtl/>
        </w:rPr>
        <w:t xml:space="preserve"> و هشت مهارت ما در یک محیط مدیریتی متمرکز باشد.</w:t>
      </w:r>
    </w:p>
    <w:p w14:paraId="7D1E2E3F" w14:textId="767E2789" w:rsidR="00537CC8" w:rsidRPr="0025250D" w:rsidRDefault="00537CC8" w:rsidP="00537CC8">
      <w:pPr>
        <w:rPr>
          <w:rtl/>
        </w:rPr>
      </w:pPr>
      <w:r w:rsidRPr="0025250D">
        <w:rPr>
          <w:rFonts w:hint="cs"/>
          <w:rtl/>
        </w:rPr>
        <w:t>2</w:t>
      </w:r>
      <w:r w:rsidRPr="0025250D">
        <w:rPr>
          <w:rFonts w:hint="cs"/>
          <w:b/>
          <w:bCs/>
          <w:rtl/>
        </w:rPr>
        <w:t>. بلند مدت</w:t>
      </w:r>
      <w:r w:rsidRPr="0025250D">
        <w:rPr>
          <w:rFonts w:hint="cs"/>
          <w:rtl/>
        </w:rPr>
        <w:t xml:space="preserve">. </w:t>
      </w:r>
      <w:r w:rsidR="00923DDB" w:rsidRPr="0025250D">
        <w:rPr>
          <w:rtl/>
        </w:rPr>
        <w:t>آینده‌نگاری انطباقی</w:t>
      </w:r>
      <w:r w:rsidRPr="0025250D">
        <w:rPr>
          <w:rFonts w:hint="cs"/>
          <w:rtl/>
        </w:rPr>
        <w:t xml:space="preserve"> برای فصل‌ها و سال‌ها، باید هنجاری نیز باشد. این امر به ذات اهداف، ارزش‌ها، سلسله مراتب ارزشی و </w:t>
      </w:r>
      <w:r w:rsidR="007118DE" w:rsidRPr="0025250D">
        <w:rPr>
          <w:rFonts w:hint="cs"/>
          <w:rtl/>
        </w:rPr>
        <w:t>سبک‌سنگین</w:t>
      </w:r>
      <w:r w:rsidRPr="0025250D">
        <w:rPr>
          <w:rFonts w:hint="cs"/>
          <w:rtl/>
        </w:rPr>
        <w:t xml:space="preserve">‌های ارزشی ما بستگی دارد. </w:t>
      </w:r>
      <w:r w:rsidR="00B56611" w:rsidRPr="0025250D">
        <w:rPr>
          <w:rFonts w:hint="cs"/>
          <w:rtl/>
        </w:rPr>
        <w:t>چشم‌انداز</w:t>
      </w:r>
      <w:r w:rsidRPr="0025250D">
        <w:rPr>
          <w:rFonts w:hint="cs"/>
          <w:rtl/>
        </w:rPr>
        <w:t>‌های مشترک، اخلاق</w:t>
      </w:r>
      <w:r w:rsidR="008D6F97" w:rsidRPr="0025250D">
        <w:rPr>
          <w:rtl/>
        </w:rPr>
        <w:t xml:space="preserve"> </w:t>
      </w:r>
      <w:r w:rsidRPr="0025250D">
        <w:rPr>
          <w:rFonts w:hint="cs"/>
          <w:rtl/>
        </w:rPr>
        <w:t xml:space="preserve">و </w:t>
      </w:r>
      <w:r w:rsidR="00A936B3" w:rsidRPr="0025250D">
        <w:rPr>
          <w:rFonts w:hint="cs"/>
          <w:rtl/>
        </w:rPr>
        <w:t>همدلی</w:t>
      </w:r>
      <w:r w:rsidRPr="0025250D">
        <w:rPr>
          <w:rFonts w:hint="cs"/>
          <w:rtl/>
        </w:rPr>
        <w:t xml:space="preserve"> برای کمک به افراد </w:t>
      </w:r>
      <w:r w:rsidR="00D459A8" w:rsidRPr="0025250D">
        <w:rPr>
          <w:rFonts w:hint="cs"/>
          <w:rtl/>
        </w:rPr>
        <w:t>جهت</w:t>
      </w:r>
      <w:r w:rsidRPr="0025250D">
        <w:rPr>
          <w:rFonts w:hint="cs"/>
          <w:rtl/>
        </w:rPr>
        <w:t xml:space="preserve"> دیدن نقش خود در دست یابی به اهداف بزرگتر و بلند مدت‌تر حیاتی هستند. ما باید دیدگاهی از این که </w:t>
      </w:r>
      <w:r w:rsidR="00E402E3" w:rsidRPr="0025250D">
        <w:rPr>
          <w:rtl/>
        </w:rPr>
        <w:t>«</w:t>
      </w:r>
      <w:r w:rsidRPr="0025250D">
        <w:rPr>
          <w:rFonts w:hint="cs"/>
          <w:rtl/>
        </w:rPr>
        <w:t>چه چیزی برای شبکه بهتر است</w:t>
      </w:r>
      <w:r w:rsidR="00E402E3" w:rsidRPr="0025250D">
        <w:rPr>
          <w:rtl/>
        </w:rPr>
        <w:t>»</w:t>
      </w:r>
      <w:r w:rsidRPr="0025250D">
        <w:rPr>
          <w:rFonts w:hint="cs"/>
          <w:rtl/>
        </w:rPr>
        <w:t xml:space="preserve"> داشته باشیم. اغلب ریسک‌ها و هزینه‌های منفردی از موفقیت و پیشرفت جمعی وجود خواهند داشت.</w:t>
      </w:r>
    </w:p>
    <w:p w14:paraId="09E11A5B" w14:textId="4A6463E4" w:rsidR="00537CC8" w:rsidRPr="0025250D" w:rsidRDefault="00537CC8" w:rsidP="00537CC8">
      <w:pPr>
        <w:rPr>
          <w:rtl/>
        </w:rPr>
      </w:pPr>
      <w:r w:rsidRPr="0025250D">
        <w:rPr>
          <w:rFonts w:hint="cs"/>
          <w:rtl/>
        </w:rPr>
        <w:t xml:space="preserve">در حالی که هشت مهارت برای بقای کوتاه مدت بسیار مفید هستند، حرف‌های کمی در مورد اهداف والاتر (یا اهداف متعالی) که ما خود را در مقابل آن‌ها می‌سنجیم و ارزش‌هایی که برای </w:t>
      </w:r>
      <w:r w:rsidR="0008779C" w:rsidRPr="0025250D">
        <w:rPr>
          <w:rFonts w:hint="cs"/>
          <w:rtl/>
        </w:rPr>
        <w:t>تصمیم‌گیری</w:t>
      </w:r>
      <w:r w:rsidRPr="0025250D">
        <w:rPr>
          <w:rFonts w:hint="cs"/>
          <w:rtl/>
        </w:rPr>
        <w:t xml:space="preserve"> از آن‌ها بهره می‌گیریم، دارند. برای بحث درمورد چنین موضوعات مهمی، ما به یک مدل </w:t>
      </w:r>
      <w:r w:rsidRPr="0025250D">
        <w:rPr>
          <w:rtl/>
        </w:rPr>
        <w:t>آینده‌نگاری</w:t>
      </w:r>
      <w:r w:rsidRPr="0025250D">
        <w:rPr>
          <w:rFonts w:hint="cs"/>
          <w:rtl/>
        </w:rPr>
        <w:t xml:space="preserve"> هنجاری نیاز داریم. چنین مدل‌هایی به ما برای انجام </w:t>
      </w:r>
      <w:r w:rsidR="007118DE" w:rsidRPr="0025250D">
        <w:rPr>
          <w:rFonts w:hint="cs"/>
          <w:rtl/>
        </w:rPr>
        <w:t>سبک‌سنگین</w:t>
      </w:r>
      <w:r w:rsidRPr="0025250D">
        <w:rPr>
          <w:rFonts w:hint="cs"/>
          <w:rtl/>
        </w:rPr>
        <w:t xml:space="preserve">‌ها و حل و فصل چالش‌های اخلاقی، مثلا در </w:t>
      </w:r>
      <w:r w:rsidR="0008779C" w:rsidRPr="0025250D">
        <w:rPr>
          <w:rFonts w:hint="cs"/>
          <w:rtl/>
        </w:rPr>
        <w:t>تصمیم‌گیری</w:t>
      </w:r>
      <w:r w:rsidRPr="0025250D">
        <w:rPr>
          <w:rFonts w:hint="cs"/>
          <w:rtl/>
        </w:rPr>
        <w:t xml:space="preserve"> برای زمان </w:t>
      </w:r>
      <w:r w:rsidR="00D459A8" w:rsidRPr="0025250D">
        <w:rPr>
          <w:rFonts w:hint="cs"/>
          <w:rtl/>
        </w:rPr>
        <w:t>پیگیری</w:t>
      </w:r>
      <w:r w:rsidRPr="0025250D">
        <w:rPr>
          <w:rFonts w:hint="cs"/>
          <w:rtl/>
        </w:rPr>
        <w:t xml:space="preserve"> یا فداکردن اهداف و ارزش‌های خود برای نفع مهم‌تر تیم، سازمان یا جامعه، کمک می‌کنند.</w:t>
      </w:r>
    </w:p>
    <w:p w14:paraId="1BBCC517" w14:textId="0858EEDC" w:rsidR="00537CC8" w:rsidRPr="0025250D" w:rsidRDefault="00537CC8" w:rsidP="00537CC8">
      <w:pPr>
        <w:rPr>
          <w:rtl/>
        </w:rPr>
      </w:pPr>
      <w:r w:rsidRPr="0025250D">
        <w:rPr>
          <w:rFonts w:hint="cs"/>
          <w:rtl/>
        </w:rPr>
        <w:t xml:space="preserve">تا به حال ما سه مدل </w:t>
      </w:r>
      <w:r w:rsidRPr="0025250D">
        <w:rPr>
          <w:rtl/>
        </w:rPr>
        <w:t xml:space="preserve">تکاملی - توسعه‌ای </w:t>
      </w:r>
      <w:r w:rsidRPr="0025250D">
        <w:rPr>
          <w:rFonts w:cs="Times New Roman" w:hint="cs"/>
          <w:rtl/>
        </w:rPr>
        <w:t>–</w:t>
      </w:r>
      <w:r w:rsidRPr="0025250D">
        <w:rPr>
          <w:rFonts w:hint="cs"/>
          <w:rtl/>
        </w:rPr>
        <w:t xml:space="preserve"> هرم افلاطون، پنج </w:t>
      </w:r>
      <w:r w:rsidRPr="0025250D">
        <w:t>E</w:t>
      </w:r>
      <w:r w:rsidRPr="0025250D">
        <w:rPr>
          <w:rFonts w:hint="cs"/>
          <w:rtl/>
        </w:rPr>
        <w:t xml:space="preserve"> و اهداف </w:t>
      </w:r>
      <w:r w:rsidRPr="0025250D">
        <w:t>IES</w:t>
      </w:r>
      <w:r w:rsidRPr="0025250D">
        <w:rPr>
          <w:rFonts w:hint="cs"/>
          <w:rtl/>
        </w:rPr>
        <w:t xml:space="preserve"> </w:t>
      </w:r>
      <w:r w:rsidRPr="0025250D">
        <w:rPr>
          <w:rFonts w:cs="Times New Roman" w:hint="cs"/>
          <w:rtl/>
        </w:rPr>
        <w:t>–</w:t>
      </w:r>
      <w:r w:rsidRPr="0025250D">
        <w:rPr>
          <w:rFonts w:hint="cs"/>
          <w:rtl/>
        </w:rPr>
        <w:t xml:space="preserve"> را به‌عنوان طرح اولیه برای تفکر درمورد اهداف شبکه‌ای </w:t>
      </w:r>
      <w:r w:rsidR="00B124DE" w:rsidRPr="0025250D">
        <w:rPr>
          <w:rFonts w:hint="cs"/>
          <w:rtl/>
        </w:rPr>
        <w:t>انطباق‌پذیر</w:t>
      </w:r>
      <w:r w:rsidRPr="0025250D">
        <w:rPr>
          <w:rFonts w:hint="cs"/>
          <w:rtl/>
        </w:rPr>
        <w:t xml:space="preserve"> فراگیر معرفی </w:t>
      </w:r>
      <w:r w:rsidR="00950293" w:rsidRPr="0025250D">
        <w:rPr>
          <w:rFonts w:hint="cs"/>
          <w:rtl/>
        </w:rPr>
        <w:t>کرده‌ایم</w:t>
      </w:r>
      <w:r w:rsidRPr="0025250D">
        <w:rPr>
          <w:rFonts w:hint="cs"/>
          <w:rtl/>
        </w:rPr>
        <w:t xml:space="preserve">. هر سه مورد نسخه‌هایی از مدل هنجاری ما از </w:t>
      </w:r>
      <w:r w:rsidR="00923DDB" w:rsidRPr="0025250D">
        <w:rPr>
          <w:rtl/>
        </w:rPr>
        <w:t>آینده‌نگاری انطباقی</w:t>
      </w:r>
      <w:r w:rsidRPr="0025250D">
        <w:rPr>
          <w:rFonts w:hint="cs"/>
          <w:rtl/>
        </w:rPr>
        <w:t xml:space="preserve"> هستند. پیشنهاد می‌کنیم که این اهداف و ارزش‌ها در این مدل برای رهبری موفق نقش محوری دارند </w:t>
      </w:r>
      <w:r w:rsidRPr="0025250D">
        <w:rPr>
          <w:rFonts w:cs="Times New Roman" w:hint="cs"/>
          <w:rtl/>
        </w:rPr>
        <w:t>–</w:t>
      </w:r>
      <w:r w:rsidRPr="0025250D">
        <w:rPr>
          <w:rFonts w:hint="cs"/>
          <w:rtl/>
        </w:rPr>
        <w:t xml:space="preserve"> که برای تشخیص و سهیم بودن در اعمالی که به صورت بلند مدت برای ما، خانواده هایمان یا جوامعمان </w:t>
      </w:r>
      <w:r w:rsidR="00B124DE" w:rsidRPr="0025250D">
        <w:rPr>
          <w:rFonts w:hint="cs"/>
          <w:rtl/>
        </w:rPr>
        <w:t>انطباق‌پذیر</w:t>
      </w:r>
      <w:r w:rsidRPr="0025250D">
        <w:rPr>
          <w:rFonts w:hint="cs"/>
          <w:rtl/>
        </w:rPr>
        <w:t xml:space="preserve"> هستند حیاتی می‌باشد.</w:t>
      </w:r>
    </w:p>
    <w:p w14:paraId="33E1C764" w14:textId="56D016E8" w:rsidR="00537CC8" w:rsidRPr="0025250D" w:rsidRDefault="00537CC8" w:rsidP="00537CC8">
      <w:pPr>
        <w:rPr>
          <w:rtl/>
        </w:rPr>
      </w:pPr>
      <w:r w:rsidRPr="0025250D">
        <w:rPr>
          <w:rFonts w:hint="cs"/>
          <w:rtl/>
        </w:rPr>
        <w:t xml:space="preserve">ممکن است دریابیم که هر یک از این مدل‌های قاعده مند یا هیچ یک از آن‌ها، به‌خوبی در مدل‌های فردی، سنتی یا مبتنی بر ایمان ما یکپارچه می‌شوند. در </w:t>
      </w:r>
      <w:r w:rsidRPr="0025250D">
        <w:t>4U</w:t>
      </w:r>
      <w:r w:rsidRPr="0025250D">
        <w:rPr>
          <w:rFonts w:hint="cs"/>
          <w:rtl/>
        </w:rPr>
        <w:t xml:space="preserve">، مدل ما از ارزش‌های </w:t>
      </w:r>
      <w:r w:rsidR="00A936B3" w:rsidRPr="0025250D">
        <w:rPr>
          <w:rFonts w:hint="cs"/>
          <w:rtl/>
        </w:rPr>
        <w:t>همدلی</w:t>
      </w:r>
      <w:r w:rsidRPr="0025250D">
        <w:rPr>
          <w:rFonts w:hint="cs"/>
          <w:rtl/>
        </w:rPr>
        <w:t xml:space="preserve"> و اخلاق (</w:t>
      </w:r>
      <w:r w:rsidR="00E402E3" w:rsidRPr="0025250D">
        <w:rPr>
          <w:rtl/>
        </w:rPr>
        <w:t>«</w:t>
      </w:r>
      <w:r w:rsidRPr="0025250D">
        <w:rPr>
          <w:rFonts w:hint="cs"/>
          <w:rtl/>
        </w:rPr>
        <w:t>عشق و انصاف</w:t>
      </w:r>
      <w:r w:rsidR="00E402E3" w:rsidRPr="0025250D">
        <w:rPr>
          <w:rtl/>
        </w:rPr>
        <w:t>»</w:t>
      </w:r>
      <w:r w:rsidRPr="0025250D">
        <w:rPr>
          <w:rFonts w:hint="cs"/>
          <w:rtl/>
        </w:rPr>
        <w:t xml:space="preserve">) به‌عنوان اولویت‌های شبکه‌ای برتر بهره می‌گیرد. بیان خواهیم کرد که هر یک از این اهداف شکل‌هایی از هوشمندی هستند که برای </w:t>
      </w:r>
      <w:r w:rsidR="00B124DE" w:rsidRPr="0025250D">
        <w:rPr>
          <w:rFonts w:hint="cs"/>
          <w:rtl/>
        </w:rPr>
        <w:t>انطباق‌پذیر</w:t>
      </w:r>
      <w:r w:rsidRPr="0025250D">
        <w:rPr>
          <w:rFonts w:hint="cs"/>
          <w:rtl/>
        </w:rPr>
        <w:t>ی شبکه‌ای حیاتی می‌باشند.</w:t>
      </w:r>
    </w:p>
    <w:p w14:paraId="77AB1E77" w14:textId="40F3EEC4" w:rsidR="00537CC8" w:rsidRPr="0025250D" w:rsidRDefault="00537CC8" w:rsidP="00537CC8">
      <w:pPr>
        <w:rPr>
          <w:rtl/>
        </w:rPr>
      </w:pPr>
      <w:r w:rsidRPr="0025250D">
        <w:rPr>
          <w:rFonts w:hint="cs"/>
          <w:rtl/>
        </w:rPr>
        <w:t xml:space="preserve">مدل‌های هنجاری ما هرچه باشند، توصیه می‌کنیم </w:t>
      </w:r>
      <w:r w:rsidR="00D459A8" w:rsidRPr="0025250D">
        <w:rPr>
          <w:rFonts w:hint="cs"/>
          <w:rtl/>
        </w:rPr>
        <w:t>ارزیابی نماییم که</w:t>
      </w:r>
      <w:r w:rsidRPr="0025250D">
        <w:rPr>
          <w:rFonts w:hint="cs"/>
          <w:rtl/>
        </w:rPr>
        <w:t xml:space="preserve"> آیا به صورت </w:t>
      </w:r>
      <w:r w:rsidR="001A3F0A" w:rsidRPr="0025250D">
        <w:rPr>
          <w:rFonts w:hint="cs"/>
          <w:rtl/>
        </w:rPr>
        <w:t>فردی</w:t>
      </w:r>
      <w:r w:rsidRPr="0025250D">
        <w:rPr>
          <w:rFonts w:hint="cs"/>
          <w:rtl/>
        </w:rPr>
        <w:t xml:space="preserve"> به سمت ارزش‌های خود در </w:t>
      </w:r>
      <w:r w:rsidRPr="0025250D">
        <w:rPr>
          <w:rtl/>
        </w:rPr>
        <w:t>آینده‌نگاری</w:t>
      </w:r>
      <w:r w:rsidRPr="0025250D">
        <w:rPr>
          <w:rFonts w:hint="cs"/>
          <w:rtl/>
        </w:rPr>
        <w:t xml:space="preserve"> و اعمال خود حرکت می‌کنیم و به علاوه، آیا اجرای حلقه‌های انجام را در ارزش‌های فردی، سلسله مراتب ارزشی</w:t>
      </w:r>
      <w:r w:rsidR="00D459A8" w:rsidRPr="0025250D">
        <w:rPr>
          <w:rFonts w:hint="cs"/>
          <w:rtl/>
        </w:rPr>
        <w:t>،</w:t>
      </w:r>
      <w:r w:rsidRPr="0025250D">
        <w:rPr>
          <w:rFonts w:hint="cs"/>
          <w:rtl/>
        </w:rPr>
        <w:t xml:space="preserve"> </w:t>
      </w:r>
      <w:r w:rsidR="007118DE" w:rsidRPr="0025250D">
        <w:rPr>
          <w:rFonts w:hint="cs"/>
          <w:rtl/>
        </w:rPr>
        <w:t>سبک‌سنگین</w:t>
      </w:r>
      <w:r w:rsidRPr="0025250D">
        <w:rPr>
          <w:rFonts w:hint="cs"/>
          <w:rtl/>
        </w:rPr>
        <w:t>‌های ارزشی و نقد و ارزیابی مجدد آن‌ها در پرتو نتایجشان تشویق می‌کنیم یا خیر.</w:t>
      </w:r>
    </w:p>
    <w:p w14:paraId="7ABCC4F2" w14:textId="77777777" w:rsidR="00537CC8" w:rsidRPr="0025250D" w:rsidRDefault="00537CC8" w:rsidP="00537CC8">
      <w:pPr>
        <w:rPr>
          <w:rtl/>
        </w:rPr>
      </w:pPr>
    </w:p>
    <w:p w14:paraId="36DC72B9" w14:textId="77777777" w:rsidR="00537CC8" w:rsidRPr="0025250D" w:rsidRDefault="00537CC8" w:rsidP="00537CC8">
      <w:pPr>
        <w:rPr>
          <w:rtl/>
        </w:rPr>
      </w:pPr>
    </w:p>
    <w:p w14:paraId="4229F1F5" w14:textId="77777777" w:rsidR="00537CC8" w:rsidRPr="0025250D" w:rsidRDefault="00537CC8" w:rsidP="00537CC8">
      <w:pPr>
        <w:rPr>
          <w:rtl/>
        </w:rPr>
      </w:pPr>
    </w:p>
    <w:p w14:paraId="5E341A2C" w14:textId="77777777" w:rsidR="00537CC8" w:rsidRPr="0025250D" w:rsidRDefault="00537CC8" w:rsidP="00537CC8">
      <w:pPr>
        <w:rPr>
          <w:rtl/>
        </w:rPr>
      </w:pPr>
    </w:p>
    <w:p w14:paraId="0FDCDF7B" w14:textId="77777777" w:rsidR="00537CC8" w:rsidRPr="0025250D" w:rsidRDefault="00537CC8" w:rsidP="00537CC8">
      <w:pPr>
        <w:rPr>
          <w:rtl/>
        </w:rPr>
      </w:pPr>
    </w:p>
    <w:p w14:paraId="27762ED4" w14:textId="77777777" w:rsidR="00537CC8" w:rsidRPr="0025250D" w:rsidRDefault="00537CC8" w:rsidP="00537CC8">
      <w:pPr>
        <w:rPr>
          <w:rtl/>
        </w:rPr>
      </w:pPr>
    </w:p>
    <w:p w14:paraId="7BEF36E1" w14:textId="77777777" w:rsidR="00537CC8" w:rsidRPr="0025250D" w:rsidRDefault="00537CC8" w:rsidP="00537CC8">
      <w:pPr>
        <w:rPr>
          <w:rtl/>
        </w:rPr>
      </w:pPr>
    </w:p>
    <w:p w14:paraId="23195AF6" w14:textId="77777777" w:rsidR="00537CC8" w:rsidRPr="0025250D" w:rsidRDefault="00537CC8" w:rsidP="00537CC8">
      <w:pPr>
        <w:rPr>
          <w:rtl/>
        </w:rPr>
      </w:pPr>
    </w:p>
    <w:p w14:paraId="1EC367B6" w14:textId="77777777" w:rsidR="00537CC8" w:rsidRPr="0025250D" w:rsidRDefault="00537CC8" w:rsidP="00537CC8">
      <w:pPr>
        <w:rPr>
          <w:rtl/>
        </w:rPr>
      </w:pPr>
    </w:p>
    <w:p w14:paraId="496E6A83" w14:textId="77777777" w:rsidR="00537CC8" w:rsidRPr="0025250D" w:rsidRDefault="00537CC8" w:rsidP="00537CC8">
      <w:pPr>
        <w:rPr>
          <w:rtl/>
        </w:rPr>
      </w:pPr>
    </w:p>
    <w:p w14:paraId="2BF902AD" w14:textId="77777777" w:rsidR="00537CC8" w:rsidRPr="0025250D" w:rsidRDefault="00537CC8" w:rsidP="00537CC8">
      <w:pPr>
        <w:rPr>
          <w:rtl/>
        </w:rPr>
      </w:pPr>
    </w:p>
    <w:p w14:paraId="0AE86D95" w14:textId="77777777" w:rsidR="00537CC8" w:rsidRPr="0025250D" w:rsidRDefault="00537CC8" w:rsidP="00537CC8">
      <w:pPr>
        <w:rPr>
          <w:rtl/>
        </w:rPr>
      </w:pPr>
    </w:p>
    <w:p w14:paraId="11C0B297" w14:textId="77777777" w:rsidR="00537CC8" w:rsidRPr="0025250D" w:rsidRDefault="00537CC8" w:rsidP="00537CC8">
      <w:pPr>
        <w:rPr>
          <w:rtl/>
        </w:rPr>
      </w:pPr>
    </w:p>
    <w:p w14:paraId="28900CF2" w14:textId="77777777" w:rsidR="00537CC8" w:rsidRPr="0025250D" w:rsidRDefault="00537CC8" w:rsidP="00537CC8">
      <w:pPr>
        <w:rPr>
          <w:rtl/>
        </w:rPr>
      </w:pPr>
    </w:p>
    <w:p w14:paraId="394D5B55" w14:textId="77777777" w:rsidR="00537CC8" w:rsidRPr="0025250D" w:rsidRDefault="00537CC8" w:rsidP="00537CC8">
      <w:pPr>
        <w:rPr>
          <w:rtl/>
        </w:rPr>
      </w:pPr>
    </w:p>
    <w:p w14:paraId="11ACFD63" w14:textId="4FF246CE" w:rsidR="00537CC8" w:rsidRPr="0025250D" w:rsidRDefault="00537CC8" w:rsidP="00D53F87">
      <w:pPr>
        <w:pStyle w:val="Heading2"/>
        <w:rPr>
          <w:rtl/>
        </w:rPr>
      </w:pPr>
      <w:bookmarkStart w:id="66" w:name="_Toc127831331"/>
      <w:r w:rsidRPr="0025250D">
        <w:rPr>
          <w:rFonts w:hint="cs"/>
          <w:rtl/>
        </w:rPr>
        <w:t xml:space="preserve">اجرای چرخه‌های انجام: هشت مهارت </w:t>
      </w:r>
      <w:r w:rsidR="00923DDB" w:rsidRPr="0025250D">
        <w:rPr>
          <w:rtl/>
        </w:rPr>
        <w:t>آینده‌نگاری انطباقی</w:t>
      </w:r>
      <w:bookmarkEnd w:id="66"/>
    </w:p>
    <w:p w14:paraId="34817A75" w14:textId="6BFF78A1" w:rsidR="00537CC8" w:rsidRPr="0025250D" w:rsidRDefault="00537CC8" w:rsidP="00537CC8">
      <w:pPr>
        <w:rPr>
          <w:rtl/>
        </w:rPr>
      </w:pPr>
      <w:r w:rsidRPr="0025250D">
        <w:rPr>
          <w:rFonts w:hint="cs"/>
          <w:rtl/>
        </w:rPr>
        <w:t xml:space="preserve">بیایید برای آخرین بار نگاهی به هر یک از هشت مهارت داشته و برخی از راه‌هایی را که هر یک برای تولید </w:t>
      </w:r>
      <w:r w:rsidRPr="0025250D">
        <w:rPr>
          <w:rtl/>
        </w:rPr>
        <w:t>آینده‌نگاری</w:t>
      </w:r>
      <w:r w:rsidRPr="0025250D">
        <w:rPr>
          <w:rFonts w:hint="cs"/>
          <w:rtl/>
        </w:rPr>
        <w:t xml:space="preserve"> در سازمان‌ها استفاده می‌شوند در نظر بگیریم. همچنین این که چگونه فعالان </w:t>
      </w:r>
      <w:r w:rsidRPr="0025250D">
        <w:rPr>
          <w:rtl/>
        </w:rPr>
        <w:t>آینده‌نگاری</w:t>
      </w:r>
      <w:r w:rsidRPr="0025250D">
        <w:rPr>
          <w:rFonts w:hint="cs"/>
          <w:rtl/>
        </w:rPr>
        <w:t xml:space="preserve"> می‌توانند بهتر در هر یک تخصص یافته و از هر مهارت برای کارسپاران خود استفاده کنند را در نظر خواهیم گرفت. اجرای حلقه‌های انجام مرتبط، با </w:t>
      </w:r>
      <w:r w:rsidRPr="0025250D">
        <w:t>FSQ</w:t>
      </w:r>
      <w:r w:rsidRPr="0025250D">
        <w:rPr>
          <w:rFonts w:hint="cs"/>
          <w:rtl/>
        </w:rPr>
        <w:t xml:space="preserve"> م</w:t>
      </w:r>
      <w:r w:rsidR="00D459A8" w:rsidRPr="0025250D">
        <w:rPr>
          <w:rFonts w:hint="cs"/>
          <w:rtl/>
        </w:rPr>
        <w:t>ت</w:t>
      </w:r>
      <w:r w:rsidRPr="0025250D">
        <w:rPr>
          <w:rFonts w:hint="cs"/>
          <w:rtl/>
        </w:rPr>
        <w:t>ناس</w:t>
      </w:r>
      <w:r w:rsidR="00D459A8" w:rsidRPr="0025250D">
        <w:rPr>
          <w:rFonts w:hint="cs"/>
          <w:rtl/>
        </w:rPr>
        <w:t>ب</w:t>
      </w:r>
      <w:r w:rsidR="008D6F97" w:rsidRPr="0025250D">
        <w:rPr>
          <w:rtl/>
        </w:rPr>
        <w:t xml:space="preserve"> </w:t>
      </w:r>
      <w:r w:rsidRPr="0025250D">
        <w:rPr>
          <w:rFonts w:hint="cs"/>
          <w:rtl/>
        </w:rPr>
        <w:t xml:space="preserve">و استفاده مناسب از هر مهارت، کلید </w:t>
      </w:r>
      <w:r w:rsidRPr="0025250D">
        <w:rPr>
          <w:rtl/>
        </w:rPr>
        <w:t>آینده‌نگاری</w:t>
      </w:r>
      <w:r w:rsidRPr="0025250D">
        <w:rPr>
          <w:rFonts w:hint="cs"/>
          <w:rtl/>
        </w:rPr>
        <w:t xml:space="preserve"> </w:t>
      </w:r>
      <w:r w:rsidR="0008779C" w:rsidRPr="0025250D">
        <w:rPr>
          <w:rFonts w:hint="cs"/>
          <w:rtl/>
        </w:rPr>
        <w:t>موفقیت‌آمیز</w:t>
      </w:r>
      <w:r w:rsidRPr="0025250D">
        <w:rPr>
          <w:rFonts w:hint="cs"/>
          <w:rtl/>
        </w:rPr>
        <w:t xml:space="preserve"> (</w:t>
      </w:r>
      <w:r w:rsidR="00B124DE" w:rsidRPr="0025250D">
        <w:rPr>
          <w:rFonts w:hint="cs"/>
          <w:rtl/>
        </w:rPr>
        <w:t>انطباق‌پذیر</w:t>
      </w:r>
      <w:r w:rsidRPr="0025250D">
        <w:rPr>
          <w:rFonts w:hint="cs"/>
          <w:rtl/>
        </w:rPr>
        <w:t>) است.</w:t>
      </w:r>
    </w:p>
    <w:p w14:paraId="6643BCE2" w14:textId="002A1EE4" w:rsidR="00537CC8" w:rsidRPr="0025250D" w:rsidRDefault="00537CC8" w:rsidP="00D53F87">
      <w:pPr>
        <w:pStyle w:val="Heading3"/>
        <w:rPr>
          <w:rtl/>
        </w:rPr>
      </w:pPr>
      <w:r w:rsidRPr="0025250D">
        <w:rPr>
          <w:rFonts w:hint="cs"/>
          <w:rtl/>
        </w:rPr>
        <w:t xml:space="preserve">مهارت 1. </w:t>
      </w:r>
      <w:r w:rsidRPr="0025250D">
        <w:rPr>
          <w:rFonts w:hint="cs"/>
          <w:u w:val="single"/>
          <w:rtl/>
        </w:rPr>
        <w:t>یادگیری</w:t>
      </w:r>
      <w:r w:rsidRPr="0025250D">
        <w:rPr>
          <w:rFonts w:hint="cs"/>
          <w:rtl/>
        </w:rPr>
        <w:t xml:space="preserve"> (تفکر </w:t>
      </w:r>
      <w:r w:rsidR="00127288" w:rsidRPr="0025250D">
        <w:rPr>
          <w:rFonts w:hint="cs"/>
          <w:rtl/>
        </w:rPr>
        <w:t>جستجوگر</w:t>
      </w:r>
      <w:r w:rsidRPr="0025250D">
        <w:rPr>
          <w:rFonts w:hint="cs"/>
          <w:rtl/>
        </w:rPr>
        <w:t>)</w:t>
      </w:r>
    </w:p>
    <w:p w14:paraId="4FB216E6" w14:textId="3903FF3D" w:rsidR="00537CC8" w:rsidRPr="0025250D" w:rsidRDefault="00537CC8" w:rsidP="00537CC8">
      <w:pPr>
        <w:rPr>
          <w:rtl/>
        </w:rPr>
      </w:pPr>
      <w:r w:rsidRPr="0025250D">
        <w:rPr>
          <w:rFonts w:hint="cs"/>
          <w:rtl/>
        </w:rPr>
        <w:t xml:space="preserve">یادگیری </w:t>
      </w:r>
      <w:r w:rsidRPr="0025250D">
        <w:rPr>
          <w:rFonts w:cs="Times New Roman" w:hint="cs"/>
          <w:rtl/>
        </w:rPr>
        <w:t>–</w:t>
      </w:r>
      <w:r w:rsidRPr="0025250D">
        <w:rPr>
          <w:rFonts w:hint="cs"/>
          <w:rtl/>
        </w:rPr>
        <w:t xml:space="preserve"> شامل هوش جمعی و تحقیقات تجربی (تفکر </w:t>
      </w:r>
      <w:r w:rsidR="00127288" w:rsidRPr="0025250D">
        <w:rPr>
          <w:rFonts w:hint="cs"/>
          <w:rtl/>
        </w:rPr>
        <w:t>جستجوگر</w:t>
      </w:r>
      <w:r w:rsidRPr="0025250D">
        <w:rPr>
          <w:rFonts w:hint="cs"/>
          <w:rtl/>
        </w:rPr>
        <w:t xml:space="preserve">)- مهارت بنیادی </w:t>
      </w:r>
      <w:r w:rsidRPr="0025250D">
        <w:rPr>
          <w:rtl/>
        </w:rPr>
        <w:t>آینده‌نگاری</w:t>
      </w:r>
      <w:r w:rsidRPr="0025250D">
        <w:rPr>
          <w:rFonts w:hint="cs"/>
          <w:rtl/>
        </w:rPr>
        <w:t xml:space="preserve"> است. یادگیری </w:t>
      </w:r>
      <w:r w:rsidR="00D92F6E" w:rsidRPr="0025250D">
        <w:rPr>
          <w:rFonts w:hint="cs"/>
          <w:rtl/>
        </w:rPr>
        <w:t>آماده‌سازی</w:t>
      </w:r>
      <w:r w:rsidRPr="0025250D">
        <w:rPr>
          <w:rFonts w:hint="cs"/>
          <w:rtl/>
        </w:rPr>
        <w:t xml:space="preserve"> حیاتی مورد نیاز برای آماده شدن برای تفکر و تحلیل </w:t>
      </w:r>
      <w:r w:rsidRPr="0025250D">
        <w:rPr>
          <w:rtl/>
        </w:rPr>
        <w:t>آینده‌نگاری</w:t>
      </w:r>
      <w:r w:rsidRPr="0025250D">
        <w:rPr>
          <w:rFonts w:hint="cs"/>
          <w:rtl/>
        </w:rPr>
        <w:t xml:space="preserve"> کانونی (</w:t>
      </w:r>
      <w:r w:rsidRPr="0025250D">
        <w:t>AIS</w:t>
      </w:r>
      <w:r w:rsidRPr="0025250D">
        <w:rPr>
          <w:rFonts w:hint="cs"/>
          <w:rtl/>
        </w:rPr>
        <w:t xml:space="preserve">) است. بسیاری از شرکت‌ها نام یا واحدی رسمی (مانند تحقیقات، اطلاعات، </w:t>
      </w:r>
      <w:r w:rsidRPr="0025250D">
        <w:t>L&amp;D</w:t>
      </w:r>
      <w:r w:rsidRPr="0025250D">
        <w:rPr>
          <w:rFonts w:hint="cs"/>
          <w:rtl/>
        </w:rPr>
        <w:t>، سنجه ها) برای بیش‌تر مهارت‌های یادگیری/بررسی خود ندارند</w:t>
      </w:r>
      <w:r w:rsidR="008D6F97" w:rsidRPr="0025250D">
        <w:rPr>
          <w:rtl/>
        </w:rPr>
        <w:t xml:space="preserve">؛ </w:t>
      </w:r>
      <w:r w:rsidR="0020589F" w:rsidRPr="0025250D">
        <w:rPr>
          <w:rtl/>
        </w:rPr>
        <w:t>اما</w:t>
      </w:r>
      <w:r w:rsidRPr="0025250D">
        <w:rPr>
          <w:rFonts w:hint="cs"/>
          <w:rtl/>
        </w:rPr>
        <w:t xml:space="preserve"> همه شرکت‌های موفق افرادی که در این مهارت استعداد دارند را به کار می‌گیرند. به صورت </w:t>
      </w:r>
      <w:r w:rsidR="0008779C" w:rsidRPr="0025250D">
        <w:rPr>
          <w:rFonts w:hint="cs"/>
          <w:rtl/>
        </w:rPr>
        <w:t>ایدئال</w:t>
      </w:r>
      <w:r w:rsidRPr="0025250D">
        <w:rPr>
          <w:rFonts w:hint="cs"/>
          <w:rtl/>
        </w:rPr>
        <w:t xml:space="preserve">، شرکت‌های </w:t>
      </w:r>
      <w:r w:rsidR="00B124DE" w:rsidRPr="0025250D">
        <w:rPr>
          <w:rFonts w:hint="cs"/>
          <w:rtl/>
        </w:rPr>
        <w:t>انطباق‌پذیر</w:t>
      </w:r>
      <w:r w:rsidRPr="0025250D">
        <w:rPr>
          <w:rFonts w:hint="cs"/>
          <w:rtl/>
        </w:rPr>
        <w:t xml:space="preserve"> افرادی را دارند که وظیفه صریح آن‌ها کارکرد‌های یادگیری است. افرادی که </w:t>
      </w:r>
      <w:r w:rsidR="0008779C" w:rsidRPr="0025250D">
        <w:rPr>
          <w:rFonts w:hint="cs"/>
          <w:rtl/>
        </w:rPr>
        <w:t>تصمیم‌گیری</w:t>
      </w:r>
      <w:r w:rsidRPr="0025250D">
        <w:rPr>
          <w:rFonts w:hint="cs"/>
          <w:rtl/>
        </w:rPr>
        <w:t xml:space="preserve"> را با این مهارت آغاز نمی‌کنند، اغلب توسط آینده غافل گیر شده و از آن، جا می‌مانند، به جای این که دائما یاد بگیرند که چگونه بهترین استفاده را از تغییر داشته باشند.</w:t>
      </w:r>
    </w:p>
    <w:p w14:paraId="7E254580" w14:textId="51108393" w:rsidR="00537CC8" w:rsidRPr="0025250D" w:rsidRDefault="00537CC8" w:rsidP="00537CC8">
      <w:pPr>
        <w:rPr>
          <w:rtl/>
        </w:rPr>
      </w:pPr>
      <w:r w:rsidRPr="0025250D">
        <w:rPr>
          <w:rFonts w:hint="cs"/>
          <w:rtl/>
        </w:rPr>
        <w:t xml:space="preserve">در ترتیب الفبایی، اولین تخصصی که ما در مورد آن در مهارت یادگیری صحبت می‌کنیم، حسابداری و دارایی‌های ناملموس است. هرچه ما، تیممان و شرکت هایمان بهتر بتوانیم فرایند‌های قابل توجه در محیط‌های درونی و بیرونیمان را اندازه‌گیری کنیم، بهتر می‌توانیم شرایط فعلی خود را درک کنیم </w:t>
      </w:r>
      <w:r w:rsidRPr="0025250D">
        <w:rPr>
          <w:rFonts w:cs="Times New Roman" w:hint="cs"/>
          <w:rtl/>
        </w:rPr>
        <w:t>–</w:t>
      </w:r>
      <w:r w:rsidRPr="0025250D">
        <w:rPr>
          <w:rFonts w:hint="cs"/>
          <w:rtl/>
        </w:rPr>
        <w:t xml:space="preserve"> که بنیان </w:t>
      </w:r>
      <w:r w:rsidRPr="0025250D">
        <w:rPr>
          <w:rtl/>
        </w:rPr>
        <w:t>آینده‌نگاری</w:t>
      </w:r>
      <w:r w:rsidRPr="0025250D">
        <w:rPr>
          <w:rFonts w:hint="cs"/>
          <w:rtl/>
        </w:rPr>
        <w:t xml:space="preserve"> هستند. نشانگرهای</w:t>
      </w:r>
      <w:r w:rsidRPr="0025250D">
        <w:rPr>
          <w:vertAlign w:val="superscript"/>
          <w:rtl/>
        </w:rPr>
        <w:footnoteReference w:id="2050"/>
      </w:r>
      <w:r w:rsidRPr="0025250D">
        <w:rPr>
          <w:rFonts w:hint="cs"/>
          <w:rtl/>
        </w:rPr>
        <w:t xml:space="preserve"> مرتبط شرکت از اهداف </w:t>
      </w:r>
      <w:r w:rsidR="00701E03" w:rsidRPr="0025250D">
        <w:rPr>
          <w:rFonts w:hint="cs"/>
          <w:rtl/>
        </w:rPr>
        <w:t>راهبردی</w:t>
      </w:r>
      <w:r w:rsidRPr="0025250D">
        <w:rPr>
          <w:rFonts w:hint="cs"/>
          <w:rtl/>
        </w:rPr>
        <w:t xml:space="preserve"> آن ریشه می‌گیرند؛ </w:t>
      </w:r>
      <w:r w:rsidR="0020589F" w:rsidRPr="0025250D">
        <w:rPr>
          <w:rtl/>
        </w:rPr>
        <w:t>اما</w:t>
      </w:r>
      <w:r w:rsidRPr="0025250D">
        <w:rPr>
          <w:rFonts w:hint="cs"/>
          <w:rtl/>
        </w:rPr>
        <w:t xml:space="preserve"> تعیین این که چه چیزی را اندازه‌گیری کرده و چگونه به بهترین شکل آنچه ما و شرکت هایمان می‌خواهند را اندازه‌گیری کنیم، یک فرایند یادگیری دائمی است. کتاب </w:t>
      </w:r>
      <w:r w:rsidRPr="0025250D">
        <w:rPr>
          <w:rtl/>
        </w:rPr>
        <w:t>تجز</w:t>
      </w:r>
      <w:r w:rsidRPr="0025250D">
        <w:rPr>
          <w:rFonts w:hint="cs"/>
          <w:rtl/>
        </w:rPr>
        <w:t>ی</w:t>
      </w:r>
      <w:r w:rsidRPr="0025250D">
        <w:rPr>
          <w:rFonts w:hint="eastAsia"/>
          <w:rtl/>
        </w:rPr>
        <w:t>ه</w:t>
      </w:r>
      <w:r w:rsidRPr="0025250D">
        <w:rPr>
          <w:rtl/>
        </w:rPr>
        <w:t xml:space="preserve"> و تحل</w:t>
      </w:r>
      <w:r w:rsidRPr="0025250D">
        <w:rPr>
          <w:rFonts w:hint="cs"/>
          <w:rtl/>
        </w:rPr>
        <w:t>ی</w:t>
      </w:r>
      <w:r w:rsidRPr="0025250D">
        <w:rPr>
          <w:rFonts w:hint="eastAsia"/>
          <w:rtl/>
        </w:rPr>
        <w:t>ل</w:t>
      </w:r>
      <w:r w:rsidRPr="0025250D">
        <w:rPr>
          <w:rtl/>
        </w:rPr>
        <w:t xml:space="preserve"> افراد</w:t>
      </w:r>
      <w:r w:rsidRPr="0025250D">
        <w:rPr>
          <w:vertAlign w:val="superscript"/>
          <w:rtl/>
        </w:rPr>
        <w:footnoteReference w:id="2051"/>
      </w:r>
      <w:r w:rsidRPr="0025250D">
        <w:rPr>
          <w:rFonts w:hint="cs"/>
          <w:rtl/>
        </w:rPr>
        <w:t xml:space="preserve"> اثر </w:t>
      </w:r>
      <w:r w:rsidRPr="0025250D">
        <w:rPr>
          <w:rtl/>
        </w:rPr>
        <w:t>بن وابر</w:t>
      </w:r>
      <w:r w:rsidRPr="0025250D">
        <w:rPr>
          <w:vertAlign w:val="superscript"/>
          <w:rtl/>
        </w:rPr>
        <w:footnoteReference w:id="2052"/>
      </w:r>
      <w:r w:rsidRPr="0025250D">
        <w:rPr>
          <w:rFonts w:hint="cs"/>
          <w:rtl/>
        </w:rPr>
        <w:t xml:space="preserve"> در سال 2013 کتاب خوبی است که فعالیت‌های منابع انسانی مبتنی بر شواهد (یادگیری محور) را معرفی می‌کند. کتاب بازی بزرگ </w:t>
      </w:r>
      <w:r w:rsidR="00B124DE" w:rsidRPr="0025250D">
        <w:rPr>
          <w:rFonts w:hint="cs"/>
          <w:rtl/>
        </w:rPr>
        <w:t>کسب‌و‌کار</w:t>
      </w:r>
      <w:r w:rsidRPr="0025250D">
        <w:rPr>
          <w:vertAlign w:val="superscript"/>
          <w:rtl/>
        </w:rPr>
        <w:footnoteReference w:id="2053"/>
      </w:r>
      <w:r w:rsidRPr="0025250D">
        <w:rPr>
          <w:rFonts w:hint="cs"/>
          <w:rtl/>
        </w:rPr>
        <w:t xml:space="preserve"> اثر </w:t>
      </w:r>
      <w:r w:rsidRPr="0025250D">
        <w:rPr>
          <w:rtl/>
        </w:rPr>
        <w:t>جک استک</w:t>
      </w:r>
      <w:r w:rsidRPr="0025250D">
        <w:rPr>
          <w:vertAlign w:val="superscript"/>
          <w:rtl/>
        </w:rPr>
        <w:footnoteReference w:id="2054"/>
      </w:r>
      <w:r w:rsidRPr="0025250D">
        <w:rPr>
          <w:rFonts w:hint="cs"/>
          <w:rtl/>
        </w:rPr>
        <w:t xml:space="preserve"> در سال 2013 مقدمه‌ای خوب و الهام بخش برای </w:t>
      </w:r>
      <w:r w:rsidR="00785A11" w:rsidRPr="0025250D">
        <w:rPr>
          <w:rFonts w:hint="cs"/>
          <w:rtl/>
        </w:rPr>
        <w:t>مدیریت حساب باز</w:t>
      </w:r>
      <w:r w:rsidR="00785A11" w:rsidRPr="0025250D">
        <w:rPr>
          <w:rStyle w:val="FootnoteReference"/>
          <w:rtl/>
        </w:rPr>
        <w:footnoteReference w:id="2055"/>
      </w:r>
      <w:r w:rsidRPr="0025250D">
        <w:rPr>
          <w:rFonts w:hint="cs"/>
          <w:rtl/>
        </w:rPr>
        <w:t xml:space="preserve"> </w:t>
      </w:r>
      <w:r w:rsidR="00D459A8" w:rsidRPr="0025250D">
        <w:rPr>
          <w:rFonts w:hint="cs"/>
          <w:rtl/>
        </w:rPr>
        <w:t xml:space="preserve">ارائه می‌دهد </w:t>
      </w:r>
      <w:r w:rsidRPr="0025250D">
        <w:rPr>
          <w:rFonts w:hint="cs"/>
          <w:rtl/>
        </w:rPr>
        <w:t xml:space="preserve">که </w:t>
      </w:r>
      <w:r w:rsidRPr="0025250D">
        <w:rPr>
          <w:rtl/>
        </w:rPr>
        <w:t xml:space="preserve">بر اساس </w:t>
      </w:r>
      <w:r w:rsidRPr="0025250D">
        <w:rPr>
          <w:rFonts w:hint="cs"/>
          <w:rtl/>
        </w:rPr>
        <w:t>ی</w:t>
      </w:r>
      <w:r w:rsidRPr="0025250D">
        <w:rPr>
          <w:rFonts w:hint="eastAsia"/>
          <w:rtl/>
        </w:rPr>
        <w:t>ادگ</w:t>
      </w:r>
      <w:r w:rsidRPr="0025250D">
        <w:rPr>
          <w:rFonts w:hint="cs"/>
          <w:rtl/>
        </w:rPr>
        <w:t>ی</w:t>
      </w:r>
      <w:r w:rsidRPr="0025250D">
        <w:rPr>
          <w:rFonts w:hint="eastAsia"/>
          <w:rtl/>
        </w:rPr>
        <w:t>ر</w:t>
      </w:r>
      <w:r w:rsidRPr="0025250D">
        <w:rPr>
          <w:rFonts w:hint="cs"/>
          <w:rtl/>
        </w:rPr>
        <w:t>ی</w:t>
      </w:r>
      <w:r w:rsidRPr="0025250D">
        <w:rPr>
          <w:rtl/>
        </w:rPr>
        <w:t xml:space="preserve"> و اهداف مبتن</w:t>
      </w:r>
      <w:r w:rsidRPr="0025250D">
        <w:rPr>
          <w:rFonts w:hint="cs"/>
          <w:rtl/>
        </w:rPr>
        <w:t>ی</w:t>
      </w:r>
      <w:r w:rsidRPr="0025250D">
        <w:rPr>
          <w:rtl/>
        </w:rPr>
        <w:t xml:space="preserve"> بر </w:t>
      </w:r>
      <w:r w:rsidRPr="0025250D">
        <w:rPr>
          <w:rFonts w:hint="cs"/>
          <w:rtl/>
        </w:rPr>
        <w:t xml:space="preserve">سنجه‌ها </w:t>
      </w:r>
      <w:r w:rsidRPr="0025250D">
        <w:rPr>
          <w:rtl/>
        </w:rPr>
        <w:t>و پاداش عملکرد ت</w:t>
      </w:r>
      <w:r w:rsidRPr="0025250D">
        <w:rPr>
          <w:rFonts w:hint="cs"/>
          <w:rtl/>
        </w:rPr>
        <w:t>ی</w:t>
      </w:r>
      <w:r w:rsidRPr="0025250D">
        <w:rPr>
          <w:rFonts w:hint="eastAsia"/>
          <w:rtl/>
        </w:rPr>
        <w:t>م</w:t>
      </w:r>
      <w:r w:rsidRPr="0025250D">
        <w:rPr>
          <w:rtl/>
        </w:rPr>
        <w:t xml:space="preserve"> ساخته شده است</w:t>
      </w:r>
      <w:r w:rsidRPr="0025250D">
        <w:rPr>
          <w:rFonts w:hint="cs"/>
          <w:rtl/>
        </w:rPr>
        <w:t>. یک گزارش</w:t>
      </w:r>
      <w:r w:rsidRPr="0025250D">
        <w:rPr>
          <w:vertAlign w:val="superscript"/>
          <w:rtl/>
        </w:rPr>
        <w:footnoteReference w:id="2056"/>
      </w:r>
      <w:r w:rsidRPr="0025250D">
        <w:rPr>
          <w:rFonts w:hint="cs"/>
          <w:rtl/>
        </w:rPr>
        <w:t xml:space="preserve"> اثر </w:t>
      </w:r>
      <w:r w:rsidRPr="0025250D">
        <w:rPr>
          <w:rtl/>
        </w:rPr>
        <w:t>باب اکل</w:t>
      </w:r>
      <w:r w:rsidRPr="0025250D">
        <w:rPr>
          <w:vertAlign w:val="superscript"/>
          <w:rtl/>
        </w:rPr>
        <w:footnoteReference w:id="2057"/>
      </w:r>
      <w:r w:rsidRPr="0025250D">
        <w:rPr>
          <w:rFonts w:hint="cs"/>
          <w:rtl/>
        </w:rPr>
        <w:t xml:space="preserve"> در سال 2010 سنجه‌های پایداری و گزارش نویسی ساده شده را معرفی می‌کند و به شرکت امکان می‌دهد که دائما وضعیت واقعی خود را از نظر سودآوری، حاکمیت، تأثیر اجتماعی و محیط بازبینی کند.</w:t>
      </w:r>
    </w:p>
    <w:p w14:paraId="76E8386E" w14:textId="77777777" w:rsidR="00537CC8" w:rsidRPr="0025250D" w:rsidRDefault="00537CC8" w:rsidP="00537CC8">
      <w:pPr>
        <w:rPr>
          <w:rtl/>
        </w:rPr>
      </w:pPr>
      <w:r w:rsidRPr="0025250D">
        <w:rPr>
          <w:rFonts w:hint="cs"/>
          <w:rtl/>
        </w:rPr>
        <w:t>چگونگی سنجش هر چیز</w:t>
      </w:r>
      <w:r w:rsidRPr="0025250D">
        <w:rPr>
          <w:vertAlign w:val="superscript"/>
          <w:rtl/>
        </w:rPr>
        <w:footnoteReference w:id="2058"/>
      </w:r>
      <w:r w:rsidRPr="0025250D">
        <w:rPr>
          <w:rFonts w:hint="cs"/>
          <w:rtl/>
        </w:rPr>
        <w:t xml:space="preserve"> اثر </w:t>
      </w:r>
      <w:r w:rsidRPr="0025250D">
        <w:rPr>
          <w:rtl/>
        </w:rPr>
        <w:t>داگلاس هابارد</w:t>
      </w:r>
      <w:r w:rsidRPr="0025250D">
        <w:rPr>
          <w:vertAlign w:val="superscript"/>
          <w:rtl/>
        </w:rPr>
        <w:footnoteReference w:id="2059"/>
      </w:r>
      <w:r w:rsidRPr="0025250D">
        <w:rPr>
          <w:rFonts w:hint="cs"/>
          <w:rtl/>
        </w:rPr>
        <w:t xml:space="preserve"> در سال 2014 راهنمای خوبی برای سنجش و یادگیری وضعیت موارد ناملموسی است که تیم‌ها و مدل‌های دارای اهمیت برای کار ما نشان می‌دهند. بسیاری از مرتبط‌ترین فرایند‌ها، فرصت‌ها و مسائل اطراف ما در حال حاضر شناخته شده نیستند و بنابراین حتی اندازه‌گیری هم نشده‌اند. اگرچه، انجام نظرسنجی‌ها، رأی گیری‌ها، گروه‌های متمرکز و دیگر ابزارهای دریافت بازخورد (بازبینی) مداوم راه اساسی برای پایان حلقه انجام با ارائه اطلاعات مفیدی به ما هستند که می‌توانیم پس از آن این اطلاعات را (از طریق یادگیری جدید) برای علل، تاریخچه‌ها و روابط پنهان بررسی کنیم.</w:t>
      </w:r>
    </w:p>
    <w:p w14:paraId="45C9DAC2" w14:textId="77C3120A" w:rsidR="00537CC8" w:rsidRPr="0025250D" w:rsidRDefault="00537CC8" w:rsidP="00537CC8">
      <w:pPr>
        <w:rPr>
          <w:rtl/>
        </w:rPr>
      </w:pPr>
      <w:r w:rsidRPr="0025250D">
        <w:rPr>
          <w:rFonts w:hint="cs"/>
          <w:rtl/>
        </w:rPr>
        <w:t xml:space="preserve">متفکرین آینده خوب دوست دارند که پدیده‌ها را اندازه‌گیری کنند و روندها، داده‌ها و حقایق را برای یافتن شواهدی برای ایجاد، تأیید یا تغییر </w:t>
      </w:r>
      <w:r w:rsidR="00701E03" w:rsidRPr="0025250D">
        <w:rPr>
          <w:rFonts w:hint="cs"/>
          <w:rtl/>
        </w:rPr>
        <w:t>راهبرد</w:t>
      </w:r>
      <w:r w:rsidRPr="0025250D">
        <w:rPr>
          <w:rFonts w:hint="cs"/>
          <w:rtl/>
        </w:rPr>
        <w:t xml:space="preserve">‌ها و </w:t>
      </w:r>
      <w:r w:rsidR="00A20CCB" w:rsidRPr="0025250D">
        <w:rPr>
          <w:rFonts w:hint="cs"/>
          <w:rtl/>
        </w:rPr>
        <w:t>جهان‌بینی</w:t>
      </w:r>
      <w:r w:rsidRPr="0025250D">
        <w:rPr>
          <w:rFonts w:hint="cs"/>
          <w:rtl/>
        </w:rPr>
        <w:t xml:space="preserve"> خود بیابند. برای مثال‌های اندکی از حقایق تغییر دهنده دیدگاه، کتاب 50 حقیقتی که آمریکا را تغییر می‌دهند</w:t>
      </w:r>
      <w:r w:rsidRPr="0025250D">
        <w:rPr>
          <w:vertAlign w:val="superscript"/>
          <w:rtl/>
        </w:rPr>
        <w:footnoteReference w:id="2060"/>
      </w:r>
      <w:r w:rsidRPr="0025250D">
        <w:rPr>
          <w:rFonts w:hint="cs"/>
          <w:rtl/>
        </w:rPr>
        <w:t xml:space="preserve"> اثر </w:t>
      </w:r>
      <w:r w:rsidRPr="0025250D">
        <w:rPr>
          <w:rtl/>
        </w:rPr>
        <w:t>استفان فندر</w:t>
      </w:r>
      <w:r w:rsidRPr="0025250D">
        <w:rPr>
          <w:vertAlign w:val="superscript"/>
          <w:rtl/>
        </w:rPr>
        <w:footnoteReference w:id="2061"/>
      </w:r>
      <w:r w:rsidRPr="0025250D">
        <w:rPr>
          <w:rFonts w:hint="cs"/>
          <w:rtl/>
        </w:rPr>
        <w:t xml:space="preserve"> در سال 2008 را ببینید. به‌عنوان یک مثال، داده‌های زیر را از سریال </w:t>
      </w:r>
      <w:r w:rsidRPr="0025250D">
        <w:rPr>
          <w:rtl/>
        </w:rPr>
        <w:t>لانست</w:t>
      </w:r>
      <w:r w:rsidRPr="0025250D">
        <w:rPr>
          <w:vertAlign w:val="superscript"/>
          <w:rtl/>
        </w:rPr>
        <w:footnoteReference w:id="2062"/>
      </w:r>
      <w:r w:rsidRPr="0025250D">
        <w:rPr>
          <w:rFonts w:hint="cs"/>
          <w:rtl/>
        </w:rPr>
        <w:t xml:space="preserve"> درسال 2013 درمورد تغذیه مادر و فرزند در نظر بگیرید: تقریبا 3 میلیون کودک (5 ساله و کوچکتر) هر ساله، 8000 کودک در هر روز، در نتیجه نبود غذای کافی برای مادر یا فرزند می‌میرند. تنها بیش از نیمی از این مرگ و میر‌ها در یک محل جغرافیایی واحدِ به شدت نیازمند رخ می‌دهند: مناطق جنوبی صحرای آفریقا. در جهان، سوء تغذیه هنوز مسئول 45 درصد از مرگ و میر کودکان است! 165 میلیون کودک امروزه به دلیل نبود تغذیه کافی در طول دوران کودکی دچار مشکل رشد بوده و از نظر ایمنی بدن در خطر هستند. چنین حقایق تأثیرگذاری به وضوح متقاضی </w:t>
      </w:r>
      <w:r w:rsidRPr="0025250D">
        <w:rPr>
          <w:rtl/>
        </w:rPr>
        <w:t>آینده‌نگاری</w:t>
      </w:r>
      <w:r w:rsidRPr="0025250D">
        <w:rPr>
          <w:rFonts w:hint="cs"/>
          <w:rtl/>
        </w:rPr>
        <w:t xml:space="preserve"> و اقدام انسان دوستانه هستند.</w:t>
      </w:r>
    </w:p>
    <w:p w14:paraId="6BDA159F" w14:textId="3ACBE9F1" w:rsidR="00537CC8" w:rsidRPr="0025250D" w:rsidRDefault="00537CC8" w:rsidP="00537CC8">
      <w:pPr>
        <w:rPr>
          <w:rtl/>
        </w:rPr>
      </w:pPr>
      <w:r w:rsidRPr="0025250D">
        <w:rPr>
          <w:rFonts w:hint="cs"/>
          <w:rtl/>
        </w:rPr>
        <w:t xml:space="preserve">اطلاعات و مدیریت دانش که شامل بررسی و تحقیق می‌شود، قدیمی‌ترین اصطلاح تخصصی برای چگونگی یادگیری سازمان درمورد محیط است. </w:t>
      </w:r>
      <w:r w:rsidR="00B124DE" w:rsidRPr="0025250D">
        <w:rPr>
          <w:rFonts w:hint="cs"/>
          <w:rtl/>
        </w:rPr>
        <w:t>جمع‌آوری</w:t>
      </w:r>
      <w:r w:rsidRPr="0025250D">
        <w:rPr>
          <w:rFonts w:hint="cs"/>
          <w:rtl/>
        </w:rPr>
        <w:t xml:space="preserve"> همه حقایق مرتبط با مسئولیت‌های ما در قالب یک داشبورد و </w:t>
      </w:r>
      <w:r w:rsidR="00A20CCB" w:rsidRPr="0025250D">
        <w:rPr>
          <w:rFonts w:hint="cs"/>
          <w:rtl/>
        </w:rPr>
        <w:t>به‌روزرسانی</w:t>
      </w:r>
      <w:r w:rsidRPr="0025250D">
        <w:rPr>
          <w:rFonts w:hint="cs"/>
          <w:rtl/>
        </w:rPr>
        <w:t xml:space="preserve"> آن به صورت منظم در خبررسانی‌ها، کمکی قدرتمند به </w:t>
      </w:r>
      <w:r w:rsidRPr="0025250D">
        <w:rPr>
          <w:rtl/>
        </w:rPr>
        <w:t>آینده‌نگاری</w:t>
      </w:r>
      <w:r w:rsidRPr="0025250D">
        <w:rPr>
          <w:rFonts w:hint="cs"/>
          <w:rtl/>
        </w:rPr>
        <w:t xml:space="preserve"> و عمل بهتر است. اگر بخواهیم دقیق بیان کنیم، اطلاعات به درک بهتر گذشته (گذشته نگری</w:t>
      </w:r>
      <w:r w:rsidRPr="0025250D">
        <w:rPr>
          <w:vertAlign w:val="superscript"/>
          <w:rtl/>
        </w:rPr>
        <w:footnoteReference w:id="2063"/>
      </w:r>
      <w:r w:rsidRPr="0025250D">
        <w:rPr>
          <w:rFonts w:hint="cs"/>
          <w:rtl/>
        </w:rPr>
        <w:t xml:space="preserve">) و حال (بینش) مرتبط مربوط می‌شود </w:t>
      </w:r>
      <w:r w:rsidRPr="0025250D">
        <w:rPr>
          <w:rFonts w:cs="Times New Roman" w:hint="cs"/>
          <w:rtl/>
        </w:rPr>
        <w:t>–</w:t>
      </w:r>
      <w:r w:rsidRPr="0025250D">
        <w:rPr>
          <w:rFonts w:hint="cs"/>
          <w:rtl/>
        </w:rPr>
        <w:t xml:space="preserve"> که هر دو پیش‌شرط‌هایی برای </w:t>
      </w:r>
      <w:r w:rsidR="00923DDB" w:rsidRPr="0025250D">
        <w:rPr>
          <w:rFonts w:hint="cs"/>
          <w:rtl/>
        </w:rPr>
        <w:t>پیش‌انگاری</w:t>
      </w:r>
      <w:r w:rsidRPr="0025250D">
        <w:rPr>
          <w:rFonts w:hint="cs"/>
          <w:rtl/>
        </w:rPr>
        <w:t xml:space="preserve">، نوآوری و </w:t>
      </w:r>
      <w:r w:rsidR="00701E03" w:rsidRPr="0025250D">
        <w:rPr>
          <w:rFonts w:hint="cs"/>
          <w:rtl/>
        </w:rPr>
        <w:t>راهبرد</w:t>
      </w:r>
      <w:r w:rsidRPr="0025250D">
        <w:rPr>
          <w:rFonts w:hint="cs"/>
          <w:rtl/>
        </w:rPr>
        <w:t xml:space="preserve"> برتر هستند. این کارکرد همان چیزی است که یک فعال </w:t>
      </w:r>
      <w:r w:rsidRPr="0025250D">
        <w:rPr>
          <w:rtl/>
        </w:rPr>
        <w:t>آینده‌نگاری</w:t>
      </w:r>
      <w:r w:rsidRPr="0025250D">
        <w:rPr>
          <w:rFonts w:hint="cs"/>
          <w:rtl/>
        </w:rPr>
        <w:t xml:space="preserve"> وقتی مشکل یک مشتری را مورد تحقیق قرار می‌دهد یا پویش کلی (تحصیل مداوم) را برای تازگی مفید انجام می‌دهد، آغاز می‌کند.</w:t>
      </w:r>
    </w:p>
    <w:p w14:paraId="287C6A1A" w14:textId="2C4B2F21" w:rsidR="00537CC8" w:rsidRPr="0025250D" w:rsidRDefault="00537CC8" w:rsidP="00537CC8">
      <w:pPr>
        <w:rPr>
          <w:rtl/>
        </w:rPr>
      </w:pPr>
      <w:r w:rsidRPr="0025250D">
        <w:rPr>
          <w:rFonts w:hint="cs"/>
          <w:rtl/>
        </w:rPr>
        <w:t xml:space="preserve">زمینه </w:t>
      </w:r>
      <w:r w:rsidRPr="0025250D">
        <w:rPr>
          <w:rtl/>
        </w:rPr>
        <w:t>آینده‌نگاری</w:t>
      </w:r>
      <w:r w:rsidRPr="0025250D">
        <w:rPr>
          <w:rFonts w:hint="cs"/>
          <w:rtl/>
        </w:rPr>
        <w:t xml:space="preserve"> جدید با عنوان مطالعات اطلاعاتی</w:t>
      </w:r>
      <w:r w:rsidRPr="0025250D">
        <w:rPr>
          <w:vertAlign w:val="superscript"/>
          <w:rtl/>
        </w:rPr>
        <w:footnoteReference w:id="2064"/>
      </w:r>
      <w:r w:rsidRPr="0025250D">
        <w:rPr>
          <w:rFonts w:hint="cs"/>
          <w:rtl/>
        </w:rPr>
        <w:t xml:space="preserve"> با</w:t>
      </w:r>
      <w:r w:rsidRPr="0025250D">
        <w:rPr>
          <w:rtl/>
        </w:rPr>
        <w:t xml:space="preserve"> </w:t>
      </w:r>
      <w:r w:rsidRPr="0025250D">
        <w:rPr>
          <w:rFonts w:hint="cs"/>
          <w:rtl/>
        </w:rPr>
        <w:t>تمرکز</w:t>
      </w:r>
      <w:r w:rsidRPr="0025250D">
        <w:rPr>
          <w:rtl/>
        </w:rPr>
        <w:t xml:space="preserve"> </w:t>
      </w:r>
      <w:r w:rsidRPr="0025250D">
        <w:rPr>
          <w:rFonts w:hint="cs"/>
          <w:rtl/>
        </w:rPr>
        <w:t>محدود</w:t>
      </w:r>
      <w:r w:rsidRPr="0025250D">
        <w:rPr>
          <w:rtl/>
        </w:rPr>
        <w:t xml:space="preserve">‌تر </w:t>
      </w:r>
      <w:r w:rsidRPr="0025250D">
        <w:rPr>
          <w:rFonts w:hint="cs"/>
          <w:rtl/>
        </w:rPr>
        <w:t>بر</w:t>
      </w:r>
      <w:r w:rsidRPr="0025250D">
        <w:rPr>
          <w:rtl/>
        </w:rPr>
        <w:t xml:space="preserve"> </w:t>
      </w:r>
      <w:r w:rsidRPr="0025250D">
        <w:rPr>
          <w:rFonts w:hint="cs"/>
          <w:rtl/>
        </w:rPr>
        <w:t>روی</w:t>
      </w:r>
      <w:r w:rsidRPr="0025250D">
        <w:rPr>
          <w:rtl/>
        </w:rPr>
        <w:t xml:space="preserve"> </w:t>
      </w:r>
      <w:r w:rsidRPr="0025250D">
        <w:rPr>
          <w:rFonts w:hint="cs"/>
          <w:rtl/>
        </w:rPr>
        <w:t>آینده</w:t>
      </w:r>
      <w:r w:rsidRPr="0025250D">
        <w:rPr>
          <w:rtl/>
        </w:rPr>
        <w:t xml:space="preserve">‌های </w:t>
      </w:r>
      <w:r w:rsidRPr="0025250D">
        <w:rPr>
          <w:rFonts w:hint="cs"/>
          <w:rtl/>
        </w:rPr>
        <w:t>اجتماعی سیاسی</w:t>
      </w:r>
      <w:r w:rsidRPr="0025250D">
        <w:rPr>
          <w:rtl/>
        </w:rPr>
        <w:t xml:space="preserve"> </w:t>
      </w:r>
      <w:r w:rsidRPr="0025250D">
        <w:rPr>
          <w:rFonts w:hint="cs"/>
          <w:rtl/>
        </w:rPr>
        <w:t>و</w:t>
      </w:r>
      <w:r w:rsidRPr="0025250D">
        <w:rPr>
          <w:rtl/>
        </w:rPr>
        <w:t xml:space="preserve"> </w:t>
      </w:r>
      <w:r w:rsidRPr="0025250D">
        <w:rPr>
          <w:rFonts w:hint="cs"/>
          <w:rtl/>
        </w:rPr>
        <w:t xml:space="preserve">دفاعی، روش‌ها و یک جامعه آموزش تدریجی توسعه داده است که در خدمت انواع متعددی از کارسپاران (سیاسی، دفاعی، اجرای قانون، تجاری، </w:t>
      </w:r>
      <w:r w:rsidRPr="0025250D">
        <w:t>NGO</w:t>
      </w:r>
      <w:r w:rsidRPr="0025250D">
        <w:rPr>
          <w:rFonts w:hint="cs"/>
          <w:rtl/>
        </w:rPr>
        <w:t xml:space="preserve"> ها) می‌باشد. زمینه هوش </w:t>
      </w:r>
      <w:r w:rsidR="00B124DE" w:rsidRPr="0025250D">
        <w:rPr>
          <w:rFonts w:hint="cs"/>
          <w:rtl/>
        </w:rPr>
        <w:t>کسب‌و‌کار</w:t>
      </w:r>
      <w:r w:rsidRPr="0025250D">
        <w:rPr>
          <w:vertAlign w:val="superscript"/>
          <w:rtl/>
        </w:rPr>
        <w:footnoteReference w:id="2065"/>
      </w:r>
      <w:r w:rsidRPr="0025250D">
        <w:rPr>
          <w:rFonts w:hint="cs"/>
          <w:rtl/>
        </w:rPr>
        <w:t xml:space="preserve"> از داده‌های </w:t>
      </w:r>
      <w:r w:rsidR="00B124DE" w:rsidRPr="0025250D">
        <w:rPr>
          <w:rFonts w:hint="cs"/>
          <w:rtl/>
        </w:rPr>
        <w:t>کسب‌و‌کار</w:t>
      </w:r>
      <w:r w:rsidRPr="0025250D">
        <w:rPr>
          <w:rFonts w:hint="cs"/>
          <w:rtl/>
        </w:rPr>
        <w:t>ی و سازمانی برای مطالعه و محک زنی عملکرد و فرایند‌های سازمانی</w:t>
      </w:r>
      <w:r w:rsidRPr="0025250D">
        <w:rPr>
          <w:rtl/>
        </w:rPr>
        <w:t xml:space="preserve"> </w:t>
      </w:r>
      <w:r w:rsidRPr="0025250D">
        <w:rPr>
          <w:rFonts w:hint="cs"/>
          <w:rtl/>
        </w:rPr>
        <w:t>استفاده</w:t>
      </w:r>
      <w:r w:rsidRPr="0025250D">
        <w:rPr>
          <w:rtl/>
        </w:rPr>
        <w:t xml:space="preserve"> می‌</w:t>
      </w:r>
      <w:r w:rsidRPr="0025250D">
        <w:rPr>
          <w:rFonts w:hint="cs"/>
          <w:rtl/>
        </w:rPr>
        <w:t>کند و روش‌ها، ابزارها و پلتفرم‌هایی برای بهبود آگاهی و عملکرد سازمانی ایجاد می‌کند.</w:t>
      </w:r>
    </w:p>
    <w:p w14:paraId="47FF2C4E" w14:textId="1942248A" w:rsidR="00537CC8" w:rsidRPr="0025250D" w:rsidRDefault="00537CC8" w:rsidP="00701E03">
      <w:pPr>
        <w:rPr>
          <w:rtl/>
        </w:rPr>
      </w:pPr>
      <w:r w:rsidRPr="0025250D">
        <w:rPr>
          <w:rFonts w:hint="cs"/>
          <w:rtl/>
        </w:rPr>
        <w:t>بسیاری از شرکت‌ها اطلاعات</w:t>
      </w:r>
      <w:r w:rsidR="00D459A8" w:rsidRPr="0025250D">
        <w:rPr>
          <w:rFonts w:hint="cs"/>
          <w:rtl/>
        </w:rPr>
        <w:t>ی</w:t>
      </w:r>
      <w:r w:rsidRPr="0025250D">
        <w:rPr>
          <w:rFonts w:hint="cs"/>
          <w:rtl/>
        </w:rPr>
        <w:t xml:space="preserve"> مانند تحقیقات </w:t>
      </w:r>
      <w:r w:rsidRPr="0025250D">
        <w:rPr>
          <w:rtl/>
        </w:rPr>
        <w:t>آینده‌نگاری</w:t>
      </w:r>
      <w:r w:rsidRPr="0025250D">
        <w:rPr>
          <w:rFonts w:hint="cs"/>
          <w:rtl/>
        </w:rPr>
        <w:t xml:space="preserve"> صنعتی</w:t>
      </w:r>
      <w:r w:rsidR="008D6F97" w:rsidRPr="0025250D">
        <w:rPr>
          <w:rtl/>
        </w:rPr>
        <w:t xml:space="preserve"> </w:t>
      </w:r>
      <w:r w:rsidRPr="0025250D">
        <w:rPr>
          <w:rFonts w:hint="cs"/>
          <w:rtl/>
        </w:rPr>
        <w:t xml:space="preserve">را از شرکت‌های مشاوره‌ای مانند </w:t>
      </w:r>
      <w:r w:rsidRPr="0025250D">
        <w:rPr>
          <w:rtl/>
        </w:rPr>
        <w:t>مک ک</w:t>
      </w:r>
      <w:r w:rsidRPr="0025250D">
        <w:rPr>
          <w:rFonts w:hint="cs"/>
          <w:rtl/>
        </w:rPr>
        <w:t>ی</w:t>
      </w:r>
      <w:r w:rsidRPr="0025250D">
        <w:rPr>
          <w:rFonts w:hint="eastAsia"/>
          <w:rtl/>
        </w:rPr>
        <w:t>نز</w:t>
      </w:r>
      <w:r w:rsidRPr="0025250D">
        <w:rPr>
          <w:rFonts w:hint="cs"/>
          <w:rtl/>
        </w:rPr>
        <w:t>ی</w:t>
      </w:r>
      <w:r w:rsidRPr="0025250D">
        <w:rPr>
          <w:vertAlign w:val="superscript"/>
          <w:rtl/>
        </w:rPr>
        <w:footnoteReference w:id="2066"/>
      </w:r>
      <w:r w:rsidRPr="0025250D">
        <w:rPr>
          <w:rFonts w:hint="cs"/>
          <w:rtl/>
        </w:rPr>
        <w:t xml:space="preserve">، </w:t>
      </w:r>
      <w:r w:rsidRPr="0025250D">
        <w:rPr>
          <w:rtl/>
        </w:rPr>
        <w:t>گارتنر</w:t>
      </w:r>
      <w:r w:rsidRPr="0025250D">
        <w:rPr>
          <w:vertAlign w:val="superscript"/>
          <w:rtl/>
        </w:rPr>
        <w:footnoteReference w:id="2067"/>
      </w:r>
      <w:r w:rsidRPr="0025250D">
        <w:rPr>
          <w:rFonts w:hint="cs"/>
          <w:rtl/>
        </w:rPr>
        <w:t xml:space="preserve"> و </w:t>
      </w:r>
      <w:r w:rsidRPr="0025250D">
        <w:t>IDG</w:t>
      </w:r>
      <w:r w:rsidRPr="0025250D">
        <w:rPr>
          <w:rFonts w:hint="cs"/>
          <w:rtl/>
        </w:rPr>
        <w:t xml:space="preserve"> خریداری می‌کنند. کارسپاران شامل مدیران اجرایی سطح </w:t>
      </w:r>
      <w:r w:rsidRPr="0025250D">
        <w:t>C</w:t>
      </w:r>
      <w:r w:rsidRPr="0025250D">
        <w:rPr>
          <w:rFonts w:hint="cs"/>
          <w:rtl/>
        </w:rPr>
        <w:t xml:space="preserve">، نوآوران فنی، </w:t>
      </w:r>
      <w:r w:rsidR="00701E03" w:rsidRPr="0025250D">
        <w:rPr>
          <w:rFonts w:hint="cs"/>
          <w:rtl/>
        </w:rPr>
        <w:t>راهبردشناسان</w:t>
      </w:r>
      <w:r w:rsidRPr="0025250D">
        <w:rPr>
          <w:rFonts w:hint="cs"/>
          <w:rtl/>
        </w:rPr>
        <w:t xml:space="preserve">، </w:t>
      </w:r>
      <w:r w:rsidR="00B124DE" w:rsidRPr="0025250D">
        <w:rPr>
          <w:rFonts w:hint="cs"/>
          <w:rtl/>
        </w:rPr>
        <w:t>برنامه‌ریزی</w:t>
      </w:r>
      <w:r w:rsidRPr="0025250D">
        <w:rPr>
          <w:rFonts w:hint="cs"/>
          <w:rtl/>
        </w:rPr>
        <w:t xml:space="preserve"> کنندگان، مدیران ریسک، رهبران، روزنامه نگاران</w:t>
      </w:r>
      <w:r w:rsidR="008D6F97" w:rsidRPr="0025250D">
        <w:rPr>
          <w:rtl/>
        </w:rPr>
        <w:t xml:space="preserve"> </w:t>
      </w:r>
      <w:r w:rsidRPr="0025250D">
        <w:rPr>
          <w:rFonts w:hint="cs"/>
          <w:rtl/>
        </w:rPr>
        <w:t xml:space="preserve">و دیگران می‌شوند. تحقیقات بازار یک </w:t>
      </w:r>
      <w:r w:rsidR="00B124DE" w:rsidRPr="0025250D">
        <w:rPr>
          <w:rFonts w:hint="cs"/>
          <w:rtl/>
        </w:rPr>
        <w:t>کسب‌و‌کار</w:t>
      </w:r>
      <w:r w:rsidRPr="0025250D">
        <w:rPr>
          <w:rFonts w:hint="cs"/>
          <w:rtl/>
        </w:rPr>
        <w:t xml:space="preserve"> و تجارت سودمند است. در حقیقت، حق عضویت در یک تحقیق معمولی </w:t>
      </w:r>
      <w:r w:rsidRPr="0025250D">
        <w:rPr>
          <w:rtl/>
        </w:rPr>
        <w:t>گارتنر</w:t>
      </w:r>
      <w:r w:rsidRPr="0025250D">
        <w:rPr>
          <w:rFonts w:hint="cs"/>
          <w:rtl/>
        </w:rPr>
        <w:t xml:space="preserve"> که شرایط موجود و روندهای آینده را در یک صنعت بخصوص با یک ارزش بازار منطقی (مثلا، </w:t>
      </w:r>
      <w:r w:rsidR="007A53FD" w:rsidRPr="0025250D">
        <w:rPr>
          <w:rFonts w:hint="cs"/>
          <w:rtl/>
        </w:rPr>
        <w:t>فناوری</w:t>
      </w:r>
      <w:r w:rsidRPr="0025250D">
        <w:rPr>
          <w:rFonts w:hint="cs"/>
          <w:rtl/>
        </w:rPr>
        <w:t xml:space="preserve"> مرکز تماس) پوشش می‌دهد، می‌تواند برای شرکت‌های کوچک تا متوسط بین 25 تا 50 هزار دلار هزینه داشته باشد. یک خلاصه تحقیق صنعتی، زمان حال (اطلاعات) را پوشش داده و داده‌ها و ایده‌هایی درمورد آینده‌های محتمل، ممکن، مرجح و قابل اجتناب ارائه می‌دهد. یک خلاصه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همه این‌ها، به علاوه توصیه‌ها و گزینه‌های </w:t>
      </w:r>
      <w:r w:rsidR="00701E03" w:rsidRPr="0025250D">
        <w:rPr>
          <w:rFonts w:hint="cs"/>
          <w:rtl/>
        </w:rPr>
        <w:t>راهبردی</w:t>
      </w:r>
      <w:r w:rsidRPr="0025250D">
        <w:rPr>
          <w:rFonts w:hint="cs"/>
          <w:rtl/>
        </w:rPr>
        <w:t xml:space="preserve"> که برای نیاز کارسپاران آماده شده است </w:t>
      </w:r>
      <w:r w:rsidR="00B6610C" w:rsidRPr="0025250D">
        <w:rPr>
          <w:rFonts w:hint="cs"/>
          <w:rtl/>
        </w:rPr>
        <w:t xml:space="preserve">را </w:t>
      </w:r>
      <w:r w:rsidRPr="0025250D">
        <w:rPr>
          <w:rFonts w:hint="cs"/>
          <w:rtl/>
        </w:rPr>
        <w:t>دارا می‌باشد.</w:t>
      </w:r>
    </w:p>
    <w:p w14:paraId="23538368" w14:textId="6A022FF3" w:rsidR="00537CC8" w:rsidRPr="0025250D" w:rsidRDefault="00537CC8" w:rsidP="00537CC8">
      <w:pPr>
        <w:rPr>
          <w:rtl/>
        </w:rPr>
      </w:pPr>
      <w:r w:rsidRPr="0025250D">
        <w:rPr>
          <w:rFonts w:hint="cs"/>
          <w:rtl/>
        </w:rPr>
        <w:t xml:space="preserve">وقتی </w:t>
      </w:r>
      <w:r w:rsidRPr="0025250D">
        <w:rPr>
          <w:rtl/>
        </w:rPr>
        <w:t>جان</w:t>
      </w:r>
      <w:r w:rsidR="00B6610C" w:rsidRPr="0025250D">
        <w:rPr>
          <w:rFonts w:hint="cs"/>
          <w:rtl/>
        </w:rPr>
        <w:t xml:space="preserve"> اسمارت</w:t>
      </w:r>
      <w:r w:rsidRPr="0025250D">
        <w:rPr>
          <w:rFonts w:hint="cs"/>
          <w:rtl/>
        </w:rPr>
        <w:t xml:space="preserve"> شغل </w:t>
      </w:r>
      <w:r w:rsidRPr="0025250D">
        <w:rPr>
          <w:rtl/>
        </w:rPr>
        <w:t>آینده‌نگاری</w:t>
      </w:r>
      <w:r w:rsidRPr="0025250D">
        <w:rPr>
          <w:rFonts w:hint="cs"/>
          <w:rtl/>
        </w:rPr>
        <w:t xml:space="preserve"> خود را در سال 2000 آغاز کرد، بسیاری از خلاصه‌های تحقیقات صنعتی نیاز به پرداخت حق عضویت داشتند. با توجه به این که پیچیدگی جهانی، سرعت تغییرات و ثروت از آن زمان تا به حال شتاب گرفته اند، تعداد هر چه بیش‌تری از این خلاصه‌های سابقا گرانقیمتِ اختصاصی به‌عنوان </w:t>
      </w:r>
      <w:r w:rsidRPr="0025250D">
        <w:rPr>
          <w:rtl/>
        </w:rPr>
        <w:t>آینده‌نگاری</w:t>
      </w:r>
      <w:r w:rsidRPr="0025250D">
        <w:rPr>
          <w:rFonts w:hint="cs"/>
          <w:rtl/>
        </w:rPr>
        <w:t xml:space="preserve"> آزاد و رایگان منتشر شده‌اند. آن‌ها به حداقل انتظارت</w:t>
      </w:r>
      <w:r w:rsidRPr="0025250D">
        <w:rPr>
          <w:vertAlign w:val="superscript"/>
          <w:rtl/>
        </w:rPr>
        <w:footnoteReference w:id="2068"/>
      </w:r>
      <w:r w:rsidRPr="0025250D">
        <w:rPr>
          <w:rFonts w:hint="cs"/>
          <w:rtl/>
        </w:rPr>
        <w:t xml:space="preserve"> و نشانی از شایستگی و توانایی مشاوره </w:t>
      </w:r>
      <w:r w:rsidR="00701E03" w:rsidRPr="0025250D">
        <w:rPr>
          <w:rFonts w:hint="cs"/>
          <w:rtl/>
        </w:rPr>
        <w:t>راهبرد</w:t>
      </w:r>
      <w:r w:rsidRPr="0025250D">
        <w:rPr>
          <w:rFonts w:hint="cs"/>
          <w:rtl/>
        </w:rPr>
        <w:t xml:space="preserve"> محرمانه ارائه شده توسط بسیاری از شرکت‌های مشاوره‌ای تبدیل شده‌اند. یادگیری فراوان درمورد گذشته، حال و آینده هر صنعتی توسط مقایسه خلاصه‌های تحقیقاتی یافت شده در اینترنت آزاد برای یک تیم از هر زمان دیگری ساده‌تر شده است. حتی اطلاعات رقابتی برای تیم‌هایی که از همه اطلاعات منبع آزاد جدید استفاده می‌کنند بسیار ساده‌تر شده است.</w:t>
      </w:r>
    </w:p>
    <w:p w14:paraId="55E4E2CE" w14:textId="02BED813" w:rsidR="00537CC8" w:rsidRPr="0025250D" w:rsidRDefault="00537CC8" w:rsidP="00537CC8">
      <w:pPr>
        <w:rPr>
          <w:rtl/>
        </w:rPr>
      </w:pPr>
      <w:r w:rsidRPr="0025250D">
        <w:rPr>
          <w:rFonts w:hint="cs"/>
          <w:rtl/>
        </w:rPr>
        <w:t xml:space="preserve">یک ابزار یادگیری و </w:t>
      </w:r>
      <w:r w:rsidR="00D92F6E" w:rsidRPr="0025250D">
        <w:rPr>
          <w:rFonts w:hint="cs"/>
          <w:rtl/>
        </w:rPr>
        <w:t>پیش‌بین</w:t>
      </w:r>
      <w:r w:rsidRPr="0025250D">
        <w:rPr>
          <w:rFonts w:hint="cs"/>
          <w:rtl/>
        </w:rPr>
        <w:t>ی قدرتمند دیگر، رأی گیری گروهی یا سنجش نظر گروه</w:t>
      </w:r>
      <w:r w:rsidRPr="0025250D">
        <w:rPr>
          <w:vertAlign w:val="superscript"/>
          <w:rtl/>
        </w:rPr>
        <w:footnoteReference w:id="2069"/>
      </w:r>
      <w:r w:rsidRPr="0025250D">
        <w:rPr>
          <w:rFonts w:hint="cs"/>
          <w:rtl/>
        </w:rPr>
        <w:t xml:space="preserve"> می‌باشد، مانند آنچه در جامعه توسط شرکت‌هایی مانند </w:t>
      </w:r>
      <w:r w:rsidRPr="0025250D">
        <w:rPr>
          <w:rtl/>
        </w:rPr>
        <w:t>پ</w:t>
      </w:r>
      <w:r w:rsidRPr="0025250D">
        <w:rPr>
          <w:rFonts w:hint="cs"/>
          <w:rtl/>
        </w:rPr>
        <w:t>ی</w:t>
      </w:r>
      <w:r w:rsidRPr="0025250D">
        <w:rPr>
          <w:rFonts w:hint="eastAsia"/>
          <w:rtl/>
        </w:rPr>
        <w:t>و</w:t>
      </w:r>
      <w:r w:rsidRPr="0025250D">
        <w:rPr>
          <w:vertAlign w:val="superscript"/>
          <w:rtl/>
        </w:rPr>
        <w:footnoteReference w:id="2070"/>
      </w:r>
      <w:r w:rsidRPr="0025250D">
        <w:rPr>
          <w:rFonts w:hint="cs"/>
          <w:rtl/>
        </w:rPr>
        <w:t xml:space="preserve">، </w:t>
      </w:r>
      <w:r w:rsidRPr="0025250D">
        <w:rPr>
          <w:rtl/>
        </w:rPr>
        <w:t>گالوپ</w:t>
      </w:r>
      <w:r w:rsidRPr="0025250D">
        <w:rPr>
          <w:rFonts w:hint="cs"/>
          <w:rtl/>
        </w:rPr>
        <w:t xml:space="preserve"> و </w:t>
      </w:r>
      <w:r w:rsidRPr="0025250D">
        <w:rPr>
          <w:rtl/>
        </w:rPr>
        <w:t>زوگب</w:t>
      </w:r>
      <w:r w:rsidRPr="0025250D">
        <w:rPr>
          <w:rFonts w:hint="cs"/>
          <w:rtl/>
        </w:rPr>
        <w:t>ی</w:t>
      </w:r>
      <w:r w:rsidRPr="0025250D">
        <w:rPr>
          <w:vertAlign w:val="superscript"/>
          <w:rtl/>
        </w:rPr>
        <w:footnoteReference w:id="2071"/>
      </w:r>
      <w:r w:rsidR="006B38A4" w:rsidRPr="0025250D">
        <w:rPr>
          <w:rFonts w:hint="cs"/>
          <w:rtl/>
        </w:rPr>
        <w:t xml:space="preserve"> به عنوان </w:t>
      </w:r>
      <w:r w:rsidRPr="0025250D">
        <w:rPr>
          <w:rFonts w:hint="cs"/>
          <w:rtl/>
        </w:rPr>
        <w:t xml:space="preserve">شرکت‌های بازاریابی و شرکت‌های مشاوره‌ای انجام می‌شود. هرگاه سازمان با پیچیدگی انتزاعی و ناملموس یا متغیر‌ها و مسائل غیر مرسوم روبرو شود، رأی گیری می‌تواند اغلب به یک تیم برای یافتن این که آن‌ها اکنون در یک دورنمای </w:t>
      </w:r>
      <w:r w:rsidR="00B124DE" w:rsidRPr="0025250D">
        <w:rPr>
          <w:rFonts w:hint="cs"/>
          <w:rtl/>
        </w:rPr>
        <w:t>انطباق‌پذیر</w:t>
      </w:r>
      <w:r w:rsidRPr="0025250D">
        <w:rPr>
          <w:rFonts w:hint="cs"/>
          <w:rtl/>
        </w:rPr>
        <w:t>، نسبت به همکاران احتمالی، رقبا و تهدید‌ها در کجا قرار دارند کمک کند.</w:t>
      </w:r>
    </w:p>
    <w:p w14:paraId="48DDD140" w14:textId="70613F9D" w:rsidR="00537CC8" w:rsidRPr="0025250D" w:rsidRDefault="00537CC8" w:rsidP="00537CC8">
      <w:pPr>
        <w:rPr>
          <w:rtl/>
        </w:rPr>
      </w:pPr>
      <w:r w:rsidRPr="0025250D">
        <w:rPr>
          <w:rFonts w:hint="cs"/>
          <w:rtl/>
        </w:rPr>
        <w:t xml:space="preserve">نظرسنجی‌ها، گروه‌های متمرکز و دیگر مطالعات تعاملی، شکل کلاسیکی از هوش و اطلاعات جمعی و ایجاد توافق هستند. </w:t>
      </w:r>
      <w:r w:rsidRPr="0025250D">
        <w:rPr>
          <w:rtl/>
        </w:rPr>
        <w:t>ج</w:t>
      </w:r>
      <w:r w:rsidRPr="0025250D">
        <w:rPr>
          <w:rFonts w:hint="cs"/>
          <w:rtl/>
        </w:rPr>
        <w:t>ی</w:t>
      </w:r>
      <w:r w:rsidRPr="0025250D">
        <w:rPr>
          <w:rFonts w:hint="eastAsia"/>
          <w:rtl/>
        </w:rPr>
        <w:t>مز</w:t>
      </w:r>
      <w:r w:rsidRPr="0025250D">
        <w:rPr>
          <w:rtl/>
        </w:rPr>
        <w:t xml:space="preserve"> سوروو</w:t>
      </w:r>
      <w:r w:rsidRPr="0025250D">
        <w:rPr>
          <w:rFonts w:hint="cs"/>
          <w:rtl/>
        </w:rPr>
        <w:t>ی</w:t>
      </w:r>
      <w:r w:rsidRPr="0025250D">
        <w:rPr>
          <w:rFonts w:hint="eastAsia"/>
          <w:rtl/>
        </w:rPr>
        <w:t>ک</w:t>
      </w:r>
      <w:r w:rsidRPr="0025250D">
        <w:rPr>
          <w:rFonts w:hint="cs"/>
          <w:rtl/>
        </w:rPr>
        <w:t>ی</w:t>
      </w:r>
      <w:r w:rsidRPr="0025250D">
        <w:rPr>
          <w:vertAlign w:val="superscript"/>
          <w:rtl/>
        </w:rPr>
        <w:footnoteReference w:id="2072"/>
      </w:r>
      <w:r w:rsidRPr="0025250D">
        <w:rPr>
          <w:rFonts w:hint="cs"/>
          <w:rtl/>
        </w:rPr>
        <w:t>، در خِرد جمعی</w:t>
      </w:r>
      <w:r w:rsidRPr="0025250D">
        <w:rPr>
          <w:vertAlign w:val="superscript"/>
          <w:rtl/>
        </w:rPr>
        <w:footnoteReference w:id="2073"/>
      </w:r>
      <w:r w:rsidRPr="0025250D">
        <w:rPr>
          <w:rFonts w:hint="cs"/>
          <w:rtl/>
        </w:rPr>
        <w:t xml:space="preserve"> در سال 2005 این ایده را به شکلی جامع‌تر با چالش تخمین تعداد پاستیل ها</w:t>
      </w:r>
      <w:r w:rsidRPr="0025250D">
        <w:rPr>
          <w:vertAlign w:val="superscript"/>
          <w:rtl/>
        </w:rPr>
        <w:footnoteReference w:id="2074"/>
      </w:r>
      <w:r w:rsidRPr="0025250D">
        <w:rPr>
          <w:rFonts w:hint="cs"/>
          <w:rtl/>
        </w:rPr>
        <w:t xml:space="preserve"> (چند پاستیل در شیشه وجود دارند؟) برای یادآوری ارزش هوش جمعی به ما، بیان می‌کند. ، نظر سنجی از یک جمعیت متنوع از نظر دانش و میانگین گیری از حدس‌های آن‌ها</w:t>
      </w:r>
      <w:r w:rsidR="006B38A4" w:rsidRPr="0025250D">
        <w:rPr>
          <w:rFonts w:hint="cs"/>
          <w:rtl/>
        </w:rPr>
        <w:t xml:space="preserve"> به عنوان رویه‌ای که در طول دو قرن گذشته دائماً همتاسازی شده است</w:t>
      </w:r>
      <w:r w:rsidRPr="0025250D">
        <w:rPr>
          <w:rFonts w:hint="cs"/>
          <w:rtl/>
        </w:rPr>
        <w:t>، معمولا دقت تخمین را افزایش می‌دهد. تصویر زیر را به‌عنوان یک مثال ببینید.</w:t>
      </w:r>
    </w:p>
    <w:p w14:paraId="00B16AFB" w14:textId="4BF5191D" w:rsidR="00537CC8" w:rsidRPr="0025250D" w:rsidRDefault="007118DE" w:rsidP="00537CC8">
      <w:pPr>
        <w:rPr>
          <w:rtl/>
        </w:rPr>
      </w:pPr>
      <w:r w:rsidRPr="0025250D">
        <w:rPr>
          <w:rFonts w:hint="cs"/>
          <w:rtl/>
        </w:rPr>
        <w:t>همان‌طور</w:t>
      </w:r>
      <w:r w:rsidR="00537CC8" w:rsidRPr="0025250D">
        <w:rPr>
          <w:rFonts w:hint="cs"/>
          <w:rtl/>
        </w:rPr>
        <w:t xml:space="preserve"> که </w:t>
      </w:r>
      <w:r w:rsidR="00537CC8" w:rsidRPr="0025250D">
        <w:rPr>
          <w:rtl/>
        </w:rPr>
        <w:t>دون مک دونالد</w:t>
      </w:r>
      <w:r w:rsidR="00537CC8" w:rsidRPr="0025250D">
        <w:rPr>
          <w:vertAlign w:val="superscript"/>
          <w:rtl/>
        </w:rPr>
        <w:footnoteReference w:id="2075"/>
      </w:r>
      <w:r w:rsidR="00537CC8" w:rsidRPr="0025250D">
        <w:rPr>
          <w:rFonts w:hint="cs"/>
          <w:rtl/>
        </w:rPr>
        <w:t xml:space="preserve"> اشاره می‌کند، بازارها از نظر تئوری مثل هم کار می‌کنند: دانش گروهی در قیمت سهام را با ابزارهای احتمالا دقیق‌تر نسبت به حدس‌های </w:t>
      </w:r>
      <w:r w:rsidR="001A3F0A" w:rsidRPr="0025250D">
        <w:rPr>
          <w:rFonts w:hint="cs"/>
          <w:rtl/>
        </w:rPr>
        <w:t>فردی</w:t>
      </w:r>
      <w:r w:rsidR="00537CC8" w:rsidRPr="0025250D">
        <w:rPr>
          <w:rFonts w:hint="cs"/>
          <w:rtl/>
        </w:rPr>
        <w:t xml:space="preserve"> توسط سرمایه گذاران ادغام می‌کنند. به همین دلیل است که شکست دادن دائمی بازار برای سرمایه گذاران </w:t>
      </w:r>
      <w:r w:rsidR="001A3F0A" w:rsidRPr="0025250D">
        <w:rPr>
          <w:rFonts w:hint="cs"/>
          <w:rtl/>
        </w:rPr>
        <w:t>فردی</w:t>
      </w:r>
      <w:r w:rsidR="00537CC8" w:rsidRPr="0025250D">
        <w:rPr>
          <w:rFonts w:hint="cs"/>
          <w:rtl/>
        </w:rPr>
        <w:t xml:space="preserve"> و مدیران سرمایه دشوار است. آن‌ها هم به اطلاعات برتری که به صورت اخلاقی حاصل شده باشد و هم به یک توانایی </w:t>
      </w:r>
      <w:r w:rsidR="0008779C" w:rsidRPr="0025250D">
        <w:rPr>
          <w:rFonts w:hint="cs"/>
          <w:rtl/>
        </w:rPr>
        <w:t>تصمیم‌گیری</w:t>
      </w:r>
      <w:r w:rsidR="00537CC8" w:rsidRPr="0025250D">
        <w:rPr>
          <w:rFonts w:hint="cs"/>
          <w:rtl/>
        </w:rPr>
        <w:t xml:space="preserve"> سریع‌تر (حلقه‌های </w:t>
      </w:r>
      <w:r w:rsidR="00537CC8" w:rsidRPr="0025250D">
        <w:t>OODA</w:t>
      </w:r>
      <w:r w:rsidR="00537CC8" w:rsidRPr="0025250D">
        <w:rPr>
          <w:rFonts w:hint="cs"/>
          <w:rtl/>
        </w:rPr>
        <w:t xml:space="preserve">) نیاز دارند تا یادگیری گروهی را تحت الشعاع قرار داده و یک قیمت آینده دقیق‌تر را آشکار کنند. نظریه موجود در پس بازارهای </w:t>
      </w:r>
      <w:r w:rsidR="00D92F6E" w:rsidRPr="0025250D">
        <w:rPr>
          <w:rFonts w:hint="cs"/>
          <w:rtl/>
        </w:rPr>
        <w:t>پیش‌بین</w:t>
      </w:r>
      <w:r w:rsidR="00537CC8" w:rsidRPr="0025250D">
        <w:rPr>
          <w:rFonts w:hint="cs"/>
          <w:rtl/>
        </w:rPr>
        <w:t>ی</w:t>
      </w:r>
      <w:r w:rsidR="006B38A4" w:rsidRPr="0025250D">
        <w:rPr>
          <w:rFonts w:hint="cs"/>
          <w:rtl/>
        </w:rPr>
        <w:t xml:space="preserve"> منی بر</w:t>
      </w:r>
      <w:r w:rsidR="00537CC8" w:rsidRPr="0025250D">
        <w:rPr>
          <w:rFonts w:hint="cs"/>
          <w:rtl/>
        </w:rPr>
        <w:t xml:space="preserve"> ابزارهای </w:t>
      </w:r>
      <w:r w:rsidR="00923DDB" w:rsidRPr="0025250D">
        <w:rPr>
          <w:rFonts w:hint="cs"/>
          <w:rtl/>
        </w:rPr>
        <w:t>پیش‌انگاری</w:t>
      </w:r>
      <w:r w:rsidR="00537CC8" w:rsidRPr="0025250D">
        <w:rPr>
          <w:rFonts w:hint="cs"/>
          <w:rtl/>
        </w:rPr>
        <w:t xml:space="preserve"> است که به صورت جمعی جنبه‌هایی از آینده را حدس می‌زنند.</w:t>
      </w:r>
    </w:p>
    <w:p w14:paraId="3161D3C9" w14:textId="3B64E198" w:rsidR="00537CC8" w:rsidRPr="0025250D" w:rsidRDefault="007118DE" w:rsidP="00537CC8">
      <w:pPr>
        <w:rPr>
          <w:rtl/>
        </w:rPr>
      </w:pPr>
      <w:r w:rsidRPr="0025250D">
        <w:rPr>
          <w:rFonts w:hint="cs"/>
          <w:rtl/>
        </w:rPr>
        <w:t>همان‌طور</w:t>
      </w:r>
      <w:r w:rsidR="00537CC8" w:rsidRPr="0025250D">
        <w:rPr>
          <w:rFonts w:hint="cs"/>
          <w:rtl/>
        </w:rPr>
        <w:t xml:space="preserve"> که اولین بار توسط </w:t>
      </w:r>
      <w:r w:rsidR="00537CC8" w:rsidRPr="0025250D">
        <w:rPr>
          <w:rtl/>
        </w:rPr>
        <w:t>هنر</w:t>
      </w:r>
      <w:r w:rsidR="00537CC8" w:rsidRPr="0025250D">
        <w:rPr>
          <w:rFonts w:hint="cs"/>
          <w:rtl/>
        </w:rPr>
        <w:t>ی</w:t>
      </w:r>
      <w:r w:rsidR="00537CC8" w:rsidRPr="0025250D">
        <w:rPr>
          <w:rtl/>
        </w:rPr>
        <w:t xml:space="preserve"> جنک</w:t>
      </w:r>
      <w:r w:rsidR="00537CC8" w:rsidRPr="0025250D">
        <w:rPr>
          <w:rFonts w:hint="cs"/>
          <w:rtl/>
        </w:rPr>
        <w:t>ی</w:t>
      </w:r>
      <w:r w:rsidR="00537CC8" w:rsidRPr="0025250D">
        <w:rPr>
          <w:rFonts w:hint="eastAsia"/>
          <w:rtl/>
        </w:rPr>
        <w:t>نز</w:t>
      </w:r>
      <w:r w:rsidR="00537CC8" w:rsidRPr="0025250D">
        <w:rPr>
          <w:vertAlign w:val="superscript"/>
          <w:rtl/>
        </w:rPr>
        <w:footnoteReference w:id="2076"/>
      </w:r>
      <w:r w:rsidR="00537CC8" w:rsidRPr="0025250D">
        <w:rPr>
          <w:rFonts w:hint="cs"/>
          <w:rtl/>
        </w:rPr>
        <w:t xml:space="preserve"> بیان شد، شرایطی که در آن مشارکت کنندگان تصمیمات اغلب مستقل، با قوانین و روش‌های تجمعی صحیح می‌گیرند، می‌تواند خرد جمعی</w:t>
      </w:r>
      <w:r w:rsidR="00537CC8" w:rsidRPr="0025250D">
        <w:rPr>
          <w:vertAlign w:val="superscript"/>
          <w:rtl/>
        </w:rPr>
        <w:footnoteReference w:id="2077"/>
      </w:r>
      <w:r w:rsidR="00537CC8" w:rsidRPr="0025250D">
        <w:rPr>
          <w:rFonts w:hint="cs"/>
          <w:rtl/>
        </w:rPr>
        <w:t xml:space="preserve"> </w:t>
      </w:r>
      <w:r w:rsidR="006B38A4" w:rsidRPr="0025250D">
        <w:rPr>
          <w:rFonts w:hint="cs"/>
          <w:rtl/>
        </w:rPr>
        <w:t xml:space="preserve">نیز </w:t>
      </w:r>
      <w:r w:rsidR="00537CC8" w:rsidRPr="0025250D">
        <w:rPr>
          <w:rFonts w:hint="cs"/>
          <w:rtl/>
        </w:rPr>
        <w:t>نامیده شود (همچنین یک حماقت جمعی</w:t>
      </w:r>
      <w:r w:rsidR="00537CC8" w:rsidRPr="0025250D">
        <w:rPr>
          <w:vertAlign w:val="superscript"/>
          <w:rtl/>
        </w:rPr>
        <w:footnoteReference w:id="2078"/>
      </w:r>
      <w:r w:rsidR="00537CC8" w:rsidRPr="0025250D">
        <w:rPr>
          <w:rFonts w:hint="cs"/>
          <w:rtl/>
        </w:rPr>
        <w:t xml:space="preserve"> هم وجود دارد). بازارهای </w:t>
      </w:r>
      <w:r w:rsidR="00D92F6E" w:rsidRPr="0025250D">
        <w:rPr>
          <w:rFonts w:hint="cs"/>
          <w:rtl/>
        </w:rPr>
        <w:t>پیش‌بین</w:t>
      </w:r>
      <w:r w:rsidR="00537CC8" w:rsidRPr="0025250D">
        <w:rPr>
          <w:rFonts w:hint="cs"/>
          <w:rtl/>
        </w:rPr>
        <w:t xml:space="preserve">ی، یادگیری گروهی و فعالیت‌های اطلاعاتی، مانند مدیریت دانش و روش‌های </w:t>
      </w:r>
      <w:r w:rsidR="00FB6A7E" w:rsidRPr="0025250D">
        <w:rPr>
          <w:rFonts w:hint="cs"/>
          <w:rtl/>
        </w:rPr>
        <w:t>پیش‌نگری</w:t>
      </w:r>
      <w:r w:rsidR="00537CC8" w:rsidRPr="0025250D">
        <w:rPr>
          <w:rFonts w:hint="cs"/>
          <w:rtl/>
        </w:rPr>
        <w:t>، مانند دلفی، شکل‌هایی از هوش جمعی</w:t>
      </w:r>
      <w:r w:rsidR="00537CC8" w:rsidRPr="0025250D">
        <w:rPr>
          <w:vertAlign w:val="superscript"/>
          <w:rtl/>
        </w:rPr>
        <w:footnoteReference w:id="2079"/>
      </w:r>
      <w:r w:rsidR="00537CC8" w:rsidRPr="0025250D">
        <w:rPr>
          <w:rFonts w:hint="cs"/>
          <w:rtl/>
        </w:rPr>
        <w:t xml:space="preserve"> هستند. رهبران اغلب قدرت و مفید بودن هوش جمعی را دست کم می‌گیرند که به ما می‌گوید که گروه‌ها، تحت قوانین و ارتباط درست، دائما نسبت به رهبران و متخصصین در مهارت‌هایی مانند یادگیری، درک و </w:t>
      </w:r>
      <w:r w:rsidR="00D92F6E" w:rsidRPr="0025250D">
        <w:rPr>
          <w:rFonts w:hint="cs"/>
          <w:rtl/>
        </w:rPr>
        <w:t>پیش‌بین</w:t>
      </w:r>
      <w:r w:rsidR="00537CC8" w:rsidRPr="0025250D">
        <w:rPr>
          <w:rFonts w:hint="cs"/>
          <w:rtl/>
        </w:rPr>
        <w:t>ی بهتر عمل می‌کنند. کتاب مرکزی برای هوش جمعی</w:t>
      </w:r>
      <w:r w:rsidR="00537CC8" w:rsidRPr="0025250D">
        <w:rPr>
          <w:vertAlign w:val="superscript"/>
          <w:rtl/>
        </w:rPr>
        <w:footnoteReference w:id="2080"/>
      </w:r>
      <w:r w:rsidR="00537CC8" w:rsidRPr="0025250D">
        <w:rPr>
          <w:rFonts w:hint="cs"/>
          <w:rtl/>
        </w:rPr>
        <w:t xml:space="preserve"> از </w:t>
      </w:r>
      <w:r w:rsidR="00537CC8" w:rsidRPr="0025250D">
        <w:t>MIT</w:t>
      </w:r>
      <w:r w:rsidR="00537CC8" w:rsidRPr="0025250D">
        <w:rPr>
          <w:rFonts w:hint="cs"/>
          <w:rtl/>
        </w:rPr>
        <w:t xml:space="preserve"> را برای اطلاعات بیش‌تر درمورد این موضوع در حال ظهور انتزاعی اما مهم ببینید. علم شبکه به شدت درک ما از هوش جمعی را در سال‌های آینده بهبود خواهد داد.</w:t>
      </w:r>
    </w:p>
    <w:p w14:paraId="11068D21" w14:textId="77777777" w:rsidR="00537CC8" w:rsidRPr="0025250D" w:rsidRDefault="00537CC8" w:rsidP="00D76D11">
      <w:pPr>
        <w:jc w:val="center"/>
        <w:rPr>
          <w:rtl/>
        </w:rPr>
      </w:pPr>
      <w:r w:rsidRPr="0025250D">
        <w:rPr>
          <w:noProof/>
          <w:lang w:bidi="ar-SA"/>
        </w:rPr>
        <w:drawing>
          <wp:inline distT="0" distB="0" distL="0" distR="0" wp14:anchorId="4024E985" wp14:editId="5047BF0E">
            <wp:extent cx="4595854" cy="2655371"/>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screen">
                      <a:extLst>
                        <a:ext uri="{BEBA8EAE-BF5A-486C-A8C5-ECC9F3942E4B}">
                          <a14:imgProps xmlns:a14="http://schemas.microsoft.com/office/drawing/2010/main">
                            <a14:imgLayer r:embed="rId179">
                              <a14:imgEffect>
                                <a14:saturation sat="0"/>
                              </a14:imgEffect>
                            </a14:imgLayer>
                          </a14:imgProps>
                        </a:ext>
                        <a:ext uri="{28A0092B-C50C-407E-A947-70E740481C1C}">
                          <a14:useLocalDpi xmlns:a14="http://schemas.microsoft.com/office/drawing/2010/main"/>
                        </a:ext>
                      </a:extLst>
                    </a:blip>
                    <a:stretch>
                      <a:fillRect/>
                    </a:stretch>
                  </pic:blipFill>
                  <pic:spPr>
                    <a:xfrm>
                      <a:off x="0" y="0"/>
                      <a:ext cx="4603500" cy="2659789"/>
                    </a:xfrm>
                    <a:prstGeom prst="rect">
                      <a:avLst/>
                    </a:prstGeom>
                  </pic:spPr>
                </pic:pic>
              </a:graphicData>
            </a:graphic>
          </wp:inline>
        </w:drawing>
      </w:r>
    </w:p>
    <w:p w14:paraId="4360F86D" w14:textId="77777777" w:rsidR="00537CC8" w:rsidRPr="0025250D" w:rsidRDefault="00537CC8" w:rsidP="00D53F87">
      <w:pPr>
        <w:jc w:val="center"/>
        <w:rPr>
          <w:rtl/>
        </w:rPr>
      </w:pPr>
      <w:r w:rsidRPr="0025250D">
        <w:rPr>
          <w:rFonts w:hint="cs"/>
          <w:rtl/>
        </w:rPr>
        <w:t>خرد جمعی بازی برآورد (</w:t>
      </w:r>
      <w:r w:rsidRPr="0025250D">
        <w:t>Vestroy.com</w:t>
      </w:r>
      <w:r w:rsidRPr="0025250D">
        <w:rPr>
          <w:rFonts w:hint="cs"/>
          <w:rtl/>
        </w:rPr>
        <w:t>)</w:t>
      </w:r>
    </w:p>
    <w:p w14:paraId="7A275016" w14:textId="1DDE9243" w:rsidR="00537CC8" w:rsidRPr="0025250D" w:rsidRDefault="00537CC8" w:rsidP="00537CC8">
      <w:pPr>
        <w:rPr>
          <w:rtl/>
        </w:rPr>
      </w:pPr>
      <w:r w:rsidRPr="0025250D">
        <w:rPr>
          <w:rFonts w:hint="cs"/>
          <w:rtl/>
        </w:rPr>
        <w:t xml:space="preserve">تعداد زیادی از نظام‌های </w:t>
      </w:r>
      <w:r w:rsidR="00B124DE" w:rsidRPr="0025250D">
        <w:rPr>
          <w:rFonts w:hint="cs"/>
          <w:rtl/>
        </w:rPr>
        <w:t>جمع‌آوری</w:t>
      </w:r>
      <w:r w:rsidRPr="0025250D">
        <w:rPr>
          <w:rFonts w:hint="cs"/>
          <w:rtl/>
        </w:rPr>
        <w:t xml:space="preserve"> اطلاعات وجود دارند که می‌توانند برای شرکت‌ها به کار گرفته شوند. کتاب هوش تحلیلی</w:t>
      </w:r>
      <w:r w:rsidRPr="0025250D">
        <w:rPr>
          <w:vertAlign w:val="superscript"/>
          <w:rtl/>
        </w:rPr>
        <w:footnoteReference w:id="2081"/>
      </w:r>
      <w:r w:rsidRPr="0025250D">
        <w:rPr>
          <w:rFonts w:hint="cs"/>
          <w:rtl/>
        </w:rPr>
        <w:t xml:space="preserve"> اثر </w:t>
      </w:r>
      <w:r w:rsidRPr="0025250D">
        <w:rPr>
          <w:rtl/>
        </w:rPr>
        <w:t>جورج</w:t>
      </w:r>
      <w:r w:rsidRPr="0025250D">
        <w:rPr>
          <w:vertAlign w:val="superscript"/>
          <w:rtl/>
        </w:rPr>
        <w:footnoteReference w:id="2082"/>
      </w:r>
      <w:r w:rsidRPr="0025250D">
        <w:rPr>
          <w:rFonts w:hint="cs"/>
          <w:rtl/>
        </w:rPr>
        <w:t xml:space="preserve"> و </w:t>
      </w:r>
      <w:r w:rsidRPr="0025250D">
        <w:rPr>
          <w:rtl/>
        </w:rPr>
        <w:t>بروس</w:t>
      </w:r>
      <w:r w:rsidRPr="0025250D">
        <w:rPr>
          <w:vertAlign w:val="superscript"/>
          <w:rtl/>
        </w:rPr>
        <w:footnoteReference w:id="2083"/>
      </w:r>
      <w:r w:rsidRPr="0025250D">
        <w:rPr>
          <w:rFonts w:hint="cs"/>
          <w:rtl/>
        </w:rPr>
        <w:t xml:space="preserve"> در سال 2008، مقدمه خوبی برای گستره وسیع مطالعات اطلاعاتی و هوش مدرن است. بیش‌تر رهبران درمورد پویش محیطی اطلاعات دارند </w:t>
      </w:r>
      <w:r w:rsidRPr="0025250D">
        <w:rPr>
          <w:rFonts w:cs="Times New Roman" w:hint="cs"/>
          <w:rtl/>
        </w:rPr>
        <w:t>–</w:t>
      </w:r>
      <w:r w:rsidRPr="0025250D">
        <w:rPr>
          <w:rFonts w:hint="cs"/>
          <w:rtl/>
        </w:rPr>
        <w:t xml:space="preserve"> یک کارکرد اطلاعاتی که در آن بررسی کنندگان رویداد‌هایی که می‌توانند تغییرات ادامه دار یا پدیدار شونده را مشخص کنند مورد پایش قرار می‌دهند، این اطلاعات را ارزیابی کرده و فهرست می‌کنند و در میان دیگران توزیع می‌نمایند</w:t>
      </w:r>
      <w:r w:rsidR="008D6F97" w:rsidRPr="0025250D">
        <w:rPr>
          <w:rtl/>
        </w:rPr>
        <w:t xml:space="preserve">؛ </w:t>
      </w:r>
      <w:r w:rsidRPr="0025250D">
        <w:rPr>
          <w:rFonts w:hint="cs"/>
          <w:rtl/>
        </w:rPr>
        <w:t xml:space="preserve">اما از بسیاری از دیگر تخصص‌ها، مانند هوش فنی که می‌تواند برای تعیین این </w:t>
      </w:r>
      <w:r w:rsidR="006B38A4" w:rsidRPr="0025250D">
        <w:rPr>
          <w:rFonts w:hint="cs"/>
          <w:rtl/>
        </w:rPr>
        <w:t xml:space="preserve">امر استفاده شود </w:t>
      </w:r>
      <w:r w:rsidRPr="0025250D">
        <w:rPr>
          <w:rFonts w:hint="cs"/>
          <w:rtl/>
        </w:rPr>
        <w:t xml:space="preserve">که آیا یک </w:t>
      </w:r>
      <w:r w:rsidR="007A53FD" w:rsidRPr="0025250D">
        <w:rPr>
          <w:rFonts w:hint="cs"/>
          <w:rtl/>
        </w:rPr>
        <w:t>فناوری</w:t>
      </w:r>
      <w:r w:rsidRPr="0025250D">
        <w:rPr>
          <w:rFonts w:hint="cs"/>
          <w:rtl/>
        </w:rPr>
        <w:t xml:space="preserve"> در حقیقت کار می‌کند یا </w:t>
      </w:r>
      <w:r w:rsidR="006B38A4" w:rsidRPr="0025250D">
        <w:rPr>
          <w:rFonts w:hint="cs"/>
          <w:rtl/>
        </w:rPr>
        <w:t>عمدتاً</w:t>
      </w:r>
      <w:r w:rsidRPr="0025250D">
        <w:rPr>
          <w:rFonts w:hint="cs"/>
          <w:rtl/>
        </w:rPr>
        <w:t xml:space="preserve"> در مورد آن اغراق شده است ، آگاهی ندارند. بیش‌تر رهبران درمورد هوش رقابتی (</w:t>
      </w:r>
      <w:r w:rsidRPr="0025250D">
        <w:t>SCIP.org</w:t>
      </w:r>
      <w:r w:rsidRPr="0025250D">
        <w:rPr>
          <w:rFonts w:hint="cs"/>
          <w:rtl/>
        </w:rPr>
        <w:t xml:space="preserve"> را به‌عنوان یک انجمن تخصصی ببینید) اطلاعات دارند، اما اغلب کم‌تر از آن استفاده می‌کنند. کتاب مزیت هوش رقابتی</w:t>
      </w:r>
      <w:r w:rsidRPr="0025250D">
        <w:rPr>
          <w:vertAlign w:val="superscript"/>
          <w:rtl/>
        </w:rPr>
        <w:footnoteReference w:id="2084"/>
      </w:r>
      <w:r w:rsidRPr="0025250D">
        <w:rPr>
          <w:rFonts w:hint="cs"/>
          <w:rtl/>
        </w:rPr>
        <w:t xml:space="preserve"> اثر </w:t>
      </w:r>
      <w:r w:rsidR="00D92F6E" w:rsidRPr="0025250D">
        <w:rPr>
          <w:rFonts w:hint="cs"/>
          <w:rtl/>
        </w:rPr>
        <w:t>آینده‌پژوه</w:t>
      </w:r>
      <w:r w:rsidRPr="0025250D">
        <w:rPr>
          <w:rFonts w:hint="cs"/>
          <w:rtl/>
        </w:rPr>
        <w:t xml:space="preserve"> </w:t>
      </w:r>
      <w:r w:rsidRPr="0025250D">
        <w:rPr>
          <w:rtl/>
        </w:rPr>
        <w:t>س</w:t>
      </w:r>
      <w:r w:rsidRPr="0025250D">
        <w:rPr>
          <w:rFonts w:hint="cs"/>
          <w:rtl/>
        </w:rPr>
        <w:t>ی</w:t>
      </w:r>
      <w:r w:rsidRPr="0025250D">
        <w:rPr>
          <w:rFonts w:hint="eastAsia"/>
          <w:rtl/>
        </w:rPr>
        <w:t>نا</w:t>
      </w:r>
      <w:r w:rsidRPr="0025250D">
        <w:rPr>
          <w:rtl/>
        </w:rPr>
        <w:t xml:space="preserve"> شارپ</w:t>
      </w:r>
      <w:r w:rsidRPr="0025250D">
        <w:rPr>
          <w:vertAlign w:val="superscript"/>
          <w:rtl/>
        </w:rPr>
        <w:footnoteReference w:id="2085"/>
      </w:r>
      <w:r w:rsidRPr="0025250D">
        <w:rPr>
          <w:rFonts w:hint="cs"/>
          <w:rtl/>
        </w:rPr>
        <w:t xml:space="preserve"> در سال 2009 مقدمه مفیدی برای هوش رقابتی است.</w:t>
      </w:r>
    </w:p>
    <w:p w14:paraId="51386675" w14:textId="685E9FDB" w:rsidR="00537CC8" w:rsidRPr="0025250D" w:rsidRDefault="00537CC8" w:rsidP="00537CC8">
      <w:pPr>
        <w:rPr>
          <w:rtl/>
        </w:rPr>
      </w:pPr>
      <w:r w:rsidRPr="0025250D">
        <w:rPr>
          <w:rFonts w:hint="cs"/>
          <w:rtl/>
        </w:rPr>
        <w:t xml:space="preserve">مدیریت دانش یک کارکرد اطلاعاتی پایه‌ای دیگر است. علاوه بر </w:t>
      </w:r>
      <w:r w:rsidRPr="0025250D">
        <w:t>SCIP</w:t>
      </w:r>
      <w:r w:rsidRPr="0025250D">
        <w:rPr>
          <w:rFonts w:hint="cs"/>
          <w:rtl/>
        </w:rPr>
        <w:t>، تنوعی از انجمن‌های تخصصی (</w:t>
      </w:r>
      <w:r w:rsidRPr="0025250D">
        <w:t>KMA, KMPro, IKMS, KMBA, KIPA</w:t>
      </w:r>
      <w:r w:rsidRPr="0025250D">
        <w:rPr>
          <w:rFonts w:hint="cs"/>
          <w:rtl/>
        </w:rPr>
        <w:t xml:space="preserve">) که بر پیش برد </w:t>
      </w:r>
      <w:r w:rsidR="00B124DE" w:rsidRPr="0025250D">
        <w:rPr>
          <w:rFonts w:hint="cs"/>
          <w:rtl/>
        </w:rPr>
        <w:t>جمع‌آوری</w:t>
      </w:r>
      <w:r w:rsidRPr="0025250D">
        <w:rPr>
          <w:rFonts w:hint="cs"/>
          <w:rtl/>
        </w:rPr>
        <w:t xml:space="preserve"> و </w:t>
      </w:r>
      <w:r w:rsidR="00274907" w:rsidRPr="0025250D">
        <w:rPr>
          <w:rFonts w:hint="cs"/>
          <w:rtl/>
        </w:rPr>
        <w:t>به‌اشتراک‌گذار</w:t>
      </w:r>
      <w:r w:rsidRPr="0025250D">
        <w:rPr>
          <w:rFonts w:hint="cs"/>
          <w:rtl/>
        </w:rPr>
        <w:t>ی دانش شرکت متمرکز هستند وجود دارند. یکی از افراد برجسته و پیشتاز در مدیریت دانش به نام ایکوجیرو نوناکا</w:t>
      </w:r>
      <w:r w:rsidRPr="0025250D">
        <w:rPr>
          <w:vertAlign w:val="superscript"/>
          <w:rtl/>
        </w:rPr>
        <w:footnoteReference w:id="2086"/>
      </w:r>
      <w:r w:rsidRPr="0025250D">
        <w:rPr>
          <w:rFonts w:hint="cs"/>
          <w:rtl/>
        </w:rPr>
        <w:t xml:space="preserve"> در دانشگاه ی</w:t>
      </w:r>
      <w:r w:rsidRPr="0025250D">
        <w:rPr>
          <w:rFonts w:hint="eastAsia"/>
          <w:rtl/>
        </w:rPr>
        <w:t>و</w:t>
      </w:r>
      <w:r w:rsidRPr="0025250D">
        <w:rPr>
          <w:rtl/>
        </w:rPr>
        <w:t xml:space="preserve"> س</w:t>
      </w:r>
      <w:r w:rsidRPr="0025250D">
        <w:rPr>
          <w:rFonts w:hint="cs"/>
          <w:rtl/>
        </w:rPr>
        <w:t>ی</w:t>
      </w:r>
      <w:r w:rsidRPr="0025250D">
        <w:rPr>
          <w:rtl/>
        </w:rPr>
        <w:t xml:space="preserve"> برکل</w:t>
      </w:r>
      <w:r w:rsidRPr="0025250D">
        <w:rPr>
          <w:rFonts w:hint="cs"/>
          <w:rtl/>
        </w:rPr>
        <w:t>ی</w:t>
      </w:r>
      <w:r w:rsidRPr="0025250D">
        <w:rPr>
          <w:vertAlign w:val="superscript"/>
          <w:rtl/>
        </w:rPr>
        <w:footnoteReference w:id="2087"/>
      </w:r>
      <w:r w:rsidRPr="0025250D">
        <w:rPr>
          <w:rFonts w:hint="cs"/>
          <w:rtl/>
        </w:rPr>
        <w:t xml:space="preserve"> یک مدل چهار دسته‌ای ارزشمند (تصویر زیر را ببینید) برای انواع مختلف دانش شرکتی دارد که یک </w:t>
      </w:r>
      <w:r w:rsidR="008D6F97" w:rsidRPr="0025250D">
        <w:rPr>
          <w:rFonts w:hint="cs"/>
          <w:rtl/>
        </w:rPr>
        <w:t>سامانه‌</w:t>
      </w:r>
      <w:r w:rsidRPr="0025250D">
        <w:rPr>
          <w:rFonts w:hint="cs"/>
          <w:rtl/>
        </w:rPr>
        <w:t xml:space="preserve"> مدیریت دانش باید سعی در پرورش، بهبود و حفظ آن‌ها داشته باشد.</w:t>
      </w:r>
    </w:p>
    <w:p w14:paraId="7BBF8A1D" w14:textId="059402BC" w:rsidR="00537CC8" w:rsidRPr="0025250D" w:rsidRDefault="00D76D11" w:rsidP="00D53F87">
      <w:pPr>
        <w:jc w:val="center"/>
        <w:rPr>
          <w:rtl/>
        </w:rPr>
      </w:pPr>
      <w:r w:rsidRPr="0025250D">
        <w:rPr>
          <w:noProof/>
        </w:rPr>
        <w:drawing>
          <wp:inline distT="0" distB="0" distL="0" distR="0" wp14:anchorId="0A6455EA" wp14:editId="1968C6FF">
            <wp:extent cx="4389120" cy="3731483"/>
            <wp:effectExtent l="0" t="0" r="0" b="254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80" cstate="screen">
                      <a:extLst>
                        <a:ext uri="{BEBA8EAE-BF5A-486C-A8C5-ECC9F3942E4B}">
                          <a14:imgProps xmlns:a14="http://schemas.microsoft.com/office/drawing/2010/main">
                            <a14:imgLayer r:embed="rId181">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4394464" cy="3736026"/>
                    </a:xfrm>
                    <a:prstGeom prst="rect">
                      <a:avLst/>
                    </a:prstGeom>
                    <a:noFill/>
                  </pic:spPr>
                </pic:pic>
              </a:graphicData>
            </a:graphic>
          </wp:inline>
        </w:drawing>
      </w:r>
    </w:p>
    <w:p w14:paraId="7E228526" w14:textId="77777777" w:rsidR="00537CC8" w:rsidRPr="0025250D" w:rsidRDefault="00537CC8" w:rsidP="00D53F87">
      <w:pPr>
        <w:jc w:val="center"/>
        <w:rPr>
          <w:rtl/>
        </w:rPr>
      </w:pPr>
      <w:r w:rsidRPr="0025250D">
        <w:rPr>
          <w:rFonts w:hint="cs"/>
          <w:rtl/>
        </w:rPr>
        <w:t>چهار دسته دارایی‌های دانشی (نوناکا و همکاران، 2000)</w:t>
      </w:r>
    </w:p>
    <w:p w14:paraId="0D5B0482" w14:textId="67A30635" w:rsidR="00537CC8" w:rsidRPr="0025250D" w:rsidRDefault="00537CC8" w:rsidP="00537CC8">
      <w:pPr>
        <w:rPr>
          <w:rtl/>
        </w:rPr>
      </w:pPr>
      <w:r w:rsidRPr="0025250D">
        <w:rPr>
          <w:rFonts w:hint="cs"/>
          <w:rtl/>
        </w:rPr>
        <w:t xml:space="preserve">سومین تخصص کلیدی در یادگیری، یادگیری و توسعه است، اصطلاحی که می‌تواند هم شامل روش‌های یادگیری کارمندان و هم روش‌های یادگیری و توسعه سازمان باشد. </w:t>
      </w:r>
      <w:r w:rsidR="007118DE" w:rsidRPr="0025250D">
        <w:rPr>
          <w:rFonts w:hint="cs"/>
          <w:rtl/>
        </w:rPr>
        <w:t>همان‌طور</w:t>
      </w:r>
      <w:r w:rsidRPr="0025250D">
        <w:rPr>
          <w:rFonts w:hint="cs"/>
          <w:rtl/>
        </w:rPr>
        <w:t xml:space="preserve"> که </w:t>
      </w:r>
      <w:r w:rsidRPr="0025250D">
        <w:rPr>
          <w:rtl/>
        </w:rPr>
        <w:t>ار</w:t>
      </w:r>
      <w:r w:rsidRPr="0025250D">
        <w:rPr>
          <w:rFonts w:hint="cs"/>
          <w:rtl/>
        </w:rPr>
        <w:t>ی</w:t>
      </w:r>
      <w:r w:rsidRPr="0025250D">
        <w:rPr>
          <w:rFonts w:hint="eastAsia"/>
          <w:rtl/>
        </w:rPr>
        <w:t>ک</w:t>
      </w:r>
      <w:r w:rsidRPr="0025250D">
        <w:rPr>
          <w:rtl/>
        </w:rPr>
        <w:t xml:space="preserve"> هوفر</w:t>
      </w:r>
      <w:r w:rsidRPr="0025250D">
        <w:rPr>
          <w:vertAlign w:val="superscript"/>
          <w:rtl/>
        </w:rPr>
        <w:footnoteReference w:id="2088"/>
      </w:r>
      <w:r w:rsidRPr="0025250D">
        <w:rPr>
          <w:rFonts w:hint="cs"/>
          <w:rtl/>
        </w:rPr>
        <w:t xml:space="preserve"> می‌گوید، در دنیایی از یادگیرندگان، شرکت منظم در دوره‌های آموزشی و کسب گواهینامه‌های جدید در هر 5 تا 10 سال </w:t>
      </w:r>
      <w:r w:rsidR="00701E03" w:rsidRPr="0025250D">
        <w:rPr>
          <w:rFonts w:hint="cs"/>
          <w:rtl/>
        </w:rPr>
        <w:t>راهبرد</w:t>
      </w:r>
      <w:r w:rsidRPr="0025250D">
        <w:rPr>
          <w:rFonts w:hint="cs"/>
          <w:rtl/>
        </w:rPr>
        <w:t xml:space="preserve"> خوبی برای </w:t>
      </w:r>
      <w:r w:rsidR="00B124DE" w:rsidRPr="0025250D">
        <w:rPr>
          <w:rFonts w:hint="cs"/>
          <w:rtl/>
        </w:rPr>
        <w:t>انطباق‌پذیر</w:t>
      </w:r>
      <w:r w:rsidRPr="0025250D">
        <w:rPr>
          <w:rFonts w:hint="cs"/>
          <w:rtl/>
        </w:rPr>
        <w:t xml:space="preserve"> باقی ماندن است. با بهبود و پیشرفت پلتفرم‌هایی مانند </w:t>
      </w:r>
      <w:r w:rsidRPr="0025250D">
        <w:t>MOOC</w:t>
      </w:r>
      <w:r w:rsidRPr="0025250D">
        <w:rPr>
          <w:rFonts w:hint="cs"/>
          <w:rtl/>
        </w:rPr>
        <w:t xml:space="preserve">‌ها، دانشنامه‌ها، آزمایش </w:t>
      </w:r>
      <w:r w:rsidR="00B124DE" w:rsidRPr="0025250D">
        <w:rPr>
          <w:rFonts w:hint="cs"/>
          <w:rtl/>
        </w:rPr>
        <w:t>انطباق‌پذیر</w:t>
      </w:r>
      <w:r w:rsidRPr="0025250D">
        <w:rPr>
          <w:rFonts w:hint="cs"/>
          <w:rtl/>
        </w:rPr>
        <w:t xml:space="preserve">ی کامپیوتری، آموزش مبتنی بر علم اعصاب و دیگر موارد، می‌توانیم مهارت‌های قوی‌تر و یادگیری به موقعی را برای کمک به </w:t>
      </w:r>
      <w:r w:rsidRPr="0025250D">
        <w:rPr>
          <w:rtl/>
        </w:rPr>
        <w:t>آینده‌نگاری</w:t>
      </w:r>
      <w:r w:rsidRPr="0025250D">
        <w:rPr>
          <w:rFonts w:hint="cs"/>
          <w:rtl/>
        </w:rPr>
        <w:t xml:space="preserve"> و عمل خود داشته باشیم.</w:t>
      </w:r>
    </w:p>
    <w:p w14:paraId="77C8B2E2" w14:textId="604A6C0D" w:rsidR="00537CC8" w:rsidRPr="0025250D" w:rsidRDefault="00537CC8" w:rsidP="00537CC8">
      <w:pPr>
        <w:rPr>
          <w:rtl/>
        </w:rPr>
      </w:pPr>
      <w:r w:rsidRPr="0025250D">
        <w:rPr>
          <w:rFonts w:hint="cs"/>
          <w:rtl/>
        </w:rPr>
        <w:t xml:space="preserve">پلتفرم‌های تحصیلی آنلاین مانند یوداسیتی، کورسرا و </w:t>
      </w:r>
      <w:r w:rsidRPr="0025250D">
        <w:t>2U</w:t>
      </w:r>
      <w:r w:rsidRPr="0025250D">
        <w:rPr>
          <w:rFonts w:hint="cs"/>
          <w:rtl/>
        </w:rPr>
        <w:t>، با میکرو گواهینامه های</w:t>
      </w:r>
      <w:r w:rsidRPr="0025250D">
        <w:rPr>
          <w:vertAlign w:val="superscript"/>
          <w:rtl/>
        </w:rPr>
        <w:footnoteReference w:id="2089"/>
      </w:r>
      <w:r w:rsidRPr="0025250D">
        <w:rPr>
          <w:rFonts w:hint="cs"/>
          <w:rtl/>
        </w:rPr>
        <w:t xml:space="preserve"> خود، شرکت‌های یادگیری ویدئویی مانند </w:t>
      </w:r>
      <w:r w:rsidRPr="0025250D">
        <w:rPr>
          <w:rtl/>
        </w:rPr>
        <w:t>ل</w:t>
      </w:r>
      <w:r w:rsidRPr="0025250D">
        <w:rPr>
          <w:rFonts w:hint="cs"/>
          <w:rtl/>
        </w:rPr>
        <w:t>ی</w:t>
      </w:r>
      <w:r w:rsidRPr="0025250D">
        <w:rPr>
          <w:rFonts w:hint="eastAsia"/>
          <w:rtl/>
        </w:rPr>
        <w:t>ندا</w:t>
      </w:r>
      <w:r w:rsidRPr="0025250D">
        <w:rPr>
          <w:vertAlign w:val="superscript"/>
          <w:rtl/>
        </w:rPr>
        <w:footnoteReference w:id="2090"/>
      </w:r>
      <w:r w:rsidRPr="0025250D">
        <w:rPr>
          <w:rFonts w:hint="cs"/>
          <w:rtl/>
        </w:rPr>
        <w:t xml:space="preserve"> و آموزش آنلاین جهانی مانند توتورویستا</w:t>
      </w:r>
      <w:r w:rsidRPr="0025250D">
        <w:rPr>
          <w:vertAlign w:val="superscript"/>
          <w:rtl/>
        </w:rPr>
        <w:footnoteReference w:id="2091"/>
      </w:r>
      <w:r w:rsidRPr="0025250D">
        <w:rPr>
          <w:rFonts w:hint="cs"/>
          <w:rtl/>
        </w:rPr>
        <w:t xml:space="preserve"> (که آموزش 24 ساعته و همه روزه را از کشور هند، در هر موضوعی، با یک قیمت متحول کننده 12-20 دلار برای هر ساعت) آغاز به پایین آوردن هزینه تحصیل شخصی و کارمندی با کیفیت </w:t>
      </w:r>
      <w:r w:rsidR="007118DE" w:rsidRPr="0025250D">
        <w:rPr>
          <w:rFonts w:hint="cs"/>
          <w:rtl/>
        </w:rPr>
        <w:t>کرده‌اند</w:t>
      </w:r>
      <w:r w:rsidRPr="0025250D">
        <w:rPr>
          <w:rFonts w:hint="cs"/>
          <w:rtl/>
        </w:rPr>
        <w:t xml:space="preserve">. </w:t>
      </w:r>
      <w:r w:rsidRPr="0025250D">
        <w:rPr>
          <w:rtl/>
        </w:rPr>
        <w:t>پ</w:t>
      </w:r>
      <w:r w:rsidRPr="0025250D">
        <w:rPr>
          <w:rFonts w:hint="cs"/>
          <w:rtl/>
        </w:rPr>
        <w:t>ی</w:t>
      </w:r>
      <w:r w:rsidRPr="0025250D">
        <w:rPr>
          <w:rFonts w:hint="eastAsia"/>
          <w:rtl/>
        </w:rPr>
        <w:t>تر</w:t>
      </w:r>
      <w:r w:rsidRPr="0025250D">
        <w:rPr>
          <w:rtl/>
        </w:rPr>
        <w:t xml:space="preserve"> براون</w:t>
      </w:r>
      <w:r w:rsidRPr="0025250D">
        <w:rPr>
          <w:vertAlign w:val="superscript"/>
          <w:rtl/>
        </w:rPr>
        <w:footnoteReference w:id="2092"/>
      </w:r>
      <w:r w:rsidRPr="0025250D">
        <w:rPr>
          <w:rFonts w:hint="cs"/>
          <w:rtl/>
        </w:rPr>
        <w:t xml:space="preserve"> و همکاران یک کتاب جدید عالی درمورد علم شناختی یادگیریِ </w:t>
      </w:r>
      <w:r w:rsidR="0008779C" w:rsidRPr="0025250D">
        <w:rPr>
          <w:rFonts w:hint="cs"/>
          <w:rtl/>
        </w:rPr>
        <w:t>موفقیت‌آمیز</w:t>
      </w:r>
      <w:r w:rsidRPr="0025250D">
        <w:rPr>
          <w:rFonts w:hint="cs"/>
          <w:rtl/>
        </w:rPr>
        <w:t xml:space="preserve"> با عنوان </w:t>
      </w:r>
      <w:r w:rsidR="006B38A4" w:rsidRPr="0025250D">
        <w:rPr>
          <w:rFonts w:hint="cs"/>
          <w:rtl/>
        </w:rPr>
        <w:t>«</w:t>
      </w:r>
      <w:r w:rsidRPr="0025250D">
        <w:rPr>
          <w:rFonts w:hint="cs"/>
          <w:rtl/>
        </w:rPr>
        <w:t>آن را حفظ کنید</w:t>
      </w:r>
      <w:r w:rsidRPr="0025250D">
        <w:rPr>
          <w:vertAlign w:val="superscript"/>
          <w:rtl/>
        </w:rPr>
        <w:footnoteReference w:id="2093"/>
      </w:r>
      <w:r w:rsidR="006B38A4" w:rsidRPr="0025250D">
        <w:rPr>
          <w:rFonts w:hint="cs"/>
          <w:rtl/>
        </w:rPr>
        <w:t>»</w:t>
      </w:r>
      <w:r w:rsidRPr="0025250D">
        <w:rPr>
          <w:rFonts w:hint="cs"/>
          <w:rtl/>
        </w:rPr>
        <w:t xml:space="preserve"> نوشته</w:t>
      </w:r>
      <w:r w:rsidR="006B38A4" w:rsidRPr="0025250D">
        <w:rPr>
          <w:rFonts w:hint="cs"/>
          <w:rtl/>
        </w:rPr>
        <w:t>‌</w:t>
      </w:r>
      <w:r w:rsidRPr="0025250D">
        <w:rPr>
          <w:rFonts w:hint="cs"/>
          <w:rtl/>
        </w:rPr>
        <w:t xml:space="preserve">اند. </w:t>
      </w:r>
      <w:r w:rsidRPr="0025250D">
        <w:rPr>
          <w:rtl/>
        </w:rPr>
        <w:t>ت</w:t>
      </w:r>
      <w:r w:rsidRPr="0025250D">
        <w:rPr>
          <w:rFonts w:hint="cs"/>
          <w:rtl/>
        </w:rPr>
        <w:t>ی</w:t>
      </w:r>
      <w:r w:rsidRPr="0025250D">
        <w:rPr>
          <w:rFonts w:hint="eastAsia"/>
          <w:rtl/>
        </w:rPr>
        <w:t>اگو</w:t>
      </w:r>
      <w:r w:rsidRPr="0025250D">
        <w:rPr>
          <w:rtl/>
        </w:rPr>
        <w:t xml:space="preserve"> فورته</w:t>
      </w:r>
      <w:r w:rsidRPr="0025250D">
        <w:rPr>
          <w:vertAlign w:val="superscript"/>
          <w:rtl/>
        </w:rPr>
        <w:footnoteReference w:id="2094"/>
      </w:r>
      <w:r w:rsidRPr="0025250D">
        <w:rPr>
          <w:rFonts w:hint="cs"/>
          <w:rtl/>
        </w:rPr>
        <w:t xml:space="preserve"> مطلبی عالی (</w:t>
      </w:r>
      <w:r w:rsidRPr="0025250D">
        <w:rPr>
          <w:rtl/>
        </w:rPr>
        <w:t>آ</w:t>
      </w:r>
      <w:r w:rsidRPr="0025250D">
        <w:rPr>
          <w:rFonts w:hint="cs"/>
          <w:rtl/>
        </w:rPr>
        <w:t>ی</w:t>
      </w:r>
      <w:r w:rsidRPr="0025250D">
        <w:rPr>
          <w:rFonts w:hint="eastAsia"/>
          <w:rtl/>
        </w:rPr>
        <w:t>نده</w:t>
      </w:r>
      <w:r w:rsidRPr="0025250D">
        <w:rPr>
          <w:rtl/>
        </w:rPr>
        <w:t xml:space="preserve"> آموزش و پرورش جامعه است</w:t>
      </w:r>
      <w:r w:rsidRPr="0025250D">
        <w:rPr>
          <w:vertAlign w:val="superscript"/>
          <w:rtl/>
        </w:rPr>
        <w:footnoteReference w:id="2095"/>
      </w:r>
      <w:r w:rsidRPr="0025250D">
        <w:rPr>
          <w:rFonts w:hint="cs"/>
          <w:rtl/>
        </w:rPr>
        <w:t>، 2021) درمورد یادگیری هم‌گروهی</w:t>
      </w:r>
      <w:r w:rsidRPr="0025250D">
        <w:rPr>
          <w:vertAlign w:val="superscript"/>
          <w:rtl/>
        </w:rPr>
        <w:footnoteReference w:id="2096"/>
      </w:r>
      <w:r w:rsidRPr="0025250D">
        <w:rPr>
          <w:rFonts w:hint="cs"/>
          <w:rtl/>
        </w:rPr>
        <w:t xml:space="preserve"> (باقی ماندن در کنار گروه خود برای بلند مدت و داشتن مسئولیت پذیری گروهی) به‌عنوان آینده یادگیری آنلاین دارد. برای اطلاعات بیش‌تر درمورد آینده </w:t>
      </w:r>
      <w:r w:rsidR="007A53FD" w:rsidRPr="0025250D">
        <w:rPr>
          <w:rFonts w:hint="cs"/>
          <w:rtl/>
        </w:rPr>
        <w:t>فناوری</w:t>
      </w:r>
      <w:r w:rsidRPr="0025250D">
        <w:rPr>
          <w:rFonts w:hint="cs"/>
          <w:rtl/>
        </w:rPr>
        <w:t xml:space="preserve"> تحصیلی و نیز ابزارهای جدید برای ردیابی و بهبود یادگیری </w:t>
      </w:r>
      <w:r w:rsidRPr="0025250D">
        <w:t>ROI</w:t>
      </w:r>
      <w:r w:rsidR="008D6F97" w:rsidRPr="0025250D">
        <w:rPr>
          <w:rtl/>
        </w:rPr>
        <w:t xml:space="preserve"> </w:t>
      </w:r>
      <w:r w:rsidRPr="0025250D">
        <w:rPr>
          <w:rFonts w:hint="cs"/>
          <w:rtl/>
        </w:rPr>
        <w:t>خبرنامه عالی و رایگان ادسرج را ببینید.</w:t>
      </w:r>
    </w:p>
    <w:p w14:paraId="69838920" w14:textId="0BB0D738" w:rsidR="00537CC8" w:rsidRPr="0025250D" w:rsidRDefault="00537CC8" w:rsidP="00537CC8">
      <w:pPr>
        <w:rPr>
          <w:rtl/>
        </w:rPr>
      </w:pPr>
      <w:r w:rsidRPr="0025250D">
        <w:rPr>
          <w:rFonts w:hint="cs"/>
          <w:rtl/>
        </w:rPr>
        <w:t>کتاب پنجمین فرمان: هنر و عمل سازمان یادگیرنده</w:t>
      </w:r>
      <w:r w:rsidRPr="0025250D">
        <w:rPr>
          <w:vertAlign w:val="superscript"/>
          <w:rtl/>
        </w:rPr>
        <w:footnoteReference w:id="2097"/>
      </w:r>
      <w:r w:rsidRPr="0025250D">
        <w:rPr>
          <w:rFonts w:hint="cs"/>
          <w:rtl/>
        </w:rPr>
        <w:t xml:space="preserve"> اثر </w:t>
      </w:r>
      <w:r w:rsidRPr="0025250D">
        <w:rPr>
          <w:rtl/>
        </w:rPr>
        <w:t>پ</w:t>
      </w:r>
      <w:r w:rsidRPr="0025250D">
        <w:rPr>
          <w:rFonts w:hint="cs"/>
          <w:rtl/>
        </w:rPr>
        <w:t>ی</w:t>
      </w:r>
      <w:r w:rsidRPr="0025250D">
        <w:rPr>
          <w:rFonts w:hint="eastAsia"/>
          <w:rtl/>
        </w:rPr>
        <w:t>تر</w:t>
      </w:r>
      <w:r w:rsidRPr="0025250D">
        <w:rPr>
          <w:rtl/>
        </w:rPr>
        <w:t xml:space="preserve"> سنگه</w:t>
      </w:r>
      <w:r w:rsidRPr="0025250D">
        <w:rPr>
          <w:rFonts w:hint="cs"/>
          <w:rtl/>
        </w:rPr>
        <w:t xml:space="preserve"> درسال 1999/2005 پیشنهاد کرد که تبدیل شدن به یک سازمان یادگیرنده بهترین راه برای رقابتی ماندن در یک اقتصاد </w:t>
      </w:r>
      <w:r w:rsidR="007B3B35" w:rsidRPr="0025250D">
        <w:rPr>
          <w:rFonts w:hint="cs"/>
          <w:rtl/>
        </w:rPr>
        <w:t>شتاب‌گیر</w:t>
      </w:r>
      <w:r w:rsidRPr="0025250D">
        <w:rPr>
          <w:rFonts w:hint="cs"/>
          <w:rtl/>
        </w:rPr>
        <w:t xml:space="preserve">نده پیچیده است. او همچنین پیشنهاد کرد که تفکر </w:t>
      </w:r>
      <w:r w:rsidR="008D6F97" w:rsidRPr="0025250D">
        <w:rPr>
          <w:rFonts w:hint="cs"/>
          <w:rtl/>
        </w:rPr>
        <w:t>سامانه‌ای</w:t>
      </w:r>
      <w:r w:rsidRPr="0025250D">
        <w:rPr>
          <w:rFonts w:hint="cs"/>
          <w:rtl/>
        </w:rPr>
        <w:t xml:space="preserve"> حوزه‌ای اساسی</w:t>
      </w:r>
      <w:r w:rsidR="006B38A4" w:rsidRPr="0025250D">
        <w:rPr>
          <w:rFonts w:hint="cs"/>
          <w:rtl/>
        </w:rPr>
        <w:t xml:space="preserve"> در قالب</w:t>
      </w:r>
      <w:r w:rsidRPr="0025250D">
        <w:rPr>
          <w:rFonts w:hint="cs"/>
          <w:rtl/>
        </w:rPr>
        <w:t xml:space="preserve"> </w:t>
      </w:r>
      <w:r w:rsidR="00E402E3" w:rsidRPr="0025250D">
        <w:rPr>
          <w:rtl/>
        </w:rPr>
        <w:t>«</w:t>
      </w:r>
      <w:r w:rsidRPr="0025250D">
        <w:rPr>
          <w:rFonts w:hint="cs"/>
          <w:rtl/>
        </w:rPr>
        <w:t>پنجمین فرمان</w:t>
      </w:r>
      <w:r w:rsidRPr="0025250D">
        <w:rPr>
          <w:vertAlign w:val="superscript"/>
          <w:rtl/>
        </w:rPr>
        <w:footnoteReference w:id="2098"/>
      </w:r>
      <w:r w:rsidR="00E402E3" w:rsidRPr="0025250D">
        <w:rPr>
          <w:rtl/>
        </w:rPr>
        <w:t>»</w:t>
      </w:r>
      <w:r w:rsidRPr="0025250D">
        <w:rPr>
          <w:rFonts w:hint="cs"/>
          <w:rtl/>
        </w:rPr>
        <w:t xml:space="preserve">، است که چهار نظام یادگیری سازمانی کلیدی دیگر، یعنی مدل‌های ذهنی، تسلط </w:t>
      </w:r>
      <w:r w:rsidR="001A3F0A" w:rsidRPr="0025250D">
        <w:rPr>
          <w:rFonts w:hint="cs"/>
          <w:rtl/>
        </w:rPr>
        <w:t>فردی</w:t>
      </w:r>
      <w:r w:rsidRPr="0025250D">
        <w:rPr>
          <w:rFonts w:hint="cs"/>
          <w:rtl/>
        </w:rPr>
        <w:t xml:space="preserve">، کار تیمی و </w:t>
      </w:r>
      <w:r w:rsidR="00B56611" w:rsidRPr="0025250D">
        <w:rPr>
          <w:rFonts w:hint="cs"/>
          <w:rtl/>
        </w:rPr>
        <w:t>چشم‌انداز</w:t>
      </w:r>
      <w:r w:rsidRPr="0025250D">
        <w:rPr>
          <w:rFonts w:hint="cs"/>
          <w:rtl/>
        </w:rPr>
        <w:t xml:space="preserve"> مشترک را با هم ادغام و یکپارچه می‌سازد.</w:t>
      </w:r>
    </w:p>
    <w:p w14:paraId="763088BB" w14:textId="3DC8ECE6" w:rsidR="00537CC8" w:rsidRPr="0025250D" w:rsidRDefault="007118DE" w:rsidP="00537CC8">
      <w:pPr>
        <w:rPr>
          <w:rtl/>
        </w:rPr>
      </w:pPr>
      <w:r w:rsidRPr="0025250D">
        <w:rPr>
          <w:rFonts w:hint="cs"/>
          <w:rtl/>
        </w:rPr>
        <w:t>همان‌طور</w:t>
      </w:r>
      <w:r w:rsidR="00537CC8" w:rsidRPr="0025250D">
        <w:rPr>
          <w:rFonts w:hint="cs"/>
          <w:rtl/>
        </w:rPr>
        <w:t xml:space="preserve"> که در فصل 1</w:t>
      </w:r>
      <w:r w:rsidR="00E402E3" w:rsidRPr="0025250D">
        <w:rPr>
          <w:rtl/>
        </w:rPr>
        <w:t xml:space="preserve"> د</w:t>
      </w:r>
      <w:r w:rsidR="00E402E3" w:rsidRPr="0025250D">
        <w:rPr>
          <w:rFonts w:hint="cs"/>
          <w:rtl/>
        </w:rPr>
        <w:t>ی</w:t>
      </w:r>
      <w:r w:rsidR="00E402E3" w:rsidRPr="0025250D">
        <w:rPr>
          <w:rFonts w:hint="eastAsia"/>
          <w:rtl/>
        </w:rPr>
        <w:t>د</w:t>
      </w:r>
      <w:r w:rsidR="00E402E3" w:rsidRPr="0025250D">
        <w:rPr>
          <w:rFonts w:hint="cs"/>
          <w:rtl/>
        </w:rPr>
        <w:t>ی</w:t>
      </w:r>
      <w:r w:rsidR="00E402E3" w:rsidRPr="0025250D">
        <w:rPr>
          <w:rFonts w:hint="eastAsia"/>
          <w:rtl/>
        </w:rPr>
        <w:t>م</w:t>
      </w:r>
      <w:r w:rsidR="00537CC8" w:rsidRPr="0025250D">
        <w:rPr>
          <w:rFonts w:hint="cs"/>
          <w:rtl/>
        </w:rPr>
        <w:t xml:space="preserve">، </w:t>
      </w:r>
      <w:r w:rsidR="00537CC8" w:rsidRPr="0025250D">
        <w:rPr>
          <w:rtl/>
        </w:rPr>
        <w:t>مارک اسم</w:t>
      </w:r>
      <w:r w:rsidR="00537CC8" w:rsidRPr="0025250D">
        <w:rPr>
          <w:rFonts w:hint="cs"/>
          <w:rtl/>
        </w:rPr>
        <w:t>ی</w:t>
      </w:r>
      <w:r w:rsidR="00537CC8" w:rsidRPr="0025250D">
        <w:rPr>
          <w:rFonts w:hint="eastAsia"/>
          <w:rtl/>
        </w:rPr>
        <w:t>ت</w:t>
      </w:r>
      <w:r w:rsidR="00537CC8" w:rsidRPr="0025250D">
        <w:rPr>
          <w:vertAlign w:val="superscript"/>
          <w:rtl/>
        </w:rPr>
        <w:footnoteReference w:id="2099"/>
      </w:r>
      <w:r w:rsidR="00537CC8" w:rsidRPr="0025250D">
        <w:rPr>
          <w:rFonts w:hint="cs"/>
          <w:rtl/>
        </w:rPr>
        <w:t xml:space="preserve"> پنج نظام </w:t>
      </w:r>
      <w:r w:rsidR="00537CC8" w:rsidRPr="0025250D">
        <w:rPr>
          <w:rtl/>
        </w:rPr>
        <w:t>سنگه</w:t>
      </w:r>
      <w:r w:rsidR="00537CC8" w:rsidRPr="0025250D">
        <w:rPr>
          <w:rFonts w:hint="cs"/>
          <w:rtl/>
        </w:rPr>
        <w:t xml:space="preserve"> را به شکل یک هرم توسعه‌ای نمایش می‌دهد (تصویر زیر). در قاعده یادگیری سازمانی، از دید </w:t>
      </w:r>
      <w:r w:rsidR="00537CC8" w:rsidRPr="0025250D">
        <w:rPr>
          <w:rtl/>
        </w:rPr>
        <w:t>سنگه</w:t>
      </w:r>
      <w:r w:rsidR="00537CC8" w:rsidRPr="0025250D">
        <w:rPr>
          <w:rFonts w:hint="cs"/>
          <w:rtl/>
        </w:rPr>
        <w:t xml:space="preserve">، تفکر </w:t>
      </w:r>
      <w:r w:rsidR="008D6F97" w:rsidRPr="0025250D">
        <w:rPr>
          <w:rFonts w:hint="cs"/>
          <w:rtl/>
        </w:rPr>
        <w:t>سامانه‌ای</w:t>
      </w:r>
      <w:r w:rsidR="00537CC8" w:rsidRPr="0025250D">
        <w:rPr>
          <w:rFonts w:hint="cs"/>
          <w:rtl/>
        </w:rPr>
        <w:t xml:space="preserve"> قرار دارد. تفکر </w:t>
      </w:r>
      <w:r w:rsidR="008D6F97" w:rsidRPr="0025250D">
        <w:rPr>
          <w:rFonts w:hint="cs"/>
          <w:rtl/>
        </w:rPr>
        <w:t>سامانه‌ای</w:t>
      </w:r>
      <w:r w:rsidR="00537CC8" w:rsidRPr="0025250D">
        <w:rPr>
          <w:rFonts w:hint="cs"/>
          <w:rtl/>
        </w:rPr>
        <w:t xml:space="preserve"> وقتی تیم به دنبال شناسایی عوامل، روابط و قیود مرتبط در سازمان باشد رخ می‌دهد. سپس ما از تجربه </w:t>
      </w:r>
      <w:r w:rsidR="008D6F97" w:rsidRPr="0025250D">
        <w:rPr>
          <w:rFonts w:hint="cs"/>
          <w:rtl/>
        </w:rPr>
        <w:t>سامانه‌ای</w:t>
      </w:r>
      <w:r w:rsidR="00537CC8" w:rsidRPr="0025250D">
        <w:rPr>
          <w:rFonts w:hint="cs"/>
          <w:rtl/>
        </w:rPr>
        <w:t xml:space="preserve"> خود برای یافتن یا ساختن مدل‌های ذهنی، </w:t>
      </w:r>
      <w:r w:rsidR="00B13F65" w:rsidRPr="0025250D">
        <w:rPr>
          <w:rFonts w:hint="cs"/>
          <w:rtl/>
        </w:rPr>
        <w:t>چارچوب</w:t>
      </w:r>
      <w:r w:rsidR="00537CC8" w:rsidRPr="0025250D">
        <w:rPr>
          <w:rFonts w:hint="cs"/>
          <w:rtl/>
        </w:rPr>
        <w:t xml:space="preserve">‌های عملی و روش‌هایی برای محیط </w:t>
      </w:r>
      <w:r w:rsidR="001A3F0A" w:rsidRPr="0025250D">
        <w:rPr>
          <w:rFonts w:hint="cs"/>
          <w:rtl/>
        </w:rPr>
        <w:t>فردی</w:t>
      </w:r>
      <w:r w:rsidR="00537CC8" w:rsidRPr="0025250D">
        <w:rPr>
          <w:rFonts w:hint="cs"/>
          <w:rtl/>
        </w:rPr>
        <w:t xml:space="preserve"> و سازمانی خود استفاده می‌کنیم.</w:t>
      </w:r>
    </w:p>
    <w:p w14:paraId="3EFA74A8" w14:textId="1A3D30E0" w:rsidR="00537CC8" w:rsidRPr="0025250D" w:rsidRDefault="00537CC8" w:rsidP="00537CC8">
      <w:pPr>
        <w:rPr>
          <w:rtl/>
        </w:rPr>
      </w:pPr>
      <w:r w:rsidRPr="0025250D">
        <w:rPr>
          <w:rFonts w:hint="cs"/>
          <w:rtl/>
        </w:rPr>
        <w:t xml:space="preserve">سپس، ما از این مدل‌ها، </w:t>
      </w:r>
      <w:r w:rsidR="00B13F65" w:rsidRPr="0025250D">
        <w:rPr>
          <w:rFonts w:hint="cs"/>
          <w:rtl/>
        </w:rPr>
        <w:t>چارچوب</w:t>
      </w:r>
      <w:r w:rsidRPr="0025250D">
        <w:rPr>
          <w:rFonts w:hint="cs"/>
          <w:rtl/>
        </w:rPr>
        <w:t xml:space="preserve">‌ها و روش‌ها برای رسیدن به تسلط فردی در تخصص‌های مختلف بهره می‌گیریم. همزمان، کارمندان سازمان و ذینفعان آن، با مدل‌ها و تخصص‌های ذهنی خود برای انجام کار تیمی تعامل می‌کنند. در آخر، با رهبری و تسهیلگری قوی، یادگیری و </w:t>
      </w:r>
      <w:r w:rsidRPr="0025250D">
        <w:rPr>
          <w:rtl/>
        </w:rPr>
        <w:t>آینده‌نگاری</w:t>
      </w:r>
      <w:r w:rsidRPr="0025250D">
        <w:rPr>
          <w:rFonts w:hint="cs"/>
          <w:rtl/>
        </w:rPr>
        <w:t xml:space="preserve"> تیمی ما را به سمت </w:t>
      </w:r>
      <w:r w:rsidR="00B56611" w:rsidRPr="0025250D">
        <w:rPr>
          <w:rFonts w:hint="cs"/>
          <w:rtl/>
        </w:rPr>
        <w:t>چشم‌انداز</w:t>
      </w:r>
      <w:r w:rsidRPr="0025250D">
        <w:rPr>
          <w:rFonts w:hint="cs"/>
          <w:rtl/>
        </w:rPr>
        <w:t>‌های مشترک برای تیم هایمان و یادگیری گروهیمان هدایت می‌کند.</w:t>
      </w:r>
    </w:p>
    <w:p w14:paraId="295A1B49" w14:textId="456C0E5E" w:rsidR="00537CC8" w:rsidRPr="0025250D" w:rsidRDefault="00C0248A" w:rsidP="00D53F87">
      <w:pPr>
        <w:jc w:val="center"/>
        <w:rPr>
          <w:rtl/>
        </w:rPr>
      </w:pPr>
      <w:r w:rsidRPr="0025250D">
        <w:rPr>
          <w:noProof/>
          <w:lang w:bidi="ar-SA"/>
        </w:rPr>
        <w:drawing>
          <wp:inline distT="0" distB="0" distL="0" distR="0" wp14:anchorId="41F308AE" wp14:editId="63A6F209">
            <wp:extent cx="3135162" cy="2818263"/>
            <wp:effectExtent l="0" t="0" r="8255" b="127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2" cstate="screen">
                      <a:extLst>
                        <a:ext uri="{BEBA8EAE-BF5A-486C-A8C5-ECC9F3942E4B}">
                          <a14:imgProps xmlns:a14="http://schemas.microsoft.com/office/drawing/2010/main">
                            <a14:imgLayer r:embed="rId183">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3146508" cy="2828462"/>
                    </a:xfrm>
                    <a:prstGeom prst="rect">
                      <a:avLst/>
                    </a:prstGeom>
                    <a:noFill/>
                  </pic:spPr>
                </pic:pic>
              </a:graphicData>
            </a:graphic>
          </wp:inline>
        </w:drawing>
      </w:r>
    </w:p>
    <w:p w14:paraId="00D59996" w14:textId="77777777" w:rsidR="00537CC8" w:rsidRPr="0025250D" w:rsidRDefault="00537CC8" w:rsidP="00D53F87">
      <w:pPr>
        <w:jc w:val="center"/>
        <w:rPr>
          <w:rtl/>
        </w:rPr>
      </w:pPr>
      <w:r w:rsidRPr="0025250D">
        <w:rPr>
          <w:rFonts w:hint="cs"/>
          <w:rtl/>
        </w:rPr>
        <w:t>پنج فرمان یک سازمان یادگیرنده، اسمیت، 2001، مبتنی بر سنگه، 1999</w:t>
      </w:r>
    </w:p>
    <w:p w14:paraId="1D71CFB5" w14:textId="66846A7C" w:rsidR="00537CC8" w:rsidRPr="0025250D" w:rsidRDefault="00537CC8" w:rsidP="00537CC8">
      <w:pPr>
        <w:rPr>
          <w:rtl/>
        </w:rPr>
      </w:pPr>
      <w:r w:rsidRPr="0025250D">
        <w:rPr>
          <w:rFonts w:hint="cs"/>
          <w:rtl/>
        </w:rPr>
        <w:t xml:space="preserve">مشاوران و رهبران وقتی یاد می‌گیرند که به متفکرین </w:t>
      </w:r>
      <w:r w:rsidR="008D6F97" w:rsidRPr="0025250D">
        <w:rPr>
          <w:rFonts w:hint="cs"/>
          <w:rtl/>
        </w:rPr>
        <w:t>سامانه‌ای</w:t>
      </w:r>
      <w:r w:rsidRPr="0025250D">
        <w:rPr>
          <w:rFonts w:hint="cs"/>
          <w:rtl/>
        </w:rPr>
        <w:t xml:space="preserve"> تبدیل شوند سود می‌برند، زیرا ارزش </w:t>
      </w:r>
      <w:r w:rsidR="00701E03" w:rsidRPr="0025250D">
        <w:rPr>
          <w:rFonts w:hint="cs"/>
          <w:rtl/>
        </w:rPr>
        <w:t>راهبردی</w:t>
      </w:r>
      <w:r w:rsidRPr="0025250D">
        <w:rPr>
          <w:rFonts w:hint="cs"/>
          <w:rtl/>
        </w:rPr>
        <w:t xml:space="preserve"> زیادی می‌تواند در داشتن نقشه خوبی از بازیگران، روابط و قیود مرتبط وجود داشته باشد. کتاب‌های مقدماتی قابل اتکا برای تفکر </w:t>
      </w:r>
      <w:r w:rsidR="008D6F97" w:rsidRPr="0025250D">
        <w:rPr>
          <w:rFonts w:hint="cs"/>
          <w:rtl/>
        </w:rPr>
        <w:t>سامانه‌ای</w:t>
      </w:r>
      <w:r w:rsidRPr="0025250D">
        <w:rPr>
          <w:rFonts w:hint="cs"/>
          <w:rtl/>
        </w:rPr>
        <w:t xml:space="preserve"> شامل تفکر </w:t>
      </w:r>
      <w:r w:rsidR="008D6F97" w:rsidRPr="0025250D">
        <w:rPr>
          <w:rFonts w:hint="cs"/>
          <w:rtl/>
        </w:rPr>
        <w:t>سامانه‌ای</w:t>
      </w:r>
      <w:r w:rsidRPr="0025250D">
        <w:rPr>
          <w:rFonts w:hint="cs"/>
          <w:rtl/>
        </w:rPr>
        <w:t xml:space="preserve"> برای مدیران کنجکاو</w:t>
      </w:r>
      <w:r w:rsidRPr="0025250D">
        <w:rPr>
          <w:vertAlign w:val="superscript"/>
          <w:rtl/>
        </w:rPr>
        <w:footnoteReference w:id="2100"/>
      </w:r>
      <w:r w:rsidRPr="0025250D">
        <w:rPr>
          <w:rFonts w:hint="cs"/>
          <w:rtl/>
        </w:rPr>
        <w:t xml:space="preserve"> اثر </w:t>
      </w:r>
      <w:r w:rsidRPr="0025250D">
        <w:rPr>
          <w:rtl/>
        </w:rPr>
        <w:t>آکوف</w:t>
      </w:r>
      <w:r w:rsidRPr="0025250D">
        <w:rPr>
          <w:vertAlign w:val="superscript"/>
          <w:rtl/>
        </w:rPr>
        <w:footnoteReference w:id="2101"/>
      </w:r>
      <w:r w:rsidRPr="0025250D">
        <w:rPr>
          <w:rFonts w:hint="cs"/>
          <w:rtl/>
        </w:rPr>
        <w:t xml:space="preserve"> و </w:t>
      </w:r>
      <w:r w:rsidRPr="0025250D">
        <w:rPr>
          <w:rtl/>
        </w:rPr>
        <w:t>اد</w:t>
      </w:r>
      <w:r w:rsidRPr="0025250D">
        <w:rPr>
          <w:rFonts w:hint="cs"/>
          <w:rtl/>
        </w:rPr>
        <w:t>ی</w:t>
      </w:r>
      <w:r w:rsidRPr="0025250D">
        <w:rPr>
          <w:rFonts w:hint="eastAsia"/>
          <w:rtl/>
        </w:rPr>
        <w:t>سون</w:t>
      </w:r>
      <w:r w:rsidRPr="0025250D">
        <w:rPr>
          <w:vertAlign w:val="superscript"/>
          <w:rtl/>
        </w:rPr>
        <w:footnoteReference w:id="2102"/>
      </w:r>
      <w:r w:rsidRPr="0025250D">
        <w:rPr>
          <w:rFonts w:hint="cs"/>
          <w:rtl/>
        </w:rPr>
        <w:t xml:space="preserve"> در سال 2010، هدف</w:t>
      </w:r>
      <w:r w:rsidRPr="0025250D">
        <w:rPr>
          <w:vertAlign w:val="superscript"/>
          <w:rtl/>
        </w:rPr>
        <w:footnoteReference w:id="2103"/>
      </w:r>
      <w:r w:rsidRPr="0025250D">
        <w:rPr>
          <w:rFonts w:hint="cs"/>
          <w:rtl/>
        </w:rPr>
        <w:t xml:space="preserve"> در سال 2012 و نظریه قیود</w:t>
      </w:r>
      <w:r w:rsidRPr="0025250D">
        <w:rPr>
          <w:vertAlign w:val="superscript"/>
          <w:rtl/>
        </w:rPr>
        <w:footnoteReference w:id="2104"/>
      </w:r>
      <w:r w:rsidRPr="0025250D">
        <w:rPr>
          <w:rFonts w:hint="cs"/>
          <w:rtl/>
        </w:rPr>
        <w:t xml:space="preserve"> در سال 1999 اثر</w:t>
      </w:r>
      <w:r w:rsidRPr="0025250D">
        <w:rPr>
          <w:rtl/>
        </w:rPr>
        <w:t xml:space="preserve"> ال</w:t>
      </w:r>
      <w:r w:rsidRPr="0025250D">
        <w:rPr>
          <w:rFonts w:hint="cs"/>
          <w:rtl/>
        </w:rPr>
        <w:t>ی</w:t>
      </w:r>
      <w:r w:rsidRPr="0025250D">
        <w:rPr>
          <w:rFonts w:hint="eastAsia"/>
          <w:rtl/>
        </w:rPr>
        <w:t>اهو</w:t>
      </w:r>
      <w:r w:rsidRPr="0025250D">
        <w:rPr>
          <w:rtl/>
        </w:rPr>
        <w:t xml:space="preserve"> گلدرات</w:t>
      </w:r>
      <w:r w:rsidRPr="0025250D">
        <w:rPr>
          <w:vertAlign w:val="superscript"/>
          <w:rtl/>
        </w:rPr>
        <w:footnoteReference w:id="2105"/>
      </w:r>
      <w:r w:rsidRPr="0025250D">
        <w:rPr>
          <w:rFonts w:hint="cs"/>
          <w:rtl/>
        </w:rPr>
        <w:t xml:space="preserve"> و تفکر </w:t>
      </w:r>
      <w:r w:rsidR="008D6F97" w:rsidRPr="0025250D">
        <w:rPr>
          <w:rFonts w:hint="cs"/>
          <w:rtl/>
        </w:rPr>
        <w:t>سامانه‌ای</w:t>
      </w:r>
      <w:r w:rsidRPr="0025250D">
        <w:rPr>
          <w:vertAlign w:val="superscript"/>
          <w:rtl/>
        </w:rPr>
        <w:footnoteReference w:id="2106"/>
      </w:r>
      <w:r w:rsidRPr="0025250D">
        <w:rPr>
          <w:rFonts w:hint="cs"/>
          <w:rtl/>
        </w:rPr>
        <w:t xml:space="preserve"> اثر</w:t>
      </w:r>
      <w:r w:rsidRPr="0025250D">
        <w:rPr>
          <w:rtl/>
        </w:rPr>
        <w:t xml:space="preserve"> دونلا م</w:t>
      </w:r>
      <w:r w:rsidRPr="0025250D">
        <w:rPr>
          <w:rFonts w:hint="cs"/>
          <w:rtl/>
        </w:rPr>
        <w:t>ی</w:t>
      </w:r>
      <w:r w:rsidRPr="0025250D">
        <w:rPr>
          <w:rFonts w:hint="eastAsia"/>
          <w:rtl/>
        </w:rPr>
        <w:t>دو</w:t>
      </w:r>
      <w:r w:rsidRPr="0025250D">
        <w:rPr>
          <w:vertAlign w:val="superscript"/>
          <w:rtl/>
        </w:rPr>
        <w:footnoteReference w:id="2107"/>
      </w:r>
      <w:r w:rsidRPr="0025250D">
        <w:rPr>
          <w:rFonts w:hint="cs"/>
          <w:rtl/>
        </w:rPr>
        <w:t xml:space="preserve"> در سال 2008 می‌شوند.</w:t>
      </w:r>
    </w:p>
    <w:p w14:paraId="323A1FC8" w14:textId="6FEDBC99" w:rsidR="00537CC8" w:rsidRPr="0025250D" w:rsidRDefault="00537CC8" w:rsidP="00537CC8">
      <w:pPr>
        <w:rPr>
          <w:rtl/>
        </w:rPr>
      </w:pPr>
      <w:r w:rsidRPr="0025250D">
        <w:rPr>
          <w:rFonts w:hint="cs"/>
          <w:rtl/>
        </w:rPr>
        <w:t xml:space="preserve">ما پیش فرض </w:t>
      </w:r>
      <w:r w:rsidRPr="0025250D">
        <w:rPr>
          <w:rtl/>
        </w:rPr>
        <w:t>سنگه</w:t>
      </w:r>
      <w:r w:rsidRPr="0025250D">
        <w:rPr>
          <w:rFonts w:hint="cs"/>
          <w:rtl/>
        </w:rPr>
        <w:t xml:space="preserve"> مبنی بر این که یادگیری مهارت کانونی شرکت‌های موفق است را اتخاذ نمی‌کنیم، اما در عوض پیشنهاد می‌کنیم که این اولین مورد از میان 8 مهارت کلیدی است. اگر ما زمان یا پول بیش از حدی را برای یادگیری، آموزش یا تولید مدل‌ها اختصاص دهیم، شرکت به سرعت در یک محیط رقابتی شکست می‌خورد. فعالیت‌های تحصیلی همواره در </w:t>
      </w:r>
      <w:r w:rsidR="007118DE" w:rsidRPr="0025250D">
        <w:rPr>
          <w:rFonts w:hint="cs"/>
          <w:rtl/>
        </w:rPr>
        <w:t>سبک‌سنگین</w:t>
      </w:r>
      <w:r w:rsidRPr="0025250D">
        <w:rPr>
          <w:rFonts w:hint="cs"/>
          <w:rtl/>
        </w:rPr>
        <w:t xml:space="preserve">ی در حال تکامل با هفت مهارت دیگر هستند. هیچ مهارت واحدی که از بقیه مهم‌تر باشد، از نظر ما، وجود ندارد. اگر مجبور باشیم که موارد محبوب خود را انتخاب کنیم، ترکیبی از مهارت‌های 4 و 5 و 8 </w:t>
      </w:r>
      <w:r w:rsidRPr="0025250D">
        <w:rPr>
          <w:rFonts w:cs="Times New Roman" w:hint="cs"/>
          <w:rtl/>
        </w:rPr>
        <w:t>–</w:t>
      </w:r>
      <w:r w:rsidRPr="0025250D">
        <w:rPr>
          <w:rFonts w:hint="cs"/>
          <w:rtl/>
        </w:rPr>
        <w:t xml:space="preserve"> اجرای </w:t>
      </w:r>
      <w:r w:rsidR="00701E03" w:rsidRPr="0025250D">
        <w:rPr>
          <w:rFonts w:hint="cs"/>
          <w:rtl/>
        </w:rPr>
        <w:t>راهبرد</w:t>
      </w:r>
      <w:r w:rsidRPr="0025250D">
        <w:rPr>
          <w:rFonts w:hint="cs"/>
          <w:rtl/>
        </w:rPr>
        <w:t xml:space="preserve"> خوب، به همراه بازبینی - انتخاب‌های ما برای سه مهارت محوری‌تر حلقه‌های انجام خواهند بود.</w:t>
      </w:r>
    </w:p>
    <w:p w14:paraId="7AE21681" w14:textId="6C2D85EF" w:rsidR="00537CC8" w:rsidRPr="0025250D" w:rsidRDefault="00537CC8" w:rsidP="00537CC8">
      <w:pPr>
        <w:rPr>
          <w:rtl/>
        </w:rPr>
      </w:pPr>
      <w:r w:rsidRPr="0025250D">
        <w:rPr>
          <w:rFonts w:hint="cs"/>
          <w:rtl/>
        </w:rPr>
        <w:t xml:space="preserve">مدل </w:t>
      </w:r>
      <w:r w:rsidRPr="0025250D">
        <w:rPr>
          <w:rtl/>
        </w:rPr>
        <w:t>سنگه</w:t>
      </w:r>
      <w:r w:rsidRPr="0025250D">
        <w:rPr>
          <w:rFonts w:hint="cs"/>
          <w:rtl/>
        </w:rPr>
        <w:t xml:space="preserve"> برای مدیران یادگیری محور خوشایند است، اما این مدل و دیگر مدل‌های یادگیری سازمانی هنوز زیاد مبتنی بر شواهد نیستند؛ </w:t>
      </w:r>
      <w:r w:rsidR="007118DE" w:rsidRPr="0025250D">
        <w:rPr>
          <w:rFonts w:hint="cs"/>
          <w:rtl/>
        </w:rPr>
        <w:t>همان‌طور</w:t>
      </w:r>
      <w:r w:rsidRPr="0025250D">
        <w:rPr>
          <w:rFonts w:hint="cs"/>
          <w:rtl/>
        </w:rPr>
        <w:t xml:space="preserve">که منتقدین </w:t>
      </w:r>
      <w:r w:rsidRPr="0025250D">
        <w:rPr>
          <w:rtl/>
        </w:rPr>
        <w:t>سنگه</w:t>
      </w:r>
      <w:r w:rsidRPr="0025250D">
        <w:rPr>
          <w:rFonts w:hint="cs"/>
          <w:rtl/>
        </w:rPr>
        <w:t xml:space="preserve"> هم به این نکته اشاره دارند. یکی از اولویت‌های یادگیری برتر برای هر شرکتی باید مدیریت مبتنی بر شواهد، ترکیبی از یادگیری و بازبینی باشد که به دنبال یافتن بهترین شواهد موجود برای راهنمایی و هدایت سیاست‌ها و فرایند‌های فعلی ما باشد. کتاب حقایق دشوار، نیمه حقیقت‌های خطرناک و موارد کاملا غیر منطقی</w:t>
      </w:r>
      <w:r w:rsidRPr="0025250D">
        <w:rPr>
          <w:vertAlign w:val="superscript"/>
          <w:rtl/>
        </w:rPr>
        <w:footnoteReference w:id="2108"/>
      </w:r>
      <w:r w:rsidRPr="0025250D">
        <w:rPr>
          <w:rFonts w:hint="cs"/>
          <w:rtl/>
        </w:rPr>
        <w:t xml:space="preserve"> اثر</w:t>
      </w:r>
      <w:r w:rsidR="008D6F97" w:rsidRPr="0025250D">
        <w:rPr>
          <w:rtl/>
        </w:rPr>
        <w:t xml:space="preserve"> </w:t>
      </w:r>
      <w:r w:rsidRPr="0025250D">
        <w:rPr>
          <w:rtl/>
        </w:rPr>
        <w:t>پففر</w:t>
      </w:r>
      <w:r w:rsidRPr="0025250D">
        <w:rPr>
          <w:vertAlign w:val="superscript"/>
          <w:rtl/>
        </w:rPr>
        <w:footnoteReference w:id="2109"/>
      </w:r>
      <w:r w:rsidRPr="0025250D">
        <w:rPr>
          <w:rtl/>
        </w:rPr>
        <w:t xml:space="preserve"> </w:t>
      </w:r>
      <w:r w:rsidRPr="0025250D">
        <w:rPr>
          <w:rFonts w:hint="cs"/>
          <w:rtl/>
        </w:rPr>
        <w:t xml:space="preserve">و </w:t>
      </w:r>
      <w:r w:rsidRPr="0025250D">
        <w:rPr>
          <w:rtl/>
        </w:rPr>
        <w:t>ساتون</w:t>
      </w:r>
      <w:r w:rsidRPr="0025250D">
        <w:rPr>
          <w:vertAlign w:val="superscript"/>
          <w:rtl/>
        </w:rPr>
        <w:footnoteReference w:id="2110"/>
      </w:r>
      <w:r w:rsidRPr="0025250D">
        <w:rPr>
          <w:rFonts w:hint="cs"/>
          <w:rtl/>
        </w:rPr>
        <w:t xml:space="preserve"> در سال 2006 را به‌عنوان یک کتاب خوب درمورد چگونگی کارکرد عملی آن ببینید.</w:t>
      </w:r>
    </w:p>
    <w:p w14:paraId="4E864910" w14:textId="77777777" w:rsidR="00537CC8" w:rsidRPr="0025250D" w:rsidRDefault="00537CC8" w:rsidP="00D53F87">
      <w:pPr>
        <w:jc w:val="center"/>
        <w:rPr>
          <w:rtl/>
        </w:rPr>
      </w:pPr>
      <w:r w:rsidRPr="0025250D">
        <w:rPr>
          <w:noProof/>
          <w:rtl/>
          <w:lang w:bidi="ar-SA"/>
        </w:rPr>
        <w:drawing>
          <wp:inline distT="0" distB="0" distL="0" distR="0" wp14:anchorId="20C9EBB3" wp14:editId="16A03577">
            <wp:extent cx="1500780" cy="1962150"/>
            <wp:effectExtent l="0" t="0" r="4445" b="0"/>
            <wp:docPr id="118" name="Picture 118" descr="D:\کار\مستقل\3 ( ترجمه ی دانشگاه تهران  )\Introduction to Foresight\part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کار\مستقل\3 ( ترجمه ی دانشگاه تهران  )\Introduction to Foresight\part5\16.png"/>
                    <pic:cNvPicPr>
                      <a:picLocks noChangeAspect="1" noChangeArrowheads="1"/>
                    </pic:cNvPicPr>
                  </pic:nvPicPr>
                  <pic:blipFill rotWithShape="1">
                    <a:blip r:embed="rId184" cstate="screen">
                      <a:extLst>
                        <a:ext uri="{BEBA8EAE-BF5A-486C-A8C5-ECC9F3942E4B}">
                          <a14:imgProps xmlns:a14="http://schemas.microsoft.com/office/drawing/2010/main">
                            <a14:imgLayer r:embed="rId185">
                              <a14:imgEffect>
                                <a14:saturation sat="0"/>
                              </a14:imgEffect>
                            </a14:imgLayer>
                          </a14:imgProps>
                        </a:ext>
                        <a:ext uri="{28A0092B-C50C-407E-A947-70E740481C1C}">
                          <a14:useLocalDpi xmlns:a14="http://schemas.microsoft.com/office/drawing/2010/main"/>
                        </a:ext>
                      </a:extLst>
                    </a:blip>
                    <a:srcRect/>
                    <a:stretch/>
                  </pic:blipFill>
                  <pic:spPr bwMode="auto">
                    <a:xfrm>
                      <a:off x="0" y="0"/>
                      <a:ext cx="1505111" cy="1967812"/>
                    </a:xfrm>
                    <a:prstGeom prst="rect">
                      <a:avLst/>
                    </a:prstGeom>
                    <a:noFill/>
                    <a:ln>
                      <a:noFill/>
                    </a:ln>
                    <a:extLst>
                      <a:ext uri="{53640926-AAD7-44D8-BBD7-CCE9431645EC}">
                        <a14:shadowObscured xmlns:a14="http://schemas.microsoft.com/office/drawing/2010/main"/>
                      </a:ext>
                    </a:extLst>
                  </pic:spPr>
                </pic:pic>
              </a:graphicData>
            </a:graphic>
          </wp:inline>
        </w:drawing>
      </w:r>
    </w:p>
    <w:p w14:paraId="10ADC627" w14:textId="77777777" w:rsidR="00537CC8" w:rsidRPr="0025250D" w:rsidRDefault="00537CC8" w:rsidP="00D53F87">
      <w:pPr>
        <w:jc w:val="center"/>
        <w:rPr>
          <w:rtl/>
        </w:rPr>
      </w:pPr>
      <w:r w:rsidRPr="0025250D">
        <w:rPr>
          <w:rtl/>
        </w:rPr>
        <w:t>پففر</w:t>
      </w:r>
      <w:r w:rsidRPr="0025250D">
        <w:rPr>
          <w:rFonts w:hint="cs"/>
          <w:rtl/>
        </w:rPr>
        <w:t xml:space="preserve"> و </w:t>
      </w:r>
      <w:r w:rsidRPr="0025250D">
        <w:rPr>
          <w:rtl/>
        </w:rPr>
        <w:t>ساتون</w:t>
      </w:r>
      <w:r w:rsidRPr="0025250D">
        <w:rPr>
          <w:rFonts w:hint="cs"/>
          <w:rtl/>
        </w:rPr>
        <w:t>، 2006</w:t>
      </w:r>
    </w:p>
    <w:p w14:paraId="759789C0" w14:textId="0E69246F" w:rsidR="00537CC8" w:rsidRPr="0025250D" w:rsidRDefault="00537CC8" w:rsidP="00537CC8">
      <w:pPr>
        <w:rPr>
          <w:rtl/>
        </w:rPr>
      </w:pPr>
      <w:r w:rsidRPr="0025250D">
        <w:rPr>
          <w:rFonts w:hint="cs"/>
          <w:rtl/>
        </w:rPr>
        <w:t xml:space="preserve">پرسش‌های یادگیری خوبی که می‌توانیم از خود بپرسیم شامل این موارد هستند: آیا تیم‌های ما می‌توانند شواهد محکمی را برای سیاست‌هایی که از آن‌ها استفاده می‌کنیم فراهم کنند یا آیا آن‌ها تنها نظراتی از </w:t>
      </w:r>
      <w:r w:rsidRPr="0025250D">
        <w:t>HIPPO</w:t>
      </w:r>
      <w:r w:rsidRPr="0025250D">
        <w:rPr>
          <w:rFonts w:hint="cs"/>
          <w:rtl/>
        </w:rPr>
        <w:t>‌ها هستند (افراد دارای حقوق بالا در سازمان‌های ما</w:t>
      </w:r>
      <w:r w:rsidRPr="0025250D">
        <w:rPr>
          <w:vertAlign w:val="superscript"/>
          <w:rtl/>
        </w:rPr>
        <w:footnoteReference w:id="2111"/>
      </w:r>
      <w:r w:rsidRPr="0025250D">
        <w:rPr>
          <w:rFonts w:hint="cs"/>
          <w:rtl/>
        </w:rPr>
        <w:t xml:space="preserve">)؟ آیا درمورد شواهد برای سیاست‌های مهم خود تحقیق می‌کنیم؟ یا سیاست‌های خود را بر نیروی شخصیت، نظرات، سنت‌ها یا دیگر </w:t>
      </w:r>
      <w:r w:rsidR="00563645" w:rsidRPr="0025250D">
        <w:rPr>
          <w:rFonts w:hint="cs"/>
          <w:rtl/>
        </w:rPr>
        <w:t>بدیل</w:t>
      </w:r>
      <w:r w:rsidRPr="0025250D">
        <w:rPr>
          <w:rFonts w:hint="cs"/>
          <w:rtl/>
        </w:rPr>
        <w:t xml:space="preserve">‌های دارای پایه‌های ضعیف بنیان گذاری می‌کنیم؟ اگر این طور است، بنیان شرکت ما ممکن است ضعیف باشد </w:t>
      </w:r>
      <w:r w:rsidRPr="0025250D">
        <w:rPr>
          <w:rFonts w:cs="Times New Roman" w:hint="cs"/>
          <w:rtl/>
        </w:rPr>
        <w:t>–</w:t>
      </w:r>
      <w:r w:rsidRPr="0025250D">
        <w:rPr>
          <w:rFonts w:hint="cs"/>
          <w:rtl/>
        </w:rPr>
        <w:t xml:space="preserve"> و هر زمانی ممکن است طوفانی از راه برسد و آن را از پای درآورد.</w:t>
      </w:r>
    </w:p>
    <w:p w14:paraId="518C84CF" w14:textId="06E08372" w:rsidR="00537CC8" w:rsidRPr="0025250D" w:rsidRDefault="00537CC8" w:rsidP="00537CC8">
      <w:pPr>
        <w:rPr>
          <w:rtl/>
        </w:rPr>
      </w:pPr>
      <w:r w:rsidRPr="0025250D">
        <w:rPr>
          <w:rFonts w:hint="cs"/>
          <w:rtl/>
        </w:rPr>
        <w:t xml:space="preserve">همچنین باید بدانیم که در یک محیط با تغییر </w:t>
      </w:r>
      <w:r w:rsidR="007B3B35" w:rsidRPr="0025250D">
        <w:rPr>
          <w:rFonts w:hint="cs"/>
          <w:rtl/>
        </w:rPr>
        <w:t>شتاب‌گیر</w:t>
      </w:r>
      <w:r w:rsidRPr="0025250D">
        <w:rPr>
          <w:rFonts w:hint="cs"/>
          <w:rtl/>
        </w:rPr>
        <w:t xml:space="preserve">نده، هرچه رویداد‌های رقابتی سریع‌تر رخ دهند، ارزش کم‌تری می‌تواند در </w:t>
      </w:r>
      <w:r w:rsidR="00B124DE" w:rsidRPr="0025250D">
        <w:rPr>
          <w:rFonts w:hint="cs"/>
          <w:rtl/>
        </w:rPr>
        <w:t>برنامه‌ریزی</w:t>
      </w:r>
      <w:r w:rsidRPr="0025250D">
        <w:rPr>
          <w:rFonts w:hint="cs"/>
          <w:rtl/>
        </w:rPr>
        <w:t xml:space="preserve"> بلند مدت و و ارزش بیش‌تری در یادگیری به موقع و تولید و اجرای به موقع</w:t>
      </w:r>
      <w:r w:rsidRPr="0025250D">
        <w:rPr>
          <w:vertAlign w:val="superscript"/>
          <w:rtl/>
        </w:rPr>
        <w:footnoteReference w:id="2112"/>
      </w:r>
      <w:r w:rsidRPr="0025250D">
        <w:rPr>
          <w:rFonts w:hint="cs"/>
          <w:rtl/>
        </w:rPr>
        <w:t xml:space="preserve"> (یادگیری، </w:t>
      </w:r>
      <w:r w:rsidR="00701E03" w:rsidRPr="0025250D">
        <w:rPr>
          <w:rFonts w:hint="cs"/>
          <w:rtl/>
        </w:rPr>
        <w:t>راهبرد</w:t>
      </w:r>
      <w:r w:rsidRPr="0025250D">
        <w:rPr>
          <w:rFonts w:hint="cs"/>
          <w:rtl/>
        </w:rPr>
        <w:t xml:space="preserve"> و اجرا) وجود داشته باشد. در محیط‌های با تغییرات، ممکن است تنها به یادگیری، </w:t>
      </w:r>
      <w:r w:rsidR="00923DDB" w:rsidRPr="0025250D">
        <w:rPr>
          <w:rFonts w:hint="cs"/>
          <w:rtl/>
        </w:rPr>
        <w:t>پیش‌انگاری</w:t>
      </w:r>
      <w:r w:rsidRPr="0025250D">
        <w:rPr>
          <w:rFonts w:hint="cs"/>
          <w:rtl/>
        </w:rPr>
        <w:t xml:space="preserve"> و </w:t>
      </w:r>
      <w:r w:rsidR="00B124DE" w:rsidRPr="0025250D">
        <w:rPr>
          <w:rFonts w:hint="cs"/>
          <w:rtl/>
        </w:rPr>
        <w:t>برنامه‌ریزی</w:t>
      </w:r>
      <w:r w:rsidRPr="0025250D">
        <w:rPr>
          <w:rFonts w:hint="cs"/>
          <w:rtl/>
        </w:rPr>
        <w:t xml:space="preserve"> </w:t>
      </w:r>
      <w:r w:rsidR="008E4DB3" w:rsidRPr="0025250D">
        <w:rPr>
          <w:rFonts w:hint="cs"/>
          <w:rtl/>
        </w:rPr>
        <w:t>احتیاطی</w:t>
      </w:r>
      <w:r w:rsidRPr="0025250D">
        <w:rPr>
          <w:vertAlign w:val="superscript"/>
          <w:rtl/>
        </w:rPr>
        <w:footnoteReference w:id="2113"/>
      </w:r>
      <w:r w:rsidRPr="0025250D">
        <w:rPr>
          <w:rFonts w:hint="cs"/>
          <w:rtl/>
        </w:rPr>
        <w:t xml:space="preserve"> کافی برای استفاده از فرصت‌ها و اجتناب از خطرات سریع‌تر و کارآمد‌تر نسبت به رقبا نیاز داشته باشیم. این قطعی است که هر کسی که تلاش به دیدن، </w:t>
      </w:r>
      <w:r w:rsidR="00B124DE" w:rsidRPr="0025250D">
        <w:rPr>
          <w:rFonts w:hint="cs"/>
          <w:rtl/>
        </w:rPr>
        <w:t>برنامه‌ریزی</w:t>
      </w:r>
      <w:r w:rsidRPr="0025250D">
        <w:rPr>
          <w:rFonts w:hint="cs"/>
          <w:rtl/>
        </w:rPr>
        <w:t xml:space="preserve"> و اجرای بسیار زود‌تر داشته باشد، هم در زندگی </w:t>
      </w:r>
      <w:r w:rsidR="001A3F0A" w:rsidRPr="0025250D">
        <w:rPr>
          <w:rFonts w:hint="cs"/>
          <w:rtl/>
        </w:rPr>
        <w:t>فردی</w:t>
      </w:r>
      <w:r w:rsidRPr="0025250D">
        <w:rPr>
          <w:rFonts w:hint="cs"/>
          <w:rtl/>
        </w:rPr>
        <w:t xml:space="preserve"> و هم در سازمان خود، به زودی خواهد فهمید که چقدر زمان و انرژی تلف شده و برنامه‌ها نسبت به واقعیت چقدر سریع‌تر می‌توانند نامتناسب شوند.</w:t>
      </w:r>
    </w:p>
    <w:p w14:paraId="16CFCEFF" w14:textId="40D964C7" w:rsidR="00537CC8" w:rsidRPr="0025250D" w:rsidRDefault="00537CC8" w:rsidP="00537CC8">
      <w:pPr>
        <w:rPr>
          <w:rtl/>
        </w:rPr>
      </w:pPr>
      <w:r w:rsidRPr="0025250D">
        <w:rPr>
          <w:rFonts w:hint="cs"/>
          <w:rtl/>
        </w:rPr>
        <w:t xml:space="preserve">اغلب این که در بخش‌های کوچکتری از کار یاد بگیریم و دائما با بازخورد از مشتری بهبود یابیم، از این که در مقادیر بزرگی از کار </w:t>
      </w:r>
      <w:r w:rsidR="00F50EB4" w:rsidRPr="0025250D">
        <w:rPr>
          <w:rFonts w:hint="cs"/>
          <w:rtl/>
        </w:rPr>
        <w:t>سرمایه‌گذاری</w:t>
      </w:r>
      <w:r w:rsidRPr="0025250D">
        <w:rPr>
          <w:rFonts w:hint="cs"/>
          <w:rtl/>
        </w:rPr>
        <w:t xml:space="preserve"> کنیم </w:t>
      </w:r>
      <w:r w:rsidRPr="0025250D">
        <w:rPr>
          <w:rFonts w:cs="Times New Roman" w:hint="cs"/>
          <w:rtl/>
        </w:rPr>
        <w:t>–</w:t>
      </w:r>
      <w:r w:rsidRPr="0025250D">
        <w:rPr>
          <w:rFonts w:hint="cs"/>
          <w:rtl/>
        </w:rPr>
        <w:t xml:space="preserve"> که به </w:t>
      </w:r>
      <w:r w:rsidR="00701E03" w:rsidRPr="0025250D">
        <w:rPr>
          <w:rFonts w:hint="cs"/>
          <w:rtl/>
        </w:rPr>
        <w:t>راهبرد</w:t>
      </w:r>
      <w:r w:rsidRPr="0025250D">
        <w:rPr>
          <w:rFonts w:hint="cs"/>
          <w:rtl/>
        </w:rPr>
        <w:t xml:space="preserve"> بلند مدت نیاز دارد و ما را به ریسک‌های بزرگ در جستجوی صرفه به مقیاس</w:t>
      </w:r>
      <w:r w:rsidRPr="0025250D">
        <w:rPr>
          <w:vertAlign w:val="superscript"/>
          <w:rtl/>
        </w:rPr>
        <w:footnoteReference w:id="2114"/>
      </w:r>
      <w:r w:rsidRPr="0025250D">
        <w:rPr>
          <w:rFonts w:hint="cs"/>
          <w:rtl/>
        </w:rPr>
        <w:t xml:space="preserve"> متعهد می‌کن</w:t>
      </w:r>
      <w:r w:rsidR="006B38A4" w:rsidRPr="0025250D">
        <w:rPr>
          <w:rFonts w:hint="cs"/>
          <w:rtl/>
        </w:rPr>
        <w:t xml:space="preserve">د - </w:t>
      </w:r>
      <w:r w:rsidRPr="0025250D">
        <w:rPr>
          <w:rFonts w:hint="cs"/>
          <w:rtl/>
        </w:rPr>
        <w:t>بهتر است. برخی اوقات اولین حرکت کنندگان</w:t>
      </w:r>
      <w:r w:rsidRPr="0025250D">
        <w:rPr>
          <w:vertAlign w:val="superscript"/>
          <w:rtl/>
        </w:rPr>
        <w:footnoteReference w:id="2115"/>
      </w:r>
      <w:r w:rsidRPr="0025250D">
        <w:rPr>
          <w:rFonts w:hint="cs"/>
          <w:rtl/>
        </w:rPr>
        <w:t xml:space="preserve"> مزیت رقابتی بزرگی دارند؛ </w:t>
      </w:r>
      <w:r w:rsidR="0020589F" w:rsidRPr="0025250D">
        <w:rPr>
          <w:rtl/>
        </w:rPr>
        <w:t>اما</w:t>
      </w:r>
      <w:r w:rsidRPr="0025250D">
        <w:rPr>
          <w:rFonts w:hint="cs"/>
          <w:rtl/>
        </w:rPr>
        <w:t xml:space="preserve"> در مواردی، یک تعقیب کننده سریع بودن </w:t>
      </w:r>
      <w:r w:rsidRPr="0025250D">
        <w:rPr>
          <w:rFonts w:cs="Times New Roman" w:hint="cs"/>
          <w:rtl/>
        </w:rPr>
        <w:t>–</w:t>
      </w:r>
      <w:r w:rsidRPr="0025250D">
        <w:rPr>
          <w:rFonts w:hint="cs"/>
          <w:rtl/>
        </w:rPr>
        <w:t xml:space="preserve"> و اجازه دادن به دیگران برای انجام آزمایش‌های گرانقیمت و وارد عمل شدن برای همتاسازی موارد موفق </w:t>
      </w:r>
      <w:r w:rsidRPr="0025250D">
        <w:rPr>
          <w:rFonts w:cs="Times New Roman" w:hint="cs"/>
          <w:rtl/>
        </w:rPr>
        <w:t>–</w:t>
      </w:r>
      <w:r w:rsidRPr="0025250D">
        <w:rPr>
          <w:rFonts w:hint="cs"/>
          <w:rtl/>
        </w:rPr>
        <w:t xml:space="preserve"> می‌تواند یک </w:t>
      </w:r>
      <w:r w:rsidR="00701E03" w:rsidRPr="0025250D">
        <w:rPr>
          <w:rFonts w:hint="cs"/>
          <w:rtl/>
        </w:rPr>
        <w:t>راهبرد</w:t>
      </w:r>
      <w:r w:rsidRPr="0025250D">
        <w:rPr>
          <w:rFonts w:hint="cs"/>
          <w:rtl/>
        </w:rPr>
        <w:t xml:space="preserve"> بسیار بهتر باشد. کتاب نوآوری سریع</w:t>
      </w:r>
      <w:r w:rsidRPr="0025250D">
        <w:rPr>
          <w:vertAlign w:val="superscript"/>
          <w:rtl/>
        </w:rPr>
        <w:footnoteReference w:id="2116"/>
      </w:r>
      <w:r w:rsidRPr="0025250D">
        <w:rPr>
          <w:rFonts w:hint="cs"/>
          <w:rtl/>
        </w:rPr>
        <w:t xml:space="preserve"> اثر </w:t>
      </w:r>
      <w:r w:rsidRPr="0025250D">
        <w:rPr>
          <w:rtl/>
        </w:rPr>
        <w:t>جورج</w:t>
      </w:r>
      <w:r w:rsidRPr="0025250D">
        <w:rPr>
          <w:rFonts w:hint="cs"/>
          <w:rtl/>
        </w:rPr>
        <w:t xml:space="preserve"> و همکاران در سال 2005، </w:t>
      </w:r>
      <w:r w:rsidR="00701E03" w:rsidRPr="0025250D">
        <w:rPr>
          <w:rFonts w:hint="cs"/>
          <w:rtl/>
        </w:rPr>
        <w:t>راهبرد</w:t>
      </w:r>
      <w:r w:rsidRPr="0025250D">
        <w:rPr>
          <w:rFonts w:hint="cs"/>
          <w:rtl/>
        </w:rPr>
        <w:t xml:space="preserve"> سریع</w:t>
      </w:r>
      <w:r w:rsidRPr="0025250D">
        <w:rPr>
          <w:vertAlign w:val="superscript"/>
          <w:rtl/>
        </w:rPr>
        <w:footnoteReference w:id="2117"/>
      </w:r>
      <w:r w:rsidRPr="0025250D">
        <w:rPr>
          <w:rFonts w:hint="cs"/>
          <w:rtl/>
        </w:rPr>
        <w:t xml:space="preserve"> اثر </w:t>
      </w:r>
      <w:r w:rsidRPr="0025250D">
        <w:rPr>
          <w:rtl/>
        </w:rPr>
        <w:t>دوز</w:t>
      </w:r>
      <w:r w:rsidRPr="0025250D">
        <w:rPr>
          <w:vertAlign w:val="superscript"/>
          <w:rtl/>
        </w:rPr>
        <w:footnoteReference w:id="2118"/>
      </w:r>
      <w:r w:rsidRPr="0025250D">
        <w:rPr>
          <w:rtl/>
        </w:rPr>
        <w:t xml:space="preserve"> و کوسونن</w:t>
      </w:r>
      <w:r w:rsidRPr="0025250D">
        <w:rPr>
          <w:vertAlign w:val="superscript"/>
          <w:rtl/>
        </w:rPr>
        <w:footnoteReference w:id="2119"/>
      </w:r>
      <w:r w:rsidRPr="0025250D">
        <w:rPr>
          <w:rFonts w:hint="cs"/>
          <w:rtl/>
        </w:rPr>
        <w:t xml:space="preserve"> در سال 2008 و </w:t>
      </w:r>
      <w:r w:rsidR="00B56611" w:rsidRPr="0025250D">
        <w:rPr>
          <w:rFonts w:hint="cs"/>
          <w:rtl/>
        </w:rPr>
        <w:t>شتاب‌گیری</w:t>
      </w:r>
      <w:r w:rsidRPr="0025250D">
        <w:rPr>
          <w:vertAlign w:val="superscript"/>
          <w:rtl/>
        </w:rPr>
        <w:footnoteReference w:id="2120"/>
      </w:r>
      <w:r w:rsidRPr="0025250D">
        <w:rPr>
          <w:rFonts w:hint="cs"/>
          <w:rtl/>
        </w:rPr>
        <w:t xml:space="preserve"> اثر </w:t>
      </w:r>
      <w:r w:rsidRPr="0025250D">
        <w:rPr>
          <w:rtl/>
        </w:rPr>
        <w:t>جان کوتر</w:t>
      </w:r>
      <w:r w:rsidRPr="0025250D">
        <w:rPr>
          <w:rFonts w:hint="cs"/>
          <w:rtl/>
        </w:rPr>
        <w:t xml:space="preserve"> در سال 2014 را برای اطلاعات بیش‌تر درمورد این موضوعات ببینید.</w:t>
      </w:r>
    </w:p>
    <w:p w14:paraId="3D44BF4A" w14:textId="77777777" w:rsidR="00537CC8" w:rsidRPr="0025250D" w:rsidRDefault="00537CC8" w:rsidP="00537CC8">
      <w:pPr>
        <w:rPr>
          <w:rtl/>
        </w:rPr>
      </w:pPr>
      <w:r w:rsidRPr="0025250D">
        <w:rPr>
          <w:rFonts w:hint="cs"/>
          <w:rtl/>
        </w:rPr>
        <w:t xml:space="preserve">در یک عمر یادگیری با پشت کار، با بسیاری از حقایق روشنگرانه، تأثیر گذار یا متحول کننده خود آشنا می‌شویم. برخی از این‌ها می‌توانند به ما برای ایجاد تغییراتی در خودمان، شرکت هایمان، صنایعمان و جهانمان کمک کنند. این که با این حقایق چه خواهیم کرد </w:t>
      </w:r>
      <w:r w:rsidRPr="0025250D">
        <w:rPr>
          <w:rFonts w:cs="Times New Roman" w:hint="cs"/>
          <w:rtl/>
        </w:rPr>
        <w:t>–</w:t>
      </w:r>
      <w:r w:rsidRPr="0025250D">
        <w:rPr>
          <w:rFonts w:hint="cs"/>
          <w:rtl/>
        </w:rPr>
        <w:t xml:space="preserve"> این که آن‌ها را با دیگران به اشتراک بگذاریم و یا آن‌ها را در حلقه‌های انجام ادغام کنیم </w:t>
      </w:r>
      <w:r w:rsidRPr="0025250D">
        <w:rPr>
          <w:rFonts w:cs="Times New Roman" w:hint="cs"/>
          <w:rtl/>
        </w:rPr>
        <w:t>–</w:t>
      </w:r>
      <w:r w:rsidRPr="0025250D">
        <w:rPr>
          <w:rFonts w:hint="cs"/>
          <w:rtl/>
        </w:rPr>
        <w:t xml:space="preserve"> به خودمان بستگی دارد.</w:t>
      </w:r>
    </w:p>
    <w:p w14:paraId="116B4BA2" w14:textId="631315DA" w:rsidR="00537CC8" w:rsidRPr="0025250D" w:rsidRDefault="00537CC8" w:rsidP="00D53F87">
      <w:pPr>
        <w:pStyle w:val="Heading3"/>
        <w:rPr>
          <w:rtl/>
        </w:rPr>
      </w:pPr>
      <w:r w:rsidRPr="0025250D">
        <w:rPr>
          <w:rFonts w:hint="cs"/>
          <w:rtl/>
        </w:rPr>
        <w:t xml:space="preserve">مهارت 2. </w:t>
      </w:r>
      <w:r w:rsidR="00923DDB" w:rsidRPr="0025250D">
        <w:rPr>
          <w:rFonts w:hint="cs"/>
          <w:u w:val="single"/>
          <w:rtl/>
        </w:rPr>
        <w:t>پیش‌انگاری</w:t>
      </w:r>
      <w:r w:rsidRPr="0025250D">
        <w:rPr>
          <w:rFonts w:hint="cs"/>
          <w:rtl/>
        </w:rPr>
        <w:t xml:space="preserve"> (تفکر موارد محتمل)</w:t>
      </w:r>
    </w:p>
    <w:p w14:paraId="5C413FD8" w14:textId="07966C15" w:rsidR="00537CC8" w:rsidRPr="0025250D" w:rsidRDefault="00537CC8" w:rsidP="00537CC8">
      <w:pPr>
        <w:rPr>
          <w:rtl/>
        </w:rPr>
      </w:pPr>
      <w:r w:rsidRPr="0025250D">
        <w:rPr>
          <w:rFonts w:hint="cs"/>
          <w:rtl/>
        </w:rPr>
        <w:t xml:space="preserve">در مدل </w:t>
      </w:r>
      <w:r w:rsidRPr="0025250D">
        <w:rPr>
          <w:rtl/>
        </w:rPr>
        <w:t xml:space="preserve">تکاملی - توسعه‌ای </w:t>
      </w:r>
      <w:r w:rsidRPr="0025250D">
        <w:rPr>
          <w:rFonts w:hint="cs"/>
          <w:rtl/>
        </w:rPr>
        <w:t xml:space="preserve">از </w:t>
      </w:r>
      <w:r w:rsidR="008D6F97" w:rsidRPr="0025250D">
        <w:rPr>
          <w:rFonts w:hint="cs"/>
          <w:rtl/>
        </w:rPr>
        <w:t>سامانه‌</w:t>
      </w:r>
      <w:r w:rsidRPr="0025250D">
        <w:rPr>
          <w:rFonts w:hint="cs"/>
          <w:rtl/>
        </w:rPr>
        <w:t xml:space="preserve">‌های پیچیده، تنها تفکر </w:t>
      </w:r>
      <w:r w:rsidRPr="0025250D">
        <w:rPr>
          <w:rtl/>
        </w:rPr>
        <w:t>آینده‌نگاری</w:t>
      </w:r>
      <w:r w:rsidRPr="0025250D">
        <w:rPr>
          <w:rFonts w:hint="cs"/>
          <w:rtl/>
        </w:rPr>
        <w:t xml:space="preserve"> و مهارت عملی که به‌اندازه کاوش و تولید موارد ممکن بنیادی می‌باشد، کاوش و تولید موارد محتمل است </w:t>
      </w:r>
      <w:r w:rsidRPr="0025250D">
        <w:rPr>
          <w:rFonts w:cs="Times New Roman" w:hint="cs"/>
          <w:rtl/>
        </w:rPr>
        <w:t>–</w:t>
      </w:r>
      <w:r w:rsidRPr="0025250D">
        <w:rPr>
          <w:rFonts w:hint="cs"/>
          <w:rtl/>
        </w:rPr>
        <w:t xml:space="preserve"> که معمولا باید ابتدا انجام شود، زیرا کارایی و </w:t>
      </w:r>
      <w:r w:rsidR="00923DDB" w:rsidRPr="0025250D">
        <w:rPr>
          <w:rFonts w:hint="cs"/>
          <w:rtl/>
        </w:rPr>
        <w:t>اثربخشی</w:t>
      </w:r>
      <w:r w:rsidRPr="0025250D">
        <w:rPr>
          <w:rFonts w:hint="cs"/>
          <w:rtl/>
        </w:rPr>
        <w:t xml:space="preserve"> را افزایش می‌دهد. حتی با این وجود که ممکن است ما تنها بتوانیم به شکل مفیدی 5 درصد یا کمی بیش‌تر از آینده را در هر زمان در محیط‌های مختلف </w:t>
      </w:r>
      <w:r w:rsidR="00D92F6E" w:rsidRPr="0025250D">
        <w:rPr>
          <w:rFonts w:hint="cs"/>
          <w:rtl/>
        </w:rPr>
        <w:t>پیش‌بین</w:t>
      </w:r>
      <w:r w:rsidRPr="0025250D">
        <w:rPr>
          <w:rFonts w:hint="cs"/>
          <w:rtl/>
        </w:rPr>
        <w:t xml:space="preserve">ی کنیم، </w:t>
      </w:r>
      <w:r w:rsidR="007118DE" w:rsidRPr="0025250D">
        <w:rPr>
          <w:rFonts w:hint="cs"/>
          <w:rtl/>
        </w:rPr>
        <w:t>همان‌طور</w:t>
      </w:r>
      <w:r w:rsidRPr="0025250D">
        <w:rPr>
          <w:rFonts w:hint="cs"/>
          <w:rtl/>
        </w:rPr>
        <w:t xml:space="preserve"> که قانون 95/5 بیان می‌کند، یافتن این مجموعه خاص از عناصر قابل </w:t>
      </w:r>
      <w:r w:rsidR="00D92F6E" w:rsidRPr="0025250D">
        <w:rPr>
          <w:rFonts w:hint="cs"/>
          <w:rtl/>
        </w:rPr>
        <w:t>پیش‌بین</w:t>
      </w:r>
      <w:r w:rsidRPr="0025250D">
        <w:rPr>
          <w:rFonts w:hint="cs"/>
          <w:rtl/>
        </w:rPr>
        <w:t xml:space="preserve">ی </w:t>
      </w:r>
      <w:r w:rsidRPr="0025250D">
        <w:rPr>
          <w:rFonts w:cs="Times New Roman" w:hint="cs"/>
          <w:rtl/>
        </w:rPr>
        <w:t>–</w:t>
      </w:r>
      <w:r w:rsidRPr="0025250D">
        <w:rPr>
          <w:rFonts w:hint="cs"/>
          <w:rtl/>
        </w:rPr>
        <w:t xml:space="preserve"> از جمله مواردی که در حال حاضر در حال </w:t>
      </w:r>
      <w:r w:rsidR="00B56611" w:rsidRPr="0025250D">
        <w:rPr>
          <w:rFonts w:hint="cs"/>
          <w:rtl/>
        </w:rPr>
        <w:t>شتاب‌گیری</w:t>
      </w:r>
      <w:r w:rsidRPr="0025250D">
        <w:rPr>
          <w:rFonts w:hint="cs"/>
          <w:rtl/>
        </w:rPr>
        <w:t xml:space="preserve">، همگرایی و پدیدار شدن هستند </w:t>
      </w:r>
      <w:r w:rsidRPr="0025250D">
        <w:rPr>
          <w:rFonts w:cs="Times New Roman" w:hint="cs"/>
          <w:rtl/>
        </w:rPr>
        <w:t>–</w:t>
      </w:r>
      <w:r w:rsidRPr="0025250D">
        <w:rPr>
          <w:rFonts w:hint="cs"/>
          <w:rtl/>
        </w:rPr>
        <w:t xml:space="preserve"> و مرز‌های غیر قطعی حول عناصر کم‌تر قابل </w:t>
      </w:r>
      <w:r w:rsidR="00D92F6E" w:rsidRPr="0025250D">
        <w:rPr>
          <w:rFonts w:hint="cs"/>
          <w:rtl/>
        </w:rPr>
        <w:t>پیش‌بین</w:t>
      </w:r>
      <w:r w:rsidRPr="0025250D">
        <w:rPr>
          <w:rFonts w:hint="cs"/>
          <w:rtl/>
        </w:rPr>
        <w:t xml:space="preserve">ی، </w:t>
      </w:r>
      <w:r w:rsidR="00B13F65" w:rsidRPr="0025250D">
        <w:rPr>
          <w:rFonts w:hint="cs"/>
          <w:rtl/>
        </w:rPr>
        <w:t>چارچوب</w:t>
      </w:r>
      <w:r w:rsidRPr="0025250D">
        <w:rPr>
          <w:rFonts w:hint="cs"/>
          <w:rtl/>
        </w:rPr>
        <w:t xml:space="preserve">ی از قیود درمورد آینده و یک مزیت حیاتی در </w:t>
      </w:r>
      <w:r w:rsidR="00701E03" w:rsidRPr="0025250D">
        <w:rPr>
          <w:rFonts w:hint="cs"/>
          <w:rtl/>
        </w:rPr>
        <w:t>راهبرد</w:t>
      </w:r>
      <w:r w:rsidRPr="0025250D">
        <w:rPr>
          <w:rFonts w:hint="cs"/>
          <w:rtl/>
        </w:rPr>
        <w:t xml:space="preserve"> و عمل را برای ما ایجاد می‌کنند. به‌عنوان مثالی از </w:t>
      </w:r>
      <w:r w:rsidR="00923DDB" w:rsidRPr="0025250D">
        <w:rPr>
          <w:rFonts w:hint="cs"/>
          <w:rtl/>
        </w:rPr>
        <w:t>پیش‌انگاری</w:t>
      </w:r>
      <w:r w:rsidRPr="0025250D">
        <w:rPr>
          <w:rFonts w:hint="cs"/>
          <w:rtl/>
        </w:rPr>
        <w:t xml:space="preserve"> </w:t>
      </w:r>
      <w:r w:rsidR="00F50EB4" w:rsidRPr="0025250D">
        <w:rPr>
          <w:rFonts w:hint="cs"/>
          <w:rtl/>
        </w:rPr>
        <w:t>سرمایه‌گذاری</w:t>
      </w:r>
      <w:r w:rsidRPr="0025250D">
        <w:rPr>
          <w:rFonts w:hint="cs"/>
          <w:rtl/>
        </w:rPr>
        <w:t xml:space="preserve"> با دسترسی آزاد خوب، کتاب از عناوین تا روندها: </w:t>
      </w:r>
      <w:r w:rsidR="00F50EB4" w:rsidRPr="0025250D">
        <w:rPr>
          <w:rFonts w:hint="cs"/>
          <w:rtl/>
        </w:rPr>
        <w:t>سرمایه‌گذاری</w:t>
      </w:r>
      <w:r w:rsidRPr="0025250D">
        <w:rPr>
          <w:rFonts w:hint="cs"/>
          <w:rtl/>
        </w:rPr>
        <w:t xml:space="preserve"> بلند مدت برای افزایش ثروت</w:t>
      </w:r>
      <w:r w:rsidRPr="0025250D">
        <w:rPr>
          <w:vertAlign w:val="superscript"/>
          <w:rtl/>
        </w:rPr>
        <w:footnoteReference w:id="2121"/>
      </w:r>
      <w:r w:rsidRPr="0025250D">
        <w:rPr>
          <w:rFonts w:hint="cs"/>
          <w:rtl/>
        </w:rPr>
        <w:t xml:space="preserve"> اثر </w:t>
      </w:r>
      <w:r w:rsidRPr="0025250D">
        <w:rPr>
          <w:rtl/>
        </w:rPr>
        <w:t>توماس ها</w:t>
      </w:r>
      <w:r w:rsidRPr="0025250D">
        <w:rPr>
          <w:rFonts w:hint="cs"/>
          <w:rtl/>
        </w:rPr>
        <w:t>ی</w:t>
      </w:r>
      <w:r w:rsidRPr="0025250D">
        <w:rPr>
          <w:rFonts w:hint="eastAsia"/>
          <w:rtl/>
        </w:rPr>
        <w:t>نل</w:t>
      </w:r>
      <w:r w:rsidRPr="0025250D">
        <w:rPr>
          <w:rFonts w:hint="cs"/>
          <w:rtl/>
        </w:rPr>
        <w:t>ی</w:t>
      </w:r>
      <w:r w:rsidRPr="0025250D">
        <w:rPr>
          <w:rFonts w:hint="eastAsia"/>
          <w:rtl/>
        </w:rPr>
        <w:t>ن</w:t>
      </w:r>
      <w:r w:rsidRPr="0025250D">
        <w:rPr>
          <w:vertAlign w:val="superscript"/>
          <w:rtl/>
        </w:rPr>
        <w:footnoteReference w:id="2122"/>
      </w:r>
      <w:r w:rsidRPr="0025250D">
        <w:rPr>
          <w:rFonts w:hint="cs"/>
          <w:rtl/>
        </w:rPr>
        <w:t xml:space="preserve"> در سال 2013 را بخوانید. هرچه اطلاعات با کیفیت‌تری از طریق اینترنت قابل دسترسی باشند و مدل‌های ما بیشتر مبتنی بر شواهد باشند، جنبه‌های کلیدی بیش‌تری از آینده نزدیک ما هم قابل </w:t>
      </w:r>
      <w:r w:rsidR="00D92F6E" w:rsidRPr="0025250D">
        <w:rPr>
          <w:rFonts w:hint="cs"/>
          <w:rtl/>
        </w:rPr>
        <w:t>پیش‌بین</w:t>
      </w:r>
      <w:r w:rsidRPr="0025250D">
        <w:rPr>
          <w:rFonts w:hint="cs"/>
          <w:rtl/>
        </w:rPr>
        <w:t>ی شده و هم درک آن سودمند می‌شود.</w:t>
      </w:r>
    </w:p>
    <w:p w14:paraId="4E3B31F0" w14:textId="46F04CD5" w:rsidR="00537CC8" w:rsidRPr="0025250D" w:rsidRDefault="00537CC8" w:rsidP="00537CC8">
      <w:pPr>
        <w:rPr>
          <w:rtl/>
        </w:rPr>
      </w:pPr>
      <w:r w:rsidRPr="0025250D">
        <w:rPr>
          <w:rFonts w:hint="cs"/>
          <w:rtl/>
        </w:rPr>
        <w:t xml:space="preserve">رئیس جمهور سابق آمریکا </w:t>
      </w:r>
      <w:r w:rsidRPr="0025250D">
        <w:rPr>
          <w:rtl/>
        </w:rPr>
        <w:t>ب</w:t>
      </w:r>
      <w:r w:rsidRPr="0025250D">
        <w:rPr>
          <w:rFonts w:hint="cs"/>
          <w:rtl/>
        </w:rPr>
        <w:t>ی</w:t>
      </w:r>
      <w:r w:rsidRPr="0025250D">
        <w:rPr>
          <w:rFonts w:hint="eastAsia"/>
          <w:rtl/>
        </w:rPr>
        <w:t>ل</w:t>
      </w:r>
      <w:r w:rsidRPr="0025250D">
        <w:rPr>
          <w:rtl/>
        </w:rPr>
        <w:t xml:space="preserve"> کل</w:t>
      </w:r>
      <w:r w:rsidRPr="0025250D">
        <w:rPr>
          <w:rFonts w:hint="cs"/>
          <w:rtl/>
        </w:rPr>
        <w:t>ی</w:t>
      </w:r>
      <w:r w:rsidRPr="0025250D">
        <w:rPr>
          <w:rFonts w:hint="eastAsia"/>
          <w:rtl/>
        </w:rPr>
        <w:t>نتون</w:t>
      </w:r>
      <w:r w:rsidRPr="0025250D">
        <w:rPr>
          <w:vertAlign w:val="superscript"/>
          <w:rtl/>
        </w:rPr>
        <w:footnoteReference w:id="2123"/>
      </w:r>
      <w:r w:rsidRPr="0025250D">
        <w:rPr>
          <w:rFonts w:hint="cs"/>
          <w:rtl/>
        </w:rPr>
        <w:t xml:space="preserve">، رئیس طرح جهانی </w:t>
      </w:r>
      <w:r w:rsidRPr="0025250D">
        <w:rPr>
          <w:rtl/>
        </w:rPr>
        <w:t>کل</w:t>
      </w:r>
      <w:r w:rsidRPr="0025250D">
        <w:rPr>
          <w:rFonts w:hint="cs"/>
          <w:rtl/>
        </w:rPr>
        <w:t>ی</w:t>
      </w:r>
      <w:r w:rsidRPr="0025250D">
        <w:rPr>
          <w:rFonts w:hint="eastAsia"/>
          <w:rtl/>
        </w:rPr>
        <w:t>نتون</w:t>
      </w:r>
      <w:r w:rsidRPr="0025250D">
        <w:rPr>
          <w:rFonts w:hint="cs"/>
          <w:rtl/>
        </w:rPr>
        <w:t>، تمایل دارد بگوید که پیش انگار‌ها باید یاد بگیرند که به فراتر از عناوین که اغلب دارای سوگیری هستند بنگرند تا روند‌ها و خط روندها</w:t>
      </w:r>
      <w:r w:rsidRPr="0025250D">
        <w:rPr>
          <w:vertAlign w:val="superscript"/>
          <w:rtl/>
        </w:rPr>
        <w:footnoteReference w:id="2124"/>
      </w:r>
      <w:r w:rsidRPr="0025250D">
        <w:rPr>
          <w:rFonts w:hint="cs"/>
          <w:rtl/>
        </w:rPr>
        <w:t xml:space="preserve"> که اغلب بر خلاف جهت آنچه رسانه به دلایلی که به نفع خودش است به تصویر می‌کشد را ببینند. بسیاری از ویراستاران این قاعده کلی را که </w:t>
      </w:r>
      <w:r w:rsidR="00E402E3" w:rsidRPr="0025250D">
        <w:rPr>
          <w:rtl/>
        </w:rPr>
        <w:t>«</w:t>
      </w:r>
      <w:r w:rsidRPr="0025250D">
        <w:rPr>
          <w:rFonts w:hint="cs"/>
          <w:rtl/>
        </w:rPr>
        <w:t>اخبار بد فروش خوبی دارند</w:t>
      </w:r>
      <w:r w:rsidR="00E402E3" w:rsidRPr="0025250D">
        <w:rPr>
          <w:rtl/>
        </w:rPr>
        <w:t>»</w:t>
      </w:r>
      <w:r w:rsidRPr="0025250D">
        <w:rPr>
          <w:rFonts w:hint="cs"/>
          <w:rtl/>
        </w:rPr>
        <w:t xml:space="preserve"> می‌دانند. </w:t>
      </w:r>
      <w:r w:rsidRPr="0025250D">
        <w:rPr>
          <w:rtl/>
        </w:rPr>
        <w:t>آینده‌نگ</w:t>
      </w:r>
      <w:r w:rsidRPr="0025250D">
        <w:rPr>
          <w:rFonts w:hint="cs"/>
          <w:rtl/>
        </w:rPr>
        <w:t>اران متخصص می‌دانند که بیش‌تر جنبه‌های جهان مدرن ما به طور میانگین ایمن‌تر، پایدار‌تر، غنی‌تر</w:t>
      </w:r>
      <w:r w:rsidR="008D6F97" w:rsidRPr="0025250D">
        <w:rPr>
          <w:rtl/>
        </w:rPr>
        <w:t xml:space="preserve"> </w:t>
      </w:r>
      <w:r w:rsidRPr="0025250D">
        <w:rPr>
          <w:rFonts w:hint="cs"/>
          <w:rtl/>
        </w:rPr>
        <w:t>و پاکیزه‌تر شده‌اند</w:t>
      </w:r>
      <w:r w:rsidR="008D6F97" w:rsidRPr="0025250D">
        <w:rPr>
          <w:rtl/>
        </w:rPr>
        <w:t xml:space="preserve">؛ </w:t>
      </w:r>
      <w:r w:rsidR="0020589F" w:rsidRPr="0025250D">
        <w:rPr>
          <w:rtl/>
        </w:rPr>
        <w:t>اما</w:t>
      </w:r>
      <w:r w:rsidRPr="0025250D">
        <w:rPr>
          <w:rFonts w:hint="cs"/>
          <w:rtl/>
        </w:rPr>
        <w:t xml:space="preserve"> روندها موجب فروش بیشتر روزنامه‌ها نمی‌شوند، بنابراین عناوین خبری بیش‌تر فعالیت‌های سیاسی و اقتصادی را در بر می‌گیرند. در نتیجه، ما با نسبت به ریسک‌ها و خطرات کوچکتر حساس می‌شویم. یک روزنه امید در این حساسیت بیش از حد این است که عناوین </w:t>
      </w:r>
      <w:r w:rsidRPr="0025250D">
        <w:rPr>
          <w:rFonts w:cs="Times New Roman" w:hint="cs"/>
          <w:rtl/>
        </w:rPr>
        <w:t>–</w:t>
      </w:r>
      <w:r w:rsidRPr="0025250D">
        <w:rPr>
          <w:rFonts w:hint="cs"/>
          <w:rtl/>
        </w:rPr>
        <w:t xml:space="preserve"> حتی با وجود این که درک ما را منحرف می‌کنند </w:t>
      </w:r>
      <w:r w:rsidRPr="0025250D">
        <w:rPr>
          <w:rFonts w:cs="Times New Roman" w:hint="cs"/>
          <w:rtl/>
        </w:rPr>
        <w:t>–</w:t>
      </w:r>
      <w:r w:rsidRPr="0025250D">
        <w:rPr>
          <w:rFonts w:hint="cs"/>
          <w:rtl/>
        </w:rPr>
        <w:t xml:space="preserve"> تمایل به تشویق ما به سمت یک جهان امن‌تر و بهتر دارند.</w:t>
      </w:r>
    </w:p>
    <w:p w14:paraId="4FF79050" w14:textId="523E5A0E" w:rsidR="00537CC8" w:rsidRPr="0025250D" w:rsidRDefault="00537CC8" w:rsidP="00537CC8">
      <w:pPr>
        <w:rPr>
          <w:rtl/>
        </w:rPr>
      </w:pPr>
      <w:r w:rsidRPr="0025250D">
        <w:rPr>
          <w:rFonts w:hint="cs"/>
          <w:rtl/>
        </w:rPr>
        <w:t xml:space="preserve">علم داده و یادگیری ماشین اولین تخصص‌هایی (در ترتیب الفبایی) هستند که ما می‌خواهیم در </w:t>
      </w:r>
      <w:r w:rsidR="00923DDB" w:rsidRPr="0025250D">
        <w:rPr>
          <w:rFonts w:hint="cs"/>
          <w:rtl/>
        </w:rPr>
        <w:t>پیش‌انگاری</w:t>
      </w:r>
      <w:r w:rsidRPr="0025250D">
        <w:rPr>
          <w:rFonts w:hint="cs"/>
          <w:rtl/>
        </w:rPr>
        <w:t xml:space="preserve"> به آن‌ها توجه کنیم. از زمان ظهور اینترنت در دهه 1990، کلان داده</w:t>
      </w:r>
      <w:r w:rsidRPr="0025250D">
        <w:rPr>
          <w:vertAlign w:val="superscript"/>
          <w:rtl/>
        </w:rPr>
        <w:footnoteReference w:id="2125"/>
      </w:r>
      <w:r w:rsidRPr="0025250D">
        <w:rPr>
          <w:rFonts w:hint="cs"/>
          <w:rtl/>
        </w:rPr>
        <w:t xml:space="preserve"> در سال 2000 و پردازش و محاسبات ابری و یادگیری ماشین در دهه 2010، این تخصص به سریع‌ترین مورد از نظر بهبود و پر تقاضا‌ترین مورد در میان تخصص‌های </w:t>
      </w:r>
      <w:r w:rsidR="00923DDB" w:rsidRPr="0025250D">
        <w:rPr>
          <w:rFonts w:hint="cs"/>
          <w:rtl/>
        </w:rPr>
        <w:t>پیش‌انگاری</w:t>
      </w:r>
      <w:r w:rsidRPr="0025250D">
        <w:rPr>
          <w:rFonts w:hint="cs"/>
          <w:rtl/>
        </w:rPr>
        <w:t xml:space="preserve"> تبدیل شده است. رشد داده‌های آزاد و توانایی هوش‌های ماشینی الهام گرفته از بیولوژی فزاینده ما برای استفاده از داده‌های غیر ساختار بندی شده نیز توسعه‌های جدید عمده‌ای هستند. </w:t>
      </w:r>
      <w:r w:rsidRPr="0025250D">
        <w:t>BPF</w:t>
      </w:r>
      <w:r w:rsidRPr="0025250D">
        <w:rPr>
          <w:rFonts w:hint="cs"/>
          <w:rtl/>
        </w:rPr>
        <w:t xml:space="preserve"> را برای حدس‌هایی درمورد آینده گسترده‌تر این </w:t>
      </w:r>
      <w:r w:rsidR="007A53FD" w:rsidRPr="0025250D">
        <w:rPr>
          <w:rFonts w:hint="cs"/>
          <w:rtl/>
        </w:rPr>
        <w:t>فناوری</w:t>
      </w:r>
      <w:r w:rsidRPr="0025250D">
        <w:rPr>
          <w:rFonts w:hint="cs"/>
          <w:rtl/>
        </w:rPr>
        <w:t>‌ها ببینید.</w:t>
      </w:r>
    </w:p>
    <w:p w14:paraId="67683BE1" w14:textId="627D6BDB" w:rsidR="00537CC8" w:rsidRPr="0025250D" w:rsidRDefault="00537CC8" w:rsidP="00537CC8">
      <w:pPr>
        <w:rPr>
          <w:rtl/>
        </w:rPr>
      </w:pPr>
      <w:r w:rsidRPr="0025250D">
        <w:rPr>
          <w:rFonts w:hint="cs"/>
          <w:rtl/>
        </w:rPr>
        <w:t>رهبران یادگیری ماشین عمیق، مانند دیپ مایند</w:t>
      </w:r>
      <w:r w:rsidRPr="0025250D">
        <w:rPr>
          <w:vertAlign w:val="superscript"/>
          <w:rtl/>
        </w:rPr>
        <w:footnoteReference w:id="2126"/>
      </w:r>
      <w:r w:rsidRPr="0025250D">
        <w:rPr>
          <w:rFonts w:hint="cs"/>
          <w:rtl/>
        </w:rPr>
        <w:t xml:space="preserve"> از شرکت گوگل، شرکت‌های یادگیری ماشین به‌عنوان خدمات مانند </w:t>
      </w:r>
      <w:r w:rsidRPr="0025250D">
        <w:t>Wise.io</w:t>
      </w:r>
      <w:r w:rsidRPr="0025250D">
        <w:rPr>
          <w:rFonts w:hint="cs"/>
          <w:rtl/>
        </w:rPr>
        <w:t>، شرکت‌های تحلیل متنی مانند فکتیال</w:t>
      </w:r>
      <w:r w:rsidRPr="0025250D">
        <w:rPr>
          <w:vertAlign w:val="superscript"/>
          <w:rtl/>
        </w:rPr>
        <w:footnoteReference w:id="2127"/>
      </w:r>
      <w:r w:rsidRPr="0025250D">
        <w:rPr>
          <w:rFonts w:hint="cs"/>
          <w:rtl/>
        </w:rPr>
        <w:t xml:space="preserve"> و کویید</w:t>
      </w:r>
      <w:r w:rsidRPr="0025250D">
        <w:rPr>
          <w:vertAlign w:val="superscript"/>
          <w:rtl/>
        </w:rPr>
        <w:footnoteReference w:id="2128"/>
      </w:r>
      <w:r w:rsidRPr="0025250D">
        <w:rPr>
          <w:rFonts w:hint="cs"/>
          <w:rtl/>
        </w:rPr>
        <w:t xml:space="preserve">، شرکت‌های بازاریابی </w:t>
      </w:r>
      <w:r w:rsidR="00D92F6E" w:rsidRPr="0025250D">
        <w:rPr>
          <w:rFonts w:hint="cs"/>
          <w:rtl/>
        </w:rPr>
        <w:t>پیش‌بین</w:t>
      </w:r>
      <w:r w:rsidRPr="0025250D">
        <w:rPr>
          <w:rFonts w:hint="cs"/>
          <w:rtl/>
        </w:rPr>
        <w:t xml:space="preserve">ی کننده مانند </w:t>
      </w:r>
      <w:r w:rsidRPr="0025250D">
        <w:rPr>
          <w:rtl/>
        </w:rPr>
        <w:t>نت ب</w:t>
      </w:r>
      <w:r w:rsidRPr="0025250D">
        <w:rPr>
          <w:rFonts w:hint="cs"/>
          <w:rtl/>
        </w:rPr>
        <w:t>ی</w:t>
      </w:r>
      <w:r w:rsidRPr="0025250D">
        <w:rPr>
          <w:rFonts w:hint="eastAsia"/>
          <w:rtl/>
        </w:rPr>
        <w:t>س</w:t>
      </w:r>
      <w:r w:rsidRPr="0025250D">
        <w:rPr>
          <w:vertAlign w:val="superscript"/>
          <w:rtl/>
        </w:rPr>
        <w:footnoteReference w:id="2129"/>
      </w:r>
      <w:r w:rsidRPr="0025250D">
        <w:rPr>
          <w:rFonts w:hint="cs"/>
          <w:rtl/>
        </w:rPr>
        <w:t xml:space="preserve"> و لیداسپیس</w:t>
      </w:r>
      <w:r w:rsidRPr="0025250D">
        <w:rPr>
          <w:vertAlign w:val="superscript"/>
          <w:rtl/>
        </w:rPr>
        <w:footnoteReference w:id="2130"/>
      </w:r>
      <w:r w:rsidRPr="0025250D">
        <w:rPr>
          <w:rFonts w:hint="cs"/>
          <w:rtl/>
        </w:rPr>
        <w:t xml:space="preserve"> و پلتفرم‌های ارزیابی تهدید و هوش انسانی-ماشینی مانند</w:t>
      </w:r>
      <w:r w:rsidR="008D6F97" w:rsidRPr="0025250D">
        <w:rPr>
          <w:rtl/>
        </w:rPr>
        <w:t xml:space="preserve"> </w:t>
      </w:r>
      <w:r w:rsidRPr="0025250D">
        <w:rPr>
          <w:rtl/>
        </w:rPr>
        <w:t>پالانت</w:t>
      </w:r>
      <w:r w:rsidRPr="0025250D">
        <w:rPr>
          <w:rFonts w:hint="cs"/>
          <w:rtl/>
        </w:rPr>
        <w:t>ی</w:t>
      </w:r>
      <w:r w:rsidRPr="0025250D">
        <w:rPr>
          <w:rFonts w:hint="eastAsia"/>
          <w:rtl/>
        </w:rPr>
        <w:t>ر</w:t>
      </w:r>
      <w:r w:rsidRPr="0025250D">
        <w:rPr>
          <w:rFonts w:hint="cs"/>
          <w:rtl/>
        </w:rPr>
        <w:t xml:space="preserve"> و رکوردد فیوچر، تنها تعداد اندکی از پیشتازان در این حوزه هستند </w:t>
      </w:r>
      <w:r w:rsidRPr="0025250D">
        <w:rPr>
          <w:rFonts w:cs="Times New Roman" w:hint="cs"/>
          <w:rtl/>
        </w:rPr>
        <w:t>–</w:t>
      </w:r>
      <w:r w:rsidRPr="0025250D">
        <w:rPr>
          <w:rFonts w:hint="cs"/>
          <w:rtl/>
        </w:rPr>
        <w:t xml:space="preserve"> حوزه‌ای که شاهد </w:t>
      </w:r>
      <w:r w:rsidR="00F50EB4" w:rsidRPr="0025250D">
        <w:rPr>
          <w:rFonts w:hint="cs"/>
          <w:rtl/>
        </w:rPr>
        <w:t>سرمایه‌گذاری</w:t>
      </w:r>
      <w:r w:rsidRPr="0025250D">
        <w:rPr>
          <w:rFonts w:hint="cs"/>
          <w:rtl/>
        </w:rPr>
        <w:t xml:space="preserve"> و گسترش نمایی است.</w:t>
      </w:r>
    </w:p>
    <w:p w14:paraId="24CE1961" w14:textId="1D10FA13" w:rsidR="00537CC8" w:rsidRPr="0025250D" w:rsidRDefault="00537CC8" w:rsidP="00537CC8">
      <w:pPr>
        <w:rPr>
          <w:rtl/>
        </w:rPr>
      </w:pPr>
      <w:r w:rsidRPr="0025250D">
        <w:rPr>
          <w:rFonts w:hint="cs"/>
          <w:rtl/>
        </w:rPr>
        <w:t>یک جامعه خوب برای عضویت، جامعه علم داده باز</w:t>
      </w:r>
      <w:r w:rsidRPr="0025250D">
        <w:rPr>
          <w:vertAlign w:val="superscript"/>
          <w:rtl/>
        </w:rPr>
        <w:footnoteReference w:id="2131"/>
      </w:r>
      <w:r w:rsidRPr="0025250D">
        <w:rPr>
          <w:rFonts w:hint="cs"/>
          <w:rtl/>
        </w:rPr>
        <w:t xml:space="preserve"> (</w:t>
      </w:r>
      <w:r w:rsidRPr="0025250D">
        <w:t>OSDC</w:t>
      </w:r>
      <w:r w:rsidRPr="0025250D">
        <w:rPr>
          <w:rFonts w:hint="cs"/>
          <w:rtl/>
        </w:rPr>
        <w:t xml:space="preserve">) می‌باشد. شرکت در کنفرانس علم داده باز را در نظر داشته باشید. علم داده همچنین شامل تجزیه و تحلیل </w:t>
      </w:r>
      <w:r w:rsidR="00D92F6E" w:rsidRPr="0025250D">
        <w:rPr>
          <w:rFonts w:hint="cs"/>
          <w:rtl/>
        </w:rPr>
        <w:t>پیش‌بین</w:t>
      </w:r>
      <w:r w:rsidRPr="0025250D">
        <w:rPr>
          <w:rFonts w:hint="cs"/>
          <w:rtl/>
        </w:rPr>
        <w:t xml:space="preserve"> (</w:t>
      </w:r>
      <w:r w:rsidRPr="0025250D">
        <w:t>PA</w:t>
      </w:r>
      <w:r w:rsidRPr="0025250D">
        <w:rPr>
          <w:rFonts w:hint="cs"/>
          <w:rtl/>
        </w:rPr>
        <w:t xml:space="preserve">) می‌شود. جهان تجزیه و تحلیل </w:t>
      </w:r>
      <w:r w:rsidR="00D92F6E" w:rsidRPr="0025250D">
        <w:rPr>
          <w:rFonts w:hint="cs"/>
          <w:rtl/>
        </w:rPr>
        <w:t>پیش‌بین</w:t>
      </w:r>
      <w:r w:rsidRPr="0025250D">
        <w:rPr>
          <w:vertAlign w:val="superscript"/>
          <w:rtl/>
        </w:rPr>
        <w:footnoteReference w:id="2132"/>
      </w:r>
      <w:r w:rsidRPr="0025250D">
        <w:rPr>
          <w:rFonts w:hint="cs"/>
          <w:rtl/>
        </w:rPr>
        <w:t xml:space="preserve"> یک رویداد چند صنعتی</w:t>
      </w:r>
      <w:r w:rsidRPr="0025250D">
        <w:rPr>
          <w:vertAlign w:val="superscript"/>
          <w:rtl/>
        </w:rPr>
        <w:footnoteReference w:id="2133"/>
      </w:r>
      <w:r w:rsidRPr="0025250D">
        <w:rPr>
          <w:rFonts w:hint="cs"/>
          <w:rtl/>
        </w:rPr>
        <w:t xml:space="preserve"> برتر برای متخصصین تجزیه و تحلیل </w:t>
      </w:r>
      <w:r w:rsidR="00D92F6E" w:rsidRPr="0025250D">
        <w:rPr>
          <w:rFonts w:hint="cs"/>
          <w:rtl/>
        </w:rPr>
        <w:t>پیش‌بین</w:t>
      </w:r>
      <w:r w:rsidRPr="0025250D">
        <w:rPr>
          <w:rFonts w:hint="cs"/>
          <w:rtl/>
        </w:rPr>
        <w:t xml:space="preserve"> است که توسط </w:t>
      </w:r>
      <w:r w:rsidRPr="0025250D">
        <w:rPr>
          <w:rtl/>
        </w:rPr>
        <w:t>ار</w:t>
      </w:r>
      <w:r w:rsidRPr="0025250D">
        <w:rPr>
          <w:rFonts w:hint="cs"/>
          <w:rtl/>
        </w:rPr>
        <w:t>ی</w:t>
      </w:r>
      <w:r w:rsidRPr="0025250D">
        <w:rPr>
          <w:rFonts w:hint="eastAsia"/>
          <w:rtl/>
        </w:rPr>
        <w:t>ک</w:t>
      </w:r>
      <w:r w:rsidRPr="0025250D">
        <w:rPr>
          <w:rtl/>
        </w:rPr>
        <w:t xml:space="preserve"> س</w:t>
      </w:r>
      <w:r w:rsidRPr="0025250D">
        <w:rPr>
          <w:rFonts w:hint="cs"/>
          <w:rtl/>
        </w:rPr>
        <w:t>ی</w:t>
      </w:r>
      <w:r w:rsidRPr="0025250D">
        <w:rPr>
          <w:rFonts w:hint="eastAsia"/>
          <w:rtl/>
        </w:rPr>
        <w:t>گل</w:t>
      </w:r>
      <w:r w:rsidRPr="0025250D">
        <w:rPr>
          <w:vertAlign w:val="superscript"/>
          <w:rtl/>
        </w:rPr>
        <w:footnoteReference w:id="2134"/>
      </w:r>
      <w:r w:rsidRPr="0025250D">
        <w:rPr>
          <w:rFonts w:hint="cs"/>
          <w:rtl/>
        </w:rPr>
        <w:t xml:space="preserve"> برگزار می‌شود. ما معرفی غیر تخصصی او بر این زمینه</w:t>
      </w:r>
      <w:r w:rsidR="006B38A4" w:rsidRPr="0025250D">
        <w:rPr>
          <w:rFonts w:hint="cs"/>
          <w:rtl/>
        </w:rPr>
        <w:t xml:space="preserve"> با عنوان</w:t>
      </w:r>
      <w:r w:rsidRPr="0025250D">
        <w:rPr>
          <w:rFonts w:hint="cs"/>
          <w:rtl/>
        </w:rPr>
        <w:t xml:space="preserve"> تجزیه و تحلیل </w:t>
      </w:r>
      <w:r w:rsidR="00D92F6E" w:rsidRPr="0025250D">
        <w:rPr>
          <w:rFonts w:hint="cs"/>
          <w:rtl/>
        </w:rPr>
        <w:t>پیش‌بین</w:t>
      </w:r>
      <w:r w:rsidRPr="0025250D">
        <w:rPr>
          <w:rFonts w:hint="cs"/>
          <w:rtl/>
        </w:rPr>
        <w:t xml:space="preserve"> در سال 2016 را توصیه می‌کنیم.</w:t>
      </w:r>
    </w:p>
    <w:p w14:paraId="11B074A2" w14:textId="56564953" w:rsidR="00537CC8" w:rsidRPr="0025250D" w:rsidRDefault="00FB6A7E" w:rsidP="00537CC8">
      <w:pPr>
        <w:rPr>
          <w:rtl/>
        </w:rPr>
      </w:pPr>
      <w:r w:rsidRPr="0025250D">
        <w:rPr>
          <w:rFonts w:hint="cs"/>
          <w:rtl/>
        </w:rPr>
        <w:t>پیش‌نگری</w:t>
      </w:r>
      <w:r w:rsidR="00537CC8" w:rsidRPr="0025250D">
        <w:rPr>
          <w:rFonts w:hint="cs"/>
          <w:rtl/>
        </w:rPr>
        <w:t xml:space="preserve"> و </w:t>
      </w:r>
      <w:r w:rsidR="00D92F6E" w:rsidRPr="0025250D">
        <w:rPr>
          <w:rFonts w:hint="cs"/>
          <w:rtl/>
        </w:rPr>
        <w:t>پیش‌بین</w:t>
      </w:r>
      <w:r w:rsidR="00537CC8" w:rsidRPr="0025250D">
        <w:rPr>
          <w:rFonts w:hint="cs"/>
          <w:rtl/>
        </w:rPr>
        <w:t xml:space="preserve">ی شناخته شده‌ترین کارکرد‌های </w:t>
      </w:r>
      <w:r w:rsidR="00923DDB" w:rsidRPr="0025250D">
        <w:rPr>
          <w:rFonts w:hint="cs"/>
          <w:rtl/>
        </w:rPr>
        <w:t>پیش‌انگاری</w:t>
      </w:r>
      <w:r w:rsidR="00537CC8" w:rsidRPr="0025250D">
        <w:rPr>
          <w:rFonts w:hint="cs"/>
          <w:rtl/>
        </w:rPr>
        <w:t xml:space="preserve"> هستند </w:t>
      </w:r>
      <w:r w:rsidR="00537CC8" w:rsidRPr="0025250D">
        <w:rPr>
          <w:rFonts w:cs="Times New Roman" w:hint="cs"/>
          <w:rtl/>
        </w:rPr>
        <w:t>–</w:t>
      </w:r>
      <w:r w:rsidR="00537CC8" w:rsidRPr="0025250D">
        <w:rPr>
          <w:rFonts w:hint="cs"/>
          <w:rtl/>
        </w:rPr>
        <w:t xml:space="preserve"> اگرچه مورد دوم جذابیت بسیار بیش‌تری در سازمان‌ها دارد زیرا بسیاری از مردم هنوز از این که </w:t>
      </w:r>
      <w:r w:rsidR="00D92F6E" w:rsidRPr="0025250D">
        <w:rPr>
          <w:rFonts w:hint="cs"/>
          <w:rtl/>
        </w:rPr>
        <w:t>پیش‌بین</w:t>
      </w:r>
      <w:r w:rsidR="00537CC8" w:rsidRPr="0025250D">
        <w:rPr>
          <w:rFonts w:hint="cs"/>
          <w:rtl/>
        </w:rPr>
        <w:t xml:space="preserve">ی جمعی چقدر عالی کار می‌کند ناآگاه هستند </w:t>
      </w:r>
      <w:r w:rsidR="00537CC8" w:rsidRPr="0025250D">
        <w:rPr>
          <w:rFonts w:cs="Times New Roman" w:hint="cs"/>
          <w:rtl/>
        </w:rPr>
        <w:t>–</w:t>
      </w:r>
      <w:r w:rsidR="00537CC8" w:rsidRPr="0025250D">
        <w:rPr>
          <w:rFonts w:hint="cs"/>
          <w:rtl/>
        </w:rPr>
        <w:t xml:space="preserve"> </w:t>
      </w:r>
      <w:r w:rsidR="007118DE" w:rsidRPr="0025250D">
        <w:rPr>
          <w:rFonts w:hint="cs"/>
          <w:rtl/>
        </w:rPr>
        <w:t>همان‌طور</w:t>
      </w:r>
      <w:r w:rsidR="00537CC8" w:rsidRPr="0025250D">
        <w:rPr>
          <w:rFonts w:hint="cs"/>
          <w:rtl/>
        </w:rPr>
        <w:t xml:space="preserve"> که تحت عنوان هوش جمعی درمورد آن بحث کردیم. مؤسسه بین المللی </w:t>
      </w:r>
      <w:r w:rsidR="0008779C" w:rsidRPr="0025250D">
        <w:rPr>
          <w:rFonts w:hint="cs"/>
          <w:rtl/>
        </w:rPr>
        <w:t>پیش‌نگر</w:t>
      </w:r>
      <w:r w:rsidR="00537CC8" w:rsidRPr="0025250D">
        <w:rPr>
          <w:rFonts w:hint="cs"/>
          <w:rtl/>
        </w:rPr>
        <w:t xml:space="preserve"> ها</w:t>
      </w:r>
      <w:r w:rsidR="00537CC8" w:rsidRPr="0025250D">
        <w:rPr>
          <w:vertAlign w:val="superscript"/>
          <w:rtl/>
        </w:rPr>
        <w:footnoteReference w:id="2135"/>
      </w:r>
      <w:r w:rsidR="00537CC8" w:rsidRPr="0025250D">
        <w:rPr>
          <w:rFonts w:hint="cs"/>
          <w:rtl/>
        </w:rPr>
        <w:t xml:space="preserve"> (</w:t>
      </w:r>
      <w:r w:rsidR="00537CC8" w:rsidRPr="0025250D">
        <w:t>IFF</w:t>
      </w:r>
      <w:r w:rsidR="00537CC8" w:rsidRPr="0025250D">
        <w:rPr>
          <w:rFonts w:hint="cs"/>
          <w:rtl/>
        </w:rPr>
        <w:t xml:space="preserve">) و </w:t>
      </w:r>
      <w:r w:rsidR="00537CC8" w:rsidRPr="0025250D">
        <w:t>ForecastingPrinciples.com</w:t>
      </w:r>
      <w:r w:rsidR="00537CC8" w:rsidRPr="0025250D">
        <w:rPr>
          <w:rFonts w:hint="cs"/>
          <w:rtl/>
        </w:rPr>
        <w:t xml:space="preserve"> اثر </w:t>
      </w:r>
      <w:r w:rsidR="00537CC8" w:rsidRPr="0025250D">
        <w:rPr>
          <w:rtl/>
        </w:rPr>
        <w:t>اسکات آرمسترانگ</w:t>
      </w:r>
      <w:r w:rsidR="00537CC8" w:rsidRPr="0025250D">
        <w:rPr>
          <w:vertAlign w:val="superscript"/>
          <w:rtl/>
        </w:rPr>
        <w:footnoteReference w:id="2136"/>
      </w:r>
      <w:r w:rsidR="00537CC8" w:rsidRPr="0025250D">
        <w:rPr>
          <w:rFonts w:hint="cs"/>
          <w:rtl/>
        </w:rPr>
        <w:t xml:space="preserve"> دو جامعه عملی عالی هستند. یک کتاب عالی درمورد قدرت </w:t>
      </w:r>
      <w:r w:rsidR="00D92F6E" w:rsidRPr="0025250D">
        <w:rPr>
          <w:rFonts w:hint="cs"/>
          <w:rtl/>
        </w:rPr>
        <w:t>پیش‌بین</w:t>
      </w:r>
      <w:r w:rsidR="00537CC8" w:rsidRPr="0025250D">
        <w:rPr>
          <w:rFonts w:hint="cs"/>
          <w:rtl/>
        </w:rPr>
        <w:t xml:space="preserve">ی جمعی کتاب ابر </w:t>
      </w:r>
      <w:r w:rsidRPr="0025250D">
        <w:rPr>
          <w:rFonts w:hint="cs"/>
          <w:rtl/>
        </w:rPr>
        <w:t>پیش‌نگری</w:t>
      </w:r>
      <w:r w:rsidR="00537CC8" w:rsidRPr="0025250D">
        <w:rPr>
          <w:rFonts w:hint="cs"/>
          <w:rtl/>
        </w:rPr>
        <w:t xml:space="preserve">: هنر و علم </w:t>
      </w:r>
      <w:r w:rsidR="00D92F6E" w:rsidRPr="0025250D">
        <w:rPr>
          <w:rFonts w:hint="cs"/>
          <w:rtl/>
        </w:rPr>
        <w:t>پیش‌بین</w:t>
      </w:r>
      <w:r w:rsidR="00537CC8" w:rsidRPr="0025250D">
        <w:rPr>
          <w:rFonts w:hint="cs"/>
          <w:rtl/>
        </w:rPr>
        <w:t>ی</w:t>
      </w:r>
      <w:r w:rsidR="00537CC8" w:rsidRPr="0025250D">
        <w:rPr>
          <w:vertAlign w:val="superscript"/>
          <w:rtl/>
        </w:rPr>
        <w:footnoteReference w:id="2137"/>
      </w:r>
      <w:r w:rsidR="00537CC8" w:rsidRPr="0025250D">
        <w:rPr>
          <w:rFonts w:hint="cs"/>
          <w:rtl/>
        </w:rPr>
        <w:t xml:space="preserve"> اثر </w:t>
      </w:r>
      <w:r w:rsidR="00537CC8" w:rsidRPr="0025250D">
        <w:rPr>
          <w:rtl/>
        </w:rPr>
        <w:t>تتلاک و گاردنر</w:t>
      </w:r>
      <w:r w:rsidR="00537CC8" w:rsidRPr="0025250D">
        <w:rPr>
          <w:rFonts w:hint="cs"/>
          <w:rtl/>
        </w:rPr>
        <w:t xml:space="preserve"> در سال 2016 است.</w:t>
      </w:r>
    </w:p>
    <w:p w14:paraId="39772EE3" w14:textId="1B0E9A14" w:rsidR="00537CC8" w:rsidRPr="0025250D" w:rsidRDefault="007118DE" w:rsidP="00537CC8">
      <w:pPr>
        <w:rPr>
          <w:rtl/>
        </w:rPr>
      </w:pPr>
      <w:r w:rsidRPr="0025250D">
        <w:rPr>
          <w:rFonts w:hint="cs"/>
          <w:rtl/>
        </w:rPr>
        <w:t>همان‌طور</w:t>
      </w:r>
      <w:r w:rsidR="00537CC8" w:rsidRPr="0025250D">
        <w:rPr>
          <w:rFonts w:hint="cs"/>
          <w:rtl/>
        </w:rPr>
        <w:t xml:space="preserve"> که </w:t>
      </w:r>
      <w:r w:rsidR="00D92F6E" w:rsidRPr="0025250D">
        <w:rPr>
          <w:rFonts w:hint="cs"/>
          <w:rtl/>
        </w:rPr>
        <w:t>آینده‌پژوه</w:t>
      </w:r>
      <w:r w:rsidR="00537CC8" w:rsidRPr="0025250D">
        <w:rPr>
          <w:rFonts w:hint="cs"/>
          <w:rtl/>
        </w:rPr>
        <w:t xml:space="preserve"> </w:t>
      </w:r>
      <w:r w:rsidR="00537CC8" w:rsidRPr="0025250D">
        <w:rPr>
          <w:rtl/>
        </w:rPr>
        <w:t>پل سافو</w:t>
      </w:r>
      <w:r w:rsidR="00537CC8" w:rsidRPr="0025250D">
        <w:rPr>
          <w:vertAlign w:val="superscript"/>
          <w:rtl/>
        </w:rPr>
        <w:footnoteReference w:id="2138"/>
      </w:r>
      <w:r w:rsidR="00537CC8" w:rsidRPr="0025250D">
        <w:rPr>
          <w:rFonts w:hint="cs"/>
          <w:rtl/>
        </w:rPr>
        <w:t xml:space="preserve"> می‌گوید، برای تبحر در </w:t>
      </w:r>
      <w:r w:rsidR="00FB6A7E" w:rsidRPr="0025250D">
        <w:rPr>
          <w:rFonts w:hint="cs"/>
          <w:rtl/>
        </w:rPr>
        <w:t>پیش‌نگری</w:t>
      </w:r>
      <w:r w:rsidR="00537CC8" w:rsidRPr="0025250D">
        <w:rPr>
          <w:rFonts w:hint="cs"/>
          <w:rtl/>
        </w:rPr>
        <w:t xml:space="preserve"> و </w:t>
      </w:r>
      <w:r w:rsidR="00D92F6E" w:rsidRPr="0025250D">
        <w:rPr>
          <w:rFonts w:hint="cs"/>
          <w:rtl/>
        </w:rPr>
        <w:t>پیش‌بین</w:t>
      </w:r>
      <w:r w:rsidR="00537CC8" w:rsidRPr="0025250D">
        <w:rPr>
          <w:rFonts w:hint="cs"/>
          <w:rtl/>
        </w:rPr>
        <w:t xml:space="preserve">ی ما باید اغلب آن را انجام دهیم و بر روی موضوعاتی که می‌توانیم به‌خوبی مدل سازی کنیم (به صورت ذهنی یا رسمی) باقی بمانیم، سوگیری‌های خود را درک کرده و اقدام به مقابله با آن‌ها بنماییم و با بازبینی و تحلیل پس از </w:t>
      </w:r>
      <w:r w:rsidR="00FB6A7E" w:rsidRPr="0025250D">
        <w:rPr>
          <w:rFonts w:hint="cs"/>
          <w:rtl/>
        </w:rPr>
        <w:t>پیش‌نگری</w:t>
      </w:r>
      <w:r w:rsidR="00537CC8" w:rsidRPr="0025250D">
        <w:rPr>
          <w:rFonts w:hint="cs"/>
          <w:rtl/>
        </w:rPr>
        <w:t xml:space="preserve"> به کار خود ادامه دهیم. 6 قانون برای </w:t>
      </w:r>
      <w:r w:rsidR="00FB6A7E" w:rsidRPr="0025250D">
        <w:rPr>
          <w:rFonts w:hint="cs"/>
          <w:rtl/>
        </w:rPr>
        <w:t>پیش‌نگری</w:t>
      </w:r>
      <w:r w:rsidR="00537CC8" w:rsidRPr="0025250D">
        <w:rPr>
          <w:rFonts w:hint="cs"/>
          <w:rtl/>
        </w:rPr>
        <w:t xml:space="preserve"> اثربخش</w:t>
      </w:r>
      <w:r w:rsidR="00537CC8" w:rsidRPr="0025250D">
        <w:rPr>
          <w:vertAlign w:val="superscript"/>
          <w:rtl/>
        </w:rPr>
        <w:footnoteReference w:id="2139"/>
      </w:r>
      <w:r w:rsidR="00537CC8" w:rsidRPr="0025250D">
        <w:rPr>
          <w:rFonts w:hint="cs"/>
          <w:rtl/>
        </w:rPr>
        <w:t xml:space="preserve">، اثر </w:t>
      </w:r>
      <w:r w:rsidR="00537CC8" w:rsidRPr="0025250D">
        <w:rPr>
          <w:rtl/>
        </w:rPr>
        <w:t>سافو</w:t>
      </w:r>
      <w:r w:rsidR="00537CC8" w:rsidRPr="0025250D">
        <w:rPr>
          <w:rFonts w:hint="cs"/>
          <w:rtl/>
        </w:rPr>
        <w:t xml:space="preserve"> در مجله </w:t>
      </w:r>
      <w:r w:rsidR="00537CC8" w:rsidRPr="0025250D">
        <w:rPr>
          <w:rtl/>
        </w:rPr>
        <w:t>هاروارد ب</w:t>
      </w:r>
      <w:r w:rsidR="00537CC8" w:rsidRPr="0025250D">
        <w:rPr>
          <w:rFonts w:hint="cs"/>
          <w:rtl/>
        </w:rPr>
        <w:t>ی</w:t>
      </w:r>
      <w:r w:rsidR="00537CC8" w:rsidRPr="0025250D">
        <w:rPr>
          <w:rFonts w:hint="eastAsia"/>
          <w:rtl/>
        </w:rPr>
        <w:t>ز</w:t>
      </w:r>
      <w:r w:rsidR="00537CC8" w:rsidRPr="0025250D">
        <w:rPr>
          <w:rFonts w:hint="cs"/>
          <w:rtl/>
        </w:rPr>
        <w:t>ی</w:t>
      </w:r>
      <w:r w:rsidR="00537CC8" w:rsidRPr="0025250D">
        <w:rPr>
          <w:rFonts w:hint="eastAsia"/>
          <w:rtl/>
        </w:rPr>
        <w:t>نس</w:t>
      </w:r>
      <w:r w:rsidR="00537CC8" w:rsidRPr="0025250D">
        <w:rPr>
          <w:rtl/>
        </w:rPr>
        <w:t xml:space="preserve"> ر</w:t>
      </w:r>
      <w:r w:rsidR="00537CC8" w:rsidRPr="0025250D">
        <w:rPr>
          <w:rFonts w:hint="cs"/>
          <w:rtl/>
        </w:rPr>
        <w:t>ی</w:t>
      </w:r>
      <w:r w:rsidR="00537CC8" w:rsidRPr="0025250D">
        <w:rPr>
          <w:rFonts w:hint="eastAsia"/>
          <w:rtl/>
        </w:rPr>
        <w:t>و</w:t>
      </w:r>
      <w:r w:rsidR="00537CC8" w:rsidRPr="0025250D">
        <w:rPr>
          <w:rFonts w:hint="cs"/>
          <w:rtl/>
        </w:rPr>
        <w:t>ی</w:t>
      </w:r>
      <w:r w:rsidR="00537CC8" w:rsidRPr="0025250D">
        <w:rPr>
          <w:rFonts w:hint="eastAsia"/>
          <w:rtl/>
        </w:rPr>
        <w:t>و</w:t>
      </w:r>
      <w:r w:rsidR="00537CC8" w:rsidRPr="0025250D">
        <w:rPr>
          <w:vertAlign w:val="superscript"/>
          <w:rtl/>
        </w:rPr>
        <w:footnoteReference w:id="2140"/>
      </w:r>
      <w:r w:rsidR="00537CC8" w:rsidRPr="0025250D">
        <w:rPr>
          <w:rFonts w:hint="cs"/>
          <w:rtl/>
        </w:rPr>
        <w:t xml:space="preserve"> در سال 2007 را ببینید. 6 قانون </w:t>
      </w:r>
      <w:r w:rsidR="00537CC8" w:rsidRPr="0025250D">
        <w:rPr>
          <w:rtl/>
        </w:rPr>
        <w:t>سافو</w:t>
      </w:r>
      <w:r w:rsidR="00537CC8" w:rsidRPr="0025250D">
        <w:rPr>
          <w:rFonts w:hint="cs"/>
          <w:rtl/>
        </w:rPr>
        <w:t xml:space="preserve"> این موارد هستند: 1) تعریف مخروطی از عدم قطعیت</w:t>
      </w:r>
      <w:r w:rsidR="00537CC8" w:rsidRPr="0025250D">
        <w:rPr>
          <w:vertAlign w:val="superscript"/>
          <w:rtl/>
        </w:rPr>
        <w:footnoteReference w:id="2141"/>
      </w:r>
      <w:r w:rsidR="00537CC8" w:rsidRPr="0025250D">
        <w:rPr>
          <w:rFonts w:hint="cs"/>
          <w:rtl/>
        </w:rPr>
        <w:t xml:space="preserve">، 2) جستجوی منحنی </w:t>
      </w:r>
      <w:r w:rsidR="00537CC8" w:rsidRPr="0025250D">
        <w:t>S</w:t>
      </w:r>
      <w:r w:rsidR="00537CC8" w:rsidRPr="0025250D">
        <w:rPr>
          <w:rFonts w:hint="cs"/>
          <w:rtl/>
        </w:rPr>
        <w:t xml:space="preserve">، 3) پذیرش مواردی که تناسب ندارند، 4) عدم پافشاری شدید </w:t>
      </w:r>
      <w:r w:rsidR="006B38A4" w:rsidRPr="0025250D">
        <w:rPr>
          <w:rFonts w:hint="cs"/>
          <w:rtl/>
        </w:rPr>
        <w:t>بر</w:t>
      </w:r>
      <w:r w:rsidR="00537CC8" w:rsidRPr="0025250D">
        <w:rPr>
          <w:rFonts w:hint="cs"/>
          <w:rtl/>
        </w:rPr>
        <w:t xml:space="preserve"> روی نظرات محکم، 5) داشتن نگاه به عقب دو برابر بیش‌تر از نگاه به جلو (حتی بهتر از این، نگاه به عقب تا جایی که منابع و زمان ما اجازه می‌دهند) و 6) دانستن این که چه زمانی </w:t>
      </w:r>
      <w:r w:rsidR="00FB6A7E" w:rsidRPr="0025250D">
        <w:rPr>
          <w:rFonts w:hint="cs"/>
          <w:rtl/>
        </w:rPr>
        <w:t>پیش‌نگری</w:t>
      </w:r>
      <w:r w:rsidR="00537CC8" w:rsidRPr="0025250D">
        <w:rPr>
          <w:rFonts w:hint="cs"/>
          <w:rtl/>
        </w:rPr>
        <w:t xml:space="preserve"> انجام ندهیم (دانستن این که چه زمانی بیش‌تر باید نادیده بگیریم). همه این‌ها توصیه‌های </w:t>
      </w:r>
      <w:r w:rsidR="00923DDB" w:rsidRPr="0025250D">
        <w:rPr>
          <w:rFonts w:hint="cs"/>
          <w:rtl/>
        </w:rPr>
        <w:t>پیش‌انگاری</w:t>
      </w:r>
      <w:r w:rsidR="00537CC8" w:rsidRPr="0025250D">
        <w:rPr>
          <w:rFonts w:hint="cs"/>
          <w:rtl/>
        </w:rPr>
        <w:t xml:space="preserve"> بسیار خوب هستند.</w:t>
      </w:r>
    </w:p>
    <w:p w14:paraId="2C4E919C" w14:textId="2734088A" w:rsidR="00537CC8" w:rsidRPr="0025250D" w:rsidRDefault="00537CC8" w:rsidP="00537CC8">
      <w:pPr>
        <w:rPr>
          <w:rtl/>
        </w:rPr>
      </w:pPr>
      <w:r w:rsidRPr="0025250D">
        <w:rPr>
          <w:rtl/>
        </w:rPr>
        <w:t>سافو</w:t>
      </w:r>
      <w:r w:rsidRPr="0025250D">
        <w:rPr>
          <w:rFonts w:hint="cs"/>
          <w:rtl/>
        </w:rPr>
        <w:t xml:space="preserve"> نیز این نظر رایج (و نادرست) را که </w:t>
      </w:r>
      <w:r w:rsidR="00E402E3" w:rsidRPr="0025250D">
        <w:rPr>
          <w:rtl/>
        </w:rPr>
        <w:t>«</w:t>
      </w:r>
      <w:r w:rsidR="00FB6A7E" w:rsidRPr="0025250D">
        <w:rPr>
          <w:rFonts w:hint="cs"/>
          <w:rtl/>
        </w:rPr>
        <w:t>پیش‌نگری</w:t>
      </w:r>
      <w:r w:rsidRPr="0025250D">
        <w:rPr>
          <w:rFonts w:hint="cs"/>
          <w:rtl/>
        </w:rPr>
        <w:t xml:space="preserve"> به </w:t>
      </w:r>
      <w:r w:rsidR="00D92F6E" w:rsidRPr="0025250D">
        <w:rPr>
          <w:rFonts w:hint="cs"/>
          <w:rtl/>
        </w:rPr>
        <w:t>پیش‌بین</w:t>
      </w:r>
      <w:r w:rsidRPr="0025250D">
        <w:rPr>
          <w:rFonts w:hint="cs"/>
          <w:rtl/>
        </w:rPr>
        <w:t>ی مربوط نمی‌شود</w:t>
      </w:r>
      <w:r w:rsidR="00E402E3" w:rsidRPr="0025250D">
        <w:rPr>
          <w:rtl/>
        </w:rPr>
        <w:t>»</w:t>
      </w:r>
      <w:r w:rsidRPr="0025250D">
        <w:rPr>
          <w:rFonts w:hint="cs"/>
          <w:rtl/>
        </w:rPr>
        <w:t xml:space="preserve">، می‌پذیرد اما طبق قانون 95/5 این نظر تنها 95 درصد صحیح است. ما کاملا موافقیم که </w:t>
      </w:r>
      <w:r w:rsidR="00FB6A7E" w:rsidRPr="0025250D">
        <w:rPr>
          <w:rFonts w:hint="cs"/>
          <w:rtl/>
        </w:rPr>
        <w:t>پیش‌نگری</w:t>
      </w:r>
      <w:r w:rsidRPr="0025250D">
        <w:rPr>
          <w:rFonts w:hint="cs"/>
          <w:rtl/>
        </w:rPr>
        <w:t xml:space="preserve"> برای فرایند‌ها و رویدادهای تکاملی که 95 درصد از آنچه در جهان می‌بینیم را تشکیل می‌دهند، به </w:t>
      </w:r>
      <w:r w:rsidR="00D92F6E" w:rsidRPr="0025250D">
        <w:rPr>
          <w:rFonts w:hint="cs"/>
          <w:rtl/>
        </w:rPr>
        <w:t>پیش‌بین</w:t>
      </w:r>
      <w:r w:rsidRPr="0025250D">
        <w:rPr>
          <w:rFonts w:hint="cs"/>
          <w:rtl/>
        </w:rPr>
        <w:t xml:space="preserve">ی مربوط نمی‌شود اما </w:t>
      </w:r>
      <w:r w:rsidR="00FB6A7E" w:rsidRPr="0025250D">
        <w:rPr>
          <w:rFonts w:hint="cs"/>
          <w:rtl/>
        </w:rPr>
        <w:t>پیش‌نگری</w:t>
      </w:r>
      <w:r w:rsidRPr="0025250D">
        <w:rPr>
          <w:rFonts w:hint="cs"/>
          <w:rtl/>
        </w:rPr>
        <w:t xml:space="preserve"> قطعا وقتی به دنبال یافتن 5 درصد از فرایند‌ها و رویداد</w:t>
      </w:r>
      <w:r w:rsidRPr="0025250D">
        <w:rPr>
          <w:rtl/>
        </w:rPr>
        <w:t xml:space="preserve">‌های </w:t>
      </w:r>
      <w:r w:rsidRPr="0025250D">
        <w:rPr>
          <w:rFonts w:hint="cs"/>
          <w:rtl/>
        </w:rPr>
        <w:t xml:space="preserve">توسعه‌ای باشیم که در اطراف ما پدیدار می‌شوند به </w:t>
      </w:r>
      <w:r w:rsidR="00D92F6E" w:rsidRPr="0025250D">
        <w:rPr>
          <w:rFonts w:hint="cs"/>
          <w:rtl/>
        </w:rPr>
        <w:t>پیش‌بین</w:t>
      </w:r>
      <w:r w:rsidRPr="0025250D">
        <w:rPr>
          <w:rFonts w:hint="cs"/>
          <w:rtl/>
        </w:rPr>
        <w:t>ی ارتباط دارد. نکته اینجاست که همین 5 درصد فرایند‌های توسعه‌ای در هدایت تغییرات به‌اندازه 95 درصد فرایند‌های تکاملی اهمیت دارند.</w:t>
      </w:r>
    </w:p>
    <w:p w14:paraId="5D34CAA9" w14:textId="74E46DFE" w:rsidR="00537CC8" w:rsidRPr="0025250D" w:rsidRDefault="00537CC8" w:rsidP="00537CC8">
      <w:pPr>
        <w:rPr>
          <w:rtl/>
        </w:rPr>
      </w:pPr>
      <w:r w:rsidRPr="0025250D">
        <w:rPr>
          <w:rFonts w:hint="cs"/>
          <w:rtl/>
        </w:rPr>
        <w:t xml:space="preserve">به بیان دیگر، مروری بر تاریخ </w:t>
      </w:r>
      <w:r w:rsidR="008D6F97" w:rsidRPr="0025250D">
        <w:rPr>
          <w:rFonts w:hint="cs"/>
          <w:rtl/>
        </w:rPr>
        <w:t>سامانه‌</w:t>
      </w:r>
      <w:r w:rsidRPr="0025250D">
        <w:rPr>
          <w:rFonts w:hint="cs"/>
          <w:rtl/>
        </w:rPr>
        <w:t xml:space="preserve">‌های زنده نشان می‌دهد که هم تغییرات تکاملی و هم تغییرات توسعه‌ای تقریبا تأثیرات یکسانی بر آینده دارند. این همان طریقه کارکرد پویایی </w:t>
      </w:r>
      <w:r w:rsidRPr="0025250D">
        <w:rPr>
          <w:rtl/>
        </w:rPr>
        <w:t>تکاملی - توسعه ای</w:t>
      </w:r>
      <w:r w:rsidRPr="0025250D">
        <w:rPr>
          <w:rFonts w:hint="cs"/>
          <w:rtl/>
        </w:rPr>
        <w:t xml:space="preserve">، در همه </w:t>
      </w:r>
      <w:r w:rsidR="008D6F97" w:rsidRPr="0025250D">
        <w:rPr>
          <w:rFonts w:hint="cs"/>
          <w:rtl/>
        </w:rPr>
        <w:t>سامانه‌</w:t>
      </w:r>
      <w:r w:rsidRPr="0025250D">
        <w:rPr>
          <w:rFonts w:hint="cs"/>
          <w:rtl/>
        </w:rPr>
        <w:t xml:space="preserve">‌های پیچیده </w:t>
      </w:r>
      <w:r w:rsidR="00B124DE" w:rsidRPr="0025250D">
        <w:rPr>
          <w:rFonts w:hint="cs"/>
          <w:rtl/>
        </w:rPr>
        <w:t>انطباق‌پذیر</w:t>
      </w:r>
      <w:r w:rsidR="0001088B" w:rsidRPr="0025250D">
        <w:rPr>
          <w:rFonts w:hint="cs"/>
          <w:rtl/>
        </w:rPr>
        <w:t xml:space="preserve"> از جمله سامانه‌‌ها، سازمان‌ها، فناوری‌ها یا جوامع زنده</w:t>
      </w:r>
      <w:r w:rsidRPr="0025250D">
        <w:rPr>
          <w:rFonts w:hint="cs"/>
          <w:rtl/>
        </w:rPr>
        <w:t xml:space="preserve"> است. ژن‌های توسعه‌ای در بدن‌های ما </w:t>
      </w:r>
      <w:r w:rsidRPr="0025250D">
        <w:rPr>
          <w:rFonts w:cs="Times New Roman" w:hint="cs"/>
          <w:rtl/>
        </w:rPr>
        <w:t>–</w:t>
      </w:r>
      <w:r w:rsidRPr="0025250D">
        <w:rPr>
          <w:rFonts w:hint="cs"/>
          <w:rtl/>
        </w:rPr>
        <w:t xml:space="preserve"> به ویژه ژن‌هایی که به شدت در طی هزاران سال حفاظت شده‌اند، اگرچه تنها حدود 5 درصد از ژنوم ما را تشکیل می‌دهند </w:t>
      </w:r>
      <w:r w:rsidRPr="0025250D">
        <w:rPr>
          <w:rFonts w:cs="Times New Roman" w:hint="cs"/>
          <w:rtl/>
        </w:rPr>
        <w:t>–</w:t>
      </w:r>
      <w:r w:rsidRPr="0025250D">
        <w:rPr>
          <w:rFonts w:hint="cs"/>
          <w:rtl/>
        </w:rPr>
        <w:t xml:space="preserve"> در تعریف و حفظ این که ما که هستیم به‌اندازه بقیه موارد ژنوم ما (جزء تکاملی </w:t>
      </w:r>
      <w:r w:rsidRPr="0025250D">
        <w:rPr>
          <w:rtl/>
        </w:rPr>
        <w:t xml:space="preserve">95 </w:t>
      </w:r>
      <w:r w:rsidRPr="0025250D">
        <w:rPr>
          <w:rFonts w:hint="cs"/>
          <w:rtl/>
        </w:rPr>
        <w:t>درصدی آن) اهمیت دارند.</w:t>
      </w:r>
    </w:p>
    <w:p w14:paraId="4D4FB00D" w14:textId="78BB534E" w:rsidR="00537CC8" w:rsidRPr="0025250D" w:rsidRDefault="00537CC8" w:rsidP="00537CC8">
      <w:pPr>
        <w:rPr>
          <w:rtl/>
        </w:rPr>
      </w:pPr>
      <w:r w:rsidRPr="0025250D">
        <w:rPr>
          <w:rFonts w:hint="cs"/>
          <w:rtl/>
        </w:rPr>
        <w:t>فرایند‌ها و رویدادهای توسعه‌ای (جهانی سازی، رشد اطلاعات، قانون مور</w:t>
      </w:r>
      <w:r w:rsidRPr="0025250D">
        <w:rPr>
          <w:vertAlign w:val="superscript"/>
          <w:rtl/>
        </w:rPr>
        <w:footnoteReference w:id="2142"/>
      </w:r>
      <w:r w:rsidRPr="0025250D">
        <w:rPr>
          <w:rFonts w:hint="cs"/>
          <w:rtl/>
        </w:rPr>
        <w:t xml:space="preserve">، موبایل و خدمات ابری را در نظر بگیرید)، اگرچه ممکن است تعداد کم‌تری داشته باشند، اغلب به‌اندازه عوامل و فاکتورهای محیطی، پیشران‌ها و قیود قدرتمند هستند، به طوری که با فرایند‌ها و رویدادهای تکاملی بسیار رایج‌تر در تأثیرگذاری بر روی گزینه‌ها و </w:t>
      </w:r>
      <w:r w:rsidR="00701E03" w:rsidRPr="0025250D">
        <w:rPr>
          <w:rFonts w:hint="cs"/>
          <w:rtl/>
        </w:rPr>
        <w:t>راهبرد</w:t>
      </w:r>
      <w:r w:rsidRPr="0025250D">
        <w:rPr>
          <w:rFonts w:hint="cs"/>
          <w:rtl/>
        </w:rPr>
        <w:t xml:space="preserve"> آینده رقابت می‌کنند. به یادآورید که یافتن فرایند‌ها و رویداد‌های توسعه‌ای مرتبط (محتمل، قابل </w:t>
      </w:r>
      <w:r w:rsidR="00D92F6E" w:rsidRPr="0025250D">
        <w:rPr>
          <w:rFonts w:hint="cs"/>
          <w:rtl/>
        </w:rPr>
        <w:t>پیش‌بین</w:t>
      </w:r>
      <w:r w:rsidRPr="0025250D">
        <w:rPr>
          <w:rFonts w:hint="cs"/>
          <w:rtl/>
        </w:rPr>
        <w:t xml:space="preserve">ی) هدف کانونی مهارت </w:t>
      </w:r>
      <w:r w:rsidR="00923DDB" w:rsidRPr="0025250D">
        <w:rPr>
          <w:rFonts w:hint="cs"/>
          <w:rtl/>
        </w:rPr>
        <w:t>پیش‌انگاری</w:t>
      </w:r>
      <w:r w:rsidRPr="0025250D">
        <w:rPr>
          <w:rFonts w:hint="cs"/>
          <w:rtl/>
        </w:rPr>
        <w:t xml:space="preserve"> است.</w:t>
      </w:r>
    </w:p>
    <w:p w14:paraId="0521C9D4" w14:textId="7A5C9804" w:rsidR="00537CC8" w:rsidRPr="0025250D" w:rsidRDefault="00FB6A7E" w:rsidP="00537CC8">
      <w:pPr>
        <w:rPr>
          <w:rtl/>
        </w:rPr>
      </w:pPr>
      <w:r w:rsidRPr="0025250D">
        <w:rPr>
          <w:rFonts w:hint="cs"/>
          <w:rtl/>
        </w:rPr>
        <w:t>پیش‌نگری</w:t>
      </w:r>
      <w:r w:rsidR="00537CC8" w:rsidRPr="0025250D">
        <w:rPr>
          <w:rFonts w:hint="cs"/>
          <w:rtl/>
        </w:rPr>
        <w:t xml:space="preserve"> کیفی، درصورتی که آرمانگرا باشد، همچن</w:t>
      </w:r>
      <w:r w:rsidR="0001088B" w:rsidRPr="0025250D">
        <w:rPr>
          <w:rFonts w:hint="cs"/>
          <w:rtl/>
        </w:rPr>
        <w:t>ی</w:t>
      </w:r>
      <w:r w:rsidR="00537CC8" w:rsidRPr="0025250D">
        <w:rPr>
          <w:rFonts w:hint="cs"/>
          <w:rtl/>
        </w:rPr>
        <w:t xml:space="preserve">ن </w:t>
      </w:r>
      <w:r w:rsidRPr="0025250D">
        <w:rPr>
          <w:rFonts w:hint="cs"/>
          <w:rtl/>
        </w:rPr>
        <w:t>پیش‌نگری</w:t>
      </w:r>
      <w:r w:rsidR="00537CC8" w:rsidRPr="0025250D">
        <w:rPr>
          <w:rFonts w:hint="cs"/>
          <w:rtl/>
        </w:rPr>
        <w:t xml:space="preserve"> قضاوتی</w:t>
      </w:r>
      <w:r w:rsidR="00537CC8" w:rsidRPr="0025250D">
        <w:rPr>
          <w:vertAlign w:val="superscript"/>
          <w:rtl/>
        </w:rPr>
        <w:footnoteReference w:id="2143"/>
      </w:r>
      <w:r w:rsidR="00537CC8" w:rsidRPr="0025250D">
        <w:rPr>
          <w:rFonts w:hint="cs"/>
          <w:rtl/>
        </w:rPr>
        <w:t xml:space="preserve"> یا </w:t>
      </w:r>
      <w:r w:rsidR="00B56611" w:rsidRPr="0025250D">
        <w:rPr>
          <w:rFonts w:hint="cs"/>
          <w:rtl/>
        </w:rPr>
        <w:t>چشم‌انداز</w:t>
      </w:r>
      <w:r w:rsidR="00537CC8" w:rsidRPr="0025250D">
        <w:rPr>
          <w:rFonts w:hint="cs"/>
          <w:rtl/>
        </w:rPr>
        <w:t xml:space="preserve"> سای نامیده می‌شود. انجام پیش‌نگری‌های کیفی معمولا شروع خوبی است، اما تبدیل برخی از آن‌ها به پیش‌نگری‌ها و پیش‌بینی‌های کمّی می‌تواند اغلب مهم‌ترین کار برای </w:t>
      </w:r>
      <w:r w:rsidR="00701E03" w:rsidRPr="0025250D">
        <w:rPr>
          <w:rFonts w:hint="cs"/>
          <w:rtl/>
        </w:rPr>
        <w:t>راهبرد</w:t>
      </w:r>
      <w:r w:rsidR="00537CC8" w:rsidRPr="0025250D">
        <w:rPr>
          <w:rFonts w:hint="cs"/>
          <w:rtl/>
        </w:rPr>
        <w:t xml:space="preserve"> باشد. وقتی آن‌ها به صورت خاص انجام شوند، خطای پس از وقوع آن‌ها می‌تواند </w:t>
      </w:r>
      <w:r w:rsidR="00B0171C" w:rsidRPr="0025250D">
        <w:rPr>
          <w:rFonts w:hint="cs"/>
          <w:rtl/>
        </w:rPr>
        <w:t>به‌سادگی</w:t>
      </w:r>
      <w:r w:rsidR="00537CC8" w:rsidRPr="0025250D">
        <w:rPr>
          <w:rFonts w:hint="cs"/>
          <w:rtl/>
        </w:rPr>
        <w:t xml:space="preserve"> مورد بازبینی (مهارت 8) قرار گرفته و تنظیمات و اصلاحاتی برای </w:t>
      </w:r>
      <w:r w:rsidR="00923DDB" w:rsidRPr="0025250D">
        <w:rPr>
          <w:rFonts w:hint="cs"/>
          <w:rtl/>
        </w:rPr>
        <w:t>پیش‌انگاری</w:t>
      </w:r>
      <w:r w:rsidR="00537CC8" w:rsidRPr="0025250D">
        <w:rPr>
          <w:rFonts w:hint="cs"/>
          <w:rtl/>
        </w:rPr>
        <w:t>‌های آینده انجام گیرند.</w:t>
      </w:r>
    </w:p>
    <w:p w14:paraId="7C487B17" w14:textId="64309938" w:rsidR="00537CC8" w:rsidRPr="0025250D" w:rsidRDefault="00537CC8" w:rsidP="00537CC8">
      <w:pPr>
        <w:rPr>
          <w:rtl/>
        </w:rPr>
      </w:pPr>
      <w:r w:rsidRPr="0025250D">
        <w:rPr>
          <w:rFonts w:hint="cs"/>
          <w:rtl/>
        </w:rPr>
        <w:t xml:space="preserve">مشخصاً پیش‌نگری‌های خاص </w:t>
      </w:r>
      <w:r w:rsidR="00D92F6E" w:rsidRPr="0025250D">
        <w:rPr>
          <w:rFonts w:hint="cs"/>
          <w:rtl/>
        </w:rPr>
        <w:t>پیش‌بین</w:t>
      </w:r>
      <w:r w:rsidRPr="0025250D">
        <w:rPr>
          <w:rFonts w:hint="cs"/>
          <w:rtl/>
        </w:rPr>
        <w:t xml:space="preserve">ی نامیده می‌شوند. میزان خاص بودن آن‌ها این موارد را مشخصاً ارزشمند و نیز پر ریسک می‌سازد. در نتیجه، بیش‌تر جامعه </w:t>
      </w:r>
      <w:r w:rsidRPr="0025250D">
        <w:rPr>
          <w:rtl/>
        </w:rPr>
        <w:t>آینده‌نگاری</w:t>
      </w:r>
      <w:r w:rsidRPr="0025250D">
        <w:rPr>
          <w:rFonts w:hint="cs"/>
          <w:rtl/>
        </w:rPr>
        <w:t xml:space="preserve"> تخصصی آن‌ها را به‌ندرت انجام می‌دهد</w:t>
      </w:r>
      <w:r w:rsidR="008D6F97" w:rsidRPr="0025250D">
        <w:rPr>
          <w:rtl/>
        </w:rPr>
        <w:t xml:space="preserve">؛ </w:t>
      </w:r>
      <w:r w:rsidRPr="0025250D">
        <w:rPr>
          <w:rFonts w:hint="cs"/>
          <w:rtl/>
        </w:rPr>
        <w:t xml:space="preserve">اما با وجود نادر بودن، هنوز پویایی‌های پنهان ارزشمندی وجود دارند که می‌توانند در هر وضعیت آینده </w:t>
      </w:r>
      <w:r w:rsidR="008D6F97" w:rsidRPr="0025250D">
        <w:rPr>
          <w:rFonts w:hint="cs"/>
          <w:rtl/>
        </w:rPr>
        <w:t>سامانه‌</w:t>
      </w:r>
      <w:r w:rsidRPr="0025250D">
        <w:rPr>
          <w:rFonts w:hint="cs"/>
          <w:rtl/>
        </w:rPr>
        <w:t xml:space="preserve"> شناسایی شوند. این پیش‌بینی‌های غیر ظاهری هستند که از جزئیات پنهانی سرچشمه می‌گیرند و از دید دیگران پنهان مانده اند و می‌توانند اغلب در </w:t>
      </w:r>
      <w:r w:rsidR="00701E03" w:rsidRPr="0025250D">
        <w:rPr>
          <w:rFonts w:hint="cs"/>
          <w:rtl/>
        </w:rPr>
        <w:t>راهبرد</w:t>
      </w:r>
      <w:r w:rsidRPr="0025250D">
        <w:rPr>
          <w:rFonts w:hint="cs"/>
          <w:rtl/>
        </w:rPr>
        <w:t>، برنامه‌ها و اعمال کارسپارنمان بیش‌ترین فایده را داشته باشند.</w:t>
      </w:r>
    </w:p>
    <w:p w14:paraId="03A72096" w14:textId="07CCD9F4" w:rsidR="00537CC8" w:rsidRPr="0025250D" w:rsidRDefault="00537CC8" w:rsidP="00537CC8">
      <w:pPr>
        <w:rPr>
          <w:rtl/>
        </w:rPr>
      </w:pPr>
      <w:r w:rsidRPr="0025250D">
        <w:rPr>
          <w:rFonts w:hint="cs"/>
          <w:rtl/>
        </w:rPr>
        <w:t xml:space="preserve">برخی متخصصین </w:t>
      </w:r>
      <w:r w:rsidRPr="0025250D">
        <w:rPr>
          <w:rtl/>
        </w:rPr>
        <w:t>آینده‌نگاری</w:t>
      </w:r>
      <w:r w:rsidRPr="0025250D">
        <w:rPr>
          <w:rFonts w:hint="cs"/>
          <w:rtl/>
        </w:rPr>
        <w:t xml:space="preserve">، متأسفانه، حتی تلاش می‌کنند که همکاران خود را قانع کنند که </w:t>
      </w:r>
      <w:r w:rsidR="00D92F6E" w:rsidRPr="0025250D">
        <w:rPr>
          <w:rFonts w:hint="cs"/>
          <w:rtl/>
        </w:rPr>
        <w:t>پیش‌بین</w:t>
      </w:r>
      <w:r w:rsidRPr="0025250D">
        <w:rPr>
          <w:rFonts w:hint="cs"/>
          <w:rtl/>
        </w:rPr>
        <w:t xml:space="preserve">ی کار ما نیست. این نکته کاملا نادرست است. هر </w:t>
      </w:r>
      <w:r w:rsidR="00D92F6E" w:rsidRPr="0025250D">
        <w:rPr>
          <w:rFonts w:hint="cs"/>
          <w:rtl/>
        </w:rPr>
        <w:t>آینده‌نگاری</w:t>
      </w:r>
      <w:r w:rsidRPr="0025250D">
        <w:rPr>
          <w:rFonts w:hint="cs"/>
          <w:rtl/>
        </w:rPr>
        <w:t xml:space="preserve"> که یک شگقتی ساز را پیشنهاد می‌کند</w:t>
      </w:r>
      <w:r w:rsidR="0001088B" w:rsidRPr="0025250D">
        <w:rPr>
          <w:rFonts w:hint="cs"/>
          <w:rtl/>
        </w:rPr>
        <w:t>،</w:t>
      </w:r>
      <w:r w:rsidRPr="0025250D">
        <w:rPr>
          <w:rFonts w:hint="cs"/>
          <w:rtl/>
        </w:rPr>
        <w:t xml:space="preserve"> </w:t>
      </w:r>
      <w:r w:rsidR="0001088B" w:rsidRPr="0025250D">
        <w:rPr>
          <w:rFonts w:hint="cs"/>
          <w:rtl/>
        </w:rPr>
        <w:t>بیان می کند</w:t>
      </w:r>
      <w:r w:rsidRPr="0025250D">
        <w:rPr>
          <w:rFonts w:hint="cs"/>
          <w:rtl/>
        </w:rPr>
        <w:t xml:space="preserve"> که </w:t>
      </w:r>
      <w:r w:rsidR="0001088B" w:rsidRPr="0025250D">
        <w:rPr>
          <w:rFonts w:hint="cs"/>
          <w:rtl/>
        </w:rPr>
        <w:t xml:space="preserve">یک </w:t>
      </w:r>
      <w:r w:rsidRPr="0025250D">
        <w:rPr>
          <w:rFonts w:hint="cs"/>
          <w:rtl/>
        </w:rPr>
        <w:t xml:space="preserve">آینده مشخص یک رویداد با احتمال کم اما با تأثیر زیاد </w:t>
      </w:r>
      <w:r w:rsidR="0001088B" w:rsidRPr="0025250D">
        <w:rPr>
          <w:rFonts w:hint="cs"/>
          <w:rtl/>
        </w:rPr>
        <w:t>خواهد بود</w:t>
      </w:r>
      <w:r w:rsidRPr="0025250D">
        <w:rPr>
          <w:rFonts w:hint="cs"/>
          <w:rtl/>
        </w:rPr>
        <w:t xml:space="preserve">. این یک </w:t>
      </w:r>
      <w:r w:rsidR="00D92F6E" w:rsidRPr="0025250D">
        <w:rPr>
          <w:rFonts w:hint="cs"/>
          <w:rtl/>
        </w:rPr>
        <w:t>پیش‌بین</w:t>
      </w:r>
      <w:r w:rsidRPr="0025250D">
        <w:rPr>
          <w:rFonts w:hint="cs"/>
          <w:rtl/>
        </w:rPr>
        <w:t xml:space="preserve">ی است. اگر ما بخواهیم در </w:t>
      </w:r>
      <w:r w:rsidR="00FB6A7E" w:rsidRPr="0025250D">
        <w:rPr>
          <w:rFonts w:hint="cs"/>
          <w:rtl/>
        </w:rPr>
        <w:t>پیش‌نگری</w:t>
      </w:r>
      <w:r w:rsidRPr="0025250D">
        <w:rPr>
          <w:rFonts w:hint="cs"/>
          <w:rtl/>
        </w:rPr>
        <w:t xml:space="preserve"> و </w:t>
      </w:r>
      <w:r w:rsidR="00D92F6E" w:rsidRPr="0025250D">
        <w:rPr>
          <w:rFonts w:hint="cs"/>
          <w:rtl/>
        </w:rPr>
        <w:t>پیش‌بین</w:t>
      </w:r>
      <w:r w:rsidRPr="0025250D">
        <w:rPr>
          <w:rFonts w:hint="cs"/>
          <w:rtl/>
        </w:rPr>
        <w:t xml:space="preserve">ی بهتر شویم، باید درمورد این که هم اکنون چقدر این کار را انجام می‌دهیم با خود صادق باشیم و تلاش کنیم که موارد محتمل را به کار </w:t>
      </w:r>
      <w:r w:rsidR="00923DDB" w:rsidRPr="0025250D">
        <w:rPr>
          <w:rFonts w:hint="cs"/>
          <w:rtl/>
        </w:rPr>
        <w:t>پیش‌انگاری</w:t>
      </w:r>
      <w:r w:rsidRPr="0025250D">
        <w:rPr>
          <w:rFonts w:hint="cs"/>
          <w:rtl/>
        </w:rPr>
        <w:t xml:space="preserve"> خود اختصاص دهیم. اگر همه آنچه ما در حال حاضر می‌توانیم از آینده ببینیم پیش‌بینی‌هایی با احتمال کم باشند، گفتگو در مورد آن‌ها بسیار بهتر از این است که اصلا </w:t>
      </w:r>
      <w:r w:rsidR="00D92F6E" w:rsidRPr="0025250D">
        <w:rPr>
          <w:rFonts w:hint="cs"/>
          <w:rtl/>
        </w:rPr>
        <w:t>پیش‌بین</w:t>
      </w:r>
      <w:r w:rsidRPr="0025250D">
        <w:rPr>
          <w:rFonts w:hint="cs"/>
          <w:rtl/>
        </w:rPr>
        <w:t>ی انجام ندهیم.</w:t>
      </w:r>
    </w:p>
    <w:p w14:paraId="3D99DE74" w14:textId="77777777" w:rsidR="00537CC8" w:rsidRPr="0025250D" w:rsidRDefault="00537CC8" w:rsidP="00D53F87">
      <w:pPr>
        <w:jc w:val="center"/>
        <w:rPr>
          <w:rtl/>
        </w:rPr>
      </w:pPr>
      <w:r w:rsidRPr="0025250D">
        <w:rPr>
          <w:noProof/>
          <w:rtl/>
          <w:lang w:bidi="ar-SA"/>
        </w:rPr>
        <w:drawing>
          <wp:inline distT="0" distB="0" distL="0" distR="0" wp14:anchorId="7EBB5CC3" wp14:editId="1B2FC2D1">
            <wp:extent cx="1421130" cy="2095500"/>
            <wp:effectExtent l="0" t="0" r="7620" b="0"/>
            <wp:docPr id="119" name="Picture 119" descr="D:\کار\مستقل\3 ( ترجمه ی دانشگاه تهران  )\Introduction to Foresight\part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5\17.png"/>
                    <pic:cNvPicPr>
                      <a:picLocks noChangeAspect="1" noChangeArrowheads="1"/>
                    </pic:cNvPicPr>
                  </pic:nvPicPr>
                  <pic:blipFill rotWithShape="1">
                    <a:blip r:embed="rId186" cstate="screen">
                      <a:extLst>
                        <a:ext uri="{BEBA8EAE-BF5A-486C-A8C5-ECC9F3942E4B}">
                          <a14:imgProps xmlns:a14="http://schemas.microsoft.com/office/drawing/2010/main">
                            <a14:imgLayer r:embed="rId187">
                              <a14:imgEffect>
                                <a14:saturation sat="0"/>
                              </a14:imgEffect>
                            </a14:imgLayer>
                          </a14:imgProps>
                        </a:ext>
                        <a:ext uri="{28A0092B-C50C-407E-A947-70E740481C1C}">
                          <a14:useLocalDpi xmlns:a14="http://schemas.microsoft.com/office/drawing/2010/main"/>
                        </a:ext>
                      </a:extLst>
                    </a:blip>
                    <a:srcRect/>
                    <a:stretch/>
                  </pic:blipFill>
                  <pic:spPr bwMode="auto">
                    <a:xfrm>
                      <a:off x="0" y="0"/>
                      <a:ext cx="1425261" cy="2101591"/>
                    </a:xfrm>
                    <a:prstGeom prst="rect">
                      <a:avLst/>
                    </a:prstGeom>
                    <a:noFill/>
                    <a:ln>
                      <a:noFill/>
                    </a:ln>
                    <a:extLst>
                      <a:ext uri="{53640926-AAD7-44D8-BBD7-CCE9431645EC}">
                        <a14:shadowObscured xmlns:a14="http://schemas.microsoft.com/office/drawing/2010/main"/>
                      </a:ext>
                    </a:extLst>
                  </pic:spPr>
                </pic:pic>
              </a:graphicData>
            </a:graphic>
          </wp:inline>
        </w:drawing>
      </w:r>
    </w:p>
    <w:p w14:paraId="52F7D850" w14:textId="77777777" w:rsidR="00537CC8" w:rsidRPr="0025250D" w:rsidRDefault="00537CC8" w:rsidP="00D53F87">
      <w:pPr>
        <w:jc w:val="center"/>
        <w:rPr>
          <w:rtl/>
        </w:rPr>
      </w:pPr>
      <w:r w:rsidRPr="0025250D">
        <w:rPr>
          <w:rtl/>
        </w:rPr>
        <w:t>فل</w:t>
      </w:r>
      <w:r w:rsidRPr="0025250D">
        <w:rPr>
          <w:rFonts w:hint="cs"/>
          <w:rtl/>
        </w:rPr>
        <w:t>ی</w:t>
      </w:r>
      <w:r w:rsidRPr="0025250D">
        <w:rPr>
          <w:rFonts w:hint="eastAsia"/>
          <w:rtl/>
        </w:rPr>
        <w:t>وب</w:t>
      </w:r>
      <w:r w:rsidRPr="0025250D">
        <w:rPr>
          <w:rFonts w:hint="cs"/>
          <w:rtl/>
        </w:rPr>
        <w:t>ی</w:t>
      </w:r>
      <w:r w:rsidRPr="0025250D">
        <w:rPr>
          <w:rFonts w:hint="eastAsia"/>
          <w:rtl/>
        </w:rPr>
        <w:t>رگ</w:t>
      </w:r>
      <w:r w:rsidRPr="0025250D">
        <w:rPr>
          <w:rFonts w:hint="cs"/>
          <w:rtl/>
        </w:rPr>
        <w:t>، 2003</w:t>
      </w:r>
    </w:p>
    <w:p w14:paraId="09325C8B" w14:textId="0D2D1392" w:rsidR="00537CC8" w:rsidRPr="0025250D" w:rsidRDefault="00FB6A7E" w:rsidP="00537CC8">
      <w:pPr>
        <w:rPr>
          <w:rtl/>
        </w:rPr>
      </w:pPr>
      <w:r w:rsidRPr="0025250D">
        <w:rPr>
          <w:rFonts w:hint="cs"/>
          <w:rtl/>
        </w:rPr>
        <w:t>پیش‌نگری</w:t>
      </w:r>
      <w:r w:rsidR="00537CC8" w:rsidRPr="0025250D">
        <w:rPr>
          <w:rFonts w:hint="cs"/>
          <w:rtl/>
        </w:rPr>
        <w:t xml:space="preserve"> کلاس مرجع</w:t>
      </w:r>
      <w:r w:rsidR="00537CC8" w:rsidRPr="0025250D">
        <w:rPr>
          <w:vertAlign w:val="superscript"/>
          <w:rtl/>
        </w:rPr>
        <w:footnoteReference w:id="2144"/>
      </w:r>
      <w:r w:rsidR="00537CC8" w:rsidRPr="0025250D">
        <w:rPr>
          <w:rFonts w:hint="cs"/>
          <w:rtl/>
        </w:rPr>
        <w:t xml:space="preserve"> که توسط روانشناسان و اقتصاد دانان</w:t>
      </w:r>
      <w:r w:rsidR="008D6F97" w:rsidRPr="0025250D">
        <w:rPr>
          <w:rtl/>
        </w:rPr>
        <w:t xml:space="preserve"> </w:t>
      </w:r>
      <w:r w:rsidR="00537CC8" w:rsidRPr="0025250D">
        <w:rPr>
          <w:rtl/>
        </w:rPr>
        <w:t>دان</w:t>
      </w:r>
      <w:r w:rsidR="00537CC8" w:rsidRPr="0025250D">
        <w:rPr>
          <w:rFonts w:hint="cs"/>
          <w:rtl/>
        </w:rPr>
        <w:t>ی</w:t>
      </w:r>
      <w:r w:rsidR="00537CC8" w:rsidRPr="0025250D">
        <w:rPr>
          <w:rFonts w:hint="eastAsia"/>
          <w:rtl/>
        </w:rPr>
        <w:t>ل</w:t>
      </w:r>
      <w:r w:rsidR="00537CC8" w:rsidRPr="0025250D">
        <w:rPr>
          <w:rtl/>
        </w:rPr>
        <w:t xml:space="preserve"> کانمن</w:t>
      </w:r>
      <w:r w:rsidR="00537CC8" w:rsidRPr="0025250D">
        <w:rPr>
          <w:rFonts w:hint="cs"/>
          <w:rtl/>
        </w:rPr>
        <w:t xml:space="preserve"> و </w:t>
      </w:r>
      <w:r w:rsidR="00537CC8" w:rsidRPr="0025250D">
        <w:rPr>
          <w:rtl/>
        </w:rPr>
        <w:t>آموس تورسک</w:t>
      </w:r>
      <w:r w:rsidR="00537CC8" w:rsidRPr="0025250D">
        <w:rPr>
          <w:rFonts w:hint="cs"/>
          <w:rtl/>
        </w:rPr>
        <w:t>ی</w:t>
      </w:r>
      <w:r w:rsidR="00537CC8" w:rsidRPr="0025250D">
        <w:rPr>
          <w:vertAlign w:val="superscript"/>
          <w:rtl/>
        </w:rPr>
        <w:footnoteReference w:id="2145"/>
      </w:r>
      <w:r w:rsidR="00537CC8" w:rsidRPr="0025250D">
        <w:rPr>
          <w:rFonts w:hint="cs"/>
          <w:rtl/>
        </w:rPr>
        <w:t xml:space="preserve"> توسعه داده شده است، یک </w:t>
      </w:r>
      <w:r w:rsidR="00701E03" w:rsidRPr="0025250D">
        <w:rPr>
          <w:rFonts w:hint="cs"/>
          <w:rtl/>
        </w:rPr>
        <w:t>راهبرد</w:t>
      </w:r>
      <w:r w:rsidR="00537CC8" w:rsidRPr="0025250D">
        <w:rPr>
          <w:rFonts w:hint="cs"/>
          <w:rtl/>
        </w:rPr>
        <w:t xml:space="preserve"> هوشمندانه است که سوگیری‌های </w:t>
      </w:r>
      <w:r w:rsidR="008D6F97" w:rsidRPr="0025250D">
        <w:rPr>
          <w:rFonts w:hint="cs"/>
          <w:rtl/>
        </w:rPr>
        <w:t>سامانه‌ای</w:t>
      </w:r>
      <w:r w:rsidR="00537CC8" w:rsidRPr="0025250D">
        <w:rPr>
          <w:rFonts w:hint="cs"/>
          <w:rtl/>
        </w:rPr>
        <w:t xml:space="preserve"> مشخصی را در پیش‌نگری‌های دوربرد اندازه‌گیری، </w:t>
      </w:r>
      <w:r w:rsidR="00D92F6E" w:rsidRPr="0025250D">
        <w:rPr>
          <w:rFonts w:hint="cs"/>
          <w:rtl/>
        </w:rPr>
        <w:t>پیش‌بین</w:t>
      </w:r>
      <w:r w:rsidR="00537CC8" w:rsidRPr="0025250D">
        <w:rPr>
          <w:rFonts w:hint="cs"/>
          <w:rtl/>
        </w:rPr>
        <w:t xml:space="preserve">ی و حذف می‌کند. این کار با تحقیق درمورد نتایج گذشته حقیقی در یک کلاس مرجع از اعمال مشابه با مورد </w:t>
      </w:r>
      <w:r w:rsidRPr="0025250D">
        <w:rPr>
          <w:rFonts w:hint="cs"/>
          <w:rtl/>
        </w:rPr>
        <w:t>پیش‌نگری</w:t>
      </w:r>
      <w:r w:rsidR="00537CC8" w:rsidRPr="0025250D">
        <w:rPr>
          <w:rFonts w:hint="cs"/>
          <w:rtl/>
        </w:rPr>
        <w:t xml:space="preserve"> شده آغاز می‌شود. متخصص مدیریت برنامه بنت </w:t>
      </w:r>
      <w:r w:rsidR="00537CC8" w:rsidRPr="0025250D">
        <w:rPr>
          <w:rtl/>
        </w:rPr>
        <w:t>فل</w:t>
      </w:r>
      <w:r w:rsidR="00537CC8" w:rsidRPr="0025250D">
        <w:rPr>
          <w:rFonts w:hint="cs"/>
          <w:rtl/>
        </w:rPr>
        <w:t>ی</w:t>
      </w:r>
      <w:r w:rsidR="00537CC8" w:rsidRPr="0025250D">
        <w:rPr>
          <w:rFonts w:hint="eastAsia"/>
          <w:rtl/>
        </w:rPr>
        <w:t>وب</w:t>
      </w:r>
      <w:r w:rsidR="00537CC8" w:rsidRPr="0025250D">
        <w:rPr>
          <w:rFonts w:hint="cs"/>
          <w:rtl/>
        </w:rPr>
        <w:t>ی</w:t>
      </w:r>
      <w:r w:rsidR="00537CC8" w:rsidRPr="0025250D">
        <w:rPr>
          <w:rFonts w:hint="eastAsia"/>
          <w:rtl/>
        </w:rPr>
        <w:t>رگ</w:t>
      </w:r>
      <w:r w:rsidR="00537CC8" w:rsidRPr="0025250D">
        <w:rPr>
          <w:vertAlign w:val="superscript"/>
          <w:rtl/>
        </w:rPr>
        <w:footnoteReference w:id="2146"/>
      </w:r>
      <w:r w:rsidR="00537CC8" w:rsidRPr="0025250D">
        <w:rPr>
          <w:rFonts w:hint="cs"/>
          <w:rtl/>
        </w:rPr>
        <w:t xml:space="preserve"> روش‌هایی را برای استفاده از آن در پروژه‌ها و قرار داد‌های بزرگ که در ساخت و ساز، توسعه و صنعت دفاعی رایج است توسعه داده اند. اصول این روش را می‌توانید در کلان پروژه‌ها و ریسک</w:t>
      </w:r>
      <w:r w:rsidR="00537CC8" w:rsidRPr="0025250D">
        <w:rPr>
          <w:vertAlign w:val="superscript"/>
          <w:rtl/>
        </w:rPr>
        <w:footnoteReference w:id="2147"/>
      </w:r>
      <w:r w:rsidR="00537CC8" w:rsidRPr="0025250D">
        <w:rPr>
          <w:rFonts w:hint="cs"/>
          <w:rtl/>
        </w:rPr>
        <w:t xml:space="preserve"> در سال 2003 بیابید</w:t>
      </w:r>
      <w:r w:rsidR="008D6F97" w:rsidRPr="0025250D">
        <w:rPr>
          <w:rtl/>
        </w:rPr>
        <w:t xml:space="preserve">؛ </w:t>
      </w:r>
      <w:r w:rsidR="00537CC8" w:rsidRPr="0025250D">
        <w:rPr>
          <w:rFonts w:hint="cs"/>
          <w:rtl/>
        </w:rPr>
        <w:t xml:space="preserve">مانند همه افراد آکادمیک، مقالات او موارد دقیق بیش‌تری از نظریه و عمل ارائه می‌دهند. تحقیقات </w:t>
      </w:r>
      <w:r w:rsidR="00537CC8" w:rsidRPr="0025250D">
        <w:rPr>
          <w:rtl/>
        </w:rPr>
        <w:t>فل</w:t>
      </w:r>
      <w:r w:rsidR="00537CC8" w:rsidRPr="0025250D">
        <w:rPr>
          <w:rFonts w:hint="cs"/>
          <w:rtl/>
        </w:rPr>
        <w:t>ی</w:t>
      </w:r>
      <w:r w:rsidR="00537CC8" w:rsidRPr="0025250D">
        <w:rPr>
          <w:rFonts w:hint="eastAsia"/>
          <w:rtl/>
        </w:rPr>
        <w:t>وب</w:t>
      </w:r>
      <w:r w:rsidR="00537CC8" w:rsidRPr="0025250D">
        <w:rPr>
          <w:rFonts w:hint="cs"/>
          <w:rtl/>
        </w:rPr>
        <w:t>ی</w:t>
      </w:r>
      <w:r w:rsidR="00537CC8" w:rsidRPr="0025250D">
        <w:rPr>
          <w:rFonts w:hint="eastAsia"/>
          <w:rtl/>
        </w:rPr>
        <w:t>رگ</w:t>
      </w:r>
      <w:r w:rsidR="00537CC8" w:rsidRPr="0025250D">
        <w:rPr>
          <w:rFonts w:hint="cs"/>
          <w:rtl/>
        </w:rPr>
        <w:t>، برای مثال، نشان می‌دهند که پروژه‌های ساخت و ساز عمومی بزرگ معمولا تا درصد معمول مشخصی در مناقصه کم‌تر قیمت گذاری می‌شوند و قرارداده‌های دفاعی با درصد دیگری در</w:t>
      </w:r>
      <w:r w:rsidR="00537CC8" w:rsidRPr="0025250D">
        <w:rPr>
          <w:rtl/>
        </w:rPr>
        <w:t xml:space="preserve"> </w:t>
      </w:r>
      <w:r w:rsidR="00537CC8" w:rsidRPr="0025250D">
        <w:rPr>
          <w:rFonts w:hint="cs"/>
          <w:rtl/>
        </w:rPr>
        <w:t>مناقصه</w:t>
      </w:r>
      <w:r w:rsidR="00537CC8" w:rsidRPr="0025250D">
        <w:rPr>
          <w:rtl/>
        </w:rPr>
        <w:t xml:space="preserve"> </w:t>
      </w:r>
      <w:r w:rsidR="00537CC8" w:rsidRPr="0025250D">
        <w:rPr>
          <w:rFonts w:hint="cs"/>
          <w:rtl/>
        </w:rPr>
        <w:t>کم</w:t>
      </w:r>
      <w:r w:rsidR="00537CC8" w:rsidRPr="0025250D">
        <w:rPr>
          <w:rtl/>
        </w:rPr>
        <w:t xml:space="preserve">‌تر </w:t>
      </w:r>
      <w:r w:rsidR="00537CC8" w:rsidRPr="0025250D">
        <w:rPr>
          <w:rFonts w:hint="cs"/>
          <w:rtl/>
        </w:rPr>
        <w:t>قیمت</w:t>
      </w:r>
      <w:r w:rsidR="00537CC8" w:rsidRPr="0025250D">
        <w:rPr>
          <w:rtl/>
        </w:rPr>
        <w:t xml:space="preserve"> </w:t>
      </w:r>
      <w:r w:rsidR="00537CC8" w:rsidRPr="0025250D">
        <w:rPr>
          <w:rFonts w:hint="cs"/>
          <w:rtl/>
        </w:rPr>
        <w:t>گذاری</w:t>
      </w:r>
      <w:r w:rsidR="00537CC8" w:rsidRPr="0025250D">
        <w:rPr>
          <w:rtl/>
        </w:rPr>
        <w:t xml:space="preserve"> می‌</w:t>
      </w:r>
      <w:r w:rsidR="00537CC8" w:rsidRPr="0025250D">
        <w:rPr>
          <w:rFonts w:hint="cs"/>
          <w:rtl/>
        </w:rPr>
        <w:t>شوند</w:t>
      </w:r>
      <w:r w:rsidR="008D6F97" w:rsidRPr="0025250D">
        <w:rPr>
          <w:rtl/>
        </w:rPr>
        <w:t xml:space="preserve"> </w:t>
      </w:r>
      <w:r w:rsidR="00537CC8" w:rsidRPr="0025250D">
        <w:rPr>
          <w:rFonts w:hint="cs"/>
          <w:rtl/>
        </w:rPr>
        <w:t xml:space="preserve">و این مقدار برای پیشنهاد دهندگان، صنعت‌ها و کشور‌های مشخص متفاوت است. اگر ما بتوانیم یک کلاس مرجع خوب برای پیش‌نگری‌های گذشته در یک کشور، بخش صنعتی و یک تأمین کننده خاص بیابیم، می‌توانیم این سوگیری قابل </w:t>
      </w:r>
      <w:r w:rsidR="00D92F6E" w:rsidRPr="0025250D">
        <w:rPr>
          <w:rFonts w:hint="cs"/>
          <w:rtl/>
        </w:rPr>
        <w:t>پیش‌بین</w:t>
      </w:r>
      <w:r w:rsidR="00537CC8" w:rsidRPr="0025250D">
        <w:rPr>
          <w:rFonts w:hint="cs"/>
          <w:rtl/>
        </w:rPr>
        <w:t xml:space="preserve">ی را حذف کرده و به شکل قابل توجهی </w:t>
      </w:r>
      <w:r w:rsidR="0008779C" w:rsidRPr="0025250D">
        <w:rPr>
          <w:rFonts w:hint="cs"/>
          <w:rtl/>
        </w:rPr>
        <w:t>تصمیم‌گیری</w:t>
      </w:r>
      <w:r w:rsidR="00537CC8" w:rsidRPr="0025250D">
        <w:rPr>
          <w:rFonts w:hint="cs"/>
          <w:rtl/>
        </w:rPr>
        <w:t xml:space="preserve">، تأمین، </w:t>
      </w:r>
      <w:r w:rsidRPr="0025250D">
        <w:rPr>
          <w:rFonts w:hint="cs"/>
          <w:rtl/>
        </w:rPr>
        <w:t>پیش‌نگری</w:t>
      </w:r>
      <w:r w:rsidR="00537CC8" w:rsidRPr="0025250D">
        <w:rPr>
          <w:rFonts w:hint="cs"/>
          <w:rtl/>
        </w:rPr>
        <w:t xml:space="preserve"> و </w:t>
      </w:r>
      <w:r w:rsidR="00B124DE" w:rsidRPr="0025250D">
        <w:rPr>
          <w:rFonts w:hint="cs"/>
          <w:rtl/>
        </w:rPr>
        <w:t>برنامه‌ریزی</w:t>
      </w:r>
      <w:r w:rsidR="00537CC8" w:rsidRPr="0025250D">
        <w:rPr>
          <w:rFonts w:hint="cs"/>
          <w:rtl/>
        </w:rPr>
        <w:t xml:space="preserve"> را بهبود بخشیم.</w:t>
      </w:r>
    </w:p>
    <w:p w14:paraId="6C14EE0D" w14:textId="58D22687" w:rsidR="00537CC8" w:rsidRPr="0025250D" w:rsidRDefault="007A53FD" w:rsidP="00537CC8">
      <w:pPr>
        <w:rPr>
          <w:rtl/>
        </w:rPr>
      </w:pPr>
      <w:r w:rsidRPr="0025250D">
        <w:rPr>
          <w:rFonts w:hint="cs"/>
          <w:rtl/>
        </w:rPr>
        <w:t>فناوری</w:t>
      </w:r>
      <w:r w:rsidR="00537CC8" w:rsidRPr="0025250D">
        <w:rPr>
          <w:rFonts w:hint="cs"/>
          <w:rtl/>
        </w:rPr>
        <w:t>‌های اطلاعاتی و ارتباطی (</w:t>
      </w:r>
      <w:r w:rsidR="00537CC8" w:rsidRPr="0025250D">
        <w:t>ICT</w:t>
      </w:r>
      <w:r w:rsidR="00537CC8" w:rsidRPr="0025250D">
        <w:rPr>
          <w:rFonts w:hint="cs"/>
          <w:rtl/>
        </w:rPr>
        <w:t xml:space="preserve">) به شدت بر </w:t>
      </w:r>
      <w:r w:rsidR="00923DDB" w:rsidRPr="0025250D">
        <w:rPr>
          <w:rFonts w:hint="cs"/>
          <w:rtl/>
        </w:rPr>
        <w:t>پیش‌انگاری</w:t>
      </w:r>
      <w:r w:rsidR="00537CC8" w:rsidRPr="0025250D">
        <w:rPr>
          <w:rFonts w:hint="cs"/>
          <w:rtl/>
        </w:rPr>
        <w:t xml:space="preserve"> در سال‌های آینده تأثیر می‌گذارند. به‌عنوان یک نظر سنجی در مورد آنچه در پیش روی ماست، مقاله ابزار‌های </w:t>
      </w:r>
      <w:r w:rsidR="00537CC8" w:rsidRPr="0025250D">
        <w:t>ICT</w:t>
      </w:r>
      <w:r w:rsidR="00537CC8" w:rsidRPr="0025250D">
        <w:rPr>
          <w:rFonts w:hint="cs"/>
          <w:rtl/>
        </w:rPr>
        <w:t xml:space="preserve"> در </w:t>
      </w:r>
      <w:r w:rsidR="00537CC8" w:rsidRPr="0025250D">
        <w:rPr>
          <w:rtl/>
        </w:rPr>
        <w:t>آینده‌نگاری</w:t>
      </w:r>
      <w:r w:rsidR="00537CC8" w:rsidRPr="0025250D">
        <w:rPr>
          <w:vertAlign w:val="superscript"/>
          <w:rtl/>
        </w:rPr>
        <w:footnoteReference w:id="2148"/>
      </w:r>
      <w:r w:rsidR="00537CC8" w:rsidRPr="0025250D">
        <w:rPr>
          <w:rFonts w:hint="cs"/>
          <w:rtl/>
        </w:rPr>
        <w:t xml:space="preserve"> اثر کلر</w:t>
      </w:r>
      <w:r w:rsidR="00537CC8" w:rsidRPr="0025250D">
        <w:rPr>
          <w:vertAlign w:val="superscript"/>
          <w:rtl/>
        </w:rPr>
        <w:footnoteReference w:id="2149"/>
      </w:r>
      <w:r w:rsidR="00537CC8" w:rsidRPr="0025250D">
        <w:rPr>
          <w:rFonts w:hint="cs"/>
          <w:rtl/>
        </w:rPr>
        <w:t xml:space="preserve"> و </w:t>
      </w:r>
      <w:r w:rsidR="00537CC8" w:rsidRPr="0025250D">
        <w:rPr>
          <w:rtl/>
        </w:rPr>
        <w:t>فون در گراخت</w:t>
      </w:r>
      <w:r w:rsidR="00537CC8" w:rsidRPr="0025250D">
        <w:rPr>
          <w:vertAlign w:val="superscript"/>
          <w:rtl/>
        </w:rPr>
        <w:footnoteReference w:id="2150"/>
      </w:r>
      <w:r w:rsidR="00537CC8" w:rsidRPr="0025250D">
        <w:rPr>
          <w:rFonts w:hint="cs"/>
          <w:rtl/>
        </w:rPr>
        <w:t xml:space="preserve"> در مجله </w:t>
      </w:r>
      <w:r w:rsidR="00FB6A7E" w:rsidRPr="0025250D">
        <w:rPr>
          <w:rtl/>
        </w:rPr>
        <w:t>پیش‌نگری</w:t>
      </w:r>
      <w:r w:rsidR="00537CC8" w:rsidRPr="0025250D">
        <w:rPr>
          <w:rtl/>
        </w:rPr>
        <w:t xml:space="preserve"> فناور</w:t>
      </w:r>
      <w:r w:rsidR="00537CC8" w:rsidRPr="0025250D">
        <w:rPr>
          <w:rFonts w:hint="cs"/>
          <w:rtl/>
        </w:rPr>
        <w:t>ی</w:t>
      </w:r>
      <w:r w:rsidR="00537CC8" w:rsidRPr="0025250D">
        <w:rPr>
          <w:rtl/>
        </w:rPr>
        <w:t xml:space="preserve"> و تغ</w:t>
      </w:r>
      <w:r w:rsidR="00537CC8" w:rsidRPr="0025250D">
        <w:rPr>
          <w:rFonts w:hint="cs"/>
          <w:rtl/>
        </w:rPr>
        <w:t>یی</w:t>
      </w:r>
      <w:r w:rsidR="00537CC8" w:rsidRPr="0025250D">
        <w:rPr>
          <w:rFonts w:hint="eastAsia"/>
          <w:rtl/>
        </w:rPr>
        <w:t>رات</w:t>
      </w:r>
      <w:r w:rsidR="00537CC8" w:rsidRPr="0025250D">
        <w:rPr>
          <w:rtl/>
        </w:rPr>
        <w:t xml:space="preserve"> اجتماع</w:t>
      </w:r>
      <w:r w:rsidR="00537CC8" w:rsidRPr="0025250D">
        <w:rPr>
          <w:rFonts w:hint="cs"/>
          <w:rtl/>
        </w:rPr>
        <w:t xml:space="preserve">ی در ژوئن 2014 را ببینید. این نویسندگان پیشنهاد کردند که در دهه 2020، اقدامات </w:t>
      </w:r>
      <w:r w:rsidR="00537CC8" w:rsidRPr="0025250D">
        <w:rPr>
          <w:rtl/>
        </w:rPr>
        <w:t>آینده‌نگاری</w:t>
      </w:r>
      <w:r w:rsidR="00537CC8" w:rsidRPr="0025250D">
        <w:rPr>
          <w:rFonts w:hint="cs"/>
          <w:rtl/>
        </w:rPr>
        <w:t xml:space="preserve"> مبتنی </w:t>
      </w:r>
      <w:r w:rsidR="00E402E3" w:rsidRPr="0025250D">
        <w:rPr>
          <w:rtl/>
        </w:rPr>
        <w:t xml:space="preserve">بر </w:t>
      </w:r>
      <w:r w:rsidR="00E402E3" w:rsidRPr="0025250D">
        <w:t>ICT</w:t>
      </w:r>
      <w:r w:rsidR="00537CC8" w:rsidRPr="0025250D">
        <w:rPr>
          <w:rFonts w:hint="cs"/>
          <w:rtl/>
        </w:rPr>
        <w:t xml:space="preserve"> از کاربرد فعلی </w:t>
      </w:r>
      <w:r w:rsidR="00537CC8" w:rsidRPr="0025250D">
        <w:t>ICT</w:t>
      </w:r>
      <w:r w:rsidR="00537CC8" w:rsidRPr="0025250D">
        <w:rPr>
          <w:rFonts w:hint="cs"/>
          <w:rtl/>
        </w:rPr>
        <w:t xml:space="preserve"> در پویش و بازیابی داده‌ها (مهارت 1)، به </w:t>
      </w:r>
      <w:r w:rsidR="00537CC8" w:rsidRPr="0025250D">
        <w:t>ICT</w:t>
      </w:r>
      <w:r w:rsidR="00537CC8" w:rsidRPr="0025250D">
        <w:rPr>
          <w:rFonts w:hint="cs"/>
          <w:rtl/>
        </w:rPr>
        <w:t xml:space="preserve"> برای </w:t>
      </w:r>
      <w:r w:rsidR="00923DDB" w:rsidRPr="0025250D">
        <w:rPr>
          <w:rFonts w:hint="cs"/>
          <w:rtl/>
        </w:rPr>
        <w:t>پیش‌انگاری</w:t>
      </w:r>
      <w:r w:rsidR="00537CC8" w:rsidRPr="0025250D">
        <w:rPr>
          <w:rFonts w:hint="cs"/>
          <w:rtl/>
        </w:rPr>
        <w:t xml:space="preserve"> (مهارت 2)، </w:t>
      </w:r>
      <w:r w:rsidR="00701E03" w:rsidRPr="0025250D">
        <w:rPr>
          <w:rFonts w:hint="cs"/>
          <w:rtl/>
        </w:rPr>
        <w:t>راهبرد</w:t>
      </w:r>
      <w:r w:rsidR="00537CC8" w:rsidRPr="0025250D">
        <w:rPr>
          <w:rFonts w:hint="cs"/>
          <w:rtl/>
        </w:rPr>
        <w:t xml:space="preserve"> و </w:t>
      </w:r>
      <w:r w:rsidR="0008779C" w:rsidRPr="0025250D">
        <w:rPr>
          <w:rFonts w:hint="cs"/>
          <w:rtl/>
        </w:rPr>
        <w:t>تصمیم‌گیری</w:t>
      </w:r>
      <w:r w:rsidR="00537CC8" w:rsidRPr="0025250D">
        <w:rPr>
          <w:rFonts w:hint="cs"/>
          <w:rtl/>
        </w:rPr>
        <w:t xml:space="preserve"> (مهارت 4) و اجرا (مهارت 5) تغییر خواهند یافت. همچنین می‌توانیم </w:t>
      </w:r>
      <w:r w:rsidR="00D92F6E" w:rsidRPr="0025250D">
        <w:rPr>
          <w:rFonts w:hint="cs"/>
          <w:rtl/>
        </w:rPr>
        <w:t>پیش‌بین</w:t>
      </w:r>
      <w:r w:rsidR="00537CC8" w:rsidRPr="0025250D">
        <w:rPr>
          <w:rFonts w:hint="cs"/>
          <w:rtl/>
        </w:rPr>
        <w:t xml:space="preserve">ی کنیم که چگونه </w:t>
      </w:r>
      <w:r w:rsidR="00537CC8" w:rsidRPr="0025250D">
        <w:t>ICT</w:t>
      </w:r>
      <w:r w:rsidR="00537CC8" w:rsidRPr="0025250D">
        <w:rPr>
          <w:rFonts w:hint="cs"/>
          <w:rtl/>
        </w:rPr>
        <w:t xml:space="preserve"> در دهه 2020 بقیه هشت مهارت را نیز بهبود خواهد داد. داشتن شایستگی </w:t>
      </w:r>
      <w:r w:rsidR="00537CC8" w:rsidRPr="0025250D">
        <w:t>ICT</w:t>
      </w:r>
      <w:r w:rsidR="00537CC8" w:rsidRPr="0025250D">
        <w:rPr>
          <w:rFonts w:hint="cs"/>
          <w:rtl/>
        </w:rPr>
        <w:t xml:space="preserve"> قوی به مشاوران </w:t>
      </w:r>
      <w:r w:rsidR="00537CC8" w:rsidRPr="0025250D">
        <w:rPr>
          <w:rtl/>
        </w:rPr>
        <w:t>آینده‌نگاری</w:t>
      </w:r>
      <w:r w:rsidR="00537CC8" w:rsidRPr="0025250D">
        <w:rPr>
          <w:rFonts w:hint="cs"/>
          <w:rtl/>
        </w:rPr>
        <w:t xml:space="preserve"> این دهه بیش از همیشه کمک خواهد کرد. بیایید نگاه مختصری به چند مثال محدود داشته باشیم.</w:t>
      </w:r>
    </w:p>
    <w:p w14:paraId="79FD5358" w14:textId="64BF3C87" w:rsidR="00537CC8" w:rsidRPr="0025250D" w:rsidRDefault="00537CC8" w:rsidP="00537CC8">
      <w:pPr>
        <w:rPr>
          <w:rtl/>
        </w:rPr>
      </w:pPr>
      <w:r w:rsidRPr="0025250D">
        <w:rPr>
          <w:rtl/>
        </w:rPr>
        <w:t>تجز</w:t>
      </w:r>
      <w:r w:rsidRPr="0025250D">
        <w:rPr>
          <w:rFonts w:hint="cs"/>
          <w:rtl/>
        </w:rPr>
        <w:t>ی</w:t>
      </w:r>
      <w:r w:rsidRPr="0025250D">
        <w:rPr>
          <w:rFonts w:hint="eastAsia"/>
          <w:rtl/>
        </w:rPr>
        <w:t>ه</w:t>
      </w:r>
      <w:r w:rsidRPr="0025250D">
        <w:rPr>
          <w:rtl/>
        </w:rPr>
        <w:t xml:space="preserve"> و تحل</w:t>
      </w:r>
      <w:r w:rsidRPr="0025250D">
        <w:rPr>
          <w:rFonts w:hint="cs"/>
          <w:rtl/>
        </w:rPr>
        <w:t>ی</w:t>
      </w:r>
      <w:r w:rsidRPr="0025250D">
        <w:rPr>
          <w:rFonts w:hint="eastAsia"/>
          <w:rtl/>
        </w:rPr>
        <w:t>ل</w:t>
      </w:r>
      <w:r w:rsidRPr="0025250D">
        <w:rPr>
          <w:rtl/>
        </w:rPr>
        <w:t xml:space="preserve"> </w:t>
      </w:r>
      <w:r w:rsidR="00D92F6E" w:rsidRPr="0025250D">
        <w:rPr>
          <w:rtl/>
        </w:rPr>
        <w:t>پیش‌بین</w:t>
      </w:r>
      <w:r w:rsidRPr="0025250D">
        <w:rPr>
          <w:rFonts w:hint="cs"/>
          <w:rtl/>
        </w:rPr>
        <w:t xml:space="preserve"> یک زمینه هیجان انگیز جدید است که داده‌های فعلی و تاریخی را برای انجام پیش‌بینی‌های کمّی تحلیل می‌کند. یکی از ویژگی‌های کلیدی آن مدلسازی ریاضی ساده (مدل‌های همبستگی و علی) است. این یک زیرمجموعه از تجزیه و تحلیل داده است، اصطلاحی که با ظهور اینترنت و کلان داده‌های مدرن محبوب شده است. ما کتاب </w:t>
      </w:r>
      <w:r w:rsidRPr="0025250D">
        <w:rPr>
          <w:rtl/>
        </w:rPr>
        <w:t>تجز</w:t>
      </w:r>
      <w:r w:rsidRPr="0025250D">
        <w:rPr>
          <w:rFonts w:hint="cs"/>
          <w:rtl/>
        </w:rPr>
        <w:t>ی</w:t>
      </w:r>
      <w:r w:rsidRPr="0025250D">
        <w:rPr>
          <w:rFonts w:hint="eastAsia"/>
          <w:rtl/>
        </w:rPr>
        <w:t>ه</w:t>
      </w:r>
      <w:r w:rsidRPr="0025250D">
        <w:rPr>
          <w:rtl/>
        </w:rPr>
        <w:t xml:space="preserve"> و تحل</w:t>
      </w:r>
      <w:r w:rsidRPr="0025250D">
        <w:rPr>
          <w:rFonts w:hint="cs"/>
          <w:rtl/>
        </w:rPr>
        <w:t>ی</w:t>
      </w:r>
      <w:r w:rsidRPr="0025250D">
        <w:rPr>
          <w:rFonts w:hint="eastAsia"/>
          <w:rtl/>
        </w:rPr>
        <w:t>ل</w:t>
      </w:r>
      <w:r w:rsidRPr="0025250D">
        <w:rPr>
          <w:rtl/>
        </w:rPr>
        <w:t xml:space="preserve"> </w:t>
      </w:r>
      <w:r w:rsidR="00D92F6E" w:rsidRPr="0025250D">
        <w:rPr>
          <w:rtl/>
        </w:rPr>
        <w:t>پیش‌بین</w:t>
      </w:r>
      <w:r w:rsidRPr="0025250D">
        <w:rPr>
          <w:vertAlign w:val="superscript"/>
          <w:rtl/>
        </w:rPr>
        <w:footnoteReference w:id="2151"/>
      </w:r>
      <w:r w:rsidRPr="0025250D">
        <w:rPr>
          <w:rFonts w:hint="cs"/>
          <w:rtl/>
        </w:rPr>
        <w:t xml:space="preserve"> اثر </w:t>
      </w:r>
      <w:r w:rsidRPr="0025250D">
        <w:rPr>
          <w:rtl/>
        </w:rPr>
        <w:t>ار</w:t>
      </w:r>
      <w:r w:rsidRPr="0025250D">
        <w:rPr>
          <w:rFonts w:hint="cs"/>
          <w:rtl/>
        </w:rPr>
        <w:t>ی</w:t>
      </w:r>
      <w:r w:rsidRPr="0025250D">
        <w:rPr>
          <w:rFonts w:hint="eastAsia"/>
          <w:rtl/>
        </w:rPr>
        <w:t>ک</w:t>
      </w:r>
      <w:r w:rsidRPr="0025250D">
        <w:rPr>
          <w:rtl/>
        </w:rPr>
        <w:t xml:space="preserve"> س</w:t>
      </w:r>
      <w:r w:rsidRPr="0025250D">
        <w:rPr>
          <w:rFonts w:hint="cs"/>
          <w:rtl/>
        </w:rPr>
        <w:t>ی</w:t>
      </w:r>
      <w:r w:rsidRPr="0025250D">
        <w:rPr>
          <w:rFonts w:hint="eastAsia"/>
          <w:rtl/>
        </w:rPr>
        <w:t>گل</w:t>
      </w:r>
      <w:r w:rsidRPr="0025250D">
        <w:rPr>
          <w:rFonts w:hint="cs"/>
          <w:rtl/>
        </w:rPr>
        <w:t xml:space="preserve"> در سال 2013 را برای یک مقدمه ابتدایی عالی برای این زمینه جدید به سرعت در حال ظهور پیشنهاد می‌کنیم.</w:t>
      </w:r>
    </w:p>
    <w:p w14:paraId="06734318" w14:textId="77777777" w:rsidR="00537CC8" w:rsidRPr="0025250D" w:rsidRDefault="00537CC8" w:rsidP="00D53F87">
      <w:pPr>
        <w:jc w:val="center"/>
        <w:rPr>
          <w:rtl/>
        </w:rPr>
      </w:pPr>
      <w:r w:rsidRPr="0025250D">
        <w:rPr>
          <w:noProof/>
          <w:rtl/>
          <w:lang w:bidi="ar-SA"/>
        </w:rPr>
        <w:drawing>
          <wp:inline distT="0" distB="0" distL="0" distR="0" wp14:anchorId="3478390A" wp14:editId="12518254">
            <wp:extent cx="1431290" cy="2028825"/>
            <wp:effectExtent l="0" t="0" r="0" b="9525"/>
            <wp:docPr id="120" name="Picture 120" descr="D:\کار\مستقل\3 ( ترجمه ی دانشگاه تهران  )\Introduction to Foresight\part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کار\مستقل\3 ( ترجمه ی دانشگاه تهران  )\Introduction to Foresight\part5\18.png"/>
                    <pic:cNvPicPr>
                      <a:picLocks noChangeAspect="1" noChangeArrowheads="1"/>
                    </pic:cNvPicPr>
                  </pic:nvPicPr>
                  <pic:blipFill rotWithShape="1">
                    <a:blip r:embed="rId188" cstate="screen">
                      <a:extLst>
                        <a:ext uri="{BEBA8EAE-BF5A-486C-A8C5-ECC9F3942E4B}">
                          <a14:imgProps xmlns:a14="http://schemas.microsoft.com/office/drawing/2010/main">
                            <a14:imgLayer r:embed="rId189">
                              <a14:imgEffect>
                                <a14:saturation sat="0"/>
                              </a14:imgEffect>
                            </a14:imgLayer>
                          </a14:imgProps>
                        </a:ext>
                        <a:ext uri="{28A0092B-C50C-407E-A947-70E740481C1C}">
                          <a14:useLocalDpi xmlns:a14="http://schemas.microsoft.com/office/drawing/2010/main"/>
                        </a:ext>
                      </a:extLst>
                    </a:blip>
                    <a:srcRect b="10038"/>
                    <a:stretch/>
                  </pic:blipFill>
                  <pic:spPr bwMode="auto">
                    <a:xfrm>
                      <a:off x="0" y="0"/>
                      <a:ext cx="1435486" cy="2034773"/>
                    </a:xfrm>
                    <a:prstGeom prst="rect">
                      <a:avLst/>
                    </a:prstGeom>
                    <a:noFill/>
                    <a:ln>
                      <a:noFill/>
                    </a:ln>
                    <a:extLst>
                      <a:ext uri="{53640926-AAD7-44D8-BBD7-CCE9431645EC}">
                        <a14:shadowObscured xmlns:a14="http://schemas.microsoft.com/office/drawing/2010/main"/>
                      </a:ext>
                    </a:extLst>
                  </pic:spPr>
                </pic:pic>
              </a:graphicData>
            </a:graphic>
          </wp:inline>
        </w:drawing>
      </w:r>
    </w:p>
    <w:p w14:paraId="0EE1A765" w14:textId="77777777" w:rsidR="00537CC8" w:rsidRPr="0025250D" w:rsidRDefault="00537CC8" w:rsidP="00D53F87">
      <w:pPr>
        <w:jc w:val="center"/>
        <w:rPr>
          <w:rtl/>
        </w:rPr>
      </w:pPr>
      <w:r w:rsidRPr="0025250D">
        <w:rPr>
          <w:rFonts w:hint="cs"/>
          <w:rtl/>
        </w:rPr>
        <w:t>سیگل، 2013</w:t>
      </w:r>
    </w:p>
    <w:p w14:paraId="01DF7F99" w14:textId="5363987E" w:rsidR="00537CC8" w:rsidRPr="0025250D" w:rsidRDefault="00537CC8" w:rsidP="00537CC8">
      <w:pPr>
        <w:rPr>
          <w:rtl/>
        </w:rPr>
      </w:pPr>
      <w:r w:rsidRPr="0025250D">
        <w:rPr>
          <w:rFonts w:hint="cs"/>
          <w:rtl/>
        </w:rPr>
        <w:t xml:space="preserve">برای در نظر گرفتن این که </w:t>
      </w:r>
      <w:r w:rsidRPr="0025250D">
        <w:rPr>
          <w:rtl/>
        </w:rPr>
        <w:t>تجز</w:t>
      </w:r>
      <w:r w:rsidRPr="0025250D">
        <w:rPr>
          <w:rFonts w:hint="cs"/>
          <w:rtl/>
        </w:rPr>
        <w:t>ی</w:t>
      </w:r>
      <w:r w:rsidRPr="0025250D">
        <w:rPr>
          <w:rFonts w:hint="eastAsia"/>
          <w:rtl/>
        </w:rPr>
        <w:t>ه</w:t>
      </w:r>
      <w:r w:rsidRPr="0025250D">
        <w:rPr>
          <w:rtl/>
        </w:rPr>
        <w:t xml:space="preserve"> و تحل</w:t>
      </w:r>
      <w:r w:rsidRPr="0025250D">
        <w:rPr>
          <w:rFonts w:hint="cs"/>
          <w:rtl/>
        </w:rPr>
        <w:t>ی</w:t>
      </w:r>
      <w:r w:rsidRPr="0025250D">
        <w:rPr>
          <w:rFonts w:hint="eastAsia"/>
          <w:rtl/>
        </w:rPr>
        <w:t>ل</w:t>
      </w:r>
      <w:r w:rsidRPr="0025250D">
        <w:rPr>
          <w:rtl/>
        </w:rPr>
        <w:t xml:space="preserve"> </w:t>
      </w:r>
      <w:r w:rsidR="00D92F6E" w:rsidRPr="0025250D">
        <w:rPr>
          <w:rtl/>
        </w:rPr>
        <w:t>پیش‌بین</w:t>
      </w:r>
      <w:r w:rsidRPr="0025250D">
        <w:rPr>
          <w:rFonts w:hint="cs"/>
          <w:rtl/>
        </w:rPr>
        <w:t xml:space="preserve"> چگونه می‌تواند در </w:t>
      </w:r>
      <w:r w:rsidR="00701E03" w:rsidRPr="0025250D">
        <w:rPr>
          <w:rFonts w:hint="cs"/>
          <w:rtl/>
        </w:rPr>
        <w:t>راهبرد</w:t>
      </w:r>
      <w:r w:rsidRPr="0025250D">
        <w:rPr>
          <w:rFonts w:hint="cs"/>
          <w:rtl/>
        </w:rPr>
        <w:t xml:space="preserve"> به ما کمک کند، بیایید نگاهی به یک مثل داشته باشیم. در سال 2014، یک تیم علم داده در گوگل یک مطالعه به نام </w:t>
      </w:r>
      <w:r w:rsidR="00E402E3" w:rsidRPr="0025250D">
        <w:rPr>
          <w:rtl/>
        </w:rPr>
        <w:t>«</w:t>
      </w:r>
      <w:r w:rsidRPr="0025250D">
        <w:rPr>
          <w:rFonts w:hint="cs"/>
          <w:rtl/>
        </w:rPr>
        <w:t xml:space="preserve">زنانی که علم کامپیوتر را انتخاب می‌کنند </w:t>
      </w:r>
      <w:r w:rsidRPr="0025250D">
        <w:rPr>
          <w:rFonts w:cs="Times New Roman" w:hint="cs"/>
          <w:rtl/>
        </w:rPr>
        <w:t>–</w:t>
      </w:r>
      <w:r w:rsidRPr="0025250D">
        <w:rPr>
          <w:rFonts w:hint="cs"/>
          <w:rtl/>
        </w:rPr>
        <w:t xml:space="preserve"> آنچه واقعا اهمیت دارد</w:t>
      </w:r>
      <w:r w:rsidRPr="0025250D">
        <w:rPr>
          <w:vertAlign w:val="superscript"/>
          <w:rtl/>
        </w:rPr>
        <w:footnoteReference w:id="2152"/>
      </w:r>
      <w:r w:rsidR="00E402E3" w:rsidRPr="0025250D">
        <w:rPr>
          <w:rtl/>
        </w:rPr>
        <w:t>»</w:t>
      </w:r>
      <w:r w:rsidRPr="0025250D">
        <w:rPr>
          <w:rFonts w:hint="cs"/>
          <w:rtl/>
        </w:rPr>
        <w:t xml:space="preserve"> را برای یادگیری درمورد چگونگی بهبود تعداد زنان آمریکا که وارد رشته علوم کامپیوتر می‌شوند، انجام داد. تحقیق اولیه آن‌ها بیش از بیست متغیر مداخله‌ای مهم را آشکار کرد و تحقیقات متناقضی درمورد هر یک از متغیر‌های دارای اهمیت نسبی وجود داشت. تیم آن‌ها یک مدل رگرسیون لجستیک ساده را ایجاد کرد و از تحلیل متقارن</w:t>
      </w:r>
      <w:r w:rsidRPr="0025250D">
        <w:rPr>
          <w:vertAlign w:val="superscript"/>
          <w:rtl/>
        </w:rPr>
        <w:footnoteReference w:id="2153"/>
      </w:r>
      <w:r w:rsidRPr="0025250D">
        <w:rPr>
          <w:rFonts w:hint="cs"/>
          <w:rtl/>
        </w:rPr>
        <w:t xml:space="preserve"> با داده‌های قبل و بعد از نظرسنجی که از یک گروه بزرگ از زنانی </w:t>
      </w:r>
      <w:r w:rsidR="0001088B" w:rsidRPr="0025250D">
        <w:rPr>
          <w:rFonts w:hint="cs"/>
          <w:rtl/>
        </w:rPr>
        <w:t xml:space="preserve">جمع آوری شده بود </w:t>
      </w:r>
      <w:r w:rsidRPr="0025250D">
        <w:rPr>
          <w:rFonts w:hint="cs"/>
          <w:rtl/>
        </w:rPr>
        <w:t xml:space="preserve">که چنین رشته‌هایی را برگزیده و </w:t>
      </w:r>
      <w:r w:rsidR="0001088B" w:rsidRPr="0025250D">
        <w:rPr>
          <w:rFonts w:hint="cs"/>
          <w:rtl/>
        </w:rPr>
        <w:t>سپری</w:t>
      </w:r>
      <w:r w:rsidRPr="0025250D">
        <w:rPr>
          <w:rFonts w:hint="cs"/>
          <w:rtl/>
        </w:rPr>
        <w:t xml:space="preserve"> </w:t>
      </w:r>
      <w:r w:rsidR="007118DE" w:rsidRPr="0025250D">
        <w:rPr>
          <w:rFonts w:hint="cs"/>
          <w:rtl/>
        </w:rPr>
        <w:t>کرده‌</w:t>
      </w:r>
      <w:r w:rsidR="0001088B" w:rsidRPr="0025250D">
        <w:rPr>
          <w:rFonts w:hint="cs"/>
          <w:rtl/>
        </w:rPr>
        <w:t xml:space="preserve"> بودند</w:t>
      </w:r>
      <w:r w:rsidRPr="0025250D">
        <w:rPr>
          <w:rFonts w:hint="cs"/>
          <w:rtl/>
        </w:rPr>
        <w:t xml:space="preserve">، برای کمک به تعیین هر یک از تأثیر گذار‌ترین متغیرها در تصمیم هر یک از زنان استفاده کرد. چنین مدلی متغیر‌ها را از نظر اهمیت، بدون نشان دادن روابط علی رتبه بندی می‌کند. مطالعه آنان </w:t>
      </w:r>
      <w:r w:rsidR="0001088B" w:rsidRPr="0025250D">
        <w:rPr>
          <w:rFonts w:hint="cs"/>
          <w:rtl/>
        </w:rPr>
        <w:t>مشخص نمود</w:t>
      </w:r>
      <w:r w:rsidRPr="0025250D">
        <w:rPr>
          <w:rFonts w:hint="cs"/>
          <w:rtl/>
        </w:rPr>
        <w:t xml:space="preserve"> که چهار متغیر و به ویژه دو مورد از آن‌ها اهمیت</w:t>
      </w:r>
      <w:r w:rsidRPr="0025250D">
        <w:rPr>
          <w:rtl/>
        </w:rPr>
        <w:t xml:space="preserve"> </w:t>
      </w:r>
      <w:r w:rsidRPr="0025250D">
        <w:rPr>
          <w:rFonts w:hint="cs"/>
          <w:rtl/>
        </w:rPr>
        <w:t xml:space="preserve">داشتند: تشویق دوستان و والدین، مستقل از شغل دوستان یا والدین یا وضعیت اجتماعی آن‌ها و قرارگیری مثبت در معرض کدنویسی یا حل معما در دبیرستان، مستقل از این که آیا تجربه مورد نظر یک دوره علوم کامپیوتر </w:t>
      </w:r>
      <w:r w:rsidRPr="0025250D">
        <w:t>AP</w:t>
      </w:r>
      <w:r w:rsidRPr="0025250D">
        <w:rPr>
          <w:rFonts w:hint="cs"/>
          <w:rtl/>
        </w:rPr>
        <w:t xml:space="preserve"> پیشرفته یا یک تجربه کدنویسی تابستانی ساده‌تر </w:t>
      </w:r>
      <w:r w:rsidR="0001088B" w:rsidRPr="0025250D">
        <w:rPr>
          <w:rFonts w:hint="cs"/>
          <w:rtl/>
        </w:rPr>
        <w:t>بوده است</w:t>
      </w:r>
      <w:r w:rsidRPr="0025250D">
        <w:rPr>
          <w:rFonts w:hint="cs"/>
          <w:rtl/>
        </w:rPr>
        <w:t>. این کاهش شدید در عدم قطعیت، از بیش از بیست متغیر به تنها دو متغیر، به آن‌ها امکان داد تا مداخلاتی را با هدف گیری این دو عامل و برای اندازه‌گیری تأثیر آن‌ها (</w:t>
      </w:r>
      <w:r w:rsidRPr="0025250D">
        <w:t>ROI</w:t>
      </w:r>
      <w:r w:rsidRPr="0025250D">
        <w:rPr>
          <w:rFonts w:hint="cs"/>
          <w:rtl/>
        </w:rPr>
        <w:t xml:space="preserve">) در مقابل دیگر رویکردها طراحی کنند. با انتشار تحقیقات خود، آن‌ها همچنین دیگران را به استفاده از این موارد و تأیید یا رد یافته‌های آن‌ها تشویق کردند. همه این‌ها علم و تحلیل خوبی را ارائه می‌دهند. امروزه، این کار هنوز به‌ندرت توسط گروه‌های </w:t>
      </w:r>
      <w:r w:rsidR="00701E03" w:rsidRPr="0025250D">
        <w:rPr>
          <w:rFonts w:hint="cs"/>
          <w:rtl/>
        </w:rPr>
        <w:t>راهبرد</w:t>
      </w:r>
      <w:r w:rsidRPr="0025250D">
        <w:rPr>
          <w:rFonts w:hint="cs"/>
          <w:rtl/>
        </w:rPr>
        <w:t xml:space="preserve"> شرکتی انجام می‌شود.</w:t>
      </w:r>
    </w:p>
    <w:p w14:paraId="762EC301" w14:textId="2EDDF8EF" w:rsidR="00537CC8" w:rsidRPr="0025250D" w:rsidRDefault="00537CC8" w:rsidP="00537CC8">
      <w:pPr>
        <w:rPr>
          <w:rtl/>
        </w:rPr>
      </w:pPr>
      <w:r w:rsidRPr="0025250D">
        <w:rPr>
          <w:rFonts w:hint="cs"/>
          <w:rtl/>
        </w:rPr>
        <w:t xml:space="preserve">تعداد سازمان‌هایی که مداخلات </w:t>
      </w:r>
      <w:r w:rsidR="00701E03" w:rsidRPr="0025250D">
        <w:rPr>
          <w:rFonts w:hint="cs"/>
          <w:rtl/>
        </w:rPr>
        <w:t>راهبرد</w:t>
      </w:r>
      <w:r w:rsidRPr="0025250D">
        <w:rPr>
          <w:rFonts w:hint="cs"/>
          <w:rtl/>
        </w:rPr>
        <w:t xml:space="preserve"> و سیاسی را با آگاهی از این نوع کارهای تجزیه و تحلیل </w:t>
      </w:r>
      <w:r w:rsidR="00D92F6E" w:rsidRPr="0025250D">
        <w:rPr>
          <w:rFonts w:hint="cs"/>
          <w:rtl/>
        </w:rPr>
        <w:t>پیش‌بین</w:t>
      </w:r>
      <w:r w:rsidRPr="0025250D">
        <w:rPr>
          <w:rFonts w:hint="cs"/>
          <w:rtl/>
        </w:rPr>
        <w:t xml:space="preserve"> انجام می‌دهند، امروزه کم‌تر از حد مورد انتظار است. چنین کارهایی اغلب گرانقیمت نیستند؛ تنها به یک ذهنیت پیش انگار و رویکرد تحلیلی نیاز دارند</w:t>
      </w:r>
      <w:r w:rsidR="008D6F97" w:rsidRPr="0025250D">
        <w:rPr>
          <w:rtl/>
        </w:rPr>
        <w:t xml:space="preserve">؛ </w:t>
      </w:r>
      <w:r w:rsidR="0020589F" w:rsidRPr="0025250D">
        <w:rPr>
          <w:rtl/>
        </w:rPr>
        <w:t>اما</w:t>
      </w:r>
      <w:r w:rsidRPr="0025250D">
        <w:rPr>
          <w:rFonts w:hint="cs"/>
          <w:rtl/>
        </w:rPr>
        <w:t xml:space="preserve"> اگر علم و افرادی مبتنی بر شواهد در موقعیت رهبری نداشته باشیم، سازمان‌ها اغلب رجوع به فرایند‌های ابتکاری متکی بر ابتکار و مهارت فردی سنتی یا حفظ دیدگاه هیچ کاری انجام ندادن</w:t>
      </w:r>
      <w:r w:rsidRPr="0025250D">
        <w:rPr>
          <w:vertAlign w:val="superscript"/>
          <w:rtl/>
        </w:rPr>
        <w:footnoteReference w:id="2154"/>
      </w:r>
      <w:r w:rsidRPr="0025250D">
        <w:rPr>
          <w:rFonts w:hint="cs"/>
          <w:rtl/>
        </w:rPr>
        <w:t xml:space="preserve"> که فرض می‌کند </w:t>
      </w:r>
      <w:r w:rsidR="008D6F97" w:rsidRPr="0025250D">
        <w:rPr>
          <w:rFonts w:hint="cs"/>
          <w:rtl/>
        </w:rPr>
        <w:t>سامانه‌</w:t>
      </w:r>
      <w:r w:rsidRPr="0025250D">
        <w:rPr>
          <w:rFonts w:hint="cs"/>
          <w:rtl/>
        </w:rPr>
        <w:t xml:space="preserve"> </w:t>
      </w:r>
      <w:r w:rsidR="008F0DD8" w:rsidRPr="0025250D">
        <w:rPr>
          <w:rFonts w:hint="cs"/>
          <w:rtl/>
        </w:rPr>
        <w:t>آن‌قدر</w:t>
      </w:r>
      <w:r w:rsidRPr="0025250D">
        <w:rPr>
          <w:rFonts w:hint="cs"/>
          <w:rtl/>
        </w:rPr>
        <w:t xml:space="preserve"> پیچیده است که قابل </w:t>
      </w:r>
      <w:r w:rsidR="00D92F6E" w:rsidRPr="0025250D">
        <w:rPr>
          <w:rFonts w:hint="cs"/>
          <w:rtl/>
        </w:rPr>
        <w:t>پیش‌بین</w:t>
      </w:r>
      <w:r w:rsidRPr="0025250D">
        <w:rPr>
          <w:rFonts w:hint="cs"/>
          <w:rtl/>
        </w:rPr>
        <w:t xml:space="preserve">ی نیست را ساده‌تر می‌دانند. ما نباید وقتی چنین رویکردی نتایجی متوسط به ما می‌دهد غافل گیر شویم. </w:t>
      </w:r>
      <w:r w:rsidRPr="0025250D">
        <w:t>SAS</w:t>
      </w:r>
      <w:r w:rsidRPr="0025250D">
        <w:rPr>
          <w:rFonts w:hint="cs"/>
          <w:rtl/>
        </w:rPr>
        <w:t xml:space="preserve"> و </w:t>
      </w:r>
      <w:r w:rsidRPr="0025250D">
        <w:t>SPSS</w:t>
      </w:r>
      <w:r w:rsidRPr="0025250D">
        <w:rPr>
          <w:rFonts w:hint="cs"/>
          <w:rtl/>
        </w:rPr>
        <w:t xml:space="preserve"> دو پلتفرم نرم افزاری آماری قدرتمند با هدف عمومی هستند که این نوع از کارهای </w:t>
      </w:r>
      <w:r w:rsidR="00D92F6E" w:rsidRPr="0025250D">
        <w:rPr>
          <w:rFonts w:hint="cs"/>
          <w:rtl/>
        </w:rPr>
        <w:t>پیش‌بین</w:t>
      </w:r>
      <w:r w:rsidRPr="0025250D">
        <w:rPr>
          <w:rFonts w:hint="cs"/>
          <w:rtl/>
        </w:rPr>
        <w:t xml:space="preserve">ی کننده را ساده‌تر می‌کنند. این موارد شایسته یادگیری می‌باشند، به ویژه توسط </w:t>
      </w:r>
      <w:r w:rsidRPr="0025250D">
        <w:rPr>
          <w:rtl/>
        </w:rPr>
        <w:t>آینده‌نگار</w:t>
      </w:r>
      <w:r w:rsidRPr="0025250D">
        <w:rPr>
          <w:rFonts w:hint="cs"/>
          <w:rtl/>
        </w:rPr>
        <w:t xml:space="preserve">ان تازه واردی که می‌خواهند خود را متمایز کرده و برای سازمان ارزش افزایی داشته باشند. مجموعه‌ای از ابزارهای تحلیل داده منبع باز هم وجود دارند. خوشبختانه با ساده‌تر ساختن </w:t>
      </w:r>
      <w:r w:rsidR="00923DDB" w:rsidRPr="0025250D">
        <w:rPr>
          <w:rFonts w:hint="cs"/>
          <w:rtl/>
        </w:rPr>
        <w:t>پیش‌انگاری</w:t>
      </w:r>
      <w:r w:rsidRPr="0025250D">
        <w:rPr>
          <w:rFonts w:hint="cs"/>
          <w:rtl/>
        </w:rPr>
        <w:t xml:space="preserve"> توسط پلتفرم‌های تجزیه و تحلیل پشتیبانی شده توسط کلان داده و هوش مصنوعی </w:t>
      </w:r>
      <w:r w:rsidRPr="0025250D">
        <w:rPr>
          <w:rFonts w:cs="Times New Roman" w:hint="cs"/>
          <w:rtl/>
        </w:rPr>
        <w:t>–</w:t>
      </w:r>
      <w:r w:rsidRPr="0025250D">
        <w:rPr>
          <w:rFonts w:hint="cs"/>
          <w:rtl/>
        </w:rPr>
        <w:t xml:space="preserve"> و با درک دستاورد‌های عملکردی بزرگتر توسط تعداد بیش‌تری از رهبران </w:t>
      </w:r>
      <w:r w:rsidRPr="0025250D">
        <w:rPr>
          <w:rFonts w:cs="Times New Roman" w:hint="cs"/>
          <w:rtl/>
        </w:rPr>
        <w:t>–</w:t>
      </w:r>
      <w:r w:rsidRPr="0025250D">
        <w:rPr>
          <w:rFonts w:hint="cs"/>
          <w:rtl/>
        </w:rPr>
        <w:t xml:space="preserve"> مدلسازی و تجزیه و تحلیل </w:t>
      </w:r>
      <w:r w:rsidR="00D92F6E" w:rsidRPr="0025250D">
        <w:rPr>
          <w:rFonts w:hint="cs"/>
          <w:rtl/>
        </w:rPr>
        <w:t>پیش‌بین</w:t>
      </w:r>
      <w:r w:rsidRPr="0025250D">
        <w:rPr>
          <w:rFonts w:hint="cs"/>
          <w:rtl/>
        </w:rPr>
        <w:t xml:space="preserve"> به شکل فزاینده‌ای در </w:t>
      </w:r>
      <w:r w:rsidR="00701E03" w:rsidRPr="0025250D">
        <w:rPr>
          <w:rFonts w:hint="cs"/>
          <w:rtl/>
        </w:rPr>
        <w:t>راهبرد</w:t>
      </w:r>
      <w:r w:rsidRPr="0025250D">
        <w:rPr>
          <w:rFonts w:hint="cs"/>
          <w:rtl/>
        </w:rPr>
        <w:t xml:space="preserve"> </w:t>
      </w:r>
      <w:r w:rsidR="00B124DE" w:rsidRPr="0025250D">
        <w:rPr>
          <w:rFonts w:hint="cs"/>
          <w:rtl/>
        </w:rPr>
        <w:t>کسب‌و‌کار</w:t>
      </w:r>
      <w:r w:rsidRPr="0025250D">
        <w:rPr>
          <w:rFonts w:hint="cs"/>
          <w:rtl/>
        </w:rPr>
        <w:t xml:space="preserve"> استفاده خواهند شد.</w:t>
      </w:r>
    </w:p>
    <w:p w14:paraId="7AFC06EE" w14:textId="09BE628B" w:rsidR="00537CC8" w:rsidRPr="0025250D" w:rsidRDefault="00537CC8" w:rsidP="00537CC8">
      <w:pPr>
        <w:rPr>
          <w:rtl/>
        </w:rPr>
      </w:pPr>
      <w:r w:rsidRPr="0025250D">
        <w:rPr>
          <w:rFonts w:hint="cs"/>
          <w:rtl/>
        </w:rPr>
        <w:t xml:space="preserve">دو گروه بسیار امیدوارکننده و در حال حاضر کم‌تر توسعه یافته از روش‌های </w:t>
      </w:r>
      <w:r w:rsidR="00923DDB" w:rsidRPr="0025250D">
        <w:rPr>
          <w:rFonts w:hint="cs"/>
          <w:rtl/>
        </w:rPr>
        <w:t>پیش‌انگاری</w:t>
      </w:r>
      <w:r w:rsidRPr="0025250D">
        <w:rPr>
          <w:rFonts w:hint="cs"/>
          <w:rtl/>
        </w:rPr>
        <w:t>، دلفی زمان واقعی</w:t>
      </w:r>
      <w:r w:rsidRPr="0025250D">
        <w:rPr>
          <w:vertAlign w:val="superscript"/>
          <w:rtl/>
        </w:rPr>
        <w:footnoteReference w:id="2155"/>
      </w:r>
      <w:r w:rsidRPr="0025250D">
        <w:rPr>
          <w:rFonts w:hint="cs"/>
          <w:rtl/>
        </w:rPr>
        <w:t xml:space="preserve"> (تخمین و </w:t>
      </w:r>
      <w:r w:rsidR="00FB6A7E" w:rsidRPr="0025250D">
        <w:rPr>
          <w:rFonts w:hint="cs"/>
          <w:rtl/>
        </w:rPr>
        <w:t>پیش‌نگری</w:t>
      </w:r>
      <w:r w:rsidRPr="0025250D">
        <w:rPr>
          <w:rFonts w:hint="cs"/>
          <w:rtl/>
        </w:rPr>
        <w:t xml:space="preserve"> گروهی آنلاین) و بازارهای </w:t>
      </w:r>
      <w:r w:rsidR="00D92F6E" w:rsidRPr="0025250D">
        <w:rPr>
          <w:rFonts w:hint="cs"/>
          <w:rtl/>
        </w:rPr>
        <w:t>پیش‌بین</w:t>
      </w:r>
      <w:r w:rsidRPr="0025250D">
        <w:rPr>
          <w:rFonts w:hint="cs"/>
          <w:rtl/>
        </w:rPr>
        <w:t>ی (</w:t>
      </w:r>
      <w:r w:rsidR="00FB6A7E" w:rsidRPr="0025250D">
        <w:rPr>
          <w:rFonts w:hint="cs"/>
          <w:rtl/>
        </w:rPr>
        <w:t>پیش‌نگری</w:t>
      </w:r>
      <w:r w:rsidRPr="0025250D">
        <w:rPr>
          <w:rFonts w:hint="cs"/>
          <w:rtl/>
        </w:rPr>
        <w:t xml:space="preserve"> گروهی که پاداش مالی یا دیگر انگیزه‌ها را برای یافتن بهترین </w:t>
      </w:r>
      <w:r w:rsidR="00D92F6E" w:rsidRPr="0025250D">
        <w:rPr>
          <w:rFonts w:hint="cs"/>
          <w:rtl/>
        </w:rPr>
        <w:t>پیش‌بین</w:t>
      </w:r>
      <w:r w:rsidRPr="0025250D">
        <w:rPr>
          <w:rFonts w:hint="cs"/>
          <w:rtl/>
        </w:rPr>
        <w:t xml:space="preserve">ی کننده‌ها در هر حوزه مورد نظر پیشنهاد می‌دهند) هستند. بازار </w:t>
      </w:r>
      <w:r w:rsidR="00D92F6E" w:rsidRPr="0025250D">
        <w:rPr>
          <w:rFonts w:hint="cs"/>
          <w:rtl/>
        </w:rPr>
        <w:t>پیش‌بین</w:t>
      </w:r>
      <w:r w:rsidRPr="0025250D">
        <w:rPr>
          <w:rFonts w:hint="cs"/>
          <w:rtl/>
        </w:rPr>
        <w:t xml:space="preserve">ی می‌تواند هم به‌عنوان هوش جمعی، یک تخصص یادگیری یا </w:t>
      </w:r>
      <w:r w:rsidR="00D92F6E" w:rsidRPr="0025250D">
        <w:rPr>
          <w:rFonts w:hint="cs"/>
          <w:rtl/>
        </w:rPr>
        <w:t>پیش‌بین</w:t>
      </w:r>
      <w:r w:rsidRPr="0025250D">
        <w:rPr>
          <w:rFonts w:hint="cs"/>
          <w:rtl/>
        </w:rPr>
        <w:t xml:space="preserve">ی، یک تخصص </w:t>
      </w:r>
      <w:r w:rsidR="00923DDB" w:rsidRPr="0025250D">
        <w:rPr>
          <w:rFonts w:hint="cs"/>
          <w:rtl/>
        </w:rPr>
        <w:t>پیش‌انگاری</w:t>
      </w:r>
      <w:r w:rsidRPr="0025250D">
        <w:rPr>
          <w:rFonts w:hint="cs"/>
          <w:rtl/>
        </w:rPr>
        <w:t xml:space="preserve">، بسته به دیدگاه ما در نظر گرفته شود. هر دو دیدگاه برای مدیران و رهبران دارای </w:t>
      </w:r>
      <w:r w:rsidRPr="0025250D">
        <w:rPr>
          <w:rtl/>
        </w:rPr>
        <w:t>آینده‌نگاری</w:t>
      </w:r>
      <w:r w:rsidRPr="0025250D">
        <w:rPr>
          <w:rFonts w:hint="cs"/>
          <w:rtl/>
        </w:rPr>
        <w:t xml:space="preserve"> مفید هستند.</w:t>
      </w:r>
    </w:p>
    <w:p w14:paraId="31A2DC43" w14:textId="77777777" w:rsidR="00537CC8" w:rsidRPr="0025250D" w:rsidRDefault="00537CC8" w:rsidP="00D53F87">
      <w:pPr>
        <w:jc w:val="center"/>
        <w:rPr>
          <w:rtl/>
        </w:rPr>
      </w:pPr>
      <w:r w:rsidRPr="0025250D">
        <w:rPr>
          <w:noProof/>
          <w:rtl/>
          <w:lang w:bidi="ar-SA"/>
        </w:rPr>
        <w:drawing>
          <wp:inline distT="0" distB="0" distL="0" distR="0" wp14:anchorId="0A55DD08" wp14:editId="5C017F0B">
            <wp:extent cx="1525905" cy="1990725"/>
            <wp:effectExtent l="0" t="0" r="0" b="9525"/>
            <wp:docPr id="121" name="Picture 121" descr="D:\کار\مستقل\3 ( ترجمه ی دانشگاه تهران  )\Introduction to Foresight\part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کار\مستقل\3 ( ترجمه ی دانشگاه تهران  )\Introduction to Foresight\part5\19.png"/>
                    <pic:cNvPicPr>
                      <a:picLocks noChangeAspect="1" noChangeArrowheads="1"/>
                    </pic:cNvPicPr>
                  </pic:nvPicPr>
                  <pic:blipFill rotWithShape="1">
                    <a:blip r:embed="rId190" cstate="screen">
                      <a:extLst>
                        <a:ext uri="{BEBA8EAE-BF5A-486C-A8C5-ECC9F3942E4B}">
                          <a14:imgProps xmlns:a14="http://schemas.microsoft.com/office/drawing/2010/main">
                            <a14:imgLayer r:embed="rId191">
                              <a14:imgEffect>
                                <a14:saturation sat="0"/>
                              </a14:imgEffect>
                            </a14:imgLayer>
                          </a14:imgProps>
                        </a:ext>
                        <a:ext uri="{28A0092B-C50C-407E-A947-70E740481C1C}">
                          <a14:useLocalDpi xmlns:a14="http://schemas.microsoft.com/office/drawing/2010/main"/>
                        </a:ext>
                      </a:extLst>
                    </a:blip>
                    <a:srcRect/>
                    <a:stretch/>
                  </pic:blipFill>
                  <pic:spPr bwMode="auto">
                    <a:xfrm>
                      <a:off x="0" y="0"/>
                      <a:ext cx="1535475" cy="2003210"/>
                    </a:xfrm>
                    <a:prstGeom prst="rect">
                      <a:avLst/>
                    </a:prstGeom>
                    <a:noFill/>
                    <a:ln>
                      <a:noFill/>
                    </a:ln>
                    <a:extLst>
                      <a:ext uri="{53640926-AAD7-44D8-BBD7-CCE9431645EC}">
                        <a14:shadowObscured xmlns:a14="http://schemas.microsoft.com/office/drawing/2010/main"/>
                      </a:ext>
                    </a:extLst>
                  </pic:spPr>
                </pic:pic>
              </a:graphicData>
            </a:graphic>
          </wp:inline>
        </w:drawing>
      </w:r>
    </w:p>
    <w:p w14:paraId="4FE8BD4C" w14:textId="77777777" w:rsidR="00537CC8" w:rsidRPr="0025250D" w:rsidRDefault="00537CC8" w:rsidP="00D53F87">
      <w:pPr>
        <w:jc w:val="center"/>
        <w:rPr>
          <w:rtl/>
        </w:rPr>
      </w:pPr>
      <w:r w:rsidRPr="0025250D">
        <w:rPr>
          <w:rFonts w:hint="cs"/>
          <w:rtl/>
        </w:rPr>
        <w:t>تامپسون، 2012</w:t>
      </w:r>
    </w:p>
    <w:p w14:paraId="2EB2E6F9" w14:textId="1E7BF9FD" w:rsidR="00537CC8" w:rsidRPr="0025250D" w:rsidRDefault="00537CC8" w:rsidP="00537CC8">
      <w:pPr>
        <w:rPr>
          <w:rtl/>
        </w:rPr>
      </w:pPr>
      <w:r w:rsidRPr="0025250D">
        <w:rPr>
          <w:rtl/>
        </w:rPr>
        <w:t>هونو</w:t>
      </w:r>
      <w:r w:rsidRPr="0025250D">
        <w:rPr>
          <w:vertAlign w:val="superscript"/>
          <w:rtl/>
        </w:rPr>
        <w:footnoteReference w:id="2156"/>
      </w:r>
      <w:r w:rsidRPr="0025250D">
        <w:rPr>
          <w:rFonts w:hint="cs"/>
          <w:rtl/>
        </w:rPr>
        <w:t xml:space="preserve"> و </w:t>
      </w:r>
      <w:r w:rsidRPr="0025250D">
        <w:rPr>
          <w:rtl/>
        </w:rPr>
        <w:t>زوکالو</w:t>
      </w:r>
      <w:r w:rsidRPr="0025250D">
        <w:rPr>
          <w:vertAlign w:val="superscript"/>
          <w:rtl/>
        </w:rPr>
        <w:footnoteReference w:id="2157"/>
      </w:r>
      <w:r w:rsidRPr="0025250D">
        <w:rPr>
          <w:rFonts w:hint="cs"/>
          <w:rtl/>
        </w:rPr>
        <w:t xml:space="preserve"> دو تلاش اولیه در فضای بازار </w:t>
      </w:r>
      <w:r w:rsidR="00D92F6E" w:rsidRPr="0025250D">
        <w:rPr>
          <w:rFonts w:hint="cs"/>
          <w:rtl/>
        </w:rPr>
        <w:t>پیش‌بین</w:t>
      </w:r>
      <w:r w:rsidRPr="0025250D">
        <w:rPr>
          <w:rFonts w:hint="cs"/>
          <w:rtl/>
        </w:rPr>
        <w:t>ی هستند. کتاب اینفوتوپیا</w:t>
      </w:r>
      <w:r w:rsidRPr="0025250D">
        <w:rPr>
          <w:vertAlign w:val="superscript"/>
          <w:rtl/>
        </w:rPr>
        <w:footnoteReference w:id="2158"/>
      </w:r>
      <w:r w:rsidRPr="0025250D">
        <w:rPr>
          <w:rFonts w:hint="cs"/>
          <w:rtl/>
        </w:rPr>
        <w:t xml:space="preserve"> اثر </w:t>
      </w:r>
      <w:r w:rsidRPr="0025250D">
        <w:rPr>
          <w:rtl/>
        </w:rPr>
        <w:t>کاس سانستا</w:t>
      </w:r>
      <w:r w:rsidRPr="0025250D">
        <w:rPr>
          <w:rFonts w:hint="cs"/>
          <w:rtl/>
        </w:rPr>
        <w:t>ی</w:t>
      </w:r>
      <w:r w:rsidRPr="0025250D">
        <w:rPr>
          <w:rFonts w:hint="eastAsia"/>
          <w:rtl/>
        </w:rPr>
        <w:t>ن</w:t>
      </w:r>
      <w:r w:rsidRPr="0025250D">
        <w:rPr>
          <w:vertAlign w:val="superscript"/>
          <w:rtl/>
        </w:rPr>
        <w:footnoteReference w:id="2159"/>
      </w:r>
      <w:r w:rsidRPr="0025250D">
        <w:rPr>
          <w:rFonts w:hint="cs"/>
          <w:rtl/>
        </w:rPr>
        <w:t xml:space="preserve"> در سال 2008 و پیشگویان: بازارهای </w:t>
      </w:r>
      <w:r w:rsidR="00D92F6E" w:rsidRPr="0025250D">
        <w:rPr>
          <w:rFonts w:hint="cs"/>
          <w:rtl/>
        </w:rPr>
        <w:t>پیش‌بین</w:t>
      </w:r>
      <w:r w:rsidRPr="0025250D">
        <w:rPr>
          <w:rFonts w:hint="cs"/>
          <w:rtl/>
        </w:rPr>
        <w:t xml:space="preserve">ی چگونه کارمندان را به افرادی </w:t>
      </w:r>
      <w:r w:rsidR="00B56611" w:rsidRPr="0025250D">
        <w:rPr>
          <w:rFonts w:hint="cs"/>
          <w:rtl/>
        </w:rPr>
        <w:t>چشم‌انداز</w:t>
      </w:r>
      <w:r w:rsidRPr="0025250D">
        <w:rPr>
          <w:rFonts w:hint="cs"/>
          <w:rtl/>
        </w:rPr>
        <w:t>گرا تبدیل می‌کنند</w:t>
      </w:r>
      <w:r w:rsidRPr="0025250D">
        <w:rPr>
          <w:vertAlign w:val="superscript"/>
          <w:rtl/>
        </w:rPr>
        <w:footnoteReference w:id="2160"/>
      </w:r>
      <w:r w:rsidRPr="0025250D">
        <w:rPr>
          <w:rFonts w:hint="cs"/>
          <w:rtl/>
        </w:rPr>
        <w:t xml:space="preserve"> اثر </w:t>
      </w:r>
      <w:r w:rsidRPr="0025250D">
        <w:rPr>
          <w:rtl/>
        </w:rPr>
        <w:t>دون تامپسون</w:t>
      </w:r>
      <w:r w:rsidRPr="0025250D">
        <w:rPr>
          <w:vertAlign w:val="superscript"/>
          <w:rtl/>
        </w:rPr>
        <w:footnoteReference w:id="2161"/>
      </w:r>
      <w:r w:rsidRPr="0025250D">
        <w:rPr>
          <w:rFonts w:hint="cs"/>
          <w:rtl/>
        </w:rPr>
        <w:t xml:space="preserve"> در سال 2012 را به‌عنوان دو منبع خوب درمورد تجربه حقیقی در بازارهای </w:t>
      </w:r>
      <w:r w:rsidR="00D92F6E" w:rsidRPr="0025250D">
        <w:rPr>
          <w:rFonts w:hint="cs"/>
          <w:rtl/>
        </w:rPr>
        <w:t>پیش‌بین</w:t>
      </w:r>
      <w:r w:rsidRPr="0025250D">
        <w:rPr>
          <w:rFonts w:hint="cs"/>
          <w:rtl/>
        </w:rPr>
        <w:t xml:space="preserve">ی امروزی ببینید. درست مانند تخمین گروهی (چالش تخمین </w:t>
      </w:r>
      <w:r w:rsidRPr="0025250D">
        <w:rPr>
          <w:rtl/>
        </w:rPr>
        <w:t>آب‌نبات ژله‌ا</w:t>
      </w:r>
      <w:r w:rsidRPr="0025250D">
        <w:rPr>
          <w:rFonts w:hint="cs"/>
          <w:rtl/>
        </w:rPr>
        <w:t>ی</w:t>
      </w:r>
      <w:r w:rsidRPr="0025250D">
        <w:rPr>
          <w:vertAlign w:val="superscript"/>
          <w:rtl/>
        </w:rPr>
        <w:footnoteReference w:id="2162"/>
      </w:r>
      <w:r w:rsidRPr="0025250D">
        <w:rPr>
          <w:rFonts w:hint="cs"/>
          <w:rtl/>
        </w:rPr>
        <w:t xml:space="preserve"> را به یاد آورید)، مطالعات نشان داده</w:t>
      </w:r>
      <w:r w:rsidR="0001088B" w:rsidRPr="0025250D">
        <w:rPr>
          <w:rFonts w:hint="cs"/>
          <w:rtl/>
        </w:rPr>
        <w:t>‌</w:t>
      </w:r>
      <w:r w:rsidRPr="0025250D">
        <w:rPr>
          <w:rFonts w:hint="cs"/>
          <w:rtl/>
        </w:rPr>
        <w:t xml:space="preserve">اند که این پلتفرم‌ها می‌توانند پیش‌نگری‌های دقیق‌تر و مجموعه‌ای غنی‌تر از آینده‌های </w:t>
      </w:r>
      <w:r w:rsidR="00563645" w:rsidRPr="0025250D">
        <w:rPr>
          <w:rFonts w:hint="cs"/>
          <w:rtl/>
        </w:rPr>
        <w:t>بدیل</w:t>
      </w:r>
      <w:r w:rsidRPr="0025250D">
        <w:rPr>
          <w:rFonts w:hint="cs"/>
          <w:rtl/>
        </w:rPr>
        <w:t xml:space="preserve"> را نسبت به موارد ارائه شده توسط متخصصین منفرد ارائه دهند. حتی با این وجود که این کار مدیریت را چالش برانگیز‌تر می‌کند، این داده‌ها همچنین نشان می‌دهند که رهبران به تنوع شناختی قابل اندازه‌گیری در تیم‌های </w:t>
      </w:r>
      <w:r w:rsidR="00923DDB" w:rsidRPr="0025250D">
        <w:rPr>
          <w:rFonts w:hint="cs"/>
          <w:rtl/>
        </w:rPr>
        <w:t>پیش‌انگاری</w:t>
      </w:r>
      <w:r w:rsidRPr="0025250D">
        <w:rPr>
          <w:rFonts w:hint="cs"/>
          <w:rtl/>
        </w:rPr>
        <w:t xml:space="preserve"> خود در صورتی که خواهان بهترین نتایج برای مسائل </w:t>
      </w:r>
      <w:r w:rsidR="00923DDB" w:rsidRPr="0025250D">
        <w:rPr>
          <w:rFonts w:hint="cs"/>
          <w:rtl/>
        </w:rPr>
        <w:t>پیش‌انگاری</w:t>
      </w:r>
      <w:r w:rsidRPr="0025250D">
        <w:rPr>
          <w:rFonts w:hint="cs"/>
          <w:rtl/>
        </w:rPr>
        <w:t xml:space="preserve"> پیچیده و </w:t>
      </w:r>
      <w:r w:rsidR="0001088B" w:rsidRPr="0025250D">
        <w:rPr>
          <w:rFonts w:hint="cs"/>
          <w:rtl/>
        </w:rPr>
        <w:t xml:space="preserve">دارای </w:t>
      </w:r>
      <w:r w:rsidRPr="0025250D">
        <w:rPr>
          <w:rFonts w:hint="cs"/>
          <w:rtl/>
        </w:rPr>
        <w:t xml:space="preserve">ساختار بندی </w:t>
      </w:r>
      <w:r w:rsidR="0001088B" w:rsidRPr="0025250D">
        <w:rPr>
          <w:rFonts w:hint="cs"/>
          <w:rtl/>
        </w:rPr>
        <w:t>ضعیف</w:t>
      </w:r>
      <w:r w:rsidRPr="0025250D">
        <w:rPr>
          <w:rFonts w:hint="cs"/>
          <w:rtl/>
        </w:rPr>
        <w:t>، نیاز دارند. کتاب تفاوت</w:t>
      </w:r>
      <w:r w:rsidRPr="0025250D">
        <w:rPr>
          <w:vertAlign w:val="superscript"/>
          <w:rtl/>
        </w:rPr>
        <w:footnoteReference w:id="2163"/>
      </w:r>
      <w:r w:rsidRPr="0025250D">
        <w:rPr>
          <w:rFonts w:hint="cs"/>
          <w:rtl/>
        </w:rPr>
        <w:t xml:space="preserve"> اثر </w:t>
      </w:r>
      <w:r w:rsidRPr="0025250D">
        <w:rPr>
          <w:rtl/>
        </w:rPr>
        <w:t>اسکات پ</w:t>
      </w:r>
      <w:r w:rsidRPr="0025250D">
        <w:rPr>
          <w:rFonts w:hint="cs"/>
          <w:rtl/>
        </w:rPr>
        <w:t>ی</w:t>
      </w:r>
      <w:r w:rsidRPr="0025250D">
        <w:rPr>
          <w:rFonts w:hint="eastAsia"/>
          <w:rtl/>
        </w:rPr>
        <w:t>ج</w:t>
      </w:r>
      <w:r w:rsidRPr="0025250D">
        <w:rPr>
          <w:vertAlign w:val="superscript"/>
          <w:rtl/>
        </w:rPr>
        <w:footnoteReference w:id="2164"/>
      </w:r>
      <w:r w:rsidRPr="0025250D">
        <w:rPr>
          <w:rFonts w:hint="cs"/>
          <w:rtl/>
        </w:rPr>
        <w:t xml:space="preserve"> در سال 2005 را برای شواهدی درمورد این ادعا ببینید. همچنین شواهد محکمی وجود دارند که ما به ترکیب روش‌های تحلیلی (داده‌ها و الگوریتم ها) با روش‌هایی که بر قضاوت انسانی متکی هستند (دلفی و بازارهای </w:t>
      </w:r>
      <w:r w:rsidR="00D92F6E" w:rsidRPr="0025250D">
        <w:rPr>
          <w:rFonts w:hint="cs"/>
          <w:rtl/>
        </w:rPr>
        <w:t>پیش‌بین</w:t>
      </w:r>
      <w:r w:rsidRPr="0025250D">
        <w:rPr>
          <w:rFonts w:hint="cs"/>
          <w:rtl/>
        </w:rPr>
        <w:t xml:space="preserve">ی) در ارزیابی متغیر‌های انتزاعی‌تر نیاز داریم. تکنیک‌های </w:t>
      </w:r>
      <w:r w:rsidRPr="0025250D">
        <w:rPr>
          <w:rtl/>
        </w:rPr>
        <w:t>تجز</w:t>
      </w:r>
      <w:r w:rsidRPr="0025250D">
        <w:rPr>
          <w:rFonts w:hint="cs"/>
          <w:rtl/>
        </w:rPr>
        <w:t>ی</w:t>
      </w:r>
      <w:r w:rsidRPr="0025250D">
        <w:rPr>
          <w:rFonts w:hint="eastAsia"/>
          <w:rtl/>
        </w:rPr>
        <w:t>ه</w:t>
      </w:r>
      <w:r w:rsidRPr="0025250D">
        <w:rPr>
          <w:rtl/>
        </w:rPr>
        <w:t xml:space="preserve"> و تحل</w:t>
      </w:r>
      <w:r w:rsidRPr="0025250D">
        <w:rPr>
          <w:rFonts w:hint="cs"/>
          <w:rtl/>
        </w:rPr>
        <w:t>ی</w:t>
      </w:r>
      <w:r w:rsidRPr="0025250D">
        <w:rPr>
          <w:rFonts w:hint="eastAsia"/>
          <w:rtl/>
        </w:rPr>
        <w:t>ل</w:t>
      </w:r>
      <w:r w:rsidRPr="0025250D">
        <w:rPr>
          <w:rFonts w:hint="cs"/>
          <w:rtl/>
        </w:rPr>
        <w:t xml:space="preserve"> تأثیر گذار نیت سیلور</w:t>
      </w:r>
      <w:r w:rsidRPr="0025250D">
        <w:rPr>
          <w:vertAlign w:val="superscript"/>
          <w:rtl/>
        </w:rPr>
        <w:footnoteReference w:id="2165"/>
      </w:r>
      <w:r w:rsidRPr="0025250D">
        <w:rPr>
          <w:rFonts w:hint="cs"/>
          <w:rtl/>
        </w:rPr>
        <w:t xml:space="preserve"> برای </w:t>
      </w:r>
      <w:r w:rsidR="00D92F6E" w:rsidRPr="0025250D">
        <w:rPr>
          <w:rFonts w:hint="cs"/>
          <w:rtl/>
        </w:rPr>
        <w:t>پیش‌بین</w:t>
      </w:r>
      <w:r w:rsidRPr="0025250D">
        <w:rPr>
          <w:rFonts w:hint="cs"/>
          <w:rtl/>
        </w:rPr>
        <w:t xml:space="preserve">ی دور مقدماتی انتخابات ریاست جمهوری آمریکا در سال 2008 و 2012 بسیار کم‌تر از وقتی که برای پیش‌بینی‌های جام جهانی در سال 2014 به کار گرفته شدند تأثیر گذار و تحسین برانگیز بودند. بازارهای </w:t>
      </w:r>
      <w:r w:rsidR="00D92F6E" w:rsidRPr="0025250D">
        <w:rPr>
          <w:rFonts w:hint="cs"/>
          <w:rtl/>
        </w:rPr>
        <w:t>پیش‌بین</w:t>
      </w:r>
      <w:r w:rsidRPr="0025250D">
        <w:rPr>
          <w:rFonts w:hint="cs"/>
          <w:rtl/>
        </w:rPr>
        <w:t>ی به تحقیق و توسعه بیش‌تری برای کشف این که کجا و چه زمانی مفید‌تر هستند، نیاز دارند.</w:t>
      </w:r>
    </w:p>
    <w:p w14:paraId="2053BA8C" w14:textId="0689DA54" w:rsidR="00537CC8" w:rsidRPr="0025250D" w:rsidRDefault="00537CC8" w:rsidP="00537CC8">
      <w:pPr>
        <w:rPr>
          <w:rtl/>
        </w:rPr>
      </w:pPr>
      <w:r w:rsidRPr="0025250D">
        <w:rPr>
          <w:rFonts w:hint="cs"/>
          <w:rtl/>
        </w:rPr>
        <w:t xml:space="preserve">چند شرکت مشاوره‌ای </w:t>
      </w:r>
      <w:r w:rsidRPr="0025250D">
        <w:rPr>
          <w:rtl/>
        </w:rPr>
        <w:t>آینده‌نگاری</w:t>
      </w:r>
      <w:r w:rsidRPr="0025250D">
        <w:rPr>
          <w:rFonts w:hint="cs"/>
          <w:rtl/>
        </w:rPr>
        <w:t xml:space="preserve"> امروزه پلتفرم‌های دلفی زمان واقعی را ارائه می‌دهند، اما نرم افزار و رابط کاربری آن‌ها در حال حاضر مبتدی هستند. بسیاری از شرکت‌ها آغاز به ایجاد بازارهای </w:t>
      </w:r>
      <w:r w:rsidR="00D92F6E" w:rsidRPr="0025250D">
        <w:rPr>
          <w:rFonts w:hint="cs"/>
          <w:rtl/>
        </w:rPr>
        <w:t>پیش‌بین</w:t>
      </w:r>
      <w:r w:rsidRPr="0025250D">
        <w:rPr>
          <w:rFonts w:hint="cs"/>
          <w:rtl/>
        </w:rPr>
        <w:t xml:space="preserve">ی داخلی کرده و سپس آن‌ها را رها کردند، زیر این کار به آموزش و تسهیل گری دقیق شرکت کنندگان نیاز دارد. متأسفانه، امروزه پیشنهادات تجاری </w:t>
      </w:r>
      <w:r w:rsidR="0008779C" w:rsidRPr="0025250D">
        <w:rPr>
          <w:rFonts w:hint="cs"/>
          <w:rtl/>
        </w:rPr>
        <w:t>موفقیت‌آمیز</w:t>
      </w:r>
      <w:r w:rsidRPr="0025250D">
        <w:rPr>
          <w:rFonts w:hint="cs"/>
          <w:rtl/>
        </w:rPr>
        <w:t xml:space="preserve"> متعددی در این فضا وجود ندارند. یک پلتفرم تحقیقاتی غیر تجاری مورد توجه پروژه قضاوت خوب</w:t>
      </w:r>
      <w:r w:rsidRPr="0025250D">
        <w:rPr>
          <w:vertAlign w:val="superscript"/>
          <w:rtl/>
        </w:rPr>
        <w:footnoteReference w:id="2166"/>
      </w:r>
      <w:r w:rsidRPr="0025250D">
        <w:rPr>
          <w:rFonts w:hint="cs"/>
          <w:rtl/>
        </w:rPr>
        <w:t xml:space="preserve"> از </w:t>
      </w:r>
      <w:r w:rsidRPr="0025250D">
        <w:rPr>
          <w:rtl/>
        </w:rPr>
        <w:t>ف</w:t>
      </w:r>
      <w:r w:rsidRPr="0025250D">
        <w:rPr>
          <w:rFonts w:hint="cs"/>
          <w:rtl/>
        </w:rPr>
        <w:t>ی</w:t>
      </w:r>
      <w:r w:rsidRPr="0025250D">
        <w:rPr>
          <w:rFonts w:hint="eastAsia"/>
          <w:rtl/>
        </w:rPr>
        <w:t>ل</w:t>
      </w:r>
      <w:r w:rsidRPr="0025250D">
        <w:rPr>
          <w:rFonts w:hint="cs"/>
          <w:rtl/>
        </w:rPr>
        <w:t>ی</w:t>
      </w:r>
      <w:r w:rsidRPr="0025250D">
        <w:rPr>
          <w:rFonts w:hint="eastAsia"/>
          <w:rtl/>
        </w:rPr>
        <w:t>پ</w:t>
      </w:r>
      <w:r w:rsidRPr="0025250D">
        <w:rPr>
          <w:rtl/>
        </w:rPr>
        <w:t xml:space="preserve"> تتلاک</w:t>
      </w:r>
      <w:r w:rsidRPr="0025250D">
        <w:rPr>
          <w:rFonts w:hint="cs"/>
          <w:rtl/>
        </w:rPr>
        <w:t xml:space="preserve"> در دانشگاه پنسیلوانیا و یو سی </w:t>
      </w:r>
      <w:r w:rsidRPr="0025250D">
        <w:rPr>
          <w:rtl/>
        </w:rPr>
        <w:t>برکل</w:t>
      </w:r>
      <w:r w:rsidRPr="0025250D">
        <w:rPr>
          <w:rFonts w:hint="cs"/>
          <w:rtl/>
        </w:rPr>
        <w:t xml:space="preserve">ی است. این مورد در حال حاضر برجسته‌ترین روش پیشتاز برای </w:t>
      </w:r>
      <w:r w:rsidR="00D92F6E" w:rsidRPr="0025250D">
        <w:rPr>
          <w:rFonts w:hint="cs"/>
          <w:rtl/>
        </w:rPr>
        <w:t>پیش‌بین</w:t>
      </w:r>
      <w:r w:rsidRPr="0025250D">
        <w:rPr>
          <w:rFonts w:hint="cs"/>
          <w:rtl/>
        </w:rPr>
        <w:t>ی اجتماعی و سیاسی است و یافته‌های خود را که تحسین برانگیز هستند، منتشر می‌کند</w:t>
      </w:r>
      <w:r w:rsidR="008D6F97" w:rsidRPr="0025250D">
        <w:rPr>
          <w:rtl/>
        </w:rPr>
        <w:t xml:space="preserve">؛ </w:t>
      </w:r>
      <w:r w:rsidR="0020589F" w:rsidRPr="0025250D">
        <w:rPr>
          <w:rtl/>
        </w:rPr>
        <w:t>اما</w:t>
      </w:r>
      <w:r w:rsidRPr="0025250D">
        <w:rPr>
          <w:rFonts w:hint="cs"/>
          <w:rtl/>
        </w:rPr>
        <w:t xml:space="preserve"> امروزه، </w:t>
      </w:r>
      <w:r w:rsidR="00F50EB4" w:rsidRPr="0025250D">
        <w:rPr>
          <w:rFonts w:hint="cs"/>
          <w:rtl/>
        </w:rPr>
        <w:t>سرمایه‌گذاری</w:t>
      </w:r>
      <w:r w:rsidRPr="0025250D">
        <w:rPr>
          <w:rFonts w:hint="cs"/>
          <w:rtl/>
        </w:rPr>
        <w:t xml:space="preserve"> عمومی و خصوصی برای تحقیقات </w:t>
      </w:r>
      <w:r w:rsidR="00FB6A7E" w:rsidRPr="0025250D">
        <w:rPr>
          <w:rFonts w:hint="cs"/>
          <w:rtl/>
        </w:rPr>
        <w:t>پیش‌نگری</w:t>
      </w:r>
      <w:r w:rsidRPr="0025250D">
        <w:rPr>
          <w:rFonts w:hint="cs"/>
          <w:rtl/>
        </w:rPr>
        <w:t xml:space="preserve"> جمعی هنوز اندک باقی مانده اند. ممکن است هم به یک شبکه معنایی بهبود یافته و هم به روش‌های </w:t>
      </w:r>
      <w:r w:rsidR="00B72904" w:rsidRPr="0025250D">
        <w:rPr>
          <w:rFonts w:hint="cs"/>
          <w:rtl/>
        </w:rPr>
        <w:t>با</w:t>
      </w:r>
      <w:r w:rsidRPr="0025250D">
        <w:rPr>
          <w:rFonts w:hint="cs"/>
          <w:rtl/>
        </w:rPr>
        <w:t xml:space="preserve"> صحت سنجی </w:t>
      </w:r>
      <w:r w:rsidR="00B72904" w:rsidRPr="0025250D">
        <w:rPr>
          <w:rFonts w:hint="cs"/>
          <w:rtl/>
        </w:rPr>
        <w:t>بهتر</w:t>
      </w:r>
      <w:r w:rsidRPr="0025250D">
        <w:rPr>
          <w:rFonts w:hint="cs"/>
          <w:rtl/>
        </w:rPr>
        <w:t xml:space="preserve">، قبل از مشاهده شکوفایی پلتفرم‌های </w:t>
      </w:r>
      <w:r w:rsidR="00D92F6E" w:rsidRPr="0025250D">
        <w:rPr>
          <w:rFonts w:hint="cs"/>
          <w:rtl/>
        </w:rPr>
        <w:t>پیش‌بین</w:t>
      </w:r>
      <w:r w:rsidRPr="0025250D">
        <w:rPr>
          <w:rFonts w:hint="cs"/>
          <w:rtl/>
        </w:rPr>
        <w:t>ی و دلفی زمان واقعی نیاز داشته باشیم.</w:t>
      </w:r>
    </w:p>
    <w:p w14:paraId="47284967" w14:textId="2F924079" w:rsidR="00537CC8" w:rsidRPr="0025250D" w:rsidRDefault="00F50EB4" w:rsidP="00537CC8">
      <w:pPr>
        <w:rPr>
          <w:rtl/>
        </w:rPr>
      </w:pPr>
      <w:r w:rsidRPr="0025250D">
        <w:rPr>
          <w:rFonts w:hint="cs"/>
          <w:rtl/>
        </w:rPr>
        <w:t>سرمایه‌گذاری</w:t>
      </w:r>
      <w:r w:rsidR="00537CC8" w:rsidRPr="0025250D">
        <w:rPr>
          <w:rFonts w:hint="cs"/>
          <w:rtl/>
        </w:rPr>
        <w:t xml:space="preserve"> و امور مالی (مدیریت دارایی ها) یک تخصص سازمانی است که مدل‌های کمّی </w:t>
      </w:r>
      <w:r w:rsidR="00D92F6E" w:rsidRPr="0025250D">
        <w:rPr>
          <w:rFonts w:hint="cs"/>
          <w:rtl/>
        </w:rPr>
        <w:t>پیش‌بین</w:t>
      </w:r>
      <w:r w:rsidR="00537CC8" w:rsidRPr="0025250D">
        <w:rPr>
          <w:rFonts w:hint="cs"/>
          <w:rtl/>
        </w:rPr>
        <w:t xml:space="preserve">ی کننده در آن پیشرفت‌های عمده‌ای </w:t>
      </w:r>
      <w:r w:rsidR="00B124DE" w:rsidRPr="0025250D">
        <w:rPr>
          <w:rFonts w:hint="cs"/>
          <w:rtl/>
        </w:rPr>
        <w:t>داشته‌اند</w:t>
      </w:r>
      <w:r w:rsidR="00537CC8" w:rsidRPr="0025250D">
        <w:rPr>
          <w:rFonts w:hint="cs"/>
          <w:rtl/>
        </w:rPr>
        <w:t xml:space="preserve">. ما </w:t>
      </w:r>
      <w:r w:rsidRPr="0025250D">
        <w:rPr>
          <w:rFonts w:hint="cs"/>
          <w:rtl/>
        </w:rPr>
        <w:t>سرمایه‌گذاری</w:t>
      </w:r>
      <w:r w:rsidR="00537CC8" w:rsidRPr="0025250D">
        <w:rPr>
          <w:rFonts w:hint="cs"/>
          <w:rtl/>
        </w:rPr>
        <w:t xml:space="preserve"> به‌عنوان یک فعالیت </w:t>
      </w:r>
      <w:r w:rsidR="00537CC8" w:rsidRPr="0025250D">
        <w:rPr>
          <w:rtl/>
        </w:rPr>
        <w:t>آینده‌نگاری</w:t>
      </w:r>
      <w:r w:rsidR="00537CC8" w:rsidRPr="0025250D">
        <w:rPr>
          <w:rFonts w:hint="cs"/>
          <w:rtl/>
        </w:rPr>
        <w:t xml:space="preserve"> را در فصل 2 مورد بحث قرار </w:t>
      </w:r>
      <w:r w:rsidR="00892D13" w:rsidRPr="0025250D">
        <w:rPr>
          <w:rFonts w:hint="cs"/>
          <w:rtl/>
        </w:rPr>
        <w:t>داده‌ایم</w:t>
      </w:r>
      <w:r w:rsidR="00537CC8" w:rsidRPr="0025250D">
        <w:rPr>
          <w:rFonts w:hint="cs"/>
          <w:rtl/>
        </w:rPr>
        <w:t xml:space="preserve">. وقتی این کار به‌خوبی انجام شود، </w:t>
      </w:r>
      <w:r w:rsidRPr="0025250D">
        <w:rPr>
          <w:rFonts w:hint="cs"/>
          <w:rtl/>
        </w:rPr>
        <w:t>سرمایه‌گذاری</w:t>
      </w:r>
      <w:r w:rsidR="00537CC8" w:rsidRPr="0025250D">
        <w:rPr>
          <w:rFonts w:hint="cs"/>
          <w:rtl/>
        </w:rPr>
        <w:t xml:space="preserve"> یک مهارت ثمر بخش از نظر مالی و حرفه‌ای خواهد بود. امور مالی </w:t>
      </w:r>
      <w:r w:rsidRPr="0025250D">
        <w:rPr>
          <w:rFonts w:hint="cs"/>
          <w:rtl/>
        </w:rPr>
        <w:t>سرمایه‌گذاری</w:t>
      </w:r>
      <w:r w:rsidR="00537CC8" w:rsidRPr="0025250D">
        <w:rPr>
          <w:rFonts w:hint="cs"/>
          <w:rtl/>
        </w:rPr>
        <w:t xml:space="preserve"> و بخصوص دقت عمل قبل از </w:t>
      </w:r>
      <w:r w:rsidRPr="0025250D">
        <w:rPr>
          <w:rFonts w:hint="cs"/>
          <w:rtl/>
        </w:rPr>
        <w:t>سرمایه‌گذاری</w:t>
      </w:r>
      <w:r w:rsidR="00537CC8" w:rsidRPr="0025250D">
        <w:rPr>
          <w:rFonts w:hint="cs"/>
          <w:rtl/>
        </w:rPr>
        <w:t xml:space="preserve"> سازمانی داخلی و </w:t>
      </w:r>
      <w:r w:rsidRPr="0025250D">
        <w:rPr>
          <w:rFonts w:hint="cs"/>
          <w:rtl/>
        </w:rPr>
        <w:t>سرمایه‌گذاری</w:t>
      </w:r>
      <w:r w:rsidR="00537CC8" w:rsidRPr="0025250D">
        <w:rPr>
          <w:rFonts w:hint="cs"/>
          <w:rtl/>
        </w:rPr>
        <w:t xml:space="preserve"> خطر پذیر خارجی</w:t>
      </w:r>
      <w:r w:rsidR="00B72904" w:rsidRPr="0025250D">
        <w:rPr>
          <w:rFonts w:hint="cs"/>
          <w:rtl/>
        </w:rPr>
        <w:t>،</w:t>
      </w:r>
      <w:r w:rsidR="00537CC8" w:rsidRPr="0025250D">
        <w:rPr>
          <w:rFonts w:hint="cs"/>
          <w:rtl/>
        </w:rPr>
        <w:t xml:space="preserve"> یک کارکرد </w:t>
      </w:r>
      <w:r w:rsidR="00923DDB" w:rsidRPr="0025250D">
        <w:rPr>
          <w:rFonts w:hint="cs"/>
          <w:rtl/>
        </w:rPr>
        <w:t>پیش‌انگاری</w:t>
      </w:r>
      <w:r w:rsidR="00537CC8" w:rsidRPr="0025250D">
        <w:rPr>
          <w:rFonts w:hint="cs"/>
          <w:rtl/>
        </w:rPr>
        <w:t xml:space="preserve"> اقتصادی دیگر است. این موضوعات به شکل گسترده در ادبیات تجاری در نظر گرفته می‌شوند</w:t>
      </w:r>
      <w:r w:rsidR="00B72904" w:rsidRPr="0025250D">
        <w:rPr>
          <w:rFonts w:hint="cs"/>
          <w:rtl/>
        </w:rPr>
        <w:t>.</w:t>
      </w:r>
      <w:r w:rsidR="00537CC8" w:rsidRPr="0025250D">
        <w:rPr>
          <w:rFonts w:hint="cs"/>
          <w:rtl/>
        </w:rPr>
        <w:t xml:space="preserve"> پیوست 3 را برای چندین کتاب خوب در این زمینه ببینید.</w:t>
      </w:r>
    </w:p>
    <w:p w14:paraId="6F94C543" w14:textId="1DC380D3" w:rsidR="00537CC8" w:rsidRPr="0025250D" w:rsidRDefault="00537CC8" w:rsidP="00537CC8">
      <w:pPr>
        <w:rPr>
          <w:rtl/>
        </w:rPr>
      </w:pPr>
      <w:r w:rsidRPr="0025250D">
        <w:rPr>
          <w:rFonts w:hint="cs"/>
          <w:rtl/>
        </w:rPr>
        <w:t xml:space="preserve">قانون و امنیت دو تخصص </w:t>
      </w:r>
      <w:r w:rsidR="00923DDB" w:rsidRPr="0025250D">
        <w:rPr>
          <w:rFonts w:hint="cs"/>
          <w:rtl/>
        </w:rPr>
        <w:t>پیش‌انگاری</w:t>
      </w:r>
      <w:r w:rsidRPr="0025250D">
        <w:rPr>
          <w:rFonts w:hint="cs"/>
          <w:rtl/>
        </w:rPr>
        <w:t xml:space="preserve"> مرتبط هستند که هر دو به دنبال حفاظت از دارایی‌های شرکت و محافظت در برابر زیان هستند. توجه داشته باشید که </w:t>
      </w:r>
      <w:r w:rsidR="00923DDB" w:rsidRPr="0025250D">
        <w:rPr>
          <w:rFonts w:hint="cs"/>
          <w:rtl/>
        </w:rPr>
        <w:t>پیش‌انگاری</w:t>
      </w:r>
      <w:r w:rsidRPr="0025250D">
        <w:rPr>
          <w:rFonts w:hint="cs"/>
          <w:rtl/>
        </w:rPr>
        <w:t xml:space="preserve">‌های محافظت محور (قانون و امنیت) به‌اندازه </w:t>
      </w:r>
      <w:r w:rsidR="00923DDB" w:rsidRPr="0025250D">
        <w:rPr>
          <w:rFonts w:hint="cs"/>
          <w:rtl/>
        </w:rPr>
        <w:t>پیش‌انگاری</w:t>
      </w:r>
      <w:r w:rsidRPr="0025250D">
        <w:rPr>
          <w:rFonts w:hint="cs"/>
          <w:rtl/>
        </w:rPr>
        <w:t xml:space="preserve">‌های </w:t>
      </w:r>
      <w:r w:rsidR="00D92F6E" w:rsidRPr="0025250D">
        <w:rPr>
          <w:rFonts w:hint="cs"/>
          <w:rtl/>
        </w:rPr>
        <w:t>پیش‌بین</w:t>
      </w:r>
      <w:r w:rsidRPr="0025250D">
        <w:rPr>
          <w:rFonts w:hint="cs"/>
          <w:rtl/>
        </w:rPr>
        <w:t>ی محور (</w:t>
      </w:r>
      <w:r w:rsidR="00D92F6E" w:rsidRPr="0025250D">
        <w:rPr>
          <w:rFonts w:hint="cs"/>
          <w:rtl/>
        </w:rPr>
        <w:t>پیش‌بین</w:t>
      </w:r>
      <w:r w:rsidRPr="0025250D">
        <w:rPr>
          <w:rFonts w:hint="cs"/>
          <w:rtl/>
        </w:rPr>
        <w:t xml:space="preserve">ی فرصت‌ها، مثلا در </w:t>
      </w:r>
      <w:r w:rsidR="00F50EB4" w:rsidRPr="0025250D">
        <w:rPr>
          <w:rFonts w:hint="cs"/>
          <w:rtl/>
        </w:rPr>
        <w:t>سرمایه‌گذاری</w:t>
      </w:r>
      <w:r w:rsidRPr="0025250D">
        <w:rPr>
          <w:rFonts w:hint="cs"/>
          <w:rtl/>
        </w:rPr>
        <w:t xml:space="preserve"> و </w:t>
      </w:r>
      <w:r w:rsidR="00D92F6E" w:rsidRPr="0025250D">
        <w:rPr>
          <w:rFonts w:hint="cs"/>
          <w:rtl/>
        </w:rPr>
        <w:t>پیش‌بین</w:t>
      </w:r>
      <w:r w:rsidRPr="0025250D">
        <w:rPr>
          <w:rFonts w:hint="cs"/>
          <w:rtl/>
        </w:rPr>
        <w:t xml:space="preserve">ی مشکلات، تهدیدها و ریسک‌ها مثلا در مدیریت ریسک) برای شرکت اهمیت دارند. شخصیت‌های متفاوت می‌توانند به هر یک از این کارکرد‌های کانونی </w:t>
      </w:r>
      <w:r w:rsidR="00923DDB" w:rsidRPr="0025250D">
        <w:rPr>
          <w:rFonts w:hint="cs"/>
          <w:rtl/>
        </w:rPr>
        <w:t>پیش‌انگاری</w:t>
      </w:r>
      <w:r w:rsidRPr="0025250D">
        <w:rPr>
          <w:rFonts w:hint="cs"/>
          <w:rtl/>
        </w:rPr>
        <w:t xml:space="preserve"> جذب شوند. هر دو مورد از این کارکرد‌ها به شرکت برای بقا کمک می‌کنند اما شاید بزرگترین هدف </w:t>
      </w:r>
      <w:r w:rsidR="00923DDB" w:rsidRPr="0025250D">
        <w:rPr>
          <w:rFonts w:hint="cs"/>
          <w:rtl/>
        </w:rPr>
        <w:t>پیش‌انگاری</w:t>
      </w:r>
      <w:r w:rsidRPr="0025250D">
        <w:rPr>
          <w:rFonts w:hint="cs"/>
          <w:rtl/>
        </w:rPr>
        <w:t xml:space="preserve"> گروهی، در زمان تغییرات </w:t>
      </w:r>
      <w:r w:rsidR="007B3B35" w:rsidRPr="0025250D">
        <w:rPr>
          <w:rFonts w:hint="cs"/>
          <w:rtl/>
        </w:rPr>
        <w:t>شتاب‌گیر</w:t>
      </w:r>
      <w:r w:rsidRPr="0025250D">
        <w:rPr>
          <w:rFonts w:hint="cs"/>
          <w:rtl/>
        </w:rPr>
        <w:t xml:space="preserve">نده، </w:t>
      </w:r>
      <w:r w:rsidR="00B72904" w:rsidRPr="0025250D">
        <w:rPr>
          <w:rFonts w:hint="cs"/>
          <w:rtl/>
        </w:rPr>
        <w:t>توانایی</w:t>
      </w:r>
      <w:r w:rsidRPr="0025250D">
        <w:rPr>
          <w:rFonts w:hint="cs"/>
          <w:rtl/>
        </w:rPr>
        <w:t xml:space="preserve"> دیدن هر چند وقت یک بار فرصت‌های به شدت ارزشمندی است که به صورت مداوم در مسیر پیش روی ما ایجاد می‌شوند.</w:t>
      </w:r>
    </w:p>
    <w:p w14:paraId="39609B2B" w14:textId="17C6F8E9" w:rsidR="00537CC8" w:rsidRPr="0025250D" w:rsidRDefault="00537CC8" w:rsidP="00537CC8">
      <w:pPr>
        <w:rPr>
          <w:rtl/>
        </w:rPr>
      </w:pPr>
      <w:r w:rsidRPr="0025250D">
        <w:rPr>
          <w:rFonts w:hint="cs"/>
          <w:rtl/>
        </w:rPr>
        <w:t xml:space="preserve">مدیریت ریسک و بیمه یک فعالیت تخصصی جدید‌تر با ادبیات و روش‌های خود است، اما بیمه، یکی از قدیمی‌ترین شکل‌های </w:t>
      </w:r>
      <w:r w:rsidR="00923DDB" w:rsidRPr="0025250D">
        <w:rPr>
          <w:rFonts w:hint="cs"/>
          <w:rtl/>
        </w:rPr>
        <w:t>پیش‌انگاری</w:t>
      </w:r>
      <w:r w:rsidRPr="0025250D">
        <w:rPr>
          <w:rFonts w:hint="cs"/>
          <w:rtl/>
        </w:rPr>
        <w:t xml:space="preserve"> سازمانی است. </w:t>
      </w:r>
      <w:r w:rsidR="007118DE" w:rsidRPr="0025250D">
        <w:rPr>
          <w:rFonts w:hint="cs"/>
          <w:rtl/>
        </w:rPr>
        <w:t>همان‌طور</w:t>
      </w:r>
      <w:r w:rsidRPr="0025250D">
        <w:rPr>
          <w:rFonts w:hint="cs"/>
          <w:rtl/>
        </w:rPr>
        <w:t xml:space="preserve"> که گفتیم، برخی از مدل‌های </w:t>
      </w:r>
      <w:r w:rsidR="00D92F6E" w:rsidRPr="0025250D">
        <w:rPr>
          <w:rFonts w:hint="cs"/>
          <w:rtl/>
        </w:rPr>
        <w:t>پیش‌بین</w:t>
      </w:r>
      <w:r w:rsidRPr="0025250D">
        <w:rPr>
          <w:rFonts w:hint="cs"/>
          <w:rtl/>
        </w:rPr>
        <w:t>ی که بیش از همه صحت سنجی شده‌اند توسط بیمه گران اتکایی</w:t>
      </w:r>
      <w:r w:rsidRPr="0025250D">
        <w:rPr>
          <w:vertAlign w:val="superscript"/>
          <w:rtl/>
        </w:rPr>
        <w:footnoteReference w:id="2167"/>
      </w:r>
      <w:r w:rsidRPr="0025250D">
        <w:rPr>
          <w:rFonts w:hint="cs"/>
          <w:rtl/>
        </w:rPr>
        <w:t xml:space="preserve">، مانند </w:t>
      </w:r>
      <w:r w:rsidRPr="0025250D">
        <w:rPr>
          <w:rtl/>
        </w:rPr>
        <w:t>مون</w:t>
      </w:r>
      <w:r w:rsidRPr="0025250D">
        <w:rPr>
          <w:rFonts w:hint="cs"/>
          <w:rtl/>
        </w:rPr>
        <w:t>ی</w:t>
      </w:r>
      <w:r w:rsidRPr="0025250D">
        <w:rPr>
          <w:rFonts w:hint="eastAsia"/>
          <w:rtl/>
        </w:rPr>
        <w:t>خ</w:t>
      </w:r>
      <w:r w:rsidRPr="0025250D">
        <w:rPr>
          <w:rtl/>
        </w:rPr>
        <w:t xml:space="preserve"> ر</w:t>
      </w:r>
      <w:r w:rsidRPr="0025250D">
        <w:rPr>
          <w:rFonts w:hint="cs"/>
          <w:rtl/>
        </w:rPr>
        <w:t>ی</w:t>
      </w:r>
      <w:r w:rsidRPr="0025250D">
        <w:rPr>
          <w:vertAlign w:val="superscript"/>
          <w:rtl/>
        </w:rPr>
        <w:footnoteReference w:id="2168"/>
      </w:r>
      <w:r w:rsidRPr="0025250D">
        <w:rPr>
          <w:rFonts w:hint="cs"/>
          <w:rtl/>
        </w:rPr>
        <w:t xml:space="preserve">، </w:t>
      </w:r>
      <w:r w:rsidRPr="0025250D">
        <w:rPr>
          <w:rtl/>
        </w:rPr>
        <w:t>سوئ</w:t>
      </w:r>
      <w:r w:rsidRPr="0025250D">
        <w:rPr>
          <w:rFonts w:hint="cs"/>
          <w:rtl/>
        </w:rPr>
        <w:t>ی</w:t>
      </w:r>
      <w:r w:rsidRPr="0025250D">
        <w:rPr>
          <w:rFonts w:hint="eastAsia"/>
          <w:rtl/>
        </w:rPr>
        <w:t>س</w:t>
      </w:r>
      <w:r w:rsidRPr="0025250D">
        <w:rPr>
          <w:rtl/>
        </w:rPr>
        <w:t xml:space="preserve"> ر</w:t>
      </w:r>
      <w:r w:rsidRPr="0025250D">
        <w:rPr>
          <w:rFonts w:hint="cs"/>
          <w:rtl/>
        </w:rPr>
        <w:t>ی</w:t>
      </w:r>
      <w:r w:rsidRPr="0025250D">
        <w:rPr>
          <w:vertAlign w:val="superscript"/>
          <w:rtl/>
        </w:rPr>
        <w:footnoteReference w:id="2169"/>
      </w:r>
      <w:r w:rsidRPr="0025250D">
        <w:rPr>
          <w:rFonts w:hint="cs"/>
          <w:rtl/>
        </w:rPr>
        <w:t xml:space="preserve"> و بسیاری از موارد دیگر ایجاد شده‌اند. این امر، از آنجا که آن‌ها سرمایه بسیار زیادی را با توجه به حدس‌های خود اختصاص می‌دهند و از </w:t>
      </w:r>
      <w:r w:rsidR="00712256" w:rsidRPr="0025250D">
        <w:rPr>
          <w:rFonts w:hint="cs"/>
          <w:rtl/>
        </w:rPr>
        <w:t>آ</w:t>
      </w:r>
      <w:r w:rsidRPr="0025250D">
        <w:rPr>
          <w:rFonts w:hint="cs"/>
          <w:rtl/>
        </w:rPr>
        <w:t xml:space="preserve">نجا که آن‌ها، در نتیجه تحقیقات با کیفیت می‌دانند که </w:t>
      </w:r>
      <w:r w:rsidR="00923DDB" w:rsidRPr="0025250D">
        <w:rPr>
          <w:rFonts w:hint="cs"/>
          <w:rtl/>
        </w:rPr>
        <w:t>پیش‌انگاری</w:t>
      </w:r>
      <w:r w:rsidRPr="0025250D">
        <w:rPr>
          <w:rFonts w:hint="cs"/>
          <w:rtl/>
        </w:rPr>
        <w:t xml:space="preserve"> جواب می‌دهد، قابل انتظار است.</w:t>
      </w:r>
    </w:p>
    <w:p w14:paraId="51DEFA4C" w14:textId="77777777" w:rsidR="00537CC8" w:rsidRPr="0025250D" w:rsidRDefault="00537CC8" w:rsidP="00537CC8"/>
    <w:p w14:paraId="11655EDE" w14:textId="77777777" w:rsidR="00537CC8" w:rsidRPr="0025250D" w:rsidRDefault="00537CC8" w:rsidP="00D53F87">
      <w:pPr>
        <w:jc w:val="center"/>
        <w:rPr>
          <w:rtl/>
        </w:rPr>
      </w:pPr>
      <w:r w:rsidRPr="0025250D">
        <w:rPr>
          <w:noProof/>
          <w:rtl/>
          <w:lang w:bidi="ar-SA"/>
        </w:rPr>
        <w:drawing>
          <wp:inline distT="0" distB="0" distL="0" distR="0" wp14:anchorId="449DB1A5" wp14:editId="4073C17B">
            <wp:extent cx="1486535" cy="1995777"/>
            <wp:effectExtent l="0" t="0" r="0" b="5080"/>
            <wp:docPr id="122" name="Picture 122" descr="D:\کار\مستقل\3 ( ترجمه ی دانشگاه تهران  )\Introduction to Foresight\part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6\20.png"/>
                    <pic:cNvPicPr>
                      <a:picLocks noChangeAspect="1" noChangeArrowheads="1"/>
                    </pic:cNvPicPr>
                  </pic:nvPicPr>
                  <pic:blipFill rotWithShape="1">
                    <a:blip r:embed="rId192" cstate="screen">
                      <a:extLst>
                        <a:ext uri="{BEBA8EAE-BF5A-486C-A8C5-ECC9F3942E4B}">
                          <a14:imgProps xmlns:a14="http://schemas.microsoft.com/office/drawing/2010/main">
                            <a14:imgLayer r:embed="rId193">
                              <a14:imgEffect>
                                <a14:saturation sat="0"/>
                              </a14:imgEffect>
                            </a14:imgLayer>
                          </a14:imgProps>
                        </a:ext>
                        <a:ext uri="{28A0092B-C50C-407E-A947-70E740481C1C}">
                          <a14:useLocalDpi xmlns:a14="http://schemas.microsoft.com/office/drawing/2010/main"/>
                        </a:ext>
                      </a:extLst>
                    </a:blip>
                    <a:srcRect/>
                    <a:stretch/>
                  </pic:blipFill>
                  <pic:spPr bwMode="auto">
                    <a:xfrm>
                      <a:off x="0" y="0"/>
                      <a:ext cx="1491004" cy="2001777"/>
                    </a:xfrm>
                    <a:prstGeom prst="rect">
                      <a:avLst/>
                    </a:prstGeom>
                    <a:noFill/>
                    <a:ln>
                      <a:noFill/>
                    </a:ln>
                    <a:extLst>
                      <a:ext uri="{53640926-AAD7-44D8-BBD7-CCE9431645EC}">
                        <a14:shadowObscured xmlns:a14="http://schemas.microsoft.com/office/drawing/2010/main"/>
                      </a:ext>
                    </a:extLst>
                  </pic:spPr>
                </pic:pic>
              </a:graphicData>
            </a:graphic>
          </wp:inline>
        </w:drawing>
      </w:r>
    </w:p>
    <w:p w14:paraId="78F51235" w14:textId="77777777" w:rsidR="00537CC8" w:rsidRPr="0025250D" w:rsidRDefault="00537CC8" w:rsidP="00D53F87">
      <w:pPr>
        <w:jc w:val="center"/>
        <w:rPr>
          <w:rtl/>
        </w:rPr>
      </w:pPr>
      <w:r w:rsidRPr="0025250D">
        <w:rPr>
          <w:rtl/>
        </w:rPr>
        <w:t>هابارد</w:t>
      </w:r>
      <w:r w:rsidRPr="0025250D">
        <w:rPr>
          <w:rFonts w:hint="cs"/>
          <w:rtl/>
        </w:rPr>
        <w:t>، 2009</w:t>
      </w:r>
    </w:p>
    <w:p w14:paraId="6CC877DB" w14:textId="7F02C0AD" w:rsidR="00537CC8" w:rsidRPr="0025250D" w:rsidRDefault="00537CC8" w:rsidP="00537CC8">
      <w:pPr>
        <w:rPr>
          <w:rtl/>
        </w:rPr>
      </w:pPr>
      <w:r w:rsidRPr="0025250D">
        <w:rPr>
          <w:rFonts w:hint="cs"/>
          <w:rtl/>
        </w:rPr>
        <w:t xml:space="preserve">بسیاری از </w:t>
      </w:r>
      <w:r w:rsidR="00701E03" w:rsidRPr="0025250D">
        <w:rPr>
          <w:rFonts w:hint="cs"/>
          <w:rtl/>
        </w:rPr>
        <w:t>راهبرد</w:t>
      </w:r>
      <w:r w:rsidRPr="0025250D">
        <w:rPr>
          <w:rFonts w:hint="cs"/>
          <w:rtl/>
        </w:rPr>
        <w:t>‌های مدیریت ریسک هوشمندانه، اکنون حتی برای شرکت‌های کوچک موجود هستند. کتاب شناسایی و مدیریت ریسک پروژه</w:t>
      </w:r>
      <w:r w:rsidRPr="0025250D">
        <w:rPr>
          <w:vertAlign w:val="superscript"/>
          <w:rtl/>
        </w:rPr>
        <w:footnoteReference w:id="2170"/>
      </w:r>
      <w:r w:rsidRPr="0025250D">
        <w:rPr>
          <w:rFonts w:hint="cs"/>
          <w:rtl/>
        </w:rPr>
        <w:t xml:space="preserve"> اثر </w:t>
      </w:r>
      <w:r w:rsidRPr="0025250D">
        <w:rPr>
          <w:rtl/>
        </w:rPr>
        <w:t>تام کندر</w:t>
      </w:r>
      <w:r w:rsidRPr="0025250D">
        <w:rPr>
          <w:rFonts w:hint="cs"/>
          <w:rtl/>
        </w:rPr>
        <w:t>ی</w:t>
      </w:r>
      <w:r w:rsidRPr="0025250D">
        <w:rPr>
          <w:rFonts w:hint="eastAsia"/>
          <w:rtl/>
        </w:rPr>
        <w:t>ک</w:t>
      </w:r>
      <w:r w:rsidRPr="0025250D">
        <w:rPr>
          <w:vertAlign w:val="superscript"/>
          <w:rtl/>
        </w:rPr>
        <w:footnoteReference w:id="2171"/>
      </w:r>
      <w:r w:rsidRPr="0025250D">
        <w:rPr>
          <w:rFonts w:hint="cs"/>
          <w:rtl/>
        </w:rPr>
        <w:t xml:space="preserve"> در سال 2009 و کتاب شکست مدیریت ریسک</w:t>
      </w:r>
      <w:r w:rsidRPr="0025250D">
        <w:rPr>
          <w:vertAlign w:val="superscript"/>
          <w:rtl/>
        </w:rPr>
        <w:footnoteReference w:id="2172"/>
      </w:r>
      <w:r w:rsidRPr="0025250D">
        <w:rPr>
          <w:rFonts w:hint="cs"/>
          <w:rtl/>
        </w:rPr>
        <w:t xml:space="preserve"> اثر </w:t>
      </w:r>
      <w:r w:rsidRPr="0025250D">
        <w:rPr>
          <w:rtl/>
        </w:rPr>
        <w:t>داگ هابارد</w:t>
      </w:r>
      <w:r w:rsidRPr="0025250D">
        <w:rPr>
          <w:vertAlign w:val="superscript"/>
          <w:rtl/>
        </w:rPr>
        <w:footnoteReference w:id="2173"/>
      </w:r>
      <w:r w:rsidRPr="0025250D">
        <w:rPr>
          <w:rFonts w:hint="cs"/>
          <w:rtl/>
        </w:rPr>
        <w:t xml:space="preserve"> در سال 2009/2020 دو مقدمه خوب برای این زمینه هستند. مدیریت ریسک اکنون به‌اندازه کافی بزرگ است و به‌خوبی تأمین شده است که توسط بسیاری از شرکت‌ها به اشتباه به کار برده شده است، </w:t>
      </w:r>
      <w:r w:rsidR="007118DE" w:rsidRPr="0025250D">
        <w:rPr>
          <w:rFonts w:hint="cs"/>
          <w:rtl/>
        </w:rPr>
        <w:t>همان‌طور</w:t>
      </w:r>
      <w:r w:rsidRPr="0025250D">
        <w:rPr>
          <w:rFonts w:hint="cs"/>
          <w:rtl/>
        </w:rPr>
        <w:t xml:space="preserve"> که برنامه‌ریزی </w:t>
      </w:r>
      <w:r w:rsidR="00701E03" w:rsidRPr="0025250D">
        <w:rPr>
          <w:rFonts w:hint="cs"/>
          <w:rtl/>
        </w:rPr>
        <w:t>راهبردی</w:t>
      </w:r>
      <w:r w:rsidRPr="0025250D">
        <w:rPr>
          <w:rFonts w:hint="cs"/>
          <w:rtl/>
        </w:rPr>
        <w:t xml:space="preserve"> بین دهه‌های 1960 و 1980 به‌خوبی استفاده نمی‌شد. وقتی یک زمینه به‌اندازه کافی برای انتقاد رشد کرده باشد </w:t>
      </w:r>
      <w:r w:rsidRPr="0025250D">
        <w:rPr>
          <w:rFonts w:cs="Times New Roman" w:hint="cs"/>
          <w:rtl/>
        </w:rPr>
        <w:t>–</w:t>
      </w:r>
      <w:r w:rsidRPr="0025250D">
        <w:rPr>
          <w:rFonts w:hint="cs"/>
          <w:rtl/>
        </w:rPr>
        <w:t xml:space="preserve"> و وقتی این نقد‌ها توسط رهبران تجاری موردتوجه قرار گیرند </w:t>
      </w:r>
      <w:r w:rsidRPr="0025250D">
        <w:rPr>
          <w:rFonts w:cs="Times New Roman" w:hint="cs"/>
          <w:rtl/>
        </w:rPr>
        <w:t>–</w:t>
      </w:r>
      <w:r w:rsidRPr="0025250D">
        <w:rPr>
          <w:rFonts w:hint="cs"/>
          <w:rtl/>
        </w:rPr>
        <w:t xml:space="preserve"> به‌نوعی از پیشرفت دست خواهیم یافت.</w:t>
      </w:r>
    </w:p>
    <w:p w14:paraId="61AB0F75" w14:textId="05798376" w:rsidR="00537CC8" w:rsidRPr="0025250D" w:rsidRDefault="00537CC8" w:rsidP="00DC51E6">
      <w:pPr>
        <w:rPr>
          <w:rtl/>
        </w:rPr>
      </w:pPr>
      <w:r w:rsidRPr="0025250D">
        <w:rPr>
          <w:rFonts w:hint="cs"/>
          <w:rtl/>
        </w:rPr>
        <w:t xml:space="preserve">پیش‌انگاری به پیش‌بینی این که موارد مختلف به نظر به کدام سمت‌وسو، مستقل از اقدامات خلاقانه ما، در حرکت‌اند مربوط می‌شود و فرصت‌ها و خطرات آینده محتمل را آشکار می‌کند و آنچه را که برای آن ارزش قائل هستیم حفظ و نگهداری می‌کند. مهارت‌های پیش‌انگاری تا حد زیادی از بخش منطقی شناخت (پیش‌انگاری) و با مدیریت </w:t>
      </w:r>
      <w:r w:rsidR="00DC51E6" w:rsidRPr="0025250D">
        <w:rPr>
          <w:rFonts w:hint="cs"/>
          <w:rtl/>
        </w:rPr>
        <w:t>هیجانات</w:t>
      </w:r>
      <w:r w:rsidRPr="0025250D">
        <w:rPr>
          <w:rFonts w:hint="cs"/>
          <w:rtl/>
        </w:rPr>
        <w:t xml:space="preserve"> منفی (ترس‌ها، آسیب‌پذیری‌ها) مربوط به ریسک‌ها و عدم قطعیت‌ها (امنیت) حاصل می‌شوند. ما می‌توانیم اندکی ساده‌سازی بیش‌ازحد انجام دهیم و بگوییم که پیش‌انگاری عمدتاً </w:t>
      </w:r>
      <w:r w:rsidR="00E402E3" w:rsidRPr="0025250D">
        <w:rPr>
          <w:rtl/>
        </w:rPr>
        <w:t>«</w:t>
      </w:r>
      <w:r w:rsidRPr="0025250D">
        <w:rPr>
          <w:rFonts w:hint="cs"/>
          <w:rtl/>
        </w:rPr>
        <w:t>از مغز</w:t>
      </w:r>
      <w:r w:rsidR="00E402E3" w:rsidRPr="0025250D">
        <w:rPr>
          <w:rtl/>
        </w:rPr>
        <w:t>»</w:t>
      </w:r>
      <w:r w:rsidRPr="0025250D">
        <w:rPr>
          <w:rFonts w:hint="cs"/>
          <w:rtl/>
        </w:rPr>
        <w:t xml:space="preserve"> مدیریت می‌شود. این یک فرایند محافظه‌کارانه است و به داده‌ها و مدل‌های خوب و صداقت فکری</w:t>
      </w:r>
      <w:r w:rsidRPr="0025250D">
        <w:rPr>
          <w:vertAlign w:val="superscript"/>
          <w:rtl/>
        </w:rPr>
        <w:footnoteReference w:id="2174"/>
      </w:r>
      <w:r w:rsidRPr="0025250D">
        <w:rPr>
          <w:rFonts w:hint="cs"/>
          <w:rtl/>
        </w:rPr>
        <w:t xml:space="preserve"> نیاز دارد.</w:t>
      </w:r>
    </w:p>
    <w:p w14:paraId="7A7CE1ED" w14:textId="0A5B254B" w:rsidR="00537CC8" w:rsidRPr="0025250D" w:rsidRDefault="00537CC8" w:rsidP="00537CC8">
      <w:pPr>
        <w:rPr>
          <w:rtl/>
        </w:rPr>
      </w:pPr>
      <w:r w:rsidRPr="0025250D">
        <w:rPr>
          <w:rFonts w:hint="cs"/>
          <w:rtl/>
        </w:rPr>
        <w:t>یک فعالیت پیش‌انگاری مطلوب، شناسایی توسعه‌های محیطی می‌باشد که هم به شکل فزاینده‌ای اجتناب‌ناپذیر و هم به‌شدت برای هر کسی که به آن‌ها اهمیت می‌دهد مجموع مثبت</w:t>
      </w:r>
      <w:r w:rsidRPr="0025250D">
        <w:rPr>
          <w:vertAlign w:val="superscript"/>
          <w:rtl/>
        </w:rPr>
        <w:footnoteReference w:id="2175"/>
      </w:r>
      <w:r w:rsidRPr="0025250D">
        <w:rPr>
          <w:rFonts w:hint="cs"/>
          <w:rtl/>
        </w:rPr>
        <w:t xml:space="preserve"> هستند.</w:t>
      </w:r>
    </w:p>
    <w:p w14:paraId="23F44CEA" w14:textId="7B1F622B" w:rsidR="00537CC8" w:rsidRPr="0025250D" w:rsidRDefault="00537CC8" w:rsidP="00537CC8">
      <w:pPr>
        <w:rPr>
          <w:b/>
          <w:bCs/>
          <w:rtl/>
        </w:rPr>
      </w:pPr>
      <w:r w:rsidRPr="0025250D">
        <w:rPr>
          <w:rFonts w:hint="cs"/>
          <w:b/>
          <w:bCs/>
          <w:rtl/>
        </w:rPr>
        <w:t>مثالی از پیش‌انگاری: جمعیت جهانی بشر</w:t>
      </w:r>
    </w:p>
    <w:p w14:paraId="6E3784BF" w14:textId="77777777" w:rsidR="00537CC8" w:rsidRPr="0025250D" w:rsidRDefault="00537CC8" w:rsidP="00537CC8">
      <w:pPr>
        <w:rPr>
          <w:rtl/>
        </w:rPr>
      </w:pPr>
      <w:r w:rsidRPr="0025250D">
        <w:rPr>
          <w:rFonts w:hint="cs"/>
          <w:rtl/>
        </w:rPr>
        <w:t>بیایید نگاهی به موضوعی که بیش‌تر ما توجه عمیقی به آن داریم بپردازیم: جمعیت جهان. ترسیدن از تأثیرات آینده رشد جمعیت بشر آسان است. درست تا آخرین روز تاریخ بشر، این یک مثال کلاسیک از رشد نمایی می‌باشد. رسیدن به جمعیت یک میلیارد نفر 200000 سال طول کشید، اما تنها 200 سال برای رسیدن به جمعیت 7 میلیاردی زمان لازم بود، یک افزایش بیش از 1000 برابری در نرخ رشد جمعیت. این به نظر بر روی یک سیاره ارزشمند با ظرفیت محدود ترسناک به نظر می‌رسد.</w:t>
      </w:r>
    </w:p>
    <w:p w14:paraId="62EC8820" w14:textId="0AF17E21" w:rsidR="00537CC8" w:rsidRPr="0025250D" w:rsidRDefault="00537CC8" w:rsidP="00537CC8">
      <w:pPr>
        <w:rPr>
          <w:rtl/>
        </w:rPr>
      </w:pPr>
      <w:r w:rsidRPr="0025250D">
        <w:rPr>
          <w:rFonts w:hint="cs"/>
          <w:rtl/>
        </w:rPr>
        <w:t>بااین‌حال پیش‌انگار‌های خوب برای بیش از پنجاه سال است که می‌دانند که نرخ حاشیه‌ای رشد جمعیت انسانی، مشتق دوم منحنی رشد، با سرعت حتی</w:t>
      </w:r>
      <w:r w:rsidR="0008779C" w:rsidRPr="0025250D">
        <w:rPr>
          <w:rFonts w:hint="cs"/>
          <w:rtl/>
        </w:rPr>
        <w:t xml:space="preserve"> بیش‌تر</w:t>
      </w:r>
      <w:r w:rsidRPr="0025250D">
        <w:rPr>
          <w:rFonts w:hint="cs"/>
          <w:rtl/>
        </w:rPr>
        <w:t>ی از میانه دهه 1960 در حال کاهش بوده است. با ادامه توسعه جوامع، ابتدا منحنی رشد جمعیت ثابت می‌شود (اشباع می‌شود) و سپس به اوج خود می‌رسد</w:t>
      </w:r>
      <w:r w:rsidR="00712256" w:rsidRPr="0025250D">
        <w:rPr>
          <w:rFonts w:hint="cs"/>
          <w:rtl/>
        </w:rPr>
        <w:t xml:space="preserve"> و</w:t>
      </w:r>
      <w:r w:rsidRPr="0025250D">
        <w:rPr>
          <w:rFonts w:hint="cs"/>
          <w:rtl/>
        </w:rPr>
        <w:t xml:space="preserve"> </w:t>
      </w:r>
      <w:r w:rsidR="00712256" w:rsidRPr="0025250D">
        <w:rPr>
          <w:rFonts w:hint="cs"/>
          <w:rtl/>
        </w:rPr>
        <w:t>بعد</w:t>
      </w:r>
      <w:r w:rsidRPr="0025250D">
        <w:rPr>
          <w:rFonts w:hint="cs"/>
          <w:rtl/>
        </w:rPr>
        <w:t xml:space="preserve"> معکوس می‌گردد. والدین در جهان توسعه یافته تقریبا همواره تصمیم می‌گیرند که فرزندان</w:t>
      </w:r>
      <w:r w:rsidR="00BB406C" w:rsidRPr="0025250D">
        <w:rPr>
          <w:rFonts w:hint="cs"/>
          <w:rtl/>
        </w:rPr>
        <w:t xml:space="preserve"> کم‌تر</w:t>
      </w:r>
      <w:r w:rsidRPr="0025250D">
        <w:rPr>
          <w:rFonts w:hint="cs"/>
          <w:rtl/>
        </w:rPr>
        <w:t>ی نسبت به والدین خود داشته باشند و معمولا بعدا در زندگی، فرزندانشان گزینه‌های</w:t>
      </w:r>
      <w:r w:rsidR="0008779C" w:rsidRPr="0025250D">
        <w:rPr>
          <w:rFonts w:hint="cs"/>
          <w:rtl/>
        </w:rPr>
        <w:t xml:space="preserve"> بیش‌تر</w:t>
      </w:r>
      <w:r w:rsidRPr="0025250D">
        <w:rPr>
          <w:rFonts w:hint="cs"/>
          <w:rtl/>
        </w:rPr>
        <w:t>ی برای توسعه و موفقیت فردی خواهند داشت. این یک روند جهانی و فراگیر است که در همه فرهنگ‌ها یافت می‌شود. ما همچنین می‌دانیم که دسترسی به اطلاعات، قرار گرفتن در معرض دیگر روش‌های زندگی از طریق فرهنگ دیجیتال، به‌شدت سرعت این گذار را افزایش می‌دهد. وقتی مهاجرت را کنار بگذاریم، جمعیت‌ها اکنون در اکثر کشور‌ها یا پایدار هستند یا در حال کاهش می‌باشند. جمعیت ایالات متحده آمریکا تنها به دلیل مهاجرت در حال رشد است. در همین زمان، مکزیک، ملت‌های آمریکای مرکزی و جنوبی همگی به سرعت در حال رسیدن به نقطه اوج منحنی جمعیت خود هستند.</w:t>
      </w:r>
    </w:p>
    <w:p w14:paraId="272F0D77" w14:textId="6BAD67EA" w:rsidR="00537CC8" w:rsidRPr="0025250D" w:rsidRDefault="00537CC8" w:rsidP="00537CC8">
      <w:pPr>
        <w:rPr>
          <w:rtl/>
        </w:rPr>
      </w:pPr>
      <w:r w:rsidRPr="0025250D">
        <w:rPr>
          <w:rFonts w:hint="cs"/>
          <w:rtl/>
        </w:rPr>
        <w:t>افراد آکادمیک این فرایند را گذار جمعیت شناختی</w:t>
      </w:r>
      <w:r w:rsidRPr="0025250D">
        <w:rPr>
          <w:vertAlign w:val="superscript"/>
          <w:rtl/>
        </w:rPr>
        <w:footnoteReference w:id="2176"/>
      </w:r>
      <w:r w:rsidRPr="0025250D">
        <w:rPr>
          <w:rFonts w:hint="cs"/>
          <w:rtl/>
        </w:rPr>
        <w:t xml:space="preserve"> می‌نامند</w:t>
      </w:r>
      <w:r w:rsidR="008D6F97" w:rsidRPr="0025250D">
        <w:rPr>
          <w:rtl/>
        </w:rPr>
        <w:t xml:space="preserve">؛ </w:t>
      </w:r>
      <w:r w:rsidRPr="0025250D">
        <w:rPr>
          <w:rFonts w:hint="cs"/>
          <w:rtl/>
        </w:rPr>
        <w:t>اما حتی با اینکه این گذار برای سال‌ها شناخته شده بوده است</w:t>
      </w:r>
      <w:r w:rsidR="008D6F97" w:rsidRPr="0025250D">
        <w:rPr>
          <w:rtl/>
        </w:rPr>
        <w:t xml:space="preserve"> </w:t>
      </w:r>
      <w:r w:rsidRPr="0025250D">
        <w:rPr>
          <w:rFonts w:hint="cs"/>
          <w:rtl/>
        </w:rPr>
        <w:t>تا میانه‌های دهه 2000 به بخشی از علم اجتماعی پذیرفته شده تبدیل نشده بود</w:t>
      </w:r>
      <w:r w:rsidR="008D6F97" w:rsidRPr="0025250D">
        <w:rPr>
          <w:rtl/>
        </w:rPr>
        <w:t xml:space="preserve">؛ </w:t>
      </w:r>
      <w:r w:rsidRPr="0025250D">
        <w:rPr>
          <w:rFonts w:hint="cs"/>
          <w:rtl/>
        </w:rPr>
        <w:t>مانند هر اطلاعات دیگری که با روایت‌های مرجح ما تناسب نداشته باشد، ما تا همین اواخر، همو</w:t>
      </w:r>
      <w:r w:rsidR="00712256" w:rsidRPr="0025250D">
        <w:rPr>
          <w:rFonts w:hint="cs"/>
          <w:rtl/>
        </w:rPr>
        <w:t>ار</w:t>
      </w:r>
      <w:r w:rsidRPr="0025250D">
        <w:rPr>
          <w:rFonts w:hint="cs"/>
          <w:rtl/>
        </w:rPr>
        <w:t xml:space="preserve">ه کاهش سرعت و مفاهیم متعدد آن را به صورت جمعی نادیده گرفته ایم. ارتباط علی جزئی این گذار با </w:t>
      </w:r>
      <w:r w:rsidR="007A53FD" w:rsidRPr="0025250D">
        <w:rPr>
          <w:rFonts w:hint="cs"/>
          <w:rtl/>
        </w:rPr>
        <w:t>فناوری</w:t>
      </w:r>
      <w:r w:rsidRPr="0025250D">
        <w:rPr>
          <w:rFonts w:hint="cs"/>
          <w:rtl/>
        </w:rPr>
        <w:t xml:space="preserve">‌های اطلاعاتی </w:t>
      </w:r>
      <w:r w:rsidR="007B3B35" w:rsidRPr="0025250D">
        <w:rPr>
          <w:rFonts w:hint="cs"/>
          <w:rtl/>
        </w:rPr>
        <w:t>شتاب‌گیر</w:t>
      </w:r>
      <w:r w:rsidRPr="0025250D">
        <w:rPr>
          <w:rFonts w:hint="cs"/>
          <w:rtl/>
        </w:rPr>
        <w:t xml:space="preserve">نده نیز دهه‌ها قبل توسط متخصصین جمعیت شناختی مانند </w:t>
      </w:r>
      <w:r w:rsidRPr="0025250D">
        <w:rPr>
          <w:rtl/>
        </w:rPr>
        <w:t>ران ا</w:t>
      </w:r>
      <w:r w:rsidRPr="0025250D">
        <w:rPr>
          <w:rFonts w:hint="cs"/>
          <w:rtl/>
        </w:rPr>
        <w:t>ی</w:t>
      </w:r>
      <w:r w:rsidRPr="0025250D">
        <w:rPr>
          <w:rFonts w:hint="eastAsia"/>
          <w:rtl/>
        </w:rPr>
        <w:t>نگلهارت</w:t>
      </w:r>
      <w:r w:rsidRPr="0025250D">
        <w:rPr>
          <w:vertAlign w:val="superscript"/>
          <w:rtl/>
        </w:rPr>
        <w:footnoteReference w:id="2177"/>
      </w:r>
      <w:r w:rsidRPr="0025250D">
        <w:rPr>
          <w:rFonts w:hint="cs"/>
          <w:rtl/>
        </w:rPr>
        <w:t xml:space="preserve">، در کتاب‌های شجاعانه‌ای مانند </w:t>
      </w:r>
      <w:r w:rsidRPr="0025250D">
        <w:rPr>
          <w:rtl/>
        </w:rPr>
        <w:t>انقلاب خاموش</w:t>
      </w:r>
      <w:r w:rsidRPr="0025250D">
        <w:rPr>
          <w:vertAlign w:val="superscript"/>
          <w:rtl/>
        </w:rPr>
        <w:footnoteReference w:id="2178"/>
      </w:r>
      <w:r w:rsidRPr="0025250D">
        <w:rPr>
          <w:rFonts w:hint="cs"/>
          <w:rtl/>
        </w:rPr>
        <w:t xml:space="preserve"> در سال 1977، پوشش داده شد. این مورد نیز </w:t>
      </w:r>
      <w:r w:rsidR="00712256" w:rsidRPr="0025250D">
        <w:rPr>
          <w:rFonts w:hint="cs"/>
          <w:rtl/>
        </w:rPr>
        <w:t>نادیده</w:t>
      </w:r>
      <w:r w:rsidRPr="0025250D">
        <w:rPr>
          <w:rFonts w:hint="cs"/>
          <w:rtl/>
        </w:rPr>
        <w:t xml:space="preserve"> گرفته شده است. برای اطلاعات بیش‌تر درمورد این که ما چگونه با حقایقی که با </w:t>
      </w:r>
      <w:r w:rsidR="00A20CCB" w:rsidRPr="0025250D">
        <w:rPr>
          <w:rFonts w:hint="cs"/>
          <w:rtl/>
        </w:rPr>
        <w:t>جهان‌بینی</w:t>
      </w:r>
      <w:r w:rsidRPr="0025250D">
        <w:rPr>
          <w:rFonts w:hint="cs"/>
          <w:rtl/>
        </w:rPr>
        <w:t xml:space="preserve"> فعلی ما سازگاری ندارند برخورد می‌کنیم، مراحل </w:t>
      </w:r>
      <w:r w:rsidRPr="0025250D">
        <w:t>IDABDAC</w:t>
      </w:r>
      <w:r w:rsidRPr="0025250D">
        <w:rPr>
          <w:rFonts w:hint="cs"/>
          <w:rtl/>
        </w:rPr>
        <w:t xml:space="preserve"> (نادیده گرفتن، انکار کردن، عصبانیت، چانه زدن</w:t>
      </w:r>
      <w:r w:rsidRPr="0025250D">
        <w:rPr>
          <w:vertAlign w:val="superscript"/>
          <w:rtl/>
        </w:rPr>
        <w:footnoteReference w:id="2179"/>
      </w:r>
      <w:r w:rsidRPr="0025250D">
        <w:rPr>
          <w:rFonts w:hint="cs"/>
          <w:rtl/>
        </w:rPr>
        <w:t>، افسردگی، پذیرش، تعهد</w:t>
      </w:r>
      <w:r w:rsidRPr="0025250D">
        <w:rPr>
          <w:vertAlign w:val="superscript"/>
          <w:rtl/>
        </w:rPr>
        <w:footnoteReference w:id="2180"/>
      </w:r>
      <w:r w:rsidRPr="0025250D">
        <w:rPr>
          <w:rFonts w:hint="cs"/>
          <w:rtl/>
        </w:rPr>
        <w:t>) را در نسخه دانشجوی این کتاب ببینید.</w:t>
      </w:r>
    </w:p>
    <w:p w14:paraId="53245FE7" w14:textId="0A9AA6FF" w:rsidR="00537CC8" w:rsidRPr="0025250D" w:rsidRDefault="00537CC8" w:rsidP="00537CC8">
      <w:pPr>
        <w:rPr>
          <w:rtl/>
        </w:rPr>
      </w:pPr>
      <w:r w:rsidRPr="0025250D">
        <w:rPr>
          <w:rFonts w:hint="cs"/>
          <w:rtl/>
        </w:rPr>
        <w:t xml:space="preserve">تا همین اواخر برای بیش‌تر برنامه‌ریزی کنندگان و نویسندگان بیان یک پیشگویی </w:t>
      </w:r>
      <w:r w:rsidRPr="0025250D">
        <w:rPr>
          <w:rtl/>
        </w:rPr>
        <w:t>خود پ</w:t>
      </w:r>
      <w:r w:rsidRPr="0025250D">
        <w:rPr>
          <w:rFonts w:hint="cs"/>
          <w:rtl/>
        </w:rPr>
        <w:t>ی</w:t>
      </w:r>
      <w:r w:rsidRPr="0025250D">
        <w:rPr>
          <w:rFonts w:hint="eastAsia"/>
          <w:rtl/>
        </w:rPr>
        <w:t>شگ</w:t>
      </w:r>
      <w:r w:rsidRPr="0025250D">
        <w:rPr>
          <w:rFonts w:hint="cs"/>
          <w:rtl/>
        </w:rPr>
        <w:t>ی</w:t>
      </w:r>
      <w:r w:rsidRPr="0025250D">
        <w:rPr>
          <w:rFonts w:hint="eastAsia"/>
          <w:rtl/>
        </w:rPr>
        <w:t>ر</w:t>
      </w:r>
      <w:r w:rsidRPr="0025250D">
        <w:rPr>
          <w:rFonts w:hint="cs"/>
          <w:rtl/>
        </w:rPr>
        <w:t>ی</w:t>
      </w:r>
      <w:r w:rsidRPr="0025250D">
        <w:rPr>
          <w:rtl/>
        </w:rPr>
        <w:t xml:space="preserve"> کننده</w:t>
      </w:r>
      <w:r w:rsidRPr="0025250D">
        <w:rPr>
          <w:vertAlign w:val="superscript"/>
          <w:rtl/>
        </w:rPr>
        <w:footnoteReference w:id="2181"/>
      </w:r>
      <w:r w:rsidRPr="0025250D">
        <w:rPr>
          <w:rFonts w:hint="cs"/>
          <w:rtl/>
        </w:rPr>
        <w:t xml:space="preserve"> درمورد این که تا پایان این قرن شاهد چند میلیارد نفر جمعیت اضافه‌تر بر روی زمین خواهیم بود، از نظر سیاسی امن‌تر بوده و منافع</w:t>
      </w:r>
      <w:r w:rsidR="0008779C" w:rsidRPr="0025250D">
        <w:rPr>
          <w:rFonts w:hint="cs"/>
          <w:rtl/>
        </w:rPr>
        <w:t xml:space="preserve"> بیش‌تر</w:t>
      </w:r>
      <w:r w:rsidRPr="0025250D">
        <w:rPr>
          <w:rFonts w:hint="cs"/>
          <w:rtl/>
        </w:rPr>
        <w:t>ی داشت</w:t>
      </w:r>
      <w:r w:rsidR="008D6F97" w:rsidRPr="0025250D">
        <w:rPr>
          <w:rtl/>
        </w:rPr>
        <w:t xml:space="preserve">؛ </w:t>
      </w:r>
      <w:r w:rsidRPr="0025250D">
        <w:rPr>
          <w:rFonts w:hint="cs"/>
          <w:rtl/>
        </w:rPr>
        <w:t xml:space="preserve">اما چنین پیشگویی هایی، وقتی مبتنی بر شواهد نباشند می‌توانند ما را در برابر دیدن همه راه‌هایی که رشد جمعیت در حال تضعیف شدن است، کور کنند. ما نمی‌آموزیم که چگونه بهتر می‌توانیم به این گذار کمک کنیم. اگر گذار </w:t>
      </w:r>
      <w:r w:rsidRPr="0025250D">
        <w:rPr>
          <w:rtl/>
        </w:rPr>
        <w:t>جمع</w:t>
      </w:r>
      <w:r w:rsidRPr="0025250D">
        <w:rPr>
          <w:rFonts w:hint="cs"/>
          <w:rtl/>
        </w:rPr>
        <w:t>ی</w:t>
      </w:r>
      <w:r w:rsidRPr="0025250D">
        <w:rPr>
          <w:rFonts w:hint="eastAsia"/>
          <w:rtl/>
        </w:rPr>
        <w:t>ت</w:t>
      </w:r>
      <w:r w:rsidRPr="0025250D">
        <w:rPr>
          <w:rtl/>
        </w:rPr>
        <w:t xml:space="preserve"> شناخت</w:t>
      </w:r>
      <w:r w:rsidRPr="0025250D">
        <w:rPr>
          <w:rFonts w:hint="cs"/>
          <w:rtl/>
        </w:rPr>
        <w:t>ی را نادیده گرفته یا به آن کم توجهی کنیم، می‌تواند در هر کشور، به شکل‌های بسیار نامطلوب‌تر و غیر انسانی تری رخ دهد.</w:t>
      </w:r>
    </w:p>
    <w:p w14:paraId="357FFA4F" w14:textId="4185CF3E" w:rsidR="00537CC8" w:rsidRPr="0025250D" w:rsidRDefault="007118DE" w:rsidP="00537CC8">
      <w:pPr>
        <w:rPr>
          <w:rtl/>
        </w:rPr>
      </w:pPr>
      <w:r w:rsidRPr="0025250D">
        <w:rPr>
          <w:rFonts w:hint="cs"/>
          <w:rtl/>
        </w:rPr>
        <w:t>همان‌طور</w:t>
      </w:r>
      <w:r w:rsidR="00537CC8" w:rsidRPr="0025250D">
        <w:rPr>
          <w:rFonts w:hint="cs"/>
          <w:rtl/>
        </w:rPr>
        <w:t xml:space="preserve"> که آمارشناس بزرگ معاصر </w:t>
      </w:r>
      <w:r w:rsidR="00537CC8" w:rsidRPr="0025250D">
        <w:rPr>
          <w:rtl/>
        </w:rPr>
        <w:t>هانس روسل</w:t>
      </w:r>
      <w:r w:rsidR="00537CC8" w:rsidRPr="0025250D">
        <w:rPr>
          <w:rFonts w:hint="cs"/>
          <w:rtl/>
        </w:rPr>
        <w:t>ی</w:t>
      </w:r>
      <w:r w:rsidR="00537CC8" w:rsidRPr="0025250D">
        <w:rPr>
          <w:rFonts w:hint="eastAsia"/>
          <w:rtl/>
        </w:rPr>
        <w:t>نگ</w:t>
      </w:r>
      <w:r w:rsidR="00537CC8" w:rsidRPr="0025250D">
        <w:rPr>
          <w:vertAlign w:val="superscript"/>
          <w:rtl/>
        </w:rPr>
        <w:footnoteReference w:id="2182"/>
      </w:r>
      <w:r w:rsidR="00537CC8" w:rsidRPr="0025250D">
        <w:rPr>
          <w:rFonts w:hint="cs"/>
          <w:rtl/>
        </w:rPr>
        <w:t xml:space="preserve"> از گپ مایندر در کتاب وحشت نکنید: حقیقت درمورد جمعیت</w:t>
      </w:r>
      <w:r w:rsidR="00537CC8" w:rsidRPr="0025250D">
        <w:rPr>
          <w:vertAlign w:val="superscript"/>
          <w:rtl/>
        </w:rPr>
        <w:footnoteReference w:id="2183"/>
      </w:r>
      <w:r w:rsidR="00537CC8" w:rsidRPr="0025250D">
        <w:rPr>
          <w:rFonts w:hint="cs"/>
          <w:rtl/>
        </w:rPr>
        <w:t xml:space="preserve"> در سال 2013 بیان می‌کند، بشریت به دلیل مجموعه پیچیده‌ای از عوامل از جمله فرصت‌های اقتصادی رو به رشد، تحصیل زنان، دسترسی به ابزار‌های کنترل بارداری، هزینه رو به رشد پرورش یک فرزند در جوامع مدرن (فرزندان در صورت وجود یک سطح مشخص از </w:t>
      </w:r>
      <w:r w:rsidR="007A53FD" w:rsidRPr="0025250D">
        <w:rPr>
          <w:rFonts w:hint="cs"/>
          <w:rtl/>
        </w:rPr>
        <w:t>فناوری</w:t>
      </w:r>
      <w:r w:rsidR="00537CC8" w:rsidRPr="0025250D">
        <w:rPr>
          <w:rFonts w:hint="cs"/>
          <w:rtl/>
        </w:rPr>
        <w:t xml:space="preserve"> و سلامت عمومی به مسئولیت تبدیل می‌شوند، بجای این که جزو دارایی‌ها باشند) و رسانه‌های الکترونیکی جمعی که روش‌های زندگی دیگر را به مردم نشان می‌دهند، در سال 2000 به نقطه اوج فرزندآوری رسید و بیشترین نرخ رشد تولد را در تقریبا 130 میلیون سال از تاریخ ما پایدار کرد. نیروهای دیگری که جمعیت را کاهش می‌دهند شامل گسترش حقوق زنان، شهری سازی، دسترسی به مشاغل و فرهنگ و سیاست‌های پایداری هستند. به نظر ما دسترسی به اطلاعات آنلاین (تحصیل دیجیتالی در کل طول عمر) و سرگرمی‌ها و اخبار دیجیتالی که مزایای خانواده‌های کوچکتر را نشان می‌دهد، می‌توانند به طور مشخص راه‌های پر بازده و کم هزینه‌ای برای شتاب دادن به این گذار و تسریع تغییر اجتماعی باشند. در حال حاضر، اگرچه، ما مدل‌های پیش‌بینی خوبی از این که چه راهکاری، برای کمک به این گذار بهتر است، هم به صورت کلی و هم در شرایط منحصر به فرد هر کشور، در اختیار نداریم.</w:t>
      </w:r>
    </w:p>
    <w:p w14:paraId="09B276EE" w14:textId="32080624" w:rsidR="00537CC8" w:rsidRPr="0025250D" w:rsidRDefault="00537CC8" w:rsidP="00537CC8">
      <w:pPr>
        <w:rPr>
          <w:rtl/>
        </w:rPr>
      </w:pPr>
      <w:r w:rsidRPr="0025250D">
        <w:rPr>
          <w:rFonts w:hint="cs"/>
          <w:rtl/>
        </w:rPr>
        <w:t xml:space="preserve">از سال 2000، </w:t>
      </w:r>
      <w:r w:rsidRPr="0025250D">
        <w:rPr>
          <w:rtl/>
        </w:rPr>
        <w:t>جان</w:t>
      </w:r>
      <w:r w:rsidR="00712256" w:rsidRPr="0025250D">
        <w:rPr>
          <w:rFonts w:hint="cs"/>
          <w:rtl/>
        </w:rPr>
        <w:t xml:space="preserve"> اسمارت</w:t>
      </w:r>
      <w:r w:rsidRPr="0025250D">
        <w:rPr>
          <w:rFonts w:hint="cs"/>
          <w:rtl/>
        </w:rPr>
        <w:t xml:space="preserve"> در سخنرانی‌های عمومی خود بیان کرده است که منحنی قرمز در پیش نمایی</w:t>
      </w:r>
      <w:r w:rsidRPr="0025250D">
        <w:rPr>
          <w:vertAlign w:val="superscript"/>
          <w:rtl/>
        </w:rPr>
        <w:footnoteReference w:id="2184"/>
      </w:r>
      <w:r w:rsidRPr="0025250D">
        <w:rPr>
          <w:rFonts w:hint="cs"/>
          <w:rtl/>
        </w:rPr>
        <w:t xml:space="preserve"> سازمان ملل در شکل زیر یک تخیل درمورد آینده است. حتی منحنی نارنجی رنگ که رسیدن به یک جمعیت 10 میلیاردی تا سال 2100 را نشان می‌دهد، مبتنی بر شواهد نیست. با یک نگاه خیرخواهانه، می‌توان گفت که این منحنی‌ها به عنوان پیشگویی‌های خود پیشگیری کننده</w:t>
      </w:r>
      <w:r w:rsidRPr="0025250D">
        <w:rPr>
          <w:vertAlign w:val="superscript"/>
          <w:rtl/>
        </w:rPr>
        <w:footnoteReference w:id="2185"/>
      </w:r>
      <w:r w:rsidRPr="0025250D">
        <w:rPr>
          <w:rFonts w:hint="cs"/>
          <w:rtl/>
        </w:rPr>
        <w:t xml:space="preserve"> با هدف ترساندن ما برای تشدید عمل برای حفاظت از منابع، کاهش تأثیرات محیط زیستی و کنترل جمعیت انجام </w:t>
      </w:r>
      <w:r w:rsidR="00185F3E" w:rsidRPr="0025250D">
        <w:rPr>
          <w:rFonts w:hint="cs"/>
          <w:rtl/>
        </w:rPr>
        <w:t>شده‌اند</w:t>
      </w:r>
      <w:r w:rsidR="008D6F97" w:rsidRPr="0025250D">
        <w:rPr>
          <w:rtl/>
        </w:rPr>
        <w:t xml:space="preserve">؛ </w:t>
      </w:r>
      <w:r w:rsidR="0020589F" w:rsidRPr="0025250D">
        <w:rPr>
          <w:rtl/>
        </w:rPr>
        <w:t>اما</w:t>
      </w:r>
      <w:r w:rsidRPr="0025250D">
        <w:rPr>
          <w:rFonts w:hint="cs"/>
          <w:rtl/>
        </w:rPr>
        <w:t xml:space="preserve"> آن‌ها همچنین یک سوگیری </w:t>
      </w:r>
      <w:r w:rsidR="008D6F97" w:rsidRPr="0025250D">
        <w:rPr>
          <w:rFonts w:hint="cs"/>
          <w:rtl/>
        </w:rPr>
        <w:t>سامانه‌ای</w:t>
      </w:r>
      <w:r w:rsidRPr="0025250D">
        <w:rPr>
          <w:rFonts w:hint="cs"/>
          <w:rtl/>
        </w:rPr>
        <w:t xml:space="preserve"> و </w:t>
      </w:r>
      <w:r w:rsidRPr="0025250D">
        <w:rPr>
          <w:rtl/>
        </w:rPr>
        <w:t>خود خدمت</w:t>
      </w:r>
      <w:r w:rsidRPr="0025250D">
        <w:rPr>
          <w:rFonts w:hint="cs"/>
          <w:rtl/>
        </w:rPr>
        <w:t>ی</w:t>
      </w:r>
      <w:r w:rsidRPr="0025250D">
        <w:rPr>
          <w:vertAlign w:val="superscript"/>
          <w:rtl/>
        </w:rPr>
        <w:footnoteReference w:id="2186"/>
      </w:r>
      <w:r w:rsidRPr="0025250D">
        <w:rPr>
          <w:rFonts w:hint="cs"/>
          <w:rtl/>
        </w:rPr>
        <w:t xml:space="preserve"> هستند. آن‌ها نیروی‌های </w:t>
      </w:r>
      <w:r w:rsidR="007B3B35" w:rsidRPr="0025250D">
        <w:rPr>
          <w:rFonts w:hint="cs"/>
          <w:rtl/>
        </w:rPr>
        <w:t>شتاب‌گیر</w:t>
      </w:r>
      <w:r w:rsidRPr="0025250D">
        <w:rPr>
          <w:rFonts w:hint="cs"/>
          <w:rtl/>
        </w:rPr>
        <w:t xml:space="preserve">نده‌ای که از دهه 1970 میلادی در حال خم کردن منحنی به سمت پایین </w:t>
      </w:r>
      <w:r w:rsidR="00B124DE" w:rsidRPr="0025250D">
        <w:rPr>
          <w:rFonts w:hint="cs"/>
          <w:rtl/>
        </w:rPr>
        <w:t>بوده‌اند</w:t>
      </w:r>
      <w:r w:rsidRPr="0025250D">
        <w:rPr>
          <w:rFonts w:hint="cs"/>
          <w:rtl/>
        </w:rPr>
        <w:t xml:space="preserve"> را نادیده می‌گیرند و امروزه ما را از در اولویت قرار دادن و استفاده مؤثر از این نیروها باز می‌دارند.</w:t>
      </w:r>
    </w:p>
    <w:p w14:paraId="1E892DDA" w14:textId="77777777" w:rsidR="00537CC8" w:rsidRPr="0025250D" w:rsidRDefault="00537CC8" w:rsidP="00D53F87">
      <w:pPr>
        <w:jc w:val="center"/>
        <w:rPr>
          <w:rtl/>
        </w:rPr>
      </w:pPr>
      <w:r w:rsidRPr="0025250D">
        <w:rPr>
          <w:noProof/>
          <w:rtl/>
          <w:lang w:bidi="ar-SA"/>
        </w:rPr>
        <w:drawing>
          <wp:inline distT="0" distB="0" distL="0" distR="0" wp14:anchorId="64CFD975" wp14:editId="33D26885">
            <wp:extent cx="3146914" cy="3101009"/>
            <wp:effectExtent l="0" t="0" r="0" b="4445"/>
            <wp:docPr id="123" name="Picture 123" descr="D:\کار\مستقل\3 ( ترجمه ی دانشگاه تهران  )\Introduction to Foresight\part6\21-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6\21-new.png"/>
                    <pic:cNvPicPr>
                      <a:picLocks noChangeAspect="1" noChangeArrowheads="1"/>
                    </pic:cNvPicPr>
                  </pic:nvPicPr>
                  <pic:blipFill rotWithShape="1">
                    <a:blip r:embed="rId194" cstate="screen">
                      <a:extLst>
                        <a:ext uri="{BEBA8EAE-BF5A-486C-A8C5-ECC9F3942E4B}">
                          <a14:imgProps xmlns:a14="http://schemas.microsoft.com/office/drawing/2010/main">
                            <a14:imgLayer r:embed="rId195">
                              <a14:imgEffect>
                                <a14:saturation sat="0"/>
                              </a14:imgEffect>
                            </a14:imgLayer>
                          </a14:imgProps>
                        </a:ext>
                        <a:ext uri="{28A0092B-C50C-407E-A947-70E740481C1C}">
                          <a14:useLocalDpi xmlns:a14="http://schemas.microsoft.com/office/drawing/2010/main"/>
                        </a:ext>
                      </a:extLst>
                    </a:blip>
                    <a:srcRect b="10015"/>
                    <a:stretch/>
                  </pic:blipFill>
                  <pic:spPr bwMode="auto">
                    <a:xfrm>
                      <a:off x="0" y="0"/>
                      <a:ext cx="3149108" cy="3103171"/>
                    </a:xfrm>
                    <a:prstGeom prst="rect">
                      <a:avLst/>
                    </a:prstGeom>
                    <a:noFill/>
                    <a:ln>
                      <a:noFill/>
                    </a:ln>
                    <a:extLst>
                      <a:ext uri="{53640926-AAD7-44D8-BBD7-CCE9431645EC}">
                        <a14:shadowObscured xmlns:a14="http://schemas.microsoft.com/office/drawing/2010/main"/>
                      </a:ext>
                    </a:extLst>
                  </pic:spPr>
                </pic:pic>
              </a:graphicData>
            </a:graphic>
          </wp:inline>
        </w:drawing>
      </w:r>
    </w:p>
    <w:p w14:paraId="0FB0D02D" w14:textId="04189361" w:rsidR="00537CC8" w:rsidRPr="0025250D" w:rsidRDefault="00FB6A7E" w:rsidP="00D53F87">
      <w:pPr>
        <w:jc w:val="center"/>
        <w:rPr>
          <w:rtl/>
        </w:rPr>
      </w:pPr>
      <w:r w:rsidRPr="0025250D">
        <w:rPr>
          <w:rFonts w:hint="cs"/>
          <w:rtl/>
        </w:rPr>
        <w:t>پیش‌نگری</w:t>
      </w:r>
      <w:r w:rsidR="00537CC8" w:rsidRPr="0025250D">
        <w:rPr>
          <w:rFonts w:hint="cs"/>
          <w:rtl/>
        </w:rPr>
        <w:t xml:space="preserve"> جمعیت جهان، 2010-2100، سه بازنمایی </w:t>
      </w:r>
      <w:r w:rsidR="00537CC8" w:rsidRPr="0025250D">
        <w:t>UN</w:t>
      </w:r>
      <w:r w:rsidR="00537CC8" w:rsidRPr="0025250D">
        <w:rPr>
          <w:rFonts w:hint="cs"/>
          <w:rtl/>
        </w:rPr>
        <w:t xml:space="preserve"> (ویکیپدیا، 2010)</w:t>
      </w:r>
    </w:p>
    <w:p w14:paraId="0D2F08DF" w14:textId="78E059A8" w:rsidR="00537CC8" w:rsidRPr="0025250D" w:rsidRDefault="00537CC8" w:rsidP="00537CC8">
      <w:pPr>
        <w:rPr>
          <w:rtl/>
        </w:rPr>
      </w:pPr>
      <w:r w:rsidRPr="0025250D">
        <w:rPr>
          <w:rFonts w:hint="cs"/>
          <w:rtl/>
        </w:rPr>
        <w:t>در سال 2004، کتاب</w:t>
      </w:r>
      <w:r w:rsidR="00BB406C" w:rsidRPr="0025250D">
        <w:rPr>
          <w:rFonts w:hint="cs"/>
          <w:rtl/>
        </w:rPr>
        <w:t xml:space="preserve"> کم‌تر</w:t>
      </w:r>
      <w:r w:rsidRPr="0025250D">
        <w:rPr>
          <w:vertAlign w:val="superscript"/>
          <w:rtl/>
        </w:rPr>
        <w:footnoteReference w:id="2187"/>
      </w:r>
      <w:r w:rsidRPr="0025250D">
        <w:rPr>
          <w:rFonts w:hint="cs"/>
          <w:rtl/>
        </w:rPr>
        <w:t xml:space="preserve"> اثر </w:t>
      </w:r>
      <w:r w:rsidRPr="0025250D">
        <w:rPr>
          <w:rtl/>
        </w:rPr>
        <w:t>بن واتنبرگ</w:t>
      </w:r>
      <w:r w:rsidRPr="0025250D">
        <w:rPr>
          <w:vertAlign w:val="superscript"/>
          <w:rtl/>
        </w:rPr>
        <w:footnoteReference w:id="2188"/>
      </w:r>
      <w:r w:rsidRPr="0025250D">
        <w:rPr>
          <w:rFonts w:hint="cs"/>
          <w:rtl/>
        </w:rPr>
        <w:t xml:space="preserve"> </w:t>
      </w:r>
      <w:r w:rsidRPr="0025250D">
        <w:rPr>
          <w:rtl/>
        </w:rPr>
        <w:t>جمع</w:t>
      </w:r>
      <w:r w:rsidRPr="0025250D">
        <w:rPr>
          <w:rFonts w:hint="cs"/>
          <w:rtl/>
        </w:rPr>
        <w:t>ی</w:t>
      </w:r>
      <w:r w:rsidRPr="0025250D">
        <w:rPr>
          <w:rFonts w:hint="eastAsia"/>
          <w:rtl/>
        </w:rPr>
        <w:t>ت</w:t>
      </w:r>
      <w:r w:rsidRPr="0025250D">
        <w:rPr>
          <w:rtl/>
        </w:rPr>
        <w:t xml:space="preserve"> شناس</w:t>
      </w:r>
      <w:r w:rsidRPr="0025250D">
        <w:rPr>
          <w:rFonts w:hint="cs"/>
          <w:rtl/>
        </w:rPr>
        <w:t>ی</w:t>
      </w:r>
      <w:r w:rsidRPr="0025250D">
        <w:rPr>
          <w:rtl/>
        </w:rPr>
        <w:t xml:space="preserve"> کاهش جمع</w:t>
      </w:r>
      <w:r w:rsidRPr="0025250D">
        <w:rPr>
          <w:rFonts w:hint="cs"/>
          <w:rtl/>
        </w:rPr>
        <w:t>ی</w:t>
      </w:r>
      <w:r w:rsidRPr="0025250D">
        <w:rPr>
          <w:rFonts w:hint="eastAsia"/>
          <w:rtl/>
        </w:rPr>
        <w:t>ت</w:t>
      </w:r>
      <w:r w:rsidRPr="0025250D">
        <w:rPr>
          <w:rFonts w:hint="cs"/>
          <w:rtl/>
        </w:rPr>
        <w:t xml:space="preserve"> را برای سیاره ما توصیف کرد. اخیرا، بریکر</w:t>
      </w:r>
      <w:r w:rsidRPr="0025250D">
        <w:rPr>
          <w:vertAlign w:val="superscript"/>
          <w:rtl/>
        </w:rPr>
        <w:footnoteReference w:id="2189"/>
      </w:r>
      <w:r w:rsidRPr="0025250D">
        <w:rPr>
          <w:rFonts w:hint="cs"/>
          <w:rtl/>
        </w:rPr>
        <w:t xml:space="preserve"> و </w:t>
      </w:r>
      <w:r w:rsidRPr="0025250D">
        <w:rPr>
          <w:rtl/>
        </w:rPr>
        <w:t>ا</w:t>
      </w:r>
      <w:r w:rsidRPr="0025250D">
        <w:rPr>
          <w:rFonts w:hint="cs"/>
          <w:rtl/>
        </w:rPr>
        <w:t>ی</w:t>
      </w:r>
      <w:r w:rsidRPr="0025250D">
        <w:rPr>
          <w:rFonts w:hint="eastAsia"/>
          <w:rtl/>
        </w:rPr>
        <w:t>ب</w:t>
      </w:r>
      <w:r w:rsidRPr="0025250D">
        <w:rPr>
          <w:rFonts w:hint="cs"/>
          <w:rtl/>
        </w:rPr>
        <w:t>ی</w:t>
      </w:r>
      <w:r w:rsidRPr="0025250D">
        <w:rPr>
          <w:rFonts w:hint="eastAsia"/>
          <w:rtl/>
        </w:rPr>
        <w:t>تسون</w:t>
      </w:r>
      <w:r w:rsidRPr="0025250D">
        <w:rPr>
          <w:vertAlign w:val="superscript"/>
          <w:rtl/>
        </w:rPr>
        <w:footnoteReference w:id="2190"/>
      </w:r>
      <w:r w:rsidRPr="0025250D">
        <w:rPr>
          <w:rFonts w:hint="cs"/>
          <w:rtl/>
        </w:rPr>
        <w:t xml:space="preserve"> در کتاب سیاره خالی</w:t>
      </w:r>
      <w:r w:rsidRPr="0025250D">
        <w:rPr>
          <w:vertAlign w:val="superscript"/>
          <w:rtl/>
        </w:rPr>
        <w:footnoteReference w:id="2191"/>
      </w:r>
      <w:r w:rsidRPr="0025250D">
        <w:rPr>
          <w:rFonts w:hint="cs"/>
          <w:rtl/>
        </w:rPr>
        <w:t xml:space="preserve"> در سال 2020 به بیان همین نکته ادامه داده اند. حتی امروزه، بیش‌تر متفکرین جهانی هنوز این آینده قابل پیش‌بینی را نادیده می‌گیرند و بنابراین درس‌های متعدد آن را از دست می‌دهند. در </w:t>
      </w:r>
      <w:r w:rsidRPr="0025250D">
        <w:t>BPF</w:t>
      </w:r>
      <w:r w:rsidRPr="0025250D">
        <w:rPr>
          <w:rFonts w:hint="cs"/>
          <w:rtl/>
        </w:rPr>
        <w:t>، ما عصر اوج ها</w:t>
      </w:r>
      <w:r w:rsidRPr="0025250D">
        <w:rPr>
          <w:vertAlign w:val="superscript"/>
          <w:rtl/>
        </w:rPr>
        <w:footnoteReference w:id="2192"/>
      </w:r>
      <w:r w:rsidRPr="0025250D">
        <w:rPr>
          <w:rFonts w:hint="cs"/>
          <w:rtl/>
        </w:rPr>
        <w:t xml:space="preserve"> را درمورد تأثیر گونه ما بر روی سیاره مان توصیف خواهیم کرد. در تنها یک دهه اخیر، تمدن ما از اوج فرزند آوری، اوج تولید فولاد، اوج تولید زمین‌های کشاورزی و اوج تقاضا برای نفت گذشته است. اوج ‌های متعدد دیگری، مانند اوج اتومبیل، اوج پرورش گاو، اوج از دست رفتن گونه‌ها، اوج تولید </w:t>
      </w:r>
      <w:r w:rsidRPr="0025250D">
        <w:t>CO2</w:t>
      </w:r>
      <w:r w:rsidRPr="0025250D">
        <w:rPr>
          <w:rFonts w:hint="cs"/>
          <w:rtl/>
        </w:rPr>
        <w:t xml:space="preserve"> و اوج جمعیت، در پیش روی ما قرار دارند. به شکل بسیار مهمی، این اوج‌ها تنها برای برای بیولوژی انسان‌ها و نیاز‌های مصرفی آن‌ها اعمال می‌شوند، نه برای تعداد و نیاز‌های ماشین‌های به شکل فزاینده‌ای هوشمند، کوچک، </w:t>
      </w:r>
      <w:r w:rsidR="000B4A71" w:rsidRPr="0025250D">
        <w:rPr>
          <w:rFonts w:hint="cs"/>
          <w:rtl/>
        </w:rPr>
        <w:t>مادی‌زدایی</w:t>
      </w:r>
      <w:r w:rsidRPr="0025250D">
        <w:rPr>
          <w:rFonts w:hint="cs"/>
          <w:rtl/>
        </w:rPr>
        <w:t xml:space="preserve"> شده و زنده مانند ما. باید بیاموزیم که تفاوت را ببینیم.</w:t>
      </w:r>
    </w:p>
    <w:p w14:paraId="6074012A" w14:textId="6CAC0287" w:rsidR="00537CC8" w:rsidRPr="0025250D" w:rsidRDefault="00537CC8" w:rsidP="00537CC8">
      <w:pPr>
        <w:rPr>
          <w:rtl/>
        </w:rPr>
      </w:pPr>
      <w:r w:rsidRPr="0025250D">
        <w:rPr>
          <w:rFonts w:hint="cs"/>
          <w:rtl/>
        </w:rPr>
        <w:t xml:space="preserve">چند جامعه توسعه یافته معدود که درمورد این که چه کسی از افراد مسن حمایت خواهد کرد، خانواده‌ها را برای بچه دار شدن، با پرداخت‌های مستقیم (استرالیا) یا منافع افزایشی (آلمان، ژاپن، چین) حمایت مالی </w:t>
      </w:r>
      <w:r w:rsidR="007118DE" w:rsidRPr="0025250D">
        <w:rPr>
          <w:rFonts w:hint="cs"/>
          <w:rtl/>
        </w:rPr>
        <w:t>کرده‌اند</w:t>
      </w:r>
      <w:r w:rsidRPr="0025250D">
        <w:rPr>
          <w:rFonts w:hint="cs"/>
          <w:rtl/>
        </w:rPr>
        <w:t>، اما چنین مداخلاتی جمعیت در حال کاهش آن‌ها را پایدار ن</w:t>
      </w:r>
      <w:r w:rsidR="007118DE" w:rsidRPr="0025250D">
        <w:rPr>
          <w:rFonts w:hint="cs"/>
          <w:rtl/>
        </w:rPr>
        <w:t>کرده‌اند</w:t>
      </w:r>
      <w:r w:rsidRPr="0025250D">
        <w:rPr>
          <w:rFonts w:hint="cs"/>
          <w:rtl/>
        </w:rPr>
        <w:t xml:space="preserve">. حتی وقتی به یک درآمد پایه‌ای همگانی می‌نگریم، دنیایی که در آن انتخاب بچه دار شدن یا نشدن برای خانواده‌ها ساده‌تر خواهد بود، به نظر ما نرسیدن این جوامع به نرخ 2.1 بچه به ازای هر زوج که برای ادامه روند رشد جمعیت جهان لازم است، بسیار شفاف است. این امر به این دلیل است که تغییر ارزش‌های دائمی، به عنوان تابعی از پیچیدگی اخلاقی و </w:t>
      </w:r>
      <w:r w:rsidR="00A936B3" w:rsidRPr="0025250D">
        <w:rPr>
          <w:rFonts w:hint="cs"/>
          <w:rtl/>
        </w:rPr>
        <w:t>همدلی</w:t>
      </w:r>
      <w:r w:rsidRPr="0025250D">
        <w:rPr>
          <w:rFonts w:hint="cs"/>
          <w:rtl/>
        </w:rPr>
        <w:t xml:space="preserve"> ما رخ داده است. شکوفا کردن خود و فراهم کردن بهترین فرصت‌های ممکن برای فرزندانمان ارزش‌های برتر جدید ما در همه کشور‌های توسعه یافته و تا حد زیادی توسعه یافته هستند. به همین دلیل است که جوامع از جبران کاهش نرخ تولد </w:t>
      </w:r>
      <w:r w:rsidR="0044659F" w:rsidRPr="0025250D">
        <w:rPr>
          <w:rFonts w:hint="cs"/>
          <w:rtl/>
        </w:rPr>
        <w:t>زیستی</w:t>
      </w:r>
      <w:r w:rsidRPr="0025250D">
        <w:rPr>
          <w:rFonts w:hint="cs"/>
          <w:rtl/>
        </w:rPr>
        <w:t xml:space="preserve"> بسیار عقب‌تر هستند.</w:t>
      </w:r>
    </w:p>
    <w:p w14:paraId="5D5DA443" w14:textId="6A68A50C" w:rsidR="00537CC8" w:rsidRPr="0025250D" w:rsidRDefault="00537CC8" w:rsidP="00537CC8">
      <w:pPr>
        <w:rPr>
          <w:rtl/>
        </w:rPr>
      </w:pPr>
      <w:r w:rsidRPr="0025250D">
        <w:rPr>
          <w:rFonts w:hint="cs"/>
          <w:rtl/>
        </w:rPr>
        <w:t>برای ما واضح است که چه کسی از سالخوردگی ما، در کم‌تر شدن جمعیت مردم حمایت</w:t>
      </w:r>
      <w:r w:rsidRPr="0025250D">
        <w:rPr>
          <w:rtl/>
        </w:rPr>
        <w:t xml:space="preserve"> </w:t>
      </w:r>
      <w:r w:rsidRPr="0025250D">
        <w:rPr>
          <w:rFonts w:hint="cs"/>
          <w:rtl/>
        </w:rPr>
        <w:t>خواهد</w:t>
      </w:r>
      <w:r w:rsidRPr="0025250D">
        <w:rPr>
          <w:rtl/>
        </w:rPr>
        <w:t xml:space="preserve"> </w:t>
      </w:r>
      <w:r w:rsidRPr="0025250D">
        <w:rPr>
          <w:rFonts w:hint="cs"/>
          <w:rtl/>
        </w:rPr>
        <w:t xml:space="preserve">کرد. هوش مصنوعی‌های خود بهبود دهنده ما که همچنین به کاهش دادن نیاز حیاتی خود به منابع </w:t>
      </w:r>
      <w:r w:rsidR="007118DE" w:rsidRPr="0025250D">
        <w:rPr>
          <w:rFonts w:hint="cs"/>
          <w:rtl/>
        </w:rPr>
        <w:t>همان‌طور</w:t>
      </w:r>
      <w:r w:rsidRPr="0025250D">
        <w:rPr>
          <w:rFonts w:hint="cs"/>
          <w:rtl/>
        </w:rPr>
        <w:t xml:space="preserve"> که روند‌های </w:t>
      </w:r>
      <w:r w:rsidRPr="0025250D">
        <w:t>D&amp;D</w:t>
      </w:r>
      <w:r w:rsidRPr="0025250D">
        <w:rPr>
          <w:rFonts w:hint="cs"/>
          <w:rtl/>
        </w:rPr>
        <w:t xml:space="preserve"> در طول سال‌های متمادی نشان داده اند، ادامه خواهند داد. ما پیش‌بینی می‌کنیم که نسبت ماشین به ذهن‌های </w:t>
      </w:r>
      <w:r w:rsidR="0044659F" w:rsidRPr="0025250D">
        <w:rPr>
          <w:rFonts w:hint="cs"/>
          <w:rtl/>
        </w:rPr>
        <w:t>زیستی</w:t>
      </w:r>
      <w:r w:rsidRPr="0025250D">
        <w:rPr>
          <w:rFonts w:hint="cs"/>
          <w:rtl/>
        </w:rPr>
        <w:t xml:space="preserve"> به رشد نمایی خود، به دلیل مزایای دراماتیک سرعت، دوام، کارایی و پیچیدگی در توسعه تکاملی ماشین‌ها ادامه خواهد داد</w:t>
      </w:r>
      <w:r w:rsidR="008D6F97" w:rsidRPr="0025250D">
        <w:rPr>
          <w:rtl/>
        </w:rPr>
        <w:t xml:space="preserve">؛ </w:t>
      </w:r>
      <w:r w:rsidRPr="0025250D">
        <w:rPr>
          <w:rFonts w:hint="cs"/>
          <w:rtl/>
        </w:rPr>
        <w:t xml:space="preserve">بنابراین ممکن است تا یک قرن بعد، نسبت ذهن‌های کاملا </w:t>
      </w:r>
      <w:r w:rsidR="00127288" w:rsidRPr="0025250D">
        <w:rPr>
          <w:rFonts w:hint="cs"/>
          <w:rtl/>
        </w:rPr>
        <w:t>زیستی</w:t>
      </w:r>
      <w:r w:rsidRPr="0025250D">
        <w:rPr>
          <w:rFonts w:hint="cs"/>
          <w:rtl/>
        </w:rPr>
        <w:t xml:space="preserve"> بر روی زمین بسیار کم شده باشد. به صورت خصوصی، بسیاری از متخصصین منطق این داستان </w:t>
      </w:r>
      <w:r w:rsidR="00822BD5" w:rsidRPr="0025250D">
        <w:rPr>
          <w:rtl/>
        </w:rPr>
        <w:t>تخم مرغ شانسی مانند</w:t>
      </w:r>
      <w:r w:rsidRPr="0025250D">
        <w:rPr>
          <w:rFonts w:hint="cs"/>
          <w:rtl/>
        </w:rPr>
        <w:t xml:space="preserve"> را می‌بینند و تا به حال نتوانسته اند آن را شکست دهند، اگرچه بسیاری برای این کار تلاش </w:t>
      </w:r>
      <w:r w:rsidR="007118DE" w:rsidRPr="0025250D">
        <w:rPr>
          <w:rFonts w:hint="cs"/>
          <w:rtl/>
        </w:rPr>
        <w:t>کرده‌اند</w:t>
      </w:r>
      <w:r w:rsidR="008D6F97" w:rsidRPr="0025250D">
        <w:rPr>
          <w:rtl/>
        </w:rPr>
        <w:t xml:space="preserve">؛ </w:t>
      </w:r>
      <w:r w:rsidRPr="0025250D">
        <w:rPr>
          <w:rFonts w:hint="cs"/>
          <w:rtl/>
        </w:rPr>
        <w:t>اما به صورت عمومی، به عنوان یک جامعه، ما هنوز نمی‌خواهیم این را قبول کنیم</w:t>
      </w:r>
      <w:r w:rsidR="008D6F97" w:rsidRPr="0025250D">
        <w:rPr>
          <w:rtl/>
        </w:rPr>
        <w:t xml:space="preserve">؛ </w:t>
      </w:r>
      <w:r w:rsidRPr="0025250D">
        <w:rPr>
          <w:rFonts w:hint="cs"/>
          <w:rtl/>
        </w:rPr>
        <w:t xml:space="preserve">بنابراین به تولید و باورکردن تخمین‌های به‌شدت نادرست و غیر دقیق از آینده </w:t>
      </w:r>
      <w:r w:rsidR="0044659F" w:rsidRPr="0025250D">
        <w:rPr>
          <w:rFonts w:hint="cs"/>
          <w:rtl/>
        </w:rPr>
        <w:t>زیستی</w:t>
      </w:r>
      <w:r w:rsidRPr="0025250D">
        <w:rPr>
          <w:rFonts w:hint="cs"/>
          <w:rtl/>
        </w:rPr>
        <w:t xml:space="preserve"> رشد جمعیت ادامه می‌دهیم.</w:t>
      </w:r>
    </w:p>
    <w:p w14:paraId="6C738FC7" w14:textId="0F94A386" w:rsidR="00537CC8" w:rsidRPr="0025250D" w:rsidRDefault="00537CC8" w:rsidP="00537CC8">
      <w:pPr>
        <w:rPr>
          <w:rtl/>
        </w:rPr>
      </w:pPr>
      <w:r w:rsidRPr="0025250D">
        <w:rPr>
          <w:rFonts w:hint="cs"/>
          <w:rtl/>
        </w:rPr>
        <w:t>بنابراین اوج جمعیت (</w:t>
      </w:r>
      <w:r w:rsidR="00127288" w:rsidRPr="0025250D">
        <w:rPr>
          <w:rFonts w:hint="cs"/>
          <w:rtl/>
        </w:rPr>
        <w:t>زیستی</w:t>
      </w:r>
      <w:r w:rsidRPr="0025250D">
        <w:rPr>
          <w:rFonts w:hint="cs"/>
          <w:rtl/>
        </w:rPr>
        <w:t xml:space="preserve">) چقدر جلوتر خواهد بود؟ و امروزه برای کاهش آن چه کار می‌توانیم انجام دهیم؟ </w:t>
      </w:r>
      <w:r w:rsidRPr="0025250D">
        <w:rPr>
          <w:rtl/>
        </w:rPr>
        <w:t>روزل</w:t>
      </w:r>
      <w:r w:rsidRPr="0025250D">
        <w:rPr>
          <w:rFonts w:hint="cs"/>
          <w:rtl/>
        </w:rPr>
        <w:t>ی</w:t>
      </w:r>
      <w:r w:rsidRPr="0025250D">
        <w:rPr>
          <w:rFonts w:hint="eastAsia"/>
          <w:rtl/>
        </w:rPr>
        <w:t>نگ</w:t>
      </w:r>
      <w:r w:rsidRPr="0025250D">
        <w:rPr>
          <w:rFonts w:hint="cs"/>
          <w:rtl/>
        </w:rPr>
        <w:t xml:space="preserve"> به ما می‌گوید که رمز جمعیت انسانی امروزه 1114 است. منظور او این است که یک میلیارد انسان در آمریکا، یک میلیارد در اروپا، یک میلیارد در آفریقا و 4 میلیارد در آسیا زندگی می‌کنند. پیش نمایی‌های متوسط سازمان ملل (که به نظر ما بیش‌ازحد بالا هستند) انتظار دارند که </w:t>
      </w:r>
      <w:r w:rsidR="00712256" w:rsidRPr="0025250D">
        <w:rPr>
          <w:rFonts w:hint="cs"/>
          <w:rtl/>
        </w:rPr>
        <w:t xml:space="preserve">تا سال 2100، </w:t>
      </w:r>
      <w:r w:rsidRPr="0025250D">
        <w:rPr>
          <w:rFonts w:hint="cs"/>
          <w:rtl/>
        </w:rPr>
        <w:t xml:space="preserve">رمز جمعیتی جهانی ما 1145 باشد. قاره‌های آمریکا و اروپا رشد جمعیت خود را متوقف </w:t>
      </w:r>
      <w:r w:rsidR="007118DE" w:rsidRPr="0025250D">
        <w:rPr>
          <w:rFonts w:hint="cs"/>
          <w:rtl/>
        </w:rPr>
        <w:t>کرده‌اند</w:t>
      </w:r>
      <w:r w:rsidRPr="0025250D">
        <w:rPr>
          <w:rFonts w:hint="cs"/>
          <w:rtl/>
        </w:rPr>
        <w:t xml:space="preserve">، بجز رشد جمعیت به دلیل مهاجرت. حداکثر یک میلیارد نفر دیگر به جمعیت آسیا افزوده خوهد شد، اما به احتمال بیش‌تر این تعداد تنها نیم میلیارد نفر خواهد بود. در بنگلادش، برای مثال، اکنون 2.2 تولد به ازای هر دو فرد بزرگسال وجود دارد که از 6 تولد در دهه 1970 به این رقم کاهش یافته است. در یک </w:t>
      </w:r>
      <w:r w:rsidR="00701E03" w:rsidRPr="0025250D">
        <w:rPr>
          <w:rFonts w:hint="cs"/>
          <w:rtl/>
        </w:rPr>
        <w:t>فرانامه</w:t>
      </w:r>
      <w:r w:rsidRPr="0025250D">
        <w:rPr>
          <w:rFonts w:hint="cs"/>
          <w:rtl/>
        </w:rPr>
        <w:t xml:space="preserve"> بدترین حالت، اگر روند‌های امروزی ادامه یابند، سه میلیارد نفر دیگر می‌توانند به جمعیت آفریقا افزوده شوند که در مجموع ما را به قله 11 میلیارد نفری در سال 2100 می‌رسانند</w:t>
      </w:r>
      <w:r w:rsidR="008D6F97" w:rsidRPr="0025250D">
        <w:rPr>
          <w:rtl/>
        </w:rPr>
        <w:t xml:space="preserve">؛ </w:t>
      </w:r>
      <w:r w:rsidRPr="0025250D">
        <w:rPr>
          <w:rFonts w:hint="cs"/>
          <w:rtl/>
        </w:rPr>
        <w:t xml:space="preserve">اما این اتفاق رخ نخواهد داد. یادگیری اجتماعی و موارد نمایی همواره این منحنی رشد را به سمت پایین خم می‌کنند. در بهترین تخمین‌های امروزی، ما در نهایت به یک رمز نزدیک به 1124، با یک جمعیت حداکثری 8.7 میلیارد نفری در حدود سال 2060 خواهیم رسید. سپس جمعیت جهان کاهش خوهد یافت، با نرخ‌هایی سریع‌تر در هر دهه. به طرز جالبی، بین سال‌های 2060 و 2100 ما همچنین انتظار داریم که هوش مصنوعی عمومی از راه برسد. در </w:t>
      </w:r>
      <w:r w:rsidRPr="0025250D">
        <w:t>BPF</w:t>
      </w:r>
      <w:r w:rsidRPr="0025250D">
        <w:rPr>
          <w:rFonts w:hint="cs"/>
          <w:rtl/>
        </w:rPr>
        <w:t>، بیان می‌کنیم که ظهور هوش مصنوعی در این قرن به‌شدت ارزش‌های اجتماعی را به سمت پایداری سوق خواهد داد.</w:t>
      </w:r>
    </w:p>
    <w:p w14:paraId="285FC5A6" w14:textId="616278D4" w:rsidR="00537CC8" w:rsidRPr="0025250D" w:rsidRDefault="00537CC8" w:rsidP="00537CC8">
      <w:pPr>
        <w:rPr>
          <w:rtl/>
        </w:rPr>
      </w:pPr>
      <w:r w:rsidRPr="0025250D">
        <w:rPr>
          <w:rFonts w:hint="cs"/>
          <w:rtl/>
        </w:rPr>
        <w:t xml:space="preserve">تحلیل </w:t>
      </w:r>
      <w:r w:rsidRPr="0025250D">
        <w:rPr>
          <w:rtl/>
        </w:rPr>
        <w:t>روزل</w:t>
      </w:r>
      <w:r w:rsidRPr="0025250D">
        <w:rPr>
          <w:rFonts w:hint="cs"/>
          <w:rtl/>
        </w:rPr>
        <w:t>ی</w:t>
      </w:r>
      <w:r w:rsidRPr="0025250D">
        <w:rPr>
          <w:rFonts w:hint="eastAsia"/>
          <w:rtl/>
        </w:rPr>
        <w:t>نگ</w:t>
      </w:r>
      <w:r w:rsidRPr="0025250D">
        <w:rPr>
          <w:rFonts w:hint="cs"/>
          <w:rtl/>
        </w:rPr>
        <w:t xml:space="preserve"> به ما می‌گوید که ما امروزه باید بر نرخ تولد در کشور‌های کم‌تر توسعه یافته در آفریقا و چند کشور کم‌تر توسعه یافته در آسیا تمرکز کنیم. به بیان دیگر، همه کسانی که به توسعه انسانی پایدار و حداکثر منابع برای همه کودکان در جهان اهمیت می‌دهند، به این دلیل که آن‌ها به شکل فزاینده‌ای به دنبال سبک زندگی در جهان توسعه یافته هستند، باید امروزه به دنبال کمک به بیش‌تر آفریقا و بخش‌هایی از آسیا با حقوق و تحصیلات به‌شدت بیش‌تر برای زنان، شغل‌های دارای درآمد، دسترسی به کنترل بارداری و گستره‌ای از فعالیت‌های توسعه‌ای </w:t>
      </w:r>
      <w:r w:rsidR="007A53FD" w:rsidRPr="0025250D">
        <w:rPr>
          <w:rFonts w:hint="cs"/>
          <w:rtl/>
        </w:rPr>
        <w:t>فناورانه</w:t>
      </w:r>
      <w:r w:rsidRPr="0025250D">
        <w:rPr>
          <w:rFonts w:hint="cs"/>
          <w:rtl/>
        </w:rPr>
        <w:t xml:space="preserve"> هدفمند باشند. این همان جایی است که آخرین مشکل بزرگ جمعیت ما امروزه در آن وجود دارد. در کشور‌های جنوب صحرای آفریقا که بیش‌ترین رشد جمعیت و نیازهای اجتماعی را دارند، کشور‌های بسیاری هنوز آموزش عمومی فاسد و ناکارآمد دارند. مدارس خصوصی در کنیا، نیجریه و دیگر کشور‌ها در حال ورود به آموزش کودکان نادیده گرفته شده با هزینه اندکی در حد 150 دلار در سال هستند. این کشور‌ها به سیاست‌ها و فرصت‌های توسعه‌ای که خانواده‌ها را توانمند ساخته و این گذار را تسریع کنند نیاز دارند.</w:t>
      </w:r>
    </w:p>
    <w:p w14:paraId="7D2E2A9F" w14:textId="43AA3E66" w:rsidR="00537CC8" w:rsidRPr="0025250D" w:rsidRDefault="00537CC8" w:rsidP="00537CC8">
      <w:pPr>
        <w:rPr>
          <w:rtl/>
        </w:rPr>
      </w:pPr>
      <w:r w:rsidRPr="0025250D">
        <w:rPr>
          <w:rFonts w:hint="cs"/>
          <w:rtl/>
        </w:rPr>
        <w:t xml:space="preserve">کتاب عالی </w:t>
      </w:r>
      <w:r w:rsidRPr="0025250D">
        <w:rPr>
          <w:rtl/>
        </w:rPr>
        <w:t>ا</w:t>
      </w:r>
      <w:r w:rsidRPr="0025250D">
        <w:rPr>
          <w:rFonts w:hint="cs"/>
          <w:rtl/>
        </w:rPr>
        <w:t>ی</w:t>
      </w:r>
      <w:r w:rsidRPr="0025250D">
        <w:rPr>
          <w:rFonts w:hint="eastAsia"/>
          <w:rtl/>
        </w:rPr>
        <w:t>رنه</w:t>
      </w:r>
      <w:r w:rsidRPr="0025250D">
        <w:rPr>
          <w:rtl/>
        </w:rPr>
        <w:t xml:space="preserve"> سان</w:t>
      </w:r>
      <w:r w:rsidRPr="0025250D">
        <w:rPr>
          <w:vertAlign w:val="superscript"/>
          <w:rtl/>
        </w:rPr>
        <w:footnoteReference w:id="2193"/>
      </w:r>
      <w:r w:rsidRPr="0025250D">
        <w:rPr>
          <w:rFonts w:hint="cs"/>
          <w:rtl/>
        </w:rPr>
        <w:t xml:space="preserve"> با عنوان کارخانه بعدی جهان: </w:t>
      </w:r>
      <w:r w:rsidR="00F50EB4" w:rsidRPr="0025250D">
        <w:rPr>
          <w:rFonts w:hint="cs"/>
          <w:rtl/>
        </w:rPr>
        <w:t>سرمایه‌گذاری</w:t>
      </w:r>
      <w:r w:rsidRPr="0025250D">
        <w:rPr>
          <w:rFonts w:hint="cs"/>
          <w:rtl/>
        </w:rPr>
        <w:t xml:space="preserve"> چین چگونه در حال تغییر آفریقا است</w:t>
      </w:r>
      <w:r w:rsidRPr="0025250D">
        <w:rPr>
          <w:vertAlign w:val="superscript"/>
          <w:rtl/>
        </w:rPr>
        <w:footnoteReference w:id="2194"/>
      </w:r>
      <w:r w:rsidRPr="0025250D">
        <w:rPr>
          <w:rFonts w:hint="cs"/>
          <w:rtl/>
        </w:rPr>
        <w:t xml:space="preserve"> در سال 2017 را به عنوان مثال خوبی از توسعه اقتصادی </w:t>
      </w:r>
      <w:r w:rsidR="00712256" w:rsidRPr="0025250D">
        <w:rPr>
          <w:rFonts w:hint="cs"/>
          <w:rtl/>
        </w:rPr>
        <w:t xml:space="preserve">مطالعه کنید </w:t>
      </w:r>
      <w:r w:rsidRPr="0025250D">
        <w:rPr>
          <w:rFonts w:hint="cs"/>
          <w:rtl/>
        </w:rPr>
        <w:t xml:space="preserve">که در حال کار برای تغییر گزینه‌های اجتماعی و ایجاد بسیار سریع‌تر ثروت محلی نسبت به آنچه بیش‌تر ما تصور می‌کنیم </w:t>
      </w:r>
      <w:r w:rsidR="00712256" w:rsidRPr="0025250D">
        <w:rPr>
          <w:rFonts w:hint="cs"/>
          <w:rtl/>
        </w:rPr>
        <w:t>می‌باشد</w:t>
      </w:r>
      <w:r w:rsidRPr="0025250D">
        <w:rPr>
          <w:rFonts w:hint="cs"/>
          <w:rtl/>
        </w:rPr>
        <w:t>. با ادامه کاهش اجتناب‌ناپذیر جمعیت نیروی کار چین (در حد 5 میلیون نفر در سال 2018) و گران‌تر شدن مداوم آن، سازندگان چینی ریسک پذیر کارخانه‌های خود را به کشور‌های آسیایی دیگر و اکنون نیز به آفریقا منتقل</w:t>
      </w:r>
      <w:r w:rsidRPr="0025250D">
        <w:rPr>
          <w:rtl/>
        </w:rPr>
        <w:t xml:space="preserve"> </w:t>
      </w:r>
      <w:r w:rsidR="007118DE" w:rsidRPr="0025250D">
        <w:rPr>
          <w:rFonts w:hint="cs"/>
          <w:rtl/>
        </w:rPr>
        <w:t>کرده‌اند</w:t>
      </w:r>
      <w:r w:rsidRPr="0025250D">
        <w:rPr>
          <w:rFonts w:hint="cs"/>
          <w:rtl/>
        </w:rPr>
        <w:t xml:space="preserve">. کارآفرینان چینی به آفریقا می‌نگرند و فرصت‌ها را می‌بینند، </w:t>
      </w:r>
      <w:r w:rsidR="007118DE" w:rsidRPr="0025250D">
        <w:rPr>
          <w:rFonts w:hint="cs"/>
          <w:rtl/>
        </w:rPr>
        <w:t>همان‌طور</w:t>
      </w:r>
      <w:r w:rsidRPr="0025250D">
        <w:rPr>
          <w:rFonts w:hint="cs"/>
          <w:rtl/>
        </w:rPr>
        <w:t xml:space="preserve"> که در نیروی کار روستایی خود در یک نسل قبل دیدند.</w:t>
      </w:r>
    </w:p>
    <w:p w14:paraId="6F26143D" w14:textId="77777777" w:rsidR="00537CC8" w:rsidRPr="0025250D" w:rsidRDefault="00537CC8" w:rsidP="00D53F87">
      <w:pPr>
        <w:jc w:val="center"/>
        <w:rPr>
          <w:rtl/>
        </w:rPr>
      </w:pPr>
      <w:r w:rsidRPr="0025250D">
        <w:rPr>
          <w:noProof/>
          <w:rtl/>
          <w:lang w:bidi="ar-SA"/>
        </w:rPr>
        <w:drawing>
          <wp:inline distT="0" distB="0" distL="0" distR="0" wp14:anchorId="7C4C17A6" wp14:editId="2A00922E">
            <wp:extent cx="1572260" cy="2107096"/>
            <wp:effectExtent l="0" t="0" r="8890" b="7620"/>
            <wp:docPr id="124" name="Picture 124" descr="D:\کار\مستقل\3 ( ترجمه ی دانشگاه تهران  )\Introduction to Foresight\part6\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6\22.png"/>
                    <pic:cNvPicPr>
                      <a:picLocks noChangeAspect="1" noChangeArrowheads="1"/>
                    </pic:cNvPicPr>
                  </pic:nvPicPr>
                  <pic:blipFill rotWithShape="1">
                    <a:blip r:embed="rId196" cstate="screen">
                      <a:extLst>
                        <a:ext uri="{BEBA8EAE-BF5A-486C-A8C5-ECC9F3942E4B}">
                          <a14:imgProps xmlns:a14="http://schemas.microsoft.com/office/drawing/2010/main">
                            <a14:imgLayer r:embed="rId197">
                              <a14:imgEffect>
                                <a14:saturation sat="0"/>
                              </a14:imgEffect>
                            </a14:imgLayer>
                          </a14:imgProps>
                        </a:ext>
                        <a:ext uri="{28A0092B-C50C-407E-A947-70E740481C1C}">
                          <a14:useLocalDpi xmlns:a14="http://schemas.microsoft.com/office/drawing/2010/main"/>
                        </a:ext>
                      </a:extLst>
                    </a:blip>
                    <a:srcRect/>
                    <a:stretch/>
                  </pic:blipFill>
                  <pic:spPr bwMode="auto">
                    <a:xfrm>
                      <a:off x="0" y="0"/>
                      <a:ext cx="1576646" cy="2112974"/>
                    </a:xfrm>
                    <a:prstGeom prst="rect">
                      <a:avLst/>
                    </a:prstGeom>
                    <a:noFill/>
                    <a:ln>
                      <a:noFill/>
                    </a:ln>
                    <a:extLst>
                      <a:ext uri="{53640926-AAD7-44D8-BBD7-CCE9431645EC}">
                        <a14:shadowObscured xmlns:a14="http://schemas.microsoft.com/office/drawing/2010/main"/>
                      </a:ext>
                    </a:extLst>
                  </pic:spPr>
                </pic:pic>
              </a:graphicData>
            </a:graphic>
          </wp:inline>
        </w:drawing>
      </w:r>
    </w:p>
    <w:p w14:paraId="22E35961" w14:textId="77777777" w:rsidR="00537CC8" w:rsidRPr="0025250D" w:rsidRDefault="00537CC8" w:rsidP="00D53F87">
      <w:pPr>
        <w:jc w:val="center"/>
        <w:rPr>
          <w:rtl/>
        </w:rPr>
      </w:pPr>
      <w:r w:rsidRPr="0025250D">
        <w:rPr>
          <w:rtl/>
        </w:rPr>
        <w:t>سان</w:t>
      </w:r>
      <w:r w:rsidRPr="0025250D">
        <w:rPr>
          <w:rFonts w:hint="cs"/>
          <w:rtl/>
        </w:rPr>
        <w:t>، 2017</w:t>
      </w:r>
    </w:p>
    <w:p w14:paraId="06E8A367" w14:textId="3C4EF0F7" w:rsidR="00537CC8" w:rsidRPr="0025250D" w:rsidRDefault="00537CC8" w:rsidP="00537CC8">
      <w:pPr>
        <w:rPr>
          <w:rtl/>
        </w:rPr>
      </w:pPr>
      <w:r w:rsidRPr="0025250D">
        <w:rPr>
          <w:rFonts w:hint="cs"/>
          <w:rtl/>
        </w:rPr>
        <w:t>آمریکایی‌ها و جهان غرب نسبت به آفریقا جانب دارانه عمل می‌کنند. ما اغلب فرض می‌کنیم که این قاره نمی‌تواند، به دلایلی از جمله فساد سیاسی، سنت‌ها و فرهنگ، به سرعت توسعه یابد</w:t>
      </w:r>
      <w:r w:rsidR="008D6F97" w:rsidRPr="0025250D">
        <w:rPr>
          <w:rtl/>
        </w:rPr>
        <w:t xml:space="preserve">؛ </w:t>
      </w:r>
      <w:r w:rsidR="0020589F" w:rsidRPr="0025250D">
        <w:rPr>
          <w:rtl/>
        </w:rPr>
        <w:t>اما</w:t>
      </w:r>
      <w:r w:rsidRPr="0025250D">
        <w:rPr>
          <w:rFonts w:hint="cs"/>
          <w:rtl/>
        </w:rPr>
        <w:t xml:space="preserve"> </w:t>
      </w:r>
      <w:r w:rsidR="007118DE" w:rsidRPr="0025250D">
        <w:rPr>
          <w:rFonts w:hint="cs"/>
          <w:rtl/>
        </w:rPr>
        <w:t>همان‌طور</w:t>
      </w:r>
      <w:r w:rsidRPr="0025250D">
        <w:rPr>
          <w:rFonts w:hint="cs"/>
          <w:rtl/>
        </w:rPr>
        <w:t xml:space="preserve"> که </w:t>
      </w:r>
      <w:r w:rsidRPr="0025250D">
        <w:rPr>
          <w:rtl/>
        </w:rPr>
        <w:t>سان</w:t>
      </w:r>
      <w:r w:rsidRPr="0025250D">
        <w:rPr>
          <w:rFonts w:hint="cs"/>
          <w:rtl/>
        </w:rPr>
        <w:t xml:space="preserve"> بیان می‌کند، این جانب داری نادرست است. کارآفرینان چینی در حال توسعه بخش‌هایی از آفریقا با یک سرعت بسیار بیش‌تر از برنامه‌های کمک‌های غربی و آمریکایی هستند که بیش‌تر آن‌ها برای نسل‌ها کم‌تر از میزان لازم انجام </w:t>
      </w:r>
      <w:r w:rsidR="00185F3E" w:rsidRPr="0025250D">
        <w:rPr>
          <w:rFonts w:hint="cs"/>
          <w:rtl/>
        </w:rPr>
        <w:t>شده‌اند</w:t>
      </w:r>
      <w:r w:rsidRPr="0025250D">
        <w:rPr>
          <w:rFonts w:hint="cs"/>
          <w:rtl/>
        </w:rPr>
        <w:t xml:space="preserve">. کتاب وظیفه فرد انسان سفید پوست اثر </w:t>
      </w:r>
      <w:r w:rsidRPr="0025250D">
        <w:rPr>
          <w:rtl/>
        </w:rPr>
        <w:t>ب</w:t>
      </w:r>
      <w:r w:rsidRPr="0025250D">
        <w:rPr>
          <w:rFonts w:hint="cs"/>
          <w:rtl/>
        </w:rPr>
        <w:t>ی</w:t>
      </w:r>
      <w:r w:rsidRPr="0025250D">
        <w:rPr>
          <w:rFonts w:hint="eastAsia"/>
          <w:rtl/>
        </w:rPr>
        <w:t>ل</w:t>
      </w:r>
      <w:r w:rsidRPr="0025250D">
        <w:rPr>
          <w:rtl/>
        </w:rPr>
        <w:t xml:space="preserve"> ا</w:t>
      </w:r>
      <w:r w:rsidRPr="0025250D">
        <w:rPr>
          <w:rFonts w:hint="cs"/>
          <w:rtl/>
        </w:rPr>
        <w:t>ی</w:t>
      </w:r>
      <w:r w:rsidRPr="0025250D">
        <w:rPr>
          <w:rFonts w:hint="eastAsia"/>
          <w:rtl/>
        </w:rPr>
        <w:t>سترل</w:t>
      </w:r>
      <w:r w:rsidRPr="0025250D">
        <w:rPr>
          <w:rFonts w:hint="cs"/>
          <w:rtl/>
        </w:rPr>
        <w:t>ی</w:t>
      </w:r>
      <w:r w:rsidRPr="0025250D">
        <w:rPr>
          <w:vertAlign w:val="superscript"/>
          <w:rtl/>
        </w:rPr>
        <w:footnoteReference w:id="2195"/>
      </w:r>
      <w:r w:rsidRPr="0025250D">
        <w:rPr>
          <w:rFonts w:hint="cs"/>
          <w:rtl/>
        </w:rPr>
        <w:t xml:space="preserve"> در سال 2007 و ستمگری متخصصین</w:t>
      </w:r>
      <w:r w:rsidRPr="0025250D">
        <w:rPr>
          <w:vertAlign w:val="superscript"/>
          <w:rtl/>
        </w:rPr>
        <w:footnoteReference w:id="2196"/>
      </w:r>
      <w:r w:rsidRPr="0025250D">
        <w:rPr>
          <w:rFonts w:hint="cs"/>
          <w:rtl/>
        </w:rPr>
        <w:t xml:space="preserve"> در سال 2015 را برای این داستان ببینید. در سال 2020، با دشواری‌های موجود به دلیل قرض‌های روی هم انبار شده، چین از کمک‌های خود از طریق طرح یک کمربندی یک جاده</w:t>
      </w:r>
      <w:r w:rsidRPr="0025250D">
        <w:rPr>
          <w:vertAlign w:val="superscript"/>
          <w:rtl/>
        </w:rPr>
        <w:footnoteReference w:id="2197"/>
      </w:r>
      <w:r w:rsidRPr="0025250D">
        <w:rPr>
          <w:rFonts w:hint="cs"/>
          <w:rtl/>
        </w:rPr>
        <w:t xml:space="preserve"> کاست</w:t>
      </w:r>
      <w:r w:rsidR="008D6F97" w:rsidRPr="0025250D">
        <w:rPr>
          <w:rtl/>
        </w:rPr>
        <w:t xml:space="preserve">؛ </w:t>
      </w:r>
      <w:r w:rsidRPr="0025250D">
        <w:rPr>
          <w:rFonts w:hint="cs"/>
          <w:rtl/>
        </w:rPr>
        <w:t xml:space="preserve">اما توسعه آفریقا و آسیا از طریق کارآفرینان جهانی چین به </w:t>
      </w:r>
      <w:r w:rsidR="00B56611" w:rsidRPr="0025250D">
        <w:rPr>
          <w:rFonts w:hint="cs"/>
          <w:rtl/>
        </w:rPr>
        <w:t>شتاب‌گیری</w:t>
      </w:r>
      <w:r w:rsidRPr="0025250D">
        <w:rPr>
          <w:rFonts w:hint="cs"/>
          <w:rtl/>
        </w:rPr>
        <w:t xml:space="preserve"> خود ادامه می‌دهد. چین می‌تواند در توسعه خود دچار مشکل شود، اما بعید است کارآفرینی چینی این گونه باشد. باید تفاوت را ببینیم.</w:t>
      </w:r>
    </w:p>
    <w:p w14:paraId="25D14CA2" w14:textId="6EBFC93A" w:rsidR="00537CC8" w:rsidRPr="0025250D" w:rsidRDefault="00537CC8" w:rsidP="00537CC8">
      <w:pPr>
        <w:rPr>
          <w:rtl/>
        </w:rPr>
      </w:pPr>
      <w:r w:rsidRPr="0025250D">
        <w:rPr>
          <w:rFonts w:hint="cs"/>
          <w:rtl/>
        </w:rPr>
        <w:t>کمک‌های کارآفرینی غربی بسیار</w:t>
      </w:r>
      <w:r w:rsidR="0008779C" w:rsidRPr="0025250D">
        <w:rPr>
          <w:rFonts w:hint="cs"/>
          <w:rtl/>
        </w:rPr>
        <w:t xml:space="preserve"> بیش‌تر</w:t>
      </w:r>
      <w:r w:rsidRPr="0025250D">
        <w:rPr>
          <w:rFonts w:hint="cs"/>
          <w:rtl/>
        </w:rPr>
        <w:t xml:space="preserve">ی به آفریقا و آسیا می‌توانند انجام شوند. آموزش چگونگی ساخت موارد مختلف و فروش آن‌ها به مردم و نیز چگونگی انجام خدمات و کار‌های علمی، برای توسعه اقتصادی و اجتماعی نقشی اساسی دارند. جوامع قدرتمند به مهندسین و سازندگان به‌اندازه متخصصین علمی نیاز دارند. با شروع توانمند سازی کارآفرینان توسط هوش مصنوعی و دادن فرصت‌های بیش‌تر در ساخت، نرم افزار، پلتفرم‌ها و جمعیت‌ها، یک </w:t>
      </w:r>
      <w:r w:rsidR="00701E03" w:rsidRPr="0025250D">
        <w:rPr>
          <w:rFonts w:hint="cs"/>
          <w:rtl/>
        </w:rPr>
        <w:t>راهبرد</w:t>
      </w:r>
      <w:r w:rsidRPr="0025250D">
        <w:rPr>
          <w:rFonts w:hint="cs"/>
          <w:rtl/>
        </w:rPr>
        <w:t xml:space="preserve"> تجارت محور توسعه‌ای در آفریقا به شکل فزاینده‌ای از نظر ما در اولویت قرار دارد. تلاش‌های توسعه‌ای غربی هنوز این دیدگاه کارآفرینی در وهله اول را اتخاذ ن</w:t>
      </w:r>
      <w:r w:rsidR="007118DE" w:rsidRPr="0025250D">
        <w:rPr>
          <w:rFonts w:hint="cs"/>
          <w:rtl/>
        </w:rPr>
        <w:t>کرده‌اند</w:t>
      </w:r>
      <w:r w:rsidRPr="0025250D">
        <w:rPr>
          <w:rFonts w:hint="cs"/>
          <w:rtl/>
        </w:rPr>
        <w:t>. این به نظر ما یکی از دلایل کلیدی در موفقیت اندک این تلاش هاست.</w:t>
      </w:r>
    </w:p>
    <w:p w14:paraId="6975AEC0" w14:textId="48581FA3" w:rsidR="00537CC8" w:rsidRPr="0025250D" w:rsidRDefault="00537CC8" w:rsidP="00537CC8">
      <w:pPr>
        <w:rPr>
          <w:rtl/>
        </w:rPr>
      </w:pPr>
      <w:r w:rsidRPr="0025250D">
        <w:rPr>
          <w:rFonts w:hint="cs"/>
          <w:rtl/>
        </w:rPr>
        <w:t xml:space="preserve">برای پیش‌انگاری بطور کلی، هر زمان به‌اندازه کافی برای کشف چیزی مهم و توسعه‌ای که به سمت ما می‌آید خوش شانس باشیم، دو انتخاب اصلی داریم: می‌توانیم خیلی زود جلوی صف بیاییم و به دیگران برای دیدن فرا رسیدن آن کمک کنیم یا می‌توانیم آن را نادیده گرفته و بعدا از آن پشیمان شده یا به این کار وادار شویم. این که چگونه به موارد اجتناب‌ناپذیر پدیدار شونده پاسخ می‌دهیم تصمیم ماست، اما به عنوان رهبران وقتی بتوانیم </w:t>
      </w:r>
      <w:r w:rsidR="00701E03" w:rsidRPr="0025250D">
        <w:rPr>
          <w:rFonts w:hint="cs"/>
          <w:rtl/>
        </w:rPr>
        <w:t>راهبرد</w:t>
      </w:r>
      <w:r w:rsidRPr="0025250D">
        <w:rPr>
          <w:rFonts w:hint="cs"/>
          <w:rtl/>
        </w:rPr>
        <w:t>، اجرا و تأثیر موجود در پس مقاصد توسعه‌ای را که پیش‌بینی می‌کنیم شناخته و آن‌ها را همراستا سازیم، مؤثر‌تر خواهیم بود. موارد زیادی را درمورد فرایند‌ها و نیروی‌های توسعه در کتاب 2 بیان خواهیم کرد.</w:t>
      </w:r>
    </w:p>
    <w:p w14:paraId="62BDFC07" w14:textId="77777777" w:rsidR="00537CC8" w:rsidRPr="0025250D" w:rsidRDefault="00537CC8" w:rsidP="00D53F87">
      <w:pPr>
        <w:pStyle w:val="Heading3"/>
        <w:rPr>
          <w:rtl/>
        </w:rPr>
      </w:pPr>
      <w:r w:rsidRPr="0025250D">
        <w:rPr>
          <w:rFonts w:hint="cs"/>
          <w:rtl/>
        </w:rPr>
        <w:t xml:space="preserve">مهارت 3. </w:t>
      </w:r>
      <w:r w:rsidRPr="0025250D">
        <w:rPr>
          <w:rFonts w:hint="cs"/>
          <w:u w:val="single"/>
          <w:rtl/>
        </w:rPr>
        <w:t>نوآوری</w:t>
      </w:r>
      <w:r w:rsidRPr="0025250D">
        <w:rPr>
          <w:rFonts w:hint="cs"/>
          <w:rtl/>
        </w:rPr>
        <w:t xml:space="preserve"> (تفکر درمورد موارد ممکن)</w:t>
      </w:r>
    </w:p>
    <w:p w14:paraId="2D7A712F" w14:textId="5AAF51E1" w:rsidR="00537CC8" w:rsidRPr="0025250D" w:rsidRDefault="00701E03" w:rsidP="00537CC8">
      <w:pPr>
        <w:rPr>
          <w:rtl/>
        </w:rPr>
      </w:pPr>
      <w:r w:rsidRPr="0025250D">
        <w:rPr>
          <w:rFonts w:hint="cs"/>
          <w:rtl/>
        </w:rPr>
        <w:t>راهبرد</w:t>
      </w:r>
      <w:r w:rsidR="00537CC8" w:rsidRPr="0025250D">
        <w:rPr>
          <w:rFonts w:hint="cs"/>
          <w:rtl/>
        </w:rPr>
        <w:t xml:space="preserve"> بقای ما به عنوان افراد دارای هوش محدود در جهانی پیچیده، داشتن یک رویکرد آزمون و خطای بسیار محتمل، خلاقانه و تجربی، برای تفکر و اقدامات بعدی خود است. تنها به ندرت، شاید در حدود 5 درصد از موارد، طبق قانون 95/5، متخصصین </w:t>
      </w:r>
      <w:r w:rsidR="00D92F6E" w:rsidRPr="0025250D">
        <w:rPr>
          <w:rFonts w:hint="cs"/>
          <w:rtl/>
        </w:rPr>
        <w:t>آینده‌نگاری</w:t>
      </w:r>
      <w:r w:rsidR="00537CC8" w:rsidRPr="0025250D">
        <w:rPr>
          <w:rFonts w:hint="cs"/>
          <w:rtl/>
        </w:rPr>
        <w:t xml:space="preserve"> یا کارسپاران آن‌ها می‌توانند یک آینده مناسب در پیش روی ما را ببینند.</w:t>
      </w:r>
    </w:p>
    <w:p w14:paraId="4D54ED58" w14:textId="3AEA2343" w:rsidR="00537CC8" w:rsidRPr="0025250D" w:rsidRDefault="00537CC8" w:rsidP="00537CC8">
      <w:pPr>
        <w:rPr>
          <w:rtl/>
        </w:rPr>
      </w:pPr>
      <w:r w:rsidRPr="0025250D">
        <w:rPr>
          <w:rFonts w:hint="cs"/>
          <w:rtl/>
        </w:rPr>
        <w:t xml:space="preserve">تصور گزینه‌های واگرا و برآمدهای بسیار و مسیرهای متعدد می‌تواند به نظر جذاب برسد. در چنین شرایطی، ممکن است ما از پیشنهاد رئیس جمهور </w:t>
      </w:r>
      <w:r w:rsidRPr="0025250D">
        <w:rPr>
          <w:rtl/>
        </w:rPr>
        <w:t>آبراهام ل</w:t>
      </w:r>
      <w:r w:rsidRPr="0025250D">
        <w:rPr>
          <w:rFonts w:hint="cs"/>
          <w:rtl/>
        </w:rPr>
        <w:t>ی</w:t>
      </w:r>
      <w:r w:rsidRPr="0025250D">
        <w:rPr>
          <w:rFonts w:hint="eastAsia"/>
          <w:rtl/>
        </w:rPr>
        <w:t>نکولن</w:t>
      </w:r>
      <w:r w:rsidRPr="0025250D">
        <w:rPr>
          <w:vertAlign w:val="superscript"/>
          <w:rtl/>
        </w:rPr>
        <w:footnoteReference w:id="2198"/>
      </w:r>
      <w:r w:rsidRPr="0025250D">
        <w:rPr>
          <w:rFonts w:hint="cs"/>
          <w:rtl/>
        </w:rPr>
        <w:t xml:space="preserve"> که گفت: </w:t>
      </w:r>
      <w:r w:rsidR="00E402E3" w:rsidRPr="0025250D">
        <w:rPr>
          <w:rtl/>
        </w:rPr>
        <w:t>«</w:t>
      </w:r>
      <w:r w:rsidRPr="0025250D">
        <w:rPr>
          <w:rFonts w:hint="cs"/>
          <w:rtl/>
        </w:rPr>
        <w:t>بهترین راه برای پیش‌بینی آینده خود خلق آن است</w:t>
      </w:r>
      <w:r w:rsidR="00E402E3" w:rsidRPr="0025250D">
        <w:rPr>
          <w:rtl/>
        </w:rPr>
        <w:t>»</w:t>
      </w:r>
      <w:r w:rsidRPr="0025250D">
        <w:rPr>
          <w:rFonts w:hint="cs"/>
          <w:rtl/>
        </w:rPr>
        <w:t xml:space="preserve"> یا متخصص </w:t>
      </w:r>
      <w:r w:rsidR="007A53FD" w:rsidRPr="0025250D">
        <w:rPr>
          <w:rFonts w:hint="cs"/>
          <w:rtl/>
        </w:rPr>
        <w:t>فناوری</w:t>
      </w:r>
      <w:r w:rsidRPr="0025250D">
        <w:rPr>
          <w:rFonts w:hint="cs"/>
          <w:rtl/>
        </w:rPr>
        <w:t xml:space="preserve"> </w:t>
      </w:r>
      <w:r w:rsidRPr="0025250D">
        <w:rPr>
          <w:rtl/>
        </w:rPr>
        <w:t>آلن ک</w:t>
      </w:r>
      <w:r w:rsidRPr="0025250D">
        <w:rPr>
          <w:rFonts w:hint="cs"/>
          <w:rtl/>
        </w:rPr>
        <w:t>ی</w:t>
      </w:r>
      <w:r w:rsidRPr="0025250D">
        <w:rPr>
          <w:vertAlign w:val="superscript"/>
          <w:rtl/>
        </w:rPr>
        <w:footnoteReference w:id="2199"/>
      </w:r>
      <w:r w:rsidRPr="0025250D">
        <w:rPr>
          <w:rFonts w:hint="cs"/>
          <w:rtl/>
        </w:rPr>
        <w:t xml:space="preserve"> که گفت </w:t>
      </w:r>
      <w:r w:rsidR="00E402E3" w:rsidRPr="0025250D">
        <w:rPr>
          <w:rtl/>
        </w:rPr>
        <w:t>«</w:t>
      </w:r>
      <w:r w:rsidRPr="0025250D">
        <w:rPr>
          <w:rFonts w:hint="cs"/>
          <w:rtl/>
        </w:rPr>
        <w:t>بهترین راه برای پیش‌بینی آینده اختراع آن است</w:t>
      </w:r>
      <w:r w:rsidR="00E402E3" w:rsidRPr="0025250D">
        <w:rPr>
          <w:rtl/>
        </w:rPr>
        <w:t>»</w:t>
      </w:r>
      <w:r w:rsidRPr="0025250D">
        <w:rPr>
          <w:rFonts w:hint="cs"/>
          <w:rtl/>
        </w:rPr>
        <w:t xml:space="preserve"> پیروی کنیم.</w:t>
      </w:r>
    </w:p>
    <w:p w14:paraId="4E221791" w14:textId="2B976DB0" w:rsidR="00537CC8" w:rsidRPr="0025250D" w:rsidRDefault="00D76D11" w:rsidP="00537CC8">
      <w:pPr>
        <w:rPr>
          <w:rtl/>
        </w:rPr>
      </w:pPr>
      <w:r w:rsidRPr="0025250D">
        <w:rPr>
          <w:noProof/>
        </w:rPr>
        <w:drawing>
          <wp:inline distT="0" distB="0" distL="0" distR="0" wp14:anchorId="3EE6C076" wp14:editId="7DEA965D">
            <wp:extent cx="5888990" cy="589534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98">
                      <a:extLst>
                        <a:ext uri="{28A0092B-C50C-407E-A947-70E740481C1C}">
                          <a14:useLocalDpi xmlns:a14="http://schemas.microsoft.com/office/drawing/2010/main"/>
                        </a:ext>
                      </a:extLst>
                    </a:blip>
                    <a:srcRect/>
                    <a:stretch>
                      <a:fillRect/>
                    </a:stretch>
                  </pic:blipFill>
                  <pic:spPr bwMode="auto">
                    <a:xfrm>
                      <a:off x="0" y="0"/>
                      <a:ext cx="5888990" cy="5895340"/>
                    </a:xfrm>
                    <a:prstGeom prst="rect">
                      <a:avLst/>
                    </a:prstGeom>
                    <a:noFill/>
                  </pic:spPr>
                </pic:pic>
              </a:graphicData>
            </a:graphic>
          </wp:inline>
        </w:drawing>
      </w:r>
    </w:p>
    <w:p w14:paraId="0CEF0446" w14:textId="77C2821C" w:rsidR="00537CC8" w:rsidRPr="0025250D" w:rsidRDefault="007118DE" w:rsidP="00701E03">
      <w:pPr>
        <w:rPr>
          <w:rtl/>
        </w:rPr>
      </w:pPr>
      <w:r w:rsidRPr="0025250D">
        <w:rPr>
          <w:rFonts w:hint="cs"/>
          <w:rtl/>
        </w:rPr>
        <w:t>همان‌طور</w:t>
      </w:r>
      <w:r w:rsidR="00537CC8" w:rsidRPr="0025250D">
        <w:rPr>
          <w:rFonts w:hint="cs"/>
          <w:rtl/>
        </w:rPr>
        <w:t xml:space="preserve"> که قانون 95/5 پیشنهاد می‌کند، شاید 95 درصد از مواقع، نوآوری، فرایندی از آزمایش پیش‌بینی نشده، می‌تواند مفید‌ترین مورد از میان دو </w:t>
      </w:r>
      <w:r w:rsidR="00701E03" w:rsidRPr="0025250D">
        <w:rPr>
          <w:rFonts w:hint="cs"/>
          <w:rtl/>
        </w:rPr>
        <w:t>راهبرد</w:t>
      </w:r>
      <w:r w:rsidR="00537CC8" w:rsidRPr="0025250D">
        <w:rPr>
          <w:rFonts w:hint="cs"/>
          <w:rtl/>
        </w:rPr>
        <w:t xml:space="preserve"> از </w:t>
      </w:r>
      <w:r w:rsidR="00537CC8" w:rsidRPr="0025250D">
        <w:rPr>
          <w:rtl/>
        </w:rPr>
        <w:t>آینده‌نگاری</w:t>
      </w:r>
      <w:r w:rsidR="00537CC8" w:rsidRPr="0025250D">
        <w:rPr>
          <w:rFonts w:hint="cs"/>
          <w:rtl/>
        </w:rPr>
        <w:t xml:space="preserve"> پایه ای، یعنی نوآوری (تکامل) و پیش‌انگاری (توسعه) باشد. </w:t>
      </w:r>
      <w:r w:rsidR="00D92F6E" w:rsidRPr="0025250D">
        <w:rPr>
          <w:rFonts w:hint="cs"/>
          <w:rtl/>
        </w:rPr>
        <w:t>آینده‌پژوه</w:t>
      </w:r>
      <w:r w:rsidR="00537CC8" w:rsidRPr="0025250D">
        <w:rPr>
          <w:rFonts w:hint="cs"/>
          <w:rtl/>
        </w:rPr>
        <w:t xml:space="preserve"> </w:t>
      </w:r>
      <w:r w:rsidR="00537CC8" w:rsidRPr="0025250D">
        <w:rPr>
          <w:rtl/>
        </w:rPr>
        <w:t>برا</w:t>
      </w:r>
      <w:r w:rsidR="00537CC8" w:rsidRPr="0025250D">
        <w:rPr>
          <w:rFonts w:hint="cs"/>
          <w:rtl/>
        </w:rPr>
        <w:t>ی</w:t>
      </w:r>
      <w:r w:rsidR="00537CC8" w:rsidRPr="0025250D">
        <w:rPr>
          <w:rFonts w:hint="eastAsia"/>
          <w:rtl/>
        </w:rPr>
        <w:t>ان</w:t>
      </w:r>
      <w:r w:rsidR="00537CC8" w:rsidRPr="0025250D">
        <w:rPr>
          <w:rtl/>
        </w:rPr>
        <w:t xml:space="preserve"> سول</w:t>
      </w:r>
      <w:r w:rsidR="00537CC8" w:rsidRPr="0025250D">
        <w:rPr>
          <w:rFonts w:hint="cs"/>
          <w:rtl/>
        </w:rPr>
        <w:t>ی</w:t>
      </w:r>
      <w:r w:rsidR="00537CC8" w:rsidRPr="0025250D">
        <w:rPr>
          <w:rFonts w:hint="eastAsia"/>
          <w:rtl/>
        </w:rPr>
        <w:t>س</w:t>
      </w:r>
      <w:r w:rsidR="00537CC8" w:rsidRPr="0025250D">
        <w:rPr>
          <w:vertAlign w:val="superscript"/>
          <w:rtl/>
        </w:rPr>
        <w:footnoteReference w:id="2200"/>
      </w:r>
      <w:r w:rsidR="00537CC8" w:rsidRPr="0025250D">
        <w:rPr>
          <w:rFonts w:hint="cs"/>
          <w:rtl/>
        </w:rPr>
        <w:t xml:space="preserve"> یک دیدگاه کلی مفید از 12 فرایند نوآوری کلیدی (تصویر بالا) ارائه می‌دهد. کتاب فقط آغاز کن</w:t>
      </w:r>
      <w:r w:rsidR="00537CC8" w:rsidRPr="0025250D">
        <w:rPr>
          <w:vertAlign w:val="superscript"/>
          <w:rtl/>
        </w:rPr>
        <w:footnoteReference w:id="2201"/>
      </w:r>
      <w:r w:rsidR="00537CC8" w:rsidRPr="0025250D">
        <w:rPr>
          <w:rFonts w:hint="cs"/>
          <w:rtl/>
        </w:rPr>
        <w:t xml:space="preserve"> اثر </w:t>
      </w:r>
      <w:r w:rsidR="00537CC8" w:rsidRPr="0025250D">
        <w:rPr>
          <w:rtl/>
        </w:rPr>
        <w:t>شلز</w:t>
      </w:r>
      <w:r w:rsidR="00537CC8" w:rsidRPr="0025250D">
        <w:rPr>
          <w:rFonts w:hint="cs"/>
          <w:rtl/>
        </w:rPr>
        <w:t>ی</w:t>
      </w:r>
      <w:r w:rsidR="00537CC8" w:rsidRPr="0025250D">
        <w:rPr>
          <w:rFonts w:hint="eastAsia"/>
          <w:rtl/>
        </w:rPr>
        <w:t>نگر</w:t>
      </w:r>
      <w:r w:rsidR="00537CC8" w:rsidRPr="0025250D">
        <w:rPr>
          <w:vertAlign w:val="superscript"/>
          <w:rtl/>
        </w:rPr>
        <w:footnoteReference w:id="2202"/>
      </w:r>
      <w:r w:rsidR="00537CC8" w:rsidRPr="0025250D">
        <w:rPr>
          <w:rFonts w:hint="cs"/>
          <w:rtl/>
        </w:rPr>
        <w:t xml:space="preserve"> و همکاران در سال 2012، نیاز به خلاقیت سازمانی و فردی را هر زمان که با</w:t>
      </w:r>
      <w:r w:rsidR="008D6F97" w:rsidRPr="0025250D">
        <w:rPr>
          <w:rtl/>
        </w:rPr>
        <w:t xml:space="preserve"> </w:t>
      </w:r>
      <w:r w:rsidR="00537CC8" w:rsidRPr="0025250D">
        <w:t>VUCA</w:t>
      </w:r>
      <w:r w:rsidR="00537CC8" w:rsidRPr="0025250D">
        <w:rPr>
          <w:rFonts w:hint="cs"/>
          <w:rtl/>
        </w:rPr>
        <w:t xml:space="preserve"> (تغییرپذیری</w:t>
      </w:r>
      <w:r w:rsidR="00537CC8" w:rsidRPr="0025250D">
        <w:rPr>
          <w:vertAlign w:val="superscript"/>
          <w:rtl/>
        </w:rPr>
        <w:footnoteReference w:id="2203"/>
      </w:r>
      <w:r w:rsidR="00537CC8" w:rsidRPr="0025250D">
        <w:rPr>
          <w:rFonts w:hint="cs"/>
          <w:rtl/>
        </w:rPr>
        <w:t>، عدم قطعیت، پیچیدگی</w:t>
      </w:r>
      <w:r w:rsidR="008D6F97" w:rsidRPr="0025250D">
        <w:rPr>
          <w:rtl/>
        </w:rPr>
        <w:t xml:space="preserve"> </w:t>
      </w:r>
      <w:r w:rsidR="00537CC8" w:rsidRPr="0025250D">
        <w:rPr>
          <w:rFonts w:hint="cs"/>
          <w:rtl/>
        </w:rPr>
        <w:t>و ابهام</w:t>
      </w:r>
      <w:r w:rsidR="00537CC8" w:rsidRPr="0025250D">
        <w:rPr>
          <w:vertAlign w:val="superscript"/>
          <w:rtl/>
        </w:rPr>
        <w:footnoteReference w:id="2204"/>
      </w:r>
      <w:r w:rsidR="00537CC8" w:rsidRPr="0025250D">
        <w:rPr>
          <w:rFonts w:hint="cs"/>
          <w:rtl/>
        </w:rPr>
        <w:t xml:space="preserve">) در محیطمان روبرو باشیم توصیف می‌کند. ما </w:t>
      </w:r>
      <w:r w:rsidR="00537CC8" w:rsidRPr="0025250D">
        <w:t>VUCA</w:t>
      </w:r>
      <w:r w:rsidR="00537CC8" w:rsidRPr="0025250D">
        <w:rPr>
          <w:rFonts w:hint="cs"/>
          <w:rtl/>
        </w:rPr>
        <w:t xml:space="preserve"> را در </w:t>
      </w:r>
      <w:r w:rsidR="00537CC8" w:rsidRPr="0025250D">
        <w:t>BPF</w:t>
      </w:r>
      <w:r w:rsidR="00537CC8" w:rsidRPr="0025250D">
        <w:rPr>
          <w:rFonts w:hint="cs"/>
          <w:rtl/>
        </w:rPr>
        <w:t xml:space="preserve"> مورد بحث قرار می‌دهیم. در آنجا همچنین نسخه خود از این کلمه یا مخفف کلاسیک (تغییرپذیری، عدم قطعیت، پیچیدگی و </w:t>
      </w:r>
      <w:r w:rsidR="00B56611" w:rsidRPr="0025250D">
        <w:rPr>
          <w:rFonts w:hint="cs"/>
          <w:rtl/>
        </w:rPr>
        <w:t>شتاب‌گیری</w:t>
      </w:r>
      <w:r w:rsidR="00537CC8" w:rsidRPr="0025250D">
        <w:rPr>
          <w:rFonts w:hint="cs"/>
          <w:rtl/>
        </w:rPr>
        <w:t xml:space="preserve">) را برای توصیف بهتر جهان پیش روی همه </w:t>
      </w:r>
      <w:r w:rsidR="00701E03" w:rsidRPr="0025250D">
        <w:rPr>
          <w:rFonts w:hint="cs"/>
          <w:rtl/>
        </w:rPr>
        <w:t>راهبردشناسان</w:t>
      </w:r>
      <w:r w:rsidR="00537CC8" w:rsidRPr="0025250D">
        <w:rPr>
          <w:rFonts w:hint="cs"/>
          <w:rtl/>
        </w:rPr>
        <w:t xml:space="preserve"> سازمانی توصیف می‌کنیم.</w:t>
      </w:r>
    </w:p>
    <w:p w14:paraId="4883A8CD" w14:textId="35B0162C" w:rsidR="00537CC8" w:rsidRPr="0025250D" w:rsidRDefault="00537CC8" w:rsidP="00537CC8">
      <w:pPr>
        <w:rPr>
          <w:rtl/>
        </w:rPr>
      </w:pPr>
      <w:r w:rsidRPr="0025250D">
        <w:rPr>
          <w:rFonts w:hint="cs"/>
          <w:rtl/>
        </w:rPr>
        <w:t xml:space="preserve">نوآوران برای تولید تفاوت، ایجاد چیزی جدید و </w:t>
      </w:r>
      <w:r w:rsidR="00F50EB4" w:rsidRPr="0025250D">
        <w:rPr>
          <w:rFonts w:hint="cs"/>
          <w:rtl/>
        </w:rPr>
        <w:t>سرمایه‌گذاری</w:t>
      </w:r>
      <w:r w:rsidRPr="0025250D">
        <w:rPr>
          <w:rFonts w:hint="cs"/>
          <w:rtl/>
        </w:rPr>
        <w:t xml:space="preserve"> بر روی آینده منتخب خود انگیزه دارند. این رویکرد آزمون و خطا نسبت </w:t>
      </w:r>
      <w:r w:rsidR="0065576A" w:rsidRPr="0025250D">
        <w:rPr>
          <w:rFonts w:hint="cs"/>
          <w:rtl/>
        </w:rPr>
        <w:t xml:space="preserve">به </w:t>
      </w:r>
      <w:r w:rsidRPr="0025250D">
        <w:rPr>
          <w:rtl/>
        </w:rPr>
        <w:t>آینده‌نگاری</w:t>
      </w:r>
      <w:r w:rsidRPr="0025250D">
        <w:rPr>
          <w:rFonts w:hint="cs"/>
          <w:rtl/>
        </w:rPr>
        <w:t xml:space="preserve"> اغلب بهترین </w:t>
      </w:r>
      <w:r w:rsidR="00923DDB" w:rsidRPr="0025250D">
        <w:rPr>
          <w:rFonts w:hint="cs"/>
          <w:rtl/>
        </w:rPr>
        <w:t>راه‌حل</w:t>
      </w:r>
      <w:r w:rsidRPr="0025250D">
        <w:rPr>
          <w:rFonts w:hint="cs"/>
          <w:rtl/>
        </w:rPr>
        <w:t xml:space="preserve"> است، به ویژه وقتی </w:t>
      </w:r>
      <w:r w:rsidR="00701E03" w:rsidRPr="0025250D">
        <w:rPr>
          <w:rFonts w:hint="cs"/>
          <w:rtl/>
        </w:rPr>
        <w:t>راهبرد</w:t>
      </w:r>
      <w:r w:rsidRPr="0025250D">
        <w:rPr>
          <w:rFonts w:hint="cs"/>
          <w:rtl/>
        </w:rPr>
        <w:t xml:space="preserve"> مناسب واضح نیست که معمولا به دلیل هوش محدود و </w:t>
      </w:r>
      <w:r w:rsidRPr="0025250D">
        <w:t>VUCA</w:t>
      </w:r>
      <w:r w:rsidRPr="0025250D">
        <w:rPr>
          <w:rFonts w:hint="cs"/>
          <w:rtl/>
        </w:rPr>
        <w:t xml:space="preserve"> </w:t>
      </w:r>
      <w:r w:rsidR="0065576A" w:rsidRPr="0025250D">
        <w:rPr>
          <w:rFonts w:hint="cs"/>
          <w:rtl/>
        </w:rPr>
        <w:t xml:space="preserve">نیز </w:t>
      </w:r>
      <w:r w:rsidRPr="0025250D">
        <w:rPr>
          <w:rFonts w:hint="cs"/>
          <w:rtl/>
        </w:rPr>
        <w:t xml:space="preserve">همینطور است. مثل همیشه، تعامل خلاقیت نوآوران و محیط فیزیکی مشخص خواهد کرد که آیا، در کجا و برای چه مدت هر نوآوری </w:t>
      </w:r>
      <w:r w:rsidR="00B124DE" w:rsidRPr="0025250D">
        <w:rPr>
          <w:rFonts w:hint="cs"/>
          <w:rtl/>
        </w:rPr>
        <w:t>انطباق‌پذیر</w:t>
      </w:r>
      <w:r w:rsidRPr="0025250D">
        <w:rPr>
          <w:rFonts w:hint="cs"/>
          <w:rtl/>
        </w:rPr>
        <w:t xml:space="preserve"> خواهد بود.</w:t>
      </w:r>
    </w:p>
    <w:p w14:paraId="7DEFA33A" w14:textId="1CB5FA55" w:rsidR="00537CC8" w:rsidRPr="0025250D" w:rsidRDefault="00537CC8" w:rsidP="00537CC8">
      <w:pPr>
        <w:rPr>
          <w:rtl/>
        </w:rPr>
      </w:pPr>
      <w:r w:rsidRPr="0025250D">
        <w:rPr>
          <w:rFonts w:hint="cs"/>
          <w:rtl/>
        </w:rPr>
        <w:t xml:space="preserve">گزینه‌های </w:t>
      </w:r>
      <w:r w:rsidR="00563645" w:rsidRPr="0025250D">
        <w:rPr>
          <w:rFonts w:hint="cs"/>
          <w:rtl/>
        </w:rPr>
        <w:t>بدیل</w:t>
      </w:r>
      <w:r w:rsidRPr="0025250D">
        <w:rPr>
          <w:rFonts w:hint="cs"/>
          <w:rtl/>
        </w:rPr>
        <w:t xml:space="preserve"> و </w:t>
      </w:r>
      <w:r w:rsidR="007A53FD" w:rsidRPr="0025250D">
        <w:rPr>
          <w:rFonts w:hint="cs"/>
          <w:rtl/>
        </w:rPr>
        <w:t>فرانامه</w:t>
      </w:r>
      <w:r w:rsidRPr="0025250D">
        <w:rPr>
          <w:rFonts w:hint="cs"/>
          <w:rtl/>
        </w:rPr>
        <w:t xml:space="preserve">‌ها اولین تخصصی هستند که ما تحت مهارت نوآوری مورد بحث قرار خواهیم داد. یکی از نقش‌های کلیدی متخصصین </w:t>
      </w:r>
      <w:r w:rsidRPr="0025250D">
        <w:rPr>
          <w:rtl/>
        </w:rPr>
        <w:t>آینده‌نگاری</w:t>
      </w:r>
      <w:r w:rsidRPr="0025250D">
        <w:rPr>
          <w:rFonts w:hint="cs"/>
          <w:rtl/>
        </w:rPr>
        <w:t xml:space="preserve"> </w:t>
      </w:r>
      <w:r w:rsidR="00B124DE" w:rsidRPr="0025250D">
        <w:rPr>
          <w:rFonts w:hint="cs"/>
          <w:rtl/>
        </w:rPr>
        <w:t>جمع‌آوری</w:t>
      </w:r>
      <w:r w:rsidRPr="0025250D">
        <w:rPr>
          <w:rFonts w:hint="cs"/>
          <w:rtl/>
        </w:rPr>
        <w:t xml:space="preserve"> و تصور گستره وسیعی از آینده‌های محتمل و سپس قرار دادن آن‌ها در معرض ارزیابی و نقد است. حرفه </w:t>
      </w:r>
      <w:r w:rsidR="0065576A" w:rsidRPr="0025250D">
        <w:rPr>
          <w:rFonts w:hint="cs"/>
          <w:rtl/>
        </w:rPr>
        <w:t>آینده‌نگاری</w:t>
      </w:r>
      <w:r w:rsidRPr="0025250D">
        <w:rPr>
          <w:rFonts w:hint="cs"/>
          <w:rtl/>
        </w:rPr>
        <w:t xml:space="preserve"> این موارد را آینده‌های </w:t>
      </w:r>
      <w:r w:rsidR="00563645" w:rsidRPr="0025250D">
        <w:rPr>
          <w:rFonts w:hint="cs"/>
          <w:rtl/>
        </w:rPr>
        <w:t>بدیل</w:t>
      </w:r>
      <w:r w:rsidRPr="0025250D">
        <w:rPr>
          <w:vertAlign w:val="superscript"/>
          <w:rtl/>
        </w:rPr>
        <w:footnoteReference w:id="2205"/>
      </w:r>
      <w:r w:rsidRPr="0025250D">
        <w:rPr>
          <w:rFonts w:hint="cs"/>
          <w:rtl/>
        </w:rPr>
        <w:t xml:space="preserve"> می‌نامد و از روش‌هایی مانند طوفان فکری، </w:t>
      </w:r>
      <w:r w:rsidRPr="0025250D">
        <w:rPr>
          <w:rtl/>
        </w:rPr>
        <w:t>تحل</w:t>
      </w:r>
      <w:r w:rsidRPr="0025250D">
        <w:rPr>
          <w:rFonts w:hint="cs"/>
          <w:rtl/>
        </w:rPr>
        <w:t>ی</w:t>
      </w:r>
      <w:r w:rsidRPr="0025250D">
        <w:rPr>
          <w:rFonts w:hint="eastAsia"/>
          <w:rtl/>
        </w:rPr>
        <w:t>ل</w:t>
      </w:r>
      <w:r w:rsidRPr="0025250D">
        <w:rPr>
          <w:rtl/>
        </w:rPr>
        <w:t xml:space="preserve"> اثر متقابل</w:t>
      </w:r>
      <w:r w:rsidRPr="0025250D">
        <w:rPr>
          <w:vertAlign w:val="superscript"/>
          <w:rtl/>
        </w:rPr>
        <w:footnoteReference w:id="2206"/>
      </w:r>
      <w:r w:rsidRPr="0025250D">
        <w:rPr>
          <w:rFonts w:hint="cs"/>
          <w:rtl/>
        </w:rPr>
        <w:t xml:space="preserve">، تحلیل </w:t>
      </w:r>
      <w:r w:rsidR="007A53FD" w:rsidRPr="0025250D">
        <w:rPr>
          <w:rFonts w:hint="cs"/>
          <w:rtl/>
        </w:rPr>
        <w:t>فرانامه</w:t>
      </w:r>
      <w:r w:rsidR="008D6F97" w:rsidRPr="0025250D">
        <w:rPr>
          <w:rtl/>
        </w:rPr>
        <w:t xml:space="preserve"> </w:t>
      </w:r>
      <w:r w:rsidRPr="0025250D">
        <w:rPr>
          <w:rFonts w:hint="cs"/>
          <w:rtl/>
        </w:rPr>
        <w:t xml:space="preserve">و تصور </w:t>
      </w:r>
      <w:r w:rsidR="00923DDB" w:rsidRPr="0025250D">
        <w:rPr>
          <w:rFonts w:hint="cs"/>
          <w:rtl/>
        </w:rPr>
        <w:t>شگفتی‌ساز</w:t>
      </w:r>
      <w:r w:rsidRPr="0025250D">
        <w:rPr>
          <w:rFonts w:hint="cs"/>
          <w:rtl/>
        </w:rPr>
        <w:t xml:space="preserve">ها برای پیش‌انگاری بهتر عدم قطعیت، بررسی فضای موارد ممکن و آزمون </w:t>
      </w:r>
      <w:r w:rsidR="00B56611" w:rsidRPr="0025250D">
        <w:rPr>
          <w:rFonts w:hint="cs"/>
          <w:rtl/>
        </w:rPr>
        <w:t>چشم‌انداز</w:t>
      </w:r>
      <w:r w:rsidRPr="0025250D">
        <w:rPr>
          <w:rFonts w:hint="cs"/>
          <w:rtl/>
        </w:rPr>
        <w:t xml:space="preserve">‌ها، اهداف و </w:t>
      </w:r>
      <w:r w:rsidR="00701E03" w:rsidRPr="0025250D">
        <w:rPr>
          <w:rFonts w:hint="cs"/>
          <w:rtl/>
        </w:rPr>
        <w:t>راهبرد</w:t>
      </w:r>
      <w:r w:rsidRPr="0025250D">
        <w:rPr>
          <w:rFonts w:hint="cs"/>
          <w:rtl/>
        </w:rPr>
        <w:t xml:space="preserve">‌های ممکن در مقابل نتایج بالقوه متعدد استفاده می‌کنیم. همچنین دسته‌ای از ادبیات </w:t>
      </w:r>
      <w:r w:rsidRPr="0025250D">
        <w:rPr>
          <w:rtl/>
        </w:rPr>
        <w:t>آینده‌نگاری</w:t>
      </w:r>
      <w:r w:rsidRPr="0025250D">
        <w:rPr>
          <w:rFonts w:hint="cs"/>
          <w:rtl/>
        </w:rPr>
        <w:t xml:space="preserve"> به نام تاریخ </w:t>
      </w:r>
      <w:r w:rsidRPr="0025250D">
        <w:rPr>
          <w:rtl/>
        </w:rPr>
        <w:t>خلاف واقع</w:t>
      </w:r>
      <w:r w:rsidRPr="0025250D">
        <w:rPr>
          <w:vertAlign w:val="superscript"/>
          <w:rtl/>
        </w:rPr>
        <w:footnoteReference w:id="2207"/>
      </w:r>
      <w:r w:rsidRPr="0025250D">
        <w:rPr>
          <w:rFonts w:hint="cs"/>
          <w:rtl/>
        </w:rPr>
        <w:t xml:space="preserve"> را که </w:t>
      </w:r>
      <w:r w:rsidR="00563645" w:rsidRPr="0025250D">
        <w:rPr>
          <w:rFonts w:hint="cs"/>
          <w:rtl/>
        </w:rPr>
        <w:t>بدیل</w:t>
      </w:r>
      <w:r w:rsidRPr="0025250D">
        <w:rPr>
          <w:rFonts w:hint="cs"/>
          <w:rtl/>
        </w:rPr>
        <w:t xml:space="preserve">‌هایی را برای رویداد‌های تاریخی گذشته تصور می‌کند، مورد بحث قرار </w:t>
      </w:r>
      <w:r w:rsidR="00892D13" w:rsidRPr="0025250D">
        <w:rPr>
          <w:rFonts w:hint="cs"/>
          <w:rtl/>
        </w:rPr>
        <w:t>داده‌ایم</w:t>
      </w:r>
      <w:r w:rsidR="008D6F97" w:rsidRPr="0025250D">
        <w:rPr>
          <w:rtl/>
        </w:rPr>
        <w:t xml:space="preserve">؛ </w:t>
      </w:r>
      <w:r w:rsidR="0020589F" w:rsidRPr="0025250D">
        <w:rPr>
          <w:rtl/>
        </w:rPr>
        <w:t>اما</w:t>
      </w:r>
      <w:r w:rsidRPr="0025250D">
        <w:rPr>
          <w:rFonts w:hint="cs"/>
          <w:rtl/>
        </w:rPr>
        <w:t xml:space="preserve"> درحالی که ایده پردازی درمورد </w:t>
      </w:r>
      <w:r w:rsidR="00563645" w:rsidRPr="0025250D">
        <w:rPr>
          <w:rFonts w:hint="cs"/>
          <w:rtl/>
        </w:rPr>
        <w:t>بدیل</w:t>
      </w:r>
      <w:r w:rsidRPr="0025250D">
        <w:rPr>
          <w:rFonts w:hint="cs"/>
          <w:rtl/>
        </w:rPr>
        <w:t xml:space="preserve">‌ها می‌تواند ساده‌ترین و لذت بخش‌ترین نوع از کار </w:t>
      </w:r>
      <w:r w:rsidRPr="0025250D">
        <w:rPr>
          <w:rtl/>
        </w:rPr>
        <w:t>آینده‌نگاری</w:t>
      </w:r>
      <w:r w:rsidRPr="0025250D">
        <w:rPr>
          <w:rFonts w:hint="cs"/>
          <w:rtl/>
        </w:rPr>
        <w:t xml:space="preserve"> باشد، کیفیت و تأثیر آن به‌شدت متغیر است. </w:t>
      </w:r>
      <w:r w:rsidR="007118DE" w:rsidRPr="0025250D">
        <w:rPr>
          <w:rFonts w:hint="cs"/>
          <w:rtl/>
        </w:rPr>
        <w:t>همان‌طور</w:t>
      </w:r>
      <w:r w:rsidRPr="0025250D">
        <w:rPr>
          <w:rFonts w:hint="cs"/>
          <w:rtl/>
        </w:rPr>
        <w:t xml:space="preserve"> که می‌دانیم، ارزش هر ایده خوبی می‌تواند تنها با اجرای </w:t>
      </w:r>
      <w:r w:rsidR="0008779C" w:rsidRPr="0025250D">
        <w:rPr>
          <w:rFonts w:hint="cs"/>
          <w:rtl/>
        </w:rPr>
        <w:t>موفقیت‌آمیز</w:t>
      </w:r>
      <w:r w:rsidRPr="0025250D">
        <w:rPr>
          <w:rFonts w:hint="cs"/>
          <w:rtl/>
        </w:rPr>
        <w:t xml:space="preserve"> به صورت اقتصادی تبدیل شود.</w:t>
      </w:r>
    </w:p>
    <w:p w14:paraId="6D55D158" w14:textId="7C5D108C" w:rsidR="00537CC8" w:rsidRPr="0025250D" w:rsidRDefault="00537CC8" w:rsidP="00537CC8">
      <w:pPr>
        <w:rPr>
          <w:rtl/>
        </w:rPr>
      </w:pPr>
      <w:r w:rsidRPr="0025250D">
        <w:rPr>
          <w:rFonts w:hint="cs"/>
          <w:rtl/>
        </w:rPr>
        <w:t xml:space="preserve">وقتی سازمان در یک محیط مملو از منابع باشد، وقتی در مراحل اولیه فرایند توسعه باشد یا وقتی یک </w:t>
      </w:r>
      <w:r w:rsidR="00701E03" w:rsidRPr="0025250D">
        <w:rPr>
          <w:rFonts w:hint="cs"/>
          <w:rtl/>
        </w:rPr>
        <w:t>راهبرد</w:t>
      </w:r>
      <w:r w:rsidRPr="0025250D">
        <w:rPr>
          <w:rFonts w:hint="cs"/>
          <w:rtl/>
        </w:rPr>
        <w:t xml:space="preserve"> غالب شفاف نباشد، اغلب بهترین راه اجرای آزمایش‌های نوآورانه متعدد کوچک و اغلب همزمان و مقایسه دقیق آن‌ها قبل از محدود سازی گزینه‌های </w:t>
      </w:r>
      <w:r w:rsidR="00701E03" w:rsidRPr="0025250D">
        <w:rPr>
          <w:rFonts w:hint="cs"/>
          <w:rtl/>
        </w:rPr>
        <w:t>راهبردی</w:t>
      </w:r>
      <w:r w:rsidRPr="0025250D">
        <w:rPr>
          <w:rFonts w:hint="cs"/>
          <w:rtl/>
        </w:rPr>
        <w:t xml:space="preserve"> است. انجام آزمایش‌های موازی همان چیزی است که یک مدیر اجرایی وقتی وظیفه مشابهی را به بیش از یک تیم یا فرد واگذار می‌کند و به دنبال آن یک ارزیابی مقایسه‌ای را اجرا می‌کند، انجام می‌دهد. اغلب این کار که به عنوان کاری پر اتلاف تلقی می‌شود، می‌تواند یک </w:t>
      </w:r>
      <w:r w:rsidR="00701E03" w:rsidRPr="0025250D">
        <w:rPr>
          <w:rFonts w:hint="cs"/>
          <w:rtl/>
        </w:rPr>
        <w:t>راهبرد</w:t>
      </w:r>
      <w:r w:rsidRPr="0025250D">
        <w:rPr>
          <w:rFonts w:hint="cs"/>
          <w:rtl/>
        </w:rPr>
        <w:t xml:space="preserve"> بسیار خوب برای مسائل دشوار باشد. اختصاص مسئولیت‌های موازی و دارای سرآمد</w:t>
      </w:r>
      <w:r w:rsidRPr="0025250D">
        <w:rPr>
          <w:vertAlign w:val="superscript"/>
          <w:rtl/>
        </w:rPr>
        <w:footnoteReference w:id="2208"/>
      </w:r>
      <w:r w:rsidRPr="0025250D">
        <w:rPr>
          <w:rFonts w:hint="cs"/>
          <w:rtl/>
        </w:rPr>
        <w:t xml:space="preserve"> زمانی کوتاه برای یک فعالیت به تیم‌های مستقل، برای حداکثر سازی بینش و گزینه‌های آن‌ها، هم در ابتدای پروژه و هم بار دیگر در نقاط </w:t>
      </w:r>
      <w:r w:rsidR="0008779C" w:rsidRPr="0025250D">
        <w:rPr>
          <w:rFonts w:hint="cs"/>
          <w:rtl/>
        </w:rPr>
        <w:t>تصمیم‌گیری</w:t>
      </w:r>
      <w:r w:rsidRPr="0025250D">
        <w:rPr>
          <w:rFonts w:hint="cs"/>
          <w:rtl/>
        </w:rPr>
        <w:t xml:space="preserve"> حیاتی، معمولا در شرکت‌های مشاوره‌ای مدیریتی برتری مانند </w:t>
      </w:r>
      <w:r w:rsidRPr="0025250D">
        <w:rPr>
          <w:rtl/>
        </w:rPr>
        <w:t>گروه مشاوره بوستون</w:t>
      </w:r>
      <w:r w:rsidRPr="0025250D">
        <w:rPr>
          <w:vertAlign w:val="superscript"/>
          <w:rtl/>
        </w:rPr>
        <w:footnoteReference w:id="2209"/>
      </w:r>
      <w:r w:rsidRPr="0025250D">
        <w:rPr>
          <w:rFonts w:hint="cs"/>
          <w:rtl/>
        </w:rPr>
        <w:t xml:space="preserve"> و </w:t>
      </w:r>
      <w:r w:rsidRPr="0025250D">
        <w:rPr>
          <w:rtl/>
        </w:rPr>
        <w:t>با</w:t>
      </w:r>
      <w:r w:rsidRPr="0025250D">
        <w:rPr>
          <w:rFonts w:hint="cs"/>
          <w:rtl/>
        </w:rPr>
        <w:t>ی</w:t>
      </w:r>
      <w:r w:rsidRPr="0025250D">
        <w:rPr>
          <w:rFonts w:hint="eastAsia"/>
          <w:rtl/>
        </w:rPr>
        <w:t>ن</w:t>
      </w:r>
      <w:r w:rsidRPr="0025250D">
        <w:rPr>
          <w:rtl/>
        </w:rPr>
        <w:t xml:space="preserve"> و </w:t>
      </w:r>
      <w:r w:rsidRPr="0025250D">
        <w:rPr>
          <w:rFonts w:hint="cs"/>
          <w:rtl/>
        </w:rPr>
        <w:t>کمپانی</w:t>
      </w:r>
      <w:r w:rsidRPr="0025250D">
        <w:rPr>
          <w:vertAlign w:val="superscript"/>
          <w:rtl/>
        </w:rPr>
        <w:footnoteReference w:id="2210"/>
      </w:r>
      <w:r w:rsidRPr="0025250D">
        <w:rPr>
          <w:rFonts w:hint="cs"/>
          <w:rtl/>
        </w:rPr>
        <w:t xml:space="preserve"> استفاده می‌شود. یک </w:t>
      </w:r>
      <w:r w:rsidR="00701E03" w:rsidRPr="0025250D">
        <w:rPr>
          <w:rFonts w:hint="cs"/>
          <w:rtl/>
        </w:rPr>
        <w:t>راهبرد</w:t>
      </w:r>
      <w:r w:rsidRPr="0025250D">
        <w:rPr>
          <w:rFonts w:hint="cs"/>
          <w:rtl/>
        </w:rPr>
        <w:t xml:space="preserve"> موازی سازی و انتخاب نیز به شکل مشهوری توسط رئیس جمهور آمریکا </w:t>
      </w:r>
      <w:r w:rsidRPr="0025250D">
        <w:rPr>
          <w:rtl/>
        </w:rPr>
        <w:t>جان کند</w:t>
      </w:r>
      <w:r w:rsidRPr="0025250D">
        <w:rPr>
          <w:rFonts w:hint="cs"/>
          <w:rtl/>
        </w:rPr>
        <w:t xml:space="preserve">ی به همراه مشاوران او انجام می‌شد. این </w:t>
      </w:r>
      <w:r w:rsidR="00701E03" w:rsidRPr="0025250D">
        <w:rPr>
          <w:rFonts w:hint="cs"/>
          <w:rtl/>
        </w:rPr>
        <w:t>راهبرد</w:t>
      </w:r>
      <w:r w:rsidRPr="0025250D">
        <w:rPr>
          <w:rFonts w:hint="cs"/>
          <w:rtl/>
        </w:rPr>
        <w:t xml:space="preserve"> از آن زمان توسط رئیس جمهوران نوآور‌تر متعدد دیگری هم اجرا شده است. موازی سازی و انتخاب همچنین در قلب پلتفرم‌های نوآوری جمعی متعدد دیگری، مانند 99 دیزاینز</w:t>
      </w:r>
      <w:r w:rsidRPr="0025250D">
        <w:rPr>
          <w:vertAlign w:val="superscript"/>
          <w:rtl/>
        </w:rPr>
        <w:footnoteReference w:id="2211"/>
      </w:r>
      <w:r w:rsidRPr="0025250D">
        <w:rPr>
          <w:rFonts w:hint="cs"/>
          <w:rtl/>
        </w:rPr>
        <w:t xml:space="preserve"> برای طراحی‌های گرافیکی و اوپن آیدیو</w:t>
      </w:r>
      <w:r w:rsidRPr="0025250D">
        <w:rPr>
          <w:vertAlign w:val="superscript"/>
          <w:rtl/>
        </w:rPr>
        <w:footnoteReference w:id="2212"/>
      </w:r>
      <w:r w:rsidRPr="0025250D">
        <w:rPr>
          <w:rFonts w:hint="cs"/>
          <w:rtl/>
        </w:rPr>
        <w:t xml:space="preserve"> برای اهداف توسعه‌ای و اجتماعی وجود دارد.</w:t>
      </w:r>
    </w:p>
    <w:p w14:paraId="104CFEC1" w14:textId="4FA0422A" w:rsidR="00537CC8" w:rsidRPr="0025250D" w:rsidRDefault="007A53FD" w:rsidP="00537CC8">
      <w:pPr>
        <w:rPr>
          <w:rtl/>
        </w:rPr>
      </w:pPr>
      <w:r w:rsidRPr="0025250D">
        <w:rPr>
          <w:rFonts w:hint="cs"/>
          <w:rtl/>
        </w:rPr>
        <w:t>فرانامه</w:t>
      </w:r>
      <w:r w:rsidR="00537CC8" w:rsidRPr="0025250D">
        <w:rPr>
          <w:rFonts w:hint="cs"/>
          <w:rtl/>
        </w:rPr>
        <w:t xml:space="preserve">ها آینده‌های ممکنی هستند که ما باید آن‌ها را به عنوان درونداد‌هایی برای </w:t>
      </w:r>
      <w:r w:rsidR="00701E03" w:rsidRPr="0025250D">
        <w:rPr>
          <w:rFonts w:hint="cs"/>
          <w:rtl/>
        </w:rPr>
        <w:t>راهبرد</w:t>
      </w:r>
      <w:r w:rsidR="00537CC8" w:rsidRPr="0025250D">
        <w:rPr>
          <w:rFonts w:hint="cs"/>
          <w:rtl/>
        </w:rPr>
        <w:t xml:space="preserve"> در نظر بگیریم. یک کتاب خوب در این مورد کتاب یادگیری از آینده: </w:t>
      </w:r>
      <w:r w:rsidR="00362EF3" w:rsidRPr="0025250D">
        <w:rPr>
          <w:rFonts w:hint="cs"/>
          <w:rtl/>
        </w:rPr>
        <w:t>فرانامه‌های</w:t>
      </w:r>
      <w:r w:rsidR="00537CC8" w:rsidRPr="0025250D">
        <w:rPr>
          <w:rFonts w:hint="cs"/>
          <w:rtl/>
        </w:rPr>
        <w:t xml:space="preserve"> </w:t>
      </w:r>
      <w:r w:rsidR="00537CC8" w:rsidRPr="0025250D">
        <w:rPr>
          <w:rtl/>
        </w:rPr>
        <w:t>آینده‌نگاری</w:t>
      </w:r>
      <w:r w:rsidR="00537CC8" w:rsidRPr="0025250D">
        <w:rPr>
          <w:rFonts w:hint="cs"/>
          <w:rtl/>
        </w:rPr>
        <w:t xml:space="preserve"> رقابتی</w:t>
      </w:r>
      <w:r w:rsidR="00537CC8" w:rsidRPr="0025250D">
        <w:rPr>
          <w:vertAlign w:val="superscript"/>
          <w:rtl/>
        </w:rPr>
        <w:footnoteReference w:id="2213"/>
      </w:r>
      <w:r w:rsidR="00537CC8" w:rsidRPr="0025250D">
        <w:rPr>
          <w:rFonts w:hint="cs"/>
          <w:rtl/>
        </w:rPr>
        <w:t xml:space="preserve"> اثر </w:t>
      </w:r>
      <w:r w:rsidR="00537CC8" w:rsidRPr="0025250D">
        <w:rPr>
          <w:rtl/>
        </w:rPr>
        <w:t>فاه</w:t>
      </w:r>
      <w:r w:rsidR="00537CC8" w:rsidRPr="0025250D">
        <w:rPr>
          <w:rFonts w:hint="cs"/>
          <w:rtl/>
        </w:rPr>
        <w:t>ی</w:t>
      </w:r>
      <w:r w:rsidR="00537CC8" w:rsidRPr="0025250D">
        <w:rPr>
          <w:rtl/>
        </w:rPr>
        <w:t xml:space="preserve"> و رندال</w:t>
      </w:r>
      <w:r w:rsidR="00537CC8" w:rsidRPr="0025250D">
        <w:rPr>
          <w:rFonts w:hint="cs"/>
          <w:rtl/>
        </w:rPr>
        <w:t xml:space="preserve"> در سال 1998 است. یادگیری </w:t>
      </w:r>
      <w:r w:rsidR="00E4279E" w:rsidRPr="0025250D">
        <w:rPr>
          <w:rFonts w:hint="cs"/>
          <w:rtl/>
        </w:rPr>
        <w:t>فرانامه‌ای</w:t>
      </w:r>
      <w:r w:rsidR="00537CC8" w:rsidRPr="0025250D">
        <w:rPr>
          <w:vertAlign w:val="superscript"/>
          <w:rtl/>
        </w:rPr>
        <w:footnoteReference w:id="2214"/>
      </w:r>
      <w:r w:rsidR="00537CC8" w:rsidRPr="0025250D">
        <w:rPr>
          <w:rFonts w:hint="cs"/>
          <w:rtl/>
        </w:rPr>
        <w:t xml:space="preserve"> اصطلاحی است که </w:t>
      </w:r>
      <w:r w:rsidR="00537CC8" w:rsidRPr="0025250D">
        <w:rPr>
          <w:rtl/>
        </w:rPr>
        <w:t>فاه</w:t>
      </w:r>
      <w:r w:rsidR="00537CC8" w:rsidRPr="0025250D">
        <w:rPr>
          <w:rFonts w:hint="cs"/>
          <w:rtl/>
        </w:rPr>
        <w:t>ی</w:t>
      </w:r>
      <w:r w:rsidR="00537CC8" w:rsidRPr="0025250D">
        <w:rPr>
          <w:rtl/>
        </w:rPr>
        <w:t xml:space="preserve"> و رندال</w:t>
      </w:r>
      <w:r w:rsidR="00537CC8" w:rsidRPr="0025250D">
        <w:rPr>
          <w:rFonts w:hint="cs"/>
          <w:rtl/>
        </w:rPr>
        <w:t xml:space="preserve"> برای توصیف بهترین راه برای استفاده از </w:t>
      </w:r>
      <w:r w:rsidRPr="0025250D">
        <w:rPr>
          <w:rFonts w:hint="cs"/>
          <w:rtl/>
        </w:rPr>
        <w:t>فرانامه</w:t>
      </w:r>
      <w:r w:rsidR="00537CC8" w:rsidRPr="0025250D">
        <w:rPr>
          <w:rFonts w:hint="cs"/>
          <w:rtl/>
        </w:rPr>
        <w:t xml:space="preserve">‌ها در سازمان‌ها به کار می‌برند. این اصطلاح به نظر ما حتی نسبت به برنامه‌ریزی </w:t>
      </w:r>
      <w:r w:rsidR="00E4279E" w:rsidRPr="0025250D">
        <w:rPr>
          <w:rFonts w:hint="cs"/>
          <w:rtl/>
        </w:rPr>
        <w:t>فرانامه‌ای</w:t>
      </w:r>
      <w:r w:rsidR="00537CC8" w:rsidRPr="0025250D">
        <w:rPr>
          <w:rFonts w:hint="cs"/>
          <w:rtl/>
        </w:rPr>
        <w:t xml:space="preserve">، اصطلاح رایج فعلی برای این تخصص عملی، نیز اصطلاح بهتری است. یادگیری </w:t>
      </w:r>
      <w:r w:rsidR="00E4279E" w:rsidRPr="0025250D">
        <w:rPr>
          <w:rFonts w:hint="cs"/>
          <w:rtl/>
        </w:rPr>
        <w:t>فرانامه‌ای</w:t>
      </w:r>
      <w:r w:rsidR="00537CC8" w:rsidRPr="0025250D">
        <w:rPr>
          <w:rFonts w:hint="cs"/>
          <w:rtl/>
        </w:rPr>
        <w:t xml:space="preserve"> تمرکز را بر چگونگی کمک </w:t>
      </w:r>
      <w:r w:rsidRPr="0025250D">
        <w:rPr>
          <w:rFonts w:hint="cs"/>
          <w:rtl/>
        </w:rPr>
        <w:t>فرانامه</w:t>
      </w:r>
      <w:r w:rsidR="00537CC8" w:rsidRPr="0025250D">
        <w:rPr>
          <w:rFonts w:hint="cs"/>
          <w:rtl/>
        </w:rPr>
        <w:t xml:space="preserve">‌ها به حلقه‌های انجام، با آغاز از مهارت‌های 1 (یادگیری)، 2 (پیش‌انگاری) و 3 (نوآوری)، به عنوان درون داد‌هایی برای </w:t>
      </w:r>
      <w:r w:rsidR="00701E03" w:rsidRPr="0025250D">
        <w:rPr>
          <w:rFonts w:hint="cs"/>
          <w:rtl/>
        </w:rPr>
        <w:t>راهبرد</w:t>
      </w:r>
      <w:r w:rsidR="00537CC8" w:rsidRPr="0025250D">
        <w:rPr>
          <w:rFonts w:hint="cs"/>
          <w:rtl/>
        </w:rPr>
        <w:t xml:space="preserve"> (مهارت 4)، بهجای تمرکز بر برنامه‌ریزی که آخرین خروجی مهارت 4 قبل از اجرا (عمل) است قرار می‌دهد. به صورت </w:t>
      </w:r>
      <w:r w:rsidR="0008779C" w:rsidRPr="0025250D">
        <w:rPr>
          <w:rFonts w:hint="cs"/>
          <w:rtl/>
        </w:rPr>
        <w:t>ایدئال</w:t>
      </w:r>
      <w:r w:rsidR="00537CC8" w:rsidRPr="0025250D">
        <w:rPr>
          <w:rFonts w:hint="cs"/>
          <w:rtl/>
        </w:rPr>
        <w:t xml:space="preserve">، ما </w:t>
      </w:r>
      <w:r w:rsidR="00362EF3" w:rsidRPr="0025250D">
        <w:rPr>
          <w:rFonts w:hint="cs"/>
          <w:rtl/>
        </w:rPr>
        <w:t>فرانامه‌های</w:t>
      </w:r>
      <w:r w:rsidR="00537CC8" w:rsidRPr="0025250D">
        <w:rPr>
          <w:rFonts w:hint="cs"/>
          <w:rtl/>
        </w:rPr>
        <w:t xml:space="preserve">ی را به عنوان گام سوم مهارت‌های </w:t>
      </w:r>
      <w:r w:rsidR="00537CC8" w:rsidRPr="0025250D">
        <w:t>LAIS</w:t>
      </w:r>
      <w:r w:rsidR="00537CC8" w:rsidRPr="0025250D">
        <w:rPr>
          <w:rFonts w:hint="cs"/>
          <w:rtl/>
        </w:rPr>
        <w:t xml:space="preserve"> (نوآوری) تولید می‌کنیم و سپس از آن‌ها در تیم هایمان برای شبیه سازی تحقیقات و بحث‌های جدید (یادگیری) استفاده می‌کنیم. این فرایند اگر به‌خوبی انجام شود، به </w:t>
      </w:r>
      <w:r w:rsidR="00701E03" w:rsidRPr="0025250D">
        <w:rPr>
          <w:rFonts w:hint="cs"/>
          <w:rtl/>
        </w:rPr>
        <w:t>راهبرد</w:t>
      </w:r>
      <w:r w:rsidR="00537CC8" w:rsidRPr="0025250D">
        <w:rPr>
          <w:rFonts w:hint="cs"/>
          <w:rtl/>
        </w:rPr>
        <w:t>‌ها و برنامه‌های بهتر منجر می‌گردد.</w:t>
      </w:r>
    </w:p>
    <w:p w14:paraId="74D5E73C" w14:textId="7765D225" w:rsidR="00537CC8" w:rsidRPr="0025250D" w:rsidRDefault="007118DE" w:rsidP="00537CC8">
      <w:pPr>
        <w:rPr>
          <w:rtl/>
        </w:rPr>
      </w:pPr>
      <w:r w:rsidRPr="0025250D">
        <w:rPr>
          <w:rFonts w:hint="cs"/>
          <w:rtl/>
        </w:rPr>
        <w:t>همان‌طور</w:t>
      </w:r>
      <w:r w:rsidR="00537CC8" w:rsidRPr="0025250D">
        <w:rPr>
          <w:rFonts w:hint="cs"/>
          <w:rtl/>
        </w:rPr>
        <w:t xml:space="preserve"> که گفتیم، </w:t>
      </w:r>
      <w:r w:rsidR="00537CC8" w:rsidRPr="0025250D">
        <w:rPr>
          <w:rtl/>
        </w:rPr>
        <w:t>رو</w:t>
      </w:r>
      <w:r w:rsidR="00537CC8" w:rsidRPr="0025250D">
        <w:rPr>
          <w:rFonts w:hint="cs"/>
          <w:rtl/>
        </w:rPr>
        <w:t>ی</w:t>
      </w:r>
      <w:r w:rsidR="00537CC8" w:rsidRPr="0025250D">
        <w:rPr>
          <w:rFonts w:hint="eastAsia"/>
          <w:rtl/>
        </w:rPr>
        <w:t>ال</w:t>
      </w:r>
      <w:r w:rsidR="00537CC8" w:rsidRPr="0025250D">
        <w:rPr>
          <w:rtl/>
        </w:rPr>
        <w:t xml:space="preserve"> داچ شل</w:t>
      </w:r>
      <w:r w:rsidR="00537CC8" w:rsidRPr="0025250D">
        <w:rPr>
          <w:rFonts w:hint="cs"/>
          <w:rtl/>
        </w:rPr>
        <w:t xml:space="preserve"> (که از اینجا به بعد با نام شل به آن اشاره می‌کنیم) به شکل بحث برانگیزی معروف‌ترین کاربر شرکتی </w:t>
      </w:r>
      <w:r w:rsidR="007A53FD" w:rsidRPr="0025250D">
        <w:rPr>
          <w:rFonts w:hint="cs"/>
          <w:rtl/>
        </w:rPr>
        <w:t>فرانامه</w:t>
      </w:r>
      <w:r w:rsidR="00537CC8" w:rsidRPr="0025250D">
        <w:rPr>
          <w:rFonts w:hint="cs"/>
          <w:rtl/>
        </w:rPr>
        <w:t xml:space="preserve">‌ها است. از دهه 1970، آن‌ها از </w:t>
      </w:r>
      <w:r w:rsidR="007A53FD" w:rsidRPr="0025250D">
        <w:rPr>
          <w:rFonts w:hint="cs"/>
          <w:rtl/>
        </w:rPr>
        <w:t>فرانامه</w:t>
      </w:r>
      <w:r w:rsidR="00537CC8" w:rsidRPr="0025250D">
        <w:rPr>
          <w:rFonts w:hint="cs"/>
          <w:rtl/>
        </w:rPr>
        <w:t xml:space="preserve">‌ها به عنوان درونداد برای </w:t>
      </w:r>
      <w:r w:rsidR="00701E03" w:rsidRPr="0025250D">
        <w:rPr>
          <w:rFonts w:hint="cs"/>
          <w:rtl/>
        </w:rPr>
        <w:t>راهبرد</w:t>
      </w:r>
      <w:r w:rsidR="00537CC8" w:rsidRPr="0025250D">
        <w:rPr>
          <w:rFonts w:hint="cs"/>
          <w:rtl/>
        </w:rPr>
        <w:t xml:space="preserve"> خود استفاده </w:t>
      </w:r>
      <w:r w:rsidRPr="0025250D">
        <w:rPr>
          <w:rFonts w:hint="cs"/>
          <w:rtl/>
        </w:rPr>
        <w:t>کرده‌اند</w:t>
      </w:r>
      <w:r w:rsidR="00537CC8" w:rsidRPr="0025250D">
        <w:rPr>
          <w:rFonts w:hint="cs"/>
          <w:rtl/>
        </w:rPr>
        <w:t xml:space="preserve">. </w:t>
      </w:r>
      <w:r w:rsidR="00D30084" w:rsidRPr="0025250D">
        <w:rPr>
          <w:rFonts w:hint="cs"/>
          <w:rtl/>
        </w:rPr>
        <w:t>آینده‌نگار</w:t>
      </w:r>
      <w:r w:rsidR="00537CC8" w:rsidRPr="0025250D">
        <w:rPr>
          <w:rFonts w:hint="cs"/>
          <w:rtl/>
        </w:rPr>
        <w:t xml:space="preserve"> تجاری بزرگ قرن بیستمی </w:t>
      </w:r>
      <w:r w:rsidR="00537CC8" w:rsidRPr="0025250D">
        <w:rPr>
          <w:rtl/>
        </w:rPr>
        <w:t>پ</w:t>
      </w:r>
      <w:r w:rsidR="00537CC8" w:rsidRPr="0025250D">
        <w:rPr>
          <w:rFonts w:hint="cs"/>
          <w:rtl/>
        </w:rPr>
        <w:t>ی</w:t>
      </w:r>
      <w:r w:rsidR="00537CC8" w:rsidRPr="0025250D">
        <w:rPr>
          <w:rFonts w:hint="eastAsia"/>
          <w:rtl/>
        </w:rPr>
        <w:t>تر</w:t>
      </w:r>
      <w:r w:rsidR="00537CC8" w:rsidRPr="0025250D">
        <w:rPr>
          <w:rtl/>
        </w:rPr>
        <w:t xml:space="preserve"> شوارتز</w:t>
      </w:r>
      <w:r w:rsidR="00537CC8" w:rsidRPr="0025250D">
        <w:rPr>
          <w:rFonts w:hint="cs"/>
          <w:rtl/>
        </w:rPr>
        <w:t xml:space="preserve"> در کتاب هنر بلند نظری: برنامه‌ریزی برای آینده در یک جهان غیر قطعی</w:t>
      </w:r>
      <w:r w:rsidR="00537CC8" w:rsidRPr="0025250D">
        <w:rPr>
          <w:vertAlign w:val="superscript"/>
          <w:rtl/>
        </w:rPr>
        <w:footnoteReference w:id="2215"/>
      </w:r>
      <w:r w:rsidR="00537CC8" w:rsidRPr="0025250D">
        <w:rPr>
          <w:rFonts w:hint="cs"/>
          <w:rtl/>
        </w:rPr>
        <w:t xml:space="preserve"> در سال 1996 به ما می‌گوید که شل از طریق نوآوری </w:t>
      </w:r>
      <w:r w:rsidR="00E4279E" w:rsidRPr="0025250D">
        <w:rPr>
          <w:rFonts w:hint="cs"/>
          <w:rtl/>
        </w:rPr>
        <w:t>فرانامه‌ای</w:t>
      </w:r>
      <w:r w:rsidR="00537CC8" w:rsidRPr="0025250D">
        <w:rPr>
          <w:rFonts w:hint="cs"/>
          <w:rtl/>
        </w:rPr>
        <w:t xml:space="preserve">، بحران نفت </w:t>
      </w:r>
      <w:r w:rsidR="00537CC8" w:rsidRPr="0025250D">
        <w:t>OPEC</w:t>
      </w:r>
      <w:r w:rsidR="00537CC8" w:rsidRPr="0025250D">
        <w:rPr>
          <w:rFonts w:hint="cs"/>
          <w:rtl/>
        </w:rPr>
        <w:t xml:space="preserve"> در دهه 1970 را پیش‌انگاری کرد. او در کتاب غافلگیری‌های اجتناب‌ناپذیر</w:t>
      </w:r>
      <w:r w:rsidR="00537CC8" w:rsidRPr="0025250D">
        <w:rPr>
          <w:vertAlign w:val="superscript"/>
          <w:rtl/>
        </w:rPr>
        <w:footnoteReference w:id="2216"/>
      </w:r>
      <w:r w:rsidR="00537CC8" w:rsidRPr="0025250D">
        <w:rPr>
          <w:rFonts w:hint="cs"/>
          <w:rtl/>
        </w:rPr>
        <w:t xml:space="preserve"> در سال 2004 بیان می‌کند که شل همچنین سقوط اتحاد جماهیر شوری را در اواخر دهه 1990 پیش‌انگاری کرده بود. شل توانست از هر یک از این رویداد‌ها بهره ببرد و نسبت به رقبای خود بزرگتر و سود ده‌تر شود، نه به این دلیل که آنها را پیش‌بینی کرده بودند، بلکه به این دلیل که آن‌ها را به شکل خلاقانه‌ای از قبل تصور کرده بود</w:t>
      </w:r>
      <w:r w:rsidR="00C51C85" w:rsidRPr="0025250D">
        <w:rPr>
          <w:rFonts w:hint="cs"/>
          <w:rtl/>
        </w:rPr>
        <w:t xml:space="preserve"> </w:t>
      </w:r>
      <w:r w:rsidR="00537CC8" w:rsidRPr="0025250D">
        <w:rPr>
          <w:rFonts w:hint="cs"/>
          <w:rtl/>
        </w:rPr>
        <w:t xml:space="preserve">و سپس </w:t>
      </w:r>
      <w:r w:rsidR="00701E03" w:rsidRPr="0025250D">
        <w:rPr>
          <w:rFonts w:hint="cs"/>
          <w:rtl/>
        </w:rPr>
        <w:t>راهبرد</w:t>
      </w:r>
      <w:r w:rsidR="00537CC8" w:rsidRPr="0025250D">
        <w:rPr>
          <w:rFonts w:hint="cs"/>
          <w:rtl/>
        </w:rPr>
        <w:t xml:space="preserve"> خوبی ایجاد کرده و آن را برای زمانی که این رویداد‌ها حقیقتا رخ دهند، کنار گذاشته بود. این </w:t>
      </w:r>
      <w:r w:rsidR="00537CC8" w:rsidRPr="0025250D">
        <w:rPr>
          <w:rtl/>
        </w:rPr>
        <w:t>آینده‌نگاری</w:t>
      </w:r>
      <w:r w:rsidR="00537CC8" w:rsidRPr="0025250D">
        <w:rPr>
          <w:rFonts w:hint="cs"/>
          <w:rtl/>
        </w:rPr>
        <w:t xml:space="preserve"> به شل امکان داد تا شرکت‌های نفتی بزرگ دیگر را در اجرا شکست داده و از این موارد سود ببرد. در مورد سقوط اتحاد جماهیر شوروی،</w:t>
      </w:r>
      <w:r w:rsidR="00537CC8" w:rsidRPr="0025250D">
        <w:t xml:space="preserve"> </w:t>
      </w:r>
      <w:r w:rsidR="00537CC8" w:rsidRPr="0025250D">
        <w:rPr>
          <w:rtl/>
        </w:rPr>
        <w:t>آینده‌نگار</w:t>
      </w:r>
      <w:r w:rsidR="00537CC8" w:rsidRPr="0025250D">
        <w:rPr>
          <w:rFonts w:hint="cs"/>
          <w:rtl/>
        </w:rPr>
        <w:t xml:space="preserve">ان شل دریافتند که یک تغییر عمده در شرایط سیاسی روسیه، اگر واقعا رخ دهد، درصورتی که اولین اقدام کننده باشند، می‌تواند به آن‌ها امکان دهد تا قرارداد‌های نفت و گاز بلند مدت (20 ساله) بسیار مطلوبی به دست آورند. آن‌ها سپس خود را به صورتی </w:t>
      </w:r>
      <w:r w:rsidR="00701E03" w:rsidRPr="0025250D">
        <w:rPr>
          <w:rFonts w:hint="cs"/>
          <w:rtl/>
        </w:rPr>
        <w:t>راهبردی</w:t>
      </w:r>
      <w:r w:rsidR="00537CC8" w:rsidRPr="0025250D">
        <w:rPr>
          <w:rFonts w:hint="cs"/>
          <w:rtl/>
        </w:rPr>
        <w:t xml:space="preserve"> در موقعیتی قرار دارند تا اولین شرکتی باشند که می‌توانند چنین قرارداد‌هایی (بازی با برآیند صفر</w:t>
      </w:r>
      <w:r w:rsidR="00537CC8" w:rsidRPr="0025250D">
        <w:rPr>
          <w:vertAlign w:val="superscript"/>
          <w:rtl/>
        </w:rPr>
        <w:footnoteReference w:id="2217"/>
      </w:r>
      <w:r w:rsidR="00537CC8" w:rsidRPr="0025250D">
        <w:rPr>
          <w:rFonts w:hint="cs"/>
          <w:rtl/>
        </w:rPr>
        <w:t>) را ببندند و به عنوان اولین شرکت و به بهترین شکل وقتی شرایط ایجاد شود، در دنیای پس از جنگ سرد آن‌ها را اجرا کنند.</w:t>
      </w:r>
    </w:p>
    <w:p w14:paraId="4D14E0AF" w14:textId="77D8E1BE" w:rsidR="00537CC8" w:rsidRPr="0025250D" w:rsidRDefault="00DF21BF" w:rsidP="00537CC8">
      <w:pPr>
        <w:rPr>
          <w:rtl/>
        </w:rPr>
      </w:pPr>
      <w:r w:rsidRPr="0025250D">
        <w:rPr>
          <w:noProof/>
          <w:lang w:bidi="ar-SA"/>
        </w:rPr>
        <w:drawing>
          <wp:inline distT="0" distB="0" distL="0" distR="0" wp14:anchorId="2E79B210" wp14:editId="6B57D52C">
            <wp:extent cx="5674867" cy="3912042"/>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9" cstate="screen">
                      <a:extLst>
                        <a:ext uri="{BEBA8EAE-BF5A-486C-A8C5-ECC9F3942E4B}">
                          <a14:imgProps xmlns:a14="http://schemas.microsoft.com/office/drawing/2010/main">
                            <a14:imgLayer r:embed="rId200">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695855" cy="3926511"/>
                    </a:xfrm>
                    <a:prstGeom prst="rect">
                      <a:avLst/>
                    </a:prstGeom>
                    <a:noFill/>
                  </pic:spPr>
                </pic:pic>
              </a:graphicData>
            </a:graphic>
          </wp:inline>
        </w:drawing>
      </w:r>
    </w:p>
    <w:p w14:paraId="34FC6507" w14:textId="4BB6CD2B" w:rsidR="00537CC8" w:rsidRPr="0025250D" w:rsidRDefault="00537CC8" w:rsidP="00D53F87">
      <w:pPr>
        <w:jc w:val="center"/>
        <w:rPr>
          <w:rtl/>
        </w:rPr>
      </w:pPr>
      <w:r w:rsidRPr="0025250D">
        <w:rPr>
          <w:rFonts w:hint="cs"/>
          <w:rtl/>
        </w:rPr>
        <w:t xml:space="preserve">روش ساخت </w:t>
      </w:r>
      <w:r w:rsidR="007A53FD" w:rsidRPr="0025250D">
        <w:rPr>
          <w:rFonts w:hint="cs"/>
          <w:rtl/>
        </w:rPr>
        <w:t>فرانامه</w:t>
      </w:r>
      <w:r w:rsidRPr="0025250D">
        <w:rPr>
          <w:rFonts w:hint="cs"/>
          <w:rtl/>
        </w:rPr>
        <w:t xml:space="preserve"> </w:t>
      </w:r>
      <w:r w:rsidRPr="0025250D">
        <w:t>GBN</w:t>
      </w:r>
      <w:r w:rsidRPr="0025250D">
        <w:rPr>
          <w:rFonts w:hint="cs"/>
          <w:rtl/>
        </w:rPr>
        <w:t>، گوردون، 2008</w:t>
      </w:r>
    </w:p>
    <w:p w14:paraId="51BC9402" w14:textId="3D2C99EB" w:rsidR="00537CC8" w:rsidRPr="0025250D" w:rsidRDefault="00537CC8" w:rsidP="00537CC8">
      <w:pPr>
        <w:rPr>
          <w:rtl/>
        </w:rPr>
      </w:pPr>
      <w:r w:rsidRPr="0025250D">
        <w:rPr>
          <w:rFonts w:hint="cs"/>
          <w:rtl/>
        </w:rPr>
        <w:t xml:space="preserve">شرکت مشاوره‌ای پیشتاز در </w:t>
      </w:r>
      <w:r w:rsidRPr="0025250D">
        <w:rPr>
          <w:rtl/>
        </w:rPr>
        <w:t>آینده‌نگاری</w:t>
      </w:r>
      <w:r w:rsidRPr="0025250D">
        <w:rPr>
          <w:rFonts w:hint="cs"/>
          <w:rtl/>
        </w:rPr>
        <w:t xml:space="preserve"> </w:t>
      </w:r>
      <w:r w:rsidRPr="0025250D">
        <w:rPr>
          <w:rtl/>
        </w:rPr>
        <w:t>شوارتز</w:t>
      </w:r>
      <w:r w:rsidRPr="0025250D">
        <w:rPr>
          <w:vertAlign w:val="superscript"/>
          <w:rtl/>
        </w:rPr>
        <w:footnoteReference w:id="2218"/>
      </w:r>
      <w:r w:rsidRPr="0025250D">
        <w:rPr>
          <w:rFonts w:hint="cs"/>
          <w:rtl/>
        </w:rPr>
        <w:t xml:space="preserve">، به نام </w:t>
      </w:r>
      <w:r w:rsidRPr="0025250D">
        <w:rPr>
          <w:rtl/>
        </w:rPr>
        <w:t>شبکه جهان</w:t>
      </w:r>
      <w:r w:rsidRPr="0025250D">
        <w:rPr>
          <w:rFonts w:hint="cs"/>
          <w:rtl/>
        </w:rPr>
        <w:t>ی</w:t>
      </w:r>
      <w:r w:rsidRPr="0025250D">
        <w:rPr>
          <w:rtl/>
        </w:rPr>
        <w:t xml:space="preserve"> </w:t>
      </w:r>
      <w:r w:rsidR="00B124DE" w:rsidRPr="0025250D">
        <w:rPr>
          <w:rtl/>
        </w:rPr>
        <w:t>کسب‌و‌کار</w:t>
      </w:r>
      <w:r w:rsidRPr="0025250D">
        <w:rPr>
          <w:vertAlign w:val="superscript"/>
          <w:rtl/>
        </w:rPr>
        <w:footnoteReference w:id="2219"/>
      </w:r>
      <w:r w:rsidRPr="0025250D">
        <w:rPr>
          <w:rFonts w:hint="cs"/>
          <w:rtl/>
        </w:rPr>
        <w:t xml:space="preserve">، محبوب‌ترین تکنیک ایجاد </w:t>
      </w:r>
      <w:r w:rsidR="007A53FD" w:rsidRPr="0025250D">
        <w:rPr>
          <w:rFonts w:hint="cs"/>
          <w:rtl/>
        </w:rPr>
        <w:t>فرانامه</w:t>
      </w:r>
      <w:r w:rsidRPr="0025250D">
        <w:rPr>
          <w:rFonts w:hint="cs"/>
          <w:rtl/>
        </w:rPr>
        <w:t xml:space="preserve"> را در حدود سال 1987 توسعه داد. در روش ساخت </w:t>
      </w:r>
      <w:r w:rsidR="00701E03" w:rsidRPr="0025250D">
        <w:rPr>
          <w:rFonts w:hint="cs"/>
          <w:rtl/>
        </w:rPr>
        <w:t>فرانامه</w:t>
      </w:r>
      <w:r w:rsidRPr="0025250D">
        <w:rPr>
          <w:rFonts w:hint="cs"/>
          <w:rtl/>
        </w:rPr>
        <w:t xml:space="preserve"> </w:t>
      </w:r>
      <w:r w:rsidRPr="0025250D">
        <w:t>GBN</w:t>
      </w:r>
      <w:r w:rsidRPr="0025250D">
        <w:rPr>
          <w:rFonts w:hint="cs"/>
          <w:rtl/>
        </w:rPr>
        <w:t>، دو متغیر یا روند مهم اما غیر قطعی شناسایی می‌شوند و سپس سرحد های</w:t>
      </w:r>
      <w:r w:rsidRPr="0025250D">
        <w:rPr>
          <w:vertAlign w:val="superscript"/>
          <w:rtl/>
        </w:rPr>
        <w:footnoteReference w:id="2220"/>
      </w:r>
      <w:r w:rsidRPr="0025250D">
        <w:rPr>
          <w:rFonts w:hint="cs"/>
          <w:rtl/>
        </w:rPr>
        <w:t xml:space="preserve"> هر کدام مشخص شده و به عنوان حالات محیطی آینده، در یک ماتریس دو در دو، برچسب</w:t>
      </w:r>
      <w:r w:rsidRPr="0025250D">
        <w:rPr>
          <w:rtl/>
        </w:rPr>
        <w:t xml:space="preserve">‌هایی </w:t>
      </w:r>
      <w:r w:rsidRPr="0025250D">
        <w:rPr>
          <w:rFonts w:hint="cs"/>
          <w:rtl/>
        </w:rPr>
        <w:t>توصیفی</w:t>
      </w:r>
      <w:r w:rsidRPr="0025250D">
        <w:rPr>
          <w:rtl/>
        </w:rPr>
        <w:t xml:space="preserve"> </w:t>
      </w:r>
      <w:r w:rsidRPr="0025250D">
        <w:rPr>
          <w:rFonts w:hint="cs"/>
          <w:rtl/>
        </w:rPr>
        <w:t>به</w:t>
      </w:r>
      <w:r w:rsidRPr="0025250D">
        <w:rPr>
          <w:rtl/>
        </w:rPr>
        <w:t xml:space="preserve"> </w:t>
      </w:r>
      <w:r w:rsidRPr="0025250D">
        <w:rPr>
          <w:rFonts w:hint="cs"/>
          <w:rtl/>
        </w:rPr>
        <w:t>آن</w:t>
      </w:r>
      <w:r w:rsidRPr="0025250D">
        <w:rPr>
          <w:rtl/>
        </w:rPr>
        <w:t xml:space="preserve">‌ها </w:t>
      </w:r>
      <w:r w:rsidRPr="0025250D">
        <w:rPr>
          <w:rFonts w:hint="cs"/>
          <w:rtl/>
        </w:rPr>
        <w:t>داده</w:t>
      </w:r>
      <w:r w:rsidRPr="0025250D">
        <w:rPr>
          <w:rtl/>
        </w:rPr>
        <w:t xml:space="preserve"> می‌</w:t>
      </w:r>
      <w:r w:rsidRPr="0025250D">
        <w:rPr>
          <w:rFonts w:hint="cs"/>
          <w:rtl/>
        </w:rPr>
        <w:t xml:space="preserve">شود. تصویر بالا، توسط </w:t>
      </w:r>
      <w:r w:rsidR="00D30084" w:rsidRPr="0025250D">
        <w:rPr>
          <w:rFonts w:hint="cs"/>
          <w:rtl/>
        </w:rPr>
        <w:t>آینده‌نگار</w:t>
      </w:r>
      <w:r w:rsidRPr="0025250D">
        <w:rPr>
          <w:rFonts w:hint="cs"/>
          <w:rtl/>
        </w:rPr>
        <w:t xml:space="preserve"> </w:t>
      </w:r>
      <w:r w:rsidRPr="0025250D">
        <w:rPr>
          <w:rtl/>
        </w:rPr>
        <w:t>آدام گوردون</w:t>
      </w:r>
      <w:r w:rsidRPr="0025250D">
        <w:rPr>
          <w:vertAlign w:val="superscript"/>
          <w:rtl/>
        </w:rPr>
        <w:footnoteReference w:id="2221"/>
      </w:r>
      <w:r w:rsidRPr="0025250D">
        <w:rPr>
          <w:rFonts w:hint="cs"/>
          <w:rtl/>
        </w:rPr>
        <w:t xml:space="preserve"> نویسنده کتاب </w:t>
      </w:r>
      <w:r w:rsidRPr="0025250D">
        <w:rPr>
          <w:rtl/>
        </w:rPr>
        <w:t>باهوش آ</w:t>
      </w:r>
      <w:r w:rsidRPr="0025250D">
        <w:rPr>
          <w:rFonts w:hint="cs"/>
          <w:rtl/>
        </w:rPr>
        <w:t>ی</w:t>
      </w:r>
      <w:r w:rsidRPr="0025250D">
        <w:rPr>
          <w:rFonts w:hint="eastAsia"/>
          <w:rtl/>
        </w:rPr>
        <w:t>نده</w:t>
      </w:r>
      <w:r w:rsidRPr="0025250D">
        <w:rPr>
          <w:vertAlign w:val="superscript"/>
          <w:rtl/>
        </w:rPr>
        <w:footnoteReference w:id="2222"/>
      </w:r>
      <w:r w:rsidRPr="0025250D">
        <w:rPr>
          <w:rFonts w:hint="cs"/>
          <w:rtl/>
        </w:rPr>
        <w:t xml:space="preserve"> در سال 2008، مثال خوبی از این روش، در اقدامی برای بررسی آینده‌های رهبری دریایی در مناطق قطبی ارائه می‌دهد.</w:t>
      </w:r>
    </w:p>
    <w:p w14:paraId="4A870218" w14:textId="71B624D6" w:rsidR="00537CC8" w:rsidRPr="0025250D" w:rsidRDefault="00362EF3" w:rsidP="00537CC8">
      <w:pPr>
        <w:rPr>
          <w:rtl/>
        </w:rPr>
      </w:pPr>
      <w:r w:rsidRPr="0025250D">
        <w:rPr>
          <w:rFonts w:hint="cs"/>
          <w:rtl/>
        </w:rPr>
        <w:t>فرانامه‌های</w:t>
      </w:r>
      <w:r w:rsidR="00537CC8" w:rsidRPr="0025250D">
        <w:rPr>
          <w:rFonts w:hint="cs"/>
          <w:rtl/>
        </w:rPr>
        <w:t xml:space="preserve"> </w:t>
      </w:r>
      <w:r w:rsidR="00537CC8" w:rsidRPr="0025250D">
        <w:t>GBN</w:t>
      </w:r>
      <w:r w:rsidR="00537CC8" w:rsidRPr="0025250D">
        <w:rPr>
          <w:rFonts w:hint="cs"/>
          <w:rtl/>
        </w:rPr>
        <w:t xml:space="preserve"> یک روش پایه‌ای خوب هستند، اما اغلب تعداد بسیار</w:t>
      </w:r>
      <w:r w:rsidR="0008779C" w:rsidRPr="0025250D">
        <w:rPr>
          <w:rFonts w:hint="cs"/>
          <w:rtl/>
        </w:rPr>
        <w:t xml:space="preserve"> بیش‌تر</w:t>
      </w:r>
      <w:r w:rsidR="00537CC8" w:rsidRPr="0025250D">
        <w:rPr>
          <w:rFonts w:hint="cs"/>
          <w:rtl/>
        </w:rPr>
        <w:t xml:space="preserve">ی از دو متغیر یا روند وجود دارند که دارای اهمیت می‌باشند، بنابراین روش‌های ساخت </w:t>
      </w:r>
      <w:r w:rsidR="00701E03" w:rsidRPr="0025250D">
        <w:rPr>
          <w:rFonts w:hint="cs"/>
          <w:rtl/>
        </w:rPr>
        <w:t>فرانامه</w:t>
      </w:r>
      <w:r w:rsidR="00537CC8" w:rsidRPr="0025250D">
        <w:rPr>
          <w:rFonts w:hint="cs"/>
          <w:rtl/>
        </w:rPr>
        <w:t xml:space="preserve"> متعددی باید در نظر گرفته شوند. در یادگیری از آینده</w:t>
      </w:r>
      <w:r w:rsidR="00537CC8" w:rsidRPr="0025250D">
        <w:rPr>
          <w:vertAlign w:val="superscript"/>
          <w:rtl/>
        </w:rPr>
        <w:footnoteReference w:id="2223"/>
      </w:r>
      <w:r w:rsidR="00537CC8" w:rsidRPr="0025250D">
        <w:rPr>
          <w:rFonts w:hint="cs"/>
          <w:rtl/>
        </w:rPr>
        <w:t xml:space="preserve">، </w:t>
      </w:r>
      <w:r w:rsidR="00537CC8" w:rsidRPr="0025250D">
        <w:rPr>
          <w:rtl/>
        </w:rPr>
        <w:t>فاه</w:t>
      </w:r>
      <w:r w:rsidR="00537CC8" w:rsidRPr="0025250D">
        <w:rPr>
          <w:rFonts w:hint="cs"/>
          <w:rtl/>
        </w:rPr>
        <w:t>ی</w:t>
      </w:r>
      <w:r w:rsidR="00537CC8" w:rsidRPr="0025250D">
        <w:rPr>
          <w:rtl/>
        </w:rPr>
        <w:t xml:space="preserve"> و رندال</w:t>
      </w:r>
      <w:r w:rsidR="00537CC8" w:rsidRPr="0025250D">
        <w:rPr>
          <w:rFonts w:hint="cs"/>
          <w:rtl/>
        </w:rPr>
        <w:t xml:space="preserve"> ساخت حداقل پنج </w:t>
      </w:r>
      <w:r w:rsidR="007A53FD" w:rsidRPr="0025250D">
        <w:rPr>
          <w:rFonts w:hint="cs"/>
          <w:rtl/>
        </w:rPr>
        <w:t>فرانامه</w:t>
      </w:r>
      <w:r w:rsidR="00537CC8" w:rsidRPr="0025250D">
        <w:rPr>
          <w:rFonts w:hint="cs"/>
          <w:rtl/>
        </w:rPr>
        <w:t xml:space="preserve"> را توصیه </w:t>
      </w:r>
      <w:r w:rsidR="007118DE" w:rsidRPr="0025250D">
        <w:rPr>
          <w:rFonts w:hint="cs"/>
          <w:rtl/>
        </w:rPr>
        <w:t>کرده‌اند</w:t>
      </w:r>
      <w:r w:rsidR="00537CC8" w:rsidRPr="0025250D">
        <w:rPr>
          <w:rFonts w:hint="cs"/>
          <w:rtl/>
        </w:rPr>
        <w:t xml:space="preserve">. داشتن یک تعداد فرد بیش از سه </w:t>
      </w:r>
      <w:r w:rsidR="007A53FD" w:rsidRPr="0025250D">
        <w:rPr>
          <w:rFonts w:hint="cs"/>
          <w:rtl/>
        </w:rPr>
        <w:t>فرانامه</w:t>
      </w:r>
      <w:r w:rsidR="00537CC8" w:rsidRPr="0025250D">
        <w:rPr>
          <w:rFonts w:hint="cs"/>
          <w:rtl/>
        </w:rPr>
        <w:t xml:space="preserve"> شانس در بر گرفتن همه موارد مهم را افزایش می‌دهد. همچنین آغاز با یک </w:t>
      </w:r>
      <w:r w:rsidR="00701E03" w:rsidRPr="0025250D">
        <w:rPr>
          <w:rFonts w:hint="cs"/>
          <w:rtl/>
        </w:rPr>
        <w:t>فرانامه</w:t>
      </w:r>
      <w:r w:rsidR="00537CC8" w:rsidRPr="0025250D">
        <w:rPr>
          <w:rFonts w:hint="cs"/>
          <w:rtl/>
        </w:rPr>
        <w:t xml:space="preserve"> مورد انتظار و خواستن از تیم</w:t>
      </w:r>
      <w:r w:rsidR="00537CC8" w:rsidRPr="0025250D">
        <w:rPr>
          <w:rtl/>
        </w:rPr>
        <w:t xml:space="preserve"> </w:t>
      </w:r>
      <w:r w:rsidR="00537CC8" w:rsidRPr="0025250D">
        <w:rPr>
          <w:rFonts w:hint="cs"/>
          <w:rtl/>
        </w:rPr>
        <w:t xml:space="preserve">برای </w:t>
      </w:r>
      <w:r w:rsidR="00537CC8" w:rsidRPr="0025250D">
        <w:rPr>
          <w:rtl/>
        </w:rPr>
        <w:t>نگاه به تار</w:t>
      </w:r>
      <w:r w:rsidR="00537CC8" w:rsidRPr="0025250D">
        <w:rPr>
          <w:rFonts w:hint="cs"/>
          <w:rtl/>
        </w:rPr>
        <w:t>ی</w:t>
      </w:r>
      <w:r w:rsidR="00537CC8" w:rsidRPr="0025250D">
        <w:rPr>
          <w:rFonts w:hint="eastAsia"/>
          <w:rtl/>
        </w:rPr>
        <w:t>خ،</w:t>
      </w:r>
      <w:r w:rsidR="00537CC8" w:rsidRPr="0025250D">
        <w:rPr>
          <w:rtl/>
        </w:rPr>
        <w:t xml:space="preserve"> داده‌ها</w:t>
      </w:r>
      <w:r w:rsidR="00537CC8" w:rsidRPr="0025250D">
        <w:rPr>
          <w:rFonts w:hint="cs"/>
          <w:rtl/>
        </w:rPr>
        <w:t>ی</w:t>
      </w:r>
      <w:r w:rsidR="00537CC8" w:rsidRPr="0025250D">
        <w:rPr>
          <w:rtl/>
        </w:rPr>
        <w:t xml:space="preserve"> جار</w:t>
      </w:r>
      <w:r w:rsidR="00537CC8" w:rsidRPr="0025250D">
        <w:rPr>
          <w:rFonts w:hint="cs"/>
          <w:rtl/>
        </w:rPr>
        <w:t>ی</w:t>
      </w:r>
      <w:r w:rsidR="00537CC8" w:rsidRPr="0025250D">
        <w:rPr>
          <w:rFonts w:hint="eastAsia"/>
          <w:rtl/>
        </w:rPr>
        <w:t>،</w:t>
      </w:r>
      <w:r w:rsidR="00537CC8" w:rsidRPr="0025250D">
        <w:rPr>
          <w:rtl/>
        </w:rPr>
        <w:t xml:space="preserve"> روندها و پ</w:t>
      </w:r>
      <w:r w:rsidR="00537CC8" w:rsidRPr="0025250D">
        <w:rPr>
          <w:rFonts w:hint="cs"/>
          <w:rtl/>
        </w:rPr>
        <w:t>ی</w:t>
      </w:r>
      <w:r w:rsidR="00537CC8" w:rsidRPr="0025250D">
        <w:rPr>
          <w:rFonts w:hint="eastAsia"/>
          <w:rtl/>
        </w:rPr>
        <w:t>ش‌ب</w:t>
      </w:r>
      <w:r w:rsidR="00537CC8" w:rsidRPr="0025250D">
        <w:rPr>
          <w:rFonts w:hint="cs"/>
          <w:rtl/>
        </w:rPr>
        <w:t>ی</w:t>
      </w:r>
      <w:r w:rsidR="00537CC8" w:rsidRPr="0025250D">
        <w:rPr>
          <w:rFonts w:hint="eastAsia"/>
          <w:rtl/>
        </w:rPr>
        <w:t>ن</w:t>
      </w:r>
      <w:r w:rsidR="00537CC8" w:rsidRPr="0025250D">
        <w:rPr>
          <w:rFonts w:hint="cs"/>
          <w:rtl/>
        </w:rPr>
        <w:t>ی‌</w:t>
      </w:r>
      <w:r w:rsidR="00537CC8" w:rsidRPr="0025250D">
        <w:rPr>
          <w:rFonts w:hint="eastAsia"/>
          <w:rtl/>
        </w:rPr>
        <w:t>ها</w:t>
      </w:r>
      <w:r w:rsidR="00537CC8" w:rsidRPr="0025250D">
        <w:rPr>
          <w:rtl/>
        </w:rPr>
        <w:t xml:space="preserve"> و سپس </w:t>
      </w:r>
      <w:r w:rsidR="00537CC8" w:rsidRPr="0025250D">
        <w:rPr>
          <w:rFonts w:hint="cs"/>
          <w:rtl/>
        </w:rPr>
        <w:t xml:space="preserve">ایجاد </w:t>
      </w:r>
      <w:r w:rsidR="00537CC8" w:rsidRPr="0025250D">
        <w:rPr>
          <w:rtl/>
        </w:rPr>
        <w:t>روا</w:t>
      </w:r>
      <w:r w:rsidR="00537CC8" w:rsidRPr="0025250D">
        <w:rPr>
          <w:rFonts w:hint="cs"/>
          <w:rtl/>
        </w:rPr>
        <w:t>ی</w:t>
      </w:r>
      <w:r w:rsidR="00537CC8" w:rsidRPr="0025250D">
        <w:rPr>
          <w:rFonts w:hint="eastAsia"/>
          <w:rtl/>
        </w:rPr>
        <w:t>ت</w:t>
      </w:r>
      <w:r w:rsidR="00537CC8" w:rsidRPr="0025250D">
        <w:rPr>
          <w:rFonts w:hint="cs"/>
          <w:rtl/>
        </w:rPr>
        <w:t>ی</w:t>
      </w:r>
      <w:r w:rsidR="00537CC8" w:rsidRPr="0025250D">
        <w:rPr>
          <w:rtl/>
        </w:rPr>
        <w:t xml:space="preserve"> غن</w:t>
      </w:r>
      <w:r w:rsidR="00537CC8" w:rsidRPr="0025250D">
        <w:rPr>
          <w:rFonts w:hint="cs"/>
          <w:rtl/>
        </w:rPr>
        <w:t>ی</w:t>
      </w:r>
      <w:r w:rsidR="00537CC8" w:rsidRPr="0025250D">
        <w:rPr>
          <w:rtl/>
        </w:rPr>
        <w:t xml:space="preserve"> از دن</w:t>
      </w:r>
      <w:r w:rsidR="00537CC8" w:rsidRPr="0025250D">
        <w:rPr>
          <w:rFonts w:hint="cs"/>
          <w:rtl/>
        </w:rPr>
        <w:t>ی</w:t>
      </w:r>
      <w:r w:rsidR="00537CC8" w:rsidRPr="0025250D">
        <w:rPr>
          <w:rFonts w:hint="eastAsia"/>
          <w:rtl/>
        </w:rPr>
        <w:t>ا</w:t>
      </w:r>
      <w:r w:rsidR="00537CC8" w:rsidRPr="0025250D">
        <w:rPr>
          <w:rFonts w:hint="cs"/>
          <w:rtl/>
        </w:rPr>
        <w:t>ی</w:t>
      </w:r>
      <w:r w:rsidR="00537CC8" w:rsidRPr="0025250D">
        <w:rPr>
          <w:rtl/>
        </w:rPr>
        <w:t xml:space="preserve"> آ</w:t>
      </w:r>
      <w:r w:rsidR="00537CC8" w:rsidRPr="0025250D">
        <w:rPr>
          <w:rFonts w:hint="cs"/>
          <w:rtl/>
        </w:rPr>
        <w:t>ی</w:t>
      </w:r>
      <w:r w:rsidR="00537CC8" w:rsidRPr="0025250D">
        <w:rPr>
          <w:rFonts w:hint="eastAsia"/>
          <w:rtl/>
        </w:rPr>
        <w:t>نده</w:t>
      </w:r>
      <w:r w:rsidR="00537CC8" w:rsidRPr="0025250D">
        <w:rPr>
          <w:rtl/>
        </w:rPr>
        <w:t xml:space="preserve"> «ب</w:t>
      </w:r>
      <w:r w:rsidR="00537CC8" w:rsidRPr="0025250D">
        <w:rPr>
          <w:rFonts w:hint="cs"/>
          <w:rtl/>
        </w:rPr>
        <w:t>ا</w:t>
      </w:r>
      <w:r w:rsidR="00537CC8" w:rsidRPr="0025250D">
        <w:rPr>
          <w:rtl/>
        </w:rPr>
        <w:t xml:space="preserve"> احتمال ز</w:t>
      </w:r>
      <w:r w:rsidR="00537CC8" w:rsidRPr="0025250D">
        <w:rPr>
          <w:rFonts w:hint="cs"/>
          <w:rtl/>
        </w:rPr>
        <w:t>ی</w:t>
      </w:r>
      <w:r w:rsidR="00537CC8" w:rsidRPr="0025250D">
        <w:rPr>
          <w:rFonts w:hint="eastAsia"/>
          <w:rtl/>
        </w:rPr>
        <w:t>اد»</w:t>
      </w:r>
      <w:r w:rsidR="00537CC8" w:rsidRPr="0025250D">
        <w:rPr>
          <w:rtl/>
        </w:rPr>
        <w:t>، قبل از ا</w:t>
      </w:r>
      <w:r w:rsidR="00537CC8" w:rsidRPr="0025250D">
        <w:rPr>
          <w:rFonts w:hint="cs"/>
          <w:rtl/>
        </w:rPr>
        <w:t>ی</w:t>
      </w:r>
      <w:r w:rsidR="00537CC8" w:rsidRPr="0025250D">
        <w:rPr>
          <w:rFonts w:hint="eastAsia"/>
          <w:rtl/>
        </w:rPr>
        <w:t>نکه</w:t>
      </w:r>
      <w:r w:rsidR="00537CC8" w:rsidRPr="0025250D">
        <w:rPr>
          <w:rtl/>
        </w:rPr>
        <w:t xml:space="preserve"> </w:t>
      </w:r>
      <w:r w:rsidR="00537CC8" w:rsidRPr="0025250D">
        <w:rPr>
          <w:rFonts w:hint="cs"/>
          <w:rtl/>
        </w:rPr>
        <w:t>توسط</w:t>
      </w:r>
      <w:r w:rsidR="00537CC8" w:rsidRPr="0025250D">
        <w:rPr>
          <w:rtl/>
        </w:rPr>
        <w:t xml:space="preserve"> </w:t>
      </w:r>
      <w:r w:rsidRPr="0025250D">
        <w:rPr>
          <w:rtl/>
        </w:rPr>
        <w:t>فرانامه‌های</w:t>
      </w:r>
      <w:r w:rsidR="00537CC8" w:rsidRPr="0025250D">
        <w:rPr>
          <w:rtl/>
        </w:rPr>
        <w:t xml:space="preserve"> مهم اما نامطمئن منحرف شود</w:t>
      </w:r>
      <w:r w:rsidR="00537CC8" w:rsidRPr="0025250D">
        <w:rPr>
          <w:rFonts w:hint="cs"/>
          <w:rtl/>
        </w:rPr>
        <w:t xml:space="preserve">، روش مناسبی می‌باشد. این پیشنهاد نزد </w:t>
      </w:r>
      <w:r w:rsidR="00537CC8" w:rsidRPr="0025250D">
        <w:rPr>
          <w:rtl/>
        </w:rPr>
        <w:t>آینده‌نگار</w:t>
      </w:r>
      <w:r w:rsidR="00537CC8" w:rsidRPr="0025250D">
        <w:rPr>
          <w:rFonts w:hint="cs"/>
          <w:rtl/>
        </w:rPr>
        <w:t xml:space="preserve">ان متمایل به موارد ممکن محبوبیت ندارد، اما تقابل </w:t>
      </w:r>
      <w:r w:rsidR="00D92F6E" w:rsidRPr="0025250D">
        <w:rPr>
          <w:rFonts w:hint="cs"/>
          <w:rtl/>
        </w:rPr>
        <w:t>پیش‌بین</w:t>
      </w:r>
      <w:r w:rsidR="00537CC8" w:rsidRPr="0025250D">
        <w:rPr>
          <w:rFonts w:hint="cs"/>
          <w:rtl/>
        </w:rPr>
        <w:t xml:space="preserve"> را </w:t>
      </w:r>
      <w:r w:rsidR="00B453C0" w:rsidRPr="0025250D">
        <w:rPr>
          <w:rFonts w:hint="cs"/>
          <w:rtl/>
        </w:rPr>
        <w:t>امکان‌پذیر</w:t>
      </w:r>
      <w:r w:rsidR="00537CC8" w:rsidRPr="0025250D">
        <w:rPr>
          <w:rFonts w:hint="cs"/>
          <w:rtl/>
        </w:rPr>
        <w:t xml:space="preserve"> می‌سازد. باور داریم که این کار تقابل </w:t>
      </w:r>
      <w:r w:rsidR="002B6515" w:rsidRPr="0025250D">
        <w:rPr>
          <w:rtl/>
        </w:rPr>
        <w:t>حس‌داد</w:t>
      </w:r>
      <w:r w:rsidR="00537CC8" w:rsidRPr="0025250D">
        <w:rPr>
          <w:rFonts w:hint="cs"/>
          <w:rtl/>
        </w:rPr>
        <w:t xml:space="preserve"> و </w:t>
      </w:r>
      <w:r w:rsidR="00701E03" w:rsidRPr="0025250D">
        <w:rPr>
          <w:rFonts w:hint="cs"/>
          <w:rtl/>
        </w:rPr>
        <w:t>راهبرد</w:t>
      </w:r>
      <w:r w:rsidR="00537CC8" w:rsidRPr="0025250D">
        <w:rPr>
          <w:rFonts w:hint="cs"/>
          <w:rtl/>
        </w:rPr>
        <w:t xml:space="preserve"> بسیار بهتری به عنوان نتیجه ایجاد می‌کند.</w:t>
      </w:r>
    </w:p>
    <w:p w14:paraId="386825BD" w14:textId="515AE5EB" w:rsidR="00537CC8" w:rsidRPr="0025250D" w:rsidRDefault="007118DE" w:rsidP="00537CC8">
      <w:pPr>
        <w:rPr>
          <w:rtl/>
        </w:rPr>
      </w:pPr>
      <w:r w:rsidRPr="0025250D">
        <w:rPr>
          <w:rFonts w:hint="cs"/>
          <w:rtl/>
        </w:rPr>
        <w:t>همان‌طور</w:t>
      </w:r>
      <w:r w:rsidR="00537CC8" w:rsidRPr="0025250D">
        <w:rPr>
          <w:rFonts w:hint="cs"/>
          <w:rtl/>
        </w:rPr>
        <w:t xml:space="preserve"> که در فصل 5 توصیف خواهیم کرد، چهار آینده </w:t>
      </w:r>
      <w:r w:rsidR="00537CC8" w:rsidRPr="0025250D">
        <w:rPr>
          <w:rtl/>
        </w:rPr>
        <w:t>داتور</w:t>
      </w:r>
      <w:r w:rsidR="00537CC8" w:rsidRPr="0025250D">
        <w:rPr>
          <w:rFonts w:hint="cs"/>
          <w:rtl/>
        </w:rPr>
        <w:t xml:space="preserve"> داستان‌های تغییر کلاسیکی هستند که چهار آینده عمومی یعنی، تداوم</w:t>
      </w:r>
      <w:r w:rsidR="00537CC8" w:rsidRPr="0025250D">
        <w:rPr>
          <w:vertAlign w:val="superscript"/>
          <w:rtl/>
        </w:rPr>
        <w:footnoteReference w:id="2224"/>
      </w:r>
      <w:r w:rsidR="00537CC8" w:rsidRPr="0025250D">
        <w:rPr>
          <w:rFonts w:hint="cs"/>
          <w:rtl/>
        </w:rPr>
        <w:t>، تحول</w:t>
      </w:r>
      <w:r w:rsidR="00537CC8" w:rsidRPr="0025250D">
        <w:rPr>
          <w:vertAlign w:val="superscript"/>
          <w:rtl/>
        </w:rPr>
        <w:footnoteReference w:id="2225"/>
      </w:r>
      <w:r w:rsidR="00537CC8" w:rsidRPr="0025250D">
        <w:rPr>
          <w:rFonts w:hint="cs"/>
          <w:rtl/>
        </w:rPr>
        <w:t>، محدودیت‌ها و نظم</w:t>
      </w:r>
      <w:r w:rsidR="00537CC8" w:rsidRPr="0025250D">
        <w:rPr>
          <w:vertAlign w:val="superscript"/>
          <w:rtl/>
        </w:rPr>
        <w:footnoteReference w:id="2226"/>
      </w:r>
      <w:r w:rsidR="00537CC8" w:rsidRPr="0025250D">
        <w:rPr>
          <w:rFonts w:hint="cs"/>
          <w:rtl/>
        </w:rPr>
        <w:t xml:space="preserve"> و افول و فروپاشی</w:t>
      </w:r>
      <w:r w:rsidR="00537CC8" w:rsidRPr="0025250D">
        <w:rPr>
          <w:vertAlign w:val="superscript"/>
          <w:rtl/>
        </w:rPr>
        <w:footnoteReference w:id="2227"/>
      </w:r>
      <w:r w:rsidR="00537CC8" w:rsidRPr="0025250D">
        <w:rPr>
          <w:rFonts w:hint="cs"/>
          <w:rtl/>
        </w:rPr>
        <w:t xml:space="preserve"> را پیشنهاد می‌کنند. این تغییرات توسط زیرگروه‌های متعددی درمورد متغیر‌های مختلفی در زمان‌های مختلفی، در همه مجموعه‌ها ایجاد می‌شوند. از نظر ما، این چهار حالت رشد </w:t>
      </w:r>
      <w:r w:rsidR="008F0DD8" w:rsidRPr="0025250D">
        <w:rPr>
          <w:rFonts w:hint="cs"/>
          <w:rtl/>
        </w:rPr>
        <w:t>آن‌قدر</w:t>
      </w:r>
      <w:r w:rsidR="00537CC8" w:rsidRPr="0025250D">
        <w:rPr>
          <w:rFonts w:hint="cs"/>
          <w:rtl/>
        </w:rPr>
        <w:t xml:space="preserve"> فراگیر هستند که لایق ارزیابی به عنوان چهار </w:t>
      </w:r>
      <w:r w:rsidR="007A53FD" w:rsidRPr="0025250D">
        <w:rPr>
          <w:rFonts w:hint="cs"/>
          <w:rtl/>
        </w:rPr>
        <w:t>فرانامه</w:t>
      </w:r>
      <w:r w:rsidR="00537CC8" w:rsidRPr="0025250D">
        <w:rPr>
          <w:rFonts w:hint="cs"/>
          <w:rtl/>
        </w:rPr>
        <w:t xml:space="preserve"> مستقل، علاوه بر هر روش </w:t>
      </w:r>
      <w:r w:rsidR="007A53FD" w:rsidRPr="0025250D">
        <w:rPr>
          <w:rFonts w:hint="cs"/>
          <w:rtl/>
        </w:rPr>
        <w:t>فرانامه</w:t>
      </w:r>
      <w:r w:rsidR="00537CC8" w:rsidRPr="0025250D">
        <w:rPr>
          <w:rFonts w:hint="cs"/>
          <w:rtl/>
        </w:rPr>
        <w:t xml:space="preserve"> سازی دیگر مورد استفاده ما می‌باشند. در مقابل، هر </w:t>
      </w:r>
      <w:r w:rsidR="00E4279E" w:rsidRPr="0025250D">
        <w:rPr>
          <w:rFonts w:hint="cs"/>
          <w:rtl/>
        </w:rPr>
        <w:t>فرانامه‌ای</w:t>
      </w:r>
      <w:r w:rsidR="00537CC8" w:rsidRPr="0025250D">
        <w:rPr>
          <w:rFonts w:hint="cs"/>
          <w:rtl/>
        </w:rPr>
        <w:t xml:space="preserve"> می‌تواند شامل عناصری از هر چهار مورد از این حالت‌های رشد باشد. در هر زمانی، افراد، گروه‌ها، سازمان‌ها و فرهنگ‌های خاصی در هر یک از این چهار حالت تغییر یا رشد قرار خواهند گرفت.</w:t>
      </w:r>
    </w:p>
    <w:p w14:paraId="0E7CA765" w14:textId="77777777" w:rsidR="00537CC8" w:rsidRPr="0025250D" w:rsidRDefault="00537CC8" w:rsidP="00537CC8">
      <w:pPr>
        <w:rPr>
          <w:rtl/>
        </w:rPr>
      </w:pPr>
      <w:r w:rsidRPr="0025250D">
        <w:rPr>
          <w:noProof/>
          <w:lang w:bidi="ar-SA"/>
        </w:rPr>
        <w:drawing>
          <wp:inline distT="0" distB="0" distL="0" distR="0" wp14:anchorId="50BAE700" wp14:editId="2399E9D4">
            <wp:extent cx="5742713" cy="4543791"/>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1" cstate="screen">
                      <a:extLst>
                        <a:ext uri="{BEBA8EAE-BF5A-486C-A8C5-ECC9F3942E4B}">
                          <a14:imgProps xmlns:a14="http://schemas.microsoft.com/office/drawing/2010/main">
                            <a14:imgLayer r:embed="rId202">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764127" cy="4560734"/>
                    </a:xfrm>
                    <a:prstGeom prst="rect">
                      <a:avLst/>
                    </a:prstGeom>
                    <a:noFill/>
                  </pic:spPr>
                </pic:pic>
              </a:graphicData>
            </a:graphic>
          </wp:inline>
        </w:drawing>
      </w:r>
    </w:p>
    <w:p w14:paraId="5F2E7819" w14:textId="3B5A8829" w:rsidR="00537CC8" w:rsidRPr="0025250D" w:rsidRDefault="00537CC8" w:rsidP="00537CC8">
      <w:pPr>
        <w:rPr>
          <w:rtl/>
        </w:rPr>
      </w:pPr>
      <w:r w:rsidRPr="0025250D">
        <w:rPr>
          <w:rFonts w:hint="cs"/>
          <w:rtl/>
        </w:rPr>
        <w:t xml:space="preserve">کارآفرینی و کارآفرینی سازمانی یک مجموعه کلیدی دیگر از تخصص‌های </w:t>
      </w:r>
      <w:r w:rsidR="00B124DE" w:rsidRPr="0025250D">
        <w:rPr>
          <w:rFonts w:hint="cs"/>
          <w:rtl/>
        </w:rPr>
        <w:t>کسب‌و‌کار</w:t>
      </w:r>
      <w:r w:rsidRPr="0025250D">
        <w:rPr>
          <w:rFonts w:hint="cs"/>
          <w:rtl/>
        </w:rPr>
        <w:t>ی است که رویکردی از لنز نوآوری به آینده دارد. آنها بر فرایند‌ها، محصولات</w:t>
      </w:r>
      <w:r w:rsidR="008D6F97" w:rsidRPr="0025250D">
        <w:rPr>
          <w:rtl/>
        </w:rPr>
        <w:t xml:space="preserve"> </w:t>
      </w:r>
      <w:r w:rsidRPr="0025250D">
        <w:rPr>
          <w:rFonts w:hint="cs"/>
          <w:rtl/>
        </w:rPr>
        <w:t xml:space="preserve">و پروژه‌های جدیدی تمرکز دارند که می‌توانند به بنگاه‌هایی سود ده تبدیل شوند. با توجه به این که تخریب خلاقانه و بی کاری </w:t>
      </w:r>
      <w:r w:rsidR="007A53FD" w:rsidRPr="0025250D">
        <w:rPr>
          <w:rFonts w:hint="cs"/>
          <w:rtl/>
        </w:rPr>
        <w:t>فناورانه</w:t>
      </w:r>
      <w:r w:rsidRPr="0025250D">
        <w:rPr>
          <w:rFonts w:hint="cs"/>
          <w:rtl/>
        </w:rPr>
        <w:t xml:space="preserve"> دائما وظایف و شغل‌ها را از بین می‌برند، کارآفرینی به نظر یک کارکرد </w:t>
      </w:r>
      <w:r w:rsidRPr="0025250D">
        <w:rPr>
          <w:rtl/>
        </w:rPr>
        <w:t>آینده‌نگاری</w:t>
      </w:r>
      <w:r w:rsidRPr="0025250D">
        <w:rPr>
          <w:rFonts w:hint="cs"/>
          <w:rtl/>
        </w:rPr>
        <w:t xml:space="preserve"> لازم و ثمر بخش مشخص است. متخصصین </w:t>
      </w:r>
      <w:r w:rsidRPr="0025250D">
        <w:rPr>
          <w:rtl/>
        </w:rPr>
        <w:t>آینده‌نگاری</w:t>
      </w:r>
      <w:r w:rsidRPr="0025250D">
        <w:rPr>
          <w:rFonts w:hint="cs"/>
          <w:rtl/>
        </w:rPr>
        <w:t xml:space="preserve"> که شرکت‌های کارسپاران خود را نوآور‌تر، کارآفرین‌تر و دارای کارآفرینی سازمانی بیش‌تر (قادر به تولید طرح‌های تجاری جدید از داخل شرکت‌های تثبیت شده) می‌سازند، یک توانایی دائمی برای بقا در عدم قطعیت مداوم</w:t>
      </w:r>
      <w:r w:rsidRPr="0025250D">
        <w:rPr>
          <w:rFonts w:cs="Times New Roman" w:hint="cs"/>
          <w:rtl/>
        </w:rPr>
        <w:t>–</w:t>
      </w:r>
      <w:r w:rsidRPr="0025250D">
        <w:rPr>
          <w:rFonts w:hint="cs"/>
          <w:rtl/>
        </w:rPr>
        <w:t xml:space="preserve"> یک مهارت </w:t>
      </w:r>
      <w:r w:rsidRPr="0025250D">
        <w:rPr>
          <w:rtl/>
        </w:rPr>
        <w:t>آینده‌نگاری</w:t>
      </w:r>
      <w:r w:rsidRPr="0025250D">
        <w:rPr>
          <w:rFonts w:hint="cs"/>
          <w:rtl/>
        </w:rPr>
        <w:t xml:space="preserve"> اساسی - به</w:t>
      </w:r>
      <w:r w:rsidRPr="0025250D">
        <w:rPr>
          <w:rtl/>
        </w:rPr>
        <w:t xml:space="preserve"> </w:t>
      </w:r>
      <w:r w:rsidRPr="0025250D">
        <w:rPr>
          <w:rFonts w:hint="cs"/>
          <w:rtl/>
        </w:rPr>
        <w:t>آن</w:t>
      </w:r>
      <w:r w:rsidRPr="0025250D">
        <w:rPr>
          <w:rtl/>
        </w:rPr>
        <w:t>‌ها می‌</w:t>
      </w:r>
      <w:r w:rsidRPr="0025250D">
        <w:rPr>
          <w:rFonts w:hint="cs"/>
          <w:rtl/>
        </w:rPr>
        <w:t>دهند.</w:t>
      </w:r>
    </w:p>
    <w:p w14:paraId="14C24FF2" w14:textId="2AD2788A" w:rsidR="00537CC8" w:rsidRPr="0025250D" w:rsidRDefault="00537CC8" w:rsidP="00537CC8">
      <w:pPr>
        <w:rPr>
          <w:rtl/>
        </w:rPr>
      </w:pPr>
      <w:r w:rsidRPr="0025250D">
        <w:rPr>
          <w:rFonts w:hint="cs"/>
          <w:rtl/>
        </w:rPr>
        <w:t xml:space="preserve">تا زمانی که یک شرکت بتواند نسبت به رقبای خود به همان اندازه یا بیش‌تر خلاق باشد، میتواند </w:t>
      </w:r>
      <w:r w:rsidR="00701E03" w:rsidRPr="0025250D">
        <w:rPr>
          <w:rFonts w:hint="cs"/>
          <w:rtl/>
        </w:rPr>
        <w:t>راهبرد</w:t>
      </w:r>
      <w:r w:rsidRPr="0025250D">
        <w:rPr>
          <w:rFonts w:hint="cs"/>
          <w:rtl/>
        </w:rPr>
        <w:t>‌های متعددی در حال اجرا داشته باشد که در بازار در هر زمانی جذابیت می‌یابند. پیشران خلاق آن می‌تواند آن را، حتی اگر برای مدتی دچار لغزش شود یا به عقب حرکت کند، به جلو ببرد. استارتاپ ناب</w:t>
      </w:r>
      <w:r w:rsidRPr="0025250D">
        <w:rPr>
          <w:vertAlign w:val="superscript"/>
          <w:rtl/>
        </w:rPr>
        <w:footnoteReference w:id="2228"/>
      </w:r>
      <w:r w:rsidRPr="0025250D">
        <w:rPr>
          <w:rFonts w:hint="cs"/>
          <w:rtl/>
        </w:rPr>
        <w:t xml:space="preserve"> اثر </w:t>
      </w:r>
      <w:r w:rsidRPr="0025250D">
        <w:rPr>
          <w:rtl/>
        </w:rPr>
        <w:t>ار</w:t>
      </w:r>
      <w:r w:rsidRPr="0025250D">
        <w:rPr>
          <w:rFonts w:hint="cs"/>
          <w:rtl/>
        </w:rPr>
        <w:t>ی</w:t>
      </w:r>
      <w:r w:rsidRPr="0025250D">
        <w:rPr>
          <w:rFonts w:hint="eastAsia"/>
          <w:rtl/>
        </w:rPr>
        <w:t>ک</w:t>
      </w:r>
      <w:r w:rsidRPr="0025250D">
        <w:rPr>
          <w:rtl/>
        </w:rPr>
        <w:t xml:space="preserve"> ر</w:t>
      </w:r>
      <w:r w:rsidRPr="0025250D">
        <w:rPr>
          <w:rFonts w:hint="cs"/>
          <w:rtl/>
        </w:rPr>
        <w:t>ی</w:t>
      </w:r>
      <w:r w:rsidRPr="0025250D">
        <w:rPr>
          <w:rFonts w:hint="eastAsia"/>
          <w:rtl/>
        </w:rPr>
        <w:t>س</w:t>
      </w:r>
      <w:r w:rsidRPr="0025250D">
        <w:rPr>
          <w:rFonts w:hint="cs"/>
          <w:rtl/>
        </w:rPr>
        <w:t xml:space="preserve"> در سال 2011 توضیح می‌دهد که چرا استارتاپ‌ها در نوآوری از هر کس دیگری بهتر هستند. کتاب بنگاه ناب</w:t>
      </w:r>
      <w:r w:rsidRPr="0025250D">
        <w:rPr>
          <w:vertAlign w:val="superscript"/>
          <w:rtl/>
        </w:rPr>
        <w:footnoteReference w:id="2229"/>
      </w:r>
      <w:r w:rsidRPr="0025250D">
        <w:rPr>
          <w:rFonts w:hint="cs"/>
          <w:rtl/>
        </w:rPr>
        <w:t xml:space="preserve"> اثر </w:t>
      </w:r>
      <w:r w:rsidRPr="0025250D">
        <w:rPr>
          <w:rtl/>
        </w:rPr>
        <w:t>اونز</w:t>
      </w:r>
      <w:r w:rsidRPr="0025250D">
        <w:rPr>
          <w:vertAlign w:val="superscript"/>
          <w:rtl/>
        </w:rPr>
        <w:footnoteReference w:id="2230"/>
      </w:r>
      <w:r w:rsidRPr="0025250D">
        <w:rPr>
          <w:rtl/>
        </w:rPr>
        <w:t xml:space="preserve"> و فرناندز</w:t>
      </w:r>
      <w:r w:rsidRPr="0025250D">
        <w:rPr>
          <w:vertAlign w:val="superscript"/>
          <w:rtl/>
        </w:rPr>
        <w:footnoteReference w:id="2231"/>
      </w:r>
      <w:r w:rsidRPr="0025250D">
        <w:rPr>
          <w:rFonts w:hint="cs"/>
          <w:rtl/>
        </w:rPr>
        <w:t xml:space="preserve"> در سال 2014 نشان می‌دهد که چگونه حتی شرکت‌های بزرگ بالغ می‌توانند به‌شدت نوآور باشند، در صورتی که تمایل به پرداخت هزینه‌های سیاست داخلی و خارجی را داشته باشند. همه رهبران خوب یاد می‌گیرند </w:t>
      </w:r>
      <w:r w:rsidR="0020589F" w:rsidRPr="0025250D">
        <w:rPr>
          <w:rtl/>
        </w:rPr>
        <w:t>که</w:t>
      </w:r>
      <w:r w:rsidRPr="0025250D">
        <w:rPr>
          <w:rFonts w:hint="cs"/>
          <w:rtl/>
        </w:rPr>
        <w:t xml:space="preserve"> حداقل در حوزه‌های مشخصی، یک ذهنیت و فرهنگ تیمی استارتاپی مقدماتی را پرورش دهند.</w:t>
      </w:r>
    </w:p>
    <w:p w14:paraId="7D81A9DD" w14:textId="77777777" w:rsidR="00537CC8" w:rsidRPr="0025250D" w:rsidRDefault="00537CC8" w:rsidP="00D53F87">
      <w:pPr>
        <w:jc w:val="center"/>
        <w:rPr>
          <w:rtl/>
        </w:rPr>
      </w:pPr>
      <w:r w:rsidRPr="0025250D">
        <w:rPr>
          <w:noProof/>
          <w:rtl/>
          <w:lang w:bidi="ar-SA"/>
        </w:rPr>
        <w:drawing>
          <wp:inline distT="0" distB="0" distL="0" distR="0" wp14:anchorId="10FECAC5" wp14:editId="62AC32C5">
            <wp:extent cx="1333143" cy="1906438"/>
            <wp:effectExtent l="0" t="0" r="635" b="0"/>
            <wp:docPr id="128" name="Picture 128" descr="D:\کار\مستقل\3 ( ترجمه ی دانشگاه تهران  )\Introduction to Foresight\part6\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کار\مستقل\3 ( ترجمه ی دانشگاه تهران  )\Introduction to Foresight\part6\26.png"/>
                    <pic:cNvPicPr>
                      <a:picLocks noChangeAspect="1" noChangeArrowheads="1"/>
                    </pic:cNvPicPr>
                  </pic:nvPicPr>
                  <pic:blipFill rotWithShape="1">
                    <a:blip r:embed="rId203" cstate="screen">
                      <a:extLst>
                        <a:ext uri="{BEBA8EAE-BF5A-486C-A8C5-ECC9F3942E4B}">
                          <a14:imgProps xmlns:a14="http://schemas.microsoft.com/office/drawing/2010/main">
                            <a14:imgLayer r:embed="rId204">
                              <a14:imgEffect>
                                <a14:saturation sat="0"/>
                              </a14:imgEffect>
                            </a14:imgLayer>
                          </a14:imgProps>
                        </a:ext>
                        <a:ext uri="{28A0092B-C50C-407E-A947-70E740481C1C}">
                          <a14:useLocalDpi xmlns:a14="http://schemas.microsoft.com/office/drawing/2010/main"/>
                        </a:ext>
                      </a:extLst>
                    </a:blip>
                    <a:srcRect/>
                    <a:stretch/>
                  </pic:blipFill>
                  <pic:spPr bwMode="auto">
                    <a:xfrm>
                      <a:off x="0" y="0"/>
                      <a:ext cx="1336731" cy="1911568"/>
                    </a:xfrm>
                    <a:prstGeom prst="rect">
                      <a:avLst/>
                    </a:prstGeom>
                    <a:noFill/>
                    <a:ln>
                      <a:noFill/>
                    </a:ln>
                    <a:extLst>
                      <a:ext uri="{53640926-AAD7-44D8-BBD7-CCE9431645EC}">
                        <a14:shadowObscured xmlns:a14="http://schemas.microsoft.com/office/drawing/2010/main"/>
                      </a:ext>
                    </a:extLst>
                  </pic:spPr>
                </pic:pic>
              </a:graphicData>
            </a:graphic>
          </wp:inline>
        </w:drawing>
      </w:r>
    </w:p>
    <w:p w14:paraId="725E70E7" w14:textId="77777777" w:rsidR="00537CC8" w:rsidRPr="0025250D" w:rsidRDefault="00537CC8" w:rsidP="00D53F87">
      <w:pPr>
        <w:jc w:val="center"/>
        <w:rPr>
          <w:rtl/>
        </w:rPr>
      </w:pPr>
      <w:r w:rsidRPr="0025250D">
        <w:rPr>
          <w:rtl/>
        </w:rPr>
        <w:t>هارد</w:t>
      </w:r>
      <w:r w:rsidRPr="0025250D">
        <w:rPr>
          <w:rFonts w:hint="cs"/>
          <w:rtl/>
        </w:rPr>
        <w:t>ی، 2015</w:t>
      </w:r>
    </w:p>
    <w:p w14:paraId="2C1E443B" w14:textId="1ACAA99E" w:rsidR="00537CC8" w:rsidRPr="0025250D" w:rsidRDefault="00537CC8" w:rsidP="00537CC8">
      <w:pPr>
        <w:rPr>
          <w:rtl/>
        </w:rPr>
      </w:pPr>
      <w:r w:rsidRPr="0025250D">
        <w:rPr>
          <w:rFonts w:hint="cs"/>
          <w:rtl/>
        </w:rPr>
        <w:t>کتاب ترن هوایی کارآفرین</w:t>
      </w:r>
      <w:r w:rsidRPr="0025250D">
        <w:rPr>
          <w:vertAlign w:val="superscript"/>
          <w:rtl/>
        </w:rPr>
        <w:footnoteReference w:id="2232"/>
      </w:r>
      <w:r w:rsidRPr="0025250D">
        <w:rPr>
          <w:rFonts w:hint="cs"/>
          <w:rtl/>
        </w:rPr>
        <w:t xml:space="preserve"> اثر </w:t>
      </w:r>
      <w:r w:rsidRPr="0025250D">
        <w:rPr>
          <w:rtl/>
        </w:rPr>
        <w:t>دارن هارد</w:t>
      </w:r>
      <w:r w:rsidRPr="0025250D">
        <w:rPr>
          <w:rFonts w:hint="cs"/>
          <w:rtl/>
        </w:rPr>
        <w:t>ی</w:t>
      </w:r>
      <w:r w:rsidRPr="0025250D">
        <w:rPr>
          <w:vertAlign w:val="superscript"/>
          <w:rtl/>
        </w:rPr>
        <w:footnoteReference w:id="2233"/>
      </w:r>
      <w:r w:rsidRPr="0025250D">
        <w:rPr>
          <w:rFonts w:hint="cs"/>
          <w:rtl/>
        </w:rPr>
        <w:t xml:space="preserve"> در سال 2015 سفری انگیزشی از عوامل هیجانی که راه کارآفرینی، ریسک پذیری و نوآوری را سد کرده یا به آن کمک می‌کنند و چگونگی مدیریت آن‌ها را به ما ارائه می‌دهد. بحث درمورد هوش هیجانی و مدل فرایند دوگانه در فصل 1 را به یاد آورید. ریسک کنندگان و نوآوران اغلب به صورت </w:t>
      </w:r>
      <w:r w:rsidR="00E402E3" w:rsidRPr="0025250D">
        <w:rPr>
          <w:rtl/>
        </w:rPr>
        <w:t>«</w:t>
      </w:r>
      <w:r w:rsidRPr="0025250D">
        <w:rPr>
          <w:rFonts w:hint="cs"/>
          <w:rtl/>
        </w:rPr>
        <w:t>پاسخ‌های خودکار</w:t>
      </w:r>
      <w:r w:rsidR="00E402E3" w:rsidRPr="0025250D">
        <w:rPr>
          <w:rtl/>
        </w:rPr>
        <w:t>»</w:t>
      </w:r>
      <w:r w:rsidRPr="0025250D">
        <w:rPr>
          <w:rFonts w:hint="cs"/>
          <w:rtl/>
        </w:rPr>
        <w:t xml:space="preserve"> و </w:t>
      </w:r>
      <w:r w:rsidR="00E402E3" w:rsidRPr="0025250D">
        <w:rPr>
          <w:rtl/>
        </w:rPr>
        <w:t>«</w:t>
      </w:r>
      <w:r w:rsidRPr="0025250D">
        <w:rPr>
          <w:rFonts w:hint="cs"/>
          <w:rtl/>
        </w:rPr>
        <w:t>با اولویت هیجانات</w:t>
      </w:r>
      <w:r w:rsidR="00E402E3" w:rsidRPr="0025250D">
        <w:rPr>
          <w:rtl/>
        </w:rPr>
        <w:t>»</w:t>
      </w:r>
      <w:r w:rsidRPr="0025250D">
        <w:rPr>
          <w:rFonts w:hint="cs"/>
          <w:rtl/>
        </w:rPr>
        <w:t xml:space="preserve"> فکر می‌کنند (</w:t>
      </w:r>
      <w:r w:rsidR="008D6F97" w:rsidRPr="0025250D">
        <w:rPr>
          <w:rFonts w:hint="cs"/>
          <w:rtl/>
        </w:rPr>
        <w:t>سامانه‌</w:t>
      </w:r>
      <w:r w:rsidRPr="0025250D">
        <w:rPr>
          <w:rFonts w:hint="cs"/>
          <w:rtl/>
        </w:rPr>
        <w:t xml:space="preserve"> 1 به بیان </w:t>
      </w:r>
      <w:r w:rsidRPr="0025250D">
        <w:rPr>
          <w:rtl/>
        </w:rPr>
        <w:t>دان کانمن</w:t>
      </w:r>
      <w:r w:rsidRPr="0025250D">
        <w:rPr>
          <w:rFonts w:hint="cs"/>
          <w:rtl/>
        </w:rPr>
        <w:t xml:space="preserve">). برای آموزش مجدد </w:t>
      </w:r>
      <w:r w:rsidR="008D6F97" w:rsidRPr="0025250D">
        <w:rPr>
          <w:rFonts w:hint="cs"/>
          <w:rtl/>
        </w:rPr>
        <w:t>سامانه‌</w:t>
      </w:r>
      <w:r w:rsidRPr="0025250D">
        <w:rPr>
          <w:rFonts w:hint="cs"/>
          <w:rtl/>
        </w:rPr>
        <w:t xml:space="preserve">‌های هیجانی-شناختی مان برای راحت‌تر بودن در ریسک پذیری و نوآوری، </w:t>
      </w:r>
      <w:r w:rsidRPr="0025250D">
        <w:rPr>
          <w:rtl/>
        </w:rPr>
        <w:t>هارد</w:t>
      </w:r>
      <w:r w:rsidRPr="0025250D">
        <w:rPr>
          <w:rFonts w:hint="cs"/>
          <w:rtl/>
        </w:rPr>
        <w:t xml:space="preserve">ی خواندن یک کتاب خوب درمورد هر یک از این موضوعات (کارآفرینی، ریسک پذیری و نوآوری) را برای دفعات متعدد تا زمانی که درس‌های آن درونی سازی شده و هم به صورت آگاهانه و هم به صورت ناخود آگاه در اطرافمان شناسایی شوند، توصیه می‌کند. برای راهنمایی و هدایت تیم‌ها در شرایط واهمه آور، او همچنین بیان می‌کند که به دنبال خود کشیدن آن‌ها و به چالش کشیدنشان برای الگو گرفتن از رهبران خود، نسبت به هل دادن آن‌ها (هدایت آن ها) </w:t>
      </w:r>
      <w:r w:rsidRPr="0025250D">
        <w:rPr>
          <w:rFonts w:cs="Times New Roman" w:hint="cs"/>
          <w:rtl/>
        </w:rPr>
        <w:t>–</w:t>
      </w:r>
      <w:r w:rsidRPr="0025250D">
        <w:rPr>
          <w:rFonts w:hint="cs"/>
          <w:rtl/>
        </w:rPr>
        <w:t xml:space="preserve"> که </w:t>
      </w:r>
      <w:r w:rsidR="00A936B3" w:rsidRPr="0025250D">
        <w:rPr>
          <w:rFonts w:hint="cs"/>
          <w:rtl/>
        </w:rPr>
        <w:t>همدلی</w:t>
      </w:r>
      <w:r w:rsidRPr="0025250D">
        <w:rPr>
          <w:rFonts w:hint="cs"/>
          <w:rtl/>
        </w:rPr>
        <w:t xml:space="preserve"> بسیار</w:t>
      </w:r>
      <w:r w:rsidR="00BB406C" w:rsidRPr="0025250D">
        <w:rPr>
          <w:rFonts w:hint="cs"/>
          <w:rtl/>
        </w:rPr>
        <w:t xml:space="preserve"> کم‌تر</w:t>
      </w:r>
      <w:r w:rsidRPr="0025250D">
        <w:rPr>
          <w:rFonts w:hint="cs"/>
          <w:rtl/>
        </w:rPr>
        <w:t xml:space="preserve">ی نشان می‌دهد و یک رویکرد </w:t>
      </w:r>
      <w:r w:rsidR="00E402E3" w:rsidRPr="0025250D">
        <w:rPr>
          <w:rtl/>
        </w:rPr>
        <w:t>«</w:t>
      </w:r>
      <w:r w:rsidRPr="0025250D">
        <w:rPr>
          <w:rFonts w:hint="cs"/>
          <w:rtl/>
        </w:rPr>
        <w:t>هر کاری می‌گویم انجام بده، نه کاری که خودم انجام می‌دهم</w:t>
      </w:r>
      <w:r w:rsidR="00E402E3" w:rsidRPr="0025250D">
        <w:rPr>
          <w:rtl/>
        </w:rPr>
        <w:t>»</w:t>
      </w:r>
      <w:r w:rsidRPr="0025250D">
        <w:rPr>
          <w:rFonts w:hint="cs"/>
          <w:rtl/>
        </w:rPr>
        <w:t xml:space="preserve"> را به کار می‌گیرد </w:t>
      </w:r>
      <w:r w:rsidRPr="0025250D">
        <w:rPr>
          <w:rFonts w:cs="Times New Roman" w:hint="cs"/>
          <w:rtl/>
        </w:rPr>
        <w:t>–</w:t>
      </w:r>
      <w:r w:rsidRPr="0025250D">
        <w:rPr>
          <w:rFonts w:hint="cs"/>
          <w:rtl/>
        </w:rPr>
        <w:t xml:space="preserve"> بسیار بهتر است. نوآوران خوب مسئولیت فردی برای هدایت دیگران</w:t>
      </w:r>
      <w:r w:rsidR="00D9795D" w:rsidRPr="0025250D">
        <w:rPr>
          <w:rFonts w:hint="cs"/>
          <w:rtl/>
        </w:rPr>
        <w:t xml:space="preserve"> را</w:t>
      </w:r>
      <w:r w:rsidRPr="0025250D">
        <w:rPr>
          <w:rFonts w:hint="cs"/>
          <w:rtl/>
        </w:rPr>
        <w:t xml:space="preserve"> از طریق الگو بودن خود می‌پذیرند.</w:t>
      </w:r>
    </w:p>
    <w:p w14:paraId="202C5E15" w14:textId="64625041" w:rsidR="00537CC8" w:rsidRPr="0025250D" w:rsidRDefault="00537CC8" w:rsidP="00537CC8">
      <w:pPr>
        <w:rPr>
          <w:rtl/>
        </w:rPr>
      </w:pPr>
      <w:r w:rsidRPr="0025250D">
        <w:rPr>
          <w:rFonts w:hint="cs"/>
          <w:rtl/>
        </w:rPr>
        <w:t xml:space="preserve">نوآوری </w:t>
      </w:r>
      <w:r w:rsidR="0008779C" w:rsidRPr="0025250D">
        <w:rPr>
          <w:rFonts w:hint="cs"/>
          <w:rtl/>
        </w:rPr>
        <w:t>موفقیت‌آمیز</w:t>
      </w:r>
      <w:r w:rsidRPr="0025250D">
        <w:rPr>
          <w:rFonts w:hint="cs"/>
          <w:rtl/>
        </w:rPr>
        <w:t xml:space="preserve"> هنوز </w:t>
      </w:r>
      <w:r w:rsidR="008F0DD8" w:rsidRPr="0025250D">
        <w:rPr>
          <w:rFonts w:hint="cs"/>
          <w:rtl/>
        </w:rPr>
        <w:t>آن‌قدر</w:t>
      </w:r>
      <w:r w:rsidRPr="0025250D">
        <w:rPr>
          <w:rFonts w:hint="cs"/>
          <w:rtl/>
        </w:rPr>
        <w:t xml:space="preserve"> مهارت نادری است که یک گزارش از نوآوری‌های کارآفرینانه گذشته تکانه قابل توجهی با خود به همراه دارد. ملت نوآوری</w:t>
      </w:r>
      <w:r w:rsidRPr="0025250D">
        <w:rPr>
          <w:vertAlign w:val="superscript"/>
          <w:rtl/>
        </w:rPr>
        <w:footnoteReference w:id="2234"/>
      </w:r>
      <w:r w:rsidRPr="0025250D">
        <w:rPr>
          <w:rFonts w:hint="cs"/>
          <w:rtl/>
        </w:rPr>
        <w:t xml:space="preserve"> اثر </w:t>
      </w:r>
      <w:r w:rsidRPr="0025250D">
        <w:rPr>
          <w:rtl/>
        </w:rPr>
        <w:t>جان کائو</w:t>
      </w:r>
      <w:r w:rsidRPr="0025250D">
        <w:rPr>
          <w:vertAlign w:val="superscript"/>
          <w:rtl/>
        </w:rPr>
        <w:footnoteReference w:id="2235"/>
      </w:r>
      <w:r w:rsidRPr="0025250D">
        <w:rPr>
          <w:rFonts w:hint="cs"/>
          <w:rtl/>
        </w:rPr>
        <w:t xml:space="preserve"> در سال 2007 بیان می‌کند که این یکی از عللی است که جامعه </w:t>
      </w:r>
      <w:r w:rsidR="00F50EB4" w:rsidRPr="0025250D">
        <w:rPr>
          <w:rFonts w:hint="cs"/>
          <w:rtl/>
        </w:rPr>
        <w:t>سرمایه‌گذاری</w:t>
      </w:r>
      <w:r w:rsidRPr="0025250D">
        <w:rPr>
          <w:rFonts w:hint="cs"/>
          <w:rtl/>
        </w:rPr>
        <w:t xml:space="preserve"> بین المللی ما چنین ایمانی به ظرفیت‌های نوآوری آمریکا دارد، حتی با این که در سال‌های اخیر دچار لغزش شده ایم. بقای کامپیوتر اپل در طول دهه بحران خلاقیت آن، از میانه دهه 1980 تا میانه دهه 1990 نیز می‌تواند تا حدی، با این که وفاداری مشتریان به شرکت‌های نوآور تا چه حد عمیق می‌تواند باشد، توضیح داده شود.</w:t>
      </w:r>
    </w:p>
    <w:p w14:paraId="61220C84" w14:textId="1DBF6615" w:rsidR="00537CC8" w:rsidRPr="0025250D" w:rsidRDefault="00537CC8" w:rsidP="00537CC8">
      <w:pPr>
        <w:rPr>
          <w:rtl/>
        </w:rPr>
      </w:pPr>
      <w:r w:rsidRPr="0025250D">
        <w:rPr>
          <w:rFonts w:hint="cs"/>
          <w:rtl/>
        </w:rPr>
        <w:t xml:space="preserve">با یادآوری </w:t>
      </w:r>
      <w:r w:rsidR="00701E03" w:rsidRPr="0025250D">
        <w:rPr>
          <w:rFonts w:hint="cs"/>
          <w:rtl/>
        </w:rPr>
        <w:t>راهبرد</w:t>
      </w:r>
      <w:r w:rsidRPr="0025250D">
        <w:rPr>
          <w:rFonts w:hint="cs"/>
          <w:rtl/>
        </w:rPr>
        <w:t xml:space="preserve"> نظامی </w:t>
      </w:r>
      <w:r w:rsidRPr="0025250D">
        <w:rPr>
          <w:rtl/>
        </w:rPr>
        <w:t>جان بو</w:t>
      </w:r>
      <w:r w:rsidRPr="0025250D">
        <w:rPr>
          <w:rFonts w:hint="cs"/>
          <w:rtl/>
        </w:rPr>
        <w:t>ی</w:t>
      </w:r>
      <w:r w:rsidRPr="0025250D">
        <w:rPr>
          <w:rFonts w:hint="eastAsia"/>
          <w:rtl/>
        </w:rPr>
        <w:t>د</w:t>
      </w:r>
      <w:r w:rsidRPr="0025250D">
        <w:rPr>
          <w:rFonts w:hint="cs"/>
          <w:rtl/>
        </w:rPr>
        <w:t xml:space="preserve">، سریع‌ترین و پر بازده‌ترین روش نوآوری از منابع، تولید ایده است. تولید ایده غالبا تفکر با سبک </w:t>
      </w:r>
      <w:r w:rsidR="00E402E3" w:rsidRPr="0025250D">
        <w:rPr>
          <w:rtl/>
        </w:rPr>
        <w:t>«</w:t>
      </w:r>
      <w:r w:rsidR="00FB6A7E" w:rsidRPr="0025250D">
        <w:rPr>
          <w:rFonts w:hint="cs"/>
          <w:rtl/>
        </w:rPr>
        <w:t>اگر-آنگاه</w:t>
      </w:r>
      <w:r w:rsidR="00E402E3" w:rsidRPr="0025250D">
        <w:rPr>
          <w:rtl/>
        </w:rPr>
        <w:t>»</w:t>
      </w:r>
      <w:r w:rsidRPr="0025250D">
        <w:rPr>
          <w:rFonts w:hint="cs"/>
          <w:rtl/>
        </w:rPr>
        <w:t xml:space="preserve"> به صورت واگرا است. هر متخصص </w:t>
      </w:r>
      <w:r w:rsidRPr="0025250D">
        <w:rPr>
          <w:rtl/>
        </w:rPr>
        <w:t>آینده‌نگاری</w:t>
      </w:r>
      <w:r w:rsidRPr="0025250D">
        <w:rPr>
          <w:rFonts w:hint="cs"/>
          <w:rtl/>
        </w:rPr>
        <w:t xml:space="preserve"> که تلاش می‌کند تا یک یا گستره‌ای از آینده‌های ممکن را تصور کند، به شکلی که به هر میزانی از موفقیت در بازار مثلا پذیرش یک ایده توسط مشتریان به عنوان یک ایده </w:t>
      </w:r>
      <w:r w:rsidR="00923DDB" w:rsidRPr="0025250D">
        <w:rPr>
          <w:rFonts w:hint="cs"/>
          <w:rtl/>
        </w:rPr>
        <w:t>باورپذیر</w:t>
      </w:r>
      <w:r w:rsidRPr="0025250D">
        <w:rPr>
          <w:rFonts w:hint="cs"/>
          <w:rtl/>
        </w:rPr>
        <w:t xml:space="preserve"> برسد، از این کارکرد استفاده می‌کند</w:t>
      </w:r>
      <w:r w:rsidR="008D6F97" w:rsidRPr="0025250D">
        <w:rPr>
          <w:rtl/>
        </w:rPr>
        <w:t xml:space="preserve">؛ </w:t>
      </w:r>
      <w:r w:rsidR="0020589F" w:rsidRPr="0025250D">
        <w:rPr>
          <w:rtl/>
        </w:rPr>
        <w:t>اما</w:t>
      </w:r>
      <w:r w:rsidRPr="0025250D">
        <w:rPr>
          <w:rFonts w:hint="cs"/>
          <w:rtl/>
        </w:rPr>
        <w:t xml:space="preserve"> ارزش ایده پردازی خلاقانه می‌تواند در صورتی که بر اساس یادگیری خوب، در معرض انتخاب همگرای دقیق (پیش‌انگاری) و اصلاح شده با بازخورد و بازبینی انتقادی نباشد، اندک باشد.</w:t>
      </w:r>
    </w:p>
    <w:p w14:paraId="72470954" w14:textId="0FDCAE9E" w:rsidR="00537CC8" w:rsidRPr="0025250D" w:rsidRDefault="00537CC8" w:rsidP="00537CC8">
      <w:pPr>
        <w:rPr>
          <w:rtl/>
        </w:rPr>
      </w:pPr>
      <w:r w:rsidRPr="0025250D">
        <w:rPr>
          <w:rFonts w:hint="cs"/>
          <w:rtl/>
        </w:rPr>
        <w:t xml:space="preserve">تسهیل و بازی سازی تخصص‌های </w:t>
      </w:r>
      <w:r w:rsidRPr="0025250D">
        <w:rPr>
          <w:rtl/>
        </w:rPr>
        <w:t>آینده‌نگاری</w:t>
      </w:r>
      <w:r w:rsidRPr="0025250D">
        <w:rPr>
          <w:rFonts w:hint="cs"/>
          <w:rtl/>
        </w:rPr>
        <w:t xml:space="preserve"> کلیدی دیگر هستند. تسهیلگران می‌توانند به عنوان یک تسریع کننده که به افراد برای همکاری و مشارکت در هوش جمعی (یادگیری)، پیش‌انگاری، نوآوری و رسیدن به </w:t>
      </w:r>
      <w:r w:rsidR="00701E03" w:rsidRPr="0025250D">
        <w:rPr>
          <w:rFonts w:hint="cs"/>
          <w:rtl/>
        </w:rPr>
        <w:t>راهبرد</w:t>
      </w:r>
      <w:r w:rsidRPr="0025250D">
        <w:rPr>
          <w:rFonts w:hint="cs"/>
          <w:rtl/>
        </w:rPr>
        <w:t xml:space="preserve"> مورد توافق جمعی کمک می‌کنند، در نظر گرفته شوند. همه برترین رهبران </w:t>
      </w:r>
      <w:r w:rsidRPr="0025250D">
        <w:rPr>
          <w:rtl/>
        </w:rPr>
        <w:t>آینده‌نگاری</w:t>
      </w:r>
      <w:r w:rsidRPr="0025250D">
        <w:rPr>
          <w:rFonts w:hint="cs"/>
          <w:rtl/>
        </w:rPr>
        <w:t>، تجربه زیادی در تسهیل دارند که هر چیزی از طراحی جلسات ملاقات خوب گرفته تا مدیریت تعارض تا میانجی گری را شامل می‌شود.</w:t>
      </w:r>
      <w:r w:rsidR="008D6F97" w:rsidRPr="0025250D">
        <w:rPr>
          <w:rtl/>
        </w:rPr>
        <w:t xml:space="preserve"> </w:t>
      </w:r>
      <w:r w:rsidRPr="0025250D">
        <w:rPr>
          <w:rFonts w:hint="cs"/>
          <w:rtl/>
        </w:rPr>
        <w:t>ا</w:t>
      </w:r>
      <w:r w:rsidR="00D9795D" w:rsidRPr="0025250D">
        <w:rPr>
          <w:rFonts w:hint="cs"/>
          <w:rtl/>
        </w:rPr>
        <w:t>ن</w:t>
      </w:r>
      <w:r w:rsidRPr="0025250D">
        <w:rPr>
          <w:rFonts w:hint="cs"/>
          <w:rtl/>
        </w:rPr>
        <w:t>جمن بین المللی تسهیلگران</w:t>
      </w:r>
      <w:r w:rsidRPr="0025250D">
        <w:rPr>
          <w:vertAlign w:val="superscript"/>
          <w:rtl/>
        </w:rPr>
        <w:footnoteReference w:id="2236"/>
      </w:r>
      <w:r w:rsidRPr="0025250D">
        <w:rPr>
          <w:rFonts w:hint="cs"/>
          <w:rtl/>
        </w:rPr>
        <w:t xml:space="preserve"> (</w:t>
      </w:r>
      <w:r w:rsidRPr="0025250D">
        <w:t>IAF</w:t>
      </w:r>
      <w:r w:rsidRPr="0025250D">
        <w:rPr>
          <w:rFonts w:hint="cs"/>
          <w:rtl/>
        </w:rPr>
        <w:t xml:space="preserve">) یک جامعه تخصص عالی است و گواهینامه‌ها و برنامه‌های آموزشی </w:t>
      </w:r>
      <w:r w:rsidRPr="0025250D">
        <w:rPr>
          <w:rFonts w:cs="Times New Roman" w:hint="cs"/>
          <w:rtl/>
        </w:rPr>
        <w:t>–</w:t>
      </w:r>
      <w:r w:rsidRPr="0025250D">
        <w:rPr>
          <w:rFonts w:hint="cs"/>
          <w:rtl/>
        </w:rPr>
        <w:t xml:space="preserve"> و یک کنفرانس بسیار خوب </w:t>
      </w:r>
      <w:r w:rsidRPr="0025250D">
        <w:rPr>
          <w:rFonts w:cs="Times New Roman" w:hint="cs"/>
          <w:rtl/>
        </w:rPr>
        <w:t>–</w:t>
      </w:r>
      <w:r w:rsidRPr="0025250D">
        <w:rPr>
          <w:rFonts w:hint="cs"/>
          <w:rtl/>
        </w:rPr>
        <w:t xml:space="preserve"> را ارائه می‌دهد.</w:t>
      </w:r>
    </w:p>
    <w:p w14:paraId="2A3DD281" w14:textId="27ED3240" w:rsidR="00537CC8" w:rsidRPr="0025250D" w:rsidRDefault="00537CC8" w:rsidP="00537CC8">
      <w:pPr>
        <w:rPr>
          <w:rtl/>
        </w:rPr>
      </w:pPr>
      <w:r w:rsidRPr="0025250D">
        <w:rPr>
          <w:rFonts w:hint="cs"/>
          <w:rtl/>
        </w:rPr>
        <w:t xml:space="preserve">بازی سازی در کار </w:t>
      </w:r>
      <w:r w:rsidRPr="0025250D">
        <w:rPr>
          <w:rtl/>
        </w:rPr>
        <w:t>آینده‌نگاری</w:t>
      </w:r>
      <w:r w:rsidRPr="0025250D">
        <w:rPr>
          <w:rFonts w:hint="cs"/>
          <w:rtl/>
        </w:rPr>
        <w:t xml:space="preserve"> از زمان پدیداری آن در اولین بازی‌های جنگی در قرن نوزدهم و بعدا در بازی‌های </w:t>
      </w:r>
      <w:r w:rsidR="00701E03" w:rsidRPr="0025250D">
        <w:rPr>
          <w:rFonts w:hint="cs"/>
          <w:rtl/>
        </w:rPr>
        <w:t>راهبرد</w:t>
      </w:r>
      <w:r w:rsidRPr="0025250D">
        <w:rPr>
          <w:rFonts w:hint="cs"/>
          <w:rtl/>
        </w:rPr>
        <w:t xml:space="preserve"> </w:t>
      </w:r>
      <w:r w:rsidR="00B124DE" w:rsidRPr="0025250D">
        <w:rPr>
          <w:rFonts w:hint="cs"/>
          <w:rtl/>
        </w:rPr>
        <w:t>کسب‌و‌کار</w:t>
      </w:r>
      <w:r w:rsidRPr="0025250D">
        <w:rPr>
          <w:rFonts w:hint="cs"/>
          <w:rtl/>
        </w:rPr>
        <w:t xml:space="preserve"> در قرن بیستم استفاده شده است. نظریه جنگ سرد تخریب حتمی دو طرفه</w:t>
      </w:r>
      <w:r w:rsidRPr="0025250D">
        <w:rPr>
          <w:vertAlign w:val="superscript"/>
          <w:rtl/>
        </w:rPr>
        <w:footnoteReference w:id="2237"/>
      </w:r>
      <w:r w:rsidRPr="0025250D">
        <w:rPr>
          <w:rFonts w:hint="cs"/>
          <w:rtl/>
        </w:rPr>
        <w:t xml:space="preserve"> (</w:t>
      </w:r>
      <w:r w:rsidRPr="0025250D">
        <w:t>MAD</w:t>
      </w:r>
      <w:r w:rsidRPr="0025250D">
        <w:rPr>
          <w:rFonts w:hint="cs"/>
          <w:rtl/>
        </w:rPr>
        <w:t xml:space="preserve">) مستقیما از بازی‌های شبیه سازی دفاعی و سیاسی در </w:t>
      </w:r>
      <w:r w:rsidRPr="0025250D">
        <w:t>RAND</w:t>
      </w:r>
      <w:r w:rsidRPr="0025250D">
        <w:rPr>
          <w:rFonts w:hint="cs"/>
          <w:rtl/>
        </w:rPr>
        <w:t xml:space="preserve"> پدیدار شد که خود</w:t>
      </w:r>
      <w:r w:rsidR="008D6F97" w:rsidRPr="0025250D">
        <w:rPr>
          <w:rtl/>
        </w:rPr>
        <w:t xml:space="preserve"> </w:t>
      </w:r>
      <w:r w:rsidRPr="0025250D">
        <w:rPr>
          <w:rFonts w:hint="cs"/>
          <w:rtl/>
        </w:rPr>
        <w:t xml:space="preserve">تا حدی بر اساس ریاضیات نظریه بازی بود. </w:t>
      </w:r>
      <w:r w:rsidRPr="0025250D">
        <w:rPr>
          <w:rtl/>
        </w:rPr>
        <w:t>آینده‌نگار</w:t>
      </w:r>
      <w:r w:rsidRPr="0025250D">
        <w:rPr>
          <w:rFonts w:hint="cs"/>
          <w:rtl/>
        </w:rPr>
        <w:t xml:space="preserve"> قرن بیستمی برجسته </w:t>
      </w:r>
      <w:r w:rsidRPr="0025250D">
        <w:rPr>
          <w:rtl/>
        </w:rPr>
        <w:t>هرمان کان</w:t>
      </w:r>
      <w:r w:rsidRPr="0025250D">
        <w:rPr>
          <w:rFonts w:hint="cs"/>
          <w:rtl/>
        </w:rPr>
        <w:t xml:space="preserve"> </w:t>
      </w:r>
      <w:r w:rsidRPr="0025250D">
        <w:rPr>
          <w:rFonts w:cs="Times New Roman" w:hint="cs"/>
          <w:rtl/>
        </w:rPr>
        <w:t>–</w:t>
      </w:r>
      <w:r w:rsidRPr="0025250D">
        <w:rPr>
          <w:rFonts w:hint="cs"/>
          <w:rtl/>
        </w:rPr>
        <w:t xml:space="preserve"> که ابتدا در </w:t>
      </w:r>
      <w:r w:rsidRPr="0025250D">
        <w:t>RAND</w:t>
      </w:r>
      <w:r w:rsidRPr="0025250D">
        <w:rPr>
          <w:rFonts w:hint="cs"/>
          <w:rtl/>
        </w:rPr>
        <w:t xml:space="preserve"> و سپس در مؤسسه </w:t>
      </w:r>
      <w:r w:rsidRPr="0025250D">
        <w:rPr>
          <w:rtl/>
        </w:rPr>
        <w:t>هادسون</w:t>
      </w:r>
      <w:r w:rsidRPr="0025250D">
        <w:rPr>
          <w:vertAlign w:val="superscript"/>
          <w:rtl/>
        </w:rPr>
        <w:footnoteReference w:id="2238"/>
      </w:r>
      <w:r w:rsidRPr="0025250D">
        <w:rPr>
          <w:rFonts w:hint="cs"/>
          <w:rtl/>
        </w:rPr>
        <w:t xml:space="preserve"> کار می‌کرد </w:t>
      </w:r>
      <w:r w:rsidRPr="0025250D">
        <w:rPr>
          <w:rFonts w:cs="Times New Roman" w:hint="cs"/>
          <w:rtl/>
        </w:rPr>
        <w:t>–</w:t>
      </w:r>
      <w:r w:rsidRPr="0025250D">
        <w:rPr>
          <w:rFonts w:hint="cs"/>
          <w:rtl/>
        </w:rPr>
        <w:t xml:space="preserve"> شاید شناخته شده‌ترین نفر برای این نوع کار بازی سازی مبتنی بر ریاضیات و مهندسی باشد.</w:t>
      </w:r>
    </w:p>
    <w:p w14:paraId="20C1636D" w14:textId="292FA8ED" w:rsidR="00537CC8" w:rsidRPr="0025250D" w:rsidRDefault="00537CC8" w:rsidP="00537CC8">
      <w:pPr>
        <w:rPr>
          <w:rtl/>
        </w:rPr>
      </w:pPr>
      <w:r w:rsidRPr="0025250D">
        <w:rPr>
          <w:rFonts w:hint="cs"/>
          <w:rtl/>
        </w:rPr>
        <w:t xml:space="preserve">در واقعیت، نظریه فیزیکی و اطلاعاتی </w:t>
      </w:r>
      <w:r w:rsidR="00D92F6E" w:rsidRPr="0025250D">
        <w:rPr>
          <w:rFonts w:hint="cs"/>
          <w:rtl/>
        </w:rPr>
        <w:t>پیش‌بین</w:t>
      </w:r>
      <w:r w:rsidRPr="0025250D">
        <w:rPr>
          <w:rFonts w:hint="cs"/>
          <w:rtl/>
        </w:rPr>
        <w:t xml:space="preserve"> ما و ریاضیات و مهندسی آن، هنوز تنها کاربرد بسیار محدودی نسبت به پیچیدگی جهانی که مدلسازی می‌کنیم، دارند. این یعنی کاربرد عملی بازی‌ها </w:t>
      </w:r>
      <w:r w:rsidRPr="0025250D">
        <w:rPr>
          <w:rFonts w:cs="Times New Roman" w:hint="cs"/>
          <w:rtl/>
        </w:rPr>
        <w:t>–</w:t>
      </w:r>
      <w:r w:rsidRPr="0025250D">
        <w:rPr>
          <w:rFonts w:hint="cs"/>
          <w:rtl/>
        </w:rPr>
        <w:t xml:space="preserve"> برای آزمایش با آن‌ها و دیدن آنچه به ما نشان می‌دهند </w:t>
      </w:r>
      <w:r w:rsidRPr="0025250D">
        <w:rPr>
          <w:rFonts w:cs="Times New Roman" w:hint="cs"/>
          <w:rtl/>
        </w:rPr>
        <w:t>–</w:t>
      </w:r>
      <w:r w:rsidRPr="0025250D">
        <w:rPr>
          <w:rFonts w:hint="cs"/>
          <w:rtl/>
        </w:rPr>
        <w:t xml:space="preserve"> و ایجاد قواعد بازی و محیط‌های بازی سازی متنوع و احتمالا مرتبط، اغلب یک راه بسیار مفید‌تر برای پیش‌انگاری و نوآوری آینده‌های مهم است. فعالان می‌توانند از این تجارب بازی سازی به عنوان درونداد‌هایی برای </w:t>
      </w:r>
      <w:r w:rsidR="00701E03" w:rsidRPr="0025250D">
        <w:rPr>
          <w:rFonts w:hint="cs"/>
          <w:rtl/>
        </w:rPr>
        <w:t>راهبرد</w:t>
      </w:r>
      <w:r w:rsidRPr="0025250D">
        <w:rPr>
          <w:rFonts w:hint="cs"/>
          <w:rtl/>
        </w:rPr>
        <w:t xml:space="preserve"> استفاده کنند. کتاب بازی سازی جنگی برای رهبران</w:t>
      </w:r>
      <w:r w:rsidRPr="0025250D">
        <w:rPr>
          <w:vertAlign w:val="superscript"/>
          <w:rtl/>
        </w:rPr>
        <w:footnoteReference w:id="2239"/>
      </w:r>
      <w:r w:rsidRPr="0025250D">
        <w:rPr>
          <w:rFonts w:hint="cs"/>
          <w:rtl/>
        </w:rPr>
        <w:t xml:space="preserve"> اثر </w:t>
      </w:r>
      <w:r w:rsidRPr="0025250D">
        <w:rPr>
          <w:rtl/>
        </w:rPr>
        <w:t>هرمان و فراست</w:t>
      </w:r>
      <w:r w:rsidRPr="0025250D">
        <w:rPr>
          <w:rFonts w:hint="cs"/>
          <w:rtl/>
        </w:rPr>
        <w:t xml:space="preserve"> در سال 2008 پیشنهادهای خوبی از دو مشاور در </w:t>
      </w:r>
      <w:r w:rsidRPr="0025250D">
        <w:rPr>
          <w:rtl/>
        </w:rPr>
        <w:t>بوز آلن</w:t>
      </w:r>
      <w:r w:rsidRPr="0025250D">
        <w:rPr>
          <w:vertAlign w:val="superscript"/>
          <w:rtl/>
        </w:rPr>
        <w:footnoteReference w:id="2240"/>
      </w:r>
      <w:r w:rsidRPr="0025250D">
        <w:rPr>
          <w:rFonts w:hint="cs"/>
          <w:rtl/>
        </w:rPr>
        <w:t xml:space="preserve"> با تجربه گسترده در بازی سازی، درمورد چگونگی انجام و اجرای بازی‌های شبیه سازی مفید، در طول یک بعد از ظهر یا یک آخر هفته، در جلسات </w:t>
      </w:r>
      <w:r w:rsidR="00701E03" w:rsidRPr="0025250D">
        <w:rPr>
          <w:rFonts w:hint="cs"/>
          <w:rtl/>
        </w:rPr>
        <w:t>راهبرد</w:t>
      </w:r>
      <w:r w:rsidRPr="0025250D">
        <w:rPr>
          <w:rFonts w:hint="cs"/>
          <w:rtl/>
        </w:rPr>
        <w:t xml:space="preserve"> یا فعالیت‌های </w:t>
      </w:r>
      <w:r w:rsidRPr="0025250D">
        <w:rPr>
          <w:rtl/>
        </w:rPr>
        <w:t>آینده‌نگاری</w:t>
      </w:r>
      <w:r w:rsidRPr="0025250D">
        <w:rPr>
          <w:rFonts w:hint="cs"/>
          <w:rtl/>
        </w:rPr>
        <w:t xml:space="preserve"> نظامی ارائه می‌دهد. در بیش‌تر کاربرد‌های سازمانی، کامپیوترهای تجملی مورد نیاز نیستند. کتاب طوفان بازی</w:t>
      </w:r>
      <w:r w:rsidRPr="0025250D">
        <w:rPr>
          <w:vertAlign w:val="superscript"/>
          <w:rtl/>
        </w:rPr>
        <w:footnoteReference w:id="2241"/>
      </w:r>
      <w:r w:rsidRPr="0025250D">
        <w:rPr>
          <w:rFonts w:hint="cs"/>
          <w:rtl/>
        </w:rPr>
        <w:t xml:space="preserve"> اثر گری</w:t>
      </w:r>
      <w:r w:rsidRPr="0025250D">
        <w:rPr>
          <w:vertAlign w:val="superscript"/>
          <w:rtl/>
        </w:rPr>
        <w:footnoteReference w:id="2242"/>
      </w:r>
      <w:r w:rsidRPr="0025250D">
        <w:rPr>
          <w:rFonts w:hint="cs"/>
          <w:rtl/>
        </w:rPr>
        <w:t xml:space="preserve"> و براون در سال 2010 شامل بیش از 80 بازی می‌شود که تیم‌ها می‌توانند برای تولید ایده، از بین بردن موانع، گفتمان بهتر و خلق مشترک </w:t>
      </w:r>
      <w:r w:rsidR="00701E03" w:rsidRPr="0025250D">
        <w:rPr>
          <w:rFonts w:hint="cs"/>
          <w:rtl/>
        </w:rPr>
        <w:t>راهبرد</w:t>
      </w:r>
      <w:r w:rsidRPr="0025250D">
        <w:rPr>
          <w:rFonts w:hint="cs"/>
          <w:rtl/>
        </w:rPr>
        <w:t xml:space="preserve"> بهتر از </w:t>
      </w:r>
      <w:r w:rsidR="00D9795D" w:rsidRPr="0025250D">
        <w:rPr>
          <w:rFonts w:hint="cs"/>
          <w:rtl/>
        </w:rPr>
        <w:t>آ</w:t>
      </w:r>
      <w:r w:rsidRPr="0025250D">
        <w:rPr>
          <w:rFonts w:hint="cs"/>
          <w:rtl/>
        </w:rPr>
        <w:t xml:space="preserve">ن‌ها استفاده کنند. برای کسانی که می‌خواهند از کامپیوتر‌ها در </w:t>
      </w:r>
      <w:r w:rsidRPr="0025250D">
        <w:rPr>
          <w:rtl/>
        </w:rPr>
        <w:t>آینده‌نگاری</w:t>
      </w:r>
      <w:r w:rsidRPr="0025250D">
        <w:rPr>
          <w:rFonts w:hint="cs"/>
          <w:rtl/>
        </w:rPr>
        <w:t xml:space="preserve"> بازی سازی خود استفاده کنند، انجمن شبیه سازی و بازی سازی آمریکای شمالی</w:t>
      </w:r>
      <w:r w:rsidRPr="0025250D">
        <w:rPr>
          <w:vertAlign w:val="superscript"/>
          <w:rtl/>
        </w:rPr>
        <w:footnoteReference w:id="2243"/>
      </w:r>
      <w:r w:rsidRPr="0025250D">
        <w:rPr>
          <w:rFonts w:hint="cs"/>
          <w:rtl/>
        </w:rPr>
        <w:t xml:space="preserve"> </w:t>
      </w:r>
      <w:r w:rsidRPr="0025250D">
        <w:rPr>
          <w:rtl/>
        </w:rPr>
        <w:t>(</w:t>
      </w:r>
      <w:r w:rsidRPr="0025250D">
        <w:t>NASAGA</w:t>
      </w:r>
      <w:r w:rsidRPr="0025250D">
        <w:rPr>
          <w:rtl/>
        </w:rPr>
        <w:t>)</w:t>
      </w:r>
      <w:r w:rsidRPr="0025250D">
        <w:rPr>
          <w:rFonts w:hint="cs"/>
          <w:rtl/>
        </w:rPr>
        <w:t xml:space="preserve"> یک جامعه فعال خوب برای یادگیری و شبیه سازی مبتنی بر کامپیوتر و غیر دیجیتال است. با تداوم شتاب</w:t>
      </w:r>
      <w:r w:rsidR="00D9795D" w:rsidRPr="0025250D">
        <w:rPr>
          <w:rFonts w:hint="cs"/>
          <w:rtl/>
        </w:rPr>
        <w:t>‌</w:t>
      </w:r>
      <w:r w:rsidRPr="0025250D">
        <w:rPr>
          <w:rFonts w:hint="cs"/>
          <w:rtl/>
        </w:rPr>
        <w:t>گ</w:t>
      </w:r>
      <w:r w:rsidR="00D9795D" w:rsidRPr="0025250D">
        <w:rPr>
          <w:rFonts w:hint="cs"/>
          <w:rtl/>
        </w:rPr>
        <w:t>ی</w:t>
      </w:r>
      <w:r w:rsidRPr="0025250D">
        <w:rPr>
          <w:rFonts w:hint="cs"/>
          <w:rtl/>
        </w:rPr>
        <w:t xml:space="preserve">ری قدرت کامپیوترها، کلان داده‌ها، ارتباطات، </w:t>
      </w:r>
      <w:r w:rsidRPr="0025250D">
        <w:t>VR/AR</w:t>
      </w:r>
      <w:r w:rsidRPr="0025250D">
        <w:rPr>
          <w:rFonts w:hint="cs"/>
          <w:rtl/>
        </w:rPr>
        <w:t xml:space="preserve">، </w:t>
      </w:r>
      <w:r w:rsidRPr="0025250D">
        <w:t>GIS</w:t>
      </w:r>
      <w:r w:rsidRPr="0025250D">
        <w:rPr>
          <w:rFonts w:hint="cs"/>
          <w:rtl/>
        </w:rPr>
        <w:t xml:space="preserve"> و اینترنت اشیا، بازی‌های شبیه سازی دیجیتالی آینده بسیار روشنی در پیش روی خود دارند. ما اهمیت فزاینده آن‌ها در همه جنبه‌های کارهای شرکتی، دولتی</w:t>
      </w:r>
      <w:r w:rsidR="008D6F97" w:rsidRPr="0025250D">
        <w:rPr>
          <w:rtl/>
        </w:rPr>
        <w:t xml:space="preserve"> </w:t>
      </w:r>
      <w:r w:rsidRPr="0025250D">
        <w:rPr>
          <w:rFonts w:hint="cs"/>
          <w:rtl/>
        </w:rPr>
        <w:t>و دفاعی را می‌بینیم.</w:t>
      </w:r>
    </w:p>
    <w:p w14:paraId="361007CB" w14:textId="03BC1FA0" w:rsidR="00537CC8" w:rsidRPr="0025250D" w:rsidRDefault="00537CC8" w:rsidP="00616C8B">
      <w:pPr>
        <w:rPr>
          <w:rtl/>
        </w:rPr>
      </w:pPr>
      <w:r w:rsidRPr="0025250D">
        <w:rPr>
          <w:rFonts w:hint="cs"/>
          <w:rtl/>
        </w:rPr>
        <w:t>ایده پردازی و طراحی</w:t>
      </w:r>
      <w:r w:rsidR="00D9795D" w:rsidRPr="0025250D">
        <w:rPr>
          <w:rFonts w:hint="cs"/>
          <w:rtl/>
        </w:rPr>
        <w:t>،</w:t>
      </w:r>
      <w:r w:rsidRPr="0025250D">
        <w:rPr>
          <w:rFonts w:hint="cs"/>
          <w:rtl/>
        </w:rPr>
        <w:t xml:space="preserve"> تخصص‌های حیاتی دیگر</w:t>
      </w:r>
      <w:r w:rsidR="00D9795D" w:rsidRPr="0025250D">
        <w:rPr>
          <w:rFonts w:hint="cs"/>
          <w:rtl/>
        </w:rPr>
        <w:t>ی</w:t>
      </w:r>
      <w:r w:rsidRPr="0025250D">
        <w:rPr>
          <w:rFonts w:hint="cs"/>
          <w:rtl/>
        </w:rPr>
        <w:t xml:space="preserve"> هستند که پیشران و انگیزه بخش نوآوری مدرن هستند. هنوز هیچ انجمن حرفه‌ای برای مدیریت ایده پردازی، یک فرایند مقدماتی برای نوآوری، شامل بیان، اندازه گیری و </w:t>
      </w:r>
      <w:r w:rsidR="007118DE" w:rsidRPr="0025250D">
        <w:rPr>
          <w:rFonts w:hint="cs"/>
          <w:rtl/>
        </w:rPr>
        <w:t>اولویت‌بندی</w:t>
      </w:r>
      <w:r w:rsidRPr="0025250D">
        <w:rPr>
          <w:rFonts w:hint="cs"/>
          <w:rtl/>
        </w:rPr>
        <w:t xml:space="preserve"> مشکلات مشتریان و شرکت، طرح </w:t>
      </w:r>
      <w:r w:rsidR="00923DDB" w:rsidRPr="0025250D">
        <w:rPr>
          <w:rFonts w:hint="cs"/>
          <w:rtl/>
        </w:rPr>
        <w:t>راه‌حل</w:t>
      </w:r>
      <w:r w:rsidRPr="0025250D">
        <w:rPr>
          <w:rFonts w:hint="cs"/>
          <w:rtl/>
        </w:rPr>
        <w:t>‌ها (با جوایز، پاداش‌ها، رقابت‌ها، شهرت و فرهنگ) و اصلاح و در اولویت قرار دادن بهترین ایده‌ها، وجود ندارد. خوشبختانه، اکنون پلتفرم‌های مدیریت/ارزیابی ایده‌های خوب متعددی وجود دارند که توسط شرکت‌هایی مانند دیتا استیشن، برایت آیدیا، کوگنی استریمر، هایپ، آیدیا اسکیل، ایمجینیتیک، پلن ویوو اسپیجیت</w:t>
      </w:r>
      <w:r w:rsidRPr="0025250D">
        <w:rPr>
          <w:vertAlign w:val="superscript"/>
          <w:rtl/>
        </w:rPr>
        <w:footnoteReference w:id="2244"/>
      </w:r>
      <w:r w:rsidRPr="0025250D">
        <w:rPr>
          <w:rFonts w:hint="cs"/>
          <w:rtl/>
        </w:rPr>
        <w:t xml:space="preserve"> و دیگران ارائه می‌شوند.</w:t>
      </w:r>
    </w:p>
    <w:p w14:paraId="2007BD42" w14:textId="19E4783E" w:rsidR="00537CC8" w:rsidRPr="0025250D" w:rsidRDefault="00537CC8" w:rsidP="00537CC8">
      <w:pPr>
        <w:rPr>
          <w:rtl/>
        </w:rPr>
      </w:pPr>
      <w:r w:rsidRPr="0025250D">
        <w:rPr>
          <w:rFonts w:hint="cs"/>
          <w:rtl/>
        </w:rPr>
        <w:t>همچنین جوامع حل مسائل فنی بزرگی مانند اینوسنتیو</w:t>
      </w:r>
      <w:r w:rsidRPr="0025250D">
        <w:rPr>
          <w:vertAlign w:val="superscript"/>
          <w:rtl/>
        </w:rPr>
        <w:footnoteReference w:id="2245"/>
      </w:r>
      <w:r w:rsidRPr="0025250D">
        <w:rPr>
          <w:rFonts w:hint="cs"/>
          <w:rtl/>
        </w:rPr>
        <w:t xml:space="preserve"> وجود دارند که اکنون بیش از 300000 حل کننده مسائل در جامعه خود دار</w:t>
      </w:r>
      <w:r w:rsidR="005C38A9" w:rsidRPr="0025250D">
        <w:rPr>
          <w:rFonts w:hint="cs"/>
          <w:rtl/>
        </w:rPr>
        <w:t>ن</w:t>
      </w:r>
      <w:r w:rsidRPr="0025250D">
        <w:rPr>
          <w:rFonts w:hint="cs"/>
          <w:rtl/>
        </w:rPr>
        <w:t xml:space="preserve">د که اکثر آن‌ها مدارج پیشرفته یا مهارت‌های تخصصی دارند. اخیرا، پلتفرم‌های </w:t>
      </w:r>
      <w:r w:rsidRPr="0025250D">
        <w:t>IM</w:t>
      </w:r>
      <w:r w:rsidRPr="0025250D">
        <w:rPr>
          <w:rFonts w:hint="cs"/>
          <w:rtl/>
        </w:rPr>
        <w:t xml:space="preserve"> از آستانه استفاده </w:t>
      </w:r>
      <w:r w:rsidR="00B124DE" w:rsidRPr="0025250D">
        <w:rPr>
          <w:rFonts w:hint="cs"/>
          <w:rtl/>
        </w:rPr>
        <w:t>انطباق‌پذیر</w:t>
      </w:r>
      <w:r w:rsidRPr="0025250D">
        <w:rPr>
          <w:rFonts w:hint="cs"/>
          <w:rtl/>
        </w:rPr>
        <w:t xml:space="preserve"> اولیه عبور </w:t>
      </w:r>
      <w:r w:rsidR="007118DE" w:rsidRPr="0025250D">
        <w:rPr>
          <w:rFonts w:hint="cs"/>
          <w:rtl/>
        </w:rPr>
        <w:t>کرده‌اند</w:t>
      </w:r>
      <w:r w:rsidRPr="0025250D">
        <w:rPr>
          <w:rFonts w:hint="cs"/>
          <w:rtl/>
        </w:rPr>
        <w:t xml:space="preserve">. صنعت </w:t>
      </w:r>
      <w:r w:rsidRPr="0025250D">
        <w:t>IM</w:t>
      </w:r>
      <w:r w:rsidRPr="0025250D">
        <w:rPr>
          <w:rFonts w:hint="cs"/>
          <w:rtl/>
        </w:rPr>
        <w:t xml:space="preserve"> اکنون ده‌ها میلیون فروش سالانه دارد. با پذیرش از سوی رهبران، آموزش کافی کاربران و پاداش‌های حقیقی برای نوآوران، پلتفرم‌های </w:t>
      </w:r>
      <w:r w:rsidRPr="0025250D">
        <w:t>IM</w:t>
      </w:r>
      <w:r w:rsidRPr="0025250D">
        <w:rPr>
          <w:rFonts w:hint="cs"/>
          <w:rtl/>
        </w:rPr>
        <w:t xml:space="preserve"> می‌توانند ظرفیت خلاقانه جدیدی در کارمندان و مشتریان حاصل کرده و جریانی پایدار‌تر از پیشنهادهای نوآورانه گام بعدی برای مدیریت، جهت ارزیابی آن‌ها ایجاد نمایند.</w:t>
      </w:r>
    </w:p>
    <w:p w14:paraId="63F43D87" w14:textId="23D5DF2B" w:rsidR="00537CC8" w:rsidRPr="0025250D" w:rsidRDefault="007118DE" w:rsidP="00537CC8">
      <w:pPr>
        <w:rPr>
          <w:rtl/>
        </w:rPr>
      </w:pPr>
      <w:r w:rsidRPr="0025250D">
        <w:rPr>
          <w:rFonts w:hint="cs"/>
          <w:rtl/>
        </w:rPr>
        <w:t>همان‌طور</w:t>
      </w:r>
      <w:r w:rsidR="00537CC8" w:rsidRPr="0025250D">
        <w:rPr>
          <w:rFonts w:hint="cs"/>
          <w:rtl/>
        </w:rPr>
        <w:t xml:space="preserve"> که </w:t>
      </w:r>
      <w:r w:rsidR="00D92F6E" w:rsidRPr="0025250D">
        <w:rPr>
          <w:rFonts w:hint="cs"/>
          <w:rtl/>
        </w:rPr>
        <w:t>آینده‌پژوه</w:t>
      </w:r>
      <w:r w:rsidR="00537CC8" w:rsidRPr="0025250D">
        <w:rPr>
          <w:rFonts w:hint="cs"/>
          <w:rtl/>
        </w:rPr>
        <w:t xml:space="preserve"> </w:t>
      </w:r>
      <w:r w:rsidR="00537CC8" w:rsidRPr="0025250D">
        <w:rPr>
          <w:rtl/>
        </w:rPr>
        <w:t>کر</w:t>
      </w:r>
      <w:r w:rsidR="00537CC8" w:rsidRPr="0025250D">
        <w:rPr>
          <w:rFonts w:hint="cs"/>
          <w:rtl/>
        </w:rPr>
        <w:t>ی</w:t>
      </w:r>
      <w:r w:rsidR="00537CC8" w:rsidRPr="0025250D">
        <w:rPr>
          <w:rtl/>
        </w:rPr>
        <w:t xml:space="preserve"> زاپکا</w:t>
      </w:r>
      <w:r w:rsidR="00537CC8" w:rsidRPr="0025250D">
        <w:rPr>
          <w:vertAlign w:val="superscript"/>
          <w:rtl/>
        </w:rPr>
        <w:footnoteReference w:id="2246"/>
      </w:r>
      <w:r w:rsidR="00537CC8" w:rsidRPr="0025250D">
        <w:rPr>
          <w:rFonts w:hint="cs"/>
          <w:rtl/>
        </w:rPr>
        <w:t xml:space="preserve"> به ما یادآوری می‌کند، حداقل دو مکتب فکری برای تسهیل و استفاده از ایده‌های کارمندان وجود دارند. مکتب نوآوری بنگاه</w:t>
      </w:r>
      <w:r w:rsidR="00537CC8" w:rsidRPr="0025250D">
        <w:rPr>
          <w:vertAlign w:val="superscript"/>
          <w:rtl/>
        </w:rPr>
        <w:footnoteReference w:id="2247"/>
      </w:r>
      <w:r w:rsidR="00537CC8" w:rsidRPr="0025250D">
        <w:rPr>
          <w:rFonts w:hint="cs"/>
          <w:rtl/>
        </w:rPr>
        <w:t xml:space="preserve"> جدیدتر که همچنین نوآوری باز</w:t>
      </w:r>
      <w:r w:rsidR="00537CC8" w:rsidRPr="0025250D">
        <w:rPr>
          <w:vertAlign w:val="superscript"/>
          <w:rtl/>
        </w:rPr>
        <w:footnoteReference w:id="2248"/>
      </w:r>
      <w:r w:rsidR="00537CC8" w:rsidRPr="0025250D">
        <w:rPr>
          <w:rFonts w:hint="cs"/>
          <w:rtl/>
        </w:rPr>
        <w:t xml:space="preserve"> نامیده می‌شود، پلتف</w:t>
      </w:r>
      <w:r w:rsidR="005C38A9" w:rsidRPr="0025250D">
        <w:rPr>
          <w:rFonts w:hint="cs"/>
          <w:rtl/>
        </w:rPr>
        <w:t>ر</w:t>
      </w:r>
      <w:r w:rsidR="00537CC8" w:rsidRPr="0025250D">
        <w:rPr>
          <w:rFonts w:hint="cs"/>
          <w:rtl/>
        </w:rPr>
        <w:t>م محور است. از این نظر، داشتن مشارکت کنندگان، مشتریان و ذینفعان متنوع‌تر و عموم مردم، بهترین راه برای یافتن بهترین ایده‌ها و همچنین جذب ایده‌های بسیاری</w:t>
      </w:r>
      <w:r w:rsidR="005C38A9" w:rsidRPr="0025250D">
        <w:rPr>
          <w:rFonts w:hint="cs"/>
          <w:rtl/>
        </w:rPr>
        <w:t xml:space="preserve"> می‌باشد</w:t>
      </w:r>
      <w:r w:rsidR="00537CC8" w:rsidRPr="0025250D">
        <w:rPr>
          <w:rFonts w:hint="cs"/>
          <w:rtl/>
        </w:rPr>
        <w:t xml:space="preserve"> که آماده یا مرتبط نخواهند بود. کتاب‌هایی مانند نوآوری باز</w:t>
      </w:r>
      <w:r w:rsidR="00537CC8" w:rsidRPr="0025250D">
        <w:rPr>
          <w:vertAlign w:val="superscript"/>
          <w:rtl/>
        </w:rPr>
        <w:footnoteReference w:id="2249"/>
      </w:r>
      <w:r w:rsidR="00537CC8" w:rsidRPr="0025250D">
        <w:rPr>
          <w:rFonts w:hint="cs"/>
          <w:rtl/>
        </w:rPr>
        <w:t xml:space="preserve"> اثر </w:t>
      </w:r>
      <w:r w:rsidR="00537CC8" w:rsidRPr="0025250D">
        <w:rPr>
          <w:rtl/>
        </w:rPr>
        <w:t>هنر</w:t>
      </w:r>
      <w:r w:rsidR="00537CC8" w:rsidRPr="0025250D">
        <w:rPr>
          <w:rFonts w:hint="cs"/>
          <w:rtl/>
        </w:rPr>
        <w:t>ی</w:t>
      </w:r>
      <w:r w:rsidR="00537CC8" w:rsidRPr="0025250D">
        <w:rPr>
          <w:rtl/>
        </w:rPr>
        <w:t xml:space="preserve"> چسبرو</w:t>
      </w:r>
      <w:r w:rsidR="00537CC8" w:rsidRPr="0025250D">
        <w:rPr>
          <w:vertAlign w:val="superscript"/>
          <w:rtl/>
        </w:rPr>
        <w:footnoteReference w:id="2250"/>
      </w:r>
      <w:r w:rsidR="00537CC8" w:rsidRPr="0025250D">
        <w:rPr>
          <w:rFonts w:hint="cs"/>
          <w:rtl/>
        </w:rPr>
        <w:t xml:space="preserve"> در سال 2005، انجام نوآوری آزاد</w:t>
      </w:r>
      <w:r w:rsidR="00537CC8" w:rsidRPr="0025250D">
        <w:rPr>
          <w:vertAlign w:val="superscript"/>
          <w:rtl/>
        </w:rPr>
        <w:footnoteReference w:id="2251"/>
      </w:r>
      <w:r w:rsidR="00537CC8" w:rsidRPr="0025250D">
        <w:rPr>
          <w:rFonts w:hint="cs"/>
          <w:rtl/>
        </w:rPr>
        <w:t xml:space="preserve"> اثر </w:t>
      </w:r>
      <w:r w:rsidR="00537CC8" w:rsidRPr="0025250D">
        <w:rPr>
          <w:rtl/>
        </w:rPr>
        <w:t>استفان ل</w:t>
      </w:r>
      <w:r w:rsidR="00537CC8" w:rsidRPr="0025250D">
        <w:rPr>
          <w:rFonts w:hint="cs"/>
          <w:rtl/>
        </w:rPr>
        <w:t>ی</w:t>
      </w:r>
      <w:r w:rsidR="00537CC8" w:rsidRPr="0025250D">
        <w:rPr>
          <w:rFonts w:hint="eastAsia"/>
          <w:rtl/>
        </w:rPr>
        <w:t>ندگارد</w:t>
      </w:r>
      <w:r w:rsidR="00537CC8" w:rsidRPr="0025250D">
        <w:rPr>
          <w:vertAlign w:val="superscript"/>
          <w:rtl/>
        </w:rPr>
        <w:footnoteReference w:id="2252"/>
      </w:r>
      <w:r w:rsidR="00537CC8" w:rsidRPr="0025250D">
        <w:rPr>
          <w:rFonts w:hint="cs"/>
          <w:rtl/>
        </w:rPr>
        <w:t xml:space="preserve"> در سال 2011 و کتاب راهنمایی برای نوآوری آزاد و </w:t>
      </w:r>
      <w:r w:rsidR="00BB406C" w:rsidRPr="0025250D">
        <w:rPr>
          <w:rFonts w:hint="cs"/>
          <w:rtl/>
        </w:rPr>
        <w:t>جمع‌سپاری</w:t>
      </w:r>
      <w:r w:rsidR="00537CC8" w:rsidRPr="0025250D">
        <w:rPr>
          <w:vertAlign w:val="superscript"/>
          <w:rtl/>
        </w:rPr>
        <w:footnoteReference w:id="2253"/>
      </w:r>
      <w:r w:rsidR="00537CC8" w:rsidRPr="0025250D">
        <w:rPr>
          <w:rFonts w:hint="cs"/>
          <w:rtl/>
        </w:rPr>
        <w:t xml:space="preserve"> اثر </w:t>
      </w:r>
      <w:r w:rsidR="00537CC8" w:rsidRPr="0025250D">
        <w:rPr>
          <w:rtl/>
        </w:rPr>
        <w:t>پل اسلون</w:t>
      </w:r>
      <w:r w:rsidR="00537CC8" w:rsidRPr="0025250D">
        <w:rPr>
          <w:vertAlign w:val="superscript"/>
          <w:rtl/>
        </w:rPr>
        <w:footnoteReference w:id="2254"/>
      </w:r>
      <w:r w:rsidR="00537CC8" w:rsidRPr="0025250D">
        <w:rPr>
          <w:rFonts w:hint="cs"/>
          <w:rtl/>
        </w:rPr>
        <w:t xml:space="preserve"> در سال 2011 از این رویکرد آزاد حمایت می‌کنند. رقابت‌های نوآوری</w:t>
      </w:r>
      <w:r w:rsidR="00537CC8" w:rsidRPr="0025250D">
        <w:rPr>
          <w:vertAlign w:val="superscript"/>
          <w:rtl/>
        </w:rPr>
        <w:footnoteReference w:id="2255"/>
      </w:r>
      <w:r w:rsidR="00537CC8" w:rsidRPr="0025250D">
        <w:rPr>
          <w:rFonts w:hint="cs"/>
          <w:rtl/>
        </w:rPr>
        <w:t xml:space="preserve"> اثر </w:t>
      </w:r>
      <w:r w:rsidR="00537CC8" w:rsidRPr="0025250D">
        <w:rPr>
          <w:rtl/>
        </w:rPr>
        <w:t>ترو</w:t>
      </w:r>
      <w:r w:rsidR="00537CC8" w:rsidRPr="0025250D">
        <w:rPr>
          <w:rFonts w:hint="cs"/>
          <w:rtl/>
        </w:rPr>
        <w:t>ی</w:t>
      </w:r>
      <w:r w:rsidR="00537CC8" w:rsidRPr="0025250D">
        <w:rPr>
          <w:rFonts w:hint="eastAsia"/>
          <w:rtl/>
        </w:rPr>
        <w:t>ش</w:t>
      </w:r>
      <w:r w:rsidR="00537CC8" w:rsidRPr="0025250D">
        <w:rPr>
          <w:vertAlign w:val="superscript"/>
          <w:rtl/>
        </w:rPr>
        <w:footnoteReference w:id="2256"/>
      </w:r>
      <w:r w:rsidR="00537CC8" w:rsidRPr="0025250D">
        <w:rPr>
          <w:rFonts w:hint="cs"/>
          <w:rtl/>
        </w:rPr>
        <w:t xml:space="preserve"> و </w:t>
      </w:r>
      <w:r w:rsidR="00537CC8" w:rsidRPr="0025250D">
        <w:rPr>
          <w:rtl/>
        </w:rPr>
        <w:t>اولر</w:t>
      </w:r>
      <w:r w:rsidR="00537CC8" w:rsidRPr="0025250D">
        <w:rPr>
          <w:rFonts w:hint="cs"/>
          <w:rtl/>
        </w:rPr>
        <w:t>ی</w:t>
      </w:r>
      <w:r w:rsidR="00537CC8" w:rsidRPr="0025250D">
        <w:rPr>
          <w:rFonts w:hint="eastAsia"/>
          <w:rtl/>
        </w:rPr>
        <w:t>ش</w:t>
      </w:r>
      <w:r w:rsidR="00537CC8" w:rsidRPr="0025250D">
        <w:rPr>
          <w:vertAlign w:val="superscript"/>
          <w:rtl/>
        </w:rPr>
        <w:footnoteReference w:id="2257"/>
      </w:r>
      <w:r w:rsidR="00537CC8" w:rsidRPr="0025250D">
        <w:rPr>
          <w:rFonts w:hint="cs"/>
          <w:rtl/>
        </w:rPr>
        <w:t xml:space="preserve"> در سال 2009، همچنین رقابت‌های نوآوری (جوایز، پاداش ها) را که قدرت فکری و همکاری برای تولید ایده‌های دارای پتانسیل موفقیت دارند مورد بحث قرار می‌دهد. مکتب سنتی نوآوری که همچنین نوآوری داخلی</w:t>
      </w:r>
      <w:r w:rsidR="00537CC8" w:rsidRPr="0025250D">
        <w:rPr>
          <w:vertAlign w:val="superscript"/>
          <w:rtl/>
        </w:rPr>
        <w:footnoteReference w:id="2258"/>
      </w:r>
      <w:r w:rsidR="00537CC8" w:rsidRPr="0025250D">
        <w:rPr>
          <w:rFonts w:hint="cs"/>
          <w:rtl/>
        </w:rPr>
        <w:t xml:space="preserve"> نامیده می‌شود، بر برانگیختن استعداد‌های داخلی شرکت برای </w:t>
      </w:r>
      <w:r w:rsidR="00274907" w:rsidRPr="0025250D">
        <w:rPr>
          <w:rFonts w:hint="cs"/>
          <w:rtl/>
        </w:rPr>
        <w:t>به‌اشتراک‌گذار</w:t>
      </w:r>
      <w:r w:rsidR="00537CC8" w:rsidRPr="0025250D">
        <w:rPr>
          <w:rFonts w:hint="cs"/>
          <w:rtl/>
        </w:rPr>
        <w:t xml:space="preserve">ی ایده‌های خود جهت بهبود، در اختیار گذاشتن منابع برای نوآوری و یادگیری از نوآوری داخلی تمرکز دارد. ما این نکته را در فعالیت </w:t>
      </w:r>
      <w:r w:rsidR="00537CC8" w:rsidRPr="0025250D">
        <w:rPr>
          <w:rtl/>
        </w:rPr>
        <w:t>کا</w:t>
      </w:r>
      <w:r w:rsidR="00537CC8" w:rsidRPr="0025250D">
        <w:rPr>
          <w:rFonts w:hint="cs"/>
          <w:rtl/>
        </w:rPr>
        <w:t>ی</w:t>
      </w:r>
      <w:r w:rsidR="00537CC8" w:rsidRPr="0025250D">
        <w:rPr>
          <w:rFonts w:hint="eastAsia"/>
          <w:rtl/>
        </w:rPr>
        <w:t>زن</w:t>
      </w:r>
      <w:r w:rsidR="00537CC8" w:rsidRPr="0025250D">
        <w:rPr>
          <w:rFonts w:hint="cs"/>
          <w:rtl/>
        </w:rPr>
        <w:t xml:space="preserve"> (پیشرفت مداوم) و فعالیت‌های مرتبط با آن، از جمله بنگاه ناب و 6 سیگما می‌یابیم. ما این مکتب فکری را تحت محک زنی و کیفیت (مهارت بازبینی) در ادامه این فصل بیش‌تر مورد بحث قرار خواهیم داد. فرایند‌های داخلی می‌توانند ایده‌های کوچک تولید کنند و ایجاد مالکیت معنوی (</w:t>
      </w:r>
      <w:r w:rsidR="00537CC8" w:rsidRPr="0025250D">
        <w:t>IP</w:t>
      </w:r>
      <w:r w:rsidR="00537CC8" w:rsidRPr="0025250D">
        <w:rPr>
          <w:rFonts w:hint="cs"/>
          <w:rtl/>
        </w:rPr>
        <w:t xml:space="preserve">) حول آن‌ها ساده‌تر است. فرایند‌های آزاد متغیر‌تر و </w:t>
      </w:r>
      <w:r w:rsidR="005C38A9" w:rsidRPr="0025250D">
        <w:rPr>
          <w:rFonts w:hint="cs"/>
          <w:rtl/>
        </w:rPr>
        <w:t>دارای</w:t>
      </w:r>
      <w:r w:rsidR="00537CC8" w:rsidRPr="0025250D">
        <w:rPr>
          <w:rFonts w:hint="cs"/>
          <w:rtl/>
        </w:rPr>
        <w:t xml:space="preserve"> ریسک</w:t>
      </w:r>
      <w:r w:rsidR="005C38A9" w:rsidRPr="0025250D">
        <w:rPr>
          <w:rFonts w:hint="cs"/>
          <w:rtl/>
        </w:rPr>
        <w:t xml:space="preserve"> بیشتر</w:t>
      </w:r>
      <w:r w:rsidR="00537CC8" w:rsidRPr="0025250D">
        <w:rPr>
          <w:rFonts w:hint="cs"/>
          <w:rtl/>
        </w:rPr>
        <w:t xml:space="preserve"> برای اهداف بزرگ بوده و ایجاد مالیکت فکری برای آن‌ها دشوار‌تر است. هر دو مورد برای نوآوری برجسته و برتر اهمیت دارند.</w:t>
      </w:r>
    </w:p>
    <w:p w14:paraId="2BE958DC" w14:textId="4D71B584" w:rsidR="00537CC8" w:rsidRPr="0025250D" w:rsidRDefault="00537CC8" w:rsidP="00537CC8">
      <w:pPr>
        <w:rPr>
          <w:rtl/>
        </w:rPr>
      </w:pPr>
      <w:r w:rsidRPr="0025250D">
        <w:rPr>
          <w:rFonts w:hint="cs"/>
          <w:rtl/>
        </w:rPr>
        <w:t xml:space="preserve">فرهنگ و سیاست‌هایی که مدیران را در مقابل نوآوری مسئول نگه داشته و کارمندان را قادر </w:t>
      </w:r>
      <w:r w:rsidR="00274907" w:rsidRPr="0025250D">
        <w:rPr>
          <w:rFonts w:hint="cs"/>
          <w:rtl/>
        </w:rPr>
        <w:t>به‌اشتراک‌گذار</w:t>
      </w:r>
      <w:r w:rsidRPr="0025250D">
        <w:rPr>
          <w:rFonts w:hint="cs"/>
          <w:rtl/>
        </w:rPr>
        <w:t>ی ایده‌های کوچک و توجه به مسائل و مشکلات می‌کنند، کلیدی برای آینده مدیریت ایده پردازی هستند. ایده‌ها آزاد هستند</w:t>
      </w:r>
      <w:r w:rsidRPr="0025250D">
        <w:rPr>
          <w:vertAlign w:val="superscript"/>
          <w:rtl/>
        </w:rPr>
        <w:footnoteReference w:id="2259"/>
      </w:r>
      <w:r w:rsidRPr="0025250D">
        <w:rPr>
          <w:rFonts w:hint="cs"/>
          <w:rtl/>
        </w:rPr>
        <w:t xml:space="preserve"> اثر </w:t>
      </w:r>
      <w:r w:rsidRPr="0025250D">
        <w:rPr>
          <w:rtl/>
        </w:rPr>
        <w:t>راب</w:t>
      </w:r>
      <w:r w:rsidRPr="0025250D">
        <w:rPr>
          <w:rFonts w:hint="cs"/>
          <w:rtl/>
        </w:rPr>
        <w:t>ی</w:t>
      </w:r>
      <w:r w:rsidRPr="0025250D">
        <w:rPr>
          <w:rFonts w:hint="eastAsia"/>
          <w:rtl/>
        </w:rPr>
        <w:t>نسون</w:t>
      </w:r>
      <w:r w:rsidRPr="0025250D">
        <w:rPr>
          <w:rtl/>
        </w:rPr>
        <w:t xml:space="preserve"> و شرودر</w:t>
      </w:r>
      <w:r w:rsidRPr="0025250D">
        <w:rPr>
          <w:vertAlign w:val="superscript"/>
          <w:rtl/>
        </w:rPr>
        <w:footnoteReference w:id="2260"/>
      </w:r>
      <w:r w:rsidRPr="0025250D">
        <w:rPr>
          <w:rFonts w:hint="cs"/>
          <w:rtl/>
        </w:rPr>
        <w:t xml:space="preserve"> در سال 2006 و اثر دیگر آن‌ها به دنبال این کتاب به نام سازمان ایده محور: آزاد کردن قدرت موجود در ایده‌های پایین به بالا</w:t>
      </w:r>
      <w:r w:rsidRPr="0025250D">
        <w:rPr>
          <w:vertAlign w:val="superscript"/>
          <w:rtl/>
        </w:rPr>
        <w:footnoteReference w:id="2261"/>
      </w:r>
      <w:r w:rsidRPr="0025250D">
        <w:rPr>
          <w:rFonts w:hint="cs"/>
          <w:rtl/>
        </w:rPr>
        <w:t xml:space="preserve"> در سال 2014 در اینجا کاملا مفید هستند. آن‌ها به ما می‌گویند که تیم‌ها به بودجه زیاد، نرم افزار‌های تجملاتی یا تعداد کارمندان زیاد برای نوآوری در سطح جهانی نیاز ندارند، بلکه فقط به فرایند و فرهنگ خوب در تیم خود نیاز دارند، حتی اگر سازمان بزرگتر نسبت به نوآوری پرخاشگرانه عمل کند.</w:t>
      </w:r>
    </w:p>
    <w:p w14:paraId="3202AA38" w14:textId="4660A77B" w:rsidR="00537CC8" w:rsidRPr="0025250D" w:rsidRDefault="00537CC8" w:rsidP="00537CC8">
      <w:pPr>
        <w:rPr>
          <w:rtl/>
        </w:rPr>
      </w:pPr>
      <w:r w:rsidRPr="0025250D">
        <w:rPr>
          <w:rFonts w:hint="cs"/>
          <w:rtl/>
        </w:rPr>
        <w:t xml:space="preserve">تفکر نوآوری با فعالیت‌های حل مسئله ذهنی و عملی آن، مجموعه دیگری از ابزارهای تجربی و مفهومی قدرتمند برای تصور و ایجاد محصولات و خدمات جالب و مواردی که کارآفرینان می‌توانند در محیط آزمایش کنند ارائه می‌دهد. </w:t>
      </w:r>
      <w:r w:rsidRPr="0025250D">
        <w:t>AIGA</w:t>
      </w:r>
      <w:r w:rsidRPr="0025250D">
        <w:rPr>
          <w:rFonts w:hint="cs"/>
          <w:rtl/>
        </w:rPr>
        <w:t>: انجمن حرفه‌ای طراحی</w:t>
      </w:r>
      <w:r w:rsidRPr="0025250D">
        <w:rPr>
          <w:vertAlign w:val="superscript"/>
          <w:rtl/>
        </w:rPr>
        <w:footnoteReference w:id="2262"/>
      </w:r>
      <w:r w:rsidRPr="0025250D">
        <w:rPr>
          <w:rFonts w:hint="cs"/>
          <w:rtl/>
        </w:rPr>
        <w:t xml:space="preserve"> (</w:t>
      </w:r>
      <w:r w:rsidRPr="0025250D">
        <w:t>AIGA</w:t>
      </w:r>
      <w:r w:rsidRPr="0025250D">
        <w:rPr>
          <w:rFonts w:hint="cs"/>
          <w:rtl/>
        </w:rPr>
        <w:t xml:space="preserve">) منبع خوبی برای این تخصص </w:t>
      </w:r>
      <w:r w:rsidRPr="0025250D">
        <w:rPr>
          <w:rtl/>
        </w:rPr>
        <w:t>آینده‌نگاری</w:t>
      </w:r>
      <w:r w:rsidRPr="0025250D">
        <w:rPr>
          <w:rFonts w:hint="cs"/>
          <w:rtl/>
        </w:rPr>
        <w:t xml:space="preserve"> است و آن‌ها رقابت‌های طراحی منظمی را اجرا می‌کنند.</w:t>
      </w:r>
    </w:p>
    <w:p w14:paraId="2B48E5F6" w14:textId="5EDF3D60" w:rsidR="00537CC8" w:rsidRPr="0025250D" w:rsidRDefault="00537CC8" w:rsidP="00537CC8">
      <w:pPr>
        <w:rPr>
          <w:rtl/>
        </w:rPr>
      </w:pPr>
      <w:r w:rsidRPr="0025250D">
        <w:rPr>
          <w:rFonts w:hint="cs"/>
          <w:rtl/>
        </w:rPr>
        <w:t xml:space="preserve">آخرین تخصص نوآوری که ما باید مورد بحث قرا دهیم، شاید واضح‌ترین مورد در این میان، مدیریت نوآوری و تحقیق و توسعه است. نوآوری البته از ایده پردازی جداست، زیرا این کار تنها تولید یک ایده که دیگران احتمالا ارزشمند می‌دانند نیست، بلکه به کارگیری </w:t>
      </w:r>
      <w:r w:rsidR="0008779C" w:rsidRPr="0025250D">
        <w:rPr>
          <w:rFonts w:hint="cs"/>
          <w:rtl/>
        </w:rPr>
        <w:t>موفقیت‌آمیز</w:t>
      </w:r>
      <w:r w:rsidRPr="0025250D">
        <w:rPr>
          <w:rFonts w:hint="cs"/>
          <w:rtl/>
        </w:rPr>
        <w:t xml:space="preserve"> آن ایده به عنوان یک محصول، خدمت، یا پروژه در بازار است.</w:t>
      </w:r>
    </w:p>
    <w:p w14:paraId="26AACA03" w14:textId="1FB506E8" w:rsidR="00537CC8" w:rsidRPr="0025250D" w:rsidRDefault="00537CC8" w:rsidP="00537CC8">
      <w:pPr>
        <w:rPr>
          <w:rtl/>
        </w:rPr>
      </w:pPr>
      <w:r w:rsidRPr="0025250D">
        <w:rPr>
          <w:rFonts w:hint="cs"/>
          <w:rtl/>
        </w:rPr>
        <w:t>مدیریت نوآوری به دنبال رهبری و حداکثر سازی ارزش تحقیق و توسعه، طراحی و فرایند‌های کلی نوآوری است. زمینه مطالعات و مدیریت نوآوری جوان است و هنوز به‌خوبی ارزیابی نشده است، اما روش‌های مفیدی را برای حداکثر سازی ظرفیت خلاقانه و آینده محور یک سازمان ارائه می‌دهد. جامعه بین المللی مدیریت نوآوری حرفه ای</w:t>
      </w:r>
      <w:r w:rsidRPr="0025250D">
        <w:rPr>
          <w:vertAlign w:val="superscript"/>
          <w:rtl/>
        </w:rPr>
        <w:footnoteReference w:id="2263"/>
      </w:r>
      <w:r w:rsidRPr="0025250D">
        <w:rPr>
          <w:rFonts w:hint="cs"/>
          <w:rtl/>
        </w:rPr>
        <w:t xml:space="preserve"> (</w:t>
      </w:r>
      <w:r w:rsidRPr="0025250D">
        <w:t>ISPIM</w:t>
      </w:r>
      <w:r w:rsidRPr="0025250D">
        <w:rPr>
          <w:rFonts w:hint="cs"/>
          <w:rtl/>
        </w:rPr>
        <w:t>) یک جامعه فعال پیشرو می‌باشد که خدماتی را برای رهبران تحقیق و توسعه، صنعتگران، مؤسسات و مشا</w:t>
      </w:r>
      <w:r w:rsidR="005C38A9" w:rsidRPr="0025250D">
        <w:rPr>
          <w:rFonts w:hint="cs"/>
          <w:rtl/>
        </w:rPr>
        <w:t>ور</w:t>
      </w:r>
      <w:r w:rsidRPr="0025250D">
        <w:rPr>
          <w:rFonts w:hint="cs"/>
          <w:rtl/>
        </w:rPr>
        <w:t>ان در مدیریت نوآوری ارائه می‌دهد. انجمن مدیریت تحقیق و توسعه</w:t>
      </w:r>
      <w:r w:rsidRPr="0025250D">
        <w:rPr>
          <w:vertAlign w:val="superscript"/>
          <w:rtl/>
        </w:rPr>
        <w:footnoteReference w:id="2264"/>
      </w:r>
      <w:r w:rsidRPr="0025250D">
        <w:rPr>
          <w:rFonts w:hint="cs"/>
          <w:rtl/>
        </w:rPr>
        <w:t xml:space="preserve"> (</w:t>
      </w:r>
      <w:r w:rsidRPr="0025250D">
        <w:t>RADMA</w:t>
      </w:r>
      <w:r w:rsidRPr="0025250D">
        <w:rPr>
          <w:rFonts w:hint="cs"/>
          <w:rtl/>
        </w:rPr>
        <w:t>) یک جامعه کوچکتر دیگر است که خدماتی را برای رهبران تحقیق و</w:t>
      </w:r>
      <w:r w:rsidR="008D6F97" w:rsidRPr="0025250D">
        <w:rPr>
          <w:rtl/>
        </w:rPr>
        <w:t xml:space="preserve"> </w:t>
      </w:r>
      <w:r w:rsidRPr="0025250D">
        <w:rPr>
          <w:rFonts w:hint="cs"/>
          <w:rtl/>
        </w:rPr>
        <w:t>توسعه ارائه می‌دهد.</w:t>
      </w:r>
    </w:p>
    <w:p w14:paraId="01149F0C" w14:textId="504A76C9" w:rsidR="00537CC8" w:rsidRPr="0025250D" w:rsidRDefault="00537CC8" w:rsidP="00537CC8">
      <w:pPr>
        <w:rPr>
          <w:rtl/>
        </w:rPr>
      </w:pPr>
      <w:r w:rsidRPr="0025250D">
        <w:rPr>
          <w:rFonts w:hint="cs"/>
          <w:rtl/>
        </w:rPr>
        <w:t xml:space="preserve">اثر اخیر </w:t>
      </w:r>
      <w:r w:rsidRPr="0025250D">
        <w:rPr>
          <w:rtl/>
        </w:rPr>
        <w:t>کل</w:t>
      </w:r>
      <w:r w:rsidRPr="0025250D">
        <w:rPr>
          <w:rFonts w:hint="cs"/>
          <w:rtl/>
        </w:rPr>
        <w:t>ی</w:t>
      </w:r>
      <w:r w:rsidRPr="0025250D">
        <w:rPr>
          <w:rtl/>
        </w:rPr>
        <w:t xml:space="preserve"> کر</w:t>
      </w:r>
      <w:r w:rsidRPr="0025250D">
        <w:rPr>
          <w:rFonts w:hint="cs"/>
          <w:rtl/>
        </w:rPr>
        <w:t>ی</w:t>
      </w:r>
      <w:r w:rsidRPr="0025250D">
        <w:rPr>
          <w:rFonts w:hint="eastAsia"/>
          <w:rtl/>
        </w:rPr>
        <w:t>ستنسن</w:t>
      </w:r>
      <w:r w:rsidRPr="0025250D">
        <w:rPr>
          <w:vertAlign w:val="superscript"/>
          <w:rtl/>
        </w:rPr>
        <w:footnoteReference w:id="2265"/>
      </w:r>
      <w:r w:rsidRPr="0025250D">
        <w:rPr>
          <w:rFonts w:hint="cs"/>
          <w:rtl/>
        </w:rPr>
        <w:t xml:space="preserve"> به نام </w:t>
      </w:r>
      <w:r w:rsidR="005C38A9" w:rsidRPr="0025250D">
        <w:rPr>
          <w:rFonts w:hint="cs"/>
          <w:rtl/>
        </w:rPr>
        <w:t>دی‌ان‌اِی</w:t>
      </w:r>
      <w:r w:rsidRPr="0025250D">
        <w:rPr>
          <w:rFonts w:hint="cs"/>
          <w:rtl/>
        </w:rPr>
        <w:t xml:space="preserve"> نوآوران</w:t>
      </w:r>
      <w:r w:rsidRPr="0025250D">
        <w:rPr>
          <w:vertAlign w:val="superscript"/>
          <w:rtl/>
        </w:rPr>
        <w:footnoteReference w:id="2266"/>
      </w:r>
      <w:r w:rsidRPr="0025250D">
        <w:rPr>
          <w:rFonts w:hint="cs"/>
          <w:rtl/>
        </w:rPr>
        <w:t xml:space="preserve"> در سال 2011، یک دستورالعمل بسیار دقیق را برای فرایند‌های </w:t>
      </w:r>
      <w:r w:rsidR="00B124DE" w:rsidRPr="0025250D">
        <w:rPr>
          <w:rFonts w:hint="cs"/>
          <w:rtl/>
        </w:rPr>
        <w:t>کسب‌و‌کار</w:t>
      </w:r>
      <w:r w:rsidRPr="0025250D">
        <w:rPr>
          <w:rFonts w:hint="cs"/>
          <w:rtl/>
        </w:rPr>
        <w:t xml:space="preserve"> </w:t>
      </w:r>
      <w:r w:rsidR="005C38A9" w:rsidRPr="0025250D">
        <w:rPr>
          <w:rFonts w:hint="cs"/>
          <w:rtl/>
        </w:rPr>
        <w:t>جهت</w:t>
      </w:r>
      <w:r w:rsidRPr="0025250D">
        <w:rPr>
          <w:rFonts w:hint="cs"/>
          <w:rtl/>
        </w:rPr>
        <w:t xml:space="preserve"> حداکثرسازی نوآوری، در شرکت‌های دارای ابعاد مختلف ارائه می‌دهد. بینش در نوآوری</w:t>
      </w:r>
      <w:r w:rsidRPr="0025250D">
        <w:rPr>
          <w:vertAlign w:val="superscript"/>
          <w:rtl/>
        </w:rPr>
        <w:footnoteReference w:id="2267"/>
      </w:r>
      <w:r w:rsidRPr="0025250D">
        <w:rPr>
          <w:rFonts w:hint="cs"/>
          <w:rtl/>
        </w:rPr>
        <w:t xml:space="preserve"> اثر </w:t>
      </w:r>
      <w:r w:rsidRPr="0025250D">
        <w:rPr>
          <w:rtl/>
        </w:rPr>
        <w:t>جان ورلوپ</w:t>
      </w:r>
      <w:r w:rsidRPr="0025250D">
        <w:rPr>
          <w:vertAlign w:val="superscript"/>
          <w:rtl/>
        </w:rPr>
        <w:footnoteReference w:id="2268"/>
      </w:r>
      <w:r w:rsidRPr="0025250D">
        <w:rPr>
          <w:rFonts w:hint="cs"/>
          <w:rtl/>
        </w:rPr>
        <w:t xml:space="preserve"> در سال 2004 نوآوری را به عنوان یک فرایند </w:t>
      </w:r>
      <w:r w:rsidR="00B124DE" w:rsidRPr="0025250D">
        <w:rPr>
          <w:rFonts w:hint="cs"/>
          <w:rtl/>
        </w:rPr>
        <w:t>کسب‌و‌کار</w:t>
      </w:r>
      <w:r w:rsidRPr="0025250D">
        <w:rPr>
          <w:rFonts w:hint="cs"/>
          <w:rtl/>
        </w:rPr>
        <w:t>، با استفاده از مثال‌هایی تاریخی از شل بررسی می‌کند. نوآوران خلاق</w:t>
      </w:r>
      <w:r w:rsidRPr="0025250D">
        <w:rPr>
          <w:vertAlign w:val="superscript"/>
          <w:rtl/>
        </w:rPr>
        <w:footnoteReference w:id="2269"/>
      </w:r>
      <w:r w:rsidRPr="0025250D">
        <w:rPr>
          <w:rFonts w:hint="cs"/>
          <w:rtl/>
        </w:rPr>
        <w:t xml:space="preserve"> اثر </w:t>
      </w:r>
      <w:r w:rsidRPr="0025250D">
        <w:rPr>
          <w:rtl/>
        </w:rPr>
        <w:t>تون</w:t>
      </w:r>
      <w:r w:rsidRPr="0025250D">
        <w:rPr>
          <w:rFonts w:hint="cs"/>
          <w:rtl/>
        </w:rPr>
        <w:t>ی</w:t>
      </w:r>
      <w:r w:rsidRPr="0025250D">
        <w:rPr>
          <w:rtl/>
        </w:rPr>
        <w:t xml:space="preserve"> واگنر</w:t>
      </w:r>
      <w:r w:rsidRPr="0025250D">
        <w:rPr>
          <w:vertAlign w:val="superscript"/>
          <w:rtl/>
        </w:rPr>
        <w:footnoteReference w:id="2270"/>
      </w:r>
      <w:r w:rsidRPr="0025250D">
        <w:rPr>
          <w:rFonts w:hint="cs"/>
          <w:rtl/>
        </w:rPr>
        <w:t xml:space="preserve"> در سال 2012 بینش خوبی درمورد آموزش نوآوری در نظام آموزشی 12 ساله در خود دارد.</w:t>
      </w:r>
    </w:p>
    <w:p w14:paraId="0F264D8E" w14:textId="59299BC9" w:rsidR="00537CC8" w:rsidRPr="0025250D" w:rsidRDefault="00537CC8" w:rsidP="00537CC8">
      <w:pPr>
        <w:rPr>
          <w:rtl/>
        </w:rPr>
      </w:pPr>
      <w:r w:rsidRPr="0025250D">
        <w:rPr>
          <w:rFonts w:hint="cs"/>
          <w:rtl/>
        </w:rPr>
        <w:t xml:space="preserve">در مدل </w:t>
      </w:r>
      <w:r w:rsidRPr="0025250D">
        <w:rPr>
          <w:rtl/>
        </w:rPr>
        <w:t>آینده‌نگاری</w:t>
      </w:r>
      <w:r w:rsidRPr="0025250D">
        <w:rPr>
          <w:rFonts w:hint="cs"/>
          <w:rtl/>
        </w:rPr>
        <w:t xml:space="preserve"> تکاملی-توسعه ای، یک راهنمای عملی خوب برای مهارت نوآوری که همچنین در این کتاب فرایند تکاملی نامیده می‌شود، دوست داشتن سفر</w:t>
      </w:r>
      <w:r w:rsidRPr="0025250D">
        <w:rPr>
          <w:vertAlign w:val="superscript"/>
          <w:rtl/>
        </w:rPr>
        <w:footnoteReference w:id="2271"/>
      </w:r>
      <w:r w:rsidRPr="0025250D">
        <w:rPr>
          <w:rFonts w:hint="cs"/>
          <w:rtl/>
        </w:rPr>
        <w:t xml:space="preserve"> (کاوش و خلق) است. در حیات </w:t>
      </w:r>
      <w:r w:rsidR="00127288" w:rsidRPr="0025250D">
        <w:rPr>
          <w:rFonts w:hint="cs"/>
          <w:rtl/>
        </w:rPr>
        <w:t>زیستی</w:t>
      </w:r>
      <w:r w:rsidRPr="0025250D">
        <w:rPr>
          <w:rFonts w:hint="cs"/>
          <w:rtl/>
        </w:rPr>
        <w:t>، فرایند تکامل عشقی اساسی، یک پیشران لذت جو، برای بررسی تنوعی باورنکردنی از راه‌های زندگی و ایجاد تنوع شگفت آوری از شکل‌های مختلف ارائه می‌دهد. نوآوری در سازمان به تصور موارد ممکن و ایجاد آنچه وجود ندارد، به امید ایجاد چیزی که توسط دیگران به کار گرفته شود (همتاسازی و موفقیت اجتماعی) مربوط می‌شود.</w:t>
      </w:r>
    </w:p>
    <w:p w14:paraId="4B79EAEC" w14:textId="05B99860" w:rsidR="00537CC8" w:rsidRPr="0025250D" w:rsidRDefault="00537CC8" w:rsidP="00537CC8">
      <w:pPr>
        <w:rPr>
          <w:rtl/>
        </w:rPr>
      </w:pPr>
      <w:r w:rsidRPr="0025250D">
        <w:rPr>
          <w:rFonts w:hint="cs"/>
          <w:rtl/>
        </w:rPr>
        <w:t xml:space="preserve">نوآوری از منطق و استدلال برای ایجاد تنوع خود بهره می‌گیرد، اما </w:t>
      </w:r>
      <w:r w:rsidR="007118DE" w:rsidRPr="0025250D">
        <w:rPr>
          <w:rFonts w:hint="cs"/>
          <w:rtl/>
        </w:rPr>
        <w:t>همان‌طور</w:t>
      </w:r>
      <w:r w:rsidRPr="0025250D">
        <w:rPr>
          <w:rFonts w:hint="cs"/>
          <w:rtl/>
        </w:rPr>
        <w:t xml:space="preserve"> که هر فرد خلاقی می‌داند، فرایند خلاقیت به‌شدت مبتنی بر هیجانات مثبت (آزادی بیان، شجاعت، خوش بینی، شور، عشق خلق و ایجاد کردن) است. این فرایند به بهترین شکل در یک محیط امن از نظر روانشناختی رشد و ترقی می‌کند (اگرچه ممکن است مهلت‌ها، رقابت‌ها یا دیگر فوریت‌ها و قیود موجود باشند) و از اعتماد به نفس و تمایل فردی به ریسک بهره می‌گیرد. ما می‌توانیم اندکی ساده‌سازی بیش‌ازحد انجام دهیم و بگوییم که به دلیل نقش محوری هیجان و </w:t>
      </w:r>
      <w:r w:rsidR="00B56611" w:rsidRPr="0025250D">
        <w:rPr>
          <w:rFonts w:hint="cs"/>
          <w:rtl/>
        </w:rPr>
        <w:t>چشم‌انداز</w:t>
      </w:r>
      <w:r w:rsidRPr="0025250D">
        <w:rPr>
          <w:rFonts w:hint="cs"/>
          <w:rtl/>
        </w:rPr>
        <w:t>‌های مثبت در خلاقیت، نوآوری عمدتاً از قلب هدایت و مدیریت می‌شود. فیلم کوتاه کلاسیک چرا انسان خلق می‌کند</w:t>
      </w:r>
      <w:r w:rsidRPr="0025250D">
        <w:rPr>
          <w:vertAlign w:val="superscript"/>
          <w:rtl/>
        </w:rPr>
        <w:footnoteReference w:id="2272"/>
      </w:r>
      <w:r w:rsidRPr="0025250D">
        <w:rPr>
          <w:rFonts w:hint="cs"/>
          <w:rtl/>
        </w:rPr>
        <w:t xml:space="preserve"> در سال 1968، دیدگاه کلی خوبی درمورد این مهارت </w:t>
      </w:r>
      <w:r w:rsidRPr="0025250D">
        <w:rPr>
          <w:rtl/>
        </w:rPr>
        <w:t>آینده‌نگاری</w:t>
      </w:r>
      <w:r w:rsidRPr="0025250D">
        <w:rPr>
          <w:rFonts w:hint="cs"/>
          <w:rtl/>
        </w:rPr>
        <w:t xml:space="preserve"> کلیدی ارائه می‌دهد.</w:t>
      </w:r>
    </w:p>
    <w:p w14:paraId="1F3636C4" w14:textId="43D80BA8" w:rsidR="00537CC8" w:rsidRPr="0025250D" w:rsidRDefault="00537CC8" w:rsidP="00537CC8">
      <w:pPr>
        <w:rPr>
          <w:rtl/>
        </w:rPr>
      </w:pPr>
      <w:r w:rsidRPr="0025250D">
        <w:rPr>
          <w:rFonts w:hint="cs"/>
          <w:rtl/>
        </w:rPr>
        <w:t>تولید کنندگان ایده، نوآوران و کارآفرینان خوب جستجوگرانی هستند که این اقدام ریسک پذیر و خلاقانه را دوست دارند. آن‌ها می‌توانند عمدتاً آن را دوست داشته باشند و تنها آن را از دیگران بخواهند</w:t>
      </w:r>
      <w:r w:rsidR="00CF60F2" w:rsidRPr="0025250D">
        <w:rPr>
          <w:rFonts w:hint="cs"/>
          <w:rtl/>
        </w:rPr>
        <w:t xml:space="preserve"> و</w:t>
      </w:r>
      <w:r w:rsidRPr="0025250D">
        <w:rPr>
          <w:rFonts w:hint="cs"/>
          <w:rtl/>
        </w:rPr>
        <w:t xml:space="preserve"> حتی دیگران را در صورت عدم برآورده کردن انتظارات در جمع تحقیر کنند، کاری که </w:t>
      </w:r>
      <w:r w:rsidRPr="0025250D">
        <w:rPr>
          <w:rtl/>
        </w:rPr>
        <w:t>است</w:t>
      </w:r>
      <w:r w:rsidRPr="0025250D">
        <w:rPr>
          <w:rFonts w:hint="cs"/>
          <w:rtl/>
        </w:rPr>
        <w:t>ی</w:t>
      </w:r>
      <w:r w:rsidRPr="0025250D">
        <w:rPr>
          <w:rFonts w:hint="eastAsia"/>
          <w:rtl/>
        </w:rPr>
        <w:t>و</w:t>
      </w:r>
      <w:r w:rsidRPr="0025250D">
        <w:rPr>
          <w:rtl/>
        </w:rPr>
        <w:t xml:space="preserve"> جابز</w:t>
      </w:r>
      <w:r w:rsidRPr="0025250D">
        <w:rPr>
          <w:rFonts w:hint="cs"/>
          <w:rtl/>
        </w:rPr>
        <w:t xml:space="preserve"> اغلب انجام می‌داد. کتاب </w:t>
      </w:r>
      <w:r w:rsidRPr="0025250D">
        <w:rPr>
          <w:rtl/>
        </w:rPr>
        <w:t>است</w:t>
      </w:r>
      <w:r w:rsidRPr="0025250D">
        <w:rPr>
          <w:rFonts w:hint="cs"/>
          <w:rtl/>
        </w:rPr>
        <w:t>ی</w:t>
      </w:r>
      <w:r w:rsidRPr="0025250D">
        <w:rPr>
          <w:rFonts w:hint="eastAsia"/>
          <w:rtl/>
        </w:rPr>
        <w:t>و</w:t>
      </w:r>
      <w:r w:rsidRPr="0025250D">
        <w:rPr>
          <w:rtl/>
        </w:rPr>
        <w:t xml:space="preserve"> جابز</w:t>
      </w:r>
      <w:r w:rsidRPr="0025250D">
        <w:rPr>
          <w:rFonts w:hint="cs"/>
          <w:rtl/>
        </w:rPr>
        <w:t xml:space="preserve"> اثر </w:t>
      </w:r>
      <w:r w:rsidRPr="0025250D">
        <w:rPr>
          <w:rtl/>
        </w:rPr>
        <w:t>والتر آ</w:t>
      </w:r>
      <w:r w:rsidRPr="0025250D">
        <w:rPr>
          <w:rFonts w:hint="cs"/>
          <w:rtl/>
        </w:rPr>
        <w:t>ی</w:t>
      </w:r>
      <w:r w:rsidRPr="0025250D">
        <w:rPr>
          <w:rFonts w:hint="eastAsia"/>
          <w:rtl/>
        </w:rPr>
        <w:t>زاکسون</w:t>
      </w:r>
      <w:r w:rsidRPr="0025250D">
        <w:rPr>
          <w:vertAlign w:val="superscript"/>
          <w:rtl/>
        </w:rPr>
        <w:footnoteReference w:id="2273"/>
      </w:r>
      <w:r w:rsidRPr="0025250D">
        <w:rPr>
          <w:rFonts w:hint="cs"/>
          <w:rtl/>
        </w:rPr>
        <w:t xml:space="preserve"> در سال 2011 را برای گزارشات متعدد بسیاری مانند این مورد ببینید. در مقابل، رهبران می‌توانند ایده پردازی و نوآوری را در همه کارمندان و ذینفعان خود دوست داشته باشند و آن را تشویق کنند، </w:t>
      </w:r>
      <w:r w:rsidR="007118DE" w:rsidRPr="0025250D">
        <w:rPr>
          <w:rFonts w:hint="cs"/>
          <w:rtl/>
        </w:rPr>
        <w:t>همان‌طور</w:t>
      </w:r>
      <w:r w:rsidRPr="0025250D">
        <w:rPr>
          <w:rFonts w:hint="cs"/>
          <w:rtl/>
        </w:rPr>
        <w:t xml:space="preserve"> که در دوران تصدی </w:t>
      </w:r>
      <w:r w:rsidR="00D30084" w:rsidRPr="0025250D">
        <w:rPr>
          <w:rFonts w:hint="cs"/>
          <w:rtl/>
        </w:rPr>
        <w:t>آینده‌نگار</w:t>
      </w:r>
      <w:r w:rsidRPr="0025250D">
        <w:rPr>
          <w:rFonts w:hint="cs"/>
          <w:rtl/>
        </w:rPr>
        <w:t xml:space="preserve">انی مانند </w:t>
      </w:r>
      <w:r w:rsidRPr="0025250D">
        <w:rPr>
          <w:rtl/>
        </w:rPr>
        <w:t>لر</w:t>
      </w:r>
      <w:r w:rsidRPr="0025250D">
        <w:rPr>
          <w:rFonts w:hint="cs"/>
          <w:rtl/>
        </w:rPr>
        <w:t>ی</w:t>
      </w:r>
      <w:r w:rsidRPr="0025250D">
        <w:rPr>
          <w:rtl/>
        </w:rPr>
        <w:t xml:space="preserve"> پ</w:t>
      </w:r>
      <w:r w:rsidRPr="0025250D">
        <w:rPr>
          <w:rFonts w:hint="cs"/>
          <w:rtl/>
        </w:rPr>
        <w:t>ی</w:t>
      </w:r>
      <w:r w:rsidRPr="0025250D">
        <w:rPr>
          <w:rFonts w:hint="eastAsia"/>
          <w:rtl/>
        </w:rPr>
        <w:t>ج</w:t>
      </w:r>
      <w:r w:rsidRPr="0025250D">
        <w:rPr>
          <w:vertAlign w:val="superscript"/>
          <w:rtl/>
        </w:rPr>
        <w:footnoteReference w:id="2274"/>
      </w:r>
      <w:r w:rsidRPr="0025250D">
        <w:rPr>
          <w:rFonts w:hint="cs"/>
          <w:rtl/>
        </w:rPr>
        <w:t xml:space="preserve"> و </w:t>
      </w:r>
      <w:r w:rsidRPr="0025250D">
        <w:rPr>
          <w:rtl/>
        </w:rPr>
        <w:t>سرگئ</w:t>
      </w:r>
      <w:r w:rsidRPr="0025250D">
        <w:rPr>
          <w:rFonts w:hint="cs"/>
          <w:rtl/>
        </w:rPr>
        <w:t>ی</w:t>
      </w:r>
      <w:r w:rsidRPr="0025250D">
        <w:rPr>
          <w:rtl/>
        </w:rPr>
        <w:t xml:space="preserve"> بر</w:t>
      </w:r>
      <w:r w:rsidRPr="0025250D">
        <w:rPr>
          <w:rFonts w:hint="cs"/>
          <w:rtl/>
        </w:rPr>
        <w:t>ی</w:t>
      </w:r>
      <w:r w:rsidRPr="0025250D">
        <w:rPr>
          <w:rFonts w:hint="eastAsia"/>
          <w:rtl/>
        </w:rPr>
        <w:t>ن</w:t>
      </w:r>
      <w:r w:rsidRPr="0025250D">
        <w:rPr>
          <w:vertAlign w:val="superscript"/>
          <w:rtl/>
        </w:rPr>
        <w:footnoteReference w:id="2275"/>
      </w:r>
      <w:r w:rsidRPr="0025250D">
        <w:rPr>
          <w:rFonts w:hint="cs"/>
          <w:rtl/>
        </w:rPr>
        <w:t xml:space="preserve"> به عنوان مدیران عامل گوگل</w:t>
      </w:r>
      <w:r w:rsidR="00CF60F2" w:rsidRPr="0025250D">
        <w:rPr>
          <w:rFonts w:hint="cs"/>
          <w:rtl/>
        </w:rPr>
        <w:t xml:space="preserve"> می‌بینیم</w:t>
      </w:r>
      <w:r w:rsidRPr="0025250D">
        <w:rPr>
          <w:rFonts w:hint="cs"/>
          <w:rtl/>
        </w:rPr>
        <w:t xml:space="preserve">، جایی که یک فرهنگ نوآوری تیمی و فرهنگی امن برای شکست نوآوری‌ها برای یک شرکت 50000 نفری </w:t>
      </w:r>
      <w:r w:rsidR="00CF60F2" w:rsidRPr="0025250D">
        <w:rPr>
          <w:rFonts w:hint="cs"/>
          <w:rtl/>
        </w:rPr>
        <w:t xml:space="preserve">به‌خوبی </w:t>
      </w:r>
      <w:r w:rsidRPr="0025250D">
        <w:rPr>
          <w:rFonts w:hint="cs"/>
          <w:rtl/>
        </w:rPr>
        <w:t xml:space="preserve">گسترش یافته است که در این ابعاد بسیار نادر است. استدلال خوبی وجود دارد که تمرکز نوآوری </w:t>
      </w:r>
      <w:r w:rsidRPr="0025250D">
        <w:rPr>
          <w:rtl/>
        </w:rPr>
        <w:t>گوگل</w:t>
      </w:r>
      <w:r w:rsidRPr="0025250D">
        <w:rPr>
          <w:rFonts w:hint="cs"/>
          <w:rtl/>
        </w:rPr>
        <w:t xml:space="preserve"> تحت تاثیر دوبرابر سازی اخیر خود، در رسیدن به 100000 کارمند و تغییر مدیرعامل خود به یک مدیرعامل مبادله ای</w:t>
      </w:r>
      <w:r w:rsidRPr="0025250D">
        <w:rPr>
          <w:vertAlign w:val="superscript"/>
          <w:rtl/>
        </w:rPr>
        <w:footnoteReference w:id="2276"/>
      </w:r>
      <w:r w:rsidRPr="0025250D">
        <w:rPr>
          <w:rFonts w:hint="cs"/>
          <w:rtl/>
        </w:rPr>
        <w:t xml:space="preserve">، یعنی </w:t>
      </w:r>
      <w:r w:rsidRPr="0025250D">
        <w:rPr>
          <w:rtl/>
        </w:rPr>
        <w:t>ساندار پ</w:t>
      </w:r>
      <w:r w:rsidRPr="0025250D">
        <w:rPr>
          <w:rFonts w:hint="cs"/>
          <w:rtl/>
        </w:rPr>
        <w:t>ی</w:t>
      </w:r>
      <w:r w:rsidRPr="0025250D">
        <w:rPr>
          <w:rFonts w:hint="eastAsia"/>
          <w:rtl/>
        </w:rPr>
        <w:t>چا</w:t>
      </w:r>
      <w:r w:rsidRPr="0025250D">
        <w:rPr>
          <w:rFonts w:hint="cs"/>
          <w:rtl/>
        </w:rPr>
        <w:t>ی</w:t>
      </w:r>
      <w:r w:rsidRPr="0025250D">
        <w:rPr>
          <w:vertAlign w:val="superscript"/>
          <w:rtl/>
        </w:rPr>
        <w:footnoteReference w:id="2277"/>
      </w:r>
      <w:r w:rsidRPr="0025250D">
        <w:rPr>
          <w:rFonts w:hint="cs"/>
          <w:rtl/>
        </w:rPr>
        <w:t>، به</w:t>
      </w:r>
      <w:r w:rsidRPr="0025250D">
        <w:rPr>
          <w:rtl/>
        </w:rPr>
        <w:t xml:space="preserve"> </w:t>
      </w:r>
      <w:r w:rsidRPr="0025250D">
        <w:rPr>
          <w:rFonts w:hint="cs"/>
          <w:rtl/>
        </w:rPr>
        <w:t>شکل</w:t>
      </w:r>
      <w:r w:rsidRPr="0025250D">
        <w:rPr>
          <w:rtl/>
        </w:rPr>
        <w:t xml:space="preserve"> </w:t>
      </w:r>
      <w:r w:rsidRPr="0025250D">
        <w:rPr>
          <w:rFonts w:hint="cs"/>
          <w:rtl/>
        </w:rPr>
        <w:t>اساسی کاهش یافته است. نوآوری همواره از نظر فرهنگی با منتفع شدن شرکت و رشد ابعاد آن دشوار‌تر می‌شود.</w:t>
      </w:r>
    </w:p>
    <w:p w14:paraId="7DDFC2E2" w14:textId="5243FE4D" w:rsidR="00537CC8" w:rsidRPr="0025250D" w:rsidRDefault="00537CC8" w:rsidP="00537CC8">
      <w:pPr>
        <w:rPr>
          <w:rtl/>
        </w:rPr>
      </w:pPr>
      <w:r w:rsidRPr="0025250D">
        <w:rPr>
          <w:rFonts w:hint="cs"/>
          <w:rtl/>
        </w:rPr>
        <w:t xml:space="preserve">بهترین رهبران نوآوری نه تنها به اخلاق توجه دارند، بلکه محیطی از هیجانات مثبت و دلسوزانه را در تیم‌های خود حفظ می‌کنند. آیا شما فرایند نوآوری را دوست دارید؟ آیا تمایل دارید که به شکست‌ها بخندید و از آن‌ها درس بگیرید، </w:t>
      </w:r>
      <w:r w:rsidR="007118DE" w:rsidRPr="0025250D">
        <w:rPr>
          <w:rFonts w:hint="cs"/>
          <w:rtl/>
        </w:rPr>
        <w:t>همان‌طور</w:t>
      </w:r>
      <w:r w:rsidRPr="0025250D">
        <w:rPr>
          <w:rFonts w:hint="cs"/>
          <w:rtl/>
        </w:rPr>
        <w:t xml:space="preserve"> که یک هنرمند بزرگ این کار را انجام می‌دهد؟ ما به عنوان یک رهبر باید یکی از دقیق‌تر نمونه‌های هیجانات مثبت باشیم</w:t>
      </w:r>
      <w:r w:rsidR="008D6F97" w:rsidRPr="0025250D">
        <w:rPr>
          <w:rtl/>
        </w:rPr>
        <w:t xml:space="preserve">؛ </w:t>
      </w:r>
      <w:r w:rsidR="0020589F" w:rsidRPr="0025250D">
        <w:rPr>
          <w:rtl/>
        </w:rPr>
        <w:t>اما</w:t>
      </w:r>
      <w:r w:rsidRPr="0025250D">
        <w:rPr>
          <w:rFonts w:hint="cs"/>
          <w:rtl/>
        </w:rPr>
        <w:t xml:space="preserve"> در دسترس بودن از نظر هیجانات، پذیرش تیممان به همان صورتی که هست، تشویق تلاش‌های آن‌ها در جهت خلاقیت مفید، تحمل و یادگیری از شکست و فراهم کردن بازخورد صادقانه منظم، همگی کلیدهایی برای رسیدن به حداکثر خلاقیت هستند.</w:t>
      </w:r>
    </w:p>
    <w:p w14:paraId="0C445576" w14:textId="1FC15666" w:rsidR="00537CC8" w:rsidRPr="0025250D" w:rsidRDefault="00CF60F2" w:rsidP="00537CC8">
      <w:pPr>
        <w:rPr>
          <w:rtl/>
        </w:rPr>
      </w:pPr>
      <w:r w:rsidRPr="0025250D">
        <w:rPr>
          <w:rFonts w:hint="cs"/>
          <w:rtl/>
        </w:rPr>
        <w:t xml:space="preserve">مشاوران و </w:t>
      </w:r>
      <w:r w:rsidR="00537CC8" w:rsidRPr="0025250D">
        <w:rPr>
          <w:rFonts w:hint="cs"/>
          <w:rtl/>
        </w:rPr>
        <w:t xml:space="preserve">افرادی که در زمینه </w:t>
      </w:r>
      <w:r w:rsidR="00701E03" w:rsidRPr="0025250D">
        <w:rPr>
          <w:rFonts w:hint="cs"/>
          <w:rtl/>
        </w:rPr>
        <w:t>راهبرد</w:t>
      </w:r>
      <w:r w:rsidR="00537CC8" w:rsidRPr="0025250D">
        <w:rPr>
          <w:rFonts w:hint="cs"/>
          <w:rtl/>
        </w:rPr>
        <w:t xml:space="preserve"> و نوآوری در شرکت‌های بزرگ فعالیت می‌کنند، به‌خوبی از به یاد داشتن این که بیش‌تر نوآوری‌های مفید ابتدا از جانب بازیگران کوچک و متوسط در یک بازار می‌آیند، در حالی که بازیگران بزرگ اغلب بر ضد نوآوری هستند (به دنبال حق ثبت اختراع، کاهش سرعت و ممانعت از نوآوری برای حداکثر زمان ممکن هستند) منتفع خواهند شد. می‌توانیم این پویایی اقتصادی کلاسیک را قانون نوآوری 80/20 بنامیم. خوشبختانه، وقتی یک نوآوری جدید واقعا مفید از یکی از بازیگران کوچک در دنباله بلند</w:t>
      </w:r>
      <w:r w:rsidR="00537CC8" w:rsidRPr="0025250D">
        <w:rPr>
          <w:vertAlign w:val="superscript"/>
          <w:rtl/>
        </w:rPr>
        <w:footnoteReference w:id="2278"/>
      </w:r>
      <w:r w:rsidR="00537CC8" w:rsidRPr="0025250D">
        <w:rPr>
          <w:rFonts w:hint="cs"/>
          <w:rtl/>
        </w:rPr>
        <w:t xml:space="preserve"> پدیدار می‌شود و آن شرکت آغاز به کسب سهمی از بازار می‌نماید، بازیگران موجود در </w:t>
      </w:r>
      <w:r w:rsidR="0053184A" w:rsidRPr="0025250D">
        <w:rPr>
          <w:rFonts w:hint="cs"/>
          <w:rtl/>
        </w:rPr>
        <w:t>بخش چاق</w:t>
      </w:r>
      <w:r w:rsidR="00537CC8" w:rsidRPr="0025250D">
        <w:rPr>
          <w:vertAlign w:val="superscript"/>
          <w:rtl/>
        </w:rPr>
        <w:footnoteReference w:id="2279"/>
      </w:r>
      <w:r w:rsidR="00537CC8" w:rsidRPr="0025250D">
        <w:rPr>
          <w:rFonts w:hint="cs"/>
          <w:rtl/>
        </w:rPr>
        <w:t xml:space="preserve"> باید یا با کپی کردن آن یا با خریداری آن یا با کنار گذاشتن نوآوری داخلی که مهندسین و نوآوران خود برای مدت‌های مدید خواستار آن </w:t>
      </w:r>
      <w:r w:rsidR="00B124DE" w:rsidRPr="0025250D">
        <w:rPr>
          <w:rFonts w:hint="cs"/>
          <w:rtl/>
        </w:rPr>
        <w:t>بوده‌اند</w:t>
      </w:r>
      <w:r w:rsidR="00537CC8" w:rsidRPr="0025250D">
        <w:rPr>
          <w:rFonts w:hint="cs"/>
          <w:rtl/>
        </w:rPr>
        <w:t xml:space="preserve"> اما اولویت‌های اجرایی حداکثر سازی سوددهی محافظه‌کارانه مانع آن </w:t>
      </w:r>
      <w:r w:rsidR="00185F3E" w:rsidRPr="0025250D">
        <w:rPr>
          <w:rFonts w:hint="cs"/>
          <w:rtl/>
        </w:rPr>
        <w:t>شده‌اند</w:t>
      </w:r>
      <w:r w:rsidR="00537CC8" w:rsidRPr="0025250D">
        <w:rPr>
          <w:rFonts w:hint="cs"/>
          <w:rtl/>
        </w:rPr>
        <w:t>، پاسخ دهند.</w:t>
      </w:r>
    </w:p>
    <w:p w14:paraId="348F3F00" w14:textId="214D269B" w:rsidR="00537CC8" w:rsidRPr="0025250D" w:rsidRDefault="00537CC8" w:rsidP="00537CC8">
      <w:pPr>
        <w:rPr>
          <w:rtl/>
        </w:rPr>
      </w:pPr>
      <w:r w:rsidRPr="0025250D">
        <w:rPr>
          <w:rFonts w:hint="cs"/>
          <w:rtl/>
        </w:rPr>
        <w:t xml:space="preserve">بسیاری از مدیران ارشد در شرکت‌های بزرگ رویکردی </w:t>
      </w:r>
      <w:r w:rsidR="00791382" w:rsidRPr="0025250D">
        <w:rPr>
          <w:rFonts w:hint="cs"/>
          <w:rtl/>
        </w:rPr>
        <w:t>بیش از حد</w:t>
      </w:r>
      <w:r w:rsidRPr="0025250D">
        <w:rPr>
          <w:rFonts w:hint="cs"/>
          <w:rtl/>
        </w:rPr>
        <w:t xml:space="preserve"> کوتاه مدت و </w:t>
      </w:r>
      <w:r w:rsidRPr="0025250D">
        <w:rPr>
          <w:rtl/>
        </w:rPr>
        <w:t>سهامدارمحور</w:t>
      </w:r>
      <w:r w:rsidRPr="0025250D">
        <w:rPr>
          <w:rFonts w:hint="cs"/>
          <w:rtl/>
        </w:rPr>
        <w:t xml:space="preserve"> دارند، اما آن‌ها تنها کاری را که فکر می‌کنند هوشمندانه‌ترین کار برای شرکت خودشان است انجام می‌دهند. انگیزه‌های طبیعی آن‌ها، وقتی بزرگ می‌شوند، عملکرد ضد نوآورانه </w:t>
      </w:r>
      <w:r w:rsidR="00791382" w:rsidRPr="0025250D">
        <w:rPr>
          <w:rFonts w:hint="cs"/>
          <w:rtl/>
        </w:rPr>
        <w:t>بیشتر</w:t>
      </w:r>
      <w:r w:rsidRPr="0025250D">
        <w:rPr>
          <w:rFonts w:hint="cs"/>
          <w:rtl/>
        </w:rPr>
        <w:t xml:space="preserve"> و جستجوی شرکت‌های کوچکی که بتوانند برای محافظت از سهم بازار خود آن‌ها را خریداری کنند، می‌باشند. تا زمانی که تمرکز صنعتی وجود داشته باشد (یک </w:t>
      </w:r>
      <w:r w:rsidR="0053184A" w:rsidRPr="0025250D">
        <w:rPr>
          <w:rFonts w:hint="cs"/>
          <w:rtl/>
        </w:rPr>
        <w:t>بخش چاق</w:t>
      </w:r>
      <w:r w:rsidRPr="0025250D">
        <w:rPr>
          <w:rFonts w:hint="cs"/>
          <w:rtl/>
        </w:rPr>
        <w:t xml:space="preserve"> یا انحصار چندجانبه</w:t>
      </w:r>
      <w:r w:rsidRPr="0025250D">
        <w:rPr>
          <w:vertAlign w:val="superscript"/>
          <w:rtl/>
        </w:rPr>
        <w:footnoteReference w:id="2280"/>
      </w:r>
      <w:r w:rsidRPr="0025250D">
        <w:rPr>
          <w:rFonts w:hint="cs"/>
          <w:rtl/>
        </w:rPr>
        <w:t xml:space="preserve"> در بالا)، مشوق‌های شرکت‌های بزرگ معمولا با تلاش در جهت کنترل و کاهش سرعت نوآوری و حداکثر سازی بازگشت سرمایه سهام خود همراستا خواهند بود. اپل، </w:t>
      </w:r>
      <w:r w:rsidRPr="0025250D">
        <w:rPr>
          <w:rtl/>
        </w:rPr>
        <w:t>گوگل</w:t>
      </w:r>
      <w:r w:rsidRPr="0025250D">
        <w:rPr>
          <w:rFonts w:hint="cs"/>
          <w:rtl/>
        </w:rPr>
        <w:t xml:space="preserve"> و دیگر شرکت‌ها به ما نشان می‌دهند که انتظارات زیادی از شرکت‌های بزرگ باتوجه به این قاعده وجود دارد (فرهنگ شرکتی می‌تواند قدرتمند‌تر از این الگوی بازاری باشد) و جامعه نیاز دارد تا شرکت‌های بزرگ، تحقیق و توسعه عظیمی برای گسترش نوآوری‌های متعدد انجام دهند، اما رهبران باید همواره نسبت خوبی از شرکت‌های کوچک و تحقیق و توسعه و نوآوری آن‌ها در مراحل اولیه را تأمین مالی و تشویق کنند، زیرا آن‌ها برای نوآوری و رشد (بجای مح</w:t>
      </w:r>
      <w:r w:rsidR="00791382" w:rsidRPr="0025250D">
        <w:rPr>
          <w:rFonts w:hint="cs"/>
          <w:rtl/>
        </w:rPr>
        <w:t>ا</w:t>
      </w:r>
      <w:r w:rsidRPr="0025250D">
        <w:rPr>
          <w:rFonts w:hint="cs"/>
          <w:rtl/>
        </w:rPr>
        <w:t xml:space="preserve">فظت از) سهم بازار کوچک خود همراستا هستند. حمایت قوی از شرکت‌های کوچک، شرکت‌های بزرگ ما را در برابر مشتری مسئول نگه می‌دارد. یک کتاب خوب که این پویایی را در صنایع دفاعی، جایی که منعقدکنندگان قرار دادهای کوچک برای مدت‌ها بسیار نوآورتر از همتایان بزرگ‌تر خود </w:t>
      </w:r>
      <w:r w:rsidR="00B124DE" w:rsidRPr="0025250D">
        <w:rPr>
          <w:rFonts w:hint="cs"/>
          <w:rtl/>
        </w:rPr>
        <w:t>بوده‌اند</w:t>
      </w:r>
      <w:r w:rsidRPr="0025250D">
        <w:rPr>
          <w:rFonts w:hint="cs"/>
          <w:rtl/>
        </w:rPr>
        <w:t>، توضیح می‌دهد، کتاب بسیار خوب تسلیحات و نوآوری</w:t>
      </w:r>
      <w:r w:rsidRPr="0025250D">
        <w:rPr>
          <w:vertAlign w:val="superscript"/>
          <w:rtl/>
        </w:rPr>
        <w:footnoteReference w:id="2281"/>
      </w:r>
      <w:r w:rsidRPr="0025250D">
        <w:rPr>
          <w:rFonts w:hint="cs"/>
          <w:rtl/>
        </w:rPr>
        <w:t xml:space="preserve"> اثر </w:t>
      </w:r>
      <w:r w:rsidRPr="0025250D">
        <w:rPr>
          <w:rtl/>
        </w:rPr>
        <w:t>ج</w:t>
      </w:r>
      <w:r w:rsidRPr="0025250D">
        <w:rPr>
          <w:rFonts w:hint="cs"/>
          <w:rtl/>
        </w:rPr>
        <w:t>ی</w:t>
      </w:r>
      <w:r w:rsidRPr="0025250D">
        <w:rPr>
          <w:rFonts w:hint="eastAsia"/>
          <w:rtl/>
        </w:rPr>
        <w:t>مز</w:t>
      </w:r>
      <w:r w:rsidRPr="0025250D">
        <w:rPr>
          <w:rtl/>
        </w:rPr>
        <w:t xml:space="preserve"> هاس</w:t>
      </w:r>
      <w:r w:rsidRPr="0025250D">
        <w:rPr>
          <w:rFonts w:hint="cs"/>
          <w:rtl/>
        </w:rPr>
        <w:t>ی</w:t>
      </w:r>
      <w:r w:rsidRPr="0025250D">
        <w:rPr>
          <w:rFonts w:hint="eastAsia"/>
          <w:rtl/>
        </w:rPr>
        <w:t>ک</w:t>
      </w:r>
      <w:r w:rsidRPr="0025250D">
        <w:rPr>
          <w:vertAlign w:val="superscript"/>
          <w:rtl/>
        </w:rPr>
        <w:footnoteReference w:id="2282"/>
      </w:r>
      <w:r w:rsidRPr="0025250D">
        <w:rPr>
          <w:rFonts w:hint="cs"/>
          <w:rtl/>
        </w:rPr>
        <w:t xml:space="preserve"> در سال 2008 است.</w:t>
      </w:r>
    </w:p>
    <w:p w14:paraId="7670A023" w14:textId="606BCFD7" w:rsidR="00537CC8" w:rsidRPr="0025250D" w:rsidRDefault="00537CC8" w:rsidP="00537CC8">
      <w:pPr>
        <w:rPr>
          <w:rtl/>
        </w:rPr>
      </w:pPr>
      <w:r w:rsidRPr="0025250D">
        <w:rPr>
          <w:rFonts w:hint="cs"/>
          <w:rtl/>
        </w:rPr>
        <w:t>نوآوران همچنین واگرایی و آزادی را دوست دارند. بهترین راه برای تشویق نوآوری در هر گروهی از دانشجویان یا کارمندان، دادن آزادی بیش‌تر به افراد متناسب با عملکرد بهتر آن‌ها است. این آزادی در مقابل عملکرد خوب برای افراد چپ گرایی که فکر می‌کنند باید با همه یکسان رفتار شود دردسر ساز است، اما واقعا کارایی دارد. پدیده فنلاند</w:t>
      </w:r>
      <w:r w:rsidRPr="0025250D">
        <w:rPr>
          <w:vertAlign w:val="superscript"/>
          <w:rtl/>
        </w:rPr>
        <w:footnoteReference w:id="2283"/>
      </w:r>
      <w:r w:rsidRPr="0025250D">
        <w:rPr>
          <w:rFonts w:hint="cs"/>
          <w:rtl/>
        </w:rPr>
        <w:t xml:space="preserve"> اثر </w:t>
      </w:r>
      <w:r w:rsidRPr="0025250D">
        <w:rPr>
          <w:rtl/>
        </w:rPr>
        <w:t>باب کامپتون</w:t>
      </w:r>
      <w:r w:rsidRPr="0025250D">
        <w:rPr>
          <w:vertAlign w:val="superscript"/>
          <w:rtl/>
        </w:rPr>
        <w:footnoteReference w:id="2284"/>
      </w:r>
      <w:r w:rsidRPr="0025250D">
        <w:rPr>
          <w:rFonts w:hint="cs"/>
          <w:rtl/>
        </w:rPr>
        <w:t xml:space="preserve"> در سال 2011 را برای قدرت تشویق دانشجویان با آزادی وقتی که به استانداردهایی در عملکرد تحصیلی برسند، ببینید. پاداش دادن به کارمندانی که انتظارات و فرا‌تر از آن‌ها را برآورده می‌کنند با جمعه‌های آزاد یا طرح </w:t>
      </w:r>
      <w:r w:rsidRPr="0025250D">
        <w:rPr>
          <w:rtl/>
        </w:rPr>
        <w:t xml:space="preserve">20% </w:t>
      </w:r>
      <w:r w:rsidRPr="0025250D">
        <w:rPr>
          <w:rFonts w:hint="cs"/>
          <w:rtl/>
        </w:rPr>
        <w:t>زمان گوگل یا هر آزادی دیگری که می‌توانیم بدهیم، نشان می‌دهد که درمورد حمایت از نوآوری و رشد فردی جدی هستیم.</w:t>
      </w:r>
    </w:p>
    <w:p w14:paraId="59BC674F" w14:textId="059F89BE" w:rsidR="00537CC8" w:rsidRPr="0025250D" w:rsidRDefault="00537CC8" w:rsidP="00537CC8">
      <w:pPr>
        <w:rPr>
          <w:rtl/>
        </w:rPr>
      </w:pPr>
      <w:r w:rsidRPr="0025250D">
        <w:rPr>
          <w:rFonts w:hint="cs"/>
          <w:rtl/>
        </w:rPr>
        <w:t>موارد متعددی می‌توانند مانع عشق ما به سفر نوآوری شوند. موانع رایج‌تر برای نوآوری عدم اعتماد و ترس هستند. پس از عدم آزادی، این موارد بزرگترین نابود کنندگان خلاقیت هستند. مدیریت این هیجانات منفی به درک (یادگیری) بیش‌تر، دید ارزش آزادی (نوآوری) و بهتر شدن در دلسوزی و یادگیری اعتماد (</w:t>
      </w:r>
      <w:r w:rsidR="0008779C" w:rsidRPr="0025250D">
        <w:rPr>
          <w:rFonts w:hint="cs"/>
          <w:rtl/>
        </w:rPr>
        <w:t>ارتباط‌دهی</w:t>
      </w:r>
      <w:r w:rsidRPr="0025250D">
        <w:rPr>
          <w:rFonts w:hint="cs"/>
          <w:rtl/>
        </w:rPr>
        <w:t>) نیاز دارد. کتاب‌های خوبی که به شما و کارسپارانتان برای غلبه بر عدم اعتماد و ترس کمک می‌کنند کتاب سرعت اعتماد</w:t>
      </w:r>
      <w:r w:rsidRPr="0025250D">
        <w:rPr>
          <w:vertAlign w:val="superscript"/>
          <w:rtl/>
        </w:rPr>
        <w:footnoteReference w:id="2285"/>
      </w:r>
      <w:r w:rsidRPr="0025250D">
        <w:rPr>
          <w:rFonts w:hint="cs"/>
          <w:rtl/>
        </w:rPr>
        <w:t xml:space="preserve"> اثر </w:t>
      </w:r>
      <w:r w:rsidRPr="0025250D">
        <w:rPr>
          <w:rtl/>
        </w:rPr>
        <w:t>استفان کاو</w:t>
      </w:r>
      <w:r w:rsidRPr="0025250D">
        <w:rPr>
          <w:rFonts w:hint="cs"/>
          <w:rtl/>
        </w:rPr>
        <w:t>ی (پسر) در سال 2008، بیرون راندن ترس از محل کار</w:t>
      </w:r>
      <w:r w:rsidRPr="0025250D">
        <w:rPr>
          <w:vertAlign w:val="superscript"/>
          <w:rtl/>
        </w:rPr>
        <w:footnoteReference w:id="2286"/>
      </w:r>
      <w:r w:rsidRPr="0025250D">
        <w:rPr>
          <w:rFonts w:hint="cs"/>
          <w:rtl/>
        </w:rPr>
        <w:t xml:space="preserve"> اثر </w:t>
      </w:r>
      <w:r w:rsidRPr="0025250D">
        <w:rPr>
          <w:rtl/>
        </w:rPr>
        <w:t>را</w:t>
      </w:r>
      <w:r w:rsidRPr="0025250D">
        <w:rPr>
          <w:rFonts w:hint="cs"/>
          <w:rtl/>
        </w:rPr>
        <w:t>ی</w:t>
      </w:r>
      <w:r w:rsidRPr="0025250D">
        <w:rPr>
          <w:rFonts w:hint="eastAsia"/>
          <w:rtl/>
        </w:rPr>
        <w:t>ان</w:t>
      </w:r>
      <w:r w:rsidRPr="0025250D">
        <w:rPr>
          <w:rtl/>
        </w:rPr>
        <w:t xml:space="preserve"> و اوسترا</w:t>
      </w:r>
      <w:r w:rsidRPr="0025250D">
        <w:rPr>
          <w:rFonts w:hint="cs"/>
          <w:rtl/>
        </w:rPr>
        <w:t>ی</w:t>
      </w:r>
      <w:r w:rsidRPr="0025250D">
        <w:rPr>
          <w:rFonts w:hint="eastAsia"/>
          <w:rtl/>
        </w:rPr>
        <w:t>ش</w:t>
      </w:r>
      <w:r w:rsidRPr="0025250D">
        <w:rPr>
          <w:vertAlign w:val="superscript"/>
          <w:rtl/>
        </w:rPr>
        <w:footnoteReference w:id="2287"/>
      </w:r>
      <w:r w:rsidRPr="0025250D">
        <w:rPr>
          <w:rFonts w:hint="cs"/>
          <w:rtl/>
        </w:rPr>
        <w:t xml:space="preserve"> در سال 1998 و شکستن مانع ترس</w:t>
      </w:r>
      <w:r w:rsidRPr="0025250D">
        <w:rPr>
          <w:vertAlign w:val="superscript"/>
          <w:rtl/>
        </w:rPr>
        <w:footnoteReference w:id="2288"/>
      </w:r>
      <w:r w:rsidRPr="0025250D">
        <w:rPr>
          <w:rFonts w:hint="cs"/>
          <w:rtl/>
        </w:rPr>
        <w:t xml:space="preserve"> اثر </w:t>
      </w:r>
      <w:r w:rsidRPr="0025250D">
        <w:rPr>
          <w:rtl/>
        </w:rPr>
        <w:t>تام ر</w:t>
      </w:r>
      <w:r w:rsidRPr="0025250D">
        <w:rPr>
          <w:rFonts w:hint="cs"/>
          <w:rtl/>
        </w:rPr>
        <w:t>ی</w:t>
      </w:r>
      <w:r w:rsidRPr="0025250D">
        <w:rPr>
          <w:rFonts w:hint="eastAsia"/>
          <w:rtl/>
        </w:rPr>
        <w:t>گر</w:t>
      </w:r>
      <w:r w:rsidRPr="0025250D">
        <w:rPr>
          <w:vertAlign w:val="superscript"/>
          <w:rtl/>
        </w:rPr>
        <w:footnoteReference w:id="2289"/>
      </w:r>
      <w:r w:rsidRPr="0025250D">
        <w:rPr>
          <w:rFonts w:hint="cs"/>
          <w:rtl/>
        </w:rPr>
        <w:t xml:space="preserve"> در سال 2011 هستند. کتاب سازمان بی باک</w:t>
      </w:r>
      <w:r w:rsidRPr="0025250D">
        <w:rPr>
          <w:vertAlign w:val="superscript"/>
          <w:rtl/>
        </w:rPr>
        <w:footnoteReference w:id="2290"/>
      </w:r>
      <w:r w:rsidRPr="0025250D">
        <w:rPr>
          <w:rFonts w:hint="cs"/>
          <w:rtl/>
        </w:rPr>
        <w:t xml:space="preserve"> اثر </w:t>
      </w:r>
      <w:r w:rsidRPr="0025250D">
        <w:rPr>
          <w:rtl/>
        </w:rPr>
        <w:t>ام</w:t>
      </w:r>
      <w:r w:rsidRPr="0025250D">
        <w:rPr>
          <w:rFonts w:hint="cs"/>
          <w:rtl/>
        </w:rPr>
        <w:t>ی</w:t>
      </w:r>
      <w:r w:rsidRPr="0025250D">
        <w:rPr>
          <w:rtl/>
        </w:rPr>
        <w:t xml:space="preserve"> ادمونسون</w:t>
      </w:r>
      <w:r w:rsidRPr="0025250D">
        <w:rPr>
          <w:vertAlign w:val="superscript"/>
          <w:rtl/>
        </w:rPr>
        <w:footnoteReference w:id="2291"/>
      </w:r>
      <w:r w:rsidRPr="0025250D">
        <w:rPr>
          <w:rFonts w:hint="cs"/>
          <w:rtl/>
        </w:rPr>
        <w:t xml:space="preserve"> در سال 2018 مطالعه برتر در مورد این امر است که چرا ایمنی روانشناختی که توسط رهبری و قواعد، قوانین و فرهنگ سازمانی ایجاد شده باشد، اهمیت دارد. این یک عامل اساسی برای یادگیری، نوآوری و رشد است.</w:t>
      </w:r>
    </w:p>
    <w:p w14:paraId="2BD420A3" w14:textId="77777777" w:rsidR="00537CC8" w:rsidRPr="0025250D" w:rsidRDefault="00537CC8" w:rsidP="00D53F87">
      <w:pPr>
        <w:jc w:val="center"/>
        <w:rPr>
          <w:rtl/>
        </w:rPr>
      </w:pPr>
      <w:r w:rsidRPr="0025250D">
        <w:rPr>
          <w:noProof/>
          <w:rtl/>
          <w:lang w:bidi="ar-SA"/>
        </w:rPr>
        <w:drawing>
          <wp:inline distT="0" distB="0" distL="0" distR="0" wp14:anchorId="682C199B" wp14:editId="032497B9">
            <wp:extent cx="1471295" cy="2225615"/>
            <wp:effectExtent l="0" t="0" r="0" b="3810"/>
            <wp:docPr id="129" name="Picture 129" descr="D:\کار\مستقل\3 ( ترجمه ی دانشگاه تهران  )\Introduction to Foresight\part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کار\مستقل\3 ( ترجمه ی دانشگاه تهران  )\Introduction to Foresight\part6\27.png"/>
                    <pic:cNvPicPr>
                      <a:picLocks noChangeAspect="1" noChangeArrowheads="1"/>
                    </pic:cNvPicPr>
                  </pic:nvPicPr>
                  <pic:blipFill rotWithShape="1">
                    <a:blip r:embed="rId205" cstate="screen">
                      <a:extLst>
                        <a:ext uri="{BEBA8EAE-BF5A-486C-A8C5-ECC9F3942E4B}">
                          <a14:imgProps xmlns:a14="http://schemas.microsoft.com/office/drawing/2010/main">
                            <a14:imgLayer r:embed="rId206">
                              <a14:imgEffect>
                                <a14:saturation sat="0"/>
                              </a14:imgEffect>
                            </a14:imgLayer>
                          </a14:imgProps>
                        </a:ext>
                        <a:ext uri="{28A0092B-C50C-407E-A947-70E740481C1C}">
                          <a14:useLocalDpi xmlns:a14="http://schemas.microsoft.com/office/drawing/2010/main"/>
                        </a:ext>
                      </a:extLst>
                    </a:blip>
                    <a:srcRect/>
                    <a:stretch/>
                  </pic:blipFill>
                  <pic:spPr bwMode="auto">
                    <a:xfrm>
                      <a:off x="0" y="0"/>
                      <a:ext cx="1477688" cy="2235286"/>
                    </a:xfrm>
                    <a:prstGeom prst="rect">
                      <a:avLst/>
                    </a:prstGeom>
                    <a:noFill/>
                    <a:ln>
                      <a:noFill/>
                    </a:ln>
                    <a:extLst>
                      <a:ext uri="{53640926-AAD7-44D8-BBD7-CCE9431645EC}">
                        <a14:shadowObscured xmlns:a14="http://schemas.microsoft.com/office/drawing/2010/main"/>
                      </a:ext>
                    </a:extLst>
                  </pic:spPr>
                </pic:pic>
              </a:graphicData>
            </a:graphic>
          </wp:inline>
        </w:drawing>
      </w:r>
    </w:p>
    <w:p w14:paraId="03F4C604" w14:textId="77777777" w:rsidR="00537CC8" w:rsidRPr="0025250D" w:rsidRDefault="00537CC8" w:rsidP="00D53F87">
      <w:pPr>
        <w:jc w:val="center"/>
        <w:rPr>
          <w:rtl/>
        </w:rPr>
      </w:pPr>
      <w:r w:rsidRPr="0025250D">
        <w:rPr>
          <w:rFonts w:hint="cs"/>
          <w:rtl/>
        </w:rPr>
        <w:t>مووی، 2008</w:t>
      </w:r>
    </w:p>
    <w:p w14:paraId="605D2ECA" w14:textId="3B222FD5" w:rsidR="00537CC8" w:rsidRPr="0025250D" w:rsidRDefault="00537CC8" w:rsidP="00537CC8">
      <w:pPr>
        <w:rPr>
          <w:rtl/>
        </w:rPr>
      </w:pPr>
      <w:r w:rsidRPr="0025250D">
        <w:rPr>
          <w:rFonts w:hint="cs"/>
          <w:rtl/>
        </w:rPr>
        <w:t xml:space="preserve">ایمان داشتن به تیم و ارزش قائل شدن برای سفرهای خلاقانه آن‌ها، به آن‌ها برای غافل گیر کردن ما </w:t>
      </w:r>
      <w:r w:rsidR="00791382" w:rsidRPr="0025250D">
        <w:rPr>
          <w:rFonts w:hint="cs"/>
          <w:rtl/>
        </w:rPr>
        <w:t>از طریق</w:t>
      </w:r>
      <w:r w:rsidRPr="0025250D">
        <w:rPr>
          <w:rFonts w:hint="cs"/>
          <w:rtl/>
        </w:rPr>
        <w:t xml:space="preserve"> خلاقیت‌های جدید و زیبا انگیزه می‌دهد</w:t>
      </w:r>
      <w:r w:rsidR="008D6F97" w:rsidRPr="0025250D">
        <w:rPr>
          <w:rtl/>
        </w:rPr>
        <w:t xml:space="preserve">؛ </w:t>
      </w:r>
      <w:r w:rsidRPr="0025250D">
        <w:rPr>
          <w:rFonts w:hint="cs"/>
          <w:rtl/>
        </w:rPr>
        <w:t>مانند مهارت یادگیری، مدیران باید محدودیت‌هایی را درمورد زمان و تلاش خلاقانه تنظیم کنند. نوآوری باید با دیگر مهارت‌ها متوازن شود</w:t>
      </w:r>
      <w:r w:rsidR="008D6F97" w:rsidRPr="0025250D">
        <w:rPr>
          <w:rtl/>
        </w:rPr>
        <w:t xml:space="preserve">؛ </w:t>
      </w:r>
      <w:r w:rsidR="0020589F" w:rsidRPr="0025250D">
        <w:rPr>
          <w:rtl/>
        </w:rPr>
        <w:t>اما</w:t>
      </w:r>
      <w:r w:rsidRPr="0025250D">
        <w:rPr>
          <w:rFonts w:hint="cs"/>
          <w:rtl/>
        </w:rPr>
        <w:t xml:space="preserve"> اگر ما فضا و آزادی لازم برای خلاقیت را برای خود ایجاد نکنیم و اگر به ظرفیت خلاقیت خود ایمان نداشته باشیم و بر هیجانات منفی خود مسلط نشویم، افرادی که واقعا سفر نوآوری را دوست دارند در نوآوری از ما سبقت خواهند گرفت.</w:t>
      </w:r>
    </w:p>
    <w:p w14:paraId="71D8E315" w14:textId="083F2402" w:rsidR="00537CC8" w:rsidRPr="0025250D" w:rsidRDefault="00537CC8" w:rsidP="00D53F87">
      <w:pPr>
        <w:pStyle w:val="Heading3"/>
        <w:rPr>
          <w:rtl/>
        </w:rPr>
      </w:pPr>
      <w:r w:rsidRPr="0025250D">
        <w:rPr>
          <w:rFonts w:hint="cs"/>
          <w:rtl/>
        </w:rPr>
        <w:t>مهارت 4.</w:t>
      </w:r>
      <w:r w:rsidRPr="0025250D">
        <w:rPr>
          <w:rFonts w:hint="cs"/>
          <w:u w:val="single"/>
          <w:rtl/>
        </w:rPr>
        <w:t xml:space="preserve"> </w:t>
      </w:r>
      <w:r w:rsidR="00701E03" w:rsidRPr="0025250D">
        <w:rPr>
          <w:rFonts w:hint="cs"/>
          <w:u w:val="single"/>
          <w:rtl/>
        </w:rPr>
        <w:t>راهبرد</w:t>
      </w:r>
      <w:r w:rsidRPr="0025250D">
        <w:rPr>
          <w:rFonts w:hint="cs"/>
          <w:rtl/>
        </w:rPr>
        <w:t xml:space="preserve"> (تفکر در مورد موارد مرجح و قابل اجتناب)</w:t>
      </w:r>
    </w:p>
    <w:p w14:paraId="288C8575" w14:textId="2991D586" w:rsidR="00537CC8" w:rsidRPr="0025250D" w:rsidRDefault="00537CC8" w:rsidP="00537CC8">
      <w:pPr>
        <w:rPr>
          <w:rtl/>
        </w:rPr>
      </w:pPr>
      <w:r w:rsidRPr="0025250D">
        <w:rPr>
          <w:rFonts w:hint="cs"/>
          <w:rtl/>
        </w:rPr>
        <w:t xml:space="preserve">از نظر ما، اجرای </w:t>
      </w:r>
      <w:r w:rsidR="00701E03" w:rsidRPr="0025250D">
        <w:rPr>
          <w:rFonts w:hint="cs"/>
          <w:rtl/>
        </w:rPr>
        <w:t>راهبرد</w:t>
      </w:r>
      <w:r w:rsidRPr="0025250D">
        <w:rPr>
          <w:rFonts w:hint="cs"/>
          <w:rtl/>
        </w:rPr>
        <w:t xml:space="preserve"> </w:t>
      </w:r>
      <w:r w:rsidR="00B124DE" w:rsidRPr="0025250D">
        <w:rPr>
          <w:rFonts w:hint="cs"/>
          <w:rtl/>
        </w:rPr>
        <w:t>انطباق‌پذیر</w:t>
      </w:r>
      <w:r w:rsidRPr="0025250D">
        <w:rPr>
          <w:rFonts w:hint="cs"/>
          <w:rtl/>
        </w:rPr>
        <w:t xml:space="preserve">، به همراه بازبینی (مهارت‌های 4 و 5 و 8) قلب حلقه انجام هستند. انجام این مهارت‌ها به‌خوبی، چیزی است که بیش از همه از </w:t>
      </w:r>
      <w:r w:rsidRPr="0025250D">
        <w:rPr>
          <w:rtl/>
        </w:rPr>
        <w:t>آینده‌نگاری</w:t>
      </w:r>
      <w:r w:rsidRPr="0025250D">
        <w:rPr>
          <w:rFonts w:hint="cs"/>
          <w:rtl/>
        </w:rPr>
        <w:t xml:space="preserve"> می‌خواهیم در انجام آن به ما کمک کند</w:t>
      </w:r>
      <w:r w:rsidR="008D6F97" w:rsidRPr="0025250D">
        <w:rPr>
          <w:rtl/>
        </w:rPr>
        <w:t xml:space="preserve">؛ </w:t>
      </w:r>
      <w:r w:rsidR="0020589F" w:rsidRPr="0025250D">
        <w:rPr>
          <w:rtl/>
        </w:rPr>
        <w:t>اما</w:t>
      </w:r>
      <w:r w:rsidRPr="0025250D">
        <w:rPr>
          <w:rFonts w:hint="cs"/>
          <w:rtl/>
        </w:rPr>
        <w:t xml:space="preserve"> در یک جهان پیچیده و تکاملی-توسعه ای، </w:t>
      </w:r>
      <w:r w:rsidR="00B124DE" w:rsidRPr="0025250D">
        <w:rPr>
          <w:rFonts w:hint="cs"/>
          <w:rtl/>
        </w:rPr>
        <w:t>انطباق‌پذیر</w:t>
      </w:r>
      <w:r w:rsidRPr="0025250D">
        <w:rPr>
          <w:rFonts w:hint="cs"/>
          <w:rtl/>
        </w:rPr>
        <w:t xml:space="preserve"> ماندن به موارد زیادی نیاز دارد. ما 13 تخصص عملی را تا به حال مورد بحث قرار </w:t>
      </w:r>
      <w:r w:rsidR="00892D13" w:rsidRPr="0025250D">
        <w:rPr>
          <w:rFonts w:hint="cs"/>
          <w:rtl/>
        </w:rPr>
        <w:t>داده‌ایم</w:t>
      </w:r>
      <w:r w:rsidRPr="0025250D">
        <w:rPr>
          <w:rFonts w:hint="cs"/>
          <w:rtl/>
        </w:rPr>
        <w:t xml:space="preserve">، فعالیت‌هایی که ما را به نقطه ایجاد </w:t>
      </w:r>
      <w:r w:rsidR="00701E03" w:rsidRPr="0025250D">
        <w:rPr>
          <w:rFonts w:hint="cs"/>
          <w:rtl/>
        </w:rPr>
        <w:t>راهبرد</w:t>
      </w:r>
      <w:r w:rsidRPr="0025250D">
        <w:rPr>
          <w:rFonts w:hint="cs"/>
          <w:rtl/>
        </w:rPr>
        <w:t xml:space="preserve"> خوب می‌رسانند. اکنون به دو مهارت دیگر برای ایجاد </w:t>
      </w:r>
      <w:r w:rsidR="00701E03" w:rsidRPr="0025250D">
        <w:rPr>
          <w:rFonts w:hint="cs"/>
          <w:rtl/>
        </w:rPr>
        <w:t>راهبرد</w:t>
      </w:r>
      <w:r w:rsidRPr="0025250D">
        <w:rPr>
          <w:rFonts w:hint="cs"/>
          <w:rtl/>
        </w:rPr>
        <w:t xml:space="preserve"> نگاه می‌کنیم.</w:t>
      </w:r>
    </w:p>
    <w:p w14:paraId="31E8917A" w14:textId="4CEC86BA" w:rsidR="00537CC8" w:rsidRPr="0025250D" w:rsidRDefault="00537CC8" w:rsidP="00537CC8">
      <w:pPr>
        <w:rPr>
          <w:rtl/>
        </w:rPr>
      </w:pPr>
      <w:r w:rsidRPr="0025250D">
        <w:rPr>
          <w:rFonts w:hint="cs"/>
          <w:rtl/>
        </w:rPr>
        <w:t xml:space="preserve">اولین تخصصی که در مهارت </w:t>
      </w:r>
      <w:r w:rsidR="00701E03" w:rsidRPr="0025250D">
        <w:rPr>
          <w:rFonts w:hint="cs"/>
          <w:rtl/>
        </w:rPr>
        <w:t>راهبرد</w:t>
      </w:r>
      <w:r w:rsidRPr="0025250D">
        <w:rPr>
          <w:rFonts w:hint="cs"/>
          <w:rtl/>
        </w:rPr>
        <w:t xml:space="preserve"> مورد بحث قرار خواهیم داد تحلیل و پشتیبانی از </w:t>
      </w:r>
      <w:r w:rsidR="0008779C" w:rsidRPr="0025250D">
        <w:rPr>
          <w:rFonts w:hint="cs"/>
          <w:rtl/>
        </w:rPr>
        <w:t>تصمیم‌گیری</w:t>
      </w:r>
      <w:r w:rsidRPr="0025250D">
        <w:rPr>
          <w:rFonts w:hint="cs"/>
          <w:rtl/>
        </w:rPr>
        <w:t xml:space="preserve"> است. این مجموعه از تخصص‌ها به ما برای تولید و مقایسه گزینه‌های عملی آینده برای سازمان، با استفاده از چند معیار صریح کمک می‌کند. یکی از نسخه‌های فنی‌تر این نکته که معمولا توسط شرکت‌های بزرگی مانند </w:t>
      </w:r>
      <w:r w:rsidRPr="0025250D">
        <w:rPr>
          <w:rtl/>
        </w:rPr>
        <w:t>بوئ</w:t>
      </w:r>
      <w:r w:rsidRPr="0025250D">
        <w:rPr>
          <w:rFonts w:hint="cs"/>
          <w:rtl/>
        </w:rPr>
        <w:t>ی</w:t>
      </w:r>
      <w:r w:rsidRPr="0025250D">
        <w:rPr>
          <w:rFonts w:hint="eastAsia"/>
          <w:rtl/>
        </w:rPr>
        <w:t>نگ</w:t>
      </w:r>
      <w:r w:rsidRPr="0025250D">
        <w:rPr>
          <w:rFonts w:hint="cs"/>
          <w:rtl/>
        </w:rPr>
        <w:t xml:space="preserve"> و </w:t>
      </w:r>
      <w:r w:rsidRPr="0025250D">
        <w:t>GE</w:t>
      </w:r>
      <w:r w:rsidRPr="0025250D">
        <w:rPr>
          <w:rFonts w:hint="cs"/>
          <w:rtl/>
        </w:rPr>
        <w:t xml:space="preserve"> استفاده می‌شود، تحلیل گزینه‌های حقیقی</w:t>
      </w:r>
      <w:r w:rsidRPr="0025250D">
        <w:rPr>
          <w:vertAlign w:val="superscript"/>
          <w:rtl/>
        </w:rPr>
        <w:footnoteReference w:id="2292"/>
      </w:r>
      <w:r w:rsidRPr="0025250D">
        <w:rPr>
          <w:rFonts w:hint="cs"/>
          <w:rtl/>
        </w:rPr>
        <w:t xml:space="preserve"> است که آن‌ها قبل از تعهدات مالی بزرگ استفاده می‌کنند.</w:t>
      </w:r>
    </w:p>
    <w:p w14:paraId="4221C319" w14:textId="1DAAAD97" w:rsidR="00537CC8" w:rsidRPr="0025250D" w:rsidRDefault="00537CC8" w:rsidP="00537CC8">
      <w:pPr>
        <w:rPr>
          <w:rtl/>
        </w:rPr>
      </w:pPr>
      <w:r w:rsidRPr="0025250D">
        <w:rPr>
          <w:rFonts w:hint="cs"/>
          <w:rtl/>
        </w:rPr>
        <w:t xml:space="preserve">تحلیل </w:t>
      </w:r>
      <w:r w:rsidR="00701E03" w:rsidRPr="0025250D">
        <w:rPr>
          <w:rFonts w:hint="cs"/>
          <w:rtl/>
        </w:rPr>
        <w:t>راهبردی</w:t>
      </w:r>
      <w:r w:rsidRPr="0025250D">
        <w:rPr>
          <w:rFonts w:hint="cs"/>
          <w:rtl/>
        </w:rPr>
        <w:t xml:space="preserve"> برای ایجاد فرضیاتی درمورد این یک </w:t>
      </w:r>
      <w:r w:rsidR="008D6F97" w:rsidRPr="0025250D">
        <w:rPr>
          <w:rFonts w:hint="cs"/>
          <w:rtl/>
        </w:rPr>
        <w:t>سامانه‌</w:t>
      </w:r>
      <w:r w:rsidRPr="0025250D">
        <w:rPr>
          <w:rFonts w:hint="cs"/>
          <w:rtl/>
        </w:rPr>
        <w:t xml:space="preserve"> چگونه کار می‌کند استفاده می‌شود، </w:t>
      </w:r>
      <w:r w:rsidR="008D6F97" w:rsidRPr="0025250D">
        <w:rPr>
          <w:rFonts w:hint="cs"/>
          <w:rtl/>
        </w:rPr>
        <w:t>سامانه‌</w:t>
      </w:r>
      <w:r w:rsidRPr="0025250D">
        <w:rPr>
          <w:rFonts w:hint="cs"/>
          <w:rtl/>
        </w:rPr>
        <w:t xml:space="preserve"> را به بخش‌های مفهومی می‌شکند و تفکری درمورد این که چگونه این بخش‌ها با هم تعامل می‌کنند و ارتباط آن‌ها با اهداف سازمانی چگونه است انجام می‌دهد و برخی اوقات آن‌ها را مدلسازی می‌کند. گستره وسیعی از روش‌ها و جوامع قابل استفاده برای </w:t>
      </w:r>
      <w:r w:rsidR="00701E03" w:rsidRPr="0025250D">
        <w:rPr>
          <w:rFonts w:hint="cs"/>
          <w:rtl/>
        </w:rPr>
        <w:t>راهبرد</w:t>
      </w:r>
      <w:r w:rsidRPr="0025250D">
        <w:rPr>
          <w:rFonts w:hint="cs"/>
          <w:rtl/>
        </w:rPr>
        <w:t xml:space="preserve"> از جمله مواردی از </w:t>
      </w:r>
      <w:r w:rsidR="00B124DE" w:rsidRPr="0025250D">
        <w:rPr>
          <w:rFonts w:hint="cs"/>
          <w:rtl/>
        </w:rPr>
        <w:t>کسب‌و‌کار</w:t>
      </w:r>
      <w:r w:rsidRPr="0025250D">
        <w:rPr>
          <w:rFonts w:hint="cs"/>
          <w:rtl/>
        </w:rPr>
        <w:t>، اقتصاد، مهندسی، محاسبات، سیاست، اطلاعات و دیگر موارد وجود دارند.</w:t>
      </w:r>
    </w:p>
    <w:p w14:paraId="24465E64" w14:textId="19CDB1C1" w:rsidR="00537CC8" w:rsidRPr="0025250D" w:rsidRDefault="00537CC8" w:rsidP="00537CC8">
      <w:pPr>
        <w:rPr>
          <w:rtl/>
        </w:rPr>
      </w:pPr>
      <w:r w:rsidRPr="0025250D">
        <w:rPr>
          <w:rFonts w:hint="cs"/>
          <w:rtl/>
        </w:rPr>
        <w:t>مؤسسه تحقیق در عملیات و علوم مدیریتی</w:t>
      </w:r>
      <w:r w:rsidRPr="0025250D">
        <w:rPr>
          <w:vertAlign w:val="superscript"/>
          <w:rtl/>
        </w:rPr>
        <w:footnoteReference w:id="2293"/>
      </w:r>
      <w:r w:rsidRPr="0025250D">
        <w:rPr>
          <w:rFonts w:hint="cs"/>
          <w:rtl/>
        </w:rPr>
        <w:t xml:space="preserve"> (</w:t>
      </w:r>
      <w:r w:rsidRPr="0025250D">
        <w:t>INFORMS</w:t>
      </w:r>
      <w:r w:rsidRPr="0025250D">
        <w:rPr>
          <w:rFonts w:hint="cs"/>
          <w:rtl/>
        </w:rPr>
        <w:t xml:space="preserve">) یک جامعه فعال برجسته برای تحقیق در عملیات، رویکردی فنی و کمّی نسبت به بهینه سازی فرایند است. این تخصص در مهندسی تحقیق در عملیات نامیده می‌شود و در تجارت و </w:t>
      </w:r>
      <w:r w:rsidR="00B124DE" w:rsidRPr="0025250D">
        <w:rPr>
          <w:rFonts w:hint="cs"/>
          <w:rtl/>
        </w:rPr>
        <w:t>کسب‌و‌کار</w:t>
      </w:r>
      <w:r w:rsidRPr="0025250D">
        <w:rPr>
          <w:rFonts w:hint="cs"/>
          <w:rtl/>
        </w:rPr>
        <w:t xml:space="preserve"> علم مدیریت؛ بنابراین برچسب ترکیبی آن </w:t>
      </w:r>
      <w:r w:rsidRPr="0025250D">
        <w:t>OR/MS</w:t>
      </w:r>
      <w:r w:rsidRPr="0025250D">
        <w:rPr>
          <w:rFonts w:hint="cs"/>
          <w:rtl/>
        </w:rPr>
        <w:t xml:space="preserve"> نامیده می‌شود. برای مسائلی که می‌توانند به‌خوبی تعریف شوند و تنها زیرمجموعه‌ای از مسائل در جهان واقعی هستند، </w:t>
      </w:r>
      <w:r w:rsidRPr="0025250D">
        <w:t>OR/MS</w:t>
      </w:r>
      <w:r w:rsidRPr="0025250D">
        <w:rPr>
          <w:rFonts w:hint="cs"/>
          <w:rtl/>
        </w:rPr>
        <w:t xml:space="preserve"> و دیگر روش‌های بهینه سازی می‌توانند ما را به </w:t>
      </w:r>
      <w:r w:rsidR="00701E03" w:rsidRPr="0025250D">
        <w:rPr>
          <w:rFonts w:hint="cs"/>
          <w:rtl/>
        </w:rPr>
        <w:t>راهبرد</w:t>
      </w:r>
      <w:r w:rsidRPr="0025250D">
        <w:rPr>
          <w:rFonts w:hint="cs"/>
          <w:rtl/>
        </w:rPr>
        <w:t xml:space="preserve"> مناسب، حداقل برای اهداف منتخب یک شرکت برسانند</w:t>
      </w:r>
      <w:r w:rsidR="008D6F97" w:rsidRPr="0025250D">
        <w:rPr>
          <w:rtl/>
        </w:rPr>
        <w:t xml:space="preserve">؛ </w:t>
      </w:r>
      <w:r w:rsidR="0020589F" w:rsidRPr="0025250D">
        <w:rPr>
          <w:rtl/>
        </w:rPr>
        <w:t>اما</w:t>
      </w:r>
      <w:r w:rsidRPr="0025250D">
        <w:rPr>
          <w:rFonts w:hint="cs"/>
          <w:rtl/>
        </w:rPr>
        <w:t xml:space="preserve"> آیا آن اهداف بهترین موارد برای یک شرکت مشخص در یک بافت مشخص هستند یا خیر همواره یک حدس شهودی و حسی از طرف رهبران است و در نهایت توسط محیط انتخابی تعیین می‌شود.</w:t>
      </w:r>
    </w:p>
    <w:p w14:paraId="3A9FE0AB" w14:textId="5AB932AC" w:rsidR="00537CC8" w:rsidRPr="0025250D" w:rsidRDefault="00537CC8" w:rsidP="00537CC8">
      <w:pPr>
        <w:rPr>
          <w:rtl/>
        </w:rPr>
      </w:pPr>
      <w:r w:rsidRPr="0025250D">
        <w:rPr>
          <w:rFonts w:hint="cs"/>
          <w:rtl/>
        </w:rPr>
        <w:t xml:space="preserve">یک نکته احتیاطی در اینجا ترتیب است: مفهوم علم مدیریت که در دهه 1970 در میانه آخرین بهار </w:t>
      </w:r>
      <w:r w:rsidRPr="0025250D">
        <w:rPr>
          <w:rtl/>
        </w:rPr>
        <w:t>آینده‌نگاری</w:t>
      </w:r>
      <w:r w:rsidRPr="0025250D">
        <w:rPr>
          <w:rFonts w:hint="cs"/>
          <w:rtl/>
        </w:rPr>
        <w:t xml:space="preserve"> پدیدار شد، اغلب نامی غلط است. به جز در محیط‌های </w:t>
      </w:r>
      <w:r w:rsidR="0008779C" w:rsidRPr="0025250D">
        <w:rPr>
          <w:rFonts w:hint="cs"/>
          <w:rtl/>
        </w:rPr>
        <w:t>ایدئال</w:t>
      </w:r>
      <w:r w:rsidRPr="0025250D">
        <w:rPr>
          <w:rFonts w:hint="cs"/>
          <w:rtl/>
        </w:rPr>
        <w:t xml:space="preserve"> و با پیچیدگی کم‌تر خاص، تحلیل مدیریتی</w:t>
      </w:r>
      <w:r w:rsidRPr="0025250D">
        <w:rPr>
          <w:vertAlign w:val="superscript"/>
          <w:rtl/>
        </w:rPr>
        <w:footnoteReference w:id="2294"/>
      </w:r>
      <w:r w:rsidRPr="0025250D">
        <w:rPr>
          <w:rFonts w:hint="cs"/>
          <w:rtl/>
        </w:rPr>
        <w:t xml:space="preserve"> یک عنوان دقیق‌تر برای مدل‌ها، روش‌ها و </w:t>
      </w:r>
      <w:r w:rsidR="00B13F65" w:rsidRPr="0025250D">
        <w:rPr>
          <w:rFonts w:hint="cs"/>
          <w:rtl/>
        </w:rPr>
        <w:t>چارچوب</w:t>
      </w:r>
      <w:r w:rsidRPr="0025250D">
        <w:rPr>
          <w:rFonts w:hint="cs"/>
          <w:rtl/>
        </w:rPr>
        <w:t xml:space="preserve">‌های مورد استفاده در </w:t>
      </w:r>
      <w:r w:rsidRPr="0025250D">
        <w:t>OR/MS</w:t>
      </w:r>
      <w:r w:rsidRPr="0025250D">
        <w:rPr>
          <w:rFonts w:hint="cs"/>
          <w:rtl/>
        </w:rPr>
        <w:t xml:space="preserve"> است. درحالی که این زمینه می‌تواند پاسخ‌هایی دقیق و فنی به ما بدهد، اثربخشی آن پاسخ‌ها یک پرسش کاملا متفاوت است. ما باید مراقب باشیم که برای </w:t>
      </w:r>
      <w:r w:rsidR="00923DDB" w:rsidRPr="0025250D">
        <w:rPr>
          <w:rFonts w:hint="cs"/>
          <w:rtl/>
        </w:rPr>
        <w:t>به‌کارگیری</w:t>
      </w:r>
      <w:r w:rsidRPr="0025250D">
        <w:rPr>
          <w:rFonts w:hint="cs"/>
          <w:rtl/>
        </w:rPr>
        <w:t xml:space="preserve"> روش تحلیل مورد علاقه خود پیچیدگی کامل یک شرایط را کنار نگذاریم و از رویکرد‌های کمّی برای کنار گذاشتن رویکرد‌های کیفی برتر در هر تصمیم </w:t>
      </w:r>
      <w:r w:rsidR="00701E03" w:rsidRPr="0025250D">
        <w:rPr>
          <w:rFonts w:hint="cs"/>
          <w:rtl/>
        </w:rPr>
        <w:t>راهبرد</w:t>
      </w:r>
      <w:r w:rsidRPr="0025250D">
        <w:rPr>
          <w:rFonts w:hint="cs"/>
          <w:rtl/>
        </w:rPr>
        <w:t>ی استفاده نکنیم.</w:t>
      </w:r>
    </w:p>
    <w:p w14:paraId="227ADEC2" w14:textId="077455D7" w:rsidR="00537CC8" w:rsidRPr="0025250D" w:rsidRDefault="00537CC8" w:rsidP="00537CC8">
      <w:pPr>
        <w:rPr>
          <w:rtl/>
        </w:rPr>
      </w:pPr>
      <w:r w:rsidRPr="0025250D">
        <w:rPr>
          <w:rFonts w:hint="cs"/>
          <w:rtl/>
        </w:rPr>
        <w:t xml:space="preserve">پشتیبانی از تصمیم یک اصطلاح کلی دیگر برای روش‌ها و </w:t>
      </w:r>
      <w:r w:rsidR="007A53FD" w:rsidRPr="0025250D">
        <w:rPr>
          <w:rFonts w:hint="cs"/>
          <w:rtl/>
        </w:rPr>
        <w:t>فناوری</w:t>
      </w:r>
      <w:r w:rsidRPr="0025250D">
        <w:rPr>
          <w:rFonts w:hint="cs"/>
          <w:rtl/>
        </w:rPr>
        <w:t xml:space="preserve">‌هایی است که به شرکت برای </w:t>
      </w:r>
      <w:r w:rsidR="0008779C" w:rsidRPr="0025250D">
        <w:rPr>
          <w:rFonts w:hint="cs"/>
          <w:rtl/>
        </w:rPr>
        <w:t>تصمیم‌گیری</w:t>
      </w:r>
      <w:r w:rsidRPr="0025250D">
        <w:rPr>
          <w:rFonts w:hint="cs"/>
          <w:rtl/>
        </w:rPr>
        <w:t xml:space="preserve"> از میان گزینه‌های شناخته شده کمک می‌کند. این مورد بسیار مشابه با تحلیل </w:t>
      </w:r>
      <w:r w:rsidR="00701E03" w:rsidRPr="0025250D">
        <w:rPr>
          <w:rFonts w:hint="cs"/>
          <w:rtl/>
        </w:rPr>
        <w:t>راهبردی</w:t>
      </w:r>
      <w:r w:rsidRPr="0025250D">
        <w:rPr>
          <w:rFonts w:hint="cs"/>
          <w:rtl/>
        </w:rPr>
        <w:t xml:space="preserve"> است، اما بیش‌تر بر این که </w:t>
      </w:r>
      <w:r w:rsidR="00701E03" w:rsidRPr="0025250D">
        <w:rPr>
          <w:rFonts w:hint="cs"/>
          <w:rtl/>
        </w:rPr>
        <w:t>راهبرد</w:t>
      </w:r>
      <w:r w:rsidRPr="0025250D">
        <w:rPr>
          <w:rFonts w:hint="cs"/>
          <w:rtl/>
        </w:rPr>
        <w:t xml:space="preserve"> و دیگر فرایند‌ها چگونه به ما برای </w:t>
      </w:r>
      <w:r w:rsidR="0008779C" w:rsidRPr="0025250D">
        <w:rPr>
          <w:rFonts w:hint="cs"/>
          <w:rtl/>
        </w:rPr>
        <w:t>تصمیم‌گیری</w:t>
      </w:r>
      <w:r w:rsidRPr="0025250D">
        <w:rPr>
          <w:rFonts w:hint="cs"/>
          <w:rtl/>
        </w:rPr>
        <w:t xml:space="preserve">‌های بهتر کمک می‌کنند تمرکز دارد. این تخصص </w:t>
      </w:r>
      <w:r w:rsidRPr="0025250D">
        <w:rPr>
          <w:rtl/>
        </w:rPr>
        <w:t>آینده‌نگاری</w:t>
      </w:r>
      <w:r w:rsidRPr="0025250D">
        <w:rPr>
          <w:rFonts w:hint="cs"/>
          <w:rtl/>
        </w:rPr>
        <w:t xml:space="preserve"> نسبت به تحلیل، کوچکتر و کم‌تر توسعه یافته است. کارگروه </w:t>
      </w:r>
      <w:r w:rsidR="008D6F97" w:rsidRPr="0025250D">
        <w:rPr>
          <w:rFonts w:hint="cs"/>
          <w:rtl/>
        </w:rPr>
        <w:t>سامانه‌</w:t>
      </w:r>
      <w:r w:rsidRPr="0025250D">
        <w:rPr>
          <w:rFonts w:hint="cs"/>
          <w:rtl/>
        </w:rPr>
        <w:t>‌های پشتیبانی از تصمیم اروپا</w:t>
      </w:r>
      <w:r w:rsidRPr="0025250D">
        <w:rPr>
          <w:vertAlign w:val="superscript"/>
          <w:rtl/>
        </w:rPr>
        <w:footnoteReference w:id="2295"/>
      </w:r>
      <w:r w:rsidRPr="0025250D">
        <w:rPr>
          <w:rFonts w:hint="cs"/>
          <w:rtl/>
        </w:rPr>
        <w:t xml:space="preserve"> </w:t>
      </w:r>
      <w:r w:rsidRPr="0025250D">
        <w:rPr>
          <w:rtl/>
        </w:rPr>
        <w:t>(</w:t>
      </w:r>
      <w:r w:rsidRPr="0025250D">
        <w:t>EWG-DSS</w:t>
      </w:r>
      <w:r w:rsidRPr="0025250D">
        <w:rPr>
          <w:rtl/>
        </w:rPr>
        <w:t>)</w:t>
      </w:r>
      <w:r w:rsidRPr="0025250D">
        <w:rPr>
          <w:rFonts w:hint="cs"/>
          <w:rtl/>
        </w:rPr>
        <w:t xml:space="preserve"> و کنفرانس آن‌ها با عنوان </w:t>
      </w:r>
      <w:r w:rsidR="007A53FD" w:rsidRPr="0025250D">
        <w:rPr>
          <w:rFonts w:hint="cs"/>
          <w:rtl/>
        </w:rPr>
        <w:t>فناوری</w:t>
      </w:r>
      <w:r w:rsidRPr="0025250D">
        <w:rPr>
          <w:rFonts w:hint="cs"/>
          <w:rtl/>
        </w:rPr>
        <w:t xml:space="preserve"> </w:t>
      </w:r>
      <w:r w:rsidR="008D6F97" w:rsidRPr="0025250D">
        <w:rPr>
          <w:rFonts w:hint="cs"/>
          <w:rtl/>
        </w:rPr>
        <w:t>سامانه‌</w:t>
      </w:r>
      <w:r w:rsidRPr="0025250D">
        <w:rPr>
          <w:rFonts w:hint="cs"/>
          <w:rtl/>
        </w:rPr>
        <w:t xml:space="preserve"> پشتیبانی از تصمیم</w:t>
      </w:r>
      <w:r w:rsidRPr="0025250D">
        <w:rPr>
          <w:vertAlign w:val="superscript"/>
          <w:rtl/>
        </w:rPr>
        <w:footnoteReference w:id="2296"/>
      </w:r>
      <w:r w:rsidRPr="0025250D">
        <w:rPr>
          <w:rFonts w:hint="cs"/>
          <w:rtl/>
        </w:rPr>
        <w:t xml:space="preserve">، مکان مفیدی برای کمک گرفتن در مدلسازی </w:t>
      </w:r>
      <w:r w:rsidR="0008779C" w:rsidRPr="0025250D">
        <w:rPr>
          <w:rFonts w:hint="cs"/>
          <w:rtl/>
        </w:rPr>
        <w:t>تصمیم‌گیری</w:t>
      </w:r>
      <w:r w:rsidRPr="0025250D">
        <w:rPr>
          <w:rFonts w:hint="cs"/>
          <w:rtl/>
        </w:rPr>
        <w:t xml:space="preserve"> و استفاده از </w:t>
      </w:r>
      <w:r w:rsidR="007A53FD" w:rsidRPr="0025250D">
        <w:rPr>
          <w:rFonts w:hint="cs"/>
          <w:rtl/>
        </w:rPr>
        <w:t>فناوری</w:t>
      </w:r>
      <w:r w:rsidRPr="0025250D">
        <w:rPr>
          <w:rFonts w:hint="cs"/>
          <w:rtl/>
        </w:rPr>
        <w:t xml:space="preserve"> برای </w:t>
      </w:r>
      <w:r w:rsidR="0008779C" w:rsidRPr="0025250D">
        <w:rPr>
          <w:rFonts w:hint="cs"/>
          <w:rtl/>
        </w:rPr>
        <w:t>تصمیم‌گیری</w:t>
      </w:r>
      <w:r w:rsidRPr="0025250D">
        <w:rPr>
          <w:rFonts w:hint="cs"/>
          <w:rtl/>
        </w:rPr>
        <w:t xml:space="preserve"> بهتر است.</w:t>
      </w:r>
    </w:p>
    <w:p w14:paraId="5EC07BC3" w14:textId="1AB9BFA5" w:rsidR="00537CC8" w:rsidRPr="0025250D" w:rsidRDefault="00537CC8" w:rsidP="00537CC8">
      <w:pPr>
        <w:rPr>
          <w:rtl/>
        </w:rPr>
      </w:pPr>
      <w:r w:rsidRPr="0025250D">
        <w:rPr>
          <w:rFonts w:hint="cs"/>
          <w:rtl/>
        </w:rPr>
        <w:t xml:space="preserve">بار دیگر، هدف نهایی برای هر شرکتی داشتن یک </w:t>
      </w:r>
      <w:r w:rsidR="00701E03" w:rsidRPr="0025250D">
        <w:rPr>
          <w:rFonts w:hint="cs"/>
          <w:rtl/>
        </w:rPr>
        <w:t>راهبرد</w:t>
      </w:r>
      <w:r w:rsidRPr="0025250D">
        <w:rPr>
          <w:rFonts w:hint="cs"/>
          <w:rtl/>
        </w:rPr>
        <w:t xml:space="preserve"> و اجرای </w:t>
      </w:r>
      <w:r w:rsidR="00B124DE" w:rsidRPr="0025250D">
        <w:rPr>
          <w:rFonts w:hint="cs"/>
          <w:rtl/>
        </w:rPr>
        <w:t>انطباق‌پذیر</w:t>
      </w:r>
      <w:r w:rsidRPr="0025250D">
        <w:rPr>
          <w:rFonts w:hint="cs"/>
          <w:rtl/>
        </w:rPr>
        <w:t xml:space="preserve"> مداوم است، حتی با تغییر دوره‌ای شرایط محیطی. بیش‌تر مسائل تجاری که ذاتا تکاملی و غیر قابل پیش‌بینی هستند، هیچ پاسخ درست واضحی ندارند. در مورد همین مسائل است که تجربه، تنوع شناختی، استفاده خوب از هشت مهارت و ارزش‌ها و شخصیت خوب می‌توانند واقعا به </w:t>
      </w:r>
      <w:r w:rsidR="00B124DE" w:rsidRPr="0025250D">
        <w:rPr>
          <w:rFonts w:hint="cs"/>
          <w:rtl/>
        </w:rPr>
        <w:t>انطباق‌پذیر</w:t>
      </w:r>
      <w:r w:rsidRPr="0025250D">
        <w:rPr>
          <w:rFonts w:hint="cs"/>
          <w:rtl/>
        </w:rPr>
        <w:t>ی شرکت کمک کنند.</w:t>
      </w:r>
    </w:p>
    <w:p w14:paraId="1958C607" w14:textId="3726209F" w:rsidR="00537CC8" w:rsidRPr="0025250D" w:rsidRDefault="00537CC8" w:rsidP="00537CC8">
      <w:pPr>
        <w:rPr>
          <w:rtl/>
        </w:rPr>
      </w:pPr>
      <w:r w:rsidRPr="0025250D">
        <w:rPr>
          <w:rFonts w:hint="cs"/>
          <w:rtl/>
        </w:rPr>
        <w:t xml:space="preserve">تخصص </w:t>
      </w:r>
      <w:r w:rsidR="00EE4B64" w:rsidRPr="0025250D">
        <w:rPr>
          <w:rFonts w:hint="cs"/>
          <w:rtl/>
        </w:rPr>
        <w:t>چشم‌اندازسازی</w:t>
      </w:r>
      <w:r w:rsidRPr="0025250D">
        <w:rPr>
          <w:rFonts w:hint="cs"/>
          <w:rtl/>
        </w:rPr>
        <w:t xml:space="preserve">، اهداف، </w:t>
      </w:r>
      <w:r w:rsidR="00701E03" w:rsidRPr="0025250D">
        <w:rPr>
          <w:rFonts w:hint="cs"/>
          <w:rtl/>
        </w:rPr>
        <w:t>راهبرد</w:t>
      </w:r>
      <w:r w:rsidRPr="0025250D">
        <w:rPr>
          <w:rFonts w:hint="cs"/>
          <w:rtl/>
        </w:rPr>
        <w:t xml:space="preserve"> و برنامه‌ریزی با فعالیت‌هایی مانند تعیین ارزش‌ها</w:t>
      </w:r>
      <w:r w:rsidR="00791382" w:rsidRPr="0025250D">
        <w:rPr>
          <w:rFonts w:hint="cs"/>
          <w:rtl/>
        </w:rPr>
        <w:t>،</w:t>
      </w:r>
      <w:r w:rsidRPr="0025250D">
        <w:rPr>
          <w:rFonts w:hint="cs"/>
          <w:rtl/>
        </w:rPr>
        <w:t xml:space="preserve"> </w:t>
      </w:r>
      <w:r w:rsidR="00EE4B64" w:rsidRPr="0025250D">
        <w:rPr>
          <w:rFonts w:hint="cs"/>
          <w:rtl/>
        </w:rPr>
        <w:t>چشم‌اندازسازی</w:t>
      </w:r>
      <w:r w:rsidR="00791382" w:rsidRPr="0025250D">
        <w:rPr>
          <w:rFonts w:hint="cs"/>
          <w:rtl/>
        </w:rPr>
        <w:t xml:space="preserve"> و</w:t>
      </w:r>
      <w:r w:rsidRPr="0025250D">
        <w:rPr>
          <w:rFonts w:hint="cs"/>
          <w:rtl/>
        </w:rPr>
        <w:t xml:space="preserve"> تفکر آرمانی ترجیح محور</w:t>
      </w:r>
      <w:r w:rsidR="00791382" w:rsidRPr="0025250D">
        <w:rPr>
          <w:rFonts w:hint="cs"/>
          <w:rtl/>
        </w:rPr>
        <w:t xml:space="preserve"> آغاز می‌گردند</w:t>
      </w:r>
      <w:r w:rsidRPr="0025250D">
        <w:rPr>
          <w:rFonts w:hint="cs"/>
          <w:rtl/>
        </w:rPr>
        <w:t xml:space="preserve"> که سبب حالات آینده </w:t>
      </w:r>
      <w:r w:rsidR="00791382" w:rsidRPr="0025250D">
        <w:rPr>
          <w:rFonts w:hint="cs"/>
          <w:rtl/>
        </w:rPr>
        <w:t>م</w:t>
      </w:r>
      <w:r w:rsidRPr="0025250D">
        <w:rPr>
          <w:rFonts w:hint="cs"/>
          <w:rtl/>
        </w:rPr>
        <w:t>تصور شده</w:t>
      </w:r>
      <w:r w:rsidR="00791382" w:rsidRPr="0025250D">
        <w:rPr>
          <w:rFonts w:hint="cs"/>
          <w:rtl/>
        </w:rPr>
        <w:t>‌ای</w:t>
      </w:r>
      <w:r w:rsidRPr="0025250D">
        <w:rPr>
          <w:rFonts w:hint="cs"/>
          <w:rtl/>
        </w:rPr>
        <w:t xml:space="preserve"> می‌شو</w:t>
      </w:r>
      <w:r w:rsidR="00791382" w:rsidRPr="0025250D">
        <w:rPr>
          <w:rFonts w:hint="cs"/>
          <w:rtl/>
        </w:rPr>
        <w:t>ن</w:t>
      </w:r>
      <w:r w:rsidRPr="0025250D">
        <w:rPr>
          <w:rFonts w:hint="cs"/>
          <w:rtl/>
        </w:rPr>
        <w:t xml:space="preserve">د که پذیرش از جانب رهبری را برای زیرمجموعه‌ای از آن </w:t>
      </w:r>
      <w:r w:rsidR="00B56611" w:rsidRPr="0025250D">
        <w:rPr>
          <w:rFonts w:hint="cs"/>
          <w:rtl/>
        </w:rPr>
        <w:t>چشم‌انداز</w:t>
      </w:r>
      <w:r w:rsidRPr="0025250D">
        <w:rPr>
          <w:rFonts w:hint="cs"/>
          <w:rtl/>
        </w:rPr>
        <w:t xml:space="preserve">‌ها به همراه دارد. برخی شرکت‌های مشاوره‌ای </w:t>
      </w:r>
      <w:r w:rsidRPr="0025250D">
        <w:rPr>
          <w:rtl/>
        </w:rPr>
        <w:t>آینده‌نگاری</w:t>
      </w:r>
      <w:r w:rsidRPr="0025250D">
        <w:rPr>
          <w:rFonts w:hint="cs"/>
          <w:rtl/>
        </w:rPr>
        <w:t xml:space="preserve"> برای کار‌های آرمانگرایانه (</w:t>
      </w:r>
      <w:r w:rsidR="00B56611" w:rsidRPr="0025250D">
        <w:rPr>
          <w:rFonts w:hint="cs"/>
          <w:rtl/>
        </w:rPr>
        <w:t>چشم‌انداز</w:t>
      </w:r>
      <w:r w:rsidRPr="0025250D">
        <w:rPr>
          <w:rFonts w:hint="cs"/>
          <w:rtl/>
        </w:rPr>
        <w:t xml:space="preserve"> و ارزش محور) شناخته </w:t>
      </w:r>
      <w:r w:rsidR="00185F3E" w:rsidRPr="0025250D">
        <w:rPr>
          <w:rFonts w:hint="cs"/>
          <w:rtl/>
        </w:rPr>
        <w:t>شده‌اند</w:t>
      </w:r>
      <w:r w:rsidRPr="0025250D">
        <w:rPr>
          <w:rFonts w:hint="cs"/>
          <w:rtl/>
        </w:rPr>
        <w:t>.</w:t>
      </w:r>
    </w:p>
    <w:p w14:paraId="7DB1BA61" w14:textId="1B358752" w:rsidR="00537CC8" w:rsidRPr="0025250D" w:rsidRDefault="00537CC8" w:rsidP="00537CC8">
      <w:pPr>
        <w:rPr>
          <w:rtl/>
        </w:rPr>
      </w:pPr>
      <w:r w:rsidRPr="0025250D">
        <w:rPr>
          <w:rFonts w:hint="cs"/>
          <w:rtl/>
        </w:rPr>
        <w:t xml:space="preserve">یک فرایند تعیین اهداف تکاملی </w:t>
      </w:r>
      <w:r w:rsidRPr="0025250D">
        <w:rPr>
          <w:rFonts w:cs="Times New Roman" w:hint="cs"/>
          <w:rtl/>
        </w:rPr>
        <w:t>–</w:t>
      </w:r>
      <w:r w:rsidRPr="0025250D">
        <w:rPr>
          <w:rFonts w:hint="cs"/>
          <w:rtl/>
        </w:rPr>
        <w:t xml:space="preserve"> توسعه ای، اهداف و نتایج کلیدی</w:t>
      </w:r>
      <w:r w:rsidRPr="0025250D">
        <w:rPr>
          <w:vertAlign w:val="superscript"/>
          <w:rtl/>
        </w:rPr>
        <w:footnoteReference w:id="2297"/>
      </w:r>
      <w:r w:rsidRPr="0025250D">
        <w:rPr>
          <w:rFonts w:hint="cs"/>
          <w:rtl/>
        </w:rPr>
        <w:t xml:space="preserve"> (</w:t>
      </w:r>
      <w:r w:rsidRPr="0025250D">
        <w:t>OKR</w:t>
      </w:r>
      <w:r w:rsidRPr="0025250D">
        <w:rPr>
          <w:rFonts w:hint="cs"/>
          <w:rtl/>
        </w:rPr>
        <w:t xml:space="preserve"> ها) نامیده می‌شود. این یک روش اندازه گیری نتایج و تنظیم اهداف با مشارکت کارمندان است که اولین بار توسط </w:t>
      </w:r>
      <w:r w:rsidRPr="0025250D">
        <w:rPr>
          <w:rtl/>
        </w:rPr>
        <w:t>ا</w:t>
      </w:r>
      <w:r w:rsidRPr="0025250D">
        <w:rPr>
          <w:rFonts w:hint="cs"/>
          <w:rtl/>
        </w:rPr>
        <w:t>ی</w:t>
      </w:r>
      <w:r w:rsidRPr="0025250D">
        <w:rPr>
          <w:rFonts w:hint="eastAsia"/>
          <w:rtl/>
        </w:rPr>
        <w:t>نتل</w:t>
      </w:r>
      <w:r w:rsidRPr="0025250D">
        <w:rPr>
          <w:rFonts w:hint="cs"/>
          <w:rtl/>
        </w:rPr>
        <w:t xml:space="preserve"> در دهه 1970 به کار گرفته شد و توسط گوگل در دهه ‌های 1990 و 2000 اصلاح شد. برای جزئیات بیش‌تر درمورد این که چگونه از </w:t>
      </w:r>
      <w:r w:rsidRPr="0025250D">
        <w:t>OKR</w:t>
      </w:r>
      <w:r w:rsidRPr="0025250D">
        <w:rPr>
          <w:rFonts w:hint="cs"/>
          <w:rtl/>
        </w:rPr>
        <w:t xml:space="preserve">‌ها در شرکت‌ها با هر اندازه‌ای استفاده کنیم، آموزش گوگل درمورد </w:t>
      </w:r>
      <w:r w:rsidRPr="0025250D">
        <w:t>OKR</w:t>
      </w:r>
      <w:r w:rsidRPr="0025250D">
        <w:rPr>
          <w:rFonts w:hint="cs"/>
          <w:rtl/>
        </w:rPr>
        <w:t>‌ها و کتاب عالی آنچه مهم است را اندازه گیری کنید</w:t>
      </w:r>
      <w:r w:rsidRPr="0025250D">
        <w:rPr>
          <w:vertAlign w:val="superscript"/>
          <w:rtl/>
        </w:rPr>
        <w:footnoteReference w:id="2298"/>
      </w:r>
      <w:r w:rsidRPr="0025250D">
        <w:rPr>
          <w:rFonts w:hint="cs"/>
          <w:rtl/>
        </w:rPr>
        <w:t xml:space="preserve"> اثر </w:t>
      </w:r>
      <w:r w:rsidRPr="0025250D">
        <w:rPr>
          <w:rtl/>
        </w:rPr>
        <w:t>جان دوئر</w:t>
      </w:r>
      <w:r w:rsidRPr="0025250D">
        <w:rPr>
          <w:vertAlign w:val="superscript"/>
          <w:rtl/>
        </w:rPr>
        <w:footnoteReference w:id="2299"/>
      </w:r>
      <w:r w:rsidRPr="0025250D">
        <w:rPr>
          <w:rFonts w:hint="cs"/>
          <w:rtl/>
        </w:rPr>
        <w:t xml:space="preserve"> در سال 2018 را ببینید. </w:t>
      </w:r>
      <w:r w:rsidRPr="0025250D">
        <w:t>OKR</w:t>
      </w:r>
      <w:r w:rsidRPr="0025250D">
        <w:rPr>
          <w:rFonts w:hint="cs"/>
          <w:rtl/>
        </w:rPr>
        <w:t xml:space="preserve">‌ها ترکیبی از </w:t>
      </w:r>
      <w:r w:rsidR="00EE4B64" w:rsidRPr="0025250D">
        <w:rPr>
          <w:rFonts w:hint="cs"/>
          <w:rtl/>
        </w:rPr>
        <w:t>چشم‌اندازسازی</w:t>
      </w:r>
      <w:r w:rsidRPr="0025250D">
        <w:rPr>
          <w:rFonts w:hint="cs"/>
          <w:rtl/>
        </w:rPr>
        <w:t xml:space="preserve"> </w:t>
      </w:r>
      <w:r w:rsidR="009D17DA" w:rsidRPr="0025250D">
        <w:rPr>
          <w:rFonts w:hint="cs"/>
          <w:rtl/>
        </w:rPr>
        <w:t>بالا‌به‌پایین</w:t>
      </w:r>
      <w:r w:rsidRPr="0025250D">
        <w:rPr>
          <w:rFonts w:hint="cs"/>
          <w:rtl/>
        </w:rPr>
        <w:t xml:space="preserve"> و پایین به بالا، تنظیم اهداف و توسعه </w:t>
      </w:r>
      <w:r w:rsidR="00701E03" w:rsidRPr="0025250D">
        <w:rPr>
          <w:rFonts w:hint="cs"/>
          <w:rtl/>
        </w:rPr>
        <w:t>راهبرد</w:t>
      </w:r>
      <w:r w:rsidRPr="0025250D">
        <w:rPr>
          <w:rFonts w:hint="cs"/>
          <w:rtl/>
        </w:rPr>
        <w:t xml:space="preserve"> با پرسش‌های </w:t>
      </w:r>
      <w:r w:rsidR="00E402E3" w:rsidRPr="0025250D">
        <w:rPr>
          <w:rtl/>
        </w:rPr>
        <w:t>«</w:t>
      </w:r>
      <w:r w:rsidRPr="0025250D">
        <w:rPr>
          <w:rFonts w:hint="cs"/>
          <w:rtl/>
        </w:rPr>
        <w:t>چه</w:t>
      </w:r>
      <w:r w:rsidR="00791382" w:rsidRPr="0025250D">
        <w:rPr>
          <w:rFonts w:hint="cs"/>
          <w:rtl/>
        </w:rPr>
        <w:t xml:space="preserve"> چیزی</w:t>
      </w:r>
      <w:r w:rsidR="00E402E3" w:rsidRPr="0025250D">
        <w:rPr>
          <w:rtl/>
        </w:rPr>
        <w:t>»</w:t>
      </w:r>
      <w:r w:rsidRPr="0025250D">
        <w:rPr>
          <w:rFonts w:hint="cs"/>
          <w:rtl/>
        </w:rPr>
        <w:t xml:space="preserve"> (مقاصد، اهداف) که اغلب تحت هدایت مدیریت است و </w:t>
      </w:r>
      <w:r w:rsidR="00E402E3" w:rsidRPr="0025250D">
        <w:rPr>
          <w:rtl/>
        </w:rPr>
        <w:t>«</w:t>
      </w:r>
      <w:r w:rsidRPr="0025250D">
        <w:rPr>
          <w:rFonts w:hint="cs"/>
          <w:rtl/>
        </w:rPr>
        <w:t>چگونه</w:t>
      </w:r>
      <w:r w:rsidR="00E402E3" w:rsidRPr="0025250D">
        <w:rPr>
          <w:rtl/>
        </w:rPr>
        <w:t>»</w:t>
      </w:r>
      <w:r w:rsidRPr="0025250D">
        <w:rPr>
          <w:rFonts w:hint="cs"/>
          <w:rtl/>
        </w:rPr>
        <w:t xml:space="preserve"> (نتایج کلیدی که باید اندازه گیری شوند) که اغلب تحت هدایت کارمندان است می‌باشند. </w:t>
      </w:r>
      <w:r w:rsidRPr="0025250D">
        <w:t>OKR</w:t>
      </w:r>
      <w:r w:rsidRPr="0025250D">
        <w:rPr>
          <w:rFonts w:hint="cs"/>
          <w:rtl/>
        </w:rPr>
        <w:t xml:space="preserve">‌ها باید به طور منظم اصلاح شوند و وقتی فرهنگ آن‌ها را جدی بگیرد، مانند گوگل و </w:t>
      </w:r>
      <w:r w:rsidRPr="0025250D">
        <w:rPr>
          <w:rtl/>
        </w:rPr>
        <w:t>ا</w:t>
      </w:r>
      <w:r w:rsidRPr="0025250D">
        <w:rPr>
          <w:rFonts w:hint="cs"/>
          <w:rtl/>
        </w:rPr>
        <w:t>ی</w:t>
      </w:r>
      <w:r w:rsidRPr="0025250D">
        <w:rPr>
          <w:rFonts w:hint="eastAsia"/>
          <w:rtl/>
        </w:rPr>
        <w:t>نتل</w:t>
      </w:r>
      <w:r w:rsidRPr="0025250D">
        <w:rPr>
          <w:rFonts w:hint="cs"/>
          <w:rtl/>
        </w:rPr>
        <w:t xml:space="preserve">، می‌توانیم اغلب شرکت‌های بسیار بزرگ را وادار به تغییرات سریع نماییم، زیرا </w:t>
      </w:r>
      <w:r w:rsidR="00701E03" w:rsidRPr="0025250D">
        <w:rPr>
          <w:rFonts w:hint="cs"/>
          <w:rtl/>
        </w:rPr>
        <w:t>راهبرد</w:t>
      </w:r>
      <w:r w:rsidRPr="0025250D">
        <w:rPr>
          <w:rFonts w:hint="cs"/>
          <w:rtl/>
        </w:rPr>
        <w:t>‌ها به نتایج قابل اندازه گیری با بازخورد فصلی، ماهانه، هفتگی یا روزانه بسته به نتایج وابسته هستند.</w:t>
      </w:r>
    </w:p>
    <w:p w14:paraId="26481227" w14:textId="6C2898D7" w:rsidR="00537CC8" w:rsidRPr="0025250D" w:rsidRDefault="00D92F6E" w:rsidP="00537CC8">
      <w:pPr>
        <w:rPr>
          <w:rtl/>
        </w:rPr>
      </w:pPr>
      <w:r w:rsidRPr="0025250D">
        <w:rPr>
          <w:rFonts w:hint="cs"/>
          <w:rtl/>
        </w:rPr>
        <w:t>آینده‌پژوه</w:t>
      </w:r>
      <w:r w:rsidR="00537CC8" w:rsidRPr="0025250D">
        <w:rPr>
          <w:rFonts w:hint="cs"/>
          <w:rtl/>
        </w:rPr>
        <w:t xml:space="preserve"> برجسته </w:t>
      </w:r>
      <w:r w:rsidR="00537CC8" w:rsidRPr="0025250D">
        <w:rPr>
          <w:rtl/>
        </w:rPr>
        <w:t>کلمنت بزولد</w:t>
      </w:r>
      <w:r w:rsidR="00537CC8" w:rsidRPr="0025250D">
        <w:rPr>
          <w:vertAlign w:val="superscript"/>
          <w:rtl/>
        </w:rPr>
        <w:footnoteReference w:id="2300"/>
      </w:r>
      <w:r w:rsidR="00537CC8" w:rsidRPr="0025250D">
        <w:rPr>
          <w:rFonts w:hint="cs"/>
          <w:rtl/>
        </w:rPr>
        <w:t xml:space="preserve">، تمایل دارد با مقایسه </w:t>
      </w:r>
      <w:r w:rsidR="00B56611" w:rsidRPr="0025250D">
        <w:rPr>
          <w:rFonts w:hint="cs"/>
          <w:rtl/>
        </w:rPr>
        <w:t>چشم‌انداز</w:t>
      </w:r>
      <w:r w:rsidR="00537CC8" w:rsidRPr="0025250D">
        <w:rPr>
          <w:rFonts w:hint="cs"/>
          <w:rtl/>
        </w:rPr>
        <w:t xml:space="preserve">‌ها با </w:t>
      </w:r>
      <w:r w:rsidR="007A53FD" w:rsidRPr="0025250D">
        <w:rPr>
          <w:rFonts w:hint="cs"/>
          <w:rtl/>
        </w:rPr>
        <w:t>فرانامه</w:t>
      </w:r>
      <w:r w:rsidR="00537CC8" w:rsidRPr="0025250D">
        <w:rPr>
          <w:rFonts w:hint="cs"/>
          <w:rtl/>
        </w:rPr>
        <w:t xml:space="preserve">‌ها بگوید </w:t>
      </w:r>
      <w:r w:rsidR="00E402E3" w:rsidRPr="0025250D">
        <w:rPr>
          <w:rtl/>
        </w:rPr>
        <w:t>که «</w:t>
      </w:r>
      <w:r w:rsidR="00B56611" w:rsidRPr="0025250D">
        <w:rPr>
          <w:rFonts w:hint="cs"/>
          <w:rtl/>
        </w:rPr>
        <w:t>چشم‌انداز</w:t>
      </w:r>
      <w:r w:rsidR="00537CC8" w:rsidRPr="0025250D">
        <w:rPr>
          <w:rFonts w:hint="cs"/>
          <w:rtl/>
        </w:rPr>
        <w:t xml:space="preserve">‌ها آینده‌هایی برای قلب هستند؛ </w:t>
      </w:r>
      <w:r w:rsidR="007A53FD" w:rsidRPr="0025250D">
        <w:rPr>
          <w:rFonts w:hint="cs"/>
          <w:rtl/>
        </w:rPr>
        <w:t>فرانامه</w:t>
      </w:r>
      <w:r w:rsidR="00537CC8" w:rsidRPr="0025250D">
        <w:rPr>
          <w:rFonts w:hint="cs"/>
          <w:rtl/>
        </w:rPr>
        <w:t>‌ها آینده‌هایی برای مغز هستند</w:t>
      </w:r>
      <w:r w:rsidR="00E402E3" w:rsidRPr="0025250D">
        <w:rPr>
          <w:rtl/>
        </w:rPr>
        <w:t>»</w:t>
      </w:r>
      <w:r w:rsidR="00537CC8" w:rsidRPr="0025250D">
        <w:rPr>
          <w:rFonts w:hint="cs"/>
          <w:rtl/>
        </w:rPr>
        <w:t xml:space="preserve">. یافتن </w:t>
      </w:r>
      <w:r w:rsidR="00B56611" w:rsidRPr="0025250D">
        <w:rPr>
          <w:rFonts w:hint="cs"/>
          <w:rtl/>
        </w:rPr>
        <w:t>چشم‌انداز</w:t>
      </w:r>
      <w:r w:rsidR="00537CC8" w:rsidRPr="0025250D">
        <w:rPr>
          <w:rFonts w:hint="cs"/>
          <w:rtl/>
        </w:rPr>
        <w:t xml:space="preserve"> مشترک انگیزه بخش می‌تواند به‌شدت برای تیم انرژی زا باشد، </w:t>
      </w:r>
      <w:r w:rsidR="007118DE" w:rsidRPr="0025250D">
        <w:rPr>
          <w:rFonts w:hint="cs"/>
          <w:rtl/>
        </w:rPr>
        <w:t>همان‌طور</w:t>
      </w:r>
      <w:r w:rsidR="00537CC8" w:rsidRPr="0025250D">
        <w:rPr>
          <w:rFonts w:hint="cs"/>
          <w:rtl/>
        </w:rPr>
        <w:t xml:space="preserve"> که در بسیاری از واحد‌های تجاری استارتاپی و مستقل دیده ایم. </w:t>
      </w:r>
      <w:r w:rsidR="00537CC8" w:rsidRPr="0025250D">
        <w:rPr>
          <w:rtl/>
        </w:rPr>
        <w:t>بندل</w:t>
      </w:r>
      <w:r w:rsidR="00537CC8" w:rsidRPr="0025250D">
        <w:rPr>
          <w:rFonts w:hint="cs"/>
          <w:rtl/>
        </w:rPr>
        <w:t>ی</w:t>
      </w:r>
      <w:r w:rsidR="00537CC8" w:rsidRPr="0025250D">
        <w:rPr>
          <w:rtl/>
        </w:rPr>
        <w:t xml:space="preserve"> </w:t>
      </w:r>
      <w:r w:rsidR="00537CC8" w:rsidRPr="0025250D">
        <w:t>III</w:t>
      </w:r>
      <w:r w:rsidR="00537CC8" w:rsidRPr="0025250D">
        <w:rPr>
          <w:vertAlign w:val="superscript"/>
          <w:rtl/>
        </w:rPr>
        <w:footnoteReference w:id="2301"/>
      </w:r>
      <w:r w:rsidR="00537CC8" w:rsidRPr="0025250D">
        <w:rPr>
          <w:rFonts w:hint="cs"/>
          <w:rtl/>
        </w:rPr>
        <w:t xml:space="preserve">، واحد مکینتاش، تحت نظر استیو جابز در شرکت اپل در سال 1983 را در نظر بگیرید. </w:t>
      </w:r>
      <w:r w:rsidR="007A53FD" w:rsidRPr="0025250D">
        <w:rPr>
          <w:rFonts w:hint="cs"/>
          <w:rtl/>
        </w:rPr>
        <w:t>فرانامه</w:t>
      </w:r>
      <w:r w:rsidR="00537CC8" w:rsidRPr="0025250D">
        <w:rPr>
          <w:rFonts w:hint="cs"/>
          <w:rtl/>
        </w:rPr>
        <w:t xml:space="preserve">‌ها، در مقابل، مشتری را در انتخاب‌ها غرق می‌کنند. یک یا دو </w:t>
      </w:r>
      <w:r w:rsidR="007A53FD" w:rsidRPr="0025250D">
        <w:rPr>
          <w:rFonts w:hint="cs"/>
          <w:rtl/>
        </w:rPr>
        <w:t>فرانامه</w:t>
      </w:r>
      <w:r w:rsidR="00537CC8" w:rsidRPr="0025250D">
        <w:rPr>
          <w:rFonts w:hint="cs"/>
          <w:rtl/>
        </w:rPr>
        <w:t xml:space="preserve"> می‌توانند مورد ترجیح باشند و تجربه چنین </w:t>
      </w:r>
      <w:r w:rsidR="00E4279E" w:rsidRPr="0025250D">
        <w:rPr>
          <w:rFonts w:hint="cs"/>
          <w:rtl/>
        </w:rPr>
        <w:t>فرانامه‌ای</w:t>
      </w:r>
      <w:r w:rsidR="00537CC8" w:rsidRPr="0025250D">
        <w:rPr>
          <w:rFonts w:hint="cs"/>
          <w:rtl/>
        </w:rPr>
        <w:t xml:space="preserve"> می‌تواند انگیزه بخش باشد</w:t>
      </w:r>
      <w:r w:rsidR="008D6F97" w:rsidRPr="0025250D">
        <w:rPr>
          <w:rtl/>
        </w:rPr>
        <w:t xml:space="preserve">؛ </w:t>
      </w:r>
      <w:r w:rsidR="0020589F" w:rsidRPr="0025250D">
        <w:rPr>
          <w:rtl/>
        </w:rPr>
        <w:t>اما</w:t>
      </w:r>
      <w:r w:rsidR="00537CC8" w:rsidRPr="0025250D">
        <w:rPr>
          <w:rFonts w:hint="cs"/>
          <w:rtl/>
        </w:rPr>
        <w:t xml:space="preserve"> </w:t>
      </w:r>
      <w:r w:rsidR="00B56611" w:rsidRPr="0025250D">
        <w:rPr>
          <w:rFonts w:hint="cs"/>
          <w:rtl/>
        </w:rPr>
        <w:t>چشم‌انداز</w:t>
      </w:r>
      <w:r w:rsidR="00537CC8" w:rsidRPr="0025250D">
        <w:rPr>
          <w:rFonts w:hint="cs"/>
          <w:rtl/>
        </w:rPr>
        <w:t xml:space="preserve">‌های </w:t>
      </w:r>
      <w:r w:rsidR="00701E03" w:rsidRPr="0025250D">
        <w:rPr>
          <w:rFonts w:hint="cs"/>
          <w:rtl/>
        </w:rPr>
        <w:t>راهبرد</w:t>
      </w:r>
      <w:r w:rsidR="00537CC8" w:rsidRPr="0025250D">
        <w:rPr>
          <w:rFonts w:hint="cs"/>
          <w:rtl/>
        </w:rPr>
        <w:t xml:space="preserve"> بسیار دقیق‌تر و خاص‌تر از </w:t>
      </w:r>
      <w:r w:rsidR="00362EF3" w:rsidRPr="0025250D">
        <w:rPr>
          <w:rFonts w:hint="cs"/>
          <w:rtl/>
        </w:rPr>
        <w:t>فرانامه‌های</w:t>
      </w:r>
      <w:r w:rsidR="00537CC8" w:rsidRPr="0025250D">
        <w:rPr>
          <w:rFonts w:hint="cs"/>
          <w:rtl/>
        </w:rPr>
        <w:t xml:space="preserve"> مرجح هستند و با هدف هدایت مستقیم به سمت توانمند سازهای عملی مانند اهداف </w:t>
      </w:r>
      <w:r w:rsidR="00537CC8" w:rsidRPr="0025250D">
        <w:t>SMART</w:t>
      </w:r>
      <w:r w:rsidR="00537CC8" w:rsidRPr="0025250D">
        <w:rPr>
          <w:rFonts w:hint="cs"/>
          <w:rtl/>
        </w:rPr>
        <w:t xml:space="preserve"> و </w:t>
      </w:r>
      <w:r w:rsidR="00537CC8" w:rsidRPr="0025250D">
        <w:t>OKR</w:t>
      </w:r>
      <w:r w:rsidR="00537CC8" w:rsidRPr="0025250D">
        <w:rPr>
          <w:rFonts w:hint="cs"/>
          <w:rtl/>
        </w:rPr>
        <w:t>‌ها انجام می‌شوند.</w:t>
      </w:r>
    </w:p>
    <w:p w14:paraId="35ED1FD6" w14:textId="45E06E0D" w:rsidR="00537CC8" w:rsidRPr="0025250D" w:rsidRDefault="00701E03" w:rsidP="00537CC8">
      <w:pPr>
        <w:rPr>
          <w:rtl/>
        </w:rPr>
      </w:pPr>
      <w:r w:rsidRPr="0025250D">
        <w:rPr>
          <w:rFonts w:hint="cs"/>
          <w:rtl/>
        </w:rPr>
        <w:t>راهبرد</w:t>
      </w:r>
      <w:r w:rsidR="00537CC8" w:rsidRPr="0025250D">
        <w:rPr>
          <w:rFonts w:hint="cs"/>
          <w:rtl/>
        </w:rPr>
        <w:t xml:space="preserve"> همچنین شامل </w:t>
      </w:r>
      <w:r w:rsidR="00B13F65" w:rsidRPr="0025250D">
        <w:rPr>
          <w:rFonts w:hint="cs"/>
          <w:rtl/>
        </w:rPr>
        <w:t>چارچوب</w:t>
      </w:r>
      <w:r w:rsidR="00537CC8" w:rsidRPr="0025250D">
        <w:rPr>
          <w:rFonts w:hint="cs"/>
          <w:rtl/>
        </w:rPr>
        <w:t xml:space="preserve"> بندی (تعیین دامنه، عمق و روش‌های کار </w:t>
      </w:r>
      <w:r w:rsidRPr="0025250D">
        <w:rPr>
          <w:rFonts w:hint="cs"/>
          <w:rtl/>
        </w:rPr>
        <w:t>راهبرد</w:t>
      </w:r>
      <w:r w:rsidR="00537CC8" w:rsidRPr="0025250D">
        <w:rPr>
          <w:rFonts w:hint="cs"/>
          <w:rtl/>
        </w:rPr>
        <w:t xml:space="preserve"> و </w:t>
      </w:r>
      <w:r w:rsidR="00537CC8" w:rsidRPr="0025250D">
        <w:rPr>
          <w:rtl/>
        </w:rPr>
        <w:t>آینده‌نگاری</w:t>
      </w:r>
      <w:r w:rsidR="00537CC8" w:rsidRPr="0025250D">
        <w:rPr>
          <w:rFonts w:hint="cs"/>
          <w:rtl/>
        </w:rPr>
        <w:t>)، یک فعالیت کلیدی بحث شده در کتاب تفکر درمورد آینده</w:t>
      </w:r>
      <w:r w:rsidR="00537CC8" w:rsidRPr="0025250D">
        <w:rPr>
          <w:vertAlign w:val="superscript"/>
          <w:rtl/>
        </w:rPr>
        <w:footnoteReference w:id="2302"/>
      </w:r>
      <w:r w:rsidR="00537CC8" w:rsidRPr="0025250D">
        <w:rPr>
          <w:rFonts w:hint="cs"/>
          <w:rtl/>
        </w:rPr>
        <w:t xml:space="preserve"> اثر </w:t>
      </w:r>
      <w:r w:rsidR="00537CC8" w:rsidRPr="0025250D">
        <w:rPr>
          <w:rtl/>
        </w:rPr>
        <w:t>ها</w:t>
      </w:r>
      <w:r w:rsidR="00537CC8" w:rsidRPr="0025250D">
        <w:rPr>
          <w:rFonts w:hint="cs"/>
          <w:rtl/>
        </w:rPr>
        <w:t>ی</w:t>
      </w:r>
      <w:r w:rsidR="00537CC8" w:rsidRPr="0025250D">
        <w:rPr>
          <w:rFonts w:hint="eastAsia"/>
          <w:rtl/>
        </w:rPr>
        <w:t>نز</w:t>
      </w:r>
      <w:r w:rsidR="00537CC8" w:rsidRPr="0025250D">
        <w:rPr>
          <w:rtl/>
        </w:rPr>
        <w:t xml:space="preserve"> و </w:t>
      </w:r>
      <w:r w:rsidR="00537CC8" w:rsidRPr="0025250D">
        <w:rPr>
          <w:rFonts w:hint="cs"/>
          <w:rtl/>
        </w:rPr>
        <w:t xml:space="preserve">بیشاپ در سال 2013 می‌باشد. کار </w:t>
      </w:r>
      <w:r w:rsidRPr="0025250D">
        <w:rPr>
          <w:rFonts w:hint="cs"/>
          <w:rtl/>
        </w:rPr>
        <w:t>راهبرد</w:t>
      </w:r>
      <w:r w:rsidR="00537CC8" w:rsidRPr="0025250D">
        <w:rPr>
          <w:rFonts w:hint="cs"/>
          <w:rtl/>
        </w:rPr>
        <w:t xml:space="preserve"> همچنین شامل </w:t>
      </w:r>
      <w:r w:rsidR="007118DE" w:rsidRPr="0025250D">
        <w:rPr>
          <w:rFonts w:hint="cs"/>
          <w:rtl/>
        </w:rPr>
        <w:t>اولویت‌بندی</w:t>
      </w:r>
      <w:r w:rsidR="00537CC8" w:rsidRPr="0025250D">
        <w:rPr>
          <w:rFonts w:hint="cs"/>
          <w:rtl/>
        </w:rPr>
        <w:t xml:space="preserve"> و تنظیم اهداف (برای مثال استفاده از معیار اهداف </w:t>
      </w:r>
      <w:r w:rsidR="00537CC8" w:rsidRPr="0025250D">
        <w:t>SMART</w:t>
      </w:r>
      <w:r w:rsidR="00537CC8" w:rsidRPr="0025250D">
        <w:rPr>
          <w:rFonts w:hint="cs"/>
          <w:rtl/>
        </w:rPr>
        <w:t xml:space="preserve">) می‌شود. بار دیگر، تعیین </w:t>
      </w:r>
      <w:r w:rsidR="00537CC8" w:rsidRPr="0025250D">
        <w:t>OKR</w:t>
      </w:r>
      <w:r w:rsidR="00537CC8" w:rsidRPr="0025250D">
        <w:rPr>
          <w:rFonts w:hint="cs"/>
          <w:rtl/>
        </w:rPr>
        <w:t xml:space="preserve">‌های هر کس (اهداف قابل اندازه گیری) یکی از دشوارترین و بااین‌حال توانمندساز‌ترین فعالیت‌ها در مدیریت </w:t>
      </w:r>
      <w:r w:rsidRPr="0025250D">
        <w:rPr>
          <w:rFonts w:hint="cs"/>
          <w:rtl/>
        </w:rPr>
        <w:t>راهبردی</w:t>
      </w:r>
      <w:r w:rsidR="00537CC8" w:rsidRPr="0025250D">
        <w:rPr>
          <w:rFonts w:hint="cs"/>
          <w:rtl/>
        </w:rPr>
        <w:t xml:space="preserve"> است. کتاب مدل گوگل</w:t>
      </w:r>
      <w:r w:rsidR="00537CC8" w:rsidRPr="0025250D">
        <w:rPr>
          <w:vertAlign w:val="superscript"/>
          <w:rtl/>
        </w:rPr>
        <w:footnoteReference w:id="2303"/>
      </w:r>
      <w:r w:rsidR="00537CC8" w:rsidRPr="0025250D">
        <w:rPr>
          <w:rFonts w:hint="cs"/>
          <w:rtl/>
        </w:rPr>
        <w:t xml:space="preserve"> اثر </w:t>
      </w:r>
      <w:r w:rsidR="00537CC8" w:rsidRPr="0025250D">
        <w:rPr>
          <w:rtl/>
        </w:rPr>
        <w:t>آن</w:t>
      </w:r>
      <w:r w:rsidR="00537CC8" w:rsidRPr="0025250D">
        <w:rPr>
          <w:rFonts w:hint="cs"/>
          <w:rtl/>
        </w:rPr>
        <w:t>ی</w:t>
      </w:r>
      <w:r w:rsidR="00537CC8" w:rsidRPr="0025250D">
        <w:rPr>
          <w:rFonts w:hint="eastAsia"/>
          <w:rtl/>
        </w:rPr>
        <w:t>کا</w:t>
      </w:r>
      <w:r w:rsidR="00537CC8" w:rsidRPr="0025250D">
        <w:rPr>
          <w:rtl/>
        </w:rPr>
        <w:t xml:space="preserve"> استا</w:t>
      </w:r>
      <w:r w:rsidR="00537CC8" w:rsidRPr="0025250D">
        <w:rPr>
          <w:rFonts w:hint="cs"/>
          <w:rtl/>
        </w:rPr>
        <w:t>ی</w:t>
      </w:r>
      <w:r w:rsidR="00537CC8" w:rsidRPr="0025250D">
        <w:rPr>
          <w:rFonts w:hint="eastAsia"/>
          <w:rtl/>
        </w:rPr>
        <w:t>بر</w:t>
      </w:r>
      <w:r w:rsidR="00537CC8" w:rsidRPr="0025250D">
        <w:rPr>
          <w:vertAlign w:val="superscript"/>
          <w:rtl/>
        </w:rPr>
        <w:footnoteReference w:id="2304"/>
      </w:r>
      <w:r w:rsidR="00537CC8" w:rsidRPr="0025250D">
        <w:rPr>
          <w:rFonts w:hint="cs"/>
          <w:rtl/>
        </w:rPr>
        <w:t xml:space="preserve"> در سال 2014 جزئیات مفیدی درمورد فرایند‌های مدیریتی آن‌ها فراهم می‌کند.</w:t>
      </w:r>
    </w:p>
    <w:p w14:paraId="64EB1B06" w14:textId="7431F1E3" w:rsidR="00537CC8" w:rsidRPr="0025250D" w:rsidRDefault="00537CC8" w:rsidP="00537CC8">
      <w:pPr>
        <w:rPr>
          <w:rtl/>
        </w:rPr>
      </w:pPr>
      <w:r w:rsidRPr="0025250D">
        <w:rPr>
          <w:rFonts w:hint="cs"/>
          <w:rtl/>
        </w:rPr>
        <w:t xml:space="preserve">برای یک مقاله عالی که چگونگی یادگیری تفکر </w:t>
      </w:r>
      <w:r w:rsidR="00701E03" w:rsidRPr="0025250D">
        <w:rPr>
          <w:rFonts w:hint="cs"/>
          <w:rtl/>
        </w:rPr>
        <w:t>راهبردی</w:t>
      </w:r>
      <w:r w:rsidRPr="0025250D">
        <w:rPr>
          <w:rFonts w:hint="cs"/>
          <w:rtl/>
        </w:rPr>
        <w:t xml:space="preserve"> توسط مدیران اجرایی در طول دوران کاریشان را، در فرایندی از توسعه روانشناختی یا شکست در یادگیری آن توصیف می‌کند، </w:t>
      </w:r>
      <w:r w:rsidR="00E402E3" w:rsidRPr="0025250D">
        <w:rPr>
          <w:rtl/>
        </w:rPr>
        <w:t>«</w:t>
      </w:r>
      <w:r w:rsidRPr="0025250D">
        <w:rPr>
          <w:rFonts w:hint="cs"/>
          <w:rtl/>
        </w:rPr>
        <w:t xml:space="preserve">تفکر </w:t>
      </w:r>
      <w:r w:rsidR="00701E03" w:rsidRPr="0025250D">
        <w:rPr>
          <w:rFonts w:hint="cs"/>
          <w:rtl/>
        </w:rPr>
        <w:t>راهبرد</w:t>
      </w:r>
      <w:r w:rsidRPr="0025250D">
        <w:rPr>
          <w:rFonts w:hint="cs"/>
          <w:rtl/>
        </w:rPr>
        <w:t xml:space="preserve"> در سطح بالا</w:t>
      </w:r>
      <w:r w:rsidRPr="0025250D">
        <w:rPr>
          <w:vertAlign w:val="superscript"/>
          <w:rtl/>
        </w:rPr>
        <w:footnoteReference w:id="2305"/>
      </w:r>
      <w:r w:rsidR="00E402E3" w:rsidRPr="0025250D">
        <w:rPr>
          <w:rtl/>
        </w:rPr>
        <w:t>»</w:t>
      </w:r>
      <w:r w:rsidRPr="0025250D">
        <w:rPr>
          <w:rFonts w:hint="cs"/>
          <w:rtl/>
        </w:rPr>
        <w:t xml:space="preserve">، اثر </w:t>
      </w:r>
      <w:r w:rsidRPr="0025250D">
        <w:rPr>
          <w:rtl/>
        </w:rPr>
        <w:t>الن گلدمن</w:t>
      </w:r>
      <w:r w:rsidRPr="0025250D">
        <w:rPr>
          <w:vertAlign w:val="superscript"/>
          <w:rtl/>
        </w:rPr>
        <w:footnoteReference w:id="2306"/>
      </w:r>
      <w:r w:rsidRPr="0025250D">
        <w:rPr>
          <w:rFonts w:hint="cs"/>
          <w:rtl/>
        </w:rPr>
        <w:t xml:space="preserve"> در مجله بازبینی مدیریت اسلون </w:t>
      </w:r>
      <w:r w:rsidRPr="0025250D">
        <w:t>MIT</w:t>
      </w:r>
      <w:r w:rsidRPr="0025250D">
        <w:rPr>
          <w:vertAlign w:val="superscript"/>
          <w:rtl/>
        </w:rPr>
        <w:footnoteReference w:id="2307"/>
      </w:r>
      <w:r w:rsidRPr="0025250D">
        <w:rPr>
          <w:rFonts w:hint="cs"/>
          <w:rtl/>
        </w:rPr>
        <w:t xml:space="preserve"> در تابستان 2007 را ببینید. برای یک تاریخ عالی از مشاوره </w:t>
      </w:r>
      <w:r w:rsidR="00701E03" w:rsidRPr="0025250D">
        <w:rPr>
          <w:rFonts w:hint="cs"/>
          <w:rtl/>
        </w:rPr>
        <w:t>راهبرد</w:t>
      </w:r>
      <w:r w:rsidRPr="0025250D">
        <w:rPr>
          <w:rFonts w:hint="cs"/>
          <w:rtl/>
        </w:rPr>
        <w:t xml:space="preserve"> و این که چگونه </w:t>
      </w:r>
      <w:r w:rsidR="00701E03" w:rsidRPr="0025250D">
        <w:rPr>
          <w:rFonts w:hint="cs"/>
          <w:rtl/>
        </w:rPr>
        <w:t>راهبرد</w:t>
      </w:r>
      <w:r w:rsidRPr="0025250D">
        <w:rPr>
          <w:rFonts w:hint="cs"/>
          <w:rtl/>
        </w:rPr>
        <w:t xml:space="preserve"> به‌خوبی یا به صورت ضعیف مورد استفاده قرار می‌گیرد، کتاب بزرگان </w:t>
      </w:r>
      <w:r w:rsidR="00701E03" w:rsidRPr="0025250D">
        <w:rPr>
          <w:rFonts w:hint="cs"/>
          <w:rtl/>
        </w:rPr>
        <w:t>راهبرد</w:t>
      </w:r>
      <w:r w:rsidRPr="0025250D">
        <w:rPr>
          <w:vertAlign w:val="superscript"/>
          <w:rtl/>
        </w:rPr>
        <w:footnoteReference w:id="2308"/>
      </w:r>
      <w:r w:rsidR="008D6F97" w:rsidRPr="0025250D">
        <w:rPr>
          <w:rtl/>
        </w:rPr>
        <w:t xml:space="preserve"> </w:t>
      </w:r>
      <w:r w:rsidRPr="0025250D">
        <w:rPr>
          <w:rFonts w:hint="cs"/>
          <w:rtl/>
        </w:rPr>
        <w:t xml:space="preserve">اثر </w:t>
      </w:r>
      <w:r w:rsidRPr="0025250D">
        <w:rPr>
          <w:rtl/>
        </w:rPr>
        <w:t>والتر ک</w:t>
      </w:r>
      <w:r w:rsidRPr="0025250D">
        <w:rPr>
          <w:rFonts w:hint="cs"/>
          <w:rtl/>
        </w:rPr>
        <w:t>ی</w:t>
      </w:r>
      <w:r w:rsidRPr="0025250D">
        <w:rPr>
          <w:rFonts w:hint="eastAsia"/>
          <w:rtl/>
        </w:rPr>
        <w:t>شل</w:t>
      </w:r>
      <w:r w:rsidRPr="0025250D">
        <w:rPr>
          <w:vertAlign w:val="superscript"/>
          <w:rtl/>
        </w:rPr>
        <w:footnoteReference w:id="2309"/>
      </w:r>
      <w:r w:rsidRPr="0025250D">
        <w:rPr>
          <w:rFonts w:hint="cs"/>
          <w:rtl/>
        </w:rPr>
        <w:t xml:space="preserve"> در سال 2010 را ببینید.</w:t>
      </w:r>
    </w:p>
    <w:p w14:paraId="2A789D8E" w14:textId="77777777" w:rsidR="00537CC8" w:rsidRPr="0025250D" w:rsidRDefault="00537CC8" w:rsidP="00D53F87">
      <w:pPr>
        <w:jc w:val="center"/>
        <w:rPr>
          <w:rtl/>
        </w:rPr>
      </w:pPr>
      <w:r w:rsidRPr="0025250D">
        <w:rPr>
          <w:noProof/>
          <w:rtl/>
          <w:lang w:bidi="ar-SA"/>
        </w:rPr>
        <w:drawing>
          <wp:inline distT="0" distB="0" distL="0" distR="0" wp14:anchorId="53067F4B" wp14:editId="2DDD33C1">
            <wp:extent cx="1485559" cy="2130725"/>
            <wp:effectExtent l="0" t="0" r="635" b="3175"/>
            <wp:docPr id="130" name="Picture 130" descr="D:\کار\مستقل\3 ( ترجمه ی دانشگاه تهران  )\Introduction to Foresight\part6\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6\28.png"/>
                    <pic:cNvPicPr>
                      <a:picLocks noChangeAspect="1" noChangeArrowheads="1"/>
                    </pic:cNvPicPr>
                  </pic:nvPicPr>
                  <pic:blipFill rotWithShape="1">
                    <a:blip r:embed="rId207" cstate="screen">
                      <a:extLst>
                        <a:ext uri="{BEBA8EAE-BF5A-486C-A8C5-ECC9F3942E4B}">
                          <a14:imgProps xmlns:a14="http://schemas.microsoft.com/office/drawing/2010/main">
                            <a14:imgLayer r:embed="rId208">
                              <a14:imgEffect>
                                <a14:saturation sat="0"/>
                              </a14:imgEffect>
                            </a14:imgLayer>
                          </a14:imgProps>
                        </a:ext>
                        <a:ext uri="{28A0092B-C50C-407E-A947-70E740481C1C}">
                          <a14:useLocalDpi xmlns:a14="http://schemas.microsoft.com/office/drawing/2010/main"/>
                        </a:ext>
                      </a:extLst>
                    </a:blip>
                    <a:srcRect/>
                    <a:stretch/>
                  </pic:blipFill>
                  <pic:spPr bwMode="auto">
                    <a:xfrm>
                      <a:off x="0" y="0"/>
                      <a:ext cx="1489823" cy="2136841"/>
                    </a:xfrm>
                    <a:prstGeom prst="rect">
                      <a:avLst/>
                    </a:prstGeom>
                    <a:noFill/>
                    <a:ln>
                      <a:noFill/>
                    </a:ln>
                    <a:extLst>
                      <a:ext uri="{53640926-AAD7-44D8-BBD7-CCE9431645EC}">
                        <a14:shadowObscured xmlns:a14="http://schemas.microsoft.com/office/drawing/2010/main"/>
                      </a:ext>
                    </a:extLst>
                  </pic:spPr>
                </pic:pic>
              </a:graphicData>
            </a:graphic>
          </wp:inline>
        </w:drawing>
      </w:r>
    </w:p>
    <w:p w14:paraId="70412B65" w14:textId="77777777" w:rsidR="00537CC8" w:rsidRPr="0025250D" w:rsidRDefault="00537CC8" w:rsidP="00D53F87">
      <w:pPr>
        <w:jc w:val="center"/>
        <w:rPr>
          <w:rtl/>
        </w:rPr>
      </w:pPr>
      <w:r w:rsidRPr="0025250D">
        <w:rPr>
          <w:rFonts w:hint="cs"/>
          <w:rtl/>
        </w:rPr>
        <w:t>استیبر، 2014</w:t>
      </w:r>
    </w:p>
    <w:p w14:paraId="0F2AC797" w14:textId="54F4C8A5" w:rsidR="00537CC8" w:rsidRPr="0025250D" w:rsidRDefault="00537CC8" w:rsidP="00537CC8">
      <w:pPr>
        <w:rPr>
          <w:rtl/>
        </w:rPr>
      </w:pPr>
      <w:r w:rsidRPr="0025250D">
        <w:rPr>
          <w:rFonts w:hint="cs"/>
          <w:rtl/>
        </w:rPr>
        <w:t xml:space="preserve">تخصص برنامه‌ریزی در </w:t>
      </w:r>
      <w:r w:rsidR="00701E03" w:rsidRPr="0025250D">
        <w:rPr>
          <w:rFonts w:hint="cs"/>
          <w:rtl/>
        </w:rPr>
        <w:t>راهبرد</w:t>
      </w:r>
      <w:r w:rsidRPr="0025250D">
        <w:rPr>
          <w:rFonts w:hint="cs"/>
          <w:rtl/>
        </w:rPr>
        <w:t xml:space="preserve"> و برنامه‌ریزی اغلب به عنوان گام آخر قبل از عمل و به اوج رساندن </w:t>
      </w:r>
      <w:r w:rsidR="00701E03" w:rsidRPr="0025250D">
        <w:rPr>
          <w:rFonts w:hint="cs"/>
          <w:rtl/>
        </w:rPr>
        <w:t>راهبرد</w:t>
      </w:r>
      <w:r w:rsidRPr="0025250D">
        <w:rPr>
          <w:rFonts w:hint="cs"/>
          <w:rtl/>
        </w:rPr>
        <w:t xml:space="preserve"> و تحلیل در نظر گرفته می‌شود. برنامه‌های خوب، چه رسمی و چه غیر رسمی و چه ساده و یا دارای جزئیات، به ما برای هماهنگ سازی منابع و انرژی مان به سمت نتایج مطلوب کمک می‌کنند. برنامه‌ریزی </w:t>
      </w:r>
      <w:r w:rsidR="00701E03" w:rsidRPr="0025250D">
        <w:rPr>
          <w:rFonts w:hint="cs"/>
          <w:rtl/>
        </w:rPr>
        <w:t>راهبرد</w:t>
      </w:r>
      <w:r w:rsidRPr="0025250D">
        <w:rPr>
          <w:rFonts w:hint="cs"/>
          <w:rtl/>
        </w:rPr>
        <w:t xml:space="preserve"> از دهه 1960 توسط شرکت‌های بزرگ‌تر مورد استفاده قرار گرفته است، اما </w:t>
      </w:r>
      <w:r w:rsidRPr="0025250D">
        <w:rPr>
          <w:rtl/>
        </w:rPr>
        <w:t>لو گرستنر</w:t>
      </w:r>
      <w:r w:rsidRPr="0025250D">
        <w:rPr>
          <w:vertAlign w:val="superscript"/>
          <w:rtl/>
        </w:rPr>
        <w:footnoteReference w:id="2310"/>
      </w:r>
      <w:r w:rsidRPr="0025250D">
        <w:rPr>
          <w:rFonts w:hint="cs"/>
          <w:rtl/>
        </w:rPr>
        <w:t xml:space="preserve"> در مقاله کلاسیک خود با عنوان </w:t>
      </w:r>
      <w:r w:rsidR="00E402E3" w:rsidRPr="0025250D">
        <w:rPr>
          <w:rtl/>
        </w:rPr>
        <w:t>«</w:t>
      </w:r>
      <w:r w:rsidRPr="0025250D">
        <w:rPr>
          <w:rFonts w:hint="cs"/>
          <w:rtl/>
        </w:rPr>
        <w:t xml:space="preserve">آیا برنامه‌ریزی </w:t>
      </w:r>
      <w:r w:rsidR="00701E03" w:rsidRPr="0025250D">
        <w:rPr>
          <w:rFonts w:hint="cs"/>
          <w:rtl/>
        </w:rPr>
        <w:t>راهبردی</w:t>
      </w:r>
      <w:r w:rsidRPr="0025250D">
        <w:rPr>
          <w:rFonts w:hint="cs"/>
          <w:rtl/>
        </w:rPr>
        <w:t xml:space="preserve"> می‌تواند انتظارات را برآورده کند</w:t>
      </w:r>
      <w:r w:rsidRPr="0025250D">
        <w:rPr>
          <w:vertAlign w:val="superscript"/>
          <w:rtl/>
        </w:rPr>
        <w:footnoteReference w:id="2311"/>
      </w:r>
      <w:r w:rsidRPr="0025250D">
        <w:rPr>
          <w:rFonts w:hint="cs"/>
          <w:rtl/>
        </w:rPr>
        <w:t>؟</w:t>
      </w:r>
      <w:r w:rsidR="00E402E3" w:rsidRPr="0025250D">
        <w:rPr>
          <w:rtl/>
        </w:rPr>
        <w:t>»</w:t>
      </w:r>
      <w:r w:rsidRPr="0025250D">
        <w:rPr>
          <w:rFonts w:hint="cs"/>
          <w:rtl/>
        </w:rPr>
        <w:t xml:space="preserve"> در فصلنامه </w:t>
      </w:r>
      <w:r w:rsidRPr="0025250D">
        <w:rPr>
          <w:rtl/>
        </w:rPr>
        <w:t>مک ک</w:t>
      </w:r>
      <w:r w:rsidRPr="0025250D">
        <w:rPr>
          <w:rFonts w:hint="cs"/>
          <w:rtl/>
        </w:rPr>
        <w:t>ی</w:t>
      </w:r>
      <w:r w:rsidRPr="0025250D">
        <w:rPr>
          <w:rFonts w:hint="eastAsia"/>
          <w:rtl/>
        </w:rPr>
        <w:t>نز</w:t>
      </w:r>
      <w:r w:rsidRPr="0025250D">
        <w:rPr>
          <w:rFonts w:hint="cs"/>
          <w:rtl/>
        </w:rPr>
        <w:t>ی</w:t>
      </w:r>
      <w:r w:rsidRPr="0025250D">
        <w:rPr>
          <w:vertAlign w:val="superscript"/>
          <w:rtl/>
        </w:rPr>
        <w:footnoteReference w:id="2312"/>
      </w:r>
      <w:r w:rsidRPr="0025250D">
        <w:rPr>
          <w:rFonts w:hint="cs"/>
          <w:rtl/>
        </w:rPr>
        <w:t xml:space="preserve"> در سال 1973 می‌گوید و </w:t>
      </w:r>
      <w:r w:rsidRPr="0025250D">
        <w:rPr>
          <w:rtl/>
        </w:rPr>
        <w:t>هنر</w:t>
      </w:r>
      <w:r w:rsidRPr="0025250D">
        <w:rPr>
          <w:rFonts w:hint="cs"/>
          <w:rtl/>
        </w:rPr>
        <w:t>ی</w:t>
      </w:r>
      <w:r w:rsidRPr="0025250D">
        <w:rPr>
          <w:rtl/>
        </w:rPr>
        <w:t xml:space="preserve"> م</w:t>
      </w:r>
      <w:r w:rsidRPr="0025250D">
        <w:rPr>
          <w:rFonts w:hint="cs"/>
          <w:rtl/>
        </w:rPr>
        <w:t>ی</w:t>
      </w:r>
      <w:r w:rsidRPr="0025250D">
        <w:rPr>
          <w:rFonts w:hint="eastAsia"/>
          <w:rtl/>
        </w:rPr>
        <w:t>نتزبرگ</w:t>
      </w:r>
      <w:r w:rsidRPr="0025250D">
        <w:rPr>
          <w:rFonts w:hint="cs"/>
          <w:rtl/>
        </w:rPr>
        <w:t xml:space="preserve"> در کتاب ظهور و سقوط برنامه‌ریزی </w:t>
      </w:r>
      <w:r w:rsidR="00701E03" w:rsidRPr="0025250D">
        <w:rPr>
          <w:rFonts w:hint="cs"/>
          <w:rtl/>
        </w:rPr>
        <w:t>راهبردی</w:t>
      </w:r>
      <w:r w:rsidRPr="0025250D">
        <w:rPr>
          <w:vertAlign w:val="superscript"/>
          <w:rtl/>
        </w:rPr>
        <w:footnoteReference w:id="2313"/>
      </w:r>
      <w:r w:rsidRPr="0025250D">
        <w:rPr>
          <w:rFonts w:hint="cs"/>
          <w:rtl/>
        </w:rPr>
        <w:t xml:space="preserve"> در</w:t>
      </w:r>
      <w:r w:rsidR="008D6F97" w:rsidRPr="0025250D">
        <w:rPr>
          <w:rtl/>
        </w:rPr>
        <w:t xml:space="preserve"> </w:t>
      </w:r>
      <w:r w:rsidRPr="0025250D">
        <w:rPr>
          <w:rFonts w:hint="cs"/>
          <w:rtl/>
        </w:rPr>
        <w:t xml:space="preserve">2000 توضیح می‌دهد که برای یک شرکت برنامه‌ریزی بیش‌ازحد، استفاده از برنامه‌ها به عنوان یک بهانه ضعیف برای عمل و به ویژه ایجاد برنامه‌هایی که به طور گسترده به آن شکلی که نوشته می‌شوند درونی سازی یا اجرا نمی‌شوند، بسیار آسان است، حتی در مراحل اولیه. کتاب برنامه‌ریزی </w:t>
      </w:r>
      <w:r w:rsidR="00701E03" w:rsidRPr="0025250D">
        <w:rPr>
          <w:rFonts w:hint="cs"/>
          <w:rtl/>
        </w:rPr>
        <w:t>راهبردی</w:t>
      </w:r>
      <w:r w:rsidRPr="0025250D">
        <w:rPr>
          <w:rFonts w:hint="cs"/>
          <w:rtl/>
        </w:rPr>
        <w:t xml:space="preserve"> ساده</w:t>
      </w:r>
      <w:r w:rsidRPr="0025250D">
        <w:rPr>
          <w:vertAlign w:val="superscript"/>
          <w:rtl/>
        </w:rPr>
        <w:footnoteReference w:id="2314"/>
      </w:r>
      <w:r w:rsidRPr="0025250D">
        <w:rPr>
          <w:rFonts w:hint="cs"/>
          <w:rtl/>
        </w:rPr>
        <w:t xml:space="preserve"> اثر </w:t>
      </w:r>
      <w:r w:rsidRPr="0025250D">
        <w:rPr>
          <w:rtl/>
        </w:rPr>
        <w:t>برادفورد و دانکن</w:t>
      </w:r>
      <w:r w:rsidRPr="0025250D">
        <w:rPr>
          <w:vertAlign w:val="superscript"/>
          <w:rtl/>
        </w:rPr>
        <w:footnoteReference w:id="2315"/>
      </w:r>
      <w:r w:rsidRPr="0025250D">
        <w:rPr>
          <w:rFonts w:hint="cs"/>
          <w:rtl/>
        </w:rPr>
        <w:t xml:space="preserve"> در سال 2000 درمورد این که چگونه از این تله‌ها با برنامه‌ریزی پر</w:t>
      </w:r>
      <w:r w:rsidRPr="0025250D">
        <w:rPr>
          <w:rtl/>
        </w:rPr>
        <w:t xml:space="preserve"> </w:t>
      </w:r>
      <w:r w:rsidRPr="0025250D">
        <w:rPr>
          <w:rFonts w:hint="cs"/>
          <w:rtl/>
        </w:rPr>
        <w:t xml:space="preserve">کاربرد مختصر، سریع و مداوم دوری کنیم پیشنهادهایی ارائه می‌دهد. درست مانند اعمال، برنامه‌ها باید </w:t>
      </w:r>
      <w:r w:rsidR="008F0DD8" w:rsidRPr="0025250D">
        <w:rPr>
          <w:rFonts w:hint="cs"/>
          <w:rtl/>
        </w:rPr>
        <w:t>آن‌قدر</w:t>
      </w:r>
      <w:r w:rsidRPr="0025250D">
        <w:rPr>
          <w:rFonts w:hint="cs"/>
          <w:rtl/>
        </w:rPr>
        <w:t xml:space="preserve"> ساده باشند تا به صورت مداوم بازبینی شوند.</w:t>
      </w:r>
    </w:p>
    <w:p w14:paraId="7737B61B" w14:textId="27E2D259" w:rsidR="00537CC8" w:rsidRPr="0025250D" w:rsidRDefault="00537CC8" w:rsidP="00537CC8">
      <w:pPr>
        <w:rPr>
          <w:rtl/>
        </w:rPr>
      </w:pPr>
      <w:r w:rsidRPr="0025250D">
        <w:rPr>
          <w:rFonts w:hint="cs"/>
          <w:rtl/>
        </w:rPr>
        <w:t xml:space="preserve">برنامه‌های یک شرکت ممکن است شامل </w:t>
      </w:r>
      <w:r w:rsidRPr="0025250D">
        <w:rPr>
          <w:rtl/>
        </w:rPr>
        <w:t>آینده‌نگاری</w:t>
      </w:r>
      <w:r w:rsidRPr="0025250D">
        <w:rPr>
          <w:rFonts w:hint="cs"/>
          <w:rtl/>
        </w:rPr>
        <w:t xml:space="preserve"> گسترده باشند یا نباشند. برخی اوقات پیش‌انگاری ممکن نیست و در عوض به چابکی </w:t>
      </w:r>
      <w:r w:rsidR="00701E03" w:rsidRPr="0025250D">
        <w:rPr>
          <w:rFonts w:hint="cs"/>
          <w:rtl/>
        </w:rPr>
        <w:t>راهبردی</w:t>
      </w:r>
      <w:r w:rsidRPr="0025250D">
        <w:rPr>
          <w:rFonts w:hint="cs"/>
          <w:rtl/>
        </w:rPr>
        <w:t xml:space="preserve">، حرکت تا حد امکان سریع از </w:t>
      </w:r>
      <w:r w:rsidR="00701E03" w:rsidRPr="0025250D">
        <w:rPr>
          <w:rFonts w:hint="cs"/>
          <w:rtl/>
        </w:rPr>
        <w:t>راهبرد</w:t>
      </w:r>
      <w:r w:rsidRPr="0025250D">
        <w:rPr>
          <w:rFonts w:hint="cs"/>
          <w:rtl/>
        </w:rPr>
        <w:t xml:space="preserve"> به عمل نیاز است. در موارد دیگر، وقتی با گمانه‌های بزرگ و نقاط </w:t>
      </w:r>
      <w:r w:rsidR="0008779C" w:rsidRPr="0025250D">
        <w:rPr>
          <w:rFonts w:hint="cs"/>
          <w:rtl/>
        </w:rPr>
        <w:t>تصمیم‌گیری</w:t>
      </w:r>
      <w:r w:rsidRPr="0025250D">
        <w:rPr>
          <w:rFonts w:hint="cs"/>
          <w:rtl/>
        </w:rPr>
        <w:t xml:space="preserve"> پر هزینه مواجه باشیم و وقتی بتوان زمانی برای تأمل کوتاه قبل از </w:t>
      </w:r>
      <w:r w:rsidR="0008779C" w:rsidRPr="0025250D">
        <w:rPr>
          <w:rFonts w:hint="cs"/>
          <w:rtl/>
        </w:rPr>
        <w:t>تصمیم‌گیری</w:t>
      </w:r>
      <w:r w:rsidRPr="0025250D">
        <w:rPr>
          <w:rFonts w:hint="cs"/>
          <w:rtl/>
        </w:rPr>
        <w:t xml:space="preserve"> یافت، سطح ایده پردازی (تولید آینده‌های </w:t>
      </w:r>
      <w:r w:rsidR="00563645" w:rsidRPr="0025250D">
        <w:rPr>
          <w:rFonts w:hint="cs"/>
          <w:rtl/>
        </w:rPr>
        <w:t>بدیل</w:t>
      </w:r>
      <w:r w:rsidRPr="0025250D">
        <w:rPr>
          <w:rFonts w:hint="cs"/>
          <w:rtl/>
        </w:rPr>
        <w:t xml:space="preserve">)، پیش‌انگاری و </w:t>
      </w:r>
      <w:r w:rsidR="00701E03" w:rsidRPr="0025250D">
        <w:rPr>
          <w:rFonts w:hint="cs"/>
          <w:rtl/>
        </w:rPr>
        <w:t>راهبرد</w:t>
      </w:r>
      <w:r w:rsidRPr="0025250D">
        <w:rPr>
          <w:rFonts w:hint="cs"/>
          <w:rtl/>
        </w:rPr>
        <w:t xml:space="preserve"> در برنامه می‌تواند حیاتی باشد. آیا تیم بیش‌تر آینده‌های محتمل و ممکن مرتبط با مقاصد</w:t>
      </w:r>
      <w:r w:rsidRPr="0025250D">
        <w:rPr>
          <w:vertAlign w:val="superscript"/>
          <w:rtl/>
        </w:rPr>
        <w:footnoteReference w:id="2316"/>
      </w:r>
      <w:r w:rsidRPr="0025250D">
        <w:rPr>
          <w:rFonts w:hint="cs"/>
          <w:rtl/>
        </w:rPr>
        <w:t xml:space="preserve"> خود را به عنوان بخشی از برنامه‌ریزی </w:t>
      </w:r>
      <w:r w:rsidR="00701E03" w:rsidRPr="0025250D">
        <w:rPr>
          <w:rFonts w:hint="cs"/>
          <w:rtl/>
        </w:rPr>
        <w:t>راهبردی</w:t>
      </w:r>
      <w:r w:rsidRPr="0025250D">
        <w:rPr>
          <w:rFonts w:hint="cs"/>
          <w:rtl/>
        </w:rPr>
        <w:t xml:space="preserve"> بررسی کرده است؟ اگر </w:t>
      </w:r>
      <w:r w:rsidR="0020589F" w:rsidRPr="0025250D">
        <w:rPr>
          <w:rtl/>
        </w:rPr>
        <w:t>نه</w:t>
      </w:r>
      <w:r w:rsidRPr="0025250D">
        <w:rPr>
          <w:rFonts w:hint="cs"/>
          <w:rtl/>
        </w:rPr>
        <w:t xml:space="preserve"> برنامه نسبت به محیط کورکورانه است و می‌تواند ارزش کمی برای بقا داشته باشد.</w:t>
      </w:r>
    </w:p>
    <w:p w14:paraId="2F522A3D" w14:textId="5CBE74E8" w:rsidR="00537CC8" w:rsidRPr="0025250D" w:rsidRDefault="00537CC8" w:rsidP="00537CC8">
      <w:pPr>
        <w:rPr>
          <w:rtl/>
        </w:rPr>
      </w:pPr>
      <w:r w:rsidRPr="0025250D">
        <w:rPr>
          <w:rFonts w:hint="cs"/>
          <w:rtl/>
        </w:rPr>
        <w:t xml:space="preserve">در رویکردهای پیچیده </w:t>
      </w:r>
      <w:r w:rsidR="008D6F97" w:rsidRPr="0025250D">
        <w:rPr>
          <w:rFonts w:hint="cs"/>
          <w:rtl/>
        </w:rPr>
        <w:t>سامانه‌</w:t>
      </w:r>
      <w:r w:rsidRPr="0025250D">
        <w:rPr>
          <w:rFonts w:hint="cs"/>
          <w:rtl/>
        </w:rPr>
        <w:t xml:space="preserve"> محور، مدیریت می‌تواند به صورت ذهنی یا گرافیکی دورنمای تناسب تقریبی ذینفعان مرتبط را ترسیم کند. بازیگران همواره در یک دورنمای </w:t>
      </w:r>
      <w:r w:rsidR="00B124DE" w:rsidRPr="0025250D">
        <w:rPr>
          <w:rFonts w:hint="cs"/>
          <w:rtl/>
        </w:rPr>
        <w:t>انطباق‌پذیر</w:t>
      </w:r>
      <w:r w:rsidRPr="0025250D">
        <w:rPr>
          <w:rFonts w:hint="cs"/>
          <w:rtl/>
        </w:rPr>
        <w:t xml:space="preserve"> از قله‌ها و دره‌های تغییر یابنده در متغیر‌های مشارکتی و رقابتی مرتبط هستند </w:t>
      </w:r>
      <w:r w:rsidR="00E402E3" w:rsidRPr="0025250D">
        <w:rPr>
          <w:rtl/>
        </w:rPr>
        <w:t>(</w:t>
      </w:r>
      <w:r w:rsidRPr="0025250D">
        <w:rPr>
          <w:rFonts w:hint="cs"/>
          <w:rtl/>
        </w:rPr>
        <w:t>مثلا کارایی، عملکرد، ترجیح، ویژگی‌های محصول، رشد، حاشیه سود و هزینه، سود، دارایی‌ها، منابع، همکاری‌ها، شهرت، برند و غیره)</w:t>
      </w:r>
      <w:r w:rsidR="008D6F97" w:rsidRPr="0025250D">
        <w:rPr>
          <w:rtl/>
        </w:rPr>
        <w:t xml:space="preserve">؛ </w:t>
      </w:r>
      <w:r w:rsidRPr="0025250D">
        <w:rPr>
          <w:rFonts w:hint="cs"/>
          <w:rtl/>
        </w:rPr>
        <w:t xml:space="preserve">مانند تصویر زیر. فهم این که کدام متغیر برای </w:t>
      </w:r>
      <w:r w:rsidR="00701E03" w:rsidRPr="0025250D">
        <w:rPr>
          <w:rFonts w:hint="cs"/>
          <w:rtl/>
        </w:rPr>
        <w:t>راهبرد</w:t>
      </w:r>
      <w:r w:rsidRPr="0025250D">
        <w:rPr>
          <w:rFonts w:hint="cs"/>
          <w:rtl/>
        </w:rPr>
        <w:t xml:space="preserve"> بیش‌تر اهمیت دارد مسلما یک هنر است. </w:t>
      </w:r>
      <w:r w:rsidR="007118DE" w:rsidRPr="0025250D">
        <w:rPr>
          <w:rFonts w:hint="cs"/>
          <w:rtl/>
        </w:rPr>
        <w:t>همان‌طور</w:t>
      </w:r>
      <w:r w:rsidRPr="0025250D">
        <w:rPr>
          <w:rFonts w:hint="cs"/>
          <w:rtl/>
        </w:rPr>
        <w:t xml:space="preserve"> که </w:t>
      </w:r>
      <w:r w:rsidRPr="0025250D">
        <w:rPr>
          <w:rtl/>
        </w:rPr>
        <w:t>فلم</w:t>
      </w:r>
      <w:r w:rsidRPr="0025250D">
        <w:rPr>
          <w:rFonts w:hint="cs"/>
          <w:rtl/>
        </w:rPr>
        <w:t>ی</w:t>
      </w:r>
      <w:r w:rsidRPr="0025250D">
        <w:rPr>
          <w:rFonts w:hint="eastAsia"/>
          <w:rtl/>
        </w:rPr>
        <w:t>نگ</w:t>
      </w:r>
      <w:r w:rsidRPr="0025250D">
        <w:rPr>
          <w:rtl/>
        </w:rPr>
        <w:t xml:space="preserve"> و سورنسون</w:t>
      </w:r>
      <w:r w:rsidRPr="0025250D">
        <w:rPr>
          <w:vertAlign w:val="superscript"/>
          <w:rtl/>
        </w:rPr>
        <w:footnoteReference w:id="2317"/>
      </w:r>
      <w:r w:rsidRPr="0025250D">
        <w:rPr>
          <w:rFonts w:hint="cs"/>
          <w:rtl/>
        </w:rPr>
        <w:t xml:space="preserve"> در </w:t>
      </w:r>
      <w:r w:rsidR="00E402E3" w:rsidRPr="0025250D">
        <w:rPr>
          <w:rtl/>
        </w:rPr>
        <w:t>«</w:t>
      </w:r>
      <w:r w:rsidRPr="0025250D">
        <w:rPr>
          <w:rFonts w:hint="cs"/>
          <w:rtl/>
        </w:rPr>
        <w:t xml:space="preserve">راهبری در دورنمای </w:t>
      </w:r>
      <w:r w:rsidR="007A53FD" w:rsidRPr="0025250D">
        <w:rPr>
          <w:rFonts w:hint="cs"/>
          <w:rtl/>
        </w:rPr>
        <w:t>فناوری</w:t>
      </w:r>
      <w:r w:rsidRPr="0025250D">
        <w:rPr>
          <w:rFonts w:hint="cs"/>
          <w:rtl/>
        </w:rPr>
        <w:t xml:space="preserve"> از نوآوری</w:t>
      </w:r>
      <w:r w:rsidRPr="0025250D">
        <w:rPr>
          <w:vertAlign w:val="superscript"/>
          <w:rtl/>
        </w:rPr>
        <w:footnoteReference w:id="2318"/>
      </w:r>
      <w:r w:rsidR="00E402E3" w:rsidRPr="0025250D">
        <w:rPr>
          <w:rtl/>
        </w:rPr>
        <w:t>»</w:t>
      </w:r>
      <w:r w:rsidRPr="0025250D">
        <w:rPr>
          <w:rFonts w:hint="cs"/>
          <w:rtl/>
        </w:rPr>
        <w:t xml:space="preserve"> در مجله بازبینی مدیریت اسلون </w:t>
      </w:r>
      <w:r w:rsidRPr="0025250D">
        <w:t>MIT</w:t>
      </w:r>
      <w:r w:rsidRPr="0025250D">
        <w:rPr>
          <w:rFonts w:hint="cs"/>
          <w:rtl/>
        </w:rPr>
        <w:t xml:space="preserve"> در سال 2003 اشاره دارند، رهبران می‌توانند اغلب تنها راه کوچکی را به خارج از دورنمای تناسب شرکت خود از محل فعلی ببینند. تیم‌های آنان و افراد و جمعیت‌ها، </w:t>
      </w:r>
      <w:r w:rsidR="00791382" w:rsidRPr="0025250D">
        <w:rPr>
          <w:rFonts w:hint="cs"/>
          <w:rtl/>
        </w:rPr>
        <w:t xml:space="preserve">اغلب </w:t>
      </w:r>
      <w:r w:rsidRPr="0025250D">
        <w:rPr>
          <w:rFonts w:hint="cs"/>
          <w:rtl/>
        </w:rPr>
        <w:t xml:space="preserve">می‌توانند </w:t>
      </w:r>
      <w:r w:rsidR="00791382" w:rsidRPr="0025250D">
        <w:rPr>
          <w:rFonts w:hint="cs"/>
          <w:rtl/>
        </w:rPr>
        <w:t>موارد بیشتری را</w:t>
      </w:r>
      <w:r w:rsidRPr="0025250D">
        <w:rPr>
          <w:rFonts w:hint="cs"/>
          <w:rtl/>
        </w:rPr>
        <w:t xml:space="preserve"> ببینند. این کار تحلیلی می‌تواند شفاف سازی بسیاری قبل از ایجاد </w:t>
      </w:r>
      <w:r w:rsidR="00701E03" w:rsidRPr="0025250D">
        <w:rPr>
          <w:rFonts w:hint="cs"/>
          <w:rtl/>
        </w:rPr>
        <w:t>راهبرد</w:t>
      </w:r>
      <w:r w:rsidRPr="0025250D">
        <w:rPr>
          <w:rFonts w:hint="cs"/>
          <w:rtl/>
        </w:rPr>
        <w:t xml:space="preserve"> داشته باشد. این کار همچنین می‌تواند قبل از تولید </w:t>
      </w:r>
      <w:r w:rsidR="007A53FD" w:rsidRPr="0025250D">
        <w:rPr>
          <w:rFonts w:hint="cs"/>
          <w:rtl/>
        </w:rPr>
        <w:t>فرانامه</w:t>
      </w:r>
      <w:r w:rsidRPr="0025250D">
        <w:rPr>
          <w:rFonts w:hint="cs"/>
          <w:rtl/>
        </w:rPr>
        <w:t>، برای درک محیط مشارکتی و همکاری انجام شود.</w:t>
      </w:r>
    </w:p>
    <w:p w14:paraId="7E2B2685" w14:textId="77777777" w:rsidR="00537CC8" w:rsidRPr="0025250D" w:rsidRDefault="00537CC8" w:rsidP="00D53F87">
      <w:pPr>
        <w:jc w:val="center"/>
        <w:rPr>
          <w:rtl/>
        </w:rPr>
      </w:pPr>
      <w:r w:rsidRPr="0025250D">
        <w:rPr>
          <w:noProof/>
          <w:lang w:bidi="ar-SA"/>
        </w:rPr>
        <w:drawing>
          <wp:inline distT="0" distB="0" distL="0" distR="0" wp14:anchorId="452DD79C" wp14:editId="0AB555D0">
            <wp:extent cx="3726611" cy="2903986"/>
            <wp:effectExtent l="0" t="0" r="762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9" cstate="screen">
                      <a:extLst>
                        <a:ext uri="{28A0092B-C50C-407E-A947-70E740481C1C}">
                          <a14:useLocalDpi xmlns:a14="http://schemas.microsoft.com/office/drawing/2010/main"/>
                        </a:ext>
                      </a:extLst>
                    </a:blip>
                    <a:srcRect/>
                    <a:stretch>
                      <a:fillRect/>
                    </a:stretch>
                  </pic:blipFill>
                  <pic:spPr bwMode="auto">
                    <a:xfrm>
                      <a:off x="0" y="0"/>
                      <a:ext cx="3738509" cy="2913258"/>
                    </a:xfrm>
                    <a:prstGeom prst="rect">
                      <a:avLst/>
                    </a:prstGeom>
                    <a:noFill/>
                  </pic:spPr>
                </pic:pic>
              </a:graphicData>
            </a:graphic>
          </wp:inline>
        </w:drawing>
      </w:r>
    </w:p>
    <w:p w14:paraId="5871BDA4" w14:textId="09E743EF" w:rsidR="00537CC8" w:rsidRPr="0025250D" w:rsidRDefault="00537CC8" w:rsidP="00537CC8">
      <w:pPr>
        <w:rPr>
          <w:rtl/>
        </w:rPr>
      </w:pPr>
      <w:r w:rsidRPr="0025250D">
        <w:rPr>
          <w:rFonts w:hint="cs"/>
          <w:rtl/>
        </w:rPr>
        <w:t xml:space="preserve">حتی وقتی تحلیل‌های کمّی برای ما موجود نباشند، دورنمای تناسب </w:t>
      </w:r>
      <w:r w:rsidR="00B124DE" w:rsidRPr="0025250D">
        <w:rPr>
          <w:rFonts w:hint="cs"/>
          <w:rtl/>
        </w:rPr>
        <w:t>انطباق‌پذیر</w:t>
      </w:r>
      <w:r w:rsidRPr="0025250D">
        <w:rPr>
          <w:rFonts w:hint="cs"/>
          <w:rtl/>
        </w:rPr>
        <w:t xml:space="preserve"> می‌تواند همچنان به ما برای تصویر سازی ذهنی </w:t>
      </w:r>
      <w:r w:rsidR="00701E03" w:rsidRPr="0025250D">
        <w:rPr>
          <w:rFonts w:hint="cs"/>
          <w:rtl/>
        </w:rPr>
        <w:t>راهبرد</w:t>
      </w:r>
      <w:r w:rsidRPr="0025250D">
        <w:rPr>
          <w:rFonts w:hint="cs"/>
          <w:rtl/>
        </w:rPr>
        <w:t xml:space="preserve">مان کمک کند. چنین دورنماهایی می‌توانند بر اساس هر دو متغیر، خواه ملموس و خواه ناملموس، با استفاده از نرم افزارهای نظرسنجی آنلاین و تخمین‌ها ایجاد شوند. برخی افراد، شرکت‌ها و گروه‌ها همواره بهتر از دیگران </w:t>
      </w:r>
      <w:r w:rsidR="002F3C14" w:rsidRPr="0025250D">
        <w:rPr>
          <w:rFonts w:hint="cs"/>
          <w:rtl/>
        </w:rPr>
        <w:t>انطباق</w:t>
      </w:r>
      <w:r w:rsidRPr="0025250D">
        <w:rPr>
          <w:rFonts w:hint="cs"/>
          <w:rtl/>
        </w:rPr>
        <w:t xml:space="preserve"> می‌یابند (</w:t>
      </w:r>
      <w:r w:rsidRPr="0025250D">
        <w:rPr>
          <w:rtl/>
        </w:rPr>
        <w:t xml:space="preserve">صعود به قله‌های </w:t>
      </w:r>
      <w:r w:rsidR="00B124DE" w:rsidRPr="0025250D">
        <w:rPr>
          <w:rtl/>
        </w:rPr>
        <w:t>انطباق‌پذیر</w:t>
      </w:r>
      <w:r w:rsidRPr="0025250D">
        <w:rPr>
          <w:rFonts w:hint="cs"/>
          <w:rtl/>
        </w:rPr>
        <w:t>ی</w:t>
      </w:r>
      <w:r w:rsidRPr="0025250D">
        <w:rPr>
          <w:rFonts w:hint="eastAsia"/>
          <w:rtl/>
        </w:rPr>
        <w:t>،</w:t>
      </w:r>
      <w:r w:rsidRPr="0025250D">
        <w:rPr>
          <w:rtl/>
        </w:rPr>
        <w:t xml:space="preserve"> در </w:t>
      </w:r>
      <w:r w:rsidRPr="0025250D">
        <w:rPr>
          <w:rFonts w:hint="cs"/>
          <w:rtl/>
        </w:rPr>
        <w:t>دورنماهای</w:t>
      </w:r>
      <w:r w:rsidRPr="0025250D">
        <w:rPr>
          <w:rtl/>
        </w:rPr>
        <w:t xml:space="preserve"> مختلف</w:t>
      </w:r>
      <w:r w:rsidRPr="0025250D">
        <w:rPr>
          <w:rFonts w:hint="cs"/>
          <w:rtl/>
        </w:rPr>
        <w:t xml:space="preserve">) و برخی شکست می‌خورند (وارد دره‌ها می‌شوند). چینش دورنماهای مرتبط در هر زمانی همواره می‌تواند برای هدایت </w:t>
      </w:r>
      <w:r w:rsidR="00701E03" w:rsidRPr="0025250D">
        <w:rPr>
          <w:rFonts w:hint="cs"/>
          <w:rtl/>
        </w:rPr>
        <w:t>راهبرد</w:t>
      </w:r>
      <w:r w:rsidRPr="0025250D">
        <w:rPr>
          <w:rFonts w:hint="cs"/>
          <w:rtl/>
        </w:rPr>
        <w:t>‌های ما استفاده شود.</w:t>
      </w:r>
    </w:p>
    <w:p w14:paraId="1E852A33" w14:textId="338C01B6" w:rsidR="00537CC8" w:rsidRPr="0025250D" w:rsidRDefault="00537CC8" w:rsidP="00537CC8">
      <w:pPr>
        <w:rPr>
          <w:rtl/>
        </w:rPr>
      </w:pPr>
      <w:r w:rsidRPr="0025250D">
        <w:rPr>
          <w:rFonts w:hint="cs"/>
          <w:rtl/>
        </w:rPr>
        <w:t xml:space="preserve">رهبران باید بدانند که مشتریان درمورد محصولات و سیاست هایشان نسبت به رقبا (دورنمای ترجیح مشتری) چگونه فکر می‌کنند، در جریان نقدی و نیروی فروش کجا قرار دارند (دورنمای مالی)، کدامیک از رقبایشان عملکرد بهتر و بدتری دارند (دورنمای رقابتی) و بهترین متحدین احتمالی آن‌ها چه کسانی هستند (دورنمای اتحاد </w:t>
      </w:r>
      <w:r w:rsidR="00701E03" w:rsidRPr="0025250D">
        <w:rPr>
          <w:rFonts w:hint="cs"/>
          <w:rtl/>
        </w:rPr>
        <w:t>راهبردی</w:t>
      </w:r>
      <w:r w:rsidRPr="0025250D">
        <w:rPr>
          <w:rFonts w:hint="cs"/>
          <w:rtl/>
        </w:rPr>
        <w:t>). برای اطلاعات بیش‌تر، کتاب مزیت اتحاد</w:t>
      </w:r>
      <w:r w:rsidRPr="0025250D">
        <w:rPr>
          <w:vertAlign w:val="superscript"/>
          <w:rtl/>
        </w:rPr>
        <w:footnoteReference w:id="2319"/>
      </w:r>
      <w:r w:rsidRPr="0025250D">
        <w:rPr>
          <w:rFonts w:hint="cs"/>
          <w:rtl/>
        </w:rPr>
        <w:t xml:space="preserve"> اثر </w:t>
      </w:r>
      <w:r w:rsidRPr="0025250D">
        <w:rPr>
          <w:rtl/>
        </w:rPr>
        <w:t>دوز و همل</w:t>
      </w:r>
      <w:r w:rsidRPr="0025250D">
        <w:rPr>
          <w:vertAlign w:val="superscript"/>
          <w:rtl/>
        </w:rPr>
        <w:footnoteReference w:id="2320"/>
      </w:r>
      <w:r w:rsidRPr="0025250D">
        <w:rPr>
          <w:rFonts w:hint="cs"/>
          <w:rtl/>
        </w:rPr>
        <w:t xml:space="preserve"> در سال 1998 را ببینید.</w:t>
      </w:r>
    </w:p>
    <w:p w14:paraId="75B0B666" w14:textId="66556390" w:rsidR="00537CC8" w:rsidRPr="0025250D" w:rsidRDefault="00537CC8" w:rsidP="00537CC8">
      <w:pPr>
        <w:rPr>
          <w:rtl/>
        </w:rPr>
      </w:pPr>
      <w:r w:rsidRPr="0025250D">
        <w:rPr>
          <w:rFonts w:hint="cs"/>
          <w:rtl/>
        </w:rPr>
        <w:t xml:space="preserve">اگر یادگیری اولین مهارت </w:t>
      </w:r>
      <w:r w:rsidRPr="0025250D">
        <w:rPr>
          <w:rtl/>
        </w:rPr>
        <w:t>آینده‌نگاری</w:t>
      </w:r>
      <w:r w:rsidRPr="0025250D">
        <w:rPr>
          <w:rFonts w:hint="cs"/>
          <w:rtl/>
        </w:rPr>
        <w:t xml:space="preserve"> و </w:t>
      </w:r>
      <w:r w:rsidR="00701E03" w:rsidRPr="0025250D">
        <w:rPr>
          <w:rFonts w:hint="cs"/>
          <w:rtl/>
        </w:rPr>
        <w:t>راهبرد</w:t>
      </w:r>
      <w:r w:rsidRPr="0025250D">
        <w:rPr>
          <w:rFonts w:hint="cs"/>
          <w:rtl/>
        </w:rPr>
        <w:t xml:space="preserve"> قلب </w:t>
      </w:r>
      <w:r w:rsidRPr="0025250D">
        <w:rPr>
          <w:rtl/>
        </w:rPr>
        <w:t>آینده‌نگاری</w:t>
      </w:r>
      <w:r w:rsidRPr="0025250D">
        <w:rPr>
          <w:rFonts w:hint="cs"/>
          <w:rtl/>
        </w:rPr>
        <w:t xml:space="preserve"> باشد، بنابراین یادگیری دورنماهای مرتبط قلب </w:t>
      </w:r>
      <w:r w:rsidR="00701E03" w:rsidRPr="0025250D">
        <w:rPr>
          <w:rFonts w:hint="cs"/>
          <w:rtl/>
        </w:rPr>
        <w:t>راهبرد</w:t>
      </w:r>
      <w:r w:rsidRPr="0025250D">
        <w:rPr>
          <w:rFonts w:hint="cs"/>
          <w:rtl/>
        </w:rPr>
        <w:t xml:space="preserve"> است. هدف مرکزی هر مدیری </w:t>
      </w:r>
      <w:r w:rsidR="00B124DE" w:rsidRPr="0025250D">
        <w:rPr>
          <w:rFonts w:hint="cs"/>
          <w:rtl/>
        </w:rPr>
        <w:t>انطباق‌پذیر</w:t>
      </w:r>
      <w:r w:rsidRPr="0025250D">
        <w:rPr>
          <w:rFonts w:hint="cs"/>
          <w:rtl/>
        </w:rPr>
        <w:t>ی کافی برای بقا</w:t>
      </w:r>
      <w:r w:rsidR="00791382" w:rsidRPr="0025250D">
        <w:rPr>
          <w:rFonts w:hint="cs"/>
          <w:rtl/>
        </w:rPr>
        <w:t xml:space="preserve"> و </w:t>
      </w:r>
      <w:r w:rsidRPr="0025250D">
        <w:rPr>
          <w:rFonts w:hint="cs"/>
          <w:rtl/>
        </w:rPr>
        <w:t xml:space="preserve">کنترل </w:t>
      </w:r>
      <w:r w:rsidR="0008779C" w:rsidRPr="0025250D">
        <w:rPr>
          <w:rFonts w:hint="cs"/>
          <w:rtl/>
        </w:rPr>
        <w:t>موفقیت‌آمیز</w:t>
      </w:r>
      <w:r w:rsidRPr="0025250D">
        <w:rPr>
          <w:rFonts w:hint="cs"/>
          <w:rtl/>
        </w:rPr>
        <w:t xml:space="preserve"> تغییرات است. کلید این بقا دانستن مکان دره‌ها و قله‌ها در هر دورنمای مرتبط، سپس توسعه تحلیل، </w:t>
      </w:r>
      <w:r w:rsidR="00701E03" w:rsidRPr="0025250D">
        <w:rPr>
          <w:rFonts w:hint="cs"/>
          <w:rtl/>
        </w:rPr>
        <w:t>راهبرد</w:t>
      </w:r>
      <w:r w:rsidRPr="0025250D">
        <w:rPr>
          <w:rFonts w:hint="cs"/>
          <w:rtl/>
        </w:rPr>
        <w:t xml:space="preserve"> و برنامه‌های مشارکتی و رقابتی قوی برای استفاده از هر آنچه که تیم هایمان می‌توانند در محیط اطراف ببینند می‌باشد.</w:t>
      </w:r>
    </w:p>
    <w:p w14:paraId="17525906" w14:textId="77777777" w:rsidR="00537CC8" w:rsidRPr="0025250D" w:rsidRDefault="00537CC8" w:rsidP="00D53F87">
      <w:pPr>
        <w:pStyle w:val="Heading3"/>
        <w:rPr>
          <w:rtl/>
        </w:rPr>
      </w:pPr>
      <w:r w:rsidRPr="0025250D">
        <w:rPr>
          <w:rFonts w:hint="cs"/>
          <w:rtl/>
        </w:rPr>
        <w:t xml:space="preserve">مهارت 5. </w:t>
      </w:r>
      <w:r w:rsidRPr="0025250D">
        <w:rPr>
          <w:rFonts w:hint="cs"/>
          <w:u w:val="single"/>
          <w:rtl/>
        </w:rPr>
        <w:t>اجرا</w:t>
      </w:r>
      <w:r w:rsidRPr="0025250D">
        <w:rPr>
          <w:rFonts w:hint="cs"/>
          <w:rtl/>
        </w:rPr>
        <w:t xml:space="preserve"> (تفکر تولیدی)</w:t>
      </w:r>
    </w:p>
    <w:p w14:paraId="4D2DF94B" w14:textId="50163EE4" w:rsidR="00537CC8" w:rsidRPr="0025250D" w:rsidRDefault="00537CC8" w:rsidP="00537CC8">
      <w:pPr>
        <w:rPr>
          <w:rtl/>
        </w:rPr>
      </w:pPr>
      <w:r w:rsidRPr="0025250D">
        <w:rPr>
          <w:rFonts w:hint="cs"/>
          <w:rtl/>
        </w:rPr>
        <w:t>واضح‌ترین مهارت عملی اجرا است. کتاب اجرا: نظام انجام امور</w:t>
      </w:r>
      <w:r w:rsidRPr="0025250D">
        <w:rPr>
          <w:vertAlign w:val="superscript"/>
          <w:rtl/>
        </w:rPr>
        <w:footnoteReference w:id="2321"/>
      </w:r>
      <w:r w:rsidRPr="0025250D">
        <w:rPr>
          <w:rFonts w:hint="cs"/>
          <w:rtl/>
        </w:rPr>
        <w:t xml:space="preserve"> اثر </w:t>
      </w:r>
      <w:r w:rsidRPr="0025250D">
        <w:rPr>
          <w:rtl/>
        </w:rPr>
        <w:t>ب</w:t>
      </w:r>
      <w:r w:rsidRPr="0025250D">
        <w:rPr>
          <w:rFonts w:hint="cs"/>
          <w:rtl/>
        </w:rPr>
        <w:t>ُ</w:t>
      </w:r>
      <w:r w:rsidRPr="0025250D">
        <w:rPr>
          <w:rtl/>
        </w:rPr>
        <w:t>س</w:t>
      </w:r>
      <w:r w:rsidRPr="0025250D">
        <w:rPr>
          <w:rFonts w:hint="cs"/>
          <w:rtl/>
        </w:rPr>
        <w:t>ی</w:t>
      </w:r>
      <w:r w:rsidRPr="0025250D">
        <w:rPr>
          <w:rFonts w:hint="eastAsia"/>
          <w:rtl/>
        </w:rPr>
        <w:t>د</w:t>
      </w:r>
      <w:r w:rsidRPr="0025250D">
        <w:rPr>
          <w:rFonts w:hint="cs"/>
          <w:rtl/>
        </w:rPr>
        <w:t>ی</w:t>
      </w:r>
      <w:r w:rsidRPr="0025250D">
        <w:rPr>
          <w:rtl/>
        </w:rPr>
        <w:t xml:space="preserve"> و چاران</w:t>
      </w:r>
      <w:r w:rsidRPr="0025250D">
        <w:rPr>
          <w:vertAlign w:val="superscript"/>
          <w:rtl/>
        </w:rPr>
        <w:footnoteReference w:id="2322"/>
      </w:r>
      <w:r w:rsidRPr="0025250D">
        <w:rPr>
          <w:rFonts w:hint="cs"/>
          <w:rtl/>
        </w:rPr>
        <w:t xml:space="preserve"> در سال 2011 می‌تواند به بهبود این مهارت محوری کمک کند. </w:t>
      </w:r>
      <w:r w:rsidR="007118DE" w:rsidRPr="0025250D">
        <w:rPr>
          <w:rFonts w:hint="cs"/>
          <w:rtl/>
        </w:rPr>
        <w:t>همان‌طور</w:t>
      </w:r>
      <w:r w:rsidRPr="0025250D">
        <w:rPr>
          <w:rFonts w:hint="cs"/>
          <w:rtl/>
        </w:rPr>
        <w:t xml:space="preserve"> که گفتیم، اجرا به همراه </w:t>
      </w:r>
      <w:r w:rsidR="00701E03" w:rsidRPr="0025250D">
        <w:rPr>
          <w:rFonts w:hint="cs"/>
          <w:rtl/>
        </w:rPr>
        <w:t>راهبرد</w:t>
      </w:r>
      <w:r w:rsidRPr="0025250D">
        <w:rPr>
          <w:rFonts w:hint="cs"/>
          <w:rtl/>
        </w:rPr>
        <w:t xml:space="preserve"> و بازبینی در جایگاه خاصی به عنوان سه مهارت </w:t>
      </w:r>
      <w:r w:rsidRPr="0025250D">
        <w:rPr>
          <w:rtl/>
        </w:rPr>
        <w:t>آینده‌نگاری</w:t>
      </w:r>
      <w:r w:rsidRPr="0025250D">
        <w:rPr>
          <w:rFonts w:hint="cs"/>
          <w:rtl/>
        </w:rPr>
        <w:t xml:space="preserve"> حیاتی قرار دارند. </w:t>
      </w:r>
      <w:r w:rsidR="007118DE" w:rsidRPr="0025250D">
        <w:rPr>
          <w:rFonts w:hint="cs"/>
          <w:rtl/>
        </w:rPr>
        <w:t>همان‌طور</w:t>
      </w:r>
      <w:r w:rsidRPr="0025250D">
        <w:rPr>
          <w:rFonts w:hint="cs"/>
          <w:rtl/>
        </w:rPr>
        <w:t xml:space="preserve"> که گفته می‌شود </w:t>
      </w:r>
      <w:r w:rsidR="00E402E3" w:rsidRPr="0025250D">
        <w:rPr>
          <w:rtl/>
        </w:rPr>
        <w:t>«</w:t>
      </w:r>
      <w:r w:rsidRPr="0025250D">
        <w:rPr>
          <w:rFonts w:hint="cs"/>
          <w:rtl/>
        </w:rPr>
        <w:t xml:space="preserve">بدون اجرا، </w:t>
      </w:r>
      <w:r w:rsidR="00701E03" w:rsidRPr="0025250D">
        <w:rPr>
          <w:rFonts w:hint="cs"/>
          <w:rtl/>
        </w:rPr>
        <w:t>راهبرد</w:t>
      </w:r>
      <w:r w:rsidRPr="0025250D">
        <w:rPr>
          <w:rFonts w:hint="cs"/>
          <w:rtl/>
        </w:rPr>
        <w:t xml:space="preserve"> عاجز است و بدون </w:t>
      </w:r>
      <w:r w:rsidR="00701E03" w:rsidRPr="0025250D">
        <w:rPr>
          <w:rFonts w:hint="cs"/>
          <w:rtl/>
        </w:rPr>
        <w:t>راهبرد</w:t>
      </w:r>
      <w:r w:rsidRPr="0025250D">
        <w:rPr>
          <w:rFonts w:hint="cs"/>
          <w:rtl/>
        </w:rPr>
        <w:t>، اجرا کور کورانه است</w:t>
      </w:r>
      <w:r w:rsidR="00E402E3" w:rsidRPr="0025250D">
        <w:rPr>
          <w:rtl/>
        </w:rPr>
        <w:t>»</w:t>
      </w:r>
      <w:r w:rsidRPr="0025250D">
        <w:rPr>
          <w:rFonts w:hint="cs"/>
          <w:rtl/>
        </w:rPr>
        <w:t>.</w:t>
      </w:r>
    </w:p>
    <w:p w14:paraId="77C1A256" w14:textId="77777777" w:rsidR="00537CC8" w:rsidRPr="0025250D" w:rsidRDefault="00537CC8" w:rsidP="00D53F87">
      <w:pPr>
        <w:jc w:val="center"/>
        <w:rPr>
          <w:rtl/>
        </w:rPr>
      </w:pPr>
      <w:r w:rsidRPr="0025250D">
        <w:rPr>
          <w:noProof/>
          <w:rtl/>
          <w:lang w:bidi="ar-SA"/>
        </w:rPr>
        <w:drawing>
          <wp:inline distT="0" distB="0" distL="0" distR="0" wp14:anchorId="69A9D3BE" wp14:editId="1A1738A7">
            <wp:extent cx="1356224" cy="2165230"/>
            <wp:effectExtent l="0" t="0" r="0" b="6985"/>
            <wp:docPr id="132" name="Picture 132" descr="D:\کار\مستقل\3 ( ترجمه ی دانشگاه تهران  )\Introduction to Foresight\part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6\30.png"/>
                    <pic:cNvPicPr>
                      <a:picLocks noChangeAspect="1" noChangeArrowheads="1"/>
                    </pic:cNvPicPr>
                  </pic:nvPicPr>
                  <pic:blipFill rotWithShape="1">
                    <a:blip r:embed="rId210" cstate="screen">
                      <a:extLst>
                        <a:ext uri="{BEBA8EAE-BF5A-486C-A8C5-ECC9F3942E4B}">
                          <a14:imgProps xmlns:a14="http://schemas.microsoft.com/office/drawing/2010/main">
                            <a14:imgLayer r:embed="rId211">
                              <a14:imgEffect>
                                <a14:saturation sat="0"/>
                              </a14:imgEffect>
                            </a14:imgLayer>
                          </a14:imgProps>
                        </a:ext>
                        <a:ext uri="{28A0092B-C50C-407E-A947-70E740481C1C}">
                          <a14:useLocalDpi xmlns:a14="http://schemas.microsoft.com/office/drawing/2010/main"/>
                        </a:ext>
                      </a:extLst>
                    </a:blip>
                    <a:srcRect/>
                    <a:stretch/>
                  </pic:blipFill>
                  <pic:spPr bwMode="auto">
                    <a:xfrm>
                      <a:off x="0" y="0"/>
                      <a:ext cx="1361119" cy="2173044"/>
                    </a:xfrm>
                    <a:prstGeom prst="rect">
                      <a:avLst/>
                    </a:prstGeom>
                    <a:noFill/>
                    <a:ln>
                      <a:noFill/>
                    </a:ln>
                    <a:extLst>
                      <a:ext uri="{53640926-AAD7-44D8-BBD7-CCE9431645EC}">
                        <a14:shadowObscured xmlns:a14="http://schemas.microsoft.com/office/drawing/2010/main"/>
                      </a:ext>
                    </a:extLst>
                  </pic:spPr>
                </pic:pic>
              </a:graphicData>
            </a:graphic>
          </wp:inline>
        </w:drawing>
      </w:r>
    </w:p>
    <w:p w14:paraId="5A7DB341" w14:textId="77777777" w:rsidR="00537CC8" w:rsidRPr="0025250D" w:rsidRDefault="00537CC8" w:rsidP="00D53F87">
      <w:pPr>
        <w:jc w:val="center"/>
        <w:rPr>
          <w:rtl/>
        </w:rPr>
      </w:pPr>
      <w:r w:rsidRPr="0025250D">
        <w:rPr>
          <w:rtl/>
        </w:rPr>
        <w:t>ب</w:t>
      </w:r>
      <w:r w:rsidRPr="0025250D">
        <w:rPr>
          <w:rFonts w:hint="cs"/>
          <w:rtl/>
        </w:rPr>
        <w:t>ُ</w:t>
      </w:r>
      <w:r w:rsidRPr="0025250D">
        <w:rPr>
          <w:rtl/>
        </w:rPr>
        <w:t>س</w:t>
      </w:r>
      <w:r w:rsidRPr="0025250D">
        <w:rPr>
          <w:rFonts w:hint="cs"/>
          <w:rtl/>
        </w:rPr>
        <w:t>ی</w:t>
      </w:r>
      <w:r w:rsidRPr="0025250D">
        <w:rPr>
          <w:rFonts w:hint="eastAsia"/>
          <w:rtl/>
        </w:rPr>
        <w:t>د</w:t>
      </w:r>
      <w:r w:rsidRPr="0025250D">
        <w:rPr>
          <w:rFonts w:hint="cs"/>
          <w:rtl/>
        </w:rPr>
        <w:t>ی</w:t>
      </w:r>
      <w:r w:rsidRPr="0025250D">
        <w:rPr>
          <w:rtl/>
        </w:rPr>
        <w:t xml:space="preserve"> و چاران</w:t>
      </w:r>
      <w:r w:rsidRPr="0025250D">
        <w:rPr>
          <w:rFonts w:hint="cs"/>
          <w:rtl/>
        </w:rPr>
        <w:t>، 2011</w:t>
      </w:r>
    </w:p>
    <w:p w14:paraId="2352A1C0" w14:textId="565A54B0" w:rsidR="00537CC8" w:rsidRPr="0025250D" w:rsidRDefault="00537CC8" w:rsidP="00537CC8">
      <w:pPr>
        <w:rPr>
          <w:rtl/>
        </w:rPr>
      </w:pPr>
      <w:r w:rsidRPr="0025250D">
        <w:rPr>
          <w:rFonts w:hint="cs"/>
          <w:rtl/>
        </w:rPr>
        <w:t xml:space="preserve">تخصص‌های مدیریت و رهبری را به مهارت اجرا اختصاص </w:t>
      </w:r>
      <w:r w:rsidR="00892D13" w:rsidRPr="0025250D">
        <w:rPr>
          <w:rFonts w:hint="cs"/>
          <w:rtl/>
        </w:rPr>
        <w:t>داده‌ایم</w:t>
      </w:r>
      <w:r w:rsidRPr="0025250D">
        <w:rPr>
          <w:rFonts w:hint="cs"/>
          <w:rtl/>
        </w:rPr>
        <w:t xml:space="preserve">، زیرا مدیریت اجرا وظیفه اصلی آن‌ها است. همه دانشجویان </w:t>
      </w:r>
      <w:r w:rsidRPr="0025250D">
        <w:rPr>
          <w:rtl/>
        </w:rPr>
        <w:t>آینده‌نگاری</w:t>
      </w:r>
      <w:r w:rsidRPr="0025250D">
        <w:rPr>
          <w:rFonts w:hint="cs"/>
          <w:rtl/>
        </w:rPr>
        <w:t xml:space="preserve"> باید فعالیت‌های خوب در هر دو مورد را درک کرده و از آن‌ها در کار خود استفاده کنند</w:t>
      </w:r>
      <w:r w:rsidR="008D6F97" w:rsidRPr="0025250D">
        <w:rPr>
          <w:rtl/>
        </w:rPr>
        <w:t xml:space="preserve">؛ </w:t>
      </w:r>
      <w:r w:rsidR="0020589F" w:rsidRPr="0025250D">
        <w:rPr>
          <w:rtl/>
        </w:rPr>
        <w:t>اما</w:t>
      </w:r>
      <w:r w:rsidRPr="0025250D">
        <w:rPr>
          <w:rFonts w:hint="cs"/>
          <w:rtl/>
        </w:rPr>
        <w:t xml:space="preserve"> </w:t>
      </w:r>
      <w:r w:rsidR="007118DE" w:rsidRPr="0025250D">
        <w:rPr>
          <w:rFonts w:hint="cs"/>
          <w:rtl/>
        </w:rPr>
        <w:t>همان‌طور</w:t>
      </w:r>
      <w:r w:rsidRPr="0025250D">
        <w:rPr>
          <w:rFonts w:hint="cs"/>
          <w:rtl/>
        </w:rPr>
        <w:t xml:space="preserve"> که گفتیم این دو مورد همچنین تخصص‌های ذهنی هستند، مانند خود </w:t>
      </w:r>
      <w:r w:rsidRPr="0025250D">
        <w:rPr>
          <w:rtl/>
        </w:rPr>
        <w:t>آینده‌نگاری</w:t>
      </w:r>
      <w:r w:rsidRPr="0025250D">
        <w:rPr>
          <w:rFonts w:hint="cs"/>
          <w:rtl/>
        </w:rPr>
        <w:t xml:space="preserve"> و ما آن‌ها را به همین ترتیب از طریق این کتاب بررسی می‌کنیم.</w:t>
      </w:r>
    </w:p>
    <w:p w14:paraId="34141420" w14:textId="498CA7CA" w:rsidR="00537CC8" w:rsidRPr="0025250D" w:rsidRDefault="00537CC8" w:rsidP="00537CC8">
      <w:pPr>
        <w:rPr>
          <w:rtl/>
        </w:rPr>
      </w:pPr>
      <w:r w:rsidRPr="0025250D">
        <w:rPr>
          <w:rFonts w:hint="cs"/>
          <w:rtl/>
        </w:rPr>
        <w:t>برای سازمان‌ها، تخصص‌های اجرایی کلیدی، مدیریت محصول، خدمت و پروژه هستند</w:t>
      </w:r>
      <w:r w:rsidR="00791382" w:rsidRPr="0025250D">
        <w:rPr>
          <w:rFonts w:hint="cs"/>
          <w:rtl/>
        </w:rPr>
        <w:t>؛</w:t>
      </w:r>
      <w:r w:rsidRPr="0025250D">
        <w:rPr>
          <w:rFonts w:hint="cs"/>
          <w:rtl/>
        </w:rPr>
        <w:t xml:space="preserve"> مجموعه گسترده‌ای از فعالیت‌هایی که می‌توانند شامل عملیات‌ها، مهندسی، منبع یابی</w:t>
      </w:r>
      <w:r w:rsidRPr="0025250D">
        <w:rPr>
          <w:vertAlign w:val="superscript"/>
          <w:rtl/>
        </w:rPr>
        <w:footnoteReference w:id="2323"/>
      </w:r>
      <w:r w:rsidRPr="0025250D">
        <w:rPr>
          <w:rFonts w:hint="cs"/>
          <w:rtl/>
        </w:rPr>
        <w:t>، لجستیک</w:t>
      </w:r>
      <w:r w:rsidRPr="0025250D">
        <w:rPr>
          <w:vertAlign w:val="superscript"/>
          <w:rtl/>
        </w:rPr>
        <w:footnoteReference w:id="2324"/>
      </w:r>
      <w:r w:rsidRPr="0025250D">
        <w:rPr>
          <w:rFonts w:hint="cs"/>
          <w:rtl/>
        </w:rPr>
        <w:t xml:space="preserve">، پلتفرم‌های </w:t>
      </w:r>
      <w:r w:rsidRPr="0025250D">
        <w:t>IT</w:t>
      </w:r>
      <w:r w:rsidRPr="0025250D">
        <w:rPr>
          <w:rFonts w:hint="cs"/>
          <w:rtl/>
        </w:rPr>
        <w:t>، مدیریت دانش و هر چیز ضروری دیگر برای تولید شوند. یک انجمن تخصصی مدیریت خوب اتحادیه مدیریت آمریکا</w:t>
      </w:r>
      <w:r w:rsidRPr="0025250D">
        <w:rPr>
          <w:vertAlign w:val="superscript"/>
          <w:rtl/>
        </w:rPr>
        <w:footnoteReference w:id="2325"/>
      </w:r>
      <w:r w:rsidRPr="0025250D">
        <w:rPr>
          <w:rFonts w:hint="cs"/>
          <w:rtl/>
        </w:rPr>
        <w:t xml:space="preserve"> (</w:t>
      </w:r>
      <w:r w:rsidRPr="0025250D">
        <w:t>AMA</w:t>
      </w:r>
      <w:r w:rsidRPr="0025250D">
        <w:rPr>
          <w:rFonts w:hint="cs"/>
          <w:rtl/>
        </w:rPr>
        <w:t>) است که همه این موضوعات را بررسی کرده و آموزش و پشتیبانی در مهارت‌های اجرایی را ارائه می‌دهد.</w:t>
      </w:r>
    </w:p>
    <w:p w14:paraId="0154CD25" w14:textId="6027ECAB" w:rsidR="00537CC8" w:rsidRPr="0025250D" w:rsidRDefault="0020589F" w:rsidP="00537CC8">
      <w:pPr>
        <w:rPr>
          <w:rtl/>
        </w:rPr>
      </w:pPr>
      <w:r w:rsidRPr="0025250D">
        <w:rPr>
          <w:rtl/>
        </w:rPr>
        <w:t>اما</w:t>
      </w:r>
      <w:r w:rsidR="00537CC8" w:rsidRPr="0025250D">
        <w:rPr>
          <w:rFonts w:hint="cs"/>
          <w:rtl/>
        </w:rPr>
        <w:t xml:space="preserve"> جوامع فعال تخصصی برای مدیریت محصول، خدمات و پروژه نیز وجود دارند که یک فعال </w:t>
      </w:r>
      <w:r w:rsidR="00537CC8" w:rsidRPr="0025250D">
        <w:rPr>
          <w:rtl/>
        </w:rPr>
        <w:t>آینده‌نگاری</w:t>
      </w:r>
      <w:r w:rsidR="00537CC8" w:rsidRPr="0025250D">
        <w:rPr>
          <w:rFonts w:hint="cs"/>
          <w:rtl/>
        </w:rPr>
        <w:t xml:space="preserve"> خوب باید از آن‌ها آگاه بوده و پیوستن به موارد مناسب را در نظر داشته باشد. برای مدیریت محصول، </w:t>
      </w:r>
      <w:r w:rsidR="00537CC8" w:rsidRPr="0025250D">
        <w:rPr>
          <w:rtl/>
        </w:rPr>
        <w:t>انجمن توسعه و مد</w:t>
      </w:r>
      <w:r w:rsidR="00537CC8" w:rsidRPr="0025250D">
        <w:rPr>
          <w:rFonts w:hint="cs"/>
          <w:rtl/>
        </w:rPr>
        <w:t>ی</w:t>
      </w:r>
      <w:r w:rsidR="00537CC8" w:rsidRPr="0025250D">
        <w:rPr>
          <w:rFonts w:hint="eastAsia"/>
          <w:rtl/>
        </w:rPr>
        <w:t>ر</w:t>
      </w:r>
      <w:r w:rsidR="00537CC8" w:rsidRPr="0025250D">
        <w:rPr>
          <w:rFonts w:hint="cs"/>
          <w:rtl/>
        </w:rPr>
        <w:t>ی</w:t>
      </w:r>
      <w:r w:rsidR="00537CC8" w:rsidRPr="0025250D">
        <w:rPr>
          <w:rFonts w:hint="eastAsia"/>
          <w:rtl/>
        </w:rPr>
        <w:t>ت</w:t>
      </w:r>
      <w:r w:rsidR="00537CC8" w:rsidRPr="0025250D">
        <w:rPr>
          <w:rtl/>
        </w:rPr>
        <w:t xml:space="preserve"> محصول</w:t>
      </w:r>
      <w:r w:rsidR="00537CC8" w:rsidRPr="0025250D">
        <w:rPr>
          <w:vertAlign w:val="superscript"/>
          <w:rtl/>
        </w:rPr>
        <w:footnoteReference w:id="2326"/>
      </w:r>
      <w:r w:rsidR="00537CC8" w:rsidRPr="0025250D">
        <w:rPr>
          <w:rFonts w:hint="cs"/>
          <w:rtl/>
        </w:rPr>
        <w:t xml:space="preserve"> 3500 عضو داشته و یک گواهینامه حرفه‌ای توسعه محصول جدید را ارائه می‌دهد. برای مدیریت خدمات تعداد معدودی از انجمن‌های حرفه‌ای در حال ظهور وجود دارند. </w:t>
      </w:r>
      <w:r w:rsidR="00537CC8" w:rsidRPr="0025250D">
        <w:t>IBM</w:t>
      </w:r>
      <w:r w:rsidR="00537CC8" w:rsidRPr="0025250D">
        <w:rPr>
          <w:rFonts w:hint="cs"/>
          <w:rtl/>
        </w:rPr>
        <w:t xml:space="preserve"> یک برنامه درسی با ابزارهای </w:t>
      </w:r>
      <w:r w:rsidR="00537CC8" w:rsidRPr="0025250D">
        <w:t>IT</w:t>
      </w:r>
      <w:r w:rsidR="00537CC8" w:rsidRPr="0025250D">
        <w:rPr>
          <w:rFonts w:hint="cs"/>
          <w:rtl/>
        </w:rPr>
        <w:t xml:space="preserve"> را در علوم، مدیریت و مهندسی خدمات</w:t>
      </w:r>
      <w:r w:rsidR="00537CC8" w:rsidRPr="0025250D">
        <w:rPr>
          <w:vertAlign w:val="superscript"/>
          <w:rtl/>
        </w:rPr>
        <w:footnoteReference w:id="2327"/>
      </w:r>
      <w:r w:rsidR="00537CC8" w:rsidRPr="0025250D">
        <w:rPr>
          <w:rFonts w:hint="cs"/>
          <w:rtl/>
        </w:rPr>
        <w:t xml:space="preserve"> (</w:t>
      </w:r>
      <w:r w:rsidR="00537CC8" w:rsidRPr="0025250D">
        <w:t>SSME</w:t>
      </w:r>
      <w:r w:rsidR="00537CC8" w:rsidRPr="0025250D">
        <w:rPr>
          <w:rFonts w:hint="cs"/>
          <w:rtl/>
        </w:rPr>
        <w:t>) پیشنهاد کرده است، اما این زمینه امروزه به ندرت وجود دارد.</w:t>
      </w:r>
    </w:p>
    <w:p w14:paraId="2D4EBCCA" w14:textId="77777777" w:rsidR="00537CC8" w:rsidRPr="0025250D" w:rsidRDefault="00537CC8" w:rsidP="00D53F87">
      <w:pPr>
        <w:jc w:val="center"/>
        <w:rPr>
          <w:rtl/>
        </w:rPr>
      </w:pPr>
      <w:r w:rsidRPr="0025250D">
        <w:rPr>
          <w:noProof/>
          <w:rtl/>
          <w:lang w:bidi="ar-SA"/>
        </w:rPr>
        <w:drawing>
          <wp:inline distT="0" distB="0" distL="0" distR="0" wp14:anchorId="62B07FF8" wp14:editId="07E5185E">
            <wp:extent cx="1840784" cy="1457864"/>
            <wp:effectExtent l="0" t="0" r="7620" b="9525"/>
            <wp:docPr id="133" name="Picture 133" descr="D:\کار\مستقل\3 ( ترجمه ی دانشگاه تهران  )\Introduction to Foresight\part6\31-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کار\مستقل\3 ( ترجمه ی دانشگاه تهران  )\Introduction to Foresight\part6\31-new.png"/>
                    <pic:cNvPicPr>
                      <a:picLocks noChangeAspect="1" noChangeArrowheads="1"/>
                    </pic:cNvPicPr>
                  </pic:nvPicPr>
                  <pic:blipFill rotWithShape="1">
                    <a:blip r:embed="rId212" cstate="screen">
                      <a:extLst>
                        <a:ext uri="{BEBA8EAE-BF5A-486C-A8C5-ECC9F3942E4B}">
                          <a14:imgProps xmlns:a14="http://schemas.microsoft.com/office/drawing/2010/main">
                            <a14:imgLayer r:embed="rId213">
                              <a14:imgEffect>
                                <a14:saturation sat="0"/>
                              </a14:imgEffect>
                            </a14:imgLayer>
                          </a14:imgProps>
                        </a:ext>
                        <a:ext uri="{28A0092B-C50C-407E-A947-70E740481C1C}">
                          <a14:useLocalDpi xmlns:a14="http://schemas.microsoft.com/office/drawing/2010/main"/>
                        </a:ext>
                      </a:extLst>
                    </a:blip>
                    <a:srcRect/>
                    <a:stretch/>
                  </pic:blipFill>
                  <pic:spPr bwMode="auto">
                    <a:xfrm>
                      <a:off x="0" y="0"/>
                      <a:ext cx="1853839" cy="1468203"/>
                    </a:xfrm>
                    <a:prstGeom prst="rect">
                      <a:avLst/>
                    </a:prstGeom>
                    <a:noFill/>
                    <a:ln>
                      <a:noFill/>
                    </a:ln>
                    <a:extLst>
                      <a:ext uri="{53640926-AAD7-44D8-BBD7-CCE9431645EC}">
                        <a14:shadowObscured xmlns:a14="http://schemas.microsoft.com/office/drawing/2010/main"/>
                      </a:ext>
                    </a:extLst>
                  </pic:spPr>
                </pic:pic>
              </a:graphicData>
            </a:graphic>
          </wp:inline>
        </w:drawing>
      </w:r>
    </w:p>
    <w:p w14:paraId="40AD5BA3" w14:textId="77777777" w:rsidR="00537CC8" w:rsidRPr="0025250D" w:rsidRDefault="00537CC8" w:rsidP="00D53F87">
      <w:pPr>
        <w:jc w:val="center"/>
        <w:rPr>
          <w:rtl/>
        </w:rPr>
      </w:pPr>
      <w:r w:rsidRPr="0025250D">
        <w:rPr>
          <w:rFonts w:hint="cs"/>
          <w:rtl/>
        </w:rPr>
        <w:t xml:space="preserve">گواهینامه </w:t>
      </w:r>
      <w:r w:rsidRPr="0025250D">
        <w:t>PMP</w:t>
      </w:r>
      <w:r w:rsidRPr="0025250D">
        <w:rPr>
          <w:rFonts w:hint="cs"/>
          <w:rtl/>
        </w:rPr>
        <w:t xml:space="preserve"> از </w:t>
      </w:r>
      <w:r w:rsidRPr="0025250D">
        <w:t>PMI</w:t>
      </w:r>
    </w:p>
    <w:p w14:paraId="55A161C7" w14:textId="75117768" w:rsidR="00537CC8" w:rsidRPr="0025250D" w:rsidRDefault="00537CC8" w:rsidP="00537CC8">
      <w:pPr>
        <w:rPr>
          <w:rtl/>
        </w:rPr>
      </w:pPr>
      <w:r w:rsidRPr="0025250D">
        <w:rPr>
          <w:rFonts w:hint="cs"/>
          <w:rtl/>
        </w:rPr>
        <w:t xml:space="preserve">مدیریت پروژه تا به حال توسعه یافته‌ترین مورد از میان این سه عملکرد اجرا محور بوده است. یک کتاب پیشتاز که اکنون در ویرایش یازدهم خود است، مدیریت پروژه: یک رویکرد </w:t>
      </w:r>
      <w:r w:rsidR="008D6F97" w:rsidRPr="0025250D">
        <w:rPr>
          <w:rFonts w:hint="cs"/>
          <w:rtl/>
        </w:rPr>
        <w:t>سامانه‌ای</w:t>
      </w:r>
      <w:r w:rsidRPr="0025250D">
        <w:rPr>
          <w:vertAlign w:val="superscript"/>
          <w:rtl/>
        </w:rPr>
        <w:footnoteReference w:id="2328"/>
      </w:r>
      <w:r w:rsidRPr="0025250D">
        <w:rPr>
          <w:rFonts w:hint="cs"/>
          <w:rtl/>
        </w:rPr>
        <w:t xml:space="preserve"> اثر </w:t>
      </w:r>
      <w:r w:rsidRPr="0025250D">
        <w:rPr>
          <w:rtl/>
        </w:rPr>
        <w:t>هارولد کرزنر</w:t>
      </w:r>
      <w:r w:rsidRPr="0025250D">
        <w:rPr>
          <w:vertAlign w:val="superscript"/>
          <w:rtl/>
        </w:rPr>
        <w:footnoteReference w:id="2329"/>
      </w:r>
      <w:r w:rsidRPr="0025250D">
        <w:rPr>
          <w:rFonts w:hint="cs"/>
          <w:rtl/>
        </w:rPr>
        <w:t xml:space="preserve"> در سال 2013 است. این کتاب با آزمون متخصص مدیریت پروژه</w:t>
      </w:r>
      <w:r w:rsidRPr="0025250D">
        <w:rPr>
          <w:vertAlign w:val="superscript"/>
          <w:rtl/>
        </w:rPr>
        <w:footnoteReference w:id="2330"/>
      </w:r>
      <w:r w:rsidRPr="0025250D">
        <w:rPr>
          <w:rFonts w:hint="cs"/>
          <w:rtl/>
        </w:rPr>
        <w:t xml:space="preserve"> (</w:t>
      </w:r>
      <w:r w:rsidRPr="0025250D">
        <w:t>PMP</w:t>
      </w:r>
      <w:r w:rsidRPr="0025250D">
        <w:rPr>
          <w:rFonts w:hint="cs"/>
          <w:rtl/>
        </w:rPr>
        <w:t>) که توسط مؤسسه مدیریت پروژه ارائه می‌شود همراستا است. این مؤسسه همچنین بدنه دانش مدیریت محصول</w:t>
      </w:r>
      <w:r w:rsidRPr="0025250D">
        <w:rPr>
          <w:vertAlign w:val="superscript"/>
          <w:rtl/>
        </w:rPr>
        <w:footnoteReference w:id="2331"/>
      </w:r>
      <w:r w:rsidRPr="0025250D">
        <w:rPr>
          <w:rFonts w:hint="cs"/>
          <w:rtl/>
        </w:rPr>
        <w:t xml:space="preserve">، یک متن دشوار‌تر از اثر </w:t>
      </w:r>
      <w:r w:rsidRPr="0025250D">
        <w:rPr>
          <w:rtl/>
        </w:rPr>
        <w:t>کرزنر</w:t>
      </w:r>
      <w:r w:rsidRPr="0025250D">
        <w:rPr>
          <w:rFonts w:hint="cs"/>
          <w:rtl/>
        </w:rPr>
        <w:t xml:space="preserve"> را نیز ارائه می‌دهد. هزینه آزمون </w:t>
      </w:r>
      <w:r w:rsidRPr="0025250D">
        <w:t>PMP</w:t>
      </w:r>
      <w:r w:rsidRPr="0025250D">
        <w:rPr>
          <w:rFonts w:hint="cs"/>
          <w:rtl/>
        </w:rPr>
        <w:t xml:space="preserve"> 400 دلار است (نسخه کاغذی آن). تقریبا 600000 نفر تا به امروز مدرک </w:t>
      </w:r>
      <w:r w:rsidRPr="0025250D">
        <w:t>PMP</w:t>
      </w:r>
      <w:r w:rsidRPr="0025250D">
        <w:rPr>
          <w:rFonts w:hint="cs"/>
          <w:rtl/>
        </w:rPr>
        <w:t xml:space="preserve"> را اخذ </w:t>
      </w:r>
      <w:r w:rsidR="007118DE" w:rsidRPr="0025250D">
        <w:rPr>
          <w:rFonts w:hint="cs"/>
          <w:rtl/>
        </w:rPr>
        <w:t>کرده‌اند</w:t>
      </w:r>
      <w:r w:rsidRPr="0025250D">
        <w:rPr>
          <w:rFonts w:hint="cs"/>
          <w:rtl/>
        </w:rPr>
        <w:t xml:space="preserve">. گواهینامه ارزیابی دانش، نه عمل، لزوما تفکر اجرایی و رفتارهای ما را بهبود نمی‌بخشد، اما اگر درس‌های آن درونی سازی شوند، پتانسیل انجام این کار را دارد. اگر این کار همچنین اعتبار ما را افزایش دهد، می‌تواند یک </w:t>
      </w:r>
      <w:r w:rsidR="00701E03" w:rsidRPr="0025250D">
        <w:rPr>
          <w:rFonts w:hint="cs"/>
          <w:rtl/>
        </w:rPr>
        <w:t>راهبرد</w:t>
      </w:r>
      <w:r w:rsidRPr="0025250D">
        <w:rPr>
          <w:rFonts w:hint="cs"/>
          <w:rtl/>
        </w:rPr>
        <w:t xml:space="preserve"> توسعه فردی خوب باشد.</w:t>
      </w:r>
    </w:p>
    <w:p w14:paraId="2B31047B" w14:textId="2CF28E40" w:rsidR="00537CC8" w:rsidRPr="0025250D" w:rsidRDefault="00537CC8" w:rsidP="00537CC8">
      <w:pPr>
        <w:rPr>
          <w:rtl/>
        </w:rPr>
      </w:pPr>
      <w:r w:rsidRPr="0025250D">
        <w:rPr>
          <w:rFonts w:hint="cs"/>
          <w:rtl/>
        </w:rPr>
        <w:t xml:space="preserve">برای مشاوران </w:t>
      </w:r>
      <w:r w:rsidRPr="0025250D">
        <w:rPr>
          <w:rtl/>
        </w:rPr>
        <w:t>آینده‌نگاری</w:t>
      </w:r>
      <w:r w:rsidRPr="0025250D">
        <w:rPr>
          <w:rFonts w:hint="cs"/>
          <w:rtl/>
        </w:rPr>
        <w:t xml:space="preserve">، اجرا می‌تواند شامل تولید محصولات و خدمات </w:t>
      </w:r>
      <w:r w:rsidRPr="0025250D">
        <w:rPr>
          <w:rtl/>
        </w:rPr>
        <w:t>آینده‌نگاری</w:t>
      </w:r>
      <w:r w:rsidRPr="0025250D">
        <w:rPr>
          <w:rFonts w:hint="cs"/>
          <w:rtl/>
        </w:rPr>
        <w:t xml:space="preserve"> (تحقیق، مدلسازی، کارگاه‌ها، آموزش، انتشارات و غیره) برای مشتریان باشد یا می‌تواند شامل تشخیص و اصلاح مشکلات اجرایی در تیم مشتریان باشد. وقتی اجرا را در میان حلقه انجام مشتری، استفاده تیم از هشت مهارت و استفاده شرکت از بیست تخصص، در یک فرهنگ آگاه از ارزش‌های آن، قرار</w:t>
      </w:r>
      <w:r w:rsidRPr="0025250D">
        <w:rPr>
          <w:rtl/>
        </w:rPr>
        <w:t xml:space="preserve"> می‌</w:t>
      </w:r>
      <w:r w:rsidRPr="0025250D">
        <w:rPr>
          <w:rFonts w:hint="cs"/>
          <w:rtl/>
        </w:rPr>
        <w:t xml:space="preserve">دهیم، می‌توانیم حقیقتا به کارسپارانمان برای </w:t>
      </w:r>
      <w:r w:rsidR="00B124DE" w:rsidRPr="0025250D">
        <w:rPr>
          <w:rFonts w:hint="cs"/>
          <w:rtl/>
        </w:rPr>
        <w:t>انطباق‌پذیر</w:t>
      </w:r>
      <w:r w:rsidRPr="0025250D">
        <w:rPr>
          <w:rFonts w:hint="cs"/>
          <w:rtl/>
        </w:rPr>
        <w:t xml:space="preserve"> بودن کمک کنیم.</w:t>
      </w:r>
    </w:p>
    <w:p w14:paraId="1285BFD3" w14:textId="3B5F928F" w:rsidR="00537CC8" w:rsidRPr="0025250D" w:rsidRDefault="00537CC8" w:rsidP="00537CC8">
      <w:pPr>
        <w:rPr>
          <w:rtl/>
        </w:rPr>
      </w:pPr>
      <w:r w:rsidRPr="0025250D">
        <w:rPr>
          <w:rFonts w:hint="cs"/>
          <w:rtl/>
        </w:rPr>
        <w:t xml:space="preserve">یک تخصص مدیریتی دیگر، مدیریت جریان کاری برای توانمند سازی و انگیزه بخشی به تیم برای انجام امور حیاتی است. </w:t>
      </w:r>
      <w:r w:rsidRPr="0025250D">
        <w:rPr>
          <w:rtl/>
        </w:rPr>
        <w:t>اسکرام</w:t>
      </w:r>
      <w:r w:rsidRPr="0025250D">
        <w:rPr>
          <w:rFonts w:hint="cs"/>
          <w:rtl/>
        </w:rPr>
        <w:t xml:space="preserve"> اثر </w:t>
      </w:r>
      <w:r w:rsidRPr="0025250D">
        <w:rPr>
          <w:rtl/>
        </w:rPr>
        <w:t>جف ساترلند</w:t>
      </w:r>
      <w:r w:rsidRPr="0025250D">
        <w:rPr>
          <w:vertAlign w:val="superscript"/>
          <w:rtl/>
        </w:rPr>
        <w:footnoteReference w:id="2332"/>
      </w:r>
      <w:r w:rsidRPr="0025250D">
        <w:rPr>
          <w:rFonts w:hint="cs"/>
          <w:rtl/>
        </w:rPr>
        <w:t xml:space="preserve"> در سال 2014 یک مجموعه به‌شدت توصیه شده از عادات مدیریت جریان کاری ساده برای حداکثر سازی اجرای </w:t>
      </w:r>
      <w:r w:rsidR="00B124DE" w:rsidRPr="0025250D">
        <w:rPr>
          <w:rFonts w:hint="cs"/>
          <w:rtl/>
        </w:rPr>
        <w:t>انطباق‌پذیر</w:t>
      </w:r>
      <w:r w:rsidRPr="0025250D">
        <w:rPr>
          <w:rFonts w:hint="cs"/>
          <w:rtl/>
        </w:rPr>
        <w:t xml:space="preserve"> برای تیم‌های کوچک است. در </w:t>
      </w:r>
      <w:r w:rsidRPr="0025250D">
        <w:rPr>
          <w:rtl/>
        </w:rPr>
        <w:t>اسکرام</w:t>
      </w:r>
      <w:r w:rsidRPr="0025250D">
        <w:rPr>
          <w:rFonts w:hint="cs"/>
          <w:rtl/>
        </w:rPr>
        <w:t>، تیم‌ها باید به حد کافی کوچک باشند (معمولا پنج تا نه نفر) تا در یک یا چند جلسه سرپایی 15 دقیقه‌ای روزانه شرکت کنند</w:t>
      </w:r>
      <w:r w:rsidR="00791382" w:rsidRPr="0025250D">
        <w:rPr>
          <w:rFonts w:hint="cs"/>
          <w:rtl/>
        </w:rPr>
        <w:t xml:space="preserve"> و</w:t>
      </w:r>
      <w:r w:rsidRPr="0025250D">
        <w:rPr>
          <w:rFonts w:hint="cs"/>
          <w:rtl/>
        </w:rPr>
        <w:t xml:space="preserve"> یادگیری، دید، عملکرد و بازبینی خود را به حداکثر برسانند. </w:t>
      </w:r>
      <w:r w:rsidRPr="0025250D">
        <w:rPr>
          <w:rtl/>
        </w:rPr>
        <w:t>اسکرام</w:t>
      </w:r>
      <w:r w:rsidRPr="0025250D">
        <w:rPr>
          <w:rFonts w:hint="cs"/>
          <w:rtl/>
        </w:rPr>
        <w:t xml:space="preserve"> یک ساختار چرخه‌ای دارد که از حلقه انجام پیروی می‌کند. ما توصیه می‌کنیم که </w:t>
      </w:r>
      <w:r w:rsidRPr="0025250D">
        <w:rPr>
          <w:rtl/>
        </w:rPr>
        <w:t>آینده‌نگار</w:t>
      </w:r>
      <w:r w:rsidRPr="0025250D">
        <w:rPr>
          <w:rFonts w:hint="cs"/>
          <w:rtl/>
        </w:rPr>
        <w:t xml:space="preserve">ان، مدیران و رهبران همگی از </w:t>
      </w:r>
      <w:r w:rsidR="008D6F97" w:rsidRPr="0025250D">
        <w:rPr>
          <w:rFonts w:hint="cs"/>
          <w:rtl/>
        </w:rPr>
        <w:t>سامانه‌</w:t>
      </w:r>
      <w:r w:rsidRPr="0025250D">
        <w:rPr>
          <w:rFonts w:hint="cs"/>
          <w:rtl/>
        </w:rPr>
        <w:t>‌های اسکرام‌مانند خود به عنوان مهارت‌های عملی محوری در تیم‌ها و برای کارسپاران خود استفاده کنند.</w:t>
      </w:r>
    </w:p>
    <w:p w14:paraId="301CACAA" w14:textId="350CA024" w:rsidR="00537CC8" w:rsidRPr="0025250D" w:rsidRDefault="00537CC8" w:rsidP="00537CC8">
      <w:pPr>
        <w:rPr>
          <w:rtl/>
        </w:rPr>
      </w:pPr>
      <w:r w:rsidRPr="0025250D">
        <w:rPr>
          <w:rFonts w:hint="cs"/>
          <w:rtl/>
        </w:rPr>
        <w:t xml:space="preserve">برای اجرا به طور کلی، کتاب </w:t>
      </w:r>
      <w:r w:rsidR="00E402E3" w:rsidRPr="0025250D">
        <w:rPr>
          <w:rtl/>
        </w:rPr>
        <w:t>«</w:t>
      </w:r>
      <w:r w:rsidRPr="0025250D">
        <w:rPr>
          <w:rFonts w:hint="cs"/>
          <w:rtl/>
        </w:rPr>
        <w:t xml:space="preserve">اول امور </w:t>
      </w:r>
      <w:r w:rsidR="007118DE" w:rsidRPr="0025250D">
        <w:rPr>
          <w:rFonts w:hint="cs"/>
          <w:rtl/>
        </w:rPr>
        <w:t>مهم‌تر</w:t>
      </w:r>
      <w:r w:rsidRPr="0025250D">
        <w:rPr>
          <w:vertAlign w:val="superscript"/>
          <w:rtl/>
        </w:rPr>
        <w:footnoteReference w:id="2333"/>
      </w:r>
      <w:r w:rsidR="00E402E3" w:rsidRPr="0025250D">
        <w:rPr>
          <w:rtl/>
        </w:rPr>
        <w:t>»</w:t>
      </w:r>
      <w:r w:rsidRPr="0025250D">
        <w:rPr>
          <w:rFonts w:hint="cs"/>
          <w:rtl/>
        </w:rPr>
        <w:t xml:space="preserve"> اثر </w:t>
      </w:r>
      <w:r w:rsidRPr="0025250D">
        <w:rPr>
          <w:rtl/>
        </w:rPr>
        <w:t>استفان کاو</w:t>
      </w:r>
      <w:r w:rsidRPr="0025250D">
        <w:rPr>
          <w:rFonts w:hint="cs"/>
          <w:rtl/>
        </w:rPr>
        <w:t xml:space="preserve">ی در سال 1996 نه تنها به عنوان راهنمایی برای </w:t>
      </w:r>
      <w:r w:rsidR="007118DE" w:rsidRPr="0025250D">
        <w:rPr>
          <w:rFonts w:hint="cs"/>
          <w:rtl/>
        </w:rPr>
        <w:t>اولویت‌بندی</w:t>
      </w:r>
      <w:r w:rsidRPr="0025250D">
        <w:rPr>
          <w:rFonts w:hint="cs"/>
          <w:rtl/>
        </w:rPr>
        <w:t xml:space="preserve"> </w:t>
      </w:r>
      <w:r w:rsidR="00701E03" w:rsidRPr="0025250D">
        <w:rPr>
          <w:rFonts w:hint="cs"/>
          <w:rtl/>
        </w:rPr>
        <w:t>راهبردی</w:t>
      </w:r>
      <w:r w:rsidRPr="0025250D">
        <w:rPr>
          <w:rFonts w:hint="cs"/>
          <w:rtl/>
        </w:rPr>
        <w:t>، بلکه همچنین برای مبارزه با تعلل و آغاز کردن که برای بسیاری دشوار‌ترین گام اجرا است، توصیه می‌شود. این کتاب به ما یادآوری می‌کند که انجام امور درست بیش‌تر و انجام آن‌ها همین اکنون نه بعدا، کلید بهترین عملکرد ممکن است.</w:t>
      </w:r>
    </w:p>
    <w:p w14:paraId="5718B346" w14:textId="77777777" w:rsidR="00537CC8" w:rsidRPr="0025250D" w:rsidRDefault="00537CC8" w:rsidP="00537CC8">
      <w:pPr>
        <w:rPr>
          <w:rtl/>
        </w:rPr>
      </w:pPr>
      <w:r w:rsidRPr="0025250D">
        <w:rPr>
          <w:rFonts w:hint="cs"/>
          <w:rtl/>
        </w:rPr>
        <w:t>تحمل و تمرکز خصوصیت‌های کلیدی مجریان خوب هستند. برای ایجاد تحمل و دوام فردی، ما کتاب در همه چیز عالی باشید</w:t>
      </w:r>
      <w:r w:rsidRPr="0025250D">
        <w:rPr>
          <w:vertAlign w:val="superscript"/>
          <w:rtl/>
        </w:rPr>
        <w:footnoteReference w:id="2334"/>
      </w:r>
      <w:r w:rsidRPr="0025250D">
        <w:rPr>
          <w:rFonts w:hint="cs"/>
          <w:rtl/>
        </w:rPr>
        <w:t xml:space="preserve"> اثر </w:t>
      </w:r>
      <w:r w:rsidRPr="0025250D">
        <w:rPr>
          <w:rtl/>
        </w:rPr>
        <w:t>تون</w:t>
      </w:r>
      <w:r w:rsidRPr="0025250D">
        <w:rPr>
          <w:rFonts w:hint="cs"/>
          <w:rtl/>
        </w:rPr>
        <w:t>ی</w:t>
      </w:r>
      <w:r w:rsidRPr="0025250D">
        <w:rPr>
          <w:rtl/>
        </w:rPr>
        <w:t xml:space="preserve"> شوارتز</w:t>
      </w:r>
      <w:r w:rsidRPr="0025250D">
        <w:rPr>
          <w:vertAlign w:val="superscript"/>
          <w:rtl/>
        </w:rPr>
        <w:footnoteReference w:id="2335"/>
      </w:r>
      <w:r w:rsidRPr="0025250D">
        <w:rPr>
          <w:rFonts w:hint="cs"/>
          <w:rtl/>
        </w:rPr>
        <w:t xml:space="preserve"> در سال 2011 را پیشنهاد می‌کنیم. طی کردن سریع چرخه‌ها میان فاز‌های اجرا و بازیابی راه خوبی برای ایجاد تحمل و دوام برای اجرا، هم در کار فیزیکی و هم در ذهن ما است. برای اطلاعات بیش‌تر درمورد روانشناسی تمرکز و بسیاری نکات درمورد جریان کار کتاب منحرف نشدنی</w:t>
      </w:r>
      <w:r w:rsidRPr="0025250D">
        <w:rPr>
          <w:vertAlign w:val="superscript"/>
          <w:rtl/>
        </w:rPr>
        <w:footnoteReference w:id="2336"/>
      </w:r>
      <w:r w:rsidRPr="0025250D">
        <w:rPr>
          <w:rFonts w:hint="cs"/>
          <w:rtl/>
        </w:rPr>
        <w:t xml:space="preserve"> اثر </w:t>
      </w:r>
      <w:r w:rsidRPr="0025250D">
        <w:rPr>
          <w:rtl/>
        </w:rPr>
        <w:t>ن</w:t>
      </w:r>
      <w:r w:rsidRPr="0025250D">
        <w:rPr>
          <w:rFonts w:hint="cs"/>
          <w:rtl/>
        </w:rPr>
        <w:t>ی</w:t>
      </w:r>
      <w:r w:rsidRPr="0025250D">
        <w:rPr>
          <w:rFonts w:hint="eastAsia"/>
          <w:rtl/>
        </w:rPr>
        <w:t>ر</w:t>
      </w:r>
      <w:r w:rsidRPr="0025250D">
        <w:rPr>
          <w:rtl/>
        </w:rPr>
        <w:t xml:space="preserve"> ع</w:t>
      </w:r>
      <w:r w:rsidRPr="0025250D">
        <w:rPr>
          <w:rFonts w:hint="cs"/>
          <w:rtl/>
        </w:rPr>
        <w:t>ی</w:t>
      </w:r>
      <w:r w:rsidRPr="0025250D">
        <w:rPr>
          <w:rFonts w:hint="eastAsia"/>
          <w:rtl/>
        </w:rPr>
        <w:t>ال</w:t>
      </w:r>
      <w:r w:rsidRPr="0025250D">
        <w:rPr>
          <w:vertAlign w:val="superscript"/>
          <w:rtl/>
        </w:rPr>
        <w:footnoteReference w:id="2337"/>
      </w:r>
      <w:r w:rsidRPr="0025250D">
        <w:rPr>
          <w:rFonts w:hint="cs"/>
          <w:rtl/>
        </w:rPr>
        <w:t xml:space="preserve"> در سال 2019 را ببینید.</w:t>
      </w:r>
    </w:p>
    <w:p w14:paraId="69A26323" w14:textId="36FD407A" w:rsidR="00537CC8" w:rsidRPr="0025250D" w:rsidRDefault="00537CC8" w:rsidP="00537CC8">
      <w:pPr>
        <w:rPr>
          <w:rtl/>
        </w:rPr>
      </w:pPr>
      <w:r w:rsidRPr="0025250D">
        <w:rPr>
          <w:rFonts w:hint="cs"/>
          <w:rtl/>
        </w:rPr>
        <w:t xml:space="preserve">یک کلید دیگر برای موفقیت اجرایی که در مطالعه </w:t>
      </w:r>
      <w:r w:rsidRPr="0025250D">
        <w:rPr>
          <w:rtl/>
        </w:rPr>
        <w:t>ب</w:t>
      </w:r>
      <w:r w:rsidRPr="0025250D">
        <w:rPr>
          <w:rFonts w:hint="cs"/>
          <w:rtl/>
        </w:rPr>
        <w:t>ُ</w:t>
      </w:r>
      <w:r w:rsidRPr="0025250D">
        <w:rPr>
          <w:rtl/>
        </w:rPr>
        <w:t>س</w:t>
      </w:r>
      <w:r w:rsidRPr="0025250D">
        <w:rPr>
          <w:rFonts w:hint="cs"/>
          <w:rtl/>
        </w:rPr>
        <w:t>ی</w:t>
      </w:r>
      <w:r w:rsidRPr="0025250D">
        <w:rPr>
          <w:rFonts w:hint="eastAsia"/>
          <w:rtl/>
        </w:rPr>
        <w:t>د</w:t>
      </w:r>
      <w:r w:rsidRPr="0025250D">
        <w:rPr>
          <w:rFonts w:hint="cs"/>
          <w:rtl/>
        </w:rPr>
        <w:t>ی</w:t>
      </w:r>
      <w:r w:rsidRPr="0025250D">
        <w:rPr>
          <w:rtl/>
        </w:rPr>
        <w:t xml:space="preserve"> و چاران</w:t>
      </w:r>
      <w:r w:rsidRPr="0025250D">
        <w:rPr>
          <w:rFonts w:hint="cs"/>
          <w:rtl/>
        </w:rPr>
        <w:t xml:space="preserve"> پوشش داده شده است، توانایی دست یابی به متخصصین در زمان مواجهه با مشکلات است. تقریبا همیشه کسی با استعداد تخصصی وجود دارد که می‌تواند به ما در زمانی که گرفتار شده ایم کمک کند. یافتن چنین استعداد و منابعی هیچگاه ساده‌تر از اکنون و به کمک اینترنت مدرن نبوده است. می‌توانیم امروز، با </w:t>
      </w:r>
      <w:r w:rsidR="00923DDB" w:rsidRPr="0025250D">
        <w:rPr>
          <w:rFonts w:hint="cs"/>
          <w:rtl/>
        </w:rPr>
        <w:t>به‌کارگیری</w:t>
      </w:r>
      <w:r w:rsidRPr="0025250D">
        <w:rPr>
          <w:rFonts w:hint="cs"/>
          <w:rtl/>
        </w:rPr>
        <w:t xml:space="preserve"> روال‌های آگاهانه جدید و مفید که به مرور زمان، به عاداتی ناخودآگاه و قدرتمند تبدیل می‌شوند، آغاز به بهبود اجرای خود نماییم.</w:t>
      </w:r>
    </w:p>
    <w:p w14:paraId="15C22656" w14:textId="56600464" w:rsidR="00537CC8" w:rsidRPr="0025250D" w:rsidRDefault="00537CC8" w:rsidP="00D53F87">
      <w:pPr>
        <w:pStyle w:val="Heading3"/>
        <w:rPr>
          <w:rtl/>
        </w:rPr>
      </w:pPr>
      <w:r w:rsidRPr="0025250D">
        <w:rPr>
          <w:rFonts w:hint="cs"/>
          <w:rtl/>
        </w:rPr>
        <w:t xml:space="preserve">مهارت 6. </w:t>
      </w:r>
      <w:r w:rsidR="0008779C" w:rsidRPr="0025250D">
        <w:rPr>
          <w:rFonts w:hint="cs"/>
          <w:u w:val="single"/>
          <w:rtl/>
        </w:rPr>
        <w:t>تاثیرگذاری</w:t>
      </w:r>
      <w:r w:rsidRPr="0025250D">
        <w:rPr>
          <w:rFonts w:hint="cs"/>
          <w:rtl/>
        </w:rPr>
        <w:t xml:space="preserve"> (تفکر بازاری)</w:t>
      </w:r>
    </w:p>
    <w:p w14:paraId="544564F1" w14:textId="4528D25B" w:rsidR="00537CC8" w:rsidRPr="0025250D" w:rsidRDefault="00537CC8" w:rsidP="00537CC8">
      <w:pPr>
        <w:rPr>
          <w:rtl/>
        </w:rPr>
      </w:pPr>
      <w:r w:rsidRPr="0025250D">
        <w:rPr>
          <w:rFonts w:hint="cs"/>
          <w:rtl/>
        </w:rPr>
        <w:t xml:space="preserve">مهارت عملی </w:t>
      </w:r>
      <w:r w:rsidR="00E402E3" w:rsidRPr="0025250D">
        <w:rPr>
          <w:rtl/>
        </w:rPr>
        <w:t>(</w:t>
      </w:r>
      <w:r w:rsidRPr="0025250D">
        <w:rPr>
          <w:rFonts w:hint="cs"/>
          <w:rtl/>
        </w:rPr>
        <w:t xml:space="preserve">و فکری) بعدی </w:t>
      </w:r>
      <w:r w:rsidR="0008779C" w:rsidRPr="0025250D">
        <w:rPr>
          <w:rFonts w:hint="cs"/>
          <w:rtl/>
        </w:rPr>
        <w:t>تاثیرگذاری</w:t>
      </w:r>
      <w:r w:rsidRPr="0025250D">
        <w:rPr>
          <w:rFonts w:hint="cs"/>
          <w:rtl/>
        </w:rPr>
        <w:t xml:space="preserve"> است. متخصصین </w:t>
      </w:r>
      <w:r w:rsidRPr="0025250D">
        <w:rPr>
          <w:rtl/>
        </w:rPr>
        <w:t>آینده‌نگاری</w:t>
      </w:r>
      <w:r w:rsidRPr="0025250D">
        <w:rPr>
          <w:rFonts w:hint="cs"/>
          <w:rtl/>
        </w:rPr>
        <w:t xml:space="preserve"> از آن برای گفتمان درمورد ارزش کار خود و انگیزه بخشی به کارسپاران برای اجرای </w:t>
      </w:r>
      <w:r w:rsidR="00701E03" w:rsidRPr="0025250D">
        <w:rPr>
          <w:rFonts w:hint="cs"/>
          <w:rtl/>
        </w:rPr>
        <w:t>راهبرد</w:t>
      </w:r>
      <w:r w:rsidRPr="0025250D">
        <w:rPr>
          <w:rFonts w:hint="cs"/>
          <w:rtl/>
        </w:rPr>
        <w:t xml:space="preserve"> و برنامه‌ها استفاده می‌کنند. تأثیر فردی با درک ذهنیت (</w:t>
      </w:r>
      <w:r w:rsidR="00A20CCB" w:rsidRPr="0025250D">
        <w:rPr>
          <w:rFonts w:hint="cs"/>
          <w:rtl/>
        </w:rPr>
        <w:t>جهان‌بینی</w:t>
      </w:r>
      <w:r w:rsidRPr="0025250D">
        <w:rPr>
          <w:rFonts w:hint="cs"/>
          <w:rtl/>
        </w:rPr>
        <w:t xml:space="preserve">، فرضیات، وضعیت هیجانی) کارسپاران و فرهنگ آن‌ها که اغلب نسبت به ذهنیت خود متخصص </w:t>
      </w:r>
      <w:r w:rsidRPr="0025250D">
        <w:rPr>
          <w:rtl/>
        </w:rPr>
        <w:t>آینده‌نگاری</w:t>
      </w:r>
      <w:r w:rsidRPr="0025250D">
        <w:rPr>
          <w:rFonts w:hint="cs"/>
          <w:rtl/>
        </w:rPr>
        <w:t xml:space="preserve"> کم‌تر آینده محور هستند و بیش‌تر ضد تغییر و ریسک پذیری می‌باشند، آغاز می‌شود. یادگیری </w:t>
      </w:r>
      <w:r w:rsidRPr="0025250D">
        <w:rPr>
          <w:rtl/>
        </w:rPr>
        <w:t>خو</w:t>
      </w:r>
      <w:r w:rsidRPr="0025250D">
        <w:rPr>
          <w:rFonts w:hint="cs"/>
          <w:rtl/>
        </w:rPr>
        <w:t>ی</w:t>
      </w:r>
      <w:r w:rsidRPr="0025250D">
        <w:rPr>
          <w:rFonts w:hint="eastAsia"/>
          <w:rtl/>
        </w:rPr>
        <w:t>شتن</w:t>
      </w:r>
      <w:r w:rsidRPr="0025250D">
        <w:rPr>
          <w:rtl/>
        </w:rPr>
        <w:t xml:space="preserve"> دار</w:t>
      </w:r>
      <w:r w:rsidRPr="0025250D">
        <w:rPr>
          <w:rFonts w:hint="cs"/>
          <w:rtl/>
        </w:rPr>
        <w:t>ی</w:t>
      </w:r>
      <w:r w:rsidRPr="0025250D">
        <w:rPr>
          <w:vertAlign w:val="superscript"/>
          <w:rtl/>
        </w:rPr>
        <w:footnoteReference w:id="2338"/>
      </w:r>
      <w:r w:rsidRPr="0025250D">
        <w:rPr>
          <w:rFonts w:hint="cs"/>
          <w:rtl/>
        </w:rPr>
        <w:t xml:space="preserve"> و دانستن این که چه زمانی بیان کم‌تر به نتایج بهتری منجر خواهد شد، یک بخش اصلی منحنی یادگیری بسیاری از فعالان </w:t>
      </w:r>
      <w:r w:rsidRPr="0025250D">
        <w:rPr>
          <w:rtl/>
        </w:rPr>
        <w:t>آینده‌نگاری</w:t>
      </w:r>
      <w:r w:rsidRPr="0025250D">
        <w:rPr>
          <w:rFonts w:hint="cs"/>
          <w:rtl/>
        </w:rPr>
        <w:t xml:space="preserve"> است.</w:t>
      </w:r>
    </w:p>
    <w:p w14:paraId="053E5822" w14:textId="4FBF0C37" w:rsidR="00537CC8" w:rsidRPr="0025250D" w:rsidRDefault="00537CC8" w:rsidP="00537CC8">
      <w:pPr>
        <w:rPr>
          <w:rtl/>
        </w:rPr>
      </w:pPr>
      <w:r w:rsidRPr="0025250D">
        <w:rPr>
          <w:rFonts w:hint="cs"/>
          <w:rtl/>
        </w:rPr>
        <w:t xml:space="preserve">جریانات تأثیر هم از </w:t>
      </w:r>
      <w:r w:rsidR="009D17DA" w:rsidRPr="0025250D">
        <w:rPr>
          <w:rFonts w:hint="cs"/>
          <w:rtl/>
        </w:rPr>
        <w:t>بالا‌به‌پایین</w:t>
      </w:r>
      <w:r w:rsidRPr="0025250D">
        <w:rPr>
          <w:rFonts w:hint="cs"/>
          <w:rtl/>
        </w:rPr>
        <w:t xml:space="preserve"> و هم از پایین به بالا </w:t>
      </w:r>
      <w:r w:rsidR="00791382" w:rsidRPr="0025250D">
        <w:rPr>
          <w:rFonts w:hint="cs"/>
          <w:rtl/>
        </w:rPr>
        <w:t>وارد می شوند</w:t>
      </w:r>
      <w:r w:rsidRPr="0025250D">
        <w:rPr>
          <w:rFonts w:hint="cs"/>
          <w:rtl/>
        </w:rPr>
        <w:t>. ما معمولا اولین دسته را، به دلیل تمایل تکاملی خود به جامعه پسندی در نظر می‌گیریم، اما دسته دوم طبق قانون 95/5</w:t>
      </w:r>
      <w:r w:rsidR="008D6F97" w:rsidRPr="0025250D">
        <w:rPr>
          <w:rtl/>
        </w:rPr>
        <w:t xml:space="preserve"> </w:t>
      </w:r>
      <w:r w:rsidRPr="0025250D">
        <w:rPr>
          <w:rFonts w:hint="cs"/>
          <w:rtl/>
        </w:rPr>
        <w:t xml:space="preserve">رایج‌تر و قدرتمند‌تر است. اثر فوق العاده </w:t>
      </w:r>
      <w:r w:rsidRPr="0025250D">
        <w:rPr>
          <w:rtl/>
        </w:rPr>
        <w:t>داگ م</w:t>
      </w:r>
      <w:r w:rsidRPr="0025250D">
        <w:rPr>
          <w:rFonts w:hint="cs"/>
          <w:rtl/>
        </w:rPr>
        <w:t>ی</w:t>
      </w:r>
      <w:r w:rsidRPr="0025250D">
        <w:rPr>
          <w:rFonts w:hint="eastAsia"/>
          <w:rtl/>
        </w:rPr>
        <w:t>لر</w:t>
      </w:r>
      <w:r w:rsidRPr="0025250D">
        <w:rPr>
          <w:vertAlign w:val="superscript"/>
          <w:rtl/>
        </w:rPr>
        <w:footnoteReference w:id="2339"/>
      </w:r>
      <w:r w:rsidRPr="0025250D">
        <w:rPr>
          <w:rFonts w:hint="cs"/>
          <w:rtl/>
        </w:rPr>
        <w:t xml:space="preserve"> با عنوان آیا ممکن است همه جهان اشتباه کنند؟ از نظر عموم مردم به کدام سو می‌رویم</w:t>
      </w:r>
      <w:r w:rsidRPr="0025250D">
        <w:rPr>
          <w:vertAlign w:val="superscript"/>
          <w:rtl/>
        </w:rPr>
        <w:footnoteReference w:id="2340"/>
      </w:r>
      <w:r w:rsidRPr="0025250D">
        <w:rPr>
          <w:rFonts w:hint="cs"/>
          <w:rtl/>
        </w:rPr>
        <w:t xml:space="preserve"> در سال 2015، همه راه‌هایی را که نظرات شهروندان، در هر کشوری، به شکل فزاینده‌ای رفتار دولتی و شرکت‌ها را مقید و هدایت می‌کند ترسیم و بررسی می‌کند. ما این کار </w:t>
      </w:r>
      <w:r w:rsidRPr="0025250D">
        <w:rPr>
          <w:rtl/>
        </w:rPr>
        <w:t>آینده‌نگاری</w:t>
      </w:r>
      <w:r w:rsidRPr="0025250D">
        <w:rPr>
          <w:rFonts w:hint="cs"/>
          <w:rtl/>
        </w:rPr>
        <w:t xml:space="preserve"> </w:t>
      </w:r>
      <w:r w:rsidRPr="0025250D">
        <w:rPr>
          <w:rtl/>
        </w:rPr>
        <w:t>جمع</w:t>
      </w:r>
      <w:r w:rsidRPr="0025250D">
        <w:rPr>
          <w:rFonts w:hint="cs"/>
          <w:rtl/>
        </w:rPr>
        <w:t>ی</w:t>
      </w:r>
      <w:r w:rsidRPr="0025250D">
        <w:rPr>
          <w:rFonts w:hint="eastAsia"/>
          <w:rtl/>
        </w:rPr>
        <w:t>ت</w:t>
      </w:r>
      <w:r w:rsidRPr="0025250D">
        <w:rPr>
          <w:rtl/>
        </w:rPr>
        <w:t xml:space="preserve"> شناخت</w:t>
      </w:r>
      <w:r w:rsidRPr="0025250D">
        <w:rPr>
          <w:rFonts w:hint="cs"/>
          <w:rtl/>
        </w:rPr>
        <w:t xml:space="preserve">ی را در </w:t>
      </w:r>
      <w:r w:rsidRPr="0025250D">
        <w:t>BPF</w:t>
      </w:r>
      <w:r w:rsidRPr="0025250D">
        <w:rPr>
          <w:rFonts w:hint="cs"/>
          <w:rtl/>
        </w:rPr>
        <w:t xml:space="preserve"> بررسی خواهیم کرد. تفکر تکاملی-توسعه‌ای به ما می‌گوید که روند‌های نظرات عمومی، در حالی که اغلب از آن‌ها صرف نظر می‌شود، بازنمایی کننده اکثریت گسترده تأثیر بلند مدت جهانی هستند. به عنوان رئیس یک شرکت رأی گیری بین المللی به نام </w:t>
      </w:r>
      <w:r w:rsidRPr="0025250D">
        <w:rPr>
          <w:rtl/>
        </w:rPr>
        <w:t>گلوب اسکن</w:t>
      </w:r>
      <w:r w:rsidRPr="0025250D">
        <w:rPr>
          <w:rFonts w:hint="cs"/>
          <w:rtl/>
        </w:rPr>
        <w:t xml:space="preserve">، </w:t>
      </w:r>
      <w:r w:rsidRPr="0025250D">
        <w:rPr>
          <w:rtl/>
        </w:rPr>
        <w:t>م</w:t>
      </w:r>
      <w:r w:rsidRPr="0025250D">
        <w:rPr>
          <w:rFonts w:hint="cs"/>
          <w:rtl/>
        </w:rPr>
        <w:t>ی</w:t>
      </w:r>
      <w:r w:rsidRPr="0025250D">
        <w:rPr>
          <w:rFonts w:hint="eastAsia"/>
          <w:rtl/>
        </w:rPr>
        <w:t>لر</w:t>
      </w:r>
      <w:r w:rsidRPr="0025250D">
        <w:rPr>
          <w:rFonts w:hint="cs"/>
          <w:rtl/>
        </w:rPr>
        <w:t xml:space="preserve"> تغییر ارزش‌های سریع، به سمت پایداری و معاهدات اخلاقی را که در سراسر جهان پدیدار می‌شوند، مستند کرده است. بسیاری از این تغییر ارزش‌ها در کشور‌های به سرعت در حال ظهور و پیشرفت، مانند چین و هند، بسیار سریع‌تر از اروپا (که رهبر تغییر ارزش‌های اجتماعی سنتی است) و بسیار سریع‌تر از آمریکا که در این امر، به جز در میان جوانان، با تأخیر مواجه است، رخ می‌دهند. شرکت‌ها این تغییر ارزش‌ها را به ضرر خود نادیده می‌گیرند.</w:t>
      </w:r>
    </w:p>
    <w:p w14:paraId="43C7B704" w14:textId="6F446D26" w:rsidR="00537CC8" w:rsidRPr="0025250D" w:rsidRDefault="00537CC8" w:rsidP="00537CC8">
      <w:pPr>
        <w:rPr>
          <w:rtl/>
        </w:rPr>
      </w:pPr>
      <w:r w:rsidRPr="0025250D">
        <w:rPr>
          <w:rFonts w:hint="cs"/>
          <w:rtl/>
        </w:rPr>
        <w:t xml:space="preserve">به شکل واضح تری، تأثیرگذاری یک مهارت کلیدی مورد نیاز کارسپاران برای موفقیت در بازار است. امروزه، رسانه‌ها و بازارها بهترین و بزرگترین راه ما برای </w:t>
      </w:r>
      <w:r w:rsidR="0008779C" w:rsidRPr="0025250D">
        <w:rPr>
          <w:rFonts w:hint="cs"/>
          <w:rtl/>
        </w:rPr>
        <w:t>تاثیرگذاری</w:t>
      </w:r>
      <w:r w:rsidRPr="0025250D">
        <w:rPr>
          <w:rFonts w:hint="cs"/>
          <w:rtl/>
        </w:rPr>
        <w:t xml:space="preserve"> سریع بر رفتار جمعی هستند</w:t>
      </w:r>
      <w:r w:rsidR="008D6F97" w:rsidRPr="0025250D">
        <w:rPr>
          <w:rtl/>
        </w:rPr>
        <w:t xml:space="preserve">؛ </w:t>
      </w:r>
      <w:r w:rsidRPr="0025250D">
        <w:rPr>
          <w:rFonts w:hint="cs"/>
          <w:rtl/>
        </w:rPr>
        <w:t>بنابراین برای سازمان‌های مدرن، تخصص‌های تأثیرگذاری کلیدی مدیریت بازاریابی و فروش هستند. تبلیغات، توسعه تجاری، رهبری نسل، تحقیقات بازار، خدمات مشتری و مدیریت روابط مشتری (</w:t>
      </w:r>
      <w:r w:rsidRPr="0025250D">
        <w:t>CRM</w:t>
      </w:r>
      <w:r w:rsidRPr="0025250D">
        <w:rPr>
          <w:rFonts w:hint="cs"/>
          <w:rtl/>
        </w:rPr>
        <w:t>) همگی کاربرد‌های این مهارت هستند. انجمن بازاریابی آمریکا</w:t>
      </w:r>
      <w:r w:rsidRPr="0025250D">
        <w:rPr>
          <w:vertAlign w:val="superscript"/>
          <w:rtl/>
        </w:rPr>
        <w:footnoteReference w:id="2341"/>
      </w:r>
      <w:r w:rsidRPr="0025250D">
        <w:rPr>
          <w:rFonts w:hint="cs"/>
          <w:rtl/>
        </w:rPr>
        <w:t xml:space="preserve"> (</w:t>
      </w:r>
      <w:r w:rsidRPr="0025250D">
        <w:t>AMA</w:t>
      </w:r>
      <w:r w:rsidRPr="0025250D">
        <w:rPr>
          <w:rFonts w:hint="cs"/>
          <w:rtl/>
        </w:rPr>
        <w:t>) یک جامعه فعال مهم در بازاریابی و انجمن ملی فروشندگان متخصص</w:t>
      </w:r>
      <w:r w:rsidRPr="0025250D">
        <w:rPr>
          <w:vertAlign w:val="superscript"/>
          <w:rtl/>
        </w:rPr>
        <w:footnoteReference w:id="2342"/>
      </w:r>
      <w:r w:rsidRPr="0025250D">
        <w:rPr>
          <w:rFonts w:hint="cs"/>
          <w:rtl/>
        </w:rPr>
        <w:t xml:space="preserve"> (</w:t>
      </w:r>
      <w:r w:rsidRPr="0025250D">
        <w:t>NASP</w:t>
      </w:r>
      <w:r w:rsidRPr="0025250D">
        <w:rPr>
          <w:rFonts w:hint="cs"/>
          <w:rtl/>
        </w:rPr>
        <w:t>) یک جامعه از فعالان برجسته در حوزه فروش است.</w:t>
      </w:r>
    </w:p>
    <w:p w14:paraId="5FC4E3CD" w14:textId="77777777" w:rsidR="00537CC8" w:rsidRPr="0025250D" w:rsidRDefault="00537CC8" w:rsidP="00D53F87">
      <w:pPr>
        <w:jc w:val="center"/>
        <w:rPr>
          <w:rtl/>
        </w:rPr>
      </w:pPr>
      <w:r w:rsidRPr="0025250D">
        <w:rPr>
          <w:noProof/>
          <w:rtl/>
          <w:lang w:bidi="ar-SA"/>
        </w:rPr>
        <w:drawing>
          <wp:inline distT="0" distB="0" distL="0" distR="0" wp14:anchorId="75AB5EE8" wp14:editId="7AE47C60">
            <wp:extent cx="1772132" cy="2409245"/>
            <wp:effectExtent l="0" t="0" r="0" b="0"/>
            <wp:docPr id="134" name="Picture 134" descr="D:\کار\مستقل\3 ( ترجمه ی دانشگاه تهران  )\Introduction to Foresight\part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کار\مستقل\3 ( ترجمه ی دانشگاه تهران  )\Introduction to Foresight\part6\32.png"/>
                    <pic:cNvPicPr>
                      <a:picLocks noChangeAspect="1" noChangeArrowheads="1"/>
                    </pic:cNvPicPr>
                  </pic:nvPicPr>
                  <pic:blipFill rotWithShape="1">
                    <a:blip r:embed="rId214" cstate="screen">
                      <a:extLst>
                        <a:ext uri="{BEBA8EAE-BF5A-486C-A8C5-ECC9F3942E4B}">
                          <a14:imgProps xmlns:a14="http://schemas.microsoft.com/office/drawing/2010/main">
                            <a14:imgLayer r:embed="rId215">
                              <a14:imgEffect>
                                <a14:saturation sat="0"/>
                              </a14:imgEffect>
                            </a14:imgLayer>
                          </a14:imgProps>
                        </a:ext>
                        <a:ext uri="{28A0092B-C50C-407E-A947-70E740481C1C}">
                          <a14:useLocalDpi xmlns:a14="http://schemas.microsoft.com/office/drawing/2010/main"/>
                        </a:ext>
                      </a:extLst>
                    </a:blip>
                    <a:srcRect/>
                    <a:stretch/>
                  </pic:blipFill>
                  <pic:spPr bwMode="auto">
                    <a:xfrm>
                      <a:off x="0" y="0"/>
                      <a:ext cx="1779943" cy="2419864"/>
                    </a:xfrm>
                    <a:prstGeom prst="rect">
                      <a:avLst/>
                    </a:prstGeom>
                    <a:noFill/>
                    <a:ln>
                      <a:noFill/>
                    </a:ln>
                    <a:extLst>
                      <a:ext uri="{53640926-AAD7-44D8-BBD7-CCE9431645EC}">
                        <a14:shadowObscured xmlns:a14="http://schemas.microsoft.com/office/drawing/2010/main"/>
                      </a:ext>
                    </a:extLst>
                  </pic:spPr>
                </pic:pic>
              </a:graphicData>
            </a:graphic>
          </wp:inline>
        </w:drawing>
      </w:r>
    </w:p>
    <w:p w14:paraId="1F641707" w14:textId="77777777" w:rsidR="00537CC8" w:rsidRPr="0025250D" w:rsidRDefault="00537CC8" w:rsidP="00D53F87">
      <w:pPr>
        <w:jc w:val="center"/>
        <w:rPr>
          <w:rtl/>
        </w:rPr>
      </w:pPr>
      <w:r w:rsidRPr="0025250D">
        <w:rPr>
          <w:rtl/>
        </w:rPr>
        <w:t>کارنگ</w:t>
      </w:r>
      <w:r w:rsidRPr="0025250D">
        <w:rPr>
          <w:rFonts w:hint="cs"/>
          <w:rtl/>
        </w:rPr>
        <w:t>ی، 1937</w:t>
      </w:r>
    </w:p>
    <w:p w14:paraId="5DD41C11" w14:textId="68210160" w:rsidR="00537CC8" w:rsidRPr="0025250D" w:rsidRDefault="00537CC8" w:rsidP="00537CC8">
      <w:pPr>
        <w:rPr>
          <w:rtl/>
        </w:rPr>
      </w:pPr>
      <w:r w:rsidRPr="0025250D">
        <w:rPr>
          <w:rFonts w:hint="cs"/>
          <w:rtl/>
        </w:rPr>
        <w:t xml:space="preserve">کتاب چگونگی دوست پیدا کردن و </w:t>
      </w:r>
      <w:r w:rsidR="0008779C" w:rsidRPr="0025250D">
        <w:rPr>
          <w:rFonts w:hint="cs"/>
          <w:rtl/>
        </w:rPr>
        <w:t>تاثیرگذاری</w:t>
      </w:r>
      <w:r w:rsidRPr="0025250D">
        <w:rPr>
          <w:rFonts w:hint="cs"/>
          <w:rtl/>
        </w:rPr>
        <w:t xml:space="preserve"> بر مردم</w:t>
      </w:r>
      <w:r w:rsidRPr="0025250D">
        <w:rPr>
          <w:vertAlign w:val="superscript"/>
          <w:rtl/>
        </w:rPr>
        <w:footnoteReference w:id="2343"/>
      </w:r>
      <w:r w:rsidRPr="0025250D">
        <w:rPr>
          <w:rFonts w:hint="cs"/>
          <w:rtl/>
        </w:rPr>
        <w:t xml:space="preserve"> اثر </w:t>
      </w:r>
      <w:r w:rsidRPr="0025250D">
        <w:rPr>
          <w:rtl/>
        </w:rPr>
        <w:t>د</w:t>
      </w:r>
      <w:r w:rsidRPr="0025250D">
        <w:rPr>
          <w:rFonts w:hint="cs"/>
          <w:rtl/>
        </w:rPr>
        <w:t>ی</w:t>
      </w:r>
      <w:r w:rsidRPr="0025250D">
        <w:rPr>
          <w:rFonts w:hint="eastAsia"/>
          <w:rtl/>
        </w:rPr>
        <w:t>ل</w:t>
      </w:r>
      <w:r w:rsidRPr="0025250D">
        <w:rPr>
          <w:rtl/>
        </w:rPr>
        <w:t xml:space="preserve"> کارنگ</w:t>
      </w:r>
      <w:r w:rsidRPr="0025250D">
        <w:rPr>
          <w:rFonts w:hint="cs"/>
          <w:rtl/>
        </w:rPr>
        <w:t>ی</w:t>
      </w:r>
      <w:r w:rsidRPr="0025250D">
        <w:rPr>
          <w:vertAlign w:val="superscript"/>
          <w:rtl/>
        </w:rPr>
        <w:footnoteReference w:id="2344"/>
      </w:r>
      <w:r w:rsidRPr="0025250D">
        <w:rPr>
          <w:rFonts w:hint="cs"/>
          <w:rtl/>
        </w:rPr>
        <w:t xml:space="preserve"> در سال 1973/1998 یک کتاب مقدماتی کلاسیک درمورد </w:t>
      </w:r>
      <w:r w:rsidR="0008779C" w:rsidRPr="0025250D">
        <w:rPr>
          <w:rFonts w:hint="cs"/>
          <w:rtl/>
        </w:rPr>
        <w:t>تاثیرگذاری</w:t>
      </w:r>
      <w:r w:rsidRPr="0025250D">
        <w:rPr>
          <w:rFonts w:hint="cs"/>
          <w:rtl/>
        </w:rPr>
        <w:t xml:space="preserve"> فردی است. </w:t>
      </w:r>
      <w:r w:rsidRPr="0025250D">
        <w:rPr>
          <w:rtl/>
        </w:rPr>
        <w:t>وارن بافت</w:t>
      </w:r>
      <w:r w:rsidRPr="0025250D">
        <w:rPr>
          <w:vertAlign w:val="superscript"/>
          <w:rtl/>
        </w:rPr>
        <w:footnoteReference w:id="2345"/>
      </w:r>
      <w:r w:rsidRPr="0025250D">
        <w:rPr>
          <w:rFonts w:hint="cs"/>
          <w:rtl/>
        </w:rPr>
        <w:t xml:space="preserve"> این اثر را </w:t>
      </w:r>
      <w:r w:rsidR="00E402E3" w:rsidRPr="0025250D">
        <w:rPr>
          <w:rtl/>
        </w:rPr>
        <w:t>«</w:t>
      </w:r>
      <w:r w:rsidRPr="0025250D">
        <w:rPr>
          <w:rFonts w:hint="cs"/>
          <w:rtl/>
        </w:rPr>
        <w:t>موفق‌ترین کتاب خودسازی تمام دوران</w:t>
      </w:r>
      <w:r w:rsidR="00E402E3" w:rsidRPr="0025250D">
        <w:rPr>
          <w:rtl/>
        </w:rPr>
        <w:t>»</w:t>
      </w:r>
      <w:r w:rsidRPr="0025250D">
        <w:rPr>
          <w:rFonts w:hint="cs"/>
          <w:rtl/>
        </w:rPr>
        <w:t xml:space="preserve"> نامید</w:t>
      </w:r>
      <w:r w:rsidR="008D6F97" w:rsidRPr="0025250D">
        <w:rPr>
          <w:rtl/>
        </w:rPr>
        <w:t xml:space="preserve">؛ </w:t>
      </w:r>
      <w:r w:rsidRPr="0025250D">
        <w:rPr>
          <w:rFonts w:hint="cs"/>
          <w:rtl/>
        </w:rPr>
        <w:t>مانند دیگر آثار کلاسیک، این کتاب ارزش چند بار خواندن را</w:t>
      </w:r>
      <w:r w:rsidR="008D6F97" w:rsidRPr="0025250D">
        <w:rPr>
          <w:rtl/>
        </w:rPr>
        <w:t xml:space="preserve"> </w:t>
      </w:r>
      <w:r w:rsidRPr="0025250D">
        <w:rPr>
          <w:rFonts w:hint="cs"/>
          <w:rtl/>
        </w:rPr>
        <w:t>تا زمانی که توصیه‌های آن از نظر هیجانی و شناختی در ما نهادینه شوند، دارد</w:t>
      </w:r>
      <w:r w:rsidR="008D6F97" w:rsidRPr="0025250D">
        <w:rPr>
          <w:rtl/>
        </w:rPr>
        <w:t xml:space="preserve">؛ </w:t>
      </w:r>
      <w:r w:rsidR="0020589F" w:rsidRPr="0025250D">
        <w:rPr>
          <w:rtl/>
        </w:rPr>
        <w:t>اما</w:t>
      </w:r>
      <w:r w:rsidRPr="0025250D">
        <w:rPr>
          <w:rFonts w:hint="cs"/>
          <w:rtl/>
        </w:rPr>
        <w:t xml:space="preserve"> </w:t>
      </w:r>
      <w:r w:rsidR="007118DE" w:rsidRPr="0025250D">
        <w:rPr>
          <w:rFonts w:hint="cs"/>
          <w:rtl/>
        </w:rPr>
        <w:t>همان‌طور</w:t>
      </w:r>
      <w:r w:rsidRPr="0025250D">
        <w:rPr>
          <w:rFonts w:hint="cs"/>
          <w:rtl/>
        </w:rPr>
        <w:t xml:space="preserve"> که منتقد </w:t>
      </w:r>
      <w:r w:rsidRPr="0025250D">
        <w:rPr>
          <w:rtl/>
        </w:rPr>
        <w:t>اندرو پارود</w:t>
      </w:r>
      <w:r w:rsidRPr="0025250D">
        <w:rPr>
          <w:rFonts w:hint="cs"/>
          <w:rtl/>
        </w:rPr>
        <w:t>ی</w:t>
      </w:r>
      <w:r w:rsidRPr="0025250D">
        <w:rPr>
          <w:vertAlign w:val="superscript"/>
          <w:rtl/>
        </w:rPr>
        <w:footnoteReference w:id="2346"/>
      </w:r>
      <w:r w:rsidRPr="0025250D">
        <w:rPr>
          <w:rFonts w:hint="cs"/>
          <w:rtl/>
        </w:rPr>
        <w:t xml:space="preserve"> در </w:t>
      </w:r>
      <w:r w:rsidRPr="0025250D">
        <w:rPr>
          <w:rtl/>
        </w:rPr>
        <w:t>آمازون</w:t>
      </w:r>
      <w:r w:rsidRPr="0025250D">
        <w:rPr>
          <w:rFonts w:hint="cs"/>
          <w:rtl/>
        </w:rPr>
        <w:t xml:space="preserve"> به ما یادآوری می‌کند، این کتاب ناقص است. بر طبق بیوگرافی </w:t>
      </w:r>
      <w:r w:rsidRPr="0025250D">
        <w:rPr>
          <w:rtl/>
        </w:rPr>
        <w:t>کمپ و کلافل</w:t>
      </w:r>
      <w:r w:rsidRPr="0025250D">
        <w:rPr>
          <w:rFonts w:hint="cs"/>
          <w:rtl/>
        </w:rPr>
        <w:t>ی</w:t>
      </w:r>
      <w:r w:rsidRPr="0025250D">
        <w:rPr>
          <w:rFonts w:hint="eastAsia"/>
          <w:rtl/>
        </w:rPr>
        <w:t>ن</w:t>
      </w:r>
      <w:r w:rsidRPr="0025250D">
        <w:rPr>
          <w:vertAlign w:val="superscript"/>
          <w:rtl/>
        </w:rPr>
        <w:footnoteReference w:id="2347"/>
      </w:r>
      <w:r w:rsidRPr="0025250D">
        <w:rPr>
          <w:rFonts w:hint="cs"/>
          <w:rtl/>
        </w:rPr>
        <w:t xml:space="preserve"> با عنوان </w:t>
      </w:r>
      <w:r w:rsidRPr="0025250D">
        <w:rPr>
          <w:rtl/>
        </w:rPr>
        <w:t>د</w:t>
      </w:r>
      <w:r w:rsidRPr="0025250D">
        <w:rPr>
          <w:rFonts w:hint="cs"/>
          <w:rtl/>
        </w:rPr>
        <w:t>ی</w:t>
      </w:r>
      <w:r w:rsidRPr="0025250D">
        <w:rPr>
          <w:rFonts w:hint="eastAsia"/>
          <w:rtl/>
        </w:rPr>
        <w:t>ل</w:t>
      </w:r>
      <w:r w:rsidRPr="0025250D">
        <w:rPr>
          <w:rtl/>
        </w:rPr>
        <w:t xml:space="preserve"> کارنگ</w:t>
      </w:r>
      <w:r w:rsidRPr="0025250D">
        <w:rPr>
          <w:rFonts w:hint="cs"/>
          <w:rtl/>
        </w:rPr>
        <w:t>ی: مردی که بر میلیون‌ها نفر تأثیر گذاشت</w:t>
      </w:r>
      <w:r w:rsidRPr="0025250D">
        <w:rPr>
          <w:vertAlign w:val="superscript"/>
          <w:rtl/>
        </w:rPr>
        <w:footnoteReference w:id="2348"/>
      </w:r>
      <w:r w:rsidR="00E402E3" w:rsidRPr="0025250D">
        <w:rPr>
          <w:rtl/>
        </w:rPr>
        <w:t xml:space="preserve"> در</w:t>
      </w:r>
      <w:r w:rsidRPr="0025250D">
        <w:rPr>
          <w:rFonts w:hint="cs"/>
          <w:rtl/>
        </w:rPr>
        <w:t xml:space="preserve"> سال 1989، </w:t>
      </w:r>
      <w:r w:rsidRPr="0025250D">
        <w:rPr>
          <w:rtl/>
        </w:rPr>
        <w:t>کارنگ</w:t>
      </w:r>
      <w:r w:rsidRPr="0025250D">
        <w:rPr>
          <w:rFonts w:hint="cs"/>
          <w:rtl/>
        </w:rPr>
        <w:t xml:space="preserve">ی قصد داشت که یک فصل نهایی را </w:t>
      </w:r>
      <w:r w:rsidR="00791382" w:rsidRPr="0025250D">
        <w:rPr>
          <w:rFonts w:hint="cs"/>
          <w:rtl/>
        </w:rPr>
        <w:t>نیز</w:t>
      </w:r>
      <w:r w:rsidRPr="0025250D">
        <w:rPr>
          <w:rFonts w:hint="cs"/>
          <w:rtl/>
        </w:rPr>
        <w:t xml:space="preserve"> برای کتاب خود درمورد نیاز به ایجاد قوانینی درمورد افراد دردسر سازی که دائما همکاری ثمر بخش را تنزل می‌دهند و تنظیم تماس خود با آن‌ها بنویسد.</w:t>
      </w:r>
    </w:p>
    <w:p w14:paraId="2D459EAE" w14:textId="34FC6699" w:rsidR="00537CC8" w:rsidRPr="0025250D" w:rsidRDefault="00537CC8" w:rsidP="00537CC8">
      <w:pPr>
        <w:rPr>
          <w:rtl/>
        </w:rPr>
      </w:pPr>
      <w:r w:rsidRPr="0025250D">
        <w:rPr>
          <w:rtl/>
        </w:rPr>
        <w:t>کارنگ</w:t>
      </w:r>
      <w:r w:rsidRPr="0025250D">
        <w:rPr>
          <w:rFonts w:hint="cs"/>
          <w:rtl/>
        </w:rPr>
        <w:t xml:space="preserve">ی ظاهرا وقتی پیشنهاد سفری به اروپا دریافت کرد این فصل ناتمام را در کتاب خود قرار نداد. همچنین این کار سبب شد تا کتاب با نکاتی مثبت پایان یابد. این کتاب خوبی برای </w:t>
      </w:r>
      <w:r w:rsidR="0008779C" w:rsidRPr="0025250D">
        <w:rPr>
          <w:rFonts w:hint="cs"/>
          <w:rtl/>
        </w:rPr>
        <w:t>تاثیرگذاری</w:t>
      </w:r>
      <w:r w:rsidRPr="0025250D">
        <w:rPr>
          <w:rFonts w:hint="cs"/>
          <w:rtl/>
        </w:rPr>
        <w:t xml:space="preserve"> است، اما کتابی است که درس‌های اندکی درمورد شناسایی و رفتار متفاوت با زیرمجموعه‌ای از افرادی که پس از تلاش‌های بسیار از طرف ما نمی‌توانیم بر آن‌ها تأثیر مثبت بگذاریم </w:t>
      </w:r>
      <w:r w:rsidRPr="0025250D">
        <w:rPr>
          <w:rFonts w:cs="Times New Roman" w:hint="cs"/>
          <w:rtl/>
        </w:rPr>
        <w:t>–</w:t>
      </w:r>
      <w:r w:rsidRPr="0025250D">
        <w:rPr>
          <w:rFonts w:hint="cs"/>
          <w:rtl/>
        </w:rPr>
        <w:t xml:space="preserve"> به دلیل شخصیت مغرور، انعطاف ناپذیر، لجوج، سلطه جو، خود پسند، غیر اخلاقی، مبهم، یا جامعه ستیز آن‌ها </w:t>
      </w:r>
      <w:r w:rsidRPr="0025250D">
        <w:rPr>
          <w:rFonts w:cs="Times New Roman" w:hint="cs"/>
          <w:rtl/>
        </w:rPr>
        <w:t>–</w:t>
      </w:r>
      <w:r w:rsidRPr="0025250D">
        <w:rPr>
          <w:rFonts w:hint="cs"/>
          <w:rtl/>
        </w:rPr>
        <w:t xml:space="preserve"> در اختیار ما قرار می‌دهد.</w:t>
      </w:r>
    </w:p>
    <w:p w14:paraId="62E53F44" w14:textId="7ECB0FC1" w:rsidR="00537CC8" w:rsidRPr="0025250D" w:rsidRDefault="00537CC8" w:rsidP="00537CC8">
      <w:pPr>
        <w:rPr>
          <w:rtl/>
        </w:rPr>
      </w:pPr>
      <w:r w:rsidRPr="0025250D">
        <w:rPr>
          <w:rFonts w:hint="cs"/>
          <w:rtl/>
        </w:rPr>
        <w:t xml:space="preserve">این در واقع مهارت </w:t>
      </w:r>
      <w:r w:rsidR="0008779C" w:rsidRPr="0025250D">
        <w:rPr>
          <w:rFonts w:hint="cs"/>
          <w:rtl/>
        </w:rPr>
        <w:t>ارتباط‌دهی</w:t>
      </w:r>
      <w:r w:rsidRPr="0025250D">
        <w:rPr>
          <w:rFonts w:hint="cs"/>
          <w:rtl/>
        </w:rPr>
        <w:t xml:space="preserve"> (مهارت 7) است، اما در اینجا، در بافت شکست </w:t>
      </w:r>
      <w:r w:rsidR="0008779C" w:rsidRPr="0025250D">
        <w:rPr>
          <w:rFonts w:hint="cs"/>
          <w:rtl/>
        </w:rPr>
        <w:t>تاثیرگذاری</w:t>
      </w:r>
      <w:r w:rsidRPr="0025250D">
        <w:rPr>
          <w:rFonts w:hint="cs"/>
          <w:rtl/>
        </w:rPr>
        <w:t xml:space="preserve"> دوجانبه، شایسته مورد بحث قرار گرفتن است. در چنین شرایطی، مسئولیت ما این است که به دنبال حذف چنین افرادی از تیممان یا حداقل از موقعیت‌های مدیریتی مهم باشیم. اگر چنین فردی شریک کاری یا رابطه ما یا کارسپار ماست </w:t>
      </w:r>
      <w:r w:rsidRPr="0025250D">
        <w:rPr>
          <w:rFonts w:cs="Times New Roman" w:hint="cs"/>
          <w:rtl/>
        </w:rPr>
        <w:t>–</w:t>
      </w:r>
      <w:r w:rsidRPr="0025250D">
        <w:rPr>
          <w:rFonts w:hint="cs"/>
          <w:rtl/>
        </w:rPr>
        <w:t xml:space="preserve"> و اگر هیچ یک از ما نتوانسته باشیم بر دیگری برای </w:t>
      </w:r>
      <w:r w:rsidR="00B124DE" w:rsidRPr="0025250D">
        <w:rPr>
          <w:rFonts w:hint="cs"/>
          <w:rtl/>
        </w:rPr>
        <w:t>انطباق‌پذیر</w:t>
      </w:r>
      <w:r w:rsidRPr="0025250D">
        <w:rPr>
          <w:rFonts w:hint="cs"/>
          <w:rtl/>
        </w:rPr>
        <w:t xml:space="preserve">ی بیش‌تر، با وجود بیش‌تر تلاش هایمان، تأثیر بگذاریم </w:t>
      </w:r>
      <w:r w:rsidRPr="0025250D">
        <w:rPr>
          <w:rFonts w:cs="Times New Roman" w:hint="cs"/>
          <w:rtl/>
        </w:rPr>
        <w:t>–</w:t>
      </w:r>
      <w:r w:rsidRPr="0025250D">
        <w:rPr>
          <w:rFonts w:hint="cs"/>
          <w:rtl/>
        </w:rPr>
        <w:t xml:space="preserve"> ممکن است یک قرنطینه، وقفه یا جدایی دائمی در رابطه بهترین </w:t>
      </w:r>
      <w:r w:rsidR="00923DDB" w:rsidRPr="0025250D">
        <w:rPr>
          <w:rFonts w:hint="cs"/>
          <w:rtl/>
        </w:rPr>
        <w:t>راه‌حل</w:t>
      </w:r>
      <w:r w:rsidRPr="0025250D">
        <w:rPr>
          <w:rFonts w:hint="cs"/>
          <w:rtl/>
        </w:rPr>
        <w:t xml:space="preserve"> برایمان باشد. اگر محدود کردن یا حذف تماس کافی نیست، اقدام قانونی یا یک چالش رقابتی مستقیم نیز می‌تواند ضروری باشد. ما باید در برابر زورگویان در همه جا بایستیم.</w:t>
      </w:r>
    </w:p>
    <w:p w14:paraId="0FB90D8A" w14:textId="71DCCC6D" w:rsidR="00537CC8" w:rsidRPr="0025250D" w:rsidRDefault="00537CC8" w:rsidP="00537CC8">
      <w:pPr>
        <w:rPr>
          <w:rtl/>
        </w:rPr>
      </w:pPr>
      <w:r w:rsidRPr="0025250D">
        <w:rPr>
          <w:rFonts w:hint="cs"/>
          <w:rtl/>
        </w:rPr>
        <w:t xml:space="preserve">آثار کلاسیکی که همه </w:t>
      </w:r>
      <w:r w:rsidRPr="0025250D">
        <w:t>CMO</w:t>
      </w:r>
      <w:r w:rsidRPr="0025250D">
        <w:rPr>
          <w:rFonts w:hint="cs"/>
          <w:rtl/>
        </w:rPr>
        <w:t xml:space="preserve"> یا </w:t>
      </w:r>
      <w:r w:rsidRPr="0025250D">
        <w:t>CSO</w:t>
      </w:r>
      <w:r w:rsidRPr="0025250D">
        <w:rPr>
          <w:rFonts w:hint="cs"/>
          <w:rtl/>
        </w:rPr>
        <w:t xml:space="preserve">‌ها باید در سازمان‌های خود داشته و از آن‌ها استفاده کنند شامل فروش </w:t>
      </w:r>
      <w:r w:rsidR="00701E03" w:rsidRPr="0025250D">
        <w:rPr>
          <w:rFonts w:hint="cs"/>
          <w:rtl/>
        </w:rPr>
        <w:t>راهبرد</w:t>
      </w:r>
      <w:r w:rsidRPr="0025250D">
        <w:rPr>
          <w:rFonts w:hint="cs"/>
          <w:rtl/>
        </w:rPr>
        <w:t xml:space="preserve"> جدید</w:t>
      </w:r>
      <w:r w:rsidRPr="0025250D">
        <w:rPr>
          <w:vertAlign w:val="superscript"/>
          <w:rtl/>
        </w:rPr>
        <w:footnoteReference w:id="2349"/>
      </w:r>
      <w:r w:rsidRPr="0025250D">
        <w:rPr>
          <w:rFonts w:hint="cs"/>
          <w:rtl/>
        </w:rPr>
        <w:t xml:space="preserve"> اثر </w:t>
      </w:r>
      <w:r w:rsidRPr="0025250D">
        <w:rPr>
          <w:rtl/>
        </w:rPr>
        <w:t>م</w:t>
      </w:r>
      <w:r w:rsidRPr="0025250D">
        <w:rPr>
          <w:rFonts w:hint="cs"/>
          <w:rtl/>
        </w:rPr>
        <w:t>ی</w:t>
      </w:r>
      <w:r w:rsidRPr="0025250D">
        <w:rPr>
          <w:rFonts w:hint="eastAsia"/>
          <w:rtl/>
        </w:rPr>
        <w:t>لر</w:t>
      </w:r>
      <w:r w:rsidRPr="0025250D">
        <w:rPr>
          <w:rtl/>
        </w:rPr>
        <w:t xml:space="preserve"> و ه</w:t>
      </w:r>
      <w:r w:rsidRPr="0025250D">
        <w:rPr>
          <w:rFonts w:hint="cs"/>
          <w:rtl/>
        </w:rPr>
        <w:t>ی</w:t>
      </w:r>
      <w:r w:rsidRPr="0025250D">
        <w:rPr>
          <w:rFonts w:hint="eastAsia"/>
          <w:rtl/>
        </w:rPr>
        <w:t>من</w:t>
      </w:r>
      <w:r w:rsidRPr="0025250D">
        <w:rPr>
          <w:vertAlign w:val="superscript"/>
          <w:rtl/>
        </w:rPr>
        <w:footnoteReference w:id="2350"/>
      </w:r>
      <w:r w:rsidRPr="0025250D">
        <w:rPr>
          <w:rFonts w:hint="cs"/>
          <w:rtl/>
        </w:rPr>
        <w:t xml:space="preserve"> در سال 1985/2005</w:t>
      </w:r>
      <w:r w:rsidR="00791382" w:rsidRPr="0025250D">
        <w:rPr>
          <w:rFonts w:hint="cs"/>
          <w:rtl/>
        </w:rPr>
        <w:t xml:space="preserve"> و</w:t>
      </w:r>
      <w:r w:rsidRPr="0025250D">
        <w:rPr>
          <w:rFonts w:hint="cs"/>
          <w:rtl/>
        </w:rPr>
        <w:t xml:space="preserve"> برای توسعه فروش عمومی و فروش مفهومی جدید</w:t>
      </w:r>
      <w:r w:rsidRPr="0025250D">
        <w:rPr>
          <w:vertAlign w:val="superscript"/>
          <w:rtl/>
        </w:rPr>
        <w:footnoteReference w:id="2351"/>
      </w:r>
      <w:r w:rsidRPr="0025250D">
        <w:rPr>
          <w:rFonts w:hint="cs"/>
          <w:rtl/>
        </w:rPr>
        <w:t xml:space="preserve"> در سال 1987/2005 </w:t>
      </w:r>
      <w:r w:rsidR="00791382" w:rsidRPr="0025250D">
        <w:rPr>
          <w:rFonts w:hint="cs"/>
          <w:rtl/>
        </w:rPr>
        <w:t>می باشند</w:t>
      </w:r>
      <w:r w:rsidRPr="0025250D">
        <w:rPr>
          <w:rFonts w:hint="cs"/>
          <w:rtl/>
        </w:rPr>
        <w:t xml:space="preserve"> که مورد دوم برای تعاملات رو در رو می‌باشد. فروش مشاوره ای</w:t>
      </w:r>
      <w:r w:rsidRPr="0025250D">
        <w:rPr>
          <w:vertAlign w:val="superscript"/>
          <w:rtl/>
        </w:rPr>
        <w:footnoteReference w:id="2352"/>
      </w:r>
      <w:r w:rsidRPr="0025250D">
        <w:rPr>
          <w:rFonts w:hint="cs"/>
          <w:rtl/>
        </w:rPr>
        <w:t xml:space="preserve">، ویرایش 8، اثر </w:t>
      </w:r>
      <w:r w:rsidRPr="0025250D">
        <w:rPr>
          <w:rtl/>
        </w:rPr>
        <w:t>مک حنان</w:t>
      </w:r>
      <w:r w:rsidRPr="0025250D">
        <w:rPr>
          <w:vertAlign w:val="superscript"/>
          <w:rtl/>
        </w:rPr>
        <w:footnoteReference w:id="2353"/>
      </w:r>
      <w:r w:rsidRPr="0025250D">
        <w:rPr>
          <w:rFonts w:hint="cs"/>
          <w:rtl/>
        </w:rPr>
        <w:t xml:space="preserve"> در سال 1970/2011 نیز یک کتاب کلاسیک است که تلاش‌های فروش را بر ایجاد ارزش قابل اندازه گیری برای مشتری و بهبود حاشیه هزینه‌ها، سود یا درآمد به شکلی قابل اندازه گیری متمرکز </w:t>
      </w:r>
      <w:r w:rsidR="00791382" w:rsidRPr="0025250D">
        <w:rPr>
          <w:rFonts w:hint="cs"/>
          <w:rtl/>
        </w:rPr>
        <w:t>می‌سازد</w:t>
      </w:r>
      <w:r w:rsidRPr="0025250D">
        <w:rPr>
          <w:rFonts w:hint="cs"/>
          <w:rtl/>
        </w:rPr>
        <w:t xml:space="preserve">. همچنین اثر کلاسیک الهام بخش </w:t>
      </w:r>
      <w:r w:rsidRPr="0025250D">
        <w:rPr>
          <w:rtl/>
        </w:rPr>
        <w:t>ن</w:t>
      </w:r>
      <w:r w:rsidRPr="0025250D">
        <w:rPr>
          <w:rFonts w:hint="cs"/>
          <w:rtl/>
        </w:rPr>
        <w:t>ی</w:t>
      </w:r>
      <w:r w:rsidRPr="0025250D">
        <w:rPr>
          <w:rFonts w:hint="eastAsia"/>
          <w:rtl/>
        </w:rPr>
        <w:t>ل</w:t>
      </w:r>
      <w:r w:rsidRPr="0025250D">
        <w:rPr>
          <w:rtl/>
        </w:rPr>
        <w:t xml:space="preserve"> راکهام</w:t>
      </w:r>
      <w:r w:rsidRPr="0025250D">
        <w:rPr>
          <w:vertAlign w:val="superscript"/>
          <w:rtl/>
        </w:rPr>
        <w:footnoteReference w:id="2354"/>
      </w:r>
      <w:r w:rsidRPr="0025250D">
        <w:rPr>
          <w:rFonts w:hint="cs"/>
          <w:rtl/>
        </w:rPr>
        <w:t>، به نام فروش</w:t>
      </w:r>
      <w:r w:rsidRPr="0025250D">
        <w:rPr>
          <w:vertAlign w:val="superscript"/>
        </w:rPr>
        <w:footnoteReference w:id="2355"/>
      </w:r>
      <w:r w:rsidR="00E402E3" w:rsidRPr="0025250D">
        <w:rPr>
          <w:rFonts w:hint="cs"/>
          <w:rtl/>
        </w:rPr>
        <w:t xml:space="preserve"> </w:t>
      </w:r>
      <w:r w:rsidRPr="0025250D">
        <w:t>SPIN</w:t>
      </w:r>
      <w:r w:rsidRPr="0025250D">
        <w:rPr>
          <w:rFonts w:hint="cs"/>
          <w:rtl/>
        </w:rPr>
        <w:t xml:space="preserve"> در سال 1988 را ببینید. در میان آثار و کتاب‌های معاصر، فروش انسان است</w:t>
      </w:r>
      <w:r w:rsidRPr="0025250D">
        <w:rPr>
          <w:vertAlign w:val="superscript"/>
          <w:rtl/>
        </w:rPr>
        <w:footnoteReference w:id="2356"/>
      </w:r>
      <w:r w:rsidRPr="0025250D">
        <w:rPr>
          <w:rFonts w:hint="cs"/>
          <w:rtl/>
        </w:rPr>
        <w:t xml:space="preserve"> اثر </w:t>
      </w:r>
      <w:r w:rsidRPr="0025250D">
        <w:rPr>
          <w:rtl/>
        </w:rPr>
        <w:t>دن</w:t>
      </w:r>
      <w:r w:rsidRPr="0025250D">
        <w:rPr>
          <w:rFonts w:hint="cs"/>
          <w:rtl/>
        </w:rPr>
        <w:t>ی</w:t>
      </w:r>
      <w:r w:rsidRPr="0025250D">
        <w:rPr>
          <w:rFonts w:hint="eastAsia"/>
          <w:rtl/>
        </w:rPr>
        <w:t>ل</w:t>
      </w:r>
      <w:r w:rsidRPr="0025250D">
        <w:rPr>
          <w:rtl/>
        </w:rPr>
        <w:t xml:space="preserve"> پ</w:t>
      </w:r>
      <w:r w:rsidRPr="0025250D">
        <w:rPr>
          <w:rFonts w:hint="cs"/>
          <w:rtl/>
        </w:rPr>
        <w:t>ی</w:t>
      </w:r>
      <w:r w:rsidRPr="0025250D">
        <w:rPr>
          <w:rFonts w:hint="eastAsia"/>
          <w:rtl/>
        </w:rPr>
        <w:t>نک</w:t>
      </w:r>
      <w:r w:rsidRPr="0025250D">
        <w:rPr>
          <w:vertAlign w:val="superscript"/>
          <w:rtl/>
        </w:rPr>
        <w:footnoteReference w:id="2357"/>
      </w:r>
      <w:r w:rsidRPr="0025250D">
        <w:rPr>
          <w:rFonts w:hint="cs"/>
          <w:rtl/>
        </w:rPr>
        <w:t xml:space="preserve"> در سال 2013 و تأثیر</w:t>
      </w:r>
      <w:r w:rsidRPr="0025250D">
        <w:rPr>
          <w:vertAlign w:val="superscript"/>
          <w:rtl/>
        </w:rPr>
        <w:footnoteReference w:id="2358"/>
      </w:r>
      <w:r w:rsidRPr="0025250D">
        <w:rPr>
          <w:rFonts w:hint="cs"/>
          <w:rtl/>
        </w:rPr>
        <w:t xml:space="preserve"> اثر </w:t>
      </w:r>
      <w:r w:rsidRPr="0025250D">
        <w:rPr>
          <w:rtl/>
        </w:rPr>
        <w:t>رابرت س</w:t>
      </w:r>
      <w:r w:rsidRPr="0025250D">
        <w:rPr>
          <w:rFonts w:hint="cs"/>
          <w:rtl/>
        </w:rPr>
        <w:t>ی</w:t>
      </w:r>
      <w:r w:rsidRPr="0025250D">
        <w:rPr>
          <w:rFonts w:hint="eastAsia"/>
          <w:rtl/>
        </w:rPr>
        <w:t>الد</w:t>
      </w:r>
      <w:r w:rsidRPr="0025250D">
        <w:rPr>
          <w:rFonts w:hint="cs"/>
          <w:rtl/>
        </w:rPr>
        <w:t>ی</w:t>
      </w:r>
      <w:r w:rsidRPr="0025250D">
        <w:rPr>
          <w:rFonts w:hint="eastAsia"/>
          <w:rtl/>
        </w:rPr>
        <w:t>ن</w:t>
      </w:r>
      <w:r w:rsidRPr="0025250D">
        <w:rPr>
          <w:rFonts w:hint="cs"/>
          <w:rtl/>
        </w:rPr>
        <w:t>ی</w:t>
      </w:r>
      <w:r w:rsidRPr="0025250D">
        <w:rPr>
          <w:vertAlign w:val="superscript"/>
          <w:rtl/>
        </w:rPr>
        <w:footnoteReference w:id="2359"/>
      </w:r>
      <w:r w:rsidRPr="0025250D">
        <w:rPr>
          <w:rFonts w:hint="cs"/>
          <w:rtl/>
        </w:rPr>
        <w:t xml:space="preserve"> در سال 2006 هر دو مقدمه‌هایی خوب در مورد چگونگی مقابله به مثل، اثبات اجتماعی، سازگاری، تعهد، دوست داشتن، اختیار و قدرت، نادر بودن و دیگر عوامل برای </w:t>
      </w:r>
      <w:r w:rsidR="00B124DE" w:rsidRPr="0025250D">
        <w:rPr>
          <w:rFonts w:hint="cs"/>
          <w:rtl/>
        </w:rPr>
        <w:t>شکل‌دهی</w:t>
      </w:r>
      <w:r w:rsidRPr="0025250D">
        <w:rPr>
          <w:rFonts w:hint="cs"/>
          <w:rtl/>
        </w:rPr>
        <w:t xml:space="preserve"> تأثیرمان بر دیگران می‌باشند.</w:t>
      </w:r>
    </w:p>
    <w:p w14:paraId="494927F2" w14:textId="3A32E0F1" w:rsidR="00537CC8" w:rsidRPr="0025250D" w:rsidRDefault="00537CC8" w:rsidP="00537CC8">
      <w:pPr>
        <w:rPr>
          <w:rtl/>
        </w:rPr>
      </w:pPr>
      <w:r w:rsidRPr="0025250D">
        <w:rPr>
          <w:rFonts w:hint="cs"/>
          <w:rtl/>
        </w:rPr>
        <w:t>مانند دیگر موارد در میان هشت مهارت، صفات روانشاختی ما (مانند برونگرا یا درونگرا بودن، اغوا گری</w:t>
      </w:r>
      <w:r w:rsidRPr="0025250D">
        <w:rPr>
          <w:vertAlign w:val="superscript"/>
          <w:rtl/>
        </w:rPr>
        <w:footnoteReference w:id="2360"/>
      </w:r>
      <w:r w:rsidRPr="0025250D">
        <w:rPr>
          <w:rFonts w:hint="cs"/>
          <w:rtl/>
        </w:rPr>
        <w:t xml:space="preserve"> در مقابل هدایتگر بودن</w:t>
      </w:r>
      <w:r w:rsidRPr="0025250D">
        <w:rPr>
          <w:vertAlign w:val="superscript"/>
          <w:rtl/>
        </w:rPr>
        <w:footnoteReference w:id="2361"/>
      </w:r>
      <w:r w:rsidRPr="0025250D">
        <w:rPr>
          <w:rFonts w:hint="cs"/>
          <w:rtl/>
        </w:rPr>
        <w:t xml:space="preserve">) به‌شدت بر توانایی‌های تأثیرگذاری پایه‌ای ما مؤثر خواهند بود. </w:t>
      </w:r>
      <w:r w:rsidR="007118DE" w:rsidRPr="0025250D">
        <w:rPr>
          <w:rFonts w:hint="cs"/>
          <w:rtl/>
        </w:rPr>
        <w:t>همان‌طور</w:t>
      </w:r>
      <w:r w:rsidRPr="0025250D">
        <w:rPr>
          <w:rFonts w:hint="cs"/>
          <w:rtl/>
        </w:rPr>
        <w:t xml:space="preserve"> که صفات فردی به آرامی تغییر می‌کنند، بهترین </w:t>
      </w:r>
      <w:r w:rsidR="00701E03" w:rsidRPr="0025250D">
        <w:rPr>
          <w:rFonts w:hint="cs"/>
          <w:rtl/>
        </w:rPr>
        <w:t>راهبرد</w:t>
      </w:r>
      <w:r w:rsidRPr="0025250D">
        <w:rPr>
          <w:rFonts w:hint="cs"/>
          <w:rtl/>
        </w:rPr>
        <w:t xml:space="preserve"> برای رشد سریع تأثیرگذاری سازمانی، </w:t>
      </w:r>
      <w:r w:rsidR="00923DDB" w:rsidRPr="0025250D">
        <w:rPr>
          <w:rFonts w:hint="cs"/>
          <w:rtl/>
        </w:rPr>
        <w:t>به‌کارگیری</w:t>
      </w:r>
      <w:r w:rsidRPr="0025250D">
        <w:rPr>
          <w:rFonts w:hint="cs"/>
          <w:rtl/>
        </w:rPr>
        <w:t xml:space="preserve"> اعضایی در تیم است که ذاتا در این مهارت کلیدی عالی هستند و دادن موقعیت‌های رهبری، آزادی، مشوق‌ها و منابع به آن‌ها برای پرداختن به چالش‌های بازاریابی و </w:t>
      </w:r>
      <w:r w:rsidR="0008779C" w:rsidRPr="0025250D">
        <w:rPr>
          <w:rFonts w:hint="cs"/>
          <w:rtl/>
        </w:rPr>
        <w:t>تاثیرگذاری</w:t>
      </w:r>
      <w:r w:rsidRPr="0025250D">
        <w:rPr>
          <w:rFonts w:hint="cs"/>
          <w:rtl/>
        </w:rPr>
        <w:t xml:space="preserve"> کلیدی است.</w:t>
      </w:r>
    </w:p>
    <w:p w14:paraId="168E4D54" w14:textId="77777777" w:rsidR="00537CC8" w:rsidRPr="0025250D" w:rsidRDefault="00537CC8" w:rsidP="00D53F87">
      <w:pPr>
        <w:jc w:val="center"/>
        <w:rPr>
          <w:rtl/>
        </w:rPr>
      </w:pPr>
      <w:r w:rsidRPr="0025250D">
        <w:rPr>
          <w:noProof/>
          <w:rtl/>
          <w:lang w:bidi="ar-SA"/>
        </w:rPr>
        <w:drawing>
          <wp:inline distT="0" distB="0" distL="0" distR="0" wp14:anchorId="18F251EC" wp14:editId="2A8471DA">
            <wp:extent cx="1394294" cy="2061713"/>
            <wp:effectExtent l="0" t="0" r="0" b="0"/>
            <wp:docPr id="135" name="Picture 135" descr="D:\کار\مستقل\3 ( ترجمه ی دانشگاه تهران  )\Introduction to Foresight\part6\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کار\مستقل\3 ( ترجمه ی دانشگاه تهران  )\Introduction to Foresight\part6\33.png"/>
                    <pic:cNvPicPr>
                      <a:picLocks noChangeAspect="1" noChangeArrowheads="1"/>
                    </pic:cNvPicPr>
                  </pic:nvPicPr>
                  <pic:blipFill rotWithShape="1">
                    <a:blip r:embed="rId216" cstate="screen">
                      <a:extLst>
                        <a:ext uri="{BEBA8EAE-BF5A-486C-A8C5-ECC9F3942E4B}">
                          <a14:imgProps xmlns:a14="http://schemas.microsoft.com/office/drawing/2010/main">
                            <a14:imgLayer r:embed="rId217">
                              <a14:imgEffect>
                                <a14:saturation sat="0"/>
                              </a14:imgEffect>
                            </a14:imgLayer>
                          </a14:imgProps>
                        </a:ext>
                        <a:ext uri="{28A0092B-C50C-407E-A947-70E740481C1C}">
                          <a14:useLocalDpi xmlns:a14="http://schemas.microsoft.com/office/drawing/2010/main"/>
                        </a:ext>
                      </a:extLst>
                    </a:blip>
                    <a:srcRect b="15646"/>
                    <a:stretch/>
                  </pic:blipFill>
                  <pic:spPr bwMode="auto">
                    <a:xfrm>
                      <a:off x="0" y="0"/>
                      <a:ext cx="1398958" cy="2068610"/>
                    </a:xfrm>
                    <a:prstGeom prst="rect">
                      <a:avLst/>
                    </a:prstGeom>
                    <a:noFill/>
                    <a:ln>
                      <a:noFill/>
                    </a:ln>
                    <a:extLst>
                      <a:ext uri="{53640926-AAD7-44D8-BBD7-CCE9431645EC}">
                        <a14:shadowObscured xmlns:a14="http://schemas.microsoft.com/office/drawing/2010/main"/>
                      </a:ext>
                    </a:extLst>
                  </pic:spPr>
                </pic:pic>
              </a:graphicData>
            </a:graphic>
          </wp:inline>
        </w:drawing>
      </w:r>
    </w:p>
    <w:p w14:paraId="6C393DE5" w14:textId="77777777" w:rsidR="00537CC8" w:rsidRPr="0025250D" w:rsidRDefault="00537CC8" w:rsidP="00D53F87">
      <w:pPr>
        <w:jc w:val="center"/>
        <w:rPr>
          <w:rtl/>
        </w:rPr>
      </w:pPr>
      <w:r w:rsidRPr="0025250D">
        <w:rPr>
          <w:rtl/>
        </w:rPr>
        <w:t>تالر و سانستا</w:t>
      </w:r>
      <w:r w:rsidRPr="0025250D">
        <w:rPr>
          <w:rFonts w:hint="cs"/>
          <w:rtl/>
        </w:rPr>
        <w:t>ی</w:t>
      </w:r>
      <w:r w:rsidRPr="0025250D">
        <w:rPr>
          <w:rFonts w:hint="eastAsia"/>
          <w:rtl/>
        </w:rPr>
        <w:t>ن</w:t>
      </w:r>
      <w:r w:rsidRPr="0025250D">
        <w:rPr>
          <w:rFonts w:hint="cs"/>
          <w:rtl/>
        </w:rPr>
        <w:t>، 2009</w:t>
      </w:r>
    </w:p>
    <w:p w14:paraId="6B0864BD" w14:textId="0BDDC7CF" w:rsidR="00537CC8" w:rsidRPr="0025250D" w:rsidRDefault="00537CC8" w:rsidP="00537CC8">
      <w:pPr>
        <w:rPr>
          <w:rtl/>
        </w:rPr>
      </w:pPr>
      <w:r w:rsidRPr="0025250D">
        <w:rPr>
          <w:rFonts w:hint="cs"/>
          <w:rtl/>
        </w:rPr>
        <w:t xml:space="preserve">در سال‌های اخیر، روانشناسان رفتاری و اجتماعی و اقتصاد دانان در حال کشف این </w:t>
      </w:r>
      <w:r w:rsidR="00B124DE" w:rsidRPr="0025250D">
        <w:rPr>
          <w:rFonts w:hint="cs"/>
          <w:rtl/>
        </w:rPr>
        <w:t>بوده‌اند</w:t>
      </w:r>
      <w:r w:rsidRPr="0025250D">
        <w:rPr>
          <w:rFonts w:hint="cs"/>
          <w:rtl/>
        </w:rPr>
        <w:t xml:space="preserve"> که چقدر قوی و قابل پیش‌بینی توسط محیط و شبکه‌های اجتماعیمان تحت تأثیر قرار می‌گیریم. کتاب‌هایی مانند ترغیب</w:t>
      </w:r>
      <w:r w:rsidRPr="0025250D">
        <w:rPr>
          <w:vertAlign w:val="superscript"/>
          <w:rtl/>
        </w:rPr>
        <w:footnoteReference w:id="2362"/>
      </w:r>
      <w:r w:rsidRPr="0025250D">
        <w:rPr>
          <w:rFonts w:hint="cs"/>
          <w:rtl/>
        </w:rPr>
        <w:t xml:space="preserve"> اثر </w:t>
      </w:r>
      <w:r w:rsidRPr="0025250D">
        <w:rPr>
          <w:rtl/>
        </w:rPr>
        <w:t>تالر و سانستا</w:t>
      </w:r>
      <w:r w:rsidRPr="0025250D">
        <w:rPr>
          <w:rFonts w:hint="cs"/>
          <w:rtl/>
        </w:rPr>
        <w:t>ی</w:t>
      </w:r>
      <w:r w:rsidRPr="0025250D">
        <w:rPr>
          <w:rFonts w:hint="eastAsia"/>
          <w:rtl/>
        </w:rPr>
        <w:t>ن</w:t>
      </w:r>
      <w:r w:rsidRPr="0025250D">
        <w:rPr>
          <w:vertAlign w:val="superscript"/>
          <w:rtl/>
        </w:rPr>
        <w:footnoteReference w:id="2363"/>
      </w:r>
      <w:r w:rsidRPr="0025250D">
        <w:rPr>
          <w:rFonts w:hint="cs"/>
          <w:rtl/>
        </w:rPr>
        <w:t xml:space="preserve"> در سال</w:t>
      </w:r>
      <w:r w:rsidR="00791382" w:rsidRPr="0025250D">
        <w:rPr>
          <w:rFonts w:hint="cs"/>
          <w:rtl/>
        </w:rPr>
        <w:t xml:space="preserve"> 2009</w:t>
      </w:r>
      <w:r w:rsidRPr="0025250D">
        <w:rPr>
          <w:rFonts w:hint="cs"/>
          <w:rtl/>
        </w:rPr>
        <w:t>، به شکلی قابل پیش‌بینی غیرمنطقی</w:t>
      </w:r>
      <w:r w:rsidRPr="0025250D">
        <w:rPr>
          <w:vertAlign w:val="superscript"/>
          <w:rtl/>
        </w:rPr>
        <w:footnoteReference w:id="2364"/>
      </w:r>
      <w:r w:rsidRPr="0025250D">
        <w:rPr>
          <w:rFonts w:hint="cs"/>
          <w:rtl/>
        </w:rPr>
        <w:t xml:space="preserve"> اثر </w:t>
      </w:r>
      <w:r w:rsidRPr="0025250D">
        <w:rPr>
          <w:rtl/>
        </w:rPr>
        <w:t>دن آر</w:t>
      </w:r>
      <w:r w:rsidRPr="0025250D">
        <w:rPr>
          <w:rFonts w:hint="cs"/>
          <w:rtl/>
        </w:rPr>
        <w:t>ی</w:t>
      </w:r>
      <w:r w:rsidRPr="0025250D">
        <w:rPr>
          <w:rFonts w:hint="eastAsia"/>
          <w:rtl/>
        </w:rPr>
        <w:t>ل</w:t>
      </w:r>
      <w:r w:rsidRPr="0025250D">
        <w:rPr>
          <w:rFonts w:hint="cs"/>
          <w:rtl/>
        </w:rPr>
        <w:t>ی</w:t>
      </w:r>
      <w:r w:rsidRPr="0025250D">
        <w:rPr>
          <w:vertAlign w:val="superscript"/>
          <w:rtl/>
        </w:rPr>
        <w:footnoteReference w:id="2365"/>
      </w:r>
      <w:r w:rsidRPr="0025250D">
        <w:rPr>
          <w:rFonts w:hint="cs"/>
          <w:rtl/>
        </w:rPr>
        <w:t xml:space="preserve"> در سال 2010 و فیزیک اجتماعی</w:t>
      </w:r>
      <w:r w:rsidRPr="0025250D">
        <w:rPr>
          <w:vertAlign w:val="superscript"/>
          <w:rtl/>
        </w:rPr>
        <w:footnoteReference w:id="2366"/>
      </w:r>
      <w:r w:rsidRPr="0025250D">
        <w:rPr>
          <w:rFonts w:hint="cs"/>
          <w:rtl/>
        </w:rPr>
        <w:t xml:space="preserve"> اثر </w:t>
      </w:r>
      <w:r w:rsidRPr="0025250D">
        <w:rPr>
          <w:rtl/>
        </w:rPr>
        <w:t>سند</w:t>
      </w:r>
      <w:r w:rsidRPr="0025250D">
        <w:rPr>
          <w:rFonts w:hint="cs"/>
          <w:rtl/>
        </w:rPr>
        <w:t>ی</w:t>
      </w:r>
      <w:r w:rsidRPr="0025250D">
        <w:rPr>
          <w:rtl/>
        </w:rPr>
        <w:t xml:space="preserve"> پنتلند</w:t>
      </w:r>
      <w:r w:rsidRPr="0025250D">
        <w:rPr>
          <w:vertAlign w:val="superscript"/>
          <w:rtl/>
        </w:rPr>
        <w:footnoteReference w:id="2367"/>
      </w:r>
      <w:r w:rsidRPr="0025250D">
        <w:rPr>
          <w:rFonts w:hint="cs"/>
          <w:rtl/>
        </w:rPr>
        <w:t xml:space="preserve"> در سال 2014 همگی مشخص می‌کنند که طراحی محیطی و انتخاب همکارانمان تأثیرات عمده‌ای بر افکار و رفتار ما دارند. ما بیش‌تر علائم و نشانه‌ها را از همکاران و همراهانمان و محیطمان دریافت می‌کنیم. برای مثال، نرخ اهدای عضو، کمک‌های قرض الحسنه و بسیاری از تصمیمات دیگر یک افزایش مشارکت 15 تا 90 درصدی را تنها بر اساس تغییر شرایط محیطی از عدم ترجیح به اهدای</w:t>
      </w:r>
      <w:r w:rsidRPr="0025250D">
        <w:rPr>
          <w:vertAlign w:val="superscript"/>
          <w:rtl/>
        </w:rPr>
        <w:footnoteReference w:id="2368"/>
      </w:r>
      <w:r w:rsidRPr="0025250D">
        <w:rPr>
          <w:rFonts w:hint="cs"/>
          <w:rtl/>
        </w:rPr>
        <w:t xml:space="preserve"> پیشفرض به ترجیح به دریافت</w:t>
      </w:r>
      <w:r w:rsidRPr="0025250D">
        <w:rPr>
          <w:vertAlign w:val="superscript"/>
          <w:rtl/>
        </w:rPr>
        <w:footnoteReference w:id="2369"/>
      </w:r>
      <w:r w:rsidRPr="0025250D">
        <w:rPr>
          <w:rFonts w:hint="cs"/>
          <w:rtl/>
        </w:rPr>
        <w:t xml:space="preserve"> پیشفرض (رضایت فرض شده) نشان داده اند. رئیس جمهور آمریکا باراک اوباما متخصص برجسته ترغیب </w:t>
      </w:r>
      <w:r w:rsidRPr="0025250D">
        <w:rPr>
          <w:rtl/>
        </w:rPr>
        <w:t>کاس سانستا</w:t>
      </w:r>
      <w:r w:rsidRPr="0025250D">
        <w:rPr>
          <w:rFonts w:hint="cs"/>
          <w:rtl/>
        </w:rPr>
        <w:t>ی</w:t>
      </w:r>
      <w:r w:rsidRPr="0025250D">
        <w:rPr>
          <w:rFonts w:hint="eastAsia"/>
          <w:rtl/>
        </w:rPr>
        <w:t>ن</w:t>
      </w:r>
      <w:r w:rsidRPr="0025250D">
        <w:rPr>
          <w:vertAlign w:val="superscript"/>
          <w:rtl/>
        </w:rPr>
        <w:footnoteReference w:id="2370"/>
      </w:r>
      <w:r w:rsidRPr="0025250D">
        <w:rPr>
          <w:rFonts w:hint="cs"/>
          <w:rtl/>
        </w:rPr>
        <w:t xml:space="preserve"> را در دوره اول ریاست جمهوری خود (2008-2012) به کار گرفت. کتاب چرا ترغیب</w:t>
      </w:r>
      <w:r w:rsidRPr="0025250D">
        <w:rPr>
          <w:vertAlign w:val="superscript"/>
          <w:rtl/>
        </w:rPr>
        <w:footnoteReference w:id="2371"/>
      </w:r>
      <w:r w:rsidRPr="0025250D">
        <w:rPr>
          <w:rFonts w:hint="cs"/>
          <w:rtl/>
        </w:rPr>
        <w:t xml:space="preserve"> اثر </w:t>
      </w:r>
      <w:r w:rsidRPr="0025250D">
        <w:rPr>
          <w:rtl/>
        </w:rPr>
        <w:t>سانستا</w:t>
      </w:r>
      <w:r w:rsidRPr="0025250D">
        <w:rPr>
          <w:rFonts w:hint="cs"/>
          <w:rtl/>
        </w:rPr>
        <w:t>ی</w:t>
      </w:r>
      <w:r w:rsidRPr="0025250D">
        <w:rPr>
          <w:rFonts w:hint="eastAsia"/>
          <w:rtl/>
        </w:rPr>
        <w:t>ن</w:t>
      </w:r>
      <w:r w:rsidRPr="0025250D">
        <w:rPr>
          <w:rFonts w:hint="cs"/>
          <w:rtl/>
        </w:rPr>
        <w:t xml:space="preserve"> در سال 2014 را برای اطلاعات بیش‌تر درمورد این که مسائل </w:t>
      </w:r>
      <w:r w:rsidR="00B124DE" w:rsidRPr="0025250D">
        <w:rPr>
          <w:rFonts w:hint="cs"/>
          <w:rtl/>
        </w:rPr>
        <w:t>انطباق‌پذیر</w:t>
      </w:r>
      <w:r w:rsidRPr="0025250D">
        <w:rPr>
          <w:rFonts w:hint="cs"/>
          <w:rtl/>
        </w:rPr>
        <w:t>ی اجتماعی، مانند چاقی، سیگار کشیدن، رانندگی با حواس پرتی، جرم، اصلاحات، تحصیلات، امنیت</w:t>
      </w:r>
      <w:r w:rsidR="008D6F97" w:rsidRPr="0025250D">
        <w:rPr>
          <w:rtl/>
        </w:rPr>
        <w:t xml:space="preserve"> </w:t>
      </w:r>
      <w:r w:rsidRPr="0025250D">
        <w:rPr>
          <w:rFonts w:hint="cs"/>
          <w:rtl/>
        </w:rPr>
        <w:t xml:space="preserve">و بسیاری از موارد دیگر می‌توانند به‌شدت تحت تأثیر ترغیب قرار گیرند ببینید. ترغیب کردن شکلی از </w:t>
      </w:r>
      <w:r w:rsidR="00E402E3" w:rsidRPr="0025250D">
        <w:rPr>
          <w:rtl/>
        </w:rPr>
        <w:t>«</w:t>
      </w:r>
      <w:r w:rsidRPr="0025250D">
        <w:rPr>
          <w:rFonts w:hint="cs"/>
          <w:rtl/>
        </w:rPr>
        <w:t>پدرسالاری آزادیخواهانه</w:t>
      </w:r>
      <w:r w:rsidRPr="0025250D">
        <w:rPr>
          <w:vertAlign w:val="superscript"/>
          <w:rtl/>
        </w:rPr>
        <w:footnoteReference w:id="2372"/>
      </w:r>
      <w:r w:rsidR="00E402E3" w:rsidRPr="0025250D">
        <w:rPr>
          <w:rtl/>
        </w:rPr>
        <w:t>»</w:t>
      </w:r>
      <w:r w:rsidRPr="0025250D">
        <w:rPr>
          <w:rFonts w:hint="cs"/>
          <w:rtl/>
        </w:rPr>
        <w:t xml:space="preserve"> است که در سال‌های پیش رو در جوامع ما که به شکل فزاینده‌ای غنی از داده‌ها و امکانات دیجیتال هستند رشد خواهد کرد.</w:t>
      </w:r>
    </w:p>
    <w:p w14:paraId="3C0D8BE4" w14:textId="0C82EBCC" w:rsidR="00537CC8" w:rsidRPr="0025250D" w:rsidRDefault="00537CC8" w:rsidP="00537CC8">
      <w:pPr>
        <w:rPr>
          <w:rtl/>
        </w:rPr>
      </w:pPr>
      <w:r w:rsidRPr="0025250D">
        <w:rPr>
          <w:rFonts w:hint="cs"/>
          <w:rtl/>
        </w:rPr>
        <w:t>شرکت مشا</w:t>
      </w:r>
      <w:r w:rsidR="00F14AF9" w:rsidRPr="0025250D">
        <w:rPr>
          <w:rFonts w:hint="cs"/>
          <w:rtl/>
        </w:rPr>
        <w:t>ور</w:t>
      </w:r>
      <w:r w:rsidRPr="0025250D">
        <w:rPr>
          <w:rFonts w:hint="cs"/>
          <w:rtl/>
        </w:rPr>
        <w:t xml:space="preserve">ه‌ای منابع انسانی </w:t>
      </w:r>
      <w:r w:rsidRPr="0025250D">
        <w:rPr>
          <w:rtl/>
        </w:rPr>
        <w:t>هومو</w:t>
      </w:r>
      <w:r w:rsidRPr="0025250D">
        <w:rPr>
          <w:vertAlign w:val="superscript"/>
          <w:rtl/>
        </w:rPr>
        <w:footnoteReference w:id="2373"/>
      </w:r>
      <w:r w:rsidRPr="0025250D">
        <w:rPr>
          <w:rFonts w:hint="cs"/>
          <w:rtl/>
        </w:rPr>
        <w:t xml:space="preserve"> که در سال 2017 توسط </w:t>
      </w:r>
      <w:r w:rsidRPr="0025250D">
        <w:rPr>
          <w:rtl/>
        </w:rPr>
        <w:t>لازلو بوک</w:t>
      </w:r>
      <w:r w:rsidRPr="0025250D">
        <w:rPr>
          <w:vertAlign w:val="superscript"/>
          <w:rtl/>
        </w:rPr>
        <w:footnoteReference w:id="2374"/>
      </w:r>
      <w:r w:rsidRPr="0025250D">
        <w:rPr>
          <w:rFonts w:hint="cs"/>
          <w:rtl/>
        </w:rPr>
        <w:t xml:space="preserve">، معاون سابق عملیات‌های انسانی گوگل، بنیان گذاری شد، یک موتور ترغیب، یک هوش مصنوعی که از تجزیه و تحلیل مردم برای پیشنهاد 1500 (تا سال 2020) قالب ایمیل شخصی سازی شده برای بهبود اثربخشی مدیران و کمک به مدیران اجرایی برای مدیریت بهتر دنباله‌ها (سوپراستارها و افراد با </w:t>
      </w:r>
      <w:r w:rsidRPr="0025250D">
        <w:rPr>
          <w:rtl/>
        </w:rPr>
        <w:t>عملکرد پا</w:t>
      </w:r>
      <w:r w:rsidRPr="0025250D">
        <w:rPr>
          <w:rFonts w:hint="cs"/>
          <w:rtl/>
        </w:rPr>
        <w:t>یی</w:t>
      </w:r>
      <w:r w:rsidRPr="0025250D">
        <w:rPr>
          <w:rFonts w:hint="eastAsia"/>
          <w:rtl/>
        </w:rPr>
        <w:t>ن</w:t>
      </w:r>
      <w:r w:rsidRPr="0025250D">
        <w:rPr>
          <w:rFonts w:hint="cs"/>
          <w:rtl/>
        </w:rPr>
        <w:t xml:space="preserve">) در محل کار استفاده می‌کند، ساخته است. </w:t>
      </w:r>
      <w:r w:rsidRPr="0025250D">
        <w:rPr>
          <w:rtl/>
        </w:rPr>
        <w:t>بوک</w:t>
      </w:r>
      <w:r w:rsidRPr="0025250D">
        <w:rPr>
          <w:rFonts w:hint="cs"/>
          <w:rtl/>
        </w:rPr>
        <w:t xml:space="preserve"> بیان می‌کند که منابع انسانی باید ارائه کمک و بازخورد به کسانی که عملکردی بسیار بد‌تر از دیگران دارند و حمایت از سوپراستارهایی که عملکردی بسیار بهتر از میانگین دارند</w:t>
      </w:r>
      <w:r w:rsidR="0003402A" w:rsidRPr="0025250D">
        <w:rPr>
          <w:rFonts w:hint="cs"/>
          <w:rtl/>
        </w:rPr>
        <w:t xml:space="preserve"> </w:t>
      </w:r>
      <w:r w:rsidRPr="0025250D">
        <w:rPr>
          <w:rFonts w:hint="cs"/>
          <w:rtl/>
        </w:rPr>
        <w:t>را در اولویت قرار دهد و به شکلی مناسب آن‌ها را شناخته، به آن‌ها منابع اختصاص داده و به چالش بکشد. آن‌ها همچنین شرکت‌ها را قادر به انجام آزمایش</w:t>
      </w:r>
      <w:r w:rsidR="0003402A" w:rsidRPr="0025250D">
        <w:rPr>
          <w:rFonts w:hint="cs"/>
          <w:rtl/>
        </w:rPr>
        <w:t>‌</w:t>
      </w:r>
      <w:r w:rsidRPr="0025250D">
        <w:rPr>
          <w:rFonts w:hint="cs"/>
          <w:rtl/>
        </w:rPr>
        <w:t xml:space="preserve">هایی برای اندازه گیری اثربخشی ترغیب‌های خود می‌سازند. این نوع از ترغیب مبتنی بر شواهد و مبتنی بر </w:t>
      </w:r>
      <w:r w:rsidR="0003402A" w:rsidRPr="0025250D">
        <w:rPr>
          <w:rFonts w:hint="cs"/>
          <w:rtl/>
        </w:rPr>
        <w:t>هوش مصنوعی</w:t>
      </w:r>
      <w:r w:rsidRPr="0025250D">
        <w:rPr>
          <w:rFonts w:hint="cs"/>
          <w:rtl/>
        </w:rPr>
        <w:t xml:space="preserve"> مطمئنا بخشی کلیدی از آینده منابع انسانی است.</w:t>
      </w:r>
    </w:p>
    <w:p w14:paraId="6EBC6C96" w14:textId="2C2AABF4" w:rsidR="00537CC8" w:rsidRPr="0025250D" w:rsidRDefault="00537CC8" w:rsidP="00537CC8">
      <w:pPr>
        <w:rPr>
          <w:rtl/>
        </w:rPr>
      </w:pPr>
      <w:r w:rsidRPr="0025250D">
        <w:rPr>
          <w:rFonts w:hint="cs"/>
          <w:rtl/>
        </w:rPr>
        <w:t xml:space="preserve">مشاوران </w:t>
      </w:r>
      <w:r w:rsidRPr="0025250D">
        <w:rPr>
          <w:rtl/>
        </w:rPr>
        <w:t>آینده‌نگاری</w:t>
      </w:r>
      <w:r w:rsidRPr="0025250D">
        <w:rPr>
          <w:rFonts w:hint="cs"/>
          <w:rtl/>
        </w:rPr>
        <w:t xml:space="preserve"> از تأثیرگذاری در همه مراحل کار خود، از جمله پیشنهاد اولیه کارسپار، تسهیل کارگاه‌ها، توسعه محصول، خدمات رسانی و بازبینی کار خود استفاده می‌کنند. برای </w:t>
      </w:r>
      <w:r w:rsidR="0008779C" w:rsidRPr="0025250D">
        <w:rPr>
          <w:rFonts w:hint="cs"/>
          <w:rtl/>
        </w:rPr>
        <w:t>تاثیرگذاری</w:t>
      </w:r>
      <w:r w:rsidRPr="0025250D">
        <w:rPr>
          <w:rFonts w:hint="cs"/>
          <w:rtl/>
        </w:rPr>
        <w:t xml:space="preserve"> بر کارسپار، کار </w:t>
      </w:r>
      <w:r w:rsidRPr="0025250D">
        <w:rPr>
          <w:rtl/>
        </w:rPr>
        <w:t>آینده‌نگاری</w:t>
      </w:r>
      <w:r w:rsidRPr="0025250D">
        <w:rPr>
          <w:rFonts w:hint="cs"/>
          <w:rtl/>
        </w:rPr>
        <w:t xml:space="preserve"> باید هم مرتبط و هم معتبر باشد. پیام باید متناسب با توانایی‌ها و نیاز‌ها آماده شده باشد، اما همچنین باید در تغییر یا تأیید </w:t>
      </w:r>
      <w:r w:rsidR="00701E03" w:rsidRPr="0025250D">
        <w:rPr>
          <w:rFonts w:hint="cs"/>
          <w:rtl/>
        </w:rPr>
        <w:t>راهبرد</w:t>
      </w:r>
      <w:r w:rsidRPr="0025250D">
        <w:rPr>
          <w:rFonts w:hint="cs"/>
          <w:rtl/>
        </w:rPr>
        <w:t xml:space="preserve"> صادقانه و مؤثر باشد. در غیر این صورت این </w:t>
      </w:r>
      <w:r w:rsidRPr="0025250D">
        <w:rPr>
          <w:rtl/>
        </w:rPr>
        <w:t>آینده‌نگاری</w:t>
      </w:r>
      <w:r w:rsidRPr="0025250D">
        <w:rPr>
          <w:rFonts w:hint="cs"/>
          <w:rtl/>
        </w:rPr>
        <w:t xml:space="preserve"> ارزش </w:t>
      </w:r>
      <w:r w:rsidR="00B124DE" w:rsidRPr="0025250D">
        <w:rPr>
          <w:rFonts w:hint="cs"/>
          <w:rtl/>
        </w:rPr>
        <w:t>انطباق‌پذیر</w:t>
      </w:r>
      <w:r w:rsidRPr="0025250D">
        <w:rPr>
          <w:rFonts w:hint="cs"/>
          <w:rtl/>
        </w:rPr>
        <w:t>ی اندکی خواهد داشت.</w:t>
      </w:r>
    </w:p>
    <w:p w14:paraId="4D9EB0A0" w14:textId="5BA6AF1E" w:rsidR="00537CC8" w:rsidRPr="0025250D" w:rsidRDefault="00537CC8" w:rsidP="00D53F87">
      <w:pPr>
        <w:pStyle w:val="Heading3"/>
        <w:rPr>
          <w:rtl/>
        </w:rPr>
      </w:pPr>
      <w:r w:rsidRPr="0025250D">
        <w:rPr>
          <w:rFonts w:hint="cs"/>
          <w:rtl/>
        </w:rPr>
        <w:t xml:space="preserve">مهارت 7. </w:t>
      </w:r>
      <w:r w:rsidR="0008779C" w:rsidRPr="0025250D">
        <w:rPr>
          <w:rFonts w:hint="cs"/>
          <w:u w:val="single"/>
          <w:rtl/>
        </w:rPr>
        <w:t>ارتباط‌دهی</w:t>
      </w:r>
      <w:r w:rsidRPr="0025250D">
        <w:rPr>
          <w:rFonts w:hint="cs"/>
          <w:rtl/>
        </w:rPr>
        <w:t xml:space="preserve"> (تفکر تیمی)</w:t>
      </w:r>
    </w:p>
    <w:p w14:paraId="5BEAC6F6" w14:textId="512E9EC1" w:rsidR="00537CC8" w:rsidRPr="0025250D" w:rsidRDefault="00537CC8" w:rsidP="00537CC8">
      <w:pPr>
        <w:rPr>
          <w:rtl/>
        </w:rPr>
      </w:pPr>
      <w:r w:rsidRPr="0025250D">
        <w:rPr>
          <w:rFonts w:hint="cs"/>
          <w:rtl/>
        </w:rPr>
        <w:t xml:space="preserve">مهارت عملی </w:t>
      </w:r>
      <w:r w:rsidR="00E402E3" w:rsidRPr="0025250D">
        <w:rPr>
          <w:rtl/>
        </w:rPr>
        <w:t>(</w:t>
      </w:r>
      <w:r w:rsidRPr="0025250D">
        <w:rPr>
          <w:rFonts w:hint="cs"/>
          <w:rtl/>
        </w:rPr>
        <w:t xml:space="preserve">و فکری) سوم شامل درک و اقدام برای خدمت رسانی در جهت نیاز‌های تیم است. این تیم می‌تواند تیم تولید </w:t>
      </w:r>
      <w:r w:rsidRPr="0025250D">
        <w:rPr>
          <w:rtl/>
        </w:rPr>
        <w:t>آینده‌نگاری</w:t>
      </w:r>
      <w:r w:rsidRPr="0025250D">
        <w:rPr>
          <w:rFonts w:hint="cs"/>
          <w:rtl/>
        </w:rPr>
        <w:t xml:space="preserve">، سازمان یا تیم کرسپار ما باشد. </w:t>
      </w:r>
      <w:r w:rsidR="0008779C" w:rsidRPr="0025250D">
        <w:rPr>
          <w:rFonts w:hint="cs"/>
          <w:rtl/>
        </w:rPr>
        <w:t>ارتباط‌دهی</w:t>
      </w:r>
      <w:r w:rsidRPr="0025250D">
        <w:rPr>
          <w:rFonts w:hint="cs"/>
          <w:rtl/>
        </w:rPr>
        <w:t xml:space="preserve"> خوب با هوش هیجانی در میان رهبران و مدیران آغاز می‌شود. مدیریت عدم اعتماد و ترس </w:t>
      </w:r>
      <w:r w:rsidRPr="0025250D">
        <w:rPr>
          <w:rFonts w:cs="Times New Roman" w:hint="cs"/>
          <w:rtl/>
        </w:rPr>
        <w:t>–</w:t>
      </w:r>
      <w:r w:rsidRPr="0025250D">
        <w:rPr>
          <w:rFonts w:hint="cs"/>
          <w:rtl/>
        </w:rPr>
        <w:t xml:space="preserve"> دو عامل کشنده خلاقیت که تحت بخش نوآوری به آن‌ها اشاره شد </w:t>
      </w:r>
      <w:r w:rsidRPr="0025250D">
        <w:rPr>
          <w:rFonts w:cs="Times New Roman" w:hint="cs"/>
          <w:rtl/>
        </w:rPr>
        <w:t>–</w:t>
      </w:r>
      <w:r w:rsidRPr="0025250D">
        <w:rPr>
          <w:rFonts w:hint="cs"/>
          <w:rtl/>
        </w:rPr>
        <w:t xml:space="preserve"> برای </w:t>
      </w:r>
      <w:r w:rsidR="0008779C" w:rsidRPr="0025250D">
        <w:rPr>
          <w:rFonts w:hint="cs"/>
          <w:rtl/>
        </w:rPr>
        <w:t>ارتباط‌دهی</w:t>
      </w:r>
      <w:r w:rsidRPr="0025250D">
        <w:rPr>
          <w:rFonts w:hint="cs"/>
          <w:rtl/>
        </w:rPr>
        <w:t xml:space="preserve"> خوب کلیدی هستند. مدیریت استرس نیز اهمیت دارد. </w:t>
      </w:r>
      <w:r w:rsidR="007118DE" w:rsidRPr="0025250D">
        <w:rPr>
          <w:rFonts w:hint="cs"/>
          <w:rtl/>
        </w:rPr>
        <w:t>همان‌طور</w:t>
      </w:r>
      <w:r w:rsidRPr="0025250D">
        <w:rPr>
          <w:rFonts w:hint="cs"/>
          <w:rtl/>
        </w:rPr>
        <w:t xml:space="preserve"> که </w:t>
      </w:r>
      <w:r w:rsidRPr="0025250D">
        <w:rPr>
          <w:rtl/>
        </w:rPr>
        <w:t>تون</w:t>
      </w:r>
      <w:r w:rsidRPr="0025250D">
        <w:rPr>
          <w:rFonts w:hint="cs"/>
          <w:rtl/>
        </w:rPr>
        <w:t>ی</w:t>
      </w:r>
      <w:r w:rsidRPr="0025250D">
        <w:rPr>
          <w:rtl/>
        </w:rPr>
        <w:t xml:space="preserve"> شوارتز</w:t>
      </w:r>
      <w:r w:rsidRPr="0025250D">
        <w:rPr>
          <w:vertAlign w:val="superscript"/>
          <w:rtl/>
        </w:rPr>
        <w:footnoteReference w:id="2375"/>
      </w:r>
      <w:r w:rsidRPr="0025250D">
        <w:rPr>
          <w:rFonts w:hint="cs"/>
          <w:rtl/>
        </w:rPr>
        <w:t xml:space="preserve"> در کتاب در هر کاری عالی باشید</w:t>
      </w:r>
      <w:r w:rsidRPr="0025250D">
        <w:rPr>
          <w:vertAlign w:val="superscript"/>
          <w:rtl/>
        </w:rPr>
        <w:footnoteReference w:id="2376"/>
      </w:r>
      <w:r w:rsidRPr="0025250D">
        <w:rPr>
          <w:rFonts w:hint="cs"/>
          <w:rtl/>
        </w:rPr>
        <w:t xml:space="preserve"> در سال 2011 توضیح می‌دهد، هر تیمی به مدیریت خوب اسپرینت و بازیابی‌ها نیاز دارد. به بهترین شکل، مهارت </w:t>
      </w:r>
      <w:r w:rsidR="0008779C" w:rsidRPr="0025250D">
        <w:rPr>
          <w:rFonts w:hint="cs"/>
          <w:rtl/>
        </w:rPr>
        <w:t>ارتباط‌دهی</w:t>
      </w:r>
      <w:r w:rsidRPr="0025250D">
        <w:rPr>
          <w:rFonts w:hint="cs"/>
          <w:rtl/>
        </w:rPr>
        <w:t xml:space="preserve"> می‌تواند به آنچه </w:t>
      </w:r>
      <w:r w:rsidRPr="0025250D">
        <w:rPr>
          <w:rtl/>
        </w:rPr>
        <w:t>رابرت گر</w:t>
      </w:r>
      <w:r w:rsidRPr="0025250D">
        <w:rPr>
          <w:rFonts w:hint="cs"/>
          <w:rtl/>
        </w:rPr>
        <w:t>ی</w:t>
      </w:r>
      <w:r w:rsidRPr="0025250D">
        <w:rPr>
          <w:rFonts w:hint="eastAsia"/>
          <w:rtl/>
        </w:rPr>
        <w:t>ن</w:t>
      </w:r>
      <w:r w:rsidRPr="0025250D">
        <w:rPr>
          <w:rtl/>
        </w:rPr>
        <w:t xml:space="preserve"> ل</w:t>
      </w:r>
      <w:r w:rsidRPr="0025250D">
        <w:rPr>
          <w:rFonts w:hint="cs"/>
          <w:rtl/>
        </w:rPr>
        <w:t>ی</w:t>
      </w:r>
      <w:r w:rsidRPr="0025250D">
        <w:rPr>
          <w:rFonts w:hint="eastAsia"/>
          <w:rtl/>
        </w:rPr>
        <w:t>ف</w:t>
      </w:r>
      <w:r w:rsidRPr="0025250D">
        <w:rPr>
          <w:vertAlign w:val="superscript"/>
          <w:rtl/>
        </w:rPr>
        <w:footnoteReference w:id="2377"/>
      </w:r>
      <w:r w:rsidRPr="0025250D">
        <w:rPr>
          <w:rFonts w:hint="cs"/>
          <w:rtl/>
        </w:rPr>
        <w:t xml:space="preserve"> </w:t>
      </w:r>
      <w:r w:rsidR="00FB35B8" w:rsidRPr="0025250D">
        <w:rPr>
          <w:rFonts w:hint="cs"/>
          <w:rtl/>
        </w:rPr>
        <w:t xml:space="preserve">در سال 2012 </w:t>
      </w:r>
      <w:r w:rsidRPr="0025250D">
        <w:rPr>
          <w:rFonts w:hint="cs"/>
          <w:rtl/>
        </w:rPr>
        <w:t>رهبری خدمت گزار</w:t>
      </w:r>
      <w:r w:rsidRPr="0025250D">
        <w:rPr>
          <w:vertAlign w:val="superscript"/>
          <w:rtl/>
        </w:rPr>
        <w:footnoteReference w:id="2378"/>
      </w:r>
      <w:r w:rsidRPr="0025250D">
        <w:rPr>
          <w:rFonts w:hint="cs"/>
          <w:rtl/>
        </w:rPr>
        <w:t xml:space="preserve"> می‌نامد تبدیل شود، یک رویکرد توان</w:t>
      </w:r>
      <w:r w:rsidR="00FB35B8" w:rsidRPr="0025250D">
        <w:rPr>
          <w:rFonts w:hint="cs"/>
          <w:rtl/>
        </w:rPr>
        <w:t>من</w:t>
      </w:r>
      <w:r w:rsidRPr="0025250D">
        <w:rPr>
          <w:rFonts w:hint="cs"/>
          <w:rtl/>
        </w:rPr>
        <w:t>دساز و اخلاقی نسبت به مدیریت که به افراد ما آزادی لازم برای نوآوری یا شکست را می‌دهد، اما همچنان نیاز دارد که آن‌ها از خطا‌های خود از طریق بازبینی خود یاد</w:t>
      </w:r>
      <w:r w:rsidR="00FB35B8" w:rsidRPr="0025250D">
        <w:rPr>
          <w:rFonts w:hint="cs"/>
          <w:rtl/>
        </w:rPr>
        <w:t xml:space="preserve"> </w:t>
      </w:r>
      <w:r w:rsidRPr="0025250D">
        <w:rPr>
          <w:rFonts w:hint="cs"/>
          <w:rtl/>
        </w:rPr>
        <w:t>بگیرند (مهارت 8).</w:t>
      </w:r>
    </w:p>
    <w:p w14:paraId="58DFA73A" w14:textId="36FEFCC0" w:rsidR="00537CC8" w:rsidRPr="0025250D" w:rsidRDefault="00537CC8" w:rsidP="00537CC8">
      <w:pPr>
        <w:rPr>
          <w:rtl/>
        </w:rPr>
      </w:pPr>
      <w:r w:rsidRPr="0025250D">
        <w:rPr>
          <w:rFonts w:hint="cs"/>
          <w:rtl/>
        </w:rPr>
        <w:t xml:space="preserve">برای سازمان‌ها، تخصص‌های </w:t>
      </w:r>
      <w:r w:rsidR="0008779C" w:rsidRPr="0025250D">
        <w:rPr>
          <w:rFonts w:hint="cs"/>
          <w:rtl/>
        </w:rPr>
        <w:t>ارتباط‌دهی</w:t>
      </w:r>
      <w:r w:rsidRPr="0025250D">
        <w:rPr>
          <w:rFonts w:hint="cs"/>
          <w:rtl/>
        </w:rPr>
        <w:t xml:space="preserve"> اصلی منابع انسانی و مدیریت عملکرد و موضوعات منابع انسانی مرتبط از جمله جبران خدمات، مشوق‌ها، اخلاقیات، فرهنگ و مشارکت کارمندان هستند. مهارت </w:t>
      </w:r>
      <w:r w:rsidR="0008779C" w:rsidRPr="0025250D">
        <w:rPr>
          <w:rFonts w:hint="cs"/>
          <w:rtl/>
        </w:rPr>
        <w:t>ارتباط‌دهی</w:t>
      </w:r>
      <w:r w:rsidRPr="0025250D">
        <w:rPr>
          <w:rFonts w:hint="cs"/>
          <w:rtl/>
        </w:rPr>
        <w:t xml:space="preserve"> همچنین شامل روابط غیر بازاریابی شرکت با ذینفعان خارجی خود می‌شود، همان چیزی که ممکن است ما مدیریت مشکلات یا عملکرد تصویری، شامل ارتباطات، روابط عمومی و مسئولیت اجتماعی شرکتی</w:t>
      </w:r>
      <w:r w:rsidR="00FB35B8" w:rsidRPr="0025250D">
        <w:rPr>
          <w:rFonts w:hint="cs"/>
          <w:rtl/>
        </w:rPr>
        <w:t xml:space="preserve"> </w:t>
      </w:r>
      <w:r w:rsidRPr="0025250D">
        <w:rPr>
          <w:rFonts w:hint="cs"/>
          <w:rtl/>
        </w:rPr>
        <w:t>بنامیم. شورای مدیریت مسائل</w:t>
      </w:r>
      <w:r w:rsidRPr="0025250D">
        <w:rPr>
          <w:vertAlign w:val="superscript"/>
          <w:rtl/>
        </w:rPr>
        <w:footnoteReference w:id="2379"/>
      </w:r>
      <w:r w:rsidRPr="0025250D">
        <w:rPr>
          <w:rFonts w:hint="cs"/>
          <w:rtl/>
        </w:rPr>
        <w:t xml:space="preserve"> یک انجمن تخصصی برای مدیریت مسائل و مشکلات است، جایی که مسائل در آن به عنوان یک خلأ میان اقدامات سازمانی و انتظارات ذینفعان تعریف می‌شوند. برخی ممکن است معتقد باشند که مدیریت عملکرد تحت مهارت اجرا جایگاه بهتری دارد، اما چنین کاری به نظر توجه کافی به نقش پرورش و پایداری روابط در سازمان‌ها ندارد. مدیریت عملکرد در قلب مهارت </w:t>
      </w:r>
      <w:r w:rsidR="0008779C" w:rsidRPr="0025250D">
        <w:rPr>
          <w:rFonts w:hint="cs"/>
          <w:rtl/>
        </w:rPr>
        <w:t>ارتباط‌دهی</w:t>
      </w:r>
      <w:r w:rsidRPr="0025250D">
        <w:rPr>
          <w:rFonts w:hint="cs"/>
          <w:rtl/>
        </w:rPr>
        <w:t xml:space="preserve"> قرار دارد.</w:t>
      </w:r>
    </w:p>
    <w:p w14:paraId="171F5070" w14:textId="4D8C0945" w:rsidR="00537CC8" w:rsidRPr="0025250D" w:rsidRDefault="00537CC8" w:rsidP="00537CC8">
      <w:pPr>
        <w:rPr>
          <w:rtl/>
        </w:rPr>
      </w:pPr>
      <w:r w:rsidRPr="0025250D">
        <w:rPr>
          <w:rFonts w:hint="cs"/>
          <w:rtl/>
        </w:rPr>
        <w:t xml:space="preserve">در زندگی انسان، روابط همواره در اولویت </w:t>
      </w:r>
      <w:r w:rsidR="00B124DE" w:rsidRPr="0025250D">
        <w:rPr>
          <w:rFonts w:hint="cs"/>
          <w:rtl/>
        </w:rPr>
        <w:t>بوده‌اند</w:t>
      </w:r>
      <w:r w:rsidRPr="0025250D">
        <w:rPr>
          <w:rFonts w:hint="cs"/>
          <w:rtl/>
        </w:rPr>
        <w:t xml:space="preserve">، چه رهبران این حقیقت را بپذیرند و چه </w:t>
      </w:r>
      <w:r w:rsidR="00B22621" w:rsidRPr="0025250D">
        <w:rPr>
          <w:rFonts w:hint="cs"/>
          <w:rtl/>
        </w:rPr>
        <w:t>نپذیرند</w:t>
      </w:r>
      <w:r w:rsidRPr="0025250D">
        <w:rPr>
          <w:rFonts w:hint="cs"/>
          <w:rtl/>
        </w:rPr>
        <w:t xml:space="preserve">. کیفیت روابط نه تنها برای عملکرد تیم نقش محوری دارد، بلکه به‌شدت تعیین </w:t>
      </w:r>
      <w:r w:rsidR="00923DDB" w:rsidRPr="0025250D">
        <w:rPr>
          <w:rFonts w:hint="cs"/>
          <w:rtl/>
        </w:rPr>
        <w:t>کننده‌</w:t>
      </w:r>
      <w:r w:rsidR="00B22621" w:rsidRPr="0025250D">
        <w:rPr>
          <w:rFonts w:hint="cs"/>
          <w:rtl/>
        </w:rPr>
        <w:t xml:space="preserve"> </w:t>
      </w:r>
      <w:r w:rsidR="00923DDB" w:rsidRPr="0025250D">
        <w:rPr>
          <w:rFonts w:hint="cs"/>
          <w:rtl/>
        </w:rPr>
        <w:t>ای</w:t>
      </w:r>
      <w:r w:rsidRPr="0025250D">
        <w:rPr>
          <w:rFonts w:hint="cs"/>
          <w:rtl/>
        </w:rPr>
        <w:t xml:space="preserve">ن </w:t>
      </w:r>
      <w:r w:rsidR="00B22621" w:rsidRPr="0025250D">
        <w:rPr>
          <w:rFonts w:hint="cs"/>
          <w:rtl/>
        </w:rPr>
        <w:t>است</w:t>
      </w:r>
      <w:r w:rsidRPr="0025250D">
        <w:rPr>
          <w:rFonts w:hint="cs"/>
          <w:rtl/>
        </w:rPr>
        <w:t xml:space="preserve"> که چگونه تیم و شرکت از بیرون شناخته و درک می‌شوند</w:t>
      </w:r>
      <w:r w:rsidR="008D6F97" w:rsidRPr="0025250D">
        <w:rPr>
          <w:rtl/>
        </w:rPr>
        <w:t xml:space="preserve">؛ </w:t>
      </w:r>
      <w:r w:rsidRPr="0025250D">
        <w:rPr>
          <w:rFonts w:hint="cs"/>
          <w:rtl/>
        </w:rPr>
        <w:t xml:space="preserve">بنابراین ایجاد و حفظ روابط مهم‌ترین مهارت عملکردی انسان است. رهبران </w:t>
      </w:r>
      <w:r w:rsidR="00B22621" w:rsidRPr="0025250D">
        <w:rPr>
          <w:rFonts w:hint="cs"/>
          <w:rtl/>
        </w:rPr>
        <w:t>ممکن است</w:t>
      </w:r>
      <w:r w:rsidRPr="0025250D">
        <w:rPr>
          <w:rFonts w:hint="cs"/>
          <w:rtl/>
        </w:rPr>
        <w:t xml:space="preserve"> این امر را فراموش کنند</w:t>
      </w:r>
      <w:r w:rsidR="00B22621" w:rsidRPr="0025250D">
        <w:rPr>
          <w:rFonts w:hint="cs"/>
          <w:rtl/>
        </w:rPr>
        <w:t>.</w:t>
      </w:r>
      <w:r w:rsidRPr="0025250D">
        <w:rPr>
          <w:rFonts w:hint="cs"/>
          <w:rtl/>
        </w:rPr>
        <w:t xml:space="preserve"> منابع انسانی به صورت سنتی یکی از واحد‌هایی بوده که </w:t>
      </w:r>
      <w:r w:rsidR="00B22621" w:rsidRPr="0025250D">
        <w:rPr>
          <w:rFonts w:hint="cs"/>
          <w:rtl/>
        </w:rPr>
        <w:t xml:space="preserve">رهبران </w:t>
      </w:r>
      <w:r w:rsidRPr="0025250D">
        <w:rPr>
          <w:rFonts w:hint="cs"/>
          <w:rtl/>
        </w:rPr>
        <w:t xml:space="preserve">کم‌ترین ارزش </w:t>
      </w:r>
      <w:r w:rsidR="00B22621" w:rsidRPr="0025250D">
        <w:rPr>
          <w:rFonts w:hint="cs"/>
          <w:rtl/>
        </w:rPr>
        <w:t xml:space="preserve">را </w:t>
      </w:r>
      <w:r w:rsidRPr="0025250D">
        <w:rPr>
          <w:rFonts w:hint="cs"/>
          <w:rtl/>
        </w:rPr>
        <w:t xml:space="preserve">در شرکت برای آن </w:t>
      </w:r>
      <w:r w:rsidR="00B22621" w:rsidRPr="0025250D">
        <w:rPr>
          <w:rFonts w:hint="cs"/>
          <w:rtl/>
        </w:rPr>
        <w:t>م</w:t>
      </w:r>
      <w:r w:rsidRPr="0025250D">
        <w:rPr>
          <w:rFonts w:hint="cs"/>
          <w:rtl/>
        </w:rPr>
        <w:t xml:space="preserve">تصور </w:t>
      </w:r>
      <w:r w:rsidR="00B22621" w:rsidRPr="0025250D">
        <w:rPr>
          <w:rFonts w:hint="cs"/>
          <w:rtl/>
        </w:rPr>
        <w:t>بوده‌اند</w:t>
      </w:r>
      <w:r w:rsidR="008D6F97" w:rsidRPr="0025250D">
        <w:rPr>
          <w:rtl/>
        </w:rPr>
        <w:t xml:space="preserve">؛ </w:t>
      </w:r>
      <w:r w:rsidRPr="0025250D">
        <w:rPr>
          <w:rFonts w:hint="cs"/>
          <w:rtl/>
        </w:rPr>
        <w:t>اما شعارمان را به یاد داشته باشید: اول افراد!</w:t>
      </w:r>
    </w:p>
    <w:p w14:paraId="275D8F89" w14:textId="104C85F1" w:rsidR="00537CC8" w:rsidRPr="0025250D" w:rsidRDefault="00537CC8" w:rsidP="00537CC8">
      <w:pPr>
        <w:rPr>
          <w:rtl/>
        </w:rPr>
      </w:pPr>
      <w:r w:rsidRPr="0025250D">
        <w:rPr>
          <w:rFonts w:hint="cs"/>
          <w:rtl/>
        </w:rPr>
        <w:t>جامعه مدیریت منابع انسانی</w:t>
      </w:r>
      <w:r w:rsidRPr="0025250D">
        <w:rPr>
          <w:vertAlign w:val="superscript"/>
          <w:rtl/>
        </w:rPr>
        <w:footnoteReference w:id="2380"/>
      </w:r>
      <w:r w:rsidRPr="0025250D">
        <w:rPr>
          <w:rFonts w:hint="cs"/>
          <w:rtl/>
        </w:rPr>
        <w:t xml:space="preserve"> (</w:t>
      </w:r>
      <w:r w:rsidRPr="0025250D">
        <w:t>SHRM</w:t>
      </w:r>
      <w:r w:rsidRPr="0025250D">
        <w:rPr>
          <w:rFonts w:hint="cs"/>
          <w:rtl/>
        </w:rPr>
        <w:t>) جامعه فعالان برتر در این تخصص است. این جامعه گواهینامه‌هایی شامل گواهینامه متخصص منابع انسان</w:t>
      </w:r>
      <w:r w:rsidR="00B22621" w:rsidRPr="0025250D">
        <w:rPr>
          <w:rFonts w:hint="cs"/>
          <w:rtl/>
        </w:rPr>
        <w:t>ی</w:t>
      </w:r>
      <w:r w:rsidRPr="0025250D">
        <w:rPr>
          <w:rFonts w:hint="cs"/>
          <w:rtl/>
        </w:rPr>
        <w:t xml:space="preserve"> که می‌تواند به هر متخصص </w:t>
      </w:r>
      <w:r w:rsidRPr="0025250D">
        <w:rPr>
          <w:rtl/>
        </w:rPr>
        <w:t>آینده‌نگاری</w:t>
      </w:r>
      <w:r w:rsidRPr="0025250D">
        <w:rPr>
          <w:rFonts w:hint="cs"/>
          <w:rtl/>
        </w:rPr>
        <w:t xml:space="preserve"> برای کار در جهت حداکثر سازی تأثیر خود در این مهارت کمک کند، ارائه می‌دهد. کتاب</w:t>
      </w:r>
      <w:r w:rsidR="00E402E3" w:rsidRPr="0025250D">
        <w:rPr>
          <w:rFonts w:hint="cs"/>
          <w:rtl/>
        </w:rPr>
        <w:t xml:space="preserve"> </w:t>
      </w:r>
      <w:r w:rsidRPr="0025250D">
        <w:rPr>
          <w:vertAlign w:val="superscript"/>
        </w:rPr>
        <w:footnoteReference w:id="2381"/>
      </w:r>
      <w:r w:rsidRPr="0025250D">
        <w:t>PHR/SPHR</w:t>
      </w:r>
      <w:r w:rsidRPr="0025250D">
        <w:rPr>
          <w:rFonts w:hint="cs"/>
          <w:rtl/>
        </w:rPr>
        <w:t xml:space="preserve"> اثر </w:t>
      </w:r>
      <w:r w:rsidRPr="0025250D">
        <w:rPr>
          <w:rtl/>
        </w:rPr>
        <w:t>ر</w:t>
      </w:r>
      <w:r w:rsidRPr="0025250D">
        <w:rPr>
          <w:rFonts w:hint="cs"/>
          <w:rtl/>
        </w:rPr>
        <w:t>ی</w:t>
      </w:r>
      <w:r w:rsidRPr="0025250D">
        <w:rPr>
          <w:rFonts w:hint="eastAsia"/>
          <w:rtl/>
        </w:rPr>
        <w:t>د</w:t>
      </w:r>
      <w:r w:rsidRPr="0025250D">
        <w:rPr>
          <w:rtl/>
        </w:rPr>
        <w:t xml:space="preserve"> و بوگاردوس</w:t>
      </w:r>
      <w:r w:rsidRPr="0025250D">
        <w:rPr>
          <w:vertAlign w:val="superscript"/>
          <w:rtl/>
        </w:rPr>
        <w:footnoteReference w:id="2382"/>
      </w:r>
      <w:r w:rsidRPr="0025250D">
        <w:rPr>
          <w:rFonts w:hint="cs"/>
          <w:rtl/>
        </w:rPr>
        <w:t xml:space="preserve"> در سال 2012 یک راهنمای مطالعاتی برای این گواهینامه هاست. </w:t>
      </w:r>
      <w:r w:rsidRPr="0025250D">
        <w:t>SHRM</w:t>
      </w:r>
      <w:r w:rsidRPr="0025250D">
        <w:rPr>
          <w:rFonts w:hint="cs"/>
          <w:rtl/>
        </w:rPr>
        <w:t xml:space="preserve"> نیز </w:t>
      </w:r>
      <w:r w:rsidR="00D92F6E" w:rsidRPr="0025250D">
        <w:rPr>
          <w:rFonts w:hint="cs"/>
          <w:rtl/>
        </w:rPr>
        <w:t>آماده‌سازی</w:t>
      </w:r>
      <w:r w:rsidRPr="0025250D">
        <w:rPr>
          <w:rFonts w:hint="cs"/>
          <w:rtl/>
        </w:rPr>
        <w:t xml:space="preserve"> خود را ارائه می‌دهد.</w:t>
      </w:r>
    </w:p>
    <w:p w14:paraId="4B58531C" w14:textId="77777777" w:rsidR="00537CC8" w:rsidRPr="0025250D" w:rsidRDefault="00537CC8" w:rsidP="00D53F87">
      <w:pPr>
        <w:jc w:val="center"/>
        <w:rPr>
          <w:rtl/>
        </w:rPr>
      </w:pPr>
      <w:r w:rsidRPr="0025250D">
        <w:rPr>
          <w:noProof/>
          <w:rtl/>
          <w:lang w:bidi="ar-SA"/>
        </w:rPr>
        <w:drawing>
          <wp:inline distT="0" distB="0" distL="0" distR="0" wp14:anchorId="0B057970" wp14:editId="36107F27">
            <wp:extent cx="2575560" cy="1660773"/>
            <wp:effectExtent l="0" t="0" r="0" b="0"/>
            <wp:docPr id="136" name="Picture 136" descr="D:\کار\مستقل\3 ( ترجمه ی دانشگاه تهران  )\Introduction to Foresight\part6\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6\34.png"/>
                    <pic:cNvPicPr>
                      <a:picLocks noChangeAspect="1" noChangeArrowheads="1"/>
                    </pic:cNvPicPr>
                  </pic:nvPicPr>
                  <pic:blipFill>
                    <a:blip r:embed="rId218" cstate="screen">
                      <a:extLst>
                        <a:ext uri="{BEBA8EAE-BF5A-486C-A8C5-ECC9F3942E4B}">
                          <a14:imgProps xmlns:a14="http://schemas.microsoft.com/office/drawing/2010/main">
                            <a14:imgLayer r:embed="rId219">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2585482" cy="1667171"/>
                    </a:xfrm>
                    <a:prstGeom prst="rect">
                      <a:avLst/>
                    </a:prstGeom>
                    <a:noFill/>
                    <a:ln>
                      <a:noFill/>
                    </a:ln>
                  </pic:spPr>
                </pic:pic>
              </a:graphicData>
            </a:graphic>
          </wp:inline>
        </w:drawing>
      </w:r>
    </w:p>
    <w:p w14:paraId="167938EF" w14:textId="4E42EC5A" w:rsidR="00537CC8" w:rsidRPr="0025250D" w:rsidRDefault="00537CC8" w:rsidP="00537CC8">
      <w:pPr>
        <w:rPr>
          <w:rtl/>
        </w:rPr>
      </w:pPr>
      <w:r w:rsidRPr="0025250D">
        <w:rPr>
          <w:rFonts w:hint="cs"/>
          <w:rtl/>
        </w:rPr>
        <w:t xml:space="preserve">در همه روابط، همچنین تفکر ساده درمورد نظریه بازی، موضوعی که همچنین با </w:t>
      </w:r>
      <w:r w:rsidR="00701E03" w:rsidRPr="0025250D">
        <w:rPr>
          <w:rFonts w:hint="cs"/>
          <w:rtl/>
        </w:rPr>
        <w:t>راهبرد</w:t>
      </w:r>
      <w:r w:rsidRPr="0025250D">
        <w:rPr>
          <w:rFonts w:hint="cs"/>
          <w:rtl/>
        </w:rPr>
        <w:t xml:space="preserve"> مرتبط است، می‌تواند ارزشمند باشد. بهترین روابط به دنبال ایجاد تعاملات مجموع مثبت</w:t>
      </w:r>
      <w:r w:rsidRPr="0025250D">
        <w:rPr>
          <w:vertAlign w:val="superscript"/>
          <w:rtl/>
        </w:rPr>
        <w:footnoteReference w:id="2383"/>
      </w:r>
      <w:r w:rsidRPr="0025250D">
        <w:rPr>
          <w:rFonts w:hint="cs"/>
          <w:rtl/>
        </w:rPr>
        <w:t xml:space="preserve"> (برد-برد) و حداقل سازی مجموع صفر</w:t>
      </w:r>
      <w:r w:rsidRPr="0025250D">
        <w:rPr>
          <w:vertAlign w:val="superscript"/>
          <w:rtl/>
        </w:rPr>
        <w:footnoteReference w:id="2384"/>
      </w:r>
      <w:r w:rsidRPr="0025250D">
        <w:rPr>
          <w:rFonts w:hint="cs"/>
          <w:rtl/>
        </w:rPr>
        <w:t xml:space="preserve"> (برد-باخت، خصمانه) در میان همه افراد موجود در گروه هستند. کتاب غیر صفر</w:t>
      </w:r>
      <w:r w:rsidRPr="0025250D">
        <w:rPr>
          <w:vertAlign w:val="superscript"/>
          <w:rtl/>
        </w:rPr>
        <w:footnoteReference w:id="2385"/>
      </w:r>
      <w:r w:rsidRPr="0025250D">
        <w:rPr>
          <w:rFonts w:hint="cs"/>
          <w:rtl/>
        </w:rPr>
        <w:t xml:space="preserve"> اثر </w:t>
      </w:r>
      <w:r w:rsidRPr="0025250D">
        <w:rPr>
          <w:rtl/>
        </w:rPr>
        <w:t>رابرت را</w:t>
      </w:r>
      <w:r w:rsidRPr="0025250D">
        <w:rPr>
          <w:rFonts w:hint="cs"/>
          <w:rtl/>
        </w:rPr>
        <w:t>ی</w:t>
      </w:r>
      <w:r w:rsidRPr="0025250D">
        <w:rPr>
          <w:rFonts w:hint="eastAsia"/>
          <w:rtl/>
        </w:rPr>
        <w:t>ت</w:t>
      </w:r>
      <w:r w:rsidRPr="0025250D">
        <w:rPr>
          <w:vertAlign w:val="superscript"/>
          <w:rtl/>
        </w:rPr>
        <w:footnoteReference w:id="2386"/>
      </w:r>
      <w:r w:rsidRPr="0025250D">
        <w:rPr>
          <w:rFonts w:hint="cs"/>
          <w:rtl/>
        </w:rPr>
        <w:t xml:space="preserve"> در سال 2000 مقدمه تصویر کلان برای بازی‌های مجموع مثبت در طول تاریخ بشر</w:t>
      </w:r>
      <w:r w:rsidR="00B22621" w:rsidRPr="0025250D">
        <w:rPr>
          <w:rFonts w:hint="cs"/>
          <w:rtl/>
        </w:rPr>
        <w:t xml:space="preserve"> را</w:t>
      </w:r>
      <w:r w:rsidRPr="0025250D">
        <w:rPr>
          <w:rFonts w:hint="cs"/>
          <w:rtl/>
        </w:rPr>
        <w:t xml:space="preserve"> ارائه می‌دهد. </w:t>
      </w:r>
      <w:r w:rsidRPr="0025250D">
        <w:rPr>
          <w:rtl/>
        </w:rPr>
        <w:t>را</w:t>
      </w:r>
      <w:r w:rsidRPr="0025250D">
        <w:rPr>
          <w:rFonts w:hint="cs"/>
          <w:rtl/>
        </w:rPr>
        <w:t>ی</w:t>
      </w:r>
      <w:r w:rsidRPr="0025250D">
        <w:rPr>
          <w:rFonts w:hint="eastAsia"/>
          <w:rtl/>
        </w:rPr>
        <w:t>ت</w:t>
      </w:r>
      <w:r w:rsidRPr="0025250D">
        <w:rPr>
          <w:rFonts w:hint="cs"/>
          <w:rtl/>
        </w:rPr>
        <w:t xml:space="preserve"> اشاره دارد که همه بازی‌های اجتماعی مانند اخلاق فردی و گروهی،</w:t>
      </w:r>
      <w:r w:rsidR="00B0171C" w:rsidRPr="0025250D">
        <w:rPr>
          <w:rFonts w:hint="cs"/>
          <w:rtl/>
        </w:rPr>
        <w:t xml:space="preserve"> سرمایه‌دار</w:t>
      </w:r>
      <w:r w:rsidRPr="0025250D">
        <w:rPr>
          <w:rFonts w:hint="cs"/>
          <w:rtl/>
        </w:rPr>
        <w:t xml:space="preserve">ی و </w:t>
      </w:r>
      <w:r w:rsidR="00EE4B64" w:rsidRPr="0025250D">
        <w:rPr>
          <w:rFonts w:hint="cs"/>
          <w:rtl/>
        </w:rPr>
        <w:t>مردم‌سالار</w:t>
      </w:r>
      <w:r w:rsidRPr="0025250D">
        <w:rPr>
          <w:rFonts w:hint="cs"/>
          <w:rtl/>
        </w:rPr>
        <w:t xml:space="preserve">ی، به دنبال ساختاربندی هماهنگی و رقابت به شکل‌هایی </w:t>
      </w:r>
      <w:r w:rsidR="00B22621" w:rsidRPr="0025250D">
        <w:rPr>
          <w:rFonts w:hint="cs"/>
          <w:rtl/>
        </w:rPr>
        <w:t xml:space="preserve">می‌باشند </w:t>
      </w:r>
      <w:r w:rsidRPr="0025250D">
        <w:rPr>
          <w:rFonts w:hint="cs"/>
          <w:rtl/>
        </w:rPr>
        <w:t>که نتایج مثبت رو به رشد و قابل اندازه گیری برای گروه ایجاد کنند.</w:t>
      </w:r>
    </w:p>
    <w:p w14:paraId="4389E18C" w14:textId="55C3DA9C" w:rsidR="00537CC8" w:rsidRPr="0025250D" w:rsidRDefault="00537CC8" w:rsidP="00537CC8">
      <w:pPr>
        <w:rPr>
          <w:rtl/>
        </w:rPr>
      </w:pPr>
      <w:r w:rsidRPr="0025250D">
        <w:rPr>
          <w:rFonts w:hint="cs"/>
          <w:rtl/>
        </w:rPr>
        <w:t>رقابت منصفانه با مشوق‌ها می‌تواند به‌شدت برای هر گروهی انرژی بخش باشد</w:t>
      </w:r>
      <w:r w:rsidR="008D6F97" w:rsidRPr="0025250D">
        <w:rPr>
          <w:rtl/>
        </w:rPr>
        <w:t xml:space="preserve">؛ </w:t>
      </w:r>
      <w:r w:rsidR="0020589F" w:rsidRPr="0025250D">
        <w:rPr>
          <w:rtl/>
        </w:rPr>
        <w:t>اما</w:t>
      </w:r>
      <w:r w:rsidRPr="0025250D">
        <w:rPr>
          <w:rFonts w:hint="cs"/>
          <w:rtl/>
        </w:rPr>
        <w:t xml:space="preserve"> هیچ چیزی سریع‌تر از قوانین، سیاست‌ها یا فرمان‌هایی که به طور گسترده مستبدانه یا ناعادلانه دانسته شوند، عملکرد یک تیم را نابود نمی‌کند. رهبران باید دائما سیاست‌ها و مشوق‌های خود را برای عادلانه بودن، شفافیت و فراگیری در فرایند‌ها و در مرکز و کانون نگهداشتن رابطه مدیر-کارمند تنظیم کنند. ما باید به صورت </w:t>
      </w:r>
      <w:r w:rsidR="00E402E3" w:rsidRPr="0025250D">
        <w:rPr>
          <w:rtl/>
        </w:rPr>
        <w:t>«</w:t>
      </w:r>
      <w:r w:rsidRPr="0025250D">
        <w:rPr>
          <w:rFonts w:hint="cs"/>
          <w:rtl/>
        </w:rPr>
        <w:t>اول افراد</w:t>
      </w:r>
      <w:r w:rsidRPr="0025250D">
        <w:rPr>
          <w:vertAlign w:val="superscript"/>
          <w:rtl/>
        </w:rPr>
        <w:footnoteReference w:id="2387"/>
      </w:r>
      <w:r w:rsidR="00E402E3" w:rsidRPr="0025250D">
        <w:rPr>
          <w:rtl/>
        </w:rPr>
        <w:t>»</w:t>
      </w:r>
      <w:r w:rsidRPr="0025250D">
        <w:rPr>
          <w:rFonts w:hint="cs"/>
          <w:rtl/>
        </w:rPr>
        <w:t xml:space="preserve"> عمل کنیم، حتی بالا‌تر از قوانین که لایق اصلاح دائمی و خم کردن یا شکستن دوره‌ای هستند. بازی بزرگ </w:t>
      </w:r>
      <w:r w:rsidR="00B124DE" w:rsidRPr="0025250D">
        <w:rPr>
          <w:rFonts w:hint="cs"/>
          <w:rtl/>
        </w:rPr>
        <w:t>کسب‌و‌کار</w:t>
      </w:r>
      <w:r w:rsidRPr="0025250D">
        <w:rPr>
          <w:vertAlign w:val="superscript"/>
          <w:rtl/>
        </w:rPr>
        <w:footnoteReference w:id="2388"/>
      </w:r>
      <w:r w:rsidRPr="0025250D">
        <w:rPr>
          <w:rFonts w:hint="cs"/>
          <w:rtl/>
        </w:rPr>
        <w:t xml:space="preserve"> اثر </w:t>
      </w:r>
      <w:r w:rsidRPr="0025250D">
        <w:rPr>
          <w:rtl/>
        </w:rPr>
        <w:t>جک استک</w:t>
      </w:r>
      <w:r w:rsidRPr="0025250D">
        <w:rPr>
          <w:vertAlign w:val="superscript"/>
          <w:rtl/>
        </w:rPr>
        <w:footnoteReference w:id="2389"/>
      </w:r>
      <w:r w:rsidRPr="0025250D">
        <w:rPr>
          <w:rFonts w:hint="cs"/>
          <w:rtl/>
        </w:rPr>
        <w:t xml:space="preserve"> در سال 2013 نیز بر این دیدگاه تأکید دارد. این یک مقدمه عالی هم درمورد مدیریت </w:t>
      </w:r>
      <w:r w:rsidR="00DF21BF" w:rsidRPr="0025250D">
        <w:rPr>
          <w:rFonts w:hint="cs"/>
          <w:rtl/>
        </w:rPr>
        <w:t>حساب باز</w:t>
      </w:r>
      <w:r w:rsidRPr="0025250D">
        <w:rPr>
          <w:rFonts w:hint="cs"/>
          <w:rtl/>
        </w:rPr>
        <w:t xml:space="preserve"> و هم فرایند بازبینی باز دائمی می‌باشد (</w:t>
      </w:r>
      <w:r w:rsidR="00E402E3" w:rsidRPr="0025250D">
        <w:rPr>
          <w:rtl/>
        </w:rPr>
        <w:t>مهارت 8</w:t>
      </w:r>
      <w:r w:rsidRPr="0025250D">
        <w:rPr>
          <w:rFonts w:hint="cs"/>
          <w:rtl/>
        </w:rPr>
        <w:t>).</w:t>
      </w:r>
    </w:p>
    <w:p w14:paraId="1B9E7E98" w14:textId="0F06EEC2" w:rsidR="00537CC8" w:rsidRPr="0025250D" w:rsidRDefault="00537CC8" w:rsidP="00537CC8">
      <w:pPr>
        <w:rPr>
          <w:rtl/>
        </w:rPr>
      </w:pPr>
      <w:r w:rsidRPr="0025250D">
        <w:rPr>
          <w:rFonts w:hint="cs"/>
          <w:rtl/>
        </w:rPr>
        <w:t xml:space="preserve">مدیریت عملکرد یک تخصص منابع انسانی و توسعه سازمانی است که بر عملکرد شرکت، تیم و کارمندان تمرکز دارد. مؤسسه </w:t>
      </w:r>
      <w:r w:rsidRPr="0025250D">
        <w:t>KPI</w:t>
      </w:r>
      <w:r w:rsidRPr="0025250D">
        <w:rPr>
          <w:rFonts w:hint="cs"/>
          <w:rtl/>
        </w:rPr>
        <w:t xml:space="preserve"> (</w:t>
      </w:r>
      <w:r w:rsidRPr="0025250D">
        <w:t>KPII</w:t>
      </w:r>
      <w:r w:rsidRPr="0025250D">
        <w:rPr>
          <w:rFonts w:hint="cs"/>
          <w:rtl/>
        </w:rPr>
        <w:t>) یک جامعه فعال برجسته است. آن‌ها گواهینامه‌هایی در بسیاری از فعالیت‌های مدیریتی، از جمله محک زنی (بهترین روش ها)، نشانگرهای کلیدی عملکردی</w:t>
      </w:r>
      <w:r w:rsidRPr="0025250D">
        <w:rPr>
          <w:vertAlign w:val="superscript"/>
          <w:rtl/>
        </w:rPr>
        <w:footnoteReference w:id="2390"/>
      </w:r>
      <w:r w:rsidRPr="0025250D">
        <w:rPr>
          <w:rFonts w:hint="cs"/>
          <w:rtl/>
        </w:rPr>
        <w:t xml:space="preserve"> (</w:t>
      </w:r>
      <w:r w:rsidRPr="0025250D">
        <w:t>KPI</w:t>
      </w:r>
      <w:r w:rsidRPr="0025250D">
        <w:rPr>
          <w:rFonts w:hint="cs"/>
          <w:rtl/>
        </w:rPr>
        <w:t xml:space="preserve"> ها)، زیرمجموعه‌ای از محک زنی متمرکز بر عملکرد شرکت و اهداف و نتایج کلیدی</w:t>
      </w:r>
      <w:r w:rsidRPr="0025250D">
        <w:rPr>
          <w:vertAlign w:val="superscript"/>
          <w:rtl/>
        </w:rPr>
        <w:footnoteReference w:id="2391"/>
      </w:r>
      <w:r w:rsidRPr="0025250D">
        <w:rPr>
          <w:rFonts w:hint="cs"/>
          <w:rtl/>
        </w:rPr>
        <w:t xml:space="preserve"> (</w:t>
      </w:r>
      <w:r w:rsidRPr="0025250D">
        <w:t>OKR</w:t>
      </w:r>
      <w:r w:rsidRPr="0025250D">
        <w:rPr>
          <w:rFonts w:hint="cs"/>
          <w:rtl/>
        </w:rPr>
        <w:t xml:space="preserve"> ها) که کارمندان را قادر به تنظیم اهداف عملکردی خود، به شکلی پایین به بالا و کمک به یکدیگر برای دست یابی به آن اهداف می‌سازند، ارائه می‌دهند. همچنین کتاب خوبی درمورد فعالیت‌های عملیات مردمی گوگل، به نام قوانین کاری</w:t>
      </w:r>
      <w:r w:rsidRPr="0025250D">
        <w:rPr>
          <w:vertAlign w:val="superscript"/>
          <w:rtl/>
        </w:rPr>
        <w:footnoteReference w:id="2392"/>
      </w:r>
      <w:r w:rsidRPr="0025250D">
        <w:rPr>
          <w:rFonts w:hint="cs"/>
          <w:rtl/>
        </w:rPr>
        <w:t xml:space="preserve"> اثر </w:t>
      </w:r>
      <w:r w:rsidRPr="0025250D">
        <w:rPr>
          <w:rtl/>
        </w:rPr>
        <w:t>لازلو بوک</w:t>
      </w:r>
      <w:r w:rsidRPr="0025250D">
        <w:rPr>
          <w:vertAlign w:val="superscript"/>
          <w:rtl/>
        </w:rPr>
        <w:footnoteReference w:id="2393"/>
      </w:r>
      <w:r w:rsidRPr="0025250D">
        <w:rPr>
          <w:rFonts w:hint="cs"/>
          <w:rtl/>
        </w:rPr>
        <w:t xml:space="preserve"> در سال 2015 که محک زنی، </w:t>
      </w:r>
      <w:r w:rsidRPr="0025250D">
        <w:t>KPI</w:t>
      </w:r>
      <w:r w:rsidRPr="0025250D">
        <w:rPr>
          <w:rFonts w:hint="cs"/>
          <w:rtl/>
        </w:rPr>
        <w:t xml:space="preserve">‌ها و </w:t>
      </w:r>
      <w:r w:rsidRPr="0025250D">
        <w:t>OKR</w:t>
      </w:r>
      <w:r w:rsidRPr="0025250D">
        <w:rPr>
          <w:rFonts w:hint="cs"/>
          <w:rtl/>
        </w:rPr>
        <w:t xml:space="preserve">‌های شفاف داخلی را برای هر کارمند توصیف می‌کند، پیشنهاد می‌کنیم. دانستن اهداف هر کس می‌تواند </w:t>
      </w:r>
      <w:r w:rsidR="004D2906" w:rsidRPr="0025250D">
        <w:rPr>
          <w:rFonts w:hint="cs"/>
          <w:rtl/>
        </w:rPr>
        <w:t>به نقش آفرینی</w:t>
      </w:r>
      <w:r w:rsidRPr="0025250D">
        <w:rPr>
          <w:rFonts w:hint="cs"/>
          <w:rtl/>
        </w:rPr>
        <w:t xml:space="preserve"> مفید‌تر </w:t>
      </w:r>
      <w:r w:rsidR="004D2906" w:rsidRPr="0025250D">
        <w:rPr>
          <w:rFonts w:hint="cs"/>
          <w:rtl/>
        </w:rPr>
        <w:t xml:space="preserve">او </w:t>
      </w:r>
      <w:r w:rsidRPr="0025250D">
        <w:rPr>
          <w:rFonts w:hint="cs"/>
          <w:rtl/>
        </w:rPr>
        <w:t>کمک کند.</w:t>
      </w:r>
    </w:p>
    <w:p w14:paraId="2A6B52AE" w14:textId="195AFEC0" w:rsidR="00537CC8" w:rsidRPr="0025250D" w:rsidRDefault="007118DE" w:rsidP="00537CC8">
      <w:pPr>
        <w:rPr>
          <w:rtl/>
        </w:rPr>
      </w:pPr>
      <w:r w:rsidRPr="0025250D">
        <w:rPr>
          <w:rFonts w:hint="cs"/>
          <w:rtl/>
        </w:rPr>
        <w:t>همان‌طور</w:t>
      </w:r>
      <w:r w:rsidR="00537CC8" w:rsidRPr="0025250D">
        <w:rPr>
          <w:rFonts w:hint="cs"/>
          <w:rtl/>
        </w:rPr>
        <w:t xml:space="preserve"> که گفتیم، کتاب‌های </w:t>
      </w:r>
      <w:r w:rsidR="00537CC8" w:rsidRPr="0025250D">
        <w:rPr>
          <w:rtl/>
        </w:rPr>
        <w:t>استفان کاو</w:t>
      </w:r>
      <w:r w:rsidR="00537CC8" w:rsidRPr="0025250D">
        <w:rPr>
          <w:rFonts w:hint="cs"/>
          <w:rtl/>
        </w:rPr>
        <w:t>ی</w:t>
      </w:r>
      <w:r w:rsidR="00537CC8" w:rsidRPr="0025250D">
        <w:rPr>
          <w:vertAlign w:val="superscript"/>
          <w:rtl/>
        </w:rPr>
        <w:footnoteReference w:id="2394"/>
      </w:r>
      <w:r w:rsidR="00537CC8" w:rsidRPr="0025250D">
        <w:rPr>
          <w:rFonts w:hint="cs"/>
          <w:rtl/>
        </w:rPr>
        <w:t xml:space="preserve"> نیز برخی از همیشگی‌ترین و در دسترس‌ترین کتاب‌هایی هستند که در توسعه عمومی حرفه‌ای می‌شناسیم. آن‌ها مشخصا در ساخت روابط قدرتمند هستند. تقریبا نیمی (چهار مورد) از 9 عادت محل کار کلیدی که </w:t>
      </w:r>
      <w:r w:rsidR="00537CC8" w:rsidRPr="0025250D">
        <w:rPr>
          <w:rtl/>
        </w:rPr>
        <w:t>کاو</w:t>
      </w:r>
      <w:r w:rsidR="00537CC8" w:rsidRPr="0025250D">
        <w:rPr>
          <w:rFonts w:hint="cs"/>
          <w:rtl/>
        </w:rPr>
        <w:t>ی در کتاب هفت عادت افراد به‌شدت تأثیر گذار</w:t>
      </w:r>
      <w:r w:rsidR="00537CC8" w:rsidRPr="0025250D">
        <w:rPr>
          <w:vertAlign w:val="superscript"/>
          <w:rtl/>
        </w:rPr>
        <w:footnoteReference w:id="2395"/>
      </w:r>
      <w:r w:rsidR="00537CC8" w:rsidRPr="0025250D">
        <w:rPr>
          <w:rFonts w:hint="cs"/>
          <w:rtl/>
        </w:rPr>
        <w:t xml:space="preserve"> در سال 1989/2013 و هشت عادت</w:t>
      </w:r>
      <w:r w:rsidR="00537CC8" w:rsidRPr="0025250D">
        <w:rPr>
          <w:vertAlign w:val="superscript"/>
          <w:rtl/>
        </w:rPr>
        <w:footnoteReference w:id="2396"/>
      </w:r>
      <w:r w:rsidR="00537CC8" w:rsidRPr="0025250D">
        <w:rPr>
          <w:rFonts w:hint="cs"/>
          <w:rtl/>
        </w:rPr>
        <w:t xml:space="preserve"> در سال 2005 توصیف می‌کند، به ارتباط یابی بهتر با نیاز‌های دیگران و تیم مرتبط هستند. این موارد شامل: تفکر برد-برد (مثبت بودن مجموع)، تلاش برای اولین نفر بودن در درک (</w:t>
      </w:r>
      <w:r w:rsidR="00A936B3" w:rsidRPr="0025250D">
        <w:rPr>
          <w:rFonts w:hint="cs"/>
          <w:rtl/>
        </w:rPr>
        <w:t>همدلی</w:t>
      </w:r>
      <w:r w:rsidR="00537CC8" w:rsidRPr="0025250D">
        <w:rPr>
          <w:rFonts w:hint="cs"/>
          <w:rtl/>
        </w:rPr>
        <w:t>)، تیز کردن اره</w:t>
      </w:r>
      <w:r w:rsidR="00537CC8" w:rsidRPr="0025250D">
        <w:rPr>
          <w:vertAlign w:val="superscript"/>
          <w:rtl/>
        </w:rPr>
        <w:footnoteReference w:id="2397"/>
      </w:r>
      <w:r w:rsidR="00537CC8" w:rsidRPr="0025250D">
        <w:rPr>
          <w:rFonts w:hint="cs"/>
          <w:rtl/>
        </w:rPr>
        <w:t xml:space="preserve"> (ترویج توازن و بازسازی کار-زندگی) و کمک به دیگران برای یافتن صدای خود (توسعه فردی) می‌شوند.</w:t>
      </w:r>
    </w:p>
    <w:p w14:paraId="724F9F4C" w14:textId="0BF7DBCE" w:rsidR="00537CC8" w:rsidRPr="0025250D" w:rsidRDefault="00537CC8" w:rsidP="00537CC8">
      <w:pPr>
        <w:rPr>
          <w:rtl/>
        </w:rPr>
      </w:pPr>
      <w:r w:rsidRPr="0025250D">
        <w:rPr>
          <w:rFonts w:hint="cs"/>
          <w:rtl/>
        </w:rPr>
        <w:t xml:space="preserve">به بیان هشت مهارت، پنج عادت دیگر </w:t>
      </w:r>
      <w:r w:rsidRPr="0025250D">
        <w:rPr>
          <w:rtl/>
        </w:rPr>
        <w:t>کاو</w:t>
      </w:r>
      <w:r w:rsidRPr="0025250D">
        <w:rPr>
          <w:rFonts w:hint="cs"/>
          <w:rtl/>
        </w:rPr>
        <w:t xml:space="preserve">ی شامل یادگیری (هم افزایی)، پیش‌انگاری (کنشگر بودن)، </w:t>
      </w:r>
      <w:r w:rsidR="00B56611" w:rsidRPr="0025250D">
        <w:rPr>
          <w:rFonts w:hint="cs"/>
          <w:rtl/>
        </w:rPr>
        <w:t>چشم‌انداز</w:t>
      </w:r>
      <w:r w:rsidRPr="0025250D">
        <w:rPr>
          <w:rFonts w:hint="cs"/>
          <w:rtl/>
        </w:rPr>
        <w:t xml:space="preserve"> </w:t>
      </w:r>
      <w:r w:rsidR="00701E03" w:rsidRPr="0025250D">
        <w:rPr>
          <w:rFonts w:hint="cs"/>
          <w:rtl/>
        </w:rPr>
        <w:t>راهبردی</w:t>
      </w:r>
      <w:r w:rsidRPr="0025250D">
        <w:rPr>
          <w:rFonts w:hint="cs"/>
          <w:rtl/>
        </w:rPr>
        <w:t xml:space="preserve"> (آغاز با پایان در ذهن خود</w:t>
      </w:r>
      <w:r w:rsidRPr="0025250D">
        <w:rPr>
          <w:vertAlign w:val="superscript"/>
          <w:rtl/>
        </w:rPr>
        <w:footnoteReference w:id="2398"/>
      </w:r>
      <w:r w:rsidRPr="0025250D">
        <w:rPr>
          <w:rFonts w:hint="cs"/>
          <w:rtl/>
        </w:rPr>
        <w:t xml:space="preserve">) و </w:t>
      </w:r>
      <w:r w:rsidR="007118DE" w:rsidRPr="0025250D">
        <w:rPr>
          <w:rFonts w:hint="cs"/>
          <w:rtl/>
        </w:rPr>
        <w:t>اولویت‌بندی</w:t>
      </w:r>
      <w:r w:rsidRPr="0025250D">
        <w:rPr>
          <w:rFonts w:hint="cs"/>
          <w:rtl/>
        </w:rPr>
        <w:t xml:space="preserve"> </w:t>
      </w:r>
      <w:r w:rsidR="004D2906" w:rsidRPr="0025250D">
        <w:rPr>
          <w:rFonts w:hint="cs"/>
          <w:rtl/>
        </w:rPr>
        <w:t>راهبردی</w:t>
      </w:r>
      <w:r w:rsidRPr="0025250D">
        <w:rPr>
          <w:rFonts w:hint="cs"/>
          <w:rtl/>
        </w:rPr>
        <w:t xml:space="preserve"> (قرار دادن موارد مهم‌تر در اولویت‌های اول. یافتن صدای خود) می‌شوند. ما با استفاده از مدل هشت مهارت، می‌توانیم پیشنهاد کنیم که نوآوری، </w:t>
      </w:r>
      <w:r w:rsidR="0008779C" w:rsidRPr="0025250D">
        <w:rPr>
          <w:rFonts w:hint="cs"/>
          <w:rtl/>
        </w:rPr>
        <w:t>تاثیرگذاری</w:t>
      </w:r>
      <w:r w:rsidRPr="0025250D">
        <w:rPr>
          <w:rFonts w:hint="cs"/>
          <w:rtl/>
        </w:rPr>
        <w:t xml:space="preserve"> و بازبینی عادات </w:t>
      </w:r>
      <w:r w:rsidR="00923DDB" w:rsidRPr="0025250D">
        <w:rPr>
          <w:rtl/>
        </w:rPr>
        <w:t>آینده‌نگاری انطباقی</w:t>
      </w:r>
      <w:r w:rsidRPr="0025250D">
        <w:rPr>
          <w:rFonts w:hint="cs"/>
          <w:rtl/>
        </w:rPr>
        <w:t xml:space="preserve"> و موفق هستند که باید از آن‌ها پیروی کنیم. </w:t>
      </w:r>
      <w:r w:rsidR="00397E18" w:rsidRPr="0025250D">
        <w:rPr>
          <w:rtl/>
        </w:rPr>
        <w:t>کاو</w:t>
      </w:r>
      <w:r w:rsidR="00397E18" w:rsidRPr="0025250D">
        <w:rPr>
          <w:rFonts w:hint="cs"/>
          <w:rtl/>
        </w:rPr>
        <w:t xml:space="preserve">ی </w:t>
      </w:r>
      <w:r w:rsidR="0008779C" w:rsidRPr="0025250D">
        <w:rPr>
          <w:rFonts w:hint="cs"/>
          <w:rtl/>
        </w:rPr>
        <w:t>تاثیرگذاری</w:t>
      </w:r>
      <w:r w:rsidRPr="0025250D">
        <w:rPr>
          <w:rFonts w:hint="cs"/>
          <w:rtl/>
        </w:rPr>
        <w:t xml:space="preserve"> را در کتاب سرعت اعتماد</w:t>
      </w:r>
      <w:r w:rsidRPr="0025250D">
        <w:rPr>
          <w:vertAlign w:val="superscript"/>
          <w:rtl/>
        </w:rPr>
        <w:footnoteReference w:id="2399"/>
      </w:r>
      <w:r w:rsidRPr="0025250D">
        <w:rPr>
          <w:rFonts w:hint="cs"/>
          <w:rtl/>
        </w:rPr>
        <w:t xml:space="preserve"> در سال 2008 که قبلا توصیه شد بررسی می‌کند. پس تنها نوآوری و بازبینی به عنوان مهارت‌های </w:t>
      </w:r>
      <w:r w:rsidRPr="0025250D">
        <w:rPr>
          <w:rtl/>
        </w:rPr>
        <w:t>آینده‌نگاری</w:t>
      </w:r>
      <w:r w:rsidRPr="0025250D">
        <w:rPr>
          <w:rFonts w:hint="cs"/>
          <w:rtl/>
        </w:rPr>
        <w:t xml:space="preserve"> کانونی که کم‌تر در مطالعات </w:t>
      </w:r>
      <w:r w:rsidRPr="0025250D">
        <w:rPr>
          <w:rtl/>
        </w:rPr>
        <w:t>کاو</w:t>
      </w:r>
      <w:r w:rsidRPr="0025250D">
        <w:rPr>
          <w:rFonts w:hint="cs"/>
          <w:rtl/>
        </w:rPr>
        <w:t>ی درمورد عادات کانونی به آن‌ها پرداخته شده است، باقی می‌مانند.</w:t>
      </w:r>
    </w:p>
    <w:p w14:paraId="739F0863" w14:textId="3CBD1A1E" w:rsidR="00537CC8" w:rsidRPr="0025250D" w:rsidRDefault="00537CC8" w:rsidP="00537CC8">
      <w:pPr>
        <w:rPr>
          <w:rtl/>
        </w:rPr>
      </w:pPr>
      <w:r w:rsidRPr="0025250D">
        <w:rPr>
          <w:rFonts w:hint="cs"/>
          <w:rtl/>
        </w:rPr>
        <w:t xml:space="preserve">مرکز رهبری </w:t>
      </w:r>
      <w:r w:rsidRPr="0025250D">
        <w:rPr>
          <w:rtl/>
        </w:rPr>
        <w:t>فرانکل</w:t>
      </w:r>
      <w:r w:rsidRPr="0025250D">
        <w:rPr>
          <w:rFonts w:hint="cs"/>
          <w:rtl/>
        </w:rPr>
        <w:t>ی</w:t>
      </w:r>
      <w:r w:rsidRPr="0025250D">
        <w:rPr>
          <w:rFonts w:hint="eastAsia"/>
          <w:rtl/>
        </w:rPr>
        <w:t>ن</w:t>
      </w:r>
      <w:r w:rsidRPr="0025250D">
        <w:rPr>
          <w:rtl/>
        </w:rPr>
        <w:t xml:space="preserve"> کاو</w:t>
      </w:r>
      <w:r w:rsidRPr="0025250D">
        <w:rPr>
          <w:rFonts w:hint="cs"/>
          <w:rtl/>
        </w:rPr>
        <w:t>ی</w:t>
      </w:r>
      <w:r w:rsidRPr="0025250D">
        <w:rPr>
          <w:vertAlign w:val="superscript"/>
        </w:rPr>
        <w:footnoteReference w:id="2400"/>
      </w:r>
      <w:r w:rsidRPr="0025250D">
        <w:rPr>
          <w:rFonts w:hint="cs"/>
          <w:rtl/>
        </w:rPr>
        <w:t xml:space="preserve"> مکان خوبی برای آموزش و تمرین رهبری است. شکی نیست که این مرکز مهارت‌های کلیدی را نیز در آثاری جداگانه بررسی کرده است</w:t>
      </w:r>
      <w:r w:rsidR="008D6F97" w:rsidRPr="0025250D">
        <w:rPr>
          <w:rtl/>
        </w:rPr>
        <w:t xml:space="preserve">؛ </w:t>
      </w:r>
      <w:r w:rsidRPr="0025250D">
        <w:rPr>
          <w:rFonts w:hint="cs"/>
          <w:rtl/>
        </w:rPr>
        <w:t>اما آنچه را که آن‌ها یا هر شرکت مشاوره‌ای دیگری، ممکن است فاقد آن بوده یا کم‌تر به آن بپردازند، در</w:t>
      </w:r>
      <w:r w:rsidRPr="0025250D">
        <w:rPr>
          <w:rtl/>
        </w:rPr>
        <w:t xml:space="preserve"> </w:t>
      </w:r>
      <w:r w:rsidRPr="0025250D">
        <w:rPr>
          <w:rFonts w:hint="cs"/>
          <w:rtl/>
        </w:rPr>
        <w:t>ذهن</w:t>
      </w:r>
      <w:r w:rsidRPr="0025250D">
        <w:rPr>
          <w:rtl/>
        </w:rPr>
        <w:t xml:space="preserve"> </w:t>
      </w:r>
      <w:r w:rsidRPr="0025250D">
        <w:rPr>
          <w:rFonts w:hint="cs"/>
          <w:rtl/>
        </w:rPr>
        <w:t>داشته باشید. تیم‌ها برای رشد و ترقی به شایستگی و توانایی معقولی در هر هشت مهارت نیاز دارند.</w:t>
      </w:r>
    </w:p>
    <w:p w14:paraId="3711BFD1" w14:textId="77777777" w:rsidR="00537CC8" w:rsidRPr="0025250D" w:rsidRDefault="00537CC8" w:rsidP="00D53F87">
      <w:pPr>
        <w:jc w:val="center"/>
        <w:rPr>
          <w:rtl/>
        </w:rPr>
      </w:pPr>
      <w:r w:rsidRPr="0025250D">
        <w:rPr>
          <w:noProof/>
          <w:rtl/>
          <w:lang w:bidi="ar-SA"/>
        </w:rPr>
        <w:drawing>
          <wp:inline distT="0" distB="0" distL="0" distR="0" wp14:anchorId="4CDDD4EC" wp14:editId="31EAD588">
            <wp:extent cx="3977640" cy="1108695"/>
            <wp:effectExtent l="0" t="0" r="3810" b="0"/>
            <wp:docPr id="137" name="Picture 137" descr="D:\کار\مستقل\3 ( ترجمه ی دانشگاه تهران  )\Introduction to Foresight\part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کار\مستقل\3 ( ترجمه ی دانشگاه تهران  )\Introduction to Foresight\part6\35.png"/>
                    <pic:cNvPicPr>
                      <a:picLocks noChangeAspect="1" noChangeArrowheads="1"/>
                    </pic:cNvPicPr>
                  </pic:nvPicPr>
                  <pic:blipFill>
                    <a:blip r:embed="rId220" cstate="screen">
                      <a:extLst>
                        <a:ext uri="{BEBA8EAE-BF5A-486C-A8C5-ECC9F3942E4B}">
                          <a14:imgProps xmlns:a14="http://schemas.microsoft.com/office/drawing/2010/main">
                            <a14:imgLayer r:embed="rId221">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3998905" cy="1114622"/>
                    </a:xfrm>
                    <a:prstGeom prst="rect">
                      <a:avLst/>
                    </a:prstGeom>
                    <a:noFill/>
                    <a:ln>
                      <a:noFill/>
                    </a:ln>
                  </pic:spPr>
                </pic:pic>
              </a:graphicData>
            </a:graphic>
          </wp:inline>
        </w:drawing>
      </w:r>
    </w:p>
    <w:p w14:paraId="3EF88686" w14:textId="3EB8280E" w:rsidR="00537CC8" w:rsidRPr="0025250D" w:rsidRDefault="00537CC8" w:rsidP="00537CC8">
      <w:pPr>
        <w:rPr>
          <w:rtl/>
        </w:rPr>
      </w:pPr>
      <w:r w:rsidRPr="0025250D">
        <w:rPr>
          <w:rFonts w:hint="cs"/>
          <w:rtl/>
        </w:rPr>
        <w:t xml:space="preserve">مانند </w:t>
      </w:r>
      <w:r w:rsidR="0008779C" w:rsidRPr="0025250D">
        <w:rPr>
          <w:rFonts w:hint="cs"/>
          <w:rtl/>
        </w:rPr>
        <w:t>تاثیرگذاری</w:t>
      </w:r>
      <w:r w:rsidRPr="0025250D">
        <w:rPr>
          <w:rFonts w:hint="cs"/>
          <w:rtl/>
        </w:rPr>
        <w:t xml:space="preserve">، مشاوران </w:t>
      </w:r>
      <w:r w:rsidRPr="0025250D">
        <w:rPr>
          <w:rtl/>
        </w:rPr>
        <w:t>آینده‌نگاری</w:t>
      </w:r>
      <w:r w:rsidRPr="0025250D">
        <w:rPr>
          <w:rFonts w:hint="cs"/>
          <w:rtl/>
        </w:rPr>
        <w:t xml:space="preserve"> شخصا بر مهارت </w:t>
      </w:r>
      <w:r w:rsidR="0008779C" w:rsidRPr="0025250D">
        <w:rPr>
          <w:rFonts w:hint="cs"/>
          <w:rtl/>
        </w:rPr>
        <w:t>ارتباط‌دهی</w:t>
      </w:r>
      <w:r w:rsidRPr="0025250D">
        <w:rPr>
          <w:rFonts w:hint="cs"/>
          <w:rtl/>
        </w:rPr>
        <w:t xml:space="preserve"> در همه مراحل کار خود متکی هستند. مشاروان باید به‌خوبی با همکاران خود که برای مراجعه و هوش اجتماعی به آن‌ها متکی هستند، ارتباط برقرار کنند. آن‌ها باید نیاز‌های تیم خود را درک کنند، اعتماد، آزادی‌های فردی، یک مسیر توسعه، یک مأموریت خوب و مزایای کافی ارائه دهند و اسپرینت‌های اجرایی و زمان بازیابی سالمی ایجاد نمایند. آن‌ها همچنین به مدل‌های ذهنی خوبی برای این که تولید آن‌ها و تیم‌های کارسپارشان چگونه از نظر هیجانی و ذهنی جهان و کار آنها را درک می‌کنند نیاز دارند. این مهارت‌های </w:t>
      </w:r>
      <w:r w:rsidR="0008779C" w:rsidRPr="0025250D">
        <w:rPr>
          <w:rFonts w:hint="cs"/>
          <w:rtl/>
        </w:rPr>
        <w:t>ارتباط‌دهی</w:t>
      </w:r>
      <w:r w:rsidRPr="0025250D">
        <w:rPr>
          <w:rFonts w:hint="cs"/>
          <w:rtl/>
        </w:rPr>
        <w:t xml:space="preserve"> قدرت و اعتماد تیمی ایجاد می‌کنند و آن را به جایی می‌رسانند که تیم تغییرات بزرگ و کوچک را که به صورت منظم در هدایت مورد نیاز هستند، می‌پذیرد؛ به جای این که در برابر آن‌ها مقاومت کند. ما اکنون این چالش را تحت عنوان بازبینی (مهارت 8) آخرین مهارت در حلقه انجام مورد بحث قرار می‌دهیم.</w:t>
      </w:r>
    </w:p>
    <w:p w14:paraId="5F4D9519" w14:textId="77777777" w:rsidR="00537CC8" w:rsidRPr="0025250D" w:rsidRDefault="00537CC8" w:rsidP="00D53F87">
      <w:pPr>
        <w:pStyle w:val="Heading3"/>
        <w:rPr>
          <w:rtl/>
        </w:rPr>
      </w:pPr>
      <w:r w:rsidRPr="0025250D">
        <w:rPr>
          <w:rFonts w:hint="cs"/>
          <w:rtl/>
        </w:rPr>
        <w:t>مهارت 8.</w:t>
      </w:r>
      <w:r w:rsidRPr="0025250D">
        <w:rPr>
          <w:rFonts w:hint="cs"/>
          <w:u w:val="single"/>
          <w:rtl/>
        </w:rPr>
        <w:t xml:space="preserve"> بازبینی</w:t>
      </w:r>
      <w:r w:rsidRPr="0025250D">
        <w:rPr>
          <w:rFonts w:hint="cs"/>
          <w:rtl/>
        </w:rPr>
        <w:t xml:space="preserve"> (تفکر تعدیلی)</w:t>
      </w:r>
    </w:p>
    <w:p w14:paraId="3E5DD8CB" w14:textId="24A940EF" w:rsidR="00537CC8" w:rsidRPr="0025250D" w:rsidRDefault="00537CC8" w:rsidP="00537CC8">
      <w:pPr>
        <w:rPr>
          <w:rtl/>
        </w:rPr>
      </w:pPr>
      <w:r w:rsidRPr="0025250D">
        <w:rPr>
          <w:rFonts w:hint="cs"/>
          <w:rtl/>
        </w:rPr>
        <w:t xml:space="preserve">آخرین نوع حیاتی از عمل و تفکر به نگاه به گذشته اخیر جهت بهبود آینده مان نیاز دارد. هیچ چیزی کامل نیست و هر چیزی می‌تواند بهبود یابد. چگونه می‌فهمیم که چه زمانی ناموفق هستیم؟ و وقتی نواقصی داریم، چگونه نیروی لازم برای تغییر را ایجاد کنیم؟ این مهارت بازبینی است، یعنی، تفکر تعدیلی. از نظر ما، به همراه اجرا و </w:t>
      </w:r>
      <w:r w:rsidR="00701E03" w:rsidRPr="0025250D">
        <w:rPr>
          <w:rFonts w:hint="cs"/>
          <w:rtl/>
        </w:rPr>
        <w:t>راهبرد</w:t>
      </w:r>
      <w:r w:rsidRPr="0025250D">
        <w:rPr>
          <w:rFonts w:hint="cs"/>
          <w:rtl/>
        </w:rPr>
        <w:t>، این مهارت یکی از سه مهارت حیاتی کلیدی حلقه انجام است</w:t>
      </w:r>
      <w:r w:rsidR="008D6F97" w:rsidRPr="0025250D">
        <w:rPr>
          <w:rtl/>
        </w:rPr>
        <w:t xml:space="preserve">؛ </w:t>
      </w:r>
      <w:r w:rsidRPr="0025250D">
        <w:rPr>
          <w:rFonts w:hint="cs"/>
          <w:rtl/>
        </w:rPr>
        <w:t>مانند دیگر هفت مهارت، بازبینی تا یک نقطه‌ای مفید است، اما می‌تواند همچنین بیش‌ازحد انجام شده و باید با دیگر هفت مهارت متوازن گردد.</w:t>
      </w:r>
    </w:p>
    <w:p w14:paraId="3152AF20" w14:textId="585518E0" w:rsidR="00537CC8" w:rsidRPr="0025250D" w:rsidRDefault="00537CC8" w:rsidP="00537CC8">
      <w:pPr>
        <w:rPr>
          <w:rtl/>
        </w:rPr>
      </w:pPr>
      <w:r w:rsidRPr="0025250D">
        <w:rPr>
          <w:rFonts w:hint="cs"/>
          <w:rtl/>
        </w:rPr>
        <w:t xml:space="preserve">اولین مهارت بازبینی که ما مورد بحث قرار خواهیم داد حسابرسی و مدیریت تغییر است. حسابرسی یک زیرتخصص از حسابداری و اطلاعات است که به دنبال یافتن وضعیت حقیقی امور است که می‌تواند </w:t>
      </w:r>
      <w:r w:rsidR="004D2906" w:rsidRPr="0025250D">
        <w:rPr>
          <w:rFonts w:hint="cs"/>
          <w:rtl/>
        </w:rPr>
        <w:t>با</w:t>
      </w:r>
      <w:r w:rsidRPr="0025250D">
        <w:rPr>
          <w:rFonts w:hint="cs"/>
          <w:rtl/>
        </w:rPr>
        <w:t xml:space="preserve"> وضعیت</w:t>
      </w:r>
      <w:r w:rsidR="004D2906" w:rsidRPr="0025250D">
        <w:rPr>
          <w:rFonts w:hint="cs"/>
          <w:rtl/>
        </w:rPr>
        <w:t xml:space="preserve"> تجسم شده </w:t>
      </w:r>
      <w:r w:rsidRPr="0025250D">
        <w:rPr>
          <w:rFonts w:hint="cs"/>
          <w:rtl/>
        </w:rPr>
        <w:t>یا وضعیتی که در دفاتر حسابداری ارائه شده است، متفاوت باشد. مؤسسه حسابرسان داخلی</w:t>
      </w:r>
      <w:r w:rsidRPr="0025250D">
        <w:rPr>
          <w:vertAlign w:val="superscript"/>
          <w:rtl/>
        </w:rPr>
        <w:footnoteReference w:id="2401"/>
      </w:r>
      <w:r w:rsidRPr="0025250D">
        <w:rPr>
          <w:rFonts w:hint="cs"/>
          <w:rtl/>
        </w:rPr>
        <w:t xml:space="preserve"> (</w:t>
      </w:r>
      <w:r w:rsidRPr="0025250D">
        <w:t>IIA</w:t>
      </w:r>
      <w:r w:rsidRPr="0025250D">
        <w:rPr>
          <w:rFonts w:hint="cs"/>
          <w:rtl/>
        </w:rPr>
        <w:t>) گواهینامه‌ها و کنفرانس‌هایی در</w:t>
      </w:r>
      <w:r w:rsidR="004D2906" w:rsidRPr="0025250D">
        <w:rPr>
          <w:rFonts w:hint="cs"/>
          <w:rtl/>
        </w:rPr>
        <w:t>باره</w:t>
      </w:r>
      <w:r w:rsidRPr="0025250D">
        <w:rPr>
          <w:rFonts w:hint="cs"/>
          <w:rtl/>
        </w:rPr>
        <w:t xml:space="preserve"> این موضوع حیاتی و تخصص اغلب نادیده گرفت</w:t>
      </w:r>
      <w:r w:rsidR="004D2906" w:rsidRPr="0025250D">
        <w:rPr>
          <w:rFonts w:hint="cs"/>
          <w:rtl/>
        </w:rPr>
        <w:t>ه</w:t>
      </w:r>
      <w:r w:rsidRPr="0025250D">
        <w:rPr>
          <w:rFonts w:hint="cs"/>
          <w:rtl/>
        </w:rPr>
        <w:t xml:space="preserve"> شده ارائه </w:t>
      </w:r>
      <w:r w:rsidR="004D2906" w:rsidRPr="0025250D">
        <w:rPr>
          <w:rFonts w:hint="cs"/>
          <w:rtl/>
        </w:rPr>
        <w:t>می‌دهد</w:t>
      </w:r>
      <w:r w:rsidRPr="0025250D">
        <w:rPr>
          <w:rFonts w:hint="cs"/>
          <w:rtl/>
        </w:rPr>
        <w:t>. جستجوی دائمی برای اعداد و ارقامی که به نظر درست نمی‌رسند و یادگیری چگونگی بررسی آن‌ها، یک مهارت بازبینی حیاتی است. اگر ما حامل اخبار بد باشیم، ممکن است یک مخاطب پذیرا نیز نیابیم. برخی اوقات باید در ارتباطات و اطلاع رسانی اخبار بد و به دست آوردن حفاظت و تأثیر سیاسی لازم برای موفقیت در افشا، به طور مشخص خلاق باشیم.</w:t>
      </w:r>
    </w:p>
    <w:p w14:paraId="4C152E20" w14:textId="6D69F2D6" w:rsidR="00537CC8" w:rsidRPr="0025250D" w:rsidRDefault="00537CC8" w:rsidP="00537CC8">
      <w:pPr>
        <w:rPr>
          <w:rtl/>
        </w:rPr>
      </w:pPr>
      <w:r w:rsidRPr="0025250D">
        <w:rPr>
          <w:rFonts w:hint="cs"/>
          <w:rtl/>
        </w:rPr>
        <w:t xml:space="preserve">کتاب فوق العاده </w:t>
      </w:r>
      <w:r w:rsidRPr="0025250D">
        <w:rPr>
          <w:rtl/>
        </w:rPr>
        <w:t>هر</w:t>
      </w:r>
      <w:r w:rsidRPr="0025250D">
        <w:rPr>
          <w:rFonts w:hint="cs"/>
          <w:rtl/>
        </w:rPr>
        <w:t>ی</w:t>
      </w:r>
      <w:r w:rsidRPr="0025250D">
        <w:rPr>
          <w:rtl/>
        </w:rPr>
        <w:t xml:space="preserve"> مارکوپولوس</w:t>
      </w:r>
      <w:r w:rsidRPr="0025250D">
        <w:rPr>
          <w:vertAlign w:val="superscript"/>
          <w:rtl/>
        </w:rPr>
        <w:footnoteReference w:id="2402"/>
      </w:r>
      <w:r w:rsidRPr="0025250D">
        <w:rPr>
          <w:rFonts w:hint="cs"/>
          <w:rtl/>
        </w:rPr>
        <w:t xml:space="preserve"> با عنوان هیچ کس گوش نخواهد داد: یک داستان ترسناک مالی واقعی</w:t>
      </w:r>
      <w:r w:rsidRPr="0025250D">
        <w:rPr>
          <w:vertAlign w:val="superscript"/>
          <w:rtl/>
        </w:rPr>
        <w:footnoteReference w:id="2403"/>
      </w:r>
      <w:r w:rsidRPr="0025250D">
        <w:rPr>
          <w:rFonts w:hint="cs"/>
          <w:rtl/>
        </w:rPr>
        <w:t xml:space="preserve"> در سال 2010، چگونگی پیش‌بینی اجرای یک کلاه برداری بزرگ توسط </w:t>
      </w:r>
      <w:r w:rsidRPr="0025250D">
        <w:rPr>
          <w:rtl/>
        </w:rPr>
        <w:t>برن</w:t>
      </w:r>
      <w:r w:rsidRPr="0025250D">
        <w:rPr>
          <w:rFonts w:hint="cs"/>
          <w:rtl/>
        </w:rPr>
        <w:t>ی</w:t>
      </w:r>
      <w:r w:rsidRPr="0025250D">
        <w:rPr>
          <w:rtl/>
        </w:rPr>
        <w:t xml:space="preserve"> مدوف</w:t>
      </w:r>
      <w:r w:rsidRPr="0025250D">
        <w:rPr>
          <w:vertAlign w:val="superscript"/>
          <w:rtl/>
        </w:rPr>
        <w:footnoteReference w:id="2404"/>
      </w:r>
      <w:r w:rsidRPr="0025250D">
        <w:rPr>
          <w:rFonts w:hint="cs"/>
          <w:rtl/>
        </w:rPr>
        <w:t xml:space="preserve"> را با </w:t>
      </w:r>
      <w:r w:rsidR="00B124DE" w:rsidRPr="0025250D">
        <w:rPr>
          <w:rFonts w:hint="cs"/>
          <w:rtl/>
        </w:rPr>
        <w:t>جمع‌آوری</w:t>
      </w:r>
      <w:r w:rsidRPr="0025250D">
        <w:rPr>
          <w:rFonts w:hint="cs"/>
          <w:rtl/>
        </w:rPr>
        <w:t xml:space="preserve"> شواهد به کمک مدل‌ها و مدارک حسابداری بحث برانگیز خود، با جزئیات شرح می‌دهد. </w:t>
      </w:r>
      <w:r w:rsidRPr="0025250D">
        <w:rPr>
          <w:rtl/>
        </w:rPr>
        <w:t>مارکوپولوس</w:t>
      </w:r>
      <w:r w:rsidRPr="0025250D">
        <w:rPr>
          <w:rFonts w:hint="cs"/>
          <w:rtl/>
        </w:rPr>
        <w:t xml:space="preserve"> سه بار در سال‌های 2000، 2001 و 2005 به همراه مدارک و دوبار دیگر بدون مدارک به این </w:t>
      </w:r>
      <w:r w:rsidRPr="0025250D">
        <w:t>SEC</w:t>
      </w:r>
      <w:r w:rsidRPr="0025250D">
        <w:rPr>
          <w:rFonts w:hint="cs"/>
          <w:rtl/>
        </w:rPr>
        <w:t xml:space="preserve"> درمورد مشکوک بودن به کلاه برداری هشدار داد. آن‌ها هر بار او را نادیده گرفتند و نتوانستند از یک الگوی رایج با افشاکنندگان</w:t>
      </w:r>
      <w:r w:rsidRPr="0025250D">
        <w:rPr>
          <w:vertAlign w:val="superscript"/>
          <w:rtl/>
        </w:rPr>
        <w:footnoteReference w:id="2405"/>
      </w:r>
      <w:r w:rsidRPr="0025250D">
        <w:rPr>
          <w:rFonts w:hint="cs"/>
          <w:rtl/>
        </w:rPr>
        <w:t xml:space="preserve"> متعدد پیروی کنند. نادیده گرفتن، تقریبا همواره اولین مرحله از هفت مرحله </w:t>
      </w:r>
      <w:r w:rsidR="002F3C14" w:rsidRPr="0025250D">
        <w:rPr>
          <w:rFonts w:hint="cs"/>
          <w:rtl/>
        </w:rPr>
        <w:t>انطباق</w:t>
      </w:r>
      <w:r w:rsidRPr="0025250D">
        <w:rPr>
          <w:rFonts w:hint="cs"/>
          <w:rtl/>
        </w:rPr>
        <w:t xml:space="preserve"> با تغییر اجباری و نامطلوب است (نادیده گرفتن، انکار، بحث و استدلال، چانه زنی، افسردگی، پذیرش، تعهد). برای اطلاعات بیش‌تر، مراحل </w:t>
      </w:r>
      <w:r w:rsidRPr="0025250D">
        <w:t>IDABDAC</w:t>
      </w:r>
      <w:r w:rsidRPr="0025250D">
        <w:rPr>
          <w:rFonts w:hint="cs"/>
          <w:rtl/>
        </w:rPr>
        <w:t xml:space="preserve"> از </w:t>
      </w:r>
      <w:r w:rsidR="00B124DE" w:rsidRPr="0025250D">
        <w:rPr>
          <w:rFonts w:hint="cs"/>
          <w:rtl/>
        </w:rPr>
        <w:t>انطباق‌پذیر</w:t>
      </w:r>
      <w:r w:rsidRPr="0025250D">
        <w:rPr>
          <w:rFonts w:hint="cs"/>
          <w:rtl/>
        </w:rPr>
        <w:t>ی با تغییر اجباری در نسخه دانشجوی این کتاب را ببینید.</w:t>
      </w:r>
    </w:p>
    <w:p w14:paraId="639750BF" w14:textId="2E1A5791" w:rsidR="00537CC8" w:rsidRPr="0025250D" w:rsidRDefault="00537CC8" w:rsidP="00537CC8">
      <w:pPr>
        <w:rPr>
          <w:rtl/>
        </w:rPr>
      </w:pPr>
      <w:r w:rsidRPr="0025250D">
        <w:rPr>
          <w:rFonts w:hint="cs"/>
          <w:rtl/>
        </w:rPr>
        <w:t xml:space="preserve">کلاهبرداری </w:t>
      </w:r>
      <w:r w:rsidRPr="0025250D">
        <w:rPr>
          <w:rtl/>
        </w:rPr>
        <w:t>مدوف</w:t>
      </w:r>
      <w:r w:rsidRPr="0025250D">
        <w:rPr>
          <w:rFonts w:hint="cs"/>
          <w:rtl/>
        </w:rPr>
        <w:t xml:space="preserve"> در سال 2008 فروپاشید و 64 میلیارد دلار برای سرمایه گذاران خسارات به بار آورد و آن را به بزرگترین کلاهبرداری مالی شناخته شده در تاریخ آمریکا تا به امروز تبدیل کرد (این رقم افزایش خواهد یافت). این یک شکست کلاسیک </w:t>
      </w:r>
      <w:r w:rsidRPr="0025250D">
        <w:rPr>
          <w:rtl/>
        </w:rPr>
        <w:t>آینده‌نگاری</w:t>
      </w:r>
      <w:r w:rsidRPr="0025250D">
        <w:rPr>
          <w:rFonts w:hint="cs"/>
          <w:rtl/>
        </w:rPr>
        <w:t xml:space="preserve"> مالی برای تبدیل به </w:t>
      </w:r>
      <w:r w:rsidR="00701E03" w:rsidRPr="0025250D">
        <w:rPr>
          <w:rFonts w:hint="cs"/>
          <w:rtl/>
        </w:rPr>
        <w:t>راهبرد</w:t>
      </w:r>
      <w:r w:rsidRPr="0025250D">
        <w:rPr>
          <w:rFonts w:hint="cs"/>
          <w:rtl/>
        </w:rPr>
        <w:t xml:space="preserve"> و عمل </w:t>
      </w:r>
      <w:r w:rsidR="0008779C" w:rsidRPr="0025250D">
        <w:rPr>
          <w:rFonts w:hint="cs"/>
          <w:rtl/>
        </w:rPr>
        <w:t>موفقیت‌آمیز</w:t>
      </w:r>
      <w:r w:rsidRPr="0025250D">
        <w:rPr>
          <w:rFonts w:hint="cs"/>
          <w:rtl/>
        </w:rPr>
        <w:t xml:space="preserve"> است و ما باید از خود بپرسیم که ممکن بود چه چیزی را متفاوت انجام دهیم، اگر ما مانند </w:t>
      </w:r>
      <w:r w:rsidRPr="0025250D">
        <w:rPr>
          <w:rtl/>
        </w:rPr>
        <w:t>مارکوپولوس</w:t>
      </w:r>
      <w:r w:rsidRPr="0025250D">
        <w:rPr>
          <w:rFonts w:hint="cs"/>
          <w:rtl/>
        </w:rPr>
        <w:t>، یکی از تنها بازبینی کنندگانی بودیم که به صورت عمومی حقیقت را در آن زمان بیان می‌کردند. قوانین حفاظت از افشاکنندگان هنوز ضعیف هستند و افشاکنندگان در صورتی که بخواهند بازیگران قدرتمند را وادار به پاسخگویی کنند، باید مقدار مشخصی از ریسک‌های قانونی، کاری و خانوادگی را بپذیرند.</w:t>
      </w:r>
    </w:p>
    <w:p w14:paraId="3F01A865" w14:textId="504DB081" w:rsidR="00537CC8" w:rsidRPr="0025250D" w:rsidRDefault="00537CC8" w:rsidP="00537CC8">
      <w:pPr>
        <w:rPr>
          <w:rtl/>
        </w:rPr>
      </w:pPr>
      <w:r w:rsidRPr="0025250D">
        <w:rPr>
          <w:rtl/>
        </w:rPr>
        <w:t>آینده‌نگار</w:t>
      </w:r>
      <w:r w:rsidRPr="0025250D">
        <w:rPr>
          <w:rFonts w:hint="cs"/>
          <w:rtl/>
        </w:rPr>
        <w:t xml:space="preserve">ان خوب به عنوان حسابرسان موارد ناملموس علاوه بر موارد ملموس، باید دائما در جستجوی هر </w:t>
      </w:r>
      <w:r w:rsidR="004D2906" w:rsidRPr="0025250D">
        <w:rPr>
          <w:rFonts w:hint="cs"/>
          <w:rtl/>
        </w:rPr>
        <w:t xml:space="preserve">گونه </w:t>
      </w:r>
      <w:r w:rsidRPr="0025250D">
        <w:rPr>
          <w:rFonts w:hint="cs"/>
          <w:rtl/>
        </w:rPr>
        <w:t>هیجانات، افکار، ارزش‌ها، فرضیات،</w:t>
      </w:r>
      <w:r w:rsidR="008D6F97" w:rsidRPr="0025250D">
        <w:rPr>
          <w:rtl/>
        </w:rPr>
        <w:t xml:space="preserve"> </w:t>
      </w:r>
      <w:r w:rsidR="00FB6A7E" w:rsidRPr="0025250D">
        <w:rPr>
          <w:rFonts w:hint="cs"/>
          <w:rtl/>
        </w:rPr>
        <w:t>پیش‌نگری</w:t>
      </w:r>
      <w:r w:rsidRPr="0025250D">
        <w:rPr>
          <w:rFonts w:hint="cs"/>
          <w:rtl/>
        </w:rPr>
        <w:t>‌ها و انتظارات گروهی ضمنی یا بیان شده</w:t>
      </w:r>
      <w:r w:rsidR="004D2906" w:rsidRPr="0025250D">
        <w:rPr>
          <w:rFonts w:hint="cs"/>
          <w:rtl/>
        </w:rPr>
        <w:t xml:space="preserve"> نیز</w:t>
      </w:r>
      <w:r w:rsidRPr="0025250D">
        <w:rPr>
          <w:rFonts w:hint="cs"/>
          <w:rtl/>
        </w:rPr>
        <w:t xml:space="preserve"> باشند که در شرایطی مشخص منطقی </w:t>
      </w:r>
      <w:r w:rsidR="004D2906" w:rsidRPr="0025250D">
        <w:rPr>
          <w:rFonts w:hint="cs"/>
          <w:rtl/>
        </w:rPr>
        <w:t xml:space="preserve">به نظر </w:t>
      </w:r>
      <w:r w:rsidRPr="0025250D">
        <w:rPr>
          <w:rFonts w:hint="cs"/>
          <w:rtl/>
        </w:rPr>
        <w:t>نمی‌رسند. در کتاب دیدن آنچه دیگران نمی‌بینند</w:t>
      </w:r>
      <w:r w:rsidRPr="0025250D">
        <w:rPr>
          <w:vertAlign w:val="superscript"/>
          <w:rtl/>
        </w:rPr>
        <w:footnoteReference w:id="2406"/>
      </w:r>
      <w:r w:rsidRPr="0025250D">
        <w:rPr>
          <w:rFonts w:hint="cs"/>
          <w:rtl/>
        </w:rPr>
        <w:t xml:space="preserve"> درسال 2013، متخصص روانشناسی شناختی و </w:t>
      </w:r>
      <w:r w:rsidR="0008779C" w:rsidRPr="0025250D">
        <w:rPr>
          <w:rFonts w:hint="cs"/>
          <w:rtl/>
        </w:rPr>
        <w:t>تصمیم‌گیری</w:t>
      </w:r>
      <w:r w:rsidRPr="0025250D">
        <w:rPr>
          <w:rFonts w:hint="cs"/>
          <w:rtl/>
        </w:rPr>
        <w:t xml:space="preserve"> </w:t>
      </w:r>
      <w:r w:rsidRPr="0025250D">
        <w:rPr>
          <w:rtl/>
        </w:rPr>
        <w:t>گر</w:t>
      </w:r>
      <w:r w:rsidRPr="0025250D">
        <w:rPr>
          <w:rFonts w:hint="cs"/>
          <w:rtl/>
        </w:rPr>
        <w:t>ی</w:t>
      </w:r>
      <w:r w:rsidRPr="0025250D">
        <w:rPr>
          <w:rtl/>
        </w:rPr>
        <w:t xml:space="preserve"> کلا</w:t>
      </w:r>
      <w:r w:rsidRPr="0025250D">
        <w:rPr>
          <w:rFonts w:hint="cs"/>
          <w:rtl/>
        </w:rPr>
        <w:t>ی</w:t>
      </w:r>
      <w:r w:rsidRPr="0025250D">
        <w:rPr>
          <w:rFonts w:hint="eastAsia"/>
          <w:rtl/>
        </w:rPr>
        <w:t>ن</w:t>
      </w:r>
      <w:r w:rsidRPr="0025250D">
        <w:rPr>
          <w:vertAlign w:val="superscript"/>
          <w:rtl/>
        </w:rPr>
        <w:footnoteReference w:id="2407"/>
      </w:r>
      <w:r w:rsidRPr="0025250D">
        <w:rPr>
          <w:rFonts w:hint="cs"/>
          <w:rtl/>
        </w:rPr>
        <w:t xml:space="preserve"> </w:t>
      </w:r>
      <w:r w:rsidR="00397E18" w:rsidRPr="0025250D">
        <w:rPr>
          <w:rtl/>
        </w:rPr>
        <w:t>پ</w:t>
      </w:r>
      <w:r w:rsidR="00397E18" w:rsidRPr="0025250D">
        <w:rPr>
          <w:rFonts w:hint="cs"/>
          <w:rtl/>
        </w:rPr>
        <w:t>ی</w:t>
      </w:r>
      <w:r w:rsidR="00397E18" w:rsidRPr="0025250D">
        <w:rPr>
          <w:rFonts w:hint="eastAsia"/>
          <w:rtl/>
        </w:rPr>
        <w:t>ش</w:t>
      </w:r>
      <w:r w:rsidR="00397E18" w:rsidRPr="0025250D">
        <w:rPr>
          <w:rtl/>
        </w:rPr>
        <w:t xml:space="preserve"> اند</w:t>
      </w:r>
      <w:r w:rsidR="00397E18" w:rsidRPr="0025250D">
        <w:rPr>
          <w:rFonts w:hint="cs"/>
          <w:rtl/>
        </w:rPr>
        <w:t>ی</w:t>
      </w:r>
      <w:r w:rsidR="00397E18" w:rsidRPr="0025250D">
        <w:rPr>
          <w:rFonts w:hint="eastAsia"/>
          <w:rtl/>
        </w:rPr>
        <w:t>ش</w:t>
      </w:r>
      <w:r w:rsidR="00397E18" w:rsidRPr="0025250D">
        <w:rPr>
          <w:rFonts w:hint="cs"/>
          <w:rtl/>
        </w:rPr>
        <w:t>ی</w:t>
      </w:r>
      <w:r w:rsidR="00397E18" w:rsidRPr="0025250D">
        <w:rPr>
          <w:rtl/>
        </w:rPr>
        <w:t xml:space="preserve"> شکست</w:t>
      </w:r>
      <w:r w:rsidR="00397E18" w:rsidRPr="0025250D">
        <w:rPr>
          <w:rFonts w:hint="cs"/>
          <w:rtl/>
        </w:rPr>
        <w:t xml:space="preserve"> پروژه</w:t>
      </w:r>
      <w:r w:rsidRPr="0025250D">
        <w:rPr>
          <w:rFonts w:hint="cs"/>
          <w:rtl/>
        </w:rPr>
        <w:t xml:space="preserve"> را به عنوان یک روش بسیار قدرتمند برای حسابرسی فوری و حذف تفکر گروهی بیش‌ازحد خوش بینانه درمورد هر پروژه ظاهرا عالی، حیاتی یا پیچیده مورد بحث قرار می‌دهد. این </w:t>
      </w:r>
      <w:r w:rsidR="00397E18" w:rsidRPr="0025250D">
        <w:rPr>
          <w:rtl/>
        </w:rPr>
        <w:t>پ</w:t>
      </w:r>
      <w:r w:rsidR="00397E18" w:rsidRPr="0025250D">
        <w:rPr>
          <w:rFonts w:hint="cs"/>
          <w:rtl/>
        </w:rPr>
        <w:t>ی</w:t>
      </w:r>
      <w:r w:rsidR="00397E18" w:rsidRPr="0025250D">
        <w:rPr>
          <w:rFonts w:hint="eastAsia"/>
          <w:rtl/>
        </w:rPr>
        <w:t>ش</w:t>
      </w:r>
      <w:r w:rsidR="00397E18" w:rsidRPr="0025250D">
        <w:rPr>
          <w:rtl/>
        </w:rPr>
        <w:t xml:space="preserve"> اند</w:t>
      </w:r>
      <w:r w:rsidR="00397E18" w:rsidRPr="0025250D">
        <w:rPr>
          <w:rFonts w:hint="cs"/>
          <w:rtl/>
        </w:rPr>
        <w:t>ی</w:t>
      </w:r>
      <w:r w:rsidR="00397E18" w:rsidRPr="0025250D">
        <w:rPr>
          <w:rFonts w:hint="eastAsia"/>
          <w:rtl/>
        </w:rPr>
        <w:t>ش</w:t>
      </w:r>
      <w:r w:rsidR="00397E18" w:rsidRPr="0025250D">
        <w:rPr>
          <w:rFonts w:hint="cs"/>
          <w:rtl/>
        </w:rPr>
        <w:t>ی</w:t>
      </w:r>
      <w:r w:rsidR="00397E18" w:rsidRPr="0025250D">
        <w:rPr>
          <w:rtl/>
        </w:rPr>
        <w:t xml:space="preserve"> شکست</w:t>
      </w:r>
      <w:r w:rsidR="00397E18" w:rsidRPr="0025250D">
        <w:rPr>
          <w:rFonts w:hint="cs"/>
          <w:rtl/>
        </w:rPr>
        <w:t xml:space="preserve"> </w:t>
      </w:r>
      <w:r w:rsidRPr="0025250D">
        <w:rPr>
          <w:rFonts w:hint="cs"/>
          <w:rtl/>
        </w:rPr>
        <w:t xml:space="preserve">می‌تواند توسط هر تسهیلگر گروهی که بخواهد به </w:t>
      </w:r>
      <w:r w:rsidR="0008779C" w:rsidRPr="0025250D">
        <w:rPr>
          <w:rFonts w:hint="cs"/>
          <w:rtl/>
        </w:rPr>
        <w:t>واقع‌گرا</w:t>
      </w:r>
      <w:r w:rsidRPr="0025250D">
        <w:rPr>
          <w:rFonts w:hint="cs"/>
          <w:rtl/>
        </w:rPr>
        <w:t xml:space="preserve">یانه‌تر کردن انتظارات اغراق شده کمک کند، استفاده شود. می‌توانیم </w:t>
      </w:r>
      <w:r w:rsidR="00397E18" w:rsidRPr="0025250D">
        <w:rPr>
          <w:rtl/>
        </w:rPr>
        <w:t>پ</w:t>
      </w:r>
      <w:r w:rsidR="00397E18" w:rsidRPr="0025250D">
        <w:rPr>
          <w:rFonts w:hint="cs"/>
          <w:rtl/>
        </w:rPr>
        <w:t>ی</w:t>
      </w:r>
      <w:r w:rsidR="00397E18" w:rsidRPr="0025250D">
        <w:rPr>
          <w:rFonts w:hint="eastAsia"/>
          <w:rtl/>
        </w:rPr>
        <w:t>ش</w:t>
      </w:r>
      <w:r w:rsidR="00397E18" w:rsidRPr="0025250D">
        <w:rPr>
          <w:rtl/>
        </w:rPr>
        <w:t xml:space="preserve"> اند</w:t>
      </w:r>
      <w:r w:rsidR="00397E18" w:rsidRPr="0025250D">
        <w:rPr>
          <w:rFonts w:hint="cs"/>
          <w:rtl/>
        </w:rPr>
        <w:t>ی</w:t>
      </w:r>
      <w:r w:rsidR="00397E18" w:rsidRPr="0025250D">
        <w:rPr>
          <w:rFonts w:hint="eastAsia"/>
          <w:rtl/>
        </w:rPr>
        <w:t>ش</w:t>
      </w:r>
      <w:r w:rsidR="00397E18" w:rsidRPr="0025250D">
        <w:rPr>
          <w:rFonts w:hint="cs"/>
          <w:rtl/>
        </w:rPr>
        <w:t>ی</w:t>
      </w:r>
      <w:r w:rsidR="00397E18" w:rsidRPr="0025250D">
        <w:rPr>
          <w:rtl/>
        </w:rPr>
        <w:t xml:space="preserve"> شکست</w:t>
      </w:r>
      <w:r w:rsidR="00397E18" w:rsidRPr="0025250D">
        <w:rPr>
          <w:rFonts w:hint="cs"/>
          <w:rtl/>
        </w:rPr>
        <w:t xml:space="preserve"> </w:t>
      </w:r>
      <w:r w:rsidRPr="0025250D">
        <w:rPr>
          <w:rFonts w:hint="cs"/>
          <w:rtl/>
        </w:rPr>
        <w:t xml:space="preserve">را به عنوان راهی برای حسابرسی سریع نظر بدبینان در گروه که می‌خواهند نظرات خود را با صدای بلند بیان کنند، اما توسط سوگیری گروه برای باور به برخی آینده‌های مشخصا غیر محتمل ساکت می‌شوند، در نظر بگیریم. یک شکل معکوس، </w:t>
      </w:r>
      <w:r w:rsidR="00B56611" w:rsidRPr="0025250D">
        <w:rPr>
          <w:rFonts w:hint="cs"/>
          <w:rtl/>
        </w:rPr>
        <w:t>چشم‌انداز</w:t>
      </w:r>
      <w:r w:rsidRPr="0025250D">
        <w:rPr>
          <w:rFonts w:hint="cs"/>
          <w:rtl/>
        </w:rPr>
        <w:t xml:space="preserve">‌های موفق، می‌تواند در صورتی که به نظر ما گروه به شکل غیر منطقی بدبین است و می‌خواهیم تفکر سرنوشت گرا را حذف کرده و گروه را به مسیر اقدام مثبت باز گردانیم، استفاده شود. ما هر دو مورد را در فصل 3 بررسی کردیم و آن‌ها را بار دیگر در پیوست 1 (ارزیابی خلاصه‌ای بر مهارت‌های </w:t>
      </w:r>
      <w:r w:rsidRPr="0025250D">
        <w:rPr>
          <w:rtl/>
        </w:rPr>
        <w:t>آینده‌نگاری</w:t>
      </w:r>
      <w:r w:rsidRPr="0025250D">
        <w:rPr>
          <w:rFonts w:hint="cs"/>
          <w:rtl/>
        </w:rPr>
        <w:t>) خواهیم دید.</w:t>
      </w:r>
    </w:p>
    <w:p w14:paraId="3DA611F1" w14:textId="6F2D28C7" w:rsidR="00537CC8" w:rsidRPr="0025250D" w:rsidRDefault="00537CC8" w:rsidP="00537CC8">
      <w:pPr>
        <w:rPr>
          <w:rtl/>
        </w:rPr>
      </w:pPr>
      <w:r w:rsidRPr="0025250D">
        <w:rPr>
          <w:rFonts w:hint="cs"/>
          <w:rtl/>
        </w:rPr>
        <w:t xml:space="preserve">مدیریت تغییر، رهبری و مدیریت با هدف تشخیص و اصلاح یک مشکل سازمانی است. این کار شامل مجموعه‌ای از اقداماتی می‌شود که ما برای تشخیص و بازگرداندن فرایند‌های </w:t>
      </w:r>
      <w:r w:rsidR="00B124DE" w:rsidRPr="0025250D">
        <w:rPr>
          <w:rFonts w:hint="cs"/>
          <w:rtl/>
        </w:rPr>
        <w:t>کسب‌و‌کار</w:t>
      </w:r>
      <w:r w:rsidRPr="0025250D">
        <w:rPr>
          <w:rFonts w:hint="cs"/>
          <w:rtl/>
        </w:rPr>
        <w:t xml:space="preserve"> و </w:t>
      </w:r>
      <w:r w:rsidR="00701E03" w:rsidRPr="0025250D">
        <w:rPr>
          <w:rFonts w:hint="cs"/>
          <w:rtl/>
        </w:rPr>
        <w:t>راهبرد</w:t>
      </w:r>
      <w:r w:rsidRPr="0025250D">
        <w:rPr>
          <w:rFonts w:hint="cs"/>
          <w:rtl/>
        </w:rPr>
        <w:t xml:space="preserve"> سازمانی، اغلب بر خلاف </w:t>
      </w:r>
      <w:r w:rsidRPr="0025250D">
        <w:rPr>
          <w:rtl/>
        </w:rPr>
        <w:t>ا</w:t>
      </w:r>
      <w:r w:rsidRPr="0025250D">
        <w:rPr>
          <w:rFonts w:hint="cs"/>
          <w:rtl/>
        </w:rPr>
        <w:t>ی</w:t>
      </w:r>
      <w:r w:rsidRPr="0025250D">
        <w:rPr>
          <w:rFonts w:hint="eastAsia"/>
          <w:rtl/>
        </w:rPr>
        <w:t>نرس</w:t>
      </w:r>
      <w:r w:rsidRPr="0025250D">
        <w:rPr>
          <w:rFonts w:hint="cs"/>
          <w:rtl/>
        </w:rPr>
        <w:t>ی سیاسی استفاده می‌کنیم. وقتی شرکت‌ها به دردسر می‌افتند، اغلب یک تیم بازگردانی را وارد کار می‌کنند، تیمی با تجربه خوب در ایجاد اصلاحات شدیدی که ممکن است وقتی ساختار سازمان یا فرایند آن به طور جدی از همراستایی با محیط رقابتی خارج شده است، لازم باشد. انجمن متخصصین مدیریت تغییر</w:t>
      </w:r>
      <w:r w:rsidRPr="0025250D">
        <w:rPr>
          <w:vertAlign w:val="superscript"/>
          <w:rtl/>
        </w:rPr>
        <w:footnoteReference w:id="2408"/>
      </w:r>
      <w:r w:rsidRPr="0025250D">
        <w:rPr>
          <w:rFonts w:hint="cs"/>
          <w:rtl/>
        </w:rPr>
        <w:t xml:space="preserve"> (</w:t>
      </w:r>
      <w:r w:rsidRPr="0025250D">
        <w:t>ACMP</w:t>
      </w:r>
      <w:r w:rsidRPr="0025250D">
        <w:rPr>
          <w:rFonts w:hint="cs"/>
          <w:rtl/>
        </w:rPr>
        <w:t>) یک جامعه فعال جدید است که به دنبال استاندارد سازی و ترویج این زیرتخصص رهبری و مدیریت است.</w:t>
      </w:r>
    </w:p>
    <w:p w14:paraId="270B2FEE" w14:textId="23C02D16" w:rsidR="00537CC8" w:rsidRPr="0025250D" w:rsidRDefault="00537CC8" w:rsidP="00537CC8">
      <w:pPr>
        <w:rPr>
          <w:rtl/>
        </w:rPr>
      </w:pPr>
      <w:r w:rsidRPr="0025250D">
        <w:rPr>
          <w:rFonts w:hint="cs"/>
          <w:rtl/>
        </w:rPr>
        <w:t xml:space="preserve">مانند </w:t>
      </w:r>
      <w:r w:rsidRPr="0025250D">
        <w:rPr>
          <w:rtl/>
        </w:rPr>
        <w:t>آینده‌نگاری</w:t>
      </w:r>
      <w:r w:rsidRPr="0025250D">
        <w:rPr>
          <w:rFonts w:hint="cs"/>
          <w:rtl/>
        </w:rPr>
        <w:t xml:space="preserve"> و رهبری، مدیریت تغییر به هر هشت مهارت نیاز دارد، اما ما آن را عمدتاً به عنوان یک مهارت بازبینی دسته بندی می‌کنیم زیرا در ابتدا به تشخیص کافی فرصت‌ها و مشکلات سازمانی (اولین گام </w:t>
      </w:r>
      <w:r w:rsidRPr="0025250D">
        <w:rPr>
          <w:rtl/>
        </w:rPr>
        <w:t>راملت</w:t>
      </w:r>
      <w:r w:rsidRPr="0025250D">
        <w:rPr>
          <w:vertAlign w:val="superscript"/>
          <w:rtl/>
        </w:rPr>
        <w:footnoteReference w:id="2409"/>
      </w:r>
      <w:r w:rsidRPr="0025250D">
        <w:rPr>
          <w:rFonts w:hint="cs"/>
          <w:rtl/>
        </w:rPr>
        <w:t xml:space="preserve"> در </w:t>
      </w:r>
      <w:r w:rsidR="00701E03" w:rsidRPr="0025250D">
        <w:rPr>
          <w:rFonts w:hint="cs"/>
          <w:rtl/>
        </w:rPr>
        <w:t>راهبرد</w:t>
      </w:r>
      <w:r w:rsidRPr="0025250D">
        <w:rPr>
          <w:rFonts w:hint="cs"/>
          <w:rtl/>
        </w:rPr>
        <w:t xml:space="preserve">) برای تشخیص آنچه که به‌خوبی کار می‌کند یا کار نمی‌کند، سپس ابداع </w:t>
      </w:r>
      <w:r w:rsidR="00701E03" w:rsidRPr="0025250D">
        <w:rPr>
          <w:rFonts w:hint="cs"/>
          <w:rtl/>
        </w:rPr>
        <w:t>راهبرد</w:t>
      </w:r>
      <w:r w:rsidRPr="0025250D">
        <w:rPr>
          <w:rFonts w:hint="cs"/>
          <w:rtl/>
        </w:rPr>
        <w:t xml:space="preserve"> خوب برای استفاده از فرصت‌ها و اصلاح مشکلات کلیدی، همراهی افراد با برنامه تغییر از طریق استفاده از </w:t>
      </w:r>
      <w:r w:rsidR="0008779C" w:rsidRPr="0025250D">
        <w:rPr>
          <w:rFonts w:hint="cs"/>
          <w:rtl/>
        </w:rPr>
        <w:t>تاثیرگذاری</w:t>
      </w:r>
      <w:r w:rsidRPr="0025250D">
        <w:rPr>
          <w:rFonts w:hint="cs"/>
          <w:rtl/>
        </w:rPr>
        <w:t xml:space="preserve"> بر آن‌ها، ایجاد اصلاحات و بازبینی دائمی این که آیا </w:t>
      </w:r>
      <w:r w:rsidR="00701E03" w:rsidRPr="0025250D">
        <w:rPr>
          <w:rFonts w:hint="cs"/>
          <w:rtl/>
        </w:rPr>
        <w:t>راهبرد</w:t>
      </w:r>
      <w:r w:rsidRPr="0025250D">
        <w:rPr>
          <w:rFonts w:hint="cs"/>
          <w:rtl/>
        </w:rPr>
        <w:t xml:space="preserve"> و عمل </w:t>
      </w:r>
      <w:r w:rsidR="0008779C" w:rsidRPr="0025250D">
        <w:rPr>
          <w:rFonts w:hint="cs"/>
          <w:rtl/>
        </w:rPr>
        <w:t>موفقیت‌آمیز</w:t>
      </w:r>
      <w:r w:rsidRPr="0025250D">
        <w:rPr>
          <w:rFonts w:hint="cs"/>
          <w:rtl/>
        </w:rPr>
        <w:t xml:space="preserve"> هستند یا خیر و </w:t>
      </w:r>
      <w:r w:rsidR="002F3C14" w:rsidRPr="0025250D">
        <w:rPr>
          <w:rFonts w:hint="cs"/>
          <w:rtl/>
        </w:rPr>
        <w:t>انطباق</w:t>
      </w:r>
      <w:r w:rsidRPr="0025250D">
        <w:rPr>
          <w:rFonts w:hint="cs"/>
          <w:rtl/>
        </w:rPr>
        <w:t xml:space="preserve"> و تنظیم بیش‌تر </w:t>
      </w:r>
      <w:r w:rsidR="00701E03" w:rsidRPr="0025250D">
        <w:rPr>
          <w:rFonts w:hint="cs"/>
          <w:rtl/>
        </w:rPr>
        <w:t>راهبرد</w:t>
      </w:r>
      <w:r w:rsidRPr="0025250D">
        <w:rPr>
          <w:rFonts w:hint="cs"/>
          <w:rtl/>
        </w:rPr>
        <w:t xml:space="preserve"> در صورت لزوم، نیاز دارد.</w:t>
      </w:r>
    </w:p>
    <w:p w14:paraId="733A8E15" w14:textId="3A449809" w:rsidR="00537CC8" w:rsidRPr="0025250D" w:rsidRDefault="00537CC8" w:rsidP="00537CC8">
      <w:pPr>
        <w:rPr>
          <w:rtl/>
        </w:rPr>
      </w:pPr>
      <w:r w:rsidRPr="0025250D">
        <w:rPr>
          <w:rFonts w:hint="cs"/>
          <w:rtl/>
        </w:rPr>
        <w:t>برای جلوگیری از نیاز به یک تیم بازگردانی</w:t>
      </w:r>
      <w:r w:rsidRPr="0025250D">
        <w:rPr>
          <w:vertAlign w:val="superscript"/>
          <w:rtl/>
        </w:rPr>
        <w:footnoteReference w:id="2410"/>
      </w:r>
      <w:r w:rsidRPr="0025250D">
        <w:rPr>
          <w:rFonts w:hint="cs"/>
          <w:rtl/>
        </w:rPr>
        <w:t xml:space="preserve">، برخی هیئت مدیره‌ها حتی برخی موقعیت‌ها و فرایند‌های مدیریت تغییر را در سازمان خود در زمان‌های مناسب به صورت رسمی ایجاد می‌کنند. </w:t>
      </w:r>
      <w:r w:rsidR="007118DE" w:rsidRPr="0025250D">
        <w:rPr>
          <w:rFonts w:hint="cs"/>
          <w:rtl/>
        </w:rPr>
        <w:t>همان‌طور</w:t>
      </w:r>
      <w:r w:rsidRPr="0025250D">
        <w:rPr>
          <w:rFonts w:hint="cs"/>
          <w:rtl/>
        </w:rPr>
        <w:t xml:space="preserve">که </w:t>
      </w:r>
      <w:r w:rsidRPr="0025250D">
        <w:rPr>
          <w:rtl/>
        </w:rPr>
        <w:t>مور</w:t>
      </w:r>
      <w:r w:rsidRPr="0025250D">
        <w:rPr>
          <w:rFonts w:hint="cs"/>
          <w:rtl/>
        </w:rPr>
        <w:t>ی</w:t>
      </w:r>
      <w:r w:rsidRPr="0025250D">
        <w:rPr>
          <w:rtl/>
        </w:rPr>
        <w:t xml:space="preserve"> ل</w:t>
      </w:r>
      <w:r w:rsidRPr="0025250D">
        <w:rPr>
          <w:rFonts w:hint="cs"/>
          <w:rtl/>
        </w:rPr>
        <w:t>ی</w:t>
      </w:r>
      <w:r w:rsidRPr="0025250D">
        <w:rPr>
          <w:rFonts w:hint="eastAsia"/>
          <w:rtl/>
        </w:rPr>
        <w:t>نکلن</w:t>
      </w:r>
      <w:r w:rsidRPr="0025250D">
        <w:rPr>
          <w:vertAlign w:val="superscript"/>
          <w:rtl/>
        </w:rPr>
        <w:footnoteReference w:id="2411"/>
      </w:r>
      <w:r w:rsidRPr="0025250D">
        <w:rPr>
          <w:rFonts w:hint="cs"/>
          <w:rtl/>
        </w:rPr>
        <w:t>، یکی از رهبران قرن بیستمی در حرکت شرکتی</w:t>
      </w:r>
      <w:r w:rsidRPr="0025250D">
        <w:rPr>
          <w:vertAlign w:val="superscript"/>
          <w:rtl/>
        </w:rPr>
        <w:footnoteReference w:id="2412"/>
      </w:r>
      <w:r w:rsidRPr="0025250D">
        <w:rPr>
          <w:rFonts w:hint="cs"/>
          <w:rtl/>
        </w:rPr>
        <w:t xml:space="preserve"> بیان می‌کند، هر شرکتی باید </w:t>
      </w:r>
      <w:r w:rsidR="00E402E3" w:rsidRPr="0025250D">
        <w:rPr>
          <w:rtl/>
        </w:rPr>
        <w:t>«</w:t>
      </w:r>
      <w:r w:rsidRPr="0025250D">
        <w:rPr>
          <w:rFonts w:hint="cs"/>
          <w:rtl/>
        </w:rPr>
        <w:t>یک معاونت مسئول تحول داشته باشد</w:t>
      </w:r>
      <w:r w:rsidR="00E402E3" w:rsidRPr="0025250D">
        <w:rPr>
          <w:rtl/>
        </w:rPr>
        <w:t>»</w:t>
      </w:r>
      <w:r w:rsidRPr="0025250D">
        <w:rPr>
          <w:rFonts w:hint="cs"/>
          <w:rtl/>
        </w:rPr>
        <w:t>، کسی که وظیفه اصلی او نقد، به چالش کشیدن و ایجاد جنبش‌هایی در میان همکاران سنتی‌تر خود باشد. زیر سؤال بردن دوره‌ای پایه‌های خود چگونگی قدرتمند باقی ماندن همه شرکت‌های خوب است.</w:t>
      </w:r>
    </w:p>
    <w:p w14:paraId="2869A68E" w14:textId="533A9579" w:rsidR="00537CC8" w:rsidRPr="0025250D" w:rsidRDefault="00537CC8" w:rsidP="00537CC8">
      <w:pPr>
        <w:rPr>
          <w:rtl/>
        </w:rPr>
      </w:pPr>
      <w:r w:rsidRPr="0025250D">
        <w:rPr>
          <w:rFonts w:hint="cs"/>
          <w:rtl/>
        </w:rPr>
        <w:t xml:space="preserve">مانند همه تخصصص‌هایی که توصیف کردیم، مدیریت تغییر در یک حلقه انجام رخ می‌دهد. هرچه اعضای سازمان ما بتوانند سریع‌تر، کارآمد‌تر و قوی‌تر حلقه انجام را اجرا کنند، </w:t>
      </w:r>
      <w:r w:rsidR="00B124DE" w:rsidRPr="0025250D">
        <w:rPr>
          <w:rFonts w:hint="cs"/>
          <w:rtl/>
        </w:rPr>
        <w:t>انطباق‌پذیر</w:t>
      </w:r>
      <w:r w:rsidRPr="0025250D">
        <w:rPr>
          <w:rFonts w:hint="cs"/>
          <w:rtl/>
        </w:rPr>
        <w:t xml:space="preserve">‌تر می‌شویم. این امر به‌خوبی در مدل هشت مرحله‌ای حلقه‌ای </w:t>
      </w:r>
      <w:r w:rsidRPr="0025250D">
        <w:rPr>
          <w:rtl/>
        </w:rPr>
        <w:t>جان کوتر</w:t>
      </w:r>
      <w:r w:rsidRPr="0025250D">
        <w:rPr>
          <w:vertAlign w:val="superscript"/>
          <w:rtl/>
        </w:rPr>
        <w:footnoteReference w:id="2413"/>
      </w:r>
      <w:r w:rsidRPr="0025250D">
        <w:rPr>
          <w:rFonts w:hint="cs"/>
          <w:rtl/>
        </w:rPr>
        <w:t xml:space="preserve"> در کتاب رهبری تغییر</w:t>
      </w:r>
      <w:r w:rsidRPr="0025250D">
        <w:rPr>
          <w:vertAlign w:val="superscript"/>
          <w:rtl/>
        </w:rPr>
        <w:footnoteReference w:id="2414"/>
      </w:r>
      <w:r w:rsidRPr="0025250D">
        <w:rPr>
          <w:rFonts w:hint="cs"/>
          <w:rtl/>
        </w:rPr>
        <w:t xml:space="preserve"> در سال 2012 توصیف شده است. یک منبع عالی دیگر درمورد تغییر رفتار گروهی، با استفاده از مهارت‌های مدیریت تغییر و تأثیرگذاری، کتاب تأثیر گذار: علم رهبری تغییر</w:t>
      </w:r>
      <w:r w:rsidRPr="0025250D">
        <w:rPr>
          <w:vertAlign w:val="superscript"/>
          <w:rtl/>
        </w:rPr>
        <w:footnoteReference w:id="2415"/>
      </w:r>
      <w:r w:rsidRPr="0025250D">
        <w:rPr>
          <w:rFonts w:hint="cs"/>
          <w:rtl/>
        </w:rPr>
        <w:t xml:space="preserve"> اثر </w:t>
      </w:r>
      <w:r w:rsidRPr="0025250D">
        <w:rPr>
          <w:rtl/>
        </w:rPr>
        <w:t>گرن</w:t>
      </w:r>
      <w:r w:rsidRPr="0025250D">
        <w:rPr>
          <w:rFonts w:hint="cs"/>
          <w:rtl/>
        </w:rPr>
        <w:t>ی</w:t>
      </w:r>
      <w:r w:rsidRPr="0025250D">
        <w:rPr>
          <w:vertAlign w:val="superscript"/>
          <w:rtl/>
        </w:rPr>
        <w:footnoteReference w:id="2416"/>
      </w:r>
      <w:r w:rsidRPr="0025250D">
        <w:rPr>
          <w:rFonts w:hint="cs"/>
          <w:rtl/>
        </w:rPr>
        <w:t xml:space="preserve"> و همکاران در سال 2013 است.</w:t>
      </w:r>
    </w:p>
    <w:p w14:paraId="782750DA" w14:textId="77777777" w:rsidR="00537CC8" w:rsidRPr="0025250D" w:rsidRDefault="00537CC8" w:rsidP="003D3E0A">
      <w:pPr>
        <w:jc w:val="center"/>
        <w:rPr>
          <w:rtl/>
        </w:rPr>
      </w:pPr>
      <w:r w:rsidRPr="0025250D">
        <w:rPr>
          <w:noProof/>
          <w:rtl/>
          <w:lang w:bidi="ar-SA"/>
        </w:rPr>
        <w:drawing>
          <wp:inline distT="0" distB="0" distL="0" distR="0" wp14:anchorId="7032800E" wp14:editId="190E9E7F">
            <wp:extent cx="1409321" cy="2009955"/>
            <wp:effectExtent l="0" t="0" r="635" b="0"/>
            <wp:docPr id="138" name="Picture 138" descr="D:\کار\مستقل\3 ( ترجمه ی دانشگاه تهران  )\Introduction to Foresight\part6\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کار\مستقل\3 ( ترجمه ی دانشگاه تهران  )\Introduction to Foresight\part6\36.png"/>
                    <pic:cNvPicPr>
                      <a:picLocks noChangeAspect="1" noChangeArrowheads="1"/>
                    </pic:cNvPicPr>
                  </pic:nvPicPr>
                  <pic:blipFill rotWithShape="1">
                    <a:blip r:embed="rId222" cstate="screen">
                      <a:extLst>
                        <a:ext uri="{BEBA8EAE-BF5A-486C-A8C5-ECC9F3942E4B}">
                          <a14:imgProps xmlns:a14="http://schemas.microsoft.com/office/drawing/2010/main">
                            <a14:imgLayer r:embed="rId223">
                              <a14:imgEffect>
                                <a14:saturation sat="0"/>
                              </a14:imgEffect>
                            </a14:imgLayer>
                          </a14:imgProps>
                        </a:ext>
                        <a:ext uri="{28A0092B-C50C-407E-A947-70E740481C1C}">
                          <a14:useLocalDpi xmlns:a14="http://schemas.microsoft.com/office/drawing/2010/main"/>
                        </a:ext>
                      </a:extLst>
                    </a:blip>
                    <a:srcRect b="10686"/>
                    <a:stretch/>
                  </pic:blipFill>
                  <pic:spPr bwMode="auto">
                    <a:xfrm>
                      <a:off x="0" y="0"/>
                      <a:ext cx="1411399" cy="2012918"/>
                    </a:xfrm>
                    <a:prstGeom prst="rect">
                      <a:avLst/>
                    </a:prstGeom>
                    <a:noFill/>
                    <a:ln>
                      <a:noFill/>
                    </a:ln>
                    <a:extLst>
                      <a:ext uri="{53640926-AAD7-44D8-BBD7-CCE9431645EC}">
                        <a14:shadowObscured xmlns:a14="http://schemas.microsoft.com/office/drawing/2010/main"/>
                      </a:ext>
                    </a:extLst>
                  </pic:spPr>
                </pic:pic>
              </a:graphicData>
            </a:graphic>
          </wp:inline>
        </w:drawing>
      </w:r>
    </w:p>
    <w:p w14:paraId="1755AF0A" w14:textId="77777777" w:rsidR="00537CC8" w:rsidRPr="0025250D" w:rsidRDefault="00537CC8" w:rsidP="003D3E0A">
      <w:pPr>
        <w:jc w:val="center"/>
        <w:rPr>
          <w:rtl/>
        </w:rPr>
      </w:pPr>
      <w:r w:rsidRPr="0025250D">
        <w:rPr>
          <w:rtl/>
        </w:rPr>
        <w:t>گرن</w:t>
      </w:r>
      <w:r w:rsidRPr="0025250D">
        <w:rPr>
          <w:rFonts w:hint="cs"/>
          <w:rtl/>
        </w:rPr>
        <w:t>ی، 2013</w:t>
      </w:r>
    </w:p>
    <w:p w14:paraId="4D28BF37" w14:textId="20830950" w:rsidR="00537CC8" w:rsidRPr="0025250D" w:rsidRDefault="00537CC8" w:rsidP="00537CC8">
      <w:pPr>
        <w:rPr>
          <w:rtl/>
        </w:rPr>
      </w:pPr>
      <w:r w:rsidRPr="0025250D">
        <w:rPr>
          <w:rFonts w:hint="cs"/>
          <w:rtl/>
        </w:rPr>
        <w:t xml:space="preserve">این موارد و دیگر مطالعات مدیریت تغییر بر </w:t>
      </w:r>
      <w:r w:rsidR="00701E03" w:rsidRPr="0025250D">
        <w:rPr>
          <w:rFonts w:hint="cs"/>
          <w:rtl/>
        </w:rPr>
        <w:t>راهبرد</w:t>
      </w:r>
      <w:r w:rsidRPr="0025250D">
        <w:rPr>
          <w:rFonts w:hint="cs"/>
          <w:rtl/>
        </w:rPr>
        <w:t xml:space="preserve">‌هایی </w:t>
      </w:r>
      <w:r w:rsidR="009A0F9A" w:rsidRPr="0025250D">
        <w:rPr>
          <w:rFonts w:hint="cs"/>
          <w:rtl/>
        </w:rPr>
        <w:t xml:space="preserve">تأکید دارند </w:t>
      </w:r>
      <w:r w:rsidRPr="0025250D">
        <w:rPr>
          <w:rFonts w:hint="cs"/>
          <w:rtl/>
        </w:rPr>
        <w:t>که شامل تمرکز بر رفتار‌های کوچکی که جهت جدید حرکت را به گروه نشان می‌دهند</w:t>
      </w:r>
      <w:r w:rsidR="009A0F9A" w:rsidRPr="0025250D">
        <w:rPr>
          <w:rFonts w:hint="cs"/>
          <w:rtl/>
        </w:rPr>
        <w:t>؛</w:t>
      </w:r>
      <w:r w:rsidRPr="0025250D">
        <w:rPr>
          <w:rFonts w:hint="cs"/>
          <w:rtl/>
        </w:rPr>
        <w:t xml:space="preserve"> توانمندسازی عمومی </w:t>
      </w:r>
      <w:r w:rsidR="00B124DE" w:rsidRPr="0025250D">
        <w:rPr>
          <w:rFonts w:hint="cs"/>
          <w:rtl/>
        </w:rPr>
        <w:t>انطباق‌پذیر</w:t>
      </w:r>
      <w:r w:rsidRPr="0025250D">
        <w:rPr>
          <w:rFonts w:hint="cs"/>
          <w:rtl/>
        </w:rPr>
        <w:t>ندگان اولیه‌ای که تغییراتی را که به دنبال آن‌ها هستیم مدلسازی می‌کنند و ساختار بندی محیط‌های همکاری، فیزیکی ودیجیتالی برای تشویق تغییرات،</w:t>
      </w:r>
      <w:r w:rsidR="009A0F9A" w:rsidRPr="0025250D">
        <w:rPr>
          <w:rFonts w:hint="cs"/>
          <w:rtl/>
        </w:rPr>
        <w:t xml:space="preserve"> می شوند</w:t>
      </w:r>
      <w:r w:rsidRPr="0025250D">
        <w:rPr>
          <w:rFonts w:hint="cs"/>
          <w:rtl/>
        </w:rPr>
        <w:t>. کتاب عادت‌های کوچک</w:t>
      </w:r>
      <w:r w:rsidRPr="0025250D">
        <w:rPr>
          <w:vertAlign w:val="superscript"/>
          <w:rtl/>
        </w:rPr>
        <w:footnoteReference w:id="2417"/>
      </w:r>
      <w:r w:rsidRPr="0025250D">
        <w:rPr>
          <w:rFonts w:hint="cs"/>
          <w:rtl/>
        </w:rPr>
        <w:t xml:space="preserve"> اثر </w:t>
      </w:r>
      <w:r w:rsidRPr="0025250D">
        <w:rPr>
          <w:rtl/>
        </w:rPr>
        <w:t>استفان گ</w:t>
      </w:r>
      <w:r w:rsidRPr="0025250D">
        <w:rPr>
          <w:rFonts w:hint="cs"/>
          <w:rtl/>
        </w:rPr>
        <w:t>ی</w:t>
      </w:r>
      <w:r w:rsidRPr="0025250D">
        <w:rPr>
          <w:rFonts w:hint="eastAsia"/>
          <w:rtl/>
        </w:rPr>
        <w:t>ز</w:t>
      </w:r>
      <w:r w:rsidRPr="0025250D">
        <w:rPr>
          <w:vertAlign w:val="superscript"/>
          <w:rtl/>
        </w:rPr>
        <w:footnoteReference w:id="2418"/>
      </w:r>
      <w:r w:rsidRPr="0025250D">
        <w:rPr>
          <w:rFonts w:hint="cs"/>
          <w:rtl/>
        </w:rPr>
        <w:t xml:space="preserve"> در سال 2013 خلاصه خوبی از قدرت </w:t>
      </w:r>
      <w:r w:rsidR="00701E03" w:rsidRPr="0025250D">
        <w:rPr>
          <w:rFonts w:hint="cs"/>
          <w:rtl/>
        </w:rPr>
        <w:t>راهبرد</w:t>
      </w:r>
      <w:r w:rsidRPr="0025250D">
        <w:rPr>
          <w:rFonts w:hint="cs"/>
          <w:rtl/>
        </w:rPr>
        <w:t xml:space="preserve"> </w:t>
      </w:r>
      <w:r w:rsidR="00E402E3" w:rsidRPr="0025250D">
        <w:rPr>
          <w:rtl/>
        </w:rPr>
        <w:t>«</w:t>
      </w:r>
      <w:r w:rsidRPr="0025250D">
        <w:rPr>
          <w:rFonts w:hint="cs"/>
          <w:rtl/>
        </w:rPr>
        <w:t>عادت کوچک خوب</w:t>
      </w:r>
      <w:r w:rsidR="00E402E3" w:rsidRPr="0025250D">
        <w:rPr>
          <w:rtl/>
        </w:rPr>
        <w:t>»</w:t>
      </w:r>
      <w:r w:rsidRPr="0025250D">
        <w:rPr>
          <w:rFonts w:hint="cs"/>
          <w:rtl/>
        </w:rPr>
        <w:t xml:space="preserve">، هم به صورت </w:t>
      </w:r>
      <w:r w:rsidR="001A3F0A" w:rsidRPr="0025250D">
        <w:rPr>
          <w:rFonts w:hint="cs"/>
          <w:rtl/>
        </w:rPr>
        <w:t>فردی</w:t>
      </w:r>
      <w:r w:rsidRPr="0025250D">
        <w:rPr>
          <w:rFonts w:hint="cs"/>
          <w:rtl/>
        </w:rPr>
        <w:t xml:space="preserve"> هم برای تیم، ارائه می‌دهد. تعریف، درخواست و پاداش عمومی رفتار‌های کوچک و بسیار قابل دست یابی که </w:t>
      </w:r>
      <w:r w:rsidR="00CF59DF" w:rsidRPr="0025250D">
        <w:rPr>
          <w:rFonts w:hint="cs"/>
          <w:rtl/>
        </w:rPr>
        <w:t>جهت‌گیری</w:t>
      </w:r>
      <w:r w:rsidRPr="0025250D">
        <w:rPr>
          <w:rFonts w:hint="cs"/>
          <w:rtl/>
        </w:rPr>
        <w:t xml:space="preserve"> جدید را نشان می‌دهند، به</w:t>
      </w:r>
      <w:r w:rsidRPr="0025250D">
        <w:rPr>
          <w:rtl/>
        </w:rPr>
        <w:t xml:space="preserve"> </w:t>
      </w:r>
      <w:r w:rsidRPr="0025250D">
        <w:rPr>
          <w:rFonts w:hint="cs"/>
          <w:rtl/>
        </w:rPr>
        <w:t>سازمان</w:t>
      </w:r>
      <w:r w:rsidRPr="0025250D">
        <w:rPr>
          <w:rtl/>
        </w:rPr>
        <w:t xml:space="preserve"> </w:t>
      </w:r>
      <w:r w:rsidRPr="0025250D">
        <w:rPr>
          <w:rFonts w:hint="cs"/>
          <w:rtl/>
        </w:rPr>
        <w:t>برای</w:t>
      </w:r>
      <w:r w:rsidRPr="0025250D">
        <w:rPr>
          <w:rtl/>
        </w:rPr>
        <w:t xml:space="preserve"> </w:t>
      </w:r>
      <w:r w:rsidRPr="0025250D">
        <w:rPr>
          <w:rFonts w:hint="cs"/>
          <w:rtl/>
        </w:rPr>
        <w:t>تحریک</w:t>
      </w:r>
      <w:r w:rsidRPr="0025250D">
        <w:rPr>
          <w:rtl/>
        </w:rPr>
        <w:t xml:space="preserve"> </w:t>
      </w:r>
      <w:r w:rsidRPr="0025250D">
        <w:rPr>
          <w:rFonts w:hint="cs"/>
          <w:rtl/>
        </w:rPr>
        <w:t>تغییرات</w:t>
      </w:r>
      <w:r w:rsidRPr="0025250D">
        <w:rPr>
          <w:rtl/>
        </w:rPr>
        <w:t xml:space="preserve"> </w:t>
      </w:r>
      <w:r w:rsidRPr="0025250D">
        <w:rPr>
          <w:rFonts w:hint="cs"/>
          <w:rtl/>
        </w:rPr>
        <w:t>به</w:t>
      </w:r>
      <w:r w:rsidRPr="0025250D">
        <w:rPr>
          <w:rtl/>
        </w:rPr>
        <w:t xml:space="preserve"> </w:t>
      </w:r>
      <w:r w:rsidRPr="0025250D">
        <w:rPr>
          <w:rFonts w:hint="cs"/>
          <w:rtl/>
        </w:rPr>
        <w:t>صورت</w:t>
      </w:r>
      <w:r w:rsidRPr="0025250D">
        <w:rPr>
          <w:rtl/>
        </w:rPr>
        <w:t xml:space="preserve"> </w:t>
      </w:r>
      <w:r w:rsidRPr="0025250D">
        <w:rPr>
          <w:rFonts w:hint="cs"/>
          <w:rtl/>
        </w:rPr>
        <w:t>سریع</w:t>
      </w:r>
      <w:r w:rsidRPr="0025250D">
        <w:rPr>
          <w:rtl/>
        </w:rPr>
        <w:t xml:space="preserve">‌تر </w:t>
      </w:r>
      <w:r w:rsidRPr="0025250D">
        <w:rPr>
          <w:rFonts w:hint="cs"/>
          <w:rtl/>
        </w:rPr>
        <w:t>و</w:t>
      </w:r>
      <w:r w:rsidRPr="0025250D">
        <w:rPr>
          <w:rtl/>
        </w:rPr>
        <w:t xml:space="preserve"> </w:t>
      </w:r>
      <w:r w:rsidRPr="0025250D">
        <w:rPr>
          <w:rFonts w:hint="cs"/>
          <w:rtl/>
        </w:rPr>
        <w:t>مطمئن</w:t>
      </w:r>
      <w:r w:rsidRPr="0025250D">
        <w:rPr>
          <w:rtl/>
        </w:rPr>
        <w:t xml:space="preserve">‌تر </w:t>
      </w:r>
      <w:r w:rsidRPr="0025250D">
        <w:rPr>
          <w:rFonts w:hint="cs"/>
          <w:rtl/>
        </w:rPr>
        <w:t>کمک</w:t>
      </w:r>
      <w:r w:rsidRPr="0025250D">
        <w:rPr>
          <w:rtl/>
        </w:rPr>
        <w:t xml:space="preserve"> می‌</w:t>
      </w:r>
      <w:r w:rsidRPr="0025250D">
        <w:rPr>
          <w:rFonts w:hint="cs"/>
          <w:rtl/>
        </w:rPr>
        <w:t>کنند.</w:t>
      </w:r>
    </w:p>
    <w:p w14:paraId="2F3C7DBE" w14:textId="4284F51A" w:rsidR="00537CC8" w:rsidRPr="0025250D" w:rsidRDefault="00537CC8" w:rsidP="00537CC8">
      <w:pPr>
        <w:rPr>
          <w:rtl/>
        </w:rPr>
      </w:pPr>
      <w:r w:rsidRPr="0025250D">
        <w:rPr>
          <w:rtl/>
        </w:rPr>
        <w:t>وا</w:t>
      </w:r>
      <w:r w:rsidRPr="0025250D">
        <w:rPr>
          <w:rFonts w:hint="cs"/>
          <w:rtl/>
        </w:rPr>
        <w:t>ی</w:t>
      </w:r>
      <w:r w:rsidRPr="0025250D">
        <w:rPr>
          <w:rFonts w:hint="eastAsia"/>
          <w:rtl/>
        </w:rPr>
        <w:t>ادگ</w:t>
      </w:r>
      <w:r w:rsidRPr="0025250D">
        <w:rPr>
          <w:rFonts w:hint="cs"/>
          <w:rtl/>
        </w:rPr>
        <w:t>ی</w:t>
      </w:r>
      <w:r w:rsidRPr="0025250D">
        <w:rPr>
          <w:rFonts w:hint="eastAsia"/>
          <w:rtl/>
        </w:rPr>
        <w:t>ر</w:t>
      </w:r>
      <w:r w:rsidRPr="0025250D">
        <w:rPr>
          <w:rFonts w:hint="cs"/>
          <w:rtl/>
        </w:rPr>
        <w:t>ی</w:t>
      </w:r>
      <w:r w:rsidRPr="0025250D">
        <w:rPr>
          <w:vertAlign w:val="superscript"/>
          <w:rtl/>
        </w:rPr>
        <w:footnoteReference w:id="2419"/>
      </w:r>
      <w:r w:rsidRPr="0025250D">
        <w:rPr>
          <w:rFonts w:hint="cs"/>
          <w:rtl/>
        </w:rPr>
        <w:t xml:space="preserve"> یک چالش کلیدی زندگی و سازمانی دیگر است که با مهارت بازبینی آغاز می‌شود. ما باید از بازخورد برای درک آنچه باید ازهن خود پاک کنیم استفاده کنیم تا بتوانیم عملکرد بهتری در چرخه انجام بعدی داشته باشیم. </w:t>
      </w:r>
      <w:r w:rsidR="007118DE" w:rsidRPr="0025250D">
        <w:rPr>
          <w:rFonts w:hint="cs"/>
          <w:rtl/>
        </w:rPr>
        <w:t>همان‌طور</w:t>
      </w:r>
      <w:r w:rsidRPr="0025250D">
        <w:rPr>
          <w:rFonts w:hint="cs"/>
          <w:rtl/>
        </w:rPr>
        <w:t xml:space="preserve"> که </w:t>
      </w:r>
      <w:r w:rsidRPr="0025250D">
        <w:rPr>
          <w:rtl/>
        </w:rPr>
        <w:t>و</w:t>
      </w:r>
      <w:r w:rsidRPr="0025250D">
        <w:rPr>
          <w:rFonts w:hint="cs"/>
          <w:rtl/>
        </w:rPr>
        <w:t>ی</w:t>
      </w:r>
      <w:r w:rsidRPr="0025250D">
        <w:rPr>
          <w:rFonts w:hint="eastAsia"/>
          <w:rtl/>
        </w:rPr>
        <w:t>ل</w:t>
      </w:r>
      <w:r w:rsidRPr="0025250D">
        <w:rPr>
          <w:rtl/>
        </w:rPr>
        <w:t xml:space="preserve"> راجرز و مارک توا</w:t>
      </w:r>
      <w:r w:rsidRPr="0025250D">
        <w:rPr>
          <w:rFonts w:hint="cs"/>
          <w:rtl/>
        </w:rPr>
        <w:t>ی</w:t>
      </w:r>
      <w:r w:rsidRPr="0025250D">
        <w:rPr>
          <w:rFonts w:hint="eastAsia"/>
          <w:rtl/>
        </w:rPr>
        <w:t>ن</w:t>
      </w:r>
      <w:r w:rsidRPr="0025250D">
        <w:rPr>
          <w:vertAlign w:val="superscript"/>
          <w:rtl/>
        </w:rPr>
        <w:footnoteReference w:id="2420"/>
      </w:r>
      <w:r w:rsidRPr="0025250D">
        <w:rPr>
          <w:rFonts w:hint="cs"/>
          <w:rtl/>
        </w:rPr>
        <w:t xml:space="preserve"> هر دو (به شکل‌های مختلفی) بیان </w:t>
      </w:r>
      <w:r w:rsidR="007118DE" w:rsidRPr="0025250D">
        <w:rPr>
          <w:rFonts w:hint="cs"/>
          <w:rtl/>
        </w:rPr>
        <w:t>کرده‌اند</w:t>
      </w:r>
      <w:r w:rsidRPr="0025250D">
        <w:rPr>
          <w:rFonts w:hint="cs"/>
          <w:rtl/>
        </w:rPr>
        <w:t xml:space="preserve">: </w:t>
      </w:r>
      <w:r w:rsidR="00E402E3" w:rsidRPr="0025250D">
        <w:rPr>
          <w:rtl/>
        </w:rPr>
        <w:t>«</w:t>
      </w:r>
      <w:r w:rsidRPr="0025250D">
        <w:rPr>
          <w:rFonts w:hint="cs"/>
          <w:rtl/>
        </w:rPr>
        <w:t>آنچه نمی‌دانیم بیشترین دردسر را برای ما ایجاد نمی‌کند، بلکه آنچه فکر می‌کنیم میدانیم ولی در واقعیت دیگر آن گونه نیست، بیشترین مشکلات را برای ما ایجاد می‌کند</w:t>
      </w:r>
      <w:r w:rsidR="00E402E3" w:rsidRPr="0025250D">
        <w:rPr>
          <w:rtl/>
        </w:rPr>
        <w:t>»</w:t>
      </w:r>
      <w:r w:rsidRPr="0025250D">
        <w:rPr>
          <w:rFonts w:hint="cs"/>
          <w:rtl/>
        </w:rPr>
        <w:t>. هر چه بیش‌تر یاد</w:t>
      </w:r>
      <w:r w:rsidR="009A0F9A" w:rsidRPr="0025250D">
        <w:rPr>
          <w:rFonts w:hint="cs"/>
          <w:rtl/>
        </w:rPr>
        <w:t xml:space="preserve"> </w:t>
      </w:r>
      <w:r w:rsidRPr="0025250D">
        <w:rPr>
          <w:rFonts w:hint="cs"/>
          <w:rtl/>
        </w:rPr>
        <w:t>بگیریم، بخش</w:t>
      </w:r>
      <w:r w:rsidR="0008779C" w:rsidRPr="0025250D">
        <w:rPr>
          <w:rFonts w:hint="cs"/>
          <w:rtl/>
        </w:rPr>
        <w:t xml:space="preserve"> بیش‌تر</w:t>
      </w:r>
      <w:r w:rsidRPr="0025250D">
        <w:rPr>
          <w:rFonts w:hint="cs"/>
          <w:rtl/>
        </w:rPr>
        <w:t xml:space="preserve">ی از آنچه یادگرفته ایم را برای ادامه توسعه خود باید از ذهن خود بیرون کنیم. </w:t>
      </w:r>
      <w:r w:rsidRPr="0025250D">
        <w:rPr>
          <w:rtl/>
        </w:rPr>
        <w:t>وا</w:t>
      </w:r>
      <w:r w:rsidRPr="0025250D">
        <w:rPr>
          <w:rFonts w:hint="cs"/>
          <w:rtl/>
        </w:rPr>
        <w:t>ی</w:t>
      </w:r>
      <w:r w:rsidRPr="0025250D">
        <w:rPr>
          <w:rFonts w:hint="eastAsia"/>
          <w:rtl/>
        </w:rPr>
        <w:t>ادگ</w:t>
      </w:r>
      <w:r w:rsidRPr="0025250D">
        <w:rPr>
          <w:rFonts w:hint="cs"/>
          <w:rtl/>
        </w:rPr>
        <w:t>ی</w:t>
      </w:r>
      <w:r w:rsidRPr="0025250D">
        <w:rPr>
          <w:rFonts w:hint="eastAsia"/>
          <w:rtl/>
        </w:rPr>
        <w:t>ر</w:t>
      </w:r>
      <w:r w:rsidRPr="0025250D">
        <w:rPr>
          <w:rFonts w:hint="cs"/>
          <w:rtl/>
        </w:rPr>
        <w:t>ی اغلب هم توسط افراد و هم شرکت‌ها، به دلایل روانشناختی محکمی نادیده گرفته می‌شود. همه ما از توهمات مثبت بهره می‌بریم. ما دوست داریم باور کنیم که بهتر از آن</w:t>
      </w:r>
      <w:r w:rsidR="009A0F9A" w:rsidRPr="0025250D">
        <w:rPr>
          <w:rFonts w:hint="cs"/>
          <w:rtl/>
        </w:rPr>
        <w:t xml:space="preserve"> </w:t>
      </w:r>
      <w:r w:rsidRPr="0025250D">
        <w:rPr>
          <w:rFonts w:hint="cs"/>
          <w:rtl/>
        </w:rPr>
        <w:t>چ</w:t>
      </w:r>
      <w:r w:rsidR="009A0F9A" w:rsidRPr="0025250D">
        <w:rPr>
          <w:rFonts w:hint="cs"/>
          <w:rtl/>
        </w:rPr>
        <w:t>یزی هستیم</w:t>
      </w:r>
      <w:r w:rsidRPr="0025250D">
        <w:rPr>
          <w:rFonts w:hint="cs"/>
          <w:rtl/>
        </w:rPr>
        <w:t xml:space="preserve"> که</w:t>
      </w:r>
      <w:r w:rsidR="009A0F9A" w:rsidRPr="0025250D">
        <w:rPr>
          <w:rFonts w:hint="cs"/>
          <w:rtl/>
        </w:rPr>
        <w:t xml:space="preserve"> </w:t>
      </w:r>
      <w:r w:rsidRPr="0025250D">
        <w:rPr>
          <w:rFonts w:hint="cs"/>
          <w:rtl/>
        </w:rPr>
        <w:t xml:space="preserve">واقعیت دارد. این توهم </w:t>
      </w:r>
      <w:r w:rsidR="00B124DE" w:rsidRPr="0025250D">
        <w:rPr>
          <w:rFonts w:hint="cs"/>
          <w:rtl/>
        </w:rPr>
        <w:t>انطباق‌پذیر</w:t>
      </w:r>
      <w:r w:rsidRPr="0025250D">
        <w:rPr>
          <w:rFonts w:hint="cs"/>
          <w:rtl/>
        </w:rPr>
        <w:t xml:space="preserve"> است، اما تنها تا یک سرحد مشخص. علاوه بر داشتن یک تصویر مثبت از خود و یک ذهنیت از رشد، ما همگی باید صادقانه از خود و دیگران بپرسیم که در کجا دچار شکست شده و چه عادات و باور‌هایی می‌توانند به این شکست کمک کنند. سپس باید دریابیم که چگونه عادات جدیدی ایجاد کرده و باور‌های جدیدی را تقویت کنیم. این یک چالش یادگیری است که حلقه </w:t>
      </w:r>
      <w:r w:rsidR="001458D8" w:rsidRPr="0025250D">
        <w:rPr>
          <w:rFonts w:hint="cs"/>
          <w:rtl/>
        </w:rPr>
        <w:t>انجام</w:t>
      </w:r>
      <w:r w:rsidRPr="0025250D">
        <w:rPr>
          <w:rFonts w:hint="cs"/>
          <w:rtl/>
        </w:rPr>
        <w:t xml:space="preserve"> ما را آغاز می‌کند.</w:t>
      </w:r>
    </w:p>
    <w:p w14:paraId="3EB0B6EB" w14:textId="04AE69D4" w:rsidR="00537CC8" w:rsidRPr="0025250D" w:rsidRDefault="00537CC8" w:rsidP="00537CC8">
      <w:pPr>
        <w:rPr>
          <w:rtl/>
        </w:rPr>
      </w:pPr>
      <w:r w:rsidRPr="0025250D">
        <w:rPr>
          <w:rFonts w:hint="cs"/>
          <w:rtl/>
        </w:rPr>
        <w:t xml:space="preserve">کتاب </w:t>
      </w:r>
      <w:r w:rsidRPr="0025250D">
        <w:rPr>
          <w:rtl/>
        </w:rPr>
        <w:t>وا</w:t>
      </w:r>
      <w:r w:rsidRPr="0025250D">
        <w:rPr>
          <w:rFonts w:hint="cs"/>
          <w:rtl/>
        </w:rPr>
        <w:t>ی</w:t>
      </w:r>
      <w:r w:rsidRPr="0025250D">
        <w:rPr>
          <w:rFonts w:hint="eastAsia"/>
          <w:rtl/>
        </w:rPr>
        <w:t>ادگ</w:t>
      </w:r>
      <w:r w:rsidRPr="0025250D">
        <w:rPr>
          <w:rFonts w:hint="cs"/>
          <w:rtl/>
        </w:rPr>
        <w:t>ی</w:t>
      </w:r>
      <w:r w:rsidRPr="0025250D">
        <w:rPr>
          <w:rFonts w:hint="eastAsia"/>
          <w:rtl/>
        </w:rPr>
        <w:t>ر</w:t>
      </w:r>
      <w:r w:rsidRPr="0025250D">
        <w:rPr>
          <w:rFonts w:hint="cs"/>
          <w:rtl/>
        </w:rPr>
        <w:t>ی</w:t>
      </w:r>
      <w:r w:rsidRPr="0025250D">
        <w:rPr>
          <w:vertAlign w:val="superscript"/>
          <w:rtl/>
        </w:rPr>
        <w:footnoteReference w:id="2421"/>
      </w:r>
      <w:r w:rsidRPr="0025250D">
        <w:rPr>
          <w:rFonts w:hint="cs"/>
          <w:rtl/>
        </w:rPr>
        <w:t xml:space="preserve"> اثر </w:t>
      </w:r>
      <w:r w:rsidRPr="0025250D">
        <w:rPr>
          <w:rtl/>
        </w:rPr>
        <w:t>بر</w:t>
      </w:r>
      <w:r w:rsidRPr="0025250D">
        <w:rPr>
          <w:rFonts w:hint="cs"/>
          <w:rtl/>
        </w:rPr>
        <w:t>ی</w:t>
      </w:r>
      <w:r w:rsidRPr="0025250D">
        <w:rPr>
          <w:rtl/>
        </w:rPr>
        <w:t xml:space="preserve"> اور</w:t>
      </w:r>
      <w:r w:rsidRPr="0025250D">
        <w:rPr>
          <w:rFonts w:hint="cs"/>
          <w:rtl/>
        </w:rPr>
        <w:t>ی</w:t>
      </w:r>
      <w:r w:rsidRPr="0025250D">
        <w:rPr>
          <w:rFonts w:hint="eastAsia"/>
          <w:rtl/>
        </w:rPr>
        <w:t>ل</w:t>
      </w:r>
      <w:r w:rsidRPr="0025250D">
        <w:rPr>
          <w:rFonts w:hint="cs"/>
          <w:rtl/>
        </w:rPr>
        <w:t>ی</w:t>
      </w:r>
      <w:r w:rsidRPr="0025250D">
        <w:rPr>
          <w:vertAlign w:val="superscript"/>
          <w:rtl/>
        </w:rPr>
        <w:footnoteReference w:id="2422"/>
      </w:r>
      <w:r w:rsidRPr="0025250D">
        <w:rPr>
          <w:rFonts w:hint="cs"/>
          <w:rtl/>
        </w:rPr>
        <w:t xml:space="preserve"> در سال 2018 یک راهنمای مفید برای این چالش کلیدی است. </w:t>
      </w:r>
      <w:r w:rsidRPr="0025250D">
        <w:rPr>
          <w:rtl/>
        </w:rPr>
        <w:t>وا</w:t>
      </w:r>
      <w:r w:rsidRPr="0025250D">
        <w:rPr>
          <w:rFonts w:hint="cs"/>
          <w:rtl/>
        </w:rPr>
        <w:t>ی</w:t>
      </w:r>
      <w:r w:rsidRPr="0025250D">
        <w:rPr>
          <w:rFonts w:hint="eastAsia"/>
          <w:rtl/>
        </w:rPr>
        <w:t>ادگ</w:t>
      </w:r>
      <w:r w:rsidRPr="0025250D">
        <w:rPr>
          <w:rFonts w:hint="cs"/>
          <w:rtl/>
        </w:rPr>
        <w:t>ی</w:t>
      </w:r>
      <w:r w:rsidRPr="0025250D">
        <w:rPr>
          <w:rFonts w:hint="eastAsia"/>
          <w:rtl/>
        </w:rPr>
        <w:t>ر</w:t>
      </w:r>
      <w:r w:rsidRPr="0025250D">
        <w:rPr>
          <w:rFonts w:hint="cs"/>
          <w:rtl/>
        </w:rPr>
        <w:t xml:space="preserve">ی می‌تواند مشخصا برای تغییر چیز‌هایی که در اوایل زندگی آموخته ایم و در ناخودآگاه رسوخ </w:t>
      </w:r>
      <w:r w:rsidR="007118DE" w:rsidRPr="0025250D">
        <w:rPr>
          <w:rFonts w:hint="cs"/>
          <w:rtl/>
        </w:rPr>
        <w:t>کرده‌اند</w:t>
      </w:r>
      <w:r w:rsidRPr="0025250D">
        <w:rPr>
          <w:rFonts w:hint="cs"/>
          <w:rtl/>
        </w:rPr>
        <w:t xml:space="preserve">، دشوار باشد. در آن صورت، ما باید مشخصا در </w:t>
      </w:r>
      <w:r w:rsidRPr="0025250D">
        <w:rPr>
          <w:rtl/>
        </w:rPr>
        <w:t>آینده‌نگاری</w:t>
      </w:r>
      <w:r w:rsidRPr="0025250D">
        <w:rPr>
          <w:rFonts w:hint="cs"/>
          <w:rtl/>
        </w:rPr>
        <w:t xml:space="preserve"> امروز محتاطانه عمل کنیم و از ابزارهایی مانند ذهن آگاهی</w:t>
      </w:r>
      <w:r w:rsidRPr="0025250D">
        <w:rPr>
          <w:vertAlign w:val="superscript"/>
          <w:rtl/>
        </w:rPr>
        <w:footnoteReference w:id="2423"/>
      </w:r>
      <w:r w:rsidRPr="0025250D">
        <w:rPr>
          <w:rFonts w:hint="cs"/>
          <w:rtl/>
        </w:rPr>
        <w:t xml:space="preserve">، پاسخگویی و تکرار، برای آگاهی از و تغییر این عادت‌ها استفاده کنیم. ما همچنین باید یادبگیریم که خود را برای اشتباهات گذشته مان ببخشیم و آمادگی رها کردن آن را داشته باشیم. کتاب کلاسیک خود پروری روانشناس </w:t>
      </w:r>
      <w:r w:rsidRPr="0025250D">
        <w:rPr>
          <w:rtl/>
        </w:rPr>
        <w:t>و</w:t>
      </w:r>
      <w:r w:rsidRPr="0025250D">
        <w:rPr>
          <w:rFonts w:hint="cs"/>
          <w:rtl/>
        </w:rPr>
        <w:t>ی</w:t>
      </w:r>
      <w:r w:rsidRPr="0025250D">
        <w:rPr>
          <w:rFonts w:hint="eastAsia"/>
          <w:rtl/>
        </w:rPr>
        <w:t>ل</w:t>
      </w:r>
      <w:r w:rsidRPr="0025250D">
        <w:rPr>
          <w:rFonts w:hint="cs"/>
          <w:rtl/>
        </w:rPr>
        <w:t>ی</w:t>
      </w:r>
      <w:r w:rsidRPr="0025250D">
        <w:rPr>
          <w:rFonts w:hint="eastAsia"/>
          <w:rtl/>
        </w:rPr>
        <w:t>ام</w:t>
      </w:r>
      <w:r w:rsidRPr="0025250D">
        <w:rPr>
          <w:rtl/>
        </w:rPr>
        <w:t xml:space="preserve"> بر</w:t>
      </w:r>
      <w:r w:rsidRPr="0025250D">
        <w:rPr>
          <w:rFonts w:hint="cs"/>
          <w:rtl/>
        </w:rPr>
        <w:t>ی</w:t>
      </w:r>
      <w:r w:rsidRPr="0025250D">
        <w:rPr>
          <w:rFonts w:hint="eastAsia"/>
          <w:rtl/>
        </w:rPr>
        <w:t>ج</w:t>
      </w:r>
      <w:r w:rsidRPr="0025250D">
        <w:rPr>
          <w:vertAlign w:val="superscript"/>
          <w:rtl/>
        </w:rPr>
        <w:footnoteReference w:id="2424"/>
      </w:r>
      <w:r w:rsidRPr="0025250D">
        <w:rPr>
          <w:rFonts w:hint="cs"/>
          <w:rtl/>
        </w:rPr>
        <w:t xml:space="preserve"> با عنوان گذارها</w:t>
      </w:r>
      <w:r w:rsidRPr="0025250D">
        <w:rPr>
          <w:vertAlign w:val="superscript"/>
          <w:rtl/>
        </w:rPr>
        <w:footnoteReference w:id="2425"/>
      </w:r>
      <w:r w:rsidRPr="0025250D">
        <w:rPr>
          <w:rFonts w:hint="cs"/>
          <w:rtl/>
        </w:rPr>
        <w:t xml:space="preserve"> در سال 1980/2019 می‌گوید که در هر گذاری، برای فارغ التحصیلی از کالج، ازدواج، تبدیل شدن به والدین، صاحب </w:t>
      </w:r>
      <w:r w:rsidR="00B124DE" w:rsidRPr="0025250D">
        <w:rPr>
          <w:rFonts w:hint="cs"/>
          <w:rtl/>
        </w:rPr>
        <w:t>کسب‌و‌کار</w:t>
      </w:r>
      <w:r w:rsidRPr="0025250D">
        <w:rPr>
          <w:rFonts w:hint="cs"/>
          <w:rtl/>
        </w:rPr>
        <w:t xml:space="preserve"> شدن و تبدیل شدن به یک متخصص، بخش‌هایی از خود قبلی ما باید بمیرند تا خود جدید ما کاملا شکوفا شود. خرد با شناسایی آنچه باید وایادگیری شود و آنچه باید از آن حفاظت شده و رشد داده شود حاصل می‌گردد. اگر یک سازمان به وایادگیری نیاز داشته باشد، همواره مقاومت ایجاد خواهد شد و باید با احتیاط اما قدرتمندانه با آن برخورد شود. افرادی که نمی‌توانند با رفتار‌های جدیدی </w:t>
      </w:r>
      <w:r w:rsidR="002F3C14" w:rsidRPr="0025250D">
        <w:rPr>
          <w:rFonts w:hint="cs"/>
          <w:rtl/>
        </w:rPr>
        <w:t>انطباق</w:t>
      </w:r>
      <w:r w:rsidRPr="0025250D">
        <w:rPr>
          <w:rFonts w:hint="cs"/>
          <w:rtl/>
        </w:rPr>
        <w:t xml:space="preserve"> یابند تا زمانی که بتوانند این کار را انجام دهند یا خروج آن‌ها از تیم یا شرکت مدیریت شود، به</w:t>
      </w:r>
      <w:r w:rsidRPr="0025250D">
        <w:rPr>
          <w:rtl/>
        </w:rPr>
        <w:t xml:space="preserve"> </w:t>
      </w:r>
      <w:r w:rsidRPr="0025250D">
        <w:rPr>
          <w:rFonts w:hint="cs"/>
          <w:rtl/>
        </w:rPr>
        <w:t>کمک</w:t>
      </w:r>
      <w:r w:rsidRPr="0025250D">
        <w:rPr>
          <w:rtl/>
        </w:rPr>
        <w:t xml:space="preserve"> </w:t>
      </w:r>
      <w:r w:rsidRPr="0025250D">
        <w:rPr>
          <w:rFonts w:hint="cs"/>
          <w:rtl/>
        </w:rPr>
        <w:t>اضافی</w:t>
      </w:r>
      <w:r w:rsidRPr="0025250D">
        <w:rPr>
          <w:rtl/>
        </w:rPr>
        <w:t xml:space="preserve"> </w:t>
      </w:r>
      <w:r w:rsidRPr="0025250D">
        <w:rPr>
          <w:rFonts w:hint="cs"/>
          <w:rtl/>
        </w:rPr>
        <w:t>نیاز</w:t>
      </w:r>
      <w:r w:rsidRPr="0025250D">
        <w:rPr>
          <w:rtl/>
        </w:rPr>
        <w:t xml:space="preserve"> </w:t>
      </w:r>
      <w:r w:rsidRPr="0025250D">
        <w:rPr>
          <w:rFonts w:hint="cs"/>
          <w:rtl/>
        </w:rPr>
        <w:t>دارند.</w:t>
      </w:r>
    </w:p>
    <w:p w14:paraId="1C66277F" w14:textId="77777777" w:rsidR="00537CC8" w:rsidRPr="0025250D" w:rsidRDefault="00537CC8" w:rsidP="003D3E0A">
      <w:pPr>
        <w:jc w:val="center"/>
        <w:rPr>
          <w:rtl/>
        </w:rPr>
      </w:pPr>
      <w:r w:rsidRPr="0025250D">
        <w:rPr>
          <w:noProof/>
          <w:rtl/>
          <w:lang w:bidi="ar-SA"/>
        </w:rPr>
        <w:drawing>
          <wp:inline distT="0" distB="0" distL="0" distR="0" wp14:anchorId="0993AA1F" wp14:editId="60E32AAD">
            <wp:extent cx="1466850" cy="2260121"/>
            <wp:effectExtent l="0" t="0" r="0" b="6985"/>
            <wp:docPr id="139" name="Picture 139" descr="D:\کار\مستقل\3 ( ترجمه ی دانشگاه تهران  )\Introduction to Foresight\part6\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6\37.png"/>
                    <pic:cNvPicPr>
                      <a:picLocks noChangeAspect="1" noChangeArrowheads="1"/>
                    </pic:cNvPicPr>
                  </pic:nvPicPr>
                  <pic:blipFill rotWithShape="1">
                    <a:blip r:embed="rId224" cstate="screen">
                      <a:extLst>
                        <a:ext uri="{BEBA8EAE-BF5A-486C-A8C5-ECC9F3942E4B}">
                          <a14:imgProps xmlns:a14="http://schemas.microsoft.com/office/drawing/2010/main">
                            <a14:imgLayer r:embed="rId225">
                              <a14:imgEffect>
                                <a14:saturation sat="0"/>
                              </a14:imgEffect>
                            </a14:imgLayer>
                          </a14:imgProps>
                        </a:ext>
                        <a:ext uri="{28A0092B-C50C-407E-A947-70E740481C1C}">
                          <a14:useLocalDpi xmlns:a14="http://schemas.microsoft.com/office/drawing/2010/main"/>
                        </a:ext>
                      </a:extLst>
                    </a:blip>
                    <a:srcRect/>
                    <a:stretch/>
                  </pic:blipFill>
                  <pic:spPr bwMode="auto">
                    <a:xfrm>
                      <a:off x="0" y="0"/>
                      <a:ext cx="1469720" cy="2264543"/>
                    </a:xfrm>
                    <a:prstGeom prst="rect">
                      <a:avLst/>
                    </a:prstGeom>
                    <a:noFill/>
                    <a:ln>
                      <a:noFill/>
                    </a:ln>
                    <a:extLst>
                      <a:ext uri="{53640926-AAD7-44D8-BBD7-CCE9431645EC}">
                        <a14:shadowObscured xmlns:a14="http://schemas.microsoft.com/office/drawing/2010/main"/>
                      </a:ext>
                    </a:extLst>
                  </pic:spPr>
                </pic:pic>
              </a:graphicData>
            </a:graphic>
          </wp:inline>
        </w:drawing>
      </w:r>
    </w:p>
    <w:p w14:paraId="1605E99D" w14:textId="77777777" w:rsidR="00537CC8" w:rsidRPr="0025250D" w:rsidRDefault="00537CC8" w:rsidP="003D3E0A">
      <w:pPr>
        <w:jc w:val="center"/>
        <w:rPr>
          <w:rtl/>
        </w:rPr>
      </w:pPr>
      <w:r w:rsidRPr="0025250D">
        <w:rPr>
          <w:rtl/>
        </w:rPr>
        <w:t>اور</w:t>
      </w:r>
      <w:r w:rsidRPr="0025250D">
        <w:rPr>
          <w:rFonts w:hint="cs"/>
          <w:rtl/>
        </w:rPr>
        <w:t>ی</w:t>
      </w:r>
      <w:r w:rsidRPr="0025250D">
        <w:rPr>
          <w:rFonts w:hint="eastAsia"/>
          <w:rtl/>
        </w:rPr>
        <w:t>ل</w:t>
      </w:r>
      <w:r w:rsidRPr="0025250D">
        <w:rPr>
          <w:rFonts w:hint="cs"/>
          <w:rtl/>
        </w:rPr>
        <w:t>ی، 2018</w:t>
      </w:r>
    </w:p>
    <w:p w14:paraId="7BDFE188" w14:textId="62916C9C" w:rsidR="00537CC8" w:rsidRPr="0025250D" w:rsidRDefault="00537CC8" w:rsidP="00537CC8">
      <w:pPr>
        <w:rPr>
          <w:rtl/>
        </w:rPr>
      </w:pPr>
      <w:r w:rsidRPr="0025250D">
        <w:rPr>
          <w:rtl/>
        </w:rPr>
        <w:t>وا</w:t>
      </w:r>
      <w:r w:rsidRPr="0025250D">
        <w:rPr>
          <w:rFonts w:hint="cs"/>
          <w:rtl/>
        </w:rPr>
        <w:t>ی</w:t>
      </w:r>
      <w:r w:rsidRPr="0025250D">
        <w:rPr>
          <w:rFonts w:hint="eastAsia"/>
          <w:rtl/>
        </w:rPr>
        <w:t>ادگ</w:t>
      </w:r>
      <w:r w:rsidRPr="0025250D">
        <w:rPr>
          <w:rFonts w:hint="cs"/>
          <w:rtl/>
        </w:rPr>
        <w:t>ی</w:t>
      </w:r>
      <w:r w:rsidRPr="0025250D">
        <w:rPr>
          <w:rFonts w:hint="eastAsia"/>
          <w:rtl/>
        </w:rPr>
        <w:t>ر</w:t>
      </w:r>
      <w:r w:rsidRPr="0025250D">
        <w:rPr>
          <w:rFonts w:hint="cs"/>
          <w:rtl/>
        </w:rPr>
        <w:t>ی مشخصا</w:t>
      </w:r>
      <w:r w:rsidR="001458D8" w:rsidRPr="0025250D">
        <w:rPr>
          <w:rFonts w:hint="cs"/>
          <w:rtl/>
        </w:rPr>
        <w:t>ً</w:t>
      </w:r>
      <w:r w:rsidRPr="0025250D">
        <w:rPr>
          <w:rFonts w:hint="cs"/>
          <w:rtl/>
        </w:rPr>
        <w:t xml:space="preserve">، وقتی باور داشته باشیم که عادات و باور‌های قدیمی ما مسبب موفقیت‌های گذشته ما </w:t>
      </w:r>
      <w:r w:rsidR="00B124DE" w:rsidRPr="0025250D">
        <w:rPr>
          <w:rFonts w:hint="cs"/>
          <w:rtl/>
        </w:rPr>
        <w:t>بوده‌اند</w:t>
      </w:r>
      <w:r w:rsidRPr="0025250D">
        <w:rPr>
          <w:rFonts w:hint="cs"/>
          <w:rtl/>
        </w:rPr>
        <w:t xml:space="preserve"> دشوار </w:t>
      </w:r>
      <w:r w:rsidR="001458D8" w:rsidRPr="0025250D">
        <w:rPr>
          <w:rFonts w:hint="cs"/>
          <w:rtl/>
        </w:rPr>
        <w:t>خواهد بود</w:t>
      </w:r>
      <w:r w:rsidRPr="0025250D">
        <w:rPr>
          <w:rFonts w:hint="cs"/>
          <w:rtl/>
        </w:rPr>
        <w:t>. کتاب درس‌های میلیارد دلاری</w:t>
      </w:r>
      <w:r w:rsidRPr="0025250D">
        <w:rPr>
          <w:vertAlign w:val="superscript"/>
          <w:rtl/>
        </w:rPr>
        <w:footnoteReference w:id="2426"/>
      </w:r>
      <w:r w:rsidRPr="0025250D">
        <w:rPr>
          <w:rFonts w:hint="cs"/>
          <w:rtl/>
        </w:rPr>
        <w:t xml:space="preserve"> اثر </w:t>
      </w:r>
      <w:r w:rsidRPr="0025250D">
        <w:rPr>
          <w:rtl/>
        </w:rPr>
        <w:t>کارول و مو</w:t>
      </w:r>
      <w:r w:rsidRPr="0025250D">
        <w:rPr>
          <w:rFonts w:hint="cs"/>
          <w:rtl/>
        </w:rPr>
        <w:t>ی</w:t>
      </w:r>
      <w:r w:rsidRPr="0025250D">
        <w:rPr>
          <w:vertAlign w:val="superscript"/>
          <w:rtl/>
        </w:rPr>
        <w:footnoteReference w:id="2427"/>
      </w:r>
      <w:r w:rsidRPr="0025250D">
        <w:rPr>
          <w:rFonts w:hint="cs"/>
          <w:rtl/>
        </w:rPr>
        <w:t xml:space="preserve"> در سال 2008 شکست‌های</w:t>
      </w:r>
      <w:r w:rsidR="001458D8" w:rsidRPr="0025250D">
        <w:rPr>
          <w:rFonts w:hint="cs"/>
          <w:rtl/>
        </w:rPr>
        <w:t xml:space="preserve"> </w:t>
      </w:r>
      <w:r w:rsidR="00B124DE" w:rsidRPr="0025250D">
        <w:rPr>
          <w:rFonts w:hint="cs"/>
          <w:rtl/>
        </w:rPr>
        <w:t>کسب‌و‌کار</w:t>
      </w:r>
      <w:r w:rsidR="001458D8" w:rsidRPr="0025250D">
        <w:rPr>
          <w:rFonts w:hint="cs"/>
          <w:rtl/>
        </w:rPr>
        <w:t>ی</w:t>
      </w:r>
      <w:r w:rsidRPr="0025250D">
        <w:rPr>
          <w:rFonts w:hint="cs"/>
          <w:rtl/>
        </w:rPr>
        <w:t xml:space="preserve"> تیم‌های اجرایی که از نظر ذهنی با موفقیت‌های گذشته خود محدود شده بودند را پوشش می‌دهد. هم افراد و هم تیم‌ها باید زمانی که شرایط تغییر </w:t>
      </w:r>
      <w:r w:rsidR="007118DE" w:rsidRPr="0025250D">
        <w:rPr>
          <w:rFonts w:hint="cs"/>
          <w:rtl/>
        </w:rPr>
        <w:t>کرده‌اند</w:t>
      </w:r>
      <w:r w:rsidRPr="0025250D">
        <w:rPr>
          <w:rFonts w:hint="cs"/>
          <w:rtl/>
        </w:rPr>
        <w:t xml:space="preserve"> و این که چرا آنچه قبلا به‌خوبی کار می‌کرده است دیگر در شرایط امروز جواب نمی‌دهد را درک و شناسایی کنند. ما نیز باید از خود بپرسیم که آیا مطابق باور‌های غلطی عمل می‌کنیم و چه مقدار از موفقیت ما به دلیل عوامل خارجی، از جمله شانس بوده است. </w:t>
      </w:r>
      <w:r w:rsidR="007118DE" w:rsidRPr="0025250D">
        <w:rPr>
          <w:rFonts w:hint="cs"/>
          <w:rtl/>
        </w:rPr>
        <w:t>همان‌طور</w:t>
      </w:r>
      <w:r w:rsidRPr="0025250D">
        <w:rPr>
          <w:rFonts w:hint="cs"/>
          <w:rtl/>
        </w:rPr>
        <w:t xml:space="preserve"> که قانون 95/5 به ما می‌گوید، اکثریت آنچه برای ما در زندگی رخ می‌دهد به دلیل عوامل تصادفی و غیر قابل پیش‌بینی، مانند قرار داشتن در مکان درست </w:t>
      </w:r>
      <w:r w:rsidR="001458D8" w:rsidRPr="0025250D">
        <w:rPr>
          <w:rFonts w:hint="cs"/>
          <w:rtl/>
        </w:rPr>
        <w:t xml:space="preserve">و </w:t>
      </w:r>
      <w:r w:rsidRPr="0025250D">
        <w:rPr>
          <w:rFonts w:hint="cs"/>
          <w:rtl/>
        </w:rPr>
        <w:t xml:space="preserve">در زمان درست </w:t>
      </w:r>
      <w:r w:rsidR="001458D8" w:rsidRPr="0025250D">
        <w:rPr>
          <w:rFonts w:hint="cs"/>
          <w:rtl/>
        </w:rPr>
        <w:t>است</w:t>
      </w:r>
      <w:r w:rsidR="008D6F97" w:rsidRPr="0025250D">
        <w:rPr>
          <w:rtl/>
        </w:rPr>
        <w:t xml:space="preserve">؛ </w:t>
      </w:r>
      <w:r w:rsidRPr="0025250D">
        <w:rPr>
          <w:rFonts w:hint="cs"/>
          <w:rtl/>
        </w:rPr>
        <w:t xml:space="preserve">اما همچنین می‌توانیم زیرمجموعه کوچکی از امور را کنترل کنیم و گاهی اوقات، </w:t>
      </w:r>
      <w:r w:rsidR="001458D8" w:rsidRPr="0025250D">
        <w:rPr>
          <w:rFonts w:hint="cs"/>
          <w:rtl/>
        </w:rPr>
        <w:t xml:space="preserve">همین امر </w:t>
      </w:r>
      <w:r w:rsidRPr="0025250D">
        <w:rPr>
          <w:rFonts w:hint="cs"/>
          <w:rtl/>
        </w:rPr>
        <w:t xml:space="preserve">تمام تفاوت موجود را ایجاد می‌کنند. همان طور که گفته می‌شود، شانس ذهن آماده را دوست دارد. همه ما می‌توانیم از </w:t>
      </w:r>
      <w:r w:rsidRPr="0025250D">
        <w:rPr>
          <w:rtl/>
        </w:rPr>
        <w:t>آینده‌نگاری</w:t>
      </w:r>
      <w:r w:rsidRPr="0025250D">
        <w:rPr>
          <w:rFonts w:hint="cs"/>
          <w:rtl/>
        </w:rPr>
        <w:t xml:space="preserve"> بهتر با یادگیری، تقابل </w:t>
      </w:r>
      <w:r w:rsidR="00D92F6E" w:rsidRPr="0025250D">
        <w:rPr>
          <w:rFonts w:hint="cs"/>
          <w:rtl/>
        </w:rPr>
        <w:t>پیش‌بین</w:t>
      </w:r>
      <w:r w:rsidRPr="0025250D">
        <w:rPr>
          <w:rFonts w:hint="cs"/>
          <w:rtl/>
        </w:rPr>
        <w:t xml:space="preserve"> و </w:t>
      </w:r>
      <w:r w:rsidR="002B6515" w:rsidRPr="0025250D">
        <w:rPr>
          <w:rtl/>
        </w:rPr>
        <w:t>حس‌داد</w:t>
      </w:r>
      <w:r w:rsidRPr="0025250D">
        <w:rPr>
          <w:rFonts w:hint="cs"/>
          <w:rtl/>
        </w:rPr>
        <w:t xml:space="preserve"> و </w:t>
      </w:r>
      <w:r w:rsidR="00701E03" w:rsidRPr="0025250D">
        <w:rPr>
          <w:rFonts w:hint="cs"/>
          <w:rtl/>
        </w:rPr>
        <w:t>راهبرد</w:t>
      </w:r>
      <w:r w:rsidRPr="0025250D">
        <w:rPr>
          <w:rFonts w:hint="cs"/>
          <w:rtl/>
        </w:rPr>
        <w:t xml:space="preserve"> برای تشخیص و استفاده از شانس‌ها بهره ببریم.</w:t>
      </w:r>
    </w:p>
    <w:p w14:paraId="56DC12C5" w14:textId="2CBB322B" w:rsidR="00537CC8" w:rsidRPr="0025250D" w:rsidRDefault="00537CC8" w:rsidP="00537CC8">
      <w:pPr>
        <w:rPr>
          <w:rtl/>
        </w:rPr>
      </w:pPr>
      <w:r w:rsidRPr="0025250D">
        <w:rPr>
          <w:rFonts w:hint="cs"/>
          <w:rtl/>
        </w:rPr>
        <w:t>برای رهبرانی که به دنبال مثال‌هایی انگیزه بخش از چگونگی دست یابی به تغییر سازمانی</w:t>
      </w:r>
      <w:r w:rsidR="001458D8" w:rsidRPr="0025250D">
        <w:rPr>
          <w:rFonts w:hint="cs"/>
          <w:rtl/>
        </w:rPr>
        <w:t>،</w:t>
      </w:r>
      <w:r w:rsidRPr="0025250D">
        <w:rPr>
          <w:rFonts w:hint="cs"/>
          <w:rtl/>
        </w:rPr>
        <w:t xml:space="preserve"> وقتی یک سازمان با بحران حقیقی روبرو می‌شود</w:t>
      </w:r>
      <w:r w:rsidR="001458D8" w:rsidRPr="0025250D">
        <w:rPr>
          <w:rFonts w:hint="cs"/>
          <w:rtl/>
        </w:rPr>
        <w:t>،</w:t>
      </w:r>
      <w:r w:rsidRPr="0025250D">
        <w:rPr>
          <w:rFonts w:hint="cs"/>
          <w:rtl/>
        </w:rPr>
        <w:t xml:space="preserve"> هستند، کتاب بازگرد</w:t>
      </w:r>
      <w:r w:rsidRPr="0025250D">
        <w:rPr>
          <w:vertAlign w:val="superscript"/>
          <w:rtl/>
        </w:rPr>
        <w:footnoteReference w:id="2428"/>
      </w:r>
      <w:r w:rsidRPr="0025250D">
        <w:rPr>
          <w:rFonts w:hint="cs"/>
          <w:rtl/>
        </w:rPr>
        <w:t xml:space="preserve"> اثر </w:t>
      </w:r>
      <w:r w:rsidRPr="0025250D">
        <w:rPr>
          <w:rtl/>
        </w:rPr>
        <w:t>ب</w:t>
      </w:r>
      <w:r w:rsidRPr="0025250D">
        <w:rPr>
          <w:rFonts w:hint="cs"/>
          <w:rtl/>
        </w:rPr>
        <w:t>ی</w:t>
      </w:r>
      <w:r w:rsidRPr="0025250D">
        <w:rPr>
          <w:rFonts w:hint="eastAsia"/>
          <w:rtl/>
        </w:rPr>
        <w:t>ل</w:t>
      </w:r>
      <w:r w:rsidRPr="0025250D">
        <w:rPr>
          <w:rtl/>
        </w:rPr>
        <w:t xml:space="preserve"> براتون</w:t>
      </w:r>
      <w:r w:rsidRPr="0025250D">
        <w:rPr>
          <w:vertAlign w:val="superscript"/>
          <w:rtl/>
        </w:rPr>
        <w:footnoteReference w:id="2429"/>
      </w:r>
      <w:r w:rsidRPr="0025250D">
        <w:rPr>
          <w:rFonts w:hint="cs"/>
          <w:rtl/>
        </w:rPr>
        <w:t xml:space="preserve"> در سال 1998</w:t>
      </w:r>
      <w:r w:rsidR="00E402E3" w:rsidRPr="0025250D">
        <w:rPr>
          <w:rtl/>
        </w:rPr>
        <w:t xml:space="preserve"> را</w:t>
      </w:r>
      <w:r w:rsidRPr="0025250D">
        <w:rPr>
          <w:rFonts w:hint="cs"/>
          <w:rtl/>
        </w:rPr>
        <w:t xml:space="preserve"> در مورد </w:t>
      </w:r>
      <w:r w:rsidRPr="0025250D">
        <w:t>NYPD</w:t>
      </w:r>
      <w:r w:rsidRPr="0025250D">
        <w:rPr>
          <w:rFonts w:hint="cs"/>
          <w:rtl/>
        </w:rPr>
        <w:t>، کتاب چه کسی گفته است که فیل‌ها نمی‌توانند برقصند؟</w:t>
      </w:r>
      <w:r w:rsidRPr="0025250D">
        <w:rPr>
          <w:vertAlign w:val="superscript"/>
          <w:rtl/>
        </w:rPr>
        <w:footnoteReference w:id="2430"/>
      </w:r>
      <w:r w:rsidRPr="0025250D">
        <w:rPr>
          <w:rFonts w:hint="cs"/>
          <w:rtl/>
        </w:rPr>
        <w:t xml:space="preserve"> اثر </w:t>
      </w:r>
      <w:r w:rsidRPr="0025250D">
        <w:rPr>
          <w:rtl/>
        </w:rPr>
        <w:t>لو گرستنر</w:t>
      </w:r>
      <w:r w:rsidRPr="0025250D">
        <w:rPr>
          <w:vertAlign w:val="superscript"/>
          <w:rtl/>
        </w:rPr>
        <w:footnoteReference w:id="2431"/>
      </w:r>
      <w:r w:rsidRPr="0025250D">
        <w:rPr>
          <w:rFonts w:hint="cs"/>
          <w:rtl/>
        </w:rPr>
        <w:t xml:space="preserve"> در سال 2003 در مورد بازگرد </w:t>
      </w:r>
      <w:r w:rsidRPr="0025250D">
        <w:t>IBM</w:t>
      </w:r>
      <w:r w:rsidR="008D6F97" w:rsidRPr="0025250D">
        <w:t xml:space="preserve"> </w:t>
      </w:r>
      <w:r w:rsidRPr="0025250D">
        <w:rPr>
          <w:rFonts w:hint="cs"/>
          <w:rtl/>
        </w:rPr>
        <w:t>(قبل از سقوط اخیر آن)، تغییر</w:t>
      </w:r>
      <w:r w:rsidRPr="0025250D">
        <w:rPr>
          <w:vertAlign w:val="superscript"/>
          <w:rtl/>
        </w:rPr>
        <w:footnoteReference w:id="2432"/>
      </w:r>
      <w:r w:rsidRPr="0025250D">
        <w:rPr>
          <w:rFonts w:hint="cs"/>
          <w:rtl/>
        </w:rPr>
        <w:t xml:space="preserve"> اثر </w:t>
      </w:r>
      <w:r w:rsidRPr="0025250D">
        <w:rPr>
          <w:rtl/>
        </w:rPr>
        <w:t>کارلوس گوسن</w:t>
      </w:r>
      <w:r w:rsidRPr="0025250D">
        <w:rPr>
          <w:vertAlign w:val="superscript"/>
          <w:rtl/>
        </w:rPr>
        <w:footnoteReference w:id="2433"/>
      </w:r>
      <w:r w:rsidRPr="0025250D">
        <w:rPr>
          <w:rFonts w:hint="cs"/>
          <w:rtl/>
        </w:rPr>
        <w:t xml:space="preserve"> در سال 2006 در مورد تحول </w:t>
      </w:r>
      <w:r w:rsidRPr="0025250D">
        <w:rPr>
          <w:rtl/>
        </w:rPr>
        <w:t>ن</w:t>
      </w:r>
      <w:r w:rsidRPr="0025250D">
        <w:rPr>
          <w:rFonts w:hint="cs"/>
          <w:rtl/>
        </w:rPr>
        <w:t>ی</w:t>
      </w:r>
      <w:r w:rsidRPr="0025250D">
        <w:rPr>
          <w:rFonts w:hint="eastAsia"/>
          <w:rtl/>
        </w:rPr>
        <w:t>سان</w:t>
      </w:r>
      <w:r w:rsidRPr="0025250D">
        <w:rPr>
          <w:rFonts w:hint="cs"/>
          <w:rtl/>
        </w:rPr>
        <w:t xml:space="preserve"> (قبل از کاهش پرسنل آن) یا کتاب عمومی تیمی از تیم ها</w:t>
      </w:r>
      <w:r w:rsidRPr="0025250D">
        <w:rPr>
          <w:vertAlign w:val="superscript"/>
          <w:rtl/>
        </w:rPr>
        <w:footnoteReference w:id="2434"/>
      </w:r>
      <w:r w:rsidRPr="0025250D">
        <w:rPr>
          <w:rFonts w:hint="cs"/>
          <w:rtl/>
        </w:rPr>
        <w:t xml:space="preserve"> اثر </w:t>
      </w:r>
      <w:r w:rsidRPr="0025250D">
        <w:rPr>
          <w:rtl/>
        </w:rPr>
        <w:t>استنل</w:t>
      </w:r>
      <w:r w:rsidRPr="0025250D">
        <w:rPr>
          <w:rFonts w:hint="cs"/>
          <w:rtl/>
        </w:rPr>
        <w:t>ی</w:t>
      </w:r>
      <w:r w:rsidRPr="0025250D">
        <w:rPr>
          <w:rtl/>
        </w:rPr>
        <w:t xml:space="preserve"> مک کر</w:t>
      </w:r>
      <w:r w:rsidRPr="0025250D">
        <w:rPr>
          <w:rFonts w:hint="cs"/>
          <w:rtl/>
        </w:rPr>
        <w:t>ی</w:t>
      </w:r>
      <w:r w:rsidRPr="0025250D">
        <w:rPr>
          <w:rFonts w:hint="eastAsia"/>
          <w:rtl/>
        </w:rPr>
        <w:t>ستال</w:t>
      </w:r>
      <w:r w:rsidRPr="0025250D">
        <w:rPr>
          <w:vertAlign w:val="superscript"/>
          <w:rtl/>
        </w:rPr>
        <w:footnoteReference w:id="2435"/>
      </w:r>
      <w:r w:rsidRPr="0025250D">
        <w:rPr>
          <w:rFonts w:hint="cs"/>
          <w:rtl/>
        </w:rPr>
        <w:t xml:space="preserve"> در سال 2015 را ببینید.</w:t>
      </w:r>
    </w:p>
    <w:p w14:paraId="53C8ECDA" w14:textId="1C21D27F" w:rsidR="00537CC8" w:rsidRPr="0025250D" w:rsidRDefault="00537CC8" w:rsidP="00537CC8">
      <w:pPr>
        <w:rPr>
          <w:rtl/>
        </w:rPr>
      </w:pPr>
      <w:r w:rsidRPr="0025250D">
        <w:rPr>
          <w:rFonts w:hint="cs"/>
          <w:rtl/>
        </w:rPr>
        <w:t>این بازگرد‌ها همگی به‌خوبی در این کتاب‌ها پوشش داده می‌شوند، حتی با وجود این که بیش‌ازحد واقع از رهبران تقدیر می‌شود. بازگرد همواره به دفن غم‌های گذشته و ترک راه‌های قدیمی (بخشش و وایادگیری ها،</w:t>
      </w:r>
      <w:r w:rsidR="00E402E3" w:rsidRPr="0025250D">
        <w:rPr>
          <w:rtl/>
        </w:rPr>
        <w:t xml:space="preserve"> مهارت</w:t>
      </w:r>
      <w:r w:rsidRPr="0025250D">
        <w:rPr>
          <w:rFonts w:hint="cs"/>
          <w:rtl/>
        </w:rPr>
        <w:t xml:space="preserve"> 8) </w:t>
      </w:r>
      <w:r w:rsidR="001458D8" w:rsidRPr="0025250D">
        <w:rPr>
          <w:rFonts w:hint="cs"/>
          <w:rtl/>
        </w:rPr>
        <w:t xml:space="preserve">نیاز دارد </w:t>
      </w:r>
      <w:r w:rsidRPr="0025250D">
        <w:rPr>
          <w:rFonts w:hint="cs"/>
          <w:rtl/>
        </w:rPr>
        <w:t>و برخی اوقات رهبران (معمولا جدید)</w:t>
      </w:r>
      <w:r w:rsidR="001458D8" w:rsidRPr="0025250D">
        <w:rPr>
          <w:rFonts w:hint="cs"/>
          <w:rtl/>
        </w:rPr>
        <w:t xml:space="preserve"> نیز</w:t>
      </w:r>
      <w:r w:rsidRPr="0025250D">
        <w:rPr>
          <w:rFonts w:hint="cs"/>
          <w:rtl/>
        </w:rPr>
        <w:t xml:space="preserve"> به یادگیری فراز و نشیب‌ها (یادگیری، مهارت 1) و امتحان کردن چیز‌های جدید (نوآوری، مهارت 2) قبل از قضاوت کارمندان نیاز دارند. به بیان دیگر، کارمندان به آزادی و اعتماد برای </w:t>
      </w:r>
      <w:r w:rsidR="00923DDB" w:rsidRPr="0025250D">
        <w:rPr>
          <w:rFonts w:hint="cs"/>
          <w:rtl/>
        </w:rPr>
        <w:t>راه‌اندازی</w:t>
      </w:r>
      <w:r w:rsidRPr="0025250D">
        <w:rPr>
          <w:rFonts w:hint="cs"/>
          <w:rtl/>
        </w:rPr>
        <w:t xml:space="preserve"> ذهنی دوباره حلقه‌ها</w:t>
      </w:r>
      <w:r w:rsidR="00BD3C89" w:rsidRPr="0025250D">
        <w:rPr>
          <w:rFonts w:hint="cs"/>
          <w:rtl/>
        </w:rPr>
        <w:t>ی</w:t>
      </w:r>
      <w:r w:rsidRPr="0025250D">
        <w:rPr>
          <w:rFonts w:hint="cs"/>
          <w:rtl/>
        </w:rPr>
        <w:t xml:space="preserve"> انجام خود نیاز دارند.</w:t>
      </w:r>
    </w:p>
    <w:p w14:paraId="5E334681" w14:textId="77777777" w:rsidR="00537CC8" w:rsidRPr="0025250D" w:rsidRDefault="00537CC8" w:rsidP="003D3E0A">
      <w:pPr>
        <w:jc w:val="center"/>
        <w:rPr>
          <w:rtl/>
        </w:rPr>
      </w:pPr>
      <w:r w:rsidRPr="0025250D">
        <w:rPr>
          <w:noProof/>
          <w:rtl/>
          <w:lang w:bidi="ar-SA"/>
        </w:rPr>
        <w:drawing>
          <wp:inline distT="0" distB="0" distL="0" distR="0" wp14:anchorId="63ADAE2F" wp14:editId="05E92610">
            <wp:extent cx="1600085" cy="2199736"/>
            <wp:effectExtent l="0" t="0" r="635" b="0"/>
            <wp:docPr id="140" name="Picture 140" descr="D:\کار\مستقل\3 ( ترجمه ی دانشگاه تهران  )\Introduction to Foresight\part6\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کار\مستقل\3 ( ترجمه ی دانشگاه تهران  )\Introduction to Foresight\part6\38.png"/>
                    <pic:cNvPicPr>
                      <a:picLocks noChangeAspect="1" noChangeArrowheads="1"/>
                    </pic:cNvPicPr>
                  </pic:nvPicPr>
                  <pic:blipFill rotWithShape="1">
                    <a:blip r:embed="rId226" cstate="screen">
                      <a:extLst>
                        <a:ext uri="{BEBA8EAE-BF5A-486C-A8C5-ECC9F3942E4B}">
                          <a14:imgProps xmlns:a14="http://schemas.microsoft.com/office/drawing/2010/main">
                            <a14:imgLayer r:embed="rId227">
                              <a14:imgEffect>
                                <a14:saturation sat="0"/>
                              </a14:imgEffect>
                            </a14:imgLayer>
                          </a14:imgProps>
                        </a:ext>
                        <a:ext uri="{28A0092B-C50C-407E-A947-70E740481C1C}">
                          <a14:useLocalDpi xmlns:a14="http://schemas.microsoft.com/office/drawing/2010/main"/>
                        </a:ext>
                      </a:extLst>
                    </a:blip>
                    <a:srcRect/>
                    <a:stretch/>
                  </pic:blipFill>
                  <pic:spPr bwMode="auto">
                    <a:xfrm>
                      <a:off x="0" y="0"/>
                      <a:ext cx="1601801" cy="2202095"/>
                    </a:xfrm>
                    <a:prstGeom prst="rect">
                      <a:avLst/>
                    </a:prstGeom>
                    <a:noFill/>
                    <a:ln>
                      <a:noFill/>
                    </a:ln>
                    <a:extLst>
                      <a:ext uri="{53640926-AAD7-44D8-BBD7-CCE9431645EC}">
                        <a14:shadowObscured xmlns:a14="http://schemas.microsoft.com/office/drawing/2010/main"/>
                      </a:ext>
                    </a:extLst>
                  </pic:spPr>
                </pic:pic>
              </a:graphicData>
            </a:graphic>
          </wp:inline>
        </w:drawing>
      </w:r>
    </w:p>
    <w:p w14:paraId="70249E7F" w14:textId="77777777" w:rsidR="00537CC8" w:rsidRPr="0025250D" w:rsidRDefault="00537CC8" w:rsidP="003D3E0A">
      <w:pPr>
        <w:jc w:val="center"/>
        <w:rPr>
          <w:rtl/>
        </w:rPr>
      </w:pPr>
      <w:r w:rsidRPr="0025250D">
        <w:rPr>
          <w:rtl/>
        </w:rPr>
        <w:t>براتون</w:t>
      </w:r>
      <w:r w:rsidRPr="0025250D">
        <w:rPr>
          <w:rFonts w:hint="cs"/>
          <w:rtl/>
        </w:rPr>
        <w:t>، 1998</w:t>
      </w:r>
    </w:p>
    <w:p w14:paraId="47E173F5" w14:textId="58951FC3" w:rsidR="00537CC8" w:rsidRPr="0025250D" w:rsidRDefault="00537CC8" w:rsidP="00537CC8">
      <w:pPr>
        <w:rPr>
          <w:rtl/>
        </w:rPr>
      </w:pPr>
      <w:r w:rsidRPr="0025250D">
        <w:rPr>
          <w:rFonts w:hint="cs"/>
          <w:rtl/>
        </w:rPr>
        <w:t>محک زنی و کیفیت آخرین مجموعه از تخصص‌های بازبینی ما هستند که در این کتاب مورد بحث قرار</w:t>
      </w:r>
      <w:r w:rsidR="008D6F97" w:rsidRPr="0025250D">
        <w:rPr>
          <w:rtl/>
        </w:rPr>
        <w:t xml:space="preserve"> </w:t>
      </w:r>
      <w:r w:rsidRPr="0025250D">
        <w:rPr>
          <w:rFonts w:hint="cs"/>
          <w:rtl/>
        </w:rPr>
        <w:t>می‌گیرند. محک زنی بهترین روش ها</w:t>
      </w:r>
      <w:r w:rsidRPr="0025250D">
        <w:rPr>
          <w:vertAlign w:val="superscript"/>
          <w:rtl/>
        </w:rPr>
        <w:footnoteReference w:id="2436"/>
      </w:r>
      <w:r w:rsidRPr="0025250D">
        <w:rPr>
          <w:rFonts w:hint="cs"/>
          <w:rtl/>
        </w:rPr>
        <w:t xml:space="preserve"> (کیفیت، در سطح شرکت) را با نگاه گسترده و دقیق به محیط رقابتی، برای دیدن چگونگی انجام کارهایی که انجام می‌دهیم توسط دیگران، هرگاه کسی آن‌ها را بهتر از ما انجام دهد و این که چگونه می‌توانیم سنجه‌هایی را حول بهترین روش‌ها ایجاد کنیم </w:t>
      </w:r>
      <w:r w:rsidRPr="0025250D">
        <w:rPr>
          <w:rFonts w:cs="Times New Roman" w:hint="cs"/>
          <w:rtl/>
        </w:rPr>
        <w:t>–</w:t>
      </w:r>
      <w:r w:rsidRPr="0025250D">
        <w:rPr>
          <w:rFonts w:hint="cs"/>
          <w:rtl/>
        </w:rPr>
        <w:t xml:space="preserve"> که می‌توانیم آن‌ها را دائما برای راهنمایی خود برای رسیدن به جایی که می‌خواهیم بازبینی کنیم - تعیین می‌کند.</w:t>
      </w:r>
    </w:p>
    <w:p w14:paraId="2F2A67BB" w14:textId="122CCE98" w:rsidR="00537CC8" w:rsidRPr="0025250D" w:rsidRDefault="00537CC8" w:rsidP="00537CC8">
      <w:pPr>
        <w:rPr>
          <w:rtl/>
        </w:rPr>
      </w:pPr>
      <w:r w:rsidRPr="0025250D">
        <w:rPr>
          <w:rFonts w:hint="cs"/>
          <w:rtl/>
        </w:rPr>
        <w:t>شبکه محک زنی (</w:t>
      </w:r>
      <w:r w:rsidRPr="0025250D">
        <w:t>BN</w:t>
      </w:r>
      <w:r w:rsidRPr="0025250D">
        <w:rPr>
          <w:rFonts w:hint="cs"/>
          <w:rtl/>
        </w:rPr>
        <w:t>) یک منبع است (نه یک جامعه) که انواع انجمن‌های محک زنی صنعتی را فهرست می‌کند. یک جامعه محک زنی خوب مؤسسه کارت امتیاز متوازن</w:t>
      </w:r>
      <w:r w:rsidRPr="0025250D">
        <w:rPr>
          <w:vertAlign w:val="superscript"/>
          <w:rtl/>
        </w:rPr>
        <w:footnoteReference w:id="2437"/>
      </w:r>
      <w:r w:rsidRPr="0025250D">
        <w:rPr>
          <w:rFonts w:hint="cs"/>
          <w:rtl/>
        </w:rPr>
        <w:t xml:space="preserve"> (</w:t>
      </w:r>
      <w:r w:rsidRPr="0025250D">
        <w:t>BSI</w:t>
      </w:r>
      <w:r w:rsidRPr="0025250D">
        <w:rPr>
          <w:rFonts w:hint="cs"/>
          <w:rtl/>
        </w:rPr>
        <w:t xml:space="preserve">) است. کارت‌های امتیازی متوازن یک ابزار مدیریت عملکرد شناخته شده هستند که توسط </w:t>
      </w:r>
      <w:r w:rsidRPr="0025250D">
        <w:rPr>
          <w:rtl/>
        </w:rPr>
        <w:t>رابرت کاپلان و د</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rtl/>
        </w:rPr>
        <w:t xml:space="preserve"> نورتون</w:t>
      </w:r>
      <w:r w:rsidRPr="0025250D">
        <w:rPr>
          <w:vertAlign w:val="superscript"/>
          <w:rtl/>
        </w:rPr>
        <w:footnoteReference w:id="2438"/>
      </w:r>
      <w:r w:rsidRPr="0025250D">
        <w:rPr>
          <w:rFonts w:hint="cs"/>
          <w:rtl/>
        </w:rPr>
        <w:t xml:space="preserve"> در سال 1992 توسعه داده </w:t>
      </w:r>
      <w:r w:rsidR="00185F3E" w:rsidRPr="0025250D">
        <w:rPr>
          <w:rFonts w:hint="cs"/>
          <w:rtl/>
        </w:rPr>
        <w:t>شده‌اند</w:t>
      </w:r>
      <w:r w:rsidRPr="0025250D">
        <w:rPr>
          <w:rFonts w:hint="cs"/>
          <w:rtl/>
        </w:rPr>
        <w:t xml:space="preserve"> که تیم را بر یک مجموعه کوچک و قابل به خاطر سپاری از موارد عملکرد مالی و غیر مالی متمرکز می‌کنند و به آن‌ها ارزش‌های هدف اختصاص داده و مداخلات اصلاحی را هر گاه عملکرد از هدف فاصله بگیرد ایجاد می‌کنند. رایج‌ترین </w:t>
      </w:r>
      <w:r w:rsidR="008D6F97" w:rsidRPr="0025250D">
        <w:rPr>
          <w:rFonts w:hint="cs"/>
          <w:rtl/>
        </w:rPr>
        <w:t>سامانه‌</w:t>
      </w:r>
      <w:r w:rsidRPr="0025250D">
        <w:rPr>
          <w:rFonts w:hint="cs"/>
          <w:rtl/>
        </w:rPr>
        <w:t xml:space="preserve"> کارت امتیازی از چهار معیار سازمانی استفاده می‌کند: عملکرد مشتری-ذینفع، مالی، فرایند‌های داخلی و ظرفیت سازمانی (افراد و </w:t>
      </w:r>
      <w:r w:rsidR="007A53FD" w:rsidRPr="0025250D">
        <w:rPr>
          <w:rFonts w:hint="cs"/>
          <w:rtl/>
        </w:rPr>
        <w:t>فناوری</w:t>
      </w:r>
      <w:r w:rsidRPr="0025250D">
        <w:rPr>
          <w:rFonts w:hint="cs"/>
          <w:rtl/>
        </w:rPr>
        <w:t>). کتاب کارت امتیازی متوازن گام به گام</w:t>
      </w:r>
      <w:r w:rsidRPr="0025250D">
        <w:rPr>
          <w:vertAlign w:val="superscript"/>
          <w:rtl/>
        </w:rPr>
        <w:footnoteReference w:id="2439"/>
      </w:r>
      <w:r w:rsidRPr="0025250D">
        <w:rPr>
          <w:rFonts w:hint="cs"/>
          <w:rtl/>
        </w:rPr>
        <w:t xml:space="preserve"> اثر </w:t>
      </w:r>
      <w:r w:rsidRPr="0025250D">
        <w:rPr>
          <w:rtl/>
        </w:rPr>
        <w:t>پل ن</w:t>
      </w:r>
      <w:r w:rsidRPr="0025250D">
        <w:rPr>
          <w:rFonts w:hint="cs"/>
          <w:rtl/>
        </w:rPr>
        <w:t>ی</w:t>
      </w:r>
      <w:r w:rsidRPr="0025250D">
        <w:rPr>
          <w:rFonts w:hint="eastAsia"/>
          <w:rtl/>
        </w:rPr>
        <w:t>ون</w:t>
      </w:r>
      <w:r w:rsidRPr="0025250D">
        <w:rPr>
          <w:vertAlign w:val="superscript"/>
          <w:rtl/>
        </w:rPr>
        <w:footnoteReference w:id="2440"/>
      </w:r>
      <w:r w:rsidRPr="0025250D">
        <w:rPr>
          <w:rFonts w:hint="cs"/>
          <w:rtl/>
        </w:rPr>
        <w:t xml:space="preserve"> در سال</w:t>
      </w:r>
      <w:r w:rsidR="00BD3C89" w:rsidRPr="0025250D">
        <w:rPr>
          <w:rFonts w:hint="cs"/>
          <w:rtl/>
        </w:rPr>
        <w:t xml:space="preserve"> 2006</w:t>
      </w:r>
      <w:r w:rsidRPr="0025250D">
        <w:rPr>
          <w:rFonts w:hint="cs"/>
          <w:rtl/>
        </w:rPr>
        <w:t xml:space="preserve"> و سازمان متمرکز بر </w:t>
      </w:r>
      <w:r w:rsidR="00701E03" w:rsidRPr="0025250D">
        <w:rPr>
          <w:rFonts w:hint="cs"/>
          <w:rtl/>
        </w:rPr>
        <w:t>راهبرد</w:t>
      </w:r>
      <w:r w:rsidRPr="0025250D">
        <w:rPr>
          <w:vertAlign w:val="superscript"/>
          <w:rtl/>
        </w:rPr>
        <w:footnoteReference w:id="2441"/>
      </w:r>
      <w:r w:rsidRPr="0025250D">
        <w:rPr>
          <w:rFonts w:hint="cs"/>
          <w:rtl/>
        </w:rPr>
        <w:t xml:space="preserve"> در سال 2001 و همراستایی</w:t>
      </w:r>
      <w:r w:rsidRPr="0025250D">
        <w:rPr>
          <w:vertAlign w:val="superscript"/>
          <w:rtl/>
        </w:rPr>
        <w:footnoteReference w:id="2442"/>
      </w:r>
      <w:r w:rsidRPr="0025250D">
        <w:rPr>
          <w:rFonts w:hint="cs"/>
          <w:rtl/>
        </w:rPr>
        <w:t xml:space="preserve"> اثر</w:t>
      </w:r>
      <w:r w:rsidRPr="0025250D">
        <w:rPr>
          <w:rtl/>
        </w:rPr>
        <w:t xml:space="preserve"> کاپلان و نورتون</w:t>
      </w:r>
      <w:r w:rsidRPr="0025250D">
        <w:rPr>
          <w:rFonts w:hint="cs"/>
          <w:rtl/>
        </w:rPr>
        <w:t xml:space="preserve"> در سال 2006 مقدمه‌هایی خوب برای کارت‌های امتیازی متوازن هستند.</w:t>
      </w:r>
    </w:p>
    <w:p w14:paraId="08DA2FBA" w14:textId="6367AB84" w:rsidR="00537CC8" w:rsidRPr="0025250D" w:rsidRDefault="00537CC8" w:rsidP="00537CC8">
      <w:pPr>
        <w:rPr>
          <w:rtl/>
        </w:rPr>
      </w:pPr>
      <w:r w:rsidRPr="0025250D">
        <w:rPr>
          <w:rFonts w:hint="cs"/>
          <w:rtl/>
        </w:rPr>
        <w:t xml:space="preserve">کارت‌های امتیازی می‌توانند به یک نقشه </w:t>
      </w:r>
      <w:r w:rsidR="00701E03" w:rsidRPr="0025250D">
        <w:rPr>
          <w:rFonts w:hint="cs"/>
          <w:rtl/>
        </w:rPr>
        <w:t>راهبرد</w:t>
      </w:r>
      <w:r w:rsidRPr="0025250D">
        <w:rPr>
          <w:rFonts w:hint="cs"/>
          <w:rtl/>
        </w:rPr>
        <w:t>، نشانگرهای هدایت کننده (نشانه‌های اولیه از تغییر)، سنجه‌های متنوع برای سنجش برآمدها (</w:t>
      </w:r>
      <w:r w:rsidR="00E402E3" w:rsidRPr="0025250D">
        <w:rPr>
          <w:rtl/>
        </w:rPr>
        <w:t>«</w:t>
      </w:r>
      <w:r w:rsidRPr="0025250D">
        <w:rPr>
          <w:rFonts w:hint="cs"/>
          <w:rtl/>
        </w:rPr>
        <w:t>نشانگرهای دارای تأخیر</w:t>
      </w:r>
      <w:r w:rsidR="00E402E3" w:rsidRPr="0025250D">
        <w:rPr>
          <w:rtl/>
        </w:rPr>
        <w:t>»</w:t>
      </w:r>
      <w:r w:rsidRPr="0025250D">
        <w:rPr>
          <w:rFonts w:hint="cs"/>
          <w:rtl/>
        </w:rPr>
        <w:t>)</w:t>
      </w:r>
      <w:r w:rsidR="008D6F97" w:rsidRPr="0025250D">
        <w:rPr>
          <w:rtl/>
        </w:rPr>
        <w:t xml:space="preserve"> </w:t>
      </w:r>
      <w:r w:rsidRPr="0025250D">
        <w:rPr>
          <w:rFonts w:hint="cs"/>
          <w:rtl/>
        </w:rPr>
        <w:t xml:space="preserve">و طرح‌های </w:t>
      </w:r>
      <w:r w:rsidR="00701E03" w:rsidRPr="0025250D">
        <w:rPr>
          <w:rFonts w:hint="cs"/>
          <w:rtl/>
        </w:rPr>
        <w:t>راهبردی</w:t>
      </w:r>
      <w:r w:rsidRPr="0025250D">
        <w:rPr>
          <w:rFonts w:hint="cs"/>
          <w:rtl/>
        </w:rPr>
        <w:t xml:space="preserve"> برای دست یابی به اهداف مطلوب پیوند یابند. کارت‌های امتیازی با </w:t>
      </w:r>
      <w:r w:rsidR="00701E03" w:rsidRPr="0025250D">
        <w:rPr>
          <w:rFonts w:hint="cs"/>
          <w:rtl/>
        </w:rPr>
        <w:t>راهبرد</w:t>
      </w:r>
      <w:r w:rsidRPr="0025250D">
        <w:rPr>
          <w:rFonts w:hint="cs"/>
          <w:rtl/>
        </w:rPr>
        <w:t xml:space="preserve">‌های مدیریتی فعلی همراستا بوده و وقتی دوران مفید بودن این </w:t>
      </w:r>
      <w:r w:rsidR="00701E03" w:rsidRPr="0025250D">
        <w:rPr>
          <w:rFonts w:hint="cs"/>
          <w:rtl/>
        </w:rPr>
        <w:t>راهبرد</w:t>
      </w:r>
      <w:r w:rsidR="007D3A99" w:rsidRPr="0025250D">
        <w:rPr>
          <w:rFonts w:hint="cs"/>
          <w:rtl/>
        </w:rPr>
        <w:t>ها</w:t>
      </w:r>
      <w:r w:rsidRPr="0025250D">
        <w:rPr>
          <w:rFonts w:hint="cs"/>
          <w:rtl/>
        </w:rPr>
        <w:t xml:space="preserve"> به پایان می‌رسد، مجددا طراحی شوند. رهبران کنشگر می‌توانند از آن‌ها برای مشخص کردن وقتی که یک بحران در حال ظهور است و آغاز تغییرات دردناک سیاسی استفاده کنند.</w:t>
      </w:r>
    </w:p>
    <w:p w14:paraId="3565AE4A" w14:textId="679D8341" w:rsidR="00537CC8" w:rsidRPr="0025250D" w:rsidRDefault="00537CC8" w:rsidP="00537CC8">
      <w:pPr>
        <w:rPr>
          <w:rtl/>
        </w:rPr>
      </w:pPr>
      <w:r w:rsidRPr="0025250D">
        <w:rPr>
          <w:rFonts w:hint="cs"/>
          <w:rtl/>
        </w:rPr>
        <w:t>مؤسسه کارت‌های امتیازی متوازن</w:t>
      </w:r>
      <w:r w:rsidRPr="0025250D">
        <w:rPr>
          <w:vertAlign w:val="superscript"/>
          <w:rtl/>
        </w:rPr>
        <w:footnoteReference w:id="2443"/>
      </w:r>
      <w:r w:rsidRPr="0025250D">
        <w:rPr>
          <w:rFonts w:hint="cs"/>
          <w:rtl/>
        </w:rPr>
        <w:t xml:space="preserve"> یک گواهینامه کارشناسی و کارشناسی تخصصی ارائه می‌دهد. مدیریت مبتنی بر نتایج یک سبک مدیریت کارت امتیازی دیگر است که همه بازیگران را به برنامه‌ریزی، سنجش و بازبینی نتایج مداخلات خود وادار می‌کند. این روش در حال کسب محبوبیت در بخش‌های غیر انتفاعی و کار با هر پروژه انتزاعی </w:t>
      </w:r>
      <w:r w:rsidR="007D3A99" w:rsidRPr="0025250D">
        <w:rPr>
          <w:rFonts w:hint="cs"/>
          <w:rtl/>
        </w:rPr>
        <w:t xml:space="preserve">می‌باشد </w:t>
      </w:r>
      <w:r w:rsidRPr="0025250D">
        <w:rPr>
          <w:rFonts w:hint="cs"/>
          <w:rtl/>
        </w:rPr>
        <w:t xml:space="preserve">که </w:t>
      </w:r>
      <w:r w:rsidRPr="0025250D">
        <w:rPr>
          <w:rtl/>
        </w:rPr>
        <w:t>از پ</w:t>
      </w:r>
      <w:r w:rsidRPr="0025250D">
        <w:rPr>
          <w:rFonts w:hint="cs"/>
          <w:rtl/>
        </w:rPr>
        <w:t>ی</w:t>
      </w:r>
      <w:r w:rsidRPr="0025250D">
        <w:rPr>
          <w:rFonts w:hint="eastAsia"/>
          <w:rtl/>
        </w:rPr>
        <w:t>ش</w:t>
      </w:r>
      <w:r w:rsidRPr="0025250D">
        <w:rPr>
          <w:rtl/>
        </w:rPr>
        <w:t xml:space="preserve"> تعر</w:t>
      </w:r>
      <w:r w:rsidRPr="0025250D">
        <w:rPr>
          <w:rFonts w:hint="cs"/>
          <w:rtl/>
        </w:rPr>
        <w:t>ی</w:t>
      </w:r>
      <w:r w:rsidRPr="0025250D">
        <w:rPr>
          <w:rFonts w:hint="eastAsia"/>
          <w:rtl/>
        </w:rPr>
        <w:t>ف</w:t>
      </w:r>
      <w:r w:rsidRPr="0025250D">
        <w:rPr>
          <w:rtl/>
        </w:rPr>
        <w:t xml:space="preserve"> </w:t>
      </w:r>
      <w:r w:rsidRPr="0025250D">
        <w:rPr>
          <w:rFonts w:hint="cs"/>
          <w:rtl/>
        </w:rPr>
        <w:t xml:space="preserve">نمودن برآمدهای </w:t>
      </w:r>
      <w:r w:rsidR="0008779C" w:rsidRPr="0025250D">
        <w:rPr>
          <w:rtl/>
        </w:rPr>
        <w:t>ایدئال</w:t>
      </w:r>
      <w:r w:rsidRPr="0025250D">
        <w:rPr>
          <w:rtl/>
        </w:rPr>
        <w:t xml:space="preserve"> برا</w:t>
      </w:r>
      <w:r w:rsidRPr="0025250D">
        <w:rPr>
          <w:rFonts w:hint="cs"/>
          <w:rtl/>
        </w:rPr>
        <w:t>ی</w:t>
      </w:r>
      <w:r w:rsidRPr="0025250D">
        <w:rPr>
          <w:rtl/>
        </w:rPr>
        <w:t xml:space="preserve"> پاسخگو نگه داشتن سازمان مهم است</w:t>
      </w:r>
      <w:r w:rsidRPr="0025250D">
        <w:rPr>
          <w:rFonts w:hint="cs"/>
          <w:rtl/>
        </w:rPr>
        <w:t>. صلیب سرخ بین المللی یک مرور کلی خوب بر استفاده خود از کارت امتیازی مبتنی بر نتایج، برای دنبال کردن متغیر‌ها و برآمدهای ملموس و ناملموس استفاده می‌کند.</w:t>
      </w:r>
    </w:p>
    <w:p w14:paraId="18DC1DCF" w14:textId="77777777" w:rsidR="00537CC8" w:rsidRPr="0025250D" w:rsidRDefault="00537CC8" w:rsidP="00D76D11">
      <w:pPr>
        <w:jc w:val="center"/>
        <w:rPr>
          <w:rtl/>
        </w:rPr>
      </w:pPr>
      <w:r w:rsidRPr="0025250D">
        <w:rPr>
          <w:noProof/>
          <w:rtl/>
          <w:lang w:bidi="ar-SA"/>
        </w:rPr>
        <w:drawing>
          <wp:inline distT="0" distB="0" distL="0" distR="0" wp14:anchorId="355A3188" wp14:editId="5C65E6EA">
            <wp:extent cx="4651513" cy="1410373"/>
            <wp:effectExtent l="0" t="0" r="0" b="0"/>
            <wp:docPr id="141" name="Picture 141" descr="D:\کار\مستقل\3 ( ترجمه ی دانشگاه تهران  )\Introduction to Foresight\part6\39-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کار\مستقل\3 ( ترجمه ی دانشگاه تهران  )\Introduction to Foresight\part6\39-new.png"/>
                    <pic:cNvPicPr>
                      <a:picLocks noChangeAspect="1" noChangeArrowheads="1"/>
                    </pic:cNvPicPr>
                  </pic:nvPicPr>
                  <pic:blipFill rotWithShape="1">
                    <a:blip r:embed="rId228" cstate="screen">
                      <a:extLst>
                        <a:ext uri="{BEBA8EAE-BF5A-486C-A8C5-ECC9F3942E4B}">
                          <a14:imgProps xmlns:a14="http://schemas.microsoft.com/office/drawing/2010/main">
                            <a14:imgLayer r:embed="rId229">
                              <a14:imgEffect>
                                <a14:saturation sat="0"/>
                              </a14:imgEffect>
                            </a14:imgLayer>
                          </a14:imgProps>
                        </a:ext>
                        <a:ext uri="{28A0092B-C50C-407E-A947-70E740481C1C}">
                          <a14:useLocalDpi xmlns:a14="http://schemas.microsoft.com/office/drawing/2010/main"/>
                        </a:ext>
                      </a:extLst>
                    </a:blip>
                    <a:srcRect b="16870"/>
                    <a:stretch/>
                  </pic:blipFill>
                  <pic:spPr bwMode="auto">
                    <a:xfrm>
                      <a:off x="0" y="0"/>
                      <a:ext cx="4668371" cy="1415484"/>
                    </a:xfrm>
                    <a:prstGeom prst="rect">
                      <a:avLst/>
                    </a:prstGeom>
                    <a:noFill/>
                    <a:ln>
                      <a:noFill/>
                    </a:ln>
                    <a:extLst>
                      <a:ext uri="{53640926-AAD7-44D8-BBD7-CCE9431645EC}">
                        <a14:shadowObscured xmlns:a14="http://schemas.microsoft.com/office/drawing/2010/main"/>
                      </a:ext>
                    </a:extLst>
                  </pic:spPr>
                </pic:pic>
              </a:graphicData>
            </a:graphic>
          </wp:inline>
        </w:drawing>
      </w:r>
    </w:p>
    <w:p w14:paraId="4F704845" w14:textId="77777777" w:rsidR="00537CC8" w:rsidRPr="0025250D" w:rsidRDefault="00537CC8" w:rsidP="003D3E0A">
      <w:pPr>
        <w:jc w:val="center"/>
        <w:rPr>
          <w:rtl/>
        </w:rPr>
      </w:pPr>
      <w:r w:rsidRPr="0025250D">
        <w:rPr>
          <w:rFonts w:hint="cs"/>
          <w:rtl/>
        </w:rPr>
        <w:t xml:space="preserve">گواهینامه‌های </w:t>
      </w:r>
      <w:r w:rsidRPr="0025250D">
        <w:t>BSP</w:t>
      </w:r>
      <w:r w:rsidRPr="0025250D">
        <w:rPr>
          <w:rFonts w:hint="cs"/>
          <w:rtl/>
        </w:rPr>
        <w:t xml:space="preserve"> و </w:t>
      </w:r>
      <w:r w:rsidRPr="0025250D">
        <w:t>BSMP</w:t>
      </w:r>
      <w:r w:rsidRPr="0025250D">
        <w:rPr>
          <w:rFonts w:hint="cs"/>
          <w:rtl/>
        </w:rPr>
        <w:t xml:space="preserve"> از </w:t>
      </w:r>
      <w:r w:rsidRPr="0025250D">
        <w:t>BSI</w:t>
      </w:r>
    </w:p>
    <w:p w14:paraId="21915024" w14:textId="15850C5F" w:rsidR="00537CC8" w:rsidRPr="0025250D" w:rsidRDefault="00537CC8" w:rsidP="00537CC8">
      <w:pPr>
        <w:rPr>
          <w:rtl/>
        </w:rPr>
      </w:pPr>
      <w:r w:rsidRPr="0025250D">
        <w:rPr>
          <w:rFonts w:hint="cs"/>
          <w:rtl/>
        </w:rPr>
        <w:t xml:space="preserve">آخرین زیرتخصص بازبینی که مورد بحث قرار می‌دهیم کیفیت است. ما قبلا چرخه کیفیت </w:t>
      </w:r>
      <w:r w:rsidRPr="0025250D">
        <w:rPr>
          <w:rtl/>
        </w:rPr>
        <w:t>شوهارت-دم</w:t>
      </w:r>
      <w:r w:rsidRPr="0025250D">
        <w:rPr>
          <w:rFonts w:hint="cs"/>
          <w:rtl/>
        </w:rPr>
        <w:t>ی</w:t>
      </w:r>
      <w:r w:rsidRPr="0025250D">
        <w:rPr>
          <w:rFonts w:hint="eastAsia"/>
          <w:rtl/>
        </w:rPr>
        <w:t>نگ</w:t>
      </w:r>
      <w:r w:rsidRPr="0025250D">
        <w:rPr>
          <w:vertAlign w:val="superscript"/>
          <w:rtl/>
        </w:rPr>
        <w:footnoteReference w:id="2444"/>
      </w:r>
      <w:r w:rsidRPr="0025250D">
        <w:rPr>
          <w:rFonts w:hint="cs"/>
          <w:rtl/>
        </w:rPr>
        <w:t xml:space="preserve"> </w:t>
      </w:r>
      <w:r w:rsidR="007D3A99" w:rsidRPr="0025250D">
        <w:rPr>
          <w:rFonts w:hint="cs"/>
          <w:rtl/>
        </w:rPr>
        <w:t xml:space="preserve">را </w:t>
      </w:r>
      <w:r w:rsidRPr="0025250D">
        <w:rPr>
          <w:rFonts w:hint="cs"/>
          <w:rtl/>
        </w:rPr>
        <w:t xml:space="preserve">با عنوان </w:t>
      </w:r>
      <w:r w:rsidRPr="0025250D">
        <w:t>OPDCA</w:t>
      </w:r>
      <w:r w:rsidRPr="0025250D">
        <w:rPr>
          <w:rFonts w:hint="cs"/>
          <w:rtl/>
        </w:rPr>
        <w:t xml:space="preserve"> که یک نسخه کند‌تر و دقیق از چرخه یادگیری، </w:t>
      </w:r>
      <w:r w:rsidR="007D3A99" w:rsidRPr="0025250D">
        <w:rPr>
          <w:rFonts w:hint="cs"/>
          <w:rtl/>
        </w:rPr>
        <w:t>فراپایی</w:t>
      </w:r>
      <w:r w:rsidRPr="0025250D">
        <w:rPr>
          <w:rFonts w:hint="cs"/>
          <w:rtl/>
        </w:rPr>
        <w:t xml:space="preserve">، انجام، بازبینی (چرخه انجام) می‌باشد، بررسی کردیم. از نظر متخصص کیفیت برجسته </w:t>
      </w:r>
      <w:r w:rsidRPr="0025250D">
        <w:rPr>
          <w:rtl/>
        </w:rPr>
        <w:t>ادوارد دم</w:t>
      </w:r>
      <w:r w:rsidRPr="0025250D">
        <w:rPr>
          <w:rFonts w:hint="cs"/>
          <w:rtl/>
        </w:rPr>
        <w:t>ی</w:t>
      </w:r>
      <w:r w:rsidRPr="0025250D">
        <w:rPr>
          <w:rFonts w:hint="eastAsia"/>
          <w:rtl/>
        </w:rPr>
        <w:t>نگ</w:t>
      </w:r>
      <w:r w:rsidRPr="0025250D">
        <w:rPr>
          <w:rFonts w:hint="cs"/>
          <w:rtl/>
        </w:rPr>
        <w:t xml:space="preserve">، بازبینی دو گام آخر در این چرخه </w:t>
      </w:r>
      <w:r w:rsidRPr="0025250D">
        <w:t>OPDCA</w:t>
      </w:r>
      <w:r w:rsidRPr="0025250D">
        <w:rPr>
          <w:rFonts w:hint="cs"/>
          <w:rtl/>
        </w:rPr>
        <w:t xml:space="preserve"> (هم بررسی و هم تعدیل پس از بررسی) را در بر می‌گیرد. وقتی ما این گام‌ها را به عنوان دو پنجم از چرخه </w:t>
      </w:r>
      <w:r w:rsidRPr="0025250D">
        <w:rPr>
          <w:rtl/>
        </w:rPr>
        <w:t>شوهارت-دم</w:t>
      </w:r>
      <w:r w:rsidRPr="0025250D">
        <w:rPr>
          <w:rFonts w:hint="cs"/>
          <w:rtl/>
        </w:rPr>
        <w:t>ی</w:t>
      </w:r>
      <w:r w:rsidRPr="0025250D">
        <w:rPr>
          <w:rFonts w:hint="eastAsia"/>
          <w:rtl/>
        </w:rPr>
        <w:t>نگ</w:t>
      </w:r>
      <w:r w:rsidRPr="0025250D">
        <w:rPr>
          <w:rFonts w:hint="cs"/>
          <w:rtl/>
        </w:rPr>
        <w:t xml:space="preserve"> بررسی می‌کنیم، می‌توانیم ببینیم که بازبینی یک مهارت حیاتی برای همه سازمان‌های </w:t>
      </w:r>
      <w:r w:rsidR="00B124DE" w:rsidRPr="0025250D">
        <w:rPr>
          <w:rFonts w:hint="cs"/>
          <w:rtl/>
        </w:rPr>
        <w:t>انطباق‌پذیر</w:t>
      </w:r>
      <w:r w:rsidRPr="0025250D">
        <w:rPr>
          <w:rFonts w:hint="cs"/>
          <w:rtl/>
        </w:rPr>
        <w:t xml:space="preserve"> است.</w:t>
      </w:r>
    </w:p>
    <w:p w14:paraId="5EBC3D15" w14:textId="77777777" w:rsidR="00537CC8" w:rsidRPr="0025250D" w:rsidRDefault="00537CC8" w:rsidP="003D3E0A">
      <w:pPr>
        <w:jc w:val="center"/>
        <w:rPr>
          <w:rtl/>
        </w:rPr>
      </w:pPr>
      <w:r w:rsidRPr="0025250D">
        <w:rPr>
          <w:noProof/>
          <w:rtl/>
          <w:lang w:bidi="ar-SA"/>
        </w:rPr>
        <w:drawing>
          <wp:inline distT="0" distB="0" distL="0" distR="0" wp14:anchorId="6BD7425A" wp14:editId="4C587433">
            <wp:extent cx="1623060" cy="1423019"/>
            <wp:effectExtent l="0" t="0" r="0" b="6350"/>
            <wp:docPr id="142" name="Picture 142" descr="D:\کار\مستقل\3 ( ترجمه ی دانشگاه تهران  )\Introduction to Foresight\part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کار\مستقل\3 ( ترجمه ی دانشگاه تهران  )\Introduction to Foresight\part6\40.png"/>
                    <pic:cNvPicPr>
                      <a:picLocks noChangeAspect="1" noChangeArrowheads="1"/>
                    </pic:cNvPicPr>
                  </pic:nvPicPr>
                  <pic:blipFill>
                    <a:blip r:embed="rId230" cstate="screen">
                      <a:extLst>
                        <a:ext uri="{BEBA8EAE-BF5A-486C-A8C5-ECC9F3942E4B}">
                          <a14:imgProps xmlns:a14="http://schemas.microsoft.com/office/drawing/2010/main">
                            <a14:imgLayer r:embed="rId231">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629445" cy="1428617"/>
                    </a:xfrm>
                    <a:prstGeom prst="rect">
                      <a:avLst/>
                    </a:prstGeom>
                    <a:noFill/>
                    <a:ln>
                      <a:noFill/>
                    </a:ln>
                  </pic:spPr>
                </pic:pic>
              </a:graphicData>
            </a:graphic>
          </wp:inline>
        </w:drawing>
      </w:r>
    </w:p>
    <w:p w14:paraId="76803DD2" w14:textId="3226193F" w:rsidR="00537CC8" w:rsidRPr="0025250D" w:rsidRDefault="00537CC8" w:rsidP="00537CC8">
      <w:pPr>
        <w:rPr>
          <w:rtl/>
        </w:rPr>
      </w:pPr>
      <w:r w:rsidRPr="0025250D">
        <w:rPr>
          <w:rFonts w:hint="cs"/>
          <w:rtl/>
        </w:rPr>
        <w:t xml:space="preserve">در بافت </w:t>
      </w:r>
      <w:r w:rsidR="00B124DE" w:rsidRPr="0025250D">
        <w:rPr>
          <w:rFonts w:hint="cs"/>
          <w:rtl/>
        </w:rPr>
        <w:t>کسب‌و‌کار</w:t>
      </w:r>
      <w:r w:rsidRPr="0025250D">
        <w:rPr>
          <w:rFonts w:hint="cs"/>
          <w:rtl/>
        </w:rPr>
        <w:t xml:space="preserve">، کیفیت به عنوان </w:t>
      </w:r>
      <w:r w:rsidR="00E402E3" w:rsidRPr="0025250D">
        <w:rPr>
          <w:rtl/>
        </w:rPr>
        <w:t>«</w:t>
      </w:r>
      <w:r w:rsidRPr="0025250D">
        <w:rPr>
          <w:rFonts w:hint="cs"/>
          <w:rtl/>
        </w:rPr>
        <w:t>بد‌تر نبودن یا بهتر بودن</w:t>
      </w:r>
      <w:r w:rsidR="00E402E3" w:rsidRPr="0025250D">
        <w:rPr>
          <w:rtl/>
        </w:rPr>
        <w:t>»</w:t>
      </w:r>
      <w:r w:rsidRPr="0025250D">
        <w:rPr>
          <w:rFonts w:hint="cs"/>
          <w:rtl/>
        </w:rPr>
        <w:t xml:space="preserve"> یک محصول یا خدمت یا تناسب آن با هدف مورد نظر تعریف می‌شود. هر دو سنجه مزایایی دارند. وقتی به دنبال کیفیت هستیم، باید همواره بپرسیم که چه زمانی راضی کردن و استفاده از قانون 80/20 برای آنچه نیاز داریم به‌اندازه کافی خوب است. ما باید </w:t>
      </w:r>
      <w:r w:rsidRPr="0025250D">
        <w:rPr>
          <w:rtl/>
        </w:rPr>
        <w:t>ضرب المثل ولتر</w:t>
      </w:r>
      <w:r w:rsidRPr="0025250D">
        <w:rPr>
          <w:vertAlign w:val="superscript"/>
          <w:rtl/>
        </w:rPr>
        <w:footnoteReference w:id="2445"/>
      </w:r>
      <w:r w:rsidRPr="0025250D">
        <w:rPr>
          <w:rFonts w:hint="cs"/>
          <w:rtl/>
        </w:rPr>
        <w:t xml:space="preserve"> درمورد کمال گرایان را که </w:t>
      </w:r>
      <w:r w:rsidR="00E402E3" w:rsidRPr="0025250D">
        <w:rPr>
          <w:rtl/>
        </w:rPr>
        <w:t>«</w:t>
      </w:r>
      <w:r w:rsidRPr="0025250D">
        <w:rPr>
          <w:rFonts w:hint="cs"/>
          <w:rtl/>
        </w:rPr>
        <w:t>عالی بودن دشمن خوب بودن است</w:t>
      </w:r>
      <w:r w:rsidRPr="0025250D">
        <w:rPr>
          <w:vertAlign w:val="superscript"/>
          <w:rtl/>
        </w:rPr>
        <w:footnoteReference w:id="2446"/>
      </w:r>
      <w:r w:rsidR="00E402E3" w:rsidRPr="0025250D">
        <w:rPr>
          <w:rtl/>
        </w:rPr>
        <w:t>»</w:t>
      </w:r>
      <w:r w:rsidRPr="0025250D">
        <w:rPr>
          <w:rFonts w:hint="cs"/>
          <w:rtl/>
        </w:rPr>
        <w:t xml:space="preserve"> را به یاد داشته باشیم. ما تنها به کسب کیفیتی که برای هدف یا </w:t>
      </w:r>
      <w:r w:rsidR="00701E03" w:rsidRPr="0025250D">
        <w:rPr>
          <w:rFonts w:hint="cs"/>
          <w:rtl/>
        </w:rPr>
        <w:t>راهبرد</w:t>
      </w:r>
      <w:r w:rsidRPr="0025250D">
        <w:rPr>
          <w:rFonts w:hint="cs"/>
          <w:rtl/>
        </w:rPr>
        <w:t xml:space="preserve"> کافی است، نیاز داریم. بسیاری از رقبای </w:t>
      </w:r>
      <w:r w:rsidR="00B124DE" w:rsidRPr="0025250D">
        <w:rPr>
          <w:rFonts w:hint="cs"/>
          <w:rtl/>
        </w:rPr>
        <w:t>کسب‌و‌کار</w:t>
      </w:r>
      <w:r w:rsidRPr="0025250D">
        <w:rPr>
          <w:rFonts w:hint="cs"/>
          <w:rtl/>
        </w:rPr>
        <w:t xml:space="preserve"> توسط توسعه سریع و ارتقاء بهتر محصولات و استاندارد‌های ضعیف‌تر اما مفید شکست داده </w:t>
      </w:r>
      <w:r w:rsidR="00185F3E" w:rsidRPr="0025250D">
        <w:rPr>
          <w:rFonts w:hint="cs"/>
          <w:rtl/>
        </w:rPr>
        <w:t>شده‌اند</w:t>
      </w:r>
      <w:r w:rsidRPr="0025250D">
        <w:rPr>
          <w:rFonts w:hint="cs"/>
          <w:rtl/>
        </w:rPr>
        <w:t xml:space="preserve">. همه جنگ‌های استاندارد فنی که در </w:t>
      </w:r>
      <w:r w:rsidR="008D6F97" w:rsidRPr="0025250D">
        <w:rPr>
          <w:rFonts w:hint="cs"/>
          <w:rtl/>
        </w:rPr>
        <w:t>سامانه‌</w:t>
      </w:r>
      <w:r w:rsidRPr="0025250D">
        <w:rPr>
          <w:rFonts w:hint="cs"/>
          <w:rtl/>
        </w:rPr>
        <w:t xml:space="preserve">‌های </w:t>
      </w:r>
      <w:r w:rsidR="007A53FD" w:rsidRPr="0025250D">
        <w:rPr>
          <w:rFonts w:hint="cs"/>
          <w:rtl/>
        </w:rPr>
        <w:t>فناوری</w:t>
      </w:r>
      <w:r w:rsidRPr="0025250D">
        <w:rPr>
          <w:rFonts w:hint="cs"/>
          <w:rtl/>
        </w:rPr>
        <w:t xml:space="preserve"> و محصولات دیده ایم (</w:t>
      </w:r>
      <w:r w:rsidRPr="0025250D">
        <w:t>AC</w:t>
      </w:r>
      <w:r w:rsidRPr="0025250D">
        <w:rPr>
          <w:rFonts w:hint="cs"/>
          <w:rtl/>
        </w:rPr>
        <w:t xml:space="preserve"> در مقابل </w:t>
      </w:r>
      <w:r w:rsidRPr="0025250D">
        <w:t>DC</w:t>
      </w:r>
      <w:r w:rsidRPr="0025250D">
        <w:rPr>
          <w:rFonts w:hint="cs"/>
          <w:rtl/>
        </w:rPr>
        <w:t xml:space="preserve">، </w:t>
      </w:r>
      <w:r w:rsidRPr="0025250D">
        <w:t>VHS</w:t>
      </w:r>
      <w:r w:rsidRPr="0025250D">
        <w:rPr>
          <w:rFonts w:hint="cs"/>
          <w:rtl/>
        </w:rPr>
        <w:t xml:space="preserve"> در مقابل </w:t>
      </w:r>
      <w:r w:rsidRPr="0025250D">
        <w:rPr>
          <w:rtl/>
        </w:rPr>
        <w:t>بتامکس</w:t>
      </w:r>
      <w:r w:rsidRPr="0025250D">
        <w:rPr>
          <w:vertAlign w:val="superscript"/>
          <w:rtl/>
        </w:rPr>
        <w:footnoteReference w:id="2447"/>
      </w:r>
      <w:r w:rsidRPr="0025250D">
        <w:rPr>
          <w:rFonts w:hint="cs"/>
          <w:rtl/>
        </w:rPr>
        <w:t xml:space="preserve">، </w:t>
      </w:r>
      <w:r w:rsidRPr="0025250D">
        <w:t>CDMA</w:t>
      </w:r>
      <w:r w:rsidRPr="0025250D">
        <w:rPr>
          <w:rFonts w:hint="cs"/>
          <w:rtl/>
        </w:rPr>
        <w:t xml:space="preserve"> در مقابل </w:t>
      </w:r>
      <w:r w:rsidRPr="0025250D">
        <w:t>GSM</w:t>
      </w:r>
      <w:r w:rsidRPr="0025250D">
        <w:rPr>
          <w:rFonts w:hint="cs"/>
          <w:rtl/>
        </w:rPr>
        <w:t xml:space="preserve"> و غیره) به ما آموخته اند که کیفیت تنها یک عنصر </w:t>
      </w:r>
      <w:r w:rsidR="00B124DE" w:rsidRPr="0025250D">
        <w:rPr>
          <w:rFonts w:hint="cs"/>
          <w:rtl/>
        </w:rPr>
        <w:t>انطباق‌پذیر</w:t>
      </w:r>
      <w:r w:rsidRPr="0025250D">
        <w:rPr>
          <w:rFonts w:hint="cs"/>
          <w:rtl/>
        </w:rPr>
        <w:t xml:space="preserve">ی است. استاندارد‌های کیفیت ضعیف‌تر اغلب می‌توانند در صورتی که اولین مورد برای کسب تأثیرات شبکه‌ای قوی یا داشتن دیگر مزایای </w:t>
      </w:r>
      <w:r w:rsidRPr="0025250D">
        <w:rPr>
          <w:rtl/>
        </w:rPr>
        <w:t>مق</w:t>
      </w:r>
      <w:r w:rsidRPr="0025250D">
        <w:rPr>
          <w:rFonts w:hint="cs"/>
          <w:rtl/>
        </w:rPr>
        <w:t>ی</w:t>
      </w:r>
      <w:r w:rsidRPr="0025250D">
        <w:rPr>
          <w:rFonts w:hint="eastAsia"/>
          <w:rtl/>
        </w:rPr>
        <w:t>اس‏گذار</w:t>
      </w:r>
      <w:r w:rsidRPr="0025250D">
        <w:rPr>
          <w:rFonts w:hint="cs"/>
          <w:rtl/>
        </w:rPr>
        <w:t>ی باشند، پیروز شوند.</w:t>
      </w:r>
    </w:p>
    <w:p w14:paraId="30D09069" w14:textId="2C385CC6" w:rsidR="00537CC8" w:rsidRPr="0025250D" w:rsidRDefault="00537CC8" w:rsidP="00537CC8">
      <w:pPr>
        <w:rPr>
          <w:rtl/>
        </w:rPr>
      </w:pPr>
      <w:r w:rsidRPr="0025250D">
        <w:rPr>
          <w:rFonts w:hint="cs"/>
          <w:rtl/>
        </w:rPr>
        <w:t>یادگیری کیفیت مورد نیاز مشتریان، با انجام سریع حلقه‌های انجام متعدد و سپس رسیدن دائمی به این هدف، مهم‌تر از بهترین بودن است. کتاب جعبه ابزار کیفیت</w:t>
      </w:r>
      <w:r w:rsidRPr="0025250D">
        <w:rPr>
          <w:vertAlign w:val="superscript"/>
          <w:rtl/>
        </w:rPr>
        <w:footnoteReference w:id="2448"/>
      </w:r>
      <w:r w:rsidRPr="0025250D">
        <w:rPr>
          <w:rFonts w:hint="cs"/>
          <w:rtl/>
        </w:rPr>
        <w:t xml:space="preserve"> اثر </w:t>
      </w:r>
      <w:r w:rsidRPr="0025250D">
        <w:rPr>
          <w:rtl/>
        </w:rPr>
        <w:t>نانس</w:t>
      </w:r>
      <w:r w:rsidRPr="0025250D">
        <w:rPr>
          <w:rFonts w:hint="cs"/>
          <w:rtl/>
        </w:rPr>
        <w:t>ی</w:t>
      </w:r>
      <w:r w:rsidRPr="0025250D">
        <w:rPr>
          <w:rtl/>
        </w:rPr>
        <w:t xml:space="preserve"> تاگ</w:t>
      </w:r>
      <w:r w:rsidRPr="0025250D">
        <w:rPr>
          <w:vertAlign w:val="superscript"/>
          <w:rtl/>
        </w:rPr>
        <w:footnoteReference w:id="2449"/>
      </w:r>
      <w:r w:rsidRPr="0025250D">
        <w:rPr>
          <w:rFonts w:hint="cs"/>
          <w:rtl/>
        </w:rPr>
        <w:t xml:space="preserve"> در سال 2005 یک مقدمه خوب برای روش‌های مدیریت کیفیت خوب است. جامعه کیفیت آمریکا</w:t>
      </w:r>
      <w:r w:rsidRPr="0025250D">
        <w:rPr>
          <w:vertAlign w:val="superscript"/>
          <w:rtl/>
        </w:rPr>
        <w:footnoteReference w:id="2450"/>
      </w:r>
      <w:r w:rsidRPr="0025250D">
        <w:rPr>
          <w:rFonts w:hint="cs"/>
          <w:rtl/>
        </w:rPr>
        <w:t xml:space="preserve"> (</w:t>
      </w:r>
      <w:r w:rsidRPr="0025250D">
        <w:t>ASQ</w:t>
      </w:r>
      <w:r w:rsidRPr="0025250D">
        <w:rPr>
          <w:rFonts w:hint="cs"/>
          <w:rtl/>
        </w:rPr>
        <w:t xml:space="preserve">) جامعه فعال برتر در زمینه کیفیت است. در آنجا می‌توانیم درمورد چنین زیرتخصص‌ها و روش‌هایی مانند </w:t>
      </w:r>
      <w:r w:rsidRPr="0025250D">
        <w:t>TQM</w:t>
      </w:r>
      <w:r w:rsidRPr="0025250D">
        <w:rPr>
          <w:rFonts w:hint="cs"/>
          <w:rtl/>
        </w:rPr>
        <w:t>، شش سیگمای ناب</w:t>
      </w:r>
      <w:r w:rsidRPr="0025250D">
        <w:rPr>
          <w:vertAlign w:val="superscript"/>
          <w:rtl/>
        </w:rPr>
        <w:footnoteReference w:id="2451"/>
      </w:r>
      <w:r w:rsidRPr="0025250D">
        <w:rPr>
          <w:rFonts w:hint="cs"/>
          <w:rtl/>
        </w:rPr>
        <w:t xml:space="preserve"> و بسیاری دیگر بیاموزیم. آن‌ها همچنین هشت مجله و ژورنال و نیز گواهینامه‌ها و کنفرانس‌های متعددی را ارائه می‌دهند.</w:t>
      </w:r>
    </w:p>
    <w:p w14:paraId="4C40CE02" w14:textId="0A18C361" w:rsidR="00537CC8" w:rsidRPr="0025250D" w:rsidRDefault="00537CC8" w:rsidP="00537CC8">
      <w:pPr>
        <w:rPr>
          <w:rtl/>
        </w:rPr>
      </w:pPr>
      <w:r w:rsidRPr="0025250D">
        <w:rPr>
          <w:rFonts w:hint="cs"/>
          <w:rtl/>
        </w:rPr>
        <w:t xml:space="preserve">مشاوران </w:t>
      </w:r>
      <w:r w:rsidRPr="0025250D">
        <w:rPr>
          <w:rtl/>
        </w:rPr>
        <w:t>آینده‌نگاری</w:t>
      </w:r>
      <w:r w:rsidRPr="0025250D">
        <w:rPr>
          <w:rFonts w:hint="cs"/>
          <w:rtl/>
        </w:rPr>
        <w:t xml:space="preserve"> متخصص دائما کار خود را برای بهبود تخصصی بازبینی، تعدیل و نقد می‌کنند. افرادی که بازخورد حیاتی در مورد فعالیت‌های تولید خود ایجاد می‌کنند، ازجمله بازخورد ناشناس در زمانی که سیاست‌ها یا دوستی</w:t>
      </w:r>
      <w:r w:rsidR="007D3A99" w:rsidRPr="0025250D">
        <w:rPr>
          <w:rFonts w:hint="cs"/>
          <w:rtl/>
        </w:rPr>
        <w:t>‌ها</w:t>
      </w:r>
      <w:r w:rsidRPr="0025250D">
        <w:rPr>
          <w:rFonts w:hint="cs"/>
          <w:rtl/>
        </w:rPr>
        <w:t xml:space="preserve"> </w:t>
      </w:r>
      <w:r w:rsidR="007D3A99" w:rsidRPr="0025250D">
        <w:rPr>
          <w:rFonts w:hint="cs"/>
          <w:rtl/>
        </w:rPr>
        <w:t>ممکن است</w:t>
      </w:r>
      <w:r w:rsidRPr="0025250D">
        <w:rPr>
          <w:rFonts w:hint="cs"/>
          <w:rtl/>
        </w:rPr>
        <w:t xml:space="preserve"> کیفیت این بازخورد را تضعیف کنند و هر مرحله </w:t>
      </w:r>
      <w:r w:rsidR="007D3A99" w:rsidRPr="0025250D">
        <w:rPr>
          <w:rFonts w:hint="cs"/>
          <w:rtl/>
        </w:rPr>
        <w:t>از</w:t>
      </w:r>
      <w:r w:rsidRPr="0025250D">
        <w:rPr>
          <w:rFonts w:hint="cs"/>
          <w:rtl/>
        </w:rPr>
        <w:t xml:space="preserve"> فرایند خود را در معرض ارزیابی پس از عمل قرار می‌دهند، به سرعت پیشرفت می‌کنند</w:t>
      </w:r>
      <w:r w:rsidR="008D6F97" w:rsidRPr="0025250D">
        <w:rPr>
          <w:rtl/>
        </w:rPr>
        <w:t xml:space="preserve">؛ </w:t>
      </w:r>
      <w:r w:rsidR="0020589F" w:rsidRPr="0025250D">
        <w:rPr>
          <w:rtl/>
        </w:rPr>
        <w:t>اما</w:t>
      </w:r>
      <w:r w:rsidRPr="0025250D">
        <w:rPr>
          <w:rFonts w:hint="cs"/>
          <w:rtl/>
        </w:rPr>
        <w:t xml:space="preserve"> نقد کافی نیست. پس از این که اشتباهاتی را می‌یابیم باید به دنبال یک راه عملی برای اصلاح آنچه دوست نداریم باشیم. اگر نتوانیم آن را اصلاح کنیم، باید یاد بگیریم که با آن زندگی کنیم و برای آن چه</w:t>
      </w:r>
      <w:r w:rsidR="007D3A99" w:rsidRPr="0025250D">
        <w:rPr>
          <w:rFonts w:hint="cs"/>
          <w:rtl/>
        </w:rPr>
        <w:t xml:space="preserve"> که</w:t>
      </w:r>
      <w:r w:rsidRPr="0025250D">
        <w:rPr>
          <w:rFonts w:hint="cs"/>
          <w:rtl/>
        </w:rPr>
        <w:t xml:space="preserve"> داریم ارزش قائل شویم. با این </w:t>
      </w:r>
      <w:r w:rsidR="0020589F" w:rsidRPr="0025250D">
        <w:rPr>
          <w:rtl/>
        </w:rPr>
        <w:t>همه</w:t>
      </w:r>
      <w:r w:rsidRPr="0025250D">
        <w:rPr>
          <w:rFonts w:hint="cs"/>
          <w:rtl/>
        </w:rPr>
        <w:t xml:space="preserve"> انسان بودن به معنی اشتباه کردن مداوم و امیدواری دائمی برای بهبود خودمان با سعی و خطا است.</w:t>
      </w:r>
    </w:p>
    <w:p w14:paraId="6D2BEF9A" w14:textId="770331A2" w:rsidR="00537CC8" w:rsidRPr="0025250D" w:rsidRDefault="00537CC8" w:rsidP="00537CC8">
      <w:pPr>
        <w:rPr>
          <w:rtl/>
        </w:rPr>
      </w:pPr>
      <w:r w:rsidRPr="0025250D">
        <w:rPr>
          <w:rFonts w:hint="cs"/>
          <w:rtl/>
        </w:rPr>
        <w:t xml:space="preserve">ما امیدواریم که این مرور کلی بر مدل </w:t>
      </w:r>
      <w:r w:rsidR="00923DDB" w:rsidRPr="0025250D">
        <w:rPr>
          <w:rtl/>
        </w:rPr>
        <w:t>آینده‌نگاری انطباقی</w:t>
      </w:r>
      <w:r w:rsidRPr="0025250D">
        <w:rPr>
          <w:rFonts w:hint="cs"/>
          <w:rtl/>
        </w:rPr>
        <w:t xml:space="preserve"> ما برای شما و تیم هایتان مفید باشد. برای عمیق‌تر </w:t>
      </w:r>
      <w:r w:rsidR="007D3A99" w:rsidRPr="0025250D">
        <w:rPr>
          <w:rFonts w:hint="cs"/>
          <w:rtl/>
        </w:rPr>
        <w:t>ساختن</w:t>
      </w:r>
      <w:r w:rsidRPr="0025250D">
        <w:rPr>
          <w:rFonts w:hint="cs"/>
          <w:rtl/>
        </w:rPr>
        <w:t xml:space="preserve"> ارزش آن، هشت مهارت از تشخیص آنلاین برای ارزیابی خود و بازخورد 360 درجه‌ای برای ارزیابی هر مهارت در بافت فردی، تیمی و سازمانی بهره خواهند برد. همچنین دوره‌های آموزشی به افرادی که در هر یک از این مهارت‌ها ضعیف هستند جهت ساختن و ایجاد تیم‌هایی با مهات‌های مکمل یاری خواهند کرد. همه این‌ها باید به شکلی کمّی انجام شوند تا به </w:t>
      </w:r>
      <w:r w:rsidRPr="0025250D">
        <w:rPr>
          <w:rtl/>
        </w:rPr>
        <w:t>تصد</w:t>
      </w:r>
      <w:r w:rsidRPr="0025250D">
        <w:rPr>
          <w:rFonts w:hint="cs"/>
          <w:rtl/>
        </w:rPr>
        <w:t>ی</w:t>
      </w:r>
      <w:r w:rsidRPr="0025250D">
        <w:rPr>
          <w:rFonts w:hint="eastAsia"/>
          <w:rtl/>
        </w:rPr>
        <w:t>ق</w:t>
      </w:r>
      <w:r w:rsidRPr="0025250D">
        <w:rPr>
          <w:rFonts w:hint="cs"/>
          <w:rtl/>
        </w:rPr>
        <w:t xml:space="preserve"> این مدل کمک کنند. </w:t>
      </w:r>
      <w:r w:rsidRPr="0025250D">
        <w:t>4U</w:t>
      </w:r>
      <w:r w:rsidRPr="0025250D">
        <w:rPr>
          <w:rFonts w:hint="cs"/>
          <w:rtl/>
        </w:rPr>
        <w:t xml:space="preserve"> ممکن است از این به بعد بتواند یا نتواند سازمان </w:t>
      </w:r>
      <w:r w:rsidR="0008779C" w:rsidRPr="0025250D">
        <w:rPr>
          <w:rFonts w:hint="cs"/>
          <w:rtl/>
        </w:rPr>
        <w:t>ایدئال</w:t>
      </w:r>
      <w:r w:rsidRPr="0025250D">
        <w:rPr>
          <w:rFonts w:hint="cs"/>
          <w:rtl/>
        </w:rPr>
        <w:t xml:space="preserve"> برای توسعه چنین آموزش‌ها و تشخیص‌هایی باشد. در حال حاضر، ما با </w:t>
      </w:r>
      <w:r w:rsidRPr="0025250D">
        <w:rPr>
          <w:rtl/>
        </w:rPr>
        <w:t>ف</w:t>
      </w:r>
      <w:r w:rsidRPr="0025250D">
        <w:rPr>
          <w:rFonts w:hint="cs"/>
          <w:rtl/>
        </w:rPr>
        <w:t>ی</w:t>
      </w:r>
      <w:r w:rsidRPr="0025250D">
        <w:rPr>
          <w:rFonts w:hint="eastAsia"/>
          <w:rtl/>
        </w:rPr>
        <w:t>وچرپد</w:t>
      </w:r>
      <w:r w:rsidRPr="0025250D">
        <w:rPr>
          <w:rFonts w:hint="cs"/>
          <w:rtl/>
        </w:rPr>
        <w:t>ی</w:t>
      </w:r>
      <w:r w:rsidRPr="0025250D">
        <w:rPr>
          <w:rFonts w:hint="eastAsia"/>
          <w:rtl/>
        </w:rPr>
        <w:t>ا</w:t>
      </w:r>
      <w:r w:rsidRPr="0025250D">
        <w:rPr>
          <w:rFonts w:hint="cs"/>
          <w:rtl/>
        </w:rPr>
        <w:t xml:space="preserve"> (فصل 6)، اولویت‌های مهم‌تر دیگری داریم. مدل هشت مهارت ما تحت مجوز </w:t>
      </w:r>
      <w:r w:rsidRPr="0025250D">
        <w:rPr>
          <w:rtl/>
        </w:rPr>
        <w:t>مشترکات خلاقانه</w:t>
      </w:r>
      <w:r w:rsidRPr="0025250D">
        <w:rPr>
          <w:vertAlign w:val="superscript"/>
          <w:rtl/>
        </w:rPr>
        <w:footnoteReference w:id="2452"/>
      </w:r>
      <w:r w:rsidRPr="0025250D">
        <w:rPr>
          <w:rtl/>
        </w:rPr>
        <w:t xml:space="preserve"> </w:t>
      </w:r>
      <w:r w:rsidRPr="0025250D">
        <w:t>BY-SA</w:t>
      </w:r>
      <w:r w:rsidR="008D6F97" w:rsidRPr="0025250D">
        <w:rPr>
          <w:rtl/>
        </w:rPr>
        <w:t xml:space="preserve"> </w:t>
      </w:r>
      <w:r w:rsidRPr="0025250D">
        <w:rPr>
          <w:rFonts w:hint="cs"/>
          <w:rtl/>
        </w:rPr>
        <w:t xml:space="preserve">است تا هر خواننده یا مشاوری به </w:t>
      </w:r>
      <w:r w:rsidR="00B124DE" w:rsidRPr="0025250D">
        <w:rPr>
          <w:rFonts w:hint="cs"/>
          <w:rtl/>
        </w:rPr>
        <w:t>انطباق‌پذیر</w:t>
      </w:r>
      <w:r w:rsidRPr="0025250D">
        <w:rPr>
          <w:rFonts w:hint="cs"/>
          <w:rtl/>
        </w:rPr>
        <w:t>ی و اصلاح این مدل به اختیار خود تشویق شود.</w:t>
      </w:r>
    </w:p>
    <w:p w14:paraId="4993CEB9" w14:textId="77777777" w:rsidR="00537CC8" w:rsidRPr="0025250D" w:rsidRDefault="00537CC8" w:rsidP="00537CC8">
      <w:pPr>
        <w:rPr>
          <w:rtl/>
        </w:rPr>
      </w:pPr>
      <w:r w:rsidRPr="0025250D">
        <w:rPr>
          <w:rFonts w:hint="cs"/>
          <w:rtl/>
        </w:rPr>
        <w:t>ما می‌توانیم هر یک از این هشت مهارت را بهبود بخشیم.</w:t>
      </w:r>
    </w:p>
    <w:p w14:paraId="466E58B6" w14:textId="77777777" w:rsidR="00537CC8" w:rsidRPr="0025250D" w:rsidRDefault="00537CC8" w:rsidP="00537CC8">
      <w:pPr>
        <w:rPr>
          <w:rtl/>
        </w:rPr>
      </w:pPr>
      <w:r w:rsidRPr="0025250D">
        <w:rPr>
          <w:rtl/>
        </w:rPr>
        <w:t>آینده‌نگاری</w:t>
      </w:r>
      <w:r w:rsidRPr="0025250D">
        <w:rPr>
          <w:rFonts w:hint="cs"/>
          <w:rtl/>
        </w:rPr>
        <w:t xml:space="preserve"> و عمل متوازن اهمیت دارد!</w:t>
      </w:r>
    </w:p>
    <w:p w14:paraId="124E1F3A" w14:textId="77777777" w:rsidR="00537CC8" w:rsidRPr="0025250D" w:rsidRDefault="00537CC8" w:rsidP="00537CC8">
      <w:pPr>
        <w:rPr>
          <w:rtl/>
        </w:rPr>
      </w:pPr>
    </w:p>
    <w:p w14:paraId="5A10B721" w14:textId="77777777" w:rsidR="00537CC8" w:rsidRPr="0025250D" w:rsidRDefault="00537CC8" w:rsidP="00537CC8">
      <w:pPr>
        <w:rPr>
          <w:rtl/>
        </w:rPr>
      </w:pPr>
    </w:p>
    <w:p w14:paraId="4E4E5CA2" w14:textId="77777777" w:rsidR="00537CC8" w:rsidRPr="0025250D" w:rsidRDefault="00537CC8" w:rsidP="00537CC8">
      <w:pPr>
        <w:rPr>
          <w:rtl/>
        </w:rPr>
      </w:pPr>
    </w:p>
    <w:p w14:paraId="2F447F0E" w14:textId="77777777" w:rsidR="00537CC8" w:rsidRPr="0025250D" w:rsidRDefault="00537CC8" w:rsidP="00537CC8">
      <w:pPr>
        <w:rPr>
          <w:rtl/>
        </w:rPr>
      </w:pPr>
    </w:p>
    <w:p w14:paraId="71CB0B82" w14:textId="77777777" w:rsidR="00537CC8" w:rsidRPr="0025250D" w:rsidRDefault="00537CC8" w:rsidP="00537CC8">
      <w:pPr>
        <w:rPr>
          <w:rtl/>
        </w:rPr>
      </w:pPr>
    </w:p>
    <w:p w14:paraId="158568C0" w14:textId="77777777" w:rsidR="00537CC8" w:rsidRPr="0025250D" w:rsidRDefault="00537CC8" w:rsidP="00537CC8">
      <w:pPr>
        <w:rPr>
          <w:rtl/>
        </w:rPr>
      </w:pPr>
    </w:p>
    <w:p w14:paraId="3A103E3B" w14:textId="77777777" w:rsidR="00537CC8" w:rsidRPr="0025250D" w:rsidRDefault="00537CC8" w:rsidP="00537CC8">
      <w:pPr>
        <w:rPr>
          <w:rtl/>
        </w:rPr>
      </w:pPr>
    </w:p>
    <w:p w14:paraId="1C3024EB" w14:textId="77777777" w:rsidR="00537CC8" w:rsidRPr="0025250D" w:rsidRDefault="00537CC8" w:rsidP="00537CC8">
      <w:pPr>
        <w:rPr>
          <w:rtl/>
        </w:rPr>
      </w:pPr>
    </w:p>
    <w:p w14:paraId="7E0509C8" w14:textId="77777777" w:rsidR="00537CC8" w:rsidRPr="0025250D" w:rsidRDefault="00537CC8" w:rsidP="00537CC8">
      <w:pPr>
        <w:rPr>
          <w:rtl/>
        </w:rPr>
      </w:pPr>
    </w:p>
    <w:p w14:paraId="225549A0" w14:textId="2240CEE5" w:rsidR="00537CC8" w:rsidRPr="0025250D" w:rsidRDefault="00537CC8" w:rsidP="003D3E0A">
      <w:pPr>
        <w:pStyle w:val="Heading1"/>
        <w:rPr>
          <w:rtl/>
        </w:rPr>
      </w:pPr>
      <w:bookmarkStart w:id="67" w:name="_Toc127831332"/>
      <w:r w:rsidRPr="0025250D">
        <w:rPr>
          <w:rFonts w:hint="cs"/>
          <w:rtl/>
        </w:rPr>
        <w:t xml:space="preserve">فصل 5: </w:t>
      </w:r>
      <w:r w:rsidRPr="0025250D">
        <w:rPr>
          <w:rtl/>
        </w:rPr>
        <w:t>آینده‌نگاری</w:t>
      </w:r>
      <w:r w:rsidRPr="0025250D">
        <w:rPr>
          <w:rFonts w:hint="cs"/>
          <w:rtl/>
        </w:rPr>
        <w:t xml:space="preserve"> سازمانی 3 </w:t>
      </w:r>
      <w:r w:rsidRPr="0025250D">
        <w:rPr>
          <w:rFonts w:ascii="Times New Roman" w:hAnsi="Times New Roman" w:cs="Times New Roman" w:hint="cs"/>
          <w:rtl/>
        </w:rPr>
        <w:t>–</w:t>
      </w:r>
      <w:r w:rsidRPr="0025250D">
        <w:rPr>
          <w:rFonts w:hint="cs"/>
          <w:rtl/>
        </w:rPr>
        <w:t xml:space="preserve"> </w:t>
      </w:r>
      <w:r w:rsidR="00B13F65" w:rsidRPr="0025250D">
        <w:rPr>
          <w:rFonts w:hint="cs"/>
          <w:rtl/>
        </w:rPr>
        <w:t>چارچوب</w:t>
      </w:r>
      <w:r w:rsidRPr="0025250D">
        <w:rPr>
          <w:rFonts w:hint="cs"/>
          <w:rtl/>
        </w:rPr>
        <w:t>‌ها و روش ها</w:t>
      </w:r>
      <w:bookmarkEnd w:id="67"/>
    </w:p>
    <w:p w14:paraId="3CF63E4A" w14:textId="3877993D" w:rsidR="00537CC8" w:rsidRPr="0025250D" w:rsidRDefault="00537CC8" w:rsidP="00537CC8">
      <w:pPr>
        <w:rPr>
          <w:rtl/>
        </w:rPr>
      </w:pPr>
      <w:r w:rsidRPr="0025250D">
        <w:rPr>
          <w:rFonts w:hint="cs"/>
          <w:rtl/>
        </w:rPr>
        <w:t xml:space="preserve">ما برخی منافع و چالش‌های استفاده از هشت مهارت در تیم‌ها را در فصل آخر مورد بحث قرار </w:t>
      </w:r>
      <w:r w:rsidR="00892D13" w:rsidRPr="0025250D">
        <w:rPr>
          <w:rFonts w:hint="cs"/>
          <w:rtl/>
        </w:rPr>
        <w:t>داده‌ایم</w:t>
      </w:r>
      <w:r w:rsidRPr="0025250D">
        <w:rPr>
          <w:rFonts w:hint="cs"/>
          <w:rtl/>
        </w:rPr>
        <w:t xml:space="preserve">. اکنون، آماده معرفی چندین </w:t>
      </w:r>
      <w:r w:rsidR="00B13F65" w:rsidRPr="0025250D">
        <w:rPr>
          <w:rFonts w:hint="cs"/>
          <w:rtl/>
        </w:rPr>
        <w:t>چارچوب</w:t>
      </w:r>
      <w:r w:rsidRPr="0025250D">
        <w:rPr>
          <w:rFonts w:hint="cs"/>
          <w:rtl/>
        </w:rPr>
        <w:t xml:space="preserve"> عملی مفید دیگر مورد استفاده توسط تیم‌ها برای تولید </w:t>
      </w:r>
      <w:r w:rsidRPr="0025250D">
        <w:rPr>
          <w:rtl/>
        </w:rPr>
        <w:t>آینده‌نگاری</w:t>
      </w:r>
      <w:r w:rsidRPr="0025250D">
        <w:rPr>
          <w:rFonts w:hint="cs"/>
          <w:rtl/>
        </w:rPr>
        <w:t xml:space="preserve"> هستیم. بسیاری از این موارد نسخه‌های تغییر یافته‌ای از حلقه انجام، چرخه </w:t>
      </w:r>
      <w:r w:rsidRPr="0025250D">
        <w:rPr>
          <w:rtl/>
        </w:rPr>
        <w:t>آینده‌نگاری</w:t>
      </w:r>
      <w:r w:rsidRPr="0025250D">
        <w:rPr>
          <w:rFonts w:hint="cs"/>
          <w:rtl/>
        </w:rPr>
        <w:t xml:space="preserve"> </w:t>
      </w:r>
      <w:r w:rsidRPr="0025250D">
        <w:rPr>
          <w:rFonts w:cs="Times New Roman" w:hint="cs"/>
          <w:rtl/>
        </w:rPr>
        <w:t>–</w:t>
      </w:r>
      <w:r w:rsidRPr="0025250D">
        <w:rPr>
          <w:rFonts w:hint="cs"/>
          <w:rtl/>
        </w:rPr>
        <w:t xml:space="preserve"> عمل فراگیر هستند. ما سپس مروری کلی بر برخی از روش‌های برتر </w:t>
      </w:r>
      <w:r w:rsidRPr="0025250D">
        <w:rPr>
          <w:rtl/>
        </w:rPr>
        <w:t>آینده‌نگاری</w:t>
      </w:r>
      <w:r w:rsidRPr="0025250D">
        <w:rPr>
          <w:rFonts w:hint="cs"/>
          <w:rtl/>
        </w:rPr>
        <w:t xml:space="preserve"> که تیم‌ها می‌توانند در چهار مهارت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استفاده کنند معرفی خواهیم کرد. در آخر، ما فهرستی از بیش از 150 روش عملی که در قالب هشت مهارت دسته بندی </w:t>
      </w:r>
      <w:r w:rsidR="00185F3E" w:rsidRPr="0025250D">
        <w:rPr>
          <w:rFonts w:hint="cs"/>
          <w:rtl/>
        </w:rPr>
        <w:t>شده‌اند</w:t>
      </w:r>
      <w:r w:rsidRPr="0025250D">
        <w:rPr>
          <w:rFonts w:hint="cs"/>
          <w:rtl/>
        </w:rPr>
        <w:t xml:space="preserve"> ارائه خواهیم داد. ما موضوعات این فصل را به عنوان یک سطح پیشرفته از </w:t>
      </w:r>
      <w:r w:rsidRPr="0025250D">
        <w:rPr>
          <w:rtl/>
        </w:rPr>
        <w:t>آینده‌نگاری</w:t>
      </w:r>
      <w:r w:rsidRPr="0025250D">
        <w:rPr>
          <w:rFonts w:hint="cs"/>
          <w:rtl/>
        </w:rPr>
        <w:t xml:space="preserve"> سازمانی در نظر می‌گیریم. رهبران باید به یاد داشته باشند که دیدگاه‌های کلی ما، مدل‌هایی که </w:t>
      </w:r>
      <w:r w:rsidR="00E402E3" w:rsidRPr="0025250D">
        <w:rPr>
          <w:rtl/>
        </w:rPr>
        <w:t xml:space="preserve">از </w:t>
      </w:r>
      <w:r w:rsidR="00E402E3" w:rsidRPr="0025250D">
        <w:rPr>
          <w:rFonts w:hint="cs"/>
          <w:rtl/>
        </w:rPr>
        <w:t>آ</w:t>
      </w:r>
      <w:r w:rsidRPr="0025250D">
        <w:rPr>
          <w:rFonts w:hint="cs"/>
          <w:rtl/>
        </w:rPr>
        <w:t xml:space="preserve">ن‌ها استفاده می‌کنیم و ارزش‌هایی که دوست داریم، هر یک ما را به دیدن پویایی‌های خاصی در محیطمان و دوست داشتن </w:t>
      </w:r>
      <w:r w:rsidR="00B13F65" w:rsidRPr="0025250D">
        <w:rPr>
          <w:rFonts w:hint="cs"/>
          <w:rtl/>
        </w:rPr>
        <w:t>چارچوب</w:t>
      </w:r>
      <w:r w:rsidRPr="0025250D">
        <w:rPr>
          <w:rFonts w:hint="cs"/>
          <w:rtl/>
        </w:rPr>
        <w:t xml:space="preserve">‌ها و روش‌های خاصی نسبت به دیگر موارد متمایل می‌کنند. ما باید از این تأثیر آگاه بوده و بازخوردی حیاتی درمورد این که آیا مبتنی بر شواهد و </w:t>
      </w:r>
      <w:r w:rsidR="00B124DE" w:rsidRPr="0025250D">
        <w:rPr>
          <w:rFonts w:hint="cs"/>
          <w:rtl/>
        </w:rPr>
        <w:t>انطباق‌پذیر</w:t>
      </w:r>
      <w:r w:rsidRPr="0025250D">
        <w:rPr>
          <w:rFonts w:hint="cs"/>
          <w:rtl/>
        </w:rPr>
        <w:t xml:space="preserve"> هست یا خیر دریافت کنیم.</w:t>
      </w:r>
    </w:p>
    <w:p w14:paraId="4DC07B71" w14:textId="756E8D2A" w:rsidR="00537CC8" w:rsidRPr="0025250D" w:rsidRDefault="00537CC8" w:rsidP="00537CC8">
      <w:pPr>
        <w:rPr>
          <w:rtl/>
        </w:rPr>
      </w:pPr>
      <w:r w:rsidRPr="0025250D">
        <w:rPr>
          <w:rFonts w:hint="cs"/>
          <w:rtl/>
        </w:rPr>
        <w:t xml:space="preserve">به علاوه، دانستن زمان و مدت </w:t>
      </w:r>
      <w:r w:rsidR="00923DDB" w:rsidRPr="0025250D">
        <w:rPr>
          <w:rFonts w:hint="cs"/>
          <w:rtl/>
        </w:rPr>
        <w:t>به‌کارگیری</w:t>
      </w:r>
      <w:r w:rsidRPr="0025250D">
        <w:rPr>
          <w:rFonts w:hint="cs"/>
          <w:rtl/>
        </w:rPr>
        <w:t xml:space="preserve"> هر </w:t>
      </w:r>
      <w:r w:rsidR="00B13F65" w:rsidRPr="0025250D">
        <w:rPr>
          <w:rFonts w:hint="cs"/>
          <w:rtl/>
        </w:rPr>
        <w:t>چارچوب</w:t>
      </w:r>
      <w:r w:rsidRPr="0025250D">
        <w:rPr>
          <w:rFonts w:hint="cs"/>
          <w:rtl/>
        </w:rPr>
        <w:t xml:space="preserve"> و روش مشخص </w:t>
      </w:r>
      <w:r w:rsidRPr="0025250D">
        <w:rPr>
          <w:rFonts w:cs="Times New Roman" w:hint="cs"/>
          <w:rtl/>
        </w:rPr>
        <w:t>–</w:t>
      </w:r>
      <w:r w:rsidRPr="0025250D">
        <w:rPr>
          <w:rFonts w:hint="cs"/>
          <w:rtl/>
        </w:rPr>
        <w:t xml:space="preserve"> و چگونگی شخصی سازی آن برای نیاز‌های خودمان </w:t>
      </w:r>
      <w:r w:rsidRPr="0025250D">
        <w:rPr>
          <w:rFonts w:cs="Times New Roman" w:hint="cs"/>
          <w:rtl/>
        </w:rPr>
        <w:t>–</w:t>
      </w:r>
      <w:r w:rsidRPr="0025250D">
        <w:rPr>
          <w:rFonts w:hint="cs"/>
          <w:rtl/>
        </w:rPr>
        <w:t xml:space="preserve"> همواره بیش‌تر یک هنر خواهد بود تا یک علم. مدیران اجرایی خوب به دنبال کسب تجربه در به کارگیری </w:t>
      </w:r>
      <w:r w:rsidR="00B13F65" w:rsidRPr="0025250D">
        <w:rPr>
          <w:rFonts w:hint="cs"/>
          <w:rtl/>
        </w:rPr>
        <w:t>چارچوب</w:t>
      </w:r>
      <w:r w:rsidRPr="0025250D">
        <w:rPr>
          <w:rFonts w:hint="cs"/>
          <w:rtl/>
        </w:rPr>
        <w:t>‌ها و روش‌های مختلف و رقابت آن‌ها در مقابل هم خواهند بود و دائما آن‌ها را آزموده و اصلاح می‌کنند. تنوع تجربه و نیز تنوع شناختی در استفاده از این ابزارها ما را از اتکای بیش‌ازحد بر هر یکی از آن‌ها حفاظت می‌کند.</w:t>
      </w:r>
    </w:p>
    <w:p w14:paraId="6C4C80BB" w14:textId="77777777" w:rsidR="00537CC8" w:rsidRPr="0025250D" w:rsidRDefault="00537CC8" w:rsidP="00537CC8">
      <w:pPr>
        <w:rPr>
          <w:rtl/>
        </w:rPr>
      </w:pPr>
    </w:p>
    <w:p w14:paraId="4DF3683D" w14:textId="77777777" w:rsidR="00537CC8" w:rsidRPr="0025250D" w:rsidRDefault="00537CC8" w:rsidP="00537CC8">
      <w:pPr>
        <w:rPr>
          <w:rtl/>
        </w:rPr>
      </w:pPr>
    </w:p>
    <w:p w14:paraId="0DF2D1FE" w14:textId="77777777" w:rsidR="00537CC8" w:rsidRPr="0025250D" w:rsidRDefault="00537CC8" w:rsidP="00537CC8">
      <w:pPr>
        <w:rPr>
          <w:rtl/>
        </w:rPr>
      </w:pPr>
    </w:p>
    <w:p w14:paraId="376EAAFB" w14:textId="77777777" w:rsidR="00537CC8" w:rsidRPr="0025250D" w:rsidRDefault="00537CC8" w:rsidP="00537CC8">
      <w:pPr>
        <w:rPr>
          <w:rtl/>
        </w:rPr>
      </w:pPr>
    </w:p>
    <w:p w14:paraId="2BA23162" w14:textId="77777777" w:rsidR="00537CC8" w:rsidRPr="0025250D" w:rsidRDefault="00537CC8" w:rsidP="00537CC8">
      <w:pPr>
        <w:rPr>
          <w:rtl/>
        </w:rPr>
      </w:pPr>
    </w:p>
    <w:p w14:paraId="084D3A0C" w14:textId="77777777" w:rsidR="00537CC8" w:rsidRPr="0025250D" w:rsidRDefault="00537CC8" w:rsidP="00537CC8">
      <w:pPr>
        <w:rPr>
          <w:rtl/>
        </w:rPr>
      </w:pPr>
    </w:p>
    <w:p w14:paraId="15B88FBD" w14:textId="77777777" w:rsidR="00537CC8" w:rsidRPr="0025250D" w:rsidRDefault="00537CC8" w:rsidP="00537CC8">
      <w:pPr>
        <w:rPr>
          <w:rtl/>
        </w:rPr>
      </w:pPr>
    </w:p>
    <w:p w14:paraId="1AD8EA14" w14:textId="15B067A9" w:rsidR="00537CC8" w:rsidRPr="0025250D" w:rsidRDefault="006A42A9" w:rsidP="003D3E0A">
      <w:pPr>
        <w:pStyle w:val="Heading2"/>
        <w:rPr>
          <w:rtl/>
        </w:rPr>
      </w:pPr>
      <w:bookmarkStart w:id="68" w:name="_Toc127831333"/>
      <w:r w:rsidRPr="0025250D">
        <w:rPr>
          <w:rFonts w:hint="cs"/>
          <w:rtl/>
        </w:rPr>
        <w:t xml:space="preserve">1. </w:t>
      </w:r>
      <w:r w:rsidR="00B13F65" w:rsidRPr="0025250D">
        <w:rPr>
          <w:rFonts w:hint="cs"/>
          <w:rtl/>
        </w:rPr>
        <w:t>چارچوب</w:t>
      </w:r>
      <w:r w:rsidR="00537CC8" w:rsidRPr="0025250D">
        <w:rPr>
          <w:rFonts w:hint="cs"/>
          <w:rtl/>
        </w:rPr>
        <w:t xml:space="preserve">‌های انجام </w:t>
      </w:r>
      <w:r w:rsidR="00537CC8" w:rsidRPr="0025250D">
        <w:rPr>
          <w:rtl/>
        </w:rPr>
        <w:t>آینده‌نگاری</w:t>
      </w:r>
      <w:bookmarkEnd w:id="68"/>
    </w:p>
    <w:p w14:paraId="0E98CEBF" w14:textId="460C545E" w:rsidR="00537CC8" w:rsidRPr="0025250D" w:rsidRDefault="00B13F65" w:rsidP="00537CC8">
      <w:pPr>
        <w:rPr>
          <w:rtl/>
        </w:rPr>
      </w:pPr>
      <w:r w:rsidRPr="0025250D">
        <w:rPr>
          <w:rFonts w:hint="cs"/>
          <w:rtl/>
        </w:rPr>
        <w:t>چارچوب</w:t>
      </w:r>
      <w:r w:rsidR="00537CC8" w:rsidRPr="0025250D">
        <w:rPr>
          <w:rFonts w:hint="cs"/>
          <w:rtl/>
        </w:rPr>
        <w:t xml:space="preserve">‌ها </w:t>
      </w:r>
      <w:r w:rsidR="00537CC8" w:rsidRPr="0025250D">
        <w:rPr>
          <w:rFonts w:cs="Times New Roman" w:hint="cs"/>
          <w:rtl/>
        </w:rPr>
        <w:t>–</w:t>
      </w:r>
      <w:r w:rsidR="00537CC8" w:rsidRPr="0025250D">
        <w:rPr>
          <w:rFonts w:hint="cs"/>
          <w:rtl/>
        </w:rPr>
        <w:t xml:space="preserve"> که همچنین </w:t>
      </w:r>
      <w:r w:rsidR="00537CC8" w:rsidRPr="0025250D">
        <w:t>SOP</w:t>
      </w:r>
      <w:r w:rsidR="00537CC8" w:rsidRPr="0025250D">
        <w:rPr>
          <w:rFonts w:hint="cs"/>
          <w:rtl/>
        </w:rPr>
        <w:t>ها (ساز و کارهای عملیاتی استاندارد</w:t>
      </w:r>
      <w:r w:rsidR="00537CC8" w:rsidRPr="0025250D">
        <w:rPr>
          <w:vertAlign w:val="superscript"/>
          <w:rtl/>
        </w:rPr>
        <w:footnoteReference w:id="2453"/>
      </w:r>
      <w:r w:rsidR="00537CC8" w:rsidRPr="0025250D">
        <w:rPr>
          <w:rFonts w:hint="cs"/>
          <w:rtl/>
        </w:rPr>
        <w:t>) در صنعت، عناوین</w:t>
      </w:r>
      <w:r w:rsidR="00537CC8" w:rsidRPr="0025250D">
        <w:rPr>
          <w:vertAlign w:val="superscript"/>
          <w:rtl/>
        </w:rPr>
        <w:footnoteReference w:id="2454"/>
      </w:r>
      <w:r w:rsidR="00537CC8" w:rsidRPr="0025250D">
        <w:rPr>
          <w:rFonts w:hint="cs"/>
          <w:rtl/>
        </w:rPr>
        <w:t xml:space="preserve"> در فضای آکادمیک و دستورالعمل ها</w:t>
      </w:r>
      <w:r w:rsidR="00537CC8" w:rsidRPr="0025250D">
        <w:rPr>
          <w:vertAlign w:val="superscript"/>
          <w:rtl/>
        </w:rPr>
        <w:footnoteReference w:id="2455"/>
      </w:r>
      <w:r w:rsidR="00537CC8" w:rsidRPr="0025250D">
        <w:rPr>
          <w:rFonts w:hint="cs"/>
          <w:rtl/>
        </w:rPr>
        <w:t xml:space="preserve"> در زمینه آشپزی نامیده می‌شوند </w:t>
      </w:r>
      <w:r w:rsidR="00537CC8" w:rsidRPr="0025250D">
        <w:rPr>
          <w:rFonts w:cs="Times New Roman" w:hint="cs"/>
          <w:rtl/>
        </w:rPr>
        <w:t>–</w:t>
      </w:r>
      <w:r w:rsidR="00537CC8" w:rsidRPr="0025250D">
        <w:rPr>
          <w:rFonts w:hint="cs"/>
          <w:rtl/>
        </w:rPr>
        <w:t xml:space="preserve"> راهنماهای عملی برای کارهای تخصصی هستند. هر مدلی می‌تواند وقتی به عنوان مجموعه‌ای از راهنماها برای تولید برآمدها (تحقیق، تحصیل، انتشارات، </w:t>
      </w:r>
      <w:r w:rsidR="00FB6A7E" w:rsidRPr="0025250D">
        <w:rPr>
          <w:rFonts w:hint="cs"/>
          <w:rtl/>
        </w:rPr>
        <w:t>پیش‌نگری</w:t>
      </w:r>
      <w:r w:rsidR="00537CC8" w:rsidRPr="0025250D">
        <w:rPr>
          <w:rFonts w:hint="cs"/>
          <w:rtl/>
        </w:rPr>
        <w:t xml:space="preserve">‌ها، مدل‌ها، توصیه ها) استفاده شود و وقتی این برآمدها اندازه گیری و ارزیابی شوند </w:t>
      </w:r>
      <w:r w:rsidR="00537CC8" w:rsidRPr="0025250D">
        <w:rPr>
          <w:rFonts w:cs="Times New Roman" w:hint="cs"/>
          <w:rtl/>
        </w:rPr>
        <w:t>–</w:t>
      </w:r>
      <w:r w:rsidR="00537CC8" w:rsidRPr="0025250D">
        <w:rPr>
          <w:rFonts w:hint="cs"/>
          <w:rtl/>
        </w:rPr>
        <w:t xml:space="preserve"> در حالی که بخشی از این ارزیابی سازگاری و درستی کاربرد </w:t>
      </w:r>
      <w:r w:rsidRPr="0025250D">
        <w:rPr>
          <w:rFonts w:hint="cs"/>
          <w:rtl/>
        </w:rPr>
        <w:t>چارچوب</w:t>
      </w:r>
      <w:r w:rsidR="00537CC8" w:rsidRPr="0025250D">
        <w:rPr>
          <w:rFonts w:hint="cs"/>
          <w:rtl/>
        </w:rPr>
        <w:t xml:space="preserve"> باشد </w:t>
      </w:r>
      <w:r w:rsidR="00537CC8" w:rsidRPr="0025250D">
        <w:rPr>
          <w:rFonts w:cs="Times New Roman" w:hint="cs"/>
          <w:rtl/>
        </w:rPr>
        <w:t>–</w:t>
      </w:r>
      <w:r w:rsidR="00537CC8" w:rsidRPr="0025250D">
        <w:rPr>
          <w:rFonts w:hint="cs"/>
          <w:rtl/>
        </w:rPr>
        <w:t xml:space="preserve"> به </w:t>
      </w:r>
      <w:r w:rsidRPr="0025250D">
        <w:rPr>
          <w:rFonts w:hint="cs"/>
          <w:rtl/>
        </w:rPr>
        <w:t>چارچوب</w:t>
      </w:r>
      <w:r w:rsidR="00537CC8" w:rsidRPr="0025250D">
        <w:rPr>
          <w:rFonts w:hint="cs"/>
          <w:rtl/>
        </w:rPr>
        <w:t xml:space="preserve"> تبدیل شود.</w:t>
      </w:r>
    </w:p>
    <w:p w14:paraId="174021D2" w14:textId="50CAC0FB" w:rsidR="00537CC8" w:rsidRPr="0025250D" w:rsidRDefault="00537CC8" w:rsidP="00537CC8">
      <w:pPr>
        <w:rPr>
          <w:rtl/>
        </w:rPr>
      </w:pPr>
      <w:r w:rsidRPr="0025250D">
        <w:rPr>
          <w:rFonts w:hint="cs"/>
          <w:rtl/>
        </w:rPr>
        <w:t xml:space="preserve">ما تا به حال </w:t>
      </w:r>
      <w:r w:rsidR="00B13F65" w:rsidRPr="0025250D">
        <w:rPr>
          <w:rFonts w:hint="cs"/>
          <w:rtl/>
        </w:rPr>
        <w:t>چارچوب</w:t>
      </w:r>
      <w:r w:rsidRPr="0025250D">
        <w:rPr>
          <w:rFonts w:hint="cs"/>
          <w:rtl/>
        </w:rPr>
        <w:t xml:space="preserve">‌های متعددی را برای تولید </w:t>
      </w:r>
      <w:r w:rsidRPr="0025250D">
        <w:rPr>
          <w:rtl/>
        </w:rPr>
        <w:t>آینده‌نگاری</w:t>
      </w:r>
      <w:r w:rsidRPr="0025250D">
        <w:rPr>
          <w:rFonts w:hint="cs"/>
          <w:rtl/>
        </w:rPr>
        <w:t xml:space="preserve"> معرفی کردیم. به یاد بیاورید که در فصل 1 </w:t>
      </w:r>
      <w:r w:rsidR="00E402E3" w:rsidRPr="0025250D">
        <w:rPr>
          <w:rtl/>
        </w:rPr>
        <w:t xml:space="preserve">تفکر </w:t>
      </w:r>
      <w:r w:rsidR="00E402E3" w:rsidRPr="0025250D">
        <w:t>GRASP</w:t>
      </w:r>
      <w:r w:rsidRPr="0025250D">
        <w:rPr>
          <w:rFonts w:hint="cs"/>
          <w:rtl/>
        </w:rPr>
        <w:t xml:space="preserve">، تحلیل </w:t>
      </w:r>
      <w:r w:rsidRPr="0025250D">
        <w:t>ADOR</w:t>
      </w:r>
      <w:r w:rsidRPr="0025250D">
        <w:rPr>
          <w:rFonts w:hint="cs"/>
          <w:rtl/>
        </w:rPr>
        <w:t xml:space="preserve">، چهار </w:t>
      </w:r>
      <w:r w:rsidRPr="0025250D">
        <w:t>P</w:t>
      </w:r>
      <w:r w:rsidRPr="0025250D">
        <w:rPr>
          <w:rFonts w:hint="cs"/>
          <w:rtl/>
        </w:rPr>
        <w:t xml:space="preserve">، چرخه </w:t>
      </w:r>
      <w:r w:rsidRPr="0025250D">
        <w:t>REOPS</w:t>
      </w:r>
      <w:r w:rsidRPr="0025250D">
        <w:rPr>
          <w:rFonts w:hint="cs"/>
          <w:rtl/>
        </w:rPr>
        <w:t xml:space="preserve"> و مخروط آینده را معرفی کردیم. حلقه انجام و هشت مهارت، </w:t>
      </w:r>
      <w:r w:rsidR="00B13F65" w:rsidRPr="0025250D">
        <w:rPr>
          <w:rFonts w:hint="cs"/>
          <w:rtl/>
        </w:rPr>
        <w:t>چارچوب</w:t>
      </w:r>
      <w:r w:rsidRPr="0025250D">
        <w:rPr>
          <w:rFonts w:hint="cs"/>
          <w:rtl/>
        </w:rPr>
        <w:t xml:space="preserve">‌های مرجح ما برای </w:t>
      </w:r>
      <w:r w:rsidR="00B13F65" w:rsidRPr="0025250D">
        <w:rPr>
          <w:rFonts w:hint="cs"/>
          <w:rtl/>
        </w:rPr>
        <w:t>یکپارچه‌سازی</w:t>
      </w:r>
      <w:r w:rsidRPr="0025250D">
        <w:rPr>
          <w:rFonts w:hint="cs"/>
          <w:rtl/>
        </w:rPr>
        <w:t xml:space="preserve"> </w:t>
      </w:r>
      <w:r w:rsidRPr="0025250D">
        <w:rPr>
          <w:rtl/>
        </w:rPr>
        <w:t>آینده‌نگاری</w:t>
      </w:r>
      <w:r w:rsidRPr="0025250D">
        <w:rPr>
          <w:rFonts w:hint="cs"/>
          <w:rtl/>
        </w:rPr>
        <w:t xml:space="preserve"> و عمل هستند</w:t>
      </w:r>
      <w:r w:rsidR="008D6F97" w:rsidRPr="0025250D">
        <w:rPr>
          <w:rtl/>
        </w:rPr>
        <w:t xml:space="preserve">؛ </w:t>
      </w:r>
      <w:r w:rsidRPr="0025250D">
        <w:rPr>
          <w:rFonts w:hint="cs"/>
          <w:rtl/>
        </w:rPr>
        <w:t xml:space="preserve">مانند مدل‌ها، هیچ </w:t>
      </w:r>
      <w:r w:rsidR="00B13F65" w:rsidRPr="0025250D">
        <w:rPr>
          <w:rFonts w:hint="cs"/>
          <w:rtl/>
        </w:rPr>
        <w:t>چارچوب</w:t>
      </w:r>
      <w:r w:rsidRPr="0025250D">
        <w:rPr>
          <w:rFonts w:hint="cs"/>
          <w:rtl/>
        </w:rPr>
        <w:t xml:space="preserve"> کاملی وجود ندارد؛ </w:t>
      </w:r>
      <w:r w:rsidR="0020589F" w:rsidRPr="0025250D">
        <w:rPr>
          <w:rtl/>
        </w:rPr>
        <w:t>اما</w:t>
      </w:r>
      <w:r w:rsidRPr="0025250D">
        <w:rPr>
          <w:rFonts w:hint="cs"/>
          <w:rtl/>
        </w:rPr>
        <w:t xml:space="preserve"> دانستن موارد خوب متعدد کار ما را سازگار‌تر، اهداف ما را آگاهانه‌تر و فرایند‌های ما را</w:t>
      </w:r>
      <w:r w:rsidR="008D6F97" w:rsidRPr="0025250D">
        <w:rPr>
          <w:rtl/>
        </w:rPr>
        <w:t xml:space="preserve"> </w:t>
      </w:r>
      <w:r w:rsidRPr="0025250D">
        <w:rPr>
          <w:rFonts w:hint="cs"/>
          <w:rtl/>
        </w:rPr>
        <w:t xml:space="preserve">برای بازبینی و ارزیابی ساده‌تر می‌سازد. امیداریم که آن‌ها الهام بخش کشف، </w:t>
      </w:r>
      <w:r w:rsidR="00B124DE" w:rsidRPr="0025250D">
        <w:rPr>
          <w:rFonts w:hint="cs"/>
          <w:rtl/>
        </w:rPr>
        <w:t>انطباق‌پذیر</w:t>
      </w:r>
      <w:r w:rsidRPr="0025250D">
        <w:rPr>
          <w:rFonts w:hint="cs"/>
          <w:rtl/>
        </w:rPr>
        <w:t>ی یا ایجاد برخی از موارد برای خودتان باشند.</w:t>
      </w:r>
    </w:p>
    <w:p w14:paraId="125E441E" w14:textId="3A5834E0" w:rsidR="00537CC8" w:rsidRPr="0025250D" w:rsidRDefault="00B13F65" w:rsidP="003D3E0A">
      <w:pPr>
        <w:pStyle w:val="Heading3"/>
        <w:rPr>
          <w:rtl/>
        </w:rPr>
      </w:pPr>
      <w:r w:rsidRPr="0025250D">
        <w:rPr>
          <w:rFonts w:hint="cs"/>
          <w:rtl/>
        </w:rPr>
        <w:t>چارچوب</w:t>
      </w:r>
      <w:r w:rsidR="00537CC8" w:rsidRPr="0025250D">
        <w:rPr>
          <w:rFonts w:hint="cs"/>
          <w:rtl/>
        </w:rPr>
        <w:t xml:space="preserve"> </w:t>
      </w:r>
      <w:r w:rsidR="00537CC8" w:rsidRPr="0025250D">
        <w:rPr>
          <w:rtl/>
        </w:rPr>
        <w:t>آینده‌نگاری</w:t>
      </w:r>
      <w:r w:rsidR="00537CC8" w:rsidRPr="0025250D">
        <w:rPr>
          <w:rFonts w:hint="cs"/>
          <w:rtl/>
        </w:rPr>
        <w:t xml:space="preserve"> </w:t>
      </w:r>
      <w:r w:rsidR="00701E03" w:rsidRPr="0025250D">
        <w:rPr>
          <w:rFonts w:hint="cs"/>
          <w:rtl/>
        </w:rPr>
        <w:t>راهبردی</w:t>
      </w:r>
      <w:r w:rsidR="00537CC8" w:rsidRPr="0025250D">
        <w:rPr>
          <w:rFonts w:hint="cs"/>
          <w:rtl/>
        </w:rPr>
        <w:t xml:space="preserve"> </w:t>
      </w:r>
      <w:r w:rsidR="00537CC8" w:rsidRPr="0025250D">
        <w:t>FTI</w:t>
      </w:r>
      <w:r w:rsidR="00537CC8" w:rsidRPr="0025250D">
        <w:rPr>
          <w:rFonts w:hint="cs"/>
          <w:rtl/>
        </w:rPr>
        <w:t xml:space="preserve"> (</w:t>
      </w:r>
      <w:r w:rsidR="00E402E3" w:rsidRPr="0025250D">
        <w:rPr>
          <w:rFonts w:hint="eastAsia"/>
          <w:rtl/>
        </w:rPr>
        <w:t>«</w:t>
      </w:r>
      <w:r w:rsidR="00FB6A7E" w:rsidRPr="0025250D">
        <w:rPr>
          <w:rFonts w:hint="cs"/>
          <w:rtl/>
        </w:rPr>
        <w:t>پیش‌نگری</w:t>
      </w:r>
      <w:r w:rsidR="00537CC8" w:rsidRPr="0025250D">
        <w:rPr>
          <w:rFonts w:hint="cs"/>
          <w:rtl/>
        </w:rPr>
        <w:t xml:space="preserve"> آینده</w:t>
      </w:r>
      <w:r w:rsidR="00E402E3" w:rsidRPr="0025250D">
        <w:rPr>
          <w:rFonts w:hint="eastAsia"/>
          <w:rtl/>
        </w:rPr>
        <w:t>»</w:t>
      </w:r>
      <w:r w:rsidR="00537CC8" w:rsidRPr="0025250D">
        <w:rPr>
          <w:rFonts w:hint="cs"/>
          <w:rtl/>
        </w:rPr>
        <w:t>)</w:t>
      </w:r>
    </w:p>
    <w:p w14:paraId="4567E9AC" w14:textId="2E85089D" w:rsidR="00537CC8" w:rsidRPr="0025250D" w:rsidRDefault="00D92F6E" w:rsidP="00537CC8">
      <w:pPr>
        <w:rPr>
          <w:rtl/>
        </w:rPr>
      </w:pPr>
      <w:r w:rsidRPr="0025250D">
        <w:rPr>
          <w:rFonts w:hint="cs"/>
          <w:rtl/>
        </w:rPr>
        <w:t>آینده‌پژوه</w:t>
      </w:r>
      <w:r w:rsidR="00537CC8" w:rsidRPr="0025250D">
        <w:rPr>
          <w:rFonts w:hint="cs"/>
          <w:rtl/>
        </w:rPr>
        <w:t xml:space="preserve"> </w:t>
      </w:r>
      <w:r w:rsidR="00537CC8" w:rsidRPr="0025250D">
        <w:rPr>
          <w:rtl/>
        </w:rPr>
        <w:t>ام</w:t>
      </w:r>
      <w:r w:rsidR="00537CC8" w:rsidRPr="0025250D">
        <w:rPr>
          <w:rFonts w:hint="cs"/>
          <w:rtl/>
        </w:rPr>
        <w:t>ی</w:t>
      </w:r>
      <w:r w:rsidR="00537CC8" w:rsidRPr="0025250D">
        <w:rPr>
          <w:rtl/>
        </w:rPr>
        <w:t xml:space="preserve"> وب</w:t>
      </w:r>
      <w:r w:rsidR="00537CC8" w:rsidRPr="0025250D">
        <w:rPr>
          <w:rFonts w:hint="cs"/>
          <w:rtl/>
        </w:rPr>
        <w:t xml:space="preserve"> یکی از ستاره‌های زمینه </w:t>
      </w:r>
      <w:r w:rsidR="00537CC8" w:rsidRPr="0025250D">
        <w:rPr>
          <w:rtl/>
        </w:rPr>
        <w:t>در حال ظهور</w:t>
      </w:r>
      <w:r w:rsidR="00537CC8" w:rsidRPr="0025250D">
        <w:rPr>
          <w:rFonts w:hint="cs"/>
          <w:rtl/>
        </w:rPr>
        <w:t xml:space="preserve"> </w:t>
      </w:r>
      <w:r w:rsidR="007D4E72" w:rsidRPr="0025250D">
        <w:rPr>
          <w:rFonts w:hint="cs"/>
          <w:rtl/>
        </w:rPr>
        <w:t>آینده‌نگاری است</w:t>
      </w:r>
      <w:r w:rsidR="00537CC8" w:rsidRPr="0025250D">
        <w:rPr>
          <w:rFonts w:hint="cs"/>
          <w:rtl/>
        </w:rPr>
        <w:t>. شرکت مشاوره‌ای او به نام مؤسسه آینده امروز</w:t>
      </w:r>
      <w:r w:rsidR="00537CC8" w:rsidRPr="0025250D">
        <w:rPr>
          <w:vertAlign w:val="superscript"/>
          <w:rtl/>
        </w:rPr>
        <w:footnoteReference w:id="2456"/>
      </w:r>
      <w:r w:rsidR="00537CC8" w:rsidRPr="0025250D">
        <w:rPr>
          <w:rFonts w:hint="cs"/>
          <w:rtl/>
        </w:rPr>
        <w:t xml:space="preserve"> (</w:t>
      </w:r>
      <w:r w:rsidR="00537CC8" w:rsidRPr="0025250D">
        <w:t>FTI</w:t>
      </w:r>
      <w:r w:rsidR="00537CC8" w:rsidRPr="0025250D">
        <w:rPr>
          <w:rFonts w:hint="cs"/>
          <w:rtl/>
        </w:rPr>
        <w:t xml:space="preserve">)، یک گزارش از روندهای </w:t>
      </w:r>
      <w:r w:rsidR="007A53FD" w:rsidRPr="0025250D">
        <w:rPr>
          <w:rFonts w:hint="cs"/>
          <w:rtl/>
        </w:rPr>
        <w:t>فناوری</w:t>
      </w:r>
      <w:r w:rsidR="00537CC8" w:rsidRPr="0025250D">
        <w:rPr>
          <w:rFonts w:hint="cs"/>
          <w:rtl/>
        </w:rPr>
        <w:t xml:space="preserve"> سالیانه عالی تولید می‌کن</w:t>
      </w:r>
      <w:r w:rsidR="007D4E72" w:rsidRPr="0025250D">
        <w:rPr>
          <w:rFonts w:hint="cs"/>
          <w:rtl/>
        </w:rPr>
        <w:t>د</w:t>
      </w:r>
      <w:r w:rsidR="00537CC8" w:rsidRPr="0025250D">
        <w:rPr>
          <w:rFonts w:hint="cs"/>
          <w:rtl/>
        </w:rPr>
        <w:t xml:space="preserve"> (ما فهرست‌های اولیه برای گزارشات </w:t>
      </w:r>
      <w:r w:rsidR="00537CC8" w:rsidRPr="0025250D">
        <w:rPr>
          <w:rtl/>
        </w:rPr>
        <w:t>آینده‌نگاری</w:t>
      </w:r>
      <w:r w:rsidR="00537CC8" w:rsidRPr="0025250D">
        <w:rPr>
          <w:rFonts w:hint="cs"/>
          <w:rtl/>
        </w:rPr>
        <w:t xml:space="preserve"> سالانه را در کتاب 2 پیشنهاد می‌کنیم). کتاب </w:t>
      </w:r>
      <w:r w:rsidR="00537CC8" w:rsidRPr="0025250D">
        <w:rPr>
          <w:rtl/>
        </w:rPr>
        <w:t>آینده‌نگاری</w:t>
      </w:r>
      <w:r w:rsidR="00537CC8" w:rsidRPr="0025250D">
        <w:rPr>
          <w:rFonts w:hint="cs"/>
          <w:rtl/>
        </w:rPr>
        <w:t xml:space="preserve"> اجتماعی او</w:t>
      </w:r>
      <w:r w:rsidR="007D4E72" w:rsidRPr="0025250D">
        <w:rPr>
          <w:rFonts w:hint="cs"/>
          <w:rtl/>
        </w:rPr>
        <w:t xml:space="preserve"> با عنوان</w:t>
      </w:r>
      <w:r w:rsidR="00537CC8" w:rsidRPr="0025250D">
        <w:rPr>
          <w:rFonts w:hint="cs"/>
          <w:rtl/>
        </w:rPr>
        <w:t xml:space="preserve"> نُهِ بزرگ</w:t>
      </w:r>
      <w:r w:rsidR="00537CC8" w:rsidRPr="0025250D">
        <w:rPr>
          <w:vertAlign w:val="superscript"/>
          <w:rtl/>
        </w:rPr>
        <w:footnoteReference w:id="2457"/>
      </w:r>
      <w:r w:rsidR="00537CC8" w:rsidRPr="0025250D">
        <w:rPr>
          <w:rFonts w:hint="cs"/>
          <w:rtl/>
        </w:rPr>
        <w:t xml:space="preserve"> در سال 2020 یک تحلیل قاطع از غول‌های </w:t>
      </w:r>
      <w:r w:rsidR="007A53FD" w:rsidRPr="0025250D">
        <w:rPr>
          <w:rFonts w:hint="cs"/>
          <w:rtl/>
        </w:rPr>
        <w:t>فناوری</w:t>
      </w:r>
      <w:r w:rsidR="00537CC8" w:rsidRPr="0025250D">
        <w:rPr>
          <w:rFonts w:hint="cs"/>
          <w:rtl/>
        </w:rPr>
        <w:t xml:space="preserve"> و نیاز ما به تنظیم مقررات بهتر برای آن‌ها در عصر فعلی </w:t>
      </w:r>
      <w:r w:rsidR="00B0171C" w:rsidRPr="0025250D">
        <w:rPr>
          <w:rFonts w:hint="cs"/>
          <w:rtl/>
        </w:rPr>
        <w:t xml:space="preserve"> سرمایه‌دار</w:t>
      </w:r>
      <w:r w:rsidR="00537CC8" w:rsidRPr="0025250D">
        <w:rPr>
          <w:rFonts w:hint="cs"/>
          <w:rtl/>
        </w:rPr>
        <w:t>ی زرسالار</w:t>
      </w:r>
      <w:r w:rsidR="00537CC8" w:rsidRPr="0025250D">
        <w:rPr>
          <w:vertAlign w:val="superscript"/>
          <w:rtl/>
        </w:rPr>
        <w:footnoteReference w:id="2458"/>
      </w:r>
      <w:r w:rsidR="00537CC8" w:rsidRPr="0025250D">
        <w:rPr>
          <w:rFonts w:hint="cs"/>
          <w:rtl/>
        </w:rPr>
        <w:t xml:space="preserve"> چند حزبی </w:t>
      </w:r>
      <w:r w:rsidR="007D4E72" w:rsidRPr="0025250D">
        <w:rPr>
          <w:rFonts w:hint="cs"/>
          <w:rtl/>
        </w:rPr>
        <w:t>است</w:t>
      </w:r>
      <w:r w:rsidR="00537CC8" w:rsidRPr="0025250D">
        <w:rPr>
          <w:rFonts w:hint="cs"/>
          <w:rtl/>
        </w:rPr>
        <w:t xml:space="preserve">. ما چنین موضوعاتی را در </w:t>
      </w:r>
      <w:r w:rsidR="00537CC8" w:rsidRPr="0025250D">
        <w:t>BPF</w:t>
      </w:r>
      <w:r w:rsidR="00537CC8" w:rsidRPr="0025250D">
        <w:rPr>
          <w:rFonts w:hint="cs"/>
          <w:rtl/>
        </w:rPr>
        <w:t xml:space="preserve"> بررسی خواهیم کرد.</w:t>
      </w:r>
    </w:p>
    <w:p w14:paraId="3E7C3CDB" w14:textId="77777777" w:rsidR="00537CC8" w:rsidRPr="0025250D" w:rsidRDefault="00537CC8" w:rsidP="003D3E0A">
      <w:pPr>
        <w:jc w:val="center"/>
        <w:rPr>
          <w:rtl/>
        </w:rPr>
      </w:pPr>
      <w:r w:rsidRPr="0025250D">
        <w:rPr>
          <w:noProof/>
          <w:rtl/>
          <w:lang w:bidi="ar-SA"/>
        </w:rPr>
        <w:drawing>
          <wp:inline distT="0" distB="0" distL="0" distR="0" wp14:anchorId="3688F799" wp14:editId="786EB685">
            <wp:extent cx="2334895" cy="1604513"/>
            <wp:effectExtent l="0" t="0" r="8255" b="0"/>
            <wp:docPr id="143" name="Picture 143" descr="D:\کار\مستقل\3 ( ترجمه ی دانشگاه تهران  )\Introduction to Foresight\part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کار\مستقل\3 ( ترجمه ی دانشگاه تهران  )\Introduction to Foresight\part6\41.png"/>
                    <pic:cNvPicPr>
                      <a:picLocks noChangeAspect="1" noChangeArrowheads="1"/>
                    </pic:cNvPicPr>
                  </pic:nvPicPr>
                  <pic:blipFill rotWithShape="1">
                    <a:blip r:embed="rId232" cstate="screen">
                      <a:extLst>
                        <a:ext uri="{BEBA8EAE-BF5A-486C-A8C5-ECC9F3942E4B}">
                          <a14:imgProps xmlns:a14="http://schemas.microsoft.com/office/drawing/2010/main">
                            <a14:imgLayer r:embed="rId233">
                              <a14:imgEffect>
                                <a14:saturation sat="0"/>
                              </a14:imgEffect>
                            </a14:imgLayer>
                          </a14:imgProps>
                        </a:ext>
                        <a:ext uri="{28A0092B-C50C-407E-A947-70E740481C1C}">
                          <a14:useLocalDpi xmlns:a14="http://schemas.microsoft.com/office/drawing/2010/main"/>
                        </a:ext>
                      </a:extLst>
                    </a:blip>
                    <a:srcRect/>
                    <a:stretch/>
                  </pic:blipFill>
                  <pic:spPr bwMode="auto">
                    <a:xfrm>
                      <a:off x="0" y="0"/>
                      <a:ext cx="2342146" cy="1609496"/>
                    </a:xfrm>
                    <a:prstGeom prst="rect">
                      <a:avLst/>
                    </a:prstGeom>
                    <a:noFill/>
                    <a:ln>
                      <a:noFill/>
                    </a:ln>
                    <a:extLst>
                      <a:ext uri="{53640926-AAD7-44D8-BBD7-CCE9431645EC}">
                        <a14:shadowObscured xmlns:a14="http://schemas.microsoft.com/office/drawing/2010/main"/>
                      </a:ext>
                    </a:extLst>
                  </pic:spPr>
                </pic:pic>
              </a:graphicData>
            </a:graphic>
          </wp:inline>
        </w:drawing>
      </w:r>
    </w:p>
    <w:p w14:paraId="3F378170" w14:textId="77777777" w:rsidR="00537CC8" w:rsidRPr="0025250D" w:rsidRDefault="00537CC8" w:rsidP="003D3E0A">
      <w:pPr>
        <w:jc w:val="center"/>
        <w:rPr>
          <w:rtl/>
        </w:rPr>
      </w:pPr>
      <w:r w:rsidRPr="0025250D">
        <w:rPr>
          <w:rFonts w:hint="cs"/>
          <w:rtl/>
        </w:rPr>
        <w:t>امی وب، 2020</w:t>
      </w:r>
    </w:p>
    <w:p w14:paraId="4F6D8465" w14:textId="0BA741DB" w:rsidR="00537CC8" w:rsidRPr="0025250D" w:rsidRDefault="00537CC8" w:rsidP="00537CC8">
      <w:pPr>
        <w:rPr>
          <w:rtl/>
        </w:rPr>
      </w:pPr>
      <w:r w:rsidRPr="0025250D">
        <w:rPr>
          <w:rFonts w:hint="cs"/>
          <w:rtl/>
        </w:rPr>
        <w:t xml:space="preserve">کتاب </w:t>
      </w:r>
      <w:r w:rsidRPr="0025250D">
        <w:rPr>
          <w:rtl/>
        </w:rPr>
        <w:t>آینده‌نگاری</w:t>
      </w:r>
      <w:r w:rsidRPr="0025250D">
        <w:rPr>
          <w:rFonts w:hint="cs"/>
          <w:rtl/>
        </w:rPr>
        <w:t xml:space="preserve"> سازمانی </w:t>
      </w:r>
      <w:r w:rsidRPr="0025250D">
        <w:rPr>
          <w:rtl/>
        </w:rPr>
        <w:t>وب</w:t>
      </w:r>
      <w:r w:rsidRPr="0025250D">
        <w:rPr>
          <w:rFonts w:hint="cs"/>
          <w:rtl/>
        </w:rPr>
        <w:t xml:space="preserve"> با عنوان </w:t>
      </w:r>
      <w:r w:rsidR="00E402E3" w:rsidRPr="0025250D">
        <w:rPr>
          <w:rtl/>
        </w:rPr>
        <w:t>«</w:t>
      </w:r>
      <w:r w:rsidRPr="0025250D">
        <w:rPr>
          <w:rFonts w:hint="cs"/>
          <w:rtl/>
        </w:rPr>
        <w:t>نشانک‌ها صحبت می‌کنند</w:t>
      </w:r>
      <w:r w:rsidR="001D59A8" w:rsidRPr="0025250D">
        <w:rPr>
          <w:rStyle w:val="FootnoteReference"/>
          <w:rtl/>
        </w:rPr>
        <w:footnoteReference w:id="2459"/>
      </w:r>
      <w:r w:rsidR="00E402E3" w:rsidRPr="0025250D">
        <w:rPr>
          <w:rtl/>
        </w:rPr>
        <w:t>»</w:t>
      </w:r>
      <w:r w:rsidRPr="0025250D">
        <w:rPr>
          <w:rFonts w:hint="cs"/>
          <w:rtl/>
        </w:rPr>
        <w:t xml:space="preserve"> در سال 2018، یک </w:t>
      </w:r>
      <w:r w:rsidR="00B13F65" w:rsidRPr="0025250D">
        <w:rPr>
          <w:rFonts w:hint="cs"/>
          <w:rtl/>
        </w:rPr>
        <w:t>چارچوب</w:t>
      </w:r>
      <w:r w:rsidRPr="0025250D">
        <w:rPr>
          <w:rFonts w:hint="cs"/>
          <w:rtl/>
        </w:rPr>
        <w:t xml:space="preserve">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ارائه می‌دهد. این کتاب شامل 6 گام می‌شود. </w:t>
      </w:r>
      <w:r w:rsidRPr="0025250D">
        <w:rPr>
          <w:rtl/>
        </w:rPr>
        <w:t>وب</w:t>
      </w:r>
      <w:r w:rsidRPr="0025250D">
        <w:rPr>
          <w:rFonts w:hint="cs"/>
          <w:rtl/>
        </w:rPr>
        <w:t xml:space="preserve"> آن را یک </w:t>
      </w:r>
      <w:r w:rsidR="00B13F65" w:rsidRPr="0025250D">
        <w:rPr>
          <w:rFonts w:hint="cs"/>
          <w:rtl/>
        </w:rPr>
        <w:t>چارچوب</w:t>
      </w:r>
      <w:r w:rsidRPr="0025250D">
        <w:rPr>
          <w:rFonts w:hint="cs"/>
          <w:rtl/>
        </w:rPr>
        <w:t xml:space="preserve"> </w:t>
      </w:r>
      <w:r w:rsidR="00FB6A7E" w:rsidRPr="0025250D">
        <w:rPr>
          <w:rFonts w:hint="cs"/>
          <w:rtl/>
        </w:rPr>
        <w:t>پیش‌نگری</w:t>
      </w:r>
      <w:r w:rsidRPr="0025250D">
        <w:rPr>
          <w:rFonts w:hint="cs"/>
          <w:rtl/>
        </w:rPr>
        <w:t xml:space="preserve"> آینده می‌نامد، اما برای دقیق و درست بودن، </w:t>
      </w:r>
      <w:r w:rsidR="00FB6A7E" w:rsidRPr="0025250D">
        <w:rPr>
          <w:rFonts w:hint="cs"/>
          <w:rtl/>
        </w:rPr>
        <w:t>پیش‌نگری</w:t>
      </w:r>
      <w:r w:rsidRPr="0025250D">
        <w:rPr>
          <w:rFonts w:hint="cs"/>
          <w:rtl/>
        </w:rPr>
        <w:t xml:space="preserve"> تنها یکی از پنج گام است. این </w:t>
      </w:r>
      <w:r w:rsidR="00B13F65" w:rsidRPr="0025250D">
        <w:rPr>
          <w:rFonts w:hint="cs"/>
          <w:rtl/>
        </w:rPr>
        <w:t>چارچوب</w:t>
      </w:r>
      <w:r w:rsidRPr="0025250D">
        <w:rPr>
          <w:rFonts w:hint="cs"/>
          <w:rtl/>
        </w:rPr>
        <w:t xml:space="preserve"> در حقیقت یک </w:t>
      </w:r>
      <w:r w:rsidR="00B13F65" w:rsidRPr="0025250D">
        <w:rPr>
          <w:rFonts w:hint="cs"/>
          <w:rtl/>
        </w:rPr>
        <w:t>چارچوب</w:t>
      </w:r>
      <w:r w:rsidRPr="0025250D">
        <w:rPr>
          <w:rFonts w:hint="cs"/>
          <w:rtl/>
        </w:rPr>
        <w:t xml:space="preserve">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خوب است، زیرا </w:t>
      </w:r>
      <w:r w:rsidR="00701E03" w:rsidRPr="0025250D">
        <w:rPr>
          <w:rFonts w:hint="cs"/>
          <w:rtl/>
        </w:rPr>
        <w:t>راهبرد</w:t>
      </w:r>
      <w:r w:rsidRPr="0025250D">
        <w:rPr>
          <w:rFonts w:hint="cs"/>
          <w:rtl/>
        </w:rPr>
        <w:t xml:space="preserve"> یکی از عوامل کلیدی ساختار آن است. این </w:t>
      </w:r>
      <w:r w:rsidR="00B13F65" w:rsidRPr="0025250D">
        <w:rPr>
          <w:rFonts w:hint="cs"/>
          <w:rtl/>
        </w:rPr>
        <w:t>چارچوب</w:t>
      </w:r>
      <w:r w:rsidRPr="0025250D">
        <w:rPr>
          <w:rFonts w:hint="cs"/>
          <w:rtl/>
        </w:rPr>
        <w:t xml:space="preserve"> بر شناسایی و انجام </w:t>
      </w:r>
      <w:r w:rsidR="00701E03" w:rsidRPr="0025250D">
        <w:rPr>
          <w:rFonts w:hint="cs"/>
          <w:rtl/>
        </w:rPr>
        <w:t>راهبرد</w:t>
      </w:r>
      <w:r w:rsidRPr="0025250D">
        <w:rPr>
          <w:rFonts w:hint="cs"/>
          <w:rtl/>
        </w:rPr>
        <w:t xml:space="preserve"> استوار حول روند‌های پدیدار شونده تمرکز دارد. ما آن را </w:t>
      </w:r>
      <w:r w:rsidRPr="0025250D">
        <w:t>LAIS</w:t>
      </w:r>
      <w:r w:rsidRPr="0025250D">
        <w:rPr>
          <w:rFonts w:hint="cs"/>
          <w:rtl/>
        </w:rPr>
        <w:t xml:space="preserve"> محور در نظر می‌گیریم و توازن خوبی در مهارت‌های </w:t>
      </w:r>
      <w:r w:rsidRPr="0025250D">
        <w:t>LAIS</w:t>
      </w:r>
      <w:r w:rsidRPr="0025250D">
        <w:rPr>
          <w:rFonts w:hint="cs"/>
          <w:rtl/>
        </w:rPr>
        <w:t xml:space="preserve"> دارد. ما به طور مشخص این نکته را که این </w:t>
      </w:r>
      <w:r w:rsidR="00B13F65" w:rsidRPr="0025250D">
        <w:rPr>
          <w:rFonts w:hint="cs"/>
          <w:rtl/>
        </w:rPr>
        <w:t>چارچوب</w:t>
      </w:r>
      <w:r w:rsidRPr="0025250D">
        <w:rPr>
          <w:rFonts w:hint="cs"/>
          <w:rtl/>
        </w:rPr>
        <w:t xml:space="preserve"> شامل دو دور از تقابل </w:t>
      </w:r>
      <w:r w:rsidR="00D92F6E" w:rsidRPr="0025250D">
        <w:rPr>
          <w:rFonts w:hint="cs"/>
          <w:rtl/>
        </w:rPr>
        <w:t>پیش‌بین</w:t>
      </w:r>
      <w:r w:rsidRPr="0025250D">
        <w:rPr>
          <w:rFonts w:hint="cs"/>
          <w:rtl/>
        </w:rPr>
        <w:t xml:space="preserve">، پیش از تولید </w:t>
      </w:r>
      <w:r w:rsidR="00701E03" w:rsidRPr="0025250D">
        <w:rPr>
          <w:rFonts w:hint="cs"/>
          <w:rtl/>
        </w:rPr>
        <w:t>راهبرد</w:t>
      </w:r>
      <w:r w:rsidRPr="0025250D">
        <w:rPr>
          <w:rFonts w:hint="cs"/>
          <w:rtl/>
        </w:rPr>
        <w:t xml:space="preserve"> می‌شود، دوست داریم. در زیر تفسیر ما از 6 مرحله </w:t>
      </w:r>
      <w:r w:rsidRPr="0025250D">
        <w:t>FTI</w:t>
      </w:r>
      <w:r w:rsidRPr="0025250D">
        <w:rPr>
          <w:rFonts w:hint="cs"/>
          <w:rtl/>
        </w:rPr>
        <w:t xml:space="preserve"> وجود دارد:</w:t>
      </w:r>
    </w:p>
    <w:p w14:paraId="377D074F" w14:textId="1E415496" w:rsidR="00537CC8" w:rsidRPr="0025250D" w:rsidRDefault="00537CC8" w:rsidP="00492C47">
      <w:pPr>
        <w:numPr>
          <w:ilvl w:val="0"/>
          <w:numId w:val="46"/>
        </w:numPr>
      </w:pPr>
      <w:r w:rsidRPr="0025250D">
        <w:rPr>
          <w:rFonts w:hint="cs"/>
          <w:b/>
          <w:bCs/>
          <w:rtl/>
        </w:rPr>
        <w:t>حاشیه</w:t>
      </w:r>
      <w:r w:rsidRPr="0025250D">
        <w:rPr>
          <w:b/>
          <w:bCs/>
          <w:vertAlign w:val="superscript"/>
          <w:rtl/>
        </w:rPr>
        <w:footnoteReference w:id="2460"/>
      </w:r>
      <w:r w:rsidRPr="0025250D">
        <w:rPr>
          <w:rFonts w:hint="cs"/>
          <w:b/>
          <w:bCs/>
          <w:rtl/>
        </w:rPr>
        <w:t xml:space="preserve"> را بیابید.</w:t>
      </w:r>
      <w:r w:rsidRPr="0025250D">
        <w:rPr>
          <w:rFonts w:hint="cs"/>
          <w:rtl/>
        </w:rPr>
        <w:t xml:space="preserve"> اول، یک شبکه یادگیری گسترده بسازید که بر منابع متنوع و غیر معمول تأکید کند. ما این مورد را به عنوان پرورش شبکه‌ای از متفکرین و محیط‌های </w:t>
      </w:r>
      <w:r w:rsidR="00303635" w:rsidRPr="0025250D">
        <w:rPr>
          <w:rtl/>
        </w:rPr>
        <w:t>چابک‌بین</w:t>
      </w:r>
      <w:r w:rsidRPr="0025250D">
        <w:rPr>
          <w:rFonts w:hint="cs"/>
          <w:rtl/>
        </w:rPr>
        <w:t xml:space="preserve"> مورد بحث قرار دادیم. این گام می‌تواند مهم‌ترین گام باشد. شما تنها به‌اندازه شبکه خود هوشمند هستید. قدر اعضای آن را بدانید و به آن‌ها کمک کنید. روابط میان مسائل و بازیگران پدیدار شونده را ترسیم کنید تا مظنون‌های غیر معمول</w:t>
      </w:r>
      <w:r w:rsidRPr="0025250D">
        <w:rPr>
          <w:vertAlign w:val="superscript"/>
          <w:rtl/>
        </w:rPr>
        <w:footnoteReference w:id="2461"/>
      </w:r>
      <w:r w:rsidRPr="0025250D">
        <w:rPr>
          <w:rFonts w:hint="cs"/>
          <w:rtl/>
        </w:rPr>
        <w:t xml:space="preserve"> را در بر بگیرد.</w:t>
      </w:r>
    </w:p>
    <w:p w14:paraId="528E3BC3" w14:textId="38A284FF" w:rsidR="00537CC8" w:rsidRPr="0025250D" w:rsidRDefault="00537CC8" w:rsidP="00492C47">
      <w:pPr>
        <w:numPr>
          <w:ilvl w:val="0"/>
          <w:numId w:val="46"/>
        </w:numPr>
      </w:pPr>
      <w:r w:rsidRPr="0025250D">
        <w:rPr>
          <w:rFonts w:hint="cs"/>
          <w:b/>
          <w:bCs/>
          <w:rtl/>
        </w:rPr>
        <w:t>روندهای پنهان را شناسایی کنید.</w:t>
      </w:r>
      <w:r w:rsidRPr="0025250D">
        <w:rPr>
          <w:rFonts w:hint="cs"/>
          <w:rtl/>
        </w:rPr>
        <w:t xml:space="preserve"> الگوها، منحنی‌ها و روابط همبستگی محتمل پنهان در همه این داده‌های پدیدار شونده را پیش‌انگاری کنید. نام اختصاری آنها </w:t>
      </w:r>
      <w:r w:rsidRPr="0025250D">
        <w:t>CIPHER</w:t>
      </w:r>
      <w:r w:rsidRPr="0025250D">
        <w:rPr>
          <w:rFonts w:hint="cs"/>
          <w:rtl/>
        </w:rPr>
        <w:t xml:space="preserve"> (تناقضات، نقاط عطف</w:t>
      </w:r>
      <w:r w:rsidRPr="0025250D">
        <w:rPr>
          <w:vertAlign w:val="superscript"/>
          <w:rtl/>
        </w:rPr>
        <w:footnoteReference w:id="2462"/>
      </w:r>
      <w:r w:rsidRPr="0025250D">
        <w:rPr>
          <w:rFonts w:hint="cs"/>
          <w:rtl/>
        </w:rPr>
        <w:t xml:space="preserve">، اقدامات، </w:t>
      </w:r>
      <w:r w:rsidR="0030078C" w:rsidRPr="0025250D">
        <w:rPr>
          <w:rFonts w:hint="cs"/>
          <w:rtl/>
        </w:rPr>
        <w:t>کاربردهای افزوده</w:t>
      </w:r>
      <w:r w:rsidR="0030078C" w:rsidRPr="0025250D">
        <w:rPr>
          <w:rStyle w:val="FootnoteReference"/>
          <w:rtl/>
        </w:rPr>
        <w:footnoteReference w:id="2463"/>
      </w:r>
      <w:r w:rsidRPr="0025250D">
        <w:rPr>
          <w:rFonts w:hint="cs"/>
          <w:rtl/>
        </w:rPr>
        <w:t>، حدود طیف</w:t>
      </w:r>
      <w:r w:rsidRPr="0025250D">
        <w:rPr>
          <w:vertAlign w:val="superscript"/>
          <w:rtl/>
        </w:rPr>
        <w:footnoteReference w:id="2464"/>
      </w:r>
      <w:r w:rsidRPr="0025250D">
        <w:rPr>
          <w:rFonts w:hint="cs"/>
          <w:rtl/>
        </w:rPr>
        <w:t xml:space="preserve"> و نوادر</w:t>
      </w:r>
      <w:r w:rsidRPr="0025250D">
        <w:rPr>
          <w:vertAlign w:val="superscript"/>
          <w:rtl/>
        </w:rPr>
        <w:footnoteReference w:id="2465"/>
      </w:r>
      <w:r w:rsidRPr="0025250D">
        <w:rPr>
          <w:rFonts w:hint="cs"/>
          <w:rtl/>
        </w:rPr>
        <w:t>) برخی اقدامات تحقیقاتی مفید را پیشنهاد می‌کند.</w:t>
      </w:r>
    </w:p>
    <w:p w14:paraId="35978E6B" w14:textId="189A0F85" w:rsidR="00537CC8" w:rsidRPr="0025250D" w:rsidRDefault="00537CC8" w:rsidP="00492C47">
      <w:pPr>
        <w:numPr>
          <w:ilvl w:val="0"/>
          <w:numId w:val="46"/>
        </w:numPr>
      </w:pPr>
      <w:r w:rsidRPr="0025250D">
        <w:rPr>
          <w:rFonts w:hint="cs"/>
          <w:b/>
          <w:bCs/>
          <w:rtl/>
        </w:rPr>
        <w:t>روند‌های خود را در مقابل تنش‌ها بسنجید.</w:t>
      </w:r>
      <w:r w:rsidRPr="0025250D">
        <w:rPr>
          <w:rFonts w:hint="cs"/>
          <w:rtl/>
        </w:rPr>
        <w:t xml:space="preserve"> نوآوری (تصور) موارد ممکن (</w:t>
      </w:r>
      <w:r w:rsidR="00563645" w:rsidRPr="0025250D">
        <w:rPr>
          <w:rFonts w:hint="cs"/>
          <w:rtl/>
        </w:rPr>
        <w:t>بدیل</w:t>
      </w:r>
      <w:r w:rsidRPr="0025250D">
        <w:rPr>
          <w:rFonts w:hint="cs"/>
          <w:rtl/>
        </w:rPr>
        <w:t xml:space="preserve">‌ها، ناشناخته‌ها، عدم قطعیت‌ها، </w:t>
      </w:r>
      <w:r w:rsidR="00923DDB" w:rsidRPr="0025250D">
        <w:rPr>
          <w:rFonts w:hint="cs"/>
          <w:rtl/>
        </w:rPr>
        <w:t>شگفتی‌ساز</w:t>
      </w:r>
      <w:r w:rsidRPr="0025250D">
        <w:rPr>
          <w:rFonts w:hint="cs"/>
          <w:rtl/>
        </w:rPr>
        <w:t xml:space="preserve">ها) حول روند شناسایی شده خود. از خود بپرسید که چه چیزی را در نظر نگرفته اید. </w:t>
      </w:r>
      <w:r w:rsidRPr="0025250D">
        <w:rPr>
          <w:rtl/>
        </w:rPr>
        <w:t>مفروضات را دسته بند</w:t>
      </w:r>
      <w:r w:rsidRPr="0025250D">
        <w:rPr>
          <w:rFonts w:hint="cs"/>
          <w:rtl/>
        </w:rPr>
        <w:t>ی</w:t>
      </w:r>
      <w:r w:rsidRPr="0025250D">
        <w:rPr>
          <w:rtl/>
        </w:rPr>
        <w:t xml:space="preserve"> </w:t>
      </w:r>
      <w:r w:rsidRPr="0025250D">
        <w:rPr>
          <w:rFonts w:hint="cs"/>
          <w:rtl/>
        </w:rPr>
        <w:t xml:space="preserve">کنید </w:t>
      </w:r>
      <w:r w:rsidRPr="0025250D">
        <w:rPr>
          <w:rtl/>
        </w:rPr>
        <w:t>و به چالش بکش</w:t>
      </w:r>
      <w:r w:rsidRPr="0025250D">
        <w:rPr>
          <w:rFonts w:hint="cs"/>
          <w:rtl/>
        </w:rPr>
        <w:t>ی</w:t>
      </w:r>
      <w:r w:rsidRPr="0025250D">
        <w:rPr>
          <w:rFonts w:hint="eastAsia"/>
          <w:rtl/>
        </w:rPr>
        <w:t>د</w:t>
      </w:r>
      <w:r w:rsidRPr="0025250D">
        <w:rPr>
          <w:rFonts w:hint="cs"/>
          <w:rtl/>
        </w:rPr>
        <w:t xml:space="preserve">. </w:t>
      </w:r>
      <w:r w:rsidRPr="0025250D">
        <w:rPr>
          <w:rtl/>
        </w:rPr>
        <w:t>استدلال‌های متقابل</w:t>
      </w:r>
      <w:r w:rsidRPr="0025250D">
        <w:rPr>
          <w:rFonts w:hint="cs"/>
          <w:rtl/>
        </w:rPr>
        <w:t xml:space="preserve"> را</w:t>
      </w:r>
      <w:r w:rsidRPr="0025250D">
        <w:rPr>
          <w:rtl/>
        </w:rPr>
        <w:t xml:space="preserve"> ا</w:t>
      </w:r>
      <w:r w:rsidRPr="0025250D">
        <w:rPr>
          <w:rFonts w:hint="cs"/>
          <w:rtl/>
        </w:rPr>
        <w:t>ی</w:t>
      </w:r>
      <w:r w:rsidRPr="0025250D">
        <w:rPr>
          <w:rFonts w:hint="eastAsia"/>
          <w:rtl/>
        </w:rPr>
        <w:t>جاد</w:t>
      </w:r>
      <w:r w:rsidRPr="0025250D">
        <w:rPr>
          <w:rtl/>
        </w:rPr>
        <w:t xml:space="preserve"> کن</w:t>
      </w:r>
      <w:r w:rsidRPr="0025250D">
        <w:rPr>
          <w:rFonts w:hint="cs"/>
          <w:rtl/>
        </w:rPr>
        <w:t>ی</w:t>
      </w:r>
      <w:r w:rsidRPr="0025250D">
        <w:rPr>
          <w:rFonts w:hint="eastAsia"/>
          <w:rtl/>
        </w:rPr>
        <w:t>د</w:t>
      </w:r>
      <w:r w:rsidRPr="0025250D">
        <w:rPr>
          <w:rFonts w:hint="cs"/>
          <w:rtl/>
        </w:rPr>
        <w:t xml:space="preserve">. </w:t>
      </w:r>
      <w:r w:rsidRPr="0025250D">
        <w:rPr>
          <w:rtl/>
        </w:rPr>
        <w:t>بپرس</w:t>
      </w:r>
      <w:r w:rsidRPr="0025250D">
        <w:rPr>
          <w:rFonts w:hint="cs"/>
          <w:rtl/>
        </w:rPr>
        <w:t>ی</w:t>
      </w:r>
      <w:r w:rsidRPr="0025250D">
        <w:rPr>
          <w:rFonts w:hint="eastAsia"/>
          <w:rtl/>
        </w:rPr>
        <w:t>د</w:t>
      </w:r>
      <w:r w:rsidRPr="0025250D">
        <w:rPr>
          <w:rtl/>
        </w:rPr>
        <w:t xml:space="preserve"> که چه شواهد</w:t>
      </w:r>
      <w:r w:rsidRPr="0025250D">
        <w:rPr>
          <w:rFonts w:hint="cs"/>
          <w:rtl/>
        </w:rPr>
        <w:t>ی</w:t>
      </w:r>
      <w:r w:rsidRPr="0025250D">
        <w:rPr>
          <w:rtl/>
        </w:rPr>
        <w:t xml:space="preserve"> ا</w:t>
      </w:r>
      <w:r w:rsidRPr="0025250D">
        <w:rPr>
          <w:rFonts w:hint="cs"/>
          <w:rtl/>
        </w:rPr>
        <w:t>ی</w:t>
      </w:r>
      <w:r w:rsidRPr="0025250D">
        <w:rPr>
          <w:rFonts w:hint="eastAsia"/>
          <w:rtl/>
        </w:rPr>
        <w:t>ن</w:t>
      </w:r>
      <w:r w:rsidRPr="0025250D">
        <w:rPr>
          <w:rtl/>
        </w:rPr>
        <w:t xml:space="preserve"> روند را شامل می‌شو</w:t>
      </w:r>
      <w:r w:rsidR="001D59A8" w:rsidRPr="0025250D">
        <w:rPr>
          <w:rFonts w:hint="cs"/>
          <w:rtl/>
        </w:rPr>
        <w:t>د و</w:t>
      </w:r>
      <w:r w:rsidRPr="0025250D">
        <w:rPr>
          <w:rtl/>
        </w:rPr>
        <w:t xml:space="preserve"> تا</w:t>
      </w:r>
      <w:r w:rsidRPr="0025250D">
        <w:rPr>
          <w:rFonts w:hint="cs"/>
          <w:rtl/>
        </w:rPr>
        <w:t>یی</w:t>
      </w:r>
      <w:r w:rsidRPr="0025250D">
        <w:rPr>
          <w:rFonts w:hint="eastAsia"/>
          <w:rtl/>
        </w:rPr>
        <w:t>د</w:t>
      </w:r>
      <w:r w:rsidRPr="0025250D">
        <w:rPr>
          <w:rtl/>
        </w:rPr>
        <w:t xml:space="preserve"> </w:t>
      </w:r>
      <w:r w:rsidRPr="0025250D">
        <w:rPr>
          <w:rFonts w:hint="cs"/>
          <w:rtl/>
        </w:rPr>
        <w:t>ی</w:t>
      </w:r>
      <w:r w:rsidRPr="0025250D">
        <w:rPr>
          <w:rFonts w:hint="eastAsia"/>
          <w:rtl/>
        </w:rPr>
        <w:t>ا</w:t>
      </w:r>
      <w:r w:rsidRPr="0025250D">
        <w:rPr>
          <w:rtl/>
        </w:rPr>
        <w:t xml:space="preserve"> رد می‌کند</w:t>
      </w:r>
      <w:r w:rsidRPr="0025250D">
        <w:rPr>
          <w:rFonts w:hint="cs"/>
          <w:rtl/>
        </w:rPr>
        <w:t>.</w:t>
      </w:r>
    </w:p>
    <w:p w14:paraId="123F6BE7" w14:textId="69521D68" w:rsidR="00537CC8" w:rsidRPr="0025250D" w:rsidRDefault="00537CC8" w:rsidP="00492C47">
      <w:pPr>
        <w:numPr>
          <w:ilvl w:val="0"/>
          <w:numId w:val="46"/>
        </w:numPr>
      </w:pPr>
      <w:r w:rsidRPr="0025250D">
        <w:rPr>
          <w:rFonts w:hint="cs"/>
          <w:b/>
          <w:bCs/>
          <w:rtl/>
        </w:rPr>
        <w:t xml:space="preserve">محاسبه </w:t>
      </w:r>
      <w:r w:rsidRPr="0025250D">
        <w:rPr>
          <w:b/>
          <w:bCs/>
        </w:rPr>
        <w:t>ETA</w:t>
      </w:r>
      <w:r w:rsidRPr="0025250D">
        <w:rPr>
          <w:rFonts w:hint="cs"/>
          <w:b/>
          <w:bCs/>
          <w:rtl/>
        </w:rPr>
        <w:t>.</w:t>
      </w:r>
      <w:r w:rsidRPr="0025250D">
        <w:rPr>
          <w:rFonts w:hint="cs"/>
          <w:rtl/>
        </w:rPr>
        <w:t xml:space="preserve"> به پیش‌انگاری، </w:t>
      </w:r>
      <w:r w:rsidR="00FB6A7E" w:rsidRPr="0025250D">
        <w:rPr>
          <w:rFonts w:hint="cs"/>
          <w:rtl/>
        </w:rPr>
        <w:t>پیش‌نگری</w:t>
      </w:r>
      <w:r w:rsidRPr="0025250D">
        <w:rPr>
          <w:rFonts w:hint="cs"/>
          <w:rtl/>
        </w:rPr>
        <w:t xml:space="preserve"> </w:t>
      </w:r>
      <w:r w:rsidR="00A20CCB" w:rsidRPr="0025250D">
        <w:rPr>
          <w:rFonts w:hint="cs"/>
          <w:rtl/>
        </w:rPr>
        <w:t>زمان‌بندی</w:t>
      </w:r>
      <w:r w:rsidRPr="0025250D">
        <w:rPr>
          <w:rFonts w:hint="cs"/>
          <w:rtl/>
        </w:rPr>
        <w:t xml:space="preserve"> روند‌ها بازگردید. بپرسید چه عواملی مم</w:t>
      </w:r>
      <w:r w:rsidR="001D59A8" w:rsidRPr="0025250D">
        <w:rPr>
          <w:rFonts w:hint="cs"/>
          <w:rtl/>
        </w:rPr>
        <w:t>ک</w:t>
      </w:r>
      <w:r w:rsidRPr="0025250D">
        <w:rPr>
          <w:rFonts w:hint="cs"/>
          <w:rtl/>
        </w:rPr>
        <w:t xml:space="preserve">ن است توسعه آن را تسریع کرده یا به تأخیر بیندازند. توسعه‌های داخلی در شرکت‌های </w:t>
      </w:r>
      <w:r w:rsidR="007A53FD" w:rsidRPr="0025250D">
        <w:rPr>
          <w:rFonts w:hint="cs"/>
          <w:rtl/>
        </w:rPr>
        <w:t>فناوری</w:t>
      </w:r>
      <w:r w:rsidRPr="0025250D">
        <w:rPr>
          <w:rFonts w:hint="cs"/>
          <w:rtl/>
        </w:rPr>
        <w:t xml:space="preserve"> و توسعه‌های خارجی توسط رقبا، قانون گذاران</w:t>
      </w:r>
      <w:r w:rsidR="008D6F97" w:rsidRPr="0025250D">
        <w:rPr>
          <w:rtl/>
        </w:rPr>
        <w:t xml:space="preserve"> </w:t>
      </w:r>
      <w:r w:rsidRPr="0025250D">
        <w:rPr>
          <w:rFonts w:hint="cs"/>
          <w:rtl/>
        </w:rPr>
        <w:t xml:space="preserve">و جامعه را ارزیابی کنید. ظرفیت‌های آستانه‌ای برای </w:t>
      </w:r>
      <w:r w:rsidR="002F3C14" w:rsidRPr="0025250D">
        <w:rPr>
          <w:rFonts w:hint="cs"/>
          <w:rtl/>
        </w:rPr>
        <w:t>انطباق</w:t>
      </w:r>
      <w:r w:rsidRPr="0025250D">
        <w:rPr>
          <w:rFonts w:hint="cs"/>
          <w:rtl/>
        </w:rPr>
        <w:t xml:space="preserve"> جمعی و زودهنگام را تعریف کنید. بپرسید که چه داده‌هایی به </w:t>
      </w:r>
      <w:r w:rsidR="00FB6A7E" w:rsidRPr="0025250D">
        <w:rPr>
          <w:rFonts w:hint="cs"/>
          <w:rtl/>
        </w:rPr>
        <w:t>پیش‌نگری</w:t>
      </w:r>
      <w:r w:rsidRPr="0025250D">
        <w:rPr>
          <w:rFonts w:hint="cs"/>
          <w:rtl/>
        </w:rPr>
        <w:t xml:space="preserve"> </w:t>
      </w:r>
      <w:r w:rsidRPr="0025250D">
        <w:t>ETA</w:t>
      </w:r>
      <w:r w:rsidRPr="0025250D">
        <w:rPr>
          <w:rFonts w:hint="cs"/>
          <w:rtl/>
        </w:rPr>
        <w:t xml:space="preserve"> برای این ظرفیت‌ها کمک می‌کنند.</w:t>
      </w:r>
    </w:p>
    <w:p w14:paraId="261B25E8" w14:textId="655977FE" w:rsidR="00537CC8" w:rsidRPr="0025250D" w:rsidRDefault="007A53FD" w:rsidP="00492C47">
      <w:pPr>
        <w:numPr>
          <w:ilvl w:val="0"/>
          <w:numId w:val="46"/>
        </w:numPr>
      </w:pPr>
      <w:r w:rsidRPr="0025250D">
        <w:rPr>
          <w:rFonts w:hint="cs"/>
          <w:b/>
          <w:bCs/>
          <w:rtl/>
        </w:rPr>
        <w:t>فرانامه</w:t>
      </w:r>
      <w:r w:rsidR="00537CC8" w:rsidRPr="0025250D">
        <w:rPr>
          <w:rFonts w:hint="cs"/>
          <w:b/>
          <w:bCs/>
          <w:rtl/>
        </w:rPr>
        <w:t xml:space="preserve">‌ها و </w:t>
      </w:r>
      <w:r w:rsidR="00701E03" w:rsidRPr="0025250D">
        <w:rPr>
          <w:rFonts w:hint="cs"/>
          <w:b/>
          <w:bCs/>
          <w:rtl/>
        </w:rPr>
        <w:t>راهبرد</w:t>
      </w:r>
      <w:r w:rsidR="00537CC8" w:rsidRPr="0025250D">
        <w:rPr>
          <w:rFonts w:hint="cs"/>
          <w:b/>
          <w:bCs/>
          <w:rtl/>
        </w:rPr>
        <w:t>‌های مقدماتی را ایجاد کنید.</w:t>
      </w:r>
      <w:r w:rsidR="00537CC8" w:rsidRPr="0025250D">
        <w:rPr>
          <w:rFonts w:hint="cs"/>
          <w:rtl/>
        </w:rPr>
        <w:t xml:space="preserve"> به تفکر نوآوری (موارد ممکن) بازگردید. </w:t>
      </w:r>
      <w:r w:rsidRPr="0025250D">
        <w:rPr>
          <w:rFonts w:hint="cs"/>
          <w:rtl/>
        </w:rPr>
        <w:t>فرانامه</w:t>
      </w:r>
      <w:r w:rsidR="00537CC8" w:rsidRPr="0025250D">
        <w:rPr>
          <w:rFonts w:hint="cs"/>
          <w:rtl/>
        </w:rPr>
        <w:t xml:space="preserve">‌ها را ایجاد کنید. هر یک باید عناصر داستانی محتمل، ممکن، مرجح و قابل اجتناب (چهار </w:t>
      </w:r>
      <w:r w:rsidR="00537CC8" w:rsidRPr="0025250D">
        <w:t>P</w:t>
      </w:r>
      <w:r w:rsidR="00537CC8" w:rsidRPr="0025250D">
        <w:rPr>
          <w:rFonts w:hint="cs"/>
          <w:rtl/>
        </w:rPr>
        <w:t xml:space="preserve">) را پوشش دهند. آن‌ها را حول عوامل مهم اما غیر قطعی که می‌توانند بر آینده تأثیر بگذارند تغییر دهید. واکنش هیجانی خود و دیگران را نسبت به این عناصر داستانی در نظر بگیرید. سپس به هر </w:t>
      </w:r>
      <w:r w:rsidRPr="0025250D">
        <w:rPr>
          <w:rFonts w:hint="cs"/>
          <w:rtl/>
        </w:rPr>
        <w:t>فرانامه</w:t>
      </w:r>
      <w:r w:rsidR="00537CC8" w:rsidRPr="0025250D">
        <w:rPr>
          <w:rFonts w:hint="cs"/>
          <w:rtl/>
        </w:rPr>
        <w:t xml:space="preserve"> امتیازی بدهید و آن‌ها را با توجه به معیارهایی مانند باورپذیری و اهمیت رتبه بندی کنید. سپس یک </w:t>
      </w:r>
      <w:r w:rsidR="00701E03" w:rsidRPr="0025250D">
        <w:rPr>
          <w:rFonts w:hint="cs"/>
          <w:rtl/>
        </w:rPr>
        <w:t>راهبرد</w:t>
      </w:r>
      <w:r w:rsidR="00537CC8" w:rsidRPr="0025250D">
        <w:rPr>
          <w:rFonts w:hint="cs"/>
          <w:rtl/>
        </w:rPr>
        <w:t xml:space="preserve"> مقدماتی برای هر مورد، با فرض وقوع آن ایجاد کنید.</w:t>
      </w:r>
    </w:p>
    <w:p w14:paraId="7A89F677" w14:textId="6730EE71" w:rsidR="00537CC8" w:rsidRPr="0025250D" w:rsidRDefault="00701E03" w:rsidP="00492C47">
      <w:pPr>
        <w:numPr>
          <w:ilvl w:val="0"/>
          <w:numId w:val="46"/>
        </w:numPr>
      </w:pPr>
      <w:r w:rsidRPr="0025250D">
        <w:rPr>
          <w:rFonts w:hint="cs"/>
          <w:b/>
          <w:bCs/>
          <w:rtl/>
        </w:rPr>
        <w:t>راهبرد</w:t>
      </w:r>
      <w:r w:rsidR="00537CC8" w:rsidRPr="0025250D">
        <w:rPr>
          <w:rFonts w:hint="cs"/>
          <w:b/>
          <w:bCs/>
          <w:rtl/>
        </w:rPr>
        <w:t>‌های خود را در مقابل تنش‌ها بسنجید.</w:t>
      </w:r>
      <w:r w:rsidR="00537CC8" w:rsidRPr="0025250D">
        <w:rPr>
          <w:rFonts w:hint="cs"/>
          <w:rtl/>
        </w:rPr>
        <w:t xml:space="preserve"> سپس، بر </w:t>
      </w:r>
      <w:r w:rsidRPr="0025250D">
        <w:rPr>
          <w:rFonts w:hint="cs"/>
          <w:rtl/>
        </w:rPr>
        <w:t>راهبرد</w:t>
      </w:r>
      <w:r w:rsidR="00537CC8" w:rsidRPr="0025250D">
        <w:rPr>
          <w:rFonts w:hint="cs"/>
          <w:rtl/>
        </w:rPr>
        <w:t xml:space="preserve">‌ها و برنامه‌ها و </w:t>
      </w:r>
      <w:r w:rsidR="00F50EB4" w:rsidRPr="0025250D">
        <w:rPr>
          <w:rFonts w:hint="cs"/>
          <w:rtl/>
        </w:rPr>
        <w:t>سرمایه‌گذاری</w:t>
      </w:r>
      <w:r w:rsidR="00537CC8" w:rsidRPr="0025250D">
        <w:rPr>
          <w:rFonts w:hint="cs"/>
          <w:rtl/>
        </w:rPr>
        <w:t xml:space="preserve">‌هایی که ممکن است حول آنها انجام دهید، تمرکز کنید. اگر برای یک </w:t>
      </w:r>
      <w:r w:rsidR="007A53FD" w:rsidRPr="0025250D">
        <w:rPr>
          <w:rFonts w:hint="cs"/>
          <w:rtl/>
        </w:rPr>
        <w:t>فرانامه</w:t>
      </w:r>
      <w:r w:rsidR="00537CC8" w:rsidRPr="0025250D">
        <w:rPr>
          <w:rFonts w:hint="cs"/>
          <w:rtl/>
        </w:rPr>
        <w:t xml:space="preserve"> اقداماتی انجام دهید و </w:t>
      </w:r>
      <w:r w:rsidR="007A53FD" w:rsidRPr="0025250D">
        <w:rPr>
          <w:rFonts w:hint="cs"/>
          <w:rtl/>
        </w:rPr>
        <w:t>فرانامه</w:t>
      </w:r>
      <w:r w:rsidR="00537CC8" w:rsidRPr="0025250D">
        <w:rPr>
          <w:rFonts w:hint="cs"/>
          <w:rtl/>
        </w:rPr>
        <w:t xml:space="preserve"> دیگری رخ دهد چه می‌شود؟ موقعیت شما برای تغییر جهت چقدر خوب خواهد بود؟ پرسش‌هایی را درمورد </w:t>
      </w:r>
      <w:r w:rsidRPr="0025250D">
        <w:rPr>
          <w:rFonts w:hint="cs"/>
          <w:rtl/>
        </w:rPr>
        <w:t>راهبرد</w:t>
      </w:r>
      <w:r w:rsidR="00537CC8" w:rsidRPr="0025250D">
        <w:rPr>
          <w:rFonts w:hint="cs"/>
          <w:rtl/>
        </w:rPr>
        <w:t xml:space="preserve">‌های روند-پاسخ پیشنهادی خود بپرسید و به آن‌ها پاسخ دهید. نام اختصاری آن‌ها به نام </w:t>
      </w:r>
      <w:r w:rsidR="00537CC8" w:rsidRPr="0025250D">
        <w:t>FUTURE</w:t>
      </w:r>
      <w:r w:rsidR="00537CC8" w:rsidRPr="0025250D">
        <w:rPr>
          <w:rFonts w:hint="cs"/>
          <w:rtl/>
        </w:rPr>
        <w:t xml:space="preserve"> (بنیاد</w:t>
      </w:r>
      <w:r w:rsidR="00537CC8" w:rsidRPr="0025250D">
        <w:rPr>
          <w:vertAlign w:val="superscript"/>
          <w:rtl/>
        </w:rPr>
        <w:footnoteReference w:id="2466"/>
      </w:r>
      <w:r w:rsidR="00537CC8" w:rsidRPr="0025250D">
        <w:rPr>
          <w:rFonts w:hint="cs"/>
          <w:rtl/>
        </w:rPr>
        <w:t xml:space="preserve">، منحصر به فرد بودن، </w:t>
      </w:r>
      <w:r w:rsidR="00537CC8" w:rsidRPr="0025250D">
        <w:rPr>
          <w:rtl/>
        </w:rPr>
        <w:t>قابل</w:t>
      </w:r>
      <w:r w:rsidR="00537CC8" w:rsidRPr="0025250D">
        <w:rPr>
          <w:rFonts w:hint="cs"/>
          <w:rtl/>
        </w:rPr>
        <w:t>ی</w:t>
      </w:r>
      <w:r w:rsidR="00537CC8" w:rsidRPr="0025250D">
        <w:rPr>
          <w:rFonts w:hint="eastAsia"/>
          <w:rtl/>
        </w:rPr>
        <w:t>ت</w:t>
      </w:r>
      <w:r w:rsidR="00537CC8" w:rsidRPr="0025250D">
        <w:rPr>
          <w:rtl/>
        </w:rPr>
        <w:t xml:space="preserve"> رد</w:t>
      </w:r>
      <w:r w:rsidR="00537CC8" w:rsidRPr="0025250D">
        <w:rPr>
          <w:rFonts w:hint="cs"/>
          <w:rtl/>
        </w:rPr>
        <w:t>ی</w:t>
      </w:r>
      <w:r w:rsidR="00537CC8" w:rsidRPr="0025250D">
        <w:rPr>
          <w:rFonts w:hint="eastAsia"/>
          <w:rtl/>
        </w:rPr>
        <w:t>اب</w:t>
      </w:r>
      <w:r w:rsidR="00537CC8" w:rsidRPr="0025250D">
        <w:rPr>
          <w:rFonts w:hint="cs"/>
          <w:rtl/>
        </w:rPr>
        <w:t>ی</w:t>
      </w:r>
      <w:r w:rsidR="00537CC8" w:rsidRPr="0025250D">
        <w:rPr>
          <w:vertAlign w:val="superscript"/>
          <w:rtl/>
        </w:rPr>
        <w:footnoteReference w:id="2467"/>
      </w:r>
      <w:r w:rsidR="00537CC8" w:rsidRPr="0025250D">
        <w:rPr>
          <w:rFonts w:hint="cs"/>
          <w:rtl/>
        </w:rPr>
        <w:t xml:space="preserve">، </w:t>
      </w:r>
      <w:r w:rsidR="00537CC8" w:rsidRPr="0025250D">
        <w:rPr>
          <w:rtl/>
        </w:rPr>
        <w:t>فور</w:t>
      </w:r>
      <w:r w:rsidR="00537CC8" w:rsidRPr="0025250D">
        <w:rPr>
          <w:rFonts w:hint="cs"/>
          <w:rtl/>
        </w:rPr>
        <w:t>ی</w:t>
      </w:r>
      <w:r w:rsidR="00537CC8" w:rsidRPr="0025250D">
        <w:rPr>
          <w:rFonts w:hint="eastAsia"/>
          <w:rtl/>
        </w:rPr>
        <w:t>ت</w:t>
      </w:r>
      <w:r w:rsidR="00537CC8" w:rsidRPr="0025250D">
        <w:rPr>
          <w:vertAlign w:val="superscript"/>
          <w:rtl/>
        </w:rPr>
        <w:footnoteReference w:id="2468"/>
      </w:r>
      <w:r w:rsidR="00537CC8" w:rsidRPr="0025250D">
        <w:rPr>
          <w:rFonts w:hint="cs"/>
          <w:rtl/>
        </w:rPr>
        <w:t xml:space="preserve">، </w:t>
      </w:r>
      <w:r w:rsidR="00537CC8" w:rsidRPr="0025250D">
        <w:rPr>
          <w:rtl/>
        </w:rPr>
        <w:t>کال</w:t>
      </w:r>
      <w:r w:rsidR="00537CC8" w:rsidRPr="0025250D">
        <w:rPr>
          <w:rFonts w:hint="cs"/>
          <w:rtl/>
        </w:rPr>
        <w:t>ی</w:t>
      </w:r>
      <w:r w:rsidR="00537CC8" w:rsidRPr="0025250D">
        <w:rPr>
          <w:rFonts w:hint="eastAsia"/>
          <w:rtl/>
        </w:rPr>
        <w:t>براس</w:t>
      </w:r>
      <w:r w:rsidR="00537CC8" w:rsidRPr="0025250D">
        <w:rPr>
          <w:rFonts w:hint="cs"/>
          <w:rtl/>
        </w:rPr>
        <w:t>ی</w:t>
      </w:r>
      <w:r w:rsidR="00537CC8" w:rsidRPr="0025250D">
        <w:rPr>
          <w:rFonts w:hint="eastAsia"/>
          <w:rtl/>
        </w:rPr>
        <w:t>ون</w:t>
      </w:r>
      <w:r w:rsidR="00537CC8" w:rsidRPr="0025250D">
        <w:rPr>
          <w:rtl/>
        </w:rPr>
        <w:t xml:space="preserve"> مجدد</w:t>
      </w:r>
      <w:r w:rsidR="00537CC8" w:rsidRPr="0025250D">
        <w:rPr>
          <w:vertAlign w:val="superscript"/>
          <w:rtl/>
        </w:rPr>
        <w:footnoteReference w:id="2469"/>
      </w:r>
      <w:r w:rsidR="00537CC8" w:rsidRPr="0025250D">
        <w:rPr>
          <w:rFonts w:hint="cs"/>
          <w:rtl/>
        </w:rPr>
        <w:t xml:space="preserve"> و تنظیم مجدد، قابلیت گسترش</w:t>
      </w:r>
      <w:r w:rsidR="00537CC8" w:rsidRPr="0025250D">
        <w:rPr>
          <w:vertAlign w:val="superscript"/>
          <w:rtl/>
        </w:rPr>
        <w:footnoteReference w:id="2470"/>
      </w:r>
      <w:r w:rsidR="00537CC8" w:rsidRPr="0025250D">
        <w:rPr>
          <w:rFonts w:hint="cs"/>
          <w:rtl/>
        </w:rPr>
        <w:t xml:space="preserve">) پرسش‌های مفید متعددی برای ارزیابی </w:t>
      </w:r>
      <w:r w:rsidRPr="0025250D">
        <w:rPr>
          <w:rFonts w:hint="cs"/>
          <w:rtl/>
        </w:rPr>
        <w:t>راهبرد</w:t>
      </w:r>
      <w:r w:rsidR="00537CC8" w:rsidRPr="0025250D">
        <w:rPr>
          <w:rFonts w:hint="cs"/>
          <w:rtl/>
        </w:rPr>
        <w:t xml:space="preserve"> ارائه می‌دهند. اکنون اقدام کنید.</w:t>
      </w:r>
    </w:p>
    <w:p w14:paraId="19C1347C" w14:textId="67A039D9" w:rsidR="00537CC8" w:rsidRPr="0025250D" w:rsidRDefault="00B13F65" w:rsidP="00537CC8">
      <w:pPr>
        <w:rPr>
          <w:rtl/>
        </w:rPr>
      </w:pPr>
      <w:r w:rsidRPr="0025250D">
        <w:rPr>
          <w:rFonts w:hint="cs"/>
          <w:rtl/>
        </w:rPr>
        <w:t>چارچوب</w:t>
      </w:r>
      <w:r w:rsidR="00537CC8" w:rsidRPr="0025250D">
        <w:rPr>
          <w:rFonts w:hint="cs"/>
          <w:rtl/>
        </w:rPr>
        <w:t xml:space="preserve"> </w:t>
      </w:r>
      <w:r w:rsidR="00537CC8" w:rsidRPr="0025250D">
        <w:t>FTI</w:t>
      </w:r>
      <w:r w:rsidR="00537CC8" w:rsidRPr="0025250D">
        <w:rPr>
          <w:rFonts w:hint="cs"/>
          <w:rtl/>
        </w:rPr>
        <w:t xml:space="preserve"> تشخیص می‌دهد که هیجانات برای تولید </w:t>
      </w:r>
      <w:r w:rsidR="00701E03" w:rsidRPr="0025250D">
        <w:rPr>
          <w:rFonts w:hint="cs"/>
          <w:rtl/>
        </w:rPr>
        <w:t>راهبرد</w:t>
      </w:r>
      <w:r w:rsidR="00537CC8" w:rsidRPr="0025250D">
        <w:rPr>
          <w:rFonts w:hint="cs"/>
          <w:rtl/>
        </w:rPr>
        <w:t xml:space="preserve"> نقش محوری دارند. همه ما در اولویت‌های خود در ابتدا هیجانی و سپس شناختی عمل می‌کنیم. این </w:t>
      </w:r>
      <w:r w:rsidRPr="0025250D">
        <w:rPr>
          <w:rFonts w:hint="cs"/>
          <w:rtl/>
        </w:rPr>
        <w:t>چارچوب</w:t>
      </w:r>
      <w:r w:rsidR="00537CC8" w:rsidRPr="0025250D">
        <w:rPr>
          <w:rFonts w:hint="cs"/>
          <w:rtl/>
        </w:rPr>
        <w:t xml:space="preserve"> به تقابل </w:t>
      </w:r>
      <w:r w:rsidR="002B6515" w:rsidRPr="0025250D">
        <w:rPr>
          <w:rtl/>
        </w:rPr>
        <w:t>حس‌داد</w:t>
      </w:r>
      <w:r w:rsidR="00537CC8" w:rsidRPr="0025250D">
        <w:rPr>
          <w:rFonts w:hint="cs"/>
          <w:rtl/>
        </w:rPr>
        <w:t xml:space="preserve"> نیاز ندارد، بنابراین به شما پیشنهاد می‌کنیم که </w:t>
      </w:r>
      <w:r w:rsidR="001D59A8" w:rsidRPr="0025250D">
        <w:rPr>
          <w:rFonts w:hint="cs"/>
          <w:rtl/>
        </w:rPr>
        <w:t>تقابل</w:t>
      </w:r>
      <w:r w:rsidR="00537CC8" w:rsidRPr="0025250D">
        <w:rPr>
          <w:rFonts w:hint="cs"/>
          <w:rtl/>
        </w:rPr>
        <w:t xml:space="preserve"> </w:t>
      </w:r>
      <w:r w:rsidR="002B6515" w:rsidRPr="0025250D">
        <w:rPr>
          <w:rtl/>
        </w:rPr>
        <w:t>حس‌داد</w:t>
      </w:r>
      <w:r w:rsidR="00537CC8" w:rsidRPr="0025250D">
        <w:rPr>
          <w:rFonts w:hint="cs"/>
          <w:rtl/>
        </w:rPr>
        <w:t xml:space="preserve"> (میان گام‌های 5 و 6)</w:t>
      </w:r>
      <w:r w:rsidR="001D59A8" w:rsidRPr="0025250D">
        <w:rPr>
          <w:rFonts w:hint="cs"/>
          <w:rtl/>
        </w:rPr>
        <w:t xml:space="preserve"> یعنی</w:t>
      </w:r>
      <w:r w:rsidR="00537CC8" w:rsidRPr="0025250D">
        <w:rPr>
          <w:rFonts w:hint="cs"/>
          <w:rtl/>
        </w:rPr>
        <w:t xml:space="preserve"> ابتدا در نظر گرفتن </w:t>
      </w:r>
      <w:r w:rsidR="007A53FD" w:rsidRPr="0025250D">
        <w:rPr>
          <w:rFonts w:hint="cs"/>
          <w:rtl/>
        </w:rPr>
        <w:t>فرانامه</w:t>
      </w:r>
      <w:r w:rsidR="00537CC8" w:rsidRPr="0025250D">
        <w:rPr>
          <w:rFonts w:hint="cs"/>
          <w:rtl/>
        </w:rPr>
        <w:t xml:space="preserve">‌ها، </w:t>
      </w:r>
      <w:r w:rsidR="00B56611" w:rsidRPr="0025250D">
        <w:rPr>
          <w:rFonts w:hint="cs"/>
          <w:rtl/>
        </w:rPr>
        <w:t>چشم‌انداز</w:t>
      </w:r>
      <w:r w:rsidR="00537CC8" w:rsidRPr="0025250D">
        <w:rPr>
          <w:rFonts w:hint="cs"/>
          <w:rtl/>
        </w:rPr>
        <w:t xml:space="preserve">‌ها و </w:t>
      </w:r>
      <w:r w:rsidR="00701E03" w:rsidRPr="0025250D">
        <w:rPr>
          <w:rFonts w:hint="cs"/>
          <w:rtl/>
        </w:rPr>
        <w:t>راهبرد</w:t>
      </w:r>
      <w:r w:rsidR="00537CC8" w:rsidRPr="0025250D">
        <w:rPr>
          <w:rFonts w:hint="cs"/>
          <w:rtl/>
        </w:rPr>
        <w:t xml:space="preserve">‌های فرصت‌های مقدماتی و سپس </w:t>
      </w:r>
      <w:r w:rsidR="007A53FD" w:rsidRPr="0025250D">
        <w:rPr>
          <w:rFonts w:hint="cs"/>
          <w:rtl/>
        </w:rPr>
        <w:t>فرانامه</w:t>
      </w:r>
      <w:r w:rsidR="00397E18" w:rsidRPr="0025250D">
        <w:rPr>
          <w:rFonts w:hint="cs"/>
          <w:rtl/>
        </w:rPr>
        <w:t xml:space="preserve"> </w:t>
      </w:r>
      <w:r w:rsidR="00537CC8" w:rsidRPr="0025250D">
        <w:rPr>
          <w:rFonts w:hint="cs"/>
          <w:rtl/>
        </w:rPr>
        <w:t xml:space="preserve">ها، تله‌ها و تهدید‌های منفی </w:t>
      </w:r>
      <w:r w:rsidR="001D59A8" w:rsidRPr="0025250D">
        <w:rPr>
          <w:rFonts w:hint="cs"/>
          <w:rtl/>
        </w:rPr>
        <w:t>ممکن</w:t>
      </w:r>
      <w:r w:rsidR="00537CC8" w:rsidRPr="0025250D">
        <w:rPr>
          <w:rFonts w:hint="cs"/>
          <w:rtl/>
        </w:rPr>
        <w:t xml:space="preserve"> و چگونگی پیشگیری از آن‌ها را در نظر بگیرید. هیچ </w:t>
      </w:r>
      <w:r w:rsidRPr="0025250D">
        <w:rPr>
          <w:rFonts w:hint="cs"/>
          <w:rtl/>
        </w:rPr>
        <w:t>چارچوب</w:t>
      </w:r>
      <w:r w:rsidR="00537CC8" w:rsidRPr="0025250D">
        <w:rPr>
          <w:rFonts w:hint="cs"/>
          <w:rtl/>
        </w:rPr>
        <w:t xml:space="preserve">ی کامل نیست. از مواردی که بیش از همه برای شما و تیمتان خوشایند هستند، استفاده کنید. مطمئن باشید که همه </w:t>
      </w:r>
      <w:r w:rsidRPr="0025250D">
        <w:rPr>
          <w:rFonts w:hint="cs"/>
          <w:rtl/>
        </w:rPr>
        <w:t>چارچوب</w:t>
      </w:r>
      <w:r w:rsidR="00537CC8" w:rsidRPr="0025250D">
        <w:rPr>
          <w:rFonts w:hint="cs"/>
          <w:rtl/>
        </w:rPr>
        <w:t xml:space="preserve">‌های خود را به شکل یک چرخه، در یک حلقه انجام به کار می‌گیرید. از یک گروه که از نظر شناختی و تجربی متنوع است، در میان همه دسته‌های پویش </w:t>
      </w:r>
      <w:r w:rsidR="00537CC8" w:rsidRPr="0025250D">
        <w:t>STEEPLES</w:t>
      </w:r>
      <w:r w:rsidR="00537CC8" w:rsidRPr="0025250D">
        <w:rPr>
          <w:rFonts w:hint="cs"/>
          <w:rtl/>
        </w:rPr>
        <w:t xml:space="preserve">، بخواهید به شما بازخورد (بازبینی) دهد. ما بار دیگر در این فصل </w:t>
      </w:r>
      <w:r w:rsidR="00537CC8" w:rsidRPr="0025250D">
        <w:t>STEEPLES</w:t>
      </w:r>
      <w:r w:rsidR="00537CC8" w:rsidRPr="0025250D">
        <w:rPr>
          <w:rFonts w:hint="cs"/>
          <w:rtl/>
        </w:rPr>
        <w:t xml:space="preserve"> را، این بار به عنوان یک </w:t>
      </w:r>
      <w:r w:rsidRPr="0025250D">
        <w:rPr>
          <w:rFonts w:hint="cs"/>
          <w:rtl/>
        </w:rPr>
        <w:t>چارچوب</w:t>
      </w:r>
      <w:r w:rsidR="00537CC8" w:rsidRPr="0025250D">
        <w:rPr>
          <w:rFonts w:hint="cs"/>
          <w:rtl/>
        </w:rPr>
        <w:t xml:space="preserve"> تحلیل مسائل، بررسی</w:t>
      </w:r>
      <w:r w:rsidR="00537CC8" w:rsidRPr="0025250D">
        <w:rPr>
          <w:rtl/>
        </w:rPr>
        <w:t xml:space="preserve"> </w:t>
      </w:r>
      <w:r w:rsidR="00537CC8" w:rsidRPr="0025250D">
        <w:rPr>
          <w:rFonts w:hint="cs"/>
          <w:rtl/>
        </w:rPr>
        <w:t>خواهیم</w:t>
      </w:r>
      <w:r w:rsidR="00537CC8" w:rsidRPr="0025250D">
        <w:rPr>
          <w:rtl/>
        </w:rPr>
        <w:t xml:space="preserve"> </w:t>
      </w:r>
      <w:r w:rsidR="00537CC8" w:rsidRPr="0025250D">
        <w:rPr>
          <w:rFonts w:hint="cs"/>
          <w:rtl/>
        </w:rPr>
        <w:t>کرد.</w:t>
      </w:r>
    </w:p>
    <w:p w14:paraId="24073943" w14:textId="79E495D9" w:rsidR="00537CC8" w:rsidRPr="0025250D" w:rsidRDefault="00B13F65" w:rsidP="003D3E0A">
      <w:pPr>
        <w:pStyle w:val="Heading3"/>
      </w:pPr>
      <w:r w:rsidRPr="0025250D">
        <w:rPr>
          <w:rFonts w:hint="cs"/>
          <w:rtl/>
        </w:rPr>
        <w:t>چارچوب</w:t>
      </w:r>
      <w:r w:rsidR="00537CC8" w:rsidRPr="0025250D">
        <w:rPr>
          <w:rFonts w:hint="cs"/>
          <w:rtl/>
        </w:rPr>
        <w:t xml:space="preserve"> تحقیق </w:t>
      </w:r>
      <w:r w:rsidR="00537CC8" w:rsidRPr="0025250D">
        <w:rPr>
          <w:rtl/>
        </w:rPr>
        <w:t>آینده‌نگاری</w:t>
      </w:r>
      <w:r w:rsidR="00537CC8" w:rsidRPr="0025250D">
        <w:rPr>
          <w:rFonts w:hint="cs"/>
          <w:rtl/>
        </w:rPr>
        <w:t xml:space="preserve"> (</w:t>
      </w:r>
      <w:r w:rsidR="00FB6A7E" w:rsidRPr="0025250D">
        <w:rPr>
          <w:rFonts w:hint="cs"/>
          <w:rtl/>
        </w:rPr>
        <w:t>پیش‌نگری</w:t>
      </w:r>
      <w:r w:rsidR="00537CC8" w:rsidRPr="0025250D">
        <w:rPr>
          <w:rFonts w:hint="cs"/>
          <w:rtl/>
        </w:rPr>
        <w:t xml:space="preserve">) دانشگاه </w:t>
      </w:r>
      <w:r w:rsidR="00537CC8" w:rsidRPr="0025250D">
        <w:rPr>
          <w:rtl/>
        </w:rPr>
        <w:t>ه</w:t>
      </w:r>
      <w:r w:rsidR="00537CC8" w:rsidRPr="0025250D">
        <w:rPr>
          <w:rFonts w:hint="cs"/>
          <w:rtl/>
        </w:rPr>
        <w:t>ی</w:t>
      </w:r>
      <w:r w:rsidR="00537CC8" w:rsidRPr="0025250D">
        <w:rPr>
          <w:rFonts w:hint="eastAsia"/>
          <w:rtl/>
        </w:rPr>
        <w:t>وستون</w:t>
      </w:r>
    </w:p>
    <w:p w14:paraId="442C8C5E" w14:textId="13B782E8" w:rsidR="00537CC8" w:rsidRPr="0025250D" w:rsidRDefault="00537CC8" w:rsidP="00537CC8">
      <w:pPr>
        <w:rPr>
          <w:rtl/>
        </w:rPr>
      </w:pPr>
      <w:r w:rsidRPr="0025250D">
        <w:rPr>
          <w:rtl/>
        </w:rPr>
        <w:t>پ</w:t>
      </w:r>
      <w:r w:rsidRPr="0025250D">
        <w:rPr>
          <w:rFonts w:hint="cs"/>
          <w:rtl/>
        </w:rPr>
        <w:t>ی</w:t>
      </w:r>
      <w:r w:rsidRPr="0025250D">
        <w:rPr>
          <w:rFonts w:hint="eastAsia"/>
          <w:rtl/>
        </w:rPr>
        <w:t>تر</w:t>
      </w:r>
      <w:r w:rsidRPr="0025250D">
        <w:rPr>
          <w:rtl/>
        </w:rPr>
        <w:t xml:space="preserve"> ب</w:t>
      </w:r>
      <w:r w:rsidRPr="0025250D">
        <w:rPr>
          <w:rFonts w:hint="cs"/>
          <w:rtl/>
        </w:rPr>
        <w:t>ی</w:t>
      </w:r>
      <w:r w:rsidRPr="0025250D">
        <w:rPr>
          <w:rFonts w:hint="eastAsia"/>
          <w:rtl/>
        </w:rPr>
        <w:t>شاپ</w:t>
      </w:r>
      <w:r w:rsidRPr="0025250D">
        <w:rPr>
          <w:vertAlign w:val="superscript"/>
          <w:rtl/>
        </w:rPr>
        <w:footnoteReference w:id="2471"/>
      </w:r>
      <w:r w:rsidRPr="0025250D">
        <w:rPr>
          <w:rFonts w:hint="cs"/>
          <w:rtl/>
        </w:rPr>
        <w:t xml:space="preserve"> در طول دوران تصدی سی ساله خود به عنوان یک استاد </w:t>
      </w:r>
      <w:r w:rsidRPr="0025250D">
        <w:rPr>
          <w:rtl/>
        </w:rPr>
        <w:t>آینده‌نگاری</w:t>
      </w:r>
      <w:r w:rsidRPr="0025250D">
        <w:rPr>
          <w:rFonts w:hint="cs"/>
          <w:rtl/>
        </w:rPr>
        <w:t xml:space="preserve"> در دانشگاه </w:t>
      </w:r>
      <w:r w:rsidRPr="0025250D">
        <w:rPr>
          <w:rtl/>
        </w:rPr>
        <w:t>ه</w:t>
      </w:r>
      <w:r w:rsidRPr="0025250D">
        <w:rPr>
          <w:rFonts w:hint="cs"/>
          <w:rtl/>
        </w:rPr>
        <w:t>ی</w:t>
      </w:r>
      <w:r w:rsidRPr="0025250D">
        <w:rPr>
          <w:rFonts w:hint="eastAsia"/>
          <w:rtl/>
        </w:rPr>
        <w:t>وستون</w:t>
      </w:r>
      <w:r w:rsidRPr="0025250D">
        <w:rPr>
          <w:rFonts w:hint="cs"/>
          <w:rtl/>
        </w:rPr>
        <w:t xml:space="preserve">، یک فرد پیشتاز در جامعه </w:t>
      </w:r>
      <w:r w:rsidRPr="0025250D">
        <w:rPr>
          <w:rtl/>
        </w:rPr>
        <w:t>آینده‌نگاری</w:t>
      </w:r>
      <w:r w:rsidRPr="0025250D">
        <w:rPr>
          <w:rFonts w:hint="cs"/>
          <w:rtl/>
        </w:rPr>
        <w:t xml:space="preserve"> تخصصی، یک </w:t>
      </w:r>
      <w:r w:rsidR="00B13F65" w:rsidRPr="0025250D">
        <w:rPr>
          <w:rFonts w:hint="cs"/>
          <w:rtl/>
        </w:rPr>
        <w:t>چارچوب</w:t>
      </w:r>
      <w:r w:rsidRPr="0025250D">
        <w:rPr>
          <w:rFonts w:hint="cs"/>
          <w:rtl/>
        </w:rPr>
        <w:t xml:space="preserve"> تحقیقاتی عالی را برای تولید مقالات خلاصه سازی</w:t>
      </w:r>
      <w:r w:rsidRPr="0025250D">
        <w:rPr>
          <w:vertAlign w:val="superscript"/>
          <w:rtl/>
        </w:rPr>
        <w:footnoteReference w:id="2472"/>
      </w:r>
      <w:r w:rsidRPr="0025250D">
        <w:rPr>
          <w:rFonts w:hint="cs"/>
          <w:rtl/>
        </w:rPr>
        <w:t xml:space="preserve"> درمورد موضوعات </w:t>
      </w:r>
      <w:r w:rsidRPr="0025250D">
        <w:rPr>
          <w:rtl/>
        </w:rPr>
        <w:t>آینده‌نگاری</w:t>
      </w:r>
      <w:r w:rsidRPr="0025250D">
        <w:rPr>
          <w:rFonts w:hint="cs"/>
          <w:rtl/>
        </w:rPr>
        <w:t xml:space="preserve"> توسعه داد (</w:t>
      </w:r>
      <w:r w:rsidRPr="0025250D">
        <w:rPr>
          <w:rtl/>
        </w:rPr>
        <w:t>آینده‌نگاری</w:t>
      </w:r>
      <w:r w:rsidRPr="0025250D">
        <w:rPr>
          <w:rFonts w:hint="cs"/>
          <w:rtl/>
        </w:rPr>
        <w:t xml:space="preserve"> </w:t>
      </w:r>
      <w:r w:rsidR="00B13F65" w:rsidRPr="0025250D">
        <w:rPr>
          <w:rFonts w:hint="cs"/>
          <w:rtl/>
        </w:rPr>
        <w:t>چارچوب</w:t>
      </w:r>
      <w:r w:rsidR="001D59A8" w:rsidRPr="0025250D">
        <w:rPr>
          <w:rFonts w:hint="cs"/>
          <w:rtl/>
        </w:rPr>
        <w:t>‌</w:t>
      </w:r>
      <w:r w:rsidRPr="0025250D">
        <w:rPr>
          <w:rFonts w:hint="cs"/>
          <w:rtl/>
        </w:rPr>
        <w:t>مند</w:t>
      </w:r>
      <w:r w:rsidRPr="0025250D">
        <w:rPr>
          <w:vertAlign w:val="superscript"/>
          <w:rtl/>
        </w:rPr>
        <w:footnoteReference w:id="2473"/>
      </w:r>
      <w:r w:rsidRPr="0025250D">
        <w:rPr>
          <w:rFonts w:hint="cs"/>
          <w:rtl/>
        </w:rPr>
        <w:t xml:space="preserve"> اثر </w:t>
      </w:r>
      <w:r w:rsidRPr="0025250D">
        <w:rPr>
          <w:rtl/>
        </w:rPr>
        <w:t>پ</w:t>
      </w:r>
      <w:r w:rsidRPr="0025250D">
        <w:rPr>
          <w:rFonts w:hint="cs"/>
          <w:rtl/>
        </w:rPr>
        <w:t>ی</w:t>
      </w:r>
      <w:r w:rsidRPr="0025250D">
        <w:rPr>
          <w:rFonts w:hint="eastAsia"/>
          <w:rtl/>
        </w:rPr>
        <w:t>تر</w:t>
      </w:r>
      <w:r w:rsidRPr="0025250D">
        <w:rPr>
          <w:rtl/>
        </w:rPr>
        <w:t xml:space="preserve"> ب</w:t>
      </w:r>
      <w:r w:rsidRPr="0025250D">
        <w:rPr>
          <w:rFonts w:hint="cs"/>
          <w:rtl/>
        </w:rPr>
        <w:t>ی</w:t>
      </w:r>
      <w:r w:rsidRPr="0025250D">
        <w:rPr>
          <w:rFonts w:hint="eastAsia"/>
          <w:rtl/>
        </w:rPr>
        <w:t>شاپ</w:t>
      </w:r>
      <w:r w:rsidRPr="0025250D">
        <w:rPr>
          <w:rFonts w:hint="cs"/>
          <w:rtl/>
        </w:rPr>
        <w:t xml:space="preserve"> در مجله </w:t>
      </w:r>
      <w:r w:rsidRPr="0025250D">
        <w:rPr>
          <w:rtl/>
        </w:rPr>
        <w:t>آ</w:t>
      </w:r>
      <w:r w:rsidRPr="0025250D">
        <w:rPr>
          <w:rFonts w:hint="cs"/>
          <w:rtl/>
        </w:rPr>
        <w:t>ی</w:t>
      </w:r>
      <w:r w:rsidRPr="0025250D">
        <w:rPr>
          <w:rFonts w:hint="eastAsia"/>
          <w:rtl/>
        </w:rPr>
        <w:t>نده</w:t>
      </w:r>
      <w:r w:rsidRPr="0025250D">
        <w:rPr>
          <w:vertAlign w:val="superscript"/>
          <w:rtl/>
        </w:rPr>
        <w:footnoteReference w:id="2474"/>
      </w:r>
      <w:r w:rsidRPr="0025250D">
        <w:rPr>
          <w:rFonts w:hint="cs"/>
          <w:rtl/>
        </w:rPr>
        <w:t xml:space="preserve"> در سال 2013 را برای یک نسخه دارای جزئیات</w:t>
      </w:r>
      <w:r w:rsidR="001D59A8" w:rsidRPr="0025250D">
        <w:rPr>
          <w:rFonts w:hint="cs"/>
          <w:rtl/>
        </w:rPr>
        <w:t xml:space="preserve"> </w:t>
      </w:r>
      <w:r w:rsidRPr="0025250D">
        <w:rPr>
          <w:rFonts w:hint="cs"/>
          <w:rtl/>
        </w:rPr>
        <w:t>ببینید</w:t>
      </w:r>
      <w:r w:rsidR="001D59A8" w:rsidRPr="0025250D">
        <w:rPr>
          <w:rFonts w:hint="cs"/>
          <w:rtl/>
        </w:rPr>
        <w:t>)</w:t>
      </w:r>
      <w:r w:rsidRPr="0025250D">
        <w:rPr>
          <w:rFonts w:hint="cs"/>
          <w:rtl/>
        </w:rPr>
        <w:t xml:space="preserve">. دانشجویان برنامه کارشناسی ارشد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در دانشگاه </w:t>
      </w:r>
      <w:r w:rsidRPr="0025250D">
        <w:rPr>
          <w:rtl/>
        </w:rPr>
        <w:t>ه</w:t>
      </w:r>
      <w:r w:rsidRPr="0025250D">
        <w:rPr>
          <w:rFonts w:hint="cs"/>
          <w:rtl/>
        </w:rPr>
        <w:t>ی</w:t>
      </w:r>
      <w:r w:rsidRPr="0025250D">
        <w:rPr>
          <w:rFonts w:hint="eastAsia"/>
          <w:rtl/>
        </w:rPr>
        <w:t>وستون</w:t>
      </w:r>
      <w:r w:rsidRPr="0025250D">
        <w:rPr>
          <w:rFonts w:hint="cs"/>
          <w:rtl/>
        </w:rPr>
        <w:t xml:space="preserve"> می‌آموزند که این </w:t>
      </w:r>
      <w:r w:rsidR="00B13F65" w:rsidRPr="0025250D">
        <w:rPr>
          <w:rFonts w:hint="cs"/>
          <w:rtl/>
        </w:rPr>
        <w:t>چارچوب</w:t>
      </w:r>
      <w:r w:rsidRPr="0025250D">
        <w:rPr>
          <w:rFonts w:hint="cs"/>
          <w:rtl/>
        </w:rPr>
        <w:t xml:space="preserve"> را به کار برده و در </w:t>
      </w:r>
      <w:r w:rsidR="00923DDB" w:rsidRPr="0025250D">
        <w:rPr>
          <w:rFonts w:hint="cs"/>
          <w:rtl/>
        </w:rPr>
        <w:t>به‌کارگیری</w:t>
      </w:r>
      <w:r w:rsidRPr="0025250D">
        <w:rPr>
          <w:rFonts w:hint="cs"/>
          <w:rtl/>
        </w:rPr>
        <w:t xml:space="preserve"> آن ارزیابی می‌شوند.</w:t>
      </w:r>
    </w:p>
    <w:p w14:paraId="7C11C17F" w14:textId="671F1202" w:rsidR="00537CC8" w:rsidRPr="0025250D" w:rsidRDefault="00537CC8" w:rsidP="00537CC8">
      <w:pPr>
        <w:rPr>
          <w:rtl/>
        </w:rPr>
      </w:pPr>
      <w:r w:rsidRPr="0025250D">
        <w:rPr>
          <w:rFonts w:hint="cs"/>
          <w:rtl/>
        </w:rPr>
        <w:t xml:space="preserve">پنج بخش و زیربخش اصلی </w:t>
      </w:r>
      <w:r w:rsidR="00B13F65" w:rsidRPr="0025250D">
        <w:rPr>
          <w:rFonts w:hint="cs"/>
          <w:rtl/>
        </w:rPr>
        <w:t>چارچوب</w:t>
      </w:r>
      <w:r w:rsidRPr="0025250D">
        <w:rPr>
          <w:rFonts w:hint="cs"/>
          <w:rtl/>
        </w:rPr>
        <w:t xml:space="preserve"> تحقیق </w:t>
      </w:r>
      <w:r w:rsidRPr="0025250D">
        <w:rPr>
          <w:rtl/>
        </w:rPr>
        <w:t>آینده‌نگاری</w:t>
      </w:r>
      <w:r w:rsidRPr="0025250D">
        <w:rPr>
          <w:rFonts w:hint="cs"/>
          <w:rtl/>
        </w:rPr>
        <w:t xml:space="preserve"> دانشگاه </w:t>
      </w:r>
      <w:r w:rsidRPr="0025250D">
        <w:rPr>
          <w:rtl/>
        </w:rPr>
        <w:t>ه</w:t>
      </w:r>
      <w:r w:rsidRPr="0025250D">
        <w:rPr>
          <w:rFonts w:hint="cs"/>
          <w:rtl/>
        </w:rPr>
        <w:t>ی</w:t>
      </w:r>
      <w:r w:rsidRPr="0025250D">
        <w:rPr>
          <w:rFonts w:hint="eastAsia"/>
          <w:rtl/>
        </w:rPr>
        <w:t>وستون</w:t>
      </w:r>
      <w:r w:rsidRPr="0025250D">
        <w:rPr>
          <w:rFonts w:hint="cs"/>
          <w:rtl/>
        </w:rPr>
        <w:t xml:space="preserve"> در اینجا آورده </w:t>
      </w:r>
      <w:r w:rsidR="00185F3E" w:rsidRPr="0025250D">
        <w:rPr>
          <w:rFonts w:hint="cs"/>
          <w:rtl/>
        </w:rPr>
        <w:t>شده‌اند</w:t>
      </w:r>
      <w:r w:rsidRPr="0025250D">
        <w:rPr>
          <w:rFonts w:hint="cs"/>
          <w:rtl/>
        </w:rPr>
        <w:t xml:space="preserve"> (عناوین </w:t>
      </w:r>
      <w:r w:rsidR="002F3C14" w:rsidRPr="0025250D">
        <w:rPr>
          <w:rFonts w:hint="cs"/>
          <w:rtl/>
        </w:rPr>
        <w:t>انطباق</w:t>
      </w:r>
      <w:r w:rsidRPr="0025250D">
        <w:rPr>
          <w:rFonts w:hint="cs"/>
          <w:rtl/>
        </w:rPr>
        <w:t xml:space="preserve"> داده </w:t>
      </w:r>
      <w:r w:rsidR="00185F3E" w:rsidRPr="0025250D">
        <w:rPr>
          <w:rFonts w:hint="cs"/>
          <w:rtl/>
        </w:rPr>
        <w:t>شده‌اند</w:t>
      </w:r>
      <w:r w:rsidRPr="0025250D">
        <w:rPr>
          <w:rFonts w:hint="cs"/>
          <w:rtl/>
        </w:rPr>
        <w:t>):</w:t>
      </w:r>
    </w:p>
    <w:p w14:paraId="50390CB0" w14:textId="345D4303" w:rsidR="00537CC8" w:rsidRPr="0025250D" w:rsidRDefault="00537CC8" w:rsidP="00492C47">
      <w:pPr>
        <w:numPr>
          <w:ilvl w:val="0"/>
          <w:numId w:val="47"/>
        </w:numPr>
        <w:rPr>
          <w:rtl/>
        </w:rPr>
      </w:pPr>
      <w:r w:rsidRPr="0025250D">
        <w:rPr>
          <w:rFonts w:hint="cs"/>
          <w:rtl/>
        </w:rPr>
        <w:t>مقدمه (تعریف مسئله، خلاصه اجرایی)</w:t>
      </w:r>
    </w:p>
    <w:p w14:paraId="37A896FA" w14:textId="78E0879A" w:rsidR="00537CC8" w:rsidRPr="0025250D" w:rsidRDefault="00537CC8" w:rsidP="00492C47">
      <w:pPr>
        <w:numPr>
          <w:ilvl w:val="0"/>
          <w:numId w:val="47"/>
        </w:numPr>
      </w:pPr>
      <w:r w:rsidRPr="0025250D">
        <w:rPr>
          <w:rFonts w:hint="cs"/>
          <w:rtl/>
        </w:rPr>
        <w:t>ارزیابی شرایط فعلی (شرایط، ذینفعان، تاریخچه و مقادیر ثابت فعلی)</w:t>
      </w:r>
    </w:p>
    <w:p w14:paraId="59B4C2E5" w14:textId="1C7D4CB4" w:rsidR="00537CC8" w:rsidRPr="0025250D" w:rsidRDefault="00FB6A7E" w:rsidP="00492C47">
      <w:pPr>
        <w:numPr>
          <w:ilvl w:val="0"/>
          <w:numId w:val="47"/>
        </w:numPr>
      </w:pPr>
      <w:r w:rsidRPr="0025250D">
        <w:rPr>
          <w:rFonts w:hint="cs"/>
          <w:rtl/>
        </w:rPr>
        <w:t>پیش‌نگری</w:t>
      </w:r>
      <w:r w:rsidR="00537CC8" w:rsidRPr="0025250D">
        <w:rPr>
          <w:rFonts w:hint="cs"/>
          <w:rtl/>
        </w:rPr>
        <w:t xml:space="preserve"> (چرخه‌ها، روندها، برنامه‌ها، </w:t>
      </w:r>
      <w:r w:rsidR="00F50EB4" w:rsidRPr="0025250D">
        <w:rPr>
          <w:rFonts w:hint="cs"/>
          <w:rtl/>
        </w:rPr>
        <w:t>سرمایه‌گذاری</w:t>
      </w:r>
      <w:r w:rsidR="00537CC8" w:rsidRPr="0025250D">
        <w:rPr>
          <w:rFonts w:hint="cs"/>
          <w:rtl/>
        </w:rPr>
        <w:t xml:space="preserve">‌ها، </w:t>
      </w:r>
      <w:r w:rsidRPr="0025250D">
        <w:rPr>
          <w:rFonts w:hint="cs"/>
          <w:rtl/>
        </w:rPr>
        <w:t>پیش‌نگری</w:t>
      </w:r>
      <w:r w:rsidR="00537CC8" w:rsidRPr="0025250D">
        <w:rPr>
          <w:rFonts w:hint="cs"/>
          <w:rtl/>
        </w:rPr>
        <w:t>‌های اساسی)</w:t>
      </w:r>
    </w:p>
    <w:p w14:paraId="06A5AF60" w14:textId="0181B64C" w:rsidR="00537CC8" w:rsidRPr="0025250D" w:rsidRDefault="00537CC8" w:rsidP="00492C47">
      <w:pPr>
        <w:numPr>
          <w:ilvl w:val="0"/>
          <w:numId w:val="47"/>
        </w:numPr>
      </w:pPr>
      <w:r w:rsidRPr="0025250D">
        <w:rPr>
          <w:rFonts w:hint="cs"/>
          <w:rtl/>
        </w:rPr>
        <w:t xml:space="preserve">آینده‌های </w:t>
      </w:r>
      <w:r w:rsidR="00563645" w:rsidRPr="0025250D">
        <w:rPr>
          <w:rFonts w:hint="cs"/>
          <w:rtl/>
        </w:rPr>
        <w:t>بدیل</w:t>
      </w:r>
      <w:r w:rsidRPr="0025250D">
        <w:rPr>
          <w:rFonts w:hint="cs"/>
          <w:rtl/>
        </w:rPr>
        <w:t xml:space="preserve"> (رویداد‌های بالقوه، مسائل، ایده‌ها، پیشنهادها، عدم قطعیت‌ها، </w:t>
      </w:r>
      <w:r w:rsidR="007A53FD" w:rsidRPr="0025250D">
        <w:rPr>
          <w:rFonts w:hint="cs"/>
          <w:rtl/>
        </w:rPr>
        <w:t>فرانامه</w:t>
      </w:r>
      <w:r w:rsidRPr="0025250D">
        <w:rPr>
          <w:rFonts w:hint="cs"/>
          <w:rtl/>
        </w:rPr>
        <w:t>‌ها، نشانگرها)</w:t>
      </w:r>
    </w:p>
    <w:p w14:paraId="1D45A3BC" w14:textId="77777777" w:rsidR="00537CC8" w:rsidRPr="0025250D" w:rsidRDefault="00537CC8" w:rsidP="00492C47">
      <w:pPr>
        <w:numPr>
          <w:ilvl w:val="0"/>
          <w:numId w:val="47"/>
        </w:numPr>
        <w:rPr>
          <w:rtl/>
        </w:rPr>
      </w:pPr>
      <w:r w:rsidRPr="0025250D">
        <w:rPr>
          <w:rFonts w:hint="cs"/>
          <w:rtl/>
        </w:rPr>
        <w:t>منابع اطلاعاتی (متخصصین، کتاب‌ها، مجلات دوره ای، مقالات، سازمان‌ها، وبسایت ها)</w:t>
      </w:r>
    </w:p>
    <w:p w14:paraId="13A71D12" w14:textId="430949DE" w:rsidR="00537CC8" w:rsidRPr="0025250D" w:rsidRDefault="00537CC8" w:rsidP="00537CC8">
      <w:pPr>
        <w:rPr>
          <w:rtl/>
        </w:rPr>
      </w:pPr>
      <w:r w:rsidRPr="0025250D">
        <w:rPr>
          <w:rtl/>
        </w:rPr>
        <w:t>ب</w:t>
      </w:r>
      <w:r w:rsidRPr="0025250D">
        <w:rPr>
          <w:rFonts w:hint="cs"/>
          <w:rtl/>
        </w:rPr>
        <w:t>ی</w:t>
      </w:r>
      <w:r w:rsidRPr="0025250D">
        <w:rPr>
          <w:rFonts w:hint="eastAsia"/>
          <w:rtl/>
        </w:rPr>
        <w:t>شاپ</w:t>
      </w:r>
      <w:r w:rsidRPr="0025250D">
        <w:rPr>
          <w:rFonts w:hint="cs"/>
          <w:rtl/>
        </w:rPr>
        <w:t xml:space="preserve"> برخی اوقات این </w:t>
      </w:r>
      <w:r w:rsidR="00B13F65" w:rsidRPr="0025250D">
        <w:rPr>
          <w:rFonts w:hint="cs"/>
          <w:rtl/>
        </w:rPr>
        <w:t>چارچوب</w:t>
      </w:r>
      <w:r w:rsidRPr="0025250D">
        <w:rPr>
          <w:rFonts w:hint="cs"/>
          <w:rtl/>
        </w:rPr>
        <w:t xml:space="preserve"> را با یک نام دیگر می‌خواند: </w:t>
      </w:r>
      <w:r w:rsidR="00E402E3" w:rsidRPr="0025250D">
        <w:rPr>
          <w:rtl/>
        </w:rPr>
        <w:t>«</w:t>
      </w:r>
      <w:r w:rsidR="00FB6A7E" w:rsidRPr="0025250D">
        <w:rPr>
          <w:rFonts w:hint="cs"/>
          <w:rtl/>
        </w:rPr>
        <w:t>پیش‌نگری</w:t>
      </w:r>
      <w:r w:rsidRPr="0025250D">
        <w:rPr>
          <w:rFonts w:hint="cs"/>
          <w:rtl/>
        </w:rPr>
        <w:t xml:space="preserve"> </w:t>
      </w:r>
      <w:r w:rsidR="00B13F65" w:rsidRPr="0025250D">
        <w:rPr>
          <w:rFonts w:hint="cs"/>
          <w:rtl/>
        </w:rPr>
        <w:t>چارچوب</w:t>
      </w:r>
      <w:r w:rsidRPr="0025250D">
        <w:rPr>
          <w:rFonts w:hint="cs"/>
          <w:rtl/>
        </w:rPr>
        <w:t xml:space="preserve"> مند</w:t>
      </w:r>
      <w:r w:rsidR="00E402E3" w:rsidRPr="0025250D">
        <w:rPr>
          <w:rtl/>
        </w:rPr>
        <w:t>»</w:t>
      </w:r>
      <w:r w:rsidRPr="0025250D">
        <w:rPr>
          <w:rFonts w:hint="cs"/>
          <w:rtl/>
        </w:rPr>
        <w:t xml:space="preserve">. در کارگاهی درمورد روش‌های </w:t>
      </w:r>
      <w:r w:rsidRPr="0025250D">
        <w:rPr>
          <w:rtl/>
        </w:rPr>
        <w:t>آینده‌نگاری</w:t>
      </w:r>
      <w:r w:rsidRPr="0025250D">
        <w:rPr>
          <w:rFonts w:hint="cs"/>
          <w:rtl/>
        </w:rPr>
        <w:t xml:space="preserve"> در پراگ</w:t>
      </w:r>
      <w:r w:rsidRPr="0025250D">
        <w:rPr>
          <w:vertAlign w:val="superscript"/>
          <w:rtl/>
        </w:rPr>
        <w:footnoteReference w:id="2475"/>
      </w:r>
      <w:r w:rsidRPr="0025250D">
        <w:rPr>
          <w:rFonts w:hint="cs"/>
          <w:rtl/>
        </w:rPr>
        <w:t xml:space="preserve">، او اشاره کرد که فرایند </w:t>
      </w:r>
      <w:r w:rsidRPr="0025250D">
        <w:rPr>
          <w:rtl/>
        </w:rPr>
        <w:t>آینده‌نگاری</w:t>
      </w:r>
      <w:r w:rsidRPr="0025250D">
        <w:rPr>
          <w:rFonts w:hint="cs"/>
          <w:rtl/>
        </w:rPr>
        <w:t xml:space="preserve"> همواره سبب دو نوع از </w:t>
      </w:r>
      <w:r w:rsidR="00FB6A7E" w:rsidRPr="0025250D">
        <w:rPr>
          <w:rFonts w:hint="cs"/>
          <w:rtl/>
        </w:rPr>
        <w:t>پیش‌نگری</w:t>
      </w:r>
      <w:r w:rsidRPr="0025250D">
        <w:rPr>
          <w:rFonts w:hint="cs"/>
          <w:rtl/>
        </w:rPr>
        <w:t xml:space="preserve"> می‌شود، پایه‌ای و </w:t>
      </w:r>
      <w:r w:rsidR="00563645" w:rsidRPr="0025250D">
        <w:rPr>
          <w:rFonts w:hint="cs"/>
          <w:rtl/>
        </w:rPr>
        <w:t>بدیل</w:t>
      </w:r>
      <w:r w:rsidRPr="0025250D">
        <w:rPr>
          <w:rFonts w:hint="cs"/>
          <w:rtl/>
        </w:rPr>
        <w:t xml:space="preserve">. او بنابراین گام‌های 3 و 4 از </w:t>
      </w:r>
      <w:r w:rsidR="00B13F65" w:rsidRPr="0025250D">
        <w:rPr>
          <w:rFonts w:hint="cs"/>
          <w:rtl/>
        </w:rPr>
        <w:t>چارچوب</w:t>
      </w:r>
      <w:r w:rsidRPr="0025250D">
        <w:rPr>
          <w:rFonts w:hint="cs"/>
          <w:rtl/>
        </w:rPr>
        <w:t xml:space="preserve"> تحقیق </w:t>
      </w:r>
      <w:r w:rsidRPr="0025250D">
        <w:rPr>
          <w:rtl/>
        </w:rPr>
        <w:t>آینده‌نگاری</w:t>
      </w:r>
      <w:r w:rsidRPr="0025250D">
        <w:rPr>
          <w:rFonts w:hint="cs"/>
          <w:rtl/>
        </w:rPr>
        <w:t xml:space="preserve"> </w:t>
      </w:r>
      <w:r w:rsidRPr="0025250D">
        <w:rPr>
          <w:rtl/>
        </w:rPr>
        <w:t>ه</w:t>
      </w:r>
      <w:r w:rsidRPr="0025250D">
        <w:rPr>
          <w:rFonts w:hint="cs"/>
          <w:rtl/>
        </w:rPr>
        <w:t>ی</w:t>
      </w:r>
      <w:r w:rsidRPr="0025250D">
        <w:rPr>
          <w:rFonts w:hint="eastAsia"/>
          <w:rtl/>
        </w:rPr>
        <w:t>وستون</w:t>
      </w:r>
      <w:r w:rsidRPr="0025250D">
        <w:rPr>
          <w:rFonts w:hint="cs"/>
          <w:rtl/>
        </w:rPr>
        <w:t xml:space="preserve"> را به عنوان انواع </w:t>
      </w:r>
      <w:r w:rsidR="00FB6A7E" w:rsidRPr="0025250D">
        <w:rPr>
          <w:rFonts w:hint="cs"/>
          <w:rtl/>
        </w:rPr>
        <w:t>پیش‌نگری</w:t>
      </w:r>
      <w:r w:rsidRPr="0025250D">
        <w:rPr>
          <w:rFonts w:hint="cs"/>
          <w:rtl/>
        </w:rPr>
        <w:t xml:space="preserve"> توصیف می‌کند و گام 5 می‌تواند مستند سازی این دو نوع در نظر گرفته شود.</w:t>
      </w:r>
    </w:p>
    <w:p w14:paraId="0D12F0BE" w14:textId="20A866E8" w:rsidR="00537CC8" w:rsidRPr="0025250D" w:rsidRDefault="00537CC8" w:rsidP="00537CC8">
      <w:pPr>
        <w:rPr>
          <w:rtl/>
        </w:rPr>
      </w:pPr>
      <w:r w:rsidRPr="0025250D">
        <w:rPr>
          <w:rFonts w:hint="cs"/>
          <w:rtl/>
        </w:rPr>
        <w:t xml:space="preserve">این نام مشخص می‌کند که </w:t>
      </w:r>
      <w:r w:rsidR="00FB6A7E" w:rsidRPr="0025250D">
        <w:rPr>
          <w:rFonts w:hint="cs"/>
          <w:rtl/>
        </w:rPr>
        <w:t>پیش‌نگری</w:t>
      </w:r>
      <w:r w:rsidRPr="0025250D">
        <w:rPr>
          <w:rFonts w:hint="cs"/>
          <w:rtl/>
        </w:rPr>
        <w:t xml:space="preserve"> برای آنچه متخصصین </w:t>
      </w:r>
      <w:r w:rsidRPr="0025250D">
        <w:rPr>
          <w:rtl/>
        </w:rPr>
        <w:t>آینده‌نگاری</w:t>
      </w:r>
      <w:r w:rsidRPr="0025250D">
        <w:rPr>
          <w:rFonts w:hint="cs"/>
          <w:rtl/>
        </w:rPr>
        <w:t xml:space="preserve"> انجام می‌دهند نقش اساسی دارد و پیش‌انگاری یک هدف کلیدی (یکی از چهار مورد، در مدل چهار </w:t>
      </w:r>
      <w:r w:rsidRPr="0025250D">
        <w:t>P</w:t>
      </w:r>
      <w:r w:rsidRPr="0025250D">
        <w:rPr>
          <w:rFonts w:hint="cs"/>
          <w:rtl/>
        </w:rPr>
        <w:t xml:space="preserve">) در تحقیق </w:t>
      </w:r>
      <w:r w:rsidRPr="0025250D">
        <w:rPr>
          <w:rtl/>
        </w:rPr>
        <w:t>آینده‌نگاری</w:t>
      </w:r>
      <w:r w:rsidRPr="0025250D">
        <w:rPr>
          <w:rFonts w:hint="cs"/>
          <w:rtl/>
        </w:rPr>
        <w:t xml:space="preserve"> می‌باشد. از نظر ما، این </w:t>
      </w:r>
      <w:r w:rsidR="00B13F65" w:rsidRPr="0025250D">
        <w:rPr>
          <w:rFonts w:hint="cs"/>
          <w:rtl/>
        </w:rPr>
        <w:t>چارچوب</w:t>
      </w:r>
      <w:r w:rsidRPr="0025250D">
        <w:rPr>
          <w:rFonts w:hint="cs"/>
          <w:rtl/>
        </w:rPr>
        <w:t xml:space="preserve"> همچنین محقق را به مشارکت در ارزیابی‌های احتمالی کمّی و وقتی این احتمالات بالا باشند، به انجام پیش‌بینی‌های خاص، با آستانه‌های مطئمن، برای هر یک از </w:t>
      </w:r>
      <w:r w:rsidR="00FB6A7E" w:rsidRPr="0025250D">
        <w:rPr>
          <w:rFonts w:hint="cs"/>
          <w:rtl/>
        </w:rPr>
        <w:t>پیش‌نگری</w:t>
      </w:r>
      <w:r w:rsidRPr="0025250D">
        <w:rPr>
          <w:rFonts w:hint="cs"/>
          <w:rtl/>
        </w:rPr>
        <w:t>‌ها دعوت</w:t>
      </w:r>
      <w:r w:rsidRPr="0025250D">
        <w:rPr>
          <w:rtl/>
        </w:rPr>
        <w:t xml:space="preserve"> می‌</w:t>
      </w:r>
      <w:r w:rsidRPr="0025250D">
        <w:rPr>
          <w:rFonts w:hint="cs"/>
          <w:rtl/>
        </w:rPr>
        <w:t xml:space="preserve">کند. به بیان ما، </w:t>
      </w:r>
      <w:r w:rsidR="00B13F65" w:rsidRPr="0025250D">
        <w:rPr>
          <w:rFonts w:hint="cs"/>
          <w:rtl/>
        </w:rPr>
        <w:t>چارچوب</w:t>
      </w:r>
      <w:r w:rsidRPr="0025250D">
        <w:rPr>
          <w:rFonts w:hint="cs"/>
          <w:rtl/>
        </w:rPr>
        <w:t xml:space="preserve"> </w:t>
      </w:r>
      <w:r w:rsidRPr="0025250D">
        <w:rPr>
          <w:rtl/>
        </w:rPr>
        <w:t>آینده‌نگاری</w:t>
      </w:r>
      <w:r w:rsidRPr="0025250D">
        <w:rPr>
          <w:rFonts w:hint="cs"/>
          <w:rtl/>
        </w:rPr>
        <w:t xml:space="preserve"> تحقیقاتی </w:t>
      </w:r>
      <w:r w:rsidRPr="0025250D">
        <w:rPr>
          <w:rtl/>
        </w:rPr>
        <w:t>ه</w:t>
      </w:r>
      <w:r w:rsidRPr="0025250D">
        <w:rPr>
          <w:rFonts w:hint="cs"/>
          <w:rtl/>
        </w:rPr>
        <w:t>ی</w:t>
      </w:r>
      <w:r w:rsidRPr="0025250D">
        <w:rPr>
          <w:rFonts w:hint="eastAsia"/>
          <w:rtl/>
        </w:rPr>
        <w:t>وستون</w:t>
      </w:r>
      <w:r w:rsidRPr="0025250D">
        <w:rPr>
          <w:rFonts w:hint="cs"/>
          <w:rtl/>
        </w:rPr>
        <w:t xml:space="preserve"> با یادگیری (ارزیابی شرایط فعلی) آغاز می‌شود، سپس به پیش‌انگاری (</w:t>
      </w:r>
      <w:r w:rsidRPr="0025250D">
        <w:rPr>
          <w:rtl/>
        </w:rPr>
        <w:t>آینده‌نگاری</w:t>
      </w:r>
      <w:r w:rsidRPr="0025250D">
        <w:rPr>
          <w:rFonts w:hint="cs"/>
          <w:rtl/>
        </w:rPr>
        <w:t xml:space="preserve"> موارد محتمل) و سپس به نوآوری (آینده‌های </w:t>
      </w:r>
      <w:r w:rsidR="00563645" w:rsidRPr="0025250D">
        <w:rPr>
          <w:rFonts w:hint="cs"/>
          <w:rtl/>
        </w:rPr>
        <w:t>بدیل</w:t>
      </w:r>
      <w:r w:rsidRPr="0025250D">
        <w:rPr>
          <w:rFonts w:hint="cs"/>
          <w:rtl/>
        </w:rPr>
        <w:t xml:space="preserve"> ممکن) می‌رسد</w:t>
      </w:r>
      <w:r w:rsidR="008D6F97" w:rsidRPr="0025250D">
        <w:rPr>
          <w:rtl/>
        </w:rPr>
        <w:t xml:space="preserve">؛ </w:t>
      </w:r>
      <w:r w:rsidRPr="0025250D">
        <w:rPr>
          <w:rFonts w:hint="cs"/>
          <w:rtl/>
        </w:rPr>
        <w:t xml:space="preserve">بنابراین این نیز یک </w:t>
      </w:r>
      <w:r w:rsidR="00B13F65" w:rsidRPr="0025250D">
        <w:rPr>
          <w:rFonts w:hint="cs"/>
          <w:rtl/>
        </w:rPr>
        <w:t>چارچوب</w:t>
      </w:r>
      <w:r w:rsidRPr="0025250D">
        <w:rPr>
          <w:rFonts w:hint="cs"/>
          <w:rtl/>
        </w:rPr>
        <w:t xml:space="preserve"> </w:t>
      </w:r>
      <w:r w:rsidRPr="0025250D">
        <w:t>LAIS</w:t>
      </w:r>
      <w:r w:rsidRPr="0025250D">
        <w:rPr>
          <w:rFonts w:hint="cs"/>
          <w:rtl/>
        </w:rPr>
        <w:t xml:space="preserve"> محور است که ما آن را به‌شدت توصیه می‌نماییم.</w:t>
      </w:r>
    </w:p>
    <w:p w14:paraId="2AAA5B27" w14:textId="7156EA67" w:rsidR="00537CC8" w:rsidRPr="0025250D" w:rsidRDefault="00537CC8" w:rsidP="00537CC8">
      <w:pPr>
        <w:rPr>
          <w:rtl/>
        </w:rPr>
      </w:pPr>
      <w:r w:rsidRPr="0025250D">
        <w:rPr>
          <w:rFonts w:hint="cs"/>
          <w:rtl/>
        </w:rPr>
        <w:t xml:space="preserve">هدف این </w:t>
      </w:r>
      <w:r w:rsidR="00B13F65" w:rsidRPr="0025250D">
        <w:rPr>
          <w:rFonts w:hint="cs"/>
          <w:rtl/>
        </w:rPr>
        <w:t>چارچوب</w:t>
      </w:r>
      <w:r w:rsidRPr="0025250D">
        <w:rPr>
          <w:rFonts w:hint="cs"/>
          <w:rtl/>
        </w:rPr>
        <w:t xml:space="preserve"> این است که یک درون داد برای </w:t>
      </w:r>
      <w:r w:rsidR="00701E03" w:rsidRPr="0025250D">
        <w:rPr>
          <w:rFonts w:hint="cs"/>
          <w:rtl/>
        </w:rPr>
        <w:t>راهبرد</w:t>
      </w:r>
      <w:r w:rsidRPr="0025250D">
        <w:rPr>
          <w:rFonts w:hint="cs"/>
          <w:rtl/>
        </w:rPr>
        <w:t xml:space="preserve"> باشد؛ یک تعریف کلاسیک از کار </w:t>
      </w:r>
      <w:r w:rsidRPr="0025250D">
        <w:rPr>
          <w:rtl/>
        </w:rPr>
        <w:t>آینده‌نگاری</w:t>
      </w:r>
      <w:r w:rsidRPr="0025250D">
        <w:rPr>
          <w:rFonts w:hint="cs"/>
          <w:rtl/>
        </w:rPr>
        <w:t xml:space="preserve">. برای تبدیل آن به یک </w:t>
      </w:r>
      <w:r w:rsidR="00B13F65" w:rsidRPr="0025250D">
        <w:rPr>
          <w:rFonts w:hint="cs"/>
          <w:rtl/>
        </w:rPr>
        <w:t>چارچوب</w:t>
      </w:r>
      <w:r w:rsidRPr="0025250D">
        <w:rPr>
          <w:rFonts w:hint="cs"/>
          <w:rtl/>
        </w:rPr>
        <w:t xml:space="preserve">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مدل </w:t>
      </w:r>
      <w:r w:rsidRPr="0025250D">
        <w:t>LAIS</w:t>
      </w:r>
      <w:r w:rsidRPr="0025250D">
        <w:rPr>
          <w:rFonts w:hint="cs"/>
          <w:rtl/>
        </w:rPr>
        <w:t xml:space="preserve"> ما سه گام اضافی</w:t>
      </w:r>
      <w:r w:rsidR="00397E18" w:rsidRPr="0025250D">
        <w:rPr>
          <w:rFonts w:hint="cs"/>
          <w:rtl/>
        </w:rPr>
        <w:t xml:space="preserve"> شامل</w:t>
      </w:r>
      <w:r w:rsidRPr="0025250D">
        <w:rPr>
          <w:rFonts w:hint="cs"/>
          <w:rtl/>
        </w:rPr>
        <w:t xml:space="preserve"> در نظر گرفتن پیامدهای </w:t>
      </w:r>
      <w:r w:rsidR="00701E03" w:rsidRPr="0025250D">
        <w:rPr>
          <w:rFonts w:hint="cs"/>
          <w:rtl/>
        </w:rPr>
        <w:t>راهبردی</w:t>
      </w:r>
      <w:r w:rsidRPr="0025250D">
        <w:rPr>
          <w:rFonts w:hint="cs"/>
          <w:rtl/>
        </w:rPr>
        <w:t xml:space="preserve"> مثبت و منفی (آینده‌های مرجح و قابل اجتناب، از طریق تحلیل </w:t>
      </w:r>
      <w:r w:rsidRPr="0025250D">
        <w:t>ADOR</w:t>
      </w:r>
      <w:r w:rsidRPr="0025250D">
        <w:rPr>
          <w:rFonts w:hint="cs"/>
          <w:rtl/>
        </w:rPr>
        <w:t xml:space="preserve"> یا هر روش دیگری) و سپس </w:t>
      </w:r>
      <w:r w:rsidR="00397E18" w:rsidRPr="0025250D">
        <w:rPr>
          <w:rtl/>
        </w:rPr>
        <w:t>توص</w:t>
      </w:r>
      <w:r w:rsidR="00397E18" w:rsidRPr="0025250D">
        <w:rPr>
          <w:rFonts w:hint="cs"/>
          <w:rtl/>
        </w:rPr>
        <w:t>ی</w:t>
      </w:r>
      <w:r w:rsidR="00397E18" w:rsidRPr="0025250D">
        <w:rPr>
          <w:rFonts w:hint="eastAsia"/>
          <w:rtl/>
        </w:rPr>
        <w:t>ه</w:t>
      </w:r>
      <w:r w:rsidR="00397E18" w:rsidRPr="0025250D">
        <w:rPr>
          <w:rtl/>
        </w:rPr>
        <w:t xml:space="preserve"> ها</w:t>
      </w:r>
      <w:r w:rsidR="00397E18" w:rsidRPr="0025250D">
        <w:rPr>
          <w:rFonts w:hint="cs"/>
          <w:rtl/>
        </w:rPr>
        <w:t>ی</w:t>
      </w:r>
      <w:r w:rsidR="00397E18" w:rsidRPr="0025250D">
        <w:rPr>
          <w:rtl/>
        </w:rPr>
        <w:t xml:space="preserve"> </w:t>
      </w:r>
      <w:r w:rsidR="00397E18" w:rsidRPr="0025250D">
        <w:rPr>
          <w:rFonts w:hint="cs"/>
          <w:rtl/>
        </w:rPr>
        <w:t>راهبردی اولیه</w:t>
      </w:r>
      <w:r w:rsidRPr="0025250D">
        <w:rPr>
          <w:rFonts w:hint="cs"/>
          <w:rtl/>
        </w:rPr>
        <w:t xml:space="preserve"> (تشخیص مسئله، هدایت سیاست‌ها، هماهنگ سازی برنامه‌های عملی) را به آن می‌افزای</w:t>
      </w:r>
      <w:r w:rsidR="00397E18" w:rsidRPr="0025250D">
        <w:rPr>
          <w:rFonts w:hint="cs"/>
          <w:rtl/>
        </w:rPr>
        <w:t>د</w:t>
      </w:r>
      <w:r w:rsidRPr="0025250D">
        <w:rPr>
          <w:rFonts w:hint="cs"/>
          <w:rtl/>
        </w:rPr>
        <w:t xml:space="preserve">. ارزیابی شرایط فعلی (گام 2) همچنین شامل ثبت دورنمای دیگر حدس‌ها و </w:t>
      </w:r>
      <w:r w:rsidR="00F50EB4" w:rsidRPr="0025250D">
        <w:rPr>
          <w:rFonts w:hint="cs"/>
          <w:rtl/>
        </w:rPr>
        <w:t>سرمایه‌گذاری</w:t>
      </w:r>
      <w:r w:rsidRPr="0025250D">
        <w:rPr>
          <w:rFonts w:hint="cs"/>
          <w:rtl/>
        </w:rPr>
        <w:t xml:space="preserve">‌های </w:t>
      </w:r>
      <w:r w:rsidR="00701E03" w:rsidRPr="0025250D">
        <w:rPr>
          <w:rFonts w:hint="cs"/>
          <w:rtl/>
        </w:rPr>
        <w:t>راهبرد</w:t>
      </w:r>
      <w:r w:rsidRPr="0025250D">
        <w:rPr>
          <w:rFonts w:hint="cs"/>
          <w:rtl/>
        </w:rPr>
        <w:t xml:space="preserve"> فعلی می‌شود. </w:t>
      </w:r>
      <w:r w:rsidRPr="0025250D">
        <w:rPr>
          <w:rtl/>
        </w:rPr>
        <w:t>از سو</w:t>
      </w:r>
      <w:r w:rsidRPr="0025250D">
        <w:rPr>
          <w:rFonts w:hint="cs"/>
          <w:rtl/>
        </w:rPr>
        <w:t>ی</w:t>
      </w:r>
      <w:r w:rsidRPr="0025250D">
        <w:rPr>
          <w:rtl/>
        </w:rPr>
        <w:t xml:space="preserve"> د</w:t>
      </w:r>
      <w:r w:rsidRPr="0025250D">
        <w:rPr>
          <w:rFonts w:hint="cs"/>
          <w:rtl/>
        </w:rPr>
        <w:t>ی</w:t>
      </w:r>
      <w:r w:rsidRPr="0025250D">
        <w:rPr>
          <w:rFonts w:hint="eastAsia"/>
          <w:rtl/>
        </w:rPr>
        <w:t>گر</w:t>
      </w:r>
      <w:r w:rsidRPr="0025250D">
        <w:rPr>
          <w:rFonts w:hint="cs"/>
          <w:rtl/>
        </w:rPr>
        <w:t xml:space="preserve">، این مدل می‌تواند در هر </w:t>
      </w:r>
      <w:r w:rsidR="00B13F65" w:rsidRPr="0025250D">
        <w:rPr>
          <w:rFonts w:hint="cs"/>
          <w:rtl/>
        </w:rPr>
        <w:t>چارچوب</w:t>
      </w:r>
      <w:r w:rsidRPr="0025250D">
        <w:rPr>
          <w:rFonts w:hint="cs"/>
          <w:rtl/>
        </w:rPr>
        <w:t xml:space="preserve"> تحلیل </w:t>
      </w:r>
      <w:r w:rsidR="00701E03" w:rsidRPr="0025250D">
        <w:rPr>
          <w:rFonts w:hint="cs"/>
          <w:rtl/>
        </w:rPr>
        <w:t>راهبرد</w:t>
      </w:r>
      <w:r w:rsidRPr="0025250D">
        <w:rPr>
          <w:rFonts w:hint="cs"/>
          <w:rtl/>
        </w:rPr>
        <w:t xml:space="preserve"> دیگر، در یک حلقه انجام، برای ارائه یک روش </w:t>
      </w:r>
      <w:r w:rsidRPr="0025250D">
        <w:rPr>
          <w:rtl/>
        </w:rPr>
        <w:t>آینده‌نگاری</w:t>
      </w:r>
      <w:r w:rsidRPr="0025250D">
        <w:rPr>
          <w:rFonts w:hint="cs"/>
          <w:rtl/>
        </w:rPr>
        <w:t xml:space="preserve"> استوار استفاده شود.</w:t>
      </w:r>
    </w:p>
    <w:p w14:paraId="6477AE7F" w14:textId="2192E464" w:rsidR="00537CC8" w:rsidRPr="0025250D" w:rsidRDefault="00537CC8" w:rsidP="00537CC8">
      <w:pPr>
        <w:rPr>
          <w:b/>
          <w:bCs/>
          <w:rtl/>
        </w:rPr>
      </w:pPr>
      <w:r w:rsidRPr="0025250D">
        <w:rPr>
          <w:rFonts w:hint="cs"/>
          <w:b/>
          <w:bCs/>
          <w:rtl/>
        </w:rPr>
        <w:t xml:space="preserve">مثالی از </w:t>
      </w:r>
      <w:r w:rsidR="00B13F65" w:rsidRPr="0025250D">
        <w:rPr>
          <w:rFonts w:hint="cs"/>
          <w:b/>
          <w:bCs/>
          <w:rtl/>
        </w:rPr>
        <w:t>چارچوب</w:t>
      </w:r>
      <w:r w:rsidRPr="0025250D">
        <w:rPr>
          <w:rFonts w:hint="cs"/>
          <w:b/>
          <w:bCs/>
          <w:rtl/>
        </w:rPr>
        <w:t xml:space="preserve"> تحقیقاتی </w:t>
      </w:r>
      <w:r w:rsidRPr="0025250D">
        <w:rPr>
          <w:b/>
          <w:bCs/>
          <w:rtl/>
        </w:rPr>
        <w:t>آینده‌نگاری</w:t>
      </w:r>
      <w:r w:rsidRPr="0025250D">
        <w:rPr>
          <w:rFonts w:hint="cs"/>
          <w:b/>
          <w:bCs/>
          <w:rtl/>
        </w:rPr>
        <w:t>: شبکه‌های آزادراه خودکار زیرزمینی</w:t>
      </w:r>
    </w:p>
    <w:p w14:paraId="5E6E3B57" w14:textId="30E1830E" w:rsidR="00537CC8" w:rsidRPr="0025250D" w:rsidRDefault="00537CC8" w:rsidP="00537CC8">
      <w:pPr>
        <w:rPr>
          <w:rtl/>
        </w:rPr>
      </w:pPr>
      <w:r w:rsidRPr="0025250D">
        <w:rPr>
          <w:rFonts w:hint="cs"/>
          <w:rtl/>
        </w:rPr>
        <w:t xml:space="preserve">در این دوره کارشناسی ارشد </w:t>
      </w:r>
      <w:r w:rsidRPr="0025250D">
        <w:rPr>
          <w:rtl/>
        </w:rPr>
        <w:t>آینده‌نگاری</w:t>
      </w:r>
      <w:r w:rsidRPr="0025250D">
        <w:rPr>
          <w:rFonts w:hint="cs"/>
          <w:rtl/>
        </w:rPr>
        <w:t xml:space="preserve"> در </w:t>
      </w:r>
      <w:r w:rsidRPr="0025250D">
        <w:rPr>
          <w:rtl/>
        </w:rPr>
        <w:t>ه</w:t>
      </w:r>
      <w:r w:rsidRPr="0025250D">
        <w:rPr>
          <w:rFonts w:hint="cs"/>
          <w:rtl/>
        </w:rPr>
        <w:t>ی</w:t>
      </w:r>
      <w:r w:rsidRPr="0025250D">
        <w:rPr>
          <w:rFonts w:hint="eastAsia"/>
          <w:rtl/>
        </w:rPr>
        <w:t>وستون</w:t>
      </w:r>
      <w:r w:rsidRPr="0025250D">
        <w:rPr>
          <w:rFonts w:hint="cs"/>
          <w:rtl/>
        </w:rPr>
        <w:t xml:space="preserve"> در سال 2005، </w:t>
      </w:r>
      <w:r w:rsidRPr="0025250D">
        <w:rPr>
          <w:rtl/>
        </w:rPr>
        <w:t>جان</w:t>
      </w:r>
      <w:r w:rsidR="00B01789" w:rsidRPr="0025250D">
        <w:rPr>
          <w:rFonts w:hint="cs"/>
          <w:rtl/>
        </w:rPr>
        <w:t xml:space="preserve"> اسمارت</w:t>
      </w:r>
      <w:r w:rsidRPr="0025250D">
        <w:rPr>
          <w:rFonts w:hint="cs"/>
          <w:rtl/>
        </w:rPr>
        <w:t xml:space="preserve"> این </w:t>
      </w:r>
      <w:r w:rsidR="00B13F65" w:rsidRPr="0025250D">
        <w:rPr>
          <w:rFonts w:hint="cs"/>
          <w:rtl/>
        </w:rPr>
        <w:t>چارچوب</w:t>
      </w:r>
      <w:r w:rsidRPr="0025250D">
        <w:rPr>
          <w:rFonts w:hint="cs"/>
          <w:rtl/>
        </w:rPr>
        <w:t xml:space="preserve"> تحقیقاتی را برای یک مسئله </w:t>
      </w:r>
      <w:r w:rsidR="00FB6A7E" w:rsidRPr="0025250D">
        <w:rPr>
          <w:rFonts w:hint="cs"/>
          <w:rtl/>
        </w:rPr>
        <w:t>پیش‌نگری</w:t>
      </w:r>
      <w:r w:rsidRPr="0025250D">
        <w:rPr>
          <w:rFonts w:hint="cs"/>
          <w:rtl/>
        </w:rPr>
        <w:t xml:space="preserve"> بلند مدت </w:t>
      </w:r>
      <w:r w:rsidRPr="0025250D">
        <w:rPr>
          <w:rFonts w:cs="Times New Roman" w:hint="cs"/>
          <w:rtl/>
        </w:rPr>
        <w:t>–</w:t>
      </w:r>
      <w:r w:rsidRPr="0025250D">
        <w:rPr>
          <w:rFonts w:hint="cs"/>
          <w:rtl/>
        </w:rPr>
        <w:t xml:space="preserve"> یعنی این پرسش که آیا و چه زمانی شبکه</w:t>
      </w:r>
      <w:r w:rsidRPr="0025250D">
        <w:rPr>
          <w:rtl/>
        </w:rPr>
        <w:t xml:space="preserve">‌های </w:t>
      </w:r>
      <w:r w:rsidRPr="0025250D">
        <w:rPr>
          <w:rFonts w:hint="cs"/>
          <w:rtl/>
        </w:rPr>
        <w:t>آزادراه</w:t>
      </w:r>
      <w:r w:rsidRPr="0025250D">
        <w:rPr>
          <w:rtl/>
        </w:rPr>
        <w:t xml:space="preserve"> </w:t>
      </w:r>
      <w:r w:rsidRPr="0025250D">
        <w:rPr>
          <w:rFonts w:hint="cs"/>
          <w:rtl/>
        </w:rPr>
        <w:t>خودکار</w:t>
      </w:r>
      <w:r w:rsidRPr="0025250D">
        <w:rPr>
          <w:rtl/>
        </w:rPr>
        <w:t xml:space="preserve"> </w:t>
      </w:r>
      <w:r w:rsidRPr="0025250D">
        <w:rPr>
          <w:rFonts w:hint="cs"/>
          <w:rtl/>
        </w:rPr>
        <w:t xml:space="preserve">زیرزمینی می‌توانند به شهر‌های برتر ما وارد شوند </w:t>
      </w:r>
      <w:r w:rsidRPr="0025250D">
        <w:rPr>
          <w:rFonts w:cs="Times New Roman" w:hint="cs"/>
          <w:rtl/>
        </w:rPr>
        <w:t>–</w:t>
      </w:r>
      <w:r w:rsidRPr="0025250D">
        <w:rPr>
          <w:rFonts w:hint="cs"/>
          <w:rtl/>
        </w:rPr>
        <w:t xml:space="preserve"> به کار گرفت. او از این </w:t>
      </w:r>
      <w:r w:rsidR="00B13F65" w:rsidRPr="0025250D">
        <w:rPr>
          <w:rFonts w:hint="cs"/>
          <w:rtl/>
        </w:rPr>
        <w:t>چارچوب</w:t>
      </w:r>
      <w:r w:rsidRPr="0025250D">
        <w:rPr>
          <w:rFonts w:hint="cs"/>
          <w:rtl/>
        </w:rPr>
        <w:t xml:space="preserve"> برای بحث در مورد این که با آغاز از دهه 2030، ثروتمند‌ترین شهر‌های ما احتمالا استفاده از </w:t>
      </w:r>
      <w:r w:rsidR="008D6F97" w:rsidRPr="0025250D">
        <w:rPr>
          <w:rFonts w:hint="cs"/>
          <w:rtl/>
        </w:rPr>
        <w:t>سامانه‌</w:t>
      </w:r>
      <w:r w:rsidRPr="0025250D">
        <w:rPr>
          <w:rFonts w:hint="cs"/>
          <w:rtl/>
        </w:rPr>
        <w:t>‌های حفاری و ساخت و ساز خودکار برای آغاز ساخت شبکه‌های آزادراه</w:t>
      </w:r>
      <w:r w:rsidRPr="0025250D">
        <w:rPr>
          <w:rtl/>
        </w:rPr>
        <w:t xml:space="preserve"> </w:t>
      </w:r>
      <w:r w:rsidRPr="0025250D">
        <w:rPr>
          <w:rFonts w:hint="cs"/>
          <w:rtl/>
        </w:rPr>
        <w:t xml:space="preserve">زیرزمینی و پارکینگ‌های زیرزمینی را مفید و قابل استطاعت خواهند یافت، استفاده کرد. او پیشنهاد کرد که آن‌ها می‌توانند این کار را با استفاده از </w:t>
      </w:r>
      <w:r w:rsidRPr="0025250D">
        <w:rPr>
          <w:rtl/>
        </w:rPr>
        <w:t>دستگاه</w:t>
      </w:r>
      <w:r w:rsidRPr="0025250D">
        <w:rPr>
          <w:rFonts w:hint="cs"/>
          <w:rtl/>
        </w:rPr>
        <w:t xml:space="preserve">‌های </w:t>
      </w:r>
      <w:r w:rsidRPr="0025250D">
        <w:rPr>
          <w:rtl/>
        </w:rPr>
        <w:t>حفار</w:t>
      </w:r>
      <w:r w:rsidRPr="0025250D">
        <w:rPr>
          <w:rFonts w:hint="cs"/>
          <w:rtl/>
        </w:rPr>
        <w:t>ی</w:t>
      </w:r>
      <w:r w:rsidRPr="0025250D">
        <w:rPr>
          <w:rtl/>
        </w:rPr>
        <w:t xml:space="preserve"> تونل</w:t>
      </w:r>
      <w:r w:rsidRPr="0025250D">
        <w:rPr>
          <w:vertAlign w:val="superscript"/>
          <w:rtl/>
        </w:rPr>
        <w:footnoteReference w:id="2476"/>
      </w:r>
      <w:r w:rsidRPr="0025250D">
        <w:rPr>
          <w:rFonts w:hint="cs"/>
          <w:rtl/>
        </w:rPr>
        <w:t xml:space="preserve"> پیشرفته (</w:t>
      </w:r>
      <w:r w:rsidRPr="0025250D">
        <w:t>TBM</w:t>
      </w:r>
      <w:r w:rsidRPr="0025250D">
        <w:rPr>
          <w:rFonts w:hint="cs"/>
          <w:rtl/>
        </w:rPr>
        <w:t xml:space="preserve"> ها) و کامیون‌های رباتیک شهری برای حذف پس</w:t>
      </w:r>
      <w:r w:rsidR="00B01789" w:rsidRPr="0025250D">
        <w:rPr>
          <w:rFonts w:hint="cs"/>
          <w:rtl/>
        </w:rPr>
        <w:t>‌</w:t>
      </w:r>
      <w:r w:rsidRPr="0025250D">
        <w:rPr>
          <w:rFonts w:hint="cs"/>
          <w:rtl/>
        </w:rPr>
        <w:t>مانده‌های حفاری، به ویژه در شب، وقتی که از آزاد راه‌ها کم‌تر استفاده می‌شوند، انجام دهند. چنین شبکه‌های زیرزمینی رو به رشد</w:t>
      </w:r>
      <w:r w:rsidR="00B01789" w:rsidRPr="0025250D">
        <w:rPr>
          <w:rFonts w:hint="cs"/>
          <w:rtl/>
        </w:rPr>
        <w:t>ی</w:t>
      </w:r>
      <w:r w:rsidRPr="0025250D">
        <w:rPr>
          <w:rFonts w:hint="cs"/>
          <w:rtl/>
        </w:rPr>
        <w:t xml:space="preserve"> امکان افزایش تراکم، افزایش مسافرت سریع مبتنی بر مالیات، مبارزه بهتر با راه بندان‌ها و بازپس گیری برخی از زمین‌های ملکی گرانقیمت برای استفاده‌های ارزشمند‌تر، از جمله زندگی، پیاده روی، دوچرخه سواری و فضای سبز را برای شهر‌ها فراهم می‌کنند. به عنوان روندهای پس زمینه</w:t>
      </w:r>
      <w:r w:rsidR="00B01789" w:rsidRPr="0025250D">
        <w:rPr>
          <w:rFonts w:hint="cs"/>
          <w:rtl/>
        </w:rPr>
        <w:t>‌</w:t>
      </w:r>
      <w:r w:rsidRPr="0025250D">
        <w:rPr>
          <w:rFonts w:hint="cs"/>
          <w:rtl/>
        </w:rPr>
        <w:t xml:space="preserve">ای، او به ظهور وسایل نقلیه بدون انتشار گازهای مضر (لازم برای تونل ها) و تعداد </w:t>
      </w:r>
      <w:r w:rsidRPr="0025250D">
        <w:t>TBM</w:t>
      </w:r>
      <w:r w:rsidRPr="0025250D">
        <w:rPr>
          <w:rFonts w:hint="cs"/>
          <w:rtl/>
        </w:rPr>
        <w:t>‌های در حال کار در جهانی</w:t>
      </w:r>
      <w:r w:rsidR="00B01789" w:rsidRPr="0025250D">
        <w:rPr>
          <w:rFonts w:hint="cs"/>
          <w:rtl/>
        </w:rPr>
        <w:t xml:space="preserve">  با</w:t>
      </w:r>
      <w:r w:rsidRPr="0025250D">
        <w:rPr>
          <w:rFonts w:hint="cs"/>
          <w:rtl/>
        </w:rPr>
        <w:t xml:space="preserve"> یک منحنی </w:t>
      </w:r>
      <w:r w:rsidR="00B01789" w:rsidRPr="0025250D">
        <w:rPr>
          <w:rFonts w:hint="cs"/>
          <w:rtl/>
        </w:rPr>
        <w:t xml:space="preserve">که </w:t>
      </w:r>
      <w:r w:rsidRPr="0025250D">
        <w:rPr>
          <w:rFonts w:hint="cs"/>
          <w:rtl/>
        </w:rPr>
        <w:t xml:space="preserve">هر سه ساله </w:t>
      </w:r>
      <w:r w:rsidR="00B01789" w:rsidRPr="0025250D">
        <w:rPr>
          <w:rFonts w:hint="cs"/>
          <w:rtl/>
        </w:rPr>
        <w:t xml:space="preserve">دوبرابر می شد، </w:t>
      </w:r>
      <w:r w:rsidRPr="0025250D">
        <w:rPr>
          <w:rFonts w:hint="cs"/>
          <w:rtl/>
        </w:rPr>
        <w:t>توجه کرد.</w:t>
      </w:r>
    </w:p>
    <w:p w14:paraId="45E76673" w14:textId="77777777" w:rsidR="00537CC8" w:rsidRPr="0025250D" w:rsidRDefault="00537CC8" w:rsidP="003D3E0A">
      <w:pPr>
        <w:jc w:val="center"/>
      </w:pPr>
      <w:r w:rsidRPr="0025250D">
        <w:rPr>
          <w:noProof/>
          <w:rtl/>
          <w:lang w:bidi="ar-SA"/>
        </w:rPr>
        <w:drawing>
          <wp:inline distT="0" distB="0" distL="0" distR="0" wp14:anchorId="7DD92E6E" wp14:editId="4A5CFF08">
            <wp:extent cx="1767205" cy="1535502"/>
            <wp:effectExtent l="0" t="0" r="4445" b="7620"/>
            <wp:docPr id="144" name="Picture 144" descr="D:\کار\مستقل\3 ( ترجمه ی دانشگاه تهران  )\Introduction to Foresight\part6\42-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کار\مستقل\3 ( ترجمه ی دانشگاه تهران  )\Introduction to Foresight\part6\42-new.png"/>
                    <pic:cNvPicPr>
                      <a:picLocks noChangeAspect="1" noChangeArrowheads="1"/>
                    </pic:cNvPicPr>
                  </pic:nvPicPr>
                  <pic:blipFill rotWithShape="1">
                    <a:blip r:embed="rId234" cstate="screen">
                      <a:extLst>
                        <a:ext uri="{BEBA8EAE-BF5A-486C-A8C5-ECC9F3942E4B}">
                          <a14:imgProps xmlns:a14="http://schemas.microsoft.com/office/drawing/2010/main">
                            <a14:imgLayer r:embed="rId235">
                              <a14:imgEffect>
                                <a14:saturation sat="0"/>
                              </a14:imgEffect>
                            </a14:imgLayer>
                          </a14:imgProps>
                        </a:ext>
                        <a:ext uri="{28A0092B-C50C-407E-A947-70E740481C1C}">
                          <a14:useLocalDpi xmlns:a14="http://schemas.microsoft.com/office/drawing/2010/main"/>
                        </a:ext>
                      </a:extLst>
                    </a:blip>
                    <a:srcRect/>
                    <a:stretch/>
                  </pic:blipFill>
                  <pic:spPr bwMode="auto">
                    <a:xfrm>
                      <a:off x="0" y="0"/>
                      <a:ext cx="1772323" cy="1539949"/>
                    </a:xfrm>
                    <a:prstGeom prst="rect">
                      <a:avLst/>
                    </a:prstGeom>
                    <a:noFill/>
                    <a:ln>
                      <a:noFill/>
                    </a:ln>
                    <a:extLst>
                      <a:ext uri="{53640926-AAD7-44D8-BBD7-CCE9431645EC}">
                        <a14:shadowObscured xmlns:a14="http://schemas.microsoft.com/office/drawing/2010/main"/>
                      </a:ext>
                    </a:extLst>
                  </pic:spPr>
                </pic:pic>
              </a:graphicData>
            </a:graphic>
          </wp:inline>
        </w:drawing>
      </w:r>
    </w:p>
    <w:p w14:paraId="59522E8E" w14:textId="77777777" w:rsidR="00537CC8" w:rsidRPr="0025250D" w:rsidRDefault="00537CC8" w:rsidP="003D3E0A">
      <w:pPr>
        <w:jc w:val="center"/>
        <w:rPr>
          <w:rtl/>
        </w:rPr>
      </w:pPr>
      <w:r w:rsidRPr="0025250D">
        <w:rPr>
          <w:rtl/>
        </w:rPr>
        <w:t>دستگاه حفار</w:t>
      </w:r>
      <w:r w:rsidRPr="0025250D">
        <w:rPr>
          <w:rFonts w:hint="cs"/>
          <w:rtl/>
        </w:rPr>
        <w:t>ی</w:t>
      </w:r>
      <w:r w:rsidRPr="0025250D">
        <w:rPr>
          <w:rtl/>
        </w:rPr>
        <w:t xml:space="preserve"> تونل</w:t>
      </w:r>
    </w:p>
    <w:p w14:paraId="40D0E330" w14:textId="33356399" w:rsidR="00537CC8" w:rsidRPr="0025250D" w:rsidRDefault="00537CC8" w:rsidP="00537CC8">
      <w:pPr>
        <w:rPr>
          <w:rtl/>
        </w:rPr>
      </w:pPr>
      <w:r w:rsidRPr="0025250D">
        <w:rPr>
          <w:rFonts w:hint="cs"/>
          <w:rtl/>
        </w:rPr>
        <w:t xml:space="preserve">به طرز جالبی، این پیش‌بینی برای افراد معدودی از همکاران </w:t>
      </w:r>
      <w:r w:rsidRPr="0025250D">
        <w:rPr>
          <w:rtl/>
        </w:rPr>
        <w:t>آینده‌نگاری</w:t>
      </w:r>
      <w:r w:rsidRPr="0025250D">
        <w:rPr>
          <w:rFonts w:hint="cs"/>
          <w:rtl/>
        </w:rPr>
        <w:t xml:space="preserve"> </w:t>
      </w:r>
      <w:r w:rsidRPr="0025250D">
        <w:rPr>
          <w:rtl/>
        </w:rPr>
        <w:t>جان</w:t>
      </w:r>
      <w:r w:rsidR="00B01789" w:rsidRPr="0025250D">
        <w:rPr>
          <w:rFonts w:hint="cs"/>
          <w:rtl/>
        </w:rPr>
        <w:t xml:space="preserve"> اسمارت</w:t>
      </w:r>
      <w:r w:rsidRPr="0025250D">
        <w:rPr>
          <w:rFonts w:hint="cs"/>
          <w:rtl/>
        </w:rPr>
        <w:t xml:space="preserve"> در آن زمان و نیز برخی از متخصصینی که با آن‌ها مشورت می‌کرد، به‌شدت</w:t>
      </w:r>
      <w:r w:rsidRPr="0025250D">
        <w:rPr>
          <w:rtl/>
        </w:rPr>
        <w:t xml:space="preserve"> </w:t>
      </w:r>
      <w:r w:rsidRPr="0025250D">
        <w:rPr>
          <w:rFonts w:hint="cs"/>
          <w:rtl/>
        </w:rPr>
        <w:t>غیرقابل باور</w:t>
      </w:r>
      <w:r w:rsidRPr="0025250D">
        <w:rPr>
          <w:rtl/>
        </w:rPr>
        <w:t xml:space="preserve"> </w:t>
      </w:r>
      <w:r w:rsidRPr="0025250D">
        <w:rPr>
          <w:rFonts w:hint="cs"/>
          <w:rtl/>
        </w:rPr>
        <w:t>بود. بااین‌حال همچنین افرادی در هر گروه وجود داشتند که از آن حمایت می‌کردند. در همین حین که این کتاب قرار است در سال 2021 منتشر شود، شرکت حفاری</w:t>
      </w:r>
      <w:r w:rsidRPr="0025250D">
        <w:rPr>
          <w:vertAlign w:val="superscript"/>
          <w:rtl/>
        </w:rPr>
        <w:footnoteReference w:id="2477"/>
      </w:r>
      <w:r w:rsidRPr="0025250D">
        <w:rPr>
          <w:rFonts w:hint="cs"/>
          <w:rtl/>
        </w:rPr>
        <w:t xml:space="preserve"> ایلان ماسک در حال ورود به آنچه به عنوان </w:t>
      </w:r>
      <w:r w:rsidR="00FB6A7E" w:rsidRPr="0025250D">
        <w:rPr>
          <w:rFonts w:hint="cs"/>
          <w:rtl/>
        </w:rPr>
        <w:t>پیش‌نگری</w:t>
      </w:r>
      <w:r w:rsidRPr="0025250D">
        <w:rPr>
          <w:rFonts w:hint="cs"/>
          <w:rtl/>
        </w:rPr>
        <w:t>‌هایی مقدماتی پیش‌بینی شده بود می‌باشد.</w:t>
      </w:r>
    </w:p>
    <w:p w14:paraId="28A88DF8" w14:textId="5D2C3166" w:rsidR="00537CC8" w:rsidRPr="0025250D" w:rsidRDefault="00923DDB" w:rsidP="00537CC8">
      <w:pPr>
        <w:rPr>
          <w:rtl/>
        </w:rPr>
      </w:pPr>
      <w:r w:rsidRPr="0025250D">
        <w:rPr>
          <w:rFonts w:hint="cs"/>
          <w:rtl/>
        </w:rPr>
        <w:t>به‌کارگیری</w:t>
      </w:r>
      <w:r w:rsidR="00537CC8" w:rsidRPr="0025250D">
        <w:rPr>
          <w:rFonts w:hint="cs"/>
          <w:rtl/>
        </w:rPr>
        <w:t xml:space="preserve"> فرایندی مانند </w:t>
      </w:r>
      <w:r w:rsidR="00B13F65" w:rsidRPr="0025250D">
        <w:rPr>
          <w:rFonts w:hint="cs"/>
          <w:rtl/>
        </w:rPr>
        <w:t>چارچوب</w:t>
      </w:r>
      <w:r w:rsidR="00537CC8" w:rsidRPr="0025250D">
        <w:rPr>
          <w:rFonts w:hint="cs"/>
          <w:rtl/>
        </w:rPr>
        <w:t xml:space="preserve"> تحقیقات </w:t>
      </w:r>
      <w:r w:rsidR="00537CC8" w:rsidRPr="0025250D">
        <w:rPr>
          <w:rtl/>
        </w:rPr>
        <w:t>آینده‌نگاری</w:t>
      </w:r>
      <w:r w:rsidR="00537CC8" w:rsidRPr="0025250D">
        <w:rPr>
          <w:rFonts w:hint="cs"/>
          <w:rtl/>
        </w:rPr>
        <w:t xml:space="preserve"> </w:t>
      </w:r>
      <w:r w:rsidR="00537CC8" w:rsidRPr="0025250D">
        <w:rPr>
          <w:rtl/>
        </w:rPr>
        <w:t>ه</w:t>
      </w:r>
      <w:r w:rsidR="00537CC8" w:rsidRPr="0025250D">
        <w:rPr>
          <w:rFonts w:hint="cs"/>
          <w:rtl/>
        </w:rPr>
        <w:t>ی</w:t>
      </w:r>
      <w:r w:rsidR="00537CC8" w:rsidRPr="0025250D">
        <w:rPr>
          <w:rFonts w:hint="eastAsia"/>
          <w:rtl/>
        </w:rPr>
        <w:t>وستون</w:t>
      </w:r>
      <w:r w:rsidR="00537CC8" w:rsidRPr="0025250D">
        <w:rPr>
          <w:rFonts w:hint="cs"/>
          <w:rtl/>
        </w:rPr>
        <w:t xml:space="preserve"> راه خوبی برای بررسی فرضیات ما، اندازه گیری سطح اطمینان خود نسبت به دیدگاه‌های آینده مان و نقد آن‌ها توسط جوامع همکاران و متخصصین دارای تنوع مناسب در هر موضوع می‌باشد. فقط انتظار نداشته باشید که نظرات خوب شما از همان ابتدا همه را متقاعد سازند.</w:t>
      </w:r>
    </w:p>
    <w:p w14:paraId="655B1B4A" w14:textId="1C8021C3" w:rsidR="00537CC8" w:rsidRPr="0025250D" w:rsidRDefault="00537CC8" w:rsidP="003D3E0A">
      <w:pPr>
        <w:pStyle w:val="Heading3"/>
        <w:rPr>
          <w:rtl/>
        </w:rPr>
      </w:pPr>
      <w:r w:rsidRPr="0025250D">
        <w:rPr>
          <w:rFonts w:hint="cs"/>
          <w:rtl/>
        </w:rPr>
        <w:t xml:space="preserve">هشت مهارت </w:t>
      </w:r>
      <w:r w:rsidRPr="0025250D">
        <w:t>4U</w:t>
      </w:r>
      <w:r w:rsidRPr="0025250D">
        <w:rPr>
          <w:rFonts w:hint="cs"/>
          <w:rtl/>
        </w:rPr>
        <w:t xml:space="preserve"> به عنوان </w:t>
      </w:r>
      <w:r w:rsidR="00B13F65" w:rsidRPr="0025250D">
        <w:rPr>
          <w:rFonts w:hint="cs"/>
          <w:rtl/>
        </w:rPr>
        <w:t>چارچوب</w:t>
      </w:r>
      <w:r w:rsidRPr="0025250D">
        <w:rPr>
          <w:rFonts w:hint="cs"/>
          <w:rtl/>
        </w:rPr>
        <w:t xml:space="preserve"> شایستگی ها</w:t>
      </w:r>
    </w:p>
    <w:p w14:paraId="7332C890" w14:textId="223ABD26" w:rsidR="00537CC8" w:rsidRPr="0025250D" w:rsidRDefault="00537CC8" w:rsidP="00537CC8">
      <w:pPr>
        <w:rPr>
          <w:rtl/>
        </w:rPr>
      </w:pPr>
      <w:r w:rsidRPr="0025250D">
        <w:rPr>
          <w:rFonts w:hint="cs"/>
          <w:rtl/>
        </w:rPr>
        <w:t xml:space="preserve">در طول فصل آخر، ما هشت مهارت را به عنوان یک </w:t>
      </w:r>
      <w:r w:rsidR="00B13F65" w:rsidRPr="0025250D">
        <w:rPr>
          <w:rFonts w:hint="cs"/>
          <w:rtl/>
        </w:rPr>
        <w:t>چارچوب</w:t>
      </w:r>
      <w:r w:rsidRPr="0025250D">
        <w:rPr>
          <w:rFonts w:hint="cs"/>
          <w:rtl/>
        </w:rPr>
        <w:t xml:space="preserve"> عملی </w:t>
      </w:r>
      <w:r w:rsidRPr="0025250D">
        <w:rPr>
          <w:rtl/>
        </w:rPr>
        <w:t>آینده‌نگاری</w:t>
      </w:r>
      <w:r w:rsidRPr="0025250D">
        <w:rPr>
          <w:rFonts w:hint="cs"/>
          <w:rtl/>
        </w:rPr>
        <w:t xml:space="preserve"> کاوش کردیم. آن‌ها دستورالعمل مطلوب </w:t>
      </w:r>
      <w:r w:rsidRPr="0025250D">
        <w:t>4U</w:t>
      </w:r>
      <w:r w:rsidRPr="0025250D">
        <w:rPr>
          <w:rFonts w:hint="cs"/>
          <w:rtl/>
        </w:rPr>
        <w:t xml:space="preserve"> برای تولید، اجرا و بهبود </w:t>
      </w:r>
      <w:r w:rsidRPr="0025250D">
        <w:rPr>
          <w:rtl/>
        </w:rPr>
        <w:t>آینده‌نگاری</w:t>
      </w:r>
      <w:r w:rsidRPr="0025250D">
        <w:rPr>
          <w:rFonts w:hint="cs"/>
          <w:rtl/>
        </w:rPr>
        <w:t xml:space="preserve"> در تیم‌ها هستند. ما همه رهبران و دانشجویان را به استفاده از این مهارت‌ها به صورت آگاهانه‌تر و ارادی و توسعه </w:t>
      </w:r>
      <w:r w:rsidR="00B13F65" w:rsidRPr="0025250D">
        <w:rPr>
          <w:rFonts w:hint="cs"/>
          <w:rtl/>
        </w:rPr>
        <w:t>چارچوب</w:t>
      </w:r>
      <w:r w:rsidRPr="0025250D">
        <w:rPr>
          <w:rFonts w:hint="cs"/>
          <w:rtl/>
        </w:rPr>
        <w:t xml:space="preserve">‌ها و روش‌های خود برای پایش استفاده از آن‌ها تشویق می‌کنیم. برای کمک به این کار، بیایید هشت مهارت را برای بار آخر، به عنوان مجموعه‌ای از شایستگی‌های مدیریتی در نظر بگیریم. این امر می‌تواند فهم ما از این که چرا هر مهارت برای </w:t>
      </w:r>
      <w:r w:rsidR="00B124DE" w:rsidRPr="0025250D">
        <w:rPr>
          <w:rFonts w:hint="cs"/>
          <w:rtl/>
        </w:rPr>
        <w:t>انطباق‌پذیر</w:t>
      </w:r>
      <w:r w:rsidRPr="0025250D">
        <w:rPr>
          <w:rFonts w:hint="cs"/>
          <w:rtl/>
        </w:rPr>
        <w:t xml:space="preserve">ی سازمانی اهمیت دارد را بیش‌تر کند. وقتی ارزش‌ها (رهبری </w:t>
      </w:r>
      <w:r w:rsidR="00B124DE" w:rsidRPr="0025250D">
        <w:rPr>
          <w:rFonts w:hint="cs"/>
          <w:rtl/>
        </w:rPr>
        <w:t>انطباق‌پذیر</w:t>
      </w:r>
      <w:r w:rsidRPr="0025250D">
        <w:rPr>
          <w:rFonts w:hint="cs"/>
          <w:rtl/>
        </w:rPr>
        <w:t xml:space="preserve">) را به این مهارت‌ها می‌افزاییم، فکر می‌کنیم که این کار ما را به یک مدل حداقلی </w:t>
      </w:r>
      <w:r w:rsidR="00B453C0" w:rsidRPr="0025250D">
        <w:rPr>
          <w:rFonts w:hint="cs"/>
          <w:rtl/>
        </w:rPr>
        <w:t>امکان‌پذیر</w:t>
      </w:r>
      <w:r w:rsidRPr="0025250D">
        <w:rPr>
          <w:rFonts w:hint="cs"/>
          <w:rtl/>
        </w:rPr>
        <w:t xml:space="preserve"> برای موفقیت و پیشرفت بلند مدت می‌رساند.</w:t>
      </w:r>
    </w:p>
    <w:p w14:paraId="7E451E9D" w14:textId="3C35FD73" w:rsidR="00537CC8" w:rsidRPr="0025250D" w:rsidRDefault="00537CC8" w:rsidP="00537CC8">
      <w:pPr>
        <w:rPr>
          <w:rtl/>
        </w:rPr>
      </w:pPr>
      <w:r w:rsidRPr="0025250D">
        <w:rPr>
          <w:rFonts w:hint="cs"/>
          <w:rtl/>
        </w:rPr>
        <w:t xml:space="preserve">به عنوان یک </w:t>
      </w:r>
      <w:r w:rsidR="00B13F65" w:rsidRPr="0025250D">
        <w:rPr>
          <w:rFonts w:hint="cs"/>
          <w:rtl/>
        </w:rPr>
        <w:t>چارچوب</w:t>
      </w:r>
      <w:r w:rsidRPr="0025250D">
        <w:rPr>
          <w:rFonts w:hint="cs"/>
          <w:rtl/>
        </w:rPr>
        <w:t xml:space="preserve"> شایستگی برای این زمینه (مجموعه تعریف شده‌ای از توانایی‌ها و رفتار‌های لازم برای </w:t>
      </w:r>
      <w:r w:rsidR="00923DDB" w:rsidRPr="0025250D">
        <w:rPr>
          <w:rFonts w:hint="cs"/>
          <w:rtl/>
        </w:rPr>
        <w:t>اثربخشی</w:t>
      </w:r>
      <w:r w:rsidRPr="0025250D">
        <w:rPr>
          <w:rFonts w:hint="cs"/>
          <w:rtl/>
        </w:rPr>
        <w:t xml:space="preserve">)، هشت مهارت این مزیت را دارند که </w:t>
      </w:r>
      <w:r w:rsidR="00B01789" w:rsidRPr="0025250D">
        <w:rPr>
          <w:rFonts w:hint="cs"/>
          <w:rtl/>
        </w:rPr>
        <w:t xml:space="preserve">هم اکنون نیز  </w:t>
      </w:r>
      <w:r w:rsidRPr="0025250D">
        <w:rPr>
          <w:rFonts w:hint="cs"/>
          <w:rtl/>
        </w:rPr>
        <w:t xml:space="preserve">اصطلاحاتی هستند که توسط جامعه مدیریتی جهان به صورت رایج استفاده می‌شوند. بحث درمورد </w:t>
      </w:r>
      <w:r w:rsidR="00923DDB" w:rsidRPr="0025250D">
        <w:rPr>
          <w:rtl/>
        </w:rPr>
        <w:t>آینده‌نگاری انطباقی</w:t>
      </w:r>
      <w:r w:rsidRPr="0025250D">
        <w:rPr>
          <w:rFonts w:hint="cs"/>
          <w:rtl/>
        </w:rPr>
        <w:t xml:space="preserve"> به زبان شایستگی عملی می‌تواند همچنین برای ارائه آن نه به عنوان چیزی برتر یا تخصصی، بلکه به عنوان توانایی‌هایی که همه ما به عنوان مدیران خود و روابطمان حداقل تا حدی دارا می‌باشیم، مفید باشد </w:t>
      </w:r>
      <w:r w:rsidRPr="0025250D">
        <w:rPr>
          <w:rFonts w:cs="Times New Roman" w:hint="cs"/>
          <w:rtl/>
        </w:rPr>
        <w:t>–</w:t>
      </w:r>
      <w:r w:rsidRPr="0025250D">
        <w:rPr>
          <w:rFonts w:hint="cs"/>
          <w:rtl/>
        </w:rPr>
        <w:t xml:space="preserve"> مهارت‌هایی که همه مدیران، تیم‌ها و سازمان‌ها می‌توانند با کسب تجربه بیش‌تر توسعه دهند.</w:t>
      </w:r>
    </w:p>
    <w:p w14:paraId="3CB4793A" w14:textId="3D10B3B3" w:rsidR="00537CC8" w:rsidRPr="0025250D" w:rsidRDefault="00537CC8" w:rsidP="00537CC8">
      <w:pPr>
        <w:rPr>
          <w:rtl/>
        </w:rPr>
      </w:pPr>
      <w:r w:rsidRPr="0025250D">
        <w:rPr>
          <w:rFonts w:hint="cs"/>
          <w:rtl/>
        </w:rPr>
        <w:t xml:space="preserve">در مقایسه با مدیران و مشاوران معمول، </w:t>
      </w:r>
      <w:r w:rsidRPr="0025250D">
        <w:rPr>
          <w:rtl/>
        </w:rPr>
        <w:t>آینده‌نگار</w:t>
      </w:r>
      <w:r w:rsidRPr="0025250D">
        <w:rPr>
          <w:rFonts w:hint="cs"/>
          <w:rtl/>
        </w:rPr>
        <w:t>ان خوب به خودی خود مشخصا بر کشف، ایجاد و مدیریت آینده‌ها تمرکز دارند. فعالیت‌های آنان شامل این موارد هستند: تعیین دامنه، گذشته نگری</w:t>
      </w:r>
      <w:r w:rsidRPr="0025250D">
        <w:rPr>
          <w:vertAlign w:val="superscript"/>
          <w:rtl/>
        </w:rPr>
        <w:footnoteReference w:id="2478"/>
      </w:r>
      <w:r w:rsidRPr="0025250D">
        <w:rPr>
          <w:rFonts w:hint="cs"/>
          <w:rtl/>
        </w:rPr>
        <w:t xml:space="preserve">، پویش، معنادهی، پیش‌بینی، </w:t>
      </w:r>
      <w:r w:rsidR="00FB6A7E" w:rsidRPr="0025250D">
        <w:rPr>
          <w:rFonts w:hint="cs"/>
          <w:rtl/>
        </w:rPr>
        <w:t>پیش‌نگری</w:t>
      </w:r>
      <w:r w:rsidRPr="0025250D">
        <w:rPr>
          <w:rFonts w:hint="cs"/>
          <w:rtl/>
        </w:rPr>
        <w:t xml:space="preserve">، آینده ورزی </w:t>
      </w:r>
      <w:r w:rsidR="00D533FD" w:rsidRPr="0025250D">
        <w:rPr>
          <w:rFonts w:hint="cs"/>
          <w:rtl/>
        </w:rPr>
        <w:t>خط مبنا</w:t>
      </w:r>
      <w:r w:rsidRPr="0025250D">
        <w:rPr>
          <w:vertAlign w:val="superscript"/>
          <w:rtl/>
        </w:rPr>
        <w:footnoteReference w:id="2479"/>
      </w:r>
      <w:r w:rsidRPr="0025250D">
        <w:rPr>
          <w:rFonts w:hint="cs"/>
          <w:rtl/>
        </w:rPr>
        <w:t>، از بین بردن سوگیری، آینده ورزی بدیل</w:t>
      </w:r>
      <w:r w:rsidRPr="0025250D">
        <w:rPr>
          <w:vertAlign w:val="superscript"/>
          <w:rtl/>
        </w:rPr>
        <w:footnoteReference w:id="2480"/>
      </w:r>
      <w:r w:rsidRPr="0025250D">
        <w:rPr>
          <w:rFonts w:hint="cs"/>
          <w:rtl/>
        </w:rPr>
        <w:t xml:space="preserve">، </w:t>
      </w:r>
      <w:r w:rsidR="00B56611" w:rsidRPr="0025250D">
        <w:rPr>
          <w:rFonts w:hint="cs"/>
          <w:rtl/>
        </w:rPr>
        <w:t>چشم‌انداز</w:t>
      </w:r>
      <w:r w:rsidRPr="0025250D">
        <w:rPr>
          <w:rFonts w:hint="cs"/>
          <w:rtl/>
        </w:rPr>
        <w:t>سازی، تسهیل گری، طراحی، تنظیم اهداف و ارزیابی پیشرفت، ظرفیت و عملکرد</w:t>
      </w:r>
      <w:r w:rsidR="008D6F97" w:rsidRPr="0025250D">
        <w:rPr>
          <w:rtl/>
        </w:rPr>
        <w:t xml:space="preserve"> </w:t>
      </w:r>
      <w:r w:rsidRPr="0025250D">
        <w:rPr>
          <w:rtl/>
        </w:rPr>
        <w:t>آینده‌نگاری</w:t>
      </w:r>
      <w:r w:rsidRPr="0025250D">
        <w:rPr>
          <w:rFonts w:hint="cs"/>
          <w:rtl/>
        </w:rPr>
        <w:t xml:space="preserve">. زمینه ما غنی و به سرعت در حال تغییر است و ما شایستگی‌های جدید بسیاری را به عنوان تجزیه و تحلیل پیش‌بینی کننده، یادگیری ماشینی و ابزارها و پلتفرم‌های </w:t>
      </w:r>
      <w:r w:rsidRPr="0025250D">
        <w:rPr>
          <w:rtl/>
        </w:rPr>
        <w:t>آینده‌نگاری</w:t>
      </w:r>
      <w:r w:rsidRPr="0025250D">
        <w:rPr>
          <w:rFonts w:hint="cs"/>
          <w:rtl/>
        </w:rPr>
        <w:t xml:space="preserve"> جمعی توسعه خواهیم داد.</w:t>
      </w:r>
    </w:p>
    <w:p w14:paraId="729B7A36" w14:textId="0B146214" w:rsidR="00537CC8" w:rsidRPr="0025250D" w:rsidRDefault="00537CC8" w:rsidP="00537CC8">
      <w:pPr>
        <w:rPr>
          <w:rtl/>
        </w:rPr>
      </w:pPr>
      <w:r w:rsidRPr="0025250D">
        <w:rPr>
          <w:rFonts w:hint="cs"/>
          <w:rtl/>
        </w:rPr>
        <w:t xml:space="preserve">فعالیت‌های تخصصی به عنوان کارکردهای مهم مدیریت </w:t>
      </w:r>
      <w:r w:rsidR="00701E03" w:rsidRPr="0025250D">
        <w:rPr>
          <w:rFonts w:hint="cs"/>
          <w:rtl/>
        </w:rPr>
        <w:t>راهبردی</w:t>
      </w:r>
      <w:r w:rsidRPr="0025250D">
        <w:rPr>
          <w:rFonts w:hint="cs"/>
          <w:rtl/>
        </w:rPr>
        <w:t xml:space="preserve"> شناخته می‌شوند و انجمن‌های تخصصی برای توسعه خود دارند. ما پیش از این درمورد بیست تخصص توضیح دادیم. شایستگی‌ها کم‌تر به عنوان کارکرد‌های مدیریتی شناخته </w:t>
      </w:r>
      <w:r w:rsidR="00185F3E" w:rsidRPr="0025250D">
        <w:rPr>
          <w:rFonts w:hint="cs"/>
          <w:rtl/>
        </w:rPr>
        <w:t>شده‌اند</w:t>
      </w:r>
      <w:r w:rsidRPr="0025250D">
        <w:rPr>
          <w:rFonts w:hint="cs"/>
          <w:rtl/>
        </w:rPr>
        <w:t xml:space="preserve"> و ممکن است تحت حمایت هیچ انجمن تخصصی نباشند. البته این دو مورد با هم همپوشانی دارند. ما هر یک از بیست تخصص را در زیر، این بار با استفاده از کلمات شایستگی مورد استفاده در حوزه مدیریت توصیف </w:t>
      </w:r>
      <w:r w:rsidR="00950293" w:rsidRPr="0025250D">
        <w:rPr>
          <w:rFonts w:hint="cs"/>
          <w:rtl/>
        </w:rPr>
        <w:t>کرده‌ایم</w:t>
      </w:r>
      <w:r w:rsidRPr="0025250D">
        <w:rPr>
          <w:rFonts w:hint="cs"/>
          <w:rtl/>
        </w:rPr>
        <w:t>.</w:t>
      </w:r>
    </w:p>
    <w:p w14:paraId="51AC6925" w14:textId="35A93B27" w:rsidR="00537CC8" w:rsidRPr="0025250D" w:rsidRDefault="00537CC8" w:rsidP="00537CC8">
      <w:pPr>
        <w:rPr>
          <w:rtl/>
        </w:rPr>
      </w:pPr>
      <w:r w:rsidRPr="0025250D">
        <w:rPr>
          <w:rFonts w:hint="cs"/>
          <w:rtl/>
        </w:rPr>
        <w:t xml:space="preserve">به عنوان یک تمرین در انجام چرخه‌های انجام خود، پیشنهاد می‌کنیم که تیم شما مجموعه خود را از مفید‌ترین شایستگی‌ها و تخصص‌ها برای هر یک از هشت مهارت ایجاد کند. یک مجموعه ناقص نمایشی از شایستگی‌های هشت مهارت که برای استفاده مشاوران </w:t>
      </w:r>
      <w:r w:rsidRPr="0025250D">
        <w:rPr>
          <w:rtl/>
        </w:rPr>
        <w:t>آینده‌نگاری</w:t>
      </w:r>
      <w:r w:rsidRPr="0025250D">
        <w:rPr>
          <w:rFonts w:hint="cs"/>
          <w:rtl/>
        </w:rPr>
        <w:t xml:space="preserve"> (نه برای سازمان‌های معمول) نوشته شده است در زیر ارائه شده است:</w:t>
      </w:r>
    </w:p>
    <w:p w14:paraId="5E4A9046" w14:textId="1420D924" w:rsidR="00537CC8" w:rsidRPr="0025250D" w:rsidRDefault="00537CC8" w:rsidP="00492C47">
      <w:pPr>
        <w:numPr>
          <w:ilvl w:val="0"/>
          <w:numId w:val="48"/>
        </w:numPr>
        <w:rPr>
          <w:rtl/>
        </w:rPr>
      </w:pPr>
      <w:r w:rsidRPr="0025250D">
        <w:rPr>
          <w:rFonts w:hint="cs"/>
          <w:b/>
          <w:bCs/>
          <w:rtl/>
        </w:rPr>
        <w:t>یادگیری</w:t>
      </w:r>
      <w:r w:rsidRPr="0025250D">
        <w:rPr>
          <w:rFonts w:hint="cs"/>
          <w:rtl/>
        </w:rPr>
        <w:t xml:space="preserve"> تعیین دامنه نیاز‌های مشتری، کسب مهارت‌ها و انجام تحقیقات برای فراهم کردن امکان </w:t>
      </w:r>
      <w:r w:rsidRPr="0025250D">
        <w:rPr>
          <w:rtl/>
        </w:rPr>
        <w:t>آینده‌نگاری</w:t>
      </w:r>
      <w:r w:rsidRPr="0025250D">
        <w:rPr>
          <w:rFonts w:hint="cs"/>
          <w:rtl/>
        </w:rPr>
        <w:t xml:space="preserve"> است. شایستگی‌های قابل سنجش شامل این موارد هستند: </w:t>
      </w:r>
      <w:r w:rsidRPr="0025250D">
        <w:rPr>
          <w:rFonts w:hint="cs"/>
          <w:u w:val="single"/>
          <w:rtl/>
        </w:rPr>
        <w:t>تعیین دامنه</w:t>
      </w:r>
      <w:r w:rsidRPr="0025250D">
        <w:rPr>
          <w:u w:val="single"/>
          <w:vertAlign w:val="superscript"/>
          <w:rtl/>
        </w:rPr>
        <w:footnoteReference w:id="2481"/>
      </w:r>
      <w:r w:rsidRPr="0025250D">
        <w:rPr>
          <w:rFonts w:hint="cs"/>
          <w:u w:val="single"/>
          <w:rtl/>
        </w:rPr>
        <w:t xml:space="preserve"> </w:t>
      </w:r>
      <w:r w:rsidRPr="0025250D">
        <w:rPr>
          <w:rFonts w:hint="cs"/>
          <w:rtl/>
        </w:rPr>
        <w:t xml:space="preserve">(یا </w:t>
      </w:r>
      <w:r w:rsidR="00B13F65" w:rsidRPr="0025250D">
        <w:rPr>
          <w:rFonts w:hint="cs"/>
          <w:rtl/>
        </w:rPr>
        <w:t>چارچوب</w:t>
      </w:r>
      <w:r w:rsidRPr="0025250D">
        <w:rPr>
          <w:rFonts w:hint="cs"/>
          <w:rtl/>
        </w:rPr>
        <w:t xml:space="preserve"> بندی): تعریف و محدود کردن موضوع، گستره و </w:t>
      </w:r>
      <w:r w:rsidR="00B13F65" w:rsidRPr="0025250D">
        <w:rPr>
          <w:rFonts w:hint="cs"/>
          <w:rtl/>
        </w:rPr>
        <w:t>چارچوب</w:t>
      </w:r>
      <w:r w:rsidRPr="0025250D">
        <w:rPr>
          <w:rFonts w:hint="cs"/>
          <w:rtl/>
        </w:rPr>
        <w:t xml:space="preserve"> زمانی </w:t>
      </w:r>
      <w:r w:rsidRPr="0025250D">
        <w:rPr>
          <w:rtl/>
        </w:rPr>
        <w:t>آینده‌نگاری</w:t>
      </w:r>
      <w:r w:rsidRPr="0025250D">
        <w:rPr>
          <w:rFonts w:hint="cs"/>
          <w:rtl/>
        </w:rPr>
        <w:t xml:space="preserve">. </w:t>
      </w:r>
      <w:r w:rsidRPr="0025250D">
        <w:rPr>
          <w:rFonts w:hint="cs"/>
          <w:u w:val="single"/>
          <w:rtl/>
        </w:rPr>
        <w:t>ترسیم</w:t>
      </w:r>
      <w:r w:rsidRPr="0025250D">
        <w:rPr>
          <w:u w:val="single"/>
          <w:vertAlign w:val="superscript"/>
          <w:rtl/>
        </w:rPr>
        <w:footnoteReference w:id="2482"/>
      </w:r>
      <w:r w:rsidRPr="0025250D">
        <w:rPr>
          <w:rFonts w:hint="cs"/>
          <w:u w:val="single"/>
          <w:rtl/>
        </w:rPr>
        <w:t>:</w:t>
      </w:r>
      <w:r w:rsidRPr="0025250D">
        <w:rPr>
          <w:rFonts w:hint="cs"/>
          <w:rtl/>
        </w:rPr>
        <w:t xml:space="preserve"> ایجاد نقشه‌ای از موضوع و دسته بندی‌ها برای </w:t>
      </w:r>
      <w:r w:rsidRPr="0025250D">
        <w:rPr>
          <w:rFonts w:hint="cs"/>
          <w:u w:val="single"/>
          <w:rtl/>
        </w:rPr>
        <w:t>سنجه‌ها و داده‌های تحقیق</w:t>
      </w:r>
      <w:r w:rsidRPr="0025250D">
        <w:rPr>
          <w:rFonts w:hint="cs"/>
          <w:rtl/>
        </w:rPr>
        <w:t xml:space="preserve">: تعیین و تحلیل داده‌ها و نشانگرهای کلیدی برای شناخت وضعیت موجود. </w:t>
      </w:r>
      <w:r w:rsidRPr="0025250D">
        <w:rPr>
          <w:rFonts w:hint="cs"/>
          <w:u w:val="single"/>
          <w:rtl/>
        </w:rPr>
        <w:t>گذشته‌نگاری</w:t>
      </w:r>
      <w:r w:rsidRPr="0025250D">
        <w:rPr>
          <w:u w:val="single"/>
          <w:vertAlign w:val="superscript"/>
          <w:rtl/>
        </w:rPr>
        <w:footnoteReference w:id="2483"/>
      </w:r>
      <w:r w:rsidRPr="0025250D">
        <w:rPr>
          <w:rtl/>
        </w:rPr>
        <w:t>:</w:t>
      </w:r>
      <w:r w:rsidRPr="0025250D">
        <w:rPr>
          <w:rFonts w:hint="cs"/>
          <w:rtl/>
        </w:rPr>
        <w:t xml:space="preserve"> درک زمینه تاریخی و ناپیوستگی‌های اخیر. </w:t>
      </w:r>
      <w:r w:rsidRPr="0025250D">
        <w:rPr>
          <w:rFonts w:hint="cs"/>
          <w:u w:val="single"/>
          <w:rtl/>
        </w:rPr>
        <w:t>یادگیری و توسعه:</w:t>
      </w:r>
      <w:r w:rsidRPr="0025250D">
        <w:rPr>
          <w:rFonts w:hint="cs"/>
          <w:rtl/>
        </w:rPr>
        <w:t xml:space="preserve"> </w:t>
      </w:r>
      <w:r w:rsidR="00923DDB" w:rsidRPr="0025250D">
        <w:rPr>
          <w:rFonts w:hint="cs"/>
          <w:rtl/>
        </w:rPr>
        <w:t>به‌کارگیری</w:t>
      </w:r>
      <w:r w:rsidRPr="0025250D">
        <w:rPr>
          <w:rFonts w:hint="cs"/>
          <w:rtl/>
        </w:rPr>
        <w:t xml:space="preserve"> یک تیم در آموزش و مهارت سازی برای بهبود </w:t>
      </w:r>
      <w:r w:rsidRPr="0025250D">
        <w:rPr>
          <w:rtl/>
        </w:rPr>
        <w:t>آینده‌نگاری</w:t>
      </w:r>
      <w:r w:rsidRPr="0025250D">
        <w:rPr>
          <w:rFonts w:hint="cs"/>
          <w:rtl/>
        </w:rPr>
        <w:t xml:space="preserve">. </w:t>
      </w:r>
      <w:r w:rsidRPr="0025250D">
        <w:rPr>
          <w:rFonts w:hint="cs"/>
          <w:u w:val="single"/>
          <w:rtl/>
        </w:rPr>
        <w:t>پویش</w:t>
      </w:r>
      <w:r w:rsidRPr="0025250D">
        <w:rPr>
          <w:rFonts w:hint="cs"/>
          <w:rtl/>
        </w:rPr>
        <w:t>: یافتن مسائل، نشانگر‌ها و نشانک‌های تغییر در حال ظهور</w:t>
      </w:r>
      <w:r w:rsidR="00B01789" w:rsidRPr="0025250D">
        <w:rPr>
          <w:rFonts w:hint="cs"/>
          <w:rtl/>
        </w:rPr>
        <w:t>.</w:t>
      </w:r>
      <w:r w:rsidRPr="0025250D">
        <w:rPr>
          <w:rFonts w:hint="cs"/>
          <w:rtl/>
        </w:rPr>
        <w:t xml:space="preserve"> </w:t>
      </w:r>
      <w:r w:rsidRPr="0025250D">
        <w:rPr>
          <w:rFonts w:hint="cs"/>
          <w:u w:val="single"/>
          <w:rtl/>
        </w:rPr>
        <w:t>هوش/معنادهی:</w:t>
      </w:r>
      <w:r w:rsidRPr="0025250D">
        <w:rPr>
          <w:rFonts w:hint="cs"/>
          <w:rtl/>
        </w:rPr>
        <w:t xml:space="preserve"> تحلیل و ارزیابی بینش کسب شده درمورد الگوهای </w:t>
      </w:r>
      <w:r w:rsidR="008D6F97" w:rsidRPr="0025250D">
        <w:rPr>
          <w:rFonts w:hint="cs"/>
          <w:rtl/>
        </w:rPr>
        <w:t>سامانه‌</w:t>
      </w:r>
      <w:r w:rsidRPr="0025250D">
        <w:rPr>
          <w:rFonts w:hint="cs"/>
          <w:rtl/>
        </w:rPr>
        <w:t>.</w:t>
      </w:r>
    </w:p>
    <w:p w14:paraId="6D8DB37B" w14:textId="67C2573C" w:rsidR="00537CC8" w:rsidRPr="0025250D" w:rsidRDefault="00537CC8" w:rsidP="00492C47">
      <w:pPr>
        <w:numPr>
          <w:ilvl w:val="0"/>
          <w:numId w:val="48"/>
        </w:numPr>
        <w:rPr>
          <w:rtl/>
        </w:rPr>
      </w:pPr>
      <w:r w:rsidRPr="0025250D">
        <w:rPr>
          <w:rFonts w:hint="cs"/>
          <w:b/>
          <w:bCs/>
          <w:rtl/>
        </w:rPr>
        <w:t xml:space="preserve">پیش‌انگاری </w:t>
      </w:r>
      <w:r w:rsidRPr="0025250D">
        <w:rPr>
          <w:rFonts w:hint="cs"/>
          <w:rtl/>
        </w:rPr>
        <w:t>شناسایی مجموعه‌ای از آینده‌های همگرای خط مبنای</w:t>
      </w:r>
      <w:r w:rsidRPr="0025250D">
        <w:rPr>
          <w:vertAlign w:val="superscript"/>
          <w:rtl/>
        </w:rPr>
        <w:footnoteReference w:id="2484"/>
      </w:r>
      <w:r w:rsidRPr="0025250D">
        <w:rPr>
          <w:rFonts w:hint="cs"/>
          <w:rtl/>
        </w:rPr>
        <w:t xml:space="preserve"> مورد انتظار است. شایستگی‌های قابل اندازه گیری شامل این موارد هستند: </w:t>
      </w:r>
      <w:r w:rsidRPr="0025250D">
        <w:rPr>
          <w:rFonts w:hint="cs"/>
          <w:u w:val="single"/>
          <w:rtl/>
        </w:rPr>
        <w:t>پیش‌بینی:</w:t>
      </w:r>
      <w:r w:rsidRPr="0025250D">
        <w:rPr>
          <w:rFonts w:hint="cs"/>
          <w:rtl/>
        </w:rPr>
        <w:t xml:space="preserve"> انجام پیش‌بینی‌های خاص از یک آینده مورد انتظار، استفاده از برخی مدل‌ها، با در نظر گرفتن یک احتمال. </w:t>
      </w:r>
      <w:r w:rsidR="00FB6A7E" w:rsidRPr="0025250D">
        <w:rPr>
          <w:rFonts w:hint="cs"/>
          <w:u w:val="single"/>
          <w:rtl/>
        </w:rPr>
        <w:t>پیش‌نگری</w:t>
      </w:r>
      <w:r w:rsidRPr="0025250D">
        <w:rPr>
          <w:rFonts w:hint="cs"/>
          <w:rtl/>
        </w:rPr>
        <w:t xml:space="preserve">: استفاده از تحلیل روندها برای تخمین یک متغیر مورد علاقه در طول گستره‌ای از آینده ها. </w:t>
      </w:r>
      <w:r w:rsidRPr="0025250D">
        <w:rPr>
          <w:rFonts w:hint="cs"/>
          <w:u w:val="single"/>
          <w:rtl/>
        </w:rPr>
        <w:t>آینده ورزی خط مبنا</w:t>
      </w:r>
      <w:r w:rsidRPr="0025250D">
        <w:rPr>
          <w:u w:val="single"/>
          <w:vertAlign w:val="superscript"/>
          <w:rtl/>
        </w:rPr>
        <w:footnoteReference w:id="2485"/>
      </w:r>
      <w:r w:rsidRPr="0025250D">
        <w:rPr>
          <w:rFonts w:hint="cs"/>
          <w:u w:val="single"/>
          <w:rtl/>
        </w:rPr>
        <w:t>:</w:t>
      </w:r>
      <w:r w:rsidRPr="0025250D">
        <w:rPr>
          <w:rFonts w:hint="cs"/>
          <w:rtl/>
        </w:rPr>
        <w:t xml:space="preserve"> </w:t>
      </w:r>
      <w:r w:rsidR="00FB6A7E" w:rsidRPr="0025250D">
        <w:rPr>
          <w:rFonts w:hint="cs"/>
          <w:rtl/>
        </w:rPr>
        <w:t>پیش‌نگری</w:t>
      </w:r>
      <w:r w:rsidRPr="0025250D">
        <w:rPr>
          <w:rFonts w:hint="cs"/>
          <w:rtl/>
        </w:rPr>
        <w:t xml:space="preserve"> یک آینده خط مبنا، به همراه فرضیات و ریسک‌های مرتبط با آن. </w:t>
      </w:r>
      <w:r w:rsidRPr="0025250D">
        <w:rPr>
          <w:rFonts w:hint="cs"/>
          <w:u w:val="single"/>
          <w:rtl/>
        </w:rPr>
        <w:t>مدیریت ریسک:</w:t>
      </w:r>
      <w:r w:rsidRPr="0025250D">
        <w:rPr>
          <w:rFonts w:hint="cs"/>
          <w:rtl/>
        </w:rPr>
        <w:t xml:space="preserve"> تعیین محیط ریسک و عدم قطعیت‌های اصلی. </w:t>
      </w:r>
      <w:r w:rsidR="00F50EB4" w:rsidRPr="0025250D">
        <w:rPr>
          <w:rFonts w:hint="cs"/>
          <w:u w:val="single"/>
          <w:rtl/>
        </w:rPr>
        <w:t>سرمایه‌گذاری</w:t>
      </w:r>
      <w:r w:rsidRPr="0025250D">
        <w:rPr>
          <w:rFonts w:hint="cs"/>
          <w:rtl/>
        </w:rPr>
        <w:t xml:space="preserve">: تعیین </w:t>
      </w:r>
      <w:r w:rsidR="00B453C0" w:rsidRPr="0025250D">
        <w:rPr>
          <w:rFonts w:hint="cs"/>
          <w:rtl/>
        </w:rPr>
        <w:t>امکان‌پذیر</w:t>
      </w:r>
      <w:r w:rsidRPr="0025250D">
        <w:rPr>
          <w:rFonts w:hint="cs"/>
          <w:rtl/>
        </w:rPr>
        <w:t>‌ترین فرصت‌های موجود برای ایجاد یک ارزش آینده.</w:t>
      </w:r>
    </w:p>
    <w:p w14:paraId="702B5EA8" w14:textId="7B71E984" w:rsidR="00537CC8" w:rsidRPr="0025250D" w:rsidRDefault="00537CC8" w:rsidP="00492C47">
      <w:pPr>
        <w:numPr>
          <w:ilvl w:val="0"/>
          <w:numId w:val="48"/>
        </w:numPr>
        <w:rPr>
          <w:rtl/>
        </w:rPr>
      </w:pPr>
      <w:r w:rsidRPr="0025250D">
        <w:rPr>
          <w:rFonts w:hint="cs"/>
          <w:b/>
          <w:bCs/>
          <w:rtl/>
        </w:rPr>
        <w:t>نوآوری</w:t>
      </w:r>
      <w:r w:rsidRPr="0025250D">
        <w:rPr>
          <w:rFonts w:hint="cs"/>
          <w:rtl/>
        </w:rPr>
        <w:t xml:space="preserve"> تولید گستره‌ای از آینده‌ها و نمونه‌های </w:t>
      </w:r>
      <w:r w:rsidR="00563645" w:rsidRPr="0025250D">
        <w:rPr>
          <w:rFonts w:hint="cs"/>
          <w:rtl/>
        </w:rPr>
        <w:t>بدیل</w:t>
      </w:r>
      <w:r w:rsidRPr="0025250D">
        <w:rPr>
          <w:rFonts w:hint="cs"/>
          <w:rtl/>
        </w:rPr>
        <w:t xml:space="preserve"> ممکن و واگرا است. شایستگی‌ها شامل این موارد هستند: </w:t>
      </w:r>
      <w:r w:rsidRPr="0025250D">
        <w:rPr>
          <w:rFonts w:hint="cs"/>
          <w:u w:val="single"/>
          <w:rtl/>
        </w:rPr>
        <w:t>حذف سوگیری</w:t>
      </w:r>
      <w:r w:rsidRPr="0025250D">
        <w:rPr>
          <w:u w:val="single"/>
          <w:vertAlign w:val="superscript"/>
          <w:rtl/>
        </w:rPr>
        <w:footnoteReference w:id="2486"/>
      </w:r>
      <w:r w:rsidRPr="0025250D">
        <w:rPr>
          <w:rFonts w:hint="cs"/>
          <w:u w:val="single"/>
          <w:rtl/>
        </w:rPr>
        <w:t>:</w:t>
      </w:r>
      <w:r w:rsidRPr="0025250D">
        <w:rPr>
          <w:rFonts w:hint="cs"/>
          <w:rtl/>
        </w:rPr>
        <w:t xml:space="preserve"> کمک به کارسپاران برای دیدن سوگیری‌های خود، متوازن ساختن ذهنیت‌های قبلی و نگاه با دیدی تازه. </w:t>
      </w:r>
      <w:r w:rsidRPr="0025250D">
        <w:rPr>
          <w:rFonts w:hint="cs"/>
          <w:u w:val="single"/>
          <w:rtl/>
        </w:rPr>
        <w:t>کاوش</w:t>
      </w:r>
      <w:r w:rsidRPr="0025250D">
        <w:rPr>
          <w:rFonts w:hint="cs"/>
          <w:rtl/>
        </w:rPr>
        <w:t xml:space="preserve">: فعالیت‌ها، تجارب و مصنوعاتی برای طوفان فکری، نظریه پردازی یا کاوش موارد ممکن ابتدایی. </w:t>
      </w:r>
      <w:r w:rsidRPr="0025250D">
        <w:rPr>
          <w:rFonts w:hint="cs"/>
          <w:u w:val="single"/>
          <w:rtl/>
        </w:rPr>
        <w:t>آینده ورزی بدیل</w:t>
      </w:r>
      <w:r w:rsidRPr="0025250D">
        <w:rPr>
          <w:rFonts w:hint="cs"/>
          <w:rtl/>
        </w:rPr>
        <w:t xml:space="preserve">: تولید آینده‌های بدیل ممکن و </w:t>
      </w:r>
      <w:r w:rsidR="00923DDB" w:rsidRPr="0025250D">
        <w:rPr>
          <w:rFonts w:hint="cs"/>
          <w:rtl/>
        </w:rPr>
        <w:t>باورپذیر</w:t>
      </w:r>
      <w:r w:rsidRPr="0025250D">
        <w:rPr>
          <w:rFonts w:hint="cs"/>
          <w:rtl/>
        </w:rPr>
        <w:t xml:space="preserve"> یا </w:t>
      </w:r>
      <w:r w:rsidR="00362EF3" w:rsidRPr="0025250D">
        <w:rPr>
          <w:rFonts w:hint="cs"/>
          <w:rtl/>
        </w:rPr>
        <w:t>فرانامه‌های</w:t>
      </w:r>
      <w:r w:rsidRPr="0025250D">
        <w:rPr>
          <w:rFonts w:hint="cs"/>
          <w:rtl/>
        </w:rPr>
        <w:t xml:space="preserve">ی بر اساس </w:t>
      </w:r>
      <w:r w:rsidR="00923DDB" w:rsidRPr="0025250D">
        <w:rPr>
          <w:rFonts w:hint="cs"/>
          <w:rtl/>
        </w:rPr>
        <w:t>شگفتی‌ساز</w:t>
      </w:r>
      <w:r w:rsidRPr="0025250D">
        <w:rPr>
          <w:rFonts w:hint="cs"/>
          <w:rtl/>
        </w:rPr>
        <w:t xml:space="preserve">‌ها، ایده‌ها و تصاویر ساخته شده حول عدم قطعیت‌های کلیدی. </w:t>
      </w:r>
      <w:r w:rsidRPr="0025250D">
        <w:rPr>
          <w:rFonts w:hint="cs"/>
          <w:u w:val="single"/>
          <w:rtl/>
        </w:rPr>
        <w:t>طراحی:</w:t>
      </w:r>
      <w:r w:rsidRPr="0025250D">
        <w:rPr>
          <w:rFonts w:hint="cs"/>
          <w:rtl/>
        </w:rPr>
        <w:t xml:space="preserve"> </w:t>
      </w:r>
      <w:r w:rsidR="00A936B3" w:rsidRPr="0025250D">
        <w:rPr>
          <w:rFonts w:hint="cs"/>
          <w:rtl/>
        </w:rPr>
        <w:t>همدلی</w:t>
      </w:r>
      <w:r w:rsidRPr="0025250D">
        <w:rPr>
          <w:rFonts w:hint="cs"/>
          <w:rtl/>
        </w:rPr>
        <w:t xml:space="preserve"> با یک مشکل و استفاده از یک </w:t>
      </w:r>
      <w:r w:rsidR="00923DDB" w:rsidRPr="0025250D">
        <w:rPr>
          <w:rFonts w:hint="cs"/>
          <w:rtl/>
        </w:rPr>
        <w:t>راه‌حل</w:t>
      </w:r>
      <w:r w:rsidRPr="0025250D">
        <w:rPr>
          <w:rFonts w:hint="cs"/>
          <w:rtl/>
        </w:rPr>
        <w:t xml:space="preserve"> اغلب جدید و قابل قبول.</w:t>
      </w:r>
    </w:p>
    <w:p w14:paraId="4ADB3F4D" w14:textId="4F75ED0E" w:rsidR="00537CC8" w:rsidRPr="0025250D" w:rsidRDefault="00701E03" w:rsidP="00492C47">
      <w:pPr>
        <w:numPr>
          <w:ilvl w:val="0"/>
          <w:numId w:val="48"/>
        </w:numPr>
        <w:rPr>
          <w:rtl/>
        </w:rPr>
      </w:pPr>
      <w:r w:rsidRPr="0025250D">
        <w:rPr>
          <w:rFonts w:hint="cs"/>
          <w:b/>
          <w:bCs/>
          <w:rtl/>
        </w:rPr>
        <w:t>راهبرد</w:t>
      </w:r>
      <w:r w:rsidR="00537CC8" w:rsidRPr="0025250D">
        <w:rPr>
          <w:rFonts w:hint="cs"/>
          <w:rtl/>
        </w:rPr>
        <w:t xml:space="preserve"> همگرایی مجدد به سمت </w:t>
      </w:r>
      <w:r w:rsidR="00B56611" w:rsidRPr="0025250D">
        <w:rPr>
          <w:rFonts w:hint="cs"/>
          <w:rtl/>
        </w:rPr>
        <w:t>چشم‌انداز</w:t>
      </w:r>
      <w:r w:rsidR="00537CC8" w:rsidRPr="0025250D">
        <w:rPr>
          <w:rFonts w:hint="cs"/>
          <w:rtl/>
        </w:rPr>
        <w:t xml:space="preserve">‌ها و اهداف مرجح، دیدن موانع و تهدید‌ها، سپس تولید گزینه‌ها، سیاست‌ها و برنامه‌های عملی هماهنگ واقعی است. شایستگی‌های قابل اندازه گیری شامل این موارد هستند: </w:t>
      </w:r>
      <w:r w:rsidR="00537CC8" w:rsidRPr="0025250D">
        <w:rPr>
          <w:rFonts w:hint="cs"/>
          <w:u w:val="single"/>
          <w:rtl/>
        </w:rPr>
        <w:t>تفسیر:</w:t>
      </w:r>
      <w:r w:rsidR="00537CC8" w:rsidRPr="0025250D">
        <w:rPr>
          <w:rFonts w:hint="cs"/>
          <w:rtl/>
        </w:rPr>
        <w:t xml:space="preserve"> در نظر گرفتن مفاهیم پیشنهادی توسط آینده‌های خط مبنا و بدیل. </w:t>
      </w:r>
      <w:r w:rsidR="00537CC8" w:rsidRPr="0025250D">
        <w:rPr>
          <w:rFonts w:hint="cs"/>
          <w:u w:val="single"/>
          <w:rtl/>
        </w:rPr>
        <w:t>تسهیل گری:</w:t>
      </w:r>
      <w:r w:rsidR="00537CC8" w:rsidRPr="0025250D">
        <w:rPr>
          <w:rFonts w:hint="cs"/>
          <w:rtl/>
        </w:rPr>
        <w:t xml:space="preserve"> راهنمایی تناقضات </w:t>
      </w:r>
      <w:r w:rsidR="00537CC8" w:rsidRPr="0025250D">
        <w:rPr>
          <w:rtl/>
        </w:rPr>
        <w:t>آینده‌نگاری</w:t>
      </w:r>
      <w:r w:rsidR="00537CC8" w:rsidRPr="0025250D">
        <w:rPr>
          <w:rFonts w:hint="cs"/>
          <w:rtl/>
        </w:rPr>
        <w:t xml:space="preserve"> (تقابل </w:t>
      </w:r>
      <w:r w:rsidR="00D92F6E" w:rsidRPr="0025250D">
        <w:rPr>
          <w:rFonts w:hint="cs"/>
          <w:rtl/>
        </w:rPr>
        <w:t>پیش‌بین</w:t>
      </w:r>
      <w:r w:rsidR="00537CC8" w:rsidRPr="0025250D">
        <w:rPr>
          <w:rFonts w:hint="cs"/>
          <w:rtl/>
        </w:rPr>
        <w:t xml:space="preserve"> و </w:t>
      </w:r>
      <w:r w:rsidR="002B6515" w:rsidRPr="0025250D">
        <w:rPr>
          <w:rtl/>
        </w:rPr>
        <w:t>حس‌داد</w:t>
      </w:r>
      <w:r w:rsidR="00537CC8" w:rsidRPr="0025250D">
        <w:rPr>
          <w:rFonts w:hint="cs"/>
          <w:rtl/>
        </w:rPr>
        <w:t xml:space="preserve">) برای دیدن بهتر چهار آینده. </w:t>
      </w:r>
      <w:r w:rsidR="00B56611" w:rsidRPr="0025250D">
        <w:rPr>
          <w:rFonts w:hint="cs"/>
          <w:u w:val="single"/>
          <w:rtl/>
        </w:rPr>
        <w:t>چشم‌انداز</w:t>
      </w:r>
      <w:r w:rsidR="00537CC8" w:rsidRPr="0025250D">
        <w:rPr>
          <w:rFonts w:hint="cs"/>
          <w:u w:val="single"/>
          <w:rtl/>
        </w:rPr>
        <w:t>سازی:</w:t>
      </w:r>
      <w:r w:rsidR="00537CC8" w:rsidRPr="0025250D">
        <w:rPr>
          <w:rFonts w:hint="cs"/>
          <w:rtl/>
        </w:rPr>
        <w:t xml:space="preserve"> شناسایی و تعهد به یک آینده مرجح یا مجموعه‌ای از آینده ها. </w:t>
      </w:r>
      <w:r w:rsidR="00537CC8" w:rsidRPr="0025250D">
        <w:rPr>
          <w:rFonts w:hint="cs"/>
          <w:u w:val="single"/>
          <w:rtl/>
        </w:rPr>
        <w:t>ریسک زدایی</w:t>
      </w:r>
      <w:r w:rsidR="00537CC8" w:rsidRPr="0025250D">
        <w:rPr>
          <w:rFonts w:hint="cs"/>
          <w:rtl/>
        </w:rPr>
        <w:t xml:space="preserve">: شناسایی </w:t>
      </w:r>
      <w:r w:rsidR="00923DDB" w:rsidRPr="0025250D">
        <w:rPr>
          <w:rFonts w:hint="cs"/>
          <w:rtl/>
        </w:rPr>
        <w:t>باورپذیر</w:t>
      </w:r>
      <w:r w:rsidR="00537CC8" w:rsidRPr="0025250D">
        <w:rPr>
          <w:rFonts w:hint="cs"/>
          <w:rtl/>
        </w:rPr>
        <w:t>‌ترین ریسک‌ها، تهدید‌ها و تله‌هایی که ممکن است از آینده مرجح جلوگیری کنند.</w:t>
      </w:r>
    </w:p>
    <w:p w14:paraId="581858F1" w14:textId="294328A0" w:rsidR="00537CC8" w:rsidRPr="0025250D" w:rsidRDefault="00537CC8" w:rsidP="00492C47">
      <w:pPr>
        <w:numPr>
          <w:ilvl w:val="0"/>
          <w:numId w:val="48"/>
        </w:numPr>
        <w:rPr>
          <w:rtl/>
        </w:rPr>
      </w:pPr>
      <w:r w:rsidRPr="0025250D">
        <w:rPr>
          <w:rFonts w:hint="cs"/>
          <w:b/>
          <w:bCs/>
          <w:rtl/>
        </w:rPr>
        <w:t>اجرا</w:t>
      </w:r>
      <w:r w:rsidRPr="0025250D">
        <w:rPr>
          <w:rFonts w:hint="cs"/>
          <w:rtl/>
        </w:rPr>
        <w:t xml:space="preserve"> ترجمه </w:t>
      </w:r>
      <w:r w:rsidR="00701E03" w:rsidRPr="0025250D">
        <w:rPr>
          <w:rFonts w:hint="cs"/>
          <w:rtl/>
        </w:rPr>
        <w:t>راهبرد</w:t>
      </w:r>
      <w:r w:rsidRPr="0025250D">
        <w:rPr>
          <w:rFonts w:hint="cs"/>
          <w:rtl/>
        </w:rPr>
        <w:t xml:space="preserve"> به عمل (برای کارسپار یا </w:t>
      </w:r>
      <w:r w:rsidRPr="0025250D">
        <w:rPr>
          <w:rtl/>
        </w:rPr>
        <w:t>آینده‌نگار</w:t>
      </w:r>
      <w:r w:rsidRPr="0025250D">
        <w:rPr>
          <w:rFonts w:hint="cs"/>
          <w:rtl/>
        </w:rPr>
        <w:t xml:space="preserve">) است. شایستگی‌ها شامل این موارد هستند: </w:t>
      </w:r>
      <w:r w:rsidRPr="0025250D">
        <w:rPr>
          <w:rFonts w:hint="cs"/>
          <w:u w:val="single"/>
          <w:rtl/>
        </w:rPr>
        <w:t>برنامه‌ریزی:</w:t>
      </w:r>
      <w:r w:rsidRPr="0025250D">
        <w:rPr>
          <w:rFonts w:hint="cs"/>
          <w:rtl/>
        </w:rPr>
        <w:t xml:space="preserve"> کمک به کارسپار برای تولید برنامه‌های عملی هماهنگ و استوار در برابر عدم قطعیت ها. </w:t>
      </w:r>
      <w:r w:rsidRPr="0025250D">
        <w:rPr>
          <w:rFonts w:hint="cs"/>
          <w:u w:val="single"/>
          <w:rtl/>
        </w:rPr>
        <w:t>تولید</w:t>
      </w:r>
      <w:r w:rsidRPr="0025250D">
        <w:rPr>
          <w:rFonts w:hint="cs"/>
          <w:rtl/>
        </w:rPr>
        <w:t>: کمک به کارسپار در کاربرد و ارزیابی بیست تخصص.</w:t>
      </w:r>
    </w:p>
    <w:p w14:paraId="39190BF0" w14:textId="1B7ABCF6" w:rsidR="00537CC8" w:rsidRPr="0025250D" w:rsidRDefault="00537CC8" w:rsidP="00492C47">
      <w:pPr>
        <w:numPr>
          <w:ilvl w:val="0"/>
          <w:numId w:val="48"/>
        </w:numPr>
        <w:rPr>
          <w:rtl/>
        </w:rPr>
      </w:pPr>
      <w:r w:rsidRPr="0025250D">
        <w:rPr>
          <w:rFonts w:hint="cs"/>
          <w:b/>
          <w:bCs/>
          <w:rtl/>
        </w:rPr>
        <w:t>تأثیرگذاری</w:t>
      </w:r>
      <w:r w:rsidRPr="0025250D">
        <w:rPr>
          <w:rFonts w:hint="cs"/>
          <w:rtl/>
        </w:rPr>
        <w:t xml:space="preserve"> فروش کار </w:t>
      </w:r>
      <w:r w:rsidRPr="0025250D">
        <w:rPr>
          <w:rtl/>
        </w:rPr>
        <w:t>آینده‌نگاری</w:t>
      </w:r>
      <w:r w:rsidRPr="0025250D">
        <w:rPr>
          <w:rFonts w:hint="cs"/>
          <w:rtl/>
        </w:rPr>
        <w:t xml:space="preserve"> به رهبران و ذینفعان کارسپار است. شایستگی‌ها شامل این موارد هستند: </w:t>
      </w:r>
      <w:r w:rsidRPr="0025250D">
        <w:rPr>
          <w:rFonts w:hint="cs"/>
          <w:u w:val="single"/>
          <w:rtl/>
        </w:rPr>
        <w:t>ارتباطات:</w:t>
      </w:r>
      <w:r w:rsidRPr="0025250D">
        <w:rPr>
          <w:rFonts w:hint="cs"/>
          <w:rtl/>
        </w:rPr>
        <w:t xml:space="preserve"> ارتباط برقرار کردن میان </w:t>
      </w:r>
      <w:r w:rsidR="00B56611" w:rsidRPr="0025250D">
        <w:rPr>
          <w:rFonts w:hint="cs"/>
          <w:rtl/>
        </w:rPr>
        <w:t>چشم‌انداز</w:t>
      </w:r>
      <w:r w:rsidRPr="0025250D">
        <w:rPr>
          <w:rFonts w:hint="cs"/>
          <w:rtl/>
        </w:rPr>
        <w:t xml:space="preserve">‌ها و آینده‌های خط مبنا و بدیل و گزینه‌های </w:t>
      </w:r>
      <w:r w:rsidR="00701E03" w:rsidRPr="0025250D">
        <w:rPr>
          <w:rFonts w:hint="cs"/>
          <w:rtl/>
        </w:rPr>
        <w:t>راهبرد</w:t>
      </w:r>
      <w:r w:rsidRPr="0025250D">
        <w:rPr>
          <w:rFonts w:hint="cs"/>
          <w:rtl/>
        </w:rPr>
        <w:t xml:space="preserve"> برای جلب توجه ذینفعان و </w:t>
      </w:r>
      <w:r w:rsidR="0008779C" w:rsidRPr="0025250D">
        <w:rPr>
          <w:rFonts w:hint="cs"/>
          <w:rtl/>
        </w:rPr>
        <w:t>تاثیرگذاری</w:t>
      </w:r>
      <w:r w:rsidRPr="0025250D">
        <w:rPr>
          <w:rFonts w:hint="cs"/>
          <w:rtl/>
        </w:rPr>
        <w:t xml:space="preserve"> بر اعمال آنان.</w:t>
      </w:r>
      <w:r w:rsidRPr="0025250D">
        <w:rPr>
          <w:rFonts w:hint="cs"/>
          <w:u w:val="single"/>
          <w:rtl/>
        </w:rPr>
        <w:t xml:space="preserve"> فروش: </w:t>
      </w:r>
      <w:r w:rsidRPr="0025250D">
        <w:rPr>
          <w:rFonts w:hint="cs"/>
          <w:rtl/>
        </w:rPr>
        <w:t xml:space="preserve">ترویج خدمات </w:t>
      </w:r>
      <w:r w:rsidRPr="0025250D">
        <w:rPr>
          <w:rtl/>
        </w:rPr>
        <w:t>آینده‌نگاری</w:t>
      </w:r>
      <w:r w:rsidRPr="0025250D">
        <w:rPr>
          <w:rFonts w:hint="cs"/>
          <w:rtl/>
        </w:rPr>
        <w:t xml:space="preserve"> خود، متقاعد کردن دیگران درمورد ارزش آن‌ها و رشد اقدامات خود است.</w:t>
      </w:r>
    </w:p>
    <w:p w14:paraId="10EBCFBB" w14:textId="40E66662" w:rsidR="00537CC8" w:rsidRPr="0025250D" w:rsidRDefault="0008779C" w:rsidP="00492C47">
      <w:pPr>
        <w:numPr>
          <w:ilvl w:val="0"/>
          <w:numId w:val="48"/>
        </w:numPr>
        <w:rPr>
          <w:rtl/>
        </w:rPr>
      </w:pPr>
      <w:r w:rsidRPr="0025250D">
        <w:rPr>
          <w:rFonts w:hint="cs"/>
          <w:b/>
          <w:bCs/>
          <w:rtl/>
        </w:rPr>
        <w:t>ارتباط‌دهی</w:t>
      </w:r>
      <w:r w:rsidR="00537CC8" w:rsidRPr="0025250D">
        <w:rPr>
          <w:rFonts w:hint="cs"/>
          <w:rtl/>
        </w:rPr>
        <w:t xml:space="preserve"> حمایت از رهبران و ذینفعان و عمل مطابق با برترین </w:t>
      </w:r>
      <w:r w:rsidRPr="0025250D">
        <w:rPr>
          <w:rFonts w:hint="cs"/>
          <w:rtl/>
        </w:rPr>
        <w:t>علاقه‌مند</w:t>
      </w:r>
      <w:r w:rsidR="00537CC8" w:rsidRPr="0025250D">
        <w:rPr>
          <w:rFonts w:hint="cs"/>
          <w:rtl/>
        </w:rPr>
        <w:t xml:space="preserve">ی‌های آن‌ها است. شایستگی‌ها شامل این موارد هستند: </w:t>
      </w:r>
      <w:r w:rsidR="00A936B3" w:rsidRPr="0025250D">
        <w:rPr>
          <w:rFonts w:hint="cs"/>
          <w:u w:val="single"/>
          <w:rtl/>
        </w:rPr>
        <w:t>همدلی</w:t>
      </w:r>
      <w:r w:rsidR="00537CC8" w:rsidRPr="0025250D">
        <w:rPr>
          <w:rFonts w:hint="cs"/>
          <w:u w:val="single"/>
          <w:rtl/>
        </w:rPr>
        <w:t>:</w:t>
      </w:r>
      <w:r w:rsidR="00537CC8" w:rsidRPr="0025250D">
        <w:rPr>
          <w:rFonts w:hint="cs"/>
          <w:rtl/>
        </w:rPr>
        <w:t xml:space="preserve"> درک ترس‌ها، امید‌ها و نیاز‌های کارسپار و فرهنگ فعلی آن ها. </w:t>
      </w:r>
      <w:r w:rsidR="00537CC8" w:rsidRPr="0025250D">
        <w:rPr>
          <w:rFonts w:hint="cs"/>
          <w:u w:val="single"/>
          <w:rtl/>
        </w:rPr>
        <w:t>تیم سازی</w:t>
      </w:r>
      <w:r w:rsidR="00537CC8" w:rsidRPr="0025250D">
        <w:rPr>
          <w:rFonts w:hint="cs"/>
          <w:rtl/>
        </w:rPr>
        <w:t xml:space="preserve">: ایجاد تیم‌های فعال قوی و متنوع از نظر شناختی. </w:t>
      </w:r>
      <w:r w:rsidR="00537CC8" w:rsidRPr="0025250D">
        <w:rPr>
          <w:rFonts w:hint="cs"/>
          <w:u w:val="single"/>
          <w:rtl/>
        </w:rPr>
        <w:t>فعالیت اخلاقی</w:t>
      </w:r>
      <w:r w:rsidR="00537CC8" w:rsidRPr="0025250D">
        <w:rPr>
          <w:rFonts w:hint="cs"/>
          <w:rtl/>
        </w:rPr>
        <w:t>: مطالعه رفتار مناسب برای شرایط و فرهنگ مورد نظر.</w:t>
      </w:r>
    </w:p>
    <w:p w14:paraId="418CEEBB" w14:textId="2F46D2FD" w:rsidR="00537CC8" w:rsidRPr="0025250D" w:rsidRDefault="00537CC8" w:rsidP="00492C47">
      <w:pPr>
        <w:numPr>
          <w:ilvl w:val="0"/>
          <w:numId w:val="48"/>
        </w:numPr>
        <w:rPr>
          <w:rtl/>
        </w:rPr>
      </w:pPr>
      <w:r w:rsidRPr="0025250D">
        <w:rPr>
          <w:rFonts w:hint="cs"/>
          <w:b/>
          <w:bCs/>
          <w:rtl/>
        </w:rPr>
        <w:t>بازبینی</w:t>
      </w:r>
      <w:r w:rsidRPr="0025250D">
        <w:rPr>
          <w:rFonts w:hint="cs"/>
          <w:rtl/>
        </w:rPr>
        <w:t xml:space="preserve"> اندازه گیری و </w:t>
      </w:r>
      <w:r w:rsidR="00B124DE" w:rsidRPr="0025250D">
        <w:rPr>
          <w:rFonts w:hint="cs"/>
          <w:rtl/>
        </w:rPr>
        <w:t>جمع‌آوری</w:t>
      </w:r>
      <w:r w:rsidRPr="0025250D">
        <w:rPr>
          <w:rFonts w:hint="cs"/>
          <w:rtl/>
        </w:rPr>
        <w:t xml:space="preserve"> بازخورد درمورد کیفیت و نتایج کار </w:t>
      </w:r>
      <w:r w:rsidRPr="0025250D">
        <w:rPr>
          <w:rtl/>
        </w:rPr>
        <w:t>آینده‌نگاری</w:t>
      </w:r>
      <w:r w:rsidRPr="0025250D">
        <w:rPr>
          <w:rFonts w:hint="cs"/>
          <w:rtl/>
        </w:rPr>
        <w:t xml:space="preserve"> است. شایستگی‌ها شامل این موارد هستند: </w:t>
      </w:r>
      <w:r w:rsidRPr="0025250D">
        <w:rPr>
          <w:rFonts w:hint="cs"/>
          <w:u w:val="single"/>
          <w:rtl/>
        </w:rPr>
        <w:t>ارزیابی پیشرفت:</w:t>
      </w:r>
      <w:r w:rsidRPr="0025250D">
        <w:rPr>
          <w:rFonts w:hint="cs"/>
          <w:rtl/>
        </w:rPr>
        <w:t xml:space="preserve"> ردیابی نشانگر‌ها یا اولین مواردی که نشان دهنده پیشرفت (یا عدم پیشرفت) به سمت یک هدف هستند. </w:t>
      </w:r>
      <w:r w:rsidRPr="0025250D">
        <w:rPr>
          <w:rFonts w:hint="cs"/>
          <w:u w:val="single"/>
          <w:rtl/>
        </w:rPr>
        <w:t>ارزیابی عملکرد:</w:t>
      </w:r>
      <w:r w:rsidRPr="0025250D">
        <w:rPr>
          <w:rFonts w:hint="cs"/>
          <w:rtl/>
        </w:rPr>
        <w:t xml:space="preserve"> اندازه گیری کیفیت کار </w:t>
      </w:r>
      <w:r w:rsidRPr="0025250D">
        <w:rPr>
          <w:rtl/>
        </w:rPr>
        <w:t>آینده‌نگاری</w:t>
      </w:r>
      <w:r w:rsidRPr="0025250D">
        <w:rPr>
          <w:rFonts w:hint="cs"/>
          <w:rtl/>
        </w:rPr>
        <w:t xml:space="preserve"> و رضایت کارسپار. </w:t>
      </w:r>
      <w:r w:rsidRPr="0025250D">
        <w:rPr>
          <w:rFonts w:hint="cs"/>
          <w:u w:val="single"/>
          <w:rtl/>
        </w:rPr>
        <w:t>ارزیابی ظرفیت:</w:t>
      </w:r>
      <w:r w:rsidRPr="0025250D">
        <w:rPr>
          <w:rFonts w:hint="cs"/>
          <w:rtl/>
        </w:rPr>
        <w:t xml:space="preserve"> تعیین این که آیا کارسپار ظرفیت </w:t>
      </w:r>
      <w:r w:rsidRPr="0025250D">
        <w:rPr>
          <w:rtl/>
        </w:rPr>
        <w:t>آینده‌نگاری</w:t>
      </w:r>
      <w:r w:rsidRPr="0025250D">
        <w:rPr>
          <w:rFonts w:hint="cs"/>
          <w:rtl/>
        </w:rPr>
        <w:t xml:space="preserve"> داخلی</w:t>
      </w:r>
      <w:r w:rsidR="0008779C" w:rsidRPr="0025250D">
        <w:rPr>
          <w:rFonts w:hint="cs"/>
          <w:rtl/>
        </w:rPr>
        <w:t xml:space="preserve"> بیش‌تر</w:t>
      </w:r>
      <w:r w:rsidRPr="0025250D">
        <w:rPr>
          <w:rFonts w:hint="cs"/>
          <w:rtl/>
        </w:rPr>
        <w:t>ی (بدون کمک ما در آینده) نسبت به قبل از زمان مشارکت ما دارد یا خیر.</w:t>
      </w:r>
    </w:p>
    <w:p w14:paraId="56AF65CE" w14:textId="77308BF1" w:rsidR="00537CC8" w:rsidRPr="0025250D" w:rsidRDefault="00537CC8" w:rsidP="00537CC8">
      <w:pPr>
        <w:rPr>
          <w:rtl/>
        </w:rPr>
      </w:pPr>
      <w:r w:rsidRPr="0025250D">
        <w:rPr>
          <w:rFonts w:hint="cs"/>
          <w:rtl/>
        </w:rPr>
        <w:t xml:space="preserve">به عنوان یک مشاور </w:t>
      </w:r>
      <w:r w:rsidRPr="0025250D">
        <w:rPr>
          <w:rtl/>
        </w:rPr>
        <w:t>آینده‌نگاری</w:t>
      </w:r>
      <w:r w:rsidRPr="0025250D">
        <w:rPr>
          <w:rFonts w:hint="cs"/>
          <w:rtl/>
        </w:rPr>
        <w:t xml:space="preserve">، شما کدام شایستگی‌ها را در این </w:t>
      </w:r>
      <w:r w:rsidR="00B13F65" w:rsidRPr="0025250D">
        <w:rPr>
          <w:rFonts w:hint="cs"/>
          <w:rtl/>
        </w:rPr>
        <w:t>چارچوب</w:t>
      </w:r>
      <w:r w:rsidRPr="0025250D">
        <w:rPr>
          <w:rFonts w:hint="cs"/>
          <w:rtl/>
        </w:rPr>
        <w:t xml:space="preserve"> اصلاح ، اضافه یا حذف خواهید کرد؟ سازمان شما چگونه می‌تواند به بهترین شکل هشت مهارت را به کار گیرد</w:t>
      </w:r>
      <w:r w:rsidR="008D6F97" w:rsidRPr="0025250D">
        <w:rPr>
          <w:rtl/>
        </w:rPr>
        <w:t xml:space="preserve"> </w:t>
      </w:r>
      <w:r w:rsidRPr="0025250D">
        <w:rPr>
          <w:rFonts w:hint="cs"/>
          <w:rtl/>
        </w:rPr>
        <w:t>و بیست تخصص را مورد استفاده قرار دهد؟ چگونه می‌توانید عملکرد فردی، تیمی و شرکتی را در مهارت‌ها، تخصص‌ها و شایستگی‌ها اندازه گیری کنید؟ ما این پرسش‌ها را به عنوان چالش‌هایی برای کار شما باقی می‌گذاریم.</w:t>
      </w:r>
    </w:p>
    <w:p w14:paraId="21E182EE" w14:textId="7F7EE22E" w:rsidR="00537CC8" w:rsidRPr="0025250D" w:rsidRDefault="00B13F65" w:rsidP="003D3E0A">
      <w:pPr>
        <w:pStyle w:val="Heading3"/>
        <w:rPr>
          <w:rtl/>
        </w:rPr>
      </w:pPr>
      <w:r w:rsidRPr="0025250D">
        <w:rPr>
          <w:rFonts w:hint="cs"/>
          <w:rtl/>
        </w:rPr>
        <w:t>چارچوب</w:t>
      </w:r>
      <w:r w:rsidR="00537CC8" w:rsidRPr="0025250D">
        <w:rPr>
          <w:rFonts w:hint="cs"/>
          <w:rtl/>
        </w:rPr>
        <w:t xml:space="preserve"> تحلیل مسئله </w:t>
      </w:r>
      <w:r w:rsidR="00537CC8" w:rsidRPr="0025250D">
        <w:t>STEEPLES</w:t>
      </w:r>
      <w:r w:rsidR="00537CC8" w:rsidRPr="0025250D">
        <w:rPr>
          <w:rFonts w:hint="cs"/>
          <w:rtl/>
        </w:rPr>
        <w:t xml:space="preserve"> </w:t>
      </w:r>
      <w:r w:rsidR="00537CC8" w:rsidRPr="0025250D">
        <w:t>4U</w:t>
      </w:r>
    </w:p>
    <w:p w14:paraId="636897EF" w14:textId="233F6788" w:rsidR="00537CC8" w:rsidRPr="0025250D" w:rsidRDefault="00537CC8" w:rsidP="00537CC8">
      <w:pPr>
        <w:rPr>
          <w:rtl/>
        </w:rPr>
      </w:pPr>
      <w:r w:rsidRPr="0025250D">
        <w:rPr>
          <w:rFonts w:hint="cs"/>
          <w:rtl/>
        </w:rPr>
        <w:t xml:space="preserve">ما پیشنهاد </w:t>
      </w:r>
      <w:r w:rsidR="00950293" w:rsidRPr="0025250D">
        <w:rPr>
          <w:rFonts w:hint="cs"/>
          <w:rtl/>
        </w:rPr>
        <w:t>کرده‌ایم</w:t>
      </w:r>
      <w:r w:rsidRPr="0025250D">
        <w:rPr>
          <w:rFonts w:hint="cs"/>
          <w:rtl/>
        </w:rPr>
        <w:t xml:space="preserve"> که </w:t>
      </w:r>
      <w:r w:rsidRPr="0025250D">
        <w:t>STEEP</w:t>
      </w:r>
      <w:r w:rsidRPr="0025250D">
        <w:rPr>
          <w:rFonts w:hint="cs"/>
          <w:rtl/>
        </w:rPr>
        <w:t xml:space="preserve"> باید منسوخ شده و با </w:t>
      </w:r>
      <w:r w:rsidRPr="0025250D">
        <w:t>STEEPLES</w:t>
      </w:r>
      <w:r w:rsidRPr="0025250D">
        <w:rPr>
          <w:rFonts w:hint="cs"/>
          <w:rtl/>
        </w:rPr>
        <w:t xml:space="preserve"> و </w:t>
      </w:r>
      <w:r w:rsidRPr="0025250D">
        <w:t>STEEPLECOP</w:t>
      </w:r>
      <w:r w:rsidRPr="0025250D">
        <w:rPr>
          <w:rFonts w:hint="cs"/>
          <w:rtl/>
        </w:rPr>
        <w:t xml:space="preserve"> که هر دو برای افق پویی در سطح اجتماعی و تحلیل مسئله هستند، جایگزین شود. دسته‌هایی که ما برای دسته بندی جهان استفاده می‌کنیم، نحوه تفکر ما را </w:t>
      </w:r>
      <w:r w:rsidR="009F0114" w:rsidRPr="0025250D">
        <w:rPr>
          <w:rFonts w:hint="cs"/>
          <w:rtl/>
        </w:rPr>
        <w:t>دچار</w:t>
      </w:r>
      <w:r w:rsidRPr="0025250D">
        <w:rPr>
          <w:rFonts w:hint="cs"/>
          <w:rtl/>
        </w:rPr>
        <w:t xml:space="preserve"> سوگیری می‌سازند و به نظر ما </w:t>
      </w:r>
      <w:r w:rsidRPr="0025250D">
        <w:t>STEEPLES</w:t>
      </w:r>
      <w:r w:rsidRPr="0025250D">
        <w:rPr>
          <w:rFonts w:hint="cs"/>
          <w:rtl/>
        </w:rPr>
        <w:t xml:space="preserve"> به یک مجموعه حداقلی </w:t>
      </w:r>
      <w:r w:rsidR="00B453C0" w:rsidRPr="0025250D">
        <w:rPr>
          <w:rFonts w:hint="cs"/>
          <w:rtl/>
        </w:rPr>
        <w:t>امکان‌پذیر</w:t>
      </w:r>
      <w:r w:rsidRPr="0025250D">
        <w:rPr>
          <w:rFonts w:hint="cs"/>
          <w:rtl/>
        </w:rPr>
        <w:t xml:space="preserve"> برای تحلیل مسائل تبدیل شده است. ما باید تفکر خود را در این جهان پیچیده گسترش دهیم. بیایید اندکی در مورد این ادعا عمیق‌تر شویم و تحلیل </w:t>
      </w:r>
      <w:r w:rsidRPr="0025250D">
        <w:t>STEEPLES</w:t>
      </w:r>
      <w:r w:rsidRPr="0025250D">
        <w:rPr>
          <w:rFonts w:hint="cs"/>
          <w:rtl/>
        </w:rPr>
        <w:t xml:space="preserve"> را برای دو مورد از موضوعات، یکی بزرگتر و دیگری کوچکتر، </w:t>
      </w:r>
      <w:r w:rsidR="00923DDB" w:rsidRPr="0025250D">
        <w:rPr>
          <w:rFonts w:hint="cs"/>
          <w:rtl/>
        </w:rPr>
        <w:t>به‌کارگیری</w:t>
      </w:r>
      <w:r w:rsidRPr="0025250D">
        <w:rPr>
          <w:rFonts w:hint="cs"/>
          <w:rtl/>
        </w:rPr>
        <w:t xml:space="preserve">م. نکات زیر بیان می‌کنند که چرا </w:t>
      </w:r>
      <w:r w:rsidRPr="0025250D">
        <w:t>STEEPLES</w:t>
      </w:r>
      <w:r w:rsidRPr="0025250D">
        <w:rPr>
          <w:rFonts w:hint="cs"/>
          <w:rtl/>
        </w:rPr>
        <w:t xml:space="preserve"> </w:t>
      </w:r>
      <w:r w:rsidRPr="0025250D">
        <w:rPr>
          <w:rFonts w:cs="Times New Roman" w:hint="cs"/>
          <w:rtl/>
        </w:rPr>
        <w:t>–</w:t>
      </w:r>
      <w:r w:rsidRPr="0025250D">
        <w:rPr>
          <w:rFonts w:hint="cs"/>
          <w:rtl/>
        </w:rPr>
        <w:t xml:space="preserve"> که با علم آغاز و با جامعه پایان می‌یابد </w:t>
      </w:r>
      <w:r w:rsidRPr="0025250D">
        <w:rPr>
          <w:rFonts w:cs="Times New Roman" w:hint="cs"/>
          <w:rtl/>
        </w:rPr>
        <w:t>–</w:t>
      </w:r>
      <w:r w:rsidRPr="0025250D">
        <w:rPr>
          <w:rFonts w:hint="cs"/>
          <w:rtl/>
        </w:rPr>
        <w:t xml:space="preserve"> یک پیشرفت قابل توجه را نسبت به </w:t>
      </w:r>
      <w:r w:rsidRPr="0025250D">
        <w:t>STEEP</w:t>
      </w:r>
      <w:r w:rsidRPr="0025250D">
        <w:rPr>
          <w:rFonts w:hint="cs"/>
          <w:rtl/>
        </w:rPr>
        <w:t>، هم برای پویش و هم برای تحلیل مسئله برای محققین ارائه می‌دهد:</w:t>
      </w:r>
    </w:p>
    <w:p w14:paraId="3E99A3DC" w14:textId="277FA39A" w:rsidR="00537CC8" w:rsidRPr="0025250D" w:rsidRDefault="00537CC8" w:rsidP="00492C47">
      <w:pPr>
        <w:numPr>
          <w:ilvl w:val="0"/>
          <w:numId w:val="49"/>
        </w:numPr>
        <w:rPr>
          <w:rtl/>
        </w:rPr>
      </w:pPr>
      <w:r w:rsidRPr="0025250D">
        <w:rPr>
          <w:rFonts w:hint="cs"/>
          <w:rtl/>
        </w:rPr>
        <w:t xml:space="preserve">اول، </w:t>
      </w:r>
      <w:r w:rsidRPr="0025250D">
        <w:t>STEEPLES</w:t>
      </w:r>
      <w:r w:rsidRPr="0025250D">
        <w:rPr>
          <w:rFonts w:hint="cs"/>
          <w:rtl/>
        </w:rPr>
        <w:t xml:space="preserve"> سه دسته اول را (به</w:t>
      </w:r>
      <w:r w:rsidRPr="0025250D">
        <w:rPr>
          <w:rtl/>
        </w:rPr>
        <w:t xml:space="preserve"> </w:t>
      </w:r>
      <w:r w:rsidRPr="0025250D">
        <w:rPr>
          <w:rFonts w:hint="cs"/>
          <w:rtl/>
        </w:rPr>
        <w:t>عنوان</w:t>
      </w:r>
      <w:r w:rsidRPr="0025250D">
        <w:rPr>
          <w:rtl/>
        </w:rPr>
        <w:t xml:space="preserve"> </w:t>
      </w:r>
      <w:r w:rsidR="008D6F97" w:rsidRPr="0025250D">
        <w:rPr>
          <w:rFonts w:hint="cs"/>
          <w:rtl/>
        </w:rPr>
        <w:t>سامانه‌</w:t>
      </w:r>
      <w:r w:rsidRPr="0025250D">
        <w:rPr>
          <w:rtl/>
        </w:rPr>
        <w:t xml:space="preserve">‌های </w:t>
      </w:r>
      <w:r w:rsidRPr="0025250D">
        <w:rPr>
          <w:rFonts w:hint="cs"/>
          <w:rtl/>
        </w:rPr>
        <w:t xml:space="preserve">پیچیده) با یک ترتیب تقریبی از سرعت تغییر و اندازه </w:t>
      </w:r>
      <w:r w:rsidRPr="0025250D">
        <w:t>ADOR</w:t>
      </w:r>
      <w:r w:rsidRPr="0025250D">
        <w:rPr>
          <w:rFonts w:hint="cs"/>
          <w:rtl/>
        </w:rPr>
        <w:t xml:space="preserve"> آن‌ها مرتب می‌کند. جامعه </w:t>
      </w:r>
      <w:r w:rsidR="00D92F6E" w:rsidRPr="0025250D">
        <w:rPr>
          <w:rFonts w:hint="cs"/>
          <w:rtl/>
        </w:rPr>
        <w:t>بنیان‌افکن</w:t>
      </w:r>
      <w:r w:rsidRPr="0025250D">
        <w:rPr>
          <w:rFonts w:hint="cs"/>
          <w:rtl/>
        </w:rPr>
        <w:t xml:space="preserve">‌ترین نیرو در جهان امروز نیست. علم، </w:t>
      </w:r>
      <w:r w:rsidR="007A53FD" w:rsidRPr="0025250D">
        <w:rPr>
          <w:rFonts w:hint="cs"/>
          <w:rtl/>
        </w:rPr>
        <w:t>فناوری</w:t>
      </w:r>
      <w:r w:rsidRPr="0025250D">
        <w:rPr>
          <w:rFonts w:hint="cs"/>
          <w:rtl/>
        </w:rPr>
        <w:t xml:space="preserve"> و اقتصاد (به ویژه کارآفرینی)، به همین ترتیب، سریع‌ترین </w:t>
      </w:r>
      <w:r w:rsidR="008D6F97" w:rsidRPr="0025250D">
        <w:rPr>
          <w:rFonts w:hint="cs"/>
          <w:rtl/>
        </w:rPr>
        <w:t>سامانه‌</w:t>
      </w:r>
      <w:r w:rsidRPr="0025250D">
        <w:rPr>
          <w:rFonts w:hint="cs"/>
          <w:rtl/>
        </w:rPr>
        <w:t xml:space="preserve">‌های مسبب </w:t>
      </w:r>
      <w:r w:rsidRPr="0025250D">
        <w:t>ADOR</w:t>
      </w:r>
      <w:r w:rsidRPr="0025250D">
        <w:rPr>
          <w:rFonts w:hint="cs"/>
          <w:rtl/>
        </w:rPr>
        <w:t xml:space="preserve"> امروزی هستند. دانش علمی بهترین </w:t>
      </w:r>
      <w:r w:rsidR="008D6F97" w:rsidRPr="0025250D">
        <w:rPr>
          <w:rFonts w:hint="cs"/>
          <w:rtl/>
        </w:rPr>
        <w:t>سامانه‌</w:t>
      </w:r>
      <w:r w:rsidRPr="0025250D">
        <w:rPr>
          <w:rFonts w:hint="cs"/>
          <w:rtl/>
        </w:rPr>
        <w:t xml:space="preserve"> کسب بینش</w:t>
      </w:r>
      <w:r w:rsidRPr="0025250D">
        <w:rPr>
          <w:vertAlign w:val="superscript"/>
          <w:rtl/>
        </w:rPr>
        <w:footnoteReference w:id="2487"/>
      </w:r>
      <w:r w:rsidRPr="0025250D">
        <w:rPr>
          <w:rFonts w:hint="cs"/>
          <w:rtl/>
        </w:rPr>
        <w:t xml:space="preserve"> بر روی زمین است و</w:t>
      </w:r>
      <w:r w:rsidRPr="0025250D">
        <w:rPr>
          <w:rtl/>
        </w:rPr>
        <w:t xml:space="preserve"> </w:t>
      </w:r>
      <w:r w:rsidRPr="0025250D">
        <w:rPr>
          <w:rFonts w:hint="cs"/>
          <w:rtl/>
        </w:rPr>
        <w:t>سریع</w:t>
      </w:r>
      <w:r w:rsidRPr="0025250D">
        <w:rPr>
          <w:rtl/>
        </w:rPr>
        <w:t xml:space="preserve">‌ترین </w:t>
      </w:r>
      <w:r w:rsidRPr="0025250D">
        <w:rPr>
          <w:rFonts w:hint="cs"/>
          <w:rtl/>
        </w:rPr>
        <w:t xml:space="preserve">پیشرفت را دارد. کتاب بسیار خوب </w:t>
      </w:r>
      <w:r w:rsidRPr="0025250D">
        <w:rPr>
          <w:rtl/>
        </w:rPr>
        <w:t>والنت</w:t>
      </w:r>
      <w:r w:rsidRPr="0025250D">
        <w:rPr>
          <w:rFonts w:hint="cs"/>
          <w:rtl/>
        </w:rPr>
        <w:t>ی</w:t>
      </w:r>
      <w:r w:rsidRPr="0025250D">
        <w:rPr>
          <w:rFonts w:hint="eastAsia"/>
          <w:rtl/>
        </w:rPr>
        <w:t>ن</w:t>
      </w:r>
      <w:r w:rsidRPr="0025250D">
        <w:rPr>
          <w:rtl/>
        </w:rPr>
        <w:t xml:space="preserve"> تورچ</w:t>
      </w:r>
      <w:r w:rsidRPr="0025250D">
        <w:rPr>
          <w:rFonts w:hint="cs"/>
          <w:rtl/>
        </w:rPr>
        <w:t>ی</w:t>
      </w:r>
      <w:r w:rsidRPr="0025250D">
        <w:rPr>
          <w:rFonts w:hint="eastAsia"/>
          <w:rtl/>
        </w:rPr>
        <w:t>ن</w:t>
      </w:r>
      <w:r w:rsidRPr="0025250D">
        <w:rPr>
          <w:vertAlign w:val="superscript"/>
          <w:rtl/>
        </w:rPr>
        <w:footnoteReference w:id="2488"/>
      </w:r>
      <w:r w:rsidRPr="0025250D">
        <w:rPr>
          <w:rFonts w:hint="cs"/>
          <w:rtl/>
        </w:rPr>
        <w:t xml:space="preserve"> با عنوان پدیده علم</w:t>
      </w:r>
      <w:r w:rsidRPr="0025250D">
        <w:rPr>
          <w:vertAlign w:val="superscript"/>
          <w:rtl/>
        </w:rPr>
        <w:footnoteReference w:id="2489"/>
      </w:r>
      <w:r w:rsidRPr="0025250D">
        <w:rPr>
          <w:rFonts w:hint="cs"/>
          <w:rtl/>
        </w:rPr>
        <w:t xml:space="preserve"> در سال 1977 را برای اطلاعات بیشتری درمورد این ادعا ببینید. سریع‌ترین دسته بعدی </w:t>
      </w:r>
      <w:r w:rsidR="007A53FD" w:rsidRPr="0025250D">
        <w:rPr>
          <w:rFonts w:hint="cs"/>
          <w:rtl/>
        </w:rPr>
        <w:t>فناوری</w:t>
      </w:r>
      <w:r w:rsidRPr="0025250D">
        <w:rPr>
          <w:rFonts w:hint="cs"/>
          <w:rtl/>
        </w:rPr>
        <w:t xml:space="preserve"> است که خود یک </w:t>
      </w:r>
      <w:r w:rsidR="008D6F97" w:rsidRPr="0025250D">
        <w:rPr>
          <w:rFonts w:hint="cs"/>
          <w:rtl/>
        </w:rPr>
        <w:t>سامانه‌</w:t>
      </w:r>
      <w:r w:rsidRPr="0025250D">
        <w:rPr>
          <w:rFonts w:hint="cs"/>
          <w:rtl/>
        </w:rPr>
        <w:t xml:space="preserve"> یادگیری و انجام خلاق است که تا حدی تحت هدایت علم است. سریع‌ترین مورد بعدی ایجاد ثروت </w:t>
      </w:r>
      <w:r w:rsidR="007B3B35" w:rsidRPr="0025250D">
        <w:rPr>
          <w:rFonts w:hint="cs"/>
          <w:rtl/>
        </w:rPr>
        <w:t>شتاب‌گیر</w:t>
      </w:r>
      <w:r w:rsidRPr="0025250D">
        <w:rPr>
          <w:rFonts w:hint="cs"/>
          <w:rtl/>
        </w:rPr>
        <w:t xml:space="preserve">نده است که در اقتصاد با نام بهره وری </w:t>
      </w:r>
      <w:r w:rsidR="007A53FD" w:rsidRPr="0025250D">
        <w:rPr>
          <w:rFonts w:hint="cs"/>
          <w:rtl/>
        </w:rPr>
        <w:t>فناورانه</w:t>
      </w:r>
      <w:r w:rsidRPr="0025250D">
        <w:rPr>
          <w:rFonts w:hint="cs"/>
          <w:rtl/>
        </w:rPr>
        <w:t xml:space="preserve">، بزرگترین کمک کننده به </w:t>
      </w:r>
      <w:r w:rsidRPr="0025250D">
        <w:t>GDP</w:t>
      </w:r>
      <w:r w:rsidRPr="0025250D">
        <w:rPr>
          <w:rFonts w:hint="cs"/>
          <w:rtl/>
        </w:rPr>
        <w:t xml:space="preserve"> بیش‌تر شناخته می‌شود. عوامل </w:t>
      </w:r>
      <w:r w:rsidRPr="0025250D">
        <w:t>STEEPLES</w:t>
      </w:r>
      <w:r w:rsidRPr="0025250D">
        <w:rPr>
          <w:rFonts w:hint="cs"/>
          <w:rtl/>
        </w:rPr>
        <w:t xml:space="preserve"> باقی مانده یک ترتیب اختیاری‌تر در سرعت و تأثیر </w:t>
      </w:r>
      <w:r w:rsidRPr="0025250D">
        <w:t>ADOR</w:t>
      </w:r>
      <w:r w:rsidRPr="0025250D">
        <w:rPr>
          <w:rFonts w:hint="cs"/>
          <w:rtl/>
        </w:rPr>
        <w:t xml:space="preserve"> دارند.</w:t>
      </w:r>
    </w:p>
    <w:p w14:paraId="27300850" w14:textId="61E4C711" w:rsidR="00537CC8" w:rsidRPr="0025250D" w:rsidRDefault="00537CC8" w:rsidP="00492C47">
      <w:pPr>
        <w:numPr>
          <w:ilvl w:val="0"/>
          <w:numId w:val="49"/>
        </w:numPr>
        <w:rPr>
          <w:rtl/>
        </w:rPr>
      </w:pPr>
      <w:r w:rsidRPr="0025250D">
        <w:rPr>
          <w:rFonts w:hint="cs"/>
          <w:rtl/>
        </w:rPr>
        <w:t xml:space="preserve">آغاز پویش با علم می‌تواند بقیه کار پویش را مبتنی بر شواهد سازد. وقتی ما وضعیت علم را درک کنیم، کم‌تر احتمال دارد که فریب تبلیغات، تفکر واهی و ادعا‌های بسیار بزرگ در پویش و تحلیل در دسته‌های باقی مانده را بخوریم. عامل حیاتی برای بسیاری از رویداد‌های </w:t>
      </w:r>
      <w:r w:rsidR="007A53FD" w:rsidRPr="0025250D">
        <w:rPr>
          <w:rFonts w:hint="cs"/>
          <w:rtl/>
        </w:rPr>
        <w:t>فناوری</w:t>
      </w:r>
      <w:r w:rsidRPr="0025250D">
        <w:rPr>
          <w:rFonts w:hint="cs"/>
          <w:rtl/>
        </w:rPr>
        <w:t xml:space="preserve"> اغلب وضعیت موجود علم در پس زمینه </w:t>
      </w:r>
      <w:r w:rsidR="007A53FD" w:rsidRPr="0025250D">
        <w:rPr>
          <w:rFonts w:hint="cs"/>
          <w:rtl/>
        </w:rPr>
        <w:t>فناوری</w:t>
      </w:r>
      <w:r w:rsidRPr="0025250D">
        <w:rPr>
          <w:rFonts w:hint="cs"/>
          <w:rtl/>
        </w:rPr>
        <w:t xml:space="preserve">‌ها است؛ هم علم نظری (مدل‌هایی برای پتانسیل نظری </w:t>
      </w:r>
      <w:r w:rsidR="007A53FD" w:rsidRPr="0025250D">
        <w:rPr>
          <w:rFonts w:hint="cs"/>
          <w:rtl/>
        </w:rPr>
        <w:t>فناوری</w:t>
      </w:r>
      <w:r w:rsidRPr="0025250D">
        <w:rPr>
          <w:rFonts w:hint="cs"/>
          <w:rtl/>
        </w:rPr>
        <w:t xml:space="preserve">) و </w:t>
      </w:r>
      <w:r w:rsidR="009F0114" w:rsidRPr="0025250D">
        <w:rPr>
          <w:rFonts w:hint="cs"/>
          <w:rtl/>
        </w:rPr>
        <w:t xml:space="preserve">هم </w:t>
      </w:r>
      <w:r w:rsidRPr="0025250D">
        <w:rPr>
          <w:rFonts w:hint="cs"/>
          <w:rtl/>
        </w:rPr>
        <w:t xml:space="preserve">علم تجربی (انواع و کیفیت آزمایش‌های تحقیق و توسعه که در این زمینه اتفاق می‌افتند). دانستن وضعیت موجود علم و </w:t>
      </w:r>
      <w:r w:rsidR="007A53FD" w:rsidRPr="0025250D">
        <w:rPr>
          <w:rFonts w:hint="cs"/>
          <w:rtl/>
        </w:rPr>
        <w:t>فناوری</w:t>
      </w:r>
      <w:r w:rsidRPr="0025250D">
        <w:rPr>
          <w:rFonts w:hint="cs"/>
          <w:rtl/>
        </w:rPr>
        <w:t>، در عوض، می‌تواند به ما برای تنظیم آینده نگری</w:t>
      </w:r>
      <w:r w:rsidRPr="0025250D">
        <w:rPr>
          <w:vertAlign w:val="superscript"/>
          <w:rtl/>
        </w:rPr>
        <w:footnoteReference w:id="2490"/>
      </w:r>
      <w:r w:rsidRPr="0025250D">
        <w:rPr>
          <w:rFonts w:hint="cs"/>
          <w:rtl/>
        </w:rPr>
        <w:t xml:space="preserve"> اقتصادی نیز کمک کند.</w:t>
      </w:r>
    </w:p>
    <w:p w14:paraId="78BBB349" w14:textId="3602A3D2" w:rsidR="00537CC8" w:rsidRPr="0025250D" w:rsidRDefault="00537CC8" w:rsidP="00492C47">
      <w:pPr>
        <w:numPr>
          <w:ilvl w:val="0"/>
          <w:numId w:val="49"/>
        </w:numPr>
        <w:rPr>
          <w:rtl/>
        </w:rPr>
      </w:pPr>
      <w:r w:rsidRPr="0025250D">
        <w:rPr>
          <w:rFonts w:hint="cs"/>
          <w:rtl/>
        </w:rPr>
        <w:t xml:space="preserve">قرار دادن جامعه در جایگاه انتهایی در فهرست </w:t>
      </w:r>
      <w:r w:rsidRPr="0025250D">
        <w:t>STEEPLES</w:t>
      </w:r>
      <w:r w:rsidRPr="0025250D">
        <w:rPr>
          <w:rFonts w:hint="cs"/>
          <w:rtl/>
        </w:rPr>
        <w:t xml:space="preserve"> به ما یادآوری می‌کند که برای ارزیابی مناسب آینده‌های اجتماعی، ما باید ابتدا هفت دسته دیگر </w:t>
      </w:r>
      <w:r w:rsidRPr="0025250D">
        <w:t>STEEPLE</w:t>
      </w:r>
      <w:r w:rsidRPr="0025250D">
        <w:rPr>
          <w:rFonts w:hint="cs"/>
          <w:rtl/>
        </w:rPr>
        <w:t xml:space="preserve"> را به عنوان مقدمات آن در نظر بگیریم. ما تغییرات جمعیت</w:t>
      </w:r>
      <w:r w:rsidRPr="0025250D">
        <w:rPr>
          <w:rtl/>
        </w:rPr>
        <w:t xml:space="preserve"> </w:t>
      </w:r>
      <w:r w:rsidRPr="0025250D">
        <w:rPr>
          <w:rFonts w:hint="cs"/>
          <w:rtl/>
        </w:rPr>
        <w:t xml:space="preserve">شناختی قابل پیش‌بینی را نیز در دسته جامعه قرار می‌دهیم. بیش‌تر ما بیش از همه برای دسته جامعه ارزش قائل هستیم، اما وابستگی آن به دیگر عوامل را در نظر داشته باشید. جامعه اغلب مجبور به </w:t>
      </w:r>
      <w:r w:rsidR="00B124DE" w:rsidRPr="0025250D">
        <w:rPr>
          <w:rFonts w:hint="cs"/>
          <w:rtl/>
        </w:rPr>
        <w:t>انطباق‌پذیر</w:t>
      </w:r>
      <w:r w:rsidRPr="0025250D">
        <w:rPr>
          <w:rFonts w:hint="cs"/>
          <w:rtl/>
        </w:rPr>
        <w:t xml:space="preserve">ی با تغییرات محیطی، سیاسی، قانونی و اخلاقی مختلف در پاسخ به تغییرات </w:t>
      </w:r>
      <w:r w:rsidRPr="0025250D">
        <w:t>STE</w:t>
      </w:r>
      <w:r w:rsidRPr="0025250D">
        <w:rPr>
          <w:rFonts w:hint="cs"/>
          <w:rtl/>
        </w:rPr>
        <w:t xml:space="preserve"> مختلف </w:t>
      </w:r>
      <w:r w:rsidR="009F0114" w:rsidRPr="0025250D">
        <w:rPr>
          <w:rFonts w:hint="cs"/>
          <w:rtl/>
        </w:rPr>
        <w:t xml:space="preserve">شده است که </w:t>
      </w:r>
      <w:r w:rsidRPr="0025250D">
        <w:rPr>
          <w:rFonts w:hint="cs"/>
          <w:rtl/>
        </w:rPr>
        <w:t>بسیاری ذاتا نمایی هستند. با یک تخمین تقریبی،</w:t>
      </w:r>
      <w:r w:rsidR="008D6F97" w:rsidRPr="0025250D">
        <w:t xml:space="preserve"> </w:t>
      </w:r>
      <w:r w:rsidRPr="0025250D">
        <w:t>STEEPLES</w:t>
      </w:r>
      <w:r w:rsidRPr="0025250D">
        <w:rPr>
          <w:rFonts w:hint="cs"/>
          <w:rtl/>
        </w:rPr>
        <w:t xml:space="preserve"> این پویایی تاریخی کلیدی را که اغلب اشتباها جبر</w:t>
      </w:r>
      <w:r w:rsidRPr="0025250D">
        <w:rPr>
          <w:rtl/>
        </w:rPr>
        <w:t xml:space="preserve"> </w:t>
      </w:r>
      <w:r w:rsidR="007A53FD" w:rsidRPr="0025250D">
        <w:rPr>
          <w:rFonts w:hint="cs"/>
          <w:rtl/>
        </w:rPr>
        <w:t>فناورانه</w:t>
      </w:r>
      <w:r w:rsidRPr="0025250D">
        <w:rPr>
          <w:vertAlign w:val="superscript"/>
          <w:rtl/>
        </w:rPr>
        <w:footnoteReference w:id="2491"/>
      </w:r>
      <w:r w:rsidRPr="0025250D">
        <w:rPr>
          <w:rFonts w:hint="cs"/>
          <w:rtl/>
        </w:rPr>
        <w:t xml:space="preserve"> نامیده می‌شود، در بر می‌گیرد.</w:t>
      </w:r>
    </w:p>
    <w:p w14:paraId="53D9E9A2" w14:textId="316D82F5" w:rsidR="00537CC8" w:rsidRPr="0025250D" w:rsidRDefault="00537CC8" w:rsidP="00537CC8">
      <w:pPr>
        <w:rPr>
          <w:rtl/>
        </w:rPr>
      </w:pPr>
      <w:r w:rsidRPr="0025250D">
        <w:t>STEEPLES</w:t>
      </w:r>
      <w:r w:rsidRPr="0025250D">
        <w:rPr>
          <w:rFonts w:hint="cs"/>
          <w:rtl/>
        </w:rPr>
        <w:t xml:space="preserve"> ادعا می‌کند که قوانین علمی و قانونی و نگرانی‌های اخلاقی و عدالتی </w:t>
      </w:r>
      <w:r w:rsidR="008F0DD8" w:rsidRPr="0025250D">
        <w:rPr>
          <w:rFonts w:hint="cs"/>
          <w:rtl/>
        </w:rPr>
        <w:t>آن‌قدر</w:t>
      </w:r>
      <w:r w:rsidRPr="0025250D">
        <w:rPr>
          <w:rFonts w:hint="cs"/>
          <w:rtl/>
        </w:rPr>
        <w:t xml:space="preserve"> قدرتمند و مهم </w:t>
      </w:r>
      <w:r w:rsidR="00185F3E" w:rsidRPr="0025250D">
        <w:rPr>
          <w:rFonts w:hint="cs"/>
          <w:rtl/>
        </w:rPr>
        <w:t>شده‌اند</w:t>
      </w:r>
      <w:r w:rsidRPr="0025250D">
        <w:rPr>
          <w:rFonts w:hint="cs"/>
          <w:rtl/>
        </w:rPr>
        <w:t xml:space="preserve"> که به نادیده گرفتن دسته‌های یادگیری و تحلیل در کار </w:t>
      </w:r>
      <w:r w:rsidRPr="0025250D">
        <w:rPr>
          <w:rtl/>
        </w:rPr>
        <w:t>آینده‌نگاری</w:t>
      </w:r>
      <w:r w:rsidRPr="0025250D">
        <w:rPr>
          <w:rFonts w:hint="cs"/>
          <w:rtl/>
        </w:rPr>
        <w:t xml:space="preserve"> اجتماعی و بسیاری از موارد سازمانی ادامه می‌دهند. در نظر بگیرید که چه مقدار علم، قانون و اخلاقیات آینده بسیاری از موضوعات را تعیین می‌کنند. وضعیت علم تعیین کننده چیز‌هایی که می‌دانیم و بسیاری از آنچه احتمالا با هر </w:t>
      </w:r>
      <w:r w:rsidR="007A53FD" w:rsidRPr="0025250D">
        <w:rPr>
          <w:rFonts w:hint="cs"/>
          <w:rtl/>
        </w:rPr>
        <w:t>فناوری</w:t>
      </w:r>
      <w:r w:rsidRPr="0025250D">
        <w:rPr>
          <w:rFonts w:hint="cs"/>
          <w:rtl/>
        </w:rPr>
        <w:t xml:space="preserve"> به آن خواهیم رسید، می‌باشد. بسیاری از قوانین موجود ناعادلانه هستند و مشکلات اجتماعی را دائمی می‌سازند. بسیاری از رهبران تصمیمات اخلاقی ضعیفی می‌گیرند. انحرافات بزرگ و کوچک اخلاقی رهبران سیاسی مان را در نظر بگیرید. پاسخ بی توجه دولت ترامپ به </w:t>
      </w:r>
      <w:r w:rsidRPr="0025250D">
        <w:rPr>
          <w:rtl/>
        </w:rPr>
        <w:t>کوو</w:t>
      </w:r>
      <w:r w:rsidRPr="0025250D">
        <w:rPr>
          <w:rFonts w:hint="cs"/>
          <w:rtl/>
        </w:rPr>
        <w:t>ی</w:t>
      </w:r>
      <w:r w:rsidRPr="0025250D">
        <w:rPr>
          <w:rFonts w:hint="eastAsia"/>
          <w:rtl/>
        </w:rPr>
        <w:t>د</w:t>
      </w:r>
      <w:r w:rsidRPr="0025250D">
        <w:rPr>
          <w:rtl/>
        </w:rPr>
        <w:t>-۱۹</w:t>
      </w:r>
      <w:r w:rsidRPr="0025250D">
        <w:rPr>
          <w:rFonts w:hint="cs"/>
          <w:rtl/>
        </w:rPr>
        <w:t xml:space="preserve"> تنها واضح‌ترین و آسیب زننده‌ترین مورد در تاریخ معاصر است. در دنیای پیچیده ما، علم، قانون و اخلاق بیش از همیشه اهمیت دارند.</w:t>
      </w:r>
    </w:p>
    <w:p w14:paraId="69E4DE44" w14:textId="064D6254" w:rsidR="00537CC8" w:rsidRPr="0025250D" w:rsidRDefault="00537CC8" w:rsidP="00537CC8">
      <w:pPr>
        <w:rPr>
          <w:rtl/>
        </w:rPr>
      </w:pPr>
      <w:r w:rsidRPr="0025250D">
        <w:t>STEEPLES</w:t>
      </w:r>
      <w:r w:rsidRPr="0025250D">
        <w:rPr>
          <w:rFonts w:hint="cs"/>
          <w:rtl/>
        </w:rPr>
        <w:t xml:space="preserve"> می‌تواند همچنین به ما برای دیدن محدودیت‌ها و قیود </w:t>
      </w:r>
      <w:r w:rsidR="007A53FD" w:rsidRPr="0025250D">
        <w:rPr>
          <w:rFonts w:hint="cs"/>
          <w:rtl/>
        </w:rPr>
        <w:t>فناوری</w:t>
      </w:r>
      <w:r w:rsidRPr="0025250D">
        <w:rPr>
          <w:rFonts w:hint="cs"/>
          <w:rtl/>
        </w:rPr>
        <w:t xml:space="preserve">، در زمانی که در تبلیغات و شور و شوق </w:t>
      </w:r>
      <w:r w:rsidR="007A53FD" w:rsidRPr="0025250D">
        <w:rPr>
          <w:rFonts w:hint="cs"/>
          <w:rtl/>
        </w:rPr>
        <w:t>فناورانه</w:t>
      </w:r>
      <w:r w:rsidRPr="0025250D">
        <w:rPr>
          <w:rFonts w:hint="cs"/>
          <w:rtl/>
        </w:rPr>
        <w:t xml:space="preserve"> غرق شده ایم، کمک کند. اگر یک </w:t>
      </w:r>
      <w:r w:rsidRPr="0025250D">
        <w:rPr>
          <w:rtl/>
        </w:rPr>
        <w:t>آینده‌نگار</w:t>
      </w:r>
      <w:r w:rsidRPr="0025250D">
        <w:rPr>
          <w:rFonts w:hint="cs"/>
          <w:rtl/>
        </w:rPr>
        <w:t xml:space="preserve"> بخواهد این پرسش را که آیا زیست فناوری، داروشناسی، دار</w:t>
      </w:r>
      <w:r w:rsidR="0044659F" w:rsidRPr="0025250D">
        <w:rPr>
          <w:rFonts w:hint="cs"/>
          <w:rtl/>
        </w:rPr>
        <w:t>و</w:t>
      </w:r>
      <w:r w:rsidRPr="0025250D">
        <w:rPr>
          <w:rFonts w:hint="cs"/>
          <w:rtl/>
        </w:rPr>
        <w:t xml:space="preserve">های </w:t>
      </w:r>
      <w:r w:rsidR="0044659F" w:rsidRPr="0025250D">
        <w:rPr>
          <w:rFonts w:hint="cs"/>
          <w:rtl/>
        </w:rPr>
        <w:t>زیستی</w:t>
      </w:r>
      <w:r w:rsidRPr="0025250D">
        <w:rPr>
          <w:rFonts w:hint="cs"/>
          <w:rtl/>
        </w:rPr>
        <w:t>، فناوری اطلاعات، نمک زدایی، فوتوولتائیک، بیولوژی مصنوعی، رابط‌های کاربری مغز-ماشین یا هر</w:t>
      </w:r>
      <w:r w:rsidR="007A53FD" w:rsidRPr="0025250D">
        <w:rPr>
          <w:rFonts w:hint="cs"/>
          <w:rtl/>
        </w:rPr>
        <w:t>فناوری</w:t>
      </w:r>
      <w:r w:rsidRPr="0025250D">
        <w:rPr>
          <w:rFonts w:hint="cs"/>
          <w:rtl/>
        </w:rPr>
        <w:t xml:space="preserve"> احتمالا </w:t>
      </w:r>
      <w:r w:rsidR="00D92F6E" w:rsidRPr="0025250D">
        <w:rPr>
          <w:rFonts w:hint="cs"/>
          <w:rtl/>
        </w:rPr>
        <w:t>بنیان‌افکن</w:t>
      </w:r>
      <w:r w:rsidRPr="0025250D">
        <w:rPr>
          <w:rFonts w:hint="cs"/>
          <w:rtl/>
        </w:rPr>
        <w:t xml:space="preserve"> دیگری در حقیقت در جهت بهبود قابل توجه در دهه بعدی قرار دار</w:t>
      </w:r>
      <w:r w:rsidR="009F0114" w:rsidRPr="0025250D">
        <w:rPr>
          <w:rFonts w:hint="cs"/>
          <w:rtl/>
        </w:rPr>
        <w:t>ن</w:t>
      </w:r>
      <w:r w:rsidRPr="0025250D">
        <w:rPr>
          <w:rFonts w:hint="cs"/>
          <w:rtl/>
        </w:rPr>
        <w:t xml:space="preserve">د یا در مقابل، آیا بیش‌ازحد اغراق شده و احتمالا در این </w:t>
      </w:r>
      <w:r w:rsidR="00B13F65" w:rsidRPr="0025250D">
        <w:rPr>
          <w:rFonts w:hint="cs"/>
          <w:rtl/>
        </w:rPr>
        <w:t>چارچوب</w:t>
      </w:r>
      <w:r w:rsidRPr="0025250D">
        <w:rPr>
          <w:rFonts w:hint="cs"/>
          <w:rtl/>
        </w:rPr>
        <w:t xml:space="preserve"> زمانی عملکرد ضعیف تری خواه</w:t>
      </w:r>
      <w:r w:rsidR="009F0114" w:rsidRPr="0025250D">
        <w:rPr>
          <w:rFonts w:hint="cs"/>
          <w:rtl/>
        </w:rPr>
        <w:t>ن</w:t>
      </w:r>
      <w:r w:rsidRPr="0025250D">
        <w:rPr>
          <w:rFonts w:hint="cs"/>
          <w:rtl/>
        </w:rPr>
        <w:t xml:space="preserve">د داشت، درک کند، یک ارزیابی از نظر متخصصین هم در علوم و هم در </w:t>
      </w:r>
      <w:r w:rsidR="007A53FD" w:rsidRPr="0025250D">
        <w:rPr>
          <w:rFonts w:hint="cs"/>
          <w:rtl/>
        </w:rPr>
        <w:t>فناوری</w:t>
      </w:r>
      <w:r w:rsidRPr="0025250D">
        <w:rPr>
          <w:rFonts w:hint="cs"/>
          <w:rtl/>
        </w:rPr>
        <w:t xml:space="preserve"> همواره اولین گام حیاتی است. این امر باید با یک تحلیل سریع از دسته‌های </w:t>
      </w:r>
      <w:r w:rsidRPr="0025250D">
        <w:t>STEEPLES</w:t>
      </w:r>
      <w:r w:rsidRPr="0025250D">
        <w:rPr>
          <w:rFonts w:hint="cs"/>
          <w:rtl/>
        </w:rPr>
        <w:t xml:space="preserve"> باقی مانده (و </w:t>
      </w:r>
      <w:r w:rsidR="008D6F97" w:rsidRPr="0025250D">
        <w:rPr>
          <w:rFonts w:hint="cs"/>
          <w:rtl/>
        </w:rPr>
        <w:t>سامانه‌</w:t>
      </w:r>
      <w:r w:rsidRPr="0025250D">
        <w:rPr>
          <w:rFonts w:hint="cs"/>
          <w:rtl/>
        </w:rPr>
        <w:t xml:space="preserve"> ها)، برای قرار دادن موضوع، نوآوری یا مسئله در بافت اجتماعی مناسب دنبال شود.</w:t>
      </w:r>
    </w:p>
    <w:p w14:paraId="0C2FBE8F" w14:textId="77777777" w:rsidR="00537CC8" w:rsidRPr="0025250D" w:rsidRDefault="00537CC8" w:rsidP="00537CC8">
      <w:pPr>
        <w:rPr>
          <w:rtl/>
        </w:rPr>
      </w:pPr>
      <w:r w:rsidRPr="0025250D">
        <w:rPr>
          <w:rFonts w:hint="cs"/>
          <w:rtl/>
        </w:rPr>
        <w:t>بیایید نگاه مختصری به دو مثال داشته باشیم و با یک مسئله کلان که اهمیت گسترده‌ای برای ذات آینده ما دارد آغاز کنیم.</w:t>
      </w:r>
    </w:p>
    <w:p w14:paraId="1EAE1DFD" w14:textId="28C2062E" w:rsidR="00537CC8" w:rsidRPr="0025250D" w:rsidRDefault="00537CC8" w:rsidP="00537CC8">
      <w:pPr>
        <w:rPr>
          <w:b/>
          <w:bCs/>
          <w:rtl/>
        </w:rPr>
      </w:pPr>
      <w:r w:rsidRPr="0025250D">
        <w:rPr>
          <w:rFonts w:hint="cs"/>
          <w:b/>
          <w:bCs/>
          <w:rtl/>
        </w:rPr>
        <w:t xml:space="preserve">آینده‌های صنعت </w:t>
      </w:r>
      <w:r w:rsidR="007A53FD" w:rsidRPr="0025250D">
        <w:rPr>
          <w:rFonts w:hint="cs"/>
          <w:b/>
          <w:bCs/>
          <w:rtl/>
        </w:rPr>
        <w:t>زیست‌فناوری</w:t>
      </w:r>
      <w:r w:rsidRPr="0025250D">
        <w:rPr>
          <w:rFonts w:hint="cs"/>
          <w:b/>
          <w:bCs/>
          <w:rtl/>
        </w:rPr>
        <w:t xml:space="preserve"> در مقابل فناوری اطلاعات: یک تحلیل </w:t>
      </w:r>
      <w:r w:rsidRPr="0025250D">
        <w:rPr>
          <w:b/>
          <w:bCs/>
        </w:rPr>
        <w:t>STEEPLES</w:t>
      </w:r>
      <w:r w:rsidRPr="0025250D">
        <w:rPr>
          <w:rFonts w:hint="cs"/>
          <w:b/>
          <w:bCs/>
          <w:rtl/>
        </w:rPr>
        <w:t xml:space="preserve"> خلاصه</w:t>
      </w:r>
    </w:p>
    <w:p w14:paraId="18C12291" w14:textId="64BF0B2E" w:rsidR="00537CC8" w:rsidRPr="0025250D" w:rsidRDefault="00537CC8" w:rsidP="00537CC8">
      <w:pPr>
        <w:rPr>
          <w:rtl/>
        </w:rPr>
      </w:pPr>
      <w:r w:rsidRPr="0025250D">
        <w:rPr>
          <w:rFonts w:hint="cs"/>
          <w:rtl/>
        </w:rPr>
        <w:t xml:space="preserve">وقتی از </w:t>
      </w:r>
      <w:r w:rsidRPr="0025250D">
        <w:t>STEEPLES</w:t>
      </w:r>
      <w:r w:rsidRPr="0025250D">
        <w:rPr>
          <w:rFonts w:hint="cs"/>
          <w:rtl/>
        </w:rPr>
        <w:t xml:space="preserve"> برای ارزیابی آینده </w:t>
      </w:r>
      <w:r w:rsidR="007A53FD" w:rsidRPr="0025250D">
        <w:rPr>
          <w:rFonts w:hint="cs"/>
          <w:rtl/>
        </w:rPr>
        <w:t>زیست‌فناوری</w:t>
      </w:r>
      <w:r w:rsidRPr="0025250D">
        <w:rPr>
          <w:rFonts w:hint="cs"/>
          <w:rtl/>
        </w:rPr>
        <w:t xml:space="preserve">، </w:t>
      </w:r>
      <w:r w:rsidR="007A53FD" w:rsidRPr="0025250D">
        <w:rPr>
          <w:rFonts w:hint="cs"/>
          <w:rtl/>
        </w:rPr>
        <w:t>فناوری</w:t>
      </w:r>
      <w:r w:rsidRPr="0025250D">
        <w:rPr>
          <w:rFonts w:hint="cs"/>
          <w:rtl/>
        </w:rPr>
        <w:t xml:space="preserve"> دارویی و پزشکی </w:t>
      </w:r>
      <w:r w:rsidR="00127288" w:rsidRPr="0025250D">
        <w:rPr>
          <w:rFonts w:hint="cs"/>
          <w:rtl/>
        </w:rPr>
        <w:t>زیستی</w:t>
      </w:r>
      <w:r w:rsidRPr="0025250D">
        <w:rPr>
          <w:rFonts w:hint="cs"/>
          <w:rtl/>
        </w:rPr>
        <w:t xml:space="preserve"> به عنوان صنایع استفاده می‌کنیم، در ابتدا در می‌یابیم که از نظر علمی، هنوز دانش بسیار کمی درمورد کارکرد حقیقی بیولوژی مولکولی درون </w:t>
      </w:r>
      <w:r w:rsidR="008D6F97" w:rsidRPr="0025250D">
        <w:rPr>
          <w:rFonts w:hint="cs"/>
          <w:rtl/>
        </w:rPr>
        <w:t>سامانه‌</w:t>
      </w:r>
      <w:r w:rsidRPr="0025250D">
        <w:rPr>
          <w:rFonts w:hint="cs"/>
          <w:rtl/>
        </w:rPr>
        <w:t>‌های زنده داریم. ما بخش‌ها</w:t>
      </w:r>
      <w:r w:rsidR="009F0114" w:rsidRPr="0025250D">
        <w:rPr>
          <w:rFonts w:hint="cs"/>
          <w:rtl/>
        </w:rPr>
        <w:t>ی</w:t>
      </w:r>
      <w:r w:rsidRPr="0025250D">
        <w:rPr>
          <w:rFonts w:hint="cs"/>
          <w:rtl/>
        </w:rPr>
        <w:t xml:space="preserve"> مختلف را نام گذاری </w:t>
      </w:r>
      <w:r w:rsidR="00950293" w:rsidRPr="0025250D">
        <w:rPr>
          <w:rFonts w:hint="cs"/>
          <w:rtl/>
        </w:rPr>
        <w:t>کرده‌ایم</w:t>
      </w:r>
      <w:r w:rsidRPr="0025250D">
        <w:rPr>
          <w:rFonts w:hint="cs"/>
          <w:rtl/>
        </w:rPr>
        <w:t xml:space="preserve"> اما هنوز تا حد زیادی نمی‌توانیم چگونگی تعامل آن‌ها را پیش‌بینی کنیم. تا زمانی که علم پیش‌بینی که به شبیه سازی‌های کامپیوترهای کوانتومی از ژن‌ها و پروتئین‌هایی که در سلول کار می‌کنند نیاز دارد که احتمالا تا چندین دهه بعد این اتفاق رخ نخواهد داد، پیشرفت‌های </w:t>
      </w:r>
      <w:r w:rsidR="007A53FD" w:rsidRPr="0025250D">
        <w:rPr>
          <w:rFonts w:hint="cs"/>
          <w:rtl/>
        </w:rPr>
        <w:t>زیست‌فناورانه</w:t>
      </w:r>
      <w:r w:rsidRPr="0025250D">
        <w:rPr>
          <w:rFonts w:hint="cs"/>
          <w:rtl/>
        </w:rPr>
        <w:t xml:space="preserve"> و صنایع دارویی به‌شدت عملکرد ضعیف تری خواهند داشت. به علاوه، همه آزمایش‌های دارویی و پزشکی که در حیوانات پیچیده‌تر و انسان‌ها انجام می‌دهیم، همچنان در معرض سهل انگاری زیست محیطی، سیاسی، قانونی، اخلاقی و اجتماعی شدید خواهند بود. به بیان دیگر، ما هنوز واقعا نمی‌دانیم که وقتی در این صنایع نوآوری می‌کنیم چه کاری انجام می‌دهیم و نمی‌توانیم آزمایش‌های تجربی زیادی به دلایل اخلاقی خوب انجام دهیم.</w:t>
      </w:r>
    </w:p>
    <w:p w14:paraId="4457DC3B" w14:textId="518261BC" w:rsidR="00537CC8" w:rsidRPr="0025250D" w:rsidRDefault="007118DE" w:rsidP="00537CC8">
      <w:pPr>
        <w:rPr>
          <w:rtl/>
        </w:rPr>
      </w:pPr>
      <w:r w:rsidRPr="0025250D">
        <w:rPr>
          <w:rFonts w:hint="cs"/>
          <w:rtl/>
        </w:rPr>
        <w:t>همان‌طور</w:t>
      </w:r>
      <w:r w:rsidR="00537CC8" w:rsidRPr="0025250D">
        <w:rPr>
          <w:rFonts w:hint="cs"/>
          <w:rtl/>
        </w:rPr>
        <w:t xml:space="preserve"> که در </w:t>
      </w:r>
      <w:r w:rsidR="00537CC8" w:rsidRPr="0025250D">
        <w:t>BPF</w:t>
      </w:r>
      <w:r w:rsidR="00537CC8" w:rsidRPr="0025250D">
        <w:rPr>
          <w:rFonts w:hint="cs"/>
          <w:rtl/>
        </w:rPr>
        <w:t xml:space="preserve"> بیان خواهیم کرد، می‌توانیم همچنین امروزه افرادی را ببینیم که به دنبال استفاده از ابزارهای نوظهور ژنتیکی و </w:t>
      </w:r>
      <w:r w:rsidR="007A53FD" w:rsidRPr="0025250D">
        <w:rPr>
          <w:rFonts w:hint="cs"/>
          <w:rtl/>
        </w:rPr>
        <w:t>زیست‌فناورانه</w:t>
      </w:r>
      <w:r w:rsidR="00537CC8" w:rsidRPr="0025250D">
        <w:rPr>
          <w:rFonts w:hint="cs"/>
          <w:rtl/>
        </w:rPr>
        <w:t xml:space="preserve"> مانند </w:t>
      </w:r>
      <w:r w:rsidR="00537CC8" w:rsidRPr="0025250D">
        <w:t>CRISPR</w:t>
      </w:r>
      <w:r w:rsidR="00537CC8" w:rsidRPr="0025250D">
        <w:rPr>
          <w:rFonts w:hint="cs"/>
          <w:rtl/>
        </w:rPr>
        <w:t xml:space="preserve"> و آزمون جنین چند ژنی</w:t>
      </w:r>
      <w:r w:rsidR="00537CC8" w:rsidRPr="0025250D">
        <w:rPr>
          <w:vertAlign w:val="superscript"/>
          <w:rtl/>
        </w:rPr>
        <w:footnoteReference w:id="2492"/>
      </w:r>
      <w:r w:rsidR="00537CC8" w:rsidRPr="0025250D">
        <w:rPr>
          <w:rFonts w:hint="cs"/>
          <w:rtl/>
        </w:rPr>
        <w:t xml:space="preserve"> برای اهداف بهبود انسانی هستند، به جای این که به دنبال هدف بسیار پذیرفته شده‌تر درمان بیماری‌ها باشند که به عنوان گروه‌های حاشیه ای</w:t>
      </w:r>
      <w:r w:rsidR="00537CC8" w:rsidRPr="0025250D">
        <w:rPr>
          <w:vertAlign w:val="superscript"/>
          <w:rtl/>
        </w:rPr>
        <w:footnoteReference w:id="2493"/>
      </w:r>
      <w:r w:rsidR="00537CC8" w:rsidRPr="0025250D">
        <w:rPr>
          <w:rFonts w:hint="cs"/>
          <w:rtl/>
        </w:rPr>
        <w:t xml:space="preserve"> در نظر گرفته می‌شوند. پاسخ‌های اخلاقی و قانونی ما به چنین استفاده‌ای مشابه با پاسخ ما به برنامه‌های اصلاح نژادی در قرن بیستم خواهد بود. اکثریت ما تفاوت‌های گروهی را که تقویت</w:t>
      </w:r>
      <w:r w:rsidR="00537CC8" w:rsidRPr="0025250D">
        <w:rPr>
          <w:rtl/>
        </w:rPr>
        <w:t xml:space="preserve"> </w:t>
      </w:r>
      <w:r w:rsidR="00537CC8" w:rsidRPr="0025250D">
        <w:rPr>
          <w:rFonts w:hint="cs"/>
          <w:rtl/>
        </w:rPr>
        <w:t>زیستی</w:t>
      </w:r>
      <w:r w:rsidR="00537CC8" w:rsidRPr="0025250D">
        <w:rPr>
          <w:vertAlign w:val="superscript"/>
          <w:rtl/>
        </w:rPr>
        <w:footnoteReference w:id="2494"/>
      </w:r>
      <w:r w:rsidR="00537CC8" w:rsidRPr="0025250D">
        <w:rPr>
          <w:rFonts w:hint="cs"/>
          <w:rtl/>
        </w:rPr>
        <w:t xml:space="preserve"> می‌تواند به دنبال داشته باشد، رد میکنیم و چنین کاربرد‌هایی به شکل فزاینده‌ای قانونمند و ردیابی خواهند شد. به علاوه، </w:t>
      </w:r>
      <w:r w:rsidR="007A53FD" w:rsidRPr="0025250D">
        <w:rPr>
          <w:rFonts w:hint="cs"/>
          <w:rtl/>
        </w:rPr>
        <w:t>فناوری</w:t>
      </w:r>
      <w:r w:rsidR="00537CC8" w:rsidRPr="0025250D">
        <w:rPr>
          <w:rtl/>
        </w:rPr>
        <w:t xml:space="preserve"> </w:t>
      </w:r>
      <w:r w:rsidR="00537CC8" w:rsidRPr="0025250D">
        <w:rPr>
          <w:rFonts w:hint="cs"/>
          <w:rtl/>
        </w:rPr>
        <w:t>پزشکی</w:t>
      </w:r>
      <w:r w:rsidR="00537CC8" w:rsidRPr="0025250D">
        <w:rPr>
          <w:rtl/>
        </w:rPr>
        <w:t xml:space="preserve"> </w:t>
      </w:r>
      <w:r w:rsidR="00537CC8" w:rsidRPr="0025250D">
        <w:rPr>
          <w:rFonts w:hint="cs"/>
          <w:rtl/>
        </w:rPr>
        <w:t xml:space="preserve">قانونی برای شناسایی کاربرد‌های غیر مجاز از چنین </w:t>
      </w:r>
      <w:r w:rsidR="007A53FD" w:rsidRPr="0025250D">
        <w:rPr>
          <w:rFonts w:hint="cs"/>
          <w:rtl/>
        </w:rPr>
        <w:t>فناوری</w:t>
      </w:r>
      <w:r w:rsidR="00537CC8" w:rsidRPr="0025250D">
        <w:rPr>
          <w:rFonts w:hint="cs"/>
          <w:rtl/>
        </w:rPr>
        <w:t>‌هایی همچنان بسیار فراتر از درک ما از این که این موارد چه کاربرد هایی، خوب یا بد، می‌توانند داشته باشند، توسعه خواهند یافت</w:t>
      </w:r>
      <w:r w:rsidR="008D6F97" w:rsidRPr="0025250D">
        <w:rPr>
          <w:rtl/>
        </w:rPr>
        <w:t xml:space="preserve">؛ </w:t>
      </w:r>
      <w:r w:rsidR="00537CC8" w:rsidRPr="0025250D">
        <w:rPr>
          <w:rFonts w:hint="cs"/>
          <w:rtl/>
        </w:rPr>
        <w:t>بنابراین یافتن بچه‌های طراحی شده غیرقانونی بر اساس انحراف آن‌ها از الگوهای ژنتیکی طبیعی آسان خواهد بود. ما پیش‌بینی می‌کنیم که انسان‌های ارتقاء یافته</w:t>
      </w:r>
      <w:r w:rsidR="00537CC8" w:rsidRPr="0025250D">
        <w:rPr>
          <w:vertAlign w:val="superscript"/>
          <w:rtl/>
        </w:rPr>
        <w:footnoteReference w:id="2495"/>
      </w:r>
      <w:r w:rsidR="00537CC8" w:rsidRPr="0025250D">
        <w:rPr>
          <w:rFonts w:hint="cs"/>
          <w:rtl/>
        </w:rPr>
        <w:t xml:space="preserve"> توسط هیچ جامعه ای، در هیچ کجا، قبل از ظهور هوش مصنوعی عمومی که اهداف و آرمان‌های خود را خواهد داشت، تولید نخواهند شد و پیشرفت‌ها و تنظیم مقررات هوش مصنوعی تا به حال روند توسعه‌ای جهانی </w:t>
      </w:r>
      <w:r w:rsidRPr="0025250D">
        <w:rPr>
          <w:rFonts w:hint="cs"/>
          <w:rtl/>
        </w:rPr>
        <w:t>مهم‌تر</w:t>
      </w:r>
      <w:r w:rsidR="00537CC8" w:rsidRPr="0025250D">
        <w:rPr>
          <w:rFonts w:hint="cs"/>
          <w:rtl/>
        </w:rPr>
        <w:t xml:space="preserve">ی بوده است. این ارزیابی‌های </w:t>
      </w:r>
      <w:r w:rsidR="00537CC8" w:rsidRPr="0025250D">
        <w:t>STEEPLE</w:t>
      </w:r>
      <w:r w:rsidR="00537CC8" w:rsidRPr="0025250D">
        <w:rPr>
          <w:rFonts w:hint="cs"/>
          <w:rtl/>
        </w:rPr>
        <w:t xml:space="preserve"> به ما برای ارزیابی آرمان‌های اجتماعی در این صنایع کمک می‌کنند. ما همگی داروهایی که بیماری‌های مهم ما را درمان کنند یا زندگی سالم تری به ما ببخشند، دوست داریم. تعداد کمی از ما همچنین دوست داریم که از این </w:t>
      </w:r>
      <w:r w:rsidR="007A53FD" w:rsidRPr="0025250D">
        <w:rPr>
          <w:rFonts w:hint="cs"/>
          <w:rtl/>
        </w:rPr>
        <w:t>فناوری</w:t>
      </w:r>
      <w:r w:rsidR="00537CC8" w:rsidRPr="0025250D">
        <w:rPr>
          <w:rFonts w:hint="cs"/>
          <w:rtl/>
        </w:rPr>
        <w:t xml:space="preserve">‌ها برای باهوش‌تر، قد بلند‌تر یا قوی‌تر شدن استفاده کنیم. یک ارزیابی </w:t>
      </w:r>
      <w:r w:rsidR="00537CC8" w:rsidRPr="0025250D">
        <w:t>STEEPLES</w:t>
      </w:r>
      <w:r w:rsidR="00537CC8" w:rsidRPr="0025250D">
        <w:rPr>
          <w:rFonts w:hint="cs"/>
          <w:rtl/>
        </w:rPr>
        <w:t xml:space="preserve"> خوب به ما می‌گوید که امروزه با چنین آینده‌هایی فاصله زیادی داریم. در اغراق و هیجانات مربوط به پزشکی </w:t>
      </w:r>
      <w:r w:rsidR="0044659F" w:rsidRPr="0025250D">
        <w:rPr>
          <w:rFonts w:hint="cs"/>
          <w:rtl/>
        </w:rPr>
        <w:t>زیستی</w:t>
      </w:r>
      <w:r w:rsidR="00537CC8" w:rsidRPr="0025250D">
        <w:rPr>
          <w:rFonts w:hint="cs"/>
          <w:rtl/>
        </w:rPr>
        <w:t xml:space="preserve"> غرق نشوید.</w:t>
      </w:r>
    </w:p>
    <w:p w14:paraId="79A8AF2D" w14:textId="15BBF302" w:rsidR="00537CC8" w:rsidRPr="0025250D" w:rsidRDefault="00537CC8" w:rsidP="00537CC8">
      <w:pPr>
        <w:rPr>
          <w:rtl/>
        </w:rPr>
      </w:pPr>
      <w:r w:rsidRPr="0025250D">
        <w:rPr>
          <w:rFonts w:hint="cs"/>
          <w:rtl/>
        </w:rPr>
        <w:t xml:space="preserve">یک آینده پزشکی </w:t>
      </w:r>
      <w:r w:rsidR="0044659F" w:rsidRPr="0025250D">
        <w:rPr>
          <w:rFonts w:hint="cs"/>
          <w:rtl/>
        </w:rPr>
        <w:t>زیستی</w:t>
      </w:r>
      <w:r w:rsidRPr="0025250D">
        <w:rPr>
          <w:rFonts w:hint="cs"/>
          <w:rtl/>
        </w:rPr>
        <w:t xml:space="preserve"> دیگر که یک سوگیری آرمانی قوی از خود نشان می‌دهد، رابط‌های کاربری مغزی </w:t>
      </w:r>
      <w:r w:rsidRPr="0025250D">
        <w:rPr>
          <w:rFonts w:cs="Times New Roman" w:hint="cs"/>
          <w:rtl/>
        </w:rPr>
        <w:t>–</w:t>
      </w:r>
      <w:r w:rsidRPr="0025250D">
        <w:rPr>
          <w:rFonts w:hint="cs"/>
          <w:rtl/>
        </w:rPr>
        <w:t>کامپیوتری (</w:t>
      </w:r>
      <w:r w:rsidRPr="0025250D">
        <w:t>BCI</w:t>
      </w:r>
      <w:r w:rsidRPr="0025250D">
        <w:rPr>
          <w:rFonts w:hint="cs"/>
          <w:rtl/>
        </w:rPr>
        <w:t xml:space="preserve"> ها) می‌باشد. در دهه اخیر در مورد این موارد بیش‌ازحد اغراق شده است. آن‌ها </w:t>
      </w:r>
      <w:r w:rsidR="003B1286" w:rsidRPr="0025250D">
        <w:rPr>
          <w:rFonts w:hint="cs"/>
          <w:rtl/>
        </w:rPr>
        <w:t xml:space="preserve">برای برخی </w:t>
      </w:r>
      <w:r w:rsidRPr="0025250D">
        <w:rPr>
          <w:rFonts w:hint="cs"/>
          <w:rtl/>
        </w:rPr>
        <w:t>داستانی خوشاین</w:t>
      </w:r>
      <w:r w:rsidR="003B1286" w:rsidRPr="0025250D">
        <w:rPr>
          <w:rFonts w:hint="cs"/>
          <w:rtl/>
        </w:rPr>
        <w:t>د</w:t>
      </w:r>
      <w:r w:rsidRPr="0025250D">
        <w:rPr>
          <w:rFonts w:hint="cs"/>
          <w:rtl/>
        </w:rPr>
        <w:t xml:space="preserve"> از توانمند سازی و ارتقای آینده احتمالی انسان می‌گویند. غافل گیر کننده نیست که برخی از ما در جوامعِ آزادی دوست غربی دوست داریم داستان‌هایی از شرکت‌هایی مانند نورالینک</w:t>
      </w:r>
      <w:r w:rsidRPr="0025250D">
        <w:rPr>
          <w:vertAlign w:val="superscript"/>
          <w:rtl/>
        </w:rPr>
        <w:footnoteReference w:id="2496"/>
      </w:r>
      <w:r w:rsidRPr="0025250D">
        <w:rPr>
          <w:rFonts w:hint="cs"/>
          <w:rtl/>
        </w:rPr>
        <w:t xml:space="preserve"> و کرنل</w:t>
      </w:r>
      <w:r w:rsidRPr="0025250D">
        <w:rPr>
          <w:vertAlign w:val="superscript"/>
          <w:rtl/>
        </w:rPr>
        <w:footnoteReference w:id="2497"/>
      </w:r>
      <w:r w:rsidRPr="0025250D">
        <w:rPr>
          <w:rFonts w:hint="cs"/>
          <w:rtl/>
        </w:rPr>
        <w:t xml:space="preserve"> که اغلب به شکل‌هایی مشتاقانه نقل می‌شوند، بشنویم. </w:t>
      </w:r>
      <w:r w:rsidR="00B56611" w:rsidRPr="0025250D">
        <w:rPr>
          <w:rFonts w:hint="cs"/>
          <w:rtl/>
        </w:rPr>
        <w:t>چشم‌انداز</w:t>
      </w:r>
      <w:r w:rsidRPr="0025250D">
        <w:rPr>
          <w:rFonts w:hint="cs"/>
          <w:rtl/>
        </w:rPr>
        <w:t xml:space="preserve"> گراهایی در </w:t>
      </w:r>
      <w:r w:rsidR="007A53FD" w:rsidRPr="0025250D">
        <w:rPr>
          <w:rFonts w:hint="cs"/>
          <w:rtl/>
        </w:rPr>
        <w:t>فناوری</w:t>
      </w:r>
      <w:r w:rsidRPr="0025250D">
        <w:rPr>
          <w:rFonts w:hint="cs"/>
          <w:rtl/>
        </w:rPr>
        <w:t xml:space="preserve"> مانند ایلان ماسک به‌شدت آنچه را می‌تواند در دهه‌های نزدیک بعدی با این </w:t>
      </w:r>
      <w:r w:rsidR="007A53FD" w:rsidRPr="0025250D">
        <w:rPr>
          <w:rFonts w:hint="cs"/>
          <w:rtl/>
        </w:rPr>
        <w:t>فناوری</w:t>
      </w:r>
      <w:r w:rsidRPr="0025250D">
        <w:rPr>
          <w:rFonts w:hint="cs"/>
          <w:rtl/>
        </w:rPr>
        <w:t xml:space="preserve">‌ها حاصل شود با اغراق بیان می‌کنند. متخصصین به ما می‌گویند که ما هنوز مسائل و مشکلات سازگاری </w:t>
      </w:r>
      <w:r w:rsidR="0044659F" w:rsidRPr="0025250D">
        <w:rPr>
          <w:rFonts w:hint="cs"/>
          <w:rtl/>
        </w:rPr>
        <w:t>زیستی</w:t>
      </w:r>
      <w:r w:rsidRPr="0025250D">
        <w:rPr>
          <w:rFonts w:hint="cs"/>
          <w:rtl/>
        </w:rPr>
        <w:t xml:space="preserve"> و هدایت سیگنال بلند</w:t>
      </w:r>
      <w:r w:rsidRPr="0025250D">
        <w:rPr>
          <w:rtl/>
        </w:rPr>
        <w:t xml:space="preserve"> </w:t>
      </w:r>
      <w:r w:rsidRPr="0025250D">
        <w:rPr>
          <w:rFonts w:hint="cs"/>
          <w:rtl/>
        </w:rPr>
        <w:t>مدت را برای این دستگاه‌ها در مغ</w:t>
      </w:r>
      <w:r w:rsidR="003B1286" w:rsidRPr="0025250D">
        <w:rPr>
          <w:rFonts w:hint="cs"/>
          <w:rtl/>
        </w:rPr>
        <w:t>ز</w:t>
      </w:r>
      <w:r w:rsidRPr="0025250D">
        <w:rPr>
          <w:rFonts w:hint="cs"/>
          <w:rtl/>
        </w:rPr>
        <w:t xml:space="preserve"> حل ن</w:t>
      </w:r>
      <w:r w:rsidR="00950293" w:rsidRPr="0025250D">
        <w:rPr>
          <w:rFonts w:hint="cs"/>
          <w:rtl/>
        </w:rPr>
        <w:t>کرده‌ایم</w:t>
      </w:r>
      <w:r w:rsidRPr="0025250D">
        <w:rPr>
          <w:rFonts w:hint="cs"/>
          <w:rtl/>
        </w:rPr>
        <w:t>. به علاوه، تعبیه آن‌ها در مغز‌های جوان پلاستیکی که در آن‌ها بهترین عملکرد را خواهند داشت، در هر جامعه‌ای ممانعت‌های اخلاقی بسیاری به همراه خواهد داشت. در همین حین، گوشی‌های هوشمند ما به زودی به هوش مصنوعی‌های شخصی تبدیل خواهند شد</w:t>
      </w:r>
      <w:r w:rsidR="008D6F97" w:rsidRPr="0025250D">
        <w:rPr>
          <w:rtl/>
        </w:rPr>
        <w:t xml:space="preserve"> </w:t>
      </w:r>
      <w:r w:rsidRPr="0025250D">
        <w:rPr>
          <w:rFonts w:hint="cs"/>
          <w:rtl/>
        </w:rPr>
        <w:t xml:space="preserve">و یادخواهند گرفت، با ما تعامل خواهند کرد و ما را به شکلی نمایی، بدون نیاز به هیچ جراحی مداخله گری تقویت خواهند کرد. به نظر ما یک تحلیل </w:t>
      </w:r>
      <w:r w:rsidRPr="0025250D">
        <w:t>STEEPLES</w:t>
      </w:r>
      <w:r w:rsidRPr="0025250D">
        <w:rPr>
          <w:rFonts w:hint="cs"/>
          <w:rtl/>
        </w:rPr>
        <w:t xml:space="preserve"> به ما می‌گوید که بشریت از </w:t>
      </w:r>
      <w:r w:rsidRPr="0025250D">
        <w:t>BCI</w:t>
      </w:r>
      <w:r w:rsidRPr="0025250D">
        <w:rPr>
          <w:rFonts w:hint="cs"/>
          <w:rtl/>
        </w:rPr>
        <w:t xml:space="preserve">‌ها برای تقویت خود تا زمانی که واقعا بدانیم که چه کار می‌کنیم، استفاده نخواهد کرد و تا زمانی که هوش مصنوعی عمومی از راه برسد، این اطلاعات کافی را نخواهیم داشت. باز </w:t>
      </w:r>
      <w:r w:rsidR="0020589F" w:rsidRPr="0025250D">
        <w:rPr>
          <w:rtl/>
        </w:rPr>
        <w:t>هم</w:t>
      </w:r>
      <w:r w:rsidRPr="0025250D">
        <w:rPr>
          <w:rFonts w:hint="cs"/>
          <w:rtl/>
        </w:rPr>
        <w:t xml:space="preserve"> این قید واقعی است.</w:t>
      </w:r>
    </w:p>
    <w:p w14:paraId="57555931" w14:textId="0C858726" w:rsidR="00537CC8" w:rsidRPr="0025250D" w:rsidRDefault="00537CC8" w:rsidP="002C61FC">
      <w:pPr>
        <w:rPr>
          <w:rtl/>
        </w:rPr>
      </w:pPr>
      <w:r w:rsidRPr="0025250D">
        <w:rPr>
          <w:rFonts w:hint="cs"/>
          <w:rtl/>
        </w:rPr>
        <w:t>در سال 2007، مدیر عامل جننتک</w:t>
      </w:r>
      <w:r w:rsidRPr="0025250D">
        <w:rPr>
          <w:vertAlign w:val="superscript"/>
          <w:rtl/>
        </w:rPr>
        <w:footnoteReference w:id="2498"/>
      </w:r>
      <w:r w:rsidRPr="0025250D">
        <w:rPr>
          <w:rFonts w:hint="cs"/>
          <w:rtl/>
        </w:rPr>
        <w:t>، آرت لوینسون</w:t>
      </w:r>
      <w:r w:rsidRPr="0025250D">
        <w:rPr>
          <w:vertAlign w:val="superscript"/>
          <w:rtl/>
        </w:rPr>
        <w:footnoteReference w:id="2499"/>
      </w:r>
      <w:r w:rsidRPr="0025250D">
        <w:rPr>
          <w:rFonts w:hint="cs"/>
          <w:rtl/>
        </w:rPr>
        <w:t xml:space="preserve"> (اکنون مدیرعامل </w:t>
      </w:r>
      <w:r w:rsidRPr="0025250D">
        <w:rPr>
          <w:rtl/>
        </w:rPr>
        <w:t>کال</w:t>
      </w:r>
      <w:r w:rsidRPr="0025250D">
        <w:rPr>
          <w:rFonts w:hint="cs"/>
          <w:rtl/>
        </w:rPr>
        <w:t>ی</w:t>
      </w:r>
      <w:r w:rsidRPr="0025250D">
        <w:rPr>
          <w:rFonts w:hint="eastAsia"/>
          <w:rtl/>
        </w:rPr>
        <w:t>کو</w:t>
      </w:r>
      <w:r w:rsidRPr="0025250D">
        <w:rPr>
          <w:vertAlign w:val="superscript"/>
          <w:rtl/>
        </w:rPr>
        <w:footnoteReference w:id="2500"/>
      </w:r>
      <w:r w:rsidRPr="0025250D">
        <w:rPr>
          <w:rFonts w:hint="cs"/>
          <w:rtl/>
        </w:rPr>
        <w:t xml:space="preserve"> و عضو هیئت مدیره اپل</w:t>
      </w:r>
      <w:r w:rsidRPr="0025250D">
        <w:rPr>
          <w:rtl/>
        </w:rPr>
        <w:t>)</w:t>
      </w:r>
      <w:r w:rsidRPr="0025250D">
        <w:rPr>
          <w:rFonts w:hint="cs"/>
          <w:rtl/>
        </w:rPr>
        <w:t xml:space="preserve"> یک مصاحبه با وال استریت ژورنال انجام داد. او تخمین زد که</w:t>
      </w:r>
      <w:r w:rsidR="002C61FC" w:rsidRPr="0025250D">
        <w:rPr>
          <w:rFonts w:hint="cs"/>
          <w:rtl/>
        </w:rPr>
        <w:t xml:space="preserve"> «</w:t>
      </w:r>
      <w:r w:rsidRPr="0025250D">
        <w:rPr>
          <w:rFonts w:hint="cs"/>
          <w:rtl/>
        </w:rPr>
        <w:t xml:space="preserve">صنعت </w:t>
      </w:r>
      <w:r w:rsidR="007A53FD" w:rsidRPr="0025250D">
        <w:rPr>
          <w:rFonts w:hint="cs"/>
          <w:rtl/>
        </w:rPr>
        <w:t>زیست‌فناوری</w:t>
      </w:r>
      <w:r w:rsidRPr="0025250D">
        <w:rPr>
          <w:rFonts w:hint="cs"/>
          <w:rtl/>
        </w:rPr>
        <w:t xml:space="preserve"> آمریکا از زمان </w:t>
      </w:r>
      <w:r w:rsidR="00B124DE" w:rsidRPr="0025250D">
        <w:rPr>
          <w:rFonts w:hint="cs"/>
          <w:rtl/>
        </w:rPr>
        <w:t>پایه‌گذار</w:t>
      </w:r>
      <w:r w:rsidRPr="0025250D">
        <w:rPr>
          <w:rFonts w:hint="cs"/>
          <w:rtl/>
        </w:rPr>
        <w:t xml:space="preserve">ی خود در سال 1976، با حدود 1400 شرکت که تقریبا 300 مورد از آن‌ها تجارت عمومی دارند، 90 میلیارد دلار </w:t>
      </w:r>
      <w:r w:rsidR="00F50EB4" w:rsidRPr="0025250D">
        <w:rPr>
          <w:rFonts w:hint="cs"/>
          <w:rtl/>
        </w:rPr>
        <w:t>سرمایه‌گذاری</w:t>
      </w:r>
      <w:r w:rsidRPr="0025250D">
        <w:rPr>
          <w:rFonts w:hint="cs"/>
          <w:rtl/>
        </w:rPr>
        <w:t xml:space="preserve"> را از دست داده است</w:t>
      </w:r>
      <w:r w:rsidR="002C61FC" w:rsidRPr="0025250D">
        <w:rPr>
          <w:rFonts w:hint="cs"/>
          <w:rtl/>
        </w:rPr>
        <w:t>».</w:t>
      </w:r>
      <w:r w:rsidRPr="0025250D">
        <w:rPr>
          <w:rFonts w:hint="cs"/>
          <w:rtl/>
        </w:rPr>
        <w:t xml:space="preserve"> او ادعا کرد که </w:t>
      </w:r>
      <w:r w:rsidR="002C61FC" w:rsidRPr="0025250D">
        <w:rPr>
          <w:rFonts w:hint="cs"/>
          <w:rtl/>
        </w:rPr>
        <w:t>«</w:t>
      </w:r>
      <w:r w:rsidRPr="0025250D">
        <w:rPr>
          <w:rFonts w:hint="cs"/>
          <w:rtl/>
        </w:rPr>
        <w:t xml:space="preserve">تا آن زمان این بزرگترین صنعت در از دست دادن پول و سرمایه در تمام دوران بوده </w:t>
      </w:r>
      <w:r w:rsidR="002C61FC" w:rsidRPr="0025250D">
        <w:rPr>
          <w:rtl/>
        </w:rPr>
        <w:t>است</w:t>
      </w:r>
      <w:r w:rsidR="002C61FC" w:rsidRPr="0025250D">
        <w:rPr>
          <w:rFonts w:hint="cs"/>
          <w:rtl/>
        </w:rPr>
        <w:t>»</w:t>
      </w:r>
      <w:r w:rsidRPr="0025250D">
        <w:rPr>
          <w:rFonts w:hint="cs"/>
          <w:rtl/>
        </w:rPr>
        <w:t xml:space="preserve">. این امر ممکن است یک اغراق بوده باشد، اما نکته آن به‌خوبی دریافت می‌شود. </w:t>
      </w:r>
      <w:r w:rsidR="007A53FD" w:rsidRPr="0025250D">
        <w:rPr>
          <w:rFonts w:hint="cs"/>
          <w:rtl/>
        </w:rPr>
        <w:t>زیست‌فناوری</w:t>
      </w:r>
      <w:r w:rsidRPr="0025250D">
        <w:rPr>
          <w:rFonts w:hint="cs"/>
          <w:rtl/>
        </w:rPr>
        <w:t xml:space="preserve">، دارو‌های </w:t>
      </w:r>
      <w:r w:rsidR="00127288" w:rsidRPr="0025250D">
        <w:rPr>
          <w:rFonts w:hint="cs"/>
          <w:rtl/>
        </w:rPr>
        <w:t>زیستی</w:t>
      </w:r>
      <w:r w:rsidRPr="0025250D">
        <w:rPr>
          <w:rFonts w:hint="cs"/>
          <w:rtl/>
        </w:rPr>
        <w:t xml:space="preserve">، داروشناسی و پزشکی </w:t>
      </w:r>
      <w:r w:rsidR="00127288" w:rsidRPr="0025250D">
        <w:rPr>
          <w:rFonts w:hint="cs"/>
          <w:rtl/>
        </w:rPr>
        <w:t>زیستی</w:t>
      </w:r>
      <w:r w:rsidRPr="0025250D">
        <w:rPr>
          <w:rFonts w:hint="cs"/>
          <w:rtl/>
        </w:rPr>
        <w:t xml:space="preserve"> صنایع آرمانی هستند. بیش از هر دلیل دیگری در این صنایع به این دلیل </w:t>
      </w:r>
      <w:r w:rsidR="00F50EB4" w:rsidRPr="0025250D">
        <w:rPr>
          <w:rFonts w:hint="cs"/>
          <w:rtl/>
        </w:rPr>
        <w:t>سرمایه‌گذاری</w:t>
      </w:r>
      <w:r w:rsidRPr="0025250D">
        <w:rPr>
          <w:rFonts w:hint="cs"/>
          <w:rtl/>
        </w:rPr>
        <w:t xml:space="preserve"> می‌کنیم که برای پیشرفت‌های آنان بسیار ارزش قائل هستیم. نباید به خود در مورد سرعت پیشرفت آن‌ها یا بازگشت سرمایه اقتصادی آن‌ها دروغ بگوییم.</w:t>
      </w:r>
    </w:p>
    <w:p w14:paraId="004B92C8" w14:textId="1CD084EA" w:rsidR="00537CC8" w:rsidRPr="0025250D" w:rsidRDefault="00537CC8" w:rsidP="00537CC8">
      <w:pPr>
        <w:rPr>
          <w:rtl/>
        </w:rPr>
      </w:pPr>
      <w:r w:rsidRPr="0025250D">
        <w:rPr>
          <w:rFonts w:hint="cs"/>
          <w:rtl/>
        </w:rPr>
        <w:t>در مقابل،</w:t>
      </w:r>
      <w:r w:rsidR="007305E8" w:rsidRPr="0025250D">
        <w:rPr>
          <w:rFonts w:hint="cs"/>
          <w:rtl/>
        </w:rPr>
        <w:t xml:space="preserve"> پیشرفت</w:t>
      </w:r>
      <w:r w:rsidRPr="0025250D">
        <w:rPr>
          <w:rFonts w:hint="cs"/>
          <w:rtl/>
        </w:rPr>
        <w:t xml:space="preserve"> در حوزه فناوری اطلاعات دیجیتال</w:t>
      </w:r>
      <w:r w:rsidR="007305E8" w:rsidRPr="0025250D">
        <w:rPr>
          <w:rFonts w:hint="cs"/>
          <w:rtl/>
        </w:rPr>
        <w:t xml:space="preserve"> به عنوان</w:t>
      </w:r>
      <w:r w:rsidRPr="0025250D">
        <w:rPr>
          <w:rFonts w:hint="cs"/>
          <w:rtl/>
        </w:rPr>
        <w:t xml:space="preserve"> علمی که از آن استفاده می‌کنیم، حتی با این وجود که ساده است، برای ایجاد پیشرفت‌های </w:t>
      </w:r>
      <w:r w:rsidR="007A53FD" w:rsidRPr="0025250D">
        <w:rPr>
          <w:rFonts w:hint="cs"/>
          <w:rtl/>
        </w:rPr>
        <w:t>فناوری</w:t>
      </w:r>
      <w:r w:rsidRPr="0025250D">
        <w:rPr>
          <w:rFonts w:hint="cs"/>
          <w:rtl/>
        </w:rPr>
        <w:t xml:space="preserve"> با سرعت نمایی در داده‌ها، ذخیره سازی، محاسبات، ارتباطات، حسگرها</w:t>
      </w:r>
      <w:r w:rsidR="008D6F97" w:rsidRPr="0025250D">
        <w:rPr>
          <w:rtl/>
        </w:rPr>
        <w:t xml:space="preserve"> </w:t>
      </w:r>
      <w:r w:rsidRPr="0025250D">
        <w:rPr>
          <w:rFonts w:hint="cs"/>
          <w:rtl/>
        </w:rPr>
        <w:t xml:space="preserve">و رباتیک برای هفت دهه، بیش‌ازحد کفایت بوده است. برخی از مزایای کلیدی فناوری اطلاعات نسبت به </w:t>
      </w:r>
      <w:r w:rsidR="007A53FD" w:rsidRPr="0025250D">
        <w:rPr>
          <w:rFonts w:hint="cs"/>
          <w:rtl/>
        </w:rPr>
        <w:t>زیست‌فناوری</w:t>
      </w:r>
      <w:r w:rsidRPr="0025250D">
        <w:rPr>
          <w:rFonts w:hint="cs"/>
          <w:rtl/>
        </w:rPr>
        <w:t xml:space="preserve"> این موارد هستند که این فناوری سازنده، بازگشتی</w:t>
      </w:r>
      <w:r w:rsidRPr="0025250D">
        <w:rPr>
          <w:vertAlign w:val="superscript"/>
          <w:rtl/>
        </w:rPr>
        <w:footnoteReference w:id="2501"/>
      </w:r>
      <w:r w:rsidRPr="0025250D">
        <w:rPr>
          <w:rFonts w:hint="cs"/>
          <w:rtl/>
        </w:rPr>
        <w:t xml:space="preserve"> و قادر به درگیر شدن در حلقه‌های انجام طراحی و کاربرد تکرار شونده است. نمی‌توانیم استفاده‌های زیادی از </w:t>
      </w:r>
      <w:r w:rsidR="007A53FD" w:rsidRPr="0025250D">
        <w:rPr>
          <w:rFonts w:hint="cs"/>
          <w:rtl/>
        </w:rPr>
        <w:t>زیست‌فناوری</w:t>
      </w:r>
      <w:r w:rsidRPr="0025250D">
        <w:rPr>
          <w:rFonts w:hint="cs"/>
          <w:rtl/>
        </w:rPr>
        <w:t xml:space="preserve"> داشته باشیم، زیرا نمی‌دانیم که چه می‌سازیم. در عوض، </w:t>
      </w:r>
      <w:r w:rsidR="008D6F97" w:rsidRPr="0025250D">
        <w:rPr>
          <w:rFonts w:hint="cs"/>
          <w:rtl/>
        </w:rPr>
        <w:t>سامانه‌</w:t>
      </w:r>
      <w:r w:rsidRPr="0025250D">
        <w:rPr>
          <w:rFonts w:hint="cs"/>
          <w:rtl/>
        </w:rPr>
        <w:t xml:space="preserve"> را با مداخلات خود تحریک می‌کنیم و تلاش می‌کنیم تا بیاموزیم که چگونه کار می‌کند. ما همچنین نمی‌توانیم به سرعت طراحی‌های </w:t>
      </w:r>
      <w:r w:rsidR="007A53FD" w:rsidRPr="0025250D">
        <w:rPr>
          <w:rFonts w:hint="cs"/>
          <w:rtl/>
        </w:rPr>
        <w:t>زیست‌فناورانه</w:t>
      </w:r>
      <w:r w:rsidRPr="0025250D">
        <w:rPr>
          <w:rFonts w:hint="cs"/>
          <w:rtl/>
        </w:rPr>
        <w:t xml:space="preserve"> خود را تکرار کنیم، زیرا بیولوژی یک </w:t>
      </w:r>
      <w:r w:rsidR="008D6F97" w:rsidRPr="0025250D">
        <w:rPr>
          <w:rFonts w:hint="cs"/>
          <w:rtl/>
        </w:rPr>
        <w:t>سامانه‌</w:t>
      </w:r>
      <w:r w:rsidRPr="0025250D">
        <w:rPr>
          <w:rFonts w:hint="cs"/>
          <w:rtl/>
        </w:rPr>
        <w:t xml:space="preserve"> بسیار مادی‌تر (وابسته به ماده) نسبت به کد</w:t>
      </w:r>
      <w:r w:rsidRPr="0025250D">
        <w:rPr>
          <w:vertAlign w:val="superscript"/>
          <w:rtl/>
        </w:rPr>
        <w:footnoteReference w:id="2502"/>
      </w:r>
      <w:r w:rsidRPr="0025250D">
        <w:rPr>
          <w:rFonts w:hint="cs"/>
          <w:rtl/>
        </w:rPr>
        <w:t xml:space="preserve"> است. به دلیل نقش منحصر به فرد فناوری اطلاعات در ایجاد </w:t>
      </w:r>
      <w:r w:rsidR="00EC25F0" w:rsidRPr="0025250D">
        <w:rPr>
          <w:rFonts w:hint="cs"/>
          <w:rtl/>
        </w:rPr>
        <w:t>متراکم سازی</w:t>
      </w:r>
      <w:r w:rsidRPr="0025250D">
        <w:rPr>
          <w:rFonts w:hint="cs"/>
          <w:rtl/>
        </w:rPr>
        <w:t xml:space="preserve"> و </w:t>
      </w:r>
      <w:r w:rsidR="000B4A71" w:rsidRPr="0025250D">
        <w:rPr>
          <w:rFonts w:hint="cs"/>
          <w:rtl/>
        </w:rPr>
        <w:t>مادی‌زدایی</w:t>
      </w:r>
      <w:r w:rsidRPr="0025250D">
        <w:rPr>
          <w:rFonts w:hint="cs"/>
          <w:rtl/>
        </w:rPr>
        <w:t xml:space="preserve"> اقتصادی، این </w:t>
      </w:r>
      <w:r w:rsidR="007A53FD" w:rsidRPr="0025250D">
        <w:rPr>
          <w:rFonts w:hint="cs"/>
          <w:rtl/>
        </w:rPr>
        <w:t>فناوری</w:t>
      </w:r>
      <w:r w:rsidRPr="0025250D">
        <w:rPr>
          <w:rFonts w:hint="cs"/>
          <w:rtl/>
        </w:rPr>
        <w:t xml:space="preserve"> بیش‌ترین بازگشت سرمایه مالی را تا به امروز نسبت به هر صنعت دیگری بر روی زمین داشته است. ما همچنین دیده ایم که متأسفانه نظارت زیست محیطی، سیاسی، قانونی، اخلاقی و اجتماعی بر فناروری اطلاعات حداقل در ابتدا به صورت حداقلی است. تنها وقتی غول‌های </w:t>
      </w:r>
      <w:r w:rsidR="007A53FD" w:rsidRPr="0025250D">
        <w:rPr>
          <w:rFonts w:hint="cs"/>
          <w:rtl/>
        </w:rPr>
        <w:t>فناوری</w:t>
      </w:r>
      <w:r w:rsidRPr="0025250D">
        <w:rPr>
          <w:rFonts w:hint="cs"/>
          <w:rtl/>
        </w:rPr>
        <w:t xml:space="preserve"> ما به ابعاد بسیار بزرگ دست یافتند، رسانه‌های اجتماعی اعتراض نمودند و دستگاه هایمان شروع به </w:t>
      </w:r>
      <w:r w:rsidR="007305E8" w:rsidRPr="0025250D">
        <w:rPr>
          <w:rFonts w:hint="cs"/>
          <w:rtl/>
        </w:rPr>
        <w:t>شنیدن صدای</w:t>
      </w:r>
      <w:r w:rsidRPr="0025250D">
        <w:rPr>
          <w:rFonts w:hint="cs"/>
          <w:rtl/>
        </w:rPr>
        <w:t xml:space="preserve"> ما کردند، همه ما مشکل قانونی موجود را دید</w:t>
      </w:r>
      <w:r w:rsidR="005D381D" w:rsidRPr="0025250D">
        <w:rPr>
          <w:rFonts w:hint="cs"/>
          <w:rtl/>
        </w:rPr>
        <w:t>ی</w:t>
      </w:r>
      <w:r w:rsidRPr="0025250D">
        <w:rPr>
          <w:rFonts w:hint="cs"/>
          <w:rtl/>
        </w:rPr>
        <w:t xml:space="preserve">م. برخی راه‌های خروج از این </w:t>
      </w:r>
      <w:r w:rsidR="0060055A" w:rsidRPr="0025250D">
        <w:rPr>
          <w:rFonts w:hint="cs"/>
          <w:rtl/>
        </w:rPr>
        <w:t>ویران‌شهر</w:t>
      </w:r>
      <w:r w:rsidRPr="0025250D">
        <w:rPr>
          <w:rFonts w:hint="cs"/>
          <w:rtl/>
        </w:rPr>
        <w:t xml:space="preserve"> فعلی را در </w:t>
      </w:r>
      <w:r w:rsidRPr="0025250D">
        <w:t>BPF</w:t>
      </w:r>
      <w:r w:rsidRPr="0025250D">
        <w:rPr>
          <w:rFonts w:hint="cs"/>
          <w:rtl/>
        </w:rPr>
        <w:t xml:space="preserve"> مورد بحث قرار خواهیم داد.</w:t>
      </w:r>
    </w:p>
    <w:p w14:paraId="6E4ABE4C" w14:textId="76978F82" w:rsidR="00537CC8" w:rsidRPr="0025250D" w:rsidRDefault="00537CC8" w:rsidP="00537CC8">
      <w:pPr>
        <w:rPr>
          <w:rtl/>
        </w:rPr>
      </w:pPr>
      <w:r w:rsidRPr="0025250D">
        <w:rPr>
          <w:rFonts w:hint="cs"/>
          <w:rtl/>
        </w:rPr>
        <w:t xml:space="preserve">این تحلیل خلاصه به ما برای دیدن این که چرا فکر می‌کنیم </w:t>
      </w:r>
      <w:r w:rsidR="00D92F6E" w:rsidRPr="0025250D">
        <w:rPr>
          <w:rFonts w:hint="cs"/>
          <w:rtl/>
        </w:rPr>
        <w:t>آینده‌پژوه</w:t>
      </w:r>
      <w:r w:rsidRPr="0025250D">
        <w:rPr>
          <w:rFonts w:hint="cs"/>
          <w:rtl/>
        </w:rPr>
        <w:t xml:space="preserve"> </w:t>
      </w:r>
      <w:r w:rsidRPr="0025250D">
        <w:rPr>
          <w:rtl/>
        </w:rPr>
        <w:t>کت</w:t>
      </w:r>
      <w:r w:rsidRPr="0025250D">
        <w:rPr>
          <w:rFonts w:hint="cs"/>
          <w:rtl/>
        </w:rPr>
        <w:t>ی</w:t>
      </w:r>
      <w:r w:rsidRPr="0025250D">
        <w:rPr>
          <w:rtl/>
        </w:rPr>
        <w:t xml:space="preserve"> وود</w:t>
      </w:r>
      <w:r w:rsidRPr="0025250D">
        <w:rPr>
          <w:vertAlign w:val="superscript"/>
          <w:rtl/>
        </w:rPr>
        <w:footnoteReference w:id="2503"/>
      </w:r>
      <w:r w:rsidRPr="0025250D">
        <w:rPr>
          <w:rFonts w:hint="cs"/>
          <w:rtl/>
        </w:rPr>
        <w:t>، مدیر عامل صندق پوشش ریسک معروف آرک اینوست</w:t>
      </w:r>
      <w:r w:rsidRPr="0025250D">
        <w:rPr>
          <w:vertAlign w:val="superscript"/>
          <w:rtl/>
        </w:rPr>
        <w:footnoteReference w:id="2504"/>
      </w:r>
      <w:r w:rsidRPr="0025250D">
        <w:rPr>
          <w:rFonts w:hint="cs"/>
          <w:rtl/>
        </w:rPr>
        <w:t xml:space="preserve">، در پیش‌بینی این که پرتفوهای </w:t>
      </w:r>
      <w:r w:rsidR="007A53FD" w:rsidRPr="0025250D">
        <w:rPr>
          <w:rFonts w:hint="cs"/>
          <w:rtl/>
        </w:rPr>
        <w:t>زیست‌فناوری</w:t>
      </w:r>
      <w:r w:rsidRPr="0025250D">
        <w:rPr>
          <w:rFonts w:hint="cs"/>
          <w:rtl/>
        </w:rPr>
        <w:t xml:space="preserve"> و </w:t>
      </w:r>
      <w:r w:rsidRPr="0025250D">
        <w:rPr>
          <w:rtl/>
        </w:rPr>
        <w:t>ز</w:t>
      </w:r>
      <w:r w:rsidRPr="0025250D">
        <w:rPr>
          <w:rFonts w:hint="cs"/>
          <w:rtl/>
        </w:rPr>
        <w:t>ی</w:t>
      </w:r>
      <w:r w:rsidRPr="0025250D">
        <w:rPr>
          <w:rFonts w:hint="eastAsia"/>
          <w:rtl/>
        </w:rPr>
        <w:t>ست</w:t>
      </w:r>
      <w:r w:rsidRPr="0025250D">
        <w:rPr>
          <w:rtl/>
        </w:rPr>
        <w:t xml:space="preserve"> پزشک</w:t>
      </w:r>
      <w:r w:rsidRPr="0025250D">
        <w:rPr>
          <w:rFonts w:hint="cs"/>
          <w:rtl/>
        </w:rPr>
        <w:t xml:space="preserve">ی شرکت </w:t>
      </w:r>
      <w:r w:rsidR="00F50EB4" w:rsidRPr="0025250D">
        <w:rPr>
          <w:rFonts w:hint="cs"/>
          <w:rtl/>
        </w:rPr>
        <w:t>سرمایه‌گذاری</w:t>
      </w:r>
      <w:r w:rsidRPr="0025250D">
        <w:rPr>
          <w:rFonts w:hint="cs"/>
          <w:rtl/>
        </w:rPr>
        <w:t xml:space="preserve"> او در کوتاه مدت با سرعت پرتفوی فناروی اطلاعات </w:t>
      </w:r>
      <w:r w:rsidR="005D381D" w:rsidRPr="0025250D">
        <w:rPr>
          <w:rFonts w:hint="cs"/>
          <w:rtl/>
        </w:rPr>
        <w:t>آرک</w:t>
      </w:r>
      <w:r w:rsidRPr="0025250D">
        <w:rPr>
          <w:rFonts w:hint="cs"/>
          <w:rtl/>
        </w:rPr>
        <w:t xml:space="preserve"> افزایش خواهند یافت، اشتباه می‌کند. از نظر ما، </w:t>
      </w:r>
      <w:r w:rsidR="00F50EB4" w:rsidRPr="0025250D">
        <w:rPr>
          <w:rFonts w:hint="cs"/>
          <w:rtl/>
        </w:rPr>
        <w:t>سرمایه‌گذاری</w:t>
      </w:r>
      <w:r w:rsidRPr="0025250D">
        <w:rPr>
          <w:rFonts w:hint="cs"/>
          <w:rtl/>
        </w:rPr>
        <w:t xml:space="preserve">‌های </w:t>
      </w:r>
      <w:r w:rsidR="007A53FD" w:rsidRPr="0025250D">
        <w:rPr>
          <w:rFonts w:hint="cs"/>
          <w:rtl/>
        </w:rPr>
        <w:t>زیست‌فناوری</w:t>
      </w:r>
      <w:r w:rsidRPr="0025250D">
        <w:rPr>
          <w:rFonts w:hint="cs"/>
          <w:rtl/>
        </w:rPr>
        <w:t xml:space="preserve"> و پزشکی </w:t>
      </w:r>
      <w:r w:rsidR="005D381D" w:rsidRPr="0025250D">
        <w:rPr>
          <w:rFonts w:hint="cs"/>
          <w:rtl/>
        </w:rPr>
        <w:t>آرک</w:t>
      </w:r>
      <w:r w:rsidRPr="0025250D">
        <w:rPr>
          <w:rFonts w:hint="cs"/>
          <w:rtl/>
        </w:rPr>
        <w:t xml:space="preserve"> آرمانگرایانه هستند </w:t>
      </w:r>
      <w:r w:rsidRPr="0025250D">
        <w:rPr>
          <w:rFonts w:cs="Times New Roman" w:hint="cs"/>
          <w:rtl/>
        </w:rPr>
        <w:t>–</w:t>
      </w:r>
      <w:r w:rsidRPr="0025250D">
        <w:rPr>
          <w:rFonts w:hint="cs"/>
          <w:rtl/>
        </w:rPr>
        <w:t xml:space="preserve"> تیم آن‌ها از سرمایه گذاران خود می‌خواهد که باور کنند که </w:t>
      </w:r>
      <w:r w:rsidR="007A53FD" w:rsidRPr="0025250D">
        <w:rPr>
          <w:rFonts w:hint="cs"/>
          <w:rtl/>
        </w:rPr>
        <w:t>زیست‌فناوری</w:t>
      </w:r>
      <w:r w:rsidRPr="0025250D">
        <w:rPr>
          <w:rFonts w:hint="cs"/>
          <w:rtl/>
        </w:rPr>
        <w:t xml:space="preserve">، </w:t>
      </w:r>
      <w:r w:rsidRPr="0025250D">
        <w:rPr>
          <w:rtl/>
        </w:rPr>
        <w:t>ز</w:t>
      </w:r>
      <w:r w:rsidRPr="0025250D">
        <w:rPr>
          <w:rFonts w:hint="cs"/>
          <w:rtl/>
        </w:rPr>
        <w:t>ی</w:t>
      </w:r>
      <w:r w:rsidRPr="0025250D">
        <w:rPr>
          <w:rFonts w:hint="eastAsia"/>
          <w:rtl/>
        </w:rPr>
        <w:t>ست</w:t>
      </w:r>
      <w:r w:rsidRPr="0025250D">
        <w:rPr>
          <w:rtl/>
        </w:rPr>
        <w:t xml:space="preserve"> پزشک</w:t>
      </w:r>
      <w:r w:rsidRPr="0025250D">
        <w:rPr>
          <w:rFonts w:hint="cs"/>
          <w:rtl/>
        </w:rPr>
        <w:t xml:space="preserve">ی و داروهای افزایش طول عمر با سرعت </w:t>
      </w:r>
      <w:r w:rsidR="00F50EB4" w:rsidRPr="0025250D">
        <w:rPr>
          <w:rFonts w:hint="cs"/>
          <w:rtl/>
        </w:rPr>
        <w:t>سرمایه‌گذاری</w:t>
      </w:r>
      <w:r w:rsidRPr="0025250D">
        <w:rPr>
          <w:rFonts w:hint="cs"/>
          <w:rtl/>
        </w:rPr>
        <w:t>‌های فناروی اطلاعات آن‌ها رشد خواهند کرد</w:t>
      </w:r>
      <w:r w:rsidR="008D6F97" w:rsidRPr="0025250D">
        <w:rPr>
          <w:rtl/>
        </w:rPr>
        <w:t xml:space="preserve">؛ </w:t>
      </w:r>
      <w:r w:rsidRPr="0025250D">
        <w:rPr>
          <w:rFonts w:hint="cs"/>
          <w:rtl/>
        </w:rPr>
        <w:t xml:space="preserve">اما یک تحلیل </w:t>
      </w:r>
      <w:r w:rsidRPr="0025250D">
        <w:t>STEEPLES</w:t>
      </w:r>
      <w:r w:rsidRPr="0025250D">
        <w:rPr>
          <w:rFonts w:hint="cs"/>
          <w:rtl/>
        </w:rPr>
        <w:t xml:space="preserve"> از قیود و عملکرد هر دو صنعت تا به امروز مشخص می‌کند که چرا این امر احتمالا، حداقل تا جایی که بتوانیم از خود فناوری اطلاعات، عمدتاً از طریق کامپیوتر‌های کوانتومی تحت هدایت هوش مصنوعی آینده، برای بهبود شرایط ضعیف علم بیولوژی امروزی استفاده کنیم، به وقوع نخواهد پیوست. به شکل جالبی، تقلید از بیولوژی و مشخصا ذات تکاملی-توسعه‌ای آن است که انتظار داریم یک مقدمه و پیش نیاز کلیدی هوش مصنوعی عمومی باشد. فناوری اطلاعات در حال پیشرفت نمایی سالیانه است، اما هنوز راه زیادی تا دانستن چگونگی ایجاد هوش مصنوعی‌های تکاملی-توسعه‌ای داریم.</w:t>
      </w:r>
    </w:p>
    <w:p w14:paraId="447359EE" w14:textId="77777777" w:rsidR="00537CC8" w:rsidRPr="0025250D" w:rsidRDefault="00537CC8" w:rsidP="00537CC8">
      <w:pPr>
        <w:rPr>
          <w:rtl/>
        </w:rPr>
      </w:pPr>
      <w:r w:rsidRPr="0025250D">
        <w:rPr>
          <w:rFonts w:hint="cs"/>
          <w:rtl/>
        </w:rPr>
        <w:t>اکنون بیایید یک گزینه در حال ظهور در مهندسی حمل و نقل را در نظر بگیریم.</w:t>
      </w:r>
    </w:p>
    <w:p w14:paraId="184DCC1E" w14:textId="77777777" w:rsidR="00537CC8" w:rsidRPr="0025250D" w:rsidRDefault="00537CC8" w:rsidP="00537CC8">
      <w:pPr>
        <w:rPr>
          <w:b/>
          <w:bCs/>
          <w:rtl/>
        </w:rPr>
      </w:pPr>
      <w:r w:rsidRPr="0025250D">
        <w:rPr>
          <w:rFonts w:hint="cs"/>
          <w:b/>
          <w:bCs/>
          <w:rtl/>
        </w:rPr>
        <w:t xml:space="preserve">اتومبیل‌های خودران در مقابل اتومبیل‌های </w:t>
      </w:r>
      <w:r w:rsidRPr="0025250D">
        <w:rPr>
          <w:b/>
          <w:bCs/>
        </w:rPr>
        <w:t>AHD</w:t>
      </w:r>
      <w:r w:rsidRPr="0025250D">
        <w:rPr>
          <w:rFonts w:hint="cs"/>
          <w:b/>
          <w:bCs/>
          <w:rtl/>
        </w:rPr>
        <w:t xml:space="preserve">: یک تحلیل </w:t>
      </w:r>
      <w:r w:rsidRPr="0025250D">
        <w:rPr>
          <w:b/>
          <w:bCs/>
        </w:rPr>
        <w:t>STEEPLES</w:t>
      </w:r>
      <w:r w:rsidRPr="0025250D">
        <w:rPr>
          <w:rFonts w:hint="cs"/>
          <w:b/>
          <w:bCs/>
          <w:rtl/>
        </w:rPr>
        <w:t xml:space="preserve"> خلاصه تر</w:t>
      </w:r>
    </w:p>
    <w:p w14:paraId="7B9C4767" w14:textId="7F0051D2" w:rsidR="00537CC8" w:rsidRPr="0025250D" w:rsidRDefault="00537CC8" w:rsidP="00537CC8">
      <w:pPr>
        <w:rPr>
          <w:rtl/>
        </w:rPr>
      </w:pPr>
      <w:r w:rsidRPr="0025250D">
        <w:rPr>
          <w:rFonts w:hint="cs"/>
          <w:rtl/>
        </w:rPr>
        <w:t xml:space="preserve">در نوشته‌های آنلاین درمورد اتومبیل‌های خودران، </w:t>
      </w:r>
      <w:r w:rsidR="00D92F6E" w:rsidRPr="0025250D">
        <w:rPr>
          <w:rFonts w:hint="cs"/>
          <w:rtl/>
        </w:rPr>
        <w:t>آینده‌پژوه</w:t>
      </w:r>
      <w:r w:rsidRPr="0025250D">
        <w:rPr>
          <w:rFonts w:hint="cs"/>
          <w:rtl/>
        </w:rPr>
        <w:t xml:space="preserve">ان بسیاری در حال حاضر یک آینده عمدتاً بدون راننده را در آمریکا تا میانه‌های این قرن متصور هستند. این امر با دیدگاه ما سازگاری ندارد. در حالی که ما این کتاب را در سال 2020 می‌نویسیم، </w:t>
      </w:r>
      <w:r w:rsidRPr="0025250D">
        <w:t>GM</w:t>
      </w:r>
      <w:r w:rsidRPr="0025250D">
        <w:rPr>
          <w:rtl/>
        </w:rPr>
        <w:t xml:space="preserve"> کروز</w:t>
      </w:r>
      <w:r w:rsidRPr="0025250D">
        <w:rPr>
          <w:vertAlign w:val="superscript"/>
          <w:rtl/>
        </w:rPr>
        <w:footnoteReference w:id="2505"/>
      </w:r>
      <w:r w:rsidRPr="0025250D">
        <w:rPr>
          <w:rFonts w:hint="cs"/>
          <w:rtl/>
        </w:rPr>
        <w:t xml:space="preserve"> درحال تلاش برای </w:t>
      </w:r>
      <w:r w:rsidR="00923DDB" w:rsidRPr="0025250D">
        <w:rPr>
          <w:rFonts w:hint="cs"/>
          <w:rtl/>
        </w:rPr>
        <w:t>راه‌اندازی</w:t>
      </w:r>
      <w:r w:rsidRPr="0025250D">
        <w:rPr>
          <w:rFonts w:hint="cs"/>
          <w:rtl/>
        </w:rPr>
        <w:t xml:space="preserve"> یک تاکسی بدون فرمان در سانفرانسیسکو می‌باشد. </w:t>
      </w:r>
      <w:r w:rsidRPr="0025250D">
        <w:rPr>
          <w:rtl/>
        </w:rPr>
        <w:t>وا</w:t>
      </w:r>
      <w:r w:rsidRPr="0025250D">
        <w:rPr>
          <w:rFonts w:hint="cs"/>
          <w:rtl/>
        </w:rPr>
        <w:t>ی</w:t>
      </w:r>
      <w:r w:rsidRPr="0025250D">
        <w:rPr>
          <w:rFonts w:hint="eastAsia"/>
          <w:rtl/>
        </w:rPr>
        <w:t>مو</w:t>
      </w:r>
      <w:r w:rsidRPr="0025250D">
        <w:rPr>
          <w:vertAlign w:val="superscript"/>
          <w:rtl/>
        </w:rPr>
        <w:footnoteReference w:id="2506"/>
      </w:r>
      <w:r w:rsidRPr="0025250D">
        <w:rPr>
          <w:rFonts w:hint="cs"/>
          <w:rtl/>
        </w:rPr>
        <w:t xml:space="preserve"> از گوگل به تازگی تاکسی‌های عمومی خودران را در فونیکس</w:t>
      </w:r>
      <w:r w:rsidRPr="0025250D">
        <w:rPr>
          <w:vertAlign w:val="superscript"/>
          <w:rtl/>
        </w:rPr>
        <w:footnoteReference w:id="2507"/>
      </w:r>
      <w:r w:rsidRPr="0025250D">
        <w:rPr>
          <w:rFonts w:hint="cs"/>
          <w:rtl/>
        </w:rPr>
        <w:t xml:space="preserve">، با رانندگان انسانی که در حال حاضر هنوز پشت فرمان می‌شینند، برای ایمنی بیشتر، </w:t>
      </w:r>
      <w:r w:rsidR="00923DDB" w:rsidRPr="0025250D">
        <w:rPr>
          <w:rFonts w:hint="cs"/>
          <w:rtl/>
        </w:rPr>
        <w:t>راه‌اندازی</w:t>
      </w:r>
      <w:r w:rsidRPr="0025250D">
        <w:rPr>
          <w:rFonts w:hint="cs"/>
          <w:rtl/>
        </w:rPr>
        <w:t xml:space="preserve"> کرده و برنامه دارد تا عامل انسانی را نیز از این تاکسی‌ها حذف کند. از نظر ما، یک </w:t>
      </w:r>
      <w:r w:rsidR="00FB6A7E" w:rsidRPr="0025250D">
        <w:rPr>
          <w:rFonts w:hint="cs"/>
          <w:rtl/>
        </w:rPr>
        <w:t>پیش‌نگری</w:t>
      </w:r>
      <w:r w:rsidRPr="0025250D">
        <w:rPr>
          <w:rFonts w:hint="cs"/>
          <w:rtl/>
        </w:rPr>
        <w:t xml:space="preserve"> بلند مدت درمورد حمل و نقل باید هم در بر دارنده آرمان‌ها و آرزوهای پایدار انسانی و هم </w:t>
      </w:r>
      <w:r w:rsidR="00923DDB" w:rsidRPr="0025250D">
        <w:rPr>
          <w:rFonts w:hint="cs"/>
          <w:rtl/>
        </w:rPr>
        <w:t>راه‌حل</w:t>
      </w:r>
      <w:r w:rsidRPr="0025250D">
        <w:rPr>
          <w:rFonts w:hint="cs"/>
          <w:rtl/>
        </w:rPr>
        <w:t xml:space="preserve">‌های </w:t>
      </w:r>
      <w:r w:rsidR="007A53FD" w:rsidRPr="0025250D">
        <w:rPr>
          <w:rFonts w:hint="cs"/>
          <w:rtl/>
        </w:rPr>
        <w:t>فناورانه</w:t>
      </w:r>
      <w:r w:rsidRPr="0025250D">
        <w:rPr>
          <w:rFonts w:hint="cs"/>
          <w:rtl/>
        </w:rPr>
        <w:t xml:space="preserve"> </w:t>
      </w:r>
      <w:r w:rsidR="00563645" w:rsidRPr="0025250D">
        <w:rPr>
          <w:rFonts w:hint="cs"/>
          <w:rtl/>
        </w:rPr>
        <w:t>بدیل</w:t>
      </w:r>
      <w:r w:rsidRPr="0025250D">
        <w:rPr>
          <w:rFonts w:hint="cs"/>
          <w:rtl/>
        </w:rPr>
        <w:t>، از جمله رشد وسایل نقلیه هدایت شده توسط انسان به کمک هوش مصنوعی</w:t>
      </w:r>
      <w:r w:rsidRPr="0025250D">
        <w:rPr>
          <w:vertAlign w:val="superscript"/>
          <w:rtl/>
        </w:rPr>
        <w:footnoteReference w:id="2508"/>
      </w:r>
      <w:r w:rsidRPr="0025250D">
        <w:rPr>
          <w:rFonts w:hint="cs"/>
          <w:rtl/>
        </w:rPr>
        <w:t xml:space="preserve"> (</w:t>
      </w:r>
      <w:r w:rsidRPr="0025250D">
        <w:t>ADH</w:t>
      </w:r>
      <w:r w:rsidRPr="0025250D">
        <w:rPr>
          <w:rFonts w:hint="cs"/>
          <w:rtl/>
        </w:rPr>
        <w:t xml:space="preserve">) باشد. این موارد به نظر ما رقبای نزدیک کوتاه مدتی برای اتومبیل‌های بدون راننده، در بازه زمانی اکنون تا اواسط قرن باشند. یک تحلیل </w:t>
      </w:r>
      <w:r w:rsidRPr="0025250D">
        <w:t>STEEPLES</w:t>
      </w:r>
      <w:r w:rsidRPr="0025250D">
        <w:rPr>
          <w:rFonts w:hint="cs"/>
          <w:rtl/>
        </w:rPr>
        <w:t xml:space="preserve"> به ما یادآوری می‌کند که عوامل سیاسی و اقتصادی، از جمله ارزش رانندگی به عنوان یک منبع اشتغال، عوامل اجتماعی، از جمله این حقیقت که بسیاری از افراد هنوز از آزادی رانندگی لذت می‌برند و عوامل قانونی و اخلاقی، از جمله این واقعیت که ما اتومبیل‌های بدون راننده را در صورت داشتن یک استاندارد مرگ و میر بسیار بهتر نسبت به وسایل نقلیه دارای راننده انسانی نگاه می‌داریم، همگی برای این آینده ضروری هستند.</w:t>
      </w:r>
    </w:p>
    <w:p w14:paraId="356C3693" w14:textId="1232D8E4" w:rsidR="00537CC8" w:rsidRPr="0025250D" w:rsidRDefault="00537CC8" w:rsidP="00537CC8">
      <w:pPr>
        <w:rPr>
          <w:rtl/>
        </w:rPr>
      </w:pPr>
      <w:r w:rsidRPr="0025250D">
        <w:rPr>
          <w:rFonts w:hint="cs"/>
          <w:rtl/>
        </w:rPr>
        <w:t xml:space="preserve">اگر وسایل نقلیه </w:t>
      </w:r>
      <w:r w:rsidRPr="0025250D">
        <w:t>AHD</w:t>
      </w:r>
      <w:r w:rsidRPr="0025250D">
        <w:rPr>
          <w:rFonts w:hint="cs"/>
          <w:rtl/>
        </w:rPr>
        <w:t xml:space="preserve"> با سطوح رو به رشدی از اختیار (سطوح </w:t>
      </w:r>
      <w:r w:rsidRPr="0025250D">
        <w:t>SAE</w:t>
      </w:r>
      <w:r w:rsidRPr="0025250D">
        <w:rPr>
          <w:rFonts w:hint="cs"/>
          <w:rtl/>
        </w:rPr>
        <w:t xml:space="preserve"> 3، 4 و 5) بتوانند مطابق انتظار از اکثر تصادفات در طول این افق زمانی جلوگیری کنند، بنابراین بخش عمده‌ای از آینده بدون راننده بسیار آهسته‌تر از آنچه بسیاری از حامیان آن انتظار دارند، پدیدار خواهد شد و یک آینده کامل بدون راننده هیچ گاه رخ نخواهد داد. چنین نکات ظریفی از دید </w:t>
      </w:r>
      <w:r w:rsidR="00D92F6E" w:rsidRPr="0025250D">
        <w:rPr>
          <w:rFonts w:hint="cs"/>
          <w:rtl/>
        </w:rPr>
        <w:t>آینده‌پژوه</w:t>
      </w:r>
      <w:r w:rsidRPr="0025250D">
        <w:rPr>
          <w:rFonts w:hint="cs"/>
          <w:rtl/>
        </w:rPr>
        <w:t xml:space="preserve">انی که تنوع کافی </w:t>
      </w:r>
      <w:r w:rsidRPr="0025250D">
        <w:t>STEEPLES</w:t>
      </w:r>
      <w:r w:rsidRPr="0025250D">
        <w:rPr>
          <w:rFonts w:hint="cs"/>
          <w:rtl/>
        </w:rPr>
        <w:t xml:space="preserve"> در تحلیل خود ندارند، پنهان خواهند ماند. تفکر </w:t>
      </w:r>
      <w:r w:rsidRPr="0025250D">
        <w:t>STEEPLES</w:t>
      </w:r>
      <w:r w:rsidRPr="0025250D">
        <w:rPr>
          <w:rFonts w:hint="cs"/>
          <w:rtl/>
        </w:rPr>
        <w:t xml:space="preserve"> به ما یادآوری می‌کند که ما نخواهیم توانست به صورت ناگهانی سه میلیون راننده کامیون و یک میلیون راننده در حال کار بر حسب تقاضا را از کار اخراج کنیم. ما با سرعت بسیا</w:t>
      </w:r>
      <w:r w:rsidR="005D381D" w:rsidRPr="0025250D">
        <w:rPr>
          <w:rFonts w:hint="cs"/>
          <w:rtl/>
        </w:rPr>
        <w:t>ر</w:t>
      </w:r>
      <w:r w:rsidRPr="0025250D">
        <w:rPr>
          <w:rFonts w:hint="cs"/>
          <w:rtl/>
        </w:rPr>
        <w:t xml:space="preserve"> آهسته‌ای </w:t>
      </w:r>
      <w:r w:rsidR="007A53FD" w:rsidRPr="0025250D">
        <w:rPr>
          <w:rFonts w:hint="cs"/>
          <w:rtl/>
        </w:rPr>
        <w:t>فناوری</w:t>
      </w:r>
      <w:r w:rsidRPr="0025250D">
        <w:rPr>
          <w:rFonts w:hint="cs"/>
          <w:rtl/>
        </w:rPr>
        <w:t xml:space="preserve"> بدون راننده را به کار خواهیم گرفت و </w:t>
      </w:r>
      <w:r w:rsidRPr="0025250D">
        <w:t>AHD</w:t>
      </w:r>
      <w:r w:rsidRPr="0025250D">
        <w:rPr>
          <w:rFonts w:hint="cs"/>
          <w:rtl/>
        </w:rPr>
        <w:t xml:space="preserve"> احتمالا نقش بسیار بزرگتری نسبت به آنچه بیش‌تر </w:t>
      </w:r>
      <w:r w:rsidR="00D92F6E" w:rsidRPr="0025250D">
        <w:rPr>
          <w:rFonts w:hint="cs"/>
          <w:rtl/>
        </w:rPr>
        <w:t>آینده‌پژوه</w:t>
      </w:r>
      <w:r w:rsidRPr="0025250D">
        <w:rPr>
          <w:rFonts w:hint="cs"/>
          <w:rtl/>
        </w:rPr>
        <w:t>ان امروزه مایل به پذیرش آن هستند، ایفا خواهد کرد.</w:t>
      </w:r>
    </w:p>
    <w:p w14:paraId="13767E7F" w14:textId="62FCF82C" w:rsidR="00537CC8" w:rsidRPr="0025250D" w:rsidRDefault="00B13F65" w:rsidP="003D3E0A">
      <w:pPr>
        <w:pStyle w:val="Heading3"/>
        <w:rPr>
          <w:rtl/>
        </w:rPr>
      </w:pPr>
      <w:r w:rsidRPr="0025250D">
        <w:rPr>
          <w:rFonts w:hint="cs"/>
          <w:rtl/>
        </w:rPr>
        <w:t>چارچوب</w:t>
      </w:r>
      <w:r w:rsidR="00537CC8" w:rsidRPr="0025250D">
        <w:rPr>
          <w:rFonts w:hint="cs"/>
          <w:rtl/>
        </w:rPr>
        <w:t xml:space="preserve"> (منحنی‌های رشد) چهار آینده </w:t>
      </w:r>
      <w:r w:rsidR="00537CC8" w:rsidRPr="0025250D">
        <w:rPr>
          <w:rtl/>
        </w:rPr>
        <w:t>داتور</w:t>
      </w:r>
    </w:p>
    <w:p w14:paraId="43DF807D" w14:textId="1BB8636B" w:rsidR="00537CC8" w:rsidRPr="0025250D" w:rsidRDefault="00537CC8" w:rsidP="00537CC8">
      <w:pPr>
        <w:rPr>
          <w:rtl/>
        </w:rPr>
      </w:pPr>
      <w:r w:rsidRPr="0025250D">
        <w:rPr>
          <w:rFonts w:hint="cs"/>
          <w:rtl/>
        </w:rPr>
        <w:t xml:space="preserve">در سال 1979 </w:t>
      </w:r>
      <w:r w:rsidR="00D92F6E" w:rsidRPr="0025250D">
        <w:rPr>
          <w:rFonts w:hint="cs"/>
          <w:rtl/>
        </w:rPr>
        <w:t>آینده‌پژوه</w:t>
      </w:r>
      <w:r w:rsidRPr="0025250D">
        <w:rPr>
          <w:rFonts w:hint="cs"/>
          <w:rtl/>
        </w:rPr>
        <w:t xml:space="preserve"> برجسته </w:t>
      </w:r>
      <w:r w:rsidRPr="0025250D">
        <w:rPr>
          <w:rtl/>
        </w:rPr>
        <w:t>ج</w:t>
      </w:r>
      <w:r w:rsidRPr="0025250D">
        <w:rPr>
          <w:rFonts w:hint="cs"/>
          <w:rtl/>
        </w:rPr>
        <w:t>ی</w:t>
      </w:r>
      <w:r w:rsidRPr="0025250D">
        <w:rPr>
          <w:rFonts w:hint="eastAsia"/>
          <w:rtl/>
        </w:rPr>
        <w:t>م</w:t>
      </w:r>
      <w:r w:rsidRPr="0025250D">
        <w:rPr>
          <w:rtl/>
        </w:rPr>
        <w:t xml:space="preserve"> داتور</w:t>
      </w:r>
      <w:r w:rsidRPr="0025250D">
        <w:rPr>
          <w:rFonts w:hint="cs"/>
          <w:rtl/>
        </w:rPr>
        <w:t xml:space="preserve"> </w:t>
      </w:r>
      <w:r w:rsidRPr="0025250D">
        <w:rPr>
          <w:rFonts w:cs="Times New Roman" w:hint="cs"/>
          <w:rtl/>
        </w:rPr>
        <w:t>–</w:t>
      </w:r>
      <w:r w:rsidRPr="0025250D">
        <w:rPr>
          <w:rFonts w:hint="cs"/>
          <w:rtl/>
        </w:rPr>
        <w:t xml:space="preserve"> که سپس مدیر برنامه </w:t>
      </w:r>
      <w:r w:rsidRPr="0025250D">
        <w:rPr>
          <w:rtl/>
        </w:rPr>
        <w:t>آینده‌نگاری</w:t>
      </w:r>
      <w:r w:rsidRPr="0025250D">
        <w:rPr>
          <w:rFonts w:hint="cs"/>
          <w:rtl/>
        </w:rPr>
        <w:t xml:space="preserve"> دانشگاه هاوایی شد </w:t>
      </w:r>
      <w:r w:rsidRPr="0025250D">
        <w:rPr>
          <w:rFonts w:cs="Times New Roman" w:hint="cs"/>
          <w:rtl/>
        </w:rPr>
        <w:t>–</w:t>
      </w:r>
      <w:r w:rsidRPr="0025250D">
        <w:rPr>
          <w:rFonts w:hint="cs"/>
          <w:rtl/>
        </w:rPr>
        <w:t xml:space="preserve"> یک مدل شفاف ساز برای داستان‌های تغییر اجتماعی در مجله دیدگاه‌ها درمورد روانشناسی میان فرهنگی</w:t>
      </w:r>
      <w:r w:rsidRPr="0025250D">
        <w:rPr>
          <w:vertAlign w:val="superscript"/>
          <w:rtl/>
        </w:rPr>
        <w:footnoteReference w:id="2509"/>
      </w:r>
      <w:r w:rsidRPr="0025250D">
        <w:rPr>
          <w:rFonts w:hint="cs"/>
          <w:rtl/>
        </w:rPr>
        <w:t xml:space="preserve"> منتشر کرد. این مدل در کتاب آینده‌های در حال پیشرفت</w:t>
      </w:r>
      <w:r w:rsidRPr="0025250D">
        <w:rPr>
          <w:vertAlign w:val="superscript"/>
          <w:rtl/>
        </w:rPr>
        <w:footnoteReference w:id="2510"/>
      </w:r>
      <w:r w:rsidRPr="0025250D">
        <w:rPr>
          <w:rFonts w:hint="cs"/>
          <w:rtl/>
        </w:rPr>
        <w:t xml:space="preserve"> در سال 2002 استفاده شد.</w:t>
      </w:r>
      <w:r w:rsidRPr="0025250D">
        <w:rPr>
          <w:rtl/>
        </w:rPr>
        <w:t xml:space="preserve"> داتور</w:t>
      </w:r>
      <w:r w:rsidRPr="0025250D">
        <w:rPr>
          <w:rFonts w:hint="cs"/>
          <w:rtl/>
        </w:rPr>
        <w:t xml:space="preserve"> بیان کرد که بسیاری از روایت‌ها (داستان‌ها، </w:t>
      </w:r>
      <w:r w:rsidR="007A53FD" w:rsidRPr="0025250D">
        <w:rPr>
          <w:rFonts w:hint="cs"/>
          <w:rtl/>
        </w:rPr>
        <w:t>فرانامه</w:t>
      </w:r>
      <w:r w:rsidRPr="0025250D">
        <w:rPr>
          <w:rFonts w:hint="cs"/>
          <w:rtl/>
        </w:rPr>
        <w:t xml:space="preserve"> ها) درمورد مسائل تغییرات اجتماعی حول چهار دسته رشد، به دلیل اثرات این تغییر به صورت زیر شکل می‌گیرند:</w:t>
      </w:r>
    </w:p>
    <w:p w14:paraId="705117A5" w14:textId="77777777" w:rsidR="00537CC8" w:rsidRPr="0025250D" w:rsidRDefault="00537CC8" w:rsidP="003D3E0A">
      <w:pPr>
        <w:jc w:val="center"/>
        <w:rPr>
          <w:rtl/>
        </w:rPr>
      </w:pPr>
      <w:r w:rsidRPr="0025250D">
        <w:rPr>
          <w:noProof/>
          <w:rtl/>
          <w:lang w:bidi="ar-SA"/>
        </w:rPr>
        <w:drawing>
          <wp:inline distT="0" distB="0" distL="0" distR="0" wp14:anchorId="4EDFD93E" wp14:editId="6CB0B357">
            <wp:extent cx="2201945" cy="2199736"/>
            <wp:effectExtent l="0" t="0" r="8255" b="0"/>
            <wp:docPr id="145" name="Picture 145" descr="D:\کار\مستقل\3 ( ترجمه ی دانشگاه تهران  )\Introduction to Foresight\part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6\43.png"/>
                    <pic:cNvPicPr>
                      <a:picLocks noChangeAspect="1" noChangeArrowheads="1"/>
                    </pic:cNvPicPr>
                  </pic:nvPicPr>
                  <pic:blipFill rotWithShape="1">
                    <a:blip r:embed="rId236" cstate="screen">
                      <a:extLst>
                        <a:ext uri="{BEBA8EAE-BF5A-486C-A8C5-ECC9F3942E4B}">
                          <a14:imgProps xmlns:a14="http://schemas.microsoft.com/office/drawing/2010/main">
                            <a14:imgLayer r:embed="rId237">
                              <a14:imgEffect>
                                <a14:saturation sat="0"/>
                              </a14:imgEffect>
                            </a14:imgLayer>
                          </a14:imgProps>
                        </a:ext>
                        <a:ext uri="{28A0092B-C50C-407E-A947-70E740481C1C}">
                          <a14:useLocalDpi xmlns:a14="http://schemas.microsoft.com/office/drawing/2010/main"/>
                        </a:ext>
                      </a:extLst>
                    </a:blip>
                    <a:srcRect/>
                    <a:stretch/>
                  </pic:blipFill>
                  <pic:spPr bwMode="auto">
                    <a:xfrm>
                      <a:off x="0" y="0"/>
                      <a:ext cx="2205451" cy="2203239"/>
                    </a:xfrm>
                    <a:prstGeom prst="rect">
                      <a:avLst/>
                    </a:prstGeom>
                    <a:noFill/>
                    <a:ln>
                      <a:noFill/>
                    </a:ln>
                    <a:extLst>
                      <a:ext uri="{53640926-AAD7-44D8-BBD7-CCE9431645EC}">
                        <a14:shadowObscured xmlns:a14="http://schemas.microsoft.com/office/drawing/2010/main"/>
                      </a:ext>
                    </a:extLst>
                  </pic:spPr>
                </pic:pic>
              </a:graphicData>
            </a:graphic>
          </wp:inline>
        </w:drawing>
      </w:r>
    </w:p>
    <w:p w14:paraId="720505C8" w14:textId="77777777" w:rsidR="00537CC8" w:rsidRPr="0025250D" w:rsidRDefault="00537CC8" w:rsidP="003D3E0A">
      <w:pPr>
        <w:jc w:val="center"/>
        <w:rPr>
          <w:rtl/>
        </w:rPr>
      </w:pPr>
      <w:r w:rsidRPr="0025250D">
        <w:rPr>
          <w:rFonts w:hint="cs"/>
          <w:rtl/>
        </w:rPr>
        <w:t>جیم داتور، 2015</w:t>
      </w:r>
    </w:p>
    <w:p w14:paraId="45BBB8C6" w14:textId="41E00522" w:rsidR="00537CC8" w:rsidRPr="0025250D" w:rsidRDefault="00537CC8" w:rsidP="00492C47">
      <w:pPr>
        <w:numPr>
          <w:ilvl w:val="0"/>
          <w:numId w:val="50"/>
        </w:numPr>
        <w:rPr>
          <w:rtl/>
        </w:rPr>
      </w:pPr>
      <w:r w:rsidRPr="0025250D">
        <w:rPr>
          <w:rFonts w:hint="cs"/>
          <w:rtl/>
        </w:rPr>
        <w:t>تداوم (کار</w:t>
      </w:r>
      <w:r w:rsidRPr="0025250D">
        <w:rPr>
          <w:rtl/>
        </w:rPr>
        <w:t xml:space="preserve"> </w:t>
      </w:r>
      <w:r w:rsidRPr="0025250D">
        <w:rPr>
          <w:rFonts w:hint="cs"/>
          <w:rtl/>
        </w:rPr>
        <w:t>طبق</w:t>
      </w:r>
      <w:r w:rsidRPr="0025250D">
        <w:rPr>
          <w:rtl/>
        </w:rPr>
        <w:t xml:space="preserve"> </w:t>
      </w:r>
      <w:r w:rsidRPr="0025250D">
        <w:rPr>
          <w:rFonts w:hint="cs"/>
          <w:rtl/>
        </w:rPr>
        <w:t>معمول</w:t>
      </w:r>
      <w:r w:rsidRPr="0025250D">
        <w:rPr>
          <w:vertAlign w:val="superscript"/>
          <w:rtl/>
        </w:rPr>
        <w:footnoteReference w:id="2511"/>
      </w:r>
      <w:r w:rsidRPr="0025250D">
        <w:rPr>
          <w:rFonts w:hint="cs"/>
          <w:rtl/>
        </w:rPr>
        <w:t>، رشد بیش‌تر وضعیت موجود)</w:t>
      </w:r>
    </w:p>
    <w:p w14:paraId="4DAC6C28" w14:textId="5A1F6C97" w:rsidR="00537CC8" w:rsidRPr="0025250D" w:rsidRDefault="00537CC8" w:rsidP="00492C47">
      <w:pPr>
        <w:numPr>
          <w:ilvl w:val="0"/>
          <w:numId w:val="50"/>
        </w:numPr>
        <w:rPr>
          <w:rtl/>
        </w:rPr>
      </w:pPr>
      <w:r w:rsidRPr="0025250D">
        <w:rPr>
          <w:rFonts w:hint="cs"/>
          <w:rtl/>
        </w:rPr>
        <w:t xml:space="preserve">محدودیت‌ها و نظم (رفتارهایی برای </w:t>
      </w:r>
      <w:r w:rsidR="00B124DE" w:rsidRPr="0025250D">
        <w:rPr>
          <w:rFonts w:hint="cs"/>
          <w:rtl/>
        </w:rPr>
        <w:t>انطباق‌پذیر</w:t>
      </w:r>
      <w:r w:rsidRPr="0025250D">
        <w:rPr>
          <w:rFonts w:hint="cs"/>
          <w:rtl/>
        </w:rPr>
        <w:t>ی با محدودیت‌های داخلی و محیطی)</w:t>
      </w:r>
    </w:p>
    <w:p w14:paraId="6ABE0768" w14:textId="7125AB76" w:rsidR="00537CC8" w:rsidRPr="0025250D" w:rsidRDefault="00537CC8" w:rsidP="00492C47">
      <w:pPr>
        <w:numPr>
          <w:ilvl w:val="0"/>
          <w:numId w:val="50"/>
        </w:numPr>
        <w:rPr>
          <w:rtl/>
        </w:rPr>
      </w:pPr>
      <w:r w:rsidRPr="0025250D">
        <w:rPr>
          <w:rFonts w:hint="cs"/>
          <w:rtl/>
        </w:rPr>
        <w:t xml:space="preserve">افول و فروپاشی (حالات تنزل و شکست </w:t>
      </w:r>
      <w:r w:rsidR="008D6F97" w:rsidRPr="0025250D">
        <w:rPr>
          <w:rFonts w:hint="cs"/>
          <w:rtl/>
        </w:rPr>
        <w:t>سامانه‌</w:t>
      </w:r>
      <w:r w:rsidRPr="0025250D">
        <w:rPr>
          <w:rFonts w:hint="cs"/>
          <w:rtl/>
        </w:rPr>
        <w:t xml:space="preserve"> با ظهور بحران)</w:t>
      </w:r>
    </w:p>
    <w:p w14:paraId="172F088F" w14:textId="677CC12C" w:rsidR="00537CC8" w:rsidRPr="0025250D" w:rsidRDefault="00537CC8" w:rsidP="00492C47">
      <w:pPr>
        <w:numPr>
          <w:ilvl w:val="0"/>
          <w:numId w:val="50"/>
        </w:numPr>
        <w:rPr>
          <w:rtl/>
        </w:rPr>
      </w:pPr>
      <w:r w:rsidRPr="0025250D">
        <w:rPr>
          <w:rFonts w:hint="cs"/>
          <w:rtl/>
        </w:rPr>
        <w:t xml:space="preserve">تحول (عوامل </w:t>
      </w:r>
      <w:r w:rsidR="007A53FD" w:rsidRPr="0025250D">
        <w:rPr>
          <w:rFonts w:hint="cs"/>
          <w:rtl/>
        </w:rPr>
        <w:t>فناوری</w:t>
      </w:r>
      <w:r w:rsidRPr="0025250D">
        <w:rPr>
          <w:rFonts w:hint="cs"/>
          <w:rtl/>
        </w:rPr>
        <w:t xml:space="preserve">، </w:t>
      </w:r>
      <w:r w:rsidR="00B124DE" w:rsidRPr="0025250D">
        <w:rPr>
          <w:rFonts w:hint="cs"/>
          <w:rtl/>
        </w:rPr>
        <w:t>کسب‌و‌کار</w:t>
      </w:r>
      <w:r w:rsidRPr="0025250D">
        <w:rPr>
          <w:rFonts w:hint="cs"/>
          <w:rtl/>
        </w:rPr>
        <w:t xml:space="preserve"> یا اجتماعی جدیدی که بازی </w:t>
      </w:r>
      <w:r w:rsidR="00B124DE" w:rsidRPr="0025250D">
        <w:rPr>
          <w:rFonts w:hint="cs"/>
          <w:rtl/>
        </w:rPr>
        <w:t>انطباق‌پذیر</w:t>
      </w:r>
      <w:r w:rsidRPr="0025250D">
        <w:rPr>
          <w:rFonts w:hint="cs"/>
          <w:rtl/>
        </w:rPr>
        <w:t>ی را تغییر می‌دهند).</w:t>
      </w:r>
    </w:p>
    <w:p w14:paraId="02681F62" w14:textId="77777777" w:rsidR="00537CC8" w:rsidRPr="0025250D" w:rsidRDefault="00537CC8" w:rsidP="00537CC8">
      <w:pPr>
        <w:rPr>
          <w:rtl/>
        </w:rPr>
      </w:pPr>
      <w:r w:rsidRPr="0025250D">
        <w:rPr>
          <w:rFonts w:hint="cs"/>
          <w:rtl/>
        </w:rPr>
        <w:t xml:space="preserve">برای ساده‌سازی، این چهار آینده را می‌توان به عنوان چهار فاز در سه منحنی رشد کلاسیک، یعنی منحنی لجستیک (منحنی </w:t>
      </w:r>
      <w:r w:rsidRPr="0025250D">
        <w:t>S</w:t>
      </w:r>
      <w:r w:rsidRPr="0025250D">
        <w:rPr>
          <w:rFonts w:hint="cs"/>
          <w:rtl/>
        </w:rPr>
        <w:t>)، منحنی چرخه عمر و منحنی نمایی (یا فوق</w:t>
      </w:r>
      <w:r w:rsidRPr="0025250D">
        <w:rPr>
          <w:rtl/>
        </w:rPr>
        <w:t xml:space="preserve"> </w:t>
      </w:r>
      <w:r w:rsidRPr="0025250D">
        <w:rPr>
          <w:rFonts w:hint="cs"/>
          <w:rtl/>
        </w:rPr>
        <w:t>نمایی</w:t>
      </w:r>
      <w:r w:rsidRPr="0025250D">
        <w:rPr>
          <w:vertAlign w:val="superscript"/>
          <w:rtl/>
        </w:rPr>
        <w:footnoteReference w:id="2512"/>
      </w:r>
      <w:r w:rsidRPr="0025250D">
        <w:rPr>
          <w:rFonts w:hint="cs"/>
          <w:rtl/>
        </w:rPr>
        <w:t xml:space="preserve">) (منحنی </w:t>
      </w:r>
      <w:r w:rsidRPr="0025250D">
        <w:t>J</w:t>
      </w:r>
      <w:r w:rsidRPr="0025250D">
        <w:rPr>
          <w:rFonts w:hint="cs"/>
          <w:rtl/>
        </w:rPr>
        <w:t xml:space="preserve"> شکل) به صورت زیر نشان داد:</w:t>
      </w:r>
    </w:p>
    <w:p w14:paraId="6F88A660" w14:textId="77777777" w:rsidR="00537CC8" w:rsidRPr="0025250D" w:rsidRDefault="00537CC8" w:rsidP="003D3E0A">
      <w:pPr>
        <w:jc w:val="center"/>
        <w:rPr>
          <w:rtl/>
        </w:rPr>
      </w:pPr>
      <w:r w:rsidRPr="0025250D">
        <w:rPr>
          <w:noProof/>
          <w:lang w:bidi="ar-SA"/>
        </w:rPr>
        <w:drawing>
          <wp:inline distT="0" distB="0" distL="0" distR="0" wp14:anchorId="52A25FE6" wp14:editId="51DCFDDA">
            <wp:extent cx="3275462" cy="2713955"/>
            <wp:effectExtent l="0" t="0" r="127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extLst>
                        <a:ext uri="{BEBA8EAE-BF5A-486C-A8C5-ECC9F3942E4B}">
                          <a14:imgProps xmlns:a14="http://schemas.microsoft.com/office/drawing/2010/main">
                            <a14:imgLayer r:embed="rId239">
                              <a14:imgEffect>
                                <a14:saturation sat="0"/>
                              </a14:imgEffect>
                            </a14:imgLayer>
                          </a14:imgProps>
                        </a:ext>
                      </a:extLst>
                    </a:blip>
                    <a:stretch>
                      <a:fillRect/>
                    </a:stretch>
                  </pic:blipFill>
                  <pic:spPr>
                    <a:xfrm>
                      <a:off x="0" y="0"/>
                      <a:ext cx="3287530" cy="2723954"/>
                    </a:xfrm>
                    <a:prstGeom prst="rect">
                      <a:avLst/>
                    </a:prstGeom>
                  </pic:spPr>
                </pic:pic>
              </a:graphicData>
            </a:graphic>
          </wp:inline>
        </w:drawing>
      </w:r>
    </w:p>
    <w:p w14:paraId="68639E6C" w14:textId="43B766DD" w:rsidR="00537CC8" w:rsidRPr="0025250D" w:rsidRDefault="007118DE" w:rsidP="00537CC8">
      <w:pPr>
        <w:rPr>
          <w:rtl/>
        </w:rPr>
      </w:pPr>
      <w:r w:rsidRPr="0025250D">
        <w:rPr>
          <w:rFonts w:hint="cs"/>
          <w:rtl/>
        </w:rPr>
        <w:t>همان‌طور</w:t>
      </w:r>
      <w:r w:rsidR="00537CC8" w:rsidRPr="0025250D">
        <w:rPr>
          <w:rFonts w:hint="cs"/>
          <w:rtl/>
        </w:rPr>
        <w:t xml:space="preserve">که </w:t>
      </w:r>
      <w:r w:rsidR="00537CC8" w:rsidRPr="0025250D">
        <w:rPr>
          <w:rtl/>
        </w:rPr>
        <w:t>داتور</w:t>
      </w:r>
      <w:r w:rsidR="00537CC8" w:rsidRPr="0025250D">
        <w:rPr>
          <w:rFonts w:hint="cs"/>
          <w:rtl/>
        </w:rPr>
        <w:t xml:space="preserve"> می‌گوید، هر چهار داستان تغییر توسط گروه‌های مختلف به صورت همزمان بیان شده یا برای آن‌ها رخ می‌دهند. همچنین، هر چهار تغییر برای بازیگران منفرد در بافت‌ها و زمان‌های مختلف رخ می‌دهند</w:t>
      </w:r>
      <w:r w:rsidR="008D6F97" w:rsidRPr="0025250D">
        <w:rPr>
          <w:rtl/>
        </w:rPr>
        <w:t xml:space="preserve">؛ </w:t>
      </w:r>
      <w:r w:rsidR="00537CC8" w:rsidRPr="0025250D">
        <w:rPr>
          <w:rFonts w:hint="cs"/>
          <w:rtl/>
        </w:rPr>
        <w:t xml:space="preserve">بنابراین یادگیری درمورد این که چه کسی بازنمایی کننده هر یک از این چهار نقطه نظر است یک هدف بزرگ در تحقیقات </w:t>
      </w:r>
      <w:r w:rsidR="00537CC8" w:rsidRPr="0025250D">
        <w:rPr>
          <w:rtl/>
        </w:rPr>
        <w:t>آینده‌نگاری</w:t>
      </w:r>
      <w:r w:rsidR="00537CC8" w:rsidRPr="0025250D">
        <w:rPr>
          <w:rFonts w:hint="cs"/>
          <w:rtl/>
        </w:rPr>
        <w:t xml:space="preserve"> است. این چهار منحنی در حقیقت یک ساده‌سازی از منحنی‌های </w:t>
      </w:r>
      <w:r w:rsidR="00537CC8" w:rsidRPr="0025250D">
        <w:t>LENPAC</w:t>
      </w:r>
      <w:r w:rsidR="00537CC8" w:rsidRPr="0025250D">
        <w:rPr>
          <w:rFonts w:hint="cs"/>
          <w:rtl/>
        </w:rPr>
        <w:t xml:space="preserve"> هستند که در نسخه دانشجوی این کتاب بررسی می‌شوند. این مدل فراگیر می‌تواند به عنوان یک </w:t>
      </w:r>
      <w:r w:rsidR="00B13F65" w:rsidRPr="0025250D">
        <w:rPr>
          <w:rFonts w:hint="cs"/>
          <w:rtl/>
        </w:rPr>
        <w:t>چارچوب</w:t>
      </w:r>
      <w:r w:rsidR="00537CC8" w:rsidRPr="0025250D">
        <w:rPr>
          <w:rFonts w:hint="cs"/>
          <w:rtl/>
        </w:rPr>
        <w:t xml:space="preserve"> پیش‌انگاری، یک </w:t>
      </w:r>
      <w:r w:rsidR="00B13F65" w:rsidRPr="0025250D">
        <w:rPr>
          <w:rFonts w:hint="cs"/>
          <w:rtl/>
        </w:rPr>
        <w:t>چارچوب</w:t>
      </w:r>
      <w:r w:rsidR="00537CC8" w:rsidRPr="0025250D">
        <w:rPr>
          <w:rFonts w:hint="cs"/>
          <w:rtl/>
        </w:rPr>
        <w:t xml:space="preserve"> </w:t>
      </w:r>
      <w:r w:rsidR="007A53FD" w:rsidRPr="0025250D">
        <w:rPr>
          <w:rFonts w:hint="cs"/>
          <w:rtl/>
        </w:rPr>
        <w:t>فرانامه</w:t>
      </w:r>
      <w:r w:rsidR="00537CC8" w:rsidRPr="0025250D">
        <w:rPr>
          <w:rFonts w:hint="cs"/>
          <w:rtl/>
        </w:rPr>
        <w:t xml:space="preserve"> سازی و یک </w:t>
      </w:r>
      <w:r w:rsidR="00B13F65" w:rsidRPr="0025250D">
        <w:rPr>
          <w:rFonts w:hint="cs"/>
          <w:rtl/>
        </w:rPr>
        <w:t>چارچوب</w:t>
      </w:r>
      <w:r w:rsidR="00537CC8" w:rsidRPr="0025250D">
        <w:rPr>
          <w:rFonts w:hint="cs"/>
          <w:rtl/>
        </w:rPr>
        <w:t xml:space="preserve"> </w:t>
      </w:r>
      <w:r w:rsidR="00EE4B64" w:rsidRPr="0025250D">
        <w:rPr>
          <w:rFonts w:hint="cs"/>
          <w:rtl/>
        </w:rPr>
        <w:t>چشم‌اندازسازی</w:t>
      </w:r>
      <w:r w:rsidR="00537CC8" w:rsidRPr="0025250D">
        <w:rPr>
          <w:rFonts w:hint="cs"/>
          <w:rtl/>
        </w:rPr>
        <w:t xml:space="preserve"> مثبت و منفی استفاده شود. این </w:t>
      </w:r>
      <w:r w:rsidR="00B13F65" w:rsidRPr="0025250D">
        <w:rPr>
          <w:rFonts w:hint="cs"/>
          <w:rtl/>
        </w:rPr>
        <w:t>چارچوب</w:t>
      </w:r>
      <w:r w:rsidR="00537CC8" w:rsidRPr="0025250D">
        <w:rPr>
          <w:rFonts w:hint="cs"/>
          <w:rtl/>
        </w:rPr>
        <w:t xml:space="preserve"> پیچیده‌تر از </w:t>
      </w:r>
      <w:r w:rsidR="00B13F65" w:rsidRPr="0025250D">
        <w:rPr>
          <w:rFonts w:hint="cs"/>
          <w:rtl/>
        </w:rPr>
        <w:t>چارچوب</w:t>
      </w:r>
      <w:r w:rsidR="00537CC8" w:rsidRPr="0025250D">
        <w:rPr>
          <w:rFonts w:hint="cs"/>
          <w:rtl/>
        </w:rPr>
        <w:t xml:space="preserve"> سه افق زمانی</w:t>
      </w:r>
      <w:r w:rsidR="00537CC8" w:rsidRPr="0025250D">
        <w:rPr>
          <w:vertAlign w:val="superscript"/>
          <w:rtl/>
        </w:rPr>
        <w:footnoteReference w:id="2513"/>
      </w:r>
      <w:r w:rsidR="00537CC8" w:rsidRPr="0025250D">
        <w:rPr>
          <w:rFonts w:hint="cs"/>
          <w:rtl/>
        </w:rPr>
        <w:t xml:space="preserve"> (که در ادامه بررسی خواهد شد) می‌باشد، اما ما آن را در بیش‌تر مواقع مفید‌تر می‌دانیم. به رهبران توصیه می‌شود که </w:t>
      </w:r>
      <w:r w:rsidR="00701E03" w:rsidRPr="0025250D">
        <w:rPr>
          <w:rFonts w:hint="cs"/>
          <w:rtl/>
        </w:rPr>
        <w:t>راهبرد</w:t>
      </w:r>
      <w:r w:rsidR="00537CC8" w:rsidRPr="0025250D">
        <w:rPr>
          <w:rFonts w:hint="cs"/>
          <w:rtl/>
        </w:rPr>
        <w:t xml:space="preserve"> خود را با توجه به هر چهار حالت رشد </w:t>
      </w:r>
      <w:r w:rsidR="002C61FC" w:rsidRPr="0025250D">
        <w:rPr>
          <w:rtl/>
        </w:rPr>
        <w:t>(</w:t>
      </w:r>
      <w:r w:rsidR="00537CC8" w:rsidRPr="0025250D">
        <w:rPr>
          <w:rFonts w:hint="cs"/>
          <w:rtl/>
        </w:rPr>
        <w:t>و گروه‌هایی که آن‌ها را تجربه می‌کنند) بسنجند و احتمال این که سازمان آن‌ها یا ذینفعان آن‌ها به زودی بتوانند به هر یک از این حالات تغییر کنند را تخمین بزنند.</w:t>
      </w:r>
    </w:p>
    <w:p w14:paraId="50C17538" w14:textId="4CC50B22" w:rsidR="00537CC8" w:rsidRPr="0025250D" w:rsidRDefault="00B13F65" w:rsidP="003D3E0A">
      <w:pPr>
        <w:pStyle w:val="Heading3"/>
        <w:rPr>
          <w:rtl/>
        </w:rPr>
      </w:pPr>
      <w:r w:rsidRPr="0025250D">
        <w:rPr>
          <w:rFonts w:hint="cs"/>
          <w:rtl/>
        </w:rPr>
        <w:t>چارچوب</w:t>
      </w:r>
      <w:r w:rsidR="00537CC8" w:rsidRPr="0025250D">
        <w:rPr>
          <w:rFonts w:hint="cs"/>
          <w:rtl/>
        </w:rPr>
        <w:t xml:space="preserve"> (منحنی‌های رشد) سه افق زمانی </w:t>
      </w:r>
      <w:r w:rsidR="00537CC8" w:rsidRPr="0025250D">
        <w:rPr>
          <w:rtl/>
        </w:rPr>
        <w:t>شارپ</w:t>
      </w:r>
    </w:p>
    <w:p w14:paraId="28BAB2F9" w14:textId="77777777" w:rsidR="00537CC8" w:rsidRPr="0025250D" w:rsidRDefault="00537CC8" w:rsidP="003D3E0A">
      <w:pPr>
        <w:jc w:val="center"/>
        <w:rPr>
          <w:rtl/>
        </w:rPr>
      </w:pPr>
      <w:r w:rsidRPr="0025250D">
        <w:rPr>
          <w:noProof/>
          <w:rtl/>
          <w:lang w:bidi="ar-SA"/>
        </w:rPr>
        <w:drawing>
          <wp:inline distT="0" distB="0" distL="0" distR="0" wp14:anchorId="22FAC37D" wp14:editId="260367BE">
            <wp:extent cx="2354490" cy="2596551"/>
            <wp:effectExtent l="0" t="0" r="8255" b="0"/>
            <wp:docPr id="147" name="Picture 147" descr="D:\کار\مستقل\3 ( ترجمه ی دانشگاه تهران  )\Introduction to Foresight\part6\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کار\مستقل\3 ( ترجمه ی دانشگاه تهران  )\Introduction to Foresight\part6\45.png"/>
                    <pic:cNvPicPr>
                      <a:picLocks noChangeAspect="1" noChangeArrowheads="1"/>
                    </pic:cNvPicPr>
                  </pic:nvPicPr>
                  <pic:blipFill rotWithShape="1">
                    <a:blip r:embed="rId240" cstate="screen">
                      <a:extLst>
                        <a:ext uri="{BEBA8EAE-BF5A-486C-A8C5-ECC9F3942E4B}">
                          <a14:imgProps xmlns:a14="http://schemas.microsoft.com/office/drawing/2010/main">
                            <a14:imgLayer r:embed="rId241">
                              <a14:imgEffect>
                                <a14:saturation sat="0"/>
                              </a14:imgEffect>
                            </a14:imgLayer>
                          </a14:imgProps>
                        </a:ext>
                        <a:ext uri="{28A0092B-C50C-407E-A947-70E740481C1C}">
                          <a14:useLocalDpi xmlns:a14="http://schemas.microsoft.com/office/drawing/2010/main"/>
                        </a:ext>
                      </a:extLst>
                    </a:blip>
                    <a:srcRect/>
                    <a:stretch/>
                  </pic:blipFill>
                  <pic:spPr bwMode="auto">
                    <a:xfrm>
                      <a:off x="0" y="0"/>
                      <a:ext cx="2356755" cy="2599049"/>
                    </a:xfrm>
                    <a:prstGeom prst="rect">
                      <a:avLst/>
                    </a:prstGeom>
                    <a:noFill/>
                    <a:ln>
                      <a:noFill/>
                    </a:ln>
                    <a:extLst>
                      <a:ext uri="{53640926-AAD7-44D8-BBD7-CCE9431645EC}">
                        <a14:shadowObscured xmlns:a14="http://schemas.microsoft.com/office/drawing/2010/main"/>
                      </a:ext>
                    </a:extLst>
                  </pic:spPr>
                </pic:pic>
              </a:graphicData>
            </a:graphic>
          </wp:inline>
        </w:drawing>
      </w:r>
    </w:p>
    <w:p w14:paraId="1D70B4D4" w14:textId="77777777" w:rsidR="00537CC8" w:rsidRPr="0025250D" w:rsidRDefault="00537CC8" w:rsidP="003D3E0A">
      <w:pPr>
        <w:jc w:val="center"/>
        <w:rPr>
          <w:rtl/>
        </w:rPr>
      </w:pPr>
      <w:r w:rsidRPr="0025250D">
        <w:rPr>
          <w:rtl/>
        </w:rPr>
        <w:t>ب</w:t>
      </w:r>
      <w:r w:rsidRPr="0025250D">
        <w:rPr>
          <w:rFonts w:hint="cs"/>
          <w:rtl/>
        </w:rPr>
        <w:t>ی</w:t>
      </w:r>
      <w:r w:rsidRPr="0025250D">
        <w:rPr>
          <w:rFonts w:hint="eastAsia"/>
          <w:rtl/>
        </w:rPr>
        <w:t>ل</w:t>
      </w:r>
      <w:r w:rsidRPr="0025250D">
        <w:rPr>
          <w:rtl/>
        </w:rPr>
        <w:t xml:space="preserve"> شارپ</w:t>
      </w:r>
      <w:r w:rsidRPr="0025250D">
        <w:rPr>
          <w:rFonts w:hint="cs"/>
          <w:rtl/>
        </w:rPr>
        <w:t>، 2013</w:t>
      </w:r>
    </w:p>
    <w:p w14:paraId="07D5EF9A" w14:textId="63BDB27C" w:rsidR="00537CC8" w:rsidRPr="0025250D" w:rsidRDefault="00537CC8" w:rsidP="00537CC8">
      <w:pPr>
        <w:rPr>
          <w:rtl/>
        </w:rPr>
      </w:pPr>
      <w:r w:rsidRPr="0025250D">
        <w:rPr>
          <w:rFonts w:hint="cs"/>
          <w:rtl/>
        </w:rPr>
        <w:t>سه افق زمانی: الگونگاری امید</w:t>
      </w:r>
      <w:r w:rsidRPr="0025250D">
        <w:rPr>
          <w:vertAlign w:val="superscript"/>
          <w:rtl/>
        </w:rPr>
        <w:footnoteReference w:id="2514"/>
      </w:r>
      <w:r w:rsidRPr="0025250D">
        <w:rPr>
          <w:rFonts w:hint="cs"/>
          <w:rtl/>
        </w:rPr>
        <w:t xml:space="preserve"> اثر </w:t>
      </w:r>
      <w:r w:rsidRPr="0025250D">
        <w:rPr>
          <w:rtl/>
        </w:rPr>
        <w:t>ب</w:t>
      </w:r>
      <w:r w:rsidRPr="0025250D">
        <w:rPr>
          <w:rFonts w:hint="cs"/>
          <w:rtl/>
        </w:rPr>
        <w:t>ی</w:t>
      </w:r>
      <w:r w:rsidRPr="0025250D">
        <w:rPr>
          <w:rFonts w:hint="eastAsia"/>
          <w:rtl/>
        </w:rPr>
        <w:t>ل</w:t>
      </w:r>
      <w:r w:rsidRPr="0025250D">
        <w:rPr>
          <w:rtl/>
        </w:rPr>
        <w:t xml:space="preserve"> شارپ</w:t>
      </w:r>
      <w:r w:rsidRPr="0025250D">
        <w:rPr>
          <w:vertAlign w:val="superscript"/>
          <w:rtl/>
        </w:rPr>
        <w:footnoteReference w:id="2515"/>
      </w:r>
      <w:r w:rsidRPr="0025250D">
        <w:rPr>
          <w:rFonts w:hint="cs"/>
          <w:rtl/>
        </w:rPr>
        <w:t xml:space="preserve"> در سال 2013 یک </w:t>
      </w:r>
      <w:r w:rsidR="00B13F65" w:rsidRPr="0025250D">
        <w:rPr>
          <w:rFonts w:hint="cs"/>
          <w:rtl/>
        </w:rPr>
        <w:t>چارچوب</w:t>
      </w:r>
      <w:r w:rsidRPr="0025250D">
        <w:rPr>
          <w:rFonts w:hint="cs"/>
          <w:rtl/>
        </w:rPr>
        <w:t xml:space="preserve"> منحنی رشد دیگر برای ارزیابی تغییر است. این یک ساده‌سازی از چهار آینده </w:t>
      </w:r>
      <w:r w:rsidRPr="0025250D">
        <w:rPr>
          <w:rtl/>
        </w:rPr>
        <w:t>داتور</w:t>
      </w:r>
      <w:r w:rsidRPr="0025250D">
        <w:rPr>
          <w:rFonts w:hint="cs"/>
          <w:rtl/>
        </w:rPr>
        <w:t xml:space="preserve"> است، بااین‌حال سادگی آن </w:t>
      </w:r>
      <w:r w:rsidR="005D381D" w:rsidRPr="0025250D">
        <w:rPr>
          <w:rFonts w:hint="cs"/>
          <w:rtl/>
        </w:rPr>
        <w:t>منشا</w:t>
      </w:r>
      <w:r w:rsidRPr="0025250D">
        <w:rPr>
          <w:rFonts w:hint="cs"/>
          <w:rtl/>
        </w:rPr>
        <w:t xml:space="preserve"> قدرت و ارزش خاص </w:t>
      </w:r>
      <w:r w:rsidR="005D381D" w:rsidRPr="0025250D">
        <w:rPr>
          <w:rFonts w:hint="cs"/>
          <w:rtl/>
        </w:rPr>
        <w:t>آن</w:t>
      </w:r>
      <w:r w:rsidRPr="0025250D">
        <w:rPr>
          <w:rFonts w:hint="cs"/>
          <w:rtl/>
        </w:rPr>
        <w:t xml:space="preserve"> </w:t>
      </w:r>
      <w:r w:rsidR="005D381D" w:rsidRPr="0025250D">
        <w:rPr>
          <w:rFonts w:hint="cs"/>
          <w:rtl/>
        </w:rPr>
        <w:t>می باشد</w:t>
      </w:r>
      <w:r w:rsidRPr="0025250D">
        <w:rPr>
          <w:rFonts w:hint="cs"/>
          <w:rtl/>
        </w:rPr>
        <w:t xml:space="preserve">. این </w:t>
      </w:r>
      <w:r w:rsidR="00B13F65" w:rsidRPr="0025250D">
        <w:rPr>
          <w:rFonts w:hint="cs"/>
          <w:rtl/>
        </w:rPr>
        <w:t>چارچوب</w:t>
      </w:r>
      <w:r w:rsidRPr="0025250D">
        <w:rPr>
          <w:rFonts w:hint="cs"/>
          <w:rtl/>
        </w:rPr>
        <w:t xml:space="preserve"> برای معرفی تفکر منحنی رشد، به ویژه برای گروهی که در تفکر </w:t>
      </w:r>
      <w:r w:rsidR="008D6F97" w:rsidRPr="0025250D">
        <w:rPr>
          <w:rFonts w:hint="cs"/>
          <w:rtl/>
        </w:rPr>
        <w:t>سامانه‌ای</w:t>
      </w:r>
      <w:r w:rsidRPr="0025250D">
        <w:rPr>
          <w:rFonts w:hint="cs"/>
          <w:rtl/>
        </w:rPr>
        <w:t xml:space="preserve"> تازه کار است، عالی می‌باشد. این </w:t>
      </w:r>
      <w:r w:rsidR="00B13F65" w:rsidRPr="0025250D">
        <w:rPr>
          <w:rFonts w:hint="cs"/>
          <w:rtl/>
        </w:rPr>
        <w:t>چارچوب</w:t>
      </w:r>
      <w:r w:rsidRPr="0025250D">
        <w:rPr>
          <w:rFonts w:hint="cs"/>
          <w:rtl/>
        </w:rPr>
        <w:t xml:space="preserve"> تعامل سه منحنی رشد را در نظر می‌گیرد:</w:t>
      </w:r>
    </w:p>
    <w:p w14:paraId="35559E78" w14:textId="32ABD5B3" w:rsidR="00537CC8" w:rsidRPr="0025250D" w:rsidRDefault="00B124DE" w:rsidP="00492C47">
      <w:pPr>
        <w:numPr>
          <w:ilvl w:val="0"/>
          <w:numId w:val="51"/>
        </w:numPr>
        <w:rPr>
          <w:rtl/>
        </w:rPr>
      </w:pPr>
      <w:r w:rsidRPr="0025250D">
        <w:rPr>
          <w:rFonts w:hint="cs"/>
          <w:rtl/>
        </w:rPr>
        <w:t>کسب‌و‌کار</w:t>
      </w:r>
      <w:r w:rsidR="00537CC8" w:rsidRPr="0025250D">
        <w:rPr>
          <w:rtl/>
        </w:rPr>
        <w:t xml:space="preserve"> </w:t>
      </w:r>
      <w:r w:rsidR="00537CC8" w:rsidRPr="0025250D">
        <w:rPr>
          <w:rFonts w:hint="cs"/>
          <w:rtl/>
        </w:rPr>
        <w:t>طبق</w:t>
      </w:r>
      <w:r w:rsidR="00537CC8" w:rsidRPr="0025250D">
        <w:rPr>
          <w:rtl/>
        </w:rPr>
        <w:t xml:space="preserve"> </w:t>
      </w:r>
      <w:r w:rsidR="00537CC8" w:rsidRPr="0025250D">
        <w:rPr>
          <w:rFonts w:hint="cs"/>
          <w:rtl/>
        </w:rPr>
        <w:t xml:space="preserve">معمول (که در نهایت کاهش خواهد یافت) </w:t>
      </w:r>
      <w:r w:rsidR="00537CC8" w:rsidRPr="0025250D">
        <w:rPr>
          <w:rFonts w:cs="Times New Roman" w:hint="cs"/>
          <w:rtl/>
        </w:rPr>
        <w:t>–</w:t>
      </w:r>
      <w:r w:rsidR="00537CC8" w:rsidRPr="0025250D">
        <w:rPr>
          <w:rFonts w:hint="cs"/>
          <w:rtl/>
        </w:rPr>
        <w:t xml:space="preserve"> افق 1</w:t>
      </w:r>
    </w:p>
    <w:p w14:paraId="30AD2BED" w14:textId="135C23D8" w:rsidR="00537CC8" w:rsidRPr="0025250D" w:rsidRDefault="00537CC8" w:rsidP="00492C47">
      <w:pPr>
        <w:numPr>
          <w:ilvl w:val="0"/>
          <w:numId w:val="51"/>
        </w:numPr>
        <w:rPr>
          <w:rtl/>
        </w:rPr>
      </w:pPr>
      <w:r w:rsidRPr="0025250D">
        <w:rPr>
          <w:rFonts w:hint="cs"/>
          <w:rtl/>
        </w:rPr>
        <w:t xml:space="preserve">نیروهای </w:t>
      </w:r>
      <w:r w:rsidR="00D92F6E" w:rsidRPr="0025250D">
        <w:rPr>
          <w:rFonts w:hint="cs"/>
          <w:rtl/>
        </w:rPr>
        <w:t>بنیان‌افکن</w:t>
      </w:r>
      <w:r w:rsidRPr="0025250D">
        <w:rPr>
          <w:rFonts w:hint="cs"/>
          <w:rtl/>
        </w:rPr>
        <w:t xml:space="preserve"> (تغییر ترتیب موجود که تغییر را ممکن می‌سازد) </w:t>
      </w:r>
      <w:r w:rsidRPr="0025250D">
        <w:rPr>
          <w:rFonts w:cs="Times New Roman" w:hint="cs"/>
          <w:rtl/>
        </w:rPr>
        <w:t>–</w:t>
      </w:r>
      <w:r w:rsidRPr="0025250D">
        <w:rPr>
          <w:rFonts w:hint="cs"/>
          <w:rtl/>
        </w:rPr>
        <w:t xml:space="preserve"> افق 2</w:t>
      </w:r>
    </w:p>
    <w:p w14:paraId="7E7ADDC3" w14:textId="355619DF" w:rsidR="00537CC8" w:rsidRPr="0025250D" w:rsidRDefault="008D6F97" w:rsidP="00492C47">
      <w:pPr>
        <w:numPr>
          <w:ilvl w:val="0"/>
          <w:numId w:val="51"/>
        </w:numPr>
        <w:rPr>
          <w:rtl/>
        </w:rPr>
      </w:pPr>
      <w:r w:rsidRPr="0025250D">
        <w:rPr>
          <w:rFonts w:hint="cs"/>
          <w:rtl/>
        </w:rPr>
        <w:t>سامانه‌</w:t>
      </w:r>
      <w:r w:rsidR="00537CC8" w:rsidRPr="0025250D">
        <w:rPr>
          <w:rFonts w:hint="cs"/>
          <w:rtl/>
        </w:rPr>
        <w:t xml:space="preserve"> جدید (که به شکل فزاینده‌ای </w:t>
      </w:r>
      <w:r w:rsidR="00B453C0" w:rsidRPr="0025250D">
        <w:rPr>
          <w:rFonts w:hint="cs"/>
          <w:rtl/>
        </w:rPr>
        <w:t>امکان‌پذیر</w:t>
      </w:r>
      <w:r w:rsidR="00537CC8" w:rsidRPr="0025250D">
        <w:rPr>
          <w:rFonts w:hint="cs"/>
          <w:rtl/>
        </w:rPr>
        <w:t xml:space="preserve"> می‌شود) </w:t>
      </w:r>
      <w:r w:rsidR="00537CC8" w:rsidRPr="0025250D">
        <w:rPr>
          <w:rFonts w:cs="Times New Roman" w:hint="cs"/>
          <w:rtl/>
        </w:rPr>
        <w:t>–</w:t>
      </w:r>
      <w:r w:rsidR="00537CC8" w:rsidRPr="0025250D">
        <w:rPr>
          <w:rFonts w:hint="cs"/>
          <w:rtl/>
        </w:rPr>
        <w:t xml:space="preserve"> افق 3</w:t>
      </w:r>
    </w:p>
    <w:p w14:paraId="4A9A8AA9" w14:textId="77777777" w:rsidR="00537CC8" w:rsidRPr="0025250D" w:rsidRDefault="00537CC8" w:rsidP="003D3E0A">
      <w:pPr>
        <w:jc w:val="center"/>
        <w:rPr>
          <w:rtl/>
        </w:rPr>
      </w:pPr>
      <w:r w:rsidRPr="0025250D">
        <w:rPr>
          <w:noProof/>
          <w:lang w:bidi="ar-SA"/>
        </w:rPr>
        <w:drawing>
          <wp:inline distT="0" distB="0" distL="0" distR="0" wp14:anchorId="37155823" wp14:editId="7B42F7EB">
            <wp:extent cx="3096883" cy="1997715"/>
            <wp:effectExtent l="0" t="0" r="8890" b="254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2" cstate="screen">
                      <a:extLst>
                        <a:ext uri="{BEBA8EAE-BF5A-486C-A8C5-ECC9F3942E4B}">
                          <a14:imgProps xmlns:a14="http://schemas.microsoft.com/office/drawing/2010/main">
                            <a14:imgLayer r:embed="rId243">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3110584" cy="2006553"/>
                    </a:xfrm>
                    <a:prstGeom prst="rect">
                      <a:avLst/>
                    </a:prstGeom>
                    <a:noFill/>
                  </pic:spPr>
                </pic:pic>
              </a:graphicData>
            </a:graphic>
          </wp:inline>
        </w:drawing>
      </w:r>
    </w:p>
    <w:p w14:paraId="25C642F2" w14:textId="06DA78F6" w:rsidR="00537CC8" w:rsidRPr="0025250D" w:rsidRDefault="00537CC8" w:rsidP="00537CC8">
      <w:pPr>
        <w:rPr>
          <w:rtl/>
        </w:rPr>
      </w:pPr>
      <w:r w:rsidRPr="0025250D">
        <w:rPr>
          <w:rFonts w:hint="cs"/>
          <w:rtl/>
        </w:rPr>
        <w:t xml:space="preserve">این سه </w:t>
      </w:r>
      <w:r w:rsidR="008D6F97" w:rsidRPr="0025250D">
        <w:rPr>
          <w:rFonts w:hint="cs"/>
          <w:rtl/>
        </w:rPr>
        <w:t>سامانه‌</w:t>
      </w:r>
      <w:r w:rsidRPr="0025250D">
        <w:rPr>
          <w:rFonts w:hint="cs"/>
          <w:rtl/>
        </w:rPr>
        <w:t xml:space="preserve"> می‌توانند به وسیله سه منحنی نشان داده شوند</w:t>
      </w:r>
      <w:r w:rsidR="008D6F97" w:rsidRPr="0025250D">
        <w:rPr>
          <w:rtl/>
        </w:rPr>
        <w:t xml:space="preserve">؛ </w:t>
      </w:r>
      <w:r w:rsidRPr="0025250D">
        <w:rPr>
          <w:rFonts w:hint="cs"/>
          <w:rtl/>
        </w:rPr>
        <w:t xml:space="preserve">مانند منحنی‌های </w:t>
      </w:r>
      <w:r w:rsidRPr="0025250D">
        <w:rPr>
          <w:rtl/>
        </w:rPr>
        <w:t>داتور</w:t>
      </w:r>
      <w:r w:rsidRPr="0025250D">
        <w:rPr>
          <w:rFonts w:hint="cs"/>
          <w:rtl/>
        </w:rPr>
        <w:t xml:space="preserve">، هر منحنی حالات رشد متفاوتی را دنبال می‌کند. یک نسخه ساده از آن در تصویر بالا توسط </w:t>
      </w:r>
      <w:r w:rsidRPr="0025250D">
        <w:rPr>
          <w:rtl/>
        </w:rPr>
        <w:t>ک</w:t>
      </w:r>
      <w:r w:rsidRPr="0025250D">
        <w:rPr>
          <w:rFonts w:hint="cs"/>
          <w:rtl/>
        </w:rPr>
        <w:t>ی</w:t>
      </w:r>
      <w:r w:rsidRPr="0025250D">
        <w:rPr>
          <w:rFonts w:hint="eastAsia"/>
          <w:rtl/>
        </w:rPr>
        <w:t>ت</w:t>
      </w:r>
      <w:r w:rsidRPr="0025250D">
        <w:rPr>
          <w:rtl/>
        </w:rPr>
        <w:t xml:space="preserve"> راورث</w:t>
      </w:r>
      <w:r w:rsidRPr="0025250D">
        <w:rPr>
          <w:vertAlign w:val="superscript"/>
          <w:rtl/>
        </w:rPr>
        <w:footnoteReference w:id="2516"/>
      </w:r>
      <w:r w:rsidRPr="0025250D">
        <w:rPr>
          <w:rFonts w:hint="cs"/>
          <w:rtl/>
        </w:rPr>
        <w:t>، نویسنده کتاب بسیار خوب اقتصاد دوناتی: مقدمه‌ای بر اقتصادهای قرن بیست و یکم</w:t>
      </w:r>
      <w:r w:rsidRPr="0025250D">
        <w:rPr>
          <w:vertAlign w:val="superscript"/>
          <w:rtl/>
        </w:rPr>
        <w:footnoteReference w:id="2517"/>
      </w:r>
      <w:r w:rsidRPr="0025250D">
        <w:rPr>
          <w:rFonts w:hint="cs"/>
          <w:rtl/>
        </w:rPr>
        <w:t xml:space="preserve"> در سال 2018 ترسیم شده است.</w:t>
      </w:r>
    </w:p>
    <w:p w14:paraId="420317AE" w14:textId="663DE330" w:rsidR="00537CC8" w:rsidRPr="0025250D" w:rsidRDefault="00537CC8" w:rsidP="00537CC8">
      <w:pPr>
        <w:rPr>
          <w:rtl/>
        </w:rPr>
      </w:pPr>
      <w:r w:rsidRPr="0025250D">
        <w:rPr>
          <w:rFonts w:hint="cs"/>
          <w:rtl/>
        </w:rPr>
        <w:t xml:space="preserve">ویدئوی 6 دقیقه‌ای او در یوتوب را در مورد توضیح این افق‌های زمانی ببینید. محور </w:t>
      </w:r>
      <w:r w:rsidRPr="0025250D">
        <w:t>Y</w:t>
      </w:r>
      <w:r w:rsidRPr="0025250D">
        <w:rPr>
          <w:rFonts w:hint="cs"/>
          <w:rtl/>
        </w:rPr>
        <w:t xml:space="preserve"> (عمودی) برای این منحنی‌ها معمولا تسلط</w:t>
      </w:r>
      <w:r w:rsidRPr="0025250D">
        <w:rPr>
          <w:vertAlign w:val="superscript"/>
          <w:rtl/>
        </w:rPr>
        <w:footnoteReference w:id="2518"/>
      </w:r>
      <w:r w:rsidRPr="0025250D">
        <w:rPr>
          <w:rFonts w:hint="cs"/>
          <w:rtl/>
        </w:rPr>
        <w:t>، رواج</w:t>
      </w:r>
      <w:r w:rsidRPr="0025250D">
        <w:rPr>
          <w:vertAlign w:val="superscript"/>
          <w:rtl/>
        </w:rPr>
        <w:footnoteReference w:id="2519"/>
      </w:r>
      <w:r w:rsidRPr="0025250D">
        <w:rPr>
          <w:rFonts w:hint="cs"/>
          <w:rtl/>
        </w:rPr>
        <w:t xml:space="preserve"> یا تناسب </w:t>
      </w:r>
      <w:r w:rsidR="00701E03" w:rsidRPr="0025250D">
        <w:rPr>
          <w:rFonts w:hint="cs"/>
          <w:rtl/>
        </w:rPr>
        <w:t>راهبرد</w:t>
      </w:r>
      <w:r w:rsidRPr="0025250D">
        <w:rPr>
          <w:rFonts w:hint="cs"/>
          <w:rtl/>
        </w:rPr>
        <w:t xml:space="preserve"> (نام دیگری برای </w:t>
      </w:r>
      <w:r w:rsidR="00B124DE" w:rsidRPr="0025250D">
        <w:rPr>
          <w:rFonts w:hint="cs"/>
          <w:rtl/>
        </w:rPr>
        <w:t>انطباق‌پذیر</w:t>
      </w:r>
      <w:r w:rsidRPr="0025250D">
        <w:rPr>
          <w:rFonts w:hint="cs"/>
          <w:rtl/>
        </w:rPr>
        <w:t xml:space="preserve">ی) می‌باشد، در حالی که محور </w:t>
      </w:r>
      <w:r w:rsidRPr="0025250D">
        <w:t>X</w:t>
      </w:r>
      <w:r w:rsidRPr="0025250D">
        <w:rPr>
          <w:rFonts w:hint="cs"/>
          <w:rtl/>
        </w:rPr>
        <w:t xml:space="preserve"> (افقی) زمان یا حتی بهتر از آن، تجربه تجمعی را نشان می‌دهد. در این </w:t>
      </w:r>
      <w:r w:rsidR="00B13F65" w:rsidRPr="0025250D">
        <w:rPr>
          <w:rFonts w:hint="cs"/>
          <w:rtl/>
        </w:rPr>
        <w:t>چارچوب</w:t>
      </w:r>
      <w:r w:rsidRPr="0025250D">
        <w:rPr>
          <w:rFonts w:hint="cs"/>
          <w:rtl/>
        </w:rPr>
        <w:t>، ما بذر‌هایی از آینده</w:t>
      </w:r>
      <w:r w:rsidRPr="0025250D">
        <w:rPr>
          <w:vertAlign w:val="superscript"/>
          <w:rtl/>
        </w:rPr>
        <w:footnoteReference w:id="2520"/>
      </w:r>
      <w:r w:rsidRPr="0025250D">
        <w:rPr>
          <w:rFonts w:hint="cs"/>
          <w:rtl/>
        </w:rPr>
        <w:t xml:space="preserve"> (</w:t>
      </w:r>
      <w:r w:rsidRPr="0025250D">
        <w:t>H3</w:t>
      </w:r>
      <w:r w:rsidRPr="0025250D">
        <w:rPr>
          <w:rFonts w:hint="cs"/>
          <w:rtl/>
        </w:rPr>
        <w:t xml:space="preserve">) که در زمان حال تعبیه </w:t>
      </w:r>
      <w:r w:rsidR="00185F3E" w:rsidRPr="0025250D">
        <w:rPr>
          <w:rFonts w:hint="cs"/>
          <w:rtl/>
        </w:rPr>
        <w:t>شده‌اند</w:t>
      </w:r>
      <w:r w:rsidR="005D381D" w:rsidRPr="0025250D">
        <w:rPr>
          <w:rFonts w:hint="cs"/>
          <w:rtl/>
        </w:rPr>
        <w:t xml:space="preserve"> را</w:t>
      </w:r>
      <w:r w:rsidRPr="0025250D">
        <w:rPr>
          <w:rFonts w:hint="cs"/>
          <w:rtl/>
        </w:rPr>
        <w:t xml:space="preserve"> می‌بینیم و تلاش می‌کنیم تا آن‌ها را رشد دهیم. </w:t>
      </w:r>
      <w:r w:rsidR="007118DE" w:rsidRPr="0025250D">
        <w:rPr>
          <w:rFonts w:hint="cs"/>
          <w:rtl/>
        </w:rPr>
        <w:t>همان‌طور</w:t>
      </w:r>
      <w:r w:rsidRPr="0025250D">
        <w:rPr>
          <w:rFonts w:hint="cs"/>
          <w:rtl/>
        </w:rPr>
        <w:t xml:space="preserve"> که </w:t>
      </w:r>
      <w:r w:rsidRPr="0025250D">
        <w:rPr>
          <w:rtl/>
        </w:rPr>
        <w:t>راورث</w:t>
      </w:r>
      <w:r w:rsidRPr="0025250D">
        <w:rPr>
          <w:rFonts w:hint="cs"/>
          <w:rtl/>
        </w:rPr>
        <w:t xml:space="preserve"> می‌گوید، می‌توانیم </w:t>
      </w:r>
      <w:r w:rsidR="00D92F6E" w:rsidRPr="0025250D">
        <w:rPr>
          <w:rFonts w:hint="cs"/>
          <w:rtl/>
        </w:rPr>
        <w:t>بنیان‌افکن</w:t>
      </w:r>
      <w:r w:rsidRPr="0025250D">
        <w:rPr>
          <w:rFonts w:hint="cs"/>
          <w:rtl/>
        </w:rPr>
        <w:t xml:space="preserve">ی منفی </w:t>
      </w:r>
      <w:r w:rsidR="005D381D" w:rsidRPr="0025250D">
        <w:rPr>
          <w:rFonts w:hint="cs"/>
          <w:rtl/>
        </w:rPr>
        <w:t xml:space="preserve">داشته باشیم </w:t>
      </w:r>
      <w:r w:rsidRPr="0025250D">
        <w:rPr>
          <w:rFonts w:hint="cs"/>
          <w:rtl/>
        </w:rPr>
        <w:t xml:space="preserve">که توسط الگوهای سیاسی یا </w:t>
      </w:r>
      <w:r w:rsidR="00B124DE" w:rsidRPr="0025250D">
        <w:rPr>
          <w:rFonts w:hint="cs"/>
          <w:rtl/>
        </w:rPr>
        <w:t>کسب‌و‌کار</w:t>
      </w:r>
      <w:r w:rsidR="005D381D" w:rsidRPr="0025250D">
        <w:rPr>
          <w:rFonts w:hint="cs"/>
          <w:rtl/>
        </w:rPr>
        <w:t>های</w:t>
      </w:r>
      <w:r w:rsidRPr="0025250D">
        <w:rPr>
          <w:rFonts w:hint="cs"/>
          <w:rtl/>
        </w:rPr>
        <w:t xml:space="preserve"> غالب اکتساب شده یا به شکلی نادرست به کار برده می‌شود یا </w:t>
      </w:r>
      <w:r w:rsidR="00D92F6E" w:rsidRPr="0025250D">
        <w:rPr>
          <w:rFonts w:hint="cs"/>
          <w:rtl/>
        </w:rPr>
        <w:t>بنیان‌افکن</w:t>
      </w:r>
      <w:r w:rsidRPr="0025250D">
        <w:rPr>
          <w:rFonts w:hint="cs"/>
          <w:rtl/>
        </w:rPr>
        <w:t xml:space="preserve">ی مثبت داشته باشیم که تغییری </w:t>
      </w:r>
      <w:r w:rsidR="00B124DE" w:rsidRPr="0025250D">
        <w:rPr>
          <w:rFonts w:hint="cs"/>
          <w:rtl/>
        </w:rPr>
        <w:t>انطباق‌پذیر</w:t>
      </w:r>
      <w:r w:rsidRPr="0025250D">
        <w:rPr>
          <w:rFonts w:hint="cs"/>
          <w:rtl/>
        </w:rPr>
        <w:t xml:space="preserve"> برای نظم آینده </w:t>
      </w:r>
      <w:r w:rsidR="005D381D" w:rsidRPr="0025250D">
        <w:rPr>
          <w:rFonts w:hint="cs"/>
          <w:rtl/>
        </w:rPr>
        <w:t>محسوب می شود</w:t>
      </w:r>
      <w:r w:rsidRPr="0025250D">
        <w:rPr>
          <w:rFonts w:hint="cs"/>
          <w:rtl/>
        </w:rPr>
        <w:t>.</w:t>
      </w:r>
    </w:p>
    <w:p w14:paraId="0BB038EB" w14:textId="7956F3F2" w:rsidR="00537CC8" w:rsidRPr="0025250D" w:rsidRDefault="00537CC8" w:rsidP="00537CC8">
      <w:pPr>
        <w:rPr>
          <w:rtl/>
        </w:rPr>
      </w:pPr>
      <w:r w:rsidRPr="0025250D">
        <w:rPr>
          <w:rFonts w:hint="cs"/>
          <w:rtl/>
        </w:rPr>
        <w:t xml:space="preserve">به عنوان مثالی از </w:t>
      </w:r>
      <w:r w:rsidR="00D92F6E" w:rsidRPr="0025250D">
        <w:rPr>
          <w:rFonts w:hint="cs"/>
          <w:rtl/>
        </w:rPr>
        <w:t>بنیان‌افکن</w:t>
      </w:r>
      <w:r w:rsidRPr="0025250D">
        <w:rPr>
          <w:rFonts w:hint="cs"/>
          <w:rtl/>
        </w:rPr>
        <w:t xml:space="preserve">ی منفی، </w:t>
      </w:r>
      <w:r w:rsidRPr="0025250D">
        <w:rPr>
          <w:rtl/>
        </w:rPr>
        <w:t>راورث</w:t>
      </w:r>
      <w:r w:rsidRPr="0025250D">
        <w:rPr>
          <w:rFonts w:hint="cs"/>
          <w:rtl/>
        </w:rPr>
        <w:t xml:space="preserve"> به قراردادهای استثماری و ساختار مالکیت متمرکز </w:t>
      </w:r>
      <w:r w:rsidRPr="0025250D">
        <w:rPr>
          <w:rtl/>
        </w:rPr>
        <w:t>اوبر</w:t>
      </w:r>
      <w:r w:rsidRPr="0025250D">
        <w:rPr>
          <w:rFonts w:hint="cs"/>
          <w:rtl/>
        </w:rPr>
        <w:t xml:space="preserve"> اشاره می‌کند. به عنوان مثالی از </w:t>
      </w:r>
      <w:r w:rsidR="00D92F6E" w:rsidRPr="0025250D">
        <w:rPr>
          <w:rFonts w:hint="cs"/>
          <w:rtl/>
        </w:rPr>
        <w:t>بنیان‌افکن</w:t>
      </w:r>
      <w:r w:rsidRPr="0025250D">
        <w:rPr>
          <w:rFonts w:hint="cs"/>
          <w:rtl/>
        </w:rPr>
        <w:t>ی مثبت، او به راید آستین</w:t>
      </w:r>
      <w:r w:rsidRPr="0025250D">
        <w:rPr>
          <w:vertAlign w:val="superscript"/>
          <w:rtl/>
        </w:rPr>
        <w:footnoteReference w:id="2521"/>
      </w:r>
      <w:r w:rsidRPr="0025250D">
        <w:rPr>
          <w:rFonts w:hint="cs"/>
          <w:rtl/>
        </w:rPr>
        <w:t xml:space="preserve">، یک شبکه حمل و نقل مبتنی بر نیاز تحت مالکیت اجرا کنندگان آن، اشاره می‌کند که سود خود را در شهر آستین نگه می‌دارد. البته، اگر شرکت‌هایی مانند </w:t>
      </w:r>
      <w:r w:rsidRPr="0025250D">
        <w:rPr>
          <w:rtl/>
        </w:rPr>
        <w:t>اوبر</w:t>
      </w:r>
      <w:r w:rsidRPr="0025250D">
        <w:rPr>
          <w:rFonts w:hint="cs"/>
          <w:rtl/>
        </w:rPr>
        <w:t xml:space="preserve"> ملزم شوند که مزایای کامل کارمندان را بیافزایند، زمانی که به ابعاد خاصی می‌رسند عمومی شوند و اگر شهروندان آمریکا به </w:t>
      </w:r>
      <w:r w:rsidR="00F50EB4" w:rsidRPr="0025250D">
        <w:rPr>
          <w:rFonts w:hint="cs"/>
          <w:rtl/>
        </w:rPr>
        <w:t>سرمایه‌گذاری</w:t>
      </w:r>
      <w:r w:rsidRPr="0025250D">
        <w:rPr>
          <w:rFonts w:hint="cs"/>
          <w:rtl/>
        </w:rPr>
        <w:t xml:space="preserve"> گسترده در بازار سهام، مانند مدل استرالیا تشویق شوند، </w:t>
      </w:r>
      <w:r w:rsidRPr="0025250D">
        <w:rPr>
          <w:rtl/>
        </w:rPr>
        <w:t>اوبر</w:t>
      </w:r>
      <w:r w:rsidRPr="0025250D">
        <w:rPr>
          <w:rFonts w:hint="cs"/>
          <w:rtl/>
        </w:rPr>
        <w:t xml:space="preserve"> بسیار کم‌تر منفی خواهد بود. مدل‌های متمرکز مانند </w:t>
      </w:r>
      <w:r w:rsidRPr="0025250D">
        <w:rPr>
          <w:rtl/>
        </w:rPr>
        <w:t>اوبر</w:t>
      </w:r>
      <w:r w:rsidRPr="0025250D">
        <w:rPr>
          <w:rFonts w:hint="cs"/>
          <w:rtl/>
        </w:rPr>
        <w:t xml:space="preserve"> معمولا با اقتصاد</w:t>
      </w:r>
      <w:r w:rsidRPr="0025250D">
        <w:rPr>
          <w:rtl/>
        </w:rPr>
        <w:t xml:space="preserve"> </w:t>
      </w:r>
      <w:r w:rsidRPr="0025250D">
        <w:rPr>
          <w:rFonts w:hint="cs"/>
          <w:rtl/>
        </w:rPr>
        <w:t xml:space="preserve">مقیاس خود بر هر صنعتی مسلط خواهند شد، بنابراین باید گام‌هایی را برای توزیع مجدد ثروت، توانمند سازی رقابت و رشد شفافیت، پاسخگویی و اداره برداریم. این که </w:t>
      </w:r>
      <w:r w:rsidR="007A53FD" w:rsidRPr="0025250D">
        <w:rPr>
          <w:rFonts w:hint="cs"/>
          <w:rtl/>
        </w:rPr>
        <w:t>فناوری</w:t>
      </w:r>
      <w:r w:rsidRPr="0025250D">
        <w:rPr>
          <w:rFonts w:hint="cs"/>
          <w:rtl/>
        </w:rPr>
        <w:t>‌ها چگونه بر این شبکه تأثیر می‌گذارند کاملا به قواعدی که بر می‌گزینیم مرتبط می‌شود.</w:t>
      </w:r>
    </w:p>
    <w:p w14:paraId="02844686" w14:textId="7EA1DD36" w:rsidR="00537CC8" w:rsidRPr="0025250D" w:rsidRDefault="00537CC8" w:rsidP="00537CC8">
      <w:pPr>
        <w:rPr>
          <w:rtl/>
        </w:rPr>
      </w:pPr>
      <w:r w:rsidRPr="0025250D">
        <w:rPr>
          <w:rFonts w:hint="cs"/>
          <w:rtl/>
        </w:rPr>
        <w:t xml:space="preserve">در زیر یک نسخه با جزئیات بیش‌تر از منحنی سه افق زمانی، برگرفته از مطالعات </w:t>
      </w:r>
      <w:r w:rsidRPr="0025250D">
        <w:rPr>
          <w:rtl/>
        </w:rPr>
        <w:t>اند</w:t>
      </w:r>
      <w:r w:rsidRPr="0025250D">
        <w:rPr>
          <w:rFonts w:hint="cs"/>
          <w:rtl/>
        </w:rPr>
        <w:t>ی</w:t>
      </w:r>
      <w:r w:rsidRPr="0025250D">
        <w:rPr>
          <w:rtl/>
        </w:rPr>
        <w:t xml:space="preserve"> ها</w:t>
      </w:r>
      <w:r w:rsidRPr="0025250D">
        <w:rPr>
          <w:rFonts w:hint="cs"/>
          <w:rtl/>
        </w:rPr>
        <w:t>ی</w:t>
      </w:r>
      <w:r w:rsidRPr="0025250D">
        <w:rPr>
          <w:rFonts w:hint="eastAsia"/>
          <w:rtl/>
        </w:rPr>
        <w:t>نز</w:t>
      </w:r>
      <w:r w:rsidRPr="0025250D">
        <w:rPr>
          <w:vertAlign w:val="superscript"/>
          <w:rtl/>
        </w:rPr>
        <w:footnoteReference w:id="2522"/>
      </w:r>
      <w:r w:rsidRPr="0025250D">
        <w:rPr>
          <w:rFonts w:hint="cs"/>
          <w:rtl/>
        </w:rPr>
        <w:t xml:space="preserve">، مدیر برنامه کارشناسی ارشد دانشگاه </w:t>
      </w:r>
      <w:r w:rsidRPr="0025250D">
        <w:rPr>
          <w:rtl/>
        </w:rPr>
        <w:t>ه</w:t>
      </w:r>
      <w:r w:rsidRPr="0025250D">
        <w:rPr>
          <w:rFonts w:hint="cs"/>
          <w:rtl/>
        </w:rPr>
        <w:t>ی</w:t>
      </w:r>
      <w:r w:rsidRPr="0025250D">
        <w:rPr>
          <w:rFonts w:hint="eastAsia"/>
          <w:rtl/>
        </w:rPr>
        <w:t>وستون</w:t>
      </w:r>
      <w:r w:rsidRPr="0025250D">
        <w:rPr>
          <w:rFonts w:hint="cs"/>
          <w:rtl/>
        </w:rPr>
        <w:t xml:space="preserve"> در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قرار گرفته است. این تصویر از مقاله‌ای عالی درمورد این چارچوب توسط </w:t>
      </w:r>
      <w:r w:rsidR="00D92F6E" w:rsidRPr="0025250D">
        <w:rPr>
          <w:rFonts w:hint="cs"/>
          <w:rtl/>
        </w:rPr>
        <w:t>آینده‌پژوه</w:t>
      </w:r>
      <w:r w:rsidRPr="0025250D">
        <w:rPr>
          <w:rFonts w:hint="cs"/>
          <w:rtl/>
        </w:rPr>
        <w:t xml:space="preserve">ان </w:t>
      </w:r>
      <w:r w:rsidRPr="0025250D">
        <w:rPr>
          <w:rtl/>
        </w:rPr>
        <w:t>اندرو کار</w:t>
      </w:r>
      <w:r w:rsidRPr="0025250D">
        <w:rPr>
          <w:rFonts w:hint="cs"/>
          <w:rtl/>
        </w:rPr>
        <w:t>ی</w:t>
      </w:r>
      <w:r w:rsidRPr="0025250D">
        <w:rPr>
          <w:rtl/>
        </w:rPr>
        <w:t xml:space="preserve"> و تون</w:t>
      </w:r>
      <w:r w:rsidRPr="0025250D">
        <w:rPr>
          <w:rFonts w:hint="cs"/>
          <w:rtl/>
        </w:rPr>
        <w:t>ی</w:t>
      </w:r>
      <w:r w:rsidRPr="0025250D">
        <w:rPr>
          <w:rtl/>
        </w:rPr>
        <w:t xml:space="preserve"> هاجسون</w:t>
      </w:r>
      <w:r w:rsidRPr="0025250D">
        <w:rPr>
          <w:vertAlign w:val="superscript"/>
          <w:rtl/>
        </w:rPr>
        <w:footnoteReference w:id="2523"/>
      </w:r>
      <w:r w:rsidRPr="0025250D">
        <w:rPr>
          <w:rFonts w:hint="cs"/>
          <w:rtl/>
        </w:rPr>
        <w:t xml:space="preserve"> با عنوان </w:t>
      </w:r>
      <w:r w:rsidR="002C61FC" w:rsidRPr="0025250D">
        <w:rPr>
          <w:rtl/>
        </w:rPr>
        <w:t>«</w:t>
      </w:r>
      <w:r w:rsidRPr="0025250D">
        <w:rPr>
          <w:rFonts w:hint="cs"/>
          <w:rtl/>
        </w:rPr>
        <w:t>دیدن در افق‌های زمانی متعدد</w:t>
      </w:r>
      <w:r w:rsidRPr="0025250D">
        <w:rPr>
          <w:vertAlign w:val="superscript"/>
          <w:rtl/>
        </w:rPr>
        <w:footnoteReference w:id="2524"/>
      </w:r>
      <w:r w:rsidR="002C61FC" w:rsidRPr="0025250D">
        <w:rPr>
          <w:rtl/>
        </w:rPr>
        <w:t>»</w:t>
      </w:r>
      <w:r w:rsidRPr="0025250D">
        <w:rPr>
          <w:rFonts w:hint="cs"/>
          <w:rtl/>
        </w:rPr>
        <w:t xml:space="preserve"> در مجله </w:t>
      </w:r>
      <w:r w:rsidR="002C61FC" w:rsidRPr="0025250D">
        <w:rPr>
          <w:rFonts w:hint="cs"/>
          <w:rtl/>
        </w:rPr>
        <w:t>«</w:t>
      </w:r>
      <w:r w:rsidRPr="0025250D">
        <w:rPr>
          <w:rFonts w:hint="cs"/>
          <w:rtl/>
        </w:rPr>
        <w:t>مطالعات آینده</w:t>
      </w:r>
      <w:r w:rsidRPr="0025250D">
        <w:rPr>
          <w:vertAlign w:val="superscript"/>
          <w:rtl/>
        </w:rPr>
        <w:footnoteReference w:id="2525"/>
      </w:r>
      <w:r w:rsidR="002C61FC" w:rsidRPr="0025250D">
        <w:rPr>
          <w:rFonts w:hint="cs"/>
          <w:rtl/>
        </w:rPr>
        <w:t>»</w:t>
      </w:r>
      <w:r w:rsidRPr="0025250D">
        <w:rPr>
          <w:rFonts w:hint="cs"/>
          <w:rtl/>
        </w:rPr>
        <w:t xml:space="preserve"> اقتباس شده است.</w:t>
      </w:r>
    </w:p>
    <w:p w14:paraId="27922A2B" w14:textId="77777777" w:rsidR="00537CC8" w:rsidRPr="0025250D" w:rsidRDefault="00537CC8" w:rsidP="003D3E0A">
      <w:pPr>
        <w:jc w:val="center"/>
        <w:rPr>
          <w:rtl/>
        </w:rPr>
      </w:pPr>
      <w:r w:rsidRPr="0025250D">
        <w:rPr>
          <w:noProof/>
          <w:lang w:bidi="ar-SA"/>
        </w:rPr>
        <w:drawing>
          <wp:inline distT="0" distB="0" distL="0" distR="0" wp14:anchorId="4747488E" wp14:editId="532DE516">
            <wp:extent cx="4416724" cy="3202507"/>
            <wp:effectExtent l="0" t="0" r="317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4" cstate="screen">
                      <a:extLst>
                        <a:ext uri="{BEBA8EAE-BF5A-486C-A8C5-ECC9F3942E4B}">
                          <a14:imgProps xmlns:a14="http://schemas.microsoft.com/office/drawing/2010/main">
                            <a14:imgLayer r:embed="rId245">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4421969" cy="3206310"/>
                    </a:xfrm>
                    <a:prstGeom prst="rect">
                      <a:avLst/>
                    </a:prstGeom>
                    <a:noFill/>
                  </pic:spPr>
                </pic:pic>
              </a:graphicData>
            </a:graphic>
          </wp:inline>
        </w:drawing>
      </w:r>
    </w:p>
    <w:p w14:paraId="2D6882E6" w14:textId="14001A51" w:rsidR="00537CC8" w:rsidRPr="0025250D" w:rsidRDefault="00537CC8" w:rsidP="00537CC8">
      <w:pPr>
        <w:rPr>
          <w:rtl/>
        </w:rPr>
      </w:pPr>
      <w:r w:rsidRPr="0025250D">
        <w:rPr>
          <w:rFonts w:hint="cs"/>
          <w:rtl/>
        </w:rPr>
        <w:t xml:space="preserve">هم سادگی و هم عمومی بودن این </w:t>
      </w:r>
      <w:r w:rsidR="00B13F65" w:rsidRPr="0025250D">
        <w:rPr>
          <w:rFonts w:hint="cs"/>
          <w:rtl/>
        </w:rPr>
        <w:t>چارچوب</w:t>
      </w:r>
      <w:r w:rsidRPr="0025250D">
        <w:rPr>
          <w:rFonts w:hint="cs"/>
          <w:rtl/>
        </w:rPr>
        <w:t xml:space="preserve"> جذاب است. </w:t>
      </w:r>
      <w:r w:rsidR="007118DE" w:rsidRPr="0025250D">
        <w:rPr>
          <w:rFonts w:hint="cs"/>
          <w:rtl/>
        </w:rPr>
        <w:t>همان‌طور</w:t>
      </w:r>
      <w:r w:rsidRPr="0025250D">
        <w:rPr>
          <w:rFonts w:hint="cs"/>
          <w:rtl/>
        </w:rPr>
        <w:t xml:space="preserve"> که </w:t>
      </w:r>
      <w:r w:rsidRPr="0025250D">
        <w:rPr>
          <w:rtl/>
        </w:rPr>
        <w:t>شارپ</w:t>
      </w:r>
      <w:r w:rsidRPr="0025250D">
        <w:rPr>
          <w:rFonts w:hint="cs"/>
          <w:rtl/>
        </w:rPr>
        <w:t xml:space="preserve"> می‌گوید، این </w:t>
      </w:r>
      <w:r w:rsidR="00B13F65" w:rsidRPr="0025250D">
        <w:rPr>
          <w:rFonts w:hint="cs"/>
          <w:rtl/>
        </w:rPr>
        <w:t>چارچوب</w:t>
      </w:r>
      <w:r w:rsidRPr="0025250D">
        <w:rPr>
          <w:rFonts w:hint="cs"/>
          <w:rtl/>
        </w:rPr>
        <w:t xml:space="preserve"> ابزاری برای تولید بحث‌های ثمر بخش متعدد درمورد نظم موجود، این که چه چیزی آن را بر هم می‌زند و پس از آن ممکن است به کدام سو برویم، به عنوان آینده‌های محتمل، ممکن، مرجح و اجتناب پذیر می‌باشد. این </w:t>
      </w:r>
      <w:r w:rsidR="00B13F65" w:rsidRPr="0025250D">
        <w:rPr>
          <w:rFonts w:hint="cs"/>
          <w:rtl/>
        </w:rPr>
        <w:t>چارچوب</w:t>
      </w:r>
      <w:r w:rsidRPr="0025250D">
        <w:rPr>
          <w:rFonts w:hint="cs"/>
          <w:rtl/>
        </w:rPr>
        <w:t xml:space="preserve"> معمولا در بحث‌های مربوط به گذار از </w:t>
      </w:r>
      <w:r w:rsidR="008D6F97" w:rsidRPr="0025250D">
        <w:rPr>
          <w:rFonts w:hint="cs"/>
          <w:rtl/>
        </w:rPr>
        <w:t>سامانه‌</w:t>
      </w:r>
      <w:r w:rsidRPr="0025250D">
        <w:rPr>
          <w:rFonts w:hint="cs"/>
          <w:rtl/>
        </w:rPr>
        <w:t xml:space="preserve"> اقتصادی-سیاسی زرسالار فعلی ما به سمت یک </w:t>
      </w:r>
      <w:r w:rsidR="008D6F97" w:rsidRPr="0025250D">
        <w:rPr>
          <w:rFonts w:hint="cs"/>
          <w:rtl/>
        </w:rPr>
        <w:t>سامانه‌</w:t>
      </w:r>
      <w:r w:rsidRPr="0025250D">
        <w:rPr>
          <w:rFonts w:hint="cs"/>
          <w:rtl/>
        </w:rPr>
        <w:t xml:space="preserve"> </w:t>
      </w:r>
      <w:r w:rsidR="00EE4B64" w:rsidRPr="0025250D">
        <w:rPr>
          <w:rFonts w:hint="cs"/>
          <w:rtl/>
        </w:rPr>
        <w:t>مردم‌سالار</w:t>
      </w:r>
      <w:r w:rsidRPr="0025250D">
        <w:rPr>
          <w:rFonts w:hint="cs"/>
          <w:rtl/>
        </w:rPr>
        <w:t xml:space="preserve">‌تر و تحولی‌تر استفاده می‌شود. این مدل می‌تواند پویایی پیچیده را، درست مانند هر </w:t>
      </w:r>
      <w:r w:rsidR="00B13F65" w:rsidRPr="0025250D">
        <w:rPr>
          <w:rFonts w:hint="cs"/>
          <w:rtl/>
        </w:rPr>
        <w:t>چارچوب</w:t>
      </w:r>
      <w:r w:rsidRPr="0025250D">
        <w:rPr>
          <w:rFonts w:hint="cs"/>
          <w:rtl/>
        </w:rPr>
        <w:t xml:space="preserve"> دیگری، بیش‌ازحد ساده‌سازی کند، اما به نظر برخی فرایند‌های بسیار فراگیر، مشابه با </w:t>
      </w:r>
      <w:r w:rsidR="00B13F65" w:rsidRPr="0025250D">
        <w:rPr>
          <w:rFonts w:hint="cs"/>
          <w:rtl/>
        </w:rPr>
        <w:t>چارچوب</w:t>
      </w:r>
      <w:r w:rsidRPr="0025250D">
        <w:rPr>
          <w:rFonts w:hint="cs"/>
          <w:rtl/>
        </w:rPr>
        <w:t xml:space="preserve"> چهار آینده </w:t>
      </w:r>
      <w:r w:rsidRPr="0025250D">
        <w:rPr>
          <w:rtl/>
        </w:rPr>
        <w:t>داتور</w:t>
      </w:r>
      <w:r w:rsidRPr="0025250D">
        <w:rPr>
          <w:rFonts w:hint="cs"/>
          <w:rtl/>
        </w:rPr>
        <w:t xml:space="preserve"> را ارائه می‌دهد. جوامع </w:t>
      </w:r>
      <w:r w:rsidRPr="0025250D">
        <w:rPr>
          <w:rtl/>
        </w:rPr>
        <w:t>آینده‌نگاری</w:t>
      </w:r>
      <w:r w:rsidRPr="0025250D">
        <w:rPr>
          <w:rFonts w:hint="cs"/>
          <w:rtl/>
        </w:rPr>
        <w:t xml:space="preserve"> مانند انجمن</w:t>
      </w:r>
      <w:r w:rsidRPr="0025250D">
        <w:rPr>
          <w:rtl/>
        </w:rPr>
        <w:t xml:space="preserve"> </w:t>
      </w:r>
      <w:r w:rsidRPr="0025250D">
        <w:rPr>
          <w:rFonts w:hint="cs"/>
          <w:rtl/>
        </w:rPr>
        <w:t>بین</w:t>
      </w:r>
      <w:r w:rsidRPr="0025250D">
        <w:rPr>
          <w:rtl/>
        </w:rPr>
        <w:t xml:space="preserve"> </w:t>
      </w:r>
      <w:r w:rsidRPr="0025250D">
        <w:rPr>
          <w:rFonts w:hint="cs"/>
          <w:rtl/>
        </w:rPr>
        <w:t>المللی</w:t>
      </w:r>
      <w:r w:rsidRPr="0025250D">
        <w:rPr>
          <w:rtl/>
        </w:rPr>
        <w:t xml:space="preserve"> </w:t>
      </w:r>
      <w:r w:rsidR="00D92F6E" w:rsidRPr="0025250D">
        <w:rPr>
          <w:rFonts w:hint="cs"/>
          <w:rtl/>
        </w:rPr>
        <w:t>آینده‌پژوه</w:t>
      </w:r>
      <w:r w:rsidRPr="0025250D">
        <w:rPr>
          <w:rFonts w:hint="cs"/>
          <w:rtl/>
        </w:rPr>
        <w:t>ی</w:t>
      </w:r>
      <w:r w:rsidRPr="0025250D">
        <w:rPr>
          <w:vertAlign w:val="superscript"/>
          <w:rtl/>
        </w:rPr>
        <w:footnoteReference w:id="2526"/>
      </w:r>
      <w:r w:rsidRPr="0025250D">
        <w:rPr>
          <w:rFonts w:hint="cs"/>
          <w:rtl/>
        </w:rPr>
        <w:t xml:space="preserve"> از سه افق زمانی مرتبا استفاده می‌کنند و ما به هر تیم </w:t>
      </w:r>
      <w:r w:rsidR="00701E03" w:rsidRPr="0025250D">
        <w:rPr>
          <w:rFonts w:hint="cs"/>
          <w:rtl/>
        </w:rPr>
        <w:t>راهبرد</w:t>
      </w:r>
      <w:r w:rsidRPr="0025250D">
        <w:rPr>
          <w:rFonts w:hint="cs"/>
          <w:rtl/>
        </w:rPr>
        <w:t xml:space="preserve"> کسب تجربه در آن را توصیه می‌نمای</w:t>
      </w:r>
      <w:r w:rsidR="00831274" w:rsidRPr="0025250D">
        <w:rPr>
          <w:rFonts w:hint="cs"/>
          <w:rtl/>
        </w:rPr>
        <w:t>ی</w:t>
      </w:r>
      <w:r w:rsidRPr="0025250D">
        <w:rPr>
          <w:rFonts w:hint="cs"/>
          <w:rtl/>
        </w:rPr>
        <w:t>م.</w:t>
      </w:r>
    </w:p>
    <w:p w14:paraId="1D7282C8" w14:textId="0E75FE56" w:rsidR="00537CC8" w:rsidRPr="0025250D" w:rsidRDefault="007118DE" w:rsidP="00537CC8">
      <w:pPr>
        <w:rPr>
          <w:rtl/>
        </w:rPr>
      </w:pPr>
      <w:r w:rsidRPr="0025250D">
        <w:rPr>
          <w:rFonts w:hint="cs"/>
          <w:rtl/>
        </w:rPr>
        <w:t>همان‌طور</w:t>
      </w:r>
      <w:r w:rsidR="00537CC8" w:rsidRPr="0025250D">
        <w:rPr>
          <w:rFonts w:hint="cs"/>
          <w:rtl/>
        </w:rPr>
        <w:t xml:space="preserve"> که در نسخه دانش جوی این کتاب، در بخش مربوط به منحنی‌های </w:t>
      </w:r>
      <w:r w:rsidR="00537CC8" w:rsidRPr="0025250D">
        <w:t>LENPAC</w:t>
      </w:r>
      <w:r w:rsidR="00537CC8" w:rsidRPr="0025250D">
        <w:rPr>
          <w:rFonts w:hint="cs"/>
          <w:rtl/>
        </w:rPr>
        <w:t xml:space="preserve">، بحث خواهیم کرد می‌توانیم اجزای این منحنی را به روش‌های مختلف تحلیل کنیم. افق 1 می‌تواند به عنوان انتهای دنباله منحنی چرخه عمر در نظر گرفته شود که برای هر </w:t>
      </w:r>
      <w:r w:rsidR="008D6F97" w:rsidRPr="0025250D">
        <w:rPr>
          <w:rFonts w:hint="cs"/>
          <w:rtl/>
        </w:rPr>
        <w:t>سامانه‌ای</w:t>
      </w:r>
      <w:r w:rsidR="00537CC8" w:rsidRPr="0025250D">
        <w:rPr>
          <w:rFonts w:hint="cs"/>
          <w:rtl/>
        </w:rPr>
        <w:t xml:space="preserve"> با پیچیگی ثابت در یک محیط متغیر یا هر </w:t>
      </w:r>
      <w:r w:rsidR="008D6F97" w:rsidRPr="0025250D">
        <w:rPr>
          <w:rFonts w:hint="cs"/>
          <w:rtl/>
        </w:rPr>
        <w:t>سامانه‌</w:t>
      </w:r>
      <w:r w:rsidR="00537CC8" w:rsidRPr="0025250D">
        <w:rPr>
          <w:rFonts w:hint="cs"/>
          <w:rtl/>
        </w:rPr>
        <w:t xml:space="preserve"> پیرشونده‌ای که نمی‌تواند به سرعت تغییر خارجی برسد رایج است. افق 2، می‌تواند یک چرخه هیاهو</w:t>
      </w:r>
      <w:r w:rsidR="00537CC8" w:rsidRPr="0025250D">
        <w:rPr>
          <w:vertAlign w:val="superscript"/>
          <w:rtl/>
        </w:rPr>
        <w:footnoteReference w:id="2527"/>
      </w:r>
      <w:r w:rsidR="00537CC8" w:rsidRPr="0025250D">
        <w:rPr>
          <w:rFonts w:hint="cs"/>
          <w:rtl/>
        </w:rPr>
        <w:t xml:space="preserve"> (مثبت یا منفی) باشد که می‌تواند سبب </w:t>
      </w:r>
      <w:r w:rsidR="00D92F6E" w:rsidRPr="0025250D">
        <w:rPr>
          <w:rFonts w:hint="cs"/>
          <w:rtl/>
        </w:rPr>
        <w:t>بنیان‌افکن</w:t>
      </w:r>
      <w:r w:rsidR="00537CC8" w:rsidRPr="0025250D">
        <w:rPr>
          <w:rFonts w:hint="cs"/>
          <w:rtl/>
        </w:rPr>
        <w:t>ی از طریق ترس یا هیاهو شود یا یک نوآوری تحولی</w:t>
      </w:r>
      <w:r w:rsidR="00537CC8" w:rsidRPr="0025250D">
        <w:rPr>
          <w:vertAlign w:val="superscript"/>
          <w:rtl/>
        </w:rPr>
        <w:footnoteReference w:id="2528"/>
      </w:r>
      <w:r w:rsidR="00537CC8" w:rsidRPr="0025250D">
        <w:rPr>
          <w:rFonts w:hint="cs"/>
          <w:rtl/>
        </w:rPr>
        <w:t xml:space="preserve"> حقیقی باشد. هر دو سبب </w:t>
      </w:r>
      <w:r w:rsidR="00D92F6E" w:rsidRPr="0025250D">
        <w:rPr>
          <w:rFonts w:hint="cs"/>
          <w:rtl/>
        </w:rPr>
        <w:t>بنیان‌افکن</w:t>
      </w:r>
      <w:r w:rsidR="00537CC8" w:rsidRPr="0025250D">
        <w:rPr>
          <w:rFonts w:hint="cs"/>
          <w:rtl/>
        </w:rPr>
        <w:t xml:space="preserve">ی خواهند شد، اما مورد دوم دائمی خواهد بود. شرکتی که بسیار بیش از اندازه در </w:t>
      </w:r>
      <w:r w:rsidR="007A53FD" w:rsidRPr="0025250D">
        <w:rPr>
          <w:rFonts w:hint="cs"/>
          <w:rtl/>
        </w:rPr>
        <w:t>فناوری</w:t>
      </w:r>
      <w:r w:rsidR="00537CC8" w:rsidRPr="0025250D">
        <w:rPr>
          <w:rFonts w:hint="cs"/>
          <w:rtl/>
        </w:rPr>
        <w:t xml:space="preserve"> اشتباه به دلیل هیاهو، </w:t>
      </w:r>
      <w:r w:rsidR="00F50EB4" w:rsidRPr="0025250D">
        <w:rPr>
          <w:rFonts w:hint="cs"/>
          <w:rtl/>
        </w:rPr>
        <w:t>سرمایه‌گذاری</w:t>
      </w:r>
      <w:r w:rsidR="00537CC8" w:rsidRPr="0025250D">
        <w:rPr>
          <w:rFonts w:hint="cs"/>
          <w:rtl/>
        </w:rPr>
        <w:t xml:space="preserve"> کرده باشد مشخصا در هر سه منحنی دچار مشکل خواهد شد. یک نوآوری </w:t>
      </w:r>
      <w:r w:rsidR="00D92F6E" w:rsidRPr="0025250D">
        <w:rPr>
          <w:rFonts w:hint="cs"/>
          <w:rtl/>
        </w:rPr>
        <w:t>بنیان‌افکن</w:t>
      </w:r>
      <w:r w:rsidR="00537CC8" w:rsidRPr="0025250D">
        <w:rPr>
          <w:rFonts w:hint="cs"/>
          <w:rtl/>
        </w:rPr>
        <w:t xml:space="preserve"> اثرات صنعتی یا اجتماعی خواهد داشت. افق 3 منحنی </w:t>
      </w:r>
      <w:r w:rsidR="00537CC8" w:rsidRPr="0025250D">
        <w:t>S</w:t>
      </w:r>
      <w:r w:rsidR="00537CC8" w:rsidRPr="0025250D">
        <w:rPr>
          <w:rFonts w:hint="cs"/>
          <w:rtl/>
        </w:rPr>
        <w:t xml:space="preserve"> جدید، منحنی تحولی </w:t>
      </w:r>
      <w:r w:rsidR="00537CC8" w:rsidRPr="0025250D">
        <w:rPr>
          <w:rtl/>
        </w:rPr>
        <w:t>داتور</w:t>
      </w:r>
      <w:r w:rsidR="00537CC8" w:rsidRPr="0025250D">
        <w:rPr>
          <w:rFonts w:hint="cs"/>
          <w:rtl/>
        </w:rPr>
        <w:t xml:space="preserve"> در </w:t>
      </w:r>
      <w:r w:rsidR="00B13F65" w:rsidRPr="0025250D">
        <w:rPr>
          <w:rFonts w:hint="cs"/>
          <w:rtl/>
        </w:rPr>
        <w:t>چارچوب</w:t>
      </w:r>
      <w:r w:rsidR="00537CC8" w:rsidRPr="0025250D">
        <w:rPr>
          <w:rFonts w:hint="cs"/>
          <w:rtl/>
        </w:rPr>
        <w:t xml:space="preserve"> چهار آینده می‌باشد. این سه منحنی می‌توانند بر روی سه نوع از نوآوری‌ها در محصولات، خدمات، قوانین، هنجارها یا هر چیزی دیگر مرتبط با </w:t>
      </w:r>
      <w:r w:rsidR="008D6F97" w:rsidRPr="0025250D">
        <w:rPr>
          <w:rFonts w:hint="cs"/>
          <w:rtl/>
        </w:rPr>
        <w:t>سامانه‌</w:t>
      </w:r>
      <w:r w:rsidR="00537CC8" w:rsidRPr="0025250D">
        <w:rPr>
          <w:rFonts w:hint="cs"/>
          <w:rtl/>
        </w:rPr>
        <w:t xml:space="preserve"> نگاشت یابند: نوآوری تدریجی</w:t>
      </w:r>
      <w:r w:rsidR="00537CC8" w:rsidRPr="0025250D">
        <w:rPr>
          <w:vertAlign w:val="superscript"/>
          <w:rtl/>
        </w:rPr>
        <w:footnoteReference w:id="2529"/>
      </w:r>
      <w:r w:rsidR="00537CC8" w:rsidRPr="0025250D">
        <w:rPr>
          <w:rFonts w:hint="cs"/>
          <w:rtl/>
        </w:rPr>
        <w:t xml:space="preserve"> نمونه‌ای از منحنی افق 1 است، نوآوری </w:t>
      </w:r>
      <w:r w:rsidR="00D92F6E" w:rsidRPr="0025250D">
        <w:rPr>
          <w:rFonts w:hint="cs"/>
          <w:rtl/>
        </w:rPr>
        <w:t>بنیان‌افکن</w:t>
      </w:r>
      <w:r w:rsidR="00537CC8" w:rsidRPr="0025250D">
        <w:rPr>
          <w:rFonts w:hint="cs"/>
          <w:rtl/>
        </w:rPr>
        <w:t xml:space="preserve"> بر روی افق 2 ردیابی می‌شود و نوآوری تحولی در افق 3 رخ می‌دهد.</w:t>
      </w:r>
    </w:p>
    <w:p w14:paraId="4D0FE23C" w14:textId="3E8D220E" w:rsidR="00537CC8" w:rsidRPr="0025250D" w:rsidRDefault="00537CC8" w:rsidP="00537CC8">
      <w:pPr>
        <w:rPr>
          <w:rtl/>
        </w:rPr>
      </w:pPr>
      <w:r w:rsidRPr="0025250D">
        <w:rPr>
          <w:rFonts w:hint="cs"/>
          <w:rtl/>
        </w:rPr>
        <w:t xml:space="preserve">این سه افق زمانی همچنین با مدل کلاسیک سه مرحله‌ای مدیریت تغییر </w:t>
      </w:r>
      <w:r w:rsidRPr="0025250D">
        <w:rPr>
          <w:rtl/>
        </w:rPr>
        <w:t>کرت لو</w:t>
      </w:r>
      <w:r w:rsidRPr="0025250D">
        <w:rPr>
          <w:rFonts w:hint="cs"/>
          <w:rtl/>
        </w:rPr>
        <w:t>ی</w:t>
      </w:r>
      <w:r w:rsidRPr="0025250D">
        <w:rPr>
          <w:rFonts w:hint="eastAsia"/>
          <w:rtl/>
        </w:rPr>
        <w:t>ن</w:t>
      </w:r>
      <w:r w:rsidRPr="0025250D">
        <w:rPr>
          <w:vertAlign w:val="superscript"/>
          <w:rtl/>
        </w:rPr>
        <w:footnoteReference w:id="2530"/>
      </w:r>
      <w:r w:rsidRPr="0025250D">
        <w:rPr>
          <w:rFonts w:hint="cs"/>
          <w:rtl/>
        </w:rPr>
        <w:t xml:space="preserve"> که اولین بار در سال 1947 منتشر شد و از رهبران </w:t>
      </w:r>
      <w:r w:rsidR="002C61FC" w:rsidRPr="0025250D">
        <w:rPr>
          <w:rtl/>
        </w:rPr>
        <w:t>«</w:t>
      </w:r>
      <w:r w:rsidRPr="0025250D">
        <w:rPr>
          <w:rFonts w:hint="cs"/>
          <w:rtl/>
        </w:rPr>
        <w:t>خروج از ثبات</w:t>
      </w:r>
      <w:r w:rsidRPr="0025250D">
        <w:rPr>
          <w:vertAlign w:val="superscript"/>
          <w:rtl/>
        </w:rPr>
        <w:footnoteReference w:id="2531"/>
      </w:r>
      <w:r w:rsidRPr="0025250D">
        <w:rPr>
          <w:rFonts w:hint="cs"/>
          <w:rtl/>
        </w:rPr>
        <w:t>، تغییر</w:t>
      </w:r>
      <w:r w:rsidR="00831274" w:rsidRPr="0025250D">
        <w:rPr>
          <w:rFonts w:hint="cs"/>
          <w:rtl/>
        </w:rPr>
        <w:t xml:space="preserve"> و</w:t>
      </w:r>
      <w:r w:rsidRPr="0025250D">
        <w:rPr>
          <w:rFonts w:hint="cs"/>
          <w:rtl/>
        </w:rPr>
        <w:t xml:space="preserve"> سپس تثبیت مجدد</w:t>
      </w:r>
      <w:r w:rsidRPr="0025250D">
        <w:rPr>
          <w:vertAlign w:val="superscript"/>
          <w:rtl/>
        </w:rPr>
        <w:footnoteReference w:id="2532"/>
      </w:r>
      <w:r w:rsidR="002C61FC" w:rsidRPr="0025250D">
        <w:rPr>
          <w:rtl/>
        </w:rPr>
        <w:t>»</w:t>
      </w:r>
      <w:r w:rsidRPr="0025250D">
        <w:rPr>
          <w:rFonts w:hint="cs"/>
          <w:rtl/>
        </w:rPr>
        <w:t xml:space="preserve"> فرایند‌های سازمانی را می‌خواهد، هم خوانی دارد. [ما هر دو مدل را در نسخه دانشجوی این کتاب بیش‌تر بررسی خواهیم کرد]. خروج از ثبات</w:t>
      </w:r>
      <w:r w:rsidRPr="0025250D">
        <w:rPr>
          <w:vertAlign w:val="superscript"/>
          <w:rtl/>
        </w:rPr>
        <w:footnoteReference w:id="2533"/>
      </w:r>
      <w:r w:rsidRPr="0025250D">
        <w:rPr>
          <w:rFonts w:hint="cs"/>
          <w:rtl/>
        </w:rPr>
        <w:t>، جایی که ذینفعان به ترک دردناک نظم قدیمی تمایل می‌یابند، معمولا تنها وقتی یک شرکت در حال تجربه یک زوال قابل توجه (</w:t>
      </w:r>
      <w:r w:rsidRPr="0025250D">
        <w:t>H1</w:t>
      </w:r>
      <w:r w:rsidRPr="0025250D">
        <w:rPr>
          <w:rFonts w:hint="cs"/>
          <w:rtl/>
        </w:rPr>
        <w:t xml:space="preserve">) باشد و زمانی که </w:t>
      </w:r>
      <w:r w:rsidR="00D92F6E" w:rsidRPr="0025250D">
        <w:rPr>
          <w:rFonts w:hint="cs"/>
          <w:rtl/>
        </w:rPr>
        <w:t>بنیان‌افکن</w:t>
      </w:r>
      <w:r w:rsidRPr="0025250D">
        <w:rPr>
          <w:rFonts w:hint="cs"/>
          <w:rtl/>
        </w:rPr>
        <w:t xml:space="preserve">ی (یک </w:t>
      </w:r>
      <w:r w:rsidRPr="0025250D">
        <w:t>H2</w:t>
      </w:r>
      <w:r w:rsidRPr="0025250D">
        <w:rPr>
          <w:rFonts w:hint="cs"/>
          <w:rtl/>
        </w:rPr>
        <w:t xml:space="preserve"> مبتنی بر نوآوری) رخ می‌دهد، نیاز به تغییر را افزایش می‌دهد. در عوض، یک رهبر می‌تواند از ارتباطات </w:t>
      </w:r>
      <w:r w:rsidR="00701E03" w:rsidRPr="0025250D">
        <w:rPr>
          <w:rFonts w:hint="cs"/>
          <w:rtl/>
        </w:rPr>
        <w:t>راهبردی</w:t>
      </w:r>
      <w:r w:rsidRPr="0025250D">
        <w:rPr>
          <w:rFonts w:hint="cs"/>
          <w:rtl/>
        </w:rPr>
        <w:t xml:space="preserve"> برای تولید یا تشدید یک بحران واقعی (</w:t>
      </w:r>
      <w:r w:rsidRPr="0025250D">
        <w:t>H2</w:t>
      </w:r>
      <w:r w:rsidRPr="0025250D">
        <w:rPr>
          <w:rFonts w:hint="cs"/>
          <w:rtl/>
        </w:rPr>
        <w:t xml:space="preserve"> مبتنی بر هیاهو) استفاده کند. تثبیت مجدد نحوه جدید انجام امور (</w:t>
      </w:r>
      <w:r w:rsidRPr="0025250D">
        <w:t>H3</w:t>
      </w:r>
      <w:r w:rsidRPr="0025250D">
        <w:rPr>
          <w:rFonts w:hint="cs"/>
          <w:rtl/>
        </w:rPr>
        <w:t xml:space="preserve">) تنها از طریق ساختار بندی هوشمندانه مجدد توسط رهبری با آغاز قدرت گیری نظم جدید رخ می‌دهد. بدون تثبیت مجدد حول طرح‌ها و </w:t>
      </w:r>
      <w:r w:rsidR="008D6F97" w:rsidRPr="0025250D">
        <w:rPr>
          <w:rFonts w:hint="cs"/>
          <w:rtl/>
        </w:rPr>
        <w:t>سامانه‌</w:t>
      </w:r>
      <w:r w:rsidRPr="0025250D">
        <w:rPr>
          <w:rFonts w:hint="cs"/>
          <w:rtl/>
        </w:rPr>
        <w:t xml:space="preserve">‌های جدید، سازمان‌ها اغلب به روش‌های قبلی باز می‌گردند. مدل </w:t>
      </w:r>
      <w:r w:rsidRPr="0025250D">
        <w:rPr>
          <w:rtl/>
        </w:rPr>
        <w:t>لو</w:t>
      </w:r>
      <w:r w:rsidRPr="0025250D">
        <w:rPr>
          <w:rFonts w:hint="cs"/>
          <w:rtl/>
        </w:rPr>
        <w:t>ی</w:t>
      </w:r>
      <w:r w:rsidRPr="0025250D">
        <w:rPr>
          <w:rFonts w:hint="eastAsia"/>
          <w:rtl/>
        </w:rPr>
        <w:t>ن</w:t>
      </w:r>
      <w:r w:rsidRPr="0025250D">
        <w:rPr>
          <w:rFonts w:hint="cs"/>
          <w:rtl/>
        </w:rPr>
        <w:t xml:space="preserve"> به شکل ماهرانه‌ای توسط </w:t>
      </w:r>
      <w:r w:rsidRPr="0025250D">
        <w:rPr>
          <w:rtl/>
        </w:rPr>
        <w:t>جان کوتر</w:t>
      </w:r>
      <w:r w:rsidRPr="0025250D">
        <w:rPr>
          <w:vertAlign w:val="superscript"/>
          <w:rtl/>
        </w:rPr>
        <w:footnoteReference w:id="2534"/>
      </w:r>
      <w:r w:rsidRPr="0025250D">
        <w:rPr>
          <w:rFonts w:hint="cs"/>
          <w:rtl/>
        </w:rPr>
        <w:t xml:space="preserve"> در هشت گام مدیریت تغییر آن، در کتاب کلاسیک او با عنوان هدایت تغییر</w:t>
      </w:r>
      <w:r w:rsidRPr="0025250D">
        <w:rPr>
          <w:vertAlign w:val="superscript"/>
          <w:rtl/>
        </w:rPr>
        <w:footnoteReference w:id="2535"/>
      </w:r>
      <w:r w:rsidRPr="0025250D">
        <w:rPr>
          <w:rFonts w:hint="cs"/>
          <w:rtl/>
        </w:rPr>
        <w:t xml:space="preserve"> در سال 1996/2012 گسترش داده شده است.</w:t>
      </w:r>
    </w:p>
    <w:p w14:paraId="7566FEBF" w14:textId="0205B2CE" w:rsidR="00537CC8" w:rsidRPr="0025250D" w:rsidRDefault="00B13F65" w:rsidP="003D3E0A">
      <w:pPr>
        <w:pStyle w:val="Heading3"/>
        <w:rPr>
          <w:rtl/>
        </w:rPr>
      </w:pPr>
      <w:r w:rsidRPr="0025250D">
        <w:rPr>
          <w:rFonts w:hint="cs"/>
          <w:rtl/>
        </w:rPr>
        <w:t>چارچوب</w:t>
      </w:r>
      <w:r w:rsidR="00537CC8" w:rsidRPr="0025250D">
        <w:rPr>
          <w:rFonts w:hint="cs"/>
          <w:rtl/>
        </w:rPr>
        <w:t xml:space="preserve"> آغاز </w:t>
      </w:r>
      <w:r w:rsidR="00537CC8" w:rsidRPr="0025250D">
        <w:rPr>
          <w:rtl/>
        </w:rPr>
        <w:t>آینده‌نگاری</w:t>
      </w:r>
      <w:r w:rsidR="00537CC8" w:rsidRPr="0025250D">
        <w:rPr>
          <w:rFonts w:hint="cs"/>
          <w:rtl/>
        </w:rPr>
        <w:t xml:space="preserve"> </w:t>
      </w:r>
      <w:r w:rsidR="00537CC8" w:rsidRPr="0025250D">
        <w:rPr>
          <w:rtl/>
        </w:rPr>
        <w:t>مهاف</w:t>
      </w:r>
      <w:r w:rsidR="00537CC8" w:rsidRPr="0025250D">
        <w:rPr>
          <w:rFonts w:hint="cs"/>
          <w:rtl/>
        </w:rPr>
        <w:t>ی</w:t>
      </w:r>
    </w:p>
    <w:p w14:paraId="0B47D542" w14:textId="0BB1D6BB" w:rsidR="00537CC8" w:rsidRPr="0025250D" w:rsidRDefault="00537CC8" w:rsidP="00537CC8">
      <w:pPr>
        <w:rPr>
          <w:rtl/>
        </w:rPr>
      </w:pPr>
      <w:r w:rsidRPr="0025250D">
        <w:rPr>
          <w:rFonts w:hint="cs"/>
          <w:rtl/>
        </w:rPr>
        <w:t xml:space="preserve">برای آغاز ایجاد عادات و فرهنگ </w:t>
      </w:r>
      <w:r w:rsidRPr="0025250D">
        <w:rPr>
          <w:rtl/>
        </w:rPr>
        <w:t>آینده‌نگاری</w:t>
      </w:r>
      <w:r w:rsidRPr="0025250D">
        <w:rPr>
          <w:rFonts w:hint="cs"/>
          <w:rtl/>
        </w:rPr>
        <w:t xml:space="preserve"> جدید برای خودمان، تیم‌های مان و سازمان هایمان، </w:t>
      </w:r>
      <w:r w:rsidRPr="0025250D">
        <w:rPr>
          <w:rtl/>
        </w:rPr>
        <w:t>جان مهاف</w:t>
      </w:r>
      <w:r w:rsidRPr="0025250D">
        <w:rPr>
          <w:rFonts w:hint="cs"/>
          <w:rtl/>
        </w:rPr>
        <w:t>ی</w:t>
      </w:r>
      <w:r w:rsidRPr="0025250D">
        <w:rPr>
          <w:vertAlign w:val="superscript"/>
          <w:rtl/>
        </w:rPr>
        <w:footnoteReference w:id="2536"/>
      </w:r>
      <w:r w:rsidRPr="0025250D">
        <w:rPr>
          <w:rFonts w:hint="cs"/>
          <w:rtl/>
        </w:rPr>
        <w:t xml:space="preserve"> از </w:t>
      </w:r>
      <w:r w:rsidR="00D92F6E" w:rsidRPr="0025250D">
        <w:rPr>
          <w:rtl/>
        </w:rPr>
        <w:t>آینده‌پژوه</w:t>
      </w:r>
      <w:r w:rsidRPr="0025250D">
        <w:rPr>
          <w:rtl/>
        </w:rPr>
        <w:t>ان پ</w:t>
      </w:r>
      <w:r w:rsidRPr="0025250D">
        <w:rPr>
          <w:rFonts w:hint="cs"/>
          <w:rtl/>
        </w:rPr>
        <w:t>ی</w:t>
      </w:r>
      <w:r w:rsidRPr="0025250D">
        <w:rPr>
          <w:rFonts w:hint="eastAsia"/>
          <w:rtl/>
        </w:rPr>
        <w:t>شرو</w:t>
      </w:r>
      <w:r w:rsidRPr="0025250D">
        <w:rPr>
          <w:vertAlign w:val="superscript"/>
          <w:rtl/>
        </w:rPr>
        <w:footnoteReference w:id="2537"/>
      </w:r>
      <w:r w:rsidRPr="0025250D">
        <w:rPr>
          <w:rFonts w:hint="cs"/>
          <w:rtl/>
        </w:rPr>
        <w:t xml:space="preserve">، یک </w:t>
      </w:r>
      <w:r w:rsidR="00B13F65" w:rsidRPr="0025250D">
        <w:rPr>
          <w:rFonts w:hint="cs"/>
          <w:rtl/>
        </w:rPr>
        <w:t>چارچوب</w:t>
      </w:r>
      <w:r w:rsidRPr="0025250D">
        <w:rPr>
          <w:rFonts w:hint="cs"/>
          <w:rtl/>
        </w:rPr>
        <w:t xml:space="preserve"> هفت مرحله‌ای عالی را در وبلاگ فرهنگ </w:t>
      </w:r>
      <w:r w:rsidRPr="0025250D">
        <w:rPr>
          <w:rtl/>
        </w:rPr>
        <w:t>آینده‌نگاری</w:t>
      </w:r>
      <w:r w:rsidRPr="0025250D">
        <w:rPr>
          <w:rFonts w:hint="cs"/>
          <w:rtl/>
        </w:rPr>
        <w:t xml:space="preserve"> خود پیشنهاد می‌کند. در اینجا این </w:t>
      </w:r>
      <w:r w:rsidR="00B13F65" w:rsidRPr="0025250D">
        <w:rPr>
          <w:rFonts w:hint="cs"/>
          <w:rtl/>
        </w:rPr>
        <w:t>چارچوب</w:t>
      </w:r>
      <w:r w:rsidRPr="0025250D">
        <w:rPr>
          <w:rFonts w:hint="cs"/>
          <w:rtl/>
        </w:rPr>
        <w:t xml:space="preserve"> با حداقل تزئین و تجملات ارائه شده است:</w:t>
      </w:r>
    </w:p>
    <w:p w14:paraId="5DCCFFCB" w14:textId="77777777" w:rsidR="00537CC8" w:rsidRPr="0025250D" w:rsidRDefault="00537CC8" w:rsidP="003D3E0A">
      <w:pPr>
        <w:jc w:val="center"/>
        <w:rPr>
          <w:rtl/>
        </w:rPr>
      </w:pPr>
      <w:r w:rsidRPr="0025250D">
        <w:rPr>
          <w:noProof/>
          <w:rtl/>
          <w:lang w:bidi="ar-SA"/>
        </w:rPr>
        <w:drawing>
          <wp:inline distT="0" distB="0" distL="0" distR="0" wp14:anchorId="5671AD4E" wp14:editId="22BA5A6E">
            <wp:extent cx="2339076" cy="2268747"/>
            <wp:effectExtent l="0" t="0" r="4445" b="0"/>
            <wp:docPr id="150" name="Picture 150" descr="D:\کار\مستقل\3 ( ترجمه ی دانشگاه تهران  )\Introduction to Foresight\part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کار\مستقل\3 ( ترجمه ی دانشگاه تهران  )\Introduction to Foresight\part6\48.png"/>
                    <pic:cNvPicPr>
                      <a:picLocks noChangeAspect="1" noChangeArrowheads="1"/>
                    </pic:cNvPicPr>
                  </pic:nvPicPr>
                  <pic:blipFill rotWithShape="1">
                    <a:blip r:embed="rId246" cstate="screen">
                      <a:extLst>
                        <a:ext uri="{BEBA8EAE-BF5A-486C-A8C5-ECC9F3942E4B}">
                          <a14:imgProps xmlns:a14="http://schemas.microsoft.com/office/drawing/2010/main">
                            <a14:imgLayer r:embed="rId247">
                              <a14:imgEffect>
                                <a14:saturation sat="0"/>
                              </a14:imgEffect>
                            </a14:imgLayer>
                          </a14:imgProps>
                        </a:ext>
                        <a:ext uri="{28A0092B-C50C-407E-A947-70E740481C1C}">
                          <a14:useLocalDpi xmlns:a14="http://schemas.microsoft.com/office/drawing/2010/main"/>
                        </a:ext>
                      </a:extLst>
                    </a:blip>
                    <a:srcRect/>
                    <a:stretch/>
                  </pic:blipFill>
                  <pic:spPr bwMode="auto">
                    <a:xfrm>
                      <a:off x="0" y="0"/>
                      <a:ext cx="2341954" cy="2271538"/>
                    </a:xfrm>
                    <a:prstGeom prst="rect">
                      <a:avLst/>
                    </a:prstGeom>
                    <a:noFill/>
                    <a:ln>
                      <a:noFill/>
                    </a:ln>
                    <a:extLst>
                      <a:ext uri="{53640926-AAD7-44D8-BBD7-CCE9431645EC}">
                        <a14:shadowObscured xmlns:a14="http://schemas.microsoft.com/office/drawing/2010/main"/>
                      </a:ext>
                    </a:extLst>
                  </pic:spPr>
                </pic:pic>
              </a:graphicData>
            </a:graphic>
          </wp:inline>
        </w:drawing>
      </w:r>
    </w:p>
    <w:p w14:paraId="1C7DFF24" w14:textId="77777777" w:rsidR="00537CC8" w:rsidRPr="0025250D" w:rsidRDefault="00537CC8" w:rsidP="003D3E0A">
      <w:pPr>
        <w:jc w:val="center"/>
        <w:rPr>
          <w:rtl/>
        </w:rPr>
      </w:pPr>
      <w:r w:rsidRPr="0025250D">
        <w:rPr>
          <w:rtl/>
        </w:rPr>
        <w:t>جان مهاف</w:t>
      </w:r>
      <w:r w:rsidRPr="0025250D">
        <w:rPr>
          <w:rFonts w:hint="cs"/>
          <w:rtl/>
        </w:rPr>
        <w:t>ی، 2020</w:t>
      </w:r>
    </w:p>
    <w:p w14:paraId="28B1CD3D" w14:textId="77777777" w:rsidR="00537CC8" w:rsidRPr="0025250D" w:rsidRDefault="00537CC8" w:rsidP="00537CC8">
      <w:pPr>
        <w:rPr>
          <w:b/>
          <w:bCs/>
          <w:rtl/>
        </w:rPr>
      </w:pPr>
      <w:r w:rsidRPr="0025250D">
        <w:rPr>
          <w:rFonts w:hint="cs"/>
          <w:b/>
          <w:bCs/>
          <w:rtl/>
        </w:rPr>
        <w:t>1. گفتگوهای آینده را آغاز کنید.</w:t>
      </w:r>
    </w:p>
    <w:p w14:paraId="481B69BD" w14:textId="408781D3" w:rsidR="00537CC8" w:rsidRPr="0025250D" w:rsidRDefault="00537CC8" w:rsidP="00537CC8">
      <w:pPr>
        <w:rPr>
          <w:rtl/>
        </w:rPr>
      </w:pPr>
      <w:r w:rsidRPr="0025250D">
        <w:rPr>
          <w:rFonts w:hint="cs"/>
          <w:rtl/>
        </w:rPr>
        <w:t xml:space="preserve">برای گفتگو‌های آزاد، با فکر و خلاق درمورد آینده موضوعات حیاتی زمان بگذارید. آن را به یک آیین منظم و غیر رسمی </w:t>
      </w:r>
      <w:r w:rsidRPr="0025250D">
        <w:rPr>
          <w:rFonts w:cs="Times New Roman" w:hint="cs"/>
          <w:rtl/>
        </w:rPr>
        <w:t>–</w:t>
      </w:r>
      <w:r w:rsidRPr="0025250D">
        <w:rPr>
          <w:rFonts w:hint="cs"/>
          <w:rtl/>
        </w:rPr>
        <w:t xml:space="preserve"> مانند مراسم ناهار جمعه آینده</w:t>
      </w:r>
      <w:r w:rsidRPr="0025250D">
        <w:rPr>
          <w:vertAlign w:val="superscript"/>
          <w:rtl/>
        </w:rPr>
        <w:footnoteReference w:id="2538"/>
      </w:r>
      <w:r w:rsidRPr="0025250D">
        <w:rPr>
          <w:rFonts w:hint="cs"/>
          <w:rtl/>
        </w:rPr>
        <w:t xml:space="preserve"> که یک هدف آگاهانه برای تبدیل آینده به بخشی از گفتگو است- تبدیل کنید. این گفتگو‌ها را متوازن، اکتشافی و سرگرم کننده نگه دارید.</w:t>
      </w:r>
    </w:p>
    <w:p w14:paraId="5EB44390" w14:textId="77777777" w:rsidR="00537CC8" w:rsidRPr="0025250D" w:rsidRDefault="00537CC8" w:rsidP="00537CC8">
      <w:pPr>
        <w:rPr>
          <w:b/>
          <w:bCs/>
          <w:rtl/>
        </w:rPr>
      </w:pPr>
      <w:r w:rsidRPr="0025250D">
        <w:rPr>
          <w:rFonts w:hint="cs"/>
          <w:b/>
          <w:bCs/>
          <w:rtl/>
        </w:rPr>
        <w:t>2. افراد وابسته را پیدا کنید.</w:t>
      </w:r>
    </w:p>
    <w:p w14:paraId="4490C53A" w14:textId="4E571C16" w:rsidR="00537CC8" w:rsidRPr="0025250D" w:rsidRDefault="00537CC8" w:rsidP="00537CC8">
      <w:pPr>
        <w:rPr>
          <w:rtl/>
        </w:rPr>
      </w:pPr>
      <w:r w:rsidRPr="0025250D">
        <w:rPr>
          <w:rFonts w:hint="cs"/>
          <w:rtl/>
        </w:rPr>
        <w:t>گفتگوهای ما همکارانی را که از تفکر درمورد آینده لذت می‌برند یا ارزش آن را تشخیص می‌دهند جذب خواهد کرد. گروهی متنوع از متفکرین و احساس کنندگان</w:t>
      </w:r>
      <w:r w:rsidRPr="0025250D">
        <w:rPr>
          <w:vertAlign w:val="superscript"/>
          <w:rtl/>
        </w:rPr>
        <w:footnoteReference w:id="2539"/>
      </w:r>
      <w:r w:rsidRPr="0025250D">
        <w:rPr>
          <w:rFonts w:hint="cs"/>
          <w:rtl/>
        </w:rPr>
        <w:t xml:space="preserve">، افراد بدبین و خوش بین، هنرمندان و مهندسین را </w:t>
      </w:r>
      <w:r w:rsidR="00B124DE" w:rsidRPr="0025250D">
        <w:rPr>
          <w:rFonts w:hint="cs"/>
          <w:rtl/>
        </w:rPr>
        <w:t>جمع‌آوری</w:t>
      </w:r>
      <w:r w:rsidRPr="0025250D">
        <w:rPr>
          <w:rFonts w:hint="cs"/>
          <w:rtl/>
        </w:rPr>
        <w:t xml:space="preserve"> کنید. برای همه افراد ارزش قائل شوید، به دنبال کسب مشاوره همه باشید و یک جامعه </w:t>
      </w:r>
      <w:r w:rsidRPr="0025250D">
        <w:rPr>
          <w:rtl/>
        </w:rPr>
        <w:t>آینده‌نگاری</w:t>
      </w:r>
      <w:r w:rsidRPr="0025250D">
        <w:rPr>
          <w:rFonts w:hint="cs"/>
          <w:rtl/>
        </w:rPr>
        <w:t xml:space="preserve"> ایجاد کنید.</w:t>
      </w:r>
    </w:p>
    <w:p w14:paraId="00EB1AB7" w14:textId="77777777" w:rsidR="00537CC8" w:rsidRPr="0025250D" w:rsidRDefault="00537CC8" w:rsidP="00537CC8">
      <w:pPr>
        <w:rPr>
          <w:b/>
          <w:bCs/>
          <w:rtl/>
        </w:rPr>
      </w:pPr>
      <w:r w:rsidRPr="0025250D">
        <w:rPr>
          <w:rFonts w:hint="cs"/>
          <w:rtl/>
        </w:rPr>
        <w:t xml:space="preserve"> </w:t>
      </w:r>
      <w:r w:rsidRPr="0025250D">
        <w:rPr>
          <w:rFonts w:hint="cs"/>
          <w:b/>
          <w:bCs/>
          <w:rtl/>
        </w:rPr>
        <w:t>3. سؤالاتی بپرسید و پاسخ‌ها را مصورسازی کنید.</w:t>
      </w:r>
    </w:p>
    <w:p w14:paraId="566C8D62" w14:textId="44EF3B5C" w:rsidR="00537CC8" w:rsidRPr="0025250D" w:rsidRDefault="00537CC8" w:rsidP="00537CC8">
      <w:pPr>
        <w:rPr>
          <w:rtl/>
        </w:rPr>
      </w:pPr>
      <w:r w:rsidRPr="0025250D">
        <w:rPr>
          <w:rFonts w:hint="cs"/>
          <w:rtl/>
        </w:rPr>
        <w:t xml:space="preserve">پرسش‌های مهم درمورد آینده بپرسید. </w:t>
      </w:r>
      <w:r w:rsidR="002C61FC" w:rsidRPr="0025250D">
        <w:rPr>
          <w:rtl/>
        </w:rPr>
        <w:t>«</w:t>
      </w:r>
      <w:r w:rsidRPr="0025250D">
        <w:rPr>
          <w:rFonts w:hint="cs"/>
          <w:rtl/>
        </w:rPr>
        <w:t xml:space="preserve">برترین روند‌هایی که آینده ما را شکل می‌دهند کدام </w:t>
      </w:r>
      <w:r w:rsidR="0024295A" w:rsidRPr="0025250D">
        <w:rPr>
          <w:rFonts w:hint="cs"/>
          <w:rtl/>
        </w:rPr>
        <w:t xml:space="preserve">موارد </w:t>
      </w:r>
      <w:r w:rsidRPr="0025250D">
        <w:rPr>
          <w:rFonts w:hint="cs"/>
          <w:rtl/>
        </w:rPr>
        <w:t>هستند؟</w:t>
      </w:r>
      <w:r w:rsidR="002C61FC" w:rsidRPr="0025250D">
        <w:rPr>
          <w:rtl/>
        </w:rPr>
        <w:t>»</w:t>
      </w:r>
      <w:r w:rsidRPr="0025250D">
        <w:rPr>
          <w:rFonts w:hint="cs"/>
          <w:rtl/>
        </w:rPr>
        <w:t xml:space="preserve"> </w:t>
      </w:r>
      <w:r w:rsidR="002C61FC" w:rsidRPr="0025250D">
        <w:rPr>
          <w:rtl/>
        </w:rPr>
        <w:t>«</w:t>
      </w:r>
      <w:r w:rsidRPr="0025250D">
        <w:rPr>
          <w:rFonts w:hint="cs"/>
          <w:rtl/>
        </w:rPr>
        <w:t>درمورد چه مواردی که باید، صحبت نمی‌کنیم؟</w:t>
      </w:r>
      <w:r w:rsidR="002C61FC" w:rsidRPr="0025250D">
        <w:rPr>
          <w:rtl/>
        </w:rPr>
        <w:t>»</w:t>
      </w:r>
      <w:r w:rsidRPr="0025250D">
        <w:rPr>
          <w:rFonts w:hint="cs"/>
          <w:rtl/>
        </w:rPr>
        <w:t xml:space="preserve"> پرسش‌های مناسب افراد را بر آینده‌های مرتبط فردی، تیمی، یا سازمانی متمرکز می‌کنند. از آنان بخواهید که پاسخ هایشان را بنویسند. از ورق، وایت برد یا تبلت‌های دیجیتالی برای نمودار‌ها و تصاویر در این گفتگوها استفاده کنید. خلاصه‌ای یک جمله ای، فهرست‌ها و مدل‌هایی ساده ایجاد کنید. افراد را به نقد آنچه می‌بینند وادارید.</w:t>
      </w:r>
    </w:p>
    <w:p w14:paraId="1D78DD91" w14:textId="3EB0B253" w:rsidR="00537CC8" w:rsidRPr="0025250D" w:rsidRDefault="00537CC8" w:rsidP="00537CC8">
      <w:pPr>
        <w:rPr>
          <w:b/>
          <w:bCs/>
          <w:rtl/>
        </w:rPr>
      </w:pPr>
      <w:r w:rsidRPr="0025250D">
        <w:rPr>
          <w:rFonts w:hint="cs"/>
          <w:b/>
          <w:bCs/>
          <w:rtl/>
        </w:rPr>
        <w:t>4. پویش محیطی انجام دهید.</w:t>
      </w:r>
    </w:p>
    <w:p w14:paraId="40D8D75F" w14:textId="28C50107" w:rsidR="00537CC8" w:rsidRPr="0025250D" w:rsidRDefault="00537CC8" w:rsidP="00537CC8">
      <w:pPr>
        <w:rPr>
          <w:rtl/>
        </w:rPr>
      </w:pPr>
      <w:r w:rsidRPr="0025250D">
        <w:rPr>
          <w:rFonts w:hint="cs"/>
          <w:rtl/>
        </w:rPr>
        <w:t>برای یادگیری درمورد محیط و نیروها، روند‌ها، مسائل، چالش‌ها و فرصت‌های رقابتی که با آن‌ها به صورت فردی و جمعی روبرو هستیم زمان بگذارید. داده‌ها، فهرست‌های بحث، وبگاه‌ها، مقالات، کتاب‌ها و جوامع مرتبط مناسب برای سازمان خود را بیابید. شروع به ایجاد مجموعه‌ای از منابع و عادات پویش برای یادگیری مداوم نمای</w:t>
      </w:r>
      <w:r w:rsidR="0024295A" w:rsidRPr="0025250D">
        <w:rPr>
          <w:rFonts w:hint="cs"/>
          <w:rtl/>
        </w:rPr>
        <w:t>ی</w:t>
      </w:r>
      <w:r w:rsidRPr="0025250D">
        <w:rPr>
          <w:rFonts w:hint="cs"/>
          <w:rtl/>
        </w:rPr>
        <w:t>د. بخشی از این پویش شامل آشنا سازی خودمان با مرکز و سرمایه انسانی سازمان‌ها و شبکه هایمان می‌باشد. در مورد نقاط قوت، اشتیاق و نگرانی‌های دیگران بیاموزید.</w:t>
      </w:r>
    </w:p>
    <w:p w14:paraId="59CB2D3A" w14:textId="77777777" w:rsidR="00537CC8" w:rsidRPr="0025250D" w:rsidRDefault="00537CC8" w:rsidP="00537CC8">
      <w:pPr>
        <w:rPr>
          <w:b/>
          <w:bCs/>
          <w:rtl/>
        </w:rPr>
      </w:pPr>
      <w:r w:rsidRPr="0025250D">
        <w:rPr>
          <w:rFonts w:hint="cs"/>
          <w:b/>
          <w:bCs/>
          <w:rtl/>
        </w:rPr>
        <w:t>5. آنچه می‌آموزیم را به اشتراک بگذارید (لطف دیگران را جبران کنید).</w:t>
      </w:r>
    </w:p>
    <w:p w14:paraId="6293027A" w14:textId="7B24264A" w:rsidR="00537CC8" w:rsidRPr="0025250D" w:rsidRDefault="00537CC8" w:rsidP="00537CC8">
      <w:pPr>
        <w:rPr>
          <w:rtl/>
        </w:rPr>
      </w:pPr>
      <w:r w:rsidRPr="0025250D">
        <w:rPr>
          <w:rFonts w:hint="cs"/>
          <w:rtl/>
        </w:rPr>
        <w:t xml:space="preserve">ممکن است خود را به عنوان یک دیده بان آینده برای سازمان خود بدانیم و اکتشافات و شناسایی‌هایی در محیط انجام دهیم. وقتی اطلاعاتی کشف می‌کنیم که ممکن است برای افراد خاصی در سازمان ما ارزشمند باشند، می‌توانیم آن‌ها را به اشتراک بگذاریم </w:t>
      </w:r>
      <w:r w:rsidRPr="0025250D">
        <w:rPr>
          <w:rFonts w:cs="Times New Roman" w:hint="cs"/>
          <w:rtl/>
        </w:rPr>
        <w:t>–</w:t>
      </w:r>
      <w:r w:rsidRPr="0025250D">
        <w:rPr>
          <w:rFonts w:hint="cs"/>
          <w:rtl/>
        </w:rPr>
        <w:t xml:space="preserve"> آن را به روشنی ارائه کنیم (</w:t>
      </w:r>
      <w:r w:rsidR="002C61FC" w:rsidRPr="0025250D">
        <w:rPr>
          <w:rtl/>
        </w:rPr>
        <w:t>«</w:t>
      </w:r>
      <w:r w:rsidRPr="0025250D">
        <w:rPr>
          <w:rFonts w:hint="cs"/>
          <w:rtl/>
        </w:rPr>
        <w:t>من آینده را می‌دانم</w:t>
      </w:r>
      <w:r w:rsidR="002C61FC" w:rsidRPr="0025250D">
        <w:rPr>
          <w:rtl/>
        </w:rPr>
        <w:t>»</w:t>
      </w:r>
      <w:r w:rsidRPr="0025250D">
        <w:rPr>
          <w:rFonts w:hint="cs"/>
          <w:rtl/>
        </w:rPr>
        <w:t xml:space="preserve">). به بیان دیگر، به دیگران برای دیدن ارزش </w:t>
      </w:r>
      <w:r w:rsidRPr="0025250D">
        <w:rPr>
          <w:rtl/>
        </w:rPr>
        <w:t>آینده‌نگاری</w:t>
      </w:r>
      <w:r w:rsidRPr="0025250D">
        <w:rPr>
          <w:rFonts w:hint="cs"/>
          <w:rtl/>
        </w:rPr>
        <w:t>، اشتراک گذاری و یادگیری کمک کنیم. این کار را به صورت غیر شرطی انجام دهیم. انتظار هیچ چیزی در مقابل آن نداشته باشید!</w:t>
      </w:r>
    </w:p>
    <w:p w14:paraId="3CD2FE8D" w14:textId="3C4F7C6E" w:rsidR="00537CC8" w:rsidRPr="0025250D" w:rsidRDefault="00537CC8" w:rsidP="00537CC8">
      <w:pPr>
        <w:rPr>
          <w:b/>
          <w:bCs/>
          <w:rtl/>
        </w:rPr>
      </w:pPr>
      <w:r w:rsidRPr="0025250D">
        <w:rPr>
          <w:rFonts w:hint="cs"/>
          <w:b/>
          <w:bCs/>
          <w:rtl/>
        </w:rPr>
        <w:t xml:space="preserve">6. افق </w:t>
      </w:r>
      <w:r w:rsidR="00701E03" w:rsidRPr="0025250D">
        <w:rPr>
          <w:rFonts w:hint="cs"/>
          <w:b/>
          <w:bCs/>
          <w:rtl/>
        </w:rPr>
        <w:t>راهبرد</w:t>
      </w:r>
      <w:r w:rsidRPr="0025250D">
        <w:rPr>
          <w:rFonts w:hint="cs"/>
          <w:b/>
          <w:bCs/>
          <w:rtl/>
        </w:rPr>
        <w:t xml:space="preserve"> را به جلو هل دهید.</w:t>
      </w:r>
    </w:p>
    <w:p w14:paraId="057C4736" w14:textId="32C537A1" w:rsidR="00537CC8" w:rsidRPr="0025250D" w:rsidRDefault="00537CC8" w:rsidP="00537CC8">
      <w:pPr>
        <w:rPr>
          <w:rtl/>
        </w:rPr>
      </w:pPr>
      <w:r w:rsidRPr="0025250D">
        <w:rPr>
          <w:rFonts w:hint="cs"/>
          <w:rtl/>
        </w:rPr>
        <w:t xml:space="preserve">هرگاه </w:t>
      </w:r>
      <w:r w:rsidR="00701E03" w:rsidRPr="0025250D">
        <w:rPr>
          <w:rFonts w:hint="cs"/>
          <w:rtl/>
        </w:rPr>
        <w:t>راهبرد</w:t>
      </w:r>
      <w:r w:rsidRPr="0025250D">
        <w:rPr>
          <w:rFonts w:hint="cs"/>
          <w:rtl/>
        </w:rPr>
        <w:t xml:space="preserve"> کلیدی به بحث گذاشته می‌شود، یک عادت سؤال پرسیدن که افق </w:t>
      </w:r>
      <w:r w:rsidR="00701E03" w:rsidRPr="0025250D">
        <w:rPr>
          <w:rFonts w:hint="cs"/>
          <w:rtl/>
        </w:rPr>
        <w:t>راهبرد</w:t>
      </w:r>
      <w:r w:rsidRPr="0025250D">
        <w:rPr>
          <w:rFonts w:hint="cs"/>
          <w:rtl/>
        </w:rPr>
        <w:t xml:space="preserve"> را گسترش می‌دهد ایجاد کنید </w:t>
      </w:r>
      <w:r w:rsidRPr="0025250D">
        <w:rPr>
          <w:rFonts w:cs="Times New Roman" w:hint="cs"/>
          <w:rtl/>
        </w:rPr>
        <w:t>–</w:t>
      </w:r>
      <w:r w:rsidRPr="0025250D">
        <w:rPr>
          <w:rFonts w:hint="cs"/>
          <w:rtl/>
        </w:rPr>
        <w:t xml:space="preserve"> مانند، </w:t>
      </w:r>
      <w:r w:rsidR="002C61FC" w:rsidRPr="0025250D">
        <w:rPr>
          <w:rtl/>
        </w:rPr>
        <w:t>«</w:t>
      </w:r>
      <w:r w:rsidRPr="0025250D">
        <w:rPr>
          <w:rFonts w:hint="cs"/>
          <w:rtl/>
        </w:rPr>
        <w:t>آیا می‌توانیم لحظه‌ای زمان صرف کرده و به چگونگی اجرای آن در بلند مدت نگاه کنیم؟</w:t>
      </w:r>
      <w:r w:rsidR="002C61FC" w:rsidRPr="0025250D">
        <w:rPr>
          <w:rtl/>
        </w:rPr>
        <w:t>»</w:t>
      </w:r>
      <w:r w:rsidRPr="0025250D">
        <w:rPr>
          <w:rFonts w:hint="cs"/>
          <w:rtl/>
        </w:rPr>
        <w:t xml:space="preserve"> یا </w:t>
      </w:r>
      <w:r w:rsidR="002C61FC" w:rsidRPr="0025250D">
        <w:rPr>
          <w:rtl/>
        </w:rPr>
        <w:t>«</w:t>
      </w:r>
      <w:r w:rsidRPr="0025250D">
        <w:rPr>
          <w:rFonts w:hint="cs"/>
          <w:rtl/>
        </w:rPr>
        <w:t>فکر می‌کنیم درصورتی که چنین مواردی رخ دهند چه خواهد شد؟</w:t>
      </w:r>
      <w:r w:rsidR="002C61FC" w:rsidRPr="0025250D">
        <w:rPr>
          <w:rtl/>
        </w:rPr>
        <w:t>»</w:t>
      </w:r>
      <w:r w:rsidRPr="0025250D">
        <w:rPr>
          <w:rFonts w:hint="cs"/>
          <w:rtl/>
        </w:rPr>
        <w:t xml:space="preserve"> و </w:t>
      </w:r>
      <w:r w:rsidR="002C61FC" w:rsidRPr="0025250D">
        <w:rPr>
          <w:rtl/>
        </w:rPr>
        <w:t>«</w:t>
      </w:r>
      <w:r w:rsidRPr="0025250D">
        <w:rPr>
          <w:rFonts w:hint="cs"/>
          <w:rtl/>
        </w:rPr>
        <w:t>چه فرصت‌های جدیدی برای ما در آن صورت رخ خواه</w:t>
      </w:r>
      <w:r w:rsidR="0024295A" w:rsidRPr="0025250D">
        <w:rPr>
          <w:rFonts w:hint="cs"/>
          <w:rtl/>
        </w:rPr>
        <w:t>ن</w:t>
      </w:r>
      <w:r w:rsidRPr="0025250D">
        <w:rPr>
          <w:rFonts w:hint="cs"/>
          <w:rtl/>
        </w:rPr>
        <w:t>د داد؟ چه تهدید‌هایی رخ خواهند داد؟</w:t>
      </w:r>
      <w:r w:rsidR="002C61FC" w:rsidRPr="0025250D">
        <w:rPr>
          <w:rtl/>
        </w:rPr>
        <w:t>»</w:t>
      </w:r>
      <w:r w:rsidRPr="0025250D">
        <w:rPr>
          <w:rFonts w:hint="cs"/>
          <w:rtl/>
        </w:rPr>
        <w:t xml:space="preserve">. به عنوان فردی شناخته شوید که افق </w:t>
      </w:r>
      <w:r w:rsidR="00701E03" w:rsidRPr="0025250D">
        <w:rPr>
          <w:rFonts w:hint="cs"/>
          <w:rtl/>
        </w:rPr>
        <w:t>راهبرد</w:t>
      </w:r>
      <w:r w:rsidRPr="0025250D">
        <w:rPr>
          <w:rFonts w:hint="cs"/>
          <w:rtl/>
        </w:rPr>
        <w:t xml:space="preserve"> تیم را گسترش می‌دهد، اما تنها وقتی آن را انجام دهید که شرایط مناسب باشد. بدانید که در همه گفتگوها حول </w:t>
      </w:r>
      <w:r w:rsidR="00701E03" w:rsidRPr="0025250D">
        <w:rPr>
          <w:rFonts w:hint="cs"/>
          <w:rtl/>
        </w:rPr>
        <w:t>راهبرد</w:t>
      </w:r>
      <w:r w:rsidRPr="0025250D">
        <w:rPr>
          <w:rFonts w:hint="cs"/>
          <w:rtl/>
        </w:rPr>
        <w:t xml:space="preserve"> زمانی برای یادگیری (گذشته و حال)، زمانی برای پیش‌انگاری روند‌ها و مدل‌های مرتبط، زمانی برای بحث‌های نوآورانه و واگرا و زمانی برای همگرایی درمورد اولویت‌ها، سیاست‌ها و برنامه‌های </w:t>
      </w:r>
      <w:r w:rsidR="00701E03" w:rsidRPr="0025250D">
        <w:rPr>
          <w:rFonts w:hint="cs"/>
          <w:rtl/>
        </w:rPr>
        <w:t>راهبردی</w:t>
      </w:r>
      <w:r w:rsidRPr="0025250D">
        <w:rPr>
          <w:rFonts w:hint="cs"/>
          <w:rtl/>
        </w:rPr>
        <w:t xml:space="preserve"> و عمل هماهنگ وجود دارد. بر هر چهار مهارت </w:t>
      </w:r>
      <w:r w:rsidRPr="0025250D">
        <w:t>LAIS</w:t>
      </w:r>
      <w:r w:rsidRPr="0025250D">
        <w:rPr>
          <w:rFonts w:hint="cs"/>
          <w:rtl/>
        </w:rPr>
        <w:t xml:space="preserve"> تسلط یابید.</w:t>
      </w:r>
    </w:p>
    <w:p w14:paraId="0BC489E2" w14:textId="77777777" w:rsidR="00537CC8" w:rsidRPr="0025250D" w:rsidRDefault="00537CC8" w:rsidP="00537CC8">
      <w:pPr>
        <w:rPr>
          <w:b/>
          <w:bCs/>
          <w:rtl/>
        </w:rPr>
      </w:pPr>
      <w:r w:rsidRPr="0025250D">
        <w:rPr>
          <w:rFonts w:hint="cs"/>
          <w:b/>
          <w:bCs/>
          <w:rtl/>
        </w:rPr>
        <w:t>7. به جامعه‌ای از فعالان بپیوندید.</w:t>
      </w:r>
    </w:p>
    <w:p w14:paraId="0DEA5D79" w14:textId="2B1F6E52" w:rsidR="00537CC8" w:rsidRPr="0025250D" w:rsidRDefault="00537CC8" w:rsidP="00537CC8">
      <w:pPr>
        <w:rPr>
          <w:rtl/>
        </w:rPr>
      </w:pPr>
      <w:r w:rsidRPr="0025250D">
        <w:rPr>
          <w:rFonts w:hint="cs"/>
          <w:rtl/>
        </w:rPr>
        <w:t>به برخی از جوامع</w:t>
      </w:r>
      <w:r w:rsidR="008D6F97" w:rsidRPr="0025250D">
        <w:rPr>
          <w:rtl/>
        </w:rPr>
        <w:t xml:space="preserve"> </w:t>
      </w:r>
      <w:r w:rsidRPr="0025250D">
        <w:rPr>
          <w:rtl/>
        </w:rPr>
        <w:t>آینده‌نگاری</w:t>
      </w:r>
      <w:r w:rsidRPr="0025250D">
        <w:rPr>
          <w:rFonts w:hint="cs"/>
          <w:rtl/>
        </w:rPr>
        <w:t xml:space="preserve"> مقدماتی و تخصصی فهرست شده در فصل 1 بپیوندید. به دنبال تعالی در هر هشت مهارت و چند مورد از بیست تخصص باشید. </w:t>
      </w:r>
      <w:r w:rsidRPr="0025250D">
        <w:rPr>
          <w:rtl/>
        </w:rPr>
        <w:t>آینده‌نگاری</w:t>
      </w:r>
      <w:r w:rsidRPr="0025250D">
        <w:rPr>
          <w:rFonts w:hint="cs"/>
          <w:rtl/>
        </w:rPr>
        <w:t xml:space="preserve"> یک سفر به‌شدت ثمر بخش و بی پایان است. این سفر را با دیگر افرادی که به‌اندازه شما آن را تحسین می‌کنند و قدر دادن آن هستند سهیم شوید.</w:t>
      </w:r>
    </w:p>
    <w:p w14:paraId="7310B189" w14:textId="77777777" w:rsidR="00537CC8" w:rsidRPr="0025250D" w:rsidRDefault="00537CC8" w:rsidP="00537CC8">
      <w:pPr>
        <w:rPr>
          <w:rtl/>
        </w:rPr>
      </w:pPr>
      <w:r w:rsidRPr="0025250D">
        <w:rPr>
          <w:rFonts w:hint="cs"/>
          <w:rtl/>
        </w:rPr>
        <w:t xml:space="preserve">این موارد را انجام دهید و به زودی به عنوان متخصصین </w:t>
      </w:r>
      <w:r w:rsidRPr="0025250D">
        <w:rPr>
          <w:rtl/>
        </w:rPr>
        <w:t>آینده‌نگاری</w:t>
      </w:r>
      <w:r w:rsidRPr="0025250D">
        <w:rPr>
          <w:rFonts w:hint="cs"/>
          <w:rtl/>
        </w:rPr>
        <w:t xml:space="preserve"> اثربخش در سازمان خود شناخته خواهید شد.</w:t>
      </w:r>
    </w:p>
    <w:p w14:paraId="6277D904" w14:textId="708C2249" w:rsidR="00537CC8" w:rsidRPr="0025250D" w:rsidRDefault="00537CC8" w:rsidP="00537CC8">
      <w:pPr>
        <w:rPr>
          <w:rtl/>
        </w:rPr>
      </w:pPr>
      <w:r w:rsidRPr="0025250D">
        <w:rPr>
          <w:rFonts w:hint="cs"/>
          <w:rtl/>
        </w:rPr>
        <w:t xml:space="preserve">آیا هیچ یک از این </w:t>
      </w:r>
      <w:r w:rsidR="00B13F65" w:rsidRPr="0025250D">
        <w:rPr>
          <w:rFonts w:hint="cs"/>
          <w:rtl/>
        </w:rPr>
        <w:t>چارچوب</w:t>
      </w:r>
      <w:r w:rsidRPr="0025250D">
        <w:rPr>
          <w:rFonts w:hint="cs"/>
          <w:rtl/>
        </w:rPr>
        <w:t xml:space="preserve">‌ها به طور مشخص برای شما مفید بودند؟ </w:t>
      </w:r>
      <w:r w:rsidR="00923DDB" w:rsidRPr="0025250D">
        <w:rPr>
          <w:rFonts w:hint="cs"/>
          <w:rtl/>
        </w:rPr>
        <w:t>به‌کارگیری</w:t>
      </w:r>
      <w:r w:rsidRPr="0025250D">
        <w:rPr>
          <w:rFonts w:hint="cs"/>
          <w:rtl/>
        </w:rPr>
        <w:t xml:space="preserve"> </w:t>
      </w:r>
      <w:r w:rsidR="00B13F65" w:rsidRPr="0025250D">
        <w:rPr>
          <w:rFonts w:hint="cs"/>
          <w:rtl/>
        </w:rPr>
        <w:t>چارچوب</w:t>
      </w:r>
      <w:r w:rsidRPr="0025250D">
        <w:rPr>
          <w:rFonts w:hint="cs"/>
          <w:rtl/>
        </w:rPr>
        <w:t xml:space="preserve">‌های مختلف برای مسئله </w:t>
      </w:r>
      <w:r w:rsidRPr="0025250D">
        <w:rPr>
          <w:rtl/>
        </w:rPr>
        <w:t>آینده‌نگاری</w:t>
      </w:r>
      <w:r w:rsidRPr="0025250D">
        <w:rPr>
          <w:rFonts w:hint="cs"/>
          <w:rtl/>
        </w:rPr>
        <w:t xml:space="preserve"> بینش و اطلاعات بسیار جدیدی تولید کرده و به ما برای شفاف سازی گزینه‌های </w:t>
      </w:r>
      <w:r w:rsidRPr="0025250D">
        <w:rPr>
          <w:rtl/>
        </w:rPr>
        <w:t>آینده‌نگاری</w:t>
      </w:r>
      <w:r w:rsidRPr="0025250D">
        <w:rPr>
          <w:rFonts w:hint="cs"/>
          <w:rtl/>
        </w:rPr>
        <w:t xml:space="preserve"> کمک می‌کند. برای </w:t>
      </w:r>
      <w:r w:rsidR="0024295A" w:rsidRPr="0025250D">
        <w:rPr>
          <w:rFonts w:hint="cs"/>
          <w:rtl/>
        </w:rPr>
        <w:t xml:space="preserve">دسترسی به </w:t>
      </w:r>
      <w:r w:rsidRPr="0025250D">
        <w:rPr>
          <w:rFonts w:hint="cs"/>
          <w:rtl/>
        </w:rPr>
        <w:t xml:space="preserve">چند </w:t>
      </w:r>
      <w:r w:rsidR="00B13F65" w:rsidRPr="0025250D">
        <w:rPr>
          <w:rFonts w:hint="cs"/>
          <w:rtl/>
        </w:rPr>
        <w:t>چارچوب</w:t>
      </w:r>
      <w:r w:rsidRPr="0025250D">
        <w:rPr>
          <w:rFonts w:hint="cs"/>
          <w:rtl/>
        </w:rPr>
        <w:t xml:space="preserve"> و برنامه درسی </w:t>
      </w:r>
      <w:r w:rsidRPr="0025250D">
        <w:rPr>
          <w:rtl/>
        </w:rPr>
        <w:t>آینده‌نگاری</w:t>
      </w:r>
      <w:r w:rsidRPr="0025250D">
        <w:rPr>
          <w:rFonts w:hint="cs"/>
          <w:rtl/>
        </w:rPr>
        <w:t xml:space="preserve">، صفحه اینترنتی تعاریف و </w:t>
      </w:r>
      <w:r w:rsidR="00B13F65" w:rsidRPr="0025250D">
        <w:rPr>
          <w:rFonts w:hint="cs"/>
          <w:rtl/>
        </w:rPr>
        <w:t>چارچوب</w:t>
      </w:r>
      <w:r w:rsidRPr="0025250D">
        <w:rPr>
          <w:rFonts w:hint="cs"/>
          <w:rtl/>
        </w:rPr>
        <w:t xml:space="preserve">‌های </w:t>
      </w:r>
      <w:r w:rsidRPr="0025250D">
        <w:rPr>
          <w:rtl/>
        </w:rPr>
        <w:t>آینده‌نگاری</w:t>
      </w:r>
      <w:r w:rsidRPr="0025250D">
        <w:rPr>
          <w:rFonts w:hint="cs"/>
          <w:rtl/>
        </w:rPr>
        <w:t xml:space="preserve"> </w:t>
      </w:r>
      <w:r w:rsidRPr="0025250D">
        <w:t>FERN</w:t>
      </w:r>
      <w:r w:rsidRPr="0025250D">
        <w:rPr>
          <w:rFonts w:hint="cs"/>
          <w:rtl/>
        </w:rPr>
        <w:t xml:space="preserve"> را ببینید. ما برای همه همکارانمان در یافتن، بهبود و ایجاد اقدامات و </w:t>
      </w:r>
      <w:r w:rsidR="00B13F65" w:rsidRPr="0025250D">
        <w:rPr>
          <w:rFonts w:hint="cs"/>
          <w:rtl/>
        </w:rPr>
        <w:t>چارچوب</w:t>
      </w:r>
      <w:r w:rsidRPr="0025250D">
        <w:rPr>
          <w:rFonts w:hint="cs"/>
          <w:rtl/>
        </w:rPr>
        <w:t xml:space="preserve">‌های تحقیقاتی و عملی </w:t>
      </w:r>
      <w:r w:rsidRPr="0025250D">
        <w:rPr>
          <w:rtl/>
        </w:rPr>
        <w:t>آینده‌نگاری</w:t>
      </w:r>
      <w:r w:rsidRPr="0025250D">
        <w:rPr>
          <w:rFonts w:hint="cs"/>
          <w:rtl/>
        </w:rPr>
        <w:t xml:space="preserve"> که برای نیاز‌های خودشان مناسب باشند، آر</w:t>
      </w:r>
      <w:r w:rsidR="0024295A" w:rsidRPr="0025250D">
        <w:rPr>
          <w:rFonts w:hint="cs"/>
          <w:rtl/>
        </w:rPr>
        <w:t>زو</w:t>
      </w:r>
      <w:r w:rsidRPr="0025250D">
        <w:rPr>
          <w:rFonts w:hint="cs"/>
          <w:rtl/>
        </w:rPr>
        <w:t>ی موفقیت و خوش اقبالی می‌کنیم.</w:t>
      </w:r>
    </w:p>
    <w:p w14:paraId="2ACD5F39" w14:textId="6FD81AE6" w:rsidR="00537CC8" w:rsidRPr="0025250D" w:rsidRDefault="00537CC8" w:rsidP="00537CC8">
      <w:pPr>
        <w:rPr>
          <w:rtl/>
        </w:rPr>
      </w:pPr>
    </w:p>
    <w:p w14:paraId="23CACF59" w14:textId="77777777" w:rsidR="00537CC8" w:rsidRPr="0025250D" w:rsidRDefault="00537CC8" w:rsidP="00537CC8">
      <w:pPr>
        <w:rPr>
          <w:rtl/>
        </w:rPr>
      </w:pPr>
    </w:p>
    <w:p w14:paraId="3681414E" w14:textId="77777777" w:rsidR="00537CC8" w:rsidRPr="0025250D" w:rsidRDefault="00537CC8" w:rsidP="00537CC8">
      <w:pPr>
        <w:rPr>
          <w:rtl/>
        </w:rPr>
      </w:pPr>
    </w:p>
    <w:p w14:paraId="3484266C" w14:textId="79C56C25" w:rsidR="00537CC8" w:rsidRPr="0025250D" w:rsidRDefault="00537CC8" w:rsidP="003D3E0A">
      <w:pPr>
        <w:pStyle w:val="Heading2"/>
        <w:rPr>
          <w:rtl/>
        </w:rPr>
      </w:pPr>
      <w:bookmarkStart w:id="69" w:name="_Toc127831334"/>
      <w:r w:rsidRPr="0025250D">
        <w:rPr>
          <w:rFonts w:hint="cs"/>
          <w:rtl/>
        </w:rPr>
        <w:t xml:space="preserve">2. مروری کلی بر روش‌ها </w:t>
      </w:r>
      <w:r w:rsidRPr="0025250D">
        <w:rPr>
          <w:rFonts w:ascii="Times New Roman" w:hAnsi="Times New Roman" w:cs="Times New Roman" w:hint="cs"/>
          <w:rtl/>
        </w:rPr>
        <w:t>–</w:t>
      </w:r>
      <w:r w:rsidRPr="0025250D">
        <w:rPr>
          <w:rFonts w:hint="cs"/>
          <w:rtl/>
        </w:rPr>
        <w:t xml:space="preserve"> مهارت‌های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w:t>
      </w:r>
      <w:r w:rsidRPr="0025250D">
        <w:t>LAIS</w:t>
      </w:r>
      <w:bookmarkEnd w:id="69"/>
    </w:p>
    <w:p w14:paraId="4CC2D7BF" w14:textId="57E64745" w:rsidR="00537CC8" w:rsidRPr="0025250D" w:rsidRDefault="00537CC8" w:rsidP="00537CC8">
      <w:pPr>
        <w:rPr>
          <w:rtl/>
        </w:rPr>
      </w:pPr>
      <w:r w:rsidRPr="0025250D">
        <w:t xml:space="preserve"> </w:t>
      </w:r>
      <w:r w:rsidRPr="0025250D">
        <w:rPr>
          <w:rFonts w:hint="cs"/>
          <w:rtl/>
        </w:rPr>
        <w:t xml:space="preserve">ما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را به‌عنوان انجام مهارت‌های </w:t>
      </w:r>
      <w:r w:rsidRPr="0025250D">
        <w:rPr>
          <w:rtl/>
        </w:rPr>
        <w:t>آینده‌نگاری</w:t>
      </w:r>
      <w:r w:rsidRPr="0025250D">
        <w:rPr>
          <w:rFonts w:hint="cs"/>
          <w:rtl/>
        </w:rPr>
        <w:t xml:space="preserve"> </w:t>
      </w:r>
      <w:r w:rsidRPr="0025250D">
        <w:t>LAIS</w:t>
      </w:r>
      <w:r w:rsidRPr="0025250D">
        <w:rPr>
          <w:rFonts w:hint="cs"/>
          <w:rtl/>
        </w:rPr>
        <w:t xml:space="preserve"> تعریف کرده‌ایم. </w:t>
      </w:r>
      <w:r w:rsidRPr="0025250D">
        <w:rPr>
          <w:rtl/>
        </w:rPr>
        <w:t>آینده‌نگاری</w:t>
      </w:r>
      <w:r w:rsidRPr="0025250D">
        <w:rPr>
          <w:rFonts w:hint="cs"/>
          <w:rtl/>
        </w:rPr>
        <w:t xml:space="preserve"> </w:t>
      </w:r>
      <w:r w:rsidR="00AE5BE0" w:rsidRPr="0025250D">
        <w:rPr>
          <w:rFonts w:hint="cs"/>
          <w:rtl/>
        </w:rPr>
        <w:t>انطباقی</w:t>
      </w:r>
      <w:r w:rsidRPr="0025250D">
        <w:rPr>
          <w:rFonts w:hint="cs"/>
          <w:rtl/>
        </w:rPr>
        <w:t xml:space="preserve"> با یکپارچه‌سازی این چهار مهارت عملی آغاز می‌شود و با ادغام ارزش‌ها و یک نظریه از موفقیت و پیشرفت به پایان می‌رسد. بیایید اکنون در نظر بگیریم که چگونه مهارت‌های </w:t>
      </w:r>
      <w:r w:rsidRPr="0025250D">
        <w:t>LAIS</w:t>
      </w:r>
      <w:r w:rsidRPr="0025250D">
        <w:rPr>
          <w:rFonts w:hint="cs"/>
          <w:rtl/>
        </w:rPr>
        <w:t xml:space="preserve"> با روش‌های </w:t>
      </w:r>
      <w:r w:rsidRPr="0025250D">
        <w:rPr>
          <w:rtl/>
        </w:rPr>
        <w:t>آینده‌نگاری</w:t>
      </w:r>
      <w:r w:rsidRPr="0025250D">
        <w:rPr>
          <w:rFonts w:hint="cs"/>
          <w:rtl/>
        </w:rPr>
        <w:t xml:space="preserve">، رویه‌های مورد استفاده ما، اغلب در نوعی </w:t>
      </w:r>
      <w:r w:rsidR="00B13F65" w:rsidRPr="0025250D">
        <w:rPr>
          <w:rFonts w:hint="cs"/>
          <w:rtl/>
        </w:rPr>
        <w:t>چارچوب</w:t>
      </w:r>
      <w:r w:rsidRPr="0025250D">
        <w:rPr>
          <w:rFonts w:hint="cs"/>
          <w:rtl/>
        </w:rPr>
        <w:t xml:space="preserve"> </w:t>
      </w:r>
      <w:r w:rsidRPr="0025250D">
        <w:rPr>
          <w:rtl/>
        </w:rPr>
        <w:t>آینده‌نگاری</w:t>
      </w:r>
      <w:r w:rsidRPr="0025250D">
        <w:rPr>
          <w:rFonts w:hint="cs"/>
          <w:rtl/>
        </w:rPr>
        <w:t>، ارتباط دارند تا جنبه‌هایی از آینده را درک و تحلیل کنیم.</w:t>
      </w:r>
    </w:p>
    <w:p w14:paraId="69DBA468" w14:textId="77777777" w:rsidR="00537CC8" w:rsidRPr="0025250D" w:rsidRDefault="00537CC8" w:rsidP="003D3E0A">
      <w:pPr>
        <w:jc w:val="center"/>
      </w:pPr>
      <w:r w:rsidRPr="0025250D">
        <w:rPr>
          <w:noProof/>
          <w:rtl/>
          <w:lang w:bidi="ar-SA"/>
        </w:rPr>
        <w:drawing>
          <wp:inline distT="0" distB="0" distL="0" distR="0" wp14:anchorId="45FFB5F8" wp14:editId="269A17F9">
            <wp:extent cx="3169559" cy="2104846"/>
            <wp:effectExtent l="0" t="0" r="0" b="0"/>
            <wp:docPr id="151" name="Picture 151" descr="D:\کار\مستقل\3 ( ترجمه ی دانشگاه تهران  )\Introduction to Foresight\part7\49-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7\49-new.png"/>
                    <pic:cNvPicPr>
                      <a:picLocks noChangeAspect="1" noChangeArrowheads="1"/>
                    </pic:cNvPicPr>
                  </pic:nvPicPr>
                  <pic:blipFill rotWithShape="1">
                    <a:blip r:embed="rId248" cstate="screen">
                      <a:extLst>
                        <a:ext uri="{BEBA8EAE-BF5A-486C-A8C5-ECC9F3942E4B}">
                          <a14:imgProps xmlns:a14="http://schemas.microsoft.com/office/drawing/2010/main">
                            <a14:imgLayer r:embed="rId249">
                              <a14:imgEffect>
                                <a14:saturation sat="0"/>
                              </a14:imgEffect>
                            </a14:imgLayer>
                          </a14:imgProps>
                        </a:ext>
                        <a:ext uri="{28A0092B-C50C-407E-A947-70E740481C1C}">
                          <a14:useLocalDpi xmlns:a14="http://schemas.microsoft.com/office/drawing/2010/main"/>
                        </a:ext>
                      </a:extLst>
                    </a:blip>
                    <a:srcRect/>
                    <a:stretch/>
                  </pic:blipFill>
                  <pic:spPr bwMode="auto">
                    <a:xfrm>
                      <a:off x="0" y="0"/>
                      <a:ext cx="3175526" cy="2108808"/>
                    </a:xfrm>
                    <a:prstGeom prst="rect">
                      <a:avLst/>
                    </a:prstGeom>
                    <a:noFill/>
                    <a:ln>
                      <a:noFill/>
                    </a:ln>
                    <a:extLst>
                      <a:ext uri="{53640926-AAD7-44D8-BBD7-CCE9431645EC}">
                        <a14:shadowObscured xmlns:a14="http://schemas.microsoft.com/office/drawing/2010/main"/>
                      </a:ext>
                    </a:extLst>
                  </pic:spPr>
                </pic:pic>
              </a:graphicData>
            </a:graphic>
          </wp:inline>
        </w:drawing>
      </w:r>
    </w:p>
    <w:p w14:paraId="2A3F2ACF" w14:textId="77777777" w:rsidR="00537CC8" w:rsidRPr="0025250D" w:rsidRDefault="00537CC8" w:rsidP="003D3E0A">
      <w:pPr>
        <w:jc w:val="center"/>
        <w:rPr>
          <w:rtl/>
        </w:rPr>
      </w:pPr>
      <w:r w:rsidRPr="0025250D">
        <w:rPr>
          <w:rFonts w:hint="cs"/>
          <w:rtl/>
        </w:rPr>
        <w:t xml:space="preserve">مهارت‌های </w:t>
      </w:r>
      <w:r w:rsidRPr="0025250D">
        <w:t>LAIS</w:t>
      </w:r>
      <w:r w:rsidRPr="0025250D">
        <w:rPr>
          <w:rFonts w:hint="cs"/>
          <w:rtl/>
        </w:rPr>
        <w:t xml:space="preserve"> خود را ایجاد کنید</w:t>
      </w:r>
    </w:p>
    <w:p w14:paraId="545A18CC" w14:textId="77B0B24B" w:rsidR="00537CC8" w:rsidRPr="0025250D" w:rsidRDefault="00D92F6E" w:rsidP="003D3E0A">
      <w:pPr>
        <w:jc w:val="center"/>
        <w:rPr>
          <w:rtl/>
        </w:rPr>
      </w:pPr>
      <w:r w:rsidRPr="0025250D">
        <w:rPr>
          <w:rFonts w:hint="cs"/>
          <w:rtl/>
        </w:rPr>
        <w:t>آینده‌نگاری</w:t>
      </w:r>
      <w:r w:rsidR="00537CC8" w:rsidRPr="0025250D">
        <w:rPr>
          <w:rFonts w:hint="cs"/>
          <w:rtl/>
        </w:rPr>
        <w:t xml:space="preserve"> </w:t>
      </w:r>
      <w:r w:rsidR="00701E03" w:rsidRPr="0025250D">
        <w:rPr>
          <w:rFonts w:hint="cs"/>
          <w:rtl/>
        </w:rPr>
        <w:t>راهبردی</w:t>
      </w:r>
      <w:r w:rsidR="00537CC8" w:rsidRPr="0025250D">
        <w:rPr>
          <w:rFonts w:hint="cs"/>
          <w:rtl/>
        </w:rPr>
        <w:t xml:space="preserve"> درست انجام شده است</w:t>
      </w:r>
    </w:p>
    <w:p w14:paraId="1F761C88" w14:textId="508CE4F6" w:rsidR="00537CC8" w:rsidRPr="0025250D" w:rsidRDefault="00537CC8" w:rsidP="003D3E0A">
      <w:pPr>
        <w:pStyle w:val="Heading3"/>
        <w:rPr>
          <w:rtl/>
        </w:rPr>
      </w:pPr>
      <w:r w:rsidRPr="0025250D">
        <w:rPr>
          <w:rFonts w:hint="cs"/>
          <w:rtl/>
        </w:rPr>
        <w:t xml:space="preserve">ترجیحات روش‌های </w:t>
      </w:r>
      <w:r w:rsidRPr="0025250D">
        <w:rPr>
          <w:rtl/>
        </w:rPr>
        <w:t>آینده‌نگاری</w:t>
      </w:r>
      <w:r w:rsidRPr="0025250D">
        <w:rPr>
          <w:rFonts w:hint="cs"/>
          <w:rtl/>
        </w:rPr>
        <w:t xml:space="preserve"> </w:t>
      </w:r>
      <w:r w:rsidRPr="0025250D">
        <w:t>LAIS</w:t>
      </w:r>
    </w:p>
    <w:p w14:paraId="11315FC1" w14:textId="63587F42" w:rsidR="00537CC8" w:rsidRPr="0025250D" w:rsidRDefault="00537CC8" w:rsidP="00537CC8">
      <w:pPr>
        <w:rPr>
          <w:rtl/>
        </w:rPr>
      </w:pPr>
      <w:r w:rsidRPr="0025250D">
        <w:rPr>
          <w:rFonts w:hint="cs"/>
          <w:rtl/>
        </w:rPr>
        <w:t xml:space="preserve">درست </w:t>
      </w:r>
      <w:r w:rsidR="007118DE" w:rsidRPr="0025250D">
        <w:rPr>
          <w:rFonts w:hint="cs"/>
          <w:rtl/>
        </w:rPr>
        <w:t>همان‌طور</w:t>
      </w:r>
      <w:r w:rsidRPr="0025250D">
        <w:rPr>
          <w:rFonts w:hint="cs"/>
          <w:rtl/>
        </w:rPr>
        <w:t xml:space="preserve"> که هر یک از ما، بر اساس شخصیت، ارزش‌ها و سبک‌های تصمیم‌گیری، ترجیحات هنجاری متفاوتی برای تفکر در گوشه‌های متفاوتی از هرم </w:t>
      </w:r>
      <w:r w:rsidRPr="0025250D">
        <w:rPr>
          <w:rtl/>
        </w:rPr>
        <w:t>آینده‌نگاری</w:t>
      </w:r>
      <w:r w:rsidRPr="0025250D">
        <w:rPr>
          <w:rFonts w:hint="cs"/>
          <w:rtl/>
        </w:rPr>
        <w:t xml:space="preserve"> داریم، هر یک ترجیحات متفاوتی برای انجام مهارت‌های </w:t>
      </w:r>
      <w:r w:rsidRPr="0025250D">
        <w:t>LAIS</w:t>
      </w:r>
      <w:r w:rsidRPr="0025250D">
        <w:rPr>
          <w:rFonts w:hint="cs"/>
          <w:rtl/>
        </w:rPr>
        <w:t xml:space="preserve"> داریم. در نتیجه، ما و کارسپارانمان تمایل خواهیم داشت که استفاده از روش‌های </w:t>
      </w:r>
      <w:r w:rsidRPr="0025250D">
        <w:rPr>
          <w:rtl/>
        </w:rPr>
        <w:t>آینده‌نگاری</w:t>
      </w:r>
      <w:r w:rsidRPr="0025250D">
        <w:rPr>
          <w:rFonts w:hint="cs"/>
          <w:rtl/>
        </w:rPr>
        <w:t xml:space="preserve"> مشخصی را نسبت به دیگر موارد ترجیح دهیم. ترجیح نسبت به روش‌های مختلف می‌تواند همچنین بر اساس تجربیات گذشته ما باشد. همچنین، روش‌های مشخص به‌شدت در نقاط زمانی مختلف محبوبیت بیش‌تری دارند. آن‌ها ممکن است، مدافعین خوب، شواهد بهتر و بازاریابی بهتری داشته باشند یا دارای تاریخچه کاربرد طولانی‌تری برای یک کارسپار خاص باشند.</w:t>
      </w:r>
    </w:p>
    <w:p w14:paraId="2E333A7E" w14:textId="1976F5D7" w:rsidR="00537CC8" w:rsidRPr="0025250D" w:rsidRDefault="00537CC8" w:rsidP="00537CC8">
      <w:pPr>
        <w:rPr>
          <w:rtl/>
        </w:rPr>
      </w:pPr>
      <w:r w:rsidRPr="0025250D">
        <w:rPr>
          <w:rFonts w:hint="cs"/>
          <w:rtl/>
        </w:rPr>
        <w:t xml:space="preserve">اما درحالی که همه ما ترجیحاتی درمورد این روش‌ها داریم، به یاد داشته باشید که هر چهار مهارت </w:t>
      </w:r>
      <w:r w:rsidRPr="0025250D">
        <w:t>LAIS</w:t>
      </w:r>
      <w:r w:rsidRPr="0025250D">
        <w:rPr>
          <w:rFonts w:hint="cs"/>
          <w:rtl/>
        </w:rPr>
        <w:t xml:space="preserve"> برای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خوب حیاتی هستند. روش‌های ما باید هر چهار مهارت را در بر گرفته و متوازن سازند. ما همچنین باید نیاز به تقابل پیش‌بین و </w:t>
      </w:r>
      <w:r w:rsidR="002B6515" w:rsidRPr="0025250D">
        <w:rPr>
          <w:rtl/>
        </w:rPr>
        <w:t>حس‌داد</w:t>
      </w:r>
      <w:r w:rsidRPr="0025250D">
        <w:rPr>
          <w:rFonts w:hint="cs"/>
          <w:rtl/>
        </w:rPr>
        <w:t xml:space="preserve"> به ترتیب مناسب و نیازمان به مدیریت این تعارضات در تیم هایمان را به</w:t>
      </w:r>
      <w:r w:rsidRPr="0025250D">
        <w:rPr>
          <w:rtl/>
        </w:rPr>
        <w:t xml:space="preserve"> </w:t>
      </w:r>
      <w:r w:rsidRPr="0025250D">
        <w:rPr>
          <w:rFonts w:hint="cs"/>
          <w:rtl/>
        </w:rPr>
        <w:t>یاد</w:t>
      </w:r>
      <w:r w:rsidRPr="0025250D">
        <w:rPr>
          <w:rtl/>
        </w:rPr>
        <w:t xml:space="preserve"> </w:t>
      </w:r>
      <w:r w:rsidRPr="0025250D">
        <w:rPr>
          <w:rFonts w:hint="cs"/>
          <w:rtl/>
        </w:rPr>
        <w:t>داشته</w:t>
      </w:r>
      <w:r w:rsidRPr="0025250D">
        <w:rPr>
          <w:rtl/>
        </w:rPr>
        <w:t xml:space="preserve"> </w:t>
      </w:r>
      <w:r w:rsidRPr="0025250D">
        <w:rPr>
          <w:rFonts w:hint="cs"/>
          <w:rtl/>
        </w:rPr>
        <w:t>باشیم</w:t>
      </w:r>
      <w:r w:rsidR="008D6F97" w:rsidRPr="0025250D">
        <w:rPr>
          <w:rtl/>
        </w:rPr>
        <w:t xml:space="preserve">؛ </w:t>
      </w:r>
      <w:r w:rsidRPr="0025250D">
        <w:rPr>
          <w:rFonts w:hint="cs"/>
          <w:rtl/>
        </w:rPr>
        <w:t xml:space="preserve">بنابراین دانستن ترجیحات تیم‌ها و کارسپارانمان درمورد روش‌های </w:t>
      </w:r>
      <w:r w:rsidRPr="0025250D">
        <w:t>LAIS</w:t>
      </w:r>
      <w:r w:rsidRPr="0025250D">
        <w:rPr>
          <w:rFonts w:hint="cs"/>
          <w:rtl/>
        </w:rPr>
        <w:t xml:space="preserve"> جای خوبی برای شروع اصلاح سوگیری‌هایمان نسبت به این روش‌هاست. هرم رهبری را که در فصل 1 مورد بحث قرار گرفت به یاد آورید. همه رهبران </w:t>
      </w:r>
      <w:r w:rsidRPr="0025250D">
        <w:rPr>
          <w:rtl/>
        </w:rPr>
        <w:t>آینده‌نگاری</w:t>
      </w:r>
      <w:r w:rsidRPr="0025250D">
        <w:rPr>
          <w:rFonts w:hint="cs"/>
          <w:rtl/>
        </w:rPr>
        <w:t xml:space="preserve">، وقتی که یک فعالیت </w:t>
      </w:r>
      <w:r w:rsidRPr="0025250D">
        <w:rPr>
          <w:rtl/>
        </w:rPr>
        <w:t>آینده‌نگاری</w:t>
      </w:r>
      <w:r w:rsidRPr="0025250D">
        <w:rPr>
          <w:rFonts w:hint="cs"/>
          <w:rtl/>
        </w:rPr>
        <w:t xml:space="preserve"> را رهبری می‌کن</w:t>
      </w:r>
      <w:r w:rsidR="00195A62" w:rsidRPr="0025250D">
        <w:rPr>
          <w:rFonts w:hint="cs"/>
          <w:rtl/>
        </w:rPr>
        <w:t>ند</w:t>
      </w:r>
      <w:r w:rsidRPr="0025250D">
        <w:rPr>
          <w:rFonts w:hint="cs"/>
          <w:rtl/>
        </w:rPr>
        <w:t xml:space="preserve">، روش‌هایی </w:t>
      </w:r>
      <w:r w:rsidR="00195A62" w:rsidRPr="0025250D">
        <w:rPr>
          <w:rFonts w:hint="cs"/>
          <w:rtl/>
        </w:rPr>
        <w:t xml:space="preserve">را نسبت به دیگر موارد </w:t>
      </w:r>
      <w:r w:rsidRPr="0025250D">
        <w:rPr>
          <w:rFonts w:hint="cs"/>
          <w:rtl/>
        </w:rPr>
        <w:t xml:space="preserve">ترجیح می‌دهند. این موارد اغلب بر اساس نوع رهبری ما هستند. تصویر زیر مثالی از روش‌های </w:t>
      </w:r>
      <w:r w:rsidRPr="0025250D">
        <w:rPr>
          <w:rtl/>
        </w:rPr>
        <w:t>آینده‌نگاری</w:t>
      </w:r>
      <w:r w:rsidRPr="0025250D">
        <w:rPr>
          <w:rFonts w:hint="cs"/>
          <w:rtl/>
        </w:rPr>
        <w:t xml:space="preserve"> را که اغلب توسط هر یک از سه نوع رهبری پایه‌ای (جوجه‌تیغی، روباه و عقاب) در هرم </w:t>
      </w:r>
      <w:r w:rsidRPr="0025250D">
        <w:rPr>
          <w:rtl/>
        </w:rPr>
        <w:t>آینده‌نگاری</w:t>
      </w:r>
      <w:r w:rsidRPr="0025250D">
        <w:rPr>
          <w:rFonts w:hint="cs"/>
          <w:rtl/>
        </w:rPr>
        <w:t xml:space="preserve"> کلاسیک ترجیح داده می‌شوند، ارائه می‌دهد. اگر ترجیح می‌دهید که از هرم </w:t>
      </w:r>
      <w:r w:rsidRPr="0025250D">
        <w:rPr>
          <w:rtl/>
        </w:rPr>
        <w:t>آینده‌نگاری</w:t>
      </w:r>
      <w:r w:rsidRPr="0025250D">
        <w:rPr>
          <w:rFonts w:hint="cs"/>
          <w:rtl/>
        </w:rPr>
        <w:t xml:space="preserve"> مدرن استفاده کنید، می‌توانید عقاب را به عقاب آرمان‌گرا (افراد خوش‌بین </w:t>
      </w:r>
      <w:r w:rsidR="00701E03" w:rsidRPr="0025250D">
        <w:rPr>
          <w:rFonts w:hint="cs"/>
          <w:rtl/>
        </w:rPr>
        <w:t>راهبردی</w:t>
      </w:r>
      <w:r w:rsidRPr="0025250D">
        <w:rPr>
          <w:rFonts w:hint="cs"/>
          <w:rtl/>
        </w:rPr>
        <w:t xml:space="preserve">) و عقاب عقلانی (افراد بدبین دفاعی)، با استفاده از ارزیابی </w:t>
      </w:r>
      <w:r w:rsidR="0053184A" w:rsidRPr="0025250D">
        <w:rPr>
          <w:rFonts w:hint="cs"/>
          <w:rtl/>
        </w:rPr>
        <w:t>خلق و خوی</w:t>
      </w:r>
      <w:r w:rsidRPr="0025250D">
        <w:rPr>
          <w:rFonts w:hint="cs"/>
          <w:rtl/>
        </w:rPr>
        <w:t xml:space="preserve"> </w:t>
      </w:r>
      <w:r w:rsidRPr="0025250D">
        <w:rPr>
          <w:rtl/>
        </w:rPr>
        <w:t>ک</w:t>
      </w:r>
      <w:r w:rsidRPr="0025250D">
        <w:rPr>
          <w:rFonts w:hint="cs"/>
          <w:rtl/>
        </w:rPr>
        <w:t>ی</w:t>
      </w:r>
      <w:r w:rsidRPr="0025250D">
        <w:rPr>
          <w:rFonts w:hint="eastAsia"/>
          <w:rtl/>
        </w:rPr>
        <w:t>رس</w:t>
      </w:r>
      <w:r w:rsidRPr="0025250D">
        <w:rPr>
          <w:rFonts w:hint="cs"/>
          <w:rtl/>
        </w:rPr>
        <w:t>ی تقسیم کنید. برای مثال در بازی‌های جنگی، عقاب آرمان‌گرا معمولاً ترجیح می‌دهد که در تیم آبی باشد</w:t>
      </w:r>
      <w:r w:rsidR="008D6F97" w:rsidRPr="0025250D">
        <w:rPr>
          <w:rtl/>
        </w:rPr>
        <w:t xml:space="preserve"> </w:t>
      </w:r>
      <w:r w:rsidRPr="0025250D">
        <w:rPr>
          <w:rFonts w:hint="cs"/>
          <w:rtl/>
        </w:rPr>
        <w:t>و عقاب استدلالی ترجیح می‌دهد که در تیم قرمز قرار گیرد. این نمودار همچنین فیل</w:t>
      </w:r>
      <w:r w:rsidRPr="0025250D">
        <w:rPr>
          <w:vertAlign w:val="superscript"/>
          <w:rtl/>
        </w:rPr>
        <w:footnoteReference w:id="2540"/>
      </w:r>
      <w:r w:rsidRPr="0025250D">
        <w:rPr>
          <w:rFonts w:hint="cs"/>
          <w:rtl/>
        </w:rPr>
        <w:t xml:space="preserve"> را شامل می‌شود، رهبری که در درجه اول یک یادگیرنده است و بنابراین یا بر آینده یا بر حال تمرکز دارد. فیل‌ها یک نوع رهبری </w:t>
      </w:r>
      <w:r w:rsidRPr="0025250D">
        <w:t>LAIS</w:t>
      </w:r>
      <w:r w:rsidRPr="0025250D">
        <w:rPr>
          <w:rFonts w:hint="cs"/>
          <w:rtl/>
        </w:rPr>
        <w:t xml:space="preserve"> هستند اما یک نوع رهبری </w:t>
      </w:r>
      <w:r w:rsidRPr="0025250D">
        <w:rPr>
          <w:rtl/>
        </w:rPr>
        <w:t>آینده‌نگاری</w:t>
      </w:r>
      <w:r w:rsidRPr="0025250D">
        <w:rPr>
          <w:rFonts w:hint="cs"/>
          <w:rtl/>
        </w:rPr>
        <w:t xml:space="preserve"> کلاسیک نیستند. این افراد دارای ذهنیت تاریخی یا عملیاتی، معمولاً برای دیگران کار می‌کنند یا مدیر هستند، به جای این که خودشان رهبر باشند. وقتی فیل‌ها رهبری می‌کنند، درست مانند شترمرغ‌ها، به معاونان </w:t>
      </w:r>
      <w:r w:rsidRPr="0025250D">
        <w:rPr>
          <w:rtl/>
        </w:rPr>
        <w:t>آینده‌نگار</w:t>
      </w:r>
      <w:r w:rsidRPr="0025250D">
        <w:rPr>
          <w:rFonts w:hint="cs"/>
          <w:rtl/>
        </w:rPr>
        <w:t xml:space="preserve"> برای کمک به آن‌ها در </w:t>
      </w:r>
      <w:r w:rsidR="00EE4B64" w:rsidRPr="0025250D">
        <w:rPr>
          <w:rFonts w:hint="cs"/>
          <w:rtl/>
        </w:rPr>
        <w:t>چشم‌اندازسازی</w:t>
      </w:r>
      <w:r w:rsidRPr="0025250D">
        <w:rPr>
          <w:rFonts w:hint="cs"/>
          <w:rtl/>
        </w:rPr>
        <w:t xml:space="preserve"> نیاز دارند.</w:t>
      </w:r>
    </w:p>
    <w:p w14:paraId="7E57C345" w14:textId="3684E228" w:rsidR="00537CC8" w:rsidRPr="0025250D" w:rsidRDefault="00233DF8" w:rsidP="00886023">
      <w:pPr>
        <w:jc w:val="center"/>
        <w:rPr>
          <w:rtl/>
        </w:rPr>
      </w:pPr>
      <w:r w:rsidRPr="0025250D">
        <w:rPr>
          <w:noProof/>
        </w:rPr>
        <w:drawing>
          <wp:inline distT="0" distB="0" distL="0" distR="0" wp14:anchorId="23BD416E" wp14:editId="1D413494">
            <wp:extent cx="5780598" cy="4151433"/>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50" cstate="screen">
                      <a:extLst>
                        <a:ext uri="{28A0092B-C50C-407E-A947-70E740481C1C}">
                          <a14:useLocalDpi xmlns:a14="http://schemas.microsoft.com/office/drawing/2010/main"/>
                        </a:ext>
                      </a:extLst>
                    </a:blip>
                    <a:srcRect/>
                    <a:stretch>
                      <a:fillRect/>
                    </a:stretch>
                  </pic:blipFill>
                  <pic:spPr bwMode="auto">
                    <a:xfrm>
                      <a:off x="0" y="0"/>
                      <a:ext cx="5790751" cy="4158725"/>
                    </a:xfrm>
                    <a:prstGeom prst="rect">
                      <a:avLst/>
                    </a:prstGeom>
                    <a:noFill/>
                  </pic:spPr>
                </pic:pic>
              </a:graphicData>
            </a:graphic>
          </wp:inline>
        </w:drawing>
      </w:r>
    </w:p>
    <w:p w14:paraId="07EB238F" w14:textId="47A43293" w:rsidR="00537CC8" w:rsidRPr="0025250D" w:rsidRDefault="00537CC8" w:rsidP="003D3E0A">
      <w:pPr>
        <w:jc w:val="center"/>
        <w:rPr>
          <w:rtl/>
        </w:rPr>
      </w:pPr>
      <w:r w:rsidRPr="0025250D">
        <w:rPr>
          <w:rFonts w:hint="cs"/>
          <w:rtl/>
        </w:rPr>
        <w:t xml:space="preserve">ترجیحات روش‌های </w:t>
      </w:r>
      <w:r w:rsidR="00D92F6E" w:rsidRPr="0025250D">
        <w:rPr>
          <w:rFonts w:hint="cs"/>
          <w:rtl/>
        </w:rPr>
        <w:t>آینده‌نگاری</w:t>
      </w:r>
      <w:r w:rsidRPr="0025250D">
        <w:rPr>
          <w:rFonts w:hint="cs"/>
          <w:rtl/>
        </w:rPr>
        <w:t xml:space="preserve"> </w:t>
      </w:r>
      <w:r w:rsidRPr="0025250D">
        <w:t>LAIS</w:t>
      </w:r>
    </w:p>
    <w:p w14:paraId="62BFD13B" w14:textId="1A2F27DF" w:rsidR="00537CC8" w:rsidRPr="0025250D" w:rsidRDefault="00537CC8" w:rsidP="00537CC8">
      <w:pPr>
        <w:rPr>
          <w:rtl/>
        </w:rPr>
      </w:pPr>
      <w:r w:rsidRPr="0025250D">
        <w:rPr>
          <w:rFonts w:hint="cs"/>
          <w:rtl/>
        </w:rPr>
        <w:t xml:space="preserve">تشخیص روش‌های </w:t>
      </w:r>
      <w:r w:rsidRPr="0025250D">
        <w:rPr>
          <w:rtl/>
        </w:rPr>
        <w:t>آینده‌نگاری</w:t>
      </w:r>
      <w:r w:rsidRPr="0025250D">
        <w:rPr>
          <w:rFonts w:hint="cs"/>
          <w:rtl/>
        </w:rPr>
        <w:t xml:space="preserve"> </w:t>
      </w:r>
      <w:r w:rsidRPr="0025250D">
        <w:t>LAIS</w:t>
      </w:r>
      <w:r w:rsidRPr="0025250D">
        <w:rPr>
          <w:rFonts w:hint="cs"/>
          <w:rtl/>
        </w:rPr>
        <w:t xml:space="preserve"> مورد ترجیح خودتان، تیمتان و کارسپارانتان، حفاظت در برابر</w:t>
      </w:r>
      <w:r w:rsidR="009503D7" w:rsidRPr="0025250D">
        <w:rPr>
          <w:rFonts w:hint="cs"/>
          <w:rtl/>
        </w:rPr>
        <w:t xml:space="preserve"> عدم توازن</w:t>
      </w:r>
      <w:r w:rsidRPr="0025250D">
        <w:rPr>
          <w:rFonts w:hint="cs"/>
          <w:rtl/>
        </w:rPr>
        <w:t xml:space="preserve"> </w:t>
      </w:r>
      <w:r w:rsidR="009503D7" w:rsidRPr="0025250D">
        <w:rPr>
          <w:rFonts w:hint="cs"/>
          <w:rtl/>
        </w:rPr>
        <w:t xml:space="preserve">روش ها </w:t>
      </w:r>
      <w:r w:rsidRPr="0025250D">
        <w:rPr>
          <w:rFonts w:hint="cs"/>
          <w:rtl/>
        </w:rPr>
        <w:t xml:space="preserve">یا اصلاح </w:t>
      </w:r>
      <w:r w:rsidR="009503D7" w:rsidRPr="0025250D">
        <w:rPr>
          <w:rFonts w:hint="cs"/>
          <w:rtl/>
        </w:rPr>
        <w:t>آن</w:t>
      </w:r>
      <w:r w:rsidRPr="0025250D">
        <w:rPr>
          <w:rFonts w:hint="cs"/>
          <w:rtl/>
        </w:rPr>
        <w:t xml:space="preserve">، </w:t>
      </w:r>
      <w:r w:rsidR="00701E03" w:rsidRPr="0025250D">
        <w:rPr>
          <w:rFonts w:hint="cs"/>
          <w:rtl/>
        </w:rPr>
        <w:t>راهبرد</w:t>
      </w:r>
      <w:r w:rsidRPr="0025250D">
        <w:rPr>
          <w:rFonts w:hint="cs"/>
          <w:rtl/>
        </w:rPr>
        <w:t xml:space="preserve"> خوبی برای بهبود شایستگی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است. بیایید اکنون نگاهی به مجموعه‌ای از روش‌های مهم مورد استفاده در هر مهارت </w:t>
      </w:r>
      <w:r w:rsidRPr="0025250D">
        <w:t>LAIS</w:t>
      </w:r>
      <w:r w:rsidRPr="0025250D">
        <w:rPr>
          <w:rFonts w:hint="cs"/>
          <w:rtl/>
        </w:rPr>
        <w:t xml:space="preserve"> داشته باشیم تا درک بهتری از این مهارت در عمل پیدا کنیم.</w:t>
      </w:r>
    </w:p>
    <w:p w14:paraId="73CAABAF" w14:textId="77777777" w:rsidR="00537CC8" w:rsidRPr="0025250D" w:rsidRDefault="00537CC8" w:rsidP="003D3E0A">
      <w:pPr>
        <w:rPr>
          <w:b/>
          <w:bCs/>
          <w:rtl/>
        </w:rPr>
      </w:pPr>
      <w:r w:rsidRPr="0025250D">
        <w:rPr>
          <w:rFonts w:hint="cs"/>
          <w:b/>
          <w:bCs/>
          <w:rtl/>
        </w:rPr>
        <w:t>مروری کلی برای روش‌های یادگیری</w:t>
      </w:r>
    </w:p>
    <w:p w14:paraId="41293DF4" w14:textId="6D19DCCC" w:rsidR="00537CC8" w:rsidRPr="0025250D" w:rsidRDefault="00537CC8" w:rsidP="00537CC8">
      <w:pPr>
        <w:rPr>
          <w:rtl/>
        </w:rPr>
      </w:pPr>
      <w:r w:rsidRPr="0025250D">
        <w:rPr>
          <w:rFonts w:hint="cs"/>
          <w:rtl/>
        </w:rPr>
        <w:t xml:space="preserve">درمورد یادگیری، به جای ارائه یک مرور کلی کارکردی، </w:t>
      </w:r>
      <w:r w:rsidR="007118DE" w:rsidRPr="0025250D">
        <w:rPr>
          <w:rFonts w:hint="cs"/>
          <w:rtl/>
        </w:rPr>
        <w:t>همان‌طور</w:t>
      </w:r>
      <w:r w:rsidRPr="0025250D">
        <w:rPr>
          <w:rFonts w:hint="cs"/>
          <w:rtl/>
        </w:rPr>
        <w:t xml:space="preserve"> که برای سه مهارت </w:t>
      </w:r>
      <w:r w:rsidRPr="0025250D">
        <w:rPr>
          <w:rtl/>
        </w:rPr>
        <w:t>آینده‌نگاری</w:t>
      </w:r>
      <w:r w:rsidRPr="0025250D">
        <w:rPr>
          <w:rFonts w:hint="cs"/>
          <w:rtl/>
        </w:rPr>
        <w:t xml:space="preserve"> کانونی (</w:t>
      </w:r>
      <w:r w:rsidRPr="0025250D">
        <w:t>AIS</w:t>
      </w:r>
      <w:r w:rsidRPr="0025250D">
        <w:rPr>
          <w:rFonts w:hint="cs"/>
          <w:rtl/>
        </w:rPr>
        <w:t>) انجام خواهیم داد، ما تنها دو موضوع، پویش محیطی و مطالعه اسپرینت</w:t>
      </w:r>
      <w:r w:rsidRPr="0025250D">
        <w:rPr>
          <w:vertAlign w:val="superscript"/>
          <w:rtl/>
        </w:rPr>
        <w:footnoteReference w:id="2541"/>
      </w:r>
      <w:r w:rsidRPr="0025250D">
        <w:rPr>
          <w:rFonts w:hint="cs"/>
          <w:rtl/>
        </w:rPr>
        <w:t xml:space="preserve"> را که به طور مشخص برای فرایند یادگیری مفید هستند بررسی خواهیم کرد. اولین موضوع، پویش محیطی، به خوبی به‌عنوان یک ابزار </w:t>
      </w:r>
      <w:r w:rsidRPr="0025250D">
        <w:rPr>
          <w:rtl/>
        </w:rPr>
        <w:t>آینده‌نگاری</w:t>
      </w:r>
      <w:r w:rsidRPr="0025250D">
        <w:rPr>
          <w:rFonts w:hint="cs"/>
          <w:rtl/>
        </w:rPr>
        <w:t xml:space="preserve"> شناخته شده است. مورد دوم، مطالعه اسپرینت اغلب در تحصیل </w:t>
      </w:r>
      <w:r w:rsidRPr="0025250D">
        <w:rPr>
          <w:rtl/>
        </w:rPr>
        <w:t>آینده‌نگاری</w:t>
      </w:r>
      <w:r w:rsidRPr="0025250D">
        <w:rPr>
          <w:rFonts w:hint="cs"/>
          <w:rtl/>
        </w:rPr>
        <w:t xml:space="preserve"> نادیده گرفته می‌شود، با این حال کلیدی برای حداکثر سازی یادگیری در دنیایی </w:t>
      </w:r>
      <w:r w:rsidR="007B3B35" w:rsidRPr="0025250D">
        <w:rPr>
          <w:rFonts w:hint="cs"/>
          <w:rtl/>
        </w:rPr>
        <w:t>شتاب‌گیر</w:t>
      </w:r>
      <w:r w:rsidRPr="0025250D">
        <w:rPr>
          <w:rFonts w:hint="cs"/>
          <w:rtl/>
        </w:rPr>
        <w:t>نده از تولید اطلاعات است.</w:t>
      </w:r>
    </w:p>
    <w:p w14:paraId="663A8A56" w14:textId="77777777" w:rsidR="00537CC8" w:rsidRPr="0025250D" w:rsidRDefault="00537CC8" w:rsidP="00537CC8">
      <w:pPr>
        <w:rPr>
          <w:b/>
          <w:bCs/>
          <w:rtl/>
        </w:rPr>
      </w:pPr>
      <w:r w:rsidRPr="0025250D">
        <w:rPr>
          <w:rFonts w:hint="cs"/>
          <w:b/>
          <w:bCs/>
          <w:rtl/>
        </w:rPr>
        <w:t xml:space="preserve">الف) </w:t>
      </w:r>
      <w:r w:rsidRPr="0025250D">
        <w:rPr>
          <w:b/>
          <w:bCs/>
        </w:rPr>
        <w:t>STEEPLES</w:t>
      </w:r>
      <w:r w:rsidRPr="0025250D">
        <w:rPr>
          <w:rFonts w:hint="cs"/>
          <w:b/>
          <w:bCs/>
          <w:rtl/>
        </w:rPr>
        <w:t xml:space="preserve"> </w:t>
      </w:r>
      <w:r w:rsidRPr="0025250D">
        <w:rPr>
          <w:b/>
          <w:bCs/>
        </w:rPr>
        <w:t>4U</w:t>
      </w:r>
      <w:r w:rsidRPr="0025250D">
        <w:rPr>
          <w:rFonts w:hint="cs"/>
          <w:b/>
          <w:bCs/>
          <w:rtl/>
        </w:rPr>
        <w:t>: پویش محیطی بهتر</w:t>
      </w:r>
    </w:p>
    <w:p w14:paraId="6ED9F721" w14:textId="0D89E0BD" w:rsidR="00537CC8" w:rsidRPr="0025250D" w:rsidRDefault="00537CC8" w:rsidP="00537CC8">
      <w:pPr>
        <w:rPr>
          <w:rtl/>
        </w:rPr>
      </w:pPr>
      <w:r w:rsidRPr="0025250D">
        <w:rPr>
          <w:rFonts w:hint="cs"/>
          <w:rtl/>
        </w:rPr>
        <w:t xml:space="preserve">پویش محیطی شکلی از یادگیری است که شامل پایش محیط خود برای تغییرات مرتبط است. به علاوه، این کار شامل </w:t>
      </w:r>
      <w:r w:rsidR="00B124DE" w:rsidRPr="0025250D">
        <w:rPr>
          <w:rFonts w:hint="cs"/>
          <w:rtl/>
        </w:rPr>
        <w:t>جمع‌آوری</w:t>
      </w:r>
      <w:r w:rsidRPr="0025250D">
        <w:rPr>
          <w:rFonts w:hint="cs"/>
          <w:rtl/>
        </w:rPr>
        <w:t xml:space="preserve"> مثال‌هایی از </w:t>
      </w:r>
      <w:r w:rsidR="00923DDB" w:rsidRPr="0025250D">
        <w:rPr>
          <w:rFonts w:hint="cs"/>
          <w:rtl/>
        </w:rPr>
        <w:t>پیش‌انگاری</w:t>
      </w:r>
      <w:r w:rsidRPr="0025250D">
        <w:rPr>
          <w:rFonts w:hint="cs"/>
          <w:rtl/>
        </w:rPr>
        <w:t xml:space="preserve"> (روندها، پیش‌بینی‌ها، داده ها)، نوآوری‌ها (ایده‌ها، آزمایش ها) و </w:t>
      </w:r>
      <w:r w:rsidR="00701E03" w:rsidRPr="0025250D">
        <w:rPr>
          <w:rFonts w:hint="cs"/>
          <w:rtl/>
        </w:rPr>
        <w:t>راهبرد</w:t>
      </w:r>
      <w:r w:rsidRPr="0025250D">
        <w:rPr>
          <w:rFonts w:hint="cs"/>
          <w:rtl/>
        </w:rPr>
        <w:t xml:space="preserve">‌هایی است که استفاده یا پیشنهاد </w:t>
      </w:r>
      <w:r w:rsidR="00185F3E" w:rsidRPr="0025250D">
        <w:rPr>
          <w:rFonts w:hint="cs"/>
          <w:rtl/>
        </w:rPr>
        <w:t>شده‌اند</w:t>
      </w:r>
      <w:r w:rsidRPr="0025250D">
        <w:rPr>
          <w:rFonts w:hint="cs"/>
          <w:rtl/>
        </w:rPr>
        <w:t xml:space="preserve">. انتخاب تعداد دسته‌های پویش </w:t>
      </w:r>
      <w:r w:rsidRPr="0025250D">
        <w:rPr>
          <w:rFonts w:cs="Times New Roman" w:hint="cs"/>
          <w:rtl/>
        </w:rPr>
        <w:t>–</w:t>
      </w:r>
      <w:r w:rsidRPr="0025250D">
        <w:rPr>
          <w:rFonts w:hint="cs"/>
          <w:rtl/>
        </w:rPr>
        <w:t xml:space="preserve"> </w:t>
      </w:r>
      <w:r w:rsidR="0030078C" w:rsidRPr="0025250D">
        <w:rPr>
          <w:rFonts w:hint="cs"/>
          <w:rtl/>
        </w:rPr>
        <w:t>رسته ها</w:t>
      </w:r>
      <w:r w:rsidR="0030078C" w:rsidRPr="0025250D">
        <w:rPr>
          <w:rStyle w:val="FootnoteReference"/>
          <w:rtl/>
        </w:rPr>
        <w:footnoteReference w:id="2542"/>
      </w:r>
      <w:r w:rsidRPr="0025250D">
        <w:rPr>
          <w:rFonts w:hint="cs"/>
          <w:rtl/>
        </w:rPr>
        <w:t xml:space="preserve"> که برای دسته بندی اطلاعات محیطی از آن‌ها استفاده می‌کنیم </w:t>
      </w:r>
      <w:r w:rsidRPr="0025250D">
        <w:rPr>
          <w:rFonts w:cs="Times New Roman" w:hint="cs"/>
          <w:rtl/>
        </w:rPr>
        <w:t>–</w:t>
      </w:r>
      <w:r w:rsidRPr="0025250D">
        <w:rPr>
          <w:rFonts w:hint="cs"/>
          <w:rtl/>
        </w:rPr>
        <w:t xml:space="preserve"> در نوع، عمق و توازن اطلاعات </w:t>
      </w:r>
      <w:r w:rsidR="00B124DE" w:rsidRPr="0025250D">
        <w:rPr>
          <w:rFonts w:hint="cs"/>
          <w:rtl/>
        </w:rPr>
        <w:t>جمع‌آوری</w:t>
      </w:r>
      <w:r w:rsidRPr="0025250D">
        <w:rPr>
          <w:rFonts w:hint="cs"/>
          <w:rtl/>
        </w:rPr>
        <w:t xml:space="preserve"> شده سوگیری ایجاد می‌کنند</w:t>
      </w:r>
      <w:r w:rsidR="008D6F97" w:rsidRPr="0025250D">
        <w:rPr>
          <w:rtl/>
        </w:rPr>
        <w:t xml:space="preserve">؛ </w:t>
      </w:r>
      <w:r w:rsidRPr="0025250D">
        <w:rPr>
          <w:rFonts w:hint="cs"/>
          <w:rtl/>
        </w:rPr>
        <w:t xml:space="preserve">بنابراین، می‌خواهیم که از مجموعه‌هایی از دسته بندی‌های پویشی که تا حد امکان مرتبط هستند، برای بافت مورد استفاده آن‌ها بهره بگیریم. پویش محیطی همچنین افق پویی نامیده می‌شود زیرا با نظارت بر تغییرات به سمت یک افق آینده </w:t>
      </w:r>
      <w:r w:rsidRPr="0025250D">
        <w:rPr>
          <w:rFonts w:cs="Times New Roman" w:hint="cs"/>
          <w:rtl/>
        </w:rPr>
        <w:t>–</w:t>
      </w:r>
      <w:r w:rsidRPr="0025250D">
        <w:rPr>
          <w:rFonts w:hint="cs"/>
          <w:rtl/>
        </w:rPr>
        <w:t xml:space="preserve">فیزیکی، ذهنی و زمانی </w:t>
      </w:r>
      <w:r w:rsidRPr="0025250D">
        <w:rPr>
          <w:rFonts w:cs="Times New Roman" w:hint="cs"/>
          <w:rtl/>
        </w:rPr>
        <w:t>–</w:t>
      </w:r>
      <w:r w:rsidRPr="0025250D">
        <w:rPr>
          <w:rFonts w:hint="cs"/>
          <w:rtl/>
        </w:rPr>
        <w:t xml:space="preserve"> نگاه می‌کنیم. هر یک از ما یک مجموعه مورد علاقه از افق‌های </w:t>
      </w:r>
      <w:r w:rsidRPr="0025250D">
        <w:rPr>
          <w:rtl/>
        </w:rPr>
        <w:t>آینده‌نگاری</w:t>
      </w:r>
      <w:r w:rsidRPr="0025250D">
        <w:rPr>
          <w:rFonts w:hint="cs"/>
          <w:rtl/>
        </w:rPr>
        <w:t xml:space="preserve"> داریم که عمق و میزان دوردستی نگاه ما (در فضا، زمان و پیچیدگی) برای اهداف مختلف، مانند یادگیری عمومی و ایجاد </w:t>
      </w:r>
      <w:r w:rsidR="00701E03" w:rsidRPr="0025250D">
        <w:rPr>
          <w:rFonts w:hint="cs"/>
          <w:rtl/>
        </w:rPr>
        <w:t>راهبرد</w:t>
      </w:r>
      <w:r w:rsidRPr="0025250D">
        <w:rPr>
          <w:rFonts w:hint="cs"/>
          <w:rtl/>
        </w:rPr>
        <w:t xml:space="preserve">‌ها و </w:t>
      </w:r>
      <w:r w:rsidR="008F0DD8" w:rsidRPr="0025250D">
        <w:rPr>
          <w:rFonts w:hint="cs"/>
          <w:rtl/>
        </w:rPr>
        <w:t>برنامه‌ها</w:t>
      </w:r>
      <w:r w:rsidRPr="0025250D">
        <w:rPr>
          <w:rFonts w:hint="cs"/>
          <w:rtl/>
        </w:rPr>
        <w:t>یمان را نشان می‌دهند.</w:t>
      </w:r>
    </w:p>
    <w:p w14:paraId="3AEAB0CA" w14:textId="0CB33F84" w:rsidR="00537CC8" w:rsidRPr="0025250D" w:rsidRDefault="00537CC8" w:rsidP="00537CC8">
      <w:pPr>
        <w:rPr>
          <w:rtl/>
        </w:rPr>
      </w:pPr>
      <w:r w:rsidRPr="0025250D">
        <w:rPr>
          <w:rFonts w:hint="cs"/>
          <w:rtl/>
        </w:rPr>
        <w:t xml:space="preserve">افق‌های </w:t>
      </w:r>
      <w:r w:rsidRPr="0025250D">
        <w:rPr>
          <w:rtl/>
        </w:rPr>
        <w:t>آینده‌نگاری</w:t>
      </w:r>
      <w:r w:rsidRPr="0025250D">
        <w:rPr>
          <w:rFonts w:hint="cs"/>
          <w:rtl/>
        </w:rPr>
        <w:t xml:space="preserve"> ما باید همواره از افق‌های </w:t>
      </w:r>
      <w:r w:rsidR="00701E03" w:rsidRPr="0025250D">
        <w:rPr>
          <w:rFonts w:hint="cs"/>
          <w:rtl/>
        </w:rPr>
        <w:t>راهبرد</w:t>
      </w:r>
      <w:r w:rsidRPr="0025250D">
        <w:rPr>
          <w:rFonts w:hint="cs"/>
          <w:rtl/>
        </w:rPr>
        <w:t xml:space="preserve"> ما (این که کارکرد یک </w:t>
      </w:r>
      <w:r w:rsidR="00701E03" w:rsidRPr="0025250D">
        <w:rPr>
          <w:rFonts w:hint="cs"/>
          <w:rtl/>
        </w:rPr>
        <w:t>راهبرد</w:t>
      </w:r>
      <w:r w:rsidRPr="0025250D">
        <w:rPr>
          <w:rFonts w:hint="cs"/>
          <w:rtl/>
        </w:rPr>
        <w:t xml:space="preserve"> مشخص را تا کجا می‌بینیم) گسترده‌تر و بلند‌تر باشند. افق‌های </w:t>
      </w:r>
      <w:r w:rsidR="00B124DE" w:rsidRPr="0025250D">
        <w:rPr>
          <w:rFonts w:hint="cs"/>
          <w:rtl/>
        </w:rPr>
        <w:t>برنامه‌ریزی</w:t>
      </w:r>
      <w:r w:rsidRPr="0025250D">
        <w:rPr>
          <w:rFonts w:hint="cs"/>
          <w:rtl/>
        </w:rPr>
        <w:t xml:space="preserve"> ما باید حتی کوتاه‌تر هم باشند. اگر برای زمان بیش از اندازه بلند یا با جزئیات بیش از اندازه زیاد </w:t>
      </w:r>
      <w:r w:rsidR="00B124DE" w:rsidRPr="0025250D">
        <w:rPr>
          <w:rFonts w:hint="cs"/>
          <w:rtl/>
        </w:rPr>
        <w:t>برنامه‌ریزی</w:t>
      </w:r>
      <w:r w:rsidRPr="0025250D">
        <w:rPr>
          <w:rFonts w:hint="cs"/>
          <w:rtl/>
        </w:rPr>
        <w:t xml:space="preserve"> کنیم، دائما در حال اصلاح برنامه‌های خود خواهیم بود. برای برخی، افق‌های </w:t>
      </w:r>
      <w:r w:rsidR="00701E03" w:rsidRPr="0025250D">
        <w:rPr>
          <w:rFonts w:hint="cs"/>
          <w:rtl/>
        </w:rPr>
        <w:t>راهبرد</w:t>
      </w:r>
      <w:r w:rsidRPr="0025250D">
        <w:rPr>
          <w:rFonts w:hint="cs"/>
          <w:rtl/>
        </w:rPr>
        <w:t xml:space="preserve"> شاید در حد یک فصل یا یک ربع قرن آینده باشند </w:t>
      </w:r>
      <w:r w:rsidRPr="0025250D">
        <w:rPr>
          <w:rFonts w:cs="Times New Roman" w:hint="cs"/>
          <w:rtl/>
        </w:rPr>
        <w:t>–</w:t>
      </w:r>
      <w:r w:rsidRPr="0025250D">
        <w:rPr>
          <w:rFonts w:hint="cs"/>
          <w:rtl/>
        </w:rPr>
        <w:t xml:space="preserve"> برای دیگران، شاید برای 50 سال آینده. دانستن این که هم اکنون افق‌های ما در کجا قرار دارند و آیا برای شرایط و کارسپار ما </w:t>
      </w:r>
      <w:r w:rsidR="00AE5BE0" w:rsidRPr="0025250D">
        <w:rPr>
          <w:rFonts w:hint="cs"/>
          <w:rtl/>
        </w:rPr>
        <w:t>انطباقی</w:t>
      </w:r>
      <w:r w:rsidRPr="0025250D">
        <w:rPr>
          <w:rFonts w:hint="cs"/>
          <w:rtl/>
        </w:rPr>
        <w:t xml:space="preserve"> می‌باشند یا خیر اهمیت دارد.</w:t>
      </w:r>
    </w:p>
    <w:p w14:paraId="588CFC57" w14:textId="2B619D60" w:rsidR="00537CC8" w:rsidRPr="0025250D" w:rsidRDefault="00537CC8" w:rsidP="00537CC8">
      <w:pPr>
        <w:rPr>
          <w:rtl/>
        </w:rPr>
      </w:pPr>
      <w:r w:rsidRPr="0025250D">
        <w:rPr>
          <w:rFonts w:hint="cs"/>
          <w:rtl/>
        </w:rPr>
        <w:t xml:space="preserve">یک </w:t>
      </w:r>
      <w:r w:rsidRPr="0025250D">
        <w:rPr>
          <w:rtl/>
        </w:rPr>
        <w:t>حساب سرانگشت</w:t>
      </w:r>
      <w:r w:rsidRPr="0025250D">
        <w:rPr>
          <w:rFonts w:hint="cs"/>
          <w:rtl/>
        </w:rPr>
        <w:t xml:space="preserve">ی از افق‌های </w:t>
      </w:r>
      <w:r w:rsidRPr="0025250D">
        <w:rPr>
          <w:rtl/>
        </w:rPr>
        <w:t>آینده‌نگاری</w:t>
      </w:r>
      <w:r w:rsidRPr="0025250D">
        <w:rPr>
          <w:rFonts w:hint="cs"/>
          <w:rtl/>
        </w:rPr>
        <w:t xml:space="preserve"> این است که اغلب تلاش داریم </w:t>
      </w:r>
      <w:r w:rsidR="002C61FC" w:rsidRPr="0025250D">
        <w:rPr>
          <w:rtl/>
        </w:rPr>
        <w:t>«</w:t>
      </w:r>
      <w:r w:rsidRPr="0025250D">
        <w:rPr>
          <w:rFonts w:hint="cs"/>
          <w:rtl/>
        </w:rPr>
        <w:t>از خارج به داخل</w:t>
      </w:r>
      <w:r w:rsidR="002C61FC" w:rsidRPr="0025250D">
        <w:rPr>
          <w:rtl/>
        </w:rPr>
        <w:t>»</w:t>
      </w:r>
      <w:r w:rsidRPr="0025250D">
        <w:rPr>
          <w:rFonts w:hint="cs"/>
          <w:rtl/>
        </w:rPr>
        <w:t xml:space="preserve"> کار کنیم. ما ابتدا به بزرگترین </w:t>
      </w:r>
      <w:r w:rsidR="008D6F97" w:rsidRPr="0025250D">
        <w:rPr>
          <w:rFonts w:hint="cs"/>
          <w:rtl/>
        </w:rPr>
        <w:t>سامانه‌</w:t>
      </w:r>
      <w:r w:rsidRPr="0025250D">
        <w:rPr>
          <w:rFonts w:hint="cs"/>
          <w:rtl/>
        </w:rPr>
        <w:t xml:space="preserve">‌های فراگیر و جهانی مرتبط با مسئله خود نگاه می‌کنیم، سپس، </w:t>
      </w:r>
      <w:r w:rsidR="008D6F97" w:rsidRPr="0025250D">
        <w:rPr>
          <w:rFonts w:hint="cs"/>
          <w:rtl/>
        </w:rPr>
        <w:t>سامانه‌</w:t>
      </w:r>
      <w:r w:rsidRPr="0025250D">
        <w:rPr>
          <w:rFonts w:hint="cs"/>
          <w:rtl/>
        </w:rPr>
        <w:t xml:space="preserve"> به </w:t>
      </w:r>
      <w:r w:rsidR="008D6F97" w:rsidRPr="0025250D">
        <w:rPr>
          <w:rFonts w:hint="cs"/>
          <w:rtl/>
        </w:rPr>
        <w:t>سامانه‌</w:t>
      </w:r>
      <w:r w:rsidRPr="0025250D">
        <w:rPr>
          <w:rFonts w:hint="cs"/>
          <w:rtl/>
        </w:rPr>
        <w:t xml:space="preserve">، به سمت داخل حرکت می‌کنیم. </w:t>
      </w:r>
      <w:r w:rsidR="008D6F97" w:rsidRPr="0025250D">
        <w:rPr>
          <w:rFonts w:hint="cs"/>
          <w:rtl/>
        </w:rPr>
        <w:t>سامانه‌</w:t>
      </w:r>
      <w:r w:rsidRPr="0025250D">
        <w:rPr>
          <w:rFonts w:hint="cs"/>
          <w:rtl/>
        </w:rPr>
        <w:t xml:space="preserve">‌های بزرگتر و حاضر در همه جا، به طور کلی، مواردی هستند که کم‌ترین توانایی را برای کنترل آن‌ها داریم. متعاقبا، گزینه‌ها و تصمیمات </w:t>
      </w:r>
      <w:r w:rsidR="00701E03" w:rsidRPr="0025250D">
        <w:rPr>
          <w:rFonts w:hint="cs"/>
          <w:rtl/>
        </w:rPr>
        <w:t>راهبردی</w:t>
      </w:r>
      <w:r w:rsidRPr="0025250D">
        <w:rPr>
          <w:rFonts w:hint="cs"/>
          <w:rtl/>
        </w:rPr>
        <w:t xml:space="preserve"> ما همواره با پیمایش بیش‌تر به سمت داخل در افق هایمان، افزایش می‌یابند.</w:t>
      </w:r>
    </w:p>
    <w:p w14:paraId="33B96FF8" w14:textId="58907506" w:rsidR="00537CC8" w:rsidRPr="0025250D" w:rsidRDefault="00537CC8" w:rsidP="00537CC8">
      <w:pPr>
        <w:rPr>
          <w:rtl/>
        </w:rPr>
      </w:pPr>
      <w:r w:rsidRPr="0025250D">
        <w:rPr>
          <w:rFonts w:hint="cs"/>
          <w:rtl/>
        </w:rPr>
        <w:t xml:space="preserve">می‌توانیم این دیدگاه </w:t>
      </w:r>
      <w:r w:rsidR="002C61FC" w:rsidRPr="0025250D">
        <w:rPr>
          <w:rtl/>
        </w:rPr>
        <w:t>«</w:t>
      </w:r>
      <w:r w:rsidRPr="0025250D">
        <w:rPr>
          <w:rFonts w:hint="cs"/>
          <w:rtl/>
        </w:rPr>
        <w:t>خارج به داخل</w:t>
      </w:r>
      <w:r w:rsidR="002C61FC" w:rsidRPr="0025250D">
        <w:rPr>
          <w:rtl/>
        </w:rPr>
        <w:t>»</w:t>
      </w:r>
      <w:r w:rsidRPr="0025250D">
        <w:rPr>
          <w:rFonts w:hint="cs"/>
          <w:rtl/>
        </w:rPr>
        <w:t xml:space="preserve"> را برای شش دامنه </w:t>
      </w:r>
      <w:r w:rsidRPr="0025250D">
        <w:rPr>
          <w:rtl/>
        </w:rPr>
        <w:t>آینده‌نگاری</w:t>
      </w:r>
      <w:r w:rsidRPr="0025250D">
        <w:rPr>
          <w:rFonts w:hint="cs"/>
          <w:rtl/>
        </w:rPr>
        <w:t xml:space="preserve"> </w:t>
      </w:r>
      <w:r w:rsidR="00AE5BE0" w:rsidRPr="0025250D">
        <w:rPr>
          <w:rFonts w:hint="cs"/>
          <w:rtl/>
        </w:rPr>
        <w:t>انطباقی</w:t>
      </w:r>
      <w:r w:rsidRPr="0025250D">
        <w:rPr>
          <w:rFonts w:hint="cs"/>
          <w:rtl/>
        </w:rPr>
        <w:t xml:space="preserve"> به کار ببریم و به ترتیب "</w:t>
      </w:r>
      <w:r w:rsidRPr="0025250D">
        <w:t>UGSTOS</w:t>
      </w:r>
      <w:r w:rsidRPr="0025250D">
        <w:rPr>
          <w:rFonts w:hint="cs"/>
          <w:rtl/>
        </w:rPr>
        <w:t xml:space="preserve">" از میان آن‌ها حرکت کنیم. برای مثال، برای رسیدن به </w:t>
      </w:r>
      <w:r w:rsidRPr="0025250D">
        <w:rPr>
          <w:rtl/>
        </w:rPr>
        <w:t>آینده‌نگاری</w:t>
      </w:r>
      <w:r w:rsidRPr="0025250D">
        <w:rPr>
          <w:rFonts w:hint="cs"/>
          <w:rtl/>
        </w:rPr>
        <w:t xml:space="preserve"> تیمی و فردی در پایان، می‌توانیم با اتخاذ یک دیدگاه فراگیر، با هر موضوع و روند سیاره‌ای مرتبط آغاز کنیم، سپس مسائل و روند‌های جهانی، </w:t>
      </w:r>
      <w:r w:rsidR="00B04238" w:rsidRPr="0025250D">
        <w:rPr>
          <w:rFonts w:hint="cs"/>
          <w:rtl/>
        </w:rPr>
        <w:t>بعد</w:t>
      </w:r>
      <w:r w:rsidRPr="0025250D">
        <w:rPr>
          <w:rFonts w:hint="cs"/>
          <w:rtl/>
        </w:rPr>
        <w:t xml:space="preserve"> موارد اجتماعی (ملی، منطقه ای، محلی)، سپس سازمانی و تیمی را در نظر بگیریم و در نهایت کار خود را با مدیریت فردی پایان دهیم. این ترتیب خارج به داخلی شانس عدم فراموشی آنچه خارج از ما که می‌تواند به ما برای بهبود </w:t>
      </w:r>
      <w:r w:rsidR="00701E03" w:rsidRPr="0025250D">
        <w:rPr>
          <w:rFonts w:hint="cs"/>
          <w:rtl/>
        </w:rPr>
        <w:t>راهبرد</w:t>
      </w:r>
      <w:r w:rsidRPr="0025250D">
        <w:rPr>
          <w:rFonts w:hint="cs"/>
          <w:rtl/>
        </w:rPr>
        <w:t xml:space="preserve"> و </w:t>
      </w:r>
      <w:r w:rsidR="008F0DD8" w:rsidRPr="0025250D">
        <w:rPr>
          <w:rFonts w:hint="cs"/>
          <w:rtl/>
        </w:rPr>
        <w:t>برنامه‌ها</w:t>
      </w:r>
      <w:r w:rsidRPr="0025250D">
        <w:rPr>
          <w:rFonts w:hint="cs"/>
          <w:rtl/>
        </w:rPr>
        <w:t>یمان کمک کند را افزایش می‌دهد.</w:t>
      </w:r>
    </w:p>
    <w:p w14:paraId="6C09592E" w14:textId="5DA5B94D" w:rsidR="00537CC8" w:rsidRPr="0025250D" w:rsidRDefault="00537CC8" w:rsidP="00537CC8">
      <w:pPr>
        <w:rPr>
          <w:rtl/>
        </w:rPr>
      </w:pPr>
      <w:r w:rsidRPr="0025250D">
        <w:rPr>
          <w:rFonts w:hint="cs"/>
          <w:rtl/>
        </w:rPr>
        <w:t xml:space="preserve">در مقابل، اگر </w:t>
      </w:r>
      <w:r w:rsidRPr="0025250D">
        <w:rPr>
          <w:rtl/>
        </w:rPr>
        <w:t>آینده‌نگاری</w:t>
      </w:r>
      <w:r w:rsidRPr="0025250D">
        <w:rPr>
          <w:rFonts w:hint="cs"/>
          <w:rtl/>
        </w:rPr>
        <w:t xml:space="preserve"> سازمانی یا اجتماعی تولید می‌کنیم، ممکن است ابتدا به طور خلاصه دیدگاه‌های فراگیر و جهانی را اتخاذ کنیم و به تغییرات جمعی نگاه کنیم، سپس دیدگاه‌های فردی و تیمی داشته باشیم و بر تغییرات فردی تأکید نمایم و سپس دیدگاه‌های سازمانی و اجتماعی را در نظر بگیریم و هم به آینده‌های مرجح و هم به آینده‌های قابل اجتناب نگاه کنیم و </w:t>
      </w:r>
      <w:r w:rsidR="00701E03" w:rsidRPr="0025250D">
        <w:rPr>
          <w:rFonts w:hint="cs"/>
          <w:rtl/>
        </w:rPr>
        <w:t>راهبرد</w:t>
      </w:r>
      <w:r w:rsidRPr="0025250D">
        <w:rPr>
          <w:rFonts w:hint="cs"/>
          <w:rtl/>
        </w:rPr>
        <w:t>‌های مشارکتی و رقابتی را در دورنمای ترجیحی متصور شویم.</w:t>
      </w:r>
    </w:p>
    <w:p w14:paraId="3DAF1C9E" w14:textId="384FF9F0" w:rsidR="00537CC8" w:rsidRPr="0025250D" w:rsidRDefault="00537CC8" w:rsidP="00537CC8">
      <w:pPr>
        <w:rPr>
          <w:rtl/>
        </w:rPr>
      </w:pPr>
      <w:r w:rsidRPr="0025250D">
        <w:t>STEEPLES</w:t>
      </w:r>
      <w:r w:rsidRPr="0025250D">
        <w:rPr>
          <w:rFonts w:hint="cs"/>
          <w:rtl/>
        </w:rPr>
        <w:t xml:space="preserve"> </w:t>
      </w:r>
      <w:r w:rsidR="008D6F97" w:rsidRPr="0025250D">
        <w:rPr>
          <w:rFonts w:hint="cs"/>
          <w:rtl/>
        </w:rPr>
        <w:t>سامانه‌</w:t>
      </w:r>
      <w:r w:rsidRPr="0025250D">
        <w:rPr>
          <w:rFonts w:hint="cs"/>
          <w:rtl/>
        </w:rPr>
        <w:t xml:space="preserve"> پویشی است که در دانشگاه </w:t>
      </w:r>
      <w:r w:rsidRPr="0025250D">
        <w:rPr>
          <w:rtl/>
        </w:rPr>
        <w:t>آینده‌نگاری</w:t>
      </w:r>
      <w:r w:rsidRPr="0025250D">
        <w:rPr>
          <w:rFonts w:hint="cs"/>
          <w:rtl/>
        </w:rPr>
        <w:t xml:space="preserve"> برای </w:t>
      </w:r>
      <w:r w:rsidRPr="0025250D">
        <w:rPr>
          <w:rtl/>
        </w:rPr>
        <w:t>آینده‌نگاری</w:t>
      </w:r>
      <w:r w:rsidRPr="0025250D">
        <w:rPr>
          <w:rFonts w:hint="cs"/>
          <w:rtl/>
        </w:rPr>
        <w:t xml:space="preserve"> سازمانی و اجتماعی عمومی از آن استفاده می‌کنیم. هشت دسته بندی </w:t>
      </w:r>
      <w:r w:rsidRPr="0025250D">
        <w:t>STEEPLES</w:t>
      </w:r>
      <w:r w:rsidRPr="0025250D">
        <w:rPr>
          <w:rFonts w:hint="cs"/>
          <w:rtl/>
        </w:rPr>
        <w:t xml:space="preserve"> شامل علم، </w:t>
      </w:r>
      <w:r w:rsidR="007A53FD" w:rsidRPr="0025250D">
        <w:rPr>
          <w:rFonts w:hint="cs"/>
          <w:rtl/>
        </w:rPr>
        <w:t>فناوری</w:t>
      </w:r>
      <w:r w:rsidRPr="0025250D">
        <w:rPr>
          <w:rFonts w:hint="cs"/>
          <w:rtl/>
        </w:rPr>
        <w:t>، اقتصاد، محیط، سیاست، قانون، اخلاق و جامعه هستند. برای به یاد داشتن کلمه اختصاری، موانع</w:t>
      </w:r>
      <w:r w:rsidRPr="0025250D">
        <w:rPr>
          <w:vertAlign w:val="superscript"/>
          <w:rtl/>
        </w:rPr>
        <w:footnoteReference w:id="2543"/>
      </w:r>
      <w:r w:rsidRPr="0025250D">
        <w:rPr>
          <w:rFonts w:hint="cs"/>
          <w:rtl/>
        </w:rPr>
        <w:t xml:space="preserve"> مسابقه اسب دوانی</w:t>
      </w:r>
      <w:r w:rsidRPr="0025250D">
        <w:rPr>
          <w:vertAlign w:val="superscript"/>
          <w:rtl/>
        </w:rPr>
        <w:footnoteReference w:id="2544"/>
      </w:r>
      <w:r w:rsidRPr="0025250D">
        <w:rPr>
          <w:rFonts w:hint="cs"/>
          <w:rtl/>
        </w:rPr>
        <w:t xml:space="preserve"> را به یاد داشته باشید. این هشت دسته موانعی هستند که فرایند‌های </w:t>
      </w:r>
      <w:r w:rsidRPr="0025250D">
        <w:rPr>
          <w:rtl/>
        </w:rPr>
        <w:t>آینده‌نگاری</w:t>
      </w:r>
      <w:r w:rsidRPr="0025250D">
        <w:rPr>
          <w:rFonts w:hint="cs"/>
          <w:rtl/>
        </w:rPr>
        <w:t xml:space="preserve"> سازمانی-اجتماعی باید برای تولید </w:t>
      </w:r>
      <w:r w:rsidR="00701E03" w:rsidRPr="0025250D">
        <w:rPr>
          <w:rFonts w:hint="cs"/>
          <w:rtl/>
        </w:rPr>
        <w:t>راهبرد</w:t>
      </w:r>
      <w:r w:rsidRPr="0025250D">
        <w:rPr>
          <w:rFonts w:hint="cs"/>
          <w:rtl/>
        </w:rPr>
        <w:t xml:space="preserve"> و عمل رقابتی در نظر بگیرند. </w:t>
      </w:r>
      <w:r w:rsidRPr="0025250D">
        <w:t>STEEPLES</w:t>
      </w:r>
      <w:r w:rsidRPr="0025250D">
        <w:rPr>
          <w:rFonts w:hint="cs"/>
          <w:rtl/>
        </w:rPr>
        <w:t xml:space="preserve"> این دسته‌های کلیدی را با ترتیبی تقریبی از سرعت تغییر و تأثیر </w:t>
      </w:r>
      <w:r w:rsidRPr="0025250D">
        <w:t>ADOR</w:t>
      </w:r>
      <w:r w:rsidRPr="0025250D">
        <w:rPr>
          <w:rFonts w:hint="cs"/>
          <w:rtl/>
        </w:rPr>
        <w:t xml:space="preserve"> آن‌ها در حوزه‌های سازمانی و اجتماعی مرتب می‌کند.</w:t>
      </w:r>
    </w:p>
    <w:p w14:paraId="01E9AA40" w14:textId="38E645AA" w:rsidR="00537CC8" w:rsidRPr="0025250D" w:rsidRDefault="00537CC8" w:rsidP="00537CC8">
      <w:pPr>
        <w:rPr>
          <w:rtl/>
        </w:rPr>
      </w:pPr>
      <w:r w:rsidRPr="0025250D">
        <w:rPr>
          <w:rFonts w:hint="cs"/>
          <w:rtl/>
        </w:rPr>
        <w:t xml:space="preserve">برای انجام </w:t>
      </w:r>
      <w:r w:rsidRPr="0025250D">
        <w:rPr>
          <w:rtl/>
        </w:rPr>
        <w:t>آینده‌نگاری</w:t>
      </w:r>
      <w:r w:rsidRPr="0025250D">
        <w:rPr>
          <w:rFonts w:hint="cs"/>
          <w:rtl/>
        </w:rPr>
        <w:t xml:space="preserve"> خوب، به درکی پایه‌ای از نظر متخصصین درمورد علم موجود در پس </w:t>
      </w:r>
      <w:r w:rsidR="007A53FD" w:rsidRPr="0025250D">
        <w:rPr>
          <w:rFonts w:hint="cs"/>
          <w:rtl/>
        </w:rPr>
        <w:t>فناوری</w:t>
      </w:r>
      <w:r w:rsidRPr="0025250D">
        <w:rPr>
          <w:rFonts w:hint="cs"/>
          <w:rtl/>
        </w:rPr>
        <w:t xml:space="preserve">‌های مرتبط، نرخ بهبود آن‌ها و موانع و محدودیت‌های فعلی آن‌ها از نظر متخصصین نیاز داریم. علم (درک ما) می‌تواند قیدی قوی درمورد تغییر </w:t>
      </w:r>
      <w:r w:rsidR="007A53FD" w:rsidRPr="0025250D">
        <w:rPr>
          <w:rFonts w:hint="cs"/>
          <w:rtl/>
        </w:rPr>
        <w:t>فناورانه</w:t>
      </w:r>
      <w:r w:rsidRPr="0025250D">
        <w:rPr>
          <w:rFonts w:hint="cs"/>
          <w:rtl/>
        </w:rPr>
        <w:t xml:space="preserve"> باشد. بسیاری از ب</w:t>
      </w:r>
      <w:r w:rsidR="00121A3D" w:rsidRPr="0025250D">
        <w:rPr>
          <w:rFonts w:hint="cs"/>
          <w:rtl/>
        </w:rPr>
        <w:t>ر</w:t>
      </w:r>
      <w:r w:rsidRPr="0025250D">
        <w:rPr>
          <w:rFonts w:hint="cs"/>
          <w:rtl/>
        </w:rPr>
        <w:t xml:space="preserve">رسی‌های </w:t>
      </w:r>
      <w:r w:rsidRPr="0025250D">
        <w:rPr>
          <w:rtl/>
        </w:rPr>
        <w:t>آینده‌نگاری</w:t>
      </w:r>
      <w:r w:rsidRPr="0025250D">
        <w:rPr>
          <w:rFonts w:hint="cs"/>
          <w:rtl/>
        </w:rPr>
        <w:t xml:space="preserve"> این دسته را در نظر نمی‌گیرند و سبب ضعیف شدن کار خود می‌شوند. تغییر </w:t>
      </w:r>
      <w:r w:rsidR="007A53FD" w:rsidRPr="0025250D">
        <w:rPr>
          <w:rFonts w:hint="cs"/>
          <w:rtl/>
        </w:rPr>
        <w:t>فناورانه</w:t>
      </w:r>
      <w:r w:rsidRPr="0025250D">
        <w:rPr>
          <w:rFonts w:hint="cs"/>
          <w:rtl/>
        </w:rPr>
        <w:t xml:space="preserve"> مهم‌ترین عامل بعدی است و عاملی است که ما معمولاً به‌عنوان مسبب تغییر اجتماعی در نظر می‌گیریم (در حقیقت، علم بسیاری از تغییرات </w:t>
      </w:r>
      <w:r w:rsidR="007A53FD" w:rsidRPr="0025250D">
        <w:rPr>
          <w:rFonts w:hint="cs"/>
          <w:rtl/>
        </w:rPr>
        <w:t>فناورانه</w:t>
      </w:r>
      <w:r w:rsidRPr="0025250D">
        <w:rPr>
          <w:rFonts w:hint="cs"/>
          <w:rtl/>
        </w:rPr>
        <w:t xml:space="preserve"> را ممکن می‌سازد). ما اقتصاد/کارآفرینی را قبل از محیط قرار می‌دهیم، زیرا در دنیای دیجیتالی ما، نوآوری‌ها و تولید ثروت و تولید محصول و خدمات نمایی اکنون بسیار سریع‌تر از تغییر محیطی (منابع و اکو</w:t>
      </w:r>
      <w:r w:rsidR="008D6F97" w:rsidRPr="0025250D">
        <w:rPr>
          <w:rFonts w:hint="cs"/>
          <w:rtl/>
        </w:rPr>
        <w:t>سامانه‌</w:t>
      </w:r>
      <w:r w:rsidRPr="0025250D">
        <w:rPr>
          <w:rFonts w:hint="cs"/>
          <w:rtl/>
        </w:rPr>
        <w:t xml:space="preserve">) رخ می‌دهند و </w:t>
      </w:r>
      <w:r w:rsidR="00D92F6E" w:rsidRPr="0025250D">
        <w:rPr>
          <w:rFonts w:hint="cs"/>
          <w:rtl/>
        </w:rPr>
        <w:t>بنیان‌افکن</w:t>
      </w:r>
      <w:r w:rsidRPr="0025250D">
        <w:rPr>
          <w:rFonts w:hint="cs"/>
          <w:rtl/>
        </w:rPr>
        <w:t>‌تر هستند.</w:t>
      </w:r>
    </w:p>
    <w:p w14:paraId="7C350C59" w14:textId="28C43278" w:rsidR="00537CC8" w:rsidRPr="0025250D" w:rsidRDefault="00537CC8" w:rsidP="00537CC8">
      <w:pPr>
        <w:rPr>
          <w:rtl/>
        </w:rPr>
      </w:pPr>
      <w:r w:rsidRPr="0025250D">
        <w:rPr>
          <w:rFonts w:hint="cs"/>
          <w:rtl/>
        </w:rPr>
        <w:t xml:space="preserve">تغییرات </w:t>
      </w:r>
      <w:r w:rsidRPr="0025250D">
        <w:t>PLES</w:t>
      </w:r>
      <w:r w:rsidRPr="0025250D">
        <w:rPr>
          <w:rFonts w:hint="cs"/>
          <w:rtl/>
        </w:rPr>
        <w:t xml:space="preserve"> پایدار (سیاسی، قانونی، اخلاقی و اجتماعی) معمولاً کم‌تر از بقیه اتفاق می‌افتند و اغلب کنشگرانه نیستند (ایدئال ما برای </w:t>
      </w:r>
      <w:r w:rsidRPr="0025250D">
        <w:rPr>
          <w:rtl/>
        </w:rPr>
        <w:t>آینده‌نگاری</w:t>
      </w:r>
      <w:r w:rsidRPr="0025250D">
        <w:rPr>
          <w:rFonts w:hint="cs"/>
          <w:rtl/>
        </w:rPr>
        <w:t xml:space="preserve">) بلکه واکنشی و در پاسخ به تغییرات </w:t>
      </w:r>
      <w:r w:rsidRPr="0025250D">
        <w:t>STEE</w:t>
      </w:r>
      <w:r w:rsidRPr="0025250D">
        <w:rPr>
          <w:rFonts w:hint="cs"/>
          <w:rtl/>
        </w:rPr>
        <w:t xml:space="preserve"> هستند. این یک مزیت دیگر </w:t>
      </w:r>
      <w:r w:rsidR="00B13F65" w:rsidRPr="0025250D">
        <w:rPr>
          <w:rFonts w:hint="cs"/>
          <w:rtl/>
        </w:rPr>
        <w:t>چارچوب</w:t>
      </w:r>
      <w:r w:rsidRPr="0025250D">
        <w:rPr>
          <w:rFonts w:hint="cs"/>
          <w:rtl/>
        </w:rPr>
        <w:t xml:space="preserve"> پویش</w:t>
      </w:r>
      <w:r w:rsidR="008D6F97" w:rsidRPr="0025250D">
        <w:rPr>
          <w:rtl/>
        </w:rPr>
        <w:t xml:space="preserve"> </w:t>
      </w:r>
      <w:r w:rsidRPr="0025250D">
        <w:t>STEEPLES</w:t>
      </w:r>
      <w:r w:rsidRPr="0025250D">
        <w:rPr>
          <w:rFonts w:hint="cs"/>
          <w:rtl/>
        </w:rPr>
        <w:t xml:space="preserve"> است. این </w:t>
      </w:r>
      <w:r w:rsidR="00B13F65" w:rsidRPr="0025250D">
        <w:rPr>
          <w:rFonts w:hint="cs"/>
          <w:rtl/>
        </w:rPr>
        <w:t>چارچوب</w:t>
      </w:r>
      <w:r w:rsidRPr="0025250D">
        <w:rPr>
          <w:rFonts w:hint="cs"/>
          <w:rtl/>
        </w:rPr>
        <w:t xml:space="preserve"> ما را به تفکر توسعه‌ای در درجه اول، سپس تفکر تکاملی و به بیان دیگر، به ترتیب مهارت‌های </w:t>
      </w:r>
      <w:r w:rsidRPr="0025250D">
        <w:t>LAIS</w:t>
      </w:r>
      <w:r w:rsidRPr="0025250D">
        <w:rPr>
          <w:rFonts w:hint="cs"/>
          <w:rtl/>
        </w:rPr>
        <w:t xml:space="preserve"> تشویق می‌کند.</w:t>
      </w:r>
    </w:p>
    <w:p w14:paraId="1A27ADE5" w14:textId="6229DEF5" w:rsidR="00537CC8" w:rsidRPr="0025250D" w:rsidRDefault="00537CC8" w:rsidP="003D3E0A">
      <w:pPr>
        <w:jc w:val="center"/>
        <w:rPr>
          <w:rtl/>
        </w:rPr>
      </w:pPr>
    </w:p>
    <w:p w14:paraId="75428144" w14:textId="4ED67B66" w:rsidR="006E785C" w:rsidRPr="0025250D" w:rsidRDefault="006E785C" w:rsidP="003D3E0A">
      <w:pPr>
        <w:jc w:val="center"/>
        <w:rPr>
          <w:rtl/>
        </w:rPr>
      </w:pPr>
      <w:r w:rsidRPr="0025250D">
        <w:rPr>
          <w:noProof/>
          <w:lang w:bidi="ar-SA"/>
        </w:rPr>
        <w:drawing>
          <wp:inline distT="0" distB="0" distL="0" distR="0" wp14:anchorId="1548D318" wp14:editId="40055C8A">
            <wp:extent cx="4679950" cy="3946525"/>
            <wp:effectExtent l="0" t="0" r="635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cstate="screen">
                      <a:extLst>
                        <a:ext uri="{BEBA8EAE-BF5A-486C-A8C5-ECC9F3942E4B}">
                          <a14:imgProps xmlns:a14="http://schemas.microsoft.com/office/drawing/2010/main">
                            <a14:imgLayer r:embed="rId252">
                              <a14:imgEffect>
                                <a14:saturation sat="0"/>
                              </a14:imgEffect>
                            </a14:imgLayer>
                          </a14:imgProps>
                        </a:ext>
                        <a:ext uri="{28A0092B-C50C-407E-A947-70E740481C1C}">
                          <a14:useLocalDpi xmlns:a14="http://schemas.microsoft.com/office/drawing/2010/main"/>
                        </a:ext>
                      </a:extLst>
                    </a:blip>
                    <a:stretch>
                      <a:fillRect/>
                    </a:stretch>
                  </pic:blipFill>
                  <pic:spPr>
                    <a:xfrm>
                      <a:off x="0" y="0"/>
                      <a:ext cx="4679950" cy="3946525"/>
                    </a:xfrm>
                    <a:prstGeom prst="rect">
                      <a:avLst/>
                    </a:prstGeom>
                  </pic:spPr>
                </pic:pic>
              </a:graphicData>
            </a:graphic>
          </wp:inline>
        </w:drawing>
      </w:r>
    </w:p>
    <w:p w14:paraId="7F46E276" w14:textId="73607A11" w:rsidR="00537CC8" w:rsidRPr="0025250D" w:rsidRDefault="00537CC8" w:rsidP="00537CC8">
      <w:pPr>
        <w:rPr>
          <w:rtl/>
        </w:rPr>
      </w:pPr>
      <w:r w:rsidRPr="0025250D">
        <w:rPr>
          <w:rFonts w:hint="cs"/>
          <w:rtl/>
        </w:rPr>
        <w:t xml:space="preserve">برای ترویج آگاهی </w:t>
      </w:r>
      <w:r w:rsidR="007B3B35" w:rsidRPr="0025250D">
        <w:rPr>
          <w:rFonts w:hint="cs"/>
          <w:rtl/>
        </w:rPr>
        <w:t>شتاب‌گیر</w:t>
      </w:r>
      <w:r w:rsidRPr="0025250D">
        <w:rPr>
          <w:rFonts w:hint="cs"/>
          <w:rtl/>
        </w:rPr>
        <w:t xml:space="preserve">نده و تکاملی-توسعه ای، برخی اوقات در تصاویر خود دو دسته اول را با رنگ آبی نشان می‌دهیم (مبتنی بر احتمال، توسعه ای) و 6 دسته دیگر را سبز رنگ می‌کنیم (مبتنی بر </w:t>
      </w:r>
      <w:r w:rsidR="00B453C0" w:rsidRPr="0025250D">
        <w:rPr>
          <w:rFonts w:hint="cs"/>
          <w:rtl/>
        </w:rPr>
        <w:t>امکان‌پذیر</w:t>
      </w:r>
      <w:r w:rsidRPr="0025250D">
        <w:rPr>
          <w:rFonts w:hint="cs"/>
          <w:rtl/>
        </w:rPr>
        <w:t xml:space="preserve">ی، تکاملی)، مانند تصویر بالا. در یک فرمول بندی </w:t>
      </w:r>
      <w:r w:rsidR="00563645" w:rsidRPr="0025250D">
        <w:rPr>
          <w:rFonts w:hint="cs"/>
          <w:rtl/>
        </w:rPr>
        <w:t>بدیل</w:t>
      </w:r>
      <w:r w:rsidRPr="0025250D">
        <w:rPr>
          <w:rFonts w:hint="cs"/>
          <w:rtl/>
        </w:rPr>
        <w:t xml:space="preserve"> چهار دسته اول، علم، </w:t>
      </w:r>
      <w:r w:rsidR="007A53FD" w:rsidRPr="0025250D">
        <w:rPr>
          <w:rFonts w:hint="cs"/>
          <w:rtl/>
        </w:rPr>
        <w:t>فناوری</w:t>
      </w:r>
      <w:r w:rsidRPr="0025250D">
        <w:rPr>
          <w:rFonts w:hint="cs"/>
          <w:rtl/>
        </w:rPr>
        <w:t xml:space="preserve">، اقتصاد و محیط را آبی رنگ می‌کنیم. در این حالت به مقیاس </w:t>
      </w:r>
      <w:r w:rsidR="00B56611" w:rsidRPr="0025250D">
        <w:rPr>
          <w:rFonts w:hint="cs"/>
          <w:rtl/>
        </w:rPr>
        <w:t>شتاب‌گیری</w:t>
      </w:r>
      <w:r w:rsidRPr="0025250D">
        <w:rPr>
          <w:rFonts w:hint="cs"/>
          <w:rtl/>
        </w:rPr>
        <w:t xml:space="preserve"> و قدرت کارآفرینی </w:t>
      </w:r>
      <w:r w:rsidR="007A53FD" w:rsidRPr="0025250D">
        <w:rPr>
          <w:rFonts w:hint="cs"/>
          <w:rtl/>
        </w:rPr>
        <w:t>فناوری</w:t>
      </w:r>
      <w:r w:rsidRPr="0025250D">
        <w:rPr>
          <w:rFonts w:hint="cs"/>
          <w:rtl/>
        </w:rPr>
        <w:t xml:space="preserve"> و بحران‌های محیطی رو</w:t>
      </w:r>
      <w:r w:rsidRPr="0025250D">
        <w:rPr>
          <w:rtl/>
        </w:rPr>
        <w:t xml:space="preserve"> </w:t>
      </w:r>
      <w:r w:rsidRPr="0025250D">
        <w:rPr>
          <w:rFonts w:hint="cs"/>
          <w:rtl/>
        </w:rPr>
        <w:t>به</w:t>
      </w:r>
      <w:r w:rsidRPr="0025250D">
        <w:rPr>
          <w:rtl/>
        </w:rPr>
        <w:t xml:space="preserve"> </w:t>
      </w:r>
      <w:r w:rsidRPr="0025250D">
        <w:rPr>
          <w:rFonts w:hint="cs"/>
          <w:rtl/>
        </w:rPr>
        <w:t>رشد</w:t>
      </w:r>
      <w:r w:rsidRPr="0025250D">
        <w:rPr>
          <w:rtl/>
        </w:rPr>
        <w:t xml:space="preserve"> </w:t>
      </w:r>
      <w:r w:rsidRPr="0025250D">
        <w:rPr>
          <w:rFonts w:hint="cs"/>
          <w:rtl/>
        </w:rPr>
        <w:t xml:space="preserve">(اقلیمی، آبی، از دست رفتن گونه ها) که می‌توانند تغییر </w:t>
      </w:r>
      <w:r w:rsidRPr="0025250D">
        <w:t>PLES</w:t>
      </w:r>
      <w:r w:rsidRPr="0025250D">
        <w:rPr>
          <w:rFonts w:hint="cs"/>
          <w:rtl/>
        </w:rPr>
        <w:t xml:space="preserve"> را تسریع کنند، فکر می‌کنیم. امروزه، شاهد این هستیم که کارآفرینی </w:t>
      </w:r>
      <w:r w:rsidR="00D92F6E" w:rsidRPr="0025250D">
        <w:rPr>
          <w:rFonts w:hint="cs"/>
          <w:rtl/>
        </w:rPr>
        <w:t>بنیان‌افکن</w:t>
      </w:r>
      <w:r w:rsidRPr="0025250D">
        <w:rPr>
          <w:rFonts w:hint="cs"/>
          <w:rtl/>
        </w:rPr>
        <w:t xml:space="preserve"> پشتیبانی شده با علم و </w:t>
      </w:r>
      <w:r w:rsidR="007A53FD" w:rsidRPr="0025250D">
        <w:rPr>
          <w:rFonts w:hint="cs"/>
          <w:rtl/>
        </w:rPr>
        <w:t>فناوری</w:t>
      </w:r>
      <w:r w:rsidRPr="0025250D">
        <w:rPr>
          <w:rFonts w:hint="cs"/>
          <w:rtl/>
        </w:rPr>
        <w:t xml:space="preserve"> بخش‌های بزرگی از اقتصاد ما را تغییر شکل می‌دهد. هم غول‌های </w:t>
      </w:r>
      <w:r w:rsidR="007A53FD" w:rsidRPr="0025250D">
        <w:rPr>
          <w:rFonts w:hint="cs"/>
          <w:rtl/>
        </w:rPr>
        <w:t>فناوری</w:t>
      </w:r>
      <w:r w:rsidRPr="0025250D">
        <w:rPr>
          <w:rFonts w:hint="cs"/>
          <w:rtl/>
        </w:rPr>
        <w:t xml:space="preserve"> بزرگ ما و هم بسیاری از شرکت‌های کوچکتر در ایجاد ارزش در حال رشد هستند. این امر مشکلات اجتماعی جدیدی را ایجاد می‌کند، اما هیچ زمانی بهتر از این</w:t>
      </w:r>
      <w:r w:rsidR="00121A3D" w:rsidRPr="0025250D">
        <w:rPr>
          <w:rFonts w:hint="cs"/>
          <w:rtl/>
        </w:rPr>
        <w:t xml:space="preserve"> زمان</w:t>
      </w:r>
      <w:r w:rsidRPr="0025250D">
        <w:rPr>
          <w:rFonts w:hint="cs"/>
          <w:rtl/>
        </w:rPr>
        <w:t xml:space="preserve"> برای یک سرمایه گذار وجود ندارد.</w:t>
      </w:r>
    </w:p>
    <w:p w14:paraId="5D6AB284" w14:textId="1980A308" w:rsidR="00537CC8" w:rsidRPr="0025250D" w:rsidRDefault="00537CC8" w:rsidP="00537CC8">
      <w:pPr>
        <w:rPr>
          <w:rtl/>
        </w:rPr>
      </w:pPr>
      <w:r w:rsidRPr="0025250D">
        <w:rPr>
          <w:rFonts w:hint="cs"/>
          <w:rtl/>
        </w:rPr>
        <w:t xml:space="preserve">هر دسته </w:t>
      </w:r>
      <w:r w:rsidRPr="0025250D">
        <w:t>STEEPLES</w:t>
      </w:r>
      <w:r w:rsidRPr="0025250D">
        <w:rPr>
          <w:rFonts w:hint="cs"/>
          <w:rtl/>
        </w:rPr>
        <w:t xml:space="preserve"> مخلوطی از آینده‌های محتمل، ممکن، مرجح و قابل اجتناب را در بر دارد. همچنین، طبق قانون 95/5، بیش‌تر تغییرات در هر دسته غیر قابل پیش‌بینی خواهند بود. با این وجود، مدل‌های تکاملی </w:t>
      </w:r>
      <w:r w:rsidRPr="0025250D">
        <w:rPr>
          <w:rFonts w:cs="Times New Roman" w:hint="cs"/>
          <w:rtl/>
        </w:rPr>
        <w:t>–</w:t>
      </w:r>
      <w:r w:rsidRPr="0025250D">
        <w:rPr>
          <w:rFonts w:hint="cs"/>
          <w:rtl/>
        </w:rPr>
        <w:t xml:space="preserve"> توسعه‌ای بیان می‌کنند که مجموعه کوچک تغییرات محتمل (توسعه ای) که در هر دسته اتفاق می‌افتند به اندازه مجموعه بزرگتر تغییرات ممکن (آزمایش‌های تکاملی) برای </w:t>
      </w:r>
      <w:r w:rsidR="00AE5BE0" w:rsidRPr="0025250D">
        <w:rPr>
          <w:rFonts w:hint="cs"/>
          <w:rtl/>
        </w:rPr>
        <w:t>انطباق</w:t>
      </w:r>
      <w:r w:rsidRPr="0025250D">
        <w:rPr>
          <w:rFonts w:hint="cs"/>
          <w:rtl/>
        </w:rPr>
        <w:t xml:space="preserve"> اهمیت دارند. تشخیص این که علم، </w:t>
      </w:r>
      <w:r w:rsidR="007A53FD" w:rsidRPr="0025250D">
        <w:rPr>
          <w:rFonts w:hint="cs"/>
          <w:rtl/>
        </w:rPr>
        <w:t>فناوری</w:t>
      </w:r>
      <w:r w:rsidRPr="0025250D">
        <w:rPr>
          <w:rFonts w:hint="cs"/>
          <w:rtl/>
        </w:rPr>
        <w:t xml:space="preserve"> و کارآفرینی امروزه پیشران‌های برتر متراکم سازی و </w:t>
      </w:r>
      <w:r w:rsidR="000B4A71" w:rsidRPr="0025250D">
        <w:rPr>
          <w:rFonts w:hint="cs"/>
          <w:rtl/>
        </w:rPr>
        <w:t>مادی‌زدایی</w:t>
      </w:r>
      <w:r w:rsidRPr="0025250D">
        <w:rPr>
          <w:rFonts w:hint="cs"/>
          <w:rtl/>
        </w:rPr>
        <w:t xml:space="preserve"> (</w:t>
      </w:r>
      <w:r w:rsidRPr="0025250D">
        <w:t>D&amp;D</w:t>
      </w:r>
      <w:r w:rsidRPr="0025250D">
        <w:rPr>
          <w:rFonts w:hint="cs"/>
          <w:rtl/>
        </w:rPr>
        <w:t xml:space="preserve">) در </w:t>
      </w:r>
      <w:r w:rsidR="008D6F97" w:rsidRPr="0025250D">
        <w:rPr>
          <w:rFonts w:hint="cs"/>
          <w:rtl/>
        </w:rPr>
        <w:t>سامانه‌</w:t>
      </w:r>
      <w:r w:rsidRPr="0025250D">
        <w:rPr>
          <w:rFonts w:hint="cs"/>
          <w:rtl/>
        </w:rPr>
        <w:t xml:space="preserve">‌های انسانی هستند و این که سریع‌تر از بقیه حرکت کرده و بیش‌تر </w:t>
      </w:r>
      <w:r w:rsidRPr="0025250D">
        <w:t>ADOR</w:t>
      </w:r>
      <w:r w:rsidRPr="0025250D">
        <w:rPr>
          <w:rFonts w:hint="cs"/>
          <w:rtl/>
        </w:rPr>
        <w:t>‌های اجتماعی را ایجاد خواهند کرد، از نظر ما یک بینش کلیدی در قرن بیست و یکم است.</w:t>
      </w:r>
    </w:p>
    <w:p w14:paraId="614F5049" w14:textId="5B3C5785" w:rsidR="00537CC8" w:rsidRPr="0025250D" w:rsidRDefault="00537CC8" w:rsidP="00537CC8">
      <w:pPr>
        <w:rPr>
          <w:rtl/>
        </w:rPr>
      </w:pPr>
      <w:r w:rsidRPr="0025250D">
        <w:rPr>
          <w:rFonts w:hint="cs"/>
          <w:rtl/>
        </w:rPr>
        <w:t xml:space="preserve">در </w:t>
      </w:r>
      <w:r w:rsidRPr="0025250D">
        <w:t>BPF</w:t>
      </w:r>
      <w:r w:rsidRPr="0025250D">
        <w:rPr>
          <w:rFonts w:hint="cs"/>
          <w:rtl/>
        </w:rPr>
        <w:t>، برخی مسیر‌ها به سمت آینده‌ای از ایجاد ثروت به شکل فزاینده‌ای پایدار، متراکم</w:t>
      </w:r>
      <w:r w:rsidR="00EC25F0" w:rsidRPr="0025250D">
        <w:rPr>
          <w:rFonts w:hint="cs"/>
          <w:rtl/>
        </w:rPr>
        <w:t xml:space="preserve"> سازی</w:t>
      </w:r>
      <w:r w:rsidRPr="0025250D">
        <w:rPr>
          <w:rFonts w:hint="cs"/>
          <w:rtl/>
        </w:rPr>
        <w:t xml:space="preserve"> و </w:t>
      </w:r>
      <w:r w:rsidR="000B4A71" w:rsidRPr="0025250D">
        <w:rPr>
          <w:rFonts w:hint="cs"/>
          <w:rtl/>
        </w:rPr>
        <w:t>مادی‌زدایی</w:t>
      </w:r>
      <w:r w:rsidRPr="0025250D">
        <w:rPr>
          <w:rFonts w:hint="cs"/>
          <w:rtl/>
        </w:rPr>
        <w:t xml:space="preserve"> شده و برخی پاسخ‌های سیاسی، قانونی، اخلاقی و اجتماعی که می‌توانند ما را ب</w:t>
      </w:r>
      <w:r w:rsidR="00121A3D" w:rsidRPr="0025250D">
        <w:rPr>
          <w:rFonts w:hint="cs"/>
          <w:rtl/>
        </w:rPr>
        <w:t>ه</w:t>
      </w:r>
      <w:r w:rsidRPr="0025250D">
        <w:rPr>
          <w:rFonts w:hint="cs"/>
          <w:rtl/>
        </w:rPr>
        <w:t xml:space="preserve"> آنجا برسانند، ترسیم خواهیم کرد. به نظر ما، در نهایت اقتصادی خواهیم ساخت که فراتر از تنزل محیط ما و ناتوانی شهروندانمان که اغلب امروزه رخ می‌دهد، حرکت می‌کند. از نظر ما هیچ رویکرد دیگری به نظر </w:t>
      </w:r>
      <w:r w:rsidR="00AE5BE0" w:rsidRPr="0025250D">
        <w:rPr>
          <w:rFonts w:hint="cs"/>
          <w:rtl/>
        </w:rPr>
        <w:t>انطباق</w:t>
      </w:r>
      <w:r w:rsidRPr="0025250D">
        <w:rPr>
          <w:rFonts w:hint="cs"/>
          <w:rtl/>
        </w:rPr>
        <w:t xml:space="preserve"> بلند مدتی برای جوامع ما ندارد. درصورت عدم توافق با ما، موارد عدم موافقت خود با داستان‌هایی که در آنجا بیان خواهیم کرد را با ما در میان بگذارید.</w:t>
      </w:r>
    </w:p>
    <w:p w14:paraId="3AC7F4A9" w14:textId="2BA78DEF" w:rsidR="00537CC8" w:rsidRPr="0025250D" w:rsidRDefault="00537CC8" w:rsidP="00537CC8">
      <w:pPr>
        <w:rPr>
          <w:rtl/>
        </w:rPr>
      </w:pPr>
      <w:r w:rsidRPr="0025250D">
        <w:rPr>
          <w:rFonts w:hint="cs"/>
          <w:rtl/>
        </w:rPr>
        <w:t xml:space="preserve">در طول پویش، اغلب به نمونه‌هایی از موارد خبری سازمانی، تیمی و فردی که ما و تیممان، به‌عنوان درونداد‌هایی برای بحث‌های تحلیلی یا </w:t>
      </w:r>
      <w:r w:rsidR="00701E03" w:rsidRPr="0025250D">
        <w:rPr>
          <w:rFonts w:hint="cs"/>
          <w:rtl/>
        </w:rPr>
        <w:t>راهبرد</w:t>
      </w:r>
      <w:r w:rsidRPr="0025250D">
        <w:rPr>
          <w:rFonts w:hint="cs"/>
          <w:rtl/>
        </w:rPr>
        <w:t xml:space="preserve"> مفید می‌یابیم، بر می‌خوریم. اف</w:t>
      </w:r>
      <w:r w:rsidR="00121A3D" w:rsidRPr="0025250D">
        <w:rPr>
          <w:rFonts w:hint="cs"/>
          <w:rtl/>
        </w:rPr>
        <w:t>ز</w:t>
      </w:r>
      <w:r w:rsidRPr="0025250D">
        <w:rPr>
          <w:rFonts w:hint="cs"/>
          <w:rtl/>
        </w:rPr>
        <w:t>ودن دسته بندی‌های سازمانی</w:t>
      </w:r>
      <w:r w:rsidR="00121A3D" w:rsidRPr="0025250D">
        <w:rPr>
          <w:rFonts w:hint="cs"/>
          <w:rtl/>
        </w:rPr>
        <w:t>،</w:t>
      </w:r>
      <w:r w:rsidRPr="0025250D">
        <w:rPr>
          <w:rFonts w:hint="cs"/>
          <w:rtl/>
        </w:rPr>
        <w:t xml:space="preserve"> تیمی</w:t>
      </w:r>
      <w:r w:rsidR="00121A3D" w:rsidRPr="0025250D">
        <w:rPr>
          <w:rFonts w:hint="cs"/>
          <w:rtl/>
        </w:rPr>
        <w:t>،</w:t>
      </w:r>
      <w:r w:rsidRPr="0025250D">
        <w:rPr>
          <w:rFonts w:hint="cs"/>
          <w:rtl/>
        </w:rPr>
        <w:t xml:space="preserve"> فردی</w:t>
      </w:r>
      <w:r w:rsidR="00121A3D" w:rsidRPr="0025250D">
        <w:rPr>
          <w:rFonts w:hint="cs"/>
          <w:rtl/>
        </w:rPr>
        <w:t xml:space="preserve"> و</w:t>
      </w:r>
      <w:r w:rsidRPr="0025250D">
        <w:rPr>
          <w:rFonts w:hint="cs"/>
          <w:rtl/>
        </w:rPr>
        <w:t xml:space="preserve"> خانوادگی به </w:t>
      </w:r>
      <w:r w:rsidRPr="0025250D">
        <w:t>STEEPLES</w:t>
      </w:r>
      <w:r w:rsidRPr="0025250D">
        <w:rPr>
          <w:rFonts w:hint="cs"/>
          <w:rtl/>
        </w:rPr>
        <w:t xml:space="preserve"> به ما </w:t>
      </w:r>
      <w:r w:rsidRPr="0025250D">
        <w:t>STEEPLECOP</w:t>
      </w:r>
      <w:r w:rsidRPr="0025250D">
        <w:rPr>
          <w:rFonts w:hint="cs"/>
          <w:rtl/>
        </w:rPr>
        <w:t xml:space="preserve"> را می‌دهد. این ده دسته بندی (12 مورد اگر آن‌ها را تقسیم کنید) اغلب حتی از </w:t>
      </w:r>
      <w:r w:rsidRPr="0025250D">
        <w:t>STEEPLES</w:t>
      </w:r>
      <w:r w:rsidRPr="0025250D">
        <w:rPr>
          <w:rFonts w:hint="cs"/>
          <w:rtl/>
        </w:rPr>
        <w:t xml:space="preserve"> در عمل مفید‌تر هستند. این دسته بندی‌ها تطابق خوبی با 6 دامنه </w:t>
      </w:r>
      <w:r w:rsidRPr="0025250D">
        <w:rPr>
          <w:rtl/>
        </w:rPr>
        <w:t>آینده‌نگاری</w:t>
      </w:r>
      <w:r w:rsidRPr="0025250D">
        <w:rPr>
          <w:rFonts w:hint="cs"/>
          <w:rtl/>
        </w:rPr>
        <w:t xml:space="preserve"> به صورت زیر دارند:</w:t>
      </w:r>
    </w:p>
    <w:p w14:paraId="2401BFB4" w14:textId="7687689A" w:rsidR="00537CC8" w:rsidRPr="0025250D" w:rsidRDefault="00537CC8" w:rsidP="00492C47">
      <w:pPr>
        <w:numPr>
          <w:ilvl w:val="0"/>
          <w:numId w:val="54"/>
        </w:numPr>
        <w:rPr>
          <w:rtl/>
        </w:rPr>
      </w:pPr>
      <w:r w:rsidRPr="0025250D">
        <w:rPr>
          <w:rFonts w:hint="cs"/>
          <w:rtl/>
        </w:rPr>
        <w:t xml:space="preserve">علم </w:t>
      </w:r>
      <w:r w:rsidRPr="0025250D">
        <w:rPr>
          <w:rFonts w:cs="Times New Roman" w:hint="cs"/>
          <w:rtl/>
        </w:rPr>
        <w:t>–</w:t>
      </w:r>
      <w:r w:rsidRPr="0025250D">
        <w:rPr>
          <w:rFonts w:hint="cs"/>
          <w:rtl/>
        </w:rPr>
        <w:t xml:space="preserve"> مجموعه‌ای فراگیر از قوانین و </w:t>
      </w:r>
      <w:r w:rsidR="008D6F97" w:rsidRPr="0025250D">
        <w:rPr>
          <w:rFonts w:hint="cs"/>
          <w:rtl/>
        </w:rPr>
        <w:t>سامانه‌</w:t>
      </w:r>
      <w:r w:rsidRPr="0025250D">
        <w:rPr>
          <w:rFonts w:hint="cs"/>
          <w:rtl/>
        </w:rPr>
        <w:t xml:space="preserve"> ها.</w:t>
      </w:r>
    </w:p>
    <w:p w14:paraId="72241ABA" w14:textId="71A8F646" w:rsidR="00537CC8" w:rsidRPr="0025250D" w:rsidRDefault="007A53FD" w:rsidP="00492C47">
      <w:pPr>
        <w:numPr>
          <w:ilvl w:val="0"/>
          <w:numId w:val="54"/>
        </w:numPr>
        <w:rPr>
          <w:rtl/>
        </w:rPr>
      </w:pPr>
      <w:r w:rsidRPr="0025250D">
        <w:rPr>
          <w:rFonts w:hint="cs"/>
          <w:rtl/>
        </w:rPr>
        <w:t>فناوری</w:t>
      </w:r>
      <w:r w:rsidR="00537CC8" w:rsidRPr="0025250D">
        <w:rPr>
          <w:rFonts w:hint="cs"/>
          <w:rtl/>
        </w:rPr>
        <w:t xml:space="preserve"> - مجموعه</w:t>
      </w:r>
      <w:r w:rsidR="00537CC8" w:rsidRPr="0025250D">
        <w:rPr>
          <w:rtl/>
        </w:rPr>
        <w:t xml:space="preserve">‌ای </w:t>
      </w:r>
      <w:r w:rsidR="00537CC8" w:rsidRPr="0025250D">
        <w:rPr>
          <w:rFonts w:hint="cs"/>
          <w:rtl/>
        </w:rPr>
        <w:t>جهانی</w:t>
      </w:r>
      <w:r w:rsidR="00537CC8" w:rsidRPr="0025250D">
        <w:rPr>
          <w:rtl/>
        </w:rPr>
        <w:t xml:space="preserve"> (</w:t>
      </w:r>
      <w:r w:rsidR="00537CC8" w:rsidRPr="0025250D">
        <w:rPr>
          <w:rFonts w:hint="cs"/>
          <w:rtl/>
        </w:rPr>
        <w:t>و</w:t>
      </w:r>
      <w:r w:rsidR="00537CC8" w:rsidRPr="0025250D">
        <w:rPr>
          <w:rtl/>
        </w:rPr>
        <w:t xml:space="preserve"> </w:t>
      </w:r>
      <w:r w:rsidR="00537CC8" w:rsidRPr="0025250D">
        <w:rPr>
          <w:rFonts w:hint="cs"/>
          <w:rtl/>
        </w:rPr>
        <w:t>اجتماعی</w:t>
      </w:r>
      <w:r w:rsidR="00537CC8" w:rsidRPr="0025250D">
        <w:rPr>
          <w:rtl/>
        </w:rPr>
        <w:t xml:space="preserve"> </w:t>
      </w:r>
      <w:r w:rsidR="00537CC8" w:rsidRPr="0025250D">
        <w:rPr>
          <w:rFonts w:hint="cs"/>
          <w:rtl/>
        </w:rPr>
        <w:t>و</w:t>
      </w:r>
      <w:r w:rsidR="00537CC8" w:rsidRPr="0025250D">
        <w:rPr>
          <w:rtl/>
        </w:rPr>
        <w:t xml:space="preserve"> </w:t>
      </w:r>
      <w:r w:rsidR="00537CC8" w:rsidRPr="0025250D">
        <w:rPr>
          <w:rFonts w:hint="cs"/>
          <w:rtl/>
        </w:rPr>
        <w:t>غیره</w:t>
      </w:r>
      <w:r w:rsidR="00537CC8" w:rsidRPr="0025250D">
        <w:rPr>
          <w:rtl/>
        </w:rPr>
        <w:t xml:space="preserve">) </w:t>
      </w:r>
      <w:r w:rsidR="00537CC8" w:rsidRPr="0025250D">
        <w:rPr>
          <w:rFonts w:hint="cs"/>
          <w:rtl/>
        </w:rPr>
        <w:t>از</w:t>
      </w:r>
      <w:r w:rsidR="00537CC8" w:rsidRPr="0025250D">
        <w:rPr>
          <w:rtl/>
        </w:rPr>
        <w:t xml:space="preserve"> </w:t>
      </w:r>
      <w:r w:rsidR="00537CC8" w:rsidRPr="0025250D">
        <w:rPr>
          <w:rFonts w:hint="cs"/>
          <w:rtl/>
        </w:rPr>
        <w:t>نیرو</w:t>
      </w:r>
      <w:r w:rsidR="00537CC8" w:rsidRPr="0025250D">
        <w:rPr>
          <w:rtl/>
        </w:rPr>
        <w:t xml:space="preserve">‌ها </w:t>
      </w:r>
      <w:r w:rsidR="00537CC8" w:rsidRPr="0025250D">
        <w:rPr>
          <w:rFonts w:hint="cs"/>
          <w:rtl/>
        </w:rPr>
        <w:t>و</w:t>
      </w:r>
      <w:r w:rsidR="00537CC8" w:rsidRPr="0025250D">
        <w:rPr>
          <w:rtl/>
        </w:rPr>
        <w:t xml:space="preserve"> </w:t>
      </w:r>
      <w:r w:rsidR="008D6F97" w:rsidRPr="0025250D">
        <w:rPr>
          <w:rFonts w:hint="cs"/>
          <w:rtl/>
        </w:rPr>
        <w:t>سامانه‌</w:t>
      </w:r>
      <w:r w:rsidR="00537CC8" w:rsidRPr="0025250D">
        <w:rPr>
          <w:rtl/>
        </w:rPr>
        <w:t xml:space="preserve"> </w:t>
      </w:r>
      <w:r w:rsidR="00537CC8" w:rsidRPr="0025250D">
        <w:rPr>
          <w:rFonts w:hint="cs"/>
          <w:rtl/>
        </w:rPr>
        <w:t>ها</w:t>
      </w:r>
      <w:r w:rsidR="00537CC8" w:rsidRPr="0025250D">
        <w:rPr>
          <w:rtl/>
        </w:rPr>
        <w:t>.</w:t>
      </w:r>
    </w:p>
    <w:p w14:paraId="6E225691" w14:textId="731B57D6" w:rsidR="00537CC8" w:rsidRPr="0025250D" w:rsidRDefault="00537CC8" w:rsidP="00492C47">
      <w:pPr>
        <w:numPr>
          <w:ilvl w:val="0"/>
          <w:numId w:val="54"/>
        </w:numPr>
        <w:rPr>
          <w:rtl/>
        </w:rPr>
      </w:pPr>
      <w:r w:rsidRPr="0025250D">
        <w:rPr>
          <w:rFonts w:hint="cs"/>
          <w:rtl/>
        </w:rPr>
        <w:t xml:space="preserve">اقتصاد </w:t>
      </w:r>
      <w:r w:rsidRPr="0025250D">
        <w:rPr>
          <w:rFonts w:cs="Times New Roman" w:hint="cs"/>
          <w:rtl/>
        </w:rPr>
        <w:t>–</w:t>
      </w:r>
      <w:r w:rsidRPr="0025250D">
        <w:rPr>
          <w:rFonts w:hint="cs"/>
          <w:rtl/>
        </w:rPr>
        <w:t xml:space="preserve"> مجموعه‌ای جهانی (و اجتماعی و غیره) از نیرو‌ها و </w:t>
      </w:r>
      <w:r w:rsidR="008D6F97" w:rsidRPr="0025250D">
        <w:rPr>
          <w:rFonts w:hint="cs"/>
          <w:rtl/>
        </w:rPr>
        <w:t>سامانه‌</w:t>
      </w:r>
      <w:r w:rsidRPr="0025250D">
        <w:rPr>
          <w:rFonts w:hint="cs"/>
          <w:rtl/>
        </w:rPr>
        <w:t xml:space="preserve"> ها.</w:t>
      </w:r>
    </w:p>
    <w:p w14:paraId="365FE267" w14:textId="2286A026" w:rsidR="00537CC8" w:rsidRPr="0025250D" w:rsidRDefault="00537CC8" w:rsidP="00492C47">
      <w:pPr>
        <w:numPr>
          <w:ilvl w:val="0"/>
          <w:numId w:val="54"/>
        </w:numPr>
        <w:rPr>
          <w:rtl/>
        </w:rPr>
      </w:pPr>
      <w:r w:rsidRPr="0025250D">
        <w:rPr>
          <w:rFonts w:hint="cs"/>
          <w:rtl/>
        </w:rPr>
        <w:t>محیط - مجموعه</w:t>
      </w:r>
      <w:r w:rsidRPr="0025250D">
        <w:rPr>
          <w:rtl/>
        </w:rPr>
        <w:t xml:space="preserve">‌ای </w:t>
      </w:r>
      <w:r w:rsidRPr="0025250D">
        <w:rPr>
          <w:rFonts w:hint="cs"/>
          <w:rtl/>
        </w:rPr>
        <w:t>جهانی</w:t>
      </w:r>
      <w:r w:rsidRPr="0025250D">
        <w:rPr>
          <w:rtl/>
        </w:rPr>
        <w:t xml:space="preserve"> (</w:t>
      </w:r>
      <w:r w:rsidRPr="0025250D">
        <w:rPr>
          <w:rFonts w:hint="cs"/>
          <w:rtl/>
        </w:rPr>
        <w:t>و</w:t>
      </w:r>
      <w:r w:rsidRPr="0025250D">
        <w:rPr>
          <w:rtl/>
        </w:rPr>
        <w:t xml:space="preserve"> </w:t>
      </w:r>
      <w:r w:rsidRPr="0025250D">
        <w:rPr>
          <w:rFonts w:hint="cs"/>
          <w:rtl/>
        </w:rPr>
        <w:t>اجتماعی</w:t>
      </w:r>
      <w:r w:rsidRPr="0025250D">
        <w:rPr>
          <w:rtl/>
        </w:rPr>
        <w:t xml:space="preserve"> </w:t>
      </w:r>
      <w:r w:rsidRPr="0025250D">
        <w:rPr>
          <w:rFonts w:hint="cs"/>
          <w:rtl/>
        </w:rPr>
        <w:t>و</w:t>
      </w:r>
      <w:r w:rsidRPr="0025250D">
        <w:rPr>
          <w:rtl/>
        </w:rPr>
        <w:t xml:space="preserve"> </w:t>
      </w:r>
      <w:r w:rsidRPr="0025250D">
        <w:rPr>
          <w:rFonts w:hint="cs"/>
          <w:rtl/>
        </w:rPr>
        <w:t>غیره</w:t>
      </w:r>
      <w:r w:rsidRPr="0025250D">
        <w:rPr>
          <w:rtl/>
        </w:rPr>
        <w:t xml:space="preserve">) </w:t>
      </w:r>
      <w:r w:rsidRPr="0025250D">
        <w:rPr>
          <w:rFonts w:hint="cs"/>
          <w:rtl/>
        </w:rPr>
        <w:t>از</w:t>
      </w:r>
      <w:r w:rsidRPr="0025250D">
        <w:rPr>
          <w:rtl/>
        </w:rPr>
        <w:t xml:space="preserve"> </w:t>
      </w:r>
      <w:r w:rsidRPr="0025250D">
        <w:rPr>
          <w:rFonts w:hint="cs"/>
          <w:rtl/>
        </w:rPr>
        <w:t>نیرو</w:t>
      </w:r>
      <w:r w:rsidRPr="0025250D">
        <w:rPr>
          <w:rtl/>
        </w:rPr>
        <w:t xml:space="preserve">‌ها </w:t>
      </w:r>
      <w:r w:rsidRPr="0025250D">
        <w:rPr>
          <w:rFonts w:hint="cs"/>
          <w:rtl/>
        </w:rPr>
        <w:t>و</w:t>
      </w:r>
      <w:r w:rsidRPr="0025250D">
        <w:rPr>
          <w:rtl/>
        </w:rPr>
        <w:t xml:space="preserve"> </w:t>
      </w:r>
      <w:r w:rsidR="008D6F97" w:rsidRPr="0025250D">
        <w:rPr>
          <w:rFonts w:hint="cs"/>
          <w:rtl/>
        </w:rPr>
        <w:t>سامانه‌</w:t>
      </w:r>
      <w:r w:rsidRPr="0025250D">
        <w:rPr>
          <w:rtl/>
        </w:rPr>
        <w:t xml:space="preserve"> </w:t>
      </w:r>
      <w:r w:rsidRPr="0025250D">
        <w:rPr>
          <w:rFonts w:hint="cs"/>
          <w:rtl/>
        </w:rPr>
        <w:t>ها</w:t>
      </w:r>
      <w:r w:rsidRPr="0025250D">
        <w:rPr>
          <w:rtl/>
        </w:rPr>
        <w:t>.</w:t>
      </w:r>
    </w:p>
    <w:p w14:paraId="177D4849" w14:textId="0CC2DF62" w:rsidR="00537CC8" w:rsidRPr="0025250D" w:rsidRDefault="00537CC8" w:rsidP="00492C47">
      <w:pPr>
        <w:numPr>
          <w:ilvl w:val="0"/>
          <w:numId w:val="54"/>
        </w:numPr>
        <w:rPr>
          <w:rtl/>
        </w:rPr>
      </w:pPr>
      <w:r w:rsidRPr="0025250D">
        <w:rPr>
          <w:rFonts w:hint="cs"/>
          <w:rtl/>
        </w:rPr>
        <w:t xml:space="preserve">سیاست </w:t>
      </w:r>
      <w:r w:rsidRPr="0025250D">
        <w:rPr>
          <w:rFonts w:cs="Times New Roman" w:hint="cs"/>
          <w:rtl/>
        </w:rPr>
        <w:t>–</w:t>
      </w:r>
      <w:r w:rsidRPr="0025250D">
        <w:rPr>
          <w:rFonts w:hint="cs"/>
          <w:rtl/>
        </w:rPr>
        <w:t xml:space="preserve"> مجموعه‌ای اجتماعی (و جهانی و غیره) از قواعد و </w:t>
      </w:r>
      <w:r w:rsidR="008D6F97" w:rsidRPr="0025250D">
        <w:rPr>
          <w:rFonts w:hint="cs"/>
          <w:rtl/>
        </w:rPr>
        <w:t>سامانه‌</w:t>
      </w:r>
      <w:r w:rsidRPr="0025250D">
        <w:rPr>
          <w:rFonts w:hint="cs"/>
          <w:rtl/>
        </w:rPr>
        <w:t xml:space="preserve"> ها.</w:t>
      </w:r>
    </w:p>
    <w:p w14:paraId="3C4ADB35" w14:textId="484AAB18" w:rsidR="00537CC8" w:rsidRPr="0025250D" w:rsidRDefault="00537CC8" w:rsidP="00492C47">
      <w:pPr>
        <w:numPr>
          <w:ilvl w:val="0"/>
          <w:numId w:val="54"/>
        </w:numPr>
        <w:rPr>
          <w:rtl/>
        </w:rPr>
      </w:pPr>
      <w:r w:rsidRPr="0025250D">
        <w:rPr>
          <w:rFonts w:hint="cs"/>
          <w:rtl/>
        </w:rPr>
        <w:t xml:space="preserve">قانونی </w:t>
      </w:r>
      <w:r w:rsidRPr="0025250D">
        <w:rPr>
          <w:rFonts w:cs="Times New Roman" w:hint="cs"/>
          <w:rtl/>
        </w:rPr>
        <w:t>–</w:t>
      </w:r>
      <w:r w:rsidRPr="0025250D">
        <w:rPr>
          <w:rFonts w:hint="cs"/>
          <w:rtl/>
        </w:rPr>
        <w:t xml:space="preserve"> مجموعه</w:t>
      </w:r>
      <w:r w:rsidRPr="0025250D">
        <w:rPr>
          <w:rtl/>
        </w:rPr>
        <w:t xml:space="preserve">‌ای </w:t>
      </w:r>
      <w:r w:rsidRPr="0025250D">
        <w:rPr>
          <w:rFonts w:hint="cs"/>
          <w:rtl/>
        </w:rPr>
        <w:t>اجتماعی</w:t>
      </w:r>
      <w:r w:rsidRPr="0025250D">
        <w:rPr>
          <w:rtl/>
        </w:rPr>
        <w:t xml:space="preserve"> (</w:t>
      </w:r>
      <w:r w:rsidRPr="0025250D">
        <w:rPr>
          <w:rFonts w:hint="cs"/>
          <w:rtl/>
        </w:rPr>
        <w:t>و</w:t>
      </w:r>
      <w:r w:rsidRPr="0025250D">
        <w:rPr>
          <w:rtl/>
        </w:rPr>
        <w:t xml:space="preserve"> </w:t>
      </w:r>
      <w:r w:rsidRPr="0025250D">
        <w:rPr>
          <w:rFonts w:hint="cs"/>
          <w:rtl/>
        </w:rPr>
        <w:t>جهانی</w:t>
      </w:r>
      <w:r w:rsidRPr="0025250D">
        <w:rPr>
          <w:rtl/>
        </w:rPr>
        <w:t xml:space="preserve"> </w:t>
      </w:r>
      <w:r w:rsidRPr="0025250D">
        <w:rPr>
          <w:rFonts w:hint="cs"/>
          <w:rtl/>
        </w:rPr>
        <w:t>و</w:t>
      </w:r>
      <w:r w:rsidRPr="0025250D">
        <w:rPr>
          <w:rtl/>
        </w:rPr>
        <w:t xml:space="preserve"> </w:t>
      </w:r>
      <w:r w:rsidRPr="0025250D">
        <w:rPr>
          <w:rFonts w:hint="cs"/>
          <w:rtl/>
        </w:rPr>
        <w:t>غیره</w:t>
      </w:r>
      <w:r w:rsidRPr="0025250D">
        <w:rPr>
          <w:rtl/>
        </w:rPr>
        <w:t xml:space="preserve">) </w:t>
      </w:r>
      <w:r w:rsidRPr="0025250D">
        <w:rPr>
          <w:rFonts w:hint="cs"/>
          <w:rtl/>
        </w:rPr>
        <w:t>از</w:t>
      </w:r>
      <w:r w:rsidRPr="0025250D">
        <w:rPr>
          <w:rtl/>
        </w:rPr>
        <w:t xml:space="preserve"> </w:t>
      </w:r>
      <w:r w:rsidRPr="0025250D">
        <w:rPr>
          <w:rFonts w:hint="cs"/>
          <w:rtl/>
        </w:rPr>
        <w:t>قواعد و</w:t>
      </w:r>
      <w:r w:rsidRPr="0025250D">
        <w:rPr>
          <w:rtl/>
        </w:rPr>
        <w:t xml:space="preserve"> </w:t>
      </w:r>
      <w:r w:rsidR="008D6F97" w:rsidRPr="0025250D">
        <w:rPr>
          <w:rFonts w:hint="cs"/>
          <w:rtl/>
        </w:rPr>
        <w:t>سامانه‌</w:t>
      </w:r>
      <w:r w:rsidRPr="0025250D">
        <w:rPr>
          <w:rtl/>
        </w:rPr>
        <w:t xml:space="preserve"> </w:t>
      </w:r>
      <w:r w:rsidRPr="0025250D">
        <w:rPr>
          <w:rFonts w:hint="cs"/>
          <w:rtl/>
        </w:rPr>
        <w:t>ها</w:t>
      </w:r>
      <w:r w:rsidRPr="0025250D">
        <w:rPr>
          <w:rtl/>
        </w:rPr>
        <w:t>.</w:t>
      </w:r>
    </w:p>
    <w:p w14:paraId="1EC84D0F" w14:textId="596566EE" w:rsidR="00537CC8" w:rsidRPr="0025250D" w:rsidRDefault="00537CC8" w:rsidP="00492C47">
      <w:pPr>
        <w:numPr>
          <w:ilvl w:val="0"/>
          <w:numId w:val="54"/>
        </w:numPr>
        <w:rPr>
          <w:rtl/>
        </w:rPr>
      </w:pPr>
      <w:r w:rsidRPr="0025250D">
        <w:rPr>
          <w:rFonts w:hint="cs"/>
          <w:rtl/>
        </w:rPr>
        <w:t xml:space="preserve">اخلاقی </w:t>
      </w:r>
      <w:r w:rsidRPr="0025250D">
        <w:rPr>
          <w:rFonts w:cs="Times New Roman" w:hint="cs"/>
          <w:rtl/>
        </w:rPr>
        <w:t>–</w:t>
      </w:r>
      <w:r w:rsidRPr="0025250D">
        <w:rPr>
          <w:rFonts w:hint="cs"/>
          <w:rtl/>
        </w:rPr>
        <w:t xml:space="preserve"> مجموعه‌ای اجتماعی (و جهانی و غیره) از قواعد و </w:t>
      </w:r>
      <w:r w:rsidR="008D6F97" w:rsidRPr="0025250D">
        <w:rPr>
          <w:rFonts w:hint="cs"/>
          <w:rtl/>
        </w:rPr>
        <w:t>سامانه‌</w:t>
      </w:r>
      <w:r w:rsidRPr="0025250D">
        <w:rPr>
          <w:rFonts w:hint="cs"/>
          <w:rtl/>
        </w:rPr>
        <w:t xml:space="preserve"> ها.</w:t>
      </w:r>
    </w:p>
    <w:p w14:paraId="0540F2E6" w14:textId="57C2540E" w:rsidR="00537CC8" w:rsidRPr="0025250D" w:rsidRDefault="00537CC8" w:rsidP="00492C47">
      <w:pPr>
        <w:numPr>
          <w:ilvl w:val="0"/>
          <w:numId w:val="54"/>
        </w:numPr>
        <w:rPr>
          <w:rtl/>
        </w:rPr>
      </w:pPr>
      <w:r w:rsidRPr="0025250D">
        <w:rPr>
          <w:rFonts w:hint="cs"/>
          <w:rtl/>
        </w:rPr>
        <w:t xml:space="preserve">فرهنگی </w:t>
      </w:r>
      <w:r w:rsidRPr="0025250D">
        <w:rPr>
          <w:rFonts w:cs="Times New Roman" w:hint="cs"/>
          <w:rtl/>
        </w:rPr>
        <w:t>–</w:t>
      </w:r>
      <w:r w:rsidRPr="0025250D">
        <w:rPr>
          <w:rFonts w:hint="cs"/>
          <w:rtl/>
        </w:rPr>
        <w:t xml:space="preserve"> مجموعه‌ای اجتماعی (و جهانی و غیره) از رفتارها و </w:t>
      </w:r>
      <w:r w:rsidR="008D6F97" w:rsidRPr="0025250D">
        <w:rPr>
          <w:rFonts w:hint="cs"/>
          <w:rtl/>
        </w:rPr>
        <w:t>سامانه‌</w:t>
      </w:r>
      <w:r w:rsidRPr="0025250D">
        <w:rPr>
          <w:rFonts w:hint="cs"/>
          <w:rtl/>
        </w:rPr>
        <w:t xml:space="preserve"> ها.</w:t>
      </w:r>
    </w:p>
    <w:p w14:paraId="27B308BE" w14:textId="354FDAAE" w:rsidR="00537CC8" w:rsidRPr="0025250D" w:rsidRDefault="00537CC8" w:rsidP="00492C47">
      <w:pPr>
        <w:numPr>
          <w:ilvl w:val="0"/>
          <w:numId w:val="54"/>
        </w:numPr>
        <w:rPr>
          <w:rtl/>
        </w:rPr>
      </w:pPr>
      <w:r w:rsidRPr="0025250D">
        <w:rPr>
          <w:rFonts w:hint="cs"/>
          <w:rtl/>
        </w:rPr>
        <w:t xml:space="preserve">سازمان </w:t>
      </w:r>
      <w:r w:rsidRPr="0025250D">
        <w:rPr>
          <w:rFonts w:cs="Times New Roman" w:hint="cs"/>
          <w:rtl/>
        </w:rPr>
        <w:t>–</w:t>
      </w:r>
      <w:r w:rsidRPr="0025250D">
        <w:rPr>
          <w:rFonts w:hint="cs"/>
          <w:rtl/>
        </w:rPr>
        <w:t xml:space="preserve"> رفتارها و </w:t>
      </w:r>
      <w:r w:rsidR="008D6F97" w:rsidRPr="0025250D">
        <w:rPr>
          <w:rFonts w:hint="cs"/>
          <w:rtl/>
        </w:rPr>
        <w:t>سامانه‌</w:t>
      </w:r>
      <w:r w:rsidRPr="0025250D">
        <w:rPr>
          <w:rFonts w:hint="cs"/>
          <w:rtl/>
        </w:rPr>
        <w:t>‌های سازمانی و تیمی.</w:t>
      </w:r>
    </w:p>
    <w:p w14:paraId="1A633ACA" w14:textId="35DF7D91" w:rsidR="00537CC8" w:rsidRPr="0025250D" w:rsidRDefault="00537CC8" w:rsidP="00492C47">
      <w:pPr>
        <w:numPr>
          <w:ilvl w:val="0"/>
          <w:numId w:val="54"/>
        </w:numPr>
        <w:rPr>
          <w:rtl/>
        </w:rPr>
      </w:pPr>
      <w:r w:rsidRPr="0025250D">
        <w:rPr>
          <w:rFonts w:hint="cs"/>
          <w:rtl/>
        </w:rPr>
        <w:t xml:space="preserve">فردی </w:t>
      </w:r>
      <w:r w:rsidRPr="0025250D">
        <w:rPr>
          <w:rFonts w:cs="Times New Roman" w:hint="cs"/>
          <w:rtl/>
        </w:rPr>
        <w:t>–</w:t>
      </w:r>
      <w:r w:rsidRPr="0025250D">
        <w:rPr>
          <w:rFonts w:hint="cs"/>
          <w:rtl/>
        </w:rPr>
        <w:t xml:space="preserve"> رفتار‌ها و </w:t>
      </w:r>
      <w:r w:rsidR="008D6F97" w:rsidRPr="0025250D">
        <w:rPr>
          <w:rFonts w:hint="cs"/>
          <w:rtl/>
        </w:rPr>
        <w:t>سامانه‌</w:t>
      </w:r>
      <w:r w:rsidRPr="0025250D">
        <w:rPr>
          <w:rFonts w:hint="cs"/>
          <w:rtl/>
        </w:rPr>
        <w:t>‌های خود (فردی) و خانواده.</w:t>
      </w:r>
    </w:p>
    <w:p w14:paraId="6BD32215" w14:textId="2582A81D" w:rsidR="00537CC8" w:rsidRPr="0025250D" w:rsidRDefault="00537CC8" w:rsidP="00537CC8">
      <w:pPr>
        <w:rPr>
          <w:rtl/>
        </w:rPr>
      </w:pPr>
      <w:r w:rsidRPr="0025250D">
        <w:rPr>
          <w:rFonts w:hint="cs"/>
          <w:rtl/>
        </w:rPr>
        <w:t xml:space="preserve">یک </w:t>
      </w:r>
      <w:r w:rsidR="008D6F97" w:rsidRPr="0025250D">
        <w:rPr>
          <w:rFonts w:hint="cs"/>
          <w:rtl/>
        </w:rPr>
        <w:t>سامانه‌</w:t>
      </w:r>
      <w:r w:rsidRPr="0025250D">
        <w:rPr>
          <w:rFonts w:hint="cs"/>
          <w:rtl/>
        </w:rPr>
        <w:t xml:space="preserve"> پویش خوب همچنین از یک </w:t>
      </w:r>
      <w:r w:rsidR="006E785C" w:rsidRPr="0025250D">
        <w:rPr>
          <w:rFonts w:hint="cs"/>
          <w:rtl/>
        </w:rPr>
        <w:t>رسته</w:t>
      </w:r>
      <w:r w:rsidRPr="0025250D">
        <w:rPr>
          <w:rFonts w:hint="cs"/>
          <w:rtl/>
        </w:rPr>
        <w:t xml:space="preserve"> برتر/موضوعی</w:t>
      </w:r>
      <w:r w:rsidRPr="0025250D">
        <w:rPr>
          <w:vertAlign w:val="superscript"/>
          <w:rtl/>
        </w:rPr>
        <w:footnoteReference w:id="2545"/>
      </w:r>
      <w:r w:rsidRPr="0025250D">
        <w:rPr>
          <w:rFonts w:hint="cs"/>
          <w:rtl/>
        </w:rPr>
        <w:t xml:space="preserve">، برای مواردی که تیم‌های پویش ما شایسته توجه دقیق‌تر در آن لحظه می‌دانند و یک </w:t>
      </w:r>
      <w:r w:rsidR="006E785C" w:rsidRPr="0025250D">
        <w:rPr>
          <w:rFonts w:hint="cs"/>
          <w:rtl/>
        </w:rPr>
        <w:t>رسته از</w:t>
      </w:r>
      <w:r w:rsidRPr="0025250D">
        <w:rPr>
          <w:rFonts w:hint="cs"/>
          <w:rtl/>
        </w:rPr>
        <w:t xml:space="preserve"> دسته‌های متفرقه/چندگانه (که همچنین یک </w:t>
      </w:r>
      <w:r w:rsidR="006E785C" w:rsidRPr="0025250D">
        <w:rPr>
          <w:rFonts w:hint="cs"/>
          <w:rtl/>
        </w:rPr>
        <w:t>رسته از</w:t>
      </w:r>
      <w:r w:rsidRPr="0025250D">
        <w:rPr>
          <w:rFonts w:hint="cs"/>
          <w:rtl/>
        </w:rPr>
        <w:t xml:space="preserve"> دسته‌های ناشناخته/نامشخص است) بهره می‌برد. دسته آخر برای هر موردی است که در ابتدا در هیچ یک از دسته‌های دیگر جای نمی‌گیرد</w:t>
      </w:r>
      <w:r w:rsidR="008D6F97" w:rsidRPr="0025250D">
        <w:rPr>
          <w:rtl/>
        </w:rPr>
        <w:t xml:space="preserve">؛ </w:t>
      </w:r>
      <w:r w:rsidRPr="0025250D">
        <w:rPr>
          <w:rFonts w:hint="cs"/>
          <w:rtl/>
        </w:rPr>
        <w:t xml:space="preserve">بنابراین، </w:t>
      </w:r>
      <w:r w:rsidRPr="0025250D">
        <w:t>Top-STEEPLECOP-M</w:t>
      </w:r>
      <w:r w:rsidRPr="0025250D">
        <w:rPr>
          <w:rFonts w:hint="cs"/>
          <w:rtl/>
        </w:rPr>
        <w:t xml:space="preserve"> 12 </w:t>
      </w:r>
      <w:r w:rsidR="006E785C" w:rsidRPr="0025250D">
        <w:rPr>
          <w:rFonts w:hint="cs"/>
          <w:rtl/>
        </w:rPr>
        <w:t>رسته</w:t>
      </w:r>
      <w:r w:rsidRPr="0025250D">
        <w:rPr>
          <w:rFonts w:hint="cs"/>
          <w:rtl/>
        </w:rPr>
        <w:t xml:space="preserve">، 12 پویش </w:t>
      </w:r>
      <w:r w:rsidRPr="0025250D">
        <w:rPr>
          <w:rtl/>
        </w:rPr>
        <w:t>آینده‌نگاری</w:t>
      </w:r>
      <w:r w:rsidRPr="0025250D">
        <w:rPr>
          <w:rFonts w:hint="cs"/>
          <w:rtl/>
        </w:rPr>
        <w:t xml:space="preserve"> عملی، به ما می‌دهد.</w:t>
      </w:r>
    </w:p>
    <w:p w14:paraId="1DCF8381" w14:textId="55FCC16C" w:rsidR="00537CC8" w:rsidRPr="0025250D" w:rsidRDefault="00537CC8" w:rsidP="00701E03">
      <w:pPr>
        <w:rPr>
          <w:rtl/>
        </w:rPr>
      </w:pPr>
      <w:r w:rsidRPr="0025250D">
        <w:rPr>
          <w:rFonts w:hint="cs"/>
          <w:rtl/>
        </w:rPr>
        <w:t xml:space="preserve">برای هر کسی که کار </w:t>
      </w:r>
      <w:r w:rsidRPr="0025250D">
        <w:rPr>
          <w:rtl/>
        </w:rPr>
        <w:t>آینده‌نگاری</w:t>
      </w:r>
      <w:r w:rsidRPr="0025250D">
        <w:rPr>
          <w:rFonts w:hint="cs"/>
          <w:rtl/>
        </w:rPr>
        <w:t xml:space="preserve"> را در یک صنعت یا حرفه مشخص انجام می‌دهد، توسعه مجموعه دسته‌های پویش مخصوص صنعت یا زمینه را نیز توصیه می‌کنیم. یک مجموعه پویش محبوب برای عناصر قدرت ملی </w:t>
      </w:r>
      <w:r w:rsidRPr="0025250D">
        <w:rPr>
          <w:vertAlign w:val="superscript"/>
        </w:rPr>
        <w:footnoteReference w:id="2546"/>
      </w:r>
      <w:r w:rsidRPr="0025250D">
        <w:t>DIMEFIL</w:t>
      </w:r>
      <w:r w:rsidRPr="0025250D">
        <w:rPr>
          <w:rFonts w:hint="cs"/>
          <w:rtl/>
        </w:rPr>
        <w:t xml:space="preserve"> است (</w:t>
      </w:r>
      <w:r w:rsidRPr="0025250D">
        <w:rPr>
          <w:rtl/>
        </w:rPr>
        <w:t>د</w:t>
      </w:r>
      <w:r w:rsidRPr="0025250D">
        <w:rPr>
          <w:rFonts w:hint="cs"/>
          <w:rtl/>
        </w:rPr>
        <w:t>ی</w:t>
      </w:r>
      <w:r w:rsidRPr="0025250D">
        <w:rPr>
          <w:rFonts w:hint="eastAsia"/>
          <w:rtl/>
        </w:rPr>
        <w:t>پلمات</w:t>
      </w:r>
      <w:r w:rsidRPr="0025250D">
        <w:rPr>
          <w:rFonts w:hint="cs"/>
          <w:rtl/>
        </w:rPr>
        <w:t>ی</w:t>
      </w:r>
      <w:r w:rsidRPr="0025250D">
        <w:rPr>
          <w:rFonts w:hint="eastAsia"/>
          <w:rtl/>
        </w:rPr>
        <w:t>ک</w:t>
      </w:r>
      <w:r w:rsidRPr="0025250D">
        <w:rPr>
          <w:rFonts w:hint="cs"/>
          <w:rtl/>
        </w:rPr>
        <w:t xml:space="preserve">، اطلاعاتی، نظامی، اقتصادی، مالی، هوشی و اجرای قانون). این مجموعه به </w:t>
      </w:r>
      <w:r w:rsidR="00701E03" w:rsidRPr="0025250D">
        <w:rPr>
          <w:rFonts w:hint="cs"/>
          <w:rtl/>
        </w:rPr>
        <w:t>راهبردشناسان</w:t>
      </w:r>
      <w:r w:rsidRPr="0025250D">
        <w:rPr>
          <w:rFonts w:hint="cs"/>
          <w:rtl/>
        </w:rPr>
        <w:t xml:space="preserve"> برای تفکر درمورد پاسخ‌های ملی یا در سطح </w:t>
      </w:r>
      <w:r w:rsidRPr="0025250D">
        <w:t>DoD</w:t>
      </w:r>
      <w:r w:rsidRPr="0025250D">
        <w:rPr>
          <w:rFonts w:hint="cs"/>
          <w:rtl/>
        </w:rPr>
        <w:t xml:space="preserve"> به </w:t>
      </w:r>
      <w:r w:rsidRPr="0025250D">
        <w:t>ADOR</w:t>
      </w:r>
      <w:r w:rsidRPr="0025250D">
        <w:rPr>
          <w:rFonts w:hint="cs"/>
          <w:rtl/>
        </w:rPr>
        <w:t xml:space="preserve"> کمک می‌کند. یک مجموعه پویش محبوب برای فرماندهان نظامی، به‌عنوان نقطه شروعی برای ارزیابی یک محیط عملیاتی </w:t>
      </w:r>
      <w:r w:rsidRPr="0025250D">
        <w:t>PMESII-PT</w:t>
      </w:r>
      <w:r w:rsidRPr="0025250D">
        <w:rPr>
          <w:vertAlign w:val="superscript"/>
          <w:rtl/>
        </w:rPr>
        <w:footnoteReference w:id="2547"/>
      </w:r>
      <w:r w:rsidRPr="0025250D">
        <w:rPr>
          <w:rFonts w:hint="cs"/>
          <w:rtl/>
        </w:rPr>
        <w:t xml:space="preserve"> (سیاسی، نظامی، اقتصادی، اجتماعی، زیرساختی، اطلاعاتی، محیط فیزیکی و زمان) می‌باشد.</w:t>
      </w:r>
    </w:p>
    <w:p w14:paraId="3CF4B9B7" w14:textId="58991CEE" w:rsidR="00537CC8" w:rsidRPr="0025250D" w:rsidRDefault="00537CC8" w:rsidP="00537CC8">
      <w:pPr>
        <w:rPr>
          <w:rtl/>
        </w:rPr>
      </w:pPr>
      <w:r w:rsidRPr="0025250D">
        <w:rPr>
          <w:rFonts w:hint="cs"/>
          <w:b/>
          <w:bCs/>
          <w:rtl/>
        </w:rPr>
        <w:t xml:space="preserve">ب) چرا </w:t>
      </w:r>
      <w:r w:rsidRPr="0025250D">
        <w:rPr>
          <w:b/>
          <w:bCs/>
        </w:rPr>
        <w:t>STEEP</w:t>
      </w:r>
      <w:r w:rsidRPr="0025250D">
        <w:rPr>
          <w:rFonts w:hint="cs"/>
          <w:b/>
          <w:bCs/>
          <w:rtl/>
        </w:rPr>
        <w:t xml:space="preserve"> و دیگر </w:t>
      </w:r>
      <w:r w:rsidR="008D6F97" w:rsidRPr="0025250D">
        <w:rPr>
          <w:rFonts w:hint="cs"/>
          <w:b/>
          <w:bCs/>
          <w:rtl/>
        </w:rPr>
        <w:t>سامانه‌</w:t>
      </w:r>
      <w:r w:rsidRPr="0025250D">
        <w:rPr>
          <w:rFonts w:hint="cs"/>
          <w:b/>
          <w:bCs/>
          <w:rtl/>
        </w:rPr>
        <w:t>‌های پویش ساده‌تر باید کنار گذاشته شوند</w:t>
      </w:r>
    </w:p>
    <w:p w14:paraId="138570C2" w14:textId="5E8D3668" w:rsidR="00537CC8" w:rsidRPr="0025250D" w:rsidRDefault="00537CC8" w:rsidP="00537CC8">
      <w:pPr>
        <w:rPr>
          <w:rtl/>
        </w:rPr>
      </w:pPr>
      <w:r w:rsidRPr="0025250D">
        <w:t>PEST</w:t>
      </w:r>
      <w:r w:rsidRPr="0025250D">
        <w:rPr>
          <w:rFonts w:hint="cs"/>
          <w:rtl/>
        </w:rPr>
        <w:t xml:space="preserve"> (عوامل سیاسی، اقتصادی، اجتماعی و </w:t>
      </w:r>
      <w:r w:rsidR="007A53FD" w:rsidRPr="0025250D">
        <w:rPr>
          <w:rFonts w:hint="cs"/>
          <w:rtl/>
        </w:rPr>
        <w:t>فناوری</w:t>
      </w:r>
      <w:r w:rsidRPr="0025250D">
        <w:rPr>
          <w:rFonts w:hint="cs"/>
          <w:rtl/>
        </w:rPr>
        <w:t xml:space="preserve">) یک </w:t>
      </w:r>
      <w:r w:rsidR="00B13F65" w:rsidRPr="0025250D">
        <w:rPr>
          <w:rFonts w:hint="cs"/>
          <w:rtl/>
        </w:rPr>
        <w:t>چارچوب</w:t>
      </w:r>
      <w:r w:rsidRPr="0025250D">
        <w:rPr>
          <w:rFonts w:hint="cs"/>
          <w:rtl/>
        </w:rPr>
        <w:t xml:space="preserve"> افق پویی است که در میانه قرن بیستم محبوب بود. این یک </w:t>
      </w:r>
      <w:r w:rsidR="00B13F65" w:rsidRPr="0025250D">
        <w:rPr>
          <w:rFonts w:hint="cs"/>
          <w:rtl/>
        </w:rPr>
        <w:t>چارچوب</w:t>
      </w:r>
      <w:r w:rsidRPr="0025250D">
        <w:rPr>
          <w:rFonts w:hint="cs"/>
          <w:rtl/>
        </w:rPr>
        <w:t xml:space="preserve"> مشخصا ساده است و برای مقاطع زمانی ساده‌تر کارکرد خوبی داشت. دیگر دسته بندی‌هایی که معمولاً برای بهبود ارتباط، بسته به شرایط به </w:t>
      </w:r>
      <w:r w:rsidRPr="0025250D">
        <w:t>PEST</w:t>
      </w:r>
      <w:r w:rsidRPr="0025250D">
        <w:rPr>
          <w:rFonts w:hint="cs"/>
          <w:rtl/>
        </w:rPr>
        <w:t xml:space="preserve"> افزوده شدند شامل این موارد هستند: عوامل محیطی (</w:t>
      </w:r>
      <w:r w:rsidRPr="0025250D">
        <w:t>STEEP</w:t>
      </w:r>
      <w:r w:rsidRPr="0025250D">
        <w:rPr>
          <w:rFonts w:hint="cs"/>
          <w:rtl/>
        </w:rPr>
        <w:t>)، عوامل تنظیم مقررات</w:t>
      </w:r>
      <w:r w:rsidRPr="0025250D">
        <w:rPr>
          <w:vertAlign w:val="superscript"/>
          <w:rtl/>
        </w:rPr>
        <w:footnoteReference w:id="2548"/>
      </w:r>
      <w:r w:rsidRPr="0025250D">
        <w:rPr>
          <w:rFonts w:hint="cs"/>
          <w:rtl/>
        </w:rPr>
        <w:t xml:space="preserve"> به جای سیاسی (</w:t>
      </w:r>
      <w:r w:rsidRPr="0025250D">
        <w:t>STEER</w:t>
      </w:r>
      <w:r w:rsidRPr="0025250D">
        <w:rPr>
          <w:rFonts w:hint="cs"/>
          <w:rtl/>
        </w:rPr>
        <w:t>)، قانونی و اخلاقی (</w:t>
      </w:r>
      <w:r w:rsidRPr="0025250D">
        <w:t>PESTLE</w:t>
      </w:r>
      <w:r w:rsidRPr="0025250D">
        <w:rPr>
          <w:rFonts w:hint="cs"/>
          <w:rtl/>
        </w:rPr>
        <w:t xml:space="preserve">) و </w:t>
      </w:r>
      <w:r w:rsidRPr="0025250D">
        <w:rPr>
          <w:rtl/>
        </w:rPr>
        <w:t>جمع</w:t>
      </w:r>
      <w:r w:rsidRPr="0025250D">
        <w:rPr>
          <w:rFonts w:hint="cs"/>
          <w:rtl/>
        </w:rPr>
        <w:t>ی</w:t>
      </w:r>
      <w:r w:rsidRPr="0025250D">
        <w:rPr>
          <w:rFonts w:hint="eastAsia"/>
          <w:rtl/>
        </w:rPr>
        <w:t>ت</w:t>
      </w:r>
      <w:r w:rsidRPr="0025250D">
        <w:rPr>
          <w:rtl/>
        </w:rPr>
        <w:t xml:space="preserve"> شناس</w:t>
      </w:r>
      <w:r w:rsidRPr="0025250D">
        <w:rPr>
          <w:rFonts w:hint="cs"/>
          <w:rtl/>
        </w:rPr>
        <w:t>ی (</w:t>
      </w:r>
      <w:r w:rsidRPr="0025250D">
        <w:t>PESTLED</w:t>
      </w:r>
      <w:r w:rsidRPr="0025250D">
        <w:rPr>
          <w:rFonts w:hint="cs"/>
          <w:rtl/>
        </w:rPr>
        <w:t>).</w:t>
      </w:r>
    </w:p>
    <w:p w14:paraId="01437CB3" w14:textId="284D2C40" w:rsidR="00537CC8" w:rsidRPr="0025250D" w:rsidRDefault="00537CC8" w:rsidP="00537CC8">
      <w:pPr>
        <w:rPr>
          <w:rtl/>
        </w:rPr>
      </w:pPr>
      <w:r w:rsidRPr="0025250D">
        <w:rPr>
          <w:rFonts w:hint="cs"/>
          <w:rtl/>
        </w:rPr>
        <w:t xml:space="preserve">با ظهور حرکت محیطی در دهه 1970، یک دسته پنجم به </w:t>
      </w:r>
      <w:r w:rsidRPr="0025250D">
        <w:t>PEST</w:t>
      </w:r>
      <w:r w:rsidRPr="0025250D">
        <w:rPr>
          <w:rFonts w:hint="cs"/>
          <w:rtl/>
        </w:rPr>
        <w:t xml:space="preserve"> افزوده شد و </w:t>
      </w:r>
      <w:r w:rsidRPr="0025250D">
        <w:t>STEEP</w:t>
      </w:r>
      <w:r w:rsidRPr="0025250D">
        <w:rPr>
          <w:rFonts w:hint="cs"/>
          <w:rtl/>
        </w:rPr>
        <w:t xml:space="preserve"> (عوامل اجتماعی، </w:t>
      </w:r>
      <w:r w:rsidR="007A53FD" w:rsidRPr="0025250D">
        <w:rPr>
          <w:rFonts w:hint="cs"/>
          <w:rtl/>
        </w:rPr>
        <w:t>فناوری</w:t>
      </w:r>
      <w:r w:rsidRPr="0025250D">
        <w:rPr>
          <w:rFonts w:hint="cs"/>
          <w:rtl/>
        </w:rPr>
        <w:t xml:space="preserve"> </w:t>
      </w:r>
      <w:r w:rsidRPr="0025250D">
        <w:rPr>
          <w:rFonts w:cs="Times New Roman" w:hint="cs"/>
          <w:rtl/>
        </w:rPr>
        <w:t>–</w:t>
      </w:r>
      <w:r w:rsidRPr="0025250D">
        <w:rPr>
          <w:rFonts w:hint="cs"/>
          <w:rtl/>
        </w:rPr>
        <w:t xml:space="preserve"> اقتصادی- محیطی </w:t>
      </w:r>
      <w:r w:rsidRPr="0025250D">
        <w:rPr>
          <w:rFonts w:cs="Times New Roman" w:hint="cs"/>
          <w:rtl/>
        </w:rPr>
        <w:t>–</w:t>
      </w:r>
      <w:r w:rsidRPr="0025250D">
        <w:rPr>
          <w:rFonts w:hint="cs"/>
          <w:rtl/>
        </w:rPr>
        <w:t xml:space="preserve"> سیاسی) به یک انتخاب برای پویش حتی محبوب‌تر تبدیل شد. تا اواخر قرن بیستم، برخی موارد شوکه کننده را بر سر محیط زیستمان آوردیم و موجود بودن منابع طبیعی دیگر چیزی نبود که بتوانیم آن را مسلم و غیر مهم بدانیم. ما آگاهی خود را برای </w:t>
      </w:r>
      <w:r w:rsidR="00AE5BE0" w:rsidRPr="0025250D">
        <w:rPr>
          <w:rFonts w:hint="cs"/>
          <w:rtl/>
        </w:rPr>
        <w:t>انطباق</w:t>
      </w:r>
      <w:r w:rsidRPr="0025250D">
        <w:rPr>
          <w:rFonts w:hint="cs"/>
          <w:rtl/>
        </w:rPr>
        <w:t xml:space="preserve"> با دورانی پیچیده‌تر افزایش دادیم.</w:t>
      </w:r>
    </w:p>
    <w:p w14:paraId="151397AD" w14:textId="77777777" w:rsidR="00537CC8" w:rsidRPr="0025250D" w:rsidRDefault="00537CC8" w:rsidP="003D3E0A">
      <w:pPr>
        <w:jc w:val="center"/>
        <w:rPr>
          <w:rtl/>
        </w:rPr>
      </w:pPr>
      <w:r w:rsidRPr="0025250D">
        <w:rPr>
          <w:noProof/>
          <w:rtl/>
          <w:lang w:bidi="ar-SA"/>
        </w:rPr>
        <w:drawing>
          <wp:inline distT="0" distB="0" distL="0" distR="0" wp14:anchorId="10A7F8A6" wp14:editId="705408CD">
            <wp:extent cx="3512820" cy="1992702"/>
            <wp:effectExtent l="0" t="0" r="0" b="7620"/>
            <wp:docPr id="154" name="Picture 154" descr="D:\کار\مستقل\3 ( ترجمه ی دانشگاه تهران  )\Introduction to Foresight\part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7\52.png"/>
                    <pic:cNvPicPr>
                      <a:picLocks noChangeAspect="1" noChangeArrowheads="1"/>
                    </pic:cNvPicPr>
                  </pic:nvPicPr>
                  <pic:blipFill rotWithShape="1">
                    <a:blip r:embed="rId253" cstate="screen">
                      <a:extLst>
                        <a:ext uri="{BEBA8EAE-BF5A-486C-A8C5-ECC9F3942E4B}">
                          <a14:imgProps xmlns:a14="http://schemas.microsoft.com/office/drawing/2010/main">
                            <a14:imgLayer r:embed="rId254">
                              <a14:imgEffect>
                                <a14:saturation sat="0"/>
                              </a14:imgEffect>
                            </a14:imgLayer>
                          </a14:imgProps>
                        </a:ext>
                        <a:ext uri="{28A0092B-C50C-407E-A947-70E740481C1C}">
                          <a14:useLocalDpi xmlns:a14="http://schemas.microsoft.com/office/drawing/2010/main"/>
                        </a:ext>
                      </a:extLst>
                    </a:blip>
                    <a:srcRect/>
                    <a:stretch/>
                  </pic:blipFill>
                  <pic:spPr bwMode="auto">
                    <a:xfrm>
                      <a:off x="0" y="0"/>
                      <a:ext cx="3512820" cy="1992702"/>
                    </a:xfrm>
                    <a:prstGeom prst="rect">
                      <a:avLst/>
                    </a:prstGeom>
                    <a:noFill/>
                    <a:ln>
                      <a:noFill/>
                    </a:ln>
                    <a:extLst>
                      <a:ext uri="{53640926-AAD7-44D8-BBD7-CCE9431645EC}">
                        <a14:shadowObscured xmlns:a14="http://schemas.microsoft.com/office/drawing/2010/main"/>
                      </a:ext>
                    </a:extLst>
                  </pic:spPr>
                </pic:pic>
              </a:graphicData>
            </a:graphic>
          </wp:inline>
        </w:drawing>
      </w:r>
    </w:p>
    <w:p w14:paraId="2BAE879D" w14:textId="77777777" w:rsidR="00537CC8" w:rsidRPr="0025250D" w:rsidRDefault="00537CC8" w:rsidP="003D3E0A">
      <w:pPr>
        <w:jc w:val="center"/>
        <w:rPr>
          <w:rtl/>
        </w:rPr>
      </w:pPr>
      <w:r w:rsidRPr="0025250D">
        <w:rPr>
          <w:rFonts w:hint="cs"/>
          <w:rtl/>
        </w:rPr>
        <w:t xml:space="preserve">کارت‌های </w:t>
      </w:r>
      <w:r w:rsidRPr="0025250D">
        <w:t>STEEP</w:t>
      </w:r>
      <w:r w:rsidRPr="0025250D">
        <w:rPr>
          <w:rFonts w:hint="cs"/>
          <w:rtl/>
        </w:rPr>
        <w:t xml:space="preserve"> (</w:t>
      </w:r>
      <w:r w:rsidRPr="0025250D">
        <w:t>ITVO</w:t>
      </w:r>
      <w:r w:rsidRPr="0025250D">
        <w:rPr>
          <w:rFonts w:hint="cs"/>
          <w:rtl/>
        </w:rPr>
        <w:t>، 2012)</w:t>
      </w:r>
    </w:p>
    <w:p w14:paraId="6195671D" w14:textId="305E361B" w:rsidR="00537CC8" w:rsidRPr="0025250D" w:rsidRDefault="00537CC8" w:rsidP="00537CC8">
      <w:pPr>
        <w:rPr>
          <w:rtl/>
        </w:rPr>
      </w:pPr>
      <w:r w:rsidRPr="0025250D">
        <w:rPr>
          <w:rFonts w:hint="cs"/>
          <w:rtl/>
        </w:rPr>
        <w:t xml:space="preserve">امروزه </w:t>
      </w:r>
      <w:r w:rsidRPr="0025250D">
        <w:t>STEEP</w:t>
      </w:r>
      <w:r w:rsidRPr="0025250D">
        <w:rPr>
          <w:rFonts w:hint="cs"/>
          <w:rtl/>
        </w:rPr>
        <w:t xml:space="preserve"> در بسیاری از برنامه‌های </w:t>
      </w:r>
      <w:r w:rsidRPr="0025250D">
        <w:rPr>
          <w:rtl/>
        </w:rPr>
        <w:t>آینده‌نگاری</w:t>
      </w:r>
      <w:r w:rsidRPr="0025250D">
        <w:rPr>
          <w:rFonts w:hint="cs"/>
          <w:rtl/>
        </w:rPr>
        <w:t xml:space="preserve"> به‌عنوان یک </w:t>
      </w:r>
      <w:r w:rsidR="00B13F65" w:rsidRPr="0025250D">
        <w:rPr>
          <w:rFonts w:hint="cs"/>
          <w:rtl/>
        </w:rPr>
        <w:t>چارچوب</w:t>
      </w:r>
      <w:r w:rsidRPr="0025250D">
        <w:rPr>
          <w:rFonts w:hint="cs"/>
          <w:rtl/>
        </w:rPr>
        <w:t xml:space="preserve"> مرجع برای پویش و تحلیل سریع مسائل </w:t>
      </w:r>
      <w:r w:rsidRPr="0025250D">
        <w:rPr>
          <w:rFonts w:cs="Times New Roman" w:hint="cs"/>
          <w:rtl/>
        </w:rPr>
        <w:t>–</w:t>
      </w:r>
      <w:r w:rsidRPr="0025250D">
        <w:rPr>
          <w:rFonts w:hint="cs"/>
          <w:rtl/>
        </w:rPr>
        <w:t xml:space="preserve"> در بسیاری از مقیاس‌ها و افق ها- آموزش داده می‌شود. محبوبیت بلند مدت آن محصولات مفید متعددی برای تولید </w:t>
      </w:r>
      <w:r w:rsidRPr="0025250D">
        <w:rPr>
          <w:rtl/>
        </w:rPr>
        <w:t>آینده‌نگاری</w:t>
      </w:r>
      <w:r w:rsidRPr="0025250D">
        <w:rPr>
          <w:rFonts w:hint="cs"/>
          <w:rtl/>
        </w:rPr>
        <w:t xml:space="preserve"> به همراه داشته است. برای مثال، یک مجموعه کارت‌های </w:t>
      </w:r>
      <w:r w:rsidRPr="0025250D">
        <w:t>STEEP</w:t>
      </w:r>
      <w:r w:rsidRPr="0025250D">
        <w:rPr>
          <w:rFonts w:hint="cs"/>
          <w:rtl/>
        </w:rPr>
        <w:t xml:space="preserve"> 50 دلاری، با 125 کارت (25 نیروی پیشران درهر یک از پنج دسته) توسط </w:t>
      </w:r>
      <w:r w:rsidRPr="0025250D">
        <w:t>ITVO</w:t>
      </w:r>
      <w:r w:rsidRPr="0025250D">
        <w:rPr>
          <w:rFonts w:hint="cs"/>
          <w:rtl/>
        </w:rPr>
        <w:t xml:space="preserve"> (مؤسسه توسعه آینده</w:t>
      </w:r>
      <w:r w:rsidRPr="0025250D">
        <w:rPr>
          <w:vertAlign w:val="superscript"/>
          <w:rtl/>
        </w:rPr>
        <w:footnoteReference w:id="2549"/>
      </w:r>
      <w:r w:rsidRPr="0025250D">
        <w:rPr>
          <w:rFonts w:hint="cs"/>
          <w:rtl/>
        </w:rPr>
        <w:t xml:space="preserve">) در هلند (تصویر بالا) فروخته می‌شود. </w:t>
      </w:r>
      <w:r w:rsidRPr="0025250D">
        <w:rPr>
          <w:rtl/>
        </w:rPr>
        <w:t>کر</w:t>
      </w:r>
      <w:r w:rsidRPr="0025250D">
        <w:rPr>
          <w:rFonts w:hint="cs"/>
          <w:rtl/>
        </w:rPr>
        <w:t>ی</w:t>
      </w:r>
      <w:r w:rsidRPr="0025250D">
        <w:rPr>
          <w:rFonts w:hint="eastAsia"/>
          <w:rtl/>
        </w:rPr>
        <w:t>س</w:t>
      </w:r>
      <w:r w:rsidRPr="0025250D">
        <w:rPr>
          <w:rtl/>
        </w:rPr>
        <w:t xml:space="preserve"> لوبکمن</w:t>
      </w:r>
      <w:r w:rsidRPr="0025250D">
        <w:rPr>
          <w:vertAlign w:val="superscript"/>
          <w:rtl/>
        </w:rPr>
        <w:footnoteReference w:id="2550"/>
      </w:r>
      <w:r w:rsidRPr="0025250D">
        <w:rPr>
          <w:rFonts w:hint="cs"/>
          <w:rtl/>
        </w:rPr>
        <w:t xml:space="preserve"> در شرکت مشاوره‌ای </w:t>
      </w:r>
      <w:r w:rsidRPr="0025250D">
        <w:rPr>
          <w:rtl/>
        </w:rPr>
        <w:t>آینده‌نگاری</w:t>
      </w:r>
      <w:r w:rsidRPr="0025250D">
        <w:rPr>
          <w:rFonts w:hint="cs"/>
          <w:rtl/>
        </w:rPr>
        <w:t xml:space="preserve"> </w:t>
      </w:r>
      <w:r w:rsidRPr="0025250D">
        <w:rPr>
          <w:rtl/>
        </w:rPr>
        <w:t>آروپ</w:t>
      </w:r>
      <w:r w:rsidRPr="0025250D">
        <w:rPr>
          <w:vertAlign w:val="superscript"/>
          <w:rtl/>
        </w:rPr>
        <w:footnoteReference w:id="2551"/>
      </w:r>
      <w:r w:rsidRPr="0025250D">
        <w:rPr>
          <w:rFonts w:hint="cs"/>
          <w:rtl/>
        </w:rPr>
        <w:t xml:space="preserve"> یک مجموعه حتی گسترده‌تر از 175 کارت از پیشران‌های تغییر را که همچنین به دسته‌های </w:t>
      </w:r>
      <w:r w:rsidRPr="0025250D">
        <w:t>STEEP</w:t>
      </w:r>
      <w:r w:rsidRPr="0025250D">
        <w:rPr>
          <w:rFonts w:hint="cs"/>
          <w:rtl/>
        </w:rPr>
        <w:t xml:space="preserve"> تقسیم شده و با هفت موضوع بحث کلیدی برای آینده محیط ساخته شده ارتباط دارند، توسعه داده است: انرژی، پسماند، تغییرات اقلیمی، آب، جمعیت شناسی، </w:t>
      </w:r>
      <w:r w:rsidRPr="0025250D">
        <w:rPr>
          <w:rtl/>
        </w:rPr>
        <w:t>شهرنش</w:t>
      </w:r>
      <w:r w:rsidRPr="0025250D">
        <w:rPr>
          <w:rFonts w:hint="cs"/>
          <w:rtl/>
        </w:rPr>
        <w:t>ی</w:t>
      </w:r>
      <w:r w:rsidRPr="0025250D">
        <w:rPr>
          <w:rFonts w:hint="eastAsia"/>
          <w:rtl/>
        </w:rPr>
        <w:t>ن</w:t>
      </w:r>
      <w:r w:rsidRPr="0025250D">
        <w:rPr>
          <w:rFonts w:hint="cs"/>
          <w:rtl/>
        </w:rPr>
        <w:t xml:space="preserve">ی و فقر (منتشر شده توسط </w:t>
      </w:r>
      <w:r w:rsidRPr="0025250D">
        <w:rPr>
          <w:rtl/>
        </w:rPr>
        <w:t>پرستل</w:t>
      </w:r>
      <w:r w:rsidRPr="0025250D">
        <w:rPr>
          <w:vertAlign w:val="superscript"/>
          <w:rtl/>
        </w:rPr>
        <w:footnoteReference w:id="2552"/>
      </w:r>
      <w:r w:rsidRPr="0025250D">
        <w:rPr>
          <w:rFonts w:hint="cs"/>
          <w:rtl/>
        </w:rPr>
        <w:t xml:space="preserve"> در سال 2009، اما اکنون از چاپ خارج شده است). چنین بازی‌های مباحثه‌ای از آینده</w:t>
      </w:r>
      <w:r w:rsidRPr="0025250D">
        <w:rPr>
          <w:vertAlign w:val="superscript"/>
          <w:rtl/>
        </w:rPr>
        <w:footnoteReference w:id="2553"/>
      </w:r>
      <w:r w:rsidRPr="0025250D">
        <w:rPr>
          <w:rFonts w:hint="cs"/>
          <w:rtl/>
        </w:rPr>
        <w:t xml:space="preserve"> (</w:t>
      </w:r>
      <w:r w:rsidRPr="0025250D">
        <w:t>FDG</w:t>
      </w:r>
      <w:r w:rsidRPr="0025250D">
        <w:rPr>
          <w:rFonts w:hint="cs"/>
          <w:rtl/>
        </w:rPr>
        <w:t xml:space="preserve"> ها) راه‌هایی بسیار عالی برای آغاز مشارکت یک گروه در مسائل و موضوعات مهم </w:t>
      </w:r>
      <w:r w:rsidRPr="0025250D">
        <w:rPr>
          <w:rtl/>
        </w:rPr>
        <w:t>آینده‌نگاری</w:t>
      </w:r>
      <w:r w:rsidRPr="0025250D">
        <w:rPr>
          <w:rFonts w:hint="cs"/>
          <w:rtl/>
        </w:rPr>
        <w:t xml:space="preserve"> و </w:t>
      </w:r>
      <w:r w:rsidR="0008779C" w:rsidRPr="0025250D">
        <w:rPr>
          <w:rFonts w:hint="cs"/>
          <w:rtl/>
        </w:rPr>
        <w:t>علاقه‌مند</w:t>
      </w:r>
      <w:r w:rsidRPr="0025250D">
        <w:rPr>
          <w:rFonts w:hint="cs"/>
          <w:rtl/>
        </w:rPr>
        <w:t xml:space="preserve"> ساختن آن‌ها به پویش و تحلیل است. کارت‌های دسته بندی همچنین برای داستان سرایی و ایده پردازی گروهی، مانند مجموعه کارت‌هایی به نام چیزی از آینده</w:t>
      </w:r>
      <w:r w:rsidRPr="0025250D">
        <w:rPr>
          <w:vertAlign w:val="superscript"/>
          <w:rtl/>
        </w:rPr>
        <w:footnoteReference w:id="2554"/>
      </w:r>
      <w:r w:rsidRPr="0025250D">
        <w:rPr>
          <w:rFonts w:hint="cs"/>
          <w:rtl/>
        </w:rPr>
        <w:t xml:space="preserve"> در سال 2014 که توسط </w:t>
      </w:r>
      <w:r w:rsidR="00D92F6E" w:rsidRPr="0025250D">
        <w:rPr>
          <w:rFonts w:hint="cs"/>
          <w:rtl/>
        </w:rPr>
        <w:t>آینده‌پژوه</w:t>
      </w:r>
      <w:r w:rsidRPr="0025250D">
        <w:rPr>
          <w:rFonts w:hint="cs"/>
          <w:rtl/>
        </w:rPr>
        <w:t xml:space="preserve">ان </w:t>
      </w:r>
      <w:r w:rsidRPr="0025250D">
        <w:rPr>
          <w:rtl/>
        </w:rPr>
        <w:t>استوارت کند</w:t>
      </w:r>
      <w:r w:rsidRPr="0025250D">
        <w:rPr>
          <w:rFonts w:hint="cs"/>
          <w:rtl/>
        </w:rPr>
        <w:t>ی</w:t>
      </w:r>
      <w:r w:rsidRPr="0025250D">
        <w:rPr>
          <w:rtl/>
        </w:rPr>
        <w:t xml:space="preserve"> و ج</w:t>
      </w:r>
      <w:r w:rsidRPr="0025250D">
        <w:rPr>
          <w:rFonts w:hint="cs"/>
          <w:rtl/>
        </w:rPr>
        <w:t>ی</w:t>
      </w:r>
      <w:r w:rsidRPr="0025250D">
        <w:rPr>
          <w:rFonts w:hint="eastAsia"/>
          <w:rtl/>
        </w:rPr>
        <w:t>مز</w:t>
      </w:r>
      <w:r w:rsidRPr="0025250D">
        <w:rPr>
          <w:rtl/>
        </w:rPr>
        <w:t xml:space="preserve"> واتسون</w:t>
      </w:r>
      <w:r w:rsidRPr="0025250D">
        <w:rPr>
          <w:vertAlign w:val="superscript"/>
          <w:rtl/>
        </w:rPr>
        <w:footnoteReference w:id="2555"/>
      </w:r>
      <w:r w:rsidRPr="0025250D">
        <w:rPr>
          <w:rFonts w:hint="cs"/>
          <w:rtl/>
        </w:rPr>
        <w:t xml:space="preserve"> توسعه داده شدند بسیار مفید هستند.</w:t>
      </w:r>
    </w:p>
    <w:p w14:paraId="3BA1BA42" w14:textId="06590CF2" w:rsidR="00537CC8" w:rsidRPr="0025250D" w:rsidRDefault="00537CC8" w:rsidP="00537CC8">
      <w:pPr>
        <w:rPr>
          <w:rtl/>
        </w:rPr>
      </w:pPr>
      <w:r w:rsidRPr="0025250D">
        <w:rPr>
          <w:rFonts w:hint="cs"/>
          <w:rtl/>
        </w:rPr>
        <w:t xml:space="preserve">درحالی که اکنون پنجاه سال است که </w:t>
      </w:r>
      <w:r w:rsidRPr="0025250D">
        <w:t>STEEP</w:t>
      </w:r>
      <w:r w:rsidRPr="0025250D">
        <w:rPr>
          <w:rFonts w:hint="cs"/>
          <w:rtl/>
        </w:rPr>
        <w:t xml:space="preserve"> عملکرد خوبی داشته است، مانند </w:t>
      </w:r>
      <w:r w:rsidRPr="0025250D">
        <w:t>PEST</w:t>
      </w:r>
      <w:r w:rsidRPr="0025250D">
        <w:rPr>
          <w:rFonts w:hint="cs"/>
          <w:rtl/>
        </w:rPr>
        <w:t xml:space="preserve"> قبل از آن، ادعا می‌کنیم که اکنون این </w:t>
      </w:r>
      <w:r w:rsidR="00B13F65" w:rsidRPr="0025250D">
        <w:rPr>
          <w:rFonts w:hint="cs"/>
          <w:rtl/>
        </w:rPr>
        <w:t>چارچوب</w:t>
      </w:r>
      <w:r w:rsidRPr="0025250D">
        <w:rPr>
          <w:rFonts w:hint="cs"/>
          <w:rtl/>
        </w:rPr>
        <w:t xml:space="preserve"> برای پویش </w:t>
      </w:r>
      <w:r w:rsidRPr="0025250D">
        <w:rPr>
          <w:rtl/>
        </w:rPr>
        <w:t>آینده‌نگاری</w:t>
      </w:r>
      <w:r w:rsidRPr="0025250D">
        <w:rPr>
          <w:rFonts w:hint="cs"/>
          <w:rtl/>
        </w:rPr>
        <w:t xml:space="preserve"> یا تحلیل مسائل، بیش از حد ساده شده است. جهان به توسعه و تکامل ادامه می‌دهد. واقعیت‌های ما پیچیده‌تر </w:t>
      </w:r>
      <w:r w:rsidR="00185F3E" w:rsidRPr="0025250D">
        <w:rPr>
          <w:rFonts w:hint="cs"/>
          <w:rtl/>
        </w:rPr>
        <w:t>شده‌اند</w:t>
      </w:r>
      <w:r w:rsidRPr="0025250D">
        <w:rPr>
          <w:rFonts w:hint="cs"/>
          <w:rtl/>
        </w:rPr>
        <w:t xml:space="preserve">. مشکل </w:t>
      </w:r>
      <w:r w:rsidRPr="0025250D">
        <w:t>STEEP</w:t>
      </w:r>
      <w:r w:rsidRPr="0025250D">
        <w:rPr>
          <w:rFonts w:hint="cs"/>
          <w:rtl/>
        </w:rPr>
        <w:t xml:space="preserve"> این است که این </w:t>
      </w:r>
      <w:r w:rsidR="00B13F65" w:rsidRPr="0025250D">
        <w:rPr>
          <w:rFonts w:hint="cs"/>
          <w:rtl/>
        </w:rPr>
        <w:t>چارچوب</w:t>
      </w:r>
      <w:r w:rsidRPr="0025250D">
        <w:rPr>
          <w:rFonts w:hint="cs"/>
          <w:rtl/>
        </w:rPr>
        <w:t xml:space="preserve"> سه دسته بسیار مهم در جوامع مدرن را نادیده می‌گیرد: علم، قانون، اخلاق. </w:t>
      </w:r>
      <w:r w:rsidR="007118DE" w:rsidRPr="0025250D">
        <w:rPr>
          <w:rFonts w:hint="cs"/>
          <w:rtl/>
        </w:rPr>
        <w:t>همان‌طور</w:t>
      </w:r>
      <w:r w:rsidRPr="0025250D">
        <w:rPr>
          <w:rFonts w:hint="cs"/>
          <w:rtl/>
        </w:rPr>
        <w:t xml:space="preserve"> که در کتاب 2 بحث خواهیم کرد، این علم و </w:t>
      </w:r>
      <w:r w:rsidR="007A53FD" w:rsidRPr="0025250D">
        <w:rPr>
          <w:rFonts w:hint="cs"/>
          <w:rtl/>
        </w:rPr>
        <w:t>فناوری</w:t>
      </w:r>
      <w:r w:rsidRPr="0025250D">
        <w:rPr>
          <w:rFonts w:hint="cs"/>
          <w:rtl/>
        </w:rPr>
        <w:t xml:space="preserve"> جدید که محدود به اقتصاد/کارآفرینی، شرایط زیست محیطی، اقدامات سیاسی، قواعد قانونی، قواعد اخلاقی و رفتا‌ها و عقاید فرهنگی است</w:t>
      </w:r>
      <w:r w:rsidR="00121A3D" w:rsidRPr="0025250D">
        <w:rPr>
          <w:rFonts w:hint="cs"/>
          <w:rtl/>
        </w:rPr>
        <w:t xml:space="preserve">، </w:t>
      </w:r>
      <w:r w:rsidRPr="0025250D">
        <w:rPr>
          <w:rFonts w:hint="cs"/>
          <w:rtl/>
        </w:rPr>
        <w:t xml:space="preserve">به بزرگترین پیشران تغییر اجتماعی تبدیل شده است. اگر ما ابتدا برای یافتن تغییر </w:t>
      </w:r>
      <w:r w:rsidRPr="0025250D">
        <w:t>S&amp;T</w:t>
      </w:r>
      <w:r w:rsidRPr="0025250D">
        <w:rPr>
          <w:rFonts w:hint="cs"/>
          <w:rtl/>
        </w:rPr>
        <w:t xml:space="preserve"> مرتبط پویش نکنیم، </w:t>
      </w:r>
      <w:r w:rsidR="007E0A64" w:rsidRPr="0025250D">
        <w:rPr>
          <w:rFonts w:hint="cs"/>
          <w:rtl/>
        </w:rPr>
        <w:t>ممکن است</w:t>
      </w:r>
      <w:r w:rsidRPr="0025250D">
        <w:rPr>
          <w:rFonts w:hint="cs"/>
          <w:rtl/>
        </w:rPr>
        <w:t xml:space="preserve"> به راحتی دیدن و ارزیابی زیرمجموعه خاصی از فرایند‌های </w:t>
      </w:r>
      <w:r w:rsidRPr="0025250D">
        <w:t>S&amp;T</w:t>
      </w:r>
      <w:r w:rsidRPr="0025250D">
        <w:rPr>
          <w:rFonts w:hint="cs"/>
          <w:rtl/>
        </w:rPr>
        <w:t xml:space="preserve"> که پیشران و همچنین مقید کننده تغییر </w:t>
      </w:r>
      <w:r w:rsidR="007B3B35" w:rsidRPr="0025250D">
        <w:rPr>
          <w:rFonts w:hint="cs"/>
          <w:rtl/>
        </w:rPr>
        <w:t>شتاب‌گیر</w:t>
      </w:r>
      <w:r w:rsidRPr="0025250D">
        <w:rPr>
          <w:rFonts w:hint="cs"/>
          <w:rtl/>
        </w:rPr>
        <w:t>نده هستند</w:t>
      </w:r>
      <w:r w:rsidR="007E0A64" w:rsidRPr="0025250D">
        <w:rPr>
          <w:rFonts w:hint="cs"/>
          <w:rtl/>
        </w:rPr>
        <w:t xml:space="preserve"> را</w:t>
      </w:r>
      <w:r w:rsidRPr="0025250D">
        <w:rPr>
          <w:rFonts w:hint="cs"/>
          <w:rtl/>
        </w:rPr>
        <w:t xml:space="preserve"> از دست بدهیم.</w:t>
      </w:r>
    </w:p>
    <w:p w14:paraId="46735BBB" w14:textId="438D8F71" w:rsidR="00537CC8" w:rsidRPr="0025250D" w:rsidRDefault="00537CC8" w:rsidP="00537CC8">
      <w:pPr>
        <w:rPr>
          <w:rtl/>
        </w:rPr>
      </w:pPr>
      <w:r w:rsidRPr="0025250D">
        <w:rPr>
          <w:rFonts w:hint="cs"/>
          <w:rtl/>
        </w:rPr>
        <w:t xml:space="preserve">وقتی سعی می‌کنیم که از </w:t>
      </w:r>
      <w:r w:rsidR="00B13F65" w:rsidRPr="0025250D">
        <w:rPr>
          <w:rFonts w:hint="cs"/>
          <w:rtl/>
        </w:rPr>
        <w:t>چارچوب</w:t>
      </w:r>
      <w:r w:rsidRPr="0025250D">
        <w:rPr>
          <w:rFonts w:hint="cs"/>
          <w:rtl/>
        </w:rPr>
        <w:t xml:space="preserve"> </w:t>
      </w:r>
      <w:r w:rsidRPr="0025250D">
        <w:t>STEEP</w:t>
      </w:r>
      <w:r w:rsidRPr="0025250D">
        <w:rPr>
          <w:rFonts w:hint="cs"/>
          <w:rtl/>
        </w:rPr>
        <w:t xml:space="preserve"> برای </w:t>
      </w:r>
      <w:r w:rsidR="00B124DE" w:rsidRPr="0025250D">
        <w:rPr>
          <w:rFonts w:hint="cs"/>
          <w:rtl/>
        </w:rPr>
        <w:t>جمع‌آوری</w:t>
      </w:r>
      <w:r w:rsidRPr="0025250D">
        <w:rPr>
          <w:rFonts w:hint="cs"/>
          <w:rtl/>
        </w:rPr>
        <w:t xml:space="preserve"> اطلاعات استفاده کنیم، </w:t>
      </w:r>
      <w:r w:rsidR="00B0171C" w:rsidRPr="0025250D">
        <w:rPr>
          <w:rFonts w:hint="cs"/>
          <w:rtl/>
        </w:rPr>
        <w:t>به‌سادگی</w:t>
      </w:r>
      <w:r w:rsidRPr="0025250D">
        <w:rPr>
          <w:rFonts w:hint="cs"/>
          <w:rtl/>
        </w:rPr>
        <w:t xml:space="preserve"> با داستان‌هایی درمورد اکتشافات مهم علمی جدیدی که شایسته </w:t>
      </w:r>
      <w:r w:rsidR="006E785C" w:rsidRPr="0025250D">
        <w:rPr>
          <w:rFonts w:hint="cs"/>
          <w:rtl/>
        </w:rPr>
        <w:t>رسته</w:t>
      </w:r>
      <w:r w:rsidRPr="0025250D">
        <w:rPr>
          <w:rFonts w:hint="cs"/>
          <w:rtl/>
        </w:rPr>
        <w:t xml:space="preserve"> خاص خود هستند مواجه می‌شویم. علم </w:t>
      </w:r>
      <w:r w:rsidR="007A53FD" w:rsidRPr="0025250D">
        <w:rPr>
          <w:rFonts w:hint="cs"/>
          <w:rtl/>
        </w:rPr>
        <w:t>فناوری</w:t>
      </w:r>
      <w:r w:rsidRPr="0025250D">
        <w:rPr>
          <w:rFonts w:hint="cs"/>
          <w:rtl/>
        </w:rPr>
        <w:t xml:space="preserve"> نیست، یک حوزه مجزا است: یک </w:t>
      </w:r>
      <w:r w:rsidR="008D6F97" w:rsidRPr="0025250D">
        <w:rPr>
          <w:rFonts w:hint="cs"/>
          <w:rtl/>
        </w:rPr>
        <w:t>سامانه‌</w:t>
      </w:r>
      <w:r w:rsidRPr="0025250D">
        <w:rPr>
          <w:rFonts w:hint="cs"/>
          <w:rtl/>
        </w:rPr>
        <w:t xml:space="preserve"> یادگیری فراگیر. علم اغلب جلوتر از تکامل و توسعه </w:t>
      </w:r>
      <w:r w:rsidR="007A53FD" w:rsidRPr="0025250D">
        <w:rPr>
          <w:rFonts w:hint="cs"/>
          <w:rtl/>
        </w:rPr>
        <w:t>فناوری</w:t>
      </w:r>
      <w:r w:rsidRPr="0025250D">
        <w:rPr>
          <w:rFonts w:hint="cs"/>
          <w:rtl/>
        </w:rPr>
        <w:t xml:space="preserve"> است و در مواردی آن را تقویت کرده یا مانع آن می‌شود. اگر ما به آینده هر </w:t>
      </w:r>
      <w:r w:rsidR="007A53FD" w:rsidRPr="0025250D">
        <w:rPr>
          <w:rFonts w:hint="cs"/>
          <w:rtl/>
        </w:rPr>
        <w:t>فناوری</w:t>
      </w:r>
      <w:r w:rsidRPr="0025250D">
        <w:rPr>
          <w:rFonts w:hint="cs"/>
          <w:rtl/>
        </w:rPr>
        <w:t xml:space="preserve"> که پتانسیل تغییر جهان را دارد </w:t>
      </w:r>
      <w:r w:rsidR="0008779C" w:rsidRPr="0025250D">
        <w:rPr>
          <w:rFonts w:hint="cs"/>
          <w:rtl/>
        </w:rPr>
        <w:t>علاقه‌مند</w:t>
      </w:r>
      <w:r w:rsidRPr="0025250D">
        <w:rPr>
          <w:rFonts w:hint="cs"/>
          <w:rtl/>
        </w:rPr>
        <w:t xml:space="preserve"> هستیم، باید ابتدا نگاه دقیقی به شرایط فعلی و چهار آینده علم موجود در پشت آن داشته باشیم</w:t>
      </w:r>
      <w:r w:rsidR="008D6F97" w:rsidRPr="0025250D">
        <w:rPr>
          <w:rtl/>
        </w:rPr>
        <w:t xml:space="preserve"> </w:t>
      </w:r>
      <w:r w:rsidRPr="0025250D">
        <w:rPr>
          <w:rFonts w:hint="cs"/>
          <w:rtl/>
        </w:rPr>
        <w:t xml:space="preserve">تا </w:t>
      </w:r>
      <w:r w:rsidR="0008779C" w:rsidRPr="0025250D">
        <w:rPr>
          <w:rFonts w:hint="cs"/>
          <w:rtl/>
        </w:rPr>
        <w:t>واقع‌گرا</w:t>
      </w:r>
      <w:r w:rsidRPr="0025250D">
        <w:rPr>
          <w:rFonts w:hint="cs"/>
          <w:rtl/>
        </w:rPr>
        <w:t>یانه‌ترین تأثیر آینده آن را تعیین کنیم.</w:t>
      </w:r>
    </w:p>
    <w:p w14:paraId="5292E209" w14:textId="2C96FEC6" w:rsidR="00537CC8" w:rsidRPr="0025250D" w:rsidRDefault="00537CC8" w:rsidP="00537CC8">
      <w:pPr>
        <w:rPr>
          <w:rtl/>
        </w:rPr>
      </w:pPr>
      <w:r w:rsidRPr="0025250D">
        <w:rPr>
          <w:rFonts w:hint="cs"/>
          <w:rtl/>
        </w:rPr>
        <w:t xml:space="preserve">وقتی </w:t>
      </w:r>
      <w:r w:rsidRPr="0025250D">
        <w:rPr>
          <w:rtl/>
        </w:rPr>
        <w:t>جان</w:t>
      </w:r>
      <w:r w:rsidR="00B97419" w:rsidRPr="0025250D">
        <w:rPr>
          <w:rFonts w:hint="cs"/>
          <w:rtl/>
        </w:rPr>
        <w:t xml:space="preserve"> اسمارت</w:t>
      </w:r>
      <w:r w:rsidRPr="0025250D">
        <w:rPr>
          <w:rFonts w:hint="cs"/>
          <w:rtl/>
        </w:rPr>
        <w:t xml:space="preserve"> برای اولین بار در سال 2000 وارد حرفه </w:t>
      </w:r>
      <w:r w:rsidRPr="0025250D">
        <w:rPr>
          <w:rtl/>
        </w:rPr>
        <w:t>آینده‌نگاری</w:t>
      </w:r>
      <w:r w:rsidRPr="0025250D">
        <w:rPr>
          <w:rFonts w:hint="cs"/>
          <w:rtl/>
        </w:rPr>
        <w:t xml:space="preserve"> شد، آموخت که بسیاری از </w:t>
      </w:r>
      <w:r w:rsidR="00D92F6E" w:rsidRPr="0025250D">
        <w:rPr>
          <w:rFonts w:hint="cs"/>
          <w:rtl/>
        </w:rPr>
        <w:t>آینده‌پژوه</w:t>
      </w:r>
      <w:r w:rsidRPr="0025250D">
        <w:rPr>
          <w:rFonts w:hint="cs"/>
          <w:rtl/>
        </w:rPr>
        <w:t xml:space="preserve">ان حرفه‌ای باور دارند که ما به زودی انسان‌هایی خواهیم داشت که مهندسی ژنتیکی </w:t>
      </w:r>
      <w:r w:rsidR="00185F3E" w:rsidRPr="0025250D">
        <w:rPr>
          <w:rFonts w:hint="cs"/>
          <w:rtl/>
        </w:rPr>
        <w:t>شده‌اند</w:t>
      </w:r>
      <w:r w:rsidRPr="0025250D">
        <w:rPr>
          <w:rFonts w:hint="cs"/>
          <w:rtl/>
        </w:rPr>
        <w:t>، قرص‌هایی خواهیم داشت که حافظه‌هایی بسیار بهتر به ما خواهند داد، به زودی به مریخ خواهیم رفت و در شهاب سنگ‌ها حفاری و کاوش می‌کنیم، به زودی انرژی غیرمتمرکز خانگی بر شبکه‌های ما غلبه خواهد کرد و حتی ماشین‌های تولیدی رومیزی (یعنی همان پرینتر‌های سه بعدی) در خانه‌های خود خواهیم</w:t>
      </w:r>
      <w:r w:rsidRPr="0025250D">
        <w:rPr>
          <w:rtl/>
        </w:rPr>
        <w:t xml:space="preserve"> </w:t>
      </w:r>
      <w:r w:rsidRPr="0025250D">
        <w:rPr>
          <w:rFonts w:hint="cs"/>
          <w:rtl/>
        </w:rPr>
        <w:t xml:space="preserve">داشت. بسیاری از این </w:t>
      </w:r>
      <w:r w:rsidR="00D92F6E" w:rsidRPr="0025250D">
        <w:rPr>
          <w:rFonts w:hint="cs"/>
          <w:rtl/>
        </w:rPr>
        <w:t>آینده‌پژوه</w:t>
      </w:r>
      <w:r w:rsidRPr="0025250D">
        <w:rPr>
          <w:rFonts w:hint="cs"/>
          <w:rtl/>
        </w:rPr>
        <w:t>ان همچنین به داستان‌هایی باور داشتند که بیان می‌کردند که بشریت به زودی به شکلی قابل پیش‌بینی می‌تواند ماشین‌های خودران، کامپیوترهای پوشیدنی و کامپیوترهایی که می‌توانند زبان و گفته‌های انسان را درک کنند داشته باشد.</w:t>
      </w:r>
    </w:p>
    <w:p w14:paraId="67F64996" w14:textId="2C4AF32F" w:rsidR="00537CC8" w:rsidRPr="0025250D" w:rsidRDefault="00537CC8" w:rsidP="00537CC8">
      <w:pPr>
        <w:rPr>
          <w:rtl/>
        </w:rPr>
      </w:pPr>
      <w:r w:rsidRPr="0025250D">
        <w:rPr>
          <w:rFonts w:hint="cs"/>
          <w:rtl/>
        </w:rPr>
        <w:t>در آن زمان، نظر مورد توافق جمعی دانشمندان و مهندسان با تخصص مرتبط این بود که اولین مجموعه از این آینده‌ها همگی احتمال بسیار</w:t>
      </w:r>
      <w:r w:rsidR="00BB406C" w:rsidRPr="0025250D">
        <w:rPr>
          <w:rFonts w:hint="cs"/>
          <w:rtl/>
        </w:rPr>
        <w:t xml:space="preserve"> کم‌تر</w:t>
      </w:r>
      <w:r w:rsidRPr="0025250D">
        <w:rPr>
          <w:rFonts w:hint="cs"/>
          <w:rtl/>
        </w:rPr>
        <w:t xml:space="preserve">ی برای ابتدای قرن بیستم دارند، در حالی که مجموعه دوم نتایج بسیار محتملی برای این </w:t>
      </w:r>
      <w:r w:rsidR="00B13F65" w:rsidRPr="0025250D">
        <w:rPr>
          <w:rFonts w:hint="cs"/>
          <w:rtl/>
        </w:rPr>
        <w:t>چارچوب</w:t>
      </w:r>
      <w:r w:rsidRPr="0025250D">
        <w:rPr>
          <w:rFonts w:hint="cs"/>
          <w:rtl/>
        </w:rPr>
        <w:t xml:space="preserve"> زمانی بودند. افرادی که میان این دو مجموعه از داستان‌ها تمایز قائل نمی‌شدند، یک تصویر منفی کلیدی را در </w:t>
      </w:r>
      <w:r w:rsidR="00B56611" w:rsidRPr="0025250D">
        <w:rPr>
          <w:rFonts w:hint="cs"/>
          <w:rtl/>
        </w:rPr>
        <w:t>چشم‌انداز</w:t>
      </w:r>
      <w:r w:rsidRPr="0025250D">
        <w:rPr>
          <w:rFonts w:hint="cs"/>
          <w:rtl/>
        </w:rPr>
        <w:t xml:space="preserve">‌های خود در نظر نمی‌گرفتند، تصویری که تفکر خوب مبتنی بر شواهد و علمی فراهم می‌آورد. به علاوه، تنها به این دلیل که یک نوآوری از نظر علمی یا فنی محتمل است، به این معنی نیست که برای تعداد زیادی از افراد مرجح خواهد بود. ما اغلب به یک گروه متنوع </w:t>
      </w:r>
      <w:r w:rsidRPr="0025250D">
        <w:t>STEEPLES</w:t>
      </w:r>
      <w:r w:rsidRPr="0025250D">
        <w:rPr>
          <w:rFonts w:hint="cs"/>
          <w:rtl/>
        </w:rPr>
        <w:t xml:space="preserve"> از متخصصین برای </w:t>
      </w:r>
      <w:r w:rsidR="00FB6A7E" w:rsidRPr="0025250D">
        <w:rPr>
          <w:rFonts w:hint="cs"/>
          <w:rtl/>
        </w:rPr>
        <w:t>پیش‌نگری</w:t>
      </w:r>
      <w:r w:rsidRPr="0025250D">
        <w:rPr>
          <w:rFonts w:hint="cs"/>
          <w:rtl/>
        </w:rPr>
        <w:t xml:space="preserve"> پذیرش اجتماعی نیاز داریم. فقط به انرژی هسته ای، کودکانی که دستکاری ژنتیکی شده باشند، نظارت جمعی</w:t>
      </w:r>
      <w:r w:rsidRPr="0025250D">
        <w:rPr>
          <w:vertAlign w:val="superscript"/>
          <w:rtl/>
        </w:rPr>
        <w:footnoteReference w:id="2556"/>
      </w:r>
      <w:r w:rsidRPr="0025250D">
        <w:rPr>
          <w:rFonts w:hint="cs"/>
          <w:rtl/>
        </w:rPr>
        <w:t xml:space="preserve"> یا هر کاربرد </w:t>
      </w:r>
      <w:r w:rsidR="00B453C0" w:rsidRPr="0025250D">
        <w:rPr>
          <w:rFonts w:hint="cs"/>
          <w:rtl/>
        </w:rPr>
        <w:t>امکان‌پذیر</w:t>
      </w:r>
      <w:r w:rsidRPr="0025250D">
        <w:rPr>
          <w:rFonts w:hint="cs"/>
          <w:rtl/>
        </w:rPr>
        <w:t xml:space="preserve"> فنی دیگری که توسط عوامل </w:t>
      </w:r>
      <w:r w:rsidRPr="0025250D">
        <w:t>PLES</w:t>
      </w:r>
      <w:r w:rsidRPr="0025250D">
        <w:rPr>
          <w:rFonts w:hint="cs"/>
          <w:rtl/>
        </w:rPr>
        <w:t xml:space="preserve"> از بین رفته یا با تأخیر مواجه شده است، نگاه کنید</w:t>
      </w:r>
      <w:r w:rsidR="008D6F97" w:rsidRPr="0025250D">
        <w:rPr>
          <w:rtl/>
        </w:rPr>
        <w:t xml:space="preserve">؛ </w:t>
      </w:r>
      <w:r w:rsidRPr="0025250D">
        <w:rPr>
          <w:rFonts w:hint="cs"/>
          <w:rtl/>
        </w:rPr>
        <w:t xml:space="preserve">بنابراین از نظر ما </w:t>
      </w:r>
      <w:r w:rsidRPr="0025250D">
        <w:t>STEEPLES</w:t>
      </w:r>
      <w:r w:rsidRPr="0025250D">
        <w:rPr>
          <w:rFonts w:hint="cs"/>
          <w:rtl/>
        </w:rPr>
        <w:t xml:space="preserve"> یک مجموعه دسته بندی </w:t>
      </w:r>
      <w:r w:rsidR="00B453C0" w:rsidRPr="0025250D">
        <w:rPr>
          <w:rFonts w:hint="cs"/>
          <w:rtl/>
        </w:rPr>
        <w:t>امکان‌پذیر</w:t>
      </w:r>
      <w:r w:rsidRPr="0025250D">
        <w:rPr>
          <w:rFonts w:hint="cs"/>
          <w:rtl/>
        </w:rPr>
        <w:t xml:space="preserve"> حداقلی برای تحلیل سریع مسائل است.</w:t>
      </w:r>
    </w:p>
    <w:p w14:paraId="6E71E2EB" w14:textId="398D725F" w:rsidR="00537CC8" w:rsidRPr="0025250D" w:rsidRDefault="00233DF8" w:rsidP="003D3E0A">
      <w:pPr>
        <w:jc w:val="center"/>
        <w:rPr>
          <w:rtl/>
        </w:rPr>
      </w:pPr>
      <w:r w:rsidRPr="0025250D">
        <w:rPr>
          <w:noProof/>
        </w:rPr>
        <w:drawing>
          <wp:inline distT="0" distB="0" distL="0" distR="0" wp14:anchorId="30949423" wp14:editId="00CB97BF">
            <wp:extent cx="3737113" cy="3400045"/>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55" cstate="screen">
                      <a:extLst>
                        <a:ext uri="{28A0092B-C50C-407E-A947-70E740481C1C}">
                          <a14:useLocalDpi xmlns:a14="http://schemas.microsoft.com/office/drawing/2010/main"/>
                        </a:ext>
                      </a:extLst>
                    </a:blip>
                    <a:srcRect/>
                    <a:stretch>
                      <a:fillRect/>
                    </a:stretch>
                  </pic:blipFill>
                  <pic:spPr bwMode="auto">
                    <a:xfrm>
                      <a:off x="0" y="0"/>
                      <a:ext cx="3741069" cy="3403644"/>
                    </a:xfrm>
                    <a:prstGeom prst="rect">
                      <a:avLst/>
                    </a:prstGeom>
                    <a:noFill/>
                  </pic:spPr>
                </pic:pic>
              </a:graphicData>
            </a:graphic>
          </wp:inline>
        </w:drawing>
      </w:r>
    </w:p>
    <w:p w14:paraId="221B5300" w14:textId="77777777" w:rsidR="00537CC8" w:rsidRPr="0025250D" w:rsidRDefault="00537CC8" w:rsidP="003D3E0A">
      <w:pPr>
        <w:jc w:val="center"/>
        <w:rPr>
          <w:rtl/>
        </w:rPr>
      </w:pPr>
      <w:r w:rsidRPr="0025250D">
        <w:rPr>
          <w:rFonts w:hint="cs"/>
          <w:rtl/>
        </w:rPr>
        <w:t xml:space="preserve">تحلیل </w:t>
      </w:r>
      <w:r w:rsidRPr="0025250D">
        <w:t>STEEP</w:t>
      </w:r>
      <w:r w:rsidRPr="0025250D">
        <w:rPr>
          <w:rFonts w:hint="cs"/>
          <w:rtl/>
        </w:rPr>
        <w:t xml:space="preserve">. اندیشکده </w:t>
      </w:r>
      <w:r w:rsidRPr="0025250D">
        <w:t>ISS</w:t>
      </w:r>
      <w:r w:rsidRPr="0025250D">
        <w:rPr>
          <w:rFonts w:hint="cs"/>
          <w:rtl/>
        </w:rPr>
        <w:t>، 2014</w:t>
      </w:r>
    </w:p>
    <w:p w14:paraId="0D4BE3C5" w14:textId="4CBCDA32" w:rsidR="00537CC8" w:rsidRPr="0025250D" w:rsidRDefault="00537CC8" w:rsidP="00537CC8">
      <w:pPr>
        <w:rPr>
          <w:rtl/>
        </w:rPr>
      </w:pPr>
      <w:r w:rsidRPr="0025250D">
        <w:rPr>
          <w:rFonts w:hint="cs"/>
          <w:rtl/>
        </w:rPr>
        <w:t xml:space="preserve">یکی دیگر از نواقص </w:t>
      </w:r>
      <w:r w:rsidR="00B13F65" w:rsidRPr="0025250D">
        <w:rPr>
          <w:rFonts w:hint="cs"/>
          <w:rtl/>
        </w:rPr>
        <w:t>چارچوب</w:t>
      </w:r>
      <w:r w:rsidRPr="0025250D">
        <w:rPr>
          <w:rFonts w:hint="cs"/>
          <w:rtl/>
        </w:rPr>
        <w:t xml:space="preserve"> </w:t>
      </w:r>
      <w:r w:rsidRPr="0025250D">
        <w:t>STEEP</w:t>
      </w:r>
      <w:r w:rsidRPr="0025250D">
        <w:rPr>
          <w:rFonts w:hint="cs"/>
          <w:rtl/>
        </w:rPr>
        <w:t xml:space="preserve"> در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این است که وقتی تاریخ و اخبار را آموخته و مطالعه می‌کنیم، با گزارش‌هایی از سازمان‌ها و مردم (رهبران، افراد، تیم‌ها و روابط آن ها) که یا در </w:t>
      </w:r>
      <w:r w:rsidR="002F3C14" w:rsidRPr="0025250D">
        <w:rPr>
          <w:rFonts w:hint="cs"/>
          <w:rtl/>
        </w:rPr>
        <w:t>انطباق</w:t>
      </w:r>
      <w:r w:rsidRPr="0025250D">
        <w:rPr>
          <w:rFonts w:hint="cs"/>
          <w:rtl/>
        </w:rPr>
        <w:t xml:space="preserve"> با هر مسئله، فرصت یا مشکلی موفق شده یا شکست </w:t>
      </w:r>
      <w:r w:rsidR="00B97419" w:rsidRPr="0025250D">
        <w:rPr>
          <w:rFonts w:hint="cs"/>
          <w:rtl/>
        </w:rPr>
        <w:t>خورده‌اند</w:t>
      </w:r>
      <w:r w:rsidRPr="0025250D">
        <w:rPr>
          <w:rFonts w:hint="cs"/>
          <w:rtl/>
        </w:rPr>
        <w:t xml:space="preserve">، مواجه می‌شویم. تحلیل شرایط و </w:t>
      </w:r>
      <w:r w:rsidR="00701E03" w:rsidRPr="0025250D">
        <w:rPr>
          <w:rFonts w:hint="cs"/>
          <w:rtl/>
        </w:rPr>
        <w:t>راهبرد</w:t>
      </w:r>
      <w:r w:rsidRPr="0025250D">
        <w:rPr>
          <w:rFonts w:hint="cs"/>
          <w:rtl/>
        </w:rPr>
        <w:t xml:space="preserve">‌های خاص آن‌ها و محک زدن خودمان در مقابل آن‌ها، می‌تواند برای اقدامات و </w:t>
      </w:r>
      <w:r w:rsidRPr="0025250D">
        <w:rPr>
          <w:rtl/>
        </w:rPr>
        <w:t>آینده‌نگاری</w:t>
      </w:r>
      <w:r w:rsidRPr="0025250D">
        <w:rPr>
          <w:rFonts w:hint="cs"/>
          <w:rtl/>
        </w:rPr>
        <w:t xml:space="preserve"> خودمان بسیار مفید و آموزشی باشد</w:t>
      </w:r>
      <w:r w:rsidR="008D6F97" w:rsidRPr="0025250D">
        <w:rPr>
          <w:rtl/>
        </w:rPr>
        <w:t xml:space="preserve">؛ </w:t>
      </w:r>
      <w:r w:rsidRPr="0025250D">
        <w:rPr>
          <w:rFonts w:hint="cs"/>
          <w:rtl/>
        </w:rPr>
        <w:t xml:space="preserve">بنابراین این دو گروه در زمان </w:t>
      </w:r>
      <w:r w:rsidR="00D92F6E" w:rsidRPr="0025250D">
        <w:rPr>
          <w:rFonts w:hint="cs"/>
          <w:rtl/>
        </w:rPr>
        <w:t>آماده‌سازی</w:t>
      </w:r>
      <w:r w:rsidRPr="0025250D">
        <w:rPr>
          <w:rFonts w:hint="cs"/>
          <w:rtl/>
        </w:rPr>
        <w:t xml:space="preserve"> ما برای </w:t>
      </w:r>
      <w:r w:rsidR="00701E03" w:rsidRPr="0025250D">
        <w:rPr>
          <w:rFonts w:hint="cs"/>
          <w:rtl/>
        </w:rPr>
        <w:t>راهبرد</w:t>
      </w:r>
      <w:r w:rsidRPr="0025250D">
        <w:rPr>
          <w:rFonts w:hint="cs"/>
          <w:rtl/>
        </w:rPr>
        <w:t xml:space="preserve"> اغلب شایسته دسته‌های پویش خاص خود هستند.</w:t>
      </w:r>
    </w:p>
    <w:p w14:paraId="336DBBF5" w14:textId="040B88A9" w:rsidR="00537CC8" w:rsidRPr="0025250D" w:rsidRDefault="00537CC8" w:rsidP="00537CC8">
      <w:pPr>
        <w:rPr>
          <w:rtl/>
        </w:rPr>
      </w:pPr>
      <w:r w:rsidRPr="0025250D">
        <w:t>STEEP</w:t>
      </w:r>
      <w:r w:rsidRPr="0025250D">
        <w:rPr>
          <w:rFonts w:hint="cs"/>
          <w:rtl/>
        </w:rPr>
        <w:t xml:space="preserve"> امروزه جامعه کاربر</w:t>
      </w:r>
      <w:r w:rsidR="00B97419" w:rsidRPr="0025250D">
        <w:rPr>
          <w:rFonts w:hint="cs"/>
          <w:rtl/>
        </w:rPr>
        <w:t>ی</w:t>
      </w:r>
      <w:r w:rsidRPr="0025250D">
        <w:rPr>
          <w:rFonts w:hint="cs"/>
          <w:rtl/>
        </w:rPr>
        <w:t xml:space="preserve"> بسیار بزرگتری نسبت به </w:t>
      </w:r>
      <w:r w:rsidRPr="0025250D">
        <w:t>STEEPLES</w:t>
      </w:r>
      <w:r w:rsidRPr="0025250D">
        <w:rPr>
          <w:rFonts w:hint="cs"/>
          <w:rtl/>
        </w:rPr>
        <w:t xml:space="preserve"> و </w:t>
      </w:r>
      <w:r w:rsidRPr="0025250D">
        <w:t>STEEPLECOP</w:t>
      </w:r>
      <w:r w:rsidRPr="0025250D">
        <w:rPr>
          <w:rFonts w:hint="cs"/>
          <w:rtl/>
        </w:rPr>
        <w:t xml:space="preserve"> دارد، اما نواقص آن را در ذهن داشته باشید. علم برای آینده حیاتی است. سیاست شایسته تقسیم شدن میان اقدامات سیاسی (سیاست) و قواعد فعلی بازی سیاسی (قانونی) می‌باشد. موضوعات اجتماعی شایسته تقسیم شدن میان هنجار‌های فرهنگی فعلی (اخلاقی) و اقدامات، مسائل و عقاید گروه‌های آن (فرهنگی) هستند. پویش سازمانی و مردمی ما را از تیم‌ها و رهبرانی که نیاز داریم آن‌ها را تحلیل کرده، از آن‌ها تقلید کنیم یا به آن‌ها واکنش نشان دهیم آگاه می‌کند. همه این‌ها موارد یادگیری حیاتی هستند که به ما در تولید </w:t>
      </w:r>
      <w:r w:rsidRPr="0025250D">
        <w:rPr>
          <w:rtl/>
        </w:rPr>
        <w:t>آینده‌نگاری</w:t>
      </w:r>
      <w:r w:rsidRPr="0025250D">
        <w:rPr>
          <w:rFonts w:hint="cs"/>
          <w:rtl/>
        </w:rPr>
        <w:t xml:space="preserve"> کمک می‌کنند.</w:t>
      </w:r>
    </w:p>
    <w:p w14:paraId="13D0731C" w14:textId="49865C5D" w:rsidR="00537CC8" w:rsidRPr="0025250D" w:rsidRDefault="00537CC8" w:rsidP="00537CC8">
      <w:pPr>
        <w:rPr>
          <w:rtl/>
        </w:rPr>
      </w:pPr>
      <w:r w:rsidRPr="0025250D">
        <w:rPr>
          <w:rFonts w:hint="cs"/>
          <w:rtl/>
        </w:rPr>
        <w:t xml:space="preserve">وقتی به طور مشخص از دسته بندی‌های پویش </w:t>
      </w:r>
      <w:r w:rsidRPr="0025250D">
        <w:t>STEEPLECOP</w:t>
      </w:r>
      <w:r w:rsidRPr="0025250D">
        <w:rPr>
          <w:rFonts w:hint="cs"/>
          <w:rtl/>
        </w:rPr>
        <w:t xml:space="preserve"> استفاده می‌کنیم، آغاز به یادگیری درمورد فراگیر‌ترین و اساسی‌ترین </w:t>
      </w:r>
      <w:r w:rsidR="008D6F97" w:rsidRPr="0025250D">
        <w:rPr>
          <w:rFonts w:hint="cs"/>
          <w:rtl/>
        </w:rPr>
        <w:t>سامانه‌</w:t>
      </w:r>
      <w:r w:rsidRPr="0025250D">
        <w:rPr>
          <w:rFonts w:hint="cs"/>
          <w:rtl/>
        </w:rPr>
        <w:t xml:space="preserve">‌ها با سریع‌ترین نرخ تغییر می‌نماییم </w:t>
      </w:r>
      <w:r w:rsidRPr="0025250D">
        <w:rPr>
          <w:rFonts w:cs="Times New Roman" w:hint="cs"/>
          <w:rtl/>
        </w:rPr>
        <w:t>–</w:t>
      </w:r>
      <w:r w:rsidRPr="0025250D">
        <w:rPr>
          <w:rFonts w:hint="cs"/>
          <w:rtl/>
        </w:rPr>
        <w:t xml:space="preserve"> که اغلب حداقل تا حدی خارج از کنترل ما هستند. سپس به مجموعه‌ای از </w:t>
      </w:r>
      <w:r w:rsidR="008D6F97" w:rsidRPr="0025250D">
        <w:rPr>
          <w:rFonts w:hint="cs"/>
          <w:rtl/>
        </w:rPr>
        <w:t>سامانه‌</w:t>
      </w:r>
      <w:r w:rsidRPr="0025250D">
        <w:rPr>
          <w:rFonts w:hint="cs"/>
          <w:rtl/>
        </w:rPr>
        <w:t xml:space="preserve">‌های با تغییرات آهسته‌تر (اقتصادی، زیست محیطی، سیاسی، قانونی، اخلاقی، فرهنگی) وارد می‌شویم. ما کار خود را با دو </w:t>
      </w:r>
      <w:r w:rsidR="008D6F97" w:rsidRPr="0025250D">
        <w:rPr>
          <w:rFonts w:hint="cs"/>
          <w:rtl/>
        </w:rPr>
        <w:t>سامانه‌</w:t>
      </w:r>
      <w:r w:rsidRPr="0025250D">
        <w:rPr>
          <w:rFonts w:hint="cs"/>
          <w:rtl/>
        </w:rPr>
        <w:t xml:space="preserve"> (سازمان‌ها، مردم) که در آن‌ها بیش‌ترین میزان کنترل را داریم به پایان می‌بریم. به بیان دیگر، ما کار را به مثال‌هایی عملی از چگونگی </w:t>
      </w:r>
      <w:r w:rsidR="00AE5BE0" w:rsidRPr="0025250D">
        <w:rPr>
          <w:rFonts w:hint="cs"/>
          <w:rtl/>
        </w:rPr>
        <w:t>انطباق</w:t>
      </w:r>
      <w:r w:rsidRPr="0025250D">
        <w:rPr>
          <w:rFonts w:hint="cs"/>
          <w:rtl/>
        </w:rPr>
        <w:t xml:space="preserve"> خوب یا ضعیف با تغییرات به پایان می‌رسانیم.</w:t>
      </w:r>
    </w:p>
    <w:p w14:paraId="3EDCA920" w14:textId="14D3D18E" w:rsidR="00537CC8" w:rsidRPr="0025250D" w:rsidRDefault="00537CC8" w:rsidP="00537CC8">
      <w:pPr>
        <w:rPr>
          <w:rtl/>
        </w:rPr>
      </w:pPr>
      <w:r w:rsidRPr="0025250D">
        <w:rPr>
          <w:rFonts w:hint="cs"/>
          <w:rtl/>
        </w:rPr>
        <w:t xml:space="preserve">افراد بیش‌ترین کنترل را بر عقاید، افکار و اعمال خود، مستقل از </w:t>
      </w:r>
      <w:r w:rsidR="008D6F97" w:rsidRPr="0025250D">
        <w:rPr>
          <w:rFonts w:hint="cs"/>
          <w:rtl/>
        </w:rPr>
        <w:t>سامانه‌</w:t>
      </w:r>
      <w:r w:rsidRPr="0025250D">
        <w:rPr>
          <w:rFonts w:hint="cs"/>
          <w:rtl/>
        </w:rPr>
        <w:t xml:space="preserve"> سیاسی، سازمان یا فرهنگ خود دارند. پایان دادن به کار با دسته‌های </w:t>
      </w:r>
      <w:r w:rsidRPr="0025250D">
        <w:t>OP</w:t>
      </w:r>
      <w:r w:rsidRPr="0025250D">
        <w:rPr>
          <w:rFonts w:hint="cs"/>
          <w:rtl/>
        </w:rPr>
        <w:t xml:space="preserve">، ما را برای ایجاد </w:t>
      </w:r>
      <w:r w:rsidR="00701E03" w:rsidRPr="0025250D">
        <w:rPr>
          <w:rFonts w:hint="cs"/>
          <w:rtl/>
        </w:rPr>
        <w:t>راهبرد</w:t>
      </w:r>
      <w:r w:rsidRPr="0025250D">
        <w:rPr>
          <w:rFonts w:hint="cs"/>
          <w:rtl/>
        </w:rPr>
        <w:t xml:space="preserve"> و برنامه‌هایی که به فرصت‌ها، ریسک‌ها</w:t>
      </w:r>
      <w:r w:rsidR="008D6F97" w:rsidRPr="0025250D">
        <w:rPr>
          <w:rtl/>
        </w:rPr>
        <w:t xml:space="preserve"> </w:t>
      </w:r>
      <w:r w:rsidRPr="0025250D">
        <w:rPr>
          <w:rFonts w:hint="cs"/>
          <w:rtl/>
        </w:rPr>
        <w:t xml:space="preserve">و اعمال فردی ترجمه شده باشند، آماده می‌کند. این کار ما را برای تفکر </w:t>
      </w:r>
      <w:r w:rsidRPr="0025250D">
        <w:t>GRASP</w:t>
      </w:r>
      <w:r w:rsidRPr="0025250D">
        <w:rPr>
          <w:rFonts w:hint="cs"/>
          <w:rtl/>
        </w:rPr>
        <w:t xml:space="preserve"> و چرخه‌های </w:t>
      </w:r>
      <w:r w:rsidRPr="0025250D">
        <w:rPr>
          <w:rtl/>
        </w:rPr>
        <w:t>آینده‌نگاری</w:t>
      </w:r>
      <w:r w:rsidRPr="0025250D">
        <w:rPr>
          <w:rFonts w:hint="cs"/>
          <w:rtl/>
        </w:rPr>
        <w:t xml:space="preserve"> </w:t>
      </w:r>
      <w:r w:rsidRPr="0025250D">
        <w:t>REOPS</w:t>
      </w:r>
      <w:r w:rsidRPr="0025250D">
        <w:rPr>
          <w:rFonts w:hint="cs"/>
          <w:rtl/>
        </w:rPr>
        <w:t xml:space="preserve">، برای تقابل پیش‌بین و </w:t>
      </w:r>
      <w:r w:rsidR="002B6515" w:rsidRPr="0025250D">
        <w:rPr>
          <w:rtl/>
        </w:rPr>
        <w:t>حس‌داد</w:t>
      </w:r>
      <w:r w:rsidRPr="0025250D">
        <w:rPr>
          <w:rFonts w:hint="cs"/>
          <w:rtl/>
        </w:rPr>
        <w:t xml:space="preserve"> در سطوح فردی و سازمانی آماده می‌سازد</w:t>
      </w:r>
      <w:r w:rsidR="008D6F97" w:rsidRPr="0025250D">
        <w:rPr>
          <w:rtl/>
        </w:rPr>
        <w:t xml:space="preserve">؛ </w:t>
      </w:r>
      <w:r w:rsidRPr="0025250D">
        <w:rPr>
          <w:rFonts w:hint="cs"/>
          <w:rtl/>
        </w:rPr>
        <w:t xml:space="preserve">بنابراین امیدواریم که پویش </w:t>
      </w:r>
      <w:r w:rsidRPr="0025250D">
        <w:t>STEEPLES</w:t>
      </w:r>
      <w:r w:rsidRPr="0025250D">
        <w:rPr>
          <w:rFonts w:hint="cs"/>
          <w:rtl/>
        </w:rPr>
        <w:t xml:space="preserve"> و </w:t>
      </w:r>
      <w:r w:rsidRPr="0025250D">
        <w:t>STEEPLECOP</w:t>
      </w:r>
      <w:r w:rsidRPr="0025250D">
        <w:rPr>
          <w:rFonts w:hint="cs"/>
          <w:rtl/>
        </w:rPr>
        <w:t xml:space="preserve"> اقبال گسترده تری در میان متخصصین و دانشجویان </w:t>
      </w:r>
      <w:r w:rsidRPr="0025250D">
        <w:rPr>
          <w:rtl/>
        </w:rPr>
        <w:t>آینده‌نگاری</w:t>
      </w:r>
      <w:r w:rsidRPr="0025250D">
        <w:rPr>
          <w:rFonts w:hint="cs"/>
          <w:rtl/>
        </w:rPr>
        <w:t xml:space="preserve"> بیابند.</w:t>
      </w:r>
    </w:p>
    <w:p w14:paraId="3251140E" w14:textId="4922BFE5" w:rsidR="00537CC8" w:rsidRPr="0025250D" w:rsidRDefault="00537CC8" w:rsidP="00537CC8">
      <w:pPr>
        <w:rPr>
          <w:b/>
          <w:bCs/>
          <w:rtl/>
        </w:rPr>
      </w:pPr>
      <w:r w:rsidRPr="0025250D">
        <w:rPr>
          <w:rFonts w:hint="cs"/>
          <w:b/>
          <w:bCs/>
          <w:rtl/>
        </w:rPr>
        <w:t xml:space="preserve">ج) مطالعه اسپرینت: یادگیری </w:t>
      </w:r>
      <w:r w:rsidR="007B3B35" w:rsidRPr="0025250D">
        <w:rPr>
          <w:rFonts w:hint="cs"/>
          <w:b/>
          <w:bCs/>
          <w:rtl/>
        </w:rPr>
        <w:t>شتاب‌گیر</w:t>
      </w:r>
      <w:r w:rsidRPr="0025250D">
        <w:rPr>
          <w:rFonts w:hint="cs"/>
          <w:b/>
          <w:bCs/>
          <w:rtl/>
        </w:rPr>
        <w:t xml:space="preserve">نده برای تعالی </w:t>
      </w:r>
      <w:r w:rsidRPr="0025250D">
        <w:rPr>
          <w:b/>
          <w:bCs/>
          <w:rtl/>
        </w:rPr>
        <w:t>آینده‌نگاری</w:t>
      </w:r>
    </w:p>
    <w:p w14:paraId="6B7B3859" w14:textId="00CB4CD3" w:rsidR="00537CC8" w:rsidRPr="0025250D" w:rsidRDefault="00537CC8" w:rsidP="00537CC8">
      <w:pPr>
        <w:rPr>
          <w:rtl/>
        </w:rPr>
      </w:pPr>
      <w:r w:rsidRPr="0025250D">
        <w:rPr>
          <w:rFonts w:hint="cs"/>
          <w:rtl/>
        </w:rPr>
        <w:t>ما به کتاب‌های خوب فراوانی در این کتاب ارجاع داده یا اشاره کرده‌ایم. یک کتاب قوی می‌تواند یک موضوع مفید را به شکلی بی نظیر با عمق و وسعت بالا توسعه دهد</w:t>
      </w:r>
      <w:r w:rsidR="008D6F97" w:rsidRPr="0025250D">
        <w:rPr>
          <w:rtl/>
        </w:rPr>
        <w:t xml:space="preserve">؛ </w:t>
      </w:r>
      <w:r w:rsidRPr="0025250D">
        <w:rPr>
          <w:rFonts w:hint="cs"/>
          <w:rtl/>
        </w:rPr>
        <w:t>بنابراین، می‌تواند تا جایی که بتوانیم از میان محتوا به خوبی راهبری کنیم، حتی نسبت به یک مصاحبه مستقیم با نویسنده آن مفید‌تر باشد.</w:t>
      </w:r>
    </w:p>
    <w:p w14:paraId="712D914F" w14:textId="0A20F8CA" w:rsidR="00537CC8" w:rsidRPr="0025250D" w:rsidRDefault="00537CC8" w:rsidP="00537CC8">
      <w:pPr>
        <w:rPr>
          <w:rtl/>
        </w:rPr>
      </w:pPr>
      <w:r w:rsidRPr="0025250D">
        <w:rPr>
          <w:rFonts w:hint="cs"/>
          <w:rtl/>
        </w:rPr>
        <w:t xml:space="preserve">در زیر یک روش یادگیری مفید برای کتاب‌ها و دیگر رسانه‌های چاپی وجود دارد که </w:t>
      </w:r>
      <w:r w:rsidRPr="0025250D">
        <w:rPr>
          <w:rtl/>
        </w:rPr>
        <w:t>جان</w:t>
      </w:r>
      <w:r w:rsidR="00B97419" w:rsidRPr="0025250D">
        <w:rPr>
          <w:rFonts w:hint="cs"/>
          <w:rtl/>
        </w:rPr>
        <w:t xml:space="preserve"> اسمارت</w:t>
      </w:r>
      <w:r w:rsidRPr="0025250D">
        <w:rPr>
          <w:rFonts w:hint="cs"/>
          <w:rtl/>
        </w:rPr>
        <w:t xml:space="preserve"> برای بیش از بیست سال از آن استفاده کرده و برای ده سال آن را آموزش داده است؛ روشی که او به‌شدت توصیه می‌کند. ما آن را مطالعه اسپرینت می‌نامیم (یا مطالعه با بازیابی سریع</w:t>
      </w:r>
      <w:r w:rsidRPr="0025250D">
        <w:rPr>
          <w:vertAlign w:val="superscript"/>
          <w:rtl/>
        </w:rPr>
        <w:footnoteReference w:id="2557"/>
      </w:r>
      <w:r w:rsidRPr="0025250D">
        <w:rPr>
          <w:rFonts w:hint="cs"/>
          <w:rtl/>
        </w:rPr>
        <w:t>، یا مطالعه بازه ای</w:t>
      </w:r>
      <w:r w:rsidRPr="0025250D">
        <w:rPr>
          <w:vertAlign w:val="superscript"/>
          <w:rtl/>
        </w:rPr>
        <w:footnoteReference w:id="2558"/>
      </w:r>
      <w:r w:rsidRPr="0025250D">
        <w:rPr>
          <w:rFonts w:hint="cs"/>
          <w:rtl/>
        </w:rPr>
        <w:t xml:space="preserve">). این روش نوعی از مطالعه بازه‌ای است که از مطالعه‌های سریع با </w:t>
      </w:r>
      <w:r w:rsidR="00A20CCB" w:rsidRPr="0025250D">
        <w:rPr>
          <w:rFonts w:hint="cs"/>
          <w:rtl/>
        </w:rPr>
        <w:t>زمان‌بندی</w:t>
      </w:r>
      <w:r w:rsidRPr="0025250D">
        <w:rPr>
          <w:rFonts w:hint="cs"/>
          <w:rtl/>
        </w:rPr>
        <w:t xml:space="preserve"> تقریبی، با حاشیه نویسی</w:t>
      </w:r>
      <w:r w:rsidRPr="0025250D">
        <w:rPr>
          <w:vertAlign w:val="superscript"/>
          <w:rtl/>
        </w:rPr>
        <w:footnoteReference w:id="2559"/>
      </w:r>
      <w:r w:rsidRPr="0025250D">
        <w:rPr>
          <w:rFonts w:hint="cs"/>
          <w:rtl/>
        </w:rPr>
        <w:t xml:space="preserve"> و با بازیابی‌های خلاصه استفاده می‌کند. یادگیری بازه‌ای درست مانند تمرین بازه ای، سرعت، ظرفیت</w:t>
      </w:r>
      <w:r w:rsidR="008D6F97" w:rsidRPr="0025250D">
        <w:rPr>
          <w:rtl/>
        </w:rPr>
        <w:t xml:space="preserve"> </w:t>
      </w:r>
      <w:r w:rsidRPr="0025250D">
        <w:rPr>
          <w:rFonts w:hint="cs"/>
          <w:rtl/>
        </w:rPr>
        <w:t>و پایداری و دوام یادگیری ایجاد می‌کند.</w:t>
      </w:r>
    </w:p>
    <w:p w14:paraId="7C2C81F3" w14:textId="50660CED" w:rsidR="00537CC8" w:rsidRPr="0025250D" w:rsidRDefault="00537CC8" w:rsidP="00537CC8">
      <w:pPr>
        <w:rPr>
          <w:rtl/>
        </w:rPr>
      </w:pPr>
      <w:r w:rsidRPr="0025250D">
        <w:rPr>
          <w:rFonts w:hint="cs"/>
          <w:rtl/>
        </w:rPr>
        <w:t xml:space="preserve">آیا کسی دویدن بازه‌ای را در مدرسه به خاطر دارد؟ در رقابت، مربیان معمولاً از ما می‌خواستند که تمرینات بازه‌ای را (حرکات سریع کوتاه و </w:t>
      </w:r>
      <w:r w:rsidR="00A20CCB" w:rsidRPr="0025250D">
        <w:rPr>
          <w:rFonts w:hint="cs"/>
          <w:rtl/>
        </w:rPr>
        <w:t>زمان‌بندی</w:t>
      </w:r>
      <w:r w:rsidRPr="0025250D">
        <w:rPr>
          <w:rFonts w:hint="cs"/>
          <w:rtl/>
        </w:rPr>
        <w:t xml:space="preserve"> شده با زمان‌های کوچکی برای بازیابی و استراحت) حداقل دو یا یک بار در هفته انجام دهیم، زیرا چنین تمریناتی، بسیار بیش‌تر از تمرینات معمول، سرعت، قدرت و استقامت ما را افزایش می‌دهند. ما اغلب ابتدا </w:t>
      </w:r>
      <w:r w:rsidR="00B97419" w:rsidRPr="0025250D">
        <w:rPr>
          <w:rFonts w:hint="cs"/>
          <w:rtl/>
        </w:rPr>
        <w:t>این تمرینات</w:t>
      </w:r>
      <w:r w:rsidRPr="0025250D">
        <w:rPr>
          <w:rFonts w:hint="cs"/>
          <w:rtl/>
        </w:rPr>
        <w:t xml:space="preserve"> را دوست نداریم، اما آن‌ها مطمئن‌ترین راه برای پیشرفت ما، مانند ورزشکاران هستند. تمرینات بازه‌ای با شدت زیاد</w:t>
      </w:r>
      <w:r w:rsidRPr="0025250D">
        <w:rPr>
          <w:vertAlign w:val="superscript"/>
          <w:rtl/>
        </w:rPr>
        <w:footnoteReference w:id="2560"/>
      </w:r>
      <w:r w:rsidRPr="0025250D">
        <w:rPr>
          <w:rFonts w:hint="cs"/>
          <w:rtl/>
        </w:rPr>
        <w:t xml:space="preserve"> (</w:t>
      </w:r>
      <w:r w:rsidRPr="0025250D">
        <w:t>HIIT</w:t>
      </w:r>
      <w:r w:rsidRPr="0025250D">
        <w:rPr>
          <w:rFonts w:hint="cs"/>
          <w:rtl/>
        </w:rPr>
        <w:t xml:space="preserve">) متعاقبا، نسخه مدرن تمرینات بازه‌ای </w:t>
      </w:r>
      <w:r w:rsidRPr="0025250D">
        <w:rPr>
          <w:rFonts w:cs="Times New Roman" w:hint="cs"/>
          <w:rtl/>
        </w:rPr>
        <w:t>–</w:t>
      </w:r>
      <w:r w:rsidRPr="0025250D">
        <w:rPr>
          <w:rFonts w:hint="cs"/>
          <w:rtl/>
        </w:rPr>
        <w:t xml:space="preserve"> مفید در همه انواع ورزش‌ها - هستند.</w:t>
      </w:r>
    </w:p>
    <w:p w14:paraId="52824A07" w14:textId="77777777" w:rsidR="00537CC8" w:rsidRPr="0025250D" w:rsidRDefault="00537CC8" w:rsidP="003D3E0A">
      <w:pPr>
        <w:jc w:val="center"/>
        <w:rPr>
          <w:rtl/>
        </w:rPr>
      </w:pPr>
      <w:r w:rsidRPr="0025250D">
        <w:rPr>
          <w:noProof/>
          <w:rtl/>
          <w:lang w:bidi="ar-SA"/>
        </w:rPr>
        <w:drawing>
          <wp:inline distT="0" distB="0" distL="0" distR="0" wp14:anchorId="245BF7B5" wp14:editId="1D891CDB">
            <wp:extent cx="4053256" cy="2682815"/>
            <wp:effectExtent l="0" t="0" r="4445" b="3810"/>
            <wp:docPr id="156" name="Picture 156" descr="D:\کار\مستقل\3 ( ترجمه ی دانشگاه تهران  )\Introduction to Foresight\part7\54-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کار\مستقل\3 ( ترجمه ی دانشگاه تهران  )\Introduction to Foresight\part7\54-new.png"/>
                    <pic:cNvPicPr>
                      <a:picLocks noChangeAspect="1" noChangeArrowheads="1"/>
                    </pic:cNvPicPr>
                  </pic:nvPicPr>
                  <pic:blipFill rotWithShape="1">
                    <a:blip r:embed="rId256" cstate="screen">
                      <a:extLst>
                        <a:ext uri="{BEBA8EAE-BF5A-486C-A8C5-ECC9F3942E4B}">
                          <a14:imgProps xmlns:a14="http://schemas.microsoft.com/office/drawing/2010/main">
                            <a14:imgLayer r:embed="rId257">
                              <a14:imgEffect>
                                <a14:saturation sat="0"/>
                              </a14:imgEffect>
                            </a14:imgLayer>
                          </a14:imgProps>
                        </a:ext>
                        <a:ext uri="{28A0092B-C50C-407E-A947-70E740481C1C}">
                          <a14:useLocalDpi xmlns:a14="http://schemas.microsoft.com/office/drawing/2010/main"/>
                        </a:ext>
                      </a:extLst>
                    </a:blip>
                    <a:srcRect/>
                    <a:stretch/>
                  </pic:blipFill>
                  <pic:spPr bwMode="auto">
                    <a:xfrm>
                      <a:off x="0" y="0"/>
                      <a:ext cx="4061986" cy="2688593"/>
                    </a:xfrm>
                    <a:prstGeom prst="rect">
                      <a:avLst/>
                    </a:prstGeom>
                    <a:noFill/>
                    <a:ln>
                      <a:noFill/>
                    </a:ln>
                    <a:extLst>
                      <a:ext uri="{53640926-AAD7-44D8-BBD7-CCE9431645EC}">
                        <a14:shadowObscured xmlns:a14="http://schemas.microsoft.com/office/drawing/2010/main"/>
                      </a:ext>
                    </a:extLst>
                  </pic:spPr>
                </pic:pic>
              </a:graphicData>
            </a:graphic>
          </wp:inline>
        </w:drawing>
      </w:r>
    </w:p>
    <w:p w14:paraId="6B5EC708" w14:textId="218E2A82" w:rsidR="00537CC8" w:rsidRPr="0025250D" w:rsidRDefault="00537CC8" w:rsidP="003D3E0A">
      <w:pPr>
        <w:jc w:val="center"/>
        <w:rPr>
          <w:rtl/>
        </w:rPr>
      </w:pPr>
      <w:r w:rsidRPr="0025250D">
        <w:rPr>
          <w:rFonts w:hint="cs"/>
          <w:rtl/>
        </w:rPr>
        <w:t xml:space="preserve">اسپرین‌های </w:t>
      </w:r>
      <w:r w:rsidR="00A20CCB" w:rsidRPr="0025250D">
        <w:rPr>
          <w:rFonts w:hint="cs"/>
          <w:rtl/>
        </w:rPr>
        <w:t>زمان‌بندی</w:t>
      </w:r>
      <w:r w:rsidRPr="0025250D">
        <w:rPr>
          <w:rFonts w:hint="cs"/>
          <w:rtl/>
        </w:rPr>
        <w:t xml:space="preserve"> شده (در تمرین و یادگیری)</w:t>
      </w:r>
    </w:p>
    <w:p w14:paraId="2E066B9A" w14:textId="61E554FF" w:rsidR="00537CC8" w:rsidRPr="0025250D" w:rsidRDefault="00537CC8" w:rsidP="00537CC8">
      <w:pPr>
        <w:rPr>
          <w:rtl/>
        </w:rPr>
      </w:pPr>
      <w:r w:rsidRPr="0025250D">
        <w:rPr>
          <w:rFonts w:hint="cs"/>
          <w:rtl/>
        </w:rPr>
        <w:t xml:space="preserve">مطالعه سریع/بازه‌ای روشی از مطالعه است که ما در </w:t>
      </w:r>
      <w:r w:rsidRPr="0025250D">
        <w:t>4U</w:t>
      </w:r>
      <w:r w:rsidRPr="0025250D">
        <w:rPr>
          <w:rFonts w:hint="cs"/>
          <w:rtl/>
        </w:rPr>
        <w:t xml:space="preserve"> بر اساس </w:t>
      </w:r>
      <w:r w:rsidRPr="0025250D">
        <w:t>HIIT</w:t>
      </w:r>
      <w:r w:rsidRPr="0025250D">
        <w:rPr>
          <w:rFonts w:hint="cs"/>
          <w:rtl/>
        </w:rPr>
        <w:t xml:space="preserve">، برای پیشرفت یادگیری فردی و تیمی توسعه </w:t>
      </w:r>
      <w:r w:rsidR="00892D13" w:rsidRPr="0025250D">
        <w:rPr>
          <w:rFonts w:hint="cs"/>
          <w:rtl/>
        </w:rPr>
        <w:t>داده‌ایم</w:t>
      </w:r>
      <w:r w:rsidRPr="0025250D">
        <w:rPr>
          <w:rFonts w:hint="cs"/>
          <w:rtl/>
        </w:rPr>
        <w:t xml:space="preserve">. تعداد کمی از ما آن را به دانشجویان و گروه‌های رهبری در دهه اخیر آموزش </w:t>
      </w:r>
      <w:r w:rsidR="00892D13" w:rsidRPr="0025250D">
        <w:rPr>
          <w:rFonts w:hint="cs"/>
          <w:rtl/>
        </w:rPr>
        <w:t>داده‌ایم</w:t>
      </w:r>
      <w:r w:rsidRPr="0025250D">
        <w:rPr>
          <w:rFonts w:hint="cs"/>
          <w:rtl/>
        </w:rPr>
        <w:t xml:space="preserve">. راه‌های متعددی برای افزایش سرعت یادگیری وجود دارند، اما مطالعه اسپرینت قدرتمند‌ترین روشی است که می‌شناسیم و یادگیری اولین گام برای </w:t>
      </w:r>
      <w:r w:rsidRPr="0025250D">
        <w:rPr>
          <w:rtl/>
        </w:rPr>
        <w:t>آینده‌نگاری</w:t>
      </w:r>
      <w:r w:rsidRPr="0025250D">
        <w:rPr>
          <w:rFonts w:hint="cs"/>
          <w:rtl/>
        </w:rPr>
        <w:t xml:space="preserve"> است</w:t>
      </w:r>
      <w:r w:rsidR="008D6F97" w:rsidRPr="0025250D">
        <w:rPr>
          <w:rtl/>
        </w:rPr>
        <w:t xml:space="preserve">؛ </w:t>
      </w:r>
      <w:r w:rsidRPr="0025250D">
        <w:rPr>
          <w:rFonts w:hint="cs"/>
          <w:rtl/>
        </w:rPr>
        <w:t xml:space="preserve">بنابراین، این روش یادگیری به جعبه ابزار </w:t>
      </w:r>
      <w:r w:rsidRPr="0025250D">
        <w:rPr>
          <w:rtl/>
        </w:rPr>
        <w:t>آینده‌نگاری</w:t>
      </w:r>
      <w:r w:rsidRPr="0025250D">
        <w:rPr>
          <w:rFonts w:hint="cs"/>
          <w:rtl/>
        </w:rPr>
        <w:t xml:space="preserve"> فردی ما تعلق دارد.</w:t>
      </w:r>
    </w:p>
    <w:p w14:paraId="475AC9C9" w14:textId="60C91580" w:rsidR="00537CC8" w:rsidRPr="0025250D" w:rsidRDefault="00537CC8" w:rsidP="00537CC8">
      <w:pPr>
        <w:rPr>
          <w:rtl/>
        </w:rPr>
      </w:pPr>
      <w:r w:rsidRPr="0025250D">
        <w:rPr>
          <w:rFonts w:hint="cs"/>
          <w:rtl/>
        </w:rPr>
        <w:t xml:space="preserve">قبل از این که درمورد این روش بحث کنیم، در نظر بگیرید که چرا مطالعه منظم و </w:t>
      </w:r>
      <w:r w:rsidR="00A20CCB" w:rsidRPr="0025250D">
        <w:rPr>
          <w:rFonts w:hint="cs"/>
          <w:rtl/>
        </w:rPr>
        <w:t>زمان‌بندی</w:t>
      </w:r>
      <w:r w:rsidRPr="0025250D">
        <w:rPr>
          <w:rFonts w:hint="cs"/>
          <w:rtl/>
        </w:rPr>
        <w:t xml:space="preserve"> شده اولویت این چنین مهمی برای یادگیری فردی است. روانشنانسان به ما می‌گویند که مطالعه به طور کلی (تخیلی یا غیر تخیلی) هوش هیجانی و سیال</w:t>
      </w:r>
      <w:r w:rsidRPr="0025250D">
        <w:rPr>
          <w:vertAlign w:val="superscript"/>
          <w:rtl/>
        </w:rPr>
        <w:footnoteReference w:id="2561"/>
      </w:r>
      <w:r w:rsidRPr="0025250D">
        <w:rPr>
          <w:rFonts w:hint="cs"/>
          <w:rtl/>
        </w:rPr>
        <w:t xml:space="preserve"> ما را بهبود می‌بخشد. مطالعه به تفکر و پویش انتقادی و پیچیده نیاز دارد و ما باید به صورت فعال تفسیر خود را ایجاد کنیم که یک اقدام ذهنی شدید و بسیار خلاقانه است. با این حال حتی با این وجود که بسیاری از ما مزایای مطالعه را می‌دانیم، میانگین میزان مطالعه هر فرد بزرگسال در آمریکا چهار کتاب در هر سال است. در مقابل، برخی مدیر عاملان در هر سال چهل کتاب را مطالعه می‌کنند. ما در این مقایسه به صورت فردی کجا قرار می‌گیریم؟</w:t>
      </w:r>
    </w:p>
    <w:p w14:paraId="00FC11DE" w14:textId="2EF00F93" w:rsidR="00537CC8" w:rsidRPr="0025250D" w:rsidRDefault="00537CC8" w:rsidP="00537CC8">
      <w:pPr>
        <w:rPr>
          <w:rtl/>
        </w:rPr>
      </w:pPr>
      <w:r w:rsidRPr="0025250D">
        <w:rPr>
          <w:rFonts w:hint="cs"/>
          <w:rtl/>
        </w:rPr>
        <w:t>بیش‌تر ما اکثر مطالعه خود را فقط برای سرگرمی انجام می‌دهیم</w:t>
      </w:r>
      <w:r w:rsidR="008D6F97" w:rsidRPr="0025250D">
        <w:rPr>
          <w:rtl/>
        </w:rPr>
        <w:t xml:space="preserve">؛ </w:t>
      </w:r>
      <w:r w:rsidR="0020589F" w:rsidRPr="0025250D">
        <w:rPr>
          <w:rtl/>
        </w:rPr>
        <w:t>اما</w:t>
      </w:r>
      <w:r w:rsidRPr="0025250D">
        <w:rPr>
          <w:rFonts w:hint="cs"/>
          <w:rtl/>
        </w:rPr>
        <w:t xml:space="preserve"> با رشد عادات مطالعه، می‌توانیم به صورت تدریجی انتخاب‌های مطالعاتی با کیفیت تری داشته باشیم.</w:t>
      </w:r>
    </w:p>
    <w:p w14:paraId="61463010" w14:textId="77777777" w:rsidR="00537CC8" w:rsidRPr="0025250D" w:rsidRDefault="00537CC8" w:rsidP="00537CC8">
      <w:pPr>
        <w:rPr>
          <w:rtl/>
        </w:rPr>
      </w:pPr>
      <w:r w:rsidRPr="0025250D">
        <w:rPr>
          <w:rFonts w:hint="cs"/>
          <w:rtl/>
        </w:rPr>
        <w:t xml:space="preserve">برنامه نویسان اصطلاح </w:t>
      </w:r>
      <w:r w:rsidRPr="0025250D">
        <w:t>GIGO</w:t>
      </w:r>
      <w:r w:rsidRPr="0025250D">
        <w:rPr>
          <w:rFonts w:hint="cs"/>
          <w:rtl/>
        </w:rPr>
        <w:t xml:space="preserve"> را می‌شناسند: به معنی ورودی زباله</w:t>
      </w:r>
      <w:r w:rsidRPr="0025250D">
        <w:rPr>
          <w:vertAlign w:val="superscript"/>
          <w:rtl/>
        </w:rPr>
        <w:footnoteReference w:id="2562"/>
      </w:r>
      <w:r w:rsidRPr="0025250D">
        <w:rPr>
          <w:rFonts w:hint="cs"/>
          <w:rtl/>
        </w:rPr>
        <w:t xml:space="preserve"> </w:t>
      </w:r>
      <w:r w:rsidRPr="0025250D">
        <w:rPr>
          <w:rFonts w:cs="Times New Roman" w:hint="cs"/>
          <w:rtl/>
        </w:rPr>
        <w:t>←</w:t>
      </w:r>
      <w:r w:rsidRPr="0025250D">
        <w:rPr>
          <w:rFonts w:hint="cs"/>
          <w:rtl/>
        </w:rPr>
        <w:t xml:space="preserve"> خروجی زباله</w:t>
      </w:r>
      <w:r w:rsidRPr="0025250D">
        <w:rPr>
          <w:vertAlign w:val="superscript"/>
          <w:rtl/>
        </w:rPr>
        <w:footnoteReference w:id="2563"/>
      </w:r>
    </w:p>
    <w:p w14:paraId="5CAEBB6A" w14:textId="77777777" w:rsidR="00537CC8" w:rsidRPr="0025250D" w:rsidRDefault="00537CC8" w:rsidP="00537CC8">
      <w:pPr>
        <w:rPr>
          <w:rtl/>
        </w:rPr>
      </w:pPr>
      <w:r w:rsidRPr="0025250D">
        <w:rPr>
          <w:rFonts w:hint="cs"/>
          <w:rtl/>
        </w:rPr>
        <w:t xml:space="preserve">مطالعه کنندگان یک اصلاح </w:t>
      </w:r>
      <w:r w:rsidRPr="0025250D">
        <w:t>GIGO</w:t>
      </w:r>
      <w:r w:rsidRPr="0025250D">
        <w:rPr>
          <w:rFonts w:hint="cs"/>
          <w:rtl/>
        </w:rPr>
        <w:t xml:space="preserve"> دیگر را می‌شناسند: ورودی‌های عالی</w:t>
      </w:r>
      <w:r w:rsidRPr="0025250D">
        <w:rPr>
          <w:vertAlign w:val="superscript"/>
          <w:rtl/>
        </w:rPr>
        <w:footnoteReference w:id="2564"/>
      </w:r>
      <w:r w:rsidRPr="0025250D">
        <w:rPr>
          <w:rFonts w:hint="cs"/>
          <w:rtl/>
        </w:rPr>
        <w:t xml:space="preserve"> </w:t>
      </w:r>
      <w:r w:rsidRPr="0025250D">
        <w:rPr>
          <w:rFonts w:cs="Times New Roman" w:hint="cs"/>
          <w:rtl/>
        </w:rPr>
        <w:t>←</w:t>
      </w:r>
      <w:r w:rsidRPr="0025250D">
        <w:rPr>
          <w:rFonts w:hint="cs"/>
          <w:rtl/>
        </w:rPr>
        <w:t xml:space="preserve"> خروجی‌های عالی</w:t>
      </w:r>
      <w:r w:rsidRPr="0025250D">
        <w:rPr>
          <w:vertAlign w:val="superscript"/>
          <w:rtl/>
        </w:rPr>
        <w:footnoteReference w:id="2565"/>
      </w:r>
      <w:r w:rsidRPr="0025250D">
        <w:rPr>
          <w:rFonts w:hint="cs"/>
          <w:rtl/>
        </w:rPr>
        <w:t>.</w:t>
      </w:r>
    </w:p>
    <w:p w14:paraId="3658C280" w14:textId="760ABA3C" w:rsidR="00537CC8" w:rsidRPr="0025250D" w:rsidRDefault="00537CC8" w:rsidP="00537CC8">
      <w:pPr>
        <w:rPr>
          <w:rtl/>
        </w:rPr>
      </w:pPr>
      <w:r w:rsidRPr="0025250D">
        <w:rPr>
          <w:rtl/>
        </w:rPr>
        <w:t>اَسبک مغز</w:t>
      </w:r>
      <w:r w:rsidRPr="0025250D">
        <w:rPr>
          <w:vertAlign w:val="superscript"/>
          <w:rtl/>
        </w:rPr>
        <w:footnoteReference w:id="2566"/>
      </w:r>
      <w:r w:rsidRPr="0025250D">
        <w:rPr>
          <w:rFonts w:hint="cs"/>
          <w:rtl/>
        </w:rPr>
        <w:t xml:space="preserve"> شما اشاره گر‌هایی به مقادیر وسیعی از اطلاعات را، از 24 تا 48 ساعت گذشته، در حافظه کوتاه مدت شما ذخیره می‌کند. شما به شکل انتخابی مقدار کوچکی از آن اطلاعات تجربی روزانه را در حافظه بلند مدت خود، در طول خواب و تمرین و تکرار وارد می‌کنید (از نظر فنی، تجمیع می‌کنید). این دو عبارت به ما یادآوری می‌کنند آنچه در 24 تا 48 ساعت گذشته انجام </w:t>
      </w:r>
      <w:r w:rsidR="00892D13" w:rsidRPr="0025250D">
        <w:rPr>
          <w:rFonts w:hint="cs"/>
          <w:rtl/>
        </w:rPr>
        <w:t>داده‌ایم</w:t>
      </w:r>
      <w:r w:rsidRPr="0025250D">
        <w:rPr>
          <w:rFonts w:hint="cs"/>
          <w:rtl/>
        </w:rPr>
        <w:t>، به‌شدت بر توانایی‌های امروزمان اثر گذار هستند. این امر به ما یادآور</w:t>
      </w:r>
      <w:r w:rsidR="00B97419" w:rsidRPr="0025250D">
        <w:rPr>
          <w:rFonts w:hint="cs"/>
          <w:rtl/>
        </w:rPr>
        <w:t>ی</w:t>
      </w:r>
      <w:r w:rsidRPr="0025250D">
        <w:rPr>
          <w:rFonts w:hint="cs"/>
          <w:rtl/>
        </w:rPr>
        <w:t xml:space="preserve"> می‌کند که مطالعه خوب تفکر خوب را تقویت خواهد کرد، به ویژه برای 24 تا 48 ساعت بعدی. در مقابل، مشاهده موارد غیر مفید سبب تفکر ضعیف در 24 تا 48 ساعت بعدی می‌شود. مطالعه با توجه، مکرر، چهار روز یا بیش‌تر در هفته، تفکر عالی مداوم را موجب می‌شود. هرچه مطالعه ما مرتبط‌تر و با کیفیت‌تر باشد، بیش‌تر می‌توانیم از </w:t>
      </w:r>
      <w:r w:rsidRPr="0025250D">
        <w:t>GIGO</w:t>
      </w:r>
      <w:r w:rsidRPr="0025250D">
        <w:rPr>
          <w:rFonts w:hint="cs"/>
          <w:rtl/>
        </w:rPr>
        <w:t xml:space="preserve"> مثبت استفاده کرده و از </w:t>
      </w:r>
      <w:r w:rsidRPr="0025250D">
        <w:t>GIGO</w:t>
      </w:r>
      <w:r w:rsidRPr="0025250D">
        <w:rPr>
          <w:rFonts w:hint="cs"/>
          <w:rtl/>
        </w:rPr>
        <w:t xml:space="preserve"> منفی اجتناب کنیم. انتخاب‌های مطالعاتی عالی در عوض به مطالعه اسپرینت نیاز دارند. انتخاب کنندگان خوب گزینه‌های مختلف، فهرست‌های مطالعاتی و نقد‌های مروری را، به دنبال تفکر مبتنی بر شواهد، پرسش سؤالات و درخواست پیشنهاد پویش می‌کنند.</w:t>
      </w:r>
    </w:p>
    <w:p w14:paraId="062A7F0C" w14:textId="566E87D5" w:rsidR="00537CC8" w:rsidRPr="0025250D" w:rsidRDefault="00537CC8" w:rsidP="00537CC8">
      <w:pPr>
        <w:rPr>
          <w:rtl/>
        </w:rPr>
      </w:pPr>
      <w:r w:rsidRPr="0025250D">
        <w:rPr>
          <w:rFonts w:hint="cs"/>
          <w:rtl/>
        </w:rPr>
        <w:t xml:space="preserve">مطالعه اسپرینت عمل یادگیری چگونگی داشتن بهترین انتخاب و حرکت سریع از میان برخی از کتاب‌ها، گزارش‌ها، مجلات، نشریه‌ها و مقالات مفید اخیر در بازه‌های </w:t>
      </w:r>
      <w:r w:rsidR="00A20CCB" w:rsidRPr="0025250D">
        <w:rPr>
          <w:rFonts w:hint="cs"/>
          <w:rtl/>
        </w:rPr>
        <w:t>زمان‌بندی</w:t>
      </w:r>
      <w:r w:rsidRPr="0025250D">
        <w:rPr>
          <w:rFonts w:hint="cs"/>
          <w:rtl/>
        </w:rPr>
        <w:t xml:space="preserve"> شده کوتاه، بازه‌هایی کوتاه برای بازبینی و بازبینی‌های متمرکز بر آنچه آموخته ایم، می‌باشد. درست مانند تمرینات بازه‌ای در رشته‌های ورزشی، مطالعه بازه‌ای که تأثیر مثبت ابتدایی آن تا 48 ساعت می‌باشد، کاری است که اگر بخواهیم ذهن‌های خود را سریع‌تر و قوی‌تر سازیم، باید دو یا چند بار در هفته انجام دهیم. می‌توانیم در دیگر مواقع با ریتم طبیعی خود آهسته‌تر مطالعه کنیم</w:t>
      </w:r>
      <w:r w:rsidR="008D6F97" w:rsidRPr="0025250D">
        <w:rPr>
          <w:rtl/>
        </w:rPr>
        <w:t xml:space="preserve">؛ </w:t>
      </w:r>
      <w:r w:rsidR="0020589F" w:rsidRPr="0025250D">
        <w:rPr>
          <w:rtl/>
        </w:rPr>
        <w:t>اما</w:t>
      </w:r>
      <w:r w:rsidRPr="0025250D">
        <w:rPr>
          <w:rFonts w:hint="cs"/>
          <w:rtl/>
        </w:rPr>
        <w:t xml:space="preserve"> به زودی متوجه خواهیم شد که هر چه تند خوانی بیش‌تری انجام دهیم، مطالعه طبیعی ما سریع‌تر، قوی‌تر و طولانی‌تر خواهد شد.</w:t>
      </w:r>
    </w:p>
    <w:p w14:paraId="27589AF8" w14:textId="0516B0C2" w:rsidR="00537CC8" w:rsidRPr="0025250D" w:rsidRDefault="00537CC8" w:rsidP="00537CC8">
      <w:pPr>
        <w:rPr>
          <w:rtl/>
        </w:rPr>
      </w:pPr>
      <w:r w:rsidRPr="0025250D">
        <w:rPr>
          <w:rFonts w:hint="cs"/>
          <w:rtl/>
        </w:rPr>
        <w:t xml:space="preserve">با تنها دو بار در هفته، این عادت به ما امکان خواهد داد که بین 59 تا 150 مورد مطالعاتی پیچیده (کتاب‌ها و غیره) را در هر سال مطالعه کنیم. به صورت ایدئال، باید بر کتاب‌ها، گزارش‌ها، مطالعات یا دیگر موارد طولانی و به خوبی تحقیق شده غیر تخیلی تمرکز کنیم. ما نباید اکثریت این موارد مطالعاتی را به صورت تصادفی انتخاب کنیم، بلکه باید به دنبال مرتبط‌ترین مطالعات برای نیاز‌های فعلی خود باشیم. مطالعه اسپرینت ما را در </w:t>
      </w:r>
      <w:r w:rsidR="007118DE" w:rsidRPr="0025250D">
        <w:rPr>
          <w:rFonts w:hint="cs"/>
          <w:rtl/>
        </w:rPr>
        <w:t>اولویت‌بندی</w:t>
      </w:r>
      <w:r w:rsidRPr="0025250D">
        <w:rPr>
          <w:rFonts w:hint="cs"/>
          <w:rtl/>
        </w:rPr>
        <w:t>، تشخیص الگو‌ها، تولید وظایف، مدیریت خود و مدیریت پیچیدگی سریع‌تر و بهتر خواهد کرد. استفاده از آن یک مزیت رقابتی در کارمان ایجاد خواهد کرد.</w:t>
      </w:r>
    </w:p>
    <w:p w14:paraId="0D3DEAFF" w14:textId="79E92F5D" w:rsidR="00537CC8" w:rsidRPr="0025250D" w:rsidRDefault="00537CC8" w:rsidP="00537CC8">
      <w:pPr>
        <w:rPr>
          <w:rtl/>
        </w:rPr>
      </w:pPr>
      <w:r w:rsidRPr="0025250D">
        <w:rPr>
          <w:rFonts w:hint="cs"/>
          <w:rtl/>
        </w:rPr>
        <w:t xml:space="preserve">مهم‌ترین نکته درمورد مطالعه بازه‌ای این است که به یاد داشته باشید که شما برای تمام کردن کتاب مطالعه نمی‌کنید. مطالعه می‌کنید تا توانایی خود برای مطالعه را تقویت کنید، کنجکاوی خود را تحریک کنید، به پرسش‌هایی که در حین مطالعه دارید پاسخ دهید، دانش، داده‌ها و </w:t>
      </w:r>
      <w:r w:rsidR="00701E03" w:rsidRPr="0025250D">
        <w:rPr>
          <w:rFonts w:hint="cs"/>
          <w:rtl/>
        </w:rPr>
        <w:t>راهبرد</w:t>
      </w:r>
      <w:r w:rsidRPr="0025250D">
        <w:rPr>
          <w:rFonts w:hint="cs"/>
          <w:rtl/>
        </w:rPr>
        <w:t>‌های مرتبط و جالبی بیاموزید و گزارشی از مواردی که ممکن است بعدا بخواهید انجام دهید، بازبینی کنید، مطالعه کنید یا بر حسب آن‌ها عمل کنید، ایجاد کنید. این موارد همگی برای شما در مقایسه با تمام کردن کتاب بسیار ارزشمند‌تر هستند. مطالعه بازه‌ای همچنین به شما خواهد گفت که کدام کتاب‌ها بیش از همه شایسته مطالعه کامل هستند.</w:t>
      </w:r>
    </w:p>
    <w:p w14:paraId="1B6CF661" w14:textId="77777777" w:rsidR="00537CC8" w:rsidRPr="0025250D" w:rsidRDefault="00537CC8" w:rsidP="00537CC8">
      <w:pPr>
        <w:rPr>
          <w:rtl/>
        </w:rPr>
      </w:pPr>
      <w:r w:rsidRPr="0025250D">
        <w:rPr>
          <w:rFonts w:hint="cs"/>
          <w:rtl/>
        </w:rPr>
        <w:t>مطالب زیر طرحی از چگونگی کارکرد مطالعه اسپرینت به صورت کلی است. بهترین کار این است که این طرح را برای سلایق خود اصلاح کرده و این عادت موفقیت را حقیقتا از آن خود کنیم.</w:t>
      </w:r>
    </w:p>
    <w:p w14:paraId="3E34B47D" w14:textId="1561A382" w:rsidR="00537CC8" w:rsidRPr="0025250D" w:rsidRDefault="00537CC8" w:rsidP="00492C47">
      <w:pPr>
        <w:numPr>
          <w:ilvl w:val="0"/>
          <w:numId w:val="52"/>
        </w:numPr>
      </w:pPr>
      <w:r w:rsidRPr="0025250D">
        <w:rPr>
          <w:rFonts w:hint="cs"/>
          <w:b/>
          <w:bCs/>
          <w:u w:val="single"/>
          <w:rtl/>
        </w:rPr>
        <w:t>مطالعه شدید و ناکامل</w:t>
      </w:r>
      <w:r w:rsidRPr="0025250D">
        <w:rPr>
          <w:rFonts w:hint="cs"/>
          <w:rtl/>
        </w:rPr>
        <w:t>. ابتدا بر مطالعه اسپرینت و شدید با پوشش خوبی بر مطالب، تحت یک محدودیت زمانی و نه لزوما برای تمام کردن هر کتابی، آغاز کنید. اگر مطالعه ما شدید و تحت فشار زمانی باشد، وظیفه اول را برآورده می‌کنیم. ما ورزشکاران ذهنی خواهیم بود. در مقابل کمال گرایی برای تمام کردن کتاب مقاومت کنید. تلاش کنید تا تنها یک جلسه مطالعه اسپرینت را به هر کتاب و حداکثر دو یا سه جلسه برای هر کتاب جالب خاص اختصاص دهید. اگر اطلاعات ارزشمند جدید را، به جایی کامل بودن، بهینه سازی کنیم، می‌توانیم حداقل هر هفته یک کتاب جدید را مطالعه اسپرینت کنیم. می‌توانیم تلاش کنیم تا در یک روز مشخص و یا در یک زمان مشخص در هر روز/عصر مطالعه اسپرینت انجام دهیم</w:t>
      </w:r>
      <w:r w:rsidR="008D6F97" w:rsidRPr="0025250D">
        <w:rPr>
          <w:rtl/>
        </w:rPr>
        <w:t xml:space="preserve"> </w:t>
      </w:r>
      <w:r w:rsidRPr="0025250D">
        <w:rPr>
          <w:rFonts w:hint="cs"/>
          <w:rtl/>
        </w:rPr>
        <w:t>تا از نظر ذهنی آماده باشیم. ممکن است یک یا چند ماه بعد، خارج از جلسه مطالعه اسپرینت هفتگی خود به هر کتابی باز گردیم - اما تنها اگر آن کتاب به یاد ما مانده باشد و به آن فکر کنیم. بیش‌تر کتاب‌ها و مطالب مطالعاتی که خواهیم یافت، این گونه نخواهند بود.</w:t>
      </w:r>
    </w:p>
    <w:p w14:paraId="06FD03AB" w14:textId="4A95E448" w:rsidR="00537CC8" w:rsidRPr="0025250D" w:rsidRDefault="00537CC8" w:rsidP="00B97419">
      <w:pPr>
        <w:numPr>
          <w:ilvl w:val="0"/>
          <w:numId w:val="52"/>
        </w:numPr>
      </w:pPr>
      <w:r w:rsidRPr="0025250D">
        <w:rPr>
          <w:rFonts w:hint="cs"/>
          <w:b/>
          <w:bCs/>
          <w:u w:val="single"/>
          <w:rtl/>
        </w:rPr>
        <w:t>هر مطالعه اسپرینت را به چیزی مانند یک فیلم تبدیل کنید</w:t>
      </w:r>
      <w:r w:rsidRPr="0025250D">
        <w:rPr>
          <w:rFonts w:hint="cs"/>
          <w:rtl/>
        </w:rPr>
        <w:t xml:space="preserve">. اگر تمایل به تماشای یک فیلم تقریبا 1 تا سه ساعته در هر هفته داریم، می‌توانیم به همین سادگی متعهد به اختصاص همین مقدار زمان برای مطالعه یک کتاب در هر هفته شویم. وقتی مطالعه می‌کنیم، به صورت فعال یک فیلم ذهنی را می‌سازیم. کاری کنید که مطالعه برای شما مرتبط و سرگرم کننده باشد. درست مانند یک فیلم، یک مکان مطالعه بدون حواس پرتی بیابید و می‌توانید یک خوراکی خوب و/یا یک نوشیدنی مهیج با خود ببرید. استفاده از یک صندلی سفت یا حتی یک میز ایستاده را در نظر داشته بگیرید. ممکن است زمان‌های استراحت کوتاهی را وقتی خسته می‌شوید، اختصاص دهید. در زمان‌های استراحت، ممکن است اندکی غذا یا نوشیدنی به مکان مطالعه </w:t>
      </w:r>
      <w:r w:rsidR="00B97419" w:rsidRPr="0025250D">
        <w:rPr>
          <w:rFonts w:hint="cs"/>
          <w:rtl/>
        </w:rPr>
        <w:t>ببرید</w:t>
      </w:r>
      <w:r w:rsidRPr="0025250D">
        <w:rPr>
          <w:rFonts w:hint="cs"/>
          <w:rtl/>
        </w:rPr>
        <w:t xml:space="preserve"> تا </w:t>
      </w:r>
      <w:r w:rsidR="002C61FC" w:rsidRPr="0025250D">
        <w:rPr>
          <w:rtl/>
        </w:rPr>
        <w:t>«</w:t>
      </w:r>
      <w:r w:rsidRPr="0025250D">
        <w:rPr>
          <w:rFonts w:hint="cs"/>
          <w:rtl/>
        </w:rPr>
        <w:t>تمام کردن فیلم</w:t>
      </w:r>
      <w:r w:rsidR="002C61FC" w:rsidRPr="0025250D">
        <w:rPr>
          <w:rtl/>
        </w:rPr>
        <w:t>»</w:t>
      </w:r>
      <w:r w:rsidRPr="0025250D">
        <w:rPr>
          <w:rFonts w:hint="cs"/>
          <w:rtl/>
        </w:rPr>
        <w:t xml:space="preserve"> </w:t>
      </w:r>
      <w:r w:rsidR="00B97419" w:rsidRPr="0025250D">
        <w:rPr>
          <w:rFonts w:hint="cs"/>
          <w:rtl/>
        </w:rPr>
        <w:t>برایتان جذاب باشد.</w:t>
      </w:r>
      <w:r w:rsidRPr="0025250D">
        <w:rPr>
          <w:rFonts w:hint="cs"/>
          <w:rtl/>
        </w:rPr>
        <w:t xml:space="preserve"> </w:t>
      </w:r>
    </w:p>
    <w:p w14:paraId="33826BF2" w14:textId="5FF113B7" w:rsidR="00537CC8" w:rsidRPr="0025250D" w:rsidRDefault="00537CC8" w:rsidP="00492C47">
      <w:pPr>
        <w:numPr>
          <w:ilvl w:val="0"/>
          <w:numId w:val="52"/>
        </w:numPr>
      </w:pPr>
      <w:r w:rsidRPr="0025250D">
        <w:rPr>
          <w:rFonts w:hint="cs"/>
          <w:b/>
          <w:bCs/>
          <w:u w:val="single"/>
          <w:rtl/>
        </w:rPr>
        <w:t>اسپرینت‌ها، زمان‌های استراحت</w:t>
      </w:r>
      <w:r w:rsidR="008D6F97" w:rsidRPr="0025250D">
        <w:rPr>
          <w:b/>
          <w:bCs/>
          <w:u w:val="single"/>
          <w:rtl/>
        </w:rPr>
        <w:t xml:space="preserve"> </w:t>
      </w:r>
      <w:r w:rsidRPr="0025250D">
        <w:rPr>
          <w:rFonts w:hint="cs"/>
          <w:b/>
          <w:bCs/>
          <w:u w:val="single"/>
          <w:rtl/>
        </w:rPr>
        <w:t xml:space="preserve">و </w:t>
      </w:r>
      <w:r w:rsidR="0030078C" w:rsidRPr="0025250D">
        <w:rPr>
          <w:rFonts w:hint="cs"/>
          <w:b/>
          <w:bCs/>
          <w:u w:val="single"/>
          <w:rtl/>
        </w:rPr>
        <w:t>دوره های پرشتاب</w:t>
      </w:r>
      <w:r w:rsidR="0030078C" w:rsidRPr="0025250D">
        <w:rPr>
          <w:rStyle w:val="FootnoteReference"/>
          <w:b/>
          <w:bCs/>
          <w:u w:val="single"/>
          <w:rtl/>
        </w:rPr>
        <w:footnoteReference w:id="2567"/>
      </w:r>
      <w:r w:rsidRPr="0025250D">
        <w:rPr>
          <w:rFonts w:hint="cs"/>
          <w:b/>
          <w:bCs/>
          <w:u w:val="single"/>
          <w:rtl/>
        </w:rPr>
        <w:t xml:space="preserve">. </w:t>
      </w:r>
      <w:r w:rsidRPr="0025250D">
        <w:rPr>
          <w:rFonts w:hint="cs"/>
          <w:rtl/>
        </w:rPr>
        <w:t xml:space="preserve">در طول هر جلسه مطالعه اسپرینت 1-3 ساعته هر تعداد زمان استراحت کوتاه و اسپرینت که لازم است قرار دهید. باید اسپرینت‌ها و استراحت‌های خود را </w:t>
      </w:r>
      <w:r w:rsidR="00A20CCB" w:rsidRPr="0025250D">
        <w:rPr>
          <w:rFonts w:hint="cs"/>
          <w:rtl/>
        </w:rPr>
        <w:t>زمان‌بندی</w:t>
      </w:r>
      <w:r w:rsidRPr="0025250D">
        <w:rPr>
          <w:rFonts w:hint="cs"/>
          <w:rtl/>
        </w:rPr>
        <w:t xml:space="preserve"> کنی</w:t>
      </w:r>
      <w:r w:rsidR="00B97419" w:rsidRPr="0025250D">
        <w:rPr>
          <w:rFonts w:hint="cs"/>
          <w:rtl/>
        </w:rPr>
        <w:t>د</w:t>
      </w:r>
      <w:r w:rsidRPr="0025250D">
        <w:rPr>
          <w:rFonts w:hint="cs"/>
          <w:rtl/>
        </w:rPr>
        <w:t xml:space="preserve"> (برای مثال، اسپرینت‌های 30 تا 50 دقیقه‌ای که با زمان‌های استراحت 10 تا 20 دقیقه‌ای از هم جدا </w:t>
      </w:r>
      <w:r w:rsidR="00185F3E" w:rsidRPr="0025250D">
        <w:rPr>
          <w:rFonts w:hint="cs"/>
          <w:rtl/>
        </w:rPr>
        <w:t>شده‌اند</w:t>
      </w:r>
      <w:r w:rsidRPr="0025250D">
        <w:rPr>
          <w:rFonts w:hint="cs"/>
          <w:rtl/>
        </w:rPr>
        <w:t>) و تا زمانی که به یک نسبت زمان اسپرینت به زمان استراحت مناسب خودتان برسید، آزمایش کنید. اگر یک بلندگوی هوشمند در اطراف مکان مطالعه خود دارید، از آن برای تنظیم زمان اسپرینت خود استفاده کنید. حتی بهتر از آن، یک بلندگوی هوشمند با یک صفحه نمایش تهیه کنید تا بتوانید شمارش معکوس را ببینید و وقتی به آن نگاه می‌کنید می‌فهمید که چقدر از زمان اسپرینت باقی مانده است. در زمان‌های استراحت، می‌توانی</w:t>
      </w:r>
      <w:r w:rsidR="00B97419" w:rsidRPr="0025250D">
        <w:rPr>
          <w:rFonts w:hint="cs"/>
          <w:rtl/>
        </w:rPr>
        <w:t>د</w:t>
      </w:r>
      <w:r w:rsidRPr="0025250D">
        <w:rPr>
          <w:rFonts w:hint="cs"/>
          <w:rtl/>
        </w:rPr>
        <w:t xml:space="preserve"> حرکات کششی انجام دهی</w:t>
      </w:r>
      <w:r w:rsidR="00B97419" w:rsidRPr="0025250D">
        <w:rPr>
          <w:rFonts w:hint="cs"/>
          <w:rtl/>
        </w:rPr>
        <w:t>د</w:t>
      </w:r>
      <w:r w:rsidRPr="0025250D">
        <w:rPr>
          <w:rFonts w:hint="cs"/>
          <w:rtl/>
        </w:rPr>
        <w:t>، یک پیاده روی کوتاه داشته باشی</w:t>
      </w:r>
      <w:r w:rsidR="00B97419" w:rsidRPr="0025250D">
        <w:rPr>
          <w:rFonts w:hint="cs"/>
          <w:rtl/>
        </w:rPr>
        <w:t>د</w:t>
      </w:r>
      <w:r w:rsidRPr="0025250D">
        <w:rPr>
          <w:rFonts w:hint="cs"/>
          <w:rtl/>
        </w:rPr>
        <w:t>، کمی بخوابی</w:t>
      </w:r>
      <w:r w:rsidR="00B97419" w:rsidRPr="0025250D">
        <w:rPr>
          <w:rFonts w:hint="cs"/>
          <w:rtl/>
        </w:rPr>
        <w:t>د</w:t>
      </w:r>
      <w:r w:rsidRPr="0025250D">
        <w:rPr>
          <w:rFonts w:hint="cs"/>
          <w:rtl/>
        </w:rPr>
        <w:t>، غذا بخوری</w:t>
      </w:r>
      <w:r w:rsidR="00B97419" w:rsidRPr="0025250D">
        <w:rPr>
          <w:rFonts w:hint="cs"/>
          <w:rtl/>
        </w:rPr>
        <w:t>د</w:t>
      </w:r>
      <w:r w:rsidRPr="0025250D">
        <w:rPr>
          <w:rFonts w:hint="cs"/>
          <w:rtl/>
        </w:rPr>
        <w:t>، یک گفتگو را آغاز کنی</w:t>
      </w:r>
      <w:r w:rsidR="00B97419" w:rsidRPr="0025250D">
        <w:rPr>
          <w:rFonts w:hint="cs"/>
          <w:rtl/>
        </w:rPr>
        <w:t>د</w:t>
      </w:r>
      <w:r w:rsidRPr="0025250D">
        <w:rPr>
          <w:rFonts w:hint="cs"/>
          <w:rtl/>
        </w:rPr>
        <w:t>، غذا درست کنی</w:t>
      </w:r>
      <w:r w:rsidR="00B97419" w:rsidRPr="0025250D">
        <w:rPr>
          <w:rFonts w:hint="cs"/>
          <w:rtl/>
        </w:rPr>
        <w:t>د</w:t>
      </w:r>
      <w:r w:rsidRPr="0025250D">
        <w:rPr>
          <w:rFonts w:hint="cs"/>
          <w:rtl/>
        </w:rPr>
        <w:t>، دوش بگیری</w:t>
      </w:r>
      <w:r w:rsidR="00B97419" w:rsidRPr="0025250D">
        <w:rPr>
          <w:rFonts w:hint="cs"/>
          <w:rtl/>
        </w:rPr>
        <w:t>د</w:t>
      </w:r>
      <w:r w:rsidRPr="0025250D">
        <w:rPr>
          <w:rFonts w:hint="cs"/>
          <w:rtl/>
        </w:rPr>
        <w:t xml:space="preserve"> یا هر کار دیگری که </w:t>
      </w:r>
      <w:r w:rsidR="00B97419" w:rsidRPr="0025250D">
        <w:rPr>
          <w:rFonts w:hint="cs"/>
          <w:rtl/>
        </w:rPr>
        <w:t>شما</w:t>
      </w:r>
      <w:r w:rsidRPr="0025250D">
        <w:rPr>
          <w:rFonts w:hint="cs"/>
          <w:rtl/>
        </w:rPr>
        <w:t xml:space="preserve"> را سرحال می‌کند انجام دهی</w:t>
      </w:r>
      <w:r w:rsidR="00B97419" w:rsidRPr="0025250D">
        <w:rPr>
          <w:rFonts w:hint="cs"/>
          <w:rtl/>
        </w:rPr>
        <w:t>د</w:t>
      </w:r>
      <w:r w:rsidRPr="0025250D">
        <w:rPr>
          <w:rFonts w:hint="cs"/>
          <w:rtl/>
        </w:rPr>
        <w:t>. ممکن است به این نتیجه برسی</w:t>
      </w:r>
      <w:r w:rsidR="00B97419" w:rsidRPr="0025250D">
        <w:rPr>
          <w:rFonts w:hint="cs"/>
          <w:rtl/>
        </w:rPr>
        <w:t>د</w:t>
      </w:r>
      <w:r w:rsidRPr="0025250D">
        <w:rPr>
          <w:rFonts w:hint="cs"/>
          <w:rtl/>
        </w:rPr>
        <w:t xml:space="preserve"> که 2-4 بازه اسپرینت در هر جلسه تعداد خوبی است.</w:t>
      </w:r>
    </w:p>
    <w:p w14:paraId="2D73FEED" w14:textId="2649A748" w:rsidR="00537CC8" w:rsidRPr="0025250D" w:rsidRDefault="00537CC8" w:rsidP="00492C47">
      <w:pPr>
        <w:numPr>
          <w:ilvl w:val="0"/>
          <w:numId w:val="52"/>
        </w:numPr>
      </w:pPr>
      <w:r w:rsidRPr="0025250D">
        <w:rPr>
          <w:rFonts w:hint="cs"/>
          <w:b/>
          <w:bCs/>
          <w:u w:val="single"/>
          <w:rtl/>
        </w:rPr>
        <w:t>اولویت داشتن در مطالعه.</w:t>
      </w:r>
      <w:r w:rsidRPr="0025250D">
        <w:rPr>
          <w:rFonts w:hint="cs"/>
          <w:rtl/>
        </w:rPr>
        <w:t xml:space="preserve"> مطالعه اسپرینت تندخوانی نیست. مطالعه </w:t>
      </w:r>
      <w:r w:rsidRPr="0025250D">
        <w:t>SCSR</w:t>
      </w:r>
      <w:r w:rsidRPr="0025250D">
        <w:rPr>
          <w:rFonts w:hint="cs"/>
          <w:rtl/>
        </w:rPr>
        <w:t xml:space="preserve"> است، یعنی: پویش، انتخاب، مطالعه سطحی</w:t>
      </w:r>
      <w:r w:rsidRPr="0025250D">
        <w:rPr>
          <w:vertAlign w:val="superscript"/>
          <w:rtl/>
        </w:rPr>
        <w:footnoteReference w:id="2568"/>
      </w:r>
      <w:r w:rsidRPr="0025250D">
        <w:rPr>
          <w:rFonts w:hint="cs"/>
          <w:rtl/>
        </w:rPr>
        <w:t>، مطالعه</w:t>
      </w:r>
      <w:r w:rsidRPr="0025250D">
        <w:rPr>
          <w:vertAlign w:val="superscript"/>
          <w:rtl/>
        </w:rPr>
        <w:footnoteReference w:id="2569"/>
      </w:r>
      <w:r w:rsidRPr="0025250D">
        <w:rPr>
          <w:rFonts w:hint="cs"/>
          <w:rtl/>
        </w:rPr>
        <w:t xml:space="preserve"> (</w:t>
      </w:r>
      <w:r w:rsidRPr="0025250D">
        <w:t>SCSR</w:t>
      </w:r>
      <w:r w:rsidRPr="0025250D">
        <w:rPr>
          <w:rFonts w:hint="cs"/>
          <w:rtl/>
        </w:rPr>
        <w:t xml:space="preserve">). این مطالعه بین مطالعه تند و سریع در تناوب است. ابتدا، یک کتاب را پویش می‌کنیم، انتخاب می‌کنیم که کدام فصل‌ها و مطالب به نظر مرتبط‌تر می‌رسند، آن مطالب را به </w:t>
      </w:r>
      <w:r w:rsidR="00B97419" w:rsidRPr="0025250D">
        <w:rPr>
          <w:rFonts w:hint="cs"/>
          <w:rtl/>
        </w:rPr>
        <w:t>صورت</w:t>
      </w:r>
      <w:r w:rsidRPr="0025250D">
        <w:rPr>
          <w:rFonts w:hint="cs"/>
          <w:rtl/>
        </w:rPr>
        <w:t xml:space="preserve"> سطحی مطالعه می‌کنیم (سریع می‌خوانیم)، سپس سرعت خود را برای مطالعه واقعی آن بخش‌ها کاهش می‌دهیم. این چگونگی ایجاد فیلم ذهنی به صورت فعال است. به دنبال درک عمومی و موارد خاص مفید باشید. بخش‌هایی را که برای خودتان بیش از همه مفید است مطالعه کنید. دائما از خود بپرسید و تصمیم بگیرید که پس از این چه مطالبی را مطالعه کنید. </w:t>
      </w:r>
      <w:r w:rsidR="007118DE" w:rsidRPr="0025250D">
        <w:rPr>
          <w:rFonts w:hint="cs"/>
          <w:rtl/>
        </w:rPr>
        <w:t>همان‌طور</w:t>
      </w:r>
      <w:r w:rsidRPr="0025250D">
        <w:rPr>
          <w:rFonts w:hint="cs"/>
          <w:rtl/>
        </w:rPr>
        <w:t xml:space="preserve"> که مطالعه می‌کنیم، می‌توانیم از تصمیمات و مسیرمان آگاه باشیم. اگر کتاب‌های متعددی را برای ارزیابی مطالعه مرتب کنیم، باید به پوشش یا جلد آن‌ها هر از چند گاهی نگاه کنیم تا تصمیم بگیریم که کدام موارد شایسته </w:t>
      </w:r>
      <w:r w:rsidR="00B97419" w:rsidRPr="0025250D">
        <w:rPr>
          <w:rFonts w:hint="cs"/>
          <w:rtl/>
        </w:rPr>
        <w:t>قرارگیری</w:t>
      </w:r>
      <w:r w:rsidRPr="0025250D">
        <w:rPr>
          <w:rFonts w:hint="cs"/>
          <w:rtl/>
        </w:rPr>
        <w:t xml:space="preserve"> در رأس لیست مطالعه ما را دارند. ممکن است اولویت‌های لیست مطالعه خود را هر گاه دوست داشته باشیم، تغییر دهیم، اما باید این کار را سریع انجام دهیم. از کمال گرایی بپرهیزید.</w:t>
      </w:r>
    </w:p>
    <w:p w14:paraId="5607A609" w14:textId="72A331EC" w:rsidR="00537CC8" w:rsidRPr="0025250D" w:rsidRDefault="00537CC8" w:rsidP="00DC51E6">
      <w:pPr>
        <w:numPr>
          <w:ilvl w:val="0"/>
          <w:numId w:val="52"/>
        </w:numPr>
      </w:pPr>
      <w:r w:rsidRPr="0025250D">
        <w:rPr>
          <w:rFonts w:hint="cs"/>
          <w:b/>
          <w:bCs/>
          <w:u w:val="single"/>
          <w:rtl/>
        </w:rPr>
        <w:t>مطالعه فعال.</w:t>
      </w:r>
      <w:r w:rsidRPr="0025250D">
        <w:rPr>
          <w:rFonts w:hint="cs"/>
          <w:rtl/>
        </w:rPr>
        <w:t xml:space="preserve"> در طول جلسه مطالعه سطحی، می‌خواهیم انتقادی، کنجکاو و از نظر هیجانی درگیر باشیم. می‌خواهیم به همان میزان که تفکر می‌کنیم، احساس </w:t>
      </w:r>
      <w:r w:rsidR="00DC51E6" w:rsidRPr="0025250D">
        <w:rPr>
          <w:rFonts w:hint="cs"/>
          <w:rtl/>
        </w:rPr>
        <w:t>نماییم</w:t>
      </w:r>
      <w:r w:rsidRPr="0025250D">
        <w:rPr>
          <w:rFonts w:hint="cs"/>
          <w:rtl/>
        </w:rPr>
        <w:t xml:space="preserve"> </w:t>
      </w:r>
      <w:r w:rsidRPr="0025250D">
        <w:rPr>
          <w:rFonts w:cs="Times New Roman" w:hint="cs"/>
          <w:rtl/>
        </w:rPr>
        <w:t>–</w:t>
      </w:r>
      <w:r w:rsidRPr="0025250D">
        <w:rPr>
          <w:rFonts w:hint="cs"/>
          <w:rtl/>
        </w:rPr>
        <w:t xml:space="preserve"> تا همدلی و قضاوت هایی، مثبت و منفی، داشته باشیم. می‌خواهیم بفهمیم که چه زمانی استدلال‌ها، فرضیات یا دیدگاه کلی نویسنده به نظر ضعیف می‌رسد. باید مواردی را که با آن‌ها موافق نیستیم توبیخ کنیم و از مواردی که با آن‌ها موافق هستیم تقدیر کنیم. هر چه فعال‌تر در مورد متن احساس و تفکر کنیم، آن را بیش‌تر به خاطر می‌سپاریم.</w:t>
      </w:r>
    </w:p>
    <w:p w14:paraId="7E797C3C" w14:textId="2467D1A1" w:rsidR="00537CC8" w:rsidRPr="0025250D" w:rsidRDefault="00537CC8" w:rsidP="00492C47">
      <w:pPr>
        <w:numPr>
          <w:ilvl w:val="0"/>
          <w:numId w:val="52"/>
        </w:numPr>
      </w:pPr>
      <w:r w:rsidRPr="0025250D">
        <w:rPr>
          <w:rFonts w:hint="cs"/>
          <w:b/>
          <w:bCs/>
          <w:u w:val="single"/>
          <w:rtl/>
        </w:rPr>
        <w:t>نگارش فعال.</w:t>
      </w:r>
      <w:r w:rsidRPr="0025250D">
        <w:rPr>
          <w:rFonts w:hint="cs"/>
          <w:rtl/>
        </w:rPr>
        <w:t xml:space="preserve"> حاشیه نگاری کنید. مطالب را علامت بزنید. زیر آن‌ها خط بکشید. هایلایت کنید. موارد غیر مفید را خط بزنید. دانش و داده‌های عالی را علامت گذاری کنید. نوشتن یک اقدام عملی (اولین مورد از میان موارد متعددی که می‌توانیم انجام دهیم) است</w:t>
      </w:r>
      <w:r w:rsidRPr="0025250D">
        <w:rPr>
          <w:rtl/>
        </w:rPr>
        <w:t xml:space="preserve"> </w:t>
      </w:r>
      <w:r w:rsidRPr="0025250D">
        <w:rPr>
          <w:rFonts w:hint="cs"/>
          <w:rtl/>
        </w:rPr>
        <w:t>که به ما برای به خاطر سپاری مطالب کمک می‌کند. به این دلیل که حاشیه نگاری و به کار واداشتن حافظه برای مطالعه و به خاطر سپاری فعال بسیار مهم هستند، عمدتا کتاب‌ها را نسبت به کتاب‌های الکترونیکی ترجیح دهید. علامت زدن و حاشیه نگاری در کتاب‌های الکترونیکی هنوز ساده نیست. می‌توانیم بعدا یک کتاب خوب را به صورت کتاب الکترونیکی مطالعه کنیم</w:t>
      </w:r>
      <w:r w:rsidR="008D6F97" w:rsidRPr="0025250D">
        <w:rPr>
          <w:rtl/>
        </w:rPr>
        <w:t xml:space="preserve">؛ </w:t>
      </w:r>
      <w:r w:rsidRPr="0025250D">
        <w:rPr>
          <w:rFonts w:hint="cs"/>
          <w:rtl/>
        </w:rPr>
        <w:t>اما</w:t>
      </w:r>
      <w:r w:rsidR="008D6F97" w:rsidRPr="0025250D">
        <w:rPr>
          <w:rtl/>
        </w:rPr>
        <w:t xml:space="preserve"> </w:t>
      </w:r>
      <w:r w:rsidRPr="0025250D">
        <w:rPr>
          <w:rFonts w:hint="cs"/>
          <w:rtl/>
        </w:rPr>
        <w:t>تا حد امکان با یک کتاب فیزیکی آغاز کنید. کتاب‌های دارای جلد مقوایی بیش‌ترین فضای حاشیه نگاری را در اختیار می‌گذارند و مطالعه سطحی آن‌ها سریع‌تر است. یک پایه کتاب خوب تهیه کنید. اگر دوست دارید در دو مکان مطالعه کنید دو پایه بخرید.</w:t>
      </w:r>
    </w:p>
    <w:p w14:paraId="15A00941" w14:textId="77777777" w:rsidR="00537CC8" w:rsidRPr="0025250D" w:rsidRDefault="00537CC8" w:rsidP="00492C47">
      <w:pPr>
        <w:numPr>
          <w:ilvl w:val="0"/>
          <w:numId w:val="52"/>
        </w:numPr>
      </w:pPr>
      <w:r w:rsidRPr="0025250D">
        <w:rPr>
          <w:rFonts w:hint="cs"/>
          <w:b/>
          <w:bCs/>
          <w:u w:val="single"/>
          <w:rtl/>
        </w:rPr>
        <w:t>یک گزارش ثبت کنید.</w:t>
      </w:r>
      <w:r w:rsidRPr="0025250D">
        <w:rPr>
          <w:rFonts w:hint="cs"/>
          <w:rtl/>
        </w:rPr>
        <w:t xml:space="preserve"> می‌توانیم مهم‌ترین نکاتی را که ارزشمند‌تر می‌دانیم در داخل جلد کتاب یادداشت کنیم. در پرانتز شماره صفحه را هم برای بازگشت ساده به آن قسمت از کتاب در آینده، در صورت ارزشمند بودن، یادداشت کنید. از کدهای حاشیه نگاری برای هر مورد، اگر برای شما مفید هستند (تصویر زیر را ببینید) استفاده کنید. می‌توانیم از برچسب‌های نیم صفحه‌ای سفید در داخل جلد کتاب استفاده کنیم (5.5 اینچ *8.5 اینچ، </w:t>
      </w:r>
      <w:r w:rsidRPr="0025250D">
        <w:rPr>
          <w:rtl/>
        </w:rPr>
        <w:t>اور</w:t>
      </w:r>
      <w:r w:rsidRPr="0025250D">
        <w:rPr>
          <w:rFonts w:hint="cs"/>
          <w:rtl/>
        </w:rPr>
        <w:t>ی 5126) تا فضای خالی کافی برای یادداشت‌های خود داشته باشیم. اگر احساس خوبی به دنبال داشته باشد، می‌توانیم افکار خود درمورد مطالب موجود در یک بخش را در قالب یک جمله کوتاه در بالای یادداشت‌های خود یا در پایان هرکتاب به صورت خلاصه بنویسیم. این خلاصه سازی آخرین کار ما برای پایان دادن به فیلم ذهنی ماست.</w:t>
      </w:r>
    </w:p>
    <w:p w14:paraId="378FB50A" w14:textId="27F950A4" w:rsidR="00537CC8" w:rsidRPr="0025250D" w:rsidRDefault="00537CC8" w:rsidP="00492C47">
      <w:pPr>
        <w:numPr>
          <w:ilvl w:val="0"/>
          <w:numId w:val="52"/>
        </w:numPr>
      </w:pPr>
      <w:r w:rsidRPr="0025250D">
        <w:rPr>
          <w:rFonts w:hint="cs"/>
          <w:b/>
          <w:bCs/>
          <w:u w:val="single"/>
          <w:rtl/>
        </w:rPr>
        <w:t>ترتیب پویش.</w:t>
      </w:r>
      <w:r w:rsidRPr="0025250D">
        <w:rPr>
          <w:rFonts w:hint="cs"/>
          <w:rtl/>
        </w:rPr>
        <w:t xml:space="preserve"> برای کتاب‌ها، با جلد و پشت جلد آن‌ها آغاز کنید. سپس، به فهرست مطالب مراجعه کنید. 1 تا 3 فصل برتر را که به نظر بیش‌ترین ارزش را برای مطالعه سطحی دارند مشخص کنید. مقدمه/پیش گفتار را سریع بخوانید. آیا این بخش غیر مرتبط است یا یک خلاصه خوب از کتاب است؟ اگر یک خلاصه باشد،20 دقیقه یا بیش‌تر را برای مطالعه آن اختصاص دهید. فهرست علائم را سریع بخوانید. حداقل دور ده مورد که ممکن است هیچگاه پیش از آن ندیده باشید یا به نظر جالب/مهم می‌رسند خط بکشید. هر یک از آن موارد را در کتاب مطالعه کنید. با استفاده از فصول برتر منتخب خود، صفحات اول و آخر 1-3 فصلی را که انتخاب کرده اید بخوانید. آیا آن‌ها هنوز مرتبط‌ترین یا جالب‌ترین فصل‌ها </w:t>
      </w:r>
      <w:r w:rsidR="00B97419" w:rsidRPr="0025250D">
        <w:rPr>
          <w:rFonts w:hint="cs"/>
          <w:rtl/>
        </w:rPr>
        <w:t xml:space="preserve">به نظر </w:t>
      </w:r>
      <w:r w:rsidRPr="0025250D">
        <w:rPr>
          <w:rFonts w:hint="cs"/>
          <w:rtl/>
        </w:rPr>
        <w:t xml:space="preserve">می‌رسند؟ آیا می‌خواهید آن‌ها را با چند فصل دیگر مقایسه کنید؟ صفحات اول و آخر آن‌ها را بخوانید. مجددا ارزیابی کنید. آغاز به مطالعه کنید </w:t>
      </w:r>
      <w:r w:rsidRPr="0025250D">
        <w:rPr>
          <w:rFonts w:cs="Times New Roman" w:hint="cs"/>
          <w:rtl/>
        </w:rPr>
        <w:t>–</w:t>
      </w:r>
      <w:r w:rsidRPr="0025250D">
        <w:rPr>
          <w:rFonts w:hint="cs"/>
          <w:rtl/>
        </w:rPr>
        <w:t xml:space="preserve"> توقف کرده و به محض این که مطالعه بخش دیگری از کتاب مفید‌تر به نظر برسد به آن بخش مراجعه کنید.</w:t>
      </w:r>
    </w:p>
    <w:p w14:paraId="1F2123D7" w14:textId="79139A7E" w:rsidR="00537CC8" w:rsidRPr="0025250D" w:rsidRDefault="00537CC8" w:rsidP="00492C47">
      <w:pPr>
        <w:numPr>
          <w:ilvl w:val="0"/>
          <w:numId w:val="52"/>
        </w:numPr>
      </w:pPr>
      <w:r w:rsidRPr="0025250D">
        <w:rPr>
          <w:rFonts w:hint="cs"/>
          <w:b/>
          <w:bCs/>
          <w:u w:val="single"/>
          <w:rtl/>
        </w:rPr>
        <w:t>دسته بایگانی.</w:t>
      </w:r>
      <w:r w:rsidRPr="0025250D">
        <w:rPr>
          <w:rFonts w:hint="cs"/>
          <w:rtl/>
        </w:rPr>
        <w:t xml:space="preserve"> پس از استراحت، هر کتاب را در دسته </w:t>
      </w:r>
      <w:r w:rsidR="002C61FC" w:rsidRPr="0025250D">
        <w:rPr>
          <w:rtl/>
        </w:rPr>
        <w:t>«</w:t>
      </w:r>
      <w:r w:rsidRPr="0025250D">
        <w:rPr>
          <w:rFonts w:hint="cs"/>
          <w:rtl/>
        </w:rPr>
        <w:t>برای بایگانی</w:t>
      </w:r>
      <w:r w:rsidR="002C61FC" w:rsidRPr="0025250D">
        <w:rPr>
          <w:rtl/>
        </w:rPr>
        <w:t>»</w:t>
      </w:r>
      <w:r w:rsidRPr="0025250D">
        <w:rPr>
          <w:rFonts w:hint="cs"/>
          <w:rtl/>
        </w:rPr>
        <w:t xml:space="preserve"> قرار دهید </w:t>
      </w:r>
      <w:r w:rsidRPr="0025250D">
        <w:rPr>
          <w:rFonts w:cs="Times New Roman" w:hint="cs"/>
          <w:rtl/>
        </w:rPr>
        <w:t>–</w:t>
      </w:r>
      <w:r w:rsidRPr="0025250D">
        <w:rPr>
          <w:rFonts w:hint="cs"/>
          <w:rtl/>
        </w:rPr>
        <w:t xml:space="preserve"> قفسه‌ای از موارد اخیر. ما باید احساس موفقیت کرده و به خود برای ایجاد یک فیلم ذهنی و نکات شاخص مرتبط تبریک بگوییم. اکنون زمان انتخاب یک کتاب دیگر از لیست انتظار است! این کتاب می‌تواند کتابی باشد که قبلا به این نتیجه رسیده ایم که باید بعدا بخوانیم. یا می‌تواند یک کتاب بدون </w:t>
      </w:r>
      <w:r w:rsidR="00B124DE" w:rsidRPr="0025250D">
        <w:rPr>
          <w:rFonts w:hint="cs"/>
          <w:rtl/>
        </w:rPr>
        <w:t>برنامه‌ریزی</w:t>
      </w:r>
      <w:r w:rsidRPr="0025250D">
        <w:rPr>
          <w:rFonts w:hint="cs"/>
          <w:rtl/>
        </w:rPr>
        <w:t xml:space="preserve"> قبلی و حاصل تصمیم‌گیری لحظه‌ای باشد. در هر صورت، باید به مجموعه </w:t>
      </w:r>
      <w:r w:rsidR="002C61FC" w:rsidRPr="0025250D">
        <w:rPr>
          <w:rtl/>
        </w:rPr>
        <w:t>«</w:t>
      </w:r>
      <w:r w:rsidRPr="0025250D">
        <w:rPr>
          <w:rFonts w:hint="cs"/>
          <w:rtl/>
        </w:rPr>
        <w:t>برای بایگانی</w:t>
      </w:r>
      <w:r w:rsidR="002C61FC" w:rsidRPr="0025250D">
        <w:rPr>
          <w:rtl/>
        </w:rPr>
        <w:t>»</w:t>
      </w:r>
      <w:r w:rsidRPr="0025250D">
        <w:rPr>
          <w:rFonts w:hint="cs"/>
          <w:rtl/>
        </w:rPr>
        <w:t xml:space="preserve"> خود دو تا سه هفته بعد بازگردیم. این فاصله زمانی به اندازه کافی برای مطالعه نکات شاخص خودمان کافی است. اکنون می‌توانیم هر موردی را که هنوز درمورد آن هیجان زده هستیم در بین وظایف </w:t>
      </w:r>
      <w:r w:rsidR="00B124DE" w:rsidRPr="0025250D">
        <w:rPr>
          <w:rFonts w:hint="cs"/>
          <w:rtl/>
        </w:rPr>
        <w:t>برنامه‌ریزی</w:t>
      </w:r>
      <w:r w:rsidRPr="0025250D">
        <w:rPr>
          <w:rFonts w:hint="cs"/>
          <w:rtl/>
        </w:rPr>
        <w:t xml:space="preserve"> روزمره خود قرار دهیم. بقیه یادداشت‌ها را در کتاب باقی بگذارید. اگرچه در آن زمان برای ما به اندازه‌ای جالب </w:t>
      </w:r>
      <w:r w:rsidR="00B124DE" w:rsidRPr="0025250D">
        <w:rPr>
          <w:rFonts w:hint="cs"/>
          <w:rtl/>
        </w:rPr>
        <w:t>بوده‌اند</w:t>
      </w:r>
      <w:r w:rsidRPr="0025250D">
        <w:rPr>
          <w:rFonts w:hint="cs"/>
          <w:rtl/>
        </w:rPr>
        <w:t xml:space="preserve"> که آنها را بنویسیم، از آن زمان از میان اولویت‌های شخصی ما خارج </w:t>
      </w:r>
      <w:r w:rsidR="00185F3E" w:rsidRPr="0025250D">
        <w:rPr>
          <w:rFonts w:hint="cs"/>
          <w:rtl/>
        </w:rPr>
        <w:t>شده‌اند</w:t>
      </w:r>
      <w:r w:rsidRPr="0025250D">
        <w:rPr>
          <w:rFonts w:hint="cs"/>
          <w:rtl/>
        </w:rPr>
        <w:t xml:space="preserve">. آن کتاب را اکنون در کتابخانه خود به ترتیب حروف الفبا بر حسب عنوان، برای ساده‌تر پیدا کردن کتاب بایگانی کنید. ممکن است کتاب را بعدا تنها در صورتی که ذهن ما را به خود مشغول نگاه دارد کامل‌تر مطالعه کنیم </w:t>
      </w:r>
      <w:r w:rsidRPr="0025250D">
        <w:rPr>
          <w:rFonts w:cs="Times New Roman" w:hint="cs"/>
          <w:rtl/>
        </w:rPr>
        <w:t>–</w:t>
      </w:r>
      <w:r w:rsidRPr="0025250D">
        <w:rPr>
          <w:rFonts w:hint="cs"/>
          <w:rtl/>
        </w:rPr>
        <w:t xml:space="preserve"> </w:t>
      </w:r>
      <w:r w:rsidR="0020589F" w:rsidRPr="0025250D">
        <w:rPr>
          <w:rtl/>
        </w:rPr>
        <w:t>اما</w:t>
      </w:r>
      <w:r w:rsidRPr="0025250D">
        <w:rPr>
          <w:rFonts w:hint="cs"/>
          <w:rtl/>
        </w:rPr>
        <w:t xml:space="preserve"> بیش‌تر مواقع اینگونه نیست. تعداد اندکی اغلب به ذهن ما باز می‌گردند. برخی حتی در رؤیاهایمان به ذهنمان باز می‌گردند. آن کتاب‌ها می‌توانند مشخصا ویژه بوده و ارزش بازبینی را داشته باشند.</w:t>
      </w:r>
    </w:p>
    <w:p w14:paraId="5568B576" w14:textId="1CF5D357" w:rsidR="00537CC8" w:rsidRPr="0025250D" w:rsidRDefault="00537CC8" w:rsidP="00492C47">
      <w:pPr>
        <w:numPr>
          <w:ilvl w:val="0"/>
          <w:numId w:val="52"/>
        </w:numPr>
      </w:pPr>
      <w:r w:rsidRPr="0025250D">
        <w:rPr>
          <w:rFonts w:hint="cs"/>
          <w:b/>
          <w:bCs/>
          <w:u w:val="single"/>
          <w:rtl/>
        </w:rPr>
        <w:t xml:space="preserve">بازبینی، تامل، </w:t>
      </w:r>
      <w:r w:rsidR="00274907" w:rsidRPr="0025250D">
        <w:rPr>
          <w:rFonts w:hint="cs"/>
          <w:b/>
          <w:bCs/>
          <w:u w:val="single"/>
          <w:rtl/>
        </w:rPr>
        <w:t>به‌اشتراک‌گذار</w:t>
      </w:r>
      <w:r w:rsidRPr="0025250D">
        <w:rPr>
          <w:rFonts w:hint="cs"/>
          <w:b/>
          <w:bCs/>
          <w:u w:val="single"/>
          <w:rtl/>
        </w:rPr>
        <w:t>ی و آموزش.</w:t>
      </w:r>
      <w:r w:rsidRPr="0025250D">
        <w:rPr>
          <w:rFonts w:hint="cs"/>
          <w:rtl/>
        </w:rPr>
        <w:t xml:space="preserve"> بعدا در طول روز</w:t>
      </w:r>
      <w:r w:rsidR="008D6F97" w:rsidRPr="0025250D">
        <w:rPr>
          <w:rtl/>
        </w:rPr>
        <w:t xml:space="preserve"> </w:t>
      </w:r>
      <w:r w:rsidRPr="0025250D">
        <w:rPr>
          <w:rFonts w:hint="cs"/>
          <w:rtl/>
        </w:rPr>
        <w:t xml:space="preserve">(اگر در صبح زود مطالعه می‌کنیم)، یا وقتی می‌خوابیم (اگر دیر مطالعه می‌کنیم)، بپرسید: </w:t>
      </w:r>
      <w:r w:rsidR="002C61FC" w:rsidRPr="0025250D">
        <w:rPr>
          <w:rtl/>
        </w:rPr>
        <w:t>«</w:t>
      </w:r>
      <w:r w:rsidRPr="0025250D">
        <w:rPr>
          <w:rFonts w:hint="cs"/>
          <w:rtl/>
        </w:rPr>
        <w:t>از این کتاب چه یاد گرفتم؟</w:t>
      </w:r>
      <w:r w:rsidR="002C61FC" w:rsidRPr="0025250D">
        <w:rPr>
          <w:rtl/>
        </w:rPr>
        <w:t>»</w:t>
      </w:r>
      <w:r w:rsidRPr="0025250D">
        <w:rPr>
          <w:rFonts w:hint="cs"/>
          <w:rtl/>
        </w:rPr>
        <w:t xml:space="preserve"> باید تا قبل از پایان روز نکات شاخص خود را بازبینی کنیم. آنچه را خوانده اید و به یاد می‌آورید و جالب‌ترین نکات شاخص را علامت بزنید. هفته بعد، یک صحبت 5 دقیقه‌ای با یک همگروهی یا دوست خود داشته و این که </w:t>
      </w:r>
      <w:r w:rsidR="002C61FC" w:rsidRPr="0025250D">
        <w:rPr>
          <w:rtl/>
        </w:rPr>
        <w:t>«</w:t>
      </w:r>
      <w:r w:rsidRPr="0025250D">
        <w:rPr>
          <w:rFonts w:hint="cs"/>
          <w:rtl/>
        </w:rPr>
        <w:t>چه چیزی از این کتاب آموخته اید</w:t>
      </w:r>
      <w:r w:rsidR="002C61FC" w:rsidRPr="0025250D">
        <w:rPr>
          <w:rtl/>
        </w:rPr>
        <w:t>»</w:t>
      </w:r>
      <w:r w:rsidRPr="0025250D">
        <w:rPr>
          <w:rFonts w:hint="cs"/>
          <w:rtl/>
        </w:rPr>
        <w:t xml:space="preserve"> را به اشتراک بگذارید. اگر دیگران را مدیریت می‌کنید، می‌توانید برای افرادی که به شما گزارش مسقیم می‌دهند، وظیفه انجام گفتگو‌های هفتگی با 10 دقیقه بحث پس از هر گفتگو را تعیین کنید. هر هفته، سه عضو تیم می‌توانند بحث درمورد کتاب‌های جدید را در یک نهار کاری مرور و تحلیل کنند. این کار به‌شدت یادگیری تیم را تسریع می‌کند.</w:t>
      </w:r>
    </w:p>
    <w:p w14:paraId="2D065F36" w14:textId="77777777" w:rsidR="00537CC8" w:rsidRPr="0025250D" w:rsidRDefault="00537CC8" w:rsidP="00537CC8">
      <w:pPr>
        <w:rPr>
          <w:rtl/>
        </w:rPr>
      </w:pPr>
      <w:r w:rsidRPr="0025250D">
        <w:rPr>
          <w:rFonts w:hint="cs"/>
          <w:rtl/>
        </w:rPr>
        <w:t>ما استفاده از هشت کد حاشیه نگاری را برای نکات شاخص خود توصیه می‌کنیم (در داخل جلد از آن‌ها استفاده کنید):</w:t>
      </w:r>
    </w:p>
    <w:p w14:paraId="687F714F" w14:textId="77777777" w:rsidR="00537CC8" w:rsidRPr="0025250D" w:rsidRDefault="00537CC8" w:rsidP="00537CC8">
      <w:pPr>
        <w:rPr>
          <w:rtl/>
        </w:rPr>
      </w:pPr>
      <w:r w:rsidRPr="0025250D">
        <w:rPr>
          <w:noProof/>
          <w:rtl/>
          <w:lang w:bidi="ar-SA"/>
        </w:rPr>
        <w:drawing>
          <wp:inline distT="0" distB="0" distL="0" distR="0" wp14:anchorId="1E5AC8FE" wp14:editId="3024C651">
            <wp:extent cx="4419327" cy="3234906"/>
            <wp:effectExtent l="0" t="0" r="635" b="3810"/>
            <wp:docPr id="157" name="Picture 157" descr="D:\کار\مستقل\3 ( ترجمه ی دانشگاه تهران  )\Introduction to Foresight\part7\55-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7\55-new.png"/>
                    <pic:cNvPicPr>
                      <a:picLocks noChangeAspect="1" noChangeArrowheads="1"/>
                    </pic:cNvPicPr>
                  </pic:nvPicPr>
                  <pic:blipFill rotWithShape="1">
                    <a:blip r:embed="rId258" cstate="screen">
                      <a:extLst>
                        <a:ext uri="{BEBA8EAE-BF5A-486C-A8C5-ECC9F3942E4B}">
                          <a14:imgProps xmlns:a14="http://schemas.microsoft.com/office/drawing/2010/main">
                            <a14:imgLayer r:embed="rId259">
                              <a14:imgEffect>
                                <a14:saturation sat="0"/>
                              </a14:imgEffect>
                            </a14:imgLayer>
                          </a14:imgProps>
                        </a:ext>
                        <a:ext uri="{28A0092B-C50C-407E-A947-70E740481C1C}">
                          <a14:useLocalDpi xmlns:a14="http://schemas.microsoft.com/office/drawing/2010/main"/>
                        </a:ext>
                      </a:extLst>
                    </a:blip>
                    <a:srcRect/>
                    <a:stretch/>
                  </pic:blipFill>
                  <pic:spPr bwMode="auto">
                    <a:xfrm>
                      <a:off x="0" y="0"/>
                      <a:ext cx="4430464" cy="3243058"/>
                    </a:xfrm>
                    <a:prstGeom prst="rect">
                      <a:avLst/>
                    </a:prstGeom>
                    <a:noFill/>
                    <a:ln>
                      <a:noFill/>
                    </a:ln>
                    <a:extLst>
                      <a:ext uri="{53640926-AAD7-44D8-BBD7-CCE9431645EC}">
                        <a14:shadowObscured xmlns:a14="http://schemas.microsoft.com/office/drawing/2010/main"/>
                      </a:ext>
                    </a:extLst>
                  </pic:spPr>
                </pic:pic>
              </a:graphicData>
            </a:graphic>
          </wp:inline>
        </w:drawing>
      </w:r>
    </w:p>
    <w:p w14:paraId="7C2AC39B" w14:textId="5504D11A" w:rsidR="00537CC8" w:rsidRPr="0025250D" w:rsidRDefault="00537CC8" w:rsidP="00537CC8">
      <w:r w:rsidRPr="0025250D">
        <w:rPr>
          <w:b/>
          <w:bCs/>
        </w:rPr>
        <w:t>D</w:t>
      </w:r>
      <w:r w:rsidRPr="0025250D">
        <w:rPr>
          <w:rFonts w:hint="cs"/>
          <w:b/>
          <w:bCs/>
          <w:rtl/>
        </w:rPr>
        <w:t>:</w:t>
      </w:r>
      <w:r w:rsidRPr="0025250D">
        <w:rPr>
          <w:rFonts w:hint="cs"/>
          <w:rtl/>
        </w:rPr>
        <w:t xml:space="preserve"> این کار را به سرعت انجام دهید (انجام</w:t>
      </w:r>
      <w:r w:rsidRPr="0025250D">
        <w:rPr>
          <w:vertAlign w:val="superscript"/>
          <w:rtl/>
        </w:rPr>
        <w:footnoteReference w:id="2570"/>
      </w:r>
      <w:r w:rsidRPr="0025250D">
        <w:rPr>
          <w:rFonts w:hint="cs"/>
          <w:rtl/>
        </w:rPr>
        <w:t>) (کار بعدی، در اولویت قرار دادن این فعالیت).</w:t>
      </w:r>
    </w:p>
    <w:p w14:paraId="0F9EFE55" w14:textId="77777777" w:rsidR="00537CC8" w:rsidRPr="0025250D" w:rsidRDefault="00537CC8" w:rsidP="00537CC8">
      <w:pPr>
        <w:rPr>
          <w:rtl/>
        </w:rPr>
      </w:pPr>
      <w:r w:rsidRPr="0025250D">
        <w:rPr>
          <w:b/>
          <w:bCs/>
        </w:rPr>
        <w:t>R</w:t>
      </w:r>
      <w:r w:rsidRPr="0025250D">
        <w:rPr>
          <w:rFonts w:hint="cs"/>
          <w:b/>
          <w:bCs/>
          <w:rtl/>
        </w:rPr>
        <w:t>:</w:t>
      </w:r>
      <w:r w:rsidRPr="0025250D">
        <w:rPr>
          <w:rFonts w:hint="cs"/>
          <w:rtl/>
        </w:rPr>
        <w:t xml:space="preserve"> این منابع اطلاعاتی (کتاب‌ها، ویدئو‌ها، ابزارها) را بازبینی کنید (بازبینی</w:t>
      </w:r>
      <w:r w:rsidRPr="0025250D">
        <w:rPr>
          <w:vertAlign w:val="superscript"/>
          <w:rtl/>
        </w:rPr>
        <w:footnoteReference w:id="2571"/>
      </w:r>
      <w:r w:rsidRPr="0025250D">
        <w:rPr>
          <w:rFonts w:hint="cs"/>
          <w:rtl/>
        </w:rPr>
        <w:t>). بعدا به صورت آنلاین به آن‌ها نگاه کنید.</w:t>
      </w:r>
    </w:p>
    <w:p w14:paraId="618FC171" w14:textId="34D6C65C" w:rsidR="00537CC8" w:rsidRPr="0025250D" w:rsidRDefault="00537CC8" w:rsidP="00537CC8">
      <w:pPr>
        <w:rPr>
          <w:rtl/>
        </w:rPr>
      </w:pPr>
      <w:r w:rsidRPr="0025250D">
        <w:rPr>
          <w:b/>
          <w:bCs/>
        </w:rPr>
        <w:t>O</w:t>
      </w:r>
      <w:r w:rsidRPr="0025250D">
        <w:rPr>
          <w:rFonts w:hint="cs"/>
          <w:b/>
          <w:bCs/>
          <w:rtl/>
        </w:rPr>
        <w:t>:</w:t>
      </w:r>
      <w:r w:rsidRPr="0025250D">
        <w:rPr>
          <w:rFonts w:hint="cs"/>
          <w:rtl/>
        </w:rPr>
        <w:t xml:space="preserve"> سازمان‌هایی برای مطالعه (سازمان ها</w:t>
      </w:r>
      <w:r w:rsidRPr="0025250D">
        <w:rPr>
          <w:vertAlign w:val="superscript"/>
          <w:rtl/>
        </w:rPr>
        <w:footnoteReference w:id="2572"/>
      </w:r>
      <w:r w:rsidRPr="0025250D">
        <w:rPr>
          <w:rFonts w:hint="cs"/>
          <w:rtl/>
        </w:rPr>
        <w:t>). هر زمان که ممکن بود به</w:t>
      </w:r>
      <w:r w:rsidRPr="0025250D">
        <w:rPr>
          <w:rtl/>
        </w:rPr>
        <w:t xml:space="preserve"> </w:t>
      </w:r>
      <w:r w:rsidRPr="0025250D">
        <w:rPr>
          <w:rFonts w:hint="cs"/>
          <w:rtl/>
        </w:rPr>
        <w:t>وبسایت</w:t>
      </w:r>
      <w:r w:rsidRPr="0025250D">
        <w:rPr>
          <w:rtl/>
        </w:rPr>
        <w:t xml:space="preserve"> </w:t>
      </w:r>
      <w:r w:rsidRPr="0025250D">
        <w:rPr>
          <w:rFonts w:hint="cs"/>
          <w:rtl/>
        </w:rPr>
        <w:t>آن</w:t>
      </w:r>
      <w:r w:rsidRPr="0025250D">
        <w:rPr>
          <w:rtl/>
        </w:rPr>
        <w:t xml:space="preserve">‌ها </w:t>
      </w:r>
      <w:r w:rsidRPr="0025250D">
        <w:rPr>
          <w:rFonts w:hint="cs"/>
          <w:rtl/>
        </w:rPr>
        <w:t>مراجعه کنید.</w:t>
      </w:r>
    </w:p>
    <w:p w14:paraId="62FCFF97" w14:textId="2E849130" w:rsidR="00537CC8" w:rsidRPr="0025250D" w:rsidRDefault="00537CC8" w:rsidP="00537CC8">
      <w:pPr>
        <w:rPr>
          <w:rtl/>
        </w:rPr>
      </w:pPr>
      <w:r w:rsidRPr="0025250D">
        <w:rPr>
          <w:b/>
          <w:bCs/>
        </w:rPr>
        <w:t>P</w:t>
      </w:r>
      <w:r w:rsidRPr="0025250D">
        <w:rPr>
          <w:rFonts w:hint="cs"/>
          <w:b/>
          <w:bCs/>
          <w:rtl/>
        </w:rPr>
        <w:t>:</w:t>
      </w:r>
      <w:r w:rsidRPr="0025250D">
        <w:rPr>
          <w:rFonts w:hint="cs"/>
          <w:rtl/>
        </w:rPr>
        <w:t xml:space="preserve"> افرادی که باید به صورت آنلاین در مورد آن‌ها جستجو کنید (افراد</w:t>
      </w:r>
      <w:r w:rsidRPr="0025250D">
        <w:rPr>
          <w:vertAlign w:val="superscript"/>
          <w:rtl/>
        </w:rPr>
        <w:footnoteReference w:id="2573"/>
      </w:r>
      <w:r w:rsidRPr="0025250D">
        <w:rPr>
          <w:rFonts w:hint="cs"/>
          <w:rtl/>
        </w:rPr>
        <w:t>).</w:t>
      </w:r>
    </w:p>
    <w:p w14:paraId="1EE62125" w14:textId="1C7CA362" w:rsidR="00537CC8" w:rsidRPr="0025250D" w:rsidRDefault="00537CC8" w:rsidP="00537CC8">
      <w:pPr>
        <w:rPr>
          <w:rtl/>
        </w:rPr>
      </w:pPr>
      <w:r w:rsidRPr="0025250D">
        <w:rPr>
          <w:b/>
          <w:bCs/>
        </w:rPr>
        <w:t>E</w:t>
      </w:r>
      <w:r w:rsidRPr="0025250D">
        <w:rPr>
          <w:rFonts w:hint="cs"/>
          <w:b/>
          <w:bCs/>
          <w:rtl/>
        </w:rPr>
        <w:t>:</w:t>
      </w:r>
      <w:r w:rsidRPr="0025250D">
        <w:rPr>
          <w:rFonts w:hint="cs"/>
          <w:rtl/>
        </w:rPr>
        <w:t xml:space="preserve"> شواهد، آمار و داده‌هایی که مفید، غافلگیر کننده یا مختل کننده </w:t>
      </w:r>
      <w:r w:rsidR="00B97419" w:rsidRPr="0025250D">
        <w:rPr>
          <w:rFonts w:hint="cs"/>
          <w:rtl/>
        </w:rPr>
        <w:t xml:space="preserve">به نظر </w:t>
      </w:r>
      <w:r w:rsidRPr="0025250D">
        <w:rPr>
          <w:rFonts w:hint="cs"/>
          <w:rtl/>
        </w:rPr>
        <w:t>می‌رسند (شواهد</w:t>
      </w:r>
      <w:r w:rsidRPr="0025250D">
        <w:rPr>
          <w:vertAlign w:val="superscript"/>
          <w:rtl/>
        </w:rPr>
        <w:footnoteReference w:id="2574"/>
      </w:r>
      <w:r w:rsidRPr="0025250D">
        <w:rPr>
          <w:rFonts w:hint="cs"/>
          <w:rtl/>
        </w:rPr>
        <w:t>).</w:t>
      </w:r>
    </w:p>
    <w:p w14:paraId="7D924162" w14:textId="77777777" w:rsidR="00537CC8" w:rsidRPr="0025250D" w:rsidRDefault="00537CC8" w:rsidP="00537CC8">
      <w:pPr>
        <w:rPr>
          <w:rtl/>
        </w:rPr>
      </w:pPr>
      <w:r w:rsidRPr="0025250D">
        <w:rPr>
          <w:b/>
          <w:bCs/>
        </w:rPr>
        <w:t>C</w:t>
      </w:r>
      <w:r w:rsidRPr="0025250D">
        <w:rPr>
          <w:rFonts w:hint="cs"/>
          <w:b/>
          <w:bCs/>
          <w:rtl/>
        </w:rPr>
        <w:t>:</w:t>
      </w:r>
      <w:r w:rsidRPr="0025250D">
        <w:rPr>
          <w:rFonts w:hint="cs"/>
          <w:rtl/>
        </w:rPr>
        <w:t xml:space="preserve"> ادعا‌ها، بیانیه‌ها، مدل‌ها، ایده‌هایی که مفید، غافل گیر کننده یا مهم می‌یابید (ادعاها</w:t>
      </w:r>
      <w:r w:rsidRPr="0025250D">
        <w:rPr>
          <w:vertAlign w:val="superscript"/>
          <w:rtl/>
        </w:rPr>
        <w:footnoteReference w:id="2575"/>
      </w:r>
      <w:r w:rsidRPr="0025250D">
        <w:rPr>
          <w:rFonts w:hint="cs"/>
          <w:rtl/>
        </w:rPr>
        <w:t>).</w:t>
      </w:r>
    </w:p>
    <w:p w14:paraId="6EE34E9A" w14:textId="55C2BCC5" w:rsidR="00537CC8" w:rsidRPr="0025250D" w:rsidRDefault="00537CC8" w:rsidP="00537CC8">
      <w:pPr>
        <w:rPr>
          <w:rtl/>
        </w:rPr>
      </w:pPr>
      <w:r w:rsidRPr="0025250D">
        <w:rPr>
          <w:b/>
          <w:bCs/>
        </w:rPr>
        <w:t>T</w:t>
      </w:r>
      <w:r w:rsidRPr="0025250D">
        <w:rPr>
          <w:rFonts w:hint="cs"/>
          <w:b/>
          <w:bCs/>
          <w:rtl/>
        </w:rPr>
        <w:t>:</w:t>
      </w:r>
      <w:r w:rsidRPr="0025250D">
        <w:rPr>
          <w:rFonts w:hint="cs"/>
          <w:rtl/>
        </w:rPr>
        <w:t xml:space="preserve"> پیشنهادها، عادات، رفتار‌ها، تاکتیک‌ها</w:t>
      </w:r>
      <w:r w:rsidR="00B97419" w:rsidRPr="0025250D">
        <w:rPr>
          <w:rFonts w:hint="cs"/>
          <w:rtl/>
        </w:rPr>
        <w:t xml:space="preserve"> و</w:t>
      </w:r>
      <w:r w:rsidRPr="0025250D">
        <w:rPr>
          <w:rFonts w:hint="cs"/>
          <w:rtl/>
        </w:rPr>
        <w:t xml:space="preserve"> ایده‌هایی که دوست دارید آن‌ها را امتحان کرده یا به اشتراک بگذارید (پیشنهادها).</w:t>
      </w:r>
    </w:p>
    <w:p w14:paraId="214B497B" w14:textId="53FBE783" w:rsidR="00537CC8" w:rsidRPr="0025250D" w:rsidRDefault="00537CC8" w:rsidP="00537CC8">
      <w:pPr>
        <w:rPr>
          <w:rtl/>
        </w:rPr>
      </w:pPr>
      <w:r w:rsidRPr="0025250D">
        <w:rPr>
          <w:b/>
          <w:bCs/>
        </w:rPr>
        <w:t>Q</w:t>
      </w:r>
      <w:r w:rsidRPr="0025250D">
        <w:rPr>
          <w:rFonts w:hint="cs"/>
          <w:b/>
          <w:bCs/>
          <w:rtl/>
        </w:rPr>
        <w:t>:</w:t>
      </w:r>
      <w:r w:rsidRPr="0025250D">
        <w:rPr>
          <w:rFonts w:hint="cs"/>
          <w:rtl/>
        </w:rPr>
        <w:t xml:space="preserve"> پرسش ها. مواردی که دوست دارید بدانید. ایده‌ها و موارد عملی </w:t>
      </w:r>
      <w:r w:rsidR="002C61FC" w:rsidRPr="0025250D">
        <w:rPr>
          <w:rtl/>
        </w:rPr>
        <w:t>«</w:t>
      </w:r>
      <w:r w:rsidRPr="0025250D">
        <w:rPr>
          <w:rFonts w:hint="cs"/>
          <w:rtl/>
        </w:rPr>
        <w:t>شاید روزی به آن‌ها بپردازید</w:t>
      </w:r>
      <w:r w:rsidR="002C61FC" w:rsidRPr="0025250D">
        <w:rPr>
          <w:rtl/>
        </w:rPr>
        <w:t>»</w:t>
      </w:r>
      <w:r w:rsidRPr="0025250D">
        <w:rPr>
          <w:rFonts w:hint="cs"/>
          <w:rtl/>
        </w:rPr>
        <w:t xml:space="preserve"> (پرسش ها</w:t>
      </w:r>
      <w:r w:rsidRPr="0025250D">
        <w:rPr>
          <w:vertAlign w:val="superscript"/>
          <w:rtl/>
        </w:rPr>
        <w:footnoteReference w:id="2576"/>
      </w:r>
      <w:r w:rsidRPr="0025250D">
        <w:rPr>
          <w:rFonts w:hint="cs"/>
          <w:rtl/>
        </w:rPr>
        <w:t>).</w:t>
      </w:r>
    </w:p>
    <w:p w14:paraId="604EBDF0" w14:textId="77777777" w:rsidR="00537CC8" w:rsidRPr="0025250D" w:rsidRDefault="00537CC8" w:rsidP="00537CC8">
      <w:pPr>
        <w:rPr>
          <w:rtl/>
        </w:rPr>
      </w:pPr>
      <w:r w:rsidRPr="0025250D">
        <w:rPr>
          <w:rFonts w:hint="cs"/>
          <w:rtl/>
        </w:rPr>
        <w:t>حداقل به داشتن یک جلسه مطالعه بازه‌ای در هفته متعهد باشید، اما به صورت ایدئال به اجرای دو جلسه برای یک مدت زمان مشخص (مثلا 10 هفته ای) متعهد باشید. قبل از این که آغاز کنید، ممکن است بخواهید یک مجموعه 10 کتابی یا بیش‌تر را برای ارزیابی کنار هم قرار دهید. وقتی یک مجموعه را تمام می‌کنید، می‌توانید یک هفته برای جشن گرفتن موفقیت خود اختصاص دهید. سپس یک دوره جدید را آغاز کنید.</w:t>
      </w:r>
    </w:p>
    <w:p w14:paraId="47D97A40" w14:textId="3B07D494" w:rsidR="00537CC8" w:rsidRPr="0025250D" w:rsidRDefault="00537CC8" w:rsidP="00537CC8">
      <w:pPr>
        <w:rPr>
          <w:rtl/>
        </w:rPr>
      </w:pPr>
      <w:r w:rsidRPr="0025250D">
        <w:rPr>
          <w:rFonts w:hint="cs"/>
          <w:rtl/>
        </w:rPr>
        <w:t>یک قانون سرانگشتی که باید برای هرمطالعه ای، مطالعه بازه‌ای یا عادی، رعایت کنیم این است که 20 درصد از کل زمان مطالعه خود را به مرور بپردازید. این 20 درصد شامل این موارد است: ایجاد نکات شاخص، بازبینی آن‌ها و آموزش آن‌ها به دیگران. این قانون توانی 20/80 است</w:t>
      </w:r>
      <w:r w:rsidR="008D6F97" w:rsidRPr="0025250D">
        <w:rPr>
          <w:rtl/>
        </w:rPr>
        <w:t xml:space="preserve"> </w:t>
      </w:r>
      <w:r w:rsidRPr="0025250D">
        <w:rPr>
          <w:rFonts w:hint="cs"/>
          <w:rtl/>
        </w:rPr>
        <w:t>که در فصل 1 مورد بحث قرار گرفت. اگر 20 درصد از کل زمان یادگیری خود را به مرور بپردازیم، مفید‌ترین مطالب را از دنباله بلند محتوای موجود در کتاب خارج می‌سازیم. همچنین به اندازه کافی با آن درگیر می‌شویم و برخی از مفید‌ترین مطالب را برای بلند مدت به حافظه می‌سپاریم تا بتوانیم از آن‌ها در مناسب‌ترین زمینه‌ها در آینده استفاده کنیم</w:t>
      </w:r>
      <w:r w:rsidR="008D6F97" w:rsidRPr="0025250D">
        <w:rPr>
          <w:rtl/>
        </w:rPr>
        <w:t xml:space="preserve">؛ </w:t>
      </w:r>
      <w:r w:rsidRPr="0025250D">
        <w:rPr>
          <w:rFonts w:hint="cs"/>
          <w:rtl/>
        </w:rPr>
        <w:t>بنابراین، اگر 100 دقیقه به یک کتاب اختصاص دهیم، باید تقریبا 20 دقیقه را برای ایجاد نکات شاخص و مرور خلاصه آن‌ها در پایان جلسه اختصاص دهیم. اگر واقعا آن‌ها را مفید یافتیم، می‌توانیم همچنین برخی از آن‌ها را به دیگران یا به خودمان برای بار سوم، چند روز بعد، آموزش دهیم. موفق باشید و مطالعه خوب و رضایت بخشی داشته باشید.</w:t>
      </w:r>
    </w:p>
    <w:p w14:paraId="7D33CFD3" w14:textId="77777777" w:rsidR="00537CC8" w:rsidRPr="0025250D" w:rsidRDefault="00537CC8" w:rsidP="00537CC8">
      <w:pPr>
        <w:rPr>
          <w:rtl/>
        </w:rPr>
      </w:pPr>
    </w:p>
    <w:p w14:paraId="47B8C50B" w14:textId="03F1DFDB" w:rsidR="00537CC8" w:rsidRPr="0025250D" w:rsidRDefault="00537CC8" w:rsidP="003D3E0A">
      <w:pPr>
        <w:pStyle w:val="Heading3"/>
        <w:rPr>
          <w:rtl/>
        </w:rPr>
      </w:pPr>
      <w:r w:rsidRPr="0025250D">
        <w:rPr>
          <w:rFonts w:hint="cs"/>
          <w:rtl/>
        </w:rPr>
        <w:t xml:space="preserve">مروری کلی بر روش‌های </w:t>
      </w:r>
      <w:r w:rsidR="00923DDB" w:rsidRPr="0025250D">
        <w:rPr>
          <w:rFonts w:hint="cs"/>
          <w:rtl/>
        </w:rPr>
        <w:t>پیش‌انگاری</w:t>
      </w:r>
    </w:p>
    <w:p w14:paraId="166C0659" w14:textId="5F2B7AEA" w:rsidR="00537CC8" w:rsidRPr="0025250D" w:rsidRDefault="00537CC8" w:rsidP="00537CC8">
      <w:pPr>
        <w:rPr>
          <w:rtl/>
        </w:rPr>
      </w:pPr>
      <w:r w:rsidRPr="0025250D">
        <w:rPr>
          <w:rFonts w:hint="cs"/>
          <w:rtl/>
        </w:rPr>
        <w:t xml:space="preserve">با انجام </w:t>
      </w:r>
      <w:r w:rsidR="00923DDB" w:rsidRPr="0025250D">
        <w:rPr>
          <w:rtl/>
        </w:rPr>
        <w:t>پیش‌انگاری</w:t>
      </w:r>
      <w:r w:rsidRPr="0025250D">
        <w:rPr>
          <w:rFonts w:hint="cs"/>
          <w:rtl/>
        </w:rPr>
        <w:t xml:space="preserve"> ما به سمت چهار </w:t>
      </w:r>
      <w:r w:rsidRPr="0025250D">
        <w:t>P</w:t>
      </w:r>
      <w:r w:rsidRPr="0025250D">
        <w:rPr>
          <w:rFonts w:hint="cs"/>
          <w:rtl/>
        </w:rPr>
        <w:t xml:space="preserve"> حرکت می‌کنیم: چهار نوع اصلی </w:t>
      </w:r>
      <w:r w:rsidR="00B124DE" w:rsidRPr="0025250D">
        <w:rPr>
          <w:rFonts w:hint="cs"/>
          <w:rtl/>
        </w:rPr>
        <w:t>آینده‌اندیش</w:t>
      </w:r>
      <w:r w:rsidRPr="0025250D">
        <w:rPr>
          <w:rFonts w:hint="cs"/>
          <w:rtl/>
        </w:rPr>
        <w:t xml:space="preserve">ی. به یاد آورید که دو مورد از این موارد </w:t>
      </w:r>
      <w:r w:rsidRPr="0025250D">
        <w:rPr>
          <w:rFonts w:cs="Times New Roman" w:hint="cs"/>
          <w:rtl/>
        </w:rPr>
        <w:t>–</w:t>
      </w:r>
      <w:r w:rsidRPr="0025250D">
        <w:rPr>
          <w:rFonts w:hint="cs"/>
          <w:rtl/>
        </w:rPr>
        <w:t xml:space="preserve"> آینده‌های محتمل و ممکن، آنچه احتمالا رخ خواهد داد و آنچه می‌تواند رخ دهد </w:t>
      </w:r>
      <w:r w:rsidRPr="0025250D">
        <w:rPr>
          <w:rFonts w:cs="Times New Roman" w:hint="cs"/>
          <w:rtl/>
        </w:rPr>
        <w:t>–</w:t>
      </w:r>
      <w:r w:rsidRPr="0025250D">
        <w:rPr>
          <w:rFonts w:hint="cs"/>
          <w:rtl/>
        </w:rPr>
        <w:t xml:space="preserve"> در جهان ما نقش اساسی دارند. آن‌ها پدیداری زندگی را قبل از رخ دادن آن پیش‌بینی می‌کنند که به تنهایی ترجیحات مثبت و منفی</w:t>
      </w:r>
      <w:r w:rsidR="00B6759F" w:rsidRPr="0025250D">
        <w:rPr>
          <w:rFonts w:hint="cs"/>
          <w:rtl/>
        </w:rPr>
        <w:t xml:space="preserve"> را</w:t>
      </w:r>
      <w:r w:rsidRPr="0025250D">
        <w:rPr>
          <w:rFonts w:hint="cs"/>
          <w:rtl/>
        </w:rPr>
        <w:t xml:space="preserve"> ایجاد می‌کند. بیایید اکنون نگاهی به برخی از ابزار‌ها و روش‌هایی که </w:t>
      </w:r>
      <w:r w:rsidRPr="0025250D">
        <w:rPr>
          <w:rtl/>
        </w:rPr>
        <w:t>آینده‌نگار</w:t>
      </w:r>
      <w:r w:rsidRPr="0025250D">
        <w:rPr>
          <w:rFonts w:hint="cs"/>
          <w:rtl/>
        </w:rPr>
        <w:t>ان برای بررسی آینده‌های محتمل استفاده می‌کنند داشته باشیم.</w:t>
      </w:r>
    </w:p>
    <w:p w14:paraId="493C4585" w14:textId="6D8D33A0" w:rsidR="00537CC8" w:rsidRPr="0025250D" w:rsidRDefault="00537CC8" w:rsidP="00537CC8">
      <w:pPr>
        <w:rPr>
          <w:rtl/>
        </w:rPr>
      </w:pPr>
      <w:r w:rsidRPr="0025250D">
        <w:rPr>
          <w:rFonts w:hint="cs"/>
          <w:rtl/>
        </w:rPr>
        <w:t xml:space="preserve">اکنون به بخش توسعه‌ای فرایند تولید </w:t>
      </w:r>
      <w:r w:rsidRPr="0025250D">
        <w:rPr>
          <w:rtl/>
        </w:rPr>
        <w:t>آینده‌نگاری</w:t>
      </w:r>
      <w:r w:rsidRPr="0025250D">
        <w:rPr>
          <w:rFonts w:hint="cs"/>
          <w:rtl/>
        </w:rPr>
        <w:t xml:space="preserve"> و به کسانی که </w:t>
      </w:r>
      <w:r w:rsidR="00923DDB" w:rsidRPr="0025250D">
        <w:rPr>
          <w:rFonts w:hint="cs"/>
          <w:rtl/>
        </w:rPr>
        <w:t>پیش‌انگاری</w:t>
      </w:r>
      <w:r w:rsidRPr="0025250D">
        <w:rPr>
          <w:rFonts w:hint="cs"/>
          <w:rtl/>
        </w:rPr>
        <w:t xml:space="preserve">، حفاظت، برآورد، اندازه گیری، </w:t>
      </w:r>
      <w:r w:rsidR="00FB6A7E" w:rsidRPr="0025250D">
        <w:rPr>
          <w:rFonts w:hint="cs"/>
          <w:rtl/>
        </w:rPr>
        <w:t>پیش‌نگری</w:t>
      </w:r>
      <w:r w:rsidRPr="0025250D">
        <w:rPr>
          <w:rFonts w:hint="cs"/>
          <w:rtl/>
        </w:rPr>
        <w:t xml:space="preserve"> و پیش‌بینی را دوست دارند باز می‌گردیم. اگر در فرایند </w:t>
      </w:r>
      <w:r w:rsidRPr="0025250D">
        <w:rPr>
          <w:rtl/>
        </w:rPr>
        <w:t>آینده‌نگاری</w:t>
      </w:r>
      <w:r w:rsidRPr="0025250D">
        <w:rPr>
          <w:rFonts w:hint="cs"/>
          <w:rtl/>
        </w:rPr>
        <w:t xml:space="preserve"> خود، با </w:t>
      </w:r>
      <w:r w:rsidR="002C61FC" w:rsidRPr="0025250D">
        <w:rPr>
          <w:rtl/>
        </w:rPr>
        <w:t>«</w:t>
      </w:r>
      <w:r w:rsidRPr="0025250D">
        <w:rPr>
          <w:rFonts w:hint="cs"/>
          <w:rtl/>
        </w:rPr>
        <w:t>قطعیت</w:t>
      </w:r>
      <w:r w:rsidR="002C61FC" w:rsidRPr="0025250D">
        <w:rPr>
          <w:rtl/>
        </w:rPr>
        <w:t>»</w:t>
      </w:r>
      <w:r w:rsidRPr="0025250D">
        <w:rPr>
          <w:rFonts w:hint="cs"/>
          <w:rtl/>
        </w:rPr>
        <w:t xml:space="preserve"> و با این افراد و عوامل مورد علاقه آن‌ها آغاز کنیم، به سرعت مجموعه‌ای از ایده‌ها درمورد این که آینده به کدام سمت ممکن است برود خواهیم داشت</w:t>
      </w:r>
      <w:r w:rsidR="008D6F97" w:rsidRPr="0025250D">
        <w:rPr>
          <w:rtl/>
        </w:rPr>
        <w:t xml:space="preserve">؛ </w:t>
      </w:r>
      <w:r w:rsidR="0020589F" w:rsidRPr="0025250D">
        <w:rPr>
          <w:rtl/>
        </w:rPr>
        <w:t>اما</w:t>
      </w:r>
      <w:r w:rsidRPr="0025250D">
        <w:rPr>
          <w:rFonts w:hint="cs"/>
          <w:rtl/>
        </w:rPr>
        <w:t xml:space="preserve"> بهتر است در اینجا متوقف نشویم. افرادی که مطابق عوامل توسعه‌ای فکر می‌کنند </w:t>
      </w:r>
      <w:r w:rsidR="00B0171C" w:rsidRPr="0025250D">
        <w:rPr>
          <w:rFonts w:hint="cs"/>
          <w:rtl/>
        </w:rPr>
        <w:t>به‌سادگی</w:t>
      </w:r>
      <w:r w:rsidRPr="0025250D">
        <w:rPr>
          <w:rFonts w:hint="cs"/>
          <w:rtl/>
        </w:rPr>
        <w:t xml:space="preserve"> رویکردهای تکاملی را نادیده می‌گیرند. آن‌ها مقید بودن و همگرایی را نسبت به موارد ممکن و واگرایی ترجیح می‌دهند، بنابراین ایده‌های آنان می‌تواند ساده انگارانه و دارای سوگیری باشد </w:t>
      </w:r>
      <w:r w:rsidRPr="0025250D">
        <w:rPr>
          <w:rFonts w:cs="Times New Roman" w:hint="cs"/>
          <w:rtl/>
        </w:rPr>
        <w:t>–</w:t>
      </w:r>
      <w:r w:rsidRPr="0025250D">
        <w:rPr>
          <w:rFonts w:hint="cs"/>
          <w:rtl/>
        </w:rPr>
        <w:t xml:space="preserve"> بخش زیادی از فضای ممکن را در بر نگیرد. این امر در عصر </w:t>
      </w:r>
      <w:r w:rsidRPr="0025250D">
        <w:rPr>
          <w:rtl/>
        </w:rPr>
        <w:t>آینده‌نگاری</w:t>
      </w:r>
      <w:r w:rsidRPr="0025250D">
        <w:rPr>
          <w:rFonts w:hint="cs"/>
          <w:rtl/>
        </w:rPr>
        <w:t xml:space="preserve"> </w:t>
      </w:r>
      <w:r w:rsidRPr="0025250D">
        <w:rPr>
          <w:rtl/>
        </w:rPr>
        <w:t>تکنوکرات</w:t>
      </w:r>
      <w:r w:rsidRPr="0025250D">
        <w:rPr>
          <w:vertAlign w:val="superscript"/>
          <w:rtl/>
        </w:rPr>
        <w:footnoteReference w:id="2577"/>
      </w:r>
      <w:r w:rsidRPr="0025250D">
        <w:rPr>
          <w:rFonts w:hint="cs"/>
          <w:rtl/>
        </w:rPr>
        <w:t xml:space="preserve"> در آمریکا در دهه 1950، </w:t>
      </w:r>
      <w:r w:rsidRPr="0025250D">
        <w:rPr>
          <w:rtl/>
        </w:rPr>
        <w:t>زمان</w:t>
      </w:r>
      <w:r w:rsidRPr="0025250D">
        <w:rPr>
          <w:rFonts w:hint="cs"/>
          <w:rtl/>
        </w:rPr>
        <w:t>ی</w:t>
      </w:r>
      <w:r w:rsidRPr="0025250D">
        <w:rPr>
          <w:rtl/>
        </w:rPr>
        <w:t xml:space="preserve"> که بس</w:t>
      </w:r>
      <w:r w:rsidRPr="0025250D">
        <w:rPr>
          <w:rFonts w:hint="cs"/>
          <w:rtl/>
        </w:rPr>
        <w:t>ی</w:t>
      </w:r>
      <w:r w:rsidRPr="0025250D">
        <w:rPr>
          <w:rFonts w:hint="eastAsia"/>
          <w:rtl/>
        </w:rPr>
        <w:t>ار</w:t>
      </w:r>
      <w:r w:rsidRPr="0025250D">
        <w:rPr>
          <w:rFonts w:hint="cs"/>
          <w:rtl/>
        </w:rPr>
        <w:t>ی</w:t>
      </w:r>
      <w:r w:rsidRPr="0025250D">
        <w:rPr>
          <w:rtl/>
        </w:rPr>
        <w:t xml:space="preserve"> از رهبران و مهندسان ما پ</w:t>
      </w:r>
      <w:r w:rsidRPr="0025250D">
        <w:rPr>
          <w:rFonts w:hint="cs"/>
          <w:rtl/>
        </w:rPr>
        <w:t>ی</w:t>
      </w:r>
      <w:r w:rsidRPr="0025250D">
        <w:rPr>
          <w:rFonts w:hint="eastAsia"/>
          <w:rtl/>
        </w:rPr>
        <w:t>چ</w:t>
      </w:r>
      <w:r w:rsidRPr="0025250D">
        <w:rPr>
          <w:rFonts w:hint="cs"/>
          <w:rtl/>
        </w:rPr>
        <w:t>ی</w:t>
      </w:r>
      <w:r w:rsidRPr="0025250D">
        <w:rPr>
          <w:rFonts w:hint="eastAsia"/>
          <w:rtl/>
        </w:rPr>
        <w:t>دگ</w:t>
      </w:r>
      <w:r w:rsidRPr="0025250D">
        <w:rPr>
          <w:rFonts w:hint="cs"/>
          <w:rtl/>
        </w:rPr>
        <w:t>ی</w:t>
      </w:r>
      <w:r w:rsidRPr="0025250D">
        <w:rPr>
          <w:rtl/>
        </w:rPr>
        <w:t>‌های تکامل</w:t>
      </w:r>
      <w:r w:rsidRPr="0025250D">
        <w:rPr>
          <w:rFonts w:hint="cs"/>
          <w:rtl/>
        </w:rPr>
        <w:t>ی</w:t>
      </w:r>
      <w:r w:rsidRPr="0025250D">
        <w:rPr>
          <w:rtl/>
        </w:rPr>
        <w:t xml:space="preserve"> </w:t>
      </w:r>
      <w:r w:rsidR="008D6F97" w:rsidRPr="0025250D">
        <w:rPr>
          <w:rtl/>
        </w:rPr>
        <w:t>سامانه‌</w:t>
      </w:r>
      <w:r w:rsidRPr="0025250D">
        <w:rPr>
          <w:rtl/>
        </w:rPr>
        <w:t>‌های اجتماع</w:t>
      </w:r>
      <w:r w:rsidRPr="0025250D">
        <w:rPr>
          <w:rFonts w:hint="cs"/>
          <w:rtl/>
        </w:rPr>
        <w:t>ی</w:t>
      </w:r>
      <w:r w:rsidRPr="0025250D">
        <w:rPr>
          <w:rtl/>
        </w:rPr>
        <w:t xml:space="preserve"> و پ</w:t>
      </w:r>
      <w:r w:rsidRPr="0025250D">
        <w:rPr>
          <w:rFonts w:hint="cs"/>
          <w:rtl/>
        </w:rPr>
        <w:t>ی</w:t>
      </w:r>
      <w:r w:rsidRPr="0025250D">
        <w:rPr>
          <w:rFonts w:hint="eastAsia"/>
          <w:rtl/>
        </w:rPr>
        <w:t>امدها</w:t>
      </w:r>
      <w:r w:rsidRPr="0025250D">
        <w:rPr>
          <w:rFonts w:hint="cs"/>
          <w:rtl/>
        </w:rPr>
        <w:t>ی</w:t>
      </w:r>
      <w:r w:rsidRPr="0025250D">
        <w:rPr>
          <w:rtl/>
        </w:rPr>
        <w:t xml:space="preserve"> ناخواسته س</w:t>
      </w:r>
      <w:r w:rsidRPr="0025250D">
        <w:rPr>
          <w:rFonts w:hint="cs"/>
          <w:rtl/>
        </w:rPr>
        <w:t>ی</w:t>
      </w:r>
      <w:r w:rsidRPr="0025250D">
        <w:rPr>
          <w:rFonts w:hint="eastAsia"/>
          <w:rtl/>
        </w:rPr>
        <w:t>است</w:t>
      </w:r>
      <w:r w:rsidRPr="0025250D">
        <w:rPr>
          <w:rtl/>
        </w:rPr>
        <w:t xml:space="preserve">‌های از </w:t>
      </w:r>
      <w:r w:rsidR="009D17DA" w:rsidRPr="0025250D">
        <w:rPr>
          <w:rtl/>
        </w:rPr>
        <w:t>بالا‌به‌پایین</w:t>
      </w:r>
      <w:r w:rsidR="008D6F97" w:rsidRPr="0025250D">
        <w:rPr>
          <w:rtl/>
        </w:rPr>
        <w:t xml:space="preserve"> </w:t>
      </w:r>
      <w:r w:rsidRPr="0025250D">
        <w:rPr>
          <w:rFonts w:hint="cs"/>
          <w:rtl/>
        </w:rPr>
        <w:t xml:space="preserve">خود </w:t>
      </w:r>
      <w:r w:rsidRPr="0025250D">
        <w:rPr>
          <w:rtl/>
        </w:rPr>
        <w:t>را دست کم گرفتند</w:t>
      </w:r>
      <w:r w:rsidRPr="0025250D">
        <w:rPr>
          <w:rFonts w:hint="cs"/>
          <w:rtl/>
        </w:rPr>
        <w:t xml:space="preserve">، رخ داد. این امر در هر شرکتی هرگاه که </w:t>
      </w:r>
      <w:r w:rsidR="00701E03" w:rsidRPr="0025250D">
        <w:rPr>
          <w:rFonts w:hint="cs"/>
          <w:rtl/>
        </w:rPr>
        <w:t>راهبرد</w:t>
      </w:r>
      <w:r w:rsidRPr="0025250D">
        <w:rPr>
          <w:rFonts w:hint="cs"/>
          <w:rtl/>
        </w:rPr>
        <w:t xml:space="preserve"> و سیاست تنها به توسعه گرایان</w:t>
      </w:r>
      <w:r w:rsidRPr="0025250D">
        <w:rPr>
          <w:vertAlign w:val="superscript"/>
          <w:rtl/>
        </w:rPr>
        <w:footnoteReference w:id="2578"/>
      </w:r>
      <w:r w:rsidRPr="0025250D">
        <w:rPr>
          <w:rFonts w:hint="cs"/>
          <w:rtl/>
        </w:rPr>
        <w:t xml:space="preserve"> سپرده شود رخ می‌دهد.</w:t>
      </w:r>
    </w:p>
    <w:p w14:paraId="2843DA35" w14:textId="6C2C5503" w:rsidR="00537CC8" w:rsidRPr="0025250D" w:rsidRDefault="00537CC8" w:rsidP="00537CC8">
      <w:pPr>
        <w:rPr>
          <w:rtl/>
        </w:rPr>
      </w:pPr>
      <w:r w:rsidRPr="0025250D">
        <w:rPr>
          <w:rFonts w:hint="cs"/>
          <w:rtl/>
        </w:rPr>
        <w:t xml:space="preserve">بیایید فراموش نکنیم که توسعه گرایان نه تنها کامل نیستند (تنها نماینده نیمی از تصویر </w:t>
      </w:r>
      <w:r w:rsidRPr="0025250D">
        <w:rPr>
          <w:rtl/>
        </w:rPr>
        <w:t xml:space="preserve">تکاملی - توسعه‌ای </w:t>
      </w:r>
      <w:r w:rsidRPr="0025250D">
        <w:rPr>
          <w:rFonts w:hint="cs"/>
          <w:rtl/>
        </w:rPr>
        <w:t xml:space="preserve">هستند)، بلکه </w:t>
      </w:r>
      <w:r w:rsidR="00B6759F" w:rsidRPr="0025250D">
        <w:rPr>
          <w:rFonts w:hint="cs"/>
          <w:rtl/>
        </w:rPr>
        <w:t>ممکن است</w:t>
      </w:r>
      <w:r w:rsidRPr="0025250D">
        <w:rPr>
          <w:rFonts w:hint="cs"/>
          <w:rtl/>
        </w:rPr>
        <w:t xml:space="preserve"> </w:t>
      </w:r>
      <w:r w:rsidR="00B0171C" w:rsidRPr="0025250D">
        <w:rPr>
          <w:rFonts w:hint="cs"/>
          <w:rtl/>
        </w:rPr>
        <w:t>به‌سادگی</w:t>
      </w:r>
      <w:r w:rsidRPr="0025250D">
        <w:rPr>
          <w:rFonts w:hint="cs"/>
          <w:rtl/>
        </w:rPr>
        <w:t xml:space="preserve"> اشتباه کنند. امروزه داده‌های محکم اندکی برای فرایند‌های توسعه‌ای در بیش‌تر </w:t>
      </w:r>
      <w:r w:rsidR="008D6F97" w:rsidRPr="0025250D">
        <w:rPr>
          <w:rFonts w:hint="cs"/>
          <w:rtl/>
        </w:rPr>
        <w:t>سامانه‌</w:t>
      </w:r>
      <w:r w:rsidRPr="0025250D">
        <w:rPr>
          <w:rFonts w:hint="cs"/>
          <w:rtl/>
        </w:rPr>
        <w:t>‌ها داریم و نمی‌دانیم کدام مدل‌ها در بسیاری زمینه‌ها بهترین کاربرد را دارند. اگر شک داشته باشیم که یک فرایند توسعه‌ای وجود دارد و به کارسپار ما مرتبط است، می‌توانیم با جستجو برای عوامل توسعه‌ای مرتبط آغاز کنیم، آن‌ها را به شکل‌های شهودی مرتب کنیم و آن‌ها را در مقابل تجربه مان بسنجیم. اگر توسعه وجود داشته باشد، تلاش‌های ما به مرور زمان پیش‌بینی کننده‌تر می‌شوند. بیایید اکنون به برخی از این عوامل نگاهی داشته باشیم.</w:t>
      </w:r>
    </w:p>
    <w:p w14:paraId="4E16E364" w14:textId="77777777" w:rsidR="00537CC8" w:rsidRPr="0025250D" w:rsidRDefault="00537CC8" w:rsidP="00537CC8">
      <w:pPr>
        <w:rPr>
          <w:b/>
          <w:bCs/>
          <w:rtl/>
        </w:rPr>
      </w:pPr>
      <w:r w:rsidRPr="0025250D">
        <w:rPr>
          <w:rFonts w:hint="cs"/>
          <w:b/>
          <w:bCs/>
          <w:rtl/>
        </w:rPr>
        <w:t>الف) پیوندها، روندها، وابستگی‌ها و قیود</w:t>
      </w:r>
    </w:p>
    <w:p w14:paraId="5F1E5FBF" w14:textId="3C105CBF" w:rsidR="00537CC8" w:rsidRPr="0025250D" w:rsidRDefault="00537CC8" w:rsidP="00537CC8">
      <w:pPr>
        <w:rPr>
          <w:rtl/>
        </w:rPr>
      </w:pPr>
      <w:r w:rsidRPr="0025250D">
        <w:rPr>
          <w:rFonts w:hint="cs"/>
          <w:rtl/>
        </w:rPr>
        <w:t>پیوندها</w:t>
      </w:r>
      <w:r w:rsidRPr="0025250D">
        <w:rPr>
          <w:vertAlign w:val="superscript"/>
          <w:rtl/>
        </w:rPr>
        <w:footnoteReference w:id="2579"/>
      </w:r>
      <w:r w:rsidRPr="0025250D">
        <w:rPr>
          <w:rFonts w:hint="cs"/>
          <w:rtl/>
        </w:rPr>
        <w:t xml:space="preserve"> تنها روابط و همبستگی میان دو چیز هستند. </w:t>
      </w:r>
      <w:r w:rsidR="007118DE" w:rsidRPr="0025250D">
        <w:rPr>
          <w:rFonts w:hint="cs"/>
          <w:rtl/>
        </w:rPr>
        <w:t>همان‌طور</w:t>
      </w:r>
      <w:r w:rsidRPr="0025250D">
        <w:rPr>
          <w:rFonts w:hint="cs"/>
          <w:rtl/>
        </w:rPr>
        <w:t xml:space="preserve"> که همه ما می‌دانیم، همبستگی بیان کننده علت نیست، اما ما را در مسیر روابط علی قرار می‌دهد. پیوندهای بلند مدت و پایدار یا پیوندهای با احتمال بالا در متغیر‌هایی که به نظر برای </w:t>
      </w:r>
      <w:r w:rsidR="008D6F97" w:rsidRPr="0025250D">
        <w:rPr>
          <w:rFonts w:hint="cs"/>
          <w:rtl/>
        </w:rPr>
        <w:t>سامانه‌</w:t>
      </w:r>
      <w:r w:rsidRPr="0025250D">
        <w:rPr>
          <w:rFonts w:hint="cs"/>
          <w:rtl/>
        </w:rPr>
        <w:t xml:space="preserve"> یا آینده مورد نظر مهم هستند می‌توانند ما را به سمت یافتن علل، نیروها یا روابطی که به صورت گسترده یا حتی به صورت فراگیر بهینه یا توسعه‌ای هستند، هدایت کنند (قوانین </w:t>
      </w:r>
      <w:r w:rsidR="008D6F97" w:rsidRPr="0025250D">
        <w:rPr>
          <w:rFonts w:hint="cs"/>
          <w:rtl/>
        </w:rPr>
        <w:t>سامانه‌</w:t>
      </w:r>
      <w:r w:rsidRPr="0025250D">
        <w:rPr>
          <w:rFonts w:hint="cs"/>
          <w:rtl/>
        </w:rPr>
        <w:t xml:space="preserve">‌ها در بخش بعدی را ببینید). </w:t>
      </w:r>
      <w:r w:rsidRPr="0025250D">
        <w:rPr>
          <w:rtl/>
        </w:rPr>
        <w:t>آینده‌نگار</w:t>
      </w:r>
      <w:r w:rsidRPr="0025250D">
        <w:rPr>
          <w:rFonts w:hint="cs"/>
          <w:rtl/>
        </w:rPr>
        <w:t>انی که یک رویکرد تحقیقاتی</w:t>
      </w:r>
      <w:r w:rsidR="00B6759F" w:rsidRPr="0025250D">
        <w:rPr>
          <w:rFonts w:hint="cs"/>
          <w:rtl/>
        </w:rPr>
        <w:t xml:space="preserve"> و</w:t>
      </w:r>
      <w:r w:rsidRPr="0025250D">
        <w:rPr>
          <w:rFonts w:hint="cs"/>
          <w:rtl/>
        </w:rPr>
        <w:t xml:space="preserve"> داده محور (مهارت 1: یادگیری) را دنبال می‌کنند پیوندهای ب</w:t>
      </w:r>
      <w:r w:rsidR="00B6759F" w:rsidRPr="0025250D">
        <w:rPr>
          <w:rFonts w:hint="cs"/>
          <w:rtl/>
        </w:rPr>
        <w:t>ا</w:t>
      </w:r>
      <w:r w:rsidRPr="0025250D">
        <w:rPr>
          <w:rFonts w:hint="cs"/>
          <w:rtl/>
        </w:rPr>
        <w:t>لقوه مرتبط بسیاری خواهند یافت.</w:t>
      </w:r>
    </w:p>
    <w:p w14:paraId="2B4C1C39" w14:textId="519A94D8" w:rsidR="00537CC8" w:rsidRPr="0025250D" w:rsidRDefault="00537CC8" w:rsidP="00537CC8">
      <w:pPr>
        <w:rPr>
          <w:rtl/>
        </w:rPr>
      </w:pPr>
      <w:r w:rsidRPr="0025250D">
        <w:rPr>
          <w:rFonts w:hint="cs"/>
          <w:rtl/>
        </w:rPr>
        <w:t xml:space="preserve">روند‌ها و </w:t>
      </w:r>
      <w:r w:rsidR="00FB6A7E" w:rsidRPr="0025250D">
        <w:rPr>
          <w:rFonts w:hint="cs"/>
          <w:rtl/>
        </w:rPr>
        <w:t>پیش‌نگری</w:t>
      </w:r>
      <w:r w:rsidRPr="0025250D">
        <w:rPr>
          <w:rFonts w:hint="cs"/>
          <w:rtl/>
        </w:rPr>
        <w:t xml:space="preserve">‌ها، پیوندهای کمّی میان متغیر‌ها هستند که به مرور زمان دنبال می‌شوند. تحلیل و </w:t>
      </w:r>
      <w:r w:rsidR="00FB6A7E" w:rsidRPr="0025250D">
        <w:rPr>
          <w:rFonts w:hint="cs"/>
          <w:rtl/>
        </w:rPr>
        <w:t>پیش‌نگری</w:t>
      </w:r>
      <w:r w:rsidRPr="0025250D">
        <w:rPr>
          <w:rFonts w:hint="cs"/>
          <w:rtl/>
        </w:rPr>
        <w:t xml:space="preserve"> سری‌های زمانی برای همه کارهای </w:t>
      </w:r>
      <w:r w:rsidRPr="0025250D">
        <w:rPr>
          <w:rtl/>
        </w:rPr>
        <w:t>آینده‌نگاری</w:t>
      </w:r>
      <w:r w:rsidRPr="0025250D">
        <w:rPr>
          <w:rFonts w:hint="cs"/>
          <w:rtl/>
        </w:rPr>
        <w:t xml:space="preserve"> خوب و قوی ضروری هستند. وقتی </w:t>
      </w:r>
      <w:r w:rsidR="00FB6A7E" w:rsidRPr="0025250D">
        <w:rPr>
          <w:rFonts w:hint="cs"/>
          <w:rtl/>
        </w:rPr>
        <w:t>پیش‌نگری</w:t>
      </w:r>
      <w:r w:rsidRPr="0025250D">
        <w:rPr>
          <w:rFonts w:hint="cs"/>
          <w:rtl/>
        </w:rPr>
        <w:t xml:space="preserve"> اجتماعی و فنی انجام می‌دهیم، همواره پیش‌بینی مدت زمانی که این پیوند می‌تواند باقی بماند چالش برانگیز خواهد بود. هم سرمایه گذاران و هم </w:t>
      </w:r>
      <w:r w:rsidR="00D30084" w:rsidRPr="0025250D">
        <w:rPr>
          <w:rFonts w:hint="cs"/>
          <w:rtl/>
        </w:rPr>
        <w:t>آینده‌نگار</w:t>
      </w:r>
      <w:r w:rsidRPr="0025250D">
        <w:rPr>
          <w:rFonts w:hint="cs"/>
          <w:rtl/>
        </w:rPr>
        <w:t xml:space="preserve">ان با این اصطلاح آشنا هستند: </w:t>
      </w:r>
      <w:r w:rsidR="002C61FC" w:rsidRPr="0025250D">
        <w:rPr>
          <w:rtl/>
        </w:rPr>
        <w:t>«</w:t>
      </w:r>
      <w:r w:rsidRPr="0025250D">
        <w:rPr>
          <w:rFonts w:hint="cs"/>
          <w:rtl/>
        </w:rPr>
        <w:t>روند دوست شماست</w:t>
      </w:r>
      <w:r w:rsidR="008D6F97" w:rsidRPr="0025250D">
        <w:rPr>
          <w:rtl/>
        </w:rPr>
        <w:t xml:space="preserve"> </w:t>
      </w:r>
      <w:r w:rsidRPr="0025250D">
        <w:rPr>
          <w:rFonts w:hint="cs"/>
          <w:rtl/>
        </w:rPr>
        <w:t xml:space="preserve">تا زمانی که به پایان برسد یا </w:t>
      </w:r>
      <w:r w:rsidR="00B6759F" w:rsidRPr="0025250D">
        <w:rPr>
          <w:rFonts w:hint="cs"/>
          <w:rtl/>
        </w:rPr>
        <w:t>افول</w:t>
      </w:r>
      <w:r w:rsidRPr="0025250D">
        <w:rPr>
          <w:vertAlign w:val="superscript"/>
          <w:rtl/>
        </w:rPr>
        <w:footnoteReference w:id="2580"/>
      </w:r>
      <w:r w:rsidRPr="0025250D">
        <w:rPr>
          <w:rFonts w:hint="cs"/>
          <w:rtl/>
        </w:rPr>
        <w:t xml:space="preserve"> </w:t>
      </w:r>
      <w:r w:rsidR="00B6759F" w:rsidRPr="0025250D">
        <w:rPr>
          <w:rFonts w:hint="cs"/>
          <w:rtl/>
        </w:rPr>
        <w:t>کند</w:t>
      </w:r>
      <w:r w:rsidR="002C61FC" w:rsidRPr="0025250D">
        <w:rPr>
          <w:rtl/>
        </w:rPr>
        <w:t>»</w:t>
      </w:r>
      <w:r w:rsidRPr="0025250D">
        <w:rPr>
          <w:rFonts w:hint="cs"/>
          <w:rtl/>
        </w:rPr>
        <w:t xml:space="preserve">. هر روندی، به ویژه یک روند کوتاه مدت </w:t>
      </w:r>
      <w:r w:rsidRPr="0025250D">
        <w:rPr>
          <w:rFonts w:cs="Times New Roman" w:hint="cs"/>
          <w:rtl/>
        </w:rPr>
        <w:t>–</w:t>
      </w:r>
      <w:r w:rsidRPr="0025250D">
        <w:rPr>
          <w:rFonts w:hint="cs"/>
          <w:rtl/>
        </w:rPr>
        <w:t xml:space="preserve"> مانند آنچه در سرگرمی، فرهنگ مشتری، یا مُد می‌بینیم </w:t>
      </w:r>
      <w:r w:rsidRPr="0025250D">
        <w:rPr>
          <w:rFonts w:cs="Times New Roman" w:hint="cs"/>
          <w:rtl/>
        </w:rPr>
        <w:t>–</w:t>
      </w:r>
      <w:r w:rsidRPr="0025250D">
        <w:rPr>
          <w:rFonts w:hint="cs"/>
          <w:rtl/>
        </w:rPr>
        <w:t xml:space="preserve"> می‌تواند در هر زمانی خم شده یا خود را معکوس نماید.</w:t>
      </w:r>
    </w:p>
    <w:p w14:paraId="21E37786" w14:textId="239E0CDB" w:rsidR="00537CC8" w:rsidRPr="0025250D" w:rsidRDefault="00537CC8" w:rsidP="00537CC8">
      <w:pPr>
        <w:rPr>
          <w:rtl/>
        </w:rPr>
      </w:pPr>
      <w:r w:rsidRPr="0025250D">
        <w:rPr>
          <w:rFonts w:hint="cs"/>
          <w:rtl/>
        </w:rPr>
        <w:t xml:space="preserve">قانون 95/5 به ما یادآوری می‌کند که اکثریت فرایند‌های اجتماعی تکاملی هستند و ما نباید فراموش کنیم که تکامل هیچ جهت پیش‌بینی بلند، به جز بیش‌تر شدن تنوع آن به مرور زمان، ندارد (مثلا، تنوع رو به رشد قابل پیش‌بینی گونه‌های ما در طول میلیارد‌ها سال، با آغاز از یک نوع تک سلولی). فرایند‌های </w:t>
      </w:r>
      <w:r w:rsidRPr="0025250D">
        <w:rPr>
          <w:rtl/>
        </w:rPr>
        <w:t xml:space="preserve">تکاملی - توسعه‌ای </w:t>
      </w:r>
      <w:r w:rsidRPr="0025250D">
        <w:rPr>
          <w:rFonts w:hint="cs"/>
          <w:rtl/>
        </w:rPr>
        <w:t xml:space="preserve">همچنین هیچ جهتی ندارند که </w:t>
      </w:r>
      <w:r w:rsidR="00B0171C" w:rsidRPr="0025250D">
        <w:rPr>
          <w:rFonts w:hint="cs"/>
          <w:rtl/>
        </w:rPr>
        <w:t>به‌سادگی</w:t>
      </w:r>
      <w:r w:rsidRPr="0025250D">
        <w:rPr>
          <w:rFonts w:hint="cs"/>
          <w:rtl/>
        </w:rPr>
        <w:t xml:space="preserve"> قابل پیش‌بینی باشد، به جز </w:t>
      </w:r>
      <w:r w:rsidR="00AE5BE0" w:rsidRPr="0025250D">
        <w:rPr>
          <w:rFonts w:hint="cs"/>
          <w:rtl/>
        </w:rPr>
        <w:t>انطباق</w:t>
      </w:r>
      <w:r w:rsidRPr="0025250D">
        <w:rPr>
          <w:rFonts w:hint="cs"/>
          <w:rtl/>
        </w:rPr>
        <w:t xml:space="preserve"> بیشتر به مرور زمان. هرگاه روند ما فرایندی را که در آن تکامل یا </w:t>
      </w:r>
      <w:r w:rsidR="00AE5BE0" w:rsidRPr="0025250D">
        <w:rPr>
          <w:rFonts w:hint="cs"/>
          <w:rtl/>
        </w:rPr>
        <w:t>انطباق</w:t>
      </w:r>
      <w:r w:rsidRPr="0025250D">
        <w:rPr>
          <w:rFonts w:hint="cs"/>
          <w:rtl/>
        </w:rPr>
        <w:t xml:space="preserve"> پیشران‌های اصلی هستند توصیف کند، می‌تواند به محض وقوع تغییرات انتخابی محیطی تغییر کند. در مقابل، وقتی فکر می‌کنیم که یک روند بیش‌تر توسعه‌ای است </w:t>
      </w:r>
      <w:r w:rsidRPr="0025250D">
        <w:rPr>
          <w:rFonts w:cs="Times New Roman" w:hint="cs"/>
          <w:rtl/>
        </w:rPr>
        <w:t>–</w:t>
      </w:r>
      <w:r w:rsidRPr="0025250D">
        <w:rPr>
          <w:rFonts w:hint="cs"/>
          <w:rtl/>
        </w:rPr>
        <w:t xml:space="preserve"> مانند جهانی سازی، آزاد سازی، </w:t>
      </w:r>
      <w:r w:rsidR="000B4A71" w:rsidRPr="0025250D">
        <w:rPr>
          <w:rFonts w:hint="cs"/>
          <w:rtl/>
        </w:rPr>
        <w:t>مادی‌زدایی</w:t>
      </w:r>
      <w:r w:rsidRPr="0025250D">
        <w:rPr>
          <w:rFonts w:hint="cs"/>
          <w:rtl/>
        </w:rPr>
        <w:t xml:space="preserve">، </w:t>
      </w:r>
      <w:r w:rsidR="0054766B" w:rsidRPr="0025250D">
        <w:rPr>
          <w:rFonts w:hint="cs"/>
          <w:rtl/>
        </w:rPr>
        <w:t>متراکم سازی</w:t>
      </w:r>
      <w:r w:rsidRPr="0025250D">
        <w:rPr>
          <w:rFonts w:hint="cs"/>
          <w:rtl/>
        </w:rPr>
        <w:t>، شفافیت، تعداد پیوندگاه های</w:t>
      </w:r>
      <w:r w:rsidRPr="0025250D">
        <w:rPr>
          <w:vertAlign w:val="superscript"/>
          <w:rtl/>
        </w:rPr>
        <w:footnoteReference w:id="2581"/>
      </w:r>
      <w:r w:rsidRPr="0025250D">
        <w:rPr>
          <w:rFonts w:hint="cs"/>
          <w:rtl/>
        </w:rPr>
        <w:t xml:space="preserve"> اینترنت بر روی کره زمین، قانون </w:t>
      </w:r>
      <w:r w:rsidRPr="0025250D">
        <w:rPr>
          <w:rtl/>
        </w:rPr>
        <w:t>مور</w:t>
      </w:r>
      <w:r w:rsidRPr="0025250D">
        <w:rPr>
          <w:vertAlign w:val="superscript"/>
          <w:rtl/>
        </w:rPr>
        <w:footnoteReference w:id="2582"/>
      </w:r>
      <w:r w:rsidRPr="0025250D">
        <w:rPr>
          <w:rFonts w:hint="cs"/>
          <w:rtl/>
        </w:rPr>
        <w:t xml:space="preserve"> و غیره </w:t>
      </w:r>
      <w:r w:rsidRPr="0025250D">
        <w:rPr>
          <w:rFonts w:cs="Times New Roman" w:hint="cs"/>
          <w:rtl/>
        </w:rPr>
        <w:t>–</w:t>
      </w:r>
      <w:r w:rsidRPr="0025250D">
        <w:rPr>
          <w:rFonts w:hint="cs"/>
          <w:rtl/>
        </w:rPr>
        <w:t xml:space="preserve"> برای پیش‌بینی این که این روند برای مدت طولانی‌تری باقی خواهد ماند، در محدوده گسترده تری فعالیت خواهد کرد و وقتی محیط تغییر می‌کند ادامه می‌یابد، دلیل داریم. ما این را فرض میکنیم، زیرا درست مانند یک ارگانیسم در حال توسعه، هم پیشران‌های داخلی و هم پیشران‌های محیطی آن را پایدار کرده و کنترل می‌کنند.</w:t>
      </w:r>
    </w:p>
    <w:p w14:paraId="2E6D07BA" w14:textId="6A8C62A5" w:rsidR="00537CC8" w:rsidRPr="0025250D" w:rsidRDefault="00537CC8" w:rsidP="00537CC8">
      <w:pPr>
        <w:rPr>
          <w:rtl/>
        </w:rPr>
      </w:pPr>
      <w:r w:rsidRPr="0025250D">
        <w:rPr>
          <w:rtl/>
        </w:rPr>
        <w:t>آینده‌نگار</w:t>
      </w:r>
      <w:r w:rsidRPr="0025250D">
        <w:rPr>
          <w:rFonts w:hint="cs"/>
          <w:rtl/>
        </w:rPr>
        <w:t xml:space="preserve">ان </w:t>
      </w:r>
      <w:r w:rsidR="00B6759F" w:rsidRPr="0025250D">
        <w:rPr>
          <w:rFonts w:hint="cs"/>
          <w:rtl/>
        </w:rPr>
        <w:t>برآوردهای</w:t>
      </w:r>
      <w:r w:rsidRPr="0025250D">
        <w:rPr>
          <w:rFonts w:hint="cs"/>
          <w:rtl/>
        </w:rPr>
        <w:t xml:space="preserve"> سرانگشتی متعددی برای انجام کار پیش‌بینی روندها جمع</w:t>
      </w:r>
      <w:r w:rsidR="00B6759F" w:rsidRPr="0025250D">
        <w:rPr>
          <w:rFonts w:hint="cs"/>
          <w:rtl/>
        </w:rPr>
        <w:t>‌</w:t>
      </w:r>
      <w:r w:rsidRPr="0025250D">
        <w:rPr>
          <w:rFonts w:hint="cs"/>
          <w:rtl/>
        </w:rPr>
        <w:t xml:space="preserve">آوری </w:t>
      </w:r>
      <w:r w:rsidR="007118DE" w:rsidRPr="0025250D">
        <w:rPr>
          <w:rFonts w:hint="cs"/>
          <w:rtl/>
        </w:rPr>
        <w:t>کرده‌اند</w:t>
      </w:r>
      <w:r w:rsidRPr="0025250D">
        <w:rPr>
          <w:rFonts w:hint="cs"/>
          <w:rtl/>
        </w:rPr>
        <w:t xml:space="preserve">. در اینجا سه مورد برای شروع آورده </w:t>
      </w:r>
      <w:r w:rsidR="00185F3E" w:rsidRPr="0025250D">
        <w:rPr>
          <w:rFonts w:hint="cs"/>
          <w:rtl/>
        </w:rPr>
        <w:t>شده‌اند</w:t>
      </w:r>
      <w:r w:rsidRPr="0025250D">
        <w:rPr>
          <w:rFonts w:hint="cs"/>
          <w:rtl/>
        </w:rPr>
        <w:t>:</w:t>
      </w:r>
    </w:p>
    <w:p w14:paraId="27CE3F51" w14:textId="4CD08E34" w:rsidR="00537CC8" w:rsidRPr="0025250D" w:rsidRDefault="00537CC8" w:rsidP="00492C47">
      <w:pPr>
        <w:numPr>
          <w:ilvl w:val="0"/>
          <w:numId w:val="53"/>
        </w:numPr>
      </w:pPr>
      <w:r w:rsidRPr="0025250D">
        <w:rPr>
          <w:rFonts w:hint="cs"/>
          <w:rtl/>
        </w:rPr>
        <w:t>هر چه روندی طولانی‌تر کار کرده باشد و بتوانیم در مکان‌های بیش‌تری آن را ببینیم، احتمال این که روندی فراگیر باشد بیش‌تر است.</w:t>
      </w:r>
    </w:p>
    <w:p w14:paraId="2E5FCA9D" w14:textId="77777777" w:rsidR="00537CC8" w:rsidRPr="0025250D" w:rsidRDefault="00537CC8" w:rsidP="00492C47">
      <w:pPr>
        <w:numPr>
          <w:ilvl w:val="0"/>
          <w:numId w:val="53"/>
        </w:numPr>
      </w:pPr>
      <w:r w:rsidRPr="0025250D">
        <w:rPr>
          <w:rFonts w:hint="cs"/>
          <w:rtl/>
        </w:rPr>
        <w:t>وقتی به دنبال روندهای پنهان و پیشران‌های آن‌ها هستیم باید با حداقل دو برابر نگاه به عقب نسبت به نگاه به جلو آغاز کنیم.</w:t>
      </w:r>
    </w:p>
    <w:p w14:paraId="2BECA7C0" w14:textId="77EC3C73" w:rsidR="00537CC8" w:rsidRPr="0025250D" w:rsidRDefault="00537CC8" w:rsidP="00492C47">
      <w:pPr>
        <w:numPr>
          <w:ilvl w:val="0"/>
          <w:numId w:val="53"/>
        </w:numPr>
      </w:pPr>
      <w:r w:rsidRPr="0025250D">
        <w:rPr>
          <w:rFonts w:hint="cs"/>
          <w:rtl/>
        </w:rPr>
        <w:t>وقتی برونیابی روندها را انجام می‌دهیم، معمولاً این که انتظار داشته باشیم که هر روند فعلی برای مدت زمانی بیش از نیمی از زمانی که تا به امروز وجود داشته است باقی بماند، هوشمندانه نیست.</w:t>
      </w:r>
    </w:p>
    <w:p w14:paraId="30EC4BDD" w14:textId="50F1B0C0" w:rsidR="00537CC8" w:rsidRPr="0025250D" w:rsidRDefault="00537CC8" w:rsidP="00537CC8">
      <w:pPr>
        <w:rPr>
          <w:rtl/>
        </w:rPr>
      </w:pPr>
      <w:r w:rsidRPr="0025250D">
        <w:rPr>
          <w:rFonts w:hint="cs"/>
          <w:rtl/>
        </w:rPr>
        <w:t xml:space="preserve">یک تمایز ارزشمند دیگر میان روندهای سخت و نرم وجود دارد. </w:t>
      </w:r>
      <w:r w:rsidR="00D92F6E" w:rsidRPr="0025250D">
        <w:rPr>
          <w:rFonts w:hint="cs"/>
          <w:rtl/>
        </w:rPr>
        <w:t>آینده‌پژوه</w:t>
      </w:r>
      <w:r w:rsidRPr="0025250D">
        <w:rPr>
          <w:rFonts w:hint="cs"/>
          <w:rtl/>
        </w:rPr>
        <w:t xml:space="preserve"> </w:t>
      </w:r>
      <w:r w:rsidRPr="0025250D">
        <w:rPr>
          <w:rtl/>
        </w:rPr>
        <w:t>دان</w:t>
      </w:r>
      <w:r w:rsidRPr="0025250D">
        <w:rPr>
          <w:rFonts w:hint="cs"/>
          <w:rtl/>
        </w:rPr>
        <w:t>ی</w:t>
      </w:r>
      <w:r w:rsidRPr="0025250D">
        <w:rPr>
          <w:rFonts w:hint="eastAsia"/>
          <w:rtl/>
        </w:rPr>
        <w:t>ل</w:t>
      </w:r>
      <w:r w:rsidRPr="0025250D">
        <w:rPr>
          <w:rtl/>
        </w:rPr>
        <w:t xml:space="preserve"> بوروس</w:t>
      </w:r>
      <w:r w:rsidRPr="0025250D">
        <w:rPr>
          <w:vertAlign w:val="superscript"/>
          <w:rtl/>
        </w:rPr>
        <w:footnoteReference w:id="2583"/>
      </w:r>
      <w:r w:rsidRPr="0025250D">
        <w:rPr>
          <w:rFonts w:hint="cs"/>
          <w:rtl/>
        </w:rPr>
        <w:t xml:space="preserve"> در کتاب فلاش </w:t>
      </w:r>
      <w:r w:rsidRPr="0025250D">
        <w:rPr>
          <w:rtl/>
        </w:rPr>
        <w:t>آینده‌نگاری</w:t>
      </w:r>
      <w:r w:rsidRPr="0025250D">
        <w:rPr>
          <w:vertAlign w:val="superscript"/>
          <w:rtl/>
        </w:rPr>
        <w:footnoteReference w:id="2584"/>
      </w:r>
      <w:r w:rsidRPr="0025250D">
        <w:rPr>
          <w:rFonts w:hint="cs"/>
          <w:rtl/>
        </w:rPr>
        <w:t xml:space="preserve"> در سال 2011، آینده‌های محتمل را به دو دسته تقسیم می‌کند: روند‌های سخت و روندهای نرم. بیایید اکنون عمیق‌تر به این تمایز موجود بپردازیم.</w:t>
      </w:r>
    </w:p>
    <w:p w14:paraId="74273253" w14:textId="77777777" w:rsidR="00537CC8" w:rsidRPr="0025250D" w:rsidRDefault="00537CC8" w:rsidP="003D3E0A">
      <w:pPr>
        <w:jc w:val="center"/>
        <w:rPr>
          <w:rtl/>
        </w:rPr>
      </w:pPr>
      <w:r w:rsidRPr="0025250D">
        <w:rPr>
          <w:noProof/>
          <w:rtl/>
          <w:lang w:bidi="ar-SA"/>
        </w:rPr>
        <w:drawing>
          <wp:inline distT="0" distB="0" distL="0" distR="0" wp14:anchorId="1C0D8D4C" wp14:editId="0DD8DEB8">
            <wp:extent cx="1371584" cy="2061713"/>
            <wp:effectExtent l="0" t="0" r="635" b="0"/>
            <wp:docPr id="158" name="Picture 158" descr="D:\کار\مستقل\3 ( ترجمه ی دانشگاه تهران  )\Introduction to Foresight\part7\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7\56.png"/>
                    <pic:cNvPicPr>
                      <a:picLocks noChangeAspect="1" noChangeArrowheads="1"/>
                    </pic:cNvPicPr>
                  </pic:nvPicPr>
                  <pic:blipFill rotWithShape="1">
                    <a:blip r:embed="rId260" cstate="screen">
                      <a:extLst>
                        <a:ext uri="{BEBA8EAE-BF5A-486C-A8C5-ECC9F3942E4B}">
                          <a14:imgProps xmlns:a14="http://schemas.microsoft.com/office/drawing/2010/main">
                            <a14:imgLayer r:embed="rId261">
                              <a14:imgEffect>
                                <a14:saturation sat="0"/>
                              </a14:imgEffect>
                            </a14:imgLayer>
                          </a14:imgProps>
                        </a:ext>
                        <a:ext uri="{28A0092B-C50C-407E-A947-70E740481C1C}">
                          <a14:useLocalDpi xmlns:a14="http://schemas.microsoft.com/office/drawing/2010/main"/>
                        </a:ext>
                      </a:extLst>
                    </a:blip>
                    <a:srcRect/>
                    <a:stretch/>
                  </pic:blipFill>
                  <pic:spPr bwMode="auto">
                    <a:xfrm>
                      <a:off x="0" y="0"/>
                      <a:ext cx="1380560" cy="2075206"/>
                    </a:xfrm>
                    <a:prstGeom prst="rect">
                      <a:avLst/>
                    </a:prstGeom>
                    <a:noFill/>
                    <a:ln>
                      <a:noFill/>
                    </a:ln>
                    <a:extLst>
                      <a:ext uri="{53640926-AAD7-44D8-BBD7-CCE9431645EC}">
                        <a14:shadowObscured xmlns:a14="http://schemas.microsoft.com/office/drawing/2010/main"/>
                      </a:ext>
                    </a:extLst>
                  </pic:spPr>
                </pic:pic>
              </a:graphicData>
            </a:graphic>
          </wp:inline>
        </w:drawing>
      </w:r>
    </w:p>
    <w:p w14:paraId="1EC2A093" w14:textId="77777777" w:rsidR="00537CC8" w:rsidRPr="0025250D" w:rsidRDefault="00537CC8" w:rsidP="003D3E0A">
      <w:pPr>
        <w:jc w:val="center"/>
        <w:rPr>
          <w:rtl/>
        </w:rPr>
      </w:pPr>
      <w:r w:rsidRPr="0025250D">
        <w:rPr>
          <w:rtl/>
        </w:rPr>
        <w:t>بوروس</w:t>
      </w:r>
      <w:r w:rsidRPr="0025250D">
        <w:rPr>
          <w:rFonts w:hint="cs"/>
          <w:rtl/>
        </w:rPr>
        <w:t>، 2011</w:t>
      </w:r>
    </w:p>
    <w:p w14:paraId="2B96FC26" w14:textId="017ED67E" w:rsidR="00537CC8" w:rsidRPr="0025250D" w:rsidRDefault="00537CC8" w:rsidP="00537CC8">
      <w:pPr>
        <w:rPr>
          <w:rtl/>
        </w:rPr>
      </w:pPr>
      <w:r w:rsidRPr="0025250D">
        <w:rPr>
          <w:rFonts w:hint="cs"/>
          <w:rtl/>
        </w:rPr>
        <w:t>روندهای سخت فرایند‌هایی هستند که به نظر به‌شدت محتمل می‌رسند (90 درصد یا بیش‌تر، یک روند سخت می‌باشند). او همچنین رویداد‌های آینده‌ای که لزوما قطعی هستند (بیش از 99 درصد احتمال وقوع دارند) را مطرح می‌کند و آن‌ها را حقایق آینده</w:t>
      </w:r>
      <w:r w:rsidRPr="0025250D">
        <w:rPr>
          <w:vertAlign w:val="superscript"/>
          <w:rtl/>
        </w:rPr>
        <w:footnoteReference w:id="2585"/>
      </w:r>
      <w:r w:rsidRPr="0025250D">
        <w:rPr>
          <w:rFonts w:hint="cs"/>
          <w:rtl/>
        </w:rPr>
        <w:t xml:space="preserve"> می‌نامد. حقایق آینده مورد انتظار ما به حقایق گذشته و حال ما توسط علم مرتبط هستند</w:t>
      </w:r>
      <w:r w:rsidR="008D6F97" w:rsidRPr="0025250D">
        <w:rPr>
          <w:rtl/>
        </w:rPr>
        <w:t xml:space="preserve">؛ </w:t>
      </w:r>
      <w:r w:rsidRPr="0025250D">
        <w:rPr>
          <w:rFonts w:hint="cs"/>
          <w:rtl/>
        </w:rPr>
        <w:t>بنابراین، این که فردا خورشید طلوع خواهد کرد یک حقیقت علمی است. همچنین این که همه ما فردا زمان</w:t>
      </w:r>
      <w:r w:rsidR="00BB406C" w:rsidRPr="0025250D">
        <w:rPr>
          <w:rFonts w:hint="cs"/>
          <w:rtl/>
        </w:rPr>
        <w:t xml:space="preserve"> کم‌تر</w:t>
      </w:r>
      <w:r w:rsidRPr="0025250D">
        <w:rPr>
          <w:rFonts w:hint="cs"/>
          <w:rtl/>
        </w:rPr>
        <w:t>ی از طول عمرمان خواهیم داشت یک حقیقت آینده است</w:t>
      </w:r>
      <w:r w:rsidR="008D6F97" w:rsidRPr="0025250D">
        <w:rPr>
          <w:rtl/>
        </w:rPr>
        <w:t xml:space="preserve">؛ </w:t>
      </w:r>
      <w:r w:rsidRPr="0025250D">
        <w:rPr>
          <w:rFonts w:hint="cs"/>
          <w:rtl/>
        </w:rPr>
        <w:t>بنابراین، بیای</w:t>
      </w:r>
      <w:r w:rsidR="00B6759F" w:rsidRPr="0025250D">
        <w:rPr>
          <w:rFonts w:hint="cs"/>
          <w:rtl/>
        </w:rPr>
        <w:t>ی</w:t>
      </w:r>
      <w:r w:rsidRPr="0025250D">
        <w:rPr>
          <w:rFonts w:hint="cs"/>
          <w:rtl/>
        </w:rPr>
        <w:t>د، مانند ضرب المثل معروف</w:t>
      </w:r>
      <w:r w:rsidR="008D6F97" w:rsidRPr="0025250D">
        <w:rPr>
          <w:rtl/>
        </w:rPr>
        <w:t xml:space="preserve"> </w:t>
      </w:r>
      <w:r w:rsidRPr="0025250D">
        <w:rPr>
          <w:rFonts w:hint="cs"/>
          <w:rtl/>
        </w:rPr>
        <w:t>تا تنور داغ است نان را بچسبانیم</w:t>
      </w:r>
      <w:r w:rsidRPr="0025250D">
        <w:rPr>
          <w:vertAlign w:val="superscript"/>
          <w:rtl/>
        </w:rPr>
        <w:footnoteReference w:id="2586"/>
      </w:r>
      <w:r w:rsidRPr="0025250D">
        <w:rPr>
          <w:rFonts w:hint="cs"/>
          <w:rtl/>
        </w:rPr>
        <w:t>. ما مجموعه رو به رشدی از حقایق آینده دور نیز داریم. خورشید ما حدودا 5 میلیارد سال بعد به یک ستاره غول سرخ</w:t>
      </w:r>
      <w:r w:rsidRPr="0025250D">
        <w:rPr>
          <w:vertAlign w:val="superscript"/>
          <w:rtl/>
        </w:rPr>
        <w:footnoteReference w:id="2587"/>
      </w:r>
      <w:r w:rsidRPr="0025250D">
        <w:rPr>
          <w:rFonts w:hint="cs"/>
          <w:rtl/>
        </w:rPr>
        <w:t xml:space="preserve"> تبدیل خواهد شد. جهان ما نخواهد توانست در حدود 10 هزار میلیارد سال بعد از پیچیدگی، چه زیستی و چه </w:t>
      </w:r>
      <w:r w:rsidR="007A53FD" w:rsidRPr="0025250D">
        <w:rPr>
          <w:rFonts w:hint="cs"/>
          <w:rtl/>
        </w:rPr>
        <w:t>فناورانه</w:t>
      </w:r>
      <w:r w:rsidRPr="0025250D">
        <w:rPr>
          <w:rFonts w:hint="cs"/>
          <w:rtl/>
        </w:rPr>
        <w:t>، پشتیبانی کند. اگر درمورد سفر توسعه‌ای حیات به سمت فضای درونی درست گفته باشیم و اگر این مورد بخشی از چگونگی بازتولید جهان باشد، مرگ آینده جهان در حقیقت یک چیز خوب، قابل پیش</w:t>
      </w:r>
      <w:r w:rsidR="00B6759F" w:rsidRPr="0025250D">
        <w:rPr>
          <w:rFonts w:hint="cs"/>
          <w:rtl/>
        </w:rPr>
        <w:t>‌</w:t>
      </w:r>
      <w:r w:rsidRPr="0025250D">
        <w:rPr>
          <w:rFonts w:hint="cs"/>
          <w:rtl/>
        </w:rPr>
        <w:t>بین</w:t>
      </w:r>
      <w:r w:rsidR="00B6759F" w:rsidRPr="0025250D">
        <w:rPr>
          <w:rFonts w:hint="cs"/>
          <w:rtl/>
        </w:rPr>
        <w:t>ی</w:t>
      </w:r>
      <w:r w:rsidRPr="0025250D">
        <w:rPr>
          <w:rFonts w:hint="cs"/>
          <w:rtl/>
        </w:rPr>
        <w:t xml:space="preserve"> و طبیعی است. باید ببینیم که کیهان شناسی در آینده چه خواهد گفت. با هر سرعتی، بیایید اطمینان حاصل کنیم که کاری درمورد این حقیقت آینده انجام می‌دهیم.</w:t>
      </w:r>
    </w:p>
    <w:p w14:paraId="5A5401FD" w14:textId="7A8E03E4" w:rsidR="00537CC8" w:rsidRPr="0025250D" w:rsidRDefault="00537CC8" w:rsidP="00537CC8">
      <w:pPr>
        <w:rPr>
          <w:rtl/>
        </w:rPr>
      </w:pPr>
      <w:r w:rsidRPr="0025250D">
        <w:rPr>
          <w:rFonts w:hint="cs"/>
          <w:rtl/>
        </w:rPr>
        <w:t xml:space="preserve">روند‌ها و پیش‌بینی‌های سخت در آینده دیجیتالی ما شامل انتظار این که سنسور‌ها، داده‌ها، هوش ماشینی و خودکارسازی همگی به </w:t>
      </w:r>
      <w:r w:rsidR="00B56611" w:rsidRPr="0025250D">
        <w:rPr>
          <w:rFonts w:hint="cs"/>
          <w:rtl/>
        </w:rPr>
        <w:t>شتاب‌گیری</w:t>
      </w:r>
      <w:r w:rsidRPr="0025250D">
        <w:rPr>
          <w:rFonts w:hint="cs"/>
          <w:rtl/>
        </w:rPr>
        <w:t xml:space="preserve"> در غیاب فجایع جهانی عمده ادامه خواهند داد، می‌شوند. ما به انتقال داده‌ها و نرم افزارها به فضای همیشه روشن و پایدار ابری ادامه خواهیم داد. گوشی‌های هوشمند ما به زودی خواهند توانست به خوبی به گفتگوهای حقیقی ما گوش دهند، آن‌ها را از نظر معنایی درک کنند و گزارشات قابل جستجویی از آن‌ها به</w:t>
      </w:r>
      <w:r w:rsidRPr="0025250D">
        <w:rPr>
          <w:rtl/>
        </w:rPr>
        <w:t xml:space="preserve"> </w:t>
      </w:r>
      <w:r w:rsidRPr="0025250D">
        <w:rPr>
          <w:rFonts w:hint="cs"/>
          <w:rtl/>
        </w:rPr>
        <w:t>صورت</w:t>
      </w:r>
      <w:r w:rsidRPr="0025250D">
        <w:rPr>
          <w:rtl/>
        </w:rPr>
        <w:t xml:space="preserve"> </w:t>
      </w:r>
      <w:r w:rsidRPr="0025250D">
        <w:rPr>
          <w:rFonts w:hint="cs"/>
          <w:rtl/>
        </w:rPr>
        <w:t>همزمان</w:t>
      </w:r>
      <w:r w:rsidRPr="0025250D">
        <w:rPr>
          <w:rtl/>
        </w:rPr>
        <w:t xml:space="preserve"> </w:t>
      </w:r>
      <w:r w:rsidRPr="0025250D">
        <w:rPr>
          <w:rFonts w:hint="cs"/>
          <w:rtl/>
        </w:rPr>
        <w:t xml:space="preserve">ایجاد کنند (و گفتگو‌های هر دوست دیگری به ما این اجازه را می‌دهد که چنین گزارشاتی ایجاد کنیم). این که آیا وقتی این ویژگی قابل استطاعت و اقتصادی شود کارآفرینان و نوآوران گوشی‌های هوشمند، با توجه به مسائل و نگرانی‌های مربوط به تجاوز به حریم خصوصی، آن را ارائه دهند یا خیر بحث دیگری است. اگرچه در صورت ارائه شدن، بسیاری از جوانان ما با اشتیاق آن را، برای بررسی امکانات این آزادی و توانایی گروهی و فردی جدید به کار خواهند گرفت. بقیه ما می‌توانیم کم‌تر برونگرا باشیم </w:t>
      </w:r>
      <w:r w:rsidRPr="0025250D">
        <w:rPr>
          <w:rFonts w:cs="Times New Roman" w:hint="cs"/>
          <w:rtl/>
        </w:rPr>
        <w:t>–</w:t>
      </w:r>
      <w:r w:rsidRPr="0025250D">
        <w:rPr>
          <w:rFonts w:hint="cs"/>
          <w:rtl/>
        </w:rPr>
        <w:t xml:space="preserve"> بیش‌تر به دست به سینه نشستن و با تعجب مشاهده کردن علاقه داشته باشیم </w:t>
      </w:r>
      <w:r w:rsidRPr="0025250D">
        <w:rPr>
          <w:rFonts w:cs="Times New Roman" w:hint="cs"/>
          <w:rtl/>
        </w:rPr>
        <w:t>–</w:t>
      </w:r>
      <w:r w:rsidRPr="0025250D">
        <w:rPr>
          <w:rFonts w:hint="cs"/>
          <w:rtl/>
        </w:rPr>
        <w:t xml:space="preserve"> حداقل در ابتدا.</w:t>
      </w:r>
    </w:p>
    <w:p w14:paraId="63DD2BFD" w14:textId="7734F84E" w:rsidR="00537CC8" w:rsidRPr="0025250D" w:rsidRDefault="00537CC8" w:rsidP="00537CC8">
      <w:pPr>
        <w:rPr>
          <w:rtl/>
        </w:rPr>
      </w:pPr>
      <w:r w:rsidRPr="0025250D">
        <w:rPr>
          <w:rFonts w:hint="cs"/>
          <w:rtl/>
        </w:rPr>
        <w:t xml:space="preserve">با توجه به این که علم و دانش بشری همواره به‌شدت ناقص هستند، به شکل اجتناب ناپذیری روند‌های سخت کاندید بسیار بیش‌تری نسبت به حقایق آینده وجود خواهند داشت. برای روند‌های سخت به طور مشخص، تخمین‌های احتمالی ما می‌توانند در هر زمانی توسط فرضیات، </w:t>
      </w:r>
      <w:r w:rsidR="00563645" w:rsidRPr="0025250D">
        <w:rPr>
          <w:rFonts w:hint="cs"/>
          <w:rtl/>
        </w:rPr>
        <w:t>بدیل</w:t>
      </w:r>
      <w:r w:rsidRPr="0025250D">
        <w:rPr>
          <w:rFonts w:hint="cs"/>
          <w:rtl/>
        </w:rPr>
        <w:t xml:space="preserve">‌ها و </w:t>
      </w:r>
      <w:r w:rsidR="00923DDB" w:rsidRPr="0025250D">
        <w:rPr>
          <w:rFonts w:hint="cs"/>
          <w:rtl/>
        </w:rPr>
        <w:t>راه‌حل</w:t>
      </w:r>
      <w:r w:rsidRPr="0025250D">
        <w:rPr>
          <w:rFonts w:hint="cs"/>
          <w:rtl/>
        </w:rPr>
        <w:t>‌های بررسی نشده، فرایند‌های دیده نشده، مدل‌های نادرست و خطاهای سهوی شناخته شده یا شناخته نشده نادرست از آب در بیایند</w:t>
      </w:r>
      <w:r w:rsidR="008D6F97" w:rsidRPr="0025250D">
        <w:rPr>
          <w:rtl/>
        </w:rPr>
        <w:t xml:space="preserve">؛ </w:t>
      </w:r>
      <w:r w:rsidRPr="0025250D">
        <w:rPr>
          <w:rFonts w:hint="cs"/>
          <w:rtl/>
        </w:rPr>
        <w:t>بنابراین باید دائما نسبت به داده‌ها یا رویداد‌هایی که می‌توانند احتمالات ما را تغییر دهند ذهنیتی باز داشته باشیم</w:t>
      </w:r>
      <w:r w:rsidR="008D6F97" w:rsidRPr="0025250D">
        <w:rPr>
          <w:rtl/>
        </w:rPr>
        <w:t xml:space="preserve">؛ </w:t>
      </w:r>
      <w:r w:rsidR="0020589F" w:rsidRPr="0025250D">
        <w:rPr>
          <w:rtl/>
        </w:rPr>
        <w:t>اما</w:t>
      </w:r>
      <w:r w:rsidRPr="0025250D">
        <w:rPr>
          <w:rFonts w:hint="cs"/>
          <w:rtl/>
        </w:rPr>
        <w:t xml:space="preserve"> این امر نباید ما را از </w:t>
      </w:r>
      <w:r w:rsidR="00B124DE" w:rsidRPr="0025250D">
        <w:rPr>
          <w:rFonts w:hint="cs"/>
          <w:rtl/>
        </w:rPr>
        <w:t>جمع‌آوری</w:t>
      </w:r>
      <w:r w:rsidRPr="0025250D">
        <w:rPr>
          <w:rFonts w:hint="cs"/>
          <w:rtl/>
        </w:rPr>
        <w:t xml:space="preserve"> تعداد هرچه بیش‌تری از این روند‌ها باز دارد. هر روند سخت یا آینده قابل پیش‌بینی که بیابیم به ما امکان می‌دهد که بهتر همه اطلاعات پیچیده در جهان خود را دسته بندی و فیلتر کنیم و هدر دادن زمان و انرژی محدود خود را برای جستجوی آینده‌های غیر محتمل یا غیر ممکن متوقف کنیم.</w:t>
      </w:r>
    </w:p>
    <w:p w14:paraId="36ED6406" w14:textId="174F4E22" w:rsidR="00537CC8" w:rsidRPr="0025250D" w:rsidRDefault="00537CC8" w:rsidP="00537CC8">
      <w:pPr>
        <w:rPr>
          <w:rtl/>
        </w:rPr>
      </w:pPr>
      <w:r w:rsidRPr="0025250D">
        <w:rPr>
          <w:rFonts w:hint="cs"/>
          <w:rtl/>
        </w:rPr>
        <w:t xml:space="preserve">هر گاه یک روند سخت را بیابیم، همچنین ممکن است چیزی را کشف کنیم که حتی اگر بخواهیم هم نمی‌توانیم آن را متوقف کنیم. در زبان </w:t>
      </w:r>
      <w:r w:rsidRPr="0025250D">
        <w:rPr>
          <w:rtl/>
        </w:rPr>
        <w:t xml:space="preserve">تکاملی - توسعه‌ای </w:t>
      </w:r>
      <w:r w:rsidRPr="0025250D">
        <w:rPr>
          <w:rFonts w:hint="cs"/>
          <w:rtl/>
        </w:rPr>
        <w:t>خود، این امر می‌تواند بیش از یک فرایند تکاملی، یک فرایند توسعه‌ای باشد. همه روند‌های سخت اجتناب ناپذیر نیستند، اما بیش‌تر آن‌ها اینگونه هستند. وقتی از یک آینده توسعه‌ای استقبال می‌کنیم، می‌توانیم اقدام برای اجتناب یا جلوگیری از آن فرایند را متوقف کرده و در عوض آغاز به یادگیری چگونگی هدایت آن در راه‌هایی</w:t>
      </w:r>
      <w:r w:rsidR="00056A5D" w:rsidRPr="0025250D">
        <w:rPr>
          <w:rFonts w:hint="cs"/>
          <w:rtl/>
        </w:rPr>
        <w:t xml:space="preserve"> نماییم</w:t>
      </w:r>
      <w:r w:rsidRPr="0025250D">
        <w:rPr>
          <w:rFonts w:hint="cs"/>
          <w:rtl/>
        </w:rPr>
        <w:t xml:space="preserve"> که به بهترین شکل ارزش‌های ما را بازتاب می‌دهند و مسیر‌های تکاملی بد را کند کرده یا می‌بندند و مسیرهای بهتر به سمت آن آینده مطلوب را تسریع کرده یا </w:t>
      </w:r>
      <w:r w:rsidR="00056A5D" w:rsidRPr="0025250D">
        <w:rPr>
          <w:rFonts w:hint="cs"/>
          <w:rtl/>
        </w:rPr>
        <w:t xml:space="preserve">از آن‌ها </w:t>
      </w:r>
      <w:r w:rsidRPr="0025250D">
        <w:rPr>
          <w:rFonts w:hint="cs"/>
          <w:rtl/>
        </w:rPr>
        <w:t>پشتیبانی می‌کنند.</w:t>
      </w:r>
    </w:p>
    <w:p w14:paraId="4C230F39" w14:textId="2DCE9F3A" w:rsidR="00537CC8" w:rsidRPr="0025250D" w:rsidRDefault="00537CC8" w:rsidP="00537CC8">
      <w:pPr>
        <w:rPr>
          <w:rtl/>
        </w:rPr>
      </w:pPr>
      <w:r w:rsidRPr="0025250D">
        <w:rPr>
          <w:rFonts w:hint="cs"/>
          <w:rtl/>
        </w:rPr>
        <w:t xml:space="preserve">روند‌های نرم همچنین احتمالی دارند که می‌توانیم به آن‌ها اختصاص دهیم اما این احتمال کم‌تر است و گستره بسیار وسیع تری را نسبت به روندهای سخت در بر می‌گیرد. این احتمال می‌تواند هر مقداری بین 10 درصد (به اندازه کافی بزرگ برای این که قابل توجه باشد) تا 89 درصد (به‌شدت محتمل و تقریبا یک روند سخت) باشد. روندهای نرم فرایند‌ها یا رویداد‌هایی هستند که ما نتیجه می‌گیریم که ممکن است رخ دهند، به جای این که نتیجه بگیریم رخ خواهند داد. برخی از این روندهای نرم در معرض تأثیر و مداخله اجتماعی هستند، اما بسیاری، مانند رویدادهای نجومی یا آب و هوایی، خارج از کنترل و دسترسی ما هستند. این که انتظارت ما در کجای گستره </w:t>
      </w:r>
      <w:r w:rsidR="002C61FC" w:rsidRPr="0025250D">
        <w:rPr>
          <w:rtl/>
        </w:rPr>
        <w:t>«</w:t>
      </w:r>
      <w:r w:rsidRPr="0025250D">
        <w:rPr>
          <w:rFonts w:hint="cs"/>
          <w:rtl/>
        </w:rPr>
        <w:t>رخ خواهد داد</w:t>
      </w:r>
      <w:r w:rsidRPr="0025250D">
        <w:rPr>
          <w:vertAlign w:val="superscript"/>
          <w:rtl/>
        </w:rPr>
        <w:footnoteReference w:id="2588"/>
      </w:r>
      <w:r w:rsidR="002C61FC" w:rsidRPr="0025250D">
        <w:rPr>
          <w:rtl/>
        </w:rPr>
        <w:t>»</w:t>
      </w:r>
      <w:r w:rsidRPr="0025250D">
        <w:rPr>
          <w:rFonts w:hint="cs"/>
          <w:rtl/>
        </w:rPr>
        <w:t xml:space="preserve"> تا </w:t>
      </w:r>
      <w:r w:rsidR="002C61FC" w:rsidRPr="0025250D">
        <w:rPr>
          <w:rtl/>
        </w:rPr>
        <w:t>«</w:t>
      </w:r>
      <w:r w:rsidRPr="0025250D">
        <w:rPr>
          <w:rFonts w:hint="cs"/>
          <w:rtl/>
        </w:rPr>
        <w:t>شاید رخ دهد</w:t>
      </w:r>
      <w:r w:rsidRPr="0025250D">
        <w:rPr>
          <w:vertAlign w:val="superscript"/>
          <w:rtl/>
        </w:rPr>
        <w:footnoteReference w:id="2589"/>
      </w:r>
      <w:r w:rsidR="002C61FC" w:rsidRPr="0025250D">
        <w:rPr>
          <w:rtl/>
        </w:rPr>
        <w:t>»</w:t>
      </w:r>
      <w:r w:rsidRPr="0025250D">
        <w:rPr>
          <w:rFonts w:hint="cs"/>
          <w:rtl/>
        </w:rPr>
        <w:t xml:space="preserve"> قرار دارند، برای هر روند و پیش‌بینی در میان بیش‌تر افراد متفاوت هستند.</w:t>
      </w:r>
    </w:p>
    <w:p w14:paraId="780BDDC3" w14:textId="48C5FB2D" w:rsidR="00537CC8" w:rsidRPr="0025250D" w:rsidRDefault="00537CC8" w:rsidP="00537CC8">
      <w:pPr>
        <w:rPr>
          <w:rtl/>
        </w:rPr>
      </w:pPr>
      <w:r w:rsidRPr="0025250D">
        <w:rPr>
          <w:rFonts w:hint="cs"/>
          <w:rtl/>
        </w:rPr>
        <w:t xml:space="preserve">مقیاس‌های زمانی هم مهم هستند. برخی روندهای نرم به مرور زمان به روندهای سخت تبدیل خواهند شد، در حالی که یک </w:t>
      </w:r>
      <w:r w:rsidR="008D6F97" w:rsidRPr="0025250D">
        <w:rPr>
          <w:rFonts w:hint="cs"/>
          <w:rtl/>
        </w:rPr>
        <w:t>سامانه‌</w:t>
      </w:r>
      <w:r w:rsidRPr="0025250D">
        <w:rPr>
          <w:rFonts w:hint="cs"/>
          <w:rtl/>
        </w:rPr>
        <w:t xml:space="preserve"> پیچیده به سمت یک گذار توسعه‌ای اجتناب ناپذیر حرکت کرده یا محدود می‌شود. برای مثال، احتمال استقلال هند از بریتانیا در طول 90 سال جنبش استقلال هند شاهد بالا و پایین‌های شدیدی بوده است. با این حال، در جایی در طول این دوره بلند مدت - با رشد میانگین احتمال در ذهن افراد بیش‌تر </w:t>
      </w:r>
      <w:r w:rsidRPr="0025250D">
        <w:rPr>
          <w:rFonts w:cs="Times New Roman" w:hint="cs"/>
          <w:rtl/>
        </w:rPr>
        <w:t>–</w:t>
      </w:r>
      <w:r w:rsidRPr="0025250D">
        <w:rPr>
          <w:rFonts w:hint="cs"/>
          <w:rtl/>
        </w:rPr>
        <w:t xml:space="preserve"> این روند به یک روند نرم شناخته شده تبدیل شد. در نهایت، این روند به یک روند سخت در جایی در دهه 1940 تبدیل شد. این روند در سال 1947 به قطعیت رسید </w:t>
      </w:r>
      <w:r w:rsidRPr="0025250D">
        <w:rPr>
          <w:rFonts w:cs="Times New Roman" w:hint="cs"/>
          <w:rtl/>
        </w:rPr>
        <w:t>–</w:t>
      </w:r>
      <w:r w:rsidRPr="0025250D">
        <w:rPr>
          <w:rFonts w:hint="cs"/>
          <w:rtl/>
        </w:rPr>
        <w:t xml:space="preserve"> به یک حقیقت شناخته شده تبدیل شد. اگرچه به شکل کم‌تر رایجی، روندهای سخت نیز می‌توانند به روندهای نرم تبدیل شوند، به ویژه وقتی نواقصی در مدل‌های ذهنی مان به مرور زمان می‌یابیم یا وقتی واقعیت آن‌ها را خنثی می‌کند.</w:t>
      </w:r>
    </w:p>
    <w:p w14:paraId="7A477CCB" w14:textId="6E41CF6D" w:rsidR="00537CC8" w:rsidRPr="0025250D" w:rsidRDefault="00537CC8" w:rsidP="00537CC8">
      <w:pPr>
        <w:rPr>
          <w:b/>
          <w:bCs/>
          <w:rtl/>
        </w:rPr>
      </w:pPr>
      <w:r w:rsidRPr="0025250D">
        <w:rPr>
          <w:rFonts w:hint="cs"/>
          <w:b/>
          <w:bCs/>
          <w:rtl/>
        </w:rPr>
        <w:t xml:space="preserve">روند سخت یا نرم؟ قانون </w:t>
      </w:r>
      <w:r w:rsidRPr="0025250D">
        <w:rPr>
          <w:b/>
          <w:bCs/>
          <w:rtl/>
        </w:rPr>
        <w:t>مور</w:t>
      </w:r>
      <w:r w:rsidRPr="0025250D">
        <w:rPr>
          <w:rFonts w:hint="cs"/>
          <w:b/>
          <w:bCs/>
          <w:rtl/>
        </w:rPr>
        <w:t xml:space="preserve"> برای عملکرد محاسباتی.</w:t>
      </w:r>
    </w:p>
    <w:p w14:paraId="238B7ACC" w14:textId="6DBF7FE2" w:rsidR="00537CC8" w:rsidRPr="0025250D" w:rsidRDefault="00537CC8" w:rsidP="00537CC8">
      <w:pPr>
        <w:rPr>
          <w:rtl/>
        </w:rPr>
      </w:pPr>
      <w:r w:rsidRPr="0025250D">
        <w:rPr>
          <w:rFonts w:hint="cs"/>
          <w:rtl/>
        </w:rPr>
        <w:t xml:space="preserve">اکنون بیایید یک عدم قطعیت روند نرم یا سخت را در نظر بگیریم. این مورد به طور مشخص برای موضوعاتی که در کتاب 2 مورد بحث قرار خواهیم داد، مهم است. در یک روند جهانی شناخته شده به نام قانون </w:t>
      </w:r>
      <w:r w:rsidRPr="0025250D">
        <w:rPr>
          <w:rtl/>
        </w:rPr>
        <w:t>مور</w:t>
      </w:r>
      <w:r w:rsidRPr="0025250D">
        <w:rPr>
          <w:rFonts w:hint="cs"/>
          <w:rtl/>
        </w:rPr>
        <w:t>، از</w:t>
      </w:r>
      <w:r w:rsidRPr="0025250D">
        <w:rPr>
          <w:rtl/>
        </w:rPr>
        <w:t xml:space="preserve"> </w:t>
      </w:r>
      <w:r w:rsidRPr="0025250D">
        <w:rPr>
          <w:rFonts w:hint="cs"/>
          <w:rtl/>
        </w:rPr>
        <w:t>میانه</w:t>
      </w:r>
      <w:r w:rsidRPr="0025250D">
        <w:rPr>
          <w:rtl/>
        </w:rPr>
        <w:t xml:space="preserve"> </w:t>
      </w:r>
      <w:r w:rsidRPr="0025250D">
        <w:rPr>
          <w:rFonts w:hint="cs"/>
          <w:rtl/>
        </w:rPr>
        <w:t>دهه</w:t>
      </w:r>
      <w:r w:rsidRPr="0025250D">
        <w:rPr>
          <w:rtl/>
        </w:rPr>
        <w:t xml:space="preserve"> 1960</w:t>
      </w:r>
      <w:r w:rsidRPr="0025250D">
        <w:rPr>
          <w:rFonts w:hint="cs"/>
          <w:rtl/>
        </w:rPr>
        <w:t>،</w:t>
      </w:r>
      <w:r w:rsidRPr="0025250D">
        <w:rPr>
          <w:rtl/>
        </w:rPr>
        <w:t xml:space="preserve"> ر</w:t>
      </w:r>
      <w:r w:rsidRPr="0025250D">
        <w:rPr>
          <w:rFonts w:hint="cs"/>
          <w:rtl/>
        </w:rPr>
        <w:t>ی</w:t>
      </w:r>
      <w:r w:rsidRPr="0025250D">
        <w:rPr>
          <w:rFonts w:hint="eastAsia"/>
          <w:rtl/>
        </w:rPr>
        <w:t>زپردازنده</w:t>
      </w:r>
      <w:r w:rsidRPr="0025250D">
        <w:rPr>
          <w:rFonts w:hint="cs"/>
          <w:rtl/>
        </w:rPr>
        <w:t xml:space="preserve">‌ها به طور میانگین، در هر دو سال دو برابر بیش‌تر به ازای هر دلار قدرت گرفته اند. همه ما دلایل فیزیکی کلی رخ دادن این اتفاق را </w:t>
      </w:r>
      <w:r w:rsidRPr="0025250D">
        <w:rPr>
          <w:rFonts w:cs="Times New Roman" w:hint="cs"/>
          <w:rtl/>
        </w:rPr>
        <w:t>–</w:t>
      </w:r>
      <w:r w:rsidRPr="0025250D">
        <w:rPr>
          <w:rFonts w:hint="cs"/>
          <w:rtl/>
        </w:rPr>
        <w:t xml:space="preserve"> مبتنی بر کوچک سازی ترانزیستور‌ها </w:t>
      </w:r>
      <w:r w:rsidRPr="0025250D">
        <w:rPr>
          <w:rFonts w:cs="Times New Roman" w:hint="cs"/>
          <w:rtl/>
        </w:rPr>
        <w:t>–</w:t>
      </w:r>
      <w:r w:rsidRPr="0025250D">
        <w:rPr>
          <w:rFonts w:hint="cs"/>
          <w:rtl/>
        </w:rPr>
        <w:t xml:space="preserve"> می‌دانیم. قانون </w:t>
      </w:r>
      <w:r w:rsidRPr="0025250D">
        <w:rPr>
          <w:rtl/>
        </w:rPr>
        <w:t>مور</w:t>
      </w:r>
      <w:r w:rsidRPr="0025250D">
        <w:rPr>
          <w:rFonts w:hint="cs"/>
          <w:rtl/>
        </w:rPr>
        <w:t xml:space="preserve"> یک سنگ بنای صنعت تراشه سازی و یک آینده مورد انتظار اکثریت سازندگان تجهیزات اصلی</w:t>
      </w:r>
      <w:r w:rsidRPr="0025250D">
        <w:rPr>
          <w:vertAlign w:val="superscript"/>
          <w:rtl/>
        </w:rPr>
        <w:footnoteReference w:id="2590"/>
      </w:r>
      <w:r w:rsidRPr="0025250D">
        <w:rPr>
          <w:rFonts w:hint="cs"/>
          <w:rtl/>
        </w:rPr>
        <w:t xml:space="preserve"> (</w:t>
      </w:r>
      <w:r w:rsidRPr="0025250D">
        <w:t>OEM</w:t>
      </w:r>
      <w:r w:rsidRPr="0025250D">
        <w:rPr>
          <w:rFonts w:hint="cs"/>
          <w:rtl/>
        </w:rPr>
        <w:t xml:space="preserve"> ها) در صنعت کامپیوتر، برای دهه‌ها بوده است. بیش‌تر متخصصین صنعتی احتمال می‌دهند که این بهبود عملکرد سریع نمایی به‌عنوان یک روند سخت، حداقل برای 5 سال آینده ادامه خواهد یافت.</w:t>
      </w:r>
    </w:p>
    <w:p w14:paraId="38F2B21C" w14:textId="1F299182" w:rsidR="00537CC8" w:rsidRPr="0025250D" w:rsidRDefault="00537CC8" w:rsidP="00537CC8">
      <w:pPr>
        <w:rPr>
          <w:rtl/>
        </w:rPr>
      </w:pPr>
      <w:r w:rsidRPr="0025250D">
        <w:rPr>
          <w:rFonts w:hint="cs"/>
          <w:rtl/>
        </w:rPr>
        <w:t xml:space="preserve">با این وجود، از سال 2005، قانون </w:t>
      </w:r>
      <w:r w:rsidRPr="0025250D">
        <w:rPr>
          <w:rtl/>
        </w:rPr>
        <w:t>مور</w:t>
      </w:r>
      <w:r w:rsidRPr="0025250D">
        <w:rPr>
          <w:rFonts w:hint="cs"/>
          <w:rtl/>
        </w:rPr>
        <w:t xml:space="preserve">، </w:t>
      </w:r>
      <w:r w:rsidR="007118DE" w:rsidRPr="0025250D">
        <w:rPr>
          <w:rFonts w:hint="cs"/>
          <w:rtl/>
        </w:rPr>
        <w:t>همان‌طور</w:t>
      </w:r>
      <w:r w:rsidRPr="0025250D">
        <w:rPr>
          <w:rFonts w:hint="cs"/>
          <w:rtl/>
        </w:rPr>
        <w:t xml:space="preserve"> که اکنون به محدودیت‌های فیزیکی کوچک سازی ترانزیستور‌ها در الگوی ساخت تراشه‌های خود نزدیک می‌شویم، به‌شدت</w:t>
      </w:r>
      <w:r w:rsidRPr="0025250D">
        <w:rPr>
          <w:rtl/>
        </w:rPr>
        <w:t xml:space="preserve"> </w:t>
      </w:r>
      <w:r w:rsidRPr="0025250D">
        <w:rPr>
          <w:rFonts w:hint="cs"/>
          <w:rtl/>
        </w:rPr>
        <w:t>در</w:t>
      </w:r>
      <w:r w:rsidRPr="0025250D">
        <w:rPr>
          <w:rtl/>
        </w:rPr>
        <w:t xml:space="preserve"> </w:t>
      </w:r>
      <w:r w:rsidRPr="0025250D">
        <w:rPr>
          <w:rFonts w:hint="cs"/>
          <w:rtl/>
        </w:rPr>
        <w:t>حال</w:t>
      </w:r>
      <w:r w:rsidRPr="0025250D">
        <w:rPr>
          <w:rtl/>
        </w:rPr>
        <w:t xml:space="preserve"> </w:t>
      </w:r>
      <w:r w:rsidRPr="0025250D">
        <w:rPr>
          <w:rFonts w:hint="cs"/>
          <w:rtl/>
        </w:rPr>
        <w:t>کاهش</w:t>
      </w:r>
      <w:r w:rsidRPr="0025250D">
        <w:rPr>
          <w:rtl/>
        </w:rPr>
        <w:t xml:space="preserve"> </w:t>
      </w:r>
      <w:r w:rsidRPr="0025250D">
        <w:rPr>
          <w:rFonts w:hint="cs"/>
          <w:rtl/>
        </w:rPr>
        <w:t>بوده</w:t>
      </w:r>
      <w:r w:rsidRPr="0025250D">
        <w:rPr>
          <w:rtl/>
        </w:rPr>
        <w:t xml:space="preserve"> </w:t>
      </w:r>
      <w:r w:rsidRPr="0025250D">
        <w:rPr>
          <w:rFonts w:hint="cs"/>
          <w:rtl/>
        </w:rPr>
        <w:t>است</w:t>
      </w:r>
      <w:r w:rsidR="008D6F97" w:rsidRPr="0025250D">
        <w:rPr>
          <w:rtl/>
        </w:rPr>
        <w:t xml:space="preserve">؛ </w:t>
      </w:r>
      <w:r w:rsidRPr="0025250D">
        <w:rPr>
          <w:rFonts w:hint="cs"/>
          <w:rtl/>
        </w:rPr>
        <w:t xml:space="preserve">بنابراین، اگر از متخصصین صنعتی بپرسیم که احتمال این که قیمت قدرت پردازشی و کامپیوتری هر دو سال تا بیست سال آینده، به جای پنج سال آینده، نصف شود چقدر است، بیش‌تر افراد خواهند گفت که این قطعی نیست اما ممکن است. به بیان دیگر، بیش‌تر متخصصین در حال حاضر </w:t>
      </w:r>
      <w:r w:rsidR="00923DDB" w:rsidRPr="0025250D">
        <w:rPr>
          <w:rFonts w:hint="cs"/>
          <w:rtl/>
        </w:rPr>
        <w:t>پیش‌انگاری</w:t>
      </w:r>
      <w:r w:rsidRPr="0025250D">
        <w:rPr>
          <w:rFonts w:hint="cs"/>
          <w:rtl/>
        </w:rPr>
        <w:t xml:space="preserve"> می‌کنند که این روند نرم‌تر خواهد شد.</w:t>
      </w:r>
    </w:p>
    <w:p w14:paraId="51A7B962" w14:textId="4D0C1C9B" w:rsidR="00537CC8" w:rsidRPr="0025250D" w:rsidRDefault="00537CC8" w:rsidP="00537CC8">
      <w:pPr>
        <w:rPr>
          <w:rtl/>
        </w:rPr>
      </w:pPr>
      <w:r w:rsidRPr="0025250D">
        <w:rPr>
          <w:rFonts w:hint="cs"/>
          <w:rtl/>
        </w:rPr>
        <w:t xml:space="preserve">باور داریم که این قضاوت یک اشتباه تحلیلی مهم است. دانشمندان و متخصصین </w:t>
      </w:r>
      <w:r w:rsidR="007A53FD" w:rsidRPr="0025250D">
        <w:rPr>
          <w:rFonts w:hint="cs"/>
          <w:rtl/>
        </w:rPr>
        <w:t>فناوری</w:t>
      </w:r>
      <w:r w:rsidRPr="0025250D">
        <w:rPr>
          <w:rFonts w:hint="cs"/>
          <w:rtl/>
        </w:rPr>
        <w:t xml:space="preserve"> اندکی به شکل آگاهانه‌ مشاهده </w:t>
      </w:r>
      <w:r w:rsidR="007118DE" w:rsidRPr="0025250D">
        <w:rPr>
          <w:rFonts w:hint="cs"/>
          <w:rtl/>
        </w:rPr>
        <w:t>کرده‌اند</w:t>
      </w:r>
      <w:r w:rsidRPr="0025250D">
        <w:rPr>
          <w:rFonts w:hint="cs"/>
          <w:rtl/>
        </w:rPr>
        <w:t xml:space="preserve"> که </w:t>
      </w:r>
      <w:r w:rsidR="007118DE" w:rsidRPr="0025250D">
        <w:rPr>
          <w:rFonts w:hint="cs"/>
          <w:rtl/>
        </w:rPr>
        <w:t>همان‌طور</w:t>
      </w:r>
      <w:r w:rsidRPr="0025250D">
        <w:rPr>
          <w:rFonts w:hint="cs"/>
          <w:rtl/>
        </w:rPr>
        <w:t xml:space="preserve"> که قانون </w:t>
      </w:r>
      <w:r w:rsidRPr="0025250D">
        <w:rPr>
          <w:rtl/>
        </w:rPr>
        <w:t>مور</w:t>
      </w:r>
      <w:r w:rsidRPr="0025250D">
        <w:rPr>
          <w:rFonts w:hint="cs"/>
          <w:rtl/>
        </w:rPr>
        <w:t xml:space="preserve"> در سال‌های اخیر نشان داده است، صنعت کامپیوتر فرصت تازه‌ای برای آغاز به بررسی طراحی‌های عمده و ارزان تراشه‌ها کرده است </w:t>
      </w:r>
      <w:r w:rsidRPr="0025250D">
        <w:rPr>
          <w:rFonts w:cs="Times New Roman" w:hint="cs"/>
          <w:rtl/>
        </w:rPr>
        <w:t>–</w:t>
      </w:r>
      <w:r w:rsidRPr="0025250D">
        <w:rPr>
          <w:rFonts w:hint="cs"/>
          <w:rtl/>
        </w:rPr>
        <w:t xml:space="preserve"> تغییری که تا قبل از این به شکل رقابتی عملی نبود. در توسعه‌ای تصادفی در دهه 1990، آموختیم که تراشه‌های گرافیکی موازی برای اجرای شبکه‌های عصبی مبتنی بر نرم افزار ایدئال هستند. به علاوه، از سال 2010، آن شبکه‌های عصبی مبتنی بر نرم افزار که با داده‌ها و قدرت پردازش </w:t>
      </w:r>
      <w:r w:rsidR="007B3B35" w:rsidRPr="0025250D">
        <w:rPr>
          <w:rFonts w:hint="cs"/>
          <w:rtl/>
        </w:rPr>
        <w:t>شتاب‌گیر</w:t>
      </w:r>
      <w:r w:rsidRPr="0025250D">
        <w:rPr>
          <w:rFonts w:hint="cs"/>
          <w:rtl/>
        </w:rPr>
        <w:t xml:space="preserve">نده‌ای تولید </w:t>
      </w:r>
      <w:r w:rsidR="00185F3E" w:rsidRPr="0025250D">
        <w:rPr>
          <w:rFonts w:hint="cs"/>
          <w:rtl/>
        </w:rPr>
        <w:t>شده‌اند</w:t>
      </w:r>
      <w:r w:rsidRPr="0025250D">
        <w:rPr>
          <w:rFonts w:hint="cs"/>
          <w:rtl/>
        </w:rPr>
        <w:t xml:space="preserve">، آغاز به پشت سر گذاشتن شکل‌های سریالی و نمادین هوش مصنوعی (غیر عصبی) </w:t>
      </w:r>
      <w:r w:rsidR="007118DE" w:rsidRPr="0025250D">
        <w:rPr>
          <w:rFonts w:hint="cs"/>
          <w:rtl/>
        </w:rPr>
        <w:t>کرده‌اند</w:t>
      </w:r>
      <w:r w:rsidR="008D6F97" w:rsidRPr="0025250D">
        <w:rPr>
          <w:rtl/>
        </w:rPr>
        <w:t xml:space="preserve">؛ </w:t>
      </w:r>
      <w:r w:rsidRPr="0025250D">
        <w:rPr>
          <w:rFonts w:hint="cs"/>
          <w:rtl/>
        </w:rPr>
        <w:t xml:space="preserve">بنابراین </w:t>
      </w:r>
      <w:r w:rsidR="007118DE" w:rsidRPr="0025250D">
        <w:rPr>
          <w:rFonts w:hint="cs"/>
          <w:rtl/>
        </w:rPr>
        <w:t>همان‌طور</w:t>
      </w:r>
      <w:r w:rsidRPr="0025250D">
        <w:rPr>
          <w:rFonts w:hint="cs"/>
          <w:rtl/>
        </w:rPr>
        <w:t xml:space="preserve"> که قانون </w:t>
      </w:r>
      <w:r w:rsidRPr="0025250D">
        <w:rPr>
          <w:rtl/>
        </w:rPr>
        <w:t>مور</w:t>
      </w:r>
      <w:r w:rsidRPr="0025250D">
        <w:rPr>
          <w:rFonts w:hint="cs"/>
          <w:rtl/>
        </w:rPr>
        <w:t xml:space="preserve"> مبتنی بر ترانزیستور به شکل فزاینده‌ای آهسته‌تر می‌شود، یک قانون </w:t>
      </w:r>
      <w:r w:rsidRPr="0025250D">
        <w:rPr>
          <w:rtl/>
        </w:rPr>
        <w:t>مور</w:t>
      </w:r>
      <w:r w:rsidRPr="0025250D">
        <w:rPr>
          <w:rFonts w:hint="cs"/>
          <w:rtl/>
        </w:rPr>
        <w:t xml:space="preserve"> مبتنی بر شبکه عصبی جدید، در یک الگوی الهام گرفته از بیولوژی جدید با تمرکز بر کوچک سازی و بهینه سازی مجموعه‌ها و مدار‌های شبکه عصبی، اکنون مرز پیشتاز عملکرد کامپیوتری است. این مجموعه‌ها و مدارها در تراشه‌های گرافیکی استاندارد و نرم</w:t>
      </w:r>
      <w:r w:rsidRPr="0025250D">
        <w:rPr>
          <w:rtl/>
        </w:rPr>
        <w:t xml:space="preserve"> </w:t>
      </w:r>
      <w:r w:rsidRPr="0025250D">
        <w:rPr>
          <w:rFonts w:hint="cs"/>
          <w:rtl/>
        </w:rPr>
        <w:t xml:space="preserve">افزارهای شبکه عصبی آغاز </w:t>
      </w:r>
      <w:r w:rsidR="00185F3E" w:rsidRPr="0025250D">
        <w:rPr>
          <w:rFonts w:hint="cs"/>
          <w:rtl/>
        </w:rPr>
        <w:t>شده‌اند</w:t>
      </w:r>
      <w:r w:rsidRPr="0025250D">
        <w:rPr>
          <w:rFonts w:hint="cs"/>
          <w:rtl/>
        </w:rPr>
        <w:t xml:space="preserve">، اما نرم افزار و تراشه‌ها هرساله به شکل فزاینده‌ای در حال پیچیده‌تر و </w:t>
      </w:r>
      <w:r w:rsidRPr="0025250D">
        <w:rPr>
          <w:rtl/>
        </w:rPr>
        <w:t>نورومورف</w:t>
      </w:r>
      <w:r w:rsidRPr="0025250D">
        <w:rPr>
          <w:rFonts w:hint="cs"/>
          <w:rtl/>
        </w:rPr>
        <w:t>ی</w:t>
      </w:r>
      <w:r w:rsidRPr="0025250D">
        <w:rPr>
          <w:rFonts w:hint="eastAsia"/>
          <w:rtl/>
        </w:rPr>
        <w:t>ک</w:t>
      </w:r>
      <w:r w:rsidRPr="0025250D">
        <w:rPr>
          <w:rFonts w:hint="cs"/>
          <w:rtl/>
        </w:rPr>
        <w:t xml:space="preserve"> تر</w:t>
      </w:r>
      <w:r w:rsidRPr="0025250D">
        <w:rPr>
          <w:vertAlign w:val="superscript"/>
          <w:rtl/>
        </w:rPr>
        <w:footnoteReference w:id="2591"/>
      </w:r>
      <w:r w:rsidRPr="0025250D">
        <w:rPr>
          <w:rFonts w:hint="cs"/>
          <w:rtl/>
        </w:rPr>
        <w:t xml:space="preserve"> شدن (تقلید از مغز) هستند.</w:t>
      </w:r>
    </w:p>
    <w:p w14:paraId="2A7FBCF2" w14:textId="00F3058B" w:rsidR="00537CC8" w:rsidRPr="0025250D" w:rsidRDefault="00537CC8" w:rsidP="00537CC8">
      <w:pPr>
        <w:rPr>
          <w:rtl/>
        </w:rPr>
      </w:pPr>
      <w:r w:rsidRPr="0025250D">
        <w:rPr>
          <w:rFonts w:hint="cs"/>
          <w:rtl/>
        </w:rPr>
        <w:t xml:space="preserve">بنابراین درحالی که قانون </w:t>
      </w:r>
      <w:r w:rsidRPr="0025250D">
        <w:rPr>
          <w:rtl/>
        </w:rPr>
        <w:t>مور</w:t>
      </w:r>
      <w:r w:rsidRPr="0025250D">
        <w:rPr>
          <w:rFonts w:hint="cs"/>
          <w:rtl/>
        </w:rPr>
        <w:t xml:space="preserve"> کلاسیک ما در حال نرم‌تر شدن است، یک قانون </w:t>
      </w:r>
      <w:r w:rsidRPr="0025250D">
        <w:rPr>
          <w:rtl/>
        </w:rPr>
        <w:t>مور</w:t>
      </w:r>
      <w:r w:rsidRPr="0025250D">
        <w:rPr>
          <w:rFonts w:hint="cs"/>
          <w:rtl/>
        </w:rPr>
        <w:t xml:space="preserve"> جدید و عمومی‌تر در حال ادامه یافتن به‌عنوان یک روند سخت است. عملکرد کامپیوتری پیچیده (هوشمند) حتی سریع‌تر از قبل، تحت مجموعه جدیدی از رویکردهای معماری در حال رشد است</w:t>
      </w:r>
      <w:r w:rsidR="008D6F97" w:rsidRPr="0025250D">
        <w:rPr>
          <w:rtl/>
        </w:rPr>
        <w:t xml:space="preserve">؛ </w:t>
      </w:r>
      <w:r w:rsidRPr="0025250D">
        <w:rPr>
          <w:rFonts w:hint="cs"/>
          <w:rtl/>
        </w:rPr>
        <w:t>بنابراین چه یک روند سخت باشد و چه نرم هم تحت تأثیر محیط رقابتی خود و هم تحت تأثیر سطح تحلیل ماست.</w:t>
      </w:r>
    </w:p>
    <w:p w14:paraId="01804950" w14:textId="5590D2A1" w:rsidR="00537CC8" w:rsidRPr="0025250D" w:rsidRDefault="00537CC8" w:rsidP="00537CC8">
      <w:pPr>
        <w:rPr>
          <w:rtl/>
        </w:rPr>
      </w:pPr>
      <w:r w:rsidRPr="0025250D">
        <w:rPr>
          <w:rFonts w:hint="cs"/>
          <w:rtl/>
        </w:rPr>
        <w:t>وابستگی‌ها که همچنین وابستگی‌ها به مسیر</w:t>
      </w:r>
      <w:r w:rsidRPr="0025250D">
        <w:rPr>
          <w:vertAlign w:val="superscript"/>
          <w:rtl/>
        </w:rPr>
        <w:footnoteReference w:id="2592"/>
      </w:r>
      <w:r w:rsidRPr="0025250D">
        <w:rPr>
          <w:rFonts w:hint="cs"/>
          <w:rtl/>
        </w:rPr>
        <w:t xml:space="preserve"> نامیده می‌شوند، شرایطی از </w:t>
      </w:r>
      <w:r w:rsidR="008D6F97" w:rsidRPr="0025250D">
        <w:rPr>
          <w:rFonts w:hint="cs"/>
          <w:rtl/>
        </w:rPr>
        <w:t>سامانه‌</w:t>
      </w:r>
      <w:r w:rsidRPr="0025250D">
        <w:rPr>
          <w:rFonts w:hint="cs"/>
          <w:rtl/>
        </w:rPr>
        <w:t xml:space="preserve"> هستند که به‌عنوان انتخاب‌های تکاملی آزادانه آغاز می‌شوند، اما به سرعت به دلیل هزینه بالای تغییر پس از تصمیم‌گیری، به هزینه‌های برگشت ناپذیر</w:t>
      </w:r>
      <w:r w:rsidRPr="0025250D">
        <w:rPr>
          <w:vertAlign w:val="superscript"/>
          <w:rtl/>
        </w:rPr>
        <w:footnoteReference w:id="2593"/>
      </w:r>
      <w:r w:rsidRPr="0025250D">
        <w:rPr>
          <w:rFonts w:hint="cs"/>
          <w:rtl/>
        </w:rPr>
        <w:t xml:space="preserve"> </w:t>
      </w:r>
      <w:r w:rsidRPr="0025250D">
        <w:rPr>
          <w:rFonts w:cs="Times New Roman" w:hint="cs"/>
          <w:rtl/>
        </w:rPr>
        <w:t>–</w:t>
      </w:r>
      <w:r w:rsidRPr="0025250D">
        <w:rPr>
          <w:rFonts w:hint="cs"/>
          <w:rtl/>
        </w:rPr>
        <w:t xml:space="preserve"> یعنی، قیود قابل پیش‌بینی درمورد موارد ممکن در آینده </w:t>
      </w:r>
      <w:r w:rsidRPr="0025250D">
        <w:rPr>
          <w:rFonts w:cs="Times New Roman" w:hint="cs"/>
          <w:rtl/>
        </w:rPr>
        <w:t>–</w:t>
      </w:r>
      <w:r w:rsidRPr="0025250D">
        <w:rPr>
          <w:rFonts w:hint="cs"/>
          <w:rtl/>
        </w:rPr>
        <w:t xml:space="preserve"> تبدیل می‌شوند. در تکامل زیستی، عملکردهای جدید به تازگی و به صورت تصادفی کشف شده به اجزایی از </w:t>
      </w:r>
      <w:r w:rsidR="008D6F97" w:rsidRPr="0025250D">
        <w:rPr>
          <w:rFonts w:hint="cs"/>
          <w:rtl/>
        </w:rPr>
        <w:t>سامانه‌</w:t>
      </w:r>
      <w:r w:rsidRPr="0025250D">
        <w:rPr>
          <w:rFonts w:hint="cs"/>
          <w:rtl/>
        </w:rPr>
        <w:t>‌های پیچیده‌تر تبدیل می‌شوند. تغییر آن‌ها با مرور زمان سخت‌تر می‌شود و نهایتا به ماژول‌هایی تبدیل می‌شوند که پیچیدگی سلسله مراتبی بر روی آن‌ها ساخته می‌شود</w:t>
      </w:r>
      <w:r w:rsidR="008D6F97" w:rsidRPr="0025250D">
        <w:rPr>
          <w:rtl/>
        </w:rPr>
        <w:t xml:space="preserve">؛ </w:t>
      </w:r>
      <w:r w:rsidRPr="0025250D">
        <w:rPr>
          <w:rFonts w:hint="cs"/>
          <w:rtl/>
        </w:rPr>
        <w:t>بنابراین، مدولار بودن</w:t>
      </w:r>
      <w:r w:rsidRPr="0025250D">
        <w:rPr>
          <w:vertAlign w:val="superscript"/>
          <w:rtl/>
        </w:rPr>
        <w:footnoteReference w:id="2594"/>
      </w:r>
      <w:r w:rsidRPr="0025250D">
        <w:rPr>
          <w:rFonts w:hint="cs"/>
          <w:rtl/>
        </w:rPr>
        <w:t xml:space="preserve"> مثالی کلیدی از توسعه و وابستگی به مسیر است.</w:t>
      </w:r>
    </w:p>
    <w:p w14:paraId="31893AC9" w14:textId="73FE6050" w:rsidR="00537CC8" w:rsidRPr="0025250D" w:rsidRDefault="00537CC8" w:rsidP="00537CC8">
      <w:pPr>
        <w:rPr>
          <w:rtl/>
        </w:rPr>
      </w:pPr>
      <w:r w:rsidRPr="0025250D">
        <w:rPr>
          <w:rFonts w:hint="cs"/>
          <w:rtl/>
        </w:rPr>
        <w:t xml:space="preserve">در موارد خاص، برخی ماژول‌ها </w:t>
      </w:r>
      <w:r w:rsidR="000E25F9" w:rsidRPr="0025250D">
        <w:rPr>
          <w:rFonts w:hint="cs"/>
          <w:rtl/>
        </w:rPr>
        <w:t>ا</w:t>
      </w:r>
      <w:r w:rsidRPr="0025250D">
        <w:rPr>
          <w:rFonts w:hint="cs"/>
          <w:rtl/>
        </w:rPr>
        <w:t xml:space="preserve">ز نظر توسعه‌ای از ابتدا بهینه هستند. بحث ما در </w:t>
      </w:r>
      <w:r w:rsidRPr="0025250D">
        <w:t>BPF</w:t>
      </w:r>
      <w:r w:rsidRPr="0025250D">
        <w:rPr>
          <w:rFonts w:hint="cs"/>
          <w:rtl/>
        </w:rPr>
        <w:t xml:space="preserve"> را درمورد درگاه‌های توسعه ای، یعنی شکل‌ها و کارکردهای ظاهرا بهینه برای محیط خود، در سطوح مختلف پیچیدگی محلی را ببینید. شیمی ارگانیک و </w:t>
      </w:r>
      <w:r w:rsidRPr="0025250D">
        <w:t>RNA</w:t>
      </w:r>
      <w:r w:rsidRPr="0025250D">
        <w:rPr>
          <w:rFonts w:hint="cs"/>
          <w:rtl/>
        </w:rPr>
        <w:t>، برای مثال، می‌توانند به صورت بهینه‌ای بازنمایی کننده خود سازنده</w:t>
      </w:r>
      <w:r w:rsidRPr="0025250D">
        <w:rPr>
          <w:vertAlign w:val="superscript"/>
          <w:rtl/>
        </w:rPr>
        <w:footnoteReference w:id="2595"/>
      </w:r>
      <w:r w:rsidRPr="0025250D">
        <w:rPr>
          <w:rFonts w:hint="cs"/>
          <w:rtl/>
        </w:rPr>
        <w:t xml:space="preserve"> (خود همتاساز، یادگیرنده و بهبود دهنده) و شکل‌ها و کارکردهای مدولار (بلوک‌های سازنده) </w:t>
      </w:r>
      <w:r w:rsidRPr="0025250D">
        <w:rPr>
          <w:rtl/>
        </w:rPr>
        <w:t>در فضا</w:t>
      </w:r>
      <w:r w:rsidRPr="0025250D">
        <w:rPr>
          <w:rFonts w:hint="cs"/>
          <w:rtl/>
        </w:rPr>
        <w:t>ی</w:t>
      </w:r>
      <w:r w:rsidRPr="0025250D">
        <w:rPr>
          <w:rtl/>
        </w:rPr>
        <w:t xml:space="preserve"> وس</w:t>
      </w:r>
      <w:r w:rsidRPr="0025250D">
        <w:rPr>
          <w:rFonts w:hint="cs"/>
          <w:rtl/>
        </w:rPr>
        <w:t>ی</w:t>
      </w:r>
      <w:r w:rsidRPr="0025250D">
        <w:rPr>
          <w:rFonts w:hint="eastAsia"/>
          <w:rtl/>
        </w:rPr>
        <w:t>ع</w:t>
      </w:r>
      <w:r w:rsidRPr="0025250D">
        <w:rPr>
          <w:rtl/>
        </w:rPr>
        <w:t xml:space="preserve"> اشکال احتمال</w:t>
      </w:r>
      <w:r w:rsidRPr="0025250D">
        <w:rPr>
          <w:rFonts w:hint="cs"/>
          <w:rtl/>
        </w:rPr>
        <w:t>ی</w:t>
      </w:r>
      <w:r w:rsidRPr="0025250D">
        <w:rPr>
          <w:rtl/>
        </w:rPr>
        <w:t xml:space="preserve"> تکامل مولکول</w:t>
      </w:r>
      <w:r w:rsidRPr="0025250D">
        <w:rPr>
          <w:rFonts w:hint="cs"/>
          <w:rtl/>
        </w:rPr>
        <w:t>ی</w:t>
      </w:r>
      <w:r w:rsidRPr="0025250D">
        <w:rPr>
          <w:rtl/>
        </w:rPr>
        <w:t xml:space="preserve"> در جهان ما</w:t>
      </w:r>
      <w:r w:rsidRPr="0025250D">
        <w:rPr>
          <w:rFonts w:hint="cs"/>
          <w:rtl/>
        </w:rPr>
        <w:t xml:space="preserve"> باشند</w:t>
      </w:r>
      <w:r w:rsidR="008D6F97" w:rsidRPr="0025250D">
        <w:rPr>
          <w:rtl/>
        </w:rPr>
        <w:t xml:space="preserve">؛ </w:t>
      </w:r>
      <w:r w:rsidR="0020589F" w:rsidRPr="0025250D">
        <w:rPr>
          <w:rtl/>
        </w:rPr>
        <w:t>اما</w:t>
      </w:r>
      <w:r w:rsidRPr="0025250D">
        <w:rPr>
          <w:rFonts w:hint="cs"/>
          <w:rtl/>
        </w:rPr>
        <w:t xml:space="preserve"> در اکثر مواقع، ماژول‌هایی که به‌عنوان گزینه‌های تکاملی آغاز </w:t>
      </w:r>
      <w:r w:rsidR="00185F3E" w:rsidRPr="0025250D">
        <w:rPr>
          <w:rFonts w:hint="cs"/>
          <w:rtl/>
        </w:rPr>
        <w:t>شده‌اند</w:t>
      </w:r>
      <w:r w:rsidRPr="0025250D">
        <w:rPr>
          <w:rFonts w:hint="cs"/>
          <w:rtl/>
        </w:rPr>
        <w:t xml:space="preserve"> و به طور کلی بهینه نیستند، می‌توانند برخی مواقع برای مدت زمانی طولانی توسعه‌ای شوند. قفل شدگی</w:t>
      </w:r>
      <w:r w:rsidRPr="0025250D">
        <w:rPr>
          <w:vertAlign w:val="superscript"/>
          <w:rtl/>
        </w:rPr>
        <w:footnoteReference w:id="2596"/>
      </w:r>
      <w:r w:rsidRPr="0025250D">
        <w:rPr>
          <w:rFonts w:hint="cs"/>
          <w:rtl/>
        </w:rPr>
        <w:t xml:space="preserve"> یا وابستگی به مسیر، می‌توانند هم در </w:t>
      </w:r>
      <w:r w:rsidR="008D6F97" w:rsidRPr="0025250D">
        <w:rPr>
          <w:rFonts w:hint="cs"/>
          <w:rtl/>
        </w:rPr>
        <w:t>سامانه‌</w:t>
      </w:r>
      <w:r w:rsidRPr="0025250D">
        <w:rPr>
          <w:rFonts w:hint="cs"/>
          <w:rtl/>
        </w:rPr>
        <w:t xml:space="preserve">‌های توسعه‌ای و هم در </w:t>
      </w:r>
      <w:r w:rsidR="008D6F97" w:rsidRPr="0025250D">
        <w:rPr>
          <w:rFonts w:hint="cs"/>
          <w:rtl/>
        </w:rPr>
        <w:t>سامانه‌</w:t>
      </w:r>
      <w:r w:rsidRPr="0025250D">
        <w:rPr>
          <w:rFonts w:hint="cs"/>
          <w:rtl/>
        </w:rPr>
        <w:t xml:space="preserve">‌های تکاملی، وقتی به بخش‌های یکپارچه و مهمی از </w:t>
      </w:r>
      <w:r w:rsidR="008D6F97" w:rsidRPr="0025250D">
        <w:rPr>
          <w:rFonts w:hint="cs"/>
          <w:rtl/>
        </w:rPr>
        <w:t>سامانه‌</w:t>
      </w:r>
      <w:r w:rsidRPr="0025250D">
        <w:rPr>
          <w:rFonts w:hint="cs"/>
          <w:rtl/>
        </w:rPr>
        <w:t>‌های بزرگتر تبدیل می‌شوند، رخ دهند.</w:t>
      </w:r>
    </w:p>
    <w:p w14:paraId="78A0F7C0" w14:textId="251390E7" w:rsidR="00537CC8" w:rsidRPr="0025250D" w:rsidRDefault="00537CC8" w:rsidP="00537CC8">
      <w:pPr>
        <w:rPr>
          <w:rtl/>
        </w:rPr>
      </w:pPr>
      <w:r w:rsidRPr="0025250D">
        <w:rPr>
          <w:rFonts w:hint="cs"/>
          <w:rtl/>
        </w:rPr>
        <w:t xml:space="preserve">برای توسعه </w:t>
      </w:r>
      <w:r w:rsidR="0044659F" w:rsidRPr="0025250D">
        <w:rPr>
          <w:rFonts w:hint="cs"/>
          <w:rtl/>
        </w:rPr>
        <w:t>زیستی</w:t>
      </w:r>
      <w:r w:rsidRPr="0025250D">
        <w:rPr>
          <w:rFonts w:hint="cs"/>
          <w:rtl/>
        </w:rPr>
        <w:t xml:space="preserve"> انسانی، به‌عنوان مثال سینه و بقایای کانال‌های شیر در</w:t>
      </w:r>
      <w:r w:rsidRPr="0025250D">
        <w:rPr>
          <w:rtl/>
        </w:rPr>
        <w:t xml:space="preserve"> </w:t>
      </w:r>
      <w:r w:rsidRPr="0025250D">
        <w:rPr>
          <w:rFonts w:hint="cs"/>
          <w:rtl/>
        </w:rPr>
        <w:t>مردان (</w:t>
      </w:r>
      <w:r w:rsidRPr="0025250D">
        <w:rPr>
          <w:rtl/>
        </w:rPr>
        <w:t>که در 1% از همه نوزادان هنگام تولد، حت</w:t>
      </w:r>
      <w:r w:rsidRPr="0025250D">
        <w:rPr>
          <w:rFonts w:hint="cs"/>
          <w:rtl/>
        </w:rPr>
        <w:t>ی</w:t>
      </w:r>
      <w:r w:rsidRPr="0025250D">
        <w:rPr>
          <w:rtl/>
        </w:rPr>
        <w:t xml:space="preserve"> در تعداد کم</w:t>
      </w:r>
      <w:r w:rsidRPr="0025250D">
        <w:rPr>
          <w:rFonts w:hint="cs"/>
          <w:rtl/>
        </w:rPr>
        <w:t>ی</w:t>
      </w:r>
      <w:r w:rsidRPr="0025250D">
        <w:rPr>
          <w:rtl/>
        </w:rPr>
        <w:t xml:space="preserve"> از پسران، چند قطره ش</w:t>
      </w:r>
      <w:r w:rsidRPr="0025250D">
        <w:rPr>
          <w:rFonts w:hint="cs"/>
          <w:rtl/>
        </w:rPr>
        <w:t>ی</w:t>
      </w:r>
      <w:r w:rsidRPr="0025250D">
        <w:rPr>
          <w:rFonts w:hint="eastAsia"/>
          <w:rtl/>
        </w:rPr>
        <w:t>ر</w:t>
      </w:r>
      <w:r w:rsidRPr="0025250D">
        <w:rPr>
          <w:rtl/>
        </w:rPr>
        <w:t xml:space="preserve"> </w:t>
      </w:r>
      <w:r w:rsidRPr="0025250D">
        <w:rPr>
          <w:rFonts w:hint="cs"/>
          <w:rtl/>
        </w:rPr>
        <w:t>ترشح</w:t>
      </w:r>
      <w:r w:rsidRPr="0025250D">
        <w:rPr>
          <w:rtl/>
        </w:rPr>
        <w:t xml:space="preserve"> می‌کند</w:t>
      </w:r>
      <w:r w:rsidRPr="0025250D">
        <w:rPr>
          <w:rFonts w:hint="cs"/>
          <w:rtl/>
        </w:rPr>
        <w:t>) توجه کنید. مردها</w:t>
      </w:r>
      <w:r w:rsidRPr="0025250D">
        <w:rPr>
          <w:rtl/>
        </w:rPr>
        <w:t xml:space="preserve"> د</w:t>
      </w:r>
      <w:r w:rsidRPr="0025250D">
        <w:rPr>
          <w:rFonts w:hint="cs"/>
          <w:rtl/>
        </w:rPr>
        <w:t>ی</w:t>
      </w:r>
      <w:r w:rsidRPr="0025250D">
        <w:rPr>
          <w:rFonts w:hint="eastAsia"/>
          <w:rtl/>
        </w:rPr>
        <w:t>گر</w:t>
      </w:r>
      <w:r w:rsidRPr="0025250D">
        <w:rPr>
          <w:rtl/>
        </w:rPr>
        <w:t xml:space="preserve"> از ا</w:t>
      </w:r>
      <w:r w:rsidRPr="0025250D">
        <w:rPr>
          <w:rFonts w:hint="cs"/>
          <w:rtl/>
        </w:rPr>
        <w:t>ی</w:t>
      </w:r>
      <w:r w:rsidRPr="0025250D">
        <w:rPr>
          <w:rFonts w:hint="eastAsia"/>
          <w:rtl/>
        </w:rPr>
        <w:t>ن</w:t>
      </w:r>
      <w:r w:rsidRPr="0025250D">
        <w:rPr>
          <w:rtl/>
        </w:rPr>
        <w:t xml:space="preserve"> ساختارها استفاده نمی‌کنند، اگرچه ما هنوز آنها را همراه با سا</w:t>
      </w:r>
      <w:r w:rsidRPr="0025250D">
        <w:rPr>
          <w:rFonts w:hint="cs"/>
          <w:rtl/>
        </w:rPr>
        <w:t>ی</w:t>
      </w:r>
      <w:r w:rsidRPr="0025250D">
        <w:rPr>
          <w:rFonts w:hint="eastAsia"/>
          <w:rtl/>
        </w:rPr>
        <w:t>ر</w:t>
      </w:r>
      <w:r w:rsidRPr="0025250D">
        <w:rPr>
          <w:rtl/>
        </w:rPr>
        <w:t xml:space="preserve"> </w:t>
      </w:r>
      <w:r w:rsidRPr="0025250D">
        <w:rPr>
          <w:rFonts w:hint="cs"/>
          <w:rtl/>
        </w:rPr>
        <w:t xml:space="preserve">مشخصات </w:t>
      </w:r>
      <w:r w:rsidRPr="0025250D">
        <w:rPr>
          <w:rtl/>
        </w:rPr>
        <w:t>باق</w:t>
      </w:r>
      <w:r w:rsidRPr="0025250D">
        <w:rPr>
          <w:rFonts w:hint="cs"/>
          <w:rtl/>
        </w:rPr>
        <w:t>ی</w:t>
      </w:r>
      <w:r w:rsidRPr="0025250D">
        <w:rPr>
          <w:rtl/>
        </w:rPr>
        <w:t xml:space="preserve"> مانده حفظ می‌کن</w:t>
      </w:r>
      <w:r w:rsidRPr="0025250D">
        <w:rPr>
          <w:rFonts w:hint="cs"/>
          <w:rtl/>
        </w:rPr>
        <w:t>ی</w:t>
      </w:r>
      <w:r w:rsidRPr="0025250D">
        <w:rPr>
          <w:rFonts w:hint="eastAsia"/>
          <w:rtl/>
        </w:rPr>
        <w:t>م</w:t>
      </w:r>
      <w:r w:rsidRPr="0025250D">
        <w:rPr>
          <w:rFonts w:hint="cs"/>
          <w:rtl/>
        </w:rPr>
        <w:t>. ممکن است نوعی قفل شدگی رخ داده باشد (شاید این ژن‌ها نتوانند در حال حاضر بدون سبب شدن زیان‌های توسعه‌ای عمده حذف شوند یا شاید کارکرد‌های مفید دیگری داشته باشند) و بنابراین این بقایا از این ماژول در توسعه انسان مدرن قابل رؤیت باقی مانده</w:t>
      </w:r>
      <w:r w:rsidR="000E25F9" w:rsidRPr="0025250D">
        <w:rPr>
          <w:rFonts w:hint="cs"/>
          <w:rtl/>
        </w:rPr>
        <w:t>‌</w:t>
      </w:r>
      <w:r w:rsidRPr="0025250D">
        <w:rPr>
          <w:rFonts w:hint="cs"/>
          <w:rtl/>
        </w:rPr>
        <w:t>اند.</w:t>
      </w:r>
    </w:p>
    <w:p w14:paraId="524D7813" w14:textId="1AA8903E" w:rsidR="00537CC8" w:rsidRPr="0025250D" w:rsidRDefault="00537CC8" w:rsidP="00537CC8">
      <w:pPr>
        <w:rPr>
          <w:rtl/>
        </w:rPr>
      </w:pPr>
      <w:r w:rsidRPr="0025250D">
        <w:rPr>
          <w:rFonts w:hint="cs"/>
          <w:rtl/>
        </w:rPr>
        <w:t>برای توسعه اجتماعی-</w:t>
      </w:r>
      <w:r w:rsidR="007A53FD" w:rsidRPr="0025250D">
        <w:rPr>
          <w:rFonts w:hint="cs"/>
          <w:rtl/>
        </w:rPr>
        <w:t>فناوری</w:t>
      </w:r>
      <w:r w:rsidRPr="0025250D">
        <w:rPr>
          <w:rFonts w:hint="cs"/>
          <w:rtl/>
        </w:rPr>
        <w:t xml:space="preserve">، این که از ابتدا تصمیم گرفتیم در کدام سمت از خیابان رانندگی کنیم مثالی از یک انتخاب تکاملی است که به یک وابستگی به مسیر توسعه‌ای تبدیل شد. هر دو سمت می‌توانند برای نیاز‌های ما مؤثر باشند و هر دو هم اکنون در کشور‌های مختلف استفاده می‌شوند؛ اما در هر کشور، وقتی تعداد مشخصی از رانندگان، وسایل نقلیه و جاده‌ها با هر یک از این دو </w:t>
      </w:r>
      <w:r w:rsidR="002F3C14" w:rsidRPr="0025250D">
        <w:rPr>
          <w:rFonts w:hint="cs"/>
          <w:rtl/>
        </w:rPr>
        <w:t>انطباق</w:t>
      </w:r>
      <w:r w:rsidRPr="0025250D">
        <w:rPr>
          <w:rFonts w:hint="cs"/>
          <w:rtl/>
        </w:rPr>
        <w:t xml:space="preserve"> یافته باشند، وابستگی به مسیر رخ می‌دهد. اغلب این استاندارد‌های متفاوت در نهایت یکپارچه می‌شوند </w:t>
      </w:r>
      <w:r w:rsidRPr="0025250D">
        <w:rPr>
          <w:rFonts w:cs="Times New Roman" w:hint="cs"/>
          <w:rtl/>
        </w:rPr>
        <w:t>–</w:t>
      </w:r>
      <w:r w:rsidRPr="0025250D">
        <w:rPr>
          <w:rFonts w:hint="cs"/>
          <w:rtl/>
        </w:rPr>
        <w:t xml:space="preserve"> </w:t>
      </w:r>
      <w:r w:rsidR="007118DE" w:rsidRPr="0025250D">
        <w:rPr>
          <w:rFonts w:hint="cs"/>
          <w:rtl/>
        </w:rPr>
        <w:t>همان‌طور</w:t>
      </w:r>
      <w:r w:rsidRPr="0025250D">
        <w:rPr>
          <w:rFonts w:hint="cs"/>
          <w:rtl/>
        </w:rPr>
        <w:t xml:space="preserve"> که وقتی تمام خطوط راه آهن در نهایت به هم متصل شدند و اندازه خطوط و لوکوموتیو‌های خود را استاندارد سازی کردند، یا وقتی </w:t>
      </w:r>
      <w:r w:rsidRPr="0025250D">
        <w:t>VHS</w:t>
      </w:r>
      <w:r w:rsidRPr="0025250D">
        <w:rPr>
          <w:rFonts w:hint="cs"/>
          <w:rtl/>
        </w:rPr>
        <w:t xml:space="preserve"> و </w:t>
      </w:r>
      <w:r w:rsidRPr="0025250D">
        <w:rPr>
          <w:rtl/>
        </w:rPr>
        <w:t>بتامکس</w:t>
      </w:r>
      <w:r w:rsidRPr="0025250D">
        <w:rPr>
          <w:rFonts w:hint="cs"/>
          <w:rtl/>
        </w:rPr>
        <w:t xml:space="preserve"> به یک استاندارد تبدیل شدند، زیرا هزینه تولید هر دو با هم به شکل فزاینده‌ای به مرور زمان به یک مانع تبدیل شده بود.</w:t>
      </w:r>
    </w:p>
    <w:p w14:paraId="010441C1" w14:textId="26B3351C" w:rsidR="00537CC8" w:rsidRPr="0025250D" w:rsidRDefault="00537CC8" w:rsidP="00537CC8">
      <w:pPr>
        <w:rPr>
          <w:rtl/>
        </w:rPr>
      </w:pPr>
      <w:r w:rsidRPr="0025250D">
        <w:rPr>
          <w:rFonts w:hint="cs"/>
          <w:rtl/>
        </w:rPr>
        <w:t xml:space="preserve">در مورد توسعه </w:t>
      </w:r>
      <w:r w:rsidR="007A53FD" w:rsidRPr="0025250D">
        <w:rPr>
          <w:rFonts w:hint="cs"/>
          <w:rtl/>
        </w:rPr>
        <w:t>فناوری</w:t>
      </w:r>
      <w:r w:rsidRPr="0025250D">
        <w:rPr>
          <w:rFonts w:hint="cs"/>
          <w:rtl/>
        </w:rPr>
        <w:t xml:space="preserve">، طراحی کیبورد تایپی را که ابتدا برای تولید انبوه انتخاب کردیم </w:t>
      </w:r>
      <w:r w:rsidRPr="0025250D">
        <w:rPr>
          <w:rFonts w:cs="Times New Roman" w:hint="cs"/>
          <w:rtl/>
        </w:rPr>
        <w:t>–</w:t>
      </w:r>
      <w:r w:rsidRPr="0025250D">
        <w:rPr>
          <w:rFonts w:hint="cs"/>
          <w:rtl/>
        </w:rPr>
        <w:t xml:space="preserve"> و بسیاری از انتخاب‌های اجتماعی، سیاسی و قانونی که </w:t>
      </w:r>
      <w:r w:rsidR="000E25F9" w:rsidRPr="0025250D">
        <w:rPr>
          <w:rFonts w:hint="cs"/>
          <w:rtl/>
        </w:rPr>
        <w:t>خیلی</w:t>
      </w:r>
      <w:r w:rsidRPr="0025250D">
        <w:rPr>
          <w:rFonts w:hint="cs"/>
          <w:rtl/>
        </w:rPr>
        <w:t xml:space="preserve"> زود به استاندارد‌هایی تحمیلی یا عملی تبدیل شدند - در نظر بگیرید. وابستگی‌ها به مسیر توضیح می‌دهند که چرا ما از کیبورد </w:t>
      </w:r>
      <w:r w:rsidRPr="0025250D">
        <w:t>QWERTY</w:t>
      </w:r>
      <w:r w:rsidRPr="0025250D">
        <w:rPr>
          <w:rFonts w:hint="cs"/>
          <w:rtl/>
        </w:rPr>
        <w:t xml:space="preserve"> که کم‌تر بهینه است، در </w:t>
      </w:r>
      <w:r w:rsidR="00AE6425" w:rsidRPr="0025250D">
        <w:rPr>
          <w:rFonts w:hint="cs"/>
          <w:rtl/>
        </w:rPr>
        <w:t>سیستم</w:t>
      </w:r>
      <w:r w:rsidRPr="0025250D">
        <w:rPr>
          <w:rFonts w:hint="cs"/>
          <w:rtl/>
        </w:rPr>
        <w:t xml:space="preserve"> عامل‌های</w:t>
      </w:r>
      <w:r w:rsidR="008D6F97" w:rsidRPr="0025250D">
        <w:rPr>
          <w:rtl/>
        </w:rPr>
        <w:t xml:space="preserve"> </w:t>
      </w:r>
      <w:r w:rsidRPr="0025250D">
        <w:rPr>
          <w:rFonts w:hint="cs"/>
          <w:rtl/>
        </w:rPr>
        <w:t>ویندوز و اپل (و لینوکس) یا پروتکل‌های اینترنت و وب که در پس زمینه جهان همواره در حال رشد ما هستند، فاصله نمی‌گیریم.</w:t>
      </w:r>
    </w:p>
    <w:p w14:paraId="1B5B3C38" w14:textId="1C6403C5" w:rsidR="00537CC8" w:rsidRPr="0025250D" w:rsidRDefault="00537CC8" w:rsidP="00537CC8">
      <w:pPr>
        <w:rPr>
          <w:rtl/>
        </w:rPr>
      </w:pPr>
      <w:r w:rsidRPr="0025250D">
        <w:rPr>
          <w:rFonts w:hint="cs"/>
          <w:rtl/>
        </w:rPr>
        <w:t>اما با ادامه رشد هوش مصنوعی در ماشین‌های ما، هزینه رفتاری و مهندسی آزمایش با استاندارد‌ها و یکپارچه‌سازی کارآمد‌ترین و مفید‌ترین موارد، به کاهش یافتن ادامه خواهد داد که امکان ناپدید شدن برخی از وابستگی‌های ما به مسیر را فراهم خواهد کرد. اکنون بیایید یک مثال جالب را در نظر بگیریم.</w:t>
      </w:r>
    </w:p>
    <w:p w14:paraId="1621DF2E" w14:textId="660511C5" w:rsidR="00537CC8" w:rsidRPr="0025250D" w:rsidRDefault="00923DDB" w:rsidP="00537CC8">
      <w:pPr>
        <w:rPr>
          <w:b/>
          <w:bCs/>
          <w:rtl/>
        </w:rPr>
      </w:pPr>
      <w:r w:rsidRPr="0025250D">
        <w:rPr>
          <w:rFonts w:hint="cs"/>
          <w:b/>
          <w:bCs/>
          <w:rtl/>
        </w:rPr>
        <w:t>پیش‌انگاری</w:t>
      </w:r>
      <w:r w:rsidR="00537CC8" w:rsidRPr="0025250D">
        <w:rPr>
          <w:rFonts w:hint="cs"/>
          <w:b/>
          <w:bCs/>
          <w:rtl/>
        </w:rPr>
        <w:t xml:space="preserve"> آینده زبان ها: زبان‌های انگلیسی و آموزش داده شده توسط هوش مصنوعی و زبان‌های ساخته هوش مصنوعی</w:t>
      </w:r>
    </w:p>
    <w:p w14:paraId="2C7B947B" w14:textId="2E3C298F" w:rsidR="00537CC8" w:rsidRPr="0025250D" w:rsidRDefault="00537CC8" w:rsidP="00537CC8">
      <w:pPr>
        <w:rPr>
          <w:rtl/>
        </w:rPr>
      </w:pPr>
      <w:r w:rsidRPr="0025250D">
        <w:rPr>
          <w:rFonts w:hint="cs"/>
          <w:rtl/>
        </w:rPr>
        <w:t>پلتفرم‌های آنلاین رایگان یادگیری زبان مانند دولینگو</w:t>
      </w:r>
      <w:r w:rsidRPr="0025250D">
        <w:rPr>
          <w:vertAlign w:val="superscript"/>
          <w:rtl/>
        </w:rPr>
        <w:footnoteReference w:id="2597"/>
      </w:r>
      <w:r w:rsidRPr="0025250D">
        <w:rPr>
          <w:rFonts w:hint="cs"/>
          <w:rtl/>
        </w:rPr>
        <w:t xml:space="preserve"> اکنون برای</w:t>
      </w:r>
      <w:r w:rsidRPr="0025250D">
        <w:rPr>
          <w:rtl/>
        </w:rPr>
        <w:t xml:space="preserve"> </w:t>
      </w:r>
      <w:r w:rsidRPr="0025250D">
        <w:rPr>
          <w:rFonts w:hint="cs"/>
          <w:rtl/>
        </w:rPr>
        <w:t>یک</w:t>
      </w:r>
      <w:r w:rsidRPr="0025250D">
        <w:rPr>
          <w:rtl/>
        </w:rPr>
        <w:t xml:space="preserve"> </w:t>
      </w:r>
      <w:r w:rsidRPr="0025250D">
        <w:rPr>
          <w:rFonts w:hint="cs"/>
          <w:rtl/>
        </w:rPr>
        <w:t xml:space="preserve">دهه است که یادگیری زبان را متحول </w:t>
      </w:r>
      <w:r w:rsidR="007118DE" w:rsidRPr="0025250D">
        <w:rPr>
          <w:rFonts w:hint="cs"/>
          <w:rtl/>
        </w:rPr>
        <w:t>کرده‌اند</w:t>
      </w:r>
      <w:r w:rsidRPr="0025250D">
        <w:rPr>
          <w:rFonts w:hint="cs"/>
          <w:rtl/>
        </w:rPr>
        <w:t xml:space="preserve">. کالج‌ها اکنون ارزیابی‌های رایگان دولینگو را به جای </w:t>
      </w:r>
      <w:r w:rsidRPr="0025250D">
        <w:t>TOEFL</w:t>
      </w:r>
      <w:r w:rsidRPr="0025250D">
        <w:rPr>
          <w:rFonts w:hint="cs"/>
          <w:rtl/>
        </w:rPr>
        <w:t xml:space="preserve"> قدیمی و پر هزینه می‌پذیرد. با هوشمند‌تر شدن گوشی‌های هوشمند ما و تبدیل شدن به هوش‌های مصنوعی (</w:t>
      </w:r>
      <w:r w:rsidRPr="0025250D">
        <w:t>PAI</w:t>
      </w:r>
      <w:r w:rsidRPr="0025250D">
        <w:rPr>
          <w:rFonts w:hint="cs"/>
          <w:rtl/>
        </w:rPr>
        <w:t xml:space="preserve"> ها)، می‌توانیم پیش‌بینی کنیم که کودکان روزی خواهند توانست که هر زبان خارجی را که می‌خواهند از دستیار‌های هوشمند خود، از بدو تولد، همزمان با یادگیری زبان محلی خود بیاموزند.</w:t>
      </w:r>
    </w:p>
    <w:p w14:paraId="1BFC0DB0" w14:textId="0E0AF50D" w:rsidR="00537CC8" w:rsidRPr="0025250D" w:rsidRDefault="00537CC8" w:rsidP="00537CC8">
      <w:pPr>
        <w:rPr>
          <w:rtl/>
        </w:rPr>
      </w:pPr>
      <w:r w:rsidRPr="0025250D">
        <w:rPr>
          <w:rFonts w:hint="cs"/>
          <w:rtl/>
        </w:rPr>
        <w:t xml:space="preserve">زبان انگلیسی زبان جهانی </w:t>
      </w:r>
      <w:r w:rsidR="00B124DE" w:rsidRPr="0025250D">
        <w:rPr>
          <w:rFonts w:hint="cs"/>
          <w:rtl/>
        </w:rPr>
        <w:t>کسب‌و‌کار</w:t>
      </w:r>
      <w:r w:rsidRPr="0025250D">
        <w:rPr>
          <w:rFonts w:hint="cs"/>
          <w:rtl/>
        </w:rPr>
        <w:t xml:space="preserve"> است. این زبان بزرگ‌ترین دایره لغات فنی و تخصصی و مزیت ربودن بیش‌ترین کلمات از دیگر فرهنگ‌ها تا به امروز را دارد. این زبان همچنین تقریبا دو برابر ساده‌تر (در برخی تخمین ها) از نزدیک‌ترین رقیب اقتصادی خود، یعنی زبان چینی است. فکر می‌کنیم زبان انگلیسی به در اختیار گرفتن سهم عمده یادگیرندگان جدید ادامه خواهد داد، حتی با وجود این که همه زبان‌های اصلی یادگیرندگان جدیدی از طریق </w:t>
      </w:r>
      <w:r w:rsidRPr="0025250D">
        <w:t>PAI</w:t>
      </w:r>
      <w:r w:rsidRPr="0025250D">
        <w:rPr>
          <w:rFonts w:hint="cs"/>
          <w:rtl/>
        </w:rPr>
        <w:t xml:space="preserve">‌ها خود در سال‌های آینده خواهند داشت. یک </w:t>
      </w:r>
      <w:r w:rsidRPr="0025250D">
        <w:t>PAI</w:t>
      </w:r>
      <w:r w:rsidRPr="0025250D">
        <w:rPr>
          <w:rFonts w:hint="cs"/>
          <w:rtl/>
        </w:rPr>
        <w:t xml:space="preserve"> (هوش مصنوعی شخصی) آموزش زبان انگلیسی جهانی آنلاین رایگان، مانند </w:t>
      </w:r>
      <w:r w:rsidRPr="0025250D">
        <w:rPr>
          <w:rtl/>
        </w:rPr>
        <w:t>و</w:t>
      </w:r>
      <w:r w:rsidRPr="0025250D">
        <w:rPr>
          <w:rFonts w:hint="cs"/>
          <w:rtl/>
        </w:rPr>
        <w:t>ی</w:t>
      </w:r>
      <w:r w:rsidRPr="0025250D">
        <w:rPr>
          <w:rFonts w:hint="eastAsia"/>
          <w:rtl/>
        </w:rPr>
        <w:t>ک</w:t>
      </w:r>
      <w:r w:rsidRPr="0025250D">
        <w:rPr>
          <w:rFonts w:hint="cs"/>
          <w:rtl/>
        </w:rPr>
        <w:t>ی</w:t>
      </w:r>
      <w:r w:rsidRPr="0025250D">
        <w:rPr>
          <w:rFonts w:hint="eastAsia"/>
          <w:rtl/>
        </w:rPr>
        <w:t>پد</w:t>
      </w:r>
      <w:r w:rsidRPr="0025250D">
        <w:rPr>
          <w:rFonts w:hint="cs"/>
          <w:rtl/>
        </w:rPr>
        <w:t>ی</w:t>
      </w:r>
      <w:r w:rsidRPr="0025250D">
        <w:rPr>
          <w:rFonts w:hint="eastAsia"/>
          <w:rtl/>
        </w:rPr>
        <w:t>ا</w:t>
      </w:r>
      <w:r w:rsidRPr="0025250D">
        <w:rPr>
          <w:rFonts w:hint="cs"/>
          <w:rtl/>
        </w:rPr>
        <w:t xml:space="preserve">، مشخصا پلتفرمی است که جهان به‌شدت به آن نیاز دارد و به آن خواهد رسید. درحالی که کودکان بسیاری به راحتی از ترجمه زبان استفاده خواهند کرد، کسانی که بیش‌تر زحمت کشیده و از هوش‌های مصنوعی برای آموزش زبان انگلیسی به خود استفاده می‌کنند، درک محتوای دیجیتالی زبان انگلیسی و همکاری با انگلیسی زبانان را بسیار ساده‌تر خواهند یافت. ما پیش‌بینی می‌کنیم که از ابتدای دهه 2030، </w:t>
      </w:r>
      <w:r w:rsidRPr="0025250D">
        <w:t>PAI</w:t>
      </w:r>
      <w:r w:rsidRPr="0025250D">
        <w:rPr>
          <w:rFonts w:hint="cs"/>
          <w:rtl/>
        </w:rPr>
        <w:t>‌ها</w:t>
      </w:r>
      <w:r w:rsidR="00AE6425" w:rsidRPr="0025250D">
        <w:rPr>
          <w:rFonts w:hint="cs"/>
          <w:rtl/>
        </w:rPr>
        <w:t>ی</w:t>
      </w:r>
      <w:r w:rsidRPr="0025250D">
        <w:rPr>
          <w:rFonts w:hint="cs"/>
          <w:rtl/>
        </w:rPr>
        <w:t xml:space="preserve"> آموزش دهنده زبان انگلیسی حداقل یکصد میلیون مهاجر مجازی جدید به نیروی کار انگلیسی زبان تا سال 2050 خواهند افزود. این امر برای کارآفرینی عالی خواهد بود.</w:t>
      </w:r>
    </w:p>
    <w:p w14:paraId="2FA5D059" w14:textId="02D134DC" w:rsidR="00537CC8" w:rsidRPr="0025250D" w:rsidRDefault="00537CC8" w:rsidP="00537CC8">
      <w:pPr>
        <w:rPr>
          <w:rtl/>
        </w:rPr>
      </w:pPr>
      <w:r w:rsidRPr="0025250D">
        <w:rPr>
          <w:rFonts w:hint="cs"/>
          <w:rtl/>
        </w:rPr>
        <w:t>به نظر می‌رسد زبان انگلیسی جهانی به احتمال زیاد بر آموزش زبان معمولی تا زمان از راه رسیدن تکینگی فناورانه</w:t>
      </w:r>
      <w:r w:rsidRPr="0025250D">
        <w:rPr>
          <w:vertAlign w:val="superscript"/>
          <w:rtl/>
        </w:rPr>
        <w:footnoteReference w:id="2598"/>
      </w:r>
      <w:r w:rsidRPr="0025250D">
        <w:rPr>
          <w:rFonts w:hint="cs"/>
          <w:rtl/>
        </w:rPr>
        <w:t xml:space="preserve"> (هوش مصنوعی عمومی)، شاید زمانی در نیمه دوم این قرن، غلبه داشته باشد</w:t>
      </w:r>
      <w:r w:rsidR="008D6F97" w:rsidRPr="0025250D">
        <w:rPr>
          <w:rtl/>
        </w:rPr>
        <w:t xml:space="preserve">؛ </w:t>
      </w:r>
      <w:r w:rsidRPr="0025250D">
        <w:rPr>
          <w:rFonts w:hint="cs"/>
          <w:rtl/>
        </w:rPr>
        <w:t xml:space="preserve">اما پس از این که این امر رخ دهد، به نظر به احتمال زیاد هوش‌های مصنوعی یک زبان </w:t>
      </w:r>
      <w:r w:rsidR="00B124DE" w:rsidRPr="0025250D">
        <w:rPr>
          <w:rFonts w:hint="cs"/>
          <w:rtl/>
        </w:rPr>
        <w:t>کسب‌و‌کار</w:t>
      </w:r>
      <w:r w:rsidRPr="0025250D">
        <w:rPr>
          <w:rFonts w:hint="cs"/>
          <w:rtl/>
        </w:rPr>
        <w:t xml:space="preserve"> جدید را اختراع خواهند کرد و از ابتدای تولد به ما آموزش خواهند داد؛ چیزی به اندازه زبان لاتین منطقی که کلمات</w:t>
      </w:r>
      <w:r w:rsidR="00AE6425" w:rsidRPr="0025250D">
        <w:rPr>
          <w:rFonts w:hint="cs"/>
          <w:rtl/>
        </w:rPr>
        <w:t xml:space="preserve"> و</w:t>
      </w:r>
      <w:r w:rsidRPr="0025250D">
        <w:rPr>
          <w:rFonts w:hint="cs"/>
          <w:rtl/>
        </w:rPr>
        <w:t xml:space="preserve"> مفاهیم بسیار متنوع‌تر و دقیق تری خواهد داشت که از همه فرهنگ‌های حال و گذشته ما گرفته </w:t>
      </w:r>
      <w:r w:rsidR="00185F3E" w:rsidRPr="0025250D">
        <w:rPr>
          <w:rFonts w:hint="cs"/>
          <w:rtl/>
        </w:rPr>
        <w:t>شده‌اند</w:t>
      </w:r>
      <w:r w:rsidRPr="0025250D">
        <w:rPr>
          <w:rFonts w:hint="cs"/>
          <w:rtl/>
        </w:rPr>
        <w:t xml:space="preserve"> و اصوات آن‌ها از همه زبان‌ها گرفته شده و برای آناتومی ما بهینه سازی </w:t>
      </w:r>
      <w:r w:rsidR="00185F3E" w:rsidRPr="0025250D">
        <w:rPr>
          <w:rFonts w:hint="cs"/>
          <w:rtl/>
        </w:rPr>
        <w:t>شده‌اند</w:t>
      </w:r>
      <w:r w:rsidRPr="0025250D">
        <w:rPr>
          <w:rFonts w:hint="cs"/>
          <w:rtl/>
        </w:rPr>
        <w:t>. در آن زمان، انگلیسی ممکن است به دومین زبان رایج تبدیل شود: یک وابستگی توسعه‌ای که با یک مورد بهینه‌تر جایگزین شده است. یا حداقل، این زبان یک رقیب جدی، در بیش‌تر زمینه‌های تجاری و حرفه‌ای خواهد داشت.</w:t>
      </w:r>
    </w:p>
    <w:p w14:paraId="0736B965" w14:textId="2EE59B8A" w:rsidR="00537CC8" w:rsidRPr="0025250D" w:rsidRDefault="00537CC8" w:rsidP="00537CC8">
      <w:pPr>
        <w:rPr>
          <w:rtl/>
        </w:rPr>
      </w:pPr>
      <w:r w:rsidRPr="0025250D">
        <w:rPr>
          <w:rFonts w:hint="cs"/>
          <w:rtl/>
        </w:rPr>
        <w:t xml:space="preserve">یک زبان جهانی ساخته شده توسط هوش مصنوعی می‌تواند مزایای بسیاری داشته باشد. برای مثال، می‌تواند موارد متعدد بیش‌تری از مفاهیم منحصر به فرد و مفیدی که انسان‌ها در زبان‌ها و فرهنگ‌های فعلی و گذشته آن‌ها را نام گذاری </w:t>
      </w:r>
      <w:r w:rsidR="007118DE" w:rsidRPr="0025250D">
        <w:rPr>
          <w:rFonts w:hint="cs"/>
          <w:rtl/>
        </w:rPr>
        <w:t>کرده‌اند</w:t>
      </w:r>
      <w:r w:rsidRPr="0025250D">
        <w:rPr>
          <w:rFonts w:hint="cs"/>
          <w:rtl/>
        </w:rPr>
        <w:t>، فراهم کند. به جای استفاده از تنها 44 واج</w:t>
      </w:r>
      <w:r w:rsidRPr="0025250D">
        <w:rPr>
          <w:vertAlign w:val="superscript"/>
          <w:rtl/>
        </w:rPr>
        <w:footnoteReference w:id="2599"/>
      </w:r>
      <w:r w:rsidRPr="0025250D">
        <w:rPr>
          <w:rFonts w:hint="cs"/>
          <w:rtl/>
        </w:rPr>
        <w:t xml:space="preserve"> مورد استفاده در زبان انگلیسی، این زبان می‌تواند شامل 120 واج باشد که همه ما </w:t>
      </w:r>
      <w:r w:rsidR="00B0171C" w:rsidRPr="0025250D">
        <w:rPr>
          <w:rFonts w:hint="cs"/>
          <w:rtl/>
        </w:rPr>
        <w:t>به‌سادگی</w:t>
      </w:r>
      <w:r w:rsidRPr="0025250D">
        <w:rPr>
          <w:rFonts w:hint="cs"/>
          <w:rtl/>
        </w:rPr>
        <w:t xml:space="preserve"> می‌توانیم تولید کنیم. این زبان می‌تواند همچنین </w:t>
      </w:r>
      <w:r w:rsidRPr="0025250D">
        <w:rPr>
          <w:rtl/>
        </w:rPr>
        <w:t>از نظر آوا</w:t>
      </w:r>
      <w:r w:rsidRPr="0025250D">
        <w:rPr>
          <w:rFonts w:hint="cs"/>
          <w:rtl/>
        </w:rPr>
        <w:t xml:space="preserve">یی با یک دستور زبان منطقی پیچیده تلفظ شود. همه این موارد می‌توانند به ما امکان گفتگوهای بسیار غنی‌تر و پیچیده‌تر را، هم با یکدیگر و هم با ماشین‌های هوشمندمان بدهند. هر چه هوش‌های مصنوعی پیچیده‌تر شوند، همه ما کامپیوتر‌های خود را به شکل ساده تری از طریق گفتگوهای خود برنامه نویسی خواهیم کرد. در این پیش‌بینی، </w:t>
      </w:r>
      <w:r w:rsidR="00B56611" w:rsidRPr="0025250D">
        <w:rPr>
          <w:rFonts w:hint="cs"/>
          <w:rtl/>
        </w:rPr>
        <w:t>چشم‌انداز</w:t>
      </w:r>
      <w:r w:rsidRPr="0025250D">
        <w:rPr>
          <w:rFonts w:hint="cs"/>
          <w:rtl/>
        </w:rPr>
        <w:t xml:space="preserve"> زبان جهانی ایجاد شده توسط </w:t>
      </w:r>
      <w:r w:rsidR="00D92F6E" w:rsidRPr="0025250D">
        <w:rPr>
          <w:rFonts w:hint="cs"/>
          <w:rtl/>
        </w:rPr>
        <w:t>آینده‌پژوه</w:t>
      </w:r>
      <w:r w:rsidRPr="0025250D">
        <w:rPr>
          <w:rFonts w:hint="cs"/>
          <w:rtl/>
        </w:rPr>
        <w:t xml:space="preserve"> صلح لهستانی </w:t>
      </w:r>
      <w:r w:rsidRPr="0025250D">
        <w:rPr>
          <w:rtl/>
        </w:rPr>
        <w:t>لودو</w:t>
      </w:r>
      <w:r w:rsidRPr="0025250D">
        <w:rPr>
          <w:rFonts w:hint="cs"/>
          <w:rtl/>
        </w:rPr>
        <w:t>ی</w:t>
      </w:r>
      <w:r w:rsidRPr="0025250D">
        <w:rPr>
          <w:rFonts w:hint="eastAsia"/>
          <w:rtl/>
        </w:rPr>
        <w:t>ک</w:t>
      </w:r>
      <w:r w:rsidRPr="0025250D">
        <w:rPr>
          <w:rtl/>
        </w:rPr>
        <w:t xml:space="preserve"> زامنهوف</w:t>
      </w:r>
      <w:r w:rsidRPr="0025250D">
        <w:rPr>
          <w:vertAlign w:val="superscript"/>
          <w:rtl/>
        </w:rPr>
        <w:footnoteReference w:id="2600"/>
      </w:r>
      <w:r w:rsidRPr="0025250D">
        <w:rPr>
          <w:rFonts w:hint="cs"/>
          <w:rtl/>
        </w:rPr>
        <w:t>، وقتی که</w:t>
      </w:r>
      <w:r w:rsidR="008D6F97" w:rsidRPr="0025250D">
        <w:rPr>
          <w:rtl/>
        </w:rPr>
        <w:t xml:space="preserve"> </w:t>
      </w:r>
      <w:r w:rsidRPr="0025250D">
        <w:rPr>
          <w:rtl/>
        </w:rPr>
        <w:t>اسپرانتو</w:t>
      </w:r>
      <w:r w:rsidRPr="0025250D">
        <w:rPr>
          <w:vertAlign w:val="superscript"/>
          <w:rtl/>
        </w:rPr>
        <w:footnoteReference w:id="2601"/>
      </w:r>
      <w:r w:rsidRPr="0025250D">
        <w:rPr>
          <w:rFonts w:hint="cs"/>
          <w:rtl/>
        </w:rPr>
        <w:t xml:space="preserve"> را در سال 1887 اختراع کرد، در نهایت یک قرن پس از آغاز کار او، با یک مسیر مبتنی بر هوش مصنوعی که او هیچگاه نمی‌توانست </w:t>
      </w:r>
      <w:r w:rsidR="00923DDB" w:rsidRPr="0025250D">
        <w:rPr>
          <w:rFonts w:hint="cs"/>
          <w:rtl/>
        </w:rPr>
        <w:t>پیش‌انگاری</w:t>
      </w:r>
      <w:r w:rsidRPr="0025250D">
        <w:rPr>
          <w:rFonts w:hint="cs"/>
          <w:rtl/>
        </w:rPr>
        <w:t xml:space="preserve"> کند، از راه می‌رسد.</w:t>
      </w:r>
    </w:p>
    <w:p w14:paraId="5973055C" w14:textId="7FBF2386" w:rsidR="00537CC8" w:rsidRPr="0025250D" w:rsidRDefault="00537CC8" w:rsidP="00537CC8">
      <w:pPr>
        <w:rPr>
          <w:rtl/>
        </w:rPr>
      </w:pPr>
      <w:r w:rsidRPr="0025250D">
        <w:rPr>
          <w:rFonts w:hint="cs"/>
          <w:rtl/>
        </w:rPr>
        <w:t xml:space="preserve">در اینجا چند سؤال مربوط به وابستگی به مسیر دیگر که ارزش توجه در یک بازار پیش‌بینی مانند </w:t>
      </w:r>
      <w:r w:rsidRPr="0025250D">
        <w:rPr>
          <w:rtl/>
        </w:rPr>
        <w:t>متاکولوس</w:t>
      </w:r>
      <w:r w:rsidRPr="0025250D">
        <w:rPr>
          <w:rFonts w:hint="cs"/>
          <w:rtl/>
        </w:rPr>
        <w:t xml:space="preserve"> را دارند ارائه </w:t>
      </w:r>
      <w:r w:rsidR="00185F3E" w:rsidRPr="0025250D">
        <w:rPr>
          <w:rFonts w:hint="cs"/>
          <w:rtl/>
        </w:rPr>
        <w:t>شده‌اند</w:t>
      </w:r>
      <w:r w:rsidRPr="0025250D">
        <w:rPr>
          <w:rFonts w:hint="cs"/>
          <w:rtl/>
        </w:rPr>
        <w:t xml:space="preserve">. آیا آمریکا به اندازه کافی برای روی آوردن به </w:t>
      </w:r>
      <w:r w:rsidR="008D6F97" w:rsidRPr="0025250D">
        <w:rPr>
          <w:rFonts w:hint="cs"/>
          <w:rtl/>
        </w:rPr>
        <w:t>سامانه‌</w:t>
      </w:r>
      <w:r w:rsidRPr="0025250D">
        <w:rPr>
          <w:rFonts w:hint="cs"/>
          <w:rtl/>
        </w:rPr>
        <w:t xml:space="preserve"> متریک</w:t>
      </w:r>
      <w:r w:rsidRPr="0025250D">
        <w:rPr>
          <w:vertAlign w:val="superscript"/>
          <w:rtl/>
        </w:rPr>
        <w:footnoteReference w:id="2602"/>
      </w:r>
      <w:r w:rsidRPr="0025250D">
        <w:rPr>
          <w:rFonts w:hint="cs"/>
          <w:rtl/>
        </w:rPr>
        <w:t xml:space="preserve"> تا سال 2050 یا 2070 علم محور و همکاری محور خواهد شد؟ یا آیا همچنان گرفتار واحد‌های منسوخ شده انگلیسی خود در </w:t>
      </w:r>
      <w:r w:rsidR="00AE6425" w:rsidRPr="0025250D">
        <w:rPr>
          <w:rFonts w:hint="cs"/>
          <w:rtl/>
        </w:rPr>
        <w:t>طی</w:t>
      </w:r>
      <w:r w:rsidRPr="0025250D">
        <w:rPr>
          <w:rFonts w:hint="cs"/>
          <w:rtl/>
        </w:rPr>
        <w:t xml:space="preserve"> هر دو </w:t>
      </w:r>
      <w:r w:rsidR="00B13F65" w:rsidRPr="0025250D">
        <w:rPr>
          <w:rFonts w:hint="cs"/>
          <w:rtl/>
        </w:rPr>
        <w:t>چارچوب</w:t>
      </w:r>
      <w:r w:rsidRPr="0025250D">
        <w:rPr>
          <w:rFonts w:hint="cs"/>
          <w:rtl/>
        </w:rPr>
        <w:t xml:space="preserve"> زمانی ذکر شده خواهیم بود؟ پاسخ‌های ما ممکن است به این که انتظار داریم که چه زمانی ماشین‌های هوش مصنوعی عمومی پدیدار شوند بستگی داشته باشد، زیرا این امر به‌شدت چالش‌های تحصیل عمومی بهتر و نیز دشواری خروج از این </w:t>
      </w:r>
      <w:r w:rsidR="008D6F97" w:rsidRPr="0025250D">
        <w:rPr>
          <w:rFonts w:hint="cs"/>
          <w:rtl/>
        </w:rPr>
        <w:t>سامانه‌</w:t>
      </w:r>
      <w:r w:rsidRPr="0025250D">
        <w:rPr>
          <w:rFonts w:hint="cs"/>
          <w:rtl/>
        </w:rPr>
        <w:t xml:space="preserve"> و دیگر وابستگی‌ها به مسیرهای غیر بهینه (تکاملی) را کاهش خواهد داد. تا سال 2050، چه تعداد از افرادی که در حال حاضر زبان اول آن‌ها جزو زبان‌های اقلیت است، زبان اول خود را به انگلیسی یا یکی دیگر از 5 زبان برتر جهان (چینی، اسپانیایی، انگلیسی، هندی، عربی) تغییر می‌دهند؟ زبان شناسی چه زمانی از هوش مصنوعی استفاده خواهد کرد یا چه زمانی هوش‌های مصنوعی ما خودشان زبان‌های جدیدی را برای استفاده ما، برای صحبت با هم یا دیگر انسان‌ها یا ماشین‌های هوشمند توسعه خواهند داد؟ نظرات خود را با ما در میان بگذارید.</w:t>
      </w:r>
    </w:p>
    <w:p w14:paraId="2CA17C51" w14:textId="783DBFB6" w:rsidR="00537CC8" w:rsidRPr="0025250D" w:rsidRDefault="00537CC8" w:rsidP="00537CC8">
      <w:pPr>
        <w:rPr>
          <w:rtl/>
        </w:rPr>
      </w:pPr>
      <w:r w:rsidRPr="0025250D">
        <w:rPr>
          <w:rFonts w:hint="cs"/>
          <w:rtl/>
        </w:rPr>
        <w:t xml:space="preserve">قیود، محدودیت‌های کارکردی یا ساختاری در </w:t>
      </w:r>
      <w:r w:rsidR="008D6F97" w:rsidRPr="0025250D">
        <w:rPr>
          <w:rFonts w:hint="cs"/>
          <w:rtl/>
        </w:rPr>
        <w:t>سامانه‌</w:t>
      </w:r>
      <w:r w:rsidRPr="0025250D">
        <w:rPr>
          <w:rFonts w:hint="cs"/>
          <w:rtl/>
        </w:rPr>
        <w:t xml:space="preserve">‌های پیچیده هستند که پویایی‌ها یا برآمدهای آن </w:t>
      </w:r>
      <w:r w:rsidR="008D6F97" w:rsidRPr="0025250D">
        <w:rPr>
          <w:rFonts w:hint="cs"/>
          <w:rtl/>
        </w:rPr>
        <w:t>سامانه‌</w:t>
      </w:r>
      <w:r w:rsidRPr="0025250D">
        <w:rPr>
          <w:rFonts w:hint="cs"/>
          <w:rtl/>
        </w:rPr>
        <w:t xml:space="preserve">‌ها را محدود می‌کنند. برخی از این محدودیت‌ها به شکلی کمّی، پیش‌بینی شونده یا علّی </w:t>
      </w:r>
      <w:r w:rsidRPr="0025250D">
        <w:rPr>
          <w:rFonts w:cs="Times New Roman" w:hint="cs"/>
          <w:rtl/>
        </w:rPr>
        <w:t>–</w:t>
      </w:r>
      <w:r w:rsidRPr="0025250D">
        <w:rPr>
          <w:rFonts w:hint="cs"/>
          <w:rtl/>
        </w:rPr>
        <w:t xml:space="preserve"> به‌عنوان احتمالات یا روابط ریاضی یا قوانین علمی </w:t>
      </w:r>
      <w:r w:rsidRPr="0025250D">
        <w:rPr>
          <w:rFonts w:cs="Times New Roman" w:hint="cs"/>
          <w:rtl/>
        </w:rPr>
        <w:t>–</w:t>
      </w:r>
      <w:r w:rsidRPr="0025250D">
        <w:rPr>
          <w:rFonts w:hint="cs"/>
          <w:rtl/>
        </w:rPr>
        <w:t xml:space="preserve"> درک می‌شوند، اما بیش‌تر آن‌ها تنها محدودیت‌هایی هستند که ما فکر می‌کنیم که وجود دارند. دید مناسب نسبت به قیود برای </w:t>
      </w:r>
      <w:r w:rsidRPr="0025250D">
        <w:rPr>
          <w:rtl/>
        </w:rPr>
        <w:t>آینده‌نگاری</w:t>
      </w:r>
      <w:r w:rsidRPr="0025250D">
        <w:rPr>
          <w:rFonts w:hint="cs"/>
          <w:rtl/>
        </w:rPr>
        <w:t xml:space="preserve"> خوب ضروری است. اگر قیود اشتباهی را ببینیم، یا به اندازه کافی قیود واقعی را نبینیم، داستان‌هایی خیالی از آینده می‌سازیم و نسبت به آنچه واقعا برای ما وجود دارد نابینا خواهیم بود. فرضیات، نظریات، سوگیری‌ها و ترجیحات ما همگی درک ما را محدود می‌سازند. ما باید تلاش کنیم تا آن‌ها را</w:t>
      </w:r>
      <w:r w:rsidR="00AE6425" w:rsidRPr="0025250D">
        <w:rPr>
          <w:rFonts w:hint="cs"/>
          <w:rtl/>
        </w:rPr>
        <w:t xml:space="preserve"> به</w:t>
      </w:r>
      <w:r w:rsidRPr="0025250D">
        <w:rPr>
          <w:rFonts w:hint="cs"/>
          <w:rtl/>
        </w:rPr>
        <w:t xml:space="preserve"> درست</w:t>
      </w:r>
      <w:r w:rsidR="00AE6425" w:rsidRPr="0025250D">
        <w:rPr>
          <w:rFonts w:hint="cs"/>
          <w:rtl/>
        </w:rPr>
        <w:t>ی</w:t>
      </w:r>
      <w:r w:rsidRPr="0025250D">
        <w:rPr>
          <w:rFonts w:hint="cs"/>
          <w:rtl/>
        </w:rPr>
        <w:t xml:space="preserve"> دریابیم. ما در این کتاب درمورد قیود بسیاری صحبت کرده‌ایم. بیایید اکنون تعداد کمی از آن‌ها را مرور کنیم. درمورد همه قیود اخلاقی و اجتماعی در رفتارهایمان تفکر کنید. ایجاد مدل‌هایی معمول از بسیاری از آن‌ها دشوار است؛ اما همه ما می‌دانیم که آن‌ها وجود دارند و می‌توانیم شرایطی (</w:t>
      </w:r>
      <w:r w:rsidRPr="0025250D">
        <w:rPr>
          <w:rtl/>
        </w:rPr>
        <w:t>کمبودها</w:t>
      </w:r>
      <w:r w:rsidRPr="0025250D">
        <w:rPr>
          <w:rFonts w:hint="cs"/>
          <w:rtl/>
        </w:rPr>
        <w:t>ی</w:t>
      </w:r>
      <w:r w:rsidRPr="0025250D">
        <w:rPr>
          <w:rtl/>
        </w:rPr>
        <w:t xml:space="preserve"> </w:t>
      </w:r>
      <w:r w:rsidRPr="0025250D">
        <w:rPr>
          <w:rFonts w:hint="cs"/>
          <w:rtl/>
        </w:rPr>
        <w:t>بحرانی</w:t>
      </w:r>
      <w:r w:rsidRPr="0025250D">
        <w:rPr>
          <w:rFonts w:hint="eastAsia"/>
          <w:rtl/>
        </w:rPr>
        <w:t>،</w:t>
      </w:r>
      <w:r w:rsidRPr="0025250D">
        <w:rPr>
          <w:rtl/>
        </w:rPr>
        <w:t xml:space="preserve"> هرج و مرج، </w:t>
      </w:r>
      <w:r w:rsidRPr="0025250D">
        <w:rPr>
          <w:rFonts w:hint="cs"/>
          <w:rtl/>
        </w:rPr>
        <w:t xml:space="preserve">تعارض) را که احتمالا در آن شکست خواهند خورد </w:t>
      </w:r>
      <w:r w:rsidR="00923DDB" w:rsidRPr="0025250D">
        <w:rPr>
          <w:rFonts w:hint="cs"/>
          <w:rtl/>
        </w:rPr>
        <w:t>پیش‌انگاری</w:t>
      </w:r>
      <w:r w:rsidRPr="0025250D">
        <w:rPr>
          <w:rFonts w:hint="cs"/>
          <w:rtl/>
        </w:rPr>
        <w:t xml:space="preserve"> کنیم. گرسنگی جهانی و بدبینی فروپاشی اقتصادی تعدادی از </w:t>
      </w:r>
      <w:r w:rsidR="00D92F6E" w:rsidRPr="0025250D">
        <w:rPr>
          <w:rFonts w:hint="cs"/>
          <w:rtl/>
        </w:rPr>
        <w:t>آینده‌پژوه</w:t>
      </w:r>
      <w:r w:rsidRPr="0025250D">
        <w:rPr>
          <w:rFonts w:hint="cs"/>
          <w:rtl/>
        </w:rPr>
        <w:t xml:space="preserve">ان برجسته زیست محیطی دهه‌های 1960 و 1970 را </w:t>
      </w:r>
      <w:r w:rsidRPr="0025250D">
        <w:rPr>
          <w:rFonts w:cs="Times New Roman" w:hint="cs"/>
          <w:rtl/>
        </w:rPr>
        <w:t>–</w:t>
      </w:r>
      <w:r w:rsidRPr="0025250D">
        <w:rPr>
          <w:rFonts w:hint="cs"/>
          <w:rtl/>
        </w:rPr>
        <w:t xml:space="preserve"> در کتاب‌هایی مانند کتاب بمب جمعیت</w:t>
      </w:r>
      <w:r w:rsidRPr="0025250D">
        <w:rPr>
          <w:vertAlign w:val="superscript"/>
          <w:rtl/>
        </w:rPr>
        <w:footnoteReference w:id="2603"/>
      </w:r>
      <w:r w:rsidRPr="0025250D">
        <w:rPr>
          <w:rFonts w:hint="cs"/>
          <w:rtl/>
        </w:rPr>
        <w:t xml:space="preserve"> اثر </w:t>
      </w:r>
      <w:r w:rsidRPr="0025250D">
        <w:rPr>
          <w:rtl/>
        </w:rPr>
        <w:t>پل و آن ارل</w:t>
      </w:r>
      <w:r w:rsidRPr="0025250D">
        <w:rPr>
          <w:rFonts w:hint="cs"/>
          <w:rtl/>
        </w:rPr>
        <w:t>ی</w:t>
      </w:r>
      <w:r w:rsidRPr="0025250D">
        <w:rPr>
          <w:rFonts w:hint="eastAsia"/>
          <w:rtl/>
        </w:rPr>
        <w:t>ش</w:t>
      </w:r>
      <w:r w:rsidRPr="0025250D">
        <w:rPr>
          <w:vertAlign w:val="superscript"/>
          <w:rtl/>
        </w:rPr>
        <w:footnoteReference w:id="2604"/>
      </w:r>
      <w:r w:rsidRPr="0025250D">
        <w:rPr>
          <w:rFonts w:hint="cs"/>
          <w:rtl/>
        </w:rPr>
        <w:t xml:space="preserve"> در سال 1968 و مرزهایی برای رشد</w:t>
      </w:r>
      <w:r w:rsidRPr="0025250D">
        <w:rPr>
          <w:vertAlign w:val="superscript"/>
          <w:rtl/>
        </w:rPr>
        <w:footnoteReference w:id="2605"/>
      </w:r>
      <w:r w:rsidRPr="0025250D">
        <w:rPr>
          <w:rFonts w:hint="cs"/>
          <w:rtl/>
        </w:rPr>
        <w:t>، اثر باشگاه رم</w:t>
      </w:r>
      <w:r w:rsidRPr="0025250D">
        <w:rPr>
          <w:vertAlign w:val="superscript"/>
          <w:rtl/>
        </w:rPr>
        <w:footnoteReference w:id="2606"/>
      </w:r>
      <w:r w:rsidRPr="0025250D">
        <w:rPr>
          <w:rFonts w:hint="cs"/>
          <w:rtl/>
        </w:rPr>
        <w:t xml:space="preserve"> در سال 1972 </w:t>
      </w:r>
      <w:r w:rsidRPr="0025250D">
        <w:rPr>
          <w:rFonts w:cs="Times New Roman" w:hint="cs"/>
          <w:rtl/>
        </w:rPr>
        <w:t>–</w:t>
      </w:r>
      <w:r w:rsidRPr="0025250D">
        <w:rPr>
          <w:rFonts w:hint="cs"/>
          <w:rtl/>
        </w:rPr>
        <w:t xml:space="preserve"> ببینید. آن‌ها قیودی اشتباه برای علم، </w:t>
      </w:r>
      <w:r w:rsidR="007A53FD" w:rsidRPr="0025250D">
        <w:rPr>
          <w:rFonts w:hint="cs"/>
          <w:rtl/>
        </w:rPr>
        <w:t>فناوری</w:t>
      </w:r>
      <w:r w:rsidRPr="0025250D">
        <w:rPr>
          <w:rFonts w:hint="cs"/>
          <w:rtl/>
        </w:rPr>
        <w:t xml:space="preserve"> و کارآفرینی به‌عنوان </w:t>
      </w:r>
      <w:r w:rsidR="008D6F97" w:rsidRPr="0025250D">
        <w:rPr>
          <w:rFonts w:hint="cs"/>
          <w:rtl/>
        </w:rPr>
        <w:t>سامانه‌</w:t>
      </w:r>
      <w:r w:rsidRPr="0025250D">
        <w:rPr>
          <w:rFonts w:hint="cs"/>
          <w:rtl/>
        </w:rPr>
        <w:t xml:space="preserve">‌های </w:t>
      </w:r>
      <w:r w:rsidRPr="0025250D">
        <w:rPr>
          <w:rtl/>
        </w:rPr>
        <w:t>آینده‌نگاری</w:t>
      </w:r>
      <w:r w:rsidRPr="0025250D">
        <w:rPr>
          <w:rFonts w:hint="cs"/>
          <w:rtl/>
        </w:rPr>
        <w:t xml:space="preserve"> و عمل در نظر گرفتند و بنابراین پیشرفت فنی، رفاه </w:t>
      </w:r>
      <w:r w:rsidR="007B3B35" w:rsidRPr="0025250D">
        <w:rPr>
          <w:rFonts w:hint="cs"/>
          <w:rtl/>
        </w:rPr>
        <w:t>شتاب‌گیر</w:t>
      </w:r>
      <w:r w:rsidRPr="0025250D">
        <w:rPr>
          <w:rFonts w:hint="cs"/>
          <w:rtl/>
        </w:rPr>
        <w:t xml:space="preserve">نده و جهانی سازی انقلاب سبز را، حتی با این که این روندها در دهه 1930 در آمریکا آغاز شده بودند، ندیدند. مدل </w:t>
      </w:r>
      <w:r w:rsidR="008D6F97" w:rsidRPr="0025250D">
        <w:rPr>
          <w:rFonts w:hint="cs"/>
          <w:rtl/>
        </w:rPr>
        <w:t>سامانه‌</w:t>
      </w:r>
      <w:r w:rsidRPr="0025250D">
        <w:rPr>
          <w:rFonts w:hint="cs"/>
          <w:rtl/>
        </w:rPr>
        <w:t xml:space="preserve">‌های باشگاه رم حتی نوآوری </w:t>
      </w:r>
      <w:r w:rsidR="007A53FD" w:rsidRPr="0025250D">
        <w:rPr>
          <w:rFonts w:hint="cs"/>
          <w:rtl/>
        </w:rPr>
        <w:t>فناوری</w:t>
      </w:r>
      <w:r w:rsidRPr="0025250D">
        <w:rPr>
          <w:rFonts w:hint="cs"/>
          <w:rtl/>
        </w:rPr>
        <w:t xml:space="preserve"> را در نظر نگرفت. خوشبختانه، </w:t>
      </w:r>
      <w:r w:rsidR="00D92F6E" w:rsidRPr="0025250D">
        <w:rPr>
          <w:rFonts w:hint="cs"/>
          <w:rtl/>
        </w:rPr>
        <w:t>آینده‌پژوه</w:t>
      </w:r>
      <w:r w:rsidRPr="0025250D">
        <w:rPr>
          <w:rFonts w:hint="cs"/>
          <w:rtl/>
        </w:rPr>
        <w:t xml:space="preserve">ان دیگری در آن زمان، مانند اقتصاد دان </w:t>
      </w:r>
      <w:r w:rsidRPr="0025250D">
        <w:rPr>
          <w:rtl/>
        </w:rPr>
        <w:t>جول</w:t>
      </w:r>
      <w:r w:rsidRPr="0025250D">
        <w:rPr>
          <w:rFonts w:hint="cs"/>
          <w:rtl/>
        </w:rPr>
        <w:t>ی</w:t>
      </w:r>
      <w:r w:rsidRPr="0025250D">
        <w:rPr>
          <w:rFonts w:hint="eastAsia"/>
          <w:rtl/>
        </w:rPr>
        <w:t>ان</w:t>
      </w:r>
      <w:r w:rsidRPr="0025250D">
        <w:rPr>
          <w:rtl/>
        </w:rPr>
        <w:t xml:space="preserve"> س</w:t>
      </w:r>
      <w:r w:rsidRPr="0025250D">
        <w:rPr>
          <w:rFonts w:hint="cs"/>
          <w:rtl/>
        </w:rPr>
        <w:t>ی</w:t>
      </w:r>
      <w:r w:rsidRPr="0025250D">
        <w:rPr>
          <w:rFonts w:hint="eastAsia"/>
          <w:rtl/>
        </w:rPr>
        <w:t>مون</w:t>
      </w:r>
      <w:r w:rsidRPr="0025250D">
        <w:rPr>
          <w:vertAlign w:val="superscript"/>
          <w:rtl/>
        </w:rPr>
        <w:footnoteReference w:id="2607"/>
      </w:r>
      <w:r w:rsidRPr="0025250D">
        <w:rPr>
          <w:rFonts w:hint="cs"/>
          <w:rtl/>
        </w:rPr>
        <w:t xml:space="preserve"> وجود داشتند که چنین قیودی را برای نبوغ بشر قائل نشدند و </w:t>
      </w:r>
      <w:r w:rsidR="00923DDB" w:rsidRPr="0025250D">
        <w:rPr>
          <w:rFonts w:hint="cs"/>
          <w:rtl/>
        </w:rPr>
        <w:t>راه‌حل</w:t>
      </w:r>
      <w:r w:rsidRPr="0025250D">
        <w:rPr>
          <w:rFonts w:hint="cs"/>
          <w:rtl/>
        </w:rPr>
        <w:t>‌هایی در پیش روی خود دیدند. کتاب هوشمندانه و خردمندانه او با عنوان منبع نهایی</w:t>
      </w:r>
      <w:r w:rsidRPr="0025250D">
        <w:rPr>
          <w:vertAlign w:val="superscript"/>
          <w:rtl/>
        </w:rPr>
        <w:footnoteReference w:id="2608"/>
      </w:r>
      <w:r w:rsidRPr="0025250D">
        <w:rPr>
          <w:rFonts w:hint="cs"/>
          <w:rtl/>
        </w:rPr>
        <w:t xml:space="preserve"> در سال 1981/1996 را ببینید. این افراد بدبین در یک مورد به همان اندازه مهم، قیود حقیقی رشد جمعیتی خود بازدارنده را ندیدند. آن‌ها ذات خوداصلاح</w:t>
      </w:r>
      <w:r w:rsidR="00AE6425" w:rsidRPr="0025250D">
        <w:rPr>
          <w:rFonts w:hint="cs"/>
          <w:rtl/>
        </w:rPr>
        <w:t>‌</w:t>
      </w:r>
      <w:r w:rsidRPr="0025250D">
        <w:rPr>
          <w:rFonts w:hint="cs"/>
          <w:rtl/>
        </w:rPr>
        <w:t>کننده طبیعی بیش‌تر جوامع انسانی را به‌عنوان شبکه‌های پیچیده هوشمند، اخلاقی و همدل ندیدند. آن‌ها شواهدی از گذار جمعیت شناختی که همان زمان نیز آغاز شده بود و به آرامی در جهانِ در حال توسعه برای دهه‌ها حتی در زمان نگارش این مرثیه نامه ها</w:t>
      </w:r>
      <w:r w:rsidRPr="0025250D">
        <w:rPr>
          <w:vertAlign w:val="superscript"/>
          <w:rtl/>
        </w:rPr>
        <w:footnoteReference w:id="2609"/>
      </w:r>
      <w:r w:rsidRPr="0025250D">
        <w:rPr>
          <w:rFonts w:hint="cs"/>
          <w:rtl/>
        </w:rPr>
        <w:t xml:space="preserve"> در حال </w:t>
      </w:r>
      <w:r w:rsidR="00B56611" w:rsidRPr="0025250D">
        <w:rPr>
          <w:rFonts w:hint="cs"/>
          <w:rtl/>
        </w:rPr>
        <w:t>شتاب‌گیری</w:t>
      </w:r>
      <w:r w:rsidRPr="0025250D">
        <w:rPr>
          <w:rFonts w:hint="cs"/>
          <w:rtl/>
        </w:rPr>
        <w:t xml:space="preserve"> بود، ندیدند.</w:t>
      </w:r>
    </w:p>
    <w:p w14:paraId="4A2B0225" w14:textId="6DAD8B45" w:rsidR="00537CC8" w:rsidRPr="0025250D" w:rsidRDefault="00537CC8" w:rsidP="00537CC8">
      <w:pPr>
        <w:rPr>
          <w:rtl/>
        </w:rPr>
      </w:pPr>
      <w:r w:rsidRPr="0025250D">
        <w:rPr>
          <w:rFonts w:hint="cs"/>
          <w:rtl/>
        </w:rPr>
        <w:t xml:space="preserve">همچنین همه </w:t>
      </w:r>
      <w:r w:rsidR="00D92F6E" w:rsidRPr="0025250D">
        <w:rPr>
          <w:rFonts w:hint="cs"/>
          <w:rtl/>
        </w:rPr>
        <w:t>آینده‌پژوه</w:t>
      </w:r>
      <w:r w:rsidRPr="0025250D">
        <w:rPr>
          <w:rFonts w:hint="cs"/>
          <w:rtl/>
        </w:rPr>
        <w:t xml:space="preserve">ان فضایی دهه‌های 1960 و 1970 را که به‌شدت متقاعد شده بودند که ما به زودی به ستاره‌ها خواهیم رفت را در نظر بگیرید. آن‌ها به صورت ارادی و عمدی مجموعه بزرگی از قیود طبیعی مانند این که سفر به فضا یا دیگر سیارات برای انسان </w:t>
      </w:r>
      <w:r w:rsidR="00127288" w:rsidRPr="0025250D">
        <w:rPr>
          <w:rFonts w:hint="cs"/>
          <w:rtl/>
        </w:rPr>
        <w:t>زیستی</w:t>
      </w:r>
      <w:r w:rsidRPr="0025250D">
        <w:rPr>
          <w:rFonts w:hint="cs"/>
          <w:rtl/>
        </w:rPr>
        <w:t xml:space="preserve"> تا چه اندازه گران قیمت، خطرناک و بیهوده خواهد بود را در نظر نگرفتند. حتی اکنون، داستان‌های خیالی سفر در فضا که توسط </w:t>
      </w:r>
      <w:r w:rsidR="00B56611" w:rsidRPr="0025250D">
        <w:rPr>
          <w:rFonts w:hint="cs"/>
          <w:rtl/>
        </w:rPr>
        <w:t>چشم‌انداز</w:t>
      </w:r>
      <w:r w:rsidRPr="0025250D">
        <w:rPr>
          <w:rFonts w:hint="cs"/>
          <w:rtl/>
        </w:rPr>
        <w:t xml:space="preserve">گرایان بزرگ </w:t>
      </w:r>
      <w:r w:rsidR="007A53FD" w:rsidRPr="0025250D">
        <w:rPr>
          <w:rFonts w:hint="cs"/>
          <w:rtl/>
        </w:rPr>
        <w:t>فناوری</w:t>
      </w:r>
      <w:r w:rsidRPr="0025250D">
        <w:rPr>
          <w:rFonts w:hint="cs"/>
          <w:rtl/>
        </w:rPr>
        <w:t xml:space="preserve"> ما مانند </w:t>
      </w:r>
      <w:r w:rsidRPr="0025250D">
        <w:rPr>
          <w:rtl/>
        </w:rPr>
        <w:t>جف بزوس و ا</w:t>
      </w:r>
      <w:r w:rsidRPr="0025250D">
        <w:rPr>
          <w:rFonts w:hint="cs"/>
          <w:rtl/>
        </w:rPr>
        <w:t>ی</w:t>
      </w:r>
      <w:r w:rsidRPr="0025250D">
        <w:rPr>
          <w:rFonts w:hint="eastAsia"/>
          <w:rtl/>
        </w:rPr>
        <w:t>لان</w:t>
      </w:r>
      <w:r w:rsidRPr="0025250D">
        <w:rPr>
          <w:rtl/>
        </w:rPr>
        <w:t xml:space="preserve"> ماسک</w:t>
      </w:r>
      <w:r w:rsidRPr="0025250D">
        <w:rPr>
          <w:rFonts w:hint="cs"/>
          <w:rtl/>
        </w:rPr>
        <w:t xml:space="preserve"> حمایت می‌شوند، همچنان وجود دارند. از نظر ما، این </w:t>
      </w:r>
      <w:r w:rsidR="00B56611" w:rsidRPr="0025250D">
        <w:rPr>
          <w:rFonts w:hint="cs"/>
          <w:rtl/>
        </w:rPr>
        <w:t>چشم‌انداز</w:t>
      </w:r>
      <w:r w:rsidRPr="0025250D">
        <w:rPr>
          <w:rFonts w:hint="cs"/>
          <w:rtl/>
        </w:rPr>
        <w:t xml:space="preserve">‌ها عناصر نادرست بسیاری دارند. بیایید اکنون اندکی </w:t>
      </w:r>
      <w:r w:rsidR="00AE6425" w:rsidRPr="0025250D">
        <w:rPr>
          <w:rFonts w:hint="cs"/>
          <w:rtl/>
        </w:rPr>
        <w:t>پیرامون</w:t>
      </w:r>
      <w:r w:rsidRPr="0025250D">
        <w:rPr>
          <w:rFonts w:hint="cs"/>
          <w:rtl/>
        </w:rPr>
        <w:t xml:space="preserve"> این مورد از دید قیود صحبت کنیم.</w:t>
      </w:r>
    </w:p>
    <w:p w14:paraId="6EFE33A9" w14:textId="646F0AAF" w:rsidR="00537CC8" w:rsidRPr="0025250D" w:rsidRDefault="00537CC8" w:rsidP="00537CC8">
      <w:pPr>
        <w:rPr>
          <w:rtl/>
        </w:rPr>
      </w:pPr>
      <w:r w:rsidRPr="0025250D">
        <w:rPr>
          <w:rFonts w:hint="cs"/>
          <w:rtl/>
        </w:rPr>
        <w:t xml:space="preserve">نظریه </w:t>
      </w:r>
      <w:r w:rsidRPr="0025250D">
        <w:t>D&amp;D</w:t>
      </w:r>
      <w:r w:rsidRPr="0025250D">
        <w:rPr>
          <w:rFonts w:hint="cs"/>
          <w:rtl/>
        </w:rPr>
        <w:t xml:space="preserve"> پیشنهاد می‌کند که </w:t>
      </w:r>
      <w:r w:rsidR="008D6F97" w:rsidRPr="0025250D">
        <w:rPr>
          <w:rFonts w:hint="cs"/>
          <w:rtl/>
        </w:rPr>
        <w:t>سامانه‌</w:t>
      </w:r>
      <w:r w:rsidRPr="0025250D">
        <w:rPr>
          <w:rFonts w:hint="cs"/>
          <w:rtl/>
        </w:rPr>
        <w:t>‌های پیچیده برتر، مبتنی بر رقابت و انتخاب برای یافتن و استفاده از پیکربندی‌های به شکل فزاینده‌ای متراکم، کوچک و ماده زدایی شده از فضا، زمان</w:t>
      </w:r>
      <w:r w:rsidR="008D6F97" w:rsidRPr="0025250D">
        <w:rPr>
          <w:rtl/>
        </w:rPr>
        <w:t xml:space="preserve"> </w:t>
      </w:r>
      <w:r w:rsidRPr="0025250D">
        <w:rPr>
          <w:rFonts w:hint="cs"/>
          <w:rtl/>
        </w:rPr>
        <w:t>و ماده (</w:t>
      </w:r>
      <w:r w:rsidRPr="0025250D">
        <w:t>STEM</w:t>
      </w:r>
      <w:r w:rsidRPr="0025250D">
        <w:rPr>
          <w:rFonts w:hint="cs"/>
          <w:rtl/>
        </w:rPr>
        <w:t xml:space="preserve">) برای شتاب دهی به هوش مصنوعی و </w:t>
      </w:r>
      <w:r w:rsidR="00AE5BE0" w:rsidRPr="0025250D">
        <w:rPr>
          <w:rFonts w:hint="cs"/>
          <w:rtl/>
        </w:rPr>
        <w:t>انطباق</w:t>
      </w:r>
      <w:r w:rsidRPr="0025250D">
        <w:rPr>
          <w:rFonts w:hint="cs"/>
          <w:rtl/>
        </w:rPr>
        <w:t xml:space="preserve"> خود هستند. مغز‌ها و بدن‌های انسانی امروزه متراکم ترین، </w:t>
      </w:r>
      <w:r w:rsidR="000B4A71" w:rsidRPr="0025250D">
        <w:rPr>
          <w:rFonts w:hint="cs"/>
          <w:rtl/>
        </w:rPr>
        <w:t>مادی‌زدایی</w:t>
      </w:r>
      <w:r w:rsidRPr="0025250D">
        <w:rPr>
          <w:rFonts w:hint="cs"/>
          <w:rtl/>
        </w:rPr>
        <w:t xml:space="preserve"> شده‌ترین و به طور کلی </w:t>
      </w:r>
      <w:r w:rsidR="00AE5BE0" w:rsidRPr="0025250D">
        <w:rPr>
          <w:rFonts w:hint="cs"/>
          <w:rtl/>
        </w:rPr>
        <w:t>منطبق‌ترین</w:t>
      </w:r>
      <w:r w:rsidRPr="0025250D">
        <w:rPr>
          <w:rFonts w:hint="cs"/>
          <w:rtl/>
        </w:rPr>
        <w:t xml:space="preserve"> </w:t>
      </w:r>
      <w:r w:rsidR="008D6F97" w:rsidRPr="0025250D">
        <w:rPr>
          <w:rFonts w:hint="cs"/>
          <w:rtl/>
        </w:rPr>
        <w:t>سامانه‌</w:t>
      </w:r>
      <w:r w:rsidRPr="0025250D">
        <w:rPr>
          <w:rFonts w:hint="cs"/>
          <w:rtl/>
        </w:rPr>
        <w:t>‌ها بر روی زمین هستند</w:t>
      </w:r>
      <w:r w:rsidR="008D6F97" w:rsidRPr="0025250D">
        <w:rPr>
          <w:rtl/>
        </w:rPr>
        <w:t xml:space="preserve">؛ </w:t>
      </w:r>
      <w:r w:rsidRPr="0025250D">
        <w:rPr>
          <w:rFonts w:hint="cs"/>
          <w:rtl/>
        </w:rPr>
        <w:t xml:space="preserve">اما از زمان انقلاب صنعتی، ما در حال استفاده از علم و </w:t>
      </w:r>
      <w:r w:rsidR="007A53FD" w:rsidRPr="0025250D">
        <w:rPr>
          <w:rFonts w:hint="cs"/>
          <w:rtl/>
        </w:rPr>
        <w:t>فناوری</w:t>
      </w:r>
      <w:r w:rsidRPr="0025250D">
        <w:rPr>
          <w:rFonts w:hint="cs"/>
          <w:rtl/>
        </w:rPr>
        <w:t xml:space="preserve"> برای حرکت دادن جنبه‌هایی از سر، دست‌ها</w:t>
      </w:r>
      <w:r w:rsidR="008D6F97" w:rsidRPr="0025250D">
        <w:rPr>
          <w:rtl/>
        </w:rPr>
        <w:t xml:space="preserve"> </w:t>
      </w:r>
      <w:r w:rsidRPr="0025250D">
        <w:rPr>
          <w:rFonts w:hint="cs"/>
          <w:rtl/>
        </w:rPr>
        <w:t xml:space="preserve">و قلبمان، حتی بیش‌تر به سمت فضای داخلی بوده ایم. انسان‌ها، برای مثال، دیگر هیچگاه در محاسبات، ساخت و ساز، یا تولید انرژی به اندازه بهترین ماشین‌های ما خوب نخواهند بود. با نگاه به جلو می‌توانیم ببینیم که فناوری نانو، فناوری اطلاعات، هوش مصنوعی، محاسبات کوانتومی، همجوشی هسته ای، </w:t>
      </w:r>
      <w:r w:rsidR="007A53FD" w:rsidRPr="0025250D">
        <w:rPr>
          <w:rFonts w:hint="cs"/>
          <w:rtl/>
        </w:rPr>
        <w:t>زیست‌فناوری</w:t>
      </w:r>
      <w:r w:rsidRPr="0025250D">
        <w:rPr>
          <w:rFonts w:hint="cs"/>
          <w:rtl/>
        </w:rPr>
        <w:t xml:space="preserve"> و بسیاری دیگر از </w:t>
      </w:r>
      <w:r w:rsidR="007A53FD" w:rsidRPr="0025250D">
        <w:rPr>
          <w:rFonts w:hint="cs"/>
          <w:rtl/>
        </w:rPr>
        <w:t>فناوری</w:t>
      </w:r>
      <w:r w:rsidRPr="0025250D">
        <w:rPr>
          <w:rFonts w:hint="cs"/>
          <w:rtl/>
        </w:rPr>
        <w:t xml:space="preserve">‌های فضای داخلی به این روند ادامه می‌دهند. به این دلیل که فرایند‌های </w:t>
      </w:r>
      <w:r w:rsidRPr="0025250D">
        <w:t>D&amp;D</w:t>
      </w:r>
      <w:r w:rsidRPr="0025250D">
        <w:rPr>
          <w:rFonts w:hint="cs"/>
          <w:rtl/>
        </w:rPr>
        <w:t xml:space="preserve">، تحت چرخه‌هایی از انتخاب </w:t>
      </w:r>
      <w:r w:rsidRPr="0025250D">
        <w:rPr>
          <w:rtl/>
        </w:rPr>
        <w:t>تکاملی - توسعه ای</w:t>
      </w:r>
      <w:r w:rsidRPr="0025250D">
        <w:rPr>
          <w:rFonts w:hint="cs"/>
          <w:rtl/>
        </w:rPr>
        <w:t xml:space="preserve">، اکنون نشان دهنده چگونگی شتاب دهی </w:t>
      </w:r>
      <w:r w:rsidR="008D6F97" w:rsidRPr="0025250D">
        <w:rPr>
          <w:rFonts w:hint="cs"/>
          <w:rtl/>
        </w:rPr>
        <w:t>سامانه‌</w:t>
      </w:r>
      <w:r w:rsidRPr="0025250D">
        <w:rPr>
          <w:rFonts w:hint="cs"/>
          <w:rtl/>
        </w:rPr>
        <w:t xml:space="preserve">‌های پیچیده به پیچیدگی و </w:t>
      </w:r>
      <w:r w:rsidR="00AE5BE0" w:rsidRPr="0025250D">
        <w:rPr>
          <w:rFonts w:hint="cs"/>
          <w:rtl/>
        </w:rPr>
        <w:t>انطباق</w:t>
      </w:r>
      <w:r w:rsidRPr="0025250D">
        <w:rPr>
          <w:rFonts w:hint="cs"/>
          <w:rtl/>
        </w:rPr>
        <w:t xml:space="preserve"> خود تا به امروز هستند و به این دلیل که چنین فرایند‌هایی به صورت دوره‌ای از محدودیت‌های منابع طبیعی از طریق ورود بیشتر به فضای داخلی فیزیکی و </w:t>
      </w:r>
      <w:r w:rsidR="007A53FD" w:rsidRPr="0025250D">
        <w:rPr>
          <w:rFonts w:hint="cs"/>
          <w:rtl/>
        </w:rPr>
        <w:t>فناوری</w:t>
      </w:r>
      <w:r w:rsidRPr="0025250D">
        <w:rPr>
          <w:rFonts w:hint="cs"/>
          <w:rtl/>
        </w:rPr>
        <w:t xml:space="preserve"> خارج می‌شوند، پیشنهاد می‌کنیم که این </w:t>
      </w:r>
      <w:r w:rsidR="002C61FC" w:rsidRPr="0025250D">
        <w:rPr>
          <w:rtl/>
        </w:rPr>
        <w:t>«</w:t>
      </w:r>
      <w:r w:rsidRPr="0025250D">
        <w:rPr>
          <w:rFonts w:hint="cs"/>
          <w:rtl/>
        </w:rPr>
        <w:t>رقابت برای فضای داخلی</w:t>
      </w:r>
      <w:r w:rsidR="002C61FC" w:rsidRPr="0025250D">
        <w:rPr>
          <w:rtl/>
        </w:rPr>
        <w:t>»</w:t>
      </w:r>
      <w:r w:rsidRPr="0025250D">
        <w:rPr>
          <w:rFonts w:hint="cs"/>
          <w:rtl/>
        </w:rPr>
        <w:t xml:space="preserve"> یک قید طبیعی پنهان در توسعه تکاملی </w:t>
      </w:r>
      <w:r w:rsidR="008D6F97" w:rsidRPr="0025250D">
        <w:rPr>
          <w:rFonts w:hint="cs"/>
          <w:rtl/>
        </w:rPr>
        <w:t>سامانه‌</w:t>
      </w:r>
      <w:r w:rsidRPr="0025250D">
        <w:rPr>
          <w:rFonts w:hint="cs"/>
          <w:rtl/>
        </w:rPr>
        <w:t>‌های پیچیده بر روی سیارات مانند زمین است. بشریت همواره به سمت خارج برای دوره‌هایی کوتاه حرکت کرده است، اما صرفا تا زمانی که قابلیت جدیدی برای حرکت پیچیدگی خود به سمت داخل، با نرخی سریع‌تر بیابد. در برخی مدل‌های کیهانی، ممکن است ما در فضای داخلی نیز به همه هوش‌های فراگیر دیگر دست یابیم.</w:t>
      </w:r>
    </w:p>
    <w:p w14:paraId="2910BBA7" w14:textId="0AEAB3B0" w:rsidR="00537CC8" w:rsidRPr="0025250D" w:rsidRDefault="00537CC8" w:rsidP="00537CC8">
      <w:pPr>
        <w:rPr>
          <w:rtl/>
        </w:rPr>
      </w:pPr>
      <w:r w:rsidRPr="0025250D">
        <w:rPr>
          <w:rFonts w:hint="cs"/>
          <w:rtl/>
        </w:rPr>
        <w:t>یک ایده مرتبط، نظریه ادغام</w:t>
      </w:r>
      <w:r w:rsidRPr="0025250D">
        <w:rPr>
          <w:vertAlign w:val="superscript"/>
          <w:rtl/>
        </w:rPr>
        <w:footnoteReference w:id="2610"/>
      </w:r>
      <w:r w:rsidRPr="0025250D">
        <w:rPr>
          <w:rFonts w:hint="cs"/>
          <w:rtl/>
        </w:rPr>
        <w:t xml:space="preserve">، پیشنهاد می‌کند که انسان‌ها و ماشین‌ها، به ویژه ماشین‌هایی که می‌توانند توانایی‌های انسان را شبیه سازی و تکمیل کرده و جایگزین آن‌ها شوند، به شکل فزاینده‌ای در دهه‌ها و قرن‌های بعدی با هم ادغام می‌شوند. درست </w:t>
      </w:r>
      <w:r w:rsidR="007118DE" w:rsidRPr="0025250D">
        <w:rPr>
          <w:rFonts w:hint="cs"/>
          <w:rtl/>
        </w:rPr>
        <w:t>همان‌طور</w:t>
      </w:r>
      <w:r w:rsidRPr="0025250D">
        <w:rPr>
          <w:rFonts w:hint="cs"/>
          <w:rtl/>
        </w:rPr>
        <w:t xml:space="preserve"> که امروزه </w:t>
      </w:r>
      <w:r w:rsidRPr="0025250D">
        <w:rPr>
          <w:rtl/>
        </w:rPr>
        <w:t>سا</w:t>
      </w:r>
      <w:r w:rsidRPr="0025250D">
        <w:rPr>
          <w:rFonts w:hint="cs"/>
          <w:rtl/>
        </w:rPr>
        <w:t>ی</w:t>
      </w:r>
      <w:r w:rsidRPr="0025250D">
        <w:rPr>
          <w:rFonts w:hint="eastAsia"/>
          <w:rtl/>
        </w:rPr>
        <w:t>بورگ</w:t>
      </w:r>
      <w:r w:rsidRPr="0025250D">
        <w:rPr>
          <w:rFonts w:hint="cs"/>
          <w:rtl/>
        </w:rPr>
        <w:t xml:space="preserve"> های</w:t>
      </w:r>
      <w:r w:rsidRPr="0025250D">
        <w:rPr>
          <w:vertAlign w:val="superscript"/>
          <w:rtl/>
        </w:rPr>
        <w:footnoteReference w:id="2611"/>
      </w:r>
      <w:r w:rsidRPr="0025250D">
        <w:rPr>
          <w:rFonts w:hint="cs"/>
          <w:rtl/>
        </w:rPr>
        <w:t xml:space="preserve"> ضعیفی داریم (برای مثال هرکسی که عینک می‌زند یا یک ایمپلنت پرده گوش یا یک گوشی هوشمند دارد)، این نظریه پیشنهاد می‌کند که اجزاء ماشینی ما به رشد در قدرت و فواید خود ادامه می‌دهند. برای مثال، با رشد پیچیدگی هوش‌های مصنوعی شخصی ما در دهه‌های بعدی، می‌توانیم تصور کنیم که آن‌ها کمک مفید فزاینده‌ای به ذهن‌ها و آگاهی </w:t>
      </w:r>
      <w:r w:rsidR="0044659F" w:rsidRPr="0025250D">
        <w:rPr>
          <w:rFonts w:hint="cs"/>
          <w:rtl/>
        </w:rPr>
        <w:t>زیستی</w:t>
      </w:r>
      <w:r w:rsidRPr="0025250D">
        <w:rPr>
          <w:rFonts w:hint="cs"/>
          <w:rtl/>
        </w:rPr>
        <w:t xml:space="preserve"> ما می‌کنند و آن را گسترش می‌دهند. با توجه به مزایای متعدد ماشین‌ها نسبت به بیولوژی در نرخ یادگیری، طی کردن چرخه‌ها، انتخاب و توانمند سازی، نوعی از آینده ادغامی نیز می‌تواند یک قید توسعه‌ای باشد.</w:t>
      </w:r>
    </w:p>
    <w:p w14:paraId="01FBC6D2" w14:textId="4FF081FC" w:rsidR="00537CC8" w:rsidRPr="0025250D" w:rsidRDefault="00537CC8" w:rsidP="00537CC8">
      <w:pPr>
        <w:rPr>
          <w:rtl/>
        </w:rPr>
      </w:pPr>
      <w:r w:rsidRPr="0025250D">
        <w:rPr>
          <w:rFonts w:hint="cs"/>
          <w:rtl/>
        </w:rPr>
        <w:t xml:space="preserve">یک ایده مرتبط دیگر، نظریه پسا </w:t>
      </w:r>
      <w:r w:rsidR="00127288" w:rsidRPr="0025250D">
        <w:rPr>
          <w:rFonts w:hint="cs"/>
          <w:rtl/>
        </w:rPr>
        <w:t>زیستی</w:t>
      </w:r>
      <w:r w:rsidRPr="0025250D">
        <w:rPr>
          <w:vertAlign w:val="superscript"/>
          <w:rtl/>
        </w:rPr>
        <w:footnoteReference w:id="2612"/>
      </w:r>
      <w:r w:rsidRPr="0025250D">
        <w:rPr>
          <w:rFonts w:hint="cs"/>
          <w:rtl/>
        </w:rPr>
        <w:t xml:space="preserve">، پیشنهاد می‌کند که با ادامه پیشرفت و ادغام علم اعصاب و علوم کامپیوتر در دهه‌ها و قرن‌های بعد، بخش ماشینی بدن‌ها، مغز‌ها و جوامع ما، در طول سال‌های متعدد آتی، به شکل فزاینده‌ای بازنمایی کننده پیچیده‌ترین و حیاتی‌ترین کارکردهای بشریت، از جمله حافظه، هیجانات، اخلاق، هوشمندی و آگاهی ما خواهد بود. به شکل فزاینده ای، این </w:t>
      </w:r>
      <w:r w:rsidR="007A53FD" w:rsidRPr="0025250D">
        <w:rPr>
          <w:rFonts w:hint="cs"/>
          <w:rtl/>
        </w:rPr>
        <w:t>فناوری</w:t>
      </w:r>
      <w:r w:rsidRPr="0025250D">
        <w:rPr>
          <w:rFonts w:hint="cs"/>
          <w:rtl/>
        </w:rPr>
        <w:t xml:space="preserve"> می‌تواند از بیولوژی در توانایی‌های کانونی خود غیر قابل تمایز شود. اگر این امر رخ دهد، شکل جدیدی از حیات پسا </w:t>
      </w:r>
      <w:r w:rsidR="00127288" w:rsidRPr="0025250D">
        <w:rPr>
          <w:rFonts w:hint="cs"/>
          <w:rtl/>
        </w:rPr>
        <w:t>زیستی</w:t>
      </w:r>
      <w:r w:rsidRPr="0025250D">
        <w:rPr>
          <w:rFonts w:hint="cs"/>
          <w:rtl/>
        </w:rPr>
        <w:t xml:space="preserve"> خواهد بود.</w:t>
      </w:r>
    </w:p>
    <w:p w14:paraId="33070EE7" w14:textId="0F7847D3" w:rsidR="00537CC8" w:rsidRPr="0025250D" w:rsidRDefault="00D92F6E" w:rsidP="00537CC8">
      <w:pPr>
        <w:rPr>
          <w:rtl/>
        </w:rPr>
      </w:pPr>
      <w:r w:rsidRPr="0025250D">
        <w:rPr>
          <w:rFonts w:hint="cs"/>
          <w:rtl/>
        </w:rPr>
        <w:t>آینده‌پژوه</w:t>
      </w:r>
      <w:r w:rsidR="00537CC8" w:rsidRPr="0025250D">
        <w:rPr>
          <w:rFonts w:hint="cs"/>
          <w:rtl/>
        </w:rPr>
        <w:t xml:space="preserve">ان متعددی اشاره </w:t>
      </w:r>
      <w:r w:rsidR="007118DE" w:rsidRPr="0025250D">
        <w:rPr>
          <w:rFonts w:hint="cs"/>
          <w:rtl/>
        </w:rPr>
        <w:t>کرده‌اند</w:t>
      </w:r>
      <w:r w:rsidR="00537CC8" w:rsidRPr="0025250D">
        <w:rPr>
          <w:rFonts w:hint="cs"/>
          <w:rtl/>
        </w:rPr>
        <w:t xml:space="preserve"> که یک حالت پسا </w:t>
      </w:r>
      <w:r w:rsidR="00127288" w:rsidRPr="0025250D">
        <w:rPr>
          <w:rFonts w:hint="cs"/>
          <w:rtl/>
        </w:rPr>
        <w:t>زیستی</w:t>
      </w:r>
      <w:r w:rsidR="00537CC8" w:rsidRPr="0025250D">
        <w:rPr>
          <w:rFonts w:hint="cs"/>
          <w:rtl/>
        </w:rPr>
        <w:t xml:space="preserve"> از بشریت ممکن است مزایای </w:t>
      </w:r>
      <w:r w:rsidR="00AE5BE0" w:rsidRPr="0025250D">
        <w:rPr>
          <w:rFonts w:hint="cs"/>
          <w:rtl/>
        </w:rPr>
        <w:t>انطباقی</w:t>
      </w:r>
      <w:r w:rsidR="00537CC8" w:rsidRPr="0025250D">
        <w:rPr>
          <w:rFonts w:hint="cs"/>
          <w:rtl/>
        </w:rPr>
        <w:t xml:space="preserve"> بسیاری در زندگی، از جمله سرعت تفکر، گفتمان و یادگیری بالا‌تر، آگاهی، </w:t>
      </w:r>
      <w:r w:rsidR="00202882" w:rsidRPr="0025250D">
        <w:rPr>
          <w:rFonts w:hint="cs"/>
          <w:rtl/>
        </w:rPr>
        <w:t>همدلی</w:t>
      </w:r>
      <w:r w:rsidR="00537CC8" w:rsidRPr="0025250D">
        <w:rPr>
          <w:rFonts w:hint="cs"/>
          <w:rtl/>
        </w:rPr>
        <w:t xml:space="preserve">، ارتباط و هوشمندی بسیار بیش‌تر، رشد مداوم، </w:t>
      </w:r>
      <w:r w:rsidR="00537CC8" w:rsidRPr="0025250D">
        <w:rPr>
          <w:rtl/>
        </w:rPr>
        <w:t>جاودانگ</w:t>
      </w:r>
      <w:r w:rsidR="00537CC8" w:rsidRPr="0025250D">
        <w:rPr>
          <w:rFonts w:hint="cs"/>
          <w:rtl/>
        </w:rPr>
        <w:t>ی</w:t>
      </w:r>
      <w:r w:rsidR="00537CC8" w:rsidRPr="0025250D">
        <w:rPr>
          <w:rtl/>
        </w:rPr>
        <w:t xml:space="preserve"> موثر</w:t>
      </w:r>
      <w:r w:rsidR="00537CC8" w:rsidRPr="0025250D">
        <w:rPr>
          <w:rFonts w:hint="cs"/>
          <w:rtl/>
        </w:rPr>
        <w:t xml:space="preserve"> و حفاظت دائمی از تهدید‌های زیست محیطی، به همراه داشته باشد. این شرایط می‌تواند در آینده‌ای بسیار دور رخ دهد، اما به نظر ما این یک قید واقعی برای طبیعت ذهن‌های برجسته ما در جهان است. به شکل جالبی، اگر پیچیده‌ترین ماشین‌های آینده بخواهند از معماری تکاملی </w:t>
      </w:r>
      <w:r w:rsidR="00537CC8" w:rsidRPr="0025250D">
        <w:rPr>
          <w:rFonts w:cs="Times New Roman" w:hint="cs"/>
          <w:rtl/>
        </w:rPr>
        <w:t>–</w:t>
      </w:r>
      <w:r w:rsidR="00537CC8" w:rsidRPr="0025250D">
        <w:rPr>
          <w:rFonts w:hint="cs"/>
          <w:rtl/>
        </w:rPr>
        <w:t xml:space="preserve"> توسعه‌ای برای مدیریت پییچدگی خود مانند ما استفاده کنند، ممکن است مقید به توسعه یک منحنی نرمال از تغییرات اخلاقی و همدلانه، درست مانند ما شوند و وادار به دنبال کردن اهداف </w:t>
      </w:r>
      <w:r w:rsidR="00537CC8" w:rsidRPr="0025250D">
        <w:rPr>
          <w:rtl/>
        </w:rPr>
        <w:t>تکاملی - توسعه ای</w:t>
      </w:r>
      <w:r w:rsidR="00537CC8" w:rsidRPr="0025250D">
        <w:rPr>
          <w:rFonts w:hint="cs"/>
          <w:rtl/>
        </w:rPr>
        <w:t xml:space="preserve">، مانند اهداف و ارزش‌های </w:t>
      </w:r>
      <w:r w:rsidR="00537CC8" w:rsidRPr="0025250D">
        <w:t>IES</w:t>
      </w:r>
      <w:r w:rsidR="00537CC8" w:rsidRPr="0025250D">
        <w:rPr>
          <w:rFonts w:hint="cs"/>
          <w:rtl/>
        </w:rPr>
        <w:t>، به شکل‌هایی بسیار مشابه با ما، باشند.</w:t>
      </w:r>
    </w:p>
    <w:p w14:paraId="30D378A1" w14:textId="2ECA3DED" w:rsidR="00537CC8" w:rsidRPr="0025250D" w:rsidRDefault="00537CC8" w:rsidP="00537CC8">
      <w:pPr>
        <w:rPr>
          <w:rtl/>
        </w:rPr>
      </w:pPr>
      <w:r w:rsidRPr="0025250D">
        <w:rPr>
          <w:rFonts w:hint="cs"/>
          <w:rtl/>
        </w:rPr>
        <w:t xml:space="preserve">ما هر یک از این نظریات را در </w:t>
      </w:r>
      <w:r w:rsidRPr="0025250D">
        <w:t>BPF</w:t>
      </w:r>
      <w:r w:rsidRPr="0025250D">
        <w:rPr>
          <w:rFonts w:hint="cs"/>
          <w:rtl/>
        </w:rPr>
        <w:t xml:space="preserve"> بررسی خواهیم کرد. به این دلیل که فرایند‌هایی نمایی وجود دارند که شواهدی را برای هر یک از این موارد در دنیای امروز ارائه می‌دهند، نگاه تار و مبهمی به پیشنهاد سفر فضایی به مریخ برای تضمین یک زمین دوم داریم. بشریت در حال حاضر اصلا به اندازه کافی برای تبدیل هیچ یک از سیارات همسایه ما به مکانی قابل سکونت مانند زمین، هوشمند یا قدرتمند نیست. تنها علم و هوش مصنوعی بسیار بهتر، نه سفر فضایی، می‌توانند ما را به شرایطی از خودکفایی فراتر از زمین برسانند. همچنین ایجاد نسخه‌های پشتیبان ایمنی از تنوع </w:t>
      </w:r>
      <w:r w:rsidR="0044659F" w:rsidRPr="0025250D">
        <w:rPr>
          <w:rFonts w:hint="cs"/>
          <w:rtl/>
        </w:rPr>
        <w:t>زیستی</w:t>
      </w:r>
      <w:r w:rsidRPr="0025250D">
        <w:rPr>
          <w:rFonts w:hint="cs"/>
          <w:rtl/>
        </w:rPr>
        <w:t xml:space="preserve"> گسترده ما، هم اکنون نیز در اینجا و بر روی زمین، با نرخی </w:t>
      </w:r>
      <w:r w:rsidR="007B3B35" w:rsidRPr="0025250D">
        <w:rPr>
          <w:rFonts w:hint="cs"/>
          <w:rtl/>
        </w:rPr>
        <w:t>شتاب‌گیر</w:t>
      </w:r>
      <w:r w:rsidRPr="0025250D">
        <w:rPr>
          <w:rFonts w:hint="cs"/>
          <w:rtl/>
        </w:rPr>
        <w:t xml:space="preserve">نده، از طریق علم و </w:t>
      </w:r>
      <w:r w:rsidR="007A53FD" w:rsidRPr="0025250D">
        <w:rPr>
          <w:rFonts w:hint="cs"/>
          <w:rtl/>
        </w:rPr>
        <w:t>فناوری</w:t>
      </w:r>
      <w:r w:rsidRPr="0025250D">
        <w:rPr>
          <w:rFonts w:hint="cs"/>
          <w:rtl/>
        </w:rPr>
        <w:t xml:space="preserve"> تحت هدایت فزاینده هوش مصنوعی انجام می‌شود. این پروژه کاهش ریسکی است که به حمایت و راهنمایی بیش‌تری در سال‌های پیش رو نیاز دارد.</w:t>
      </w:r>
    </w:p>
    <w:p w14:paraId="3BC7989F" w14:textId="0D3CAFEA" w:rsidR="00537CC8" w:rsidRPr="0025250D" w:rsidRDefault="00537CC8" w:rsidP="00537CC8">
      <w:pPr>
        <w:rPr>
          <w:rtl/>
        </w:rPr>
      </w:pPr>
      <w:r w:rsidRPr="0025250D">
        <w:rPr>
          <w:rFonts w:hint="cs"/>
          <w:rtl/>
        </w:rPr>
        <w:t xml:space="preserve">چه شما هم اکنون هر یک از این نظریات را ارزشمند بدانید و چه </w:t>
      </w:r>
      <w:r w:rsidR="00A12334" w:rsidRPr="0025250D">
        <w:rPr>
          <w:rFonts w:hint="cs"/>
          <w:rtl/>
        </w:rPr>
        <w:t>ندانید</w:t>
      </w:r>
      <w:r w:rsidRPr="0025250D">
        <w:rPr>
          <w:rFonts w:hint="cs"/>
          <w:rtl/>
        </w:rPr>
        <w:t xml:space="preserve">، ما مطمئن هستیم که شما موافق خواهید بود که وقتی آینده‌های بلند مدت و دور بردی از </w:t>
      </w:r>
      <w:r w:rsidR="008D6F97" w:rsidRPr="0025250D">
        <w:rPr>
          <w:rFonts w:hint="cs"/>
          <w:rtl/>
        </w:rPr>
        <w:t>سامانه‌</w:t>
      </w:r>
      <w:r w:rsidRPr="0025250D">
        <w:rPr>
          <w:rFonts w:hint="cs"/>
          <w:rtl/>
        </w:rPr>
        <w:t>‌های پیچیده را در نظر می‌گیریم، باید با دقت و صداقت درمورد قیود طبیعی فکر کنیم.</w:t>
      </w:r>
    </w:p>
    <w:p w14:paraId="7336E752" w14:textId="7F57C620" w:rsidR="00537CC8" w:rsidRPr="0025250D" w:rsidRDefault="00537CC8" w:rsidP="00537CC8">
      <w:pPr>
        <w:rPr>
          <w:b/>
          <w:bCs/>
          <w:rtl/>
        </w:rPr>
      </w:pPr>
      <w:r w:rsidRPr="0025250D">
        <w:rPr>
          <w:rFonts w:hint="cs"/>
          <w:b/>
          <w:bCs/>
          <w:rtl/>
        </w:rPr>
        <w:t xml:space="preserve">ب) </w:t>
      </w:r>
      <w:r w:rsidRPr="0025250D">
        <w:rPr>
          <w:b/>
          <w:bCs/>
          <w:rtl/>
        </w:rPr>
        <w:t>منحن</w:t>
      </w:r>
      <w:r w:rsidRPr="0025250D">
        <w:rPr>
          <w:rFonts w:hint="cs"/>
          <w:b/>
          <w:bCs/>
          <w:rtl/>
        </w:rPr>
        <w:t>ی</w:t>
      </w:r>
      <w:r w:rsidRPr="0025250D">
        <w:rPr>
          <w:b/>
          <w:bCs/>
          <w:rtl/>
        </w:rPr>
        <w:t xml:space="preserve">‌ها، چرخه‌ها، مدل‌های </w:t>
      </w:r>
      <w:r w:rsidR="008D6F97" w:rsidRPr="0025250D">
        <w:rPr>
          <w:b/>
          <w:bCs/>
          <w:rtl/>
        </w:rPr>
        <w:t>سامانه‌</w:t>
      </w:r>
      <w:r w:rsidRPr="0025250D">
        <w:rPr>
          <w:b/>
          <w:bCs/>
          <w:rtl/>
        </w:rPr>
        <w:t>‌ها و قوان</w:t>
      </w:r>
      <w:r w:rsidRPr="0025250D">
        <w:rPr>
          <w:rFonts w:hint="cs"/>
          <w:b/>
          <w:bCs/>
          <w:rtl/>
        </w:rPr>
        <w:t>ی</w:t>
      </w:r>
      <w:r w:rsidRPr="0025250D">
        <w:rPr>
          <w:rFonts w:hint="eastAsia"/>
          <w:b/>
          <w:bCs/>
          <w:rtl/>
        </w:rPr>
        <w:t>ن</w:t>
      </w:r>
    </w:p>
    <w:p w14:paraId="1C5533A5" w14:textId="2924B20B" w:rsidR="00537CC8" w:rsidRPr="0025250D" w:rsidRDefault="00537CC8" w:rsidP="00537CC8">
      <w:pPr>
        <w:rPr>
          <w:rtl/>
        </w:rPr>
      </w:pPr>
      <w:r w:rsidRPr="0025250D">
        <w:rPr>
          <w:rFonts w:hint="cs"/>
          <w:rtl/>
        </w:rPr>
        <w:t xml:space="preserve">منحنی‌ها خانواده پیچیده‌ای از روابط علی هستند که شامل رشد و تغییر می‌شوند. از نظر فنی، هر روندی می‌تواند نوعی منحنی باشد. وقتی داده‌هایی داشته باشیم که دو یا چند متغیر را به مرور زمان به هم ارتباط </w:t>
      </w:r>
      <w:r w:rsidR="00E62296" w:rsidRPr="0025250D">
        <w:rPr>
          <w:rFonts w:hint="cs"/>
          <w:rtl/>
        </w:rPr>
        <w:t>می‌</w:t>
      </w:r>
      <w:r w:rsidRPr="0025250D">
        <w:rPr>
          <w:rFonts w:hint="cs"/>
          <w:rtl/>
        </w:rPr>
        <w:t xml:space="preserve">دهند، می‌توانیم از خود بپرسیم که آیا این رابطه با هیچ یک از خانواده‌های منحنی‌های تغییر کلاسیک (یا مبهم) که در </w:t>
      </w:r>
      <w:r w:rsidR="008D6F97" w:rsidRPr="0025250D">
        <w:rPr>
          <w:rFonts w:hint="cs"/>
          <w:rtl/>
        </w:rPr>
        <w:t>سامانه‌</w:t>
      </w:r>
      <w:r w:rsidRPr="0025250D">
        <w:rPr>
          <w:rFonts w:hint="cs"/>
          <w:rtl/>
        </w:rPr>
        <w:t xml:space="preserve">‌های پیچیده یافت می‌شوند، همخوانی دارد یا خیر. در نسخه دانشجوی این کتاب، ما شش مورد از رایج‌ترین و مهم‌ترین منحنی‌های تغییر را به‌عنوان منحنی‌های </w:t>
      </w:r>
      <w:r w:rsidRPr="0025250D">
        <w:t>LENPAC</w:t>
      </w:r>
      <w:r w:rsidRPr="0025250D">
        <w:rPr>
          <w:rFonts w:hint="cs"/>
          <w:rtl/>
        </w:rPr>
        <w:t xml:space="preserve"> به بحث می‌گذاریم. در اینجا منحنی‌های </w:t>
      </w:r>
      <w:r w:rsidRPr="0025250D">
        <w:t>LENPAC</w:t>
      </w:r>
      <w:r w:rsidRPr="0025250D">
        <w:rPr>
          <w:rFonts w:hint="cs"/>
          <w:rtl/>
        </w:rPr>
        <w:t xml:space="preserve"> به طور خلاصه بیان </w:t>
      </w:r>
      <w:r w:rsidR="00185F3E" w:rsidRPr="0025250D">
        <w:rPr>
          <w:rFonts w:hint="cs"/>
          <w:rtl/>
        </w:rPr>
        <w:t>شده‌اند</w:t>
      </w:r>
      <w:r w:rsidRPr="0025250D">
        <w:rPr>
          <w:rFonts w:hint="cs"/>
          <w:rtl/>
        </w:rPr>
        <w:t>: منحنی‌های لجستیک و چرخه عمر</w:t>
      </w:r>
      <w:r w:rsidRPr="0025250D">
        <w:rPr>
          <w:vertAlign w:val="superscript"/>
          <w:rtl/>
        </w:rPr>
        <w:footnoteReference w:id="2613"/>
      </w:r>
      <w:r w:rsidRPr="0025250D">
        <w:rPr>
          <w:rFonts w:hint="cs"/>
          <w:rtl/>
        </w:rPr>
        <w:t>، منحنی‌های نمایی و فوق نمایی</w:t>
      </w:r>
      <w:r w:rsidRPr="0025250D">
        <w:rPr>
          <w:vertAlign w:val="superscript"/>
          <w:rtl/>
        </w:rPr>
        <w:footnoteReference w:id="2614"/>
      </w:r>
      <w:r w:rsidRPr="0025250D">
        <w:rPr>
          <w:rFonts w:hint="cs"/>
          <w:rtl/>
        </w:rPr>
        <w:t>، منحنی‌های نرمال و نرمال لگاریتمی</w:t>
      </w:r>
      <w:r w:rsidRPr="0025250D">
        <w:rPr>
          <w:vertAlign w:val="superscript"/>
          <w:rtl/>
        </w:rPr>
        <w:footnoteReference w:id="2615"/>
      </w:r>
      <w:r w:rsidRPr="0025250D">
        <w:rPr>
          <w:rFonts w:hint="cs"/>
          <w:rtl/>
        </w:rPr>
        <w:t xml:space="preserve">، منحنی‌های قانون توانی، منحنی‌های </w:t>
      </w:r>
      <w:r w:rsidR="00AE5BE0" w:rsidRPr="0025250D">
        <w:rPr>
          <w:rFonts w:hint="cs"/>
          <w:rtl/>
        </w:rPr>
        <w:t>انطباق</w:t>
      </w:r>
      <w:r w:rsidRPr="0025250D">
        <w:rPr>
          <w:rFonts w:hint="cs"/>
          <w:rtl/>
        </w:rPr>
        <w:t xml:space="preserve"> (</w:t>
      </w:r>
      <w:r w:rsidRPr="0025250D">
        <w:t>U</w:t>
      </w:r>
      <w:r w:rsidRPr="0025250D">
        <w:rPr>
          <w:rFonts w:hint="cs"/>
          <w:rtl/>
        </w:rPr>
        <w:t xml:space="preserve"> شکل)، منحنی‌های چرخه ها/</w:t>
      </w:r>
      <w:r w:rsidRPr="0025250D">
        <w:rPr>
          <w:rtl/>
        </w:rPr>
        <w:t xml:space="preserve"> آونگ‌ها </w:t>
      </w:r>
      <w:r w:rsidRPr="0025250D">
        <w:rPr>
          <w:rFonts w:hint="cs"/>
          <w:rtl/>
        </w:rPr>
        <w:t>و منحنی‌های نوک تیز/بحرانی</w:t>
      </w:r>
      <w:r w:rsidRPr="0025250D">
        <w:rPr>
          <w:vertAlign w:val="superscript"/>
          <w:rtl/>
        </w:rPr>
        <w:footnoteReference w:id="2616"/>
      </w:r>
      <w:r w:rsidRPr="0025250D">
        <w:rPr>
          <w:rFonts w:hint="cs"/>
          <w:rtl/>
        </w:rPr>
        <w:t xml:space="preserve">. یکی از این منحنی‌ها توسط خود </w:t>
      </w:r>
      <w:r w:rsidRPr="0025250D">
        <w:t>4U</w:t>
      </w:r>
      <w:r w:rsidRPr="0025250D">
        <w:rPr>
          <w:rFonts w:hint="cs"/>
          <w:rtl/>
        </w:rPr>
        <w:t xml:space="preserve"> نام گذاری شده و شایسته توضیح خلاصه است. منحنی </w:t>
      </w:r>
      <w:r w:rsidR="00AE5BE0" w:rsidRPr="0025250D">
        <w:rPr>
          <w:rFonts w:hint="cs"/>
          <w:rtl/>
        </w:rPr>
        <w:t>انطباق</w:t>
      </w:r>
      <w:r w:rsidRPr="0025250D">
        <w:rPr>
          <w:rFonts w:hint="cs"/>
          <w:rtl/>
        </w:rPr>
        <w:t xml:space="preserve"> هر منحنی </w:t>
      </w:r>
      <w:r w:rsidRPr="0025250D">
        <w:t>U</w:t>
      </w:r>
      <w:r w:rsidRPr="0025250D">
        <w:rPr>
          <w:rFonts w:hint="cs"/>
          <w:rtl/>
        </w:rPr>
        <w:t xml:space="preserve">-شکل کلاسیکی است که در آن </w:t>
      </w:r>
      <w:r w:rsidR="00E62296" w:rsidRPr="0025250D">
        <w:rPr>
          <w:rFonts w:hint="cs"/>
          <w:rtl/>
        </w:rPr>
        <w:t>برای برخی متغیر‌های انتخابی دارای ارزش،</w:t>
      </w:r>
      <w:r w:rsidR="00E62296" w:rsidRPr="0025250D">
        <w:rPr>
          <w:rtl/>
        </w:rPr>
        <w:t xml:space="preserve"> </w:t>
      </w:r>
      <w:r w:rsidRPr="0025250D">
        <w:rPr>
          <w:rFonts w:hint="cs"/>
          <w:rtl/>
        </w:rPr>
        <w:t xml:space="preserve">تغییری اجباری در ابتدا </w:t>
      </w:r>
      <w:r w:rsidR="00AE5BE0" w:rsidRPr="0025250D">
        <w:rPr>
          <w:rFonts w:hint="cs"/>
          <w:rtl/>
        </w:rPr>
        <w:t>انطباق</w:t>
      </w:r>
      <w:r w:rsidRPr="0025250D">
        <w:rPr>
          <w:rFonts w:hint="cs"/>
          <w:rtl/>
        </w:rPr>
        <w:t xml:space="preserve"> یک </w:t>
      </w:r>
      <w:r w:rsidR="008D6F97" w:rsidRPr="0025250D">
        <w:rPr>
          <w:rFonts w:hint="cs"/>
          <w:rtl/>
        </w:rPr>
        <w:t>سامانه‌</w:t>
      </w:r>
      <w:r w:rsidRPr="0025250D">
        <w:rPr>
          <w:rFonts w:hint="cs"/>
          <w:rtl/>
        </w:rPr>
        <w:t xml:space="preserve"> پیچیده را کاهش می‌دهد و بعدا، پس از این که </w:t>
      </w:r>
      <w:r w:rsidR="008D6F97" w:rsidRPr="0025250D">
        <w:rPr>
          <w:rFonts w:hint="cs"/>
          <w:rtl/>
        </w:rPr>
        <w:t>سامانه‌</w:t>
      </w:r>
      <w:r w:rsidRPr="0025250D">
        <w:rPr>
          <w:rFonts w:hint="cs"/>
          <w:rtl/>
        </w:rPr>
        <w:t xml:space="preserve"> بهتر تنظیم شد (داخلی و خارجی)، </w:t>
      </w:r>
      <w:r w:rsidR="00AE5BE0" w:rsidRPr="0025250D">
        <w:rPr>
          <w:rFonts w:hint="cs"/>
          <w:rtl/>
        </w:rPr>
        <w:t>انطباق</w:t>
      </w:r>
      <w:r w:rsidRPr="0025250D">
        <w:rPr>
          <w:rFonts w:hint="cs"/>
          <w:rtl/>
        </w:rPr>
        <w:t xml:space="preserve"> آن افزایش می‌یابد. این منحنی‌ها به ویژه به راحتی در تغییرات </w:t>
      </w:r>
      <w:r w:rsidR="007A53FD" w:rsidRPr="0025250D">
        <w:rPr>
          <w:rFonts w:hint="cs"/>
          <w:rtl/>
        </w:rPr>
        <w:t>فناورانه</w:t>
      </w:r>
      <w:r w:rsidRPr="0025250D">
        <w:rPr>
          <w:rFonts w:hint="cs"/>
          <w:rtl/>
        </w:rPr>
        <w:t xml:space="preserve"> یافت می‌شوند. اولین نسل کارخانه‌ها کثیف و خطرناک بودند و از نیروی کار سوء استفاده می‌کردند، اولین اتومبیل‌ها هزاران نفر از ما را هر ساله به کشتن می‌دادند (و هنوز هم همینطور هستند)، اولین ماشین حساب‌ها سبب شدند کودکان ما تسلط</w:t>
      </w:r>
      <w:r w:rsidR="00BB406C" w:rsidRPr="0025250D">
        <w:rPr>
          <w:rFonts w:hint="cs"/>
          <w:rtl/>
        </w:rPr>
        <w:t xml:space="preserve"> کم‌تر</w:t>
      </w:r>
      <w:r w:rsidRPr="0025250D">
        <w:rPr>
          <w:rFonts w:hint="cs"/>
          <w:rtl/>
        </w:rPr>
        <w:t>ی در ریاضی داشته باشند و غیره.</w:t>
      </w:r>
    </w:p>
    <w:p w14:paraId="0BAB085A" w14:textId="04AACEB7" w:rsidR="00537CC8" w:rsidRPr="0025250D" w:rsidRDefault="00537CC8" w:rsidP="00537CC8">
      <w:pPr>
        <w:rPr>
          <w:rtl/>
        </w:rPr>
      </w:pPr>
      <w:r w:rsidRPr="0025250D">
        <w:rPr>
          <w:rFonts w:hint="cs"/>
          <w:rtl/>
        </w:rPr>
        <w:t xml:space="preserve">اگر این طور به نظر برسد که یک جزء از تغییر </w:t>
      </w:r>
      <w:r w:rsidR="008D6F97" w:rsidRPr="0025250D">
        <w:rPr>
          <w:rFonts w:hint="cs"/>
          <w:rtl/>
        </w:rPr>
        <w:t>سامانه‌</w:t>
      </w:r>
      <w:r w:rsidRPr="0025250D">
        <w:rPr>
          <w:rFonts w:hint="cs"/>
          <w:rtl/>
        </w:rPr>
        <w:t xml:space="preserve"> با یک نوع خاص از منحنی مطابقت دارد، می‌توانیم بپرسیم که چرا این جزء ممکن است وجود داشته باشد و تا چه مدت آن منحنی می‌تواند کاربرد داشته باشد. آیا شاهد یک منحنی </w:t>
      </w:r>
      <w:r w:rsidRPr="0025250D">
        <w:t>S</w:t>
      </w:r>
      <w:r w:rsidRPr="0025250D">
        <w:rPr>
          <w:rFonts w:hint="cs"/>
          <w:rtl/>
        </w:rPr>
        <w:t xml:space="preserve"> شکل هستیم یا یک منحنی قانون توانی (عملکرد)؟ یا یک منحنی </w:t>
      </w:r>
      <w:r w:rsidR="00AE5BE0" w:rsidRPr="0025250D">
        <w:rPr>
          <w:rFonts w:hint="cs"/>
          <w:rtl/>
        </w:rPr>
        <w:t>انطباق</w:t>
      </w:r>
      <w:r w:rsidRPr="0025250D">
        <w:rPr>
          <w:rFonts w:hint="cs"/>
          <w:rtl/>
        </w:rPr>
        <w:t xml:space="preserve">؟ یا یک منحنی </w:t>
      </w:r>
      <w:r w:rsidRPr="0025250D">
        <w:t>J</w:t>
      </w:r>
      <w:r w:rsidRPr="0025250D">
        <w:rPr>
          <w:rFonts w:hint="cs"/>
          <w:rtl/>
        </w:rPr>
        <w:t xml:space="preserve"> شکل (به‌شدت نمایی)؟ یا یک منحنی چرخه عمر؟ یا شاید چیزی دیگر؟ دسته بندی یک منحنی می‌تواند نشانه‌ای از عوامل علی آن را برای ما فراهم کرده و به ما در بررسی عامل توسعه‌ای دیگر، یعنی مدل‌های علی، کمک کند.</w:t>
      </w:r>
    </w:p>
    <w:p w14:paraId="3B6C1C25" w14:textId="0460BA0D" w:rsidR="00537CC8" w:rsidRPr="0025250D" w:rsidRDefault="00537CC8" w:rsidP="00537CC8">
      <w:pPr>
        <w:rPr>
          <w:rtl/>
        </w:rPr>
      </w:pPr>
      <w:r w:rsidRPr="0025250D">
        <w:rPr>
          <w:rFonts w:hint="cs"/>
          <w:rtl/>
        </w:rPr>
        <w:t xml:space="preserve">چرخه‌ها که همچنین به‌عنوان </w:t>
      </w:r>
      <w:r w:rsidRPr="0025250D">
        <w:rPr>
          <w:rtl/>
        </w:rPr>
        <w:t xml:space="preserve">آونگ‌ها </w:t>
      </w:r>
      <w:r w:rsidRPr="0025250D">
        <w:rPr>
          <w:rFonts w:hint="cs"/>
          <w:rtl/>
        </w:rPr>
        <w:t>شناخته می‌شوند، به رابطه‌ای ساده</w:t>
      </w:r>
      <w:r w:rsidR="008D6F97" w:rsidRPr="0025250D">
        <w:rPr>
          <w:rtl/>
        </w:rPr>
        <w:t xml:space="preserve"> </w:t>
      </w:r>
      <w:r w:rsidRPr="0025250D">
        <w:rPr>
          <w:rFonts w:hint="cs"/>
          <w:rtl/>
        </w:rPr>
        <w:t>تا حدی آشوب</w:t>
      </w:r>
      <w:r w:rsidR="0053184A" w:rsidRPr="0025250D">
        <w:rPr>
          <w:rFonts w:hint="cs"/>
          <w:rtl/>
        </w:rPr>
        <w:t>ناک</w:t>
      </w:r>
      <w:r w:rsidRPr="0025250D">
        <w:rPr>
          <w:vertAlign w:val="superscript"/>
          <w:rtl/>
        </w:rPr>
        <w:footnoteReference w:id="2617"/>
      </w:r>
      <w:r w:rsidRPr="0025250D">
        <w:rPr>
          <w:rFonts w:hint="cs"/>
          <w:rtl/>
        </w:rPr>
        <w:t xml:space="preserve">، با این حال به شکلی قابل پیش‌بینی تکرار شونده میان دو متغیر اشاره دارند. برای مثال، چرخه فصل‌ها، چرخه </w:t>
      </w:r>
      <w:r w:rsidR="00B124DE" w:rsidRPr="0025250D">
        <w:rPr>
          <w:rFonts w:hint="cs"/>
          <w:rtl/>
        </w:rPr>
        <w:t>کسب‌و‌کار</w:t>
      </w:r>
      <w:r w:rsidRPr="0025250D">
        <w:rPr>
          <w:rFonts w:hint="cs"/>
          <w:rtl/>
        </w:rPr>
        <w:t>، چرخه هیاهو</w:t>
      </w:r>
      <w:r w:rsidRPr="0025250D">
        <w:rPr>
          <w:vertAlign w:val="superscript"/>
          <w:rtl/>
        </w:rPr>
        <w:footnoteReference w:id="2618"/>
      </w:r>
      <w:r w:rsidRPr="0025250D">
        <w:rPr>
          <w:rFonts w:hint="cs"/>
          <w:rtl/>
        </w:rPr>
        <w:t>، چرخه درام</w:t>
      </w:r>
      <w:r w:rsidRPr="0025250D">
        <w:rPr>
          <w:vertAlign w:val="superscript"/>
          <w:rtl/>
        </w:rPr>
        <w:footnoteReference w:id="2619"/>
      </w:r>
      <w:r w:rsidRPr="0025250D">
        <w:rPr>
          <w:rFonts w:hint="cs"/>
          <w:rtl/>
        </w:rPr>
        <w:t xml:space="preserve">، چرخه </w:t>
      </w:r>
      <w:r w:rsidRPr="0025250D">
        <w:rPr>
          <w:rtl/>
        </w:rPr>
        <w:t>کوزنتس</w:t>
      </w:r>
      <w:r w:rsidRPr="0025250D">
        <w:rPr>
          <w:vertAlign w:val="superscript"/>
        </w:rPr>
        <w:footnoteReference w:id="2620"/>
      </w:r>
      <w:r w:rsidRPr="0025250D">
        <w:rPr>
          <w:rFonts w:hint="cs"/>
          <w:rtl/>
        </w:rPr>
        <w:t>، چرخه زرسالاری-</w:t>
      </w:r>
      <w:r w:rsidR="00EE4B64" w:rsidRPr="0025250D">
        <w:rPr>
          <w:rFonts w:hint="cs"/>
          <w:rtl/>
        </w:rPr>
        <w:t>مردم‌سالار</w:t>
      </w:r>
      <w:r w:rsidRPr="0025250D">
        <w:rPr>
          <w:rFonts w:hint="cs"/>
          <w:rtl/>
        </w:rPr>
        <w:t>ی و چرخه اجتماعی مادی گرایی-آرمان‌گرایی-</w:t>
      </w:r>
      <w:r w:rsidRPr="0025250D">
        <w:rPr>
          <w:rtl/>
        </w:rPr>
        <w:t xml:space="preserve"> تعارض</w:t>
      </w:r>
      <w:r w:rsidRPr="0025250D">
        <w:rPr>
          <w:rFonts w:hint="cs"/>
          <w:rtl/>
        </w:rPr>
        <w:t xml:space="preserve"> (</w:t>
      </w:r>
      <w:r w:rsidRPr="0025250D">
        <w:t>MIC</w:t>
      </w:r>
      <w:r w:rsidRPr="0025250D">
        <w:rPr>
          <w:rFonts w:hint="cs"/>
          <w:rtl/>
        </w:rPr>
        <w:t>) را در نظر بگیرید. چرخه‌های</w:t>
      </w:r>
      <w:r w:rsidR="00E62296" w:rsidRPr="0025250D">
        <w:rPr>
          <w:rFonts w:hint="cs"/>
          <w:rtl/>
        </w:rPr>
        <w:t>ی</w:t>
      </w:r>
      <w:r w:rsidRPr="0025250D">
        <w:rPr>
          <w:rFonts w:hint="cs"/>
          <w:rtl/>
        </w:rPr>
        <w:t xml:space="preserve"> که می‌یابیم، قیود قابل پیش‌بینی مهمی درمورد آینده هستند. همه چرخه‌ها تا حدی </w:t>
      </w:r>
      <w:r w:rsidR="0053184A" w:rsidRPr="0025250D">
        <w:rPr>
          <w:rFonts w:hint="cs"/>
          <w:rtl/>
        </w:rPr>
        <w:t>آشوبناک</w:t>
      </w:r>
      <w:r w:rsidRPr="0025250D">
        <w:rPr>
          <w:rFonts w:hint="cs"/>
          <w:rtl/>
        </w:rPr>
        <w:t xml:space="preserve"> هستند، یا به شکلی نامنظم هستند. این یعنی ما معمولاً نمی‌توانیم دقیقا بگوییم که چه زمانی چرخه خود را در یک چرخه دو فازی، معکوس خواهد کرد یا به فاز بعدی دریک چرخه چند فازی خواهد رفت. با این حال، در هر چرخه ای، مانند چرخه</w:t>
      </w:r>
      <w:r w:rsidR="008D6F97" w:rsidRPr="0025250D">
        <w:rPr>
          <w:rtl/>
        </w:rPr>
        <w:t xml:space="preserve"> </w:t>
      </w:r>
      <w:r w:rsidRPr="0025250D">
        <w:rPr>
          <w:rFonts w:hint="cs"/>
          <w:rtl/>
        </w:rPr>
        <w:t>زرسالاری-</w:t>
      </w:r>
      <w:r w:rsidR="00EE4B64" w:rsidRPr="0025250D">
        <w:rPr>
          <w:rFonts w:hint="cs"/>
          <w:rtl/>
        </w:rPr>
        <w:t>مردم‌سالار</w:t>
      </w:r>
      <w:r w:rsidRPr="0025250D">
        <w:rPr>
          <w:rFonts w:hint="cs"/>
          <w:rtl/>
        </w:rPr>
        <w:t xml:space="preserve">ی، هر چه یک </w:t>
      </w:r>
      <w:r w:rsidR="008D6F97" w:rsidRPr="0025250D">
        <w:rPr>
          <w:rFonts w:hint="cs"/>
          <w:rtl/>
        </w:rPr>
        <w:t>سامانه‌</w:t>
      </w:r>
      <w:r w:rsidRPr="0025250D">
        <w:rPr>
          <w:rFonts w:hint="cs"/>
          <w:rtl/>
        </w:rPr>
        <w:t xml:space="preserve"> در یک انتهای چرخه بیش‌تر باقی مانده باشد (برای مثال، زرسالاری)، احتمال این که شرایط آن را به دیگر سمت حرکت دهد بیش‌تر است (سلام بر دموکراسی!). این نکته همچنین درمورد حرکت تدریجی در چرخه‌های چند فازی، مانند چرخه‌های </w:t>
      </w:r>
      <w:r w:rsidRPr="0025250D">
        <w:rPr>
          <w:rtl/>
        </w:rPr>
        <w:t>کوزنتس</w:t>
      </w:r>
      <w:r w:rsidRPr="0025250D">
        <w:rPr>
          <w:rFonts w:hint="cs"/>
          <w:rtl/>
        </w:rPr>
        <w:t xml:space="preserve"> از نابرابری درآمد، یک منحنی </w:t>
      </w:r>
      <w:r w:rsidR="00AE5BE0" w:rsidRPr="0025250D">
        <w:rPr>
          <w:rFonts w:hint="cs"/>
          <w:rtl/>
        </w:rPr>
        <w:t>انطباق</w:t>
      </w:r>
      <w:r w:rsidRPr="0025250D">
        <w:rPr>
          <w:rFonts w:hint="cs"/>
          <w:rtl/>
        </w:rPr>
        <w:t xml:space="preserve"> کلاسیک با رشد ابتدایی نابرابری به دلیل ثروت </w:t>
      </w:r>
      <w:r w:rsidR="007A53FD" w:rsidRPr="0025250D">
        <w:rPr>
          <w:rFonts w:hint="cs"/>
          <w:rtl/>
        </w:rPr>
        <w:t>فناورانه</w:t>
      </w:r>
      <w:r w:rsidRPr="0025250D">
        <w:rPr>
          <w:rFonts w:hint="cs"/>
          <w:rtl/>
        </w:rPr>
        <w:t xml:space="preserve"> جدید، یک فاز دوم نابرابری‌های ناکارآمد مداوم و یک فاز سوم از توزیع مجدد از طریق کنشگری اجتماعی، صدق می‌کند.</w:t>
      </w:r>
    </w:p>
    <w:p w14:paraId="3D807ACD" w14:textId="1032B0A6" w:rsidR="00537CC8" w:rsidRPr="0025250D" w:rsidRDefault="00537CC8" w:rsidP="00537CC8">
      <w:pPr>
        <w:rPr>
          <w:rtl/>
        </w:rPr>
      </w:pPr>
      <w:r w:rsidRPr="0025250D">
        <w:rPr>
          <w:rFonts w:hint="cs"/>
          <w:rtl/>
        </w:rPr>
        <w:t>یک چرخه مهم دیگر چرخه</w:t>
      </w:r>
      <w:r w:rsidRPr="0025250D">
        <w:rPr>
          <w:rtl/>
        </w:rPr>
        <w:t xml:space="preserve"> </w:t>
      </w:r>
      <w:r w:rsidRPr="0025250D">
        <w:rPr>
          <w:rFonts w:hint="cs"/>
          <w:rtl/>
        </w:rPr>
        <w:t>فرهنگی</w:t>
      </w:r>
      <w:r w:rsidRPr="0025250D">
        <w:rPr>
          <w:rtl/>
        </w:rPr>
        <w:t xml:space="preserve"> </w:t>
      </w:r>
      <w:r w:rsidRPr="0025250D">
        <w:rPr>
          <w:rFonts w:hint="cs"/>
          <w:rtl/>
        </w:rPr>
        <w:t>مادی</w:t>
      </w:r>
      <w:r w:rsidRPr="0025250D">
        <w:rPr>
          <w:rtl/>
        </w:rPr>
        <w:t xml:space="preserve"> </w:t>
      </w:r>
      <w:r w:rsidRPr="0025250D">
        <w:rPr>
          <w:rFonts w:hint="cs"/>
          <w:rtl/>
        </w:rPr>
        <w:t>گرایی</w:t>
      </w:r>
      <w:r w:rsidRPr="0025250D">
        <w:rPr>
          <w:rtl/>
        </w:rPr>
        <w:t>-</w:t>
      </w:r>
      <w:r w:rsidRPr="0025250D">
        <w:rPr>
          <w:rFonts w:hint="cs"/>
          <w:rtl/>
        </w:rPr>
        <w:t>آرمان‌گرایی</w:t>
      </w:r>
      <w:r w:rsidRPr="0025250D">
        <w:rPr>
          <w:rtl/>
        </w:rPr>
        <w:t>-</w:t>
      </w:r>
      <w:r w:rsidRPr="0025250D">
        <w:rPr>
          <w:rFonts w:hint="cs"/>
          <w:rtl/>
        </w:rPr>
        <w:t>تعارض</w:t>
      </w:r>
      <w:r w:rsidRPr="0025250D">
        <w:rPr>
          <w:rtl/>
        </w:rPr>
        <w:t xml:space="preserve"> (</w:t>
      </w:r>
      <w:r w:rsidRPr="0025250D">
        <w:t>MIC</w:t>
      </w:r>
      <w:r w:rsidRPr="0025250D">
        <w:rPr>
          <w:rtl/>
        </w:rPr>
        <w:t>)</w:t>
      </w:r>
      <w:r w:rsidRPr="0025250D">
        <w:rPr>
          <w:rFonts w:hint="cs"/>
          <w:rtl/>
        </w:rPr>
        <w:t xml:space="preserve"> است که توسط جامعه شناس بزرگ </w:t>
      </w:r>
      <w:r w:rsidRPr="0025250D">
        <w:rPr>
          <w:rtl/>
        </w:rPr>
        <w:t>پ</w:t>
      </w:r>
      <w:r w:rsidRPr="0025250D">
        <w:rPr>
          <w:rFonts w:hint="cs"/>
          <w:rtl/>
        </w:rPr>
        <w:t>ی</w:t>
      </w:r>
      <w:r w:rsidRPr="0025250D">
        <w:rPr>
          <w:rFonts w:hint="eastAsia"/>
          <w:rtl/>
        </w:rPr>
        <w:t>ت</w:t>
      </w:r>
      <w:r w:rsidRPr="0025250D">
        <w:rPr>
          <w:rFonts w:hint="cs"/>
          <w:rtl/>
        </w:rPr>
        <w:t>ی</w:t>
      </w:r>
      <w:r w:rsidRPr="0025250D">
        <w:rPr>
          <w:rFonts w:hint="eastAsia"/>
          <w:rtl/>
        </w:rPr>
        <w:t>ر</w:t>
      </w:r>
      <w:r w:rsidRPr="0025250D">
        <w:rPr>
          <w:rFonts w:hint="cs"/>
          <w:rtl/>
        </w:rPr>
        <w:t>ی</w:t>
      </w:r>
      <w:r w:rsidRPr="0025250D">
        <w:rPr>
          <w:rFonts w:hint="eastAsia"/>
          <w:rtl/>
        </w:rPr>
        <w:t>م</w:t>
      </w:r>
      <w:r w:rsidRPr="0025250D">
        <w:rPr>
          <w:rtl/>
        </w:rPr>
        <w:t xml:space="preserve"> سوروک</w:t>
      </w:r>
      <w:r w:rsidRPr="0025250D">
        <w:rPr>
          <w:rFonts w:hint="cs"/>
          <w:rtl/>
        </w:rPr>
        <w:t>ی</w:t>
      </w:r>
      <w:r w:rsidRPr="0025250D">
        <w:rPr>
          <w:rFonts w:hint="eastAsia"/>
          <w:rtl/>
        </w:rPr>
        <w:t>ن</w:t>
      </w:r>
      <w:r w:rsidRPr="0025250D">
        <w:rPr>
          <w:vertAlign w:val="superscript"/>
          <w:rtl/>
        </w:rPr>
        <w:footnoteReference w:id="2621"/>
      </w:r>
      <w:r w:rsidRPr="0025250D">
        <w:rPr>
          <w:rFonts w:hint="cs"/>
          <w:rtl/>
        </w:rPr>
        <w:t xml:space="preserve"> کشف شده است که در آن فرهنگ‌ها از ارزش‌های مادی گرا به آرمان‌گرایی رو به رشد و سپس به تعارضاتی که تا حدی تعارضات ایدئولوژیک را حل و فصل می‌کنند حرکت نموده و سپس دوباره به مادی گرایی باز می‌گردند. این مورد و چند چرخه دیگر در نسخه دانشجوی </w:t>
      </w:r>
      <w:r w:rsidRPr="0025250D">
        <w:t>ITF</w:t>
      </w:r>
      <w:r w:rsidRPr="0025250D">
        <w:rPr>
          <w:rFonts w:hint="cs"/>
          <w:rtl/>
        </w:rPr>
        <w:t xml:space="preserve"> بیش‌تر بحث می‌شوند. گروه‌هایی مانند مؤسسه تحقیقات چرخه ها</w:t>
      </w:r>
      <w:r w:rsidRPr="0025250D">
        <w:rPr>
          <w:vertAlign w:val="superscript"/>
          <w:rtl/>
        </w:rPr>
        <w:footnoteReference w:id="2622"/>
      </w:r>
      <w:r w:rsidRPr="0025250D">
        <w:rPr>
          <w:rFonts w:hint="cs"/>
          <w:rtl/>
        </w:rPr>
        <w:t>، بنیاد مطالعه چرخه ها</w:t>
      </w:r>
      <w:r w:rsidRPr="0025250D">
        <w:rPr>
          <w:vertAlign w:val="superscript"/>
          <w:rtl/>
        </w:rPr>
        <w:footnoteReference w:id="2623"/>
      </w:r>
      <w:r w:rsidRPr="0025250D">
        <w:rPr>
          <w:rFonts w:hint="cs"/>
          <w:rtl/>
        </w:rPr>
        <w:t xml:space="preserve"> و بسیاری دیگر به درک بهتر این عوامل توسعه‌ای کلاسیک اختصاص </w:t>
      </w:r>
      <w:r w:rsidR="0008779C" w:rsidRPr="0025250D">
        <w:rPr>
          <w:rFonts w:hint="cs"/>
          <w:rtl/>
        </w:rPr>
        <w:t>یافته‌اند</w:t>
      </w:r>
      <w:r w:rsidRPr="0025250D">
        <w:rPr>
          <w:rFonts w:hint="cs"/>
          <w:rtl/>
        </w:rPr>
        <w:t>.</w:t>
      </w:r>
    </w:p>
    <w:p w14:paraId="04F3EFA1" w14:textId="66631722" w:rsidR="00537CC8" w:rsidRPr="0025250D" w:rsidRDefault="00537CC8" w:rsidP="00537CC8">
      <w:pPr>
        <w:rPr>
          <w:rtl/>
        </w:rPr>
      </w:pPr>
      <w:r w:rsidRPr="0025250D">
        <w:rPr>
          <w:rFonts w:hint="cs"/>
          <w:rtl/>
        </w:rPr>
        <w:t xml:space="preserve">مدل‌های </w:t>
      </w:r>
      <w:r w:rsidR="008D6F97" w:rsidRPr="0025250D">
        <w:rPr>
          <w:rFonts w:hint="cs"/>
          <w:rtl/>
        </w:rPr>
        <w:t>سامانه‌ای</w:t>
      </w:r>
      <w:r w:rsidRPr="0025250D">
        <w:rPr>
          <w:rFonts w:hint="cs"/>
          <w:rtl/>
        </w:rPr>
        <w:t xml:space="preserve"> شیوه کلاسیک دیگری برای مقید کردن مفهومی و پیش‌بینی آینده هر بازیگر یا محیطی می‌باشند. نسخه دانشجوی این کتاب مدل‌های بیش‌تری را نسبت به آنچه در این کتاب پوشش دادیم معرفی می‌کند. </w:t>
      </w:r>
      <w:r w:rsidRPr="0025250D">
        <w:t>BPF</w:t>
      </w:r>
      <w:r w:rsidRPr="0025250D">
        <w:rPr>
          <w:rFonts w:hint="cs"/>
          <w:rtl/>
        </w:rPr>
        <w:t xml:space="preserve"> چندمدل فراگیر را پیشنهاد می‌دهد، از جمله </w:t>
      </w:r>
      <w:r w:rsidRPr="0025250D">
        <w:rPr>
          <w:rtl/>
        </w:rPr>
        <w:t>آینده‌نگاری</w:t>
      </w:r>
      <w:r w:rsidRPr="0025250D">
        <w:rPr>
          <w:rFonts w:hint="cs"/>
          <w:rtl/>
        </w:rPr>
        <w:t xml:space="preserve"> نمایی و </w:t>
      </w:r>
      <w:r w:rsidRPr="0025250D">
        <w:rPr>
          <w:rtl/>
        </w:rPr>
        <w:t>آینده‌نگاری</w:t>
      </w:r>
      <w:r w:rsidRPr="0025250D">
        <w:rPr>
          <w:rFonts w:hint="cs"/>
          <w:rtl/>
        </w:rPr>
        <w:t xml:space="preserve"> </w:t>
      </w:r>
      <w:r w:rsidRPr="0025250D">
        <w:rPr>
          <w:rtl/>
        </w:rPr>
        <w:t>تکاملی - توسعه ای</w:t>
      </w:r>
      <w:r w:rsidRPr="0025250D">
        <w:rPr>
          <w:rFonts w:hint="cs"/>
          <w:rtl/>
        </w:rPr>
        <w:t xml:space="preserve">. همه مدل‌ها ناقص هستند و تا حدی غیر دقیق می‌باشند، اما موارد بهتر مواردی هستند که متغیر‌ها و روابطی را که به ما برای درک بهتر و شبیه سازی </w:t>
      </w:r>
      <w:r w:rsidR="008D6F97" w:rsidRPr="0025250D">
        <w:rPr>
          <w:rFonts w:hint="cs"/>
          <w:rtl/>
        </w:rPr>
        <w:t>سامانه‌</w:t>
      </w:r>
      <w:r w:rsidRPr="0025250D">
        <w:rPr>
          <w:rFonts w:hint="cs"/>
          <w:rtl/>
        </w:rPr>
        <w:t xml:space="preserve"> مورد نظر کمک می‌کنند کشف می‌کنند.</w:t>
      </w:r>
    </w:p>
    <w:p w14:paraId="1D3CAF35" w14:textId="296EB31D" w:rsidR="00537CC8" w:rsidRPr="0025250D" w:rsidRDefault="002C61FC" w:rsidP="00537CC8">
      <w:pPr>
        <w:rPr>
          <w:rtl/>
        </w:rPr>
      </w:pPr>
      <w:r w:rsidRPr="0025250D">
        <w:rPr>
          <w:rtl/>
        </w:rPr>
        <w:t>«</w:t>
      </w:r>
      <w:r w:rsidR="00537CC8" w:rsidRPr="0025250D">
        <w:rPr>
          <w:rFonts w:hint="cs"/>
          <w:rtl/>
        </w:rPr>
        <w:t>تمایلات غالب</w:t>
      </w:r>
      <w:r w:rsidR="00537CC8" w:rsidRPr="0025250D">
        <w:rPr>
          <w:vertAlign w:val="superscript"/>
          <w:rtl/>
        </w:rPr>
        <w:footnoteReference w:id="2624"/>
      </w:r>
      <w:r w:rsidRPr="0025250D">
        <w:rPr>
          <w:rtl/>
        </w:rPr>
        <w:t>»</w:t>
      </w:r>
      <w:r w:rsidR="00537CC8" w:rsidRPr="0025250D">
        <w:rPr>
          <w:rFonts w:hint="cs"/>
          <w:rtl/>
        </w:rPr>
        <w:t xml:space="preserve"> قابل پیش‌بینی </w:t>
      </w:r>
      <w:r w:rsidR="00D30084" w:rsidRPr="0025250D">
        <w:rPr>
          <w:rFonts w:hint="cs"/>
          <w:rtl/>
        </w:rPr>
        <w:t>آینده‌نگار</w:t>
      </w:r>
      <w:r w:rsidR="00537CC8" w:rsidRPr="0025250D">
        <w:rPr>
          <w:rFonts w:hint="cs"/>
          <w:rtl/>
        </w:rPr>
        <w:t xml:space="preserve"> </w:t>
      </w:r>
      <w:r w:rsidR="00537CC8" w:rsidRPr="0025250D">
        <w:rPr>
          <w:rtl/>
        </w:rPr>
        <w:t>پ</w:t>
      </w:r>
      <w:r w:rsidR="00537CC8" w:rsidRPr="0025250D">
        <w:rPr>
          <w:rFonts w:hint="cs"/>
          <w:rtl/>
        </w:rPr>
        <w:t>ی</w:t>
      </w:r>
      <w:r w:rsidR="00537CC8" w:rsidRPr="0025250D">
        <w:rPr>
          <w:rFonts w:hint="eastAsia"/>
          <w:rtl/>
        </w:rPr>
        <w:t>ر</w:t>
      </w:r>
      <w:r w:rsidR="00537CC8" w:rsidRPr="0025250D">
        <w:rPr>
          <w:rtl/>
        </w:rPr>
        <w:t xml:space="preserve"> واک</w:t>
      </w:r>
      <w:r w:rsidR="00537CC8" w:rsidRPr="0025250D">
        <w:rPr>
          <w:vertAlign w:val="superscript"/>
          <w:rtl/>
        </w:rPr>
        <w:footnoteReference w:id="2625"/>
      </w:r>
      <w:r w:rsidR="00537CC8" w:rsidRPr="0025250D">
        <w:rPr>
          <w:rFonts w:hint="cs"/>
          <w:rtl/>
        </w:rPr>
        <w:t xml:space="preserve">، مدل‌هایی هستند که تلاش می‌کنند تا کاندید‌هایی برای پیشران‌های عمیق‌تر، مانند نیروها، قیود یا قوانینی باشند که بر دسته‌های </w:t>
      </w:r>
      <w:r w:rsidR="008D6F97" w:rsidRPr="0025250D">
        <w:rPr>
          <w:rFonts w:hint="cs"/>
          <w:rtl/>
        </w:rPr>
        <w:t>سامانه‌</w:t>
      </w:r>
      <w:r w:rsidR="00537CC8" w:rsidRPr="0025250D">
        <w:rPr>
          <w:rFonts w:hint="cs"/>
          <w:rtl/>
        </w:rPr>
        <w:t xml:space="preserve">‌های پیچیده تأثیر می‌گذارند. درست </w:t>
      </w:r>
      <w:r w:rsidR="007118DE" w:rsidRPr="0025250D">
        <w:rPr>
          <w:rFonts w:hint="cs"/>
          <w:rtl/>
        </w:rPr>
        <w:t>همان‌طور</w:t>
      </w:r>
      <w:r w:rsidR="00537CC8" w:rsidRPr="0025250D">
        <w:rPr>
          <w:rFonts w:hint="cs"/>
          <w:rtl/>
        </w:rPr>
        <w:t xml:space="preserve"> که قوانین فیزیک، شیمی و زیست شناسی وجود دارند، می‌دانیم که قوانینی، یا حداقل، تمایلات غالبی از نظر آماری در جوامع، اقتصاد‌ها</w:t>
      </w:r>
      <w:r w:rsidR="008D6F97" w:rsidRPr="0025250D">
        <w:rPr>
          <w:rtl/>
        </w:rPr>
        <w:t xml:space="preserve"> </w:t>
      </w:r>
      <w:r w:rsidR="00537CC8" w:rsidRPr="0025250D">
        <w:rPr>
          <w:rFonts w:hint="cs"/>
          <w:rtl/>
        </w:rPr>
        <w:t xml:space="preserve">و </w:t>
      </w:r>
      <w:r w:rsidR="007A53FD" w:rsidRPr="0025250D">
        <w:rPr>
          <w:rFonts w:hint="cs"/>
          <w:rtl/>
        </w:rPr>
        <w:t>فناوری</w:t>
      </w:r>
      <w:r w:rsidR="00537CC8" w:rsidRPr="0025250D">
        <w:rPr>
          <w:rFonts w:hint="cs"/>
          <w:rtl/>
        </w:rPr>
        <w:t>‌ها وجود دارند</w:t>
      </w:r>
      <w:r w:rsidR="008D6F97" w:rsidRPr="0025250D">
        <w:rPr>
          <w:rtl/>
        </w:rPr>
        <w:t xml:space="preserve">؛ </w:t>
      </w:r>
      <w:r w:rsidR="00537CC8" w:rsidRPr="0025250D">
        <w:rPr>
          <w:rFonts w:hint="cs"/>
          <w:rtl/>
        </w:rPr>
        <w:t>اما</w:t>
      </w:r>
      <w:r w:rsidR="008D6F97" w:rsidRPr="0025250D">
        <w:rPr>
          <w:rtl/>
        </w:rPr>
        <w:t xml:space="preserve"> </w:t>
      </w:r>
      <w:r w:rsidR="00537CC8" w:rsidRPr="0025250D">
        <w:rPr>
          <w:rFonts w:hint="cs"/>
          <w:rtl/>
        </w:rPr>
        <w:t>تا زمانی که این تمایلات توسط جامعه علمی به‌عنوان قوانین شناخته نشوند، فقط به‌عنوان مدل‌هایی باقی می‌مانند.</w:t>
      </w:r>
    </w:p>
    <w:p w14:paraId="3C1A552D" w14:textId="618F9C9A" w:rsidR="00537CC8" w:rsidRPr="0025250D" w:rsidRDefault="00537CC8" w:rsidP="00537CC8">
      <w:pPr>
        <w:rPr>
          <w:rtl/>
        </w:rPr>
      </w:pPr>
      <w:r w:rsidRPr="0025250D">
        <w:rPr>
          <w:rFonts w:hint="cs"/>
          <w:rtl/>
        </w:rPr>
        <w:t xml:space="preserve">قوانین </w:t>
      </w:r>
      <w:r w:rsidR="008D6F97" w:rsidRPr="0025250D">
        <w:rPr>
          <w:rFonts w:hint="cs"/>
          <w:rtl/>
        </w:rPr>
        <w:t>سامانه‌ای</w:t>
      </w:r>
      <w:r w:rsidRPr="0025250D">
        <w:rPr>
          <w:rFonts w:hint="cs"/>
          <w:rtl/>
        </w:rPr>
        <w:t xml:space="preserve"> به خوبی توصیف شده و به صورت گسترده پذیرفته شده </w:t>
      </w:r>
      <w:r w:rsidRPr="0025250D">
        <w:rPr>
          <w:rFonts w:cs="Times New Roman" w:hint="cs"/>
          <w:rtl/>
        </w:rPr>
        <w:t>–</w:t>
      </w:r>
      <w:r w:rsidRPr="0025250D">
        <w:rPr>
          <w:rFonts w:hint="cs"/>
          <w:rtl/>
        </w:rPr>
        <w:t xml:space="preserve"> روابط، قواعد، یا قوانین پایداری که برای دسته‌های </w:t>
      </w:r>
      <w:r w:rsidR="008D6F97" w:rsidRPr="0025250D">
        <w:rPr>
          <w:rFonts w:hint="cs"/>
          <w:rtl/>
        </w:rPr>
        <w:t>سامانه‌</w:t>
      </w:r>
      <w:r w:rsidRPr="0025250D">
        <w:rPr>
          <w:rFonts w:hint="cs"/>
          <w:rtl/>
        </w:rPr>
        <w:t xml:space="preserve">‌های پیچیده کاربرد دارند </w:t>
      </w:r>
      <w:r w:rsidRPr="0025250D">
        <w:rPr>
          <w:rFonts w:cs="Times New Roman" w:hint="cs"/>
          <w:rtl/>
        </w:rPr>
        <w:t>–</w:t>
      </w:r>
      <w:r w:rsidRPr="0025250D">
        <w:rPr>
          <w:rFonts w:hint="cs"/>
          <w:rtl/>
        </w:rPr>
        <w:t xml:space="preserve"> به طور مشخص نادر هستند. نظریه </w:t>
      </w:r>
      <w:r w:rsidR="008D6F97" w:rsidRPr="0025250D">
        <w:rPr>
          <w:rFonts w:hint="cs"/>
          <w:rtl/>
        </w:rPr>
        <w:t>سامانه‌</w:t>
      </w:r>
      <w:r w:rsidRPr="0025250D">
        <w:rPr>
          <w:rFonts w:hint="cs"/>
          <w:rtl/>
        </w:rPr>
        <w:t xml:space="preserve"> ها</w:t>
      </w:r>
      <w:r w:rsidRPr="0025250D">
        <w:rPr>
          <w:vertAlign w:val="superscript"/>
          <w:rtl/>
        </w:rPr>
        <w:footnoteReference w:id="2626"/>
      </w:r>
      <w:r w:rsidRPr="0025250D">
        <w:rPr>
          <w:rFonts w:hint="cs"/>
          <w:rtl/>
        </w:rPr>
        <w:t xml:space="preserve"> شاخه‌ای از فلسفه است که </w:t>
      </w:r>
      <w:r w:rsidR="008D6F97" w:rsidRPr="0025250D">
        <w:rPr>
          <w:rFonts w:hint="cs"/>
          <w:rtl/>
        </w:rPr>
        <w:t>سامانه‌</w:t>
      </w:r>
      <w:r w:rsidRPr="0025250D">
        <w:rPr>
          <w:rFonts w:hint="cs"/>
          <w:rtl/>
        </w:rPr>
        <w:t xml:space="preserve">‌های پیچیده را به طور کلی مطالعه می‌کند و به دنبال الگوها و قواعد رایجی می‌گردد که برای همه </w:t>
      </w:r>
      <w:r w:rsidR="008D6F97" w:rsidRPr="0025250D">
        <w:rPr>
          <w:rFonts w:hint="cs"/>
          <w:rtl/>
        </w:rPr>
        <w:t>سامانه‌</w:t>
      </w:r>
      <w:r w:rsidRPr="0025250D">
        <w:rPr>
          <w:rFonts w:hint="cs"/>
          <w:rtl/>
        </w:rPr>
        <w:t xml:space="preserve">‌های یک دسته یا نوع مشخص کاربرد دارند. قوانین بسیاری می‌توانند برای هر </w:t>
      </w:r>
      <w:r w:rsidR="008D6F97" w:rsidRPr="0025250D">
        <w:rPr>
          <w:rFonts w:hint="cs"/>
          <w:rtl/>
        </w:rPr>
        <w:t>سامانه‌ای</w:t>
      </w:r>
      <w:r w:rsidRPr="0025250D">
        <w:rPr>
          <w:rFonts w:hint="cs"/>
          <w:rtl/>
        </w:rPr>
        <w:t xml:space="preserve">، با سطوح متغیری از شواهد و دقت حدس زده شوند. همواره بررسی و تحقیق ادبیات </w:t>
      </w:r>
      <w:r w:rsidR="008D6F97" w:rsidRPr="0025250D">
        <w:rPr>
          <w:rFonts w:hint="cs"/>
          <w:rtl/>
        </w:rPr>
        <w:t>سامانه‌</w:t>
      </w:r>
      <w:r w:rsidRPr="0025250D">
        <w:rPr>
          <w:rFonts w:hint="cs"/>
          <w:rtl/>
        </w:rPr>
        <w:t xml:space="preserve">‌ها برای این موارد و پرس و جو در مورد چگونگی ارتباط آن‌ها با قوانینی که پیش از این برای جهان به‌عنوان یک </w:t>
      </w:r>
      <w:r w:rsidR="008D6F97" w:rsidRPr="0025250D">
        <w:rPr>
          <w:rFonts w:hint="cs"/>
          <w:rtl/>
        </w:rPr>
        <w:t>سامانه‌</w:t>
      </w:r>
      <w:r w:rsidRPr="0025250D">
        <w:rPr>
          <w:rFonts w:hint="cs"/>
          <w:rtl/>
        </w:rPr>
        <w:t xml:space="preserve"> تشخیص داده </w:t>
      </w:r>
      <w:r w:rsidR="00185F3E" w:rsidRPr="0025250D">
        <w:rPr>
          <w:rFonts w:hint="cs"/>
          <w:rtl/>
        </w:rPr>
        <w:t>شده‌اند</w:t>
      </w:r>
      <w:r w:rsidRPr="0025250D">
        <w:rPr>
          <w:rFonts w:hint="cs"/>
          <w:rtl/>
        </w:rPr>
        <w:t>، ارزشمند است.</w:t>
      </w:r>
    </w:p>
    <w:p w14:paraId="59427FC7" w14:textId="531E7680" w:rsidR="00537CC8" w:rsidRPr="0025250D" w:rsidRDefault="00537CC8" w:rsidP="00537CC8">
      <w:pPr>
        <w:rPr>
          <w:rtl/>
        </w:rPr>
      </w:pPr>
      <w:r w:rsidRPr="0025250D">
        <w:rPr>
          <w:rFonts w:hint="cs"/>
          <w:rtl/>
        </w:rPr>
        <w:t xml:space="preserve">بسیاری از قوانین علمی ما درمورد فیزیک و تعداد کمی از قوانین شیمی و زیست شناسی، از نیروهای اساسی شناخته شده طبیعت استخراج می‌شوند، با این حال بیش‌تر قوانین ما به صورت تجربی (آزمایشی) مشاهده می‌شوند. هرچه بیش‌تر در سلسله مراتب </w:t>
      </w:r>
      <w:r w:rsidR="008D6F97" w:rsidRPr="0025250D">
        <w:rPr>
          <w:rFonts w:hint="cs"/>
          <w:rtl/>
        </w:rPr>
        <w:t>سامانه‌</w:t>
      </w:r>
      <w:r w:rsidRPr="0025250D">
        <w:rPr>
          <w:rFonts w:hint="cs"/>
          <w:rtl/>
        </w:rPr>
        <w:t xml:space="preserve">‌های جامعه و اقتصاد بشری و سپس </w:t>
      </w:r>
      <w:r w:rsidR="007A53FD" w:rsidRPr="0025250D">
        <w:rPr>
          <w:rFonts w:hint="cs"/>
          <w:rtl/>
        </w:rPr>
        <w:t>فناوری</w:t>
      </w:r>
      <w:r w:rsidRPr="0025250D">
        <w:rPr>
          <w:rFonts w:hint="cs"/>
          <w:rtl/>
        </w:rPr>
        <w:t xml:space="preserve"> خود بهبود دهنده بالا می‌رویم، به طور کلی نیرو‌ها را نادیده می‌گیریم و در عوض درمورد قوانین </w:t>
      </w:r>
      <w:r w:rsidR="008D6F97" w:rsidRPr="0025250D">
        <w:rPr>
          <w:rFonts w:hint="cs"/>
          <w:rtl/>
        </w:rPr>
        <w:t>سامانه‌</w:t>
      </w:r>
      <w:r w:rsidRPr="0025250D">
        <w:rPr>
          <w:rFonts w:hint="cs"/>
          <w:rtl/>
        </w:rPr>
        <w:t xml:space="preserve"> که به شکل‌های گسترده‌ای در کل </w:t>
      </w:r>
      <w:r w:rsidR="008D6F97" w:rsidRPr="0025250D">
        <w:rPr>
          <w:rFonts w:hint="cs"/>
          <w:rtl/>
        </w:rPr>
        <w:t>سامانه‌</w:t>
      </w:r>
      <w:r w:rsidRPr="0025250D">
        <w:rPr>
          <w:rFonts w:hint="cs"/>
          <w:rtl/>
        </w:rPr>
        <w:t xml:space="preserve"> عمل می‌کنند صحبت می‌کنیم. هر چه در این سلسله مراتب بالا‌تر رویم، این قوانین کم‌تر به صورت نظری حاصل می‌شوند و بیش‌تر به صورت آزمایشی مشاهده می‌گردند. دانش علمی و عملی ما کم‌تر استنتاجی و از نظر ریاضی کم‌تر دقیق می‌شود و بیش‌تر شهودی و توصیفی می‌گردد. با این وجود، هر چه روابط توسعه‌ای بیش‌تری را استنتاج و کشف کنیم، علم ما می‌تواند تجویزی‌تر شود. این ایده برای دانشمندان متمرکز بر تکامل دردسر ساز است، اما مدل‌های </w:t>
      </w:r>
      <w:r w:rsidRPr="0025250D">
        <w:rPr>
          <w:rtl/>
        </w:rPr>
        <w:t xml:space="preserve">تکاملی - توسعه‌ای </w:t>
      </w:r>
      <w:r w:rsidRPr="0025250D">
        <w:rPr>
          <w:rFonts w:hint="cs"/>
          <w:rtl/>
        </w:rPr>
        <w:t>به ما می‌گویند که هر دو فرایند همواره در حال وقوع هستند.</w:t>
      </w:r>
    </w:p>
    <w:p w14:paraId="672CECBA" w14:textId="30139190" w:rsidR="00537CC8" w:rsidRPr="0025250D" w:rsidRDefault="00537CC8" w:rsidP="00537CC8">
      <w:pPr>
        <w:rPr>
          <w:rtl/>
        </w:rPr>
      </w:pPr>
      <w:r w:rsidRPr="0025250D">
        <w:rPr>
          <w:rFonts w:hint="cs"/>
          <w:rtl/>
        </w:rPr>
        <w:t>علاوه بر فیزیک و شیمی، همه رشته‌های آکادمیک دیگر مانند اکولوژی (قاعده کوپ</w:t>
      </w:r>
      <w:r w:rsidRPr="0025250D">
        <w:rPr>
          <w:vertAlign w:val="superscript"/>
          <w:rtl/>
        </w:rPr>
        <w:footnoteReference w:id="2627"/>
      </w:r>
      <w:r w:rsidRPr="0025250D">
        <w:rPr>
          <w:rFonts w:hint="cs"/>
          <w:rtl/>
        </w:rPr>
        <w:t xml:space="preserve">، قاعده </w:t>
      </w:r>
      <w:r w:rsidRPr="0025250D">
        <w:rPr>
          <w:rtl/>
        </w:rPr>
        <w:t>برگمن</w:t>
      </w:r>
      <w:r w:rsidRPr="0025250D">
        <w:rPr>
          <w:vertAlign w:val="superscript"/>
          <w:rtl/>
        </w:rPr>
        <w:footnoteReference w:id="2628"/>
      </w:r>
      <w:r w:rsidRPr="0025250D">
        <w:rPr>
          <w:rFonts w:hint="cs"/>
          <w:rtl/>
        </w:rPr>
        <w:t xml:space="preserve">، قاعده </w:t>
      </w:r>
      <w:r w:rsidRPr="0025250D">
        <w:rPr>
          <w:rtl/>
        </w:rPr>
        <w:t>فوسر</w:t>
      </w:r>
      <w:r w:rsidRPr="0025250D">
        <w:rPr>
          <w:vertAlign w:val="superscript"/>
          <w:rtl/>
        </w:rPr>
        <w:footnoteReference w:id="2629"/>
      </w:r>
      <w:r w:rsidRPr="0025250D">
        <w:rPr>
          <w:rFonts w:hint="cs"/>
          <w:rtl/>
        </w:rPr>
        <w:t xml:space="preserve">)، </w:t>
      </w:r>
      <w:r w:rsidR="00B124DE" w:rsidRPr="0025250D">
        <w:rPr>
          <w:rFonts w:hint="cs"/>
          <w:rtl/>
        </w:rPr>
        <w:t>جامعه‌شناسی</w:t>
      </w:r>
      <w:r w:rsidRPr="0025250D">
        <w:rPr>
          <w:rFonts w:hint="cs"/>
          <w:rtl/>
        </w:rPr>
        <w:t xml:space="preserve"> (قانون کم‌ترین تلاش</w:t>
      </w:r>
      <w:r w:rsidRPr="0025250D">
        <w:rPr>
          <w:vertAlign w:val="superscript"/>
          <w:rtl/>
        </w:rPr>
        <w:footnoteReference w:id="2630"/>
      </w:r>
      <w:r w:rsidRPr="0025250D">
        <w:rPr>
          <w:rFonts w:hint="cs"/>
          <w:rtl/>
        </w:rPr>
        <w:t xml:space="preserve"> و قانون حداقل سازی زمانی</w:t>
      </w:r>
      <w:r w:rsidRPr="0025250D">
        <w:rPr>
          <w:vertAlign w:val="superscript"/>
          <w:rtl/>
        </w:rPr>
        <w:footnoteReference w:id="2631"/>
      </w:r>
      <w:r w:rsidRPr="0025250D">
        <w:rPr>
          <w:rFonts w:hint="cs"/>
          <w:rtl/>
        </w:rPr>
        <w:t>)، اقتصاد (قانون عرضه و تقاضا)، آمار (قانون اعداد بزرگ</w:t>
      </w:r>
      <w:r w:rsidRPr="0025250D">
        <w:rPr>
          <w:vertAlign w:val="superscript"/>
          <w:rtl/>
        </w:rPr>
        <w:footnoteReference w:id="2632"/>
      </w:r>
      <w:r w:rsidRPr="0025250D">
        <w:rPr>
          <w:rFonts w:hint="cs"/>
          <w:rtl/>
        </w:rPr>
        <w:t xml:space="preserve"> و بازگشت به میانگین</w:t>
      </w:r>
      <w:r w:rsidRPr="0025250D">
        <w:rPr>
          <w:vertAlign w:val="superscript"/>
          <w:rtl/>
        </w:rPr>
        <w:footnoteReference w:id="2633"/>
      </w:r>
      <w:r w:rsidRPr="0025250D">
        <w:rPr>
          <w:rFonts w:hint="cs"/>
          <w:rtl/>
        </w:rPr>
        <w:t xml:space="preserve">) و بسیاری دیگر فهرست‌های اولیه خود از قوانین آماری قابل پیش‌بینی، در بافت درست (محیط توسعه ای) را </w:t>
      </w:r>
      <w:r w:rsidR="00B124DE" w:rsidRPr="0025250D">
        <w:rPr>
          <w:rFonts w:hint="cs"/>
          <w:rtl/>
        </w:rPr>
        <w:t>جمع‌آوری</w:t>
      </w:r>
      <w:r w:rsidRPr="0025250D">
        <w:rPr>
          <w:rFonts w:hint="cs"/>
          <w:rtl/>
        </w:rPr>
        <w:t xml:space="preserve"> </w:t>
      </w:r>
      <w:r w:rsidR="007118DE" w:rsidRPr="0025250D">
        <w:rPr>
          <w:rFonts w:hint="cs"/>
          <w:rtl/>
        </w:rPr>
        <w:t>کرده‌اند</w:t>
      </w:r>
      <w:r w:rsidRPr="0025250D">
        <w:rPr>
          <w:rFonts w:hint="cs"/>
          <w:rtl/>
        </w:rPr>
        <w:t xml:space="preserve">. یک متفکر </w:t>
      </w:r>
      <w:r w:rsidR="008D6F97" w:rsidRPr="0025250D">
        <w:rPr>
          <w:rFonts w:hint="cs"/>
          <w:rtl/>
        </w:rPr>
        <w:t>سامانه‌ای</w:t>
      </w:r>
      <w:r w:rsidRPr="0025250D">
        <w:rPr>
          <w:rFonts w:hint="cs"/>
          <w:rtl/>
        </w:rPr>
        <w:t xml:space="preserve"> قوی تلاش خواهد کرد تا تعداد هرچه بیش‌تری از این موارد را درک کند و مثال‌هایی از چگونگی تعامل آن‌ها را برای درک تمایلات غالبی که انتظار </w:t>
      </w:r>
      <w:r w:rsidR="000668EC" w:rsidRPr="0025250D">
        <w:rPr>
          <w:rFonts w:hint="cs"/>
          <w:rtl/>
        </w:rPr>
        <w:t>می‌</w:t>
      </w:r>
      <w:r w:rsidRPr="0025250D">
        <w:rPr>
          <w:rFonts w:hint="cs"/>
          <w:rtl/>
        </w:rPr>
        <w:t xml:space="preserve">رود طبیعت و آینده را در هر </w:t>
      </w:r>
      <w:r w:rsidR="008D6F97" w:rsidRPr="0025250D">
        <w:rPr>
          <w:rFonts w:hint="cs"/>
          <w:rtl/>
        </w:rPr>
        <w:t>سامانه‌ای</w:t>
      </w:r>
      <w:r w:rsidRPr="0025250D">
        <w:rPr>
          <w:rFonts w:hint="cs"/>
          <w:rtl/>
        </w:rPr>
        <w:t xml:space="preserve"> مقید کنند، مطالعه نماید. این نوع </w:t>
      </w:r>
      <w:r w:rsidRPr="0025250D">
        <w:rPr>
          <w:rtl/>
        </w:rPr>
        <w:t>آینده‌نگاری</w:t>
      </w:r>
      <w:r w:rsidRPr="0025250D">
        <w:rPr>
          <w:rFonts w:hint="cs"/>
          <w:rtl/>
        </w:rPr>
        <w:t xml:space="preserve"> می‌تواند به‌شدت قدرتمند باشد، زیرا عمومیت زیادی در کاربرد دارد، اما امروزه بیش‌تر هنر است تا علم.</w:t>
      </w:r>
    </w:p>
    <w:p w14:paraId="418289F1" w14:textId="79C417C7" w:rsidR="00537CC8" w:rsidRPr="0025250D" w:rsidRDefault="00537CC8" w:rsidP="00537CC8">
      <w:pPr>
        <w:rPr>
          <w:rtl/>
        </w:rPr>
      </w:pPr>
      <w:r w:rsidRPr="0025250D">
        <w:rPr>
          <w:rFonts w:hint="cs"/>
          <w:rtl/>
        </w:rPr>
        <w:t xml:space="preserve">در </w:t>
      </w:r>
      <w:r w:rsidRPr="0025250D">
        <w:t>BPF</w:t>
      </w:r>
      <w:r w:rsidRPr="0025250D">
        <w:rPr>
          <w:rFonts w:hint="cs"/>
          <w:rtl/>
        </w:rPr>
        <w:t>، در آنچه نظریه هوشمندی سه گانه</w:t>
      </w:r>
      <w:r w:rsidRPr="0025250D">
        <w:rPr>
          <w:vertAlign w:val="superscript"/>
          <w:rtl/>
        </w:rPr>
        <w:footnoteReference w:id="2634"/>
      </w:r>
      <w:r w:rsidRPr="0025250D">
        <w:rPr>
          <w:rFonts w:hint="cs"/>
          <w:rtl/>
        </w:rPr>
        <w:t xml:space="preserve"> می‌نامیم، ما پیشنهاد خواهیم کرد که رشد همزمان هوش فردی، شبکه‌ای و جمعی بر روی زمین (یعنی، دانه، ارگانیسم و محیط) </w:t>
      </w:r>
      <w:r w:rsidRPr="0025250D">
        <w:rPr>
          <w:rFonts w:cs="Times New Roman" w:hint="cs"/>
          <w:rtl/>
        </w:rPr>
        <w:t>–</w:t>
      </w:r>
      <w:r w:rsidRPr="0025250D">
        <w:rPr>
          <w:rFonts w:hint="cs"/>
          <w:rtl/>
        </w:rPr>
        <w:t xml:space="preserve"> از طریق فرایند‌های تکاملی و توسعه‌ای </w:t>
      </w:r>
      <w:r w:rsidRPr="0025250D">
        <w:rPr>
          <w:rFonts w:cs="Times New Roman" w:hint="cs"/>
          <w:rtl/>
        </w:rPr>
        <w:t>–</w:t>
      </w:r>
      <w:r w:rsidRPr="0025250D">
        <w:rPr>
          <w:rFonts w:hint="cs"/>
          <w:rtl/>
        </w:rPr>
        <w:t xml:space="preserve"> یک قانون جهانی کشف نشده است. امیدواریم که شاهد آزمایش شدن این نظریه در سال‌های آینده باشیم.</w:t>
      </w:r>
    </w:p>
    <w:p w14:paraId="47F2AB62" w14:textId="170F8345" w:rsidR="00537CC8" w:rsidRPr="0025250D" w:rsidRDefault="00537CC8" w:rsidP="00537CC8">
      <w:pPr>
        <w:rPr>
          <w:b/>
          <w:bCs/>
          <w:rtl/>
        </w:rPr>
      </w:pPr>
      <w:r w:rsidRPr="0025250D">
        <w:rPr>
          <w:rFonts w:hint="cs"/>
          <w:b/>
          <w:bCs/>
          <w:rtl/>
        </w:rPr>
        <w:t>ج) همگرایی‌ها، حالات بهینه</w:t>
      </w:r>
      <w:r w:rsidRPr="0025250D">
        <w:rPr>
          <w:b/>
          <w:bCs/>
          <w:vertAlign w:val="superscript"/>
          <w:rtl/>
        </w:rPr>
        <w:footnoteReference w:id="2635"/>
      </w:r>
      <w:r w:rsidRPr="0025250D">
        <w:rPr>
          <w:rFonts w:hint="cs"/>
          <w:b/>
          <w:bCs/>
          <w:rtl/>
        </w:rPr>
        <w:t xml:space="preserve"> (روند‌های </w:t>
      </w:r>
      <w:r w:rsidRPr="0025250D">
        <w:rPr>
          <w:b/>
          <w:bCs/>
        </w:rPr>
        <w:t>TINA</w:t>
      </w:r>
      <w:r w:rsidRPr="0025250D">
        <w:rPr>
          <w:rFonts w:hint="cs"/>
          <w:b/>
          <w:bCs/>
          <w:rtl/>
        </w:rPr>
        <w:t>) و پیش‌بینی ها</w:t>
      </w:r>
    </w:p>
    <w:p w14:paraId="43A5975B" w14:textId="39A410D3" w:rsidR="00537CC8" w:rsidRPr="0025250D" w:rsidRDefault="00537CC8" w:rsidP="00537CC8">
      <w:pPr>
        <w:rPr>
          <w:rtl/>
        </w:rPr>
      </w:pPr>
      <w:r w:rsidRPr="0025250D">
        <w:rPr>
          <w:rFonts w:hint="cs"/>
          <w:rtl/>
        </w:rPr>
        <w:t xml:space="preserve">دیدن همگرایی به تشخیص فرایند‌های اغلب پنهان و شرایطی نیاز دارد که </w:t>
      </w:r>
      <w:r w:rsidRPr="0025250D">
        <w:rPr>
          <w:rtl/>
        </w:rPr>
        <w:t>به گونه‌ای تعامل دارند که تنوع و تفاوت محل</w:t>
      </w:r>
      <w:r w:rsidRPr="0025250D">
        <w:rPr>
          <w:rFonts w:hint="cs"/>
          <w:rtl/>
        </w:rPr>
        <w:t>ی</w:t>
      </w:r>
      <w:r w:rsidRPr="0025250D">
        <w:rPr>
          <w:rtl/>
        </w:rPr>
        <w:t xml:space="preserve"> را کاهش می‌ده</w:t>
      </w:r>
      <w:r w:rsidRPr="0025250D">
        <w:rPr>
          <w:rFonts w:hint="cs"/>
          <w:rtl/>
        </w:rPr>
        <w:t>ن</w:t>
      </w:r>
      <w:r w:rsidRPr="0025250D">
        <w:rPr>
          <w:rtl/>
        </w:rPr>
        <w:t>د</w:t>
      </w:r>
      <w:r w:rsidRPr="0025250D">
        <w:rPr>
          <w:rFonts w:hint="cs"/>
          <w:rtl/>
        </w:rPr>
        <w:t xml:space="preserve"> و </w:t>
      </w:r>
      <w:r w:rsidR="008D6F97" w:rsidRPr="0025250D">
        <w:rPr>
          <w:rFonts w:hint="cs"/>
          <w:rtl/>
        </w:rPr>
        <w:t>سامانه‌</w:t>
      </w:r>
      <w:r w:rsidRPr="0025250D">
        <w:rPr>
          <w:rFonts w:hint="cs"/>
          <w:rtl/>
        </w:rPr>
        <w:t xml:space="preserve">‌های پیچیده را به سمت یک حالت آینده مشخص حرکت می‌دهند. به زبان </w:t>
      </w:r>
      <w:r w:rsidRPr="0025250D">
        <w:rPr>
          <w:rtl/>
        </w:rPr>
        <w:t>تکاملی - توسعه ای</w:t>
      </w:r>
      <w:r w:rsidRPr="0025250D">
        <w:rPr>
          <w:rFonts w:hint="cs"/>
          <w:rtl/>
        </w:rPr>
        <w:t>، همگرایی یک قیف توسعه ای</w:t>
      </w:r>
      <w:r w:rsidRPr="0025250D">
        <w:rPr>
          <w:vertAlign w:val="superscript"/>
          <w:rtl/>
        </w:rPr>
        <w:footnoteReference w:id="2636"/>
      </w:r>
      <w:r w:rsidRPr="0025250D">
        <w:rPr>
          <w:rFonts w:hint="cs"/>
          <w:rtl/>
        </w:rPr>
        <w:t xml:space="preserve"> است. درک این که یک </w:t>
      </w:r>
      <w:r w:rsidR="008D6F97" w:rsidRPr="0025250D">
        <w:rPr>
          <w:rFonts w:hint="cs"/>
          <w:rtl/>
        </w:rPr>
        <w:t>سامانه‌</w:t>
      </w:r>
      <w:r w:rsidRPr="0025250D">
        <w:rPr>
          <w:rFonts w:hint="cs"/>
          <w:rtl/>
        </w:rPr>
        <w:t xml:space="preserve">، یا مجموعه‌ای از </w:t>
      </w:r>
      <w:r w:rsidR="008D6F97" w:rsidRPr="0025250D">
        <w:rPr>
          <w:rFonts w:hint="cs"/>
          <w:rtl/>
        </w:rPr>
        <w:t>سامانه‌</w:t>
      </w:r>
      <w:r w:rsidRPr="0025250D">
        <w:rPr>
          <w:rFonts w:hint="cs"/>
          <w:rtl/>
        </w:rPr>
        <w:t xml:space="preserve">‌ها، چرا و چه زمانی در حال واگرایی (تکامل) یا همگرایی (توسعه) می‌باشد یک مهارت </w:t>
      </w:r>
      <w:r w:rsidRPr="0025250D">
        <w:rPr>
          <w:rtl/>
        </w:rPr>
        <w:t>آینده‌نگاری</w:t>
      </w:r>
      <w:r w:rsidRPr="0025250D">
        <w:rPr>
          <w:rFonts w:hint="cs"/>
          <w:rtl/>
        </w:rPr>
        <w:t xml:space="preserve"> مهم است. </w:t>
      </w:r>
      <w:r w:rsidR="008D6F97" w:rsidRPr="0025250D">
        <w:rPr>
          <w:rFonts w:hint="cs"/>
          <w:rtl/>
        </w:rPr>
        <w:t>سامانه‌</w:t>
      </w:r>
      <w:r w:rsidRPr="0025250D">
        <w:rPr>
          <w:rFonts w:hint="cs"/>
          <w:rtl/>
        </w:rPr>
        <w:t xml:space="preserve">‌های واگرا از جهات مختلف به شکل فزاینده‌ای غیر قابل پیش‌بینی هستند در حالی که </w:t>
      </w:r>
      <w:r w:rsidR="008D6F97" w:rsidRPr="0025250D">
        <w:rPr>
          <w:rFonts w:hint="cs"/>
          <w:rtl/>
        </w:rPr>
        <w:t>سامانه‌</w:t>
      </w:r>
      <w:r w:rsidRPr="0025250D">
        <w:rPr>
          <w:rFonts w:hint="cs"/>
          <w:rtl/>
        </w:rPr>
        <w:t>‌های همگرا معمولاً مخالف این شرایط را دارند.</w:t>
      </w:r>
    </w:p>
    <w:p w14:paraId="42AC6636" w14:textId="4B2D2557" w:rsidR="00537CC8" w:rsidRPr="0025250D" w:rsidRDefault="00537CC8" w:rsidP="00537CC8">
      <w:pPr>
        <w:rPr>
          <w:rtl/>
        </w:rPr>
      </w:pPr>
      <w:r w:rsidRPr="0025250D">
        <w:rPr>
          <w:rFonts w:hint="cs"/>
          <w:rtl/>
        </w:rPr>
        <w:t xml:space="preserve">همگرایی‌ها وقتی رخ می‌دهند که محصولات، خدمات، یا فرایند‌هایی که پیش از این مجزا بودند تعامل، وابستگی متقابل یا یکپارچگی بسیار نزدیک تری نسبت به آنچه هم اکنون در میان آن‌ها وجود دارد می‌یابند. همگرایی فناورانه که در آن </w:t>
      </w:r>
      <w:r w:rsidR="008D6F97" w:rsidRPr="0025250D">
        <w:rPr>
          <w:rFonts w:hint="cs"/>
          <w:rtl/>
        </w:rPr>
        <w:t>سامانه‌</w:t>
      </w:r>
      <w:r w:rsidRPr="0025250D">
        <w:rPr>
          <w:rFonts w:hint="cs"/>
          <w:rtl/>
        </w:rPr>
        <w:t xml:space="preserve">‌های پیش از این متمایز متنوعی توسط یک استاندارد، پلتفرم، شبیه سازی، محصول یا خدمت بازنمایی می‌شوند، یک مثال شناخته شده است. درمورد قید و شرط‌های صوت، داده‌ها و تصویر برای ارتباطات که همگی به یک بستر اینترنتی رایج منتقل </w:t>
      </w:r>
      <w:r w:rsidR="00185F3E" w:rsidRPr="0025250D">
        <w:rPr>
          <w:rFonts w:hint="cs"/>
          <w:rtl/>
        </w:rPr>
        <w:t>شده‌اند</w:t>
      </w:r>
      <w:r w:rsidRPr="0025250D">
        <w:rPr>
          <w:rFonts w:hint="cs"/>
          <w:rtl/>
        </w:rPr>
        <w:t xml:space="preserve">، یا انواع متعدد بسیاری از </w:t>
      </w:r>
      <w:r w:rsidR="000668EC" w:rsidRPr="0025250D">
        <w:rPr>
          <w:rFonts w:hint="cs"/>
          <w:rtl/>
        </w:rPr>
        <w:t>سیستم</w:t>
      </w:r>
      <w:r w:rsidRPr="0025250D">
        <w:rPr>
          <w:rFonts w:hint="cs"/>
          <w:rtl/>
        </w:rPr>
        <w:t xml:space="preserve"> عامل‌هایی که بر روی یک ماشین مجازی در نرم افزار کار می‌کنند را در نظر بگیرید. همگرایی فیزیکی که در آن دستگاه‌های واحد کارکردهای متعددی در جهان فیزیکی می‌یابند، مانند </w:t>
      </w:r>
      <w:r w:rsidR="008D6F97" w:rsidRPr="0025250D">
        <w:rPr>
          <w:rFonts w:hint="cs"/>
          <w:rtl/>
        </w:rPr>
        <w:t>سامانه‌</w:t>
      </w:r>
      <w:r w:rsidRPr="0025250D">
        <w:rPr>
          <w:rFonts w:hint="cs"/>
          <w:rtl/>
        </w:rPr>
        <w:t>‌های دیجیتالی متعدد بر روی یک تراشه و همگرایی مجازی، مانند اپلیکیشن‌های بسیاری که از یک نرم افزار در یک گوشی هوشمند استفاده می‌کنند را در نظر بگیرید.</w:t>
      </w:r>
    </w:p>
    <w:p w14:paraId="6AD9EB86" w14:textId="1D06763F" w:rsidR="00537CC8" w:rsidRPr="0025250D" w:rsidRDefault="00537CC8" w:rsidP="00537CC8">
      <w:pPr>
        <w:rPr>
          <w:rtl/>
        </w:rPr>
      </w:pPr>
      <w:r w:rsidRPr="0025250D">
        <w:rPr>
          <w:rFonts w:hint="cs"/>
          <w:rtl/>
        </w:rPr>
        <w:t xml:space="preserve">به‌عنوان مثالی از دامنه جهانی، درمورد همگرایی </w:t>
      </w:r>
      <w:r w:rsidR="008D6F97" w:rsidRPr="0025250D">
        <w:rPr>
          <w:rFonts w:hint="cs"/>
          <w:rtl/>
        </w:rPr>
        <w:t>سامانه‌</w:t>
      </w:r>
      <w:r w:rsidRPr="0025250D">
        <w:rPr>
          <w:rFonts w:hint="cs"/>
          <w:rtl/>
        </w:rPr>
        <w:t xml:space="preserve">‌های اجتماعی-اقتصادی ما در مجموعه رایجی از ارزش‌ها، از جمله تفکر مبتنی بر شواهد و </w:t>
      </w:r>
      <w:r w:rsidR="00B0171C" w:rsidRPr="0025250D">
        <w:rPr>
          <w:rtl/>
        </w:rPr>
        <w:t xml:space="preserve"> سرمایه‌دار</w:t>
      </w:r>
      <w:r w:rsidRPr="0025250D">
        <w:rPr>
          <w:rFonts w:hint="cs"/>
          <w:rtl/>
        </w:rPr>
        <w:t>ی</w:t>
      </w:r>
      <w:r w:rsidRPr="0025250D">
        <w:rPr>
          <w:rtl/>
        </w:rPr>
        <w:t xml:space="preserve"> سوس</w:t>
      </w:r>
      <w:r w:rsidRPr="0025250D">
        <w:rPr>
          <w:rFonts w:hint="cs"/>
          <w:rtl/>
        </w:rPr>
        <w:t>ی</w:t>
      </w:r>
      <w:r w:rsidRPr="0025250D">
        <w:rPr>
          <w:rFonts w:hint="eastAsia"/>
          <w:rtl/>
        </w:rPr>
        <w:t>ال</w:t>
      </w:r>
      <w:r w:rsidRPr="0025250D">
        <w:rPr>
          <w:rtl/>
        </w:rPr>
        <w:t xml:space="preserve"> دمکرات</w:t>
      </w:r>
      <w:r w:rsidRPr="0025250D">
        <w:rPr>
          <w:rFonts w:hint="cs"/>
          <w:rtl/>
        </w:rPr>
        <w:t>ی</w:t>
      </w:r>
      <w:r w:rsidRPr="0025250D">
        <w:rPr>
          <w:rFonts w:hint="eastAsia"/>
          <w:rtl/>
        </w:rPr>
        <w:t>ک</w:t>
      </w:r>
      <w:r w:rsidRPr="0025250D">
        <w:rPr>
          <w:rFonts w:hint="cs"/>
          <w:rtl/>
        </w:rPr>
        <w:t xml:space="preserve"> بیندیشید. برای یک دیدگاه درمورد سرعت رخ دادن همگرایی‌های اجتماعی </w:t>
      </w:r>
      <w:r w:rsidRPr="0025250D">
        <w:rPr>
          <w:rFonts w:cs="Times New Roman" w:hint="cs"/>
          <w:rtl/>
        </w:rPr>
        <w:t>–</w:t>
      </w:r>
      <w:r w:rsidRPr="0025250D">
        <w:rPr>
          <w:rFonts w:hint="cs"/>
          <w:rtl/>
        </w:rPr>
        <w:t>اقتصادی شرق-غرب و شمال-جنوب، همگرایی بزرگ</w:t>
      </w:r>
      <w:r w:rsidRPr="0025250D">
        <w:rPr>
          <w:vertAlign w:val="superscript"/>
          <w:rtl/>
        </w:rPr>
        <w:footnoteReference w:id="2637"/>
      </w:r>
      <w:r w:rsidRPr="0025250D">
        <w:rPr>
          <w:rFonts w:hint="cs"/>
          <w:rtl/>
        </w:rPr>
        <w:t xml:space="preserve"> اثر </w:t>
      </w:r>
      <w:r w:rsidRPr="0025250D">
        <w:rPr>
          <w:rtl/>
        </w:rPr>
        <w:t>ک</w:t>
      </w:r>
      <w:r w:rsidRPr="0025250D">
        <w:rPr>
          <w:rFonts w:hint="cs"/>
          <w:rtl/>
        </w:rPr>
        <w:t>ی</w:t>
      </w:r>
      <w:r w:rsidRPr="0025250D">
        <w:rPr>
          <w:rFonts w:hint="eastAsia"/>
          <w:rtl/>
        </w:rPr>
        <w:t>شور</w:t>
      </w:r>
      <w:r w:rsidRPr="0025250D">
        <w:rPr>
          <w:rtl/>
        </w:rPr>
        <w:t xml:space="preserve"> محبوبان</w:t>
      </w:r>
      <w:r w:rsidRPr="0025250D">
        <w:rPr>
          <w:rFonts w:hint="cs"/>
          <w:rtl/>
        </w:rPr>
        <w:t>ی</w:t>
      </w:r>
      <w:r w:rsidRPr="0025250D">
        <w:rPr>
          <w:vertAlign w:val="superscript"/>
          <w:rtl/>
        </w:rPr>
        <w:footnoteReference w:id="2638"/>
      </w:r>
      <w:r w:rsidRPr="0025250D">
        <w:rPr>
          <w:rFonts w:hint="cs"/>
          <w:rtl/>
        </w:rPr>
        <w:t xml:space="preserve"> در سال 2014 را بخوانید. این کتاب یک دنباله خوب برای کتاب پایان تاریخ</w:t>
      </w:r>
      <w:r w:rsidRPr="0025250D">
        <w:rPr>
          <w:vertAlign w:val="superscript"/>
          <w:rtl/>
        </w:rPr>
        <w:footnoteReference w:id="2639"/>
      </w:r>
      <w:r w:rsidRPr="0025250D">
        <w:rPr>
          <w:rFonts w:hint="cs"/>
          <w:rtl/>
        </w:rPr>
        <w:t xml:space="preserve"> اثر فرانک فوکویاما</w:t>
      </w:r>
      <w:r w:rsidRPr="0025250D">
        <w:rPr>
          <w:vertAlign w:val="superscript"/>
          <w:rtl/>
        </w:rPr>
        <w:footnoteReference w:id="2640"/>
      </w:r>
      <w:r w:rsidRPr="0025250D">
        <w:rPr>
          <w:rFonts w:hint="cs"/>
          <w:rtl/>
        </w:rPr>
        <w:t xml:space="preserve"> در سال 2006 است که این دیدگاه را محبوب کرد. مشاهده همگرایی سیاسی جهانی می‌تواند در کوتاه مدت، وقتی بازگشت‌های موقتی رایج بوده و احزاب رقیب می‌توانند با روند‌ها برای مدتی مبارزه کنند، دشوار‌تر است</w:t>
      </w:r>
      <w:r w:rsidR="008D6F97" w:rsidRPr="0025250D">
        <w:rPr>
          <w:rtl/>
        </w:rPr>
        <w:t xml:space="preserve">؛ </w:t>
      </w:r>
      <w:r w:rsidR="0020589F" w:rsidRPr="0025250D">
        <w:rPr>
          <w:rtl/>
        </w:rPr>
        <w:t>اما</w:t>
      </w:r>
      <w:r w:rsidRPr="0025250D">
        <w:rPr>
          <w:rFonts w:hint="cs"/>
          <w:rtl/>
        </w:rPr>
        <w:t xml:space="preserve"> وقتی به دهه‌های گذشته </w:t>
      </w:r>
      <w:r w:rsidR="002C61FC" w:rsidRPr="0025250D">
        <w:rPr>
          <w:rtl/>
        </w:rPr>
        <w:t>(</w:t>
      </w:r>
      <w:r w:rsidRPr="0025250D">
        <w:rPr>
          <w:rFonts w:hint="cs"/>
          <w:rtl/>
        </w:rPr>
        <w:t>و آینده) نگاه می‌کنیم، الگوی همگرایی واضح‌تر می‌شود.</w:t>
      </w:r>
    </w:p>
    <w:p w14:paraId="452D5F94" w14:textId="1A942587" w:rsidR="00537CC8" w:rsidRPr="0025250D" w:rsidRDefault="00537CC8" w:rsidP="00537CC8">
      <w:pPr>
        <w:rPr>
          <w:rtl/>
        </w:rPr>
      </w:pPr>
      <w:r w:rsidRPr="0025250D">
        <w:rPr>
          <w:rFonts w:hint="cs"/>
          <w:rtl/>
        </w:rPr>
        <w:t xml:space="preserve">حالات بهینه فرایند‌های همگرایی هستند که به نظر هدف یا ارزش خاصی را بیشینه سازی می‌کنند. این بیشینه سازی در مجموعه‌ای از قوانین و قیود، برخی برای </w:t>
      </w:r>
      <w:r w:rsidR="008D6F97" w:rsidRPr="0025250D">
        <w:rPr>
          <w:rFonts w:hint="cs"/>
          <w:rtl/>
        </w:rPr>
        <w:t>سامانه‌</w:t>
      </w:r>
      <w:r w:rsidRPr="0025250D">
        <w:rPr>
          <w:rFonts w:hint="cs"/>
          <w:rtl/>
        </w:rPr>
        <w:t xml:space="preserve"> مورد نظر و برخی مرتبط با محیط آن رخ می‌دهد. محققین برخی اوقات در مورد بیشینه سازی برای فرایند‌های تکاملی صحبت می‌کنند و </w:t>
      </w:r>
      <w:r w:rsidRPr="0025250D">
        <w:rPr>
          <w:rtl/>
        </w:rPr>
        <w:t>آینده‌نگار</w:t>
      </w:r>
      <w:r w:rsidRPr="0025250D">
        <w:rPr>
          <w:rFonts w:hint="cs"/>
          <w:rtl/>
        </w:rPr>
        <w:t>ان ممکن است به بهینه سازی برای ترجیحات کارسپاران خود بیندیشند، اما ما استفاده از اصطلاح بهینه سازی برای فرایند‌های توسعه‌ای را پیشنهاد می‌کنیم. برای بیش‌تر فرایند‌ها (که مطابق با قاعده 95/5 تکاملی هستند) به جای بهینه سازی آزمایش می‌کنیم و</w:t>
      </w:r>
      <w:r w:rsidR="008D6F97" w:rsidRPr="0025250D">
        <w:rPr>
          <w:rtl/>
        </w:rPr>
        <w:t xml:space="preserve"> </w:t>
      </w:r>
      <w:r w:rsidRPr="0025250D">
        <w:rPr>
          <w:rFonts w:hint="cs"/>
          <w:rtl/>
        </w:rPr>
        <w:t xml:space="preserve">به یک درجه‌ای از تنوع و نتایج مطلوب رضایت می‌دهیم یا محیطمان این انتخاب را انجام می‌دهد. تنها </w:t>
      </w:r>
      <w:r w:rsidR="008D6F97" w:rsidRPr="0025250D">
        <w:rPr>
          <w:rFonts w:hint="cs"/>
          <w:rtl/>
        </w:rPr>
        <w:t>سامانه‌</w:t>
      </w:r>
      <w:r w:rsidRPr="0025250D">
        <w:rPr>
          <w:rFonts w:hint="cs"/>
          <w:rtl/>
        </w:rPr>
        <w:t>‌های توسعه‌ای تشابه زمانی و ساختاری کافی با آن‌ها در طول چرخه عمر قابل پیش‌بینی دارند، به شکلی که ما بتوانیم با دقت درمورد بهینه سازی آن‌ها صحبت کنیم.</w:t>
      </w:r>
    </w:p>
    <w:p w14:paraId="78B879D1" w14:textId="42701A46" w:rsidR="00537CC8" w:rsidRPr="0025250D" w:rsidRDefault="00537CC8" w:rsidP="00537CC8">
      <w:pPr>
        <w:rPr>
          <w:rtl/>
        </w:rPr>
      </w:pPr>
      <w:r w:rsidRPr="0025250D">
        <w:rPr>
          <w:rFonts w:hint="cs"/>
          <w:rtl/>
        </w:rPr>
        <w:t xml:space="preserve">توسعه </w:t>
      </w:r>
      <w:r w:rsidR="008D6F97" w:rsidRPr="0025250D">
        <w:rPr>
          <w:rFonts w:hint="cs"/>
          <w:rtl/>
        </w:rPr>
        <w:t>سامانه‌</w:t>
      </w:r>
      <w:r w:rsidRPr="0025250D">
        <w:rPr>
          <w:rFonts w:hint="cs"/>
          <w:rtl/>
        </w:rPr>
        <w:t xml:space="preserve">‌ها </w:t>
      </w:r>
      <w:r w:rsidR="00B13F65" w:rsidRPr="0025250D">
        <w:rPr>
          <w:rFonts w:hint="cs"/>
          <w:rtl/>
        </w:rPr>
        <w:t>چارچوب</w:t>
      </w:r>
      <w:r w:rsidRPr="0025250D">
        <w:rPr>
          <w:rFonts w:hint="cs"/>
          <w:rtl/>
        </w:rPr>
        <w:t xml:space="preserve">ی از قوانین و قیود (پیوند‌ها، وابستگی ها) دارد که آن‌ها را توصیف می‌کند و هر بهینه سازی که برای آن‌ها رخ می‌دهد باید درون آن </w:t>
      </w:r>
      <w:r w:rsidR="00B13F65" w:rsidRPr="0025250D">
        <w:rPr>
          <w:rFonts w:hint="cs"/>
          <w:rtl/>
        </w:rPr>
        <w:t>چارچوب</w:t>
      </w:r>
      <w:r w:rsidRPr="0025250D">
        <w:rPr>
          <w:rFonts w:hint="cs"/>
          <w:rtl/>
        </w:rPr>
        <w:t xml:space="preserve"> رخ دهد. این یعنی، توجه به تعداد هرچه بیش‌تر قوانین و قیود محتمل در </w:t>
      </w:r>
      <w:r w:rsidR="008D6F97" w:rsidRPr="0025250D">
        <w:rPr>
          <w:rFonts w:hint="cs"/>
          <w:rtl/>
        </w:rPr>
        <w:t>سامانه‌</w:t>
      </w:r>
      <w:r w:rsidRPr="0025250D">
        <w:rPr>
          <w:rFonts w:hint="cs"/>
          <w:rtl/>
        </w:rPr>
        <w:t xml:space="preserve"> به اندازه پیش‌بینی این که چه اهداف و ارزش‌هایی به نظر توسط </w:t>
      </w:r>
      <w:r w:rsidR="008D6F97" w:rsidRPr="0025250D">
        <w:rPr>
          <w:rFonts w:hint="cs"/>
          <w:rtl/>
        </w:rPr>
        <w:t>سامانه‌</w:t>
      </w:r>
      <w:r w:rsidRPr="0025250D">
        <w:rPr>
          <w:rFonts w:hint="cs"/>
          <w:rtl/>
        </w:rPr>
        <w:t xml:space="preserve"> بهینه سازی می‌شوند اهمیت دارد.</w:t>
      </w:r>
    </w:p>
    <w:p w14:paraId="58264AF3" w14:textId="1371A0DD" w:rsidR="00537CC8" w:rsidRPr="0025250D" w:rsidRDefault="00537CC8" w:rsidP="00537CC8">
      <w:pPr>
        <w:rPr>
          <w:rtl/>
        </w:rPr>
      </w:pPr>
      <w:r w:rsidRPr="0025250D">
        <w:rPr>
          <w:rFonts w:hint="cs"/>
          <w:rtl/>
        </w:rPr>
        <w:t xml:space="preserve">ما روند‌های </w:t>
      </w:r>
      <w:r w:rsidRPr="0025250D">
        <w:t>TINA</w:t>
      </w:r>
      <w:r w:rsidRPr="0025250D">
        <w:rPr>
          <w:rFonts w:hint="cs"/>
          <w:rtl/>
        </w:rPr>
        <w:t xml:space="preserve"> (این نام به معنی این است که </w:t>
      </w:r>
      <w:r w:rsidR="002C61FC" w:rsidRPr="0025250D">
        <w:rPr>
          <w:rtl/>
        </w:rPr>
        <w:t>«</w:t>
      </w:r>
      <w:r w:rsidRPr="0025250D">
        <w:rPr>
          <w:rFonts w:hint="cs"/>
          <w:rtl/>
        </w:rPr>
        <w:t>هیچ بدیلی</w:t>
      </w:r>
      <w:r w:rsidR="002C61FC" w:rsidRPr="0025250D">
        <w:rPr>
          <w:rtl/>
        </w:rPr>
        <w:t>»</w:t>
      </w:r>
      <w:r w:rsidRPr="0025250D">
        <w:rPr>
          <w:rFonts w:hint="cs"/>
          <w:rtl/>
        </w:rPr>
        <w:t xml:space="preserve"> برای این روند، در بلند مدت، وجود ندارد) را در </w:t>
      </w:r>
      <w:r w:rsidRPr="0025250D">
        <w:t>BPF</w:t>
      </w:r>
      <w:r w:rsidRPr="0025250D">
        <w:rPr>
          <w:rFonts w:hint="cs"/>
          <w:rtl/>
        </w:rPr>
        <w:t xml:space="preserve"> مورد بحث قرار خواهیم داد. شکل‌های متنوعی از تغییر </w:t>
      </w:r>
      <w:r w:rsidR="007A53FD" w:rsidRPr="0025250D">
        <w:rPr>
          <w:rFonts w:hint="cs"/>
          <w:rtl/>
        </w:rPr>
        <w:t>فناورانه</w:t>
      </w:r>
      <w:r w:rsidRPr="0025250D">
        <w:rPr>
          <w:rFonts w:hint="cs"/>
          <w:rtl/>
        </w:rPr>
        <w:t xml:space="preserve"> نمایی (داده‌ها، حسگرها، رشد محاسباتی) مثال‌های خوبی هستند، اما موارد دیگر، مانند پیشرفت </w:t>
      </w:r>
      <w:r w:rsidR="00EE4B64" w:rsidRPr="0025250D">
        <w:rPr>
          <w:rFonts w:hint="cs"/>
          <w:rtl/>
        </w:rPr>
        <w:t>مردم‌سالار</w:t>
      </w:r>
      <w:r w:rsidRPr="0025250D">
        <w:rPr>
          <w:rFonts w:hint="cs"/>
          <w:rtl/>
        </w:rPr>
        <w:t xml:space="preserve">ی، جهانی سازی و </w:t>
      </w:r>
      <w:r w:rsidRPr="0025250D">
        <w:rPr>
          <w:rtl/>
        </w:rPr>
        <w:t>حقوق، توانا</w:t>
      </w:r>
      <w:r w:rsidRPr="0025250D">
        <w:rPr>
          <w:rFonts w:hint="cs"/>
          <w:rtl/>
        </w:rPr>
        <w:t>یی‌</w:t>
      </w:r>
      <w:r w:rsidRPr="0025250D">
        <w:rPr>
          <w:rFonts w:hint="eastAsia"/>
          <w:rtl/>
        </w:rPr>
        <w:t>ها</w:t>
      </w:r>
      <w:r w:rsidRPr="0025250D">
        <w:rPr>
          <w:rtl/>
        </w:rPr>
        <w:t xml:space="preserve"> و استحقاق‌ها</w:t>
      </w:r>
      <w:r w:rsidRPr="0025250D">
        <w:rPr>
          <w:rFonts w:hint="cs"/>
          <w:rtl/>
        </w:rPr>
        <w:t>ی</w:t>
      </w:r>
      <w:r w:rsidRPr="0025250D">
        <w:rPr>
          <w:rtl/>
        </w:rPr>
        <w:t xml:space="preserve"> انسان</w:t>
      </w:r>
      <w:r w:rsidRPr="0025250D">
        <w:rPr>
          <w:rFonts w:hint="cs"/>
          <w:rtl/>
        </w:rPr>
        <w:t>ی</w:t>
      </w:r>
      <w:r w:rsidRPr="0025250D">
        <w:rPr>
          <w:rtl/>
        </w:rPr>
        <w:t xml:space="preserve"> و د</w:t>
      </w:r>
      <w:r w:rsidRPr="0025250D">
        <w:rPr>
          <w:rFonts w:hint="cs"/>
          <w:rtl/>
        </w:rPr>
        <w:t>ی</w:t>
      </w:r>
      <w:r w:rsidRPr="0025250D">
        <w:rPr>
          <w:rFonts w:hint="eastAsia"/>
          <w:rtl/>
        </w:rPr>
        <w:t>گر</w:t>
      </w:r>
      <w:r w:rsidRPr="0025250D">
        <w:rPr>
          <w:rtl/>
        </w:rPr>
        <w:t xml:space="preserve"> </w:t>
      </w:r>
      <w:r w:rsidRPr="0025250D">
        <w:rPr>
          <w:rFonts w:hint="cs"/>
          <w:rtl/>
        </w:rPr>
        <w:t>ادراک</w:t>
      </w:r>
      <w:r w:rsidRPr="0025250D">
        <w:rPr>
          <w:rtl/>
        </w:rPr>
        <w:t xml:space="preserve"> رو به رشد روزافزون</w:t>
      </w:r>
      <w:r w:rsidRPr="0025250D">
        <w:rPr>
          <w:rFonts w:hint="cs"/>
          <w:rtl/>
        </w:rPr>
        <w:t xml:space="preserve"> نیز مثال‌های خوبی می‌باشند. بهترین درک ما از روند‌های </w:t>
      </w:r>
      <w:r w:rsidRPr="0025250D">
        <w:t>TINA</w:t>
      </w:r>
      <w:r w:rsidRPr="0025250D">
        <w:rPr>
          <w:rFonts w:hint="cs"/>
          <w:rtl/>
        </w:rPr>
        <w:t xml:space="preserve"> به اتخاذ یک دیدگاه توسعه‌ای بهینه سازی محور درمورد فرایند‌های تغییر مشخص نیاز دارد. اگر ما به یاد داشته باشیم که سیاره ما </w:t>
      </w:r>
      <w:r w:rsidR="008D6F97" w:rsidRPr="0025250D">
        <w:rPr>
          <w:rFonts w:hint="cs"/>
          <w:rtl/>
        </w:rPr>
        <w:t>سامانه‌</w:t>
      </w:r>
      <w:r w:rsidRPr="0025250D">
        <w:rPr>
          <w:rFonts w:hint="cs"/>
          <w:rtl/>
        </w:rPr>
        <w:t xml:space="preserve"> پیچیده‌ای با ابعاد محدود، با ارتباطات </w:t>
      </w:r>
      <w:r w:rsidR="007A53FD" w:rsidRPr="0025250D">
        <w:rPr>
          <w:rFonts w:hint="cs"/>
          <w:rtl/>
        </w:rPr>
        <w:t>فناورانه</w:t>
      </w:r>
      <w:r w:rsidRPr="0025250D">
        <w:rPr>
          <w:rFonts w:hint="cs"/>
          <w:rtl/>
        </w:rPr>
        <w:t xml:space="preserve"> </w:t>
      </w:r>
      <w:r w:rsidR="007B3B35" w:rsidRPr="0025250D">
        <w:rPr>
          <w:rFonts w:hint="cs"/>
          <w:rtl/>
        </w:rPr>
        <w:t>شتاب‌گیر</w:t>
      </w:r>
      <w:r w:rsidRPr="0025250D">
        <w:rPr>
          <w:rFonts w:hint="cs"/>
          <w:rtl/>
        </w:rPr>
        <w:t xml:space="preserve">نده است، </w:t>
      </w:r>
      <w:r w:rsidR="008D6F97" w:rsidRPr="0025250D">
        <w:rPr>
          <w:rFonts w:hint="cs"/>
          <w:rtl/>
        </w:rPr>
        <w:t>سامانه‌ای</w:t>
      </w:r>
      <w:r w:rsidRPr="0025250D">
        <w:rPr>
          <w:rFonts w:hint="cs"/>
          <w:rtl/>
        </w:rPr>
        <w:t xml:space="preserve"> که هر ساله یکپارچه‌تر شده و وابستگی داخلی بیش‌تری می‌یابد، راه‌هایی را می‌یابیم که نشان می‌دهند که این سیاره بسیار شبیه به یک جنین در حال توسعه است. سپس می‌توانیم بپرسیم که کدام یک از روند‌های </w:t>
      </w:r>
      <w:r w:rsidRPr="0025250D">
        <w:t>TINA</w:t>
      </w:r>
      <w:r w:rsidRPr="0025250D">
        <w:rPr>
          <w:rFonts w:hint="cs"/>
          <w:rtl/>
        </w:rPr>
        <w:t xml:space="preserve"> توسعه‌ای </w:t>
      </w:r>
      <w:r w:rsidR="000668EC" w:rsidRPr="0025250D">
        <w:rPr>
          <w:rFonts w:hint="cs"/>
          <w:rtl/>
        </w:rPr>
        <w:t xml:space="preserve">به نظر </w:t>
      </w:r>
      <w:r w:rsidRPr="0025250D">
        <w:rPr>
          <w:rFonts w:hint="cs"/>
          <w:rtl/>
        </w:rPr>
        <w:t xml:space="preserve">می‌رسند و بیاموزیم شیوه‌های پنهانی که پیشرفت آن‌ها مشابه با توسعه </w:t>
      </w:r>
      <w:r w:rsidR="0044659F" w:rsidRPr="0025250D">
        <w:rPr>
          <w:rFonts w:hint="cs"/>
          <w:rtl/>
        </w:rPr>
        <w:t>زیستی</w:t>
      </w:r>
      <w:r w:rsidRPr="0025250D">
        <w:rPr>
          <w:rFonts w:hint="cs"/>
          <w:rtl/>
        </w:rPr>
        <w:t xml:space="preserve"> است</w:t>
      </w:r>
      <w:r w:rsidR="000668EC" w:rsidRPr="0025250D">
        <w:rPr>
          <w:rFonts w:hint="cs"/>
          <w:rtl/>
        </w:rPr>
        <w:t xml:space="preserve"> را</w:t>
      </w:r>
      <w:r w:rsidRPr="0025250D">
        <w:rPr>
          <w:rFonts w:hint="cs"/>
          <w:rtl/>
        </w:rPr>
        <w:t xml:space="preserve"> ببینیم.</w:t>
      </w:r>
    </w:p>
    <w:p w14:paraId="50162837" w14:textId="3CC8BAE4" w:rsidR="00537CC8" w:rsidRPr="0025250D" w:rsidRDefault="00537CC8" w:rsidP="00537CC8">
      <w:pPr>
        <w:rPr>
          <w:rtl/>
        </w:rPr>
      </w:pPr>
      <w:r w:rsidRPr="0025250D">
        <w:rPr>
          <w:rFonts w:hint="cs"/>
          <w:rtl/>
        </w:rPr>
        <w:t>برای مثال، اگر ما درک نکنیم که چیزی (در مدل فعلی ما، ژن‌های هاکس</w:t>
      </w:r>
      <w:r w:rsidRPr="0025250D">
        <w:rPr>
          <w:vertAlign w:val="superscript"/>
          <w:rtl/>
        </w:rPr>
        <w:footnoteReference w:id="2641"/>
      </w:r>
      <w:r w:rsidRPr="0025250D">
        <w:rPr>
          <w:rFonts w:hint="cs"/>
          <w:rtl/>
        </w:rPr>
        <w:t xml:space="preserve"> و شبکه‌های تنظیمی</w:t>
      </w:r>
      <w:r w:rsidRPr="0025250D">
        <w:rPr>
          <w:vertAlign w:val="superscript"/>
          <w:rtl/>
        </w:rPr>
        <w:footnoteReference w:id="2642"/>
      </w:r>
      <w:r w:rsidRPr="0025250D">
        <w:rPr>
          <w:rFonts w:hint="cs"/>
          <w:rtl/>
        </w:rPr>
        <w:t xml:space="preserve"> آن ها) در جهت محدود سازی جنین‌های در حال توسعه به ارائه یک </w:t>
      </w:r>
      <w:r w:rsidR="00B13F65" w:rsidRPr="0025250D">
        <w:rPr>
          <w:rFonts w:hint="cs"/>
          <w:rtl/>
        </w:rPr>
        <w:t>چارچوب</w:t>
      </w:r>
      <w:r w:rsidRPr="0025250D">
        <w:rPr>
          <w:rFonts w:hint="cs"/>
          <w:rtl/>
        </w:rPr>
        <w:t xml:space="preserve"> مشخص از برنامه بدنی و معماری بافتی بخش بندی شده‌ای در مکان‌ها و زمان‌های آینده مشخص عمل می‌کند، نمی‌توانیم </w:t>
      </w:r>
      <w:r w:rsidR="00923DDB" w:rsidRPr="0025250D">
        <w:rPr>
          <w:rFonts w:hint="cs"/>
          <w:rtl/>
        </w:rPr>
        <w:t>پیش‌انگاری</w:t>
      </w:r>
      <w:r w:rsidRPr="0025250D">
        <w:rPr>
          <w:rFonts w:hint="cs"/>
          <w:rtl/>
        </w:rPr>
        <w:t xml:space="preserve"> کنیم که این شبکه‌ها </w:t>
      </w:r>
      <w:r w:rsidRPr="0025250D">
        <w:rPr>
          <w:rFonts w:cs="Times New Roman" w:hint="cs"/>
          <w:rtl/>
        </w:rPr>
        <w:t>–</w:t>
      </w:r>
      <w:r w:rsidRPr="0025250D">
        <w:rPr>
          <w:rFonts w:hint="cs"/>
          <w:rtl/>
        </w:rPr>
        <w:t xml:space="preserve"> به همراه سیگنال دهی سلولی، مهاجرت سلولی</w:t>
      </w:r>
      <w:r w:rsidR="008D6F97" w:rsidRPr="0025250D">
        <w:rPr>
          <w:rtl/>
        </w:rPr>
        <w:t xml:space="preserve"> </w:t>
      </w:r>
      <w:r w:rsidRPr="0025250D">
        <w:rPr>
          <w:rFonts w:hint="cs"/>
          <w:rtl/>
        </w:rPr>
        <w:t xml:space="preserve">و </w:t>
      </w:r>
      <w:r w:rsidRPr="0025250D">
        <w:rPr>
          <w:rtl/>
        </w:rPr>
        <w:t>انتشار ش</w:t>
      </w:r>
      <w:r w:rsidRPr="0025250D">
        <w:rPr>
          <w:rFonts w:hint="cs"/>
          <w:rtl/>
        </w:rPr>
        <w:t>ی</w:t>
      </w:r>
      <w:r w:rsidRPr="0025250D">
        <w:rPr>
          <w:rFonts w:hint="eastAsia"/>
          <w:rtl/>
        </w:rPr>
        <w:t>م</w:t>
      </w:r>
      <w:r w:rsidRPr="0025250D">
        <w:rPr>
          <w:rFonts w:hint="cs"/>
          <w:rtl/>
        </w:rPr>
        <w:t>ی</w:t>
      </w:r>
      <w:r w:rsidRPr="0025250D">
        <w:rPr>
          <w:rFonts w:hint="eastAsia"/>
          <w:rtl/>
        </w:rPr>
        <w:t>ا</w:t>
      </w:r>
      <w:r w:rsidRPr="0025250D">
        <w:rPr>
          <w:rFonts w:hint="cs"/>
          <w:rtl/>
        </w:rPr>
        <w:t xml:space="preserve">یی در یک مغز در حال توسعه </w:t>
      </w:r>
      <w:r w:rsidRPr="0025250D">
        <w:rPr>
          <w:rFonts w:cs="Times New Roman" w:hint="cs"/>
          <w:rtl/>
        </w:rPr>
        <w:t>–</w:t>
      </w:r>
      <w:r w:rsidRPr="0025250D">
        <w:rPr>
          <w:rFonts w:hint="cs"/>
          <w:rtl/>
        </w:rPr>
        <w:t xml:space="preserve"> برای پدیداری الگوهای خاصی از ارتباط عصبی بهینه سازی خواهند شد. ما الگوهای قابل پیش‌بینی بسیاری در همه مغز‌های والا‌تر یافته ایم، بنابراین می‌دانیم که نوعی از بهینه سازی در حال وقوع است </w:t>
      </w:r>
      <w:r w:rsidRPr="0025250D">
        <w:rPr>
          <w:rFonts w:cs="Times New Roman" w:hint="cs"/>
          <w:rtl/>
        </w:rPr>
        <w:t>–</w:t>
      </w:r>
      <w:r w:rsidRPr="0025250D">
        <w:rPr>
          <w:rFonts w:hint="cs"/>
          <w:rtl/>
        </w:rPr>
        <w:t xml:space="preserve"> با وجود این که اکثر الگوهای ریزمعماری</w:t>
      </w:r>
      <w:r w:rsidRPr="0025250D">
        <w:rPr>
          <w:vertAlign w:val="superscript"/>
          <w:rtl/>
        </w:rPr>
        <w:footnoteReference w:id="2643"/>
      </w:r>
      <w:r w:rsidRPr="0025250D">
        <w:rPr>
          <w:rFonts w:hint="cs"/>
          <w:rtl/>
        </w:rPr>
        <w:t xml:space="preserve"> در هر مغزی متفاوت خواهند بود، حتی وقتی دوقلو‌های همسان ژنتیکی را با هم مقایسه می‌کنیم</w:t>
      </w:r>
      <w:r w:rsidR="008D6F97" w:rsidRPr="0025250D">
        <w:rPr>
          <w:rtl/>
        </w:rPr>
        <w:t xml:space="preserve">؛ </w:t>
      </w:r>
      <w:r w:rsidR="0020589F" w:rsidRPr="0025250D">
        <w:rPr>
          <w:rtl/>
        </w:rPr>
        <w:t>اما</w:t>
      </w:r>
      <w:r w:rsidRPr="0025250D">
        <w:rPr>
          <w:rFonts w:hint="cs"/>
          <w:rtl/>
        </w:rPr>
        <w:t xml:space="preserve"> در هر مرحله از توسعه، هر چه تعداد قوانین و قیود بیش‌تری درمورد </w:t>
      </w:r>
      <w:r w:rsidR="008D6F97" w:rsidRPr="0025250D">
        <w:rPr>
          <w:rFonts w:hint="cs"/>
          <w:rtl/>
        </w:rPr>
        <w:t>سامانه‌</w:t>
      </w:r>
      <w:r w:rsidRPr="0025250D">
        <w:rPr>
          <w:rFonts w:hint="cs"/>
          <w:rtl/>
        </w:rPr>
        <w:t>‌های توسعه‌ای و محیط آن‌ها را درک کنیم، توانایی ما برای توصیف بهینه سازی بیش‌تر خواهد بود.</w:t>
      </w:r>
    </w:p>
    <w:p w14:paraId="7D119AF2" w14:textId="2C7E71E2" w:rsidR="00537CC8" w:rsidRPr="0025250D" w:rsidRDefault="00537CC8" w:rsidP="00537CC8">
      <w:pPr>
        <w:rPr>
          <w:rtl/>
        </w:rPr>
      </w:pPr>
      <w:r w:rsidRPr="0025250D">
        <w:rPr>
          <w:rFonts w:hint="cs"/>
          <w:rtl/>
        </w:rPr>
        <w:t xml:space="preserve">توسعه یک مدل کمّی از بهینه سازی امروزه یک نظم بسیار بلند، برای </w:t>
      </w:r>
      <w:r w:rsidR="008D6F97" w:rsidRPr="0025250D">
        <w:rPr>
          <w:rFonts w:hint="cs"/>
          <w:rtl/>
        </w:rPr>
        <w:t>سامانه‌</w:t>
      </w:r>
      <w:r w:rsidRPr="0025250D">
        <w:rPr>
          <w:rFonts w:hint="cs"/>
          <w:rtl/>
        </w:rPr>
        <w:t xml:space="preserve">‌های پیچیده است و چنین مدل‌هایی هنوز در دامنه‌های بسیاری از ما دور هستند. حتی توسعه </w:t>
      </w:r>
      <w:r w:rsidR="00127288" w:rsidRPr="0025250D">
        <w:rPr>
          <w:rFonts w:hint="cs"/>
          <w:rtl/>
        </w:rPr>
        <w:t>زیستی</w:t>
      </w:r>
      <w:r w:rsidRPr="0025250D">
        <w:rPr>
          <w:rFonts w:hint="cs"/>
          <w:rtl/>
        </w:rPr>
        <w:t xml:space="preserve"> نیز هنوز تعداد اندکی از چنین مدل‌هایی دارد. زیست شناس فوق العاده </w:t>
      </w:r>
      <w:r w:rsidRPr="0025250D">
        <w:rPr>
          <w:rtl/>
        </w:rPr>
        <w:t>ار</w:t>
      </w:r>
      <w:r w:rsidRPr="0025250D">
        <w:rPr>
          <w:rFonts w:hint="cs"/>
          <w:rtl/>
        </w:rPr>
        <w:t>ی</w:t>
      </w:r>
      <w:r w:rsidRPr="0025250D">
        <w:rPr>
          <w:rFonts w:hint="eastAsia"/>
          <w:rtl/>
        </w:rPr>
        <w:t>ک</w:t>
      </w:r>
      <w:r w:rsidRPr="0025250D">
        <w:rPr>
          <w:rtl/>
        </w:rPr>
        <w:t xml:space="preserve"> د</w:t>
      </w:r>
      <w:r w:rsidRPr="0025250D">
        <w:rPr>
          <w:rFonts w:hint="cs"/>
          <w:rtl/>
        </w:rPr>
        <w:t>ی</w:t>
      </w:r>
      <w:r w:rsidRPr="0025250D">
        <w:rPr>
          <w:rFonts w:hint="eastAsia"/>
          <w:rtl/>
        </w:rPr>
        <w:t>و</w:t>
      </w:r>
      <w:r w:rsidRPr="0025250D">
        <w:rPr>
          <w:rFonts w:hint="cs"/>
          <w:rtl/>
        </w:rPr>
        <w:t>ی</w:t>
      </w:r>
      <w:r w:rsidRPr="0025250D">
        <w:rPr>
          <w:rFonts w:hint="eastAsia"/>
          <w:rtl/>
        </w:rPr>
        <w:t>دسون</w:t>
      </w:r>
      <w:r w:rsidRPr="0025250D">
        <w:rPr>
          <w:rtl/>
        </w:rPr>
        <w:t xml:space="preserve"> (1937-2015)</w:t>
      </w:r>
      <w:r w:rsidRPr="0025250D">
        <w:rPr>
          <w:rFonts w:hint="cs"/>
          <w:rtl/>
        </w:rPr>
        <w:t xml:space="preserve"> قادر بود مدل غنی از بهینه سازی و کاملا پیش‌بینی کننده از چند هفته اول توسعه توتیای دریایی در طول دوران بلند کاری خود توسعه دهد. </w:t>
      </w:r>
      <w:r w:rsidRPr="0025250D">
        <w:rPr>
          <w:rtl/>
        </w:rPr>
        <w:t>د</w:t>
      </w:r>
      <w:r w:rsidRPr="0025250D">
        <w:rPr>
          <w:rFonts w:hint="cs"/>
          <w:rtl/>
        </w:rPr>
        <w:t>ی</w:t>
      </w:r>
      <w:r w:rsidRPr="0025250D">
        <w:rPr>
          <w:rFonts w:hint="eastAsia"/>
          <w:rtl/>
        </w:rPr>
        <w:t>و</w:t>
      </w:r>
      <w:r w:rsidRPr="0025250D">
        <w:rPr>
          <w:rFonts w:hint="cs"/>
          <w:rtl/>
        </w:rPr>
        <w:t>ی</w:t>
      </w:r>
      <w:r w:rsidRPr="0025250D">
        <w:rPr>
          <w:rFonts w:hint="eastAsia"/>
          <w:rtl/>
        </w:rPr>
        <w:t>دسون</w:t>
      </w:r>
      <w:r w:rsidRPr="0025250D">
        <w:rPr>
          <w:rFonts w:hint="cs"/>
          <w:rtl/>
        </w:rPr>
        <w:t xml:space="preserve"> جایزه بین المللی زیست شناسی را برای این کار خود در سال 2011 دریافت کرد. ما آرزو</w:t>
      </w:r>
      <w:r w:rsidR="00F45FD8" w:rsidRPr="0025250D">
        <w:rPr>
          <w:rFonts w:hint="cs"/>
          <w:rtl/>
        </w:rPr>
        <w:t xml:space="preserve"> </w:t>
      </w:r>
      <w:r w:rsidRPr="0025250D">
        <w:rPr>
          <w:rFonts w:hint="cs"/>
          <w:rtl/>
        </w:rPr>
        <w:t xml:space="preserve">داشتیم که </w:t>
      </w:r>
      <w:r w:rsidRPr="0025250D">
        <w:rPr>
          <w:rtl/>
        </w:rPr>
        <w:t>د</w:t>
      </w:r>
      <w:r w:rsidRPr="0025250D">
        <w:rPr>
          <w:rFonts w:hint="cs"/>
          <w:rtl/>
        </w:rPr>
        <w:t>ی</w:t>
      </w:r>
      <w:r w:rsidRPr="0025250D">
        <w:rPr>
          <w:rFonts w:hint="eastAsia"/>
          <w:rtl/>
        </w:rPr>
        <w:t>و</w:t>
      </w:r>
      <w:r w:rsidRPr="0025250D">
        <w:rPr>
          <w:rFonts w:hint="cs"/>
          <w:rtl/>
        </w:rPr>
        <w:t>ی</w:t>
      </w:r>
      <w:r w:rsidRPr="0025250D">
        <w:rPr>
          <w:rFonts w:hint="eastAsia"/>
          <w:rtl/>
        </w:rPr>
        <w:t>دسون</w:t>
      </w:r>
      <w:r w:rsidRPr="0025250D">
        <w:rPr>
          <w:rFonts w:hint="cs"/>
          <w:rtl/>
        </w:rPr>
        <w:t xml:space="preserve"> قبل از مرگ خود یک جایزه نوبل برای این کار خود دریافت کند، زیرا مدل‌های کمّی از توسعه برای پیشرفت زیست شناسی </w:t>
      </w:r>
      <w:r w:rsidRPr="0025250D">
        <w:rPr>
          <w:rtl/>
        </w:rPr>
        <w:t xml:space="preserve">تکاملی - توسعه‌ای </w:t>
      </w:r>
      <w:r w:rsidRPr="0025250D">
        <w:rPr>
          <w:rFonts w:hint="cs"/>
          <w:rtl/>
        </w:rPr>
        <w:t xml:space="preserve">و نظریه </w:t>
      </w:r>
      <w:r w:rsidR="008D6F97" w:rsidRPr="0025250D">
        <w:rPr>
          <w:rFonts w:hint="cs"/>
          <w:rtl/>
        </w:rPr>
        <w:t>سامانه‌</w:t>
      </w:r>
      <w:r w:rsidRPr="0025250D">
        <w:rPr>
          <w:rFonts w:hint="cs"/>
          <w:rtl/>
        </w:rPr>
        <w:t xml:space="preserve">‌های </w:t>
      </w:r>
      <w:r w:rsidRPr="0025250D">
        <w:rPr>
          <w:rtl/>
        </w:rPr>
        <w:t xml:space="preserve">تکاملی - توسعه‌ای </w:t>
      </w:r>
      <w:r w:rsidRPr="0025250D">
        <w:rPr>
          <w:rFonts w:hint="cs"/>
          <w:rtl/>
        </w:rPr>
        <w:t>هم بسیار دشوار و هم بسیار مهم هستند. در همین زمان، با توجه به نادر بودن چنین مدل‌های پیش‌بینی کننده قدرتمندی، بهترین حدس‌های ما این هستند که می‌توانیم فرایند‌های بهینه سازی تحت قیود را، در زندگی، در جامعه و در جهانمان تخمین بزنیم و منتظر باشیم تا علم و منطق رشد کرده و دقیق‌تر شوند.</w:t>
      </w:r>
    </w:p>
    <w:p w14:paraId="2772355E" w14:textId="356F6FF3" w:rsidR="00537CC8" w:rsidRPr="0025250D" w:rsidRDefault="00537CC8" w:rsidP="00537CC8">
      <w:pPr>
        <w:rPr>
          <w:rtl/>
        </w:rPr>
      </w:pPr>
      <w:r w:rsidRPr="0025250D">
        <w:rPr>
          <w:rFonts w:hint="cs"/>
          <w:rtl/>
        </w:rPr>
        <w:t xml:space="preserve">پیش‌بینی‌ها، </w:t>
      </w:r>
      <w:r w:rsidR="00FB6A7E" w:rsidRPr="0025250D">
        <w:rPr>
          <w:rFonts w:hint="cs"/>
          <w:rtl/>
        </w:rPr>
        <w:t>پیش‌نگری</w:t>
      </w:r>
      <w:r w:rsidRPr="0025250D">
        <w:rPr>
          <w:rFonts w:hint="cs"/>
          <w:rtl/>
        </w:rPr>
        <w:t xml:space="preserve">‌هایی از پدیدار شدن رویداد‌ها، ساختار‌ها یا نتایج خاصی در فضا و زمان آینده، آخرین عامل توسعه‌ای هستند که باید در نظر بگیریم. بر خلاف بهینه سازی، پیش‌بینی‌ها نیازی به توسعه‌ای بودن ندارند: می‌توانیم یک امکان تکاملی (آزمایشی را که امتحان خواهد شد)، یک ترجیح </w:t>
      </w:r>
      <w:r w:rsidRPr="0025250D">
        <w:rPr>
          <w:rtl/>
        </w:rPr>
        <w:t xml:space="preserve">تکاملی - توسعه‌ای </w:t>
      </w:r>
      <w:r w:rsidRPr="0025250D">
        <w:rPr>
          <w:rFonts w:hint="cs"/>
          <w:rtl/>
        </w:rPr>
        <w:t xml:space="preserve">(و </w:t>
      </w:r>
      <w:r w:rsidR="00701E03" w:rsidRPr="0025250D">
        <w:rPr>
          <w:rFonts w:hint="cs"/>
          <w:rtl/>
        </w:rPr>
        <w:t>راهبرد</w:t>
      </w:r>
      <w:r w:rsidRPr="0025250D">
        <w:rPr>
          <w:rFonts w:hint="cs"/>
          <w:rtl/>
        </w:rPr>
        <w:t>‌ها و برنامه‌های مرتبط با آن) یا یک توسعه دارای احتمال بالای اجتناب ناپذیر را پیش‌بینی کنیم. می‌توانیم احتمالاتی را به همه این پیش‌بینی‌ها اختصاص دهیم، اما آن احتمالات گستره بسیار وسیعی خواهند داشت. به بیان دیگر، آن‌ها معمولاً برای بیش‌تر رویداد‌های تکاملی دارای احتمال کم و برای رویداد‌های توسعه ای، در بازه‌های اطمینان محدود تری، دارای احتمال بسیار بالا تری می‌باشند.</w:t>
      </w:r>
    </w:p>
    <w:p w14:paraId="63762FF0" w14:textId="5596BB81" w:rsidR="00537CC8" w:rsidRPr="0025250D" w:rsidRDefault="00537CC8" w:rsidP="00537CC8">
      <w:pPr>
        <w:rPr>
          <w:rtl/>
        </w:rPr>
      </w:pPr>
      <w:r w:rsidRPr="0025250D">
        <w:rPr>
          <w:rFonts w:hint="cs"/>
          <w:rtl/>
        </w:rPr>
        <w:t xml:space="preserve">پیش‌بینی بیش از این که یک علم باشد یک هنر است، اما این به این معنا نیست که هنری ارزشمند نیست. ما امیدواریم که این کتاب به هر کسی برای مشارکت در پیش‌بینی بیش‌تر در همه احتمالات، مستقل از این که توانایی‌های ما امروزه چقدر می‌توانند غیر دقیق باشند، اعتماد به نفس دهد. مشارکت در پیش‌بینی ضمنی یک راه برای ایجاد داستان‌های </w:t>
      </w:r>
      <w:r w:rsidR="00822BD5" w:rsidRPr="0025250D">
        <w:rPr>
          <w:rtl/>
        </w:rPr>
        <w:t>تخم مرغ شانسی مانند</w:t>
      </w:r>
      <w:r w:rsidRPr="0025250D">
        <w:rPr>
          <w:rFonts w:hint="cs"/>
          <w:rtl/>
        </w:rPr>
        <w:t xml:space="preserve"> است </w:t>
      </w:r>
      <w:r w:rsidR="002C61FC" w:rsidRPr="0025250D">
        <w:rPr>
          <w:rtl/>
        </w:rPr>
        <w:t>(</w:t>
      </w:r>
      <w:r w:rsidRPr="0025250D">
        <w:rPr>
          <w:rFonts w:hint="cs"/>
          <w:rtl/>
        </w:rPr>
        <w:t xml:space="preserve">داستان‌هایی که می‌توانند انتقادات متنوعی دریافت کنند و دوباره، درست مانند یک </w:t>
      </w:r>
      <w:r w:rsidR="00822BD5" w:rsidRPr="0025250D">
        <w:rPr>
          <w:rtl/>
        </w:rPr>
        <w:t>تخم مرغ شانسی</w:t>
      </w:r>
      <w:r w:rsidRPr="0025250D">
        <w:rPr>
          <w:rFonts w:hint="cs"/>
          <w:rtl/>
        </w:rPr>
        <w:t xml:space="preserve"> روی پای خود بایستند).</w:t>
      </w:r>
      <w:r w:rsidR="008D6F97" w:rsidRPr="0025250D">
        <w:rPr>
          <w:rtl/>
        </w:rPr>
        <w:t xml:space="preserve"> </w:t>
      </w:r>
      <w:r w:rsidRPr="0025250D">
        <w:rPr>
          <w:rFonts w:hint="cs"/>
          <w:rtl/>
        </w:rPr>
        <w:t xml:space="preserve">پیش‌بینی یک شمشیر دو لبه است. پیش‌بینی خوب می‌تواند </w:t>
      </w:r>
      <w:r w:rsidR="00701E03" w:rsidRPr="0025250D">
        <w:rPr>
          <w:rFonts w:hint="cs"/>
          <w:rtl/>
        </w:rPr>
        <w:t>راهبرد</w:t>
      </w:r>
      <w:r w:rsidRPr="0025250D">
        <w:rPr>
          <w:rFonts w:hint="cs"/>
          <w:rtl/>
        </w:rPr>
        <w:t xml:space="preserve"> و تلاش ما را متمرکز سازد، رقابتی بودن را افزایش دهد و پویش و استدلال ما را بهبود بخشد. پیش‌بینی بد می‌تواند به شکل خطرناکی دید رو به جلوی ما را محدود سازد و سبب نادیده گرفتن فرصت‌ها و ریسک‌ها توسط ما شود.</w:t>
      </w:r>
    </w:p>
    <w:p w14:paraId="4819ED64" w14:textId="7D52B968" w:rsidR="00537CC8" w:rsidRPr="0025250D" w:rsidRDefault="00537CC8" w:rsidP="00537CC8">
      <w:pPr>
        <w:rPr>
          <w:rtl/>
        </w:rPr>
      </w:pPr>
      <w:r w:rsidRPr="0025250D">
        <w:rPr>
          <w:rFonts w:hint="cs"/>
          <w:rtl/>
        </w:rPr>
        <w:t>شاید اکنون زمان خوبی برای تفکر درمورد چند پیش‌بینی باشد: آیا پیش‌بینی می‌کنیم که یک درآمد پایه فراگیر</w:t>
      </w:r>
      <w:r w:rsidRPr="0025250D">
        <w:rPr>
          <w:vertAlign w:val="superscript"/>
          <w:rtl/>
        </w:rPr>
        <w:footnoteReference w:id="2644"/>
      </w:r>
      <w:r w:rsidRPr="0025250D">
        <w:rPr>
          <w:rFonts w:hint="cs"/>
          <w:rtl/>
        </w:rPr>
        <w:t xml:space="preserve"> (</w:t>
      </w:r>
      <w:r w:rsidRPr="0025250D">
        <w:t>UBI</w:t>
      </w:r>
      <w:r w:rsidRPr="0025250D">
        <w:rPr>
          <w:rFonts w:hint="cs"/>
          <w:rtl/>
        </w:rPr>
        <w:t xml:space="preserve">) باید در همه جوامع درحال توسعه </w:t>
      </w:r>
      <w:r w:rsidR="007A53FD" w:rsidRPr="0025250D">
        <w:rPr>
          <w:rFonts w:hint="cs"/>
          <w:rtl/>
        </w:rPr>
        <w:t>فناورانه</w:t>
      </w:r>
      <w:r w:rsidRPr="0025250D">
        <w:rPr>
          <w:rFonts w:hint="cs"/>
          <w:rtl/>
        </w:rPr>
        <w:t>، به طور میانگین، به‌عنوان تابعی از عواملی مانند ثمر بخشی فنی و ثروت اجتماعی رو به رشد پدیدار شود یا خیر؟ آیا پیش‌بینی می‌کنیم که چین و اتحاد جماهیر شوروی باید نهایتا به‌عنوان تابعی از عواملی مانند ثمربخشی فنی، ثروت طبقه متوسط و دسترسی به هوش مصنوعی شخصی به</w:t>
      </w:r>
      <w:r w:rsidRPr="0025250D">
        <w:rPr>
          <w:rtl/>
        </w:rPr>
        <w:t xml:space="preserve"> </w:t>
      </w:r>
      <w:r w:rsidRPr="0025250D">
        <w:rPr>
          <w:rFonts w:hint="cs"/>
          <w:rtl/>
        </w:rPr>
        <w:t>طور</w:t>
      </w:r>
      <w:r w:rsidRPr="0025250D">
        <w:rPr>
          <w:rtl/>
        </w:rPr>
        <w:t xml:space="preserve"> </w:t>
      </w:r>
      <w:r w:rsidRPr="0025250D">
        <w:rPr>
          <w:rFonts w:hint="cs"/>
          <w:rtl/>
        </w:rPr>
        <w:t>قابل</w:t>
      </w:r>
      <w:r w:rsidRPr="0025250D">
        <w:rPr>
          <w:rtl/>
        </w:rPr>
        <w:t xml:space="preserve"> </w:t>
      </w:r>
      <w:r w:rsidRPr="0025250D">
        <w:rPr>
          <w:rFonts w:hint="cs"/>
          <w:rtl/>
        </w:rPr>
        <w:t>توجهی</w:t>
      </w:r>
      <w:r w:rsidRPr="0025250D">
        <w:rPr>
          <w:rtl/>
        </w:rPr>
        <w:t xml:space="preserve"> </w:t>
      </w:r>
      <w:r w:rsidRPr="0025250D">
        <w:rPr>
          <w:rFonts w:hint="cs"/>
          <w:rtl/>
        </w:rPr>
        <w:t>دموکراتیک</w:t>
      </w:r>
      <w:r w:rsidRPr="0025250D">
        <w:rPr>
          <w:rtl/>
        </w:rPr>
        <w:t xml:space="preserve">‌تر </w:t>
      </w:r>
      <w:r w:rsidRPr="0025250D">
        <w:rPr>
          <w:rFonts w:hint="cs"/>
          <w:rtl/>
        </w:rPr>
        <w:t xml:space="preserve">شوند؟ یا آیا این موارد و دیگر کشورهای اقتدارگرا خواهند توانست که از ظرفیت‌های فناورانه </w:t>
      </w:r>
      <w:r w:rsidR="007B3B35" w:rsidRPr="0025250D">
        <w:rPr>
          <w:rFonts w:hint="cs"/>
          <w:rtl/>
        </w:rPr>
        <w:t>شتاب‌گیر</w:t>
      </w:r>
      <w:r w:rsidRPr="0025250D">
        <w:rPr>
          <w:rFonts w:hint="cs"/>
          <w:rtl/>
        </w:rPr>
        <w:t>نده برای ادامه حف</w:t>
      </w:r>
      <w:r w:rsidR="00F45FD8" w:rsidRPr="0025250D">
        <w:rPr>
          <w:rFonts w:hint="cs"/>
          <w:rtl/>
        </w:rPr>
        <w:t>ا</w:t>
      </w:r>
      <w:r w:rsidRPr="0025250D">
        <w:rPr>
          <w:rFonts w:hint="cs"/>
          <w:rtl/>
        </w:rPr>
        <w:t xml:space="preserve">ظت از </w:t>
      </w:r>
      <w:r w:rsidR="008D6F97" w:rsidRPr="0025250D">
        <w:rPr>
          <w:rFonts w:hint="cs"/>
          <w:rtl/>
        </w:rPr>
        <w:t>سامانه‌</w:t>
      </w:r>
      <w:r w:rsidRPr="0025250D">
        <w:rPr>
          <w:rFonts w:hint="cs"/>
          <w:rtl/>
        </w:rPr>
        <w:t>‌های سیاسی انسان زدای</w:t>
      </w:r>
      <w:r w:rsidRPr="0025250D">
        <w:rPr>
          <w:vertAlign w:val="superscript"/>
          <w:rtl/>
        </w:rPr>
        <w:footnoteReference w:id="2645"/>
      </w:r>
      <w:r w:rsidRPr="0025250D">
        <w:rPr>
          <w:rFonts w:hint="cs"/>
          <w:rtl/>
        </w:rPr>
        <w:t xml:space="preserve"> خود در طول قرن بیست و یکم، </w:t>
      </w:r>
      <w:r w:rsidR="007118DE" w:rsidRPr="0025250D">
        <w:rPr>
          <w:rFonts w:hint="cs"/>
          <w:rtl/>
        </w:rPr>
        <w:t>همان‌طور</w:t>
      </w:r>
      <w:r w:rsidRPr="0025250D">
        <w:rPr>
          <w:rFonts w:hint="cs"/>
          <w:rtl/>
        </w:rPr>
        <w:t xml:space="preserve"> که </w:t>
      </w:r>
      <w:r w:rsidRPr="0025250D">
        <w:rPr>
          <w:rtl/>
        </w:rPr>
        <w:t>آینده‌نگار</w:t>
      </w:r>
      <w:r w:rsidRPr="0025250D">
        <w:rPr>
          <w:rFonts w:hint="cs"/>
          <w:rtl/>
        </w:rPr>
        <w:t xml:space="preserve">ان بزرگی مانند </w:t>
      </w:r>
      <w:r w:rsidRPr="0025250D">
        <w:rPr>
          <w:rtl/>
        </w:rPr>
        <w:t>هر</w:t>
      </w:r>
      <w:r w:rsidRPr="0025250D">
        <w:rPr>
          <w:rFonts w:hint="cs"/>
          <w:rtl/>
        </w:rPr>
        <w:t>ی</w:t>
      </w:r>
      <w:r w:rsidRPr="0025250D">
        <w:rPr>
          <w:rFonts w:hint="eastAsia"/>
          <w:rtl/>
        </w:rPr>
        <w:t>سون</w:t>
      </w:r>
      <w:r w:rsidRPr="0025250D">
        <w:rPr>
          <w:rtl/>
        </w:rPr>
        <w:t xml:space="preserve"> براون</w:t>
      </w:r>
      <w:r w:rsidRPr="0025250D">
        <w:rPr>
          <w:vertAlign w:val="superscript"/>
          <w:rtl/>
        </w:rPr>
        <w:footnoteReference w:id="2646"/>
      </w:r>
      <w:r w:rsidRPr="0025250D">
        <w:rPr>
          <w:rFonts w:hint="cs"/>
          <w:rtl/>
        </w:rPr>
        <w:t xml:space="preserve"> در کتاب چالش‌های آینده بشر</w:t>
      </w:r>
      <w:r w:rsidRPr="0025250D">
        <w:rPr>
          <w:vertAlign w:val="superscript"/>
          <w:rtl/>
        </w:rPr>
        <w:footnoteReference w:id="2647"/>
      </w:r>
      <w:r w:rsidRPr="0025250D">
        <w:rPr>
          <w:rFonts w:hint="cs"/>
          <w:rtl/>
        </w:rPr>
        <w:t xml:space="preserve"> در سال 1954، به طرز شناخته شده‌ای درمورد آن نگران بودند، استفاده کنند؟ از نظر ما، مستقل از این که آن‌ها چقدر از نظر فنی پیشرفته شده یا ثروتمند شوند، </w:t>
      </w:r>
      <w:r w:rsidR="008D6F97" w:rsidRPr="0025250D">
        <w:rPr>
          <w:rFonts w:hint="cs"/>
          <w:rtl/>
        </w:rPr>
        <w:t>سامانه‌</w:t>
      </w:r>
      <w:r w:rsidRPr="0025250D">
        <w:rPr>
          <w:rFonts w:hint="cs"/>
          <w:rtl/>
        </w:rPr>
        <w:t xml:space="preserve">‌های سیاسی و اجتماعی اقتدارگرا و همگن، مانند چین، همواره توسط اعتماد و تأثیر کم‌تر نسبت به </w:t>
      </w:r>
      <w:r w:rsidR="008D6F97" w:rsidRPr="0025250D">
        <w:rPr>
          <w:rFonts w:hint="cs"/>
          <w:rtl/>
        </w:rPr>
        <w:t>سامانه‌</w:t>
      </w:r>
      <w:r w:rsidRPr="0025250D">
        <w:rPr>
          <w:rFonts w:hint="cs"/>
          <w:rtl/>
        </w:rPr>
        <w:t>‌های آزاد‌تر، با رشد پیچیدگی جهانی، محدود خواهند شد. باید ببینیم.</w:t>
      </w:r>
    </w:p>
    <w:p w14:paraId="25B5020D" w14:textId="23D95129" w:rsidR="00537CC8" w:rsidRPr="0025250D" w:rsidRDefault="00537CC8" w:rsidP="00537CC8">
      <w:pPr>
        <w:rPr>
          <w:rtl/>
        </w:rPr>
      </w:pPr>
      <w:r w:rsidRPr="0025250D">
        <w:rPr>
          <w:rFonts w:hint="cs"/>
          <w:rtl/>
        </w:rPr>
        <w:t xml:space="preserve">بسیاری از رویداد‌ها یا ساختار‌های آینده، اگر دانش </w:t>
      </w:r>
      <w:r w:rsidR="008D6F97" w:rsidRPr="0025250D">
        <w:rPr>
          <w:rFonts w:hint="cs"/>
          <w:rtl/>
        </w:rPr>
        <w:t>سامانه‌ای</w:t>
      </w:r>
      <w:r w:rsidRPr="0025250D">
        <w:rPr>
          <w:rFonts w:hint="cs"/>
          <w:rtl/>
        </w:rPr>
        <w:t xml:space="preserve"> به اندازه کافی خوب، دسترسی به شواهد یا آزمایش‌های متمایز کننده و شفافیت کافی فکر و </w:t>
      </w:r>
      <w:r w:rsidR="00B56611" w:rsidRPr="0025250D">
        <w:rPr>
          <w:rFonts w:hint="cs"/>
          <w:rtl/>
        </w:rPr>
        <w:t>چشم‌انداز</w:t>
      </w:r>
      <w:r w:rsidRPr="0025250D">
        <w:rPr>
          <w:rFonts w:hint="cs"/>
          <w:rtl/>
        </w:rPr>
        <w:t xml:space="preserve"> وجود داشته باشند، می‌توانند از</w:t>
      </w:r>
      <w:r w:rsidRPr="0025250D">
        <w:rPr>
          <w:rtl/>
        </w:rPr>
        <w:t xml:space="preserve"> </w:t>
      </w:r>
      <w:r w:rsidRPr="0025250D">
        <w:rPr>
          <w:rFonts w:hint="cs"/>
          <w:rtl/>
        </w:rPr>
        <w:t>قبل</w:t>
      </w:r>
      <w:r w:rsidRPr="0025250D">
        <w:rPr>
          <w:rtl/>
        </w:rPr>
        <w:t xml:space="preserve"> </w:t>
      </w:r>
      <w:r w:rsidRPr="0025250D">
        <w:rPr>
          <w:rFonts w:hint="cs"/>
          <w:rtl/>
        </w:rPr>
        <w:t>درک</w:t>
      </w:r>
      <w:r w:rsidRPr="0025250D">
        <w:rPr>
          <w:rtl/>
        </w:rPr>
        <w:t xml:space="preserve"> </w:t>
      </w:r>
      <w:r w:rsidRPr="0025250D">
        <w:rPr>
          <w:rFonts w:hint="cs"/>
          <w:rtl/>
        </w:rPr>
        <w:t>شده</w:t>
      </w:r>
      <w:r w:rsidRPr="0025250D">
        <w:rPr>
          <w:rtl/>
        </w:rPr>
        <w:t xml:space="preserve"> </w:t>
      </w:r>
      <w:r w:rsidRPr="0025250D">
        <w:rPr>
          <w:rFonts w:hint="cs"/>
          <w:rtl/>
        </w:rPr>
        <w:t>یا</w:t>
      </w:r>
      <w:r w:rsidRPr="0025250D">
        <w:rPr>
          <w:rtl/>
        </w:rPr>
        <w:t xml:space="preserve"> </w:t>
      </w:r>
      <w:r w:rsidRPr="0025250D">
        <w:rPr>
          <w:rFonts w:hint="cs"/>
          <w:rtl/>
        </w:rPr>
        <w:t>پیش‌بینی</w:t>
      </w:r>
      <w:r w:rsidRPr="0025250D">
        <w:rPr>
          <w:rtl/>
        </w:rPr>
        <w:t xml:space="preserve"> </w:t>
      </w:r>
      <w:r w:rsidRPr="0025250D">
        <w:rPr>
          <w:rFonts w:hint="cs"/>
          <w:rtl/>
        </w:rPr>
        <w:t xml:space="preserve">شوند. ما شما را به به‌اشتراک‌گذاری هر یک از پیش‌بینی‌ها و ارزیابی‌های اجتماعی خودتان دعوت می‌کنیم. از همه مهم‌تر، از شما بابت پیش‌بینی و نیز نوآوری تشکر می‌کنیم. هرچه بیش‌تر </w:t>
      </w:r>
      <w:r w:rsidR="00923DDB" w:rsidRPr="0025250D">
        <w:rPr>
          <w:rFonts w:hint="cs"/>
          <w:rtl/>
        </w:rPr>
        <w:t>پیش‌انگاری</w:t>
      </w:r>
      <w:r w:rsidRPr="0025250D">
        <w:rPr>
          <w:rFonts w:hint="cs"/>
          <w:rtl/>
        </w:rPr>
        <w:t xml:space="preserve"> کنیم به پیش‌بینی کنندگان بهتری تبدیل می‌شویم، هم از نظر فردی و هم به‌عنوان یک جامعه.</w:t>
      </w:r>
    </w:p>
    <w:p w14:paraId="2C1C75B4" w14:textId="77777777" w:rsidR="00537CC8" w:rsidRPr="0025250D" w:rsidRDefault="00537CC8" w:rsidP="003D3E0A">
      <w:pPr>
        <w:pStyle w:val="Heading3"/>
        <w:rPr>
          <w:rtl/>
        </w:rPr>
      </w:pPr>
      <w:r w:rsidRPr="0025250D">
        <w:rPr>
          <w:rFonts w:hint="cs"/>
          <w:rtl/>
        </w:rPr>
        <w:t>مروری بر روش‌های نوآوری</w:t>
      </w:r>
    </w:p>
    <w:p w14:paraId="5ADC5115" w14:textId="40988AFD" w:rsidR="00537CC8" w:rsidRPr="0025250D" w:rsidRDefault="00537CC8" w:rsidP="00537CC8">
      <w:pPr>
        <w:rPr>
          <w:rtl/>
        </w:rPr>
      </w:pPr>
      <w:r w:rsidRPr="0025250D">
        <w:rPr>
          <w:rFonts w:hint="cs"/>
          <w:rtl/>
        </w:rPr>
        <w:t xml:space="preserve">گفتیم که </w:t>
      </w:r>
      <w:r w:rsidRPr="0025250D">
        <w:rPr>
          <w:rtl/>
        </w:rPr>
        <w:t>آینده‌نگاری</w:t>
      </w:r>
      <w:r w:rsidRPr="0025250D">
        <w:rPr>
          <w:rFonts w:hint="cs"/>
          <w:rtl/>
        </w:rPr>
        <w:t xml:space="preserve"> خوب با یادگیری دقیق درمورد مشکل، مسئله یا فرصت موجود آغاز می‌شود و سپس با </w:t>
      </w:r>
      <w:r w:rsidR="00923DDB" w:rsidRPr="0025250D">
        <w:rPr>
          <w:rFonts w:hint="cs"/>
          <w:rtl/>
        </w:rPr>
        <w:t>پیش‌انگاری</w:t>
      </w:r>
      <w:r w:rsidRPr="0025250D">
        <w:rPr>
          <w:rFonts w:hint="cs"/>
          <w:rtl/>
        </w:rPr>
        <w:t xml:space="preserve">، از طریق جستجو برای موارد به‌شدت محتمل مرتبط و زبان دقیقا واجد شرایط که افراد کاملا مطلع ممکن است با آن‌ها موافق باشند، برای مقید کردن فضای ممکن قبل از آغاز بررسی آن، ادامه می‌یابد. متأسفانه، در عمل، بسیاری </w:t>
      </w:r>
      <w:r w:rsidR="00F45FD8" w:rsidRPr="0025250D">
        <w:rPr>
          <w:rFonts w:hint="cs"/>
          <w:rtl/>
        </w:rPr>
        <w:t xml:space="preserve">از </w:t>
      </w:r>
      <w:r w:rsidRPr="0025250D">
        <w:rPr>
          <w:rFonts w:hint="cs"/>
          <w:rtl/>
        </w:rPr>
        <w:t>افراد و تیم‌ها ترجیح می‌دهند که برعکس این شرایط عمل کنند و با تفکر تکاملی تصور و نوآوری محور آغاز می‌کنند. ما این تمایل را سوگیری آزادی</w:t>
      </w:r>
      <w:r w:rsidRPr="0025250D">
        <w:rPr>
          <w:vertAlign w:val="superscript"/>
          <w:rtl/>
        </w:rPr>
        <w:footnoteReference w:id="2648"/>
      </w:r>
      <w:r w:rsidRPr="0025250D">
        <w:rPr>
          <w:rFonts w:hint="cs"/>
          <w:rtl/>
        </w:rPr>
        <w:t xml:space="preserve"> نامیده ایم. درست مانند </w:t>
      </w:r>
      <w:r w:rsidR="00E46C90" w:rsidRPr="0025250D">
        <w:rPr>
          <w:rFonts w:hint="cs"/>
          <w:rtl/>
        </w:rPr>
        <w:t>سوگیری منفی‌نگر</w:t>
      </w:r>
      <w:r w:rsidRPr="0025250D">
        <w:rPr>
          <w:rFonts w:hint="cs"/>
          <w:rtl/>
        </w:rPr>
        <w:t xml:space="preserve">، بیان کرده‌ایم که سوگیری آزادی اثرات مخرب متعددی بر کیفیت </w:t>
      </w:r>
      <w:r w:rsidRPr="0025250D">
        <w:rPr>
          <w:rtl/>
        </w:rPr>
        <w:t>آینده‌نگاری</w:t>
      </w:r>
      <w:r w:rsidRPr="0025250D">
        <w:rPr>
          <w:rFonts w:hint="cs"/>
          <w:rtl/>
        </w:rPr>
        <w:t xml:space="preserve"> تولیدی ما دارد.</w:t>
      </w:r>
    </w:p>
    <w:p w14:paraId="511F7289" w14:textId="23EC3379" w:rsidR="00537CC8" w:rsidRPr="0025250D" w:rsidRDefault="00537CC8" w:rsidP="00537CC8">
      <w:pPr>
        <w:rPr>
          <w:rtl/>
        </w:rPr>
      </w:pPr>
      <w:r w:rsidRPr="0025250D">
        <w:rPr>
          <w:rFonts w:hint="cs"/>
          <w:rtl/>
        </w:rPr>
        <w:t>طبق قانون 95/5، تفکر تصور محور (نوآوری محور) میانبر اکتشافی یا ذهنی بشر برای مدلسازی چگونگی کارکرد جهان است. همه ما روایت‌های خود را در مورد چگونگی کارکرد جهان ایجاد می‌کنیم و آنچه را که به‌عنوان موارد مطلوب ارزشمند می‌دانیم به تصویر می‌کشیم. ما آزادی یک رویکرد با اولویت داستان</w:t>
      </w:r>
      <w:r w:rsidRPr="0025250D">
        <w:rPr>
          <w:vertAlign w:val="superscript"/>
          <w:rtl/>
        </w:rPr>
        <w:footnoteReference w:id="2649"/>
      </w:r>
      <w:r w:rsidRPr="0025250D">
        <w:rPr>
          <w:rFonts w:hint="cs"/>
          <w:rtl/>
        </w:rPr>
        <w:t xml:space="preserve"> را دوست داریم</w:t>
      </w:r>
      <w:r w:rsidR="008D6F97" w:rsidRPr="0025250D">
        <w:rPr>
          <w:rtl/>
        </w:rPr>
        <w:t xml:space="preserve">؛ </w:t>
      </w:r>
      <w:r w:rsidRPr="0025250D">
        <w:rPr>
          <w:rFonts w:hint="cs"/>
          <w:rtl/>
        </w:rPr>
        <w:t>بنابراین، منطقی است که بسیاری از ما ترجیح دهیم که با موارد ممکن، قبل از حرکت به سمت موارد محتمل آغاز کنیم</w:t>
      </w:r>
      <w:r w:rsidR="008D6F97" w:rsidRPr="0025250D">
        <w:rPr>
          <w:rtl/>
        </w:rPr>
        <w:t xml:space="preserve">؛ </w:t>
      </w:r>
      <w:r w:rsidRPr="0025250D">
        <w:rPr>
          <w:rFonts w:hint="cs"/>
          <w:rtl/>
        </w:rPr>
        <w:t xml:space="preserve">اما اگر ابتدا آن احتمالات را مقید نکنیم، می‌توانیم </w:t>
      </w:r>
      <w:r w:rsidR="00B0171C" w:rsidRPr="0025250D">
        <w:rPr>
          <w:rFonts w:hint="cs"/>
          <w:rtl/>
        </w:rPr>
        <w:t>به‌سادگی</w:t>
      </w:r>
      <w:r w:rsidRPr="0025250D">
        <w:rPr>
          <w:rFonts w:hint="cs"/>
          <w:rtl/>
        </w:rPr>
        <w:t xml:space="preserve"> در هیاهویی از داستان‌های سرگرم کننده اما دارای احتمال کم سر در گم شویم. خوشبختانه، دنبال کردن </w:t>
      </w:r>
      <w:r w:rsidR="00B13F65" w:rsidRPr="0025250D">
        <w:rPr>
          <w:rFonts w:hint="cs"/>
          <w:rtl/>
        </w:rPr>
        <w:t>چارچوب</w:t>
      </w:r>
      <w:r w:rsidRPr="0025250D">
        <w:rPr>
          <w:rFonts w:hint="cs"/>
          <w:rtl/>
        </w:rPr>
        <w:t xml:space="preserve">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w:t>
      </w:r>
      <w:r w:rsidRPr="0025250D">
        <w:t>LAIS</w:t>
      </w:r>
      <w:r w:rsidRPr="0025250D">
        <w:rPr>
          <w:rFonts w:hint="cs"/>
          <w:rtl/>
        </w:rPr>
        <w:t xml:space="preserve"> برای افرادی که آزادی را دوست دارند زیاد دشوار نیست، زیرا این امر نیز با آزادی آغاز می‌شود</w:t>
      </w:r>
      <w:r w:rsidR="008D6F97" w:rsidRPr="0025250D">
        <w:rPr>
          <w:rtl/>
        </w:rPr>
        <w:t xml:space="preserve">؛ </w:t>
      </w:r>
      <w:r w:rsidRPr="0025250D">
        <w:rPr>
          <w:rFonts w:hint="cs"/>
          <w:rtl/>
        </w:rPr>
        <w:t xml:space="preserve">اما به جای استفاده از آزادی برای ایجاد داستان‌هایی از آینده، </w:t>
      </w:r>
      <w:r w:rsidRPr="0025250D">
        <w:t>LAIS</w:t>
      </w:r>
      <w:r w:rsidRPr="0025250D">
        <w:rPr>
          <w:rFonts w:hint="cs"/>
          <w:rtl/>
        </w:rPr>
        <w:t xml:space="preserve"> با آزادی برای بررسی و یادگیری آغاز می‌شود. </w:t>
      </w:r>
      <w:r w:rsidR="00B13F65" w:rsidRPr="0025250D">
        <w:rPr>
          <w:rFonts w:hint="cs"/>
          <w:rtl/>
        </w:rPr>
        <w:t>چارچوب</w:t>
      </w:r>
      <w:r w:rsidRPr="0025250D">
        <w:rPr>
          <w:rFonts w:hint="cs"/>
          <w:rtl/>
        </w:rPr>
        <w:t xml:space="preserve"> </w:t>
      </w:r>
      <w:r w:rsidRPr="0025250D">
        <w:t>LAIS</w:t>
      </w:r>
      <w:r w:rsidRPr="0025250D">
        <w:rPr>
          <w:rFonts w:hint="cs"/>
          <w:rtl/>
        </w:rPr>
        <w:t xml:space="preserve"> از اکتشاف واگرا-همگرا-واگرا-همگرا استفاده می‌کند که به شکل منحصر به فردی </w:t>
      </w:r>
      <w:r w:rsidR="00AE5BE0" w:rsidRPr="0025250D">
        <w:rPr>
          <w:rFonts w:hint="cs"/>
          <w:rtl/>
        </w:rPr>
        <w:t>انطباقی</w:t>
      </w:r>
      <w:r w:rsidRPr="0025250D">
        <w:rPr>
          <w:rFonts w:hint="cs"/>
          <w:rtl/>
        </w:rPr>
        <w:t xml:space="preserve"> است.</w:t>
      </w:r>
    </w:p>
    <w:p w14:paraId="3E79DECA" w14:textId="58359773" w:rsidR="00537CC8" w:rsidRPr="0025250D" w:rsidRDefault="00537CC8" w:rsidP="00537CC8">
      <w:pPr>
        <w:rPr>
          <w:rtl/>
        </w:rPr>
      </w:pPr>
      <w:r w:rsidRPr="0025250D">
        <w:rPr>
          <w:rFonts w:hint="cs"/>
          <w:rtl/>
        </w:rPr>
        <w:t xml:space="preserve">مهم‌تر از همه، به یاد داشته باشید که در انجام چهار </w:t>
      </w:r>
      <w:r w:rsidRPr="0025250D">
        <w:t>P</w:t>
      </w:r>
      <w:r w:rsidRPr="0025250D">
        <w:rPr>
          <w:rFonts w:hint="cs"/>
          <w:rtl/>
        </w:rPr>
        <w:t xml:space="preserve"> و </w:t>
      </w:r>
      <w:r w:rsidRPr="0025250D">
        <w:rPr>
          <w:rtl/>
        </w:rPr>
        <w:t>آینده‌نگاری</w:t>
      </w:r>
      <w:r w:rsidRPr="0025250D">
        <w:rPr>
          <w:rFonts w:hint="cs"/>
          <w:rtl/>
        </w:rPr>
        <w:t xml:space="preserve"> </w:t>
      </w:r>
      <w:r w:rsidRPr="0025250D">
        <w:rPr>
          <w:rtl/>
        </w:rPr>
        <w:t>تکاملی - توسعه ای</w:t>
      </w:r>
      <w:r w:rsidRPr="0025250D">
        <w:rPr>
          <w:rFonts w:hint="cs"/>
          <w:rtl/>
        </w:rPr>
        <w:t xml:space="preserve">، ما به استفاده از رویکرد‌های تکاملی و توسعه‌ای که همواره در تنش هستند و برخی اوقات در تناقض با یکدیگر کار می‌کنند نیاز داریم. به یاد داشته باشید که مهارت 1، یادگیری، با تفکر واگرا که به طور مشخص وقتی هنوز دانش کافی درمورد یک موضوع یا </w:t>
      </w:r>
      <w:r w:rsidR="008D6F97" w:rsidRPr="0025250D">
        <w:rPr>
          <w:rFonts w:hint="cs"/>
          <w:rtl/>
        </w:rPr>
        <w:t>سامانه‌</w:t>
      </w:r>
      <w:r w:rsidRPr="0025250D">
        <w:rPr>
          <w:rFonts w:hint="cs"/>
          <w:rtl/>
        </w:rPr>
        <w:t xml:space="preserve"> برای تفکر گسترده‌تر یا </w:t>
      </w:r>
      <w:r w:rsidR="008D6F97" w:rsidRPr="0025250D">
        <w:rPr>
          <w:rFonts w:hint="cs"/>
          <w:rtl/>
        </w:rPr>
        <w:t>سامانه‌ای</w:t>
      </w:r>
      <w:r w:rsidRPr="0025250D">
        <w:rPr>
          <w:rFonts w:hint="cs"/>
          <w:rtl/>
        </w:rPr>
        <w:t xml:space="preserve"> درمورد آن نداریم، آغاز می‌شود. ما کار خود را با بررسی و ترسیم موارد ممکن درمورد آنچه بررسی می‌کنیم، آغاز می‌کنیم. این یادگیری طبیعتا به مهارت 2، </w:t>
      </w:r>
      <w:r w:rsidR="00923DDB" w:rsidRPr="0025250D">
        <w:rPr>
          <w:rFonts w:hint="cs"/>
          <w:rtl/>
        </w:rPr>
        <w:t>پیش‌انگاری</w:t>
      </w:r>
      <w:r w:rsidRPr="0025250D">
        <w:rPr>
          <w:rFonts w:hint="cs"/>
          <w:rtl/>
        </w:rPr>
        <w:t xml:space="preserve"> که در آن بر روی یک مجموعه مرتبط کوچک از روندهای محتمل، مقادیر ثابت، قید‌ها، همگرایی‌ها، پدیداری پیش‌بینی شده و دیگر آینده‌ها همگرا می‌شویم، منجر می‌شود. وقتی این </w:t>
      </w:r>
      <w:r w:rsidR="00B13F65" w:rsidRPr="0025250D">
        <w:rPr>
          <w:rFonts w:hint="cs"/>
          <w:rtl/>
        </w:rPr>
        <w:t>چارچوب</w:t>
      </w:r>
      <w:r w:rsidRPr="0025250D">
        <w:rPr>
          <w:rFonts w:hint="cs"/>
          <w:rtl/>
        </w:rPr>
        <w:t xml:space="preserve"> تقریبی را برای آینده محتمل در ذهن داشته باشیم، به خوبی برای واگرا شدن آماده می‌شویم.</w:t>
      </w:r>
    </w:p>
    <w:p w14:paraId="6464D03C" w14:textId="377F5C22" w:rsidR="00537CC8" w:rsidRPr="0025250D" w:rsidRDefault="00537CC8" w:rsidP="00537CC8">
      <w:pPr>
        <w:rPr>
          <w:rtl/>
        </w:rPr>
      </w:pPr>
      <w:r w:rsidRPr="0025250D">
        <w:rPr>
          <w:rFonts w:hint="cs"/>
          <w:rtl/>
        </w:rPr>
        <w:t xml:space="preserve">در مهارت 3، نوآوری، ما از نظر ذهنی (با تصور) و از نظر فیزیکی (با طراحی و نمونه سازی) آینده‌های ممکن متنوعی را که به خوبی توسط تلاش‌های ما در یادگیری و </w:t>
      </w:r>
      <w:r w:rsidR="00923DDB" w:rsidRPr="0025250D">
        <w:rPr>
          <w:rFonts w:hint="cs"/>
          <w:rtl/>
        </w:rPr>
        <w:t>پیش‌انگاری</w:t>
      </w:r>
      <w:r w:rsidRPr="0025250D">
        <w:rPr>
          <w:rFonts w:hint="cs"/>
          <w:rtl/>
        </w:rPr>
        <w:t xml:space="preserve"> آماده </w:t>
      </w:r>
      <w:r w:rsidR="00185F3E" w:rsidRPr="0025250D">
        <w:rPr>
          <w:rFonts w:hint="cs"/>
          <w:rtl/>
        </w:rPr>
        <w:t>شده‌اند</w:t>
      </w:r>
      <w:r w:rsidRPr="0025250D">
        <w:rPr>
          <w:rFonts w:hint="cs"/>
          <w:rtl/>
        </w:rPr>
        <w:t xml:space="preserve"> بررسی می‌کنیم. پس از این که در فضای موارد ممکن واگرا شدیم، با گروهی از نوآوران و طراحان با تنوع شناختی و تجربی کافی، به خوبی برای همگرا شدن مجدد آماده می‌شویم. مهارت 4، </w:t>
      </w:r>
      <w:r w:rsidR="00701E03" w:rsidRPr="0025250D">
        <w:rPr>
          <w:rFonts w:hint="cs"/>
          <w:rtl/>
        </w:rPr>
        <w:t>راهبرد</w:t>
      </w:r>
      <w:r w:rsidRPr="0025250D">
        <w:rPr>
          <w:rFonts w:hint="cs"/>
          <w:rtl/>
        </w:rPr>
        <w:t xml:space="preserve">، </w:t>
      </w:r>
      <w:r w:rsidR="00B56611" w:rsidRPr="0025250D">
        <w:rPr>
          <w:rFonts w:hint="cs"/>
          <w:rtl/>
        </w:rPr>
        <w:t>چشم‌انداز</w:t>
      </w:r>
      <w:r w:rsidRPr="0025250D">
        <w:rPr>
          <w:rFonts w:hint="cs"/>
          <w:rtl/>
        </w:rPr>
        <w:t>‌ها، اهداف، اولویت‌ها، سیاست‌های هدایت کننده و برنامه‌ها و وظایف عملی هماهنگ شده را برای ما تهیه می‌کند و به ما کمک می‌کند تا آنچه می‌خواهیم را تهیه کنیم و از آنچه که می‌خواهیم از آن دوری کنیم، جلوگیری نماییم.</w:t>
      </w:r>
    </w:p>
    <w:p w14:paraId="0A957A5F" w14:textId="26FF0024" w:rsidR="00537CC8" w:rsidRPr="0025250D" w:rsidRDefault="00537CC8" w:rsidP="00537CC8">
      <w:pPr>
        <w:rPr>
          <w:rtl/>
        </w:rPr>
      </w:pPr>
      <w:r w:rsidRPr="0025250D">
        <w:rPr>
          <w:rFonts w:hint="cs"/>
          <w:rtl/>
        </w:rPr>
        <w:t xml:space="preserve">باور داریم که تغییر تناوبی ساختار تکاملی و توسعه‌ای </w:t>
      </w:r>
      <w:r w:rsidR="00B13F65" w:rsidRPr="0025250D">
        <w:rPr>
          <w:rFonts w:hint="cs"/>
          <w:rtl/>
        </w:rPr>
        <w:t>چارچوب</w:t>
      </w:r>
      <w:r w:rsidRPr="0025250D">
        <w:rPr>
          <w:rFonts w:hint="cs"/>
          <w:rtl/>
        </w:rPr>
        <w:t xml:space="preserve"> </w:t>
      </w:r>
      <w:r w:rsidRPr="0025250D">
        <w:t>LAIS</w:t>
      </w:r>
      <w:r w:rsidRPr="0025250D">
        <w:rPr>
          <w:rFonts w:hint="cs"/>
          <w:rtl/>
        </w:rPr>
        <w:t xml:space="preserve"> برای تولید </w:t>
      </w:r>
      <w:r w:rsidRPr="0025250D">
        <w:rPr>
          <w:rtl/>
        </w:rPr>
        <w:t>آینده‌نگاری</w:t>
      </w:r>
      <w:r w:rsidRPr="0025250D">
        <w:rPr>
          <w:rFonts w:hint="cs"/>
          <w:rtl/>
        </w:rPr>
        <w:t xml:space="preserve"> </w:t>
      </w:r>
      <w:r w:rsidR="00AE5BE0" w:rsidRPr="0025250D">
        <w:rPr>
          <w:rFonts w:hint="cs"/>
          <w:rtl/>
        </w:rPr>
        <w:t>انطباقی</w:t>
      </w:r>
      <w:r w:rsidRPr="0025250D">
        <w:rPr>
          <w:rFonts w:hint="cs"/>
          <w:rtl/>
        </w:rPr>
        <w:t xml:space="preserve"> ضروری است. هر رهبر و تسهیل گر خوبی می‌تواند در آن مهارت یابد، زمان مناسب برای تغییر میان این مهارت‌ها و تناقضات را به صورت شهودی حس کند یا حداقل، بازخوردی را از ذینفعان دریافت نماید. ما می‌خواهیم یادگیری خود درمورد گذشته و حال را با تفکر آزمایشی و توسعه ای، اما نه با </w:t>
      </w:r>
      <w:r w:rsidR="00B124DE" w:rsidRPr="0025250D">
        <w:rPr>
          <w:rFonts w:hint="cs"/>
          <w:rtl/>
        </w:rPr>
        <w:t>آینده‌اندیش</w:t>
      </w:r>
      <w:r w:rsidRPr="0025250D">
        <w:rPr>
          <w:rFonts w:hint="cs"/>
          <w:rtl/>
        </w:rPr>
        <w:t xml:space="preserve">ی خود آغاز کنیم. اگر ما سفر خود را از طریق چهار </w:t>
      </w:r>
      <w:r w:rsidRPr="0025250D">
        <w:t>P</w:t>
      </w:r>
      <w:r w:rsidRPr="0025250D">
        <w:rPr>
          <w:rFonts w:hint="cs"/>
          <w:rtl/>
        </w:rPr>
        <w:t xml:space="preserve"> با تفکر تکاملی آغاز کنیم، فضای بسیار بیش‌تری برای طی مسیر به سمت رسیدن به یک </w:t>
      </w:r>
      <w:r w:rsidR="00923DDB" w:rsidRPr="0025250D">
        <w:rPr>
          <w:rFonts w:hint="cs"/>
          <w:rtl/>
        </w:rPr>
        <w:t>راه‌حل</w:t>
      </w:r>
      <w:r w:rsidRPr="0025250D">
        <w:rPr>
          <w:rFonts w:hint="cs"/>
          <w:rtl/>
        </w:rPr>
        <w:t xml:space="preserve"> خواهیم داشت. از جنبه مثبت، ممکن است ما عوامل و احتمالات بیش‌تری را کشف کنیم که باید میزان احتمال آن‌ها را ارزیابی کنیم و این ممکن است ارزشمند باشد</w:t>
      </w:r>
      <w:r w:rsidR="008D6F97" w:rsidRPr="0025250D">
        <w:rPr>
          <w:rtl/>
        </w:rPr>
        <w:t xml:space="preserve">؛ </w:t>
      </w:r>
      <w:r w:rsidR="0020589F" w:rsidRPr="0025250D">
        <w:rPr>
          <w:rtl/>
        </w:rPr>
        <w:t>اما</w:t>
      </w:r>
      <w:r w:rsidRPr="0025250D">
        <w:rPr>
          <w:rFonts w:hint="cs"/>
          <w:rtl/>
        </w:rPr>
        <w:t xml:space="preserve"> از جنبه منفی، ممکن است بسیار ساده‌تر وارد مسیر‌های انحرافی با ارزیابی ملاحظات بی اهمیت و کم احتمال شویم. با توجه به این نکته، بیایید اکنون به برخی عوامل </w:t>
      </w:r>
      <w:r w:rsidRPr="0025250D">
        <w:rPr>
          <w:rtl/>
        </w:rPr>
        <w:t>آینده‌نگاری</w:t>
      </w:r>
      <w:r w:rsidRPr="0025250D">
        <w:rPr>
          <w:rFonts w:hint="cs"/>
          <w:rtl/>
        </w:rPr>
        <w:t xml:space="preserve"> تکاملی نگاهی داشته باشیم.</w:t>
      </w:r>
    </w:p>
    <w:p w14:paraId="2384498F" w14:textId="3FF16A16" w:rsidR="00537CC8" w:rsidRPr="0025250D" w:rsidRDefault="00537CC8" w:rsidP="00537CC8">
      <w:pPr>
        <w:rPr>
          <w:b/>
          <w:bCs/>
          <w:rtl/>
        </w:rPr>
      </w:pPr>
      <w:r w:rsidRPr="0025250D">
        <w:rPr>
          <w:rFonts w:hint="cs"/>
          <w:b/>
          <w:bCs/>
          <w:rtl/>
        </w:rPr>
        <w:t>الف</w:t>
      </w:r>
      <w:r w:rsidR="002C61FC" w:rsidRPr="0025250D">
        <w:rPr>
          <w:b/>
          <w:bCs/>
          <w:rtl/>
        </w:rPr>
        <w:t>) تصورات</w:t>
      </w:r>
      <w:r w:rsidRPr="0025250D">
        <w:rPr>
          <w:rFonts w:hint="cs"/>
          <w:b/>
          <w:bCs/>
          <w:rtl/>
        </w:rPr>
        <w:t>، ترکیبات</w:t>
      </w:r>
      <w:r w:rsidRPr="0025250D">
        <w:rPr>
          <w:b/>
          <w:bCs/>
          <w:vertAlign w:val="superscript"/>
          <w:rtl/>
        </w:rPr>
        <w:footnoteReference w:id="2650"/>
      </w:r>
      <w:r w:rsidRPr="0025250D">
        <w:rPr>
          <w:rFonts w:hint="cs"/>
          <w:b/>
          <w:bCs/>
          <w:rtl/>
        </w:rPr>
        <w:t>، پدیداری‌ها و واگرایی ها</w:t>
      </w:r>
    </w:p>
    <w:p w14:paraId="2506AB86" w14:textId="5F6DC6A5" w:rsidR="00537CC8" w:rsidRPr="0025250D" w:rsidRDefault="00537CC8" w:rsidP="00537CC8">
      <w:pPr>
        <w:rPr>
          <w:rtl/>
        </w:rPr>
      </w:pPr>
      <w:r w:rsidRPr="0025250D">
        <w:rPr>
          <w:rFonts w:hint="cs"/>
          <w:rtl/>
        </w:rPr>
        <w:t xml:space="preserve">تصورات ما بستر </w:t>
      </w:r>
      <w:r w:rsidRPr="0025250D">
        <w:rPr>
          <w:rtl/>
        </w:rPr>
        <w:t>آینده‌نگاری</w:t>
      </w:r>
      <w:r w:rsidRPr="0025250D">
        <w:rPr>
          <w:rFonts w:hint="cs"/>
          <w:rtl/>
        </w:rPr>
        <w:t xml:space="preserve"> تکاملی هستند. نوآوری به‌عنوان یک مهارت با تصور یک ایده، یک محصول، یک خدمت آغاز شود که می‌تواند به اندازه کافی برای </w:t>
      </w:r>
      <w:r w:rsidR="00923DDB" w:rsidRPr="0025250D">
        <w:rPr>
          <w:rFonts w:hint="cs"/>
          <w:rtl/>
        </w:rPr>
        <w:t>به‌کارگیری</w:t>
      </w:r>
      <w:r w:rsidRPr="0025250D">
        <w:rPr>
          <w:rFonts w:hint="cs"/>
          <w:rtl/>
        </w:rPr>
        <w:t>، توسط کسی و در جایی ارزشمند باشد.</w:t>
      </w:r>
    </w:p>
    <w:p w14:paraId="0BEEEC7B" w14:textId="07FDCFCF" w:rsidR="00537CC8" w:rsidRPr="0025250D" w:rsidRDefault="00537CC8" w:rsidP="00537CC8">
      <w:pPr>
        <w:rPr>
          <w:rtl/>
        </w:rPr>
      </w:pPr>
      <w:r w:rsidRPr="0025250D">
        <w:rPr>
          <w:rFonts w:hint="cs"/>
          <w:rtl/>
        </w:rPr>
        <w:t xml:space="preserve">طوفان ذهنی تکنیکی است که معمولاً با تصور ارتباط دارد. این فرایندی است که با تولید تعداد بالایی از ایده‌هایی که نمی‌دانستیم </w:t>
      </w:r>
      <w:r w:rsidR="00B453C0" w:rsidRPr="0025250D">
        <w:rPr>
          <w:rFonts w:hint="cs"/>
          <w:rtl/>
        </w:rPr>
        <w:t>امکان‌پذیر</w:t>
      </w:r>
      <w:r w:rsidRPr="0025250D">
        <w:rPr>
          <w:rFonts w:hint="cs"/>
          <w:rtl/>
        </w:rPr>
        <w:t xml:space="preserve"> هستند و می‌توانند دید ما را برای دیدن نتایج باز کنند، آغاز می‌شود. استفاده از تفکر طراحی، مطالعه ادبیات علمی تخیلی و خلاقانه، استفاده از </w:t>
      </w:r>
      <w:r w:rsidRPr="0025250D">
        <w:t>CLA</w:t>
      </w:r>
      <w:r w:rsidRPr="0025250D">
        <w:rPr>
          <w:rFonts w:hint="cs"/>
          <w:rtl/>
        </w:rPr>
        <w:t xml:space="preserve"> و دیگر روش‌ها می‌توانند به‌شدت توانایی ما برای تصور نتایج را گسترش دهند. روش‌هایی مانند چرخ‌های آینده</w:t>
      </w:r>
      <w:r w:rsidRPr="0025250D">
        <w:rPr>
          <w:vertAlign w:val="superscript"/>
          <w:rtl/>
        </w:rPr>
        <w:footnoteReference w:id="2651"/>
      </w:r>
      <w:r w:rsidRPr="0025250D">
        <w:rPr>
          <w:rFonts w:hint="cs"/>
          <w:rtl/>
        </w:rPr>
        <w:t xml:space="preserve"> که عواقب و نتایج ممکن را از طریق زنجیر‌هایی که از روند مرکزی، رویداد یا مسئله مورد بررسی منشعب می‌شوند ترسیم می‌کند، یک راه مفید دیگر برای تحریک گرافیکی تصور ما برای ترسیم یک فضای ممکن هستند.</w:t>
      </w:r>
    </w:p>
    <w:p w14:paraId="67F2D205" w14:textId="1FB53E78" w:rsidR="00537CC8" w:rsidRPr="0025250D" w:rsidRDefault="00537CC8" w:rsidP="00537CC8">
      <w:pPr>
        <w:rPr>
          <w:rtl/>
        </w:rPr>
      </w:pPr>
      <w:r w:rsidRPr="0025250D">
        <w:rPr>
          <w:rFonts w:hint="cs"/>
          <w:rtl/>
        </w:rPr>
        <w:t xml:space="preserve">یک رویکرد </w:t>
      </w:r>
      <w:r w:rsidRPr="0025250D">
        <w:rPr>
          <w:rtl/>
        </w:rPr>
        <w:t>آینده‌نگاری</w:t>
      </w:r>
      <w:r w:rsidRPr="0025250D">
        <w:rPr>
          <w:rFonts w:hint="cs"/>
          <w:rtl/>
        </w:rPr>
        <w:t xml:space="preserve"> به خوبی بهره برداری شده دیگر بررسی ترکیباتی از موارد ممکن است. این رویکرد می‌تواند در سطح خوبی از دانه بندی</w:t>
      </w:r>
      <w:r w:rsidRPr="0025250D">
        <w:rPr>
          <w:vertAlign w:val="superscript"/>
          <w:rtl/>
        </w:rPr>
        <w:footnoteReference w:id="2652"/>
      </w:r>
      <w:r w:rsidRPr="0025250D">
        <w:rPr>
          <w:rFonts w:hint="cs"/>
          <w:rtl/>
        </w:rPr>
        <w:t>، با روش‌هایی مانند تحلیل</w:t>
      </w:r>
      <w:r w:rsidRPr="0025250D">
        <w:rPr>
          <w:rtl/>
        </w:rPr>
        <w:t xml:space="preserve"> </w:t>
      </w:r>
      <w:r w:rsidRPr="0025250D">
        <w:rPr>
          <w:rFonts w:hint="cs"/>
          <w:rtl/>
        </w:rPr>
        <w:t>اثرات</w:t>
      </w:r>
      <w:r w:rsidRPr="0025250D">
        <w:rPr>
          <w:rtl/>
        </w:rPr>
        <w:t xml:space="preserve"> </w:t>
      </w:r>
      <w:r w:rsidRPr="0025250D">
        <w:rPr>
          <w:rFonts w:hint="cs"/>
          <w:rtl/>
        </w:rPr>
        <w:t xml:space="preserve">متقابل، راهی برای بررسی نتایج با کنار هم قرار دادن عوامل، مسائل یا دیگر کمیت‌های علّی در یک ماتریس </w:t>
      </w:r>
      <w:r w:rsidRPr="0025250D">
        <w:t>n</w:t>
      </w:r>
      <w:r w:rsidRPr="0025250D">
        <w:rPr>
          <w:rFonts w:ascii="Cambria Math" w:hAnsi="Cambria Math" w:cs="Cambria Math"/>
        </w:rPr>
        <w:t>⨯</w:t>
      </w:r>
      <w:r w:rsidRPr="0025250D">
        <w:t>n</w:t>
      </w:r>
      <w:r w:rsidRPr="0025250D">
        <w:rPr>
          <w:rFonts w:hint="cs"/>
          <w:rtl/>
        </w:rPr>
        <w:t>، یا یک مجموعه‌ای از ماتریس‌های با ابعاد پایین و بررسی همه ایده‌ها یا نتایج پیشنهاد شده توسط ترکیب هر یک از آن کمیت‌ها، انجام شود. مکان‌های بسیاری در این ماتریس می‌توانند احمقانه باشند و سبب شوند که ما ترکیباتی از کلمات و ایده‌هایی را که منطقی نیستند در نظر بگیریم</w:t>
      </w:r>
      <w:r w:rsidR="008D6F97" w:rsidRPr="0025250D">
        <w:rPr>
          <w:rtl/>
        </w:rPr>
        <w:t xml:space="preserve">؛ </w:t>
      </w:r>
      <w:r w:rsidR="0020589F" w:rsidRPr="0025250D">
        <w:rPr>
          <w:rtl/>
        </w:rPr>
        <w:t>اما</w:t>
      </w:r>
      <w:r w:rsidRPr="0025250D">
        <w:rPr>
          <w:rFonts w:hint="cs"/>
          <w:rtl/>
        </w:rPr>
        <w:t xml:space="preserve"> تلاش برای معنادهی به ترکیبات عجیب می‌تواند بینشی ایجاد کند و شرایط و امکان‌های جدیدی را که هنوز در نظر گرفته ن</w:t>
      </w:r>
      <w:r w:rsidR="00185F3E" w:rsidRPr="0025250D">
        <w:rPr>
          <w:rFonts w:hint="cs"/>
          <w:rtl/>
        </w:rPr>
        <w:t>شده‌اند</w:t>
      </w:r>
      <w:r w:rsidRPr="0025250D">
        <w:rPr>
          <w:rFonts w:hint="cs"/>
          <w:rtl/>
        </w:rPr>
        <w:t xml:space="preserve"> آشکار کند.</w:t>
      </w:r>
    </w:p>
    <w:p w14:paraId="696FF184" w14:textId="4C30947F" w:rsidR="00537CC8" w:rsidRPr="0025250D" w:rsidRDefault="00537CC8" w:rsidP="00537CC8">
      <w:pPr>
        <w:rPr>
          <w:rtl/>
        </w:rPr>
      </w:pPr>
      <w:r w:rsidRPr="0025250D">
        <w:rPr>
          <w:rFonts w:hint="cs"/>
          <w:rtl/>
        </w:rPr>
        <w:t xml:space="preserve">ما همچنین می‌توانیم برآمدهای ممکن را در یک سطح از دانه بندی درشت با روش‌هایی مانند </w:t>
      </w:r>
      <w:r w:rsidR="007A53FD" w:rsidRPr="0025250D">
        <w:rPr>
          <w:rFonts w:hint="cs"/>
          <w:rtl/>
        </w:rPr>
        <w:t>فرانامه</w:t>
      </w:r>
      <w:r w:rsidRPr="0025250D">
        <w:rPr>
          <w:rFonts w:hint="cs"/>
          <w:rtl/>
        </w:rPr>
        <w:t xml:space="preserve"> سازی</w:t>
      </w:r>
      <w:r w:rsidR="008D6F97" w:rsidRPr="0025250D">
        <w:rPr>
          <w:rtl/>
        </w:rPr>
        <w:t xml:space="preserve"> </w:t>
      </w:r>
      <w:r w:rsidRPr="0025250D">
        <w:rPr>
          <w:rFonts w:hint="cs"/>
          <w:rtl/>
        </w:rPr>
        <w:t>که از ما می‌خواهد که برآمدها، علل یا نیروهای پیشران مشخصا مهم یا غیر قطعی را، تنها در چند بعد، تعیین کنیم و داستان‌هایی درمورد آینده‌هایی ایجاد کنیم که</w:t>
      </w:r>
      <w:r w:rsidR="002B405B" w:rsidRPr="0025250D">
        <w:rPr>
          <w:rFonts w:hint="cs"/>
          <w:rtl/>
        </w:rPr>
        <w:t xml:space="preserve"> تنها</w:t>
      </w:r>
      <w:r w:rsidRPr="0025250D">
        <w:rPr>
          <w:rFonts w:hint="cs"/>
          <w:rtl/>
        </w:rPr>
        <w:t xml:space="preserve"> در صورتی</w:t>
      </w:r>
      <w:r w:rsidR="002B405B" w:rsidRPr="0025250D">
        <w:rPr>
          <w:rFonts w:hint="cs"/>
          <w:rtl/>
        </w:rPr>
        <w:t xml:space="preserve"> وجود خواهند داشت</w:t>
      </w:r>
      <w:r w:rsidRPr="0025250D">
        <w:rPr>
          <w:rFonts w:hint="cs"/>
          <w:rtl/>
        </w:rPr>
        <w:t xml:space="preserve"> که آن ترکیبات مشخص رخ دهند.</w:t>
      </w:r>
    </w:p>
    <w:p w14:paraId="06913DC8" w14:textId="35992FB2" w:rsidR="00537CC8" w:rsidRPr="0025250D" w:rsidRDefault="00537CC8" w:rsidP="00537CC8">
      <w:pPr>
        <w:rPr>
          <w:rtl/>
        </w:rPr>
      </w:pPr>
      <w:r w:rsidRPr="0025250D">
        <w:rPr>
          <w:rFonts w:hint="cs"/>
          <w:rtl/>
        </w:rPr>
        <w:t>پدیداری‌ها</w:t>
      </w:r>
      <w:r w:rsidR="008D6F97" w:rsidRPr="0025250D">
        <w:rPr>
          <w:rtl/>
        </w:rPr>
        <w:t xml:space="preserve"> </w:t>
      </w:r>
      <w:r w:rsidRPr="0025250D">
        <w:rPr>
          <w:rFonts w:hint="cs"/>
          <w:rtl/>
        </w:rPr>
        <w:t xml:space="preserve">یا جستجو برای یافتن </w:t>
      </w:r>
      <w:r w:rsidR="008D6F97" w:rsidRPr="0025250D">
        <w:rPr>
          <w:rFonts w:hint="cs"/>
          <w:rtl/>
        </w:rPr>
        <w:t>سامانه‌</w:t>
      </w:r>
      <w:r w:rsidRPr="0025250D">
        <w:rPr>
          <w:rFonts w:hint="cs"/>
          <w:rtl/>
        </w:rPr>
        <w:t xml:space="preserve">‌های </w:t>
      </w:r>
      <w:r w:rsidR="00AE5BE0" w:rsidRPr="0025250D">
        <w:rPr>
          <w:rFonts w:hint="cs"/>
          <w:rtl/>
        </w:rPr>
        <w:t>انطباقی</w:t>
      </w:r>
      <w:r w:rsidRPr="0025250D">
        <w:rPr>
          <w:rFonts w:hint="cs"/>
          <w:rtl/>
        </w:rPr>
        <w:t xml:space="preserve"> در حال ظهور پیچیده‌ای که فرا‌تر از مجموع بخش‌های ترکیب شده خود هستند که از طریق تعامل جمعی قواعد و </w:t>
      </w:r>
      <w:r w:rsidR="008D6F97" w:rsidRPr="0025250D">
        <w:rPr>
          <w:rFonts w:hint="cs"/>
          <w:rtl/>
        </w:rPr>
        <w:t>سامانه‌</w:t>
      </w:r>
      <w:r w:rsidRPr="0025250D">
        <w:rPr>
          <w:rFonts w:hint="cs"/>
          <w:rtl/>
        </w:rPr>
        <w:t>‌های ساده‌تر رخ می‌دهند، یک راه قدرتمند دیگر برای بررسی فضای موارد ممکن است. پدیداری‌های اندکی توسعه‌ای خواهند بود، اما اکثریت آن‌ها تکاملی خواهند بود که در زمان‌ها و مکان‌های خاصی مفید هستند، اما به صورت گسترده بهینه نیستند. کتاب‌های پدیداری</w:t>
      </w:r>
      <w:r w:rsidRPr="0025250D">
        <w:rPr>
          <w:vertAlign w:val="superscript"/>
          <w:rtl/>
        </w:rPr>
        <w:footnoteReference w:id="2653"/>
      </w:r>
      <w:r w:rsidRPr="0025250D">
        <w:rPr>
          <w:rFonts w:hint="cs"/>
          <w:rtl/>
        </w:rPr>
        <w:t xml:space="preserve"> اثر </w:t>
      </w:r>
      <w:r w:rsidRPr="0025250D">
        <w:rPr>
          <w:rtl/>
        </w:rPr>
        <w:t>جان هالند</w:t>
      </w:r>
      <w:r w:rsidRPr="0025250D">
        <w:rPr>
          <w:vertAlign w:val="superscript"/>
          <w:rtl/>
        </w:rPr>
        <w:footnoteReference w:id="2654"/>
      </w:r>
      <w:r w:rsidRPr="0025250D">
        <w:rPr>
          <w:rFonts w:hint="cs"/>
          <w:rtl/>
        </w:rPr>
        <w:t xml:space="preserve"> در سال و پدیداری اثر </w:t>
      </w:r>
      <w:r w:rsidRPr="0025250D">
        <w:rPr>
          <w:rtl/>
        </w:rPr>
        <w:t>است</w:t>
      </w:r>
      <w:r w:rsidRPr="0025250D">
        <w:rPr>
          <w:rFonts w:hint="cs"/>
          <w:rtl/>
        </w:rPr>
        <w:t>ی</w:t>
      </w:r>
      <w:r w:rsidRPr="0025250D">
        <w:rPr>
          <w:rFonts w:hint="eastAsia"/>
          <w:rtl/>
        </w:rPr>
        <w:t>ون</w:t>
      </w:r>
      <w:r w:rsidRPr="0025250D">
        <w:rPr>
          <w:rtl/>
        </w:rPr>
        <w:t xml:space="preserve"> جانسون</w:t>
      </w:r>
      <w:r w:rsidRPr="0025250D">
        <w:rPr>
          <w:vertAlign w:val="superscript"/>
          <w:rtl/>
        </w:rPr>
        <w:footnoteReference w:id="2655"/>
      </w:r>
      <w:r w:rsidRPr="0025250D">
        <w:rPr>
          <w:rFonts w:hint="cs"/>
          <w:rtl/>
        </w:rPr>
        <w:t xml:space="preserve"> در سال 2002 مقدمه‌های خوبی برای این فرایند فراگیر ارائه می‌دهند. </w:t>
      </w:r>
      <w:r w:rsidR="008D6F97" w:rsidRPr="0025250D">
        <w:rPr>
          <w:rFonts w:hint="cs"/>
          <w:rtl/>
        </w:rPr>
        <w:t>سامانه‌</w:t>
      </w:r>
      <w:r w:rsidRPr="0025250D">
        <w:rPr>
          <w:rFonts w:hint="cs"/>
          <w:rtl/>
        </w:rPr>
        <w:t xml:space="preserve">‌های </w:t>
      </w:r>
      <w:r w:rsidR="00AE5BE0" w:rsidRPr="0025250D">
        <w:rPr>
          <w:rFonts w:hint="cs"/>
          <w:rtl/>
        </w:rPr>
        <w:t>انطباقی</w:t>
      </w:r>
      <w:r w:rsidRPr="0025250D">
        <w:rPr>
          <w:rFonts w:hint="cs"/>
          <w:rtl/>
        </w:rPr>
        <w:t xml:space="preserve"> پیچیده</w:t>
      </w:r>
      <w:r w:rsidRPr="0025250D">
        <w:rPr>
          <w:vertAlign w:val="superscript"/>
          <w:rtl/>
        </w:rPr>
        <w:footnoteReference w:id="2656"/>
      </w:r>
      <w:r w:rsidRPr="0025250D">
        <w:rPr>
          <w:rFonts w:hint="cs"/>
          <w:rtl/>
        </w:rPr>
        <w:t xml:space="preserve"> اثر </w:t>
      </w:r>
      <w:r w:rsidRPr="0025250D">
        <w:rPr>
          <w:rtl/>
        </w:rPr>
        <w:t>م</w:t>
      </w:r>
      <w:r w:rsidRPr="0025250D">
        <w:rPr>
          <w:rFonts w:hint="cs"/>
          <w:rtl/>
        </w:rPr>
        <w:t>ی</w:t>
      </w:r>
      <w:r w:rsidRPr="0025250D">
        <w:rPr>
          <w:rFonts w:hint="eastAsia"/>
          <w:rtl/>
        </w:rPr>
        <w:t>لر</w:t>
      </w:r>
      <w:r w:rsidRPr="0025250D">
        <w:rPr>
          <w:rtl/>
        </w:rPr>
        <w:t xml:space="preserve"> و پ</w:t>
      </w:r>
      <w:r w:rsidRPr="0025250D">
        <w:rPr>
          <w:rFonts w:hint="cs"/>
          <w:rtl/>
        </w:rPr>
        <w:t>ی</w:t>
      </w:r>
      <w:r w:rsidRPr="0025250D">
        <w:rPr>
          <w:rFonts w:hint="eastAsia"/>
          <w:rtl/>
        </w:rPr>
        <w:t>ج</w:t>
      </w:r>
      <w:r w:rsidRPr="0025250D">
        <w:rPr>
          <w:vertAlign w:val="superscript"/>
          <w:rtl/>
        </w:rPr>
        <w:footnoteReference w:id="2657"/>
      </w:r>
      <w:r w:rsidRPr="0025250D">
        <w:rPr>
          <w:rFonts w:hint="cs"/>
          <w:rtl/>
        </w:rPr>
        <w:t xml:space="preserve"> در سال 2007 یک مطالعه فنی مورد توجه است. تفکر دقیق و محتاطانه درمورد شرایط لازم برای پدیداری </w:t>
      </w:r>
      <w:r w:rsidR="008D6F97" w:rsidRPr="0025250D">
        <w:rPr>
          <w:rFonts w:hint="cs"/>
          <w:rtl/>
        </w:rPr>
        <w:t>سامانه‌</w:t>
      </w:r>
      <w:r w:rsidRPr="0025250D">
        <w:rPr>
          <w:rFonts w:hint="cs"/>
          <w:rtl/>
        </w:rPr>
        <w:t xml:space="preserve">‌های </w:t>
      </w:r>
      <w:r w:rsidR="00AE5BE0" w:rsidRPr="0025250D">
        <w:rPr>
          <w:rFonts w:hint="cs"/>
          <w:rtl/>
        </w:rPr>
        <w:t>انطباقی</w:t>
      </w:r>
      <w:r w:rsidRPr="0025250D">
        <w:rPr>
          <w:rFonts w:hint="cs"/>
          <w:rtl/>
        </w:rPr>
        <w:t xml:space="preserve"> جدید در فیزیک، شیمی و زیست شناسی، می‌توانند به ما برای جستجویی دقیق نسبت به آن شرایط در جامعه و </w:t>
      </w:r>
      <w:r w:rsidR="007A53FD" w:rsidRPr="0025250D">
        <w:rPr>
          <w:rFonts w:hint="cs"/>
          <w:rtl/>
        </w:rPr>
        <w:t>فناوری</w:t>
      </w:r>
      <w:r w:rsidRPr="0025250D">
        <w:rPr>
          <w:rFonts w:hint="cs"/>
          <w:rtl/>
        </w:rPr>
        <w:t xml:space="preserve"> کمک کند.</w:t>
      </w:r>
    </w:p>
    <w:p w14:paraId="0CFBD98E" w14:textId="1E0F413E" w:rsidR="00537CC8" w:rsidRPr="0025250D" w:rsidRDefault="00537CC8" w:rsidP="00537CC8">
      <w:pPr>
        <w:rPr>
          <w:rtl/>
        </w:rPr>
      </w:pPr>
      <w:r w:rsidRPr="0025250D">
        <w:rPr>
          <w:rFonts w:hint="cs"/>
          <w:rtl/>
        </w:rPr>
        <w:t xml:space="preserve">مجموعه دیگری از ابزارهای قدرتمند مبتنی بر مهندسی برای </w:t>
      </w:r>
      <w:r w:rsidRPr="0025250D">
        <w:rPr>
          <w:rtl/>
        </w:rPr>
        <w:t>آینده‌نگاری</w:t>
      </w:r>
      <w:r w:rsidRPr="0025250D">
        <w:rPr>
          <w:rFonts w:hint="cs"/>
          <w:rtl/>
        </w:rPr>
        <w:t xml:space="preserve"> موارد ممکن شامل کاوش ساختار بندی شده واگرایی‌ها از شرایط فعلی ما است.</w:t>
      </w:r>
      <w:r w:rsidR="0020589F" w:rsidRPr="0025250D">
        <w:rPr>
          <w:rtl/>
        </w:rPr>
        <w:t xml:space="preserve"> چرخ</w:t>
      </w:r>
      <w:r w:rsidRPr="0025250D">
        <w:rPr>
          <w:rFonts w:hint="cs"/>
          <w:rtl/>
        </w:rPr>
        <w:t xml:space="preserve">‌های آینده می‌توانند این کار را در یک سطح پایه‌ای انجام دهند، اما روش‌های رسمی قدرتمند متعدد دیگری مانند </w:t>
      </w:r>
      <w:r w:rsidRPr="0025250D">
        <w:t>TRIZ</w:t>
      </w:r>
      <w:r w:rsidRPr="0025250D">
        <w:rPr>
          <w:rFonts w:hint="cs"/>
          <w:rtl/>
        </w:rPr>
        <w:t>، تحلیل ریخت شناسی</w:t>
      </w:r>
      <w:r w:rsidRPr="0025250D">
        <w:rPr>
          <w:vertAlign w:val="superscript"/>
          <w:rtl/>
        </w:rPr>
        <w:footnoteReference w:id="2658"/>
      </w:r>
      <w:r w:rsidRPr="0025250D">
        <w:rPr>
          <w:rFonts w:hint="cs"/>
          <w:rtl/>
        </w:rPr>
        <w:t xml:space="preserve"> و تحلیل درجات آزادی</w:t>
      </w:r>
      <w:r w:rsidRPr="0025250D">
        <w:rPr>
          <w:vertAlign w:val="superscript"/>
          <w:rtl/>
        </w:rPr>
        <w:footnoteReference w:id="2659"/>
      </w:r>
      <w:r w:rsidRPr="0025250D">
        <w:rPr>
          <w:rFonts w:hint="cs"/>
          <w:rtl/>
        </w:rPr>
        <w:t xml:space="preserve"> وجود دارند که می‌توانند برای کاوش ابعاد </w:t>
      </w:r>
      <w:r w:rsidR="008D6F97" w:rsidRPr="0025250D">
        <w:rPr>
          <w:rFonts w:hint="cs"/>
          <w:rtl/>
        </w:rPr>
        <w:t>سامانه‌</w:t>
      </w:r>
      <w:r w:rsidRPr="0025250D">
        <w:rPr>
          <w:rFonts w:hint="cs"/>
          <w:rtl/>
        </w:rPr>
        <w:t xml:space="preserve">‌های پیچیده استفاده شوند. یک رویکرد مشخصا امیدوار کننده در بررسی واگرایی‌ها جستجوی بسیار به ویژه برای </w:t>
      </w:r>
      <w:r w:rsidR="008D6F97" w:rsidRPr="0025250D">
        <w:rPr>
          <w:rFonts w:hint="cs"/>
          <w:rtl/>
        </w:rPr>
        <w:t>سامانه‌</w:t>
      </w:r>
      <w:r w:rsidRPr="0025250D">
        <w:rPr>
          <w:rFonts w:hint="cs"/>
          <w:rtl/>
        </w:rPr>
        <w:t>‌ها، پلتفرم‌ها یا ابزارهای در حال ظهور جدید است که به‌شدت گزینه‌های فکری یا رفتاری موجود برای مردم را بهبود خواهند داد. پدیده‌هایی مانند الکتریسیته، اتومبیل‌ها، کامپیوترها، گوشی‌های تلفن همراه و نرم افزار‌ها اغلب واگرایی‌های قدرتمندی ایجاد می‌کنند که به‌شدت فضای موارد ممکن اجتماعی را گسترش می‌دهند.</w:t>
      </w:r>
    </w:p>
    <w:p w14:paraId="34D5E365" w14:textId="3F7A6E82" w:rsidR="00537CC8" w:rsidRPr="0025250D" w:rsidRDefault="00537CC8" w:rsidP="00537CC8">
      <w:pPr>
        <w:rPr>
          <w:rtl/>
        </w:rPr>
      </w:pPr>
      <w:r w:rsidRPr="0025250D">
        <w:rPr>
          <w:rFonts w:hint="cs"/>
          <w:rtl/>
        </w:rPr>
        <w:t xml:space="preserve">با توانایی فکری انفرادی محدود خود، ما اغلب در تفکر جامع درمورد آنچه در ادامه پس از نقاط واگرایی رخ خواهد داد بسیار ضعیف هستیم. هر ابزار جدیدی می‌تواند هزاران کاربرد احتمالی داشته باشد و وقتی از راه برسد، اغلب تنها چند مورد از آن‌ها را خواهیم دید. با کار در شبکه‌های بزرگ و از نظر شناختی و تجربی متنوع، می‌توانیم بر بسیاری از محدودیت‌های فکری فردی خود فائق آییم. این امر به ویژه، وقتی نوعی آزادی جدید مانند </w:t>
      </w:r>
      <w:r w:rsidRPr="0025250D">
        <w:rPr>
          <w:rtl/>
        </w:rPr>
        <w:t>تو</w:t>
      </w:r>
      <w:r w:rsidRPr="0025250D">
        <w:rPr>
          <w:rFonts w:hint="cs"/>
          <w:rtl/>
        </w:rPr>
        <w:t>یی</w:t>
      </w:r>
      <w:r w:rsidRPr="0025250D">
        <w:rPr>
          <w:rFonts w:hint="eastAsia"/>
          <w:rtl/>
        </w:rPr>
        <w:t>تر</w:t>
      </w:r>
      <w:r w:rsidRPr="0025250D">
        <w:rPr>
          <w:rFonts w:hint="cs"/>
          <w:rtl/>
        </w:rPr>
        <w:t xml:space="preserve"> با کاربران و بافت‌های غالب از نظر توسعه‌ای پدیدار می‌شود، به طور مشخص مفید است. ما باید از نظر ذهنی موارد استفاده ممکن بسیاری را قبل از این که ببینیم که </w:t>
      </w:r>
      <w:r w:rsidRPr="0025250D">
        <w:rPr>
          <w:rtl/>
        </w:rPr>
        <w:t>تو</w:t>
      </w:r>
      <w:r w:rsidRPr="0025250D">
        <w:rPr>
          <w:rFonts w:hint="cs"/>
          <w:rtl/>
        </w:rPr>
        <w:t>یی</w:t>
      </w:r>
      <w:r w:rsidRPr="0025250D">
        <w:rPr>
          <w:rFonts w:hint="eastAsia"/>
          <w:rtl/>
        </w:rPr>
        <w:t>تر</w:t>
      </w:r>
      <w:r w:rsidRPr="0025250D">
        <w:rPr>
          <w:rFonts w:hint="cs"/>
          <w:rtl/>
        </w:rPr>
        <w:t xml:space="preserve"> به طور مشخص برای افراد معروف و دیگر کاربران شبکه‌های اجتماعی تولید کننده محتوا و برای </w:t>
      </w:r>
      <w:r w:rsidR="00A20CCB" w:rsidRPr="0025250D">
        <w:rPr>
          <w:rFonts w:hint="cs"/>
          <w:rtl/>
        </w:rPr>
        <w:t>به‌روزرسانی</w:t>
      </w:r>
      <w:r w:rsidRPr="0025250D">
        <w:rPr>
          <w:rFonts w:hint="cs"/>
          <w:rtl/>
        </w:rPr>
        <w:t>‌های جمعی سریع با استفاده از گوشی‌های هوشمند، مثلا در بهار عربی (2010-2012) مفید است، در نظر بگیریم.</w:t>
      </w:r>
    </w:p>
    <w:p w14:paraId="0C81661F" w14:textId="1A76709C" w:rsidR="00537CC8" w:rsidRPr="0025250D" w:rsidRDefault="00537CC8" w:rsidP="00537CC8">
      <w:pPr>
        <w:rPr>
          <w:b/>
          <w:bCs/>
          <w:rtl/>
        </w:rPr>
      </w:pPr>
      <w:r w:rsidRPr="0025250D">
        <w:rPr>
          <w:rFonts w:hint="cs"/>
          <w:b/>
          <w:bCs/>
          <w:rtl/>
        </w:rPr>
        <w:t xml:space="preserve">ب) عدم قطعیت‌ها، ناشناخته‌ها، فرصت‌ها، ریسک‌ها و </w:t>
      </w:r>
      <w:r w:rsidR="00923DDB" w:rsidRPr="0025250D">
        <w:rPr>
          <w:rFonts w:hint="cs"/>
          <w:b/>
          <w:bCs/>
          <w:rtl/>
        </w:rPr>
        <w:t>شگفتی‌ساز</w:t>
      </w:r>
      <w:r w:rsidRPr="0025250D">
        <w:rPr>
          <w:rFonts w:hint="cs"/>
          <w:b/>
          <w:bCs/>
          <w:rtl/>
        </w:rPr>
        <w:t xml:space="preserve"> ها</w:t>
      </w:r>
    </w:p>
    <w:p w14:paraId="5B37713A" w14:textId="785FEC6F" w:rsidR="00537CC8" w:rsidRPr="0025250D" w:rsidRDefault="00537CC8" w:rsidP="00537CC8">
      <w:pPr>
        <w:rPr>
          <w:rtl/>
        </w:rPr>
      </w:pPr>
      <w:r w:rsidRPr="0025250D">
        <w:rPr>
          <w:rFonts w:hint="cs"/>
          <w:rtl/>
        </w:rPr>
        <w:t xml:space="preserve">ترسیم عدم قطعیت‌های احتمالا مرتبط (متغیر‌های پیشنهادی، اما با ارزش‌های دارای ارتباط ضعیف) و ناشناخته‌ها (متغیر‌های ناشناخته و بدون ارتباط) از طریق پیمایش یا انجام یک دلفی در یک گروه متنوع از ذینفعان، موارد ممکن اضافی بسیاری را در اختیار </w:t>
      </w:r>
      <w:r w:rsidRPr="0025250D">
        <w:rPr>
          <w:rtl/>
        </w:rPr>
        <w:t>آینده‌نگار</w:t>
      </w:r>
      <w:r w:rsidRPr="0025250D">
        <w:rPr>
          <w:rFonts w:hint="cs"/>
          <w:rtl/>
        </w:rPr>
        <w:t>ان خواهد گذاشت. ما می‌توانیم از ذینفعان خود سؤالاتی درمورد این که نگران چه نتایج یا مسائلی هستند یا از چه مواردی می‌ترسند و این که از چه مواردی دانش اندکی دارند و هیچگاه تصور نمی‌کنند که ممکن است مرتبط باشند، بپرسیم.</w:t>
      </w:r>
    </w:p>
    <w:p w14:paraId="78FFA039" w14:textId="1D0CB25D" w:rsidR="00537CC8" w:rsidRPr="0025250D" w:rsidRDefault="00537CC8" w:rsidP="00537CC8">
      <w:pPr>
        <w:rPr>
          <w:rtl/>
        </w:rPr>
      </w:pPr>
      <w:r w:rsidRPr="0025250D">
        <w:rPr>
          <w:rFonts w:hint="cs"/>
          <w:rtl/>
        </w:rPr>
        <w:t xml:space="preserve">عدم قطعیت‌ها و ناشناخته‌ها می‌توانند اغلب با انجام تحقیقات یا یادگیری محدود شوند. می‌توانیم خلاصه‌ای از یافته‌های خود را در اختیار دیگران بگذاریم و به یک پیمایش سریع یا دلفی برای دیدن این که آیا هیچ توافقی وجود دارد یا خیر رو آوریم یا یک حلقه انجام ذهنی برای آن‌ها جهت دیدن این که چه موارد عملی و بازخوردی تولید می‌کنند، ایجاد کنیم. با رشد </w:t>
      </w:r>
      <w:r w:rsidRPr="0025250D">
        <w:rPr>
          <w:rtl/>
        </w:rPr>
        <w:t>آینده‌نگاری</w:t>
      </w:r>
      <w:r w:rsidRPr="0025250D">
        <w:rPr>
          <w:rFonts w:hint="cs"/>
          <w:rtl/>
        </w:rPr>
        <w:t xml:space="preserve">، می‌توانیم بسیاری از آن‌ها را به دیگر دسته بندی‌های </w:t>
      </w:r>
      <w:r w:rsidRPr="0025250D">
        <w:rPr>
          <w:rtl/>
        </w:rPr>
        <w:t>آینده‌نگاری</w:t>
      </w:r>
      <w:r w:rsidRPr="0025250D">
        <w:rPr>
          <w:rFonts w:hint="cs"/>
          <w:rtl/>
        </w:rPr>
        <w:t xml:space="preserve"> (فرصت‌ها، ریسک‌ها، </w:t>
      </w:r>
      <w:r w:rsidR="00923DDB" w:rsidRPr="0025250D">
        <w:rPr>
          <w:rFonts w:hint="cs"/>
          <w:rtl/>
        </w:rPr>
        <w:t>شگفتی‌ساز</w:t>
      </w:r>
      <w:r w:rsidRPr="0025250D">
        <w:rPr>
          <w:rFonts w:hint="cs"/>
          <w:rtl/>
        </w:rPr>
        <w:t>‌ها و غیره) تقسیم کرده و بهتر توصیف کنیم.</w:t>
      </w:r>
    </w:p>
    <w:p w14:paraId="01B2A8F7" w14:textId="3BB3D00E" w:rsidR="00537CC8" w:rsidRPr="0025250D" w:rsidRDefault="00537CC8" w:rsidP="00537CC8">
      <w:pPr>
        <w:rPr>
          <w:rtl/>
        </w:rPr>
      </w:pPr>
      <w:r w:rsidRPr="0025250D">
        <w:rPr>
          <w:rFonts w:hint="cs"/>
          <w:rtl/>
        </w:rPr>
        <w:t xml:space="preserve">فرصت‌ها موارد ممکنی هستند که برای ما ارزشمند هستند. با بحث درمورد آن‌ها، ما به </w:t>
      </w:r>
      <w:r w:rsidRPr="0025250D">
        <w:rPr>
          <w:rtl/>
        </w:rPr>
        <w:t>آینده‌نگاری</w:t>
      </w:r>
      <w:r w:rsidRPr="0025250D">
        <w:rPr>
          <w:rFonts w:hint="cs"/>
          <w:rtl/>
        </w:rPr>
        <w:t xml:space="preserve"> ترجیحات وارد شده ایم. چگونگی تولید فهرست‌ها و نقشه‌های فرصت‌های امروز معمولاً بسیار تکاملی، پایین به بالا، مشروط</w:t>
      </w:r>
      <w:r w:rsidRPr="0025250D">
        <w:rPr>
          <w:vertAlign w:val="superscript"/>
          <w:rtl/>
        </w:rPr>
        <w:footnoteReference w:id="2660"/>
      </w:r>
      <w:r w:rsidRPr="0025250D">
        <w:rPr>
          <w:rFonts w:hint="cs"/>
          <w:rtl/>
        </w:rPr>
        <w:t xml:space="preserve"> و ذهنی</w:t>
      </w:r>
      <w:r w:rsidRPr="0025250D">
        <w:rPr>
          <w:vertAlign w:val="superscript"/>
          <w:rtl/>
        </w:rPr>
        <w:footnoteReference w:id="2661"/>
      </w:r>
      <w:r w:rsidRPr="0025250D">
        <w:rPr>
          <w:rFonts w:hint="cs"/>
          <w:rtl/>
        </w:rPr>
        <w:t xml:space="preserve"> است. این نوع رویکرد شاید در بیش‌تر شرایط منطقی باشد. رویکردهای توسعه‌ای درمورد فرصت‌ها شامل روش‌هایی مانند تحلیل گزینه‌های واقعی</w:t>
      </w:r>
      <w:r w:rsidRPr="0025250D">
        <w:rPr>
          <w:vertAlign w:val="superscript"/>
          <w:rtl/>
        </w:rPr>
        <w:footnoteReference w:id="2662"/>
      </w:r>
      <w:r w:rsidRPr="0025250D">
        <w:rPr>
          <w:rFonts w:hint="cs"/>
          <w:rtl/>
        </w:rPr>
        <w:t xml:space="preserve"> که به دنبال کمّی سازی احتمال نسبی برآمدها است و ارزش نسبی </w:t>
      </w:r>
      <w:r w:rsidR="00F50EB4" w:rsidRPr="0025250D">
        <w:rPr>
          <w:rFonts w:hint="cs"/>
          <w:rtl/>
        </w:rPr>
        <w:t>سرمایه‌گذاری</w:t>
      </w:r>
      <w:r w:rsidRPr="0025250D">
        <w:rPr>
          <w:rFonts w:hint="cs"/>
          <w:rtl/>
        </w:rPr>
        <w:t>‌های تجاری رقابتی می‌شود. انجام و تمرین این روش‌ها، در شرایط ضعیف فعلی ما از نظر محاسباتی و کمّی بسیار دشوار‌تر است. وقتی هوش‌های مصنوعی شخصی به اندازه کافی هوشمند برای کمک به خود داشته باشیم، می‌توانیم فرض کنیم که رویکرد‌های کمّی‌تر و پیش‌بینی کننده‌تر نسبت به فرصت‌ها به سرعت رشد خواهند کرد.</w:t>
      </w:r>
    </w:p>
    <w:p w14:paraId="3E08C1C1" w14:textId="689F8EFB" w:rsidR="00537CC8" w:rsidRPr="0025250D" w:rsidRDefault="00537CC8" w:rsidP="00537CC8">
      <w:pPr>
        <w:rPr>
          <w:rtl/>
        </w:rPr>
      </w:pPr>
      <w:r w:rsidRPr="0025250D">
        <w:rPr>
          <w:rFonts w:hint="cs"/>
          <w:rtl/>
        </w:rPr>
        <w:t>ریسک‌ها موارد ممکنی هستند که می‌خواهیم از آن‌ها جلوگیری کنیم. مدیریت ریسک تعداد زیادی از روش‌های رسمی را شامل می‌شود که بسیاری از آن‌ها شامل تخمین احتمالات هستند. با این حال قاعده 95/5 به ما یادآوری می‌کند که ارزیابی ریسک همواره عمدتا یک عمل خلاقانه و تکاملی است. خوشبختانه، هر چه گروه ما از نظر شناختی و تصور متنوع‌تر باشد، بهتر می‌توانیم دورنمای ریسک را ببینیم</w:t>
      </w:r>
      <w:r w:rsidR="008D6F97" w:rsidRPr="0025250D">
        <w:rPr>
          <w:rtl/>
        </w:rPr>
        <w:t>؛ و</w:t>
      </w:r>
      <w:r w:rsidRPr="0025250D">
        <w:rPr>
          <w:rFonts w:hint="cs"/>
          <w:rtl/>
        </w:rPr>
        <w:t xml:space="preserve"> البته، هرچه آن‌ها تجربه بیش‌تری در </w:t>
      </w:r>
      <w:r w:rsidR="00923DDB" w:rsidRPr="0025250D">
        <w:rPr>
          <w:rFonts w:hint="cs"/>
          <w:rtl/>
        </w:rPr>
        <w:t>پیش‌انگاری</w:t>
      </w:r>
      <w:r w:rsidRPr="0025250D">
        <w:rPr>
          <w:rFonts w:hint="cs"/>
          <w:rtl/>
        </w:rPr>
        <w:t xml:space="preserve"> (</w:t>
      </w:r>
      <w:r w:rsidR="00FB6A7E" w:rsidRPr="0025250D">
        <w:rPr>
          <w:rFonts w:hint="cs"/>
          <w:rtl/>
        </w:rPr>
        <w:t>پیش‌نگری</w:t>
      </w:r>
      <w:r w:rsidRPr="0025250D">
        <w:rPr>
          <w:rFonts w:hint="cs"/>
          <w:rtl/>
        </w:rPr>
        <w:t xml:space="preserve"> و پیش‌بینی) داشته باشند، ارزیابی احتمالی آن‌ها می‌تواند دقیق‌تر و واریانس آن‌ها محدود‌تر باشد. کتاب شکست مدیریت ریسک</w:t>
      </w:r>
      <w:r w:rsidRPr="0025250D">
        <w:rPr>
          <w:vertAlign w:val="superscript"/>
          <w:rtl/>
        </w:rPr>
        <w:footnoteReference w:id="2663"/>
      </w:r>
      <w:r w:rsidRPr="0025250D">
        <w:rPr>
          <w:rFonts w:hint="cs"/>
          <w:rtl/>
        </w:rPr>
        <w:t xml:space="preserve"> اثر </w:t>
      </w:r>
      <w:r w:rsidRPr="0025250D">
        <w:rPr>
          <w:rtl/>
        </w:rPr>
        <w:t>داگ هابارد</w:t>
      </w:r>
      <w:r w:rsidRPr="0025250D">
        <w:rPr>
          <w:vertAlign w:val="superscript"/>
          <w:rtl/>
        </w:rPr>
        <w:footnoteReference w:id="2664"/>
      </w:r>
      <w:r w:rsidRPr="0025250D">
        <w:rPr>
          <w:rFonts w:hint="cs"/>
          <w:rtl/>
        </w:rPr>
        <w:t xml:space="preserve"> در سال 2009/2020 را برای مروری بر امیدها و محدودیت‌های این تخصص </w:t>
      </w:r>
      <w:r w:rsidRPr="0025250D">
        <w:rPr>
          <w:rtl/>
        </w:rPr>
        <w:t>آینده‌نگاری</w:t>
      </w:r>
      <w:r w:rsidRPr="0025250D">
        <w:rPr>
          <w:rFonts w:hint="cs"/>
          <w:rtl/>
        </w:rPr>
        <w:t xml:space="preserve"> ببینید.</w:t>
      </w:r>
    </w:p>
    <w:p w14:paraId="70FDE187" w14:textId="4C3D2466" w:rsidR="00537CC8" w:rsidRPr="0025250D" w:rsidRDefault="00923DDB" w:rsidP="00537CC8">
      <w:pPr>
        <w:rPr>
          <w:rtl/>
        </w:rPr>
      </w:pPr>
      <w:r w:rsidRPr="0025250D">
        <w:rPr>
          <w:rFonts w:hint="cs"/>
          <w:rtl/>
        </w:rPr>
        <w:t>شگفتی‌ساز</w:t>
      </w:r>
      <w:r w:rsidR="00537CC8" w:rsidRPr="0025250D">
        <w:rPr>
          <w:rFonts w:hint="cs"/>
          <w:rtl/>
        </w:rPr>
        <w:t>‌ها رویداد‌های دارای تأثیر زیاد مثبت یا منفی با احتمال کم هستند. از نظر فنی، آن‌ها زیر مجموعه خاصی از آینده‌های محتمل می‌باشند</w:t>
      </w:r>
      <w:r w:rsidR="008D6F97" w:rsidRPr="0025250D">
        <w:rPr>
          <w:rtl/>
        </w:rPr>
        <w:t xml:space="preserve">؛ </w:t>
      </w:r>
      <w:r w:rsidR="00537CC8" w:rsidRPr="0025250D">
        <w:rPr>
          <w:rFonts w:hint="cs"/>
          <w:rtl/>
        </w:rPr>
        <w:t xml:space="preserve">بنابراین چرا آن‌ها را به‌عنوان عاملی مهم در </w:t>
      </w:r>
      <w:r w:rsidR="00537CC8" w:rsidRPr="0025250D">
        <w:rPr>
          <w:rtl/>
        </w:rPr>
        <w:t>آینده‌نگاری</w:t>
      </w:r>
      <w:r w:rsidR="00537CC8" w:rsidRPr="0025250D">
        <w:rPr>
          <w:rFonts w:hint="cs"/>
          <w:rtl/>
        </w:rPr>
        <w:t xml:space="preserve"> تکاملی فهرست می‌کنیم؟ به دو دلیل. اول، رویدادهای</w:t>
      </w:r>
      <w:r w:rsidR="00537CC8" w:rsidRPr="0025250D">
        <w:rPr>
          <w:rtl/>
        </w:rPr>
        <w:t xml:space="preserve"> </w:t>
      </w:r>
      <w:r w:rsidR="00537CC8" w:rsidRPr="0025250D">
        <w:rPr>
          <w:rFonts w:hint="cs"/>
          <w:rtl/>
        </w:rPr>
        <w:t>با</w:t>
      </w:r>
      <w:r w:rsidR="00537CC8" w:rsidRPr="0025250D">
        <w:rPr>
          <w:rtl/>
        </w:rPr>
        <w:t xml:space="preserve"> </w:t>
      </w:r>
      <w:r w:rsidR="00537CC8" w:rsidRPr="0025250D">
        <w:rPr>
          <w:rFonts w:hint="cs"/>
          <w:rtl/>
        </w:rPr>
        <w:t>احتمال</w:t>
      </w:r>
      <w:r w:rsidR="00537CC8" w:rsidRPr="0025250D">
        <w:rPr>
          <w:rtl/>
        </w:rPr>
        <w:t xml:space="preserve"> </w:t>
      </w:r>
      <w:r w:rsidR="00537CC8" w:rsidRPr="0025250D">
        <w:rPr>
          <w:rFonts w:hint="cs"/>
          <w:rtl/>
        </w:rPr>
        <w:t>بسیار</w:t>
      </w:r>
      <w:r w:rsidR="00537CC8" w:rsidRPr="0025250D">
        <w:rPr>
          <w:rtl/>
        </w:rPr>
        <w:t xml:space="preserve"> </w:t>
      </w:r>
      <w:r w:rsidR="00537CC8" w:rsidRPr="0025250D">
        <w:rPr>
          <w:rFonts w:hint="cs"/>
          <w:rtl/>
        </w:rPr>
        <w:t>کم</w:t>
      </w:r>
      <w:r w:rsidR="00537CC8" w:rsidRPr="0025250D">
        <w:rPr>
          <w:rtl/>
        </w:rPr>
        <w:t xml:space="preserve"> </w:t>
      </w:r>
      <w:r w:rsidR="00537CC8" w:rsidRPr="0025250D">
        <w:rPr>
          <w:rFonts w:hint="cs"/>
          <w:rtl/>
        </w:rPr>
        <w:t>در</w:t>
      </w:r>
      <w:r w:rsidR="00537CC8" w:rsidRPr="0025250D">
        <w:rPr>
          <w:rtl/>
        </w:rPr>
        <w:t xml:space="preserve"> </w:t>
      </w:r>
      <w:r w:rsidR="00537CC8" w:rsidRPr="0025250D">
        <w:rPr>
          <w:rFonts w:hint="cs"/>
          <w:rtl/>
        </w:rPr>
        <w:t>واقع</w:t>
      </w:r>
      <w:r w:rsidR="00537CC8" w:rsidRPr="0025250D">
        <w:rPr>
          <w:rtl/>
        </w:rPr>
        <w:t xml:space="preserve"> </w:t>
      </w:r>
      <w:r w:rsidR="00537CC8" w:rsidRPr="0025250D">
        <w:rPr>
          <w:rFonts w:hint="cs"/>
          <w:rtl/>
        </w:rPr>
        <w:t>بیشتر</w:t>
      </w:r>
      <w:r w:rsidR="00537CC8" w:rsidRPr="0025250D">
        <w:rPr>
          <w:rtl/>
        </w:rPr>
        <w:t xml:space="preserve"> </w:t>
      </w:r>
      <w:r w:rsidR="00537CC8" w:rsidRPr="0025250D">
        <w:rPr>
          <w:rFonts w:hint="cs"/>
          <w:rtl/>
        </w:rPr>
        <w:t>به‌عنوان</w:t>
      </w:r>
      <w:r w:rsidR="00537CC8" w:rsidRPr="0025250D">
        <w:rPr>
          <w:rtl/>
        </w:rPr>
        <w:t xml:space="preserve"> </w:t>
      </w:r>
      <w:r w:rsidR="00537CC8" w:rsidRPr="0025250D">
        <w:rPr>
          <w:rFonts w:hint="cs"/>
          <w:rtl/>
        </w:rPr>
        <w:t>آینده‌های ممکن</w:t>
      </w:r>
      <w:r w:rsidR="00537CC8" w:rsidRPr="0025250D">
        <w:rPr>
          <w:rtl/>
        </w:rPr>
        <w:t xml:space="preserve"> </w:t>
      </w:r>
      <w:r w:rsidR="00537CC8" w:rsidRPr="0025250D">
        <w:rPr>
          <w:rFonts w:hint="cs"/>
          <w:rtl/>
        </w:rPr>
        <w:t>در</w:t>
      </w:r>
      <w:r w:rsidR="00537CC8" w:rsidRPr="0025250D">
        <w:rPr>
          <w:rtl/>
        </w:rPr>
        <w:t xml:space="preserve"> </w:t>
      </w:r>
      <w:r w:rsidR="00537CC8" w:rsidRPr="0025250D">
        <w:rPr>
          <w:rFonts w:hint="cs"/>
          <w:rtl/>
        </w:rPr>
        <w:t>نظر</w:t>
      </w:r>
      <w:r w:rsidR="00537CC8" w:rsidRPr="0025250D">
        <w:rPr>
          <w:rtl/>
        </w:rPr>
        <w:t xml:space="preserve"> </w:t>
      </w:r>
      <w:r w:rsidR="00537CC8" w:rsidRPr="0025250D">
        <w:rPr>
          <w:rFonts w:hint="cs"/>
          <w:rtl/>
        </w:rPr>
        <w:t>گرفته</w:t>
      </w:r>
      <w:r w:rsidR="00537CC8" w:rsidRPr="0025250D">
        <w:rPr>
          <w:rtl/>
        </w:rPr>
        <w:t xml:space="preserve"> می‌</w:t>
      </w:r>
      <w:r w:rsidR="00537CC8" w:rsidRPr="0025250D">
        <w:rPr>
          <w:rFonts w:hint="cs"/>
          <w:rtl/>
        </w:rPr>
        <w:t xml:space="preserve">شوند. دوم، افرادی که در نگاه به جهان از دیدگاه‌هایی خلاقانه و تکاملی بسیار خوب هستند، اغلب در یافتن و ترسیم </w:t>
      </w:r>
      <w:r w:rsidRPr="0025250D">
        <w:rPr>
          <w:rFonts w:hint="cs"/>
          <w:rtl/>
        </w:rPr>
        <w:t>شگفتی‌ساز</w:t>
      </w:r>
      <w:r w:rsidR="00537CC8" w:rsidRPr="0025250D">
        <w:rPr>
          <w:rFonts w:hint="cs"/>
          <w:rtl/>
        </w:rPr>
        <w:t xml:space="preserve">‌ها نیز بهتر عمل می‌کنند. با توجه به این که این موارد احتمال کمی دارند، اغلب نیاز است که یک متفکر خلاق بسیاری از موارد ممکن را کنار بزند تا آن‌ها را بیابد. در آن زمان به یک </w:t>
      </w:r>
      <w:r w:rsidR="00B13F65" w:rsidRPr="0025250D">
        <w:rPr>
          <w:rFonts w:hint="cs"/>
          <w:rtl/>
        </w:rPr>
        <w:t>چارچوب</w:t>
      </w:r>
      <w:r w:rsidR="00537CC8" w:rsidRPr="0025250D">
        <w:rPr>
          <w:rFonts w:hint="cs"/>
          <w:rtl/>
        </w:rPr>
        <w:t xml:space="preserve"> توسعه‌ای ذهنی برای دسته بندی آن‌ها به‌عنوان مواردی با احتمال کم (</w:t>
      </w:r>
      <w:r w:rsidRPr="0025250D">
        <w:rPr>
          <w:rFonts w:hint="cs"/>
          <w:rtl/>
        </w:rPr>
        <w:t>شگفتی‌ساز</w:t>
      </w:r>
      <w:r w:rsidR="00537CC8" w:rsidRPr="0025250D">
        <w:rPr>
          <w:rFonts w:hint="cs"/>
          <w:rtl/>
        </w:rPr>
        <w:t xml:space="preserve"> ها) یا با احتمال زیاد (یک فرصت یا ریسک) نیاز داریم</w:t>
      </w:r>
      <w:r w:rsidR="008D6F97" w:rsidRPr="0025250D">
        <w:rPr>
          <w:rtl/>
        </w:rPr>
        <w:t xml:space="preserve">؛ </w:t>
      </w:r>
      <w:r w:rsidR="0020589F" w:rsidRPr="0025250D">
        <w:rPr>
          <w:rtl/>
        </w:rPr>
        <w:t>اما</w:t>
      </w:r>
      <w:r w:rsidR="00537CC8" w:rsidRPr="0025250D">
        <w:rPr>
          <w:rFonts w:hint="cs"/>
          <w:rtl/>
        </w:rPr>
        <w:t xml:space="preserve"> جستجوی </w:t>
      </w:r>
      <w:r w:rsidRPr="0025250D">
        <w:rPr>
          <w:rFonts w:hint="cs"/>
          <w:rtl/>
        </w:rPr>
        <w:t>شگفتی‌ساز</w:t>
      </w:r>
      <w:r w:rsidR="00537CC8" w:rsidRPr="0025250D">
        <w:rPr>
          <w:rFonts w:hint="cs"/>
          <w:rtl/>
        </w:rPr>
        <w:t xml:space="preserve">‌ها معمولاً به شکلی تکاملی آغاز می‌شود. انتخاب جدی گرفتن </w:t>
      </w:r>
      <w:r w:rsidRPr="0025250D">
        <w:rPr>
          <w:rFonts w:hint="cs"/>
          <w:rtl/>
        </w:rPr>
        <w:t>شگفتی‌ساز</w:t>
      </w:r>
      <w:r w:rsidR="00537CC8" w:rsidRPr="0025250D">
        <w:rPr>
          <w:rFonts w:hint="cs"/>
          <w:rtl/>
        </w:rPr>
        <w:t xml:space="preserve">‌ها (به جای نادیده گرفتن یا کنار گذاشتن آن ها) و سپس جستجوی دقیق برای آن‌ها، گام‌های کلیدی (و موانع رایج) برای ارزیابی آن‌ها هستند. متفکرین خلاق تمایل دارند که هر دو مورد را به خوبی انجام دهند. دو کتاب خوب در مورد </w:t>
      </w:r>
      <w:r w:rsidRPr="0025250D">
        <w:rPr>
          <w:rFonts w:hint="cs"/>
          <w:rtl/>
        </w:rPr>
        <w:t>شگفتی‌ساز</w:t>
      </w:r>
      <w:r w:rsidR="00537CC8" w:rsidRPr="0025250D">
        <w:rPr>
          <w:rFonts w:hint="cs"/>
          <w:rtl/>
        </w:rPr>
        <w:t>‌ها کتاب‌های غیرمنتظره</w:t>
      </w:r>
      <w:r w:rsidR="00537CC8" w:rsidRPr="0025250D">
        <w:rPr>
          <w:vertAlign w:val="superscript"/>
          <w:rtl/>
        </w:rPr>
        <w:footnoteReference w:id="2665"/>
      </w:r>
      <w:r w:rsidR="00537CC8" w:rsidRPr="0025250D">
        <w:rPr>
          <w:rFonts w:hint="cs"/>
          <w:rtl/>
        </w:rPr>
        <w:t xml:space="preserve"> اثر </w:t>
      </w:r>
      <w:r w:rsidR="00537CC8" w:rsidRPr="0025250D">
        <w:rPr>
          <w:rtl/>
        </w:rPr>
        <w:t>جان ال. پ</w:t>
      </w:r>
      <w:r w:rsidR="00537CC8" w:rsidRPr="0025250D">
        <w:rPr>
          <w:rFonts w:hint="cs"/>
          <w:rtl/>
        </w:rPr>
        <w:t>ی</w:t>
      </w:r>
      <w:r w:rsidR="00537CC8" w:rsidRPr="0025250D">
        <w:rPr>
          <w:rFonts w:hint="eastAsia"/>
          <w:rtl/>
        </w:rPr>
        <w:t>ترسون</w:t>
      </w:r>
      <w:r w:rsidR="00537CC8" w:rsidRPr="0025250D">
        <w:rPr>
          <w:vertAlign w:val="superscript"/>
          <w:rtl/>
        </w:rPr>
        <w:footnoteReference w:id="2666"/>
      </w:r>
      <w:r w:rsidR="00537CC8" w:rsidRPr="0025250D">
        <w:rPr>
          <w:rFonts w:hint="cs"/>
          <w:rtl/>
        </w:rPr>
        <w:t xml:space="preserve"> در سال 1997 و قوی سیاه</w:t>
      </w:r>
      <w:r w:rsidR="00537CC8" w:rsidRPr="0025250D">
        <w:rPr>
          <w:vertAlign w:val="superscript"/>
          <w:rtl/>
        </w:rPr>
        <w:footnoteReference w:id="2667"/>
      </w:r>
      <w:r w:rsidR="00537CC8" w:rsidRPr="0025250D">
        <w:rPr>
          <w:rFonts w:hint="cs"/>
          <w:rtl/>
        </w:rPr>
        <w:t xml:space="preserve"> اثر </w:t>
      </w:r>
      <w:r w:rsidR="00537CC8" w:rsidRPr="0025250D">
        <w:rPr>
          <w:rtl/>
        </w:rPr>
        <w:t>ن</w:t>
      </w:r>
      <w:r w:rsidR="00537CC8" w:rsidRPr="0025250D">
        <w:rPr>
          <w:rFonts w:hint="cs"/>
          <w:rtl/>
        </w:rPr>
        <w:t>ی</w:t>
      </w:r>
      <w:r w:rsidR="00537CC8" w:rsidRPr="0025250D">
        <w:rPr>
          <w:rFonts w:hint="eastAsia"/>
          <w:rtl/>
        </w:rPr>
        <w:t>کلاس</w:t>
      </w:r>
      <w:r w:rsidR="00537CC8" w:rsidRPr="0025250D">
        <w:rPr>
          <w:rtl/>
        </w:rPr>
        <w:t xml:space="preserve"> طالب</w:t>
      </w:r>
      <w:r w:rsidR="00537CC8" w:rsidRPr="0025250D">
        <w:rPr>
          <w:rFonts w:hint="cs"/>
          <w:rtl/>
        </w:rPr>
        <w:t xml:space="preserve"> در سال 2010 هستند.</w:t>
      </w:r>
    </w:p>
    <w:p w14:paraId="56C1F5C6" w14:textId="2FDBA834" w:rsidR="00537CC8" w:rsidRPr="0025250D" w:rsidRDefault="00537CC8" w:rsidP="00537CC8">
      <w:pPr>
        <w:rPr>
          <w:b/>
          <w:bCs/>
          <w:rtl/>
        </w:rPr>
      </w:pPr>
      <w:r w:rsidRPr="0025250D">
        <w:rPr>
          <w:rFonts w:hint="cs"/>
          <w:b/>
          <w:bCs/>
          <w:rtl/>
        </w:rPr>
        <w:t>ج) داستان‌ها، علل، فرضیات</w:t>
      </w:r>
      <w:r w:rsidR="008D6F97" w:rsidRPr="0025250D">
        <w:rPr>
          <w:b/>
          <w:bCs/>
          <w:rtl/>
        </w:rPr>
        <w:t xml:space="preserve"> </w:t>
      </w:r>
      <w:r w:rsidRPr="0025250D">
        <w:rPr>
          <w:rFonts w:hint="cs"/>
          <w:b/>
          <w:bCs/>
          <w:rtl/>
        </w:rPr>
        <w:t>و باورها</w:t>
      </w:r>
    </w:p>
    <w:p w14:paraId="69FE7EF9" w14:textId="170998DB" w:rsidR="00537CC8" w:rsidRPr="0025250D" w:rsidRDefault="00537CC8" w:rsidP="00537CC8">
      <w:pPr>
        <w:rPr>
          <w:rtl/>
        </w:rPr>
      </w:pPr>
      <w:r w:rsidRPr="0025250D">
        <w:rPr>
          <w:rFonts w:hint="cs"/>
          <w:rtl/>
        </w:rPr>
        <w:t xml:space="preserve">ما انسان‌ها جهان پیچیده و اغلب غیر قابل پیش‌بینی خود را حداقل به سه شکل کلیدی درک می‌کنیم. از همه ساده‌تر، ما داستان‌هایی بیان می‌کنیم، آنچه که </w:t>
      </w:r>
      <w:r w:rsidR="00D92F6E" w:rsidRPr="0025250D">
        <w:rPr>
          <w:rFonts w:hint="cs"/>
          <w:rtl/>
        </w:rPr>
        <w:t>آینده‌پژوه</w:t>
      </w:r>
      <w:r w:rsidRPr="0025250D">
        <w:rPr>
          <w:rFonts w:hint="cs"/>
          <w:rtl/>
        </w:rPr>
        <w:t xml:space="preserve"> </w:t>
      </w:r>
      <w:r w:rsidRPr="0025250D">
        <w:rPr>
          <w:rtl/>
        </w:rPr>
        <w:t>سه</w:t>
      </w:r>
      <w:r w:rsidRPr="0025250D">
        <w:rPr>
          <w:rFonts w:hint="cs"/>
          <w:rtl/>
        </w:rPr>
        <w:t>ی</w:t>
      </w:r>
      <w:r w:rsidRPr="0025250D">
        <w:rPr>
          <w:rFonts w:hint="eastAsia"/>
          <w:rtl/>
        </w:rPr>
        <w:t>ل</w:t>
      </w:r>
      <w:r w:rsidRPr="0025250D">
        <w:rPr>
          <w:rtl/>
        </w:rPr>
        <w:t xml:space="preserve"> عنا</w:t>
      </w:r>
      <w:r w:rsidRPr="0025250D">
        <w:rPr>
          <w:rFonts w:hint="cs"/>
          <w:rtl/>
        </w:rPr>
        <w:t>ی</w:t>
      </w:r>
      <w:r w:rsidRPr="0025250D">
        <w:rPr>
          <w:rFonts w:hint="eastAsia"/>
          <w:rtl/>
        </w:rPr>
        <w:t>ت</w:t>
      </w:r>
      <w:r w:rsidRPr="0025250D">
        <w:rPr>
          <w:rtl/>
        </w:rPr>
        <w:t xml:space="preserve"> الله</w:t>
      </w:r>
      <w:r w:rsidRPr="0025250D">
        <w:rPr>
          <w:rFonts w:hint="cs"/>
          <w:rtl/>
        </w:rPr>
        <w:t xml:space="preserve"> </w:t>
      </w:r>
      <w:r w:rsidR="002C61FC" w:rsidRPr="0025250D">
        <w:rPr>
          <w:rtl/>
        </w:rPr>
        <w:t>«</w:t>
      </w:r>
      <w:r w:rsidRPr="0025250D">
        <w:rPr>
          <w:rFonts w:hint="cs"/>
          <w:rtl/>
        </w:rPr>
        <w:t>لیتانی</w:t>
      </w:r>
      <w:r w:rsidRPr="0025250D">
        <w:rPr>
          <w:vertAlign w:val="superscript"/>
          <w:rtl/>
        </w:rPr>
        <w:footnoteReference w:id="2668"/>
      </w:r>
      <w:r w:rsidR="002C61FC" w:rsidRPr="0025250D">
        <w:rPr>
          <w:rtl/>
        </w:rPr>
        <w:t>»</w:t>
      </w:r>
      <w:r w:rsidRPr="0025250D">
        <w:rPr>
          <w:rFonts w:hint="cs"/>
          <w:rtl/>
        </w:rPr>
        <w:t xml:space="preserve"> درمورد موضوع یا </w:t>
      </w:r>
      <w:r w:rsidR="008D6F97" w:rsidRPr="0025250D">
        <w:rPr>
          <w:rFonts w:hint="cs"/>
          <w:rtl/>
        </w:rPr>
        <w:t>سامانه‌ای</w:t>
      </w:r>
      <w:r w:rsidRPr="0025250D">
        <w:rPr>
          <w:rFonts w:hint="cs"/>
          <w:rtl/>
        </w:rPr>
        <w:t xml:space="preserve"> که برای آن به دنبال </w:t>
      </w:r>
      <w:r w:rsidRPr="0025250D">
        <w:rPr>
          <w:rtl/>
        </w:rPr>
        <w:t>آینده‌نگاری</w:t>
      </w:r>
      <w:r w:rsidRPr="0025250D">
        <w:rPr>
          <w:rFonts w:hint="cs"/>
          <w:rtl/>
        </w:rPr>
        <w:t xml:space="preserve"> هستیم می‌نامد.</w:t>
      </w:r>
    </w:p>
    <w:p w14:paraId="635A12B0" w14:textId="60AA4880" w:rsidR="00537CC8" w:rsidRPr="0025250D" w:rsidRDefault="00537CC8" w:rsidP="00537CC8">
      <w:pPr>
        <w:rPr>
          <w:rtl/>
        </w:rPr>
      </w:pPr>
      <w:r w:rsidRPr="0025250D">
        <w:rPr>
          <w:rFonts w:hint="cs"/>
          <w:rtl/>
        </w:rPr>
        <w:t>ما همچنین در مورد علل تفکر کرده و گستره‌ای از عوامل علی که ما را به جایی که در آن هستیم رسانده اند و سمت و سوی حرکت ما را کنترل می‌کنند، تصور می‌کنیم. ممکن است به صورت گسترده همه آن علل را در قالب داستان‌ها بیان نکنیم، به ویژه اگر عکس العمل‌های اجتماعی در کار باشند</w:t>
      </w:r>
      <w:r w:rsidR="008D6F97" w:rsidRPr="0025250D">
        <w:rPr>
          <w:rtl/>
        </w:rPr>
        <w:t xml:space="preserve">؛ </w:t>
      </w:r>
      <w:r w:rsidR="0020589F" w:rsidRPr="0025250D">
        <w:rPr>
          <w:rtl/>
        </w:rPr>
        <w:t>اما</w:t>
      </w:r>
      <w:r w:rsidRPr="0025250D">
        <w:rPr>
          <w:rFonts w:hint="cs"/>
          <w:rtl/>
        </w:rPr>
        <w:t xml:space="preserve"> اغلب آن‌ها را در گروه‌های کوچک، وقتی در آن‌ها اعتماد وجود داشته باشد و حتی بیش‌تر وقتی از محرمانه ماندن صحبت‌ها اطمینان حاصل شود، به اشتراک می‌گذاریم.</w:t>
      </w:r>
    </w:p>
    <w:p w14:paraId="118BC9EC" w14:textId="40401650" w:rsidR="00537CC8" w:rsidRPr="0025250D" w:rsidRDefault="00537CC8" w:rsidP="00537CC8">
      <w:pPr>
        <w:rPr>
          <w:rtl/>
        </w:rPr>
      </w:pPr>
      <w:r w:rsidRPr="0025250D">
        <w:rPr>
          <w:rFonts w:hint="cs"/>
          <w:rtl/>
        </w:rPr>
        <w:t xml:space="preserve">ما همچنین شبکه همواره رو به رشدی از فرضیات و باور‌ها را در تفکر خود ایجاد می‌کنیم. برخی از آن‌ها از نظر ذهنی در دسترس ما هستند و برخی درون مدل‌ها، نهادها، افسانه‌ها و استعاره‌هایی که با آن‌ها زندگی می‌کنیم پنهان، بررسی نشده و اصلاح نشده می‌باشند. این عوامل تکاملی به همراه هر عامل توسعه‌ای که تشخیص می‌دهیم، با هم برای ایجاد </w:t>
      </w:r>
      <w:r w:rsidR="00A20CCB" w:rsidRPr="0025250D">
        <w:rPr>
          <w:rFonts w:hint="cs"/>
          <w:rtl/>
        </w:rPr>
        <w:t>جهان‌بینی</w:t>
      </w:r>
      <w:r w:rsidRPr="0025250D">
        <w:rPr>
          <w:rFonts w:hint="cs"/>
          <w:rtl/>
        </w:rPr>
        <w:t xml:space="preserve"> ما و</w:t>
      </w:r>
      <w:r w:rsidRPr="0025250D">
        <w:rPr>
          <w:rtl/>
        </w:rPr>
        <w:t xml:space="preserve"> </w:t>
      </w:r>
      <w:r w:rsidRPr="0025250D">
        <w:rPr>
          <w:rFonts w:hint="cs"/>
          <w:rtl/>
        </w:rPr>
        <w:t>بنابراین</w:t>
      </w:r>
      <w:r w:rsidRPr="0025250D">
        <w:rPr>
          <w:rtl/>
        </w:rPr>
        <w:t xml:space="preserve"> </w:t>
      </w:r>
      <w:r w:rsidRPr="0025250D">
        <w:rPr>
          <w:rFonts w:hint="cs"/>
          <w:rtl/>
        </w:rPr>
        <w:t>دیدگاه</w:t>
      </w:r>
      <w:r w:rsidRPr="0025250D">
        <w:rPr>
          <w:rtl/>
        </w:rPr>
        <w:t xml:space="preserve"> </w:t>
      </w:r>
      <w:r w:rsidRPr="0025250D">
        <w:rPr>
          <w:rFonts w:hint="cs"/>
          <w:rtl/>
        </w:rPr>
        <w:t>ما</w:t>
      </w:r>
      <w:r w:rsidRPr="0025250D">
        <w:rPr>
          <w:rtl/>
        </w:rPr>
        <w:t xml:space="preserve"> </w:t>
      </w:r>
      <w:r w:rsidRPr="0025250D">
        <w:rPr>
          <w:rFonts w:hint="cs"/>
          <w:rtl/>
        </w:rPr>
        <w:t>درمورد</w:t>
      </w:r>
      <w:r w:rsidRPr="0025250D">
        <w:rPr>
          <w:rtl/>
        </w:rPr>
        <w:t xml:space="preserve"> </w:t>
      </w:r>
      <w:r w:rsidRPr="0025250D">
        <w:rPr>
          <w:rFonts w:hint="cs"/>
          <w:rtl/>
        </w:rPr>
        <w:t>آینده همکاری می‌کنند.</w:t>
      </w:r>
    </w:p>
    <w:p w14:paraId="3ACE305C" w14:textId="01A1718A" w:rsidR="00537CC8" w:rsidRPr="0025250D" w:rsidRDefault="00537CC8" w:rsidP="00537CC8">
      <w:pPr>
        <w:rPr>
          <w:rtl/>
        </w:rPr>
      </w:pPr>
      <w:r w:rsidRPr="0025250D">
        <w:rPr>
          <w:rFonts w:hint="cs"/>
          <w:rtl/>
        </w:rPr>
        <w:t xml:space="preserve">روش </w:t>
      </w:r>
      <w:r w:rsidRPr="0025250D">
        <w:rPr>
          <w:rtl/>
        </w:rPr>
        <w:t>آینده‌نگاری</w:t>
      </w:r>
      <w:r w:rsidRPr="0025250D">
        <w:rPr>
          <w:rFonts w:hint="cs"/>
          <w:rtl/>
        </w:rPr>
        <w:t xml:space="preserve"> تحلیل لایه‌ای علی</w:t>
      </w:r>
      <w:r w:rsidRPr="0025250D">
        <w:rPr>
          <w:vertAlign w:val="superscript"/>
          <w:rtl/>
        </w:rPr>
        <w:footnoteReference w:id="2669"/>
      </w:r>
      <w:r w:rsidRPr="0025250D">
        <w:rPr>
          <w:rFonts w:hint="cs"/>
          <w:rtl/>
        </w:rPr>
        <w:t xml:space="preserve"> (</w:t>
      </w:r>
      <w:r w:rsidRPr="0025250D">
        <w:t>CLA</w:t>
      </w:r>
      <w:r w:rsidRPr="0025250D">
        <w:rPr>
          <w:rFonts w:hint="cs"/>
          <w:rtl/>
        </w:rPr>
        <w:t xml:space="preserve">) که توسط </w:t>
      </w:r>
      <w:r w:rsidRPr="0025250D">
        <w:rPr>
          <w:rtl/>
        </w:rPr>
        <w:t>عنا</w:t>
      </w:r>
      <w:r w:rsidRPr="0025250D">
        <w:rPr>
          <w:rFonts w:hint="cs"/>
          <w:rtl/>
        </w:rPr>
        <w:t>ی</w:t>
      </w:r>
      <w:r w:rsidRPr="0025250D">
        <w:rPr>
          <w:rFonts w:hint="eastAsia"/>
          <w:rtl/>
        </w:rPr>
        <w:t>ت</w:t>
      </w:r>
      <w:r w:rsidRPr="0025250D">
        <w:rPr>
          <w:rtl/>
        </w:rPr>
        <w:t xml:space="preserve"> الله</w:t>
      </w:r>
      <w:r w:rsidRPr="0025250D">
        <w:rPr>
          <w:rFonts w:hint="cs"/>
          <w:rtl/>
        </w:rPr>
        <w:t xml:space="preserve"> توسعه داده شد، راه خوبی برای آشکار سازی و نقد این عوامل است. کتاب خواننده</w:t>
      </w:r>
      <w:r w:rsidR="00AF7539" w:rsidRPr="0025250D">
        <w:rPr>
          <w:rFonts w:hint="cs"/>
          <w:rtl/>
        </w:rPr>
        <w:t xml:space="preserve"> تحلیل لایه ای علّی</w:t>
      </w:r>
      <w:r w:rsidR="00AF7539" w:rsidRPr="0025250D">
        <w:rPr>
          <w:rStyle w:val="FootnoteReference"/>
          <w:rtl/>
        </w:rPr>
        <w:footnoteReference w:id="2670"/>
      </w:r>
      <w:r w:rsidRPr="0025250D">
        <w:rPr>
          <w:rFonts w:hint="cs"/>
          <w:rtl/>
        </w:rPr>
        <w:t xml:space="preserve"> اثر </w:t>
      </w:r>
      <w:r w:rsidRPr="0025250D">
        <w:rPr>
          <w:rtl/>
        </w:rPr>
        <w:t>سه</w:t>
      </w:r>
      <w:r w:rsidRPr="0025250D">
        <w:rPr>
          <w:rFonts w:hint="cs"/>
          <w:rtl/>
        </w:rPr>
        <w:t>ی</w:t>
      </w:r>
      <w:r w:rsidRPr="0025250D">
        <w:rPr>
          <w:rFonts w:hint="eastAsia"/>
          <w:rtl/>
        </w:rPr>
        <w:t>ل</w:t>
      </w:r>
      <w:r w:rsidRPr="0025250D">
        <w:rPr>
          <w:rtl/>
        </w:rPr>
        <w:t xml:space="preserve"> عنا</w:t>
      </w:r>
      <w:r w:rsidRPr="0025250D">
        <w:rPr>
          <w:rFonts w:hint="cs"/>
          <w:rtl/>
        </w:rPr>
        <w:t>ی</w:t>
      </w:r>
      <w:r w:rsidRPr="0025250D">
        <w:rPr>
          <w:rFonts w:hint="eastAsia"/>
          <w:rtl/>
        </w:rPr>
        <w:t>ت</w:t>
      </w:r>
      <w:r w:rsidRPr="0025250D">
        <w:rPr>
          <w:rtl/>
        </w:rPr>
        <w:t xml:space="preserve"> الله</w:t>
      </w:r>
      <w:r w:rsidRPr="0025250D">
        <w:rPr>
          <w:rFonts w:hint="cs"/>
          <w:rtl/>
        </w:rPr>
        <w:t xml:space="preserve"> ویرایش 2004، مثال‌های موردی بسیاری از این روش ارائه می‌دهد. </w:t>
      </w:r>
      <w:r w:rsidRPr="0025250D">
        <w:t>CLA</w:t>
      </w:r>
      <w:r w:rsidRPr="0025250D">
        <w:rPr>
          <w:rFonts w:hint="cs"/>
          <w:rtl/>
        </w:rPr>
        <w:t xml:space="preserve"> به شکل خلاقانه‌ای جنبه‌های بسیاری از دیدگاه فعلی ما درمورد این که چرا در مکان کنونی خود قرار داریم و در مورد برخی از شیوه‌هایی که مجموعه داستان‌ها، علل و فرضیات دیدگاه‌های ما درمورد گذشته، حال و آینده را محدود می‌کنند، بررسی می‌نماید. قاعده 95/5 به ما می‌گوید که بیش‌تر عناصر داستانی که </w:t>
      </w:r>
      <w:r w:rsidRPr="0025250D">
        <w:t>CLA</w:t>
      </w:r>
      <w:r w:rsidRPr="0025250D">
        <w:rPr>
          <w:rFonts w:hint="cs"/>
          <w:rtl/>
        </w:rPr>
        <w:t xml:space="preserve"> معمولاً از آن‌ها پرده برداری می‌کند، تکاملی خواهند بود. </w:t>
      </w:r>
      <w:r w:rsidRPr="0025250D">
        <w:t>CLA</w:t>
      </w:r>
      <w:r w:rsidRPr="0025250D">
        <w:rPr>
          <w:rFonts w:hint="cs"/>
          <w:rtl/>
        </w:rPr>
        <w:t xml:space="preserve"> همچنین از عوامل توسعه‌ای پرده برداری می‌کند، اما به دنبال ارزیابی آن‌ها به این صورت نیست</w:t>
      </w:r>
      <w:r w:rsidR="008D6F97" w:rsidRPr="0025250D">
        <w:rPr>
          <w:rtl/>
        </w:rPr>
        <w:t xml:space="preserve">؛ </w:t>
      </w:r>
      <w:r w:rsidRPr="0025250D">
        <w:rPr>
          <w:rFonts w:hint="cs"/>
          <w:rtl/>
        </w:rPr>
        <w:t xml:space="preserve">بنابراین این مورد عمدتا یک ابزار </w:t>
      </w:r>
      <w:r w:rsidRPr="0025250D">
        <w:rPr>
          <w:rtl/>
        </w:rPr>
        <w:t>آینده‌نگاری</w:t>
      </w:r>
      <w:r w:rsidRPr="0025250D">
        <w:rPr>
          <w:rFonts w:hint="cs"/>
          <w:rtl/>
        </w:rPr>
        <w:t xml:space="preserve"> تکاملی است.</w:t>
      </w:r>
    </w:p>
    <w:p w14:paraId="13221A28" w14:textId="77777777" w:rsidR="00537CC8" w:rsidRPr="0025250D" w:rsidRDefault="00537CC8" w:rsidP="00537CC8">
      <w:pPr>
        <w:rPr>
          <w:rtl/>
        </w:rPr>
      </w:pPr>
    </w:p>
    <w:p w14:paraId="1E52371E" w14:textId="77777777" w:rsidR="00537CC8" w:rsidRPr="0025250D" w:rsidRDefault="00537CC8" w:rsidP="003D3E0A">
      <w:pPr>
        <w:jc w:val="center"/>
        <w:rPr>
          <w:rtl/>
        </w:rPr>
      </w:pPr>
      <w:r w:rsidRPr="0025250D">
        <w:rPr>
          <w:noProof/>
          <w:rtl/>
          <w:lang w:bidi="ar-SA"/>
        </w:rPr>
        <w:drawing>
          <wp:inline distT="0" distB="0" distL="0" distR="0" wp14:anchorId="45B9F6D4" wp14:editId="53E4E709">
            <wp:extent cx="1673225" cy="2346385"/>
            <wp:effectExtent l="0" t="0" r="3175" b="0"/>
            <wp:docPr id="159" name="Picture 159" descr="D:\کار\مستقل\3 ( ترجمه ی دانشگاه تهران  )\Introduction to Foresight\part7\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7\57.png"/>
                    <pic:cNvPicPr>
                      <a:picLocks noChangeAspect="1" noChangeArrowheads="1"/>
                    </pic:cNvPicPr>
                  </pic:nvPicPr>
                  <pic:blipFill rotWithShape="1">
                    <a:blip r:embed="rId262" cstate="screen">
                      <a:extLst>
                        <a:ext uri="{BEBA8EAE-BF5A-486C-A8C5-ECC9F3942E4B}">
                          <a14:imgProps xmlns:a14="http://schemas.microsoft.com/office/drawing/2010/main">
                            <a14:imgLayer r:embed="rId263">
                              <a14:imgEffect>
                                <a14:saturation sat="0"/>
                              </a14:imgEffect>
                            </a14:imgLayer>
                          </a14:imgProps>
                        </a:ext>
                        <a:ext uri="{28A0092B-C50C-407E-A947-70E740481C1C}">
                          <a14:useLocalDpi xmlns:a14="http://schemas.microsoft.com/office/drawing/2010/main"/>
                        </a:ext>
                      </a:extLst>
                    </a:blip>
                    <a:srcRect/>
                    <a:stretch/>
                  </pic:blipFill>
                  <pic:spPr bwMode="auto">
                    <a:xfrm>
                      <a:off x="0" y="0"/>
                      <a:ext cx="1679570" cy="2355283"/>
                    </a:xfrm>
                    <a:prstGeom prst="rect">
                      <a:avLst/>
                    </a:prstGeom>
                    <a:noFill/>
                    <a:ln>
                      <a:noFill/>
                    </a:ln>
                    <a:extLst>
                      <a:ext uri="{53640926-AAD7-44D8-BBD7-CCE9431645EC}">
                        <a14:shadowObscured xmlns:a14="http://schemas.microsoft.com/office/drawing/2010/main"/>
                      </a:ext>
                    </a:extLst>
                  </pic:spPr>
                </pic:pic>
              </a:graphicData>
            </a:graphic>
          </wp:inline>
        </w:drawing>
      </w:r>
    </w:p>
    <w:p w14:paraId="5319316B" w14:textId="77777777" w:rsidR="00537CC8" w:rsidRPr="0025250D" w:rsidRDefault="00537CC8" w:rsidP="003D3E0A">
      <w:pPr>
        <w:jc w:val="center"/>
        <w:rPr>
          <w:rtl/>
        </w:rPr>
      </w:pPr>
      <w:r w:rsidRPr="0025250D">
        <w:rPr>
          <w:rtl/>
        </w:rPr>
        <w:t>عنا</w:t>
      </w:r>
      <w:r w:rsidRPr="0025250D">
        <w:rPr>
          <w:rFonts w:hint="cs"/>
          <w:rtl/>
        </w:rPr>
        <w:t>ی</w:t>
      </w:r>
      <w:r w:rsidRPr="0025250D">
        <w:rPr>
          <w:rFonts w:hint="eastAsia"/>
          <w:rtl/>
        </w:rPr>
        <w:t>ت</w:t>
      </w:r>
      <w:r w:rsidRPr="0025250D">
        <w:rPr>
          <w:rtl/>
        </w:rPr>
        <w:t xml:space="preserve"> الله</w:t>
      </w:r>
      <w:r w:rsidRPr="0025250D">
        <w:rPr>
          <w:rFonts w:hint="cs"/>
          <w:rtl/>
        </w:rPr>
        <w:t>، 2004</w:t>
      </w:r>
    </w:p>
    <w:p w14:paraId="0889C691" w14:textId="042FD6E1" w:rsidR="00537CC8" w:rsidRPr="0025250D" w:rsidRDefault="00537CC8" w:rsidP="00537CC8">
      <w:pPr>
        <w:rPr>
          <w:rtl/>
        </w:rPr>
      </w:pPr>
      <w:r w:rsidRPr="0025250D">
        <w:rPr>
          <w:rFonts w:hint="cs"/>
          <w:rtl/>
        </w:rPr>
        <w:t xml:space="preserve">طبق تجربه </w:t>
      </w:r>
      <w:r w:rsidRPr="0025250D">
        <w:rPr>
          <w:rtl/>
        </w:rPr>
        <w:t>جان</w:t>
      </w:r>
      <w:r w:rsidR="00AF7539" w:rsidRPr="0025250D">
        <w:rPr>
          <w:rFonts w:hint="cs"/>
          <w:rtl/>
        </w:rPr>
        <w:t xml:space="preserve"> اسمارت</w:t>
      </w:r>
      <w:r w:rsidRPr="0025250D">
        <w:rPr>
          <w:rFonts w:hint="cs"/>
          <w:rtl/>
        </w:rPr>
        <w:t xml:space="preserve"> در این روش، دو سطح اول </w:t>
      </w:r>
      <w:r w:rsidRPr="0025250D">
        <w:t>CLA</w:t>
      </w:r>
      <w:r w:rsidRPr="0025250D">
        <w:rPr>
          <w:rFonts w:hint="cs"/>
          <w:rtl/>
        </w:rPr>
        <w:t xml:space="preserve">، لیتانی (آنچه همه ما می‌گوییم که اهمیت دارد، یا مسبب شرایط فعلی است) و علل (آنچه فکر می‌کنیم می‌تواند مسبب شرایط فعلی باشد) به طور مشخص برای مشاهده سریع دیدگاه فعلی از آینده </w:t>
      </w:r>
      <w:r w:rsidR="00923DDB" w:rsidRPr="0025250D">
        <w:rPr>
          <w:rFonts w:hint="cs"/>
          <w:rtl/>
        </w:rPr>
        <w:t>باورپذیر</w:t>
      </w:r>
      <w:r w:rsidRPr="0025250D">
        <w:rPr>
          <w:rFonts w:hint="cs"/>
          <w:rtl/>
        </w:rPr>
        <w:t xml:space="preserve"> مفید </w:t>
      </w:r>
      <w:r w:rsidR="00AF7539" w:rsidRPr="0025250D">
        <w:rPr>
          <w:rFonts w:hint="cs"/>
          <w:rtl/>
        </w:rPr>
        <w:t>هستند</w:t>
      </w:r>
      <w:r w:rsidRPr="0025250D">
        <w:rPr>
          <w:rFonts w:hint="cs"/>
          <w:rtl/>
        </w:rPr>
        <w:t xml:space="preserve">. دو لایه بعدی </w:t>
      </w:r>
      <w:r w:rsidRPr="0025250D">
        <w:t>CLA</w:t>
      </w:r>
      <w:r w:rsidRPr="0025250D">
        <w:rPr>
          <w:rFonts w:hint="cs"/>
          <w:rtl/>
        </w:rPr>
        <w:t>، ساختار و استعاره</w:t>
      </w:r>
      <w:r w:rsidRPr="0025250D">
        <w:rPr>
          <w:vertAlign w:val="superscript"/>
          <w:rtl/>
        </w:rPr>
        <w:footnoteReference w:id="2671"/>
      </w:r>
      <w:r w:rsidRPr="0025250D">
        <w:rPr>
          <w:rFonts w:hint="cs"/>
          <w:rtl/>
        </w:rPr>
        <w:t xml:space="preserve"> هر دو شامل فرضیاتی که درمورد علل حقیقی ایجاد می‌کنیم و مسئولیتی که به بازیگران، ساختار‌ها و کارکرد‌های مرتبط با </w:t>
      </w:r>
      <w:r w:rsidR="008D6F97" w:rsidRPr="0025250D">
        <w:rPr>
          <w:rFonts w:hint="cs"/>
          <w:rtl/>
        </w:rPr>
        <w:t>سامانه‌</w:t>
      </w:r>
      <w:r w:rsidRPr="0025250D">
        <w:rPr>
          <w:rFonts w:hint="cs"/>
          <w:rtl/>
        </w:rPr>
        <w:t xml:space="preserve"> و مسائل مورد نظر واگذار می‌کنیم، هستند. وقتی لیتانی، علل و فرضیات فهرست شده یا تقشه برداری</w:t>
      </w:r>
      <w:r w:rsidRPr="0025250D">
        <w:rPr>
          <w:vertAlign w:val="superscript"/>
          <w:rtl/>
        </w:rPr>
        <w:footnoteReference w:id="2672"/>
      </w:r>
      <w:r w:rsidRPr="0025250D">
        <w:rPr>
          <w:rFonts w:hint="cs"/>
          <w:rtl/>
        </w:rPr>
        <w:t xml:space="preserve"> شوند، می‌توانیم این نقشه‌ها را زیر سؤال ببریم و بپرسیم که آیا موارد دیگری وجود دارند که بتوانیم تصور کنیم یا در دیگر فرهنگ‌ها یا دوره‌های قبلی استفاده می‌</w:t>
      </w:r>
      <w:r w:rsidR="00185F3E" w:rsidRPr="0025250D">
        <w:rPr>
          <w:rFonts w:hint="cs"/>
          <w:rtl/>
        </w:rPr>
        <w:t>شده‌اند</w:t>
      </w:r>
      <w:r w:rsidRPr="0025250D">
        <w:rPr>
          <w:rFonts w:hint="cs"/>
          <w:rtl/>
        </w:rPr>
        <w:t xml:space="preserve"> که همچنان هم بتوانند مرتبط باشند یا خیر. چنین اقداماتی می‌توانند دید ما را نسبت به موارد ممکنی که باید برای ارزیابی بهتر آن‌ها ببینیم، باز کنند.</w:t>
      </w:r>
    </w:p>
    <w:p w14:paraId="28936359" w14:textId="39751BB7" w:rsidR="00537CC8" w:rsidRPr="0025250D" w:rsidRDefault="00537CC8" w:rsidP="003D3E0A">
      <w:pPr>
        <w:pStyle w:val="Heading3"/>
        <w:rPr>
          <w:rtl/>
        </w:rPr>
      </w:pPr>
      <w:r w:rsidRPr="0025250D">
        <w:rPr>
          <w:rFonts w:hint="cs"/>
          <w:rtl/>
        </w:rPr>
        <w:t xml:space="preserve">مروری بر روش‌های </w:t>
      </w:r>
      <w:r w:rsidR="00701E03" w:rsidRPr="0025250D">
        <w:rPr>
          <w:rFonts w:hint="cs"/>
          <w:rtl/>
        </w:rPr>
        <w:t>راهبرد</w:t>
      </w:r>
    </w:p>
    <w:p w14:paraId="3957096D" w14:textId="5372EFB7" w:rsidR="00537CC8" w:rsidRPr="0025250D" w:rsidRDefault="00701E03" w:rsidP="00537CC8">
      <w:pPr>
        <w:rPr>
          <w:rtl/>
        </w:rPr>
      </w:pPr>
      <w:r w:rsidRPr="0025250D">
        <w:rPr>
          <w:rFonts w:hint="cs"/>
          <w:rtl/>
        </w:rPr>
        <w:t>راهبرد</w:t>
      </w:r>
      <w:r w:rsidR="00537CC8" w:rsidRPr="0025250D">
        <w:rPr>
          <w:rFonts w:hint="cs"/>
          <w:rtl/>
        </w:rPr>
        <w:t xml:space="preserve"> موضوع گسترده‌ای است، اما </w:t>
      </w:r>
      <w:r w:rsidR="00AF7539" w:rsidRPr="0025250D">
        <w:rPr>
          <w:rFonts w:hint="cs"/>
          <w:rtl/>
        </w:rPr>
        <w:t>مطالب</w:t>
      </w:r>
      <w:r w:rsidR="00537CC8" w:rsidRPr="0025250D">
        <w:rPr>
          <w:rFonts w:hint="cs"/>
          <w:rtl/>
        </w:rPr>
        <w:t xml:space="preserve"> ساده و مفید بسیاری وجود دارند که می‌توانند درمورد آن گفته شوند. ما پیش از این </w:t>
      </w:r>
      <w:r w:rsidRPr="0025250D">
        <w:rPr>
          <w:rFonts w:hint="cs"/>
          <w:rtl/>
        </w:rPr>
        <w:t>راهبرد</w:t>
      </w:r>
      <w:r w:rsidR="00537CC8" w:rsidRPr="0025250D">
        <w:rPr>
          <w:rFonts w:hint="cs"/>
          <w:rtl/>
        </w:rPr>
        <w:t xml:space="preserve"> را به‌عنوان آخرین گام در </w:t>
      </w:r>
      <w:r w:rsidR="00B13F65" w:rsidRPr="0025250D">
        <w:rPr>
          <w:rFonts w:hint="cs"/>
          <w:rtl/>
        </w:rPr>
        <w:t>چارچوب</w:t>
      </w:r>
      <w:r w:rsidR="00537CC8" w:rsidRPr="0025250D">
        <w:rPr>
          <w:rFonts w:hint="cs"/>
          <w:rtl/>
        </w:rPr>
        <w:t xml:space="preserve"> </w:t>
      </w:r>
      <w:r w:rsidR="00537CC8" w:rsidRPr="0025250D">
        <w:rPr>
          <w:rtl/>
        </w:rPr>
        <w:t>آینده‌نگاری</w:t>
      </w:r>
      <w:r w:rsidR="00537CC8" w:rsidRPr="0025250D">
        <w:rPr>
          <w:rFonts w:hint="cs"/>
          <w:rtl/>
        </w:rPr>
        <w:t xml:space="preserve"> </w:t>
      </w:r>
      <w:r w:rsidR="00537CC8" w:rsidRPr="0025250D">
        <w:t>LAIS</w:t>
      </w:r>
      <w:r w:rsidR="00537CC8" w:rsidRPr="0025250D">
        <w:rPr>
          <w:rFonts w:hint="cs"/>
          <w:rtl/>
        </w:rPr>
        <w:t xml:space="preserve"> معرفی نمودیم و این که چرا باید از طریق تقابل پیش‌بین و </w:t>
      </w:r>
      <w:r w:rsidR="002B6515" w:rsidRPr="0025250D">
        <w:rPr>
          <w:rtl/>
        </w:rPr>
        <w:t>حس‌داد</w:t>
      </w:r>
      <w:r w:rsidR="00537CC8" w:rsidRPr="0025250D">
        <w:rPr>
          <w:rFonts w:hint="cs"/>
          <w:rtl/>
        </w:rPr>
        <w:t xml:space="preserve"> برای </w:t>
      </w:r>
      <w:r w:rsidRPr="0025250D">
        <w:rPr>
          <w:rFonts w:hint="cs"/>
          <w:rtl/>
        </w:rPr>
        <w:t>راهبرد</w:t>
      </w:r>
      <w:r w:rsidR="00537CC8" w:rsidRPr="0025250D">
        <w:rPr>
          <w:rFonts w:hint="cs"/>
          <w:rtl/>
        </w:rPr>
        <w:t xml:space="preserve"> آماده شویم را مورد بحث قرار دادیم. اساس </w:t>
      </w:r>
      <w:r w:rsidRPr="0025250D">
        <w:rPr>
          <w:rFonts w:hint="cs"/>
          <w:rtl/>
        </w:rPr>
        <w:t>راهبرد</w:t>
      </w:r>
      <w:r w:rsidR="00537CC8" w:rsidRPr="0025250D">
        <w:rPr>
          <w:rFonts w:hint="cs"/>
          <w:rtl/>
        </w:rPr>
        <w:t xml:space="preserve"> درکِ استواری از </w:t>
      </w:r>
      <w:r w:rsidR="008D6F97" w:rsidRPr="0025250D">
        <w:rPr>
          <w:rFonts w:hint="cs"/>
          <w:rtl/>
        </w:rPr>
        <w:t>سامانه‌</w:t>
      </w:r>
      <w:r w:rsidR="00537CC8" w:rsidRPr="0025250D">
        <w:rPr>
          <w:rFonts w:hint="cs"/>
          <w:rtl/>
        </w:rPr>
        <w:t xml:space="preserve">‌هایی که به نظر در جهان ما در حال کار هستند و توانایی استفاده از مدل‌ها و </w:t>
      </w:r>
      <w:r w:rsidR="00B13F65" w:rsidRPr="0025250D">
        <w:rPr>
          <w:rFonts w:hint="cs"/>
          <w:rtl/>
        </w:rPr>
        <w:t>چارچوب</w:t>
      </w:r>
      <w:r w:rsidR="00537CC8" w:rsidRPr="0025250D">
        <w:rPr>
          <w:rFonts w:hint="cs"/>
          <w:rtl/>
        </w:rPr>
        <w:t>‌ها برای توصیف و مدیریت نتایجی که به آن‌ها اهمیت می‌دهیم، می‌باشد.</w:t>
      </w:r>
    </w:p>
    <w:p w14:paraId="5B1167FF" w14:textId="0F44210D" w:rsidR="00537CC8" w:rsidRPr="0025250D" w:rsidRDefault="00537CC8" w:rsidP="00537CC8">
      <w:pPr>
        <w:rPr>
          <w:b/>
          <w:bCs/>
          <w:rtl/>
        </w:rPr>
      </w:pPr>
      <w:r w:rsidRPr="0025250D">
        <w:rPr>
          <w:rFonts w:hint="cs"/>
          <w:b/>
          <w:bCs/>
          <w:rtl/>
        </w:rPr>
        <w:t xml:space="preserve">الف) مدل‌ها و </w:t>
      </w:r>
      <w:r w:rsidR="00B13F65" w:rsidRPr="0025250D">
        <w:rPr>
          <w:rFonts w:hint="cs"/>
          <w:b/>
          <w:bCs/>
          <w:rtl/>
        </w:rPr>
        <w:t>چارچوب</w:t>
      </w:r>
      <w:r w:rsidRPr="0025250D">
        <w:rPr>
          <w:rFonts w:hint="cs"/>
          <w:b/>
          <w:bCs/>
          <w:rtl/>
        </w:rPr>
        <w:t xml:space="preserve">‌های </w:t>
      </w:r>
      <w:r w:rsidR="008D6F97" w:rsidRPr="0025250D">
        <w:rPr>
          <w:rFonts w:hint="cs"/>
          <w:b/>
          <w:bCs/>
          <w:rtl/>
        </w:rPr>
        <w:t>سامانه‌</w:t>
      </w:r>
      <w:r w:rsidRPr="0025250D">
        <w:rPr>
          <w:rFonts w:hint="cs"/>
          <w:b/>
          <w:bCs/>
          <w:rtl/>
        </w:rPr>
        <w:t xml:space="preserve"> ها</w:t>
      </w:r>
    </w:p>
    <w:p w14:paraId="45CF93D4" w14:textId="57B594C1" w:rsidR="00537CC8" w:rsidRPr="0025250D" w:rsidRDefault="00537CC8" w:rsidP="00537CC8">
      <w:pPr>
        <w:rPr>
          <w:rtl/>
        </w:rPr>
      </w:pPr>
      <w:r w:rsidRPr="0025250D">
        <w:rPr>
          <w:rFonts w:hint="cs"/>
          <w:rtl/>
        </w:rPr>
        <w:t xml:space="preserve">گفتیم که تفکر </w:t>
      </w:r>
      <w:r w:rsidR="008D6F97" w:rsidRPr="0025250D">
        <w:rPr>
          <w:rFonts w:hint="cs"/>
          <w:rtl/>
        </w:rPr>
        <w:t>سامانه‌ای</w:t>
      </w:r>
      <w:r w:rsidRPr="0025250D">
        <w:rPr>
          <w:rFonts w:hint="cs"/>
          <w:rtl/>
        </w:rPr>
        <w:t xml:space="preserve"> و نظریه </w:t>
      </w:r>
      <w:r w:rsidR="008D6F97" w:rsidRPr="0025250D">
        <w:rPr>
          <w:rFonts w:hint="cs"/>
          <w:rtl/>
        </w:rPr>
        <w:t>سامانه‌</w:t>
      </w:r>
      <w:r w:rsidRPr="0025250D">
        <w:rPr>
          <w:rFonts w:hint="cs"/>
          <w:rtl/>
        </w:rPr>
        <w:t xml:space="preserve">‌ها زیربنای </w:t>
      </w:r>
      <w:r w:rsidRPr="0025250D">
        <w:rPr>
          <w:rtl/>
        </w:rPr>
        <w:t>آینده‌نگاری</w:t>
      </w:r>
      <w:r w:rsidRPr="0025250D">
        <w:rPr>
          <w:rFonts w:hint="cs"/>
          <w:rtl/>
        </w:rPr>
        <w:t xml:space="preserve"> هستند. مدلسازی و آزمون، در عوض، فعالیت‌های کانونی در تحلیل </w:t>
      </w:r>
      <w:r w:rsidR="008D6F97" w:rsidRPr="0025250D">
        <w:rPr>
          <w:rFonts w:hint="cs"/>
          <w:rtl/>
        </w:rPr>
        <w:t>سامانه‌</w:t>
      </w:r>
      <w:r w:rsidRPr="0025250D">
        <w:rPr>
          <w:rFonts w:hint="cs"/>
          <w:rtl/>
        </w:rPr>
        <w:t xml:space="preserve">‌ها هستند. مدل‌ها (شبیه سازی‌های ساده‌ای از </w:t>
      </w:r>
      <w:r w:rsidR="008D6F97" w:rsidRPr="0025250D">
        <w:rPr>
          <w:rFonts w:hint="cs"/>
          <w:rtl/>
        </w:rPr>
        <w:t>سامانه‌</w:t>
      </w:r>
      <w:r w:rsidRPr="0025250D">
        <w:rPr>
          <w:rFonts w:hint="cs"/>
          <w:rtl/>
        </w:rPr>
        <w:t xml:space="preserve">‌های پیچیده) و </w:t>
      </w:r>
      <w:r w:rsidR="00B13F65" w:rsidRPr="0025250D">
        <w:rPr>
          <w:rFonts w:hint="cs"/>
          <w:rtl/>
        </w:rPr>
        <w:t>چارچوب</w:t>
      </w:r>
      <w:r w:rsidRPr="0025250D">
        <w:rPr>
          <w:rFonts w:hint="cs"/>
          <w:rtl/>
        </w:rPr>
        <w:t xml:space="preserve">‌های مفید بسیاری (راهنماهایی برای انجام کارهای حرفه ای) در طول 60 سال گذشته فعالیت‌های </w:t>
      </w:r>
      <w:r w:rsidR="00D92F6E" w:rsidRPr="0025250D">
        <w:rPr>
          <w:rFonts w:hint="cs"/>
          <w:rtl/>
        </w:rPr>
        <w:t>آینده‌نگاری</w:t>
      </w:r>
      <w:r w:rsidRPr="0025250D">
        <w:rPr>
          <w:rFonts w:hint="cs"/>
          <w:rtl/>
        </w:rPr>
        <w:t xml:space="preserve"> توسعه داده </w:t>
      </w:r>
      <w:r w:rsidR="00185F3E" w:rsidRPr="0025250D">
        <w:rPr>
          <w:rFonts w:hint="cs"/>
          <w:rtl/>
        </w:rPr>
        <w:t>شده‌اند</w:t>
      </w:r>
      <w:r w:rsidRPr="0025250D">
        <w:rPr>
          <w:rFonts w:hint="cs"/>
          <w:rtl/>
        </w:rPr>
        <w:t>. ما دائما از چنین ابزارهایی برای استدلال و درک و مدیریت جهان استفاده می‌کنیم.</w:t>
      </w:r>
    </w:p>
    <w:p w14:paraId="4766FEF6" w14:textId="20CDD27D" w:rsidR="00537CC8" w:rsidRPr="0025250D" w:rsidRDefault="00537CC8" w:rsidP="002C61FC">
      <w:pPr>
        <w:rPr>
          <w:rtl/>
        </w:rPr>
      </w:pPr>
      <w:r w:rsidRPr="0025250D">
        <w:rPr>
          <w:rFonts w:hint="cs"/>
          <w:rtl/>
        </w:rPr>
        <w:t xml:space="preserve">مدل‌های </w:t>
      </w:r>
      <w:r w:rsidR="008D6F97" w:rsidRPr="0025250D">
        <w:rPr>
          <w:rFonts w:hint="cs"/>
          <w:rtl/>
        </w:rPr>
        <w:t>سامانه‌ای</w:t>
      </w:r>
      <w:r w:rsidRPr="0025250D">
        <w:rPr>
          <w:rFonts w:hint="cs"/>
          <w:rtl/>
        </w:rPr>
        <w:t xml:space="preserve"> ما، چه آگاهانه و چه غیر آگاهانه، چه ضمنی و چه صریح، چه رسمی و چه غیر رسمی، زیربنایی هستند که فعالیت‌های خود را بر آن‌ها بنا می‌کنیم. آن‌ها نقشه‌های ذهنی ما از آنچه اهمیت دارد می‌باشند</w:t>
      </w:r>
      <w:r w:rsidR="008D6F97" w:rsidRPr="0025250D">
        <w:rPr>
          <w:rtl/>
        </w:rPr>
        <w:t xml:space="preserve">؛ </w:t>
      </w:r>
      <w:r w:rsidRPr="0025250D">
        <w:rPr>
          <w:rFonts w:hint="cs"/>
          <w:rtl/>
        </w:rPr>
        <w:t xml:space="preserve">بنابراین مدل‌ها می‌توانند خطرناک نیز باشند، زیرا می‌توانند ما را برای ترجیح دادن روش‌ها و تخصص‌های عملی خاص برای تولید </w:t>
      </w:r>
      <w:r w:rsidRPr="0025250D">
        <w:rPr>
          <w:rtl/>
        </w:rPr>
        <w:t>آینده‌نگاری</w:t>
      </w:r>
      <w:r w:rsidRPr="0025250D">
        <w:rPr>
          <w:rFonts w:hint="cs"/>
          <w:rtl/>
        </w:rPr>
        <w:t xml:space="preserve"> دچار سوگیری کنند. مدل‌ها می‌توانند مواردی را که به آن‌ها توجه می‌کنیم و آنچه را که درک می‌کنیم و چگونگی درک آن را، اگر مراقب نباشیم و به اندازه کافی ساده انگار باشیم، محدود کنند.</w:t>
      </w:r>
    </w:p>
    <w:p w14:paraId="55500021" w14:textId="06808F33" w:rsidR="00537CC8" w:rsidRPr="0025250D" w:rsidRDefault="00537CC8" w:rsidP="00537CC8">
      <w:pPr>
        <w:rPr>
          <w:rtl/>
        </w:rPr>
      </w:pPr>
      <w:r w:rsidRPr="0025250D">
        <w:rPr>
          <w:rFonts w:hint="cs"/>
          <w:rtl/>
        </w:rPr>
        <w:t xml:space="preserve">دانستن این که کدام </w:t>
      </w:r>
      <w:r w:rsidR="008D6F97" w:rsidRPr="0025250D">
        <w:rPr>
          <w:rFonts w:hint="cs"/>
          <w:rtl/>
        </w:rPr>
        <w:t>سامانه‌</w:t>
      </w:r>
      <w:r w:rsidRPr="0025250D">
        <w:rPr>
          <w:rFonts w:hint="cs"/>
          <w:rtl/>
        </w:rPr>
        <w:t xml:space="preserve">‌های پیچیده بیش‌ترین ارتباط را با مشکل ما دارند و این که کدام مدل‌ها یا </w:t>
      </w:r>
      <w:r w:rsidR="00B13F65" w:rsidRPr="0025250D">
        <w:rPr>
          <w:rFonts w:hint="cs"/>
          <w:rtl/>
        </w:rPr>
        <w:t>چارچوب</w:t>
      </w:r>
      <w:r w:rsidRPr="0025250D">
        <w:rPr>
          <w:rFonts w:hint="cs"/>
          <w:rtl/>
        </w:rPr>
        <w:t>‌ها به بهترین شکل با نیاز‌های ما تناسب دارند، معمولاً واضح نیست و از طریق تجربه حاصل می‌شود. بازبینی و مرور ادبیاتی که از هر مدل دفاع می‌کند برای یافتن مطالعات موردی و قضاوت درمورد این که آیا آن‌ها مشابه با مورد ما هستند یا خیر، می‌تواند بسیار مفید باشد</w:t>
      </w:r>
      <w:r w:rsidR="008D6F97" w:rsidRPr="0025250D">
        <w:rPr>
          <w:rtl/>
        </w:rPr>
        <w:t xml:space="preserve">؛ </w:t>
      </w:r>
      <w:r w:rsidR="0020589F" w:rsidRPr="0025250D">
        <w:rPr>
          <w:rtl/>
        </w:rPr>
        <w:t>اما</w:t>
      </w:r>
      <w:r w:rsidRPr="0025250D">
        <w:rPr>
          <w:rFonts w:hint="cs"/>
          <w:rtl/>
        </w:rPr>
        <w:t xml:space="preserve"> گام اول آگاهی از گستره وسیع مدل‌هایی است که فواید آن‌ها در کار </w:t>
      </w:r>
      <w:r w:rsidRPr="0025250D">
        <w:rPr>
          <w:rtl/>
        </w:rPr>
        <w:t>آینده‌نگاری</w:t>
      </w:r>
      <w:r w:rsidRPr="0025250D">
        <w:rPr>
          <w:rFonts w:hint="cs"/>
          <w:rtl/>
        </w:rPr>
        <w:t xml:space="preserve"> ثابت شده است.</w:t>
      </w:r>
    </w:p>
    <w:p w14:paraId="7921C6E1" w14:textId="1247A871" w:rsidR="00537CC8" w:rsidRPr="0025250D" w:rsidRDefault="00537CC8" w:rsidP="00537CC8">
      <w:pPr>
        <w:rPr>
          <w:rtl/>
        </w:rPr>
      </w:pPr>
      <w:r w:rsidRPr="0025250D">
        <w:rPr>
          <w:rFonts w:hint="cs"/>
          <w:rtl/>
        </w:rPr>
        <w:t xml:space="preserve">برخی مدل‌ها و </w:t>
      </w:r>
      <w:r w:rsidR="00B13F65" w:rsidRPr="0025250D">
        <w:rPr>
          <w:rFonts w:hint="cs"/>
          <w:rtl/>
        </w:rPr>
        <w:t>چارچوب</w:t>
      </w:r>
      <w:r w:rsidRPr="0025250D">
        <w:rPr>
          <w:rFonts w:hint="cs"/>
          <w:rtl/>
        </w:rPr>
        <w:t xml:space="preserve">‌های عملی </w:t>
      </w:r>
      <w:r w:rsidRPr="0025250D">
        <w:rPr>
          <w:rFonts w:cs="Times New Roman" w:hint="cs"/>
          <w:rtl/>
        </w:rPr>
        <w:t>–</w:t>
      </w:r>
      <w:r w:rsidRPr="0025250D">
        <w:rPr>
          <w:rFonts w:hint="cs"/>
          <w:rtl/>
        </w:rPr>
        <w:t xml:space="preserve"> مانند هشت مهارت، تحلیل </w:t>
      </w:r>
      <w:r w:rsidRPr="0025250D">
        <w:t>ADOR</w:t>
      </w:r>
      <w:r w:rsidRPr="0025250D">
        <w:rPr>
          <w:rFonts w:hint="cs"/>
          <w:rtl/>
        </w:rPr>
        <w:t xml:space="preserve">، سوگیری آزادی و منفی، تقسیم </w:t>
      </w:r>
      <w:r w:rsidR="00B56611" w:rsidRPr="0025250D">
        <w:rPr>
          <w:rFonts w:hint="cs"/>
          <w:rtl/>
        </w:rPr>
        <w:t>چشم‌انداز</w:t>
      </w:r>
      <w:r w:rsidRPr="0025250D">
        <w:rPr>
          <w:rFonts w:hint="cs"/>
          <w:rtl/>
        </w:rPr>
        <w:t xml:space="preserve">‌های </w:t>
      </w:r>
      <w:r w:rsidR="00701E03" w:rsidRPr="0025250D">
        <w:rPr>
          <w:rFonts w:hint="cs"/>
          <w:rtl/>
        </w:rPr>
        <w:t>راهبردی</w:t>
      </w:r>
      <w:r w:rsidRPr="0025250D">
        <w:rPr>
          <w:rFonts w:hint="cs"/>
          <w:rtl/>
        </w:rPr>
        <w:t xml:space="preserve"> به آینده‌های مرجح و قابل اجتناب و اهمیت اخلاق و دلسوزی در فکر و عمل ما </w:t>
      </w:r>
      <w:r w:rsidRPr="0025250D">
        <w:rPr>
          <w:rFonts w:cs="Times New Roman" w:hint="cs"/>
          <w:rtl/>
        </w:rPr>
        <w:t>–</w:t>
      </w:r>
      <w:r w:rsidRPr="0025250D">
        <w:rPr>
          <w:rFonts w:hint="cs"/>
          <w:rtl/>
        </w:rPr>
        <w:t xml:space="preserve"> برای تولید </w:t>
      </w:r>
      <w:r w:rsidRPr="0025250D">
        <w:rPr>
          <w:rtl/>
        </w:rPr>
        <w:t>آینده‌نگاری</w:t>
      </w:r>
      <w:r w:rsidRPr="0025250D">
        <w:rPr>
          <w:rFonts w:hint="cs"/>
          <w:rtl/>
        </w:rPr>
        <w:t xml:space="preserve"> </w:t>
      </w:r>
      <w:r w:rsidR="00AE5BE0" w:rsidRPr="0025250D">
        <w:rPr>
          <w:rFonts w:hint="cs"/>
          <w:rtl/>
        </w:rPr>
        <w:t>انطباقی</w:t>
      </w:r>
      <w:r w:rsidRPr="0025250D">
        <w:rPr>
          <w:rFonts w:hint="cs"/>
          <w:rtl/>
        </w:rPr>
        <w:t xml:space="preserve"> به طور مشخص اساسی به نظر می‌رسند. هر یک از ما باید تصمیم بگیریم که این مدل‌ها چه قدر </w:t>
      </w:r>
      <w:r w:rsidR="00B453C0" w:rsidRPr="0025250D">
        <w:rPr>
          <w:rFonts w:hint="cs"/>
          <w:rtl/>
        </w:rPr>
        <w:t>امکان‌پذیر</w:t>
      </w:r>
      <w:r w:rsidRPr="0025250D">
        <w:rPr>
          <w:rFonts w:hint="cs"/>
          <w:rtl/>
        </w:rPr>
        <w:t xml:space="preserve">، مبتنی بر شواهد و مرتبط با </w:t>
      </w:r>
      <w:r w:rsidR="00701E03" w:rsidRPr="0025250D">
        <w:rPr>
          <w:rFonts w:hint="cs"/>
          <w:rtl/>
        </w:rPr>
        <w:t>راهبرد</w:t>
      </w:r>
      <w:r w:rsidRPr="0025250D">
        <w:rPr>
          <w:rFonts w:hint="cs"/>
          <w:rtl/>
        </w:rPr>
        <w:t>‌های ما هستند.</w:t>
      </w:r>
    </w:p>
    <w:p w14:paraId="1FD79E3A" w14:textId="7AA3DA76" w:rsidR="00537CC8" w:rsidRPr="0025250D" w:rsidRDefault="00537CC8" w:rsidP="00537CC8">
      <w:pPr>
        <w:rPr>
          <w:b/>
          <w:bCs/>
          <w:rtl/>
        </w:rPr>
      </w:pPr>
      <w:r w:rsidRPr="0025250D">
        <w:rPr>
          <w:rFonts w:hint="cs"/>
          <w:b/>
          <w:bCs/>
          <w:rtl/>
        </w:rPr>
        <w:t xml:space="preserve">ب) </w:t>
      </w:r>
      <w:r w:rsidR="00B56611" w:rsidRPr="0025250D">
        <w:rPr>
          <w:rFonts w:hint="cs"/>
          <w:b/>
          <w:bCs/>
          <w:rtl/>
        </w:rPr>
        <w:t>چشم‌انداز</w:t>
      </w:r>
      <w:r w:rsidRPr="0025250D">
        <w:rPr>
          <w:rFonts w:hint="cs"/>
          <w:b/>
          <w:bCs/>
          <w:rtl/>
        </w:rPr>
        <w:t>‌ها (مرجح و قابل اجتناب) و ارزش ها</w:t>
      </w:r>
    </w:p>
    <w:p w14:paraId="2DDDCD8B" w14:textId="0C4B6D92" w:rsidR="00537CC8" w:rsidRPr="0025250D" w:rsidRDefault="007118DE" w:rsidP="00537CC8">
      <w:pPr>
        <w:rPr>
          <w:rtl/>
        </w:rPr>
      </w:pPr>
      <w:r w:rsidRPr="0025250D">
        <w:rPr>
          <w:rFonts w:hint="cs"/>
          <w:rtl/>
        </w:rPr>
        <w:t>همان‌طور</w:t>
      </w:r>
      <w:r w:rsidR="00537CC8" w:rsidRPr="0025250D">
        <w:rPr>
          <w:rFonts w:hint="cs"/>
          <w:rtl/>
        </w:rPr>
        <w:t xml:space="preserve"> که محقق </w:t>
      </w:r>
      <w:r w:rsidR="00537CC8" w:rsidRPr="0025250D">
        <w:rPr>
          <w:rtl/>
        </w:rPr>
        <w:t>پ</w:t>
      </w:r>
      <w:r w:rsidR="00537CC8" w:rsidRPr="0025250D">
        <w:rPr>
          <w:rFonts w:hint="cs"/>
          <w:rtl/>
        </w:rPr>
        <w:t>ی</w:t>
      </w:r>
      <w:r w:rsidR="00537CC8" w:rsidRPr="0025250D">
        <w:rPr>
          <w:rFonts w:hint="eastAsia"/>
          <w:rtl/>
        </w:rPr>
        <w:t>تر</w:t>
      </w:r>
      <w:r w:rsidR="00537CC8" w:rsidRPr="0025250D">
        <w:rPr>
          <w:rtl/>
        </w:rPr>
        <w:t xml:space="preserve"> سنگه</w:t>
      </w:r>
      <w:r w:rsidR="00537CC8" w:rsidRPr="0025250D">
        <w:rPr>
          <w:rFonts w:hint="cs"/>
          <w:rtl/>
        </w:rPr>
        <w:t xml:space="preserve"> مدیر اسلون </w:t>
      </w:r>
      <w:r w:rsidR="00537CC8" w:rsidRPr="0025250D">
        <w:t>MIT</w:t>
      </w:r>
      <w:r w:rsidR="00537CC8" w:rsidRPr="0025250D">
        <w:rPr>
          <w:rFonts w:hint="cs"/>
          <w:rtl/>
        </w:rPr>
        <w:t xml:space="preserve"> بیان می‌کند، </w:t>
      </w:r>
      <w:r w:rsidR="00B56611" w:rsidRPr="0025250D">
        <w:rPr>
          <w:rFonts w:hint="cs"/>
          <w:rtl/>
        </w:rPr>
        <w:t>چشم‌انداز</w:t>
      </w:r>
      <w:r w:rsidR="00537CC8" w:rsidRPr="0025250D">
        <w:rPr>
          <w:rFonts w:hint="cs"/>
          <w:rtl/>
        </w:rPr>
        <w:t xml:space="preserve">‌های مشترک نوعی از </w:t>
      </w:r>
      <w:r w:rsidR="00537CC8" w:rsidRPr="0025250D">
        <w:rPr>
          <w:rtl/>
        </w:rPr>
        <w:t>آینده‌نگاری</w:t>
      </w:r>
      <w:r w:rsidR="00537CC8" w:rsidRPr="0025250D">
        <w:rPr>
          <w:rFonts w:hint="cs"/>
          <w:rtl/>
        </w:rPr>
        <w:t xml:space="preserve"> هستند که مردم بیش از هم به آن اهمیت می‌دهند. </w:t>
      </w:r>
      <w:r w:rsidR="00537CC8" w:rsidRPr="0025250D">
        <w:rPr>
          <w:rtl/>
        </w:rPr>
        <w:t>آینده‌نگاری</w:t>
      </w:r>
      <w:r w:rsidR="00537CC8" w:rsidRPr="0025250D">
        <w:rPr>
          <w:rFonts w:hint="cs"/>
          <w:rtl/>
        </w:rPr>
        <w:t xml:space="preserve"> موارد محتمل و ممکن برای مردم بسیار کم‌تر انگیزه ایجاد می‌کند، حتی با این که باید هر دوی آن‌ها را برای بهتر دیدن گزینه‌های </w:t>
      </w:r>
      <w:r w:rsidR="00701E03" w:rsidRPr="0025250D">
        <w:rPr>
          <w:rFonts w:hint="cs"/>
          <w:rtl/>
        </w:rPr>
        <w:t>راهبردی</w:t>
      </w:r>
      <w:r w:rsidR="00537CC8" w:rsidRPr="0025250D">
        <w:rPr>
          <w:rFonts w:hint="cs"/>
          <w:rtl/>
        </w:rPr>
        <w:t xml:space="preserve"> خود انجام دهیم. </w:t>
      </w:r>
      <w:r w:rsidR="00537CC8" w:rsidRPr="0025250D">
        <w:rPr>
          <w:rtl/>
        </w:rPr>
        <w:t>سنگه</w:t>
      </w:r>
      <w:r w:rsidR="00537CC8" w:rsidRPr="0025250D">
        <w:rPr>
          <w:rFonts w:hint="cs"/>
          <w:rtl/>
        </w:rPr>
        <w:t xml:space="preserve"> خلق </w:t>
      </w:r>
      <w:r w:rsidR="00B56611" w:rsidRPr="0025250D">
        <w:rPr>
          <w:rFonts w:hint="cs"/>
          <w:rtl/>
        </w:rPr>
        <w:t>چشم‌انداز</w:t>
      </w:r>
      <w:r w:rsidR="00537CC8" w:rsidRPr="0025250D">
        <w:rPr>
          <w:rFonts w:hint="cs"/>
          <w:rtl/>
        </w:rPr>
        <w:t xml:space="preserve"> مشترک را در کتاب کلاسیک خود به نام پنجمین فرمان: هنر و اقدام سازمان یادگیرنده</w:t>
      </w:r>
      <w:r w:rsidR="00537CC8" w:rsidRPr="0025250D">
        <w:rPr>
          <w:vertAlign w:val="superscript"/>
          <w:rtl/>
        </w:rPr>
        <w:footnoteReference w:id="2673"/>
      </w:r>
      <w:r w:rsidR="00537CC8" w:rsidRPr="0025250D">
        <w:rPr>
          <w:rFonts w:hint="cs"/>
          <w:rtl/>
        </w:rPr>
        <w:t xml:space="preserve"> در سال 1990 توصیف می‌کند. او اشاره می‌کند که توسعه </w:t>
      </w:r>
      <w:r w:rsidR="00B56611" w:rsidRPr="0025250D">
        <w:rPr>
          <w:rFonts w:hint="cs"/>
          <w:rtl/>
        </w:rPr>
        <w:t>چشم‌انداز</w:t>
      </w:r>
      <w:r w:rsidR="00537CC8" w:rsidRPr="0025250D">
        <w:rPr>
          <w:rFonts w:hint="cs"/>
          <w:rtl/>
        </w:rPr>
        <w:t>‌های مشترک با گام یادگیری</w:t>
      </w:r>
      <w:r w:rsidR="00AF7539" w:rsidRPr="0025250D">
        <w:rPr>
          <w:rFonts w:hint="cs"/>
          <w:rtl/>
        </w:rPr>
        <w:t xml:space="preserve"> و </w:t>
      </w:r>
      <w:r w:rsidR="00537CC8" w:rsidRPr="0025250D">
        <w:rPr>
          <w:rFonts w:hint="cs"/>
          <w:rtl/>
        </w:rPr>
        <w:t xml:space="preserve">فرایند رسمی و غیر رسمی استخراج </w:t>
      </w:r>
      <w:r w:rsidR="00B56611" w:rsidRPr="0025250D">
        <w:rPr>
          <w:rFonts w:hint="cs"/>
          <w:rtl/>
        </w:rPr>
        <w:t>چشم‌انداز</w:t>
      </w:r>
      <w:r w:rsidR="00537CC8" w:rsidRPr="0025250D">
        <w:rPr>
          <w:rFonts w:hint="cs"/>
          <w:rtl/>
        </w:rPr>
        <w:t>‌های همه ذینفعان آغاز می‌شود. این پیشنهاد به خوبی با قانون 95/5</w:t>
      </w:r>
      <w:r w:rsidR="008D6F97" w:rsidRPr="0025250D">
        <w:rPr>
          <w:rtl/>
        </w:rPr>
        <w:t xml:space="preserve"> </w:t>
      </w:r>
      <w:r w:rsidR="00537CC8" w:rsidRPr="0025250D">
        <w:rPr>
          <w:rFonts w:hint="cs"/>
          <w:rtl/>
        </w:rPr>
        <w:t xml:space="preserve">که بیان می‌کند بیش‌تر تغییرات باید به صورت پایین به بالا ایجاد شوند و با عادت زندگی </w:t>
      </w:r>
      <w:r w:rsidR="00537CC8" w:rsidRPr="0025250D">
        <w:rPr>
          <w:rtl/>
        </w:rPr>
        <w:t>است</w:t>
      </w:r>
      <w:r w:rsidR="00537CC8" w:rsidRPr="0025250D">
        <w:rPr>
          <w:rFonts w:hint="cs"/>
          <w:rtl/>
        </w:rPr>
        <w:t>ی</w:t>
      </w:r>
      <w:r w:rsidR="00537CC8" w:rsidRPr="0025250D">
        <w:rPr>
          <w:rFonts w:hint="eastAsia"/>
          <w:rtl/>
        </w:rPr>
        <w:t>ون</w:t>
      </w:r>
      <w:r w:rsidR="00537CC8" w:rsidRPr="0025250D">
        <w:rPr>
          <w:rtl/>
        </w:rPr>
        <w:t xml:space="preserve"> کاو</w:t>
      </w:r>
      <w:r w:rsidR="00537CC8" w:rsidRPr="0025250D">
        <w:rPr>
          <w:rFonts w:hint="cs"/>
          <w:rtl/>
        </w:rPr>
        <w:t xml:space="preserve">ی </w:t>
      </w:r>
      <w:r w:rsidR="002C61FC" w:rsidRPr="0025250D">
        <w:rPr>
          <w:rtl/>
        </w:rPr>
        <w:t>«</w:t>
      </w:r>
      <w:r w:rsidR="00537CC8" w:rsidRPr="0025250D">
        <w:rPr>
          <w:rFonts w:hint="cs"/>
          <w:rtl/>
        </w:rPr>
        <w:t>ابتدا به دنبال درک باشید و سپس به دنبال درک شدن</w:t>
      </w:r>
      <w:r w:rsidR="002C61FC" w:rsidRPr="0025250D">
        <w:rPr>
          <w:rtl/>
        </w:rPr>
        <w:t>»</w:t>
      </w:r>
      <w:r w:rsidR="00537CC8" w:rsidRPr="0025250D">
        <w:rPr>
          <w:rFonts w:hint="cs"/>
          <w:rtl/>
        </w:rPr>
        <w:t xml:space="preserve"> همخوانی دارد. وقتی تنوع </w:t>
      </w:r>
      <w:r w:rsidR="00B56611" w:rsidRPr="0025250D">
        <w:rPr>
          <w:rFonts w:hint="cs"/>
          <w:rtl/>
        </w:rPr>
        <w:t>چشم‌انداز</w:t>
      </w:r>
      <w:r w:rsidR="00537CC8" w:rsidRPr="0025250D">
        <w:rPr>
          <w:rFonts w:hint="cs"/>
          <w:rtl/>
        </w:rPr>
        <w:t xml:space="preserve">‌های موجود را بدانیم، یک توانایی برای ایجاد </w:t>
      </w:r>
      <w:r w:rsidR="00B56611" w:rsidRPr="0025250D">
        <w:rPr>
          <w:rFonts w:hint="cs"/>
          <w:rtl/>
        </w:rPr>
        <w:t>چشم‌انداز</w:t>
      </w:r>
      <w:r w:rsidR="00537CC8" w:rsidRPr="0025250D">
        <w:rPr>
          <w:rFonts w:hint="cs"/>
          <w:rtl/>
        </w:rPr>
        <w:t>‌های مثبت و منفی خود داریم که می‌توانند با بیش‌تر ارزش‌های ذینفعان ما همخوانی باشته باشند.</w:t>
      </w:r>
    </w:p>
    <w:p w14:paraId="3123295C" w14:textId="5A8A3C02" w:rsidR="00537CC8" w:rsidRPr="0025250D" w:rsidRDefault="00537CC8" w:rsidP="00537CC8">
      <w:pPr>
        <w:rPr>
          <w:rtl/>
        </w:rPr>
      </w:pPr>
      <w:r w:rsidRPr="0025250D">
        <w:rPr>
          <w:rFonts w:hint="cs"/>
          <w:rtl/>
        </w:rPr>
        <w:t xml:space="preserve">از همه مهم‌تر، </w:t>
      </w:r>
      <w:r w:rsidR="007118DE" w:rsidRPr="0025250D">
        <w:rPr>
          <w:rFonts w:hint="cs"/>
          <w:rtl/>
        </w:rPr>
        <w:t>همان‌طور</w:t>
      </w:r>
      <w:r w:rsidRPr="0025250D">
        <w:rPr>
          <w:rFonts w:hint="cs"/>
          <w:rtl/>
        </w:rPr>
        <w:t xml:space="preserve"> که </w:t>
      </w:r>
      <w:r w:rsidR="00D92F6E" w:rsidRPr="0025250D">
        <w:rPr>
          <w:rFonts w:hint="cs"/>
          <w:rtl/>
        </w:rPr>
        <w:t>آینده‌پژوه</w:t>
      </w:r>
      <w:r w:rsidRPr="0025250D">
        <w:rPr>
          <w:rFonts w:hint="cs"/>
          <w:rtl/>
        </w:rPr>
        <w:t xml:space="preserve"> </w:t>
      </w:r>
      <w:r w:rsidR="00AF7539" w:rsidRPr="0025250D">
        <w:rPr>
          <w:rFonts w:hint="cs"/>
          <w:rtl/>
        </w:rPr>
        <w:t>آرت</w:t>
      </w:r>
      <w:r w:rsidRPr="0025250D">
        <w:rPr>
          <w:rtl/>
        </w:rPr>
        <w:t xml:space="preserve"> شوستاک</w:t>
      </w:r>
      <w:r w:rsidRPr="0025250D">
        <w:rPr>
          <w:vertAlign w:val="superscript"/>
          <w:rtl/>
        </w:rPr>
        <w:footnoteReference w:id="2674"/>
      </w:r>
      <w:r w:rsidRPr="0025250D">
        <w:rPr>
          <w:rFonts w:hint="cs"/>
          <w:rtl/>
        </w:rPr>
        <w:t xml:space="preserve"> می‌گوید، </w:t>
      </w:r>
      <w:r w:rsidR="00B56611" w:rsidRPr="0025250D">
        <w:rPr>
          <w:rFonts w:hint="cs"/>
          <w:rtl/>
        </w:rPr>
        <w:t>چشم‌انداز</w:t>
      </w:r>
      <w:r w:rsidRPr="0025250D">
        <w:rPr>
          <w:rFonts w:hint="cs"/>
          <w:rtl/>
        </w:rPr>
        <w:t>‌های خوب باید هم مرجح و هم قابل اجتناب باشند.</w:t>
      </w:r>
      <w:r w:rsidR="0020589F" w:rsidRPr="0025250D">
        <w:rPr>
          <w:rtl/>
        </w:rPr>
        <w:t xml:space="preserve"> آن</w:t>
      </w:r>
      <w:r w:rsidRPr="0025250D">
        <w:rPr>
          <w:rFonts w:hint="cs"/>
          <w:rtl/>
        </w:rPr>
        <w:t xml:space="preserve">‌ها آنچه را که می‌خواهیم به دست آوریم و آنچه را می‌خواهیم از آن اجتناب کنیم به ما می‌گویند. آن‌ها همچنین باید یک افق زمانی مناسب داشته باشند. قانون توانی </w:t>
      </w:r>
      <w:r w:rsidR="00B124DE" w:rsidRPr="0025250D">
        <w:rPr>
          <w:rFonts w:hint="cs"/>
          <w:rtl/>
        </w:rPr>
        <w:t>آینده‌اندیش</w:t>
      </w:r>
      <w:r w:rsidRPr="0025250D">
        <w:rPr>
          <w:rFonts w:hint="cs"/>
          <w:rtl/>
        </w:rPr>
        <w:t xml:space="preserve">ی را به یاد داشته باشید. بیش‌تر </w:t>
      </w:r>
      <w:r w:rsidR="00B124DE" w:rsidRPr="0025250D">
        <w:rPr>
          <w:rFonts w:hint="cs"/>
          <w:rtl/>
        </w:rPr>
        <w:t>آینده‌اندیش</w:t>
      </w:r>
      <w:r w:rsidRPr="0025250D">
        <w:rPr>
          <w:rFonts w:hint="cs"/>
          <w:rtl/>
        </w:rPr>
        <w:t>ی، از نظر تعداد، اما نه لزوما از نظر اهمیت، بسیار کوتاه مدت است.</w:t>
      </w:r>
    </w:p>
    <w:p w14:paraId="2CF67C6C" w14:textId="02C00D44" w:rsidR="00537CC8" w:rsidRPr="0025250D" w:rsidRDefault="00B56611" w:rsidP="00537CC8">
      <w:pPr>
        <w:rPr>
          <w:rtl/>
        </w:rPr>
      </w:pPr>
      <w:r w:rsidRPr="0025250D">
        <w:rPr>
          <w:rFonts w:hint="cs"/>
          <w:rtl/>
        </w:rPr>
        <w:t>چشم‌انداز</w:t>
      </w:r>
      <w:r w:rsidR="00537CC8" w:rsidRPr="0025250D">
        <w:rPr>
          <w:rFonts w:hint="cs"/>
          <w:rtl/>
        </w:rPr>
        <w:t xml:space="preserve">‌های مشترک برای ربع قرن بعدی می‌توانند بسیار مستحکم و قابل اندازه گیری باشند و معمولاً تنها به صورت ضمنی به ارزش‌ها می‌پردازند. مثال‌های خوبی از این مورد در کتاب بازی بزرگ </w:t>
      </w:r>
      <w:r w:rsidR="00B124DE" w:rsidRPr="0025250D">
        <w:rPr>
          <w:rFonts w:hint="cs"/>
          <w:rtl/>
        </w:rPr>
        <w:t>کسب‌و‌کار</w:t>
      </w:r>
      <w:r w:rsidR="00537CC8" w:rsidRPr="0025250D">
        <w:rPr>
          <w:vertAlign w:val="superscript"/>
          <w:rtl/>
        </w:rPr>
        <w:footnoteReference w:id="2675"/>
      </w:r>
      <w:r w:rsidR="00537CC8" w:rsidRPr="0025250D">
        <w:rPr>
          <w:rFonts w:hint="cs"/>
          <w:rtl/>
        </w:rPr>
        <w:t xml:space="preserve"> اثر </w:t>
      </w:r>
      <w:r w:rsidR="00537CC8" w:rsidRPr="0025250D">
        <w:rPr>
          <w:rtl/>
        </w:rPr>
        <w:t>جک استک</w:t>
      </w:r>
      <w:r w:rsidR="00537CC8" w:rsidRPr="0025250D">
        <w:rPr>
          <w:vertAlign w:val="superscript"/>
          <w:rtl/>
        </w:rPr>
        <w:footnoteReference w:id="2676"/>
      </w:r>
      <w:r w:rsidR="00537CC8" w:rsidRPr="0025250D">
        <w:rPr>
          <w:rFonts w:hint="cs"/>
          <w:rtl/>
        </w:rPr>
        <w:t xml:space="preserve"> در سال</w:t>
      </w:r>
      <w:r w:rsidR="00AF7539" w:rsidRPr="0025250D">
        <w:rPr>
          <w:rFonts w:hint="cs"/>
          <w:rtl/>
        </w:rPr>
        <w:t xml:space="preserve"> 2013</w:t>
      </w:r>
      <w:r w:rsidR="00537CC8" w:rsidRPr="0025250D">
        <w:rPr>
          <w:rFonts w:hint="cs"/>
          <w:rtl/>
        </w:rPr>
        <w:t xml:space="preserve"> بحث می‌شوند. می‌توانیم هر کسی در سازمان خود را به استفاده از </w:t>
      </w:r>
      <w:r w:rsidR="00537CC8" w:rsidRPr="0025250D">
        <w:t>P&amp;L</w:t>
      </w:r>
      <w:r w:rsidR="00537CC8" w:rsidRPr="0025250D">
        <w:rPr>
          <w:rFonts w:hint="cs"/>
          <w:rtl/>
        </w:rPr>
        <w:t>‌های یک صفحه‌ای و اوراق توازن یک صفحه ای، همکاری با هم برای تنظیم طرح‌های پاداش (</w:t>
      </w:r>
      <w:r w:rsidRPr="0025250D">
        <w:rPr>
          <w:rFonts w:hint="cs"/>
          <w:rtl/>
        </w:rPr>
        <w:t>چشم‌انداز</w:t>
      </w:r>
      <w:r w:rsidR="00537CC8" w:rsidRPr="0025250D">
        <w:rPr>
          <w:rFonts w:hint="cs"/>
          <w:rtl/>
        </w:rPr>
        <w:t xml:space="preserve">‌های مالی مشترک) و تعیین اهداف عملکردی خودشان با استفاده از </w:t>
      </w:r>
      <w:r w:rsidR="00537CC8" w:rsidRPr="0025250D">
        <w:t>OKR</w:t>
      </w:r>
      <w:r w:rsidR="00537CC8" w:rsidRPr="0025250D">
        <w:rPr>
          <w:rFonts w:hint="cs"/>
          <w:rtl/>
        </w:rPr>
        <w:t xml:space="preserve">‌ها تشویق کنیم. </w:t>
      </w:r>
      <w:r w:rsidRPr="0025250D">
        <w:rPr>
          <w:rFonts w:hint="cs"/>
          <w:rtl/>
        </w:rPr>
        <w:t>چشم‌انداز</w:t>
      </w:r>
      <w:r w:rsidR="00537CC8" w:rsidRPr="0025250D">
        <w:rPr>
          <w:rFonts w:hint="cs"/>
          <w:rtl/>
        </w:rPr>
        <w:t xml:space="preserve">‌های مشترک برای بلند مدت، مثلا در کارگاه‌های </w:t>
      </w:r>
      <w:r w:rsidR="00EE4B64" w:rsidRPr="0025250D">
        <w:rPr>
          <w:rFonts w:hint="cs"/>
          <w:rtl/>
        </w:rPr>
        <w:t>چشم‌اندازسازی</w:t>
      </w:r>
      <w:r w:rsidR="00537CC8" w:rsidRPr="0025250D">
        <w:rPr>
          <w:rFonts w:hint="cs"/>
          <w:rtl/>
        </w:rPr>
        <w:t xml:space="preserve"> برای بیانیه مأموریت یا </w:t>
      </w:r>
      <w:r w:rsidRPr="0025250D">
        <w:rPr>
          <w:rFonts w:hint="cs"/>
          <w:rtl/>
        </w:rPr>
        <w:t>چشم‌انداز</w:t>
      </w:r>
      <w:r w:rsidR="00537CC8" w:rsidRPr="0025250D">
        <w:rPr>
          <w:rFonts w:hint="cs"/>
          <w:rtl/>
        </w:rPr>
        <w:t xml:space="preserve"> یک سازمان، به بحث‌های ارزشی و توافقی نیاز دارند. این کار بلند مدت در مورد ترجیحات کمتر در </w:t>
      </w:r>
      <w:r w:rsidRPr="0025250D">
        <w:rPr>
          <w:rFonts w:hint="cs"/>
          <w:rtl/>
        </w:rPr>
        <w:t>چشم‌انداز</w:t>
      </w:r>
      <w:r w:rsidR="00537CC8" w:rsidRPr="0025250D">
        <w:rPr>
          <w:rFonts w:hint="cs"/>
          <w:rtl/>
        </w:rPr>
        <w:t>‌های کوتاه مدت ما رایج است.</w:t>
      </w:r>
    </w:p>
    <w:p w14:paraId="07101873" w14:textId="5288769C" w:rsidR="00537CC8" w:rsidRPr="0025250D" w:rsidRDefault="00537CC8" w:rsidP="00537CC8">
      <w:pPr>
        <w:rPr>
          <w:rtl/>
        </w:rPr>
      </w:pPr>
      <w:r w:rsidRPr="0025250D">
        <w:rPr>
          <w:rFonts w:hint="cs"/>
          <w:rtl/>
        </w:rPr>
        <w:t xml:space="preserve">مشابه بیش‌تر برنامه‌های </w:t>
      </w:r>
      <w:r w:rsidR="00701E03" w:rsidRPr="0025250D">
        <w:rPr>
          <w:rFonts w:hint="cs"/>
          <w:rtl/>
        </w:rPr>
        <w:t>راهبردی</w:t>
      </w:r>
      <w:r w:rsidRPr="0025250D">
        <w:rPr>
          <w:rFonts w:hint="cs"/>
          <w:rtl/>
        </w:rPr>
        <w:t xml:space="preserve"> </w:t>
      </w:r>
      <w:r w:rsidRPr="0025250D">
        <w:rPr>
          <w:rFonts w:cs="Times New Roman" w:hint="cs"/>
          <w:rtl/>
        </w:rPr>
        <w:t>–</w:t>
      </w:r>
      <w:r w:rsidRPr="0025250D">
        <w:rPr>
          <w:rFonts w:hint="cs"/>
          <w:rtl/>
        </w:rPr>
        <w:t xml:space="preserve"> که باید ساده، کوتاه مدت و مرتبا اصلاح شده باشند </w:t>
      </w:r>
      <w:r w:rsidRPr="0025250D">
        <w:rPr>
          <w:rFonts w:cs="Times New Roman" w:hint="cs"/>
          <w:rtl/>
        </w:rPr>
        <w:t>–</w:t>
      </w:r>
      <w:r w:rsidRPr="0025250D">
        <w:rPr>
          <w:rFonts w:hint="cs"/>
          <w:rtl/>
        </w:rPr>
        <w:t xml:space="preserve"> اکثریت </w:t>
      </w:r>
      <w:r w:rsidR="00EE4B64" w:rsidRPr="0025250D">
        <w:rPr>
          <w:rFonts w:hint="cs"/>
          <w:rtl/>
        </w:rPr>
        <w:t>چشم‌اندازسازی</w:t>
      </w:r>
      <w:r w:rsidRPr="0025250D">
        <w:rPr>
          <w:rFonts w:hint="cs"/>
          <w:rtl/>
        </w:rPr>
        <w:t xml:space="preserve"> ما باید ساده، کوتاه مدت و </w:t>
      </w:r>
      <w:r w:rsidR="003F1B52" w:rsidRPr="0025250D">
        <w:rPr>
          <w:rFonts w:hint="cs"/>
          <w:rtl/>
        </w:rPr>
        <w:t xml:space="preserve">مکرراً </w:t>
      </w:r>
      <w:r w:rsidRPr="0025250D">
        <w:rPr>
          <w:rFonts w:hint="cs"/>
          <w:rtl/>
        </w:rPr>
        <w:t xml:space="preserve">اصلاح شده باشد. تصویر سازی دست یابی به </w:t>
      </w:r>
      <w:r w:rsidR="00B56611" w:rsidRPr="0025250D">
        <w:rPr>
          <w:rFonts w:hint="cs"/>
          <w:rtl/>
        </w:rPr>
        <w:t>چشم‌انداز</w:t>
      </w:r>
      <w:r w:rsidRPr="0025250D">
        <w:rPr>
          <w:rFonts w:hint="cs"/>
          <w:rtl/>
        </w:rPr>
        <w:t xml:space="preserve">‌های کوتاه مدت مان معمولاً بسیار مفید‌تر از تصویر سازی </w:t>
      </w:r>
      <w:r w:rsidR="00B56611" w:rsidRPr="0025250D">
        <w:rPr>
          <w:rFonts w:hint="cs"/>
          <w:rtl/>
        </w:rPr>
        <w:t>چشم‌انداز</w:t>
      </w:r>
      <w:r w:rsidRPr="0025250D">
        <w:rPr>
          <w:rFonts w:hint="cs"/>
          <w:rtl/>
        </w:rPr>
        <w:t>‌های بلند مدتمان است، اگر چه این کار می‌تواند در مواقعی برای پس نگری</w:t>
      </w:r>
      <w:r w:rsidRPr="0025250D">
        <w:rPr>
          <w:vertAlign w:val="superscript"/>
          <w:rtl/>
        </w:rPr>
        <w:footnoteReference w:id="2677"/>
      </w:r>
      <w:r w:rsidRPr="0025250D">
        <w:rPr>
          <w:rFonts w:hint="cs"/>
          <w:rtl/>
        </w:rPr>
        <w:t xml:space="preserve"> از </w:t>
      </w:r>
      <w:r w:rsidR="00B56611" w:rsidRPr="0025250D">
        <w:rPr>
          <w:rFonts w:hint="cs"/>
          <w:rtl/>
        </w:rPr>
        <w:t>چشم‌انداز</w:t>
      </w:r>
      <w:r w:rsidRPr="0025250D">
        <w:rPr>
          <w:rFonts w:hint="cs"/>
          <w:rtl/>
        </w:rPr>
        <w:t xml:space="preserve">‌های بلند مدتمان، برای دیدن بهترین </w:t>
      </w:r>
      <w:r w:rsidR="00701E03" w:rsidRPr="0025250D">
        <w:rPr>
          <w:rFonts w:hint="cs"/>
          <w:rtl/>
        </w:rPr>
        <w:t>راهبرد</w:t>
      </w:r>
      <w:r w:rsidRPr="0025250D">
        <w:rPr>
          <w:rFonts w:hint="cs"/>
          <w:rtl/>
        </w:rPr>
        <w:t xml:space="preserve">‌های بعدیمان مفید باشد. ورزشکاران خوب از هر طریقی که شده بیش‌ترین زمان را به پیش تصور کردن عملکرد خود درآینده نزدیک اختصاص می‌دهند و تنها زمان اندکی را برای تصور میراث خود صرف می‌کنند. </w:t>
      </w:r>
      <w:r w:rsidRPr="0025250D">
        <w:rPr>
          <w:rtl/>
        </w:rPr>
        <w:t>آینده‌نگاری</w:t>
      </w:r>
      <w:r w:rsidRPr="0025250D">
        <w:rPr>
          <w:rFonts w:hint="cs"/>
          <w:rtl/>
        </w:rPr>
        <w:t xml:space="preserve"> امروز و کوتاه مدت همان جایی است که سریع‌ترین حلقه انجام و بیش‌ترین یادگیری ما همواره در آن انجام می‌شود.</w:t>
      </w:r>
    </w:p>
    <w:p w14:paraId="0F86A5C2" w14:textId="0282C019" w:rsidR="00537CC8" w:rsidRPr="0025250D" w:rsidRDefault="00B56611" w:rsidP="00537CC8">
      <w:pPr>
        <w:rPr>
          <w:rtl/>
        </w:rPr>
      </w:pPr>
      <w:r w:rsidRPr="0025250D">
        <w:rPr>
          <w:rFonts w:hint="cs"/>
          <w:rtl/>
        </w:rPr>
        <w:t>چشم‌انداز</w:t>
      </w:r>
      <w:r w:rsidR="00537CC8" w:rsidRPr="0025250D">
        <w:rPr>
          <w:rFonts w:hint="cs"/>
          <w:rtl/>
        </w:rPr>
        <w:t xml:space="preserve">‌ها در حقیقت یک جنبه از یک چالش </w:t>
      </w:r>
      <w:r w:rsidR="00701E03" w:rsidRPr="0025250D">
        <w:rPr>
          <w:rFonts w:hint="cs"/>
          <w:rtl/>
        </w:rPr>
        <w:t>راهبردی</w:t>
      </w:r>
      <w:r w:rsidR="00537CC8" w:rsidRPr="0025250D">
        <w:rPr>
          <w:rFonts w:hint="cs"/>
          <w:rtl/>
        </w:rPr>
        <w:t xml:space="preserve"> پایه ای‌تر هستند: تشخیص. ما باید هم این که در کجا قرار داریم (وضعیت موجود) و هم فرصت‌ها و تله‌های موجود در مسیرمان (</w:t>
      </w:r>
      <w:r w:rsidRPr="0025250D">
        <w:rPr>
          <w:rFonts w:hint="cs"/>
          <w:rtl/>
        </w:rPr>
        <w:t>چشم‌انداز</w:t>
      </w:r>
      <w:r w:rsidR="00537CC8" w:rsidRPr="0025250D">
        <w:rPr>
          <w:rFonts w:hint="cs"/>
          <w:rtl/>
        </w:rPr>
        <w:t>‌های مشترک مثبت و منفی) را تشخیص</w:t>
      </w:r>
      <w:r w:rsidR="00537CC8" w:rsidRPr="0025250D">
        <w:rPr>
          <w:rtl/>
        </w:rPr>
        <w:t xml:space="preserve"> </w:t>
      </w:r>
      <w:r w:rsidR="00537CC8" w:rsidRPr="0025250D">
        <w:rPr>
          <w:rFonts w:hint="cs"/>
          <w:rtl/>
        </w:rPr>
        <w:t xml:space="preserve">دهیم. گفتیم که در مدل سه مرحله‌ای </w:t>
      </w:r>
      <w:r w:rsidR="00537CC8" w:rsidRPr="0025250D">
        <w:rPr>
          <w:rtl/>
        </w:rPr>
        <w:t>ر</w:t>
      </w:r>
      <w:r w:rsidR="00537CC8" w:rsidRPr="0025250D">
        <w:rPr>
          <w:rFonts w:hint="cs"/>
          <w:rtl/>
        </w:rPr>
        <w:t>ی</w:t>
      </w:r>
      <w:r w:rsidR="00537CC8" w:rsidRPr="0025250D">
        <w:rPr>
          <w:rFonts w:hint="eastAsia"/>
          <w:rtl/>
        </w:rPr>
        <w:t>چارد</w:t>
      </w:r>
      <w:r w:rsidR="00537CC8" w:rsidRPr="0025250D">
        <w:rPr>
          <w:rtl/>
        </w:rPr>
        <w:t xml:space="preserve"> روملت</w:t>
      </w:r>
      <w:r w:rsidR="00537CC8" w:rsidRPr="0025250D">
        <w:rPr>
          <w:vertAlign w:val="superscript"/>
          <w:rtl/>
        </w:rPr>
        <w:footnoteReference w:id="2678"/>
      </w:r>
      <w:r w:rsidR="00537CC8" w:rsidRPr="0025250D">
        <w:rPr>
          <w:rFonts w:hint="cs"/>
          <w:rtl/>
        </w:rPr>
        <w:t xml:space="preserve"> از </w:t>
      </w:r>
      <w:r w:rsidR="00701E03" w:rsidRPr="0025250D">
        <w:rPr>
          <w:rFonts w:hint="cs"/>
          <w:rtl/>
        </w:rPr>
        <w:t>راهبرد</w:t>
      </w:r>
      <w:r w:rsidR="00537CC8" w:rsidRPr="0025250D">
        <w:rPr>
          <w:rFonts w:hint="cs"/>
          <w:rtl/>
        </w:rPr>
        <w:t xml:space="preserve">، تشخیص اولین گام </w:t>
      </w:r>
      <w:r w:rsidR="00701E03" w:rsidRPr="0025250D">
        <w:rPr>
          <w:rFonts w:hint="cs"/>
          <w:rtl/>
        </w:rPr>
        <w:t>راهبرد</w:t>
      </w:r>
      <w:r w:rsidR="00537CC8" w:rsidRPr="0025250D">
        <w:rPr>
          <w:rFonts w:hint="cs"/>
          <w:rtl/>
        </w:rPr>
        <w:t xml:space="preserve"> است. بیایید اکنون به این مدل مفید باز گردیم.</w:t>
      </w:r>
    </w:p>
    <w:p w14:paraId="3B91BCDF" w14:textId="77777777" w:rsidR="00537CC8" w:rsidRPr="0025250D" w:rsidRDefault="00537CC8" w:rsidP="00537CC8">
      <w:pPr>
        <w:rPr>
          <w:b/>
          <w:bCs/>
          <w:rtl/>
        </w:rPr>
      </w:pPr>
      <w:r w:rsidRPr="0025250D">
        <w:rPr>
          <w:rFonts w:hint="cs"/>
          <w:b/>
          <w:bCs/>
          <w:rtl/>
        </w:rPr>
        <w:t>ج) تشخیص‌ها، سیاست‌ها و برنامه‌های عملی</w:t>
      </w:r>
    </w:p>
    <w:p w14:paraId="61079618" w14:textId="69391A23" w:rsidR="00537CC8" w:rsidRPr="0025250D" w:rsidRDefault="00701E03" w:rsidP="00537CC8">
      <w:pPr>
        <w:rPr>
          <w:rtl/>
        </w:rPr>
      </w:pPr>
      <w:r w:rsidRPr="0025250D">
        <w:rPr>
          <w:rFonts w:hint="cs"/>
          <w:rtl/>
        </w:rPr>
        <w:t>راهبرد</w:t>
      </w:r>
      <w:r w:rsidR="00537CC8" w:rsidRPr="0025250D">
        <w:rPr>
          <w:rFonts w:hint="cs"/>
          <w:rtl/>
        </w:rPr>
        <w:t xml:space="preserve"> شناخته شده‌ترین محصول نهایی کار </w:t>
      </w:r>
      <w:r w:rsidR="00537CC8" w:rsidRPr="0025250D">
        <w:rPr>
          <w:rtl/>
        </w:rPr>
        <w:t>آینده‌نگاری</w:t>
      </w:r>
      <w:r w:rsidR="00537CC8" w:rsidRPr="0025250D">
        <w:rPr>
          <w:rFonts w:hint="cs"/>
          <w:rtl/>
        </w:rPr>
        <w:t xml:space="preserve"> است</w:t>
      </w:r>
      <w:r w:rsidR="008D6F97" w:rsidRPr="0025250D">
        <w:rPr>
          <w:rtl/>
        </w:rPr>
        <w:t xml:space="preserve">؛ </w:t>
      </w:r>
      <w:r w:rsidR="0020589F" w:rsidRPr="0025250D">
        <w:rPr>
          <w:rtl/>
        </w:rPr>
        <w:t>اما</w:t>
      </w:r>
      <w:r w:rsidR="00537CC8" w:rsidRPr="0025250D">
        <w:rPr>
          <w:rFonts w:hint="cs"/>
          <w:rtl/>
        </w:rPr>
        <w:t xml:space="preserve"> دیده ایم که این یک ساده سازی بیش از حد است: متخصصین </w:t>
      </w:r>
      <w:r w:rsidR="00537CC8" w:rsidRPr="0025250D">
        <w:rPr>
          <w:rtl/>
        </w:rPr>
        <w:t>آینده‌نگاری</w:t>
      </w:r>
      <w:r w:rsidR="00537CC8" w:rsidRPr="0025250D">
        <w:rPr>
          <w:rFonts w:hint="cs"/>
          <w:rtl/>
        </w:rPr>
        <w:t xml:space="preserve"> نه تنها به مهارت‌های </w:t>
      </w:r>
      <w:r w:rsidR="00537CC8" w:rsidRPr="0025250D">
        <w:t>LAIS</w:t>
      </w:r>
      <w:r w:rsidR="00537CC8" w:rsidRPr="0025250D">
        <w:rPr>
          <w:rFonts w:hint="cs"/>
          <w:rtl/>
        </w:rPr>
        <w:t xml:space="preserve"> وابسته هستند، بلکه باید با استفاده از مهارت‌های </w:t>
      </w:r>
      <w:r w:rsidR="00537CC8" w:rsidRPr="0025250D">
        <w:t>EIRR</w:t>
      </w:r>
      <w:r w:rsidR="00537CC8" w:rsidRPr="0025250D">
        <w:rPr>
          <w:rFonts w:hint="cs"/>
          <w:rtl/>
        </w:rPr>
        <w:t>، برای بهتر کردن آن در تکرار بعدی، وارد عمل و بازبینی کار خود شده و آن را تسهیل کنند.</w:t>
      </w:r>
    </w:p>
    <w:p w14:paraId="7B1603D0" w14:textId="583B16A3" w:rsidR="00537CC8" w:rsidRPr="0025250D" w:rsidRDefault="00537CC8" w:rsidP="00537CC8">
      <w:pPr>
        <w:rPr>
          <w:rtl/>
        </w:rPr>
      </w:pPr>
      <w:r w:rsidRPr="0025250D">
        <w:rPr>
          <w:rFonts w:hint="cs"/>
          <w:rtl/>
        </w:rPr>
        <w:t xml:space="preserve">آن‌ها همچنین باید اطمینان حاصل کنند که کار آن‌ها یا شامل تولید </w:t>
      </w:r>
      <w:r w:rsidR="00701E03" w:rsidRPr="0025250D">
        <w:rPr>
          <w:rFonts w:hint="cs"/>
          <w:rtl/>
        </w:rPr>
        <w:t>راهبرد</w:t>
      </w:r>
      <w:r w:rsidRPr="0025250D">
        <w:rPr>
          <w:rFonts w:hint="cs"/>
          <w:rtl/>
        </w:rPr>
        <w:t xml:space="preserve"> می‌شود یا با تولید </w:t>
      </w:r>
      <w:r w:rsidR="00701E03" w:rsidRPr="0025250D">
        <w:rPr>
          <w:rFonts w:hint="cs"/>
          <w:rtl/>
        </w:rPr>
        <w:t>راهبرد</w:t>
      </w:r>
      <w:r w:rsidRPr="0025250D">
        <w:rPr>
          <w:rFonts w:hint="cs"/>
          <w:rtl/>
        </w:rPr>
        <w:t xml:space="preserve"> هماهنگ می‌گردد. به یاد آورید که </w:t>
      </w:r>
      <w:r w:rsidRPr="0025250D">
        <w:rPr>
          <w:rtl/>
        </w:rPr>
        <w:t>روملت</w:t>
      </w:r>
      <w:r w:rsidRPr="0025250D">
        <w:rPr>
          <w:rFonts w:hint="cs"/>
          <w:rtl/>
        </w:rPr>
        <w:t xml:space="preserve"> در کتاب عالی </w:t>
      </w:r>
      <w:r w:rsidR="00701E03" w:rsidRPr="0025250D">
        <w:rPr>
          <w:rFonts w:hint="cs"/>
          <w:rtl/>
        </w:rPr>
        <w:t>راهبرد</w:t>
      </w:r>
      <w:r w:rsidRPr="0025250D">
        <w:rPr>
          <w:rFonts w:hint="cs"/>
          <w:rtl/>
        </w:rPr>
        <w:t xml:space="preserve"> خوب/</w:t>
      </w:r>
      <w:r w:rsidR="00701E03" w:rsidRPr="0025250D">
        <w:rPr>
          <w:rFonts w:hint="cs"/>
          <w:rtl/>
        </w:rPr>
        <w:t>راهبرد</w:t>
      </w:r>
      <w:r w:rsidRPr="0025250D">
        <w:rPr>
          <w:rFonts w:hint="cs"/>
          <w:rtl/>
        </w:rPr>
        <w:t xml:space="preserve"> بد</w:t>
      </w:r>
      <w:r w:rsidRPr="0025250D">
        <w:rPr>
          <w:vertAlign w:val="superscript"/>
          <w:rtl/>
        </w:rPr>
        <w:footnoteReference w:id="2679"/>
      </w:r>
      <w:r w:rsidRPr="0025250D">
        <w:rPr>
          <w:rFonts w:hint="cs"/>
          <w:rtl/>
        </w:rPr>
        <w:t xml:space="preserve"> در سال 2011 می‌گوید که همه </w:t>
      </w:r>
      <w:r w:rsidR="00701E03" w:rsidRPr="0025250D">
        <w:rPr>
          <w:rFonts w:hint="cs"/>
          <w:rtl/>
        </w:rPr>
        <w:t>راهبرد</w:t>
      </w:r>
      <w:r w:rsidRPr="0025250D">
        <w:rPr>
          <w:rFonts w:hint="cs"/>
          <w:rtl/>
        </w:rPr>
        <w:t>‌های خوب شامل حداقل سه عنصر می‌شوند:</w:t>
      </w:r>
    </w:p>
    <w:p w14:paraId="169D2E63" w14:textId="76EC7C82" w:rsidR="00537CC8" w:rsidRPr="0025250D" w:rsidRDefault="00537CC8" w:rsidP="00492C47">
      <w:pPr>
        <w:numPr>
          <w:ilvl w:val="0"/>
          <w:numId w:val="55"/>
        </w:numPr>
        <w:rPr>
          <w:rtl/>
        </w:rPr>
      </w:pPr>
      <w:r w:rsidRPr="0025250D">
        <w:rPr>
          <w:rFonts w:hint="cs"/>
          <w:rtl/>
        </w:rPr>
        <w:t xml:space="preserve">تشخیصی از وضعیت موجود، فرصت‌ها و موانع پیش روی یک </w:t>
      </w:r>
      <w:r w:rsidR="008D6F97" w:rsidRPr="0025250D">
        <w:rPr>
          <w:rFonts w:hint="cs"/>
          <w:rtl/>
        </w:rPr>
        <w:t>سامانه‌</w:t>
      </w:r>
      <w:r w:rsidRPr="0025250D">
        <w:rPr>
          <w:rFonts w:hint="cs"/>
          <w:rtl/>
        </w:rPr>
        <w:t>.</w:t>
      </w:r>
    </w:p>
    <w:p w14:paraId="27094E21" w14:textId="77777777" w:rsidR="00537CC8" w:rsidRPr="0025250D" w:rsidRDefault="00537CC8" w:rsidP="00492C47">
      <w:pPr>
        <w:numPr>
          <w:ilvl w:val="0"/>
          <w:numId w:val="55"/>
        </w:numPr>
        <w:rPr>
          <w:rtl/>
        </w:rPr>
      </w:pPr>
      <w:r w:rsidRPr="0025250D">
        <w:rPr>
          <w:rFonts w:hint="cs"/>
          <w:rtl/>
        </w:rPr>
        <w:t>یک سیاست هدایتی که جهت حرکت رو به جلو را در اختیار گذاشته و به تصمیمات روزمره کمک می‌کند.</w:t>
      </w:r>
    </w:p>
    <w:p w14:paraId="2B070A60" w14:textId="76FC0F07" w:rsidR="00537CC8" w:rsidRPr="0025250D" w:rsidRDefault="00537CC8" w:rsidP="00492C47">
      <w:pPr>
        <w:numPr>
          <w:ilvl w:val="0"/>
          <w:numId w:val="55"/>
        </w:numPr>
        <w:rPr>
          <w:rtl/>
        </w:rPr>
      </w:pPr>
      <w:r w:rsidRPr="0025250D">
        <w:rPr>
          <w:rFonts w:hint="cs"/>
          <w:rtl/>
        </w:rPr>
        <w:t xml:space="preserve">مجموعه سازگاری از اعمال (دستاورد‌های </w:t>
      </w:r>
      <w:r w:rsidR="00B453C0" w:rsidRPr="0025250D">
        <w:rPr>
          <w:rFonts w:hint="cs"/>
          <w:rtl/>
        </w:rPr>
        <w:t>امکان‌پذیر</w:t>
      </w:r>
      <w:r w:rsidRPr="0025250D">
        <w:rPr>
          <w:rFonts w:hint="cs"/>
          <w:rtl/>
        </w:rPr>
        <w:t>، تعهدات منابع، برنامه‌ها، طرح‌ها، اندازه گیری‌ها، عواقب) برای مدیریت سیاست هدایت کننده.</w:t>
      </w:r>
    </w:p>
    <w:p w14:paraId="4825DC2B" w14:textId="2B184AE5" w:rsidR="00537CC8" w:rsidRPr="0025250D" w:rsidRDefault="00537CC8" w:rsidP="00537CC8">
      <w:pPr>
        <w:rPr>
          <w:rtl/>
        </w:rPr>
      </w:pPr>
      <w:r w:rsidRPr="0025250D">
        <w:rPr>
          <w:rFonts w:hint="cs"/>
          <w:rtl/>
        </w:rPr>
        <w:t xml:space="preserve">توجه داشته باشید که مدل </w:t>
      </w:r>
      <w:r w:rsidR="00701E03" w:rsidRPr="0025250D">
        <w:rPr>
          <w:rFonts w:hint="cs"/>
          <w:rtl/>
        </w:rPr>
        <w:t>راهبرد</w:t>
      </w:r>
      <w:r w:rsidRPr="0025250D">
        <w:rPr>
          <w:rFonts w:hint="cs"/>
          <w:rtl/>
        </w:rPr>
        <w:t xml:space="preserve"> </w:t>
      </w:r>
      <w:r w:rsidRPr="0025250D">
        <w:rPr>
          <w:rtl/>
        </w:rPr>
        <w:t>روملت</w:t>
      </w:r>
      <w:r w:rsidRPr="0025250D">
        <w:rPr>
          <w:rFonts w:hint="cs"/>
          <w:rtl/>
        </w:rPr>
        <w:t xml:space="preserve"> به صورت صریح با یادگیری و دو </w:t>
      </w:r>
      <w:r w:rsidRPr="0025250D">
        <w:t>P</w:t>
      </w:r>
      <w:r w:rsidRPr="0025250D">
        <w:rPr>
          <w:rFonts w:hint="cs"/>
          <w:rtl/>
        </w:rPr>
        <w:t xml:space="preserve"> آخر آغاز می‌شود. از نظر ما گام تشخیص </w:t>
      </w:r>
      <w:r w:rsidRPr="0025250D">
        <w:rPr>
          <w:rtl/>
        </w:rPr>
        <w:t>روملت</w:t>
      </w:r>
      <w:r w:rsidRPr="0025250D">
        <w:rPr>
          <w:rFonts w:hint="cs"/>
          <w:rtl/>
        </w:rPr>
        <w:t xml:space="preserve"> به صورت صریح شامل تقابل پیش‌بین نیز می‌شود. این امر آن را به یک </w:t>
      </w:r>
      <w:r w:rsidR="00B13F65" w:rsidRPr="0025250D">
        <w:rPr>
          <w:rFonts w:hint="cs"/>
          <w:rtl/>
        </w:rPr>
        <w:t>چارچوب</w:t>
      </w:r>
      <w:r w:rsidRPr="0025250D">
        <w:rPr>
          <w:rFonts w:hint="cs"/>
          <w:rtl/>
        </w:rPr>
        <w:t xml:space="preserve"> </w:t>
      </w:r>
      <w:r w:rsidRPr="0025250D">
        <w:t>LAIS</w:t>
      </w:r>
      <w:r w:rsidRPr="0025250D">
        <w:rPr>
          <w:rFonts w:hint="cs"/>
          <w:rtl/>
        </w:rPr>
        <w:t xml:space="preserve"> محور تبدیل می‌کند که ما به رهبران و دانشجویان توصیه می‌کنیم. بیایید مشاهده آگاهی بخش قبلی </w:t>
      </w:r>
      <w:r w:rsidRPr="0025250D">
        <w:rPr>
          <w:rtl/>
        </w:rPr>
        <w:t>روملت</w:t>
      </w:r>
      <w:r w:rsidRPr="0025250D">
        <w:rPr>
          <w:rFonts w:hint="cs"/>
          <w:rtl/>
        </w:rPr>
        <w:t xml:space="preserve"> که دریافت بسیاری از شرکت‌ها و تیم‌ها یک </w:t>
      </w:r>
      <w:r w:rsidR="00701E03" w:rsidRPr="0025250D">
        <w:rPr>
          <w:rFonts w:hint="cs"/>
          <w:rtl/>
        </w:rPr>
        <w:t>راهبرد</w:t>
      </w:r>
      <w:r w:rsidRPr="0025250D">
        <w:rPr>
          <w:rFonts w:hint="cs"/>
          <w:rtl/>
        </w:rPr>
        <w:t xml:space="preserve"> حقیقی ندارند، بلکه مجموعه گسترده‌ای از اهداف، برنامه‌ها و شعارها دارند را تکرار کنیم. آیا این برای تیم شما صدق می‌کند؟ اگر </w:t>
      </w:r>
      <w:r w:rsidR="0020589F" w:rsidRPr="0025250D">
        <w:rPr>
          <w:rtl/>
        </w:rPr>
        <w:t>نه</w:t>
      </w:r>
      <w:r w:rsidRPr="0025250D">
        <w:rPr>
          <w:rFonts w:hint="cs"/>
          <w:rtl/>
        </w:rPr>
        <w:t xml:space="preserve"> می‌توانید اکنون به آن بپردازید و هر سه ماه یک بار آن را مرور کنید. به علاوه، اگر متخصص </w:t>
      </w:r>
      <w:r w:rsidRPr="0025250D">
        <w:rPr>
          <w:rtl/>
        </w:rPr>
        <w:t>آینده‌نگاری</w:t>
      </w:r>
      <w:r w:rsidRPr="0025250D">
        <w:rPr>
          <w:rFonts w:hint="cs"/>
          <w:rtl/>
        </w:rPr>
        <w:t xml:space="preserve"> تجربه یا آموزش کافی برای تولید </w:t>
      </w:r>
      <w:r w:rsidR="00701E03" w:rsidRPr="0025250D">
        <w:rPr>
          <w:rFonts w:hint="cs"/>
          <w:rtl/>
        </w:rPr>
        <w:t>راهبرد</w:t>
      </w:r>
      <w:r w:rsidRPr="0025250D">
        <w:rPr>
          <w:rFonts w:hint="cs"/>
          <w:rtl/>
        </w:rPr>
        <w:t xml:space="preserve"> مؤثر را نداشته باشد یا با مدیریت </w:t>
      </w:r>
      <w:r w:rsidR="00701E03" w:rsidRPr="0025250D">
        <w:rPr>
          <w:rFonts w:hint="cs"/>
          <w:rtl/>
        </w:rPr>
        <w:t>راهبرد</w:t>
      </w:r>
      <w:r w:rsidRPr="0025250D">
        <w:rPr>
          <w:rFonts w:hint="cs"/>
          <w:rtl/>
        </w:rPr>
        <w:t xml:space="preserve"> مدرن آشنا نباشد، باید با متخصصینی که قادر به انجام آن هستند همکاری کند. </w:t>
      </w:r>
      <w:r w:rsidR="007118DE" w:rsidRPr="0025250D">
        <w:rPr>
          <w:rFonts w:hint="cs"/>
          <w:rtl/>
        </w:rPr>
        <w:t>همان‌طور</w:t>
      </w:r>
      <w:r w:rsidRPr="0025250D">
        <w:rPr>
          <w:rFonts w:hint="cs"/>
          <w:rtl/>
        </w:rPr>
        <w:t xml:space="preserve"> که در فصل 3 گفتیم، دانستن این که در کجای زنجیره ارزش مدیریتی قرار می‌گیریم و کار با بهترین تخصص‌هایی که می‌توانیم، برای تولید کار </w:t>
      </w:r>
      <w:r w:rsidRPr="0025250D">
        <w:rPr>
          <w:rtl/>
        </w:rPr>
        <w:t>آینده‌نگاری</w:t>
      </w:r>
      <w:r w:rsidRPr="0025250D">
        <w:rPr>
          <w:rFonts w:hint="cs"/>
          <w:rtl/>
        </w:rPr>
        <w:t xml:space="preserve"> تأثیر گذار لازم است.</w:t>
      </w:r>
    </w:p>
    <w:p w14:paraId="6F7C288C" w14:textId="77777777" w:rsidR="00537CC8" w:rsidRPr="0025250D" w:rsidRDefault="00537CC8" w:rsidP="00537CC8">
      <w:pPr>
        <w:rPr>
          <w:b/>
          <w:bCs/>
          <w:rtl/>
        </w:rPr>
      </w:pPr>
      <w:r w:rsidRPr="0025250D">
        <w:rPr>
          <w:rFonts w:hint="cs"/>
          <w:b/>
          <w:bCs/>
          <w:rtl/>
        </w:rPr>
        <w:t>د) عواقب و پیچیدگی‌های ناخواسته</w:t>
      </w:r>
    </w:p>
    <w:p w14:paraId="092C7547" w14:textId="4209886E" w:rsidR="00537CC8" w:rsidRPr="0025250D" w:rsidRDefault="00537CC8" w:rsidP="00537CC8">
      <w:pPr>
        <w:rPr>
          <w:rtl/>
        </w:rPr>
      </w:pPr>
      <w:r w:rsidRPr="0025250D">
        <w:rPr>
          <w:rFonts w:hint="cs"/>
          <w:rtl/>
        </w:rPr>
        <w:t xml:space="preserve">در آخر، در ایجاد </w:t>
      </w:r>
      <w:r w:rsidR="00701E03" w:rsidRPr="0025250D">
        <w:rPr>
          <w:rFonts w:hint="cs"/>
          <w:rtl/>
        </w:rPr>
        <w:t>راهبرد</w:t>
      </w:r>
      <w:r w:rsidRPr="0025250D">
        <w:rPr>
          <w:rFonts w:hint="cs"/>
          <w:rtl/>
        </w:rPr>
        <w:t xml:space="preserve">، تشخیص همه راه‌هایی که </w:t>
      </w:r>
      <w:r w:rsidR="00701E03" w:rsidRPr="0025250D">
        <w:rPr>
          <w:rFonts w:hint="cs"/>
          <w:rtl/>
        </w:rPr>
        <w:t>راهبرد</w:t>
      </w:r>
      <w:r w:rsidRPr="0025250D">
        <w:rPr>
          <w:rFonts w:hint="cs"/>
          <w:rtl/>
        </w:rPr>
        <w:t xml:space="preserve"> ما در گذشته دچار لغزش و اشتباه شده است و احتمالا با برنامه‌های فعلی ما نیز دچار لغزش خواهد شد، برای ما ضرورت دارد. متفکرین </w:t>
      </w:r>
      <w:r w:rsidR="008D6F97" w:rsidRPr="0025250D">
        <w:rPr>
          <w:rFonts w:hint="cs"/>
          <w:rtl/>
        </w:rPr>
        <w:t>سامانه‌ای</w:t>
      </w:r>
      <w:r w:rsidRPr="0025250D">
        <w:rPr>
          <w:rFonts w:hint="cs"/>
          <w:rtl/>
        </w:rPr>
        <w:t xml:space="preserve"> می‌دانند که </w:t>
      </w:r>
      <w:r w:rsidR="008D6F97" w:rsidRPr="0025250D">
        <w:rPr>
          <w:rFonts w:hint="cs"/>
          <w:rtl/>
        </w:rPr>
        <w:t>سامانه‌</w:t>
      </w:r>
      <w:r w:rsidRPr="0025250D">
        <w:rPr>
          <w:rFonts w:hint="cs"/>
          <w:rtl/>
        </w:rPr>
        <w:t>‌های پیچیده اغلب اثراتی را که پیش‌بینی آن‌ها سخت یا غیر ممکن است، ایجاد می‌کنند. عواقب و پیچیدگی‌های ناخواسته باید مدیریت شوند و ما باید به دنبال مقاومت در برابر شکنندگی بوده و تحت فشار آن‌ها قوی‌تر شویم.</w:t>
      </w:r>
    </w:p>
    <w:p w14:paraId="099BE65C" w14:textId="6DE059F5" w:rsidR="00537CC8" w:rsidRPr="0025250D" w:rsidRDefault="00537CC8" w:rsidP="00537CC8">
      <w:pPr>
        <w:rPr>
          <w:rtl/>
        </w:rPr>
      </w:pPr>
      <w:r w:rsidRPr="0025250D">
        <w:rPr>
          <w:rFonts w:hint="cs"/>
          <w:rtl/>
        </w:rPr>
        <w:t>کتاب بهترین</w:t>
      </w:r>
      <w:r w:rsidRPr="0025250D">
        <w:rPr>
          <w:rtl/>
        </w:rPr>
        <w:t xml:space="preserve"> </w:t>
      </w:r>
      <w:r w:rsidRPr="0025250D">
        <w:rPr>
          <w:rFonts w:hint="cs"/>
          <w:rtl/>
        </w:rPr>
        <w:t>برنامه‌های تدوین شده: ظلم عواقب ناخواسته و چگونگی اجتناب از آن ها</w:t>
      </w:r>
      <w:r w:rsidRPr="0025250D">
        <w:rPr>
          <w:vertAlign w:val="superscript"/>
          <w:rtl/>
        </w:rPr>
        <w:footnoteReference w:id="2680"/>
      </w:r>
      <w:r w:rsidRPr="0025250D">
        <w:rPr>
          <w:rFonts w:hint="cs"/>
          <w:rtl/>
        </w:rPr>
        <w:t xml:space="preserve"> اثر </w:t>
      </w:r>
      <w:r w:rsidRPr="0025250D">
        <w:rPr>
          <w:rtl/>
        </w:rPr>
        <w:t>و</w:t>
      </w:r>
      <w:r w:rsidRPr="0025250D">
        <w:rPr>
          <w:rFonts w:hint="cs"/>
          <w:rtl/>
        </w:rPr>
        <w:t>ی</w:t>
      </w:r>
      <w:r w:rsidRPr="0025250D">
        <w:rPr>
          <w:rFonts w:hint="eastAsia"/>
          <w:rtl/>
        </w:rPr>
        <w:t>ل</w:t>
      </w:r>
      <w:r w:rsidRPr="0025250D">
        <w:rPr>
          <w:rFonts w:hint="cs"/>
          <w:rtl/>
        </w:rPr>
        <w:t>ی</w:t>
      </w:r>
      <w:r w:rsidRPr="0025250D">
        <w:rPr>
          <w:rFonts w:hint="eastAsia"/>
          <w:rtl/>
        </w:rPr>
        <w:t>ام</w:t>
      </w:r>
      <w:r w:rsidRPr="0025250D">
        <w:rPr>
          <w:rtl/>
        </w:rPr>
        <w:t xml:space="preserve"> شردن</w:t>
      </w:r>
      <w:r w:rsidRPr="0025250D">
        <w:rPr>
          <w:vertAlign w:val="superscript"/>
          <w:rtl/>
        </w:rPr>
        <w:footnoteReference w:id="2681"/>
      </w:r>
      <w:r w:rsidRPr="0025250D">
        <w:rPr>
          <w:rFonts w:hint="cs"/>
          <w:rtl/>
        </w:rPr>
        <w:t xml:space="preserve"> در سال 2011 مروری مختصر بر راه‌های بسیاری است که انتظار می‌رود برنامه‌های فردی، </w:t>
      </w:r>
      <w:r w:rsidR="00B124DE" w:rsidRPr="0025250D">
        <w:rPr>
          <w:rFonts w:hint="cs"/>
          <w:rtl/>
        </w:rPr>
        <w:t>کسب‌و‌کار</w:t>
      </w:r>
      <w:r w:rsidR="003F1B52" w:rsidRPr="0025250D">
        <w:rPr>
          <w:rFonts w:hint="cs"/>
          <w:rtl/>
        </w:rPr>
        <w:t>ی</w:t>
      </w:r>
      <w:r w:rsidRPr="0025250D">
        <w:rPr>
          <w:rFonts w:hint="cs"/>
          <w:rtl/>
        </w:rPr>
        <w:t xml:space="preserve"> و سیاسی ما منحرف شوند. برخی اوقات با چرخه‌های معیوب روبرو می‌شویم که در آن‌ها تکرار نتیجه را بدتر می‌کند، مانند مسلح کردن </w:t>
      </w:r>
      <w:r w:rsidRPr="0025250D">
        <w:rPr>
          <w:rtl/>
        </w:rPr>
        <w:t>هامو</w:t>
      </w:r>
      <w:r w:rsidRPr="0025250D">
        <w:rPr>
          <w:rFonts w:hint="cs"/>
          <w:rtl/>
        </w:rPr>
        <w:t>ی ها</w:t>
      </w:r>
      <w:r w:rsidRPr="0025250D">
        <w:rPr>
          <w:vertAlign w:val="superscript"/>
          <w:rtl/>
        </w:rPr>
        <w:footnoteReference w:id="2682"/>
      </w:r>
      <w:r w:rsidRPr="0025250D">
        <w:rPr>
          <w:rFonts w:hint="cs"/>
          <w:rtl/>
        </w:rPr>
        <w:t xml:space="preserve"> در جنگ عراق و تبدیل آن‌ها به اهدافی بی دفاع برای </w:t>
      </w:r>
      <w:r w:rsidRPr="0025250D">
        <w:t>IED</w:t>
      </w:r>
      <w:r w:rsidRPr="0025250D">
        <w:rPr>
          <w:rFonts w:hint="cs"/>
          <w:rtl/>
        </w:rPr>
        <w:t xml:space="preserve">‌های (انفجارها) قدرتمند‌تر از همیشه. برخی اوقات ما اثرات دومینو وار خواهیم داشت، جایی که داستان‌های اشتباه به سرعت در رسانه‌های اجتماعی تشدید و تقویت شده و سبب خشم جمعی یا رفتار افراطی می‌شوند. برخی اوقات ما همه روابط علی در یک </w:t>
      </w:r>
      <w:r w:rsidR="008D6F97" w:rsidRPr="0025250D">
        <w:rPr>
          <w:rFonts w:hint="cs"/>
          <w:rtl/>
        </w:rPr>
        <w:t>سامانه‌</w:t>
      </w:r>
      <w:r w:rsidRPr="0025250D">
        <w:rPr>
          <w:rFonts w:hint="cs"/>
          <w:rtl/>
        </w:rPr>
        <w:t xml:space="preserve"> پیچیده را نمی‌بینیم. استفاده اختیاری از اتانول در گازوئیل در آمریکا سبب اوج گرفتن قیمت ذرت شد و گرسنگی جهانی را در همه کشور‌های در حال توسعه‌ای که تغذیه آن‌ها به ذرت وابسته بود افزایش داد. </w:t>
      </w:r>
      <w:r w:rsidRPr="0025250D">
        <w:t>NASA</w:t>
      </w:r>
      <w:r w:rsidRPr="0025250D">
        <w:rPr>
          <w:rFonts w:hint="cs"/>
          <w:rtl/>
        </w:rPr>
        <w:t xml:space="preserve"> دریافت که موفقیت سند هوای پاک</w:t>
      </w:r>
      <w:r w:rsidRPr="0025250D">
        <w:rPr>
          <w:vertAlign w:val="superscript"/>
          <w:rtl/>
        </w:rPr>
        <w:footnoteReference w:id="2683"/>
      </w:r>
      <w:r w:rsidRPr="0025250D">
        <w:rPr>
          <w:rFonts w:hint="cs"/>
          <w:rtl/>
        </w:rPr>
        <w:t xml:space="preserve"> در کاهش انتشار سولفات در صنایع هوایی آمریکا به گرم شدن سریع مناطق قطبی کمک کرد.</w:t>
      </w:r>
    </w:p>
    <w:p w14:paraId="3CE1086D" w14:textId="77777777" w:rsidR="00537CC8" w:rsidRPr="0025250D" w:rsidRDefault="00537CC8" w:rsidP="003D3E0A">
      <w:pPr>
        <w:jc w:val="center"/>
        <w:rPr>
          <w:rtl/>
        </w:rPr>
      </w:pPr>
      <w:r w:rsidRPr="0025250D">
        <w:rPr>
          <w:noProof/>
          <w:rtl/>
          <w:lang w:bidi="ar-SA"/>
        </w:rPr>
        <w:drawing>
          <wp:inline distT="0" distB="0" distL="0" distR="0" wp14:anchorId="3000D201" wp14:editId="0F803095">
            <wp:extent cx="1590260" cy="2255430"/>
            <wp:effectExtent l="0" t="0" r="0" b="0"/>
            <wp:docPr id="160" name="Picture 160" descr="D:\کار\مستقل\3 ( ترجمه ی دانشگاه تهران  )\Introduction to Foresight\part7\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7\58.png"/>
                    <pic:cNvPicPr>
                      <a:picLocks noChangeAspect="1" noChangeArrowheads="1"/>
                    </pic:cNvPicPr>
                  </pic:nvPicPr>
                  <pic:blipFill rotWithShape="1">
                    <a:blip r:embed="rId264" cstate="screen">
                      <a:extLst>
                        <a:ext uri="{BEBA8EAE-BF5A-486C-A8C5-ECC9F3942E4B}">
                          <a14:imgProps xmlns:a14="http://schemas.microsoft.com/office/drawing/2010/main">
                            <a14:imgLayer r:embed="rId265">
                              <a14:imgEffect>
                                <a14:saturation sat="0"/>
                              </a14:imgEffect>
                            </a14:imgLayer>
                          </a14:imgProps>
                        </a:ext>
                        <a:ext uri="{28A0092B-C50C-407E-A947-70E740481C1C}">
                          <a14:useLocalDpi xmlns:a14="http://schemas.microsoft.com/office/drawing/2010/main"/>
                        </a:ext>
                      </a:extLst>
                    </a:blip>
                    <a:srcRect/>
                    <a:stretch/>
                  </pic:blipFill>
                  <pic:spPr bwMode="auto">
                    <a:xfrm>
                      <a:off x="0" y="0"/>
                      <a:ext cx="1600866" cy="2270473"/>
                    </a:xfrm>
                    <a:prstGeom prst="rect">
                      <a:avLst/>
                    </a:prstGeom>
                    <a:noFill/>
                    <a:ln>
                      <a:noFill/>
                    </a:ln>
                    <a:extLst>
                      <a:ext uri="{53640926-AAD7-44D8-BBD7-CCE9431645EC}">
                        <a14:shadowObscured xmlns:a14="http://schemas.microsoft.com/office/drawing/2010/main"/>
                      </a:ext>
                    </a:extLst>
                  </pic:spPr>
                </pic:pic>
              </a:graphicData>
            </a:graphic>
          </wp:inline>
        </w:drawing>
      </w:r>
    </w:p>
    <w:p w14:paraId="200D0F7F" w14:textId="77777777" w:rsidR="00537CC8" w:rsidRPr="0025250D" w:rsidRDefault="00537CC8" w:rsidP="003D3E0A">
      <w:pPr>
        <w:jc w:val="center"/>
        <w:rPr>
          <w:rtl/>
        </w:rPr>
      </w:pPr>
      <w:r w:rsidRPr="0025250D">
        <w:rPr>
          <w:rtl/>
        </w:rPr>
        <w:t>شردن</w:t>
      </w:r>
      <w:r w:rsidRPr="0025250D">
        <w:rPr>
          <w:rFonts w:hint="cs"/>
          <w:rtl/>
        </w:rPr>
        <w:t>، 2011</w:t>
      </w:r>
    </w:p>
    <w:p w14:paraId="30184312" w14:textId="46E669F3" w:rsidR="00537CC8" w:rsidRPr="0025250D" w:rsidRDefault="00537CC8" w:rsidP="00537CC8">
      <w:pPr>
        <w:rPr>
          <w:rtl/>
        </w:rPr>
      </w:pPr>
      <w:r w:rsidRPr="0025250D">
        <w:rPr>
          <w:rtl/>
        </w:rPr>
        <w:t>شردن</w:t>
      </w:r>
      <w:r w:rsidRPr="0025250D">
        <w:rPr>
          <w:rFonts w:hint="cs"/>
          <w:rtl/>
        </w:rPr>
        <w:t xml:space="preserve"> هشت </w:t>
      </w:r>
      <w:r w:rsidR="0053184A" w:rsidRPr="0025250D">
        <w:rPr>
          <w:rFonts w:hint="cs"/>
          <w:rtl/>
        </w:rPr>
        <w:t>سازوکار</w:t>
      </w:r>
      <w:r w:rsidRPr="0025250D">
        <w:rPr>
          <w:rFonts w:hint="cs"/>
          <w:rtl/>
        </w:rPr>
        <w:t xml:space="preserve">ی که برآمدهای ما را به شکل‌هایی قابل پیش‌بینی پیچیده می‌سازند، توصیف می‌کند و توضیح می‌دهد که پایش بهتر این </w:t>
      </w:r>
      <w:r w:rsidR="0053184A" w:rsidRPr="0025250D">
        <w:rPr>
          <w:rFonts w:hint="cs"/>
          <w:rtl/>
        </w:rPr>
        <w:t>سازوکار</w:t>
      </w:r>
      <w:r w:rsidRPr="0025250D">
        <w:rPr>
          <w:rFonts w:hint="cs"/>
          <w:rtl/>
        </w:rPr>
        <w:t xml:space="preserve">‌ها چگونه می‌تواند امکان </w:t>
      </w:r>
      <w:r w:rsidR="00923DDB" w:rsidRPr="0025250D">
        <w:rPr>
          <w:rFonts w:hint="cs"/>
          <w:rtl/>
        </w:rPr>
        <w:t>پیش‌انگاری</w:t>
      </w:r>
      <w:r w:rsidRPr="0025250D">
        <w:rPr>
          <w:rFonts w:hint="cs"/>
          <w:rtl/>
        </w:rPr>
        <w:t xml:space="preserve"> برخی از عواقب منفی که در غیر اینصورت غافل گیر کننده هستند را به ما بدهد. ما همچنین باید هوش (حس)، چابکی و </w:t>
      </w:r>
      <w:r w:rsidR="0008779C" w:rsidRPr="0025250D">
        <w:rPr>
          <w:rFonts w:hint="cs"/>
          <w:rtl/>
        </w:rPr>
        <w:t>تاب‌آور</w:t>
      </w:r>
      <w:r w:rsidRPr="0025250D">
        <w:rPr>
          <w:rFonts w:hint="cs"/>
          <w:rtl/>
        </w:rPr>
        <w:t xml:space="preserve">ی فردی، تیمی، سازمانی و اجتماعی خود را به شکلی ایجاد کنیم که برای پاسخگویی و واکنش در زمان وقوع این نتایج آماده باشیم. کتاب </w:t>
      </w:r>
      <w:r w:rsidR="0008779C" w:rsidRPr="0025250D">
        <w:rPr>
          <w:rFonts w:hint="cs"/>
          <w:rtl/>
        </w:rPr>
        <w:t>تاب‌آور</w:t>
      </w:r>
      <w:r w:rsidRPr="0025250D">
        <w:rPr>
          <w:rFonts w:hint="cs"/>
          <w:rtl/>
        </w:rPr>
        <w:t>ی</w:t>
      </w:r>
      <w:r w:rsidRPr="0025250D">
        <w:rPr>
          <w:vertAlign w:val="superscript"/>
          <w:rtl/>
        </w:rPr>
        <w:footnoteReference w:id="2684"/>
      </w:r>
      <w:r w:rsidRPr="0025250D">
        <w:rPr>
          <w:rFonts w:hint="cs"/>
          <w:rtl/>
        </w:rPr>
        <w:t xml:space="preserve"> اثر </w:t>
      </w:r>
      <w:r w:rsidR="00D92F6E" w:rsidRPr="0025250D">
        <w:rPr>
          <w:rFonts w:hint="cs"/>
          <w:rtl/>
        </w:rPr>
        <w:t>آینده‌پژوه</w:t>
      </w:r>
      <w:r w:rsidRPr="0025250D">
        <w:rPr>
          <w:rFonts w:hint="cs"/>
          <w:rtl/>
        </w:rPr>
        <w:t xml:space="preserve"> </w:t>
      </w:r>
      <w:r w:rsidRPr="0025250D">
        <w:rPr>
          <w:rtl/>
        </w:rPr>
        <w:t>اندرو زول</w:t>
      </w:r>
      <w:r w:rsidRPr="0025250D">
        <w:rPr>
          <w:rFonts w:hint="cs"/>
          <w:rtl/>
        </w:rPr>
        <w:t>ی</w:t>
      </w:r>
      <w:r w:rsidRPr="0025250D">
        <w:rPr>
          <w:vertAlign w:val="superscript"/>
          <w:rtl/>
        </w:rPr>
        <w:footnoteReference w:id="2685"/>
      </w:r>
      <w:r w:rsidRPr="0025250D">
        <w:rPr>
          <w:rFonts w:hint="cs"/>
          <w:rtl/>
        </w:rPr>
        <w:t xml:space="preserve"> در سال 2013 مقدمه خوبی بر ایجاد </w:t>
      </w:r>
      <w:r w:rsidR="0008779C" w:rsidRPr="0025250D">
        <w:rPr>
          <w:rFonts w:hint="cs"/>
          <w:rtl/>
        </w:rPr>
        <w:t>تاب‌آور</w:t>
      </w:r>
      <w:r w:rsidRPr="0025250D">
        <w:rPr>
          <w:rFonts w:hint="cs"/>
          <w:rtl/>
        </w:rPr>
        <w:t xml:space="preserve">ی است، به شکلی که برای آن عواقب حتی اگر آن‌ها را </w:t>
      </w:r>
      <w:r w:rsidR="00923DDB" w:rsidRPr="0025250D">
        <w:rPr>
          <w:rFonts w:hint="cs"/>
          <w:rtl/>
        </w:rPr>
        <w:t>پیش‌انگاری</w:t>
      </w:r>
      <w:r w:rsidRPr="0025250D">
        <w:rPr>
          <w:rFonts w:hint="cs"/>
          <w:rtl/>
        </w:rPr>
        <w:t xml:space="preserve"> نکنیم آماده باشیم. درک و مدیریت قانون عواقب ناخواسته برای </w:t>
      </w:r>
      <w:r w:rsidR="00701E03" w:rsidRPr="0025250D">
        <w:rPr>
          <w:rFonts w:hint="cs"/>
          <w:rtl/>
        </w:rPr>
        <w:t>راهبرد</w:t>
      </w:r>
      <w:r w:rsidRPr="0025250D">
        <w:rPr>
          <w:rFonts w:hint="cs"/>
          <w:rtl/>
        </w:rPr>
        <w:t xml:space="preserve"> خوب ضروری است.</w:t>
      </w:r>
    </w:p>
    <w:p w14:paraId="2DD1CB67" w14:textId="77777777" w:rsidR="00537CC8" w:rsidRPr="0025250D" w:rsidRDefault="00537CC8" w:rsidP="00537CC8">
      <w:pPr>
        <w:rPr>
          <w:rtl/>
        </w:rPr>
      </w:pPr>
    </w:p>
    <w:p w14:paraId="6474FB4B" w14:textId="77777777" w:rsidR="00537CC8" w:rsidRPr="0025250D" w:rsidRDefault="00537CC8" w:rsidP="00537CC8">
      <w:pPr>
        <w:rPr>
          <w:rtl/>
        </w:rPr>
      </w:pPr>
    </w:p>
    <w:p w14:paraId="76D95405" w14:textId="77777777" w:rsidR="00537CC8" w:rsidRPr="0025250D" w:rsidRDefault="00537CC8" w:rsidP="00537CC8">
      <w:pPr>
        <w:rPr>
          <w:rtl/>
        </w:rPr>
      </w:pPr>
    </w:p>
    <w:p w14:paraId="0A79339D" w14:textId="77777777" w:rsidR="00537CC8" w:rsidRPr="0025250D" w:rsidRDefault="00537CC8" w:rsidP="00537CC8">
      <w:pPr>
        <w:rPr>
          <w:rtl/>
        </w:rPr>
      </w:pPr>
    </w:p>
    <w:p w14:paraId="66BDC1CF" w14:textId="77777777" w:rsidR="00537CC8" w:rsidRPr="0025250D" w:rsidRDefault="00537CC8" w:rsidP="00537CC8">
      <w:pPr>
        <w:rPr>
          <w:rtl/>
        </w:rPr>
      </w:pPr>
    </w:p>
    <w:p w14:paraId="78E7A93C" w14:textId="77777777" w:rsidR="00537CC8" w:rsidRPr="0025250D" w:rsidRDefault="00537CC8" w:rsidP="003D3E0A">
      <w:pPr>
        <w:pStyle w:val="Heading2"/>
        <w:rPr>
          <w:rtl/>
        </w:rPr>
      </w:pPr>
      <w:bookmarkStart w:id="70" w:name="_Toc127831335"/>
      <w:r w:rsidRPr="0025250D">
        <w:rPr>
          <w:rFonts w:hint="cs"/>
          <w:rtl/>
        </w:rPr>
        <w:t xml:space="preserve">3. روش‌های </w:t>
      </w:r>
      <w:r w:rsidRPr="0025250D">
        <w:rPr>
          <w:rtl/>
        </w:rPr>
        <w:t>آینده‌نگاری</w:t>
      </w:r>
      <w:r w:rsidRPr="0025250D">
        <w:rPr>
          <w:rFonts w:hint="cs"/>
          <w:rtl/>
        </w:rPr>
        <w:t>: 150 راه برای تمرین و انجام هشت مهارت</w:t>
      </w:r>
      <w:bookmarkEnd w:id="70"/>
    </w:p>
    <w:p w14:paraId="6A545C07" w14:textId="3923F24B" w:rsidR="00537CC8" w:rsidRPr="0025250D" w:rsidRDefault="00537CC8" w:rsidP="00537CC8">
      <w:pPr>
        <w:rPr>
          <w:rtl/>
        </w:rPr>
      </w:pPr>
      <w:r w:rsidRPr="0025250D">
        <w:rPr>
          <w:rFonts w:hint="cs"/>
          <w:rtl/>
        </w:rPr>
        <w:t xml:space="preserve">این بخش تقریبا 150 روش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مفید </w:t>
      </w:r>
      <w:r w:rsidR="003F1B52" w:rsidRPr="0025250D">
        <w:rPr>
          <w:rFonts w:hint="cs"/>
          <w:rtl/>
        </w:rPr>
        <w:t xml:space="preserve">که </w:t>
      </w:r>
      <w:r w:rsidRPr="0025250D">
        <w:rPr>
          <w:rFonts w:hint="cs"/>
          <w:rtl/>
        </w:rPr>
        <w:t xml:space="preserve">مطابق هشت مهارت دسته بندی </w:t>
      </w:r>
      <w:r w:rsidR="00185F3E" w:rsidRPr="0025250D">
        <w:rPr>
          <w:rFonts w:hint="cs"/>
          <w:rtl/>
        </w:rPr>
        <w:t>شده‌اند</w:t>
      </w:r>
      <w:r w:rsidR="003F1B52" w:rsidRPr="0025250D">
        <w:rPr>
          <w:rFonts w:hint="cs"/>
          <w:rtl/>
        </w:rPr>
        <w:t xml:space="preserve"> را </w:t>
      </w:r>
      <w:r w:rsidRPr="0025250D">
        <w:rPr>
          <w:rFonts w:hint="cs"/>
          <w:rtl/>
        </w:rPr>
        <w:t xml:space="preserve"> فهرست می‌کند. روش‌ها همچنین می‌توانند مطابق با بیست تخصص مدیریت دسته بندی شوند. یک توصیف خلاصه از هر روش نیز ارائه شده است. می‌توانید جزئیات بیش‌تر درمورد بسیاری از این روش‌ها را در کتاب‌های تخصصی ارجاع داده شده در پیوست بخوانید.</w:t>
      </w:r>
    </w:p>
    <w:p w14:paraId="415B74D9" w14:textId="42D68966" w:rsidR="00537CC8" w:rsidRPr="0025250D" w:rsidRDefault="00537CC8" w:rsidP="00537CC8">
      <w:pPr>
        <w:rPr>
          <w:rtl/>
        </w:rPr>
      </w:pPr>
      <w:r w:rsidRPr="0025250D">
        <w:rPr>
          <w:rFonts w:hint="cs"/>
          <w:rtl/>
        </w:rPr>
        <w:t xml:space="preserve">هر روش </w:t>
      </w:r>
      <w:r w:rsidRPr="0025250D">
        <w:rPr>
          <w:rtl/>
        </w:rPr>
        <w:t>آینده‌نگاری</w:t>
      </w:r>
      <w:r w:rsidRPr="0025250D">
        <w:rPr>
          <w:rFonts w:hint="cs"/>
          <w:rtl/>
        </w:rPr>
        <w:t xml:space="preserve"> وقتی در تیم‌ها مورد استفاده قرار گیرد می‌تواند شامل استفاده از همه یا بسیاری از هشت مهارت باشد. با این وجود، ما فکر می‌کنیم که هر روشی، می‌تواند بر یک</w:t>
      </w:r>
      <w:r w:rsidR="00F84BE1" w:rsidRPr="0025250D">
        <w:rPr>
          <w:rFonts w:hint="cs"/>
          <w:rtl/>
        </w:rPr>
        <w:t>ی از</w:t>
      </w:r>
      <w:r w:rsidRPr="0025250D">
        <w:rPr>
          <w:rFonts w:hint="cs"/>
          <w:rtl/>
        </w:rPr>
        <w:t xml:space="preserve"> (یا تعداد کمی) هشت مهارت بیش از بقیه متکی باشد. ممکن است شما با دسته بندی ما موافق باشید یا خیر، اما پیشنهاد می‌کنیم که در نظر گرفتن روش‌ها از نظر 8 مهارت که بر پایه چرخه </w:t>
      </w:r>
      <w:r w:rsidRPr="0025250D">
        <w:rPr>
          <w:rtl/>
        </w:rPr>
        <w:t>آینده‌نگاری</w:t>
      </w:r>
      <w:r w:rsidRPr="0025250D">
        <w:rPr>
          <w:rFonts w:hint="cs"/>
          <w:rtl/>
        </w:rPr>
        <w:t xml:space="preserve">-عمل قرار دارند و همچنین تعدیل هر سوگیری در ترجیح هر روش در میان مهارت‌های </w:t>
      </w:r>
      <w:r w:rsidRPr="0025250D">
        <w:t>LAIS</w:t>
      </w:r>
      <w:r w:rsidRPr="0025250D">
        <w:rPr>
          <w:rFonts w:hint="cs"/>
          <w:rtl/>
        </w:rPr>
        <w:t xml:space="preserve"> کار </w:t>
      </w:r>
      <w:r w:rsidRPr="0025250D">
        <w:rPr>
          <w:rtl/>
        </w:rPr>
        <w:t>آینده‌نگاری</w:t>
      </w:r>
      <w:r w:rsidRPr="0025250D">
        <w:rPr>
          <w:rFonts w:hint="cs"/>
          <w:rtl/>
        </w:rPr>
        <w:t xml:space="preserve"> شما را تقویت می‌کنند.</w:t>
      </w:r>
    </w:p>
    <w:p w14:paraId="6C9E8FC8" w14:textId="3B61D89C" w:rsidR="00537CC8" w:rsidRPr="0025250D" w:rsidRDefault="00537CC8" w:rsidP="00537CC8">
      <w:pPr>
        <w:rPr>
          <w:rtl/>
        </w:rPr>
      </w:pPr>
      <w:r w:rsidRPr="0025250D">
        <w:rPr>
          <w:rFonts w:hint="cs"/>
          <w:rtl/>
        </w:rPr>
        <w:t xml:space="preserve">در مقایسه با </w:t>
      </w:r>
      <w:r w:rsidR="00A20CCB" w:rsidRPr="0025250D">
        <w:rPr>
          <w:rFonts w:hint="cs"/>
          <w:rtl/>
        </w:rPr>
        <w:t>جهان‌بینی</w:t>
      </w:r>
      <w:r w:rsidRPr="0025250D">
        <w:rPr>
          <w:rFonts w:hint="cs"/>
          <w:rtl/>
        </w:rPr>
        <w:t xml:space="preserve">‌ها، مدل‌های علی و </w:t>
      </w:r>
      <w:r w:rsidR="00B13F65" w:rsidRPr="0025250D">
        <w:rPr>
          <w:rFonts w:hint="cs"/>
          <w:rtl/>
        </w:rPr>
        <w:t>چارچوب</w:t>
      </w:r>
      <w:r w:rsidRPr="0025250D">
        <w:rPr>
          <w:rFonts w:hint="cs"/>
          <w:rtl/>
        </w:rPr>
        <w:t xml:space="preserve">‌های عملی، روش‌های </w:t>
      </w:r>
      <w:r w:rsidRPr="0025250D">
        <w:rPr>
          <w:rtl/>
        </w:rPr>
        <w:t>آینده‌نگاری</w:t>
      </w:r>
      <w:r w:rsidRPr="0025250D">
        <w:rPr>
          <w:rFonts w:hint="cs"/>
          <w:rtl/>
        </w:rPr>
        <w:t xml:space="preserve"> ابزارهایی هستند که می‌توانند در زمینه‌های خاص متنوعی استفاده شوند. بیش‌تر متون </w:t>
      </w:r>
      <w:r w:rsidRPr="0025250D">
        <w:rPr>
          <w:rtl/>
        </w:rPr>
        <w:t>آینده‌نگاری</w:t>
      </w:r>
      <w:r w:rsidRPr="0025250D">
        <w:rPr>
          <w:rFonts w:hint="cs"/>
          <w:rtl/>
        </w:rPr>
        <w:t xml:space="preserve"> تنها روش‌ها را بر حسب حروف الفبا فهرست می‌کنند و درک این که آن‌ها چه زمانی می‌توانند مناسب باشند را به خواننده واگذار می‌کنند. ما تصمیم گرفته ایم که روش‌های زمینه خود را مطابق با هشت مهارت فهرست کنیم. این امر بینشی درمورد این که چه زمانی این روش می‌تواند ارزش آزمایش کردن داشته باشد را در اختیار کارگزاران قرار می‌دهد.</w:t>
      </w:r>
    </w:p>
    <w:p w14:paraId="19FEDB87" w14:textId="5AA64EFA" w:rsidR="00537CC8" w:rsidRPr="0025250D" w:rsidRDefault="00537CC8" w:rsidP="00537CC8">
      <w:pPr>
        <w:rPr>
          <w:rtl/>
        </w:rPr>
      </w:pPr>
      <w:r w:rsidRPr="0025250D">
        <w:rPr>
          <w:rFonts w:hint="cs"/>
          <w:rtl/>
        </w:rPr>
        <w:t xml:space="preserve">به نظر ما اولین وظیفه ما در کتاب 1 راهنما معرفی ارزش بالای </w:t>
      </w:r>
      <w:r w:rsidRPr="0025250D">
        <w:rPr>
          <w:rtl/>
        </w:rPr>
        <w:t>آینده‌نگاری</w:t>
      </w:r>
      <w:r w:rsidRPr="0025250D">
        <w:rPr>
          <w:rFonts w:hint="cs"/>
          <w:rtl/>
        </w:rPr>
        <w:t xml:space="preserve"> و تنوع گسترده مدل‌ها، </w:t>
      </w:r>
      <w:r w:rsidR="00B13F65" w:rsidRPr="0025250D">
        <w:rPr>
          <w:rFonts w:hint="cs"/>
          <w:rtl/>
        </w:rPr>
        <w:t>چارچوب</w:t>
      </w:r>
      <w:r w:rsidRPr="0025250D">
        <w:rPr>
          <w:rFonts w:hint="cs"/>
          <w:rtl/>
        </w:rPr>
        <w:t xml:space="preserve">‌ها و روش‌های مفید است. یک هدف دیگری که داریم این است که آزمایش با این ابزارها و اقدامات را </w:t>
      </w:r>
      <w:r w:rsidRPr="0025250D">
        <w:rPr>
          <w:rFonts w:cs="Times New Roman" w:hint="cs"/>
          <w:rtl/>
        </w:rPr>
        <w:t>–</w:t>
      </w:r>
      <w:r w:rsidRPr="0025250D">
        <w:rPr>
          <w:rFonts w:hint="cs"/>
          <w:rtl/>
        </w:rPr>
        <w:t xml:space="preserve"> برای کمک به شما در یافتن مدل‌ها، </w:t>
      </w:r>
      <w:r w:rsidR="00B13F65" w:rsidRPr="0025250D">
        <w:rPr>
          <w:rFonts w:hint="cs"/>
          <w:rtl/>
        </w:rPr>
        <w:t>چارچوب</w:t>
      </w:r>
      <w:r w:rsidRPr="0025250D">
        <w:rPr>
          <w:rFonts w:hint="cs"/>
          <w:rtl/>
        </w:rPr>
        <w:t xml:space="preserve">‌ها و روش‌های مورد علاقه خود برای استفاده در زمینه‌های مختلف </w:t>
      </w:r>
      <w:r w:rsidRPr="0025250D">
        <w:rPr>
          <w:rFonts w:cs="Times New Roman" w:hint="cs"/>
          <w:rtl/>
        </w:rPr>
        <w:t>–</w:t>
      </w:r>
      <w:r w:rsidRPr="0025250D">
        <w:rPr>
          <w:rFonts w:hint="cs"/>
          <w:rtl/>
        </w:rPr>
        <w:t xml:space="preserve"> ترویج کنیم. با این حال یک هدف دیگر، کسب اعتما</w:t>
      </w:r>
      <w:r w:rsidR="00F84BE1" w:rsidRPr="0025250D">
        <w:rPr>
          <w:rFonts w:hint="cs"/>
          <w:rtl/>
        </w:rPr>
        <w:t>د</w:t>
      </w:r>
      <w:r w:rsidRPr="0025250D">
        <w:rPr>
          <w:rFonts w:hint="cs"/>
          <w:rtl/>
        </w:rPr>
        <w:t xml:space="preserve"> به نفس توسط شما در این زمینه، تشویق شما به توسعه و </w:t>
      </w:r>
      <w:r w:rsidR="00274907" w:rsidRPr="0025250D">
        <w:rPr>
          <w:rFonts w:hint="cs"/>
          <w:rtl/>
        </w:rPr>
        <w:t>به‌اشتراک‌گذار</w:t>
      </w:r>
      <w:r w:rsidRPr="0025250D">
        <w:rPr>
          <w:rFonts w:hint="cs"/>
          <w:rtl/>
        </w:rPr>
        <w:t>ی نسخه‌های خود از این موارد و نیز ابزارها و اقدامات جدیدی است که قبلا هرگز دیده ن</w:t>
      </w:r>
      <w:r w:rsidR="00185F3E" w:rsidRPr="0025250D">
        <w:rPr>
          <w:rFonts w:hint="cs"/>
          <w:rtl/>
        </w:rPr>
        <w:t>شده‌اند</w:t>
      </w:r>
      <w:r w:rsidRPr="0025250D">
        <w:rPr>
          <w:rFonts w:hint="cs"/>
          <w:rtl/>
        </w:rPr>
        <w:t>.</w:t>
      </w:r>
    </w:p>
    <w:p w14:paraId="613884DC" w14:textId="2E77AC0F" w:rsidR="00537CC8" w:rsidRPr="0025250D" w:rsidRDefault="00537CC8" w:rsidP="00537CC8">
      <w:pPr>
        <w:rPr>
          <w:rtl/>
        </w:rPr>
      </w:pPr>
      <w:r w:rsidRPr="0025250D">
        <w:rPr>
          <w:rFonts w:hint="cs"/>
          <w:rtl/>
        </w:rPr>
        <w:t xml:space="preserve">برای اجتناب از خسته کردن خواننده و همپوشانی بیش از حد با دیگر متون، تنها چند روش </w:t>
      </w:r>
      <w:r w:rsidRPr="0025250D">
        <w:rPr>
          <w:rtl/>
        </w:rPr>
        <w:t>آینده‌نگاری</w:t>
      </w:r>
      <w:r w:rsidRPr="0025250D">
        <w:rPr>
          <w:rFonts w:hint="cs"/>
          <w:rtl/>
        </w:rPr>
        <w:t xml:space="preserve"> منحصر به فرد، مانند مطالعه اسپرینت را توضیح </w:t>
      </w:r>
      <w:r w:rsidR="00892D13" w:rsidRPr="0025250D">
        <w:rPr>
          <w:rFonts w:hint="cs"/>
          <w:rtl/>
        </w:rPr>
        <w:t>داده‌ایم</w:t>
      </w:r>
      <w:r w:rsidRPr="0025250D">
        <w:rPr>
          <w:rFonts w:hint="cs"/>
          <w:rtl/>
        </w:rPr>
        <w:t xml:space="preserve">. ما بیش‌تر روش‌ها، از جمله روش‌های محبوب اما بیش از حد مورد استفاده یا ساده انگارانه مانند </w:t>
      </w:r>
      <w:r w:rsidR="007A53FD" w:rsidRPr="0025250D">
        <w:rPr>
          <w:rFonts w:hint="cs"/>
          <w:rtl/>
        </w:rPr>
        <w:t>فرانامه</w:t>
      </w:r>
      <w:r w:rsidRPr="0025250D">
        <w:rPr>
          <w:rFonts w:hint="cs"/>
          <w:rtl/>
        </w:rPr>
        <w:t xml:space="preserve"> سازی را به بررسی خواننده واگذار می‌کنیم. </w:t>
      </w:r>
      <w:r w:rsidR="007A53FD" w:rsidRPr="0025250D">
        <w:rPr>
          <w:rFonts w:hint="cs"/>
          <w:rtl/>
        </w:rPr>
        <w:t>فرانامه</w:t>
      </w:r>
      <w:r w:rsidRPr="0025250D">
        <w:rPr>
          <w:rFonts w:hint="cs"/>
          <w:rtl/>
        </w:rPr>
        <w:t>‌ها تنها یکی از 150 روش فهرست شده در زیر هستند. یک فعال خوب تعدادی از این روش‌ها را می‌شناسد و از آن‌ها در زمینه‌های مناسب استفاده می‌کند. اگر ما یک کتاب کار</w:t>
      </w:r>
      <w:r w:rsidRPr="0025250D">
        <w:rPr>
          <w:vertAlign w:val="superscript"/>
          <w:rtl/>
        </w:rPr>
        <w:footnoteReference w:id="2686"/>
      </w:r>
      <w:r w:rsidRPr="0025250D">
        <w:rPr>
          <w:rFonts w:hint="cs"/>
          <w:rtl/>
        </w:rPr>
        <w:t xml:space="preserve"> توسعه دهیم، از آن برای پیشنهاد دادن آموزش‌هایی درمورد روش‌های منتخب استفاده خواهیم کرد. در همین حال، برای یک کتاب کار خوب درمورد روش‌ها، اولین کتاب ارائه شده در زیر را پیشنهاد می‌کنیم. برای موارد دیگر، پیوست 3 </w:t>
      </w:r>
      <w:r w:rsidR="003747E8" w:rsidRPr="0025250D">
        <w:rPr>
          <w:rFonts w:hint="cs"/>
          <w:rtl/>
        </w:rPr>
        <w:t xml:space="preserve">را مشاهده نمایید </w:t>
      </w:r>
      <w:r w:rsidRPr="0025250D">
        <w:rPr>
          <w:rFonts w:hint="cs"/>
          <w:rtl/>
        </w:rPr>
        <w:t xml:space="preserve">که تعدادی از کتاب‌های </w:t>
      </w:r>
      <w:r w:rsidRPr="0025250D">
        <w:rPr>
          <w:rtl/>
        </w:rPr>
        <w:t>آینده‌نگاری</w:t>
      </w:r>
      <w:r w:rsidRPr="0025250D">
        <w:rPr>
          <w:rFonts w:hint="cs"/>
          <w:rtl/>
        </w:rPr>
        <w:t xml:space="preserve"> حرفه‌ای که بر روش‌های خاصی تمرکز دارند را فهرست می‌کند.</w:t>
      </w:r>
    </w:p>
    <w:p w14:paraId="504DDC50" w14:textId="79A95196" w:rsidR="00537CC8" w:rsidRPr="0025250D" w:rsidRDefault="00537CC8" w:rsidP="00537CC8">
      <w:pPr>
        <w:rPr>
          <w:rtl/>
        </w:rPr>
      </w:pPr>
      <w:r w:rsidRPr="0025250D">
        <w:rPr>
          <w:rFonts w:hint="cs"/>
          <w:rtl/>
        </w:rPr>
        <w:t xml:space="preserve">در این جا سه کتاب خلاصه </w:t>
      </w:r>
      <w:r w:rsidRPr="0025250D">
        <w:rPr>
          <w:rtl/>
        </w:rPr>
        <w:t>آینده‌نگاری</w:t>
      </w:r>
      <w:r w:rsidRPr="0025250D">
        <w:rPr>
          <w:rFonts w:hint="cs"/>
          <w:rtl/>
        </w:rPr>
        <w:t xml:space="preserve"> که روش‌هایی را در زمینه‌های خود توصیف می‌کنند ارائه </w:t>
      </w:r>
      <w:r w:rsidR="00185F3E" w:rsidRPr="0025250D">
        <w:rPr>
          <w:rFonts w:hint="cs"/>
          <w:rtl/>
        </w:rPr>
        <w:t>شده‌اند</w:t>
      </w:r>
      <w:r w:rsidRPr="0025250D">
        <w:rPr>
          <w:rFonts w:hint="cs"/>
          <w:rtl/>
        </w:rPr>
        <w:t>:</w:t>
      </w:r>
    </w:p>
    <w:p w14:paraId="5609D495" w14:textId="0BE3694D" w:rsidR="00537CC8" w:rsidRPr="0025250D" w:rsidRDefault="00537CC8" w:rsidP="00537CC8">
      <w:pPr>
        <w:rPr>
          <w:rtl/>
        </w:rPr>
      </w:pPr>
      <w:r w:rsidRPr="0025250D">
        <w:rPr>
          <w:rFonts w:hint="cs"/>
          <w:rtl/>
        </w:rPr>
        <w:t xml:space="preserve">1. کتاب روش تحقیق </w:t>
      </w:r>
      <w:r w:rsidR="00D92F6E" w:rsidRPr="0025250D">
        <w:rPr>
          <w:rFonts w:hint="cs"/>
          <w:rtl/>
        </w:rPr>
        <w:t>آینده‌پژوه</w:t>
      </w:r>
      <w:r w:rsidRPr="0025250D">
        <w:rPr>
          <w:rFonts w:hint="cs"/>
          <w:rtl/>
        </w:rPr>
        <w:t>ی</w:t>
      </w:r>
      <w:r w:rsidRPr="0025250D">
        <w:rPr>
          <w:vertAlign w:val="superscript"/>
          <w:rtl/>
        </w:rPr>
        <w:footnoteReference w:id="2687"/>
      </w:r>
      <w:r w:rsidRPr="0025250D">
        <w:rPr>
          <w:rFonts w:hint="cs"/>
          <w:rtl/>
        </w:rPr>
        <w:t xml:space="preserve">، نسخه 3.0 اثر </w:t>
      </w:r>
      <w:r w:rsidRPr="0025250D">
        <w:rPr>
          <w:rtl/>
        </w:rPr>
        <w:t>جر</w:t>
      </w:r>
      <w:r w:rsidRPr="0025250D">
        <w:rPr>
          <w:rFonts w:hint="cs"/>
          <w:rtl/>
        </w:rPr>
        <w:t>ی</w:t>
      </w:r>
      <w:r w:rsidRPr="0025250D">
        <w:rPr>
          <w:rtl/>
        </w:rPr>
        <w:t xml:space="preserve"> گلن و تد گوردون</w:t>
      </w:r>
      <w:r w:rsidRPr="0025250D">
        <w:rPr>
          <w:rFonts w:hint="cs"/>
          <w:rtl/>
        </w:rPr>
        <w:t xml:space="preserve"> در سال 2009 که به شکل الکترونیکی موجود است، منبع خوبی برای 37 روش یا دسته روش‌های </w:t>
      </w:r>
      <w:r w:rsidRPr="0025250D">
        <w:rPr>
          <w:rtl/>
        </w:rPr>
        <w:t>آینده‌نگاری</w:t>
      </w:r>
      <w:r w:rsidRPr="0025250D">
        <w:rPr>
          <w:rFonts w:hint="cs"/>
          <w:rtl/>
        </w:rPr>
        <w:t xml:space="preserve"> </w:t>
      </w:r>
      <w:r w:rsidRPr="0025250D">
        <w:rPr>
          <w:rFonts w:cs="Times New Roman" w:hint="cs"/>
          <w:rtl/>
        </w:rPr>
        <w:t>–</w:t>
      </w:r>
      <w:r w:rsidRPr="0025250D">
        <w:rPr>
          <w:rFonts w:hint="cs"/>
          <w:rtl/>
        </w:rPr>
        <w:t xml:space="preserve"> با تاریخچه، نقاط ضعف و قوت برای هر یک </w:t>
      </w:r>
      <w:r w:rsidRPr="0025250D">
        <w:rPr>
          <w:rFonts w:cs="Times New Roman" w:hint="cs"/>
          <w:rtl/>
        </w:rPr>
        <w:t>–</w:t>
      </w:r>
      <w:r w:rsidRPr="0025250D">
        <w:rPr>
          <w:rFonts w:hint="cs"/>
          <w:rtl/>
        </w:rPr>
        <w:t xml:space="preserve"> می‌باشد. این کتاب 1300 صفحه‌ای یک مجموعه خوب از روش‌ها برای فعالان است. ما به‌شدت این کتاب را به‌عنوان یک مجموعه آموزشی تکمیلی برای این کتاب راهنما پیشنهاد می‌کنیم. این کتاب با حمایت دانشی شبکه‌ای جهانی از فعالان </w:t>
      </w:r>
      <w:r w:rsidRPr="0025250D">
        <w:rPr>
          <w:rtl/>
        </w:rPr>
        <w:t>آینده‌نگاری</w:t>
      </w:r>
      <w:r w:rsidRPr="0025250D">
        <w:rPr>
          <w:rFonts w:hint="cs"/>
          <w:rtl/>
        </w:rPr>
        <w:t xml:space="preserve"> که در پروژه هزاره</w:t>
      </w:r>
      <w:r w:rsidRPr="0025250D">
        <w:rPr>
          <w:vertAlign w:val="superscript"/>
          <w:rtl/>
        </w:rPr>
        <w:footnoteReference w:id="2688"/>
      </w:r>
      <w:r w:rsidRPr="0025250D">
        <w:rPr>
          <w:rFonts w:hint="cs"/>
          <w:rtl/>
        </w:rPr>
        <w:t xml:space="preserve"> </w:t>
      </w:r>
      <w:r w:rsidRPr="0025250D">
        <w:rPr>
          <w:rtl/>
        </w:rPr>
        <w:t>گلن</w:t>
      </w:r>
      <w:r w:rsidRPr="0025250D">
        <w:rPr>
          <w:vertAlign w:val="superscript"/>
          <w:rtl/>
        </w:rPr>
        <w:footnoteReference w:id="2689"/>
      </w:r>
      <w:r w:rsidRPr="0025250D">
        <w:rPr>
          <w:rFonts w:hint="cs"/>
          <w:rtl/>
        </w:rPr>
        <w:t xml:space="preserve"> شرکت می‌کنند شکل گرفته است. گزارش وضعیت آینده</w:t>
      </w:r>
      <w:r w:rsidRPr="0025250D">
        <w:rPr>
          <w:vertAlign w:val="superscript"/>
          <w:rtl/>
        </w:rPr>
        <w:footnoteReference w:id="2690"/>
      </w:r>
      <w:r w:rsidRPr="0025250D">
        <w:rPr>
          <w:rFonts w:hint="cs"/>
          <w:rtl/>
        </w:rPr>
        <w:t xml:space="preserve"> </w:t>
      </w:r>
      <w:r w:rsidRPr="0025250D">
        <w:rPr>
          <w:rtl/>
        </w:rPr>
        <w:t>گلن و فلورسکو</w:t>
      </w:r>
      <w:r w:rsidRPr="0025250D">
        <w:rPr>
          <w:vertAlign w:val="superscript"/>
          <w:rtl/>
        </w:rPr>
        <w:footnoteReference w:id="2691"/>
      </w:r>
      <w:r w:rsidRPr="0025250D">
        <w:rPr>
          <w:rFonts w:hint="cs"/>
          <w:rtl/>
        </w:rPr>
        <w:t xml:space="preserve"> نیز به‌شدت توصیه می‌شود. نسخه 2017 آن در زمان انتشار این کتاب جدید‌ترین نسخه است.</w:t>
      </w:r>
    </w:p>
    <w:p w14:paraId="522D4B11" w14:textId="7C78E7C9" w:rsidR="00537CC8" w:rsidRPr="0025250D" w:rsidRDefault="00537CC8" w:rsidP="00537CC8">
      <w:pPr>
        <w:rPr>
          <w:rtl/>
        </w:rPr>
      </w:pPr>
      <w:r w:rsidRPr="0025250D">
        <w:rPr>
          <w:rFonts w:hint="cs"/>
          <w:rtl/>
        </w:rPr>
        <w:t xml:space="preserve">2. پایه‌های </w:t>
      </w:r>
      <w:r w:rsidR="00D92F6E" w:rsidRPr="0025250D">
        <w:rPr>
          <w:rFonts w:hint="cs"/>
          <w:rtl/>
        </w:rPr>
        <w:t>آینده‌پژوه</w:t>
      </w:r>
      <w:r w:rsidRPr="0025250D">
        <w:rPr>
          <w:rFonts w:hint="cs"/>
          <w:rtl/>
        </w:rPr>
        <w:t>ی، جلد 1 و 2</w:t>
      </w:r>
      <w:r w:rsidRPr="0025250D">
        <w:rPr>
          <w:vertAlign w:val="superscript"/>
          <w:rtl/>
        </w:rPr>
        <w:footnoteReference w:id="2692"/>
      </w:r>
      <w:r w:rsidRPr="0025250D">
        <w:rPr>
          <w:rFonts w:hint="cs"/>
          <w:rtl/>
        </w:rPr>
        <w:t xml:space="preserve"> اثر </w:t>
      </w:r>
      <w:r w:rsidRPr="0025250D">
        <w:rPr>
          <w:rtl/>
        </w:rPr>
        <w:t>وندل بل</w:t>
      </w:r>
      <w:r w:rsidRPr="0025250D">
        <w:rPr>
          <w:vertAlign w:val="superscript"/>
          <w:rtl/>
        </w:rPr>
        <w:footnoteReference w:id="2693"/>
      </w:r>
      <w:r w:rsidRPr="0025250D">
        <w:rPr>
          <w:rFonts w:hint="cs"/>
          <w:rtl/>
        </w:rPr>
        <w:t xml:space="preserve"> در سال 1997/2004 مروری کلی بر روش‌ها در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(جلد 1) و </w:t>
      </w:r>
      <w:r w:rsidRPr="0025250D">
        <w:rPr>
          <w:rtl/>
        </w:rPr>
        <w:t>آینده‌نگاری</w:t>
      </w:r>
      <w:r w:rsidRPr="0025250D">
        <w:rPr>
          <w:rFonts w:hint="cs"/>
          <w:rtl/>
        </w:rPr>
        <w:t xml:space="preserve"> هنجاری (جلد 2) ارائه می‌دهد. ما این کتاب را برای افرادی که یک </w:t>
      </w:r>
      <w:r w:rsidR="003747E8" w:rsidRPr="0025250D">
        <w:rPr>
          <w:rFonts w:hint="cs"/>
          <w:rtl/>
        </w:rPr>
        <w:t>مرور</w:t>
      </w:r>
      <w:r w:rsidRPr="0025250D">
        <w:rPr>
          <w:rFonts w:hint="cs"/>
          <w:rtl/>
        </w:rPr>
        <w:t xml:space="preserve"> عالی از تاریخچه و اهداف زمینه </w:t>
      </w:r>
      <w:r w:rsidR="003747E8" w:rsidRPr="0025250D">
        <w:rPr>
          <w:rFonts w:hint="cs"/>
          <w:rtl/>
        </w:rPr>
        <w:t>آینده‌نگاری</w:t>
      </w:r>
      <w:r w:rsidRPr="0025250D">
        <w:rPr>
          <w:rFonts w:hint="cs"/>
          <w:rtl/>
        </w:rPr>
        <w:t xml:space="preserve"> می‌خواهند توصیه می‌کنیم. این کتاب هنوز توسط بسیاری از افراد یک کتاب </w:t>
      </w:r>
      <w:r w:rsidR="003747E8" w:rsidRPr="0025250D">
        <w:rPr>
          <w:rFonts w:hint="cs"/>
          <w:rtl/>
        </w:rPr>
        <w:t>ت</w:t>
      </w:r>
      <w:r w:rsidRPr="0025250D">
        <w:rPr>
          <w:rFonts w:hint="cs"/>
          <w:rtl/>
        </w:rPr>
        <w:t xml:space="preserve">خصصی در زمینه </w:t>
      </w:r>
      <w:r w:rsidR="003747E8" w:rsidRPr="0025250D">
        <w:rPr>
          <w:rFonts w:hint="cs"/>
          <w:rtl/>
        </w:rPr>
        <w:t>آینده‌نگاری</w:t>
      </w:r>
      <w:r w:rsidRPr="0025250D">
        <w:rPr>
          <w:rFonts w:hint="cs"/>
          <w:rtl/>
        </w:rPr>
        <w:t xml:space="preserve"> محسوب می‌شود. سازماندهی و ساختار دو جلدی کتاب ما، تشابهاتی به این کتاب دارد. این یکی از الهاماتی است که از این کتاب گرفته ایم.</w:t>
      </w:r>
    </w:p>
    <w:p w14:paraId="2EA5BD71" w14:textId="5F547E51" w:rsidR="00537CC8" w:rsidRPr="0025250D" w:rsidRDefault="00537CC8" w:rsidP="00537CC8">
      <w:pPr>
        <w:rPr>
          <w:rtl/>
        </w:rPr>
      </w:pPr>
      <w:r w:rsidRPr="0025250D">
        <w:rPr>
          <w:rFonts w:hint="cs"/>
          <w:rtl/>
        </w:rPr>
        <w:t xml:space="preserve">3. نسخه ویرایش شده از کتاب پایگاه دانش </w:t>
      </w:r>
      <w:r w:rsidR="00D92F6E" w:rsidRPr="0025250D">
        <w:rPr>
          <w:rFonts w:hint="cs"/>
          <w:rtl/>
        </w:rPr>
        <w:t>آینده‌پژوه</w:t>
      </w:r>
      <w:r w:rsidRPr="0025250D">
        <w:rPr>
          <w:rFonts w:hint="cs"/>
          <w:rtl/>
        </w:rPr>
        <w:t>ی</w:t>
      </w:r>
      <w:r w:rsidRPr="0025250D">
        <w:rPr>
          <w:vertAlign w:val="superscript"/>
          <w:rtl/>
        </w:rPr>
        <w:footnoteReference w:id="2694"/>
      </w:r>
      <w:r w:rsidRPr="0025250D">
        <w:rPr>
          <w:rFonts w:hint="cs"/>
          <w:rtl/>
        </w:rPr>
        <w:t xml:space="preserve"> اثر </w:t>
      </w:r>
      <w:r w:rsidRPr="0025250D">
        <w:rPr>
          <w:rtl/>
        </w:rPr>
        <w:t>ر</w:t>
      </w:r>
      <w:r w:rsidRPr="0025250D">
        <w:rPr>
          <w:rFonts w:hint="cs"/>
          <w:rtl/>
        </w:rPr>
        <w:t>ی</w:t>
      </w:r>
      <w:r w:rsidRPr="0025250D">
        <w:rPr>
          <w:rFonts w:hint="eastAsia"/>
          <w:rtl/>
        </w:rPr>
        <w:t>چارد</w:t>
      </w:r>
      <w:r w:rsidRPr="0025250D">
        <w:rPr>
          <w:rtl/>
        </w:rPr>
        <w:t xml:space="preserve"> اسل</w:t>
      </w:r>
      <w:r w:rsidRPr="0025250D">
        <w:rPr>
          <w:rFonts w:hint="cs"/>
          <w:rtl/>
        </w:rPr>
        <w:t>ا</w:t>
      </w:r>
      <w:r w:rsidRPr="0025250D">
        <w:rPr>
          <w:rtl/>
        </w:rPr>
        <w:t>تر و اند</w:t>
      </w:r>
      <w:r w:rsidRPr="0025250D">
        <w:rPr>
          <w:rFonts w:hint="cs"/>
          <w:rtl/>
        </w:rPr>
        <w:t>ی</w:t>
      </w:r>
      <w:r w:rsidRPr="0025250D">
        <w:rPr>
          <w:rtl/>
        </w:rPr>
        <w:t xml:space="preserve"> ها</w:t>
      </w:r>
      <w:r w:rsidRPr="0025250D">
        <w:rPr>
          <w:rFonts w:hint="cs"/>
          <w:rtl/>
        </w:rPr>
        <w:t>ی</w:t>
      </w:r>
      <w:r w:rsidRPr="0025250D">
        <w:rPr>
          <w:rFonts w:hint="eastAsia"/>
          <w:rtl/>
        </w:rPr>
        <w:t>نز</w:t>
      </w:r>
      <w:r w:rsidRPr="0025250D">
        <w:rPr>
          <w:vertAlign w:val="superscript"/>
          <w:rtl/>
        </w:rPr>
        <w:footnoteReference w:id="2695"/>
      </w:r>
      <w:r w:rsidRPr="0025250D">
        <w:rPr>
          <w:rFonts w:hint="cs"/>
          <w:rtl/>
        </w:rPr>
        <w:t xml:space="preserve"> در سال 2020 مجموعه خلاصه خوبی از روش‌ها و دیدگاه‌های متنوع فعالان حال حاضر در زمینه </w:t>
      </w:r>
      <w:r w:rsidR="003747E8" w:rsidRPr="0025250D">
        <w:rPr>
          <w:rFonts w:hint="cs"/>
          <w:rtl/>
        </w:rPr>
        <w:t>آینده‌نگاری</w:t>
      </w:r>
      <w:r w:rsidRPr="0025250D">
        <w:rPr>
          <w:rFonts w:hint="cs"/>
          <w:rtl/>
        </w:rPr>
        <w:t xml:space="preserve"> و یک کتاب تکمیل کننده دیگر برای این کتاب راهنماست. این کتاب که ابتدا در سال 1993 و بار دیگر در سال 2005 توسط </w:t>
      </w:r>
      <w:r w:rsidR="00D92F6E" w:rsidRPr="0025250D">
        <w:rPr>
          <w:rFonts w:hint="cs"/>
          <w:rtl/>
        </w:rPr>
        <w:t>آینده‌پژوه</w:t>
      </w:r>
      <w:r w:rsidRPr="0025250D">
        <w:rPr>
          <w:rFonts w:hint="cs"/>
          <w:rtl/>
        </w:rPr>
        <w:t xml:space="preserve"> انتقادی استرالیایی برجسته </w:t>
      </w:r>
      <w:r w:rsidRPr="0025250D">
        <w:rPr>
          <w:rtl/>
        </w:rPr>
        <w:t>ر</w:t>
      </w:r>
      <w:r w:rsidRPr="0025250D">
        <w:rPr>
          <w:rFonts w:hint="cs"/>
          <w:rtl/>
        </w:rPr>
        <w:t>ی</w:t>
      </w:r>
      <w:r w:rsidRPr="0025250D">
        <w:rPr>
          <w:rFonts w:hint="eastAsia"/>
          <w:rtl/>
        </w:rPr>
        <w:t>چارد</w:t>
      </w:r>
      <w:r w:rsidRPr="0025250D">
        <w:rPr>
          <w:rtl/>
        </w:rPr>
        <w:t xml:space="preserve"> اسل</w:t>
      </w:r>
      <w:r w:rsidRPr="0025250D">
        <w:rPr>
          <w:rFonts w:hint="cs"/>
          <w:rtl/>
        </w:rPr>
        <w:t>ا</w:t>
      </w:r>
      <w:r w:rsidRPr="0025250D">
        <w:rPr>
          <w:rtl/>
        </w:rPr>
        <w:t>تر</w:t>
      </w:r>
      <w:r w:rsidRPr="0025250D">
        <w:rPr>
          <w:rFonts w:hint="cs"/>
          <w:rtl/>
        </w:rPr>
        <w:t xml:space="preserve"> منتشر شد، با بودجه‌ای از انجمن</w:t>
      </w:r>
      <w:r w:rsidRPr="0025250D">
        <w:rPr>
          <w:rtl/>
        </w:rPr>
        <w:t xml:space="preserve"> </w:t>
      </w:r>
      <w:r w:rsidR="00D92F6E" w:rsidRPr="0025250D">
        <w:rPr>
          <w:rFonts w:hint="cs"/>
          <w:rtl/>
        </w:rPr>
        <w:t>آینده‌پژوه</w:t>
      </w:r>
      <w:r w:rsidRPr="0025250D">
        <w:rPr>
          <w:rFonts w:hint="cs"/>
          <w:rtl/>
        </w:rPr>
        <w:t>ان</w:t>
      </w:r>
      <w:r w:rsidRPr="0025250D">
        <w:rPr>
          <w:rtl/>
        </w:rPr>
        <w:t xml:space="preserve"> </w:t>
      </w:r>
      <w:r w:rsidRPr="0025250D">
        <w:rPr>
          <w:rFonts w:hint="cs"/>
          <w:rtl/>
        </w:rPr>
        <w:t>تخصصی</w:t>
      </w:r>
      <w:r w:rsidRPr="0025250D">
        <w:rPr>
          <w:vertAlign w:val="superscript"/>
          <w:rtl/>
        </w:rPr>
        <w:footnoteReference w:id="2696"/>
      </w:r>
      <w:r w:rsidRPr="0025250D">
        <w:rPr>
          <w:rFonts w:hint="cs"/>
          <w:rtl/>
        </w:rPr>
        <w:t xml:space="preserve"> </w:t>
      </w:r>
      <w:r w:rsidRPr="0025250D">
        <w:rPr>
          <w:rFonts w:cs="Times New Roman" w:hint="cs"/>
          <w:rtl/>
        </w:rPr>
        <w:t>–</w:t>
      </w:r>
      <w:r w:rsidRPr="0025250D">
        <w:rPr>
          <w:rFonts w:hint="cs"/>
          <w:rtl/>
        </w:rPr>
        <w:t xml:space="preserve"> برترین سازمان در زمینه </w:t>
      </w:r>
      <w:r w:rsidR="003747E8" w:rsidRPr="0025250D">
        <w:rPr>
          <w:rFonts w:hint="cs"/>
          <w:rtl/>
        </w:rPr>
        <w:t xml:space="preserve">آینده‌نگاری </w:t>
      </w:r>
      <w:r w:rsidRPr="0025250D">
        <w:rPr>
          <w:rFonts w:cs="Times New Roman" w:hint="cs"/>
          <w:rtl/>
        </w:rPr>
        <w:t>–</w:t>
      </w:r>
      <w:r w:rsidRPr="0025250D">
        <w:rPr>
          <w:rFonts w:hint="cs"/>
          <w:rtl/>
        </w:rPr>
        <w:t xml:space="preserve"> </w:t>
      </w:r>
      <w:r w:rsidR="00A20CCB" w:rsidRPr="0025250D">
        <w:rPr>
          <w:rFonts w:hint="cs"/>
          <w:rtl/>
        </w:rPr>
        <w:t>به‌روزرسانی</w:t>
      </w:r>
      <w:r w:rsidRPr="0025250D">
        <w:rPr>
          <w:rFonts w:hint="cs"/>
          <w:rtl/>
        </w:rPr>
        <w:t xml:space="preserve"> شده است. این کتاب (</w:t>
      </w:r>
      <w:r w:rsidRPr="0025250D">
        <w:t>KBFS</w:t>
      </w:r>
      <w:r w:rsidRPr="0025250D">
        <w:rPr>
          <w:rFonts w:hint="cs"/>
          <w:rtl/>
        </w:rPr>
        <w:t xml:space="preserve">) در چهار جلد، 31 فصل و 37 نویسنده ارزش و تنوع بالای روش‌ها و فعالیت‌های </w:t>
      </w:r>
      <w:r w:rsidRPr="0025250D">
        <w:rPr>
          <w:rtl/>
        </w:rPr>
        <w:t>آینده‌نگاری</w:t>
      </w:r>
      <w:r w:rsidRPr="0025250D">
        <w:rPr>
          <w:rFonts w:hint="cs"/>
          <w:rtl/>
        </w:rPr>
        <w:t xml:space="preserve"> را نشان می‌دهد. در عین حال، تفاوت‌های قابل توجهی در لحن و فرضیات با این کتاب راهنما دارد. </w:t>
      </w:r>
      <w:r w:rsidRPr="0025250D">
        <w:t>KBFS</w:t>
      </w:r>
      <w:r w:rsidRPr="0025250D">
        <w:rPr>
          <w:rFonts w:hint="cs"/>
          <w:rtl/>
        </w:rPr>
        <w:t xml:space="preserve"> به‌عنوان کتابی ویرایش شده با </w:t>
      </w:r>
      <w:r w:rsidR="00A20CCB" w:rsidRPr="0025250D">
        <w:rPr>
          <w:rFonts w:hint="cs"/>
          <w:rtl/>
        </w:rPr>
        <w:t>جهان‌بینی</w:t>
      </w:r>
      <w:r w:rsidRPr="0025250D">
        <w:rPr>
          <w:rFonts w:hint="cs"/>
          <w:rtl/>
        </w:rPr>
        <w:t xml:space="preserve">‌های متنوع، دیدگاهی </w:t>
      </w:r>
      <w:r w:rsidRPr="0025250D">
        <w:rPr>
          <w:rtl/>
        </w:rPr>
        <w:t xml:space="preserve">تکاملی - توسعه‌ای </w:t>
      </w:r>
      <w:r w:rsidRPr="0025250D">
        <w:rPr>
          <w:rFonts w:hint="cs"/>
          <w:rtl/>
        </w:rPr>
        <w:t xml:space="preserve">به تغییر اجتماعی ندارد. آثار بسیاری بر معایب </w:t>
      </w:r>
      <w:r w:rsidR="00B0171C" w:rsidRPr="0025250D">
        <w:rPr>
          <w:rFonts w:hint="cs"/>
          <w:rtl/>
        </w:rPr>
        <w:t xml:space="preserve"> سرمایه‌دار</w:t>
      </w:r>
      <w:r w:rsidRPr="0025250D">
        <w:rPr>
          <w:rFonts w:hint="cs"/>
          <w:rtl/>
        </w:rPr>
        <w:t>ی و زرسالاری مصرفی بیش از حد رشد گرا</w:t>
      </w:r>
      <w:r w:rsidRPr="0025250D">
        <w:rPr>
          <w:vertAlign w:val="superscript"/>
          <w:rtl/>
        </w:rPr>
        <w:footnoteReference w:id="2697"/>
      </w:r>
      <w:r w:rsidRPr="0025250D">
        <w:rPr>
          <w:rFonts w:hint="cs"/>
          <w:rtl/>
        </w:rPr>
        <w:t xml:space="preserve"> تأکید می‌کنند، اما هیچ یک ذات خود اصلاح کننده شبکه‌های پیچیده در تاریخ بشر را مورد بررسی قرار نمی‌دهند. نویسندگان بسیاری همچنین یک سوگیری ضد پیش‌بینی نسبت به تغییر اجتماعی، جهانی و فراگیر دارند. نه تغییر </w:t>
      </w:r>
      <w:r w:rsidR="007B3B35" w:rsidRPr="0025250D">
        <w:rPr>
          <w:rFonts w:hint="cs"/>
          <w:rtl/>
        </w:rPr>
        <w:t>شتاب‌گیر</w:t>
      </w:r>
      <w:r w:rsidRPr="0025250D">
        <w:rPr>
          <w:rFonts w:hint="cs"/>
          <w:rtl/>
        </w:rPr>
        <w:t xml:space="preserve">نده </w:t>
      </w:r>
      <w:r w:rsidRPr="0025250D">
        <w:rPr>
          <w:rFonts w:cs="Times New Roman" w:hint="cs"/>
          <w:rtl/>
        </w:rPr>
        <w:t>–</w:t>
      </w:r>
      <w:r w:rsidRPr="0025250D">
        <w:rPr>
          <w:rFonts w:hint="cs"/>
          <w:rtl/>
        </w:rPr>
        <w:t xml:space="preserve"> با </w:t>
      </w:r>
      <w:r w:rsidR="00CF59DF" w:rsidRPr="0025250D">
        <w:rPr>
          <w:rFonts w:hint="cs"/>
          <w:rtl/>
        </w:rPr>
        <w:t>جهت‌گیری</w:t>
      </w:r>
      <w:r w:rsidRPr="0025250D">
        <w:rPr>
          <w:rFonts w:hint="cs"/>
          <w:rtl/>
        </w:rPr>
        <w:t xml:space="preserve"> آن به سمت فضای داخلی و استفاده کارا از منابع </w:t>
      </w:r>
      <w:r w:rsidRPr="0025250D">
        <w:rPr>
          <w:rFonts w:cs="Times New Roman" w:hint="cs"/>
          <w:rtl/>
        </w:rPr>
        <w:t>–</w:t>
      </w:r>
      <w:r w:rsidRPr="0025250D">
        <w:rPr>
          <w:rFonts w:hint="cs"/>
          <w:rtl/>
        </w:rPr>
        <w:t xml:space="preserve"> و نه هوش مصنوعی به‌عنوان یک </w:t>
      </w:r>
      <w:r w:rsidR="008D6F97" w:rsidRPr="0025250D">
        <w:rPr>
          <w:rFonts w:hint="cs"/>
          <w:rtl/>
        </w:rPr>
        <w:t>سامانه‌</w:t>
      </w:r>
      <w:r w:rsidRPr="0025250D">
        <w:rPr>
          <w:rFonts w:hint="cs"/>
          <w:rtl/>
        </w:rPr>
        <w:t xml:space="preserve"> یادگیری شبکه‌ای به خوبی بازنمایی نمی‌شوند. نه جوامع و نه ماشین‌های همگرا شده توسط بیولوژی به‌عنوان </w:t>
      </w:r>
      <w:r w:rsidR="008D6F97" w:rsidRPr="0025250D">
        <w:rPr>
          <w:rFonts w:hint="cs"/>
          <w:rtl/>
        </w:rPr>
        <w:t>سامانه‌</w:t>
      </w:r>
      <w:r w:rsidRPr="0025250D">
        <w:rPr>
          <w:rFonts w:hint="cs"/>
          <w:rtl/>
        </w:rPr>
        <w:t xml:space="preserve">‌های </w:t>
      </w:r>
      <w:r w:rsidRPr="0025250D">
        <w:rPr>
          <w:rtl/>
        </w:rPr>
        <w:t xml:space="preserve">تکاملی - توسعه‌ای </w:t>
      </w:r>
      <w:r w:rsidRPr="0025250D">
        <w:rPr>
          <w:rFonts w:hint="cs"/>
          <w:rtl/>
        </w:rPr>
        <w:t xml:space="preserve">که لزوما از طریق ارزش‌های </w:t>
      </w:r>
      <w:r w:rsidRPr="0025250D">
        <w:rPr>
          <w:rtl/>
        </w:rPr>
        <w:t>تکاملی - توسعه‌ای</w:t>
      </w:r>
      <w:r w:rsidRPr="0025250D">
        <w:rPr>
          <w:rFonts w:hint="cs"/>
          <w:rtl/>
        </w:rPr>
        <w:t xml:space="preserve">، مانند اهداف </w:t>
      </w:r>
      <w:r w:rsidRPr="0025250D">
        <w:t>IES</w:t>
      </w:r>
      <w:r w:rsidRPr="0025250D">
        <w:rPr>
          <w:rFonts w:hint="cs"/>
          <w:rtl/>
        </w:rPr>
        <w:t xml:space="preserve">، خود پایدار کننده هستند، در نظر گرفته نمی‌شوند. این اثر عالی را </w:t>
      </w:r>
      <w:r w:rsidR="007118DE" w:rsidRPr="0025250D">
        <w:rPr>
          <w:rFonts w:hint="cs"/>
          <w:rtl/>
        </w:rPr>
        <w:t>همان‌طور</w:t>
      </w:r>
      <w:r w:rsidRPr="0025250D">
        <w:rPr>
          <w:rFonts w:hint="cs"/>
          <w:rtl/>
        </w:rPr>
        <w:t xml:space="preserve"> که هست بپذیرید، اما فرضیات آن را در ذهن داشته باشید. ما فرضیات متفاوتی داریم.</w:t>
      </w:r>
    </w:p>
    <w:p w14:paraId="276171F7" w14:textId="77777777" w:rsidR="00537CC8" w:rsidRPr="0025250D" w:rsidRDefault="00537CC8" w:rsidP="003D3E0A">
      <w:pPr>
        <w:jc w:val="center"/>
        <w:rPr>
          <w:rtl/>
        </w:rPr>
      </w:pPr>
      <w:r w:rsidRPr="0025250D">
        <w:rPr>
          <w:noProof/>
          <w:rtl/>
          <w:lang w:bidi="ar-SA"/>
        </w:rPr>
        <w:drawing>
          <wp:inline distT="0" distB="0" distL="0" distR="0" wp14:anchorId="54D311B4" wp14:editId="43D479ED">
            <wp:extent cx="1517780" cy="2178658"/>
            <wp:effectExtent l="0" t="0" r="6350" b="0"/>
            <wp:docPr id="161" name="Picture 161" descr="D:\کار\مستقل\3 ( ترجمه ی دانشگاه تهران  )\Introduction to Foresight\part7\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کار\مستقل\3 ( ترجمه ی دانشگاه تهران  )\Introduction to Foresight\part7\59.png"/>
                    <pic:cNvPicPr>
                      <a:picLocks noChangeAspect="1" noChangeArrowheads="1"/>
                    </pic:cNvPicPr>
                  </pic:nvPicPr>
                  <pic:blipFill rotWithShape="1">
                    <a:blip r:embed="rId266" cstate="screen">
                      <a:extLst>
                        <a:ext uri="{BEBA8EAE-BF5A-486C-A8C5-ECC9F3942E4B}">
                          <a14:imgProps xmlns:a14="http://schemas.microsoft.com/office/drawing/2010/main">
                            <a14:imgLayer r:embed="rId267">
                              <a14:imgEffect>
                                <a14:saturation sat="0"/>
                              </a14:imgEffect>
                            </a14:imgLayer>
                          </a14:imgProps>
                        </a:ext>
                        <a:ext uri="{28A0092B-C50C-407E-A947-70E740481C1C}">
                          <a14:useLocalDpi xmlns:a14="http://schemas.microsoft.com/office/drawing/2010/main"/>
                        </a:ext>
                      </a:extLst>
                    </a:blip>
                    <a:srcRect/>
                    <a:stretch/>
                  </pic:blipFill>
                  <pic:spPr bwMode="auto">
                    <a:xfrm>
                      <a:off x="0" y="0"/>
                      <a:ext cx="1527259" cy="2192264"/>
                    </a:xfrm>
                    <a:prstGeom prst="rect">
                      <a:avLst/>
                    </a:prstGeom>
                    <a:noFill/>
                    <a:ln>
                      <a:noFill/>
                    </a:ln>
                    <a:extLst>
                      <a:ext uri="{53640926-AAD7-44D8-BBD7-CCE9431645EC}">
                        <a14:shadowObscured xmlns:a14="http://schemas.microsoft.com/office/drawing/2010/main"/>
                      </a:ext>
                    </a:extLst>
                  </pic:spPr>
                </pic:pic>
              </a:graphicData>
            </a:graphic>
          </wp:inline>
        </w:drawing>
      </w:r>
    </w:p>
    <w:p w14:paraId="605DE95E" w14:textId="77777777" w:rsidR="00537CC8" w:rsidRPr="0025250D" w:rsidRDefault="00537CC8" w:rsidP="003D3E0A">
      <w:pPr>
        <w:jc w:val="center"/>
        <w:rPr>
          <w:rtl/>
        </w:rPr>
      </w:pPr>
      <w:r w:rsidRPr="0025250D">
        <w:rPr>
          <w:rtl/>
        </w:rPr>
        <w:t>اسل</w:t>
      </w:r>
      <w:r w:rsidRPr="0025250D">
        <w:rPr>
          <w:rFonts w:hint="cs"/>
          <w:rtl/>
        </w:rPr>
        <w:t>ا</w:t>
      </w:r>
      <w:r w:rsidRPr="0025250D">
        <w:rPr>
          <w:rtl/>
        </w:rPr>
        <w:t>تر و ها</w:t>
      </w:r>
      <w:r w:rsidRPr="0025250D">
        <w:rPr>
          <w:rFonts w:hint="cs"/>
          <w:rtl/>
        </w:rPr>
        <w:t>ی</w:t>
      </w:r>
      <w:r w:rsidRPr="0025250D">
        <w:rPr>
          <w:rFonts w:hint="eastAsia"/>
          <w:rtl/>
        </w:rPr>
        <w:t>نز</w:t>
      </w:r>
      <w:r w:rsidRPr="0025250D">
        <w:rPr>
          <w:rFonts w:hint="cs"/>
          <w:rtl/>
        </w:rPr>
        <w:t>، 2020</w:t>
      </w:r>
    </w:p>
    <w:p w14:paraId="0DCEB6C9" w14:textId="5AC5D4F7" w:rsidR="00537CC8" w:rsidRPr="0025250D" w:rsidRDefault="00537CC8" w:rsidP="00537CC8">
      <w:pPr>
        <w:rPr>
          <w:rtl/>
        </w:rPr>
      </w:pPr>
      <w:r w:rsidRPr="0025250D">
        <w:rPr>
          <w:rFonts w:hint="cs"/>
          <w:rtl/>
        </w:rPr>
        <w:t xml:space="preserve">افرادی که به </w:t>
      </w:r>
      <w:r w:rsidR="003747E8" w:rsidRPr="0025250D">
        <w:rPr>
          <w:rFonts w:hint="cs"/>
          <w:rtl/>
        </w:rPr>
        <w:t>مرور</w:t>
      </w:r>
      <w:r w:rsidRPr="0025250D">
        <w:rPr>
          <w:rFonts w:hint="cs"/>
          <w:rtl/>
        </w:rPr>
        <w:t xml:space="preserve"> ادبیات قدیمی‌تر تمایل دارند، از جمله متون نوشته شده در طول آخرین بهار </w:t>
      </w:r>
      <w:r w:rsidRPr="0025250D">
        <w:rPr>
          <w:rtl/>
        </w:rPr>
        <w:t>آینده‌نگاری</w:t>
      </w:r>
      <w:r w:rsidRPr="0025250D">
        <w:rPr>
          <w:rFonts w:hint="cs"/>
          <w:rtl/>
        </w:rPr>
        <w:t xml:space="preserve"> بزرگ (1960-1980)، مجموعه‌های بسیار خوب متعدد دیگری از روش‌های </w:t>
      </w:r>
      <w:r w:rsidRPr="0025250D">
        <w:rPr>
          <w:rtl/>
        </w:rPr>
        <w:t>آینده‌نگاری</w:t>
      </w:r>
      <w:r w:rsidRPr="0025250D">
        <w:rPr>
          <w:rFonts w:hint="cs"/>
          <w:rtl/>
        </w:rPr>
        <w:t xml:space="preserve"> خواهند یافت. کتاب‌هایی مانند چرخه ها: علم پیش‌بینی</w:t>
      </w:r>
      <w:r w:rsidRPr="0025250D">
        <w:rPr>
          <w:vertAlign w:val="superscript"/>
          <w:rtl/>
        </w:rPr>
        <w:footnoteReference w:id="2698"/>
      </w:r>
      <w:r w:rsidRPr="0025250D">
        <w:rPr>
          <w:rFonts w:hint="cs"/>
          <w:rtl/>
        </w:rPr>
        <w:t xml:space="preserve"> اثر </w:t>
      </w:r>
      <w:r w:rsidRPr="0025250D">
        <w:rPr>
          <w:rtl/>
        </w:rPr>
        <w:t>د</w:t>
      </w:r>
      <w:r w:rsidRPr="0025250D">
        <w:rPr>
          <w:rFonts w:hint="cs"/>
          <w:rtl/>
        </w:rPr>
        <w:t>ی</w:t>
      </w:r>
      <w:r w:rsidRPr="0025250D">
        <w:rPr>
          <w:rFonts w:hint="eastAsia"/>
          <w:rtl/>
        </w:rPr>
        <w:t>و</w:t>
      </w:r>
      <w:r w:rsidRPr="0025250D">
        <w:rPr>
          <w:rFonts w:hint="cs"/>
          <w:rtl/>
        </w:rPr>
        <w:t>یی</w:t>
      </w:r>
      <w:r w:rsidRPr="0025250D">
        <w:rPr>
          <w:rtl/>
        </w:rPr>
        <w:t xml:space="preserve"> و داک</w:t>
      </w:r>
      <w:r w:rsidRPr="0025250D">
        <w:rPr>
          <w:rFonts w:hint="cs"/>
          <w:rtl/>
        </w:rPr>
        <w:t>ی</w:t>
      </w:r>
      <w:r w:rsidRPr="0025250D">
        <w:rPr>
          <w:rFonts w:hint="eastAsia"/>
          <w:rtl/>
        </w:rPr>
        <w:t>ن</w:t>
      </w:r>
      <w:r w:rsidRPr="0025250D">
        <w:rPr>
          <w:vertAlign w:val="superscript"/>
          <w:rtl/>
        </w:rPr>
        <w:footnoteReference w:id="2699"/>
      </w:r>
      <w:r w:rsidRPr="0025250D">
        <w:rPr>
          <w:rFonts w:hint="cs"/>
          <w:rtl/>
        </w:rPr>
        <w:t xml:space="preserve"> در سال 1947، سال 2000</w:t>
      </w:r>
      <w:r w:rsidRPr="0025250D">
        <w:rPr>
          <w:vertAlign w:val="superscript"/>
          <w:rtl/>
        </w:rPr>
        <w:footnoteReference w:id="2700"/>
      </w:r>
      <w:r w:rsidRPr="0025250D">
        <w:rPr>
          <w:rFonts w:hint="cs"/>
          <w:rtl/>
        </w:rPr>
        <w:t xml:space="preserve"> اثر </w:t>
      </w:r>
      <w:r w:rsidRPr="0025250D">
        <w:rPr>
          <w:rtl/>
        </w:rPr>
        <w:t>کان و و</w:t>
      </w:r>
      <w:r w:rsidRPr="0025250D">
        <w:rPr>
          <w:rFonts w:hint="cs"/>
          <w:rtl/>
        </w:rPr>
        <w:t>ی</w:t>
      </w:r>
      <w:r w:rsidRPr="0025250D">
        <w:rPr>
          <w:rFonts w:hint="eastAsia"/>
          <w:rtl/>
        </w:rPr>
        <w:t>نر</w:t>
      </w:r>
      <w:r w:rsidRPr="0025250D">
        <w:rPr>
          <w:vertAlign w:val="superscript"/>
          <w:rtl/>
        </w:rPr>
        <w:footnoteReference w:id="2701"/>
      </w:r>
      <w:r w:rsidRPr="0025250D">
        <w:rPr>
          <w:rFonts w:hint="cs"/>
          <w:rtl/>
        </w:rPr>
        <w:t xml:space="preserve"> در سال 1967، 500 سال بعد</w:t>
      </w:r>
      <w:r w:rsidRPr="0025250D">
        <w:rPr>
          <w:vertAlign w:val="superscript"/>
          <w:rtl/>
        </w:rPr>
        <w:footnoteReference w:id="2702"/>
      </w:r>
      <w:r w:rsidRPr="0025250D">
        <w:rPr>
          <w:rFonts w:hint="cs"/>
          <w:rtl/>
        </w:rPr>
        <w:t xml:space="preserve"> اثر </w:t>
      </w:r>
      <w:r w:rsidRPr="0025250D">
        <w:rPr>
          <w:rtl/>
        </w:rPr>
        <w:t>برنهام بکو</w:t>
      </w:r>
      <w:r w:rsidRPr="0025250D">
        <w:rPr>
          <w:rFonts w:hint="cs"/>
          <w:rtl/>
        </w:rPr>
        <w:t>ی</w:t>
      </w:r>
      <w:r w:rsidRPr="0025250D">
        <w:rPr>
          <w:rFonts w:hint="eastAsia"/>
          <w:rtl/>
        </w:rPr>
        <w:t>ث</w:t>
      </w:r>
      <w:r w:rsidRPr="0025250D">
        <w:rPr>
          <w:vertAlign w:val="superscript"/>
          <w:rtl/>
        </w:rPr>
        <w:footnoteReference w:id="2703"/>
      </w:r>
      <w:r w:rsidRPr="0025250D">
        <w:rPr>
          <w:rFonts w:hint="cs"/>
          <w:rtl/>
        </w:rPr>
        <w:t xml:space="preserve"> در سال 1967، دستنامه </w:t>
      </w:r>
      <w:r w:rsidR="00D92F6E" w:rsidRPr="0025250D">
        <w:rPr>
          <w:rFonts w:hint="cs"/>
          <w:rtl/>
        </w:rPr>
        <w:t>آینده‌پژوه</w:t>
      </w:r>
      <w:r w:rsidRPr="0025250D">
        <w:rPr>
          <w:rFonts w:hint="cs"/>
          <w:rtl/>
        </w:rPr>
        <w:t>ی</w:t>
      </w:r>
      <w:r w:rsidRPr="0025250D">
        <w:rPr>
          <w:vertAlign w:val="superscript"/>
          <w:rtl/>
        </w:rPr>
        <w:footnoteReference w:id="2704"/>
      </w:r>
      <w:r w:rsidRPr="0025250D">
        <w:rPr>
          <w:rFonts w:hint="cs"/>
          <w:rtl/>
        </w:rPr>
        <w:t xml:space="preserve"> اثر </w:t>
      </w:r>
      <w:r w:rsidRPr="0025250D">
        <w:rPr>
          <w:rtl/>
        </w:rPr>
        <w:t>ج</w:t>
      </w:r>
      <w:r w:rsidRPr="0025250D">
        <w:rPr>
          <w:rFonts w:hint="cs"/>
          <w:rtl/>
        </w:rPr>
        <w:t>ی</w:t>
      </w:r>
      <w:r w:rsidRPr="0025250D">
        <w:rPr>
          <w:rFonts w:hint="eastAsia"/>
          <w:rtl/>
        </w:rPr>
        <w:t>ب</w:t>
      </w:r>
      <w:r w:rsidRPr="0025250D">
        <w:rPr>
          <w:rtl/>
        </w:rPr>
        <w:t xml:space="preserve"> فاولز</w:t>
      </w:r>
      <w:r w:rsidRPr="0025250D">
        <w:rPr>
          <w:vertAlign w:val="superscript"/>
          <w:rtl/>
        </w:rPr>
        <w:footnoteReference w:id="2705"/>
      </w:r>
      <w:r w:rsidRPr="0025250D">
        <w:rPr>
          <w:rFonts w:hint="cs"/>
          <w:rtl/>
        </w:rPr>
        <w:t xml:space="preserve"> در سال 1978، نگاه به جلو: راهنمایی برای </w:t>
      </w:r>
      <w:r w:rsidR="00D92F6E" w:rsidRPr="0025250D">
        <w:rPr>
          <w:rFonts w:hint="cs"/>
          <w:rtl/>
        </w:rPr>
        <w:t>آینده‌پژوه</w:t>
      </w:r>
      <w:r w:rsidRPr="0025250D">
        <w:rPr>
          <w:rFonts w:hint="cs"/>
          <w:rtl/>
        </w:rPr>
        <w:t>ی</w:t>
      </w:r>
      <w:r w:rsidRPr="0025250D">
        <w:rPr>
          <w:vertAlign w:val="superscript"/>
          <w:rtl/>
        </w:rPr>
        <w:footnoteReference w:id="2706"/>
      </w:r>
      <w:r w:rsidRPr="0025250D">
        <w:rPr>
          <w:rFonts w:hint="cs"/>
          <w:rtl/>
        </w:rPr>
        <w:t xml:space="preserve"> اثر </w:t>
      </w:r>
      <w:r w:rsidRPr="0025250D">
        <w:rPr>
          <w:rtl/>
        </w:rPr>
        <w:t>اولاف هلمر</w:t>
      </w:r>
      <w:r w:rsidRPr="0025250D">
        <w:rPr>
          <w:vertAlign w:val="superscript"/>
          <w:rtl/>
        </w:rPr>
        <w:footnoteReference w:id="2707"/>
      </w:r>
      <w:r w:rsidRPr="0025250D">
        <w:rPr>
          <w:rFonts w:hint="cs"/>
          <w:rtl/>
        </w:rPr>
        <w:t xml:space="preserve"> در سال 1983 و آنچه </w:t>
      </w:r>
      <w:r w:rsidR="00D92F6E" w:rsidRPr="0025250D">
        <w:rPr>
          <w:rFonts w:hint="cs"/>
          <w:rtl/>
        </w:rPr>
        <w:t>آینده‌پژوه</w:t>
      </w:r>
      <w:r w:rsidRPr="0025250D">
        <w:rPr>
          <w:rFonts w:hint="cs"/>
          <w:rtl/>
        </w:rPr>
        <w:t>ان باور دارند</w:t>
      </w:r>
      <w:r w:rsidRPr="0025250D">
        <w:rPr>
          <w:vertAlign w:val="superscript"/>
          <w:rtl/>
        </w:rPr>
        <w:footnoteReference w:id="2708"/>
      </w:r>
      <w:r w:rsidRPr="0025250D">
        <w:rPr>
          <w:rFonts w:hint="cs"/>
          <w:rtl/>
        </w:rPr>
        <w:t xml:space="preserve"> اثر </w:t>
      </w:r>
      <w:r w:rsidRPr="0025250D">
        <w:rPr>
          <w:rtl/>
        </w:rPr>
        <w:t>کوتس و جارت</w:t>
      </w:r>
      <w:r w:rsidRPr="0025250D">
        <w:rPr>
          <w:vertAlign w:val="superscript"/>
          <w:rtl/>
        </w:rPr>
        <w:footnoteReference w:id="2709"/>
      </w:r>
      <w:r w:rsidRPr="0025250D">
        <w:rPr>
          <w:rFonts w:hint="cs"/>
          <w:rtl/>
        </w:rPr>
        <w:t xml:space="preserve"> در سال 1989 تنها تعداد کمی از مطالعات قدیمی‌تر به‌شدت تحسین برانگیز هستند. پیوست 3 را برای موارد بیش‌تر ببینید.</w:t>
      </w:r>
    </w:p>
    <w:p w14:paraId="4E46E541" w14:textId="42FE23AD" w:rsidR="00537CC8" w:rsidRPr="0025250D" w:rsidRDefault="00537CC8" w:rsidP="00537CC8">
      <w:pPr>
        <w:rPr>
          <w:rtl/>
        </w:rPr>
      </w:pPr>
      <w:r w:rsidRPr="0025250D">
        <w:rPr>
          <w:rFonts w:hint="cs"/>
          <w:rtl/>
        </w:rPr>
        <w:t xml:space="preserve">تنوع خوبی از روش‌ها، </w:t>
      </w:r>
      <w:r w:rsidR="007118DE" w:rsidRPr="0025250D">
        <w:rPr>
          <w:rFonts w:hint="cs"/>
          <w:rtl/>
        </w:rPr>
        <w:t>همان‌طور</w:t>
      </w:r>
      <w:r w:rsidRPr="0025250D">
        <w:rPr>
          <w:rFonts w:hint="cs"/>
          <w:rtl/>
        </w:rPr>
        <w:t xml:space="preserve"> که خواهیم دید وجود دارند. برخی تنها به این دلیل که در حال حاضر کسی حاضر به امتحان کردن آن‌ها برای ارزش آن‌ها یا </w:t>
      </w:r>
      <w:r w:rsidR="00923DDB" w:rsidRPr="0025250D">
        <w:rPr>
          <w:rFonts w:hint="cs"/>
          <w:rtl/>
        </w:rPr>
        <w:t>به‌کارگیری</w:t>
      </w:r>
      <w:r w:rsidRPr="0025250D">
        <w:rPr>
          <w:rFonts w:hint="cs"/>
          <w:rtl/>
        </w:rPr>
        <w:t xml:space="preserve"> آن‌ها در فعالیت‌های مدرن نیست دیگر محبوب نیستند. برای هرکسی که یک روش ارزشمند می‌یابد، ما </w:t>
      </w:r>
      <w:r w:rsidR="00274907" w:rsidRPr="0025250D">
        <w:rPr>
          <w:rFonts w:hint="cs"/>
          <w:rtl/>
        </w:rPr>
        <w:t>به‌اشتراک‌گذار</w:t>
      </w:r>
      <w:r w:rsidRPr="0025250D">
        <w:rPr>
          <w:rFonts w:hint="cs"/>
          <w:rtl/>
        </w:rPr>
        <w:t xml:space="preserve">ی آن روش را در </w:t>
      </w:r>
      <w:r w:rsidR="003747E8" w:rsidRPr="0025250D">
        <w:rPr>
          <w:rFonts w:hint="cs"/>
          <w:rtl/>
        </w:rPr>
        <w:t xml:space="preserve">قالب </w:t>
      </w:r>
      <w:r w:rsidRPr="0025250D">
        <w:rPr>
          <w:rFonts w:hint="cs"/>
          <w:rtl/>
        </w:rPr>
        <w:t>مقاله</w:t>
      </w:r>
      <w:r w:rsidR="003747E8" w:rsidRPr="0025250D">
        <w:rPr>
          <w:rFonts w:hint="cs"/>
          <w:rtl/>
        </w:rPr>
        <w:t xml:space="preserve">‌ای </w:t>
      </w:r>
      <w:r w:rsidRPr="0025250D">
        <w:rPr>
          <w:rFonts w:hint="cs"/>
          <w:rtl/>
        </w:rPr>
        <w:t xml:space="preserve">در یکی از ژورنال‌های تخصصی این زمینه تشویق می‌کنیم (پیوست 3: نشریات و مجلات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گزارش دهی و کمّی سازی یافته‌های ما هر زمان که ممکن باشد به همکاران ما برای بهبود درک خود درمورد مزایا و معایب هر روش در زمینه‌های مختلف کمک می‌کند.</w:t>
      </w:r>
    </w:p>
    <w:p w14:paraId="10D5DD36" w14:textId="77777777" w:rsidR="00537CC8" w:rsidRPr="0025250D" w:rsidRDefault="00537CC8" w:rsidP="003D3E0A">
      <w:pPr>
        <w:jc w:val="center"/>
        <w:rPr>
          <w:rtl/>
        </w:rPr>
      </w:pPr>
      <w:r w:rsidRPr="0025250D">
        <w:rPr>
          <w:noProof/>
          <w:lang w:bidi="ar-SA"/>
        </w:rPr>
        <w:drawing>
          <wp:inline distT="0" distB="0" distL="0" distR="0" wp14:anchorId="7D7DF09A" wp14:editId="495662F9">
            <wp:extent cx="4937217" cy="4778733"/>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8">
                      <a:extLst>
                        <a:ext uri="{BEBA8EAE-BF5A-486C-A8C5-ECC9F3942E4B}">
                          <a14:imgProps xmlns:a14="http://schemas.microsoft.com/office/drawing/2010/main">
                            <a14:imgLayer r:embed="rId269">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4947000" cy="4788202"/>
                    </a:xfrm>
                    <a:prstGeom prst="rect">
                      <a:avLst/>
                    </a:prstGeom>
                    <a:noFill/>
                  </pic:spPr>
                </pic:pic>
              </a:graphicData>
            </a:graphic>
          </wp:inline>
        </w:drawing>
      </w:r>
    </w:p>
    <w:p w14:paraId="779417FC" w14:textId="1B435534" w:rsidR="00537CC8" w:rsidRPr="0025250D" w:rsidRDefault="00537CC8" w:rsidP="00537CC8">
      <w:pPr>
        <w:rPr>
          <w:rtl/>
        </w:rPr>
      </w:pPr>
      <w:r w:rsidRPr="0025250D">
        <w:rPr>
          <w:rtl/>
        </w:rPr>
        <w:t>رافائل پوپر</w:t>
      </w:r>
      <w:r w:rsidRPr="0025250D">
        <w:rPr>
          <w:vertAlign w:val="superscript"/>
          <w:rtl/>
        </w:rPr>
        <w:footnoteReference w:id="2710"/>
      </w:r>
      <w:r w:rsidRPr="0025250D">
        <w:rPr>
          <w:rFonts w:hint="cs"/>
          <w:rtl/>
        </w:rPr>
        <w:t xml:space="preserve"> و همکاران از دانشکده </w:t>
      </w:r>
      <w:r w:rsidR="00B124DE" w:rsidRPr="0025250D">
        <w:rPr>
          <w:rFonts w:hint="cs"/>
          <w:rtl/>
        </w:rPr>
        <w:t>کسب‌و‌کار</w:t>
      </w:r>
      <w:r w:rsidRPr="0025250D">
        <w:rPr>
          <w:rFonts w:hint="cs"/>
          <w:rtl/>
        </w:rPr>
        <w:t xml:space="preserve"> دانشگاه منچستر نظر سنجی خوبی از محبوبیت روش‌های </w:t>
      </w:r>
      <w:r w:rsidRPr="0025250D">
        <w:rPr>
          <w:rtl/>
        </w:rPr>
        <w:t>آینده‌نگاری</w:t>
      </w:r>
      <w:r w:rsidRPr="0025250D">
        <w:rPr>
          <w:rFonts w:hint="cs"/>
          <w:rtl/>
        </w:rPr>
        <w:t xml:space="preserve"> در دورنمای جهانی </w:t>
      </w:r>
      <w:r w:rsidRPr="0025250D">
        <w:rPr>
          <w:rtl/>
        </w:rPr>
        <w:t>آینده‌نگاری</w:t>
      </w:r>
      <w:r w:rsidRPr="0025250D">
        <w:rPr>
          <w:vertAlign w:val="superscript"/>
          <w:rtl/>
        </w:rPr>
        <w:footnoteReference w:id="2711"/>
      </w:r>
      <w:r w:rsidRPr="0025250D">
        <w:rPr>
          <w:rFonts w:hint="cs"/>
          <w:rtl/>
        </w:rPr>
        <w:t xml:space="preserve"> در سال 2007، انجام داده اند. وبسایت </w:t>
      </w:r>
      <w:r w:rsidRPr="0025250D">
        <w:rPr>
          <w:rtl/>
        </w:rPr>
        <w:t>پوپر</w:t>
      </w:r>
      <w:r w:rsidRPr="0025250D">
        <w:rPr>
          <w:rFonts w:hint="cs"/>
          <w:rtl/>
        </w:rPr>
        <w:t xml:space="preserve"> 33 روش </w:t>
      </w:r>
      <w:r w:rsidRPr="0025250D">
        <w:rPr>
          <w:rtl/>
        </w:rPr>
        <w:t>آینده‌نگاری</w:t>
      </w:r>
      <w:r w:rsidRPr="0025250D">
        <w:rPr>
          <w:rFonts w:hint="cs"/>
          <w:rtl/>
        </w:rPr>
        <w:t xml:space="preserve"> را که به دسته‌های کیفی، نیمه کمّی و کمّی تقسیم می‌شوند، مشخص می‌کند. </w:t>
      </w:r>
      <w:r w:rsidRPr="0025250D">
        <w:rPr>
          <w:rtl/>
        </w:rPr>
        <w:t>پوپر</w:t>
      </w:r>
      <w:r w:rsidRPr="0025250D">
        <w:rPr>
          <w:rFonts w:hint="cs"/>
          <w:rtl/>
        </w:rPr>
        <w:t xml:space="preserve"> همچنین الماس </w:t>
      </w:r>
      <w:r w:rsidRPr="0025250D">
        <w:rPr>
          <w:rtl/>
        </w:rPr>
        <w:t>آینده‌نگاری</w:t>
      </w:r>
      <w:r w:rsidRPr="0025250D">
        <w:rPr>
          <w:vertAlign w:val="superscript"/>
          <w:rtl/>
        </w:rPr>
        <w:footnoteReference w:id="2712"/>
      </w:r>
      <w:r w:rsidRPr="0025250D">
        <w:rPr>
          <w:rFonts w:hint="cs"/>
          <w:rtl/>
        </w:rPr>
        <w:t xml:space="preserve"> (تصویر بالا) را برای نمایش روش‌های </w:t>
      </w:r>
      <w:r w:rsidRPr="0025250D">
        <w:rPr>
          <w:rtl/>
        </w:rPr>
        <w:t>آینده‌نگاری</w:t>
      </w:r>
      <w:r w:rsidRPr="0025250D">
        <w:rPr>
          <w:rFonts w:hint="cs"/>
          <w:rtl/>
        </w:rPr>
        <w:t xml:space="preserve"> در دو محور خلاقیت در مقابل شواهد (یا به بیان ما تکاملی در مقابل توسعه ای) و مبتنی بر تخصص در مقابل مبتنی بر تعامل (یا فعالیت فردی در مقابل جمعی) توسعه داد. ما این امر را یک رویکرد مشخصا عمومی و خردمندانه می‌دانیم.</w:t>
      </w:r>
    </w:p>
    <w:p w14:paraId="076927AB" w14:textId="0381B6B2" w:rsidR="00537CC8" w:rsidRPr="0025250D" w:rsidRDefault="00537CC8" w:rsidP="00537CC8">
      <w:pPr>
        <w:rPr>
          <w:rtl/>
        </w:rPr>
      </w:pPr>
      <w:r w:rsidRPr="0025250D">
        <w:rPr>
          <w:rFonts w:hint="cs"/>
          <w:rtl/>
        </w:rPr>
        <w:t>همه طرح‌های دسته بندی روش‌ها باید تا حدی قراردادی باشند</w:t>
      </w:r>
      <w:r w:rsidR="008D6F97" w:rsidRPr="0025250D">
        <w:rPr>
          <w:rtl/>
        </w:rPr>
        <w:t xml:space="preserve">؛ </w:t>
      </w:r>
      <w:r w:rsidR="0020589F" w:rsidRPr="0025250D">
        <w:rPr>
          <w:rtl/>
        </w:rPr>
        <w:t>اما</w:t>
      </w:r>
      <w:r w:rsidRPr="0025250D">
        <w:rPr>
          <w:rFonts w:hint="cs"/>
          <w:rtl/>
        </w:rPr>
        <w:t xml:space="preserve"> هرچه طرح‌های بهتری داشته باشیم </w:t>
      </w:r>
      <w:r w:rsidRPr="0025250D">
        <w:rPr>
          <w:rFonts w:cs="Times New Roman" w:hint="cs"/>
          <w:rtl/>
        </w:rPr>
        <w:t>–</w:t>
      </w:r>
      <w:r w:rsidRPr="0025250D">
        <w:rPr>
          <w:rFonts w:hint="cs"/>
          <w:rtl/>
        </w:rPr>
        <w:t xml:space="preserve"> مانند طرح‌های </w:t>
      </w:r>
      <w:r w:rsidRPr="0025250D">
        <w:rPr>
          <w:rtl/>
        </w:rPr>
        <w:t>پوپر</w:t>
      </w:r>
      <w:r w:rsidRPr="0025250D">
        <w:rPr>
          <w:rFonts w:hint="cs"/>
          <w:rtl/>
        </w:rPr>
        <w:t xml:space="preserve">، </w:t>
      </w:r>
      <w:r w:rsidRPr="0025250D">
        <w:rPr>
          <w:rtl/>
        </w:rPr>
        <w:t>گلن</w:t>
      </w:r>
      <w:r w:rsidRPr="0025250D">
        <w:rPr>
          <w:vertAlign w:val="superscript"/>
          <w:rtl/>
        </w:rPr>
        <w:footnoteReference w:id="2713"/>
      </w:r>
      <w:r w:rsidRPr="0025250D">
        <w:rPr>
          <w:rFonts w:hint="cs"/>
          <w:rtl/>
        </w:rPr>
        <w:t xml:space="preserve"> و </w:t>
      </w:r>
      <w:r w:rsidRPr="0025250D">
        <w:rPr>
          <w:rtl/>
        </w:rPr>
        <w:t>گوردون</w:t>
      </w:r>
      <w:r w:rsidRPr="0025250D">
        <w:rPr>
          <w:vertAlign w:val="superscript"/>
          <w:rtl/>
        </w:rPr>
        <w:footnoteReference w:id="2714"/>
      </w:r>
      <w:r w:rsidRPr="0025250D">
        <w:rPr>
          <w:rFonts w:hint="cs"/>
          <w:rtl/>
        </w:rPr>
        <w:t xml:space="preserve"> و ما </w:t>
      </w:r>
      <w:r w:rsidRPr="0025250D">
        <w:rPr>
          <w:rFonts w:cs="Times New Roman" w:hint="cs"/>
          <w:rtl/>
        </w:rPr>
        <w:t>–</w:t>
      </w:r>
      <w:r w:rsidRPr="0025250D">
        <w:rPr>
          <w:rFonts w:hint="cs"/>
          <w:rtl/>
        </w:rPr>
        <w:t xml:space="preserve"> نظریه و شواهد</w:t>
      </w:r>
      <w:r w:rsidR="003747E8" w:rsidRPr="0025250D">
        <w:rPr>
          <w:rFonts w:hint="cs"/>
          <w:rtl/>
        </w:rPr>
        <w:t xml:space="preserve"> بیشتری</w:t>
      </w:r>
      <w:r w:rsidRPr="0025250D">
        <w:rPr>
          <w:rFonts w:hint="cs"/>
          <w:rtl/>
        </w:rPr>
        <w:t xml:space="preserve"> در پس هر یک خواهیم داشت. آن‌ها همگی در تلاش هستند تا جامع بوده و تا حد خوبی متوازن باشند.</w:t>
      </w:r>
    </w:p>
    <w:p w14:paraId="68238E2E" w14:textId="324E82F6" w:rsidR="00537CC8" w:rsidRPr="0025250D" w:rsidRDefault="00537CC8" w:rsidP="00537CC8">
      <w:pPr>
        <w:rPr>
          <w:rtl/>
        </w:rPr>
      </w:pPr>
      <w:r w:rsidRPr="0025250D">
        <w:rPr>
          <w:rFonts w:hint="cs"/>
          <w:rtl/>
        </w:rPr>
        <w:t xml:space="preserve">یک تحقیق اینترنتی مختصر، با استفاده از نام روش، معمولاً مقالات، کتاب‌ها و مثال‌های موردی خوبی از بیش‌تر این روش‌ها نشان خواهد داد. یک سؤال دشوار‌تر دانستن این است که چه زمان هر روش یا مجموعه خاص از روش‌ها را به کار ببریم. بدین منظور، ما به کسب دانش از مزایا و محدودیت‌های هر یک از کاربرد‌های پیشین و شناسایی یک نظریه از </w:t>
      </w:r>
      <w:r w:rsidR="00AE5BE0" w:rsidRPr="0025250D">
        <w:rPr>
          <w:rFonts w:hint="cs"/>
          <w:rtl/>
        </w:rPr>
        <w:t>انطباق</w:t>
      </w:r>
      <w:r w:rsidRPr="0025250D">
        <w:rPr>
          <w:rFonts w:hint="cs"/>
          <w:rtl/>
        </w:rPr>
        <w:t xml:space="preserve"> قابل </w:t>
      </w:r>
      <w:r w:rsidR="00923DDB" w:rsidRPr="0025250D">
        <w:rPr>
          <w:rFonts w:hint="cs"/>
          <w:rtl/>
        </w:rPr>
        <w:t>به‌کارگیری</w:t>
      </w:r>
      <w:r w:rsidRPr="0025250D">
        <w:rPr>
          <w:rFonts w:hint="cs"/>
          <w:rtl/>
        </w:rPr>
        <w:t xml:space="preserve"> برای زمینه خودمان نیاز خواهیم داشت</w:t>
      </w:r>
      <w:r w:rsidR="008D6F97" w:rsidRPr="0025250D">
        <w:rPr>
          <w:rtl/>
        </w:rPr>
        <w:t xml:space="preserve">؛ </w:t>
      </w:r>
      <w:r w:rsidR="0020589F" w:rsidRPr="0025250D">
        <w:rPr>
          <w:rtl/>
        </w:rPr>
        <w:t>اما</w:t>
      </w:r>
      <w:r w:rsidRPr="0025250D">
        <w:rPr>
          <w:rFonts w:hint="cs"/>
          <w:rtl/>
        </w:rPr>
        <w:t xml:space="preserve"> برای کسب این دانش از نقاط ضعف و محدودیت‌های هر روش، به تمرین نیاز خواهیم داشت. کتاب‌های نوشته شده توسط فعالان برتر می‌توانند منحنی یادگیری ما را کوتاه‌تر کنند، اما جایگزین تجربه واقعی نخواهند شد.</w:t>
      </w:r>
    </w:p>
    <w:p w14:paraId="37126A5B" w14:textId="1D1590ED" w:rsidR="00537CC8" w:rsidRPr="0025250D" w:rsidRDefault="00537CC8" w:rsidP="00537CC8">
      <w:pPr>
        <w:rPr>
          <w:rtl/>
        </w:rPr>
      </w:pPr>
      <w:r w:rsidRPr="0025250D">
        <w:rPr>
          <w:rFonts w:hint="cs"/>
          <w:rtl/>
        </w:rPr>
        <w:t xml:space="preserve">برای تسلط بیشتر در هر یک از این روش‌ها، برخی از کتب درمورد روش‌های فهرست شده در بالا یا در پیوست را در نظر بگیرید، یک مشاوره آنلاین با یک متخصص در زمینه روش‌ها انجام دهید یا به یکی از انجمن‌های </w:t>
      </w:r>
      <w:r w:rsidRPr="0025250D">
        <w:rPr>
          <w:rtl/>
        </w:rPr>
        <w:t>آینده‌نگاری</w:t>
      </w:r>
      <w:r w:rsidRPr="0025250D">
        <w:rPr>
          <w:rFonts w:hint="cs"/>
          <w:rtl/>
        </w:rPr>
        <w:t xml:space="preserve"> تخصصی فهرست شده بپیوندید که در آن‌ها برخی (نه همه) از این روش‌ها در دوره‌های آموزشی تدریس می‌شوند. چه یک روش را به صورت فردی و چه در یک گروه بیاموزیم، در صورت تمایل به پیشرفت، به بازخورد حلقه انجام منظم، هم از طرف مشتری و هم از نتایجمان نیاز داریم.</w:t>
      </w:r>
    </w:p>
    <w:p w14:paraId="5886F142" w14:textId="13D0FF46" w:rsidR="00537CC8" w:rsidRPr="0025250D" w:rsidRDefault="00537CC8" w:rsidP="00537CC8">
      <w:pPr>
        <w:rPr>
          <w:rtl/>
        </w:rPr>
      </w:pPr>
      <w:r w:rsidRPr="0025250D">
        <w:rPr>
          <w:rFonts w:hint="cs"/>
          <w:rtl/>
        </w:rPr>
        <w:t xml:space="preserve">مهارت‌های </w:t>
      </w:r>
      <w:r w:rsidRPr="0025250D">
        <w:t>LAIS</w:t>
      </w:r>
      <w:r w:rsidRPr="0025250D">
        <w:rPr>
          <w:rFonts w:hint="cs"/>
          <w:rtl/>
        </w:rPr>
        <w:t xml:space="preserve"> مسئولیت اولیه هر فرد فعال در </w:t>
      </w:r>
      <w:r w:rsidRPr="0025250D">
        <w:rPr>
          <w:rtl/>
        </w:rPr>
        <w:t>آینده‌نگاری</w:t>
      </w:r>
      <w:r w:rsidRPr="0025250D">
        <w:rPr>
          <w:rFonts w:hint="cs"/>
          <w:rtl/>
        </w:rPr>
        <w:t xml:space="preserve"> هستند و بنابراین، بلند‌ترین فهرست ما در پایین را تشکیل می‌دهند که برای هر یک بیش از 20 روش آورده شده است. اگرچه، ما باید به یاد داشته باشیم که همه فعالان به استفاده از برخی از روش‌هایی که تحت مهارت‌های </w:t>
      </w:r>
      <w:r w:rsidRPr="0025250D">
        <w:t>EIRR</w:t>
      </w:r>
      <w:r w:rsidRPr="0025250D">
        <w:rPr>
          <w:rFonts w:hint="cs"/>
          <w:rtl/>
        </w:rPr>
        <w:t xml:space="preserve"> فهرست </w:t>
      </w:r>
      <w:r w:rsidR="00185F3E" w:rsidRPr="0025250D">
        <w:rPr>
          <w:rFonts w:hint="cs"/>
          <w:rtl/>
        </w:rPr>
        <w:t>شده‌اند</w:t>
      </w:r>
      <w:r w:rsidRPr="0025250D">
        <w:rPr>
          <w:rFonts w:hint="cs"/>
          <w:rtl/>
        </w:rPr>
        <w:t xml:space="preserve"> نیز نیاز دارند؛ در صورتی که انتظار داشته باشیم که </w:t>
      </w:r>
      <w:r w:rsidRPr="0025250D">
        <w:rPr>
          <w:rtl/>
        </w:rPr>
        <w:t>آینده‌نگاری</w:t>
      </w:r>
      <w:r w:rsidRPr="0025250D">
        <w:rPr>
          <w:rFonts w:hint="cs"/>
          <w:rtl/>
        </w:rPr>
        <w:t xml:space="preserve"> </w:t>
      </w:r>
      <w:r w:rsidR="00206F11" w:rsidRPr="0025250D">
        <w:rPr>
          <w:rFonts w:hint="cs"/>
          <w:rtl/>
        </w:rPr>
        <w:t>پیاده‌سازی</w:t>
      </w:r>
      <w:r w:rsidRPr="0025250D">
        <w:rPr>
          <w:rFonts w:hint="cs"/>
          <w:rtl/>
        </w:rPr>
        <w:t xml:space="preserve"> شده و به عمل منجر شود. روش‌های فهرست شده تحت مهارت بازبینی به طور مشخص می‌توانند به ما برای ارزیابی تأثیر کمک کنند و ما را نسبت به نیاز‌های مشتری خود پاسخگو و مرتبط نگاه دارند. مستقل از روش‌های </w:t>
      </w:r>
      <w:r w:rsidRPr="0025250D">
        <w:rPr>
          <w:rtl/>
        </w:rPr>
        <w:t>آینده‌نگاری</w:t>
      </w:r>
      <w:r w:rsidRPr="0025250D">
        <w:rPr>
          <w:rFonts w:hint="cs"/>
          <w:rtl/>
        </w:rPr>
        <w:t xml:space="preserve"> مورد استفاده، باید همه ما به دنبال مدل و </w:t>
      </w:r>
      <w:r w:rsidR="00B56611" w:rsidRPr="0025250D">
        <w:rPr>
          <w:rFonts w:hint="cs"/>
          <w:rtl/>
        </w:rPr>
        <w:t>چشم‌انداز</w:t>
      </w:r>
      <w:r w:rsidRPr="0025250D">
        <w:rPr>
          <w:rFonts w:hint="cs"/>
          <w:rtl/>
        </w:rPr>
        <w:t xml:space="preserve">ی مبتنی بر شواهد از </w:t>
      </w:r>
      <w:r w:rsidR="00AE5BE0" w:rsidRPr="0025250D">
        <w:rPr>
          <w:rFonts w:hint="cs"/>
          <w:rtl/>
        </w:rPr>
        <w:t>انطباق</w:t>
      </w:r>
      <w:r w:rsidRPr="0025250D">
        <w:rPr>
          <w:rFonts w:hint="cs"/>
          <w:rtl/>
        </w:rPr>
        <w:t xml:space="preserve"> باشیم و ارزش‌های خوبی را در هر بافتی از کارمان، برای متمرکز نگاه داشتن روش‌ها بر آنچه در بلند مدت اهمیت دارد، به کار ببندیم.</w:t>
      </w:r>
    </w:p>
    <w:p w14:paraId="4BE266C3" w14:textId="3B0B6662" w:rsidR="00537CC8" w:rsidRPr="0025250D" w:rsidRDefault="00537CC8" w:rsidP="00537CC8">
      <w:pPr>
        <w:rPr>
          <w:rtl/>
        </w:rPr>
      </w:pPr>
      <w:r w:rsidRPr="0025250D">
        <w:rPr>
          <w:rFonts w:hint="cs"/>
          <w:rtl/>
        </w:rPr>
        <w:t xml:space="preserve">تقریبا 150 روش </w:t>
      </w:r>
      <w:r w:rsidRPr="0025250D">
        <w:rPr>
          <w:rtl/>
        </w:rPr>
        <w:t>آینده‌نگاری</w:t>
      </w:r>
      <w:r w:rsidRPr="0025250D">
        <w:rPr>
          <w:rFonts w:hint="cs"/>
          <w:rtl/>
        </w:rPr>
        <w:t xml:space="preserve"> فهرست شده در زیر، به ترتیب حروف الفبا تحت هر یک از هشت مهارت ارائه </w:t>
      </w:r>
      <w:r w:rsidR="00185F3E" w:rsidRPr="0025250D">
        <w:rPr>
          <w:rFonts w:hint="cs"/>
          <w:rtl/>
        </w:rPr>
        <w:t>شده‌اند</w:t>
      </w:r>
      <w:r w:rsidRPr="0025250D">
        <w:rPr>
          <w:rFonts w:hint="cs"/>
          <w:rtl/>
        </w:rPr>
        <w:t>. لینک</w:t>
      </w:r>
      <w:r w:rsidRPr="0025250D">
        <w:rPr>
          <w:rtl/>
        </w:rPr>
        <w:t xml:space="preserve"> </w:t>
      </w:r>
      <w:r w:rsidRPr="0025250D">
        <w:rPr>
          <w:rFonts w:hint="cs"/>
          <w:rtl/>
        </w:rPr>
        <w:t>توضیحات</w:t>
      </w:r>
      <w:r w:rsidRPr="0025250D">
        <w:rPr>
          <w:rtl/>
        </w:rPr>
        <w:t xml:space="preserve"> </w:t>
      </w:r>
      <w:r w:rsidRPr="0025250D">
        <w:rPr>
          <w:rFonts w:hint="cs"/>
          <w:rtl/>
        </w:rPr>
        <w:t>به</w:t>
      </w:r>
      <w:r w:rsidRPr="0025250D">
        <w:rPr>
          <w:rtl/>
        </w:rPr>
        <w:t xml:space="preserve"> </w:t>
      </w:r>
      <w:r w:rsidRPr="0025250D">
        <w:rPr>
          <w:rFonts w:hint="cs"/>
          <w:rtl/>
        </w:rPr>
        <w:t>ویکی</w:t>
      </w:r>
      <w:r w:rsidRPr="0025250D">
        <w:rPr>
          <w:rtl/>
        </w:rPr>
        <w:t xml:space="preserve"> </w:t>
      </w:r>
      <w:r w:rsidRPr="0025250D">
        <w:rPr>
          <w:rFonts w:hint="cs"/>
          <w:rtl/>
        </w:rPr>
        <w:t xml:space="preserve">پدیا و دیگر محتوای آنلاین ارائه شده است. روش‌هایی را که دوست دارید بیش‌تر درمورد آن‌ها یاد بگیرید یا در مسئله </w:t>
      </w:r>
      <w:r w:rsidRPr="0025250D">
        <w:rPr>
          <w:rtl/>
        </w:rPr>
        <w:t>آینده‌نگاری</w:t>
      </w:r>
      <w:r w:rsidRPr="0025250D">
        <w:rPr>
          <w:rFonts w:hint="cs"/>
          <w:rtl/>
        </w:rPr>
        <w:t xml:space="preserve"> بعدی خود امتحان کنید با دایره کشیدن دور آن‌ها مشخص کنید. آیا روشی را از قلم انداخته ایم؟ آیا اشتباهی در تعاریف و توصیفات ما وجود دارند؟ ویرایشی لازم دارند؟ آیا چیزی باید به آن‌ها افزوده شود؟ مثل همیشه ما را در جریان بگذارید.</w:t>
      </w:r>
    </w:p>
    <w:p w14:paraId="478D355C" w14:textId="77777777" w:rsidR="00537CC8" w:rsidRPr="0025250D" w:rsidRDefault="00537CC8" w:rsidP="00537CC8">
      <w:pPr>
        <w:rPr>
          <w:rtl/>
        </w:rPr>
      </w:pPr>
      <w:r w:rsidRPr="0025250D">
        <w:rPr>
          <w:rFonts w:hint="cs"/>
          <w:rtl/>
        </w:rPr>
        <w:t xml:space="preserve">نکته برای شبکه سازی و شغل یابی: هر روش زیر می‌تواند در یک تحقیق اینترنتی عمومی، در </w:t>
      </w:r>
      <w:r w:rsidRPr="0025250D">
        <w:rPr>
          <w:rtl/>
        </w:rPr>
        <w:t>ل</w:t>
      </w:r>
      <w:r w:rsidRPr="0025250D">
        <w:rPr>
          <w:rFonts w:hint="cs"/>
          <w:rtl/>
        </w:rPr>
        <w:t>ی</w:t>
      </w:r>
      <w:r w:rsidRPr="0025250D">
        <w:rPr>
          <w:rFonts w:hint="eastAsia"/>
          <w:rtl/>
        </w:rPr>
        <w:t>نکد</w:t>
      </w:r>
      <w:r w:rsidRPr="0025250D">
        <w:rPr>
          <w:rFonts w:hint="cs"/>
          <w:rtl/>
        </w:rPr>
        <w:t>ی</w:t>
      </w:r>
      <w:r w:rsidRPr="0025250D">
        <w:rPr>
          <w:rFonts w:hint="eastAsia"/>
          <w:rtl/>
        </w:rPr>
        <w:t>ن</w:t>
      </w:r>
      <w:r w:rsidRPr="0025250D">
        <w:rPr>
          <w:rFonts w:hint="cs"/>
          <w:rtl/>
        </w:rPr>
        <w:t xml:space="preserve"> یا گوگل اسکالر</w:t>
      </w:r>
      <w:r w:rsidRPr="0025250D">
        <w:rPr>
          <w:vertAlign w:val="superscript"/>
          <w:rtl/>
        </w:rPr>
        <w:footnoteReference w:id="2715"/>
      </w:r>
      <w:r w:rsidRPr="0025250D">
        <w:rPr>
          <w:rFonts w:hint="cs"/>
          <w:rtl/>
        </w:rPr>
        <w:t xml:space="preserve"> برای یافتن جوامع، شرکت‌ها و افرادی که آن‌ها را انجام داده و برای آن‌ها ارزش قائل هستند استفاده شود. هر روش زیر می‌تواند به شما برای حل مسائل و مشکلات کمک کند و می‌تواند ابزار مناسبی برای مسئله </w:t>
      </w:r>
      <w:r w:rsidRPr="0025250D">
        <w:rPr>
          <w:rtl/>
        </w:rPr>
        <w:t>آینده‌نگاری</w:t>
      </w:r>
      <w:r w:rsidRPr="0025250D">
        <w:rPr>
          <w:rFonts w:hint="cs"/>
          <w:rtl/>
        </w:rPr>
        <w:t xml:space="preserve"> شما باشد. امیدواریم که در سفر خود از میان این روش‌ها موفق باشید.</w:t>
      </w:r>
    </w:p>
    <w:p w14:paraId="0F44E131" w14:textId="77777777" w:rsidR="00537CC8" w:rsidRPr="0025250D" w:rsidRDefault="00537CC8" w:rsidP="003D3E0A">
      <w:pPr>
        <w:pStyle w:val="Heading3"/>
        <w:rPr>
          <w:rtl/>
        </w:rPr>
      </w:pPr>
      <w:r w:rsidRPr="0025250D">
        <w:rPr>
          <w:rFonts w:hint="cs"/>
          <w:rtl/>
        </w:rPr>
        <w:t>مهارت 1: روش‌های یادگیری (تفکر جستجوگرانه</w:t>
      </w:r>
      <w:r w:rsidRPr="0025250D">
        <w:rPr>
          <w:vertAlign w:val="superscript"/>
          <w:rtl/>
        </w:rPr>
        <w:footnoteReference w:id="2716"/>
      </w:r>
      <w:r w:rsidRPr="0025250D">
        <w:rPr>
          <w:rFonts w:hint="cs"/>
          <w:rtl/>
        </w:rPr>
        <w:t>)</w:t>
      </w:r>
    </w:p>
    <w:p w14:paraId="607FD550" w14:textId="77777777" w:rsidR="00537CC8" w:rsidRPr="0025250D" w:rsidRDefault="00537CC8" w:rsidP="00537CC8">
      <w:pPr>
        <w:rPr>
          <w:rtl/>
        </w:rPr>
      </w:pPr>
      <w:r w:rsidRPr="0025250D">
        <w:rPr>
          <w:rFonts w:hint="cs"/>
          <w:rtl/>
        </w:rPr>
        <w:t>نقشه‌های استدلالی/ باوری و نقشه‌های ذهنی</w:t>
      </w:r>
      <w:r w:rsidRPr="0025250D">
        <w:rPr>
          <w:vertAlign w:val="superscript"/>
          <w:rtl/>
        </w:rPr>
        <w:footnoteReference w:id="2717"/>
      </w:r>
    </w:p>
    <w:p w14:paraId="232746F7" w14:textId="77777777" w:rsidR="00537CC8" w:rsidRPr="0025250D" w:rsidRDefault="00537CC8" w:rsidP="00537CC8">
      <w:pPr>
        <w:rPr>
          <w:rtl/>
        </w:rPr>
      </w:pPr>
      <w:r w:rsidRPr="0025250D">
        <w:rPr>
          <w:rFonts w:hint="cs"/>
          <w:rtl/>
        </w:rPr>
        <w:t>ترسیم گرافیکی مکاتب فکری یا تفاوت‌ها در نظرات و شواهد یا مثال‌هایی حول یک موضوع پیچیده.</w:t>
      </w:r>
    </w:p>
    <w:p w14:paraId="34DA3099" w14:textId="77777777" w:rsidR="00537CC8" w:rsidRPr="0025250D" w:rsidRDefault="00537CC8" w:rsidP="00537CC8">
      <w:pPr>
        <w:rPr>
          <w:rtl/>
        </w:rPr>
      </w:pPr>
      <w:r w:rsidRPr="0025250D">
        <w:rPr>
          <w:rFonts w:hint="cs"/>
          <w:rtl/>
        </w:rPr>
        <w:t>محک زنی</w:t>
      </w:r>
    </w:p>
    <w:p w14:paraId="31872045" w14:textId="77777777" w:rsidR="00537CC8" w:rsidRPr="0025250D" w:rsidRDefault="00537CC8" w:rsidP="00537CC8">
      <w:pPr>
        <w:rPr>
          <w:rtl/>
        </w:rPr>
      </w:pPr>
      <w:r w:rsidRPr="0025250D">
        <w:rPr>
          <w:rFonts w:hint="cs"/>
          <w:rtl/>
        </w:rPr>
        <w:t>مقایسه فرایند‌ها و سنجه‌های عملکردی یک مورد با بهترین موارد در صنعت و شرکت (مرتبط با هوش رقابتی). به بهترین شکل در سطح جهانی انجام می‌شود.</w:t>
      </w:r>
    </w:p>
    <w:p w14:paraId="27EDC3DF" w14:textId="43A581AA" w:rsidR="00537CC8" w:rsidRPr="0025250D" w:rsidRDefault="00537CC8" w:rsidP="00537CC8">
      <w:pPr>
        <w:rPr>
          <w:rtl/>
        </w:rPr>
      </w:pPr>
      <w:r w:rsidRPr="0025250D">
        <w:rPr>
          <w:rFonts w:hint="cs"/>
          <w:rtl/>
        </w:rPr>
        <w:t>تحلیل لایه‌ای عل</w:t>
      </w:r>
      <w:r w:rsidR="0061131C" w:rsidRPr="0025250D">
        <w:rPr>
          <w:rFonts w:hint="cs"/>
          <w:rtl/>
        </w:rPr>
        <w:t>ّ</w:t>
      </w:r>
      <w:r w:rsidRPr="0025250D">
        <w:rPr>
          <w:rFonts w:hint="cs"/>
          <w:rtl/>
        </w:rPr>
        <w:t>ی</w:t>
      </w:r>
      <w:r w:rsidRPr="0025250D">
        <w:rPr>
          <w:vertAlign w:val="superscript"/>
          <w:rtl/>
        </w:rPr>
        <w:footnoteReference w:id="2718"/>
      </w:r>
    </w:p>
    <w:p w14:paraId="677FFC74" w14:textId="1B3BE6D4" w:rsidR="00537CC8" w:rsidRPr="0025250D" w:rsidRDefault="00537CC8" w:rsidP="00537CC8">
      <w:pPr>
        <w:rPr>
          <w:rtl/>
        </w:rPr>
      </w:pPr>
      <w:r w:rsidRPr="0025250D">
        <w:rPr>
          <w:rFonts w:hint="cs"/>
          <w:rtl/>
        </w:rPr>
        <w:t xml:space="preserve">تحلیل انتقادی چند سطحی (لیتانی، علل، </w:t>
      </w:r>
      <w:r w:rsidR="00A20CCB" w:rsidRPr="0025250D">
        <w:rPr>
          <w:rFonts w:hint="cs"/>
          <w:rtl/>
        </w:rPr>
        <w:t>جهان‌بینی</w:t>
      </w:r>
      <w:r w:rsidRPr="0025250D">
        <w:rPr>
          <w:rFonts w:hint="cs"/>
          <w:rtl/>
        </w:rPr>
        <w:t>، استعاره) از رویداد‌ها یا فرایندها برای کمک به یادگیری.</w:t>
      </w:r>
    </w:p>
    <w:p w14:paraId="3404E20E" w14:textId="77777777" w:rsidR="00537CC8" w:rsidRPr="0025250D" w:rsidRDefault="00537CC8" w:rsidP="00537CC8">
      <w:pPr>
        <w:rPr>
          <w:rtl/>
        </w:rPr>
      </w:pPr>
      <w:r w:rsidRPr="0025250D">
        <w:rPr>
          <w:rFonts w:hint="cs"/>
          <w:rtl/>
        </w:rPr>
        <w:t>هوش جمعی</w:t>
      </w:r>
      <w:r w:rsidRPr="0025250D">
        <w:rPr>
          <w:vertAlign w:val="superscript"/>
          <w:rtl/>
        </w:rPr>
        <w:footnoteReference w:id="2719"/>
      </w:r>
    </w:p>
    <w:p w14:paraId="3A610CDA" w14:textId="77777777" w:rsidR="00537CC8" w:rsidRPr="0025250D" w:rsidRDefault="00537CC8" w:rsidP="00537CC8">
      <w:pPr>
        <w:rPr>
          <w:rtl/>
        </w:rPr>
      </w:pPr>
      <w:r w:rsidRPr="0025250D">
        <w:rPr>
          <w:rFonts w:hint="cs"/>
          <w:rtl/>
        </w:rPr>
        <w:t xml:space="preserve">روش‌های گروهی (اغلب عمومی یا باز) از پویش، معناسازی، ارزیابی مزایا، تحولات، فرصت‌ها و ریسک‌ها (تحلیل </w:t>
      </w:r>
      <w:r w:rsidRPr="0025250D">
        <w:t>ADOR</w:t>
      </w:r>
      <w:r w:rsidRPr="0025250D">
        <w:rPr>
          <w:rFonts w:hint="cs"/>
          <w:rtl/>
        </w:rPr>
        <w:t>).</w:t>
      </w:r>
    </w:p>
    <w:p w14:paraId="3836D1E6" w14:textId="77777777" w:rsidR="00537CC8" w:rsidRPr="0025250D" w:rsidRDefault="00537CC8" w:rsidP="00537CC8">
      <w:pPr>
        <w:rPr>
          <w:rtl/>
        </w:rPr>
      </w:pPr>
      <w:r w:rsidRPr="0025250D">
        <w:rPr>
          <w:rFonts w:hint="cs"/>
          <w:rtl/>
        </w:rPr>
        <w:t>هوش رقابتی</w:t>
      </w:r>
      <w:r w:rsidRPr="0025250D">
        <w:rPr>
          <w:vertAlign w:val="superscript"/>
          <w:rtl/>
        </w:rPr>
        <w:footnoteReference w:id="2720"/>
      </w:r>
    </w:p>
    <w:p w14:paraId="2A1F4211" w14:textId="77777777" w:rsidR="00537CC8" w:rsidRPr="0025250D" w:rsidRDefault="00537CC8" w:rsidP="00537CC8">
      <w:pPr>
        <w:rPr>
          <w:rtl/>
        </w:rPr>
      </w:pPr>
      <w:r w:rsidRPr="0025250D">
        <w:rPr>
          <w:rFonts w:hint="cs"/>
          <w:rtl/>
        </w:rPr>
        <w:t>کسب، تحلیل و استفاده از اطلاعات درمورد فعالیت‌ها، دارایی‌های فکری، محصولات و مشتریان رقبا.</w:t>
      </w:r>
    </w:p>
    <w:p w14:paraId="0C365408" w14:textId="77777777" w:rsidR="00537CC8" w:rsidRPr="0025250D" w:rsidRDefault="00537CC8" w:rsidP="00537CC8">
      <w:pPr>
        <w:rPr>
          <w:rtl/>
        </w:rPr>
      </w:pPr>
      <w:r w:rsidRPr="0025250D">
        <w:rPr>
          <w:rFonts w:hint="cs"/>
          <w:rtl/>
        </w:rPr>
        <w:t>حسابداری هزینه ها</w:t>
      </w:r>
      <w:r w:rsidRPr="0025250D">
        <w:rPr>
          <w:vertAlign w:val="superscript"/>
          <w:rtl/>
        </w:rPr>
        <w:footnoteReference w:id="2721"/>
      </w:r>
    </w:p>
    <w:p w14:paraId="1B425FD2" w14:textId="0812A5F7" w:rsidR="00537CC8" w:rsidRPr="0025250D" w:rsidRDefault="00537CC8" w:rsidP="00537CC8">
      <w:pPr>
        <w:rPr>
          <w:rtl/>
        </w:rPr>
      </w:pPr>
      <w:r w:rsidRPr="0025250D">
        <w:rPr>
          <w:rFonts w:hint="cs"/>
          <w:rtl/>
        </w:rPr>
        <w:t xml:space="preserve">روش‌هایی برای یادگیری هزینه‌های حقیقی اقدامات </w:t>
      </w:r>
      <w:r w:rsidR="00B124DE" w:rsidRPr="0025250D">
        <w:rPr>
          <w:rFonts w:hint="cs"/>
          <w:rtl/>
        </w:rPr>
        <w:t>کسب‌و‌کار</w:t>
      </w:r>
      <w:r w:rsidRPr="0025250D">
        <w:rPr>
          <w:rFonts w:hint="cs"/>
          <w:rtl/>
        </w:rPr>
        <w:t xml:space="preserve"> مختلف فعلی یا دارای پتانسیل، برای کمک به تصمیم‌گیری ها.</w:t>
      </w:r>
    </w:p>
    <w:p w14:paraId="5C62B582" w14:textId="77777777" w:rsidR="00537CC8" w:rsidRPr="0025250D" w:rsidRDefault="00537CC8" w:rsidP="00537CC8">
      <w:pPr>
        <w:rPr>
          <w:rtl/>
        </w:rPr>
      </w:pPr>
      <w:r w:rsidRPr="0025250D">
        <w:rPr>
          <w:rFonts w:hint="cs"/>
          <w:rtl/>
        </w:rPr>
        <w:t>ترسیم دامنه</w:t>
      </w:r>
      <w:r w:rsidRPr="0025250D">
        <w:rPr>
          <w:vertAlign w:val="superscript"/>
          <w:rtl/>
        </w:rPr>
        <w:footnoteReference w:id="2722"/>
      </w:r>
    </w:p>
    <w:p w14:paraId="51DA1B3C" w14:textId="77777777" w:rsidR="00537CC8" w:rsidRPr="0025250D" w:rsidRDefault="00537CC8" w:rsidP="00537CC8">
      <w:pPr>
        <w:rPr>
          <w:rtl/>
        </w:rPr>
      </w:pPr>
      <w:r w:rsidRPr="0025250D">
        <w:rPr>
          <w:rFonts w:hint="cs"/>
          <w:rtl/>
        </w:rPr>
        <w:t>روش‌هایی (نقشه‌های مفهومی، درخت ارتباط، نقشه‌های شبکه‌های اجتماعی) برای ترسیم یک محیط یا دامنه مسئله.</w:t>
      </w:r>
    </w:p>
    <w:p w14:paraId="3753B2ED" w14:textId="77777777" w:rsidR="00537CC8" w:rsidRPr="0025250D" w:rsidRDefault="00537CC8" w:rsidP="00537CC8">
      <w:pPr>
        <w:rPr>
          <w:rtl/>
        </w:rPr>
      </w:pPr>
      <w:r w:rsidRPr="0025250D">
        <w:rPr>
          <w:rFonts w:hint="cs"/>
          <w:rtl/>
        </w:rPr>
        <w:t>قوم نگاری</w:t>
      </w:r>
      <w:r w:rsidRPr="0025250D">
        <w:rPr>
          <w:vertAlign w:val="superscript"/>
          <w:rtl/>
        </w:rPr>
        <w:footnoteReference w:id="2723"/>
      </w:r>
    </w:p>
    <w:p w14:paraId="2103F7AE" w14:textId="77777777" w:rsidR="00537CC8" w:rsidRPr="0025250D" w:rsidRDefault="00537CC8" w:rsidP="00537CC8">
      <w:pPr>
        <w:rPr>
          <w:rtl/>
        </w:rPr>
      </w:pPr>
      <w:r w:rsidRPr="0025250D">
        <w:rPr>
          <w:rFonts w:hint="cs"/>
          <w:rtl/>
        </w:rPr>
        <w:t xml:space="preserve">مطالعه لیتانی </w:t>
      </w:r>
      <w:r w:rsidRPr="0025250D">
        <w:rPr>
          <w:rtl/>
        </w:rPr>
        <w:t>آینده‌نگاری</w:t>
      </w:r>
      <w:r w:rsidRPr="0025250D">
        <w:rPr>
          <w:rFonts w:hint="cs"/>
          <w:rtl/>
        </w:rPr>
        <w:t>.</w:t>
      </w:r>
    </w:p>
    <w:p w14:paraId="30418FED" w14:textId="30F94B09" w:rsidR="00537CC8" w:rsidRPr="0025250D" w:rsidRDefault="00537CC8" w:rsidP="00537CC8">
      <w:pPr>
        <w:rPr>
          <w:rtl/>
        </w:rPr>
      </w:pPr>
      <w:r w:rsidRPr="0025250D">
        <w:rPr>
          <w:rFonts w:hint="cs"/>
          <w:rtl/>
        </w:rPr>
        <w:t>شناسایی مسائل پدیدار شونده</w:t>
      </w:r>
      <w:r w:rsidRPr="0025250D">
        <w:rPr>
          <w:vertAlign w:val="superscript"/>
          <w:rtl/>
        </w:rPr>
        <w:footnoteReference w:id="2724"/>
      </w:r>
      <w:r w:rsidRPr="0025250D">
        <w:rPr>
          <w:rFonts w:hint="cs"/>
          <w:rtl/>
        </w:rPr>
        <w:t xml:space="preserve"> (نشانک‌های ضیف</w:t>
      </w:r>
      <w:r w:rsidRPr="0025250D">
        <w:rPr>
          <w:vertAlign w:val="superscript"/>
          <w:rtl/>
        </w:rPr>
        <w:footnoteReference w:id="2725"/>
      </w:r>
      <w:r w:rsidRPr="0025250D">
        <w:rPr>
          <w:rFonts w:hint="cs"/>
          <w:rtl/>
        </w:rPr>
        <w:t>)</w:t>
      </w:r>
    </w:p>
    <w:p w14:paraId="5E3B3609" w14:textId="1A8A97ED" w:rsidR="00537CC8" w:rsidRPr="0025250D" w:rsidRDefault="00537CC8" w:rsidP="00537CC8">
      <w:pPr>
        <w:rPr>
          <w:rtl/>
        </w:rPr>
      </w:pPr>
      <w:r w:rsidRPr="0025250D">
        <w:rPr>
          <w:rFonts w:hint="cs"/>
          <w:rtl/>
        </w:rPr>
        <w:t>شناسایی رویداد‌هایی (برای تحلیل</w:t>
      </w:r>
      <w:r w:rsidR="0008779C" w:rsidRPr="0025250D">
        <w:rPr>
          <w:rFonts w:hint="cs"/>
          <w:rtl/>
        </w:rPr>
        <w:t xml:space="preserve"> بیش‌تر</w:t>
      </w:r>
      <w:r w:rsidRPr="0025250D">
        <w:rPr>
          <w:rFonts w:hint="cs"/>
          <w:rtl/>
        </w:rPr>
        <w:t>) که می‌توانند به مشکلات یا فرصت‌های احتمالی تبدیل شوند.</w:t>
      </w:r>
    </w:p>
    <w:p w14:paraId="2094E74A" w14:textId="77777777" w:rsidR="00537CC8" w:rsidRPr="0025250D" w:rsidRDefault="00537CC8" w:rsidP="00537CC8">
      <w:pPr>
        <w:rPr>
          <w:rtl/>
        </w:rPr>
      </w:pPr>
      <w:r w:rsidRPr="0025250D">
        <w:rPr>
          <w:rFonts w:hint="cs"/>
          <w:rtl/>
        </w:rPr>
        <w:t>پویش محیطی</w:t>
      </w:r>
      <w:r w:rsidRPr="0025250D">
        <w:rPr>
          <w:vertAlign w:val="superscript"/>
          <w:rtl/>
        </w:rPr>
        <w:footnoteReference w:id="2726"/>
      </w:r>
    </w:p>
    <w:p w14:paraId="0B79CA91" w14:textId="77777777" w:rsidR="00537CC8" w:rsidRPr="0025250D" w:rsidRDefault="00537CC8" w:rsidP="00537CC8">
      <w:pPr>
        <w:rPr>
          <w:rtl/>
        </w:rPr>
      </w:pPr>
      <w:r w:rsidRPr="0025250D">
        <w:rPr>
          <w:rFonts w:hint="cs"/>
          <w:rtl/>
        </w:rPr>
        <w:t>فرایند‌هایی برای یافتن و پایش اخبار و رویداد‌های خارجی احتمالی مرتبط با سازمان مشتری.</w:t>
      </w:r>
    </w:p>
    <w:p w14:paraId="5A5CD77E" w14:textId="77777777" w:rsidR="00537CC8" w:rsidRPr="0025250D" w:rsidRDefault="00537CC8" w:rsidP="00537CC8">
      <w:pPr>
        <w:rPr>
          <w:rtl/>
        </w:rPr>
      </w:pPr>
      <w:r w:rsidRPr="0025250D">
        <w:rPr>
          <w:rFonts w:hint="cs"/>
          <w:rtl/>
        </w:rPr>
        <w:t>یادگیری بازه ای</w:t>
      </w:r>
      <w:r w:rsidRPr="0025250D">
        <w:rPr>
          <w:vertAlign w:val="superscript"/>
          <w:rtl/>
        </w:rPr>
        <w:footnoteReference w:id="2727"/>
      </w:r>
      <w:r w:rsidRPr="0025250D">
        <w:rPr>
          <w:rFonts w:hint="cs"/>
          <w:rtl/>
        </w:rPr>
        <w:t xml:space="preserve"> (یادگیری اسپرینت</w:t>
      </w:r>
      <w:r w:rsidRPr="0025250D">
        <w:rPr>
          <w:vertAlign w:val="superscript"/>
          <w:rtl/>
        </w:rPr>
        <w:footnoteReference w:id="2728"/>
      </w:r>
      <w:r w:rsidRPr="0025250D">
        <w:rPr>
          <w:rFonts w:hint="cs"/>
          <w:rtl/>
        </w:rPr>
        <w:t>)</w:t>
      </w:r>
    </w:p>
    <w:p w14:paraId="36C3ED2B" w14:textId="737803DD" w:rsidR="00537CC8" w:rsidRPr="0025250D" w:rsidRDefault="00537CC8" w:rsidP="00537CC8">
      <w:pPr>
        <w:rPr>
          <w:rtl/>
        </w:rPr>
      </w:pPr>
      <w:r w:rsidRPr="0025250D">
        <w:rPr>
          <w:rFonts w:hint="cs"/>
          <w:rtl/>
        </w:rPr>
        <w:t xml:space="preserve">اسپرینت‌های یادگیری </w:t>
      </w:r>
      <w:r w:rsidR="00A20CCB" w:rsidRPr="0025250D">
        <w:rPr>
          <w:rFonts w:hint="cs"/>
          <w:rtl/>
        </w:rPr>
        <w:t>زمان‌بندی</w:t>
      </w:r>
      <w:r w:rsidRPr="0025250D">
        <w:rPr>
          <w:rFonts w:hint="cs"/>
          <w:rtl/>
        </w:rPr>
        <w:t xml:space="preserve"> شده، با یادداشت برداری، مرور و </w:t>
      </w:r>
      <w:r w:rsidR="00274907" w:rsidRPr="0025250D">
        <w:rPr>
          <w:rFonts w:hint="cs"/>
          <w:rtl/>
        </w:rPr>
        <w:t>به‌اشتراک‌گذار</w:t>
      </w:r>
      <w:r w:rsidRPr="0025250D">
        <w:rPr>
          <w:rFonts w:hint="cs"/>
          <w:rtl/>
        </w:rPr>
        <w:t>ی، استراحت/بازیابی و سپس اسپرینت‌های مطالعه بعدی. تکرار فاصله دار</w:t>
      </w:r>
      <w:r w:rsidRPr="0025250D">
        <w:rPr>
          <w:vertAlign w:val="superscript"/>
          <w:rtl/>
        </w:rPr>
        <w:footnoteReference w:id="2729"/>
      </w:r>
      <w:r w:rsidRPr="0025250D">
        <w:rPr>
          <w:rFonts w:hint="cs"/>
          <w:rtl/>
        </w:rPr>
        <w:t xml:space="preserve"> یکی از انواع یادگیری بازه‌ای است. سبب ایجاد سرعت و ظرفیت یادگیری، درست مانند تمرین ورزشی بازه‌ای می‌شود.</w:t>
      </w:r>
    </w:p>
    <w:p w14:paraId="156E4FC8" w14:textId="77777777" w:rsidR="00537CC8" w:rsidRPr="0025250D" w:rsidRDefault="00537CC8" w:rsidP="00537CC8">
      <w:pPr>
        <w:rPr>
          <w:rtl/>
        </w:rPr>
      </w:pPr>
      <w:r w:rsidRPr="0025250D">
        <w:rPr>
          <w:rFonts w:hint="cs"/>
          <w:rtl/>
        </w:rPr>
        <w:t>مصاحبه ها</w:t>
      </w:r>
      <w:r w:rsidRPr="0025250D">
        <w:rPr>
          <w:vertAlign w:val="superscript"/>
          <w:rtl/>
        </w:rPr>
        <w:footnoteReference w:id="2730"/>
      </w:r>
    </w:p>
    <w:p w14:paraId="43F7783C" w14:textId="09854046" w:rsidR="00537CC8" w:rsidRPr="0025250D" w:rsidRDefault="00537CC8" w:rsidP="00537CC8">
      <w:pPr>
        <w:rPr>
          <w:rtl/>
        </w:rPr>
      </w:pPr>
      <w:r w:rsidRPr="0025250D">
        <w:rPr>
          <w:rFonts w:hint="cs"/>
          <w:rtl/>
        </w:rPr>
        <w:t xml:space="preserve">یک ابزار تحقیقاتی عمدتا کیفی برای </w:t>
      </w:r>
      <w:r w:rsidR="00B124DE" w:rsidRPr="0025250D">
        <w:rPr>
          <w:rFonts w:hint="cs"/>
          <w:rtl/>
        </w:rPr>
        <w:t>جمع‌آوری</w:t>
      </w:r>
      <w:r w:rsidRPr="0025250D">
        <w:rPr>
          <w:rFonts w:hint="cs"/>
          <w:rtl/>
        </w:rPr>
        <w:t xml:space="preserve"> اطلاعات محاوره‌ای از سوژه‌های انسانی.</w:t>
      </w:r>
    </w:p>
    <w:p w14:paraId="07CC61B4" w14:textId="77777777" w:rsidR="00537CC8" w:rsidRPr="0025250D" w:rsidRDefault="00537CC8" w:rsidP="00537CC8">
      <w:pPr>
        <w:rPr>
          <w:rtl/>
        </w:rPr>
      </w:pPr>
      <w:r w:rsidRPr="0025250D">
        <w:rPr>
          <w:rFonts w:hint="cs"/>
          <w:rtl/>
        </w:rPr>
        <w:t>روزنامه</w:t>
      </w:r>
      <w:r w:rsidRPr="0025250D">
        <w:rPr>
          <w:rtl/>
        </w:rPr>
        <w:t xml:space="preserve"> </w:t>
      </w:r>
      <w:r w:rsidRPr="0025250D">
        <w:rPr>
          <w:rFonts w:hint="cs"/>
          <w:rtl/>
        </w:rPr>
        <w:t>نگاری و دفترچه خاطرات</w:t>
      </w:r>
      <w:r w:rsidRPr="0025250D">
        <w:rPr>
          <w:vertAlign w:val="superscript"/>
          <w:rtl/>
        </w:rPr>
        <w:footnoteReference w:id="2731"/>
      </w:r>
    </w:p>
    <w:p w14:paraId="46CCE9F1" w14:textId="77777777" w:rsidR="00537CC8" w:rsidRPr="0025250D" w:rsidRDefault="00537CC8" w:rsidP="00537CC8">
      <w:pPr>
        <w:rPr>
          <w:rtl/>
        </w:rPr>
      </w:pPr>
      <w:r w:rsidRPr="0025250D">
        <w:rPr>
          <w:rFonts w:hint="cs"/>
          <w:rtl/>
        </w:rPr>
        <w:t>روش‌ها و نرم افزار‌هایی برای گزارش دهی و خود ارزیابی اقدامات روزانه خود. به ما امکان می‌دهد که درمورد خودمان بیاموزیم.</w:t>
      </w:r>
    </w:p>
    <w:p w14:paraId="3E379B31" w14:textId="77777777" w:rsidR="00537CC8" w:rsidRPr="0025250D" w:rsidRDefault="00537CC8" w:rsidP="00537CC8">
      <w:pPr>
        <w:rPr>
          <w:rtl/>
        </w:rPr>
      </w:pPr>
      <w:r w:rsidRPr="0025250D">
        <w:rPr>
          <w:rFonts w:hint="cs"/>
          <w:rtl/>
        </w:rPr>
        <w:t>پلتفرم‌های مدیریت دانش</w:t>
      </w:r>
      <w:r w:rsidRPr="0025250D">
        <w:rPr>
          <w:vertAlign w:val="superscript"/>
          <w:rtl/>
        </w:rPr>
        <w:footnoteReference w:id="2732"/>
      </w:r>
    </w:p>
    <w:p w14:paraId="76497C11" w14:textId="77777777" w:rsidR="00537CC8" w:rsidRPr="0025250D" w:rsidRDefault="00537CC8" w:rsidP="00537CC8">
      <w:pPr>
        <w:rPr>
          <w:rtl/>
        </w:rPr>
      </w:pPr>
      <w:r w:rsidRPr="0025250D">
        <w:rPr>
          <w:rFonts w:hint="cs"/>
          <w:rtl/>
        </w:rPr>
        <w:t>روش‌ها و نرم افزار‌هایی برای اکتساب</w:t>
      </w:r>
      <w:r w:rsidRPr="0025250D">
        <w:rPr>
          <w:vertAlign w:val="superscript"/>
          <w:rtl/>
        </w:rPr>
        <w:footnoteReference w:id="2733"/>
      </w:r>
      <w:r w:rsidRPr="0025250D">
        <w:rPr>
          <w:rFonts w:hint="cs"/>
          <w:rtl/>
        </w:rPr>
        <w:t>، ترسیم، پایش، فیلتر کردن و تعیین مسیر مرتبط با دانش سازمانی.</w:t>
      </w:r>
    </w:p>
    <w:p w14:paraId="7C298D23" w14:textId="77777777" w:rsidR="00537CC8" w:rsidRPr="0025250D" w:rsidRDefault="00537CC8" w:rsidP="00537CC8">
      <w:pPr>
        <w:rPr>
          <w:rtl/>
        </w:rPr>
      </w:pPr>
      <w:r w:rsidRPr="0025250D">
        <w:rPr>
          <w:rFonts w:hint="cs"/>
          <w:rtl/>
        </w:rPr>
        <w:t>توسعه رهبری</w:t>
      </w:r>
      <w:r w:rsidRPr="0025250D">
        <w:rPr>
          <w:vertAlign w:val="superscript"/>
          <w:rtl/>
        </w:rPr>
        <w:footnoteReference w:id="2734"/>
      </w:r>
    </w:p>
    <w:p w14:paraId="61186662" w14:textId="77777777" w:rsidR="00537CC8" w:rsidRPr="0025250D" w:rsidRDefault="00537CC8" w:rsidP="00537CC8">
      <w:pPr>
        <w:rPr>
          <w:rtl/>
        </w:rPr>
      </w:pPr>
      <w:r w:rsidRPr="0025250D">
        <w:rPr>
          <w:rFonts w:hint="cs"/>
          <w:rtl/>
        </w:rPr>
        <w:t>آموزش و روش‌هایی برای توسعه مدیران و تبدیل آن‌ها به رهبران در کارکردهای کانونی شرکت.</w:t>
      </w:r>
    </w:p>
    <w:p w14:paraId="001CA262" w14:textId="77777777" w:rsidR="00537CC8" w:rsidRPr="0025250D" w:rsidRDefault="00537CC8" w:rsidP="00537CC8">
      <w:pPr>
        <w:rPr>
          <w:rtl/>
        </w:rPr>
      </w:pPr>
      <w:r w:rsidRPr="0025250D">
        <w:rPr>
          <w:rFonts w:hint="cs"/>
          <w:rtl/>
        </w:rPr>
        <w:t>مرور ادبیات</w:t>
      </w:r>
      <w:r w:rsidRPr="0025250D">
        <w:rPr>
          <w:vertAlign w:val="superscript"/>
          <w:rtl/>
        </w:rPr>
        <w:footnoteReference w:id="2735"/>
      </w:r>
    </w:p>
    <w:p w14:paraId="658E48D7" w14:textId="77777777" w:rsidR="00537CC8" w:rsidRPr="0025250D" w:rsidRDefault="00537CC8" w:rsidP="00537CC8">
      <w:pPr>
        <w:rPr>
          <w:rtl/>
        </w:rPr>
      </w:pPr>
      <w:r w:rsidRPr="0025250D">
        <w:rPr>
          <w:rFonts w:hint="cs"/>
          <w:rtl/>
        </w:rPr>
        <w:t>خلاصه‌ای از دانش نظری، روشمند یا عملی درمورد یک سوژه.</w:t>
      </w:r>
    </w:p>
    <w:p w14:paraId="1E8D45A3" w14:textId="1CBA46A5" w:rsidR="00537CC8" w:rsidRPr="0025250D" w:rsidRDefault="00537CC8" w:rsidP="002C61FC">
      <w:pPr>
        <w:rPr>
          <w:rtl/>
        </w:rPr>
      </w:pPr>
      <w:r w:rsidRPr="0025250D">
        <w:rPr>
          <w:rFonts w:hint="cs"/>
          <w:rtl/>
        </w:rPr>
        <w:t xml:space="preserve">هوش اندازه گیری و </w:t>
      </w:r>
      <w:r w:rsidR="002C61FC" w:rsidRPr="0025250D">
        <w:rPr>
          <w:rFonts w:hint="cs"/>
          <w:rtl/>
        </w:rPr>
        <w:t>نشانک</w:t>
      </w:r>
      <w:r w:rsidRPr="0025250D">
        <w:rPr>
          <w:rFonts w:hint="cs"/>
          <w:rtl/>
        </w:rPr>
        <w:t xml:space="preserve"> ها</w:t>
      </w:r>
      <w:r w:rsidRPr="0025250D">
        <w:rPr>
          <w:vertAlign w:val="superscript"/>
          <w:rtl/>
        </w:rPr>
        <w:footnoteReference w:id="2736"/>
      </w:r>
    </w:p>
    <w:p w14:paraId="2CB544CC" w14:textId="77777777" w:rsidR="00537CC8" w:rsidRPr="0025250D" w:rsidRDefault="00537CC8" w:rsidP="00537CC8">
      <w:pPr>
        <w:rPr>
          <w:rtl/>
        </w:rPr>
      </w:pPr>
      <w:r w:rsidRPr="0025250D">
        <w:rPr>
          <w:rFonts w:hint="cs"/>
          <w:rtl/>
        </w:rPr>
        <w:t>دانش کسب شده با حس کردن و اندازه گیری فعالیت محیطی و پایش ارتباطات.</w:t>
      </w:r>
    </w:p>
    <w:p w14:paraId="411D23FF" w14:textId="3134F93D" w:rsidR="00537CC8" w:rsidRPr="0025250D" w:rsidRDefault="001F5BB0" w:rsidP="00537CC8">
      <w:pPr>
        <w:rPr>
          <w:rtl/>
        </w:rPr>
      </w:pPr>
      <w:r w:rsidRPr="0025250D">
        <w:rPr>
          <w:rtl/>
        </w:rPr>
        <w:t>پس‌آ</w:t>
      </w:r>
      <w:r w:rsidRPr="0025250D">
        <w:rPr>
          <w:rFonts w:hint="cs"/>
          <w:rtl/>
        </w:rPr>
        <w:t>ی</w:t>
      </w:r>
      <w:r w:rsidRPr="0025250D">
        <w:rPr>
          <w:rFonts w:hint="eastAsia"/>
          <w:rtl/>
        </w:rPr>
        <w:t>نده‌گرا</w:t>
      </w:r>
      <w:r w:rsidRPr="0025250D">
        <w:rPr>
          <w:rFonts w:hint="cs"/>
          <w:rtl/>
        </w:rPr>
        <w:t>یی</w:t>
      </w:r>
      <w:r w:rsidR="00537CC8" w:rsidRPr="0025250D">
        <w:rPr>
          <w:vertAlign w:val="superscript"/>
          <w:rtl/>
        </w:rPr>
        <w:footnoteReference w:id="2737"/>
      </w:r>
      <w:r w:rsidR="00537CC8" w:rsidRPr="0025250D">
        <w:rPr>
          <w:rFonts w:hint="cs"/>
          <w:rtl/>
        </w:rPr>
        <w:t xml:space="preserve"> (تحلیل </w:t>
      </w:r>
      <w:r w:rsidR="00537CC8" w:rsidRPr="0025250D">
        <w:rPr>
          <w:rtl/>
        </w:rPr>
        <w:t>آینده‌نگاری</w:t>
      </w:r>
      <w:r w:rsidR="00537CC8" w:rsidRPr="0025250D">
        <w:rPr>
          <w:rFonts w:hint="cs"/>
          <w:rtl/>
        </w:rPr>
        <w:t xml:space="preserve"> تاریخی)</w:t>
      </w:r>
    </w:p>
    <w:p w14:paraId="15FAB7F8" w14:textId="77777777" w:rsidR="00537CC8" w:rsidRPr="0025250D" w:rsidRDefault="00537CC8" w:rsidP="00537CC8">
      <w:pPr>
        <w:rPr>
          <w:rtl/>
        </w:rPr>
      </w:pPr>
      <w:r w:rsidRPr="0025250D">
        <w:rPr>
          <w:rFonts w:hint="cs"/>
          <w:rtl/>
        </w:rPr>
        <w:t>مطالعه تاریخچه لیتانی‌ها، مدل‌ها، پیش‌بینی‌ها و تصویر سازی ها.</w:t>
      </w:r>
    </w:p>
    <w:p w14:paraId="4E705FC3" w14:textId="25E931BE" w:rsidR="00537CC8" w:rsidRPr="0025250D" w:rsidRDefault="00537CC8" w:rsidP="00537CC8">
      <w:pPr>
        <w:rPr>
          <w:rtl/>
        </w:rPr>
      </w:pPr>
      <w:r w:rsidRPr="0025250D">
        <w:rPr>
          <w:rFonts w:hint="cs"/>
          <w:rtl/>
        </w:rPr>
        <w:t xml:space="preserve">روش </w:t>
      </w:r>
      <w:r w:rsidR="008D6F97" w:rsidRPr="0025250D">
        <w:rPr>
          <w:rFonts w:hint="cs"/>
          <w:rtl/>
        </w:rPr>
        <w:t>سامانه‌</w:t>
      </w:r>
      <w:r w:rsidRPr="0025250D">
        <w:rPr>
          <w:rFonts w:hint="cs"/>
          <w:rtl/>
        </w:rPr>
        <w:t>‌های نرم</w:t>
      </w:r>
      <w:r w:rsidRPr="0025250D">
        <w:rPr>
          <w:vertAlign w:val="superscript"/>
          <w:rtl/>
        </w:rPr>
        <w:footnoteReference w:id="2738"/>
      </w:r>
    </w:p>
    <w:p w14:paraId="48169E4C" w14:textId="66C054E2" w:rsidR="00537CC8" w:rsidRPr="0025250D" w:rsidRDefault="00537CC8" w:rsidP="00537CC8">
      <w:pPr>
        <w:rPr>
          <w:rtl/>
        </w:rPr>
      </w:pPr>
      <w:r w:rsidRPr="0025250D">
        <w:rPr>
          <w:rFonts w:hint="cs"/>
          <w:rtl/>
        </w:rPr>
        <w:t xml:space="preserve">روشی برای مدلسازی </w:t>
      </w:r>
      <w:r w:rsidR="008D6F97" w:rsidRPr="0025250D">
        <w:rPr>
          <w:rFonts w:hint="cs"/>
          <w:rtl/>
        </w:rPr>
        <w:t>سامانه‌</w:t>
      </w:r>
      <w:r w:rsidRPr="0025250D">
        <w:rPr>
          <w:rFonts w:hint="cs"/>
          <w:rtl/>
        </w:rPr>
        <w:t>‌هایی که از رویکردهای جستجوی توافق جمعی و غیر کمّی استفاده می‌کنند.</w:t>
      </w:r>
    </w:p>
    <w:p w14:paraId="26C39703" w14:textId="77777777" w:rsidR="00537CC8" w:rsidRPr="0025250D" w:rsidRDefault="00537CC8" w:rsidP="00537CC8">
      <w:pPr>
        <w:rPr>
          <w:rtl/>
        </w:rPr>
      </w:pPr>
      <w:r w:rsidRPr="0025250D">
        <w:rPr>
          <w:rFonts w:hint="cs"/>
          <w:rtl/>
        </w:rPr>
        <w:t>پیمایش و رأی گیری نظرات</w:t>
      </w:r>
      <w:r w:rsidRPr="0025250D">
        <w:rPr>
          <w:vertAlign w:val="superscript"/>
          <w:rtl/>
        </w:rPr>
        <w:footnoteReference w:id="2739"/>
      </w:r>
    </w:p>
    <w:p w14:paraId="388519EB" w14:textId="77777777" w:rsidR="00537CC8" w:rsidRPr="0025250D" w:rsidRDefault="00537CC8" w:rsidP="00537CC8">
      <w:pPr>
        <w:rPr>
          <w:rtl/>
        </w:rPr>
      </w:pPr>
      <w:r w:rsidRPr="0025250D">
        <w:rPr>
          <w:rFonts w:hint="cs"/>
          <w:rtl/>
        </w:rPr>
        <w:t>رأی گیری برای داده‌های گروهی کمّی و کیفی. پیمایش‌های آماری از مشخصات یک جمعیت.</w:t>
      </w:r>
    </w:p>
    <w:p w14:paraId="65401F51" w14:textId="47515727" w:rsidR="00537CC8" w:rsidRPr="0025250D" w:rsidRDefault="00537CC8" w:rsidP="00537CC8">
      <w:pPr>
        <w:rPr>
          <w:rtl/>
        </w:rPr>
      </w:pPr>
      <w:r w:rsidRPr="0025250D">
        <w:rPr>
          <w:rFonts w:hint="cs"/>
          <w:rtl/>
        </w:rPr>
        <w:t xml:space="preserve">تفکر </w:t>
      </w:r>
      <w:r w:rsidR="008D6F97" w:rsidRPr="0025250D">
        <w:rPr>
          <w:rFonts w:hint="cs"/>
          <w:rtl/>
        </w:rPr>
        <w:t>سامانه‌ای</w:t>
      </w:r>
      <w:r w:rsidRPr="0025250D">
        <w:rPr>
          <w:vertAlign w:val="superscript"/>
          <w:rtl/>
        </w:rPr>
        <w:footnoteReference w:id="2740"/>
      </w:r>
    </w:p>
    <w:p w14:paraId="67FE432F" w14:textId="3F6C425B" w:rsidR="00537CC8" w:rsidRPr="0025250D" w:rsidRDefault="00537CC8" w:rsidP="00537CC8">
      <w:pPr>
        <w:rPr>
          <w:rtl/>
        </w:rPr>
      </w:pPr>
      <w:r w:rsidRPr="0025250D">
        <w:rPr>
          <w:rFonts w:hint="cs"/>
          <w:rtl/>
        </w:rPr>
        <w:t>ترسیم دامنه‌ها و مدلسازی عل</w:t>
      </w:r>
      <w:r w:rsidR="0061131C" w:rsidRPr="0025250D">
        <w:rPr>
          <w:rFonts w:hint="cs"/>
          <w:rtl/>
        </w:rPr>
        <w:t>ّ</w:t>
      </w:r>
      <w:r w:rsidRPr="0025250D">
        <w:rPr>
          <w:rFonts w:hint="cs"/>
          <w:rtl/>
        </w:rPr>
        <w:t xml:space="preserve">ی کیفی از موارد ثابت، جریانات و متغیر‌های بحرانی در </w:t>
      </w:r>
      <w:r w:rsidR="008D6F97" w:rsidRPr="0025250D">
        <w:rPr>
          <w:rFonts w:hint="cs"/>
          <w:rtl/>
        </w:rPr>
        <w:t>سامانه‌</w:t>
      </w:r>
      <w:r w:rsidRPr="0025250D">
        <w:rPr>
          <w:rFonts w:hint="cs"/>
          <w:rtl/>
        </w:rPr>
        <w:t xml:space="preserve"> مورد نظر.</w:t>
      </w:r>
    </w:p>
    <w:p w14:paraId="20645D55" w14:textId="77777777" w:rsidR="00537CC8" w:rsidRPr="0025250D" w:rsidRDefault="00537CC8" w:rsidP="00537CC8">
      <w:pPr>
        <w:rPr>
          <w:rtl/>
        </w:rPr>
      </w:pPr>
      <w:r w:rsidRPr="0025250D">
        <w:rPr>
          <w:rFonts w:hint="cs"/>
          <w:rtl/>
        </w:rPr>
        <w:t>هوش فنی</w:t>
      </w:r>
      <w:r w:rsidRPr="0025250D">
        <w:rPr>
          <w:vertAlign w:val="superscript"/>
          <w:rtl/>
        </w:rPr>
        <w:footnoteReference w:id="2741"/>
      </w:r>
    </w:p>
    <w:p w14:paraId="455D5800" w14:textId="14E7DDBB" w:rsidR="00537CC8" w:rsidRPr="0025250D" w:rsidRDefault="00B124DE" w:rsidP="00537CC8">
      <w:pPr>
        <w:rPr>
          <w:rtl/>
        </w:rPr>
      </w:pPr>
      <w:r w:rsidRPr="0025250D">
        <w:rPr>
          <w:rFonts w:hint="cs"/>
          <w:rtl/>
        </w:rPr>
        <w:t>جمع‌آوری</w:t>
      </w:r>
      <w:r w:rsidR="00537CC8" w:rsidRPr="0025250D">
        <w:rPr>
          <w:rFonts w:hint="cs"/>
          <w:rtl/>
        </w:rPr>
        <w:t xml:space="preserve">، تحلیل، استفاده از هوش و اطلاعت درمورد ظرفیت‌های آکادمیک، </w:t>
      </w:r>
      <w:r w:rsidRPr="0025250D">
        <w:rPr>
          <w:rFonts w:hint="cs"/>
          <w:rtl/>
        </w:rPr>
        <w:t>کسب‌و‌کار</w:t>
      </w:r>
      <w:r w:rsidR="00537CC8" w:rsidRPr="0025250D">
        <w:rPr>
          <w:rFonts w:hint="cs"/>
          <w:rtl/>
        </w:rPr>
        <w:t xml:space="preserve"> و دیگر ظرفیت‌های تحقیق و توسعه بازیگران.</w:t>
      </w:r>
    </w:p>
    <w:p w14:paraId="2905D4D6" w14:textId="77777777" w:rsidR="00537CC8" w:rsidRPr="0025250D" w:rsidRDefault="00537CC8" w:rsidP="00537CC8">
      <w:pPr>
        <w:rPr>
          <w:rtl/>
        </w:rPr>
      </w:pPr>
      <w:r w:rsidRPr="0025250D">
        <w:rPr>
          <w:rFonts w:hint="cs"/>
          <w:rtl/>
        </w:rPr>
        <w:t>ارزیابی خط پایین</w:t>
      </w:r>
      <w:r w:rsidRPr="0025250D">
        <w:rPr>
          <w:vertAlign w:val="superscript"/>
          <w:rtl/>
        </w:rPr>
        <w:footnoteReference w:id="2742"/>
      </w:r>
      <w:r w:rsidRPr="0025250D">
        <w:rPr>
          <w:rFonts w:hint="cs"/>
          <w:rtl/>
        </w:rPr>
        <w:t xml:space="preserve"> سه گانه (پایداری، مسئولیت اجتماعی)</w:t>
      </w:r>
    </w:p>
    <w:p w14:paraId="5FC2F19A" w14:textId="77777777" w:rsidR="00537CC8" w:rsidRPr="0025250D" w:rsidRDefault="00537CC8" w:rsidP="00537CC8">
      <w:pPr>
        <w:rPr>
          <w:rtl/>
        </w:rPr>
      </w:pPr>
      <w:r w:rsidRPr="0025250D">
        <w:rPr>
          <w:rFonts w:hint="cs"/>
          <w:rtl/>
        </w:rPr>
        <w:t>ارزشیابی سازمانی که منافع اجتماعی، محیطی و اقتصادی را ارزیابی می‌کند. نسخه‌های جدید آن حاکمیت (نمایندگان، شفافیت و اثربخشی) را برای یک ارزیابی خط پایین چهارگانه می‌افزایند.</w:t>
      </w:r>
    </w:p>
    <w:p w14:paraId="54BB954F" w14:textId="4FE9E079" w:rsidR="00537CC8" w:rsidRPr="0025250D" w:rsidRDefault="00537CC8" w:rsidP="003D3E0A">
      <w:pPr>
        <w:pStyle w:val="Heading3"/>
        <w:rPr>
          <w:rtl/>
        </w:rPr>
      </w:pPr>
      <w:r w:rsidRPr="0025250D">
        <w:rPr>
          <w:rFonts w:hint="cs"/>
          <w:rtl/>
        </w:rPr>
        <w:t xml:space="preserve">مهارت 2: روش‌های </w:t>
      </w:r>
      <w:r w:rsidR="00923DDB" w:rsidRPr="0025250D">
        <w:rPr>
          <w:rFonts w:hint="cs"/>
          <w:rtl/>
        </w:rPr>
        <w:t>پیش‌انگاری</w:t>
      </w:r>
      <w:r w:rsidRPr="0025250D">
        <w:rPr>
          <w:rFonts w:hint="cs"/>
          <w:rtl/>
        </w:rPr>
        <w:t xml:space="preserve"> (تفکر در مورد موارد احتمالی)</w:t>
      </w:r>
    </w:p>
    <w:p w14:paraId="3B5BD4E9" w14:textId="5B5B20E2" w:rsidR="00537CC8" w:rsidRPr="0025250D" w:rsidRDefault="00537CC8" w:rsidP="00537CC8">
      <w:pPr>
        <w:rPr>
          <w:rtl/>
        </w:rPr>
      </w:pPr>
      <w:r w:rsidRPr="0025250D">
        <w:rPr>
          <w:rFonts w:hint="cs"/>
          <w:rtl/>
        </w:rPr>
        <w:t xml:space="preserve">علم </w:t>
      </w:r>
      <w:r w:rsidR="0030078C" w:rsidRPr="0025250D">
        <w:rPr>
          <w:rFonts w:hint="cs"/>
          <w:rtl/>
        </w:rPr>
        <w:t>بیم‌سنجی</w:t>
      </w:r>
      <w:r w:rsidRPr="0025250D">
        <w:rPr>
          <w:vertAlign w:val="superscript"/>
        </w:rPr>
        <w:footnoteReference w:id="2743"/>
      </w:r>
    </w:p>
    <w:p w14:paraId="4D03C6FC" w14:textId="628C64FB" w:rsidR="00537CC8" w:rsidRPr="0025250D" w:rsidRDefault="00B124DE" w:rsidP="00537CC8">
      <w:pPr>
        <w:rPr>
          <w:rtl/>
        </w:rPr>
      </w:pPr>
      <w:r w:rsidRPr="0025250D">
        <w:rPr>
          <w:rFonts w:hint="cs"/>
          <w:rtl/>
        </w:rPr>
        <w:t>جمع‌آوری</w:t>
      </w:r>
      <w:r w:rsidR="00537CC8" w:rsidRPr="0025250D">
        <w:rPr>
          <w:rFonts w:hint="cs"/>
          <w:rtl/>
        </w:rPr>
        <w:t xml:space="preserve"> داده‌های ریسک، </w:t>
      </w:r>
      <w:r w:rsidRPr="0025250D">
        <w:rPr>
          <w:rFonts w:hint="cs"/>
          <w:rtl/>
        </w:rPr>
        <w:t>شکل‌دهی</w:t>
      </w:r>
      <w:r w:rsidR="00537CC8" w:rsidRPr="0025250D">
        <w:rPr>
          <w:rFonts w:hint="cs"/>
          <w:rtl/>
        </w:rPr>
        <w:t xml:space="preserve"> دسته مرجع</w:t>
      </w:r>
      <w:r w:rsidR="00537CC8" w:rsidRPr="0025250D">
        <w:rPr>
          <w:vertAlign w:val="superscript"/>
          <w:rtl/>
        </w:rPr>
        <w:footnoteReference w:id="2744"/>
      </w:r>
      <w:r w:rsidR="00537CC8" w:rsidRPr="0025250D">
        <w:rPr>
          <w:rFonts w:hint="cs"/>
          <w:rtl/>
        </w:rPr>
        <w:t xml:space="preserve"> و دیگر روش‌های ارزیابی ریسک کمّی.</w:t>
      </w:r>
    </w:p>
    <w:p w14:paraId="24F5914F" w14:textId="77777777" w:rsidR="00537CC8" w:rsidRPr="0025250D" w:rsidRDefault="00537CC8" w:rsidP="00537CC8">
      <w:pPr>
        <w:rPr>
          <w:rtl/>
        </w:rPr>
      </w:pPr>
      <w:r w:rsidRPr="0025250D">
        <w:rPr>
          <w:rFonts w:hint="cs"/>
          <w:rtl/>
        </w:rPr>
        <w:t>فرایند تحلیل سلسله مراتبی</w:t>
      </w:r>
      <w:r w:rsidRPr="0025250D">
        <w:rPr>
          <w:vertAlign w:val="superscript"/>
          <w:rtl/>
        </w:rPr>
        <w:footnoteReference w:id="2745"/>
      </w:r>
    </w:p>
    <w:p w14:paraId="7BD43C6B" w14:textId="433B0870" w:rsidR="00537CC8" w:rsidRPr="0025250D" w:rsidRDefault="00537CC8" w:rsidP="00537CC8">
      <w:pPr>
        <w:rPr>
          <w:rtl/>
        </w:rPr>
      </w:pPr>
      <w:r w:rsidRPr="0025250D">
        <w:rPr>
          <w:rFonts w:hint="cs"/>
          <w:rtl/>
        </w:rPr>
        <w:t xml:space="preserve">استفاده از ترسیم سلسله مراتبی و مقایسه دو به دو برای تصمیم‌گیری، مدلسازی، </w:t>
      </w:r>
      <w:r w:rsidR="00FB6A7E" w:rsidRPr="0025250D">
        <w:rPr>
          <w:rFonts w:hint="cs"/>
          <w:rtl/>
        </w:rPr>
        <w:t>پیش‌نگری</w:t>
      </w:r>
      <w:r w:rsidRPr="0025250D">
        <w:rPr>
          <w:rFonts w:hint="cs"/>
          <w:rtl/>
        </w:rPr>
        <w:t xml:space="preserve"> کمّی</w:t>
      </w:r>
    </w:p>
    <w:p w14:paraId="181EC1F8" w14:textId="77777777" w:rsidR="00537CC8" w:rsidRPr="0025250D" w:rsidRDefault="00537CC8" w:rsidP="00537CC8">
      <w:pPr>
        <w:rPr>
          <w:rtl/>
        </w:rPr>
      </w:pPr>
      <w:r w:rsidRPr="0025250D">
        <w:rPr>
          <w:rFonts w:hint="cs"/>
          <w:rtl/>
        </w:rPr>
        <w:t>شناسایی سوگیری‌ها و کاهش سوگیری ها</w:t>
      </w:r>
      <w:r w:rsidRPr="0025250D">
        <w:rPr>
          <w:vertAlign w:val="superscript"/>
          <w:rtl/>
        </w:rPr>
        <w:footnoteReference w:id="2746"/>
      </w:r>
    </w:p>
    <w:p w14:paraId="6F040C8D" w14:textId="77777777" w:rsidR="00537CC8" w:rsidRPr="0025250D" w:rsidRDefault="00537CC8" w:rsidP="00537CC8">
      <w:pPr>
        <w:rPr>
          <w:rtl/>
        </w:rPr>
      </w:pPr>
      <w:r w:rsidRPr="0025250D">
        <w:rPr>
          <w:rFonts w:hint="cs"/>
          <w:rtl/>
        </w:rPr>
        <w:t xml:space="preserve">یافتن سوگیری‌های فرهنگی و شناختی در محیط </w:t>
      </w:r>
      <w:r w:rsidRPr="0025250D">
        <w:rPr>
          <w:rtl/>
        </w:rPr>
        <w:t>آینده‌نگاری</w:t>
      </w:r>
      <w:r w:rsidRPr="0025250D">
        <w:rPr>
          <w:rFonts w:hint="cs"/>
          <w:rtl/>
        </w:rPr>
        <w:t xml:space="preserve"> و تمرین‌هایی برای کاهش سوگیری.</w:t>
      </w:r>
    </w:p>
    <w:p w14:paraId="096265AD" w14:textId="0A90D474" w:rsidR="00537CC8" w:rsidRPr="0025250D" w:rsidRDefault="00537CC8" w:rsidP="00537CC8">
      <w:pPr>
        <w:rPr>
          <w:rtl/>
        </w:rPr>
      </w:pPr>
      <w:r w:rsidRPr="0025250D">
        <w:rPr>
          <w:rFonts w:hint="cs"/>
          <w:rtl/>
        </w:rPr>
        <w:t xml:space="preserve">مدلسازی علّی، تحلیل </w:t>
      </w:r>
      <w:r w:rsidR="008D6F97" w:rsidRPr="0025250D">
        <w:rPr>
          <w:rFonts w:hint="cs"/>
          <w:rtl/>
        </w:rPr>
        <w:t>سامانه‌</w:t>
      </w:r>
      <w:r w:rsidR="008D6F97" w:rsidRPr="0025250D">
        <w:rPr>
          <w:rtl/>
        </w:rPr>
        <w:t xml:space="preserve"> </w:t>
      </w:r>
      <w:r w:rsidRPr="0025250D">
        <w:rPr>
          <w:rFonts w:hint="cs"/>
          <w:rtl/>
        </w:rPr>
        <w:t>و شبیه سازی</w:t>
      </w:r>
      <w:r w:rsidRPr="0025250D">
        <w:rPr>
          <w:vertAlign w:val="superscript"/>
          <w:rtl/>
        </w:rPr>
        <w:footnoteReference w:id="2747"/>
      </w:r>
    </w:p>
    <w:p w14:paraId="1EE3596B" w14:textId="20E8A357" w:rsidR="00537CC8" w:rsidRPr="0025250D" w:rsidRDefault="00537CC8" w:rsidP="00537CC8">
      <w:pPr>
        <w:rPr>
          <w:rtl/>
        </w:rPr>
      </w:pPr>
      <w:r w:rsidRPr="0025250D">
        <w:rPr>
          <w:rFonts w:hint="cs"/>
          <w:rtl/>
        </w:rPr>
        <w:t xml:space="preserve">بازنمایی بازیگران و رفتارهای </w:t>
      </w:r>
      <w:r w:rsidR="008D6F97" w:rsidRPr="0025250D">
        <w:rPr>
          <w:rFonts w:hint="cs"/>
          <w:rtl/>
        </w:rPr>
        <w:t>سامانه‌</w:t>
      </w:r>
      <w:r w:rsidRPr="0025250D">
        <w:rPr>
          <w:rFonts w:hint="cs"/>
          <w:rtl/>
        </w:rPr>
        <w:t xml:space="preserve"> در مدل‌های علّی (مثلا مدل‌های مبتنی بر عامل)</w:t>
      </w:r>
    </w:p>
    <w:p w14:paraId="12EA20DC" w14:textId="77777777" w:rsidR="00537CC8" w:rsidRPr="0025250D" w:rsidRDefault="00537CC8" w:rsidP="00537CC8">
      <w:pPr>
        <w:rPr>
          <w:rtl/>
        </w:rPr>
      </w:pPr>
      <w:r w:rsidRPr="0025250D">
        <w:rPr>
          <w:rFonts w:hint="cs"/>
          <w:rtl/>
        </w:rPr>
        <w:t>دلفی</w:t>
      </w:r>
      <w:r w:rsidRPr="0025250D">
        <w:rPr>
          <w:vertAlign w:val="superscript"/>
          <w:rtl/>
        </w:rPr>
        <w:footnoteReference w:id="2748"/>
      </w:r>
    </w:p>
    <w:p w14:paraId="3AFB5A3C" w14:textId="77777777" w:rsidR="00537CC8" w:rsidRPr="0025250D" w:rsidRDefault="00537CC8" w:rsidP="00537CC8">
      <w:pPr>
        <w:rPr>
          <w:rtl/>
        </w:rPr>
      </w:pPr>
      <w:r w:rsidRPr="0025250D">
        <w:rPr>
          <w:rFonts w:hint="cs"/>
          <w:rtl/>
        </w:rPr>
        <w:t>روش کلاسیک برای جستجوی همگرایی گروه‌ها از طریق چرخه‌های نظر و بازخورد متوالی.</w:t>
      </w:r>
    </w:p>
    <w:p w14:paraId="57C1801E" w14:textId="77777777" w:rsidR="00537CC8" w:rsidRPr="0025250D" w:rsidRDefault="00537CC8" w:rsidP="00537CC8">
      <w:pPr>
        <w:rPr>
          <w:rtl/>
        </w:rPr>
      </w:pPr>
      <w:r w:rsidRPr="0025250D">
        <w:rPr>
          <w:rtl/>
        </w:rPr>
        <w:t>آینده‌نگاری</w:t>
      </w:r>
      <w:r w:rsidRPr="0025250D">
        <w:rPr>
          <w:rFonts w:hint="cs"/>
          <w:rtl/>
        </w:rPr>
        <w:t xml:space="preserve"> توسعه ای</w:t>
      </w:r>
      <w:r w:rsidRPr="0025250D">
        <w:rPr>
          <w:vertAlign w:val="superscript"/>
          <w:rtl/>
        </w:rPr>
        <w:footnoteReference w:id="2749"/>
      </w:r>
    </w:p>
    <w:p w14:paraId="355CF450" w14:textId="1775F55F" w:rsidR="00537CC8" w:rsidRPr="0025250D" w:rsidRDefault="00923DDB" w:rsidP="00537CC8">
      <w:pPr>
        <w:rPr>
          <w:rtl/>
        </w:rPr>
      </w:pPr>
      <w:r w:rsidRPr="0025250D">
        <w:rPr>
          <w:rFonts w:hint="cs"/>
          <w:rtl/>
        </w:rPr>
        <w:t>پیش‌انگاری</w:t>
      </w:r>
      <w:r w:rsidR="00537CC8" w:rsidRPr="0025250D">
        <w:rPr>
          <w:rFonts w:hint="cs"/>
          <w:rtl/>
        </w:rPr>
        <w:t xml:space="preserve"> روند‌ها و پدیده‌های بهینه، همگرا و برگشت ناپذیر در سطوح مختلف </w:t>
      </w:r>
      <w:r w:rsidR="008D6F97" w:rsidRPr="0025250D">
        <w:rPr>
          <w:rFonts w:hint="cs"/>
          <w:rtl/>
        </w:rPr>
        <w:t>سامانه‌</w:t>
      </w:r>
      <w:r w:rsidR="00537CC8" w:rsidRPr="0025250D">
        <w:rPr>
          <w:rFonts w:hint="cs"/>
          <w:rtl/>
        </w:rPr>
        <w:t>.</w:t>
      </w:r>
    </w:p>
    <w:p w14:paraId="4A156CBD" w14:textId="373A709B" w:rsidR="00537CC8" w:rsidRPr="0025250D" w:rsidRDefault="00923DDB" w:rsidP="00537CC8">
      <w:pPr>
        <w:rPr>
          <w:rtl/>
        </w:rPr>
      </w:pPr>
      <w:r w:rsidRPr="0025250D">
        <w:rPr>
          <w:rFonts w:hint="cs"/>
          <w:rtl/>
        </w:rPr>
        <w:t>پیش‌انگاری</w:t>
      </w:r>
      <w:r w:rsidR="00537CC8" w:rsidRPr="0025250D">
        <w:rPr>
          <w:rFonts w:hint="cs"/>
          <w:rtl/>
        </w:rPr>
        <w:t xml:space="preserve"> </w:t>
      </w:r>
      <w:r w:rsidRPr="0025250D">
        <w:rPr>
          <w:rFonts w:hint="cs"/>
          <w:rtl/>
        </w:rPr>
        <w:t>شگفتی‌ساز</w:t>
      </w:r>
      <w:r w:rsidR="00537CC8" w:rsidRPr="0025250D">
        <w:rPr>
          <w:rFonts w:hint="cs"/>
          <w:rtl/>
        </w:rPr>
        <w:t>‌ها و ناپیوستگی</w:t>
      </w:r>
      <w:r w:rsidR="00537CC8" w:rsidRPr="0025250D">
        <w:rPr>
          <w:vertAlign w:val="superscript"/>
          <w:rtl/>
        </w:rPr>
        <w:footnoteReference w:id="2750"/>
      </w:r>
    </w:p>
    <w:p w14:paraId="32F97A09" w14:textId="77777777" w:rsidR="00537CC8" w:rsidRPr="0025250D" w:rsidRDefault="00537CC8" w:rsidP="00537CC8">
      <w:pPr>
        <w:rPr>
          <w:rtl/>
        </w:rPr>
      </w:pPr>
      <w:r w:rsidRPr="0025250D">
        <w:rPr>
          <w:rFonts w:hint="cs"/>
          <w:rtl/>
        </w:rPr>
        <w:t>یافتن معکوس روندها/ناپیوستگی‌های کلیدی و رویداد‌های دارای احتمال کم و با تأثیر (مثبت یا منفی) بالا.</w:t>
      </w:r>
    </w:p>
    <w:p w14:paraId="27CB69E9" w14:textId="7B856047" w:rsidR="00537CC8" w:rsidRPr="0025250D" w:rsidRDefault="00537CC8" w:rsidP="00537CC8">
      <w:pPr>
        <w:rPr>
          <w:rtl/>
        </w:rPr>
      </w:pPr>
      <w:r w:rsidRPr="0025250D">
        <w:rPr>
          <w:rtl/>
        </w:rPr>
        <w:t>آینده‌نگاری</w:t>
      </w:r>
      <w:r w:rsidRPr="0025250D">
        <w:rPr>
          <w:rFonts w:hint="cs"/>
          <w:rtl/>
        </w:rPr>
        <w:t xml:space="preserve"> تکاملی</w:t>
      </w:r>
      <w:r w:rsidRPr="0025250D">
        <w:rPr>
          <w:vertAlign w:val="superscript"/>
          <w:rtl/>
        </w:rPr>
        <w:footnoteReference w:id="2751"/>
      </w:r>
    </w:p>
    <w:p w14:paraId="41AAE3CA" w14:textId="59F615FE" w:rsidR="00537CC8" w:rsidRPr="0025250D" w:rsidRDefault="00537CC8" w:rsidP="00537CC8">
      <w:pPr>
        <w:rPr>
          <w:rtl/>
        </w:rPr>
      </w:pPr>
      <w:r w:rsidRPr="0025250D">
        <w:rPr>
          <w:rFonts w:hint="cs"/>
          <w:rtl/>
        </w:rPr>
        <w:t>شناسایی فرایند‌های تغییر خلاق، واگرا و غیر قابل پیش‌بینی، در سطوح</w:t>
      </w:r>
      <w:r w:rsidRPr="0025250D">
        <w:rPr>
          <w:rtl/>
        </w:rPr>
        <w:t xml:space="preserve"> </w:t>
      </w:r>
      <w:r w:rsidRPr="0025250D">
        <w:rPr>
          <w:rFonts w:hint="cs"/>
          <w:rtl/>
        </w:rPr>
        <w:t>مختلف</w:t>
      </w:r>
      <w:r w:rsidRPr="0025250D">
        <w:rPr>
          <w:rtl/>
        </w:rPr>
        <w:t xml:space="preserve"> </w:t>
      </w:r>
      <w:r w:rsidR="008D6F97" w:rsidRPr="0025250D">
        <w:rPr>
          <w:rFonts w:hint="cs"/>
          <w:rtl/>
        </w:rPr>
        <w:t>سامانه‌</w:t>
      </w:r>
      <w:r w:rsidRPr="0025250D">
        <w:rPr>
          <w:rFonts w:hint="cs"/>
          <w:rtl/>
        </w:rPr>
        <w:t>.</w:t>
      </w:r>
    </w:p>
    <w:p w14:paraId="53F1958C" w14:textId="3399530A" w:rsidR="00537CC8" w:rsidRPr="0025250D" w:rsidRDefault="00537CC8" w:rsidP="00537CC8">
      <w:pPr>
        <w:rPr>
          <w:rtl/>
        </w:rPr>
      </w:pPr>
      <w:r w:rsidRPr="0025250D">
        <w:rPr>
          <w:rFonts w:hint="cs"/>
          <w:rtl/>
        </w:rPr>
        <w:t xml:space="preserve">تحلیل ارزش افزوده </w:t>
      </w:r>
      <w:r w:rsidR="00FB6A7E" w:rsidRPr="0025250D">
        <w:rPr>
          <w:rFonts w:hint="cs"/>
          <w:rtl/>
        </w:rPr>
        <w:t>پیش‌نگری</w:t>
      </w:r>
      <w:r w:rsidRPr="0025250D">
        <w:rPr>
          <w:vertAlign w:val="superscript"/>
          <w:rtl/>
        </w:rPr>
        <w:footnoteReference w:id="2752"/>
      </w:r>
      <w:r w:rsidRPr="0025250D">
        <w:rPr>
          <w:rFonts w:hint="cs"/>
          <w:rtl/>
        </w:rPr>
        <w:t xml:space="preserve"> (</w:t>
      </w:r>
      <w:r w:rsidRPr="0025250D">
        <w:t>FVA</w:t>
      </w:r>
      <w:r w:rsidRPr="0025250D">
        <w:rPr>
          <w:rFonts w:hint="cs"/>
          <w:rtl/>
        </w:rPr>
        <w:t>)</w:t>
      </w:r>
    </w:p>
    <w:p w14:paraId="7602FB8A" w14:textId="333473A1" w:rsidR="00537CC8" w:rsidRPr="0025250D" w:rsidRDefault="00537CC8" w:rsidP="00537CC8">
      <w:pPr>
        <w:rPr>
          <w:rtl/>
        </w:rPr>
      </w:pPr>
      <w:r w:rsidRPr="0025250D">
        <w:rPr>
          <w:rFonts w:hint="cs"/>
          <w:rtl/>
        </w:rPr>
        <w:t>ارزیابی پیش‌بینی مرتبط با فرضیه صفر</w:t>
      </w:r>
      <w:r w:rsidRPr="0025250D">
        <w:rPr>
          <w:vertAlign w:val="superscript"/>
          <w:rtl/>
        </w:rPr>
        <w:footnoteReference w:id="2753"/>
      </w:r>
      <w:r w:rsidRPr="0025250D">
        <w:rPr>
          <w:rFonts w:hint="cs"/>
          <w:rtl/>
        </w:rPr>
        <w:t xml:space="preserve">، برای دیدن این که آیا </w:t>
      </w:r>
      <w:r w:rsidR="00FB6A7E" w:rsidRPr="0025250D">
        <w:rPr>
          <w:rFonts w:hint="cs"/>
          <w:rtl/>
        </w:rPr>
        <w:t>پیش‌نگری</w:t>
      </w:r>
      <w:r w:rsidRPr="0025250D">
        <w:rPr>
          <w:rFonts w:hint="cs"/>
          <w:rtl/>
        </w:rPr>
        <w:t xml:space="preserve"> تیم در حقیقت از یک مدل ساده</w:t>
      </w:r>
      <w:r w:rsidRPr="0025250D">
        <w:rPr>
          <w:vertAlign w:val="superscript"/>
          <w:rtl/>
        </w:rPr>
        <w:footnoteReference w:id="2754"/>
      </w:r>
      <w:r w:rsidRPr="0025250D">
        <w:rPr>
          <w:rFonts w:hint="cs"/>
          <w:rtl/>
        </w:rPr>
        <w:t xml:space="preserve"> بهتر است یا خیر.</w:t>
      </w:r>
    </w:p>
    <w:p w14:paraId="6B78DB9C" w14:textId="77777777" w:rsidR="00537CC8" w:rsidRPr="0025250D" w:rsidRDefault="00537CC8" w:rsidP="00537CC8">
      <w:pPr>
        <w:rPr>
          <w:rtl/>
        </w:rPr>
      </w:pPr>
      <w:r w:rsidRPr="0025250D">
        <w:rPr>
          <w:rFonts w:hint="cs"/>
          <w:rtl/>
        </w:rPr>
        <w:t xml:space="preserve">کارگاه‌های </w:t>
      </w:r>
      <w:r w:rsidRPr="0025250D">
        <w:rPr>
          <w:rtl/>
        </w:rPr>
        <w:t>آینده‌نگاری</w:t>
      </w:r>
      <w:r w:rsidRPr="0025250D">
        <w:rPr>
          <w:vertAlign w:val="superscript"/>
          <w:rtl/>
        </w:rPr>
        <w:footnoteReference w:id="2755"/>
      </w:r>
    </w:p>
    <w:p w14:paraId="168DE0E4" w14:textId="77777777" w:rsidR="00537CC8" w:rsidRPr="0025250D" w:rsidRDefault="00537CC8" w:rsidP="00537CC8">
      <w:pPr>
        <w:rPr>
          <w:rtl/>
        </w:rPr>
      </w:pPr>
      <w:r w:rsidRPr="0025250D">
        <w:rPr>
          <w:rFonts w:hint="cs"/>
          <w:rtl/>
        </w:rPr>
        <w:t>روش‌های تسهیل گر و هنجاری مورد استفاده در گروه‌ها برای تولید حالت آینده مطلوب برای شرکت.</w:t>
      </w:r>
    </w:p>
    <w:p w14:paraId="5BF94FFC" w14:textId="2EA845F7" w:rsidR="00537CC8" w:rsidRPr="0025250D" w:rsidRDefault="00FB6A7E" w:rsidP="00537CC8">
      <w:pPr>
        <w:rPr>
          <w:rtl/>
        </w:rPr>
      </w:pPr>
      <w:r w:rsidRPr="0025250D">
        <w:rPr>
          <w:rFonts w:hint="cs"/>
          <w:rtl/>
        </w:rPr>
        <w:t>پیش‌نگری</w:t>
      </w:r>
      <w:r w:rsidR="00537CC8" w:rsidRPr="0025250D">
        <w:rPr>
          <w:rFonts w:hint="cs"/>
          <w:rtl/>
        </w:rPr>
        <w:t xml:space="preserve"> نبوغ آمیز (</w:t>
      </w:r>
      <w:r w:rsidR="00EE4B64" w:rsidRPr="0025250D">
        <w:rPr>
          <w:rFonts w:hint="cs"/>
          <w:rtl/>
        </w:rPr>
        <w:t>چشم‌اندازسازی</w:t>
      </w:r>
      <w:r w:rsidR="00537CC8" w:rsidRPr="0025250D">
        <w:rPr>
          <w:rFonts w:hint="cs"/>
          <w:rtl/>
        </w:rPr>
        <w:t xml:space="preserve"> نبوغ آمیز)</w:t>
      </w:r>
      <w:r w:rsidR="00537CC8" w:rsidRPr="0025250D">
        <w:rPr>
          <w:vertAlign w:val="superscript"/>
          <w:rtl/>
        </w:rPr>
        <w:footnoteReference w:id="2756"/>
      </w:r>
    </w:p>
    <w:p w14:paraId="067E697E" w14:textId="479149DE" w:rsidR="00537CC8" w:rsidRPr="0025250D" w:rsidRDefault="00537CC8" w:rsidP="00537CC8">
      <w:pPr>
        <w:rPr>
          <w:rtl/>
        </w:rPr>
      </w:pPr>
      <w:r w:rsidRPr="0025250D">
        <w:rPr>
          <w:rFonts w:hint="cs"/>
          <w:rtl/>
        </w:rPr>
        <w:t xml:space="preserve">از متخصصین مستعد و شناخته شده برای پیش‌بینی‌ها یا </w:t>
      </w:r>
      <w:r w:rsidR="00B56611" w:rsidRPr="0025250D">
        <w:rPr>
          <w:rFonts w:hint="cs"/>
          <w:rtl/>
        </w:rPr>
        <w:t>چشم‌انداز</w:t>
      </w:r>
      <w:r w:rsidRPr="0025250D">
        <w:rPr>
          <w:rFonts w:hint="cs"/>
          <w:rtl/>
        </w:rPr>
        <w:t>‌های آرمانی، اغلب خارج از زمینه‌های خود درخواست می‌شود.</w:t>
      </w:r>
    </w:p>
    <w:p w14:paraId="3AA1AC50" w14:textId="07E72726" w:rsidR="00537CC8" w:rsidRPr="0025250D" w:rsidRDefault="00701E03" w:rsidP="00537CC8">
      <w:pPr>
        <w:rPr>
          <w:rtl/>
        </w:rPr>
      </w:pPr>
      <w:r w:rsidRPr="0025250D">
        <w:rPr>
          <w:rFonts w:hint="cs"/>
          <w:rtl/>
        </w:rPr>
        <w:t>راهبرد</w:t>
      </w:r>
      <w:r w:rsidR="00537CC8" w:rsidRPr="0025250D">
        <w:rPr>
          <w:rtl/>
        </w:rPr>
        <w:t xml:space="preserve"> </w:t>
      </w:r>
      <w:r w:rsidR="00537CC8" w:rsidRPr="0025250D">
        <w:rPr>
          <w:rFonts w:hint="cs"/>
          <w:rtl/>
        </w:rPr>
        <w:t>مالکیت</w:t>
      </w:r>
      <w:r w:rsidR="00537CC8" w:rsidRPr="0025250D">
        <w:rPr>
          <w:rtl/>
        </w:rPr>
        <w:t xml:space="preserve"> </w:t>
      </w:r>
      <w:r w:rsidR="00537CC8" w:rsidRPr="0025250D">
        <w:rPr>
          <w:rFonts w:hint="cs"/>
          <w:rtl/>
        </w:rPr>
        <w:t>فکری</w:t>
      </w:r>
      <w:r w:rsidR="00537CC8" w:rsidRPr="0025250D">
        <w:rPr>
          <w:vertAlign w:val="superscript"/>
          <w:rtl/>
        </w:rPr>
        <w:footnoteReference w:id="2757"/>
      </w:r>
    </w:p>
    <w:p w14:paraId="675C52F9" w14:textId="77777777" w:rsidR="00537CC8" w:rsidRPr="0025250D" w:rsidRDefault="00537CC8" w:rsidP="00537CC8">
      <w:pPr>
        <w:rPr>
          <w:rtl/>
        </w:rPr>
      </w:pPr>
      <w:r w:rsidRPr="0025250D">
        <w:rPr>
          <w:rFonts w:hint="cs"/>
          <w:rtl/>
        </w:rPr>
        <w:t>تکنیک‌های دفاعی یا تهاجمی برای خلق یا حفاظت از مالکیت فکری یک شرکت.</w:t>
      </w:r>
    </w:p>
    <w:p w14:paraId="5BE81976" w14:textId="77777777" w:rsidR="00537CC8" w:rsidRPr="0025250D" w:rsidRDefault="00537CC8" w:rsidP="00537CC8">
      <w:pPr>
        <w:rPr>
          <w:rtl/>
        </w:rPr>
      </w:pPr>
      <w:r w:rsidRPr="0025250D">
        <w:rPr>
          <w:rFonts w:hint="cs"/>
          <w:rtl/>
        </w:rPr>
        <w:t>منحنی‌های یادگیری</w:t>
      </w:r>
      <w:r w:rsidRPr="0025250D">
        <w:rPr>
          <w:vertAlign w:val="superscript"/>
          <w:rtl/>
        </w:rPr>
        <w:footnoteReference w:id="2758"/>
      </w:r>
    </w:p>
    <w:p w14:paraId="72259922" w14:textId="5258FDD3" w:rsidR="00537CC8" w:rsidRPr="0025250D" w:rsidRDefault="00537CC8" w:rsidP="00537CC8">
      <w:pPr>
        <w:rPr>
          <w:rtl/>
        </w:rPr>
      </w:pPr>
      <w:r w:rsidRPr="0025250D">
        <w:rPr>
          <w:rFonts w:hint="cs"/>
          <w:rtl/>
        </w:rPr>
        <w:t xml:space="preserve">مدلسازی منحنی‌های نمایی، قانون توانی، </w:t>
      </w:r>
      <w:r w:rsidRPr="0025250D">
        <w:t>S</w:t>
      </w:r>
      <w:r w:rsidRPr="0025250D">
        <w:rPr>
          <w:rFonts w:hint="cs"/>
          <w:rtl/>
        </w:rPr>
        <w:t xml:space="preserve"> شکل، </w:t>
      </w:r>
      <w:r w:rsidRPr="0025250D">
        <w:t>U</w:t>
      </w:r>
      <w:r w:rsidRPr="0025250D">
        <w:rPr>
          <w:rFonts w:hint="cs"/>
          <w:rtl/>
        </w:rPr>
        <w:t xml:space="preserve"> شکل</w:t>
      </w:r>
      <w:r w:rsidR="008D6F97" w:rsidRPr="0025250D">
        <w:rPr>
          <w:rtl/>
        </w:rPr>
        <w:t xml:space="preserve"> </w:t>
      </w:r>
      <w:r w:rsidRPr="0025250D">
        <w:rPr>
          <w:rFonts w:hint="cs"/>
          <w:rtl/>
        </w:rPr>
        <w:t>و تجربه ضمن جستجوی ناپیوستگی ها.</w:t>
      </w:r>
    </w:p>
    <w:p w14:paraId="2770A251" w14:textId="77777777" w:rsidR="00537CC8" w:rsidRPr="0025250D" w:rsidRDefault="00537CC8" w:rsidP="00537CC8">
      <w:pPr>
        <w:rPr>
          <w:rtl/>
        </w:rPr>
      </w:pPr>
      <w:r w:rsidRPr="0025250D">
        <w:rPr>
          <w:rFonts w:hint="cs"/>
          <w:rtl/>
        </w:rPr>
        <w:t>تحلیل پیش‌بینی</w:t>
      </w:r>
      <w:r w:rsidRPr="0025250D">
        <w:rPr>
          <w:vertAlign w:val="superscript"/>
          <w:rtl/>
        </w:rPr>
        <w:footnoteReference w:id="2759"/>
      </w:r>
    </w:p>
    <w:p w14:paraId="270FC5BC" w14:textId="49D58185" w:rsidR="00537CC8" w:rsidRPr="0025250D" w:rsidRDefault="00537CC8" w:rsidP="00537CC8">
      <w:pPr>
        <w:rPr>
          <w:rtl/>
        </w:rPr>
      </w:pPr>
      <w:r w:rsidRPr="0025250D">
        <w:rPr>
          <w:rFonts w:hint="cs"/>
          <w:rtl/>
        </w:rPr>
        <w:t>بررسی و سنجش پیش‌بینی‌های گذشته و ارزیابی روش‌ها، سوگیری‌ها، دقت و کاربرد (منفعت نسبت به هزینه ها) آن ها.</w:t>
      </w:r>
    </w:p>
    <w:p w14:paraId="23217BA4" w14:textId="77777777" w:rsidR="00537CC8" w:rsidRPr="0025250D" w:rsidRDefault="00537CC8" w:rsidP="00537CC8">
      <w:pPr>
        <w:rPr>
          <w:rtl/>
        </w:rPr>
      </w:pPr>
      <w:r w:rsidRPr="0025250D">
        <w:rPr>
          <w:rFonts w:hint="cs"/>
          <w:rtl/>
        </w:rPr>
        <w:t xml:space="preserve"> تجزیه</w:t>
      </w:r>
      <w:r w:rsidRPr="0025250D">
        <w:rPr>
          <w:rtl/>
        </w:rPr>
        <w:t xml:space="preserve"> </w:t>
      </w:r>
      <w:r w:rsidRPr="0025250D">
        <w:rPr>
          <w:rFonts w:hint="cs"/>
          <w:rtl/>
        </w:rPr>
        <w:t>و</w:t>
      </w:r>
      <w:r w:rsidRPr="0025250D">
        <w:rPr>
          <w:rtl/>
        </w:rPr>
        <w:t xml:space="preserve"> </w:t>
      </w:r>
      <w:r w:rsidRPr="0025250D">
        <w:rPr>
          <w:rFonts w:hint="cs"/>
          <w:rtl/>
        </w:rPr>
        <w:t>تحلیل</w:t>
      </w:r>
      <w:r w:rsidRPr="0025250D">
        <w:rPr>
          <w:rtl/>
        </w:rPr>
        <w:t xml:space="preserve"> </w:t>
      </w:r>
      <w:r w:rsidRPr="0025250D">
        <w:rPr>
          <w:rFonts w:hint="cs"/>
          <w:rtl/>
        </w:rPr>
        <w:t>پیش‌بین</w:t>
      </w:r>
      <w:r w:rsidRPr="0025250D">
        <w:rPr>
          <w:vertAlign w:val="superscript"/>
          <w:rtl/>
        </w:rPr>
        <w:footnoteReference w:id="2760"/>
      </w:r>
    </w:p>
    <w:p w14:paraId="5690FAD9" w14:textId="77777777" w:rsidR="00537CC8" w:rsidRPr="0025250D" w:rsidRDefault="00537CC8" w:rsidP="00537CC8">
      <w:pPr>
        <w:rPr>
          <w:rtl/>
        </w:rPr>
      </w:pPr>
      <w:r w:rsidRPr="0025250D">
        <w:rPr>
          <w:rFonts w:hint="cs"/>
          <w:rtl/>
        </w:rPr>
        <w:t>تکنیک‌هایی از آمار، مدلسازی، داده کاوی و یادگیری ماشین برای انجام پیش‌بینی‌های کمّی.</w:t>
      </w:r>
    </w:p>
    <w:p w14:paraId="12F4407C" w14:textId="77777777" w:rsidR="00537CC8" w:rsidRPr="0025250D" w:rsidRDefault="00537CC8" w:rsidP="00537CC8">
      <w:pPr>
        <w:rPr>
          <w:rtl/>
        </w:rPr>
      </w:pPr>
      <w:r w:rsidRPr="0025250D">
        <w:rPr>
          <w:rFonts w:hint="cs"/>
          <w:rtl/>
        </w:rPr>
        <w:t>بازارهای پیش‌بینی و پلتفرم‌های پیش‌بینی</w:t>
      </w:r>
      <w:r w:rsidRPr="0025250D">
        <w:rPr>
          <w:vertAlign w:val="superscript"/>
          <w:rtl/>
        </w:rPr>
        <w:footnoteReference w:id="2761"/>
      </w:r>
    </w:p>
    <w:p w14:paraId="3F5A8CDE" w14:textId="77777777" w:rsidR="00537CC8" w:rsidRPr="0025250D" w:rsidRDefault="00537CC8" w:rsidP="00537CC8">
      <w:pPr>
        <w:rPr>
          <w:rtl/>
        </w:rPr>
      </w:pPr>
      <w:r w:rsidRPr="0025250D">
        <w:rPr>
          <w:rFonts w:hint="cs"/>
          <w:rtl/>
        </w:rPr>
        <w:t>بازار‌ها و پلتفرم‌ها برای انجام پیش‌بینی‌ها و یافتن بهترین پیش‌بینی‌ها در هر حوزه.</w:t>
      </w:r>
    </w:p>
    <w:p w14:paraId="0FDB06DB" w14:textId="77777777" w:rsidR="00537CC8" w:rsidRPr="0025250D" w:rsidRDefault="00537CC8" w:rsidP="00537CC8">
      <w:pPr>
        <w:rPr>
          <w:rtl/>
        </w:rPr>
      </w:pPr>
      <w:r w:rsidRPr="0025250D">
        <w:rPr>
          <w:rFonts w:hint="cs"/>
          <w:rtl/>
        </w:rPr>
        <w:t>ارزیابی ویژگی‌های روانشناختی (مشخص کردن تیپ شخصیتی)</w:t>
      </w:r>
      <w:r w:rsidRPr="0025250D">
        <w:rPr>
          <w:vertAlign w:val="superscript"/>
          <w:rtl/>
        </w:rPr>
        <w:footnoteReference w:id="2762"/>
      </w:r>
    </w:p>
    <w:p w14:paraId="60A2A9BE" w14:textId="1ED6A54F" w:rsidR="00537CC8" w:rsidRPr="0025250D" w:rsidRDefault="00537CC8" w:rsidP="00537CC8">
      <w:pPr>
        <w:rPr>
          <w:rtl/>
        </w:rPr>
      </w:pPr>
      <w:r w:rsidRPr="0025250D">
        <w:rPr>
          <w:rFonts w:hint="cs"/>
          <w:rtl/>
        </w:rPr>
        <w:t>مدل‌های تشخیصی برای صفات روانشناختی قابل پیش‌بینی (</w:t>
      </w:r>
      <w:r w:rsidRPr="0025250D">
        <w:rPr>
          <w:rtl/>
        </w:rPr>
        <w:t>سنجش توانمند</w:t>
      </w:r>
      <w:r w:rsidRPr="0025250D">
        <w:rPr>
          <w:rFonts w:hint="cs"/>
          <w:rtl/>
        </w:rPr>
        <w:t>ی‌</w:t>
      </w:r>
      <w:r w:rsidRPr="0025250D">
        <w:rPr>
          <w:rFonts w:hint="eastAsia"/>
          <w:rtl/>
        </w:rPr>
        <w:t>ها</w:t>
      </w:r>
      <w:r w:rsidRPr="0025250D">
        <w:rPr>
          <w:vertAlign w:val="superscript"/>
          <w:rtl/>
        </w:rPr>
        <w:footnoteReference w:id="2763"/>
      </w:r>
      <w:r w:rsidRPr="0025250D">
        <w:rPr>
          <w:rFonts w:hint="cs"/>
          <w:rtl/>
        </w:rPr>
        <w:t xml:space="preserve">، </w:t>
      </w:r>
      <w:r w:rsidRPr="0025250D">
        <w:t>OCEAN</w:t>
      </w:r>
      <w:r w:rsidRPr="0025250D">
        <w:rPr>
          <w:rFonts w:hint="cs"/>
          <w:rtl/>
        </w:rPr>
        <w:t xml:space="preserve">، </w:t>
      </w:r>
      <w:r w:rsidRPr="0025250D">
        <w:t>DISC</w:t>
      </w:r>
      <w:r w:rsidRPr="0025250D">
        <w:rPr>
          <w:rFonts w:hint="cs"/>
          <w:rtl/>
        </w:rPr>
        <w:t xml:space="preserve">، </w:t>
      </w:r>
      <w:r w:rsidRPr="0025250D">
        <w:t>MBTI</w:t>
      </w:r>
      <w:r w:rsidRPr="0025250D">
        <w:rPr>
          <w:rFonts w:hint="cs"/>
          <w:rtl/>
        </w:rPr>
        <w:t xml:space="preserve"> و غیره).</w:t>
      </w:r>
    </w:p>
    <w:p w14:paraId="5B56C1FA" w14:textId="3900C106" w:rsidR="00537CC8" w:rsidRPr="0025250D" w:rsidRDefault="00FB6A7E" w:rsidP="00537CC8">
      <w:pPr>
        <w:rPr>
          <w:rtl/>
        </w:rPr>
      </w:pPr>
      <w:r w:rsidRPr="0025250D">
        <w:rPr>
          <w:rFonts w:hint="cs"/>
          <w:rtl/>
        </w:rPr>
        <w:t>پیش‌نگری</w:t>
      </w:r>
      <w:r w:rsidR="00537CC8" w:rsidRPr="0025250D">
        <w:rPr>
          <w:rFonts w:hint="cs"/>
          <w:rtl/>
        </w:rPr>
        <w:t xml:space="preserve"> دسته مرجع</w:t>
      </w:r>
      <w:r w:rsidR="00537CC8" w:rsidRPr="0025250D">
        <w:rPr>
          <w:vertAlign w:val="superscript"/>
          <w:rtl/>
        </w:rPr>
        <w:footnoteReference w:id="2764"/>
      </w:r>
    </w:p>
    <w:p w14:paraId="2A5C7980" w14:textId="77777777" w:rsidR="00537CC8" w:rsidRPr="0025250D" w:rsidRDefault="00537CC8" w:rsidP="00537CC8">
      <w:pPr>
        <w:rPr>
          <w:rtl/>
        </w:rPr>
      </w:pPr>
      <w:r w:rsidRPr="0025250D">
        <w:rPr>
          <w:rFonts w:hint="cs"/>
          <w:rtl/>
        </w:rPr>
        <w:t>روش کمی پیش‌بینی آینده از طریق مقایسه با برامدهای مشابه در گذشته (یک دسته مرجع).</w:t>
      </w:r>
    </w:p>
    <w:p w14:paraId="38ADE9A2" w14:textId="6F6E9D61" w:rsidR="00537CC8" w:rsidRPr="0025250D" w:rsidRDefault="0030078C" w:rsidP="00537CC8">
      <w:pPr>
        <w:rPr>
          <w:rtl/>
        </w:rPr>
      </w:pPr>
      <w:r w:rsidRPr="0025250D">
        <w:rPr>
          <w:rFonts w:hint="cs"/>
          <w:rtl/>
        </w:rPr>
        <w:t>بازپس‌گویی</w:t>
      </w:r>
      <w:r w:rsidRPr="0025250D">
        <w:rPr>
          <w:rStyle w:val="FootnoteReference"/>
          <w:rtl/>
        </w:rPr>
        <w:footnoteReference w:id="2765"/>
      </w:r>
    </w:p>
    <w:p w14:paraId="02E8C64B" w14:textId="49AF0E55" w:rsidR="00537CC8" w:rsidRPr="0025250D" w:rsidRDefault="00537CC8" w:rsidP="00537CC8">
      <w:pPr>
        <w:rPr>
          <w:rtl/>
        </w:rPr>
      </w:pPr>
      <w:r w:rsidRPr="0025250D">
        <w:rPr>
          <w:rFonts w:hint="cs"/>
          <w:rtl/>
        </w:rPr>
        <w:t xml:space="preserve">پیش‌بینی یک رویداد گذشته با مدل </w:t>
      </w:r>
      <w:r w:rsidR="00FB6A7E" w:rsidRPr="0025250D">
        <w:rPr>
          <w:rFonts w:hint="cs"/>
          <w:rtl/>
        </w:rPr>
        <w:t>پیش‌نگری</w:t>
      </w:r>
      <w:r w:rsidRPr="0025250D">
        <w:rPr>
          <w:rFonts w:hint="cs"/>
          <w:rtl/>
        </w:rPr>
        <w:t xml:space="preserve"> مان، سپس جستجوی شواهد برای آن. یک ابزار صحت سنجی خوب.</w:t>
      </w:r>
    </w:p>
    <w:p w14:paraId="370BE7F0" w14:textId="40AB4B08" w:rsidR="00537CC8" w:rsidRPr="0025250D" w:rsidRDefault="00537CC8" w:rsidP="00537CC8">
      <w:pPr>
        <w:rPr>
          <w:rtl/>
        </w:rPr>
      </w:pPr>
      <w:r w:rsidRPr="0025250D">
        <w:rPr>
          <w:rFonts w:hint="cs"/>
          <w:rtl/>
        </w:rPr>
        <w:t xml:space="preserve">تحلیل </w:t>
      </w:r>
      <w:r w:rsidR="0008779C" w:rsidRPr="0025250D">
        <w:rPr>
          <w:rFonts w:hint="cs"/>
          <w:rtl/>
        </w:rPr>
        <w:t>تاب‌آور</w:t>
      </w:r>
      <w:r w:rsidRPr="0025250D">
        <w:rPr>
          <w:rFonts w:hint="cs"/>
          <w:rtl/>
        </w:rPr>
        <w:t xml:space="preserve">ی و </w:t>
      </w:r>
      <w:r w:rsidR="008D6F97" w:rsidRPr="0025250D">
        <w:rPr>
          <w:rFonts w:hint="cs"/>
          <w:rtl/>
        </w:rPr>
        <w:t>سامانه‌</w:t>
      </w:r>
      <w:r w:rsidRPr="0025250D">
        <w:rPr>
          <w:rFonts w:hint="cs"/>
          <w:rtl/>
        </w:rPr>
        <w:t xml:space="preserve">‌های کنترل </w:t>
      </w:r>
      <w:r w:rsidR="0008779C" w:rsidRPr="0025250D">
        <w:rPr>
          <w:rFonts w:hint="cs"/>
          <w:rtl/>
        </w:rPr>
        <w:t>تاب‌آور</w:t>
      </w:r>
      <w:r w:rsidRPr="0025250D">
        <w:rPr>
          <w:rFonts w:hint="cs"/>
          <w:rtl/>
        </w:rPr>
        <w:t>ی</w:t>
      </w:r>
      <w:r w:rsidRPr="0025250D">
        <w:rPr>
          <w:vertAlign w:val="superscript"/>
          <w:rtl/>
        </w:rPr>
        <w:footnoteReference w:id="2766"/>
      </w:r>
    </w:p>
    <w:p w14:paraId="5ECDC0F9" w14:textId="34594D8C" w:rsidR="00537CC8" w:rsidRPr="0025250D" w:rsidRDefault="00537CC8" w:rsidP="00537CC8">
      <w:pPr>
        <w:rPr>
          <w:rtl/>
        </w:rPr>
      </w:pPr>
      <w:r w:rsidRPr="0025250D">
        <w:rPr>
          <w:rFonts w:hint="cs"/>
          <w:rtl/>
        </w:rPr>
        <w:t xml:space="preserve">زیرساخت، سیاست‌ها و </w:t>
      </w:r>
      <w:r w:rsidR="00701E03" w:rsidRPr="0025250D">
        <w:rPr>
          <w:rFonts w:hint="cs"/>
          <w:rtl/>
        </w:rPr>
        <w:t>راهبرد</w:t>
      </w:r>
      <w:r w:rsidRPr="0025250D">
        <w:rPr>
          <w:rFonts w:hint="cs"/>
          <w:rtl/>
        </w:rPr>
        <w:t xml:space="preserve">‌ها برای </w:t>
      </w:r>
      <w:r w:rsidR="0008779C" w:rsidRPr="0025250D">
        <w:rPr>
          <w:rFonts w:hint="cs"/>
          <w:rtl/>
        </w:rPr>
        <w:t>تاب‌آور</w:t>
      </w:r>
      <w:r w:rsidRPr="0025250D">
        <w:rPr>
          <w:rFonts w:hint="cs"/>
          <w:rtl/>
        </w:rPr>
        <w:t xml:space="preserve"> ساختن یک </w:t>
      </w:r>
      <w:r w:rsidR="008D6F97" w:rsidRPr="0025250D">
        <w:rPr>
          <w:rFonts w:hint="cs"/>
          <w:rtl/>
        </w:rPr>
        <w:t>سامانه‌</w:t>
      </w:r>
      <w:r w:rsidRPr="0025250D">
        <w:rPr>
          <w:rFonts w:hint="cs"/>
          <w:rtl/>
        </w:rPr>
        <w:t xml:space="preserve"> در مقابل آسیب (یا حتی بهتر از آن، بهره بردن از آسیب </w:t>
      </w:r>
      <w:r w:rsidRPr="0025250D">
        <w:rPr>
          <w:rFonts w:cs="Times New Roman" w:hint="cs"/>
          <w:rtl/>
        </w:rPr>
        <w:t>–</w:t>
      </w:r>
      <w:r w:rsidRPr="0025250D">
        <w:rPr>
          <w:rFonts w:hint="cs"/>
          <w:rtl/>
        </w:rPr>
        <w:t xml:space="preserve"> کتاب ضد شکنندگی</w:t>
      </w:r>
      <w:r w:rsidRPr="0025250D">
        <w:rPr>
          <w:vertAlign w:val="superscript"/>
          <w:rtl/>
        </w:rPr>
        <w:footnoteReference w:id="2767"/>
      </w:r>
      <w:r w:rsidRPr="0025250D">
        <w:rPr>
          <w:rFonts w:hint="cs"/>
          <w:rtl/>
        </w:rPr>
        <w:t xml:space="preserve"> اثر </w:t>
      </w:r>
      <w:r w:rsidRPr="0025250D">
        <w:rPr>
          <w:rtl/>
        </w:rPr>
        <w:t>ن</w:t>
      </w:r>
      <w:r w:rsidRPr="0025250D">
        <w:rPr>
          <w:rFonts w:hint="cs"/>
          <w:rtl/>
        </w:rPr>
        <w:t>ی</w:t>
      </w:r>
      <w:r w:rsidRPr="0025250D">
        <w:rPr>
          <w:rFonts w:hint="eastAsia"/>
          <w:rtl/>
        </w:rPr>
        <w:t>ک</w:t>
      </w:r>
      <w:r w:rsidRPr="0025250D">
        <w:rPr>
          <w:rtl/>
        </w:rPr>
        <w:t xml:space="preserve"> طالب</w:t>
      </w:r>
      <w:r w:rsidRPr="0025250D">
        <w:rPr>
          <w:vertAlign w:val="superscript"/>
          <w:rtl/>
        </w:rPr>
        <w:footnoteReference w:id="2768"/>
      </w:r>
      <w:r w:rsidRPr="0025250D">
        <w:rPr>
          <w:rFonts w:hint="cs"/>
          <w:rtl/>
        </w:rPr>
        <w:t xml:space="preserve"> در سال 2014 را ببینید).</w:t>
      </w:r>
    </w:p>
    <w:p w14:paraId="1670F8AF" w14:textId="77777777" w:rsidR="00537CC8" w:rsidRPr="0025250D" w:rsidRDefault="00537CC8" w:rsidP="00537CC8">
      <w:pPr>
        <w:rPr>
          <w:rtl/>
        </w:rPr>
      </w:pPr>
      <w:r w:rsidRPr="0025250D">
        <w:rPr>
          <w:rFonts w:hint="cs"/>
          <w:rtl/>
        </w:rPr>
        <w:t>تحلیل اجتناب از ریسک، کاهش ریسک، بیمه ریسک</w:t>
      </w:r>
      <w:r w:rsidRPr="0025250D">
        <w:rPr>
          <w:vertAlign w:val="superscript"/>
          <w:rtl/>
        </w:rPr>
        <w:footnoteReference w:id="2769"/>
      </w:r>
    </w:p>
    <w:p w14:paraId="07011E74" w14:textId="3C33D09B" w:rsidR="00537CC8" w:rsidRPr="0025250D" w:rsidRDefault="00537CC8" w:rsidP="00537CC8">
      <w:pPr>
        <w:rPr>
          <w:rtl/>
        </w:rPr>
      </w:pPr>
      <w:r w:rsidRPr="0025250D">
        <w:rPr>
          <w:rFonts w:hint="cs"/>
          <w:rtl/>
        </w:rPr>
        <w:t xml:space="preserve"> گزینه‌ها و برنامه‌های </w:t>
      </w:r>
      <w:r w:rsidR="007118DE" w:rsidRPr="0025250D">
        <w:rPr>
          <w:rFonts w:hint="cs"/>
          <w:rtl/>
        </w:rPr>
        <w:t>اولویت‌بندی</w:t>
      </w:r>
      <w:r w:rsidRPr="0025250D">
        <w:rPr>
          <w:rFonts w:hint="cs"/>
          <w:rtl/>
        </w:rPr>
        <w:t>، اجتناب، کاهش و پذیرش/بیمه ریسک ها.</w:t>
      </w:r>
    </w:p>
    <w:p w14:paraId="50FA098D" w14:textId="77777777" w:rsidR="00537CC8" w:rsidRPr="0025250D" w:rsidRDefault="00537CC8" w:rsidP="00537CC8">
      <w:pPr>
        <w:rPr>
          <w:rtl/>
        </w:rPr>
      </w:pPr>
      <w:r w:rsidRPr="0025250D">
        <w:rPr>
          <w:rFonts w:hint="cs"/>
          <w:rtl/>
        </w:rPr>
        <w:t>مدل‌های ریسک و پیش‌بینی ریسک</w:t>
      </w:r>
      <w:r w:rsidRPr="0025250D">
        <w:rPr>
          <w:vertAlign w:val="superscript"/>
          <w:rtl/>
        </w:rPr>
        <w:footnoteReference w:id="2770"/>
      </w:r>
    </w:p>
    <w:p w14:paraId="234D5605" w14:textId="77777777" w:rsidR="00537CC8" w:rsidRPr="0025250D" w:rsidRDefault="00537CC8" w:rsidP="00537CC8">
      <w:pPr>
        <w:rPr>
          <w:rtl/>
        </w:rPr>
      </w:pPr>
      <w:r w:rsidRPr="0025250D">
        <w:rPr>
          <w:rFonts w:hint="cs"/>
          <w:rtl/>
        </w:rPr>
        <w:t>ایجاد مدل‌های آماری از وقوع ریسک، قابل پیش‌بینی ساختن آن‌ها به صورت علّی.</w:t>
      </w:r>
    </w:p>
    <w:p w14:paraId="68E9B197" w14:textId="27F655CA" w:rsidR="00537CC8" w:rsidRPr="0025250D" w:rsidRDefault="00537CC8" w:rsidP="00537CC8">
      <w:pPr>
        <w:rPr>
          <w:rtl/>
        </w:rPr>
      </w:pPr>
      <w:r w:rsidRPr="0025250D">
        <w:rPr>
          <w:rFonts w:hint="cs"/>
          <w:rtl/>
        </w:rPr>
        <w:t>ره‌نگاشت</w:t>
      </w:r>
      <w:r w:rsidRPr="0025250D">
        <w:rPr>
          <w:vertAlign w:val="superscript"/>
          <w:rtl/>
        </w:rPr>
        <w:footnoteReference w:id="2771"/>
      </w:r>
      <w:r w:rsidRPr="0025250D">
        <w:rPr>
          <w:rFonts w:hint="cs"/>
          <w:rtl/>
        </w:rPr>
        <w:t xml:space="preserve"> (</w:t>
      </w:r>
      <w:r w:rsidR="007A53FD" w:rsidRPr="0025250D">
        <w:rPr>
          <w:rFonts w:hint="cs"/>
          <w:rtl/>
        </w:rPr>
        <w:t>فناوری</w:t>
      </w:r>
      <w:r w:rsidRPr="0025250D">
        <w:rPr>
          <w:rFonts w:hint="cs"/>
          <w:rtl/>
        </w:rPr>
        <w:t>، محصول، سیاست‌ها، غیره)</w:t>
      </w:r>
    </w:p>
    <w:p w14:paraId="684EDB66" w14:textId="658C3D7B" w:rsidR="00537CC8" w:rsidRPr="0025250D" w:rsidRDefault="00537CC8" w:rsidP="00537CC8">
      <w:pPr>
        <w:rPr>
          <w:rtl/>
        </w:rPr>
      </w:pPr>
      <w:r w:rsidRPr="0025250D">
        <w:rPr>
          <w:rFonts w:hint="cs"/>
          <w:rtl/>
        </w:rPr>
        <w:t xml:space="preserve">یک تکنیک </w:t>
      </w:r>
      <w:r w:rsidR="00B124DE" w:rsidRPr="0025250D">
        <w:rPr>
          <w:rFonts w:hint="cs"/>
          <w:rtl/>
        </w:rPr>
        <w:t>برنامه‌ریزی</w:t>
      </w:r>
      <w:r w:rsidRPr="0025250D">
        <w:rPr>
          <w:rFonts w:hint="cs"/>
          <w:rtl/>
        </w:rPr>
        <w:t xml:space="preserve"> و تحقیق دور بُرد. با اهداف </w:t>
      </w:r>
      <w:r w:rsidR="00701E03" w:rsidRPr="0025250D">
        <w:rPr>
          <w:rFonts w:hint="cs"/>
          <w:rtl/>
        </w:rPr>
        <w:t>راهبردی</w:t>
      </w:r>
      <w:r w:rsidRPr="0025250D">
        <w:rPr>
          <w:rFonts w:hint="cs"/>
          <w:rtl/>
        </w:rPr>
        <w:t xml:space="preserve"> و توانمند ساز‌ها، موانع و </w:t>
      </w:r>
      <w:r w:rsidR="00923DDB" w:rsidRPr="0025250D">
        <w:rPr>
          <w:rFonts w:hint="cs"/>
          <w:rtl/>
        </w:rPr>
        <w:t>راه‌حل</w:t>
      </w:r>
      <w:r w:rsidRPr="0025250D">
        <w:rPr>
          <w:rFonts w:hint="cs"/>
          <w:rtl/>
        </w:rPr>
        <w:t>‌ها مطابقت دارد.</w:t>
      </w:r>
    </w:p>
    <w:p w14:paraId="3443C753" w14:textId="77777777" w:rsidR="00537CC8" w:rsidRPr="0025250D" w:rsidRDefault="00537CC8" w:rsidP="00537CC8">
      <w:pPr>
        <w:rPr>
          <w:rtl/>
        </w:rPr>
      </w:pPr>
      <w:r w:rsidRPr="0025250D">
        <w:rPr>
          <w:rFonts w:hint="cs"/>
          <w:rtl/>
        </w:rPr>
        <w:t>مدل‌های آماری</w:t>
      </w:r>
      <w:r w:rsidRPr="0025250D">
        <w:rPr>
          <w:vertAlign w:val="superscript"/>
          <w:rtl/>
        </w:rPr>
        <w:footnoteReference w:id="2772"/>
      </w:r>
    </w:p>
    <w:p w14:paraId="27428AE1" w14:textId="77777777" w:rsidR="00537CC8" w:rsidRPr="0025250D" w:rsidRDefault="00537CC8" w:rsidP="00537CC8">
      <w:pPr>
        <w:rPr>
          <w:rtl/>
        </w:rPr>
      </w:pPr>
      <w:r w:rsidRPr="0025250D">
        <w:rPr>
          <w:rFonts w:hint="cs"/>
          <w:rtl/>
        </w:rPr>
        <w:t>روابط احتمالی میان متغیر‌ها در مدل‌های ریاضی، مثلا، مدل‌های آماری جمعیت شناسی و اقتصادی.</w:t>
      </w:r>
    </w:p>
    <w:p w14:paraId="3ED69768" w14:textId="77777777" w:rsidR="00537CC8" w:rsidRPr="0025250D" w:rsidRDefault="00537CC8" w:rsidP="00537CC8">
      <w:pPr>
        <w:rPr>
          <w:rtl/>
        </w:rPr>
      </w:pPr>
      <w:r w:rsidRPr="0025250D">
        <w:rPr>
          <w:rFonts w:hint="cs"/>
          <w:rtl/>
        </w:rPr>
        <w:t>برونیابی روند‌ها و تحلیل رگرسیون</w:t>
      </w:r>
      <w:r w:rsidRPr="0025250D">
        <w:rPr>
          <w:vertAlign w:val="superscript"/>
          <w:rtl/>
        </w:rPr>
        <w:footnoteReference w:id="2773"/>
      </w:r>
    </w:p>
    <w:p w14:paraId="497B3710" w14:textId="48DEE7C2" w:rsidR="00537CC8" w:rsidRPr="0025250D" w:rsidRDefault="00537CC8" w:rsidP="00537CC8">
      <w:pPr>
        <w:rPr>
          <w:rtl/>
        </w:rPr>
      </w:pPr>
      <w:r w:rsidRPr="0025250D">
        <w:rPr>
          <w:rFonts w:hint="cs"/>
          <w:rtl/>
        </w:rPr>
        <w:t xml:space="preserve">کسب و گسترش داده‌های سری‌های زمانی به‌عنوان یک </w:t>
      </w:r>
      <w:r w:rsidR="00FB6A7E" w:rsidRPr="0025250D">
        <w:rPr>
          <w:rFonts w:hint="cs"/>
          <w:rtl/>
        </w:rPr>
        <w:t>پیش‌نگری</w:t>
      </w:r>
      <w:r w:rsidRPr="0025250D">
        <w:rPr>
          <w:rFonts w:hint="cs"/>
          <w:rtl/>
        </w:rPr>
        <w:t xml:space="preserve"> در معرض خطا و عدم قطعیت.</w:t>
      </w:r>
    </w:p>
    <w:p w14:paraId="16FC4931" w14:textId="77777777" w:rsidR="00537CC8" w:rsidRPr="0025250D" w:rsidRDefault="00537CC8" w:rsidP="00537CC8">
      <w:pPr>
        <w:rPr>
          <w:rtl/>
        </w:rPr>
      </w:pPr>
      <w:r w:rsidRPr="0025250D">
        <w:rPr>
          <w:rFonts w:hint="cs"/>
          <w:rtl/>
        </w:rPr>
        <w:t>ارزیابی آسیب پذیری</w:t>
      </w:r>
      <w:r w:rsidRPr="0025250D">
        <w:rPr>
          <w:vertAlign w:val="superscript"/>
          <w:rtl/>
        </w:rPr>
        <w:footnoteReference w:id="2774"/>
      </w:r>
    </w:p>
    <w:p w14:paraId="67909140" w14:textId="77777777" w:rsidR="00537CC8" w:rsidRPr="0025250D" w:rsidRDefault="00537CC8" w:rsidP="00537CC8">
      <w:pPr>
        <w:rPr>
          <w:rtl/>
        </w:rPr>
      </w:pPr>
      <w:r w:rsidRPr="0025250D">
        <w:rPr>
          <w:rFonts w:hint="cs"/>
          <w:rtl/>
        </w:rPr>
        <w:t>ارزیابی ریسک کیفی درمورد تصادفات، جرایم، پیگرد‌های قانونی احتمالی و دیگر رویداد‌های مضر.</w:t>
      </w:r>
    </w:p>
    <w:p w14:paraId="302123C9" w14:textId="77777777" w:rsidR="00537CC8" w:rsidRPr="0025250D" w:rsidRDefault="00537CC8" w:rsidP="00537CC8">
      <w:pPr>
        <w:rPr>
          <w:rtl/>
        </w:rPr>
      </w:pPr>
      <w:r w:rsidRPr="0025250D">
        <w:rPr>
          <w:rFonts w:hint="cs"/>
          <w:rtl/>
        </w:rPr>
        <w:t>بازی‌های جنگی</w:t>
      </w:r>
      <w:r w:rsidRPr="0025250D">
        <w:rPr>
          <w:vertAlign w:val="superscript"/>
          <w:rtl/>
        </w:rPr>
        <w:footnoteReference w:id="2775"/>
      </w:r>
    </w:p>
    <w:p w14:paraId="0266A034" w14:textId="1F3CF084" w:rsidR="00537CC8" w:rsidRPr="0025250D" w:rsidRDefault="00537CC8" w:rsidP="00537CC8">
      <w:pPr>
        <w:rPr>
          <w:rtl/>
        </w:rPr>
      </w:pPr>
      <w:r w:rsidRPr="0025250D">
        <w:rPr>
          <w:rFonts w:hint="cs"/>
          <w:rtl/>
        </w:rPr>
        <w:t xml:space="preserve">بازی‌های </w:t>
      </w:r>
      <w:r w:rsidR="00701E03" w:rsidRPr="0025250D">
        <w:rPr>
          <w:rFonts w:hint="cs"/>
          <w:rtl/>
        </w:rPr>
        <w:t>راهبرد</w:t>
      </w:r>
      <w:r w:rsidRPr="0025250D">
        <w:rPr>
          <w:rFonts w:hint="cs"/>
          <w:rtl/>
        </w:rPr>
        <w:t xml:space="preserve"> که به عملیات‌های تهدید و امنیت متنوع، واقعی یا تخیلی می‌پردازند.</w:t>
      </w:r>
    </w:p>
    <w:p w14:paraId="361C97A0" w14:textId="77777777" w:rsidR="00537CC8" w:rsidRPr="0025250D" w:rsidRDefault="00537CC8" w:rsidP="003D3E0A">
      <w:pPr>
        <w:pStyle w:val="Heading3"/>
        <w:rPr>
          <w:rtl/>
        </w:rPr>
      </w:pPr>
      <w:r w:rsidRPr="0025250D">
        <w:rPr>
          <w:rFonts w:hint="cs"/>
          <w:rtl/>
        </w:rPr>
        <w:t>مهارت 3: روش‌های نوآوری (تفکر در مورد موارد ممکن)</w:t>
      </w:r>
    </w:p>
    <w:p w14:paraId="01F19977" w14:textId="3045EB18" w:rsidR="00537CC8" w:rsidRPr="0025250D" w:rsidRDefault="00537CC8" w:rsidP="00537CC8">
      <w:pPr>
        <w:rPr>
          <w:rtl/>
        </w:rPr>
      </w:pPr>
      <w:r w:rsidRPr="0025250D">
        <w:rPr>
          <w:rFonts w:hint="cs"/>
          <w:rtl/>
        </w:rPr>
        <w:t>تحقیق</w:t>
      </w:r>
      <w:r w:rsidRPr="0025250D">
        <w:rPr>
          <w:rtl/>
        </w:rPr>
        <w:t xml:space="preserve"> </w:t>
      </w:r>
      <w:r w:rsidRPr="0025250D">
        <w:rPr>
          <w:rFonts w:hint="cs"/>
          <w:rtl/>
        </w:rPr>
        <w:t>ارج‌گزار</w:t>
      </w:r>
      <w:r w:rsidRPr="0025250D">
        <w:rPr>
          <w:vertAlign w:val="superscript"/>
          <w:rtl/>
        </w:rPr>
        <w:footnoteReference w:id="2776"/>
      </w:r>
    </w:p>
    <w:p w14:paraId="2C992786" w14:textId="77777777" w:rsidR="00537CC8" w:rsidRPr="0025250D" w:rsidRDefault="00537CC8" w:rsidP="00537CC8">
      <w:pPr>
        <w:rPr>
          <w:rtl/>
        </w:rPr>
      </w:pPr>
      <w:r w:rsidRPr="0025250D">
        <w:rPr>
          <w:rFonts w:hint="cs"/>
          <w:rtl/>
        </w:rPr>
        <w:t>تحقیق جمعی درمورد بهترین رویدادها و اقدامات گذشته یا فعلی در یک گروه برای تصور بهتر آنچه می‌تواند رخ دهد.</w:t>
      </w:r>
    </w:p>
    <w:p w14:paraId="0A8E097D" w14:textId="77777777" w:rsidR="00537CC8" w:rsidRPr="0025250D" w:rsidRDefault="00537CC8" w:rsidP="00537CC8">
      <w:pPr>
        <w:rPr>
          <w:rtl/>
        </w:rPr>
      </w:pPr>
      <w:r w:rsidRPr="0025250D">
        <w:rPr>
          <w:rFonts w:hint="cs"/>
          <w:rtl/>
        </w:rPr>
        <w:t>طوفان فکری</w:t>
      </w:r>
      <w:r w:rsidRPr="0025250D">
        <w:rPr>
          <w:vertAlign w:val="superscript"/>
          <w:rtl/>
        </w:rPr>
        <w:footnoteReference w:id="2777"/>
      </w:r>
    </w:p>
    <w:p w14:paraId="060EC7AC" w14:textId="77777777" w:rsidR="00537CC8" w:rsidRPr="0025250D" w:rsidRDefault="00537CC8" w:rsidP="00537CC8">
      <w:pPr>
        <w:rPr>
          <w:rtl/>
        </w:rPr>
      </w:pPr>
      <w:r w:rsidRPr="0025250D">
        <w:rPr>
          <w:rFonts w:hint="cs"/>
          <w:rtl/>
        </w:rPr>
        <w:t>ایده سازی گروهی غیر انتقادی (ارجحیت کمیت بر کیفیت)، معمولاً پس از آن روش‌های انتقادی انجام می‌شوند.</w:t>
      </w:r>
    </w:p>
    <w:p w14:paraId="000EBB00" w14:textId="77777777" w:rsidR="00537CC8" w:rsidRPr="0025250D" w:rsidRDefault="00537CC8" w:rsidP="00537CC8">
      <w:pPr>
        <w:rPr>
          <w:rtl/>
        </w:rPr>
      </w:pPr>
      <w:r w:rsidRPr="0025250D">
        <w:rPr>
          <w:rFonts w:hint="cs"/>
          <w:rtl/>
        </w:rPr>
        <w:t>تصویر سازی خلاقانه</w:t>
      </w:r>
      <w:r w:rsidRPr="0025250D">
        <w:rPr>
          <w:vertAlign w:val="superscript"/>
          <w:rtl/>
        </w:rPr>
        <w:footnoteReference w:id="2778"/>
      </w:r>
    </w:p>
    <w:p w14:paraId="5028943D" w14:textId="5EDACE1C" w:rsidR="00537CC8" w:rsidRPr="0025250D" w:rsidRDefault="00537CC8" w:rsidP="00537CC8">
      <w:pPr>
        <w:rPr>
          <w:rtl/>
        </w:rPr>
      </w:pPr>
      <w:r w:rsidRPr="0025250D">
        <w:rPr>
          <w:rFonts w:hint="cs"/>
          <w:rtl/>
        </w:rPr>
        <w:t xml:space="preserve">تصور نتایج مثبت قابل دسترسی با جزئیات و </w:t>
      </w:r>
      <w:r w:rsidR="00701E03" w:rsidRPr="0025250D">
        <w:rPr>
          <w:rFonts w:hint="cs"/>
          <w:rtl/>
        </w:rPr>
        <w:t>راهبرد</w:t>
      </w:r>
      <w:r w:rsidRPr="0025250D">
        <w:rPr>
          <w:rFonts w:hint="cs"/>
          <w:rtl/>
        </w:rPr>
        <w:t>‌ها و اقداماتی که به وقوع آن‌ها کمک می‌کنند.</w:t>
      </w:r>
    </w:p>
    <w:p w14:paraId="3FCBCC91" w14:textId="77777777" w:rsidR="00537CC8" w:rsidRPr="0025250D" w:rsidRDefault="00537CC8" w:rsidP="00537CC8">
      <w:pPr>
        <w:rPr>
          <w:rtl/>
        </w:rPr>
      </w:pPr>
      <w:r w:rsidRPr="0025250D">
        <w:rPr>
          <w:rFonts w:hint="cs"/>
          <w:rtl/>
        </w:rPr>
        <w:t>تحلیل اثر متقابل</w:t>
      </w:r>
      <w:r w:rsidRPr="0025250D">
        <w:rPr>
          <w:vertAlign w:val="superscript"/>
          <w:rtl/>
        </w:rPr>
        <w:footnoteReference w:id="2779"/>
      </w:r>
    </w:p>
    <w:p w14:paraId="0873A714" w14:textId="77777777" w:rsidR="00537CC8" w:rsidRPr="0025250D" w:rsidRDefault="00537CC8" w:rsidP="00537CC8">
      <w:pPr>
        <w:rPr>
          <w:rtl/>
        </w:rPr>
      </w:pPr>
      <w:r w:rsidRPr="0025250D">
        <w:rPr>
          <w:rFonts w:hint="cs"/>
          <w:rtl/>
        </w:rPr>
        <w:t>ایجاد ماتریسی از متغیر‌های مرتبط با آینده، بررسی این که چگونه متغیر‌ها می‌توانند بر یکدیگر تأثیر بگذارند.</w:t>
      </w:r>
    </w:p>
    <w:p w14:paraId="57DD59EB" w14:textId="0FBF2E6E" w:rsidR="00537CC8" w:rsidRPr="0025250D" w:rsidRDefault="00537CC8" w:rsidP="00537CC8">
      <w:pPr>
        <w:rPr>
          <w:rtl/>
        </w:rPr>
      </w:pPr>
      <w:r w:rsidRPr="0025250D">
        <w:rPr>
          <w:rtl/>
        </w:rPr>
        <w:t>آینده‌نگاری</w:t>
      </w:r>
      <w:r w:rsidRPr="0025250D">
        <w:rPr>
          <w:rFonts w:hint="cs"/>
          <w:rtl/>
        </w:rPr>
        <w:t xml:space="preserve"> </w:t>
      </w:r>
      <w:r w:rsidR="00BB406C" w:rsidRPr="0025250D">
        <w:rPr>
          <w:rFonts w:hint="cs"/>
          <w:rtl/>
        </w:rPr>
        <w:t>جمع‌سپاری</w:t>
      </w:r>
      <w:r w:rsidRPr="0025250D">
        <w:rPr>
          <w:rFonts w:hint="cs"/>
          <w:rtl/>
        </w:rPr>
        <w:t xml:space="preserve"> شده و باز</w:t>
      </w:r>
      <w:r w:rsidRPr="0025250D">
        <w:rPr>
          <w:vertAlign w:val="superscript"/>
          <w:rtl/>
        </w:rPr>
        <w:footnoteReference w:id="2780"/>
      </w:r>
    </w:p>
    <w:p w14:paraId="61CF7A4A" w14:textId="1FEAB288" w:rsidR="00537CC8" w:rsidRPr="0025250D" w:rsidRDefault="00537CC8" w:rsidP="00537CC8">
      <w:pPr>
        <w:rPr>
          <w:rtl/>
        </w:rPr>
      </w:pPr>
      <w:r w:rsidRPr="0025250D">
        <w:rPr>
          <w:rFonts w:hint="cs"/>
          <w:rtl/>
        </w:rPr>
        <w:t xml:space="preserve">فرایند آزاد و آنلاین با دسترسی باز برای </w:t>
      </w:r>
      <w:r w:rsidR="00BB406C" w:rsidRPr="0025250D">
        <w:rPr>
          <w:rFonts w:hint="cs"/>
          <w:rtl/>
        </w:rPr>
        <w:t>جمع‌سپاری</w:t>
      </w:r>
      <w:r w:rsidRPr="0025250D">
        <w:rPr>
          <w:rFonts w:hint="cs"/>
          <w:rtl/>
        </w:rPr>
        <w:t xml:space="preserve"> نظرات </w:t>
      </w:r>
      <w:r w:rsidRPr="0025250D">
        <w:rPr>
          <w:rtl/>
        </w:rPr>
        <w:t>آینده‌نگاری</w:t>
      </w:r>
      <w:r w:rsidRPr="0025250D">
        <w:rPr>
          <w:rFonts w:hint="cs"/>
          <w:rtl/>
        </w:rPr>
        <w:t xml:space="preserve"> از یک گروه آنلاین.</w:t>
      </w:r>
    </w:p>
    <w:p w14:paraId="6F9354A1" w14:textId="77777777" w:rsidR="00537CC8" w:rsidRPr="0025250D" w:rsidRDefault="00537CC8" w:rsidP="00537CC8">
      <w:pPr>
        <w:rPr>
          <w:rtl/>
        </w:rPr>
      </w:pPr>
      <w:r w:rsidRPr="0025250D">
        <w:rPr>
          <w:rFonts w:hint="cs"/>
          <w:rtl/>
        </w:rPr>
        <w:t>بحث و نظر/نظر مقابل</w:t>
      </w:r>
      <w:r w:rsidRPr="0025250D">
        <w:rPr>
          <w:vertAlign w:val="superscript"/>
          <w:rtl/>
        </w:rPr>
        <w:footnoteReference w:id="2781"/>
      </w:r>
    </w:p>
    <w:p w14:paraId="022285F9" w14:textId="77777777" w:rsidR="00537CC8" w:rsidRPr="0025250D" w:rsidRDefault="00537CC8" w:rsidP="00537CC8">
      <w:pPr>
        <w:rPr>
          <w:rtl/>
        </w:rPr>
      </w:pPr>
      <w:r w:rsidRPr="0025250D">
        <w:rPr>
          <w:rFonts w:hint="cs"/>
          <w:rtl/>
        </w:rPr>
        <w:t>استدلال‌های تحقیق شده محدود به زمان در مقابل نظرات مخالف. تیم‌ها ممکن است مجبور باشند که در مورد نظراتی غیر از نظر خود بحث کنند.</w:t>
      </w:r>
    </w:p>
    <w:p w14:paraId="017A6113" w14:textId="77777777" w:rsidR="00537CC8" w:rsidRPr="0025250D" w:rsidRDefault="00537CC8" w:rsidP="00537CC8">
      <w:pPr>
        <w:rPr>
          <w:rtl/>
        </w:rPr>
      </w:pPr>
      <w:r w:rsidRPr="0025250D">
        <w:rPr>
          <w:rFonts w:hint="cs"/>
          <w:rtl/>
        </w:rPr>
        <w:t>تفکر طراحی</w:t>
      </w:r>
      <w:r w:rsidRPr="0025250D">
        <w:rPr>
          <w:vertAlign w:val="superscript"/>
          <w:rtl/>
        </w:rPr>
        <w:footnoteReference w:id="2782"/>
      </w:r>
    </w:p>
    <w:p w14:paraId="4EEAD18C" w14:textId="65C26044" w:rsidR="00537CC8" w:rsidRPr="0025250D" w:rsidRDefault="00537CC8" w:rsidP="00537CC8">
      <w:pPr>
        <w:rPr>
          <w:rtl/>
        </w:rPr>
      </w:pPr>
      <w:r w:rsidRPr="0025250D">
        <w:rPr>
          <w:rFonts w:hint="cs"/>
          <w:rtl/>
        </w:rPr>
        <w:t>روش‌های نوآوری که طراحان برای بهبود همدلی با کاربر، خلاقیت در طراحی و تناسب مشکل-</w:t>
      </w:r>
      <w:r w:rsidR="00923DDB" w:rsidRPr="0025250D">
        <w:rPr>
          <w:rFonts w:hint="cs"/>
          <w:rtl/>
        </w:rPr>
        <w:t>راه‌حل</w:t>
      </w:r>
      <w:r w:rsidRPr="0025250D">
        <w:rPr>
          <w:rFonts w:hint="cs"/>
          <w:rtl/>
        </w:rPr>
        <w:t xml:space="preserve"> از آن‌ها استفاده می‌کنند.</w:t>
      </w:r>
    </w:p>
    <w:p w14:paraId="2175C8D0" w14:textId="77777777" w:rsidR="00537CC8" w:rsidRPr="0025250D" w:rsidRDefault="00537CC8" w:rsidP="00537CC8">
      <w:pPr>
        <w:rPr>
          <w:rtl/>
        </w:rPr>
      </w:pPr>
      <w:r w:rsidRPr="0025250D">
        <w:rPr>
          <w:rFonts w:hint="cs"/>
          <w:rtl/>
        </w:rPr>
        <w:t>کارآفرینی و کارآفرینی سازمانی</w:t>
      </w:r>
      <w:r w:rsidRPr="0025250D">
        <w:rPr>
          <w:vertAlign w:val="superscript"/>
          <w:rtl/>
        </w:rPr>
        <w:footnoteReference w:id="2783"/>
      </w:r>
    </w:p>
    <w:p w14:paraId="3EA59BF2" w14:textId="7EBBB183" w:rsidR="00537CC8" w:rsidRPr="0025250D" w:rsidRDefault="00537CC8" w:rsidP="00537CC8">
      <w:pPr>
        <w:rPr>
          <w:rtl/>
        </w:rPr>
      </w:pPr>
      <w:r w:rsidRPr="0025250D">
        <w:rPr>
          <w:rFonts w:hint="cs"/>
          <w:rtl/>
        </w:rPr>
        <w:t xml:space="preserve">شناسایی و آغاز یک سفر </w:t>
      </w:r>
      <w:r w:rsidR="00B124DE" w:rsidRPr="0025250D">
        <w:rPr>
          <w:rFonts w:hint="cs"/>
          <w:rtl/>
        </w:rPr>
        <w:t>کسب‌و‌کار</w:t>
      </w:r>
      <w:r w:rsidRPr="0025250D">
        <w:rPr>
          <w:rFonts w:hint="cs"/>
          <w:rtl/>
        </w:rPr>
        <w:t xml:space="preserve"> جدید و مشارکت در ریسک‌ها و پاداش‌های آن.</w:t>
      </w:r>
    </w:p>
    <w:p w14:paraId="725C5838" w14:textId="38EB2976" w:rsidR="00537CC8" w:rsidRPr="0025250D" w:rsidRDefault="00537CC8" w:rsidP="00537CC8">
      <w:pPr>
        <w:rPr>
          <w:rtl/>
        </w:rPr>
      </w:pPr>
      <w:r w:rsidRPr="0025250D">
        <w:rPr>
          <w:rFonts w:hint="cs"/>
          <w:rtl/>
        </w:rPr>
        <w:t>هم‌اندیشی</w:t>
      </w:r>
      <w:r w:rsidRPr="0025250D">
        <w:rPr>
          <w:rtl/>
        </w:rPr>
        <w:t xml:space="preserve"> </w:t>
      </w:r>
      <w:r w:rsidRPr="0025250D">
        <w:rPr>
          <w:rFonts w:hint="cs"/>
          <w:rtl/>
        </w:rPr>
        <w:t>خبرگان</w:t>
      </w:r>
      <w:r w:rsidRPr="0025250D">
        <w:rPr>
          <w:vertAlign w:val="superscript"/>
          <w:rtl/>
        </w:rPr>
        <w:footnoteReference w:id="2784"/>
      </w:r>
    </w:p>
    <w:p w14:paraId="5BB15D38" w14:textId="77777777" w:rsidR="00537CC8" w:rsidRPr="0025250D" w:rsidRDefault="00537CC8" w:rsidP="00537CC8">
      <w:pPr>
        <w:rPr>
          <w:rtl/>
        </w:rPr>
      </w:pPr>
      <w:r w:rsidRPr="0025250D">
        <w:rPr>
          <w:rFonts w:hint="cs"/>
          <w:rtl/>
        </w:rPr>
        <w:t>معمولاً 15 نفر یا کم‌تر متخصص موضوعی که وظیفه آن‌ها تولید ایده‌ها، تحلیل گزینه‌ها یا ارائه بازخورد است.</w:t>
      </w:r>
    </w:p>
    <w:p w14:paraId="3E52175E" w14:textId="77777777" w:rsidR="00537CC8" w:rsidRPr="0025250D" w:rsidRDefault="00537CC8" w:rsidP="00537CC8">
      <w:pPr>
        <w:rPr>
          <w:rtl/>
        </w:rPr>
      </w:pPr>
      <w:r w:rsidRPr="0025250D">
        <w:rPr>
          <w:rFonts w:hint="cs"/>
          <w:rtl/>
        </w:rPr>
        <w:t>مصنوعات آینده</w:t>
      </w:r>
      <w:r w:rsidRPr="0025250D">
        <w:rPr>
          <w:vertAlign w:val="superscript"/>
          <w:rtl/>
        </w:rPr>
        <w:footnoteReference w:id="2785"/>
      </w:r>
    </w:p>
    <w:p w14:paraId="6E574BCF" w14:textId="4A67F1D9" w:rsidR="00537CC8" w:rsidRPr="0025250D" w:rsidRDefault="00537CC8" w:rsidP="00537CC8">
      <w:pPr>
        <w:rPr>
          <w:rtl/>
        </w:rPr>
      </w:pPr>
      <w:r w:rsidRPr="0025250D">
        <w:rPr>
          <w:rFonts w:hint="cs"/>
          <w:rtl/>
        </w:rPr>
        <w:t xml:space="preserve">موضوعات روزمره یا جزئیات خاص درمورد یک </w:t>
      </w:r>
      <w:r w:rsidR="007A53FD" w:rsidRPr="0025250D">
        <w:rPr>
          <w:rFonts w:hint="cs"/>
          <w:rtl/>
        </w:rPr>
        <w:t>فرانامه</w:t>
      </w:r>
      <w:r w:rsidRPr="0025250D">
        <w:rPr>
          <w:rFonts w:hint="cs"/>
          <w:rtl/>
        </w:rPr>
        <w:t xml:space="preserve"> آینده که آن را به واقعیت تبدیل می‌کنند و ایجاد گفتگو و تصور درمورد آن آینده ممکن.</w:t>
      </w:r>
    </w:p>
    <w:p w14:paraId="26043C29" w14:textId="77777777" w:rsidR="00537CC8" w:rsidRPr="0025250D" w:rsidRDefault="00537CC8" w:rsidP="00537CC8">
      <w:pPr>
        <w:rPr>
          <w:rtl/>
        </w:rPr>
      </w:pPr>
      <w:r w:rsidRPr="0025250D">
        <w:rPr>
          <w:rFonts w:hint="cs"/>
          <w:rtl/>
        </w:rPr>
        <w:t>چرخ‌های آینده</w:t>
      </w:r>
      <w:r w:rsidRPr="0025250D">
        <w:rPr>
          <w:vertAlign w:val="superscript"/>
          <w:rtl/>
        </w:rPr>
        <w:footnoteReference w:id="2786"/>
      </w:r>
    </w:p>
    <w:p w14:paraId="0B84C365" w14:textId="77777777" w:rsidR="00537CC8" w:rsidRPr="0025250D" w:rsidRDefault="00537CC8" w:rsidP="00537CC8">
      <w:pPr>
        <w:rPr>
          <w:rtl/>
        </w:rPr>
      </w:pPr>
      <w:r w:rsidRPr="0025250D">
        <w:rPr>
          <w:rFonts w:hint="cs"/>
          <w:rtl/>
        </w:rPr>
        <w:t>ترسیم گرافیکی عواقب مستقیم و غیر مستقیم یک فرایند، تغییر یا رویداد خاص.</w:t>
      </w:r>
    </w:p>
    <w:p w14:paraId="7F48ACA4" w14:textId="4E0DC0DE" w:rsidR="00537CC8" w:rsidRPr="0025250D" w:rsidRDefault="00537CC8" w:rsidP="00537CC8">
      <w:pPr>
        <w:rPr>
          <w:rtl/>
        </w:rPr>
      </w:pPr>
      <w:r w:rsidRPr="0025250D">
        <w:rPr>
          <w:rFonts w:hint="cs"/>
          <w:rtl/>
        </w:rPr>
        <w:t>طوفان بازی و نقش آفرینی</w:t>
      </w:r>
      <w:r w:rsidRPr="0025250D">
        <w:rPr>
          <w:vertAlign w:val="superscript"/>
          <w:rtl/>
        </w:rPr>
        <w:footnoteReference w:id="2787"/>
      </w:r>
    </w:p>
    <w:p w14:paraId="2213FD33" w14:textId="77777777" w:rsidR="00537CC8" w:rsidRPr="0025250D" w:rsidRDefault="00537CC8" w:rsidP="00537CC8">
      <w:pPr>
        <w:rPr>
          <w:rtl/>
        </w:rPr>
      </w:pPr>
      <w:r w:rsidRPr="0025250D">
        <w:rPr>
          <w:rFonts w:hint="cs"/>
          <w:rtl/>
        </w:rPr>
        <w:t>استفاده از بازی‌های تسهیل شده، فعالیت‌های تعاملی، محیط‌های دراماتیک برای ایده پردازی و نوآوری.</w:t>
      </w:r>
    </w:p>
    <w:p w14:paraId="73E55D79" w14:textId="77777777" w:rsidR="00537CC8" w:rsidRPr="0025250D" w:rsidRDefault="00537CC8" w:rsidP="00537CC8">
      <w:pPr>
        <w:rPr>
          <w:rtl/>
        </w:rPr>
      </w:pPr>
      <w:r w:rsidRPr="0025250D">
        <w:rPr>
          <w:rFonts w:hint="cs"/>
          <w:rtl/>
        </w:rPr>
        <w:t>پلتفرم‌های مدیریت ایده پردازی</w:t>
      </w:r>
      <w:r w:rsidRPr="0025250D">
        <w:rPr>
          <w:vertAlign w:val="superscript"/>
          <w:rtl/>
        </w:rPr>
        <w:footnoteReference w:id="2788"/>
      </w:r>
    </w:p>
    <w:p w14:paraId="413FE3E4" w14:textId="77777777" w:rsidR="00537CC8" w:rsidRPr="0025250D" w:rsidRDefault="00537CC8" w:rsidP="00537CC8">
      <w:pPr>
        <w:rPr>
          <w:rtl/>
        </w:rPr>
      </w:pPr>
      <w:r w:rsidRPr="0025250D">
        <w:rPr>
          <w:rFonts w:hint="cs"/>
          <w:rtl/>
        </w:rPr>
        <w:t>پلتفرم‌های نرم افزاری طراحی شده برای استخراج، مقایسه و اصلاح ایده‌های اجرایی در دسته‌های مختلف.</w:t>
      </w:r>
    </w:p>
    <w:p w14:paraId="4B168243" w14:textId="77777777" w:rsidR="00537CC8" w:rsidRPr="0025250D" w:rsidRDefault="00537CC8" w:rsidP="00537CC8">
      <w:pPr>
        <w:rPr>
          <w:rtl/>
        </w:rPr>
      </w:pPr>
      <w:r w:rsidRPr="0025250D">
        <w:rPr>
          <w:rFonts w:hint="cs"/>
          <w:rtl/>
        </w:rPr>
        <w:t>تحلیل ریخت شناسی</w:t>
      </w:r>
      <w:r w:rsidRPr="0025250D">
        <w:rPr>
          <w:vertAlign w:val="superscript"/>
          <w:rtl/>
        </w:rPr>
        <w:footnoteReference w:id="2789"/>
      </w:r>
    </w:p>
    <w:p w14:paraId="3990156A" w14:textId="77777777" w:rsidR="00537CC8" w:rsidRPr="0025250D" w:rsidRDefault="00537CC8" w:rsidP="00537CC8">
      <w:pPr>
        <w:rPr>
          <w:rtl/>
        </w:rPr>
      </w:pPr>
      <w:r w:rsidRPr="0025250D">
        <w:rPr>
          <w:rFonts w:hint="cs"/>
          <w:rtl/>
        </w:rPr>
        <w:t xml:space="preserve">روش‌های تحلیلی برای ترسیم و بررسی فضای جواب برای یک دامنه مسئله (مثلا: </w:t>
      </w:r>
      <w:r w:rsidRPr="0025250D">
        <w:t>TRIZ</w:t>
      </w:r>
      <w:r w:rsidRPr="0025250D">
        <w:rPr>
          <w:rFonts w:hint="cs"/>
          <w:rtl/>
        </w:rPr>
        <w:t>).</w:t>
      </w:r>
    </w:p>
    <w:p w14:paraId="67924B83" w14:textId="77777777" w:rsidR="00537CC8" w:rsidRPr="0025250D" w:rsidRDefault="00537CC8" w:rsidP="00537CC8">
      <w:pPr>
        <w:rPr>
          <w:rtl/>
        </w:rPr>
      </w:pPr>
      <w:r w:rsidRPr="0025250D">
        <w:rPr>
          <w:rFonts w:hint="cs"/>
          <w:rtl/>
        </w:rPr>
        <w:t>نمونه سازی سریع</w:t>
      </w:r>
      <w:r w:rsidRPr="0025250D">
        <w:rPr>
          <w:vertAlign w:val="superscript"/>
          <w:rtl/>
        </w:rPr>
        <w:footnoteReference w:id="2790"/>
      </w:r>
    </w:p>
    <w:p w14:paraId="7267CFC8" w14:textId="77777777" w:rsidR="00537CC8" w:rsidRPr="0025250D" w:rsidRDefault="00537CC8" w:rsidP="00537CC8">
      <w:pPr>
        <w:rPr>
          <w:rtl/>
        </w:rPr>
      </w:pPr>
      <w:r w:rsidRPr="0025250D">
        <w:rPr>
          <w:rFonts w:hint="cs"/>
          <w:rtl/>
        </w:rPr>
        <w:t xml:space="preserve">طراحی و تولید سریع محصولات نمونه، اغلب از طریق </w:t>
      </w:r>
      <w:r w:rsidRPr="0025250D">
        <w:t>CAD-CAM</w:t>
      </w:r>
      <w:r w:rsidRPr="0025250D">
        <w:rPr>
          <w:rFonts w:hint="cs"/>
          <w:rtl/>
        </w:rPr>
        <w:t xml:space="preserve">، </w:t>
      </w:r>
      <w:r w:rsidRPr="0025250D">
        <w:t>CNC</w:t>
      </w:r>
      <w:r w:rsidRPr="0025250D">
        <w:rPr>
          <w:rFonts w:hint="cs"/>
          <w:rtl/>
        </w:rPr>
        <w:t>، یا تولید افزایشی</w:t>
      </w:r>
      <w:r w:rsidRPr="0025250D">
        <w:rPr>
          <w:vertAlign w:val="superscript"/>
          <w:rtl/>
        </w:rPr>
        <w:footnoteReference w:id="2791"/>
      </w:r>
      <w:r w:rsidRPr="0025250D">
        <w:rPr>
          <w:rFonts w:hint="cs"/>
          <w:rtl/>
        </w:rPr>
        <w:t>.</w:t>
      </w:r>
    </w:p>
    <w:p w14:paraId="139B1AC7" w14:textId="2D41A11E" w:rsidR="00537CC8" w:rsidRPr="0025250D" w:rsidRDefault="00537CC8" w:rsidP="00537CC8">
      <w:pPr>
        <w:rPr>
          <w:rtl/>
        </w:rPr>
      </w:pPr>
      <w:r w:rsidRPr="0025250D">
        <w:rPr>
          <w:rFonts w:hint="cs"/>
          <w:rtl/>
        </w:rPr>
        <w:t xml:space="preserve">توسعه </w:t>
      </w:r>
      <w:r w:rsidR="007A53FD" w:rsidRPr="0025250D">
        <w:rPr>
          <w:rFonts w:hint="cs"/>
          <w:rtl/>
        </w:rPr>
        <w:t>فرانامه</w:t>
      </w:r>
      <w:r w:rsidRPr="0025250D">
        <w:rPr>
          <w:rFonts w:hint="cs"/>
          <w:rtl/>
        </w:rPr>
        <w:t xml:space="preserve"> و روایت</w:t>
      </w:r>
      <w:r w:rsidRPr="0025250D">
        <w:rPr>
          <w:vertAlign w:val="superscript"/>
          <w:rtl/>
        </w:rPr>
        <w:footnoteReference w:id="2792"/>
      </w:r>
    </w:p>
    <w:p w14:paraId="405F0628" w14:textId="4120237E" w:rsidR="00537CC8" w:rsidRPr="0025250D" w:rsidRDefault="00B56611" w:rsidP="00537CC8">
      <w:pPr>
        <w:rPr>
          <w:rtl/>
        </w:rPr>
      </w:pPr>
      <w:r w:rsidRPr="0025250D">
        <w:rPr>
          <w:rFonts w:hint="cs"/>
          <w:rtl/>
        </w:rPr>
        <w:t>چشم‌انداز</w:t>
      </w:r>
      <w:r w:rsidR="00537CC8" w:rsidRPr="0025250D">
        <w:rPr>
          <w:rFonts w:hint="cs"/>
          <w:rtl/>
        </w:rPr>
        <w:t>‌هایی از حالات آینده و تغییرات باورپذیری که به آن‌ها منجر می‌شود. روش‌های متعدد (</w:t>
      </w:r>
      <w:r w:rsidR="002C61FC" w:rsidRPr="0025250D">
        <w:rPr>
          <w:rtl/>
        </w:rPr>
        <w:t>مانند</w:t>
      </w:r>
      <w:r w:rsidR="00537CC8" w:rsidRPr="0025250D">
        <w:rPr>
          <w:rFonts w:hint="cs"/>
          <w:rtl/>
        </w:rPr>
        <w:t xml:space="preserve"> روش </w:t>
      </w:r>
      <w:r w:rsidR="00537CC8" w:rsidRPr="0025250D">
        <w:t>GBN</w:t>
      </w:r>
      <w:r w:rsidR="00537CC8" w:rsidRPr="0025250D">
        <w:rPr>
          <w:rFonts w:hint="cs"/>
          <w:rtl/>
        </w:rPr>
        <w:t>).</w:t>
      </w:r>
    </w:p>
    <w:p w14:paraId="187BF969" w14:textId="77777777" w:rsidR="00537CC8" w:rsidRPr="0025250D" w:rsidRDefault="00537CC8" w:rsidP="00537CC8">
      <w:pPr>
        <w:rPr>
          <w:rtl/>
        </w:rPr>
      </w:pPr>
      <w:r w:rsidRPr="0025250D">
        <w:rPr>
          <w:rFonts w:hint="cs"/>
          <w:rtl/>
        </w:rPr>
        <w:t>شش کلاه</w:t>
      </w:r>
      <w:r w:rsidRPr="0025250D">
        <w:rPr>
          <w:vertAlign w:val="superscript"/>
          <w:rtl/>
        </w:rPr>
        <w:footnoteReference w:id="2793"/>
      </w:r>
    </w:p>
    <w:p w14:paraId="671BF28E" w14:textId="77777777" w:rsidR="00537CC8" w:rsidRPr="0025250D" w:rsidRDefault="00537CC8" w:rsidP="00537CC8">
      <w:pPr>
        <w:rPr>
          <w:rtl/>
        </w:rPr>
      </w:pPr>
      <w:r w:rsidRPr="0025250D">
        <w:rPr>
          <w:rFonts w:hint="cs"/>
          <w:rtl/>
        </w:rPr>
        <w:t>شش حالت تفکر مفید برای تسهیل ایده سازی و نقد تیمی و فردی (</w:t>
      </w:r>
      <w:r w:rsidRPr="0025250D">
        <w:rPr>
          <w:rtl/>
        </w:rPr>
        <w:t>ادوارد د</w:t>
      </w:r>
      <w:r w:rsidRPr="0025250D">
        <w:rPr>
          <w:rFonts w:hint="cs"/>
          <w:rtl/>
        </w:rPr>
        <w:t>ی</w:t>
      </w:r>
      <w:r w:rsidRPr="0025250D">
        <w:rPr>
          <w:rtl/>
        </w:rPr>
        <w:t xml:space="preserve"> بونو</w:t>
      </w:r>
      <w:r w:rsidRPr="0025250D">
        <w:rPr>
          <w:vertAlign w:val="superscript"/>
          <w:rtl/>
        </w:rPr>
        <w:footnoteReference w:id="2794"/>
      </w:r>
      <w:r w:rsidRPr="0025250D">
        <w:rPr>
          <w:rFonts w:hint="cs"/>
          <w:rtl/>
        </w:rPr>
        <w:t>).</w:t>
      </w:r>
    </w:p>
    <w:p w14:paraId="36352161" w14:textId="77777777" w:rsidR="00537CC8" w:rsidRPr="0025250D" w:rsidRDefault="00537CC8" w:rsidP="00537CC8">
      <w:pPr>
        <w:rPr>
          <w:rtl/>
        </w:rPr>
      </w:pPr>
      <w:r w:rsidRPr="0025250D">
        <w:rPr>
          <w:rFonts w:hint="cs"/>
          <w:rtl/>
        </w:rPr>
        <w:t>ادبیات</w:t>
      </w:r>
      <w:r w:rsidRPr="0025250D">
        <w:rPr>
          <w:rtl/>
        </w:rPr>
        <w:t xml:space="preserve"> </w:t>
      </w:r>
      <w:r w:rsidRPr="0025250D">
        <w:rPr>
          <w:rFonts w:hint="cs"/>
          <w:rtl/>
        </w:rPr>
        <w:t>گمانه‌زن</w:t>
      </w:r>
      <w:r w:rsidRPr="0025250D">
        <w:rPr>
          <w:vertAlign w:val="superscript"/>
          <w:rtl/>
        </w:rPr>
        <w:footnoteReference w:id="2795"/>
      </w:r>
    </w:p>
    <w:p w14:paraId="2F4E6061" w14:textId="77777777" w:rsidR="00537CC8" w:rsidRPr="0025250D" w:rsidRDefault="00537CC8" w:rsidP="00537CC8">
      <w:pPr>
        <w:rPr>
          <w:rtl/>
        </w:rPr>
      </w:pPr>
      <w:r w:rsidRPr="0025250D">
        <w:rPr>
          <w:rFonts w:hint="cs"/>
          <w:rtl/>
        </w:rPr>
        <w:t xml:space="preserve">تاریخ بدیل، آینده‌های بدیل، </w:t>
      </w:r>
      <w:r w:rsidRPr="0025250D">
        <w:rPr>
          <w:rtl/>
        </w:rPr>
        <w:t>تار</w:t>
      </w:r>
      <w:r w:rsidRPr="0025250D">
        <w:rPr>
          <w:rFonts w:hint="cs"/>
          <w:rtl/>
        </w:rPr>
        <w:t>ی</w:t>
      </w:r>
      <w:r w:rsidRPr="0025250D">
        <w:rPr>
          <w:rFonts w:hint="eastAsia"/>
          <w:rtl/>
        </w:rPr>
        <w:t>خچه</w:t>
      </w:r>
      <w:r w:rsidRPr="0025250D">
        <w:rPr>
          <w:rtl/>
        </w:rPr>
        <w:t xml:space="preserve"> خلاف واقع</w:t>
      </w:r>
      <w:r w:rsidRPr="0025250D">
        <w:rPr>
          <w:rFonts w:hint="cs"/>
          <w:rtl/>
        </w:rPr>
        <w:t>، تاریخ آینده، علمی تخیلی و تخیل آینده.</w:t>
      </w:r>
    </w:p>
    <w:p w14:paraId="6CD4306B" w14:textId="77777777" w:rsidR="00537CC8" w:rsidRPr="0025250D" w:rsidRDefault="00537CC8" w:rsidP="00537CC8">
      <w:pPr>
        <w:rPr>
          <w:rtl/>
        </w:rPr>
      </w:pPr>
      <w:r w:rsidRPr="0025250D">
        <w:rPr>
          <w:rFonts w:hint="cs"/>
          <w:rtl/>
        </w:rPr>
        <w:t>طراحی تجربه کاربر</w:t>
      </w:r>
      <w:r w:rsidRPr="0025250D">
        <w:rPr>
          <w:vertAlign w:val="superscript"/>
          <w:rtl/>
        </w:rPr>
        <w:footnoteReference w:id="2796"/>
      </w:r>
    </w:p>
    <w:p w14:paraId="23526824" w14:textId="77777777" w:rsidR="00537CC8" w:rsidRPr="0025250D" w:rsidRDefault="00537CC8" w:rsidP="00537CC8">
      <w:pPr>
        <w:rPr>
          <w:rtl/>
        </w:rPr>
      </w:pPr>
      <w:r w:rsidRPr="0025250D">
        <w:rPr>
          <w:rFonts w:hint="cs"/>
          <w:rtl/>
        </w:rPr>
        <w:t>نوآوری‌ها و آزمایش‌هایی برای بهبود قابلیت استفاده، سادگی کاربرد و لذت بردن از محصول توسط مشتری.</w:t>
      </w:r>
    </w:p>
    <w:p w14:paraId="2B71FCE1" w14:textId="3F72A13B" w:rsidR="00537CC8" w:rsidRPr="0025250D" w:rsidRDefault="00954C2E" w:rsidP="00537CC8">
      <w:pPr>
        <w:rPr>
          <w:rtl/>
        </w:rPr>
      </w:pPr>
      <w:r w:rsidRPr="0025250D">
        <w:rPr>
          <w:rFonts w:hint="cs"/>
          <w:rtl/>
        </w:rPr>
        <w:t>مرزپویی</w:t>
      </w:r>
      <w:r w:rsidRPr="0025250D">
        <w:rPr>
          <w:rStyle w:val="FootnoteReference"/>
          <w:rtl/>
        </w:rPr>
        <w:footnoteReference w:id="2797"/>
      </w:r>
    </w:p>
    <w:p w14:paraId="4EFF085F" w14:textId="5073B185" w:rsidR="00537CC8" w:rsidRPr="0025250D" w:rsidRDefault="00B13F65" w:rsidP="00537CC8">
      <w:pPr>
        <w:rPr>
          <w:rtl/>
        </w:rPr>
      </w:pPr>
      <w:r w:rsidRPr="0025250D">
        <w:rPr>
          <w:rFonts w:hint="cs"/>
          <w:rtl/>
        </w:rPr>
        <w:t>چارچوب</w:t>
      </w:r>
      <w:r w:rsidR="00537CC8" w:rsidRPr="0025250D">
        <w:rPr>
          <w:rFonts w:hint="cs"/>
          <w:rtl/>
        </w:rPr>
        <w:t xml:space="preserve"> </w:t>
      </w:r>
      <w:r w:rsidR="00537CC8" w:rsidRPr="0025250D">
        <w:rPr>
          <w:rtl/>
        </w:rPr>
        <w:t>آینده‌نگاری</w:t>
      </w:r>
      <w:r w:rsidR="00537CC8" w:rsidRPr="0025250D">
        <w:rPr>
          <w:rFonts w:hint="cs"/>
          <w:rtl/>
        </w:rPr>
        <w:t xml:space="preserve"> قوم نگاری که تمرکز را از پیشران‌ها به تأثیرات تغییر منتقل می‌کند (</w:t>
      </w:r>
      <w:r w:rsidR="00537CC8" w:rsidRPr="0025250D">
        <w:rPr>
          <w:rtl/>
        </w:rPr>
        <w:t>ر</w:t>
      </w:r>
      <w:r w:rsidR="00537CC8" w:rsidRPr="0025250D">
        <w:rPr>
          <w:rFonts w:hint="cs"/>
          <w:rtl/>
        </w:rPr>
        <w:t>ی</w:t>
      </w:r>
      <w:r w:rsidR="00537CC8" w:rsidRPr="0025250D">
        <w:rPr>
          <w:rFonts w:hint="eastAsia"/>
          <w:rtl/>
        </w:rPr>
        <w:t>چارد</w:t>
      </w:r>
      <w:r w:rsidR="00537CC8" w:rsidRPr="0025250D">
        <w:rPr>
          <w:rtl/>
        </w:rPr>
        <w:t xml:space="preserve"> لوم</w:t>
      </w:r>
      <w:r w:rsidR="00537CC8" w:rsidRPr="0025250D">
        <w:rPr>
          <w:vertAlign w:val="superscript"/>
          <w:rtl/>
        </w:rPr>
        <w:footnoteReference w:id="2798"/>
      </w:r>
      <w:r w:rsidR="00537CC8" w:rsidRPr="0025250D">
        <w:rPr>
          <w:rFonts w:hint="cs"/>
          <w:rtl/>
        </w:rPr>
        <w:t>).</w:t>
      </w:r>
    </w:p>
    <w:p w14:paraId="28F10D0A" w14:textId="31973458" w:rsidR="00537CC8" w:rsidRPr="0025250D" w:rsidRDefault="00537CC8" w:rsidP="003D3E0A">
      <w:pPr>
        <w:pStyle w:val="Heading3"/>
        <w:rPr>
          <w:rtl/>
        </w:rPr>
      </w:pPr>
      <w:r w:rsidRPr="0025250D">
        <w:rPr>
          <w:rFonts w:hint="cs"/>
          <w:rtl/>
        </w:rPr>
        <w:t xml:space="preserve">مهارت 4: روش‌های </w:t>
      </w:r>
      <w:r w:rsidR="00701E03" w:rsidRPr="0025250D">
        <w:rPr>
          <w:rFonts w:hint="cs"/>
          <w:rtl/>
        </w:rPr>
        <w:t>راهبرد</w:t>
      </w:r>
      <w:r w:rsidRPr="0025250D">
        <w:rPr>
          <w:rFonts w:hint="cs"/>
          <w:rtl/>
        </w:rPr>
        <w:t xml:space="preserve"> (تفکر در مورد موارد مرجح و قابل اجتناب)</w:t>
      </w:r>
    </w:p>
    <w:p w14:paraId="428DFB05" w14:textId="77777777" w:rsidR="00537CC8" w:rsidRPr="0025250D" w:rsidRDefault="00537CC8" w:rsidP="00537CC8">
      <w:pPr>
        <w:rPr>
          <w:rtl/>
        </w:rPr>
      </w:pPr>
      <w:r w:rsidRPr="0025250D">
        <w:rPr>
          <w:rFonts w:hint="cs"/>
          <w:rtl/>
        </w:rPr>
        <w:t>اقدام پژوهی</w:t>
      </w:r>
      <w:r w:rsidRPr="0025250D">
        <w:rPr>
          <w:vertAlign w:val="superscript"/>
          <w:rtl/>
        </w:rPr>
        <w:footnoteReference w:id="2799"/>
      </w:r>
    </w:p>
    <w:p w14:paraId="5BE3C61B" w14:textId="2862B7F2" w:rsidR="00537CC8" w:rsidRPr="0025250D" w:rsidRDefault="00537CC8" w:rsidP="00537CC8">
      <w:pPr>
        <w:rPr>
          <w:rtl/>
        </w:rPr>
      </w:pPr>
      <w:r w:rsidRPr="0025250D">
        <w:rPr>
          <w:rFonts w:hint="cs"/>
          <w:rtl/>
        </w:rPr>
        <w:t xml:space="preserve">یک فرایند مسئله محور از </w:t>
      </w:r>
      <w:r w:rsidR="00B124DE" w:rsidRPr="0025250D">
        <w:rPr>
          <w:rFonts w:hint="cs"/>
          <w:rtl/>
        </w:rPr>
        <w:t>برنامه‌ریزی</w:t>
      </w:r>
      <w:r w:rsidRPr="0025250D">
        <w:rPr>
          <w:rFonts w:hint="cs"/>
          <w:rtl/>
        </w:rPr>
        <w:t>، اقدام و تحقیق حقیقت یاب همزمان.</w:t>
      </w:r>
    </w:p>
    <w:p w14:paraId="4C33EB1A" w14:textId="77777777" w:rsidR="00537CC8" w:rsidRPr="0025250D" w:rsidRDefault="00537CC8" w:rsidP="00537CC8">
      <w:pPr>
        <w:rPr>
          <w:rtl/>
        </w:rPr>
      </w:pPr>
      <w:r w:rsidRPr="0025250D">
        <w:rPr>
          <w:rFonts w:hint="cs"/>
          <w:rtl/>
        </w:rPr>
        <w:t xml:space="preserve">تحلیل </w:t>
      </w:r>
      <w:r w:rsidRPr="0025250D">
        <w:t>ADOR</w:t>
      </w:r>
      <w:r w:rsidRPr="0025250D">
        <w:rPr>
          <w:vertAlign w:val="superscript"/>
        </w:rPr>
        <w:footnoteReference w:id="2800"/>
      </w:r>
    </w:p>
    <w:p w14:paraId="7ECF107E" w14:textId="39BA06EB" w:rsidR="00537CC8" w:rsidRPr="0025250D" w:rsidRDefault="00537CC8" w:rsidP="00537CC8">
      <w:pPr>
        <w:rPr>
          <w:rtl/>
        </w:rPr>
      </w:pPr>
      <w:r w:rsidRPr="0025250D">
        <w:rPr>
          <w:rFonts w:hint="cs"/>
          <w:rtl/>
        </w:rPr>
        <w:t xml:space="preserve">نسخه </w:t>
      </w:r>
      <w:r w:rsidRPr="0025250D">
        <w:t>4U</w:t>
      </w:r>
      <w:r w:rsidRPr="0025250D">
        <w:rPr>
          <w:rFonts w:hint="cs"/>
          <w:rtl/>
        </w:rPr>
        <w:t xml:space="preserve"> از تحلیل </w:t>
      </w:r>
      <w:r w:rsidRPr="0025250D">
        <w:t>SWOT</w:t>
      </w:r>
      <w:r w:rsidRPr="0025250D">
        <w:rPr>
          <w:rFonts w:hint="cs"/>
          <w:rtl/>
        </w:rPr>
        <w:t xml:space="preserve"> که با </w:t>
      </w:r>
      <w:r w:rsidR="00B124DE" w:rsidRPr="0025250D">
        <w:rPr>
          <w:rFonts w:hint="cs"/>
          <w:rtl/>
        </w:rPr>
        <w:t>جمع‌آوری</w:t>
      </w:r>
      <w:r w:rsidRPr="0025250D">
        <w:rPr>
          <w:rFonts w:hint="cs"/>
          <w:rtl/>
        </w:rPr>
        <w:t xml:space="preserve"> مزایای خارجی مرتبط (و اغلب </w:t>
      </w:r>
      <w:r w:rsidR="00B124DE" w:rsidRPr="0025250D">
        <w:rPr>
          <w:rFonts w:hint="cs"/>
          <w:rtl/>
        </w:rPr>
        <w:t>شتاب‌دار</w:t>
      </w:r>
      <w:r w:rsidRPr="0025250D">
        <w:rPr>
          <w:rFonts w:hint="cs"/>
          <w:rtl/>
        </w:rPr>
        <w:t xml:space="preserve">) آغاز می‌شود. در مقابل سوگیری </w:t>
      </w:r>
      <w:r w:rsidRPr="0025250D">
        <w:t>DROA</w:t>
      </w:r>
      <w:r w:rsidRPr="0025250D">
        <w:rPr>
          <w:rFonts w:hint="cs"/>
          <w:rtl/>
        </w:rPr>
        <w:t xml:space="preserve"> فرهنگی و سازمانی قرار می‌گیرد.</w:t>
      </w:r>
    </w:p>
    <w:p w14:paraId="68B8BFFC" w14:textId="6411AB1F" w:rsidR="00537CC8" w:rsidRPr="0025250D" w:rsidRDefault="00537CC8" w:rsidP="00537CC8">
      <w:pPr>
        <w:rPr>
          <w:rtl/>
        </w:rPr>
      </w:pPr>
      <w:r w:rsidRPr="0025250D">
        <w:rPr>
          <w:rFonts w:hint="cs"/>
          <w:rtl/>
        </w:rPr>
        <w:t>پس‌نگری/</w:t>
      </w:r>
      <w:r w:rsidRPr="0025250D">
        <w:t xml:space="preserve"> </w:t>
      </w:r>
      <w:r w:rsidRPr="0025250D">
        <w:rPr>
          <w:rFonts w:hint="cs"/>
          <w:rtl/>
        </w:rPr>
        <w:t xml:space="preserve">پس </w:t>
      </w:r>
      <w:r w:rsidR="00B124DE" w:rsidRPr="0025250D">
        <w:rPr>
          <w:rFonts w:hint="cs"/>
          <w:rtl/>
        </w:rPr>
        <w:t>برنامه‌ریزی</w:t>
      </w:r>
      <w:r w:rsidRPr="0025250D">
        <w:rPr>
          <w:vertAlign w:val="superscript"/>
          <w:rtl/>
        </w:rPr>
        <w:footnoteReference w:id="2801"/>
      </w:r>
    </w:p>
    <w:p w14:paraId="12AA1D76" w14:textId="77777777" w:rsidR="00537CC8" w:rsidRPr="0025250D" w:rsidRDefault="00537CC8" w:rsidP="00537CC8">
      <w:pPr>
        <w:rPr>
          <w:rtl/>
        </w:rPr>
      </w:pPr>
      <w:r w:rsidRPr="0025250D">
        <w:rPr>
          <w:rFonts w:hint="cs"/>
          <w:rtl/>
        </w:rPr>
        <w:t>ترسیم یک حالت مطلوب و کار رو به عقب برای استخراج گام‌های عملی مهم لازم برای دست یابی به آن.</w:t>
      </w:r>
    </w:p>
    <w:p w14:paraId="2338F576" w14:textId="77777777" w:rsidR="00537CC8" w:rsidRPr="0025250D" w:rsidRDefault="00537CC8" w:rsidP="00537CC8">
      <w:pPr>
        <w:rPr>
          <w:rtl/>
        </w:rPr>
      </w:pPr>
      <w:r w:rsidRPr="0025250D">
        <w:rPr>
          <w:rFonts w:hint="cs"/>
          <w:rtl/>
        </w:rPr>
        <w:t>محک زنی</w:t>
      </w:r>
    </w:p>
    <w:p w14:paraId="5B2D6F2E" w14:textId="6FDF3F79" w:rsidR="00537CC8" w:rsidRPr="0025250D" w:rsidRDefault="00537CC8" w:rsidP="00537CC8">
      <w:pPr>
        <w:rPr>
          <w:rtl/>
        </w:rPr>
      </w:pPr>
      <w:r w:rsidRPr="0025250D">
        <w:rPr>
          <w:rFonts w:hint="cs"/>
          <w:rtl/>
        </w:rPr>
        <w:t xml:space="preserve">مقایسه‌های کمّی فعالیت‌ها </w:t>
      </w:r>
      <w:r w:rsidR="0061131C" w:rsidRPr="0025250D">
        <w:rPr>
          <w:rFonts w:hint="cs"/>
          <w:rtl/>
        </w:rPr>
        <w:t>ی</w:t>
      </w:r>
      <w:r w:rsidRPr="0025250D">
        <w:rPr>
          <w:rFonts w:hint="cs"/>
          <w:rtl/>
        </w:rPr>
        <w:t>ا عملکرد یک شرکت، صنعت، یا منطقه با دیگران.</w:t>
      </w:r>
    </w:p>
    <w:p w14:paraId="790F2434" w14:textId="77777777" w:rsidR="00537CC8" w:rsidRPr="0025250D" w:rsidRDefault="00537CC8" w:rsidP="00537CC8">
      <w:pPr>
        <w:rPr>
          <w:rtl/>
        </w:rPr>
      </w:pPr>
      <w:r w:rsidRPr="0025250D">
        <w:rPr>
          <w:rFonts w:hint="cs"/>
          <w:rtl/>
        </w:rPr>
        <w:t>تحلیل منافع/هزینه ها</w:t>
      </w:r>
      <w:r w:rsidRPr="0025250D">
        <w:rPr>
          <w:vertAlign w:val="superscript"/>
          <w:rtl/>
        </w:rPr>
        <w:footnoteReference w:id="2802"/>
      </w:r>
    </w:p>
    <w:p w14:paraId="54ECDFB1" w14:textId="77777777" w:rsidR="00537CC8" w:rsidRPr="0025250D" w:rsidRDefault="00537CC8" w:rsidP="00537CC8">
      <w:pPr>
        <w:rPr>
          <w:rtl/>
        </w:rPr>
      </w:pPr>
      <w:r w:rsidRPr="0025250D">
        <w:rPr>
          <w:rFonts w:hint="cs"/>
          <w:rtl/>
        </w:rPr>
        <w:t>محاسبه و مقایسه منافع و هزینه‌های یک پروژه، تصمیم، سیاست یا برنامه عملی.</w:t>
      </w:r>
    </w:p>
    <w:p w14:paraId="1E4E6C6F" w14:textId="7038D097" w:rsidR="00537CC8" w:rsidRPr="0025250D" w:rsidRDefault="00B124DE" w:rsidP="00537CC8">
      <w:pPr>
        <w:rPr>
          <w:rtl/>
        </w:rPr>
      </w:pPr>
      <w:r w:rsidRPr="0025250D">
        <w:rPr>
          <w:rFonts w:hint="cs"/>
          <w:rtl/>
        </w:rPr>
        <w:t>برنامه‌ریزی</w:t>
      </w:r>
      <w:r w:rsidR="00537CC8" w:rsidRPr="0025250D">
        <w:rPr>
          <w:rFonts w:hint="cs"/>
          <w:rtl/>
        </w:rPr>
        <w:t xml:space="preserve"> چرخه </w:t>
      </w:r>
      <w:r w:rsidRPr="0025250D">
        <w:rPr>
          <w:rFonts w:hint="cs"/>
          <w:rtl/>
        </w:rPr>
        <w:t>کسب‌و‌کار</w:t>
      </w:r>
      <w:r w:rsidR="00537CC8" w:rsidRPr="0025250D">
        <w:rPr>
          <w:vertAlign w:val="superscript"/>
          <w:rtl/>
        </w:rPr>
        <w:footnoteReference w:id="2803"/>
      </w:r>
    </w:p>
    <w:p w14:paraId="41A29DB7" w14:textId="367686BC" w:rsidR="00537CC8" w:rsidRPr="0025250D" w:rsidRDefault="00923DDB" w:rsidP="00537CC8">
      <w:pPr>
        <w:rPr>
          <w:rtl/>
        </w:rPr>
      </w:pPr>
      <w:r w:rsidRPr="0025250D">
        <w:rPr>
          <w:rFonts w:hint="cs"/>
          <w:rtl/>
        </w:rPr>
        <w:t>پیش‌انگاری</w:t>
      </w:r>
      <w:r w:rsidR="00537CC8" w:rsidRPr="0025250D">
        <w:rPr>
          <w:rFonts w:hint="cs"/>
          <w:rtl/>
        </w:rPr>
        <w:t xml:space="preserve"> و استفاده از چرخه‌های اقتصادی و </w:t>
      </w:r>
      <w:r w:rsidR="00B124DE" w:rsidRPr="0025250D">
        <w:rPr>
          <w:rFonts w:hint="cs"/>
          <w:rtl/>
        </w:rPr>
        <w:t>کسب‌و‌کار</w:t>
      </w:r>
      <w:r w:rsidR="00537CC8" w:rsidRPr="0025250D">
        <w:rPr>
          <w:rFonts w:hint="cs"/>
          <w:rtl/>
        </w:rPr>
        <w:t xml:space="preserve"> برای بهینه سازی تصمیمات.</w:t>
      </w:r>
    </w:p>
    <w:p w14:paraId="16894296" w14:textId="15634ACD" w:rsidR="00537CC8" w:rsidRPr="0025250D" w:rsidRDefault="00B124DE" w:rsidP="00537CC8">
      <w:pPr>
        <w:rPr>
          <w:rtl/>
        </w:rPr>
      </w:pPr>
      <w:r w:rsidRPr="0025250D">
        <w:rPr>
          <w:rFonts w:hint="cs"/>
          <w:rtl/>
        </w:rPr>
        <w:t>برنامه‌ریزی</w:t>
      </w:r>
      <w:r w:rsidR="00537CC8" w:rsidRPr="0025250D">
        <w:rPr>
          <w:rFonts w:hint="cs"/>
          <w:rtl/>
        </w:rPr>
        <w:t xml:space="preserve"> </w:t>
      </w:r>
      <w:r w:rsidR="008E4DB3" w:rsidRPr="0025250D">
        <w:rPr>
          <w:rFonts w:hint="cs"/>
          <w:rtl/>
        </w:rPr>
        <w:t>احتیاطی</w:t>
      </w:r>
      <w:r w:rsidR="00537CC8" w:rsidRPr="0025250D">
        <w:rPr>
          <w:rFonts w:hint="cs"/>
          <w:rtl/>
        </w:rPr>
        <w:t xml:space="preserve">/ </w:t>
      </w:r>
      <w:r w:rsidRPr="0025250D">
        <w:rPr>
          <w:rFonts w:hint="cs"/>
          <w:rtl/>
        </w:rPr>
        <w:t>برنامه‌ریزی</w:t>
      </w:r>
      <w:r w:rsidR="00537CC8" w:rsidRPr="0025250D">
        <w:rPr>
          <w:rFonts w:hint="cs"/>
          <w:rtl/>
        </w:rPr>
        <w:t xml:space="preserve"> گزینه ها</w:t>
      </w:r>
      <w:r w:rsidR="00537CC8" w:rsidRPr="0025250D">
        <w:rPr>
          <w:vertAlign w:val="superscript"/>
          <w:rtl/>
        </w:rPr>
        <w:footnoteReference w:id="2804"/>
      </w:r>
    </w:p>
    <w:p w14:paraId="2ACC2473" w14:textId="77777777" w:rsidR="00537CC8" w:rsidRPr="0025250D" w:rsidRDefault="00537CC8" w:rsidP="00537CC8">
      <w:pPr>
        <w:rPr>
          <w:rtl/>
        </w:rPr>
      </w:pPr>
      <w:r w:rsidRPr="0025250D">
        <w:rPr>
          <w:rFonts w:hint="cs"/>
          <w:rtl/>
        </w:rPr>
        <w:t>تولید برنامه‌ها برای برآمدها و گزینه‌هایی غیر از برنامه معمول (مورد انتظار، بدون غافل گیری).</w:t>
      </w:r>
    </w:p>
    <w:p w14:paraId="749F0CD7" w14:textId="77777777" w:rsidR="00537CC8" w:rsidRPr="0025250D" w:rsidRDefault="00537CC8" w:rsidP="00537CC8">
      <w:pPr>
        <w:rPr>
          <w:rtl/>
        </w:rPr>
      </w:pPr>
      <w:r w:rsidRPr="0025250D">
        <w:rPr>
          <w:rFonts w:hint="cs"/>
          <w:rtl/>
        </w:rPr>
        <w:t>مدلسازی تصمیم و تحقیق در عملیات/ علم مدیریت</w:t>
      </w:r>
      <w:r w:rsidRPr="0025250D">
        <w:rPr>
          <w:vertAlign w:val="superscript"/>
          <w:rtl/>
        </w:rPr>
        <w:footnoteReference w:id="2805"/>
      </w:r>
    </w:p>
    <w:p w14:paraId="14BC95BC" w14:textId="52EFCFD7" w:rsidR="00537CC8" w:rsidRPr="0025250D" w:rsidRDefault="00537CC8" w:rsidP="00537CC8">
      <w:pPr>
        <w:rPr>
          <w:rtl/>
        </w:rPr>
      </w:pPr>
      <w:r w:rsidRPr="0025250D">
        <w:rPr>
          <w:rFonts w:hint="cs"/>
          <w:rtl/>
        </w:rPr>
        <w:t xml:space="preserve">استفاده از روش بیزی و روش‌های </w:t>
      </w:r>
      <w:r w:rsidR="00FB6A7E" w:rsidRPr="0025250D">
        <w:rPr>
          <w:rFonts w:hint="cs"/>
          <w:rtl/>
        </w:rPr>
        <w:t>پیش‌نگری</w:t>
      </w:r>
      <w:r w:rsidRPr="0025250D">
        <w:rPr>
          <w:rFonts w:hint="cs"/>
          <w:rtl/>
        </w:rPr>
        <w:t xml:space="preserve"> و مدلسازی تصمیم‌گیری آماری دیگر مانند تحلیل گزینه‌های واقعی</w:t>
      </w:r>
      <w:r w:rsidRPr="0025250D">
        <w:rPr>
          <w:vertAlign w:val="superscript"/>
          <w:rtl/>
        </w:rPr>
        <w:footnoteReference w:id="2806"/>
      </w:r>
      <w:r w:rsidRPr="0025250D">
        <w:rPr>
          <w:rFonts w:hint="cs"/>
          <w:rtl/>
        </w:rPr>
        <w:t>.</w:t>
      </w:r>
    </w:p>
    <w:p w14:paraId="21C90A11" w14:textId="337ADE80" w:rsidR="00537CC8" w:rsidRPr="0025250D" w:rsidRDefault="008D6F97" w:rsidP="00537CC8">
      <w:pPr>
        <w:rPr>
          <w:rtl/>
        </w:rPr>
      </w:pPr>
      <w:r w:rsidRPr="0025250D">
        <w:rPr>
          <w:rFonts w:hint="cs"/>
          <w:rtl/>
        </w:rPr>
        <w:t>سامانه‌</w:t>
      </w:r>
      <w:r w:rsidR="00537CC8" w:rsidRPr="0025250D">
        <w:rPr>
          <w:rFonts w:hint="cs"/>
          <w:rtl/>
        </w:rPr>
        <w:t xml:space="preserve"> پشتیبانی از تصمیم‌گیری</w:t>
      </w:r>
      <w:r w:rsidR="00537CC8" w:rsidRPr="0025250D">
        <w:rPr>
          <w:vertAlign w:val="superscript"/>
          <w:rtl/>
        </w:rPr>
        <w:footnoteReference w:id="2807"/>
      </w:r>
    </w:p>
    <w:p w14:paraId="3893ED91" w14:textId="5BD376E9" w:rsidR="00537CC8" w:rsidRPr="0025250D" w:rsidRDefault="008D6F97" w:rsidP="00537CC8">
      <w:pPr>
        <w:rPr>
          <w:rtl/>
        </w:rPr>
      </w:pPr>
      <w:r w:rsidRPr="0025250D">
        <w:rPr>
          <w:rFonts w:hint="cs"/>
          <w:rtl/>
        </w:rPr>
        <w:t>سامانه‌</w:t>
      </w:r>
      <w:r w:rsidR="00537CC8" w:rsidRPr="0025250D">
        <w:rPr>
          <w:rFonts w:hint="cs"/>
          <w:rtl/>
        </w:rPr>
        <w:t xml:space="preserve"> فناوری اطلاعات که به تصمیم‌گیری مدیریت، از جمله مسائل کم‌تر ساختار بندی شده و کم‌تر مشخص شده</w:t>
      </w:r>
      <w:r w:rsidR="0061131C" w:rsidRPr="0025250D">
        <w:rPr>
          <w:rFonts w:hint="cs"/>
          <w:rtl/>
        </w:rPr>
        <w:t xml:space="preserve"> کمک می‌کند</w:t>
      </w:r>
      <w:r w:rsidR="00537CC8" w:rsidRPr="0025250D">
        <w:rPr>
          <w:rFonts w:hint="cs"/>
          <w:rtl/>
        </w:rPr>
        <w:t>.</w:t>
      </w:r>
    </w:p>
    <w:p w14:paraId="1E0DA0C8" w14:textId="2CA8C02B" w:rsidR="00537CC8" w:rsidRPr="0025250D" w:rsidRDefault="00701E03" w:rsidP="00537CC8">
      <w:pPr>
        <w:rPr>
          <w:rtl/>
        </w:rPr>
      </w:pPr>
      <w:r w:rsidRPr="0025250D">
        <w:rPr>
          <w:rFonts w:hint="cs"/>
          <w:rtl/>
        </w:rPr>
        <w:t>راهبرد</w:t>
      </w:r>
      <w:r w:rsidR="00537CC8" w:rsidRPr="0025250D">
        <w:rPr>
          <w:rFonts w:hint="cs"/>
          <w:rtl/>
        </w:rPr>
        <w:t xml:space="preserve"> پدیدار شونده</w:t>
      </w:r>
      <w:r w:rsidR="00537CC8" w:rsidRPr="0025250D">
        <w:rPr>
          <w:vertAlign w:val="superscript"/>
          <w:rtl/>
        </w:rPr>
        <w:footnoteReference w:id="2808"/>
      </w:r>
    </w:p>
    <w:p w14:paraId="0BDDC89D" w14:textId="4A666565" w:rsidR="00537CC8" w:rsidRPr="0025250D" w:rsidRDefault="00B124DE" w:rsidP="00537CC8">
      <w:pPr>
        <w:rPr>
          <w:rtl/>
        </w:rPr>
      </w:pPr>
      <w:r w:rsidRPr="0025250D">
        <w:rPr>
          <w:rFonts w:hint="cs"/>
          <w:rtl/>
        </w:rPr>
        <w:t>برنامه‌ریزی</w:t>
      </w:r>
      <w:r w:rsidR="00537CC8" w:rsidRPr="0025250D">
        <w:rPr>
          <w:rFonts w:hint="cs"/>
          <w:rtl/>
        </w:rPr>
        <w:t xml:space="preserve"> که 95 درصد پایین به بالا (محلی) و 5 درصد بحرانی </w:t>
      </w:r>
      <w:r w:rsidR="009D17DA" w:rsidRPr="0025250D">
        <w:rPr>
          <w:rFonts w:hint="cs"/>
          <w:rtl/>
        </w:rPr>
        <w:t>بالا‌به‌پایین</w:t>
      </w:r>
      <w:r w:rsidR="00537CC8" w:rsidRPr="0025250D">
        <w:rPr>
          <w:rFonts w:hint="cs"/>
          <w:rtl/>
        </w:rPr>
        <w:t xml:space="preserve"> است. کتاب خارج از کنترل</w:t>
      </w:r>
      <w:r w:rsidR="00537CC8" w:rsidRPr="0025250D">
        <w:rPr>
          <w:vertAlign w:val="superscript"/>
          <w:rtl/>
        </w:rPr>
        <w:footnoteReference w:id="2809"/>
      </w:r>
      <w:r w:rsidR="00537CC8" w:rsidRPr="0025250D">
        <w:rPr>
          <w:rFonts w:hint="cs"/>
          <w:rtl/>
        </w:rPr>
        <w:t xml:space="preserve"> اثر </w:t>
      </w:r>
      <w:r w:rsidR="00537CC8" w:rsidRPr="0025250D">
        <w:rPr>
          <w:rtl/>
        </w:rPr>
        <w:t>کو</w:t>
      </w:r>
      <w:r w:rsidR="00537CC8" w:rsidRPr="0025250D">
        <w:rPr>
          <w:rFonts w:hint="cs"/>
          <w:rtl/>
        </w:rPr>
        <w:t>ی</w:t>
      </w:r>
      <w:r w:rsidR="00537CC8" w:rsidRPr="0025250D">
        <w:rPr>
          <w:rFonts w:hint="eastAsia"/>
          <w:rtl/>
        </w:rPr>
        <w:t>ن</w:t>
      </w:r>
      <w:r w:rsidR="00537CC8" w:rsidRPr="0025250D">
        <w:rPr>
          <w:rtl/>
        </w:rPr>
        <w:t xml:space="preserve"> کل</w:t>
      </w:r>
      <w:r w:rsidR="00537CC8" w:rsidRPr="0025250D">
        <w:rPr>
          <w:rFonts w:hint="cs"/>
          <w:rtl/>
        </w:rPr>
        <w:t>ی</w:t>
      </w:r>
      <w:r w:rsidR="00537CC8" w:rsidRPr="0025250D">
        <w:rPr>
          <w:vertAlign w:val="superscript"/>
          <w:rtl/>
        </w:rPr>
        <w:footnoteReference w:id="2810"/>
      </w:r>
      <w:r w:rsidR="00537CC8" w:rsidRPr="0025250D">
        <w:rPr>
          <w:rFonts w:hint="cs"/>
          <w:rtl/>
        </w:rPr>
        <w:t xml:space="preserve"> در سال 1994 را ببینید.</w:t>
      </w:r>
    </w:p>
    <w:p w14:paraId="5665EC1A" w14:textId="77777777" w:rsidR="00537CC8" w:rsidRPr="0025250D" w:rsidRDefault="00537CC8" w:rsidP="00537CC8">
      <w:pPr>
        <w:rPr>
          <w:rtl/>
        </w:rPr>
      </w:pPr>
      <w:r w:rsidRPr="0025250D">
        <w:rPr>
          <w:rFonts w:hint="cs"/>
          <w:rtl/>
        </w:rPr>
        <w:t>تحلیل مسائل پدیدار شونده</w:t>
      </w:r>
      <w:r w:rsidRPr="0025250D">
        <w:rPr>
          <w:vertAlign w:val="superscript"/>
          <w:rtl/>
        </w:rPr>
        <w:footnoteReference w:id="2811"/>
      </w:r>
    </w:p>
    <w:p w14:paraId="1F1F7CB6" w14:textId="77777777" w:rsidR="00537CC8" w:rsidRPr="0025250D" w:rsidRDefault="00537CC8" w:rsidP="00537CC8">
      <w:pPr>
        <w:rPr>
          <w:rtl/>
        </w:rPr>
      </w:pPr>
      <w:r w:rsidRPr="0025250D">
        <w:rPr>
          <w:rFonts w:hint="cs"/>
          <w:rtl/>
        </w:rPr>
        <w:t>تحلیل نشانک‌های ضعیف (مسائل پدیدار شونده) که در حال حاضر از نظر قدرت در حال رشد هستند. در قانون و هر جای دیگری استفاده می‌شوند.</w:t>
      </w:r>
    </w:p>
    <w:p w14:paraId="16000EBD" w14:textId="77777777" w:rsidR="00537CC8" w:rsidRPr="0025250D" w:rsidRDefault="00537CC8" w:rsidP="00537CC8">
      <w:pPr>
        <w:rPr>
          <w:rtl/>
        </w:rPr>
      </w:pPr>
      <w:r w:rsidRPr="0025250D">
        <w:rPr>
          <w:rFonts w:hint="cs"/>
          <w:rtl/>
        </w:rPr>
        <w:t>منظر تناسب</w:t>
      </w:r>
      <w:r w:rsidRPr="0025250D">
        <w:rPr>
          <w:vertAlign w:val="superscript"/>
          <w:rtl/>
        </w:rPr>
        <w:footnoteReference w:id="2812"/>
      </w:r>
    </w:p>
    <w:p w14:paraId="1B421A1E" w14:textId="1609DDB2" w:rsidR="00537CC8" w:rsidRPr="0025250D" w:rsidRDefault="00537CC8" w:rsidP="00537CC8">
      <w:pPr>
        <w:rPr>
          <w:rtl/>
        </w:rPr>
      </w:pPr>
      <w:r w:rsidRPr="0025250D">
        <w:rPr>
          <w:rFonts w:hint="cs"/>
          <w:rtl/>
        </w:rPr>
        <w:t xml:space="preserve">یک ماتریس سه بعدی، استفاده از دو متغیر، اغلب ناملموس (و پیمایش شده) برای تصویر سازی نقاط اوج و فرود </w:t>
      </w:r>
      <w:r w:rsidR="00AE5BE0" w:rsidRPr="0025250D">
        <w:rPr>
          <w:rFonts w:hint="cs"/>
          <w:rtl/>
        </w:rPr>
        <w:t>انطباقی</w:t>
      </w:r>
      <w:r w:rsidRPr="0025250D">
        <w:rPr>
          <w:rFonts w:hint="cs"/>
          <w:rtl/>
        </w:rPr>
        <w:t>.</w:t>
      </w:r>
    </w:p>
    <w:p w14:paraId="51F09FE1" w14:textId="31C41F19" w:rsidR="00537CC8" w:rsidRPr="0025250D" w:rsidRDefault="00701E03" w:rsidP="00537CC8">
      <w:pPr>
        <w:rPr>
          <w:rtl/>
        </w:rPr>
      </w:pPr>
      <w:r w:rsidRPr="0025250D">
        <w:rPr>
          <w:rFonts w:hint="cs"/>
          <w:rtl/>
        </w:rPr>
        <w:t>راهبرد</w:t>
      </w:r>
      <w:r w:rsidR="00537CC8" w:rsidRPr="0025250D">
        <w:rPr>
          <w:rFonts w:hint="cs"/>
          <w:rtl/>
        </w:rPr>
        <w:t xml:space="preserve"> چهار عاملی</w:t>
      </w:r>
      <w:r w:rsidR="00537CC8" w:rsidRPr="0025250D">
        <w:rPr>
          <w:vertAlign w:val="superscript"/>
          <w:rtl/>
        </w:rPr>
        <w:footnoteReference w:id="2813"/>
      </w:r>
    </w:p>
    <w:p w14:paraId="1732504F" w14:textId="24070824" w:rsidR="00537CC8" w:rsidRPr="0025250D" w:rsidRDefault="00537CC8" w:rsidP="00701E03">
      <w:pPr>
        <w:rPr>
          <w:rtl/>
        </w:rPr>
      </w:pPr>
      <w:r w:rsidRPr="0025250D">
        <w:rPr>
          <w:rFonts w:hint="cs"/>
          <w:rtl/>
        </w:rPr>
        <w:t xml:space="preserve">مدل چهار عاملی با شش نوع از </w:t>
      </w:r>
      <w:r w:rsidR="00701E03" w:rsidRPr="0025250D">
        <w:rPr>
          <w:rFonts w:hint="cs"/>
          <w:rtl/>
        </w:rPr>
        <w:t xml:space="preserve">راهبردشناسان </w:t>
      </w:r>
      <w:r w:rsidRPr="0025250D">
        <w:rPr>
          <w:rFonts w:hint="cs"/>
          <w:rtl/>
        </w:rPr>
        <w:t>(عملگر‌ها، عاملان اجرایی، مدیران</w:t>
      </w:r>
      <w:r w:rsidRPr="0025250D">
        <w:rPr>
          <w:vertAlign w:val="superscript"/>
          <w:rtl/>
        </w:rPr>
        <w:footnoteReference w:id="2814"/>
      </w:r>
      <w:r w:rsidRPr="0025250D">
        <w:rPr>
          <w:rFonts w:hint="cs"/>
          <w:rtl/>
        </w:rPr>
        <w:t xml:space="preserve">، کارآفرینان، پیشتازان، </w:t>
      </w:r>
      <w:r w:rsidR="00B56611" w:rsidRPr="0025250D">
        <w:rPr>
          <w:rFonts w:hint="cs"/>
          <w:rtl/>
        </w:rPr>
        <w:t>چشم‌انداز</w:t>
      </w:r>
      <w:r w:rsidRPr="0025250D">
        <w:rPr>
          <w:rFonts w:hint="cs"/>
          <w:rtl/>
        </w:rPr>
        <w:t xml:space="preserve"> گرایان).</w:t>
      </w:r>
    </w:p>
    <w:p w14:paraId="003FAAD0" w14:textId="5A85AA80" w:rsidR="00537CC8" w:rsidRPr="0025250D" w:rsidRDefault="00537CC8" w:rsidP="00537CC8">
      <w:pPr>
        <w:rPr>
          <w:rtl/>
        </w:rPr>
      </w:pPr>
      <w:r w:rsidRPr="0025250D">
        <w:rPr>
          <w:rFonts w:hint="cs"/>
          <w:rtl/>
        </w:rPr>
        <w:t>تحلیل پنج نیروی پ</w:t>
      </w:r>
      <w:r w:rsidR="0061131C" w:rsidRPr="0025250D">
        <w:rPr>
          <w:rFonts w:hint="cs"/>
          <w:rtl/>
        </w:rPr>
        <w:t>و</w:t>
      </w:r>
      <w:r w:rsidRPr="0025250D">
        <w:rPr>
          <w:rFonts w:hint="cs"/>
          <w:rtl/>
        </w:rPr>
        <w:t>رتر</w:t>
      </w:r>
      <w:r w:rsidRPr="0025250D">
        <w:rPr>
          <w:vertAlign w:val="superscript"/>
          <w:rtl/>
        </w:rPr>
        <w:footnoteReference w:id="2815"/>
      </w:r>
    </w:p>
    <w:p w14:paraId="2588A550" w14:textId="2E4E7FD6" w:rsidR="00537CC8" w:rsidRPr="0025250D" w:rsidRDefault="00B13F65" w:rsidP="00537CC8">
      <w:pPr>
        <w:rPr>
          <w:rtl/>
        </w:rPr>
      </w:pPr>
      <w:r w:rsidRPr="0025250D">
        <w:rPr>
          <w:rFonts w:hint="cs"/>
          <w:rtl/>
        </w:rPr>
        <w:t>چارچوب</w:t>
      </w:r>
      <w:r w:rsidR="00537CC8" w:rsidRPr="0025250D">
        <w:rPr>
          <w:rFonts w:hint="cs"/>
          <w:rtl/>
        </w:rPr>
        <w:t xml:space="preserve"> </w:t>
      </w:r>
      <w:r w:rsidR="00537CC8" w:rsidRPr="0025250D">
        <w:rPr>
          <w:rtl/>
        </w:rPr>
        <w:t>ما</w:t>
      </w:r>
      <w:r w:rsidR="00537CC8" w:rsidRPr="0025250D">
        <w:rPr>
          <w:rFonts w:hint="cs"/>
          <w:rtl/>
        </w:rPr>
        <w:t>ی</w:t>
      </w:r>
      <w:r w:rsidR="00537CC8" w:rsidRPr="0025250D">
        <w:rPr>
          <w:rFonts w:hint="eastAsia"/>
          <w:rtl/>
        </w:rPr>
        <w:t>کل</w:t>
      </w:r>
      <w:r w:rsidR="00537CC8" w:rsidRPr="0025250D">
        <w:rPr>
          <w:rtl/>
        </w:rPr>
        <w:t xml:space="preserve"> پورتر</w:t>
      </w:r>
      <w:r w:rsidR="00537CC8" w:rsidRPr="0025250D">
        <w:rPr>
          <w:rFonts w:hint="cs"/>
          <w:rtl/>
        </w:rPr>
        <w:t xml:space="preserve"> برای تحلیل صنعت و توسعه </w:t>
      </w:r>
      <w:r w:rsidR="00701E03" w:rsidRPr="0025250D">
        <w:rPr>
          <w:rFonts w:hint="cs"/>
          <w:rtl/>
        </w:rPr>
        <w:t>راهبرد</w:t>
      </w:r>
      <w:r w:rsidR="00537CC8" w:rsidRPr="0025250D">
        <w:rPr>
          <w:rFonts w:hint="cs"/>
          <w:rtl/>
        </w:rPr>
        <w:t xml:space="preserve"> </w:t>
      </w:r>
      <w:r w:rsidR="00B124DE" w:rsidRPr="0025250D">
        <w:rPr>
          <w:rFonts w:hint="cs"/>
          <w:rtl/>
        </w:rPr>
        <w:t>کسب‌و‌کار</w:t>
      </w:r>
      <w:r w:rsidR="00537CC8" w:rsidRPr="0025250D">
        <w:rPr>
          <w:rFonts w:hint="cs"/>
          <w:rtl/>
        </w:rPr>
        <w:t>.</w:t>
      </w:r>
    </w:p>
    <w:p w14:paraId="063AA6F0" w14:textId="5F60EA91" w:rsidR="00537CC8" w:rsidRPr="0025250D" w:rsidRDefault="00537CC8" w:rsidP="00537CC8">
      <w:pPr>
        <w:rPr>
          <w:rtl/>
        </w:rPr>
      </w:pPr>
      <w:r w:rsidRPr="0025250D">
        <w:rPr>
          <w:rFonts w:hint="cs"/>
          <w:rtl/>
        </w:rPr>
        <w:t xml:space="preserve">تحلیل تاریخی و </w:t>
      </w:r>
      <w:r w:rsidR="00954C2E" w:rsidRPr="0025250D">
        <w:rPr>
          <w:rFonts w:hint="cs"/>
          <w:rtl/>
        </w:rPr>
        <w:t>اقتصاد تاریخ</w:t>
      </w:r>
      <w:r w:rsidRPr="0025250D">
        <w:rPr>
          <w:vertAlign w:val="superscript"/>
        </w:rPr>
        <w:footnoteReference w:id="2816"/>
      </w:r>
    </w:p>
    <w:p w14:paraId="132301E2" w14:textId="77777777" w:rsidR="00537CC8" w:rsidRPr="0025250D" w:rsidRDefault="00537CC8" w:rsidP="00537CC8">
      <w:pPr>
        <w:rPr>
          <w:rtl/>
        </w:rPr>
      </w:pPr>
      <w:r w:rsidRPr="0025250D">
        <w:rPr>
          <w:rFonts w:hint="cs"/>
          <w:rtl/>
        </w:rPr>
        <w:t>تحقیق تاریخی رویداد‌ها داده‌های گذشته برای درک بهتر یا پیش‌بینی بهتر محیط فعلی</w:t>
      </w:r>
    </w:p>
    <w:p w14:paraId="410BF386" w14:textId="74B532FF" w:rsidR="00537CC8" w:rsidRPr="0025250D" w:rsidRDefault="00537CC8" w:rsidP="00537CC8">
      <w:pPr>
        <w:rPr>
          <w:rtl/>
        </w:rPr>
      </w:pPr>
      <w:r w:rsidRPr="0025250D">
        <w:rPr>
          <w:rFonts w:hint="cs"/>
          <w:rtl/>
        </w:rPr>
        <w:t xml:space="preserve">ره‌نگاشت صنعت، </w:t>
      </w:r>
      <w:r w:rsidR="007A53FD" w:rsidRPr="0025250D">
        <w:rPr>
          <w:rFonts w:hint="cs"/>
          <w:rtl/>
        </w:rPr>
        <w:t>فناوری</w:t>
      </w:r>
      <w:r w:rsidRPr="0025250D">
        <w:rPr>
          <w:rFonts w:hint="cs"/>
          <w:rtl/>
        </w:rPr>
        <w:t xml:space="preserve"> و محصول</w:t>
      </w:r>
      <w:r w:rsidRPr="0025250D">
        <w:rPr>
          <w:vertAlign w:val="superscript"/>
          <w:rtl/>
        </w:rPr>
        <w:footnoteReference w:id="2817"/>
      </w:r>
    </w:p>
    <w:p w14:paraId="028A2CE8" w14:textId="798D4D5E" w:rsidR="00537CC8" w:rsidRPr="0025250D" w:rsidRDefault="00537CC8" w:rsidP="00537CC8">
      <w:pPr>
        <w:rPr>
          <w:rtl/>
        </w:rPr>
      </w:pPr>
      <w:r w:rsidRPr="0025250D">
        <w:rPr>
          <w:rFonts w:hint="cs"/>
          <w:rtl/>
        </w:rPr>
        <w:t xml:space="preserve">همکاری تخصصی برای </w:t>
      </w:r>
      <w:r w:rsidR="00B124DE" w:rsidRPr="0025250D">
        <w:rPr>
          <w:rFonts w:hint="cs"/>
          <w:rtl/>
        </w:rPr>
        <w:t>برنامه‌ریزی</w:t>
      </w:r>
      <w:r w:rsidRPr="0025250D">
        <w:rPr>
          <w:rFonts w:hint="cs"/>
          <w:rtl/>
        </w:rPr>
        <w:t xml:space="preserve"> اقدامات علمی، </w:t>
      </w:r>
      <w:r w:rsidR="007A53FD" w:rsidRPr="0025250D">
        <w:rPr>
          <w:rFonts w:hint="cs"/>
          <w:rtl/>
        </w:rPr>
        <w:t>فناوری</w:t>
      </w:r>
      <w:r w:rsidRPr="0025250D">
        <w:rPr>
          <w:rFonts w:hint="cs"/>
          <w:rtl/>
        </w:rPr>
        <w:t xml:space="preserve"> و سیاسی برای توسعه صنعت و محصول.</w:t>
      </w:r>
    </w:p>
    <w:p w14:paraId="09E96FDD" w14:textId="2E5BBD4E" w:rsidR="00537CC8" w:rsidRPr="0025250D" w:rsidRDefault="00B124DE" w:rsidP="00537CC8">
      <w:pPr>
        <w:rPr>
          <w:rtl/>
        </w:rPr>
      </w:pPr>
      <w:r w:rsidRPr="0025250D">
        <w:rPr>
          <w:rFonts w:hint="cs"/>
          <w:rtl/>
        </w:rPr>
        <w:t>برنامه‌ریزی</w:t>
      </w:r>
      <w:r w:rsidR="00537CC8" w:rsidRPr="0025250D">
        <w:rPr>
          <w:rFonts w:hint="cs"/>
          <w:rtl/>
        </w:rPr>
        <w:t xml:space="preserve"> دور بُرد</w:t>
      </w:r>
      <w:r w:rsidR="00537CC8" w:rsidRPr="0025250D">
        <w:rPr>
          <w:vertAlign w:val="superscript"/>
          <w:rtl/>
        </w:rPr>
        <w:footnoteReference w:id="2818"/>
      </w:r>
    </w:p>
    <w:p w14:paraId="5B7531E0" w14:textId="44E55896" w:rsidR="00537CC8" w:rsidRPr="0025250D" w:rsidRDefault="00537CC8" w:rsidP="00537CC8">
      <w:pPr>
        <w:rPr>
          <w:rtl/>
        </w:rPr>
      </w:pPr>
      <w:r w:rsidRPr="0025250D">
        <w:rPr>
          <w:rFonts w:hint="cs"/>
          <w:rtl/>
        </w:rPr>
        <w:t xml:space="preserve">استفاده از </w:t>
      </w:r>
      <w:r w:rsidR="00FB6A7E" w:rsidRPr="0025250D">
        <w:rPr>
          <w:rFonts w:hint="cs"/>
          <w:rtl/>
        </w:rPr>
        <w:t>پیش‌نگری</w:t>
      </w:r>
      <w:r w:rsidRPr="0025250D">
        <w:rPr>
          <w:rFonts w:hint="cs"/>
          <w:rtl/>
        </w:rPr>
        <w:t>‌های بلند مدت و آینده ورزی بدیل</w:t>
      </w:r>
      <w:r w:rsidRPr="0025250D">
        <w:rPr>
          <w:vertAlign w:val="superscript"/>
          <w:rtl/>
        </w:rPr>
        <w:footnoteReference w:id="2819"/>
      </w:r>
      <w:r w:rsidRPr="0025250D">
        <w:rPr>
          <w:rFonts w:hint="cs"/>
          <w:rtl/>
        </w:rPr>
        <w:t xml:space="preserve"> برای ساخت برنامه‌های چند ساله.</w:t>
      </w:r>
    </w:p>
    <w:p w14:paraId="3A073EE0" w14:textId="77777777" w:rsidR="00537CC8" w:rsidRPr="0025250D" w:rsidRDefault="00537CC8" w:rsidP="00537CC8">
      <w:pPr>
        <w:rPr>
          <w:rtl/>
        </w:rPr>
      </w:pPr>
      <w:r w:rsidRPr="0025250D">
        <w:rPr>
          <w:rFonts w:hint="cs"/>
          <w:rtl/>
        </w:rPr>
        <w:t>اهداف و نتایج کلیدی (</w:t>
      </w:r>
      <w:r w:rsidRPr="0025250D">
        <w:t>OKR</w:t>
      </w:r>
      <w:r w:rsidRPr="0025250D">
        <w:rPr>
          <w:rFonts w:hint="cs"/>
          <w:rtl/>
        </w:rPr>
        <w:t xml:space="preserve"> ها)</w:t>
      </w:r>
      <w:r w:rsidRPr="0025250D">
        <w:rPr>
          <w:vertAlign w:val="superscript"/>
          <w:rtl/>
        </w:rPr>
        <w:footnoteReference w:id="2820"/>
      </w:r>
    </w:p>
    <w:p w14:paraId="4303E021" w14:textId="77777777" w:rsidR="00537CC8" w:rsidRPr="0025250D" w:rsidRDefault="00537CC8" w:rsidP="00537CC8">
      <w:pPr>
        <w:rPr>
          <w:rtl/>
        </w:rPr>
      </w:pPr>
      <w:r w:rsidRPr="0025250D">
        <w:rPr>
          <w:rFonts w:hint="cs"/>
          <w:rtl/>
        </w:rPr>
        <w:t xml:space="preserve">یک روش عمدتا پایین به بالای تنظیم اهداف که اولین بار توسط </w:t>
      </w:r>
      <w:r w:rsidRPr="0025250D">
        <w:rPr>
          <w:rtl/>
        </w:rPr>
        <w:t>ا</w:t>
      </w:r>
      <w:r w:rsidRPr="0025250D">
        <w:rPr>
          <w:rFonts w:hint="cs"/>
          <w:rtl/>
        </w:rPr>
        <w:t>ی</w:t>
      </w:r>
      <w:r w:rsidRPr="0025250D">
        <w:rPr>
          <w:rFonts w:hint="eastAsia"/>
          <w:rtl/>
        </w:rPr>
        <w:t>نتل</w:t>
      </w:r>
      <w:r w:rsidRPr="0025250D">
        <w:rPr>
          <w:rFonts w:hint="cs"/>
          <w:rtl/>
        </w:rPr>
        <w:t xml:space="preserve"> در دهه 1970 انجام شد. این روش توسط گوگل و دیگران اصلاح شده است. امروزه به شکل فزاینده‌ای محبوب است.</w:t>
      </w:r>
    </w:p>
    <w:p w14:paraId="06BA3A24" w14:textId="041569C6" w:rsidR="00537CC8" w:rsidRPr="0025250D" w:rsidRDefault="00B124DE" w:rsidP="00537CC8">
      <w:pPr>
        <w:rPr>
          <w:rtl/>
        </w:rPr>
      </w:pPr>
      <w:r w:rsidRPr="0025250D">
        <w:rPr>
          <w:rFonts w:hint="cs"/>
          <w:rtl/>
        </w:rPr>
        <w:t>برنامه‌ریزی</w:t>
      </w:r>
      <w:r w:rsidR="00537CC8" w:rsidRPr="0025250D">
        <w:rPr>
          <w:rFonts w:hint="cs"/>
          <w:rtl/>
        </w:rPr>
        <w:t xml:space="preserve"> و یادگیری </w:t>
      </w:r>
      <w:r w:rsidR="00E4279E" w:rsidRPr="0025250D">
        <w:rPr>
          <w:rFonts w:hint="cs"/>
          <w:rtl/>
        </w:rPr>
        <w:t>فرانامه‌ای</w:t>
      </w:r>
      <w:r w:rsidR="00537CC8" w:rsidRPr="0025250D">
        <w:rPr>
          <w:vertAlign w:val="superscript"/>
          <w:rtl/>
        </w:rPr>
        <w:footnoteReference w:id="2821"/>
      </w:r>
    </w:p>
    <w:p w14:paraId="31553CFD" w14:textId="2C661437" w:rsidR="00537CC8" w:rsidRPr="0025250D" w:rsidRDefault="00362EF3" w:rsidP="00537CC8">
      <w:pPr>
        <w:rPr>
          <w:rtl/>
        </w:rPr>
      </w:pPr>
      <w:r w:rsidRPr="0025250D">
        <w:rPr>
          <w:rFonts w:hint="cs"/>
          <w:rtl/>
        </w:rPr>
        <w:t>فرانامه‌های</w:t>
      </w:r>
      <w:r w:rsidR="00537CC8" w:rsidRPr="0025250D">
        <w:rPr>
          <w:rFonts w:hint="cs"/>
          <w:rtl/>
        </w:rPr>
        <w:t xml:space="preserve"> رقیب توسعه یافته حول عدم قطعیت‌های آینده مهم، مورد استفاده برای یادگیری و </w:t>
      </w:r>
      <w:r w:rsidR="00B124DE" w:rsidRPr="0025250D">
        <w:rPr>
          <w:rFonts w:hint="cs"/>
          <w:rtl/>
        </w:rPr>
        <w:t>برنامه‌ریزی</w:t>
      </w:r>
      <w:r w:rsidR="00537CC8" w:rsidRPr="0025250D">
        <w:rPr>
          <w:rFonts w:hint="cs"/>
          <w:rtl/>
        </w:rPr>
        <w:t>.</w:t>
      </w:r>
    </w:p>
    <w:p w14:paraId="2E117B72" w14:textId="77777777" w:rsidR="00537CC8" w:rsidRPr="0025250D" w:rsidRDefault="00537CC8" w:rsidP="00537CC8">
      <w:pPr>
        <w:rPr>
          <w:rtl/>
        </w:rPr>
      </w:pPr>
      <w:r w:rsidRPr="0025250D">
        <w:rPr>
          <w:rFonts w:hint="cs"/>
          <w:rtl/>
        </w:rPr>
        <w:t xml:space="preserve">تنظیم اهداف </w:t>
      </w:r>
      <w:r w:rsidRPr="0025250D">
        <w:t>S.M.A.R.T</w:t>
      </w:r>
      <w:r w:rsidRPr="0025250D">
        <w:rPr>
          <w:vertAlign w:val="superscript"/>
        </w:rPr>
        <w:footnoteReference w:id="2822"/>
      </w:r>
    </w:p>
    <w:p w14:paraId="6FB98D77" w14:textId="23EAABA7" w:rsidR="00537CC8" w:rsidRPr="0025250D" w:rsidRDefault="00537CC8" w:rsidP="00537CC8">
      <w:pPr>
        <w:rPr>
          <w:rtl/>
        </w:rPr>
      </w:pPr>
      <w:r w:rsidRPr="0025250D">
        <w:rPr>
          <w:rFonts w:hint="cs"/>
          <w:rtl/>
        </w:rPr>
        <w:t xml:space="preserve">معیارهای خاص، قابل اندازه گیری، قابل تخصیص، </w:t>
      </w:r>
      <w:r w:rsidR="0008779C" w:rsidRPr="0025250D">
        <w:rPr>
          <w:rFonts w:hint="cs"/>
          <w:rtl/>
        </w:rPr>
        <w:t>واقع‌گرا</w:t>
      </w:r>
      <w:r w:rsidRPr="0025250D">
        <w:rPr>
          <w:rFonts w:hint="cs"/>
          <w:rtl/>
        </w:rPr>
        <w:t>یانه</w:t>
      </w:r>
      <w:r w:rsidR="008D6F97" w:rsidRPr="0025250D">
        <w:rPr>
          <w:rtl/>
        </w:rPr>
        <w:t xml:space="preserve"> </w:t>
      </w:r>
      <w:r w:rsidRPr="0025250D">
        <w:rPr>
          <w:rFonts w:hint="cs"/>
          <w:rtl/>
        </w:rPr>
        <w:t>و مقید شده از نظر زمانی.</w:t>
      </w:r>
    </w:p>
    <w:p w14:paraId="3C751241" w14:textId="3E85668A" w:rsidR="00537CC8" w:rsidRPr="0025250D" w:rsidRDefault="00537CC8" w:rsidP="00537CC8">
      <w:pPr>
        <w:rPr>
          <w:rtl/>
        </w:rPr>
      </w:pPr>
      <w:r w:rsidRPr="0025250D">
        <w:rPr>
          <w:rFonts w:hint="cs"/>
          <w:rtl/>
        </w:rPr>
        <w:t xml:space="preserve">مدیریت </w:t>
      </w:r>
      <w:r w:rsidR="00701E03" w:rsidRPr="0025250D">
        <w:rPr>
          <w:rFonts w:hint="cs"/>
          <w:rtl/>
        </w:rPr>
        <w:t>راهبردی</w:t>
      </w:r>
      <w:r w:rsidRPr="0025250D">
        <w:rPr>
          <w:vertAlign w:val="superscript"/>
          <w:rtl/>
        </w:rPr>
        <w:footnoteReference w:id="2823"/>
      </w:r>
    </w:p>
    <w:p w14:paraId="724A238C" w14:textId="52EE937B" w:rsidR="00537CC8" w:rsidRPr="0025250D" w:rsidRDefault="00B124DE" w:rsidP="00537CC8">
      <w:pPr>
        <w:rPr>
          <w:rtl/>
        </w:rPr>
      </w:pPr>
      <w:r w:rsidRPr="0025250D">
        <w:rPr>
          <w:rFonts w:hint="cs"/>
          <w:rtl/>
        </w:rPr>
        <w:t>برنامه‌ریزی</w:t>
      </w:r>
      <w:r w:rsidR="00537CC8" w:rsidRPr="0025250D">
        <w:rPr>
          <w:rFonts w:hint="cs"/>
          <w:rtl/>
        </w:rPr>
        <w:t>، اجرا و ارزیابی فعالیت‌های شرکت برای دست یابی و حفظ مزیت رقابتی.</w:t>
      </w:r>
    </w:p>
    <w:p w14:paraId="2142AD32" w14:textId="1C33519E" w:rsidR="00537CC8" w:rsidRPr="0025250D" w:rsidRDefault="00537CC8" w:rsidP="00537CC8">
      <w:pPr>
        <w:rPr>
          <w:rtl/>
        </w:rPr>
      </w:pPr>
      <w:r w:rsidRPr="0025250D">
        <w:rPr>
          <w:rFonts w:hint="cs"/>
          <w:rtl/>
        </w:rPr>
        <w:t xml:space="preserve">تفکر </w:t>
      </w:r>
      <w:r w:rsidR="00701E03" w:rsidRPr="0025250D">
        <w:rPr>
          <w:rFonts w:hint="cs"/>
          <w:rtl/>
        </w:rPr>
        <w:t>راهبردی</w:t>
      </w:r>
      <w:r w:rsidRPr="0025250D">
        <w:rPr>
          <w:vertAlign w:val="superscript"/>
          <w:rtl/>
        </w:rPr>
        <w:footnoteReference w:id="2824"/>
      </w:r>
    </w:p>
    <w:p w14:paraId="15FB0A0B" w14:textId="2C78D61B" w:rsidR="00537CC8" w:rsidRPr="0025250D" w:rsidRDefault="00537CC8" w:rsidP="00537CC8">
      <w:pPr>
        <w:rPr>
          <w:rtl/>
        </w:rPr>
      </w:pPr>
      <w:r w:rsidRPr="0025250D">
        <w:rPr>
          <w:rFonts w:hint="cs"/>
          <w:rtl/>
        </w:rPr>
        <w:t xml:space="preserve">تفکر </w:t>
      </w:r>
      <w:r w:rsidR="008D6F97" w:rsidRPr="0025250D">
        <w:rPr>
          <w:rFonts w:hint="cs"/>
          <w:rtl/>
        </w:rPr>
        <w:t>سامانه‌ای</w:t>
      </w:r>
      <w:r w:rsidRPr="0025250D">
        <w:rPr>
          <w:rFonts w:hint="cs"/>
          <w:rtl/>
        </w:rPr>
        <w:t xml:space="preserve"> برای تولید گزینه‌ها، برنامه‌ها و مزیت رقابتی.</w:t>
      </w:r>
    </w:p>
    <w:p w14:paraId="5ABD0849" w14:textId="09DDB8A3" w:rsidR="00537CC8" w:rsidRPr="0025250D" w:rsidRDefault="00B124DE" w:rsidP="00537CC8">
      <w:pPr>
        <w:rPr>
          <w:rtl/>
        </w:rPr>
      </w:pPr>
      <w:r w:rsidRPr="0025250D">
        <w:rPr>
          <w:rFonts w:hint="cs"/>
          <w:rtl/>
        </w:rPr>
        <w:t>برنامه‌ریزی</w:t>
      </w:r>
      <w:r w:rsidR="00537CC8" w:rsidRPr="0025250D">
        <w:rPr>
          <w:rFonts w:hint="cs"/>
          <w:rtl/>
        </w:rPr>
        <w:t xml:space="preserve"> </w:t>
      </w:r>
      <w:r w:rsidR="00701E03" w:rsidRPr="0025250D">
        <w:rPr>
          <w:rFonts w:hint="cs"/>
          <w:rtl/>
        </w:rPr>
        <w:t>راهبردی</w:t>
      </w:r>
      <w:r w:rsidR="00537CC8" w:rsidRPr="0025250D">
        <w:rPr>
          <w:vertAlign w:val="superscript"/>
          <w:rtl/>
        </w:rPr>
        <w:footnoteReference w:id="2825"/>
      </w:r>
    </w:p>
    <w:p w14:paraId="20F3AC84" w14:textId="77777777" w:rsidR="00537CC8" w:rsidRPr="0025250D" w:rsidRDefault="00537CC8" w:rsidP="00537CC8">
      <w:pPr>
        <w:rPr>
          <w:rtl/>
        </w:rPr>
      </w:pPr>
      <w:r w:rsidRPr="0025250D">
        <w:rPr>
          <w:rFonts w:hint="cs"/>
          <w:rtl/>
        </w:rPr>
        <w:t>تعیین و هماهنگ سازی اقدامات و تخصیص منابع در خدمت اهداف.</w:t>
      </w:r>
    </w:p>
    <w:p w14:paraId="3F2E0F2E" w14:textId="77777777" w:rsidR="00537CC8" w:rsidRPr="0025250D" w:rsidRDefault="00537CC8" w:rsidP="00537CC8">
      <w:pPr>
        <w:rPr>
          <w:rtl/>
        </w:rPr>
      </w:pPr>
      <w:r w:rsidRPr="0025250D">
        <w:rPr>
          <w:rFonts w:hint="cs"/>
          <w:rtl/>
        </w:rPr>
        <w:t xml:space="preserve">تحلیل </w:t>
      </w:r>
      <w:r w:rsidRPr="0025250D">
        <w:t>SWOT</w:t>
      </w:r>
      <w:r w:rsidRPr="0025250D">
        <w:rPr>
          <w:vertAlign w:val="superscript"/>
        </w:rPr>
        <w:footnoteReference w:id="2826"/>
      </w:r>
    </w:p>
    <w:p w14:paraId="65093FA2" w14:textId="77777777" w:rsidR="00537CC8" w:rsidRPr="0025250D" w:rsidRDefault="00537CC8" w:rsidP="00537CC8">
      <w:pPr>
        <w:rPr>
          <w:rtl/>
        </w:rPr>
      </w:pPr>
      <w:r w:rsidRPr="0025250D">
        <w:rPr>
          <w:rFonts w:hint="cs"/>
          <w:rtl/>
        </w:rPr>
        <w:t>ارزیابی نقاط قوت، ضعف، فرصت‌ها و تهدید‌ها در یک شرایط یا محیط مشخص.</w:t>
      </w:r>
    </w:p>
    <w:p w14:paraId="2EDB2795" w14:textId="6F121D75" w:rsidR="00537CC8" w:rsidRPr="0025250D" w:rsidRDefault="00537CC8" w:rsidP="00537CC8">
      <w:pPr>
        <w:rPr>
          <w:rtl/>
        </w:rPr>
      </w:pPr>
      <w:r w:rsidRPr="0025250D">
        <w:rPr>
          <w:rFonts w:hint="cs"/>
          <w:rtl/>
        </w:rPr>
        <w:t xml:space="preserve">تحلیل آمادگی </w:t>
      </w:r>
      <w:r w:rsidR="007A53FD" w:rsidRPr="0025250D">
        <w:rPr>
          <w:rFonts w:hint="cs"/>
          <w:rtl/>
        </w:rPr>
        <w:t>فناوری</w:t>
      </w:r>
      <w:r w:rsidRPr="0025250D">
        <w:rPr>
          <w:vertAlign w:val="superscript"/>
          <w:rtl/>
        </w:rPr>
        <w:footnoteReference w:id="2827"/>
      </w:r>
    </w:p>
    <w:p w14:paraId="288A5107" w14:textId="31202BD2" w:rsidR="00537CC8" w:rsidRPr="0025250D" w:rsidRDefault="00537CC8" w:rsidP="00537CC8">
      <w:pPr>
        <w:rPr>
          <w:rtl/>
        </w:rPr>
      </w:pPr>
      <w:r w:rsidRPr="0025250D">
        <w:rPr>
          <w:rFonts w:hint="cs"/>
          <w:rtl/>
        </w:rPr>
        <w:t xml:space="preserve">شناسایی و ارزیابی علم و </w:t>
      </w:r>
      <w:r w:rsidR="007A53FD" w:rsidRPr="0025250D">
        <w:rPr>
          <w:rFonts w:hint="cs"/>
          <w:rtl/>
        </w:rPr>
        <w:t>فناوری</w:t>
      </w:r>
      <w:r w:rsidRPr="0025250D">
        <w:rPr>
          <w:rFonts w:hint="cs"/>
          <w:rtl/>
        </w:rPr>
        <w:t xml:space="preserve"> انتقادی. تنظیم مقررات توسعه محصول یا بازار.</w:t>
      </w:r>
    </w:p>
    <w:p w14:paraId="5D534179" w14:textId="4A064CCE" w:rsidR="00537CC8" w:rsidRPr="0025250D" w:rsidRDefault="00EE4B64" w:rsidP="00537CC8">
      <w:pPr>
        <w:rPr>
          <w:rtl/>
        </w:rPr>
      </w:pPr>
      <w:r w:rsidRPr="0025250D">
        <w:rPr>
          <w:rFonts w:hint="cs"/>
          <w:rtl/>
        </w:rPr>
        <w:t>چشم‌اندازسازی</w:t>
      </w:r>
      <w:r w:rsidR="00537CC8" w:rsidRPr="0025250D">
        <w:rPr>
          <w:rFonts w:hint="cs"/>
          <w:rtl/>
        </w:rPr>
        <w:t xml:space="preserve"> (</w:t>
      </w:r>
      <w:r w:rsidR="00FB6A7E" w:rsidRPr="0025250D">
        <w:rPr>
          <w:rFonts w:hint="cs"/>
          <w:rtl/>
        </w:rPr>
        <w:t>پیش‌نگری</w:t>
      </w:r>
      <w:r w:rsidR="00537CC8" w:rsidRPr="0025250D">
        <w:rPr>
          <w:rFonts w:hint="cs"/>
          <w:rtl/>
        </w:rPr>
        <w:t xml:space="preserve"> هنجاری)</w:t>
      </w:r>
      <w:r w:rsidR="00537CC8" w:rsidRPr="0025250D">
        <w:rPr>
          <w:vertAlign w:val="superscript"/>
          <w:rtl/>
        </w:rPr>
        <w:footnoteReference w:id="2828"/>
      </w:r>
    </w:p>
    <w:p w14:paraId="5E03A72E" w14:textId="72042FE5" w:rsidR="00537CC8" w:rsidRPr="0025250D" w:rsidRDefault="00537CC8" w:rsidP="00537CC8">
      <w:pPr>
        <w:rPr>
          <w:rtl/>
        </w:rPr>
      </w:pPr>
      <w:r w:rsidRPr="0025250D">
        <w:rPr>
          <w:rFonts w:hint="cs"/>
          <w:rtl/>
        </w:rPr>
        <w:t xml:space="preserve">رهبر یا گروه </w:t>
      </w:r>
      <w:r w:rsidR="00B56611" w:rsidRPr="0025250D">
        <w:rPr>
          <w:rFonts w:hint="cs"/>
          <w:rtl/>
        </w:rPr>
        <w:t>چشم‌انداز</w:t>
      </w:r>
      <w:r w:rsidRPr="0025250D">
        <w:rPr>
          <w:rFonts w:hint="cs"/>
          <w:rtl/>
        </w:rPr>
        <w:t>‌های آینده مرجح (</w:t>
      </w:r>
      <w:r w:rsidR="00FB6A7E" w:rsidRPr="0025250D">
        <w:rPr>
          <w:rFonts w:hint="cs"/>
          <w:rtl/>
        </w:rPr>
        <w:t>پیش‌نگری</w:t>
      </w:r>
      <w:r w:rsidRPr="0025250D">
        <w:rPr>
          <w:rFonts w:hint="cs"/>
          <w:rtl/>
        </w:rPr>
        <w:t>‌های آرمانی) ایجاد می‌کند. می‌تواند به صورت کمّی ایجاد شود.</w:t>
      </w:r>
    </w:p>
    <w:p w14:paraId="4D3182F3" w14:textId="77777777" w:rsidR="00537CC8" w:rsidRPr="0025250D" w:rsidRDefault="00537CC8" w:rsidP="003D3E0A">
      <w:pPr>
        <w:pStyle w:val="Heading3"/>
        <w:rPr>
          <w:rtl/>
        </w:rPr>
      </w:pPr>
      <w:r w:rsidRPr="0025250D">
        <w:rPr>
          <w:rFonts w:hint="cs"/>
          <w:rtl/>
        </w:rPr>
        <w:t>مهارت 5: روش‌های اجرایی (تفکر محصول)</w:t>
      </w:r>
    </w:p>
    <w:p w14:paraId="7F798C0D" w14:textId="77777777" w:rsidR="00537CC8" w:rsidRPr="0025250D" w:rsidRDefault="00537CC8" w:rsidP="00537CC8">
      <w:pPr>
        <w:rPr>
          <w:rtl/>
        </w:rPr>
      </w:pPr>
      <w:r w:rsidRPr="0025250D">
        <w:rPr>
          <w:rFonts w:hint="cs"/>
          <w:rtl/>
        </w:rPr>
        <w:t>توسعه نرم افزار چابک و توسعه محصول ناب</w:t>
      </w:r>
      <w:r w:rsidRPr="0025250D">
        <w:rPr>
          <w:vertAlign w:val="superscript"/>
          <w:rtl/>
        </w:rPr>
        <w:footnoteReference w:id="2829"/>
      </w:r>
    </w:p>
    <w:p w14:paraId="74FEBE83" w14:textId="506774F4" w:rsidR="00537CC8" w:rsidRPr="0025250D" w:rsidRDefault="00537CC8" w:rsidP="00537CC8">
      <w:pPr>
        <w:rPr>
          <w:rtl/>
        </w:rPr>
      </w:pPr>
      <w:r w:rsidRPr="0025250D">
        <w:rPr>
          <w:rFonts w:hint="cs"/>
          <w:rtl/>
        </w:rPr>
        <w:t xml:space="preserve">روش‌های توسعه محصول تکرار شونده و تدریجی، بازه‌های </w:t>
      </w:r>
      <w:r w:rsidR="00A20CCB" w:rsidRPr="0025250D">
        <w:rPr>
          <w:rFonts w:hint="cs"/>
          <w:rtl/>
        </w:rPr>
        <w:t>زمان‌بندی</w:t>
      </w:r>
      <w:r w:rsidRPr="0025250D">
        <w:rPr>
          <w:rFonts w:hint="cs"/>
          <w:rtl/>
        </w:rPr>
        <w:t xml:space="preserve"> شده و بازخورد سریع از کاربر.</w:t>
      </w:r>
    </w:p>
    <w:p w14:paraId="6BDFA817" w14:textId="77777777" w:rsidR="00537CC8" w:rsidRPr="0025250D" w:rsidRDefault="00537CC8" w:rsidP="00537CC8">
      <w:pPr>
        <w:rPr>
          <w:rtl/>
        </w:rPr>
      </w:pPr>
      <w:r w:rsidRPr="0025250D">
        <w:rPr>
          <w:rFonts w:hint="cs"/>
          <w:rtl/>
        </w:rPr>
        <w:t>طراحی، مهندسی، تولید با کمک کامپیوتر (</w:t>
      </w:r>
      <w:r w:rsidRPr="0025250D">
        <w:t>CAD</w:t>
      </w:r>
      <w:r w:rsidRPr="0025250D">
        <w:rPr>
          <w:rFonts w:hint="cs"/>
          <w:rtl/>
        </w:rPr>
        <w:t xml:space="preserve">، </w:t>
      </w:r>
      <w:r w:rsidRPr="0025250D">
        <w:t>CAE</w:t>
      </w:r>
      <w:r w:rsidRPr="0025250D">
        <w:rPr>
          <w:rFonts w:hint="cs"/>
          <w:rtl/>
        </w:rPr>
        <w:t xml:space="preserve">، </w:t>
      </w:r>
      <w:r w:rsidRPr="0025250D">
        <w:t>CAM</w:t>
      </w:r>
      <w:r w:rsidRPr="0025250D">
        <w:rPr>
          <w:rFonts w:hint="cs"/>
          <w:rtl/>
        </w:rPr>
        <w:t>)</w:t>
      </w:r>
      <w:r w:rsidRPr="0025250D">
        <w:rPr>
          <w:vertAlign w:val="superscript"/>
          <w:rtl/>
        </w:rPr>
        <w:footnoteReference w:id="2830"/>
      </w:r>
    </w:p>
    <w:p w14:paraId="7E4067F9" w14:textId="3485EED3" w:rsidR="00537CC8" w:rsidRPr="0025250D" w:rsidRDefault="00537CC8" w:rsidP="00537CC8">
      <w:pPr>
        <w:rPr>
          <w:rtl/>
        </w:rPr>
      </w:pPr>
      <w:r w:rsidRPr="0025250D">
        <w:rPr>
          <w:rFonts w:hint="cs"/>
          <w:rtl/>
        </w:rPr>
        <w:t xml:space="preserve">نرم افزار و </w:t>
      </w:r>
      <w:r w:rsidR="008D6F97" w:rsidRPr="0025250D">
        <w:rPr>
          <w:rFonts w:hint="cs"/>
          <w:rtl/>
        </w:rPr>
        <w:t>سامانه‌</w:t>
      </w:r>
      <w:r w:rsidRPr="0025250D">
        <w:rPr>
          <w:rFonts w:hint="cs"/>
          <w:rtl/>
        </w:rPr>
        <w:t>‌های مبتنی بر کامپیوتر برای طراحی، مهندسی و تولید محصول.</w:t>
      </w:r>
    </w:p>
    <w:p w14:paraId="07E1B1C6" w14:textId="313A9C85" w:rsidR="00537CC8" w:rsidRPr="0025250D" w:rsidRDefault="00B124DE" w:rsidP="00537CC8">
      <w:pPr>
        <w:rPr>
          <w:rtl/>
        </w:rPr>
      </w:pPr>
      <w:r w:rsidRPr="0025250D">
        <w:rPr>
          <w:rFonts w:hint="cs"/>
          <w:rtl/>
        </w:rPr>
        <w:t>برنامه‌ریزی</w:t>
      </w:r>
      <w:r w:rsidR="00537CC8" w:rsidRPr="0025250D">
        <w:rPr>
          <w:rtl/>
        </w:rPr>
        <w:t xml:space="preserve"> </w:t>
      </w:r>
      <w:r w:rsidR="00537CC8" w:rsidRPr="0025250D">
        <w:rPr>
          <w:rFonts w:hint="cs"/>
          <w:rtl/>
        </w:rPr>
        <w:t>منابع</w:t>
      </w:r>
      <w:r w:rsidR="00537CC8" w:rsidRPr="0025250D">
        <w:rPr>
          <w:rtl/>
        </w:rPr>
        <w:t xml:space="preserve"> </w:t>
      </w:r>
      <w:r w:rsidR="00537CC8" w:rsidRPr="0025250D">
        <w:rPr>
          <w:rFonts w:hint="cs"/>
          <w:rtl/>
        </w:rPr>
        <w:t>سازمانی</w:t>
      </w:r>
      <w:r w:rsidR="00537CC8" w:rsidRPr="0025250D">
        <w:rPr>
          <w:vertAlign w:val="superscript"/>
          <w:rtl/>
        </w:rPr>
        <w:footnoteReference w:id="2831"/>
      </w:r>
    </w:p>
    <w:p w14:paraId="786DA536" w14:textId="54EAE9E2" w:rsidR="00537CC8" w:rsidRPr="0025250D" w:rsidRDefault="00537CC8" w:rsidP="00537CC8">
      <w:pPr>
        <w:rPr>
          <w:rtl/>
        </w:rPr>
      </w:pPr>
      <w:r w:rsidRPr="0025250D">
        <w:rPr>
          <w:rFonts w:hint="cs"/>
          <w:rtl/>
        </w:rPr>
        <w:t>مجموعه برنامه‌های کاربردی مدیریتی برای توسعه محصول، زنجیره تأمین و جریان کار.</w:t>
      </w:r>
    </w:p>
    <w:p w14:paraId="2167EFDF" w14:textId="556C5228" w:rsidR="00537CC8" w:rsidRPr="0025250D" w:rsidRDefault="00537CC8" w:rsidP="00537CC8">
      <w:pPr>
        <w:rPr>
          <w:rtl/>
        </w:rPr>
      </w:pPr>
      <w:r w:rsidRPr="0025250D">
        <w:rPr>
          <w:rFonts w:hint="cs"/>
          <w:rtl/>
        </w:rPr>
        <w:t>تولید ناب</w:t>
      </w:r>
      <w:r w:rsidRPr="0025250D">
        <w:rPr>
          <w:vertAlign w:val="superscript"/>
          <w:rtl/>
        </w:rPr>
        <w:footnoteReference w:id="2832"/>
      </w:r>
    </w:p>
    <w:p w14:paraId="2B69FD2E" w14:textId="5D44CA26" w:rsidR="00537CC8" w:rsidRPr="0025250D" w:rsidRDefault="00537CC8" w:rsidP="00537CC8">
      <w:pPr>
        <w:rPr>
          <w:rtl/>
        </w:rPr>
      </w:pPr>
      <w:r w:rsidRPr="0025250D">
        <w:rPr>
          <w:rFonts w:hint="cs"/>
          <w:rtl/>
        </w:rPr>
        <w:t>تولید با کاهش اتلاف، همراه با همراستا سازی منابع شرکت با تولید ارزش مشتری.</w:t>
      </w:r>
    </w:p>
    <w:p w14:paraId="1C2285E9" w14:textId="6B6DF625" w:rsidR="00537CC8" w:rsidRPr="0025250D" w:rsidRDefault="00537CC8" w:rsidP="00537CC8">
      <w:pPr>
        <w:rPr>
          <w:rtl/>
        </w:rPr>
      </w:pPr>
      <w:r w:rsidRPr="0025250D">
        <w:rPr>
          <w:rFonts w:hint="cs"/>
          <w:rtl/>
        </w:rPr>
        <w:t>تنظیم اهداف و انتظارات (</w:t>
      </w:r>
      <w:r w:rsidR="00954C2E" w:rsidRPr="0025250D">
        <w:rPr>
          <w:rFonts w:hint="cs"/>
          <w:rtl/>
        </w:rPr>
        <w:t>پیش ضمانت</w:t>
      </w:r>
      <w:r w:rsidRPr="0025250D">
        <w:rPr>
          <w:rFonts w:hint="cs"/>
          <w:rtl/>
        </w:rPr>
        <w:t>)</w:t>
      </w:r>
      <w:r w:rsidRPr="0025250D">
        <w:rPr>
          <w:vertAlign w:val="superscript"/>
          <w:rtl/>
        </w:rPr>
        <w:footnoteReference w:id="2833"/>
      </w:r>
    </w:p>
    <w:p w14:paraId="7377F7F6" w14:textId="77777777" w:rsidR="00537CC8" w:rsidRPr="0025250D" w:rsidRDefault="00537CC8" w:rsidP="00537CC8">
      <w:pPr>
        <w:rPr>
          <w:rtl/>
        </w:rPr>
      </w:pPr>
      <w:r w:rsidRPr="0025250D">
        <w:rPr>
          <w:rFonts w:hint="cs"/>
          <w:rtl/>
        </w:rPr>
        <w:t xml:space="preserve">شفاف سازی اهداف پیشنهادی کار </w:t>
      </w:r>
      <w:r w:rsidRPr="0025250D">
        <w:rPr>
          <w:rtl/>
        </w:rPr>
        <w:t>آینده‌نگاری</w:t>
      </w:r>
      <w:r w:rsidRPr="0025250D">
        <w:rPr>
          <w:rFonts w:hint="cs"/>
          <w:rtl/>
        </w:rPr>
        <w:t>، مدیریت انتظارات تیم از این فرایند.</w:t>
      </w:r>
    </w:p>
    <w:p w14:paraId="5C707AAC" w14:textId="77777777" w:rsidR="00537CC8" w:rsidRPr="0025250D" w:rsidRDefault="00537CC8" w:rsidP="00537CC8">
      <w:pPr>
        <w:rPr>
          <w:rtl/>
        </w:rPr>
      </w:pPr>
      <w:r w:rsidRPr="0025250D">
        <w:rPr>
          <w:rFonts w:hint="cs"/>
          <w:rtl/>
        </w:rPr>
        <w:t>نرم افزار مدیریت پروژه</w:t>
      </w:r>
      <w:r w:rsidRPr="0025250D">
        <w:rPr>
          <w:vertAlign w:val="superscript"/>
          <w:rtl/>
        </w:rPr>
        <w:footnoteReference w:id="2834"/>
      </w:r>
    </w:p>
    <w:p w14:paraId="621EFE4F" w14:textId="159F3329" w:rsidR="00537CC8" w:rsidRPr="0025250D" w:rsidRDefault="00537CC8" w:rsidP="00537CC8">
      <w:pPr>
        <w:rPr>
          <w:rtl/>
        </w:rPr>
      </w:pPr>
      <w:r w:rsidRPr="0025250D">
        <w:rPr>
          <w:rFonts w:hint="cs"/>
          <w:rtl/>
        </w:rPr>
        <w:t xml:space="preserve">نرم افزاری که </w:t>
      </w:r>
      <w:r w:rsidR="0061131C" w:rsidRPr="0025250D">
        <w:rPr>
          <w:rFonts w:hint="cs"/>
          <w:rtl/>
        </w:rPr>
        <w:t>در</w:t>
      </w:r>
      <w:r w:rsidRPr="0025250D">
        <w:rPr>
          <w:rFonts w:hint="cs"/>
          <w:rtl/>
        </w:rPr>
        <w:t xml:space="preserve"> تخمین، </w:t>
      </w:r>
      <w:r w:rsidR="00B124DE" w:rsidRPr="0025250D">
        <w:rPr>
          <w:rFonts w:hint="cs"/>
          <w:rtl/>
        </w:rPr>
        <w:t>برنامه‌ریزی</w:t>
      </w:r>
      <w:r w:rsidRPr="0025250D">
        <w:rPr>
          <w:rFonts w:hint="cs"/>
          <w:rtl/>
        </w:rPr>
        <w:t>، کنترل هزینه، همکاری و اداره پروژه کمک می‌کند.</w:t>
      </w:r>
    </w:p>
    <w:p w14:paraId="5A0F1721" w14:textId="77777777" w:rsidR="00537CC8" w:rsidRPr="0025250D" w:rsidRDefault="00537CC8" w:rsidP="00537CC8">
      <w:pPr>
        <w:rPr>
          <w:rtl/>
        </w:rPr>
      </w:pPr>
      <w:r w:rsidRPr="0025250D">
        <w:rPr>
          <w:rFonts w:hint="cs"/>
          <w:rtl/>
        </w:rPr>
        <w:t>انتخاب پروژه</w:t>
      </w:r>
      <w:r w:rsidRPr="0025250D">
        <w:rPr>
          <w:vertAlign w:val="superscript"/>
          <w:rtl/>
        </w:rPr>
        <w:footnoteReference w:id="2835"/>
      </w:r>
    </w:p>
    <w:p w14:paraId="0FF7458D" w14:textId="77777777" w:rsidR="00537CC8" w:rsidRPr="0025250D" w:rsidRDefault="00537CC8" w:rsidP="00537CC8">
      <w:pPr>
        <w:rPr>
          <w:rtl/>
        </w:rPr>
      </w:pPr>
      <w:r w:rsidRPr="0025250D">
        <w:rPr>
          <w:rFonts w:hint="cs"/>
          <w:rtl/>
        </w:rPr>
        <w:t xml:space="preserve">تحقیق و اراده برای تعریف پروژه (برنامه مشارکتی) برای کار </w:t>
      </w:r>
      <w:r w:rsidRPr="0025250D">
        <w:rPr>
          <w:rtl/>
        </w:rPr>
        <w:t>آینده‌نگاری</w:t>
      </w:r>
      <w:r w:rsidRPr="0025250D">
        <w:rPr>
          <w:rFonts w:hint="cs"/>
          <w:rtl/>
        </w:rPr>
        <w:t xml:space="preserve"> پیشنهادی</w:t>
      </w:r>
    </w:p>
    <w:p w14:paraId="1C33EFAB" w14:textId="77777777" w:rsidR="00537CC8" w:rsidRPr="0025250D" w:rsidRDefault="00537CC8" w:rsidP="00537CC8">
      <w:pPr>
        <w:rPr>
          <w:rtl/>
        </w:rPr>
      </w:pPr>
      <w:r w:rsidRPr="0025250D">
        <w:rPr>
          <w:rFonts w:hint="cs"/>
          <w:rtl/>
        </w:rPr>
        <w:t>تولید با پاسخ سریع</w:t>
      </w:r>
      <w:r w:rsidRPr="0025250D">
        <w:rPr>
          <w:vertAlign w:val="superscript"/>
          <w:rtl/>
        </w:rPr>
        <w:footnoteReference w:id="2836"/>
      </w:r>
    </w:p>
    <w:p w14:paraId="0F7E2481" w14:textId="10DA7414" w:rsidR="00537CC8" w:rsidRPr="0025250D" w:rsidRDefault="00701E03" w:rsidP="00537CC8">
      <w:pPr>
        <w:rPr>
          <w:rtl/>
        </w:rPr>
      </w:pPr>
      <w:r w:rsidRPr="0025250D">
        <w:rPr>
          <w:rFonts w:hint="cs"/>
          <w:rtl/>
        </w:rPr>
        <w:t>راهبرد</w:t>
      </w:r>
      <w:r w:rsidR="00537CC8" w:rsidRPr="0025250D">
        <w:rPr>
          <w:rFonts w:hint="cs"/>
          <w:rtl/>
        </w:rPr>
        <w:t>‌ها و ابزار‌های مدیریتی برای کوتاه کردن زمان رهبری و تلاش‌های متمرکز بر گلوگاه‌ها (مسیر‌های بحرانی).</w:t>
      </w:r>
    </w:p>
    <w:p w14:paraId="754B10DF" w14:textId="73E38019" w:rsidR="00537CC8" w:rsidRPr="0025250D" w:rsidRDefault="008D6F97" w:rsidP="00537CC8">
      <w:pPr>
        <w:rPr>
          <w:rtl/>
        </w:rPr>
      </w:pPr>
      <w:r w:rsidRPr="0025250D">
        <w:rPr>
          <w:rFonts w:hint="cs"/>
          <w:rtl/>
        </w:rPr>
        <w:t>سامانه‌</w:t>
      </w:r>
      <w:r w:rsidR="00537CC8" w:rsidRPr="0025250D">
        <w:rPr>
          <w:rFonts w:hint="cs"/>
          <w:rtl/>
        </w:rPr>
        <w:t xml:space="preserve">‌های کنترل </w:t>
      </w:r>
      <w:r w:rsidR="0008779C" w:rsidRPr="0025250D">
        <w:rPr>
          <w:rFonts w:hint="cs"/>
          <w:rtl/>
        </w:rPr>
        <w:t>تاب‌آور</w:t>
      </w:r>
      <w:r w:rsidR="00537CC8" w:rsidRPr="0025250D">
        <w:rPr>
          <w:rFonts w:hint="cs"/>
          <w:rtl/>
        </w:rPr>
        <w:t xml:space="preserve"> و نگهداری مبتنی بر قابلیت اطمینان</w:t>
      </w:r>
      <w:r w:rsidR="00537CC8" w:rsidRPr="0025250D">
        <w:rPr>
          <w:vertAlign w:val="superscript"/>
          <w:rtl/>
        </w:rPr>
        <w:footnoteReference w:id="2837"/>
      </w:r>
    </w:p>
    <w:p w14:paraId="5BD33B10" w14:textId="5D22C23C" w:rsidR="00537CC8" w:rsidRPr="0025250D" w:rsidRDefault="00537CC8" w:rsidP="00537CC8">
      <w:pPr>
        <w:rPr>
          <w:rtl/>
        </w:rPr>
      </w:pPr>
      <w:r w:rsidRPr="0025250D">
        <w:rPr>
          <w:rFonts w:hint="cs"/>
          <w:rtl/>
        </w:rPr>
        <w:t xml:space="preserve">روش‌هایی برای دست یابی به سطوح </w:t>
      </w:r>
      <w:r w:rsidR="0008779C" w:rsidRPr="0025250D">
        <w:rPr>
          <w:rFonts w:hint="cs"/>
          <w:rtl/>
        </w:rPr>
        <w:t>تاب‌آور</w:t>
      </w:r>
      <w:r w:rsidRPr="0025250D">
        <w:rPr>
          <w:rFonts w:hint="cs"/>
          <w:rtl/>
        </w:rPr>
        <w:t xml:space="preserve">ی و قابلیت اطمینان هدف در فرایند‌ها و دارایی‌های </w:t>
      </w:r>
      <w:r w:rsidR="00B124DE" w:rsidRPr="0025250D">
        <w:rPr>
          <w:rFonts w:hint="cs"/>
          <w:rtl/>
        </w:rPr>
        <w:t>کسب‌و‌کار</w:t>
      </w:r>
      <w:r w:rsidRPr="0025250D">
        <w:rPr>
          <w:rFonts w:hint="cs"/>
          <w:rtl/>
        </w:rPr>
        <w:t>.</w:t>
      </w:r>
    </w:p>
    <w:p w14:paraId="518DBEFC" w14:textId="2C2C0A46" w:rsidR="00537CC8" w:rsidRPr="0025250D" w:rsidRDefault="008D6F97" w:rsidP="00537CC8">
      <w:pPr>
        <w:rPr>
          <w:rtl/>
        </w:rPr>
      </w:pPr>
      <w:r w:rsidRPr="0025250D">
        <w:rPr>
          <w:rFonts w:hint="cs"/>
          <w:rtl/>
        </w:rPr>
        <w:t>سامانه‌</w:t>
      </w:r>
      <w:r w:rsidR="00537CC8" w:rsidRPr="0025250D">
        <w:rPr>
          <w:rFonts w:hint="cs"/>
          <w:rtl/>
        </w:rPr>
        <w:t>‌های مدیریت وظایف</w:t>
      </w:r>
      <w:r w:rsidR="00537CC8" w:rsidRPr="0025250D">
        <w:rPr>
          <w:vertAlign w:val="superscript"/>
          <w:rtl/>
        </w:rPr>
        <w:footnoteReference w:id="2838"/>
      </w:r>
    </w:p>
    <w:p w14:paraId="45E4B226" w14:textId="177A7BD9" w:rsidR="00537CC8" w:rsidRPr="0025250D" w:rsidRDefault="00537CC8" w:rsidP="00537CC8">
      <w:pPr>
        <w:rPr>
          <w:rtl/>
        </w:rPr>
      </w:pPr>
      <w:r w:rsidRPr="0025250D">
        <w:rPr>
          <w:rFonts w:hint="cs"/>
          <w:rtl/>
        </w:rPr>
        <w:t xml:space="preserve">روش‌ها و نرم افزارهایی برای سازماندهی، </w:t>
      </w:r>
      <w:r w:rsidR="007118DE" w:rsidRPr="0025250D">
        <w:rPr>
          <w:rFonts w:hint="cs"/>
          <w:rtl/>
        </w:rPr>
        <w:t>اولویت‌بندی</w:t>
      </w:r>
      <w:r w:rsidRPr="0025250D">
        <w:rPr>
          <w:rFonts w:hint="cs"/>
          <w:rtl/>
        </w:rPr>
        <w:t xml:space="preserve"> و اجرای فعالیت‌های روزانه (مثلا، </w:t>
      </w:r>
      <w:r w:rsidRPr="0025250D">
        <w:t>GTD</w:t>
      </w:r>
      <w:r w:rsidRPr="0025250D">
        <w:rPr>
          <w:rFonts w:hint="cs"/>
          <w:rtl/>
        </w:rPr>
        <w:t>، اومنی فوکس</w:t>
      </w:r>
      <w:r w:rsidRPr="0025250D">
        <w:rPr>
          <w:vertAlign w:val="superscript"/>
          <w:rtl/>
        </w:rPr>
        <w:footnoteReference w:id="2839"/>
      </w:r>
      <w:r w:rsidRPr="0025250D">
        <w:rPr>
          <w:rFonts w:hint="cs"/>
          <w:rtl/>
        </w:rPr>
        <w:t>).</w:t>
      </w:r>
    </w:p>
    <w:p w14:paraId="71932528" w14:textId="77777777" w:rsidR="00537CC8" w:rsidRPr="0025250D" w:rsidRDefault="00537CC8" w:rsidP="00537CC8">
      <w:pPr>
        <w:rPr>
          <w:rtl/>
        </w:rPr>
      </w:pPr>
      <w:r w:rsidRPr="0025250D">
        <w:rPr>
          <w:rFonts w:hint="cs"/>
          <w:rtl/>
        </w:rPr>
        <w:t>انتخاب محیط کار</w:t>
      </w:r>
      <w:r w:rsidRPr="0025250D">
        <w:rPr>
          <w:vertAlign w:val="superscript"/>
          <w:rtl/>
        </w:rPr>
        <w:footnoteReference w:id="2840"/>
      </w:r>
    </w:p>
    <w:p w14:paraId="35056911" w14:textId="77777777" w:rsidR="00537CC8" w:rsidRPr="0025250D" w:rsidRDefault="00537CC8" w:rsidP="00537CC8">
      <w:pPr>
        <w:rPr>
          <w:rtl/>
        </w:rPr>
      </w:pPr>
      <w:r w:rsidRPr="0025250D">
        <w:rPr>
          <w:rFonts w:hint="cs"/>
          <w:rtl/>
        </w:rPr>
        <w:t xml:space="preserve">ایجاد یک محیط کار یا انزوای فیزیکی و آنلاین که برای فرایند </w:t>
      </w:r>
      <w:r w:rsidRPr="0025250D">
        <w:rPr>
          <w:rtl/>
        </w:rPr>
        <w:t>آینده‌نگاری</w:t>
      </w:r>
      <w:r w:rsidRPr="0025250D">
        <w:rPr>
          <w:rFonts w:hint="cs"/>
          <w:rtl/>
        </w:rPr>
        <w:t xml:space="preserve"> خوب مساعد باشد.</w:t>
      </w:r>
    </w:p>
    <w:p w14:paraId="2B9C7CA1" w14:textId="4BBDDBE2" w:rsidR="00537CC8" w:rsidRPr="0025250D" w:rsidRDefault="00537CC8" w:rsidP="003D3E0A">
      <w:pPr>
        <w:pStyle w:val="Heading3"/>
        <w:rPr>
          <w:rtl/>
        </w:rPr>
      </w:pPr>
      <w:r w:rsidRPr="0025250D">
        <w:rPr>
          <w:rFonts w:hint="cs"/>
          <w:rtl/>
        </w:rPr>
        <w:t xml:space="preserve">مهارت 6: روش‌های </w:t>
      </w:r>
      <w:r w:rsidR="0008779C" w:rsidRPr="0025250D">
        <w:rPr>
          <w:rFonts w:hint="cs"/>
          <w:rtl/>
        </w:rPr>
        <w:t>تاثیرگذاری</w:t>
      </w:r>
      <w:r w:rsidRPr="0025250D">
        <w:rPr>
          <w:rFonts w:hint="cs"/>
          <w:rtl/>
        </w:rPr>
        <w:t xml:space="preserve"> (تفکر بازار)</w:t>
      </w:r>
    </w:p>
    <w:p w14:paraId="2D6602F5" w14:textId="77777777" w:rsidR="00537CC8" w:rsidRPr="0025250D" w:rsidRDefault="00537CC8" w:rsidP="00537CC8">
      <w:pPr>
        <w:rPr>
          <w:rtl/>
        </w:rPr>
      </w:pPr>
      <w:r w:rsidRPr="0025250D">
        <w:rPr>
          <w:rFonts w:hint="cs"/>
          <w:rtl/>
        </w:rPr>
        <w:t>تبلیغات و تبلیغات دیجیتال</w:t>
      </w:r>
      <w:r w:rsidRPr="0025250D">
        <w:rPr>
          <w:vertAlign w:val="superscript"/>
          <w:rtl/>
        </w:rPr>
        <w:footnoteReference w:id="2841"/>
      </w:r>
    </w:p>
    <w:p w14:paraId="3D8C3C02" w14:textId="70C5EC39" w:rsidR="00537CC8" w:rsidRPr="0025250D" w:rsidRDefault="00537CC8" w:rsidP="00537CC8">
      <w:pPr>
        <w:rPr>
          <w:rtl/>
        </w:rPr>
      </w:pPr>
      <w:r w:rsidRPr="0025250D">
        <w:rPr>
          <w:rFonts w:hint="cs"/>
          <w:rtl/>
        </w:rPr>
        <w:t xml:space="preserve">آگهی‌های بازاریابی مورد استفاده برای تشویق، متقاعد سازی یا </w:t>
      </w:r>
      <w:r w:rsidR="0008779C" w:rsidRPr="0025250D">
        <w:rPr>
          <w:rFonts w:hint="cs"/>
          <w:rtl/>
        </w:rPr>
        <w:t>تاثیرگذاری</w:t>
      </w:r>
      <w:r w:rsidRPr="0025250D">
        <w:rPr>
          <w:rFonts w:hint="cs"/>
          <w:rtl/>
        </w:rPr>
        <w:t xml:space="preserve"> بر یک مخاطب. منبع اطلاعات: عصر تبلیغات</w:t>
      </w:r>
      <w:r w:rsidRPr="0025250D">
        <w:rPr>
          <w:vertAlign w:val="superscript"/>
          <w:rtl/>
        </w:rPr>
        <w:footnoteReference w:id="2842"/>
      </w:r>
      <w:r w:rsidRPr="0025250D">
        <w:rPr>
          <w:rFonts w:hint="cs"/>
          <w:rtl/>
        </w:rPr>
        <w:t>.</w:t>
      </w:r>
    </w:p>
    <w:p w14:paraId="47E6EBBF" w14:textId="77777777" w:rsidR="00537CC8" w:rsidRPr="0025250D" w:rsidRDefault="00537CC8" w:rsidP="00537CC8">
      <w:pPr>
        <w:rPr>
          <w:rtl/>
        </w:rPr>
      </w:pPr>
      <w:r w:rsidRPr="0025250D">
        <w:rPr>
          <w:rFonts w:hint="cs"/>
          <w:rtl/>
        </w:rPr>
        <w:t>مدیریت</w:t>
      </w:r>
      <w:r w:rsidRPr="0025250D">
        <w:rPr>
          <w:rtl/>
        </w:rPr>
        <w:t xml:space="preserve"> </w:t>
      </w:r>
      <w:r w:rsidRPr="0025250D">
        <w:rPr>
          <w:rFonts w:hint="cs"/>
          <w:rtl/>
        </w:rPr>
        <w:t>برند</w:t>
      </w:r>
      <w:r w:rsidRPr="0025250D">
        <w:rPr>
          <w:rtl/>
        </w:rPr>
        <w:t xml:space="preserve"> </w:t>
      </w:r>
      <w:r w:rsidRPr="0025250D">
        <w:rPr>
          <w:rFonts w:hint="cs"/>
          <w:rtl/>
        </w:rPr>
        <w:t>و</w:t>
      </w:r>
      <w:r w:rsidRPr="0025250D">
        <w:rPr>
          <w:rtl/>
        </w:rPr>
        <w:t xml:space="preserve"> </w:t>
      </w:r>
      <w:r w:rsidRPr="0025250D">
        <w:rPr>
          <w:rFonts w:hint="cs"/>
          <w:rtl/>
        </w:rPr>
        <w:t>جایگاه</w:t>
      </w:r>
      <w:r w:rsidRPr="0025250D">
        <w:rPr>
          <w:rtl/>
        </w:rPr>
        <w:t xml:space="preserve"> </w:t>
      </w:r>
      <w:r w:rsidRPr="0025250D">
        <w:rPr>
          <w:rFonts w:hint="cs"/>
          <w:rtl/>
        </w:rPr>
        <w:t>یابی</w:t>
      </w:r>
      <w:r w:rsidRPr="0025250D">
        <w:rPr>
          <w:vertAlign w:val="superscript"/>
          <w:rtl/>
        </w:rPr>
        <w:footnoteReference w:id="2843"/>
      </w:r>
    </w:p>
    <w:p w14:paraId="00EEE21F" w14:textId="77777777" w:rsidR="00537CC8" w:rsidRPr="0025250D" w:rsidRDefault="00537CC8" w:rsidP="00537CC8">
      <w:pPr>
        <w:rPr>
          <w:rtl/>
        </w:rPr>
      </w:pPr>
      <w:r w:rsidRPr="0025250D">
        <w:rPr>
          <w:rFonts w:hint="cs"/>
          <w:rtl/>
        </w:rPr>
        <w:t>تثبیت و حفاظت از شهرت و جایگاه بازار متمایز یک شرکت یا محصول.</w:t>
      </w:r>
    </w:p>
    <w:p w14:paraId="676569AB" w14:textId="77777777" w:rsidR="00537CC8" w:rsidRPr="0025250D" w:rsidRDefault="00537CC8" w:rsidP="00537CC8">
      <w:pPr>
        <w:rPr>
          <w:rtl/>
        </w:rPr>
      </w:pPr>
      <w:r w:rsidRPr="0025250D">
        <w:rPr>
          <w:rFonts w:hint="cs"/>
          <w:rtl/>
        </w:rPr>
        <w:t>تحلیل متقارن و تحلیل جایگزینی</w:t>
      </w:r>
      <w:r w:rsidRPr="0025250D">
        <w:rPr>
          <w:vertAlign w:val="superscript"/>
          <w:rtl/>
        </w:rPr>
        <w:footnoteReference w:id="2844"/>
      </w:r>
    </w:p>
    <w:p w14:paraId="3893BDFB" w14:textId="2C976CB6" w:rsidR="00537CC8" w:rsidRPr="0025250D" w:rsidRDefault="00537CC8" w:rsidP="00537CC8">
      <w:pPr>
        <w:rPr>
          <w:rtl/>
        </w:rPr>
      </w:pPr>
      <w:r w:rsidRPr="0025250D">
        <w:rPr>
          <w:rFonts w:hint="cs"/>
          <w:rtl/>
        </w:rPr>
        <w:t xml:space="preserve">تحقیقات پیمایشی درمورد ترجیحات و کالاهای </w:t>
      </w:r>
      <w:r w:rsidR="00563645" w:rsidRPr="0025250D">
        <w:rPr>
          <w:rFonts w:hint="cs"/>
          <w:rtl/>
        </w:rPr>
        <w:t>بدیل</w:t>
      </w:r>
      <w:r w:rsidRPr="0025250D">
        <w:rPr>
          <w:rFonts w:hint="cs"/>
          <w:rtl/>
        </w:rPr>
        <w:t xml:space="preserve"> احتمالی برای محصولات و خدمات موجود.</w:t>
      </w:r>
    </w:p>
    <w:p w14:paraId="16EC2AF7" w14:textId="77777777" w:rsidR="00537CC8" w:rsidRPr="0025250D" w:rsidRDefault="00537CC8" w:rsidP="00537CC8">
      <w:pPr>
        <w:rPr>
          <w:rtl/>
        </w:rPr>
      </w:pPr>
      <w:r w:rsidRPr="0025250D">
        <w:rPr>
          <w:rFonts w:hint="cs"/>
          <w:rtl/>
        </w:rPr>
        <w:t>تجزیه</w:t>
      </w:r>
      <w:r w:rsidRPr="0025250D">
        <w:rPr>
          <w:rtl/>
        </w:rPr>
        <w:t xml:space="preserve"> </w:t>
      </w:r>
      <w:r w:rsidRPr="0025250D">
        <w:rPr>
          <w:rFonts w:hint="cs"/>
          <w:rtl/>
        </w:rPr>
        <w:t>و</w:t>
      </w:r>
      <w:r w:rsidRPr="0025250D">
        <w:rPr>
          <w:rtl/>
        </w:rPr>
        <w:t xml:space="preserve"> </w:t>
      </w:r>
      <w:r w:rsidRPr="0025250D">
        <w:rPr>
          <w:rFonts w:hint="cs"/>
          <w:rtl/>
        </w:rPr>
        <w:t>تحلیل</w:t>
      </w:r>
      <w:r w:rsidRPr="0025250D">
        <w:rPr>
          <w:rtl/>
        </w:rPr>
        <w:t xml:space="preserve"> </w:t>
      </w:r>
      <w:r w:rsidRPr="0025250D">
        <w:rPr>
          <w:rFonts w:hint="cs"/>
          <w:rtl/>
        </w:rPr>
        <w:t>مشتری</w:t>
      </w:r>
      <w:r w:rsidRPr="0025250D">
        <w:rPr>
          <w:vertAlign w:val="superscript"/>
          <w:rtl/>
        </w:rPr>
        <w:footnoteReference w:id="2845"/>
      </w:r>
    </w:p>
    <w:p w14:paraId="7D3904F7" w14:textId="77777777" w:rsidR="00537CC8" w:rsidRPr="0025250D" w:rsidRDefault="00537CC8" w:rsidP="00537CC8">
      <w:pPr>
        <w:rPr>
          <w:rtl/>
        </w:rPr>
      </w:pPr>
      <w:r w:rsidRPr="0025250D">
        <w:rPr>
          <w:rFonts w:hint="cs"/>
          <w:rtl/>
        </w:rPr>
        <w:t>تجزیه</w:t>
      </w:r>
      <w:r w:rsidRPr="0025250D">
        <w:rPr>
          <w:rtl/>
        </w:rPr>
        <w:t xml:space="preserve"> </w:t>
      </w:r>
      <w:r w:rsidRPr="0025250D">
        <w:rPr>
          <w:rFonts w:hint="cs"/>
          <w:rtl/>
        </w:rPr>
        <w:t>و</w:t>
      </w:r>
      <w:r w:rsidRPr="0025250D">
        <w:rPr>
          <w:rtl/>
        </w:rPr>
        <w:t xml:space="preserve"> </w:t>
      </w:r>
      <w:r w:rsidRPr="0025250D">
        <w:rPr>
          <w:rFonts w:hint="cs"/>
          <w:rtl/>
        </w:rPr>
        <w:t>تحلیل</w:t>
      </w:r>
      <w:r w:rsidRPr="0025250D">
        <w:rPr>
          <w:rtl/>
        </w:rPr>
        <w:t xml:space="preserve"> </w:t>
      </w:r>
      <w:r w:rsidRPr="0025250D">
        <w:rPr>
          <w:rFonts w:hint="cs"/>
          <w:rtl/>
        </w:rPr>
        <w:t>رفتار مشتری و پیش‌بینی رفتار مشتری. شاخه‌ای از تجزیه</w:t>
      </w:r>
      <w:r w:rsidRPr="0025250D">
        <w:rPr>
          <w:rtl/>
        </w:rPr>
        <w:t xml:space="preserve"> </w:t>
      </w:r>
      <w:r w:rsidRPr="0025250D">
        <w:rPr>
          <w:rFonts w:hint="cs"/>
          <w:rtl/>
        </w:rPr>
        <w:t>و</w:t>
      </w:r>
      <w:r w:rsidRPr="0025250D">
        <w:rPr>
          <w:rtl/>
        </w:rPr>
        <w:t xml:space="preserve"> </w:t>
      </w:r>
      <w:r w:rsidRPr="0025250D">
        <w:rPr>
          <w:rFonts w:hint="cs"/>
          <w:rtl/>
        </w:rPr>
        <w:t>تحلیل</w:t>
      </w:r>
      <w:r w:rsidRPr="0025250D">
        <w:rPr>
          <w:rtl/>
        </w:rPr>
        <w:t xml:space="preserve"> </w:t>
      </w:r>
      <w:r w:rsidRPr="0025250D">
        <w:rPr>
          <w:rFonts w:hint="cs"/>
          <w:rtl/>
        </w:rPr>
        <w:t>پیش‌بین.</w:t>
      </w:r>
    </w:p>
    <w:p w14:paraId="0F8083A0" w14:textId="1576CD65" w:rsidR="00537CC8" w:rsidRPr="0025250D" w:rsidRDefault="00537CC8" w:rsidP="00537CC8">
      <w:pPr>
        <w:rPr>
          <w:rtl/>
        </w:rPr>
      </w:pPr>
      <w:r w:rsidRPr="0025250D">
        <w:rPr>
          <w:rFonts w:hint="cs"/>
          <w:rtl/>
        </w:rPr>
        <w:t>مدیریت</w:t>
      </w:r>
      <w:r w:rsidRPr="0025250D">
        <w:rPr>
          <w:rtl/>
        </w:rPr>
        <w:t xml:space="preserve"> </w:t>
      </w:r>
      <w:r w:rsidRPr="0025250D">
        <w:rPr>
          <w:rFonts w:hint="cs"/>
          <w:rtl/>
        </w:rPr>
        <w:t>ارتباط</w:t>
      </w:r>
      <w:r w:rsidRPr="0025250D">
        <w:rPr>
          <w:rtl/>
        </w:rPr>
        <w:t xml:space="preserve"> </w:t>
      </w:r>
      <w:r w:rsidRPr="0025250D">
        <w:rPr>
          <w:rFonts w:hint="cs"/>
          <w:rtl/>
        </w:rPr>
        <w:t>با</w:t>
      </w:r>
      <w:r w:rsidRPr="0025250D">
        <w:rPr>
          <w:rtl/>
        </w:rPr>
        <w:t xml:space="preserve"> </w:t>
      </w:r>
      <w:r w:rsidRPr="0025250D">
        <w:rPr>
          <w:rFonts w:hint="cs"/>
          <w:rtl/>
        </w:rPr>
        <w:t>مشتری</w:t>
      </w:r>
      <w:r w:rsidRPr="0025250D">
        <w:rPr>
          <w:vertAlign w:val="superscript"/>
          <w:rtl/>
        </w:rPr>
        <w:footnoteReference w:id="2846"/>
      </w:r>
    </w:p>
    <w:p w14:paraId="50464965" w14:textId="094BE6DB" w:rsidR="00537CC8" w:rsidRPr="0025250D" w:rsidRDefault="008D6F97" w:rsidP="00537CC8">
      <w:pPr>
        <w:rPr>
          <w:rtl/>
        </w:rPr>
      </w:pPr>
      <w:r w:rsidRPr="0025250D">
        <w:rPr>
          <w:rFonts w:hint="cs"/>
          <w:rtl/>
        </w:rPr>
        <w:t>سامانه‌</w:t>
      </w:r>
      <w:r w:rsidR="00537CC8" w:rsidRPr="0025250D">
        <w:rPr>
          <w:rFonts w:hint="cs"/>
          <w:rtl/>
        </w:rPr>
        <w:t xml:space="preserve"> فناوری اطلاعات </w:t>
      </w:r>
      <w:r w:rsidR="00B124DE" w:rsidRPr="0025250D">
        <w:rPr>
          <w:rFonts w:hint="cs"/>
          <w:rtl/>
        </w:rPr>
        <w:t>کسب‌و‌کار</w:t>
      </w:r>
      <w:r w:rsidR="00537CC8" w:rsidRPr="0025250D">
        <w:rPr>
          <w:rFonts w:hint="cs"/>
          <w:rtl/>
        </w:rPr>
        <w:t xml:space="preserve"> که تعامل شرکت با مشتری را مدیریت می‌کند. فروش، بازاریابی، خدمات مشتری، پشتیبانی فنی.</w:t>
      </w:r>
    </w:p>
    <w:p w14:paraId="337A9157" w14:textId="77777777" w:rsidR="00537CC8" w:rsidRPr="0025250D" w:rsidRDefault="00537CC8" w:rsidP="00537CC8">
      <w:pPr>
        <w:rPr>
          <w:rtl/>
        </w:rPr>
      </w:pPr>
      <w:r w:rsidRPr="0025250D">
        <w:rPr>
          <w:rFonts w:hint="cs"/>
          <w:rtl/>
        </w:rPr>
        <w:t>بخش بندی مشتری و بازاریابی هدفمند</w:t>
      </w:r>
      <w:r w:rsidRPr="0025250D">
        <w:rPr>
          <w:vertAlign w:val="superscript"/>
          <w:rtl/>
        </w:rPr>
        <w:footnoteReference w:id="2847"/>
      </w:r>
    </w:p>
    <w:p w14:paraId="002694CB" w14:textId="77777777" w:rsidR="00537CC8" w:rsidRPr="0025250D" w:rsidRDefault="00537CC8" w:rsidP="00537CC8">
      <w:pPr>
        <w:rPr>
          <w:rtl/>
        </w:rPr>
      </w:pPr>
      <w:r w:rsidRPr="0025250D">
        <w:rPr>
          <w:rFonts w:hint="cs"/>
          <w:rtl/>
        </w:rPr>
        <w:t>تقسیم بندی یک بازار به مجموعه‌هایی از مشتریان با نیاز‌ها و اولویت‌های مشترک و بازاریابی بر حسب هر بخش.</w:t>
      </w:r>
    </w:p>
    <w:p w14:paraId="6326EF95" w14:textId="77777777" w:rsidR="00537CC8" w:rsidRPr="0025250D" w:rsidRDefault="00537CC8" w:rsidP="00537CC8">
      <w:pPr>
        <w:rPr>
          <w:rtl/>
        </w:rPr>
      </w:pPr>
      <w:r w:rsidRPr="0025250D">
        <w:rPr>
          <w:rFonts w:hint="cs"/>
          <w:rtl/>
        </w:rPr>
        <w:t>بازاریابی مستقیم</w:t>
      </w:r>
      <w:r w:rsidRPr="0025250D">
        <w:rPr>
          <w:vertAlign w:val="superscript"/>
          <w:rtl/>
        </w:rPr>
        <w:footnoteReference w:id="2848"/>
      </w:r>
    </w:p>
    <w:p w14:paraId="67C21E0A" w14:textId="77777777" w:rsidR="00537CC8" w:rsidRPr="0025250D" w:rsidRDefault="00537CC8" w:rsidP="00537CC8">
      <w:pPr>
        <w:rPr>
          <w:rtl/>
        </w:rPr>
      </w:pPr>
      <w:r w:rsidRPr="0025250D">
        <w:rPr>
          <w:rFonts w:hint="cs"/>
          <w:rtl/>
        </w:rPr>
        <w:t>تبلیغات مستقیم برای مشتری، بازاریابی مبتنی بر پایگاه داده و فعالیت‌های فروش.</w:t>
      </w:r>
    </w:p>
    <w:p w14:paraId="1D0757FA" w14:textId="77777777" w:rsidR="00537CC8" w:rsidRPr="0025250D" w:rsidRDefault="00537CC8" w:rsidP="00537CC8">
      <w:pPr>
        <w:rPr>
          <w:rtl/>
        </w:rPr>
      </w:pPr>
      <w:r w:rsidRPr="0025250D">
        <w:rPr>
          <w:rFonts w:hint="cs"/>
          <w:rtl/>
        </w:rPr>
        <w:t>تحقیقات بازار</w:t>
      </w:r>
      <w:r w:rsidRPr="0025250D">
        <w:rPr>
          <w:vertAlign w:val="superscript"/>
          <w:rtl/>
        </w:rPr>
        <w:footnoteReference w:id="2849"/>
      </w:r>
    </w:p>
    <w:p w14:paraId="3DC6CC57" w14:textId="2112FA42" w:rsidR="00537CC8" w:rsidRPr="0025250D" w:rsidRDefault="00B124DE" w:rsidP="00537CC8">
      <w:pPr>
        <w:rPr>
          <w:rtl/>
        </w:rPr>
      </w:pPr>
      <w:r w:rsidRPr="0025250D">
        <w:rPr>
          <w:rFonts w:hint="cs"/>
          <w:rtl/>
        </w:rPr>
        <w:t>جمع‌آوری</w:t>
      </w:r>
      <w:r w:rsidR="00537CC8" w:rsidRPr="0025250D">
        <w:rPr>
          <w:rFonts w:hint="cs"/>
          <w:rtl/>
        </w:rPr>
        <w:t xml:space="preserve"> و مدلسازی داده‌های کمّی و کیفی مربوط به بازار‌ها و مشتریان. مثال: چرخه هیاهو.</w:t>
      </w:r>
    </w:p>
    <w:p w14:paraId="0E99FA21" w14:textId="65B4BCA5" w:rsidR="00537CC8" w:rsidRPr="0025250D" w:rsidRDefault="00537CC8" w:rsidP="00537CC8">
      <w:pPr>
        <w:rPr>
          <w:rtl/>
        </w:rPr>
      </w:pPr>
      <w:r w:rsidRPr="0025250D">
        <w:rPr>
          <w:rFonts w:hint="cs"/>
          <w:rtl/>
        </w:rPr>
        <w:t xml:space="preserve">شخصی سازی انبوه و بازاریابی </w:t>
      </w:r>
      <w:r w:rsidR="001A3F0A" w:rsidRPr="0025250D">
        <w:rPr>
          <w:rFonts w:hint="cs"/>
          <w:rtl/>
        </w:rPr>
        <w:t>فردی</w:t>
      </w:r>
      <w:r w:rsidRPr="0025250D">
        <w:rPr>
          <w:vertAlign w:val="superscript"/>
          <w:rtl/>
        </w:rPr>
        <w:footnoteReference w:id="2850"/>
      </w:r>
    </w:p>
    <w:p w14:paraId="441D7345" w14:textId="1BFD2ECF" w:rsidR="00537CC8" w:rsidRPr="0025250D" w:rsidRDefault="00537CC8" w:rsidP="00537CC8">
      <w:pPr>
        <w:rPr>
          <w:rtl/>
        </w:rPr>
      </w:pPr>
      <w:r w:rsidRPr="0025250D">
        <w:rPr>
          <w:rFonts w:hint="cs"/>
          <w:rtl/>
        </w:rPr>
        <w:t xml:space="preserve">شخصی سازی خودکار محصول/خدمات مشتری. در بازاریابی </w:t>
      </w:r>
      <w:r w:rsidR="001A3F0A" w:rsidRPr="0025250D">
        <w:rPr>
          <w:rFonts w:hint="cs"/>
          <w:rtl/>
        </w:rPr>
        <w:t>فردی</w:t>
      </w:r>
      <w:r w:rsidRPr="0025250D">
        <w:rPr>
          <w:rFonts w:hint="cs"/>
          <w:rtl/>
        </w:rPr>
        <w:t>، هر محصول می‌تواند منحصر به فرد باشد.</w:t>
      </w:r>
    </w:p>
    <w:p w14:paraId="38DBE925" w14:textId="74A86CDB" w:rsidR="00537CC8" w:rsidRPr="0025250D" w:rsidRDefault="008D6F97" w:rsidP="00537CC8">
      <w:pPr>
        <w:rPr>
          <w:rtl/>
        </w:rPr>
      </w:pPr>
      <w:r w:rsidRPr="0025250D">
        <w:rPr>
          <w:rFonts w:hint="cs"/>
          <w:rtl/>
        </w:rPr>
        <w:t>سامانه‌</w:t>
      </w:r>
      <w:r w:rsidR="00537CC8" w:rsidRPr="0025250D">
        <w:rPr>
          <w:rFonts w:hint="cs"/>
          <w:rtl/>
        </w:rPr>
        <w:t>‌های مدیریت نیروی فروش</w:t>
      </w:r>
      <w:r w:rsidR="00537CC8" w:rsidRPr="0025250D">
        <w:rPr>
          <w:vertAlign w:val="superscript"/>
          <w:rtl/>
        </w:rPr>
        <w:footnoteReference w:id="2851"/>
      </w:r>
    </w:p>
    <w:p w14:paraId="678C0A6E" w14:textId="2B90E7FF" w:rsidR="00537CC8" w:rsidRPr="0025250D" w:rsidRDefault="00537CC8" w:rsidP="00537CC8">
      <w:pPr>
        <w:rPr>
          <w:rtl/>
        </w:rPr>
      </w:pPr>
      <w:r w:rsidRPr="0025250D">
        <w:rPr>
          <w:rFonts w:hint="cs"/>
          <w:rtl/>
        </w:rPr>
        <w:t xml:space="preserve">پلتفرم فروش کامپیوتری که شامل ردیابی و </w:t>
      </w:r>
      <w:r w:rsidR="00FB6A7E" w:rsidRPr="0025250D">
        <w:rPr>
          <w:rFonts w:hint="cs"/>
          <w:rtl/>
        </w:rPr>
        <w:t>پیش‌نگری</w:t>
      </w:r>
      <w:r w:rsidRPr="0025250D">
        <w:rPr>
          <w:rFonts w:hint="cs"/>
          <w:rtl/>
        </w:rPr>
        <w:t xml:space="preserve"> مدیریت حساب و هدایت فروش می‌باشد.</w:t>
      </w:r>
    </w:p>
    <w:p w14:paraId="0278FD93" w14:textId="77777777" w:rsidR="00537CC8" w:rsidRPr="0025250D" w:rsidRDefault="00537CC8" w:rsidP="00537CC8">
      <w:pPr>
        <w:rPr>
          <w:rtl/>
        </w:rPr>
      </w:pPr>
      <w:r w:rsidRPr="0025250D">
        <w:rPr>
          <w:rFonts w:hint="cs"/>
          <w:rtl/>
        </w:rPr>
        <w:t>بازاریابی اجتماعی</w:t>
      </w:r>
      <w:r w:rsidRPr="0025250D">
        <w:rPr>
          <w:vertAlign w:val="superscript"/>
          <w:rtl/>
        </w:rPr>
        <w:footnoteReference w:id="2852"/>
      </w:r>
    </w:p>
    <w:p w14:paraId="76A49B2F" w14:textId="5FF68EDC" w:rsidR="00537CC8" w:rsidRPr="0025250D" w:rsidRDefault="00537CC8" w:rsidP="00537CC8">
      <w:pPr>
        <w:rPr>
          <w:rtl/>
        </w:rPr>
      </w:pPr>
      <w:r w:rsidRPr="0025250D">
        <w:rPr>
          <w:rFonts w:hint="cs"/>
          <w:rtl/>
        </w:rPr>
        <w:t xml:space="preserve">بازاریابی برای </w:t>
      </w:r>
      <w:r w:rsidR="0008779C" w:rsidRPr="0025250D">
        <w:rPr>
          <w:rFonts w:hint="cs"/>
          <w:rtl/>
        </w:rPr>
        <w:t>تاثیرگذاری</w:t>
      </w:r>
      <w:r w:rsidRPr="0025250D">
        <w:rPr>
          <w:rFonts w:hint="cs"/>
          <w:rtl/>
        </w:rPr>
        <w:t xml:space="preserve"> بر رفتارهایی که به نفع کل جامعه و افراد هستند.</w:t>
      </w:r>
    </w:p>
    <w:p w14:paraId="23E24F6B" w14:textId="77777777" w:rsidR="00537CC8" w:rsidRPr="0025250D" w:rsidRDefault="00537CC8" w:rsidP="00537CC8">
      <w:pPr>
        <w:rPr>
          <w:rtl/>
        </w:rPr>
      </w:pPr>
      <w:r w:rsidRPr="0025250D">
        <w:rPr>
          <w:rFonts w:hint="cs"/>
          <w:rtl/>
        </w:rPr>
        <w:t>بازاریابی رسانه‌های اجتماعی</w:t>
      </w:r>
      <w:r w:rsidRPr="0025250D">
        <w:rPr>
          <w:vertAlign w:val="superscript"/>
          <w:rtl/>
        </w:rPr>
        <w:footnoteReference w:id="2853"/>
      </w:r>
    </w:p>
    <w:p w14:paraId="3C0D714C" w14:textId="77777777" w:rsidR="00537CC8" w:rsidRPr="0025250D" w:rsidRDefault="00537CC8" w:rsidP="00537CC8">
      <w:pPr>
        <w:rPr>
          <w:rtl/>
        </w:rPr>
      </w:pPr>
      <w:r w:rsidRPr="0025250D">
        <w:rPr>
          <w:rFonts w:hint="cs"/>
          <w:rtl/>
        </w:rPr>
        <w:t>بازاریابی که از رسانه‌های اجتماعی (</w:t>
      </w:r>
      <w:r w:rsidRPr="0025250D">
        <w:rPr>
          <w:rtl/>
        </w:rPr>
        <w:t>ف</w:t>
      </w:r>
      <w:r w:rsidRPr="0025250D">
        <w:rPr>
          <w:rFonts w:hint="cs"/>
          <w:rtl/>
        </w:rPr>
        <w:t>ی</w:t>
      </w:r>
      <w:r w:rsidRPr="0025250D">
        <w:rPr>
          <w:rFonts w:hint="eastAsia"/>
          <w:rtl/>
        </w:rPr>
        <w:t>س</w:t>
      </w:r>
      <w:r w:rsidRPr="0025250D">
        <w:rPr>
          <w:rtl/>
        </w:rPr>
        <w:t xml:space="preserve"> بوک</w:t>
      </w:r>
      <w:r w:rsidRPr="0025250D">
        <w:rPr>
          <w:rFonts w:hint="cs"/>
          <w:rtl/>
        </w:rPr>
        <w:t xml:space="preserve">، </w:t>
      </w:r>
      <w:r w:rsidRPr="0025250D">
        <w:rPr>
          <w:rtl/>
        </w:rPr>
        <w:t>تو</w:t>
      </w:r>
      <w:r w:rsidRPr="0025250D">
        <w:rPr>
          <w:rFonts w:hint="cs"/>
          <w:rtl/>
        </w:rPr>
        <w:t>یی</w:t>
      </w:r>
      <w:r w:rsidRPr="0025250D">
        <w:rPr>
          <w:rFonts w:hint="eastAsia"/>
          <w:rtl/>
        </w:rPr>
        <w:t>تر</w:t>
      </w:r>
      <w:r w:rsidRPr="0025250D">
        <w:rPr>
          <w:rFonts w:hint="cs"/>
          <w:rtl/>
        </w:rPr>
        <w:t xml:space="preserve"> و غیره) یا داده‌های مشتری از نمودار‌های اجتماعی خود استفاده می‌کنند.</w:t>
      </w:r>
    </w:p>
    <w:p w14:paraId="6AC037A4" w14:textId="77FB4CC3" w:rsidR="00537CC8" w:rsidRPr="0025250D" w:rsidRDefault="00537CC8" w:rsidP="00537CC8">
      <w:pPr>
        <w:rPr>
          <w:rtl/>
        </w:rPr>
      </w:pPr>
      <w:r w:rsidRPr="0025250D">
        <w:rPr>
          <w:rFonts w:hint="cs"/>
          <w:rtl/>
        </w:rPr>
        <w:t>بازاریابی</w:t>
      </w:r>
      <w:r w:rsidRPr="0025250D">
        <w:rPr>
          <w:rtl/>
        </w:rPr>
        <w:t xml:space="preserve"> </w:t>
      </w:r>
      <w:r w:rsidRPr="0025250D">
        <w:rPr>
          <w:rFonts w:hint="cs"/>
          <w:rtl/>
        </w:rPr>
        <w:t>ویروس‌وار</w:t>
      </w:r>
      <w:r w:rsidRPr="0025250D">
        <w:rPr>
          <w:vertAlign w:val="superscript"/>
          <w:rtl/>
        </w:rPr>
        <w:footnoteReference w:id="2854"/>
      </w:r>
    </w:p>
    <w:p w14:paraId="6B236FE8" w14:textId="006BEA73" w:rsidR="00537CC8" w:rsidRPr="0025250D" w:rsidRDefault="00537CC8" w:rsidP="00537CC8">
      <w:pPr>
        <w:rPr>
          <w:rtl/>
        </w:rPr>
      </w:pPr>
      <w:r w:rsidRPr="0025250D">
        <w:rPr>
          <w:rFonts w:hint="cs"/>
          <w:rtl/>
        </w:rPr>
        <w:t xml:space="preserve">بازاریابی برای کسب توجه اجتماعی گسترده از طریق ترافیک اینترنت، تبلیغات دهان به دهان یا دیگر رفتار‌های </w:t>
      </w:r>
      <w:r w:rsidR="00274907" w:rsidRPr="0025250D">
        <w:rPr>
          <w:rFonts w:hint="cs"/>
          <w:rtl/>
        </w:rPr>
        <w:t>به‌اشتراک‌گذار</w:t>
      </w:r>
      <w:r w:rsidRPr="0025250D">
        <w:rPr>
          <w:rFonts w:hint="cs"/>
          <w:rtl/>
        </w:rPr>
        <w:t>ی.</w:t>
      </w:r>
    </w:p>
    <w:p w14:paraId="4989159C" w14:textId="147BFAB8" w:rsidR="00537CC8" w:rsidRPr="0025250D" w:rsidRDefault="00537CC8" w:rsidP="003D3E0A">
      <w:pPr>
        <w:pStyle w:val="Heading3"/>
        <w:rPr>
          <w:rtl/>
        </w:rPr>
      </w:pPr>
      <w:r w:rsidRPr="0025250D">
        <w:rPr>
          <w:rFonts w:hint="cs"/>
          <w:rtl/>
        </w:rPr>
        <w:t xml:space="preserve">مهارت 7: روش‌های </w:t>
      </w:r>
      <w:r w:rsidR="0008779C" w:rsidRPr="0025250D">
        <w:rPr>
          <w:rFonts w:hint="cs"/>
          <w:rtl/>
        </w:rPr>
        <w:t>ارتباط‌دهی</w:t>
      </w:r>
      <w:r w:rsidRPr="0025250D">
        <w:rPr>
          <w:rFonts w:hint="cs"/>
          <w:rtl/>
        </w:rPr>
        <w:t xml:space="preserve"> (تفکر تیمی)</w:t>
      </w:r>
    </w:p>
    <w:p w14:paraId="2B0EE51A" w14:textId="77777777" w:rsidR="00537CC8" w:rsidRPr="0025250D" w:rsidRDefault="00537CC8" w:rsidP="00537CC8">
      <w:pPr>
        <w:rPr>
          <w:rtl/>
        </w:rPr>
      </w:pPr>
      <w:r w:rsidRPr="0025250D">
        <w:rPr>
          <w:rFonts w:hint="cs"/>
          <w:rtl/>
        </w:rPr>
        <w:t xml:space="preserve"> مدیریت توصیه کننده و تحلیل ذینفعان</w:t>
      </w:r>
      <w:r w:rsidRPr="0025250D">
        <w:rPr>
          <w:vertAlign w:val="superscript"/>
          <w:rtl/>
        </w:rPr>
        <w:footnoteReference w:id="2855"/>
      </w:r>
    </w:p>
    <w:p w14:paraId="7577F1B4" w14:textId="77777777" w:rsidR="00537CC8" w:rsidRPr="0025250D" w:rsidRDefault="00537CC8" w:rsidP="00537CC8">
      <w:pPr>
        <w:rPr>
          <w:rtl/>
        </w:rPr>
      </w:pPr>
      <w:r w:rsidRPr="0025250D">
        <w:rPr>
          <w:rFonts w:hint="cs"/>
          <w:rtl/>
        </w:rPr>
        <w:t xml:space="preserve">وارد کردن بازخورد مشاورین و ذینفعان متنوع، بازنمایی کننده، منتقد و دارای </w:t>
      </w:r>
      <w:r w:rsidRPr="0025250D">
        <w:rPr>
          <w:rtl/>
        </w:rPr>
        <w:t>آینده‌نگاری</w:t>
      </w:r>
      <w:r w:rsidRPr="0025250D">
        <w:rPr>
          <w:rFonts w:hint="cs"/>
          <w:rtl/>
        </w:rPr>
        <w:t xml:space="preserve"> به مدیریت.</w:t>
      </w:r>
    </w:p>
    <w:p w14:paraId="15808FBD" w14:textId="2B73352D" w:rsidR="00537CC8" w:rsidRPr="0025250D" w:rsidRDefault="00537CC8" w:rsidP="00537CC8">
      <w:pPr>
        <w:rPr>
          <w:rtl/>
        </w:rPr>
      </w:pPr>
      <w:r w:rsidRPr="0025250D">
        <w:rPr>
          <w:rFonts w:hint="cs"/>
          <w:rtl/>
        </w:rPr>
        <w:t xml:space="preserve">اخلاق </w:t>
      </w:r>
      <w:r w:rsidR="00B124DE" w:rsidRPr="0025250D">
        <w:rPr>
          <w:rFonts w:hint="cs"/>
          <w:rtl/>
        </w:rPr>
        <w:t>کسب‌و‌کار</w:t>
      </w:r>
      <w:r w:rsidRPr="0025250D">
        <w:rPr>
          <w:vertAlign w:val="superscript"/>
          <w:rtl/>
        </w:rPr>
        <w:footnoteReference w:id="2856"/>
      </w:r>
    </w:p>
    <w:p w14:paraId="0016F731" w14:textId="0E77CDB6" w:rsidR="00537CC8" w:rsidRPr="0025250D" w:rsidRDefault="00701E03" w:rsidP="00537CC8">
      <w:pPr>
        <w:rPr>
          <w:rtl/>
        </w:rPr>
      </w:pPr>
      <w:r w:rsidRPr="0025250D">
        <w:rPr>
          <w:rFonts w:hint="cs"/>
          <w:rtl/>
        </w:rPr>
        <w:t>راهبرد</w:t>
      </w:r>
      <w:r w:rsidR="00537CC8" w:rsidRPr="0025250D">
        <w:rPr>
          <w:rFonts w:hint="cs"/>
          <w:rtl/>
        </w:rPr>
        <w:t xml:space="preserve">‌های هنجاری (مبتنی بر ارزش‌ها و آرمان ها) و تحقیق توصیفی برای بهبود هدایت </w:t>
      </w:r>
      <w:r w:rsidR="00B124DE" w:rsidRPr="0025250D">
        <w:rPr>
          <w:rFonts w:hint="cs"/>
          <w:rtl/>
        </w:rPr>
        <w:t>کسب‌و‌کار</w:t>
      </w:r>
      <w:r w:rsidR="00537CC8" w:rsidRPr="0025250D">
        <w:rPr>
          <w:rFonts w:hint="cs"/>
          <w:rtl/>
        </w:rPr>
        <w:t>.</w:t>
      </w:r>
    </w:p>
    <w:p w14:paraId="0C15C8C1" w14:textId="77777777" w:rsidR="00537CC8" w:rsidRPr="0025250D" w:rsidRDefault="00537CC8" w:rsidP="00537CC8">
      <w:pPr>
        <w:rPr>
          <w:rtl/>
        </w:rPr>
      </w:pPr>
      <w:r w:rsidRPr="0025250D">
        <w:rPr>
          <w:rFonts w:hint="cs"/>
          <w:rtl/>
        </w:rPr>
        <w:t>تنوع شناختی</w:t>
      </w:r>
      <w:r w:rsidRPr="0025250D">
        <w:rPr>
          <w:vertAlign w:val="superscript"/>
          <w:rtl/>
        </w:rPr>
        <w:footnoteReference w:id="2857"/>
      </w:r>
    </w:p>
    <w:p w14:paraId="3AC33F33" w14:textId="77777777" w:rsidR="00537CC8" w:rsidRPr="0025250D" w:rsidRDefault="00537CC8" w:rsidP="00537CC8">
      <w:pPr>
        <w:rPr>
          <w:rtl/>
        </w:rPr>
      </w:pPr>
      <w:r w:rsidRPr="0025250D">
        <w:rPr>
          <w:rFonts w:hint="cs"/>
          <w:rtl/>
        </w:rPr>
        <w:t>وارد کردن سبک‌های شناختی و انواع شخصیت‌ها به تیم ها. کتاب تفاوت</w:t>
      </w:r>
      <w:r w:rsidRPr="0025250D">
        <w:rPr>
          <w:vertAlign w:val="superscript"/>
          <w:rtl/>
        </w:rPr>
        <w:footnoteReference w:id="2858"/>
      </w:r>
      <w:r w:rsidRPr="0025250D">
        <w:rPr>
          <w:rFonts w:hint="cs"/>
          <w:rtl/>
        </w:rPr>
        <w:t xml:space="preserve"> اثر </w:t>
      </w:r>
      <w:r w:rsidRPr="0025250D">
        <w:rPr>
          <w:rtl/>
        </w:rPr>
        <w:t>اسکات پ</w:t>
      </w:r>
      <w:r w:rsidRPr="0025250D">
        <w:rPr>
          <w:rFonts w:hint="cs"/>
          <w:rtl/>
        </w:rPr>
        <w:t>ی</w:t>
      </w:r>
      <w:r w:rsidRPr="0025250D">
        <w:rPr>
          <w:rFonts w:hint="eastAsia"/>
          <w:rtl/>
        </w:rPr>
        <w:t>ج</w:t>
      </w:r>
      <w:r w:rsidRPr="0025250D">
        <w:rPr>
          <w:rFonts w:hint="cs"/>
          <w:rtl/>
        </w:rPr>
        <w:t xml:space="preserve"> در سال 2008 را ببینید.</w:t>
      </w:r>
    </w:p>
    <w:p w14:paraId="6F5C59AA" w14:textId="77777777" w:rsidR="00537CC8" w:rsidRPr="0025250D" w:rsidRDefault="00537CC8" w:rsidP="00537CC8">
      <w:pPr>
        <w:rPr>
          <w:rtl/>
        </w:rPr>
      </w:pPr>
      <w:r w:rsidRPr="0025250D">
        <w:rPr>
          <w:rFonts w:hint="cs"/>
          <w:rtl/>
        </w:rPr>
        <w:t>ارتباطات و روابط عمومی</w:t>
      </w:r>
      <w:r w:rsidRPr="0025250D">
        <w:rPr>
          <w:vertAlign w:val="superscript"/>
          <w:rtl/>
        </w:rPr>
        <w:footnoteReference w:id="2859"/>
      </w:r>
    </w:p>
    <w:p w14:paraId="44E8CA17" w14:textId="77777777" w:rsidR="00537CC8" w:rsidRPr="0025250D" w:rsidRDefault="00537CC8" w:rsidP="00537CC8">
      <w:pPr>
        <w:rPr>
          <w:rtl/>
        </w:rPr>
      </w:pPr>
      <w:r w:rsidRPr="0025250D">
        <w:rPr>
          <w:rFonts w:hint="cs"/>
          <w:rtl/>
        </w:rPr>
        <w:t>روش‌های هدفمحور برای مدیریت جریان اطلاعات میان یک سازمان و عموم مردم.</w:t>
      </w:r>
    </w:p>
    <w:p w14:paraId="319DAD99" w14:textId="77777777" w:rsidR="00537CC8" w:rsidRPr="0025250D" w:rsidRDefault="00537CC8" w:rsidP="00537CC8">
      <w:pPr>
        <w:rPr>
          <w:rtl/>
        </w:rPr>
      </w:pPr>
      <w:r w:rsidRPr="0025250D">
        <w:rPr>
          <w:rFonts w:hint="cs"/>
          <w:rtl/>
        </w:rPr>
        <w:t>جبران خدمت و منافع</w:t>
      </w:r>
      <w:r w:rsidRPr="0025250D">
        <w:rPr>
          <w:vertAlign w:val="superscript"/>
          <w:rtl/>
        </w:rPr>
        <w:footnoteReference w:id="2860"/>
      </w:r>
    </w:p>
    <w:p w14:paraId="091986E0" w14:textId="632C4897" w:rsidR="00537CC8" w:rsidRPr="0025250D" w:rsidRDefault="00537CC8" w:rsidP="00537CC8">
      <w:pPr>
        <w:rPr>
          <w:rtl/>
        </w:rPr>
      </w:pPr>
      <w:r w:rsidRPr="0025250D">
        <w:rPr>
          <w:rFonts w:hint="cs"/>
          <w:rtl/>
        </w:rPr>
        <w:t>دستمزدها، گزینه‌های سهام و منافع غیر مالی (بیمه گروهی</w:t>
      </w:r>
      <w:r w:rsidR="008D6F97" w:rsidRPr="0025250D">
        <w:rPr>
          <w:rtl/>
        </w:rPr>
        <w:t xml:space="preserve"> </w:t>
      </w:r>
      <w:r w:rsidRPr="0025250D">
        <w:rPr>
          <w:rFonts w:hint="cs"/>
          <w:rtl/>
        </w:rPr>
        <w:t>و غیره) برای حفظ و انگیزه بخشی به کارمندان.</w:t>
      </w:r>
    </w:p>
    <w:p w14:paraId="3357ED02" w14:textId="77777777" w:rsidR="00537CC8" w:rsidRPr="0025250D" w:rsidRDefault="00537CC8" w:rsidP="00537CC8">
      <w:pPr>
        <w:rPr>
          <w:rtl/>
        </w:rPr>
      </w:pPr>
      <w:r w:rsidRPr="0025250D">
        <w:rPr>
          <w:rFonts w:hint="cs"/>
          <w:rtl/>
        </w:rPr>
        <w:t>ارزیابی فرهنگ، روحیه و ترس و توسعه هوش هیجانی</w:t>
      </w:r>
      <w:r w:rsidRPr="0025250D">
        <w:rPr>
          <w:vertAlign w:val="superscript"/>
          <w:rtl/>
        </w:rPr>
        <w:footnoteReference w:id="2861"/>
      </w:r>
    </w:p>
    <w:p w14:paraId="4F2C30F4" w14:textId="77777777" w:rsidR="00537CC8" w:rsidRPr="0025250D" w:rsidRDefault="00537CC8" w:rsidP="00537CC8">
      <w:pPr>
        <w:rPr>
          <w:rtl/>
        </w:rPr>
      </w:pPr>
      <w:r w:rsidRPr="0025250D">
        <w:rPr>
          <w:rFonts w:hint="cs"/>
          <w:rtl/>
        </w:rPr>
        <w:t>بهبود محیط ذهنی و هیجانی شرکت. کتاب شکستن مانع ترس</w:t>
      </w:r>
      <w:r w:rsidRPr="0025250D">
        <w:rPr>
          <w:vertAlign w:val="superscript"/>
          <w:rtl/>
        </w:rPr>
        <w:footnoteReference w:id="2862"/>
      </w:r>
      <w:r w:rsidRPr="0025250D">
        <w:rPr>
          <w:rFonts w:hint="cs"/>
          <w:rtl/>
        </w:rPr>
        <w:t xml:space="preserve"> اثر </w:t>
      </w:r>
      <w:r w:rsidRPr="0025250D">
        <w:rPr>
          <w:rtl/>
        </w:rPr>
        <w:t>تام ر</w:t>
      </w:r>
      <w:r w:rsidRPr="0025250D">
        <w:rPr>
          <w:rFonts w:hint="cs"/>
          <w:rtl/>
        </w:rPr>
        <w:t>ی</w:t>
      </w:r>
      <w:r w:rsidRPr="0025250D">
        <w:rPr>
          <w:rFonts w:hint="eastAsia"/>
          <w:rtl/>
        </w:rPr>
        <w:t>گر</w:t>
      </w:r>
      <w:r w:rsidRPr="0025250D">
        <w:rPr>
          <w:vertAlign w:val="superscript"/>
          <w:rtl/>
        </w:rPr>
        <w:footnoteReference w:id="2863"/>
      </w:r>
      <w:r w:rsidRPr="0025250D">
        <w:rPr>
          <w:rFonts w:hint="cs"/>
          <w:rtl/>
        </w:rPr>
        <w:t xml:space="preserve"> در سال 2011 را ببینید.</w:t>
      </w:r>
    </w:p>
    <w:p w14:paraId="6D5EE890" w14:textId="77777777" w:rsidR="00537CC8" w:rsidRPr="0025250D" w:rsidRDefault="00537CC8" w:rsidP="00537CC8">
      <w:pPr>
        <w:rPr>
          <w:rtl/>
        </w:rPr>
      </w:pPr>
      <w:r w:rsidRPr="0025250D">
        <w:rPr>
          <w:rFonts w:hint="cs"/>
          <w:rtl/>
        </w:rPr>
        <w:t>مشارکت کارمندان</w:t>
      </w:r>
      <w:r w:rsidRPr="0025250D">
        <w:rPr>
          <w:vertAlign w:val="superscript"/>
          <w:rtl/>
        </w:rPr>
        <w:footnoteReference w:id="2864"/>
      </w:r>
    </w:p>
    <w:p w14:paraId="6D0CDA0A" w14:textId="77777777" w:rsidR="00537CC8" w:rsidRPr="0025250D" w:rsidRDefault="00537CC8" w:rsidP="00537CC8">
      <w:pPr>
        <w:rPr>
          <w:rtl/>
        </w:rPr>
      </w:pPr>
      <w:r w:rsidRPr="0025250D">
        <w:rPr>
          <w:rFonts w:hint="cs"/>
          <w:rtl/>
        </w:rPr>
        <w:t>پایش و بهبود رضایت و انگیزه فیزیکی/شناختی/هیجانی کارمندان.</w:t>
      </w:r>
    </w:p>
    <w:p w14:paraId="2115AA0B" w14:textId="77777777" w:rsidR="00537CC8" w:rsidRPr="0025250D" w:rsidRDefault="00537CC8" w:rsidP="00537CC8">
      <w:pPr>
        <w:rPr>
          <w:rtl/>
        </w:rPr>
      </w:pPr>
      <w:r w:rsidRPr="0025250D">
        <w:rPr>
          <w:rFonts w:hint="cs"/>
          <w:rtl/>
        </w:rPr>
        <w:t>مدیریت رابطه سازمانی</w:t>
      </w:r>
      <w:r w:rsidRPr="0025250D">
        <w:rPr>
          <w:vertAlign w:val="superscript"/>
          <w:rtl/>
        </w:rPr>
        <w:footnoteReference w:id="2865"/>
      </w:r>
    </w:p>
    <w:p w14:paraId="57293DF0" w14:textId="28A0878C" w:rsidR="00537CC8" w:rsidRPr="0025250D" w:rsidRDefault="00537CC8" w:rsidP="00537CC8">
      <w:pPr>
        <w:rPr>
          <w:rtl/>
        </w:rPr>
      </w:pPr>
      <w:r w:rsidRPr="0025250D">
        <w:rPr>
          <w:rFonts w:hint="cs"/>
          <w:rtl/>
        </w:rPr>
        <w:t xml:space="preserve">مدیریت اتحادهای صنعتی، تأمین کنندگان، سرمایه گذاران، خریداران، مشتریان و دیگر بازیگران </w:t>
      </w:r>
      <w:r w:rsidR="00B124DE" w:rsidRPr="0025250D">
        <w:rPr>
          <w:rFonts w:hint="cs"/>
          <w:rtl/>
        </w:rPr>
        <w:t>کسب‌و‌کار</w:t>
      </w:r>
      <w:r w:rsidRPr="0025250D">
        <w:rPr>
          <w:rFonts w:hint="cs"/>
          <w:rtl/>
        </w:rPr>
        <w:t>.</w:t>
      </w:r>
    </w:p>
    <w:p w14:paraId="643A0723" w14:textId="77777777" w:rsidR="00537CC8" w:rsidRPr="0025250D" w:rsidRDefault="00537CC8" w:rsidP="00537CC8">
      <w:pPr>
        <w:rPr>
          <w:rtl/>
        </w:rPr>
      </w:pPr>
      <w:r w:rsidRPr="0025250D">
        <w:rPr>
          <w:rFonts w:hint="cs"/>
          <w:rtl/>
        </w:rPr>
        <w:t>توسعه سازمانی</w:t>
      </w:r>
      <w:r w:rsidRPr="0025250D">
        <w:rPr>
          <w:vertAlign w:val="superscript"/>
          <w:rtl/>
        </w:rPr>
        <w:footnoteReference w:id="2866"/>
      </w:r>
    </w:p>
    <w:p w14:paraId="2130B996" w14:textId="111247F7" w:rsidR="00537CC8" w:rsidRPr="0025250D" w:rsidRDefault="00537CC8" w:rsidP="00537CC8">
      <w:pPr>
        <w:rPr>
          <w:rtl/>
        </w:rPr>
      </w:pPr>
      <w:r w:rsidRPr="0025250D">
        <w:rPr>
          <w:rFonts w:hint="cs"/>
          <w:rtl/>
        </w:rPr>
        <w:t xml:space="preserve">یک تلاش </w:t>
      </w:r>
      <w:r w:rsidR="00B124DE" w:rsidRPr="0025250D">
        <w:rPr>
          <w:rFonts w:hint="cs"/>
          <w:rtl/>
        </w:rPr>
        <w:t>برنامه‌ریزی</w:t>
      </w:r>
      <w:r w:rsidRPr="0025250D">
        <w:rPr>
          <w:rFonts w:hint="cs"/>
          <w:rtl/>
        </w:rPr>
        <w:t xml:space="preserve"> شده در سطح سازمانی برای افزایش قابل</w:t>
      </w:r>
      <w:r w:rsidR="00FF4D60" w:rsidRPr="0025250D">
        <w:rPr>
          <w:rFonts w:hint="cs"/>
          <w:rtl/>
        </w:rPr>
        <w:t>یت</w:t>
      </w:r>
      <w:r w:rsidRPr="0025250D">
        <w:rPr>
          <w:rFonts w:hint="cs"/>
          <w:rtl/>
        </w:rPr>
        <w:t xml:space="preserve"> اندازه گیری </w:t>
      </w:r>
      <w:r w:rsidR="00923DDB" w:rsidRPr="0025250D">
        <w:rPr>
          <w:rFonts w:hint="cs"/>
          <w:rtl/>
        </w:rPr>
        <w:t>اثربخشی</w:t>
      </w:r>
      <w:r w:rsidRPr="0025250D">
        <w:rPr>
          <w:rFonts w:hint="cs"/>
          <w:rtl/>
        </w:rPr>
        <w:t xml:space="preserve"> یا کارایی یک سازمان.</w:t>
      </w:r>
    </w:p>
    <w:p w14:paraId="654C6A3C" w14:textId="7EBCDD48" w:rsidR="00537CC8" w:rsidRPr="0025250D" w:rsidRDefault="00537CC8" w:rsidP="00537CC8">
      <w:pPr>
        <w:rPr>
          <w:rtl/>
        </w:rPr>
      </w:pPr>
      <w:r w:rsidRPr="0025250D">
        <w:rPr>
          <w:rFonts w:hint="cs"/>
          <w:rtl/>
        </w:rPr>
        <w:t xml:space="preserve">ارتباطات </w:t>
      </w:r>
      <w:r w:rsidR="00701E03" w:rsidRPr="0025250D">
        <w:rPr>
          <w:rFonts w:hint="cs"/>
          <w:rtl/>
        </w:rPr>
        <w:t>راهبردی</w:t>
      </w:r>
      <w:r w:rsidRPr="0025250D">
        <w:rPr>
          <w:vertAlign w:val="superscript"/>
          <w:rtl/>
        </w:rPr>
        <w:footnoteReference w:id="2867"/>
      </w:r>
    </w:p>
    <w:p w14:paraId="3F946939" w14:textId="77777777" w:rsidR="00537CC8" w:rsidRPr="0025250D" w:rsidRDefault="00537CC8" w:rsidP="00537CC8">
      <w:pPr>
        <w:rPr>
          <w:rtl/>
        </w:rPr>
      </w:pPr>
      <w:r w:rsidRPr="0025250D">
        <w:rPr>
          <w:rFonts w:hint="cs"/>
          <w:rtl/>
        </w:rPr>
        <w:t>فعالیت</w:t>
      </w:r>
      <w:r w:rsidRPr="0025250D">
        <w:rPr>
          <w:rtl/>
        </w:rPr>
        <w:t xml:space="preserve">‌های </w:t>
      </w:r>
      <w:r w:rsidRPr="0025250D">
        <w:rPr>
          <w:rFonts w:hint="cs"/>
          <w:rtl/>
        </w:rPr>
        <w:t>اطلاعاتی و ارتباطی مدیریت</w:t>
      </w:r>
      <w:r w:rsidRPr="0025250D">
        <w:rPr>
          <w:rtl/>
        </w:rPr>
        <w:t xml:space="preserve"> </w:t>
      </w:r>
      <w:r w:rsidRPr="0025250D">
        <w:rPr>
          <w:rFonts w:hint="cs"/>
          <w:rtl/>
        </w:rPr>
        <w:t>شده</w:t>
      </w:r>
      <w:r w:rsidRPr="0025250D">
        <w:rPr>
          <w:rtl/>
        </w:rPr>
        <w:t xml:space="preserve"> </w:t>
      </w:r>
      <w:r w:rsidRPr="0025250D">
        <w:rPr>
          <w:rFonts w:hint="cs"/>
          <w:rtl/>
        </w:rPr>
        <w:t>برای پیشرفت اهداف و برنامه‌های سازمان.</w:t>
      </w:r>
    </w:p>
    <w:p w14:paraId="3B9578FD" w14:textId="0952AD63" w:rsidR="00537CC8" w:rsidRPr="0025250D" w:rsidRDefault="00B124DE" w:rsidP="00537CC8">
      <w:pPr>
        <w:rPr>
          <w:rtl/>
        </w:rPr>
      </w:pPr>
      <w:r w:rsidRPr="0025250D">
        <w:rPr>
          <w:rFonts w:hint="cs"/>
          <w:rtl/>
        </w:rPr>
        <w:t>برنامه‌ریزی</w:t>
      </w:r>
      <w:r w:rsidR="00537CC8" w:rsidRPr="0025250D">
        <w:rPr>
          <w:rFonts w:hint="cs"/>
          <w:rtl/>
        </w:rPr>
        <w:t xml:space="preserve"> جانشین</w:t>
      </w:r>
      <w:r w:rsidR="00537CC8" w:rsidRPr="0025250D">
        <w:rPr>
          <w:vertAlign w:val="superscript"/>
          <w:rtl/>
        </w:rPr>
        <w:footnoteReference w:id="2868"/>
      </w:r>
    </w:p>
    <w:p w14:paraId="704F4E1C" w14:textId="1DC9F146" w:rsidR="00537CC8" w:rsidRPr="0025250D" w:rsidRDefault="00537CC8" w:rsidP="00537CC8">
      <w:pPr>
        <w:rPr>
          <w:rtl/>
        </w:rPr>
      </w:pPr>
      <w:r w:rsidRPr="0025250D">
        <w:rPr>
          <w:rFonts w:hint="cs"/>
          <w:rtl/>
        </w:rPr>
        <w:t xml:space="preserve">توسعه زنجیره‌های توالی متناوب و اصلی رهبری در کارکردهای </w:t>
      </w:r>
      <w:r w:rsidR="00B124DE" w:rsidRPr="0025250D">
        <w:rPr>
          <w:rFonts w:hint="cs"/>
          <w:rtl/>
        </w:rPr>
        <w:t>کسب‌و‌کار</w:t>
      </w:r>
      <w:r w:rsidRPr="0025250D">
        <w:rPr>
          <w:rFonts w:hint="cs"/>
          <w:rtl/>
        </w:rPr>
        <w:t xml:space="preserve"> مهم.</w:t>
      </w:r>
    </w:p>
    <w:p w14:paraId="2D747DF6" w14:textId="77777777" w:rsidR="00537CC8" w:rsidRPr="0025250D" w:rsidRDefault="00537CC8" w:rsidP="00537CC8">
      <w:pPr>
        <w:rPr>
          <w:rtl/>
        </w:rPr>
      </w:pPr>
      <w:r w:rsidRPr="0025250D">
        <w:rPr>
          <w:rFonts w:hint="cs"/>
          <w:rtl/>
        </w:rPr>
        <w:t>جذب استعداد‌ها و انتخاب تیم</w:t>
      </w:r>
      <w:r w:rsidRPr="0025250D">
        <w:rPr>
          <w:vertAlign w:val="superscript"/>
          <w:rtl/>
        </w:rPr>
        <w:footnoteReference w:id="2869"/>
      </w:r>
    </w:p>
    <w:p w14:paraId="69110E85" w14:textId="77777777" w:rsidR="00537CC8" w:rsidRPr="0025250D" w:rsidRDefault="00537CC8" w:rsidP="00537CC8">
      <w:pPr>
        <w:rPr>
          <w:rtl/>
        </w:rPr>
      </w:pPr>
      <w:r w:rsidRPr="0025250D">
        <w:rPr>
          <w:rFonts w:hint="cs"/>
          <w:rtl/>
        </w:rPr>
        <w:t>تعریف و به کارگیری استعداد‌ها، از جمله تنوع دانش و شناختی تخصصی.</w:t>
      </w:r>
    </w:p>
    <w:p w14:paraId="4E670172" w14:textId="77777777" w:rsidR="00537CC8" w:rsidRPr="0025250D" w:rsidRDefault="00537CC8" w:rsidP="003D3E0A">
      <w:pPr>
        <w:pStyle w:val="Heading3"/>
        <w:rPr>
          <w:rtl/>
        </w:rPr>
      </w:pPr>
      <w:r w:rsidRPr="0025250D">
        <w:rPr>
          <w:rFonts w:hint="cs"/>
          <w:rtl/>
        </w:rPr>
        <w:t xml:space="preserve">مهارت 8: </w:t>
      </w:r>
      <w:r w:rsidRPr="0025250D">
        <w:rPr>
          <w:rFonts w:hint="cs"/>
          <w:u w:val="single"/>
          <w:rtl/>
        </w:rPr>
        <w:t>روش‌های بازبینی</w:t>
      </w:r>
      <w:r w:rsidRPr="0025250D">
        <w:rPr>
          <w:rFonts w:hint="cs"/>
          <w:rtl/>
        </w:rPr>
        <w:t xml:space="preserve"> (تفکر تعدیلی)</w:t>
      </w:r>
    </w:p>
    <w:p w14:paraId="60AF594A" w14:textId="77777777" w:rsidR="00537CC8" w:rsidRPr="0025250D" w:rsidRDefault="00537CC8" w:rsidP="00537CC8">
      <w:pPr>
        <w:rPr>
          <w:rtl/>
        </w:rPr>
      </w:pPr>
      <w:r w:rsidRPr="0025250D">
        <w:rPr>
          <w:rFonts w:hint="cs"/>
          <w:rtl/>
        </w:rPr>
        <w:t>کارت امتیازی متوازن</w:t>
      </w:r>
      <w:r w:rsidRPr="0025250D">
        <w:rPr>
          <w:vertAlign w:val="superscript"/>
          <w:rtl/>
        </w:rPr>
        <w:footnoteReference w:id="2870"/>
      </w:r>
    </w:p>
    <w:p w14:paraId="420154C8" w14:textId="77777777" w:rsidR="00537CC8" w:rsidRPr="0025250D" w:rsidRDefault="00537CC8" w:rsidP="00537CC8">
      <w:pPr>
        <w:rPr>
          <w:rtl/>
        </w:rPr>
      </w:pPr>
      <w:r w:rsidRPr="0025250D">
        <w:rPr>
          <w:rFonts w:hint="cs"/>
          <w:rtl/>
        </w:rPr>
        <w:t>گزارش مدیریت عملکرد با ترکیبی از نشانگر‌های عملکردی کلیدی مالی و غیر مالی (</w:t>
      </w:r>
      <w:r w:rsidRPr="0025250D">
        <w:t>KPI</w:t>
      </w:r>
      <w:r w:rsidRPr="0025250D">
        <w:rPr>
          <w:rFonts w:hint="cs"/>
          <w:rtl/>
        </w:rPr>
        <w:t xml:space="preserve"> ها).</w:t>
      </w:r>
    </w:p>
    <w:p w14:paraId="481E61E2" w14:textId="77777777" w:rsidR="00537CC8" w:rsidRPr="0025250D" w:rsidRDefault="00537CC8" w:rsidP="00537CC8">
      <w:pPr>
        <w:rPr>
          <w:rtl/>
        </w:rPr>
      </w:pPr>
      <w:r w:rsidRPr="0025250D">
        <w:rPr>
          <w:rFonts w:hint="cs"/>
          <w:rtl/>
        </w:rPr>
        <w:t>مدیریت تغییر</w:t>
      </w:r>
      <w:r w:rsidRPr="0025250D">
        <w:rPr>
          <w:vertAlign w:val="superscript"/>
          <w:rtl/>
        </w:rPr>
        <w:footnoteReference w:id="2871"/>
      </w:r>
    </w:p>
    <w:p w14:paraId="509E0426" w14:textId="493FAA72" w:rsidR="00537CC8" w:rsidRPr="0025250D" w:rsidRDefault="00537CC8" w:rsidP="00537CC8">
      <w:pPr>
        <w:rPr>
          <w:rtl/>
        </w:rPr>
      </w:pPr>
      <w:r w:rsidRPr="0025250D">
        <w:rPr>
          <w:rFonts w:hint="cs"/>
          <w:rtl/>
        </w:rPr>
        <w:t xml:space="preserve">روش‌هایی برای افراد، تیم‌ها و شرکت‌ها برای راهنمایی و هدایت تغییر </w:t>
      </w:r>
      <w:r w:rsidR="00701E03" w:rsidRPr="0025250D">
        <w:rPr>
          <w:rFonts w:hint="cs"/>
          <w:rtl/>
        </w:rPr>
        <w:t>راهبردی</w:t>
      </w:r>
      <w:r w:rsidRPr="0025250D">
        <w:rPr>
          <w:rFonts w:hint="cs"/>
          <w:rtl/>
        </w:rPr>
        <w:t>. کتاب هدایت تغییر</w:t>
      </w:r>
      <w:r w:rsidRPr="0025250D">
        <w:rPr>
          <w:vertAlign w:val="superscript"/>
          <w:rtl/>
        </w:rPr>
        <w:footnoteReference w:id="2872"/>
      </w:r>
      <w:r w:rsidRPr="0025250D">
        <w:rPr>
          <w:rFonts w:hint="cs"/>
          <w:rtl/>
        </w:rPr>
        <w:t xml:space="preserve"> اثر </w:t>
      </w:r>
      <w:r w:rsidRPr="0025250D">
        <w:rPr>
          <w:rtl/>
        </w:rPr>
        <w:t>کوتر</w:t>
      </w:r>
      <w:r w:rsidRPr="0025250D">
        <w:rPr>
          <w:rFonts w:hint="cs"/>
          <w:rtl/>
        </w:rPr>
        <w:t xml:space="preserve"> در سال 2012 را ببینید.</w:t>
      </w:r>
    </w:p>
    <w:p w14:paraId="591218F8" w14:textId="1103C068" w:rsidR="00537CC8" w:rsidRPr="0025250D" w:rsidRDefault="00537CC8" w:rsidP="00537CC8">
      <w:pPr>
        <w:rPr>
          <w:rtl/>
        </w:rPr>
      </w:pPr>
      <w:r w:rsidRPr="0025250D">
        <w:rPr>
          <w:rtl/>
        </w:rPr>
        <w:t>آینده‌نگاری</w:t>
      </w:r>
      <w:r w:rsidRPr="0025250D">
        <w:rPr>
          <w:rFonts w:hint="cs"/>
          <w:rtl/>
        </w:rPr>
        <w:t>/</w:t>
      </w:r>
      <w:r w:rsidR="00D92F6E" w:rsidRPr="0025250D">
        <w:rPr>
          <w:rFonts w:hint="cs"/>
          <w:rtl/>
        </w:rPr>
        <w:t>آینده‌پژوه</w:t>
      </w:r>
      <w:r w:rsidRPr="0025250D">
        <w:rPr>
          <w:rFonts w:hint="cs"/>
          <w:rtl/>
        </w:rPr>
        <w:t>ی انتقادی</w:t>
      </w:r>
      <w:r w:rsidRPr="0025250D">
        <w:rPr>
          <w:vertAlign w:val="superscript"/>
          <w:rtl/>
        </w:rPr>
        <w:footnoteReference w:id="2873"/>
      </w:r>
    </w:p>
    <w:p w14:paraId="2654C2E7" w14:textId="06528CC2" w:rsidR="00537CC8" w:rsidRPr="0025250D" w:rsidRDefault="00537CC8" w:rsidP="00537CC8">
      <w:pPr>
        <w:rPr>
          <w:rtl/>
        </w:rPr>
      </w:pPr>
      <w:r w:rsidRPr="0025250D">
        <w:rPr>
          <w:rFonts w:hint="cs"/>
          <w:rtl/>
        </w:rPr>
        <w:t xml:space="preserve">استفاده از تحقیق انتقادی از علوم اجتماعی برای تحلیل و ساختار زدایی </w:t>
      </w:r>
      <w:r w:rsidR="008D6F97" w:rsidRPr="0025250D">
        <w:rPr>
          <w:rFonts w:hint="cs"/>
          <w:rtl/>
        </w:rPr>
        <w:t>سامانه‌</w:t>
      </w:r>
      <w:r w:rsidRPr="0025250D">
        <w:rPr>
          <w:rFonts w:hint="cs"/>
          <w:rtl/>
        </w:rPr>
        <w:t xml:space="preserve"> ها. کتاب </w:t>
      </w:r>
      <w:r w:rsidR="00D92F6E" w:rsidRPr="0025250D">
        <w:rPr>
          <w:rFonts w:hint="cs"/>
          <w:rtl/>
        </w:rPr>
        <w:t>آینده‌پژوه</w:t>
      </w:r>
      <w:r w:rsidRPr="0025250D">
        <w:rPr>
          <w:rFonts w:hint="cs"/>
          <w:rtl/>
        </w:rPr>
        <w:t>ی انتقادی</w:t>
      </w:r>
      <w:r w:rsidRPr="0025250D">
        <w:rPr>
          <w:vertAlign w:val="superscript"/>
          <w:rtl/>
        </w:rPr>
        <w:footnoteReference w:id="2874"/>
      </w:r>
      <w:r w:rsidRPr="0025250D">
        <w:rPr>
          <w:rFonts w:hint="cs"/>
          <w:rtl/>
        </w:rPr>
        <w:t xml:space="preserve"> اثر </w:t>
      </w:r>
      <w:r w:rsidRPr="0025250D">
        <w:rPr>
          <w:rtl/>
        </w:rPr>
        <w:t>ر</w:t>
      </w:r>
      <w:r w:rsidRPr="0025250D">
        <w:rPr>
          <w:rFonts w:hint="cs"/>
          <w:rtl/>
        </w:rPr>
        <w:t>ی</w:t>
      </w:r>
      <w:r w:rsidRPr="0025250D">
        <w:rPr>
          <w:rFonts w:hint="eastAsia"/>
          <w:rtl/>
        </w:rPr>
        <w:t>چارد</w:t>
      </w:r>
      <w:r w:rsidRPr="0025250D">
        <w:rPr>
          <w:rtl/>
        </w:rPr>
        <w:t xml:space="preserve"> اسلاتر</w:t>
      </w:r>
      <w:r w:rsidRPr="0025250D">
        <w:rPr>
          <w:rFonts w:hint="cs"/>
          <w:rtl/>
        </w:rPr>
        <w:t xml:space="preserve"> در سال 1996 را ببینید.</w:t>
      </w:r>
    </w:p>
    <w:p w14:paraId="1CC5E579" w14:textId="4DDA516E" w:rsidR="00537CC8" w:rsidRPr="0025250D" w:rsidRDefault="00537CC8" w:rsidP="00537CC8">
      <w:pPr>
        <w:rPr>
          <w:rtl/>
        </w:rPr>
      </w:pPr>
      <w:r w:rsidRPr="0025250D">
        <w:rPr>
          <w:rFonts w:hint="cs"/>
          <w:rtl/>
        </w:rPr>
        <w:t>درخواست انتقاد</w:t>
      </w:r>
      <w:r w:rsidRPr="0025250D">
        <w:rPr>
          <w:vertAlign w:val="superscript"/>
          <w:rtl/>
        </w:rPr>
        <w:footnoteReference w:id="2875"/>
      </w:r>
    </w:p>
    <w:p w14:paraId="6F01065B" w14:textId="77777777" w:rsidR="00537CC8" w:rsidRPr="0025250D" w:rsidRDefault="00537CC8" w:rsidP="00537CC8">
      <w:pPr>
        <w:rPr>
          <w:rtl/>
        </w:rPr>
      </w:pPr>
      <w:r w:rsidRPr="0025250D">
        <w:rPr>
          <w:rFonts w:hint="cs"/>
          <w:rtl/>
        </w:rPr>
        <w:t xml:space="preserve">کسب بازخورد انتقادی صادقانه از مشتریان و فعالان </w:t>
      </w:r>
      <w:r w:rsidRPr="0025250D">
        <w:rPr>
          <w:rtl/>
        </w:rPr>
        <w:t>آینده‌نگاری</w:t>
      </w:r>
      <w:r w:rsidRPr="0025250D">
        <w:rPr>
          <w:rFonts w:hint="cs"/>
          <w:rtl/>
        </w:rPr>
        <w:t xml:space="preserve"> همکار.</w:t>
      </w:r>
    </w:p>
    <w:p w14:paraId="155DC221" w14:textId="2080875F" w:rsidR="00537CC8" w:rsidRPr="0025250D" w:rsidRDefault="00537CC8" w:rsidP="00537CC8">
      <w:pPr>
        <w:rPr>
          <w:rtl/>
        </w:rPr>
      </w:pPr>
      <w:r w:rsidRPr="0025250D">
        <w:rPr>
          <w:rFonts w:hint="cs"/>
          <w:rtl/>
        </w:rPr>
        <w:t>داشبوردها (</w:t>
      </w:r>
      <w:r w:rsidR="008D6F97" w:rsidRPr="0025250D">
        <w:rPr>
          <w:rFonts w:hint="cs"/>
          <w:rtl/>
        </w:rPr>
        <w:t>سامانه‌</w:t>
      </w:r>
      <w:r w:rsidRPr="0025250D">
        <w:rPr>
          <w:rFonts w:hint="cs"/>
          <w:rtl/>
        </w:rPr>
        <w:t>‌های اطلاعات مدیریت)</w:t>
      </w:r>
      <w:r w:rsidRPr="0025250D">
        <w:rPr>
          <w:vertAlign w:val="superscript"/>
          <w:rtl/>
        </w:rPr>
        <w:footnoteReference w:id="2876"/>
      </w:r>
    </w:p>
    <w:p w14:paraId="48ED2336" w14:textId="77777777" w:rsidR="00537CC8" w:rsidRPr="0025250D" w:rsidRDefault="00537CC8" w:rsidP="00537CC8">
      <w:pPr>
        <w:rPr>
          <w:rtl/>
        </w:rPr>
      </w:pPr>
      <w:r w:rsidRPr="0025250D">
        <w:rPr>
          <w:rFonts w:hint="cs"/>
          <w:rtl/>
        </w:rPr>
        <w:t>یک گزارش واحد آسان برای مطالعه یا یک رابطه کاربری با بازخورد همزمان در مورد اعداد و ارقام عملکردی انتقادی.</w:t>
      </w:r>
    </w:p>
    <w:p w14:paraId="4C6CA370" w14:textId="77777777" w:rsidR="00537CC8" w:rsidRPr="0025250D" w:rsidRDefault="00537CC8" w:rsidP="00537CC8">
      <w:pPr>
        <w:rPr>
          <w:rtl/>
        </w:rPr>
      </w:pPr>
      <w:r w:rsidRPr="0025250D">
        <w:rPr>
          <w:rFonts w:hint="cs"/>
          <w:rtl/>
        </w:rPr>
        <w:t>مدریت بازخورد سازمانی</w:t>
      </w:r>
      <w:r w:rsidRPr="0025250D">
        <w:rPr>
          <w:vertAlign w:val="superscript"/>
          <w:rtl/>
        </w:rPr>
        <w:footnoteReference w:id="2877"/>
      </w:r>
    </w:p>
    <w:p w14:paraId="7EC6CAD6" w14:textId="77777777" w:rsidR="00537CC8" w:rsidRPr="0025250D" w:rsidRDefault="00537CC8" w:rsidP="00537CC8">
      <w:pPr>
        <w:rPr>
          <w:rtl/>
        </w:rPr>
      </w:pPr>
      <w:r w:rsidRPr="0025250D">
        <w:rPr>
          <w:rFonts w:hint="cs"/>
          <w:rtl/>
        </w:rPr>
        <w:t>نرم افزار و فرایند‌هایی برای مدیریت متمرکز نوشتن، به کارگیری و تحلیل نظر سنجی بازخوردی.</w:t>
      </w:r>
    </w:p>
    <w:p w14:paraId="2B607B10" w14:textId="77777777" w:rsidR="00537CC8" w:rsidRPr="0025250D" w:rsidRDefault="00537CC8" w:rsidP="00537CC8">
      <w:pPr>
        <w:rPr>
          <w:rtl/>
        </w:rPr>
      </w:pPr>
      <w:r w:rsidRPr="0025250D">
        <w:rPr>
          <w:rFonts w:hint="cs"/>
          <w:rtl/>
        </w:rPr>
        <w:t>نشانگرهای کلیدی عملکرد (</w:t>
      </w:r>
      <w:r w:rsidRPr="0025250D">
        <w:t>KPI</w:t>
      </w:r>
      <w:r w:rsidRPr="0025250D">
        <w:rPr>
          <w:rFonts w:hint="cs"/>
          <w:rtl/>
        </w:rPr>
        <w:t xml:space="preserve"> ها)</w:t>
      </w:r>
      <w:r w:rsidRPr="0025250D">
        <w:rPr>
          <w:vertAlign w:val="superscript"/>
          <w:rtl/>
        </w:rPr>
        <w:footnoteReference w:id="2878"/>
      </w:r>
    </w:p>
    <w:p w14:paraId="2F5DF073" w14:textId="2CDB4318" w:rsidR="00537CC8" w:rsidRPr="0025250D" w:rsidRDefault="00537CC8" w:rsidP="00537CC8">
      <w:pPr>
        <w:rPr>
          <w:rtl/>
        </w:rPr>
      </w:pPr>
      <w:r w:rsidRPr="0025250D">
        <w:rPr>
          <w:rFonts w:hint="cs"/>
          <w:rtl/>
        </w:rPr>
        <w:t xml:space="preserve">سنجه‌های مدیریتی از عملکرد </w:t>
      </w:r>
      <w:r w:rsidR="00B124DE" w:rsidRPr="0025250D">
        <w:rPr>
          <w:rFonts w:hint="cs"/>
          <w:rtl/>
        </w:rPr>
        <w:t>کسب‌و‌کار</w:t>
      </w:r>
      <w:r w:rsidRPr="0025250D">
        <w:rPr>
          <w:rFonts w:hint="cs"/>
          <w:rtl/>
        </w:rPr>
        <w:t xml:space="preserve"> که در هر واحد متغیر هستند.</w:t>
      </w:r>
    </w:p>
    <w:p w14:paraId="41DE4B3C" w14:textId="77777777" w:rsidR="00537CC8" w:rsidRPr="0025250D" w:rsidRDefault="00537CC8" w:rsidP="00537CC8">
      <w:pPr>
        <w:rPr>
          <w:rtl/>
        </w:rPr>
      </w:pPr>
      <w:r w:rsidRPr="0025250D">
        <w:rPr>
          <w:rFonts w:hint="cs"/>
          <w:rtl/>
        </w:rPr>
        <w:t>اهداف و نتایج کلیدی (</w:t>
      </w:r>
      <w:r w:rsidRPr="0025250D">
        <w:t>OKR</w:t>
      </w:r>
      <w:r w:rsidRPr="0025250D">
        <w:rPr>
          <w:rFonts w:hint="cs"/>
          <w:rtl/>
        </w:rPr>
        <w:t xml:space="preserve"> ها)</w:t>
      </w:r>
      <w:r w:rsidRPr="0025250D">
        <w:rPr>
          <w:vertAlign w:val="superscript"/>
          <w:rtl/>
        </w:rPr>
        <w:footnoteReference w:id="2879"/>
      </w:r>
    </w:p>
    <w:p w14:paraId="07F92660" w14:textId="77777777" w:rsidR="00537CC8" w:rsidRPr="0025250D" w:rsidRDefault="00537CC8" w:rsidP="00537CC8">
      <w:pPr>
        <w:rPr>
          <w:rtl/>
        </w:rPr>
      </w:pPr>
      <w:r w:rsidRPr="0025250D">
        <w:rPr>
          <w:rFonts w:hint="cs"/>
          <w:rtl/>
        </w:rPr>
        <w:t>اهداف (آرمان ها) شفاف و نتایج کلیدی (چگونه، چه زمان، چه چیزی برای دست یابی به آن‌ها انجام خواهید داد).</w:t>
      </w:r>
    </w:p>
    <w:p w14:paraId="7C41E1BA" w14:textId="4B72BCE1" w:rsidR="00537CC8" w:rsidRPr="0025250D" w:rsidRDefault="006C4DCD" w:rsidP="00537CC8">
      <w:pPr>
        <w:rPr>
          <w:rtl/>
        </w:rPr>
      </w:pPr>
      <w:r w:rsidRPr="0025250D">
        <w:rPr>
          <w:rtl/>
        </w:rPr>
        <w:t>پ</w:t>
      </w:r>
      <w:r w:rsidRPr="0025250D">
        <w:rPr>
          <w:rFonts w:hint="cs"/>
          <w:rtl/>
        </w:rPr>
        <w:t>ی</w:t>
      </w:r>
      <w:r w:rsidRPr="0025250D">
        <w:rPr>
          <w:rFonts w:hint="eastAsia"/>
          <w:rtl/>
        </w:rPr>
        <w:t>ش</w:t>
      </w:r>
      <w:r w:rsidRPr="0025250D">
        <w:rPr>
          <w:rtl/>
        </w:rPr>
        <w:t xml:space="preserve"> اند</w:t>
      </w:r>
      <w:r w:rsidRPr="0025250D">
        <w:rPr>
          <w:rFonts w:hint="cs"/>
          <w:rtl/>
        </w:rPr>
        <w:t>ی</w:t>
      </w:r>
      <w:r w:rsidRPr="0025250D">
        <w:rPr>
          <w:rFonts w:hint="eastAsia"/>
          <w:rtl/>
        </w:rPr>
        <w:t>ش</w:t>
      </w:r>
      <w:r w:rsidRPr="0025250D">
        <w:rPr>
          <w:rFonts w:hint="cs"/>
          <w:rtl/>
        </w:rPr>
        <w:t>ی</w:t>
      </w:r>
      <w:r w:rsidRPr="0025250D">
        <w:rPr>
          <w:rtl/>
        </w:rPr>
        <w:t xml:space="preserve"> شکست</w:t>
      </w:r>
    </w:p>
    <w:p w14:paraId="067D86E6" w14:textId="77777777" w:rsidR="00537CC8" w:rsidRPr="0025250D" w:rsidRDefault="00537CC8" w:rsidP="00537CC8">
      <w:pPr>
        <w:rPr>
          <w:rtl/>
        </w:rPr>
      </w:pPr>
      <w:r w:rsidRPr="0025250D">
        <w:rPr>
          <w:rFonts w:hint="cs"/>
          <w:rtl/>
        </w:rPr>
        <w:t>رهبر پیشنهاد می‌کند که چرا پروژه فعلی تیم شکست خورده است و به دنبال دلایلی برای شکست می‌گردد. جلوگیری از سوگیری تفکر گروهی.</w:t>
      </w:r>
    </w:p>
    <w:p w14:paraId="18ACCF71" w14:textId="77777777" w:rsidR="00537CC8" w:rsidRPr="0025250D" w:rsidRDefault="00537CC8" w:rsidP="00537CC8">
      <w:pPr>
        <w:rPr>
          <w:rtl/>
        </w:rPr>
      </w:pPr>
      <w:r w:rsidRPr="0025250D">
        <w:rPr>
          <w:rFonts w:hint="cs"/>
          <w:rtl/>
        </w:rPr>
        <w:t>حصول اطمینان از کیفیت</w:t>
      </w:r>
      <w:r w:rsidRPr="0025250D">
        <w:rPr>
          <w:vertAlign w:val="superscript"/>
          <w:rtl/>
        </w:rPr>
        <w:footnoteReference w:id="2880"/>
      </w:r>
    </w:p>
    <w:p w14:paraId="389EEA22" w14:textId="4DC9C163" w:rsidR="00537CC8" w:rsidRPr="0025250D" w:rsidRDefault="00537CC8" w:rsidP="00537CC8">
      <w:pPr>
        <w:rPr>
          <w:rtl/>
        </w:rPr>
      </w:pPr>
      <w:r w:rsidRPr="0025250D">
        <w:rPr>
          <w:rFonts w:hint="cs"/>
          <w:rtl/>
        </w:rPr>
        <w:t xml:space="preserve">روش‌هایی برای متناسب ساختن یک محصول با هدف آن و درست در همان بار اول، </w:t>
      </w:r>
      <w:r w:rsidR="007118DE" w:rsidRPr="0025250D">
        <w:rPr>
          <w:rFonts w:hint="cs"/>
          <w:rtl/>
        </w:rPr>
        <w:t>همان‌طور</w:t>
      </w:r>
      <w:r w:rsidRPr="0025250D">
        <w:rPr>
          <w:rFonts w:hint="cs"/>
          <w:rtl/>
        </w:rPr>
        <w:t xml:space="preserve"> که توسط بازخورد مشتری تعیین می‌شود.</w:t>
      </w:r>
    </w:p>
    <w:p w14:paraId="4388EA26" w14:textId="77777777" w:rsidR="00537CC8" w:rsidRPr="0025250D" w:rsidRDefault="00537CC8" w:rsidP="00537CC8">
      <w:pPr>
        <w:rPr>
          <w:rtl/>
        </w:rPr>
      </w:pPr>
      <w:r w:rsidRPr="0025250D">
        <w:rPr>
          <w:rFonts w:hint="cs"/>
          <w:rtl/>
        </w:rPr>
        <w:t>شش سیگما و شش سیگما ناب</w:t>
      </w:r>
      <w:r w:rsidRPr="0025250D">
        <w:rPr>
          <w:vertAlign w:val="superscript"/>
          <w:rtl/>
        </w:rPr>
        <w:footnoteReference w:id="2881"/>
      </w:r>
    </w:p>
    <w:p w14:paraId="768B9ECD" w14:textId="77777777" w:rsidR="00537CC8" w:rsidRPr="0025250D" w:rsidRDefault="00537CC8" w:rsidP="00537CC8">
      <w:pPr>
        <w:rPr>
          <w:rtl/>
        </w:rPr>
      </w:pPr>
      <w:r w:rsidRPr="0025250D">
        <w:rPr>
          <w:rFonts w:hint="cs"/>
          <w:rtl/>
        </w:rPr>
        <w:t>تکنیک‌ها و ابزارهایی برای بهبود فرایند با استفاده از مدیریت کیفیت و روش‌های آماری</w:t>
      </w:r>
    </w:p>
    <w:p w14:paraId="655806FF" w14:textId="77777777" w:rsidR="00537CC8" w:rsidRPr="0025250D" w:rsidRDefault="00537CC8" w:rsidP="00537CC8">
      <w:pPr>
        <w:rPr>
          <w:rtl/>
        </w:rPr>
      </w:pPr>
      <w:r w:rsidRPr="0025250D">
        <w:rPr>
          <w:rFonts w:hint="cs"/>
          <w:rtl/>
        </w:rPr>
        <w:t>مدیریت کیفیت جامع و نگهداری بهره وری جامع</w:t>
      </w:r>
      <w:r w:rsidRPr="0025250D">
        <w:rPr>
          <w:vertAlign w:val="superscript"/>
          <w:rtl/>
        </w:rPr>
        <w:footnoteReference w:id="2882"/>
      </w:r>
    </w:p>
    <w:p w14:paraId="7D114D75" w14:textId="157D8869" w:rsidR="00537CC8" w:rsidRPr="0025250D" w:rsidRDefault="00537CC8" w:rsidP="00537CC8">
      <w:pPr>
        <w:rPr>
          <w:rtl/>
        </w:rPr>
      </w:pPr>
      <w:r w:rsidRPr="0025250D">
        <w:rPr>
          <w:rFonts w:hint="cs"/>
          <w:rtl/>
        </w:rPr>
        <w:t xml:space="preserve">روش‌ها و </w:t>
      </w:r>
      <w:r w:rsidR="008D6F97" w:rsidRPr="0025250D">
        <w:rPr>
          <w:rFonts w:hint="cs"/>
          <w:rtl/>
        </w:rPr>
        <w:t>سامانه‌</w:t>
      </w:r>
      <w:r w:rsidRPr="0025250D">
        <w:rPr>
          <w:rFonts w:hint="cs"/>
          <w:rtl/>
        </w:rPr>
        <w:t>‌هایی برای اطمینان از بهبود کیفیت مداوم (</w:t>
      </w:r>
      <w:r w:rsidRPr="0025250D">
        <w:t>TQM</w:t>
      </w:r>
      <w:r w:rsidRPr="0025250D">
        <w:rPr>
          <w:rFonts w:hint="cs"/>
          <w:rtl/>
        </w:rPr>
        <w:t>) و بهره وری دارایی‌ها (</w:t>
      </w:r>
      <w:r w:rsidRPr="0025250D">
        <w:t>TPM</w:t>
      </w:r>
      <w:r w:rsidRPr="0025250D">
        <w:rPr>
          <w:rFonts w:hint="cs"/>
          <w:rtl/>
        </w:rPr>
        <w:t>).</w:t>
      </w:r>
    </w:p>
    <w:p w14:paraId="1BD58621" w14:textId="0BC4EE5D" w:rsidR="00537CC8" w:rsidRPr="0025250D" w:rsidRDefault="00537CC8" w:rsidP="00537CC8">
      <w:pPr>
        <w:rPr>
          <w:rtl/>
        </w:rPr>
      </w:pPr>
      <w:r w:rsidRPr="0025250D">
        <w:rPr>
          <w:rFonts w:hint="cs"/>
          <w:rtl/>
        </w:rPr>
        <w:t>نظریه</w:t>
      </w:r>
      <w:r w:rsidRPr="0025250D">
        <w:rPr>
          <w:rtl/>
        </w:rPr>
        <w:t xml:space="preserve"> </w:t>
      </w:r>
      <w:r w:rsidRPr="0025250D">
        <w:rPr>
          <w:rFonts w:hint="cs"/>
          <w:rtl/>
        </w:rPr>
        <w:t>محدودیت‌ها</w:t>
      </w:r>
      <w:r w:rsidRPr="0025250D">
        <w:rPr>
          <w:vertAlign w:val="superscript"/>
          <w:rtl/>
        </w:rPr>
        <w:footnoteReference w:id="2883"/>
      </w:r>
    </w:p>
    <w:p w14:paraId="698766F1" w14:textId="77777777" w:rsidR="00537CC8" w:rsidRPr="0025250D" w:rsidRDefault="00537CC8" w:rsidP="00537CC8">
      <w:pPr>
        <w:rPr>
          <w:rtl/>
        </w:rPr>
      </w:pPr>
      <w:r w:rsidRPr="0025250D">
        <w:rPr>
          <w:rFonts w:hint="cs"/>
          <w:rtl/>
        </w:rPr>
        <w:t>روش‌های مدیریتی که به دنبال قیود محدود کننده سرعت عملکرد سازمان و کاهش آن‌ها هستند.</w:t>
      </w:r>
    </w:p>
    <w:p w14:paraId="0A852C48" w14:textId="77777777" w:rsidR="00537CC8" w:rsidRPr="0025250D" w:rsidRDefault="00537CC8" w:rsidP="00537CC8">
      <w:pPr>
        <w:rPr>
          <w:rtl/>
        </w:rPr>
      </w:pPr>
      <w:r w:rsidRPr="0025250D">
        <w:rPr>
          <w:rFonts w:hint="cs"/>
          <w:rtl/>
        </w:rPr>
        <w:t>مدیریت چرخش</w:t>
      </w:r>
      <w:r w:rsidRPr="0025250D">
        <w:rPr>
          <w:vertAlign w:val="superscript"/>
          <w:rtl/>
        </w:rPr>
        <w:footnoteReference w:id="2884"/>
      </w:r>
    </w:p>
    <w:p w14:paraId="32007BE2" w14:textId="77777777" w:rsidR="00537CC8" w:rsidRPr="0025250D" w:rsidRDefault="00537CC8" w:rsidP="00537CC8">
      <w:pPr>
        <w:rPr>
          <w:rtl/>
        </w:rPr>
      </w:pPr>
      <w:r w:rsidRPr="0025250D">
        <w:rPr>
          <w:rFonts w:hint="cs"/>
          <w:rtl/>
        </w:rPr>
        <w:t>روش‌هایی (بازبینی ترجیحات، حسابرسی، تحلیل شکست ریشه و غیره) برای حفظ شرکت‌های دچار مشکل.</w:t>
      </w:r>
    </w:p>
    <w:p w14:paraId="579D49A4" w14:textId="77777777" w:rsidR="00537CC8" w:rsidRPr="0025250D" w:rsidRDefault="00537CC8" w:rsidP="00537CC8">
      <w:pPr>
        <w:rPr>
          <w:rtl/>
        </w:rPr>
      </w:pPr>
      <w:r w:rsidRPr="0025250D">
        <w:rPr>
          <w:rFonts w:hint="cs"/>
          <w:rtl/>
        </w:rPr>
        <w:t>وایادگیری</w:t>
      </w:r>
      <w:r w:rsidRPr="0025250D">
        <w:rPr>
          <w:vertAlign w:val="superscript"/>
          <w:rtl/>
        </w:rPr>
        <w:footnoteReference w:id="2885"/>
      </w:r>
    </w:p>
    <w:p w14:paraId="481F0FCA" w14:textId="77777777" w:rsidR="00537CC8" w:rsidRPr="0025250D" w:rsidRDefault="00537CC8" w:rsidP="00537CC8">
      <w:pPr>
        <w:rPr>
          <w:rtl/>
        </w:rPr>
      </w:pPr>
      <w:r w:rsidRPr="0025250D">
        <w:rPr>
          <w:rFonts w:hint="cs"/>
          <w:rtl/>
        </w:rPr>
        <w:t xml:space="preserve">یافتن فرضیات، روش‌ها و عادات بد و تغییر آن‌ها توسط آگاهی، مسئولیت پذیری، </w:t>
      </w:r>
      <w:r w:rsidRPr="0025250D">
        <w:t>CBT</w:t>
      </w:r>
      <w:r w:rsidRPr="0025250D">
        <w:rPr>
          <w:rFonts w:hint="cs"/>
          <w:rtl/>
        </w:rPr>
        <w:t xml:space="preserve"> و اصلاح رفتار.</w:t>
      </w:r>
    </w:p>
    <w:p w14:paraId="6AAD91D8" w14:textId="77777777" w:rsidR="00537CC8" w:rsidRPr="0025250D" w:rsidRDefault="00537CC8" w:rsidP="00537CC8">
      <w:pPr>
        <w:rPr>
          <w:rtl/>
        </w:rPr>
      </w:pPr>
    </w:p>
    <w:p w14:paraId="1FC10707" w14:textId="77777777" w:rsidR="00537CC8" w:rsidRPr="0025250D" w:rsidRDefault="00537CC8" w:rsidP="00537CC8">
      <w:pPr>
        <w:rPr>
          <w:rtl/>
        </w:rPr>
      </w:pPr>
    </w:p>
    <w:p w14:paraId="4B375F2D" w14:textId="77777777" w:rsidR="00537CC8" w:rsidRPr="0025250D" w:rsidRDefault="00537CC8" w:rsidP="00537CC8">
      <w:pPr>
        <w:rPr>
          <w:rtl/>
        </w:rPr>
      </w:pPr>
    </w:p>
    <w:p w14:paraId="264B0DB4" w14:textId="77777777" w:rsidR="00537CC8" w:rsidRPr="0025250D" w:rsidRDefault="00537CC8" w:rsidP="00537CC8">
      <w:pPr>
        <w:rPr>
          <w:rtl/>
        </w:rPr>
      </w:pPr>
    </w:p>
    <w:p w14:paraId="28596964" w14:textId="77777777" w:rsidR="00537CC8" w:rsidRPr="0025250D" w:rsidRDefault="00537CC8" w:rsidP="00537CC8">
      <w:pPr>
        <w:rPr>
          <w:rtl/>
        </w:rPr>
      </w:pPr>
    </w:p>
    <w:p w14:paraId="092CE13F" w14:textId="77777777" w:rsidR="00537CC8" w:rsidRPr="0025250D" w:rsidRDefault="00537CC8" w:rsidP="00537CC8">
      <w:pPr>
        <w:rPr>
          <w:rtl/>
        </w:rPr>
      </w:pPr>
    </w:p>
    <w:p w14:paraId="19C9DF0B" w14:textId="77777777" w:rsidR="00537CC8" w:rsidRPr="0025250D" w:rsidRDefault="00537CC8" w:rsidP="00537CC8">
      <w:pPr>
        <w:rPr>
          <w:rtl/>
        </w:rPr>
      </w:pPr>
    </w:p>
    <w:p w14:paraId="707E6277" w14:textId="77777777" w:rsidR="00537CC8" w:rsidRPr="0025250D" w:rsidRDefault="00537CC8" w:rsidP="003D3E0A">
      <w:pPr>
        <w:pStyle w:val="Heading2"/>
        <w:rPr>
          <w:rtl/>
        </w:rPr>
      </w:pPr>
      <w:bookmarkStart w:id="71" w:name="_Toc127831336"/>
      <w:r w:rsidRPr="0025250D">
        <w:rPr>
          <w:rFonts w:hint="cs"/>
          <w:rtl/>
        </w:rPr>
        <w:t>استفاده از هشت مهارت: پیوستن به جوامع توسعه تخصصی</w:t>
      </w:r>
      <w:bookmarkEnd w:id="71"/>
    </w:p>
    <w:p w14:paraId="3B945549" w14:textId="4D3D7A58" w:rsidR="00537CC8" w:rsidRPr="0025250D" w:rsidRDefault="00537CC8" w:rsidP="00537CC8">
      <w:pPr>
        <w:rPr>
          <w:rtl/>
        </w:rPr>
      </w:pPr>
      <w:r w:rsidRPr="0025250D">
        <w:rPr>
          <w:rFonts w:hint="cs"/>
          <w:rtl/>
        </w:rPr>
        <w:t xml:space="preserve">برای جمع بندی این فصل، فهرست زیر یک جامعه تخصصی ارائه می‌دهد که به طور مشخص در هر یک از بیست مورد از جفت تخصص‌ها در </w:t>
      </w:r>
      <w:r w:rsidRPr="0025250D">
        <w:rPr>
          <w:rtl/>
        </w:rPr>
        <w:t>آینده‌نگاری</w:t>
      </w:r>
      <w:r w:rsidRPr="0025250D">
        <w:rPr>
          <w:rFonts w:hint="cs"/>
          <w:rtl/>
        </w:rPr>
        <w:t xml:space="preserve"> سازمانی تسلط دارد. این جوامع مکان‌های ایدئالی برای مطالعه در مورد مفید بودن و محدودیت‌های روش‌هایی که به تازگی به آن‌ها پرداختیم و بهبود آن‌ها و توسعه موارد جدید هستند</w:t>
      </w:r>
      <w:r w:rsidR="008D6F97" w:rsidRPr="0025250D">
        <w:rPr>
          <w:rtl/>
        </w:rPr>
        <w:t xml:space="preserve">؛ </w:t>
      </w:r>
      <w:r w:rsidRPr="0025250D">
        <w:rPr>
          <w:rFonts w:hint="cs"/>
          <w:rtl/>
        </w:rPr>
        <w:t xml:space="preserve">بنابراین جوامع فهرست شده تحت چهار مورد اول از هشت مهارت زیر مشخصا برای </w:t>
      </w:r>
      <w:r w:rsidRPr="0025250D">
        <w:rPr>
          <w:rtl/>
        </w:rPr>
        <w:t>آینده‌نگاری</w:t>
      </w:r>
      <w:r w:rsidRPr="0025250D">
        <w:rPr>
          <w:rFonts w:hint="cs"/>
          <w:rtl/>
        </w:rPr>
        <w:t xml:space="preserve"> </w:t>
      </w:r>
      <w:r w:rsidR="00701E03" w:rsidRPr="0025250D">
        <w:rPr>
          <w:rFonts w:hint="cs"/>
          <w:rtl/>
        </w:rPr>
        <w:t>راهبردی</w:t>
      </w:r>
      <w:r w:rsidRPr="0025250D">
        <w:rPr>
          <w:rFonts w:hint="cs"/>
          <w:rtl/>
        </w:rPr>
        <w:t xml:space="preserve"> مفید هستند. از نظر ما، انجمن</w:t>
      </w:r>
      <w:r w:rsidRPr="0025250D">
        <w:rPr>
          <w:rtl/>
        </w:rPr>
        <w:t xml:space="preserve"> </w:t>
      </w:r>
      <w:r w:rsidR="00D92F6E" w:rsidRPr="0025250D">
        <w:rPr>
          <w:rFonts w:hint="cs"/>
          <w:rtl/>
        </w:rPr>
        <w:t>آینده‌پژوه</w:t>
      </w:r>
      <w:r w:rsidRPr="0025250D">
        <w:rPr>
          <w:rFonts w:hint="cs"/>
          <w:rtl/>
        </w:rPr>
        <w:t>ان</w:t>
      </w:r>
      <w:r w:rsidRPr="0025250D">
        <w:rPr>
          <w:rtl/>
        </w:rPr>
        <w:t xml:space="preserve"> </w:t>
      </w:r>
      <w:r w:rsidRPr="0025250D">
        <w:rPr>
          <w:rFonts w:hint="cs"/>
          <w:rtl/>
        </w:rPr>
        <w:t>متخصص و انجمن</w:t>
      </w:r>
      <w:r w:rsidRPr="0025250D">
        <w:rPr>
          <w:rtl/>
        </w:rPr>
        <w:t xml:space="preserve"> </w:t>
      </w:r>
      <w:r w:rsidR="00B124DE" w:rsidRPr="0025250D">
        <w:rPr>
          <w:rFonts w:hint="cs"/>
          <w:rtl/>
        </w:rPr>
        <w:t>برنامه‌ریزی</w:t>
      </w:r>
      <w:r w:rsidRPr="0025250D">
        <w:rPr>
          <w:rtl/>
        </w:rPr>
        <w:t xml:space="preserve"> </w:t>
      </w:r>
      <w:r w:rsidR="00701E03" w:rsidRPr="0025250D">
        <w:rPr>
          <w:rFonts w:hint="cs"/>
          <w:rtl/>
        </w:rPr>
        <w:t>راهبردی</w:t>
      </w:r>
      <w:r w:rsidRPr="0025250D">
        <w:rPr>
          <w:rFonts w:hint="cs"/>
          <w:rtl/>
        </w:rPr>
        <w:t xml:space="preserve"> می‌توانند نظام مند‌ترین و آگاهانه‌ترین موارد در </w:t>
      </w:r>
      <w:r w:rsidR="00923DDB" w:rsidRPr="0025250D">
        <w:rPr>
          <w:rFonts w:hint="cs"/>
          <w:rtl/>
        </w:rPr>
        <w:t>به‌کارگیری</w:t>
      </w:r>
      <w:r w:rsidRPr="0025250D">
        <w:rPr>
          <w:rFonts w:hint="cs"/>
          <w:rtl/>
        </w:rPr>
        <w:t xml:space="preserve"> هر چهار مورد از مهارت‌های </w:t>
      </w:r>
      <w:r w:rsidRPr="0025250D">
        <w:t>LAIS</w:t>
      </w:r>
      <w:r w:rsidRPr="0025250D">
        <w:rPr>
          <w:rFonts w:hint="cs"/>
          <w:rtl/>
        </w:rPr>
        <w:t xml:space="preserve"> باشند. اگر شما جوامع مفید دیگری برای </w:t>
      </w:r>
      <w:r w:rsidRPr="0025250D">
        <w:rPr>
          <w:rtl/>
        </w:rPr>
        <w:t>آینده‌نگاری</w:t>
      </w:r>
      <w:r w:rsidRPr="0025250D">
        <w:rPr>
          <w:rFonts w:hint="cs"/>
          <w:rtl/>
        </w:rPr>
        <w:t xml:space="preserve"> سازمانی پیشنهاد می‌کنید، لطفا به ما اطلاع دهید تا بتوانیم این فهرست را در نسخه‌های آینده این کتاب راهنما تکمیل کنیم.</w:t>
      </w:r>
    </w:p>
    <w:p w14:paraId="44989448" w14:textId="77777777" w:rsidR="00537CC8" w:rsidRPr="0025250D" w:rsidRDefault="00537CC8" w:rsidP="00537CC8">
      <w:pPr>
        <w:rPr>
          <w:b/>
          <w:bCs/>
          <w:rtl/>
        </w:rPr>
      </w:pPr>
      <w:r w:rsidRPr="0025250D">
        <w:rPr>
          <w:rFonts w:hint="cs"/>
          <w:b/>
          <w:bCs/>
          <w:rtl/>
        </w:rPr>
        <w:t>1. جوامع یادگیری</w:t>
      </w:r>
    </w:p>
    <w:p w14:paraId="2C7D61ED" w14:textId="77777777" w:rsidR="00537CC8" w:rsidRPr="0025250D" w:rsidRDefault="00537CC8" w:rsidP="00537CC8">
      <w:pPr>
        <w:rPr>
          <w:b/>
          <w:bCs/>
          <w:rtl/>
        </w:rPr>
      </w:pPr>
      <w:r w:rsidRPr="0025250D">
        <w:rPr>
          <w:rtl/>
        </w:rPr>
        <w:tab/>
      </w:r>
      <w:r w:rsidRPr="0025250D">
        <w:rPr>
          <w:rFonts w:hint="cs"/>
          <w:b/>
          <w:bCs/>
          <w:rtl/>
        </w:rPr>
        <w:t>حسابداری و موارد ناملموس</w:t>
      </w:r>
    </w:p>
    <w:p w14:paraId="61229DC8" w14:textId="77777777" w:rsidR="00537CC8" w:rsidRPr="0025250D" w:rsidRDefault="00537CC8" w:rsidP="00537CC8">
      <w:pPr>
        <w:rPr>
          <w:rtl/>
        </w:rPr>
      </w:pPr>
      <w:r w:rsidRPr="0025250D">
        <w:rPr>
          <w:rtl/>
        </w:rPr>
        <w:tab/>
      </w:r>
      <w:r w:rsidRPr="0025250D">
        <w:rPr>
          <w:rFonts w:hint="cs"/>
          <w:rtl/>
        </w:rPr>
        <w:t>مؤسسه حسابداران مدیریت</w:t>
      </w:r>
      <w:r w:rsidRPr="0025250D">
        <w:rPr>
          <w:vertAlign w:val="superscript"/>
          <w:rtl/>
        </w:rPr>
        <w:footnoteReference w:id="2886"/>
      </w:r>
      <w:r w:rsidRPr="0025250D">
        <w:rPr>
          <w:rFonts w:hint="cs"/>
          <w:rtl/>
        </w:rPr>
        <w:t xml:space="preserve"> (</w:t>
      </w:r>
      <w:r w:rsidRPr="0025250D">
        <w:t>IMA</w:t>
      </w:r>
      <w:r w:rsidRPr="0025250D">
        <w:rPr>
          <w:rFonts w:hint="cs"/>
          <w:rtl/>
        </w:rPr>
        <w:t>)</w:t>
      </w:r>
    </w:p>
    <w:p w14:paraId="080BF5F3" w14:textId="77777777" w:rsidR="00537CC8" w:rsidRPr="0025250D" w:rsidRDefault="00537CC8" w:rsidP="00537CC8">
      <w:pPr>
        <w:rPr>
          <w:b/>
          <w:bCs/>
          <w:rtl/>
        </w:rPr>
      </w:pPr>
      <w:r w:rsidRPr="0025250D">
        <w:rPr>
          <w:rFonts w:hint="cs"/>
          <w:b/>
          <w:bCs/>
          <w:rtl/>
        </w:rPr>
        <w:t>اطلاعات و مدیریت دانش</w:t>
      </w:r>
    </w:p>
    <w:p w14:paraId="4DE71B28" w14:textId="1CF92B79" w:rsidR="00537CC8" w:rsidRPr="0025250D" w:rsidRDefault="00537CC8" w:rsidP="00537CC8">
      <w:pPr>
        <w:rPr>
          <w:rtl/>
        </w:rPr>
      </w:pPr>
      <w:r w:rsidRPr="0025250D">
        <w:rPr>
          <w:rFonts w:hint="cs"/>
          <w:rtl/>
        </w:rPr>
        <w:t>جامعه</w:t>
      </w:r>
      <w:r w:rsidRPr="0025250D">
        <w:rPr>
          <w:rtl/>
        </w:rPr>
        <w:t xml:space="preserve"> </w:t>
      </w:r>
      <w:r w:rsidRPr="0025250D">
        <w:rPr>
          <w:rFonts w:hint="cs"/>
          <w:rtl/>
        </w:rPr>
        <w:t>آکادمیک</w:t>
      </w:r>
      <w:r w:rsidRPr="0025250D">
        <w:rPr>
          <w:rtl/>
        </w:rPr>
        <w:t xml:space="preserve"> </w:t>
      </w:r>
      <w:r w:rsidRPr="0025250D">
        <w:rPr>
          <w:rFonts w:hint="cs"/>
          <w:rtl/>
        </w:rPr>
        <w:t>هوش</w:t>
      </w:r>
      <w:r w:rsidRPr="0025250D">
        <w:rPr>
          <w:rtl/>
        </w:rPr>
        <w:t xml:space="preserve"> </w:t>
      </w:r>
      <w:r w:rsidRPr="0025250D">
        <w:rPr>
          <w:rFonts w:hint="cs"/>
          <w:rtl/>
        </w:rPr>
        <w:t>جمعی</w:t>
      </w:r>
      <w:r w:rsidRPr="0025250D">
        <w:rPr>
          <w:vertAlign w:val="superscript"/>
          <w:rtl/>
        </w:rPr>
        <w:footnoteReference w:id="2887"/>
      </w:r>
      <w:r w:rsidRPr="0025250D">
        <w:rPr>
          <w:rtl/>
        </w:rPr>
        <w:t xml:space="preserve"> (</w:t>
      </w:r>
      <w:r w:rsidRPr="0025250D">
        <w:t>CIAC</w:t>
      </w:r>
      <w:r w:rsidRPr="0025250D">
        <w:rPr>
          <w:rtl/>
        </w:rPr>
        <w:t>)</w:t>
      </w:r>
    </w:p>
    <w:p w14:paraId="3609A9FE" w14:textId="77777777" w:rsidR="00537CC8" w:rsidRPr="0025250D" w:rsidRDefault="00537CC8" w:rsidP="00537CC8">
      <w:pPr>
        <w:rPr>
          <w:b/>
          <w:bCs/>
          <w:rtl/>
        </w:rPr>
      </w:pPr>
      <w:r w:rsidRPr="0025250D">
        <w:rPr>
          <w:rFonts w:hint="cs"/>
          <w:b/>
          <w:bCs/>
          <w:rtl/>
        </w:rPr>
        <w:t>یادگیری و توسعه</w:t>
      </w:r>
    </w:p>
    <w:p w14:paraId="2BCB54A9" w14:textId="77777777" w:rsidR="00537CC8" w:rsidRPr="0025250D" w:rsidRDefault="00537CC8" w:rsidP="00537CC8">
      <w:pPr>
        <w:rPr>
          <w:rtl/>
        </w:rPr>
      </w:pPr>
      <w:r w:rsidRPr="0025250D">
        <w:rPr>
          <w:rFonts w:hint="cs"/>
          <w:rtl/>
        </w:rPr>
        <w:t>انجمن</w:t>
      </w:r>
      <w:r w:rsidRPr="0025250D">
        <w:rPr>
          <w:rtl/>
        </w:rPr>
        <w:t xml:space="preserve"> </w:t>
      </w:r>
      <w:r w:rsidRPr="0025250D">
        <w:rPr>
          <w:rFonts w:hint="cs"/>
          <w:rtl/>
        </w:rPr>
        <w:t>توسعه</w:t>
      </w:r>
      <w:r w:rsidRPr="0025250D">
        <w:rPr>
          <w:rtl/>
        </w:rPr>
        <w:t xml:space="preserve"> </w:t>
      </w:r>
      <w:r w:rsidRPr="0025250D">
        <w:rPr>
          <w:rFonts w:hint="cs"/>
          <w:rtl/>
        </w:rPr>
        <w:t>استعدادها</w:t>
      </w:r>
      <w:r w:rsidRPr="0025250D">
        <w:rPr>
          <w:vertAlign w:val="superscript"/>
          <w:rtl/>
        </w:rPr>
        <w:footnoteReference w:id="2888"/>
      </w:r>
      <w:r w:rsidRPr="0025250D">
        <w:rPr>
          <w:rtl/>
        </w:rPr>
        <w:t xml:space="preserve"> (</w:t>
      </w:r>
      <w:r w:rsidRPr="0025250D">
        <w:t>ATD</w:t>
      </w:r>
      <w:r w:rsidRPr="0025250D">
        <w:rPr>
          <w:rtl/>
        </w:rPr>
        <w:t>)</w:t>
      </w:r>
    </w:p>
    <w:p w14:paraId="327B93A3" w14:textId="4F0B26AD" w:rsidR="00537CC8" w:rsidRPr="0025250D" w:rsidRDefault="00537CC8" w:rsidP="00537CC8">
      <w:pPr>
        <w:rPr>
          <w:b/>
          <w:bCs/>
          <w:rtl/>
        </w:rPr>
      </w:pPr>
      <w:r w:rsidRPr="0025250D">
        <w:rPr>
          <w:rFonts w:hint="cs"/>
          <w:b/>
          <w:bCs/>
          <w:rtl/>
        </w:rPr>
        <w:t xml:space="preserve">2. جوامع </w:t>
      </w:r>
      <w:r w:rsidR="00923DDB" w:rsidRPr="0025250D">
        <w:rPr>
          <w:rFonts w:hint="cs"/>
          <w:b/>
          <w:bCs/>
          <w:rtl/>
        </w:rPr>
        <w:t>پیش‌انگاری</w:t>
      </w:r>
    </w:p>
    <w:p w14:paraId="49DBAF8D" w14:textId="77777777" w:rsidR="00537CC8" w:rsidRPr="0025250D" w:rsidRDefault="00537CC8" w:rsidP="00537CC8">
      <w:pPr>
        <w:rPr>
          <w:b/>
          <w:bCs/>
          <w:rtl/>
        </w:rPr>
      </w:pPr>
      <w:r w:rsidRPr="0025250D">
        <w:rPr>
          <w:rFonts w:hint="cs"/>
          <w:b/>
          <w:bCs/>
          <w:rtl/>
        </w:rPr>
        <w:t>علوم داده و یادگیری ماشین</w:t>
      </w:r>
    </w:p>
    <w:p w14:paraId="0BEA9E2D" w14:textId="77777777" w:rsidR="00537CC8" w:rsidRPr="0025250D" w:rsidRDefault="00537CC8" w:rsidP="00537CC8">
      <w:pPr>
        <w:rPr>
          <w:rtl/>
        </w:rPr>
      </w:pPr>
      <w:r w:rsidRPr="0025250D">
        <w:rPr>
          <w:rFonts w:hint="cs"/>
          <w:rtl/>
        </w:rPr>
        <w:t>جامعه</w:t>
      </w:r>
      <w:r w:rsidRPr="0025250D">
        <w:rPr>
          <w:rtl/>
        </w:rPr>
        <w:t xml:space="preserve"> </w:t>
      </w:r>
      <w:r w:rsidRPr="0025250D">
        <w:rPr>
          <w:rFonts w:hint="cs"/>
          <w:rtl/>
        </w:rPr>
        <w:t>علوم</w:t>
      </w:r>
      <w:r w:rsidRPr="0025250D">
        <w:rPr>
          <w:rtl/>
        </w:rPr>
        <w:t xml:space="preserve"> </w:t>
      </w:r>
      <w:r w:rsidRPr="0025250D">
        <w:rPr>
          <w:rFonts w:hint="cs"/>
          <w:rtl/>
        </w:rPr>
        <w:t>داده</w:t>
      </w:r>
      <w:r w:rsidRPr="0025250D">
        <w:rPr>
          <w:rtl/>
        </w:rPr>
        <w:t xml:space="preserve"> </w:t>
      </w:r>
      <w:r w:rsidRPr="0025250D">
        <w:rPr>
          <w:rFonts w:hint="cs"/>
          <w:rtl/>
        </w:rPr>
        <w:t>باز</w:t>
      </w:r>
      <w:r w:rsidRPr="0025250D">
        <w:rPr>
          <w:vertAlign w:val="superscript"/>
          <w:rtl/>
        </w:rPr>
        <w:footnoteReference w:id="2889"/>
      </w:r>
      <w:r w:rsidRPr="0025250D">
        <w:rPr>
          <w:rtl/>
        </w:rPr>
        <w:t xml:space="preserve"> (</w:t>
      </w:r>
      <w:r w:rsidRPr="0025250D">
        <w:t>OSDC</w:t>
      </w:r>
      <w:r w:rsidRPr="0025250D">
        <w:rPr>
          <w:rtl/>
        </w:rPr>
        <w:t>)</w:t>
      </w:r>
    </w:p>
    <w:p w14:paraId="42C2D1AE" w14:textId="15CD11FE" w:rsidR="00537CC8" w:rsidRPr="0025250D" w:rsidRDefault="00FB6A7E" w:rsidP="00537CC8">
      <w:pPr>
        <w:rPr>
          <w:b/>
          <w:bCs/>
          <w:rtl/>
        </w:rPr>
      </w:pPr>
      <w:r w:rsidRPr="0025250D">
        <w:rPr>
          <w:rFonts w:hint="cs"/>
          <w:b/>
          <w:bCs/>
          <w:rtl/>
        </w:rPr>
        <w:t>پیش‌نگری</w:t>
      </w:r>
      <w:r w:rsidR="00537CC8" w:rsidRPr="0025250D">
        <w:rPr>
          <w:rFonts w:hint="cs"/>
          <w:b/>
          <w:bCs/>
          <w:rtl/>
        </w:rPr>
        <w:t xml:space="preserve"> و پیش‌بینی</w:t>
      </w:r>
    </w:p>
    <w:p w14:paraId="46F2D5EE" w14:textId="3BDD6048" w:rsidR="00537CC8" w:rsidRPr="0025250D" w:rsidRDefault="00537CC8" w:rsidP="00537CC8">
      <w:pPr>
        <w:rPr>
          <w:rtl/>
        </w:rPr>
      </w:pPr>
      <w:r w:rsidRPr="0025250D">
        <w:rPr>
          <w:rFonts w:hint="cs"/>
          <w:rtl/>
        </w:rPr>
        <w:t>موسسه</w:t>
      </w:r>
      <w:r w:rsidRPr="0025250D">
        <w:rPr>
          <w:rtl/>
        </w:rPr>
        <w:t xml:space="preserve"> </w:t>
      </w:r>
      <w:r w:rsidRPr="0025250D">
        <w:rPr>
          <w:rFonts w:hint="cs"/>
          <w:rtl/>
        </w:rPr>
        <w:t>بین</w:t>
      </w:r>
      <w:r w:rsidRPr="0025250D">
        <w:rPr>
          <w:rtl/>
        </w:rPr>
        <w:t xml:space="preserve"> </w:t>
      </w:r>
      <w:r w:rsidRPr="0025250D">
        <w:rPr>
          <w:rFonts w:hint="cs"/>
          <w:rtl/>
        </w:rPr>
        <w:t>المللی</w:t>
      </w:r>
      <w:r w:rsidRPr="0025250D">
        <w:rPr>
          <w:rtl/>
        </w:rPr>
        <w:t xml:space="preserve"> </w:t>
      </w:r>
      <w:r w:rsidR="0008779C" w:rsidRPr="0025250D">
        <w:rPr>
          <w:rFonts w:hint="cs"/>
          <w:rtl/>
        </w:rPr>
        <w:t>پیش‌نگر</w:t>
      </w:r>
      <w:r w:rsidRPr="0025250D">
        <w:rPr>
          <w:rFonts w:hint="cs"/>
          <w:rtl/>
        </w:rPr>
        <w:t>ان</w:t>
      </w:r>
      <w:r w:rsidRPr="0025250D">
        <w:rPr>
          <w:vertAlign w:val="superscript"/>
          <w:rtl/>
        </w:rPr>
        <w:footnoteReference w:id="2890"/>
      </w:r>
      <w:r w:rsidRPr="0025250D">
        <w:rPr>
          <w:rtl/>
        </w:rPr>
        <w:t xml:space="preserve"> (</w:t>
      </w:r>
      <w:r w:rsidRPr="0025250D">
        <w:t>IIF</w:t>
      </w:r>
      <w:r w:rsidRPr="0025250D">
        <w:rPr>
          <w:rtl/>
        </w:rPr>
        <w:t>)</w:t>
      </w:r>
    </w:p>
    <w:p w14:paraId="6D05DD81" w14:textId="786DEE16" w:rsidR="00537CC8" w:rsidRPr="0025250D" w:rsidRDefault="00F50EB4" w:rsidP="00537CC8">
      <w:pPr>
        <w:rPr>
          <w:b/>
          <w:bCs/>
          <w:rtl/>
        </w:rPr>
      </w:pPr>
      <w:r w:rsidRPr="0025250D">
        <w:rPr>
          <w:rFonts w:hint="cs"/>
          <w:b/>
          <w:bCs/>
          <w:rtl/>
        </w:rPr>
        <w:t>سرمایه‌گذاری</w:t>
      </w:r>
      <w:r w:rsidR="00537CC8" w:rsidRPr="0025250D">
        <w:rPr>
          <w:rFonts w:hint="cs"/>
          <w:b/>
          <w:bCs/>
          <w:rtl/>
        </w:rPr>
        <w:t xml:space="preserve"> و امور مالی</w:t>
      </w:r>
    </w:p>
    <w:p w14:paraId="150F9A19" w14:textId="77777777" w:rsidR="00537CC8" w:rsidRPr="0025250D" w:rsidRDefault="00537CC8" w:rsidP="00537CC8">
      <w:pPr>
        <w:rPr>
          <w:rtl/>
        </w:rPr>
      </w:pPr>
      <w:r w:rsidRPr="0025250D">
        <w:rPr>
          <w:rFonts w:hint="cs"/>
          <w:rtl/>
        </w:rPr>
        <w:t xml:space="preserve">مؤسسه </w:t>
      </w:r>
      <w:r w:rsidRPr="0025250D">
        <w:t>CFA</w:t>
      </w:r>
      <w:r w:rsidRPr="0025250D">
        <w:rPr>
          <w:vertAlign w:val="superscript"/>
        </w:rPr>
        <w:footnoteReference w:id="2891"/>
      </w:r>
      <w:r w:rsidRPr="0025250D">
        <w:rPr>
          <w:rFonts w:hint="cs"/>
          <w:rtl/>
        </w:rPr>
        <w:t xml:space="preserve"> (</w:t>
      </w:r>
      <w:r w:rsidRPr="0025250D">
        <w:t>CFAI</w:t>
      </w:r>
      <w:r w:rsidRPr="0025250D">
        <w:rPr>
          <w:rFonts w:hint="cs"/>
          <w:rtl/>
        </w:rPr>
        <w:t>).</w:t>
      </w:r>
    </w:p>
    <w:p w14:paraId="12976ADB" w14:textId="77777777" w:rsidR="00537CC8" w:rsidRPr="0025250D" w:rsidRDefault="00537CC8" w:rsidP="00537CC8">
      <w:pPr>
        <w:rPr>
          <w:b/>
          <w:bCs/>
          <w:rtl/>
        </w:rPr>
      </w:pPr>
      <w:r w:rsidRPr="0025250D">
        <w:rPr>
          <w:rFonts w:hint="cs"/>
          <w:b/>
          <w:bCs/>
          <w:rtl/>
        </w:rPr>
        <w:t>3. جوامع نوآوری</w:t>
      </w:r>
    </w:p>
    <w:p w14:paraId="55EB08C2" w14:textId="02FF5372" w:rsidR="00537CC8" w:rsidRPr="0025250D" w:rsidRDefault="00537CC8" w:rsidP="00537CC8">
      <w:pPr>
        <w:rPr>
          <w:b/>
          <w:bCs/>
          <w:rtl/>
        </w:rPr>
      </w:pPr>
      <w:r w:rsidRPr="0025250D">
        <w:rPr>
          <w:rtl/>
        </w:rPr>
        <w:tab/>
      </w:r>
      <w:r w:rsidRPr="0025250D">
        <w:rPr>
          <w:rFonts w:hint="cs"/>
          <w:b/>
          <w:bCs/>
          <w:rtl/>
        </w:rPr>
        <w:t xml:space="preserve">بدیل‌ها و </w:t>
      </w:r>
      <w:r w:rsidR="007A53FD" w:rsidRPr="0025250D">
        <w:rPr>
          <w:rFonts w:hint="cs"/>
          <w:b/>
          <w:bCs/>
          <w:rtl/>
        </w:rPr>
        <w:t>فرانامه</w:t>
      </w:r>
      <w:r w:rsidRPr="0025250D">
        <w:rPr>
          <w:rFonts w:hint="cs"/>
          <w:b/>
          <w:bCs/>
          <w:rtl/>
        </w:rPr>
        <w:t xml:space="preserve"> ها</w:t>
      </w:r>
    </w:p>
    <w:p w14:paraId="34BBD2F8" w14:textId="26A56835" w:rsidR="00537CC8" w:rsidRPr="0025250D" w:rsidRDefault="00537CC8" w:rsidP="00537CC8">
      <w:pPr>
        <w:rPr>
          <w:rtl/>
        </w:rPr>
      </w:pPr>
      <w:r w:rsidRPr="0025250D">
        <w:rPr>
          <w:rtl/>
        </w:rPr>
        <w:tab/>
      </w:r>
      <w:r w:rsidRPr="0025250D">
        <w:rPr>
          <w:rFonts w:hint="cs"/>
          <w:rtl/>
        </w:rPr>
        <w:t>انجمن</w:t>
      </w:r>
      <w:r w:rsidRPr="0025250D">
        <w:rPr>
          <w:rtl/>
        </w:rPr>
        <w:t xml:space="preserve"> </w:t>
      </w:r>
      <w:r w:rsidR="00D92F6E" w:rsidRPr="0025250D">
        <w:rPr>
          <w:rFonts w:hint="cs"/>
          <w:rtl/>
        </w:rPr>
        <w:t>آینده‌پژوه</w:t>
      </w:r>
      <w:r w:rsidRPr="0025250D">
        <w:rPr>
          <w:rFonts w:hint="cs"/>
          <w:rtl/>
        </w:rPr>
        <w:t>ان</w:t>
      </w:r>
      <w:r w:rsidRPr="0025250D">
        <w:rPr>
          <w:rtl/>
        </w:rPr>
        <w:t xml:space="preserve"> </w:t>
      </w:r>
      <w:r w:rsidRPr="0025250D">
        <w:rPr>
          <w:rFonts w:hint="cs"/>
          <w:rtl/>
        </w:rPr>
        <w:t>متخصص</w:t>
      </w:r>
      <w:r w:rsidRPr="0025250D">
        <w:rPr>
          <w:vertAlign w:val="superscript"/>
          <w:rtl/>
        </w:rPr>
        <w:footnoteReference w:id="2892"/>
      </w:r>
      <w:r w:rsidRPr="0025250D">
        <w:rPr>
          <w:rtl/>
        </w:rPr>
        <w:t xml:space="preserve"> (</w:t>
      </w:r>
      <w:r w:rsidRPr="0025250D">
        <w:t>APF</w:t>
      </w:r>
      <w:r w:rsidRPr="0025250D">
        <w:rPr>
          <w:rtl/>
        </w:rPr>
        <w:t>)</w:t>
      </w:r>
    </w:p>
    <w:p w14:paraId="24993B6D" w14:textId="51E35CE9" w:rsidR="00537CC8" w:rsidRPr="0025250D" w:rsidRDefault="00537CC8" w:rsidP="00537CC8">
      <w:pPr>
        <w:rPr>
          <w:b/>
          <w:bCs/>
          <w:rtl/>
        </w:rPr>
      </w:pPr>
      <w:r w:rsidRPr="0025250D">
        <w:rPr>
          <w:rtl/>
        </w:rPr>
        <w:tab/>
      </w:r>
      <w:r w:rsidRPr="0025250D">
        <w:rPr>
          <w:rFonts w:hint="cs"/>
          <w:b/>
          <w:bCs/>
          <w:rtl/>
        </w:rPr>
        <w:t>کارآفرینی و کارآفرینی سازمانی</w:t>
      </w:r>
    </w:p>
    <w:p w14:paraId="25899B71" w14:textId="1A70332F" w:rsidR="00537CC8" w:rsidRPr="0025250D" w:rsidRDefault="00537CC8" w:rsidP="00537CC8">
      <w:pPr>
        <w:rPr>
          <w:rtl/>
        </w:rPr>
      </w:pPr>
      <w:r w:rsidRPr="0025250D">
        <w:rPr>
          <w:rtl/>
        </w:rPr>
        <w:tab/>
      </w:r>
      <w:r w:rsidRPr="0025250D">
        <w:rPr>
          <w:rFonts w:hint="cs"/>
          <w:rtl/>
        </w:rPr>
        <w:t>مؤسسه بنیان گذار</w:t>
      </w:r>
      <w:r w:rsidRPr="0025250D">
        <w:rPr>
          <w:vertAlign w:val="superscript"/>
          <w:rtl/>
        </w:rPr>
        <w:footnoteReference w:id="2893"/>
      </w:r>
      <w:r w:rsidRPr="0025250D">
        <w:rPr>
          <w:rFonts w:hint="cs"/>
          <w:rtl/>
        </w:rPr>
        <w:t xml:space="preserve"> (</w:t>
      </w:r>
      <w:r w:rsidRPr="0025250D">
        <w:t>FI</w:t>
      </w:r>
      <w:r w:rsidRPr="0025250D">
        <w:rPr>
          <w:rFonts w:hint="cs"/>
          <w:rtl/>
        </w:rPr>
        <w:t>)</w:t>
      </w:r>
    </w:p>
    <w:p w14:paraId="2B1D0589" w14:textId="77777777" w:rsidR="00537CC8" w:rsidRPr="0025250D" w:rsidRDefault="00537CC8" w:rsidP="00537CC8">
      <w:pPr>
        <w:rPr>
          <w:b/>
          <w:bCs/>
          <w:rtl/>
        </w:rPr>
      </w:pPr>
      <w:r w:rsidRPr="0025250D">
        <w:rPr>
          <w:rFonts w:hint="cs"/>
          <w:rtl/>
        </w:rPr>
        <w:tab/>
      </w:r>
      <w:r w:rsidRPr="0025250D">
        <w:rPr>
          <w:rFonts w:hint="cs"/>
          <w:b/>
          <w:bCs/>
          <w:rtl/>
        </w:rPr>
        <w:t>تسهیل و بازی سازی</w:t>
      </w:r>
    </w:p>
    <w:p w14:paraId="136A1730" w14:textId="77777777" w:rsidR="00537CC8" w:rsidRPr="0025250D" w:rsidRDefault="00537CC8" w:rsidP="00537CC8">
      <w:pPr>
        <w:rPr>
          <w:rtl/>
        </w:rPr>
      </w:pPr>
      <w:r w:rsidRPr="0025250D">
        <w:rPr>
          <w:rtl/>
        </w:rPr>
        <w:tab/>
      </w:r>
      <w:r w:rsidRPr="0025250D">
        <w:rPr>
          <w:rFonts w:hint="cs"/>
          <w:rtl/>
        </w:rPr>
        <w:t>انجمن</w:t>
      </w:r>
      <w:r w:rsidRPr="0025250D">
        <w:rPr>
          <w:rtl/>
        </w:rPr>
        <w:t xml:space="preserve"> </w:t>
      </w:r>
      <w:r w:rsidRPr="0025250D">
        <w:rPr>
          <w:rFonts w:hint="cs"/>
          <w:rtl/>
        </w:rPr>
        <w:t>بین</w:t>
      </w:r>
      <w:r w:rsidRPr="0025250D">
        <w:rPr>
          <w:rtl/>
        </w:rPr>
        <w:t xml:space="preserve"> </w:t>
      </w:r>
      <w:r w:rsidRPr="0025250D">
        <w:rPr>
          <w:rFonts w:hint="cs"/>
          <w:rtl/>
        </w:rPr>
        <w:t>المللی</w:t>
      </w:r>
      <w:r w:rsidRPr="0025250D">
        <w:rPr>
          <w:rtl/>
        </w:rPr>
        <w:t xml:space="preserve"> </w:t>
      </w:r>
      <w:r w:rsidRPr="0025250D">
        <w:rPr>
          <w:rFonts w:hint="cs"/>
          <w:rtl/>
        </w:rPr>
        <w:t>تسهیلگران</w:t>
      </w:r>
      <w:r w:rsidRPr="0025250D">
        <w:rPr>
          <w:vertAlign w:val="superscript"/>
          <w:rtl/>
        </w:rPr>
        <w:footnoteReference w:id="2894"/>
      </w:r>
      <w:r w:rsidRPr="0025250D">
        <w:rPr>
          <w:rFonts w:hint="cs"/>
          <w:rtl/>
        </w:rPr>
        <w:t xml:space="preserve"> (</w:t>
      </w:r>
      <w:r w:rsidRPr="0025250D">
        <w:t>IAF</w:t>
      </w:r>
      <w:r w:rsidRPr="0025250D">
        <w:rPr>
          <w:rFonts w:hint="cs"/>
          <w:rtl/>
        </w:rPr>
        <w:t>)</w:t>
      </w:r>
    </w:p>
    <w:p w14:paraId="68084BAD" w14:textId="49E2194B" w:rsidR="00537CC8" w:rsidRPr="0025250D" w:rsidRDefault="00537CC8" w:rsidP="00537CC8">
      <w:pPr>
        <w:rPr>
          <w:b/>
          <w:bCs/>
          <w:rtl/>
        </w:rPr>
      </w:pPr>
      <w:r w:rsidRPr="0025250D">
        <w:rPr>
          <w:rFonts w:hint="cs"/>
          <w:b/>
          <w:bCs/>
          <w:rtl/>
        </w:rPr>
        <w:t xml:space="preserve">4. جوامع </w:t>
      </w:r>
      <w:r w:rsidR="00701E03" w:rsidRPr="0025250D">
        <w:rPr>
          <w:rFonts w:hint="cs"/>
          <w:b/>
          <w:bCs/>
          <w:rtl/>
        </w:rPr>
        <w:t>راهبرد</w:t>
      </w:r>
    </w:p>
    <w:p w14:paraId="214C1161" w14:textId="5D685210" w:rsidR="00537CC8" w:rsidRPr="0025250D" w:rsidRDefault="00537CC8" w:rsidP="00537CC8">
      <w:pPr>
        <w:rPr>
          <w:b/>
          <w:bCs/>
          <w:rtl/>
        </w:rPr>
      </w:pPr>
      <w:r w:rsidRPr="0025250D">
        <w:rPr>
          <w:b/>
          <w:bCs/>
          <w:rtl/>
        </w:rPr>
        <w:tab/>
      </w:r>
      <w:r w:rsidRPr="0025250D">
        <w:rPr>
          <w:rFonts w:hint="cs"/>
          <w:b/>
          <w:bCs/>
          <w:rtl/>
        </w:rPr>
        <w:t>تحلیل و پشتیبانی از تصمیم</w:t>
      </w:r>
    </w:p>
    <w:p w14:paraId="7E436E6E" w14:textId="77777777" w:rsidR="00537CC8" w:rsidRPr="0025250D" w:rsidRDefault="00537CC8" w:rsidP="00537CC8">
      <w:pPr>
        <w:rPr>
          <w:rtl/>
        </w:rPr>
      </w:pPr>
      <w:r w:rsidRPr="0025250D">
        <w:rPr>
          <w:rtl/>
        </w:rPr>
        <w:tab/>
      </w:r>
      <w:r w:rsidRPr="0025250D">
        <w:rPr>
          <w:rFonts w:hint="cs"/>
          <w:rtl/>
        </w:rPr>
        <w:t>مؤسسه تحقیق در عملیات و علوم مدیریت</w:t>
      </w:r>
      <w:r w:rsidRPr="0025250D">
        <w:rPr>
          <w:vertAlign w:val="superscript"/>
          <w:rtl/>
        </w:rPr>
        <w:footnoteReference w:id="2895"/>
      </w:r>
      <w:r w:rsidRPr="0025250D">
        <w:rPr>
          <w:rFonts w:hint="cs"/>
          <w:rtl/>
        </w:rPr>
        <w:t xml:space="preserve"> (</w:t>
      </w:r>
      <w:r w:rsidRPr="0025250D">
        <w:t>INFORMS</w:t>
      </w:r>
      <w:r w:rsidRPr="0025250D">
        <w:rPr>
          <w:rFonts w:hint="cs"/>
          <w:rtl/>
        </w:rPr>
        <w:t>).</w:t>
      </w:r>
    </w:p>
    <w:p w14:paraId="7BF07B00" w14:textId="05A6C829" w:rsidR="00537CC8" w:rsidRPr="0025250D" w:rsidRDefault="00537CC8" w:rsidP="00537CC8">
      <w:pPr>
        <w:rPr>
          <w:b/>
          <w:bCs/>
          <w:rtl/>
        </w:rPr>
      </w:pPr>
      <w:r w:rsidRPr="0025250D">
        <w:rPr>
          <w:b/>
          <w:bCs/>
          <w:rtl/>
        </w:rPr>
        <w:tab/>
      </w:r>
      <w:r w:rsidR="00B56611" w:rsidRPr="0025250D">
        <w:rPr>
          <w:rFonts w:hint="cs"/>
          <w:b/>
          <w:bCs/>
          <w:rtl/>
        </w:rPr>
        <w:t>چشم‌انداز</w:t>
      </w:r>
      <w:r w:rsidRPr="0025250D">
        <w:rPr>
          <w:rFonts w:hint="cs"/>
          <w:b/>
          <w:bCs/>
          <w:rtl/>
        </w:rPr>
        <w:t xml:space="preserve">/تنظیم اهداف/ </w:t>
      </w:r>
      <w:r w:rsidR="00701E03" w:rsidRPr="0025250D">
        <w:rPr>
          <w:rFonts w:hint="cs"/>
          <w:b/>
          <w:bCs/>
          <w:rtl/>
        </w:rPr>
        <w:t>راهبرد</w:t>
      </w:r>
      <w:r w:rsidRPr="0025250D">
        <w:rPr>
          <w:rFonts w:hint="cs"/>
          <w:b/>
          <w:bCs/>
          <w:rtl/>
        </w:rPr>
        <w:t xml:space="preserve"> و </w:t>
      </w:r>
      <w:r w:rsidR="00B124DE" w:rsidRPr="0025250D">
        <w:rPr>
          <w:rFonts w:hint="cs"/>
          <w:b/>
          <w:bCs/>
          <w:rtl/>
        </w:rPr>
        <w:t>برنامه‌ریزی</w:t>
      </w:r>
    </w:p>
    <w:p w14:paraId="53ABB7BE" w14:textId="08B81601" w:rsidR="00537CC8" w:rsidRPr="0025250D" w:rsidRDefault="00537CC8" w:rsidP="00537CC8">
      <w:pPr>
        <w:rPr>
          <w:rtl/>
        </w:rPr>
      </w:pPr>
      <w:r w:rsidRPr="0025250D">
        <w:rPr>
          <w:rFonts w:hint="cs"/>
          <w:rtl/>
        </w:rPr>
        <w:t>انجمن</w:t>
      </w:r>
      <w:r w:rsidRPr="0025250D">
        <w:rPr>
          <w:rtl/>
        </w:rPr>
        <w:t xml:space="preserve"> </w:t>
      </w:r>
      <w:r w:rsidR="00B124DE" w:rsidRPr="0025250D">
        <w:rPr>
          <w:rFonts w:hint="cs"/>
          <w:rtl/>
        </w:rPr>
        <w:t>برنامه‌ریزی</w:t>
      </w:r>
      <w:r w:rsidRPr="0025250D">
        <w:rPr>
          <w:rtl/>
        </w:rPr>
        <w:t xml:space="preserve"> </w:t>
      </w:r>
      <w:r w:rsidR="00701E03" w:rsidRPr="0025250D">
        <w:rPr>
          <w:rFonts w:hint="cs"/>
          <w:rtl/>
        </w:rPr>
        <w:t>راهبردی</w:t>
      </w:r>
      <w:r w:rsidRPr="0025250D">
        <w:rPr>
          <w:vertAlign w:val="superscript"/>
          <w:rtl/>
        </w:rPr>
        <w:footnoteReference w:id="2896"/>
      </w:r>
      <w:r w:rsidRPr="0025250D">
        <w:rPr>
          <w:rFonts w:hint="cs"/>
          <w:rtl/>
        </w:rPr>
        <w:t xml:space="preserve"> (</w:t>
      </w:r>
      <w:r w:rsidRPr="0025250D">
        <w:t>ASP</w:t>
      </w:r>
      <w:r w:rsidRPr="0025250D">
        <w:rPr>
          <w:rFonts w:hint="cs"/>
          <w:rtl/>
        </w:rPr>
        <w:t>).</w:t>
      </w:r>
    </w:p>
    <w:p w14:paraId="7DB4E0E4" w14:textId="77777777" w:rsidR="00537CC8" w:rsidRPr="0025250D" w:rsidRDefault="00537CC8" w:rsidP="00537CC8">
      <w:pPr>
        <w:rPr>
          <w:b/>
          <w:bCs/>
          <w:rtl/>
        </w:rPr>
      </w:pPr>
      <w:r w:rsidRPr="0025250D">
        <w:rPr>
          <w:rFonts w:hint="cs"/>
          <w:b/>
          <w:bCs/>
          <w:rtl/>
        </w:rPr>
        <w:t>5. جامعه اجرایی</w:t>
      </w:r>
    </w:p>
    <w:p w14:paraId="1F24881C" w14:textId="06210E4D" w:rsidR="00537CC8" w:rsidRPr="0025250D" w:rsidRDefault="00537CC8" w:rsidP="00537CC8">
      <w:pPr>
        <w:rPr>
          <w:b/>
          <w:bCs/>
          <w:rtl/>
        </w:rPr>
      </w:pPr>
      <w:r w:rsidRPr="0025250D">
        <w:rPr>
          <w:b/>
          <w:bCs/>
          <w:rtl/>
        </w:rPr>
        <w:tab/>
      </w:r>
      <w:r w:rsidRPr="0025250D">
        <w:rPr>
          <w:rFonts w:hint="cs"/>
          <w:b/>
          <w:bCs/>
          <w:rtl/>
        </w:rPr>
        <w:t>مدیریت و رهبری</w:t>
      </w:r>
    </w:p>
    <w:p w14:paraId="5786689F" w14:textId="77777777" w:rsidR="00537CC8" w:rsidRPr="0025250D" w:rsidRDefault="00537CC8" w:rsidP="00537CC8">
      <w:pPr>
        <w:rPr>
          <w:rtl/>
        </w:rPr>
      </w:pPr>
      <w:r w:rsidRPr="0025250D">
        <w:rPr>
          <w:rtl/>
        </w:rPr>
        <w:tab/>
      </w:r>
      <w:r w:rsidRPr="0025250D">
        <w:rPr>
          <w:rFonts w:hint="cs"/>
          <w:rtl/>
        </w:rPr>
        <w:t>انجمن مدیریت آمریکا</w:t>
      </w:r>
      <w:r w:rsidRPr="0025250D">
        <w:rPr>
          <w:vertAlign w:val="superscript"/>
          <w:rtl/>
        </w:rPr>
        <w:footnoteReference w:id="2897"/>
      </w:r>
      <w:r w:rsidRPr="0025250D">
        <w:rPr>
          <w:rFonts w:hint="cs"/>
          <w:rtl/>
        </w:rPr>
        <w:t xml:space="preserve"> (</w:t>
      </w:r>
      <w:r w:rsidRPr="0025250D">
        <w:t>AMA</w:t>
      </w:r>
      <w:r w:rsidRPr="0025250D">
        <w:rPr>
          <w:rFonts w:hint="cs"/>
          <w:rtl/>
        </w:rPr>
        <w:t>).</w:t>
      </w:r>
    </w:p>
    <w:p w14:paraId="5A687C6B" w14:textId="77777777" w:rsidR="00537CC8" w:rsidRPr="0025250D" w:rsidRDefault="00537CC8" w:rsidP="00537CC8">
      <w:pPr>
        <w:rPr>
          <w:b/>
          <w:bCs/>
          <w:rtl/>
        </w:rPr>
      </w:pPr>
      <w:r w:rsidRPr="0025250D">
        <w:rPr>
          <w:rFonts w:hint="cs"/>
          <w:b/>
          <w:bCs/>
          <w:rtl/>
        </w:rPr>
        <w:t>6. جامعه تاثیرگذاری</w:t>
      </w:r>
    </w:p>
    <w:p w14:paraId="7579FAD8" w14:textId="77777777" w:rsidR="00537CC8" w:rsidRPr="0025250D" w:rsidRDefault="00537CC8" w:rsidP="00537CC8">
      <w:pPr>
        <w:rPr>
          <w:b/>
          <w:bCs/>
          <w:rtl/>
        </w:rPr>
      </w:pPr>
      <w:r w:rsidRPr="0025250D">
        <w:rPr>
          <w:b/>
          <w:bCs/>
          <w:rtl/>
        </w:rPr>
        <w:tab/>
      </w:r>
      <w:r w:rsidRPr="0025250D">
        <w:rPr>
          <w:rFonts w:hint="cs"/>
          <w:b/>
          <w:bCs/>
          <w:rtl/>
        </w:rPr>
        <w:t>بازاریابی و فروش</w:t>
      </w:r>
    </w:p>
    <w:p w14:paraId="639938D6" w14:textId="77777777" w:rsidR="00537CC8" w:rsidRPr="0025250D" w:rsidRDefault="00537CC8" w:rsidP="00537CC8">
      <w:pPr>
        <w:rPr>
          <w:rtl/>
        </w:rPr>
      </w:pPr>
      <w:r w:rsidRPr="0025250D">
        <w:rPr>
          <w:rtl/>
        </w:rPr>
        <w:tab/>
      </w:r>
      <w:r w:rsidRPr="0025250D">
        <w:rPr>
          <w:rFonts w:hint="cs"/>
          <w:rtl/>
        </w:rPr>
        <w:t>انجمن</w:t>
      </w:r>
      <w:r w:rsidRPr="0025250D">
        <w:rPr>
          <w:rtl/>
        </w:rPr>
        <w:t xml:space="preserve"> </w:t>
      </w:r>
      <w:r w:rsidRPr="0025250D">
        <w:rPr>
          <w:rFonts w:hint="cs"/>
          <w:rtl/>
        </w:rPr>
        <w:t>بازاریابی</w:t>
      </w:r>
      <w:r w:rsidRPr="0025250D">
        <w:rPr>
          <w:rtl/>
        </w:rPr>
        <w:t xml:space="preserve"> </w:t>
      </w:r>
      <w:r w:rsidRPr="0025250D">
        <w:rPr>
          <w:rFonts w:hint="cs"/>
          <w:rtl/>
        </w:rPr>
        <w:t>آمریکا</w:t>
      </w:r>
      <w:r w:rsidRPr="0025250D">
        <w:rPr>
          <w:vertAlign w:val="superscript"/>
          <w:rtl/>
        </w:rPr>
        <w:footnoteReference w:id="2898"/>
      </w:r>
      <w:r w:rsidRPr="0025250D">
        <w:rPr>
          <w:rtl/>
        </w:rPr>
        <w:t xml:space="preserve"> (</w:t>
      </w:r>
      <w:r w:rsidRPr="0025250D">
        <w:t>AMA</w:t>
      </w:r>
      <w:r w:rsidRPr="0025250D">
        <w:rPr>
          <w:rtl/>
        </w:rPr>
        <w:t>)</w:t>
      </w:r>
    </w:p>
    <w:p w14:paraId="08265A10" w14:textId="1A12A4E8" w:rsidR="00537CC8" w:rsidRPr="0025250D" w:rsidRDefault="00537CC8" w:rsidP="00537CC8">
      <w:pPr>
        <w:rPr>
          <w:b/>
          <w:bCs/>
          <w:rtl/>
        </w:rPr>
      </w:pPr>
      <w:r w:rsidRPr="0025250D">
        <w:rPr>
          <w:rFonts w:hint="cs"/>
          <w:b/>
          <w:bCs/>
          <w:rtl/>
        </w:rPr>
        <w:t xml:space="preserve">7. جامعه </w:t>
      </w:r>
      <w:r w:rsidR="0008779C" w:rsidRPr="0025250D">
        <w:rPr>
          <w:rFonts w:hint="cs"/>
          <w:b/>
          <w:bCs/>
          <w:rtl/>
        </w:rPr>
        <w:t>ارتباط‌دهی</w:t>
      </w:r>
    </w:p>
    <w:p w14:paraId="4259D601" w14:textId="77777777" w:rsidR="00537CC8" w:rsidRPr="0025250D" w:rsidRDefault="00537CC8" w:rsidP="00537CC8">
      <w:pPr>
        <w:rPr>
          <w:b/>
          <w:bCs/>
          <w:rtl/>
        </w:rPr>
      </w:pPr>
      <w:r w:rsidRPr="0025250D">
        <w:rPr>
          <w:b/>
          <w:bCs/>
          <w:rtl/>
        </w:rPr>
        <w:tab/>
      </w:r>
      <w:r w:rsidRPr="0025250D">
        <w:rPr>
          <w:rFonts w:hint="cs"/>
          <w:b/>
          <w:bCs/>
          <w:rtl/>
        </w:rPr>
        <w:t>منابع انسانی و مدیریت عملکرد</w:t>
      </w:r>
    </w:p>
    <w:p w14:paraId="0B73B511" w14:textId="77777777" w:rsidR="00537CC8" w:rsidRPr="0025250D" w:rsidRDefault="00537CC8" w:rsidP="00537CC8">
      <w:pPr>
        <w:rPr>
          <w:rtl/>
        </w:rPr>
      </w:pPr>
      <w:r w:rsidRPr="0025250D">
        <w:rPr>
          <w:rFonts w:hint="cs"/>
          <w:rtl/>
        </w:rPr>
        <w:t>انجمن مدیریت منابع انسانی</w:t>
      </w:r>
      <w:r w:rsidRPr="0025250D">
        <w:rPr>
          <w:vertAlign w:val="superscript"/>
          <w:rtl/>
        </w:rPr>
        <w:footnoteReference w:id="2899"/>
      </w:r>
      <w:r w:rsidRPr="0025250D">
        <w:rPr>
          <w:rFonts w:hint="cs"/>
          <w:rtl/>
        </w:rPr>
        <w:t xml:space="preserve"> (</w:t>
      </w:r>
      <w:r w:rsidRPr="0025250D">
        <w:t>SHRM</w:t>
      </w:r>
      <w:r w:rsidRPr="0025250D">
        <w:rPr>
          <w:rFonts w:hint="cs"/>
          <w:rtl/>
        </w:rPr>
        <w:t>).</w:t>
      </w:r>
    </w:p>
    <w:p w14:paraId="70F5F256" w14:textId="77777777" w:rsidR="00537CC8" w:rsidRPr="0025250D" w:rsidRDefault="00537CC8" w:rsidP="00537CC8">
      <w:pPr>
        <w:rPr>
          <w:b/>
          <w:bCs/>
          <w:rtl/>
        </w:rPr>
      </w:pPr>
      <w:r w:rsidRPr="0025250D">
        <w:rPr>
          <w:rFonts w:hint="cs"/>
          <w:b/>
          <w:bCs/>
          <w:rtl/>
        </w:rPr>
        <w:t>8. جوامع بازبینی</w:t>
      </w:r>
    </w:p>
    <w:p w14:paraId="265ED10B" w14:textId="3D2E5552" w:rsidR="00537CC8" w:rsidRPr="0025250D" w:rsidRDefault="00537CC8" w:rsidP="00537CC8">
      <w:pPr>
        <w:rPr>
          <w:b/>
          <w:bCs/>
          <w:rtl/>
        </w:rPr>
      </w:pPr>
      <w:r w:rsidRPr="0025250D">
        <w:rPr>
          <w:b/>
          <w:bCs/>
          <w:rtl/>
        </w:rPr>
        <w:tab/>
      </w:r>
      <w:r w:rsidRPr="0025250D">
        <w:rPr>
          <w:rFonts w:hint="cs"/>
          <w:b/>
          <w:bCs/>
          <w:rtl/>
        </w:rPr>
        <w:t>مدیریت تغیر و حسابرسی</w:t>
      </w:r>
    </w:p>
    <w:p w14:paraId="1E8659F5" w14:textId="77777777" w:rsidR="00537CC8" w:rsidRPr="0025250D" w:rsidRDefault="00537CC8" w:rsidP="00537CC8">
      <w:pPr>
        <w:rPr>
          <w:rtl/>
        </w:rPr>
      </w:pPr>
      <w:r w:rsidRPr="0025250D">
        <w:rPr>
          <w:rtl/>
        </w:rPr>
        <w:tab/>
      </w:r>
      <w:r w:rsidRPr="0025250D">
        <w:rPr>
          <w:rFonts w:hint="cs"/>
          <w:rtl/>
        </w:rPr>
        <w:t>مؤسسه حسابرسان داخلی</w:t>
      </w:r>
      <w:r w:rsidRPr="0025250D">
        <w:rPr>
          <w:vertAlign w:val="superscript"/>
          <w:rtl/>
        </w:rPr>
        <w:footnoteReference w:id="2900"/>
      </w:r>
      <w:r w:rsidRPr="0025250D">
        <w:rPr>
          <w:rFonts w:hint="cs"/>
          <w:rtl/>
        </w:rPr>
        <w:t xml:space="preserve"> (</w:t>
      </w:r>
      <w:r w:rsidRPr="0025250D">
        <w:t>IIA</w:t>
      </w:r>
      <w:r w:rsidRPr="0025250D">
        <w:rPr>
          <w:rFonts w:hint="cs"/>
          <w:rtl/>
        </w:rPr>
        <w:t>).</w:t>
      </w:r>
    </w:p>
    <w:p w14:paraId="2335C002" w14:textId="358C1138" w:rsidR="00537CC8" w:rsidRPr="0025250D" w:rsidRDefault="00537CC8" w:rsidP="00537CC8">
      <w:pPr>
        <w:rPr>
          <w:b/>
          <w:bCs/>
          <w:rtl/>
        </w:rPr>
      </w:pPr>
      <w:r w:rsidRPr="0025250D">
        <w:rPr>
          <w:b/>
          <w:bCs/>
          <w:rtl/>
        </w:rPr>
        <w:tab/>
      </w:r>
      <w:r w:rsidRPr="0025250D">
        <w:rPr>
          <w:rFonts w:hint="cs"/>
          <w:b/>
          <w:bCs/>
          <w:rtl/>
        </w:rPr>
        <w:t>محک زنی و کیفیت</w:t>
      </w:r>
    </w:p>
    <w:p w14:paraId="6013C273" w14:textId="77777777" w:rsidR="00537CC8" w:rsidRPr="0025250D" w:rsidRDefault="00537CC8" w:rsidP="00537CC8">
      <w:pPr>
        <w:rPr>
          <w:rtl/>
        </w:rPr>
      </w:pPr>
      <w:r w:rsidRPr="0025250D">
        <w:rPr>
          <w:rtl/>
        </w:rPr>
        <w:tab/>
      </w:r>
      <w:r w:rsidRPr="0025250D">
        <w:rPr>
          <w:rFonts w:hint="cs"/>
          <w:rtl/>
        </w:rPr>
        <w:t>موسسه</w:t>
      </w:r>
      <w:r w:rsidRPr="0025250D">
        <w:rPr>
          <w:rtl/>
        </w:rPr>
        <w:t xml:space="preserve"> </w:t>
      </w:r>
      <w:r w:rsidRPr="0025250D">
        <w:rPr>
          <w:rFonts w:hint="cs"/>
          <w:rtl/>
        </w:rPr>
        <w:t>کارت</w:t>
      </w:r>
      <w:r w:rsidRPr="0025250D">
        <w:rPr>
          <w:rtl/>
        </w:rPr>
        <w:t xml:space="preserve"> </w:t>
      </w:r>
      <w:r w:rsidRPr="0025250D">
        <w:rPr>
          <w:rFonts w:hint="cs"/>
          <w:rtl/>
        </w:rPr>
        <w:t>امتیازی</w:t>
      </w:r>
      <w:r w:rsidRPr="0025250D">
        <w:rPr>
          <w:rtl/>
        </w:rPr>
        <w:t xml:space="preserve"> </w:t>
      </w:r>
      <w:r w:rsidRPr="0025250D">
        <w:rPr>
          <w:rFonts w:hint="cs"/>
          <w:rtl/>
        </w:rPr>
        <w:t>متوازن</w:t>
      </w:r>
      <w:r w:rsidRPr="0025250D">
        <w:rPr>
          <w:vertAlign w:val="superscript"/>
          <w:rtl/>
        </w:rPr>
        <w:footnoteReference w:id="2901"/>
      </w:r>
      <w:r w:rsidRPr="0025250D">
        <w:rPr>
          <w:rFonts w:hint="cs"/>
          <w:rtl/>
        </w:rPr>
        <w:t xml:space="preserve"> (</w:t>
      </w:r>
      <w:r w:rsidRPr="0025250D">
        <w:t>BSI</w:t>
      </w:r>
      <w:r w:rsidRPr="0025250D">
        <w:rPr>
          <w:rFonts w:hint="cs"/>
          <w:rtl/>
        </w:rPr>
        <w:t>)</w:t>
      </w:r>
    </w:p>
    <w:p w14:paraId="711798AE" w14:textId="3B6C369C" w:rsidR="00537CC8" w:rsidRPr="0025250D" w:rsidRDefault="00537CC8" w:rsidP="00537CC8">
      <w:pPr>
        <w:rPr>
          <w:rtl/>
        </w:rPr>
      </w:pPr>
      <w:r w:rsidRPr="0025250D">
        <w:rPr>
          <w:rFonts w:hint="cs"/>
          <w:rtl/>
        </w:rPr>
        <w:t xml:space="preserve">چند توصیه نهایی در </w:t>
      </w:r>
      <w:r w:rsidR="00923DDB" w:rsidRPr="0025250D">
        <w:rPr>
          <w:rFonts w:hint="cs"/>
          <w:rtl/>
        </w:rPr>
        <w:t>به‌کارگیری</w:t>
      </w:r>
      <w:r w:rsidRPr="0025250D">
        <w:rPr>
          <w:rFonts w:hint="cs"/>
          <w:rtl/>
        </w:rPr>
        <w:t xml:space="preserve"> هشت مهارت و روش‌های مرتبط با آن ها: هرگاه از مدت زمان یا قدرت </w:t>
      </w:r>
      <w:r w:rsidR="00923DDB" w:rsidRPr="0025250D">
        <w:rPr>
          <w:rFonts w:hint="cs"/>
          <w:rtl/>
        </w:rPr>
        <w:t>به‌کارگیری</w:t>
      </w:r>
      <w:r w:rsidRPr="0025250D">
        <w:rPr>
          <w:rFonts w:hint="cs"/>
          <w:rtl/>
        </w:rPr>
        <w:t xml:space="preserve"> هر مهارت یا روش اطمینان ندارید، به بخش متناظر آن در حلقه انجام که این مهارت‌ها و روش‌ها مبتنی بر آن می‌باشند، نگاه کنید. حفظ حلقه انجام تا حد امکان سریع، قوی، با کیفیت، کنشگر (هدایت شده از داخل، نه واکنشی) و آگاهانه اساس </w:t>
      </w:r>
      <w:r w:rsidRPr="0025250D">
        <w:rPr>
          <w:rtl/>
        </w:rPr>
        <w:t>آینده‌نگاری</w:t>
      </w:r>
      <w:r w:rsidRPr="0025250D">
        <w:rPr>
          <w:rFonts w:hint="cs"/>
          <w:rtl/>
        </w:rPr>
        <w:t xml:space="preserve"> </w:t>
      </w:r>
      <w:r w:rsidR="001A3F0A" w:rsidRPr="0025250D">
        <w:rPr>
          <w:rFonts w:hint="cs"/>
          <w:rtl/>
        </w:rPr>
        <w:t>فردی</w:t>
      </w:r>
      <w:r w:rsidRPr="0025250D">
        <w:rPr>
          <w:rFonts w:hint="cs"/>
          <w:rtl/>
        </w:rPr>
        <w:t xml:space="preserve"> خوب است. </w:t>
      </w:r>
      <w:r w:rsidRPr="0025250D">
        <w:rPr>
          <w:rtl/>
        </w:rPr>
        <w:t>آینده‌نگاری</w:t>
      </w:r>
      <w:r w:rsidRPr="0025250D">
        <w:rPr>
          <w:rFonts w:hint="cs"/>
          <w:rtl/>
        </w:rPr>
        <w:t xml:space="preserve"> تیمی و سازمانی، در عوض، به استفاده ما از هشت مهارت</w:t>
      </w:r>
      <w:r w:rsidR="00FF4D60" w:rsidRPr="0025250D">
        <w:rPr>
          <w:rFonts w:hint="cs"/>
          <w:rtl/>
        </w:rPr>
        <w:t xml:space="preserve"> و</w:t>
      </w:r>
      <w:r w:rsidRPr="0025250D">
        <w:rPr>
          <w:rFonts w:hint="cs"/>
          <w:rtl/>
        </w:rPr>
        <w:t xml:space="preserve"> در سازمان‌های پیچیده</w:t>
      </w:r>
      <w:r w:rsidR="00FF4D60" w:rsidRPr="0025250D">
        <w:rPr>
          <w:rFonts w:hint="cs"/>
          <w:rtl/>
        </w:rPr>
        <w:t xml:space="preserve"> به</w:t>
      </w:r>
      <w:r w:rsidRPr="0025250D">
        <w:rPr>
          <w:rFonts w:hint="cs"/>
          <w:rtl/>
        </w:rPr>
        <w:t xml:space="preserve"> بیست تخصص بستگی دارد. ما باید این مهارت‌های </w:t>
      </w:r>
      <w:r w:rsidRPr="0025250D">
        <w:t>LAISEIRR</w:t>
      </w:r>
      <w:r w:rsidRPr="0025250D">
        <w:rPr>
          <w:rFonts w:hint="cs"/>
          <w:rtl/>
        </w:rPr>
        <w:t xml:space="preserve"> را به خاطر سپرده و هر روزه به صورت ارادی درمورد آن‌ها فکر کنیم، آن‌ها را انجام دهیم، در انجام آن‌ها شکست خورده و آن‌ها را یاد بگیریم. این </w:t>
      </w:r>
      <w:r w:rsidR="00701E03" w:rsidRPr="0025250D">
        <w:rPr>
          <w:rFonts w:hint="cs"/>
          <w:rtl/>
        </w:rPr>
        <w:t>راهبرد</w:t>
      </w:r>
      <w:r w:rsidRPr="0025250D">
        <w:rPr>
          <w:rFonts w:hint="cs"/>
          <w:rtl/>
        </w:rPr>
        <w:t xml:space="preserve"> </w:t>
      </w:r>
      <w:r w:rsidR="00FF4D60" w:rsidRPr="0025250D">
        <w:rPr>
          <w:rFonts w:hint="cs"/>
          <w:rtl/>
        </w:rPr>
        <w:t xml:space="preserve">پیشنهادی </w:t>
      </w:r>
      <w:r w:rsidRPr="0025250D">
        <w:rPr>
          <w:rFonts w:hint="cs"/>
          <w:rtl/>
        </w:rPr>
        <w:t>ما برای موفقیت فردی و حرفه‌ای است.</w:t>
      </w:r>
    </w:p>
    <w:p w14:paraId="3149426C" w14:textId="7AD1C74C" w:rsidR="00537CC8" w:rsidRPr="0025250D" w:rsidRDefault="00537CC8" w:rsidP="00537CC8">
      <w:pPr>
        <w:rPr>
          <w:rtl/>
        </w:rPr>
      </w:pPr>
      <w:r w:rsidRPr="0025250D">
        <w:rPr>
          <w:rFonts w:hint="cs"/>
          <w:rtl/>
        </w:rPr>
        <w:t xml:space="preserve">خردمندانه انتخاب کنید </w:t>
      </w:r>
      <w:r w:rsidRPr="0025250D">
        <w:rPr>
          <w:rFonts w:cs="Times New Roman" w:hint="cs"/>
          <w:rtl/>
        </w:rPr>
        <w:t>–</w:t>
      </w:r>
      <w:r w:rsidRPr="0025250D">
        <w:rPr>
          <w:rFonts w:hint="cs"/>
          <w:rtl/>
        </w:rPr>
        <w:t xml:space="preserve"> </w:t>
      </w:r>
      <w:r w:rsidR="00B13F65" w:rsidRPr="0025250D">
        <w:rPr>
          <w:rFonts w:hint="cs"/>
          <w:rtl/>
        </w:rPr>
        <w:t>چارچوب</w:t>
      </w:r>
      <w:r w:rsidRPr="0025250D">
        <w:rPr>
          <w:rFonts w:hint="cs"/>
          <w:rtl/>
        </w:rPr>
        <w:t>‌ها و روش‌ها اهمیت دارند!</w:t>
      </w:r>
    </w:p>
    <w:p w14:paraId="628602C6" w14:textId="77777777" w:rsidR="00537CC8" w:rsidRPr="0025250D" w:rsidRDefault="00537CC8" w:rsidP="00537CC8">
      <w:pPr>
        <w:rPr>
          <w:rtl/>
        </w:rPr>
      </w:pPr>
    </w:p>
    <w:p w14:paraId="4A254217" w14:textId="77777777" w:rsidR="00537CC8" w:rsidRPr="0025250D" w:rsidRDefault="00537CC8" w:rsidP="00537CC8">
      <w:pPr>
        <w:rPr>
          <w:rtl/>
        </w:rPr>
      </w:pPr>
    </w:p>
    <w:p w14:paraId="1265563B" w14:textId="77777777" w:rsidR="00537CC8" w:rsidRPr="0025250D" w:rsidRDefault="00537CC8" w:rsidP="00537CC8">
      <w:pPr>
        <w:rPr>
          <w:rtl/>
        </w:rPr>
      </w:pPr>
    </w:p>
    <w:p w14:paraId="54A9E229" w14:textId="77777777" w:rsidR="00537CC8" w:rsidRPr="0025250D" w:rsidRDefault="00537CC8" w:rsidP="00537CC8">
      <w:pPr>
        <w:rPr>
          <w:rtl/>
        </w:rPr>
      </w:pPr>
    </w:p>
    <w:p w14:paraId="145618BD" w14:textId="77777777" w:rsidR="00537CC8" w:rsidRPr="0025250D" w:rsidRDefault="00537CC8" w:rsidP="00537CC8"/>
    <w:p w14:paraId="65A5329F" w14:textId="77777777" w:rsidR="00537CC8" w:rsidRPr="0025250D" w:rsidRDefault="00537CC8" w:rsidP="003D3E0A">
      <w:pPr>
        <w:pStyle w:val="Heading1"/>
        <w:rPr>
          <w:rtl/>
        </w:rPr>
      </w:pPr>
      <w:bookmarkStart w:id="72" w:name="_Toc127831337"/>
      <w:r w:rsidRPr="0025250D">
        <w:rPr>
          <w:rFonts w:hint="cs"/>
          <w:rtl/>
        </w:rPr>
        <w:t xml:space="preserve">فصل 6: آینده </w:t>
      </w:r>
      <w:r w:rsidRPr="0025250D">
        <w:rPr>
          <w:rtl/>
        </w:rPr>
        <w:t>آینده‌نگاری</w:t>
      </w:r>
      <w:r w:rsidRPr="0025250D">
        <w:rPr>
          <w:rFonts w:hint="cs"/>
          <w:rtl/>
        </w:rPr>
        <w:t xml:space="preserve"> </w:t>
      </w:r>
      <w:r w:rsidRPr="0025250D">
        <w:rPr>
          <w:rFonts w:ascii="Times New Roman" w:hAnsi="Times New Roman" w:cs="Times New Roman" w:hint="cs"/>
          <w:rtl/>
        </w:rPr>
        <w:t>–</w:t>
      </w:r>
      <w:r w:rsidRPr="0025250D">
        <w:rPr>
          <w:rFonts w:hint="cs"/>
          <w:rtl/>
        </w:rPr>
        <w:t xml:space="preserve"> روند‌ها و چشم‌اندازهای مثبت</w:t>
      </w:r>
      <w:bookmarkEnd w:id="72"/>
    </w:p>
    <w:p w14:paraId="0D93F3A1" w14:textId="77777777" w:rsidR="00537CC8" w:rsidRPr="0025250D" w:rsidRDefault="00537CC8" w:rsidP="00537CC8"/>
    <w:p w14:paraId="7FF6103F" w14:textId="77777777" w:rsidR="00537CC8" w:rsidRPr="0025250D" w:rsidRDefault="00537CC8" w:rsidP="00537CC8"/>
    <w:p w14:paraId="1DDA39E6" w14:textId="77777777" w:rsidR="00537CC8" w:rsidRPr="0025250D" w:rsidRDefault="00537CC8" w:rsidP="00537CC8"/>
    <w:p w14:paraId="57EBED84" w14:textId="77777777" w:rsidR="00537CC8" w:rsidRPr="0025250D" w:rsidRDefault="00537CC8" w:rsidP="00537CC8"/>
    <w:p w14:paraId="1103CD4D" w14:textId="77777777" w:rsidR="00537CC8" w:rsidRPr="0025250D" w:rsidRDefault="00537CC8" w:rsidP="00537CC8"/>
    <w:p w14:paraId="59E7CF79" w14:textId="77777777" w:rsidR="00537CC8" w:rsidRPr="0025250D" w:rsidRDefault="00537CC8" w:rsidP="00537CC8"/>
    <w:p w14:paraId="2D0F4041" w14:textId="77777777" w:rsidR="00537CC8" w:rsidRPr="0025250D" w:rsidRDefault="00537CC8" w:rsidP="00537CC8"/>
    <w:p w14:paraId="3D20DBA6" w14:textId="77777777" w:rsidR="00537CC8" w:rsidRPr="0025250D" w:rsidRDefault="00537CC8" w:rsidP="00537CC8"/>
    <w:p w14:paraId="30974792" w14:textId="77777777" w:rsidR="00537CC8" w:rsidRPr="0025250D" w:rsidRDefault="00537CC8" w:rsidP="00537CC8"/>
    <w:p w14:paraId="36A184D4" w14:textId="77777777" w:rsidR="00537CC8" w:rsidRPr="0025250D" w:rsidRDefault="00537CC8" w:rsidP="00537CC8"/>
    <w:p w14:paraId="6D719C38" w14:textId="77777777" w:rsidR="00537CC8" w:rsidRPr="0025250D" w:rsidRDefault="00537CC8" w:rsidP="00537CC8"/>
    <w:p w14:paraId="3A82FD11" w14:textId="77777777" w:rsidR="00537CC8" w:rsidRPr="0025250D" w:rsidRDefault="00537CC8" w:rsidP="00537CC8"/>
    <w:p w14:paraId="4E333E3B" w14:textId="77777777" w:rsidR="00537CC8" w:rsidRPr="0025250D" w:rsidRDefault="00537CC8" w:rsidP="00537CC8"/>
    <w:p w14:paraId="1EE73B19" w14:textId="77777777" w:rsidR="00537CC8" w:rsidRPr="0025250D" w:rsidRDefault="00537CC8" w:rsidP="00537CC8"/>
    <w:p w14:paraId="27D2E382" w14:textId="77777777" w:rsidR="00537CC8" w:rsidRPr="0025250D" w:rsidRDefault="00537CC8" w:rsidP="00537CC8"/>
    <w:p w14:paraId="606EB942" w14:textId="77777777" w:rsidR="00537CC8" w:rsidRPr="0025250D" w:rsidRDefault="00537CC8" w:rsidP="00537CC8"/>
    <w:p w14:paraId="12C5FA50" w14:textId="77777777" w:rsidR="00537CC8" w:rsidRPr="0025250D" w:rsidRDefault="00537CC8" w:rsidP="00537CC8"/>
    <w:p w14:paraId="502080AA" w14:textId="77777777" w:rsidR="00537CC8" w:rsidRPr="0025250D" w:rsidRDefault="00537CC8" w:rsidP="00537CC8"/>
    <w:p w14:paraId="09F4DD0B" w14:textId="77777777" w:rsidR="00537CC8" w:rsidRPr="0025250D" w:rsidRDefault="00537CC8" w:rsidP="00537CC8"/>
    <w:p w14:paraId="11D095F6" w14:textId="77777777" w:rsidR="00537CC8" w:rsidRPr="0025250D" w:rsidRDefault="00537CC8" w:rsidP="00537CC8"/>
    <w:p w14:paraId="0A15C33B" w14:textId="77777777" w:rsidR="00537CC8" w:rsidRPr="0025250D" w:rsidRDefault="00537CC8" w:rsidP="00537CC8"/>
    <w:p w14:paraId="7FEF5F22" w14:textId="77777777" w:rsidR="00537CC8" w:rsidRPr="0025250D" w:rsidRDefault="00537CC8" w:rsidP="00537CC8"/>
    <w:p w14:paraId="1D219E1B" w14:textId="77777777" w:rsidR="00537CC8" w:rsidRPr="0025250D" w:rsidRDefault="00537CC8" w:rsidP="00537CC8"/>
    <w:p w14:paraId="7F5E7584" w14:textId="68E303F3" w:rsidR="00537CC8" w:rsidRPr="0025250D" w:rsidRDefault="00537CC8" w:rsidP="00EF26F0">
      <w:pPr>
        <w:pStyle w:val="Heading2"/>
        <w:rPr>
          <w:rtl/>
        </w:rPr>
      </w:pPr>
      <w:bookmarkStart w:id="73" w:name="_Toc127831338"/>
      <w:r w:rsidRPr="0025250D">
        <w:rPr>
          <w:rtl/>
        </w:rPr>
        <w:t>ابرنواختر د</w:t>
      </w:r>
      <w:r w:rsidRPr="0025250D">
        <w:rPr>
          <w:rFonts w:hint="cs"/>
          <w:rtl/>
        </w:rPr>
        <w:t>ی</w:t>
      </w:r>
      <w:r w:rsidRPr="0025250D">
        <w:rPr>
          <w:rFonts w:hint="eastAsia"/>
          <w:rtl/>
        </w:rPr>
        <w:t>ج</w:t>
      </w:r>
      <w:r w:rsidRPr="0025250D">
        <w:rPr>
          <w:rFonts w:hint="cs"/>
          <w:rtl/>
        </w:rPr>
        <w:t>ی</w:t>
      </w:r>
      <w:r w:rsidRPr="0025250D">
        <w:rPr>
          <w:rFonts w:hint="eastAsia"/>
          <w:rtl/>
        </w:rPr>
        <w:t>تال</w:t>
      </w:r>
      <w:r w:rsidRPr="0025250D">
        <w:rPr>
          <w:rFonts w:hint="cs"/>
          <w:rtl/>
        </w:rPr>
        <w:t>ی</w:t>
      </w:r>
      <w:r w:rsidRPr="0025250D">
        <w:rPr>
          <w:rtl/>
        </w:rPr>
        <w:t xml:space="preserve"> و </w:t>
      </w:r>
      <w:r w:rsidRPr="0025250D">
        <w:rPr>
          <w:rFonts w:hint="cs"/>
          <w:rtl/>
        </w:rPr>
        <w:t>بهار</w:t>
      </w:r>
      <w:r w:rsidRPr="0025250D">
        <w:rPr>
          <w:rtl/>
        </w:rPr>
        <w:t xml:space="preserve"> آینده‌نگ</w:t>
      </w:r>
      <w:r w:rsidR="00664E33" w:rsidRPr="0025250D">
        <w:rPr>
          <w:rFonts w:hint="cs"/>
          <w:rtl/>
        </w:rPr>
        <w:t>ا</w:t>
      </w:r>
      <w:r w:rsidRPr="0025250D">
        <w:rPr>
          <w:rtl/>
        </w:rPr>
        <w:t>ری جد</w:t>
      </w:r>
      <w:r w:rsidRPr="0025250D">
        <w:rPr>
          <w:rFonts w:hint="cs"/>
          <w:rtl/>
        </w:rPr>
        <w:t>ی</w:t>
      </w:r>
      <w:r w:rsidRPr="0025250D">
        <w:rPr>
          <w:rFonts w:hint="eastAsia"/>
          <w:rtl/>
        </w:rPr>
        <w:t>د</w:t>
      </w:r>
      <w:r w:rsidRPr="0025250D">
        <w:rPr>
          <w:rtl/>
        </w:rPr>
        <w:t xml:space="preserve"> ما</w:t>
      </w:r>
      <w:bookmarkEnd w:id="73"/>
    </w:p>
    <w:p w14:paraId="65CF4628" w14:textId="0F43BAC9" w:rsidR="00537CC8" w:rsidRPr="0025250D" w:rsidRDefault="00537CC8" w:rsidP="00537CC8">
      <w:pPr>
        <w:rPr>
          <w:rtl/>
        </w:rPr>
      </w:pPr>
      <w:r w:rsidRPr="0025250D">
        <w:rPr>
          <w:rtl/>
        </w:rPr>
        <w:t>تام فر</w:t>
      </w:r>
      <w:r w:rsidRPr="0025250D">
        <w:rPr>
          <w:rFonts w:hint="cs"/>
          <w:rtl/>
        </w:rPr>
        <w:t>ی</w:t>
      </w:r>
      <w:r w:rsidRPr="0025250D">
        <w:rPr>
          <w:rFonts w:hint="eastAsia"/>
          <w:rtl/>
        </w:rPr>
        <w:t>دمن</w:t>
      </w:r>
      <w:r w:rsidRPr="0025250D">
        <w:rPr>
          <w:vertAlign w:val="superscript"/>
          <w:rtl/>
        </w:rPr>
        <w:footnoteReference w:id="2902"/>
      </w:r>
      <w:r w:rsidRPr="0025250D">
        <w:rPr>
          <w:rFonts w:hint="cs"/>
          <w:rtl/>
        </w:rPr>
        <w:t xml:space="preserve"> در کتاب دوست داشتنی خود با عنوان ممنون که دیر کردی: ترقی در عصر </w:t>
      </w:r>
      <w:r w:rsidR="00B56611" w:rsidRPr="0025250D">
        <w:rPr>
          <w:rFonts w:hint="cs"/>
          <w:rtl/>
        </w:rPr>
        <w:t>شتاب‌گیری</w:t>
      </w:r>
      <w:r w:rsidRPr="0025250D">
        <w:rPr>
          <w:vertAlign w:val="superscript"/>
          <w:rtl/>
        </w:rPr>
        <w:footnoteReference w:id="2903"/>
      </w:r>
      <w:r w:rsidRPr="0025250D">
        <w:rPr>
          <w:rFonts w:hint="cs"/>
          <w:rtl/>
        </w:rPr>
        <w:t xml:space="preserve"> در سال 2016، سال 2008 را به عنوان آغاز عصر جدیدی از سرعت در فعالیت‌های انسانی در نظر می‌گیرد که با مجموعه‌ای از پلتفرم‌ها و فرایند‌های جدیدی که او </w:t>
      </w:r>
      <w:r w:rsidR="002C61FC" w:rsidRPr="0025250D">
        <w:rPr>
          <w:rtl/>
        </w:rPr>
        <w:t>«</w:t>
      </w:r>
      <w:r w:rsidRPr="0025250D">
        <w:rPr>
          <w:rFonts w:hint="cs"/>
          <w:rtl/>
        </w:rPr>
        <w:t>ابرنواختر دیجیتالی</w:t>
      </w:r>
      <w:r w:rsidRPr="0025250D">
        <w:rPr>
          <w:vertAlign w:val="superscript"/>
          <w:rtl/>
        </w:rPr>
        <w:footnoteReference w:id="2904"/>
      </w:r>
      <w:r w:rsidR="002C61FC" w:rsidRPr="0025250D">
        <w:rPr>
          <w:rtl/>
        </w:rPr>
        <w:t>»</w:t>
      </w:r>
      <w:r w:rsidRPr="0025250D">
        <w:rPr>
          <w:rFonts w:hint="cs"/>
          <w:rtl/>
        </w:rPr>
        <w:t xml:space="preserve"> می‌نامد تسریع می‌شوند. </w:t>
      </w:r>
      <w:r w:rsidRPr="0025250D">
        <w:rPr>
          <w:rtl/>
        </w:rPr>
        <w:t>فر</w:t>
      </w:r>
      <w:r w:rsidRPr="0025250D">
        <w:rPr>
          <w:rFonts w:hint="cs"/>
          <w:rtl/>
        </w:rPr>
        <w:t>ی</w:t>
      </w:r>
      <w:r w:rsidRPr="0025250D">
        <w:rPr>
          <w:rFonts w:hint="eastAsia"/>
          <w:rtl/>
        </w:rPr>
        <w:t>دمن</w:t>
      </w:r>
      <w:r w:rsidRPr="0025250D">
        <w:rPr>
          <w:rFonts w:hint="cs"/>
          <w:rtl/>
        </w:rPr>
        <w:t xml:space="preserve"> یک روزنامه نگار است و این کتاب یک مقدمه و معرفی عالی و ساده برای برخی از </w:t>
      </w:r>
      <w:r w:rsidR="0053184A" w:rsidRPr="0025250D">
        <w:rPr>
          <w:rFonts w:hint="cs"/>
          <w:rtl/>
        </w:rPr>
        <w:t>سازوکار</w:t>
      </w:r>
      <w:r w:rsidRPr="0025250D">
        <w:rPr>
          <w:rFonts w:hint="cs"/>
          <w:rtl/>
        </w:rPr>
        <w:t xml:space="preserve">‌های مدرن تغییر </w:t>
      </w:r>
      <w:r w:rsidR="007B3B35" w:rsidRPr="0025250D">
        <w:rPr>
          <w:rFonts w:hint="cs"/>
          <w:rtl/>
        </w:rPr>
        <w:t>شتاب‌گیر</w:t>
      </w:r>
      <w:r w:rsidRPr="0025250D">
        <w:rPr>
          <w:rFonts w:hint="cs"/>
          <w:rtl/>
        </w:rPr>
        <w:t xml:space="preserve">نده است. مثال </w:t>
      </w:r>
      <w:r w:rsidR="00303635" w:rsidRPr="0025250D">
        <w:rPr>
          <w:rtl/>
        </w:rPr>
        <w:t>چابک‌بین</w:t>
      </w:r>
      <w:r w:rsidRPr="0025250D">
        <w:rPr>
          <w:rFonts w:hint="cs"/>
          <w:rtl/>
        </w:rPr>
        <w:t xml:space="preserve"> </w:t>
      </w:r>
      <w:r w:rsidRPr="0025250D">
        <w:rPr>
          <w:rtl/>
        </w:rPr>
        <w:t>فر</w:t>
      </w:r>
      <w:r w:rsidRPr="0025250D">
        <w:rPr>
          <w:rFonts w:hint="cs"/>
          <w:rtl/>
        </w:rPr>
        <w:t>ی</w:t>
      </w:r>
      <w:r w:rsidRPr="0025250D">
        <w:rPr>
          <w:rFonts w:hint="eastAsia"/>
          <w:rtl/>
        </w:rPr>
        <w:t>دمن</w:t>
      </w:r>
      <w:r w:rsidRPr="0025250D">
        <w:rPr>
          <w:rFonts w:hint="cs"/>
          <w:rtl/>
        </w:rPr>
        <w:t xml:space="preserve"> برای این دوره جدید، آغاز کار آیفون اپل در میانه سال 2007 است. اپل در نیمی از سال یک میلیون دستگاه را به اولین خریداران فروخت، اما در سال 2008 فروش آن به 12 میلیون جهش کرد و جهان محاسبات در دستگاه‌هایی که در دست جا می‌شوند وارد رقابت شد. گوگل نیز اُپن هندست الاینس</w:t>
      </w:r>
      <w:r w:rsidRPr="0025250D">
        <w:rPr>
          <w:vertAlign w:val="superscript"/>
          <w:rtl/>
        </w:rPr>
        <w:footnoteReference w:id="2905"/>
      </w:r>
      <w:r w:rsidRPr="0025250D">
        <w:rPr>
          <w:rFonts w:hint="cs"/>
          <w:rtl/>
        </w:rPr>
        <w:t xml:space="preserve"> را شکل داد و اندروید 1.0 را در نوامبر 2007 منتشر کرد. تا سال 2008، دنیای دیجیتالی موبایل در یک شرایط </w:t>
      </w:r>
      <w:r w:rsidR="002F3C14" w:rsidRPr="0025250D">
        <w:rPr>
          <w:rFonts w:hint="cs"/>
          <w:rtl/>
        </w:rPr>
        <w:t>انطباق</w:t>
      </w:r>
      <w:r w:rsidRPr="0025250D">
        <w:rPr>
          <w:rFonts w:hint="cs"/>
          <w:rtl/>
        </w:rPr>
        <w:t xml:space="preserve"> سریع و تغییر دائمی بود. آن‌طور که او توصیف می‌کند، انواع کارهایی که می‌توانستیم انجام دهیم، چه در فضای ابری و چه بر روی دستگاه‌های موبایل و پیچیدگی اینترنت، به شکل‌هایی که قبلاً هیچ‌گاه رخ نداده بودند، شروع به </w:t>
      </w:r>
      <w:r w:rsidR="00B56611" w:rsidRPr="0025250D">
        <w:rPr>
          <w:rFonts w:hint="cs"/>
          <w:rtl/>
        </w:rPr>
        <w:t>شتاب‌گیری</w:t>
      </w:r>
      <w:r w:rsidRPr="0025250D">
        <w:rPr>
          <w:rFonts w:hint="cs"/>
          <w:rtl/>
        </w:rPr>
        <w:t xml:space="preserve"> کردند.</w:t>
      </w:r>
    </w:p>
    <w:p w14:paraId="5BC35A73" w14:textId="77777777" w:rsidR="00537CC8" w:rsidRPr="0025250D" w:rsidRDefault="00537CC8" w:rsidP="00EF26F0">
      <w:pPr>
        <w:jc w:val="center"/>
        <w:rPr>
          <w:rtl/>
        </w:rPr>
      </w:pPr>
      <w:r w:rsidRPr="0025250D">
        <w:rPr>
          <w:noProof/>
          <w:rtl/>
          <w:lang w:bidi="ar-SA"/>
        </w:rPr>
        <w:drawing>
          <wp:inline distT="0" distB="0" distL="0" distR="0" wp14:anchorId="2651CEBD" wp14:editId="32ACC2BD">
            <wp:extent cx="1125617" cy="1637732"/>
            <wp:effectExtent l="0" t="0" r="0" b="635"/>
            <wp:docPr id="163" name="Picture 163" descr="D:\کار\مستقل\3 ( ترجمه ی دانشگاه تهران  )\Introduction to Foresight\part8\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8\61.png"/>
                    <pic:cNvPicPr>
                      <a:picLocks noChangeAspect="1" noChangeArrowheads="1"/>
                    </pic:cNvPicPr>
                  </pic:nvPicPr>
                  <pic:blipFill rotWithShape="1">
                    <a:blip r:embed="rId270" cstate="screen">
                      <a:extLst>
                        <a:ext uri="{BEBA8EAE-BF5A-486C-A8C5-ECC9F3942E4B}">
                          <a14:imgProps xmlns:a14="http://schemas.microsoft.com/office/drawing/2010/main">
                            <a14:imgLayer r:embed="rId271">
                              <a14:imgEffect>
                                <a14:saturation sat="0"/>
                              </a14:imgEffect>
                            </a14:imgLayer>
                          </a14:imgProps>
                        </a:ext>
                        <a:ext uri="{28A0092B-C50C-407E-A947-70E740481C1C}">
                          <a14:useLocalDpi xmlns:a14="http://schemas.microsoft.com/office/drawing/2010/main"/>
                        </a:ext>
                      </a:extLst>
                    </a:blip>
                    <a:srcRect/>
                    <a:stretch/>
                  </pic:blipFill>
                  <pic:spPr bwMode="auto">
                    <a:xfrm>
                      <a:off x="0" y="0"/>
                      <a:ext cx="1132751" cy="1648111"/>
                    </a:xfrm>
                    <a:prstGeom prst="rect">
                      <a:avLst/>
                    </a:prstGeom>
                    <a:noFill/>
                    <a:ln>
                      <a:noFill/>
                    </a:ln>
                    <a:extLst>
                      <a:ext uri="{53640926-AAD7-44D8-BBD7-CCE9431645EC}">
                        <a14:shadowObscured xmlns:a14="http://schemas.microsoft.com/office/drawing/2010/main"/>
                      </a:ext>
                    </a:extLst>
                  </pic:spPr>
                </pic:pic>
              </a:graphicData>
            </a:graphic>
          </wp:inline>
        </w:drawing>
      </w:r>
    </w:p>
    <w:p w14:paraId="7071D986" w14:textId="77777777" w:rsidR="00537CC8" w:rsidRPr="0025250D" w:rsidRDefault="00537CC8" w:rsidP="00EF26F0">
      <w:pPr>
        <w:jc w:val="center"/>
        <w:rPr>
          <w:rtl/>
        </w:rPr>
      </w:pPr>
      <w:r w:rsidRPr="0025250D">
        <w:rPr>
          <w:rFonts w:hint="cs"/>
          <w:rtl/>
        </w:rPr>
        <w:t>فریدمن، 2016</w:t>
      </w:r>
    </w:p>
    <w:p w14:paraId="5AB2CB29" w14:textId="492AE566" w:rsidR="00537CC8" w:rsidRPr="0025250D" w:rsidRDefault="00537CC8" w:rsidP="00537CC8">
      <w:pPr>
        <w:rPr>
          <w:rtl/>
        </w:rPr>
      </w:pPr>
      <w:r w:rsidRPr="0025250D">
        <w:rPr>
          <w:rFonts w:hint="cs"/>
          <w:rtl/>
        </w:rPr>
        <w:t>به زودی، غول‌های فنّاوری و نیز استارتاپ‌های فنّاوری عوامل اقتصادی که برای مدت‌ها تثبیت شده بودند را متحول و مختل کردند</w:t>
      </w:r>
      <w:r w:rsidR="008D6F97" w:rsidRPr="0025250D">
        <w:rPr>
          <w:rtl/>
        </w:rPr>
        <w:t xml:space="preserve"> </w:t>
      </w:r>
      <w:r w:rsidRPr="0025250D">
        <w:rPr>
          <w:rFonts w:hint="cs"/>
          <w:rtl/>
        </w:rPr>
        <w:t xml:space="preserve">و مشخص شد که هر کسی بهتر از همه این نیروهای کارآفرینی دیجیتال را مهار و از آن‌ها استفاده کند، بخش‌های بزرگی از آینده را در کنترل و هدایت خود خواهد داشت. به زودی، شاهد آغاز پیشرفت‌های عمده‌ای در هوش مصنوعی یادگیری عمیق در تشخیص الگوهای ساده در کلان داده‌ها، ابتدا در آزمایشگاه در سال 2010 و سپس به صورت تجاری در سال 2012، بودیم. پیشرفت‌های زیرساخت‌های دیجیتالی دیگری در نحوه پرداخت، پایگاه داده و محاسبات ابری همگی به سرعت پدیدار شدند. تا سال 2011، یعنی کم‌تر از 5 سال بعد از مرحله استارتاپ، تعداد شرکت‌های فنّاوری جدید با ارزش بیش از یک میلیارد دلار </w:t>
      </w:r>
      <w:r w:rsidR="008F0DD8" w:rsidRPr="0025250D">
        <w:rPr>
          <w:rFonts w:hint="cs"/>
          <w:rtl/>
        </w:rPr>
        <w:t>آن‌قدر</w:t>
      </w:r>
      <w:r w:rsidRPr="0025250D">
        <w:rPr>
          <w:rFonts w:hint="cs"/>
          <w:rtl/>
        </w:rPr>
        <w:t xml:space="preserve"> زیاد شدند که به آن‌ها نام جالب </w:t>
      </w:r>
      <w:r w:rsidR="002C61FC" w:rsidRPr="0025250D">
        <w:rPr>
          <w:rtl/>
        </w:rPr>
        <w:t>«</w:t>
      </w:r>
      <w:r w:rsidRPr="0025250D">
        <w:rPr>
          <w:rFonts w:hint="cs"/>
          <w:rtl/>
        </w:rPr>
        <w:t>تک شاخ ها</w:t>
      </w:r>
      <w:r w:rsidRPr="0025250D">
        <w:rPr>
          <w:vertAlign w:val="superscript"/>
          <w:rtl/>
        </w:rPr>
        <w:footnoteReference w:id="2906"/>
      </w:r>
      <w:r w:rsidR="002C61FC" w:rsidRPr="0025250D">
        <w:rPr>
          <w:rtl/>
        </w:rPr>
        <w:t>»</w:t>
      </w:r>
      <w:r w:rsidRPr="0025250D">
        <w:rPr>
          <w:rFonts w:hint="cs"/>
          <w:rtl/>
        </w:rPr>
        <w:t xml:space="preserve"> را دادیم. تا سال 2019 تک شاخ‌ها همه جا بودند و این نام دیگر منطقی نبود. اکنون ما آن‌ها را شرکت‌های فوق ستاره</w:t>
      </w:r>
      <w:r w:rsidRPr="0025250D">
        <w:rPr>
          <w:vertAlign w:val="superscript"/>
          <w:rtl/>
        </w:rPr>
        <w:footnoteReference w:id="2907"/>
      </w:r>
      <w:r w:rsidRPr="0025250D">
        <w:rPr>
          <w:rFonts w:hint="cs"/>
          <w:rtl/>
        </w:rPr>
        <w:t xml:space="preserve"> می‌نامیم. آن‌ها در یک مسابقه متراکم سازی و ماده</w:t>
      </w:r>
      <w:r w:rsidR="00FC3563" w:rsidRPr="0025250D">
        <w:rPr>
          <w:rFonts w:hint="cs"/>
          <w:rtl/>
        </w:rPr>
        <w:t>‌</w:t>
      </w:r>
      <w:r w:rsidRPr="0025250D">
        <w:rPr>
          <w:rFonts w:hint="cs"/>
          <w:rtl/>
        </w:rPr>
        <w:t>زدایی دیجیتال برنده هستند. درست در کنار اَبَرنواختر دیجیتال</w:t>
      </w:r>
      <w:r w:rsidR="00FC3563" w:rsidRPr="0025250D">
        <w:rPr>
          <w:rFonts w:hint="cs"/>
          <w:rtl/>
        </w:rPr>
        <w:t>ی</w:t>
      </w:r>
      <w:r w:rsidRPr="0025250D">
        <w:rPr>
          <w:rFonts w:hint="cs"/>
          <w:rtl/>
        </w:rPr>
        <w:t xml:space="preserve">، ما سال 2010 را به عنوان تاریخ خوبی برای شروع آخرین بهار </w:t>
      </w:r>
      <w:r w:rsidRPr="0025250D">
        <w:rPr>
          <w:rtl/>
        </w:rPr>
        <w:t>آینده‌نگاری</w:t>
      </w:r>
      <w:r w:rsidR="00FC3563" w:rsidRPr="0025250D">
        <w:t>‎</w:t>
      </w:r>
      <w:r w:rsidRPr="0025250D">
        <w:rPr>
          <w:rFonts w:hint="cs"/>
          <w:rtl/>
        </w:rPr>
        <w:t xml:space="preserve">مان، زمانی از توجه مجدد و پایدار به انجام </w:t>
      </w:r>
      <w:r w:rsidRPr="0025250D">
        <w:rPr>
          <w:rtl/>
        </w:rPr>
        <w:t>آینده‌نگاری</w:t>
      </w:r>
      <w:r w:rsidRPr="0025250D">
        <w:rPr>
          <w:rFonts w:hint="cs"/>
          <w:rtl/>
        </w:rPr>
        <w:t xml:space="preserve"> و چشم‌اندازهای آینده انتخاب می‌کنیم. توجه و علاقه به </w:t>
      </w:r>
      <w:r w:rsidRPr="0025250D">
        <w:rPr>
          <w:rtl/>
        </w:rPr>
        <w:t>آینده‌نگاری</w:t>
      </w:r>
      <w:r w:rsidRPr="0025250D">
        <w:rPr>
          <w:rFonts w:hint="cs"/>
          <w:rtl/>
        </w:rPr>
        <w:t xml:space="preserve"> و </w:t>
      </w:r>
      <w:r w:rsidR="00D92F6E" w:rsidRPr="0025250D">
        <w:rPr>
          <w:rFonts w:hint="cs"/>
          <w:rtl/>
        </w:rPr>
        <w:t>آینده‌پژوه</w:t>
      </w:r>
      <w:r w:rsidRPr="0025250D">
        <w:rPr>
          <w:rFonts w:hint="cs"/>
          <w:rtl/>
        </w:rPr>
        <w:t>ی همواره انفجار تغییرات جدید را دنبال می‌کند تا به ما برای درک تحولات و فرصت‌هایی که در این هنگام پدید می‌آیند کمک کند.</w:t>
      </w:r>
    </w:p>
    <w:p w14:paraId="1828C9E0" w14:textId="278E4443" w:rsidR="00537CC8" w:rsidRPr="0025250D" w:rsidRDefault="00537CC8" w:rsidP="00537CC8">
      <w:pPr>
        <w:rPr>
          <w:rtl/>
        </w:rPr>
      </w:pPr>
      <w:r w:rsidRPr="0025250D">
        <w:rPr>
          <w:rFonts w:hint="cs"/>
          <w:rtl/>
        </w:rPr>
        <w:t xml:space="preserve">یکی از بینش‌های مفید درمورد انقلاب دیجیتالی موبایل، از نظر ما، این است که این تحول توسعه‌ای است. به دلیل روندهای </w:t>
      </w:r>
      <w:r w:rsidRPr="0025250D">
        <w:t>D&amp;D</w:t>
      </w:r>
      <w:r w:rsidRPr="0025250D">
        <w:rPr>
          <w:rFonts w:hint="cs"/>
          <w:rtl/>
        </w:rPr>
        <w:t xml:space="preserve"> فراگیر، این تحول باید در نهایت رخ می‌داد. متخصصین فنّاوری، کارآفرینان و سیاست مداران می‌توانستند </w:t>
      </w:r>
      <w:r w:rsidR="00B0171C" w:rsidRPr="0025250D">
        <w:rPr>
          <w:rFonts w:hint="cs"/>
          <w:rtl/>
        </w:rPr>
        <w:t>به‌سادگی</w:t>
      </w:r>
      <w:r w:rsidRPr="0025250D">
        <w:rPr>
          <w:rFonts w:hint="cs"/>
          <w:rtl/>
        </w:rPr>
        <w:t xml:space="preserve"> ظهور آن را به تأخیر انداخته یا به آن شتاب دهند (و انتخاب‌های دیجیتالی خوب و بد بسیاری قبل از سال 2008 انجام شدند)، اما فرا رسیدن آن اجتناب ناپذیر بود. در مقابل، 2008 با یک رویداد </w:t>
      </w:r>
      <w:r w:rsidR="00D92F6E" w:rsidRPr="0025250D">
        <w:rPr>
          <w:rFonts w:hint="cs"/>
          <w:rtl/>
        </w:rPr>
        <w:t>بنیان‌افکن</w:t>
      </w:r>
      <w:r w:rsidRPr="0025250D">
        <w:rPr>
          <w:rFonts w:hint="cs"/>
          <w:rtl/>
        </w:rPr>
        <w:t xml:space="preserve"> دیگر که بیش‌تر تکاملی بود تا فراگیر یا به عبارتی کاملا به انتخاب انسان بود، همراه شد. در این </w:t>
      </w:r>
      <w:r w:rsidR="00D92F6E" w:rsidRPr="0025250D">
        <w:rPr>
          <w:rFonts w:hint="cs"/>
          <w:rtl/>
        </w:rPr>
        <w:t>بنیان‌افکن</w:t>
      </w:r>
      <w:r w:rsidRPr="0025250D">
        <w:rPr>
          <w:rFonts w:hint="cs"/>
          <w:rtl/>
        </w:rPr>
        <w:t xml:space="preserve">ی قوانین و اخلاقیات نسخه زرسالار و </w:t>
      </w:r>
      <w:r w:rsidRPr="0025250D">
        <w:rPr>
          <w:rtl/>
        </w:rPr>
        <w:t>ابرشرکت‌محور</w:t>
      </w:r>
      <w:r w:rsidRPr="0025250D">
        <w:rPr>
          <w:rFonts w:hint="cs"/>
          <w:rtl/>
        </w:rPr>
        <w:t>ی</w:t>
      </w:r>
      <w:r w:rsidRPr="0025250D">
        <w:rPr>
          <w:vertAlign w:val="superscript"/>
          <w:rtl/>
        </w:rPr>
        <w:footnoteReference w:id="2908"/>
      </w:r>
      <w:r w:rsidRPr="0025250D">
        <w:rPr>
          <w:rFonts w:hint="cs"/>
          <w:rtl/>
        </w:rPr>
        <w:t xml:space="preserve"> از نظام </w:t>
      </w:r>
      <w:r w:rsidR="00B0171C" w:rsidRPr="0025250D">
        <w:rPr>
          <w:rFonts w:hint="cs"/>
          <w:rtl/>
        </w:rPr>
        <w:t xml:space="preserve"> سرمایه‌دار</w:t>
      </w:r>
      <w:r w:rsidRPr="0025250D">
        <w:rPr>
          <w:rFonts w:hint="cs"/>
          <w:rtl/>
        </w:rPr>
        <w:t xml:space="preserve">ی آمریکا دخیل بودند. بحران مالی بزرگ سال 2007-2008 سبب دشواری بسیاری شد و شیوه‌هایی که ما به آن پاسخ دادیم، با کمک‌های مالی دولتی برای ثرتمندان و شرکت‌ها، نابرابری‌های اقتصادی و آسیب پذیری قشر متوسط را بیش‌تر افزایش دادند. جهان در پی آن، شاهد یک بازیابی </w:t>
      </w:r>
      <w:r w:rsidRPr="0025250D">
        <w:t>K</w:t>
      </w:r>
      <w:r w:rsidRPr="0025250D">
        <w:rPr>
          <w:rFonts w:hint="cs"/>
          <w:rtl/>
        </w:rPr>
        <w:t xml:space="preserve">-شکل بود که در آن ثروتمندان ثروتمند‌تر می‌شدند، در حالی که فقرا و طبقه متوسط به نسبت بیش‌تر ضرر می‌کردند. یک بازیابی </w:t>
      </w:r>
      <w:r w:rsidRPr="0025250D">
        <w:t>K</w:t>
      </w:r>
      <w:r w:rsidRPr="0025250D">
        <w:rPr>
          <w:rFonts w:hint="cs"/>
          <w:rtl/>
        </w:rPr>
        <w:t>-شکل سریع‌تر و شدید‌تر، در رکود کووید 19، همزمان با انتشار این کتاب، در حال رخ دادن است.</w:t>
      </w:r>
    </w:p>
    <w:p w14:paraId="6FD55204" w14:textId="4AB907BD" w:rsidR="00537CC8" w:rsidRPr="0025250D" w:rsidRDefault="00537CC8" w:rsidP="00537CC8">
      <w:pPr>
        <w:rPr>
          <w:rtl/>
        </w:rPr>
      </w:pPr>
      <w:r w:rsidRPr="0025250D">
        <w:rPr>
          <w:rFonts w:hint="cs"/>
          <w:rtl/>
        </w:rPr>
        <w:t xml:space="preserve">پس از سال 2008، تغییرات </w:t>
      </w:r>
      <w:r w:rsidR="00D92F6E" w:rsidRPr="0025250D">
        <w:rPr>
          <w:rFonts w:hint="cs"/>
          <w:rtl/>
        </w:rPr>
        <w:t>بنیان‌افکن</w:t>
      </w:r>
      <w:r w:rsidRPr="0025250D">
        <w:rPr>
          <w:rFonts w:hint="cs"/>
          <w:rtl/>
        </w:rPr>
        <w:t xml:space="preserve"> دیجیتالی، فنّاوری و اقتصادی متعددی ناگهان ما را بمباران کردند و مسائل متعددی به نگرانی‌های جهانی تبدیل شدند </w:t>
      </w:r>
      <w:r w:rsidRPr="0025250D">
        <w:rPr>
          <w:rFonts w:cs="Times New Roman" w:hint="cs"/>
          <w:rtl/>
        </w:rPr>
        <w:t>–</w:t>
      </w:r>
      <w:r w:rsidRPr="0025250D">
        <w:rPr>
          <w:rFonts w:hint="cs"/>
          <w:rtl/>
        </w:rPr>
        <w:t xml:space="preserve"> از جمله تغییر پذیری اقتصادی، نخبگان غیر مسئول، فرسودگی طبقه متوسط، کج کارکرد </w:t>
      </w:r>
      <w:r w:rsidR="00FC3563" w:rsidRPr="0025250D">
        <w:rPr>
          <w:rFonts w:hint="cs"/>
          <w:rtl/>
        </w:rPr>
        <w:t>مردم</w:t>
      </w:r>
      <w:r w:rsidRPr="0025250D">
        <w:rPr>
          <w:rFonts w:hint="cs"/>
          <w:rtl/>
        </w:rPr>
        <w:t xml:space="preserve"> سالاری، تغییرات اقلیمی، سلاح‌های خود مختار، تروریسم و اکنون همه گیری‌ها </w:t>
      </w:r>
      <w:r w:rsidRPr="0025250D">
        <w:rPr>
          <w:rFonts w:cs="Times New Roman" w:hint="cs"/>
          <w:rtl/>
        </w:rPr>
        <w:t>–</w:t>
      </w:r>
      <w:r w:rsidRPr="0025250D">
        <w:rPr>
          <w:rFonts w:hint="cs"/>
          <w:rtl/>
        </w:rPr>
        <w:t xml:space="preserve"> تا جایی که نیاز به </w:t>
      </w:r>
      <w:r w:rsidRPr="0025250D">
        <w:rPr>
          <w:rtl/>
        </w:rPr>
        <w:t>آینده‌نگاری</w:t>
      </w:r>
      <w:r w:rsidRPr="0025250D">
        <w:rPr>
          <w:rFonts w:hint="cs"/>
          <w:rtl/>
        </w:rPr>
        <w:t xml:space="preserve"> به سطوحی رسیده که در دهه‌های قبلی بی سابقه بوده است. </w:t>
      </w:r>
      <w:r w:rsidR="007118DE" w:rsidRPr="0025250D">
        <w:rPr>
          <w:rFonts w:hint="cs"/>
          <w:rtl/>
        </w:rPr>
        <w:t>همان‌طور</w:t>
      </w:r>
      <w:r w:rsidRPr="0025250D">
        <w:rPr>
          <w:rFonts w:hint="cs"/>
          <w:rtl/>
        </w:rPr>
        <w:t xml:space="preserve"> که گفتیم، تغییر خوب همواره سبب ایجاد نیاز به </w:t>
      </w:r>
      <w:r w:rsidRPr="0025250D">
        <w:rPr>
          <w:rtl/>
        </w:rPr>
        <w:t>آینده‌نگاری</w:t>
      </w:r>
      <w:r w:rsidRPr="0025250D">
        <w:rPr>
          <w:rFonts w:hint="cs"/>
          <w:rtl/>
        </w:rPr>
        <w:t xml:space="preserve"> و </w:t>
      </w:r>
      <w:r w:rsidR="00D92F6E" w:rsidRPr="0025250D">
        <w:rPr>
          <w:rFonts w:hint="cs"/>
          <w:rtl/>
        </w:rPr>
        <w:t>آینده‌پژوه</w:t>
      </w:r>
      <w:r w:rsidRPr="0025250D">
        <w:rPr>
          <w:rFonts w:hint="cs"/>
          <w:rtl/>
        </w:rPr>
        <w:t xml:space="preserve">ی خوب می‌شود. اکنون فعالیت‌های پیشگامانه متعددی در تخصص‌های </w:t>
      </w:r>
      <w:r w:rsidRPr="0025250D">
        <w:rPr>
          <w:rtl/>
        </w:rPr>
        <w:t>آینده‌نگاری</w:t>
      </w:r>
      <w:r w:rsidRPr="0025250D">
        <w:rPr>
          <w:rFonts w:hint="cs"/>
          <w:rtl/>
        </w:rPr>
        <w:t xml:space="preserve"> سازمانی </w:t>
      </w:r>
      <w:r w:rsidRPr="0025250D">
        <w:rPr>
          <w:rFonts w:cs="Times New Roman" w:hint="cs"/>
          <w:rtl/>
        </w:rPr>
        <w:t>–</w:t>
      </w:r>
      <w:r w:rsidRPr="0025250D">
        <w:rPr>
          <w:rFonts w:hint="cs"/>
          <w:rtl/>
        </w:rPr>
        <w:t xml:space="preserve"> مانند </w:t>
      </w:r>
      <w:r w:rsidR="00FB6A7E" w:rsidRPr="0025250D">
        <w:rPr>
          <w:rFonts w:hint="cs"/>
          <w:rtl/>
        </w:rPr>
        <w:t>پیش‌نگری</w:t>
      </w:r>
      <w:r w:rsidRPr="0025250D">
        <w:rPr>
          <w:rFonts w:hint="cs"/>
          <w:rtl/>
        </w:rPr>
        <w:t xml:space="preserve">، تحلیل آماری، مدیریت ریسک، مدیریت نوآوری، </w:t>
      </w:r>
      <w:r w:rsidR="00B124DE" w:rsidRPr="0025250D">
        <w:rPr>
          <w:rFonts w:hint="cs"/>
          <w:rtl/>
        </w:rPr>
        <w:t>برنامه‌ریزی</w:t>
      </w:r>
      <w:r w:rsidRPr="0025250D">
        <w:rPr>
          <w:rFonts w:hint="cs"/>
          <w:rtl/>
        </w:rPr>
        <w:t>، کارآفرینی، طراحی</w:t>
      </w:r>
      <w:r w:rsidR="008D6F97" w:rsidRPr="0025250D">
        <w:rPr>
          <w:rtl/>
        </w:rPr>
        <w:t xml:space="preserve"> </w:t>
      </w:r>
      <w:r w:rsidRPr="0025250D">
        <w:rPr>
          <w:rFonts w:hint="cs"/>
          <w:rtl/>
        </w:rPr>
        <w:t xml:space="preserve">و اطلاعات </w:t>
      </w:r>
      <w:r w:rsidRPr="0025250D">
        <w:rPr>
          <w:rFonts w:cs="Times New Roman" w:hint="cs"/>
          <w:rtl/>
        </w:rPr>
        <w:t>–</w:t>
      </w:r>
      <w:r w:rsidRPr="0025250D">
        <w:rPr>
          <w:rFonts w:hint="cs"/>
          <w:rtl/>
        </w:rPr>
        <w:t xml:space="preserve"> در حال وقوع است به طوری که ما در یک رنسانس </w:t>
      </w:r>
      <w:r w:rsidRPr="0025250D">
        <w:rPr>
          <w:rtl/>
        </w:rPr>
        <w:t>آینده‌نگاری</w:t>
      </w:r>
      <w:r w:rsidRPr="0025250D">
        <w:rPr>
          <w:rFonts w:hint="cs"/>
          <w:rtl/>
        </w:rPr>
        <w:t xml:space="preserve"> قرار گرفته ایم؛ دوره‌ای که علم و روش‌های </w:t>
      </w:r>
      <w:r w:rsidRPr="0025250D">
        <w:rPr>
          <w:rtl/>
        </w:rPr>
        <w:t>آینده‌نگاری</w:t>
      </w:r>
      <w:r w:rsidRPr="0025250D">
        <w:rPr>
          <w:rFonts w:hint="cs"/>
          <w:rtl/>
        </w:rPr>
        <w:t xml:space="preserve"> جدید و مفید بسیاری از دل آن متولد خواهند شد.</w:t>
      </w:r>
    </w:p>
    <w:p w14:paraId="65B853C5" w14:textId="15676BA8" w:rsidR="00537CC8" w:rsidRPr="0025250D" w:rsidRDefault="00537CC8" w:rsidP="00537CC8">
      <w:pPr>
        <w:rPr>
          <w:rtl/>
        </w:rPr>
      </w:pPr>
      <w:r w:rsidRPr="0025250D">
        <w:rPr>
          <w:rFonts w:hint="cs"/>
          <w:rtl/>
        </w:rPr>
        <w:t xml:space="preserve">آخرین باری که کار </w:t>
      </w:r>
      <w:r w:rsidRPr="0025250D">
        <w:rPr>
          <w:rtl/>
        </w:rPr>
        <w:t>آینده‌نگاری</w:t>
      </w:r>
      <w:r w:rsidRPr="0025250D">
        <w:rPr>
          <w:rFonts w:hint="cs"/>
          <w:rtl/>
        </w:rPr>
        <w:t xml:space="preserve"> شاهد چنین حجم از تقاضا بود، در طول آخرین بهار </w:t>
      </w:r>
      <w:r w:rsidRPr="0025250D">
        <w:rPr>
          <w:rtl/>
        </w:rPr>
        <w:t>آینده‌نگاری</w:t>
      </w:r>
      <w:r w:rsidRPr="0025250D">
        <w:rPr>
          <w:rFonts w:hint="cs"/>
          <w:rtl/>
        </w:rPr>
        <w:t xml:space="preserve"> عمده ما (1960-1980)، به ویژه در دهه‌های 1960 و 1970 بود؛ وقتی بسیاری از اندیشکده‌ها، اتحادیه‌ها و برنامه‌های آکادمیک اساسی ما پدیدار شدند. آن‌طور که از گذشته در می‌یابیم، این بهار فعلی حداقل به همان اندازه طول خواهد کشید (2010-2030)</w:t>
      </w:r>
      <w:r w:rsidR="008D6F97" w:rsidRPr="0025250D">
        <w:rPr>
          <w:rtl/>
        </w:rPr>
        <w:t xml:space="preserve">؛ </w:t>
      </w:r>
      <w:r w:rsidRPr="0025250D">
        <w:rPr>
          <w:rFonts w:hint="cs"/>
          <w:rtl/>
        </w:rPr>
        <w:t xml:space="preserve">اما در دنیایی از تغییر </w:t>
      </w:r>
      <w:r w:rsidR="007B3B35" w:rsidRPr="0025250D">
        <w:rPr>
          <w:rFonts w:hint="cs"/>
          <w:rtl/>
        </w:rPr>
        <w:t>شتاب‌گیر</w:t>
      </w:r>
      <w:r w:rsidRPr="0025250D">
        <w:rPr>
          <w:rFonts w:hint="cs"/>
          <w:rtl/>
        </w:rPr>
        <w:t>نده، ما امیدواریم که این بهار حتی بیش‌تر هم به طول بیانجامد. ما اکنون، مجهز به گوشی‌های موبایل هوشمند‌تر و یک فضای ابری غنی‌تر از</w:t>
      </w:r>
      <w:r w:rsidRPr="0025250D">
        <w:rPr>
          <w:rtl/>
        </w:rPr>
        <w:t xml:space="preserve"> </w:t>
      </w:r>
      <w:r w:rsidRPr="0025250D">
        <w:rPr>
          <w:rFonts w:hint="cs"/>
          <w:rtl/>
        </w:rPr>
        <w:t xml:space="preserve">همیشه هستیم و هر چند ماه یک بار شاهد فرارسیدن سطح جدیدی از پیچیدگی دیجیتال هستیم. این پیچیدگی مشکلات جدید متعددی برای ما ایجاد می‌کند، از جمله </w:t>
      </w:r>
      <w:r w:rsidRPr="0025250D">
        <w:rPr>
          <w:rtl/>
        </w:rPr>
        <w:t>حباب‌های ف</w:t>
      </w:r>
      <w:r w:rsidRPr="0025250D">
        <w:rPr>
          <w:rFonts w:hint="cs"/>
          <w:rtl/>
        </w:rPr>
        <w:t>ی</w:t>
      </w:r>
      <w:r w:rsidRPr="0025250D">
        <w:rPr>
          <w:rFonts w:hint="eastAsia"/>
          <w:rtl/>
        </w:rPr>
        <w:t>لتر</w:t>
      </w:r>
      <w:r w:rsidRPr="0025250D">
        <w:rPr>
          <w:rtl/>
        </w:rPr>
        <w:t xml:space="preserve"> ناکارآمد</w:t>
      </w:r>
      <w:r w:rsidRPr="0025250D">
        <w:rPr>
          <w:vertAlign w:val="superscript"/>
          <w:rtl/>
        </w:rPr>
        <w:footnoteReference w:id="2909"/>
      </w:r>
      <w:r w:rsidRPr="0025250D">
        <w:rPr>
          <w:rFonts w:hint="cs"/>
          <w:rtl/>
        </w:rPr>
        <w:t>، اخبار جعلی، از بین رفتن حریم خصوصی، تبلیغات هدفمند بدون رضایت و کنترل مخاطب، استفاده غیر اخلاقی از هوش مصنوعی</w:t>
      </w:r>
      <w:r w:rsidR="008D6F97" w:rsidRPr="0025250D">
        <w:rPr>
          <w:rtl/>
        </w:rPr>
        <w:t xml:space="preserve"> </w:t>
      </w:r>
      <w:r w:rsidRPr="0025250D">
        <w:rPr>
          <w:rFonts w:hint="cs"/>
          <w:rtl/>
        </w:rPr>
        <w:t>و شکل‌های جدیدی از جرایم رایانه ای</w:t>
      </w:r>
      <w:r w:rsidR="008D6F97" w:rsidRPr="0025250D">
        <w:rPr>
          <w:rtl/>
        </w:rPr>
        <w:t xml:space="preserve">؛ </w:t>
      </w:r>
      <w:r w:rsidRPr="0025250D">
        <w:rPr>
          <w:rFonts w:hint="cs"/>
          <w:rtl/>
        </w:rPr>
        <w:t xml:space="preserve">اما می‌توانیم همچنین </w:t>
      </w:r>
      <w:r w:rsidR="00923DDB" w:rsidRPr="0025250D">
        <w:rPr>
          <w:rFonts w:hint="cs"/>
          <w:rtl/>
        </w:rPr>
        <w:t>راه‌حل</w:t>
      </w:r>
      <w:r w:rsidRPr="0025250D">
        <w:rPr>
          <w:rFonts w:hint="cs"/>
          <w:rtl/>
        </w:rPr>
        <w:t xml:space="preserve">‌های خوبی را برای این مسائل </w:t>
      </w:r>
      <w:r w:rsidR="006C4DCD" w:rsidRPr="0025250D">
        <w:rPr>
          <w:rFonts w:hint="cs"/>
          <w:rtl/>
        </w:rPr>
        <w:t>فراپایی</w:t>
      </w:r>
      <w:r w:rsidRPr="0025250D">
        <w:rPr>
          <w:rFonts w:hint="cs"/>
          <w:rtl/>
        </w:rPr>
        <w:t xml:space="preserve"> کنیم. تنها باید آن‌ها را </w:t>
      </w:r>
      <w:r w:rsidR="00923DDB" w:rsidRPr="0025250D">
        <w:rPr>
          <w:rFonts w:hint="cs"/>
          <w:rtl/>
        </w:rPr>
        <w:t>به‌کارگیری</w:t>
      </w:r>
      <w:r w:rsidRPr="0025250D">
        <w:rPr>
          <w:rFonts w:hint="cs"/>
          <w:rtl/>
        </w:rPr>
        <w:t>م.</w:t>
      </w:r>
    </w:p>
    <w:p w14:paraId="6B729131" w14:textId="2ED7395C" w:rsidR="00537CC8" w:rsidRPr="0025250D" w:rsidRDefault="007118DE" w:rsidP="00537CC8">
      <w:pPr>
        <w:rPr>
          <w:rtl/>
        </w:rPr>
      </w:pPr>
      <w:r w:rsidRPr="0025250D">
        <w:rPr>
          <w:rFonts w:hint="cs"/>
          <w:rtl/>
        </w:rPr>
        <w:t>همان‌طور</w:t>
      </w:r>
      <w:r w:rsidR="00537CC8" w:rsidRPr="0025250D">
        <w:rPr>
          <w:rFonts w:hint="cs"/>
          <w:rtl/>
        </w:rPr>
        <w:t xml:space="preserve"> که در </w:t>
      </w:r>
      <w:r w:rsidR="00537CC8" w:rsidRPr="0025250D">
        <w:t>BPF</w:t>
      </w:r>
      <w:r w:rsidR="00537CC8" w:rsidRPr="0025250D">
        <w:rPr>
          <w:rFonts w:hint="cs"/>
          <w:rtl/>
        </w:rPr>
        <w:t xml:space="preserve"> در این مورد بحث خواهیم کرد، ما مسائل اجتماعی و جهانی متعددی داریم. با این حال همزمان، موارد شگفت انگیزی بار دیگر به دلیل علم و فنّاوری </w:t>
      </w:r>
      <w:r w:rsidR="007B3B35" w:rsidRPr="0025250D">
        <w:rPr>
          <w:rFonts w:hint="cs"/>
          <w:rtl/>
        </w:rPr>
        <w:t>شتاب‌گیر</w:t>
      </w:r>
      <w:r w:rsidR="00537CC8" w:rsidRPr="0025250D">
        <w:rPr>
          <w:rFonts w:hint="cs"/>
          <w:rtl/>
        </w:rPr>
        <w:t xml:space="preserve">نده در حال وقوع هستند. جمعیت جوان امروز جهان کاربران فنّاوری هستند و انتظار شگفتی‌های بیش‌تری در آینده دارند. در طول دهه گذشته، جوامع </w:t>
      </w:r>
      <w:r w:rsidR="00537CC8" w:rsidRPr="0025250D">
        <w:rPr>
          <w:rtl/>
        </w:rPr>
        <w:t>آینده‌نگاری</w:t>
      </w:r>
      <w:r w:rsidR="00537CC8" w:rsidRPr="0025250D">
        <w:rPr>
          <w:rFonts w:hint="cs"/>
          <w:rtl/>
        </w:rPr>
        <w:t xml:space="preserve"> آنلاین به مقیاس‌هایی رسیده اند که در گذشته هرگز دیده ن</w:t>
      </w:r>
      <w:r w:rsidR="00185F3E" w:rsidRPr="0025250D">
        <w:rPr>
          <w:rFonts w:hint="cs"/>
          <w:rtl/>
        </w:rPr>
        <w:t>شده‌اند</w:t>
      </w:r>
      <w:r w:rsidR="00537CC8" w:rsidRPr="0025250D">
        <w:rPr>
          <w:rFonts w:hint="cs"/>
          <w:rtl/>
        </w:rPr>
        <w:t xml:space="preserve">. </w:t>
      </w:r>
      <w:r w:rsidR="006C4DCD" w:rsidRPr="0025250D">
        <w:rPr>
          <w:rFonts w:hint="cs"/>
          <w:rtl/>
        </w:rPr>
        <w:t>آر</w:t>
      </w:r>
      <w:r w:rsidR="006C4DCD" w:rsidRPr="0025250D">
        <w:rPr>
          <w:rtl/>
        </w:rPr>
        <w:t>/آ</w:t>
      </w:r>
      <w:r w:rsidR="006C4DCD" w:rsidRPr="0025250D">
        <w:rPr>
          <w:rFonts w:hint="cs"/>
          <w:rtl/>
        </w:rPr>
        <w:t>ی</w:t>
      </w:r>
      <w:r w:rsidR="006C4DCD" w:rsidRPr="0025250D">
        <w:rPr>
          <w:rFonts w:hint="eastAsia"/>
          <w:rtl/>
        </w:rPr>
        <w:t>نده</w:t>
      </w:r>
      <w:r w:rsidR="006C4DCD" w:rsidRPr="0025250D">
        <w:rPr>
          <w:rtl/>
        </w:rPr>
        <w:t xml:space="preserve"> شناس</w:t>
      </w:r>
      <w:r w:rsidR="006C4DCD" w:rsidRPr="0025250D">
        <w:rPr>
          <w:rFonts w:hint="cs"/>
          <w:rtl/>
        </w:rPr>
        <w:t xml:space="preserve">ی </w:t>
      </w:r>
      <w:r w:rsidR="00537CC8" w:rsidRPr="0025250D">
        <w:rPr>
          <w:rFonts w:hint="cs"/>
          <w:rtl/>
        </w:rPr>
        <w:t>ردیت</w:t>
      </w:r>
      <w:r w:rsidR="00537CC8" w:rsidRPr="0025250D">
        <w:rPr>
          <w:vertAlign w:val="superscript"/>
          <w:rtl/>
        </w:rPr>
        <w:footnoteReference w:id="2910"/>
      </w:r>
      <w:r w:rsidR="00537CC8" w:rsidRPr="0025250D">
        <w:rPr>
          <w:rFonts w:hint="cs"/>
          <w:rtl/>
        </w:rPr>
        <w:t xml:space="preserve">، انجمنی برای مطرح کردن نظرات درمورد مطالب </w:t>
      </w:r>
      <w:r w:rsidR="00537CC8" w:rsidRPr="0025250D">
        <w:rPr>
          <w:rtl/>
        </w:rPr>
        <w:t>آینده‌نگاری</w:t>
      </w:r>
      <w:r w:rsidR="00537CC8" w:rsidRPr="0025250D">
        <w:rPr>
          <w:rFonts w:hint="cs"/>
          <w:rtl/>
        </w:rPr>
        <w:t xml:space="preserve">، بیش از 15 میلیون دنبال کننده تا سال 2021 داشته است. رشد </w:t>
      </w:r>
      <w:r w:rsidR="006C4DCD" w:rsidRPr="0025250D">
        <w:rPr>
          <w:rFonts w:hint="cs"/>
          <w:rtl/>
        </w:rPr>
        <w:t>آر</w:t>
      </w:r>
      <w:r w:rsidR="006C4DCD" w:rsidRPr="0025250D">
        <w:rPr>
          <w:rtl/>
        </w:rPr>
        <w:t>/آ</w:t>
      </w:r>
      <w:r w:rsidR="006C4DCD" w:rsidRPr="0025250D">
        <w:rPr>
          <w:rFonts w:hint="cs"/>
          <w:rtl/>
        </w:rPr>
        <w:t>ی</w:t>
      </w:r>
      <w:r w:rsidR="006C4DCD" w:rsidRPr="0025250D">
        <w:rPr>
          <w:rFonts w:hint="eastAsia"/>
          <w:rtl/>
        </w:rPr>
        <w:t>نده</w:t>
      </w:r>
      <w:r w:rsidR="006C4DCD" w:rsidRPr="0025250D">
        <w:rPr>
          <w:rtl/>
        </w:rPr>
        <w:t xml:space="preserve"> شناس</w:t>
      </w:r>
      <w:r w:rsidR="006C4DCD" w:rsidRPr="0025250D">
        <w:rPr>
          <w:rFonts w:hint="cs"/>
          <w:rtl/>
        </w:rPr>
        <w:t>ی</w:t>
      </w:r>
      <w:r w:rsidR="00537CC8" w:rsidRPr="0025250D">
        <w:rPr>
          <w:rFonts w:hint="cs"/>
          <w:rtl/>
        </w:rPr>
        <w:t xml:space="preserve"> اکنون کند شده است، اما انجمن‌های متعدد دیگری که زیرمجموعه </w:t>
      </w:r>
      <w:r w:rsidR="00537CC8" w:rsidRPr="0025250D">
        <w:rPr>
          <w:rtl/>
        </w:rPr>
        <w:t>آینده‌نگاری</w:t>
      </w:r>
      <w:r w:rsidR="00537CC8" w:rsidRPr="0025250D">
        <w:rPr>
          <w:rFonts w:hint="cs"/>
          <w:rtl/>
        </w:rPr>
        <w:t xml:space="preserve"> ردیت هستند، مانند</w:t>
      </w:r>
      <w:r w:rsidR="006C4DCD" w:rsidRPr="0025250D">
        <w:rPr>
          <w:rFonts w:hint="cs"/>
          <w:rtl/>
        </w:rPr>
        <w:t xml:space="preserve"> آر/وال استریت بت</w:t>
      </w:r>
      <w:r w:rsidR="006C4DCD" w:rsidRPr="0025250D">
        <w:rPr>
          <w:rStyle w:val="FootnoteReference"/>
          <w:rtl/>
        </w:rPr>
        <w:footnoteReference w:id="2911"/>
      </w:r>
      <w:r w:rsidR="00537CC8" w:rsidRPr="0025250D">
        <w:rPr>
          <w:rFonts w:hint="cs"/>
          <w:rtl/>
        </w:rPr>
        <w:t xml:space="preserve">، هنوز در حال رشد سریع هستند. </w:t>
      </w:r>
      <w:r w:rsidR="00B124DE" w:rsidRPr="0025250D">
        <w:rPr>
          <w:rFonts w:hint="cs"/>
          <w:rtl/>
        </w:rPr>
        <w:t>آینده‌اندیش</w:t>
      </w:r>
      <w:r w:rsidR="00537CC8" w:rsidRPr="0025250D">
        <w:rPr>
          <w:rFonts w:hint="cs"/>
          <w:rtl/>
        </w:rPr>
        <w:t xml:space="preserve">ی عمومی در آمریکا، در میان عموم مردم عادی و متخصصین و فعالیت‌های رسمی </w:t>
      </w:r>
      <w:r w:rsidR="00537CC8" w:rsidRPr="0025250D">
        <w:rPr>
          <w:rtl/>
        </w:rPr>
        <w:t>آینده‌نگاری</w:t>
      </w:r>
      <w:r w:rsidR="00537CC8" w:rsidRPr="0025250D">
        <w:rPr>
          <w:rFonts w:hint="cs"/>
          <w:rtl/>
        </w:rPr>
        <w:t xml:space="preserve"> توسط سازمان‌ها، بار دیگر محبوب و رایج شده است.</w:t>
      </w:r>
    </w:p>
    <w:p w14:paraId="253902D5" w14:textId="4B02564B" w:rsidR="00537CC8" w:rsidRPr="0025250D" w:rsidRDefault="00537CC8" w:rsidP="00537CC8">
      <w:pPr>
        <w:rPr>
          <w:rtl/>
        </w:rPr>
      </w:pPr>
      <w:r w:rsidRPr="0025250D">
        <w:rPr>
          <w:rFonts w:hint="cs"/>
          <w:rtl/>
        </w:rPr>
        <w:t xml:space="preserve">مشابه با دهه 1970، </w:t>
      </w:r>
      <w:r w:rsidR="00B124DE" w:rsidRPr="0025250D">
        <w:rPr>
          <w:rFonts w:hint="cs"/>
          <w:rtl/>
        </w:rPr>
        <w:t>آینده‌اندیش</w:t>
      </w:r>
      <w:r w:rsidRPr="0025250D">
        <w:rPr>
          <w:rFonts w:hint="cs"/>
          <w:rtl/>
        </w:rPr>
        <w:t>ی ما ترکیب گسترده‌ای از خوش بینی و بدبینی نسبت به دورنما، بسته به گروه‌ها و مسائل مختلف است. اگرچه رسانه‌های ما برای گزارش آن انگیزه‌ای ندارند، هنوز جای خوشحالی زیادی وجود دارد و آزادی‌ها و ابزارهای جدید متعددی نیز برای استفاده ما وجود دارند که باید بهتر برای جهانیان معرفی شوند. برای مثال، با ظهور وبگاه‌های تامین مالی جمعی</w:t>
      </w:r>
      <w:r w:rsidRPr="0025250D">
        <w:rPr>
          <w:vertAlign w:val="superscript"/>
          <w:rtl/>
        </w:rPr>
        <w:footnoteReference w:id="2912"/>
      </w:r>
      <w:r w:rsidRPr="0025250D">
        <w:rPr>
          <w:rFonts w:hint="cs"/>
          <w:rtl/>
        </w:rPr>
        <w:t xml:space="preserve">، مانند </w:t>
      </w:r>
      <w:r w:rsidRPr="0025250D">
        <w:rPr>
          <w:rtl/>
        </w:rPr>
        <w:t>ک</w:t>
      </w:r>
      <w:r w:rsidRPr="0025250D">
        <w:rPr>
          <w:rFonts w:hint="cs"/>
          <w:rtl/>
        </w:rPr>
        <w:t>ی</w:t>
      </w:r>
      <w:r w:rsidRPr="0025250D">
        <w:rPr>
          <w:rFonts w:hint="eastAsia"/>
          <w:rtl/>
        </w:rPr>
        <w:t>ک</w:t>
      </w:r>
      <w:r w:rsidRPr="0025250D">
        <w:rPr>
          <w:rtl/>
        </w:rPr>
        <w:t xml:space="preserve"> استارتر</w:t>
      </w:r>
      <w:r w:rsidRPr="0025250D">
        <w:rPr>
          <w:vertAlign w:val="superscript"/>
          <w:rtl/>
        </w:rPr>
        <w:footnoteReference w:id="2913"/>
      </w:r>
      <w:r w:rsidRPr="0025250D">
        <w:rPr>
          <w:rFonts w:hint="cs"/>
          <w:rtl/>
        </w:rPr>
        <w:t xml:space="preserve"> در سال 2009 و ایندیگوگو</w:t>
      </w:r>
      <w:r w:rsidRPr="0025250D">
        <w:rPr>
          <w:vertAlign w:val="superscript"/>
          <w:rtl/>
        </w:rPr>
        <w:footnoteReference w:id="2914"/>
      </w:r>
      <w:r w:rsidRPr="0025250D">
        <w:rPr>
          <w:rFonts w:hint="cs"/>
          <w:rtl/>
        </w:rPr>
        <w:t xml:space="preserve"> در سال 2007، سرمایه مورد نیاز ده‌ها هزار ایده تجاری جهانی و محلی جدید تامین شد. در سال 2015، تأمین مالی با سهام جمعی</w:t>
      </w:r>
      <w:r w:rsidRPr="0025250D">
        <w:rPr>
          <w:vertAlign w:val="superscript"/>
          <w:rtl/>
        </w:rPr>
        <w:footnoteReference w:id="2915"/>
      </w:r>
      <w:r w:rsidRPr="0025250D">
        <w:rPr>
          <w:rFonts w:hint="cs"/>
          <w:rtl/>
        </w:rPr>
        <w:t xml:space="preserve">، </w:t>
      </w:r>
      <w:r w:rsidR="002C61FC" w:rsidRPr="0025250D">
        <w:rPr>
          <w:rtl/>
        </w:rPr>
        <w:t>«</w:t>
      </w:r>
      <w:r w:rsidRPr="0025250D">
        <w:rPr>
          <w:rFonts w:hint="cs"/>
          <w:rtl/>
        </w:rPr>
        <w:t>یا همان تامین مالی جمعی</w:t>
      </w:r>
      <w:r w:rsidR="002C61FC" w:rsidRPr="0025250D">
        <w:rPr>
          <w:rtl/>
        </w:rPr>
        <w:t>»</w:t>
      </w:r>
      <w:r w:rsidRPr="0025250D">
        <w:rPr>
          <w:rFonts w:hint="cs"/>
          <w:rtl/>
        </w:rPr>
        <w:t xml:space="preserve"> در نهایت پس از یک مبارزه طولانی با زرسالارانی که کنگره آمریکا را مدیریت می‌کردند قانونی شد و اکنون در حال وارد کردن سرمایه جدید برای کارآفرینان و </w:t>
      </w:r>
      <w:r w:rsidR="00EE4B64" w:rsidRPr="0025250D">
        <w:rPr>
          <w:rFonts w:hint="cs"/>
          <w:rtl/>
        </w:rPr>
        <w:t>مردم‌سالار</w:t>
      </w:r>
      <w:r w:rsidRPr="0025250D">
        <w:rPr>
          <w:rFonts w:hint="cs"/>
          <w:rtl/>
        </w:rPr>
        <w:t xml:space="preserve"> کردن </w:t>
      </w:r>
      <w:r w:rsidR="00F50EB4" w:rsidRPr="0025250D">
        <w:rPr>
          <w:rFonts w:hint="cs"/>
          <w:rtl/>
        </w:rPr>
        <w:t>سرمایه‌گذاری</w:t>
      </w:r>
      <w:r w:rsidRPr="0025250D">
        <w:rPr>
          <w:rFonts w:hint="cs"/>
          <w:rtl/>
        </w:rPr>
        <w:t xml:space="preserve"> در شرکت‌های محلی و استارتاپ‌ها است. برای اولین بار، سرمایه گذاران با درآمد</w:t>
      </w:r>
      <w:r w:rsidRPr="0025250D">
        <w:rPr>
          <w:rtl/>
        </w:rPr>
        <w:t xml:space="preserve"> </w:t>
      </w:r>
      <w:r w:rsidRPr="0025250D">
        <w:rPr>
          <w:rFonts w:hint="cs"/>
          <w:rtl/>
        </w:rPr>
        <w:t xml:space="preserve">متوسط و بدون اعتبار بالا، وقتی اعتماد و </w:t>
      </w:r>
      <w:r w:rsidRPr="0025250D">
        <w:rPr>
          <w:rtl/>
        </w:rPr>
        <w:t>آینده‌نگاری</w:t>
      </w:r>
      <w:r w:rsidRPr="0025250D">
        <w:rPr>
          <w:rFonts w:hint="cs"/>
          <w:rtl/>
        </w:rPr>
        <w:t xml:space="preserve"> لازم را به دست آورند، در شرکت‌های کوچک از طریق پلتفرم‌های آنلاین </w:t>
      </w:r>
      <w:r w:rsidR="00F50EB4" w:rsidRPr="0025250D">
        <w:rPr>
          <w:rFonts w:hint="cs"/>
          <w:rtl/>
        </w:rPr>
        <w:t>سرمایه‌گذاری</w:t>
      </w:r>
      <w:r w:rsidRPr="0025250D">
        <w:rPr>
          <w:rFonts w:hint="cs"/>
          <w:rtl/>
        </w:rPr>
        <w:t xml:space="preserve"> می‌کنند. بخش زیادی از این کارآفرینی شکست خواهد خورد، </w:t>
      </w:r>
      <w:r w:rsidR="007118DE" w:rsidRPr="0025250D">
        <w:rPr>
          <w:rFonts w:hint="cs"/>
          <w:rtl/>
        </w:rPr>
        <w:t>همان‌طور</w:t>
      </w:r>
      <w:r w:rsidRPr="0025250D">
        <w:rPr>
          <w:rFonts w:hint="cs"/>
          <w:rtl/>
        </w:rPr>
        <w:t xml:space="preserve"> که همیشه این اتفاق رخ می‌دهد، اما اقتصاد هر از گاهی برای انتخاب برندگان بعدی و پیشرفت کردن، هم به تنوع و هم به شکست نیاز دارد.</w:t>
      </w:r>
    </w:p>
    <w:p w14:paraId="172E6CF0" w14:textId="35D7644D" w:rsidR="00537CC8" w:rsidRPr="0025250D" w:rsidRDefault="00537CC8" w:rsidP="00537CC8">
      <w:pPr>
        <w:rPr>
          <w:rtl/>
        </w:rPr>
      </w:pPr>
      <w:r w:rsidRPr="0025250D">
        <w:rPr>
          <w:rFonts w:hint="cs"/>
          <w:rtl/>
        </w:rPr>
        <w:t xml:space="preserve">گفتیم که درست </w:t>
      </w:r>
      <w:r w:rsidR="007118DE" w:rsidRPr="0025250D">
        <w:rPr>
          <w:rFonts w:hint="cs"/>
          <w:rtl/>
        </w:rPr>
        <w:t>همان‌طور</w:t>
      </w:r>
      <w:r w:rsidRPr="0025250D">
        <w:rPr>
          <w:rFonts w:hint="cs"/>
          <w:rtl/>
        </w:rPr>
        <w:t xml:space="preserve"> که رنسانس اروپا (که به معنای واقعی تولد دوباره اروپا بود) زمینه لازم برای علوم ما را ایجاد کرد، ما امروزه در یک دوره رنسانس در </w:t>
      </w:r>
      <w:r w:rsidRPr="0025250D">
        <w:rPr>
          <w:rtl/>
        </w:rPr>
        <w:t>آینده‌نگاری</w:t>
      </w:r>
      <w:r w:rsidRPr="0025250D">
        <w:rPr>
          <w:rFonts w:hint="cs"/>
          <w:rtl/>
        </w:rPr>
        <w:t xml:space="preserve"> قرار داریم. این دوره به یک روشنگری جدید کمک خواهد کرد. در میان ثمرات این روشنگری مجموعه بهتری از علوم اجتماعی و سخت </w:t>
      </w:r>
      <w:r w:rsidRPr="0025250D">
        <w:rPr>
          <w:rtl/>
        </w:rPr>
        <w:t>آینده‌نگاری</w:t>
      </w:r>
      <w:r w:rsidRPr="0025250D">
        <w:rPr>
          <w:vertAlign w:val="superscript"/>
          <w:rtl/>
        </w:rPr>
        <w:footnoteReference w:id="2916"/>
      </w:r>
      <w:r w:rsidRPr="0025250D">
        <w:rPr>
          <w:rFonts w:hint="cs"/>
          <w:rtl/>
        </w:rPr>
        <w:t xml:space="preserve"> وجود خواهد داشت که یکی از چشم‌اندازهای بلند مدت و قدیمی محققین بسیاری در زمینه ماست. تاریخ به ما می‌گوید که روش علمی یک روش خاص نیست، بلکه مجموعه متنوعی از روش‌ها و مدل هاست که اولین مورد آن‌ها در قرن 17 پدیدار شد و در نهایت به مجموعه‌ای از تشکیلات رسید و بالغ شد که امروزه آن را علم می‌نامیم.</w:t>
      </w:r>
    </w:p>
    <w:p w14:paraId="6B15F892" w14:textId="6FBB9C80" w:rsidR="00537CC8" w:rsidRPr="0025250D" w:rsidRDefault="00537CC8" w:rsidP="00537CC8">
      <w:pPr>
        <w:rPr>
          <w:rtl/>
        </w:rPr>
      </w:pPr>
      <w:r w:rsidRPr="0025250D">
        <w:rPr>
          <w:rFonts w:hint="cs"/>
          <w:rtl/>
        </w:rPr>
        <w:t xml:space="preserve">به همین شکل، بیان </w:t>
      </w:r>
      <w:r w:rsidR="00950293" w:rsidRPr="0025250D">
        <w:rPr>
          <w:rFonts w:hint="cs"/>
          <w:rtl/>
        </w:rPr>
        <w:t>کرده‌ایم</w:t>
      </w:r>
      <w:r w:rsidRPr="0025250D">
        <w:rPr>
          <w:rFonts w:hint="cs"/>
          <w:rtl/>
        </w:rPr>
        <w:t xml:space="preserve"> که </w:t>
      </w:r>
      <w:r w:rsidRPr="0025250D">
        <w:rPr>
          <w:rtl/>
        </w:rPr>
        <w:t>آینده‌نگاری</w:t>
      </w:r>
      <w:r w:rsidRPr="0025250D">
        <w:rPr>
          <w:rFonts w:hint="cs"/>
          <w:rtl/>
        </w:rPr>
        <w:t xml:space="preserve"> تنها مجموعه‌ای کوچک از روش‌ها نیست، بلکه مجموعه متنوعی از نظریه‌ها، فرضیات، مدل‌ها، </w:t>
      </w:r>
      <w:r w:rsidR="00B13F65" w:rsidRPr="0025250D">
        <w:rPr>
          <w:rFonts w:hint="cs"/>
          <w:rtl/>
        </w:rPr>
        <w:t>چارچوب</w:t>
      </w:r>
      <w:r w:rsidRPr="0025250D">
        <w:rPr>
          <w:rFonts w:hint="cs"/>
          <w:rtl/>
        </w:rPr>
        <w:t xml:space="preserve">‌ها و روش‌ها است که می‌تواند، شاید در میانه‌های قرن 21 بالغ شده و به مجموعه‌ای بزرگ و صحت سنجی شده به صورت تجربی از فعالیت‌های صنعتی و حرفه‌ای و مجموعه‌ای از علوم کمی و کیفی پایه </w:t>
      </w:r>
      <w:r w:rsidRPr="0025250D">
        <w:rPr>
          <w:rFonts w:cs="Times New Roman" w:hint="cs"/>
          <w:rtl/>
        </w:rPr>
        <w:t>–</w:t>
      </w:r>
      <w:r w:rsidRPr="0025250D">
        <w:rPr>
          <w:rFonts w:hint="cs"/>
          <w:rtl/>
        </w:rPr>
        <w:t xml:space="preserve"> رشته‌هایی که می‌توانند تا حد مناسبی جستجوگر، پ</w:t>
      </w:r>
      <w:r w:rsidR="009537CD" w:rsidRPr="0025250D">
        <w:rPr>
          <w:rFonts w:hint="cs"/>
          <w:rtl/>
        </w:rPr>
        <w:t>یش‌</w:t>
      </w:r>
      <w:r w:rsidRPr="0025250D">
        <w:rPr>
          <w:rFonts w:hint="cs"/>
          <w:rtl/>
        </w:rPr>
        <w:t xml:space="preserve">انگاری کننده نوآور و </w:t>
      </w:r>
      <w:r w:rsidR="00701E03" w:rsidRPr="0025250D">
        <w:rPr>
          <w:rFonts w:hint="cs"/>
          <w:rtl/>
        </w:rPr>
        <w:t>راهبردی</w:t>
      </w:r>
      <w:r w:rsidRPr="0025250D">
        <w:rPr>
          <w:rFonts w:hint="cs"/>
          <w:rtl/>
        </w:rPr>
        <w:t xml:space="preserve"> (مهارت‌های </w:t>
      </w:r>
      <w:r w:rsidRPr="0025250D">
        <w:t>LAIS</w:t>
      </w:r>
      <w:r w:rsidRPr="0025250D">
        <w:rPr>
          <w:rFonts w:hint="cs"/>
          <w:rtl/>
        </w:rPr>
        <w:t xml:space="preserve">) باشند - تبدیل شود. جامعه به عنوان یک </w:t>
      </w:r>
      <w:r w:rsidR="008D6F97" w:rsidRPr="0025250D">
        <w:rPr>
          <w:rFonts w:hint="cs"/>
          <w:rtl/>
        </w:rPr>
        <w:t>سامانه‌</w:t>
      </w:r>
      <w:r w:rsidRPr="0025250D">
        <w:rPr>
          <w:rFonts w:hint="cs"/>
          <w:rtl/>
        </w:rPr>
        <w:t xml:space="preserve"> پیچیده می‌تواند از دید رشته‌های آکادمیک گسترده ای، از جمله انسان شناسی، زیست شناسی، شیمی، علوم شناختی، توسعه، اقتصاد، مهندسی، تکامل، پیچیدگی، محاسبات، </w:t>
      </w:r>
      <w:r w:rsidRPr="0025250D">
        <w:rPr>
          <w:rtl/>
        </w:rPr>
        <w:t>سا</w:t>
      </w:r>
      <w:r w:rsidRPr="0025250D">
        <w:rPr>
          <w:rFonts w:hint="cs"/>
          <w:rtl/>
        </w:rPr>
        <w:t>ی</w:t>
      </w:r>
      <w:r w:rsidRPr="0025250D">
        <w:rPr>
          <w:rFonts w:hint="eastAsia"/>
          <w:rtl/>
        </w:rPr>
        <w:t>برنت</w:t>
      </w:r>
      <w:r w:rsidRPr="0025250D">
        <w:rPr>
          <w:rFonts w:hint="cs"/>
          <w:rtl/>
        </w:rPr>
        <w:t>ی</w:t>
      </w:r>
      <w:r w:rsidRPr="0025250D">
        <w:rPr>
          <w:rFonts w:hint="eastAsia"/>
          <w:rtl/>
        </w:rPr>
        <w:t>ک</w:t>
      </w:r>
      <w:r w:rsidRPr="0025250D">
        <w:rPr>
          <w:rFonts w:hint="cs"/>
          <w:rtl/>
        </w:rPr>
        <w:t xml:space="preserve">، نظریه اطلاعات، زبان شناسی، علوم فیزیکی، روانشناسی، معناشناسی، آمار و نظریه </w:t>
      </w:r>
      <w:r w:rsidR="008D6F97" w:rsidRPr="0025250D">
        <w:rPr>
          <w:rFonts w:hint="cs"/>
          <w:rtl/>
        </w:rPr>
        <w:t>سامانه‌</w:t>
      </w:r>
      <w:r w:rsidRPr="0025250D">
        <w:rPr>
          <w:rFonts w:hint="cs"/>
          <w:rtl/>
        </w:rPr>
        <w:t xml:space="preserve">‌ها که برخی از این موارد هستند، تحلیل شود. این موارد و دیگر علوم در حال بهبود روش‌ها و مدل‌های خود هستند و به شکل اجتناب ناپذیری ابزارهای بهتری برای تحقیق، </w:t>
      </w:r>
      <w:r w:rsidR="00923DDB" w:rsidRPr="0025250D">
        <w:rPr>
          <w:rFonts w:hint="cs"/>
          <w:rtl/>
        </w:rPr>
        <w:t>پیش‌انگاری</w:t>
      </w:r>
      <w:r w:rsidRPr="0025250D">
        <w:rPr>
          <w:rFonts w:hint="cs"/>
          <w:rtl/>
        </w:rPr>
        <w:t xml:space="preserve">، نوآوری و رهبری </w:t>
      </w:r>
      <w:r w:rsidR="008D6F97" w:rsidRPr="0025250D">
        <w:rPr>
          <w:rFonts w:hint="cs"/>
          <w:rtl/>
        </w:rPr>
        <w:t>سامانه‌</w:t>
      </w:r>
      <w:r w:rsidRPr="0025250D">
        <w:rPr>
          <w:rFonts w:hint="cs"/>
          <w:rtl/>
        </w:rPr>
        <w:t xml:space="preserve">‌های اجتماعی به ما می‌دهند. همچنین </w:t>
      </w:r>
      <w:r w:rsidRPr="0025250D">
        <w:rPr>
          <w:rtl/>
        </w:rPr>
        <w:t>آینده‌نگاری</w:t>
      </w:r>
      <w:r w:rsidRPr="0025250D">
        <w:rPr>
          <w:rFonts w:hint="cs"/>
          <w:rtl/>
        </w:rPr>
        <w:t>، به عنوان یک فرایند متنوع و حیاتی انسانی، در نهایت به مجموعه متنوعی از رشته‌های عملی و آکادمیک به خوبی شناخته شده تبدیل می‌شود.</w:t>
      </w:r>
    </w:p>
    <w:p w14:paraId="44EDDA85" w14:textId="04BF9137" w:rsidR="00537CC8" w:rsidRPr="0025250D" w:rsidRDefault="00537CC8" w:rsidP="00537CC8">
      <w:pPr>
        <w:rPr>
          <w:rtl/>
        </w:rPr>
      </w:pPr>
      <w:r w:rsidRPr="0025250D">
        <w:rPr>
          <w:rFonts w:hint="cs"/>
          <w:rtl/>
        </w:rPr>
        <w:t xml:space="preserve">با رشد پیچیدگی اجتماعی، توسعه‌های بسیاری زمینه ما را در مسیری علمی‌تر و کمی‌تر هدایت می‌کنند. واضح‌ترین موارد پیشرفت‌های </w:t>
      </w:r>
      <w:r w:rsidR="007B3B35" w:rsidRPr="0025250D">
        <w:rPr>
          <w:rFonts w:hint="cs"/>
          <w:rtl/>
        </w:rPr>
        <w:t>شتاب‌گیر</w:t>
      </w:r>
      <w:r w:rsidRPr="0025250D">
        <w:rPr>
          <w:rFonts w:hint="cs"/>
          <w:rtl/>
        </w:rPr>
        <w:t xml:space="preserve">نده در فناوری اطلاعات از میانه‌های دهه 1990، از جمله ظهور اینترنت، شبیه سازی‌ها، نقشه‌ها، حسگرها، فناوری موبایل و فناوری‌های پوشیدنی، شبکه‌های اجتماعی، نرم افزار سازمانی، محاسبات ابری و بسیاری از موارد دیگر هستند. این توسعه‌های جدید دائمی در توانایی‌های محاسباتی و همکاری گونه ما، محیطی ایجاد می‌کنند که در آن بخش بسیار بیش‌تری از جهان کمّی سازی شده، تصویر سازی شده، مبتنی بر شواهد شده و از نظر آماری قابل </w:t>
      </w:r>
      <w:r w:rsidR="00D92F6E" w:rsidRPr="0025250D">
        <w:rPr>
          <w:rFonts w:hint="cs"/>
          <w:rtl/>
        </w:rPr>
        <w:t>پیش‌بین</w:t>
      </w:r>
      <w:r w:rsidRPr="0025250D">
        <w:rPr>
          <w:rFonts w:hint="cs"/>
          <w:rtl/>
        </w:rPr>
        <w:t xml:space="preserve">ی </w:t>
      </w:r>
      <w:r w:rsidR="009537CD" w:rsidRPr="0025250D">
        <w:rPr>
          <w:rFonts w:hint="cs"/>
          <w:rtl/>
        </w:rPr>
        <w:t>می‌باشد</w:t>
      </w:r>
      <w:r w:rsidRPr="0025250D">
        <w:rPr>
          <w:rFonts w:hint="cs"/>
          <w:rtl/>
        </w:rPr>
        <w:t>. ما حتی شاهد توسعه‌های امیدوارکننده‌ای در اقتصاد</w:t>
      </w:r>
      <w:r w:rsidR="009537CD" w:rsidRPr="0025250D">
        <w:rPr>
          <w:rFonts w:hint="cs"/>
          <w:rtl/>
        </w:rPr>
        <w:t xml:space="preserve"> به عنوان</w:t>
      </w:r>
      <w:r w:rsidRPr="0025250D">
        <w:rPr>
          <w:rFonts w:hint="cs"/>
          <w:rtl/>
        </w:rPr>
        <w:t xml:space="preserve"> یک علم اجتماعی که بسیار قابل </w:t>
      </w:r>
      <w:r w:rsidR="00D92F6E" w:rsidRPr="0025250D">
        <w:rPr>
          <w:rFonts w:hint="cs"/>
          <w:rtl/>
        </w:rPr>
        <w:t>پیش‌بین</w:t>
      </w:r>
      <w:r w:rsidRPr="0025250D">
        <w:rPr>
          <w:rFonts w:hint="cs"/>
          <w:rtl/>
        </w:rPr>
        <w:t xml:space="preserve">ی‌تر از اکنون خواهد شد، هستیم که آغاز به دیدین و مطالعه تغییر </w:t>
      </w:r>
      <w:r w:rsidR="007B3B35" w:rsidRPr="0025250D">
        <w:rPr>
          <w:rFonts w:hint="cs"/>
          <w:rtl/>
        </w:rPr>
        <w:t>شتاب‌گیر</w:t>
      </w:r>
      <w:r w:rsidRPr="0025250D">
        <w:rPr>
          <w:rFonts w:hint="cs"/>
          <w:rtl/>
        </w:rPr>
        <w:t xml:space="preserve">نده و مدلسازی بهره وری فنی متراکم‌تر و </w:t>
      </w:r>
      <w:r w:rsidR="000B4A71" w:rsidRPr="0025250D">
        <w:rPr>
          <w:rFonts w:hint="cs"/>
          <w:rtl/>
        </w:rPr>
        <w:t>مادی‌زدایی</w:t>
      </w:r>
      <w:r w:rsidRPr="0025250D">
        <w:rPr>
          <w:rFonts w:hint="cs"/>
          <w:rtl/>
        </w:rPr>
        <w:t xml:space="preserve"> شده‌تر از همیشه بشر خواهد کرد. کتاب دومین عصر ماشینی</w:t>
      </w:r>
      <w:r w:rsidRPr="0025250D">
        <w:rPr>
          <w:vertAlign w:val="superscript"/>
          <w:rtl/>
        </w:rPr>
        <w:footnoteReference w:id="2917"/>
      </w:r>
      <w:r w:rsidRPr="0025250D">
        <w:rPr>
          <w:rFonts w:hint="cs"/>
          <w:rtl/>
        </w:rPr>
        <w:t xml:space="preserve"> اثر </w:t>
      </w:r>
      <w:r w:rsidRPr="0025250D">
        <w:rPr>
          <w:rtl/>
        </w:rPr>
        <w:t>بر</w:t>
      </w:r>
      <w:r w:rsidRPr="0025250D">
        <w:rPr>
          <w:rFonts w:hint="cs"/>
          <w:rtl/>
        </w:rPr>
        <w:t>ی</w:t>
      </w:r>
      <w:r w:rsidRPr="0025250D">
        <w:rPr>
          <w:rFonts w:hint="eastAsia"/>
          <w:rtl/>
        </w:rPr>
        <w:t>نجولفسون</w:t>
      </w:r>
      <w:r w:rsidRPr="0025250D">
        <w:rPr>
          <w:rFonts w:hint="cs"/>
          <w:rtl/>
        </w:rPr>
        <w:t xml:space="preserve"> و</w:t>
      </w:r>
      <w:r w:rsidRPr="0025250D">
        <w:rPr>
          <w:rtl/>
        </w:rPr>
        <w:t xml:space="preserve"> مک آف</w:t>
      </w:r>
      <w:r w:rsidRPr="0025250D">
        <w:rPr>
          <w:rFonts w:hint="cs"/>
          <w:rtl/>
        </w:rPr>
        <w:t>ی</w:t>
      </w:r>
      <w:r w:rsidRPr="0025250D">
        <w:rPr>
          <w:vertAlign w:val="superscript"/>
          <w:rtl/>
        </w:rPr>
        <w:footnoteReference w:id="2918"/>
      </w:r>
      <w:r w:rsidRPr="0025250D">
        <w:rPr>
          <w:rFonts w:hint="cs"/>
          <w:rtl/>
        </w:rPr>
        <w:t xml:space="preserve"> در سال 2014، کتاب عصر نمایی</w:t>
      </w:r>
      <w:r w:rsidRPr="0025250D">
        <w:rPr>
          <w:vertAlign w:val="superscript"/>
          <w:rtl/>
        </w:rPr>
        <w:footnoteReference w:id="2919"/>
      </w:r>
      <w:r w:rsidRPr="0025250D">
        <w:rPr>
          <w:rFonts w:hint="cs"/>
          <w:rtl/>
        </w:rPr>
        <w:t xml:space="preserve"> اثر </w:t>
      </w:r>
      <w:r w:rsidR="00D92F6E" w:rsidRPr="0025250D">
        <w:rPr>
          <w:rFonts w:hint="cs"/>
          <w:rtl/>
        </w:rPr>
        <w:t>آینده‌پژوه</w:t>
      </w:r>
      <w:r w:rsidRPr="0025250D">
        <w:rPr>
          <w:rFonts w:hint="cs"/>
          <w:rtl/>
        </w:rPr>
        <w:t xml:space="preserve"> </w:t>
      </w:r>
      <w:r w:rsidRPr="0025250D">
        <w:rPr>
          <w:rtl/>
        </w:rPr>
        <w:t>عظ</w:t>
      </w:r>
      <w:r w:rsidRPr="0025250D">
        <w:rPr>
          <w:rFonts w:hint="cs"/>
          <w:rtl/>
        </w:rPr>
        <w:t>ی</w:t>
      </w:r>
      <w:r w:rsidRPr="0025250D">
        <w:rPr>
          <w:rFonts w:hint="eastAsia"/>
          <w:rtl/>
        </w:rPr>
        <w:t>م</w:t>
      </w:r>
      <w:r w:rsidRPr="0025250D">
        <w:rPr>
          <w:rtl/>
        </w:rPr>
        <w:t xml:space="preserve"> ازهر</w:t>
      </w:r>
      <w:r w:rsidRPr="0025250D">
        <w:rPr>
          <w:vertAlign w:val="superscript"/>
          <w:rtl/>
        </w:rPr>
        <w:footnoteReference w:id="2920"/>
      </w:r>
      <w:r w:rsidRPr="0025250D">
        <w:rPr>
          <w:rFonts w:hint="cs"/>
          <w:rtl/>
        </w:rPr>
        <w:t xml:space="preserve"> در سال 2021 و کتاب دوم این راهنما را برای اطلاعات بیش‌تر درمورد این داستان نوظهور هیجان انگیز ببینید.</w:t>
      </w:r>
    </w:p>
    <w:p w14:paraId="73E5064A" w14:textId="15BD8681" w:rsidR="00537CC8" w:rsidRPr="0025250D" w:rsidRDefault="00537CC8" w:rsidP="00537CC8">
      <w:pPr>
        <w:rPr>
          <w:rtl/>
        </w:rPr>
      </w:pPr>
      <w:r w:rsidRPr="0025250D">
        <w:rPr>
          <w:rFonts w:hint="cs"/>
          <w:rtl/>
        </w:rPr>
        <w:t xml:space="preserve">تاریخ فعالیت </w:t>
      </w:r>
      <w:r w:rsidRPr="0025250D">
        <w:rPr>
          <w:rtl/>
        </w:rPr>
        <w:t>آینده‌نگاری</w:t>
      </w:r>
      <w:r w:rsidRPr="0025250D">
        <w:rPr>
          <w:rFonts w:hint="cs"/>
          <w:rtl/>
        </w:rPr>
        <w:t xml:space="preserve"> یکی از مکاتب فکری است که هر یک </w:t>
      </w:r>
      <w:r w:rsidR="00A20CCB" w:rsidRPr="0025250D">
        <w:rPr>
          <w:rFonts w:hint="cs"/>
          <w:rtl/>
        </w:rPr>
        <w:t>جهان‌بینی</w:t>
      </w:r>
      <w:r w:rsidRPr="0025250D">
        <w:rPr>
          <w:rFonts w:hint="cs"/>
          <w:rtl/>
        </w:rPr>
        <w:t xml:space="preserve">‌ها، مدل‌ها و چشم‌اندازهای متناقض خود از آینده را دارند. ما این مکاتب فکری و تناقضات تاریخی آن‌ها را در پیوست 1 </w:t>
      </w:r>
      <w:r w:rsidRPr="0025250D">
        <w:t>BPF</w:t>
      </w:r>
      <w:r w:rsidRPr="0025250D">
        <w:rPr>
          <w:rFonts w:hint="cs"/>
          <w:rtl/>
        </w:rPr>
        <w:t xml:space="preserve"> خلاصه می‌کنیم. بیش‌تر عدم توافق‌ها سالم هستند و به هر مکتب فکری برای شفاف سازی فرضیات، نظریه‌ها و </w:t>
      </w:r>
      <w:r w:rsidR="00D92F6E" w:rsidRPr="0025250D">
        <w:rPr>
          <w:rFonts w:hint="cs"/>
          <w:rtl/>
        </w:rPr>
        <w:t>پیش‌بین</w:t>
      </w:r>
      <w:r w:rsidRPr="0025250D">
        <w:rPr>
          <w:rFonts w:hint="cs"/>
          <w:rtl/>
        </w:rPr>
        <w:t xml:space="preserve">ی‌ها فشار ایجاد می‌کنند و به دنبال آزمایش‌ها و شواهدی هستند که عدم توافقات آن‌ها را حل و فصل کنند. به این طریق، گام به گام، زمینه </w:t>
      </w:r>
      <w:r w:rsidR="009537CD" w:rsidRPr="0025250D">
        <w:rPr>
          <w:rFonts w:hint="cs"/>
          <w:rtl/>
        </w:rPr>
        <w:t>آینده‌نگاری</w:t>
      </w:r>
      <w:r w:rsidRPr="0025250D">
        <w:rPr>
          <w:rFonts w:hint="cs"/>
          <w:rtl/>
        </w:rPr>
        <w:t xml:space="preserve"> پیشرفت می‌کند.</w:t>
      </w:r>
    </w:p>
    <w:p w14:paraId="342F4D41" w14:textId="77777777" w:rsidR="00537CC8" w:rsidRPr="0025250D" w:rsidRDefault="00537CC8" w:rsidP="00537CC8">
      <w:pPr>
        <w:rPr>
          <w:rtl/>
        </w:rPr>
      </w:pPr>
    </w:p>
    <w:p w14:paraId="15B38092" w14:textId="77777777" w:rsidR="00537CC8" w:rsidRPr="0025250D" w:rsidRDefault="00537CC8" w:rsidP="00537CC8">
      <w:pPr>
        <w:rPr>
          <w:rtl/>
        </w:rPr>
      </w:pPr>
    </w:p>
    <w:p w14:paraId="22581F3B" w14:textId="77777777" w:rsidR="00537CC8" w:rsidRPr="0025250D" w:rsidRDefault="00537CC8" w:rsidP="00537CC8">
      <w:pPr>
        <w:rPr>
          <w:rtl/>
        </w:rPr>
      </w:pPr>
    </w:p>
    <w:p w14:paraId="29B2EB22" w14:textId="77777777" w:rsidR="00537CC8" w:rsidRPr="0025250D" w:rsidRDefault="00537CC8" w:rsidP="00537CC8">
      <w:pPr>
        <w:rPr>
          <w:rtl/>
        </w:rPr>
      </w:pPr>
    </w:p>
    <w:p w14:paraId="4FF342E1" w14:textId="77777777" w:rsidR="00537CC8" w:rsidRPr="0025250D" w:rsidRDefault="00537CC8" w:rsidP="00537CC8">
      <w:pPr>
        <w:rPr>
          <w:rtl/>
        </w:rPr>
      </w:pPr>
    </w:p>
    <w:p w14:paraId="143F34BF" w14:textId="77777777" w:rsidR="00537CC8" w:rsidRPr="0025250D" w:rsidRDefault="00537CC8" w:rsidP="00EF26F0">
      <w:pPr>
        <w:pStyle w:val="Heading2"/>
        <w:rPr>
          <w:rtl/>
        </w:rPr>
      </w:pPr>
      <w:bookmarkStart w:id="74" w:name="_Toc127831339"/>
      <w:r w:rsidRPr="0025250D">
        <w:rPr>
          <w:rFonts w:hint="cs"/>
          <w:rtl/>
        </w:rPr>
        <w:t xml:space="preserve">آینده </w:t>
      </w:r>
      <w:r w:rsidRPr="0025250D">
        <w:rPr>
          <w:rtl/>
        </w:rPr>
        <w:t>آینده‌نگاری</w:t>
      </w:r>
      <w:r w:rsidRPr="0025250D">
        <w:rPr>
          <w:rFonts w:hint="cs"/>
          <w:rtl/>
        </w:rPr>
        <w:t>: هشت روند مثبت</w:t>
      </w:r>
      <w:bookmarkEnd w:id="74"/>
    </w:p>
    <w:p w14:paraId="57D73A62" w14:textId="77777777" w:rsidR="00537CC8" w:rsidRPr="0025250D" w:rsidRDefault="00537CC8" w:rsidP="00A07BC9">
      <w:pPr>
        <w:jc w:val="center"/>
        <w:rPr>
          <w:rtl/>
        </w:rPr>
      </w:pPr>
      <w:r w:rsidRPr="0025250D">
        <w:rPr>
          <w:noProof/>
          <w:rtl/>
          <w:lang w:bidi="ar-SA"/>
        </w:rPr>
        <w:drawing>
          <wp:inline distT="0" distB="0" distL="0" distR="0" wp14:anchorId="3E982C18" wp14:editId="28B798B7">
            <wp:extent cx="4685402" cy="2418715"/>
            <wp:effectExtent l="0" t="0" r="1270" b="635"/>
            <wp:docPr id="164" name="Picture 164" descr="D:\کار\مستقل\3 ( ترجمه ی دانشگاه تهران  )\Introduction to Foresight\part8\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کار\مستقل\3 ( ترجمه ی دانشگاه تهران  )\Introduction to Foresight\part8\62.png"/>
                    <pic:cNvPicPr>
                      <a:picLocks noChangeAspect="1" noChangeArrowheads="1"/>
                    </pic:cNvPicPr>
                  </pic:nvPicPr>
                  <pic:blipFill rotWithShape="1">
                    <a:blip r:embed="rId272" cstate="screen">
                      <a:extLst>
                        <a:ext uri="{BEBA8EAE-BF5A-486C-A8C5-ECC9F3942E4B}">
                          <a14:imgProps xmlns:a14="http://schemas.microsoft.com/office/drawing/2010/main">
                            <a14:imgLayer r:embed="rId273">
                              <a14:imgEffect>
                                <a14:saturation sat="0"/>
                              </a14:imgEffect>
                            </a14:imgLayer>
                          </a14:imgProps>
                        </a:ext>
                        <a:ext uri="{28A0092B-C50C-407E-A947-70E740481C1C}">
                          <a14:useLocalDpi xmlns:a14="http://schemas.microsoft.com/office/drawing/2010/main"/>
                        </a:ext>
                      </a:extLst>
                    </a:blip>
                    <a:srcRect/>
                    <a:stretch/>
                  </pic:blipFill>
                  <pic:spPr bwMode="auto">
                    <a:xfrm>
                      <a:off x="0" y="0"/>
                      <a:ext cx="4690650" cy="2421424"/>
                    </a:xfrm>
                    <a:prstGeom prst="rect">
                      <a:avLst/>
                    </a:prstGeom>
                    <a:noFill/>
                    <a:ln>
                      <a:noFill/>
                    </a:ln>
                    <a:extLst>
                      <a:ext uri="{53640926-AAD7-44D8-BBD7-CCE9431645EC}">
                        <a14:shadowObscured xmlns:a14="http://schemas.microsoft.com/office/drawing/2010/main"/>
                      </a:ext>
                    </a:extLst>
                  </pic:spPr>
                </pic:pic>
              </a:graphicData>
            </a:graphic>
          </wp:inline>
        </w:drawing>
      </w:r>
    </w:p>
    <w:p w14:paraId="76E7A7E0" w14:textId="22DDBA9D" w:rsidR="00537CC8" w:rsidRPr="0025250D" w:rsidRDefault="00537CC8" w:rsidP="00537CC8">
      <w:pPr>
        <w:rPr>
          <w:rtl/>
        </w:rPr>
      </w:pPr>
      <w:r w:rsidRPr="0025250D">
        <w:rPr>
          <w:rtl/>
        </w:rPr>
        <w:t>آینده‌نگاری</w:t>
      </w:r>
      <w:r w:rsidRPr="0025250D">
        <w:rPr>
          <w:rFonts w:hint="cs"/>
          <w:rtl/>
        </w:rPr>
        <w:t xml:space="preserve"> روزی برای پیشرفت و ترقی انسان ضروری شناخته خواهد شد و از ابتدای تولد به شکل ترکیب متوازنی از هنر، علم و عمل آموزش داده خواهد شد. </w:t>
      </w:r>
      <w:r w:rsidRPr="0025250D">
        <w:rPr>
          <w:rtl/>
        </w:rPr>
        <w:t>آینده‌نگاری</w:t>
      </w:r>
      <w:r w:rsidRPr="0025250D">
        <w:rPr>
          <w:rFonts w:hint="cs"/>
          <w:rtl/>
        </w:rPr>
        <w:t xml:space="preserve"> باید به دنبال این باشد که مبتنی بر شواهد بوده و بسیار بیش‌تر مبتنی بر چگونگی کارکرد جهان و مغز انسان باشد. ما پیشنهاد </w:t>
      </w:r>
      <w:r w:rsidR="00950293" w:rsidRPr="0025250D">
        <w:rPr>
          <w:rFonts w:hint="cs"/>
          <w:rtl/>
        </w:rPr>
        <w:t>کرده‌ایم</w:t>
      </w:r>
      <w:r w:rsidRPr="0025250D">
        <w:rPr>
          <w:rFonts w:hint="cs"/>
          <w:rtl/>
        </w:rPr>
        <w:t xml:space="preserve"> که مدل‌های نمایی و تکاملی-توسعه ای، در نسخه‌هایی بسیار دقیق‌تر از امروز، عناصری ضروری برای این </w:t>
      </w:r>
      <w:r w:rsidR="00B124DE" w:rsidRPr="0025250D">
        <w:rPr>
          <w:rFonts w:hint="cs"/>
          <w:rtl/>
        </w:rPr>
        <w:t>پایه‌گذار</w:t>
      </w:r>
      <w:r w:rsidRPr="0025250D">
        <w:rPr>
          <w:rFonts w:hint="cs"/>
          <w:rtl/>
        </w:rPr>
        <w:t xml:space="preserve">ی به همراه عناصر متعدد دیگری که امروزه تنها می‌توانیم در مورد آن‌ها </w:t>
      </w:r>
      <w:r w:rsidR="00F662B0" w:rsidRPr="0025250D">
        <w:rPr>
          <w:rFonts w:hint="cs"/>
          <w:rtl/>
        </w:rPr>
        <w:t>گمانه‌زنی</w:t>
      </w:r>
      <w:r w:rsidRPr="0025250D">
        <w:rPr>
          <w:rFonts w:hint="cs"/>
          <w:rtl/>
        </w:rPr>
        <w:t xml:space="preserve"> کنیم، خواهند بود. خوشبختانه، می‌توانیم به روند‌های توسعه‌ای متعددی اشاره کنیم که ما را به سمت این آینده مثبت هدایت می‌کنند.</w:t>
      </w:r>
    </w:p>
    <w:p w14:paraId="30203A41" w14:textId="06CDFB08" w:rsidR="00537CC8" w:rsidRPr="0025250D" w:rsidRDefault="00537CC8" w:rsidP="00537CC8">
      <w:pPr>
        <w:rPr>
          <w:rtl/>
        </w:rPr>
      </w:pPr>
      <w:r w:rsidRPr="0025250D">
        <w:rPr>
          <w:rFonts w:hint="cs"/>
          <w:rtl/>
        </w:rPr>
        <w:t xml:space="preserve">بیایید اکنون نگاهی به هشت روند موجود در انجام </w:t>
      </w:r>
      <w:r w:rsidRPr="0025250D">
        <w:rPr>
          <w:rtl/>
        </w:rPr>
        <w:t>آینده‌نگاری</w:t>
      </w:r>
      <w:r w:rsidRPr="0025250D">
        <w:rPr>
          <w:rFonts w:hint="cs"/>
          <w:rtl/>
        </w:rPr>
        <w:t xml:space="preserve"> داشته باشیم که طرحی تقریبی از نوع جدیدی از کار </w:t>
      </w:r>
      <w:r w:rsidRPr="0025250D">
        <w:rPr>
          <w:rtl/>
        </w:rPr>
        <w:t>آینده‌نگاری</w:t>
      </w:r>
      <w:r w:rsidRPr="0025250D">
        <w:rPr>
          <w:rFonts w:hint="cs"/>
          <w:rtl/>
        </w:rPr>
        <w:t xml:space="preserve"> که امروزه انجام می‌شود، ارائه می‌دهند. در اینجا بر روند‌هایی که نسخه‌ای مثبت از آینده زمینه </w:t>
      </w:r>
      <w:r w:rsidR="009537CD" w:rsidRPr="0025250D">
        <w:rPr>
          <w:rFonts w:hint="cs"/>
          <w:rtl/>
        </w:rPr>
        <w:t>آینده‌نگاری</w:t>
      </w:r>
      <w:r w:rsidRPr="0025250D">
        <w:rPr>
          <w:rFonts w:hint="cs"/>
          <w:rtl/>
        </w:rPr>
        <w:t xml:space="preserve"> در بیش از دو دهه آینده ارائه می‌دهند، تمرکز می‌کنیم.</w:t>
      </w:r>
    </w:p>
    <w:p w14:paraId="5F67AF72" w14:textId="77777777" w:rsidR="00537CC8" w:rsidRPr="0025250D" w:rsidRDefault="00537CC8" w:rsidP="00EF26F0">
      <w:pPr>
        <w:pStyle w:val="Heading3"/>
        <w:rPr>
          <w:rtl/>
        </w:rPr>
      </w:pPr>
      <w:r w:rsidRPr="0025250D">
        <w:rPr>
          <w:rtl/>
        </w:rPr>
        <w:t>آینده‌نگاری</w:t>
      </w:r>
      <w:r w:rsidRPr="0025250D">
        <w:rPr>
          <w:rFonts w:hint="cs"/>
          <w:rtl/>
        </w:rPr>
        <w:t xml:space="preserve"> در حال دیجیتالی شدن است</w:t>
      </w:r>
    </w:p>
    <w:p w14:paraId="27C28E78" w14:textId="03F15DB9" w:rsidR="00537CC8" w:rsidRPr="0025250D" w:rsidRDefault="00537CC8" w:rsidP="00537CC8">
      <w:pPr>
        <w:rPr>
          <w:rtl/>
        </w:rPr>
      </w:pPr>
      <w:r w:rsidRPr="0025250D">
        <w:rPr>
          <w:rFonts w:hint="cs"/>
          <w:rtl/>
        </w:rPr>
        <w:t xml:space="preserve">دیجیتالی شدن (شبیه سازی) و </w:t>
      </w:r>
      <w:r w:rsidRPr="0025250D">
        <w:rPr>
          <w:rtl/>
        </w:rPr>
        <w:t>خودکارساز</w:t>
      </w:r>
      <w:r w:rsidRPr="0025250D">
        <w:rPr>
          <w:rFonts w:hint="cs"/>
          <w:rtl/>
        </w:rPr>
        <w:t xml:space="preserve">ی (کنترل الگوریتمی) توسط فناوری‌های اطلاعاتی و ماشین‌های </w:t>
      </w:r>
      <w:r w:rsidRPr="0025250D">
        <w:rPr>
          <w:rtl/>
        </w:rPr>
        <w:t>آینده‌نگاری</w:t>
      </w:r>
      <w:r w:rsidRPr="0025250D">
        <w:rPr>
          <w:rFonts w:hint="cs"/>
          <w:rtl/>
        </w:rPr>
        <w:t xml:space="preserve"> مدرن، تعداد فزاینده‌ای از فرایند‌های جهانی ما را از نظر کمّی و کیفی از دوره‌های گذشته تاریخ بشر متفاوت می‌سازدند. با رشد و تولید انبوه کلان داده‌ها، </w:t>
      </w:r>
      <w:r w:rsidR="00274907" w:rsidRPr="0025250D">
        <w:rPr>
          <w:rFonts w:hint="cs"/>
          <w:rtl/>
        </w:rPr>
        <w:t>به‌اشتراک‌گذار</w:t>
      </w:r>
      <w:r w:rsidRPr="0025250D">
        <w:rPr>
          <w:rFonts w:hint="cs"/>
          <w:rtl/>
        </w:rPr>
        <w:t xml:space="preserve">ی اجتماعی، حسگرها، نقشه‌ها، شبیه سازی‌ها و تولید انبوه الگوریتم‌ها، روش‌ها و ابزارهای </w:t>
      </w:r>
      <w:r w:rsidRPr="0025250D">
        <w:rPr>
          <w:rtl/>
        </w:rPr>
        <w:t>آینده‌نگاری</w:t>
      </w:r>
      <w:r w:rsidRPr="0025250D">
        <w:rPr>
          <w:rFonts w:hint="cs"/>
          <w:rtl/>
        </w:rPr>
        <w:t xml:space="preserve"> جدید هوش جمعی و ماشینی در حال پدیدار شدن هستند. در سال‌های اخیر شاهد ظهور </w:t>
      </w:r>
      <w:r w:rsidRPr="0025250D">
        <w:rPr>
          <w:rtl/>
        </w:rPr>
        <w:t>تجز</w:t>
      </w:r>
      <w:r w:rsidRPr="0025250D">
        <w:rPr>
          <w:rFonts w:hint="cs"/>
          <w:rtl/>
        </w:rPr>
        <w:t>ی</w:t>
      </w:r>
      <w:r w:rsidRPr="0025250D">
        <w:rPr>
          <w:rFonts w:hint="eastAsia"/>
          <w:rtl/>
        </w:rPr>
        <w:t>ه</w:t>
      </w:r>
      <w:r w:rsidRPr="0025250D">
        <w:rPr>
          <w:rtl/>
        </w:rPr>
        <w:t xml:space="preserve"> و تحل</w:t>
      </w:r>
      <w:r w:rsidRPr="0025250D">
        <w:rPr>
          <w:rFonts w:hint="cs"/>
          <w:rtl/>
        </w:rPr>
        <w:t>ی</w:t>
      </w:r>
      <w:r w:rsidRPr="0025250D">
        <w:rPr>
          <w:rFonts w:hint="eastAsia"/>
          <w:rtl/>
        </w:rPr>
        <w:t>ل</w:t>
      </w:r>
      <w:r w:rsidRPr="0025250D">
        <w:rPr>
          <w:rtl/>
        </w:rPr>
        <w:t xml:space="preserve"> </w:t>
      </w:r>
      <w:r w:rsidR="00D92F6E" w:rsidRPr="0025250D">
        <w:rPr>
          <w:rtl/>
        </w:rPr>
        <w:t>پیش‌بین</w:t>
      </w:r>
      <w:r w:rsidRPr="0025250D">
        <w:rPr>
          <w:rFonts w:hint="cs"/>
          <w:rtl/>
        </w:rPr>
        <w:t xml:space="preserve">، مدل‌های آماری، </w:t>
      </w:r>
      <w:r w:rsidR="00BB406C" w:rsidRPr="0025250D">
        <w:rPr>
          <w:rFonts w:hint="cs"/>
          <w:rtl/>
        </w:rPr>
        <w:t>جمع‌سپاری</w:t>
      </w:r>
      <w:r w:rsidRPr="0025250D">
        <w:rPr>
          <w:rFonts w:hint="cs"/>
          <w:rtl/>
        </w:rPr>
        <w:t xml:space="preserve">/ تامین مالی جمعی و ایده پردازی، بازارهای نوآوری و </w:t>
      </w:r>
      <w:r w:rsidR="00D92F6E" w:rsidRPr="0025250D">
        <w:rPr>
          <w:rFonts w:hint="cs"/>
          <w:rtl/>
        </w:rPr>
        <w:t>پیش‌بین</w:t>
      </w:r>
      <w:r w:rsidRPr="0025250D">
        <w:rPr>
          <w:rFonts w:hint="cs"/>
          <w:rtl/>
        </w:rPr>
        <w:t xml:space="preserve">ی بوده ایم. یک </w:t>
      </w:r>
      <w:r w:rsidRPr="0025250D">
        <w:rPr>
          <w:rtl/>
        </w:rPr>
        <w:t>آینده‌نگار</w:t>
      </w:r>
      <w:r w:rsidRPr="0025250D">
        <w:rPr>
          <w:rFonts w:hint="cs"/>
          <w:rtl/>
        </w:rPr>
        <w:t xml:space="preserve"> که از </w:t>
      </w:r>
      <w:r w:rsidR="00B56611" w:rsidRPr="0025250D">
        <w:rPr>
          <w:rFonts w:hint="cs"/>
          <w:rtl/>
        </w:rPr>
        <w:t>شتاب‌گیری</w:t>
      </w:r>
      <w:r w:rsidRPr="0025250D">
        <w:rPr>
          <w:rFonts w:hint="cs"/>
          <w:rtl/>
        </w:rPr>
        <w:t xml:space="preserve"> آگاه باشد، می‌داند که این موارد و دیگر فعالیت‌های مبتنی بر </w:t>
      </w:r>
      <w:r w:rsidRPr="0025250D">
        <w:t>D&amp;D</w:t>
      </w:r>
      <w:r w:rsidRPr="0025250D">
        <w:rPr>
          <w:rFonts w:hint="cs"/>
          <w:rtl/>
        </w:rPr>
        <w:t xml:space="preserve"> برخی از قدرتمند‌ترین اهرم‌های تغییر خواهند بود که در کار ما استفاده می‌شوند. وقتی مرزهای این موارد و دیگر روندهای توسعه‌ای را درک کنیم، در موقعیت بهتری برای انتخاب، ارزیابی و استفاده از بهترین موارد در میان این ابزارها و دانش نمایی برای مشتریانمان خواهیم بود.</w:t>
      </w:r>
    </w:p>
    <w:p w14:paraId="6DE05434" w14:textId="101EDF64" w:rsidR="00537CC8" w:rsidRPr="0025250D" w:rsidRDefault="00537CC8" w:rsidP="00537CC8">
      <w:pPr>
        <w:rPr>
          <w:rtl/>
        </w:rPr>
      </w:pPr>
      <w:r w:rsidRPr="0025250D">
        <w:rPr>
          <w:rFonts w:hint="cs"/>
          <w:rtl/>
        </w:rPr>
        <w:t xml:space="preserve">هیچ </w:t>
      </w:r>
      <w:r w:rsidR="00B56611" w:rsidRPr="0025250D">
        <w:rPr>
          <w:rFonts w:hint="cs"/>
          <w:rtl/>
        </w:rPr>
        <w:t>شتاب‌گیری</w:t>
      </w:r>
      <w:r w:rsidRPr="0025250D">
        <w:rPr>
          <w:rFonts w:hint="cs"/>
          <w:rtl/>
        </w:rPr>
        <w:t xml:space="preserve"> در جهان به اندازه </w:t>
      </w:r>
      <w:r w:rsidR="00B56611" w:rsidRPr="0025250D">
        <w:rPr>
          <w:rFonts w:hint="cs"/>
          <w:rtl/>
        </w:rPr>
        <w:t>شتاب‌گیری</w:t>
      </w:r>
      <w:r w:rsidRPr="0025250D">
        <w:rPr>
          <w:rFonts w:hint="cs"/>
          <w:rtl/>
        </w:rPr>
        <w:t xml:space="preserve"> تولید اطلاعات واضح و </w:t>
      </w:r>
      <w:r w:rsidR="00B0171C" w:rsidRPr="0025250D">
        <w:rPr>
          <w:rFonts w:hint="cs"/>
          <w:rtl/>
        </w:rPr>
        <w:t>به‌سادگی</w:t>
      </w:r>
      <w:r w:rsidRPr="0025250D">
        <w:rPr>
          <w:rFonts w:hint="cs"/>
          <w:rtl/>
        </w:rPr>
        <w:t xml:space="preserve"> قابل اندازه گیری نیست. بر طبق گفته </w:t>
      </w:r>
      <w:r w:rsidRPr="0025250D">
        <w:t>EMC</w:t>
      </w:r>
      <w:r w:rsidRPr="0025250D">
        <w:rPr>
          <w:rFonts w:hint="cs"/>
          <w:rtl/>
        </w:rPr>
        <w:t xml:space="preserve"> که رشد اطلاعات دیجیتال جهانی را در گزارش جهانی سالانه خود ردیابی می‌کند، داده‌های دیجیتال در هر سال 55 درصد رشد می‌کند و هر 19 ماه دو برابر می‌شود. این یعنی 60 درصد از داده‌های جهان تنها در دو سال گذشته تولید </w:t>
      </w:r>
      <w:r w:rsidR="00185F3E" w:rsidRPr="0025250D">
        <w:rPr>
          <w:rFonts w:hint="cs"/>
          <w:rtl/>
        </w:rPr>
        <w:t>شده‌اند</w:t>
      </w:r>
      <w:r w:rsidRPr="0025250D">
        <w:rPr>
          <w:rFonts w:hint="cs"/>
          <w:rtl/>
        </w:rPr>
        <w:t xml:space="preserve">. انتظار نمی‌رود یا </w:t>
      </w:r>
      <w:r w:rsidR="00D92F6E" w:rsidRPr="0025250D">
        <w:rPr>
          <w:rFonts w:hint="cs"/>
          <w:rtl/>
        </w:rPr>
        <w:t>پیش‌بین</w:t>
      </w:r>
      <w:r w:rsidRPr="0025250D">
        <w:rPr>
          <w:rFonts w:hint="cs"/>
          <w:rtl/>
        </w:rPr>
        <w:t xml:space="preserve">ی نمی‌شود که این پدیده رشد باور نکردنی در آینده قابل </w:t>
      </w:r>
      <w:r w:rsidR="00D92F6E" w:rsidRPr="0025250D">
        <w:rPr>
          <w:rFonts w:hint="cs"/>
          <w:rtl/>
        </w:rPr>
        <w:t>پیش‌بین</w:t>
      </w:r>
      <w:r w:rsidRPr="0025250D">
        <w:rPr>
          <w:rFonts w:hint="cs"/>
          <w:rtl/>
        </w:rPr>
        <w:t>ی کند شود، زیرا کوچک</w:t>
      </w:r>
      <w:r w:rsidR="009537CD" w:rsidRPr="0025250D">
        <w:rPr>
          <w:rFonts w:hint="cs"/>
          <w:rtl/>
        </w:rPr>
        <w:t>‌</w:t>
      </w:r>
      <w:r w:rsidRPr="0025250D">
        <w:rPr>
          <w:rFonts w:hint="cs"/>
          <w:rtl/>
        </w:rPr>
        <w:t>سازی ارتباط ماشین به ماشین و محاسبات الهام گرفته از بیولوژی، ما را به شکلی بدون توقف به یک جهان هوشمند‌تر از همیشه هدایت می‌کنند. [یک حقیقت جالب: برای بزرگ داشت این بینش و همچنین در هماهنگی با نام خانوادگی او، جان</w:t>
      </w:r>
      <w:r w:rsidR="009537CD" w:rsidRPr="0025250D">
        <w:rPr>
          <w:rFonts w:hint="cs"/>
          <w:rtl/>
        </w:rPr>
        <w:t xml:space="preserve"> اسمارت</w:t>
      </w:r>
      <w:r w:rsidRPr="0025250D">
        <w:rPr>
          <w:rFonts w:hint="cs"/>
          <w:rtl/>
        </w:rPr>
        <w:t xml:space="preserve"> عنوان </w:t>
      </w:r>
      <w:r w:rsidRPr="0025250D">
        <w:rPr>
          <w:rtl/>
        </w:rPr>
        <w:t>دن</w:t>
      </w:r>
      <w:r w:rsidRPr="0025250D">
        <w:rPr>
          <w:rFonts w:hint="cs"/>
          <w:rtl/>
        </w:rPr>
        <w:t>ی</w:t>
      </w:r>
      <w:r w:rsidRPr="0025250D">
        <w:rPr>
          <w:rFonts w:hint="eastAsia"/>
          <w:rtl/>
        </w:rPr>
        <w:t>ا</w:t>
      </w:r>
      <w:r w:rsidRPr="0025250D">
        <w:rPr>
          <w:rFonts w:hint="cs"/>
          <w:rtl/>
        </w:rPr>
        <w:t>ی</w:t>
      </w:r>
      <w:r w:rsidRPr="0025250D">
        <w:rPr>
          <w:rtl/>
        </w:rPr>
        <w:t xml:space="preserve"> هوشمندتر</w:t>
      </w:r>
      <w:r w:rsidRPr="0025250D">
        <w:rPr>
          <w:rFonts w:hint="cs"/>
          <w:rtl/>
        </w:rPr>
        <w:t xml:space="preserve"> از همیشه</w:t>
      </w:r>
      <w:r w:rsidR="009537CD" w:rsidRPr="0025250D">
        <w:rPr>
          <w:vertAlign w:val="superscript"/>
          <w:rtl/>
        </w:rPr>
        <w:footnoteReference w:id="2921"/>
      </w:r>
      <w:r w:rsidRPr="0025250D">
        <w:rPr>
          <w:rFonts w:hint="cs"/>
          <w:rtl/>
        </w:rPr>
        <w:t xml:space="preserve"> را برای وبلاگ شخصی خود انتخاب کرده است].</w:t>
      </w:r>
    </w:p>
    <w:p w14:paraId="520B3B16" w14:textId="553D25FC" w:rsidR="00537CC8" w:rsidRPr="0025250D" w:rsidRDefault="007118DE" w:rsidP="00537CC8">
      <w:pPr>
        <w:rPr>
          <w:rtl/>
        </w:rPr>
      </w:pPr>
      <w:r w:rsidRPr="0025250D">
        <w:rPr>
          <w:rFonts w:hint="cs"/>
          <w:rtl/>
        </w:rPr>
        <w:t>همان‌طور</w:t>
      </w:r>
      <w:r w:rsidR="00537CC8" w:rsidRPr="0025250D">
        <w:rPr>
          <w:rFonts w:hint="cs"/>
          <w:rtl/>
        </w:rPr>
        <w:t xml:space="preserve"> که به صورت تدریجی جهان خود را دیجیتالی می‌سازیم، ماشین‌های ما از این داده‌ها برای حس کردن، دیدن، مدلسازی و عمل در جهان استفاده می‌کنند. آن‌ها با سرعتی یاد می‌گیرند که سبب می‌شود این طور به نظر برسد که زیست شناسی اصلا حرکتی ندارد و در فضا و زمان ثابت شده است. همچنین به شکل فزاینده‌ای به ماشین‌های خودمان پیوند خورده ایم و از آن‌ها برای ارتباط با یکدیگر و پایش و بهبود خودمان استفاده می‌کنیم. اگر مراقب نباشیم، در دام آن‌ها اسیر شده، حواسمان را پرت می‌کنند و به آن‌ها اعتیاد پیدا می‌کنیم. افراد، شرکت‌ها و کشورهایی که به شکل هوشمندانه‌ای از این دیجیتالی سازی عظیم استقبال می‌کنند و می‌آموزند که معایب (پیچیدگی غیر ضروری، تجاوز به حریم خصوصی، هزینه غیر ضروری، تضعیف گری، اعتیاد آور بودن و جرایم) متعدد</w:t>
      </w:r>
      <w:r w:rsidR="00537CC8" w:rsidRPr="0025250D">
        <w:rPr>
          <w:rtl/>
        </w:rPr>
        <w:t xml:space="preserve"> </w:t>
      </w:r>
      <w:r w:rsidR="00537CC8" w:rsidRPr="0025250D">
        <w:rPr>
          <w:rFonts w:hint="cs"/>
          <w:rtl/>
        </w:rPr>
        <w:t>نسل</w:t>
      </w:r>
      <w:r w:rsidR="00537CC8" w:rsidRPr="0025250D">
        <w:rPr>
          <w:rtl/>
        </w:rPr>
        <w:t xml:space="preserve"> </w:t>
      </w:r>
      <w:r w:rsidR="00537CC8" w:rsidRPr="0025250D">
        <w:rPr>
          <w:rFonts w:hint="cs"/>
          <w:rtl/>
        </w:rPr>
        <w:t>اول</w:t>
      </w:r>
      <w:r w:rsidR="00537CC8" w:rsidRPr="0025250D">
        <w:rPr>
          <w:rtl/>
        </w:rPr>
        <w:t xml:space="preserve"> </w:t>
      </w:r>
      <w:r w:rsidR="00537CC8" w:rsidRPr="0025250D">
        <w:rPr>
          <w:rFonts w:hint="cs"/>
          <w:rtl/>
        </w:rPr>
        <w:t>آن</w:t>
      </w:r>
      <w:r w:rsidR="00537CC8" w:rsidRPr="0025250D">
        <w:rPr>
          <w:rtl/>
        </w:rPr>
        <w:t xml:space="preserve"> </w:t>
      </w:r>
      <w:r w:rsidR="00537CC8" w:rsidRPr="0025250D">
        <w:rPr>
          <w:rFonts w:hint="cs"/>
          <w:rtl/>
        </w:rPr>
        <w:t xml:space="preserve">را که بر بسیاری از ما در این منحنی </w:t>
      </w:r>
      <w:r w:rsidR="00B124DE" w:rsidRPr="0025250D">
        <w:rPr>
          <w:rFonts w:hint="cs"/>
          <w:rtl/>
        </w:rPr>
        <w:t>انطباق‌پذیر</w:t>
      </w:r>
      <w:r w:rsidR="00537CC8" w:rsidRPr="0025250D">
        <w:rPr>
          <w:rFonts w:hint="cs"/>
          <w:rtl/>
        </w:rPr>
        <w:t xml:space="preserve">ی </w:t>
      </w:r>
      <w:r w:rsidR="00537CC8" w:rsidRPr="0025250D">
        <w:t>U</w:t>
      </w:r>
      <w:r w:rsidR="00537CC8" w:rsidRPr="0025250D">
        <w:rPr>
          <w:rFonts w:hint="cs"/>
          <w:rtl/>
        </w:rPr>
        <w:t>-شکل اثر می‌گذارند، مدیریت کنند این گذار توسعه‌ای را هدایت خواهند کرد.</w:t>
      </w:r>
    </w:p>
    <w:p w14:paraId="13E69FEC" w14:textId="7171F1F2" w:rsidR="00537CC8" w:rsidRPr="0025250D" w:rsidRDefault="00537CC8" w:rsidP="00537CC8">
      <w:pPr>
        <w:rPr>
          <w:rtl/>
        </w:rPr>
      </w:pPr>
      <w:r w:rsidRPr="0025250D">
        <w:rPr>
          <w:rFonts w:hint="cs"/>
          <w:rtl/>
        </w:rPr>
        <w:t xml:space="preserve">به عنوان مثالی از </w:t>
      </w:r>
      <w:r w:rsidRPr="0025250D">
        <w:rPr>
          <w:rtl/>
        </w:rPr>
        <w:t>س</w:t>
      </w:r>
      <w:r w:rsidRPr="0025250D">
        <w:rPr>
          <w:rFonts w:hint="cs"/>
          <w:rtl/>
        </w:rPr>
        <w:t>ی</w:t>
      </w:r>
      <w:r w:rsidRPr="0025250D">
        <w:rPr>
          <w:rFonts w:hint="eastAsia"/>
          <w:rtl/>
        </w:rPr>
        <w:t>است</w:t>
      </w:r>
      <w:r w:rsidRPr="0025250D">
        <w:rPr>
          <w:rtl/>
        </w:rPr>
        <w:t xml:space="preserve"> د</w:t>
      </w:r>
      <w:r w:rsidRPr="0025250D">
        <w:rPr>
          <w:rFonts w:hint="cs"/>
          <w:rtl/>
        </w:rPr>
        <w:t>ی</w:t>
      </w:r>
      <w:r w:rsidRPr="0025250D">
        <w:rPr>
          <w:rFonts w:hint="eastAsia"/>
          <w:rtl/>
        </w:rPr>
        <w:t>ج</w:t>
      </w:r>
      <w:r w:rsidRPr="0025250D">
        <w:rPr>
          <w:rFonts w:hint="cs"/>
          <w:rtl/>
        </w:rPr>
        <w:t>ی</w:t>
      </w:r>
      <w:r w:rsidRPr="0025250D">
        <w:rPr>
          <w:rFonts w:hint="eastAsia"/>
          <w:rtl/>
        </w:rPr>
        <w:t>تال</w:t>
      </w:r>
      <w:r w:rsidRPr="0025250D">
        <w:rPr>
          <w:rtl/>
        </w:rPr>
        <w:t xml:space="preserve"> </w:t>
      </w:r>
      <w:r w:rsidR="00D92F6E" w:rsidRPr="0025250D">
        <w:rPr>
          <w:rtl/>
        </w:rPr>
        <w:t>آینده‌نگاری</w:t>
      </w:r>
      <w:r w:rsidRPr="0025250D">
        <w:rPr>
          <w:rFonts w:hint="cs"/>
          <w:rtl/>
        </w:rPr>
        <w:t xml:space="preserve">، این ویدئوی عالی در استونی، </w:t>
      </w:r>
      <w:r w:rsidR="002C61FC" w:rsidRPr="0025250D">
        <w:rPr>
          <w:rtl/>
        </w:rPr>
        <w:t>«</w:t>
      </w:r>
      <w:r w:rsidRPr="0025250D">
        <w:rPr>
          <w:rFonts w:hint="cs"/>
          <w:rtl/>
        </w:rPr>
        <w:t>زندگی در یک جامعه شبکه ای</w:t>
      </w:r>
      <w:r w:rsidRPr="0025250D">
        <w:rPr>
          <w:vertAlign w:val="superscript"/>
          <w:rtl/>
        </w:rPr>
        <w:footnoteReference w:id="2922"/>
      </w:r>
      <w:r w:rsidR="002C61FC" w:rsidRPr="0025250D">
        <w:rPr>
          <w:rtl/>
        </w:rPr>
        <w:t>»</w:t>
      </w:r>
      <w:r w:rsidRPr="0025250D">
        <w:rPr>
          <w:rFonts w:hint="cs"/>
          <w:rtl/>
        </w:rPr>
        <w:t>، در ی</w:t>
      </w:r>
      <w:r w:rsidRPr="0025250D">
        <w:rPr>
          <w:rFonts w:hint="eastAsia"/>
          <w:rtl/>
        </w:rPr>
        <w:t>وت</w:t>
      </w:r>
      <w:r w:rsidRPr="0025250D">
        <w:rPr>
          <w:rFonts w:hint="cs"/>
          <w:rtl/>
        </w:rPr>
        <w:t>ی</w:t>
      </w:r>
      <w:r w:rsidRPr="0025250D">
        <w:rPr>
          <w:rFonts w:hint="eastAsia"/>
          <w:rtl/>
        </w:rPr>
        <w:t>وب</w:t>
      </w:r>
      <w:r w:rsidRPr="0025250D">
        <w:rPr>
          <w:rFonts w:hint="cs"/>
          <w:rtl/>
        </w:rPr>
        <w:t xml:space="preserve"> در سال 2013 را ببینید. شهروندان استونی از سال 2005 رأی گیری اینترنتی ایمن </w:t>
      </w:r>
      <w:r w:rsidR="00B124DE" w:rsidRPr="0025250D">
        <w:rPr>
          <w:rFonts w:hint="cs"/>
          <w:rtl/>
        </w:rPr>
        <w:t>داشته‌اند</w:t>
      </w:r>
      <w:r w:rsidRPr="0025250D">
        <w:rPr>
          <w:rFonts w:hint="cs"/>
          <w:rtl/>
        </w:rPr>
        <w:t xml:space="preserve">. آن‌ها کاری </w:t>
      </w:r>
      <w:r w:rsidR="007118DE" w:rsidRPr="0025250D">
        <w:rPr>
          <w:rFonts w:hint="cs"/>
          <w:rtl/>
        </w:rPr>
        <w:t>کرده‌اند</w:t>
      </w:r>
      <w:r w:rsidRPr="0025250D">
        <w:rPr>
          <w:rFonts w:hint="cs"/>
          <w:rtl/>
        </w:rPr>
        <w:t xml:space="preserve"> که به نظر می‌رسد آمریکا در رأی گیری</w:t>
      </w:r>
      <w:r w:rsidR="009537CD" w:rsidRPr="0025250D">
        <w:rPr>
          <w:rFonts w:hint="cs"/>
          <w:rtl/>
        </w:rPr>
        <w:t xml:space="preserve"> به عنوان</w:t>
      </w:r>
      <w:r w:rsidRPr="0025250D">
        <w:rPr>
          <w:rFonts w:hint="cs"/>
          <w:rtl/>
        </w:rPr>
        <w:t xml:space="preserve"> یک حق مهم شهروندی، در عصر پارینه سنگی باقی مانده است. </w:t>
      </w:r>
      <w:r w:rsidR="00B124DE" w:rsidRPr="0025250D">
        <w:rPr>
          <w:rFonts w:hint="cs"/>
          <w:rtl/>
        </w:rPr>
        <w:t>کسب‌و‌کار</w:t>
      </w:r>
      <w:r w:rsidRPr="0025250D">
        <w:rPr>
          <w:rFonts w:hint="cs"/>
          <w:rtl/>
        </w:rPr>
        <w:t>‌ها و ساکنین مالیات‌های ساده سازی شده‌ای را به صورت آنلاین پرداخت می‌کنند و در شاخص رقابت پذیری مالیاتی</w:t>
      </w:r>
      <w:r w:rsidRPr="0025250D">
        <w:rPr>
          <w:vertAlign w:val="superscript"/>
          <w:rtl/>
        </w:rPr>
        <w:footnoteReference w:id="2923"/>
      </w:r>
      <w:r w:rsidRPr="0025250D">
        <w:rPr>
          <w:rFonts w:hint="cs"/>
          <w:rtl/>
        </w:rPr>
        <w:t xml:space="preserve"> در جهان پیشتاز هستند. در حال حاضر، آمریکا هنوز برای ایجاد رأی گیری آنلاین امن دچار مشکل است و </w:t>
      </w:r>
      <w:r w:rsidR="008D6F97" w:rsidRPr="0025250D">
        <w:rPr>
          <w:rFonts w:hint="cs"/>
          <w:rtl/>
        </w:rPr>
        <w:t>سامانه‌</w:t>
      </w:r>
      <w:r w:rsidRPr="0025250D">
        <w:rPr>
          <w:rFonts w:hint="cs"/>
          <w:rtl/>
        </w:rPr>
        <w:t xml:space="preserve"> مالیاتی آن </w:t>
      </w:r>
      <w:r w:rsidR="008F0DD8" w:rsidRPr="0025250D">
        <w:rPr>
          <w:rFonts w:hint="cs"/>
          <w:rtl/>
        </w:rPr>
        <w:t>آن‌قدر</w:t>
      </w:r>
      <w:r w:rsidRPr="0025250D">
        <w:rPr>
          <w:rFonts w:hint="cs"/>
          <w:rtl/>
        </w:rPr>
        <w:t xml:space="preserve"> پیچیده و دستی است که باری بر دوش اقتصاد تحمیل کرده است. متخصصین </w:t>
      </w:r>
      <w:r w:rsidRPr="0025250D">
        <w:rPr>
          <w:rtl/>
        </w:rPr>
        <w:t>آینده‌نگاری</w:t>
      </w:r>
      <w:r w:rsidRPr="0025250D">
        <w:rPr>
          <w:rFonts w:hint="cs"/>
          <w:rtl/>
        </w:rPr>
        <w:t xml:space="preserve"> که موج بزرگ دیجیتالی شدن را درک می‌کنند و می‌توانند داستان آن را نیز بیان کنند</w:t>
      </w:r>
      <w:r w:rsidR="008D6F97" w:rsidRPr="0025250D">
        <w:rPr>
          <w:rtl/>
        </w:rPr>
        <w:t xml:space="preserve"> </w:t>
      </w:r>
      <w:r w:rsidRPr="0025250D">
        <w:rPr>
          <w:rFonts w:hint="cs"/>
          <w:rtl/>
        </w:rPr>
        <w:t>تا مدت‌ها مورد نیاز خواهند بود. این روند مزایا و معایب زیادی دارد و یک موضوع مهم و اصلی در کتاب 2 خواهد بود. پیوست 3 چند کتاب خوب معدود را که این گذار دیجیتالی شدن بزرگ را توصیف می‌کنند، فهرست می‌نماید. کتاب‌هایی مانند عصر ماشین‌های دارای روح</w:t>
      </w:r>
      <w:r w:rsidRPr="0025250D">
        <w:rPr>
          <w:vertAlign w:val="superscript"/>
          <w:rtl/>
        </w:rPr>
        <w:footnoteReference w:id="2924"/>
      </w:r>
      <w:r w:rsidRPr="0025250D">
        <w:rPr>
          <w:rFonts w:hint="cs"/>
          <w:rtl/>
        </w:rPr>
        <w:t xml:space="preserve"> در سال 1999، به بیت تبدیل شده</w:t>
      </w:r>
      <w:r w:rsidRPr="0025250D">
        <w:rPr>
          <w:vertAlign w:val="superscript"/>
          <w:rtl/>
        </w:rPr>
        <w:footnoteReference w:id="2925"/>
      </w:r>
      <w:r w:rsidRPr="0025250D">
        <w:rPr>
          <w:rFonts w:hint="cs"/>
          <w:vertAlign w:val="superscript"/>
          <w:rtl/>
        </w:rPr>
        <w:t xml:space="preserve"> </w:t>
      </w:r>
      <w:r w:rsidRPr="0025250D">
        <w:rPr>
          <w:rFonts w:hint="cs"/>
          <w:rtl/>
        </w:rPr>
        <w:t>در سال 2008، هوش خاموش</w:t>
      </w:r>
      <w:r w:rsidRPr="0025250D">
        <w:rPr>
          <w:vertAlign w:val="superscript"/>
          <w:rtl/>
        </w:rPr>
        <w:footnoteReference w:id="2926"/>
      </w:r>
      <w:r w:rsidR="002C61FC" w:rsidRPr="0025250D">
        <w:rPr>
          <w:rtl/>
        </w:rPr>
        <w:t xml:space="preserve"> در</w:t>
      </w:r>
      <w:r w:rsidRPr="0025250D">
        <w:rPr>
          <w:rFonts w:hint="cs"/>
          <w:rtl/>
        </w:rPr>
        <w:t xml:space="preserve"> سال 2013، عصر ماشینی دوم</w:t>
      </w:r>
      <w:r w:rsidRPr="0025250D">
        <w:rPr>
          <w:vertAlign w:val="superscript"/>
          <w:rtl/>
        </w:rPr>
        <w:footnoteReference w:id="2927"/>
      </w:r>
      <w:r w:rsidRPr="0025250D">
        <w:rPr>
          <w:rFonts w:hint="cs"/>
          <w:rtl/>
        </w:rPr>
        <w:t xml:space="preserve"> در سال 2014 و انسان‌های 3.0</w:t>
      </w:r>
      <w:r w:rsidRPr="0025250D">
        <w:rPr>
          <w:vertAlign w:val="superscript"/>
          <w:rtl/>
        </w:rPr>
        <w:footnoteReference w:id="2928"/>
      </w:r>
      <w:r w:rsidRPr="0025250D">
        <w:rPr>
          <w:rFonts w:hint="cs"/>
          <w:rtl/>
        </w:rPr>
        <w:t xml:space="preserve"> در سال 2015، مقدمه‌های خوبی هستند، اما داستان گسترده‌تر از این است. هنوز هیچ کتابی به تنهایی آن را به خوبی جمع بندی نکرده و ممکن است هیچ‌گاه چنین کتابی نوشته نشود.</w:t>
      </w:r>
    </w:p>
    <w:p w14:paraId="1191EDEA" w14:textId="7E40EB85" w:rsidR="00537CC8" w:rsidRPr="0025250D" w:rsidRDefault="00537CC8" w:rsidP="00EF26F0">
      <w:pPr>
        <w:pStyle w:val="Heading3"/>
        <w:rPr>
          <w:rtl/>
        </w:rPr>
      </w:pPr>
      <w:r w:rsidRPr="0025250D">
        <w:rPr>
          <w:rtl/>
        </w:rPr>
        <w:t>آینده‌</w:t>
      </w:r>
      <w:r w:rsidR="00664E33" w:rsidRPr="0025250D">
        <w:rPr>
          <w:rtl/>
        </w:rPr>
        <w:t>نگار</w:t>
      </w:r>
      <w:r w:rsidRPr="0025250D">
        <w:rPr>
          <w:rtl/>
        </w:rPr>
        <w:t xml:space="preserve">ی </w:t>
      </w:r>
      <w:r w:rsidRPr="0025250D">
        <w:rPr>
          <w:rFonts w:hint="cs"/>
          <w:rtl/>
        </w:rPr>
        <w:t>از نظر داده غنی‌تر شده</w:t>
      </w:r>
      <w:r w:rsidRPr="0025250D">
        <w:rPr>
          <w:rtl/>
        </w:rPr>
        <w:t xml:space="preserve"> و هوشمند</w:t>
      </w:r>
      <w:r w:rsidRPr="0025250D">
        <w:rPr>
          <w:rFonts w:hint="cs"/>
          <w:rtl/>
        </w:rPr>
        <w:t>ی</w:t>
      </w:r>
      <w:r w:rsidRPr="0025250D">
        <w:rPr>
          <w:rtl/>
        </w:rPr>
        <w:t xml:space="preserve"> </w:t>
      </w:r>
      <w:r w:rsidRPr="0025250D">
        <w:rPr>
          <w:rFonts w:hint="cs"/>
          <w:rtl/>
        </w:rPr>
        <w:t xml:space="preserve">بیشتری یافته </w:t>
      </w:r>
      <w:r w:rsidRPr="0025250D">
        <w:rPr>
          <w:rtl/>
        </w:rPr>
        <w:t>است</w:t>
      </w:r>
    </w:p>
    <w:p w14:paraId="2660E0EF" w14:textId="4BB4862E" w:rsidR="00537CC8" w:rsidRPr="0025250D" w:rsidRDefault="00537CC8" w:rsidP="00537CC8">
      <w:pPr>
        <w:rPr>
          <w:rtl/>
        </w:rPr>
      </w:pPr>
      <w:r w:rsidRPr="0025250D">
        <w:rPr>
          <w:rFonts w:hint="cs"/>
          <w:rtl/>
        </w:rPr>
        <w:t xml:space="preserve">ظهور کلان داده که به صورت هوشمندی تحلیلی می‌شود، یک راه بسیار مفید دیگر برای درک ذات جدید </w:t>
      </w:r>
      <w:r w:rsidRPr="0025250D">
        <w:rPr>
          <w:rtl/>
        </w:rPr>
        <w:t>آینده‌نگاری</w:t>
      </w:r>
      <w:r w:rsidRPr="0025250D">
        <w:rPr>
          <w:rFonts w:hint="cs"/>
          <w:rtl/>
        </w:rPr>
        <w:t xml:space="preserve"> است. دیجیتالی شدن مخاز</w:t>
      </w:r>
      <w:r w:rsidR="009537CD" w:rsidRPr="0025250D">
        <w:rPr>
          <w:rFonts w:hint="cs"/>
          <w:rtl/>
        </w:rPr>
        <w:t>ن</w:t>
      </w:r>
      <w:r w:rsidRPr="0025250D">
        <w:rPr>
          <w:rFonts w:hint="cs"/>
          <w:rtl/>
        </w:rPr>
        <w:t xml:space="preserve"> داده‌ای جدید گسترده‌ای ایجاد می‌کند که در انتظار نمایش بهتر برای نشان دادن شرایط فعلی و تحلیل برای شناسایی روند‌ها و روابط پنهان هستند.</w:t>
      </w:r>
    </w:p>
    <w:p w14:paraId="6DA1E9C4" w14:textId="5B962D52" w:rsidR="00537CC8" w:rsidRPr="0025250D" w:rsidRDefault="00537CC8" w:rsidP="00537CC8">
      <w:pPr>
        <w:rPr>
          <w:rtl/>
        </w:rPr>
      </w:pPr>
      <w:r w:rsidRPr="0025250D">
        <w:rPr>
          <w:rFonts w:hint="cs"/>
          <w:rtl/>
        </w:rPr>
        <w:t xml:space="preserve">وقتی داده‌ها در هر زمینه‌ای به شکلی منطقی بازنمایی کننده </w:t>
      </w:r>
      <w:r w:rsidR="008D6F97" w:rsidRPr="0025250D">
        <w:rPr>
          <w:rFonts w:hint="cs"/>
          <w:rtl/>
        </w:rPr>
        <w:t>سامانه‌</w:t>
      </w:r>
      <w:r w:rsidRPr="0025250D">
        <w:rPr>
          <w:rFonts w:hint="cs"/>
          <w:rtl/>
        </w:rPr>
        <w:t xml:space="preserve"> مورد مطالعه باشند، </w:t>
      </w:r>
      <w:r w:rsidR="008D6F97" w:rsidRPr="0025250D">
        <w:rPr>
          <w:rFonts w:hint="cs"/>
          <w:rtl/>
        </w:rPr>
        <w:t>سامانه‌</w:t>
      </w:r>
      <w:r w:rsidRPr="0025250D">
        <w:rPr>
          <w:rFonts w:hint="cs"/>
          <w:rtl/>
        </w:rPr>
        <w:t xml:space="preserve">‌های </w:t>
      </w:r>
      <w:r w:rsidR="00DA6E11" w:rsidRPr="0025250D">
        <w:rPr>
          <w:rFonts w:hint="cs"/>
          <w:rtl/>
        </w:rPr>
        <w:t>طبقه‌بندی</w:t>
      </w:r>
      <w:r w:rsidRPr="0025250D">
        <w:rPr>
          <w:rFonts w:hint="cs"/>
          <w:rtl/>
        </w:rPr>
        <w:t xml:space="preserve">، نقشه‌ها و مدل‌ها به سمت پایداری پیش می‌روند. با یاری گرفتن از یادگیری ماشینی در سازماندهی، </w:t>
      </w:r>
      <w:r w:rsidR="0008779C" w:rsidRPr="0025250D">
        <w:rPr>
          <w:rFonts w:hint="cs"/>
          <w:rtl/>
        </w:rPr>
        <w:t>ارتباط‌دهی</w:t>
      </w:r>
      <w:r w:rsidRPr="0025250D">
        <w:rPr>
          <w:rFonts w:hint="cs"/>
          <w:rtl/>
        </w:rPr>
        <w:t xml:space="preserve"> و </w:t>
      </w:r>
      <w:r w:rsidR="00185F3E" w:rsidRPr="0025250D">
        <w:rPr>
          <w:rFonts w:hint="cs"/>
          <w:rtl/>
        </w:rPr>
        <w:t>نتیجه‌گیری</w:t>
      </w:r>
      <w:r w:rsidRPr="0025250D">
        <w:rPr>
          <w:rFonts w:hint="cs"/>
          <w:rtl/>
        </w:rPr>
        <w:t xml:space="preserve"> از این داده‌ها، یک هوش خام در دانش جمعی ما پدید می‌آید. شاید هیچ مثالی بهتر از نمودارهای دانش گوگل</w:t>
      </w:r>
      <w:r w:rsidRPr="0025250D">
        <w:rPr>
          <w:vertAlign w:val="superscript"/>
          <w:rtl/>
        </w:rPr>
        <w:footnoteReference w:id="2929"/>
      </w:r>
      <w:r w:rsidRPr="0025250D">
        <w:rPr>
          <w:rFonts w:hint="cs"/>
          <w:rtl/>
        </w:rPr>
        <w:t xml:space="preserve"> و الگوریتم‌های رنک برین</w:t>
      </w:r>
      <w:r w:rsidRPr="0025250D">
        <w:rPr>
          <w:vertAlign w:val="superscript"/>
          <w:rtl/>
        </w:rPr>
        <w:footnoteReference w:id="2930"/>
      </w:r>
      <w:r w:rsidRPr="0025250D">
        <w:rPr>
          <w:rFonts w:hint="cs"/>
          <w:rtl/>
        </w:rPr>
        <w:t xml:space="preserve"> (شبکه عصبی) مورد استفاده آن برای تولید نتایج جستجوی مرتبط‌تر و شخصی‌تر وجود نداشته باشد. </w:t>
      </w:r>
      <w:r w:rsidR="007118DE" w:rsidRPr="0025250D">
        <w:rPr>
          <w:rFonts w:hint="cs"/>
          <w:rtl/>
        </w:rPr>
        <w:t>همان‌طور</w:t>
      </w:r>
      <w:r w:rsidRPr="0025250D">
        <w:rPr>
          <w:rFonts w:hint="cs"/>
          <w:rtl/>
        </w:rPr>
        <w:t xml:space="preserve"> که در </w:t>
      </w:r>
      <w:r w:rsidRPr="0025250D">
        <w:t>BPF</w:t>
      </w:r>
      <w:r w:rsidRPr="0025250D">
        <w:rPr>
          <w:rFonts w:hint="cs"/>
          <w:rtl/>
        </w:rPr>
        <w:t xml:space="preserve"> بیان خواهیم کرد، این الگوریتم اکنون به اندازه کافی برای کاهش رتبه هر صفحه در وب که حداقل 3 مورد نادرست از اطلاعات حقیقی داشته باشد، بر طبق نمودار دانش گوگل، هوشمند شده است. این به این معنی است که با یادگیری بیش‌تر در حال خارج کردن موارد نادرست و جعلی از میان جستجوهای ما است. </w:t>
      </w:r>
      <w:r w:rsidRPr="0025250D">
        <w:rPr>
          <w:rtl/>
        </w:rPr>
        <w:t>واتسون</w:t>
      </w:r>
      <w:r w:rsidRPr="0025250D">
        <w:rPr>
          <w:rFonts w:hint="cs"/>
          <w:rtl/>
        </w:rPr>
        <w:t xml:space="preserve"> از شرکت </w:t>
      </w:r>
      <w:r w:rsidRPr="0025250D">
        <w:t>IBM</w:t>
      </w:r>
      <w:r w:rsidRPr="0025250D">
        <w:rPr>
          <w:rFonts w:hint="cs"/>
          <w:rtl/>
        </w:rPr>
        <w:t>، دیپ مایند</w:t>
      </w:r>
      <w:r w:rsidRPr="0025250D">
        <w:rPr>
          <w:vertAlign w:val="superscript"/>
          <w:rtl/>
        </w:rPr>
        <w:footnoteReference w:id="2931"/>
      </w:r>
      <w:r w:rsidRPr="0025250D">
        <w:rPr>
          <w:rFonts w:hint="cs"/>
          <w:rtl/>
        </w:rPr>
        <w:t xml:space="preserve"> از گوگل</w:t>
      </w:r>
      <w:r w:rsidR="008D6F97" w:rsidRPr="0025250D">
        <w:rPr>
          <w:rtl/>
        </w:rPr>
        <w:t xml:space="preserve"> </w:t>
      </w:r>
      <w:r w:rsidRPr="0025250D">
        <w:rPr>
          <w:rFonts w:hint="cs"/>
          <w:rtl/>
        </w:rPr>
        <w:t>و نرم افزار مبدل</w:t>
      </w:r>
      <w:r w:rsidRPr="0025250D">
        <w:rPr>
          <w:rtl/>
        </w:rPr>
        <w:t xml:space="preserve"> از پ</w:t>
      </w:r>
      <w:r w:rsidRPr="0025250D">
        <w:rPr>
          <w:rFonts w:hint="cs"/>
          <w:rtl/>
        </w:rPr>
        <w:t>ی</w:t>
      </w:r>
      <w:r w:rsidRPr="0025250D">
        <w:rPr>
          <w:rFonts w:hint="eastAsia"/>
          <w:rtl/>
        </w:rPr>
        <w:t>ش</w:t>
      </w:r>
      <w:r w:rsidRPr="0025250D">
        <w:rPr>
          <w:rtl/>
        </w:rPr>
        <w:t xml:space="preserve"> آموزش د</w:t>
      </w:r>
      <w:r w:rsidRPr="0025250D">
        <w:rPr>
          <w:rFonts w:hint="cs"/>
          <w:rtl/>
        </w:rPr>
        <w:t>ی</w:t>
      </w:r>
      <w:r w:rsidRPr="0025250D">
        <w:rPr>
          <w:rFonts w:hint="eastAsia"/>
          <w:rtl/>
        </w:rPr>
        <w:t>ده</w:t>
      </w:r>
      <w:r w:rsidRPr="0025250D">
        <w:rPr>
          <w:rtl/>
        </w:rPr>
        <w:t xml:space="preserve"> مولد</w:t>
      </w:r>
      <w:r w:rsidRPr="0025250D">
        <w:rPr>
          <w:vertAlign w:val="superscript"/>
          <w:rtl/>
        </w:rPr>
        <w:footnoteReference w:id="2932"/>
      </w:r>
      <w:r w:rsidRPr="0025250D">
        <w:rPr>
          <w:rFonts w:hint="cs"/>
          <w:rtl/>
        </w:rPr>
        <w:t xml:space="preserve"> شرکت اپن ای‌آی</w:t>
      </w:r>
      <w:r w:rsidRPr="0025250D">
        <w:rPr>
          <w:vertAlign w:val="superscript"/>
          <w:rtl/>
        </w:rPr>
        <w:footnoteReference w:id="2933"/>
      </w:r>
      <w:r w:rsidRPr="0025250D">
        <w:rPr>
          <w:rFonts w:hint="cs"/>
          <w:rtl/>
        </w:rPr>
        <w:t xml:space="preserve"> اکنون تنها سه مورد از تلاش‌های مشخص‌تر هوش مصنوعی برای ایجاد قابلیت‌های تازه برای اخبار در هر چند ماه یکبار هستند. هوش‌های مصنوعی شخصی و نمودار‌های دانشی که بر آن‌ها متکی هستند در نهایت در اختیار هر کسی خواهند بود که انتخاب می‌کند که در یک محیط بسیار رقابتی‌تر و مبتنی بر شواهد و مملو از یادگیری هوشمند زندگی کند (که بسیاری در ابتدا چنین تصمیم</w:t>
      </w:r>
      <w:r w:rsidR="009537CD" w:rsidRPr="0025250D">
        <w:rPr>
          <w:rFonts w:hint="cs"/>
          <w:rtl/>
        </w:rPr>
        <w:t>ی</w:t>
      </w:r>
      <w:r w:rsidRPr="0025250D">
        <w:rPr>
          <w:rFonts w:hint="cs"/>
          <w:rtl/>
        </w:rPr>
        <w:t xml:space="preserve"> نخواهند داشت).</w:t>
      </w:r>
    </w:p>
    <w:p w14:paraId="77920633" w14:textId="7F4F1638" w:rsidR="00537CC8" w:rsidRPr="0025250D" w:rsidRDefault="00537CC8" w:rsidP="00537CC8">
      <w:pPr>
        <w:rPr>
          <w:rtl/>
        </w:rPr>
      </w:pPr>
      <w:r w:rsidRPr="0025250D">
        <w:rPr>
          <w:rFonts w:hint="cs"/>
          <w:rtl/>
        </w:rPr>
        <w:t>در نوشتن این کتاب، نویسندگان توانستند جستجوهای بسیاری در اینترنت برای یافتن داده‌های کلیدی انجام دهند. این جستجوها توسط گوگل برِین</w:t>
      </w:r>
      <w:r w:rsidRPr="0025250D">
        <w:rPr>
          <w:vertAlign w:val="superscript"/>
          <w:rtl/>
        </w:rPr>
        <w:footnoteReference w:id="2934"/>
      </w:r>
      <w:r w:rsidRPr="0025250D">
        <w:rPr>
          <w:rFonts w:hint="cs"/>
          <w:rtl/>
        </w:rPr>
        <w:t>، شبکه عصبی دیجیتالی با سریع‌ترین سرعت یادگیری و پیشرفت در روی زمین، پشتیبانی شدند. بسیاری از جستجوهای ما در سال 2000 بی فایده بودند. ما از گوگل بوک</w:t>
      </w:r>
      <w:r w:rsidRPr="0025250D">
        <w:rPr>
          <w:vertAlign w:val="superscript"/>
          <w:rtl/>
        </w:rPr>
        <w:footnoteReference w:id="2935"/>
      </w:r>
      <w:r w:rsidRPr="0025250D">
        <w:rPr>
          <w:rFonts w:hint="cs"/>
          <w:rtl/>
        </w:rPr>
        <w:t xml:space="preserve"> برای یافتن بینش کلیدی از کتاب‌ها و از گوگل ترند</w:t>
      </w:r>
      <w:r w:rsidRPr="0025250D">
        <w:rPr>
          <w:vertAlign w:val="superscript"/>
          <w:rtl/>
        </w:rPr>
        <w:footnoteReference w:id="2936"/>
      </w:r>
      <w:r w:rsidRPr="0025250D">
        <w:rPr>
          <w:rFonts w:hint="cs"/>
          <w:rtl/>
        </w:rPr>
        <w:t xml:space="preserve"> برای دیدن این که مردم چه مسائل و مشکلاتی را جستجو می‌کنند، استفاده کردیم. همه ما اکنون حقیقتا در یک جهان تازه، با سطح جدیدی از هوش جمعی زندگی می‌کنیم، زیرا داده‌ها بسیار سازماندهی شده و به صورت رایگان قابل دسترسی هستند. چه این را دوست داشته باشید و چه </w:t>
      </w:r>
      <w:r w:rsidR="009537CD" w:rsidRPr="0025250D">
        <w:rPr>
          <w:rFonts w:hint="cs"/>
          <w:rtl/>
        </w:rPr>
        <w:t>دوست نداشته باشید،</w:t>
      </w:r>
      <w:r w:rsidRPr="0025250D">
        <w:rPr>
          <w:rFonts w:hint="cs"/>
          <w:rtl/>
        </w:rPr>
        <w:t xml:space="preserve"> همه این داده‌های رو به رشد و هوش ماشینی یک خیابان یک طرفه است. این یک فرایند توسعه‌ای است، نه یک فرایند تکاملی. ما هیچ‌گاه نمی‌توانیم به گذشته ساده‌تر و کم‌تر دیجیتالی خود بازگردیم.</w:t>
      </w:r>
    </w:p>
    <w:p w14:paraId="3804D86D" w14:textId="045D25DF" w:rsidR="00537CC8" w:rsidRPr="0025250D" w:rsidRDefault="00DC51E6" w:rsidP="00DC51E6">
      <w:pPr>
        <w:rPr>
          <w:rtl/>
        </w:rPr>
      </w:pPr>
      <w:r w:rsidRPr="0025250D">
        <w:rPr>
          <w:rFonts w:hint="cs"/>
          <w:rtl/>
        </w:rPr>
        <w:t>از نظر ما،</w:t>
      </w:r>
      <w:r w:rsidR="00537CC8" w:rsidRPr="0025250D">
        <w:rPr>
          <w:rFonts w:hint="cs"/>
          <w:rtl/>
        </w:rPr>
        <w:t xml:space="preserve"> هنوز دهه‌ها با هوش مصنوعی عمومی (که دارای استدلال، </w:t>
      </w:r>
      <w:r w:rsidRPr="0025250D">
        <w:rPr>
          <w:rFonts w:hint="cs"/>
          <w:rtl/>
        </w:rPr>
        <w:t>هیجان</w:t>
      </w:r>
      <w:r w:rsidR="00537CC8" w:rsidRPr="0025250D">
        <w:rPr>
          <w:rFonts w:hint="cs"/>
          <w:rtl/>
        </w:rPr>
        <w:t>، شهود و اخلاق در سطح انسانی باشد) فاصله داریم</w:t>
      </w:r>
      <w:r w:rsidR="008D6F97" w:rsidRPr="0025250D">
        <w:rPr>
          <w:rtl/>
        </w:rPr>
        <w:t xml:space="preserve">؛ </w:t>
      </w:r>
      <w:r w:rsidR="00537CC8" w:rsidRPr="0025250D">
        <w:rPr>
          <w:rFonts w:hint="cs"/>
          <w:rtl/>
        </w:rPr>
        <w:t xml:space="preserve">اما در طول دو دهه بعدی، هوش مصنوعی، خودکارسازی و رباتیک به شکل فزاینده‌ای توانمند و فراگیر خواهند شد. طراحی اخلاقی، ایمنی، قابلیت اعتماد و قاعده مندسازی آن نگرانی‌های مداومی خواهند بود. هر ساله، شاهد داده‌ها و اطلاعات و هوش بیش‌تری در پس کار </w:t>
      </w:r>
      <w:r w:rsidR="00537CC8" w:rsidRPr="0025250D">
        <w:rPr>
          <w:rtl/>
        </w:rPr>
        <w:t>آینده‌نگاری</w:t>
      </w:r>
      <w:r w:rsidR="00537CC8" w:rsidRPr="0025250D">
        <w:rPr>
          <w:rFonts w:hint="cs"/>
          <w:rtl/>
        </w:rPr>
        <w:t xml:space="preserve"> خواهیم بود. </w:t>
      </w:r>
      <w:r w:rsidR="007118DE" w:rsidRPr="0025250D">
        <w:rPr>
          <w:rFonts w:hint="cs"/>
          <w:rtl/>
        </w:rPr>
        <w:t>همان‌طور</w:t>
      </w:r>
      <w:r w:rsidR="00537CC8" w:rsidRPr="0025250D">
        <w:rPr>
          <w:rFonts w:hint="cs"/>
          <w:rtl/>
        </w:rPr>
        <w:t xml:space="preserve"> که </w:t>
      </w:r>
      <w:r w:rsidR="00537CC8" w:rsidRPr="0025250D">
        <w:rPr>
          <w:rtl/>
        </w:rPr>
        <w:t>کلاوس شواب</w:t>
      </w:r>
      <w:r w:rsidR="00537CC8" w:rsidRPr="0025250D">
        <w:rPr>
          <w:vertAlign w:val="superscript"/>
          <w:rtl/>
        </w:rPr>
        <w:footnoteReference w:id="2937"/>
      </w:r>
      <w:r w:rsidR="00537CC8" w:rsidRPr="0025250D">
        <w:rPr>
          <w:rFonts w:hint="cs"/>
          <w:rtl/>
        </w:rPr>
        <w:t xml:space="preserve">، بنیان گذار </w:t>
      </w:r>
      <w:r w:rsidR="00537CC8" w:rsidRPr="0025250D">
        <w:rPr>
          <w:rtl/>
        </w:rPr>
        <w:t>مجمع جهان</w:t>
      </w:r>
      <w:r w:rsidR="00537CC8" w:rsidRPr="0025250D">
        <w:rPr>
          <w:rFonts w:hint="cs"/>
          <w:rtl/>
        </w:rPr>
        <w:t>ی</w:t>
      </w:r>
      <w:r w:rsidR="00537CC8" w:rsidRPr="0025250D">
        <w:rPr>
          <w:rtl/>
        </w:rPr>
        <w:t xml:space="preserve"> اقتصاد</w:t>
      </w:r>
      <w:r w:rsidR="00537CC8" w:rsidRPr="0025250D">
        <w:rPr>
          <w:vertAlign w:val="superscript"/>
          <w:rtl/>
        </w:rPr>
        <w:footnoteReference w:id="2938"/>
      </w:r>
      <w:r w:rsidR="00537CC8" w:rsidRPr="0025250D">
        <w:rPr>
          <w:rFonts w:hint="cs"/>
          <w:rtl/>
        </w:rPr>
        <w:t xml:space="preserve"> می‌گوید، ما اکنون انقلاب اطلاعاتی (سومین تحول فنّاوری خود پس از بخار و الکتریسیته) را پشت سر می‌گذاریم و وارد چهارمین انقلاب صنعتی می‌شویم که بر اساس حس جهانی، داده‌ها، هوش مصنوعی، الگوریتم‌ها، رباتیک و خودکارسازی خواهد بود. کتاب چهارمین انقلاب صنعتی</w:t>
      </w:r>
      <w:r w:rsidR="00537CC8" w:rsidRPr="0025250D">
        <w:rPr>
          <w:vertAlign w:val="superscript"/>
          <w:rtl/>
        </w:rPr>
        <w:footnoteReference w:id="2939"/>
      </w:r>
      <w:r w:rsidR="00537CC8" w:rsidRPr="0025250D">
        <w:rPr>
          <w:rFonts w:hint="cs"/>
          <w:rtl/>
        </w:rPr>
        <w:t xml:space="preserve"> اثر </w:t>
      </w:r>
      <w:r w:rsidR="00537CC8" w:rsidRPr="0025250D">
        <w:rPr>
          <w:rtl/>
        </w:rPr>
        <w:t>شواب</w:t>
      </w:r>
      <w:r w:rsidR="00537CC8" w:rsidRPr="0025250D">
        <w:rPr>
          <w:rFonts w:hint="cs"/>
          <w:rtl/>
        </w:rPr>
        <w:t xml:space="preserve"> در سال 2017 را برای </w:t>
      </w:r>
      <w:r w:rsidR="009537CD" w:rsidRPr="0025250D">
        <w:rPr>
          <w:rFonts w:hint="cs"/>
          <w:rtl/>
        </w:rPr>
        <w:t xml:space="preserve">یک </w:t>
      </w:r>
      <w:r w:rsidR="00537CC8" w:rsidRPr="0025250D">
        <w:rPr>
          <w:rFonts w:hint="cs"/>
          <w:rtl/>
        </w:rPr>
        <w:t>گزارش خوب درمورد آنچه پیش روی ماست ببینید.</w:t>
      </w:r>
    </w:p>
    <w:p w14:paraId="2CEF97DA" w14:textId="02F5C070" w:rsidR="00537CC8" w:rsidRPr="0025250D" w:rsidRDefault="00537CC8" w:rsidP="00537CC8">
      <w:pPr>
        <w:rPr>
          <w:rtl/>
        </w:rPr>
      </w:pPr>
      <w:r w:rsidRPr="0025250D">
        <w:rPr>
          <w:rFonts w:hint="cs"/>
          <w:rtl/>
        </w:rPr>
        <w:t xml:space="preserve">امروزه، هوش ماشینی و هوش مصنوعی عمدتا در تشخیص ویژگی‌ها و تشخیص الگوها خوب هستند، نه در منطق و دیگر فرایند‌های پیچیده. آنچه آن‌ها امروزه می‌توانند انجام دهند به شدت توسط مدیرعاملان استارتاپ‌ها، بازاریابان شرکتی، </w:t>
      </w:r>
      <w:r w:rsidR="00D30084" w:rsidRPr="0025250D">
        <w:rPr>
          <w:rFonts w:hint="cs"/>
          <w:rtl/>
        </w:rPr>
        <w:t>آینده‌نگار</w:t>
      </w:r>
      <w:r w:rsidRPr="0025250D">
        <w:rPr>
          <w:rFonts w:hint="cs"/>
          <w:rtl/>
        </w:rPr>
        <w:t>ان مستقل و صاحب نظران مشابه دیگر اغراق می‌شود. با این وجود، این موارد هم اکنون هم به اندازه کافی برای ارائه خدمات جدید متعدد</w:t>
      </w:r>
      <w:r w:rsidR="009537CD" w:rsidRPr="0025250D">
        <w:rPr>
          <w:rFonts w:hint="cs"/>
          <w:rtl/>
        </w:rPr>
        <w:t xml:space="preserve"> </w:t>
      </w:r>
      <w:r w:rsidRPr="0025250D">
        <w:rPr>
          <w:rFonts w:hint="cs"/>
          <w:rtl/>
        </w:rPr>
        <w:t xml:space="preserve">مفید هستند. </w:t>
      </w:r>
      <w:r w:rsidR="007118DE" w:rsidRPr="0025250D">
        <w:rPr>
          <w:rFonts w:hint="cs"/>
          <w:rtl/>
        </w:rPr>
        <w:t>همان‌طور</w:t>
      </w:r>
      <w:r w:rsidRPr="0025250D">
        <w:rPr>
          <w:rFonts w:hint="cs"/>
          <w:rtl/>
        </w:rPr>
        <w:t xml:space="preserve"> که </w:t>
      </w:r>
      <w:r w:rsidRPr="0025250D">
        <w:rPr>
          <w:rtl/>
        </w:rPr>
        <w:t>شواب</w:t>
      </w:r>
      <w:r w:rsidRPr="0025250D">
        <w:rPr>
          <w:rFonts w:hint="cs"/>
          <w:rtl/>
        </w:rPr>
        <w:t xml:space="preserve"> می‌گوید، ما در مراحل بسیار ابتدایی از یک انقلاب هوش مصنوعی و خودکارسازی هستیم، انقلابی که به شکل فزاینده‌ای جامعه را تغییر خواهد داد.</w:t>
      </w:r>
    </w:p>
    <w:p w14:paraId="7EA16041" w14:textId="4E3096E9" w:rsidR="00537CC8" w:rsidRPr="0025250D" w:rsidRDefault="00537CC8" w:rsidP="00537CC8">
      <w:pPr>
        <w:rPr>
          <w:rtl/>
        </w:rPr>
      </w:pPr>
      <w:r w:rsidRPr="0025250D">
        <w:rPr>
          <w:rFonts w:hint="cs"/>
          <w:rtl/>
        </w:rPr>
        <w:t>امروزه اتفاقات زیادی در تقاطع داده‌ها و هوش مصنوعی در حال وقوع است. یادگیری ماشینی و هستی شناسی</w:t>
      </w:r>
      <w:r w:rsidRPr="0025250D">
        <w:rPr>
          <w:vertAlign w:val="superscript"/>
          <w:rtl/>
        </w:rPr>
        <w:footnoteReference w:id="2940"/>
      </w:r>
      <w:r w:rsidRPr="0025250D">
        <w:rPr>
          <w:rFonts w:hint="cs"/>
          <w:rtl/>
        </w:rPr>
        <w:t xml:space="preserve"> خودکار به ما برای ساختار بندی و درک مفهوم انفجار داده‌های دیجیتالی کمک می‌کنند تا بتوانیم بهتر از آن در پلتفرم‌ها و دستگاه‌های دیجیتالی خود استفاده کنیم. پلتفرم‌های گردآوری داده‌ها مانند </w:t>
      </w:r>
      <w:r w:rsidRPr="0025250D">
        <w:rPr>
          <w:rtl/>
        </w:rPr>
        <w:t>کاگل</w:t>
      </w:r>
      <w:r w:rsidRPr="0025250D">
        <w:rPr>
          <w:rFonts w:hint="cs"/>
          <w:rtl/>
        </w:rPr>
        <w:t xml:space="preserve"> (که در سال 2010 بنیان گذاری شد و در سال 2017 خریداری شد) اکنون ده‌ها هزار تیم در حال رقابت برای حل مشکلات علوم داده‌ای دارند. پلتفرم‌هایی مانند الگوریتمیا</w:t>
      </w:r>
      <w:r w:rsidRPr="0025250D">
        <w:rPr>
          <w:vertAlign w:val="superscript"/>
          <w:rtl/>
        </w:rPr>
        <w:footnoteReference w:id="2941"/>
      </w:r>
      <w:r w:rsidRPr="0025250D">
        <w:rPr>
          <w:rFonts w:hint="cs"/>
          <w:rtl/>
        </w:rPr>
        <w:t xml:space="preserve"> که در سال 2013 آغاز شد، یافتن و ایجاد الگوریتم‌هایی برای یادگیری ماشین (درک داده ها) و خودکارسازی را بسیار آسان‌تر می‌کنند. پلتفرم‌های داده‌های ابری و پایگاه‌های داده فدرال مخازن داده‌های مشترکی ایجاد می‌کنند و سبب ایجاد بینش‌های جدیدی در علوم، فنّاوری، تجارت، دولت، محیط و فرهنگ می‌شوند. با این حال ما</w:t>
      </w:r>
      <w:r w:rsidR="009537CD" w:rsidRPr="0025250D">
        <w:rPr>
          <w:rFonts w:hint="cs"/>
          <w:rtl/>
        </w:rPr>
        <w:t xml:space="preserve"> به صورت</w:t>
      </w:r>
      <w:r w:rsidRPr="0025250D">
        <w:rPr>
          <w:rFonts w:hint="cs"/>
          <w:rtl/>
        </w:rPr>
        <w:t xml:space="preserve"> قبیله‌ای باقی مانده</w:t>
      </w:r>
      <w:r w:rsidR="009537CD" w:rsidRPr="0025250D">
        <w:rPr>
          <w:rFonts w:hint="cs"/>
          <w:rtl/>
        </w:rPr>
        <w:t>‌</w:t>
      </w:r>
      <w:r w:rsidRPr="0025250D">
        <w:rPr>
          <w:rFonts w:hint="cs"/>
          <w:rtl/>
        </w:rPr>
        <w:t>ایم. همکاری بسیار بیش‌تری می‌تواند رخ دهد.</w:t>
      </w:r>
    </w:p>
    <w:p w14:paraId="0FF6AA8F" w14:textId="3F8C5FAF" w:rsidR="00537CC8" w:rsidRPr="0025250D" w:rsidRDefault="00537CC8" w:rsidP="0098310D">
      <w:pPr>
        <w:rPr>
          <w:rtl/>
        </w:rPr>
      </w:pPr>
      <w:r w:rsidRPr="0025250D">
        <w:rPr>
          <w:rFonts w:hint="cs"/>
          <w:rtl/>
        </w:rPr>
        <w:t xml:space="preserve">برخی از شرکت‌های مشاوره‌ای </w:t>
      </w:r>
      <w:r w:rsidRPr="0025250D">
        <w:rPr>
          <w:rtl/>
        </w:rPr>
        <w:t>آینده‌نگاری</w:t>
      </w:r>
      <w:r w:rsidRPr="0025250D">
        <w:rPr>
          <w:rFonts w:hint="cs"/>
          <w:rtl/>
        </w:rPr>
        <w:t xml:space="preserve"> </w:t>
      </w:r>
      <w:r w:rsidRPr="0025250D">
        <w:rPr>
          <w:rtl/>
        </w:rPr>
        <w:t>مبتکرانه</w:t>
      </w:r>
      <w:r w:rsidRPr="0025250D">
        <w:rPr>
          <w:rFonts w:hint="cs"/>
          <w:rtl/>
        </w:rPr>
        <w:t>‌تر، هم موارد کوچکی مانند شیپینگ تومارو</w:t>
      </w:r>
      <w:r w:rsidRPr="0025250D">
        <w:rPr>
          <w:vertAlign w:val="superscript"/>
          <w:rtl/>
        </w:rPr>
        <w:footnoteReference w:id="2942"/>
      </w:r>
      <w:r w:rsidRPr="0025250D">
        <w:rPr>
          <w:rFonts w:hint="cs"/>
          <w:rtl/>
        </w:rPr>
        <w:t xml:space="preserve"> و هم موارد بزرگتری مانند </w:t>
      </w:r>
      <w:r w:rsidRPr="0025250D">
        <w:rPr>
          <w:rtl/>
        </w:rPr>
        <w:t>د</w:t>
      </w:r>
      <w:r w:rsidRPr="0025250D">
        <w:rPr>
          <w:rFonts w:hint="cs"/>
          <w:rtl/>
        </w:rPr>
        <w:t>ی</w:t>
      </w:r>
      <w:r w:rsidRPr="0025250D">
        <w:rPr>
          <w:rFonts w:hint="eastAsia"/>
          <w:rtl/>
        </w:rPr>
        <w:t>لو</w:t>
      </w:r>
      <w:r w:rsidRPr="0025250D">
        <w:rPr>
          <w:rFonts w:hint="cs"/>
          <w:rtl/>
        </w:rPr>
        <w:t>ی</w:t>
      </w:r>
      <w:r w:rsidRPr="0025250D">
        <w:rPr>
          <w:rFonts w:hint="eastAsia"/>
          <w:rtl/>
        </w:rPr>
        <w:t>ت</w:t>
      </w:r>
      <w:r w:rsidRPr="0025250D">
        <w:rPr>
          <w:rFonts w:hint="cs"/>
          <w:rtl/>
        </w:rPr>
        <w:t xml:space="preserve">، در حال قرار دادن یادگیری ماشینی در پلتفرم‌ها و خدمات خود هستند. استفاده از داده‌ها و هوش مصنوعی، هیچ‌گاه ساده‌تر از این نبوده است. پایگاه‌های داده‌ای منبع باز مانند </w:t>
      </w:r>
      <w:r w:rsidRPr="0025250D">
        <w:rPr>
          <w:rtl/>
        </w:rPr>
        <w:t>هادوپ</w:t>
      </w:r>
      <w:r w:rsidRPr="0025250D">
        <w:rPr>
          <w:vertAlign w:val="superscript"/>
          <w:rtl/>
        </w:rPr>
        <w:footnoteReference w:id="2943"/>
      </w:r>
      <w:r w:rsidRPr="0025250D">
        <w:rPr>
          <w:rFonts w:hint="cs"/>
          <w:rtl/>
        </w:rPr>
        <w:t xml:space="preserve"> و مجموعه‌های هوش مصنوعی قدرتمند مانند تنسورفلو</w:t>
      </w:r>
      <w:r w:rsidRPr="0025250D">
        <w:rPr>
          <w:vertAlign w:val="superscript"/>
          <w:rtl/>
        </w:rPr>
        <w:footnoteReference w:id="2944"/>
      </w:r>
      <w:r w:rsidRPr="0025250D">
        <w:rPr>
          <w:rFonts w:hint="cs"/>
          <w:rtl/>
        </w:rPr>
        <w:t xml:space="preserve"> از شرکت گوگل، برای استفاده عموم مردم به صورت رایگان در مخازن کد عمومی انبوه مانند گیت هاب</w:t>
      </w:r>
      <w:r w:rsidRPr="0025250D">
        <w:rPr>
          <w:vertAlign w:val="superscript"/>
          <w:rtl/>
        </w:rPr>
        <w:footnoteReference w:id="2945"/>
      </w:r>
      <w:r w:rsidRPr="0025250D">
        <w:rPr>
          <w:rFonts w:hint="cs"/>
          <w:rtl/>
        </w:rPr>
        <w:t xml:space="preserve"> قرار می‌گیرند. هنوز به تخصص فنی نیاز است، اما هر ساله، تخصص کم‌تری مورد نیاز خواهد بود، زیرا مر</w:t>
      </w:r>
      <w:r w:rsidR="0098310D" w:rsidRPr="0025250D">
        <w:rPr>
          <w:rFonts w:hint="cs"/>
          <w:rtl/>
        </w:rPr>
        <w:t>ا</w:t>
      </w:r>
      <w:r w:rsidRPr="0025250D">
        <w:rPr>
          <w:rFonts w:hint="cs"/>
          <w:rtl/>
        </w:rPr>
        <w:t>حل پیشین</w:t>
      </w:r>
      <w:r w:rsidR="0098310D" w:rsidRPr="0025250D">
        <w:rPr>
          <w:vertAlign w:val="superscript"/>
          <w:rtl/>
        </w:rPr>
        <w:footnoteReference w:id="2946"/>
      </w:r>
      <w:r w:rsidR="0098310D" w:rsidRPr="0025250D">
        <w:rPr>
          <w:rFonts w:hint="cs"/>
          <w:rtl/>
        </w:rPr>
        <w:t>‌</w:t>
      </w:r>
      <w:r w:rsidRPr="0025250D">
        <w:rPr>
          <w:rFonts w:hint="cs"/>
          <w:rtl/>
        </w:rPr>
        <w:t xml:space="preserve"> پلتفرم‌های توسعه هوش مصنوعی برتر ما خودشان به شکل فزاینده‌ای از هوش مصنوعی استفاده خواهند کرد و درخواست‌ها و دستورات با زبان طبیعی را درک خواهند کرد.</w:t>
      </w:r>
    </w:p>
    <w:p w14:paraId="04F9D6B1" w14:textId="3DBF29F9" w:rsidR="00537CC8" w:rsidRPr="0025250D" w:rsidRDefault="00537CC8" w:rsidP="00DC51E6">
      <w:pPr>
        <w:rPr>
          <w:rtl/>
        </w:rPr>
      </w:pPr>
      <w:r w:rsidRPr="0025250D">
        <w:rPr>
          <w:rFonts w:hint="cs"/>
          <w:rtl/>
        </w:rPr>
        <w:t xml:space="preserve">در قرن بیستم، </w:t>
      </w:r>
      <w:r w:rsidR="008D6F97" w:rsidRPr="0025250D">
        <w:rPr>
          <w:rFonts w:hint="cs"/>
          <w:rtl/>
        </w:rPr>
        <w:t>سامانه‌</w:t>
      </w:r>
      <w:r w:rsidRPr="0025250D">
        <w:rPr>
          <w:rFonts w:hint="cs"/>
          <w:rtl/>
        </w:rPr>
        <w:t xml:space="preserve">‌هایی مانند </w:t>
      </w:r>
      <w:r w:rsidRPr="0025250D">
        <w:t>GIS</w:t>
      </w:r>
      <w:r w:rsidRPr="0025250D">
        <w:rPr>
          <w:rFonts w:hint="cs"/>
          <w:rtl/>
        </w:rPr>
        <w:t xml:space="preserve"> (</w:t>
      </w:r>
      <w:r w:rsidR="008D6F97" w:rsidRPr="0025250D">
        <w:rPr>
          <w:rFonts w:hint="cs"/>
          <w:rtl/>
        </w:rPr>
        <w:t>سامانه‌</w:t>
      </w:r>
      <w:r w:rsidRPr="0025250D">
        <w:rPr>
          <w:rFonts w:hint="cs"/>
          <w:rtl/>
        </w:rPr>
        <w:t xml:space="preserve">‌های اطلاعات جغرافیایی)، </w:t>
      </w:r>
      <w:r w:rsidRPr="0025250D">
        <w:t>CRM</w:t>
      </w:r>
      <w:r w:rsidRPr="0025250D">
        <w:rPr>
          <w:rFonts w:hint="cs"/>
          <w:rtl/>
        </w:rPr>
        <w:t xml:space="preserve"> (</w:t>
      </w:r>
      <w:r w:rsidR="008D6F97" w:rsidRPr="0025250D">
        <w:rPr>
          <w:rFonts w:hint="cs"/>
          <w:rtl/>
        </w:rPr>
        <w:t>سامانه‌</w:t>
      </w:r>
      <w:r w:rsidRPr="0025250D">
        <w:rPr>
          <w:rFonts w:hint="cs"/>
          <w:rtl/>
        </w:rPr>
        <w:t xml:space="preserve">‌های مدیریت روابط با مشتری)، </w:t>
      </w:r>
      <w:r w:rsidRPr="0025250D">
        <w:t>KM</w:t>
      </w:r>
      <w:r w:rsidRPr="0025250D">
        <w:rPr>
          <w:rFonts w:hint="cs"/>
          <w:rtl/>
        </w:rPr>
        <w:t xml:space="preserve"> (</w:t>
      </w:r>
      <w:r w:rsidR="008D6F97" w:rsidRPr="0025250D">
        <w:rPr>
          <w:rFonts w:hint="cs"/>
          <w:rtl/>
        </w:rPr>
        <w:t>سامانه‌</w:t>
      </w:r>
      <w:r w:rsidRPr="0025250D">
        <w:rPr>
          <w:rFonts w:hint="cs"/>
          <w:rtl/>
        </w:rPr>
        <w:t xml:space="preserve">‌های مدیریت دانش) و دیگر نرم افزار‌های پشتیبانی شده با پایگاه‌های داده در میان تجمیع کنندگان داده‌های سازمانی ما هستند. در طول دهه گذشته، جریان داده‌های سازمانی و اجتماعی به یک سیل و طوفان تبدیل </w:t>
      </w:r>
      <w:r w:rsidR="00185F3E" w:rsidRPr="0025250D">
        <w:rPr>
          <w:rFonts w:hint="cs"/>
          <w:rtl/>
        </w:rPr>
        <w:t>شده‌اند</w:t>
      </w:r>
      <w:r w:rsidRPr="0025250D">
        <w:rPr>
          <w:rFonts w:hint="cs"/>
          <w:rtl/>
        </w:rPr>
        <w:t xml:space="preserve">. اکنون ما گوشی‌های هوشمند، ابزارهای پوشیدنی، اینترنت اشیا (تعامل ماشین به ماشین)، اتوماسیون خانگی، تحلیل </w:t>
      </w:r>
      <w:r w:rsidR="00DC51E6" w:rsidRPr="0025250D">
        <w:rPr>
          <w:rFonts w:hint="cs"/>
          <w:rtl/>
        </w:rPr>
        <w:t>حس‌داد</w:t>
      </w:r>
      <w:r w:rsidRPr="0025250D">
        <w:rPr>
          <w:rFonts w:hint="cs"/>
          <w:rtl/>
        </w:rPr>
        <w:t>، سلامت/تناسب اندام اندازه گیری شده فردی، شبکه‌های اجتماعی، رابط‌های کاربری مکالمه‌ای و تجارت الگوریتمی داریم که از داده‌ها استفاده کرده و داده‌هایی تولید می‌کنند و این تنها یک فهرست جزئی و مختصر است.</w:t>
      </w:r>
    </w:p>
    <w:p w14:paraId="7FADF440" w14:textId="69BA10F1" w:rsidR="00537CC8" w:rsidRPr="0025250D" w:rsidRDefault="00537CC8" w:rsidP="00537CC8">
      <w:pPr>
        <w:rPr>
          <w:rtl/>
        </w:rPr>
      </w:pPr>
      <w:r w:rsidRPr="0025250D">
        <w:rPr>
          <w:rFonts w:hint="cs"/>
          <w:rtl/>
        </w:rPr>
        <w:t xml:space="preserve">ما زمینه به سرعت در حال ظهور </w:t>
      </w:r>
      <w:r w:rsidRPr="0025250D">
        <w:rPr>
          <w:rtl/>
        </w:rPr>
        <w:t>تجز</w:t>
      </w:r>
      <w:r w:rsidRPr="0025250D">
        <w:rPr>
          <w:rFonts w:hint="cs"/>
          <w:rtl/>
        </w:rPr>
        <w:t>ی</w:t>
      </w:r>
      <w:r w:rsidRPr="0025250D">
        <w:rPr>
          <w:rFonts w:hint="eastAsia"/>
          <w:rtl/>
        </w:rPr>
        <w:t>ه</w:t>
      </w:r>
      <w:r w:rsidRPr="0025250D">
        <w:rPr>
          <w:rtl/>
        </w:rPr>
        <w:t xml:space="preserve"> و تحل</w:t>
      </w:r>
      <w:r w:rsidRPr="0025250D">
        <w:rPr>
          <w:rFonts w:hint="cs"/>
          <w:rtl/>
        </w:rPr>
        <w:t>ی</w:t>
      </w:r>
      <w:r w:rsidRPr="0025250D">
        <w:rPr>
          <w:rFonts w:hint="eastAsia"/>
          <w:rtl/>
        </w:rPr>
        <w:t>ل</w:t>
      </w:r>
      <w:r w:rsidRPr="0025250D">
        <w:rPr>
          <w:rtl/>
        </w:rPr>
        <w:t xml:space="preserve"> </w:t>
      </w:r>
      <w:r w:rsidR="00D92F6E" w:rsidRPr="0025250D">
        <w:rPr>
          <w:rtl/>
        </w:rPr>
        <w:t>پیش‌بین</w:t>
      </w:r>
      <w:r w:rsidRPr="0025250D">
        <w:rPr>
          <w:rFonts w:hint="cs"/>
          <w:rtl/>
        </w:rPr>
        <w:t xml:space="preserve"> که به خوبی در کتاب </w:t>
      </w:r>
      <w:r w:rsidRPr="0025250D">
        <w:rPr>
          <w:rtl/>
        </w:rPr>
        <w:t>ار</w:t>
      </w:r>
      <w:r w:rsidRPr="0025250D">
        <w:rPr>
          <w:rFonts w:hint="cs"/>
          <w:rtl/>
        </w:rPr>
        <w:t>ی</w:t>
      </w:r>
      <w:r w:rsidRPr="0025250D">
        <w:rPr>
          <w:rFonts w:hint="eastAsia"/>
          <w:rtl/>
        </w:rPr>
        <w:t>ک</w:t>
      </w:r>
      <w:r w:rsidRPr="0025250D">
        <w:rPr>
          <w:rtl/>
        </w:rPr>
        <w:t xml:space="preserve"> س</w:t>
      </w:r>
      <w:r w:rsidRPr="0025250D">
        <w:rPr>
          <w:rFonts w:hint="cs"/>
          <w:rtl/>
        </w:rPr>
        <w:t>ی</w:t>
      </w:r>
      <w:r w:rsidRPr="0025250D">
        <w:rPr>
          <w:rFonts w:hint="eastAsia"/>
          <w:rtl/>
        </w:rPr>
        <w:t>گل</w:t>
      </w:r>
      <w:r w:rsidRPr="0025250D">
        <w:rPr>
          <w:vertAlign w:val="superscript"/>
          <w:rtl/>
        </w:rPr>
        <w:footnoteReference w:id="2947"/>
      </w:r>
      <w:r w:rsidRPr="0025250D">
        <w:rPr>
          <w:rFonts w:hint="cs"/>
          <w:rtl/>
        </w:rPr>
        <w:t xml:space="preserve"> به نام </w:t>
      </w:r>
      <w:r w:rsidRPr="0025250D">
        <w:rPr>
          <w:rtl/>
        </w:rPr>
        <w:t>تجز</w:t>
      </w:r>
      <w:r w:rsidRPr="0025250D">
        <w:rPr>
          <w:rFonts w:hint="cs"/>
          <w:rtl/>
        </w:rPr>
        <w:t>ی</w:t>
      </w:r>
      <w:r w:rsidRPr="0025250D">
        <w:rPr>
          <w:rFonts w:hint="eastAsia"/>
          <w:rtl/>
        </w:rPr>
        <w:t>ه</w:t>
      </w:r>
      <w:r w:rsidRPr="0025250D">
        <w:rPr>
          <w:rtl/>
        </w:rPr>
        <w:t xml:space="preserve"> و تحل</w:t>
      </w:r>
      <w:r w:rsidRPr="0025250D">
        <w:rPr>
          <w:rFonts w:hint="cs"/>
          <w:rtl/>
        </w:rPr>
        <w:t>ی</w:t>
      </w:r>
      <w:r w:rsidRPr="0025250D">
        <w:rPr>
          <w:rFonts w:hint="eastAsia"/>
          <w:rtl/>
        </w:rPr>
        <w:t>ل</w:t>
      </w:r>
      <w:r w:rsidRPr="0025250D">
        <w:rPr>
          <w:rtl/>
        </w:rPr>
        <w:t xml:space="preserve"> </w:t>
      </w:r>
      <w:r w:rsidR="00D92F6E" w:rsidRPr="0025250D">
        <w:rPr>
          <w:rtl/>
        </w:rPr>
        <w:t>پیش‌بین</w:t>
      </w:r>
      <w:r w:rsidRPr="0025250D">
        <w:rPr>
          <w:vertAlign w:val="superscript"/>
          <w:rtl/>
        </w:rPr>
        <w:footnoteReference w:id="2948"/>
      </w:r>
      <w:r w:rsidRPr="0025250D">
        <w:rPr>
          <w:rFonts w:hint="cs"/>
          <w:rtl/>
        </w:rPr>
        <w:t xml:space="preserve"> در سال 2013 معرفی شده است را توصیف </w:t>
      </w:r>
      <w:r w:rsidR="00950293" w:rsidRPr="0025250D">
        <w:rPr>
          <w:rFonts w:hint="cs"/>
          <w:rtl/>
        </w:rPr>
        <w:t>کرده‌ایم</w:t>
      </w:r>
      <w:r w:rsidRPr="0025250D">
        <w:rPr>
          <w:rFonts w:hint="cs"/>
          <w:rtl/>
        </w:rPr>
        <w:t>. کتاب‌هایی مانند این را تصویرسازی کنید</w:t>
      </w:r>
      <w:r w:rsidRPr="0025250D">
        <w:rPr>
          <w:vertAlign w:val="superscript"/>
          <w:rtl/>
        </w:rPr>
        <w:footnoteReference w:id="2949"/>
      </w:r>
      <w:r w:rsidRPr="0025250D">
        <w:rPr>
          <w:rFonts w:hint="cs"/>
          <w:rtl/>
        </w:rPr>
        <w:t xml:space="preserve"> در سال 2011 و نقاط داده ای</w:t>
      </w:r>
      <w:r w:rsidRPr="0025250D">
        <w:rPr>
          <w:vertAlign w:val="superscript"/>
          <w:rtl/>
        </w:rPr>
        <w:footnoteReference w:id="2950"/>
      </w:r>
      <w:r w:rsidRPr="0025250D">
        <w:rPr>
          <w:rFonts w:hint="cs"/>
          <w:rtl/>
        </w:rPr>
        <w:t xml:space="preserve"> در سال 2013</w:t>
      </w:r>
      <w:r w:rsidR="008D6F97" w:rsidRPr="0025250D">
        <w:rPr>
          <w:rtl/>
        </w:rPr>
        <w:t xml:space="preserve"> </w:t>
      </w:r>
      <w:r w:rsidRPr="0025250D">
        <w:rPr>
          <w:rFonts w:hint="cs"/>
          <w:rtl/>
        </w:rPr>
        <w:t xml:space="preserve">اثر </w:t>
      </w:r>
      <w:r w:rsidRPr="0025250D">
        <w:rPr>
          <w:rtl/>
        </w:rPr>
        <w:t xml:space="preserve">ناتان </w:t>
      </w:r>
      <w:r w:rsidRPr="0025250D">
        <w:rPr>
          <w:rFonts w:hint="cs"/>
          <w:rtl/>
        </w:rPr>
        <w:t>ی</w:t>
      </w:r>
      <w:r w:rsidRPr="0025250D">
        <w:rPr>
          <w:rFonts w:hint="eastAsia"/>
          <w:rtl/>
        </w:rPr>
        <w:t>او</w:t>
      </w:r>
      <w:r w:rsidRPr="0025250D">
        <w:rPr>
          <w:vertAlign w:val="superscript"/>
          <w:rtl/>
        </w:rPr>
        <w:footnoteReference w:id="2951"/>
      </w:r>
      <w:r w:rsidRPr="0025250D">
        <w:rPr>
          <w:rFonts w:hint="cs"/>
          <w:rtl/>
        </w:rPr>
        <w:t xml:space="preserve"> در مصور سازی داده‌ها به ما کمک می‌کنند. کتاب آمار برهنه</w:t>
      </w:r>
      <w:r w:rsidRPr="0025250D">
        <w:rPr>
          <w:vertAlign w:val="superscript"/>
          <w:rtl/>
        </w:rPr>
        <w:footnoteReference w:id="2952"/>
      </w:r>
      <w:r w:rsidRPr="0025250D">
        <w:rPr>
          <w:rFonts w:hint="cs"/>
          <w:rtl/>
        </w:rPr>
        <w:t xml:space="preserve"> در سال 2014، به ما برای تفکر آماری کمک می‌کند. کتاب‌هایی مانند همه دروغ می‌گویند</w:t>
      </w:r>
      <w:r w:rsidRPr="0025250D">
        <w:rPr>
          <w:vertAlign w:val="superscript"/>
          <w:rtl/>
        </w:rPr>
        <w:footnoteReference w:id="2953"/>
      </w:r>
      <w:r w:rsidRPr="0025250D">
        <w:rPr>
          <w:rFonts w:hint="cs"/>
          <w:rtl/>
        </w:rPr>
        <w:t xml:space="preserve"> اثر </w:t>
      </w:r>
      <w:r w:rsidRPr="0025250D">
        <w:rPr>
          <w:rtl/>
        </w:rPr>
        <w:t>ست استفنز- د</w:t>
      </w:r>
      <w:r w:rsidRPr="0025250D">
        <w:rPr>
          <w:rFonts w:hint="cs"/>
          <w:rtl/>
        </w:rPr>
        <w:t>ی</w:t>
      </w:r>
      <w:r w:rsidRPr="0025250D">
        <w:rPr>
          <w:rFonts w:hint="eastAsia"/>
          <w:rtl/>
        </w:rPr>
        <w:t>و</w:t>
      </w:r>
      <w:r w:rsidRPr="0025250D">
        <w:rPr>
          <w:rFonts w:hint="cs"/>
          <w:rtl/>
        </w:rPr>
        <w:t>ی</w:t>
      </w:r>
      <w:r w:rsidRPr="0025250D">
        <w:rPr>
          <w:rFonts w:hint="eastAsia"/>
          <w:rtl/>
        </w:rPr>
        <w:t>دو</w:t>
      </w:r>
      <w:r w:rsidRPr="0025250D">
        <w:rPr>
          <w:rFonts w:hint="cs"/>
          <w:rtl/>
        </w:rPr>
        <w:t>ی</w:t>
      </w:r>
      <w:r w:rsidRPr="0025250D">
        <w:rPr>
          <w:rFonts w:hint="eastAsia"/>
          <w:rtl/>
        </w:rPr>
        <w:t>تز</w:t>
      </w:r>
      <w:r w:rsidRPr="0025250D">
        <w:rPr>
          <w:vertAlign w:val="superscript"/>
          <w:rtl/>
        </w:rPr>
        <w:footnoteReference w:id="2954"/>
      </w:r>
      <w:r w:rsidRPr="0025250D">
        <w:rPr>
          <w:rFonts w:hint="cs"/>
          <w:rtl/>
        </w:rPr>
        <w:t xml:space="preserve"> در سال 2018 و کتاب فراخوانی چرندیات</w:t>
      </w:r>
      <w:r w:rsidRPr="0025250D">
        <w:rPr>
          <w:vertAlign w:val="superscript"/>
          <w:rtl/>
        </w:rPr>
        <w:footnoteReference w:id="2955"/>
      </w:r>
      <w:r w:rsidRPr="0025250D">
        <w:rPr>
          <w:rFonts w:hint="cs"/>
          <w:rtl/>
        </w:rPr>
        <w:t xml:space="preserve"> اثر </w:t>
      </w:r>
      <w:r w:rsidRPr="0025250D">
        <w:rPr>
          <w:rtl/>
        </w:rPr>
        <w:t>برگستروم</w:t>
      </w:r>
      <w:r w:rsidRPr="0025250D">
        <w:rPr>
          <w:rFonts w:hint="cs"/>
          <w:rtl/>
        </w:rPr>
        <w:t xml:space="preserve"> و</w:t>
      </w:r>
      <w:r w:rsidRPr="0025250D">
        <w:rPr>
          <w:rtl/>
        </w:rPr>
        <w:t xml:space="preserve"> </w:t>
      </w:r>
      <w:r w:rsidRPr="0025250D">
        <w:rPr>
          <w:rFonts w:hint="cs"/>
          <w:rtl/>
        </w:rPr>
        <w:t>وست</w:t>
      </w:r>
      <w:r w:rsidRPr="0025250D">
        <w:rPr>
          <w:vertAlign w:val="superscript"/>
          <w:rtl/>
        </w:rPr>
        <w:footnoteReference w:id="2956"/>
      </w:r>
      <w:r w:rsidRPr="0025250D">
        <w:rPr>
          <w:rFonts w:hint="cs"/>
          <w:rtl/>
        </w:rPr>
        <w:t xml:space="preserve"> در سال 2021 راه‌های متعددی را که داده‌ها اغلب به شکل نادرست مورد استفاده قرار می‌گیرند برای ما بیان می‌کنند.</w:t>
      </w:r>
    </w:p>
    <w:p w14:paraId="4F80450B" w14:textId="5C4E7107" w:rsidR="00537CC8" w:rsidRPr="0025250D" w:rsidRDefault="00537CC8" w:rsidP="00537CC8">
      <w:pPr>
        <w:rPr>
          <w:rtl/>
        </w:rPr>
      </w:pPr>
      <w:r w:rsidRPr="0025250D">
        <w:rPr>
          <w:rFonts w:hint="cs"/>
          <w:rtl/>
        </w:rPr>
        <w:t xml:space="preserve">بیش‌تر شرکت‌های بزرگ اکنون یک تیم علوم داده داخلی یا خارجی را برای کمک به آن‌ها در مدلسازی بهتر خودشان و مشتریانشان، </w:t>
      </w:r>
      <w:r w:rsidR="00923DDB" w:rsidRPr="0025250D">
        <w:rPr>
          <w:rFonts w:hint="cs"/>
          <w:rtl/>
        </w:rPr>
        <w:t>پیش‌انگاری</w:t>
      </w:r>
      <w:r w:rsidRPr="0025250D">
        <w:rPr>
          <w:rFonts w:hint="cs"/>
          <w:rtl/>
        </w:rPr>
        <w:t xml:space="preserve"> نیاز هایشان و یافتن کارایی‌های پنهان نهفته در داده‌های مربوط به چگونگی زندگی، کار، ارتباط، صحبت، خرید و رفتار کنونی همه ما به کار می‌گیرند. تقریبا همه این داده‌ها (بیش از 95 درصد) در حال حاضر دست نخورده و غیر ساختار بندی شده </w:t>
      </w:r>
      <w:r w:rsidR="00F50EB4" w:rsidRPr="0025250D">
        <w:rPr>
          <w:rFonts w:hint="cs"/>
          <w:rtl/>
        </w:rPr>
        <w:t>هستند</w:t>
      </w:r>
      <w:r w:rsidRPr="0025250D">
        <w:rPr>
          <w:rFonts w:hint="cs"/>
          <w:rtl/>
        </w:rPr>
        <w:t>، اما هوش مصنوعی این امر را در سال‌های آینده تغییر خواهد داد. کتاب عصر بافت</w:t>
      </w:r>
      <w:r w:rsidRPr="0025250D">
        <w:rPr>
          <w:vertAlign w:val="superscript"/>
          <w:rtl/>
        </w:rPr>
        <w:footnoteReference w:id="2957"/>
      </w:r>
      <w:r w:rsidRPr="0025250D">
        <w:rPr>
          <w:rFonts w:hint="cs"/>
          <w:rtl/>
        </w:rPr>
        <w:t xml:space="preserve"> اثر </w:t>
      </w:r>
      <w:r w:rsidRPr="0025250D">
        <w:rPr>
          <w:rtl/>
        </w:rPr>
        <w:t>اسکوبل و اسرائ</w:t>
      </w:r>
      <w:r w:rsidRPr="0025250D">
        <w:rPr>
          <w:rFonts w:hint="cs"/>
          <w:rtl/>
        </w:rPr>
        <w:t>ی</w:t>
      </w:r>
      <w:r w:rsidRPr="0025250D">
        <w:rPr>
          <w:rFonts w:hint="eastAsia"/>
          <w:rtl/>
        </w:rPr>
        <w:t>ل</w:t>
      </w:r>
      <w:r w:rsidRPr="0025250D">
        <w:rPr>
          <w:vertAlign w:val="superscript"/>
          <w:rtl/>
        </w:rPr>
        <w:footnoteReference w:id="2958"/>
      </w:r>
      <w:r w:rsidRPr="0025250D">
        <w:rPr>
          <w:rFonts w:hint="cs"/>
          <w:rtl/>
        </w:rPr>
        <w:t xml:space="preserve"> در سال 2013 را برای مقدمه خلاصه‌ای در مورد چگونگی یادگیری فزاینده بافت توسط ابزارهای دیجیتالی، با تلاش برای </w:t>
      </w:r>
      <w:r w:rsidR="00923DDB" w:rsidRPr="0025250D">
        <w:rPr>
          <w:rFonts w:hint="cs"/>
          <w:rtl/>
        </w:rPr>
        <w:t>پیش‌انگاری</w:t>
      </w:r>
      <w:r w:rsidRPr="0025250D">
        <w:rPr>
          <w:rFonts w:hint="cs"/>
          <w:rtl/>
        </w:rPr>
        <w:t xml:space="preserve"> و خدمت رسانی بهتر به ما و برخی از چالش‌ها و </w:t>
      </w:r>
      <w:r w:rsidR="00923DDB" w:rsidRPr="0025250D">
        <w:rPr>
          <w:rFonts w:hint="cs"/>
          <w:rtl/>
        </w:rPr>
        <w:t>راه‌حل</w:t>
      </w:r>
      <w:r w:rsidRPr="0025250D">
        <w:rPr>
          <w:rFonts w:hint="cs"/>
          <w:rtl/>
        </w:rPr>
        <w:t>‌هایی که با رخ دادن این امر پدیدار می‌شوند، ببینید.</w:t>
      </w:r>
    </w:p>
    <w:p w14:paraId="06E59256" w14:textId="31BC8BE9" w:rsidR="00537CC8" w:rsidRPr="0025250D" w:rsidRDefault="00537CC8" w:rsidP="00537CC8">
      <w:pPr>
        <w:rPr>
          <w:rtl/>
        </w:rPr>
      </w:pPr>
      <w:r w:rsidRPr="0025250D">
        <w:rPr>
          <w:rFonts w:hint="cs"/>
          <w:rtl/>
        </w:rPr>
        <w:t>در جبهه حکمرانی، ظهور برنامه</w:t>
      </w:r>
      <w:r w:rsidRPr="0025250D">
        <w:rPr>
          <w:vertAlign w:val="superscript"/>
          <w:rtl/>
        </w:rPr>
        <w:footnoteReference w:id="2959"/>
      </w:r>
      <w:r w:rsidRPr="0025250D">
        <w:rPr>
          <w:rFonts w:hint="cs"/>
          <w:rtl/>
        </w:rPr>
        <w:t xml:space="preserve"> </w:t>
      </w:r>
      <w:r w:rsidRPr="0025250D">
        <w:rPr>
          <w:rFonts w:cs="Times New Roman" w:hint="cs"/>
          <w:rtl/>
        </w:rPr>
        <w:t>–</w:t>
      </w:r>
      <w:r w:rsidRPr="0025250D">
        <w:rPr>
          <w:rFonts w:hint="cs"/>
          <w:rtl/>
        </w:rPr>
        <w:t xml:space="preserve"> پلتفرم تجزیه و تحلیل اطلاعاتی </w:t>
      </w:r>
      <w:r w:rsidRPr="0025250D">
        <w:t>NSA</w:t>
      </w:r>
      <w:r w:rsidRPr="0025250D">
        <w:rPr>
          <w:rFonts w:hint="cs"/>
          <w:rtl/>
        </w:rPr>
        <w:t xml:space="preserve"> برای استراق سمع بدون حکم و ترسیم روابط میان همه انسان‌ها بر روی زمین، چه خارجی و چه داخلی </w:t>
      </w:r>
      <w:r w:rsidRPr="0025250D">
        <w:rPr>
          <w:rFonts w:cs="Times New Roman" w:hint="cs"/>
          <w:rtl/>
        </w:rPr>
        <w:t>–</w:t>
      </w:r>
      <w:r w:rsidRPr="0025250D">
        <w:rPr>
          <w:rFonts w:hint="cs"/>
          <w:rtl/>
        </w:rPr>
        <w:t xml:space="preserve"> از نظر فنی در اوایل دهه 2000 ممکن شد</w:t>
      </w:r>
      <w:r w:rsidR="008D6F97" w:rsidRPr="0025250D">
        <w:rPr>
          <w:rtl/>
        </w:rPr>
        <w:t xml:space="preserve">؛ </w:t>
      </w:r>
      <w:r w:rsidRPr="0025250D">
        <w:rPr>
          <w:rFonts w:hint="cs"/>
          <w:rtl/>
        </w:rPr>
        <w:t>اما تنها در دهه‌های پیشین دنیای ما به اندازه کافی از نظر داده‌ای غنی شد و ماشین‌های ما به اندازه کافی برای تشخیص روابط قدرتمند شدند. کتاب ایالات متحده راز ها</w:t>
      </w:r>
      <w:r w:rsidRPr="0025250D">
        <w:rPr>
          <w:vertAlign w:val="superscript"/>
          <w:rtl/>
        </w:rPr>
        <w:footnoteReference w:id="2960"/>
      </w:r>
      <w:r w:rsidRPr="0025250D">
        <w:t xml:space="preserve"> </w:t>
      </w:r>
      <w:r w:rsidRPr="0025250D">
        <w:rPr>
          <w:rFonts w:hint="cs"/>
          <w:rtl/>
        </w:rPr>
        <w:t>اثر فرانت لاین</w:t>
      </w:r>
      <w:r w:rsidRPr="0025250D">
        <w:rPr>
          <w:vertAlign w:val="superscript"/>
          <w:rtl/>
        </w:rPr>
        <w:footnoteReference w:id="2961"/>
      </w:r>
      <w:r w:rsidRPr="0025250D">
        <w:rPr>
          <w:rFonts w:hint="cs"/>
          <w:rtl/>
        </w:rPr>
        <w:t xml:space="preserve"> در سال 2014 را برای یک گزارش در این زمینه ببینید. </w:t>
      </w:r>
      <w:r w:rsidR="007118DE" w:rsidRPr="0025250D">
        <w:rPr>
          <w:rFonts w:hint="cs"/>
          <w:rtl/>
        </w:rPr>
        <w:t>همان‌طور</w:t>
      </w:r>
      <w:r w:rsidRPr="0025250D">
        <w:rPr>
          <w:rFonts w:hint="cs"/>
          <w:rtl/>
        </w:rPr>
        <w:t xml:space="preserve"> که </w:t>
      </w:r>
      <w:r w:rsidR="00D92F6E" w:rsidRPr="0025250D">
        <w:rPr>
          <w:rFonts w:hint="cs"/>
          <w:rtl/>
        </w:rPr>
        <w:t>آینده‌پژوه</w:t>
      </w:r>
      <w:r w:rsidRPr="0025250D">
        <w:rPr>
          <w:rFonts w:hint="cs"/>
          <w:rtl/>
        </w:rPr>
        <w:t xml:space="preserve"> </w:t>
      </w:r>
      <w:r w:rsidRPr="0025250D">
        <w:rPr>
          <w:rtl/>
        </w:rPr>
        <w:t>د</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rtl/>
        </w:rPr>
        <w:t xml:space="preserve"> بر</w:t>
      </w:r>
      <w:r w:rsidRPr="0025250D">
        <w:rPr>
          <w:rFonts w:hint="cs"/>
          <w:rtl/>
        </w:rPr>
        <w:t>ی</w:t>
      </w:r>
      <w:r w:rsidRPr="0025250D">
        <w:rPr>
          <w:rFonts w:hint="eastAsia"/>
          <w:rtl/>
        </w:rPr>
        <w:t>ن</w:t>
      </w:r>
      <w:r w:rsidRPr="0025250D">
        <w:rPr>
          <w:vertAlign w:val="superscript"/>
          <w:rtl/>
        </w:rPr>
        <w:footnoteReference w:id="2962"/>
      </w:r>
      <w:r w:rsidRPr="0025250D">
        <w:rPr>
          <w:rFonts w:hint="cs"/>
          <w:rtl/>
        </w:rPr>
        <w:t xml:space="preserve"> در کتاب کلاسیک خود، جامعه شفاف</w:t>
      </w:r>
      <w:r w:rsidRPr="0025250D">
        <w:rPr>
          <w:vertAlign w:val="superscript"/>
          <w:rtl/>
        </w:rPr>
        <w:footnoteReference w:id="2963"/>
      </w:r>
      <w:r w:rsidRPr="0025250D">
        <w:rPr>
          <w:rFonts w:hint="cs"/>
          <w:rtl/>
        </w:rPr>
        <w:t xml:space="preserve"> در سال 1998 گفته</w:t>
      </w:r>
      <w:r w:rsidRPr="0025250D">
        <w:rPr>
          <w:rtl/>
        </w:rPr>
        <w:t xml:space="preserve"> </w:t>
      </w:r>
      <w:r w:rsidRPr="0025250D">
        <w:rPr>
          <w:rFonts w:hint="cs"/>
          <w:rtl/>
        </w:rPr>
        <w:t xml:space="preserve">است مشکل اجتماعی اصلی رشد شفافیت عمومی نیست. این یک روند توسعه‌ای جهانی قابل </w:t>
      </w:r>
      <w:r w:rsidR="00D92F6E" w:rsidRPr="0025250D">
        <w:rPr>
          <w:rFonts w:hint="cs"/>
          <w:rtl/>
        </w:rPr>
        <w:t>پیش‌بین</w:t>
      </w:r>
      <w:r w:rsidRPr="0025250D">
        <w:rPr>
          <w:rFonts w:hint="cs"/>
          <w:rtl/>
        </w:rPr>
        <w:t xml:space="preserve">ی و اجتناب ناپذیر است. جوامع هوشمند ما همواره دارای بهترین ابزار‌ها برای حفاظت از ما در برابر افراد سرکش و گروه‌های متعصب کوچک خواهند بود و از نظر ما، شایستگی آن را هم دارند. مشکل اصلی نیاز ما به حفظ آزادی‌ها و حریم خصوصی فردی ضمن رشد شفافیت عمومی است. جوامع </w:t>
      </w:r>
      <w:r w:rsidR="00EE4B64" w:rsidRPr="0025250D">
        <w:rPr>
          <w:rFonts w:hint="cs"/>
          <w:rtl/>
        </w:rPr>
        <w:t>مردم‌سالار</w:t>
      </w:r>
      <w:r w:rsidRPr="0025250D">
        <w:rPr>
          <w:rFonts w:hint="cs"/>
          <w:rtl/>
        </w:rPr>
        <w:t xml:space="preserve"> به ابزارهای شفافیت </w:t>
      </w:r>
      <w:r w:rsidR="00B124DE" w:rsidRPr="0025250D">
        <w:rPr>
          <w:rFonts w:hint="cs"/>
          <w:rtl/>
        </w:rPr>
        <w:t>کسب‌و‌کار</w:t>
      </w:r>
      <w:r w:rsidRPr="0025250D">
        <w:rPr>
          <w:rFonts w:hint="cs"/>
          <w:rtl/>
        </w:rPr>
        <w:t xml:space="preserve"> کوچک و </w:t>
      </w:r>
      <w:r w:rsidR="001A3F0A" w:rsidRPr="0025250D">
        <w:rPr>
          <w:rFonts w:hint="cs"/>
          <w:rtl/>
        </w:rPr>
        <w:t>فردی</w:t>
      </w:r>
      <w:r w:rsidRPr="0025250D">
        <w:rPr>
          <w:rFonts w:hint="cs"/>
          <w:rtl/>
        </w:rPr>
        <w:t xml:space="preserve"> پایین به بالا برای نظارت بر جوامع، پلتفرم‌ها، رهبران و سیاست مداران و حفاظت از افشاکنندگان برای </w:t>
      </w:r>
      <w:r w:rsidR="00274907" w:rsidRPr="0025250D">
        <w:rPr>
          <w:rFonts w:hint="cs"/>
          <w:rtl/>
        </w:rPr>
        <w:t>به‌اشتراک‌گذار</w:t>
      </w:r>
      <w:r w:rsidRPr="0025250D">
        <w:rPr>
          <w:rFonts w:hint="cs"/>
          <w:rtl/>
        </w:rPr>
        <w:t>ی اطلاعات وقتی قوانین زیر پا گذاشته می‌شوند، نیاز دارند.</w:t>
      </w:r>
    </w:p>
    <w:p w14:paraId="302BB0D4" w14:textId="25459E91" w:rsidR="00537CC8" w:rsidRPr="0025250D" w:rsidRDefault="00537CC8" w:rsidP="00537CC8">
      <w:pPr>
        <w:rPr>
          <w:rtl/>
        </w:rPr>
      </w:pPr>
      <w:r w:rsidRPr="0025250D">
        <w:rPr>
          <w:rFonts w:hint="cs"/>
          <w:rtl/>
        </w:rPr>
        <w:t xml:space="preserve">برنامه نظارت داخلی </w:t>
      </w:r>
      <w:r w:rsidRPr="0025250D">
        <w:t>NSA</w:t>
      </w:r>
      <w:r w:rsidRPr="0025250D">
        <w:rPr>
          <w:rFonts w:hint="cs"/>
          <w:rtl/>
        </w:rPr>
        <w:t xml:space="preserve"> پس از 11 سپتامبر، وقتی دریافتیم که چنین برنامه‌ای برای مقابله با تهدید‌های نمایی آینده لازم است، از نظر سیاسی ممکن شد. متأسفانه، این برنامه به صورت سرّی و بدون بحث و نظارت عمومی کافی تثبیت شد و بنابراین در حال حاضر از نظر ساختاری از </w:t>
      </w:r>
      <w:r w:rsidR="0008779C" w:rsidRPr="0025250D">
        <w:rPr>
          <w:rFonts w:hint="cs"/>
          <w:rtl/>
        </w:rPr>
        <w:t>ایدئال</w:t>
      </w:r>
      <w:r w:rsidRPr="0025250D">
        <w:rPr>
          <w:rFonts w:hint="cs"/>
          <w:rtl/>
        </w:rPr>
        <w:t xml:space="preserve">‌ها فاصله دارد. شاید واضح‌ترین شکست </w:t>
      </w:r>
      <w:r w:rsidR="00EE4B64" w:rsidRPr="0025250D">
        <w:rPr>
          <w:rFonts w:hint="cs"/>
          <w:rtl/>
        </w:rPr>
        <w:t>مردم‌سالار</w:t>
      </w:r>
      <w:r w:rsidRPr="0025250D">
        <w:rPr>
          <w:rFonts w:hint="cs"/>
          <w:rtl/>
        </w:rPr>
        <w:t xml:space="preserve">ی این است که سیاست مداران ما همواره از در معرض بحث عمومی قرار دادن موضوع قاعده مند سازیِ شفافیت طفره رفته اند. این که با توجه به سطح فعلی توسعه داخلی و خارجی، به چه سطحی از نظارت </w:t>
      </w:r>
      <w:r w:rsidR="009D17DA" w:rsidRPr="0025250D">
        <w:rPr>
          <w:rFonts w:hint="cs"/>
          <w:rtl/>
        </w:rPr>
        <w:t>بالا‌به‌پایین</w:t>
      </w:r>
      <w:r w:rsidRPr="0025250D">
        <w:rPr>
          <w:rFonts w:hint="cs"/>
          <w:rtl/>
        </w:rPr>
        <w:t xml:space="preserve"> در مقابل پایین به بالا (اجرا شده توسط شهروندان) درون آمریکا نیاز داریم، یک مسئله پیچیده سیاسی است</w:t>
      </w:r>
      <w:r w:rsidR="008D6F97" w:rsidRPr="0025250D">
        <w:rPr>
          <w:rtl/>
        </w:rPr>
        <w:t xml:space="preserve">؛ </w:t>
      </w:r>
      <w:r w:rsidRPr="0025250D">
        <w:rPr>
          <w:rFonts w:hint="cs"/>
          <w:rtl/>
        </w:rPr>
        <w:t xml:space="preserve">اما آنچه اصلا جای بحث ندارد این است که هر ملتی و همه شرکت‌های دیجیتالی اکنون در بازی </w:t>
      </w:r>
      <w:r w:rsidR="00B124DE" w:rsidRPr="0025250D">
        <w:rPr>
          <w:rFonts w:hint="cs"/>
          <w:rtl/>
        </w:rPr>
        <w:t>جمع‌آوری</w:t>
      </w:r>
      <w:r w:rsidRPr="0025250D">
        <w:rPr>
          <w:rFonts w:hint="cs"/>
          <w:rtl/>
        </w:rPr>
        <w:t xml:space="preserve"> و انباشت داده‌ها نقش دارند و قوانین بهتری درمورد </w:t>
      </w:r>
      <w:r w:rsidR="00B124DE" w:rsidRPr="0025250D">
        <w:rPr>
          <w:rFonts w:hint="cs"/>
          <w:rtl/>
        </w:rPr>
        <w:t>جمع‌آوری</w:t>
      </w:r>
      <w:r w:rsidRPr="0025250D">
        <w:rPr>
          <w:rFonts w:hint="cs"/>
          <w:rtl/>
        </w:rPr>
        <w:t xml:space="preserve">، </w:t>
      </w:r>
      <w:r w:rsidR="00274907" w:rsidRPr="0025250D">
        <w:rPr>
          <w:rFonts w:hint="cs"/>
          <w:rtl/>
        </w:rPr>
        <w:t>به‌اشتراک‌گذار</w:t>
      </w:r>
      <w:r w:rsidRPr="0025250D">
        <w:rPr>
          <w:rFonts w:hint="cs"/>
          <w:rtl/>
        </w:rPr>
        <w:t xml:space="preserve">ی، ویرایش و حقوق داده‌ها باید وضع شوند. در حال حاضر سازمان‌های جاسوسی و اطلاعاتی، بازاریابان، هکر‌ها، مجرمین و دیگران این داده‌ها را با نظارت، شفافیت و توجیهات قانونی بسیار متفاوتی </w:t>
      </w:r>
      <w:r w:rsidR="00B124DE" w:rsidRPr="0025250D">
        <w:rPr>
          <w:rFonts w:hint="cs"/>
          <w:rtl/>
        </w:rPr>
        <w:t>جمع‌آوری</w:t>
      </w:r>
      <w:r w:rsidRPr="0025250D">
        <w:rPr>
          <w:rFonts w:hint="cs"/>
          <w:rtl/>
        </w:rPr>
        <w:t xml:space="preserve"> می‌کنند.</w:t>
      </w:r>
    </w:p>
    <w:p w14:paraId="172B88B7" w14:textId="770DB5C6" w:rsidR="00537CC8" w:rsidRPr="0025250D" w:rsidRDefault="00537CC8" w:rsidP="00537CC8">
      <w:pPr>
        <w:rPr>
          <w:rtl/>
        </w:rPr>
      </w:pPr>
      <w:r w:rsidRPr="0025250D">
        <w:rPr>
          <w:rFonts w:hint="cs"/>
          <w:rtl/>
        </w:rPr>
        <w:t>در آخر، آنچه امروزه در آمریکا برای داده‌ها رخ می‌دهد، در مقایسه با تنگ شیشه‌ای نظارتی</w:t>
      </w:r>
      <w:r w:rsidRPr="0025250D">
        <w:rPr>
          <w:vertAlign w:val="superscript"/>
          <w:rtl/>
        </w:rPr>
        <w:footnoteReference w:id="2964"/>
      </w:r>
      <w:r w:rsidRPr="0025250D">
        <w:rPr>
          <w:rFonts w:hint="cs"/>
          <w:rtl/>
        </w:rPr>
        <w:t xml:space="preserve"> که هم اکنون در چین در حال ساخت است که در آن </w:t>
      </w:r>
      <w:r w:rsidR="007A53FD" w:rsidRPr="0025250D">
        <w:rPr>
          <w:rFonts w:hint="cs"/>
          <w:rtl/>
        </w:rPr>
        <w:t>فناوری</w:t>
      </w:r>
      <w:r w:rsidRPr="0025250D">
        <w:rPr>
          <w:rFonts w:hint="cs"/>
          <w:rtl/>
        </w:rPr>
        <w:t xml:space="preserve">‌های بحث برانگیزی مانند تشخیص چهره و امتیاز دهی رفتاری هم اکنون نیز در بسیاری از محیط‌های عمومی، محل‌های کاری و مدارس استفاده می‌شوند، کم رنگ به نظر می‌رسد. آمریکا فرصت خوبی برای هدایت و رهبری بهتری در استاندارد سازی داده‌ای و حفاظت از آزادی‌ها ضمن رشد شفافیت امنیتی دارد. در حال حاضر اروپا به طور مشخصی در این زمینه، با </w:t>
      </w:r>
      <w:r w:rsidR="00B13F65" w:rsidRPr="0025250D">
        <w:rPr>
          <w:rFonts w:hint="cs"/>
          <w:rtl/>
        </w:rPr>
        <w:t>چارچوب</w:t>
      </w:r>
      <w:r w:rsidRPr="0025250D">
        <w:rPr>
          <w:rFonts w:hint="cs"/>
          <w:rtl/>
        </w:rPr>
        <w:t>‌های قانونی مانند تنظیم مقررات حفاظت از داده‌های عمومی</w:t>
      </w:r>
      <w:r w:rsidRPr="0025250D">
        <w:rPr>
          <w:vertAlign w:val="superscript"/>
          <w:rtl/>
        </w:rPr>
        <w:footnoteReference w:id="2965"/>
      </w:r>
      <w:r w:rsidRPr="0025250D">
        <w:rPr>
          <w:rFonts w:hint="cs"/>
          <w:rtl/>
        </w:rPr>
        <w:t xml:space="preserve"> (</w:t>
      </w:r>
      <w:r w:rsidRPr="0025250D">
        <w:t>GDPR</w:t>
      </w:r>
      <w:r w:rsidRPr="0025250D">
        <w:rPr>
          <w:rFonts w:hint="cs"/>
          <w:rtl/>
        </w:rPr>
        <w:t xml:space="preserve">) که در سال 2018 تصویب شد، پیشتاز است. امیدواریم که لایحه حریم شخصی مصرف کننده در کالیفرنیا که در سال 2020 تصویب شد و از </w:t>
      </w:r>
      <w:r w:rsidRPr="0025250D">
        <w:t>GDPR</w:t>
      </w:r>
      <w:r w:rsidRPr="0025250D">
        <w:rPr>
          <w:rFonts w:hint="cs"/>
          <w:rtl/>
        </w:rPr>
        <w:t xml:space="preserve"> در اروپا الهام گرفته است، اولین مورد از قوانین متعدد این چنینی باشد که از مردم آمریکا در محیط داده‌ای شفاف و غنی حفاظت کند.</w:t>
      </w:r>
    </w:p>
    <w:p w14:paraId="7C2883D5" w14:textId="77777777" w:rsidR="00537CC8" w:rsidRPr="0025250D" w:rsidRDefault="00537CC8" w:rsidP="00EF26F0">
      <w:pPr>
        <w:pStyle w:val="Heading3"/>
        <w:rPr>
          <w:rtl/>
        </w:rPr>
      </w:pPr>
      <w:r w:rsidRPr="0025250D">
        <w:rPr>
          <w:rtl/>
        </w:rPr>
        <w:t>آینده‌نگاری</w:t>
      </w:r>
      <w:r w:rsidRPr="0025250D">
        <w:rPr>
          <w:rFonts w:hint="cs"/>
          <w:rtl/>
        </w:rPr>
        <w:t xml:space="preserve"> اتکای بیشتری بر احتمالات دارد</w:t>
      </w:r>
    </w:p>
    <w:p w14:paraId="39567ACA" w14:textId="1A806EB0" w:rsidR="00537CC8" w:rsidRPr="0025250D" w:rsidRDefault="00537CC8" w:rsidP="00537CC8">
      <w:pPr>
        <w:rPr>
          <w:rtl/>
        </w:rPr>
      </w:pPr>
      <w:r w:rsidRPr="0025250D">
        <w:rPr>
          <w:rFonts w:hint="cs"/>
          <w:rtl/>
        </w:rPr>
        <w:t xml:space="preserve">با درک بیش از پیش فرایند‌های تکاملی-توسعه‌ای ژنتیکی، سلولی، ارگانیسمی و اکولوژیکی که روانشناسی انسان را هدایت می‌کنند، در می‌یابیم که موجودات هوشمند، در همه دامنه‌های آگاهی، به عنوان یکی از روش‌های اساسی </w:t>
      </w:r>
      <w:r w:rsidR="00B124DE" w:rsidRPr="0025250D">
        <w:rPr>
          <w:rFonts w:hint="cs"/>
          <w:rtl/>
        </w:rPr>
        <w:t>انطباق‌پذیر</w:t>
      </w:r>
      <w:r w:rsidRPr="0025250D">
        <w:rPr>
          <w:rFonts w:hint="cs"/>
          <w:rtl/>
        </w:rPr>
        <w:t>ی، همواره</w:t>
      </w:r>
      <w:r w:rsidRPr="0025250D">
        <w:rPr>
          <w:rtl/>
        </w:rPr>
        <w:t xml:space="preserve"> </w:t>
      </w:r>
      <w:r w:rsidRPr="0025250D">
        <w:rPr>
          <w:rFonts w:hint="cs"/>
          <w:rtl/>
        </w:rPr>
        <w:t>در</w:t>
      </w:r>
      <w:r w:rsidRPr="0025250D">
        <w:rPr>
          <w:rtl/>
        </w:rPr>
        <w:t xml:space="preserve"> </w:t>
      </w:r>
      <w:r w:rsidRPr="0025250D">
        <w:rPr>
          <w:rFonts w:hint="cs"/>
          <w:rtl/>
        </w:rPr>
        <w:t>حال</w:t>
      </w:r>
      <w:r w:rsidRPr="0025250D">
        <w:rPr>
          <w:rtl/>
        </w:rPr>
        <w:t xml:space="preserve"> </w:t>
      </w:r>
      <w:r w:rsidR="00D92F6E" w:rsidRPr="0025250D">
        <w:rPr>
          <w:rFonts w:hint="cs"/>
          <w:rtl/>
        </w:rPr>
        <w:t>پیش‌بین</w:t>
      </w:r>
      <w:r w:rsidRPr="0025250D">
        <w:rPr>
          <w:rFonts w:hint="cs"/>
          <w:rtl/>
        </w:rPr>
        <w:t>ی</w:t>
      </w:r>
      <w:r w:rsidRPr="0025250D">
        <w:rPr>
          <w:rtl/>
        </w:rPr>
        <w:t xml:space="preserve"> </w:t>
      </w:r>
      <w:r w:rsidRPr="0025250D">
        <w:rPr>
          <w:rFonts w:hint="cs"/>
          <w:rtl/>
        </w:rPr>
        <w:t xml:space="preserve">هستند. در </w:t>
      </w:r>
      <w:r w:rsidRPr="0025250D">
        <w:t>BPF</w:t>
      </w:r>
      <w:r w:rsidRPr="0025250D">
        <w:rPr>
          <w:rFonts w:hint="cs"/>
          <w:rtl/>
        </w:rPr>
        <w:t xml:space="preserve">، خواهیم دید که </w:t>
      </w:r>
      <w:r w:rsidR="00D92F6E" w:rsidRPr="0025250D">
        <w:rPr>
          <w:rFonts w:hint="cs"/>
          <w:rtl/>
        </w:rPr>
        <w:t>پیش‌بین</w:t>
      </w:r>
      <w:r w:rsidRPr="0025250D">
        <w:rPr>
          <w:rFonts w:hint="cs"/>
          <w:rtl/>
        </w:rPr>
        <w:t>ی در مرکز بهترین مدل‌های ما از مغز، مانند استنتاج فعال</w:t>
      </w:r>
      <w:r w:rsidRPr="0025250D">
        <w:rPr>
          <w:vertAlign w:val="superscript"/>
          <w:rtl/>
        </w:rPr>
        <w:footnoteReference w:id="2966"/>
      </w:r>
      <w:r w:rsidRPr="0025250D">
        <w:rPr>
          <w:rFonts w:hint="cs"/>
          <w:rtl/>
        </w:rPr>
        <w:t xml:space="preserve">، قرار دارد و برای چگونگی حفظ هوش جمعی توسط شبکه‌ها نقش محوری دارد. این باور خام که </w:t>
      </w:r>
      <w:r w:rsidR="00D92F6E" w:rsidRPr="0025250D">
        <w:rPr>
          <w:rFonts w:hint="cs"/>
          <w:rtl/>
        </w:rPr>
        <w:t>پیش‌بین</w:t>
      </w:r>
      <w:r w:rsidRPr="0025250D">
        <w:rPr>
          <w:rFonts w:hint="cs"/>
          <w:rtl/>
        </w:rPr>
        <w:t xml:space="preserve">ی بیهوده و غیر مسئولانه است که متأسفانه در بسیاری از (نه همه) فعالیت‌های </w:t>
      </w:r>
      <w:r w:rsidRPr="0025250D">
        <w:rPr>
          <w:rtl/>
        </w:rPr>
        <w:t>آینده‌نگاری</w:t>
      </w:r>
      <w:r w:rsidRPr="0025250D">
        <w:rPr>
          <w:rFonts w:hint="cs"/>
          <w:rtl/>
        </w:rPr>
        <w:t xml:space="preserve"> تخصصی امروز دیده می‌شود و درک نادرست از تاریخ و علم پیچیدگی که برخی اوقات برای توجیه آن استفاده می‌شوند، در مقابلِ این باورِ مبتنی بر شواهد در ی</w:t>
      </w:r>
      <w:r w:rsidRPr="0025250D">
        <w:rPr>
          <w:rFonts w:hint="eastAsia"/>
          <w:rtl/>
        </w:rPr>
        <w:t>ک</w:t>
      </w:r>
      <w:r w:rsidRPr="0025250D">
        <w:rPr>
          <w:rtl/>
        </w:rPr>
        <w:t xml:space="preserve"> </w:t>
      </w:r>
      <w:r w:rsidRPr="0025250D">
        <w:rPr>
          <w:rFonts w:hint="cs"/>
          <w:rtl/>
        </w:rPr>
        <w:t>پیوستار</w:t>
      </w:r>
      <w:r w:rsidRPr="0025250D">
        <w:rPr>
          <w:rtl/>
        </w:rPr>
        <w:t xml:space="preserve"> کامل از قابل</w:t>
      </w:r>
      <w:r w:rsidRPr="0025250D">
        <w:rPr>
          <w:rFonts w:hint="cs"/>
          <w:rtl/>
        </w:rPr>
        <w:t>ی</w:t>
      </w:r>
      <w:r w:rsidRPr="0025250D">
        <w:rPr>
          <w:rFonts w:hint="eastAsia"/>
          <w:rtl/>
        </w:rPr>
        <w:t>ت</w:t>
      </w:r>
      <w:r w:rsidRPr="0025250D">
        <w:rPr>
          <w:rFonts w:hint="cs"/>
          <w:rtl/>
        </w:rPr>
        <w:t>ِ</w:t>
      </w:r>
      <w:r w:rsidRPr="0025250D">
        <w:rPr>
          <w:rtl/>
        </w:rPr>
        <w:t xml:space="preserve"> </w:t>
      </w:r>
      <w:r w:rsidR="00D92F6E" w:rsidRPr="0025250D">
        <w:rPr>
          <w:rtl/>
        </w:rPr>
        <w:t>پیش‌بین</w:t>
      </w:r>
      <w:r w:rsidRPr="0025250D">
        <w:rPr>
          <w:rFonts w:hint="cs"/>
          <w:rtl/>
        </w:rPr>
        <w:t>یِ</w:t>
      </w:r>
      <w:r w:rsidRPr="0025250D">
        <w:rPr>
          <w:rtl/>
        </w:rPr>
        <w:t xml:space="preserve"> آمار</w:t>
      </w:r>
      <w:r w:rsidRPr="0025250D">
        <w:rPr>
          <w:rFonts w:hint="cs"/>
          <w:rtl/>
        </w:rPr>
        <w:t>ی</w:t>
      </w:r>
      <w:r w:rsidRPr="0025250D">
        <w:rPr>
          <w:rtl/>
        </w:rPr>
        <w:t xml:space="preserve"> در فرآ</w:t>
      </w:r>
      <w:r w:rsidRPr="0025250D">
        <w:rPr>
          <w:rFonts w:hint="cs"/>
          <w:rtl/>
        </w:rPr>
        <w:t>ی</w:t>
      </w:r>
      <w:r w:rsidRPr="0025250D">
        <w:rPr>
          <w:rFonts w:hint="eastAsia"/>
          <w:rtl/>
        </w:rPr>
        <w:t>ندها</w:t>
      </w:r>
      <w:r w:rsidRPr="0025250D">
        <w:rPr>
          <w:rFonts w:hint="cs"/>
          <w:rtl/>
        </w:rPr>
        <w:t>ی</w:t>
      </w:r>
      <w:r w:rsidRPr="0025250D">
        <w:rPr>
          <w:rtl/>
        </w:rPr>
        <w:t xml:space="preserve"> طب</w:t>
      </w:r>
      <w:r w:rsidRPr="0025250D">
        <w:rPr>
          <w:rFonts w:hint="cs"/>
          <w:rtl/>
        </w:rPr>
        <w:t>ی</w:t>
      </w:r>
      <w:r w:rsidRPr="0025250D">
        <w:rPr>
          <w:rFonts w:hint="eastAsia"/>
          <w:rtl/>
        </w:rPr>
        <w:t>ع</w:t>
      </w:r>
      <w:r w:rsidRPr="0025250D">
        <w:rPr>
          <w:rFonts w:hint="cs"/>
          <w:rtl/>
        </w:rPr>
        <w:t xml:space="preserve">ی، بسته به سطح عادی بودن و دقت، دامنه و مقیاس زمانی مدل‌های ما، تسلیم می‌شود. ما همچنین عواملی را که تفکر احتمالی مان را بهبود یا تنزل می‌دهند </w:t>
      </w:r>
      <w:r w:rsidRPr="0025250D">
        <w:rPr>
          <w:rFonts w:cs="Times New Roman" w:hint="cs"/>
          <w:rtl/>
        </w:rPr>
        <w:t>–</w:t>
      </w:r>
      <w:r w:rsidRPr="0025250D">
        <w:rPr>
          <w:rFonts w:hint="cs"/>
          <w:rtl/>
        </w:rPr>
        <w:t xml:space="preserve"> و چگونگی تقویت قوه ذهنی </w:t>
      </w:r>
      <w:r w:rsidR="00D92F6E" w:rsidRPr="0025250D">
        <w:rPr>
          <w:rFonts w:hint="cs"/>
          <w:rtl/>
        </w:rPr>
        <w:t>پیش‌بین</w:t>
      </w:r>
      <w:r w:rsidRPr="0025250D">
        <w:rPr>
          <w:rFonts w:hint="cs"/>
          <w:rtl/>
        </w:rPr>
        <w:t>ی خود را - به مرور درک می‌کنیم.</w:t>
      </w:r>
    </w:p>
    <w:p w14:paraId="45B16D53" w14:textId="635ABB5C" w:rsidR="00537CC8" w:rsidRPr="0025250D" w:rsidRDefault="00537CC8" w:rsidP="00537CC8">
      <w:pPr>
        <w:rPr>
          <w:rtl/>
        </w:rPr>
      </w:pPr>
      <w:r w:rsidRPr="0025250D">
        <w:rPr>
          <w:rFonts w:hint="cs"/>
          <w:rtl/>
        </w:rPr>
        <w:t xml:space="preserve">نظریه‌ها و روش‌هایی مانند </w:t>
      </w:r>
      <w:r w:rsidRPr="0025250D">
        <w:rPr>
          <w:rtl/>
        </w:rPr>
        <w:t>احتمال ب</w:t>
      </w:r>
      <w:r w:rsidRPr="0025250D">
        <w:rPr>
          <w:rFonts w:hint="cs"/>
          <w:rtl/>
        </w:rPr>
        <w:t>ی</w:t>
      </w:r>
      <w:r w:rsidRPr="0025250D">
        <w:rPr>
          <w:rFonts w:hint="eastAsia"/>
          <w:rtl/>
        </w:rPr>
        <w:t>ز</w:t>
      </w:r>
      <w:r w:rsidRPr="0025250D">
        <w:rPr>
          <w:rFonts w:hint="cs"/>
          <w:rtl/>
        </w:rPr>
        <w:t>ی</w:t>
      </w:r>
      <w:r w:rsidRPr="0025250D">
        <w:rPr>
          <w:vertAlign w:val="superscript"/>
          <w:rtl/>
        </w:rPr>
        <w:footnoteReference w:id="2967"/>
      </w:r>
      <w:r w:rsidR="00F50EB4" w:rsidRPr="0025250D">
        <w:rPr>
          <w:rFonts w:hint="cs"/>
          <w:rtl/>
        </w:rPr>
        <w:t xml:space="preserve"> به عنوان</w:t>
      </w:r>
      <w:r w:rsidRPr="0025250D">
        <w:rPr>
          <w:rFonts w:hint="cs"/>
          <w:rtl/>
        </w:rPr>
        <w:t xml:space="preserve"> یک شیوه استدلال آماری از اطلاعات ناقص، با هوشمند‌تر شدن و غنی‌تر شدن جهان ما از داده‌ها</w:t>
      </w:r>
      <w:r w:rsidR="00F50EB4" w:rsidRPr="0025250D">
        <w:rPr>
          <w:rFonts w:hint="cs"/>
          <w:rtl/>
        </w:rPr>
        <w:t>،</w:t>
      </w:r>
      <w:r w:rsidRPr="0025250D">
        <w:rPr>
          <w:rFonts w:hint="cs"/>
          <w:rtl/>
        </w:rPr>
        <w:t xml:space="preserve"> درحال کسب توجه انجمن‌های عملی فعال بزرگتر هستند. از میان همه آینده‌های محتمل پیش رو، ما در حال آغاز به درک این هستیم که آینده‌های مسلم، از جمله تولید نمایی اطلاعات، تغییر علمی و فنّاوری، تولید ثروتِ متراکم و </w:t>
      </w:r>
      <w:r w:rsidR="000B4A71" w:rsidRPr="0025250D">
        <w:rPr>
          <w:rFonts w:hint="cs"/>
          <w:rtl/>
        </w:rPr>
        <w:t>مادی‌زدایی</w:t>
      </w:r>
      <w:r w:rsidRPr="0025250D">
        <w:rPr>
          <w:rFonts w:hint="cs"/>
          <w:rtl/>
        </w:rPr>
        <w:t xml:space="preserve"> شده فزاینده و نابرابری ِدر حال افزایش با پدیدار شدن </w:t>
      </w:r>
      <w:r w:rsidR="007A53FD" w:rsidRPr="0025250D">
        <w:rPr>
          <w:rFonts w:hint="cs"/>
          <w:rtl/>
        </w:rPr>
        <w:t>فناوری</w:t>
      </w:r>
      <w:r w:rsidRPr="0025250D">
        <w:rPr>
          <w:rFonts w:hint="cs"/>
          <w:rtl/>
        </w:rPr>
        <w:t xml:space="preserve">‌های تولیدی جدید، فرایند‌های کلی قابل </w:t>
      </w:r>
      <w:r w:rsidR="00D92F6E" w:rsidRPr="0025250D">
        <w:rPr>
          <w:rFonts w:hint="cs"/>
          <w:rtl/>
        </w:rPr>
        <w:t>پیش‌بین</w:t>
      </w:r>
      <w:r w:rsidRPr="0025250D">
        <w:rPr>
          <w:rFonts w:hint="cs"/>
          <w:rtl/>
        </w:rPr>
        <w:t>ی هستند. همزمان، این فرایند‌های توسعه‌ای با تنوع تکاملی خوبی در مناطق، کشور‌ها، شهر‌ها و شرکت‌های مختلف مدیریت می‌شوند. این درک رو به رشد در عوض سبب تغییر اجتماعی جدیدی خواهد شد.</w:t>
      </w:r>
    </w:p>
    <w:p w14:paraId="42BBF01B" w14:textId="77777777" w:rsidR="00537CC8" w:rsidRPr="0025250D" w:rsidRDefault="00537CC8" w:rsidP="00537CC8">
      <w:pPr>
        <w:rPr>
          <w:rtl/>
        </w:rPr>
      </w:pPr>
      <w:r w:rsidRPr="0025250D">
        <w:rPr>
          <w:rFonts w:hint="cs"/>
          <w:rtl/>
        </w:rPr>
        <w:t xml:space="preserve">یک تغییر اجتماعی که ما اکنون مشاهده می‌کنیم، این است که نه تنها دانشمندانی که به ما برای دیدن نظم پنهان جهان کمک می‌کنند، بلکه کارآفرینان و نوآوران فنی خاص با چشم‌اندازهای شجاعانه و مثبت، به شکل فزاینده‌ای به قهرمانان و الگوهای ما در جامعه مدرن تبدیل می‌شوند. ما در قرن بیستم با افرادی مانند </w:t>
      </w:r>
      <w:r w:rsidRPr="0025250D">
        <w:rPr>
          <w:rtl/>
        </w:rPr>
        <w:t>کارل س</w:t>
      </w:r>
      <w:r w:rsidRPr="0025250D">
        <w:rPr>
          <w:rFonts w:hint="cs"/>
          <w:rtl/>
        </w:rPr>
        <w:t>ی</w:t>
      </w:r>
      <w:r w:rsidRPr="0025250D">
        <w:rPr>
          <w:rFonts w:hint="eastAsia"/>
          <w:rtl/>
        </w:rPr>
        <w:t>گان</w:t>
      </w:r>
      <w:r w:rsidRPr="0025250D">
        <w:rPr>
          <w:rFonts w:hint="cs"/>
          <w:rtl/>
        </w:rPr>
        <w:t xml:space="preserve"> و افراد با نفوذی مانند </w:t>
      </w:r>
      <w:r w:rsidRPr="0025250D">
        <w:rPr>
          <w:rtl/>
        </w:rPr>
        <w:t>ب</w:t>
      </w:r>
      <w:r w:rsidRPr="0025250D">
        <w:rPr>
          <w:rFonts w:hint="cs"/>
          <w:rtl/>
        </w:rPr>
        <w:t>ی</w:t>
      </w:r>
      <w:r w:rsidRPr="0025250D">
        <w:rPr>
          <w:rFonts w:hint="eastAsia"/>
          <w:rtl/>
        </w:rPr>
        <w:t>ل</w:t>
      </w:r>
      <w:r w:rsidRPr="0025250D">
        <w:rPr>
          <w:rtl/>
        </w:rPr>
        <w:t xml:space="preserve"> گ</w:t>
      </w:r>
      <w:r w:rsidRPr="0025250D">
        <w:rPr>
          <w:rFonts w:hint="cs"/>
          <w:rtl/>
        </w:rPr>
        <w:t>ی</w:t>
      </w:r>
      <w:r w:rsidRPr="0025250D">
        <w:rPr>
          <w:rFonts w:hint="eastAsia"/>
          <w:rtl/>
        </w:rPr>
        <w:t>تس</w:t>
      </w:r>
      <w:r w:rsidRPr="0025250D">
        <w:rPr>
          <w:rtl/>
        </w:rPr>
        <w:t xml:space="preserve"> و است</w:t>
      </w:r>
      <w:r w:rsidRPr="0025250D">
        <w:rPr>
          <w:rFonts w:hint="cs"/>
          <w:rtl/>
        </w:rPr>
        <w:t>ی</w:t>
      </w:r>
      <w:r w:rsidRPr="0025250D">
        <w:rPr>
          <w:rFonts w:hint="eastAsia"/>
          <w:rtl/>
        </w:rPr>
        <w:t>و</w:t>
      </w:r>
      <w:r w:rsidRPr="0025250D">
        <w:rPr>
          <w:rtl/>
        </w:rPr>
        <w:t xml:space="preserve"> جابز</w:t>
      </w:r>
      <w:r w:rsidRPr="0025250D">
        <w:rPr>
          <w:rFonts w:hint="cs"/>
          <w:rtl/>
        </w:rPr>
        <w:t xml:space="preserve"> که علم را محبوب کردند، شاهد این امر بودیم. اخیرا، ستایش کارآفرینی به سطح جدید و بعضا ناسالمی با رهبرانی مانند </w:t>
      </w:r>
      <w:r w:rsidRPr="0025250D">
        <w:rPr>
          <w:rtl/>
        </w:rPr>
        <w:t>جف بزوس، ا</w:t>
      </w:r>
      <w:r w:rsidRPr="0025250D">
        <w:rPr>
          <w:rFonts w:hint="cs"/>
          <w:rtl/>
        </w:rPr>
        <w:t>ی</w:t>
      </w:r>
      <w:r w:rsidRPr="0025250D">
        <w:rPr>
          <w:rFonts w:hint="eastAsia"/>
          <w:rtl/>
        </w:rPr>
        <w:t>لان</w:t>
      </w:r>
      <w:r w:rsidRPr="0025250D">
        <w:rPr>
          <w:rtl/>
        </w:rPr>
        <w:t xml:space="preserve"> ماسک، لر</w:t>
      </w:r>
      <w:r w:rsidRPr="0025250D">
        <w:rPr>
          <w:rFonts w:hint="cs"/>
          <w:rtl/>
        </w:rPr>
        <w:t>ی</w:t>
      </w:r>
      <w:r w:rsidRPr="0025250D">
        <w:rPr>
          <w:rtl/>
        </w:rPr>
        <w:t xml:space="preserve"> پ</w:t>
      </w:r>
      <w:r w:rsidRPr="0025250D">
        <w:rPr>
          <w:rFonts w:hint="cs"/>
          <w:rtl/>
        </w:rPr>
        <w:t>ی</w:t>
      </w:r>
      <w:r w:rsidRPr="0025250D">
        <w:rPr>
          <w:rFonts w:hint="eastAsia"/>
          <w:rtl/>
        </w:rPr>
        <w:t>ج،</w:t>
      </w:r>
      <w:r w:rsidRPr="0025250D">
        <w:rPr>
          <w:rtl/>
        </w:rPr>
        <w:t xml:space="preserve"> سرگ</w:t>
      </w:r>
      <w:r w:rsidRPr="0025250D">
        <w:rPr>
          <w:rFonts w:hint="cs"/>
          <w:rtl/>
        </w:rPr>
        <w:t>ی</w:t>
      </w:r>
      <w:r w:rsidRPr="0025250D">
        <w:rPr>
          <w:rtl/>
        </w:rPr>
        <w:t xml:space="preserve"> بر</w:t>
      </w:r>
      <w:r w:rsidRPr="0025250D">
        <w:rPr>
          <w:rFonts w:hint="cs"/>
          <w:rtl/>
        </w:rPr>
        <w:t>ی</w:t>
      </w:r>
      <w:r w:rsidRPr="0025250D">
        <w:rPr>
          <w:rFonts w:hint="eastAsia"/>
          <w:rtl/>
        </w:rPr>
        <w:t>ن</w:t>
      </w:r>
      <w:r w:rsidRPr="0025250D">
        <w:rPr>
          <w:rFonts w:hint="cs"/>
          <w:rtl/>
        </w:rPr>
        <w:t xml:space="preserve"> و بسیاری دیگر رسیده است. این رهبران با پشتیبانی قدرت و دامنه جدید پلتفرم‌های فنّاوری خود، در حال رؤیا پردازی و اجرا در مقیاس‌های عظیم و با شکوه هستند.</w:t>
      </w:r>
    </w:p>
    <w:p w14:paraId="3EF70550" w14:textId="29A82472" w:rsidR="00537CC8" w:rsidRPr="0025250D" w:rsidRDefault="00537CC8" w:rsidP="00537CC8">
      <w:pPr>
        <w:rPr>
          <w:rtl/>
        </w:rPr>
      </w:pPr>
      <w:r w:rsidRPr="0025250D">
        <w:rPr>
          <w:rFonts w:hint="cs"/>
          <w:rtl/>
        </w:rPr>
        <w:t xml:space="preserve">مقادیری از این کارآفرینی به شکل فزاینده‌ای </w:t>
      </w:r>
      <w:r w:rsidR="00D92F6E" w:rsidRPr="0025250D">
        <w:rPr>
          <w:rFonts w:hint="cs"/>
          <w:rtl/>
        </w:rPr>
        <w:t>پیش‌بین</w:t>
      </w:r>
      <w:r w:rsidRPr="0025250D">
        <w:rPr>
          <w:rFonts w:hint="cs"/>
          <w:rtl/>
        </w:rPr>
        <w:t xml:space="preserve"> و هدایت شده توسط داده‌ها است. رهبران در صنعت پخش آنلاین محتوای سرگرمی، از جمله </w:t>
      </w:r>
      <w:r w:rsidRPr="0025250D">
        <w:rPr>
          <w:rtl/>
        </w:rPr>
        <w:t>نتفل</w:t>
      </w:r>
      <w:r w:rsidRPr="0025250D">
        <w:rPr>
          <w:rFonts w:hint="cs"/>
          <w:rtl/>
        </w:rPr>
        <w:t>ی</w:t>
      </w:r>
      <w:r w:rsidRPr="0025250D">
        <w:rPr>
          <w:rFonts w:hint="eastAsia"/>
          <w:rtl/>
        </w:rPr>
        <w:t>کس،</w:t>
      </w:r>
      <w:r w:rsidRPr="0025250D">
        <w:rPr>
          <w:rtl/>
        </w:rPr>
        <w:t xml:space="preserve"> آمازون</w:t>
      </w:r>
      <w:r w:rsidR="008D6F97" w:rsidRPr="0025250D">
        <w:rPr>
          <w:rtl/>
        </w:rPr>
        <w:t xml:space="preserve"> </w:t>
      </w:r>
      <w:r w:rsidRPr="0025250D">
        <w:rPr>
          <w:rtl/>
        </w:rPr>
        <w:t>و د</w:t>
      </w:r>
      <w:r w:rsidRPr="0025250D">
        <w:rPr>
          <w:rFonts w:hint="cs"/>
          <w:rtl/>
        </w:rPr>
        <w:t>ی</w:t>
      </w:r>
      <w:r w:rsidRPr="0025250D">
        <w:rPr>
          <w:rFonts w:hint="eastAsia"/>
          <w:rtl/>
        </w:rPr>
        <w:t>زن</w:t>
      </w:r>
      <w:r w:rsidRPr="0025250D">
        <w:rPr>
          <w:rFonts w:hint="cs"/>
          <w:rtl/>
        </w:rPr>
        <w:t xml:space="preserve">ی به شکل کارآمدی از این کلان داده‌ها برای </w:t>
      </w:r>
      <w:r w:rsidR="00D92F6E" w:rsidRPr="0025250D">
        <w:rPr>
          <w:rFonts w:hint="cs"/>
          <w:rtl/>
        </w:rPr>
        <w:t>پیش‌بین</w:t>
      </w:r>
      <w:r w:rsidRPr="0025250D">
        <w:rPr>
          <w:rFonts w:hint="cs"/>
          <w:rtl/>
        </w:rPr>
        <w:t xml:space="preserve">ی این که کدام برنامه‌های نمایشی جدید محبوب خواهند بود، استفاده می‌کنند. </w:t>
      </w:r>
      <w:r w:rsidRPr="0025250D">
        <w:rPr>
          <w:rtl/>
        </w:rPr>
        <w:t>نتفل</w:t>
      </w:r>
      <w:r w:rsidRPr="0025250D">
        <w:rPr>
          <w:rFonts w:hint="cs"/>
          <w:rtl/>
        </w:rPr>
        <w:t>ی</w:t>
      </w:r>
      <w:r w:rsidRPr="0025250D">
        <w:rPr>
          <w:rFonts w:hint="eastAsia"/>
          <w:rtl/>
        </w:rPr>
        <w:t>کس</w:t>
      </w:r>
      <w:r w:rsidRPr="0025250D">
        <w:rPr>
          <w:rFonts w:hint="cs"/>
          <w:rtl/>
        </w:rPr>
        <w:t xml:space="preserve"> بزرگترین سهم امتیاز مخاطبین را در سال 2016 داشته است که بیش از مجموع همه شبکه‌های قدیمی‌تر بوده است.</w:t>
      </w:r>
    </w:p>
    <w:p w14:paraId="2593AF2C" w14:textId="114DC1E9" w:rsidR="00537CC8" w:rsidRPr="0025250D" w:rsidRDefault="00537CC8" w:rsidP="00537CC8">
      <w:pPr>
        <w:rPr>
          <w:rtl/>
        </w:rPr>
      </w:pPr>
      <w:r w:rsidRPr="0025250D">
        <w:rPr>
          <w:rFonts w:hint="cs"/>
          <w:rtl/>
        </w:rPr>
        <w:t xml:space="preserve">در </w:t>
      </w:r>
      <w:r w:rsidR="00F50EB4" w:rsidRPr="0025250D">
        <w:rPr>
          <w:rFonts w:hint="cs"/>
          <w:rtl/>
        </w:rPr>
        <w:t>سرمایه‌گذاری</w:t>
      </w:r>
      <w:r w:rsidRPr="0025250D">
        <w:rPr>
          <w:rFonts w:hint="cs"/>
          <w:rtl/>
        </w:rPr>
        <w:t xml:space="preserve"> خطر پذیر، رهبرانی مانند </w:t>
      </w:r>
      <w:r w:rsidRPr="0025250D">
        <w:rPr>
          <w:rtl/>
        </w:rPr>
        <w:t>ت</w:t>
      </w:r>
      <w:r w:rsidRPr="0025250D">
        <w:rPr>
          <w:rFonts w:hint="cs"/>
          <w:rtl/>
        </w:rPr>
        <w:t>ی</w:t>
      </w:r>
      <w:r w:rsidRPr="0025250D">
        <w:rPr>
          <w:rFonts w:hint="eastAsia"/>
          <w:rtl/>
        </w:rPr>
        <w:t>م</w:t>
      </w:r>
      <w:r w:rsidRPr="0025250D">
        <w:rPr>
          <w:rtl/>
        </w:rPr>
        <w:t xml:space="preserve"> در</w:t>
      </w:r>
      <w:r w:rsidRPr="0025250D">
        <w:rPr>
          <w:rFonts w:hint="cs"/>
          <w:rtl/>
        </w:rPr>
        <w:t>ی</w:t>
      </w:r>
      <w:r w:rsidRPr="0025250D">
        <w:rPr>
          <w:rFonts w:hint="eastAsia"/>
          <w:rtl/>
        </w:rPr>
        <w:t>پر</w:t>
      </w:r>
      <w:r w:rsidRPr="0025250D">
        <w:rPr>
          <w:vertAlign w:val="superscript"/>
          <w:rtl/>
        </w:rPr>
        <w:footnoteReference w:id="2968"/>
      </w:r>
      <w:r w:rsidRPr="0025250D">
        <w:rPr>
          <w:rFonts w:hint="eastAsia"/>
          <w:rtl/>
        </w:rPr>
        <w:t>،</w:t>
      </w:r>
      <w:r w:rsidRPr="0025250D">
        <w:rPr>
          <w:rtl/>
        </w:rPr>
        <w:t xml:space="preserve"> است</w:t>
      </w:r>
      <w:r w:rsidRPr="0025250D">
        <w:rPr>
          <w:rFonts w:hint="cs"/>
          <w:rtl/>
        </w:rPr>
        <w:t>ی</w:t>
      </w:r>
      <w:r w:rsidRPr="0025250D">
        <w:rPr>
          <w:rFonts w:hint="eastAsia"/>
          <w:rtl/>
        </w:rPr>
        <w:t>و</w:t>
      </w:r>
      <w:r w:rsidRPr="0025250D">
        <w:rPr>
          <w:rtl/>
        </w:rPr>
        <w:t xml:space="preserve"> جوروتسون</w:t>
      </w:r>
      <w:r w:rsidRPr="0025250D">
        <w:rPr>
          <w:vertAlign w:val="superscript"/>
          <w:rtl/>
        </w:rPr>
        <w:footnoteReference w:id="2969"/>
      </w:r>
      <w:r w:rsidRPr="0025250D">
        <w:rPr>
          <w:rtl/>
        </w:rPr>
        <w:t>، و</w:t>
      </w:r>
      <w:r w:rsidRPr="0025250D">
        <w:rPr>
          <w:rFonts w:hint="cs"/>
          <w:rtl/>
        </w:rPr>
        <w:t>ی</w:t>
      </w:r>
      <w:r w:rsidRPr="0025250D">
        <w:rPr>
          <w:rFonts w:hint="eastAsia"/>
          <w:rtl/>
        </w:rPr>
        <w:t>نود</w:t>
      </w:r>
      <w:r w:rsidRPr="0025250D">
        <w:rPr>
          <w:rtl/>
        </w:rPr>
        <w:t xml:space="preserve"> خوسلا</w:t>
      </w:r>
      <w:r w:rsidRPr="0025250D">
        <w:rPr>
          <w:vertAlign w:val="superscript"/>
          <w:rtl/>
        </w:rPr>
        <w:footnoteReference w:id="2970"/>
      </w:r>
      <w:r w:rsidRPr="0025250D">
        <w:rPr>
          <w:rtl/>
        </w:rPr>
        <w:t>، پل گراهام</w:t>
      </w:r>
      <w:r w:rsidRPr="0025250D">
        <w:rPr>
          <w:vertAlign w:val="superscript"/>
          <w:rtl/>
        </w:rPr>
        <w:footnoteReference w:id="2971"/>
      </w:r>
      <w:r w:rsidRPr="0025250D">
        <w:rPr>
          <w:rtl/>
        </w:rPr>
        <w:t>، مارک آندرسن</w:t>
      </w:r>
      <w:r w:rsidRPr="0025250D">
        <w:rPr>
          <w:vertAlign w:val="superscript"/>
          <w:rtl/>
        </w:rPr>
        <w:footnoteReference w:id="2972"/>
      </w:r>
      <w:r w:rsidRPr="0025250D">
        <w:rPr>
          <w:rFonts w:hint="cs"/>
          <w:rtl/>
        </w:rPr>
        <w:t xml:space="preserve"> از آزمایش‌های شجاعانه با سرمایه</w:t>
      </w:r>
      <w:r w:rsidR="00F50EB4" w:rsidRPr="0025250D">
        <w:rPr>
          <w:rFonts w:hint="cs"/>
          <w:rtl/>
        </w:rPr>
        <w:t>‌</w:t>
      </w:r>
      <w:r w:rsidRPr="0025250D">
        <w:rPr>
          <w:rFonts w:hint="cs"/>
          <w:rtl/>
        </w:rPr>
        <w:t>گذاری‌ها</w:t>
      </w:r>
      <w:r w:rsidR="00F50EB4" w:rsidRPr="0025250D">
        <w:rPr>
          <w:rFonts w:hint="cs"/>
          <w:rtl/>
        </w:rPr>
        <w:t>ی</w:t>
      </w:r>
      <w:r w:rsidRPr="0025250D">
        <w:rPr>
          <w:rFonts w:hint="cs"/>
          <w:rtl/>
        </w:rPr>
        <w:t xml:space="preserve"> کانونی حمایت می‌کنند و به اندازه کافی برای جلب تحسین ما موفق </w:t>
      </w:r>
      <w:r w:rsidR="00B124DE" w:rsidRPr="0025250D">
        <w:rPr>
          <w:rFonts w:hint="cs"/>
          <w:rtl/>
        </w:rPr>
        <w:t>بوده‌اند</w:t>
      </w:r>
      <w:r w:rsidRPr="0025250D">
        <w:rPr>
          <w:rFonts w:hint="cs"/>
          <w:rtl/>
        </w:rPr>
        <w:t xml:space="preserve">. مستند </w:t>
      </w:r>
      <w:r w:rsidRPr="0025250D">
        <w:rPr>
          <w:rtl/>
        </w:rPr>
        <w:t>چ</w:t>
      </w:r>
      <w:r w:rsidRPr="0025250D">
        <w:rPr>
          <w:rFonts w:hint="cs"/>
          <w:rtl/>
        </w:rPr>
        <w:t>ی</w:t>
      </w:r>
      <w:r w:rsidRPr="0025250D">
        <w:rPr>
          <w:rFonts w:hint="eastAsia"/>
          <w:rtl/>
        </w:rPr>
        <w:t>ز</w:t>
      </w:r>
      <w:r w:rsidRPr="0025250D">
        <w:rPr>
          <w:rFonts w:hint="cs"/>
          <w:rtl/>
        </w:rPr>
        <w:t>ی</w:t>
      </w:r>
      <w:r w:rsidRPr="0025250D">
        <w:rPr>
          <w:rtl/>
        </w:rPr>
        <w:t xml:space="preserve"> جسورانه</w:t>
      </w:r>
      <w:r w:rsidRPr="0025250D">
        <w:rPr>
          <w:vertAlign w:val="superscript"/>
          <w:rtl/>
        </w:rPr>
        <w:footnoteReference w:id="2973"/>
      </w:r>
      <w:r w:rsidRPr="0025250D">
        <w:rPr>
          <w:rFonts w:hint="cs"/>
          <w:rtl/>
        </w:rPr>
        <w:t xml:space="preserve"> در سال 2011 را برای آگاهی از تاریخچه </w:t>
      </w:r>
      <w:r w:rsidR="00F50EB4" w:rsidRPr="0025250D">
        <w:rPr>
          <w:rFonts w:hint="cs"/>
          <w:rtl/>
        </w:rPr>
        <w:t>سرمایه‌گذاری</w:t>
      </w:r>
      <w:r w:rsidRPr="0025250D">
        <w:rPr>
          <w:rFonts w:hint="cs"/>
          <w:rtl/>
        </w:rPr>
        <w:t xml:space="preserve"> خطرپذیر ببینید. می‌توانیم شاهد بالا‌تر رفتن جایگاه اجتماعی کارآفرینان فنی و سرمایه گذاران بر روی </w:t>
      </w:r>
      <w:r w:rsidR="007A53FD" w:rsidRPr="0025250D">
        <w:rPr>
          <w:rFonts w:hint="cs"/>
          <w:rtl/>
        </w:rPr>
        <w:t>فناوری</w:t>
      </w:r>
      <w:r w:rsidRPr="0025250D">
        <w:rPr>
          <w:rFonts w:hint="cs"/>
          <w:rtl/>
        </w:rPr>
        <w:t>‌های در مراحل ابتدایی در سال‌های آینده باشیم، زیرا می‌دانیم که بسیاری از پروژه‌های آنان به شکل فزاینده‌ای احتمال ایجاد تغییر مثبت معنا دار را دارند.</w:t>
      </w:r>
    </w:p>
    <w:p w14:paraId="2DB3EE0C" w14:textId="1878B33B" w:rsidR="00537CC8" w:rsidRPr="0025250D" w:rsidRDefault="00537CC8" w:rsidP="00537CC8">
      <w:pPr>
        <w:rPr>
          <w:rtl/>
        </w:rPr>
      </w:pPr>
      <w:r w:rsidRPr="0025250D">
        <w:rPr>
          <w:rFonts w:hint="cs"/>
          <w:rtl/>
        </w:rPr>
        <w:t xml:space="preserve">در </w:t>
      </w:r>
      <w:r w:rsidRPr="0025250D">
        <w:t>BPF</w:t>
      </w:r>
      <w:r w:rsidRPr="0025250D">
        <w:rPr>
          <w:rFonts w:hint="cs"/>
          <w:rtl/>
        </w:rPr>
        <w:t>، درمورد یک توسعه آینده صحبت می‌کنیم که آن را و</w:t>
      </w:r>
      <w:r w:rsidR="00F50EB4" w:rsidRPr="0025250D">
        <w:rPr>
          <w:rFonts w:hint="cs"/>
          <w:rtl/>
        </w:rPr>
        <w:t>َ</w:t>
      </w:r>
      <w:r w:rsidRPr="0025250D">
        <w:rPr>
          <w:rFonts w:hint="cs"/>
          <w:rtl/>
        </w:rPr>
        <w:t>لیوکاسم</w:t>
      </w:r>
      <w:r w:rsidRPr="0025250D">
        <w:rPr>
          <w:vertAlign w:val="superscript"/>
          <w:rtl/>
        </w:rPr>
        <w:footnoteReference w:id="2974"/>
      </w:r>
      <w:r w:rsidR="00F50EB4" w:rsidRPr="0025250D">
        <w:rPr>
          <w:rFonts w:hint="cs"/>
          <w:rtl/>
        </w:rPr>
        <w:t xml:space="preserve"> به عنوان</w:t>
      </w:r>
      <w:r w:rsidRPr="0025250D">
        <w:rPr>
          <w:rFonts w:hint="cs"/>
          <w:rtl/>
        </w:rPr>
        <w:t xml:space="preserve"> شبکه ترسیم شده از ارزش ها</w:t>
      </w:r>
      <w:r w:rsidRPr="0025250D">
        <w:rPr>
          <w:vertAlign w:val="superscript"/>
          <w:rtl/>
        </w:rPr>
        <w:footnoteReference w:id="2975"/>
      </w:r>
      <w:r w:rsidRPr="0025250D">
        <w:rPr>
          <w:rFonts w:hint="cs"/>
          <w:rtl/>
        </w:rPr>
        <w:t xml:space="preserve"> می‌نامیم. ولیوکاسم نمودارهای ایجاد شده از ارزش‌ها، معانی و دانش عمومی توسط هوش‌های مصنوعی شخصی (</w:t>
      </w:r>
      <w:r w:rsidRPr="0025250D">
        <w:t>PAI</w:t>
      </w:r>
      <w:r w:rsidRPr="0025250D">
        <w:rPr>
          <w:rFonts w:hint="cs"/>
          <w:rtl/>
        </w:rPr>
        <w:t xml:space="preserve"> ها)، نرم افزار‌ها و پایگاه‌های داده‌ای که نقشه‌های عمومی و خصوصی از ارزش‌ها، فعالیت‌ها و وظایف ما را در اختیار دارند، خواهد بود. </w:t>
      </w:r>
      <w:r w:rsidRPr="0025250D">
        <w:t>PAI</w:t>
      </w:r>
      <w:r w:rsidRPr="0025250D">
        <w:rPr>
          <w:rFonts w:hint="cs"/>
          <w:rtl/>
        </w:rPr>
        <w:t>‌ها که با داده‌ها و مدل‌های خصوصی ما آموزش دیده اند، به شکل فزاینده‌ای پیشنهاداتی درمورد این که چه چیزی بخوانیم، چه چیزی ببینیم و چه چیزی بخریم، با چه کسی ارتباط داشته باشیم، با چه کسی تولید کنیم و حتی چگونه رأی دهیم، به ما ارائه می‌دهند. آن‌ها به ما امکان می‌دهند که هنگام مصرف و استفاده از هر چیزی در مورد</w:t>
      </w:r>
      <w:r w:rsidR="00F50EB4" w:rsidRPr="0025250D">
        <w:rPr>
          <w:rFonts w:hint="cs"/>
          <w:rtl/>
        </w:rPr>
        <w:t xml:space="preserve"> آن</w:t>
      </w:r>
      <w:r w:rsidRPr="0025250D">
        <w:rPr>
          <w:rFonts w:hint="cs"/>
          <w:rtl/>
        </w:rPr>
        <w:t xml:space="preserve"> شکایت کرده یا آن را تحسین کنیم. همه این داده‌های ارزشی و معنایی بر روی اینترنت، در کنار هویت ما به صورت عمومی یا خصوصی، به انتخاب خودمان، قابل کشف هستند. در مدت بیست سال، انتظار داریم که کارآفرینان بتوانند از ولیوکاسم برای کشف مسائل و مشکلات حل نشده، تنظیم بازار قابل دسترسی کلی خود و تخمین اولویت هیجانی خود نسبت به دیگر مسائل، تنها با انجام تحقیقاتی درمورد داده‌های ارزشی و معنایی بر بستر اینترنت آینده استفاده کنند. این امر کارآفرینی و </w:t>
      </w:r>
      <w:r w:rsidR="00F50EB4" w:rsidRPr="0025250D">
        <w:rPr>
          <w:rFonts w:hint="cs"/>
          <w:rtl/>
        </w:rPr>
        <w:t>سرمایه‌گذاری</w:t>
      </w:r>
      <w:r w:rsidRPr="0025250D">
        <w:rPr>
          <w:rFonts w:hint="cs"/>
          <w:rtl/>
        </w:rPr>
        <w:t xml:space="preserve"> خطر پذیر را به یک فعالیت به شدت مبتنی بر احتمال و مجموع-مثبت تبدیل خواهد کرد.</w:t>
      </w:r>
    </w:p>
    <w:p w14:paraId="6AC00BA3" w14:textId="66D74062" w:rsidR="00537CC8" w:rsidRPr="0025250D" w:rsidRDefault="00537CC8" w:rsidP="00537CC8">
      <w:pPr>
        <w:rPr>
          <w:rtl/>
        </w:rPr>
      </w:pPr>
      <w:r w:rsidRPr="0025250D">
        <w:rPr>
          <w:rFonts w:hint="cs"/>
          <w:rtl/>
        </w:rPr>
        <w:t xml:space="preserve">در یک تغییر اجتماعی مهم دیگر، محققین اندک اندک در می‌یابند که </w:t>
      </w:r>
      <w:r w:rsidRPr="0025250D">
        <w:rPr>
          <w:rtl/>
        </w:rPr>
        <w:t>آینده‌نگاری</w:t>
      </w:r>
      <w:r w:rsidRPr="0025250D">
        <w:rPr>
          <w:rFonts w:hint="cs"/>
          <w:rtl/>
        </w:rPr>
        <w:t xml:space="preserve"> اجتماعی (تغییر اجتماعی، اقتصادی و سیاسی) با ثروتمند‌تر شدن و مرتبط‌تر شدن کشور‌ها و سیاره ما، بسیار قابل </w:t>
      </w:r>
      <w:r w:rsidR="00D92F6E" w:rsidRPr="0025250D">
        <w:rPr>
          <w:rFonts w:hint="cs"/>
          <w:rtl/>
        </w:rPr>
        <w:t>پیش‌بین</w:t>
      </w:r>
      <w:r w:rsidRPr="0025250D">
        <w:rPr>
          <w:rFonts w:hint="cs"/>
          <w:rtl/>
        </w:rPr>
        <w:t>ی‌تر و ساکن‌تر می‌شود. این امر در حقیقت یک مفهوم بسیار قدیمی است. مفهومی که به بهترین شکل آن را توصیف می‌کند، سیاره‌ای شدن</w:t>
      </w:r>
      <w:r w:rsidRPr="0025250D">
        <w:rPr>
          <w:vertAlign w:val="superscript"/>
          <w:rtl/>
        </w:rPr>
        <w:footnoteReference w:id="2976"/>
      </w:r>
      <w:r w:rsidRPr="0025250D">
        <w:rPr>
          <w:rFonts w:hint="cs"/>
          <w:rtl/>
        </w:rPr>
        <w:t xml:space="preserve"> است و ما در کتاب 2 آن را مورد بحث قرار می‌دهیم. سیاره‌ای شدن جهانی شدن نیست، بلکه چیزی بسیار عمیق‌تر و معنادار‌تر است </w:t>
      </w:r>
      <w:r w:rsidRPr="0025250D">
        <w:rPr>
          <w:rFonts w:cs="Times New Roman" w:hint="cs"/>
          <w:rtl/>
        </w:rPr>
        <w:t>–</w:t>
      </w:r>
      <w:r w:rsidRPr="0025250D">
        <w:rPr>
          <w:rFonts w:hint="cs"/>
          <w:rtl/>
        </w:rPr>
        <w:t xml:space="preserve"> این مفهوم زمین را به عنوان </w:t>
      </w:r>
      <w:r w:rsidR="008D6F97" w:rsidRPr="0025250D">
        <w:rPr>
          <w:rFonts w:hint="cs"/>
          <w:rtl/>
        </w:rPr>
        <w:t>سامانه‌ای</w:t>
      </w:r>
      <w:r w:rsidRPr="0025250D">
        <w:rPr>
          <w:rFonts w:hint="cs"/>
          <w:rtl/>
        </w:rPr>
        <w:t xml:space="preserve"> با اندازه محدود، تعداد اشباع شونده‌ای از عوامل زیستی و با این حال دارای ارتباط </w:t>
      </w:r>
      <w:r w:rsidR="007A53FD" w:rsidRPr="0025250D">
        <w:rPr>
          <w:rFonts w:hint="cs"/>
          <w:rtl/>
        </w:rPr>
        <w:t>فناورانه</w:t>
      </w:r>
      <w:r w:rsidRPr="0025250D">
        <w:rPr>
          <w:rFonts w:hint="cs"/>
          <w:rtl/>
        </w:rPr>
        <w:t xml:space="preserve"> در حال </w:t>
      </w:r>
      <w:r w:rsidR="00B56611" w:rsidRPr="0025250D">
        <w:rPr>
          <w:rFonts w:hint="cs"/>
          <w:rtl/>
        </w:rPr>
        <w:t>شتاب‌گیری</w:t>
      </w:r>
      <w:r w:rsidRPr="0025250D">
        <w:rPr>
          <w:rFonts w:hint="cs"/>
          <w:rtl/>
        </w:rPr>
        <w:t xml:space="preserve"> و هوشی که آن‌ها را به هم مرتبط می‌سازد، توصیف</w:t>
      </w:r>
      <w:r w:rsidRPr="0025250D">
        <w:rPr>
          <w:rtl/>
        </w:rPr>
        <w:t xml:space="preserve"> می‌</w:t>
      </w:r>
      <w:r w:rsidRPr="0025250D">
        <w:rPr>
          <w:rFonts w:hint="cs"/>
          <w:rtl/>
        </w:rPr>
        <w:t xml:space="preserve">کند. چنین </w:t>
      </w:r>
      <w:r w:rsidR="008D6F97" w:rsidRPr="0025250D">
        <w:rPr>
          <w:rFonts w:hint="cs"/>
          <w:rtl/>
        </w:rPr>
        <w:t>سامانه‌ای</w:t>
      </w:r>
      <w:r w:rsidRPr="0025250D">
        <w:rPr>
          <w:rFonts w:hint="cs"/>
          <w:rtl/>
        </w:rPr>
        <w:t xml:space="preserve"> صرفا در حال تکامل بیش‌تر نیست، این </w:t>
      </w:r>
      <w:r w:rsidR="008D6F97" w:rsidRPr="0025250D">
        <w:rPr>
          <w:rFonts w:hint="cs"/>
          <w:rtl/>
        </w:rPr>
        <w:t>سامانه‌</w:t>
      </w:r>
      <w:r w:rsidRPr="0025250D">
        <w:rPr>
          <w:rFonts w:hint="cs"/>
          <w:rtl/>
        </w:rPr>
        <w:t xml:space="preserve"> به شکل فزاینده‌ای در حال توسعه، همگرایی و قابل </w:t>
      </w:r>
      <w:r w:rsidR="00D92F6E" w:rsidRPr="0025250D">
        <w:rPr>
          <w:rFonts w:hint="cs"/>
          <w:rtl/>
        </w:rPr>
        <w:t>پیش‌بین</w:t>
      </w:r>
      <w:r w:rsidRPr="0025250D">
        <w:rPr>
          <w:rFonts w:hint="cs"/>
          <w:rtl/>
        </w:rPr>
        <w:t>ی شدن است.</w:t>
      </w:r>
    </w:p>
    <w:p w14:paraId="648B5EC7" w14:textId="0D3CEEA1" w:rsidR="00537CC8" w:rsidRPr="0025250D" w:rsidRDefault="00537CC8" w:rsidP="00537CC8">
      <w:pPr>
        <w:rPr>
          <w:rtl/>
        </w:rPr>
      </w:pPr>
      <w:r w:rsidRPr="0025250D">
        <w:rPr>
          <w:rFonts w:hint="cs"/>
          <w:rtl/>
        </w:rPr>
        <w:t xml:space="preserve">به دلیل سیاره‌ای شدن، آینده‌های اجتماعی قطعی به شکل فزاینده‌ای تقریبا به شکل مشابه در همه جا نقش ایفا می‌کنند. با ارتباط فرهنگی، اقتصادی و </w:t>
      </w:r>
      <w:r w:rsidR="007A53FD" w:rsidRPr="0025250D">
        <w:rPr>
          <w:rFonts w:hint="cs"/>
          <w:rtl/>
        </w:rPr>
        <w:t>فناورانه</w:t>
      </w:r>
      <w:r w:rsidRPr="0025250D">
        <w:rPr>
          <w:rFonts w:hint="cs"/>
          <w:rtl/>
        </w:rPr>
        <w:t xml:space="preserve"> هر چه بیش‌تر ما، مرزهای مشخص قطعی بیش‌تری از آینده جهانی یکپارچه ما پدیدار می‌شود. کتاب </w:t>
      </w:r>
      <w:r w:rsidRPr="0025250D">
        <w:rPr>
          <w:rtl/>
        </w:rPr>
        <w:t>لکسوس</w:t>
      </w:r>
      <w:r w:rsidRPr="0025250D">
        <w:rPr>
          <w:rFonts w:hint="cs"/>
          <w:rtl/>
        </w:rPr>
        <w:t xml:space="preserve"> و درخت زیتون</w:t>
      </w:r>
      <w:r w:rsidRPr="0025250D">
        <w:rPr>
          <w:vertAlign w:val="superscript"/>
          <w:rtl/>
        </w:rPr>
        <w:footnoteReference w:id="2977"/>
      </w:r>
      <w:r w:rsidRPr="0025250D">
        <w:rPr>
          <w:rFonts w:hint="cs"/>
          <w:rtl/>
        </w:rPr>
        <w:t xml:space="preserve"> اثر </w:t>
      </w:r>
      <w:r w:rsidRPr="0025250D">
        <w:rPr>
          <w:rtl/>
        </w:rPr>
        <w:t>تام فر</w:t>
      </w:r>
      <w:r w:rsidRPr="0025250D">
        <w:rPr>
          <w:rFonts w:hint="cs"/>
          <w:rtl/>
        </w:rPr>
        <w:t>ی</w:t>
      </w:r>
      <w:r w:rsidRPr="0025250D">
        <w:rPr>
          <w:rFonts w:hint="eastAsia"/>
          <w:rtl/>
        </w:rPr>
        <w:t>دمن</w:t>
      </w:r>
      <w:r w:rsidRPr="0025250D">
        <w:rPr>
          <w:rFonts w:hint="cs"/>
          <w:rtl/>
        </w:rPr>
        <w:t xml:space="preserve"> در سال 1999 و جهان تخت است</w:t>
      </w:r>
      <w:r w:rsidRPr="0025250D">
        <w:rPr>
          <w:vertAlign w:val="superscript"/>
          <w:rtl/>
        </w:rPr>
        <w:footnoteReference w:id="2978"/>
      </w:r>
      <w:r w:rsidRPr="0025250D">
        <w:rPr>
          <w:rFonts w:hint="cs"/>
          <w:rtl/>
        </w:rPr>
        <w:t xml:space="preserve"> در سال 2005، چشم بسیاری از ما را به تعداد اندکی از تغییرات قابل </w:t>
      </w:r>
      <w:r w:rsidR="00D92F6E" w:rsidRPr="0025250D">
        <w:rPr>
          <w:rFonts w:hint="cs"/>
          <w:rtl/>
        </w:rPr>
        <w:t>پیش‌بین</w:t>
      </w:r>
      <w:r w:rsidRPr="0025250D">
        <w:rPr>
          <w:rFonts w:hint="cs"/>
          <w:rtl/>
        </w:rPr>
        <w:t>ی (خوب و بد) از جهانی سازی باز کرد. به دلیلی سیاره‌ای شدن، می‌توانیم به شکل فزاینده‌ای تمدن جهانی را به عنوان یک اَبَر ارگانیسم</w:t>
      </w:r>
      <w:r w:rsidRPr="0025250D">
        <w:rPr>
          <w:vertAlign w:val="superscript"/>
          <w:rtl/>
        </w:rPr>
        <w:footnoteReference w:id="2979"/>
      </w:r>
      <w:r w:rsidRPr="0025250D">
        <w:rPr>
          <w:rFonts w:hint="cs"/>
          <w:rtl/>
        </w:rPr>
        <w:t xml:space="preserve"> انسان و ماشین توصیف کنیم و می‌توانیم به شکلی معتبر درمورد ظهور شبکه هوش جمعی جهانی، لایه‌ای از تفکر ترکیبی انسان و ماشین که بر پایه حالات کاملا </w:t>
      </w:r>
      <w:r w:rsidR="0044659F" w:rsidRPr="0025250D">
        <w:rPr>
          <w:rFonts w:hint="cs"/>
          <w:rtl/>
        </w:rPr>
        <w:t>زیستی</w:t>
      </w:r>
      <w:r w:rsidRPr="0025250D">
        <w:rPr>
          <w:rFonts w:hint="cs"/>
          <w:rtl/>
        </w:rPr>
        <w:t xml:space="preserve"> تفکر ما در حال رشد است و می‌توانیم روزی آن را یک مغز جهانی بنامیم، صحبت کنیم. این ایده توسط بسیاری از متفکرین قرن بیستمی که تصویر کلان‌تر را می‌دیدند، بررسی شده است. معروف‌ترین و یکی از اولین ترویج دهندگان این اصطلاح، دیرینه شناس و کشیش فرقه ی</w:t>
      </w:r>
      <w:r w:rsidRPr="0025250D">
        <w:rPr>
          <w:rFonts w:hint="eastAsia"/>
          <w:rtl/>
        </w:rPr>
        <w:t>سوع</w:t>
      </w:r>
      <w:r w:rsidRPr="0025250D">
        <w:rPr>
          <w:rFonts w:hint="cs"/>
          <w:rtl/>
        </w:rPr>
        <w:t>ی</w:t>
      </w:r>
      <w:r w:rsidRPr="0025250D">
        <w:rPr>
          <w:vertAlign w:val="superscript"/>
          <w:rtl/>
        </w:rPr>
        <w:footnoteReference w:id="2980"/>
      </w:r>
      <w:r w:rsidRPr="0025250D">
        <w:rPr>
          <w:rFonts w:hint="cs"/>
          <w:rtl/>
        </w:rPr>
        <w:t xml:space="preserve">، </w:t>
      </w:r>
      <w:r w:rsidRPr="0025250D">
        <w:rPr>
          <w:rtl/>
        </w:rPr>
        <w:t>پ</w:t>
      </w:r>
      <w:r w:rsidRPr="0025250D">
        <w:rPr>
          <w:rFonts w:hint="cs"/>
          <w:rtl/>
        </w:rPr>
        <w:t>ی</w:t>
      </w:r>
      <w:r w:rsidRPr="0025250D">
        <w:rPr>
          <w:rFonts w:hint="eastAsia"/>
          <w:rtl/>
        </w:rPr>
        <w:t>ر</w:t>
      </w:r>
      <w:r w:rsidRPr="0025250D">
        <w:rPr>
          <w:rtl/>
        </w:rPr>
        <w:t xml:space="preserve"> ت</w:t>
      </w:r>
      <w:r w:rsidRPr="0025250D">
        <w:rPr>
          <w:rFonts w:hint="cs"/>
          <w:rtl/>
        </w:rPr>
        <w:t>ی</w:t>
      </w:r>
      <w:r w:rsidRPr="0025250D">
        <w:rPr>
          <w:rFonts w:hint="eastAsia"/>
          <w:rtl/>
        </w:rPr>
        <w:t>لارد</w:t>
      </w:r>
      <w:r w:rsidRPr="0025250D">
        <w:rPr>
          <w:rtl/>
        </w:rPr>
        <w:t xml:space="preserve"> د شاردن</w:t>
      </w:r>
      <w:r w:rsidRPr="0025250D">
        <w:rPr>
          <w:vertAlign w:val="superscript"/>
          <w:rtl/>
        </w:rPr>
        <w:footnoteReference w:id="2981"/>
      </w:r>
      <w:r w:rsidRPr="0025250D">
        <w:rPr>
          <w:rFonts w:hint="cs"/>
          <w:rtl/>
        </w:rPr>
        <w:t xml:space="preserve"> بود. در اینجا موارد بسیار بیش‌تری را می‌توان عنوان کرد و ما در کتاب 2 به این موضوع گسترده می‌پردازیم.</w:t>
      </w:r>
    </w:p>
    <w:p w14:paraId="51BFEE14" w14:textId="226D9B79" w:rsidR="00537CC8" w:rsidRPr="0025250D" w:rsidRDefault="00537CC8" w:rsidP="00537CC8">
      <w:pPr>
        <w:rPr>
          <w:rtl/>
        </w:rPr>
      </w:pPr>
      <w:r w:rsidRPr="0025250D">
        <w:rPr>
          <w:rFonts w:hint="cs"/>
          <w:rtl/>
        </w:rPr>
        <w:t xml:space="preserve">حتی اگر اعمال خاص هر عامل فردی غیر قابل </w:t>
      </w:r>
      <w:r w:rsidR="00D92F6E" w:rsidRPr="0025250D">
        <w:rPr>
          <w:rFonts w:hint="cs"/>
          <w:rtl/>
        </w:rPr>
        <w:t>پیش‌بین</w:t>
      </w:r>
      <w:r w:rsidRPr="0025250D">
        <w:rPr>
          <w:rFonts w:hint="cs"/>
          <w:rtl/>
        </w:rPr>
        <w:t>ی باقی بماند، اعمال مورد انتظار میانگین آن‌ها قابل درک خواهد بود. به شکل فزاینده ای، ما باور داریم که می‌توانیم بزرگترین تغییرات سریع آینده در علم-فنّاوری، استارتاپ‌ها و دنیای دیجیتال و نیز بسیاری از تغییرات سطح پایین‌تر در ساختار اجتماعی و سیاسی که به شکل فزاینده‌ای ما را به سمت یک جامعه جهانی واحد حرکت داده، هدایت کرده و به آن پیوند می‌دهند، قبل از وقوع کشف کنیم.</w:t>
      </w:r>
    </w:p>
    <w:p w14:paraId="4B1D63C9" w14:textId="77777777" w:rsidR="00537CC8" w:rsidRPr="0025250D" w:rsidRDefault="00537CC8" w:rsidP="00EF26F0">
      <w:pPr>
        <w:pStyle w:val="Heading3"/>
        <w:rPr>
          <w:rtl/>
        </w:rPr>
      </w:pPr>
      <w:r w:rsidRPr="0025250D">
        <w:rPr>
          <w:rtl/>
        </w:rPr>
        <w:t>آینده‌نگاری</w:t>
      </w:r>
      <w:r w:rsidRPr="0025250D">
        <w:rPr>
          <w:rFonts w:hint="cs"/>
          <w:rtl/>
        </w:rPr>
        <w:t xml:space="preserve"> در حال مشارکتی شدن است</w:t>
      </w:r>
    </w:p>
    <w:p w14:paraId="4189ECC9" w14:textId="47E82A15" w:rsidR="00537CC8" w:rsidRPr="0025250D" w:rsidRDefault="00537CC8" w:rsidP="00537CC8">
      <w:pPr>
        <w:rPr>
          <w:rtl/>
        </w:rPr>
      </w:pPr>
      <w:r w:rsidRPr="0025250D">
        <w:rPr>
          <w:rFonts w:hint="cs"/>
          <w:rtl/>
        </w:rPr>
        <w:t xml:space="preserve">هر چه تغییر دیجیتال سریع‌تر پیش رود و علم و داده‌های ما بهتر شوند، همه ما بهتر آگاه می‌شویم که مقاصد توسعه‌ای مهمی مانند تحصیل بدون معلم، اتومبیل‌های بدون راننده و کارخانه‌های بدون کارگر، به بیان </w:t>
      </w:r>
      <w:r w:rsidR="00D92F6E" w:rsidRPr="0025250D">
        <w:rPr>
          <w:rFonts w:hint="cs"/>
          <w:rtl/>
        </w:rPr>
        <w:t>آینده‌پژوه</w:t>
      </w:r>
      <w:r w:rsidRPr="0025250D">
        <w:rPr>
          <w:rFonts w:hint="cs"/>
          <w:rtl/>
        </w:rPr>
        <w:t xml:space="preserve"> </w:t>
      </w:r>
      <w:r w:rsidRPr="0025250D">
        <w:rPr>
          <w:rtl/>
        </w:rPr>
        <w:t>توماس فر</w:t>
      </w:r>
      <w:r w:rsidRPr="0025250D">
        <w:rPr>
          <w:rFonts w:hint="cs"/>
          <w:rtl/>
        </w:rPr>
        <w:t>ی</w:t>
      </w:r>
      <w:r w:rsidRPr="0025250D">
        <w:rPr>
          <w:vertAlign w:val="superscript"/>
          <w:rtl/>
        </w:rPr>
        <w:footnoteReference w:id="2982"/>
      </w:r>
      <w:r w:rsidRPr="0025250D">
        <w:rPr>
          <w:rFonts w:hint="cs"/>
          <w:rtl/>
        </w:rPr>
        <w:t xml:space="preserve">، از دور نمایان می‌شوند. </w:t>
      </w:r>
      <w:r w:rsidRPr="0025250D">
        <w:rPr>
          <w:rtl/>
        </w:rPr>
        <w:t>آینده‌نگار</w:t>
      </w:r>
      <w:r w:rsidRPr="0025250D">
        <w:rPr>
          <w:rFonts w:hint="cs"/>
          <w:rtl/>
        </w:rPr>
        <w:t xml:space="preserve">ان و </w:t>
      </w:r>
      <w:r w:rsidR="00D92F6E" w:rsidRPr="0025250D">
        <w:rPr>
          <w:rFonts w:hint="cs"/>
          <w:rtl/>
        </w:rPr>
        <w:t>آینده‌پژوه</w:t>
      </w:r>
      <w:r w:rsidRPr="0025250D">
        <w:rPr>
          <w:rFonts w:hint="cs"/>
          <w:rtl/>
        </w:rPr>
        <w:t xml:space="preserve">انِ امروزی بیش از هر زمان دیگری از حمایت علم، فنّاوری و کارآفرینی برخوردارند. ما یاد می‌گیریم که می‌توانیم </w:t>
      </w:r>
      <w:r w:rsidR="00B0171C" w:rsidRPr="0025250D">
        <w:rPr>
          <w:rFonts w:hint="cs"/>
          <w:rtl/>
        </w:rPr>
        <w:t>به‌سادگی</w:t>
      </w:r>
      <w:r w:rsidRPr="0025250D">
        <w:rPr>
          <w:rFonts w:hint="cs"/>
          <w:rtl/>
        </w:rPr>
        <w:t xml:space="preserve"> در هر جایی از جهان همکارانی بیابیم و به صورت آنلاین با استفاده از شبکه‌های اجتماعی قدرتمندمان و ابزارهای آزاد و کم هزینه ابری مانند </w:t>
      </w:r>
      <w:r w:rsidRPr="0025250D">
        <w:rPr>
          <w:rtl/>
        </w:rPr>
        <w:t>درا</w:t>
      </w:r>
      <w:r w:rsidRPr="0025250D">
        <w:rPr>
          <w:rFonts w:hint="cs"/>
          <w:rtl/>
        </w:rPr>
        <w:t>ی</w:t>
      </w:r>
      <w:r w:rsidRPr="0025250D">
        <w:rPr>
          <w:rFonts w:hint="eastAsia"/>
          <w:rtl/>
        </w:rPr>
        <w:t>و</w:t>
      </w:r>
      <w:r w:rsidRPr="0025250D">
        <w:rPr>
          <w:rtl/>
        </w:rPr>
        <w:t xml:space="preserve"> گوگل</w:t>
      </w:r>
      <w:r w:rsidRPr="0025250D">
        <w:rPr>
          <w:rFonts w:hint="cs"/>
          <w:rtl/>
        </w:rPr>
        <w:t xml:space="preserve">، </w:t>
      </w:r>
      <w:r w:rsidRPr="0025250D">
        <w:rPr>
          <w:rtl/>
        </w:rPr>
        <w:t>پرونده‌های گوگل</w:t>
      </w:r>
      <w:r w:rsidRPr="0025250D">
        <w:rPr>
          <w:rFonts w:hint="cs"/>
          <w:rtl/>
        </w:rPr>
        <w:t xml:space="preserve"> و زوم، با هم کار کرده و سرمایه مالی پروژه‌های خود را از طریق تامین مالی جمعی مانند اسمبلی</w:t>
      </w:r>
      <w:r w:rsidRPr="0025250D">
        <w:rPr>
          <w:vertAlign w:val="superscript"/>
          <w:rtl/>
        </w:rPr>
        <w:footnoteReference w:id="2983"/>
      </w:r>
      <w:r w:rsidRPr="0025250D">
        <w:rPr>
          <w:rFonts w:hint="cs"/>
          <w:rtl/>
        </w:rPr>
        <w:t>، استارت انجین</w:t>
      </w:r>
      <w:r w:rsidRPr="0025250D">
        <w:rPr>
          <w:vertAlign w:val="superscript"/>
          <w:rtl/>
        </w:rPr>
        <w:footnoteReference w:id="2984"/>
      </w:r>
      <w:r w:rsidRPr="0025250D">
        <w:rPr>
          <w:rFonts w:hint="cs"/>
          <w:rtl/>
        </w:rPr>
        <w:t>، ایندیگوگو</w:t>
      </w:r>
      <w:r w:rsidRPr="0025250D">
        <w:rPr>
          <w:vertAlign w:val="superscript"/>
          <w:rtl/>
        </w:rPr>
        <w:footnoteReference w:id="2985"/>
      </w:r>
      <w:r w:rsidRPr="0025250D">
        <w:rPr>
          <w:rFonts w:hint="cs"/>
          <w:rtl/>
        </w:rPr>
        <w:t>، کیک استارتر</w:t>
      </w:r>
      <w:r w:rsidRPr="0025250D">
        <w:rPr>
          <w:vertAlign w:val="superscript"/>
          <w:rtl/>
        </w:rPr>
        <w:footnoteReference w:id="2986"/>
      </w:r>
      <w:r w:rsidRPr="0025250D">
        <w:rPr>
          <w:rFonts w:hint="cs"/>
          <w:rtl/>
        </w:rPr>
        <w:t xml:space="preserve"> تأمین کنیم.</w:t>
      </w:r>
    </w:p>
    <w:p w14:paraId="634DC1E5" w14:textId="472A41F9" w:rsidR="00537CC8" w:rsidRPr="0025250D" w:rsidRDefault="00537CC8" w:rsidP="00537CC8">
      <w:pPr>
        <w:rPr>
          <w:rtl/>
        </w:rPr>
      </w:pPr>
      <w:r w:rsidRPr="0025250D">
        <w:rPr>
          <w:rFonts w:hint="cs"/>
          <w:rtl/>
        </w:rPr>
        <w:t xml:space="preserve">پلتفرم‌های استعدادیابی مانند </w:t>
      </w:r>
      <w:r w:rsidRPr="0025250D">
        <w:rPr>
          <w:rtl/>
        </w:rPr>
        <w:t>ل</w:t>
      </w:r>
      <w:r w:rsidRPr="0025250D">
        <w:rPr>
          <w:rFonts w:hint="cs"/>
          <w:rtl/>
        </w:rPr>
        <w:t>ی</w:t>
      </w:r>
      <w:r w:rsidRPr="0025250D">
        <w:rPr>
          <w:rFonts w:hint="eastAsia"/>
          <w:rtl/>
        </w:rPr>
        <w:t>نکد</w:t>
      </w:r>
      <w:r w:rsidRPr="0025250D">
        <w:rPr>
          <w:rFonts w:hint="cs"/>
          <w:rtl/>
        </w:rPr>
        <w:t>ی</w:t>
      </w:r>
      <w:r w:rsidRPr="0025250D">
        <w:rPr>
          <w:rFonts w:hint="eastAsia"/>
          <w:rtl/>
        </w:rPr>
        <w:t>ن</w:t>
      </w:r>
      <w:r w:rsidRPr="0025250D">
        <w:rPr>
          <w:rFonts w:hint="cs"/>
          <w:rtl/>
        </w:rPr>
        <w:t>، آپ ورک</w:t>
      </w:r>
      <w:r w:rsidRPr="0025250D">
        <w:rPr>
          <w:vertAlign w:val="superscript"/>
          <w:rtl/>
        </w:rPr>
        <w:footnoteReference w:id="2987"/>
      </w:r>
      <w:r w:rsidRPr="0025250D">
        <w:rPr>
          <w:rFonts w:hint="cs"/>
          <w:rtl/>
        </w:rPr>
        <w:t xml:space="preserve"> و کراوداسپرینگ</w:t>
      </w:r>
      <w:r w:rsidRPr="0025250D">
        <w:rPr>
          <w:vertAlign w:val="superscript"/>
          <w:rtl/>
        </w:rPr>
        <w:footnoteReference w:id="2988"/>
      </w:r>
      <w:r w:rsidRPr="0025250D">
        <w:rPr>
          <w:rFonts w:hint="cs"/>
          <w:rtl/>
        </w:rPr>
        <w:t>، جوامع حل مسائل بزرگی مانند اینوسنتیو</w:t>
      </w:r>
      <w:r w:rsidRPr="0025250D">
        <w:rPr>
          <w:vertAlign w:val="superscript"/>
          <w:rtl/>
        </w:rPr>
        <w:footnoteReference w:id="2989"/>
      </w:r>
      <w:r w:rsidRPr="0025250D">
        <w:rPr>
          <w:rFonts w:hint="cs"/>
          <w:rtl/>
        </w:rPr>
        <w:t xml:space="preserve"> و گروه جدیدی از پلتفرم‌های </w:t>
      </w:r>
      <w:r w:rsidRPr="0025250D">
        <w:rPr>
          <w:rtl/>
        </w:rPr>
        <w:t>آینده‌نگاری</w:t>
      </w:r>
      <w:r w:rsidRPr="0025250D">
        <w:rPr>
          <w:rFonts w:hint="cs"/>
          <w:rtl/>
        </w:rPr>
        <w:t xml:space="preserve"> گروهی جدید مانند ویکی استرات</w:t>
      </w:r>
      <w:r w:rsidRPr="0025250D">
        <w:rPr>
          <w:vertAlign w:val="superscript"/>
          <w:rtl/>
        </w:rPr>
        <w:footnoteReference w:id="2990"/>
      </w:r>
      <w:r w:rsidRPr="0025250D">
        <w:rPr>
          <w:rFonts w:hint="cs"/>
          <w:rtl/>
        </w:rPr>
        <w:t>، شیپینگ تومارو</w:t>
      </w:r>
      <w:r w:rsidRPr="0025250D">
        <w:rPr>
          <w:vertAlign w:val="superscript"/>
          <w:rtl/>
        </w:rPr>
        <w:footnoteReference w:id="2991"/>
      </w:r>
      <w:r w:rsidRPr="0025250D">
        <w:rPr>
          <w:rFonts w:hint="cs"/>
          <w:rtl/>
        </w:rPr>
        <w:t>، تک کست</w:t>
      </w:r>
      <w:r w:rsidRPr="0025250D">
        <w:rPr>
          <w:vertAlign w:val="superscript"/>
          <w:rtl/>
        </w:rPr>
        <w:footnoteReference w:id="2992"/>
      </w:r>
      <w:r w:rsidRPr="0025250D">
        <w:rPr>
          <w:rFonts w:hint="cs"/>
          <w:rtl/>
        </w:rPr>
        <w:t>، متاکولوس و اوگور</w:t>
      </w:r>
      <w:r w:rsidRPr="0025250D">
        <w:rPr>
          <w:vertAlign w:val="superscript"/>
          <w:rtl/>
        </w:rPr>
        <w:footnoteReference w:id="2993"/>
      </w:r>
      <w:r w:rsidRPr="0025250D">
        <w:rPr>
          <w:rFonts w:hint="cs"/>
          <w:rtl/>
        </w:rPr>
        <w:t xml:space="preserve"> به ما برای </w:t>
      </w:r>
      <w:r w:rsidR="00923DDB" w:rsidRPr="0025250D">
        <w:rPr>
          <w:rFonts w:hint="cs"/>
          <w:rtl/>
        </w:rPr>
        <w:t>پیش‌انگاری</w:t>
      </w:r>
      <w:r w:rsidRPr="0025250D">
        <w:rPr>
          <w:rFonts w:hint="cs"/>
          <w:rtl/>
        </w:rPr>
        <w:t>، خلق و مدیریت تغییر به همراه هم و به شکل سریع‌تر و مشارکتی‌تر کمک می‌کنند.</w:t>
      </w:r>
    </w:p>
    <w:p w14:paraId="39145717" w14:textId="19C57369" w:rsidR="00537CC8" w:rsidRPr="0025250D" w:rsidRDefault="00537CC8" w:rsidP="00537CC8">
      <w:pPr>
        <w:rPr>
          <w:rtl/>
        </w:rPr>
      </w:pPr>
      <w:r w:rsidRPr="0025250D">
        <w:rPr>
          <w:rFonts w:hint="cs"/>
          <w:rtl/>
        </w:rPr>
        <w:t xml:space="preserve">در رسانه‌های پخش آنلاین، مجموعه‌های ویدئویی آینده محورِ متعددی اکنون برای آموزش عموم مردم درمورد آنچه ممکن است در آینده رخ دهد، وجود دارند. ما شاهد کانال‌های </w:t>
      </w:r>
      <w:r w:rsidR="00923DDB" w:rsidRPr="0025250D">
        <w:rPr>
          <w:rFonts w:hint="cs"/>
          <w:rtl/>
        </w:rPr>
        <w:t>باورپذیر</w:t>
      </w:r>
      <w:r w:rsidRPr="0025250D">
        <w:rPr>
          <w:rFonts w:hint="cs"/>
          <w:rtl/>
        </w:rPr>
        <w:t xml:space="preserve"> و </w:t>
      </w:r>
      <w:r w:rsidR="0008779C" w:rsidRPr="0025250D">
        <w:rPr>
          <w:rFonts w:hint="cs"/>
          <w:rtl/>
        </w:rPr>
        <w:t>واقع‌گرا</w:t>
      </w:r>
      <w:r w:rsidRPr="0025250D">
        <w:rPr>
          <w:rFonts w:hint="cs"/>
          <w:rtl/>
        </w:rPr>
        <w:t>یانه‌ای در مورد آینده برای تکمیل کانال‌های علمی-تخیلی مبتنی بر تخیلات و اغلب غیر</w:t>
      </w:r>
      <w:r w:rsidR="00923DDB" w:rsidRPr="0025250D">
        <w:rPr>
          <w:rFonts w:hint="cs"/>
          <w:rtl/>
        </w:rPr>
        <w:t>باورپذیر</w:t>
      </w:r>
      <w:r w:rsidRPr="0025250D">
        <w:rPr>
          <w:rFonts w:hint="cs"/>
          <w:rtl/>
        </w:rPr>
        <w:t xml:space="preserve"> و کانال‌های تاریخی متنوع هستیم.</w:t>
      </w:r>
      <w:r w:rsidR="0020589F" w:rsidRPr="0025250D">
        <w:rPr>
          <w:rtl/>
        </w:rPr>
        <w:t xml:space="preserve"> کانال</w:t>
      </w:r>
      <w:r w:rsidRPr="0025250D">
        <w:rPr>
          <w:rFonts w:hint="cs"/>
          <w:rtl/>
        </w:rPr>
        <w:t xml:space="preserve">‌های آینده‌ای که ما در </w:t>
      </w:r>
      <w:r w:rsidRPr="0025250D">
        <w:t>4U</w:t>
      </w:r>
      <w:r w:rsidRPr="0025250D">
        <w:rPr>
          <w:rFonts w:hint="cs"/>
          <w:rtl/>
        </w:rPr>
        <w:t xml:space="preserve"> بیش‌تر دوست داریم در آینده ببینیم، تنها محتوای </w:t>
      </w:r>
      <w:r w:rsidR="009D17DA" w:rsidRPr="0025250D">
        <w:rPr>
          <w:rFonts w:hint="cs"/>
          <w:rtl/>
        </w:rPr>
        <w:t>بالا‌به‌پایین</w:t>
      </w:r>
      <w:r w:rsidRPr="0025250D">
        <w:rPr>
          <w:rFonts w:hint="cs"/>
          <w:rtl/>
        </w:rPr>
        <w:t xml:space="preserve"> اصلاح شده، تقریبا مانند همه کانال‌های موجود، ارائه نخواهند داد. آن‌ها به شدت پایین به بالا خواهند بود، مانند ی</w:t>
      </w:r>
      <w:r w:rsidRPr="0025250D">
        <w:rPr>
          <w:rFonts w:hint="eastAsia"/>
          <w:rtl/>
        </w:rPr>
        <w:t>وت</w:t>
      </w:r>
      <w:r w:rsidRPr="0025250D">
        <w:rPr>
          <w:rFonts w:hint="cs"/>
          <w:rtl/>
        </w:rPr>
        <w:t>ی</w:t>
      </w:r>
      <w:r w:rsidRPr="0025250D">
        <w:rPr>
          <w:rFonts w:hint="eastAsia"/>
          <w:rtl/>
        </w:rPr>
        <w:t>وب</w:t>
      </w:r>
      <w:r w:rsidRPr="0025250D">
        <w:rPr>
          <w:rFonts w:hint="cs"/>
          <w:rtl/>
        </w:rPr>
        <w:t xml:space="preserve">. هر کسی می‌تواند محتوای ویدویی مرتبط با </w:t>
      </w:r>
      <w:r w:rsidR="00D92F6E" w:rsidRPr="0025250D">
        <w:rPr>
          <w:rFonts w:hint="cs"/>
          <w:rtl/>
        </w:rPr>
        <w:t>آینده‌نگاری</w:t>
      </w:r>
      <w:r w:rsidRPr="0025250D">
        <w:rPr>
          <w:rFonts w:hint="cs"/>
          <w:rtl/>
        </w:rPr>
        <w:t xml:space="preserve"> یا </w:t>
      </w:r>
      <w:r w:rsidR="00D92F6E" w:rsidRPr="0025250D">
        <w:rPr>
          <w:rFonts w:hint="cs"/>
          <w:rtl/>
        </w:rPr>
        <w:t>آینده‌پژوه</w:t>
      </w:r>
      <w:r w:rsidRPr="0025250D">
        <w:rPr>
          <w:rFonts w:hint="cs"/>
          <w:rtl/>
        </w:rPr>
        <w:t>ی را، با یک مجوز ریمیکس آزاد</w:t>
      </w:r>
      <w:r w:rsidRPr="0025250D">
        <w:rPr>
          <w:vertAlign w:val="superscript"/>
          <w:rtl/>
        </w:rPr>
        <w:footnoteReference w:id="2994"/>
      </w:r>
      <w:r w:rsidRPr="0025250D">
        <w:rPr>
          <w:rFonts w:hint="cs"/>
          <w:rtl/>
        </w:rPr>
        <w:t xml:space="preserve"> ارائه دهد تا همه بتوانند محتوای دیگران را در این کانال‌ها اصلاح کرده و مجددا ارائه دهند. شاید مهم‌تر از همه، محتوا می‌تواند از نظر متخصصین از جنبه دقت و </w:t>
      </w:r>
      <w:r w:rsidR="00923DDB" w:rsidRPr="0025250D">
        <w:rPr>
          <w:rFonts w:hint="cs"/>
          <w:rtl/>
        </w:rPr>
        <w:t>باورپذیر</w:t>
      </w:r>
      <w:r w:rsidRPr="0025250D">
        <w:rPr>
          <w:rFonts w:hint="cs"/>
          <w:rtl/>
        </w:rPr>
        <w:t xml:space="preserve">ی و از نظر عموم مردم از جنبه </w:t>
      </w:r>
      <w:r w:rsidR="00923DDB" w:rsidRPr="0025250D">
        <w:rPr>
          <w:rFonts w:hint="cs"/>
          <w:rtl/>
        </w:rPr>
        <w:t>باورپذیر</w:t>
      </w:r>
      <w:r w:rsidRPr="0025250D">
        <w:rPr>
          <w:rFonts w:hint="cs"/>
          <w:rtl/>
        </w:rPr>
        <w:t xml:space="preserve">ی و ارزش سرگرمی امتیاز دهی شود و درصد مهمی از سود آن مستقیما به تولید کنندگان محتوا برسد؛ رویکردی که ما آن را </w:t>
      </w:r>
      <w:r w:rsidRPr="0025250D">
        <w:t>CBBM</w:t>
      </w:r>
      <w:r w:rsidRPr="0025250D">
        <w:rPr>
          <w:rFonts w:hint="cs"/>
          <w:rtl/>
        </w:rPr>
        <w:t xml:space="preserve"> (مدل </w:t>
      </w:r>
      <w:r w:rsidR="00B124DE" w:rsidRPr="0025250D">
        <w:rPr>
          <w:rFonts w:hint="cs"/>
          <w:rtl/>
        </w:rPr>
        <w:t>کسب‌و‌کار</w:t>
      </w:r>
      <w:r w:rsidRPr="0025250D">
        <w:rPr>
          <w:rFonts w:hint="cs"/>
          <w:rtl/>
        </w:rPr>
        <w:t xml:space="preserve"> انتفاع جمعی</w:t>
      </w:r>
      <w:r w:rsidRPr="0025250D">
        <w:rPr>
          <w:vertAlign w:val="superscript"/>
          <w:rtl/>
        </w:rPr>
        <w:footnoteReference w:id="2995"/>
      </w:r>
      <w:r w:rsidRPr="0025250D">
        <w:rPr>
          <w:rFonts w:hint="cs"/>
          <w:rtl/>
        </w:rPr>
        <w:t>) می‌نامیم.</w:t>
      </w:r>
    </w:p>
    <w:p w14:paraId="5C5DF295" w14:textId="32FDB958" w:rsidR="00537CC8" w:rsidRPr="0025250D" w:rsidRDefault="00537CC8" w:rsidP="00537CC8">
      <w:pPr>
        <w:rPr>
          <w:rtl/>
        </w:rPr>
      </w:pPr>
      <w:r w:rsidRPr="0025250D">
        <w:rPr>
          <w:rFonts w:hint="cs"/>
          <w:rtl/>
        </w:rPr>
        <w:t xml:space="preserve">امروزه، رسانه‌های اجتماعی مانند </w:t>
      </w:r>
      <w:r w:rsidRPr="0025250D">
        <w:rPr>
          <w:rtl/>
        </w:rPr>
        <w:t>ف</w:t>
      </w:r>
      <w:r w:rsidRPr="0025250D">
        <w:rPr>
          <w:rFonts w:hint="cs"/>
          <w:rtl/>
        </w:rPr>
        <w:t>ی</w:t>
      </w:r>
      <w:r w:rsidRPr="0025250D">
        <w:rPr>
          <w:rFonts w:hint="eastAsia"/>
          <w:rtl/>
        </w:rPr>
        <w:t>س</w:t>
      </w:r>
      <w:r w:rsidRPr="0025250D">
        <w:rPr>
          <w:rtl/>
        </w:rPr>
        <w:t xml:space="preserve"> بوک</w:t>
      </w:r>
      <w:r w:rsidRPr="0025250D">
        <w:rPr>
          <w:rFonts w:hint="cs"/>
          <w:rtl/>
        </w:rPr>
        <w:t>، ردیت و کورا</w:t>
      </w:r>
      <w:r w:rsidRPr="0025250D">
        <w:rPr>
          <w:vertAlign w:val="superscript"/>
          <w:rtl/>
        </w:rPr>
        <w:footnoteReference w:id="2996"/>
      </w:r>
      <w:r w:rsidRPr="0025250D">
        <w:rPr>
          <w:rFonts w:hint="cs"/>
          <w:rtl/>
        </w:rPr>
        <w:t xml:space="preserve">، </w:t>
      </w:r>
      <w:r w:rsidRPr="0025250D">
        <w:t>CBBM</w:t>
      </w:r>
      <w:r w:rsidRPr="0025250D">
        <w:rPr>
          <w:rFonts w:hint="cs"/>
          <w:rtl/>
        </w:rPr>
        <w:t>‌های منتشر کننده مانند مدیوم</w:t>
      </w:r>
      <w:r w:rsidRPr="0025250D">
        <w:rPr>
          <w:vertAlign w:val="superscript"/>
          <w:rtl/>
        </w:rPr>
        <w:footnoteReference w:id="2997"/>
      </w:r>
      <w:r w:rsidRPr="0025250D">
        <w:rPr>
          <w:rFonts w:hint="cs"/>
          <w:rtl/>
        </w:rPr>
        <w:t xml:space="preserve"> و استریمیت</w:t>
      </w:r>
      <w:r w:rsidRPr="0025250D">
        <w:rPr>
          <w:vertAlign w:val="superscript"/>
          <w:rtl/>
        </w:rPr>
        <w:footnoteReference w:id="2998"/>
      </w:r>
      <w:r w:rsidRPr="0025250D">
        <w:rPr>
          <w:rFonts w:hint="cs"/>
          <w:rtl/>
        </w:rPr>
        <w:t xml:space="preserve"> و پلتفرم‌های انتخاب مبتنی بر هوش مصنوعی مانند </w:t>
      </w:r>
      <w:r w:rsidRPr="0025250D">
        <w:rPr>
          <w:rtl/>
        </w:rPr>
        <w:t>اخبار گوگل</w:t>
      </w:r>
      <w:r w:rsidRPr="0025250D">
        <w:rPr>
          <w:vertAlign w:val="superscript"/>
          <w:rtl/>
        </w:rPr>
        <w:footnoteReference w:id="2999"/>
      </w:r>
      <w:r w:rsidRPr="0025250D">
        <w:rPr>
          <w:rFonts w:hint="cs"/>
          <w:rtl/>
        </w:rPr>
        <w:t xml:space="preserve"> به شکل فزاینده‌ای در حال جایگزینی رسانه‌های شبکه‌ای به عنوان مرجع ما برای اخبار و آموزش هستند. بدترین موارد از این شبکه‌ها، مانند </w:t>
      </w:r>
      <w:r w:rsidRPr="0025250D">
        <w:rPr>
          <w:rtl/>
        </w:rPr>
        <w:t>ف</w:t>
      </w:r>
      <w:r w:rsidRPr="0025250D">
        <w:rPr>
          <w:rFonts w:hint="cs"/>
          <w:rtl/>
        </w:rPr>
        <w:t>ی</w:t>
      </w:r>
      <w:r w:rsidRPr="0025250D">
        <w:rPr>
          <w:rFonts w:hint="eastAsia"/>
          <w:rtl/>
        </w:rPr>
        <w:t>س</w:t>
      </w:r>
      <w:r w:rsidRPr="0025250D">
        <w:rPr>
          <w:rtl/>
        </w:rPr>
        <w:t xml:space="preserve"> بوک</w:t>
      </w:r>
      <w:r w:rsidRPr="0025250D">
        <w:rPr>
          <w:rFonts w:hint="cs"/>
          <w:rtl/>
        </w:rPr>
        <w:t xml:space="preserve">، عمیقا دستکاری شده و انتخابی هستند و امکان پخش تبلیغات بدون اصلاح و فیلترِ هدفمند را می‌دهند و حقوق داده و کنترل بسیار کمی بر آنچه با </w:t>
      </w:r>
      <w:r w:rsidR="002C61FC" w:rsidRPr="0025250D">
        <w:rPr>
          <w:rtl/>
        </w:rPr>
        <w:t>«</w:t>
      </w:r>
      <w:r w:rsidRPr="0025250D">
        <w:rPr>
          <w:rFonts w:hint="cs"/>
          <w:rtl/>
        </w:rPr>
        <w:t>دوستان</w:t>
      </w:r>
      <w:r w:rsidR="002C61FC" w:rsidRPr="0025250D">
        <w:rPr>
          <w:rtl/>
        </w:rPr>
        <w:t>»</w:t>
      </w:r>
      <w:r w:rsidRPr="0025250D">
        <w:rPr>
          <w:rFonts w:hint="cs"/>
          <w:rtl/>
        </w:rPr>
        <w:t xml:space="preserve"> خود انجام می‌دهند، در اختیار کاربران می‌گذارند. بهترین موارد در میان این شبکه‌ها توانمند ساز هستند و منابع اقتصادی ارائه می‌دهند و به شکل فزاینده‌ای مشارکتی می‌باشند. جامعه </w:t>
      </w:r>
      <w:r w:rsidR="006C4DCD" w:rsidRPr="0025250D">
        <w:rPr>
          <w:rFonts w:hint="cs"/>
          <w:rtl/>
        </w:rPr>
        <w:t>آر</w:t>
      </w:r>
      <w:r w:rsidR="006C4DCD" w:rsidRPr="0025250D">
        <w:rPr>
          <w:rtl/>
        </w:rPr>
        <w:t>/آ</w:t>
      </w:r>
      <w:r w:rsidR="006C4DCD" w:rsidRPr="0025250D">
        <w:rPr>
          <w:rFonts w:hint="cs"/>
          <w:rtl/>
        </w:rPr>
        <w:t>ی</w:t>
      </w:r>
      <w:r w:rsidR="006C4DCD" w:rsidRPr="0025250D">
        <w:rPr>
          <w:rFonts w:hint="eastAsia"/>
          <w:rtl/>
        </w:rPr>
        <w:t>نده</w:t>
      </w:r>
      <w:r w:rsidR="006C4DCD" w:rsidRPr="0025250D">
        <w:rPr>
          <w:rtl/>
        </w:rPr>
        <w:t xml:space="preserve"> شناس</w:t>
      </w:r>
      <w:r w:rsidR="006C4DCD" w:rsidRPr="0025250D">
        <w:rPr>
          <w:rFonts w:hint="cs"/>
          <w:rtl/>
        </w:rPr>
        <w:t>ی</w:t>
      </w:r>
      <w:r w:rsidRPr="0025250D">
        <w:rPr>
          <w:rFonts w:hint="cs"/>
          <w:rtl/>
        </w:rPr>
        <w:t xml:space="preserve"> ردیت، با 15 میلیون </w:t>
      </w:r>
      <w:r w:rsidR="00D30084" w:rsidRPr="0025250D">
        <w:rPr>
          <w:rFonts w:hint="cs"/>
          <w:rtl/>
        </w:rPr>
        <w:t>آینده‌نگار</w:t>
      </w:r>
      <w:r w:rsidRPr="0025250D">
        <w:rPr>
          <w:rFonts w:hint="cs"/>
          <w:rtl/>
        </w:rPr>
        <w:t xml:space="preserve">، تنها یک فضای جدید مفید برای استفاده و شرکت در بحث‌های گروهی درمورد موضوعات و مطالب آینده است. </w:t>
      </w:r>
      <w:r w:rsidRPr="0025250D">
        <w:rPr>
          <w:rtl/>
        </w:rPr>
        <w:t>بهتر</w:t>
      </w:r>
      <w:r w:rsidRPr="0025250D">
        <w:rPr>
          <w:rFonts w:hint="cs"/>
          <w:rtl/>
        </w:rPr>
        <w:t>ی</w:t>
      </w:r>
      <w:r w:rsidRPr="0025250D">
        <w:rPr>
          <w:rFonts w:hint="eastAsia"/>
          <w:rtl/>
        </w:rPr>
        <w:t>ن‌</w:t>
      </w:r>
      <w:r w:rsidRPr="0025250D">
        <w:rPr>
          <w:rFonts w:hint="cs"/>
          <w:rtl/>
        </w:rPr>
        <w:t xml:space="preserve"> موارد از</w:t>
      </w:r>
      <w:r w:rsidRPr="0025250D">
        <w:rPr>
          <w:rtl/>
        </w:rPr>
        <w:t xml:space="preserve"> ا</w:t>
      </w:r>
      <w:r w:rsidRPr="0025250D">
        <w:rPr>
          <w:rFonts w:hint="cs"/>
          <w:rtl/>
        </w:rPr>
        <w:t>ی</w:t>
      </w:r>
      <w:r w:rsidRPr="0025250D">
        <w:rPr>
          <w:rFonts w:hint="eastAsia"/>
          <w:rtl/>
        </w:rPr>
        <w:t>ن</w:t>
      </w:r>
      <w:r w:rsidRPr="0025250D">
        <w:rPr>
          <w:rtl/>
        </w:rPr>
        <w:t xml:space="preserve"> شبکه‌ها همچنان از نظر قدرت و سودمند</w:t>
      </w:r>
      <w:r w:rsidRPr="0025250D">
        <w:rPr>
          <w:rFonts w:hint="cs"/>
          <w:rtl/>
        </w:rPr>
        <w:t>ی</w:t>
      </w:r>
      <w:r w:rsidRPr="0025250D">
        <w:rPr>
          <w:rtl/>
        </w:rPr>
        <w:t xml:space="preserve"> رشد خواهند کرد، ز</w:t>
      </w:r>
      <w:r w:rsidRPr="0025250D">
        <w:rPr>
          <w:rFonts w:hint="cs"/>
          <w:rtl/>
        </w:rPr>
        <w:t>ی</w:t>
      </w:r>
      <w:r w:rsidRPr="0025250D">
        <w:rPr>
          <w:rFonts w:hint="eastAsia"/>
          <w:rtl/>
        </w:rPr>
        <w:t>را</w:t>
      </w:r>
      <w:r w:rsidRPr="0025250D">
        <w:rPr>
          <w:rtl/>
        </w:rPr>
        <w:t xml:space="preserve"> مردم </w:t>
      </w:r>
      <w:r w:rsidRPr="0025250D">
        <w:rPr>
          <w:rFonts w:hint="cs"/>
          <w:rtl/>
        </w:rPr>
        <w:t xml:space="preserve">به دنبال </w:t>
      </w:r>
      <w:r w:rsidRPr="0025250D">
        <w:rPr>
          <w:rtl/>
        </w:rPr>
        <w:t>مکان‌ها</w:t>
      </w:r>
      <w:r w:rsidRPr="0025250D">
        <w:rPr>
          <w:rFonts w:hint="cs"/>
          <w:rtl/>
        </w:rPr>
        <w:t>یی</w:t>
      </w:r>
      <w:r w:rsidRPr="0025250D">
        <w:rPr>
          <w:rtl/>
        </w:rPr>
        <w:t xml:space="preserve"> برا</w:t>
      </w:r>
      <w:r w:rsidRPr="0025250D">
        <w:rPr>
          <w:rFonts w:hint="cs"/>
          <w:rtl/>
        </w:rPr>
        <w:t>ی</w:t>
      </w:r>
      <w:r w:rsidRPr="0025250D">
        <w:rPr>
          <w:rtl/>
        </w:rPr>
        <w:t xml:space="preserve"> گفت‌وگو درباره جهان شتاب‌</w:t>
      </w:r>
      <w:r w:rsidRPr="0025250D">
        <w:rPr>
          <w:rFonts w:hint="cs"/>
          <w:rtl/>
        </w:rPr>
        <w:t>گیرنده</w:t>
      </w:r>
      <w:r w:rsidRPr="0025250D">
        <w:rPr>
          <w:rtl/>
        </w:rPr>
        <w:t xml:space="preserve"> ما</w:t>
      </w:r>
      <w:r w:rsidRPr="0025250D">
        <w:rPr>
          <w:rFonts w:hint="cs"/>
          <w:rtl/>
        </w:rPr>
        <w:t xml:space="preserve"> هستند.</w:t>
      </w:r>
    </w:p>
    <w:p w14:paraId="1B30272E" w14:textId="7C0E0EF2" w:rsidR="00537CC8" w:rsidRPr="0025250D" w:rsidRDefault="00537CC8" w:rsidP="00537CC8">
      <w:pPr>
        <w:rPr>
          <w:rtl/>
        </w:rPr>
      </w:pPr>
      <w:r w:rsidRPr="0025250D">
        <w:rPr>
          <w:rFonts w:hint="cs"/>
          <w:rtl/>
        </w:rPr>
        <w:t>با ورود 3 میلیارد نفر باقی مانده از ما به اینترنت در دو دهه آینده، از طریق گوشی‌های هوشمند، تبلت‌ها، لپ تاپ‌ها و رابط‌های کاربری بحث برانگیز و با هوشمند‌تر شدن و مفید‌تر شدن فیلتر سازی مشارکتی این اطلاعات (تحلیل معنایی و انتقال بافت</w:t>
      </w:r>
      <w:r w:rsidRPr="0025250D">
        <w:rPr>
          <w:vertAlign w:val="superscript"/>
          <w:rtl/>
        </w:rPr>
        <w:footnoteReference w:id="3000"/>
      </w:r>
      <w:r w:rsidRPr="0025250D">
        <w:rPr>
          <w:rFonts w:hint="cs"/>
          <w:rtl/>
        </w:rPr>
        <w:t>)، شاهد مثال‌های جدید شگفت انگیزی از همکاری گروه‌های کوچک و تخصصی در علوم، آموزش، محصولات، خدمات و رویداد‌ها، در سرتاسر جهان خواهیم بود.</w:t>
      </w:r>
    </w:p>
    <w:p w14:paraId="215BDC84" w14:textId="3822A4DE" w:rsidR="00537CC8" w:rsidRPr="0025250D" w:rsidRDefault="00537CC8" w:rsidP="00F50EB4">
      <w:pPr>
        <w:pStyle w:val="Heading3"/>
        <w:rPr>
          <w:rtl/>
        </w:rPr>
      </w:pPr>
      <w:r w:rsidRPr="0025250D">
        <w:rPr>
          <w:rtl/>
        </w:rPr>
        <w:t>آینده‌نگاری</w:t>
      </w:r>
      <w:r w:rsidRPr="0025250D">
        <w:rPr>
          <w:rFonts w:hint="cs"/>
          <w:rtl/>
        </w:rPr>
        <w:t xml:space="preserve"> در حال </w:t>
      </w:r>
      <w:r w:rsidR="00F50EB4" w:rsidRPr="0025250D">
        <w:rPr>
          <w:rFonts w:hint="cs"/>
          <w:rtl/>
        </w:rPr>
        <w:t>گسترده</w:t>
      </w:r>
      <w:r w:rsidRPr="0025250D">
        <w:rPr>
          <w:rFonts w:hint="cs"/>
          <w:rtl/>
        </w:rPr>
        <w:t xml:space="preserve"> شدن است</w:t>
      </w:r>
    </w:p>
    <w:p w14:paraId="5C276E65" w14:textId="13AFF0AB" w:rsidR="00537CC8" w:rsidRPr="0025250D" w:rsidRDefault="00537CC8" w:rsidP="00537CC8">
      <w:pPr>
        <w:rPr>
          <w:rtl/>
        </w:rPr>
      </w:pPr>
      <w:r w:rsidRPr="0025250D">
        <w:rPr>
          <w:rFonts w:hint="cs"/>
          <w:rtl/>
        </w:rPr>
        <w:t xml:space="preserve">در مقاله‌ای خلاصه توسط </w:t>
      </w:r>
      <w:r w:rsidR="00D92F6E" w:rsidRPr="0025250D">
        <w:rPr>
          <w:rFonts w:hint="cs"/>
          <w:rtl/>
        </w:rPr>
        <w:t>آینده‌پژوه</w:t>
      </w:r>
      <w:r w:rsidRPr="0025250D">
        <w:rPr>
          <w:rFonts w:hint="cs"/>
          <w:rtl/>
        </w:rPr>
        <w:t xml:space="preserve">ان </w:t>
      </w:r>
      <w:r w:rsidRPr="0025250D">
        <w:rPr>
          <w:rtl/>
        </w:rPr>
        <w:t>ونسا م</w:t>
      </w:r>
      <w:r w:rsidRPr="0025250D">
        <w:rPr>
          <w:rFonts w:hint="cs"/>
          <w:rtl/>
        </w:rPr>
        <w:t>ی</w:t>
      </w:r>
      <w:r w:rsidRPr="0025250D">
        <w:rPr>
          <w:rFonts w:hint="eastAsia"/>
          <w:rtl/>
        </w:rPr>
        <w:t>م</w:t>
      </w:r>
      <w:r w:rsidRPr="0025250D">
        <w:rPr>
          <w:rFonts w:hint="cs"/>
          <w:rtl/>
        </w:rPr>
        <w:t>ی</w:t>
      </w:r>
      <w:r w:rsidRPr="0025250D">
        <w:rPr>
          <w:rFonts w:hint="eastAsia"/>
          <w:rtl/>
        </w:rPr>
        <w:t>س،</w:t>
      </w:r>
      <w:r w:rsidRPr="0025250D">
        <w:rPr>
          <w:rtl/>
        </w:rPr>
        <w:t xml:space="preserve"> آلو</w:t>
      </w:r>
      <w:r w:rsidRPr="0025250D">
        <w:rPr>
          <w:rFonts w:hint="cs"/>
          <w:rtl/>
        </w:rPr>
        <w:t>ی</w:t>
      </w:r>
      <w:r w:rsidRPr="0025250D">
        <w:rPr>
          <w:rFonts w:hint="eastAsia"/>
          <w:rtl/>
        </w:rPr>
        <w:t>س</w:t>
      </w:r>
      <w:r w:rsidRPr="0025250D">
        <w:rPr>
          <w:rtl/>
        </w:rPr>
        <w:t xml:space="preserve"> بر</w:t>
      </w:r>
      <w:r w:rsidRPr="0025250D">
        <w:rPr>
          <w:rFonts w:hint="cs"/>
          <w:rtl/>
        </w:rPr>
        <w:t>ی</w:t>
      </w:r>
      <w:r w:rsidRPr="0025250D">
        <w:rPr>
          <w:rFonts w:hint="eastAsia"/>
          <w:rtl/>
        </w:rPr>
        <w:t>گ</w:t>
      </w:r>
      <w:r w:rsidRPr="0025250D">
        <w:rPr>
          <w:rFonts w:hint="cs"/>
          <w:rtl/>
        </w:rPr>
        <w:t>ی</w:t>
      </w:r>
      <w:r w:rsidRPr="0025250D">
        <w:rPr>
          <w:rFonts w:hint="eastAsia"/>
          <w:rtl/>
        </w:rPr>
        <w:t>س</w:t>
      </w:r>
      <w:r w:rsidRPr="0025250D">
        <w:rPr>
          <w:rtl/>
        </w:rPr>
        <w:t xml:space="preserve"> و جان اسمارت</w:t>
      </w:r>
      <w:r w:rsidRPr="0025250D">
        <w:rPr>
          <w:vertAlign w:val="superscript"/>
          <w:rtl/>
        </w:rPr>
        <w:footnoteReference w:id="3001"/>
      </w:r>
      <w:r w:rsidRPr="0025250D">
        <w:rPr>
          <w:rFonts w:hint="cs"/>
          <w:rtl/>
        </w:rPr>
        <w:t xml:space="preserve"> با عنوان </w:t>
      </w:r>
      <w:r w:rsidR="002C61FC" w:rsidRPr="0025250D">
        <w:rPr>
          <w:rtl/>
        </w:rPr>
        <w:t>«</w:t>
      </w:r>
      <w:r w:rsidRPr="0025250D">
        <w:rPr>
          <w:rtl/>
        </w:rPr>
        <w:t>آینده‌نگاری</w:t>
      </w:r>
      <w:r w:rsidRPr="0025250D">
        <w:rPr>
          <w:rFonts w:hint="cs"/>
          <w:rtl/>
        </w:rPr>
        <w:t xml:space="preserve"> باز</w:t>
      </w:r>
      <w:r w:rsidR="002C61FC" w:rsidRPr="0025250D">
        <w:rPr>
          <w:rtl/>
        </w:rPr>
        <w:t>»</w:t>
      </w:r>
      <w:r w:rsidRPr="0025250D">
        <w:rPr>
          <w:rFonts w:hint="cs"/>
          <w:rtl/>
        </w:rPr>
        <w:t xml:space="preserve"> در مجله </w:t>
      </w:r>
      <w:r w:rsidR="00D92F6E" w:rsidRPr="0025250D">
        <w:rPr>
          <w:rFonts w:hint="cs"/>
          <w:rtl/>
        </w:rPr>
        <w:t>آینده‌پژوه</w:t>
      </w:r>
      <w:r w:rsidRPr="0025250D">
        <w:rPr>
          <w:rFonts w:hint="cs"/>
          <w:rtl/>
        </w:rPr>
        <w:t>ی</w:t>
      </w:r>
      <w:r w:rsidRPr="0025250D">
        <w:rPr>
          <w:vertAlign w:val="superscript"/>
          <w:rtl/>
        </w:rPr>
        <w:footnoteReference w:id="3002"/>
      </w:r>
      <w:r w:rsidRPr="0025250D">
        <w:rPr>
          <w:rFonts w:hint="cs"/>
          <w:rtl/>
        </w:rPr>
        <w:t xml:space="preserve">، </w:t>
      </w:r>
      <w:r w:rsidRPr="0025250D">
        <w:rPr>
          <w:rtl/>
        </w:rPr>
        <w:t>17(1):91-98, 2012</w:t>
      </w:r>
      <w:r w:rsidRPr="0025250D">
        <w:rPr>
          <w:rFonts w:hint="cs"/>
          <w:rtl/>
        </w:rPr>
        <w:t xml:space="preserve">، </w:t>
      </w:r>
      <w:r w:rsidRPr="0025250D">
        <w:rPr>
          <w:rtl/>
        </w:rPr>
        <w:t>ما استدلال کرد</w:t>
      </w:r>
      <w:r w:rsidRPr="0025250D">
        <w:rPr>
          <w:rFonts w:hint="cs"/>
          <w:rtl/>
        </w:rPr>
        <w:t>ی</w:t>
      </w:r>
      <w:r w:rsidRPr="0025250D">
        <w:rPr>
          <w:rFonts w:hint="eastAsia"/>
          <w:rtl/>
        </w:rPr>
        <w:t>م</w:t>
      </w:r>
      <w:r w:rsidRPr="0025250D">
        <w:rPr>
          <w:rtl/>
        </w:rPr>
        <w:t xml:space="preserve"> که بهتر</w:t>
      </w:r>
      <w:r w:rsidRPr="0025250D">
        <w:rPr>
          <w:rFonts w:hint="cs"/>
          <w:rtl/>
        </w:rPr>
        <w:t>ی</w:t>
      </w:r>
      <w:r w:rsidRPr="0025250D">
        <w:rPr>
          <w:rFonts w:hint="eastAsia"/>
          <w:rtl/>
        </w:rPr>
        <w:t>ن</w:t>
      </w:r>
      <w:r w:rsidRPr="0025250D">
        <w:rPr>
          <w:rtl/>
        </w:rPr>
        <w:t xml:space="preserve"> کار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ما نه تنها د</w:t>
      </w:r>
      <w:r w:rsidRPr="0025250D">
        <w:rPr>
          <w:rFonts w:hint="cs"/>
          <w:rtl/>
        </w:rPr>
        <w:t>ی</w:t>
      </w:r>
      <w:r w:rsidRPr="0025250D">
        <w:rPr>
          <w:rFonts w:hint="eastAsia"/>
          <w:rtl/>
        </w:rPr>
        <w:t>ج</w:t>
      </w:r>
      <w:r w:rsidRPr="0025250D">
        <w:rPr>
          <w:rFonts w:hint="cs"/>
          <w:rtl/>
        </w:rPr>
        <w:t>ی</w:t>
      </w:r>
      <w:r w:rsidRPr="0025250D">
        <w:rPr>
          <w:rFonts w:hint="eastAsia"/>
          <w:rtl/>
        </w:rPr>
        <w:t>تال</w:t>
      </w:r>
      <w:r w:rsidRPr="0025250D">
        <w:rPr>
          <w:rFonts w:hint="cs"/>
          <w:rtl/>
        </w:rPr>
        <w:t>ی</w:t>
      </w:r>
      <w:r w:rsidRPr="0025250D">
        <w:rPr>
          <w:rtl/>
        </w:rPr>
        <w:t xml:space="preserve"> و مشارکت</w:t>
      </w:r>
      <w:r w:rsidRPr="0025250D">
        <w:rPr>
          <w:rFonts w:hint="cs"/>
          <w:rtl/>
        </w:rPr>
        <w:t>ی</w:t>
      </w:r>
      <w:r w:rsidRPr="0025250D">
        <w:rPr>
          <w:rtl/>
        </w:rPr>
        <w:t xml:space="preserve"> است، بلکه به طور فزا</w:t>
      </w:r>
      <w:r w:rsidRPr="0025250D">
        <w:rPr>
          <w:rFonts w:hint="cs"/>
          <w:rtl/>
        </w:rPr>
        <w:t>ی</w:t>
      </w:r>
      <w:r w:rsidRPr="0025250D">
        <w:rPr>
          <w:rFonts w:hint="eastAsia"/>
          <w:rtl/>
        </w:rPr>
        <w:t>نده‌ا</w:t>
      </w:r>
      <w:r w:rsidRPr="0025250D">
        <w:rPr>
          <w:rFonts w:hint="cs"/>
          <w:rtl/>
        </w:rPr>
        <w:t>ی</w:t>
      </w:r>
      <w:r w:rsidRPr="0025250D">
        <w:rPr>
          <w:rtl/>
        </w:rPr>
        <w:t xml:space="preserve"> در فضا</w:t>
      </w:r>
      <w:r w:rsidRPr="0025250D">
        <w:rPr>
          <w:rFonts w:hint="cs"/>
          <w:rtl/>
        </w:rPr>
        <w:t>یی</w:t>
      </w:r>
      <w:r w:rsidRPr="0025250D">
        <w:rPr>
          <w:rtl/>
        </w:rPr>
        <w:t xml:space="preserve"> باز، با ورود</w:t>
      </w:r>
      <w:r w:rsidRPr="0025250D">
        <w:rPr>
          <w:rFonts w:hint="cs"/>
          <w:rtl/>
        </w:rPr>
        <w:t>ی</w:t>
      </w:r>
      <w:r w:rsidRPr="0025250D">
        <w:rPr>
          <w:rtl/>
        </w:rPr>
        <w:t xml:space="preserve"> عموم</w:t>
      </w:r>
      <w:r w:rsidRPr="0025250D">
        <w:rPr>
          <w:rFonts w:hint="cs"/>
          <w:rtl/>
        </w:rPr>
        <w:t>ی</w:t>
      </w:r>
      <w:r w:rsidRPr="0025250D">
        <w:rPr>
          <w:rtl/>
        </w:rPr>
        <w:t xml:space="preserve"> و دسترس</w:t>
      </w:r>
      <w:r w:rsidRPr="0025250D">
        <w:rPr>
          <w:rFonts w:hint="cs"/>
          <w:rtl/>
        </w:rPr>
        <w:t>ی</w:t>
      </w:r>
      <w:r w:rsidRPr="0025250D">
        <w:rPr>
          <w:rtl/>
        </w:rPr>
        <w:t xml:space="preserve"> به داده‌ها</w:t>
      </w:r>
      <w:r w:rsidRPr="0025250D">
        <w:rPr>
          <w:rFonts w:hint="cs"/>
          <w:rtl/>
        </w:rPr>
        <w:t>ی</w:t>
      </w:r>
      <w:r w:rsidRPr="0025250D">
        <w:rPr>
          <w:rtl/>
        </w:rPr>
        <w:t xml:space="preserve"> اول</w:t>
      </w:r>
      <w:r w:rsidRPr="0025250D">
        <w:rPr>
          <w:rFonts w:hint="cs"/>
          <w:rtl/>
        </w:rPr>
        <w:t>ی</w:t>
      </w:r>
      <w:r w:rsidRPr="0025250D">
        <w:rPr>
          <w:rFonts w:hint="eastAsia"/>
          <w:rtl/>
        </w:rPr>
        <w:t>ه</w:t>
      </w:r>
      <w:r w:rsidRPr="0025250D">
        <w:rPr>
          <w:rtl/>
        </w:rPr>
        <w:t xml:space="preserve"> (نتا</w:t>
      </w:r>
      <w:r w:rsidRPr="0025250D">
        <w:rPr>
          <w:rFonts w:hint="cs"/>
          <w:rtl/>
        </w:rPr>
        <w:t>ی</w:t>
      </w:r>
      <w:r w:rsidRPr="0025250D">
        <w:rPr>
          <w:rFonts w:hint="eastAsia"/>
          <w:rtl/>
        </w:rPr>
        <w:t>ج</w:t>
      </w:r>
      <w:r w:rsidRPr="0025250D">
        <w:rPr>
          <w:rtl/>
        </w:rPr>
        <w:t xml:space="preserve"> نظرسنج</w:t>
      </w:r>
      <w:r w:rsidRPr="0025250D">
        <w:rPr>
          <w:rFonts w:hint="cs"/>
          <w:rtl/>
        </w:rPr>
        <w:t>ی</w:t>
      </w:r>
      <w:r w:rsidRPr="0025250D">
        <w:rPr>
          <w:rFonts w:hint="eastAsia"/>
          <w:rtl/>
        </w:rPr>
        <w:t>،</w:t>
      </w:r>
      <w:r w:rsidRPr="0025250D">
        <w:rPr>
          <w:rtl/>
        </w:rPr>
        <w:t xml:space="preserve"> شاخص‌ها) با ظهور آ</w:t>
      </w:r>
      <w:r w:rsidRPr="0025250D">
        <w:rPr>
          <w:rFonts w:hint="cs"/>
          <w:rtl/>
        </w:rPr>
        <w:t>ی</w:t>
      </w:r>
      <w:r w:rsidRPr="0025250D">
        <w:rPr>
          <w:rFonts w:hint="eastAsia"/>
          <w:rtl/>
        </w:rPr>
        <w:t>نده‌نگار</w:t>
      </w:r>
      <w:r w:rsidRPr="0025250D">
        <w:rPr>
          <w:rFonts w:hint="cs"/>
          <w:rtl/>
        </w:rPr>
        <w:t>ی</w:t>
      </w:r>
      <w:r w:rsidRPr="0025250D">
        <w:rPr>
          <w:rtl/>
        </w:rPr>
        <w:t xml:space="preserve"> انجام م</w:t>
      </w:r>
      <w:r w:rsidRPr="0025250D">
        <w:rPr>
          <w:rFonts w:hint="cs"/>
          <w:rtl/>
        </w:rPr>
        <w:t>ی‌</w:t>
      </w:r>
      <w:r w:rsidRPr="0025250D">
        <w:rPr>
          <w:rFonts w:hint="eastAsia"/>
          <w:rtl/>
        </w:rPr>
        <w:t>شود</w:t>
      </w:r>
      <w:r w:rsidRPr="0025250D">
        <w:rPr>
          <w:rFonts w:hint="cs"/>
          <w:rtl/>
        </w:rPr>
        <w:t xml:space="preserve">. پروژه </w:t>
      </w:r>
      <w:r w:rsidRPr="0025250D">
        <w:rPr>
          <w:rtl/>
        </w:rPr>
        <w:t>فوتور</w:t>
      </w:r>
      <w:r w:rsidRPr="0025250D">
        <w:rPr>
          <w:rFonts w:hint="cs"/>
          <w:rtl/>
        </w:rPr>
        <w:t>ی</w:t>
      </w:r>
      <w:r w:rsidRPr="0025250D">
        <w:rPr>
          <w:rFonts w:hint="eastAsia"/>
          <w:rtl/>
        </w:rPr>
        <w:t>وم</w:t>
      </w:r>
      <w:r w:rsidRPr="0025250D">
        <w:rPr>
          <w:vertAlign w:val="superscript"/>
          <w:rtl/>
        </w:rPr>
        <w:footnoteReference w:id="3003"/>
      </w:r>
      <w:r w:rsidRPr="0025250D">
        <w:rPr>
          <w:rtl/>
        </w:rPr>
        <w:t xml:space="preserve"> اتحاد</w:t>
      </w:r>
      <w:r w:rsidRPr="0025250D">
        <w:rPr>
          <w:rFonts w:hint="cs"/>
          <w:rtl/>
        </w:rPr>
        <w:t>ی</w:t>
      </w:r>
      <w:r w:rsidRPr="0025250D">
        <w:rPr>
          <w:rFonts w:hint="eastAsia"/>
          <w:rtl/>
        </w:rPr>
        <w:t>ه</w:t>
      </w:r>
      <w:r w:rsidRPr="0025250D">
        <w:rPr>
          <w:rtl/>
        </w:rPr>
        <w:t xml:space="preserve"> اروپا</w:t>
      </w:r>
      <w:r w:rsidRPr="0025250D">
        <w:rPr>
          <w:rFonts w:hint="cs"/>
          <w:rtl/>
        </w:rPr>
        <w:t xml:space="preserve"> (2012-2014) که 3500 نفر از مردم اروپا را در توسعه چشم‌اندازهایی برای آینده دیجیتالی اروپا در سال 2050 مشارکت داد، مثال خوبی است. </w:t>
      </w:r>
      <w:r w:rsidRPr="0025250D">
        <w:rPr>
          <w:rtl/>
        </w:rPr>
        <w:t>هر نوع فعال</w:t>
      </w:r>
      <w:r w:rsidRPr="0025250D">
        <w:rPr>
          <w:rFonts w:hint="cs"/>
          <w:rtl/>
        </w:rPr>
        <w:t>ی</w:t>
      </w:r>
      <w:r w:rsidRPr="0025250D">
        <w:rPr>
          <w:rFonts w:hint="eastAsia"/>
          <w:rtl/>
        </w:rPr>
        <w:t>ت</w:t>
      </w:r>
      <w:r w:rsidRPr="0025250D">
        <w:rPr>
          <w:rtl/>
        </w:rPr>
        <w:t xml:space="preserve"> پ</w:t>
      </w:r>
      <w:r w:rsidRPr="0025250D">
        <w:rPr>
          <w:rFonts w:hint="cs"/>
          <w:rtl/>
        </w:rPr>
        <w:t>ی</w:t>
      </w:r>
      <w:r w:rsidRPr="0025250D">
        <w:rPr>
          <w:rFonts w:hint="eastAsia"/>
          <w:rtl/>
        </w:rPr>
        <w:t>ش‌</w:t>
      </w:r>
      <w:r w:rsidRPr="0025250D">
        <w:rPr>
          <w:rFonts w:hint="cs"/>
          <w:rtl/>
        </w:rPr>
        <w:t>نگری</w:t>
      </w:r>
      <w:r w:rsidRPr="0025250D">
        <w:rPr>
          <w:rtl/>
        </w:rPr>
        <w:t xml:space="preserve"> باز و چندجانبه دلف</w:t>
      </w:r>
      <w:r w:rsidRPr="0025250D">
        <w:rPr>
          <w:rFonts w:hint="cs"/>
          <w:rtl/>
        </w:rPr>
        <w:t>ی</w:t>
      </w:r>
      <w:r w:rsidRPr="0025250D">
        <w:rPr>
          <w:rtl/>
        </w:rPr>
        <w:t xml:space="preserve"> </w:t>
      </w:r>
      <w:r w:rsidRPr="0025250D">
        <w:rPr>
          <w:rFonts w:hint="cs"/>
          <w:rtl/>
        </w:rPr>
        <w:t>ی</w:t>
      </w:r>
      <w:r w:rsidRPr="0025250D">
        <w:rPr>
          <w:rFonts w:hint="eastAsia"/>
          <w:rtl/>
        </w:rPr>
        <w:t>ا</w:t>
      </w:r>
      <w:r w:rsidRPr="0025250D">
        <w:rPr>
          <w:rtl/>
        </w:rPr>
        <w:t xml:space="preserve"> گروه</w:t>
      </w:r>
      <w:r w:rsidRPr="0025250D">
        <w:rPr>
          <w:rFonts w:hint="cs"/>
          <w:rtl/>
        </w:rPr>
        <w:t>ی</w:t>
      </w:r>
      <w:r w:rsidRPr="0025250D">
        <w:rPr>
          <w:rFonts w:hint="eastAsia"/>
          <w:rtl/>
        </w:rPr>
        <w:t>،</w:t>
      </w:r>
      <w:r w:rsidRPr="0025250D">
        <w:rPr>
          <w:rtl/>
        </w:rPr>
        <w:t xml:space="preserve"> مانند برنامه‌ها</w:t>
      </w:r>
      <w:r w:rsidRPr="0025250D">
        <w:rPr>
          <w:rFonts w:hint="cs"/>
          <w:rtl/>
        </w:rPr>
        <w:t>ی</w:t>
      </w:r>
      <w:r w:rsidRPr="0025250D">
        <w:rPr>
          <w:rtl/>
        </w:rPr>
        <w:t xml:space="preserve"> اقدام </w:t>
      </w:r>
      <w:r w:rsidRPr="0025250D">
        <w:t>ELAC</w:t>
      </w:r>
      <w:r w:rsidRPr="0025250D">
        <w:rPr>
          <w:rtl/>
        </w:rPr>
        <w:t xml:space="preserve"> برا</w:t>
      </w:r>
      <w:r w:rsidRPr="0025250D">
        <w:rPr>
          <w:rFonts w:hint="cs"/>
          <w:rtl/>
        </w:rPr>
        <w:t>ی</w:t>
      </w:r>
      <w:r w:rsidRPr="0025250D">
        <w:rPr>
          <w:rtl/>
        </w:rPr>
        <w:t xml:space="preserve"> توسعه فناور</w:t>
      </w:r>
      <w:r w:rsidRPr="0025250D">
        <w:rPr>
          <w:rFonts w:hint="cs"/>
          <w:rtl/>
        </w:rPr>
        <w:t>ی</w:t>
      </w:r>
      <w:r w:rsidRPr="0025250D">
        <w:rPr>
          <w:rtl/>
        </w:rPr>
        <w:t xml:space="preserve"> اطلاعات و ارتباطات در آمر</w:t>
      </w:r>
      <w:r w:rsidRPr="0025250D">
        <w:rPr>
          <w:rFonts w:hint="cs"/>
          <w:rtl/>
        </w:rPr>
        <w:t>ی</w:t>
      </w:r>
      <w:r w:rsidRPr="0025250D">
        <w:rPr>
          <w:rFonts w:hint="eastAsia"/>
          <w:rtl/>
        </w:rPr>
        <w:t>کا</w:t>
      </w:r>
      <w:r w:rsidRPr="0025250D">
        <w:rPr>
          <w:rFonts w:hint="cs"/>
          <w:rtl/>
        </w:rPr>
        <w:t>ی</w:t>
      </w:r>
      <w:r w:rsidRPr="0025250D">
        <w:rPr>
          <w:rtl/>
        </w:rPr>
        <w:t xml:space="preserve"> لات</w:t>
      </w:r>
      <w:r w:rsidRPr="0025250D">
        <w:rPr>
          <w:rFonts w:hint="cs"/>
          <w:rtl/>
        </w:rPr>
        <w:t>ی</w:t>
      </w:r>
      <w:r w:rsidRPr="0025250D">
        <w:rPr>
          <w:rFonts w:hint="eastAsia"/>
          <w:rtl/>
        </w:rPr>
        <w:t>ن،</w:t>
      </w:r>
      <w:r w:rsidRPr="0025250D">
        <w:rPr>
          <w:rtl/>
        </w:rPr>
        <w:t xml:space="preserve"> </w:t>
      </w:r>
      <w:r w:rsidRPr="0025250D">
        <w:rPr>
          <w:rFonts w:hint="cs"/>
          <w:rtl/>
        </w:rPr>
        <w:t>ی</w:t>
      </w:r>
      <w:r w:rsidRPr="0025250D">
        <w:rPr>
          <w:rFonts w:hint="eastAsia"/>
          <w:rtl/>
        </w:rPr>
        <w:t>ک</w:t>
      </w:r>
      <w:r w:rsidRPr="0025250D">
        <w:rPr>
          <w:rFonts w:hint="cs"/>
          <w:rtl/>
        </w:rPr>
        <w:t>ی</w:t>
      </w:r>
      <w:r w:rsidRPr="0025250D">
        <w:rPr>
          <w:rtl/>
        </w:rPr>
        <w:t xml:space="preserve"> د</w:t>
      </w:r>
      <w:r w:rsidRPr="0025250D">
        <w:rPr>
          <w:rFonts w:hint="cs"/>
          <w:rtl/>
        </w:rPr>
        <w:t>ی</w:t>
      </w:r>
      <w:r w:rsidRPr="0025250D">
        <w:rPr>
          <w:rFonts w:hint="eastAsia"/>
          <w:rtl/>
        </w:rPr>
        <w:t>گر</w:t>
      </w:r>
      <w:r w:rsidRPr="0025250D">
        <w:rPr>
          <w:rtl/>
        </w:rPr>
        <w:t xml:space="preserve"> از </w:t>
      </w:r>
      <w:r w:rsidRPr="0025250D">
        <w:rPr>
          <w:rFonts w:hint="cs"/>
          <w:rtl/>
        </w:rPr>
        <w:t xml:space="preserve">این </w:t>
      </w:r>
      <w:r w:rsidRPr="0025250D">
        <w:rPr>
          <w:rtl/>
        </w:rPr>
        <w:t>موارد است</w:t>
      </w:r>
      <w:r w:rsidRPr="0025250D">
        <w:rPr>
          <w:rFonts w:hint="cs"/>
          <w:rtl/>
        </w:rPr>
        <w:t>.</w:t>
      </w:r>
    </w:p>
    <w:p w14:paraId="6FC30C9A" w14:textId="17147B27" w:rsidR="00537CC8" w:rsidRPr="0025250D" w:rsidRDefault="00537CC8" w:rsidP="00537CC8">
      <w:pPr>
        <w:rPr>
          <w:rtl/>
        </w:rPr>
      </w:pPr>
      <w:r w:rsidRPr="0025250D">
        <w:rPr>
          <w:rFonts w:hint="cs"/>
          <w:rtl/>
        </w:rPr>
        <w:t xml:space="preserve">ما </w:t>
      </w:r>
      <w:r w:rsidRPr="0025250D">
        <w:rPr>
          <w:rtl/>
        </w:rPr>
        <w:t>آینده‌نگاری</w:t>
      </w:r>
      <w:r w:rsidRPr="0025250D">
        <w:rPr>
          <w:rFonts w:hint="cs"/>
          <w:rtl/>
        </w:rPr>
        <w:t xml:space="preserve"> باز را به عنوان هر </w:t>
      </w:r>
      <w:r w:rsidRPr="0025250D">
        <w:rPr>
          <w:rtl/>
        </w:rPr>
        <w:t>آینده‌نگاری</w:t>
      </w:r>
      <w:r w:rsidRPr="0025250D">
        <w:rPr>
          <w:rFonts w:hint="cs"/>
          <w:rtl/>
        </w:rPr>
        <w:t xml:space="preserve"> که این ویژگی‌ها را داشته باشد تعریف </w:t>
      </w:r>
      <w:r w:rsidR="00950293" w:rsidRPr="0025250D">
        <w:rPr>
          <w:rFonts w:hint="cs"/>
          <w:rtl/>
        </w:rPr>
        <w:t>کرده‌ایم</w:t>
      </w:r>
      <w:r w:rsidRPr="0025250D">
        <w:rPr>
          <w:rFonts w:hint="cs"/>
          <w:rtl/>
        </w:rPr>
        <w:t>:</w:t>
      </w:r>
    </w:p>
    <w:p w14:paraId="28C77013" w14:textId="77777777" w:rsidR="00537CC8" w:rsidRPr="0025250D" w:rsidRDefault="00537CC8" w:rsidP="00492C47">
      <w:pPr>
        <w:numPr>
          <w:ilvl w:val="0"/>
          <w:numId w:val="56"/>
        </w:numPr>
      </w:pPr>
      <w:r w:rsidRPr="0025250D">
        <w:rPr>
          <w:rFonts w:hint="cs"/>
          <w:rtl/>
        </w:rPr>
        <w:t>جمعی و مشارکتی از نظر ساختاری،</w:t>
      </w:r>
    </w:p>
    <w:p w14:paraId="062353C2" w14:textId="517DDD13" w:rsidR="00537CC8" w:rsidRPr="0025250D" w:rsidRDefault="00537CC8" w:rsidP="00492C47">
      <w:pPr>
        <w:numPr>
          <w:ilvl w:val="0"/>
          <w:numId w:val="56"/>
        </w:numPr>
      </w:pPr>
      <w:r w:rsidRPr="0025250D">
        <w:rPr>
          <w:rFonts w:hint="cs"/>
          <w:rtl/>
        </w:rPr>
        <w:t xml:space="preserve"> دارای دسترسی آزاد، هم به داده‌های </w:t>
      </w:r>
      <w:r w:rsidR="00B124DE" w:rsidRPr="0025250D">
        <w:rPr>
          <w:rFonts w:hint="cs"/>
          <w:rtl/>
        </w:rPr>
        <w:t>جمع‌آوری</w:t>
      </w:r>
      <w:r w:rsidRPr="0025250D">
        <w:rPr>
          <w:rFonts w:hint="cs"/>
          <w:rtl/>
        </w:rPr>
        <w:t xml:space="preserve"> شده و هم به تحلیل‌ها و نتایج آن ها،</w:t>
      </w:r>
    </w:p>
    <w:p w14:paraId="1450FE90" w14:textId="47588092" w:rsidR="00537CC8" w:rsidRPr="0025250D" w:rsidRDefault="00537CC8" w:rsidP="00492C47">
      <w:pPr>
        <w:numPr>
          <w:ilvl w:val="0"/>
          <w:numId w:val="56"/>
        </w:numPr>
      </w:pPr>
      <w:r w:rsidRPr="0025250D">
        <w:rPr>
          <w:rFonts w:hint="cs"/>
          <w:rtl/>
        </w:rPr>
        <w:t>آنلاین که می‌تواند موانع دسترسی به همراه داشته باشد، اما موانع مشارکت را کاهش می‌دهد،</w:t>
      </w:r>
    </w:p>
    <w:p w14:paraId="02429FED" w14:textId="29494B11" w:rsidR="00537CC8" w:rsidRPr="0025250D" w:rsidRDefault="00537CC8" w:rsidP="00492C47">
      <w:pPr>
        <w:numPr>
          <w:ilvl w:val="0"/>
          <w:numId w:val="56"/>
        </w:numPr>
      </w:pPr>
      <w:r w:rsidRPr="0025250D">
        <w:rPr>
          <w:rFonts w:hint="cs"/>
          <w:rtl/>
        </w:rPr>
        <w:t>دارای ورودی‌هایی متنوع از نظر شناختی، نژادی و ذینفعان آن و</w:t>
      </w:r>
    </w:p>
    <w:p w14:paraId="50FDF0C2" w14:textId="77777777" w:rsidR="00537CC8" w:rsidRPr="0025250D" w:rsidRDefault="00537CC8" w:rsidP="00492C47">
      <w:pPr>
        <w:numPr>
          <w:ilvl w:val="0"/>
          <w:numId w:val="56"/>
        </w:numPr>
      </w:pPr>
      <w:r w:rsidRPr="0025250D">
        <w:rPr>
          <w:rFonts w:hint="cs"/>
          <w:rtl/>
        </w:rPr>
        <w:t>طراحی شده با مشوق‌هایی برای مشارکت.</w:t>
      </w:r>
    </w:p>
    <w:p w14:paraId="390A1C05" w14:textId="7662F727" w:rsidR="00537CC8" w:rsidRPr="0025250D" w:rsidRDefault="00537CC8" w:rsidP="00537CC8">
      <w:pPr>
        <w:rPr>
          <w:rtl/>
        </w:rPr>
      </w:pPr>
      <w:r w:rsidRPr="0025250D">
        <w:rPr>
          <w:rFonts w:hint="cs"/>
          <w:rtl/>
        </w:rPr>
        <w:t>این ویژگی آخر گمراه کننده است، زیرا می‌تواند در صورت عدم ساختار بندی درست به حالت پرداخت هزینه برای نظر تبدیل شود</w:t>
      </w:r>
      <w:r w:rsidR="008D6F97" w:rsidRPr="0025250D">
        <w:rPr>
          <w:rtl/>
        </w:rPr>
        <w:t xml:space="preserve">؛ </w:t>
      </w:r>
      <w:r w:rsidR="0020589F" w:rsidRPr="0025250D">
        <w:rPr>
          <w:rtl/>
        </w:rPr>
        <w:t>اما</w:t>
      </w:r>
      <w:r w:rsidRPr="0025250D">
        <w:rPr>
          <w:rFonts w:hint="cs"/>
          <w:rtl/>
        </w:rPr>
        <w:t xml:space="preserve"> انسان‌ها تکمیل نظر سنجی‌ها را دوست ندارند و نظر سنجی از افکار آن‌ها درمورد آینده می‌تواند مشخصا چالش برانگیز باشد، زیرا بسیاری از ما برای تفکر درمورد آن راحت نیستیم و به ندرت برای آن پاداش گرفته ایم یا آموزشی درمورد این که چگونه این کار را بهتر انجام دهیم دیده ایم. برای نظر سنجی مؤثر، ما به ارائه نوعی از مشوق‌ها، مانند یک تجربه تحصیلی-سرگرمی قبل از نظر سنجی و نوعی تقویت شهرت، فرصت‌ها، پاداش مالی یا دیگر مشوق‌ها نیاز داریم. با مشوق‌های درست و آگاهی از ارزش نقش خود، شرکت کنندگان بادقت درمورد جنبه‌های مختلف آینده تفکر خواهند کرد و نظرات خود را که با سوگیری‌های شناختی خودشان تعدیل </w:t>
      </w:r>
      <w:r w:rsidR="00185F3E" w:rsidRPr="0025250D">
        <w:rPr>
          <w:rFonts w:hint="cs"/>
          <w:rtl/>
        </w:rPr>
        <w:t>شده‌اند</w:t>
      </w:r>
      <w:r w:rsidRPr="0025250D">
        <w:rPr>
          <w:rFonts w:hint="cs"/>
          <w:rtl/>
        </w:rPr>
        <w:t>، ارائه خواهند کرد. مردم نیاز دارند احساس کنند ارزش</w:t>
      </w:r>
      <w:r w:rsidR="001B5D60" w:rsidRPr="0025250D">
        <w:rPr>
          <w:rFonts w:hint="cs"/>
          <w:rtl/>
        </w:rPr>
        <w:t>ی</w:t>
      </w:r>
      <w:r w:rsidRPr="0025250D">
        <w:rPr>
          <w:rFonts w:hint="cs"/>
          <w:rtl/>
        </w:rPr>
        <w:t xml:space="preserve"> ایجاد می‌کنند، مانند یک صفحه </w:t>
      </w:r>
      <w:r w:rsidRPr="0025250D">
        <w:rPr>
          <w:rtl/>
        </w:rPr>
        <w:t>و</w:t>
      </w:r>
      <w:r w:rsidRPr="0025250D">
        <w:rPr>
          <w:rFonts w:hint="cs"/>
          <w:rtl/>
        </w:rPr>
        <w:t>ی</w:t>
      </w:r>
      <w:r w:rsidRPr="0025250D">
        <w:rPr>
          <w:rFonts w:hint="eastAsia"/>
          <w:rtl/>
        </w:rPr>
        <w:t>ک</w:t>
      </w:r>
      <w:r w:rsidRPr="0025250D">
        <w:rPr>
          <w:rFonts w:hint="cs"/>
          <w:rtl/>
        </w:rPr>
        <w:t>ی</w:t>
      </w:r>
      <w:r w:rsidRPr="0025250D">
        <w:rPr>
          <w:rFonts w:hint="eastAsia"/>
          <w:rtl/>
        </w:rPr>
        <w:t>پد</w:t>
      </w:r>
      <w:r w:rsidRPr="0025250D">
        <w:rPr>
          <w:rFonts w:hint="cs"/>
          <w:rtl/>
        </w:rPr>
        <w:t>ی</w:t>
      </w:r>
      <w:r w:rsidRPr="0025250D">
        <w:rPr>
          <w:rFonts w:hint="eastAsia"/>
          <w:rtl/>
        </w:rPr>
        <w:t>ا</w:t>
      </w:r>
      <w:r w:rsidRPr="0025250D">
        <w:rPr>
          <w:rFonts w:hint="cs"/>
          <w:rtl/>
        </w:rPr>
        <w:t xml:space="preserve">، یا کمک به دیگران و نیاز دارند احساس کنند تلاش به عنوان یک جامعه </w:t>
      </w:r>
      <w:r w:rsidRPr="0025250D">
        <w:rPr>
          <w:rFonts w:cs="Times New Roman" w:hint="cs"/>
          <w:rtl/>
        </w:rPr>
        <w:t>–</w:t>
      </w:r>
      <w:r w:rsidRPr="0025250D">
        <w:rPr>
          <w:rFonts w:hint="cs"/>
          <w:rtl/>
        </w:rPr>
        <w:t xml:space="preserve"> تلاش برای ایجاد داستان‌ها، </w:t>
      </w:r>
      <w:r w:rsidR="00B56611" w:rsidRPr="0025250D">
        <w:rPr>
          <w:rFonts w:hint="cs"/>
          <w:rtl/>
        </w:rPr>
        <w:t>چشم‌انداز</w:t>
      </w:r>
      <w:r w:rsidRPr="0025250D">
        <w:rPr>
          <w:rFonts w:hint="cs"/>
          <w:rtl/>
        </w:rPr>
        <w:t xml:space="preserve">‌ها، </w:t>
      </w:r>
      <w:r w:rsidR="00701E03" w:rsidRPr="0025250D">
        <w:rPr>
          <w:rFonts w:hint="cs"/>
          <w:rtl/>
        </w:rPr>
        <w:t>راهبرد</w:t>
      </w:r>
      <w:r w:rsidRPr="0025250D">
        <w:rPr>
          <w:rFonts w:hint="cs"/>
          <w:rtl/>
        </w:rPr>
        <w:t>‌ها</w:t>
      </w:r>
      <w:r w:rsidR="008D6F97" w:rsidRPr="0025250D">
        <w:rPr>
          <w:rtl/>
        </w:rPr>
        <w:t xml:space="preserve"> </w:t>
      </w:r>
      <w:r w:rsidRPr="0025250D">
        <w:rPr>
          <w:rFonts w:hint="cs"/>
          <w:rtl/>
        </w:rPr>
        <w:t>و برنامه‌ها جمعی بهتر - برای آینده ارزشمند است. ما تلاش خود را در ایجاد چنین پلتفرم هایی، مانند فیوچرپدیا، در پایان این فصل خواهیم کرد.</w:t>
      </w:r>
    </w:p>
    <w:p w14:paraId="53E1B89E" w14:textId="69D2D3D8" w:rsidR="00537CC8" w:rsidRPr="0025250D" w:rsidRDefault="00537CC8" w:rsidP="00537CC8">
      <w:pPr>
        <w:rPr>
          <w:rtl/>
        </w:rPr>
      </w:pPr>
      <w:r w:rsidRPr="0025250D">
        <w:rPr>
          <w:rFonts w:hint="cs"/>
          <w:rtl/>
        </w:rPr>
        <w:t xml:space="preserve">حتی با برآورده کردن همه این الزمات بالا، مشارکت در </w:t>
      </w:r>
      <w:r w:rsidRPr="0025250D">
        <w:rPr>
          <w:rtl/>
        </w:rPr>
        <w:t>آینده‌نگاری</w:t>
      </w:r>
      <w:r w:rsidRPr="0025250D">
        <w:rPr>
          <w:rFonts w:hint="cs"/>
          <w:rtl/>
        </w:rPr>
        <w:t xml:space="preserve"> باز همیشه یک فرایند سر راست نیست. در بسیاری موارد، مشاورین و شرکت‌ها ترجیح خواهند داد که بیش‌تر کار </w:t>
      </w:r>
      <w:r w:rsidRPr="0025250D">
        <w:rPr>
          <w:rtl/>
        </w:rPr>
        <w:t>آینده‌نگاری</w:t>
      </w:r>
      <w:r w:rsidRPr="0025250D">
        <w:rPr>
          <w:rFonts w:hint="cs"/>
          <w:rtl/>
        </w:rPr>
        <w:t xml:space="preserve"> خود را برای داشتن مزیت رقابتی خصوصی نگه دارند. موضوعات بحث برانگیز مطرح شده به صورت آزاد می‌توانند به شعله‌های جنگ تبدیل شوند، به ویژه اگر ناشناس بودن آن‌ها </w:t>
      </w:r>
      <w:r w:rsidR="00B453C0" w:rsidRPr="0025250D">
        <w:rPr>
          <w:rFonts w:hint="cs"/>
          <w:rtl/>
        </w:rPr>
        <w:t>امکان‌پذیر</w:t>
      </w:r>
      <w:r w:rsidRPr="0025250D">
        <w:rPr>
          <w:rFonts w:hint="cs"/>
          <w:rtl/>
        </w:rPr>
        <w:t xml:space="preserve"> باشد (معمولا تنها برای دوره‌ها و اهداف محدود </w:t>
      </w:r>
      <w:r w:rsidR="00B453C0" w:rsidRPr="0025250D">
        <w:rPr>
          <w:rFonts w:hint="cs"/>
          <w:rtl/>
        </w:rPr>
        <w:t>امکان‌پذیر</w:t>
      </w:r>
      <w:r w:rsidRPr="0025250D">
        <w:rPr>
          <w:rFonts w:hint="cs"/>
          <w:rtl/>
        </w:rPr>
        <w:t xml:space="preserve"> است) و تالارهای گفتگو به خوبی متوازن نشده باشند.</w:t>
      </w:r>
    </w:p>
    <w:p w14:paraId="15746635" w14:textId="39EBA1D8" w:rsidR="00537CC8" w:rsidRPr="0025250D" w:rsidRDefault="00537CC8" w:rsidP="00537CC8">
      <w:pPr>
        <w:rPr>
          <w:rtl/>
        </w:rPr>
      </w:pPr>
      <w:r w:rsidRPr="0025250D">
        <w:rPr>
          <w:rFonts w:hint="cs"/>
          <w:rtl/>
        </w:rPr>
        <w:t>به علاوه، باز بودن به معنی این نیست که نظر همه به یک اندازه در نتیجه نهایی ارزشمند است. از</w:t>
      </w:r>
      <w:r w:rsidRPr="0025250D">
        <w:rPr>
          <w:rtl/>
        </w:rPr>
        <w:t xml:space="preserve"> </w:t>
      </w:r>
      <w:r w:rsidRPr="0025250D">
        <w:rPr>
          <w:rFonts w:hint="cs"/>
          <w:rtl/>
        </w:rPr>
        <w:t>نظر</w:t>
      </w:r>
      <w:r w:rsidRPr="0025250D">
        <w:rPr>
          <w:rtl/>
        </w:rPr>
        <w:t xml:space="preserve"> </w:t>
      </w:r>
      <w:r w:rsidRPr="0025250D">
        <w:rPr>
          <w:rFonts w:hint="cs"/>
          <w:rtl/>
        </w:rPr>
        <w:t>ما،</w:t>
      </w:r>
      <w:r w:rsidRPr="0025250D">
        <w:rPr>
          <w:rtl/>
        </w:rPr>
        <w:t xml:space="preserve"> </w:t>
      </w:r>
      <w:r w:rsidRPr="0025250D">
        <w:rPr>
          <w:rFonts w:hint="cs"/>
          <w:rtl/>
        </w:rPr>
        <w:t>گروه‌های تخصصی باید همچنان در بافت‌هایی که این تخصص‌ها اهمیت دارند (به طرز جالبی تعداد کمی از بافت ها) اهمیت بیش‌تری در یک روش خوب داشته باشند</w:t>
      </w:r>
      <w:r w:rsidR="008D6F97" w:rsidRPr="0025250D">
        <w:rPr>
          <w:rtl/>
        </w:rPr>
        <w:t xml:space="preserve">؛ </w:t>
      </w:r>
      <w:r w:rsidR="0020589F" w:rsidRPr="0025250D">
        <w:rPr>
          <w:rtl/>
        </w:rPr>
        <w:t>اما</w:t>
      </w:r>
      <w:r w:rsidRPr="0025250D">
        <w:rPr>
          <w:rFonts w:hint="cs"/>
          <w:rtl/>
        </w:rPr>
        <w:t xml:space="preserve"> با آزاد و باز کردن روش و فعالیتمان، یادگیری می‌تواند سریع‌تر رخ دهد. همچنین به یاد داشته باشید که معمولا یک روش علمی خوب نیازمند آزادی کامل است.</w:t>
      </w:r>
    </w:p>
    <w:p w14:paraId="2D81CCCE" w14:textId="07819A7D" w:rsidR="00537CC8" w:rsidRPr="0025250D" w:rsidRDefault="007118DE" w:rsidP="00537CC8">
      <w:pPr>
        <w:rPr>
          <w:rtl/>
        </w:rPr>
      </w:pPr>
      <w:r w:rsidRPr="0025250D">
        <w:rPr>
          <w:rFonts w:hint="cs"/>
          <w:rtl/>
        </w:rPr>
        <w:t>همان‌طور</w:t>
      </w:r>
      <w:r w:rsidR="00537CC8" w:rsidRPr="0025250D">
        <w:rPr>
          <w:rFonts w:hint="cs"/>
          <w:rtl/>
        </w:rPr>
        <w:t xml:space="preserve"> که </w:t>
      </w:r>
      <w:r w:rsidR="00537CC8" w:rsidRPr="0025250D">
        <w:rPr>
          <w:rtl/>
        </w:rPr>
        <w:t>مرکز علوم باز</w:t>
      </w:r>
      <w:r w:rsidR="00537CC8" w:rsidRPr="0025250D">
        <w:rPr>
          <w:vertAlign w:val="superscript"/>
          <w:rtl/>
        </w:rPr>
        <w:footnoteReference w:id="3004"/>
      </w:r>
      <w:r w:rsidR="00537CC8" w:rsidRPr="0025250D">
        <w:rPr>
          <w:rFonts w:hint="cs"/>
          <w:rtl/>
        </w:rPr>
        <w:t xml:space="preserve"> (</w:t>
      </w:r>
      <w:r w:rsidR="00537CC8" w:rsidRPr="0025250D">
        <w:t>COS</w:t>
      </w:r>
      <w:r w:rsidR="00537CC8" w:rsidRPr="0025250D">
        <w:rPr>
          <w:rFonts w:hint="cs"/>
          <w:rtl/>
        </w:rPr>
        <w:t>) نشان داده است، امروزه یک بحران بازتولید</w:t>
      </w:r>
      <w:r w:rsidR="00537CC8" w:rsidRPr="0025250D">
        <w:rPr>
          <w:vertAlign w:val="superscript"/>
          <w:rtl/>
        </w:rPr>
        <w:footnoteReference w:id="3005"/>
      </w:r>
      <w:r w:rsidR="00537CC8" w:rsidRPr="0025250D">
        <w:rPr>
          <w:rFonts w:hint="cs"/>
          <w:rtl/>
        </w:rPr>
        <w:t xml:space="preserve"> در بسیاری از مطالعات علمی منتشر شده وجود دارد. در سال 2021، همزمان با انتشار این کتاب، به عنوان بخشی از پروژه بازتولید </w:t>
      </w:r>
      <w:r w:rsidR="00537CC8" w:rsidRPr="0025250D">
        <w:t>COS</w:t>
      </w:r>
      <w:r w:rsidR="00537CC8" w:rsidRPr="0025250D">
        <w:rPr>
          <w:rFonts w:hint="cs"/>
          <w:rtl/>
        </w:rPr>
        <w:t xml:space="preserve">، آن‌ها یک مطالعه هشت ساله بر مقالات تحقیقاتی منتشر شده در نشریات برتر در زمینه سرطان در بین سال‌های 2010 و 2012 انجام دادند. این بررسی نشان داد که بیش از نیمی (54 درصد) از این مقالات قابل بازتولید نبودند. محققین از آماره‌های دست چین شده استفاده </w:t>
      </w:r>
      <w:r w:rsidRPr="0025250D">
        <w:rPr>
          <w:rFonts w:hint="cs"/>
          <w:rtl/>
        </w:rPr>
        <w:t>کرده‌اند</w:t>
      </w:r>
      <w:r w:rsidR="00537CC8" w:rsidRPr="0025250D">
        <w:rPr>
          <w:rFonts w:hint="cs"/>
          <w:rtl/>
        </w:rPr>
        <w:t xml:space="preserve"> و با توجه به عواملی مانند نیاز به انتشار یافته پزشکی مؤسسه خود و این حقیقت که تعداد اندکی سعی در بررسی و صحت سنجی نتایج دارند، نسبت</w:t>
      </w:r>
      <w:r w:rsidR="00537CC8" w:rsidRPr="0025250D">
        <w:rPr>
          <w:rtl/>
        </w:rPr>
        <w:t xml:space="preserve"> </w:t>
      </w:r>
      <w:r w:rsidR="00537CC8" w:rsidRPr="0025250D">
        <w:rPr>
          <w:rFonts w:hint="cs"/>
          <w:rtl/>
        </w:rPr>
        <w:t>به</w:t>
      </w:r>
      <w:r w:rsidR="00537CC8" w:rsidRPr="0025250D">
        <w:rPr>
          <w:rtl/>
        </w:rPr>
        <w:t xml:space="preserve"> </w:t>
      </w:r>
      <w:r w:rsidR="00537CC8" w:rsidRPr="0025250D">
        <w:rPr>
          <w:rFonts w:hint="cs"/>
          <w:rtl/>
        </w:rPr>
        <w:t>انجام</w:t>
      </w:r>
      <w:r w:rsidR="00537CC8" w:rsidRPr="0025250D">
        <w:rPr>
          <w:rtl/>
        </w:rPr>
        <w:t xml:space="preserve"> </w:t>
      </w:r>
      <w:r w:rsidR="00537CC8" w:rsidRPr="0025250D">
        <w:rPr>
          <w:rFonts w:hint="cs"/>
          <w:rtl/>
        </w:rPr>
        <w:t>این</w:t>
      </w:r>
      <w:r w:rsidR="00537CC8" w:rsidRPr="0025250D">
        <w:rPr>
          <w:rtl/>
        </w:rPr>
        <w:t xml:space="preserve"> </w:t>
      </w:r>
      <w:r w:rsidR="00537CC8" w:rsidRPr="0025250D">
        <w:rPr>
          <w:rFonts w:hint="cs"/>
          <w:rtl/>
        </w:rPr>
        <w:t>کار</w:t>
      </w:r>
      <w:r w:rsidR="00537CC8" w:rsidRPr="0025250D">
        <w:rPr>
          <w:rtl/>
        </w:rPr>
        <w:t xml:space="preserve"> </w:t>
      </w:r>
      <w:r w:rsidR="00537CC8" w:rsidRPr="0025250D">
        <w:rPr>
          <w:rFonts w:hint="cs"/>
          <w:rtl/>
        </w:rPr>
        <w:t>متمایل</w:t>
      </w:r>
      <w:r w:rsidR="00537CC8" w:rsidRPr="0025250D">
        <w:rPr>
          <w:rtl/>
        </w:rPr>
        <w:t xml:space="preserve"> </w:t>
      </w:r>
      <w:r w:rsidR="00B124DE" w:rsidRPr="0025250D">
        <w:rPr>
          <w:rFonts w:hint="cs"/>
          <w:rtl/>
        </w:rPr>
        <w:t>بوده‌اند</w:t>
      </w:r>
      <w:r w:rsidR="00537CC8" w:rsidRPr="0025250D">
        <w:rPr>
          <w:rFonts w:hint="cs"/>
          <w:rtl/>
        </w:rPr>
        <w:t xml:space="preserve">. به علاوه یک سوم از نویسندگان تمایل نداشتند به </w:t>
      </w:r>
      <w:r w:rsidR="00537CC8" w:rsidRPr="0025250D">
        <w:t>COS</w:t>
      </w:r>
      <w:r w:rsidR="00537CC8" w:rsidRPr="0025250D">
        <w:rPr>
          <w:rFonts w:hint="cs"/>
          <w:rtl/>
        </w:rPr>
        <w:t xml:space="preserve"> در تلاش خود برای بازتولید مقاله آنان کمک کنند. روش‌های منتشر شده در مقالات عمدا ناقص بیان شده بودند</w:t>
      </w:r>
      <w:r w:rsidR="008D6F97" w:rsidRPr="0025250D">
        <w:rPr>
          <w:rtl/>
        </w:rPr>
        <w:t xml:space="preserve"> </w:t>
      </w:r>
      <w:r w:rsidR="00537CC8" w:rsidRPr="0025250D">
        <w:rPr>
          <w:rFonts w:hint="cs"/>
          <w:rtl/>
        </w:rPr>
        <w:t>و معرف های</w:t>
      </w:r>
      <w:r w:rsidR="00537CC8" w:rsidRPr="0025250D">
        <w:rPr>
          <w:vertAlign w:val="superscript"/>
          <w:rtl/>
        </w:rPr>
        <w:footnoteReference w:id="3006"/>
      </w:r>
      <w:r w:rsidR="00537CC8" w:rsidRPr="0025250D">
        <w:rPr>
          <w:rFonts w:hint="cs"/>
          <w:rtl/>
        </w:rPr>
        <w:t xml:space="preserve"> مهمی برای بازتولید کنندگان مشخص نشده بودند. دانشگاه‌ها و نشریات نیز در این مشکل اجتماعی مهم تا حدی نقش دارند. افراد آکادمیک برای مطالعات خوب منتشر شده‌ای که یک نتیجه منفی را گزارش می‌کنند و نشریاتی که یافته‌های منفی را به همراه موارد مثبت منتشر می‌کنند، تشویق نمی‌شوند. با این حال هر دو برای پیشرفت علم مورد نیاز هستند و هر دو به آزادی بستگی دارند.</w:t>
      </w:r>
    </w:p>
    <w:p w14:paraId="679AD499" w14:textId="59116C11" w:rsidR="00537CC8" w:rsidRPr="0025250D" w:rsidRDefault="00537CC8" w:rsidP="00537CC8">
      <w:pPr>
        <w:rPr>
          <w:rtl/>
        </w:rPr>
      </w:pPr>
      <w:r w:rsidRPr="0025250D">
        <w:rPr>
          <w:rFonts w:hint="cs"/>
          <w:rtl/>
        </w:rPr>
        <w:t xml:space="preserve">وقتی برای آزاد و باز بودن </w:t>
      </w:r>
      <w:r w:rsidRPr="0025250D">
        <w:rPr>
          <w:rtl/>
        </w:rPr>
        <w:t>آینده‌نگاری</w:t>
      </w:r>
      <w:r w:rsidRPr="0025250D">
        <w:rPr>
          <w:rFonts w:hint="cs"/>
          <w:rtl/>
        </w:rPr>
        <w:t xml:space="preserve"> تلاش می‌کنیم، بیش‌تر مبتنی بر شواهد خواهد بود تا افسونگری. دیگران می‌توانند روش‌ها و نتایج ما را بررسی کنند و نسخه خود را از آنچه ما انجام </w:t>
      </w:r>
      <w:r w:rsidR="00892D13" w:rsidRPr="0025250D">
        <w:rPr>
          <w:rFonts w:hint="cs"/>
          <w:rtl/>
        </w:rPr>
        <w:t>داده‌ایم</w:t>
      </w:r>
      <w:r w:rsidRPr="0025250D">
        <w:rPr>
          <w:rFonts w:hint="cs"/>
          <w:rtl/>
        </w:rPr>
        <w:t xml:space="preserve"> تکرار نمایند و به ما آموزش دهند که یک </w:t>
      </w:r>
      <w:r w:rsidRPr="0025250D">
        <w:rPr>
          <w:rtl/>
        </w:rPr>
        <w:t>آینده‌نگار</w:t>
      </w:r>
      <w:r w:rsidRPr="0025250D">
        <w:rPr>
          <w:rFonts w:hint="cs"/>
          <w:rtl/>
        </w:rPr>
        <w:t xml:space="preserve"> بهتر باشیم. همچنین، خود مشارکت کنندگان متوجه می‌شوند که در کجای فرایند تولید </w:t>
      </w:r>
      <w:r w:rsidRPr="0025250D">
        <w:rPr>
          <w:rtl/>
        </w:rPr>
        <w:t>آینده‌نگاری</w:t>
      </w:r>
      <w:r w:rsidRPr="0025250D">
        <w:rPr>
          <w:rFonts w:hint="cs"/>
          <w:rtl/>
        </w:rPr>
        <w:t xml:space="preserve"> قرار می‌گیرند. آن‌ها تمام دشواری‌ها و پیچیدگی‌های تولید </w:t>
      </w:r>
      <w:r w:rsidRPr="0025250D">
        <w:rPr>
          <w:rtl/>
        </w:rPr>
        <w:t>آینده‌نگاری</w:t>
      </w:r>
      <w:r w:rsidRPr="0025250D">
        <w:rPr>
          <w:rFonts w:hint="cs"/>
          <w:rtl/>
        </w:rPr>
        <w:t xml:space="preserve"> خود به همراه پیروزی‌ها و شکست‌های آن (نتایج مثبت و منفی) را می‌بینند. تولید </w:t>
      </w:r>
      <w:r w:rsidRPr="0025250D">
        <w:rPr>
          <w:rtl/>
        </w:rPr>
        <w:t>آینده‌نگاری</w:t>
      </w:r>
      <w:r w:rsidRPr="0025250D">
        <w:rPr>
          <w:rFonts w:hint="cs"/>
          <w:rtl/>
        </w:rPr>
        <w:t xml:space="preserve"> باید توسط افراد مختلف مورد نقد قرار گیرد. با فرایند مناسب، باز بودن به همه افراد برای تبدیل شدن به همکاران و کاربرانی فعال‌تر و فهمیده‌تر در روش‌های </w:t>
      </w:r>
      <w:r w:rsidRPr="0025250D">
        <w:rPr>
          <w:rtl/>
        </w:rPr>
        <w:t>آینده‌نگاری</w:t>
      </w:r>
      <w:r w:rsidRPr="0025250D">
        <w:rPr>
          <w:rFonts w:hint="cs"/>
          <w:rtl/>
        </w:rPr>
        <w:t xml:space="preserve"> و </w:t>
      </w:r>
      <w:r w:rsidR="001B5D60" w:rsidRPr="0025250D">
        <w:rPr>
          <w:rFonts w:hint="cs"/>
          <w:rtl/>
        </w:rPr>
        <w:t>راویان</w:t>
      </w:r>
      <w:r w:rsidRPr="0025250D">
        <w:rPr>
          <w:rFonts w:hint="cs"/>
          <w:rtl/>
        </w:rPr>
        <w:t xml:space="preserve"> بهتر داستان‌های آینده در زندگی‌ها و سازمان‌های خود، کمک می‌کند.</w:t>
      </w:r>
    </w:p>
    <w:p w14:paraId="39DAE2A6" w14:textId="77777777" w:rsidR="00537CC8" w:rsidRPr="0025250D" w:rsidRDefault="00537CC8" w:rsidP="00EF26F0">
      <w:pPr>
        <w:pStyle w:val="Heading3"/>
        <w:rPr>
          <w:rtl/>
        </w:rPr>
      </w:pPr>
      <w:r w:rsidRPr="0025250D">
        <w:rPr>
          <w:rtl/>
        </w:rPr>
        <w:t>آینده‌نگاری</w:t>
      </w:r>
      <w:r w:rsidRPr="0025250D">
        <w:rPr>
          <w:rFonts w:hint="cs"/>
          <w:rtl/>
        </w:rPr>
        <w:t xml:space="preserve"> در حال جهانی شدن است</w:t>
      </w:r>
    </w:p>
    <w:p w14:paraId="1D35D7D1" w14:textId="4F561D47" w:rsidR="00537CC8" w:rsidRPr="0025250D" w:rsidRDefault="00537CC8" w:rsidP="00537CC8">
      <w:pPr>
        <w:rPr>
          <w:rtl/>
        </w:rPr>
      </w:pPr>
      <w:r w:rsidRPr="0025250D">
        <w:rPr>
          <w:rFonts w:hint="cs"/>
          <w:rtl/>
        </w:rPr>
        <w:t xml:space="preserve">رویکرد‌های جهانی نسبت به </w:t>
      </w:r>
      <w:r w:rsidRPr="0025250D">
        <w:rPr>
          <w:rtl/>
        </w:rPr>
        <w:t>آینده‌نگاری</w:t>
      </w:r>
      <w:r w:rsidRPr="0025250D">
        <w:rPr>
          <w:rFonts w:hint="cs"/>
          <w:rtl/>
        </w:rPr>
        <w:t xml:space="preserve"> یک جنبه رو به رشد دیگر از </w:t>
      </w:r>
      <w:r w:rsidRPr="0025250D">
        <w:rPr>
          <w:rtl/>
        </w:rPr>
        <w:t>آینده‌نگاری</w:t>
      </w:r>
      <w:r w:rsidRPr="0025250D">
        <w:rPr>
          <w:rFonts w:hint="cs"/>
          <w:rtl/>
        </w:rPr>
        <w:t xml:space="preserve"> مدرن هستند. </w:t>
      </w:r>
      <w:r w:rsidR="00D92F6E" w:rsidRPr="0025250D">
        <w:rPr>
          <w:rFonts w:hint="cs"/>
          <w:rtl/>
        </w:rPr>
        <w:t>آینده‌پژوه</w:t>
      </w:r>
      <w:r w:rsidRPr="0025250D">
        <w:rPr>
          <w:rFonts w:hint="cs"/>
          <w:rtl/>
        </w:rPr>
        <w:t xml:space="preserve">ان و </w:t>
      </w:r>
      <w:r w:rsidRPr="0025250D">
        <w:rPr>
          <w:rtl/>
        </w:rPr>
        <w:t>آینده‌نگار</w:t>
      </w:r>
      <w:r w:rsidRPr="0025250D">
        <w:rPr>
          <w:rFonts w:hint="cs"/>
          <w:rtl/>
        </w:rPr>
        <w:t xml:space="preserve">ان متعددی در دهه 1970، در طول آخرین بهار </w:t>
      </w:r>
      <w:r w:rsidRPr="0025250D">
        <w:rPr>
          <w:rtl/>
        </w:rPr>
        <w:t>آینده‌نگاری</w:t>
      </w:r>
      <w:r w:rsidRPr="0025250D">
        <w:rPr>
          <w:rFonts w:hint="cs"/>
          <w:rtl/>
        </w:rPr>
        <w:t xml:space="preserve">، به متفکرین جهانی تبدیل شدند. ما اکنون بار دیگر، پنجاه سال بعد، دوباره به آنجا رسیده ایم. بحران مالی جهانی، تغییرات اقلیمی، ثروت </w:t>
      </w:r>
      <w:r w:rsidR="007B3B35" w:rsidRPr="0025250D">
        <w:rPr>
          <w:rFonts w:hint="cs"/>
          <w:rtl/>
        </w:rPr>
        <w:t>شتاب‌گیر</w:t>
      </w:r>
      <w:r w:rsidRPr="0025250D">
        <w:rPr>
          <w:rFonts w:hint="cs"/>
          <w:rtl/>
        </w:rPr>
        <w:t xml:space="preserve">نده و تغییر فنّاوری و اکنون همه گیری ویروس کرونا ما را با یک فوریت جدید، به آنجا رسانده است. مشکلات پیشرفت ما جهانی </w:t>
      </w:r>
      <w:r w:rsidR="00185F3E" w:rsidRPr="0025250D">
        <w:rPr>
          <w:rFonts w:hint="cs"/>
          <w:rtl/>
        </w:rPr>
        <w:t>شده‌اند</w:t>
      </w:r>
      <w:r w:rsidRPr="0025250D">
        <w:rPr>
          <w:rFonts w:hint="cs"/>
          <w:rtl/>
        </w:rPr>
        <w:t xml:space="preserve"> و باید به صورت جهانی برای حل آن‌ها همکاری کنیم. همچنین، وقتی یک دیدگاه جهانی داشته باشیم و روند‌های </w:t>
      </w:r>
      <w:r w:rsidRPr="0025250D">
        <w:t>TINA</w:t>
      </w:r>
      <w:r w:rsidRPr="0025250D">
        <w:rPr>
          <w:rFonts w:hint="cs"/>
          <w:rtl/>
        </w:rPr>
        <w:t xml:space="preserve"> (روند‌های توسعه‌ای جهانی) را آشکار کنیم، </w:t>
      </w:r>
      <w:r w:rsidR="00B13F65" w:rsidRPr="0025250D">
        <w:rPr>
          <w:rFonts w:hint="cs"/>
          <w:rtl/>
        </w:rPr>
        <w:t>چارچوب</w:t>
      </w:r>
      <w:r w:rsidRPr="0025250D">
        <w:rPr>
          <w:rFonts w:hint="cs"/>
          <w:rtl/>
        </w:rPr>
        <w:t xml:space="preserve"> جنگلی که در آن احاطه شده ایم را می‌بینیم و دیدگاه کل نگر خود را وقتی بر روی درخت‌ها و </w:t>
      </w:r>
      <w:r w:rsidR="00701E03" w:rsidRPr="0025250D">
        <w:rPr>
          <w:rFonts w:hint="cs"/>
          <w:rtl/>
        </w:rPr>
        <w:t>راهبرد</w:t>
      </w:r>
      <w:r w:rsidRPr="0025250D">
        <w:rPr>
          <w:rFonts w:hint="cs"/>
          <w:rtl/>
        </w:rPr>
        <w:t xml:space="preserve"> کارسپار متمرکز می‌شویم از دست نمی‌دهیم.</w:t>
      </w:r>
    </w:p>
    <w:p w14:paraId="35A53AC7" w14:textId="33A01772" w:rsidR="00537CC8" w:rsidRPr="0025250D" w:rsidRDefault="00537CC8" w:rsidP="00537CC8">
      <w:pPr>
        <w:rPr>
          <w:rtl/>
        </w:rPr>
      </w:pPr>
      <w:r w:rsidRPr="0025250D">
        <w:rPr>
          <w:rFonts w:hint="cs"/>
          <w:rtl/>
        </w:rPr>
        <w:t>درک جهانی شدن و داشتن یک دیدگاه جهانی، بدون باور به جهانی گرایی</w:t>
      </w:r>
      <w:r w:rsidRPr="0025250D">
        <w:rPr>
          <w:vertAlign w:val="superscript"/>
          <w:rtl/>
        </w:rPr>
        <w:footnoteReference w:id="3007"/>
      </w:r>
      <w:r w:rsidRPr="0025250D">
        <w:rPr>
          <w:rFonts w:hint="cs"/>
          <w:rtl/>
        </w:rPr>
        <w:t xml:space="preserve"> (شرکت‌های بدون محدودیت</w:t>
      </w:r>
      <w:r w:rsidR="008D6F97" w:rsidRPr="0025250D">
        <w:rPr>
          <w:rtl/>
        </w:rPr>
        <w:t xml:space="preserve"> </w:t>
      </w:r>
      <w:r w:rsidRPr="0025250D">
        <w:rPr>
          <w:rFonts w:hint="cs"/>
          <w:rtl/>
        </w:rPr>
        <w:t xml:space="preserve">و تجارت نا مقید) یک اساس دیگر </w:t>
      </w:r>
      <w:r w:rsidRPr="0025250D">
        <w:rPr>
          <w:rtl/>
        </w:rPr>
        <w:t>آینده‌نگاری</w:t>
      </w:r>
      <w:r w:rsidRPr="0025250D">
        <w:rPr>
          <w:rFonts w:hint="cs"/>
          <w:rtl/>
        </w:rPr>
        <w:t xml:space="preserve"> مدرن است. هر چه از نظر دیجیتالی، اقتصادی و فرهنگی بیش‌تر به هم مرتبط شویم، بیش‌تر خود را به عنوان یک </w:t>
      </w:r>
      <w:r w:rsidR="008D6F97" w:rsidRPr="0025250D">
        <w:rPr>
          <w:rFonts w:hint="cs"/>
          <w:rtl/>
        </w:rPr>
        <w:t>سامانه‌</w:t>
      </w:r>
      <w:r w:rsidRPr="0025250D">
        <w:rPr>
          <w:rFonts w:hint="cs"/>
          <w:rtl/>
        </w:rPr>
        <w:t xml:space="preserve"> اجتماعی، با ارزش‌ها، مجموعه قوانین و آرمان‌های رایج تعریف می‌کنیم و می‌بینیم که نکات مشترک متعدد ما چگونه از تفاوت‌های مفید و حداقلی مان پشتیبانی می‌کنند. فرا‌تر از مطالعه </w:t>
      </w:r>
      <w:r w:rsidRPr="0025250D">
        <w:rPr>
          <w:rtl/>
        </w:rPr>
        <w:t>تام فر</w:t>
      </w:r>
      <w:r w:rsidRPr="0025250D">
        <w:rPr>
          <w:rFonts w:hint="cs"/>
          <w:rtl/>
        </w:rPr>
        <w:t>ی</w:t>
      </w:r>
      <w:r w:rsidRPr="0025250D">
        <w:rPr>
          <w:rFonts w:hint="eastAsia"/>
          <w:rtl/>
        </w:rPr>
        <w:t>دمن</w:t>
      </w:r>
      <w:r w:rsidRPr="0025250D">
        <w:rPr>
          <w:rFonts w:hint="cs"/>
          <w:rtl/>
        </w:rPr>
        <w:t xml:space="preserve">، ما آثار کلاسیک </w:t>
      </w:r>
      <w:r w:rsidRPr="0025250D">
        <w:rPr>
          <w:rtl/>
        </w:rPr>
        <w:t>جوزف است</w:t>
      </w:r>
      <w:r w:rsidRPr="0025250D">
        <w:rPr>
          <w:rFonts w:hint="cs"/>
          <w:rtl/>
        </w:rPr>
        <w:t>ی</w:t>
      </w:r>
      <w:r w:rsidRPr="0025250D">
        <w:rPr>
          <w:rFonts w:hint="eastAsia"/>
          <w:rtl/>
        </w:rPr>
        <w:t>گل</w:t>
      </w:r>
      <w:r w:rsidRPr="0025250D">
        <w:rPr>
          <w:rFonts w:hint="cs"/>
          <w:rtl/>
        </w:rPr>
        <w:t>ی</w:t>
      </w:r>
      <w:r w:rsidRPr="0025250D">
        <w:rPr>
          <w:rFonts w:hint="eastAsia"/>
          <w:rtl/>
        </w:rPr>
        <w:t>تز</w:t>
      </w:r>
      <w:r w:rsidRPr="0025250D">
        <w:rPr>
          <w:vertAlign w:val="superscript"/>
          <w:rtl/>
        </w:rPr>
        <w:footnoteReference w:id="3008"/>
      </w:r>
      <w:r w:rsidRPr="0025250D">
        <w:rPr>
          <w:rFonts w:hint="cs"/>
          <w:rtl/>
        </w:rPr>
        <w:t xml:space="preserve"> با عنوان جهانی سازی و عدم رضایت‌های آن</w:t>
      </w:r>
      <w:r w:rsidRPr="0025250D">
        <w:rPr>
          <w:vertAlign w:val="superscript"/>
          <w:rtl/>
        </w:rPr>
        <w:footnoteReference w:id="3009"/>
      </w:r>
      <w:r w:rsidRPr="0025250D">
        <w:rPr>
          <w:rFonts w:hint="cs"/>
          <w:rtl/>
        </w:rPr>
        <w:t xml:space="preserve"> در سال 2002 و عملی ساختن جهانی سازی</w:t>
      </w:r>
      <w:r w:rsidRPr="0025250D">
        <w:rPr>
          <w:vertAlign w:val="superscript"/>
          <w:rtl/>
        </w:rPr>
        <w:footnoteReference w:id="3010"/>
      </w:r>
      <w:r w:rsidRPr="0025250D">
        <w:rPr>
          <w:rFonts w:hint="cs"/>
          <w:rtl/>
        </w:rPr>
        <w:t xml:space="preserve"> در سال 2007 را پیشنهاد می‌کنیم. این موارد دورنمای خوبی از این </w:t>
      </w:r>
      <w:r w:rsidR="00186393" w:rsidRPr="0025250D">
        <w:rPr>
          <w:rFonts w:hint="cs"/>
          <w:rtl/>
        </w:rPr>
        <w:t xml:space="preserve">ارائه می‌دهند </w:t>
      </w:r>
      <w:r w:rsidRPr="0025250D">
        <w:rPr>
          <w:rFonts w:hint="cs"/>
          <w:rtl/>
        </w:rPr>
        <w:t xml:space="preserve">که چگونه ممکن است وقتی هوش مصنوعی شخصی بسیار بهتری داشته باشیم، در نهایت مؤسسات ملی و بین المللی سیاسی-قانونی، مالی و اجتماعی خود را برای تبدیل فرهنگ جهانی واحد در حال ظهور خود به فرهنگی منصفانه‌تر و متعادل‌تر برای همه بهبود دهیم. با جهانی شدن زیرساخت اطلاعاتی و دیجیتال، مسائل فراملی مانند تجارت، اعتبار، بدهی‌های ملی، </w:t>
      </w:r>
      <w:r w:rsidR="00F50EB4" w:rsidRPr="0025250D">
        <w:rPr>
          <w:rFonts w:hint="cs"/>
          <w:rtl/>
        </w:rPr>
        <w:t>سرمایه‌گذاری</w:t>
      </w:r>
      <w:r w:rsidRPr="0025250D">
        <w:rPr>
          <w:rFonts w:hint="cs"/>
          <w:rtl/>
        </w:rPr>
        <w:t xml:space="preserve"> و نیروی کار و مشکلات فراملی مانند جرم، تروریسم، آلودگی، گرمایش جهانی، اقیانوس‌ها و بسیاری دیگر به شکل فزاینده‌ای قابل ردیابی می‌شوند. افراد کمی خارج از جوامع هوشمند، این که جهان تا چه حد از نظر دیجیتالی در حال شفاف‌تر شدن است را درک می‌کنند. چالش بزرگ پیش رو، کم‌تر ناشناس بودن عوامل رادیکال و حفاظت بیش‌تر از حریم خصوصی و حقوق فردی، تجاری</w:t>
      </w:r>
      <w:r w:rsidR="008D6F97" w:rsidRPr="0025250D">
        <w:rPr>
          <w:rtl/>
        </w:rPr>
        <w:t xml:space="preserve"> </w:t>
      </w:r>
      <w:r w:rsidRPr="0025250D">
        <w:rPr>
          <w:rFonts w:hint="cs"/>
          <w:rtl/>
        </w:rPr>
        <w:t xml:space="preserve">و سیاسی و تنظیم مقررات و قانون مدار ساختن غول‌های فنّاوری، در جهانی با هوشمندی دیجیتال </w:t>
      </w:r>
      <w:r w:rsidR="007B3B35" w:rsidRPr="0025250D">
        <w:rPr>
          <w:rFonts w:hint="cs"/>
          <w:rtl/>
        </w:rPr>
        <w:t>شتاب‌گیر</w:t>
      </w:r>
      <w:r w:rsidRPr="0025250D">
        <w:rPr>
          <w:rFonts w:hint="cs"/>
          <w:rtl/>
        </w:rPr>
        <w:t>نده است.</w:t>
      </w:r>
    </w:p>
    <w:p w14:paraId="1ECCB392" w14:textId="7745B634" w:rsidR="00537CC8" w:rsidRPr="0025250D" w:rsidRDefault="00537CC8" w:rsidP="00537CC8">
      <w:pPr>
        <w:rPr>
          <w:rtl/>
        </w:rPr>
      </w:pPr>
      <w:r w:rsidRPr="0025250D">
        <w:rPr>
          <w:rFonts w:hint="cs"/>
          <w:rtl/>
        </w:rPr>
        <w:t>البته، این لایه سیاسی اجتماعی همواره کند‌تر از همه</w:t>
      </w:r>
      <w:r w:rsidR="008D6F97" w:rsidRPr="0025250D">
        <w:rPr>
          <w:rtl/>
        </w:rPr>
        <w:t xml:space="preserve"> </w:t>
      </w:r>
      <w:r w:rsidRPr="0025250D">
        <w:rPr>
          <w:rFonts w:hint="cs"/>
          <w:rtl/>
        </w:rPr>
        <w:t>و پس از تجارت</w:t>
      </w:r>
      <w:r w:rsidR="008D6F97" w:rsidRPr="0025250D">
        <w:rPr>
          <w:rtl/>
        </w:rPr>
        <w:t xml:space="preserve"> </w:t>
      </w:r>
      <w:r w:rsidRPr="0025250D">
        <w:rPr>
          <w:rFonts w:hint="cs"/>
          <w:rtl/>
        </w:rPr>
        <w:t xml:space="preserve">که خود در مقایسه با فنّاوری دیجیتال به آرامی پیشرفت می‌کند، حرکت می‌نماید، اما حداقل می‌توانیم بیش از پیش مشکلات را اندازه گیری کرده و </w:t>
      </w:r>
      <w:r w:rsidR="00923DDB" w:rsidRPr="0025250D">
        <w:rPr>
          <w:rFonts w:hint="cs"/>
          <w:rtl/>
        </w:rPr>
        <w:t>راه‌حل</w:t>
      </w:r>
      <w:r w:rsidRPr="0025250D">
        <w:rPr>
          <w:rFonts w:hint="cs"/>
          <w:rtl/>
        </w:rPr>
        <w:t xml:space="preserve">‌های بالقوه را ببینیم، زیرا شواهد خوبی از کشور‌هایی که </w:t>
      </w:r>
      <w:r w:rsidR="00923DDB" w:rsidRPr="0025250D">
        <w:rPr>
          <w:rFonts w:hint="cs"/>
          <w:rtl/>
        </w:rPr>
        <w:t>راه‌حل</w:t>
      </w:r>
      <w:r w:rsidRPr="0025250D">
        <w:rPr>
          <w:rFonts w:hint="cs"/>
          <w:rtl/>
        </w:rPr>
        <w:t>‌های مناسب را به کار گرفته اند خواهیم داشت. هرچه رسانه‌های ما جهانی‌تر و مبتنی بر شواهد باشند، این که چه کسی به کمک نیاز دارد و این که چه طرح‌های مشارکتی می‌توانند با موفقیت توسط گروه‌ها انجام شوند، واضح‌تر می‌شود.</w:t>
      </w:r>
    </w:p>
    <w:p w14:paraId="2E11A243" w14:textId="50E9A882" w:rsidR="00537CC8" w:rsidRPr="0025250D" w:rsidRDefault="00537CC8" w:rsidP="00537CC8">
      <w:pPr>
        <w:rPr>
          <w:rtl/>
        </w:rPr>
      </w:pPr>
      <w:r w:rsidRPr="0025250D">
        <w:rPr>
          <w:rFonts w:hint="cs"/>
          <w:rtl/>
        </w:rPr>
        <w:t xml:space="preserve">برخی مکان‌ها </w:t>
      </w:r>
      <w:r w:rsidR="008F0DD8" w:rsidRPr="0025250D">
        <w:rPr>
          <w:rFonts w:hint="cs"/>
          <w:rtl/>
        </w:rPr>
        <w:t>آن‌قدر</w:t>
      </w:r>
      <w:r w:rsidRPr="0025250D">
        <w:rPr>
          <w:rFonts w:hint="cs"/>
          <w:rtl/>
        </w:rPr>
        <w:t xml:space="preserve"> ثروتمند و دارای ارتباط هستند که در مراقبت از خود به خوبی عمل می‌کنند. در مراحل اولیه نوشتن این کتاب در سال 2015، دیدن این که میلیون‌ها نفر از شهروندان غربی در پاسخ به مرگ 17 نفر در فرانسه توسط تروریست‌ها، در حمله تروریستی به مجله </w:t>
      </w:r>
      <w:r w:rsidRPr="0025250D">
        <w:rPr>
          <w:rtl/>
        </w:rPr>
        <w:t>شارل</w:t>
      </w:r>
      <w:r w:rsidRPr="0025250D">
        <w:rPr>
          <w:rFonts w:hint="cs"/>
          <w:rtl/>
        </w:rPr>
        <w:t>ی</w:t>
      </w:r>
      <w:r w:rsidRPr="0025250D">
        <w:rPr>
          <w:rtl/>
        </w:rPr>
        <w:t xml:space="preserve"> ابدو</w:t>
      </w:r>
      <w:r w:rsidRPr="0025250D">
        <w:rPr>
          <w:vertAlign w:val="superscript"/>
          <w:rtl/>
        </w:rPr>
        <w:footnoteReference w:id="3011"/>
      </w:r>
      <w:r w:rsidRPr="0025250D">
        <w:rPr>
          <w:rFonts w:hint="cs"/>
          <w:rtl/>
        </w:rPr>
        <w:t xml:space="preserve"> واکنش نشان دادند الهام بخش بود. متأسفانه، 200 تا 2000 نفر از مردم نیجریه که در همان ماه توسط نظامیان </w:t>
      </w:r>
      <w:r w:rsidRPr="0025250D">
        <w:rPr>
          <w:rtl/>
        </w:rPr>
        <w:t>بوکوحرام</w:t>
      </w:r>
      <w:r w:rsidRPr="0025250D">
        <w:rPr>
          <w:vertAlign w:val="superscript"/>
          <w:rtl/>
        </w:rPr>
        <w:footnoteReference w:id="3012"/>
      </w:r>
      <w:r w:rsidRPr="0025250D">
        <w:rPr>
          <w:rFonts w:hint="cs"/>
          <w:rtl/>
        </w:rPr>
        <w:t xml:space="preserve"> در </w:t>
      </w:r>
      <w:r w:rsidRPr="0025250D">
        <w:rPr>
          <w:rtl/>
        </w:rPr>
        <w:t>قتل عام باگا</w:t>
      </w:r>
      <w:r w:rsidRPr="0025250D">
        <w:rPr>
          <w:vertAlign w:val="superscript"/>
          <w:rtl/>
        </w:rPr>
        <w:footnoteReference w:id="3013"/>
      </w:r>
      <w:r w:rsidRPr="0025250D">
        <w:rPr>
          <w:rFonts w:hint="cs"/>
          <w:rtl/>
        </w:rPr>
        <w:t xml:space="preserve"> کشته شدند، توجه جهانی بسیار کم‌تری به خود اختصاص داد. این نتیجه الهام بخش نبود. گستره تلفات گزارش شده توسط نیجریه بسیار وسیع است زیرا دولت نیجریه در ارائه گزارشات متناقض درمورد این داده‌ها بسیار فاسد و ناکارآمد عمل کرد و به دنبال سرکوب آن بود و جهان هیچ </w:t>
      </w:r>
      <w:r w:rsidR="00563645" w:rsidRPr="0025250D">
        <w:rPr>
          <w:rFonts w:hint="cs"/>
          <w:rtl/>
        </w:rPr>
        <w:t>بدیل</w:t>
      </w:r>
      <w:r w:rsidRPr="0025250D">
        <w:rPr>
          <w:rFonts w:hint="cs"/>
          <w:rtl/>
        </w:rPr>
        <w:t xml:space="preserve"> و راهکار بهتری نداشت.</w:t>
      </w:r>
    </w:p>
    <w:p w14:paraId="758A9CFC" w14:textId="48FAF2D6" w:rsidR="00537CC8" w:rsidRPr="0025250D" w:rsidRDefault="00537CC8" w:rsidP="00537CC8">
      <w:pPr>
        <w:rPr>
          <w:rtl/>
        </w:rPr>
      </w:pPr>
      <w:r w:rsidRPr="0025250D">
        <w:rPr>
          <w:rFonts w:hint="cs"/>
          <w:rtl/>
        </w:rPr>
        <w:t>در سال‌های آتی، با رشد شفافیت درمورد مشکلات جهانی، انتظار داریم که تعداد بسیار بیش‌تری از ما شخصا در بهترین پلتفرم‌های فعالیت جهانی، مانند اواز</w:t>
      </w:r>
      <w:r w:rsidRPr="0025250D">
        <w:rPr>
          <w:vertAlign w:val="superscript"/>
          <w:rtl/>
        </w:rPr>
        <w:footnoteReference w:id="3014"/>
      </w:r>
      <w:r w:rsidRPr="0025250D">
        <w:rPr>
          <w:rFonts w:hint="cs"/>
          <w:rtl/>
        </w:rPr>
        <w:t xml:space="preserve">، </w:t>
      </w:r>
      <w:r w:rsidRPr="0025250D">
        <w:t>Change.org</w:t>
      </w:r>
      <w:r w:rsidRPr="0025250D">
        <w:rPr>
          <w:rFonts w:hint="cs"/>
          <w:rtl/>
        </w:rPr>
        <w:t xml:space="preserve"> و کنتبل</w:t>
      </w:r>
      <w:r w:rsidRPr="0025250D">
        <w:rPr>
          <w:vertAlign w:val="superscript"/>
          <w:rtl/>
        </w:rPr>
        <w:footnoteReference w:id="3015"/>
      </w:r>
      <w:r w:rsidRPr="0025250D">
        <w:rPr>
          <w:rFonts w:hint="cs"/>
          <w:rtl/>
        </w:rPr>
        <w:t xml:space="preserve"> برای کمک به حل مشکلات جهانی نقش ایفا کنند. در کتاب 2، درمورد پلتفرم‌های حضور از راه دور دیجیتال مانند گروپ نتس</w:t>
      </w:r>
      <w:r w:rsidRPr="0025250D">
        <w:rPr>
          <w:vertAlign w:val="superscript"/>
          <w:rtl/>
        </w:rPr>
        <w:footnoteReference w:id="3016"/>
      </w:r>
      <w:r w:rsidRPr="0025250D">
        <w:rPr>
          <w:rFonts w:hint="cs"/>
          <w:rtl/>
        </w:rPr>
        <w:t xml:space="preserve"> و </w:t>
      </w:r>
      <w:r w:rsidR="00B56611" w:rsidRPr="0025250D">
        <w:rPr>
          <w:rFonts w:hint="cs"/>
          <w:rtl/>
        </w:rPr>
        <w:t>چشم‌انداز</w:t>
      </w:r>
      <w:r w:rsidRPr="0025250D">
        <w:rPr>
          <w:rFonts w:hint="cs"/>
          <w:rtl/>
        </w:rPr>
        <w:t>ی که آن را اینترنت خانواده‌ها می‌نامیم، صحبت خواهیم کرد. باور داریم اگر تنها درصد کوچکی از افراد ثروتمند، امن و آزاد جهان شخصا در کل طول عمر خود رابطه‌ای با فقیر ترین، در خطر‌ترین و ستم دیده‌ترین خانواده‌ها در کشور خودمان و در سراسر جهان بر قرار می‌کردند و به آن‌ها به صورت هفتگی کمک می‌کردند، به شکلی که کودکان آن‌ها به صورت دیجیتالی در ارتباط با کودکان ما رشد می‌کردند، جهان به شکل چشم گیری بهبود می‌یافت. به شکل کلی‌تر، با رشد شفافیت دیجیتال، می‌توانیم مشکلات جهانی را بهتر دیده و مدیریت کنیم. هرچقدر همه ما جرایم علیه بشریت را بهتر ببینیم و از هوش جمعی انسان و ماشین برای شناسایی مرتکبین این جرایم استفاده کنیم، می‌توانیم فشار بیش‌تری بر دولت‌ها، سازمان‌ها و نخبگان برای عکس العمل به آن‌ها اعمال کنیم.</w:t>
      </w:r>
    </w:p>
    <w:p w14:paraId="61B555AC" w14:textId="1E36FC57" w:rsidR="00537CC8" w:rsidRPr="0025250D" w:rsidRDefault="00537CC8" w:rsidP="00537CC8">
      <w:pPr>
        <w:rPr>
          <w:rtl/>
        </w:rPr>
      </w:pPr>
      <w:r w:rsidRPr="0025250D">
        <w:rPr>
          <w:rFonts w:hint="cs"/>
          <w:rtl/>
        </w:rPr>
        <w:t xml:space="preserve">در همین حین، علم نرم افزار، اتوماسیون و رباتیک اکنون </w:t>
      </w:r>
      <w:r w:rsidR="008F0DD8" w:rsidRPr="0025250D">
        <w:rPr>
          <w:rFonts w:hint="cs"/>
          <w:rtl/>
        </w:rPr>
        <w:t>آن‌قدر</w:t>
      </w:r>
      <w:r w:rsidRPr="0025250D">
        <w:rPr>
          <w:rFonts w:hint="cs"/>
          <w:rtl/>
        </w:rPr>
        <w:t xml:space="preserve"> پیشرفت </w:t>
      </w:r>
      <w:r w:rsidR="007118DE" w:rsidRPr="0025250D">
        <w:rPr>
          <w:rFonts w:hint="cs"/>
          <w:rtl/>
        </w:rPr>
        <w:t>کرده‌اند</w:t>
      </w:r>
      <w:r w:rsidRPr="0025250D">
        <w:rPr>
          <w:rFonts w:hint="cs"/>
          <w:rtl/>
        </w:rPr>
        <w:t xml:space="preserve"> که صنعتی‌ترین ملل ما بار دیگر درمورد شتاب دهی به جایگزینی کارگران با ماشین‌های هوشمند یا بیکاری </w:t>
      </w:r>
      <w:r w:rsidR="007A53FD" w:rsidRPr="0025250D">
        <w:rPr>
          <w:rFonts w:hint="cs"/>
          <w:rtl/>
        </w:rPr>
        <w:t>فناورانه</w:t>
      </w:r>
      <w:r w:rsidRPr="0025250D">
        <w:rPr>
          <w:rFonts w:hint="cs"/>
          <w:rtl/>
        </w:rPr>
        <w:t xml:space="preserve"> صحبت می‌کنند. بیش‌تر مردم از این که در حال حاضر چقدر بیکاری </w:t>
      </w:r>
      <w:r w:rsidR="007A53FD" w:rsidRPr="0025250D">
        <w:rPr>
          <w:rFonts w:hint="cs"/>
          <w:rtl/>
        </w:rPr>
        <w:t>فناورانه</w:t>
      </w:r>
      <w:r w:rsidRPr="0025250D">
        <w:rPr>
          <w:rFonts w:hint="cs"/>
          <w:rtl/>
        </w:rPr>
        <w:t xml:space="preserve"> وجود دارد اطلاع ندارند. آمارهای اشتغال مدرن تنها افرادی را که به صورت فعال به دنبال یافتن شغل هستند در نظر می‌گیرند و مردم نمی‌توانند ببینند که چه تعداد از آمریکایی‌ها دیگر به دنبال یافتن شغل نیستند. مطابق با وبگاه عالی </w:t>
      </w:r>
      <w:r w:rsidRPr="0025250D">
        <w:rPr>
          <w:rtl/>
        </w:rPr>
        <w:t>جان و</w:t>
      </w:r>
      <w:r w:rsidRPr="0025250D">
        <w:rPr>
          <w:rFonts w:hint="cs"/>
          <w:rtl/>
        </w:rPr>
        <w:t>ی</w:t>
      </w:r>
      <w:r w:rsidRPr="0025250D">
        <w:rPr>
          <w:rFonts w:hint="eastAsia"/>
          <w:rtl/>
        </w:rPr>
        <w:t>ل</w:t>
      </w:r>
      <w:r w:rsidRPr="0025250D">
        <w:rPr>
          <w:rFonts w:hint="cs"/>
          <w:rtl/>
        </w:rPr>
        <w:t>ی</w:t>
      </w:r>
      <w:r w:rsidRPr="0025250D">
        <w:rPr>
          <w:rFonts w:hint="eastAsia"/>
          <w:rtl/>
        </w:rPr>
        <w:t>ام</w:t>
      </w:r>
      <w:r w:rsidRPr="0025250D">
        <w:rPr>
          <w:rFonts w:hint="cs"/>
          <w:rtl/>
        </w:rPr>
        <w:t xml:space="preserve"> به نام آمارهای سایه</w:t>
      </w:r>
      <w:r w:rsidRPr="0025250D">
        <w:rPr>
          <w:vertAlign w:val="superscript"/>
          <w:rtl/>
        </w:rPr>
        <w:footnoteReference w:id="3017"/>
      </w:r>
      <w:r w:rsidRPr="0025250D">
        <w:rPr>
          <w:rFonts w:hint="cs"/>
          <w:rtl/>
        </w:rPr>
        <w:t>، بیکاری حقیقی در آمریکا در حال حاضر 23 درصد است (تقریبا یک نفر از هر چهار آمریکایی که از نظر بدنی معلولیتی نداشته و توانایی کار را دارد کار نمی‌کند) نه 5 درصد گزارش شده در رسانه‌های مالی مصرف</w:t>
      </w:r>
      <w:r w:rsidR="00186393" w:rsidRPr="0025250D">
        <w:rPr>
          <w:rFonts w:hint="cs"/>
          <w:rtl/>
        </w:rPr>
        <w:t xml:space="preserve"> </w:t>
      </w:r>
      <w:r w:rsidRPr="0025250D">
        <w:rPr>
          <w:rFonts w:hint="cs"/>
          <w:rtl/>
        </w:rPr>
        <w:t>گرا. جهان ما در بخش بالایی خود به شکل شگفت آوری ثروتمند شده است و وقت آزاد رو به رشدی در میان این توده‌های مردم وجود دارد.</w:t>
      </w:r>
    </w:p>
    <w:p w14:paraId="04A49782" w14:textId="51A38203" w:rsidR="00537CC8" w:rsidRPr="0025250D" w:rsidRDefault="00537CC8" w:rsidP="00537CC8">
      <w:pPr>
        <w:rPr>
          <w:rtl/>
        </w:rPr>
      </w:pPr>
      <w:r w:rsidRPr="0025250D">
        <w:rPr>
          <w:rFonts w:hint="cs"/>
          <w:rtl/>
        </w:rPr>
        <w:t xml:space="preserve">رشد ثروت و زمان آزاد کلی نشانه خوبی از طرح‌ها و فعالیت‌های مشارکتی است. موج بزرگ استعفای 2021، نشانه واضحی از این است که هر چه بهره وری فنی جهان بیش‌تر باشد و هرچه ثروت در طبقه بالا بیش‌تر باشد، نیروی کار متوسط آمریکا تحمل کم‌تری برای شغل خود که در آن به اندازه کافی حقوق نمی‌گیرد، به اندازه کافی به او بها داده نمی‌شود و در آنچه کار مثبت و معنا دار تلقی می‌کند مشارکت ندارد، خواهد داشت. </w:t>
      </w:r>
      <w:r w:rsidRPr="0025250D">
        <w:rPr>
          <w:rtl/>
        </w:rPr>
        <w:t>جان</w:t>
      </w:r>
      <w:r w:rsidR="00186393" w:rsidRPr="0025250D">
        <w:rPr>
          <w:rFonts w:hint="cs"/>
          <w:rtl/>
        </w:rPr>
        <w:t xml:space="preserve"> اسمارت</w:t>
      </w:r>
      <w:r w:rsidRPr="0025250D">
        <w:rPr>
          <w:rFonts w:hint="cs"/>
          <w:rtl/>
        </w:rPr>
        <w:t xml:space="preserve"> </w:t>
      </w:r>
      <w:r w:rsidR="00D92F6E" w:rsidRPr="0025250D">
        <w:rPr>
          <w:rFonts w:hint="cs"/>
          <w:rtl/>
        </w:rPr>
        <w:t>پیش‌بین</w:t>
      </w:r>
      <w:r w:rsidRPr="0025250D">
        <w:rPr>
          <w:rFonts w:hint="cs"/>
          <w:rtl/>
        </w:rPr>
        <w:t>ی می‌کند هر چه به ظهور هوش مصنوعی عمومی نزدیک‌تر شویم که می‌تواند زمانی در نیمه دوم همین قرن از راه برسد، موارد بسیار بیش‌تری از این نوع رفتار حذفی را به ویژه در کشور‌های آزادی محور مانند آمریکا خواهیم دید. مشاغل معنا دار اما با حقوق کم‌تر و داوطلبانه که تأثیر مثبتی بر زندگی دیگران دارند، هم در مقیاس محلی و هم در مقیاس جهانی، به شکل فزاینده‌ای برای بیش‌تر کارگران و کارمندان ارزشمند خواهند بود.</w:t>
      </w:r>
    </w:p>
    <w:p w14:paraId="3954F88B" w14:textId="08BF92B2" w:rsidR="00537CC8" w:rsidRPr="0025250D" w:rsidRDefault="00537CC8" w:rsidP="00537CC8">
      <w:pPr>
        <w:rPr>
          <w:rtl/>
        </w:rPr>
      </w:pPr>
      <w:r w:rsidRPr="0025250D">
        <w:rPr>
          <w:rFonts w:hint="cs"/>
          <w:rtl/>
        </w:rPr>
        <w:t>می توانیم ببینیم که ثروتمندترین کشور‌ها به چیزی مانند یک درآمد پایه فراگیر</w:t>
      </w:r>
      <w:r w:rsidRPr="0025250D">
        <w:rPr>
          <w:vertAlign w:val="superscript"/>
          <w:rtl/>
        </w:rPr>
        <w:footnoteReference w:id="3018"/>
      </w:r>
      <w:r w:rsidRPr="0025250D">
        <w:rPr>
          <w:rFonts w:hint="cs"/>
          <w:rtl/>
        </w:rPr>
        <w:t xml:space="preserve"> (</w:t>
      </w:r>
      <w:r w:rsidRPr="0025250D">
        <w:t>UBI</w:t>
      </w:r>
      <w:r w:rsidRPr="0025250D">
        <w:rPr>
          <w:rFonts w:hint="cs"/>
          <w:rtl/>
        </w:rPr>
        <w:t xml:space="preserve">) در دهه‌های آتی، با یارانه‌های اضافی برای مشارکت در گسترده‌ای از فعالیت‌های اجتماعی مفید اما همواره بدون دریافت حقوق </w:t>
      </w:r>
      <w:r w:rsidRPr="0025250D">
        <w:rPr>
          <w:rFonts w:cs="Times New Roman" w:hint="cs"/>
          <w:rtl/>
        </w:rPr>
        <w:t>–</w:t>
      </w:r>
      <w:r w:rsidRPr="0025250D">
        <w:rPr>
          <w:rFonts w:hint="cs"/>
          <w:rtl/>
        </w:rPr>
        <w:t xml:space="preserve"> مانند مراقبت از یک کودک یا فرد مسن، تحصیلات یا </w:t>
      </w:r>
      <w:r w:rsidR="00923DDB" w:rsidRPr="0025250D">
        <w:rPr>
          <w:rFonts w:hint="cs"/>
          <w:rtl/>
        </w:rPr>
        <w:t>به‌کارگیری</w:t>
      </w:r>
      <w:r w:rsidRPr="0025250D">
        <w:rPr>
          <w:rFonts w:hint="cs"/>
          <w:rtl/>
        </w:rPr>
        <w:t xml:space="preserve"> دیگران در یک استارتاپ - نیاز دارند. آزمایش‌های </w:t>
      </w:r>
      <w:r w:rsidRPr="0025250D">
        <w:t>UBI</w:t>
      </w:r>
      <w:r w:rsidRPr="0025250D">
        <w:rPr>
          <w:rFonts w:hint="cs"/>
          <w:rtl/>
        </w:rPr>
        <w:t xml:space="preserve"> در گذشته انجام </w:t>
      </w:r>
      <w:r w:rsidR="00185F3E" w:rsidRPr="0025250D">
        <w:rPr>
          <w:rFonts w:hint="cs"/>
          <w:rtl/>
        </w:rPr>
        <w:t>شده‌اند</w:t>
      </w:r>
      <w:r w:rsidRPr="0025250D">
        <w:rPr>
          <w:rFonts w:hint="cs"/>
          <w:rtl/>
        </w:rPr>
        <w:t>، مانند آزمایش درآمد حداقل</w:t>
      </w:r>
      <w:r w:rsidRPr="0025250D">
        <w:rPr>
          <w:vertAlign w:val="superscript"/>
          <w:rtl/>
        </w:rPr>
        <w:footnoteReference w:id="3019"/>
      </w:r>
      <w:r w:rsidRPr="0025250D">
        <w:rPr>
          <w:rFonts w:hint="cs"/>
          <w:rtl/>
        </w:rPr>
        <w:t xml:space="preserve"> در کانادا، نامیبیا</w:t>
      </w:r>
      <w:r w:rsidRPr="0025250D">
        <w:rPr>
          <w:vertAlign w:val="superscript"/>
          <w:rtl/>
        </w:rPr>
        <w:footnoteReference w:id="3020"/>
      </w:r>
      <w:r w:rsidRPr="0025250D">
        <w:rPr>
          <w:rFonts w:hint="cs"/>
          <w:rtl/>
        </w:rPr>
        <w:t xml:space="preserve"> و هند در دهه 1970. یک </w:t>
      </w:r>
      <w:r w:rsidRPr="0025250D">
        <w:t>UBI</w:t>
      </w:r>
      <w:r w:rsidRPr="0025250D">
        <w:rPr>
          <w:rFonts w:hint="cs"/>
          <w:rtl/>
        </w:rPr>
        <w:t xml:space="preserve"> در رفراندوم عمومی در سوئیس در سال 2014 در نظر گرفته شد. فنلاند نیز هم اکنون چنین کاری را در نظر دارد. شرکت وای کامبینیتور</w:t>
      </w:r>
      <w:r w:rsidRPr="0025250D">
        <w:rPr>
          <w:vertAlign w:val="superscript"/>
          <w:rtl/>
        </w:rPr>
        <w:footnoteReference w:id="3021"/>
      </w:r>
      <w:r w:rsidRPr="0025250D">
        <w:rPr>
          <w:rFonts w:hint="cs"/>
          <w:rtl/>
        </w:rPr>
        <w:t xml:space="preserve"> در حال انجام یک آزمایش </w:t>
      </w:r>
      <w:r w:rsidRPr="0025250D">
        <w:t>UBI</w:t>
      </w:r>
      <w:r w:rsidRPr="0025250D">
        <w:rPr>
          <w:rFonts w:hint="cs"/>
          <w:rtl/>
        </w:rPr>
        <w:t xml:space="preserve"> در اکلند کالیفرنیا است. مدل</w:t>
      </w:r>
      <w:r w:rsidR="008D6F97" w:rsidRPr="0025250D">
        <w:rPr>
          <w:rtl/>
        </w:rPr>
        <w:t xml:space="preserve"> </w:t>
      </w:r>
      <w:r w:rsidRPr="0025250D">
        <w:rPr>
          <w:rFonts w:hint="cs"/>
          <w:rtl/>
        </w:rPr>
        <w:t>فلکسی کیوریتی</w:t>
      </w:r>
      <w:r w:rsidRPr="0025250D">
        <w:rPr>
          <w:vertAlign w:val="superscript"/>
          <w:rtl/>
        </w:rPr>
        <w:footnoteReference w:id="3022"/>
      </w:r>
      <w:r w:rsidRPr="0025250D">
        <w:rPr>
          <w:rFonts w:hint="cs"/>
          <w:rtl/>
        </w:rPr>
        <w:t xml:space="preserve"> دانمارک که به شرکت‌ها امکان می‌دهد تا </w:t>
      </w:r>
      <w:r w:rsidR="00B0171C" w:rsidRPr="0025250D">
        <w:rPr>
          <w:rFonts w:hint="cs"/>
          <w:rtl/>
        </w:rPr>
        <w:t>به‌سادگی</w:t>
      </w:r>
      <w:r w:rsidRPr="0025250D">
        <w:rPr>
          <w:rFonts w:hint="cs"/>
          <w:rtl/>
        </w:rPr>
        <w:t xml:space="preserve"> کارمندان را اخراج کنند، با این حال یک درآمد پایه‌ای تضمین شده را تا زمانی که فرد به صورت فعال به دنبال شکل‌های مورد تأییدی از کار یا تحصیل باشد، فراهم می‌کند، یک مدل مشخصا عملی برای کشور‌های توسعه یافته است. به نظر ما این مدل حتی مفید‌تر از </w:t>
      </w:r>
      <w:r w:rsidRPr="0025250D">
        <w:t>UBI</w:t>
      </w:r>
      <w:r w:rsidRPr="0025250D">
        <w:rPr>
          <w:rFonts w:hint="cs"/>
          <w:rtl/>
        </w:rPr>
        <w:t xml:space="preserve"> است.</w:t>
      </w:r>
    </w:p>
    <w:p w14:paraId="0BCFCDAE" w14:textId="687E0DA4" w:rsidR="00537CC8" w:rsidRPr="0025250D" w:rsidRDefault="00537CC8" w:rsidP="00537CC8">
      <w:pPr>
        <w:rPr>
          <w:rtl/>
        </w:rPr>
      </w:pPr>
      <w:r w:rsidRPr="0025250D">
        <w:rPr>
          <w:rFonts w:hint="cs"/>
          <w:rtl/>
        </w:rPr>
        <w:t xml:space="preserve">از نظر ما، یکی از بزرگترین فرصت‌های پیشرفت از دست رفته در آمریکا در طول دهه 1960، اجرای طرحی توسط رئیس جمهور </w:t>
      </w:r>
      <w:r w:rsidRPr="0025250D">
        <w:rPr>
          <w:rtl/>
        </w:rPr>
        <w:t>ل</w:t>
      </w:r>
      <w:r w:rsidRPr="0025250D">
        <w:rPr>
          <w:rFonts w:hint="cs"/>
          <w:rtl/>
        </w:rPr>
        <w:t>ی</w:t>
      </w:r>
      <w:r w:rsidRPr="0025250D">
        <w:rPr>
          <w:rFonts w:hint="eastAsia"/>
          <w:rtl/>
        </w:rPr>
        <w:t>ندون</w:t>
      </w:r>
      <w:r w:rsidRPr="0025250D">
        <w:rPr>
          <w:rtl/>
        </w:rPr>
        <w:t xml:space="preserve"> جانسون</w:t>
      </w:r>
      <w:r w:rsidRPr="0025250D">
        <w:rPr>
          <w:vertAlign w:val="superscript"/>
          <w:rtl/>
        </w:rPr>
        <w:footnoteReference w:id="3023"/>
      </w:r>
      <w:r w:rsidRPr="0025250D">
        <w:rPr>
          <w:rFonts w:hint="cs"/>
          <w:rtl/>
        </w:rPr>
        <w:t xml:space="preserve"> برای یک </w:t>
      </w:r>
      <w:r w:rsidR="008D6F97" w:rsidRPr="0025250D">
        <w:rPr>
          <w:rFonts w:hint="cs"/>
          <w:rtl/>
        </w:rPr>
        <w:t>سامانه‌</w:t>
      </w:r>
      <w:r w:rsidRPr="0025250D">
        <w:rPr>
          <w:rFonts w:hint="cs"/>
          <w:rtl/>
        </w:rPr>
        <w:t xml:space="preserve"> رفاه اجتماعی بود که به شدت انگیزه کار را از بین برد. اگر به جای </w:t>
      </w:r>
      <w:r w:rsidR="008D6F97" w:rsidRPr="0025250D">
        <w:rPr>
          <w:rFonts w:hint="cs"/>
          <w:rtl/>
        </w:rPr>
        <w:t>سامانه‌</w:t>
      </w:r>
      <w:r w:rsidRPr="0025250D">
        <w:rPr>
          <w:rFonts w:hint="cs"/>
          <w:rtl/>
        </w:rPr>
        <w:t xml:space="preserve"> فعلی که در آن حقوق </w:t>
      </w:r>
      <w:r w:rsidRPr="0025250D">
        <w:rPr>
          <w:rtl/>
        </w:rPr>
        <w:t>قابل توجه</w:t>
      </w:r>
      <w:r w:rsidRPr="0025250D">
        <w:rPr>
          <w:rFonts w:hint="cs"/>
          <w:rtl/>
        </w:rPr>
        <w:t xml:space="preserve"> در زمان آغاز کار متوقف می‌شود، یک </w:t>
      </w:r>
      <w:r w:rsidR="008D6F97" w:rsidRPr="0025250D">
        <w:rPr>
          <w:rFonts w:hint="cs"/>
          <w:rtl/>
        </w:rPr>
        <w:t>سامانه‌</w:t>
      </w:r>
      <w:r w:rsidRPr="0025250D">
        <w:rPr>
          <w:rFonts w:hint="cs"/>
          <w:rtl/>
        </w:rPr>
        <w:t xml:space="preserve"> تکمیل درآمد قابل تنظیم برای طبقه فقیر کارگر داشتیم که سطح مشابهی از حمایت را نسبت به </w:t>
      </w:r>
      <w:r w:rsidR="008D6F97" w:rsidRPr="0025250D">
        <w:rPr>
          <w:rFonts w:hint="cs"/>
          <w:rtl/>
        </w:rPr>
        <w:t>سامانه‌</w:t>
      </w:r>
      <w:r w:rsidRPr="0025250D">
        <w:rPr>
          <w:rFonts w:hint="cs"/>
          <w:rtl/>
        </w:rPr>
        <w:t xml:space="preserve"> فعلی ما فراهم می‌کند و حتی مزایای بیش‌تری برای تحصیلات، مراقبت از فرزندان و افزایش مدت اشتغال فراهم می‌کند، جامعه‌ای با میلیون‌ها آمریکایی که امروزه به درستی خود را کم ارزش تلقی می‌کنند و دیگر نمی‌دانند چگونه باید کار کنند، ایجاد نمی‌کردیم. ما آن‌ها را با طراحی یک </w:t>
      </w:r>
      <w:r w:rsidR="008D6F97" w:rsidRPr="0025250D">
        <w:rPr>
          <w:rFonts w:hint="cs"/>
          <w:rtl/>
        </w:rPr>
        <w:t>سامانه‌</w:t>
      </w:r>
      <w:r w:rsidRPr="0025250D">
        <w:rPr>
          <w:rFonts w:hint="cs"/>
          <w:rtl/>
        </w:rPr>
        <w:t xml:space="preserve"> رفاه غیر انسانی با طرح‌های سمی به شدت ناامید کردیم. ما از </w:t>
      </w:r>
      <w:r w:rsidR="0060055A" w:rsidRPr="0025250D">
        <w:rPr>
          <w:rFonts w:hint="cs"/>
          <w:rtl/>
        </w:rPr>
        <w:t>ویران‌شهر</w:t>
      </w:r>
      <w:r w:rsidRPr="0025250D">
        <w:rPr>
          <w:rFonts w:hint="cs"/>
          <w:rtl/>
        </w:rPr>
        <w:t xml:space="preserve"> فعلی خود خارج خواهیم شد، اما این کار زمان خواهد برد.</w:t>
      </w:r>
    </w:p>
    <w:p w14:paraId="3E12563E" w14:textId="1C030B81" w:rsidR="00537CC8" w:rsidRPr="0025250D" w:rsidRDefault="00537CC8" w:rsidP="00537CC8">
      <w:pPr>
        <w:rPr>
          <w:rtl/>
        </w:rPr>
      </w:pPr>
      <w:r w:rsidRPr="0025250D">
        <w:rPr>
          <w:rFonts w:hint="cs"/>
          <w:rtl/>
        </w:rPr>
        <w:t xml:space="preserve">با رشد ثروت اجتماعی ایجاد شده توسط فنّاوری، یک سیاست </w:t>
      </w:r>
      <w:r w:rsidRPr="0025250D">
        <w:t>UBI</w:t>
      </w:r>
      <w:r w:rsidRPr="0025250D">
        <w:rPr>
          <w:rFonts w:hint="cs"/>
          <w:rtl/>
        </w:rPr>
        <w:t xml:space="preserve"> یا فلکسی کیوریتی </w:t>
      </w:r>
      <w:r w:rsidR="00923DDB" w:rsidRPr="0025250D">
        <w:rPr>
          <w:rFonts w:hint="cs"/>
          <w:rtl/>
        </w:rPr>
        <w:t>راه‌حل</w:t>
      </w:r>
      <w:r w:rsidRPr="0025250D">
        <w:rPr>
          <w:rFonts w:hint="cs"/>
          <w:rtl/>
        </w:rPr>
        <w:t xml:space="preserve"> واضحی برای توانمند سازی مجدد مناطق آسیب</w:t>
      </w:r>
      <w:r w:rsidR="00186393" w:rsidRPr="0025250D">
        <w:rPr>
          <w:rFonts w:hint="cs"/>
          <w:rtl/>
        </w:rPr>
        <w:t>‌</w:t>
      </w:r>
      <w:r w:rsidRPr="0025250D">
        <w:rPr>
          <w:rFonts w:hint="cs"/>
          <w:rtl/>
        </w:rPr>
        <w:t>پذیر روستایی و کوچک ما</w:t>
      </w:r>
      <w:r w:rsidRPr="0025250D">
        <w:rPr>
          <w:rFonts w:cs="Times New Roman" w:hint="cs"/>
          <w:rtl/>
        </w:rPr>
        <w:t>–</w:t>
      </w:r>
      <w:r w:rsidRPr="0025250D">
        <w:rPr>
          <w:rFonts w:hint="cs"/>
          <w:rtl/>
        </w:rPr>
        <w:t xml:space="preserve"> و ساده‌تر کردن آن برای افرادی که برای یک کار جدید یا داشتن شغلی با درآمد کم‌تر اما معنا دار‌تر آموزش می‌بینند -</w:t>
      </w:r>
      <w:r w:rsidR="00186393" w:rsidRPr="0025250D">
        <w:rPr>
          <w:rFonts w:hint="cs"/>
          <w:rtl/>
        </w:rPr>
        <w:t xml:space="preserve"> می‌باشد</w:t>
      </w:r>
      <w:r w:rsidRPr="0025250D">
        <w:rPr>
          <w:rFonts w:hint="cs"/>
          <w:rtl/>
        </w:rPr>
        <w:t>. البته، نخبگان در جوامع پیشرفته ما این درآمد را نمی‌خواهند، بنابراین مبارزه‌ای جهانی درمورد این مسئله در کشور‌های ثروتمند در سال‌های آینده وجود خواهد داشت. ما منتظر این مبارزه هستیم و دیگران را هم به این کار تشویق می‌کنیم.</w:t>
      </w:r>
    </w:p>
    <w:p w14:paraId="60834DAE" w14:textId="77777777" w:rsidR="00537CC8" w:rsidRPr="0025250D" w:rsidRDefault="00537CC8" w:rsidP="00EF26F0">
      <w:pPr>
        <w:pStyle w:val="Heading3"/>
        <w:rPr>
          <w:rtl/>
        </w:rPr>
      </w:pPr>
      <w:r w:rsidRPr="0025250D">
        <w:rPr>
          <w:rtl/>
        </w:rPr>
        <w:t>آینده‌نگاری</w:t>
      </w:r>
      <w:r w:rsidRPr="0025250D">
        <w:rPr>
          <w:rFonts w:hint="cs"/>
          <w:rtl/>
        </w:rPr>
        <w:t xml:space="preserve"> در حال محبوب‌تر شدن است</w:t>
      </w:r>
    </w:p>
    <w:p w14:paraId="2847FF27" w14:textId="3A4906AE" w:rsidR="00537CC8" w:rsidRPr="0025250D" w:rsidRDefault="00537CC8" w:rsidP="00537CC8">
      <w:pPr>
        <w:rPr>
          <w:rtl/>
        </w:rPr>
      </w:pPr>
      <w:r w:rsidRPr="0025250D">
        <w:rPr>
          <w:rtl/>
        </w:rPr>
        <w:t>آینده‌نگاری</w:t>
      </w:r>
      <w:r w:rsidRPr="0025250D">
        <w:rPr>
          <w:rFonts w:hint="cs"/>
          <w:rtl/>
        </w:rPr>
        <w:t xml:space="preserve"> به شکل قابل توجهی در حال محبوب‌تر شدن، هم از طرف عموم مردم و هم از طرف متخصصین بزرگ‌تر است و سریع‌تر تغییر می‌کند. این محبوبیت احتمالا به رشد خود ادامه می‌دهد، زیرا تحولات </w:t>
      </w:r>
      <w:r w:rsidRPr="0025250D">
        <w:t>STEEPS</w:t>
      </w:r>
      <w:r w:rsidRPr="0025250D">
        <w:rPr>
          <w:rFonts w:hint="cs"/>
          <w:rtl/>
        </w:rPr>
        <w:t xml:space="preserve"> بیش‌تر و بیش‌تری در مسیر آینده ما وجود دارند. در طول 60 سال گذشته، موضوعات تخصصی متنوعی، مانند </w:t>
      </w:r>
      <w:r w:rsidRPr="0025250D">
        <w:rPr>
          <w:rtl/>
        </w:rPr>
        <w:t>آینده‌نگاری</w:t>
      </w:r>
      <w:r w:rsidRPr="0025250D">
        <w:rPr>
          <w:rFonts w:hint="cs"/>
          <w:rtl/>
        </w:rPr>
        <w:t xml:space="preserve"> کارآفرینی، </w:t>
      </w:r>
      <w:r w:rsidRPr="0025250D">
        <w:rPr>
          <w:rtl/>
        </w:rPr>
        <w:t>آینده‌نگاری</w:t>
      </w:r>
      <w:r w:rsidRPr="0025250D">
        <w:rPr>
          <w:rFonts w:hint="cs"/>
          <w:rtl/>
        </w:rPr>
        <w:t xml:space="preserve"> فنّاوری و </w:t>
      </w:r>
      <w:r w:rsidRPr="0025250D">
        <w:rPr>
          <w:rtl/>
        </w:rPr>
        <w:t>آینده‌نگاری</w:t>
      </w:r>
      <w:r w:rsidRPr="0025250D">
        <w:rPr>
          <w:rFonts w:hint="cs"/>
          <w:rtl/>
        </w:rPr>
        <w:t xml:space="preserve"> علمی-تخیلی همگی افراد بیش‌تر و بیش‌تری را جذب </w:t>
      </w:r>
      <w:r w:rsidR="007118DE" w:rsidRPr="0025250D">
        <w:rPr>
          <w:rFonts w:hint="cs"/>
          <w:rtl/>
        </w:rPr>
        <w:t>کرده‌اند</w:t>
      </w:r>
      <w:r w:rsidRPr="0025250D">
        <w:rPr>
          <w:rFonts w:hint="cs"/>
          <w:rtl/>
        </w:rPr>
        <w:t xml:space="preserve"> و </w:t>
      </w:r>
      <w:r w:rsidRPr="0025250D">
        <w:rPr>
          <w:rtl/>
        </w:rPr>
        <w:t>آینده‌نگاری</w:t>
      </w:r>
      <w:r w:rsidRPr="0025250D">
        <w:rPr>
          <w:rFonts w:hint="cs"/>
          <w:rtl/>
        </w:rPr>
        <w:t xml:space="preserve"> تخصصی، زمستان‌ها و بهارهای عمده و کوچکی، در چرخه‌ای نامنظم، برای حداقل یک قرن اخیر داشته است. آخرین بهار </w:t>
      </w:r>
      <w:r w:rsidRPr="0025250D">
        <w:rPr>
          <w:rtl/>
        </w:rPr>
        <w:t>آینده‌نگاری</w:t>
      </w:r>
      <w:r w:rsidRPr="0025250D">
        <w:rPr>
          <w:rFonts w:hint="cs"/>
          <w:rtl/>
        </w:rPr>
        <w:t xml:space="preserve"> عمده </w:t>
      </w:r>
      <w:r w:rsidR="00186393" w:rsidRPr="0025250D">
        <w:rPr>
          <w:rFonts w:hint="cs"/>
          <w:rtl/>
        </w:rPr>
        <w:t>در بازه</w:t>
      </w:r>
      <w:r w:rsidRPr="0025250D">
        <w:rPr>
          <w:rFonts w:hint="cs"/>
          <w:rtl/>
        </w:rPr>
        <w:t xml:space="preserve"> 1960-1980، زمانی که به معنای واقعی کلمه ماه را هدف گرفته بودیم، به یادآورید. </w:t>
      </w:r>
      <w:r w:rsidR="00EE4B64" w:rsidRPr="0025250D">
        <w:rPr>
          <w:rFonts w:hint="cs"/>
          <w:rtl/>
        </w:rPr>
        <w:t>چشم‌اندازسازی</w:t>
      </w:r>
      <w:r w:rsidRPr="0025250D">
        <w:rPr>
          <w:rFonts w:hint="cs"/>
          <w:rtl/>
        </w:rPr>
        <w:t xml:space="preserve"> عصر </w:t>
      </w:r>
      <w:r w:rsidRPr="0025250D">
        <w:rPr>
          <w:rtl/>
        </w:rPr>
        <w:t>آپولو</w:t>
      </w:r>
      <w:r w:rsidR="002C61FC" w:rsidRPr="0025250D">
        <w:rPr>
          <w:rtl/>
        </w:rPr>
        <w:t xml:space="preserve"> </w:t>
      </w:r>
      <w:r w:rsidRPr="0025250D">
        <w:rPr>
          <w:rFonts w:hint="cs"/>
          <w:rtl/>
        </w:rPr>
        <w:t xml:space="preserve">که تا حد زیادی به سبب رقابت‌ها در جنگ سرد رخ داده بود، اصطلاح مدرن </w:t>
      </w:r>
      <w:r w:rsidR="002C61FC" w:rsidRPr="0025250D">
        <w:rPr>
          <w:rtl/>
        </w:rPr>
        <w:t>«</w:t>
      </w:r>
      <w:r w:rsidRPr="0025250D">
        <w:rPr>
          <w:rFonts w:hint="cs"/>
          <w:rtl/>
        </w:rPr>
        <w:t>تفکر مون شات</w:t>
      </w:r>
      <w:r w:rsidRPr="0025250D">
        <w:rPr>
          <w:vertAlign w:val="superscript"/>
          <w:rtl/>
        </w:rPr>
        <w:footnoteReference w:id="3024"/>
      </w:r>
      <w:r w:rsidR="002C61FC" w:rsidRPr="0025250D">
        <w:rPr>
          <w:rtl/>
        </w:rPr>
        <w:t>»</w:t>
      </w:r>
      <w:r w:rsidRPr="0025250D">
        <w:rPr>
          <w:rFonts w:hint="cs"/>
          <w:rtl/>
        </w:rPr>
        <w:t xml:space="preserve"> را ایجاد کرد. در این زمان، </w:t>
      </w:r>
      <w:r w:rsidR="00D92F6E" w:rsidRPr="0025250D">
        <w:rPr>
          <w:rFonts w:hint="cs"/>
          <w:rtl/>
        </w:rPr>
        <w:t>آینده‌پژوه</w:t>
      </w:r>
      <w:r w:rsidRPr="0025250D">
        <w:rPr>
          <w:rFonts w:hint="cs"/>
          <w:rtl/>
        </w:rPr>
        <w:t xml:space="preserve">ان، برنامه ریزان بلند مدت و </w:t>
      </w:r>
      <w:r w:rsidR="0008779C" w:rsidRPr="0025250D">
        <w:rPr>
          <w:rFonts w:hint="cs"/>
          <w:rtl/>
        </w:rPr>
        <w:t>پیش‌نگر</w:t>
      </w:r>
      <w:r w:rsidRPr="0025250D">
        <w:rPr>
          <w:rFonts w:hint="cs"/>
          <w:rtl/>
        </w:rPr>
        <w:t xml:space="preserve">ان همگی به هیئت مدیره‌ها و دولت‌ها راه یافتند. سپس دوره‌ای از خستگی ایدئولوژیک پس از شوک‌های اجتماعی و تناقضات آن دوره از راه رسید. این ایدئولوژی </w:t>
      </w:r>
      <w:r w:rsidRPr="0025250D">
        <w:rPr>
          <w:rtl/>
        </w:rPr>
        <w:t>نومحافظه‌کار</w:t>
      </w:r>
      <w:r w:rsidRPr="0025250D">
        <w:rPr>
          <w:rFonts w:hint="cs"/>
          <w:rtl/>
        </w:rPr>
        <w:t>انه موقتا در آمریکا، انگلستان و اروپا به موفقیت رسید و جوامع ما بار دیگر به مادی گرایی روی آوردند. چرخه مادی گرایی-</w:t>
      </w:r>
      <w:r w:rsidR="00D30084" w:rsidRPr="0025250D">
        <w:rPr>
          <w:rFonts w:hint="cs"/>
          <w:rtl/>
        </w:rPr>
        <w:t>آرمان‌گرا</w:t>
      </w:r>
      <w:r w:rsidRPr="0025250D">
        <w:rPr>
          <w:rFonts w:hint="cs"/>
          <w:rtl/>
        </w:rPr>
        <w:t xml:space="preserve">یی-تناقض را در نسخه دانشجوی </w:t>
      </w:r>
      <w:r w:rsidRPr="0025250D">
        <w:t>ITF</w:t>
      </w:r>
      <w:r w:rsidRPr="0025250D">
        <w:rPr>
          <w:rFonts w:hint="cs"/>
          <w:rtl/>
        </w:rPr>
        <w:t xml:space="preserve"> برای اطلاعات بیش‌تر درمورد این چرخه آشوب ببینید. ما از دهه 80 تا میانه‌های دهه 90 وارد یک زمستان </w:t>
      </w:r>
      <w:r w:rsidRPr="0025250D">
        <w:rPr>
          <w:rtl/>
        </w:rPr>
        <w:t>آینده‌نگاری</w:t>
      </w:r>
      <w:r w:rsidRPr="0025250D">
        <w:rPr>
          <w:rFonts w:hint="cs"/>
          <w:rtl/>
        </w:rPr>
        <w:t xml:space="preserve"> نسبی شدیم که تنها </w:t>
      </w:r>
      <w:r w:rsidRPr="0025250D">
        <w:rPr>
          <w:rtl/>
        </w:rPr>
        <w:t>آینده‌نگاری</w:t>
      </w:r>
      <w:r w:rsidRPr="0025250D">
        <w:rPr>
          <w:rFonts w:hint="cs"/>
          <w:rtl/>
        </w:rPr>
        <w:t xml:space="preserve"> </w:t>
      </w:r>
      <w:r w:rsidRPr="0025250D">
        <w:rPr>
          <w:rtl/>
        </w:rPr>
        <w:t>نومحافظه‌کار</w:t>
      </w:r>
      <w:r w:rsidRPr="0025250D">
        <w:rPr>
          <w:rFonts w:hint="cs"/>
          <w:rtl/>
        </w:rPr>
        <w:t xml:space="preserve">انه به پیش می‌رفت که تنوع و عمق </w:t>
      </w:r>
      <w:r w:rsidR="00B124DE" w:rsidRPr="0025250D">
        <w:rPr>
          <w:rFonts w:hint="cs"/>
          <w:rtl/>
        </w:rPr>
        <w:t>آینده‌اندیش</w:t>
      </w:r>
      <w:r w:rsidRPr="0025250D">
        <w:rPr>
          <w:rFonts w:hint="cs"/>
          <w:rtl/>
        </w:rPr>
        <w:t xml:space="preserve">ی را کاهش می‌داد و بسیاری از دستاورد‌های گذشته در بهار </w:t>
      </w:r>
      <w:r w:rsidRPr="0025250D">
        <w:rPr>
          <w:rtl/>
        </w:rPr>
        <w:t>آینده‌نگاری</w:t>
      </w:r>
      <w:r w:rsidRPr="0025250D">
        <w:rPr>
          <w:rFonts w:hint="cs"/>
          <w:rtl/>
        </w:rPr>
        <w:t xml:space="preserve"> پیشین را، حداقل برای مدتی متوقف یا معکوس می‌کرد.</w:t>
      </w:r>
    </w:p>
    <w:p w14:paraId="6D144711" w14:textId="21BC3853" w:rsidR="00537CC8" w:rsidRPr="0025250D" w:rsidRDefault="00537CC8" w:rsidP="00537CC8">
      <w:pPr>
        <w:rPr>
          <w:rtl/>
        </w:rPr>
      </w:pPr>
      <w:r w:rsidRPr="0025250D">
        <w:rPr>
          <w:rtl/>
        </w:rPr>
        <w:t>آینده‌نگاری</w:t>
      </w:r>
      <w:r w:rsidRPr="0025250D">
        <w:rPr>
          <w:rFonts w:hint="cs"/>
          <w:rtl/>
        </w:rPr>
        <w:t xml:space="preserve"> </w:t>
      </w:r>
      <w:r w:rsidR="002A38BD" w:rsidRPr="0025250D">
        <w:rPr>
          <w:rFonts w:hint="cs"/>
          <w:rtl/>
        </w:rPr>
        <w:t>غیرتخصصی</w:t>
      </w:r>
      <w:r w:rsidR="00186393" w:rsidRPr="0025250D">
        <w:rPr>
          <w:rStyle w:val="FootnoteReference"/>
          <w:rtl/>
        </w:rPr>
        <w:footnoteReference w:id="3025"/>
      </w:r>
      <w:r w:rsidRPr="0025250D">
        <w:rPr>
          <w:rtl/>
        </w:rPr>
        <w:t xml:space="preserve"> </w:t>
      </w:r>
      <w:r w:rsidRPr="0025250D">
        <w:rPr>
          <w:rFonts w:hint="cs"/>
          <w:rtl/>
        </w:rPr>
        <w:t>همچنین بهار‌ها و زمستان‌های آشفته‌ای داشته است، اما آن‌ها متعادل‌تر به نظر می‌رسند. علاقه عموم مردم به آینده همه چیز</w:t>
      </w:r>
      <w:r w:rsidRPr="0025250D">
        <w:rPr>
          <w:rFonts w:hint="cs"/>
          <w:vertAlign w:val="superscript"/>
          <w:rtl/>
        </w:rPr>
        <w:t xml:space="preserve"> </w:t>
      </w:r>
      <w:r w:rsidRPr="0025250D">
        <w:rPr>
          <w:rFonts w:hint="cs"/>
          <w:rtl/>
        </w:rPr>
        <w:t xml:space="preserve">به شکل بحث برانگیزی به صورت برابرتری نسبت به </w:t>
      </w:r>
      <w:r w:rsidRPr="0025250D">
        <w:rPr>
          <w:rtl/>
        </w:rPr>
        <w:t>آینده‌نگاری</w:t>
      </w:r>
      <w:r w:rsidRPr="0025250D">
        <w:rPr>
          <w:rFonts w:hint="cs"/>
          <w:rtl/>
        </w:rPr>
        <w:t xml:space="preserve"> تخصصی، حداقل از دهه 1960 رشد کرده است. حتی در طول دهه مادی گرایی 1980، مجلات آینده محور مانند اومنی</w:t>
      </w:r>
      <w:r w:rsidRPr="0025250D">
        <w:rPr>
          <w:vertAlign w:val="superscript"/>
          <w:rtl/>
        </w:rPr>
        <w:footnoteReference w:id="3026"/>
      </w:r>
      <w:r w:rsidRPr="0025250D">
        <w:rPr>
          <w:rFonts w:hint="cs"/>
          <w:rtl/>
        </w:rPr>
        <w:t xml:space="preserve"> و ویرد</w:t>
      </w:r>
      <w:r w:rsidRPr="0025250D">
        <w:rPr>
          <w:vertAlign w:val="superscript"/>
          <w:rtl/>
        </w:rPr>
        <w:footnoteReference w:id="3027"/>
      </w:r>
      <w:r w:rsidRPr="0025250D">
        <w:rPr>
          <w:rFonts w:hint="cs"/>
          <w:rtl/>
        </w:rPr>
        <w:t xml:space="preserve"> میلیون‌ها دنبال کننده یافتند که مجلات دهه 1970 مانند فیوچریست</w:t>
      </w:r>
      <w:r w:rsidRPr="0025250D">
        <w:rPr>
          <w:vertAlign w:val="superscript"/>
          <w:rtl/>
        </w:rPr>
        <w:footnoteReference w:id="3028"/>
      </w:r>
      <w:r w:rsidRPr="0025250D">
        <w:rPr>
          <w:rFonts w:hint="cs"/>
          <w:rtl/>
        </w:rPr>
        <w:t xml:space="preserve"> را کوچک جلوه می‌دادند. ما همچنین شاهد رشدی پایدار در استفاده از فعالیت‌های مرتبط با آینده در ادبیات به مرور زمان و یک رشد نمایی متوسط در عضویت در گروه‌های مرتبط با آینده به صورت آنلاین، بوده ایم.</w:t>
      </w:r>
    </w:p>
    <w:p w14:paraId="3DF75774" w14:textId="0A3985BD" w:rsidR="00537CC8" w:rsidRPr="0025250D" w:rsidRDefault="00537CC8" w:rsidP="00537CC8">
      <w:pPr>
        <w:rPr>
          <w:rtl/>
        </w:rPr>
      </w:pPr>
      <w:r w:rsidRPr="0025250D">
        <w:rPr>
          <w:rtl/>
        </w:rPr>
        <w:t>آینده‌نگاری</w:t>
      </w:r>
      <w:r w:rsidRPr="0025250D">
        <w:rPr>
          <w:rFonts w:hint="cs"/>
          <w:rtl/>
        </w:rPr>
        <w:t xml:space="preserve"> تخصصی بار دیگر، به ویژه پس از ابرنواختر دیجیتالی ما در سال 2008، یک چرخه رو به رشد است. ما سال 2010 یا همان حدود را آغاز آخرین بهار </w:t>
      </w:r>
      <w:r w:rsidRPr="0025250D">
        <w:rPr>
          <w:rtl/>
        </w:rPr>
        <w:t>آینده‌نگاری</w:t>
      </w:r>
      <w:r w:rsidRPr="0025250D">
        <w:rPr>
          <w:rFonts w:hint="cs"/>
          <w:rtl/>
        </w:rPr>
        <w:t xml:space="preserve"> می‌دانیم. به نظر می‌توان گفت که فعالیت‌های تخصصی اکنون بزرگتر از هر زمان دیگری هستند. </w:t>
      </w:r>
      <w:r w:rsidRPr="0025250D">
        <w:rPr>
          <w:rtl/>
        </w:rPr>
        <w:t>آینده‌نگار</w:t>
      </w:r>
      <w:r w:rsidRPr="0025250D">
        <w:rPr>
          <w:rFonts w:hint="cs"/>
          <w:rtl/>
        </w:rPr>
        <w:t xml:space="preserve">ان و </w:t>
      </w:r>
      <w:r w:rsidR="00D92F6E" w:rsidRPr="0025250D">
        <w:rPr>
          <w:rFonts w:hint="cs"/>
          <w:rtl/>
        </w:rPr>
        <w:t>آینده‌پژوه</w:t>
      </w:r>
      <w:r w:rsidRPr="0025250D">
        <w:rPr>
          <w:rFonts w:hint="cs"/>
          <w:rtl/>
        </w:rPr>
        <w:t>ان بیش‌تری احتمالا امروزه در تجارت و دولت نسبت به هر زمان دیگری در تاریخ ما کار می‌کنند و قطعا این تعداد بیش‌تر هم خواهد شد.</w:t>
      </w:r>
    </w:p>
    <w:p w14:paraId="54E2D5C8" w14:textId="75095C39" w:rsidR="00537CC8" w:rsidRPr="0025250D" w:rsidRDefault="00537CC8" w:rsidP="00537CC8">
      <w:pPr>
        <w:rPr>
          <w:rtl/>
        </w:rPr>
      </w:pPr>
      <w:r w:rsidRPr="0025250D">
        <w:rPr>
          <w:rFonts w:hint="cs"/>
          <w:rtl/>
        </w:rPr>
        <w:t>از منظر عمومی، با ادامه بهبود هوش ماشینی، می‌توانیم انتظار رواج چشم‌اندازهای محبوب، هم مثبت و هم منفی، از آینده را داشته باشیم. ما به تازگی شاهد اولین نسل از فیلم‌های هوش مصنوعی، رباتیک، ابر-انسان‌ها، بارگذاری و دگرگونی بشری بوده ایم. تعداد کمی از این موارد تولید</w:t>
      </w:r>
      <w:r w:rsidR="00923DDB" w:rsidRPr="0025250D">
        <w:rPr>
          <w:rFonts w:hint="cs"/>
          <w:rtl/>
        </w:rPr>
        <w:t>کننده‌ای</w:t>
      </w:r>
      <w:r w:rsidRPr="0025250D">
        <w:rPr>
          <w:rtl/>
        </w:rPr>
        <w:t>نده‌نگاری</w:t>
      </w:r>
      <w:r w:rsidRPr="0025250D">
        <w:rPr>
          <w:rFonts w:hint="cs"/>
          <w:rtl/>
        </w:rPr>
        <w:t xml:space="preserve"> نیز </w:t>
      </w:r>
      <w:r w:rsidR="00B124DE" w:rsidRPr="0025250D">
        <w:rPr>
          <w:rFonts w:hint="cs"/>
          <w:rtl/>
        </w:rPr>
        <w:t>بوده‌اند</w:t>
      </w:r>
      <w:r w:rsidRPr="0025250D">
        <w:rPr>
          <w:rFonts w:hint="cs"/>
          <w:rtl/>
        </w:rPr>
        <w:t>. گزارش اقلیت</w:t>
      </w:r>
      <w:r w:rsidRPr="0025250D">
        <w:rPr>
          <w:vertAlign w:val="superscript"/>
          <w:rtl/>
        </w:rPr>
        <w:footnoteReference w:id="3029"/>
      </w:r>
      <w:r w:rsidRPr="0025250D">
        <w:rPr>
          <w:rFonts w:hint="cs"/>
          <w:rtl/>
        </w:rPr>
        <w:t xml:space="preserve"> در سال 2005 توسط فیلمساز </w:t>
      </w:r>
      <w:r w:rsidR="00D92F6E" w:rsidRPr="0025250D">
        <w:rPr>
          <w:rFonts w:hint="cs"/>
          <w:rtl/>
        </w:rPr>
        <w:t>آینده‌پژوه</w:t>
      </w:r>
      <w:r w:rsidRPr="0025250D">
        <w:rPr>
          <w:rFonts w:hint="cs"/>
          <w:rtl/>
        </w:rPr>
        <w:t xml:space="preserve"> </w:t>
      </w:r>
      <w:r w:rsidRPr="0025250D">
        <w:rPr>
          <w:rtl/>
        </w:rPr>
        <w:t>است</w:t>
      </w:r>
      <w:r w:rsidRPr="0025250D">
        <w:rPr>
          <w:rFonts w:hint="cs"/>
          <w:rtl/>
        </w:rPr>
        <w:t>ی</w:t>
      </w:r>
      <w:r w:rsidRPr="0025250D">
        <w:rPr>
          <w:rFonts w:hint="eastAsia"/>
          <w:rtl/>
        </w:rPr>
        <w:t>ون</w:t>
      </w:r>
      <w:r w:rsidRPr="0025250D">
        <w:rPr>
          <w:rtl/>
        </w:rPr>
        <w:t xml:space="preserve"> اسپ</w:t>
      </w:r>
      <w:r w:rsidRPr="0025250D">
        <w:rPr>
          <w:rFonts w:hint="cs"/>
          <w:rtl/>
        </w:rPr>
        <w:t>ی</w:t>
      </w:r>
      <w:r w:rsidRPr="0025250D">
        <w:rPr>
          <w:rFonts w:hint="eastAsia"/>
          <w:rtl/>
        </w:rPr>
        <w:t>لبرگ</w:t>
      </w:r>
      <w:r w:rsidRPr="0025250D">
        <w:rPr>
          <w:vertAlign w:val="superscript"/>
          <w:rtl/>
        </w:rPr>
        <w:footnoteReference w:id="3030"/>
      </w:r>
      <w:r w:rsidRPr="0025250D">
        <w:rPr>
          <w:rFonts w:hint="cs"/>
          <w:rtl/>
        </w:rPr>
        <w:t xml:space="preserve"> (خالق فیلم‌های برخورد نزدیک، پارک ژوراسیک، هوش مصنوعی، بازیکن شماره یک آماده</w:t>
      </w:r>
      <w:r w:rsidRPr="0025250D">
        <w:rPr>
          <w:vertAlign w:val="superscript"/>
          <w:rtl/>
        </w:rPr>
        <w:footnoteReference w:id="3031"/>
      </w:r>
      <w:r w:rsidRPr="0025250D">
        <w:rPr>
          <w:rFonts w:hint="cs"/>
          <w:rtl/>
        </w:rPr>
        <w:t xml:space="preserve">) که جهان اشباع شده با تبلیغات را در فرایندی دقیق از تحقیقات </w:t>
      </w:r>
      <w:r w:rsidRPr="0025250D">
        <w:rPr>
          <w:rtl/>
        </w:rPr>
        <w:t>آینده‌نگاری</w:t>
      </w:r>
      <w:r w:rsidRPr="0025250D">
        <w:rPr>
          <w:rFonts w:hint="cs"/>
          <w:rtl/>
        </w:rPr>
        <w:t xml:space="preserve"> خلق نموده بود، به یادآورید. </w:t>
      </w:r>
      <w:r w:rsidRPr="0025250D">
        <w:rPr>
          <w:rtl/>
        </w:rPr>
        <w:t>با ا</w:t>
      </w:r>
      <w:r w:rsidRPr="0025250D">
        <w:rPr>
          <w:rFonts w:hint="cs"/>
          <w:rtl/>
        </w:rPr>
        <w:t>ی</w:t>
      </w:r>
      <w:r w:rsidRPr="0025250D">
        <w:rPr>
          <w:rFonts w:hint="eastAsia"/>
          <w:rtl/>
        </w:rPr>
        <w:t>ن</w:t>
      </w:r>
      <w:r w:rsidRPr="0025250D">
        <w:rPr>
          <w:rtl/>
        </w:rPr>
        <w:t xml:space="preserve"> حال ب</w:t>
      </w:r>
      <w:r w:rsidRPr="0025250D">
        <w:rPr>
          <w:rFonts w:hint="cs"/>
          <w:rtl/>
        </w:rPr>
        <w:t>ی</w:t>
      </w:r>
      <w:r w:rsidRPr="0025250D">
        <w:rPr>
          <w:rFonts w:hint="eastAsia"/>
          <w:rtl/>
        </w:rPr>
        <w:t>شتر</w:t>
      </w:r>
      <w:r w:rsidRPr="0025250D">
        <w:rPr>
          <w:rtl/>
        </w:rPr>
        <w:t xml:space="preserve"> ا</w:t>
      </w:r>
      <w:r w:rsidRPr="0025250D">
        <w:rPr>
          <w:rFonts w:hint="cs"/>
          <w:rtl/>
        </w:rPr>
        <w:t>ی</w:t>
      </w:r>
      <w:r w:rsidRPr="0025250D">
        <w:rPr>
          <w:rFonts w:hint="eastAsia"/>
          <w:rtl/>
        </w:rPr>
        <w:t>ن</w:t>
      </w:r>
      <w:r w:rsidRPr="0025250D">
        <w:rPr>
          <w:rtl/>
        </w:rPr>
        <w:t xml:space="preserve"> ف</w:t>
      </w:r>
      <w:r w:rsidRPr="0025250D">
        <w:rPr>
          <w:rFonts w:hint="cs"/>
          <w:rtl/>
        </w:rPr>
        <w:t>ی</w:t>
      </w:r>
      <w:r w:rsidRPr="0025250D">
        <w:rPr>
          <w:rFonts w:hint="eastAsia"/>
          <w:rtl/>
        </w:rPr>
        <w:t>لم</w:t>
      </w:r>
      <w:r w:rsidRPr="0025250D">
        <w:rPr>
          <w:rtl/>
        </w:rPr>
        <w:t>‌های جد</w:t>
      </w:r>
      <w:r w:rsidRPr="0025250D">
        <w:rPr>
          <w:rFonts w:hint="cs"/>
          <w:rtl/>
        </w:rPr>
        <w:t>ی</w:t>
      </w:r>
      <w:r w:rsidRPr="0025250D">
        <w:rPr>
          <w:rFonts w:hint="eastAsia"/>
          <w:rtl/>
        </w:rPr>
        <w:t>د</w:t>
      </w:r>
      <w:r w:rsidRPr="0025250D">
        <w:rPr>
          <w:rtl/>
        </w:rPr>
        <w:t xml:space="preserve"> صرفا سرگرم کننده هستند.</w:t>
      </w:r>
      <w:r w:rsidRPr="0025250D">
        <w:rPr>
          <w:rFonts w:hint="cs"/>
          <w:rtl/>
        </w:rPr>
        <w:t xml:space="preserve"> مثل همیشه، بسیاری از مواردی که محبوبیت دارند، اولویت پایینی برای صرف توجه و انرژی </w:t>
      </w:r>
      <w:r w:rsidRPr="0025250D">
        <w:rPr>
          <w:rtl/>
        </w:rPr>
        <w:t>آینده‌نگاری</w:t>
      </w:r>
      <w:r w:rsidRPr="0025250D">
        <w:rPr>
          <w:rFonts w:hint="cs"/>
          <w:rtl/>
        </w:rPr>
        <w:t xml:space="preserve"> دارند</w:t>
      </w:r>
      <w:r w:rsidR="008D6F97" w:rsidRPr="0025250D">
        <w:rPr>
          <w:rtl/>
        </w:rPr>
        <w:t xml:space="preserve">؛ </w:t>
      </w:r>
      <w:r w:rsidR="0020589F" w:rsidRPr="0025250D">
        <w:rPr>
          <w:rtl/>
        </w:rPr>
        <w:t>اما</w:t>
      </w:r>
      <w:r w:rsidRPr="0025250D">
        <w:rPr>
          <w:rFonts w:hint="cs"/>
          <w:rtl/>
        </w:rPr>
        <w:t xml:space="preserve"> ما باید همیشه از تغییر دورنمای </w:t>
      </w:r>
      <w:r w:rsidRPr="0025250D">
        <w:rPr>
          <w:rtl/>
        </w:rPr>
        <w:t>آینده‌نگاری</w:t>
      </w:r>
      <w:r w:rsidRPr="0025250D">
        <w:rPr>
          <w:rFonts w:hint="cs"/>
          <w:rtl/>
        </w:rPr>
        <w:t xml:space="preserve"> محبوب آگاه باشیم تا بتوانیم </w:t>
      </w:r>
      <w:r w:rsidR="00B56611" w:rsidRPr="0025250D">
        <w:rPr>
          <w:rFonts w:hint="cs"/>
          <w:rtl/>
        </w:rPr>
        <w:t>چشم‌انداز</w:t>
      </w:r>
      <w:r w:rsidRPr="0025250D">
        <w:rPr>
          <w:rFonts w:hint="cs"/>
          <w:rtl/>
        </w:rPr>
        <w:t>‌ها و انتظارات محبوب را درک کرده و کارسپاران</w:t>
      </w:r>
      <w:r w:rsidR="008D6F97" w:rsidRPr="0025250D">
        <w:rPr>
          <w:rtl/>
        </w:rPr>
        <w:t xml:space="preserve"> </w:t>
      </w:r>
      <w:r w:rsidRPr="0025250D">
        <w:rPr>
          <w:rFonts w:hint="cs"/>
          <w:rtl/>
        </w:rPr>
        <w:t xml:space="preserve">خود را از </w:t>
      </w:r>
      <w:r w:rsidR="00F50EB4" w:rsidRPr="0025250D">
        <w:rPr>
          <w:rFonts w:hint="cs"/>
          <w:rtl/>
        </w:rPr>
        <w:t>سرمایه‌گذاری</w:t>
      </w:r>
      <w:r w:rsidRPr="0025250D">
        <w:rPr>
          <w:rFonts w:hint="cs"/>
          <w:rtl/>
        </w:rPr>
        <w:t xml:space="preserve"> بیش از حد در مد‌های زود گذر و اغراق‌ها دور نگهداریم.</w:t>
      </w:r>
    </w:p>
    <w:p w14:paraId="1D302EED" w14:textId="13D6985C" w:rsidR="00537CC8" w:rsidRPr="0025250D" w:rsidRDefault="00537CC8" w:rsidP="00537CC8">
      <w:pPr>
        <w:rPr>
          <w:rtl/>
        </w:rPr>
      </w:pPr>
      <w:r w:rsidRPr="0025250D">
        <w:rPr>
          <w:rFonts w:hint="cs"/>
          <w:rtl/>
        </w:rPr>
        <w:t xml:space="preserve">همچنین باید درک کنیم که چگونه آینده‌های چهار </w:t>
      </w:r>
      <w:r w:rsidRPr="0025250D">
        <w:t>P</w:t>
      </w:r>
      <w:r w:rsidRPr="0025250D">
        <w:rPr>
          <w:rFonts w:hint="cs"/>
          <w:rtl/>
        </w:rPr>
        <w:t xml:space="preserve"> که می‌توانیم ببینیم را به شکلی که به خوبی با مفاهیم و درک محبوب از آینده تناسب داشته باشند، عرضه کنیم. برای مثال، ممکن است بدانیم که </w:t>
      </w:r>
      <w:r w:rsidRPr="0025250D">
        <w:rPr>
          <w:rtl/>
        </w:rPr>
        <w:t>ز</w:t>
      </w:r>
      <w:r w:rsidRPr="0025250D">
        <w:rPr>
          <w:rFonts w:hint="cs"/>
          <w:rtl/>
        </w:rPr>
        <w:t>ی</w:t>
      </w:r>
      <w:r w:rsidRPr="0025250D">
        <w:rPr>
          <w:rFonts w:hint="eastAsia"/>
          <w:rtl/>
        </w:rPr>
        <w:t>ست</w:t>
      </w:r>
      <w:r w:rsidRPr="0025250D">
        <w:rPr>
          <w:rtl/>
        </w:rPr>
        <w:t xml:space="preserve"> شناس</w:t>
      </w:r>
      <w:r w:rsidRPr="0025250D">
        <w:rPr>
          <w:rFonts w:hint="cs"/>
          <w:rtl/>
        </w:rPr>
        <w:t>ی</w:t>
      </w:r>
      <w:r w:rsidRPr="0025250D">
        <w:rPr>
          <w:rtl/>
        </w:rPr>
        <w:t xml:space="preserve"> مصنوع</w:t>
      </w:r>
      <w:r w:rsidRPr="0025250D">
        <w:rPr>
          <w:rFonts w:hint="cs"/>
          <w:rtl/>
        </w:rPr>
        <w:t>ی</w:t>
      </w:r>
      <w:r w:rsidRPr="0025250D">
        <w:rPr>
          <w:vertAlign w:val="superscript"/>
          <w:rtl/>
        </w:rPr>
        <w:footnoteReference w:id="3032"/>
      </w:r>
      <w:r w:rsidRPr="0025250D">
        <w:rPr>
          <w:rFonts w:hint="cs"/>
          <w:rtl/>
        </w:rPr>
        <w:t>، خودکارسازی خانگی، پرینت سه بعدی، پهپاد‌های تحویل درب منزل، تضمین‌هایی برای درآمد پایه، بلاکچین‌ها، امور مالی غیرمتمرکز یا برخی تکنیک‌های مدیریتی جدید اکنون و برای پنج تا ده سال آینده احتمالا بیش‌تر به صورت اغراق آمیز باقی خواهند ماند. آن‌ها امیدوار کننده هستند، اما به سرعتی که حامیان آن‌ها ادعا می‌کنند، رشد نمی‌کنند. اگرچه،</w:t>
      </w:r>
      <w:r w:rsidR="002C61FC" w:rsidRPr="0025250D">
        <w:rPr>
          <w:rtl/>
        </w:rPr>
        <w:t xml:space="preserve"> آن</w:t>
      </w:r>
      <w:r w:rsidRPr="0025250D">
        <w:rPr>
          <w:rFonts w:hint="cs"/>
          <w:rtl/>
        </w:rPr>
        <w:t>‌ها در حال حاضر محبوب و رایج هستند و شاید به این خاطر است که کارسپاران ما امروزه شیفته آن‌ها هستند.</w:t>
      </w:r>
    </w:p>
    <w:p w14:paraId="5C8508B2" w14:textId="3822C987" w:rsidR="00537CC8" w:rsidRPr="0025250D" w:rsidRDefault="00537CC8" w:rsidP="00537CC8">
      <w:pPr>
        <w:rPr>
          <w:rtl/>
        </w:rPr>
      </w:pPr>
      <w:r w:rsidRPr="0025250D">
        <w:rPr>
          <w:rFonts w:hint="cs"/>
          <w:rtl/>
        </w:rPr>
        <w:t xml:space="preserve">اگر توانایی کافی را </w:t>
      </w:r>
      <w:r w:rsidR="00186393" w:rsidRPr="0025250D">
        <w:rPr>
          <w:rFonts w:hint="cs"/>
          <w:rtl/>
        </w:rPr>
        <w:t xml:space="preserve">در اختیار </w:t>
      </w:r>
      <w:r w:rsidRPr="0025250D">
        <w:rPr>
          <w:rFonts w:hint="cs"/>
          <w:rtl/>
        </w:rPr>
        <w:t>داری</w:t>
      </w:r>
      <w:r w:rsidR="00186393" w:rsidRPr="0025250D">
        <w:rPr>
          <w:rFonts w:hint="cs"/>
          <w:rtl/>
        </w:rPr>
        <w:t>د</w:t>
      </w:r>
      <w:r w:rsidRPr="0025250D">
        <w:rPr>
          <w:rFonts w:hint="cs"/>
          <w:rtl/>
        </w:rPr>
        <w:t xml:space="preserve">، بیایید حوزه‌های اندکی در این </w:t>
      </w:r>
      <w:r w:rsidR="007A53FD" w:rsidRPr="0025250D">
        <w:rPr>
          <w:rFonts w:hint="cs"/>
          <w:rtl/>
        </w:rPr>
        <w:t>فناوری</w:t>
      </w:r>
      <w:r w:rsidRPr="0025250D">
        <w:rPr>
          <w:rFonts w:hint="cs"/>
          <w:rtl/>
        </w:rPr>
        <w:t xml:space="preserve">‌ها یا سیاست‌ها که با توجه به وضعیت نابالغ فعلی آن‌ها دستاورد‌هایی با دسترسی آسان‌تر دارند، شناسایی کنیم. بدون این که همواره درمورد این </w:t>
      </w:r>
      <w:r w:rsidR="007A53FD" w:rsidRPr="0025250D">
        <w:rPr>
          <w:rFonts w:hint="cs"/>
          <w:rtl/>
        </w:rPr>
        <w:t>فناوری</w:t>
      </w:r>
      <w:r w:rsidRPr="0025250D">
        <w:rPr>
          <w:rFonts w:hint="cs"/>
          <w:rtl/>
        </w:rPr>
        <w:t xml:space="preserve">‌ها یا سیاست‌ها منفی بافی کنیم، می‌توانیم به کارسپارانمان برای بهتر دیدن دیگر چالش‌های فعلی خود و تسلط بر انتظارات خود در افق‌های </w:t>
      </w:r>
      <w:r w:rsidR="0008779C" w:rsidRPr="0025250D">
        <w:rPr>
          <w:rFonts w:hint="cs"/>
          <w:rtl/>
        </w:rPr>
        <w:t>واقع‌گرا</w:t>
      </w:r>
      <w:r w:rsidRPr="0025250D">
        <w:rPr>
          <w:rFonts w:hint="cs"/>
          <w:rtl/>
        </w:rPr>
        <w:t xml:space="preserve">یانه کمک کنیم. همزمان، می‌توانیم مواردی را که در آن‌ها </w:t>
      </w:r>
      <w:r w:rsidRPr="0025250D">
        <w:rPr>
          <w:rtl/>
        </w:rPr>
        <w:t>آینده‌نگاری</w:t>
      </w:r>
      <w:r w:rsidRPr="0025250D">
        <w:rPr>
          <w:rFonts w:hint="cs"/>
          <w:rtl/>
        </w:rPr>
        <w:t xml:space="preserve"> کارسپاران ما محدود یا خودخواهانه است شناسایی کرده و به گسترش </w:t>
      </w:r>
      <w:r w:rsidR="00B56611" w:rsidRPr="0025250D">
        <w:rPr>
          <w:rFonts w:hint="cs"/>
          <w:rtl/>
        </w:rPr>
        <w:t>چشم‌انداز</w:t>
      </w:r>
      <w:r w:rsidRPr="0025250D">
        <w:rPr>
          <w:rFonts w:hint="cs"/>
          <w:rtl/>
        </w:rPr>
        <w:t xml:space="preserve"> آن‌ها کمک کنیم.</w:t>
      </w:r>
    </w:p>
    <w:p w14:paraId="76AB8341" w14:textId="77777777" w:rsidR="00537CC8" w:rsidRPr="0025250D" w:rsidRDefault="00537CC8" w:rsidP="00EF26F0">
      <w:pPr>
        <w:pStyle w:val="Heading3"/>
        <w:rPr>
          <w:rtl/>
        </w:rPr>
      </w:pPr>
      <w:r w:rsidRPr="0025250D">
        <w:rPr>
          <w:rtl/>
        </w:rPr>
        <w:t>آینده‌نگاری</w:t>
      </w:r>
      <w:r w:rsidRPr="0025250D">
        <w:rPr>
          <w:rFonts w:hint="cs"/>
          <w:rtl/>
        </w:rPr>
        <w:t xml:space="preserve"> در حال تبدیل شدن به تصویر کلان است</w:t>
      </w:r>
    </w:p>
    <w:p w14:paraId="2CD758B7" w14:textId="15E40E83" w:rsidR="00537CC8" w:rsidRPr="0025250D" w:rsidRDefault="00537CC8" w:rsidP="00537CC8">
      <w:pPr>
        <w:rPr>
          <w:rtl/>
        </w:rPr>
      </w:pPr>
      <w:r w:rsidRPr="0025250D">
        <w:rPr>
          <w:rFonts w:hint="cs"/>
          <w:rtl/>
        </w:rPr>
        <w:t xml:space="preserve">درحالی که همه این روند‌ها برای زمینه ما مفید هستند، این روند آخر می‌تواند مفید‌ترین مورد باشد. کتاب بعدی ما، </w:t>
      </w:r>
      <w:r w:rsidRPr="0025250D">
        <w:t>BPF</w:t>
      </w:r>
      <w:r w:rsidRPr="0025250D">
        <w:rPr>
          <w:rFonts w:hint="cs"/>
          <w:rtl/>
        </w:rPr>
        <w:t xml:space="preserve">، مفاهیم آن را بررسی خواهد کرد. </w:t>
      </w:r>
      <w:r w:rsidRPr="0025250D">
        <w:rPr>
          <w:rtl/>
        </w:rPr>
        <w:t>آینده‌نگاری</w:t>
      </w:r>
      <w:r w:rsidRPr="0025250D">
        <w:rPr>
          <w:rFonts w:hint="cs"/>
          <w:rtl/>
        </w:rPr>
        <w:t xml:space="preserve"> تصویر کلان</w:t>
      </w:r>
      <w:r w:rsidRPr="0025250D">
        <w:rPr>
          <w:vertAlign w:val="superscript"/>
          <w:rtl/>
        </w:rPr>
        <w:footnoteReference w:id="3033"/>
      </w:r>
      <w:r w:rsidRPr="0025250D">
        <w:rPr>
          <w:rFonts w:hint="cs"/>
          <w:rtl/>
        </w:rPr>
        <w:t xml:space="preserve"> به دیدگاه کلی، این که به نظر ما جهان و کیهان چگونه ساخته </w:t>
      </w:r>
      <w:r w:rsidR="00185F3E" w:rsidRPr="0025250D">
        <w:rPr>
          <w:rFonts w:hint="cs"/>
          <w:rtl/>
        </w:rPr>
        <w:t>شده‌اند</w:t>
      </w:r>
      <w:r w:rsidRPr="0025250D">
        <w:rPr>
          <w:rFonts w:hint="cs"/>
          <w:rtl/>
        </w:rPr>
        <w:t xml:space="preserve">، مربوط می‌شود. این </w:t>
      </w:r>
      <w:r w:rsidRPr="0025250D">
        <w:rPr>
          <w:rtl/>
        </w:rPr>
        <w:t>آینده‌نگاری</w:t>
      </w:r>
      <w:r w:rsidRPr="0025250D">
        <w:rPr>
          <w:rFonts w:hint="cs"/>
          <w:rtl/>
        </w:rPr>
        <w:t xml:space="preserve"> به بزرگترین و ارزشمند‌ترین </w:t>
      </w:r>
      <w:r w:rsidR="008D6F97" w:rsidRPr="0025250D">
        <w:rPr>
          <w:rFonts w:hint="cs"/>
          <w:rtl/>
        </w:rPr>
        <w:t>سامانه‌</w:t>
      </w:r>
      <w:r w:rsidRPr="0025250D">
        <w:rPr>
          <w:rFonts w:hint="cs"/>
          <w:rtl/>
        </w:rPr>
        <w:t xml:space="preserve">‌های پیچیده‌ای که می‌شناسیم، مانند جامعه انسانی و فنّاوری مربوط می‌شود. این </w:t>
      </w:r>
      <w:r w:rsidRPr="0025250D">
        <w:rPr>
          <w:rtl/>
        </w:rPr>
        <w:t>آینده‌نگاری</w:t>
      </w:r>
      <w:r w:rsidRPr="0025250D">
        <w:rPr>
          <w:rFonts w:hint="cs"/>
          <w:rtl/>
        </w:rPr>
        <w:t xml:space="preserve"> همچنین به بزرگترین سؤالات ما مربوط می‌شود؛ </w:t>
      </w:r>
      <w:r w:rsidR="002C61FC" w:rsidRPr="0025250D">
        <w:rPr>
          <w:rtl/>
        </w:rPr>
        <w:t>مانند</w:t>
      </w:r>
      <w:r w:rsidRPr="0025250D">
        <w:rPr>
          <w:rFonts w:hint="cs"/>
          <w:rtl/>
        </w:rPr>
        <w:t xml:space="preserve"> تغییر </w:t>
      </w:r>
      <w:r w:rsidR="007B3B35" w:rsidRPr="0025250D">
        <w:rPr>
          <w:rFonts w:hint="cs"/>
          <w:rtl/>
        </w:rPr>
        <w:t>شتاب‌گیر</w:t>
      </w:r>
      <w:r w:rsidRPr="0025250D">
        <w:rPr>
          <w:rFonts w:hint="cs"/>
          <w:rtl/>
        </w:rPr>
        <w:t xml:space="preserve">نده چیست؟ چه مواردی درمورد قرن 21 قابل </w:t>
      </w:r>
      <w:r w:rsidR="00D92F6E" w:rsidRPr="0025250D">
        <w:rPr>
          <w:rFonts w:hint="cs"/>
          <w:rtl/>
        </w:rPr>
        <w:t>پیش‌بین</w:t>
      </w:r>
      <w:r w:rsidRPr="0025250D">
        <w:rPr>
          <w:rFonts w:hint="cs"/>
          <w:rtl/>
        </w:rPr>
        <w:t xml:space="preserve">ی و چه مواردی غیر قابل </w:t>
      </w:r>
      <w:r w:rsidR="00D92F6E" w:rsidRPr="0025250D">
        <w:rPr>
          <w:rFonts w:hint="cs"/>
          <w:rtl/>
        </w:rPr>
        <w:t>پیش‌بین</w:t>
      </w:r>
      <w:r w:rsidRPr="0025250D">
        <w:rPr>
          <w:rFonts w:hint="cs"/>
          <w:rtl/>
        </w:rPr>
        <w:t xml:space="preserve">ی هستند؟ چگونه </w:t>
      </w:r>
      <w:r w:rsidR="00B124DE" w:rsidRPr="0025250D">
        <w:rPr>
          <w:rFonts w:hint="cs"/>
          <w:rtl/>
        </w:rPr>
        <w:t>انطباق‌پذیر</w:t>
      </w:r>
      <w:r w:rsidRPr="0025250D">
        <w:rPr>
          <w:rFonts w:hint="cs"/>
          <w:rtl/>
        </w:rPr>
        <w:t xml:space="preserve"> شده و </w:t>
      </w:r>
      <w:r w:rsidR="00B124DE" w:rsidRPr="0025250D">
        <w:rPr>
          <w:rFonts w:hint="cs"/>
          <w:rtl/>
        </w:rPr>
        <w:t>انطباق‌پذیر</w:t>
      </w:r>
      <w:r w:rsidRPr="0025250D">
        <w:rPr>
          <w:rFonts w:hint="cs"/>
          <w:rtl/>
        </w:rPr>
        <w:t xml:space="preserve"> می‌مانیم؟ بنابراین </w:t>
      </w:r>
      <w:r w:rsidRPr="0025250D">
        <w:rPr>
          <w:rtl/>
        </w:rPr>
        <w:t>آینده‌نگاری</w:t>
      </w:r>
      <w:r w:rsidRPr="0025250D">
        <w:rPr>
          <w:rFonts w:hint="cs"/>
          <w:rtl/>
        </w:rPr>
        <w:t xml:space="preserve"> تصویر کلان، </w:t>
      </w:r>
      <w:r w:rsidR="007118DE" w:rsidRPr="0025250D">
        <w:rPr>
          <w:rFonts w:hint="cs"/>
          <w:rtl/>
        </w:rPr>
        <w:t>همان‌طور</w:t>
      </w:r>
      <w:r w:rsidRPr="0025250D">
        <w:rPr>
          <w:rFonts w:hint="cs"/>
          <w:rtl/>
        </w:rPr>
        <w:t xml:space="preserve"> که آن را تعریف می‌کنیم، به شناسایی روندهای جهانی و فراگیر ظاهری و یادگیری درمورد این که چگونه با آن‌ها همراستا شویم و جهان را در جهت حرکت به سوی پیشرفت تدریجی نگه داریم و </w:t>
      </w:r>
      <w:r w:rsidRPr="0025250D">
        <w:t>ADOR</w:t>
      </w:r>
      <w:r w:rsidRPr="0025250D">
        <w:rPr>
          <w:rFonts w:hint="cs"/>
          <w:rtl/>
        </w:rPr>
        <w:t xml:space="preserve"> تولیدی آن‌ها را مدیریت کنیم، مربوط می‌شود. یک نکته این است که همه جوامع جهان با دیجیتالی شدن و صنعتی شدن به سمت ویژگی‌های مشترک آینده حرکت می‌کنند</w:t>
      </w:r>
      <w:r w:rsidR="008D6F97" w:rsidRPr="0025250D">
        <w:rPr>
          <w:rtl/>
        </w:rPr>
        <w:t xml:space="preserve">؛ </w:t>
      </w:r>
      <w:r w:rsidRPr="0025250D">
        <w:rPr>
          <w:rFonts w:hint="cs"/>
          <w:rtl/>
        </w:rPr>
        <w:t xml:space="preserve">اما یک نکته دیگر این است که ارزش‌ها، آرمان‌ها و اهداف فراوانی برای همه شهروندان بر روی سیاراتی مانند زمین وجود دارند. با این حال ما متقاعد شده ایم که دیدگاه فراگیر و جهانی همان چیزی است </w:t>
      </w:r>
      <w:r w:rsidRPr="0025250D">
        <w:rPr>
          <w:rtl/>
        </w:rPr>
        <w:t>آینده‌نگاری</w:t>
      </w:r>
      <w:r w:rsidRPr="0025250D">
        <w:rPr>
          <w:rFonts w:hint="cs"/>
          <w:rtl/>
        </w:rPr>
        <w:t xml:space="preserve"> تصویر کلان به شکلی فزاینده با رشد خود در دهه‌های آینده ارائه خواهد کرد.</w:t>
      </w:r>
    </w:p>
    <w:p w14:paraId="5C7320F2" w14:textId="77777777" w:rsidR="00537CC8" w:rsidRPr="0025250D" w:rsidRDefault="00537CC8" w:rsidP="00537CC8">
      <w:pPr>
        <w:rPr>
          <w:rtl/>
        </w:rPr>
      </w:pPr>
      <w:r w:rsidRPr="0025250D">
        <w:rPr>
          <w:rFonts w:hint="cs"/>
          <w:rtl/>
        </w:rPr>
        <w:t xml:space="preserve">بشر اکنون به صورت فعال فرا‌تر از سیاره زمین را نگاه می‌کند تا بپرسد که جایگاهش در کل کیهان کجاست. به لطف علوم </w:t>
      </w:r>
      <w:r w:rsidRPr="0025250D">
        <w:rPr>
          <w:rtl/>
        </w:rPr>
        <w:t>در حال ظهور</w:t>
      </w:r>
      <w:r w:rsidRPr="0025250D">
        <w:rPr>
          <w:rFonts w:hint="cs"/>
          <w:rtl/>
        </w:rPr>
        <w:t>ی مانند شبیه سازی، تکامل همگرا و زیست شناسی فضایی، ممکن است به زودی در یابیم که حیات در همه جا وجود دارد و بیش از پیش قادر باشیم که از طریق شبیه سازی‌ها اثبات کنیم که همه پیچیدگی‌های فراگیر در محیط‌های مشابه در معرض تکامل همگرا (شکلی از توسعه فراگیر) هستند؛ یک همگرایی که آن را به شکل‌ها و کارکرد‌های قطعی به شدت تعیین شده‌تر در آینده راهنمایی می‌کند.</w:t>
      </w:r>
    </w:p>
    <w:p w14:paraId="47C3D428" w14:textId="2AC7C159" w:rsidR="00537CC8" w:rsidRPr="0025250D" w:rsidRDefault="00537CC8" w:rsidP="00537CC8">
      <w:pPr>
        <w:rPr>
          <w:rtl/>
        </w:rPr>
      </w:pPr>
      <w:r w:rsidRPr="0025250D">
        <w:rPr>
          <w:rFonts w:hint="cs"/>
          <w:rtl/>
        </w:rPr>
        <w:t xml:space="preserve">یکی از پایه ای‌ترین پیشنهادات این همگرایی قابل </w:t>
      </w:r>
      <w:r w:rsidR="00D92F6E" w:rsidRPr="0025250D">
        <w:rPr>
          <w:rFonts w:hint="cs"/>
          <w:rtl/>
        </w:rPr>
        <w:t>پیش‌بین</w:t>
      </w:r>
      <w:r w:rsidRPr="0025250D">
        <w:rPr>
          <w:rFonts w:hint="cs"/>
          <w:rtl/>
        </w:rPr>
        <w:t xml:space="preserve">ی این است که همه پیچیدگی فراگیر جهانی ممکن است در یک سلسله مراتب توسعه‌ای آشکار شود، به شکلی که </w:t>
      </w:r>
      <w:r w:rsidR="008D6F97" w:rsidRPr="0025250D">
        <w:rPr>
          <w:rFonts w:hint="cs"/>
          <w:rtl/>
        </w:rPr>
        <w:t>سامانه‌</w:t>
      </w:r>
      <w:r w:rsidRPr="0025250D">
        <w:rPr>
          <w:rFonts w:hint="cs"/>
          <w:rtl/>
        </w:rPr>
        <w:t xml:space="preserve">‌های پیچیده کهن الگو در هر لایه جدید پدیدار شوند و هر لایه جدید هوشمند‌تر، </w:t>
      </w:r>
      <w:r w:rsidR="00B124DE" w:rsidRPr="0025250D">
        <w:rPr>
          <w:rFonts w:hint="cs"/>
          <w:rtl/>
        </w:rPr>
        <w:t>انطباق‌پذیر</w:t>
      </w:r>
      <w:r w:rsidRPr="0025250D">
        <w:rPr>
          <w:rFonts w:hint="cs"/>
          <w:rtl/>
        </w:rPr>
        <w:t>‌تر و منعطف‌تر از قبلی باشد. یک نسخه کلاسیک از یک سلسله مراتب توسعه‌ای فراگیر در جدول زیر خلاصه سازی شده است:</w:t>
      </w:r>
    </w:p>
    <w:p w14:paraId="3EAEE01E" w14:textId="0444194E" w:rsidR="00537CC8" w:rsidRPr="0025250D" w:rsidRDefault="00537CC8" w:rsidP="00537CC8">
      <w:pPr>
        <w:rPr>
          <w:rtl/>
        </w:rPr>
      </w:pPr>
      <w:r w:rsidRPr="0025250D">
        <w:rPr>
          <w:rFonts w:hint="cs"/>
          <w:rtl/>
        </w:rPr>
        <w:t>جدول</w:t>
      </w:r>
      <w:r w:rsidRPr="0025250D">
        <w:rPr>
          <w:rtl/>
        </w:rPr>
        <w:t xml:space="preserve"> </w:t>
      </w:r>
      <w:r w:rsidRPr="0025250D">
        <w:rPr>
          <w:rtl/>
        </w:rPr>
        <w:fldChar w:fldCharType="begin"/>
      </w:r>
      <w:r w:rsidRPr="0025250D">
        <w:rPr>
          <w:rtl/>
        </w:rPr>
        <w:instrText xml:space="preserve"> </w:instrText>
      </w:r>
      <w:r w:rsidRPr="0025250D">
        <w:rPr>
          <w:rFonts w:hint="cs"/>
        </w:rPr>
        <w:instrText>SEQ</w:instrText>
      </w:r>
      <w:r w:rsidRPr="0025250D">
        <w:rPr>
          <w:rFonts w:hint="cs"/>
          <w:rtl/>
        </w:rPr>
        <w:instrText xml:space="preserve"> جدول \* </w:instrText>
      </w:r>
      <w:r w:rsidRPr="0025250D">
        <w:rPr>
          <w:rFonts w:hint="cs"/>
        </w:rPr>
        <w:instrText>ARABIC</w:instrText>
      </w:r>
      <w:r w:rsidRPr="0025250D">
        <w:rPr>
          <w:rtl/>
        </w:rPr>
        <w:instrText xml:space="preserve"> </w:instrText>
      </w:r>
      <w:r w:rsidRPr="0025250D">
        <w:rPr>
          <w:rtl/>
        </w:rPr>
        <w:fldChar w:fldCharType="separate"/>
      </w:r>
      <w:r w:rsidR="00EB514D" w:rsidRPr="0025250D">
        <w:rPr>
          <w:noProof/>
          <w:rtl/>
        </w:rPr>
        <w:t>2</w:t>
      </w:r>
      <w:r w:rsidRPr="0025250D">
        <w:rPr>
          <w:rtl/>
        </w:rPr>
        <w:fldChar w:fldCharType="end"/>
      </w:r>
      <w:r w:rsidRPr="0025250D">
        <w:rPr>
          <w:rFonts w:hint="cs"/>
          <w:rtl/>
        </w:rPr>
        <w:t xml:space="preserve"> پنج سلسله مراتب فراگیر ظاهرا عمومی و </w:t>
      </w:r>
      <w:r w:rsidR="008D6F97" w:rsidRPr="0025250D">
        <w:rPr>
          <w:rFonts w:hint="cs"/>
          <w:rtl/>
        </w:rPr>
        <w:t>سامانه‌</w:t>
      </w:r>
      <w:r w:rsidRPr="0025250D">
        <w:rPr>
          <w:rFonts w:hint="cs"/>
          <w:rtl/>
        </w:rPr>
        <w:t xml:space="preserve">‌های </w:t>
      </w:r>
      <w:r w:rsidR="00B124DE" w:rsidRPr="0025250D">
        <w:rPr>
          <w:rFonts w:hint="cs"/>
          <w:rtl/>
        </w:rPr>
        <w:t>انطباق‌پذیر</w:t>
      </w:r>
      <w:r w:rsidRPr="0025250D">
        <w:rPr>
          <w:rFonts w:hint="cs"/>
          <w:rtl/>
        </w:rPr>
        <w:t xml:space="preserve"> پیچیده نمونه در هر</w:t>
      </w:r>
      <w:r w:rsidR="008D6F97" w:rsidRPr="0025250D">
        <w:rPr>
          <w:rtl/>
        </w:rPr>
        <w:t xml:space="preserve"> </w:t>
      </w:r>
      <w:r w:rsidRPr="0025250D">
        <w:rPr>
          <w:rFonts w:hint="cs"/>
          <w:rtl/>
        </w:rPr>
        <w:t>سطح</w:t>
      </w:r>
    </w:p>
    <w:tbl>
      <w:tblPr>
        <w:tblStyle w:val="TableGrid"/>
        <w:bidiVisual/>
        <w:tblW w:w="0" w:type="auto"/>
        <w:shd w:val="clear" w:color="auto" w:fill="FFFFFF" w:themeFill="background1"/>
        <w:tblLook w:val="04A0" w:firstRow="1" w:lastRow="0" w:firstColumn="1" w:lastColumn="0" w:noHBand="0" w:noVBand="1"/>
      </w:tblPr>
      <w:tblGrid>
        <w:gridCol w:w="2266"/>
        <w:gridCol w:w="6750"/>
      </w:tblGrid>
      <w:tr w:rsidR="00537CC8" w:rsidRPr="0025250D" w14:paraId="66F66B98" w14:textId="77777777" w:rsidTr="00A07BC9">
        <w:tc>
          <w:tcPr>
            <w:tcW w:w="2266" w:type="dxa"/>
            <w:shd w:val="clear" w:color="auto" w:fill="D9D9D9" w:themeFill="background1" w:themeFillShade="D9"/>
            <w:vAlign w:val="center"/>
          </w:tcPr>
          <w:p w14:paraId="55D8B3B7" w14:textId="716EDB92" w:rsidR="00537CC8" w:rsidRPr="0025250D" w:rsidRDefault="00537CC8" w:rsidP="00A07BC9">
            <w:pPr>
              <w:bidi/>
              <w:spacing w:after="160"/>
              <w:jc w:val="left"/>
              <w:rPr>
                <w:rtl/>
              </w:rPr>
            </w:pPr>
            <w:r w:rsidRPr="0025250D">
              <w:rPr>
                <w:rFonts w:hint="cs"/>
                <w:rtl/>
              </w:rPr>
              <w:t>سلسله</w:t>
            </w:r>
            <w:r w:rsidRPr="0025250D">
              <w:rPr>
                <w:rtl/>
              </w:rPr>
              <w:t xml:space="preserve"> </w:t>
            </w:r>
            <w:r w:rsidRPr="0025250D">
              <w:rPr>
                <w:rFonts w:hint="cs"/>
                <w:rtl/>
              </w:rPr>
              <w:t>مراتب‌های فراگیر</w:t>
            </w:r>
          </w:p>
        </w:tc>
        <w:tc>
          <w:tcPr>
            <w:tcW w:w="6750" w:type="dxa"/>
            <w:shd w:val="clear" w:color="auto" w:fill="D9D9D9" w:themeFill="background1" w:themeFillShade="D9"/>
            <w:vAlign w:val="center"/>
          </w:tcPr>
          <w:p w14:paraId="757364FE" w14:textId="6C3BEC0A" w:rsidR="00537CC8" w:rsidRPr="0025250D" w:rsidRDefault="008D6F97" w:rsidP="00A07BC9">
            <w:pPr>
              <w:bidi/>
              <w:spacing w:after="160"/>
              <w:jc w:val="left"/>
              <w:rPr>
                <w:rtl/>
              </w:rPr>
            </w:pPr>
            <w:r w:rsidRPr="0025250D">
              <w:rPr>
                <w:rFonts w:hint="cs"/>
                <w:rtl/>
              </w:rPr>
              <w:t>سامانه‌</w:t>
            </w:r>
            <w:r w:rsidR="00537CC8" w:rsidRPr="0025250D">
              <w:rPr>
                <w:rtl/>
              </w:rPr>
              <w:t xml:space="preserve">‌های </w:t>
            </w:r>
            <w:r w:rsidR="00B124DE" w:rsidRPr="0025250D">
              <w:rPr>
                <w:rFonts w:hint="cs"/>
                <w:rtl/>
              </w:rPr>
              <w:t>انطباق‌پذیر</w:t>
            </w:r>
            <w:r w:rsidR="00537CC8" w:rsidRPr="0025250D">
              <w:rPr>
                <w:rtl/>
              </w:rPr>
              <w:t xml:space="preserve"> </w:t>
            </w:r>
            <w:r w:rsidR="00537CC8" w:rsidRPr="0025250D">
              <w:rPr>
                <w:rFonts w:hint="cs"/>
                <w:rtl/>
              </w:rPr>
              <w:t>پیچیده</w:t>
            </w:r>
            <w:r w:rsidR="00537CC8" w:rsidRPr="0025250D">
              <w:rPr>
                <w:rtl/>
              </w:rPr>
              <w:t xml:space="preserve"> </w:t>
            </w:r>
            <w:r w:rsidR="00537CC8" w:rsidRPr="0025250D">
              <w:rPr>
                <w:rFonts w:hint="cs"/>
                <w:rtl/>
              </w:rPr>
              <w:t>نمونه</w:t>
            </w:r>
          </w:p>
        </w:tc>
      </w:tr>
      <w:tr w:rsidR="00537CC8" w:rsidRPr="0025250D" w14:paraId="75E91906" w14:textId="77777777" w:rsidTr="00A07BC9">
        <w:tc>
          <w:tcPr>
            <w:tcW w:w="2266" w:type="dxa"/>
            <w:shd w:val="clear" w:color="auto" w:fill="FFFFFF" w:themeFill="background1"/>
            <w:vAlign w:val="center"/>
          </w:tcPr>
          <w:p w14:paraId="168A81DC" w14:textId="77777777" w:rsidR="00537CC8" w:rsidRPr="0025250D" w:rsidRDefault="00537CC8" w:rsidP="00A07BC9">
            <w:pPr>
              <w:bidi/>
              <w:spacing w:after="160"/>
              <w:jc w:val="left"/>
              <w:rPr>
                <w:rtl/>
              </w:rPr>
            </w:pPr>
            <w:r w:rsidRPr="0025250D">
              <w:rPr>
                <w:rFonts w:hint="cs"/>
                <w:rtl/>
              </w:rPr>
              <w:t>1. فیزیک نجومی</w:t>
            </w:r>
          </w:p>
        </w:tc>
        <w:tc>
          <w:tcPr>
            <w:tcW w:w="6750" w:type="dxa"/>
            <w:shd w:val="clear" w:color="auto" w:fill="FFFFFF" w:themeFill="background1"/>
            <w:vAlign w:val="center"/>
          </w:tcPr>
          <w:p w14:paraId="5AA48E04" w14:textId="77777777" w:rsidR="00537CC8" w:rsidRPr="0025250D" w:rsidRDefault="00537CC8" w:rsidP="00A07BC9">
            <w:pPr>
              <w:bidi/>
              <w:spacing w:after="160"/>
              <w:jc w:val="left"/>
              <w:rPr>
                <w:rtl/>
              </w:rPr>
            </w:pPr>
            <w:r w:rsidRPr="0025250D">
              <w:rPr>
                <w:rFonts w:hint="cs"/>
                <w:rtl/>
              </w:rPr>
              <w:t xml:space="preserve">جهان به عنوان </w:t>
            </w:r>
            <w:r w:rsidRPr="0025250D">
              <w:t>CAS</w:t>
            </w:r>
            <w:r w:rsidRPr="0025250D">
              <w:rPr>
                <w:rFonts w:hint="cs"/>
                <w:rtl/>
              </w:rPr>
              <w:t>، مقادیر ثابت و قوانین، فضا-زمان، انرژی-ماده</w:t>
            </w:r>
          </w:p>
        </w:tc>
      </w:tr>
      <w:tr w:rsidR="00537CC8" w:rsidRPr="0025250D" w14:paraId="1467CCA6" w14:textId="77777777" w:rsidTr="00A07BC9">
        <w:tc>
          <w:tcPr>
            <w:tcW w:w="2266" w:type="dxa"/>
            <w:shd w:val="clear" w:color="auto" w:fill="FFFFFF" w:themeFill="background1"/>
            <w:vAlign w:val="center"/>
          </w:tcPr>
          <w:p w14:paraId="0A71F8C3" w14:textId="5D011C1A" w:rsidR="00537CC8" w:rsidRPr="0025250D" w:rsidRDefault="00537CC8" w:rsidP="00A07BC9">
            <w:pPr>
              <w:bidi/>
              <w:spacing w:after="160"/>
              <w:jc w:val="left"/>
              <w:rPr>
                <w:rtl/>
              </w:rPr>
            </w:pPr>
            <w:r w:rsidRPr="0025250D">
              <w:rPr>
                <w:rFonts w:hint="cs"/>
                <w:rtl/>
              </w:rPr>
              <w:t>2.</w:t>
            </w:r>
            <w:r w:rsidR="008D6F97" w:rsidRPr="0025250D">
              <w:rPr>
                <w:rtl/>
              </w:rPr>
              <w:t xml:space="preserve"> </w:t>
            </w:r>
            <w:r w:rsidRPr="0025250D">
              <w:rPr>
                <w:rFonts w:hint="cs"/>
                <w:rtl/>
              </w:rPr>
              <w:t>شیمی نجومی</w:t>
            </w:r>
          </w:p>
        </w:tc>
        <w:tc>
          <w:tcPr>
            <w:tcW w:w="6750" w:type="dxa"/>
            <w:shd w:val="clear" w:color="auto" w:fill="FFFFFF" w:themeFill="background1"/>
            <w:vAlign w:val="center"/>
          </w:tcPr>
          <w:p w14:paraId="516114CD" w14:textId="77777777" w:rsidR="00537CC8" w:rsidRPr="0025250D" w:rsidRDefault="00537CC8" w:rsidP="00A07BC9">
            <w:pPr>
              <w:bidi/>
              <w:spacing w:after="160"/>
              <w:jc w:val="left"/>
              <w:rPr>
                <w:rtl/>
              </w:rPr>
            </w:pPr>
            <w:r w:rsidRPr="0025250D">
              <w:rPr>
                <w:rFonts w:hint="cs"/>
                <w:rtl/>
              </w:rPr>
              <w:t>کهکشان‌ها، ستاره‌ها، سیاره‌ها، مولکول‌ها در شیمی غیرآلی و آلی</w:t>
            </w:r>
          </w:p>
        </w:tc>
      </w:tr>
      <w:tr w:rsidR="00537CC8" w:rsidRPr="0025250D" w14:paraId="161E8102" w14:textId="77777777" w:rsidTr="00A07BC9">
        <w:tc>
          <w:tcPr>
            <w:tcW w:w="2266" w:type="dxa"/>
            <w:shd w:val="clear" w:color="auto" w:fill="FFFFFF" w:themeFill="background1"/>
            <w:vAlign w:val="center"/>
          </w:tcPr>
          <w:p w14:paraId="6D22BD6A" w14:textId="295CB252" w:rsidR="00537CC8" w:rsidRPr="0025250D" w:rsidRDefault="00537CC8" w:rsidP="00A07BC9">
            <w:pPr>
              <w:bidi/>
              <w:spacing w:after="160"/>
              <w:jc w:val="left"/>
              <w:rPr>
                <w:rtl/>
              </w:rPr>
            </w:pPr>
            <w:r w:rsidRPr="0025250D">
              <w:rPr>
                <w:rFonts w:hint="cs"/>
                <w:rtl/>
              </w:rPr>
              <w:t>3.</w:t>
            </w:r>
            <w:r w:rsidR="008D6F97" w:rsidRPr="0025250D">
              <w:rPr>
                <w:rtl/>
              </w:rPr>
              <w:t xml:space="preserve"> </w:t>
            </w:r>
            <w:r w:rsidRPr="0025250D">
              <w:rPr>
                <w:rFonts w:hint="cs"/>
                <w:rtl/>
              </w:rPr>
              <w:t>زیست‌شناسی نجومی</w:t>
            </w:r>
          </w:p>
        </w:tc>
        <w:tc>
          <w:tcPr>
            <w:tcW w:w="6750" w:type="dxa"/>
            <w:shd w:val="clear" w:color="auto" w:fill="FFFFFF" w:themeFill="background1"/>
            <w:vAlign w:val="center"/>
          </w:tcPr>
          <w:p w14:paraId="68C985CA" w14:textId="77777777" w:rsidR="00537CC8" w:rsidRPr="0025250D" w:rsidRDefault="00537CC8" w:rsidP="00A07BC9">
            <w:pPr>
              <w:bidi/>
              <w:spacing w:after="160"/>
              <w:jc w:val="left"/>
              <w:rPr>
                <w:rtl/>
              </w:rPr>
            </w:pPr>
            <w:r w:rsidRPr="0025250D">
              <w:rPr>
                <w:rFonts w:hint="cs"/>
                <w:rtl/>
              </w:rPr>
              <w:t>سلول‌ها، ارگانیسم‌ها، جمعیت‌ها، گونه‌ها، بوم شناسی ها</w:t>
            </w:r>
          </w:p>
        </w:tc>
      </w:tr>
      <w:tr w:rsidR="00537CC8" w:rsidRPr="0025250D" w14:paraId="1A332223" w14:textId="77777777" w:rsidTr="00A07BC9">
        <w:tc>
          <w:tcPr>
            <w:tcW w:w="2266" w:type="dxa"/>
            <w:shd w:val="clear" w:color="auto" w:fill="FFFFFF" w:themeFill="background1"/>
            <w:vAlign w:val="center"/>
          </w:tcPr>
          <w:p w14:paraId="2B47EF69" w14:textId="146652C3" w:rsidR="00537CC8" w:rsidRPr="0025250D" w:rsidRDefault="00537CC8" w:rsidP="00A07BC9">
            <w:pPr>
              <w:bidi/>
              <w:spacing w:after="160"/>
              <w:jc w:val="left"/>
              <w:rPr>
                <w:rtl/>
              </w:rPr>
            </w:pPr>
            <w:r w:rsidRPr="0025250D">
              <w:rPr>
                <w:rFonts w:hint="cs"/>
                <w:rtl/>
              </w:rPr>
              <w:t>4.</w:t>
            </w:r>
            <w:r w:rsidR="0020589F" w:rsidRPr="0025250D">
              <w:rPr>
                <w:rtl/>
              </w:rPr>
              <w:t xml:space="preserve"> </w:t>
            </w:r>
            <w:r w:rsidR="00B124DE" w:rsidRPr="0025250D">
              <w:rPr>
                <w:rtl/>
              </w:rPr>
              <w:t>جامعه‌شناسی</w:t>
            </w:r>
            <w:r w:rsidRPr="0025250D">
              <w:rPr>
                <w:rFonts w:hint="cs"/>
                <w:rtl/>
              </w:rPr>
              <w:t xml:space="preserve"> نجومی</w:t>
            </w:r>
          </w:p>
        </w:tc>
        <w:tc>
          <w:tcPr>
            <w:tcW w:w="6750" w:type="dxa"/>
            <w:shd w:val="clear" w:color="auto" w:fill="FFFFFF" w:themeFill="background1"/>
            <w:vAlign w:val="center"/>
          </w:tcPr>
          <w:p w14:paraId="01B86624" w14:textId="77777777" w:rsidR="00537CC8" w:rsidRPr="0025250D" w:rsidRDefault="00537CC8" w:rsidP="00A07BC9">
            <w:pPr>
              <w:bidi/>
              <w:spacing w:after="160"/>
              <w:jc w:val="left"/>
              <w:rPr>
                <w:rtl/>
              </w:rPr>
            </w:pPr>
            <w:r w:rsidRPr="0025250D">
              <w:rPr>
                <w:rFonts w:hint="cs"/>
                <w:rtl/>
              </w:rPr>
              <w:t>فرهنگ، اقتصاد، قانون، علم، مهندسی و غیره.</w:t>
            </w:r>
          </w:p>
        </w:tc>
      </w:tr>
      <w:tr w:rsidR="00537CC8" w:rsidRPr="0025250D" w14:paraId="7F31E8B4" w14:textId="77777777" w:rsidTr="00A07BC9">
        <w:tc>
          <w:tcPr>
            <w:tcW w:w="2266" w:type="dxa"/>
            <w:shd w:val="clear" w:color="auto" w:fill="FFFFFF" w:themeFill="background1"/>
            <w:vAlign w:val="center"/>
          </w:tcPr>
          <w:p w14:paraId="36B14EE4" w14:textId="6390E358" w:rsidR="00537CC8" w:rsidRPr="0025250D" w:rsidRDefault="00537CC8" w:rsidP="00A07BC9">
            <w:pPr>
              <w:bidi/>
              <w:spacing w:after="160"/>
              <w:jc w:val="left"/>
              <w:rPr>
                <w:rtl/>
              </w:rPr>
            </w:pPr>
            <w:r w:rsidRPr="0025250D">
              <w:rPr>
                <w:rFonts w:hint="cs"/>
                <w:rtl/>
              </w:rPr>
              <w:t>5.</w:t>
            </w:r>
            <w:r w:rsidR="008D6F97" w:rsidRPr="0025250D">
              <w:rPr>
                <w:rtl/>
              </w:rPr>
              <w:t xml:space="preserve"> </w:t>
            </w:r>
            <w:r w:rsidRPr="0025250D">
              <w:rPr>
                <w:rFonts w:hint="cs"/>
                <w:rtl/>
              </w:rPr>
              <w:t>فنّاوری نجومی</w:t>
            </w:r>
          </w:p>
        </w:tc>
        <w:tc>
          <w:tcPr>
            <w:tcW w:w="6750" w:type="dxa"/>
            <w:shd w:val="clear" w:color="auto" w:fill="FFFFFF" w:themeFill="background1"/>
            <w:vAlign w:val="center"/>
          </w:tcPr>
          <w:p w14:paraId="4B2C57D2" w14:textId="77777777" w:rsidR="00537CC8" w:rsidRPr="0025250D" w:rsidRDefault="00537CC8" w:rsidP="00A07BC9">
            <w:pPr>
              <w:bidi/>
              <w:spacing w:after="160"/>
              <w:jc w:val="left"/>
              <w:rPr>
                <w:rtl/>
              </w:rPr>
            </w:pPr>
            <w:r w:rsidRPr="0025250D">
              <w:rPr>
                <w:rFonts w:hint="cs"/>
                <w:rtl/>
              </w:rPr>
              <w:t>شهر‌ها، موتور‌ها، محاسبات الهام گرفته از زیست شناسی، حیات فرا زیستی</w:t>
            </w:r>
          </w:p>
        </w:tc>
      </w:tr>
    </w:tbl>
    <w:p w14:paraId="38B9444B" w14:textId="2A3C3726" w:rsidR="00537CC8" w:rsidRPr="0025250D" w:rsidRDefault="00537CC8" w:rsidP="00537CC8">
      <w:pPr>
        <w:rPr>
          <w:rtl/>
        </w:rPr>
      </w:pPr>
      <w:r w:rsidRPr="0025250D">
        <w:rPr>
          <w:rFonts w:hint="cs"/>
          <w:rtl/>
        </w:rPr>
        <w:t xml:space="preserve">در این قرن، علم ممکن است به ما بگوید که همه </w:t>
      </w:r>
      <w:r w:rsidR="008D6F97" w:rsidRPr="0025250D">
        <w:rPr>
          <w:rFonts w:hint="cs"/>
          <w:rtl/>
        </w:rPr>
        <w:t>سامانه‌</w:t>
      </w:r>
      <w:r w:rsidRPr="0025250D">
        <w:rPr>
          <w:rFonts w:hint="cs"/>
          <w:rtl/>
        </w:rPr>
        <w:t xml:space="preserve">‌های </w:t>
      </w:r>
      <w:r w:rsidR="00B124DE" w:rsidRPr="0025250D">
        <w:rPr>
          <w:rFonts w:hint="cs"/>
          <w:rtl/>
        </w:rPr>
        <w:t>انطباق‌پذیر</w:t>
      </w:r>
      <w:r w:rsidRPr="0025250D">
        <w:rPr>
          <w:rFonts w:hint="cs"/>
          <w:rtl/>
        </w:rPr>
        <w:t xml:space="preserve"> پیچیده در جهان، با تکامل و توسعه خود، باید به شکلی </w:t>
      </w:r>
      <w:r w:rsidR="007B3B35" w:rsidRPr="0025250D">
        <w:rPr>
          <w:rFonts w:hint="cs"/>
          <w:rtl/>
        </w:rPr>
        <w:t>شتاب‌گیر</w:t>
      </w:r>
      <w:r w:rsidRPr="0025250D">
        <w:rPr>
          <w:rFonts w:hint="cs"/>
          <w:rtl/>
        </w:rPr>
        <w:t xml:space="preserve">نده از فیزیک به </w:t>
      </w:r>
      <w:r w:rsidR="00E40AF2" w:rsidRPr="0025250D">
        <w:rPr>
          <w:rFonts w:hint="cs"/>
          <w:rtl/>
        </w:rPr>
        <w:t xml:space="preserve"> سمت </w:t>
      </w:r>
      <w:r w:rsidRPr="0025250D">
        <w:rPr>
          <w:rFonts w:hint="cs"/>
          <w:rtl/>
        </w:rPr>
        <w:t>شیمی</w:t>
      </w:r>
      <w:r w:rsidR="00E40AF2" w:rsidRPr="0025250D">
        <w:rPr>
          <w:rFonts w:hint="cs"/>
          <w:rtl/>
        </w:rPr>
        <w:t xml:space="preserve">، </w:t>
      </w:r>
      <w:r w:rsidRPr="0025250D">
        <w:rPr>
          <w:rFonts w:hint="cs"/>
          <w:rtl/>
        </w:rPr>
        <w:t>زیست</w:t>
      </w:r>
      <w:r w:rsidR="00E40AF2" w:rsidRPr="0025250D">
        <w:rPr>
          <w:rFonts w:hint="cs"/>
          <w:rtl/>
        </w:rPr>
        <w:t>،</w:t>
      </w:r>
      <w:r w:rsidRPr="0025250D">
        <w:rPr>
          <w:rFonts w:hint="cs"/>
          <w:rtl/>
        </w:rPr>
        <w:t xml:space="preserve"> جامعه (ذهن‌های زیستی)</w:t>
      </w:r>
      <w:r w:rsidR="00E40AF2" w:rsidRPr="0025250D">
        <w:rPr>
          <w:rFonts w:hint="cs"/>
          <w:rtl/>
        </w:rPr>
        <w:t xml:space="preserve"> و</w:t>
      </w:r>
      <w:r w:rsidRPr="0025250D">
        <w:rPr>
          <w:rFonts w:hint="cs"/>
          <w:rtl/>
        </w:rPr>
        <w:t xml:space="preserve"> فنّاوری خودآگاه (ذهن‌های </w:t>
      </w:r>
      <w:r w:rsidR="007A53FD" w:rsidRPr="0025250D">
        <w:rPr>
          <w:rFonts w:hint="cs"/>
          <w:rtl/>
        </w:rPr>
        <w:t>فناورانه</w:t>
      </w:r>
      <w:r w:rsidRPr="0025250D">
        <w:rPr>
          <w:rFonts w:hint="cs"/>
          <w:rtl/>
        </w:rPr>
        <w:t xml:space="preserve">) پیش بروند. در چنین محیطی، علم باید گفته‌های ارزشمندی درمورد پیشرفت، ارزش‌ها، هدف انسان و ماشین داشته باشد که امروزه در این موارد اغلب چیزی برای گفتن ندارد. اگر تفکر تکاملی-توسعه‌ای درست باشد، خواهیم آموخت که ارزش‌ها به دو شکل هستند: خلق شده توسط هوش یا داده شده توسط جهان. تلاش‌ها برای یافتن و تأیید زیست شناسی، </w:t>
      </w:r>
      <w:r w:rsidR="00B124DE" w:rsidRPr="0025250D">
        <w:rPr>
          <w:rFonts w:hint="cs"/>
          <w:rtl/>
        </w:rPr>
        <w:t>جامعه‌شناسی</w:t>
      </w:r>
      <w:r w:rsidRPr="0025250D">
        <w:rPr>
          <w:rFonts w:hint="cs"/>
          <w:rtl/>
        </w:rPr>
        <w:t>، فنّاوری و ارزش‌های فراگیر به شدت پ</w:t>
      </w:r>
      <w:r w:rsidR="00E40AF2" w:rsidRPr="0025250D">
        <w:rPr>
          <w:rFonts w:hint="cs"/>
          <w:rtl/>
        </w:rPr>
        <w:t>ی</w:t>
      </w:r>
      <w:r w:rsidRPr="0025250D">
        <w:rPr>
          <w:rFonts w:hint="cs"/>
          <w:rtl/>
        </w:rPr>
        <w:t xml:space="preserve">شرفته خواهند بود. این در حالی است که امروزه عمدتا دانشی شهودی، شواهدی تصادفی، تئوری </w:t>
      </w:r>
      <w:r w:rsidR="008D6F97" w:rsidRPr="0025250D">
        <w:rPr>
          <w:rFonts w:hint="cs"/>
          <w:rtl/>
        </w:rPr>
        <w:t>سامانه‌ای</w:t>
      </w:r>
      <w:r w:rsidRPr="0025250D">
        <w:rPr>
          <w:rFonts w:hint="cs"/>
          <w:rtl/>
        </w:rPr>
        <w:t xml:space="preserve"> و استدلال‌هایی درمورد چنین موضوعات مهم و عمیقی برای آینده داریم.</w:t>
      </w:r>
    </w:p>
    <w:p w14:paraId="367DB150" w14:textId="631C77F5" w:rsidR="00537CC8" w:rsidRPr="0025250D" w:rsidRDefault="00537CC8" w:rsidP="00537CC8">
      <w:pPr>
        <w:rPr>
          <w:rtl/>
        </w:rPr>
      </w:pPr>
      <w:r w:rsidRPr="0025250D">
        <w:rPr>
          <w:rFonts w:hint="cs"/>
          <w:rtl/>
        </w:rPr>
        <w:t xml:space="preserve">محققینی مانند </w:t>
      </w:r>
      <w:r w:rsidRPr="0025250D">
        <w:rPr>
          <w:rtl/>
        </w:rPr>
        <w:t>کو</w:t>
      </w:r>
      <w:r w:rsidRPr="0025250D">
        <w:rPr>
          <w:rFonts w:hint="cs"/>
          <w:rtl/>
        </w:rPr>
        <w:t>ی</w:t>
      </w:r>
      <w:r w:rsidRPr="0025250D">
        <w:rPr>
          <w:rFonts w:hint="eastAsia"/>
          <w:rtl/>
        </w:rPr>
        <w:t>ن</w:t>
      </w:r>
      <w:r w:rsidRPr="0025250D">
        <w:rPr>
          <w:rtl/>
        </w:rPr>
        <w:t xml:space="preserve"> کل</w:t>
      </w:r>
      <w:r w:rsidRPr="0025250D">
        <w:rPr>
          <w:rFonts w:hint="cs"/>
          <w:rtl/>
        </w:rPr>
        <w:t>ی</w:t>
      </w:r>
      <w:r w:rsidRPr="0025250D">
        <w:rPr>
          <w:vertAlign w:val="superscript"/>
          <w:rtl/>
        </w:rPr>
        <w:footnoteReference w:id="3034"/>
      </w:r>
      <w:r w:rsidRPr="0025250D">
        <w:rPr>
          <w:rFonts w:hint="cs"/>
          <w:rtl/>
        </w:rPr>
        <w:t xml:space="preserve"> تمایل به مطرح کردن پرسش‌هایی از تصویر کلان دارند. او در کتاب خود، آنچه فنّاوری می‌خواهد</w:t>
      </w:r>
      <w:r w:rsidRPr="0025250D">
        <w:rPr>
          <w:vertAlign w:val="superscript"/>
          <w:rtl/>
        </w:rPr>
        <w:footnoteReference w:id="3035"/>
      </w:r>
      <w:r w:rsidRPr="0025250D">
        <w:rPr>
          <w:rFonts w:hint="cs"/>
          <w:rtl/>
        </w:rPr>
        <w:t xml:space="preserve"> در سال 2010، می‌پرسد که </w:t>
      </w:r>
      <w:r w:rsidR="002C61FC" w:rsidRPr="0025250D">
        <w:rPr>
          <w:rtl/>
        </w:rPr>
        <w:t>«</w:t>
      </w:r>
      <w:r w:rsidRPr="0025250D">
        <w:rPr>
          <w:rFonts w:hint="cs"/>
          <w:rtl/>
        </w:rPr>
        <w:t>اَبَر ارگانیسم انسان-ماشین</w:t>
      </w:r>
      <w:r w:rsidRPr="0025250D">
        <w:rPr>
          <w:vertAlign w:val="superscript"/>
          <w:rtl/>
        </w:rPr>
        <w:footnoteReference w:id="3036"/>
      </w:r>
      <w:r w:rsidR="002C61FC" w:rsidRPr="0025250D">
        <w:rPr>
          <w:rtl/>
        </w:rPr>
        <w:t>»</w:t>
      </w:r>
      <w:r w:rsidRPr="0025250D">
        <w:rPr>
          <w:rFonts w:hint="cs"/>
          <w:rtl/>
        </w:rPr>
        <w:t xml:space="preserve"> یا </w:t>
      </w:r>
      <w:r w:rsidR="002C61FC" w:rsidRPr="0025250D">
        <w:rPr>
          <w:rtl/>
        </w:rPr>
        <w:t>«</w:t>
      </w:r>
      <w:r w:rsidRPr="0025250D">
        <w:rPr>
          <w:rFonts w:hint="cs"/>
          <w:rtl/>
        </w:rPr>
        <w:t>مغز جهانی</w:t>
      </w:r>
      <w:r w:rsidRPr="0025250D">
        <w:rPr>
          <w:vertAlign w:val="superscript"/>
          <w:rtl/>
        </w:rPr>
        <w:footnoteReference w:id="3037"/>
      </w:r>
      <w:r w:rsidR="002C61FC" w:rsidRPr="0025250D">
        <w:rPr>
          <w:rtl/>
        </w:rPr>
        <w:t>»</w:t>
      </w:r>
      <w:r w:rsidRPr="0025250D">
        <w:rPr>
          <w:rFonts w:hint="cs"/>
          <w:rtl/>
        </w:rPr>
        <w:t xml:space="preserve"> در یک مرحله پیشرفته جهانی سازی چگونه</w:t>
      </w:r>
      <w:r w:rsidRPr="0025250D">
        <w:rPr>
          <w:rtl/>
        </w:rPr>
        <w:t xml:space="preserve"> </w:t>
      </w:r>
      <w:r w:rsidRPr="0025250D">
        <w:rPr>
          <w:rFonts w:hint="cs"/>
          <w:rtl/>
        </w:rPr>
        <w:t>به</w:t>
      </w:r>
      <w:r w:rsidRPr="0025250D">
        <w:rPr>
          <w:rtl/>
        </w:rPr>
        <w:t xml:space="preserve"> </w:t>
      </w:r>
      <w:r w:rsidRPr="0025250D">
        <w:rPr>
          <w:rFonts w:hint="cs"/>
          <w:rtl/>
        </w:rPr>
        <w:t>نظر</w:t>
      </w:r>
      <w:r w:rsidRPr="0025250D">
        <w:rPr>
          <w:rtl/>
        </w:rPr>
        <w:t xml:space="preserve"> </w:t>
      </w:r>
      <w:r w:rsidRPr="0025250D">
        <w:rPr>
          <w:rFonts w:hint="cs"/>
          <w:rtl/>
        </w:rPr>
        <w:t>خواهد</w:t>
      </w:r>
      <w:r w:rsidRPr="0025250D">
        <w:rPr>
          <w:rtl/>
        </w:rPr>
        <w:t xml:space="preserve"> </w:t>
      </w:r>
      <w:r w:rsidRPr="0025250D">
        <w:rPr>
          <w:rFonts w:hint="cs"/>
          <w:rtl/>
        </w:rPr>
        <w:t xml:space="preserve">رسید و چگونه می‌توانیم </w:t>
      </w:r>
      <w:r w:rsidRPr="0025250D">
        <w:t>ADOR</w:t>
      </w:r>
      <w:r w:rsidRPr="0025250D">
        <w:rPr>
          <w:rFonts w:hint="cs"/>
          <w:rtl/>
        </w:rPr>
        <w:t xml:space="preserve"> پدیدار شونده آن را بهتر مدیریت کنیم. انسان‌ها به شکل اجتناب ناپذیری خود را به هم و به فنّاوری دیجیتالی هوشمند مرتبط ساخته و پیوند می‌دهند. ما در حال یادگیری چگونگی محافظت از انواع خاصی از حریم خصوصی (در خانه‌ها، </w:t>
      </w:r>
      <w:r w:rsidR="00B124DE" w:rsidRPr="0025250D">
        <w:rPr>
          <w:rFonts w:hint="cs"/>
          <w:rtl/>
        </w:rPr>
        <w:t>کسب‌و‌کار</w:t>
      </w:r>
      <w:r w:rsidRPr="0025250D">
        <w:rPr>
          <w:rFonts w:hint="cs"/>
          <w:rtl/>
        </w:rPr>
        <w:t xml:space="preserve">‌ها و درمورد راز‌های دولتی) و چگونگی شفاف‌تر کردن عوامل بد و محیط کلی خود هستیم. در </w:t>
      </w:r>
      <w:r w:rsidRPr="0025250D">
        <w:t>BPF</w:t>
      </w:r>
      <w:r w:rsidRPr="0025250D">
        <w:rPr>
          <w:rFonts w:hint="cs"/>
          <w:rtl/>
        </w:rPr>
        <w:t xml:space="preserve"> ادعا خواهیم کرد که سیاره خاص ما می‌تواند کاملا برای کمک به ما جهت تبدیل شدن به چیزی بسیار بهتر حفاظت شده، هوشمند‌تر و توانمند‌تر از آنچه بیولوژی می‌تواند باشد، کاملا کافی باشد.</w:t>
      </w:r>
      <w:r w:rsidR="008D6F97" w:rsidRPr="0025250D">
        <w:rPr>
          <w:rtl/>
        </w:rPr>
        <w:t xml:space="preserve"> </w:t>
      </w:r>
      <w:r w:rsidRPr="0025250D">
        <w:rPr>
          <w:rFonts w:hint="cs"/>
          <w:rtl/>
        </w:rPr>
        <w:t>ما شاهد</w:t>
      </w:r>
      <w:r w:rsidRPr="0025250D">
        <w:rPr>
          <w:rtl/>
        </w:rPr>
        <w:t xml:space="preserve"> </w:t>
      </w:r>
      <w:r w:rsidRPr="0025250D">
        <w:rPr>
          <w:rFonts w:hint="cs"/>
          <w:rtl/>
        </w:rPr>
        <w:t>این ادعای جهانی سازی بوده</w:t>
      </w:r>
      <w:r w:rsidRPr="0025250D">
        <w:rPr>
          <w:rtl/>
        </w:rPr>
        <w:t xml:space="preserve"> </w:t>
      </w:r>
      <w:r w:rsidRPr="0025250D">
        <w:rPr>
          <w:rFonts w:hint="cs"/>
          <w:rtl/>
        </w:rPr>
        <w:t>ایم که فنّاوری کل سیاره ما را به یک اَبَر ارگانیسم یکپارچه تبدیل می‌کند که برای نسل‌ها یک ترکیب انسان-ماشین خواهد بود، اما در طول قرن‌های بعدی، به شدت فرا زیستی خواهد شد.</w:t>
      </w:r>
    </w:p>
    <w:p w14:paraId="0F080928" w14:textId="78F935AA" w:rsidR="00537CC8" w:rsidRPr="0025250D" w:rsidRDefault="00537CC8" w:rsidP="00537CC8">
      <w:pPr>
        <w:rPr>
          <w:rtl/>
        </w:rPr>
      </w:pPr>
      <w:r w:rsidRPr="0025250D">
        <w:rPr>
          <w:rFonts w:hint="cs"/>
          <w:rtl/>
        </w:rPr>
        <w:t xml:space="preserve">با استفاده از </w:t>
      </w:r>
      <w:r w:rsidR="00E40AF2" w:rsidRPr="0025250D">
        <w:rPr>
          <w:rFonts w:hint="cs"/>
          <w:rtl/>
        </w:rPr>
        <w:t xml:space="preserve">فنّاوری </w:t>
      </w:r>
      <w:r w:rsidRPr="0025250D">
        <w:rPr>
          <w:rFonts w:hint="cs"/>
          <w:rtl/>
        </w:rPr>
        <w:t>و پیشرفت</w:t>
      </w:r>
      <w:r w:rsidR="00E40AF2" w:rsidRPr="0025250D">
        <w:rPr>
          <w:rFonts w:hint="cs"/>
          <w:rtl/>
        </w:rPr>
        <w:t xml:space="preserve"> آن</w:t>
      </w:r>
      <w:r w:rsidRPr="0025250D">
        <w:rPr>
          <w:rFonts w:hint="cs"/>
          <w:rtl/>
        </w:rPr>
        <w:t xml:space="preserve"> برای بشر و رشد همدلی و اخلاق ما نسبت به یکدیگر، هر یک از ما نقش مهمی در این فرایند جهانی سازی ایفا می‌کنیم. این فرایند جهانی سازی را به عنوان گذار بزرگ که به نظر اکنون در آن قرار گرفته ایم، مورد بحث قرار خواهیم داد. ممکن است برای ما یک یا دو قرن دیگر طول بکشد تا به این حالت اَبَر ارگانیسمی، در زمان ناشناخته‌ای پس از فرا رسیدن هوش مصنوعی عمومی برسیم، اما روند‌ها برای افرادی که تمایل به دیدن دارند، واضح هستند.</w:t>
      </w:r>
    </w:p>
    <w:p w14:paraId="4253F4C2" w14:textId="2ECC8B74" w:rsidR="00537CC8" w:rsidRPr="0025250D" w:rsidRDefault="007118DE" w:rsidP="00537CC8">
      <w:pPr>
        <w:rPr>
          <w:rtl/>
        </w:rPr>
      </w:pPr>
      <w:r w:rsidRPr="0025250D">
        <w:rPr>
          <w:rFonts w:hint="cs"/>
          <w:rtl/>
        </w:rPr>
        <w:t>همان‌طور</w:t>
      </w:r>
      <w:r w:rsidR="00537CC8" w:rsidRPr="0025250D">
        <w:rPr>
          <w:rFonts w:hint="cs"/>
          <w:rtl/>
        </w:rPr>
        <w:t xml:space="preserve">که در </w:t>
      </w:r>
      <w:r w:rsidR="00537CC8" w:rsidRPr="0025250D">
        <w:t>BPF</w:t>
      </w:r>
      <w:r w:rsidR="00537CC8" w:rsidRPr="0025250D">
        <w:rPr>
          <w:rFonts w:hint="cs"/>
          <w:rtl/>
        </w:rPr>
        <w:t xml:space="preserve"> بحث خواهیم کرد، به نظر احتمال بسیار کمی وجود دارد که تمدن آینده ما کهکشان را تسخیر کند. </w:t>
      </w:r>
      <w:r w:rsidRPr="0025250D">
        <w:rPr>
          <w:rFonts w:hint="cs"/>
          <w:rtl/>
        </w:rPr>
        <w:t>همان‌طور</w:t>
      </w:r>
      <w:r w:rsidR="00537CC8" w:rsidRPr="0025250D">
        <w:rPr>
          <w:rFonts w:hint="cs"/>
          <w:rtl/>
        </w:rPr>
        <w:t xml:space="preserve"> که گفتیم، نظریه </w:t>
      </w:r>
      <w:r w:rsidR="00537CC8" w:rsidRPr="0025250D">
        <w:t>D&amp;D</w:t>
      </w:r>
      <w:r w:rsidR="00537CC8" w:rsidRPr="0025250D">
        <w:rPr>
          <w:rFonts w:hint="cs"/>
          <w:rtl/>
        </w:rPr>
        <w:t xml:space="preserve"> بیان می‌کند که با پیچیده‌تر شدن ما، حرکت به سمت فضای داخلی، نه فضای خارجی، محتمل‌تر است. در نظر بگیرید که جهان ما فاصله بسیار مفیدی را میان تمدن‌ها برای سفر بین ستاره‌ای عملی یا آرمانی حفظ می‌کند. اگر جهان ما همتاسازی می‌نماید، </w:t>
      </w:r>
      <w:r w:rsidRPr="0025250D">
        <w:rPr>
          <w:rFonts w:hint="cs"/>
          <w:rtl/>
        </w:rPr>
        <w:t>همان‌طور</w:t>
      </w:r>
      <w:r w:rsidR="00537CC8" w:rsidRPr="0025250D">
        <w:rPr>
          <w:rFonts w:hint="cs"/>
          <w:rtl/>
        </w:rPr>
        <w:t xml:space="preserve"> که بسیاری از کیهان شناسان بیان می‌کنند و اگر هوشی که درون آن ایجاد می‌شود هرگونه اثر غیر تصادفی بر تکرار آن داشته باشد که به نظر منطقی می‌رسد، پس ممکن است تمدن‌های هوشمند به شکلی هدفمند از یکدیگر به وسیله انتخاب خودسازماندهی</w:t>
      </w:r>
      <w:r w:rsidR="009A5058" w:rsidRPr="0025250D">
        <w:rPr>
          <w:rFonts w:hint="cs"/>
          <w:rtl/>
        </w:rPr>
        <w:t>‌</w:t>
      </w:r>
      <w:r w:rsidR="00537CC8" w:rsidRPr="0025250D">
        <w:rPr>
          <w:rFonts w:hint="cs"/>
          <w:rtl/>
        </w:rPr>
        <w:t xml:space="preserve">شده جدا و منزوی شده باشند تا اطمینان حاصل کنند که هر یک از ما به درک محدود و ناقص خود از واقعیت به شکل‌های منحصر به فرد تکاملی و محلی خود می‌رسیم. گستردگی فضا همچنین یک هدف کلیدی دیگر برای حیات هوشمند دارد. این امر سبب </w:t>
      </w:r>
      <w:r w:rsidR="00B56611" w:rsidRPr="0025250D">
        <w:rPr>
          <w:rFonts w:hint="cs"/>
          <w:rtl/>
        </w:rPr>
        <w:t>شتاب‌گیری</w:t>
      </w:r>
      <w:r w:rsidR="00537CC8" w:rsidRPr="0025250D">
        <w:rPr>
          <w:rFonts w:hint="cs"/>
          <w:rtl/>
        </w:rPr>
        <w:t xml:space="preserve"> محلی تمدن، از طریق خروج مؤثر گرما (انتروپی، زباله‌های انرژی) به فضای پوچ گسترده‌ای که اطرف هر یک از سیارات وجود دارد، می‌شود.</w:t>
      </w:r>
    </w:p>
    <w:p w14:paraId="29E19D48" w14:textId="780EA326" w:rsidR="00537CC8" w:rsidRPr="0025250D" w:rsidRDefault="00537CC8" w:rsidP="00537CC8">
      <w:pPr>
        <w:rPr>
          <w:rtl/>
        </w:rPr>
      </w:pPr>
      <w:r w:rsidRPr="0025250D">
        <w:rPr>
          <w:rFonts w:hint="cs"/>
          <w:rtl/>
        </w:rPr>
        <w:t xml:space="preserve">ما می‌توانیم داستان‌های تخیلی خود از دگرگون سازی و زمینی سازی سیارات اطراف خود و بازدید از دیگر </w:t>
      </w:r>
      <w:r w:rsidR="008D6F97" w:rsidRPr="0025250D">
        <w:rPr>
          <w:rFonts w:hint="cs"/>
          <w:rtl/>
        </w:rPr>
        <w:t>سامانه‌</w:t>
      </w:r>
      <w:r w:rsidRPr="0025250D">
        <w:rPr>
          <w:rFonts w:hint="cs"/>
          <w:rtl/>
        </w:rPr>
        <w:t xml:space="preserve">‌های خورشیدی را حفظ کنیم یا می‌توانیم تشخیص دهیم که زمین همه آن چیزی است که داریم و به آن نیازمندیم تا خودمان را به بلوغ برسانیم و نهایتا به گذار فرا زیستی برسیم. سیاره شگفت انگیز ما بسیار بیش‌تر از آنچه ما فکر می‌کنیم خودمتوازن ساز و حفاظت کننده است. تعامل فیزیک، شیمی، زمین شناسی، اتمسفر و زیست شناسی زمین عمیقا متعادل، </w:t>
      </w:r>
      <w:r w:rsidR="00B124DE" w:rsidRPr="0025250D">
        <w:rPr>
          <w:rFonts w:hint="cs"/>
          <w:rtl/>
        </w:rPr>
        <w:t>انطباق‌پذیر</w:t>
      </w:r>
      <w:r w:rsidRPr="0025250D">
        <w:rPr>
          <w:rFonts w:hint="cs"/>
          <w:rtl/>
        </w:rPr>
        <w:t xml:space="preserve"> و هوشمند است؛ به شکل‌هایی که هنوز به خوبی در علم مدل سازی ن</w:t>
      </w:r>
      <w:r w:rsidR="00950293" w:rsidRPr="0025250D">
        <w:rPr>
          <w:rFonts w:hint="cs"/>
          <w:rtl/>
        </w:rPr>
        <w:t>کرده‌ایم</w:t>
      </w:r>
      <w:r w:rsidRPr="0025250D">
        <w:rPr>
          <w:rFonts w:hint="cs"/>
          <w:rtl/>
        </w:rPr>
        <w:t xml:space="preserve">. هر چه بهتر فرایند‌های تکاملی و توسعه‌ای زمین را درک کنیم، بهتر می‌توانیم به درک خود جهان به عنوان یک </w:t>
      </w:r>
      <w:r w:rsidR="008D6F97" w:rsidRPr="0025250D">
        <w:rPr>
          <w:rFonts w:hint="cs"/>
          <w:rtl/>
        </w:rPr>
        <w:t>سامانه‌</w:t>
      </w:r>
      <w:r w:rsidRPr="0025250D">
        <w:rPr>
          <w:rFonts w:hint="cs"/>
          <w:rtl/>
        </w:rPr>
        <w:t xml:space="preserve"> خود سازماندهی کننده تکاملی-توسعه‌ای برسیم.</w:t>
      </w:r>
    </w:p>
    <w:p w14:paraId="4F5B8EB9" w14:textId="033C00C7" w:rsidR="00537CC8" w:rsidRPr="0025250D" w:rsidRDefault="00537CC8" w:rsidP="00537CC8">
      <w:pPr>
        <w:rPr>
          <w:rtl/>
        </w:rPr>
      </w:pPr>
      <w:r w:rsidRPr="0025250D">
        <w:rPr>
          <w:rFonts w:hint="cs"/>
          <w:rtl/>
        </w:rPr>
        <w:t xml:space="preserve">در سال 2008، فیلسوف </w:t>
      </w:r>
      <w:r w:rsidRPr="0025250D">
        <w:rPr>
          <w:rtl/>
        </w:rPr>
        <w:t>کلمنت و</w:t>
      </w:r>
      <w:r w:rsidRPr="0025250D">
        <w:rPr>
          <w:rFonts w:hint="cs"/>
          <w:rtl/>
        </w:rPr>
        <w:t>ی</w:t>
      </w:r>
      <w:r w:rsidRPr="0025250D">
        <w:rPr>
          <w:rFonts w:hint="eastAsia"/>
          <w:rtl/>
        </w:rPr>
        <w:t>دال</w:t>
      </w:r>
      <w:r w:rsidRPr="0025250D">
        <w:rPr>
          <w:vertAlign w:val="superscript"/>
          <w:rtl/>
        </w:rPr>
        <w:footnoteReference w:id="3038"/>
      </w:r>
      <w:r w:rsidRPr="0025250D">
        <w:rPr>
          <w:rFonts w:hint="cs"/>
          <w:rtl/>
        </w:rPr>
        <w:t xml:space="preserve"> و </w:t>
      </w:r>
      <w:r w:rsidRPr="0025250D">
        <w:rPr>
          <w:rtl/>
        </w:rPr>
        <w:t>جان</w:t>
      </w:r>
      <w:r w:rsidR="009A5058" w:rsidRPr="0025250D">
        <w:rPr>
          <w:rFonts w:hint="cs"/>
          <w:rtl/>
        </w:rPr>
        <w:t xml:space="preserve"> اسمارت</w:t>
      </w:r>
      <w:r w:rsidRPr="0025250D">
        <w:rPr>
          <w:rFonts w:hint="cs"/>
          <w:rtl/>
        </w:rPr>
        <w:t xml:space="preserve"> به صورت مشترک تحقیق جهان تکاملی-توسعه‌ای و یک انجمن مباحثه‌ای از نظریه پردازان پیچیدگی، نظریه پردازان </w:t>
      </w:r>
      <w:r w:rsidR="008D6F97" w:rsidRPr="0025250D">
        <w:rPr>
          <w:rFonts w:hint="cs"/>
          <w:rtl/>
        </w:rPr>
        <w:t>سامانه‌</w:t>
      </w:r>
      <w:r w:rsidRPr="0025250D">
        <w:rPr>
          <w:rFonts w:hint="cs"/>
          <w:rtl/>
        </w:rPr>
        <w:t xml:space="preserve">‌ها و فلاسفه برای بررسی تعامل آینده‌های قابل </w:t>
      </w:r>
      <w:r w:rsidR="00D92F6E" w:rsidRPr="0025250D">
        <w:rPr>
          <w:rFonts w:hint="cs"/>
          <w:rtl/>
        </w:rPr>
        <w:t>پیش‌بین</w:t>
      </w:r>
      <w:r w:rsidRPr="0025250D">
        <w:rPr>
          <w:rFonts w:hint="cs"/>
          <w:rtl/>
        </w:rPr>
        <w:t xml:space="preserve">ی و غیر قابل </w:t>
      </w:r>
      <w:r w:rsidR="00D92F6E" w:rsidRPr="0025250D">
        <w:rPr>
          <w:rFonts w:hint="cs"/>
          <w:rtl/>
        </w:rPr>
        <w:t>پیش‌بین</w:t>
      </w:r>
      <w:r w:rsidRPr="0025250D">
        <w:rPr>
          <w:rFonts w:hint="cs"/>
          <w:rtl/>
        </w:rPr>
        <w:t xml:space="preserve">ی بنیان گذاری کردند. این انجمن توسعه تکاملی (همچنین با نام تکاملی-توسعه‌ای شناخته می‌شود)، تعامل میان فرایند‌های غیر قابل </w:t>
      </w:r>
      <w:r w:rsidR="00D92F6E" w:rsidRPr="0025250D">
        <w:rPr>
          <w:rFonts w:hint="cs"/>
          <w:rtl/>
        </w:rPr>
        <w:t>پیش‌بین</w:t>
      </w:r>
      <w:r w:rsidRPr="0025250D">
        <w:rPr>
          <w:rFonts w:hint="cs"/>
          <w:rtl/>
        </w:rPr>
        <w:t xml:space="preserve">ی و خلاقانه (تکاملی) و قابل </w:t>
      </w:r>
      <w:r w:rsidR="00D92F6E" w:rsidRPr="0025250D">
        <w:rPr>
          <w:rFonts w:hint="cs"/>
          <w:rtl/>
        </w:rPr>
        <w:t>پیش‌بین</w:t>
      </w:r>
      <w:r w:rsidRPr="0025250D">
        <w:rPr>
          <w:rFonts w:hint="cs"/>
          <w:rtl/>
        </w:rPr>
        <w:t xml:space="preserve">ی و مقید کننده (توسعه ای) در </w:t>
      </w:r>
      <w:r w:rsidR="008D6F97" w:rsidRPr="0025250D">
        <w:rPr>
          <w:rFonts w:hint="cs"/>
          <w:rtl/>
        </w:rPr>
        <w:t>سامانه‌</w:t>
      </w:r>
      <w:r w:rsidRPr="0025250D">
        <w:rPr>
          <w:rFonts w:hint="cs"/>
          <w:rtl/>
        </w:rPr>
        <w:t xml:space="preserve">‌های زنده، سازمان‌ها، جوامع، </w:t>
      </w:r>
      <w:r w:rsidR="007A53FD" w:rsidRPr="0025250D">
        <w:rPr>
          <w:rFonts w:hint="cs"/>
          <w:rtl/>
        </w:rPr>
        <w:t>فناوری</w:t>
      </w:r>
      <w:r w:rsidRPr="0025250D">
        <w:rPr>
          <w:rFonts w:hint="cs"/>
          <w:rtl/>
        </w:rPr>
        <w:t xml:space="preserve">‌ها و جهان به عنوان یک </w:t>
      </w:r>
      <w:r w:rsidR="008D6F97" w:rsidRPr="0025250D">
        <w:rPr>
          <w:rFonts w:hint="cs"/>
          <w:rtl/>
        </w:rPr>
        <w:t>سامانه‌</w:t>
      </w:r>
      <w:r w:rsidRPr="0025250D">
        <w:rPr>
          <w:rFonts w:hint="cs"/>
          <w:rtl/>
        </w:rPr>
        <w:t xml:space="preserve"> را مطالعه می‌کند. علم هنوز در ابتدای راه کشف فرایند‌های توسعه‌ای قابل </w:t>
      </w:r>
      <w:r w:rsidR="00D92F6E" w:rsidRPr="0025250D">
        <w:rPr>
          <w:rFonts w:hint="cs"/>
          <w:rtl/>
        </w:rPr>
        <w:t>پیش‌بین</w:t>
      </w:r>
      <w:r w:rsidRPr="0025250D">
        <w:rPr>
          <w:rFonts w:hint="cs"/>
          <w:rtl/>
        </w:rPr>
        <w:t xml:space="preserve">ی در جهان و </w:t>
      </w:r>
      <w:r w:rsidR="008D6F97" w:rsidRPr="0025250D">
        <w:rPr>
          <w:rFonts w:hint="cs"/>
          <w:rtl/>
        </w:rPr>
        <w:t>سامانه‌</w:t>
      </w:r>
      <w:r w:rsidRPr="0025250D">
        <w:rPr>
          <w:rFonts w:hint="cs"/>
          <w:rtl/>
        </w:rPr>
        <w:t xml:space="preserve">‌های اجتماعی انسانی است، اما ما هم اکنون در حال پیشرفتی پایدار هستیم. باور داریم که ترکیب مناسب این دو دیدگاه فراگیر یکی از پایه‌های </w:t>
      </w:r>
      <w:r w:rsidRPr="0025250D">
        <w:rPr>
          <w:rtl/>
        </w:rPr>
        <w:t>آینده‌نگاری</w:t>
      </w:r>
      <w:r w:rsidRPr="0025250D">
        <w:rPr>
          <w:rFonts w:hint="cs"/>
          <w:rtl/>
        </w:rPr>
        <w:t xml:space="preserve"> خوب است.</w:t>
      </w:r>
    </w:p>
    <w:p w14:paraId="067F388F" w14:textId="77777777" w:rsidR="00537CC8" w:rsidRPr="0025250D" w:rsidRDefault="00537CC8" w:rsidP="00EF26F0">
      <w:pPr>
        <w:jc w:val="center"/>
        <w:rPr>
          <w:rtl/>
        </w:rPr>
      </w:pPr>
      <w:r w:rsidRPr="0025250D">
        <w:rPr>
          <w:noProof/>
          <w:rtl/>
          <w:lang w:bidi="ar-SA"/>
        </w:rPr>
        <w:drawing>
          <wp:inline distT="0" distB="0" distL="0" distR="0" wp14:anchorId="2FD959D5" wp14:editId="101F26B8">
            <wp:extent cx="3421380" cy="1273652"/>
            <wp:effectExtent l="0" t="0" r="7620" b="3175"/>
            <wp:docPr id="165" name="Picture 165" descr="D:\کار\مستقل\3 ( ترجمه ی دانشگاه تهران  )\Introduction to Foresight\part8\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8\63.png"/>
                    <pic:cNvPicPr>
                      <a:picLocks noChangeAspect="1" noChangeArrowheads="1"/>
                    </pic:cNvPicPr>
                  </pic:nvPicPr>
                  <pic:blipFill>
                    <a:blip r:embed="rId274" cstate="screen">
                      <a:extLst>
                        <a:ext uri="{BEBA8EAE-BF5A-486C-A8C5-ECC9F3942E4B}">
                          <a14:imgProps xmlns:a14="http://schemas.microsoft.com/office/drawing/2010/main">
                            <a14:imgLayer r:embed="rId275">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3431527" cy="1277429"/>
                    </a:xfrm>
                    <a:prstGeom prst="rect">
                      <a:avLst/>
                    </a:prstGeom>
                    <a:noFill/>
                    <a:ln>
                      <a:noFill/>
                    </a:ln>
                  </pic:spPr>
                </pic:pic>
              </a:graphicData>
            </a:graphic>
          </wp:inline>
        </w:drawing>
      </w:r>
    </w:p>
    <w:p w14:paraId="59A98842" w14:textId="1ECFEFBE" w:rsidR="00537CC8" w:rsidRPr="0025250D" w:rsidRDefault="00537CC8" w:rsidP="00537CC8">
      <w:pPr>
        <w:rPr>
          <w:rtl/>
        </w:rPr>
      </w:pPr>
      <w:r w:rsidRPr="0025250D">
        <w:rPr>
          <w:rFonts w:hint="cs"/>
          <w:rtl/>
        </w:rPr>
        <w:t xml:space="preserve">اصطلاح زیر را در نظر بگیرید: نوآوری پایدار. این مفهوم توازنی میان دو فرایند پایه‌ای تغییر، توسعه (فرایند‌هایی که به صورت قابل </w:t>
      </w:r>
      <w:r w:rsidR="00D92F6E" w:rsidRPr="0025250D">
        <w:rPr>
          <w:rFonts w:hint="cs"/>
          <w:rtl/>
        </w:rPr>
        <w:t>پیش‌بین</w:t>
      </w:r>
      <w:r w:rsidRPr="0025250D">
        <w:rPr>
          <w:rFonts w:hint="cs"/>
          <w:rtl/>
        </w:rPr>
        <w:t xml:space="preserve">ی چرخه‌هایی را طی می‌کنند و از تمامیت </w:t>
      </w:r>
      <w:r w:rsidR="008D6F97" w:rsidRPr="0025250D">
        <w:rPr>
          <w:rFonts w:hint="cs"/>
          <w:rtl/>
        </w:rPr>
        <w:t>سامانه‌</w:t>
      </w:r>
      <w:r w:rsidRPr="0025250D">
        <w:rPr>
          <w:rFonts w:hint="cs"/>
          <w:rtl/>
        </w:rPr>
        <w:t xml:space="preserve"> حفاظت می‌کنند) و تکامل (فرایند‌هایی که به صورت غیر قابل </w:t>
      </w:r>
      <w:r w:rsidR="00D92F6E" w:rsidRPr="0025250D">
        <w:rPr>
          <w:rFonts w:hint="cs"/>
          <w:rtl/>
        </w:rPr>
        <w:t>پیش‌بین</w:t>
      </w:r>
      <w:r w:rsidRPr="0025250D">
        <w:rPr>
          <w:rFonts w:hint="cs"/>
          <w:rtl/>
        </w:rPr>
        <w:t xml:space="preserve">ی منشعب شده و ابداعات، تفاوت‌ها و اطلاعات جدید مفیدی ایجاد می‌نمایند) می‌باشد. کتاب </w:t>
      </w:r>
      <w:r w:rsidRPr="0025250D">
        <w:rPr>
          <w:rtl/>
        </w:rPr>
        <w:t>آینده‌نگاری</w:t>
      </w:r>
      <w:r w:rsidRPr="0025250D">
        <w:rPr>
          <w:rFonts w:hint="cs"/>
          <w:rtl/>
        </w:rPr>
        <w:t xml:space="preserve"> کلاسیک، آینده مشترک ما</w:t>
      </w:r>
      <w:r w:rsidRPr="0025250D">
        <w:rPr>
          <w:vertAlign w:val="superscript"/>
          <w:rtl/>
        </w:rPr>
        <w:footnoteReference w:id="3039"/>
      </w:r>
      <w:r w:rsidRPr="0025250D">
        <w:rPr>
          <w:rFonts w:hint="cs"/>
          <w:rtl/>
        </w:rPr>
        <w:t xml:space="preserve"> اثر نخست وزیر اسبق نروژ </w:t>
      </w:r>
      <w:r w:rsidRPr="0025250D">
        <w:rPr>
          <w:rtl/>
        </w:rPr>
        <w:t>گرو بروندلند</w:t>
      </w:r>
      <w:r w:rsidRPr="0025250D">
        <w:rPr>
          <w:vertAlign w:val="superscript"/>
          <w:rtl/>
        </w:rPr>
        <w:footnoteReference w:id="3040"/>
      </w:r>
      <w:r w:rsidRPr="0025250D">
        <w:rPr>
          <w:rFonts w:hint="cs"/>
          <w:rtl/>
        </w:rPr>
        <w:t xml:space="preserve"> در سال 1987، مفهوم توسعه پایدار را محبوب کرد. این امر ما را در مسیر مسئولیت پذیری خط مبن</w:t>
      </w:r>
      <w:r w:rsidR="009A5058" w:rsidRPr="0025250D">
        <w:rPr>
          <w:rFonts w:hint="cs"/>
          <w:rtl/>
        </w:rPr>
        <w:t>ا</w:t>
      </w:r>
      <w:r w:rsidRPr="0025250D">
        <w:rPr>
          <w:rFonts w:hint="cs"/>
          <w:rtl/>
        </w:rPr>
        <w:t>ی سه گانه (مردم، سیاره، سود) قرار داد. این امر در عوض ما را به مسئولیت پذیری</w:t>
      </w:r>
      <w:r w:rsidR="008D6F97" w:rsidRPr="0025250D">
        <w:t xml:space="preserve"> </w:t>
      </w:r>
      <w:r w:rsidRPr="0025250D">
        <w:t>ESG</w:t>
      </w:r>
      <w:r w:rsidRPr="0025250D">
        <w:rPr>
          <w:rFonts w:hint="cs"/>
          <w:rtl/>
        </w:rPr>
        <w:t xml:space="preserve"> (زیست محیطی، اجتماعی، دولتی) هدایت کرد. می‌توانیم این مورد را مسئولیت پذیری چهارگانه یا مردم، سیاره، سود، فرایند بنامیم. همان طور که نسل‌های آینده به شما خواهند گفت، ایجاد فرایند‌های شرکتی متوازن، فراگیر، بازنمایی کننده، شفاف و پاسخگو، امروز بسیار بیش‌تر از هر زمان دیگری در گذشته اهمیت دارد.</w:t>
      </w:r>
    </w:p>
    <w:p w14:paraId="57DD42A9" w14:textId="6E3551AA" w:rsidR="00537CC8" w:rsidRPr="0025250D" w:rsidRDefault="00537CC8" w:rsidP="00537CC8">
      <w:pPr>
        <w:rPr>
          <w:rtl/>
        </w:rPr>
      </w:pPr>
      <w:r w:rsidRPr="0025250D">
        <w:rPr>
          <w:rFonts w:hint="cs"/>
          <w:rtl/>
        </w:rPr>
        <w:t xml:space="preserve">به شکل جالبی، تفکر تکاملی-توسعه‌ای به ما می‌گوید که اصطلاح </w:t>
      </w:r>
      <w:r w:rsidR="002C61FC" w:rsidRPr="0025250D">
        <w:rPr>
          <w:rtl/>
        </w:rPr>
        <w:t>«</w:t>
      </w:r>
      <w:r w:rsidRPr="0025250D">
        <w:rPr>
          <w:rFonts w:hint="cs"/>
          <w:rtl/>
        </w:rPr>
        <w:t>توسعه پایدار</w:t>
      </w:r>
      <w:r w:rsidR="002C61FC" w:rsidRPr="0025250D">
        <w:rPr>
          <w:rtl/>
        </w:rPr>
        <w:t>»</w:t>
      </w:r>
      <w:r w:rsidRPr="0025250D">
        <w:rPr>
          <w:rFonts w:hint="cs"/>
          <w:rtl/>
        </w:rPr>
        <w:t xml:space="preserve">، هر چقدر هم که از نظر تاریخی مفید بوده باشد، به عنوان </w:t>
      </w:r>
      <w:r w:rsidR="00B56611" w:rsidRPr="0025250D">
        <w:rPr>
          <w:rFonts w:hint="cs"/>
          <w:rtl/>
        </w:rPr>
        <w:t>چشم‌انداز</w:t>
      </w:r>
      <w:r w:rsidRPr="0025250D">
        <w:rPr>
          <w:rFonts w:hint="cs"/>
          <w:rtl/>
        </w:rPr>
        <w:t xml:space="preserve">ی برای آینده بشر کافی نیست. در نظر بگیرید که هر دو کلمه تنها یک جنبه از اهداف </w:t>
      </w:r>
      <w:r w:rsidRPr="0025250D">
        <w:t>IES</w:t>
      </w:r>
      <w:r w:rsidRPr="0025250D">
        <w:rPr>
          <w:rFonts w:hint="cs"/>
          <w:rtl/>
        </w:rPr>
        <w:t xml:space="preserve"> را بازنمایی می‌کنند. طبق قانون 95/5، نیاز داریم که بدانیم که مسیر به سمت یک آینده بهتر</w:t>
      </w:r>
      <w:r w:rsidR="008D6F97" w:rsidRPr="0025250D">
        <w:rPr>
          <w:rtl/>
        </w:rPr>
        <w:t xml:space="preserve"> </w:t>
      </w:r>
      <w:r w:rsidRPr="0025250D">
        <w:rPr>
          <w:rFonts w:hint="cs"/>
          <w:rtl/>
        </w:rPr>
        <w:t xml:space="preserve">تا 95 درصد متشکل از داستانی از افزایش نوآوری و هوش جمعی است، نه توسعه. این مسیر آشفته و غیر قابل </w:t>
      </w:r>
      <w:r w:rsidR="00D92F6E" w:rsidRPr="0025250D">
        <w:rPr>
          <w:rFonts w:hint="cs"/>
          <w:rtl/>
        </w:rPr>
        <w:t>پیش‌بین</w:t>
      </w:r>
      <w:r w:rsidRPr="0025250D">
        <w:rPr>
          <w:rFonts w:hint="cs"/>
          <w:rtl/>
        </w:rPr>
        <w:t>ی خواهد بود، درست مانند هر فرایند تکاملی دیگر.</w:t>
      </w:r>
    </w:p>
    <w:p w14:paraId="5E5342CE" w14:textId="153D0066" w:rsidR="00537CC8" w:rsidRPr="0025250D" w:rsidRDefault="00537CC8" w:rsidP="00537CC8">
      <w:pPr>
        <w:rPr>
          <w:rtl/>
        </w:rPr>
      </w:pPr>
      <w:r w:rsidRPr="0025250D">
        <w:rPr>
          <w:rFonts w:hint="cs"/>
          <w:rtl/>
        </w:rPr>
        <w:t>ما به قوانین، سیاست‌ها و کنشگری خوبی برای حفاظت از مردم و محیط زیستمان نیاز داریم</w:t>
      </w:r>
      <w:r w:rsidR="008D6F97" w:rsidRPr="0025250D">
        <w:rPr>
          <w:rtl/>
        </w:rPr>
        <w:t xml:space="preserve">؛ </w:t>
      </w:r>
      <w:r w:rsidRPr="0025250D">
        <w:rPr>
          <w:rFonts w:hint="cs"/>
          <w:rtl/>
        </w:rPr>
        <w:t xml:space="preserve">اما این پاسخ‌ها باید نوآوری را توانمند سازند تا ما را از مشکلاتمان خارج کنند و سطح جدیدی از پیچیدگی و </w:t>
      </w:r>
      <w:r w:rsidR="00B124DE" w:rsidRPr="0025250D">
        <w:rPr>
          <w:rFonts w:hint="cs"/>
          <w:rtl/>
        </w:rPr>
        <w:t>انطباق‌پذیر</w:t>
      </w:r>
      <w:r w:rsidRPr="0025250D">
        <w:rPr>
          <w:rFonts w:hint="cs"/>
          <w:rtl/>
        </w:rPr>
        <w:t xml:space="preserve">ی را، به همان اندازه‌ای که از </w:t>
      </w:r>
      <w:r w:rsidR="008D6F97" w:rsidRPr="0025250D">
        <w:rPr>
          <w:rFonts w:hint="cs"/>
          <w:rtl/>
        </w:rPr>
        <w:t>سامانه‌</w:t>
      </w:r>
      <w:r w:rsidRPr="0025250D">
        <w:rPr>
          <w:rFonts w:hint="cs"/>
          <w:rtl/>
        </w:rPr>
        <w:t xml:space="preserve">‌های مهم ما حفاظت کرده و آن‌ها را پایدار نگه دارند، </w:t>
      </w:r>
      <w:r w:rsidR="00B453C0" w:rsidRPr="0025250D">
        <w:rPr>
          <w:rFonts w:hint="cs"/>
          <w:rtl/>
        </w:rPr>
        <w:t>امکان‌پذیر</w:t>
      </w:r>
      <w:r w:rsidRPr="0025250D">
        <w:rPr>
          <w:rFonts w:hint="cs"/>
          <w:rtl/>
        </w:rPr>
        <w:t xml:space="preserve"> سازند. ما به تحصیلات بسیار خوب، </w:t>
      </w:r>
      <w:r w:rsidR="00F50EB4" w:rsidRPr="0025250D">
        <w:rPr>
          <w:rFonts w:hint="cs"/>
          <w:rtl/>
        </w:rPr>
        <w:t>سرمایه‌گذاری</w:t>
      </w:r>
      <w:r w:rsidRPr="0025250D">
        <w:rPr>
          <w:rFonts w:hint="cs"/>
          <w:rtl/>
        </w:rPr>
        <w:t xml:space="preserve"> عمیق در علم، فنّاوری، مهندسی و کارآفرینی و دیگر اولویت‌های نوآوری محور، همراه با اولویت‌های پایداری نیاز داریم. امروزه، ما پایداری را به عنوان یک حالت سکون در نظر می‌گیریم که از هر چیزی که وجود دارد حفاظت می‌کند</w:t>
      </w:r>
      <w:r w:rsidR="008D6F97" w:rsidRPr="0025250D">
        <w:rPr>
          <w:rtl/>
        </w:rPr>
        <w:t xml:space="preserve">؛ </w:t>
      </w:r>
      <w:r w:rsidRPr="0025250D">
        <w:rPr>
          <w:rFonts w:hint="cs"/>
          <w:rtl/>
        </w:rPr>
        <w:t xml:space="preserve">اما طبیعت دائما </w:t>
      </w:r>
      <w:r w:rsidR="008D6F97" w:rsidRPr="0025250D">
        <w:rPr>
          <w:rFonts w:hint="cs"/>
          <w:rtl/>
        </w:rPr>
        <w:t>سامانه‌</w:t>
      </w:r>
      <w:r w:rsidRPr="0025250D">
        <w:rPr>
          <w:rFonts w:hint="cs"/>
          <w:rtl/>
        </w:rPr>
        <w:t>‌هایی را که کم‌تر متناسب باشند حذف می‌کند تا از پیچیدگی شبکه‌ای حفاظت کرده و آن را بهبود دهد. ما باید همین کار را با اخلاقیات و همدلی رو به رشدی انجام دهیم.</w:t>
      </w:r>
    </w:p>
    <w:p w14:paraId="3B36CAE1" w14:textId="24F7D5B2" w:rsidR="00537CC8" w:rsidRPr="0025250D" w:rsidRDefault="00537CC8" w:rsidP="00537CC8">
      <w:pPr>
        <w:rPr>
          <w:rtl/>
        </w:rPr>
      </w:pPr>
      <w:r w:rsidRPr="0025250D">
        <w:rPr>
          <w:rFonts w:hint="cs"/>
          <w:rtl/>
        </w:rPr>
        <w:t xml:space="preserve">به بیان </w:t>
      </w:r>
      <w:r w:rsidR="00D92F6E" w:rsidRPr="0025250D">
        <w:rPr>
          <w:rFonts w:hint="cs"/>
          <w:rtl/>
        </w:rPr>
        <w:t>آینده‌پژوه</w:t>
      </w:r>
      <w:r w:rsidRPr="0025250D">
        <w:rPr>
          <w:rFonts w:hint="cs"/>
          <w:rtl/>
        </w:rPr>
        <w:t xml:space="preserve"> </w:t>
      </w:r>
      <w:r w:rsidRPr="0025250D">
        <w:rPr>
          <w:rtl/>
        </w:rPr>
        <w:t xml:space="preserve">مکس </w:t>
      </w:r>
      <w:r w:rsidRPr="0025250D">
        <w:rPr>
          <w:rFonts w:hint="cs"/>
          <w:rtl/>
        </w:rPr>
        <w:t>مور</w:t>
      </w:r>
      <w:r w:rsidRPr="0025250D">
        <w:rPr>
          <w:vertAlign w:val="superscript"/>
          <w:rtl/>
        </w:rPr>
        <w:footnoteReference w:id="3041"/>
      </w:r>
      <w:r w:rsidRPr="0025250D">
        <w:rPr>
          <w:rFonts w:hint="cs"/>
          <w:rtl/>
        </w:rPr>
        <w:t xml:space="preserve">، هر چه جوامع ما ثروتمند‌تر </w:t>
      </w:r>
      <w:r w:rsidR="00185F3E" w:rsidRPr="0025250D">
        <w:rPr>
          <w:rFonts w:hint="cs"/>
          <w:rtl/>
        </w:rPr>
        <w:t>شده‌اند</w:t>
      </w:r>
      <w:r w:rsidRPr="0025250D">
        <w:rPr>
          <w:rFonts w:hint="cs"/>
          <w:rtl/>
        </w:rPr>
        <w:t xml:space="preserve">، در سیاست‌ها و قواعد اجتماعی خود بیش‌تر به یک قاعده احتیاطی (بهتر است امن باشیم تا </w:t>
      </w:r>
      <w:r w:rsidR="00B124DE" w:rsidRPr="0025250D">
        <w:rPr>
          <w:rFonts w:hint="cs"/>
          <w:rtl/>
        </w:rPr>
        <w:t>انطباق‌پذیر</w:t>
      </w:r>
      <w:r w:rsidRPr="0025250D">
        <w:rPr>
          <w:rFonts w:hint="cs"/>
          <w:rtl/>
        </w:rPr>
        <w:t xml:space="preserve">ی خود را ارتقاء دهیم)، به جای آنچه که او یک قاعده کنش گری که در آن ما از </w:t>
      </w:r>
      <w:r w:rsidRPr="0025250D">
        <w:rPr>
          <w:rtl/>
        </w:rPr>
        <w:t>آینده‌نگاری</w:t>
      </w:r>
      <w:r w:rsidRPr="0025250D">
        <w:rPr>
          <w:rFonts w:hint="cs"/>
          <w:rtl/>
        </w:rPr>
        <w:t xml:space="preserve"> برای یافتن بزرگترین و بهترین فرصت هایمان بهره می‌گیریم و ریسک‌های دنبال کردن آن‌ها در مقابل ریسک‌های اجتناب از آن‌ها و هزینه‌های باقی ماندن در یک حالت وجودی خشن اولیه را متوازن می‌نماییم، جذب شده ایم.</w:t>
      </w:r>
    </w:p>
    <w:p w14:paraId="4011DEBF" w14:textId="0E8ACB3D" w:rsidR="00537CC8" w:rsidRPr="0025250D" w:rsidRDefault="00537CC8" w:rsidP="00537CC8">
      <w:pPr>
        <w:rPr>
          <w:rtl/>
        </w:rPr>
      </w:pPr>
      <w:r w:rsidRPr="0025250D">
        <w:rPr>
          <w:rFonts w:hint="cs"/>
          <w:rtl/>
        </w:rPr>
        <w:t xml:space="preserve">پیشنهاد می‌کنیم هر کسی که درمورد افزایش پایداری بدون تشخیص این که ما در دنیایی از نوآوری، هوشمندی و تخریب خلاق (تخریب، باز سازی و </w:t>
      </w:r>
      <w:r w:rsidR="002F3C14" w:rsidRPr="0025250D">
        <w:rPr>
          <w:rFonts w:hint="cs"/>
          <w:rtl/>
        </w:rPr>
        <w:t>انطباق</w:t>
      </w:r>
      <w:r w:rsidRPr="0025250D">
        <w:rPr>
          <w:rFonts w:hint="cs"/>
          <w:rtl/>
        </w:rPr>
        <w:t xml:space="preserve"> به مرور زمان) </w:t>
      </w:r>
      <w:r w:rsidR="007B3B35" w:rsidRPr="0025250D">
        <w:rPr>
          <w:rFonts w:hint="cs"/>
          <w:rtl/>
        </w:rPr>
        <w:t>شتاب‌گیر</w:t>
      </w:r>
      <w:r w:rsidRPr="0025250D">
        <w:rPr>
          <w:rFonts w:hint="cs"/>
          <w:rtl/>
        </w:rPr>
        <w:t xml:space="preserve">نده زندگی می‌کنیم صحبت می‌کند، یک دیدگاه کلی نامتوازن دارد. به همین ترتیب، هر کسی که به نوآوری بدون تشخیص این که جهان ما باید به شکل فزاینده‌ای خود را ایمن نگه داشته و پایدار سازد، می‌پردازد نیز به همان اندازه نامتوازن است. </w:t>
      </w:r>
      <w:r w:rsidR="007118DE" w:rsidRPr="0025250D">
        <w:rPr>
          <w:rFonts w:hint="cs"/>
          <w:rtl/>
        </w:rPr>
        <w:t>همان‌طور</w:t>
      </w:r>
      <w:r w:rsidRPr="0025250D">
        <w:rPr>
          <w:rFonts w:hint="cs"/>
          <w:rtl/>
        </w:rPr>
        <w:t xml:space="preserve"> که در </w:t>
      </w:r>
      <w:r w:rsidRPr="0025250D">
        <w:t>BPF</w:t>
      </w:r>
      <w:r w:rsidRPr="0025250D">
        <w:rPr>
          <w:rFonts w:hint="cs"/>
          <w:rtl/>
        </w:rPr>
        <w:t xml:space="preserve"> بررسی خواهیم کرد، هم نوآوری و هم پایداری ارزش‌های مهمی در شبکه‌های پیچیده هستند، با این حال آن‌ها همچنین دائما با یکدیگر در تضاد هستند. همچنین ارزش‌های هوشمندی و ایمنی و به شکل کم‌تر واضحی ارزش‌های همدلی و اخلاق، دو زوج دیگر از اهداف </w:t>
      </w:r>
      <w:r w:rsidRPr="0025250D">
        <w:t>IES</w:t>
      </w:r>
      <w:r w:rsidRPr="0025250D">
        <w:rPr>
          <w:rFonts w:hint="cs"/>
          <w:rtl/>
        </w:rPr>
        <w:t xml:space="preserve"> نیز این گونه هستند. از نظر ما، 6 هدف </w:t>
      </w:r>
      <w:r w:rsidRPr="0025250D">
        <w:t>IES</w:t>
      </w:r>
      <w:r w:rsidRPr="0025250D">
        <w:rPr>
          <w:rFonts w:hint="cs"/>
          <w:rtl/>
        </w:rPr>
        <w:t xml:space="preserve"> و ارزش‌های مرتبط با آن‌ها، مشخصا برای بشر به عنوان پیچیده‌ترین شبکه </w:t>
      </w:r>
      <w:r w:rsidR="00B124DE" w:rsidRPr="0025250D">
        <w:rPr>
          <w:rFonts w:hint="cs"/>
          <w:rtl/>
        </w:rPr>
        <w:t>انطباق‌پذیر</w:t>
      </w:r>
      <w:r w:rsidRPr="0025250D">
        <w:rPr>
          <w:rFonts w:hint="cs"/>
          <w:rtl/>
        </w:rPr>
        <w:t xml:space="preserve"> بر روی زمین، فراگیر به نظر می‌رسند. آن‌ها باید توسط رهبران و گروه‌ها تصدیق شوند و تناقضات آن‌ها باید در </w:t>
      </w:r>
      <w:r w:rsidR="00701E03" w:rsidRPr="0025250D">
        <w:rPr>
          <w:rFonts w:hint="cs"/>
          <w:rtl/>
        </w:rPr>
        <w:t>راهبرد</w:t>
      </w:r>
      <w:r w:rsidRPr="0025250D">
        <w:rPr>
          <w:rFonts w:hint="cs"/>
          <w:rtl/>
        </w:rPr>
        <w:t>، برنامه‌ها واقدامات برای رشد و ترقی سازمان‌ها و جوامع ما مدیریت شوند.</w:t>
      </w:r>
    </w:p>
    <w:p w14:paraId="089B2A65" w14:textId="77777777" w:rsidR="00537CC8" w:rsidRPr="0025250D" w:rsidRDefault="00537CC8" w:rsidP="00537CC8">
      <w:pPr>
        <w:rPr>
          <w:rtl/>
        </w:rPr>
      </w:pPr>
    </w:p>
    <w:p w14:paraId="046C48B6" w14:textId="141DFAD7" w:rsidR="00537CC8" w:rsidRPr="0025250D" w:rsidRDefault="00B56611" w:rsidP="00EF26F0">
      <w:pPr>
        <w:pStyle w:val="Heading2"/>
        <w:rPr>
          <w:rtl/>
        </w:rPr>
      </w:pPr>
      <w:bookmarkStart w:id="75" w:name="_Toc127831340"/>
      <w:r w:rsidRPr="0025250D">
        <w:rPr>
          <w:rFonts w:hint="cs"/>
          <w:rtl/>
        </w:rPr>
        <w:t>چشم‌انداز</w:t>
      </w:r>
      <w:r w:rsidR="00537CC8" w:rsidRPr="0025250D">
        <w:rPr>
          <w:rFonts w:hint="cs"/>
          <w:rtl/>
        </w:rPr>
        <w:t xml:space="preserve"> </w:t>
      </w:r>
      <w:r w:rsidR="00537CC8" w:rsidRPr="0025250D">
        <w:rPr>
          <w:rtl/>
        </w:rPr>
        <w:t>ف</w:t>
      </w:r>
      <w:r w:rsidR="00537CC8" w:rsidRPr="0025250D">
        <w:rPr>
          <w:rFonts w:hint="cs"/>
          <w:rtl/>
        </w:rPr>
        <w:t>ی</w:t>
      </w:r>
      <w:r w:rsidR="00537CC8" w:rsidRPr="0025250D">
        <w:rPr>
          <w:rFonts w:hint="eastAsia"/>
          <w:rtl/>
        </w:rPr>
        <w:t>وچرپد</w:t>
      </w:r>
      <w:r w:rsidR="00537CC8" w:rsidRPr="0025250D">
        <w:rPr>
          <w:rFonts w:hint="cs"/>
          <w:rtl/>
        </w:rPr>
        <w:t>ی</w:t>
      </w:r>
      <w:r w:rsidR="00537CC8" w:rsidRPr="0025250D">
        <w:rPr>
          <w:rFonts w:hint="eastAsia"/>
          <w:rtl/>
        </w:rPr>
        <w:t>ا</w:t>
      </w:r>
      <w:bookmarkEnd w:id="75"/>
    </w:p>
    <w:p w14:paraId="492E17C7" w14:textId="7DA3ACF6" w:rsidR="00537CC8" w:rsidRPr="0025250D" w:rsidRDefault="00537CC8" w:rsidP="00537CC8">
      <w:pPr>
        <w:rPr>
          <w:rtl/>
        </w:rPr>
      </w:pPr>
      <w:r w:rsidRPr="0025250D">
        <w:rPr>
          <w:rFonts w:hint="cs"/>
          <w:rtl/>
        </w:rPr>
        <w:t xml:space="preserve">اجازه دهید این کتاب را با مقدمه‌ای بر </w:t>
      </w:r>
      <w:r w:rsidRPr="0025250D">
        <w:rPr>
          <w:rtl/>
        </w:rPr>
        <w:t>ف</w:t>
      </w:r>
      <w:r w:rsidRPr="0025250D">
        <w:rPr>
          <w:rFonts w:hint="cs"/>
          <w:rtl/>
        </w:rPr>
        <w:t>ی</w:t>
      </w:r>
      <w:r w:rsidRPr="0025250D">
        <w:rPr>
          <w:rFonts w:hint="eastAsia"/>
          <w:rtl/>
        </w:rPr>
        <w:t>وچرپد</w:t>
      </w:r>
      <w:r w:rsidRPr="0025250D">
        <w:rPr>
          <w:rFonts w:hint="cs"/>
          <w:rtl/>
        </w:rPr>
        <w:t>ی</w:t>
      </w:r>
      <w:r w:rsidRPr="0025250D">
        <w:rPr>
          <w:rFonts w:hint="eastAsia"/>
          <w:rtl/>
        </w:rPr>
        <w:t>ا</w:t>
      </w:r>
      <w:r w:rsidRPr="0025250D">
        <w:rPr>
          <w:rFonts w:hint="cs"/>
          <w:rtl/>
        </w:rPr>
        <w:t xml:space="preserve"> به پایان برسانیم. پس از انتشار </w:t>
      </w:r>
      <w:r w:rsidRPr="0025250D">
        <w:t>ITF</w:t>
      </w:r>
      <w:r w:rsidRPr="0025250D">
        <w:rPr>
          <w:rFonts w:hint="cs"/>
          <w:rtl/>
        </w:rPr>
        <w:t xml:space="preserve"> و </w:t>
      </w:r>
      <w:r w:rsidRPr="0025250D">
        <w:t>BPF</w:t>
      </w:r>
      <w:r w:rsidRPr="0025250D">
        <w:rPr>
          <w:rFonts w:hint="cs"/>
          <w:rtl/>
        </w:rPr>
        <w:t xml:space="preserve">، </w:t>
      </w:r>
      <w:r w:rsidRPr="0025250D">
        <w:rPr>
          <w:rtl/>
        </w:rPr>
        <w:t>ف</w:t>
      </w:r>
      <w:r w:rsidRPr="0025250D">
        <w:rPr>
          <w:rFonts w:hint="cs"/>
          <w:rtl/>
        </w:rPr>
        <w:t>ی</w:t>
      </w:r>
      <w:r w:rsidRPr="0025250D">
        <w:rPr>
          <w:rFonts w:hint="eastAsia"/>
          <w:rtl/>
        </w:rPr>
        <w:t>وچرپد</w:t>
      </w:r>
      <w:r w:rsidRPr="0025250D">
        <w:rPr>
          <w:rFonts w:hint="cs"/>
          <w:rtl/>
        </w:rPr>
        <w:t>ی</w:t>
      </w:r>
      <w:r w:rsidRPr="0025250D">
        <w:rPr>
          <w:rFonts w:hint="eastAsia"/>
          <w:rtl/>
        </w:rPr>
        <w:t>ا</w:t>
      </w:r>
      <w:r w:rsidRPr="0025250D">
        <w:rPr>
          <w:rFonts w:hint="cs"/>
          <w:rtl/>
        </w:rPr>
        <w:t xml:space="preserve"> پروژه بعدی </w:t>
      </w:r>
      <w:r w:rsidRPr="0025250D">
        <w:rPr>
          <w:rtl/>
        </w:rPr>
        <w:t>بن</w:t>
      </w:r>
      <w:r w:rsidRPr="0025250D">
        <w:rPr>
          <w:rFonts w:hint="cs"/>
          <w:rtl/>
        </w:rPr>
        <w:t>ی</w:t>
      </w:r>
      <w:r w:rsidRPr="0025250D">
        <w:rPr>
          <w:rFonts w:hint="eastAsia"/>
          <w:rtl/>
        </w:rPr>
        <w:t>اد</w:t>
      </w:r>
      <w:r w:rsidRPr="0025250D">
        <w:rPr>
          <w:rtl/>
        </w:rPr>
        <w:t xml:space="preserve"> مطالعات </w:t>
      </w:r>
      <w:r w:rsidR="00B56611" w:rsidRPr="0025250D">
        <w:rPr>
          <w:rtl/>
        </w:rPr>
        <w:t>شتاب‌گیری</w:t>
      </w:r>
      <w:r w:rsidRPr="0025250D">
        <w:rPr>
          <w:vertAlign w:val="superscript"/>
          <w:rtl/>
        </w:rPr>
        <w:footnoteReference w:id="3042"/>
      </w:r>
      <w:r w:rsidRPr="0025250D">
        <w:rPr>
          <w:rFonts w:hint="cs"/>
          <w:rtl/>
        </w:rPr>
        <w:t xml:space="preserve"> (</w:t>
      </w:r>
      <w:r w:rsidRPr="0025250D">
        <w:t>ASF</w:t>
      </w:r>
      <w:r w:rsidRPr="0025250D">
        <w:rPr>
          <w:rFonts w:hint="cs"/>
          <w:rtl/>
        </w:rPr>
        <w:t xml:space="preserve">)، بنیاد غیر انتفاعی حامی این کتاب راهنما است. </w:t>
      </w:r>
      <w:r w:rsidRPr="0025250D">
        <w:t>ASF</w:t>
      </w:r>
      <w:r w:rsidRPr="0025250D">
        <w:rPr>
          <w:rFonts w:hint="cs"/>
          <w:rtl/>
        </w:rPr>
        <w:t xml:space="preserve"> باور دارد که در نسل بعدی، </w:t>
      </w:r>
      <w:r w:rsidRPr="0025250D">
        <w:rPr>
          <w:rtl/>
        </w:rPr>
        <w:t>آینده‌نگاری</w:t>
      </w:r>
      <w:r w:rsidRPr="0025250D">
        <w:rPr>
          <w:rFonts w:hint="cs"/>
          <w:rtl/>
        </w:rPr>
        <w:t xml:space="preserve"> اجتماعی به یک فعالیت مبتنی بر شواهد، احتمالی و محبوب تبدیل می‌شود. به دلیل تغییر </w:t>
      </w:r>
      <w:r w:rsidR="007B3B35" w:rsidRPr="0025250D">
        <w:rPr>
          <w:rFonts w:hint="cs"/>
          <w:rtl/>
        </w:rPr>
        <w:t>شتاب‌گیر</w:t>
      </w:r>
      <w:r w:rsidRPr="0025250D">
        <w:rPr>
          <w:rFonts w:hint="cs"/>
          <w:rtl/>
        </w:rPr>
        <w:t xml:space="preserve">نده، تعداد بیش‌تری از موارد ممکن و قابل </w:t>
      </w:r>
      <w:r w:rsidR="00D92F6E" w:rsidRPr="0025250D">
        <w:rPr>
          <w:rFonts w:hint="cs"/>
          <w:rtl/>
        </w:rPr>
        <w:t>پیش‌بین</w:t>
      </w:r>
      <w:r w:rsidRPr="0025250D">
        <w:rPr>
          <w:rFonts w:hint="cs"/>
          <w:rtl/>
        </w:rPr>
        <w:t xml:space="preserve">ی از آینده ما از پیش </w:t>
      </w:r>
      <w:r w:rsidRPr="0025250D">
        <w:rPr>
          <w:rFonts w:cs="Times New Roman" w:hint="cs"/>
          <w:rtl/>
        </w:rPr>
        <w:t>–</w:t>
      </w:r>
      <w:r w:rsidRPr="0025250D">
        <w:rPr>
          <w:rFonts w:hint="cs"/>
          <w:rtl/>
        </w:rPr>
        <w:t xml:space="preserve"> با ترکیبی از </w:t>
      </w:r>
      <w:r w:rsidRPr="0025250D">
        <w:rPr>
          <w:rtl/>
        </w:rPr>
        <w:t>آینده‌نگاری</w:t>
      </w:r>
      <w:r w:rsidRPr="0025250D">
        <w:rPr>
          <w:rFonts w:hint="cs"/>
          <w:rtl/>
        </w:rPr>
        <w:t xml:space="preserve"> غیرتخصصی و تخصصی، هوش جمعی انسانی یاری شده توسط اینترنت، مدل‌های آماری، پلتفرم‌های </w:t>
      </w:r>
      <w:r w:rsidR="00D92F6E" w:rsidRPr="0025250D">
        <w:rPr>
          <w:rFonts w:hint="cs"/>
          <w:rtl/>
        </w:rPr>
        <w:t>پیش‌بین</w:t>
      </w:r>
      <w:r w:rsidRPr="0025250D">
        <w:rPr>
          <w:rFonts w:hint="cs"/>
          <w:rtl/>
        </w:rPr>
        <w:t>ی و تکنیک‌های محاسباتی - قابل</w:t>
      </w:r>
      <w:r w:rsidRPr="0025250D">
        <w:rPr>
          <w:rtl/>
        </w:rPr>
        <w:t xml:space="preserve"> </w:t>
      </w:r>
      <w:r w:rsidRPr="0025250D">
        <w:rPr>
          <w:rFonts w:hint="cs"/>
          <w:rtl/>
        </w:rPr>
        <w:t>کشف</w:t>
      </w:r>
      <w:r w:rsidRPr="0025250D">
        <w:rPr>
          <w:rtl/>
        </w:rPr>
        <w:t xml:space="preserve"> </w:t>
      </w:r>
      <w:r w:rsidRPr="0025250D">
        <w:rPr>
          <w:rFonts w:hint="cs"/>
          <w:rtl/>
        </w:rPr>
        <w:t>خواهند</w:t>
      </w:r>
      <w:r w:rsidRPr="0025250D">
        <w:rPr>
          <w:rtl/>
        </w:rPr>
        <w:t xml:space="preserve"> </w:t>
      </w:r>
      <w:r w:rsidRPr="0025250D">
        <w:rPr>
          <w:rFonts w:hint="cs"/>
          <w:rtl/>
        </w:rPr>
        <w:t xml:space="preserve">بود. به عنوان بخشی از این توسعه، جهان می‌تواند انتشار پلتفرم‌های </w:t>
      </w:r>
      <w:r w:rsidRPr="0025250D">
        <w:rPr>
          <w:rtl/>
        </w:rPr>
        <w:t>آینده‌نگاری</w:t>
      </w:r>
      <w:r w:rsidRPr="0025250D">
        <w:rPr>
          <w:rFonts w:hint="cs"/>
          <w:rtl/>
        </w:rPr>
        <w:t xml:space="preserve"> جمعی مفید را بیش از پیش داشته باشد. ما تعدادی از این پلتفرم‌ها را در این کتاب توصیف کردیم. اکنون بیایید درمورد پلتفرمی صحبت کنیم که خودمان در حال </w:t>
      </w:r>
      <w:r w:rsidR="00D92F6E" w:rsidRPr="0025250D">
        <w:rPr>
          <w:rFonts w:hint="cs"/>
          <w:rtl/>
        </w:rPr>
        <w:t>آماده‌سازی</w:t>
      </w:r>
      <w:r w:rsidRPr="0025250D">
        <w:rPr>
          <w:rFonts w:hint="cs"/>
          <w:rtl/>
        </w:rPr>
        <w:t xml:space="preserve"> عرضه آن هستیم.</w:t>
      </w:r>
    </w:p>
    <w:p w14:paraId="085306D6" w14:textId="77777777" w:rsidR="00537CC8" w:rsidRPr="0025250D" w:rsidRDefault="00537CC8" w:rsidP="00EF26F0">
      <w:pPr>
        <w:jc w:val="center"/>
        <w:rPr>
          <w:rtl/>
        </w:rPr>
      </w:pPr>
      <w:r w:rsidRPr="0025250D">
        <w:rPr>
          <w:noProof/>
          <w:rtl/>
          <w:lang w:bidi="ar-SA"/>
        </w:rPr>
        <w:drawing>
          <wp:inline distT="0" distB="0" distL="0" distR="0" wp14:anchorId="0F5A235D" wp14:editId="161D1C57">
            <wp:extent cx="1787856" cy="1026720"/>
            <wp:effectExtent l="0" t="0" r="3175" b="2540"/>
            <wp:docPr id="166" name="Picture 166" descr="D:\کار\مستقل\3 ( ترجمه ی دانشگاه تهران  )\Introduction to Foresight\part8\64-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کار\مستقل\3 ( ترجمه ی دانشگاه تهران  )\Introduction to Foresight\part8\64-new.png"/>
                    <pic:cNvPicPr>
                      <a:picLocks noChangeAspect="1" noChangeArrowheads="1"/>
                    </pic:cNvPicPr>
                  </pic:nvPicPr>
                  <pic:blipFill rotWithShape="1">
                    <a:blip r:embed="rId276" cstate="screen">
                      <a:extLst>
                        <a:ext uri="{BEBA8EAE-BF5A-486C-A8C5-ECC9F3942E4B}">
                          <a14:imgProps xmlns:a14="http://schemas.microsoft.com/office/drawing/2010/main">
                            <a14:imgLayer r:embed="rId277">
                              <a14:imgEffect>
                                <a14:saturation sat="0"/>
                              </a14:imgEffect>
                            </a14:imgLayer>
                          </a14:imgProps>
                        </a:ext>
                        <a:ext uri="{28A0092B-C50C-407E-A947-70E740481C1C}">
                          <a14:useLocalDpi xmlns:a14="http://schemas.microsoft.com/office/drawing/2010/main"/>
                        </a:ext>
                      </a:extLst>
                    </a:blip>
                    <a:srcRect b="24683"/>
                    <a:stretch/>
                  </pic:blipFill>
                  <pic:spPr bwMode="auto">
                    <a:xfrm>
                      <a:off x="0" y="0"/>
                      <a:ext cx="1804120" cy="1036060"/>
                    </a:xfrm>
                    <a:prstGeom prst="rect">
                      <a:avLst/>
                    </a:prstGeom>
                    <a:noFill/>
                    <a:ln>
                      <a:noFill/>
                    </a:ln>
                    <a:extLst>
                      <a:ext uri="{53640926-AAD7-44D8-BBD7-CCE9431645EC}">
                        <a14:shadowObscured xmlns:a14="http://schemas.microsoft.com/office/drawing/2010/main"/>
                      </a:ext>
                    </a:extLst>
                  </pic:spPr>
                </pic:pic>
              </a:graphicData>
            </a:graphic>
          </wp:inline>
        </w:drawing>
      </w:r>
    </w:p>
    <w:p w14:paraId="7439F58A" w14:textId="1B408C6B" w:rsidR="00537CC8" w:rsidRPr="0025250D" w:rsidRDefault="00537CC8" w:rsidP="00EF26F0">
      <w:pPr>
        <w:jc w:val="center"/>
        <w:rPr>
          <w:rtl/>
        </w:rPr>
      </w:pPr>
      <w:r w:rsidRPr="0025250D">
        <w:rPr>
          <w:rFonts w:hint="cs"/>
          <w:rtl/>
        </w:rPr>
        <w:t xml:space="preserve">آینده‌های ممکن، محتمل و مرجح با استفاده از خرد </w:t>
      </w:r>
      <w:r w:rsidR="00D92F6E" w:rsidRPr="0025250D">
        <w:rPr>
          <w:rFonts w:hint="cs"/>
          <w:rtl/>
        </w:rPr>
        <w:t>آینده‌نگاری</w:t>
      </w:r>
      <w:r w:rsidRPr="0025250D">
        <w:rPr>
          <w:rFonts w:hint="cs"/>
          <w:rtl/>
        </w:rPr>
        <w:t xml:space="preserve"> جمعی</w:t>
      </w:r>
    </w:p>
    <w:p w14:paraId="6E8D9901" w14:textId="53376BB6" w:rsidR="00537CC8" w:rsidRPr="0025250D" w:rsidRDefault="00537CC8" w:rsidP="00537CC8">
      <w:pPr>
        <w:rPr>
          <w:rtl/>
        </w:rPr>
      </w:pPr>
      <w:r w:rsidRPr="0025250D">
        <w:rPr>
          <w:rFonts w:hint="cs"/>
          <w:rtl/>
        </w:rPr>
        <w:t xml:space="preserve">از سال 2003، فعالان </w:t>
      </w:r>
      <w:r w:rsidRPr="0025250D">
        <w:rPr>
          <w:rtl/>
        </w:rPr>
        <w:t>آینده‌نگاری</w:t>
      </w:r>
      <w:r w:rsidRPr="0025250D">
        <w:rPr>
          <w:rFonts w:hint="cs"/>
          <w:rtl/>
        </w:rPr>
        <w:t xml:space="preserve"> اندکی، از جمله </w:t>
      </w:r>
      <w:r w:rsidRPr="0025250D">
        <w:rPr>
          <w:rtl/>
        </w:rPr>
        <w:t>کو</w:t>
      </w:r>
      <w:r w:rsidRPr="0025250D">
        <w:rPr>
          <w:rFonts w:hint="cs"/>
          <w:rtl/>
        </w:rPr>
        <w:t>ی</w:t>
      </w:r>
      <w:r w:rsidRPr="0025250D">
        <w:rPr>
          <w:rFonts w:hint="eastAsia"/>
          <w:rtl/>
        </w:rPr>
        <w:t>ن</w:t>
      </w:r>
      <w:r w:rsidRPr="0025250D">
        <w:rPr>
          <w:rtl/>
        </w:rPr>
        <w:t xml:space="preserve"> کل</w:t>
      </w:r>
      <w:r w:rsidRPr="0025250D">
        <w:rPr>
          <w:rFonts w:hint="cs"/>
          <w:rtl/>
        </w:rPr>
        <w:t xml:space="preserve">ی، </w:t>
      </w:r>
      <w:r w:rsidRPr="0025250D">
        <w:rPr>
          <w:rtl/>
        </w:rPr>
        <w:t>م</w:t>
      </w:r>
      <w:r w:rsidRPr="0025250D">
        <w:rPr>
          <w:rFonts w:hint="cs"/>
          <w:rtl/>
        </w:rPr>
        <w:t>ی</w:t>
      </w:r>
      <w:r w:rsidRPr="0025250D">
        <w:rPr>
          <w:rFonts w:hint="eastAsia"/>
          <w:rtl/>
        </w:rPr>
        <w:t>شل</w:t>
      </w:r>
      <w:r w:rsidRPr="0025250D">
        <w:rPr>
          <w:rtl/>
        </w:rPr>
        <w:t xml:space="preserve"> بومن</w:t>
      </w:r>
      <w:r w:rsidRPr="0025250D">
        <w:rPr>
          <w:vertAlign w:val="superscript"/>
          <w:rtl/>
        </w:rPr>
        <w:footnoteReference w:id="3043"/>
      </w:r>
      <w:r w:rsidRPr="0025250D">
        <w:rPr>
          <w:rFonts w:hint="cs"/>
          <w:rtl/>
        </w:rPr>
        <w:t xml:space="preserve"> و </w:t>
      </w:r>
      <w:r w:rsidRPr="0025250D">
        <w:rPr>
          <w:rtl/>
        </w:rPr>
        <w:t>جان اسمارت</w:t>
      </w:r>
      <w:r w:rsidRPr="0025250D">
        <w:rPr>
          <w:rFonts w:hint="cs"/>
          <w:rtl/>
        </w:rPr>
        <w:t xml:space="preserve">، به توسعه </w:t>
      </w:r>
      <w:r w:rsidRPr="0025250D">
        <w:rPr>
          <w:rtl/>
        </w:rPr>
        <w:t>ف</w:t>
      </w:r>
      <w:r w:rsidRPr="0025250D">
        <w:rPr>
          <w:rFonts w:hint="cs"/>
          <w:rtl/>
        </w:rPr>
        <w:t>ی</w:t>
      </w:r>
      <w:r w:rsidRPr="0025250D">
        <w:rPr>
          <w:rFonts w:hint="eastAsia"/>
          <w:rtl/>
        </w:rPr>
        <w:t>وچرپد</w:t>
      </w:r>
      <w:r w:rsidRPr="0025250D">
        <w:rPr>
          <w:rFonts w:hint="cs"/>
          <w:rtl/>
        </w:rPr>
        <w:t>ی</w:t>
      </w:r>
      <w:r w:rsidRPr="0025250D">
        <w:rPr>
          <w:rFonts w:hint="eastAsia"/>
          <w:rtl/>
        </w:rPr>
        <w:t>ا</w:t>
      </w:r>
      <w:r w:rsidRPr="0025250D">
        <w:rPr>
          <w:rFonts w:hint="cs"/>
          <w:rtl/>
        </w:rPr>
        <w:t xml:space="preserve">، یک دانشنامه و پلتفرم رأی گیری و </w:t>
      </w:r>
      <w:r w:rsidR="00D92F6E" w:rsidRPr="0025250D">
        <w:rPr>
          <w:rFonts w:hint="cs"/>
          <w:rtl/>
        </w:rPr>
        <w:t>پیش‌بین</w:t>
      </w:r>
      <w:r w:rsidRPr="0025250D">
        <w:rPr>
          <w:rFonts w:hint="cs"/>
          <w:rtl/>
        </w:rPr>
        <w:t xml:space="preserve">ی آزاد و رایگان محتوای مربوط به </w:t>
      </w:r>
      <w:r w:rsidRPr="0025250D">
        <w:rPr>
          <w:rtl/>
        </w:rPr>
        <w:t>آینده‌نگاری</w:t>
      </w:r>
      <w:r w:rsidRPr="0025250D">
        <w:rPr>
          <w:rFonts w:hint="cs"/>
          <w:rtl/>
        </w:rPr>
        <w:t xml:space="preserve"> و </w:t>
      </w:r>
      <w:r w:rsidR="00D92F6E" w:rsidRPr="0025250D">
        <w:rPr>
          <w:rFonts w:hint="cs"/>
          <w:rtl/>
        </w:rPr>
        <w:t>آینده‌پژوه</w:t>
      </w:r>
      <w:r w:rsidRPr="0025250D">
        <w:rPr>
          <w:rFonts w:hint="cs"/>
          <w:rtl/>
        </w:rPr>
        <w:t xml:space="preserve">ی پرداخته اند. </w:t>
      </w:r>
      <w:r w:rsidRPr="0025250D">
        <w:rPr>
          <w:rtl/>
        </w:rPr>
        <w:t>جان</w:t>
      </w:r>
      <w:r w:rsidRPr="0025250D">
        <w:rPr>
          <w:rFonts w:hint="cs"/>
          <w:rtl/>
        </w:rPr>
        <w:t xml:space="preserve"> با این هدف </w:t>
      </w:r>
      <w:r w:rsidRPr="0025250D">
        <w:t>Futurepedia.org</w:t>
      </w:r>
      <w:r w:rsidRPr="0025250D">
        <w:rPr>
          <w:rFonts w:hint="cs"/>
          <w:rtl/>
        </w:rPr>
        <w:t xml:space="preserve"> را در سال 2008 ثبت کرد. او پیشنهاد کرد که یک </w:t>
      </w:r>
      <w:r w:rsidRPr="0025250D">
        <w:rPr>
          <w:rtl/>
        </w:rPr>
        <w:t>ف</w:t>
      </w:r>
      <w:r w:rsidRPr="0025250D">
        <w:rPr>
          <w:rFonts w:hint="cs"/>
          <w:rtl/>
        </w:rPr>
        <w:t>ی</w:t>
      </w:r>
      <w:r w:rsidRPr="0025250D">
        <w:rPr>
          <w:rFonts w:hint="eastAsia"/>
          <w:rtl/>
        </w:rPr>
        <w:t>وچرپد</w:t>
      </w:r>
      <w:r w:rsidRPr="0025250D">
        <w:rPr>
          <w:rFonts w:hint="cs"/>
          <w:rtl/>
        </w:rPr>
        <w:t>ی</w:t>
      </w:r>
      <w:r w:rsidRPr="0025250D">
        <w:rPr>
          <w:rFonts w:hint="eastAsia"/>
          <w:rtl/>
        </w:rPr>
        <w:t>ا</w:t>
      </w:r>
      <w:r w:rsidRPr="0025250D">
        <w:rPr>
          <w:rFonts w:hint="cs"/>
          <w:rtl/>
        </w:rPr>
        <w:t xml:space="preserve"> خوب می‌تواند میزبان فرانامه‌ها و چشم‌اندازهای تصویرسازی شده جمعی و بهبود یافته از آینده‌های ممکن، محتمل، مرجح و قابل اجتناب باشد. به نظر او این پلتفرم باید حول یک مدل کسب وکار مفید برای عموم مردم سازماندهی شود و مزایای مربوط به شهرت و مزایای مالی متعادلی را برای افرادی که این سایت را ویرایش می‌کنند، در بر داشته باشد. این سایت باید با بهترین پلتفرم‌های رسانه‌ای </w:t>
      </w:r>
      <w:r w:rsidR="00D92F6E" w:rsidRPr="0025250D">
        <w:rPr>
          <w:rFonts w:hint="cs"/>
          <w:rtl/>
        </w:rPr>
        <w:t>آینده‌پژوه</w:t>
      </w:r>
      <w:r w:rsidRPr="0025250D">
        <w:rPr>
          <w:rFonts w:hint="cs"/>
          <w:rtl/>
        </w:rPr>
        <w:t xml:space="preserve">ی و </w:t>
      </w:r>
      <w:r w:rsidR="00D92F6E" w:rsidRPr="0025250D">
        <w:rPr>
          <w:rFonts w:hint="cs"/>
          <w:rtl/>
        </w:rPr>
        <w:t>پیش‌بین</w:t>
      </w:r>
      <w:r w:rsidRPr="0025250D">
        <w:rPr>
          <w:rFonts w:hint="cs"/>
          <w:rtl/>
        </w:rPr>
        <w:t>ی آزاد فعلی همکاری نماید و آن‌ها را ترویج دهد. حتی می‌تواند از یک ارز دیجیتال با مالکیت جمعی</w:t>
      </w:r>
      <w:r w:rsidRPr="0025250D">
        <w:rPr>
          <w:vertAlign w:val="superscript"/>
          <w:rtl/>
        </w:rPr>
        <w:footnoteReference w:id="3044"/>
      </w:r>
      <w:r w:rsidRPr="0025250D">
        <w:rPr>
          <w:rFonts w:hint="cs"/>
          <w:rtl/>
        </w:rPr>
        <w:t xml:space="preserve"> برای پاداش به تولید کنندگان محتوا و خوانندگان آن استفاده کند.</w:t>
      </w:r>
    </w:p>
    <w:p w14:paraId="4933AE87" w14:textId="61F45C1A" w:rsidR="00537CC8" w:rsidRPr="0025250D" w:rsidRDefault="00537CC8" w:rsidP="00537CC8">
      <w:pPr>
        <w:rPr>
          <w:rtl/>
        </w:rPr>
      </w:pPr>
      <w:r w:rsidRPr="0025250D">
        <w:rPr>
          <w:rFonts w:hint="cs"/>
          <w:rtl/>
        </w:rPr>
        <w:t xml:space="preserve">یک </w:t>
      </w:r>
      <w:r w:rsidRPr="0025250D">
        <w:rPr>
          <w:rtl/>
        </w:rPr>
        <w:t>ف</w:t>
      </w:r>
      <w:r w:rsidRPr="0025250D">
        <w:rPr>
          <w:rFonts w:hint="cs"/>
          <w:rtl/>
        </w:rPr>
        <w:t>ی</w:t>
      </w:r>
      <w:r w:rsidRPr="0025250D">
        <w:rPr>
          <w:rFonts w:hint="eastAsia"/>
          <w:rtl/>
        </w:rPr>
        <w:t>وچرپد</w:t>
      </w:r>
      <w:r w:rsidRPr="0025250D">
        <w:rPr>
          <w:rFonts w:hint="cs"/>
          <w:rtl/>
        </w:rPr>
        <w:t>ی</w:t>
      </w:r>
      <w:r w:rsidRPr="0025250D">
        <w:rPr>
          <w:rFonts w:hint="eastAsia"/>
          <w:rtl/>
        </w:rPr>
        <w:t>ا</w:t>
      </w:r>
      <w:r w:rsidRPr="0025250D">
        <w:rPr>
          <w:rFonts w:hint="cs"/>
          <w:rtl/>
        </w:rPr>
        <w:t xml:space="preserve"> خوب می‌تواند نقشه تقریبی و همواره در حال تکاملی از قضاوت‌های رقابتی از مکاتب فکری مشخص در مسائل عمده آینده دارای اهمیت ارائه دهد. همچنین می‌تواند از استدلال‌ها و شواهد متخصصین و عموم مردم استفاده کند و فرضیات قابل آزمایش و داده‌ای ارائه کند. همچنین می‌تواند در نهایت احتمالاتی تقریبی را گزارش کند که برای افراد جمعیت‌های مختلف از نظر میزان احتمال، </w:t>
      </w:r>
      <w:r w:rsidR="00A20CCB" w:rsidRPr="0025250D">
        <w:rPr>
          <w:rFonts w:hint="cs"/>
          <w:rtl/>
        </w:rPr>
        <w:t>زمان‌بندی</w:t>
      </w:r>
      <w:r w:rsidR="008D6F97" w:rsidRPr="0025250D">
        <w:rPr>
          <w:rtl/>
        </w:rPr>
        <w:t xml:space="preserve"> </w:t>
      </w:r>
      <w:r w:rsidRPr="0025250D">
        <w:rPr>
          <w:rFonts w:hint="cs"/>
          <w:rtl/>
        </w:rPr>
        <w:t>و تأثیر (ارزش) آینده‌های مختلف، متفاوت باشند.</w:t>
      </w:r>
    </w:p>
    <w:p w14:paraId="5EBB51EC" w14:textId="50C6457E" w:rsidR="00537CC8" w:rsidRPr="0025250D" w:rsidRDefault="00537CC8" w:rsidP="00537CC8">
      <w:pPr>
        <w:rPr>
          <w:rtl/>
        </w:rPr>
      </w:pPr>
      <w:r w:rsidRPr="0025250D">
        <w:rPr>
          <w:rFonts w:hint="cs"/>
          <w:rtl/>
        </w:rPr>
        <w:t xml:space="preserve">یک منبع جهانی مانند </w:t>
      </w:r>
      <w:r w:rsidRPr="0025250D">
        <w:rPr>
          <w:rtl/>
        </w:rPr>
        <w:t>ف</w:t>
      </w:r>
      <w:r w:rsidRPr="0025250D">
        <w:rPr>
          <w:rFonts w:hint="cs"/>
          <w:rtl/>
        </w:rPr>
        <w:t>ی</w:t>
      </w:r>
      <w:r w:rsidRPr="0025250D">
        <w:rPr>
          <w:rFonts w:hint="eastAsia"/>
          <w:rtl/>
        </w:rPr>
        <w:t>وچرپد</w:t>
      </w:r>
      <w:r w:rsidRPr="0025250D">
        <w:rPr>
          <w:rFonts w:hint="cs"/>
          <w:rtl/>
        </w:rPr>
        <w:t>ی</w:t>
      </w:r>
      <w:r w:rsidRPr="0025250D">
        <w:rPr>
          <w:rFonts w:hint="eastAsia"/>
          <w:rtl/>
        </w:rPr>
        <w:t>ا</w:t>
      </w:r>
      <w:r w:rsidRPr="0025250D">
        <w:rPr>
          <w:rFonts w:hint="cs"/>
          <w:rtl/>
        </w:rPr>
        <w:t xml:space="preserve"> می‌تواند در نهایت برای </w:t>
      </w:r>
      <w:r w:rsidR="00B124DE" w:rsidRPr="0025250D">
        <w:rPr>
          <w:rFonts w:hint="cs"/>
          <w:rtl/>
        </w:rPr>
        <w:t>آینده‌اندیش</w:t>
      </w:r>
      <w:r w:rsidRPr="0025250D">
        <w:rPr>
          <w:rFonts w:hint="cs"/>
          <w:rtl/>
        </w:rPr>
        <w:t xml:space="preserve">ان به اندازه‌ای که </w:t>
      </w:r>
      <w:r w:rsidRPr="0025250D">
        <w:rPr>
          <w:rtl/>
        </w:rPr>
        <w:t>و</w:t>
      </w:r>
      <w:r w:rsidRPr="0025250D">
        <w:rPr>
          <w:rFonts w:hint="cs"/>
          <w:rtl/>
        </w:rPr>
        <w:t>ی</w:t>
      </w:r>
      <w:r w:rsidRPr="0025250D">
        <w:rPr>
          <w:rFonts w:hint="eastAsia"/>
          <w:rtl/>
        </w:rPr>
        <w:t>ک</w:t>
      </w:r>
      <w:r w:rsidRPr="0025250D">
        <w:rPr>
          <w:rFonts w:hint="cs"/>
          <w:rtl/>
        </w:rPr>
        <w:t>ی</w:t>
      </w:r>
      <w:r w:rsidRPr="0025250D">
        <w:rPr>
          <w:rFonts w:hint="eastAsia"/>
          <w:rtl/>
        </w:rPr>
        <w:t>پد</w:t>
      </w:r>
      <w:r w:rsidRPr="0025250D">
        <w:rPr>
          <w:rFonts w:hint="cs"/>
          <w:rtl/>
        </w:rPr>
        <w:t>ی</w:t>
      </w:r>
      <w:r w:rsidRPr="0025250D">
        <w:rPr>
          <w:rFonts w:hint="eastAsia"/>
          <w:rtl/>
        </w:rPr>
        <w:t>ا</w:t>
      </w:r>
      <w:r w:rsidRPr="0025250D">
        <w:rPr>
          <w:rFonts w:hint="cs"/>
          <w:rtl/>
        </w:rPr>
        <w:t xml:space="preserve"> برای درک حال</w:t>
      </w:r>
      <w:r w:rsidRPr="0025250D">
        <w:rPr>
          <w:rtl/>
        </w:rPr>
        <w:t xml:space="preserve"> </w:t>
      </w:r>
      <w:r w:rsidRPr="0025250D">
        <w:rPr>
          <w:rFonts w:hint="cs"/>
          <w:rtl/>
        </w:rPr>
        <w:t>و</w:t>
      </w:r>
      <w:r w:rsidRPr="0025250D">
        <w:rPr>
          <w:rtl/>
        </w:rPr>
        <w:t xml:space="preserve"> </w:t>
      </w:r>
      <w:r w:rsidRPr="0025250D">
        <w:rPr>
          <w:rFonts w:hint="cs"/>
          <w:rtl/>
        </w:rPr>
        <w:t xml:space="preserve">گذشته مفید بوده است، مفید باشد. با چنین پلتفرمی، خواهیم توانست فضای موارد ممکن در آینده را بهتر ترسیم و مشخص کنیم. قادر خواهیم بود تا مجموعه خاصی از نتایج بسیار محتمل را بهتر توصیف کنیم. می‌توانیم ایده‌های آینده جالب اما نادرست یا غیر محتمل بیش‌تری را دنبال کنیم که از بحث درمورد آن‌ها به دلیل جذابیت، سرگرم کنندگی یا ارزش فلسفی آن‌ها لذت می‌بریم. خواهیم توانست که آینده‌های مرجح بیش‌تری را که برای حل مسائل مهم بشری امیدوار کننده هستند و از نظر فنی، اقتصادی و سیاسی </w:t>
      </w:r>
      <w:r w:rsidR="00B453C0" w:rsidRPr="0025250D">
        <w:rPr>
          <w:rFonts w:hint="cs"/>
          <w:rtl/>
        </w:rPr>
        <w:t>امکان‌پذیر</w:t>
      </w:r>
      <w:r w:rsidRPr="0025250D">
        <w:rPr>
          <w:rFonts w:hint="cs"/>
          <w:rtl/>
        </w:rPr>
        <w:t xml:space="preserve"> به نظر می‌رسند، توصیف کنیم. همچنین خواهیم توانست از آینده‌ها، تله‌ها و </w:t>
      </w:r>
      <w:r w:rsidR="0060055A" w:rsidRPr="0025250D">
        <w:rPr>
          <w:rFonts w:hint="cs"/>
          <w:rtl/>
        </w:rPr>
        <w:t>ویران‌شهر</w:t>
      </w:r>
      <w:r w:rsidRPr="0025250D">
        <w:rPr>
          <w:rFonts w:hint="cs"/>
          <w:rtl/>
        </w:rPr>
        <w:t xml:space="preserve">‌های </w:t>
      </w:r>
      <w:r w:rsidR="00923DDB" w:rsidRPr="0025250D">
        <w:rPr>
          <w:rFonts w:hint="cs"/>
          <w:rtl/>
        </w:rPr>
        <w:t>باورپذیر</w:t>
      </w:r>
      <w:r w:rsidRPr="0025250D">
        <w:rPr>
          <w:rFonts w:hint="cs"/>
          <w:rtl/>
        </w:rPr>
        <w:t xml:space="preserve"> قابل اجتناب بیش‌تری دوری کنیم. کاربران فعال دائما خودشان درمورد </w:t>
      </w:r>
      <w:r w:rsidRPr="0025250D">
        <w:rPr>
          <w:rtl/>
        </w:rPr>
        <w:t>آینده‌نگاری</w:t>
      </w:r>
      <w:r w:rsidRPr="0025250D">
        <w:rPr>
          <w:rFonts w:hint="cs"/>
          <w:rtl/>
        </w:rPr>
        <w:t xml:space="preserve"> تخصصی و </w:t>
      </w:r>
      <w:r w:rsidR="002A38BD" w:rsidRPr="0025250D">
        <w:rPr>
          <w:rFonts w:hint="cs"/>
          <w:rtl/>
        </w:rPr>
        <w:t>غیرتخصصی</w:t>
      </w:r>
      <w:r w:rsidRPr="0025250D">
        <w:rPr>
          <w:rFonts w:hint="cs"/>
          <w:rtl/>
        </w:rPr>
        <w:t xml:space="preserve"> با استفاده از این پلتفرم آموزش می‌بینند و قضاوت‌های انتقادی قوی و دقیقی توسعه خواهند داد.</w:t>
      </w:r>
    </w:p>
    <w:p w14:paraId="5342C59E" w14:textId="77777777" w:rsidR="00537CC8" w:rsidRPr="0025250D" w:rsidRDefault="00537CC8" w:rsidP="00EF26F0">
      <w:pPr>
        <w:jc w:val="center"/>
        <w:rPr>
          <w:rtl/>
        </w:rPr>
      </w:pPr>
      <w:r w:rsidRPr="0025250D">
        <w:rPr>
          <w:noProof/>
          <w:rtl/>
          <w:lang w:bidi="ar-SA"/>
        </w:rPr>
        <w:drawing>
          <wp:inline distT="0" distB="0" distL="0" distR="0" wp14:anchorId="1F44C5FF" wp14:editId="2C6C87B4">
            <wp:extent cx="2762912" cy="1323833"/>
            <wp:effectExtent l="0" t="0" r="0" b="0"/>
            <wp:docPr id="167" name="Picture 167" descr="D:\کار\مستقل\3 ( ترجمه ی دانشگاه تهران  )\Introduction to Foresight\part8\65-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کار\مستقل\3 ( ترجمه ی دانشگاه تهران  )\Introduction to Foresight\part8\65-new.png"/>
                    <pic:cNvPicPr>
                      <a:picLocks noChangeAspect="1" noChangeArrowheads="1"/>
                    </pic:cNvPicPr>
                  </pic:nvPicPr>
                  <pic:blipFill rotWithShape="1">
                    <a:blip r:embed="rId278" cstate="screen">
                      <a:extLst>
                        <a:ext uri="{28A0092B-C50C-407E-A947-70E740481C1C}">
                          <a14:useLocalDpi xmlns:a14="http://schemas.microsoft.com/office/drawing/2010/main"/>
                        </a:ext>
                      </a:extLst>
                    </a:blip>
                    <a:srcRect/>
                    <a:stretch/>
                  </pic:blipFill>
                  <pic:spPr bwMode="auto">
                    <a:xfrm>
                      <a:off x="0" y="0"/>
                      <a:ext cx="2779699" cy="1331876"/>
                    </a:xfrm>
                    <a:prstGeom prst="rect">
                      <a:avLst/>
                    </a:prstGeom>
                    <a:noFill/>
                    <a:ln>
                      <a:noFill/>
                    </a:ln>
                    <a:extLst>
                      <a:ext uri="{53640926-AAD7-44D8-BBD7-CCE9431645EC}">
                        <a14:shadowObscured xmlns:a14="http://schemas.microsoft.com/office/drawing/2010/main"/>
                      </a:ext>
                    </a:extLst>
                  </pic:spPr>
                </pic:pic>
              </a:graphicData>
            </a:graphic>
          </wp:inline>
        </w:drawing>
      </w:r>
    </w:p>
    <w:p w14:paraId="43A4140B" w14:textId="77777777" w:rsidR="00537CC8" w:rsidRPr="0025250D" w:rsidRDefault="00537CC8" w:rsidP="00EF26F0">
      <w:pPr>
        <w:jc w:val="center"/>
        <w:rPr>
          <w:rtl/>
        </w:rPr>
      </w:pPr>
      <w:r w:rsidRPr="0025250D">
        <w:rPr>
          <w:rFonts w:hint="cs"/>
          <w:rtl/>
        </w:rPr>
        <w:t>ویکیپدیای امروز به دنبال یک نقطه نظر خنثی است. یک فیوچرپدیای خوب باید بدون سوگیری باشد</w:t>
      </w:r>
    </w:p>
    <w:p w14:paraId="08A1B514" w14:textId="6C61F6B9" w:rsidR="00537CC8" w:rsidRPr="0025250D" w:rsidRDefault="00537CC8" w:rsidP="00537CC8">
      <w:pPr>
        <w:rPr>
          <w:rtl/>
        </w:rPr>
      </w:pPr>
      <w:r w:rsidRPr="0025250D">
        <w:rPr>
          <w:rtl/>
        </w:rPr>
        <w:t>ف</w:t>
      </w:r>
      <w:r w:rsidRPr="0025250D">
        <w:rPr>
          <w:rFonts w:hint="cs"/>
          <w:rtl/>
        </w:rPr>
        <w:t>ی</w:t>
      </w:r>
      <w:r w:rsidRPr="0025250D">
        <w:rPr>
          <w:rFonts w:hint="eastAsia"/>
          <w:rtl/>
        </w:rPr>
        <w:t>وچرپد</w:t>
      </w:r>
      <w:r w:rsidRPr="0025250D">
        <w:rPr>
          <w:rFonts w:hint="cs"/>
          <w:rtl/>
        </w:rPr>
        <w:t>ی</w:t>
      </w:r>
      <w:r w:rsidRPr="0025250D">
        <w:rPr>
          <w:rFonts w:hint="eastAsia"/>
          <w:rtl/>
        </w:rPr>
        <w:t>ا</w:t>
      </w:r>
      <w:r w:rsidRPr="0025250D">
        <w:rPr>
          <w:rFonts w:hint="cs"/>
          <w:rtl/>
        </w:rPr>
        <w:t xml:space="preserve"> ما به دنبال ارائه یک رویکرد مبتنی بر شواهد، آگاه از </w:t>
      </w:r>
      <w:r w:rsidR="00B56611" w:rsidRPr="0025250D">
        <w:rPr>
          <w:rFonts w:hint="cs"/>
          <w:rtl/>
        </w:rPr>
        <w:t>شتاب‌گیری</w:t>
      </w:r>
      <w:r w:rsidRPr="0025250D">
        <w:rPr>
          <w:rFonts w:hint="cs"/>
          <w:rtl/>
        </w:rPr>
        <w:t xml:space="preserve"> و مطلع از فرایند تکاملی-توسعه‌ای برای موضوعات آینده و جذب یک جمعیت منتقد از ویراستاران و کاربران با ذهنیت علمی و تنوع شناختی خواهد بود. مایلیم که </w:t>
      </w:r>
      <w:r w:rsidRPr="0025250D">
        <w:rPr>
          <w:rtl/>
        </w:rPr>
        <w:t>ف</w:t>
      </w:r>
      <w:r w:rsidRPr="0025250D">
        <w:rPr>
          <w:rFonts w:hint="cs"/>
          <w:rtl/>
        </w:rPr>
        <w:t>ی</w:t>
      </w:r>
      <w:r w:rsidRPr="0025250D">
        <w:rPr>
          <w:rFonts w:hint="eastAsia"/>
          <w:rtl/>
        </w:rPr>
        <w:t>وچرپد</w:t>
      </w:r>
      <w:r w:rsidRPr="0025250D">
        <w:rPr>
          <w:rFonts w:hint="cs"/>
          <w:rtl/>
        </w:rPr>
        <w:t>ی</w:t>
      </w:r>
      <w:r w:rsidRPr="0025250D">
        <w:rPr>
          <w:rFonts w:hint="eastAsia"/>
          <w:rtl/>
        </w:rPr>
        <w:t>ا</w:t>
      </w:r>
      <w:r w:rsidRPr="0025250D">
        <w:rPr>
          <w:rFonts w:hint="cs"/>
          <w:rtl/>
        </w:rPr>
        <w:t xml:space="preserve"> به همه زبان‌های رایج و اصلی در دسترس باشد. دانشنامه‌های نمونه متعددی در مورد آینده وجود دارند، اما هیچ یک شاهد پذیرش و کاربرد گسترده ن</w:t>
      </w:r>
      <w:r w:rsidR="00B124DE" w:rsidRPr="0025250D">
        <w:rPr>
          <w:rFonts w:hint="cs"/>
          <w:rtl/>
        </w:rPr>
        <w:t>بوده‌اند</w:t>
      </w:r>
      <w:r w:rsidRPr="0025250D">
        <w:rPr>
          <w:rFonts w:hint="cs"/>
          <w:rtl/>
        </w:rPr>
        <w:t xml:space="preserve"> و هیچ یک از ویژگی‌هایی را که در بالا توصیف کردیم ندارند.</w:t>
      </w:r>
    </w:p>
    <w:p w14:paraId="3EAC73E4" w14:textId="57D3BC6A" w:rsidR="00537CC8" w:rsidRPr="0025250D" w:rsidRDefault="00537CC8" w:rsidP="00537CC8">
      <w:pPr>
        <w:rPr>
          <w:rtl/>
        </w:rPr>
      </w:pPr>
      <w:r w:rsidRPr="0025250D">
        <w:rPr>
          <w:rFonts w:hint="cs"/>
          <w:rtl/>
        </w:rPr>
        <w:t xml:space="preserve">امسال، </w:t>
      </w:r>
      <w:r w:rsidRPr="0025250D">
        <w:t>ASF</w:t>
      </w:r>
      <w:r w:rsidRPr="0025250D">
        <w:rPr>
          <w:rFonts w:hint="cs"/>
          <w:rtl/>
        </w:rPr>
        <w:t xml:space="preserve"> در حال تغییر نام خود به بنیاد </w:t>
      </w:r>
      <w:r w:rsidRPr="0025250D">
        <w:rPr>
          <w:rtl/>
        </w:rPr>
        <w:t>ف</w:t>
      </w:r>
      <w:r w:rsidRPr="0025250D">
        <w:rPr>
          <w:rFonts w:hint="cs"/>
          <w:rtl/>
        </w:rPr>
        <w:t>ی</w:t>
      </w:r>
      <w:r w:rsidRPr="0025250D">
        <w:rPr>
          <w:rFonts w:hint="eastAsia"/>
          <w:rtl/>
        </w:rPr>
        <w:t>وچرپد</w:t>
      </w:r>
      <w:r w:rsidRPr="0025250D">
        <w:rPr>
          <w:rFonts w:hint="cs"/>
          <w:rtl/>
        </w:rPr>
        <w:t>ی</w:t>
      </w:r>
      <w:r w:rsidRPr="0025250D">
        <w:rPr>
          <w:rFonts w:hint="eastAsia"/>
          <w:rtl/>
        </w:rPr>
        <w:t>ا</w:t>
      </w:r>
      <w:r w:rsidRPr="0025250D">
        <w:rPr>
          <w:rFonts w:hint="cs"/>
          <w:rtl/>
        </w:rPr>
        <w:t xml:space="preserve"> می‌باشد. سال بعد، ما اولین نسخه خود از این پلتفرم را در </w:t>
      </w:r>
      <w:r w:rsidRPr="0025250D">
        <w:t>Futurepedia.org</w:t>
      </w:r>
      <w:r w:rsidRPr="0025250D">
        <w:rPr>
          <w:rFonts w:hint="cs"/>
          <w:rtl/>
        </w:rPr>
        <w:t xml:space="preserve"> عرضه خواهیم کرد. زمانی در سال بعد، ما برگزاری مسابقات، رویداد‌ها و یک کنفرانس </w:t>
      </w:r>
      <w:r w:rsidRPr="0025250D">
        <w:rPr>
          <w:rtl/>
        </w:rPr>
        <w:t>ف</w:t>
      </w:r>
      <w:r w:rsidRPr="0025250D">
        <w:rPr>
          <w:rFonts w:hint="cs"/>
          <w:rtl/>
        </w:rPr>
        <w:t>ی</w:t>
      </w:r>
      <w:r w:rsidRPr="0025250D">
        <w:rPr>
          <w:rFonts w:hint="eastAsia"/>
          <w:rtl/>
        </w:rPr>
        <w:t>وچرپد</w:t>
      </w:r>
      <w:r w:rsidRPr="0025250D">
        <w:rPr>
          <w:rFonts w:hint="cs"/>
          <w:rtl/>
        </w:rPr>
        <w:t>ی</w:t>
      </w:r>
      <w:r w:rsidRPr="0025250D">
        <w:rPr>
          <w:rFonts w:hint="eastAsia"/>
          <w:rtl/>
        </w:rPr>
        <w:t>ا</w:t>
      </w:r>
      <w:r w:rsidRPr="0025250D">
        <w:rPr>
          <w:rFonts w:hint="cs"/>
          <w:rtl/>
        </w:rPr>
        <w:t xml:space="preserve"> برای پشتیبانی از جامعه کاربری و ویرایش کننده </w:t>
      </w:r>
      <w:r w:rsidRPr="0025250D">
        <w:rPr>
          <w:rtl/>
        </w:rPr>
        <w:t>ف</w:t>
      </w:r>
      <w:r w:rsidRPr="0025250D">
        <w:rPr>
          <w:rFonts w:hint="cs"/>
          <w:rtl/>
        </w:rPr>
        <w:t>ی</w:t>
      </w:r>
      <w:r w:rsidRPr="0025250D">
        <w:rPr>
          <w:rFonts w:hint="eastAsia"/>
          <w:rtl/>
        </w:rPr>
        <w:t>وچرپد</w:t>
      </w:r>
      <w:r w:rsidRPr="0025250D">
        <w:rPr>
          <w:rFonts w:hint="cs"/>
          <w:rtl/>
        </w:rPr>
        <w:t>ی</w:t>
      </w:r>
      <w:r w:rsidRPr="0025250D">
        <w:rPr>
          <w:rFonts w:hint="eastAsia"/>
          <w:rtl/>
        </w:rPr>
        <w:t>ا</w:t>
      </w:r>
      <w:r w:rsidRPr="0025250D">
        <w:rPr>
          <w:rFonts w:hint="cs"/>
          <w:rtl/>
        </w:rPr>
        <w:t xml:space="preserve"> را اطلاع رسانی خواهیم کرد. می‌توانید در </w:t>
      </w:r>
      <w:r w:rsidRPr="0025250D">
        <w:rPr>
          <w:rtl/>
        </w:rPr>
        <w:t xml:space="preserve">خبرنامه ما </w:t>
      </w:r>
      <w:r w:rsidRPr="0025250D">
        <w:rPr>
          <w:rFonts w:hint="cs"/>
          <w:rtl/>
        </w:rPr>
        <w:t xml:space="preserve">در </w:t>
      </w:r>
      <w:r w:rsidRPr="0025250D">
        <w:t>ForesightU.com</w:t>
      </w:r>
      <w:r w:rsidRPr="0025250D">
        <w:rPr>
          <w:rFonts w:hint="cs"/>
          <w:rtl/>
        </w:rPr>
        <w:t xml:space="preserve"> </w:t>
      </w:r>
      <w:r w:rsidRPr="0025250D">
        <w:rPr>
          <w:rtl/>
        </w:rPr>
        <w:t>ثبت نام کن</w:t>
      </w:r>
      <w:r w:rsidRPr="0025250D">
        <w:rPr>
          <w:rFonts w:hint="cs"/>
          <w:rtl/>
        </w:rPr>
        <w:t>ی</w:t>
      </w:r>
      <w:r w:rsidRPr="0025250D">
        <w:rPr>
          <w:rFonts w:hint="eastAsia"/>
          <w:rtl/>
        </w:rPr>
        <w:t>د</w:t>
      </w:r>
      <w:r w:rsidRPr="0025250D">
        <w:rPr>
          <w:rtl/>
        </w:rPr>
        <w:t xml:space="preserve"> </w:t>
      </w:r>
      <w:r w:rsidRPr="0025250D">
        <w:rPr>
          <w:rFonts w:hint="cs"/>
          <w:rtl/>
        </w:rPr>
        <w:t xml:space="preserve">تا اطلاعایه‌های زمان عرضه این پلتفرم را دریافت کنید. امیدواریم که در آنجا به ما بپیوندید و برای تبدیل </w:t>
      </w:r>
      <w:r w:rsidRPr="0025250D">
        <w:rPr>
          <w:rtl/>
        </w:rPr>
        <w:t>ف</w:t>
      </w:r>
      <w:r w:rsidRPr="0025250D">
        <w:rPr>
          <w:rFonts w:hint="cs"/>
          <w:rtl/>
        </w:rPr>
        <w:t>ی</w:t>
      </w:r>
      <w:r w:rsidRPr="0025250D">
        <w:rPr>
          <w:rFonts w:hint="eastAsia"/>
          <w:rtl/>
        </w:rPr>
        <w:t>وچرپد</w:t>
      </w:r>
      <w:r w:rsidRPr="0025250D">
        <w:rPr>
          <w:rFonts w:hint="cs"/>
          <w:rtl/>
        </w:rPr>
        <w:t>ی</w:t>
      </w:r>
      <w:r w:rsidRPr="0025250D">
        <w:rPr>
          <w:rFonts w:hint="eastAsia"/>
          <w:rtl/>
        </w:rPr>
        <w:t>ا</w:t>
      </w:r>
      <w:r w:rsidRPr="0025250D">
        <w:rPr>
          <w:rFonts w:hint="cs"/>
          <w:rtl/>
        </w:rPr>
        <w:t xml:space="preserve"> به منبع </w:t>
      </w:r>
      <w:r w:rsidRPr="0025250D">
        <w:rPr>
          <w:rtl/>
        </w:rPr>
        <w:t>آینده‌نگاری</w:t>
      </w:r>
      <w:r w:rsidRPr="0025250D">
        <w:rPr>
          <w:rFonts w:hint="cs"/>
          <w:rtl/>
        </w:rPr>
        <w:t xml:space="preserve"> جهانی کمک کنید.</w:t>
      </w:r>
    </w:p>
    <w:p w14:paraId="78E6D16F" w14:textId="77777777" w:rsidR="00537CC8" w:rsidRPr="0025250D" w:rsidRDefault="00537CC8" w:rsidP="00537CC8">
      <w:pPr>
        <w:rPr>
          <w:rtl/>
        </w:rPr>
      </w:pPr>
    </w:p>
    <w:p w14:paraId="49FD86D6" w14:textId="77777777" w:rsidR="00537CC8" w:rsidRPr="0025250D" w:rsidRDefault="00537CC8" w:rsidP="00537CC8">
      <w:pPr>
        <w:rPr>
          <w:rtl/>
        </w:rPr>
      </w:pPr>
    </w:p>
    <w:p w14:paraId="1E2A8ECB" w14:textId="77777777" w:rsidR="00537CC8" w:rsidRPr="0025250D" w:rsidRDefault="00537CC8" w:rsidP="00537CC8">
      <w:pPr>
        <w:rPr>
          <w:rtl/>
        </w:rPr>
      </w:pPr>
    </w:p>
    <w:p w14:paraId="61B4CD6C" w14:textId="77777777" w:rsidR="00537CC8" w:rsidRPr="0025250D" w:rsidRDefault="00537CC8" w:rsidP="00537CC8">
      <w:pPr>
        <w:rPr>
          <w:rtl/>
        </w:rPr>
      </w:pPr>
    </w:p>
    <w:p w14:paraId="7039939B" w14:textId="77777777" w:rsidR="00537CC8" w:rsidRPr="0025250D" w:rsidRDefault="00537CC8" w:rsidP="00537CC8">
      <w:pPr>
        <w:rPr>
          <w:rtl/>
        </w:rPr>
      </w:pPr>
    </w:p>
    <w:p w14:paraId="6BE0864F" w14:textId="77777777" w:rsidR="00537CC8" w:rsidRPr="0025250D" w:rsidRDefault="00537CC8" w:rsidP="00537CC8">
      <w:pPr>
        <w:rPr>
          <w:rtl/>
        </w:rPr>
      </w:pPr>
    </w:p>
    <w:p w14:paraId="1F8D7F36" w14:textId="77777777" w:rsidR="00537CC8" w:rsidRPr="0025250D" w:rsidRDefault="00537CC8" w:rsidP="00537CC8">
      <w:pPr>
        <w:rPr>
          <w:rtl/>
        </w:rPr>
      </w:pPr>
    </w:p>
    <w:p w14:paraId="1255ED7F" w14:textId="77777777" w:rsidR="00537CC8" w:rsidRPr="0025250D" w:rsidRDefault="00537CC8" w:rsidP="00537CC8">
      <w:pPr>
        <w:rPr>
          <w:rtl/>
        </w:rPr>
      </w:pPr>
    </w:p>
    <w:p w14:paraId="0584E16E" w14:textId="77777777" w:rsidR="00537CC8" w:rsidRPr="0025250D" w:rsidRDefault="00537CC8" w:rsidP="00537CC8">
      <w:pPr>
        <w:rPr>
          <w:rtl/>
        </w:rPr>
      </w:pPr>
    </w:p>
    <w:p w14:paraId="55C8E697" w14:textId="77777777" w:rsidR="00537CC8" w:rsidRPr="0025250D" w:rsidRDefault="00537CC8" w:rsidP="00537CC8">
      <w:pPr>
        <w:rPr>
          <w:rtl/>
        </w:rPr>
      </w:pPr>
    </w:p>
    <w:p w14:paraId="17432073" w14:textId="77777777" w:rsidR="00537CC8" w:rsidRPr="0025250D" w:rsidRDefault="00537CC8" w:rsidP="00537CC8">
      <w:pPr>
        <w:rPr>
          <w:rtl/>
        </w:rPr>
      </w:pPr>
    </w:p>
    <w:p w14:paraId="05409D58" w14:textId="77777777" w:rsidR="00537CC8" w:rsidRPr="0025250D" w:rsidRDefault="00537CC8" w:rsidP="00537CC8">
      <w:pPr>
        <w:rPr>
          <w:rtl/>
        </w:rPr>
      </w:pPr>
    </w:p>
    <w:p w14:paraId="1AE0E9F9" w14:textId="77777777" w:rsidR="00537CC8" w:rsidRPr="0025250D" w:rsidRDefault="00537CC8" w:rsidP="00537CC8">
      <w:pPr>
        <w:rPr>
          <w:rtl/>
        </w:rPr>
      </w:pPr>
    </w:p>
    <w:p w14:paraId="417CC75B" w14:textId="77777777" w:rsidR="00537CC8" w:rsidRPr="0025250D" w:rsidRDefault="00537CC8" w:rsidP="00537CC8">
      <w:pPr>
        <w:rPr>
          <w:rtl/>
        </w:rPr>
      </w:pPr>
    </w:p>
    <w:p w14:paraId="6AF8B5FD" w14:textId="77777777" w:rsidR="00537CC8" w:rsidRPr="0025250D" w:rsidRDefault="00537CC8" w:rsidP="00537CC8">
      <w:pPr>
        <w:rPr>
          <w:rtl/>
        </w:rPr>
      </w:pPr>
    </w:p>
    <w:p w14:paraId="626A9322" w14:textId="77777777" w:rsidR="00537CC8" w:rsidRPr="0025250D" w:rsidRDefault="00537CC8" w:rsidP="00537CC8">
      <w:pPr>
        <w:rPr>
          <w:rtl/>
        </w:rPr>
      </w:pPr>
    </w:p>
    <w:p w14:paraId="0148E02A" w14:textId="77777777" w:rsidR="00537CC8" w:rsidRPr="0025250D" w:rsidRDefault="00537CC8" w:rsidP="00EF26F0">
      <w:pPr>
        <w:pStyle w:val="Heading2"/>
        <w:rPr>
          <w:rtl/>
        </w:rPr>
      </w:pPr>
      <w:bookmarkStart w:id="76" w:name="_Toc127831341"/>
      <w:r w:rsidRPr="0025250D">
        <w:rPr>
          <w:rFonts w:hint="cs"/>
          <w:rtl/>
        </w:rPr>
        <w:t>کلام آخر</w:t>
      </w:r>
      <w:bookmarkEnd w:id="76"/>
    </w:p>
    <w:p w14:paraId="63CC5F8E" w14:textId="0138AFE8" w:rsidR="00537CC8" w:rsidRPr="0025250D" w:rsidRDefault="00537CC8" w:rsidP="00537CC8">
      <w:pPr>
        <w:rPr>
          <w:rtl/>
        </w:rPr>
      </w:pPr>
      <w:r w:rsidRPr="0025250D">
        <w:rPr>
          <w:rFonts w:hint="cs"/>
          <w:rtl/>
        </w:rPr>
        <w:t xml:space="preserve">به جز پیوست‌ها، گفته‌های ما همینجا به پایان می‌رسد. از شما برای خواندن اولین کتاب راهنمای ما و برای تلاش هر روزه برای </w:t>
      </w:r>
      <w:r w:rsidRPr="0025250D">
        <w:rPr>
          <w:rtl/>
        </w:rPr>
        <w:t>آینده‌نگاری</w:t>
      </w:r>
      <w:r w:rsidRPr="0025250D">
        <w:rPr>
          <w:rFonts w:hint="cs"/>
          <w:rtl/>
        </w:rPr>
        <w:t xml:space="preserve"> بهتر برای خود، خانواده‌ها، کارسپاران، تیم‌ها و سازمان‌های خودتان و همه حیات موجود بر روی زمین از شما تشکر می‌کنیم. با انگیزه درونی، محیط‌های حمایت کننده و </w:t>
      </w:r>
      <w:r w:rsidRPr="0025250D">
        <w:rPr>
          <w:rtl/>
        </w:rPr>
        <w:t>آینده‌نگاری</w:t>
      </w:r>
      <w:r w:rsidRPr="0025250D">
        <w:rPr>
          <w:rFonts w:hint="cs"/>
          <w:rtl/>
        </w:rPr>
        <w:t xml:space="preserve"> و عمل بهتر که با ثانیه‌ها، دقایق و ساعات ارزشمند بعدی ما آغاز می‌شود، می‌توانیم هریک نقش کوچک خود را برای توانمندسازی و </w:t>
      </w:r>
      <w:r w:rsidR="00B124DE" w:rsidRPr="0025250D">
        <w:rPr>
          <w:rFonts w:hint="cs"/>
          <w:rtl/>
        </w:rPr>
        <w:t>انطباق‌پذیر</w:t>
      </w:r>
      <w:r w:rsidRPr="0025250D">
        <w:rPr>
          <w:rFonts w:hint="cs"/>
          <w:rtl/>
        </w:rPr>
        <w:t xml:space="preserve"> نمودن این جهان شگفت انگیز و پیچیده </w:t>
      </w:r>
      <w:r w:rsidRPr="0025250D">
        <w:rPr>
          <w:rFonts w:cs="Times New Roman" w:hint="cs"/>
          <w:rtl/>
        </w:rPr>
        <w:t>–</w:t>
      </w:r>
      <w:r w:rsidRPr="0025250D">
        <w:rPr>
          <w:rFonts w:hint="cs"/>
          <w:rtl/>
        </w:rPr>
        <w:t xml:space="preserve"> برای همه </w:t>
      </w:r>
      <w:r w:rsidRPr="0025250D">
        <w:rPr>
          <w:rFonts w:cs="Times New Roman" w:hint="cs"/>
          <w:rtl/>
        </w:rPr>
        <w:t>–</w:t>
      </w:r>
      <w:r w:rsidRPr="0025250D">
        <w:rPr>
          <w:rFonts w:hint="cs"/>
          <w:rtl/>
        </w:rPr>
        <w:t xml:space="preserve"> ایفا کنیم.</w:t>
      </w:r>
    </w:p>
    <w:p w14:paraId="327AC28C" w14:textId="77777777" w:rsidR="00537CC8" w:rsidRPr="0025250D" w:rsidRDefault="00537CC8" w:rsidP="00537CC8">
      <w:pPr>
        <w:rPr>
          <w:i/>
          <w:iCs/>
          <w:rtl/>
        </w:rPr>
      </w:pPr>
      <w:r w:rsidRPr="0025250D">
        <w:rPr>
          <w:rFonts w:hint="cs"/>
          <w:i/>
          <w:iCs/>
          <w:rtl/>
        </w:rPr>
        <w:t>دوست من به رشد و ترقی ادامه بده!</w:t>
      </w:r>
    </w:p>
    <w:p w14:paraId="2A8652BF" w14:textId="77777777" w:rsidR="00537CC8" w:rsidRPr="0025250D" w:rsidRDefault="00537CC8" w:rsidP="00537CC8">
      <w:pPr>
        <w:rPr>
          <w:i/>
          <w:iCs/>
          <w:rtl/>
        </w:rPr>
      </w:pPr>
      <w:r w:rsidRPr="0025250D">
        <w:rPr>
          <w:rFonts w:hint="cs"/>
          <w:i/>
          <w:iCs/>
          <w:rtl/>
        </w:rPr>
        <w:t xml:space="preserve">بیایید با هم برای رسیدن به یک آینده برخوردار از </w:t>
      </w:r>
      <w:r w:rsidRPr="0025250D">
        <w:rPr>
          <w:i/>
          <w:iCs/>
          <w:rtl/>
        </w:rPr>
        <w:t>آینده‌نگاری</w:t>
      </w:r>
      <w:r w:rsidRPr="0025250D">
        <w:rPr>
          <w:rFonts w:hint="cs"/>
          <w:i/>
          <w:iCs/>
          <w:rtl/>
        </w:rPr>
        <w:t xml:space="preserve"> همکاری کنیم.</w:t>
      </w:r>
    </w:p>
    <w:p w14:paraId="7E2133B6" w14:textId="77777777" w:rsidR="00537CC8" w:rsidRPr="0025250D" w:rsidRDefault="00537CC8" w:rsidP="00537CC8">
      <w:pPr>
        <w:rPr>
          <w:i/>
          <w:iCs/>
          <w:rtl/>
        </w:rPr>
      </w:pPr>
    </w:p>
    <w:p w14:paraId="5AC9D483" w14:textId="77777777" w:rsidR="00537CC8" w:rsidRPr="0025250D" w:rsidRDefault="00537CC8" w:rsidP="00537CC8">
      <w:pPr>
        <w:rPr>
          <w:i/>
          <w:iCs/>
          <w:rtl/>
        </w:rPr>
      </w:pPr>
    </w:p>
    <w:p w14:paraId="0BEA8820" w14:textId="77777777" w:rsidR="00537CC8" w:rsidRPr="0025250D" w:rsidRDefault="00537CC8" w:rsidP="00537CC8">
      <w:pPr>
        <w:rPr>
          <w:i/>
          <w:iCs/>
          <w:rtl/>
        </w:rPr>
      </w:pPr>
    </w:p>
    <w:p w14:paraId="3F74E1A2" w14:textId="77777777" w:rsidR="00537CC8" w:rsidRPr="0025250D" w:rsidRDefault="00537CC8" w:rsidP="00537CC8">
      <w:pPr>
        <w:rPr>
          <w:i/>
          <w:iCs/>
          <w:rtl/>
        </w:rPr>
      </w:pPr>
    </w:p>
    <w:p w14:paraId="0200CB90" w14:textId="77777777" w:rsidR="00537CC8" w:rsidRPr="0025250D" w:rsidRDefault="00537CC8" w:rsidP="00537CC8">
      <w:pPr>
        <w:rPr>
          <w:i/>
          <w:iCs/>
          <w:rtl/>
        </w:rPr>
      </w:pPr>
    </w:p>
    <w:p w14:paraId="738E0044" w14:textId="77777777" w:rsidR="00537CC8" w:rsidRPr="0025250D" w:rsidRDefault="00537CC8" w:rsidP="00537CC8">
      <w:pPr>
        <w:rPr>
          <w:i/>
          <w:iCs/>
          <w:rtl/>
        </w:rPr>
      </w:pPr>
    </w:p>
    <w:p w14:paraId="29AD304F" w14:textId="77777777" w:rsidR="00537CC8" w:rsidRPr="0025250D" w:rsidRDefault="00537CC8" w:rsidP="00537CC8">
      <w:pPr>
        <w:rPr>
          <w:i/>
          <w:iCs/>
          <w:rtl/>
        </w:rPr>
      </w:pPr>
    </w:p>
    <w:p w14:paraId="74231DFD" w14:textId="77777777" w:rsidR="00537CC8" w:rsidRPr="0025250D" w:rsidRDefault="00537CC8" w:rsidP="00537CC8">
      <w:pPr>
        <w:rPr>
          <w:i/>
          <w:iCs/>
          <w:rtl/>
        </w:rPr>
      </w:pPr>
    </w:p>
    <w:p w14:paraId="02426435" w14:textId="77777777" w:rsidR="00537CC8" w:rsidRPr="0025250D" w:rsidRDefault="00537CC8" w:rsidP="00537CC8">
      <w:pPr>
        <w:rPr>
          <w:i/>
          <w:iCs/>
          <w:rtl/>
        </w:rPr>
      </w:pPr>
    </w:p>
    <w:p w14:paraId="480AEAF1" w14:textId="77777777" w:rsidR="00537CC8" w:rsidRPr="0025250D" w:rsidRDefault="00537CC8" w:rsidP="00537CC8">
      <w:pPr>
        <w:rPr>
          <w:i/>
          <w:iCs/>
          <w:rtl/>
        </w:rPr>
      </w:pPr>
    </w:p>
    <w:p w14:paraId="65E40767" w14:textId="77777777" w:rsidR="00537CC8" w:rsidRPr="0025250D" w:rsidRDefault="00537CC8" w:rsidP="00537CC8">
      <w:pPr>
        <w:rPr>
          <w:i/>
          <w:iCs/>
          <w:rtl/>
        </w:rPr>
      </w:pPr>
    </w:p>
    <w:p w14:paraId="77FCE1D1" w14:textId="77777777" w:rsidR="00537CC8" w:rsidRPr="0025250D" w:rsidRDefault="00537CC8" w:rsidP="00537CC8">
      <w:pPr>
        <w:rPr>
          <w:rtl/>
        </w:rPr>
      </w:pPr>
    </w:p>
    <w:p w14:paraId="3B70023E" w14:textId="77777777" w:rsidR="00537CC8" w:rsidRPr="0025250D" w:rsidRDefault="00537CC8" w:rsidP="00537CC8">
      <w:pPr>
        <w:rPr>
          <w:rtl/>
        </w:rPr>
      </w:pPr>
    </w:p>
    <w:p w14:paraId="58C28C60" w14:textId="77777777" w:rsidR="00537CC8" w:rsidRPr="0025250D" w:rsidRDefault="00537CC8" w:rsidP="00EF26F0">
      <w:pPr>
        <w:pStyle w:val="Heading1"/>
        <w:rPr>
          <w:rtl/>
        </w:rPr>
      </w:pPr>
      <w:bookmarkStart w:id="77" w:name="_Toc127831342"/>
      <w:r w:rsidRPr="0025250D">
        <w:rPr>
          <w:rFonts w:hint="cs"/>
          <w:rtl/>
        </w:rPr>
        <w:t xml:space="preserve">پیوست 1: ارزیابی مختصری از مهارت‌های </w:t>
      </w:r>
      <w:r w:rsidRPr="0025250D">
        <w:rPr>
          <w:rtl/>
        </w:rPr>
        <w:t>آینده‌نگاری</w:t>
      </w:r>
      <w:r w:rsidRPr="0025250D">
        <w:rPr>
          <w:rFonts w:hint="cs"/>
          <w:rtl/>
        </w:rPr>
        <w:t xml:space="preserve"> </w:t>
      </w:r>
      <w:r w:rsidRPr="0025250D">
        <w:rPr>
          <w:rFonts w:ascii="Times New Roman" w:hAnsi="Times New Roman" w:cs="Times New Roman" w:hint="cs"/>
          <w:rtl/>
        </w:rPr>
        <w:t>–</w:t>
      </w:r>
      <w:r w:rsidRPr="0025250D">
        <w:rPr>
          <w:rFonts w:hint="cs"/>
          <w:rtl/>
        </w:rPr>
        <w:t xml:space="preserve"> فردی و تیمی</w:t>
      </w:r>
      <w:bookmarkEnd w:id="77"/>
    </w:p>
    <w:p w14:paraId="3A901604" w14:textId="653DBF29" w:rsidR="00537CC8" w:rsidRPr="0025250D" w:rsidRDefault="00537CC8" w:rsidP="00537CC8">
      <w:pPr>
        <w:rPr>
          <w:rtl/>
        </w:rPr>
      </w:pPr>
      <w:r w:rsidRPr="0025250D">
        <w:rPr>
          <w:rFonts w:hint="cs"/>
          <w:rtl/>
        </w:rPr>
        <w:t xml:space="preserve">این ارزیابی خلاصه از مهارت‌های </w:t>
      </w:r>
      <w:r w:rsidR="00D92F6E" w:rsidRPr="0025250D">
        <w:rPr>
          <w:rFonts w:hint="cs"/>
          <w:rtl/>
        </w:rPr>
        <w:t>آینده‌نگاری</w:t>
      </w:r>
      <w:r w:rsidRPr="0025250D">
        <w:rPr>
          <w:rFonts w:hint="cs"/>
          <w:rtl/>
        </w:rPr>
        <w:t xml:space="preserve"> به شما برای تشخیص اولویت‌ها، نقاط قوت و ضعف و حوزه‌های نیازمند بهبود فردی و تیمی کمک خواهد کرد. این ارزیابی تقریبا با صرف زمان دو ساعت تکمیل می‌شود. برخی از ادعا‌های آن در پاورقی توضیح داده </w:t>
      </w:r>
      <w:r w:rsidR="00185F3E" w:rsidRPr="0025250D">
        <w:rPr>
          <w:rFonts w:hint="cs"/>
          <w:rtl/>
        </w:rPr>
        <w:t>شده‌اند</w:t>
      </w:r>
      <w:r w:rsidRPr="0025250D">
        <w:rPr>
          <w:rFonts w:hint="cs"/>
          <w:rtl/>
        </w:rPr>
        <w:t xml:space="preserve">. بخش مراجع ارزیابی را برای تحقیقات بیشتر ببینید. این بخش شامل موضوعاتی مانند تحلیل </w:t>
      </w:r>
      <w:r w:rsidRPr="0025250D">
        <w:t>ADOR</w:t>
      </w:r>
      <w:r w:rsidRPr="0025250D">
        <w:rPr>
          <w:rFonts w:hint="cs"/>
          <w:rtl/>
        </w:rPr>
        <w:t xml:space="preserve">، تمایل به منفی گرایی، </w:t>
      </w:r>
      <w:r w:rsidRPr="0025250D">
        <w:rPr>
          <w:rtl/>
        </w:rPr>
        <w:t>آینده‌نگاری</w:t>
      </w:r>
      <w:r w:rsidRPr="0025250D">
        <w:rPr>
          <w:rFonts w:hint="cs"/>
          <w:rtl/>
        </w:rPr>
        <w:t xml:space="preserve"> هنجاری، </w:t>
      </w:r>
      <w:r w:rsidR="007118DE" w:rsidRPr="0025250D">
        <w:rPr>
          <w:rFonts w:hint="cs"/>
          <w:rtl/>
        </w:rPr>
        <w:t>اولویت‌بندی</w:t>
      </w:r>
      <w:r w:rsidRPr="0025250D">
        <w:rPr>
          <w:rFonts w:hint="cs"/>
          <w:rtl/>
        </w:rPr>
        <w:t xml:space="preserve">، </w:t>
      </w:r>
      <w:r w:rsidRPr="0025250D">
        <w:rPr>
          <w:rtl/>
        </w:rPr>
        <w:t>به تعو</w:t>
      </w:r>
      <w:r w:rsidRPr="0025250D">
        <w:rPr>
          <w:rFonts w:hint="cs"/>
          <w:rtl/>
        </w:rPr>
        <w:t>ی</w:t>
      </w:r>
      <w:r w:rsidRPr="0025250D">
        <w:rPr>
          <w:rFonts w:hint="eastAsia"/>
          <w:rtl/>
        </w:rPr>
        <w:t>ق</w:t>
      </w:r>
      <w:r w:rsidRPr="0025250D">
        <w:rPr>
          <w:rtl/>
        </w:rPr>
        <w:t xml:space="preserve"> انداختن</w:t>
      </w:r>
      <w:r w:rsidRPr="0025250D">
        <w:rPr>
          <w:rFonts w:hint="cs"/>
          <w:rtl/>
        </w:rPr>
        <w:t xml:space="preserve"> و دیگر موضوعات موجود در ارزیابی‌های طولانی‌تر نمی‌شود. این ارزیابی مختصر مجوز مشترکات خلاقانه </w:t>
      </w:r>
      <w:r w:rsidRPr="0025250D">
        <w:t>BY-NC-SA 3.0</w:t>
      </w:r>
      <w:r w:rsidRPr="0025250D">
        <w:rPr>
          <w:rFonts w:hint="cs"/>
          <w:rtl/>
        </w:rPr>
        <w:t xml:space="preserve"> برای استفاده، </w:t>
      </w:r>
      <w:r w:rsidR="002F3C14" w:rsidRPr="0025250D">
        <w:rPr>
          <w:rFonts w:hint="cs"/>
          <w:rtl/>
        </w:rPr>
        <w:t>انطباق</w:t>
      </w:r>
      <w:r w:rsidRPr="0025250D">
        <w:rPr>
          <w:rFonts w:hint="cs"/>
          <w:rtl/>
        </w:rPr>
        <w:t xml:space="preserve"> دهی و </w:t>
      </w:r>
      <w:r w:rsidR="00274907" w:rsidRPr="0025250D">
        <w:rPr>
          <w:rFonts w:hint="cs"/>
          <w:rtl/>
        </w:rPr>
        <w:t>به‌اشتراک‌گذار</w:t>
      </w:r>
      <w:r w:rsidRPr="0025250D">
        <w:rPr>
          <w:rFonts w:hint="cs"/>
          <w:rtl/>
        </w:rPr>
        <w:t xml:space="preserve">ی غیر تجاری با استناد به </w:t>
      </w:r>
      <w:r w:rsidRPr="0025250D">
        <w:t>4U</w:t>
      </w:r>
      <w:r w:rsidRPr="0025250D">
        <w:rPr>
          <w:rFonts w:hint="cs"/>
          <w:rtl/>
        </w:rPr>
        <w:t xml:space="preserve"> را دارد.</w:t>
      </w:r>
    </w:p>
    <w:p w14:paraId="44A97ACF" w14:textId="77777777" w:rsidR="00537CC8" w:rsidRPr="0025250D" w:rsidRDefault="00537CC8" w:rsidP="00537CC8">
      <w:pPr>
        <w:rPr>
          <w:rtl/>
        </w:rPr>
      </w:pPr>
      <w:r w:rsidRPr="0025250D">
        <w:rPr>
          <w:rFonts w:hint="cs"/>
          <w:rtl/>
        </w:rPr>
        <w:t>دستورالعمل ها: لطفا هر پنج بخش این ارزیابی را بخوانید. سپس به صورت خلاصه به همه سؤالات پاسخ دهید. در حین مطالعه، هر سؤالی که دارید را می‌توانید برای یادگیری و اقدامات بیش‌تر بنویسید.</w:t>
      </w:r>
    </w:p>
    <w:p w14:paraId="000E5AC4" w14:textId="70EFD418" w:rsidR="00537CC8" w:rsidRPr="0025250D" w:rsidRDefault="00537CC8" w:rsidP="00494960">
      <w:pPr>
        <w:pStyle w:val="Heading2"/>
        <w:rPr>
          <w:rtl/>
        </w:rPr>
      </w:pPr>
      <w:bookmarkStart w:id="78" w:name="_Toc127831343"/>
      <w:r w:rsidRPr="0025250D">
        <w:rPr>
          <w:rtl/>
        </w:rPr>
        <w:t>آینده‌نگاری</w:t>
      </w:r>
      <w:r w:rsidRPr="0025250D">
        <w:rPr>
          <w:rFonts w:hint="cs"/>
          <w:rtl/>
        </w:rPr>
        <w:t xml:space="preserve"> </w:t>
      </w:r>
      <w:r w:rsidR="002B6515" w:rsidRPr="0025250D">
        <w:rPr>
          <w:rtl/>
        </w:rPr>
        <w:t>حس‌داد</w:t>
      </w:r>
      <w:r w:rsidRPr="0025250D">
        <w:rPr>
          <w:rFonts w:hint="cs"/>
          <w:rtl/>
        </w:rPr>
        <w:t xml:space="preserve"> و تفکر </w:t>
      </w:r>
      <w:r w:rsidRPr="0025250D">
        <w:t>GRASP</w:t>
      </w:r>
      <w:bookmarkEnd w:id="78"/>
    </w:p>
    <w:p w14:paraId="41BCAFED" w14:textId="1AE13E43" w:rsidR="00537CC8" w:rsidRPr="0025250D" w:rsidRDefault="00537CC8" w:rsidP="00537CC8">
      <w:pPr>
        <w:rPr>
          <w:rtl/>
        </w:rPr>
      </w:pPr>
      <w:r w:rsidRPr="0025250D">
        <w:rPr>
          <w:rFonts w:hint="cs"/>
          <w:rtl/>
        </w:rPr>
        <w:t xml:space="preserve">همه ما به دو شکل </w:t>
      </w:r>
      <w:r w:rsidR="002B6515" w:rsidRPr="0025250D">
        <w:rPr>
          <w:rtl/>
        </w:rPr>
        <w:t>حس‌داد</w:t>
      </w:r>
      <w:r w:rsidRPr="0025250D">
        <w:rPr>
          <w:rFonts w:hint="cs"/>
          <w:rtl/>
        </w:rPr>
        <w:t xml:space="preserve"> خود نسبت به آینده را نشان می‌دهیم:</w:t>
      </w:r>
    </w:p>
    <w:p w14:paraId="7EB5DCB4" w14:textId="73C1B1CA" w:rsidR="00537CC8" w:rsidRPr="0025250D" w:rsidRDefault="00537CC8" w:rsidP="00537CC8">
      <w:pPr>
        <w:rPr>
          <w:rtl/>
        </w:rPr>
      </w:pPr>
      <w:r w:rsidRPr="0025250D">
        <w:rPr>
          <w:rFonts w:hint="cs"/>
          <w:rtl/>
        </w:rPr>
        <w:t xml:space="preserve">الف) خوش بینی </w:t>
      </w:r>
      <w:r w:rsidR="00701E03" w:rsidRPr="0025250D">
        <w:rPr>
          <w:rFonts w:hint="cs"/>
          <w:rtl/>
        </w:rPr>
        <w:t>راهبردی</w:t>
      </w:r>
      <w:r w:rsidRPr="0025250D">
        <w:rPr>
          <w:rFonts w:hint="cs"/>
          <w:rtl/>
        </w:rPr>
        <w:t xml:space="preserve"> (دیدن و ارزیابی مزایا و فرصت ها)</w:t>
      </w:r>
    </w:p>
    <w:p w14:paraId="21E0E96B" w14:textId="66926600" w:rsidR="00537CC8" w:rsidRPr="0025250D" w:rsidRDefault="00537CC8" w:rsidP="00537CC8">
      <w:pPr>
        <w:rPr>
          <w:rtl/>
        </w:rPr>
      </w:pPr>
      <w:r w:rsidRPr="0025250D">
        <w:rPr>
          <w:rFonts w:hint="cs"/>
          <w:rtl/>
        </w:rPr>
        <w:t xml:space="preserve">ب. </w:t>
      </w:r>
      <w:r w:rsidR="00D30084" w:rsidRPr="0025250D">
        <w:rPr>
          <w:rFonts w:hint="cs"/>
          <w:rtl/>
        </w:rPr>
        <w:t>بدبینی تدافعی</w:t>
      </w:r>
      <w:r w:rsidRPr="0025250D">
        <w:rPr>
          <w:rFonts w:hint="cs"/>
          <w:rtl/>
        </w:rPr>
        <w:t xml:space="preserve"> (دیدن و حفاظت در برابر تحولات و ریسک ها).</w:t>
      </w:r>
    </w:p>
    <w:p w14:paraId="4C676372" w14:textId="7A9862F3" w:rsidR="00537CC8" w:rsidRPr="0025250D" w:rsidRDefault="00537CC8" w:rsidP="00DC51E6">
      <w:pPr>
        <w:rPr>
          <w:rtl/>
        </w:rPr>
      </w:pPr>
      <w:r w:rsidRPr="0025250D">
        <w:rPr>
          <w:rFonts w:hint="cs"/>
          <w:rtl/>
        </w:rPr>
        <w:t xml:space="preserve">ما همچنین این </w:t>
      </w:r>
      <w:r w:rsidR="00DC51E6" w:rsidRPr="0025250D">
        <w:rPr>
          <w:rFonts w:hint="cs"/>
          <w:rtl/>
        </w:rPr>
        <w:t>حس‌دادها</w:t>
      </w:r>
      <w:r w:rsidRPr="0025250D">
        <w:rPr>
          <w:rFonts w:hint="cs"/>
          <w:rtl/>
        </w:rPr>
        <w:t xml:space="preserve"> را به یک شکل سوم با هم مخلوط می‌کنیم:</w:t>
      </w:r>
    </w:p>
    <w:p w14:paraId="355EE162" w14:textId="0F1753BE" w:rsidR="00537CC8" w:rsidRPr="0025250D" w:rsidRDefault="00537CC8" w:rsidP="00DC51E6">
      <w:pPr>
        <w:rPr>
          <w:rtl/>
        </w:rPr>
      </w:pPr>
      <w:r w:rsidRPr="0025250D">
        <w:rPr>
          <w:rFonts w:hint="cs"/>
          <w:rtl/>
        </w:rPr>
        <w:t xml:space="preserve">ج. واقع بینی (تقابل فعال هر دو </w:t>
      </w:r>
      <w:r w:rsidR="00DC51E6" w:rsidRPr="0025250D">
        <w:rPr>
          <w:rFonts w:hint="cs"/>
          <w:rtl/>
        </w:rPr>
        <w:t>حس‌داد</w:t>
      </w:r>
      <w:r w:rsidRPr="0025250D">
        <w:rPr>
          <w:rFonts w:hint="cs"/>
          <w:rtl/>
        </w:rPr>
        <w:t xml:space="preserve"> به صورت همزمان، </w:t>
      </w:r>
      <w:r w:rsidR="002C61FC" w:rsidRPr="0025250D">
        <w:rPr>
          <w:rtl/>
        </w:rPr>
        <w:t>«</w:t>
      </w:r>
      <w:r w:rsidRPr="0025250D">
        <w:rPr>
          <w:rFonts w:hint="cs"/>
          <w:rtl/>
        </w:rPr>
        <w:t>دیدن هر دو نیمه لیوان</w:t>
      </w:r>
      <w:r w:rsidR="002C61FC" w:rsidRPr="0025250D">
        <w:rPr>
          <w:rtl/>
        </w:rPr>
        <w:t>»</w:t>
      </w:r>
      <w:r w:rsidRPr="0025250D">
        <w:rPr>
          <w:rFonts w:hint="cs"/>
          <w:rtl/>
        </w:rPr>
        <w:t xml:space="preserve"> در یک بازه زمانی کوتاه).</w:t>
      </w:r>
    </w:p>
    <w:p w14:paraId="13F945B2" w14:textId="61C887EC" w:rsidR="00537CC8" w:rsidRPr="0025250D" w:rsidRDefault="00537CC8" w:rsidP="00537CC8">
      <w:pPr>
        <w:rPr>
          <w:rtl/>
        </w:rPr>
      </w:pPr>
      <w:r w:rsidRPr="0025250D">
        <w:rPr>
          <w:rFonts w:hint="cs"/>
          <w:rtl/>
        </w:rPr>
        <w:t xml:space="preserve">افراد خوش بین می‌توانند در </w:t>
      </w:r>
      <w:r w:rsidR="0060055A" w:rsidRPr="0025250D">
        <w:rPr>
          <w:rtl/>
        </w:rPr>
        <w:t>فراپایی</w:t>
      </w:r>
      <w:r w:rsidRPr="0025250D">
        <w:rPr>
          <w:rFonts w:hint="cs"/>
          <w:rtl/>
        </w:rPr>
        <w:t xml:space="preserve"> و بهره برداری از فرصت‌ها بسیار عالی عمل کنند</w:t>
      </w:r>
      <w:r w:rsidRPr="0025250D">
        <w:rPr>
          <w:rFonts w:hint="cs"/>
          <w:vertAlign w:val="superscript"/>
          <w:rtl/>
        </w:rPr>
        <w:t>(1)</w:t>
      </w:r>
      <w:r w:rsidRPr="0025250D">
        <w:rPr>
          <w:rFonts w:hint="cs"/>
          <w:rtl/>
        </w:rPr>
        <w:t xml:space="preserve">. افراد بدبین می‌توانند در </w:t>
      </w:r>
      <w:r w:rsidR="0060055A" w:rsidRPr="0025250D">
        <w:rPr>
          <w:rtl/>
        </w:rPr>
        <w:t>فراپایی</w:t>
      </w:r>
      <w:r w:rsidRPr="0025250D">
        <w:rPr>
          <w:rFonts w:hint="cs"/>
          <w:rtl/>
        </w:rPr>
        <w:t xml:space="preserve"> و جلوگیری از فجایع بسیار عالی عمل کنند</w:t>
      </w:r>
      <w:r w:rsidRPr="0025250D">
        <w:rPr>
          <w:rFonts w:hint="cs"/>
          <w:vertAlign w:val="superscript"/>
          <w:rtl/>
        </w:rPr>
        <w:t>(2)</w:t>
      </w:r>
      <w:r w:rsidRPr="0025250D">
        <w:rPr>
          <w:rFonts w:hint="cs"/>
          <w:rtl/>
        </w:rPr>
        <w:t>. افراد واقع بین می‌توانند موارد درست بیش‌تری را انجام دهند</w:t>
      </w:r>
      <w:r w:rsidRPr="0025250D">
        <w:rPr>
          <w:rFonts w:hint="cs"/>
          <w:vertAlign w:val="superscript"/>
          <w:rtl/>
        </w:rPr>
        <w:t>(3)</w:t>
      </w:r>
      <w:r w:rsidRPr="0025250D">
        <w:rPr>
          <w:rFonts w:hint="cs"/>
          <w:rtl/>
        </w:rPr>
        <w:t xml:space="preserve">. رهبران مؤثر در تیم‌های خود برای همه این سه حالت </w:t>
      </w:r>
      <w:r w:rsidR="002B6515" w:rsidRPr="0025250D">
        <w:rPr>
          <w:rtl/>
        </w:rPr>
        <w:t>حس‌داد</w:t>
      </w:r>
      <w:r w:rsidRPr="0025250D">
        <w:rPr>
          <w:rFonts w:hint="cs"/>
          <w:rtl/>
        </w:rPr>
        <w:t xml:space="preserve"> ارزش قائل شده و برای همه آن‌ها امنیت روانشناختی ایجاد می‌کنند. آن‌ها در مقابل خوش بینی بیش از حد، </w:t>
      </w:r>
      <w:r w:rsidR="002A38BD" w:rsidRPr="0025250D">
        <w:rPr>
          <w:rFonts w:hint="cs"/>
          <w:rtl/>
        </w:rPr>
        <w:t>به همراه</w:t>
      </w:r>
      <w:r w:rsidRPr="0025250D">
        <w:rPr>
          <w:rFonts w:hint="cs"/>
          <w:rtl/>
        </w:rPr>
        <w:t xml:space="preserve"> توهمات آن و تفکر غالب گروهی که به سرعت می‌تواند با موفقیت‌های پیشین رشد کند، جبهه می‌گیرند. آن‌ها همچنین در مقابل بدبینی بیش از حد، با منفی بافی و انفعالی بودن آن (بی فایدگی آموخته شده) از تیم خود محافظت می‌کنند</w:t>
      </w:r>
      <w:r w:rsidRPr="0025250D">
        <w:rPr>
          <w:rFonts w:hint="cs"/>
          <w:vertAlign w:val="superscript"/>
          <w:rtl/>
        </w:rPr>
        <w:t>(1)</w:t>
      </w:r>
      <w:r w:rsidRPr="0025250D">
        <w:rPr>
          <w:rFonts w:hint="cs"/>
          <w:rtl/>
        </w:rPr>
        <w:t xml:space="preserve">. آن‌ها همچنین از میانه روی بیش از حد (عدم اتخاذ موقعیت </w:t>
      </w:r>
      <w:r w:rsidR="002B6515" w:rsidRPr="0025250D">
        <w:rPr>
          <w:rtl/>
        </w:rPr>
        <w:t>حس‌داد</w:t>
      </w:r>
      <w:r w:rsidRPr="0025250D">
        <w:rPr>
          <w:rFonts w:hint="cs"/>
          <w:rtl/>
        </w:rPr>
        <w:t xml:space="preserve"> قوی در زمان مورد نیاز) و استفاده ناکافی از تشویق و انتقاد (بازخورد برای حالات </w:t>
      </w:r>
      <w:r w:rsidR="002B6515" w:rsidRPr="0025250D">
        <w:rPr>
          <w:rtl/>
        </w:rPr>
        <w:t>حس‌داد</w:t>
      </w:r>
      <w:r w:rsidRPr="0025250D">
        <w:rPr>
          <w:rFonts w:hint="cs"/>
          <w:rtl/>
        </w:rPr>
        <w:t>) از تیم خود حفاظت می‌کنند.</w:t>
      </w:r>
    </w:p>
    <w:p w14:paraId="5CF37004" w14:textId="30D39D38" w:rsidR="00537CC8" w:rsidRPr="0025250D" w:rsidRDefault="00537CC8" w:rsidP="00537CC8">
      <w:pPr>
        <w:rPr>
          <w:rtl/>
        </w:rPr>
      </w:pPr>
      <w:r w:rsidRPr="0025250D">
        <w:rPr>
          <w:rFonts w:hint="cs"/>
          <w:rtl/>
        </w:rPr>
        <w:t xml:space="preserve">1الف) به نظر شما خودتان شخصا در اغلب موارد یک خوش بین </w:t>
      </w:r>
      <w:r w:rsidR="00701E03" w:rsidRPr="0025250D">
        <w:rPr>
          <w:rFonts w:hint="cs"/>
          <w:rtl/>
        </w:rPr>
        <w:t>راهبردی</w:t>
      </w:r>
      <w:r w:rsidRPr="0025250D">
        <w:rPr>
          <w:rFonts w:hint="cs"/>
          <w:rtl/>
        </w:rPr>
        <w:t>، بدبینی دفاعی یا یک واقع بین (تقابل فعال هر دو حالت پیشین) هستید؟ مدت زمانی که برای هر یک از این سه حالت ذهنی در طول یک هفته کاری معمولی صرف می‌کنید را با چه ترتیبی (1،2،3) رتبه بندی می‌کنید؟</w:t>
      </w:r>
    </w:p>
    <w:p w14:paraId="021D25B2" w14:textId="1824AB43" w:rsidR="00537CC8" w:rsidRPr="0025250D" w:rsidRDefault="00537CC8" w:rsidP="00537CC8">
      <w:pPr>
        <w:rPr>
          <w:rtl/>
        </w:rPr>
      </w:pPr>
      <w:r w:rsidRPr="0025250D">
        <w:rPr>
          <w:rFonts w:hint="cs"/>
          <w:rtl/>
        </w:rPr>
        <w:t xml:space="preserve">تفکر در مورد مزایا (خوش بینی </w:t>
      </w:r>
      <w:r w:rsidR="00701E03" w:rsidRPr="0025250D">
        <w:rPr>
          <w:rFonts w:hint="cs"/>
          <w:rtl/>
        </w:rPr>
        <w:t>راهبردی</w:t>
      </w:r>
      <w:r w:rsidRPr="0025250D">
        <w:rPr>
          <w:rFonts w:hint="cs"/>
          <w:rtl/>
        </w:rPr>
        <w:t>) ------</w:t>
      </w:r>
    </w:p>
    <w:p w14:paraId="333BC1C8" w14:textId="77777777" w:rsidR="00537CC8" w:rsidRPr="0025250D" w:rsidRDefault="00537CC8" w:rsidP="00537CC8">
      <w:pPr>
        <w:rPr>
          <w:rtl/>
        </w:rPr>
      </w:pPr>
      <w:r w:rsidRPr="0025250D">
        <w:rPr>
          <w:rFonts w:hint="cs"/>
          <w:rtl/>
        </w:rPr>
        <w:t>تفکر دفاعی (تفکر دفاعی) ------</w:t>
      </w:r>
    </w:p>
    <w:p w14:paraId="1685DE44" w14:textId="160FCDD4" w:rsidR="00537CC8" w:rsidRPr="0025250D" w:rsidRDefault="00537CC8" w:rsidP="002C61FC">
      <w:pPr>
        <w:rPr>
          <w:rtl/>
        </w:rPr>
      </w:pPr>
      <w:r w:rsidRPr="0025250D">
        <w:rPr>
          <w:rFonts w:hint="cs"/>
          <w:rtl/>
        </w:rPr>
        <w:t xml:space="preserve">تفکر در مورد تقابل (نوسانی، </w:t>
      </w:r>
      <w:r w:rsidR="002C61FC" w:rsidRPr="0025250D">
        <w:rPr>
          <w:rtl/>
        </w:rPr>
        <w:t>«</w:t>
      </w:r>
      <w:r w:rsidRPr="0025250D">
        <w:rPr>
          <w:rFonts w:hint="cs"/>
          <w:rtl/>
        </w:rPr>
        <w:t>واقع بینی</w:t>
      </w:r>
      <w:r w:rsidR="002C61FC" w:rsidRPr="0025250D">
        <w:rPr>
          <w:rtl/>
        </w:rPr>
        <w:t>»</w:t>
      </w:r>
      <w:r w:rsidRPr="0025250D">
        <w:rPr>
          <w:rFonts w:hint="cs"/>
          <w:rtl/>
        </w:rPr>
        <w:t>)</w:t>
      </w:r>
      <w:r w:rsidR="002C61FC" w:rsidRPr="0025250D">
        <w:rPr>
          <w:rFonts w:hint="cs"/>
          <w:rtl/>
        </w:rPr>
        <w:t xml:space="preserve"> ------</w:t>
      </w:r>
    </w:p>
    <w:p w14:paraId="28ACA18F" w14:textId="30D322D8" w:rsidR="00537CC8" w:rsidRPr="0025250D" w:rsidRDefault="00537CC8" w:rsidP="002C61FC">
      <w:pPr>
        <w:rPr>
          <w:rtl/>
        </w:rPr>
      </w:pPr>
      <w:r w:rsidRPr="0025250D">
        <w:rPr>
          <w:rFonts w:hint="cs"/>
          <w:b/>
          <w:bCs/>
          <w:rtl/>
        </w:rPr>
        <w:t xml:space="preserve">تفکر </w:t>
      </w:r>
      <w:r w:rsidRPr="0025250D">
        <w:rPr>
          <w:b/>
          <w:bCs/>
        </w:rPr>
        <w:t>GRASP</w:t>
      </w:r>
      <w:r w:rsidRPr="0025250D">
        <w:rPr>
          <w:rFonts w:hint="cs"/>
          <w:rtl/>
        </w:rPr>
        <w:t xml:space="preserve">. تقابل </w:t>
      </w:r>
      <w:r w:rsidR="002B6515" w:rsidRPr="0025250D">
        <w:rPr>
          <w:rtl/>
        </w:rPr>
        <w:t>حس‌داد</w:t>
      </w:r>
      <w:r w:rsidRPr="0025250D">
        <w:rPr>
          <w:rFonts w:hint="cs"/>
          <w:rtl/>
        </w:rPr>
        <w:t xml:space="preserve"> (</w:t>
      </w:r>
      <w:r w:rsidR="002C61FC" w:rsidRPr="0025250D">
        <w:rPr>
          <w:rtl/>
        </w:rPr>
        <w:t>«</w:t>
      </w:r>
      <w:r w:rsidRPr="0025250D">
        <w:rPr>
          <w:rFonts w:hint="cs"/>
          <w:rtl/>
        </w:rPr>
        <w:t xml:space="preserve">تفکر </w:t>
      </w:r>
      <w:r w:rsidRPr="0025250D">
        <w:t>GRASP</w:t>
      </w:r>
      <w:r w:rsidR="002C61FC" w:rsidRPr="0025250D">
        <w:rPr>
          <w:rFonts w:hint="cs"/>
          <w:rtl/>
        </w:rPr>
        <w:t>»</w:t>
      </w:r>
      <w:r w:rsidRPr="0025250D">
        <w:rPr>
          <w:rFonts w:hint="cs"/>
          <w:rtl/>
        </w:rPr>
        <w:t xml:space="preserve">) نوعی از واقع بینی است که در آن ما ابتدا به صورت خوش بینانه و احتمالی، در مورد یک هدف ارزشمند تفکر می‌کنیم و سپس در مورد واقعیت خود (فاصله حقیقی از هدف) و بسیاری از حالات ممکن برای نرسیدن به آن هدف به صورت دفاعی تفکر می‌کنیم. سپس به صورت خوش بینانه‌ای مزایایی را که با رسیدن به این هدف حاصل خواهیم کرد تصور می‌کنیم. سپس به صورت دفاعی، محتمل‌ترین عقبگرد‌هایی (موانع) را که ممکن است با آن‌ها مواجه شویم تصور می‌کنیم و سپس یک برنامه </w:t>
      </w:r>
      <w:r w:rsidR="00701E03" w:rsidRPr="0025250D">
        <w:rPr>
          <w:rFonts w:hint="cs"/>
          <w:rtl/>
        </w:rPr>
        <w:t>راهبردی</w:t>
      </w:r>
      <w:r w:rsidRPr="0025250D">
        <w:rPr>
          <w:rFonts w:hint="cs"/>
          <w:rtl/>
        </w:rPr>
        <w:t xml:space="preserve"> ایجاد می‌کنیم. برنامه ما باید همچنین شامل دو چیز باشد:</w:t>
      </w:r>
    </w:p>
    <w:p w14:paraId="01BEB00A" w14:textId="77777777" w:rsidR="00537CC8" w:rsidRPr="0025250D" w:rsidRDefault="00537CC8" w:rsidP="00494960">
      <w:pPr>
        <w:jc w:val="center"/>
        <w:rPr>
          <w:rtl/>
        </w:rPr>
      </w:pPr>
      <w:r w:rsidRPr="0025250D">
        <w:rPr>
          <w:noProof/>
          <w:rtl/>
          <w:lang w:bidi="ar-SA"/>
        </w:rPr>
        <w:drawing>
          <wp:inline distT="0" distB="0" distL="0" distR="0" wp14:anchorId="5A9EC37B" wp14:editId="75D4F19F">
            <wp:extent cx="4106812" cy="2558955"/>
            <wp:effectExtent l="0" t="0" r="8255" b="0"/>
            <wp:docPr id="168" name="Picture 168" descr="D:\کار\مستقل\3 ( ترجمه ی دانشگاه تهران  )\Introduction to Foresight\part8\66-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کار\مستقل\3 ( ترجمه ی دانشگاه تهران  )\Introduction to Foresight\part8\66-new.png"/>
                    <pic:cNvPicPr>
                      <a:picLocks noChangeAspect="1" noChangeArrowheads="1"/>
                    </pic:cNvPicPr>
                  </pic:nvPicPr>
                  <pic:blipFill rotWithShape="1">
                    <a:blip r:embed="rId279" cstate="screen">
                      <a:extLst>
                        <a:ext uri="{BEBA8EAE-BF5A-486C-A8C5-ECC9F3942E4B}">
                          <a14:imgProps xmlns:a14="http://schemas.microsoft.com/office/drawing/2010/main">
                            <a14:imgLayer r:embed="rId280">
                              <a14:imgEffect>
                                <a14:saturation sat="0"/>
                              </a14:imgEffect>
                            </a14:imgLayer>
                          </a14:imgProps>
                        </a:ext>
                        <a:ext uri="{28A0092B-C50C-407E-A947-70E740481C1C}">
                          <a14:useLocalDpi xmlns:a14="http://schemas.microsoft.com/office/drawing/2010/main"/>
                        </a:ext>
                      </a:extLst>
                    </a:blip>
                    <a:srcRect/>
                    <a:stretch/>
                  </pic:blipFill>
                  <pic:spPr bwMode="auto">
                    <a:xfrm>
                      <a:off x="0" y="0"/>
                      <a:ext cx="4116582" cy="2565043"/>
                    </a:xfrm>
                    <a:prstGeom prst="rect">
                      <a:avLst/>
                    </a:prstGeom>
                    <a:noFill/>
                    <a:ln>
                      <a:noFill/>
                    </a:ln>
                    <a:extLst>
                      <a:ext uri="{53640926-AAD7-44D8-BBD7-CCE9431645EC}">
                        <a14:shadowObscured xmlns:a14="http://schemas.microsoft.com/office/drawing/2010/main"/>
                      </a:ext>
                    </a:extLst>
                  </pic:spPr>
                </pic:pic>
              </a:graphicData>
            </a:graphic>
          </wp:inline>
        </w:drawing>
      </w:r>
    </w:p>
    <w:p w14:paraId="0B740EE2" w14:textId="77777777" w:rsidR="00537CC8" w:rsidRPr="0025250D" w:rsidRDefault="00537CC8" w:rsidP="00494960">
      <w:pPr>
        <w:jc w:val="center"/>
        <w:rPr>
          <w:rtl/>
        </w:rPr>
      </w:pPr>
      <w:r w:rsidRPr="0025250D">
        <w:rPr>
          <w:rFonts w:hint="cs"/>
          <w:rtl/>
        </w:rPr>
        <w:t>از کوه‌های موانع خود بالا روید، هر بار یک چنگ زدن. الکس هونولد، 2018</w:t>
      </w:r>
    </w:p>
    <w:p w14:paraId="7E6B9DC3" w14:textId="6FBE1E28" w:rsidR="00537CC8" w:rsidRPr="0025250D" w:rsidRDefault="00537CC8" w:rsidP="00537CC8">
      <w:pPr>
        <w:rPr>
          <w:rtl/>
        </w:rPr>
      </w:pPr>
      <w:r w:rsidRPr="0025250D">
        <w:rPr>
          <w:rFonts w:hint="cs"/>
          <w:rtl/>
        </w:rPr>
        <w:t>1. منابع کلیدی (ذهنی، فیزیکی، شبکه ای) که به ما برای رسیدن به اهدافمان و چگونگی رسیدن به آن‌ها یا مدیریت آن‌ها کمک می‌کنند</w:t>
      </w:r>
      <w:r w:rsidR="008D6F97" w:rsidRPr="0025250D">
        <w:rPr>
          <w:rtl/>
        </w:rPr>
        <w:t xml:space="preserve"> </w:t>
      </w:r>
      <w:r w:rsidRPr="0025250D">
        <w:rPr>
          <w:rFonts w:hint="cs"/>
          <w:rtl/>
        </w:rPr>
        <w:t>و</w:t>
      </w:r>
    </w:p>
    <w:p w14:paraId="01903260" w14:textId="77777777" w:rsidR="00537CC8" w:rsidRPr="0025250D" w:rsidRDefault="00537CC8" w:rsidP="00537CC8">
      <w:pPr>
        <w:rPr>
          <w:rtl/>
        </w:rPr>
      </w:pPr>
      <w:r w:rsidRPr="0025250D">
        <w:rPr>
          <w:rFonts w:hint="cs"/>
          <w:rtl/>
        </w:rPr>
        <w:t>2. عبارات اگر-آنگاه درمورد چگونگی مواجه شدن با موانع احتمالی، در صورت ایجاد شدن آن ها.</w:t>
      </w:r>
    </w:p>
    <w:p w14:paraId="13E950D7" w14:textId="77777777" w:rsidR="00537CC8" w:rsidRPr="0025250D" w:rsidRDefault="00537CC8" w:rsidP="00537CC8">
      <w:pPr>
        <w:rPr>
          <w:rtl/>
        </w:rPr>
      </w:pPr>
      <w:r w:rsidRPr="0025250D">
        <w:rPr>
          <w:rFonts w:hint="cs"/>
          <w:rtl/>
        </w:rPr>
        <w:t>ما بیش‌تر این نوع تفکر را در حین انجام کار، در ذهن خود انجام می‌دهیم.</w:t>
      </w:r>
    </w:p>
    <w:p w14:paraId="78CEF1EA" w14:textId="77777777" w:rsidR="00537CC8" w:rsidRPr="0025250D" w:rsidRDefault="00537CC8" w:rsidP="00537CC8">
      <w:pPr>
        <w:rPr>
          <w:rtl/>
        </w:rPr>
      </w:pPr>
      <w:r w:rsidRPr="0025250D">
        <w:rPr>
          <w:rFonts w:hint="cs"/>
          <w:rtl/>
        </w:rPr>
        <w:t xml:space="preserve">در اینجا به چگونگی کارکرد </w:t>
      </w:r>
      <w:r w:rsidRPr="0025250D">
        <w:t>GRASP</w:t>
      </w:r>
      <w:r w:rsidRPr="0025250D">
        <w:rPr>
          <w:rFonts w:hint="cs"/>
          <w:rtl/>
        </w:rPr>
        <w:t xml:space="preserve"> می‌پردازیم:</w:t>
      </w:r>
    </w:p>
    <w:p w14:paraId="362390FC" w14:textId="77777777" w:rsidR="00537CC8" w:rsidRPr="0025250D" w:rsidRDefault="00537CC8" w:rsidP="00492C47">
      <w:pPr>
        <w:numPr>
          <w:ilvl w:val="0"/>
          <w:numId w:val="67"/>
        </w:numPr>
      </w:pPr>
      <w:r w:rsidRPr="0025250D">
        <w:rPr>
          <w:rFonts w:hint="cs"/>
          <w:rtl/>
        </w:rPr>
        <w:t>(</w:t>
      </w:r>
      <w:r w:rsidRPr="0025250D">
        <w:t>G</w:t>
      </w:r>
      <w:r w:rsidRPr="0025250D">
        <w:rPr>
          <w:rFonts w:hint="cs"/>
          <w:rtl/>
        </w:rPr>
        <w:t>). متقاعد شدن درمورد یک هدف ارزشمند اما قابل دست یابی (برای امروز یا کوتاه مدت). آیا این یک اولویت برتر است؟ احساس خوبی داشته باشید.</w:t>
      </w:r>
    </w:p>
    <w:p w14:paraId="0D7DF63B" w14:textId="77777777" w:rsidR="00537CC8" w:rsidRPr="0025250D" w:rsidRDefault="00537CC8" w:rsidP="00492C47">
      <w:pPr>
        <w:numPr>
          <w:ilvl w:val="0"/>
          <w:numId w:val="67"/>
        </w:numPr>
      </w:pPr>
      <w:r w:rsidRPr="0025250D">
        <w:rPr>
          <w:rFonts w:hint="cs"/>
          <w:rtl/>
        </w:rPr>
        <w:t>(</w:t>
      </w:r>
      <w:r w:rsidRPr="0025250D">
        <w:t>R</w:t>
      </w:r>
      <w:r w:rsidRPr="0025250D">
        <w:rPr>
          <w:rFonts w:hint="cs"/>
          <w:rtl/>
        </w:rPr>
        <w:t>). واقعیت را برآورد نمایید (از هدف چقدر فاصله داریم). آیا نتایج ممکنی غیر از هدف وجود دارند؟ احساس بدی داشته باشید.</w:t>
      </w:r>
    </w:p>
    <w:p w14:paraId="345BF161" w14:textId="276C42AC" w:rsidR="00537CC8" w:rsidRPr="0025250D" w:rsidRDefault="00537CC8" w:rsidP="00492C47">
      <w:pPr>
        <w:numPr>
          <w:ilvl w:val="0"/>
          <w:numId w:val="67"/>
        </w:numPr>
      </w:pPr>
      <w:r w:rsidRPr="0025250D">
        <w:rPr>
          <w:rFonts w:hint="cs"/>
          <w:rtl/>
        </w:rPr>
        <w:t>(</w:t>
      </w:r>
      <w:r w:rsidRPr="0025250D">
        <w:t>A</w:t>
      </w:r>
      <w:r w:rsidRPr="0025250D">
        <w:rPr>
          <w:rFonts w:hint="cs"/>
          <w:rtl/>
        </w:rPr>
        <w:t xml:space="preserve">). برخی مزایای حاصل از دست یابی به این هدف را با جزئیات تصور کنید (خوش بینی </w:t>
      </w:r>
      <w:r w:rsidR="00701E03" w:rsidRPr="0025250D">
        <w:rPr>
          <w:rFonts w:hint="cs"/>
          <w:rtl/>
        </w:rPr>
        <w:t>راهبردی</w:t>
      </w:r>
      <w:r w:rsidRPr="0025250D">
        <w:rPr>
          <w:rFonts w:hint="cs"/>
          <w:rtl/>
        </w:rPr>
        <w:t>). احساس خوبی داشته باشید.</w:t>
      </w:r>
    </w:p>
    <w:p w14:paraId="4647D5B4" w14:textId="208C62DB" w:rsidR="00537CC8" w:rsidRPr="0025250D" w:rsidRDefault="00537CC8" w:rsidP="00492C47">
      <w:pPr>
        <w:numPr>
          <w:ilvl w:val="0"/>
          <w:numId w:val="67"/>
        </w:numPr>
      </w:pPr>
      <w:r w:rsidRPr="0025250D">
        <w:rPr>
          <w:rFonts w:hint="cs"/>
          <w:rtl/>
        </w:rPr>
        <w:t>(</w:t>
      </w:r>
      <w:r w:rsidRPr="0025250D">
        <w:t>S</w:t>
      </w:r>
      <w:r w:rsidRPr="0025250D">
        <w:rPr>
          <w:rFonts w:hint="cs"/>
          <w:rtl/>
        </w:rPr>
        <w:t xml:space="preserve">). </w:t>
      </w:r>
      <w:r w:rsidR="00923DDB" w:rsidRPr="0025250D">
        <w:rPr>
          <w:rFonts w:hint="cs"/>
          <w:rtl/>
        </w:rPr>
        <w:t>باورپذیر</w:t>
      </w:r>
      <w:r w:rsidRPr="0025250D">
        <w:rPr>
          <w:rFonts w:hint="cs"/>
          <w:rtl/>
        </w:rPr>
        <w:t xml:space="preserve">‌ترین عقبگردها (بدبینی </w:t>
      </w:r>
      <w:r w:rsidR="00701E03" w:rsidRPr="0025250D">
        <w:rPr>
          <w:rFonts w:hint="cs"/>
          <w:rtl/>
        </w:rPr>
        <w:t>راهبردی</w:t>
      </w:r>
      <w:r w:rsidRPr="0025250D">
        <w:rPr>
          <w:rFonts w:hint="cs"/>
          <w:rtl/>
        </w:rPr>
        <w:t xml:space="preserve">) یا راه‌های شکست </w:t>
      </w:r>
      <w:r w:rsidR="00B453C0" w:rsidRPr="0025250D">
        <w:rPr>
          <w:rFonts w:hint="cs"/>
          <w:rtl/>
        </w:rPr>
        <w:t>امکان‌پذیر</w:t>
      </w:r>
      <w:r w:rsidRPr="0025250D">
        <w:rPr>
          <w:rFonts w:hint="cs"/>
          <w:rtl/>
        </w:rPr>
        <w:t xml:space="preserve"> را تصور کنید. احساس بدی داشته باشید.</w:t>
      </w:r>
    </w:p>
    <w:p w14:paraId="4CDE2E76" w14:textId="77777777" w:rsidR="00537CC8" w:rsidRPr="0025250D" w:rsidRDefault="00537CC8" w:rsidP="00492C47">
      <w:pPr>
        <w:numPr>
          <w:ilvl w:val="0"/>
          <w:numId w:val="67"/>
        </w:numPr>
        <w:rPr>
          <w:rtl/>
        </w:rPr>
      </w:pPr>
      <w:r w:rsidRPr="0025250D">
        <w:rPr>
          <w:rFonts w:hint="cs"/>
          <w:rtl/>
        </w:rPr>
        <w:t>(</w:t>
      </w:r>
      <w:r w:rsidRPr="0025250D">
        <w:t>P</w:t>
      </w:r>
      <w:r w:rsidRPr="0025250D">
        <w:rPr>
          <w:rFonts w:hint="cs"/>
          <w:rtl/>
        </w:rPr>
        <w:t>). برنامه ساده‌ای با تعداد کمی از منابع کلیدی و عبارات اگر-آنگاه ایجاد کنید. احساس خوبی داشته باشید.</w:t>
      </w:r>
    </w:p>
    <w:p w14:paraId="02A93711" w14:textId="3F72C62B" w:rsidR="00537CC8" w:rsidRPr="0025250D" w:rsidRDefault="00537CC8" w:rsidP="00537CC8">
      <w:pPr>
        <w:rPr>
          <w:rtl/>
        </w:rPr>
      </w:pPr>
      <w:r w:rsidRPr="0025250D">
        <w:rPr>
          <w:rFonts w:hint="cs"/>
          <w:rtl/>
        </w:rPr>
        <w:t xml:space="preserve">در مطالعات واقعی گسترده، تقابل </w:t>
      </w:r>
      <w:r w:rsidR="002B6515" w:rsidRPr="0025250D">
        <w:rPr>
          <w:rtl/>
        </w:rPr>
        <w:t>حس‌داد</w:t>
      </w:r>
      <w:r w:rsidRPr="0025250D">
        <w:rPr>
          <w:rFonts w:hint="cs"/>
          <w:rtl/>
        </w:rPr>
        <w:t xml:space="preserve"> ساختار بندی شده (خوش بینی، بدبینی، برنامه) نسبت به استفاده نکردن از هیچ </w:t>
      </w:r>
      <w:r w:rsidR="002B6515" w:rsidRPr="0025250D">
        <w:rPr>
          <w:rtl/>
        </w:rPr>
        <w:t>حس‌داد</w:t>
      </w:r>
      <w:r w:rsidRPr="0025250D">
        <w:rPr>
          <w:rFonts w:hint="cs"/>
          <w:rtl/>
        </w:rPr>
        <w:t xml:space="preserve"> یا بدبینی یا خوش بینی به تنهایی، عملکرد بهتری از خود نشان داده است</w:t>
      </w:r>
      <w:r w:rsidRPr="0025250D">
        <w:rPr>
          <w:rFonts w:hint="cs"/>
          <w:vertAlign w:val="superscript"/>
          <w:rtl/>
        </w:rPr>
        <w:t>(3)</w:t>
      </w:r>
      <w:r w:rsidRPr="0025250D">
        <w:rPr>
          <w:rFonts w:hint="cs"/>
          <w:rtl/>
        </w:rPr>
        <w:t>.</w:t>
      </w:r>
    </w:p>
    <w:p w14:paraId="30B2449E" w14:textId="03C3E477" w:rsidR="00537CC8" w:rsidRPr="0025250D" w:rsidRDefault="00537CC8" w:rsidP="00537CC8">
      <w:pPr>
        <w:rPr>
          <w:rtl/>
        </w:rPr>
      </w:pPr>
      <w:r w:rsidRPr="0025250D">
        <w:rPr>
          <w:rFonts w:hint="cs"/>
          <w:rtl/>
        </w:rPr>
        <w:t xml:space="preserve">1. دقت </w:t>
      </w:r>
      <w:r w:rsidRPr="0025250D">
        <w:rPr>
          <w:rtl/>
        </w:rPr>
        <w:t>آینده‌نگاری</w:t>
      </w:r>
      <w:r w:rsidRPr="0025250D">
        <w:rPr>
          <w:rFonts w:hint="cs"/>
          <w:rtl/>
        </w:rPr>
        <w:t xml:space="preserve"> (50-100 درصد خطای کم‌تر در </w:t>
      </w:r>
      <w:r w:rsidR="00D92F6E" w:rsidRPr="0025250D">
        <w:rPr>
          <w:rFonts w:hint="cs"/>
          <w:rtl/>
        </w:rPr>
        <w:t>پیش‌بین</w:t>
      </w:r>
      <w:r w:rsidRPr="0025250D">
        <w:rPr>
          <w:rFonts w:hint="cs"/>
          <w:rtl/>
        </w:rPr>
        <w:t>ی آنچه انجام خواهد شد)،</w:t>
      </w:r>
    </w:p>
    <w:p w14:paraId="41FF3924" w14:textId="625AB52A" w:rsidR="00537CC8" w:rsidRPr="0025250D" w:rsidRDefault="00537CC8" w:rsidP="00537CC8">
      <w:pPr>
        <w:rPr>
          <w:rtl/>
        </w:rPr>
      </w:pPr>
      <w:r w:rsidRPr="0025250D">
        <w:rPr>
          <w:rFonts w:hint="cs"/>
          <w:rtl/>
        </w:rPr>
        <w:t xml:space="preserve">2. بهره وری (30 تا 150 درصد بهره وری بهتر در وظایف </w:t>
      </w:r>
      <w:r w:rsidR="00A20CCB" w:rsidRPr="0025250D">
        <w:rPr>
          <w:rFonts w:hint="cs"/>
          <w:rtl/>
        </w:rPr>
        <w:t>زمان‌بندی</w:t>
      </w:r>
      <w:r w:rsidRPr="0025250D">
        <w:rPr>
          <w:rFonts w:hint="cs"/>
          <w:rtl/>
        </w:rPr>
        <w:t xml:space="preserve"> شده مختلف)</w:t>
      </w:r>
      <w:r w:rsidR="008D6F97" w:rsidRPr="0025250D">
        <w:rPr>
          <w:rtl/>
        </w:rPr>
        <w:t xml:space="preserve"> </w:t>
      </w:r>
      <w:r w:rsidRPr="0025250D">
        <w:rPr>
          <w:rFonts w:hint="cs"/>
          <w:rtl/>
        </w:rPr>
        <w:t>و</w:t>
      </w:r>
    </w:p>
    <w:p w14:paraId="773FFF74" w14:textId="77777777" w:rsidR="00537CC8" w:rsidRPr="0025250D" w:rsidRDefault="00537CC8" w:rsidP="00537CC8">
      <w:pPr>
        <w:rPr>
          <w:rtl/>
        </w:rPr>
      </w:pPr>
      <w:r w:rsidRPr="0025250D">
        <w:rPr>
          <w:rFonts w:hint="cs"/>
          <w:rtl/>
        </w:rPr>
        <w:t xml:space="preserve">3. </w:t>
      </w:r>
      <w:r w:rsidRPr="0025250D">
        <w:rPr>
          <w:rtl/>
        </w:rPr>
        <w:t>انگ</w:t>
      </w:r>
      <w:r w:rsidRPr="0025250D">
        <w:rPr>
          <w:rFonts w:hint="cs"/>
          <w:rtl/>
        </w:rPr>
        <w:t>ی</w:t>
      </w:r>
      <w:r w:rsidRPr="0025250D">
        <w:rPr>
          <w:rFonts w:hint="eastAsia"/>
          <w:rtl/>
        </w:rPr>
        <w:t>زه</w:t>
      </w:r>
      <w:r w:rsidRPr="0025250D">
        <w:rPr>
          <w:rtl/>
        </w:rPr>
        <w:t xml:space="preserve"> برا</w:t>
      </w:r>
      <w:r w:rsidRPr="0025250D">
        <w:rPr>
          <w:rFonts w:hint="cs"/>
          <w:rtl/>
        </w:rPr>
        <w:t>ی</w:t>
      </w:r>
      <w:r w:rsidRPr="0025250D">
        <w:rPr>
          <w:rtl/>
        </w:rPr>
        <w:t xml:space="preserve"> تداوم افزا</w:t>
      </w:r>
      <w:r w:rsidRPr="0025250D">
        <w:rPr>
          <w:rFonts w:hint="cs"/>
          <w:rtl/>
        </w:rPr>
        <w:t>ی</w:t>
      </w:r>
      <w:r w:rsidRPr="0025250D">
        <w:rPr>
          <w:rFonts w:hint="eastAsia"/>
          <w:rtl/>
        </w:rPr>
        <w:t>ش</w:t>
      </w:r>
      <w:r w:rsidRPr="0025250D">
        <w:rPr>
          <w:rtl/>
        </w:rPr>
        <w:t xml:space="preserve"> می‌</w:t>
      </w:r>
      <w:r w:rsidRPr="0025250D">
        <w:rPr>
          <w:rFonts w:hint="cs"/>
          <w:rtl/>
        </w:rPr>
        <w:t>ی</w:t>
      </w:r>
      <w:r w:rsidRPr="0025250D">
        <w:rPr>
          <w:rFonts w:hint="eastAsia"/>
          <w:rtl/>
        </w:rPr>
        <w:t>ابد،</w:t>
      </w:r>
      <w:r w:rsidRPr="0025250D">
        <w:rPr>
          <w:rtl/>
        </w:rPr>
        <w:t xml:space="preserve"> حت</w:t>
      </w:r>
      <w:r w:rsidRPr="0025250D">
        <w:rPr>
          <w:rFonts w:hint="cs"/>
          <w:rtl/>
        </w:rPr>
        <w:t>ی</w:t>
      </w:r>
      <w:r w:rsidRPr="0025250D">
        <w:rPr>
          <w:rtl/>
        </w:rPr>
        <w:t xml:space="preserve"> زمان</w:t>
      </w:r>
      <w:r w:rsidRPr="0025250D">
        <w:rPr>
          <w:rFonts w:hint="cs"/>
          <w:rtl/>
        </w:rPr>
        <w:t>ی</w:t>
      </w:r>
      <w:r w:rsidRPr="0025250D">
        <w:rPr>
          <w:rtl/>
        </w:rPr>
        <w:t xml:space="preserve"> که با موانع دشوار روبرو می‌شو</w:t>
      </w:r>
      <w:r w:rsidRPr="0025250D">
        <w:rPr>
          <w:rFonts w:hint="cs"/>
          <w:rtl/>
        </w:rPr>
        <w:t>ی</w:t>
      </w:r>
      <w:r w:rsidRPr="0025250D">
        <w:rPr>
          <w:rFonts w:hint="eastAsia"/>
          <w:rtl/>
        </w:rPr>
        <w:t>د</w:t>
      </w:r>
      <w:r w:rsidRPr="0025250D">
        <w:rPr>
          <w:rFonts w:hint="cs"/>
          <w:rtl/>
        </w:rPr>
        <w:t>.</w:t>
      </w:r>
    </w:p>
    <w:p w14:paraId="6D37FC20" w14:textId="30650FFF" w:rsidR="00537CC8" w:rsidRPr="0025250D" w:rsidRDefault="00537CC8" w:rsidP="00537CC8">
      <w:pPr>
        <w:rPr>
          <w:rtl/>
        </w:rPr>
      </w:pPr>
      <w:r w:rsidRPr="0025250D">
        <w:rPr>
          <w:rFonts w:hint="cs"/>
          <w:rtl/>
        </w:rPr>
        <w:t xml:space="preserve">نکته: چگونه از یک کوه بالا می‌رویم: </w:t>
      </w:r>
      <w:r w:rsidR="002C61FC" w:rsidRPr="0025250D">
        <w:rPr>
          <w:rtl/>
        </w:rPr>
        <w:t>«</w:t>
      </w:r>
      <w:r w:rsidRPr="0025250D">
        <w:rPr>
          <w:rFonts w:hint="cs"/>
          <w:rtl/>
        </w:rPr>
        <w:t xml:space="preserve">یک چنگ </w:t>
      </w:r>
      <w:r w:rsidR="002C61FC" w:rsidRPr="0025250D">
        <w:rPr>
          <w:rtl/>
        </w:rPr>
        <w:t>زدن (</w:t>
      </w:r>
      <w:r w:rsidRPr="0025250D">
        <w:t>GRASP</w:t>
      </w:r>
      <w:r w:rsidRPr="0025250D">
        <w:rPr>
          <w:rFonts w:hint="cs"/>
          <w:rtl/>
        </w:rPr>
        <w:t>) در هر مقطع</w:t>
      </w:r>
      <w:r w:rsidR="002C61FC" w:rsidRPr="0025250D">
        <w:rPr>
          <w:rtl/>
        </w:rPr>
        <w:t>»</w:t>
      </w:r>
      <w:r w:rsidRPr="0025250D">
        <w:rPr>
          <w:rFonts w:hint="cs"/>
          <w:rtl/>
        </w:rPr>
        <w:t>.</w:t>
      </w:r>
    </w:p>
    <w:p w14:paraId="17D0428D" w14:textId="33A5F6E2" w:rsidR="00537CC8" w:rsidRPr="0025250D" w:rsidRDefault="00537CC8" w:rsidP="00537CC8">
      <w:pPr>
        <w:rPr>
          <w:rtl/>
        </w:rPr>
      </w:pPr>
      <w:r w:rsidRPr="0025250D">
        <w:rPr>
          <w:rFonts w:hint="cs"/>
          <w:rtl/>
        </w:rPr>
        <w:t xml:space="preserve">1ب). برای پنج دقیقه، تفکر </w:t>
      </w:r>
      <w:r w:rsidRPr="0025250D">
        <w:t>GRASP</w:t>
      </w:r>
      <w:r w:rsidRPr="0025250D">
        <w:rPr>
          <w:rFonts w:hint="cs"/>
          <w:rtl/>
        </w:rPr>
        <w:t xml:space="preserve"> را برای یک چالش فردی پیش رو امتحان کنید. برای شروع، انتخاب یک هدف یا وظیفه مشخصا کوتاه مدت را پیشنهاد می‌کنیم (برای امروز یا فردا). آن را به یک وظیفه دشوار که برای آینده به آن متعهد شده اید یا یکی از </w:t>
      </w:r>
      <w:r w:rsidR="002C61FC" w:rsidRPr="0025250D">
        <w:rPr>
          <w:rtl/>
        </w:rPr>
        <w:t>«</w:t>
      </w:r>
      <w:r w:rsidRPr="0025250D">
        <w:rPr>
          <w:rFonts w:hint="cs"/>
          <w:rtl/>
        </w:rPr>
        <w:t>اهداف کششی</w:t>
      </w:r>
      <w:r w:rsidR="002C61FC" w:rsidRPr="0025250D">
        <w:rPr>
          <w:rtl/>
        </w:rPr>
        <w:t>»</w:t>
      </w:r>
      <w:r w:rsidRPr="0025250D">
        <w:rPr>
          <w:rFonts w:hint="cs"/>
          <w:rtl/>
        </w:rPr>
        <w:t xml:space="preserve"> مشکل و جاه طلبانه خود، شاید هدفی که برای مدتی از انجام آن اجتناب کرده اید، تبدیل کنید.</w:t>
      </w:r>
    </w:p>
    <w:p w14:paraId="2B95D67E" w14:textId="77777777" w:rsidR="00537CC8" w:rsidRPr="0025250D" w:rsidRDefault="00537CC8" w:rsidP="00492C47">
      <w:pPr>
        <w:numPr>
          <w:ilvl w:val="0"/>
          <w:numId w:val="57"/>
        </w:numPr>
      </w:pPr>
      <w:r w:rsidRPr="0025250D">
        <w:rPr>
          <w:rFonts w:hint="cs"/>
          <w:rtl/>
        </w:rPr>
        <w:t>هدف (چیزی ارزشمند، دشوار و کوتاه مدت را انتخاب کنید). آیا این یک مورد با اولویت بالا و متمرکز است؟ دقیقا چرا؟ (1 دقیقه)</w:t>
      </w:r>
    </w:p>
    <w:p w14:paraId="2E526D40" w14:textId="77777777" w:rsidR="00537CC8" w:rsidRPr="0025250D" w:rsidRDefault="00537CC8" w:rsidP="00492C47">
      <w:pPr>
        <w:numPr>
          <w:ilvl w:val="0"/>
          <w:numId w:val="57"/>
        </w:numPr>
      </w:pPr>
      <w:r w:rsidRPr="0025250D">
        <w:rPr>
          <w:rFonts w:hint="cs"/>
          <w:rtl/>
        </w:rPr>
        <w:t>واقعیت (چقدر با این هدف فاصله دارید؟ چگونه آن را اندازه می‌گیرید؟) چه نتایج دیگری ممکن هستند (1 دقیقه).</w:t>
      </w:r>
    </w:p>
    <w:p w14:paraId="2B36030C" w14:textId="77777777" w:rsidR="00537CC8" w:rsidRPr="0025250D" w:rsidRDefault="00537CC8" w:rsidP="00492C47">
      <w:pPr>
        <w:numPr>
          <w:ilvl w:val="0"/>
          <w:numId w:val="57"/>
        </w:numPr>
      </w:pPr>
      <w:r w:rsidRPr="0025250D">
        <w:rPr>
          <w:rFonts w:hint="cs"/>
          <w:rtl/>
        </w:rPr>
        <w:t>مزایا (به صورت خوش بینانه، وقتی به این هدف دست یابید چه رخ خواهد داد؟ با هیجان آن را تصور کنید). (1 دقیقه)</w:t>
      </w:r>
    </w:p>
    <w:p w14:paraId="521FB22F" w14:textId="2AB45E68" w:rsidR="00537CC8" w:rsidRPr="0025250D" w:rsidRDefault="00537CC8" w:rsidP="00492C47">
      <w:pPr>
        <w:numPr>
          <w:ilvl w:val="0"/>
          <w:numId w:val="57"/>
        </w:numPr>
      </w:pPr>
      <w:r w:rsidRPr="0025250D">
        <w:rPr>
          <w:rFonts w:hint="cs"/>
          <w:rtl/>
        </w:rPr>
        <w:t xml:space="preserve">عقبگردها (به صورت بدبینانه و </w:t>
      </w:r>
      <w:r w:rsidR="00D92F6E" w:rsidRPr="0025250D">
        <w:rPr>
          <w:rFonts w:hint="cs"/>
          <w:rtl/>
        </w:rPr>
        <w:t>پیش‌بین</w:t>
      </w:r>
      <w:r w:rsidRPr="0025250D">
        <w:rPr>
          <w:rFonts w:hint="cs"/>
          <w:rtl/>
        </w:rPr>
        <w:t>ی کننده، چگونه ممکن است شکست بخورید؟). (1 دقیقه)</w:t>
      </w:r>
    </w:p>
    <w:p w14:paraId="25039236" w14:textId="13C0074C" w:rsidR="00537CC8" w:rsidRPr="0025250D" w:rsidRDefault="00537CC8" w:rsidP="00492C47">
      <w:pPr>
        <w:numPr>
          <w:ilvl w:val="0"/>
          <w:numId w:val="57"/>
        </w:numPr>
      </w:pPr>
      <w:r w:rsidRPr="0025250D">
        <w:rPr>
          <w:rFonts w:hint="cs"/>
          <w:rtl/>
        </w:rPr>
        <w:t xml:space="preserve">برنامه (1-2 </w:t>
      </w:r>
      <w:r w:rsidR="002C61FC" w:rsidRPr="0025250D">
        <w:rPr>
          <w:rtl/>
        </w:rPr>
        <w:t>«</w:t>
      </w:r>
      <w:r w:rsidRPr="0025250D">
        <w:rPr>
          <w:rFonts w:hint="cs"/>
          <w:rtl/>
        </w:rPr>
        <w:t>منبع کلیدی</w:t>
      </w:r>
      <w:r w:rsidR="002C61FC" w:rsidRPr="0025250D">
        <w:rPr>
          <w:rtl/>
        </w:rPr>
        <w:t>»</w:t>
      </w:r>
      <w:r w:rsidRPr="0025250D">
        <w:rPr>
          <w:rFonts w:hint="cs"/>
          <w:rtl/>
        </w:rPr>
        <w:t xml:space="preserve"> را برای دست یابی یا مدیریت و 1-2 عبارت اگر-آنگاه در صورت وقوع عقبگردها را در نظر بگیرید). (1 دقیقه)</w:t>
      </w:r>
    </w:p>
    <w:p w14:paraId="150CF2FE" w14:textId="1529D3D0" w:rsidR="00537CC8" w:rsidRPr="0025250D" w:rsidRDefault="00537CC8" w:rsidP="00537CC8">
      <w:r w:rsidRPr="0025250D">
        <w:rPr>
          <w:rFonts w:hint="cs"/>
          <w:rtl/>
        </w:rPr>
        <w:t xml:space="preserve">تامل: کدام یک از پنج گام </w:t>
      </w:r>
      <w:r w:rsidRPr="0025250D">
        <w:t>GRASP</w:t>
      </w:r>
      <w:r w:rsidRPr="0025250D">
        <w:rPr>
          <w:rFonts w:hint="cs"/>
          <w:rtl/>
        </w:rPr>
        <w:t xml:space="preserve"> برای شما از همه دشوار‌تر بود؟ تفکر </w:t>
      </w:r>
      <w:r w:rsidRPr="0025250D">
        <w:t>GRASP</w:t>
      </w:r>
      <w:r w:rsidRPr="0025250D">
        <w:rPr>
          <w:rFonts w:hint="cs"/>
          <w:rtl/>
        </w:rPr>
        <w:t xml:space="preserve"> چه تفاوتی، اگر اصلا تفاوتی وجود داشته باشد، با مدل ذهنی پیشین شما در زمان تفکر درمورد اهداف و وظایف امروز و کوتاه مدت داشت؟ پس از تکمیل افق زمانی (امروز یا فردا) چند دقیقه برای بازبینی عملکرد خود زمان بگذارید. آیا خطای </w:t>
      </w:r>
      <w:r w:rsidR="00FB6A7E" w:rsidRPr="0025250D">
        <w:rPr>
          <w:rFonts w:hint="cs"/>
          <w:rtl/>
        </w:rPr>
        <w:t>پیش‌نگری</w:t>
      </w:r>
      <w:r w:rsidRPr="0025250D">
        <w:rPr>
          <w:rFonts w:hint="cs"/>
          <w:rtl/>
        </w:rPr>
        <w:t xml:space="preserve"> را برای برنامه‌های کوتاه مدت معمول کاهش داده اید؟ آیا بیش از حدِ انتظار بهره ور بودید؟ آیا سماجت شما افزایش یافت؟ اگر این طور شد، چگونه می‌توانید تفکر </w:t>
      </w:r>
      <w:r w:rsidRPr="0025250D">
        <w:t>GRASP</w:t>
      </w:r>
      <w:r w:rsidRPr="0025250D">
        <w:rPr>
          <w:rFonts w:hint="cs"/>
          <w:rtl/>
        </w:rPr>
        <w:t xml:space="preserve"> را به صورت ارادی‌تر، حداقل برای 5 تا 10 دقیقه در هر روز انجام دهید؟ آیا می‌توانید این تفکر را به تیم خود آموزش دهید؟</w:t>
      </w:r>
    </w:p>
    <w:p w14:paraId="2CD2B7CB" w14:textId="1246DB4E" w:rsidR="00537CC8" w:rsidRPr="0025250D" w:rsidRDefault="00537CC8" w:rsidP="00537CC8">
      <w:pPr>
        <w:rPr>
          <w:rtl/>
        </w:rPr>
      </w:pPr>
      <w:r w:rsidRPr="0025250D">
        <w:rPr>
          <w:rFonts w:hint="cs"/>
          <w:b/>
          <w:bCs/>
          <w:rtl/>
        </w:rPr>
        <w:t xml:space="preserve">آگاهی </w:t>
      </w:r>
      <w:r w:rsidR="002B6515" w:rsidRPr="0025250D">
        <w:rPr>
          <w:b/>
          <w:bCs/>
          <w:rtl/>
        </w:rPr>
        <w:t>حس‌داد</w:t>
      </w:r>
      <w:r w:rsidRPr="0025250D">
        <w:rPr>
          <w:rFonts w:hint="cs"/>
          <w:b/>
          <w:bCs/>
          <w:rtl/>
        </w:rPr>
        <w:t>: مدیریت نسبت‌های خوش بینی:بدبینی</w:t>
      </w:r>
    </w:p>
    <w:p w14:paraId="2AE19F18" w14:textId="22160FB3" w:rsidR="00537CC8" w:rsidRPr="0025250D" w:rsidRDefault="00537CC8" w:rsidP="00537CC8">
      <w:pPr>
        <w:rPr>
          <w:rtl/>
        </w:rPr>
      </w:pPr>
      <w:r w:rsidRPr="0025250D">
        <w:rPr>
          <w:rtl/>
        </w:rPr>
        <w:t>آینده‌نگاری</w:t>
      </w:r>
      <w:r w:rsidRPr="0025250D">
        <w:rPr>
          <w:rFonts w:hint="cs"/>
          <w:rtl/>
        </w:rPr>
        <w:t xml:space="preserve"> هیجانی به آگاهی و توانایی تأثیرگذاری اخلاقی بر هیجانات خودمان و دیگران برای رسیدن به حالات ذهنی دقیق‌تر و مولد‌تر نیاز دارد</w:t>
      </w:r>
      <w:r w:rsidRPr="0025250D">
        <w:rPr>
          <w:rFonts w:hint="cs"/>
          <w:vertAlign w:val="superscript"/>
          <w:rtl/>
        </w:rPr>
        <w:t>(4)</w:t>
      </w:r>
      <w:r w:rsidRPr="0025250D">
        <w:rPr>
          <w:rFonts w:hint="cs"/>
          <w:rtl/>
        </w:rPr>
        <w:t xml:space="preserve">. نسبت‌های تفکر خوش بینانه:بدبینانه ما می‌تواند از شرایط فعالیت ما پشتیبانی کرده یا در برابر آن مانع ایجاد کند. نسبت‌های </w:t>
      </w:r>
      <w:r w:rsidRPr="0025250D">
        <w:rPr>
          <w:rtl/>
        </w:rPr>
        <w:t>خوش ب</w:t>
      </w:r>
      <w:r w:rsidRPr="0025250D">
        <w:rPr>
          <w:rFonts w:hint="cs"/>
          <w:rtl/>
        </w:rPr>
        <w:t>ی</w:t>
      </w:r>
      <w:r w:rsidRPr="0025250D">
        <w:rPr>
          <w:rFonts w:hint="eastAsia"/>
          <w:rtl/>
        </w:rPr>
        <w:t>ن</w:t>
      </w:r>
      <w:r w:rsidRPr="0025250D">
        <w:rPr>
          <w:rFonts w:hint="cs"/>
          <w:rtl/>
        </w:rPr>
        <w:t>ی</w:t>
      </w:r>
      <w:r w:rsidRPr="0025250D">
        <w:rPr>
          <w:rtl/>
        </w:rPr>
        <w:t>:بدب</w:t>
      </w:r>
      <w:r w:rsidRPr="0025250D">
        <w:rPr>
          <w:rFonts w:hint="cs"/>
          <w:rtl/>
        </w:rPr>
        <w:t>ی</w:t>
      </w:r>
      <w:r w:rsidRPr="0025250D">
        <w:rPr>
          <w:rFonts w:hint="eastAsia"/>
          <w:rtl/>
        </w:rPr>
        <w:t>ن</w:t>
      </w:r>
      <w:r w:rsidRPr="0025250D">
        <w:rPr>
          <w:rFonts w:hint="cs"/>
          <w:rtl/>
        </w:rPr>
        <w:t xml:space="preserve">ی زیر (نسبت‌های زمان سپری شده در هر حالت </w:t>
      </w:r>
      <w:r w:rsidR="002B6515" w:rsidRPr="0025250D">
        <w:rPr>
          <w:rtl/>
        </w:rPr>
        <w:t>حس‌داد</w:t>
      </w:r>
      <w:r w:rsidRPr="0025250D">
        <w:rPr>
          <w:rFonts w:hint="cs"/>
          <w:rtl/>
        </w:rPr>
        <w:t>) و برخی از بافت‌های موفق و ناموفق پیشنهادی برای آن‌ها را در نظر بگیرید.</w:t>
      </w:r>
    </w:p>
    <w:p w14:paraId="2CA125F9" w14:textId="77777777" w:rsidR="00537CC8" w:rsidRPr="0025250D" w:rsidRDefault="00537CC8" w:rsidP="00537CC8">
      <w:pPr>
        <w:rPr>
          <w:b/>
          <w:bCs/>
          <w:rtl/>
        </w:rPr>
      </w:pPr>
      <w:r w:rsidRPr="0025250D">
        <w:rPr>
          <w:rFonts w:hint="cs"/>
          <w:b/>
          <w:bCs/>
          <w:rtl/>
        </w:rPr>
        <w:t xml:space="preserve">بافت‌های رایج نسبت‌های </w:t>
      </w:r>
      <w:r w:rsidRPr="0025250D">
        <w:rPr>
          <w:b/>
          <w:bCs/>
          <w:rtl/>
        </w:rPr>
        <w:t>خوش ب</w:t>
      </w:r>
      <w:r w:rsidRPr="0025250D">
        <w:rPr>
          <w:rFonts w:hint="cs"/>
          <w:b/>
          <w:bCs/>
          <w:rtl/>
        </w:rPr>
        <w:t>ی</w:t>
      </w:r>
      <w:r w:rsidRPr="0025250D">
        <w:rPr>
          <w:rFonts w:hint="eastAsia"/>
          <w:b/>
          <w:bCs/>
          <w:rtl/>
        </w:rPr>
        <w:t>ن</w:t>
      </w:r>
      <w:r w:rsidRPr="0025250D">
        <w:rPr>
          <w:rFonts w:hint="cs"/>
          <w:b/>
          <w:bCs/>
          <w:rtl/>
        </w:rPr>
        <w:t>ی</w:t>
      </w:r>
      <w:r w:rsidRPr="0025250D">
        <w:rPr>
          <w:b/>
          <w:bCs/>
          <w:rtl/>
        </w:rPr>
        <w:t>:بدب</w:t>
      </w:r>
      <w:r w:rsidRPr="0025250D">
        <w:rPr>
          <w:rFonts w:hint="cs"/>
          <w:b/>
          <w:bCs/>
          <w:rtl/>
        </w:rPr>
        <w:t>ی</w:t>
      </w:r>
      <w:r w:rsidRPr="0025250D">
        <w:rPr>
          <w:rFonts w:hint="eastAsia"/>
          <w:b/>
          <w:bCs/>
          <w:rtl/>
        </w:rPr>
        <w:t>ن</w:t>
      </w:r>
      <w:r w:rsidRPr="0025250D">
        <w:rPr>
          <w:rFonts w:hint="cs"/>
          <w:b/>
          <w:bCs/>
          <w:rtl/>
        </w:rPr>
        <w:t>ی</w:t>
      </w:r>
    </w:p>
    <w:p w14:paraId="3D3A9B85" w14:textId="16487E92" w:rsidR="00537CC8" w:rsidRPr="0025250D" w:rsidRDefault="00537CC8" w:rsidP="00537CC8">
      <w:pPr>
        <w:rPr>
          <w:rtl/>
        </w:rPr>
      </w:pPr>
      <w:r w:rsidRPr="0025250D">
        <w:rPr>
          <w:rFonts w:hint="cs"/>
          <w:rtl/>
        </w:rPr>
        <w:t xml:space="preserve">1:1 تقابل </w:t>
      </w:r>
      <w:r w:rsidR="002B6515" w:rsidRPr="0025250D">
        <w:rPr>
          <w:rtl/>
        </w:rPr>
        <w:t>حس‌داد</w:t>
      </w:r>
      <w:r w:rsidRPr="0025250D">
        <w:rPr>
          <w:rFonts w:hint="cs"/>
          <w:rtl/>
        </w:rPr>
        <w:t xml:space="preserve">، تفکر </w:t>
      </w:r>
      <w:r w:rsidRPr="0025250D">
        <w:t>GRASP</w:t>
      </w:r>
      <w:r w:rsidRPr="0025250D">
        <w:rPr>
          <w:rFonts w:hint="cs"/>
          <w:rtl/>
        </w:rPr>
        <w:t xml:space="preserve">؛ </w:t>
      </w:r>
      <w:r w:rsidR="002C61FC" w:rsidRPr="0025250D">
        <w:rPr>
          <w:rtl/>
        </w:rPr>
        <w:t>«</w:t>
      </w:r>
      <w:r w:rsidRPr="0025250D">
        <w:rPr>
          <w:rFonts w:hint="cs"/>
          <w:rtl/>
        </w:rPr>
        <w:t>واقع بینی</w:t>
      </w:r>
      <w:r w:rsidR="002C61FC" w:rsidRPr="0025250D">
        <w:rPr>
          <w:rtl/>
        </w:rPr>
        <w:t>»</w:t>
      </w:r>
      <w:r w:rsidRPr="0025250D">
        <w:rPr>
          <w:rFonts w:hint="cs"/>
          <w:vertAlign w:val="superscript"/>
          <w:rtl/>
        </w:rPr>
        <w:t>(3)</w:t>
      </w:r>
    </w:p>
    <w:p w14:paraId="0C6D23E6" w14:textId="332736F5" w:rsidR="00537CC8" w:rsidRPr="0025250D" w:rsidRDefault="00537CC8" w:rsidP="00537CC8">
      <w:pPr>
        <w:rPr>
          <w:vertAlign w:val="superscript"/>
          <w:rtl/>
        </w:rPr>
      </w:pPr>
      <w:r w:rsidRPr="0025250D">
        <w:rPr>
          <w:rFonts w:hint="cs"/>
          <w:rtl/>
        </w:rPr>
        <w:t xml:space="preserve">1:2 ارزیابی مزایا و فرصت ها؛ خوش بینی </w:t>
      </w:r>
      <w:r w:rsidR="00701E03" w:rsidRPr="0025250D">
        <w:rPr>
          <w:rFonts w:hint="cs"/>
          <w:rtl/>
        </w:rPr>
        <w:t>راهبردی</w:t>
      </w:r>
      <w:r w:rsidRPr="0025250D">
        <w:rPr>
          <w:rFonts w:hint="cs"/>
          <w:vertAlign w:val="superscript"/>
          <w:rtl/>
        </w:rPr>
        <w:t>(7)</w:t>
      </w:r>
    </w:p>
    <w:p w14:paraId="5206D538" w14:textId="0FCC6F17" w:rsidR="00537CC8" w:rsidRPr="0025250D" w:rsidRDefault="00537CC8" w:rsidP="00537CC8">
      <w:pPr>
        <w:rPr>
          <w:vertAlign w:val="superscript"/>
          <w:rtl/>
        </w:rPr>
      </w:pPr>
      <w:r w:rsidRPr="0025250D">
        <w:rPr>
          <w:rFonts w:hint="cs"/>
          <w:rtl/>
        </w:rPr>
        <w:t xml:space="preserve">2:1 </w:t>
      </w:r>
      <w:r w:rsidR="00D92F6E" w:rsidRPr="0025250D">
        <w:rPr>
          <w:rFonts w:hint="cs"/>
          <w:rtl/>
        </w:rPr>
        <w:t>بنیان‌افکن</w:t>
      </w:r>
      <w:r w:rsidRPr="0025250D">
        <w:rPr>
          <w:rFonts w:hint="cs"/>
          <w:rtl/>
        </w:rPr>
        <w:t xml:space="preserve">ی و ارزیابی ریسک؛ </w:t>
      </w:r>
      <w:r w:rsidR="00D30084" w:rsidRPr="0025250D">
        <w:rPr>
          <w:rFonts w:hint="cs"/>
          <w:rtl/>
        </w:rPr>
        <w:t>بدبینی تدافعی</w:t>
      </w:r>
      <w:r w:rsidRPr="0025250D">
        <w:rPr>
          <w:rFonts w:hint="cs"/>
          <w:vertAlign w:val="superscript"/>
          <w:rtl/>
        </w:rPr>
        <w:t>(7)</w:t>
      </w:r>
    </w:p>
    <w:p w14:paraId="6B2E94B1" w14:textId="77777777" w:rsidR="00537CC8" w:rsidRPr="0025250D" w:rsidRDefault="00537CC8" w:rsidP="00537CC8">
      <w:pPr>
        <w:rPr>
          <w:vertAlign w:val="superscript"/>
          <w:rtl/>
        </w:rPr>
      </w:pPr>
      <w:r w:rsidRPr="0025250D">
        <w:rPr>
          <w:rFonts w:hint="cs"/>
          <w:rtl/>
        </w:rPr>
        <w:t>1:4 روابط و محیط‌های جدید</w:t>
      </w:r>
      <w:r w:rsidRPr="0025250D">
        <w:rPr>
          <w:rFonts w:hint="cs"/>
          <w:vertAlign w:val="superscript"/>
          <w:rtl/>
        </w:rPr>
        <w:t>(5)</w:t>
      </w:r>
    </w:p>
    <w:p w14:paraId="750B31D9" w14:textId="77777777" w:rsidR="00537CC8" w:rsidRPr="0025250D" w:rsidRDefault="00537CC8" w:rsidP="00537CC8">
      <w:pPr>
        <w:rPr>
          <w:vertAlign w:val="superscript"/>
          <w:rtl/>
        </w:rPr>
      </w:pPr>
      <w:r w:rsidRPr="0025250D">
        <w:rPr>
          <w:rFonts w:hint="cs"/>
          <w:rtl/>
        </w:rPr>
        <w:t>4:1 تولید نقد و محیط‌های بحرانی</w:t>
      </w:r>
      <w:r w:rsidRPr="0025250D">
        <w:rPr>
          <w:rFonts w:hint="cs"/>
          <w:vertAlign w:val="superscript"/>
          <w:rtl/>
        </w:rPr>
        <w:t>(2)</w:t>
      </w:r>
    </w:p>
    <w:p w14:paraId="4984533C" w14:textId="226CF5D2" w:rsidR="00537CC8" w:rsidRPr="0025250D" w:rsidRDefault="00537CC8" w:rsidP="00537CC8">
      <w:pPr>
        <w:rPr>
          <w:rtl/>
        </w:rPr>
      </w:pPr>
      <w:r w:rsidRPr="0025250D">
        <w:rPr>
          <w:rFonts w:hint="cs"/>
          <w:rtl/>
        </w:rPr>
        <w:t xml:space="preserve">1:8 متقاعد کردن و </w:t>
      </w:r>
      <w:r w:rsidR="00EE4B64" w:rsidRPr="0025250D">
        <w:rPr>
          <w:rFonts w:hint="cs"/>
          <w:rtl/>
        </w:rPr>
        <w:t>چشم‌اندازسازی</w:t>
      </w:r>
      <w:r w:rsidRPr="0025250D">
        <w:rPr>
          <w:rFonts w:hint="cs"/>
          <w:rtl/>
        </w:rPr>
        <w:t xml:space="preserve"> (مفید) و شیدایی مفرط (غیر مفید)</w:t>
      </w:r>
    </w:p>
    <w:p w14:paraId="7479F2F2" w14:textId="77777777" w:rsidR="00537CC8" w:rsidRPr="0025250D" w:rsidRDefault="00537CC8" w:rsidP="00537CC8">
      <w:pPr>
        <w:rPr>
          <w:rtl/>
        </w:rPr>
      </w:pPr>
      <w:r w:rsidRPr="0025250D">
        <w:rPr>
          <w:rFonts w:hint="cs"/>
          <w:rtl/>
        </w:rPr>
        <w:t>8:1 حالات تعارض (مفید) و وحشت‌ها (غیر مفید)</w:t>
      </w:r>
    </w:p>
    <w:p w14:paraId="056A1911" w14:textId="4C1A52BD" w:rsidR="00537CC8" w:rsidRPr="0025250D" w:rsidRDefault="00537CC8" w:rsidP="00537CC8">
      <w:pPr>
        <w:rPr>
          <w:rtl/>
        </w:rPr>
      </w:pPr>
      <w:r w:rsidRPr="0025250D">
        <w:rPr>
          <w:rFonts w:hint="cs"/>
          <w:rtl/>
        </w:rPr>
        <w:t>آیا این نسبت‌های تفکر خوش بینی:بدبینی به نظر برای بافت‌های بالا درست می‌رسند؟ برای مثال، آیا این امر به نظر درست است که در روابط، شما باید به صورت میانگین، به ازای هر تفکر بدبینانه چهار تفکر خوش بینانه درمورد رابطه داشته باشید؟ آیا شما باید همچنین تلاش کنید تا در ازای هر مورد انتقادی چهار مورد مثبت به آن‌ها بگویید تا توازن برقرار کنید؟ آیا از نسبت‌های میانگین فعلی خود آگاه هستید؟ معمولا چه زمانی از آن فاصله می‌گیرید؟ توضیح دهید.</w:t>
      </w:r>
    </w:p>
    <w:p w14:paraId="52504B0F" w14:textId="1E2C108B" w:rsidR="00537CC8" w:rsidRPr="0025250D" w:rsidRDefault="002B6515" w:rsidP="00537CC8">
      <w:pPr>
        <w:rPr>
          <w:rtl/>
        </w:rPr>
      </w:pPr>
      <w:r w:rsidRPr="0025250D">
        <w:rPr>
          <w:b/>
          <w:bCs/>
          <w:rtl/>
        </w:rPr>
        <w:t>حس‌داد</w:t>
      </w:r>
      <w:r w:rsidR="00537CC8" w:rsidRPr="0025250D">
        <w:rPr>
          <w:rFonts w:hint="cs"/>
          <w:b/>
          <w:bCs/>
          <w:rtl/>
        </w:rPr>
        <w:t xml:space="preserve"> برتر در تیم‌ها</w:t>
      </w:r>
    </w:p>
    <w:p w14:paraId="6D5C6CE4" w14:textId="193A387A" w:rsidR="00537CC8" w:rsidRPr="0025250D" w:rsidRDefault="00537CC8" w:rsidP="00537CC8">
      <w:pPr>
        <w:rPr>
          <w:rtl/>
        </w:rPr>
      </w:pPr>
      <w:r w:rsidRPr="0025250D">
        <w:rPr>
          <w:rFonts w:hint="cs"/>
          <w:rtl/>
        </w:rPr>
        <w:t xml:space="preserve">رهبران می‌توانند به شدت بر </w:t>
      </w:r>
      <w:r w:rsidR="002B6515" w:rsidRPr="0025250D">
        <w:rPr>
          <w:rtl/>
        </w:rPr>
        <w:t>حس‌داد</w:t>
      </w:r>
      <w:r w:rsidRPr="0025250D">
        <w:rPr>
          <w:rFonts w:hint="cs"/>
          <w:rtl/>
        </w:rPr>
        <w:t xml:space="preserve"> تیم خود تأثیر گذار باشند. آن‌ها می‌توانند تیم خود را برای آگاهی و گفتمان درمورد نسبت‌های تفکر خوش بینانه:بدبینانه توانمند سازند و می‌توانند از روال‌ها برای تغییر این نسبت‌ها در هر زمانی که به نظر نسبت‌های موجود موفق نیستند، استفاده کنند. در این جا سه </w:t>
      </w:r>
      <w:r w:rsidR="00701E03" w:rsidRPr="0025250D">
        <w:rPr>
          <w:rFonts w:hint="cs"/>
          <w:rtl/>
        </w:rPr>
        <w:t>راهبرد</w:t>
      </w:r>
      <w:r w:rsidRPr="0025250D">
        <w:rPr>
          <w:rFonts w:hint="cs"/>
          <w:rtl/>
        </w:rPr>
        <w:t xml:space="preserve"> را توصیه می‌کنیم:</w:t>
      </w:r>
    </w:p>
    <w:p w14:paraId="0DCA5CFE" w14:textId="23EAE229" w:rsidR="00537CC8" w:rsidRPr="0025250D" w:rsidRDefault="00537CC8" w:rsidP="00492C47">
      <w:pPr>
        <w:numPr>
          <w:ilvl w:val="0"/>
          <w:numId w:val="58"/>
        </w:numPr>
      </w:pPr>
      <w:r w:rsidRPr="0025250D">
        <w:rPr>
          <w:rFonts w:hint="cs"/>
          <w:rtl/>
        </w:rPr>
        <w:t xml:space="preserve">برای تقویت خوش بینی </w:t>
      </w:r>
      <w:r w:rsidR="00701E03" w:rsidRPr="0025250D">
        <w:rPr>
          <w:rFonts w:hint="cs"/>
          <w:rtl/>
        </w:rPr>
        <w:t>راهبردی</w:t>
      </w:r>
      <w:r w:rsidRPr="0025250D">
        <w:rPr>
          <w:rFonts w:hint="cs"/>
          <w:rtl/>
        </w:rPr>
        <w:t xml:space="preserve"> و شکست دادن عدم </w:t>
      </w:r>
      <w:r w:rsidR="00795397" w:rsidRPr="0025250D">
        <w:rPr>
          <w:rFonts w:hint="cs"/>
          <w:rtl/>
        </w:rPr>
        <w:t>انعطاف‌پذیر</w:t>
      </w:r>
      <w:r w:rsidRPr="0025250D">
        <w:rPr>
          <w:rFonts w:hint="cs"/>
          <w:rtl/>
        </w:rPr>
        <w:t xml:space="preserve">ی و ترس، رهبران می‌توانند </w:t>
      </w:r>
      <w:r w:rsidR="00EE4B64" w:rsidRPr="0025250D">
        <w:rPr>
          <w:rFonts w:hint="cs"/>
          <w:rtl/>
        </w:rPr>
        <w:t>چشم‌اندازسازی</w:t>
      </w:r>
      <w:r w:rsidRPr="0025250D">
        <w:rPr>
          <w:rFonts w:hint="cs"/>
          <w:rtl/>
        </w:rPr>
        <w:t xml:space="preserve"> موفقیت (تنظیم اهداف کششی) را انجام دهند و از تیم خود بپرسند که: </w:t>
      </w:r>
      <w:r w:rsidR="002C61FC" w:rsidRPr="0025250D">
        <w:rPr>
          <w:rtl/>
        </w:rPr>
        <w:t>«</w:t>
      </w:r>
      <w:r w:rsidRPr="0025250D">
        <w:rPr>
          <w:rFonts w:hint="cs"/>
          <w:rtl/>
        </w:rPr>
        <w:t xml:space="preserve">ما چگونه می‌توانیم به این هدف </w:t>
      </w:r>
      <w:r w:rsidRPr="0025250D">
        <w:rPr>
          <w:rtl/>
        </w:rPr>
        <w:t>(</w:t>
      </w:r>
      <w:r w:rsidRPr="0025250D">
        <w:rPr>
          <w:rFonts w:hint="cs"/>
          <w:rtl/>
        </w:rPr>
        <w:t>آینده</w:t>
      </w:r>
      <w:r w:rsidRPr="0025250D">
        <w:rPr>
          <w:rtl/>
        </w:rPr>
        <w:t xml:space="preserve"> </w:t>
      </w:r>
      <w:r w:rsidRPr="0025250D">
        <w:rPr>
          <w:rFonts w:hint="cs"/>
          <w:rtl/>
        </w:rPr>
        <w:t>مرجح</w:t>
      </w:r>
      <w:r w:rsidRPr="0025250D">
        <w:rPr>
          <w:rtl/>
        </w:rPr>
        <w:t>)</w:t>
      </w:r>
      <w:r w:rsidRPr="0025250D">
        <w:rPr>
          <w:rFonts w:hint="cs"/>
          <w:rtl/>
        </w:rPr>
        <w:t xml:space="preserve"> دست یابیم. باید چه گام‌هایی را طی کنیم؟</w:t>
      </w:r>
      <w:r w:rsidR="002C61FC" w:rsidRPr="0025250D">
        <w:rPr>
          <w:rtl/>
        </w:rPr>
        <w:t>»</w:t>
      </w:r>
    </w:p>
    <w:p w14:paraId="275E40FC" w14:textId="7D7F83B8" w:rsidR="00537CC8" w:rsidRPr="0025250D" w:rsidRDefault="00537CC8" w:rsidP="00492C47">
      <w:pPr>
        <w:numPr>
          <w:ilvl w:val="0"/>
          <w:numId w:val="58"/>
        </w:numPr>
      </w:pPr>
      <w:r w:rsidRPr="0025250D">
        <w:rPr>
          <w:rFonts w:hint="cs"/>
          <w:rtl/>
        </w:rPr>
        <w:t xml:space="preserve">برای تقویت </w:t>
      </w:r>
      <w:r w:rsidR="00D30084" w:rsidRPr="0025250D">
        <w:rPr>
          <w:rFonts w:hint="cs"/>
          <w:rtl/>
        </w:rPr>
        <w:t>بدبینی تدافعی</w:t>
      </w:r>
      <w:r w:rsidRPr="0025250D">
        <w:rPr>
          <w:rFonts w:hint="cs"/>
          <w:rtl/>
        </w:rPr>
        <w:t xml:space="preserve"> و شکست تفکر و غرور غالب شده بر گروه، رهبران می‌توانند </w:t>
      </w:r>
      <w:r w:rsidR="00EE4B64" w:rsidRPr="0025250D">
        <w:rPr>
          <w:rFonts w:hint="cs"/>
          <w:rtl/>
        </w:rPr>
        <w:t>چشم‌اندازسازی</w:t>
      </w:r>
      <w:r w:rsidRPr="0025250D">
        <w:rPr>
          <w:rFonts w:hint="cs"/>
          <w:rtl/>
        </w:rPr>
        <w:t xml:space="preserve"> شکست (</w:t>
      </w:r>
      <w:r w:rsidR="006A0B96" w:rsidRPr="0025250D">
        <w:rPr>
          <w:rFonts w:cs="B Nazanin"/>
          <w:rtl/>
        </w:rPr>
        <w:t>پ</w:t>
      </w:r>
      <w:r w:rsidR="006A0B96" w:rsidRPr="0025250D">
        <w:rPr>
          <w:rFonts w:cs="B Nazanin" w:hint="cs"/>
          <w:rtl/>
        </w:rPr>
        <w:t>ی</w:t>
      </w:r>
      <w:r w:rsidR="006A0B96" w:rsidRPr="0025250D">
        <w:rPr>
          <w:rFonts w:cs="B Nazanin" w:hint="eastAsia"/>
          <w:rtl/>
        </w:rPr>
        <w:t>ش</w:t>
      </w:r>
      <w:r w:rsidR="006A0B96" w:rsidRPr="0025250D">
        <w:rPr>
          <w:rFonts w:cs="B Nazanin"/>
          <w:rtl/>
        </w:rPr>
        <w:t xml:space="preserve"> اند</w:t>
      </w:r>
      <w:r w:rsidR="006A0B96" w:rsidRPr="0025250D">
        <w:rPr>
          <w:rFonts w:cs="B Nazanin" w:hint="cs"/>
          <w:rtl/>
        </w:rPr>
        <w:t>ی</w:t>
      </w:r>
      <w:r w:rsidR="006A0B96" w:rsidRPr="0025250D">
        <w:rPr>
          <w:rFonts w:cs="B Nazanin" w:hint="eastAsia"/>
          <w:rtl/>
        </w:rPr>
        <w:t>ش</w:t>
      </w:r>
      <w:r w:rsidR="006A0B96" w:rsidRPr="0025250D">
        <w:rPr>
          <w:rFonts w:cs="B Nazanin" w:hint="cs"/>
          <w:rtl/>
        </w:rPr>
        <w:t>ی</w:t>
      </w:r>
      <w:r w:rsidR="006A0B96" w:rsidRPr="0025250D">
        <w:rPr>
          <w:rFonts w:cs="B Nazanin"/>
          <w:rtl/>
        </w:rPr>
        <w:t xml:space="preserve"> شکست</w:t>
      </w:r>
      <w:r w:rsidRPr="0025250D">
        <w:rPr>
          <w:rFonts w:hint="cs"/>
          <w:rtl/>
        </w:rPr>
        <w:t>) را انجام دهند و از تیم خود بپرسند:</w:t>
      </w:r>
      <w:r w:rsidR="002C61FC" w:rsidRPr="0025250D">
        <w:rPr>
          <w:rtl/>
        </w:rPr>
        <w:t>«</w:t>
      </w:r>
      <w:r w:rsidRPr="0025250D">
        <w:rPr>
          <w:rFonts w:hint="cs"/>
          <w:rtl/>
        </w:rPr>
        <w:t>تصور کنید که شکست خورده ایم یا به شدت عملکرد ضعیف‌تر از حد انتظار داشته ایم. چگونه این اتفاق رخ داده است؟</w:t>
      </w:r>
      <w:r w:rsidR="002C61FC" w:rsidRPr="0025250D">
        <w:rPr>
          <w:rtl/>
        </w:rPr>
        <w:t>»</w:t>
      </w:r>
      <w:r w:rsidRPr="0025250D">
        <w:rPr>
          <w:rFonts w:hint="cs"/>
          <w:vertAlign w:val="superscript"/>
          <w:rtl/>
        </w:rPr>
        <w:t>(6)</w:t>
      </w:r>
    </w:p>
    <w:p w14:paraId="65EFCCAD" w14:textId="775B825E" w:rsidR="00537CC8" w:rsidRPr="0025250D" w:rsidRDefault="00537CC8" w:rsidP="002C61FC">
      <w:pPr>
        <w:numPr>
          <w:ilvl w:val="0"/>
          <w:numId w:val="58"/>
        </w:numPr>
        <w:rPr>
          <w:rtl/>
        </w:rPr>
      </w:pPr>
      <w:r w:rsidRPr="0025250D">
        <w:rPr>
          <w:rFonts w:hint="cs"/>
          <w:rtl/>
        </w:rPr>
        <w:t xml:space="preserve">برای توانمند سازی </w:t>
      </w:r>
      <w:r w:rsidR="0008779C" w:rsidRPr="0025250D">
        <w:rPr>
          <w:rFonts w:hint="cs"/>
          <w:rtl/>
        </w:rPr>
        <w:t>واقع‌گرا</w:t>
      </w:r>
      <w:r w:rsidRPr="0025250D">
        <w:rPr>
          <w:rFonts w:hint="cs"/>
          <w:rtl/>
        </w:rPr>
        <w:t xml:space="preserve">یان، رهبران می‌توانند بررسی پیشرفت‌ها (بررسی‌های وضعیت) و تفکر </w:t>
      </w:r>
      <w:r w:rsidR="006A0B96" w:rsidRPr="0025250D">
        <w:t>GRASP</w:t>
      </w:r>
      <w:r w:rsidRPr="0025250D">
        <w:rPr>
          <w:rFonts w:hint="cs"/>
          <w:rtl/>
        </w:rPr>
        <w:t xml:space="preserve"> را انجام دهند و از تیم خود بپرسند: </w:t>
      </w:r>
      <w:r w:rsidR="002C61FC" w:rsidRPr="0025250D">
        <w:rPr>
          <w:rtl/>
        </w:rPr>
        <w:t>«</w:t>
      </w:r>
      <w:r w:rsidRPr="0025250D">
        <w:rPr>
          <w:rFonts w:hint="cs"/>
          <w:rtl/>
        </w:rPr>
        <w:t>وضعیت ما در رسیدن به اهداف چگونه است؟ باید درمورد چه مواردی خوش بین باشیم؟ باید</w:t>
      </w:r>
      <w:r w:rsidRPr="0025250D">
        <w:rPr>
          <w:rtl/>
        </w:rPr>
        <w:t xml:space="preserve"> </w:t>
      </w:r>
      <w:r w:rsidRPr="0025250D">
        <w:rPr>
          <w:rFonts w:hint="cs"/>
          <w:rtl/>
        </w:rPr>
        <w:t>درمورد</w:t>
      </w:r>
      <w:r w:rsidRPr="0025250D">
        <w:rPr>
          <w:rtl/>
        </w:rPr>
        <w:t xml:space="preserve"> </w:t>
      </w:r>
      <w:r w:rsidRPr="0025250D">
        <w:rPr>
          <w:rFonts w:hint="cs"/>
          <w:rtl/>
        </w:rPr>
        <w:t>چه</w:t>
      </w:r>
      <w:r w:rsidRPr="0025250D">
        <w:rPr>
          <w:rtl/>
        </w:rPr>
        <w:t xml:space="preserve"> </w:t>
      </w:r>
      <w:r w:rsidRPr="0025250D">
        <w:rPr>
          <w:rFonts w:hint="cs"/>
          <w:rtl/>
        </w:rPr>
        <w:t>مواردی</w:t>
      </w:r>
      <w:r w:rsidRPr="0025250D">
        <w:rPr>
          <w:rtl/>
        </w:rPr>
        <w:t xml:space="preserve"> </w:t>
      </w:r>
      <w:r w:rsidR="00C76006" w:rsidRPr="0025250D">
        <w:rPr>
          <w:rFonts w:hint="cs"/>
          <w:rtl/>
        </w:rPr>
        <w:t>بدبین</w:t>
      </w:r>
      <w:r w:rsidRPr="0025250D">
        <w:rPr>
          <w:rtl/>
        </w:rPr>
        <w:t xml:space="preserve"> </w:t>
      </w:r>
      <w:r w:rsidRPr="0025250D">
        <w:rPr>
          <w:rFonts w:hint="cs"/>
          <w:rtl/>
        </w:rPr>
        <w:t xml:space="preserve">باشیم؟ آیا نیاز به </w:t>
      </w:r>
      <w:r w:rsidR="00A20CCB" w:rsidRPr="0025250D">
        <w:rPr>
          <w:rFonts w:hint="cs"/>
          <w:rtl/>
        </w:rPr>
        <w:t>به‌روزرسانی</w:t>
      </w:r>
      <w:r w:rsidRPr="0025250D">
        <w:rPr>
          <w:rFonts w:hint="cs"/>
          <w:rtl/>
        </w:rPr>
        <w:t xml:space="preserve"> </w:t>
      </w:r>
      <w:r w:rsidR="00701E03" w:rsidRPr="0025250D">
        <w:rPr>
          <w:rFonts w:hint="cs"/>
          <w:rtl/>
        </w:rPr>
        <w:t>راهبرد</w:t>
      </w:r>
      <w:r w:rsidRPr="0025250D">
        <w:rPr>
          <w:rFonts w:hint="cs"/>
          <w:rtl/>
        </w:rPr>
        <w:t>، یا اصلاح برنامه داریم؟</w:t>
      </w:r>
      <w:r w:rsidR="002C61FC" w:rsidRPr="0025250D">
        <w:rPr>
          <w:rFonts w:hint="cs"/>
          <w:rtl/>
        </w:rPr>
        <w:t>»</w:t>
      </w:r>
      <w:r w:rsidR="002C61FC" w:rsidRPr="0025250D">
        <w:rPr>
          <w:rFonts w:hint="cs"/>
          <w:vertAlign w:val="superscript"/>
          <w:rtl/>
        </w:rPr>
        <w:t>(</w:t>
      </w:r>
      <w:r w:rsidRPr="0025250D">
        <w:rPr>
          <w:rFonts w:hint="cs"/>
          <w:vertAlign w:val="superscript"/>
          <w:rtl/>
        </w:rPr>
        <w:t>3</w:t>
      </w:r>
      <w:r w:rsidR="002C61FC" w:rsidRPr="0025250D">
        <w:rPr>
          <w:rFonts w:hint="cs"/>
          <w:vertAlign w:val="superscript"/>
          <w:rtl/>
        </w:rPr>
        <w:t>)</w:t>
      </w:r>
    </w:p>
    <w:p w14:paraId="3B8BED7A" w14:textId="661CFB01" w:rsidR="00537CC8" w:rsidRPr="0025250D" w:rsidRDefault="00537CC8" w:rsidP="00537CC8">
      <w:pPr>
        <w:rPr>
          <w:rtl/>
        </w:rPr>
      </w:pPr>
      <w:r w:rsidRPr="0025250D">
        <w:rPr>
          <w:rFonts w:hint="cs"/>
          <w:rtl/>
        </w:rPr>
        <w:t xml:space="preserve">1د. آیا می‌توانید وضعیتی را توصیف کنید که در آن تیم شما یا دیگران با استفاده کم‌تر از حد، استفاده بیش‌تر از حد یا نادرست از خوش بینی </w:t>
      </w:r>
      <w:r w:rsidR="00701E03" w:rsidRPr="0025250D">
        <w:rPr>
          <w:rFonts w:hint="cs"/>
          <w:rtl/>
        </w:rPr>
        <w:t>راهبردی</w:t>
      </w:r>
      <w:r w:rsidRPr="0025250D">
        <w:rPr>
          <w:rFonts w:hint="cs"/>
          <w:rtl/>
        </w:rPr>
        <w:t xml:space="preserve">، </w:t>
      </w:r>
      <w:r w:rsidR="00D30084" w:rsidRPr="0025250D">
        <w:rPr>
          <w:rFonts w:hint="cs"/>
          <w:rtl/>
        </w:rPr>
        <w:t>بدبینی تدافعی</w:t>
      </w:r>
      <w:r w:rsidRPr="0025250D">
        <w:rPr>
          <w:rFonts w:hint="cs"/>
          <w:rtl/>
        </w:rPr>
        <w:t xml:space="preserve"> یا واقع بینی/تقابل دچار مشکل شده باشند؟ آیا تیم شما به بهبود استفاده خود از این حالات </w:t>
      </w:r>
      <w:r w:rsidR="002B6515" w:rsidRPr="0025250D">
        <w:rPr>
          <w:rtl/>
        </w:rPr>
        <w:t>حس‌داد</w:t>
      </w:r>
      <w:r w:rsidRPr="0025250D">
        <w:rPr>
          <w:rFonts w:hint="cs"/>
          <w:rtl/>
        </w:rPr>
        <w:t>، در هر بافتی نیاز دارد؟</w:t>
      </w:r>
    </w:p>
    <w:p w14:paraId="022238FE" w14:textId="77777777" w:rsidR="00537CC8" w:rsidRPr="0025250D" w:rsidRDefault="00537CC8" w:rsidP="00537CC8">
      <w:pPr>
        <w:rPr>
          <w:rtl/>
        </w:rPr>
      </w:pPr>
    </w:p>
    <w:p w14:paraId="75F10950" w14:textId="77777777" w:rsidR="00537CC8" w:rsidRPr="0025250D" w:rsidRDefault="00537CC8" w:rsidP="00537CC8">
      <w:pPr>
        <w:rPr>
          <w:rtl/>
        </w:rPr>
      </w:pPr>
    </w:p>
    <w:p w14:paraId="3AFF463D" w14:textId="77777777" w:rsidR="00537CC8" w:rsidRPr="0025250D" w:rsidRDefault="00537CC8" w:rsidP="00537CC8">
      <w:pPr>
        <w:rPr>
          <w:rtl/>
        </w:rPr>
      </w:pPr>
    </w:p>
    <w:p w14:paraId="6E366C99" w14:textId="77777777" w:rsidR="00537CC8" w:rsidRPr="0025250D" w:rsidRDefault="00537CC8" w:rsidP="00537CC8">
      <w:pPr>
        <w:rPr>
          <w:rtl/>
        </w:rPr>
      </w:pPr>
    </w:p>
    <w:p w14:paraId="634E19FF" w14:textId="77777777" w:rsidR="00537CC8" w:rsidRPr="0025250D" w:rsidRDefault="00537CC8" w:rsidP="00494960">
      <w:pPr>
        <w:pStyle w:val="Heading2"/>
        <w:rPr>
          <w:rtl/>
        </w:rPr>
      </w:pPr>
      <w:bookmarkStart w:id="79" w:name="_Toc127831344"/>
      <w:r w:rsidRPr="0025250D">
        <w:rPr>
          <w:rFonts w:hint="cs"/>
          <w:rtl/>
        </w:rPr>
        <w:t xml:space="preserve">افق‌های </w:t>
      </w:r>
      <w:r w:rsidRPr="0025250D">
        <w:rPr>
          <w:rtl/>
        </w:rPr>
        <w:t>آینده‌نگاری</w:t>
      </w:r>
      <w:r w:rsidRPr="0025250D">
        <w:rPr>
          <w:rFonts w:hint="cs"/>
          <w:rtl/>
        </w:rPr>
        <w:t xml:space="preserve"> (امروز، کوتاه مدت، میان مدت، بلند مدت)</w:t>
      </w:r>
      <w:bookmarkEnd w:id="79"/>
    </w:p>
    <w:p w14:paraId="464827F3" w14:textId="62BC4A83" w:rsidR="00537CC8" w:rsidRPr="0025250D" w:rsidRDefault="00A07BC9" w:rsidP="00537CC8">
      <w:pPr>
        <w:rPr>
          <w:rtl/>
        </w:rPr>
      </w:pPr>
      <w:r w:rsidRPr="0025250D">
        <w:rPr>
          <w:noProof/>
        </w:rPr>
        <w:drawing>
          <wp:inline distT="0" distB="0" distL="0" distR="0" wp14:anchorId="655FD266" wp14:editId="4FB5F7D8">
            <wp:extent cx="5779008" cy="397459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5779008" cy="3974590"/>
                    </a:xfrm>
                    <a:prstGeom prst="rect">
                      <a:avLst/>
                    </a:prstGeom>
                    <a:noFill/>
                  </pic:spPr>
                </pic:pic>
              </a:graphicData>
            </a:graphic>
          </wp:inline>
        </w:drawing>
      </w:r>
    </w:p>
    <w:p w14:paraId="593166B9" w14:textId="6E0DB2CF" w:rsidR="00537CC8" w:rsidRPr="0025250D" w:rsidRDefault="00537CC8" w:rsidP="00537CC8">
      <w:pPr>
        <w:rPr>
          <w:rtl/>
        </w:rPr>
      </w:pPr>
      <w:r w:rsidRPr="0025250D">
        <w:rPr>
          <w:rFonts w:hint="cs"/>
          <w:rtl/>
        </w:rPr>
        <w:t xml:space="preserve">همه </w:t>
      </w:r>
      <w:r w:rsidR="00B124DE" w:rsidRPr="0025250D">
        <w:rPr>
          <w:rFonts w:hint="cs"/>
          <w:rtl/>
        </w:rPr>
        <w:t>آینده‌اندیش</w:t>
      </w:r>
      <w:r w:rsidRPr="0025250D">
        <w:rPr>
          <w:rFonts w:hint="cs"/>
          <w:rtl/>
        </w:rPr>
        <w:t xml:space="preserve">ی در چهار افق زمانی رخ می‌دهد: 1. </w:t>
      </w:r>
      <w:r w:rsidRPr="0025250D">
        <w:rPr>
          <w:rtl/>
        </w:rPr>
        <w:t>آینده‌نگاری</w:t>
      </w:r>
      <w:r w:rsidRPr="0025250D">
        <w:rPr>
          <w:rFonts w:hint="cs"/>
          <w:rtl/>
        </w:rPr>
        <w:t xml:space="preserve"> امروز (اکنون تا پایان روز) 2. </w:t>
      </w:r>
      <w:r w:rsidRPr="0025250D">
        <w:rPr>
          <w:rtl/>
        </w:rPr>
        <w:t>آینده‌نگاری</w:t>
      </w:r>
      <w:r w:rsidRPr="0025250D">
        <w:rPr>
          <w:rFonts w:hint="cs"/>
          <w:rtl/>
        </w:rPr>
        <w:t xml:space="preserve"> کوتاه مدت (فردا تا سه ماه بعد) 3. </w:t>
      </w:r>
      <w:r w:rsidRPr="0025250D">
        <w:rPr>
          <w:rtl/>
        </w:rPr>
        <w:t>آینده‌نگاری</w:t>
      </w:r>
      <w:r w:rsidRPr="0025250D">
        <w:rPr>
          <w:rFonts w:hint="cs"/>
          <w:rtl/>
        </w:rPr>
        <w:t xml:space="preserve"> میان مدت (فصل بعدی تا 4 سال بعدی) 4. </w:t>
      </w:r>
      <w:r w:rsidRPr="0025250D">
        <w:rPr>
          <w:rtl/>
        </w:rPr>
        <w:t>آینده‌نگاری</w:t>
      </w:r>
      <w:r w:rsidRPr="0025250D">
        <w:rPr>
          <w:rFonts w:hint="cs"/>
          <w:rtl/>
        </w:rPr>
        <w:t xml:space="preserve"> بلند مدت (بیش از چهار سال، یک دهه، طول عمر، نسل‌های آینده). به طور میانگین، ما بسیار کم‌تر درمورد رویداد‌هایی که بسیار جلو‌تر هستند فکر می‌کنیم. به یاد آورید که این امر را قانون توانی </w:t>
      </w:r>
      <w:r w:rsidR="00B124DE" w:rsidRPr="0025250D">
        <w:rPr>
          <w:rFonts w:hint="cs"/>
          <w:rtl/>
        </w:rPr>
        <w:t>آینده‌اندیش</w:t>
      </w:r>
      <w:r w:rsidRPr="0025250D">
        <w:rPr>
          <w:rFonts w:hint="cs"/>
          <w:rtl/>
        </w:rPr>
        <w:t xml:space="preserve">ی می‌نامیم. </w:t>
      </w:r>
      <w:r w:rsidRPr="0025250D">
        <w:rPr>
          <w:rtl/>
        </w:rPr>
        <w:t>آینده‌نگاری</w:t>
      </w:r>
      <w:r w:rsidRPr="0025250D">
        <w:rPr>
          <w:rFonts w:hint="cs"/>
          <w:rtl/>
        </w:rPr>
        <w:t xml:space="preserve"> امروز اکثریت آی</w:t>
      </w:r>
      <w:r w:rsidR="002A38BD" w:rsidRPr="0025250D">
        <w:rPr>
          <w:rFonts w:hint="cs"/>
          <w:rtl/>
        </w:rPr>
        <w:t>ن</w:t>
      </w:r>
      <w:r w:rsidRPr="0025250D">
        <w:rPr>
          <w:rFonts w:hint="cs"/>
          <w:rtl/>
        </w:rPr>
        <w:t>ده</w:t>
      </w:r>
      <w:r w:rsidR="002A38BD" w:rsidRPr="0025250D">
        <w:rPr>
          <w:rFonts w:hint="cs"/>
          <w:rtl/>
        </w:rPr>
        <w:t>‌</w:t>
      </w:r>
      <w:r w:rsidRPr="0025250D">
        <w:rPr>
          <w:rFonts w:hint="cs"/>
          <w:rtl/>
        </w:rPr>
        <w:t xml:space="preserve">اندیشی ما را تشکیل می‌دهد. این </w:t>
      </w:r>
      <w:r w:rsidRPr="0025250D">
        <w:rPr>
          <w:rtl/>
        </w:rPr>
        <w:t>آینده‌نگاری</w:t>
      </w:r>
      <w:r w:rsidRPr="0025250D">
        <w:rPr>
          <w:rFonts w:hint="cs"/>
          <w:rtl/>
        </w:rPr>
        <w:t xml:space="preserve"> از چند ثانیه</w:t>
      </w:r>
      <w:r w:rsidR="008D6F97" w:rsidRPr="0025250D">
        <w:rPr>
          <w:rtl/>
        </w:rPr>
        <w:t xml:space="preserve"> </w:t>
      </w:r>
      <w:r w:rsidRPr="0025250D">
        <w:rPr>
          <w:rFonts w:hint="cs"/>
          <w:rtl/>
        </w:rPr>
        <w:t>تا چند دقیقه و چند ساعت پیش رو را در بر می‌گیرد و عمدتا ناخودآگاه است</w:t>
      </w:r>
      <w:r w:rsidR="002C61FC" w:rsidRPr="0025250D">
        <w:rPr>
          <w:rFonts w:hint="cs"/>
          <w:vertAlign w:val="superscript"/>
          <w:rtl/>
        </w:rPr>
        <w:t>(</w:t>
      </w:r>
      <w:r w:rsidRPr="0025250D">
        <w:rPr>
          <w:rFonts w:hint="cs"/>
          <w:vertAlign w:val="superscript"/>
          <w:rtl/>
        </w:rPr>
        <w:t>8</w:t>
      </w:r>
      <w:r w:rsidR="002C61FC" w:rsidRPr="0025250D">
        <w:rPr>
          <w:rFonts w:hint="cs"/>
          <w:vertAlign w:val="superscript"/>
          <w:rtl/>
        </w:rPr>
        <w:t>)</w:t>
      </w:r>
      <w:r w:rsidRPr="0025250D">
        <w:rPr>
          <w:rFonts w:hint="cs"/>
          <w:rtl/>
        </w:rPr>
        <w:t xml:space="preserve">. با استفاده از حلقه انجام سریع (که در تمرین 4 مورد بحث قرار گرفت)، می‌توانیم به سرعت در </w:t>
      </w:r>
      <w:r w:rsidRPr="0025250D">
        <w:rPr>
          <w:rtl/>
        </w:rPr>
        <w:t>آینده‌نگاری</w:t>
      </w:r>
      <w:r w:rsidRPr="0025250D">
        <w:rPr>
          <w:rFonts w:hint="cs"/>
          <w:rtl/>
        </w:rPr>
        <w:t xml:space="preserve"> امروز بهتر شویم. این قدرتمند‌ترین </w:t>
      </w:r>
      <w:r w:rsidR="00701E03" w:rsidRPr="0025250D">
        <w:rPr>
          <w:rFonts w:hint="cs"/>
          <w:rtl/>
        </w:rPr>
        <w:t>راهبرد</w:t>
      </w:r>
      <w:r w:rsidRPr="0025250D">
        <w:rPr>
          <w:rFonts w:hint="cs"/>
          <w:rtl/>
        </w:rPr>
        <w:t xml:space="preserve"> ما برای بهبود </w:t>
      </w:r>
      <w:r w:rsidRPr="0025250D">
        <w:rPr>
          <w:rtl/>
        </w:rPr>
        <w:t>آینده‌نگاری</w:t>
      </w:r>
      <w:r w:rsidRPr="0025250D">
        <w:rPr>
          <w:rFonts w:hint="cs"/>
          <w:rtl/>
        </w:rPr>
        <w:t xml:space="preserve"> در هر 4 افق زمانی است</w:t>
      </w:r>
      <w:r w:rsidR="008D6F97" w:rsidRPr="0025250D">
        <w:rPr>
          <w:rtl/>
        </w:rPr>
        <w:t xml:space="preserve">؛ </w:t>
      </w:r>
      <w:r w:rsidRPr="0025250D">
        <w:rPr>
          <w:rFonts w:hint="cs"/>
          <w:rtl/>
        </w:rPr>
        <w:t xml:space="preserve">بنابراین در اینجا چند نکته برای </w:t>
      </w:r>
      <w:r w:rsidR="00B124DE" w:rsidRPr="0025250D">
        <w:rPr>
          <w:rFonts w:hint="cs"/>
          <w:rtl/>
        </w:rPr>
        <w:t>آینده‌اندیش</w:t>
      </w:r>
      <w:r w:rsidRPr="0025250D">
        <w:rPr>
          <w:rFonts w:hint="cs"/>
          <w:rtl/>
        </w:rPr>
        <w:t>ی از اکنون تا پایان روز وجود دارند.</w:t>
      </w:r>
    </w:p>
    <w:p w14:paraId="573EB20E" w14:textId="68FCB44B" w:rsidR="00537CC8" w:rsidRPr="0025250D" w:rsidRDefault="00537CC8" w:rsidP="00537CC8">
      <w:pPr>
        <w:rPr>
          <w:rtl/>
        </w:rPr>
      </w:pPr>
      <w:r w:rsidRPr="0025250D">
        <w:rPr>
          <w:b/>
          <w:bCs/>
          <w:rtl/>
        </w:rPr>
        <w:t>آینده‌نگاری</w:t>
      </w:r>
      <w:r w:rsidRPr="0025250D">
        <w:rPr>
          <w:rFonts w:hint="cs"/>
          <w:b/>
          <w:bCs/>
          <w:rtl/>
        </w:rPr>
        <w:t xml:space="preserve"> امروز: اساس </w:t>
      </w:r>
      <w:r w:rsidR="00B124DE" w:rsidRPr="0025250D">
        <w:rPr>
          <w:rFonts w:hint="cs"/>
          <w:b/>
          <w:bCs/>
          <w:rtl/>
        </w:rPr>
        <w:t>آینده‌اندیش</w:t>
      </w:r>
      <w:r w:rsidRPr="0025250D">
        <w:rPr>
          <w:rFonts w:hint="cs"/>
          <w:b/>
          <w:bCs/>
          <w:rtl/>
        </w:rPr>
        <w:t>ی</w:t>
      </w:r>
      <w:r w:rsidRPr="0025250D">
        <w:rPr>
          <w:rFonts w:hint="cs"/>
          <w:rtl/>
        </w:rPr>
        <w:t xml:space="preserve"> </w:t>
      </w:r>
      <w:r w:rsidRPr="0025250D">
        <w:rPr>
          <w:rFonts w:hint="cs"/>
          <w:b/>
          <w:bCs/>
          <w:rtl/>
        </w:rPr>
        <w:t>بهتر</w:t>
      </w:r>
    </w:p>
    <w:p w14:paraId="1B419DAD" w14:textId="77777777" w:rsidR="00537CC8" w:rsidRPr="0025250D" w:rsidRDefault="00537CC8" w:rsidP="00537CC8">
      <w:pPr>
        <w:rPr>
          <w:rtl/>
        </w:rPr>
      </w:pPr>
      <w:r w:rsidRPr="0025250D">
        <w:rPr>
          <w:rFonts w:hint="cs"/>
          <w:rtl/>
        </w:rPr>
        <w:t xml:space="preserve">بحث ما این است که سنجیده‌تر، آگاهانه‌تر و بینا‌تر شدن در </w:t>
      </w:r>
      <w:r w:rsidRPr="0025250D">
        <w:rPr>
          <w:rtl/>
        </w:rPr>
        <w:t>آینده‌نگاری</w:t>
      </w:r>
      <w:r w:rsidRPr="0025250D">
        <w:rPr>
          <w:rFonts w:hint="cs"/>
          <w:rtl/>
        </w:rPr>
        <w:t xml:space="preserve"> امروز (اکنون تا پایان روز) ساده‌ترین راه برای بهتر شدن در </w:t>
      </w:r>
      <w:r w:rsidRPr="0025250D">
        <w:rPr>
          <w:rtl/>
        </w:rPr>
        <w:t>آینده‌نگاری</w:t>
      </w:r>
      <w:r w:rsidRPr="0025250D">
        <w:rPr>
          <w:rFonts w:hint="cs"/>
          <w:rtl/>
        </w:rPr>
        <w:t xml:space="preserve"> کوتاه مدت (فردا تا سه ماه بعدی) است. بازخورد ما در </w:t>
      </w:r>
      <w:r w:rsidRPr="0025250D">
        <w:rPr>
          <w:rtl/>
        </w:rPr>
        <w:t>آینده‌نگاری</w:t>
      </w:r>
      <w:r w:rsidRPr="0025250D">
        <w:rPr>
          <w:rFonts w:hint="cs"/>
          <w:rtl/>
        </w:rPr>
        <w:t xml:space="preserve"> امروز بسیار سریع‌تر است و می‌توانیم از طریق بازبینی خطا‌های خود پیشرفت کنیم. مستقل از مسئولیت‌های ما برای </w:t>
      </w:r>
      <w:r w:rsidRPr="0025250D">
        <w:rPr>
          <w:rtl/>
        </w:rPr>
        <w:t>آینده‌نگاری</w:t>
      </w:r>
      <w:r w:rsidRPr="0025250D">
        <w:rPr>
          <w:rFonts w:hint="cs"/>
          <w:rtl/>
        </w:rPr>
        <w:t xml:space="preserve"> میان مدت و بلند مدت، عملکرد ما در </w:t>
      </w:r>
      <w:r w:rsidRPr="0025250D">
        <w:rPr>
          <w:rtl/>
        </w:rPr>
        <w:t>آینده‌نگاری</w:t>
      </w:r>
      <w:r w:rsidRPr="0025250D">
        <w:rPr>
          <w:rFonts w:hint="cs"/>
          <w:rtl/>
        </w:rPr>
        <w:t xml:space="preserve"> امروز و کوتاه مدت، با استفاده از هشت مهارت (بخش 4 این قسمت)، همان جایی است که بیش‌ترین تأثیر حرفه‌ای و موفقیت کاری ما در آن رخ خواهد داد.</w:t>
      </w:r>
      <w:r w:rsidRPr="0025250D">
        <w:rPr>
          <w:rFonts w:hint="cs"/>
          <w:vertAlign w:val="superscript"/>
          <w:rtl/>
        </w:rPr>
        <w:t>9</w:t>
      </w:r>
    </w:p>
    <w:p w14:paraId="3F4AC07A" w14:textId="1E91993A" w:rsidR="00537CC8" w:rsidRPr="0025250D" w:rsidRDefault="00537CC8" w:rsidP="00537CC8">
      <w:pPr>
        <w:rPr>
          <w:rtl/>
        </w:rPr>
      </w:pPr>
      <w:r w:rsidRPr="0025250D">
        <w:rPr>
          <w:rFonts w:hint="cs"/>
          <w:rtl/>
        </w:rPr>
        <w:t>آگاهی از زمان و برنامه زمانی.</w:t>
      </w:r>
    </w:p>
    <w:p w14:paraId="31C6DEDD" w14:textId="4EC27075" w:rsidR="00537CC8" w:rsidRPr="0025250D" w:rsidRDefault="00537CC8" w:rsidP="00537CC8">
      <w:pPr>
        <w:rPr>
          <w:rtl/>
        </w:rPr>
      </w:pPr>
      <w:r w:rsidRPr="0025250D">
        <w:rPr>
          <w:rFonts w:hint="cs"/>
          <w:rtl/>
        </w:rPr>
        <w:t xml:space="preserve">آیا در طول کل روز می‌دانید ساعت چند است؟ آگاهی از زمان در طول روز و آگاهی از میزان زمان باقی مانده تا رویداد بعدی، کمک‌های خوبی برای </w:t>
      </w:r>
      <w:r w:rsidRPr="0025250D">
        <w:rPr>
          <w:rtl/>
        </w:rPr>
        <w:t>آینده‌نگاری</w:t>
      </w:r>
      <w:r w:rsidRPr="0025250D">
        <w:rPr>
          <w:rFonts w:hint="cs"/>
          <w:rtl/>
        </w:rPr>
        <w:t xml:space="preserve"> امروز هستند. آیا یک ساعت بزرگ در مقابل خود در محل کار خود دارید؟ آیا به صورت منظم به آن نگاه می‌کنید؟ آیا زمان را در طول روز حدس می‌زنید و وقتی که حدستان تا حد خوبی درست و دقیق باشد به خود پاداش می‌دهید (با یک نرمش کششی، یک ویتامین </w:t>
      </w:r>
      <w:r w:rsidRPr="0025250D">
        <w:t>C</w:t>
      </w:r>
      <w:r w:rsidRPr="0025250D">
        <w:rPr>
          <w:rFonts w:hint="cs"/>
          <w:rtl/>
        </w:rPr>
        <w:t xml:space="preserve"> جویدنی، یک آدامس بدون شکر یا هر چیز دیگری)؟ آیا اولین کاری که در هر روز انجام می‌دهید نگاه به ساعت است؟ آیا از نظر ذهنی برنامه </w:t>
      </w:r>
      <w:r w:rsidR="00A20CCB" w:rsidRPr="0025250D">
        <w:rPr>
          <w:rFonts w:hint="cs"/>
          <w:rtl/>
        </w:rPr>
        <w:t>زمان‌بندی</w:t>
      </w:r>
      <w:r w:rsidRPr="0025250D">
        <w:rPr>
          <w:rFonts w:hint="cs"/>
          <w:rtl/>
        </w:rPr>
        <w:t xml:space="preserve"> خود را تکرار و تمرین می‌کنید؟ آیا از زمان، هم قبل و هم حین قرار داشتن در یک </w:t>
      </w:r>
      <w:r w:rsidR="00B13F65" w:rsidRPr="0025250D">
        <w:rPr>
          <w:rFonts w:hint="cs"/>
          <w:rtl/>
        </w:rPr>
        <w:t>چارچوب</w:t>
      </w:r>
      <w:r w:rsidRPr="0025250D">
        <w:rPr>
          <w:rFonts w:hint="cs"/>
          <w:rtl/>
        </w:rPr>
        <w:t xml:space="preserve"> زمانی آگاهی دارید؟ می‌توانیم در هر بازه زمانی یک استراحت کوتاه داشته باشیم، اما اولویت ما بازگشت هر چه زود‌تر به بازه زمانی (زمان </w:t>
      </w:r>
      <w:r w:rsidR="00B124DE" w:rsidRPr="0025250D">
        <w:rPr>
          <w:rFonts w:hint="cs"/>
          <w:rtl/>
        </w:rPr>
        <w:t>برنامه‌ریزی</w:t>
      </w:r>
      <w:r w:rsidRPr="0025250D">
        <w:rPr>
          <w:rFonts w:hint="cs"/>
          <w:rtl/>
        </w:rPr>
        <w:t xml:space="preserve"> شده برای انجام یک فعالیت) است. بازبینی چگونگی عملکردمان پس از هر بازه زمانی با توجه </w:t>
      </w:r>
      <w:r w:rsidR="00FB6A7E" w:rsidRPr="0025250D">
        <w:rPr>
          <w:rFonts w:hint="cs"/>
          <w:rtl/>
        </w:rPr>
        <w:t>پیش‌نگری</w:t>
      </w:r>
      <w:r w:rsidRPr="0025250D">
        <w:rPr>
          <w:rFonts w:hint="cs"/>
          <w:rtl/>
        </w:rPr>
        <w:t xml:space="preserve"> (برنامه) خودمان به ما امکان تکمیل یک حلقه انجام را می‌دهد. می‌توانیم در ابتدای هر بازه زمانی خوش بین باشیم (یک نسخه کوچک از هر روز جدید) که برنامه خود را به سرانجام خواهیم رساند. برای این که مبتنی بر حلقه انجام عمل کنید، تلاش کنید تا حداقل سه بازه زمانی (فعالیت) را در هر روز </w:t>
      </w:r>
      <w:r w:rsidR="00A20CCB" w:rsidRPr="0025250D">
        <w:rPr>
          <w:rFonts w:hint="cs"/>
          <w:rtl/>
        </w:rPr>
        <w:t>زمان‌بندی</w:t>
      </w:r>
      <w:r w:rsidRPr="0025250D">
        <w:rPr>
          <w:rFonts w:hint="cs"/>
          <w:rtl/>
        </w:rPr>
        <w:t xml:space="preserve"> کنید. حداقل یک زمان سرگرمی یا ورزش برای استراحت خود قرار دهید.</w:t>
      </w:r>
      <w:r w:rsidR="0020589F" w:rsidRPr="0025250D">
        <w:rPr>
          <w:vertAlign w:val="superscript"/>
          <w:rtl/>
        </w:rPr>
        <w:t xml:space="preserve"> (</w:t>
      </w:r>
      <w:r w:rsidRPr="0025250D">
        <w:rPr>
          <w:rFonts w:hint="cs"/>
          <w:vertAlign w:val="superscript"/>
          <w:rtl/>
        </w:rPr>
        <w:t>10)</w:t>
      </w:r>
      <w:r w:rsidRPr="0025250D">
        <w:rPr>
          <w:rFonts w:hint="cs"/>
          <w:rtl/>
        </w:rPr>
        <w:t xml:space="preserve"> می‌توانیم در درجه اول روز‌ها را مبتنی بر یک برنامه </w:t>
      </w:r>
      <w:r w:rsidR="00A20CCB" w:rsidRPr="0025250D">
        <w:rPr>
          <w:rFonts w:hint="cs"/>
          <w:rtl/>
        </w:rPr>
        <w:t>زمان‌بندی</w:t>
      </w:r>
      <w:r w:rsidRPr="0025250D">
        <w:rPr>
          <w:rFonts w:hint="cs"/>
          <w:rtl/>
        </w:rPr>
        <w:t xml:space="preserve"> بگذرانیم و تنها در درجه دوم به فهرست فعالیت‌های خود نگاه کنیم. این امر کیفیت </w:t>
      </w:r>
      <w:r w:rsidR="00B56611" w:rsidRPr="0025250D">
        <w:rPr>
          <w:rFonts w:hint="cs"/>
          <w:rtl/>
        </w:rPr>
        <w:t>چشم‌انداز</w:t>
      </w:r>
      <w:r w:rsidRPr="0025250D">
        <w:rPr>
          <w:rFonts w:hint="cs"/>
          <w:rtl/>
        </w:rPr>
        <w:t xml:space="preserve"> امروز را افزایش می‌دهد!</w:t>
      </w:r>
    </w:p>
    <w:p w14:paraId="35609642" w14:textId="1772EFCF" w:rsidR="00537CC8" w:rsidRPr="0025250D" w:rsidRDefault="00537CC8" w:rsidP="00537CC8">
      <w:pPr>
        <w:rPr>
          <w:rtl/>
        </w:rPr>
      </w:pPr>
      <w:r w:rsidRPr="0025250D">
        <w:rPr>
          <w:rFonts w:hint="cs"/>
          <w:rtl/>
        </w:rPr>
        <w:t xml:space="preserve">2الف) به خود (از 1 تا 4) چه امتیازی در آگاهی از زمان و برنامه </w:t>
      </w:r>
      <w:r w:rsidR="00A20CCB" w:rsidRPr="0025250D">
        <w:rPr>
          <w:rFonts w:hint="cs"/>
          <w:rtl/>
        </w:rPr>
        <w:t>زمان‌بندی</w:t>
      </w:r>
      <w:r w:rsidRPr="0025250D">
        <w:rPr>
          <w:rFonts w:hint="cs"/>
          <w:rtl/>
        </w:rPr>
        <w:t xml:space="preserve"> در طول روز می‌دهید؟ در صورت نیاز، چه روال‌هایی به شما برای پیشرفت کمک </w:t>
      </w:r>
      <w:r w:rsidR="007118DE" w:rsidRPr="0025250D">
        <w:rPr>
          <w:rFonts w:hint="cs"/>
          <w:rtl/>
        </w:rPr>
        <w:t>کرده‌اند</w:t>
      </w:r>
      <w:r w:rsidRPr="0025250D">
        <w:rPr>
          <w:rFonts w:hint="cs"/>
          <w:rtl/>
        </w:rPr>
        <w:t>؟ پس از آن چه کار می‌توانستید انجام دهید؟</w:t>
      </w:r>
    </w:p>
    <w:p w14:paraId="557130E0" w14:textId="2FF55E41" w:rsidR="00537CC8" w:rsidRPr="0025250D" w:rsidRDefault="00537CC8" w:rsidP="00537CC8">
      <w:pPr>
        <w:rPr>
          <w:rtl/>
        </w:rPr>
      </w:pPr>
      <w:r w:rsidRPr="0025250D">
        <w:rPr>
          <w:rFonts w:hint="cs"/>
          <w:rtl/>
        </w:rPr>
        <w:t xml:space="preserve">آگاهی از زمان و برنامه </w:t>
      </w:r>
      <w:r w:rsidR="00A20CCB" w:rsidRPr="0025250D">
        <w:rPr>
          <w:rFonts w:hint="cs"/>
          <w:rtl/>
        </w:rPr>
        <w:t>زمان‌بندی</w:t>
      </w:r>
      <w:r w:rsidRPr="0025250D">
        <w:rPr>
          <w:rFonts w:hint="cs"/>
          <w:rtl/>
        </w:rPr>
        <w:t xml:space="preserve"> (نمره از 1 تا 4) -----</w:t>
      </w:r>
    </w:p>
    <w:p w14:paraId="726CE57A" w14:textId="77777777" w:rsidR="00537CC8" w:rsidRPr="0025250D" w:rsidRDefault="00537CC8" w:rsidP="00537CC8">
      <w:pPr>
        <w:rPr>
          <w:rtl/>
        </w:rPr>
      </w:pPr>
    </w:p>
    <w:p w14:paraId="56AC6CEF" w14:textId="77777777" w:rsidR="00537CC8" w:rsidRPr="0025250D" w:rsidRDefault="00537CC8" w:rsidP="00537CC8">
      <w:pPr>
        <w:rPr>
          <w:rtl/>
        </w:rPr>
      </w:pPr>
    </w:p>
    <w:p w14:paraId="2FDBF128" w14:textId="77777777" w:rsidR="00537CC8" w:rsidRPr="0025250D" w:rsidRDefault="00537CC8" w:rsidP="00537CC8">
      <w:pPr>
        <w:rPr>
          <w:rtl/>
        </w:rPr>
      </w:pPr>
    </w:p>
    <w:p w14:paraId="23BF4753" w14:textId="77777777" w:rsidR="00537CC8" w:rsidRPr="0025250D" w:rsidRDefault="00537CC8" w:rsidP="00537CC8">
      <w:pPr>
        <w:rPr>
          <w:rtl/>
        </w:rPr>
      </w:pPr>
    </w:p>
    <w:p w14:paraId="7C20130A" w14:textId="77777777" w:rsidR="00537CC8" w:rsidRPr="0025250D" w:rsidRDefault="00537CC8" w:rsidP="00537CC8">
      <w:pPr>
        <w:rPr>
          <w:rtl/>
        </w:rPr>
      </w:pPr>
    </w:p>
    <w:p w14:paraId="2F2A413D" w14:textId="386C1151" w:rsidR="00537CC8" w:rsidRPr="0025250D" w:rsidRDefault="00CF59DF" w:rsidP="00494960">
      <w:pPr>
        <w:pStyle w:val="Heading2"/>
        <w:rPr>
          <w:rtl/>
        </w:rPr>
      </w:pPr>
      <w:bookmarkStart w:id="80" w:name="_Toc127831345"/>
      <w:r w:rsidRPr="0025250D">
        <w:rPr>
          <w:rFonts w:hint="cs"/>
          <w:rtl/>
        </w:rPr>
        <w:t>جهت‌گیری</w:t>
      </w:r>
      <w:r w:rsidR="00537CC8" w:rsidRPr="0025250D">
        <w:rPr>
          <w:rFonts w:hint="cs"/>
          <w:rtl/>
        </w:rPr>
        <w:t xml:space="preserve"> زمانی (گذشته، حال، آینده)</w:t>
      </w:r>
      <w:bookmarkEnd w:id="80"/>
    </w:p>
    <w:p w14:paraId="03158F9D" w14:textId="1D9476BD" w:rsidR="00537CC8" w:rsidRPr="0025250D" w:rsidRDefault="00537CC8" w:rsidP="002C61FC">
      <w:pPr>
        <w:rPr>
          <w:rtl/>
        </w:rPr>
      </w:pPr>
      <w:r w:rsidRPr="0025250D">
        <w:rPr>
          <w:rFonts w:hint="cs"/>
          <w:rtl/>
        </w:rPr>
        <w:t xml:space="preserve">همه ما یک </w:t>
      </w:r>
      <w:r w:rsidR="00CF59DF" w:rsidRPr="0025250D">
        <w:rPr>
          <w:rFonts w:hint="cs"/>
          <w:rtl/>
        </w:rPr>
        <w:t>جهت‌گیری</w:t>
      </w:r>
      <w:r w:rsidRPr="0025250D">
        <w:rPr>
          <w:rFonts w:hint="cs"/>
          <w:rtl/>
        </w:rPr>
        <w:t xml:space="preserve"> زمانی برای تفکر داریم: الف</w:t>
      </w:r>
      <w:r w:rsidR="002C61FC" w:rsidRPr="0025250D">
        <w:rPr>
          <w:rFonts w:hint="cs"/>
          <w:rtl/>
        </w:rPr>
        <w:t>)</w:t>
      </w:r>
      <w:r w:rsidRPr="0025250D">
        <w:rPr>
          <w:rFonts w:hint="cs"/>
          <w:rtl/>
        </w:rPr>
        <w:t xml:space="preserve"> گذشته گرا یا همان گذشته نگاری (تاریخ، تجربه، داده‌ها، اقدامات و مدل ها/فرضیات احتمالا مرتبط)، ب) حال گرا، یا همان بینش (خود-آگاهی، آگاهی اجتماعی و موقعیتی، سازمان و ساز و کارها) ج) آینده گرا یا همان </w:t>
      </w:r>
      <w:r w:rsidRPr="0025250D">
        <w:rPr>
          <w:rtl/>
        </w:rPr>
        <w:t>آینده‌نگاری</w:t>
      </w:r>
      <w:r w:rsidRPr="0025250D">
        <w:rPr>
          <w:rFonts w:hint="cs"/>
          <w:rtl/>
        </w:rPr>
        <w:t xml:space="preserve"> (فرصت‌ها، تهدیدها، تغییرات، نوآوری‌ها و تجارب کوتاه مدت یا بلند مدت)</w:t>
      </w:r>
    </w:p>
    <w:p w14:paraId="6D333454" w14:textId="0057176E" w:rsidR="00537CC8" w:rsidRPr="0025250D" w:rsidRDefault="00537CC8" w:rsidP="00537CC8">
      <w:pPr>
        <w:rPr>
          <w:rtl/>
        </w:rPr>
      </w:pPr>
      <w:r w:rsidRPr="0025250D">
        <w:rPr>
          <w:rFonts w:hint="cs"/>
          <w:rtl/>
        </w:rPr>
        <w:t>نمودار زمان-ذهن</w:t>
      </w:r>
      <w:r w:rsidRPr="0025250D">
        <w:rPr>
          <w:vertAlign w:val="superscript"/>
          <w:rtl/>
        </w:rPr>
        <w:footnoteReference w:id="3045"/>
      </w:r>
      <w:r w:rsidRPr="0025250D">
        <w:rPr>
          <w:rFonts w:hint="cs"/>
          <w:rtl/>
        </w:rPr>
        <w:t xml:space="preserve"> زیر صفاتی را که معمولا به هر یک از این </w:t>
      </w:r>
      <w:r w:rsidR="00CF59DF" w:rsidRPr="0025250D">
        <w:rPr>
          <w:rFonts w:hint="cs"/>
          <w:rtl/>
        </w:rPr>
        <w:t>جهت‌گیری</w:t>
      </w:r>
      <w:r w:rsidRPr="0025250D">
        <w:rPr>
          <w:rFonts w:hint="cs"/>
          <w:rtl/>
        </w:rPr>
        <w:t xml:space="preserve">‌ها نسبت داده می‌شوند، ارائه می‌دهد. همه ما به سرعت میان هر یک از این </w:t>
      </w:r>
      <w:r w:rsidR="00CF59DF" w:rsidRPr="0025250D">
        <w:rPr>
          <w:rFonts w:hint="cs"/>
          <w:rtl/>
        </w:rPr>
        <w:t>جهت‌گیری</w:t>
      </w:r>
      <w:r w:rsidRPr="0025250D">
        <w:rPr>
          <w:rFonts w:hint="cs"/>
          <w:rtl/>
        </w:rPr>
        <w:t xml:space="preserve">‌ها در طول روز جابجا می‌شویم. با این حال تقریبا همه ما ممکن است یک یا چند مورد از این </w:t>
      </w:r>
      <w:r w:rsidR="00CF59DF" w:rsidRPr="0025250D">
        <w:rPr>
          <w:rFonts w:hint="cs"/>
          <w:rtl/>
        </w:rPr>
        <w:t>جهت‌گیری</w:t>
      </w:r>
      <w:r w:rsidRPr="0025250D">
        <w:rPr>
          <w:rFonts w:hint="cs"/>
          <w:rtl/>
        </w:rPr>
        <w:t xml:space="preserve">‌ها را ترجیح دهیم. اگر به درستی انجام شوند، </w:t>
      </w:r>
      <w:r w:rsidR="00CF59DF" w:rsidRPr="0025250D">
        <w:rPr>
          <w:rFonts w:hint="cs"/>
          <w:rtl/>
        </w:rPr>
        <w:t>جهت‌گیری</w:t>
      </w:r>
      <w:r w:rsidRPr="0025250D">
        <w:rPr>
          <w:rFonts w:hint="cs"/>
          <w:rtl/>
        </w:rPr>
        <w:t>‌های مطلوب ما می‌توانند مزایای مشخصی برای ما داشته باشند:</w:t>
      </w:r>
    </w:p>
    <w:p w14:paraId="606B607E" w14:textId="7F45CB3E" w:rsidR="00537CC8" w:rsidRPr="0025250D" w:rsidRDefault="00A07BC9" w:rsidP="00494960">
      <w:pPr>
        <w:jc w:val="center"/>
        <w:rPr>
          <w:rtl/>
        </w:rPr>
      </w:pPr>
      <w:r w:rsidRPr="0025250D">
        <w:rPr>
          <w:noProof/>
        </w:rPr>
        <w:drawing>
          <wp:inline distT="0" distB="0" distL="0" distR="0" wp14:anchorId="3C4A2B42" wp14:editId="27C6FA53">
            <wp:extent cx="5779008" cy="3721599"/>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5779008" cy="3721599"/>
                    </a:xfrm>
                    <a:prstGeom prst="rect">
                      <a:avLst/>
                    </a:prstGeom>
                    <a:noFill/>
                  </pic:spPr>
                </pic:pic>
              </a:graphicData>
            </a:graphic>
          </wp:inline>
        </w:drawing>
      </w:r>
    </w:p>
    <w:p w14:paraId="1261BAC9" w14:textId="0E6116DB" w:rsidR="00537CC8" w:rsidRPr="0025250D" w:rsidRDefault="00537CC8" w:rsidP="00537CC8">
      <w:pPr>
        <w:rPr>
          <w:rtl/>
        </w:rPr>
      </w:pPr>
      <w:r w:rsidRPr="0025250D">
        <w:rPr>
          <w:rFonts w:hint="cs"/>
          <w:rtl/>
        </w:rPr>
        <w:t>متفکرین حال گرا می‌توانند در به سرانجام رساندن امور، عملکرد بهتری داشته باشند.</w:t>
      </w:r>
    </w:p>
    <w:p w14:paraId="4A4771E8" w14:textId="3DB69B03" w:rsidR="00537CC8" w:rsidRPr="0025250D" w:rsidRDefault="00537CC8" w:rsidP="00537CC8">
      <w:pPr>
        <w:rPr>
          <w:rtl/>
        </w:rPr>
      </w:pPr>
      <w:r w:rsidRPr="0025250D">
        <w:rPr>
          <w:rFonts w:hint="cs"/>
          <w:rtl/>
        </w:rPr>
        <w:t>متفکرین آینده گرا می‌توانند در دیدن آنچه باید انجام شود، عملکرد بهتری داشته باشند.</w:t>
      </w:r>
    </w:p>
    <w:p w14:paraId="31E9B6A9" w14:textId="77777777" w:rsidR="00537CC8" w:rsidRPr="0025250D" w:rsidRDefault="00537CC8" w:rsidP="00537CC8">
      <w:pPr>
        <w:rPr>
          <w:rtl/>
        </w:rPr>
      </w:pPr>
      <w:r w:rsidRPr="0025250D">
        <w:rPr>
          <w:rFonts w:hint="cs"/>
          <w:rtl/>
        </w:rPr>
        <w:t>متفکرین گذشته گرا می‌توانند در دیدن آنچه تا به حال کارایی خوبی داشته است، عملکرد بهتری داشته باشند.</w:t>
      </w:r>
    </w:p>
    <w:p w14:paraId="6E114204" w14:textId="4BF6627A" w:rsidR="00537CC8" w:rsidRPr="0025250D" w:rsidRDefault="00537CC8" w:rsidP="00DC51E6">
      <w:pPr>
        <w:rPr>
          <w:rtl/>
        </w:rPr>
      </w:pPr>
      <w:r w:rsidRPr="0025250D">
        <w:rPr>
          <w:rFonts w:hint="cs"/>
          <w:rtl/>
        </w:rPr>
        <w:t xml:space="preserve">رهبران خوب هم ارزش و هم تله‌های هر </w:t>
      </w:r>
      <w:r w:rsidR="00CF59DF" w:rsidRPr="0025250D">
        <w:rPr>
          <w:rFonts w:hint="cs"/>
          <w:rtl/>
        </w:rPr>
        <w:t>جهت‌گیری</w:t>
      </w:r>
      <w:r w:rsidRPr="0025250D">
        <w:rPr>
          <w:rFonts w:hint="cs"/>
          <w:rtl/>
        </w:rPr>
        <w:t xml:space="preserve"> زمانی را یاد می‌گیرند. ما برای کمک به تیم هایمان جهت حرکت میان هر یک از این موارد در صورت نیاز تلاش می‌کنیم؛ درست </w:t>
      </w:r>
      <w:r w:rsidR="007118DE" w:rsidRPr="0025250D">
        <w:rPr>
          <w:rFonts w:hint="cs"/>
          <w:rtl/>
        </w:rPr>
        <w:t>همان‌طور</w:t>
      </w:r>
      <w:r w:rsidRPr="0025250D">
        <w:rPr>
          <w:rFonts w:hint="cs"/>
          <w:rtl/>
        </w:rPr>
        <w:t xml:space="preserve"> که به آن‌ها برای حرکت میان </w:t>
      </w:r>
      <w:r w:rsidR="00DC51E6" w:rsidRPr="0025250D">
        <w:rPr>
          <w:rFonts w:hint="cs"/>
          <w:rtl/>
        </w:rPr>
        <w:t>حس‌دادها</w:t>
      </w:r>
      <w:r w:rsidRPr="0025250D">
        <w:rPr>
          <w:rFonts w:hint="cs"/>
          <w:rtl/>
        </w:rPr>
        <w:t xml:space="preserve"> کمک می‌کنیم. ما باید همچنین هر تناقضی که میان </w:t>
      </w:r>
      <w:r w:rsidR="00CF59DF" w:rsidRPr="0025250D">
        <w:rPr>
          <w:rFonts w:hint="cs"/>
          <w:rtl/>
        </w:rPr>
        <w:t>جهت‌گیری</w:t>
      </w:r>
      <w:r w:rsidRPr="0025250D">
        <w:rPr>
          <w:rFonts w:hint="cs"/>
          <w:rtl/>
        </w:rPr>
        <w:t>‌های زمانی یا شغل‌های خود وجود دارد را دیده و مدیریت کنیم.</w:t>
      </w:r>
    </w:p>
    <w:p w14:paraId="271E7E61" w14:textId="443E5D96" w:rsidR="00537CC8" w:rsidRPr="0025250D" w:rsidRDefault="00A07BC9" w:rsidP="00494960">
      <w:pPr>
        <w:jc w:val="center"/>
        <w:rPr>
          <w:rtl/>
        </w:rPr>
      </w:pPr>
      <w:r w:rsidRPr="0025250D">
        <w:rPr>
          <w:noProof/>
        </w:rPr>
        <w:drawing>
          <wp:inline distT="0" distB="0" distL="0" distR="0" wp14:anchorId="2F3E5D9A" wp14:editId="38F5ACD1">
            <wp:extent cx="5779008" cy="3266014"/>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5779008" cy="3266014"/>
                    </a:xfrm>
                    <a:prstGeom prst="rect">
                      <a:avLst/>
                    </a:prstGeom>
                    <a:noFill/>
                  </pic:spPr>
                </pic:pic>
              </a:graphicData>
            </a:graphic>
          </wp:inline>
        </w:drawing>
      </w:r>
    </w:p>
    <w:p w14:paraId="57E30A81" w14:textId="302AFB65" w:rsidR="00537CC8" w:rsidRPr="0025250D" w:rsidRDefault="00537CC8" w:rsidP="00537CC8">
      <w:pPr>
        <w:rPr>
          <w:rtl/>
        </w:rPr>
      </w:pPr>
      <w:r w:rsidRPr="0025250D">
        <w:rPr>
          <w:rFonts w:hint="cs"/>
          <w:rtl/>
        </w:rPr>
        <w:t xml:space="preserve">می توانیم یک آزمون 18 سؤالی رایگان را در زمان-ذهن برای ارزیابی ترجیحات خود تکمیل کنیم. مرکز این نمودار 33/33/33% است. برای مثال، </w:t>
      </w:r>
      <w:r w:rsidR="002C61FC" w:rsidRPr="0025250D">
        <w:rPr>
          <w:rtl/>
        </w:rPr>
        <w:t>«</w:t>
      </w:r>
      <w:r w:rsidRPr="0025250D">
        <w:rPr>
          <w:rFonts w:hint="cs"/>
          <w:rtl/>
        </w:rPr>
        <w:t>شما</w:t>
      </w:r>
      <w:r w:rsidR="002C61FC" w:rsidRPr="0025250D">
        <w:rPr>
          <w:rtl/>
        </w:rPr>
        <w:t>»</w:t>
      </w:r>
      <w:r w:rsidRPr="0025250D">
        <w:rPr>
          <w:rFonts w:hint="cs"/>
          <w:rtl/>
        </w:rPr>
        <w:t xml:space="preserve"> که در این تصویر نشان داده شده است می‌تواند به ترتیب یک متفکر آینده گرا&gt;گذشته گرا&gt;حال گرا (تقریبا 40 درصد آینده گرا، 35 درصد گذشته گرا، 25 درصد حال گرا از نظر میزان تفکر، طبق تخمین انحراف از مرکز) باشد.</w:t>
      </w:r>
    </w:p>
    <w:p w14:paraId="3C16EAB4" w14:textId="548A3DC4" w:rsidR="00537CC8" w:rsidRPr="0025250D" w:rsidRDefault="00537CC8" w:rsidP="00537CC8">
      <w:pPr>
        <w:rPr>
          <w:rtl/>
        </w:rPr>
      </w:pPr>
      <w:r w:rsidRPr="0025250D">
        <w:rPr>
          <w:rFonts w:hint="cs"/>
          <w:rtl/>
        </w:rPr>
        <w:t xml:space="preserve">ارزیابی سبک‌های شیمی کاری دیلویت (تصویر </w:t>
      </w:r>
      <w:r w:rsidR="002A38BD" w:rsidRPr="0025250D">
        <w:rPr>
          <w:rFonts w:hint="cs"/>
          <w:rtl/>
        </w:rPr>
        <w:t>زیر</w:t>
      </w:r>
      <w:r w:rsidRPr="0025250D">
        <w:rPr>
          <w:rFonts w:hint="cs"/>
          <w:rtl/>
        </w:rPr>
        <w:t xml:space="preserve">)، همچنین بر اساس مدل‌های علوم اعصاب که از سال 2010 برای 200 هزار نفر استفاده </w:t>
      </w:r>
      <w:r w:rsidR="00185F3E" w:rsidRPr="0025250D">
        <w:rPr>
          <w:rFonts w:hint="cs"/>
          <w:rtl/>
        </w:rPr>
        <w:t>شده‌اند</w:t>
      </w:r>
      <w:r w:rsidRPr="0025250D">
        <w:rPr>
          <w:rFonts w:hint="cs"/>
          <w:rtl/>
        </w:rPr>
        <w:t xml:space="preserve">، به صورت مستقل این هرم </w:t>
      </w:r>
      <w:r w:rsidR="00CF59DF" w:rsidRPr="0025250D">
        <w:rPr>
          <w:rFonts w:hint="cs"/>
          <w:rtl/>
        </w:rPr>
        <w:t>جهت‌گیری</w:t>
      </w:r>
      <w:r w:rsidRPr="0025250D">
        <w:rPr>
          <w:rFonts w:hint="cs"/>
          <w:rtl/>
        </w:rPr>
        <w:t xml:space="preserve"> زمانی (پیشتازان، محافظین</w:t>
      </w:r>
      <w:r w:rsidR="008D6F97" w:rsidRPr="0025250D">
        <w:rPr>
          <w:rtl/>
        </w:rPr>
        <w:t xml:space="preserve"> </w:t>
      </w:r>
      <w:r w:rsidRPr="0025250D">
        <w:rPr>
          <w:rFonts w:hint="cs"/>
          <w:rtl/>
        </w:rPr>
        <w:t xml:space="preserve">و پیشران ها) را یافتند. دیلویت همچنین یک سبک </w:t>
      </w:r>
      <w:r w:rsidR="002C61FC" w:rsidRPr="0025250D">
        <w:rPr>
          <w:rtl/>
        </w:rPr>
        <w:t>«</w:t>
      </w:r>
      <w:r w:rsidRPr="0025250D">
        <w:rPr>
          <w:rFonts w:hint="cs"/>
          <w:rtl/>
        </w:rPr>
        <w:t>ترکیبی</w:t>
      </w:r>
      <w:r w:rsidR="002C61FC" w:rsidRPr="0025250D">
        <w:rPr>
          <w:rtl/>
        </w:rPr>
        <w:t>»</w:t>
      </w:r>
      <w:r w:rsidRPr="0025250D">
        <w:rPr>
          <w:rFonts w:hint="cs"/>
          <w:rtl/>
        </w:rPr>
        <w:t xml:space="preserve"> چهارم (یکپارچه سازان) را یافت که این سه مورد را به هم مرتبط می‌سازد. همه ما افرادی را می‌شناسیم که از هماهنگی، مرکز گرایی و همکاری انگیزه می‌گیرند. یک آزمون 20 سؤالی آنلاین رایگان برای این چهار سبک وجود دارد. بسیاری از افراد ترجیح می‌دهند که تنها از یک یا دو مورد از این سبک‌ها استفاده کنند. کتاب آن‌ها پیشنهاداتی درمورد همکاری بهتر میان این چهارسبک ارائه می‌دهد.</w:t>
      </w:r>
      <w:r w:rsidR="0020589F" w:rsidRPr="0025250D">
        <w:rPr>
          <w:vertAlign w:val="superscript"/>
          <w:rtl/>
        </w:rPr>
        <w:t xml:space="preserve"> (</w:t>
      </w:r>
      <w:r w:rsidRPr="0025250D">
        <w:rPr>
          <w:rFonts w:hint="cs"/>
          <w:vertAlign w:val="superscript"/>
          <w:rtl/>
        </w:rPr>
        <w:t>12)</w:t>
      </w:r>
    </w:p>
    <w:p w14:paraId="5636CE2F" w14:textId="18AB70A9" w:rsidR="00537CC8" w:rsidRPr="0025250D" w:rsidRDefault="00A07BC9" w:rsidP="00494960">
      <w:pPr>
        <w:jc w:val="center"/>
        <w:rPr>
          <w:rtl/>
        </w:rPr>
      </w:pPr>
      <w:r w:rsidRPr="0025250D">
        <w:rPr>
          <w:noProof/>
        </w:rPr>
        <w:drawing>
          <wp:inline distT="0" distB="0" distL="0" distR="0" wp14:anchorId="026847B9" wp14:editId="2548A467">
            <wp:extent cx="5779008" cy="548717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1" cstate="screen">
                      <a:extLst>
                        <a:ext uri="{28A0092B-C50C-407E-A947-70E740481C1C}">
                          <a14:useLocalDpi xmlns:a14="http://schemas.microsoft.com/office/drawing/2010/main"/>
                        </a:ext>
                      </a:extLst>
                    </a:blip>
                    <a:srcRect/>
                    <a:stretch>
                      <a:fillRect/>
                    </a:stretch>
                  </pic:blipFill>
                  <pic:spPr bwMode="auto">
                    <a:xfrm>
                      <a:off x="0" y="0"/>
                      <a:ext cx="5779008" cy="5487170"/>
                    </a:xfrm>
                    <a:prstGeom prst="rect">
                      <a:avLst/>
                    </a:prstGeom>
                    <a:noFill/>
                  </pic:spPr>
                </pic:pic>
              </a:graphicData>
            </a:graphic>
          </wp:inline>
        </w:drawing>
      </w:r>
    </w:p>
    <w:p w14:paraId="0F90D644" w14:textId="72BF93E2" w:rsidR="00537CC8" w:rsidRPr="0025250D" w:rsidRDefault="00537CC8" w:rsidP="00494960">
      <w:pPr>
        <w:jc w:val="center"/>
        <w:rPr>
          <w:rtl/>
        </w:rPr>
      </w:pPr>
      <w:r w:rsidRPr="0025250D">
        <w:rPr>
          <w:rFonts w:hint="cs"/>
          <w:rtl/>
        </w:rPr>
        <w:t xml:space="preserve">چهار سبک کاری دیلویت (تشخیص شیمی </w:t>
      </w:r>
      <w:r w:rsidR="00B124DE" w:rsidRPr="0025250D">
        <w:rPr>
          <w:rFonts w:hint="cs"/>
          <w:rtl/>
        </w:rPr>
        <w:t>کسب‌و‌کار</w:t>
      </w:r>
      <w:r w:rsidRPr="0025250D">
        <w:rPr>
          <w:rFonts w:hint="cs"/>
          <w:rtl/>
        </w:rPr>
        <w:t>، 2010)</w:t>
      </w:r>
    </w:p>
    <w:p w14:paraId="4278A57A" w14:textId="1C5DAAAB" w:rsidR="00537CC8" w:rsidRPr="0025250D" w:rsidRDefault="00537CC8" w:rsidP="00537CC8">
      <w:pPr>
        <w:rPr>
          <w:rtl/>
        </w:rPr>
      </w:pPr>
      <w:r w:rsidRPr="0025250D">
        <w:rPr>
          <w:rFonts w:hint="cs"/>
          <w:rtl/>
        </w:rPr>
        <w:t xml:space="preserve">سبک‌های </w:t>
      </w:r>
      <w:r w:rsidR="001A3F0A" w:rsidRPr="0025250D">
        <w:rPr>
          <w:rFonts w:hint="cs"/>
          <w:rtl/>
        </w:rPr>
        <w:t>فردی</w:t>
      </w:r>
      <w:r w:rsidRPr="0025250D">
        <w:rPr>
          <w:rFonts w:hint="cs"/>
          <w:rtl/>
        </w:rPr>
        <w:t xml:space="preserve"> ما کدام موارد هستند؟ سبک‌های تیم‌های ما چطور؟</w:t>
      </w:r>
    </w:p>
    <w:p w14:paraId="29710AB2" w14:textId="43387A7A" w:rsidR="00537CC8" w:rsidRPr="0025250D" w:rsidRDefault="00537CC8" w:rsidP="00537CC8">
      <w:pPr>
        <w:rPr>
          <w:rtl/>
        </w:rPr>
      </w:pPr>
      <w:r w:rsidRPr="0025250D">
        <w:rPr>
          <w:rFonts w:hint="cs"/>
          <w:rtl/>
        </w:rPr>
        <w:t xml:space="preserve">3الف) قدرت </w:t>
      </w:r>
      <w:r w:rsidR="001A3F0A" w:rsidRPr="0025250D">
        <w:rPr>
          <w:rFonts w:hint="cs"/>
          <w:rtl/>
        </w:rPr>
        <w:t>فردی</w:t>
      </w:r>
      <w:r w:rsidRPr="0025250D">
        <w:rPr>
          <w:rFonts w:hint="cs"/>
          <w:rtl/>
        </w:rPr>
        <w:t xml:space="preserve"> خود (یا حداقل، زمان سپری شده خود) را در هر یک از این سه </w:t>
      </w:r>
      <w:r w:rsidR="00CF59DF" w:rsidRPr="0025250D">
        <w:rPr>
          <w:rFonts w:hint="cs"/>
          <w:rtl/>
        </w:rPr>
        <w:t>جهت‌گیری</w:t>
      </w:r>
      <w:r w:rsidRPr="0025250D">
        <w:rPr>
          <w:rFonts w:hint="cs"/>
          <w:rtl/>
        </w:rPr>
        <w:t xml:space="preserve"> زمانی برای یک هفته کاری معمولی چگونه رتبه بندی (1،2،3) می‌کنید؟</w:t>
      </w:r>
    </w:p>
    <w:p w14:paraId="70B40C2D" w14:textId="0B826A62" w:rsidR="00537CC8" w:rsidRPr="0025250D" w:rsidRDefault="00537CC8" w:rsidP="00537CC8">
      <w:pPr>
        <w:rPr>
          <w:rtl/>
        </w:rPr>
      </w:pPr>
      <w:r w:rsidRPr="0025250D">
        <w:rPr>
          <w:rFonts w:hint="cs"/>
          <w:rtl/>
        </w:rPr>
        <w:t xml:space="preserve">تفکر گذشته گرا (روندها، حقایق، قیود) </w:t>
      </w:r>
      <w:r w:rsidR="002C61FC" w:rsidRPr="0025250D">
        <w:rPr>
          <w:rtl/>
        </w:rPr>
        <w:t>-</w:t>
      </w:r>
      <w:r w:rsidR="002C61FC" w:rsidRPr="0025250D">
        <w:rPr>
          <w:rFonts w:hint="cs"/>
          <w:rtl/>
        </w:rPr>
        <w:t>---</w:t>
      </w:r>
    </w:p>
    <w:p w14:paraId="46441F6C" w14:textId="77777777" w:rsidR="00537CC8" w:rsidRPr="0025250D" w:rsidRDefault="00537CC8" w:rsidP="00537CC8">
      <w:pPr>
        <w:rPr>
          <w:rtl/>
        </w:rPr>
      </w:pPr>
      <w:r w:rsidRPr="0025250D">
        <w:rPr>
          <w:rFonts w:hint="cs"/>
          <w:rtl/>
        </w:rPr>
        <w:t>تفکر حال گرا (برنامه‌ها، انتظارات، فرایند ها) ----</w:t>
      </w:r>
    </w:p>
    <w:p w14:paraId="3E763C7D" w14:textId="52466D6A" w:rsidR="00537CC8" w:rsidRPr="0025250D" w:rsidRDefault="00537CC8" w:rsidP="00537CC8">
      <w:pPr>
        <w:rPr>
          <w:b/>
          <w:bCs/>
          <w:rtl/>
        </w:rPr>
      </w:pPr>
      <w:r w:rsidRPr="0025250D">
        <w:rPr>
          <w:rFonts w:hint="cs"/>
          <w:rtl/>
        </w:rPr>
        <w:t xml:space="preserve">تفکر آینده گرا (عدم قطعیت‌ها، نظرات، </w:t>
      </w:r>
      <w:r w:rsidR="00B56611" w:rsidRPr="0025250D">
        <w:rPr>
          <w:rFonts w:hint="cs"/>
          <w:rtl/>
        </w:rPr>
        <w:t>چشم‌انداز</w:t>
      </w:r>
      <w:r w:rsidRPr="0025250D">
        <w:rPr>
          <w:rFonts w:hint="cs"/>
          <w:rtl/>
        </w:rPr>
        <w:t>ها) ----</w:t>
      </w:r>
    </w:p>
    <w:p w14:paraId="58FB6179" w14:textId="5B298DF6" w:rsidR="00537CC8" w:rsidRPr="0025250D" w:rsidRDefault="00537CC8" w:rsidP="00537CC8">
      <w:pPr>
        <w:rPr>
          <w:rtl/>
        </w:rPr>
      </w:pPr>
      <w:r w:rsidRPr="0025250D">
        <w:rPr>
          <w:rFonts w:hint="cs"/>
          <w:rtl/>
        </w:rPr>
        <w:t xml:space="preserve">آیا به یادآوری بیش از حد گذشته یا به تصور بیش از حد آینده تمایل دارید؟ چگونه می‌فهمید که چه زمانی باید هر یک را متوقف کنید؟ برای سازماندهی کردن و </w:t>
      </w:r>
      <w:r w:rsidR="007118DE" w:rsidRPr="0025250D">
        <w:rPr>
          <w:rFonts w:hint="cs"/>
          <w:rtl/>
        </w:rPr>
        <w:t>اولویت‌بندی</w:t>
      </w:r>
      <w:r w:rsidRPr="0025250D">
        <w:rPr>
          <w:rFonts w:hint="cs"/>
          <w:rtl/>
        </w:rPr>
        <w:t xml:space="preserve"> </w:t>
      </w:r>
      <w:r w:rsidR="00B124DE" w:rsidRPr="0025250D">
        <w:rPr>
          <w:rFonts w:hint="cs"/>
          <w:rtl/>
        </w:rPr>
        <w:t>آینده‌اندیش</w:t>
      </w:r>
      <w:r w:rsidRPr="0025250D">
        <w:rPr>
          <w:rFonts w:hint="cs"/>
          <w:rtl/>
        </w:rPr>
        <w:t xml:space="preserve">ی خود برای خدمت به فعالیت‌های حال خود چه کار می‌کنید؟ آیا توازنی میان افراد قوی در هر </w:t>
      </w:r>
      <w:r w:rsidR="00CF59DF" w:rsidRPr="0025250D">
        <w:rPr>
          <w:rFonts w:hint="cs"/>
          <w:rtl/>
        </w:rPr>
        <w:t>جهت‌گیری</w:t>
      </w:r>
      <w:r w:rsidRPr="0025250D">
        <w:rPr>
          <w:rFonts w:hint="cs"/>
          <w:rtl/>
        </w:rPr>
        <w:t xml:space="preserve"> زمانی در تیم خود دارید؟ اگر </w:t>
      </w:r>
      <w:r w:rsidR="0020589F" w:rsidRPr="0025250D">
        <w:rPr>
          <w:rtl/>
        </w:rPr>
        <w:t>نه</w:t>
      </w:r>
      <w:r w:rsidRPr="0025250D">
        <w:rPr>
          <w:rFonts w:hint="cs"/>
          <w:rtl/>
        </w:rPr>
        <w:t xml:space="preserve"> چگونه می‌توانید به این توازن برسید؟</w:t>
      </w:r>
    </w:p>
    <w:p w14:paraId="3ED74589" w14:textId="519A70F4" w:rsidR="00537CC8" w:rsidRPr="0025250D" w:rsidRDefault="00537CC8" w:rsidP="00537CC8">
      <w:pPr>
        <w:rPr>
          <w:rtl/>
        </w:rPr>
      </w:pPr>
      <w:r w:rsidRPr="0025250D">
        <w:rPr>
          <w:rFonts w:hint="cs"/>
          <w:b/>
          <w:bCs/>
          <w:rtl/>
        </w:rPr>
        <w:t xml:space="preserve">چهار </w:t>
      </w:r>
      <w:r w:rsidRPr="0025250D">
        <w:rPr>
          <w:b/>
          <w:bCs/>
        </w:rPr>
        <w:t>P</w:t>
      </w:r>
      <w:r w:rsidRPr="0025250D">
        <w:rPr>
          <w:rFonts w:hint="cs"/>
          <w:b/>
          <w:bCs/>
          <w:rtl/>
        </w:rPr>
        <w:t xml:space="preserve"> تفکر آینده</w:t>
      </w:r>
    </w:p>
    <w:p w14:paraId="639365CB" w14:textId="5670766C" w:rsidR="00537CC8" w:rsidRPr="0025250D" w:rsidRDefault="00537CC8" w:rsidP="00537CC8">
      <w:pPr>
        <w:rPr>
          <w:rtl/>
        </w:rPr>
      </w:pPr>
      <w:r w:rsidRPr="0025250D">
        <w:rPr>
          <w:rFonts w:hint="cs"/>
          <w:rtl/>
        </w:rPr>
        <w:t>هم ترجی</w:t>
      </w:r>
      <w:r w:rsidR="002A38BD" w:rsidRPr="0025250D">
        <w:rPr>
          <w:rFonts w:hint="cs"/>
          <w:rtl/>
        </w:rPr>
        <w:t>ح</w:t>
      </w:r>
      <w:r w:rsidRPr="0025250D">
        <w:rPr>
          <w:rFonts w:hint="cs"/>
          <w:rtl/>
        </w:rPr>
        <w:t xml:space="preserve">ات </w:t>
      </w:r>
      <w:r w:rsidR="002B6515" w:rsidRPr="0025250D">
        <w:rPr>
          <w:rtl/>
        </w:rPr>
        <w:t>حس‌داد</w:t>
      </w:r>
      <w:r w:rsidRPr="0025250D">
        <w:rPr>
          <w:rFonts w:hint="cs"/>
          <w:rtl/>
        </w:rPr>
        <w:t xml:space="preserve"> و هم </w:t>
      </w:r>
      <w:r w:rsidR="00CF59DF" w:rsidRPr="0025250D">
        <w:rPr>
          <w:rFonts w:hint="cs"/>
          <w:rtl/>
        </w:rPr>
        <w:t>جهت‌گیری</w:t>
      </w:r>
      <w:r w:rsidRPr="0025250D">
        <w:rPr>
          <w:rFonts w:hint="cs"/>
          <w:rtl/>
        </w:rPr>
        <w:t xml:space="preserve"> زمانی اغلب ما را به سمت تفکر درمورد آینده به چهار شکل بسیار مهم متمایل می‌سازند:</w:t>
      </w:r>
    </w:p>
    <w:p w14:paraId="28B51276" w14:textId="77777777" w:rsidR="00537CC8" w:rsidRPr="0025250D" w:rsidRDefault="00537CC8" w:rsidP="00537CC8">
      <w:pPr>
        <w:rPr>
          <w:rtl/>
        </w:rPr>
      </w:pPr>
      <w:r w:rsidRPr="0025250D">
        <w:rPr>
          <w:rFonts w:hint="cs"/>
          <w:rtl/>
        </w:rPr>
        <w:t>1. آینده‌های محتمل. توسط متفکرین گذشته و آینده گرا ترجیح داده می‌شوند.</w:t>
      </w:r>
    </w:p>
    <w:p w14:paraId="4591FA0E" w14:textId="77777777" w:rsidR="00537CC8" w:rsidRPr="0025250D" w:rsidRDefault="00537CC8" w:rsidP="00537CC8">
      <w:pPr>
        <w:rPr>
          <w:rtl/>
        </w:rPr>
      </w:pPr>
      <w:r w:rsidRPr="0025250D">
        <w:rPr>
          <w:rFonts w:hint="cs"/>
          <w:rtl/>
        </w:rPr>
        <w:t>2. آینده‌های ممکن. توسط متفکرین آینده گرا ترجیح داده می‌شوند.</w:t>
      </w:r>
    </w:p>
    <w:p w14:paraId="0C32C5FA" w14:textId="0287D813" w:rsidR="00537CC8" w:rsidRPr="0025250D" w:rsidRDefault="00537CC8" w:rsidP="00537CC8">
      <w:pPr>
        <w:rPr>
          <w:rtl/>
        </w:rPr>
      </w:pPr>
      <w:r w:rsidRPr="0025250D">
        <w:rPr>
          <w:rFonts w:hint="cs"/>
          <w:rtl/>
        </w:rPr>
        <w:t xml:space="preserve">3. آینده‌های مرجح. توسط خوش بینان </w:t>
      </w:r>
      <w:r w:rsidR="00701E03" w:rsidRPr="0025250D">
        <w:rPr>
          <w:rFonts w:hint="cs"/>
          <w:rtl/>
        </w:rPr>
        <w:t>راهبردی</w:t>
      </w:r>
      <w:r w:rsidRPr="0025250D">
        <w:rPr>
          <w:rFonts w:hint="cs"/>
          <w:rtl/>
        </w:rPr>
        <w:t xml:space="preserve"> ترجیح داده می‌شوند.</w:t>
      </w:r>
    </w:p>
    <w:p w14:paraId="12E1C7F6" w14:textId="77777777" w:rsidR="00537CC8" w:rsidRPr="0025250D" w:rsidRDefault="00537CC8" w:rsidP="00537CC8">
      <w:pPr>
        <w:rPr>
          <w:rtl/>
        </w:rPr>
      </w:pPr>
      <w:r w:rsidRPr="0025250D">
        <w:rPr>
          <w:rFonts w:hint="cs"/>
          <w:rtl/>
        </w:rPr>
        <w:t>4. آینده‌های قابل اجتناب. توسط بدبینان دفاعی ترجیح داده می‌شوند.</w:t>
      </w:r>
    </w:p>
    <w:p w14:paraId="7AC0EE6C" w14:textId="22900F6E" w:rsidR="00537CC8" w:rsidRPr="0025250D" w:rsidRDefault="00537CC8" w:rsidP="00537CC8">
      <w:pPr>
        <w:rPr>
          <w:rtl/>
        </w:rPr>
      </w:pPr>
      <w:r w:rsidRPr="0025250D">
        <w:rPr>
          <w:rFonts w:hint="cs"/>
          <w:rtl/>
        </w:rPr>
        <w:t xml:space="preserve">هر یک از این چهار </w:t>
      </w:r>
      <w:r w:rsidRPr="0025250D">
        <w:t>P</w:t>
      </w:r>
      <w:r w:rsidRPr="0025250D">
        <w:rPr>
          <w:rFonts w:hint="cs"/>
          <w:rtl/>
        </w:rPr>
        <w:t xml:space="preserve"> برای رهبری لازم هستند. آینده‌های محتمل و ممکن عمدتا توسط محیط ما کنترل می‌شوند (به ترتیب با فرایند‌های فیزیکی قابل </w:t>
      </w:r>
      <w:r w:rsidR="00D92F6E" w:rsidRPr="0025250D">
        <w:rPr>
          <w:rFonts w:hint="cs"/>
          <w:rtl/>
        </w:rPr>
        <w:t>پیش‌بین</w:t>
      </w:r>
      <w:r w:rsidRPr="0025250D">
        <w:rPr>
          <w:rFonts w:hint="cs"/>
          <w:rtl/>
        </w:rPr>
        <w:t xml:space="preserve">ی و وغیر قابل </w:t>
      </w:r>
      <w:r w:rsidR="00D92F6E" w:rsidRPr="0025250D">
        <w:rPr>
          <w:rFonts w:hint="cs"/>
          <w:rtl/>
        </w:rPr>
        <w:t>پیش‌بین</w:t>
      </w:r>
      <w:r w:rsidRPr="0025250D">
        <w:rPr>
          <w:rFonts w:hint="cs"/>
          <w:rtl/>
        </w:rPr>
        <w:t>ی). هر چه بهتر این موارد را ببینیم، بهتر می‌توانیم آینده‌های مرجح و قابل اجتناب را خلق کرده و به آن‌ها دست یابیم. این آینده‌ها عمدتا توسط ما کنترل می‌شوند.</w:t>
      </w:r>
    </w:p>
    <w:p w14:paraId="56879F11" w14:textId="7EA76BD1" w:rsidR="00537CC8" w:rsidRPr="0025250D" w:rsidRDefault="00A07BC9" w:rsidP="00494960">
      <w:pPr>
        <w:jc w:val="center"/>
        <w:rPr>
          <w:rtl/>
        </w:rPr>
      </w:pPr>
      <w:r w:rsidRPr="0025250D">
        <w:rPr>
          <w:noProof/>
        </w:rPr>
        <w:drawing>
          <wp:inline distT="0" distB="0" distL="0" distR="0" wp14:anchorId="49D8A225" wp14:editId="04758B30">
            <wp:extent cx="4074363" cy="3538330"/>
            <wp:effectExtent l="0" t="0" r="254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43" cstate="screen">
                      <a:extLst>
                        <a:ext uri="{28A0092B-C50C-407E-A947-70E740481C1C}">
                          <a14:useLocalDpi xmlns:a14="http://schemas.microsoft.com/office/drawing/2010/main"/>
                        </a:ext>
                      </a:extLst>
                    </a:blip>
                    <a:srcRect/>
                    <a:stretch>
                      <a:fillRect/>
                    </a:stretch>
                  </pic:blipFill>
                  <pic:spPr bwMode="auto">
                    <a:xfrm>
                      <a:off x="0" y="0"/>
                      <a:ext cx="4075828" cy="3539602"/>
                    </a:xfrm>
                    <a:prstGeom prst="rect">
                      <a:avLst/>
                    </a:prstGeom>
                    <a:noFill/>
                  </pic:spPr>
                </pic:pic>
              </a:graphicData>
            </a:graphic>
          </wp:inline>
        </w:drawing>
      </w:r>
    </w:p>
    <w:p w14:paraId="2BEE3681" w14:textId="3CB428A5" w:rsidR="00537CC8" w:rsidRPr="0025250D" w:rsidRDefault="007118DE" w:rsidP="00537CC8">
      <w:pPr>
        <w:rPr>
          <w:rtl/>
        </w:rPr>
      </w:pPr>
      <w:r w:rsidRPr="0025250D">
        <w:rPr>
          <w:rFonts w:hint="cs"/>
          <w:rtl/>
        </w:rPr>
        <w:t>همان‌طور</w:t>
      </w:r>
      <w:r w:rsidR="00537CC8" w:rsidRPr="0025250D">
        <w:rPr>
          <w:rFonts w:hint="cs"/>
          <w:rtl/>
        </w:rPr>
        <w:t xml:space="preserve"> که هرم چهار </w:t>
      </w:r>
      <w:r w:rsidR="00537CC8" w:rsidRPr="0025250D">
        <w:t>P</w:t>
      </w:r>
      <w:r w:rsidR="00537CC8" w:rsidRPr="0025250D">
        <w:rPr>
          <w:rFonts w:hint="cs"/>
          <w:rtl/>
        </w:rPr>
        <w:t xml:space="preserve"> در بالا نشان می‌دهد، تقابل </w:t>
      </w:r>
      <w:r w:rsidR="002B6515" w:rsidRPr="0025250D">
        <w:rPr>
          <w:rtl/>
        </w:rPr>
        <w:t>حس‌داد</w:t>
      </w:r>
      <w:r w:rsidR="00537CC8" w:rsidRPr="0025250D">
        <w:rPr>
          <w:rFonts w:hint="cs"/>
          <w:rtl/>
        </w:rPr>
        <w:t xml:space="preserve"> درمورد آینده‌های مثبت و منفی ارزشمند‌ترین فعالیت ماست (</w:t>
      </w:r>
      <w:r w:rsidR="002C61FC" w:rsidRPr="0025250D">
        <w:rPr>
          <w:rtl/>
        </w:rPr>
        <w:t>«</w:t>
      </w:r>
      <w:r w:rsidR="00537CC8" w:rsidRPr="0025250D">
        <w:rPr>
          <w:rFonts w:hint="cs"/>
          <w:rtl/>
        </w:rPr>
        <w:t>در رأس هرم</w:t>
      </w:r>
      <w:r w:rsidR="002C61FC" w:rsidRPr="0025250D">
        <w:rPr>
          <w:rtl/>
        </w:rPr>
        <w:t>»</w:t>
      </w:r>
      <w:r w:rsidR="00537CC8" w:rsidRPr="0025250D">
        <w:rPr>
          <w:rFonts w:hint="cs"/>
          <w:rtl/>
        </w:rPr>
        <w:t xml:space="preserve">). این چهار نوع </w:t>
      </w:r>
      <w:r w:rsidR="00B124DE" w:rsidRPr="0025250D">
        <w:rPr>
          <w:rFonts w:hint="cs"/>
          <w:rtl/>
        </w:rPr>
        <w:t>آینده‌اندیش</w:t>
      </w:r>
      <w:r w:rsidR="00537CC8" w:rsidRPr="0025250D">
        <w:rPr>
          <w:rFonts w:hint="cs"/>
          <w:rtl/>
        </w:rPr>
        <w:t xml:space="preserve">ی می‌توانند به سه مهارت </w:t>
      </w:r>
      <w:r w:rsidR="00537CC8" w:rsidRPr="0025250D">
        <w:t>AIS</w:t>
      </w:r>
      <w:r w:rsidR="00537CC8" w:rsidRPr="0025250D">
        <w:rPr>
          <w:rFonts w:hint="cs"/>
          <w:rtl/>
        </w:rPr>
        <w:t xml:space="preserve">، یعنی </w:t>
      </w:r>
      <w:r w:rsidR="00923DDB" w:rsidRPr="0025250D">
        <w:rPr>
          <w:rFonts w:hint="cs"/>
          <w:rtl/>
        </w:rPr>
        <w:t>پیش‌انگاری</w:t>
      </w:r>
      <w:r w:rsidR="00537CC8" w:rsidRPr="0025250D">
        <w:rPr>
          <w:rFonts w:hint="cs"/>
          <w:rtl/>
        </w:rPr>
        <w:t xml:space="preserve"> (تفکر در مورد موارد محتمل)، نوآوری (تفکر در مورد موارد ممکن) و </w:t>
      </w:r>
      <w:r w:rsidR="00701E03" w:rsidRPr="0025250D">
        <w:rPr>
          <w:rFonts w:hint="cs"/>
          <w:rtl/>
        </w:rPr>
        <w:t>راهبرد</w:t>
      </w:r>
      <w:r w:rsidR="00537CC8" w:rsidRPr="0025250D">
        <w:rPr>
          <w:rFonts w:hint="cs"/>
          <w:rtl/>
        </w:rPr>
        <w:t xml:space="preserve"> (تفکر در مورد موارد مرجح و قابل اجتناب) خلاصه شوند.</w:t>
      </w:r>
    </w:p>
    <w:p w14:paraId="6CADB8D8" w14:textId="4628ECCB" w:rsidR="00537CC8" w:rsidRPr="0025250D" w:rsidRDefault="00537CC8" w:rsidP="00537CC8">
      <w:pPr>
        <w:rPr>
          <w:rtl/>
        </w:rPr>
      </w:pPr>
      <w:r w:rsidRPr="0025250D">
        <w:rPr>
          <w:rFonts w:hint="cs"/>
          <w:rtl/>
        </w:rPr>
        <w:t xml:space="preserve">3ب) قدرت تیم خود در هر یک از این مهارت‌های </w:t>
      </w:r>
      <w:r w:rsidRPr="0025250D">
        <w:t>AIS</w:t>
      </w:r>
      <w:r w:rsidRPr="0025250D">
        <w:rPr>
          <w:rFonts w:hint="cs"/>
          <w:rtl/>
        </w:rPr>
        <w:t xml:space="preserve"> را چگونه رتبه بندی می‌کنید (1،2،3)؟ آیا هم تیمی‌هایی دارید که در هر یک از این مهارت‌ها در رتبه 1 باشند؟ آیا به نظر شما تیم شما از هر یک از این مهارت‌های </w:t>
      </w:r>
      <w:r w:rsidR="00B124DE" w:rsidRPr="0025250D">
        <w:rPr>
          <w:rFonts w:hint="cs"/>
          <w:rtl/>
        </w:rPr>
        <w:t>آینده‌اندیش</w:t>
      </w:r>
      <w:r w:rsidRPr="0025250D">
        <w:rPr>
          <w:rFonts w:hint="cs"/>
          <w:rtl/>
        </w:rPr>
        <w:t xml:space="preserve">ی به شکل مناسب استفاده می‌کند؟ اگر </w:t>
      </w:r>
      <w:r w:rsidR="0020589F" w:rsidRPr="0025250D">
        <w:rPr>
          <w:rtl/>
        </w:rPr>
        <w:t>نه</w:t>
      </w:r>
      <w:r w:rsidRPr="0025250D">
        <w:rPr>
          <w:rFonts w:hint="cs"/>
          <w:rtl/>
        </w:rPr>
        <w:t xml:space="preserve"> در کدام موارد می‌توانند بیش از همه بهبود یابند؟</w:t>
      </w:r>
    </w:p>
    <w:p w14:paraId="5F992955" w14:textId="270BCF89" w:rsidR="00537CC8" w:rsidRPr="0025250D" w:rsidRDefault="00537CC8" w:rsidP="00537CC8">
      <w:pPr>
        <w:rPr>
          <w:rtl/>
        </w:rPr>
      </w:pPr>
      <w:r w:rsidRPr="0025250D">
        <w:rPr>
          <w:rFonts w:hint="cs"/>
          <w:rtl/>
        </w:rPr>
        <w:t xml:space="preserve">تفکر </w:t>
      </w:r>
      <w:r w:rsidR="00923DDB" w:rsidRPr="0025250D">
        <w:rPr>
          <w:rFonts w:hint="cs"/>
          <w:rtl/>
        </w:rPr>
        <w:t>پیش‌انگاری</w:t>
      </w:r>
      <w:r w:rsidRPr="0025250D">
        <w:rPr>
          <w:rFonts w:hint="cs"/>
          <w:rtl/>
        </w:rPr>
        <w:t xml:space="preserve"> (حقایق، روندها، قیود) ----</w:t>
      </w:r>
    </w:p>
    <w:p w14:paraId="11D38D41" w14:textId="26648468" w:rsidR="00537CC8" w:rsidRPr="0025250D" w:rsidRDefault="00537CC8" w:rsidP="00537CC8">
      <w:pPr>
        <w:rPr>
          <w:rtl/>
        </w:rPr>
      </w:pPr>
      <w:r w:rsidRPr="0025250D">
        <w:rPr>
          <w:rFonts w:hint="cs"/>
          <w:rtl/>
        </w:rPr>
        <w:t xml:space="preserve">تفکر نوآوری (عدم قطعیت‌ها، نظرات، </w:t>
      </w:r>
      <w:r w:rsidR="00B56611" w:rsidRPr="0025250D">
        <w:rPr>
          <w:rFonts w:hint="cs"/>
          <w:rtl/>
        </w:rPr>
        <w:t>چشم‌انداز</w:t>
      </w:r>
      <w:r w:rsidRPr="0025250D">
        <w:rPr>
          <w:rFonts w:hint="cs"/>
          <w:rtl/>
        </w:rPr>
        <w:t>ها) ----</w:t>
      </w:r>
    </w:p>
    <w:p w14:paraId="7BDEB540" w14:textId="0C79F3C1" w:rsidR="00537CC8" w:rsidRPr="0025250D" w:rsidRDefault="00537CC8" w:rsidP="00537CC8">
      <w:pPr>
        <w:rPr>
          <w:rtl/>
        </w:rPr>
      </w:pPr>
      <w:r w:rsidRPr="0025250D">
        <w:rPr>
          <w:rFonts w:hint="cs"/>
          <w:rtl/>
        </w:rPr>
        <w:t xml:space="preserve">تفکر </w:t>
      </w:r>
      <w:r w:rsidR="00701E03" w:rsidRPr="0025250D">
        <w:rPr>
          <w:rFonts w:hint="cs"/>
          <w:rtl/>
        </w:rPr>
        <w:t>راهبرد</w:t>
      </w:r>
      <w:r w:rsidRPr="0025250D">
        <w:rPr>
          <w:rFonts w:hint="cs"/>
          <w:rtl/>
        </w:rPr>
        <w:t xml:space="preserve"> (اهداف، اولویت‌ها، تهدید‌ها، </w:t>
      </w:r>
      <w:r w:rsidR="008F0DD8" w:rsidRPr="0025250D">
        <w:rPr>
          <w:rFonts w:hint="cs"/>
          <w:rtl/>
        </w:rPr>
        <w:t>برنامه‌ها</w:t>
      </w:r>
      <w:r w:rsidRPr="0025250D">
        <w:rPr>
          <w:rFonts w:hint="cs"/>
          <w:rtl/>
        </w:rPr>
        <w:t>) ----</w:t>
      </w:r>
    </w:p>
    <w:p w14:paraId="29DC52C2" w14:textId="77777777" w:rsidR="00537CC8" w:rsidRPr="0025250D" w:rsidRDefault="00537CC8" w:rsidP="00537CC8">
      <w:pPr>
        <w:rPr>
          <w:rtl/>
        </w:rPr>
      </w:pPr>
    </w:p>
    <w:p w14:paraId="045FB5B8" w14:textId="77777777" w:rsidR="00537CC8" w:rsidRPr="0025250D" w:rsidRDefault="00537CC8" w:rsidP="00537CC8">
      <w:pPr>
        <w:rPr>
          <w:rtl/>
        </w:rPr>
      </w:pPr>
    </w:p>
    <w:p w14:paraId="66CB1421" w14:textId="77777777" w:rsidR="00537CC8" w:rsidRPr="0025250D" w:rsidRDefault="00537CC8" w:rsidP="00537CC8">
      <w:pPr>
        <w:rPr>
          <w:rtl/>
        </w:rPr>
      </w:pPr>
    </w:p>
    <w:p w14:paraId="17D03059" w14:textId="77777777" w:rsidR="00537CC8" w:rsidRPr="0025250D" w:rsidRDefault="00537CC8" w:rsidP="00537CC8">
      <w:pPr>
        <w:rPr>
          <w:rtl/>
        </w:rPr>
      </w:pPr>
    </w:p>
    <w:p w14:paraId="28DB9190" w14:textId="77777777" w:rsidR="00537CC8" w:rsidRPr="0025250D" w:rsidRDefault="00537CC8" w:rsidP="00537CC8">
      <w:pPr>
        <w:rPr>
          <w:rtl/>
        </w:rPr>
      </w:pPr>
    </w:p>
    <w:p w14:paraId="0A6C02E1" w14:textId="77777777" w:rsidR="00537CC8" w:rsidRPr="0025250D" w:rsidRDefault="00537CC8" w:rsidP="00537CC8">
      <w:pPr>
        <w:rPr>
          <w:rtl/>
        </w:rPr>
      </w:pPr>
    </w:p>
    <w:p w14:paraId="6CB722BD" w14:textId="77777777" w:rsidR="00537CC8" w:rsidRPr="0025250D" w:rsidRDefault="00537CC8" w:rsidP="00537CC8">
      <w:pPr>
        <w:rPr>
          <w:rtl/>
        </w:rPr>
      </w:pPr>
    </w:p>
    <w:p w14:paraId="48BCA4EB" w14:textId="77777777" w:rsidR="00537CC8" w:rsidRPr="0025250D" w:rsidRDefault="00537CC8" w:rsidP="00537CC8">
      <w:pPr>
        <w:rPr>
          <w:rtl/>
        </w:rPr>
      </w:pPr>
    </w:p>
    <w:p w14:paraId="080FB9BF" w14:textId="77777777" w:rsidR="00537CC8" w:rsidRPr="0025250D" w:rsidRDefault="00537CC8" w:rsidP="00537CC8">
      <w:pPr>
        <w:rPr>
          <w:rtl/>
        </w:rPr>
      </w:pPr>
    </w:p>
    <w:p w14:paraId="5E5576DA" w14:textId="77777777" w:rsidR="00537CC8" w:rsidRPr="0025250D" w:rsidRDefault="00537CC8" w:rsidP="00537CC8">
      <w:pPr>
        <w:rPr>
          <w:rtl/>
        </w:rPr>
      </w:pPr>
    </w:p>
    <w:p w14:paraId="0FBD7851" w14:textId="77777777" w:rsidR="00537CC8" w:rsidRPr="0025250D" w:rsidRDefault="00537CC8" w:rsidP="00537CC8">
      <w:pPr>
        <w:rPr>
          <w:rtl/>
        </w:rPr>
      </w:pPr>
    </w:p>
    <w:p w14:paraId="72BD7D36" w14:textId="77777777" w:rsidR="00537CC8" w:rsidRPr="0025250D" w:rsidRDefault="00537CC8" w:rsidP="00537CC8">
      <w:pPr>
        <w:rPr>
          <w:rtl/>
        </w:rPr>
      </w:pPr>
    </w:p>
    <w:p w14:paraId="1AB0DF46" w14:textId="77777777" w:rsidR="00537CC8" w:rsidRPr="0025250D" w:rsidRDefault="00537CC8" w:rsidP="00494960">
      <w:pPr>
        <w:pStyle w:val="Heading2"/>
        <w:rPr>
          <w:rtl/>
        </w:rPr>
      </w:pPr>
      <w:bookmarkStart w:id="81" w:name="_Toc127831346"/>
      <w:r w:rsidRPr="0025250D">
        <w:rPr>
          <w:rFonts w:hint="cs"/>
          <w:rtl/>
        </w:rPr>
        <w:t xml:space="preserve">حلقه انجام (چرخه </w:t>
      </w:r>
      <w:r w:rsidRPr="0025250D">
        <w:rPr>
          <w:rtl/>
        </w:rPr>
        <w:t>آینده‌نگاری</w:t>
      </w:r>
      <w:r w:rsidRPr="0025250D">
        <w:rPr>
          <w:rFonts w:hint="cs"/>
          <w:rtl/>
        </w:rPr>
        <w:t>-عمل)</w:t>
      </w:r>
      <w:bookmarkEnd w:id="81"/>
    </w:p>
    <w:p w14:paraId="0E723A6D" w14:textId="0AD79A07" w:rsidR="00537CC8" w:rsidRPr="0025250D" w:rsidRDefault="00537CC8" w:rsidP="00537CC8">
      <w:pPr>
        <w:rPr>
          <w:rtl/>
        </w:rPr>
      </w:pPr>
      <w:r w:rsidRPr="0025250D">
        <w:rPr>
          <w:rFonts w:hint="cs"/>
          <w:rtl/>
        </w:rPr>
        <w:t xml:space="preserve">همه ما از یک چرخه (حلقه ی) چهار مرحله ای، برای بقا استفاده می‌کنیم. علم شناخت آن را چرخه </w:t>
      </w:r>
      <w:r w:rsidR="002C61FC" w:rsidRPr="0025250D">
        <w:rPr>
          <w:rtl/>
        </w:rPr>
        <w:t>«</w:t>
      </w:r>
      <w:r w:rsidRPr="0025250D">
        <w:rPr>
          <w:rFonts w:hint="cs"/>
          <w:rtl/>
        </w:rPr>
        <w:t>درک-عمل</w:t>
      </w:r>
      <w:r w:rsidR="002C61FC" w:rsidRPr="0025250D">
        <w:rPr>
          <w:rtl/>
        </w:rPr>
        <w:t>»</w:t>
      </w:r>
      <w:r w:rsidRPr="0025250D">
        <w:rPr>
          <w:rFonts w:hint="cs"/>
          <w:rtl/>
        </w:rPr>
        <w:t xml:space="preserve"> یا </w:t>
      </w:r>
      <w:r w:rsidR="002C61FC" w:rsidRPr="0025250D">
        <w:rPr>
          <w:rtl/>
        </w:rPr>
        <w:t>«</w:t>
      </w:r>
      <w:r w:rsidRPr="0025250D">
        <w:rPr>
          <w:rtl/>
        </w:rPr>
        <w:t>آینده‌نگاری</w:t>
      </w:r>
      <w:r w:rsidRPr="0025250D">
        <w:rPr>
          <w:rFonts w:hint="cs"/>
          <w:rtl/>
        </w:rPr>
        <w:t>-عمل</w:t>
      </w:r>
      <w:r w:rsidR="002C61FC" w:rsidRPr="0025250D">
        <w:rPr>
          <w:rtl/>
        </w:rPr>
        <w:t>»</w:t>
      </w:r>
      <w:r w:rsidRPr="0025250D">
        <w:rPr>
          <w:rFonts w:hint="cs"/>
          <w:rtl/>
        </w:rPr>
        <w:t xml:space="preserve"> می‌نامد.</w:t>
      </w:r>
      <w:r w:rsidR="0020589F" w:rsidRPr="0025250D">
        <w:rPr>
          <w:vertAlign w:val="superscript"/>
          <w:rtl/>
        </w:rPr>
        <w:t xml:space="preserve"> (</w:t>
      </w:r>
      <w:r w:rsidRPr="0025250D">
        <w:rPr>
          <w:rFonts w:hint="cs"/>
          <w:vertAlign w:val="superscript"/>
          <w:rtl/>
        </w:rPr>
        <w:t>13)</w:t>
      </w:r>
      <w:r w:rsidRPr="0025250D">
        <w:rPr>
          <w:rFonts w:hint="cs"/>
          <w:rtl/>
        </w:rPr>
        <w:t xml:space="preserve"> ما از این حلقه هم به صورت ناخود آگاه و هم به صورت آگاهانه در طول روز برای ایجاد شایستگی‌ها استفاده می‌کنیم. ما آن را </w:t>
      </w:r>
      <w:r w:rsidR="002C61FC" w:rsidRPr="0025250D">
        <w:rPr>
          <w:rtl/>
        </w:rPr>
        <w:t>«</w:t>
      </w:r>
      <w:r w:rsidRPr="0025250D">
        <w:rPr>
          <w:rFonts w:hint="cs"/>
          <w:rtl/>
        </w:rPr>
        <w:t>حلقه انجام</w:t>
      </w:r>
      <w:r w:rsidR="002C61FC" w:rsidRPr="0025250D">
        <w:rPr>
          <w:rtl/>
        </w:rPr>
        <w:t>»</w:t>
      </w:r>
      <w:r w:rsidRPr="0025250D">
        <w:rPr>
          <w:rFonts w:hint="cs"/>
          <w:rtl/>
        </w:rPr>
        <w:t xml:space="preserve"> می‌نامیم.</w:t>
      </w:r>
    </w:p>
    <w:p w14:paraId="4F3831B3" w14:textId="26A767A5" w:rsidR="00537CC8" w:rsidRPr="0025250D" w:rsidRDefault="00537CC8" w:rsidP="00537CC8">
      <w:pPr>
        <w:rPr>
          <w:rtl/>
        </w:rPr>
      </w:pPr>
      <w:r w:rsidRPr="0025250D">
        <w:rPr>
          <w:rFonts w:hint="cs"/>
          <w:rtl/>
        </w:rPr>
        <w:t xml:space="preserve">در این جا این چهار مرحله بیان </w:t>
      </w:r>
      <w:r w:rsidR="00185F3E" w:rsidRPr="0025250D">
        <w:rPr>
          <w:rFonts w:hint="cs"/>
          <w:rtl/>
        </w:rPr>
        <w:t>شده‌اند</w:t>
      </w:r>
      <w:r w:rsidRPr="0025250D">
        <w:rPr>
          <w:rFonts w:hint="cs"/>
          <w:rtl/>
        </w:rPr>
        <w:t xml:space="preserve">: 1. یادگیری </w:t>
      </w:r>
      <w:r w:rsidRPr="0025250D">
        <w:rPr>
          <w:rFonts w:cs="Times New Roman" w:hint="cs"/>
          <w:rtl/>
        </w:rPr>
        <w:t>–</w:t>
      </w:r>
      <w:r w:rsidRPr="0025250D">
        <w:rPr>
          <w:rFonts w:hint="cs"/>
          <w:rtl/>
        </w:rPr>
        <w:t xml:space="preserve"> گذشته و حال 2. </w:t>
      </w:r>
      <w:r w:rsidRPr="0025250D">
        <w:rPr>
          <w:rtl/>
        </w:rPr>
        <w:t>آینده‌نگاری</w:t>
      </w:r>
      <w:r w:rsidRPr="0025250D">
        <w:rPr>
          <w:rFonts w:hint="cs"/>
          <w:rtl/>
        </w:rPr>
        <w:t xml:space="preserve">- </w:t>
      </w:r>
      <w:r w:rsidR="00923DDB" w:rsidRPr="0025250D">
        <w:rPr>
          <w:rFonts w:hint="cs"/>
          <w:rtl/>
        </w:rPr>
        <w:t>پیش‌انگاری</w:t>
      </w:r>
      <w:r w:rsidRPr="0025250D">
        <w:rPr>
          <w:rFonts w:hint="cs"/>
          <w:rtl/>
        </w:rPr>
        <w:t xml:space="preserve">، نوآوری، </w:t>
      </w:r>
      <w:r w:rsidR="00701E03" w:rsidRPr="0025250D">
        <w:rPr>
          <w:rFonts w:hint="cs"/>
          <w:rtl/>
        </w:rPr>
        <w:t>راهبرد</w:t>
      </w:r>
      <w:r w:rsidRPr="0025250D">
        <w:rPr>
          <w:rFonts w:hint="cs"/>
          <w:rtl/>
        </w:rPr>
        <w:t xml:space="preserve"> 3. عمل </w:t>
      </w:r>
      <w:r w:rsidRPr="0025250D">
        <w:rPr>
          <w:rFonts w:cs="Times New Roman" w:hint="cs"/>
          <w:rtl/>
        </w:rPr>
        <w:t>–</w:t>
      </w:r>
      <w:r w:rsidRPr="0025250D">
        <w:rPr>
          <w:rFonts w:hint="cs"/>
          <w:rtl/>
        </w:rPr>
        <w:t xml:space="preserve"> اجرا، </w:t>
      </w:r>
      <w:r w:rsidR="0008779C" w:rsidRPr="0025250D">
        <w:rPr>
          <w:rFonts w:hint="cs"/>
          <w:rtl/>
        </w:rPr>
        <w:t>تاثیرگذاری</w:t>
      </w:r>
      <w:r w:rsidRPr="0025250D">
        <w:rPr>
          <w:rFonts w:hint="cs"/>
          <w:rtl/>
        </w:rPr>
        <w:t xml:space="preserve">، </w:t>
      </w:r>
      <w:r w:rsidR="0008779C" w:rsidRPr="0025250D">
        <w:rPr>
          <w:rFonts w:hint="cs"/>
          <w:rtl/>
        </w:rPr>
        <w:t>ارتباط‌دهی</w:t>
      </w:r>
      <w:r w:rsidRPr="0025250D">
        <w:rPr>
          <w:rFonts w:hint="cs"/>
          <w:rtl/>
        </w:rPr>
        <w:t xml:space="preserve"> 4. بازبینی </w:t>
      </w:r>
      <w:r w:rsidRPr="0025250D">
        <w:rPr>
          <w:rFonts w:cs="Times New Roman" w:hint="cs"/>
          <w:rtl/>
        </w:rPr>
        <w:t>–</w:t>
      </w:r>
      <w:r w:rsidRPr="0025250D">
        <w:rPr>
          <w:rFonts w:hint="cs"/>
          <w:rtl/>
        </w:rPr>
        <w:t xml:space="preserve"> بازخورد گرفتن.</w:t>
      </w:r>
    </w:p>
    <w:p w14:paraId="39D79285" w14:textId="2B73E20A" w:rsidR="00537CC8" w:rsidRPr="0025250D" w:rsidRDefault="00A07BC9" w:rsidP="001B6206">
      <w:pPr>
        <w:jc w:val="center"/>
        <w:rPr>
          <w:rtl/>
        </w:rPr>
      </w:pPr>
      <w:r w:rsidRPr="0025250D">
        <w:rPr>
          <w:noProof/>
        </w:rPr>
        <w:drawing>
          <wp:inline distT="0" distB="0" distL="0" distR="0" wp14:anchorId="1913F722" wp14:editId="019F7BE6">
            <wp:extent cx="5732890" cy="3634959"/>
            <wp:effectExtent l="0" t="0" r="127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5745308" cy="3642832"/>
                    </a:xfrm>
                    <a:prstGeom prst="rect">
                      <a:avLst/>
                    </a:prstGeom>
                    <a:noFill/>
                  </pic:spPr>
                </pic:pic>
              </a:graphicData>
            </a:graphic>
          </wp:inline>
        </w:drawing>
      </w:r>
    </w:p>
    <w:p w14:paraId="1E1CC0C6" w14:textId="66E90498" w:rsidR="00537CC8" w:rsidRPr="0025250D" w:rsidRDefault="00537CC8" w:rsidP="00537CC8">
      <w:pPr>
        <w:rPr>
          <w:rtl/>
        </w:rPr>
      </w:pPr>
      <w:r w:rsidRPr="0025250D">
        <w:rPr>
          <w:rFonts w:hint="cs"/>
          <w:rtl/>
        </w:rPr>
        <w:t>هر بار که یک حلقه ذهنی (</w:t>
      </w:r>
      <w:r w:rsidRPr="0025250D">
        <w:rPr>
          <w:rtl/>
        </w:rPr>
        <w:t>آینده‌نگاری</w:t>
      </w:r>
      <w:r w:rsidRPr="0025250D">
        <w:rPr>
          <w:rFonts w:hint="cs"/>
          <w:rtl/>
        </w:rPr>
        <w:t xml:space="preserve">) و فیزیکی (عمل) را با بازخورد خوب (بازبینی) کامل می‌کنیم، فرصتی برای رشد شایستگی و </w:t>
      </w:r>
      <w:r w:rsidR="00B124DE" w:rsidRPr="0025250D">
        <w:rPr>
          <w:rFonts w:hint="cs"/>
          <w:rtl/>
        </w:rPr>
        <w:t>انطباق‌پذیر</w:t>
      </w:r>
      <w:r w:rsidRPr="0025250D">
        <w:rPr>
          <w:rFonts w:hint="cs"/>
          <w:rtl/>
        </w:rPr>
        <w:t>ی خود داریم.</w:t>
      </w:r>
    </w:p>
    <w:p w14:paraId="501C3835" w14:textId="77777777" w:rsidR="00537CC8" w:rsidRPr="0025250D" w:rsidRDefault="00537CC8" w:rsidP="00537CC8">
      <w:pPr>
        <w:rPr>
          <w:rtl/>
        </w:rPr>
      </w:pPr>
      <w:r w:rsidRPr="0025250D">
        <w:rPr>
          <w:rFonts w:hint="cs"/>
          <w:rtl/>
        </w:rPr>
        <w:t>4الف) آیا شما یا تیمتان تمایل به استفاده کم‌تر از حد لازم، بیش از حد لازم یا استفاده نامناسبی از هر یک از این گام‌ها در بافت خاصی دارید؟ به تیمتان در هر یک از این چهار گام (از 1 تا 4) چه امتیازی می‌دهید؟</w:t>
      </w:r>
    </w:p>
    <w:p w14:paraId="65A51FA5" w14:textId="77777777" w:rsidR="00537CC8" w:rsidRPr="0025250D" w:rsidRDefault="00537CC8" w:rsidP="00537CC8">
      <w:pPr>
        <w:rPr>
          <w:rtl/>
        </w:rPr>
      </w:pPr>
      <w:r w:rsidRPr="0025250D">
        <w:rPr>
          <w:rFonts w:hint="cs"/>
          <w:rtl/>
        </w:rPr>
        <w:t>گام یادگیری ---- گام عمل ----</w:t>
      </w:r>
    </w:p>
    <w:p w14:paraId="0ABBE758" w14:textId="77777777" w:rsidR="00537CC8" w:rsidRPr="0025250D" w:rsidRDefault="00537CC8" w:rsidP="00537CC8">
      <w:pPr>
        <w:rPr>
          <w:b/>
          <w:bCs/>
          <w:rtl/>
        </w:rPr>
      </w:pPr>
      <w:r w:rsidRPr="0025250D">
        <w:rPr>
          <w:rFonts w:hint="cs"/>
          <w:rtl/>
        </w:rPr>
        <w:t xml:space="preserve">گام </w:t>
      </w:r>
      <w:r w:rsidRPr="0025250D">
        <w:rPr>
          <w:rtl/>
        </w:rPr>
        <w:t>آینده‌نگاری</w:t>
      </w:r>
      <w:r w:rsidRPr="0025250D">
        <w:rPr>
          <w:rFonts w:hint="cs"/>
          <w:rtl/>
        </w:rPr>
        <w:t xml:space="preserve"> ---- گام بازبینی ----</w:t>
      </w:r>
    </w:p>
    <w:p w14:paraId="65A6CBBF" w14:textId="77777777" w:rsidR="00537CC8" w:rsidRPr="0025250D" w:rsidRDefault="00537CC8" w:rsidP="00537CC8">
      <w:pPr>
        <w:rPr>
          <w:rtl/>
        </w:rPr>
      </w:pPr>
      <w:r w:rsidRPr="0025250D">
        <w:rPr>
          <w:rFonts w:hint="cs"/>
          <w:rtl/>
        </w:rPr>
        <w:t>لطفا مثالی از چالشی که در ارتباط با این حلقه با آن مواجه هستید، ارائه نمایید:</w:t>
      </w:r>
    </w:p>
    <w:p w14:paraId="4AE341BE" w14:textId="77BB1E1F" w:rsidR="00537CC8" w:rsidRPr="0025250D" w:rsidRDefault="00537CC8" w:rsidP="00537CC8">
      <w:pPr>
        <w:rPr>
          <w:b/>
          <w:bCs/>
          <w:rtl/>
        </w:rPr>
      </w:pPr>
      <w:r w:rsidRPr="0025250D">
        <w:rPr>
          <w:rFonts w:hint="cs"/>
          <w:b/>
          <w:bCs/>
          <w:rtl/>
        </w:rPr>
        <w:t xml:space="preserve">حلقه </w:t>
      </w:r>
      <w:r w:rsidRPr="0025250D">
        <w:rPr>
          <w:b/>
          <w:bCs/>
        </w:rPr>
        <w:t>OODA</w:t>
      </w:r>
    </w:p>
    <w:p w14:paraId="0B5DEA52" w14:textId="4687E3BD" w:rsidR="00537CC8" w:rsidRPr="0025250D" w:rsidRDefault="00537CC8" w:rsidP="00537CC8">
      <w:pPr>
        <w:rPr>
          <w:vertAlign w:val="superscript"/>
          <w:rtl/>
        </w:rPr>
      </w:pPr>
      <w:r w:rsidRPr="0025250D">
        <w:rPr>
          <w:rFonts w:hint="cs"/>
          <w:rtl/>
        </w:rPr>
        <w:t xml:space="preserve">در شرایط پاسخ دهی سریع، کلنل نیروی هوایی </w:t>
      </w:r>
      <w:r w:rsidRPr="0025250D">
        <w:rPr>
          <w:rtl/>
        </w:rPr>
        <w:t>جان بو</w:t>
      </w:r>
      <w:r w:rsidRPr="0025250D">
        <w:rPr>
          <w:rFonts w:hint="cs"/>
          <w:rtl/>
        </w:rPr>
        <w:t>ی</w:t>
      </w:r>
      <w:r w:rsidRPr="0025250D">
        <w:rPr>
          <w:rFonts w:hint="eastAsia"/>
          <w:rtl/>
        </w:rPr>
        <w:t>د</w:t>
      </w:r>
      <w:r w:rsidRPr="0025250D">
        <w:rPr>
          <w:rFonts w:hint="cs"/>
          <w:rtl/>
        </w:rPr>
        <w:t xml:space="preserve"> این حلقه را حلقه </w:t>
      </w:r>
      <w:r w:rsidRPr="0025250D">
        <w:t>OODA</w:t>
      </w:r>
      <w:r w:rsidRPr="0025250D">
        <w:rPr>
          <w:rFonts w:hint="cs"/>
          <w:rtl/>
        </w:rPr>
        <w:t xml:space="preserve"> (مشاهده=بازبینی؛ </w:t>
      </w:r>
      <w:r w:rsidR="00CF59DF" w:rsidRPr="0025250D">
        <w:rPr>
          <w:rFonts w:hint="cs"/>
          <w:rtl/>
        </w:rPr>
        <w:t>جهت‌گیری</w:t>
      </w:r>
      <w:r w:rsidRPr="0025250D">
        <w:rPr>
          <w:rFonts w:hint="cs"/>
          <w:rtl/>
        </w:rPr>
        <w:t xml:space="preserve">=یادگیری؛ </w:t>
      </w:r>
      <w:r w:rsidR="0008779C" w:rsidRPr="0025250D">
        <w:rPr>
          <w:rFonts w:hint="cs"/>
          <w:rtl/>
        </w:rPr>
        <w:t>تصمیم‌گیری</w:t>
      </w:r>
      <w:r w:rsidRPr="0025250D">
        <w:rPr>
          <w:rFonts w:hint="cs"/>
          <w:rtl/>
        </w:rPr>
        <w:t>=</w:t>
      </w:r>
      <w:r w:rsidRPr="0025250D">
        <w:rPr>
          <w:rtl/>
        </w:rPr>
        <w:t>آینده‌نگاری</w:t>
      </w:r>
      <w:r w:rsidRPr="0025250D">
        <w:rPr>
          <w:rFonts w:hint="cs"/>
          <w:rtl/>
        </w:rPr>
        <w:t>؛ اقدام=عمل</w:t>
      </w:r>
      <w:r w:rsidRPr="0025250D">
        <w:rPr>
          <w:vertAlign w:val="superscript"/>
          <w:rtl/>
        </w:rPr>
        <w:footnoteReference w:id="3046"/>
      </w:r>
      <w:r w:rsidRPr="0025250D">
        <w:rPr>
          <w:rFonts w:hint="cs"/>
          <w:rtl/>
        </w:rPr>
        <w:t xml:space="preserve">) نامید. حلقه </w:t>
      </w:r>
      <w:r w:rsidRPr="0025250D">
        <w:t>OODA</w:t>
      </w:r>
      <w:r w:rsidRPr="0025250D">
        <w:rPr>
          <w:rFonts w:hint="cs"/>
          <w:rtl/>
        </w:rPr>
        <w:t xml:space="preserve"> برای تسلط رقابتی و بقا در یک محیط تهدید آمیز ضروری است. </w:t>
      </w:r>
      <w:r w:rsidR="002A38BD" w:rsidRPr="0025250D">
        <w:rPr>
          <w:rFonts w:hint="cs"/>
          <w:rtl/>
        </w:rPr>
        <w:t>بوید</w:t>
      </w:r>
      <w:r w:rsidRPr="0025250D">
        <w:rPr>
          <w:rFonts w:hint="cs"/>
          <w:rtl/>
        </w:rPr>
        <w:t xml:space="preserve"> بیان کرد که تعداد تکرار، قدرت و کیفیت ("</w:t>
      </w:r>
      <w:r w:rsidRPr="0025250D">
        <w:t>FSQ</w:t>
      </w:r>
      <w:r w:rsidRPr="0025250D">
        <w:rPr>
          <w:rFonts w:hint="cs"/>
          <w:rtl/>
        </w:rPr>
        <w:t xml:space="preserve">") این حلقه عوامل کلیدی تعیین کننده عملکرد آن هستند. </w:t>
      </w:r>
      <w:r w:rsidRPr="0025250D">
        <w:rPr>
          <w:rFonts w:hint="cs"/>
          <w:vertAlign w:val="superscript"/>
          <w:rtl/>
        </w:rPr>
        <w:t>(14، 15)</w:t>
      </w:r>
    </w:p>
    <w:p w14:paraId="2CF30C87" w14:textId="2FAD4160" w:rsidR="00537CC8" w:rsidRPr="0025250D" w:rsidRDefault="00537CC8" w:rsidP="00537CC8">
      <w:pPr>
        <w:rPr>
          <w:rtl/>
        </w:rPr>
      </w:pPr>
      <w:r w:rsidRPr="0025250D">
        <w:rPr>
          <w:rFonts w:hint="cs"/>
          <w:rtl/>
        </w:rPr>
        <w:t xml:space="preserve">4ب) آیا پیش از این چیزی از حلقه </w:t>
      </w:r>
      <w:r w:rsidRPr="0025250D">
        <w:t>OODA</w:t>
      </w:r>
      <w:r w:rsidRPr="0025250D">
        <w:rPr>
          <w:rFonts w:hint="cs"/>
          <w:rtl/>
        </w:rPr>
        <w:t xml:space="preserve"> شنیده اید؟ در چه بافت هایی؟ چه </w:t>
      </w:r>
      <w:r w:rsidR="00701E03" w:rsidRPr="0025250D">
        <w:rPr>
          <w:rFonts w:hint="cs"/>
          <w:rtl/>
        </w:rPr>
        <w:t>راهبرد</w:t>
      </w:r>
      <w:r w:rsidRPr="0025250D">
        <w:rPr>
          <w:rFonts w:hint="cs"/>
          <w:rtl/>
        </w:rPr>
        <w:t xml:space="preserve">‌هایی را ممکن است در تیم خو برای بهبود </w:t>
      </w:r>
      <w:r w:rsidRPr="0025250D">
        <w:t>FSQ</w:t>
      </w:r>
      <w:r w:rsidRPr="0025250D">
        <w:rPr>
          <w:rFonts w:hint="cs"/>
          <w:rtl/>
        </w:rPr>
        <w:t xml:space="preserve"> حلقه‌های </w:t>
      </w:r>
      <w:r w:rsidR="00D92F6E" w:rsidRPr="0025250D">
        <w:rPr>
          <w:rFonts w:hint="cs"/>
          <w:rtl/>
        </w:rPr>
        <w:t>آینده‌نگاری</w:t>
      </w:r>
      <w:r w:rsidRPr="0025250D">
        <w:rPr>
          <w:rFonts w:hint="cs"/>
          <w:rtl/>
        </w:rPr>
        <w:t xml:space="preserve">-عمل مهم آن به کار بگیرید؟ در چه افق‌های زمانی (دقایق، ساعات، روزها، هفته‌ها، ماه ها) در حال حاضر حلقه‌های کلیدی تیم خود را بازبینی می‌کنید؟ چگونه می‌توانید </w:t>
      </w:r>
      <w:r w:rsidRPr="0025250D">
        <w:t>FSQ</w:t>
      </w:r>
      <w:r w:rsidRPr="0025250D">
        <w:rPr>
          <w:rFonts w:hint="cs"/>
          <w:rtl/>
        </w:rPr>
        <w:t xml:space="preserve"> حلقه تیم خود را بهبود ببخشید؟</w:t>
      </w:r>
    </w:p>
    <w:p w14:paraId="03346E7D" w14:textId="77777777" w:rsidR="00537CC8" w:rsidRPr="0025250D" w:rsidRDefault="00537CC8" w:rsidP="00537CC8">
      <w:pPr>
        <w:rPr>
          <w:rtl/>
        </w:rPr>
      </w:pPr>
    </w:p>
    <w:p w14:paraId="0D7F63EA" w14:textId="77777777" w:rsidR="00537CC8" w:rsidRPr="0025250D" w:rsidRDefault="00537CC8" w:rsidP="00537CC8">
      <w:pPr>
        <w:rPr>
          <w:rtl/>
        </w:rPr>
      </w:pPr>
    </w:p>
    <w:p w14:paraId="6B28CBD1" w14:textId="77777777" w:rsidR="00537CC8" w:rsidRPr="0025250D" w:rsidRDefault="00537CC8" w:rsidP="00537CC8">
      <w:pPr>
        <w:rPr>
          <w:rtl/>
        </w:rPr>
      </w:pPr>
    </w:p>
    <w:p w14:paraId="17201088" w14:textId="77777777" w:rsidR="00537CC8" w:rsidRPr="0025250D" w:rsidRDefault="00537CC8" w:rsidP="00537CC8">
      <w:pPr>
        <w:rPr>
          <w:rtl/>
        </w:rPr>
      </w:pPr>
    </w:p>
    <w:p w14:paraId="4426F1C5" w14:textId="77777777" w:rsidR="00537CC8" w:rsidRPr="0025250D" w:rsidRDefault="00537CC8" w:rsidP="00537CC8">
      <w:pPr>
        <w:rPr>
          <w:rtl/>
        </w:rPr>
      </w:pPr>
    </w:p>
    <w:p w14:paraId="2515ED88" w14:textId="77777777" w:rsidR="00537CC8" w:rsidRPr="0025250D" w:rsidRDefault="00537CC8" w:rsidP="00537CC8">
      <w:pPr>
        <w:rPr>
          <w:rtl/>
        </w:rPr>
      </w:pPr>
    </w:p>
    <w:p w14:paraId="55464183" w14:textId="77777777" w:rsidR="00537CC8" w:rsidRPr="0025250D" w:rsidRDefault="00537CC8" w:rsidP="00537CC8">
      <w:pPr>
        <w:rPr>
          <w:rtl/>
        </w:rPr>
      </w:pPr>
    </w:p>
    <w:p w14:paraId="034C26E5" w14:textId="77777777" w:rsidR="00537CC8" w:rsidRPr="0025250D" w:rsidRDefault="00537CC8" w:rsidP="00537CC8">
      <w:pPr>
        <w:rPr>
          <w:rtl/>
        </w:rPr>
      </w:pPr>
    </w:p>
    <w:p w14:paraId="1B7CCCAD" w14:textId="77777777" w:rsidR="00537CC8" w:rsidRPr="0025250D" w:rsidRDefault="00537CC8" w:rsidP="00537CC8">
      <w:pPr>
        <w:rPr>
          <w:rtl/>
        </w:rPr>
      </w:pPr>
    </w:p>
    <w:p w14:paraId="1DC4C625" w14:textId="77777777" w:rsidR="00537CC8" w:rsidRPr="0025250D" w:rsidRDefault="00537CC8" w:rsidP="00537CC8">
      <w:pPr>
        <w:rPr>
          <w:rtl/>
        </w:rPr>
      </w:pPr>
    </w:p>
    <w:p w14:paraId="20F233E3" w14:textId="77777777" w:rsidR="00537CC8" w:rsidRPr="0025250D" w:rsidRDefault="00537CC8" w:rsidP="00537CC8">
      <w:pPr>
        <w:rPr>
          <w:rtl/>
        </w:rPr>
      </w:pPr>
    </w:p>
    <w:p w14:paraId="56F83174" w14:textId="77777777" w:rsidR="00537CC8" w:rsidRPr="0025250D" w:rsidRDefault="00537CC8" w:rsidP="00494960">
      <w:pPr>
        <w:pStyle w:val="Heading2"/>
        <w:rPr>
          <w:rtl/>
        </w:rPr>
      </w:pPr>
      <w:bookmarkStart w:id="82" w:name="_Toc127831347"/>
      <w:r w:rsidRPr="0025250D">
        <w:rPr>
          <w:rFonts w:hint="cs"/>
          <w:rtl/>
        </w:rPr>
        <w:t>هشت مهارت تیم‌های مؤثر</w:t>
      </w:r>
      <w:bookmarkEnd w:id="82"/>
    </w:p>
    <w:p w14:paraId="0A8E2395" w14:textId="7B71C6A8" w:rsidR="00537CC8" w:rsidRPr="0025250D" w:rsidRDefault="00537CC8" w:rsidP="00537CC8">
      <w:pPr>
        <w:rPr>
          <w:rtl/>
        </w:rPr>
      </w:pPr>
      <w:r w:rsidRPr="0025250D">
        <w:rPr>
          <w:rFonts w:hint="cs"/>
          <w:rtl/>
        </w:rPr>
        <w:t xml:space="preserve">وقتی با دیگران کار می‌کنیم، حلقه‌های انجام ما به هشت مهارت </w:t>
      </w:r>
      <w:r w:rsidRPr="0025250D">
        <w:rPr>
          <w:rtl/>
        </w:rPr>
        <w:t>آینده‌نگاری</w:t>
      </w:r>
      <w:r w:rsidRPr="0025250D">
        <w:rPr>
          <w:rFonts w:hint="cs"/>
          <w:rtl/>
        </w:rPr>
        <w:t xml:space="preserve"> و عملی تیمی گسترش می‌یابد. چهار مورد اول مهارت‌های </w:t>
      </w:r>
      <w:r w:rsidRPr="0025250D">
        <w:rPr>
          <w:rtl/>
        </w:rPr>
        <w:t>آینده‌نگاری</w:t>
      </w:r>
      <w:r w:rsidRPr="0025250D">
        <w:rPr>
          <w:rFonts w:hint="cs"/>
          <w:rtl/>
        </w:rPr>
        <w:t xml:space="preserve"> و چهار مورد آخر مهارت‌های عملی هستند. تصویر زیر نشان می‌دهد که چهار مهارت </w:t>
      </w:r>
      <w:r w:rsidRPr="0025250D">
        <w:rPr>
          <w:rtl/>
        </w:rPr>
        <w:t>آینده‌نگاری</w:t>
      </w:r>
      <w:r w:rsidRPr="0025250D">
        <w:rPr>
          <w:rFonts w:hint="cs"/>
          <w:rtl/>
        </w:rPr>
        <w:t xml:space="preserve"> از تفکر واگرا و همگرای متناوب استفاده می‌کنند. چهار مهارت عملی از تفکر </w:t>
      </w:r>
      <w:r w:rsidRPr="0025250D">
        <w:rPr>
          <w:rtl/>
        </w:rPr>
        <w:t>انتقال</w:t>
      </w:r>
      <w:r w:rsidRPr="0025250D">
        <w:rPr>
          <w:rFonts w:hint="cs"/>
          <w:rtl/>
        </w:rPr>
        <w:t>ی، یک به چند</w:t>
      </w:r>
      <w:r w:rsidRPr="0025250D">
        <w:rPr>
          <w:vertAlign w:val="superscript"/>
          <w:rtl/>
        </w:rPr>
        <w:footnoteReference w:id="3047"/>
      </w:r>
      <w:r w:rsidRPr="0025250D">
        <w:rPr>
          <w:rFonts w:hint="cs"/>
          <w:rtl/>
        </w:rPr>
        <w:t>، شبکه ای</w:t>
      </w:r>
      <w:r w:rsidR="008D6F97" w:rsidRPr="0025250D">
        <w:rPr>
          <w:rtl/>
        </w:rPr>
        <w:t xml:space="preserve"> </w:t>
      </w:r>
      <w:r w:rsidRPr="0025250D">
        <w:rPr>
          <w:rFonts w:hint="cs"/>
          <w:rtl/>
        </w:rPr>
        <w:t>و چرخه‌ای استفاده می‌کنند.</w:t>
      </w:r>
    </w:p>
    <w:p w14:paraId="09F7C8F3" w14:textId="1EF8521A" w:rsidR="00537CC8" w:rsidRPr="0025250D" w:rsidRDefault="00A07BC9" w:rsidP="00E26538">
      <w:pPr>
        <w:jc w:val="center"/>
        <w:rPr>
          <w:rtl/>
        </w:rPr>
      </w:pPr>
      <w:r w:rsidRPr="0025250D">
        <w:rPr>
          <w:noProof/>
        </w:rPr>
        <w:drawing>
          <wp:inline distT="0" distB="0" distL="0" distR="0" wp14:anchorId="432706C5" wp14:editId="3B9A1A47">
            <wp:extent cx="5779008" cy="4725908"/>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82" cstate="screen">
                      <a:extLst>
                        <a:ext uri="{28A0092B-C50C-407E-A947-70E740481C1C}">
                          <a14:useLocalDpi xmlns:a14="http://schemas.microsoft.com/office/drawing/2010/main"/>
                        </a:ext>
                      </a:extLst>
                    </a:blip>
                    <a:srcRect/>
                    <a:stretch>
                      <a:fillRect/>
                    </a:stretch>
                  </pic:blipFill>
                  <pic:spPr bwMode="auto">
                    <a:xfrm>
                      <a:off x="0" y="0"/>
                      <a:ext cx="5779008" cy="4725908"/>
                    </a:xfrm>
                    <a:prstGeom prst="rect">
                      <a:avLst/>
                    </a:prstGeom>
                    <a:noFill/>
                  </pic:spPr>
                </pic:pic>
              </a:graphicData>
            </a:graphic>
          </wp:inline>
        </w:drawing>
      </w:r>
    </w:p>
    <w:p w14:paraId="01E4C023" w14:textId="178E6FE9" w:rsidR="00537CC8" w:rsidRPr="0025250D" w:rsidRDefault="00537CC8" w:rsidP="00537CC8">
      <w:pPr>
        <w:rPr>
          <w:rtl/>
        </w:rPr>
      </w:pPr>
      <w:r w:rsidRPr="0025250D">
        <w:rPr>
          <w:rFonts w:hint="cs"/>
          <w:rtl/>
        </w:rPr>
        <w:t xml:space="preserve">از نظر ما، این هشت مهارت شایستگی‌های کلیدی هستند که رهبران مؤثر باید مسئولیت آن‌ها را در سازمان‌های </w:t>
      </w:r>
      <w:r w:rsidR="00B124DE" w:rsidRPr="0025250D">
        <w:rPr>
          <w:rFonts w:hint="cs"/>
          <w:rtl/>
        </w:rPr>
        <w:t>انطباق‌پذیر</w:t>
      </w:r>
      <w:r w:rsidRPr="0025250D">
        <w:rPr>
          <w:rFonts w:hint="cs"/>
          <w:rtl/>
        </w:rPr>
        <w:t xml:space="preserve"> بر عهده گیرند.</w:t>
      </w:r>
      <w:r w:rsidR="0020589F" w:rsidRPr="0025250D">
        <w:rPr>
          <w:vertAlign w:val="superscript"/>
          <w:rtl/>
        </w:rPr>
        <w:t xml:space="preserve"> (</w:t>
      </w:r>
      <w:r w:rsidRPr="0025250D">
        <w:rPr>
          <w:rFonts w:hint="cs"/>
          <w:vertAlign w:val="superscript"/>
          <w:rtl/>
        </w:rPr>
        <w:t>16)</w:t>
      </w:r>
      <w:r w:rsidRPr="0025250D">
        <w:rPr>
          <w:rFonts w:hint="cs"/>
          <w:rtl/>
        </w:rPr>
        <w:t xml:space="preserve"> در این جا این هشت مهارت ارائه </w:t>
      </w:r>
      <w:r w:rsidR="00185F3E" w:rsidRPr="0025250D">
        <w:rPr>
          <w:rFonts w:hint="cs"/>
          <w:rtl/>
        </w:rPr>
        <w:t>شده‌اند</w:t>
      </w:r>
      <w:r w:rsidRPr="0025250D">
        <w:rPr>
          <w:rFonts w:hint="cs"/>
          <w:rtl/>
        </w:rPr>
        <w:t>:</w:t>
      </w:r>
    </w:p>
    <w:p w14:paraId="3FABB87C" w14:textId="6CB1970D" w:rsidR="00537CC8" w:rsidRPr="0025250D" w:rsidRDefault="00537CC8" w:rsidP="00537CC8">
      <w:pPr>
        <w:rPr>
          <w:rtl/>
        </w:rPr>
      </w:pPr>
      <w:r w:rsidRPr="0025250D">
        <w:rPr>
          <w:rFonts w:hint="cs"/>
          <w:rtl/>
        </w:rPr>
        <w:t xml:space="preserve">1. یادگیری </w:t>
      </w:r>
      <w:r w:rsidRPr="0025250D">
        <w:rPr>
          <w:rFonts w:cs="Times New Roman" w:hint="cs"/>
          <w:rtl/>
        </w:rPr>
        <w:t>–</w:t>
      </w:r>
      <w:r w:rsidRPr="0025250D">
        <w:rPr>
          <w:rFonts w:hint="cs"/>
          <w:rtl/>
        </w:rPr>
        <w:t xml:space="preserve"> تفکر جستجوگر (تاریخ و زمان حال). </w:t>
      </w:r>
      <w:r w:rsidR="00D92F6E" w:rsidRPr="0025250D">
        <w:rPr>
          <w:rFonts w:hint="cs"/>
          <w:rtl/>
        </w:rPr>
        <w:t>آماده‌سازی</w:t>
      </w:r>
      <w:r w:rsidRPr="0025250D">
        <w:rPr>
          <w:rFonts w:hint="cs"/>
          <w:rtl/>
        </w:rPr>
        <w:t xml:space="preserve"> برای </w:t>
      </w:r>
      <w:r w:rsidRPr="0025250D">
        <w:rPr>
          <w:rtl/>
        </w:rPr>
        <w:t>آینده‌نگاری</w:t>
      </w:r>
    </w:p>
    <w:p w14:paraId="39D1489D" w14:textId="626DBE84" w:rsidR="00537CC8" w:rsidRPr="0025250D" w:rsidRDefault="00537CC8" w:rsidP="00537CC8">
      <w:pPr>
        <w:rPr>
          <w:rtl/>
        </w:rPr>
      </w:pPr>
      <w:r w:rsidRPr="0025250D">
        <w:rPr>
          <w:rFonts w:hint="cs"/>
          <w:rtl/>
        </w:rPr>
        <w:t xml:space="preserve">2. </w:t>
      </w:r>
      <w:r w:rsidR="00923DDB" w:rsidRPr="0025250D">
        <w:rPr>
          <w:rFonts w:hint="cs"/>
          <w:rtl/>
        </w:rPr>
        <w:t>پیش‌انگاری</w:t>
      </w:r>
      <w:r w:rsidRPr="0025250D">
        <w:rPr>
          <w:rFonts w:hint="cs"/>
          <w:rtl/>
        </w:rPr>
        <w:t xml:space="preserve"> </w:t>
      </w:r>
      <w:r w:rsidRPr="0025250D">
        <w:rPr>
          <w:rFonts w:cs="Times New Roman" w:hint="cs"/>
          <w:rtl/>
        </w:rPr>
        <w:t>–</w:t>
      </w:r>
      <w:r w:rsidRPr="0025250D">
        <w:rPr>
          <w:rFonts w:hint="cs"/>
          <w:rtl/>
        </w:rPr>
        <w:t xml:space="preserve"> تفکر در مورد موارد محتمل (انتظارات و قیود). </w:t>
      </w:r>
      <w:r w:rsidR="00D92F6E" w:rsidRPr="0025250D">
        <w:rPr>
          <w:rFonts w:hint="cs"/>
          <w:rtl/>
        </w:rPr>
        <w:t>آینده‌نگاری</w:t>
      </w:r>
    </w:p>
    <w:p w14:paraId="2CDB782B" w14:textId="322FD82C" w:rsidR="00537CC8" w:rsidRPr="0025250D" w:rsidRDefault="00537CC8" w:rsidP="00537CC8">
      <w:pPr>
        <w:rPr>
          <w:rtl/>
        </w:rPr>
      </w:pPr>
      <w:r w:rsidRPr="0025250D">
        <w:rPr>
          <w:rFonts w:hint="cs"/>
          <w:rtl/>
        </w:rPr>
        <w:t xml:space="preserve">3. نوآوری </w:t>
      </w:r>
      <w:r w:rsidRPr="0025250D">
        <w:rPr>
          <w:rFonts w:cs="Times New Roman" w:hint="cs"/>
          <w:rtl/>
        </w:rPr>
        <w:t>–</w:t>
      </w:r>
      <w:r w:rsidRPr="0025250D">
        <w:rPr>
          <w:rFonts w:hint="cs"/>
          <w:rtl/>
        </w:rPr>
        <w:t xml:space="preserve"> تفکر در مورد موارد ممکن (ایده‌ها و نوآوری ها). </w:t>
      </w:r>
      <w:r w:rsidRPr="0025250D">
        <w:rPr>
          <w:rtl/>
        </w:rPr>
        <w:t>آینده‌نگاری</w:t>
      </w:r>
    </w:p>
    <w:p w14:paraId="7A9DC7E2" w14:textId="4914143E" w:rsidR="00537CC8" w:rsidRPr="0025250D" w:rsidRDefault="00537CC8" w:rsidP="00537CC8">
      <w:pPr>
        <w:rPr>
          <w:rtl/>
        </w:rPr>
      </w:pPr>
      <w:r w:rsidRPr="0025250D">
        <w:rPr>
          <w:rFonts w:hint="cs"/>
          <w:rtl/>
        </w:rPr>
        <w:t xml:space="preserve">4. </w:t>
      </w:r>
      <w:r w:rsidR="00701E03" w:rsidRPr="0025250D">
        <w:rPr>
          <w:rFonts w:hint="cs"/>
          <w:rtl/>
        </w:rPr>
        <w:t>راهبرد</w:t>
      </w:r>
      <w:r w:rsidRPr="0025250D">
        <w:rPr>
          <w:rFonts w:hint="cs"/>
          <w:rtl/>
        </w:rPr>
        <w:t xml:space="preserve"> </w:t>
      </w:r>
      <w:r w:rsidRPr="0025250D">
        <w:rPr>
          <w:rFonts w:cs="Times New Roman" w:hint="cs"/>
          <w:rtl/>
        </w:rPr>
        <w:t>–</w:t>
      </w:r>
      <w:r w:rsidRPr="0025250D">
        <w:rPr>
          <w:rFonts w:hint="cs"/>
          <w:rtl/>
        </w:rPr>
        <w:t xml:space="preserve"> ترجیحات و اجتناب (اولویت‌ها و </w:t>
      </w:r>
      <w:r w:rsidR="008F0DD8" w:rsidRPr="0025250D">
        <w:rPr>
          <w:rFonts w:hint="cs"/>
          <w:rtl/>
        </w:rPr>
        <w:t>برنامه‌ها</w:t>
      </w:r>
      <w:r w:rsidRPr="0025250D">
        <w:rPr>
          <w:rFonts w:hint="cs"/>
          <w:rtl/>
        </w:rPr>
        <w:t xml:space="preserve">). </w:t>
      </w:r>
      <w:r w:rsidRPr="0025250D">
        <w:rPr>
          <w:rtl/>
        </w:rPr>
        <w:t>آینده‌نگاری</w:t>
      </w:r>
    </w:p>
    <w:p w14:paraId="120A2722" w14:textId="77777777" w:rsidR="00537CC8" w:rsidRPr="0025250D" w:rsidRDefault="00537CC8" w:rsidP="00537CC8">
      <w:pPr>
        <w:rPr>
          <w:rtl/>
        </w:rPr>
      </w:pPr>
      <w:r w:rsidRPr="0025250D">
        <w:rPr>
          <w:rFonts w:hint="cs"/>
          <w:rtl/>
        </w:rPr>
        <w:t xml:space="preserve">5. اجرا </w:t>
      </w:r>
      <w:r w:rsidRPr="0025250D">
        <w:rPr>
          <w:rFonts w:cs="Times New Roman" w:hint="cs"/>
          <w:rtl/>
        </w:rPr>
        <w:t>–</w:t>
      </w:r>
      <w:r w:rsidRPr="0025250D">
        <w:rPr>
          <w:rFonts w:hint="cs"/>
          <w:rtl/>
        </w:rPr>
        <w:t xml:space="preserve"> تفکر تولیدی (رسیدن به هدف). عمل</w:t>
      </w:r>
    </w:p>
    <w:p w14:paraId="2A8C0AE9" w14:textId="34A9853B" w:rsidR="00537CC8" w:rsidRPr="0025250D" w:rsidRDefault="00537CC8" w:rsidP="00537CC8">
      <w:pPr>
        <w:rPr>
          <w:rtl/>
        </w:rPr>
      </w:pPr>
      <w:r w:rsidRPr="0025250D">
        <w:rPr>
          <w:rFonts w:hint="cs"/>
          <w:rtl/>
        </w:rPr>
        <w:t xml:space="preserve">6. تاثیرگذاری </w:t>
      </w:r>
      <w:r w:rsidRPr="0025250D">
        <w:rPr>
          <w:rFonts w:cs="Times New Roman" w:hint="cs"/>
          <w:rtl/>
        </w:rPr>
        <w:t>–</w:t>
      </w:r>
      <w:r w:rsidRPr="0025250D">
        <w:rPr>
          <w:rFonts w:hint="cs"/>
          <w:rtl/>
        </w:rPr>
        <w:t xml:space="preserve"> تفکر بازاری (به کارگیری دیگران). عمل</w:t>
      </w:r>
    </w:p>
    <w:p w14:paraId="598B5207" w14:textId="52B12C43" w:rsidR="00537CC8" w:rsidRPr="0025250D" w:rsidRDefault="00537CC8" w:rsidP="00537CC8">
      <w:pPr>
        <w:rPr>
          <w:rtl/>
        </w:rPr>
      </w:pPr>
      <w:r w:rsidRPr="0025250D">
        <w:rPr>
          <w:rFonts w:hint="cs"/>
          <w:rtl/>
        </w:rPr>
        <w:t xml:space="preserve">7. </w:t>
      </w:r>
      <w:r w:rsidR="0008779C" w:rsidRPr="0025250D">
        <w:rPr>
          <w:rFonts w:hint="cs"/>
          <w:rtl/>
        </w:rPr>
        <w:t>ارتباط‌دهی</w:t>
      </w:r>
      <w:r w:rsidRPr="0025250D">
        <w:rPr>
          <w:rFonts w:hint="cs"/>
          <w:rtl/>
        </w:rPr>
        <w:t xml:space="preserve"> </w:t>
      </w:r>
      <w:r w:rsidRPr="0025250D">
        <w:rPr>
          <w:rFonts w:cs="Times New Roman" w:hint="cs"/>
          <w:rtl/>
        </w:rPr>
        <w:t>–</w:t>
      </w:r>
      <w:r w:rsidRPr="0025250D">
        <w:rPr>
          <w:rFonts w:hint="cs"/>
          <w:rtl/>
        </w:rPr>
        <w:t xml:space="preserve"> تفکر تیمی (حفظ تیم). عمل</w:t>
      </w:r>
    </w:p>
    <w:p w14:paraId="50D6B806" w14:textId="66B3FBA6" w:rsidR="00537CC8" w:rsidRPr="0025250D" w:rsidRDefault="00537CC8" w:rsidP="00537CC8">
      <w:pPr>
        <w:rPr>
          <w:rtl/>
        </w:rPr>
      </w:pPr>
      <w:r w:rsidRPr="0025250D">
        <w:rPr>
          <w:rFonts w:hint="cs"/>
          <w:rtl/>
        </w:rPr>
        <w:t xml:space="preserve">8. بازبینی </w:t>
      </w:r>
      <w:r w:rsidRPr="0025250D">
        <w:rPr>
          <w:rFonts w:cs="Times New Roman" w:hint="cs"/>
          <w:rtl/>
        </w:rPr>
        <w:t>–</w:t>
      </w:r>
      <w:r w:rsidRPr="0025250D">
        <w:rPr>
          <w:rFonts w:hint="cs"/>
          <w:rtl/>
        </w:rPr>
        <w:t xml:space="preserve"> تفکر تعدیلی (حفظ تمرکز بر روی یک هدف). بازبینی عملکرد.</w:t>
      </w:r>
    </w:p>
    <w:p w14:paraId="585EA415" w14:textId="0488C4B7" w:rsidR="00537CC8" w:rsidRPr="0025250D" w:rsidRDefault="00537CC8" w:rsidP="002C61FC">
      <w:pPr>
        <w:rPr>
          <w:rtl/>
        </w:rPr>
      </w:pPr>
      <w:r w:rsidRPr="0025250D">
        <w:rPr>
          <w:rFonts w:hint="cs"/>
          <w:rtl/>
        </w:rPr>
        <w:t xml:space="preserve">می توانیم این مهارت‌ها را به عنوان یک تلفظ آوایی اشتباه از کلمه </w:t>
      </w:r>
      <w:r w:rsidR="002C61FC" w:rsidRPr="0025250D">
        <w:rPr>
          <w:rtl/>
        </w:rPr>
        <w:t>«</w:t>
      </w:r>
      <w:r w:rsidRPr="0025250D">
        <w:rPr>
          <w:rtl/>
        </w:rPr>
        <w:t>ل</w:t>
      </w:r>
      <w:r w:rsidRPr="0025250D">
        <w:rPr>
          <w:rFonts w:hint="cs"/>
          <w:rtl/>
        </w:rPr>
        <w:t>ی</w:t>
      </w:r>
      <w:r w:rsidRPr="0025250D">
        <w:rPr>
          <w:rFonts w:hint="eastAsia"/>
          <w:rtl/>
        </w:rPr>
        <w:t>زر</w:t>
      </w:r>
      <w:r w:rsidR="002C61FC" w:rsidRPr="0025250D">
        <w:rPr>
          <w:rtl/>
        </w:rPr>
        <w:t>»</w:t>
      </w:r>
      <w:r w:rsidRPr="0025250D">
        <w:rPr>
          <w:rFonts w:hint="cs"/>
          <w:rtl/>
        </w:rPr>
        <w:t xml:space="preserve"> به خاطر بسپاریم: تیم‌های </w:t>
      </w:r>
      <w:r w:rsidR="00B124DE" w:rsidRPr="0025250D">
        <w:rPr>
          <w:rFonts w:hint="cs"/>
          <w:rtl/>
        </w:rPr>
        <w:t>انطباق‌پذیر</w:t>
      </w:r>
      <w:r w:rsidRPr="0025250D">
        <w:rPr>
          <w:rFonts w:hint="cs"/>
          <w:rtl/>
        </w:rPr>
        <w:t xml:space="preserve"> یک </w:t>
      </w:r>
      <w:r w:rsidR="002C61FC" w:rsidRPr="0025250D">
        <w:rPr>
          <w:rtl/>
        </w:rPr>
        <w:t>«</w:t>
      </w:r>
      <w:r w:rsidRPr="0025250D">
        <w:rPr>
          <w:rFonts w:hint="cs"/>
          <w:rtl/>
        </w:rPr>
        <w:t xml:space="preserve">تمرکز </w:t>
      </w:r>
      <w:r w:rsidRPr="0025250D">
        <w:t>LAISEIRR</w:t>
      </w:r>
      <w:r w:rsidR="002C61FC" w:rsidRPr="0025250D">
        <w:rPr>
          <w:rFonts w:hint="cs"/>
          <w:rtl/>
        </w:rPr>
        <w:t>»</w:t>
      </w:r>
      <w:r w:rsidRPr="0025250D">
        <w:rPr>
          <w:rFonts w:hint="cs"/>
          <w:rtl/>
        </w:rPr>
        <w:t xml:space="preserve"> بر فرصت‌ها و چالش‌های خود دارند.</w:t>
      </w:r>
    </w:p>
    <w:p w14:paraId="41C994AB" w14:textId="0CDDF3F4" w:rsidR="00537CC8" w:rsidRPr="0025250D" w:rsidRDefault="00537CC8" w:rsidP="00537CC8">
      <w:pPr>
        <w:rPr>
          <w:rtl/>
        </w:rPr>
      </w:pPr>
      <w:r w:rsidRPr="0025250D">
        <w:rPr>
          <w:rFonts w:hint="cs"/>
          <w:rtl/>
        </w:rPr>
        <w:t xml:space="preserve">5الف) کدام سه مورد از هشت مهارت به نظر شما برترین نقاط قوت شما هستند؟ آن‌ها چگونه به شما در گذشته کمک </w:t>
      </w:r>
      <w:r w:rsidR="007118DE" w:rsidRPr="0025250D">
        <w:rPr>
          <w:rFonts w:hint="cs"/>
          <w:rtl/>
        </w:rPr>
        <w:t>کرده‌اند</w:t>
      </w:r>
      <w:r w:rsidRPr="0025250D">
        <w:rPr>
          <w:rFonts w:hint="cs"/>
          <w:rtl/>
        </w:rPr>
        <w:t xml:space="preserve">؟ چه زمانی کم‌تر یا بیش‌تر از حد لازم یا به صورت نادرست از این موارد استفاده کرده اید؟ تله‌ها و مشکلات بر سر راه آن‌ها چه مواردی </w:t>
      </w:r>
      <w:r w:rsidR="00B124DE" w:rsidRPr="0025250D">
        <w:rPr>
          <w:rFonts w:hint="cs"/>
          <w:rtl/>
        </w:rPr>
        <w:t>بوده‌اند</w:t>
      </w:r>
      <w:r w:rsidRPr="0025250D">
        <w:rPr>
          <w:rFonts w:hint="cs"/>
          <w:rtl/>
        </w:rPr>
        <w:t>؟</w:t>
      </w:r>
    </w:p>
    <w:p w14:paraId="6D593232" w14:textId="1CB6DDFE" w:rsidR="00537CC8" w:rsidRPr="0025250D" w:rsidRDefault="00537CC8" w:rsidP="00537CC8">
      <w:pPr>
        <w:rPr>
          <w:rtl/>
        </w:rPr>
      </w:pPr>
      <w:r w:rsidRPr="0025250D">
        <w:rPr>
          <w:rFonts w:hint="cs"/>
          <w:rtl/>
        </w:rPr>
        <w:t xml:space="preserve">5ب) کدام دو مورد از این هشت مهارت به نظر شما کم‌تر طبیعی، بیش از همه چالش برانگیز یا بیش از همه نادیده گرفته </w:t>
      </w:r>
      <w:r w:rsidR="00185F3E" w:rsidRPr="0025250D">
        <w:rPr>
          <w:rFonts w:hint="cs"/>
          <w:rtl/>
        </w:rPr>
        <w:t>شده‌اند</w:t>
      </w:r>
      <w:r w:rsidRPr="0025250D">
        <w:rPr>
          <w:rFonts w:hint="cs"/>
          <w:rtl/>
        </w:rPr>
        <w:t>؟ آیا هیچ ضعفی در این مهارت‌ها در گذشته به شما آسیب زده است؟ چگونه؟ آیا تلاش کرده اید تا مهارت‌های ضعیف‌تر خود یا تیمتان را متوازن کرده یا بهبود دهید؟ این کار چطور پیش رفته است؟ آیا داستانی از شکست/موفقیت برای اشتراک گذاری در این مورد دارید؟</w:t>
      </w:r>
    </w:p>
    <w:p w14:paraId="11E78C59" w14:textId="77777777" w:rsidR="00537CC8" w:rsidRPr="0025250D" w:rsidRDefault="00537CC8" w:rsidP="00537CC8">
      <w:pPr>
        <w:rPr>
          <w:rtl/>
        </w:rPr>
      </w:pPr>
      <w:r w:rsidRPr="0025250D">
        <w:rPr>
          <w:rFonts w:hint="cs"/>
          <w:rtl/>
        </w:rPr>
        <w:t xml:space="preserve">5ج) از تفکر </w:t>
      </w:r>
      <w:r w:rsidRPr="0025250D">
        <w:t>GRASP</w:t>
      </w:r>
      <w:r w:rsidRPr="0025250D">
        <w:rPr>
          <w:rFonts w:hint="cs"/>
          <w:rtl/>
        </w:rPr>
        <w:t xml:space="preserve"> در هشت مهارت استفاده کنید. چه هدفی می‌تواند در طول 6 ماه آینده به تیم شما برای بهبود استفاده خود از هریک یا همه این هشت مهارت کمک کند؟ آیا این در اولویت اول قرار دارد؟ پیشرفت (واقعیت) خود را چگونه اندازه گیری خواهید کرد؟ نتایج احتمالی غیر از هدف چه هستند؟ تیم چه مزایایی می‌تواند از بهبود خود به دست آورد؟ چه عقبگرد‌هایی (موانعی) را احتمالا در پیش رو خواهید داشت؟ چه منابع کلیدی (مربیان، روال‌ها، پوشش دهنده‌های برتر) و عبارات اگر-آنگاه در برنامه شما قرار دارند؟</w:t>
      </w:r>
    </w:p>
    <w:p w14:paraId="7AFFE043" w14:textId="77777777" w:rsidR="00537CC8" w:rsidRPr="0025250D" w:rsidRDefault="00537CC8" w:rsidP="00537CC8">
      <w:pPr>
        <w:rPr>
          <w:rtl/>
        </w:rPr>
      </w:pPr>
    </w:p>
    <w:p w14:paraId="454B5171" w14:textId="77777777" w:rsidR="00537CC8" w:rsidRPr="0025250D" w:rsidRDefault="00537CC8" w:rsidP="00537CC8">
      <w:pPr>
        <w:rPr>
          <w:rtl/>
        </w:rPr>
      </w:pPr>
    </w:p>
    <w:p w14:paraId="7580337D" w14:textId="77777777" w:rsidR="00537CC8" w:rsidRPr="0025250D" w:rsidRDefault="00537CC8" w:rsidP="00537CC8">
      <w:pPr>
        <w:rPr>
          <w:rtl/>
        </w:rPr>
      </w:pPr>
    </w:p>
    <w:p w14:paraId="524441A3" w14:textId="77777777" w:rsidR="00537CC8" w:rsidRPr="0025250D" w:rsidRDefault="00537CC8" w:rsidP="00537CC8">
      <w:pPr>
        <w:rPr>
          <w:rtl/>
        </w:rPr>
      </w:pPr>
    </w:p>
    <w:p w14:paraId="1F96F48A" w14:textId="77777777" w:rsidR="00537CC8" w:rsidRPr="0025250D" w:rsidRDefault="00537CC8" w:rsidP="00537CC8">
      <w:pPr>
        <w:rPr>
          <w:rtl/>
        </w:rPr>
      </w:pPr>
    </w:p>
    <w:p w14:paraId="7D30224D" w14:textId="77777777" w:rsidR="00537CC8" w:rsidRPr="0025250D" w:rsidRDefault="00537CC8" w:rsidP="00537CC8">
      <w:pPr>
        <w:rPr>
          <w:rtl/>
        </w:rPr>
      </w:pPr>
    </w:p>
    <w:p w14:paraId="49526BB4" w14:textId="77777777" w:rsidR="00537CC8" w:rsidRPr="0025250D" w:rsidRDefault="00537CC8" w:rsidP="00494960">
      <w:pPr>
        <w:pStyle w:val="Heading2"/>
        <w:rPr>
          <w:rtl/>
        </w:rPr>
      </w:pPr>
      <w:bookmarkStart w:id="83" w:name="_Toc127831348"/>
      <w:r w:rsidRPr="0025250D">
        <w:rPr>
          <w:rFonts w:hint="cs"/>
          <w:rtl/>
        </w:rPr>
        <w:t>تشخیص هشت مهارت</w:t>
      </w:r>
      <w:bookmarkEnd w:id="83"/>
    </w:p>
    <w:p w14:paraId="79FAB141" w14:textId="0ED536E0" w:rsidR="00537CC8" w:rsidRPr="0025250D" w:rsidRDefault="00537CC8" w:rsidP="00537CC8">
      <w:pPr>
        <w:rPr>
          <w:rtl/>
        </w:rPr>
      </w:pPr>
      <w:r w:rsidRPr="0025250D">
        <w:rPr>
          <w:rFonts w:hint="cs"/>
          <w:rtl/>
        </w:rPr>
        <w:t>ارزیابی قوت یاب</w:t>
      </w:r>
      <w:r w:rsidRPr="0025250D">
        <w:rPr>
          <w:vertAlign w:val="superscript"/>
          <w:rtl/>
        </w:rPr>
        <w:footnoteReference w:id="3048"/>
      </w:r>
      <w:r w:rsidRPr="0025250D">
        <w:rPr>
          <w:rFonts w:hint="cs"/>
          <w:rtl/>
        </w:rPr>
        <w:t xml:space="preserve"> </w:t>
      </w:r>
      <w:r w:rsidRPr="0025250D">
        <w:rPr>
          <w:rtl/>
        </w:rPr>
        <w:t>دان کل</w:t>
      </w:r>
      <w:r w:rsidRPr="0025250D">
        <w:rPr>
          <w:rFonts w:hint="cs"/>
          <w:rtl/>
        </w:rPr>
        <w:t>ی</w:t>
      </w:r>
      <w:r w:rsidRPr="0025250D">
        <w:rPr>
          <w:rFonts w:hint="eastAsia"/>
          <w:rtl/>
        </w:rPr>
        <w:t>فتون</w:t>
      </w:r>
      <w:r w:rsidRPr="0025250D">
        <w:rPr>
          <w:vertAlign w:val="superscript"/>
          <w:rtl/>
        </w:rPr>
        <w:footnoteReference w:id="3049"/>
      </w:r>
      <w:r w:rsidRPr="0025250D">
        <w:rPr>
          <w:rFonts w:hint="cs"/>
          <w:rtl/>
        </w:rPr>
        <w:t xml:space="preserve"> 34 نقطه قوت کاری را توصیف می‌کند. این موارد در نظر سنجی‌های محل کار توسط </w:t>
      </w:r>
      <w:r w:rsidRPr="0025250D">
        <w:rPr>
          <w:rtl/>
        </w:rPr>
        <w:t>گالوپ</w:t>
      </w:r>
      <w:r w:rsidRPr="0025250D">
        <w:rPr>
          <w:rFonts w:hint="cs"/>
          <w:rtl/>
        </w:rPr>
        <w:t xml:space="preserve">، یک شرکت مشاوره ای، توسعه داده </w:t>
      </w:r>
      <w:r w:rsidR="00185F3E" w:rsidRPr="0025250D">
        <w:rPr>
          <w:rFonts w:hint="cs"/>
          <w:rtl/>
        </w:rPr>
        <w:t>شده‌اند</w:t>
      </w:r>
      <w:r w:rsidRPr="0025250D">
        <w:rPr>
          <w:rFonts w:hint="cs"/>
          <w:rtl/>
        </w:rPr>
        <w:t>. آزمون آنلاین 34 قوت کلیفتون</w:t>
      </w:r>
      <w:r w:rsidRPr="0025250D">
        <w:rPr>
          <w:vertAlign w:val="superscript"/>
          <w:rtl/>
        </w:rPr>
        <w:footnoteReference w:id="3050"/>
      </w:r>
      <w:r w:rsidRPr="0025250D">
        <w:rPr>
          <w:rFonts w:hint="cs"/>
          <w:rtl/>
        </w:rPr>
        <w:t xml:space="preserve"> (49 دلار) را برای این ارزیابی ببینید. این موارد شیوه‌های مفیدی برای یادگیری درمورد چه و چرایی رفتار انسان در تیم‌ها هستند. این موارد، عواملی به اندازه کافی بزرگ و منحصر به فرد هستند که برای توصیف کافی تنوع مفید سبک‌های تفکر، عملکرد و انگیزشی ما به کار می‌روند. </w:t>
      </w:r>
      <w:r w:rsidRPr="0025250D">
        <w:rPr>
          <w:rtl/>
        </w:rPr>
        <w:t>گالوپ</w:t>
      </w:r>
      <w:r w:rsidRPr="0025250D">
        <w:rPr>
          <w:rFonts w:hint="cs"/>
          <w:rtl/>
        </w:rPr>
        <w:t xml:space="preserve"> همچنین این نقاط قوت را به چهار دسته از قدرت‌ها، </w:t>
      </w:r>
      <w:r w:rsidR="007118DE" w:rsidRPr="0025250D">
        <w:rPr>
          <w:rFonts w:hint="cs"/>
          <w:rtl/>
        </w:rPr>
        <w:t>همان‌طور</w:t>
      </w:r>
      <w:r w:rsidRPr="0025250D">
        <w:rPr>
          <w:rFonts w:hint="cs"/>
          <w:rtl/>
        </w:rPr>
        <w:t xml:space="preserve"> که در کتاب رهبری مبتنی بر نقاط قوت</w:t>
      </w:r>
      <w:r w:rsidRPr="0025250D">
        <w:rPr>
          <w:vertAlign w:val="superscript"/>
          <w:rtl/>
        </w:rPr>
        <w:footnoteReference w:id="3051"/>
      </w:r>
      <w:r w:rsidRPr="0025250D">
        <w:rPr>
          <w:rFonts w:hint="cs"/>
          <w:rtl/>
        </w:rPr>
        <w:t xml:space="preserve"> اثر </w:t>
      </w:r>
      <w:r w:rsidRPr="0025250D">
        <w:rPr>
          <w:rtl/>
        </w:rPr>
        <w:t>راث و کانچ</w:t>
      </w:r>
      <w:r w:rsidRPr="0025250D">
        <w:rPr>
          <w:rFonts w:hint="cs"/>
          <w:rtl/>
        </w:rPr>
        <w:t>ی</w:t>
      </w:r>
      <w:r w:rsidRPr="0025250D">
        <w:rPr>
          <w:vertAlign w:val="superscript"/>
          <w:rtl/>
        </w:rPr>
        <w:footnoteReference w:id="3052"/>
      </w:r>
      <w:r w:rsidRPr="0025250D">
        <w:rPr>
          <w:rFonts w:hint="cs"/>
          <w:rtl/>
        </w:rPr>
        <w:t xml:space="preserve"> در سال 2008 توصیف </w:t>
      </w:r>
      <w:r w:rsidR="00185F3E" w:rsidRPr="0025250D">
        <w:rPr>
          <w:rFonts w:hint="cs"/>
          <w:rtl/>
        </w:rPr>
        <w:t>شده‌اند</w:t>
      </w:r>
      <w:r w:rsidRPr="0025250D">
        <w:rPr>
          <w:rFonts w:hint="cs"/>
          <w:rtl/>
        </w:rPr>
        <w:t xml:space="preserve">، دسته بندی می‌کند. تصویر زیر را برای این </w:t>
      </w:r>
      <w:r w:rsidR="008D6F97" w:rsidRPr="0025250D">
        <w:rPr>
          <w:rFonts w:hint="cs"/>
          <w:rtl/>
        </w:rPr>
        <w:t>سامانه‌</w:t>
      </w:r>
      <w:r w:rsidRPr="0025250D">
        <w:rPr>
          <w:rFonts w:hint="cs"/>
          <w:rtl/>
        </w:rPr>
        <w:t xml:space="preserve"> دسته بندی ببینید.</w:t>
      </w:r>
    </w:p>
    <w:p w14:paraId="216EF4CA" w14:textId="460D7E5B" w:rsidR="00537CC8" w:rsidRPr="0025250D" w:rsidRDefault="00D335B2" w:rsidP="00D335B2">
      <w:pPr>
        <w:jc w:val="center"/>
        <w:rPr>
          <w:rtl/>
        </w:rPr>
      </w:pPr>
      <w:r w:rsidRPr="0025250D">
        <w:rPr>
          <w:noProof/>
          <w:lang w:bidi="ar-SA"/>
        </w:rPr>
        <w:drawing>
          <wp:inline distT="0" distB="0" distL="0" distR="0" wp14:anchorId="75A653F0" wp14:editId="21EED961">
            <wp:extent cx="5793366" cy="3896139"/>
            <wp:effectExtent l="0" t="0" r="0" b="952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3" cstate="screen">
                      <a:extLst>
                        <a:ext uri="{BEBA8EAE-BF5A-486C-A8C5-ECC9F3942E4B}">
                          <a14:imgProps xmlns:a14="http://schemas.microsoft.com/office/drawing/2010/main">
                            <a14:imgLayer r:embed="rId284">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820018" cy="3914063"/>
                    </a:xfrm>
                    <a:prstGeom prst="rect">
                      <a:avLst/>
                    </a:prstGeom>
                    <a:noFill/>
                  </pic:spPr>
                </pic:pic>
              </a:graphicData>
            </a:graphic>
          </wp:inline>
        </w:drawing>
      </w:r>
    </w:p>
    <w:p w14:paraId="38B1ABB2" w14:textId="601948DC" w:rsidR="00537CC8" w:rsidRPr="0025250D" w:rsidRDefault="00537CC8" w:rsidP="00537CC8">
      <w:pPr>
        <w:rPr>
          <w:rtl/>
        </w:rPr>
      </w:pPr>
      <w:r w:rsidRPr="0025250D">
        <w:rPr>
          <w:rFonts w:hint="cs"/>
          <w:rtl/>
        </w:rPr>
        <w:t xml:space="preserve">ما باور داریم که این ارزیابی‌های نقاط قوت به طور کلی عالی هستند، اما </w:t>
      </w:r>
      <w:r w:rsidR="008D6F97" w:rsidRPr="0025250D">
        <w:rPr>
          <w:rFonts w:hint="cs"/>
          <w:rtl/>
        </w:rPr>
        <w:t>سامانه‌</w:t>
      </w:r>
      <w:r w:rsidRPr="0025250D">
        <w:rPr>
          <w:rFonts w:hint="cs"/>
          <w:rtl/>
        </w:rPr>
        <w:t xml:space="preserve"> دسته بندی </w:t>
      </w:r>
      <w:r w:rsidRPr="0025250D">
        <w:rPr>
          <w:rtl/>
        </w:rPr>
        <w:t>راث و کانچ</w:t>
      </w:r>
      <w:r w:rsidRPr="0025250D">
        <w:rPr>
          <w:rFonts w:hint="cs"/>
          <w:rtl/>
        </w:rPr>
        <w:t xml:space="preserve">ی هم نادرست و هم نا کامل است. با توجه به عدم شناسایی فراگیری حلقه انجام، چهار دسته آن‌ها نقاط قوت یادگیری و بازبینی را با جزئیات بیان نمی‌کنند. آن‌ها همچنین </w:t>
      </w:r>
      <w:r w:rsidRPr="0025250D">
        <w:rPr>
          <w:rtl/>
        </w:rPr>
        <w:t>آینده‌نگاری</w:t>
      </w:r>
      <w:r w:rsidRPr="0025250D">
        <w:rPr>
          <w:rFonts w:hint="cs"/>
          <w:rtl/>
        </w:rPr>
        <w:t xml:space="preserve"> را بیش از حد ساده سازی کرده و هرم </w:t>
      </w:r>
      <w:r w:rsidRPr="0025250D">
        <w:rPr>
          <w:rtl/>
        </w:rPr>
        <w:t>آینده‌نگاری</w:t>
      </w:r>
      <w:r w:rsidRPr="0025250D">
        <w:rPr>
          <w:rFonts w:hint="cs"/>
          <w:rtl/>
        </w:rPr>
        <w:t xml:space="preserve"> را درک نکرده و آن را تنها مانند </w:t>
      </w:r>
      <w:r w:rsidR="002C61FC" w:rsidRPr="0025250D">
        <w:rPr>
          <w:rtl/>
        </w:rPr>
        <w:t>«</w:t>
      </w:r>
      <w:r w:rsidRPr="0025250D">
        <w:rPr>
          <w:rFonts w:hint="cs"/>
          <w:rtl/>
        </w:rPr>
        <w:t xml:space="preserve">تفکر </w:t>
      </w:r>
      <w:r w:rsidR="00701E03" w:rsidRPr="0025250D">
        <w:rPr>
          <w:rFonts w:hint="cs"/>
          <w:rtl/>
        </w:rPr>
        <w:t>راهبردی</w:t>
      </w:r>
      <w:r w:rsidR="002C61FC" w:rsidRPr="0025250D">
        <w:rPr>
          <w:rtl/>
        </w:rPr>
        <w:t>»</w:t>
      </w:r>
      <w:r w:rsidRPr="0025250D">
        <w:rPr>
          <w:rFonts w:hint="cs"/>
          <w:rtl/>
        </w:rPr>
        <w:t xml:space="preserve"> در نظر می‌گیرند</w:t>
      </w:r>
      <w:r w:rsidR="008D6F97" w:rsidRPr="0025250D">
        <w:rPr>
          <w:rtl/>
        </w:rPr>
        <w:t xml:space="preserve">؛ </w:t>
      </w:r>
      <w:r w:rsidRPr="0025250D">
        <w:rPr>
          <w:rFonts w:hint="cs"/>
          <w:rtl/>
        </w:rPr>
        <w:t xml:space="preserve">اما آموخته ایم که تولید </w:t>
      </w:r>
      <w:r w:rsidR="00701E03" w:rsidRPr="0025250D">
        <w:rPr>
          <w:rFonts w:hint="cs"/>
          <w:rtl/>
        </w:rPr>
        <w:t>راهبرد</w:t>
      </w:r>
      <w:r w:rsidRPr="0025250D">
        <w:rPr>
          <w:rFonts w:hint="cs"/>
          <w:rtl/>
        </w:rPr>
        <w:t xml:space="preserve"> گام آخر کار </w:t>
      </w:r>
      <w:r w:rsidRPr="0025250D">
        <w:rPr>
          <w:rtl/>
        </w:rPr>
        <w:t>آینده‌نگاری</w:t>
      </w:r>
      <w:r w:rsidRPr="0025250D">
        <w:rPr>
          <w:rFonts w:hint="cs"/>
          <w:rtl/>
        </w:rPr>
        <w:t xml:space="preserve"> است. خروجی </w:t>
      </w:r>
      <w:r w:rsidR="00701E03" w:rsidRPr="0025250D">
        <w:rPr>
          <w:rFonts w:hint="cs"/>
          <w:rtl/>
        </w:rPr>
        <w:t>راهبرد</w:t>
      </w:r>
      <w:r w:rsidRPr="0025250D">
        <w:rPr>
          <w:rFonts w:hint="cs"/>
          <w:rtl/>
        </w:rPr>
        <w:t xml:space="preserve"> خوب ابتدا به یادگیری و سپس به </w:t>
      </w:r>
      <w:r w:rsidR="00923DDB" w:rsidRPr="0025250D">
        <w:rPr>
          <w:rFonts w:hint="cs"/>
          <w:rtl/>
        </w:rPr>
        <w:t>پیش‌انگاری</w:t>
      </w:r>
      <w:r w:rsidRPr="0025250D">
        <w:rPr>
          <w:rFonts w:hint="cs"/>
          <w:rtl/>
        </w:rPr>
        <w:t xml:space="preserve"> و نوآوری، متوازن کردن هر یک به عنوان راهی برای تقابل </w:t>
      </w:r>
      <w:r w:rsidR="002B6515" w:rsidRPr="0025250D">
        <w:rPr>
          <w:rtl/>
        </w:rPr>
        <w:t>حس‌داد</w:t>
      </w:r>
      <w:r w:rsidRPr="0025250D">
        <w:rPr>
          <w:rFonts w:hint="cs"/>
          <w:rtl/>
        </w:rPr>
        <w:t xml:space="preserve"> درمورد محیطمان بستگی دارد. سپس ما در طول تولید </w:t>
      </w:r>
      <w:r w:rsidR="00701E03" w:rsidRPr="0025250D">
        <w:rPr>
          <w:rFonts w:hint="cs"/>
          <w:rtl/>
        </w:rPr>
        <w:t>راهبرد</w:t>
      </w:r>
      <w:r w:rsidRPr="0025250D">
        <w:rPr>
          <w:rFonts w:hint="cs"/>
          <w:rtl/>
        </w:rPr>
        <w:t xml:space="preserve"> از تقابل </w:t>
      </w:r>
      <w:r w:rsidR="002B6515" w:rsidRPr="0025250D">
        <w:rPr>
          <w:rtl/>
        </w:rPr>
        <w:t>حس‌داد</w:t>
      </w:r>
      <w:r w:rsidRPr="0025250D">
        <w:rPr>
          <w:rFonts w:hint="cs"/>
          <w:rtl/>
        </w:rPr>
        <w:t xml:space="preserve"> استفاده می‌کنیم.</w:t>
      </w:r>
    </w:p>
    <w:p w14:paraId="13149BFE" w14:textId="224E8C0B" w:rsidR="00537CC8" w:rsidRPr="0025250D" w:rsidRDefault="00537CC8" w:rsidP="00537CC8">
      <w:pPr>
        <w:rPr>
          <w:rtl/>
        </w:rPr>
      </w:pPr>
      <w:r w:rsidRPr="0025250D">
        <w:rPr>
          <w:rFonts w:hint="cs"/>
          <w:rtl/>
        </w:rPr>
        <w:t xml:space="preserve">در تشخیص هشت مهارت </w:t>
      </w:r>
      <w:r w:rsidRPr="0025250D">
        <w:t>4U</w:t>
      </w:r>
      <w:r w:rsidRPr="0025250D">
        <w:rPr>
          <w:rFonts w:hint="cs"/>
          <w:rtl/>
        </w:rPr>
        <w:t xml:space="preserve">، ما 34 نقطه قوت کاری </w:t>
      </w:r>
      <w:r w:rsidRPr="0025250D">
        <w:rPr>
          <w:rtl/>
        </w:rPr>
        <w:t>کل</w:t>
      </w:r>
      <w:r w:rsidRPr="0025250D">
        <w:rPr>
          <w:rFonts w:hint="cs"/>
          <w:rtl/>
        </w:rPr>
        <w:t>ی</w:t>
      </w:r>
      <w:r w:rsidRPr="0025250D">
        <w:rPr>
          <w:rFonts w:hint="eastAsia"/>
          <w:rtl/>
        </w:rPr>
        <w:t>فتون</w:t>
      </w:r>
      <w:r w:rsidRPr="0025250D">
        <w:rPr>
          <w:rFonts w:hint="cs"/>
          <w:rtl/>
        </w:rPr>
        <w:t xml:space="preserve"> را در هشت مهارت تشخیص می‌دهیم. این امر مهارت‌های حلقه انجام و نیاز ما برای متوازن سازی دائمی </w:t>
      </w:r>
      <w:r w:rsidRPr="0025250D">
        <w:rPr>
          <w:rtl/>
        </w:rPr>
        <w:t>آینده‌نگاری</w:t>
      </w:r>
      <w:r w:rsidRPr="0025250D">
        <w:rPr>
          <w:rFonts w:hint="cs"/>
          <w:rtl/>
        </w:rPr>
        <w:t xml:space="preserve"> و عمل را در مرکز </w:t>
      </w:r>
      <w:r w:rsidR="00B124DE" w:rsidRPr="0025250D">
        <w:rPr>
          <w:rFonts w:hint="cs"/>
          <w:rtl/>
        </w:rPr>
        <w:t>انطباق‌پذیر</w:t>
      </w:r>
      <w:r w:rsidRPr="0025250D">
        <w:rPr>
          <w:rFonts w:hint="cs"/>
          <w:rtl/>
        </w:rPr>
        <w:t xml:space="preserve">ی محل کار قرار می‌دهد. به نظر ما این یک رویکرد بسیار مفید‌تر است. یک نکته مثبت درمورد مدل‌های </w:t>
      </w:r>
      <w:r w:rsidRPr="0025250D">
        <w:rPr>
          <w:rtl/>
        </w:rPr>
        <w:t>کل</w:t>
      </w:r>
      <w:r w:rsidRPr="0025250D">
        <w:rPr>
          <w:rFonts w:hint="cs"/>
          <w:rtl/>
        </w:rPr>
        <w:t>ی</w:t>
      </w:r>
      <w:r w:rsidRPr="0025250D">
        <w:rPr>
          <w:rFonts w:hint="eastAsia"/>
          <w:rtl/>
        </w:rPr>
        <w:t>فتون</w:t>
      </w:r>
      <w:r w:rsidRPr="0025250D">
        <w:rPr>
          <w:rFonts w:hint="cs"/>
          <w:rtl/>
        </w:rPr>
        <w:t xml:space="preserve"> و </w:t>
      </w:r>
      <w:r w:rsidRPr="0025250D">
        <w:rPr>
          <w:rtl/>
        </w:rPr>
        <w:t>گالوپ</w:t>
      </w:r>
      <w:r w:rsidRPr="0025250D">
        <w:rPr>
          <w:rFonts w:hint="cs"/>
          <w:rtl/>
        </w:rPr>
        <w:t xml:space="preserve"> این است که نقاط قوت بیان شده آن‌ها با توازن جالبی هشت مهارت را در بر می‌گیرند. ممکن است ما تعداد اندکی را بد دسته بندی کرده باشیم، اما شاید نه همه آن‌ها را. در طول این دسته بندی مجدد، دریافتیم که مهارت‌های </w:t>
      </w:r>
      <w:r w:rsidRPr="0025250D">
        <w:rPr>
          <w:rtl/>
        </w:rPr>
        <w:t>آینده‌نگاری</w:t>
      </w:r>
      <w:r w:rsidRPr="0025250D">
        <w:rPr>
          <w:rFonts w:hint="cs"/>
          <w:rtl/>
        </w:rPr>
        <w:t xml:space="preserve"> اساسی </w:t>
      </w:r>
      <w:r w:rsidR="00923DDB" w:rsidRPr="0025250D">
        <w:rPr>
          <w:rFonts w:hint="cs"/>
          <w:rtl/>
        </w:rPr>
        <w:t>پیش‌انگاری</w:t>
      </w:r>
      <w:r w:rsidRPr="0025250D">
        <w:rPr>
          <w:rFonts w:hint="cs"/>
          <w:rtl/>
        </w:rPr>
        <w:t xml:space="preserve"> و نوآوری هر دو در مدل‌های آن‌ها کم‌تر مورد توجه قرار گرفته بودند. برای اصلاح این مورد، ما 6 نقطه قوت جدید را به مدل خود در جدول زیر که با </w:t>
      </w:r>
      <w:r w:rsidR="002C61FC" w:rsidRPr="0025250D">
        <w:rPr>
          <w:rtl/>
        </w:rPr>
        <w:t>«</w:t>
      </w:r>
      <w:r w:rsidRPr="0025250D">
        <w:rPr>
          <w:rFonts w:hint="cs"/>
          <w:rtl/>
        </w:rPr>
        <w:t>(</w:t>
      </w:r>
      <w:r w:rsidRPr="0025250D">
        <w:t>4U</w:t>
      </w:r>
      <w:r w:rsidRPr="0025250D">
        <w:rPr>
          <w:rFonts w:hint="cs"/>
          <w:rtl/>
        </w:rPr>
        <w:t>)</w:t>
      </w:r>
      <w:r w:rsidR="002C61FC" w:rsidRPr="0025250D">
        <w:rPr>
          <w:rtl/>
        </w:rPr>
        <w:t>»</w:t>
      </w:r>
      <w:r w:rsidRPr="0025250D">
        <w:rPr>
          <w:rFonts w:hint="cs"/>
          <w:rtl/>
        </w:rPr>
        <w:t xml:space="preserve"> پس از نام آن‌ها مشخص </w:t>
      </w:r>
      <w:r w:rsidR="00185F3E" w:rsidRPr="0025250D">
        <w:rPr>
          <w:rFonts w:hint="cs"/>
          <w:rtl/>
        </w:rPr>
        <w:t>شده‌اند</w:t>
      </w:r>
      <w:r w:rsidRPr="0025250D">
        <w:rPr>
          <w:rFonts w:hint="cs"/>
          <w:rtl/>
        </w:rPr>
        <w:t xml:space="preserve">، افزودیم. این 6 نقطه قوت به نقش حیاتی و اغلب نادیده گرفته شده تقابل </w:t>
      </w:r>
      <w:r w:rsidR="002B6515" w:rsidRPr="0025250D">
        <w:rPr>
          <w:rtl/>
        </w:rPr>
        <w:t>حس‌داد</w:t>
      </w:r>
      <w:r w:rsidRPr="0025250D">
        <w:rPr>
          <w:rFonts w:hint="cs"/>
          <w:rtl/>
        </w:rPr>
        <w:t xml:space="preserve"> در </w:t>
      </w:r>
      <w:r w:rsidR="00B124DE" w:rsidRPr="0025250D">
        <w:rPr>
          <w:rFonts w:hint="cs"/>
          <w:rtl/>
        </w:rPr>
        <w:t>آینده‌اندیش</w:t>
      </w:r>
      <w:r w:rsidRPr="0025250D">
        <w:rPr>
          <w:rFonts w:hint="cs"/>
          <w:rtl/>
        </w:rPr>
        <w:t xml:space="preserve">ی مرتبط هستند. آن‌ها هرم </w:t>
      </w:r>
      <w:r w:rsidRPr="0025250D">
        <w:rPr>
          <w:rtl/>
        </w:rPr>
        <w:t>آینده‌نگاری</w:t>
      </w:r>
      <w:r w:rsidRPr="0025250D">
        <w:rPr>
          <w:rFonts w:hint="cs"/>
          <w:rtl/>
        </w:rPr>
        <w:t xml:space="preserve"> را به عنوان مجموعه‌ای از فرایند‌های فکری مهم به محل کار وارد می‌کنند. این امر در کل 40 نقطه قوت کاری را به مدل تشخیصی ما می‌دهد. در زیر این مدل تشخیصی ارائه شده است:</w:t>
      </w:r>
    </w:p>
    <w:p w14:paraId="18B107F6" w14:textId="77777777" w:rsidR="00537CC8" w:rsidRPr="0025250D" w:rsidRDefault="00537CC8" w:rsidP="00537CC8">
      <w:pPr>
        <w:rPr>
          <w:b/>
          <w:bCs/>
          <w:rtl/>
        </w:rPr>
      </w:pPr>
      <w:r w:rsidRPr="0025250D">
        <w:rPr>
          <w:rFonts w:hint="cs"/>
          <w:b/>
          <w:bCs/>
          <w:rtl/>
        </w:rPr>
        <w:t xml:space="preserve">تشخیص هشت مهارت </w:t>
      </w:r>
      <w:r w:rsidRPr="0025250D">
        <w:rPr>
          <w:b/>
          <w:bCs/>
        </w:rPr>
        <w:t>4U</w:t>
      </w:r>
    </w:p>
    <w:tbl>
      <w:tblPr>
        <w:tblStyle w:val="TableGrid"/>
        <w:bidiVisual/>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254"/>
        <w:gridCol w:w="2254"/>
        <w:gridCol w:w="2254"/>
        <w:gridCol w:w="2254"/>
      </w:tblGrid>
      <w:tr w:rsidR="00537CC8" w:rsidRPr="0025250D" w14:paraId="2958755F" w14:textId="77777777" w:rsidTr="0090736C">
        <w:tc>
          <w:tcPr>
            <w:tcW w:w="9016" w:type="dxa"/>
            <w:gridSpan w:val="4"/>
          </w:tcPr>
          <w:p w14:paraId="5A8B340B" w14:textId="77777777" w:rsidR="00537CC8" w:rsidRPr="0025250D" w:rsidRDefault="00537CC8" w:rsidP="00537CC8">
            <w:pPr>
              <w:bidi/>
              <w:spacing w:after="160"/>
              <w:rPr>
                <w:b/>
                <w:bCs/>
                <w:sz w:val="16"/>
                <w:szCs w:val="18"/>
                <w:rtl/>
              </w:rPr>
            </w:pPr>
            <w:r w:rsidRPr="0025250D">
              <w:rPr>
                <w:rFonts w:hint="cs"/>
                <w:b/>
                <w:bCs/>
                <w:sz w:val="16"/>
                <w:szCs w:val="18"/>
                <w:rtl/>
              </w:rPr>
              <w:t xml:space="preserve">مهارت‌های </w:t>
            </w:r>
            <w:r w:rsidRPr="0025250D">
              <w:rPr>
                <w:b/>
                <w:bCs/>
                <w:sz w:val="16"/>
                <w:szCs w:val="18"/>
                <w:rtl/>
              </w:rPr>
              <w:t>آینده‌نگاری</w:t>
            </w:r>
            <w:r w:rsidRPr="0025250D">
              <w:rPr>
                <w:rFonts w:hint="cs"/>
                <w:b/>
                <w:bCs/>
                <w:sz w:val="16"/>
                <w:szCs w:val="18"/>
                <w:rtl/>
              </w:rPr>
              <w:t xml:space="preserve"> </w:t>
            </w:r>
            <w:r w:rsidRPr="0025250D">
              <w:rPr>
                <w:rFonts w:cs="Times New Roman" w:hint="cs"/>
                <w:b/>
                <w:bCs/>
                <w:sz w:val="16"/>
                <w:szCs w:val="18"/>
                <w:rtl/>
              </w:rPr>
              <w:t>–</w:t>
            </w:r>
            <w:r w:rsidRPr="0025250D">
              <w:rPr>
                <w:rFonts w:hint="cs"/>
                <w:b/>
                <w:bCs/>
                <w:sz w:val="16"/>
                <w:szCs w:val="18"/>
                <w:rtl/>
              </w:rPr>
              <w:t xml:space="preserve"> </w:t>
            </w:r>
            <w:r w:rsidRPr="0025250D">
              <w:rPr>
                <w:b/>
                <w:bCs/>
                <w:sz w:val="16"/>
                <w:szCs w:val="18"/>
              </w:rPr>
              <w:t>LAIS</w:t>
            </w:r>
          </w:p>
        </w:tc>
      </w:tr>
      <w:tr w:rsidR="00537CC8" w:rsidRPr="0025250D" w14:paraId="59F595D2" w14:textId="77777777" w:rsidTr="0090736C">
        <w:tc>
          <w:tcPr>
            <w:tcW w:w="2254" w:type="dxa"/>
          </w:tcPr>
          <w:p w14:paraId="419B7C27" w14:textId="77777777" w:rsidR="00537CC8" w:rsidRPr="0025250D" w:rsidRDefault="00537CC8" w:rsidP="00537CC8">
            <w:pPr>
              <w:bidi/>
              <w:spacing w:after="160"/>
              <w:rPr>
                <w:sz w:val="16"/>
                <w:szCs w:val="18"/>
                <w:rtl/>
              </w:rPr>
            </w:pPr>
            <w:r w:rsidRPr="0025250D">
              <w:rPr>
                <w:rFonts w:hint="cs"/>
                <w:sz w:val="16"/>
                <w:szCs w:val="18"/>
                <w:rtl/>
              </w:rPr>
              <w:t>1. یادگیری</w:t>
            </w:r>
          </w:p>
          <w:p w14:paraId="04F6B851" w14:textId="77777777" w:rsidR="00537CC8" w:rsidRPr="0025250D" w:rsidRDefault="00537CC8" w:rsidP="00492C47">
            <w:pPr>
              <w:numPr>
                <w:ilvl w:val="0"/>
                <w:numId w:val="59"/>
              </w:numPr>
              <w:bidi/>
              <w:spacing w:after="160"/>
              <w:ind w:left="429"/>
              <w:rPr>
                <w:sz w:val="16"/>
                <w:szCs w:val="18"/>
                <w:rtl/>
              </w:rPr>
            </w:pPr>
            <w:r w:rsidRPr="0025250D">
              <w:rPr>
                <w:rFonts w:hint="cs"/>
                <w:sz w:val="16"/>
                <w:szCs w:val="18"/>
                <w:rtl/>
              </w:rPr>
              <w:t>یادگیرنده</w:t>
            </w:r>
          </w:p>
          <w:p w14:paraId="0809AE3B" w14:textId="77777777" w:rsidR="00537CC8" w:rsidRPr="0025250D" w:rsidRDefault="00537CC8" w:rsidP="00492C47">
            <w:pPr>
              <w:numPr>
                <w:ilvl w:val="0"/>
                <w:numId w:val="59"/>
              </w:numPr>
              <w:bidi/>
              <w:spacing w:after="160"/>
              <w:ind w:left="429"/>
              <w:rPr>
                <w:sz w:val="16"/>
                <w:szCs w:val="18"/>
                <w:rtl/>
              </w:rPr>
            </w:pPr>
            <w:r w:rsidRPr="0025250D">
              <w:rPr>
                <w:rFonts w:hint="cs"/>
                <w:sz w:val="16"/>
                <w:szCs w:val="18"/>
                <w:rtl/>
              </w:rPr>
              <w:t>ورودی</w:t>
            </w:r>
          </w:p>
          <w:p w14:paraId="766DC6C0" w14:textId="77777777" w:rsidR="00537CC8" w:rsidRPr="0025250D" w:rsidRDefault="00537CC8" w:rsidP="00492C47">
            <w:pPr>
              <w:numPr>
                <w:ilvl w:val="0"/>
                <w:numId w:val="59"/>
              </w:numPr>
              <w:bidi/>
              <w:spacing w:after="160"/>
              <w:ind w:left="429"/>
              <w:rPr>
                <w:sz w:val="16"/>
                <w:szCs w:val="18"/>
                <w:rtl/>
              </w:rPr>
            </w:pPr>
            <w:r w:rsidRPr="0025250D">
              <w:rPr>
                <w:rFonts w:hint="cs"/>
                <w:sz w:val="16"/>
                <w:szCs w:val="18"/>
                <w:rtl/>
              </w:rPr>
              <w:t>اتصال</w:t>
            </w:r>
          </w:p>
          <w:p w14:paraId="6C6EB23A" w14:textId="77777777" w:rsidR="00537CC8" w:rsidRPr="0025250D" w:rsidRDefault="00537CC8" w:rsidP="00492C47">
            <w:pPr>
              <w:numPr>
                <w:ilvl w:val="0"/>
                <w:numId w:val="59"/>
              </w:numPr>
              <w:bidi/>
              <w:spacing w:after="160"/>
              <w:ind w:left="429"/>
              <w:rPr>
                <w:sz w:val="16"/>
                <w:szCs w:val="18"/>
                <w:rtl/>
              </w:rPr>
            </w:pPr>
            <w:r w:rsidRPr="0025250D">
              <w:rPr>
                <w:rFonts w:hint="cs"/>
                <w:sz w:val="16"/>
                <w:szCs w:val="18"/>
                <w:rtl/>
              </w:rPr>
              <w:t>بافت</w:t>
            </w:r>
          </w:p>
          <w:p w14:paraId="6DB84C49" w14:textId="77777777" w:rsidR="00537CC8" w:rsidRPr="0025250D" w:rsidRDefault="00537CC8" w:rsidP="00492C47">
            <w:pPr>
              <w:numPr>
                <w:ilvl w:val="0"/>
                <w:numId w:val="59"/>
              </w:numPr>
              <w:bidi/>
              <w:spacing w:after="160"/>
              <w:ind w:left="429"/>
              <w:rPr>
                <w:sz w:val="16"/>
                <w:szCs w:val="18"/>
                <w:rtl/>
              </w:rPr>
            </w:pPr>
            <w:r w:rsidRPr="0025250D">
              <w:rPr>
                <w:rFonts w:hint="cs"/>
                <w:sz w:val="16"/>
                <w:szCs w:val="18"/>
                <w:rtl/>
              </w:rPr>
              <w:t>همدلی</w:t>
            </w:r>
          </w:p>
        </w:tc>
        <w:tc>
          <w:tcPr>
            <w:tcW w:w="2254" w:type="dxa"/>
          </w:tcPr>
          <w:p w14:paraId="5253780A" w14:textId="72EC251B" w:rsidR="00537CC8" w:rsidRPr="0025250D" w:rsidRDefault="00537CC8" w:rsidP="00537CC8">
            <w:pPr>
              <w:bidi/>
              <w:spacing w:after="160"/>
              <w:rPr>
                <w:sz w:val="16"/>
                <w:szCs w:val="18"/>
                <w:rtl/>
              </w:rPr>
            </w:pPr>
            <w:r w:rsidRPr="0025250D">
              <w:rPr>
                <w:rFonts w:hint="cs"/>
                <w:sz w:val="16"/>
                <w:szCs w:val="18"/>
                <w:rtl/>
              </w:rPr>
              <w:t xml:space="preserve">2. </w:t>
            </w:r>
            <w:r w:rsidR="00923DDB" w:rsidRPr="0025250D">
              <w:rPr>
                <w:rFonts w:hint="cs"/>
                <w:sz w:val="16"/>
                <w:szCs w:val="18"/>
                <w:rtl/>
              </w:rPr>
              <w:t>پیش‌انگاری</w:t>
            </w:r>
          </w:p>
          <w:p w14:paraId="67310AA5" w14:textId="77777777" w:rsidR="00537CC8" w:rsidRPr="0025250D" w:rsidRDefault="00537CC8" w:rsidP="00492C47">
            <w:pPr>
              <w:numPr>
                <w:ilvl w:val="0"/>
                <w:numId w:val="60"/>
              </w:numPr>
              <w:bidi/>
              <w:spacing w:after="160"/>
              <w:ind w:left="399"/>
              <w:rPr>
                <w:sz w:val="16"/>
                <w:szCs w:val="18"/>
                <w:rtl/>
              </w:rPr>
            </w:pPr>
            <w:r w:rsidRPr="0025250D">
              <w:rPr>
                <w:rFonts w:hint="cs"/>
                <w:sz w:val="16"/>
                <w:szCs w:val="18"/>
                <w:rtl/>
              </w:rPr>
              <w:t>تحلیلی</w:t>
            </w:r>
          </w:p>
          <w:p w14:paraId="5F72552C" w14:textId="77777777" w:rsidR="00537CC8" w:rsidRPr="0025250D" w:rsidRDefault="00537CC8" w:rsidP="00492C47">
            <w:pPr>
              <w:numPr>
                <w:ilvl w:val="0"/>
                <w:numId w:val="60"/>
              </w:numPr>
              <w:bidi/>
              <w:spacing w:after="160"/>
              <w:ind w:left="399"/>
              <w:rPr>
                <w:sz w:val="16"/>
                <w:szCs w:val="18"/>
                <w:rtl/>
              </w:rPr>
            </w:pPr>
            <w:r w:rsidRPr="0025250D">
              <w:rPr>
                <w:rFonts w:hint="cs"/>
                <w:sz w:val="16"/>
                <w:szCs w:val="18"/>
                <w:rtl/>
              </w:rPr>
              <w:t>فکری</w:t>
            </w:r>
          </w:p>
          <w:p w14:paraId="403A7524" w14:textId="77777777" w:rsidR="00537CC8" w:rsidRPr="0025250D" w:rsidRDefault="00537CC8" w:rsidP="00492C47">
            <w:pPr>
              <w:numPr>
                <w:ilvl w:val="0"/>
                <w:numId w:val="60"/>
              </w:numPr>
              <w:bidi/>
              <w:spacing w:after="160"/>
              <w:ind w:left="399"/>
              <w:rPr>
                <w:sz w:val="16"/>
                <w:szCs w:val="18"/>
                <w:rtl/>
              </w:rPr>
            </w:pPr>
            <w:r w:rsidRPr="0025250D">
              <w:rPr>
                <w:rFonts w:hint="cs"/>
                <w:sz w:val="16"/>
                <w:szCs w:val="18"/>
                <w:rtl/>
              </w:rPr>
              <w:t>مدافع (</w:t>
            </w:r>
            <w:r w:rsidRPr="0025250D">
              <w:rPr>
                <w:sz w:val="16"/>
                <w:szCs w:val="18"/>
              </w:rPr>
              <w:t>4U</w:t>
            </w:r>
            <w:r w:rsidRPr="0025250D">
              <w:rPr>
                <w:rFonts w:hint="cs"/>
                <w:sz w:val="16"/>
                <w:szCs w:val="18"/>
                <w:rtl/>
              </w:rPr>
              <w:t>)</w:t>
            </w:r>
          </w:p>
          <w:p w14:paraId="1DACBF18" w14:textId="77777777" w:rsidR="00537CC8" w:rsidRPr="0025250D" w:rsidRDefault="00537CC8" w:rsidP="00492C47">
            <w:pPr>
              <w:numPr>
                <w:ilvl w:val="0"/>
                <w:numId w:val="60"/>
              </w:numPr>
              <w:bidi/>
              <w:spacing w:after="160"/>
              <w:ind w:left="399"/>
              <w:rPr>
                <w:sz w:val="16"/>
                <w:szCs w:val="18"/>
                <w:rtl/>
              </w:rPr>
            </w:pPr>
            <w:r w:rsidRPr="0025250D">
              <w:rPr>
                <w:rFonts w:hint="cs"/>
                <w:sz w:val="16"/>
                <w:szCs w:val="18"/>
                <w:rtl/>
              </w:rPr>
              <w:t>جستجوگر (</w:t>
            </w:r>
            <w:r w:rsidRPr="0025250D">
              <w:rPr>
                <w:sz w:val="16"/>
                <w:szCs w:val="18"/>
              </w:rPr>
              <w:t>4U</w:t>
            </w:r>
            <w:r w:rsidRPr="0025250D">
              <w:rPr>
                <w:rFonts w:hint="cs"/>
                <w:sz w:val="16"/>
                <w:szCs w:val="18"/>
                <w:rtl/>
              </w:rPr>
              <w:t>)</w:t>
            </w:r>
          </w:p>
          <w:p w14:paraId="072BCD78" w14:textId="7D1663DC" w:rsidR="00537CC8" w:rsidRPr="0025250D" w:rsidRDefault="00D92F6E" w:rsidP="00492C47">
            <w:pPr>
              <w:numPr>
                <w:ilvl w:val="0"/>
                <w:numId w:val="60"/>
              </w:numPr>
              <w:bidi/>
              <w:spacing w:after="160"/>
              <w:ind w:left="399"/>
              <w:rPr>
                <w:sz w:val="16"/>
                <w:szCs w:val="18"/>
                <w:rtl/>
              </w:rPr>
            </w:pPr>
            <w:r w:rsidRPr="0025250D">
              <w:rPr>
                <w:rFonts w:hint="cs"/>
                <w:sz w:val="16"/>
                <w:szCs w:val="18"/>
                <w:rtl/>
              </w:rPr>
              <w:t>پیش‌بین</w:t>
            </w:r>
            <w:r w:rsidR="00537CC8" w:rsidRPr="0025250D">
              <w:rPr>
                <w:rFonts w:hint="cs"/>
                <w:sz w:val="16"/>
                <w:szCs w:val="18"/>
                <w:rtl/>
              </w:rPr>
              <w:t>ی کننده (</w:t>
            </w:r>
            <w:r w:rsidR="00537CC8" w:rsidRPr="0025250D">
              <w:rPr>
                <w:sz w:val="16"/>
                <w:szCs w:val="18"/>
              </w:rPr>
              <w:t>4U</w:t>
            </w:r>
            <w:r w:rsidR="00537CC8" w:rsidRPr="0025250D">
              <w:rPr>
                <w:rFonts w:hint="cs"/>
                <w:sz w:val="16"/>
                <w:szCs w:val="18"/>
                <w:rtl/>
              </w:rPr>
              <w:t>)</w:t>
            </w:r>
          </w:p>
        </w:tc>
        <w:tc>
          <w:tcPr>
            <w:tcW w:w="2254" w:type="dxa"/>
          </w:tcPr>
          <w:p w14:paraId="36762E97" w14:textId="77777777" w:rsidR="00537CC8" w:rsidRPr="0025250D" w:rsidRDefault="00537CC8" w:rsidP="00537CC8">
            <w:pPr>
              <w:bidi/>
              <w:spacing w:after="160"/>
              <w:rPr>
                <w:sz w:val="16"/>
                <w:szCs w:val="18"/>
                <w:rtl/>
              </w:rPr>
            </w:pPr>
            <w:r w:rsidRPr="0025250D">
              <w:rPr>
                <w:rFonts w:hint="cs"/>
                <w:sz w:val="16"/>
                <w:szCs w:val="18"/>
                <w:rtl/>
              </w:rPr>
              <w:t>3. نوآوری</w:t>
            </w:r>
          </w:p>
          <w:p w14:paraId="6EE620F5" w14:textId="77777777" w:rsidR="00537CC8" w:rsidRPr="0025250D" w:rsidRDefault="00537CC8" w:rsidP="00492C47">
            <w:pPr>
              <w:numPr>
                <w:ilvl w:val="0"/>
                <w:numId w:val="61"/>
              </w:numPr>
              <w:bidi/>
              <w:spacing w:after="160"/>
              <w:ind w:left="425"/>
              <w:rPr>
                <w:sz w:val="16"/>
                <w:szCs w:val="18"/>
                <w:rtl/>
              </w:rPr>
            </w:pPr>
            <w:r w:rsidRPr="0025250D">
              <w:rPr>
                <w:rFonts w:hint="cs"/>
                <w:sz w:val="16"/>
                <w:szCs w:val="18"/>
                <w:rtl/>
              </w:rPr>
              <w:t>ایده پردازی</w:t>
            </w:r>
          </w:p>
          <w:p w14:paraId="0D8B497F" w14:textId="77777777" w:rsidR="00537CC8" w:rsidRPr="0025250D" w:rsidRDefault="00537CC8" w:rsidP="00492C47">
            <w:pPr>
              <w:numPr>
                <w:ilvl w:val="0"/>
                <w:numId w:val="61"/>
              </w:numPr>
              <w:bidi/>
              <w:spacing w:after="160"/>
              <w:ind w:left="425"/>
              <w:rPr>
                <w:sz w:val="16"/>
                <w:szCs w:val="18"/>
                <w:rtl/>
              </w:rPr>
            </w:pPr>
            <w:r w:rsidRPr="0025250D">
              <w:rPr>
                <w:rFonts w:hint="cs"/>
                <w:sz w:val="16"/>
                <w:szCs w:val="18"/>
                <w:rtl/>
              </w:rPr>
              <w:t>آینده نگرانه</w:t>
            </w:r>
          </w:p>
          <w:p w14:paraId="338F5598" w14:textId="77777777" w:rsidR="00537CC8" w:rsidRPr="0025250D" w:rsidRDefault="00537CC8" w:rsidP="00492C47">
            <w:pPr>
              <w:numPr>
                <w:ilvl w:val="0"/>
                <w:numId w:val="61"/>
              </w:numPr>
              <w:bidi/>
              <w:spacing w:after="160"/>
              <w:ind w:left="425"/>
              <w:rPr>
                <w:sz w:val="16"/>
                <w:szCs w:val="18"/>
                <w:rtl/>
              </w:rPr>
            </w:pPr>
            <w:r w:rsidRPr="0025250D">
              <w:rPr>
                <w:rFonts w:hint="cs"/>
                <w:sz w:val="16"/>
                <w:szCs w:val="18"/>
                <w:rtl/>
              </w:rPr>
              <w:t>پیشرفت دهنده (</w:t>
            </w:r>
            <w:r w:rsidRPr="0025250D">
              <w:rPr>
                <w:sz w:val="16"/>
                <w:szCs w:val="18"/>
              </w:rPr>
              <w:t>4U</w:t>
            </w:r>
            <w:r w:rsidRPr="0025250D">
              <w:rPr>
                <w:rFonts w:hint="cs"/>
                <w:sz w:val="16"/>
                <w:szCs w:val="18"/>
                <w:rtl/>
              </w:rPr>
              <w:t>)</w:t>
            </w:r>
          </w:p>
          <w:p w14:paraId="1CD37480" w14:textId="77777777" w:rsidR="00537CC8" w:rsidRPr="0025250D" w:rsidRDefault="00537CC8" w:rsidP="00492C47">
            <w:pPr>
              <w:numPr>
                <w:ilvl w:val="0"/>
                <w:numId w:val="61"/>
              </w:numPr>
              <w:bidi/>
              <w:spacing w:after="160"/>
              <w:ind w:left="425"/>
              <w:rPr>
                <w:sz w:val="16"/>
                <w:szCs w:val="18"/>
                <w:rtl/>
              </w:rPr>
            </w:pPr>
            <w:r w:rsidRPr="0025250D">
              <w:rPr>
                <w:rFonts w:hint="cs"/>
                <w:sz w:val="16"/>
                <w:szCs w:val="18"/>
                <w:rtl/>
              </w:rPr>
              <w:t>خالق (</w:t>
            </w:r>
            <w:r w:rsidRPr="0025250D">
              <w:rPr>
                <w:sz w:val="16"/>
                <w:szCs w:val="18"/>
              </w:rPr>
              <w:t>4U</w:t>
            </w:r>
            <w:r w:rsidRPr="0025250D">
              <w:rPr>
                <w:rFonts w:hint="cs"/>
                <w:sz w:val="16"/>
                <w:szCs w:val="18"/>
                <w:rtl/>
              </w:rPr>
              <w:t>)</w:t>
            </w:r>
          </w:p>
          <w:p w14:paraId="77290287" w14:textId="77777777" w:rsidR="00537CC8" w:rsidRPr="0025250D" w:rsidRDefault="00537CC8" w:rsidP="00492C47">
            <w:pPr>
              <w:numPr>
                <w:ilvl w:val="0"/>
                <w:numId w:val="61"/>
              </w:numPr>
              <w:bidi/>
              <w:spacing w:after="160"/>
              <w:ind w:left="425"/>
              <w:rPr>
                <w:sz w:val="16"/>
                <w:szCs w:val="18"/>
                <w:rtl/>
              </w:rPr>
            </w:pPr>
            <w:r w:rsidRPr="0025250D">
              <w:rPr>
                <w:rFonts w:hint="cs"/>
                <w:sz w:val="16"/>
                <w:szCs w:val="18"/>
                <w:rtl/>
              </w:rPr>
              <w:t>طراح (</w:t>
            </w:r>
            <w:r w:rsidRPr="0025250D">
              <w:rPr>
                <w:sz w:val="16"/>
                <w:szCs w:val="18"/>
              </w:rPr>
              <w:t>4U</w:t>
            </w:r>
            <w:r w:rsidRPr="0025250D">
              <w:rPr>
                <w:rFonts w:hint="cs"/>
                <w:sz w:val="16"/>
                <w:szCs w:val="18"/>
                <w:rtl/>
              </w:rPr>
              <w:t>)</w:t>
            </w:r>
          </w:p>
        </w:tc>
        <w:tc>
          <w:tcPr>
            <w:tcW w:w="2254" w:type="dxa"/>
          </w:tcPr>
          <w:p w14:paraId="7B52DF70" w14:textId="17F1D5DB" w:rsidR="00537CC8" w:rsidRPr="0025250D" w:rsidRDefault="00537CC8" w:rsidP="00537CC8">
            <w:pPr>
              <w:bidi/>
              <w:spacing w:after="160"/>
              <w:rPr>
                <w:sz w:val="16"/>
                <w:szCs w:val="18"/>
                <w:rtl/>
              </w:rPr>
            </w:pPr>
            <w:r w:rsidRPr="0025250D">
              <w:rPr>
                <w:rFonts w:hint="cs"/>
                <w:sz w:val="16"/>
                <w:szCs w:val="18"/>
                <w:rtl/>
              </w:rPr>
              <w:t xml:space="preserve">4. </w:t>
            </w:r>
            <w:r w:rsidR="00701E03" w:rsidRPr="0025250D">
              <w:rPr>
                <w:rFonts w:hint="cs"/>
                <w:sz w:val="16"/>
                <w:szCs w:val="18"/>
                <w:rtl/>
              </w:rPr>
              <w:t>راهبرد</w:t>
            </w:r>
          </w:p>
          <w:p w14:paraId="3552C932" w14:textId="77777777" w:rsidR="00537CC8" w:rsidRPr="0025250D" w:rsidRDefault="00537CC8" w:rsidP="00492C47">
            <w:pPr>
              <w:numPr>
                <w:ilvl w:val="0"/>
                <w:numId w:val="62"/>
              </w:numPr>
              <w:bidi/>
              <w:spacing w:after="160"/>
              <w:ind w:left="430"/>
              <w:rPr>
                <w:sz w:val="16"/>
                <w:szCs w:val="18"/>
                <w:rtl/>
              </w:rPr>
            </w:pPr>
            <w:r w:rsidRPr="0025250D">
              <w:rPr>
                <w:rFonts w:hint="cs"/>
                <w:sz w:val="16"/>
                <w:szCs w:val="18"/>
                <w:rtl/>
              </w:rPr>
              <w:t>مرتب کننده</w:t>
            </w:r>
          </w:p>
          <w:p w14:paraId="43FD403B" w14:textId="77777777" w:rsidR="00537CC8" w:rsidRPr="0025250D" w:rsidRDefault="00537CC8" w:rsidP="00492C47">
            <w:pPr>
              <w:numPr>
                <w:ilvl w:val="0"/>
                <w:numId w:val="62"/>
              </w:numPr>
              <w:bidi/>
              <w:spacing w:after="160"/>
              <w:ind w:left="430"/>
              <w:rPr>
                <w:sz w:val="16"/>
                <w:szCs w:val="18"/>
                <w:rtl/>
              </w:rPr>
            </w:pPr>
            <w:r w:rsidRPr="0025250D">
              <w:rPr>
                <w:rFonts w:hint="cs"/>
                <w:sz w:val="16"/>
                <w:szCs w:val="18"/>
                <w:rtl/>
              </w:rPr>
              <w:t>باور</w:t>
            </w:r>
          </w:p>
          <w:p w14:paraId="6595F2B2" w14:textId="77777777" w:rsidR="00537CC8" w:rsidRPr="0025250D" w:rsidRDefault="00537CC8" w:rsidP="00492C47">
            <w:pPr>
              <w:numPr>
                <w:ilvl w:val="0"/>
                <w:numId w:val="62"/>
              </w:numPr>
              <w:bidi/>
              <w:spacing w:after="160"/>
              <w:ind w:left="430"/>
              <w:rPr>
                <w:sz w:val="16"/>
                <w:szCs w:val="18"/>
                <w:rtl/>
              </w:rPr>
            </w:pPr>
            <w:r w:rsidRPr="0025250D">
              <w:rPr>
                <w:rFonts w:hint="cs"/>
                <w:sz w:val="16"/>
                <w:szCs w:val="18"/>
                <w:rtl/>
              </w:rPr>
              <w:t>ارادی</w:t>
            </w:r>
          </w:p>
          <w:p w14:paraId="448C79A5" w14:textId="77777777" w:rsidR="00537CC8" w:rsidRPr="0025250D" w:rsidRDefault="00537CC8" w:rsidP="00492C47">
            <w:pPr>
              <w:numPr>
                <w:ilvl w:val="0"/>
                <w:numId w:val="62"/>
              </w:numPr>
              <w:bidi/>
              <w:spacing w:after="160"/>
              <w:ind w:left="430"/>
              <w:rPr>
                <w:sz w:val="16"/>
                <w:szCs w:val="18"/>
                <w:rtl/>
              </w:rPr>
            </w:pPr>
            <w:r w:rsidRPr="0025250D">
              <w:rPr>
                <w:rFonts w:hint="cs"/>
                <w:sz w:val="16"/>
                <w:szCs w:val="18"/>
                <w:rtl/>
              </w:rPr>
              <w:t>حداکثرساز</w:t>
            </w:r>
          </w:p>
          <w:p w14:paraId="5C2386C2" w14:textId="7C8440D4" w:rsidR="00537CC8" w:rsidRPr="0025250D" w:rsidRDefault="00701E03" w:rsidP="00492C47">
            <w:pPr>
              <w:numPr>
                <w:ilvl w:val="0"/>
                <w:numId w:val="62"/>
              </w:numPr>
              <w:bidi/>
              <w:spacing w:after="160"/>
              <w:ind w:left="430"/>
              <w:rPr>
                <w:sz w:val="16"/>
                <w:szCs w:val="18"/>
                <w:rtl/>
              </w:rPr>
            </w:pPr>
            <w:r w:rsidRPr="0025250D">
              <w:rPr>
                <w:rFonts w:hint="cs"/>
                <w:sz w:val="16"/>
                <w:szCs w:val="18"/>
                <w:rtl/>
              </w:rPr>
              <w:t>راهبردی</w:t>
            </w:r>
          </w:p>
        </w:tc>
      </w:tr>
    </w:tbl>
    <w:p w14:paraId="3D816EDC" w14:textId="77777777" w:rsidR="00537CC8" w:rsidRPr="0025250D" w:rsidRDefault="00537CC8" w:rsidP="00537CC8">
      <w:pPr>
        <w:rPr>
          <w:rtl/>
        </w:rPr>
      </w:pPr>
    </w:p>
    <w:tbl>
      <w:tblPr>
        <w:tblStyle w:val="TableGrid"/>
        <w:bidiVisual/>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254"/>
        <w:gridCol w:w="2254"/>
        <w:gridCol w:w="2254"/>
        <w:gridCol w:w="2254"/>
      </w:tblGrid>
      <w:tr w:rsidR="00537CC8" w:rsidRPr="0025250D" w14:paraId="2F68BB04" w14:textId="77777777" w:rsidTr="0090736C">
        <w:tc>
          <w:tcPr>
            <w:tcW w:w="9016" w:type="dxa"/>
            <w:gridSpan w:val="4"/>
          </w:tcPr>
          <w:p w14:paraId="2986B209" w14:textId="77777777" w:rsidR="00537CC8" w:rsidRPr="0025250D" w:rsidRDefault="00537CC8" w:rsidP="00537CC8">
            <w:pPr>
              <w:bidi/>
              <w:spacing w:after="160"/>
              <w:rPr>
                <w:b/>
                <w:bCs/>
                <w:sz w:val="16"/>
                <w:szCs w:val="18"/>
                <w:rtl/>
              </w:rPr>
            </w:pPr>
            <w:r w:rsidRPr="0025250D">
              <w:rPr>
                <w:rFonts w:hint="cs"/>
                <w:b/>
                <w:bCs/>
                <w:sz w:val="16"/>
                <w:szCs w:val="18"/>
                <w:rtl/>
              </w:rPr>
              <w:t xml:space="preserve">مهارت‌های عملی - </w:t>
            </w:r>
            <w:r w:rsidRPr="0025250D">
              <w:rPr>
                <w:b/>
                <w:bCs/>
                <w:sz w:val="16"/>
                <w:szCs w:val="18"/>
              </w:rPr>
              <w:t>EIRR</w:t>
            </w:r>
          </w:p>
        </w:tc>
      </w:tr>
      <w:tr w:rsidR="00537CC8" w:rsidRPr="0025250D" w14:paraId="1DF68634" w14:textId="77777777" w:rsidTr="0090736C">
        <w:tc>
          <w:tcPr>
            <w:tcW w:w="2254" w:type="dxa"/>
          </w:tcPr>
          <w:p w14:paraId="5FDB67AF" w14:textId="77777777" w:rsidR="00537CC8" w:rsidRPr="0025250D" w:rsidRDefault="00537CC8" w:rsidP="00537CC8">
            <w:pPr>
              <w:bidi/>
              <w:spacing w:after="160"/>
              <w:rPr>
                <w:sz w:val="16"/>
                <w:szCs w:val="18"/>
                <w:rtl/>
              </w:rPr>
            </w:pPr>
            <w:r w:rsidRPr="0025250D">
              <w:rPr>
                <w:rFonts w:hint="cs"/>
                <w:sz w:val="16"/>
                <w:szCs w:val="18"/>
                <w:rtl/>
              </w:rPr>
              <w:t>5. اجرا</w:t>
            </w:r>
          </w:p>
          <w:p w14:paraId="7F259F9A" w14:textId="77777777" w:rsidR="00537CC8" w:rsidRPr="0025250D" w:rsidRDefault="00537CC8" w:rsidP="00492C47">
            <w:pPr>
              <w:numPr>
                <w:ilvl w:val="0"/>
                <w:numId w:val="63"/>
              </w:numPr>
              <w:bidi/>
              <w:spacing w:after="160"/>
              <w:ind w:left="429"/>
              <w:rPr>
                <w:sz w:val="16"/>
                <w:szCs w:val="18"/>
                <w:rtl/>
              </w:rPr>
            </w:pPr>
            <w:r w:rsidRPr="0025250D">
              <w:rPr>
                <w:rFonts w:hint="cs"/>
                <w:sz w:val="16"/>
                <w:szCs w:val="18"/>
                <w:rtl/>
              </w:rPr>
              <w:t>دست یابنده</w:t>
            </w:r>
          </w:p>
          <w:p w14:paraId="6168E0E3" w14:textId="77777777" w:rsidR="00537CC8" w:rsidRPr="0025250D" w:rsidRDefault="00537CC8" w:rsidP="00492C47">
            <w:pPr>
              <w:numPr>
                <w:ilvl w:val="0"/>
                <w:numId w:val="63"/>
              </w:numPr>
              <w:bidi/>
              <w:spacing w:after="160"/>
              <w:ind w:left="429"/>
              <w:rPr>
                <w:sz w:val="16"/>
                <w:szCs w:val="18"/>
                <w:rtl/>
              </w:rPr>
            </w:pPr>
            <w:r w:rsidRPr="0025250D">
              <w:rPr>
                <w:rFonts w:hint="cs"/>
                <w:sz w:val="16"/>
                <w:szCs w:val="18"/>
                <w:rtl/>
              </w:rPr>
              <w:t>فعال ساز</w:t>
            </w:r>
          </w:p>
          <w:p w14:paraId="0F884DBE" w14:textId="77777777" w:rsidR="00537CC8" w:rsidRPr="0025250D" w:rsidRDefault="00537CC8" w:rsidP="00492C47">
            <w:pPr>
              <w:numPr>
                <w:ilvl w:val="0"/>
                <w:numId w:val="63"/>
              </w:numPr>
              <w:bidi/>
              <w:spacing w:after="160"/>
              <w:ind w:left="429"/>
              <w:rPr>
                <w:sz w:val="16"/>
                <w:szCs w:val="18"/>
                <w:rtl/>
              </w:rPr>
            </w:pPr>
            <w:r w:rsidRPr="0025250D">
              <w:rPr>
                <w:rFonts w:hint="cs"/>
                <w:sz w:val="16"/>
                <w:szCs w:val="18"/>
                <w:rtl/>
              </w:rPr>
              <w:t>دستور</w:t>
            </w:r>
          </w:p>
          <w:p w14:paraId="7B1B2D5D" w14:textId="77777777" w:rsidR="00537CC8" w:rsidRPr="0025250D" w:rsidRDefault="00537CC8" w:rsidP="00492C47">
            <w:pPr>
              <w:numPr>
                <w:ilvl w:val="0"/>
                <w:numId w:val="63"/>
              </w:numPr>
              <w:bidi/>
              <w:spacing w:after="160"/>
              <w:ind w:left="429"/>
              <w:rPr>
                <w:sz w:val="16"/>
                <w:szCs w:val="18"/>
                <w:rtl/>
              </w:rPr>
            </w:pPr>
            <w:r w:rsidRPr="0025250D">
              <w:rPr>
                <w:rFonts w:hint="cs"/>
                <w:sz w:val="16"/>
                <w:szCs w:val="18"/>
                <w:rtl/>
              </w:rPr>
              <w:t>نظم</w:t>
            </w:r>
          </w:p>
          <w:p w14:paraId="5CA84397" w14:textId="77777777" w:rsidR="00537CC8" w:rsidRPr="0025250D" w:rsidRDefault="00537CC8" w:rsidP="00492C47">
            <w:pPr>
              <w:numPr>
                <w:ilvl w:val="0"/>
                <w:numId w:val="63"/>
              </w:numPr>
              <w:bidi/>
              <w:spacing w:after="160"/>
              <w:ind w:left="429"/>
              <w:rPr>
                <w:sz w:val="16"/>
                <w:szCs w:val="18"/>
                <w:rtl/>
              </w:rPr>
            </w:pPr>
            <w:r w:rsidRPr="0025250D">
              <w:rPr>
                <w:rFonts w:hint="cs"/>
                <w:sz w:val="16"/>
                <w:szCs w:val="18"/>
                <w:rtl/>
              </w:rPr>
              <w:t>تمرکز</w:t>
            </w:r>
          </w:p>
        </w:tc>
        <w:tc>
          <w:tcPr>
            <w:tcW w:w="2254" w:type="dxa"/>
          </w:tcPr>
          <w:p w14:paraId="3E35ECF8" w14:textId="77777777" w:rsidR="00537CC8" w:rsidRPr="0025250D" w:rsidRDefault="00537CC8" w:rsidP="00537CC8">
            <w:pPr>
              <w:bidi/>
              <w:spacing w:after="160"/>
              <w:rPr>
                <w:sz w:val="16"/>
                <w:szCs w:val="18"/>
                <w:rtl/>
              </w:rPr>
            </w:pPr>
            <w:r w:rsidRPr="0025250D">
              <w:rPr>
                <w:rFonts w:hint="cs"/>
                <w:sz w:val="16"/>
                <w:szCs w:val="18"/>
                <w:rtl/>
              </w:rPr>
              <w:t>6. تأثیر</w:t>
            </w:r>
          </w:p>
          <w:p w14:paraId="35D0BC43" w14:textId="77777777" w:rsidR="00537CC8" w:rsidRPr="0025250D" w:rsidRDefault="00537CC8" w:rsidP="00492C47">
            <w:pPr>
              <w:numPr>
                <w:ilvl w:val="0"/>
                <w:numId w:val="64"/>
              </w:numPr>
              <w:bidi/>
              <w:spacing w:after="160"/>
              <w:ind w:left="360"/>
              <w:rPr>
                <w:sz w:val="16"/>
                <w:szCs w:val="18"/>
                <w:rtl/>
              </w:rPr>
            </w:pPr>
            <w:r w:rsidRPr="0025250D">
              <w:rPr>
                <w:rFonts w:hint="cs"/>
                <w:sz w:val="16"/>
                <w:szCs w:val="18"/>
                <w:rtl/>
              </w:rPr>
              <w:t>ارتباطات</w:t>
            </w:r>
          </w:p>
          <w:p w14:paraId="23D32BD6" w14:textId="77777777" w:rsidR="00537CC8" w:rsidRPr="0025250D" w:rsidRDefault="00537CC8" w:rsidP="00492C47">
            <w:pPr>
              <w:numPr>
                <w:ilvl w:val="0"/>
                <w:numId w:val="64"/>
              </w:numPr>
              <w:bidi/>
              <w:spacing w:after="160"/>
              <w:ind w:left="360"/>
              <w:rPr>
                <w:sz w:val="16"/>
                <w:szCs w:val="18"/>
                <w:rtl/>
              </w:rPr>
            </w:pPr>
            <w:r w:rsidRPr="0025250D">
              <w:rPr>
                <w:rFonts w:hint="cs"/>
                <w:sz w:val="16"/>
                <w:szCs w:val="18"/>
                <w:rtl/>
              </w:rPr>
              <w:t>مثبت بودن</w:t>
            </w:r>
          </w:p>
          <w:p w14:paraId="77456DE1" w14:textId="77777777" w:rsidR="00537CC8" w:rsidRPr="0025250D" w:rsidRDefault="00537CC8" w:rsidP="00492C47">
            <w:pPr>
              <w:numPr>
                <w:ilvl w:val="0"/>
                <w:numId w:val="64"/>
              </w:numPr>
              <w:bidi/>
              <w:spacing w:after="160"/>
              <w:ind w:left="360"/>
              <w:rPr>
                <w:sz w:val="16"/>
                <w:szCs w:val="18"/>
                <w:rtl/>
              </w:rPr>
            </w:pPr>
            <w:r w:rsidRPr="0025250D">
              <w:rPr>
                <w:rFonts w:hint="cs"/>
                <w:sz w:val="16"/>
                <w:szCs w:val="18"/>
                <w:rtl/>
              </w:rPr>
              <w:t>اطمینان به خود</w:t>
            </w:r>
          </w:p>
          <w:p w14:paraId="3D955955" w14:textId="77777777" w:rsidR="00537CC8" w:rsidRPr="0025250D" w:rsidRDefault="00537CC8" w:rsidP="00492C47">
            <w:pPr>
              <w:numPr>
                <w:ilvl w:val="0"/>
                <w:numId w:val="64"/>
              </w:numPr>
              <w:bidi/>
              <w:spacing w:after="160"/>
              <w:ind w:left="360"/>
              <w:rPr>
                <w:sz w:val="16"/>
                <w:szCs w:val="18"/>
                <w:rtl/>
              </w:rPr>
            </w:pPr>
            <w:r w:rsidRPr="0025250D">
              <w:rPr>
                <w:rFonts w:hint="cs"/>
                <w:sz w:val="16"/>
                <w:szCs w:val="18"/>
                <w:rtl/>
              </w:rPr>
              <w:t>اهمیت</w:t>
            </w:r>
          </w:p>
          <w:p w14:paraId="2590F0D1" w14:textId="77777777" w:rsidR="00537CC8" w:rsidRPr="0025250D" w:rsidRDefault="00537CC8" w:rsidP="00492C47">
            <w:pPr>
              <w:numPr>
                <w:ilvl w:val="0"/>
                <w:numId w:val="64"/>
              </w:numPr>
              <w:bidi/>
              <w:spacing w:after="160"/>
              <w:ind w:left="360"/>
              <w:rPr>
                <w:sz w:val="16"/>
                <w:szCs w:val="18"/>
                <w:rtl/>
              </w:rPr>
            </w:pPr>
            <w:r w:rsidRPr="0025250D">
              <w:rPr>
                <w:rFonts w:hint="cs"/>
                <w:sz w:val="16"/>
                <w:szCs w:val="18"/>
                <w:rtl/>
              </w:rPr>
              <w:t>جلب توجه کردن</w:t>
            </w:r>
          </w:p>
        </w:tc>
        <w:tc>
          <w:tcPr>
            <w:tcW w:w="2254" w:type="dxa"/>
          </w:tcPr>
          <w:p w14:paraId="44733AB9" w14:textId="67F38973" w:rsidR="00537CC8" w:rsidRPr="0025250D" w:rsidRDefault="00537CC8" w:rsidP="00537CC8">
            <w:pPr>
              <w:bidi/>
              <w:spacing w:after="160"/>
              <w:rPr>
                <w:sz w:val="16"/>
                <w:szCs w:val="18"/>
                <w:rtl/>
              </w:rPr>
            </w:pPr>
            <w:r w:rsidRPr="0025250D">
              <w:rPr>
                <w:rFonts w:hint="cs"/>
                <w:sz w:val="16"/>
                <w:szCs w:val="18"/>
                <w:rtl/>
              </w:rPr>
              <w:t xml:space="preserve">7. </w:t>
            </w:r>
            <w:r w:rsidR="0008779C" w:rsidRPr="0025250D">
              <w:rPr>
                <w:rFonts w:hint="cs"/>
                <w:sz w:val="16"/>
                <w:szCs w:val="18"/>
                <w:rtl/>
              </w:rPr>
              <w:t>ارتباط‌دهی</w:t>
            </w:r>
          </w:p>
          <w:p w14:paraId="13A098E9" w14:textId="58556144" w:rsidR="00537CC8" w:rsidRPr="0025250D" w:rsidRDefault="00537CC8" w:rsidP="00492C47">
            <w:pPr>
              <w:numPr>
                <w:ilvl w:val="0"/>
                <w:numId w:val="65"/>
              </w:numPr>
              <w:bidi/>
              <w:spacing w:after="160"/>
              <w:ind w:left="360"/>
              <w:rPr>
                <w:sz w:val="16"/>
                <w:szCs w:val="18"/>
                <w:rtl/>
              </w:rPr>
            </w:pPr>
            <w:r w:rsidRPr="0025250D">
              <w:rPr>
                <w:rFonts w:hint="cs"/>
                <w:sz w:val="16"/>
                <w:szCs w:val="18"/>
                <w:rtl/>
              </w:rPr>
              <w:t xml:space="preserve">قابلیت </w:t>
            </w:r>
            <w:r w:rsidR="00B124DE" w:rsidRPr="0025250D">
              <w:rPr>
                <w:rFonts w:hint="cs"/>
                <w:sz w:val="16"/>
                <w:szCs w:val="18"/>
                <w:rtl/>
              </w:rPr>
              <w:t>انطباق‌پذیر</w:t>
            </w:r>
            <w:r w:rsidRPr="0025250D">
              <w:rPr>
                <w:rFonts w:hint="cs"/>
                <w:sz w:val="16"/>
                <w:szCs w:val="18"/>
                <w:rtl/>
              </w:rPr>
              <w:t>ی</w:t>
            </w:r>
          </w:p>
          <w:p w14:paraId="1316E3FC" w14:textId="77777777" w:rsidR="00537CC8" w:rsidRPr="0025250D" w:rsidRDefault="00537CC8" w:rsidP="00492C47">
            <w:pPr>
              <w:numPr>
                <w:ilvl w:val="0"/>
                <w:numId w:val="65"/>
              </w:numPr>
              <w:bidi/>
              <w:spacing w:after="160"/>
              <w:ind w:left="360"/>
              <w:rPr>
                <w:sz w:val="16"/>
                <w:szCs w:val="18"/>
                <w:rtl/>
              </w:rPr>
            </w:pPr>
            <w:r w:rsidRPr="0025250D">
              <w:rPr>
                <w:rFonts w:hint="cs"/>
                <w:sz w:val="16"/>
                <w:szCs w:val="18"/>
                <w:rtl/>
              </w:rPr>
              <w:t>هماهنگی</w:t>
            </w:r>
          </w:p>
          <w:p w14:paraId="7034FD01" w14:textId="77777777" w:rsidR="00537CC8" w:rsidRPr="0025250D" w:rsidRDefault="00537CC8" w:rsidP="00492C47">
            <w:pPr>
              <w:numPr>
                <w:ilvl w:val="0"/>
                <w:numId w:val="65"/>
              </w:numPr>
              <w:bidi/>
              <w:spacing w:after="160"/>
              <w:ind w:left="360"/>
              <w:rPr>
                <w:sz w:val="16"/>
                <w:szCs w:val="18"/>
                <w:rtl/>
              </w:rPr>
            </w:pPr>
            <w:r w:rsidRPr="0025250D">
              <w:rPr>
                <w:rFonts w:hint="cs"/>
                <w:sz w:val="16"/>
                <w:szCs w:val="18"/>
                <w:rtl/>
              </w:rPr>
              <w:t>در بر گیرنده</w:t>
            </w:r>
          </w:p>
          <w:p w14:paraId="3BDB13FD" w14:textId="77777777" w:rsidR="00537CC8" w:rsidRPr="0025250D" w:rsidRDefault="00537CC8" w:rsidP="00492C47">
            <w:pPr>
              <w:numPr>
                <w:ilvl w:val="0"/>
                <w:numId w:val="65"/>
              </w:numPr>
              <w:bidi/>
              <w:spacing w:after="160"/>
              <w:ind w:left="360"/>
              <w:rPr>
                <w:sz w:val="16"/>
                <w:szCs w:val="18"/>
                <w:rtl/>
              </w:rPr>
            </w:pPr>
            <w:r w:rsidRPr="0025250D">
              <w:rPr>
                <w:rFonts w:hint="cs"/>
                <w:sz w:val="16"/>
                <w:szCs w:val="18"/>
                <w:rtl/>
              </w:rPr>
              <w:t>فردگرایی</w:t>
            </w:r>
          </w:p>
          <w:p w14:paraId="5E9A97DE" w14:textId="77777777" w:rsidR="00537CC8" w:rsidRPr="0025250D" w:rsidRDefault="00537CC8" w:rsidP="00492C47">
            <w:pPr>
              <w:numPr>
                <w:ilvl w:val="0"/>
                <w:numId w:val="65"/>
              </w:numPr>
              <w:bidi/>
              <w:spacing w:after="160"/>
              <w:ind w:left="360"/>
              <w:rPr>
                <w:sz w:val="16"/>
                <w:szCs w:val="18"/>
                <w:rtl/>
              </w:rPr>
            </w:pPr>
            <w:r w:rsidRPr="0025250D">
              <w:rPr>
                <w:rFonts w:hint="cs"/>
                <w:sz w:val="16"/>
                <w:szCs w:val="18"/>
                <w:rtl/>
              </w:rPr>
              <w:t>ارتباط دهنده</w:t>
            </w:r>
          </w:p>
        </w:tc>
        <w:tc>
          <w:tcPr>
            <w:tcW w:w="2254" w:type="dxa"/>
          </w:tcPr>
          <w:p w14:paraId="6BC0FA02" w14:textId="77777777" w:rsidR="00537CC8" w:rsidRPr="0025250D" w:rsidRDefault="00537CC8" w:rsidP="00537CC8">
            <w:pPr>
              <w:bidi/>
              <w:spacing w:after="160"/>
              <w:rPr>
                <w:sz w:val="16"/>
                <w:szCs w:val="18"/>
                <w:rtl/>
              </w:rPr>
            </w:pPr>
            <w:r w:rsidRPr="0025250D">
              <w:rPr>
                <w:rFonts w:hint="cs"/>
                <w:sz w:val="16"/>
                <w:szCs w:val="18"/>
                <w:rtl/>
              </w:rPr>
              <w:t>8. بازبینی</w:t>
            </w:r>
          </w:p>
          <w:p w14:paraId="6544212D" w14:textId="77777777" w:rsidR="00537CC8" w:rsidRPr="0025250D" w:rsidRDefault="00537CC8" w:rsidP="00492C47">
            <w:pPr>
              <w:numPr>
                <w:ilvl w:val="0"/>
                <w:numId w:val="66"/>
              </w:numPr>
              <w:bidi/>
              <w:spacing w:after="160"/>
              <w:ind w:left="430"/>
              <w:rPr>
                <w:sz w:val="16"/>
                <w:szCs w:val="18"/>
                <w:rtl/>
              </w:rPr>
            </w:pPr>
            <w:r w:rsidRPr="0025250D">
              <w:rPr>
                <w:rFonts w:hint="cs"/>
                <w:sz w:val="16"/>
                <w:szCs w:val="18"/>
                <w:rtl/>
              </w:rPr>
              <w:t>رقابت</w:t>
            </w:r>
          </w:p>
          <w:p w14:paraId="01B99E55" w14:textId="77777777" w:rsidR="00537CC8" w:rsidRPr="0025250D" w:rsidRDefault="00537CC8" w:rsidP="00492C47">
            <w:pPr>
              <w:numPr>
                <w:ilvl w:val="0"/>
                <w:numId w:val="66"/>
              </w:numPr>
              <w:bidi/>
              <w:spacing w:after="160"/>
              <w:ind w:left="430"/>
              <w:rPr>
                <w:sz w:val="16"/>
                <w:szCs w:val="18"/>
                <w:rtl/>
              </w:rPr>
            </w:pPr>
            <w:r w:rsidRPr="0025250D">
              <w:rPr>
                <w:rFonts w:hint="cs"/>
                <w:sz w:val="16"/>
                <w:szCs w:val="18"/>
                <w:rtl/>
              </w:rPr>
              <w:t>سازگاری</w:t>
            </w:r>
          </w:p>
          <w:p w14:paraId="48FBD455" w14:textId="77777777" w:rsidR="00537CC8" w:rsidRPr="0025250D" w:rsidRDefault="00537CC8" w:rsidP="00492C47">
            <w:pPr>
              <w:numPr>
                <w:ilvl w:val="0"/>
                <w:numId w:val="66"/>
              </w:numPr>
              <w:bidi/>
              <w:spacing w:after="160"/>
              <w:ind w:left="430"/>
              <w:rPr>
                <w:sz w:val="16"/>
                <w:szCs w:val="18"/>
                <w:rtl/>
              </w:rPr>
            </w:pPr>
            <w:r w:rsidRPr="0025250D">
              <w:rPr>
                <w:rFonts w:hint="cs"/>
                <w:sz w:val="16"/>
                <w:szCs w:val="18"/>
                <w:rtl/>
              </w:rPr>
              <w:t>توسعه دهنده</w:t>
            </w:r>
          </w:p>
          <w:p w14:paraId="000D963B" w14:textId="77777777" w:rsidR="00537CC8" w:rsidRPr="0025250D" w:rsidRDefault="00537CC8" w:rsidP="00492C47">
            <w:pPr>
              <w:numPr>
                <w:ilvl w:val="0"/>
                <w:numId w:val="66"/>
              </w:numPr>
              <w:bidi/>
              <w:spacing w:after="160"/>
              <w:ind w:left="430"/>
              <w:rPr>
                <w:sz w:val="16"/>
                <w:szCs w:val="18"/>
                <w:rtl/>
              </w:rPr>
            </w:pPr>
            <w:r w:rsidRPr="0025250D">
              <w:rPr>
                <w:rFonts w:hint="cs"/>
                <w:sz w:val="16"/>
                <w:szCs w:val="18"/>
                <w:rtl/>
              </w:rPr>
              <w:t>مسئولیت پذیری</w:t>
            </w:r>
          </w:p>
          <w:p w14:paraId="2448F548" w14:textId="77777777" w:rsidR="00537CC8" w:rsidRPr="0025250D" w:rsidRDefault="00537CC8" w:rsidP="00492C47">
            <w:pPr>
              <w:numPr>
                <w:ilvl w:val="0"/>
                <w:numId w:val="66"/>
              </w:numPr>
              <w:bidi/>
              <w:spacing w:after="160"/>
              <w:ind w:left="430"/>
              <w:rPr>
                <w:sz w:val="16"/>
                <w:szCs w:val="18"/>
                <w:rtl/>
              </w:rPr>
            </w:pPr>
            <w:r w:rsidRPr="0025250D">
              <w:rPr>
                <w:rFonts w:hint="cs"/>
                <w:sz w:val="16"/>
                <w:szCs w:val="18"/>
                <w:rtl/>
              </w:rPr>
              <w:t>بازگردانی کننده</w:t>
            </w:r>
          </w:p>
        </w:tc>
      </w:tr>
    </w:tbl>
    <w:p w14:paraId="15873F1A" w14:textId="77777777" w:rsidR="00537CC8" w:rsidRPr="0025250D" w:rsidRDefault="00537CC8" w:rsidP="00537CC8">
      <w:pPr>
        <w:rPr>
          <w:rtl/>
        </w:rPr>
      </w:pPr>
    </w:p>
    <w:p w14:paraId="008C837E" w14:textId="2650675F" w:rsidR="00537CC8" w:rsidRPr="0025250D" w:rsidRDefault="00537CC8" w:rsidP="00537CC8">
      <w:pPr>
        <w:rPr>
          <w:rtl/>
        </w:rPr>
      </w:pPr>
      <w:r w:rsidRPr="0025250D">
        <w:rPr>
          <w:rFonts w:hint="cs"/>
          <w:rtl/>
        </w:rPr>
        <w:t xml:space="preserve">برای استفاده از این مدل تشخیصی، با مطالعه نقاط قوت </w:t>
      </w:r>
      <w:r w:rsidR="00923DDB" w:rsidRPr="0025250D">
        <w:rPr>
          <w:rFonts w:hint="cs"/>
          <w:rtl/>
        </w:rPr>
        <w:t>پیش‌انگاری</w:t>
      </w:r>
      <w:r w:rsidRPr="0025250D">
        <w:rPr>
          <w:rFonts w:hint="cs"/>
          <w:rtl/>
        </w:rPr>
        <w:t xml:space="preserve"> و نوآوری جدید </w:t>
      </w:r>
      <w:r w:rsidRPr="0025250D">
        <w:t>4U</w:t>
      </w:r>
      <w:r w:rsidRPr="0025250D">
        <w:rPr>
          <w:rFonts w:hint="cs"/>
          <w:rtl/>
        </w:rPr>
        <w:t xml:space="preserve"> که در زیر توصیف </w:t>
      </w:r>
      <w:r w:rsidR="00185F3E" w:rsidRPr="0025250D">
        <w:rPr>
          <w:rFonts w:hint="cs"/>
          <w:rtl/>
        </w:rPr>
        <w:t>شده‌اند</w:t>
      </w:r>
      <w:r w:rsidRPr="0025250D">
        <w:rPr>
          <w:rFonts w:hint="cs"/>
          <w:rtl/>
        </w:rPr>
        <w:t xml:space="preserve"> آغاز کنید. هر تعداد از این 6 نقطه قوت فکری یا احساسی را که به نظر تمایلات طبیعی قوی شما را، چه در محل کار و چه در خانه توصیف می‌کنند، با دایره کشیدن دور آن‌ها مشخص کنید.</w:t>
      </w:r>
    </w:p>
    <w:p w14:paraId="299D3159" w14:textId="5F3487CF" w:rsidR="00537CC8" w:rsidRPr="0025250D" w:rsidRDefault="002C61FC" w:rsidP="00537CC8">
      <w:pPr>
        <w:rPr>
          <w:rtl/>
        </w:rPr>
      </w:pPr>
      <w:r w:rsidRPr="0025250D">
        <w:rPr>
          <w:rtl/>
        </w:rPr>
        <w:t>«</w:t>
      </w:r>
      <w:r w:rsidR="00537CC8" w:rsidRPr="0025250D">
        <w:rPr>
          <w:rFonts w:hint="cs"/>
          <w:rtl/>
        </w:rPr>
        <w:t>اغلب و به صورت طبیعی، من یک...</w:t>
      </w:r>
      <w:r w:rsidRPr="0025250D">
        <w:rPr>
          <w:rtl/>
        </w:rPr>
        <w:t>»</w:t>
      </w:r>
    </w:p>
    <w:p w14:paraId="0E7ADC22" w14:textId="21CA0877" w:rsidR="00537CC8" w:rsidRPr="0025250D" w:rsidRDefault="00537CC8" w:rsidP="00537CC8">
      <w:pPr>
        <w:rPr>
          <w:rtl/>
        </w:rPr>
      </w:pPr>
      <w:r w:rsidRPr="0025250D">
        <w:rPr>
          <w:rFonts w:hint="cs"/>
          <w:b/>
          <w:bCs/>
          <w:rtl/>
        </w:rPr>
        <w:t>متفکر در مورد موارد محتمل</w:t>
      </w:r>
    </w:p>
    <w:p w14:paraId="1A5BB731" w14:textId="5222A066" w:rsidR="00537CC8" w:rsidRPr="0025250D" w:rsidRDefault="00537CC8" w:rsidP="00492C47">
      <w:pPr>
        <w:numPr>
          <w:ilvl w:val="0"/>
          <w:numId w:val="68"/>
        </w:numPr>
        <w:rPr>
          <w:rtl/>
        </w:rPr>
      </w:pPr>
      <w:r w:rsidRPr="0025250D">
        <w:rPr>
          <w:rFonts w:hint="cs"/>
          <w:b/>
          <w:bCs/>
          <w:rtl/>
        </w:rPr>
        <w:t>مدافع</w:t>
      </w:r>
      <w:r w:rsidRPr="0025250D">
        <w:rPr>
          <w:rFonts w:hint="cs"/>
          <w:rtl/>
        </w:rPr>
        <w:t xml:space="preserve"> - یابنده و ارزیابی کننده ریسک‌ها و </w:t>
      </w:r>
      <w:r w:rsidR="00D92F6E" w:rsidRPr="0025250D">
        <w:rPr>
          <w:rFonts w:hint="cs"/>
          <w:rtl/>
        </w:rPr>
        <w:t>بنیان‌افکن</w:t>
      </w:r>
      <w:r w:rsidRPr="0025250D">
        <w:rPr>
          <w:rFonts w:hint="cs"/>
          <w:rtl/>
        </w:rPr>
        <w:t>ی‌ها، محافظت کننده (</w:t>
      </w:r>
      <w:r w:rsidR="002C61FC" w:rsidRPr="0025250D">
        <w:rPr>
          <w:rtl/>
        </w:rPr>
        <w:t>«</w:t>
      </w:r>
      <w:r w:rsidRPr="0025250D">
        <w:rPr>
          <w:rFonts w:hint="cs"/>
          <w:rtl/>
        </w:rPr>
        <w:t>بدبین دفاعی</w:t>
      </w:r>
      <w:r w:rsidR="002C61FC" w:rsidRPr="0025250D">
        <w:rPr>
          <w:rtl/>
        </w:rPr>
        <w:t>»</w:t>
      </w:r>
      <w:r w:rsidRPr="0025250D">
        <w:rPr>
          <w:rFonts w:hint="cs"/>
          <w:rtl/>
        </w:rPr>
        <w:t>)</w:t>
      </w:r>
    </w:p>
    <w:p w14:paraId="4B8FA2C9" w14:textId="2910D239" w:rsidR="00537CC8" w:rsidRPr="0025250D" w:rsidRDefault="00537CC8" w:rsidP="00492C47">
      <w:pPr>
        <w:numPr>
          <w:ilvl w:val="0"/>
          <w:numId w:val="68"/>
        </w:numPr>
        <w:rPr>
          <w:rtl/>
        </w:rPr>
      </w:pPr>
      <w:r w:rsidRPr="0025250D">
        <w:rPr>
          <w:rFonts w:hint="cs"/>
          <w:b/>
          <w:bCs/>
          <w:rtl/>
        </w:rPr>
        <w:t>جستجوگر</w:t>
      </w:r>
      <w:r w:rsidRPr="0025250D">
        <w:rPr>
          <w:rFonts w:hint="cs"/>
          <w:rtl/>
        </w:rPr>
        <w:t xml:space="preserve"> </w:t>
      </w:r>
      <w:r w:rsidRPr="0025250D">
        <w:rPr>
          <w:rFonts w:cs="Times New Roman" w:hint="cs"/>
          <w:rtl/>
        </w:rPr>
        <w:t>–</w:t>
      </w:r>
      <w:r w:rsidRPr="0025250D">
        <w:rPr>
          <w:rFonts w:hint="cs"/>
          <w:rtl/>
        </w:rPr>
        <w:t xml:space="preserve"> پرسشگر، آزمون کننده فرضیات، ردیاب داده‌ها، دانشمند</w:t>
      </w:r>
    </w:p>
    <w:p w14:paraId="6064E241" w14:textId="5964989B" w:rsidR="00537CC8" w:rsidRPr="0025250D" w:rsidRDefault="00D92F6E" w:rsidP="00492C47">
      <w:pPr>
        <w:numPr>
          <w:ilvl w:val="0"/>
          <w:numId w:val="68"/>
        </w:numPr>
        <w:rPr>
          <w:rtl/>
        </w:rPr>
      </w:pPr>
      <w:r w:rsidRPr="0025250D">
        <w:rPr>
          <w:rFonts w:hint="cs"/>
          <w:b/>
          <w:bCs/>
          <w:rtl/>
        </w:rPr>
        <w:t>پیش‌بین</w:t>
      </w:r>
      <w:r w:rsidR="00537CC8" w:rsidRPr="0025250D">
        <w:rPr>
          <w:rFonts w:hint="cs"/>
          <w:b/>
          <w:bCs/>
          <w:rtl/>
        </w:rPr>
        <w:t>ی کننده</w:t>
      </w:r>
      <w:r w:rsidR="00537CC8" w:rsidRPr="0025250D">
        <w:rPr>
          <w:rFonts w:hint="cs"/>
          <w:rtl/>
        </w:rPr>
        <w:t xml:space="preserve"> </w:t>
      </w:r>
      <w:r w:rsidR="00537CC8" w:rsidRPr="0025250D">
        <w:rPr>
          <w:rFonts w:cs="Times New Roman" w:hint="cs"/>
          <w:rtl/>
        </w:rPr>
        <w:t>–</w:t>
      </w:r>
      <w:r w:rsidR="00537CC8" w:rsidRPr="0025250D">
        <w:rPr>
          <w:rFonts w:hint="cs"/>
          <w:rtl/>
        </w:rPr>
        <w:t xml:space="preserve"> یابنده روند‌ها و قیود، تخمین زننده و </w:t>
      </w:r>
      <w:r w:rsidRPr="0025250D">
        <w:rPr>
          <w:rFonts w:hint="cs"/>
          <w:rtl/>
        </w:rPr>
        <w:t>پیش‌بین</w:t>
      </w:r>
      <w:r w:rsidR="00537CC8" w:rsidRPr="0025250D">
        <w:rPr>
          <w:rFonts w:hint="cs"/>
          <w:rtl/>
        </w:rPr>
        <w:t>ی کننده احتمالات.</w:t>
      </w:r>
    </w:p>
    <w:p w14:paraId="1948C90F" w14:textId="055DA615" w:rsidR="00537CC8" w:rsidRPr="0025250D" w:rsidRDefault="00537CC8" w:rsidP="00537CC8">
      <w:pPr>
        <w:rPr>
          <w:rtl/>
        </w:rPr>
      </w:pPr>
      <w:r w:rsidRPr="0025250D">
        <w:rPr>
          <w:rFonts w:hint="cs"/>
          <w:b/>
          <w:bCs/>
          <w:rtl/>
        </w:rPr>
        <w:t>متفکر در مورد موارد ممکن</w:t>
      </w:r>
    </w:p>
    <w:p w14:paraId="1855F814" w14:textId="720C3247" w:rsidR="00537CC8" w:rsidRPr="0025250D" w:rsidRDefault="00537CC8" w:rsidP="00492C47">
      <w:pPr>
        <w:numPr>
          <w:ilvl w:val="0"/>
          <w:numId w:val="69"/>
        </w:numPr>
        <w:rPr>
          <w:rtl/>
        </w:rPr>
      </w:pPr>
      <w:r w:rsidRPr="0025250D">
        <w:rPr>
          <w:rFonts w:hint="cs"/>
          <w:b/>
          <w:bCs/>
          <w:rtl/>
        </w:rPr>
        <w:t>پیشرفت دهنده</w:t>
      </w:r>
      <w:r w:rsidRPr="0025250D">
        <w:rPr>
          <w:rFonts w:hint="cs"/>
          <w:rtl/>
        </w:rPr>
        <w:t xml:space="preserve"> </w:t>
      </w:r>
      <w:r w:rsidRPr="0025250D">
        <w:rPr>
          <w:rFonts w:cs="Times New Roman" w:hint="cs"/>
          <w:rtl/>
        </w:rPr>
        <w:t>–</w:t>
      </w:r>
      <w:r w:rsidRPr="0025250D">
        <w:rPr>
          <w:rFonts w:hint="cs"/>
          <w:rtl/>
        </w:rPr>
        <w:t xml:space="preserve"> یابنده و ارزیابی کننده، انگیزه دهنده (</w:t>
      </w:r>
      <w:r w:rsidR="002C61FC" w:rsidRPr="0025250D">
        <w:rPr>
          <w:rtl/>
        </w:rPr>
        <w:t>«</w:t>
      </w:r>
      <w:r w:rsidRPr="0025250D">
        <w:rPr>
          <w:rFonts w:hint="cs"/>
          <w:rtl/>
        </w:rPr>
        <w:t xml:space="preserve">خوش بین </w:t>
      </w:r>
      <w:r w:rsidR="00701E03" w:rsidRPr="0025250D">
        <w:rPr>
          <w:rFonts w:hint="cs"/>
          <w:rtl/>
        </w:rPr>
        <w:t>راهبردی</w:t>
      </w:r>
      <w:r w:rsidR="002C61FC" w:rsidRPr="0025250D">
        <w:rPr>
          <w:rtl/>
        </w:rPr>
        <w:t>»</w:t>
      </w:r>
      <w:r w:rsidRPr="0025250D">
        <w:rPr>
          <w:rFonts w:hint="cs"/>
          <w:rtl/>
        </w:rPr>
        <w:t>)</w:t>
      </w:r>
    </w:p>
    <w:p w14:paraId="351AD083" w14:textId="7F9F3726" w:rsidR="00537CC8" w:rsidRPr="0025250D" w:rsidRDefault="00537CC8" w:rsidP="00492C47">
      <w:pPr>
        <w:numPr>
          <w:ilvl w:val="0"/>
          <w:numId w:val="69"/>
        </w:numPr>
        <w:rPr>
          <w:rtl/>
        </w:rPr>
      </w:pPr>
      <w:r w:rsidRPr="0025250D">
        <w:rPr>
          <w:rFonts w:hint="cs"/>
          <w:b/>
          <w:bCs/>
          <w:rtl/>
        </w:rPr>
        <w:t>خالق</w:t>
      </w:r>
      <w:r w:rsidRPr="0025250D">
        <w:rPr>
          <w:rFonts w:hint="cs"/>
          <w:rtl/>
        </w:rPr>
        <w:t xml:space="preserve"> </w:t>
      </w:r>
      <w:r w:rsidRPr="0025250D">
        <w:rPr>
          <w:rFonts w:cs="Times New Roman" w:hint="cs"/>
          <w:rtl/>
        </w:rPr>
        <w:t>–</w:t>
      </w:r>
      <w:r w:rsidRPr="0025250D">
        <w:rPr>
          <w:rFonts w:hint="cs"/>
          <w:rtl/>
        </w:rPr>
        <w:t xml:space="preserve"> داستان سرا، تولید کننده، سرگرم کننده، هنرمند، </w:t>
      </w:r>
      <w:r w:rsidRPr="0025250D">
        <w:rPr>
          <w:rtl/>
        </w:rPr>
        <w:t>استا</w:t>
      </w:r>
      <w:r w:rsidRPr="0025250D">
        <w:rPr>
          <w:rFonts w:hint="cs"/>
          <w:rtl/>
        </w:rPr>
        <w:t>ی</w:t>
      </w:r>
      <w:r w:rsidRPr="0025250D">
        <w:rPr>
          <w:rFonts w:hint="eastAsia"/>
          <w:rtl/>
        </w:rPr>
        <w:t>ل</w:t>
      </w:r>
      <w:r w:rsidRPr="0025250D">
        <w:rPr>
          <w:rFonts w:hint="cs"/>
          <w:rtl/>
        </w:rPr>
        <w:t>ی</w:t>
      </w:r>
      <w:r w:rsidRPr="0025250D">
        <w:rPr>
          <w:rFonts w:hint="eastAsia"/>
          <w:rtl/>
        </w:rPr>
        <w:t>ست</w:t>
      </w:r>
    </w:p>
    <w:p w14:paraId="60BE02BC" w14:textId="77777777" w:rsidR="00537CC8" w:rsidRPr="0025250D" w:rsidRDefault="00537CC8" w:rsidP="00492C47">
      <w:pPr>
        <w:numPr>
          <w:ilvl w:val="0"/>
          <w:numId w:val="69"/>
        </w:numPr>
        <w:rPr>
          <w:rtl/>
        </w:rPr>
      </w:pPr>
      <w:r w:rsidRPr="0025250D">
        <w:rPr>
          <w:rFonts w:hint="cs"/>
          <w:b/>
          <w:bCs/>
          <w:rtl/>
        </w:rPr>
        <w:t>طراح</w:t>
      </w:r>
      <w:r w:rsidRPr="0025250D">
        <w:rPr>
          <w:rFonts w:hint="cs"/>
          <w:rtl/>
        </w:rPr>
        <w:t xml:space="preserve"> </w:t>
      </w:r>
      <w:r w:rsidRPr="0025250D">
        <w:rPr>
          <w:rFonts w:cs="Times New Roman" w:hint="cs"/>
          <w:rtl/>
        </w:rPr>
        <w:t>–</w:t>
      </w:r>
      <w:r w:rsidRPr="0025250D">
        <w:rPr>
          <w:rFonts w:hint="cs"/>
          <w:rtl/>
        </w:rPr>
        <w:t xml:space="preserve"> هم دلی و درک کننده، تعریف کننده و حل کننده، سازنده، بهینه سازی کننده، ساده کننده مشکلات</w:t>
      </w:r>
    </w:p>
    <w:p w14:paraId="747BDBA2" w14:textId="423918B0" w:rsidR="00537CC8" w:rsidRPr="0025250D" w:rsidRDefault="00537CC8" w:rsidP="00537CC8">
      <w:pPr>
        <w:rPr>
          <w:rtl/>
        </w:rPr>
      </w:pPr>
      <w:r w:rsidRPr="0025250D">
        <w:rPr>
          <w:rFonts w:hint="cs"/>
          <w:rtl/>
        </w:rPr>
        <w:t xml:space="preserve">سپس، یک ارزیابی </w:t>
      </w:r>
      <w:r w:rsidRPr="0025250D">
        <w:t>SWOT</w:t>
      </w:r>
      <w:r w:rsidRPr="0025250D">
        <w:rPr>
          <w:rFonts w:hint="cs"/>
          <w:rtl/>
        </w:rPr>
        <w:t xml:space="preserve"> ساده در کل چهل مهارت بالا انجام می‌دهیم. برای انجام این کار، ارزیابی آنلاین 34 قوت کلیفتون (49 دلار) را انجام دهید. سپس ده نقطه قوت برتر خود را در گزارش آن‌ها بیابید و دور آن موارد در جدول بالا دایره بکشید. سپس در جدول هر تعدادی از نقاط قوت نوآوری و </w:t>
      </w:r>
      <w:r w:rsidR="00923DDB" w:rsidRPr="0025250D">
        <w:rPr>
          <w:rFonts w:hint="cs"/>
          <w:rtl/>
        </w:rPr>
        <w:t>پیش‌انگاری</w:t>
      </w:r>
      <w:r w:rsidRPr="0025250D">
        <w:rPr>
          <w:rFonts w:hint="cs"/>
          <w:rtl/>
        </w:rPr>
        <w:t xml:space="preserve"> </w:t>
      </w:r>
      <w:r w:rsidRPr="0025250D">
        <w:t>4U</w:t>
      </w:r>
      <w:r w:rsidRPr="0025250D">
        <w:rPr>
          <w:rFonts w:hint="cs"/>
          <w:rtl/>
        </w:rPr>
        <w:t xml:space="preserve"> را که باور دارید به صورت طبیعی و معمولا شما را توصیف می‌کنند، مشخص کنید. سپس در جدول بالا، ده مورد از بد‌ترین نقاط قوت خود (بزرگترین نقاط ضعفتان) را در گزارش کلیفتون مشخص کنید</w:t>
      </w:r>
      <w:r w:rsidR="008D6F97" w:rsidRPr="0025250D">
        <w:rPr>
          <w:rtl/>
        </w:rPr>
        <w:t xml:space="preserve"> </w:t>
      </w:r>
      <w:r w:rsidRPr="0025250D">
        <w:rPr>
          <w:rFonts w:hint="cs"/>
          <w:rtl/>
        </w:rPr>
        <w:t xml:space="preserve">و مانند این جمله یک خط حذفی روی آن‌ها بکشید. در آخر، در این جدول، خطی در میان هر یک از این نقاط قوت مشخص شده با </w:t>
      </w:r>
      <w:r w:rsidR="002C61FC" w:rsidRPr="0025250D">
        <w:rPr>
          <w:rtl/>
        </w:rPr>
        <w:t>«</w:t>
      </w:r>
      <w:r w:rsidRPr="0025250D">
        <w:rPr>
          <w:rFonts w:hint="cs"/>
          <w:rtl/>
        </w:rPr>
        <w:t>(</w:t>
      </w:r>
      <w:r w:rsidRPr="0025250D">
        <w:t>4U</w:t>
      </w:r>
      <w:r w:rsidRPr="0025250D">
        <w:rPr>
          <w:rFonts w:hint="cs"/>
          <w:rtl/>
        </w:rPr>
        <w:t>)</w:t>
      </w:r>
      <w:r w:rsidR="002C61FC" w:rsidRPr="0025250D">
        <w:rPr>
          <w:rtl/>
        </w:rPr>
        <w:t>»</w:t>
      </w:r>
      <w:r w:rsidRPr="0025250D">
        <w:rPr>
          <w:rFonts w:hint="cs"/>
          <w:rtl/>
        </w:rPr>
        <w:t xml:space="preserve"> در جدول بالا که فکر می‌کنید مشخصا در آن‌ها ضعیف یا کم تجربه هستید یا معمولا یا به طور طبیعی، در محل کار یا خانه، برای آن‌ها ارزش قائل نمی‌شوید بکشید.</w:t>
      </w:r>
    </w:p>
    <w:p w14:paraId="4EA5C0EC" w14:textId="1A39A862" w:rsidR="00537CC8" w:rsidRPr="0025250D" w:rsidRDefault="00537CC8" w:rsidP="00537CC8">
      <w:pPr>
        <w:rPr>
          <w:rtl/>
        </w:rPr>
      </w:pPr>
      <w:r w:rsidRPr="0025250D">
        <w:rPr>
          <w:rFonts w:hint="cs"/>
          <w:rtl/>
        </w:rPr>
        <w:t xml:space="preserve">تا به حال، شما تخمینی تقریبی از نقاط قوت و ضعف خود در ارتباط با هشت مهارت دارید. اکنون برای اتمام ارزیابی </w:t>
      </w:r>
      <w:r w:rsidRPr="0025250D">
        <w:t>SWOT</w:t>
      </w:r>
      <w:r w:rsidRPr="0025250D">
        <w:rPr>
          <w:rFonts w:hint="cs"/>
          <w:rtl/>
        </w:rPr>
        <w:t xml:space="preserve">، برخی از فرصت‌ها و تهدید‌ها، در دامنه‌های متعدد را که این تحلیل به شما پیشنهاد می‌کند، بنویسید. چگونه می‌توانید از نقاط قوتی که در تفکر و عمل </w:t>
      </w:r>
      <w:r w:rsidR="001A3F0A" w:rsidRPr="0025250D">
        <w:rPr>
          <w:rFonts w:hint="cs"/>
          <w:rtl/>
        </w:rPr>
        <w:t>فردی</w:t>
      </w:r>
      <w:r w:rsidRPr="0025250D">
        <w:rPr>
          <w:rFonts w:hint="cs"/>
          <w:rtl/>
        </w:rPr>
        <w:t xml:space="preserve"> خود دور آن‌ها دایره کشیده اید بهتر استفاده کنید؟ در تیم خود چطور؟ در جهان چطور؟ چگونه می‌توانید در مقابل نقاط ضعفی که مشخص کرده اید بهتر از خود محافظت کنید؟</w:t>
      </w:r>
    </w:p>
    <w:p w14:paraId="47E70D4D" w14:textId="64F1A96A" w:rsidR="00537CC8" w:rsidRPr="0025250D" w:rsidRDefault="00537CC8" w:rsidP="00537CC8">
      <w:pPr>
        <w:rPr>
          <w:rtl/>
        </w:rPr>
      </w:pPr>
      <w:r w:rsidRPr="0025250D">
        <w:rPr>
          <w:rFonts w:hint="cs"/>
          <w:rtl/>
        </w:rPr>
        <w:t xml:space="preserve">اگر هر یک از این نقاط قوت را دارا نباشیم، کم ارزش انگاشتن یا نادیده گرفتن آن‌ها برای ما کار آسانی خواهد بود. می‌توانیم </w:t>
      </w:r>
      <w:r w:rsidR="00B0171C" w:rsidRPr="0025250D">
        <w:rPr>
          <w:rFonts w:hint="cs"/>
          <w:rtl/>
        </w:rPr>
        <w:t>به‌سادگی</w:t>
      </w:r>
      <w:r w:rsidRPr="0025250D">
        <w:rPr>
          <w:rFonts w:hint="cs"/>
          <w:rtl/>
        </w:rPr>
        <w:t xml:space="preserve"> این قضاوت‌های نادرست را از ذهن خود پاک کنیم که این کار ما را هم به یک رهبر بهتر و هم به یک تفویض کننده بهتر تبدیل می‌کند. تشخیص می‌دهیم که کجا و چه زمانی به کار با کسی که این نقاط قوت را دارد نیاز داریم و آن نقاط قوت را در دیگران راحت‌تر دیده و از آن‌ها قدردانی کنیم. همچنین بهبود هر یک از ضعف‌های ما در این ویژگی‌ها، با تمرین، بازبینی، روال‌ها، مربیان و بازخورد ممکن می‌باشد</w:t>
      </w:r>
      <w:r w:rsidR="008D6F97" w:rsidRPr="0025250D">
        <w:rPr>
          <w:rtl/>
        </w:rPr>
        <w:t xml:space="preserve">؛ </w:t>
      </w:r>
      <w:r w:rsidRPr="0025250D">
        <w:rPr>
          <w:rFonts w:hint="cs"/>
          <w:rtl/>
        </w:rPr>
        <w:t xml:space="preserve">اما درمان این ضعف‌ها در تیم هایمان، با توانمند سازی هم تیمی‌هایی که این نقاط قوت را دارند و </w:t>
      </w:r>
      <w:r w:rsidR="00923DDB" w:rsidRPr="0025250D">
        <w:rPr>
          <w:rFonts w:hint="cs"/>
          <w:rtl/>
        </w:rPr>
        <w:t>به‌کارگیری</w:t>
      </w:r>
      <w:r w:rsidRPr="0025250D">
        <w:rPr>
          <w:rFonts w:hint="cs"/>
          <w:rtl/>
        </w:rPr>
        <w:t xml:space="preserve"> افراد دیگر در تیم هایمان حتی ساده‌تر نیز هست. </w:t>
      </w:r>
      <w:r w:rsidR="007118DE" w:rsidRPr="0025250D">
        <w:rPr>
          <w:rFonts w:hint="cs"/>
          <w:rtl/>
        </w:rPr>
        <w:t>همان‌طور</w:t>
      </w:r>
      <w:r w:rsidRPr="0025250D">
        <w:rPr>
          <w:rFonts w:hint="cs"/>
          <w:rtl/>
        </w:rPr>
        <w:t xml:space="preserve"> که </w:t>
      </w:r>
      <w:r w:rsidR="00D92F6E" w:rsidRPr="0025250D">
        <w:rPr>
          <w:rFonts w:hint="cs"/>
          <w:rtl/>
        </w:rPr>
        <w:t>آینده‌پژوه</w:t>
      </w:r>
      <w:r w:rsidRPr="0025250D">
        <w:rPr>
          <w:rFonts w:hint="cs"/>
          <w:rtl/>
        </w:rPr>
        <w:t xml:space="preserve"> مدیریتی </w:t>
      </w:r>
      <w:r w:rsidRPr="0025250D">
        <w:rPr>
          <w:rtl/>
        </w:rPr>
        <w:t>پ</w:t>
      </w:r>
      <w:r w:rsidRPr="0025250D">
        <w:rPr>
          <w:rFonts w:hint="cs"/>
          <w:rtl/>
        </w:rPr>
        <w:t>ی</w:t>
      </w:r>
      <w:r w:rsidRPr="0025250D">
        <w:rPr>
          <w:rFonts w:hint="eastAsia"/>
          <w:rtl/>
        </w:rPr>
        <w:t>تر</w:t>
      </w:r>
      <w:r w:rsidRPr="0025250D">
        <w:rPr>
          <w:rtl/>
        </w:rPr>
        <w:t xml:space="preserve"> دراکر</w:t>
      </w:r>
      <w:r w:rsidRPr="0025250D">
        <w:rPr>
          <w:rFonts w:hint="cs"/>
          <w:rtl/>
        </w:rPr>
        <w:t xml:space="preserve"> می‌گوید، معمولا تمرکز بهتر بر استفاده از نقاط قوت ما و کارکرد مؤثر‌تر با دیگران و ارزیابی افرادی که نقاط قوت تکمیلی را دارند، از تلاش برای بهبود بزرگترین نقاط ضعف خودمان تا حد بسیار زیاد، مؤثر‌تر است. تشخیص و </w:t>
      </w:r>
      <w:r w:rsidR="002F3C14" w:rsidRPr="0025250D">
        <w:rPr>
          <w:rFonts w:hint="cs"/>
          <w:rtl/>
        </w:rPr>
        <w:t>انطباق</w:t>
      </w:r>
      <w:r w:rsidRPr="0025250D">
        <w:rPr>
          <w:rFonts w:hint="cs"/>
          <w:rtl/>
        </w:rPr>
        <w:t xml:space="preserve"> با آن‌ها ساده‌ترین و بزرگترین پیروزی و دستاورد است.</w:t>
      </w:r>
    </w:p>
    <w:p w14:paraId="05F62E93" w14:textId="7177ADF5" w:rsidR="00537CC8" w:rsidRPr="0025250D" w:rsidRDefault="00537CC8" w:rsidP="00537CC8">
      <w:pPr>
        <w:rPr>
          <w:rtl/>
        </w:rPr>
      </w:pPr>
      <w:r w:rsidRPr="0025250D">
        <w:rPr>
          <w:rFonts w:hint="cs"/>
          <w:rtl/>
        </w:rPr>
        <w:t xml:space="preserve">باز هم شما نیازی به تسلط بر هر چهل مهارت ندارید. تنها ارزش این موارد را در دیگران تشخیص دهید. برای تیم‌ها، تفکر درمورد هشت مهارت به اندازه کافی برای بیش‌تر زمینه‌ها دارای جزئیات و </w:t>
      </w:r>
      <w:r w:rsidR="00B124DE" w:rsidRPr="0025250D">
        <w:rPr>
          <w:rFonts w:hint="cs"/>
          <w:rtl/>
        </w:rPr>
        <w:t>انطباق‌پذیر</w:t>
      </w:r>
      <w:r w:rsidRPr="0025250D">
        <w:rPr>
          <w:rFonts w:hint="cs"/>
          <w:rtl/>
        </w:rPr>
        <w:t xml:space="preserve"> است. برای خودمان، تنها توجه به تعداد تکرار، قدرت و کیفیت (</w:t>
      </w:r>
      <w:r w:rsidRPr="0025250D">
        <w:t>FSQ</w:t>
      </w:r>
      <w:r w:rsidRPr="0025250D">
        <w:rPr>
          <w:rFonts w:hint="cs"/>
          <w:rtl/>
        </w:rPr>
        <w:t xml:space="preserve">) حلقه‌های انجام یادگیری، </w:t>
      </w:r>
      <w:r w:rsidRPr="0025250D">
        <w:rPr>
          <w:rtl/>
        </w:rPr>
        <w:t>آینده‌نگاری</w:t>
      </w:r>
      <w:r w:rsidRPr="0025250D">
        <w:rPr>
          <w:rFonts w:hint="cs"/>
          <w:rtl/>
        </w:rPr>
        <w:t>، عمل و بازبینی (</w:t>
      </w:r>
      <w:r w:rsidRPr="0025250D">
        <w:t>LFAR</w:t>
      </w:r>
      <w:r w:rsidRPr="0025250D">
        <w:rPr>
          <w:rFonts w:hint="cs"/>
          <w:rtl/>
        </w:rPr>
        <w:t xml:space="preserve">) روزمره، جزئیات و </w:t>
      </w:r>
      <w:r w:rsidR="00B124DE" w:rsidRPr="0025250D">
        <w:rPr>
          <w:rFonts w:hint="cs"/>
          <w:rtl/>
        </w:rPr>
        <w:t>انطباق‌پذیر</w:t>
      </w:r>
      <w:r w:rsidRPr="0025250D">
        <w:rPr>
          <w:rFonts w:hint="cs"/>
          <w:rtl/>
        </w:rPr>
        <w:t>ی کافی برای بیش‌تر بافت‌ها را دارد. در آخر، به یاد داشته باشید که هشت مهارت وقتی به بهترین شکل انجام می‌شوند که کنشگرانه باشند (عمل بر اساس اهداف و مقاصد خودتان) تا این که واکنشی (در پاسخ به علائم محیطی) باشند و بیش‌تر برای امروز باشند، نه فردا.</w:t>
      </w:r>
    </w:p>
    <w:p w14:paraId="50656A95" w14:textId="1167C8CC" w:rsidR="00537CC8" w:rsidRPr="0025250D" w:rsidRDefault="00537CC8" w:rsidP="00537CC8">
      <w:pPr>
        <w:rPr>
          <w:rtl/>
        </w:rPr>
      </w:pPr>
      <w:r w:rsidRPr="0025250D">
        <w:rPr>
          <w:rFonts w:hint="cs"/>
          <w:rtl/>
        </w:rPr>
        <w:t xml:space="preserve">از خود برای هر دستاورد دارای اولویت و کنشگرانه تجلیل کنید و در دفترچه خاطرات روزمره خود آن را یادداشت کنید، حتی اگر باید بخش عمده دیگر روز‌ها را به واکنش به رویداد‌ها و مقابله با حوادث بگذارنید. در پایان هر روز، به صورت ذهنی آنچه را که خوب پیش رفت و آنچه را که خوب پیش نرفت مرور کنید، حلقه‌های انجام خود را تکمیل کنید و چند برنامه برای روز بعد ایجاد کنید. وقتی به تخت خواب خود می‌روید، توصیه می‌کنیم که برای رسیدن به یک حالت هیجانی مثبت و برای یادگرفتن از اشتباهات خود، کمی شکرگذاری کنید. وقتی بیدار می‌شوید، توصیه می‌کنیم که از خود بپرسید که </w:t>
      </w:r>
      <w:r w:rsidR="002C61FC" w:rsidRPr="0025250D">
        <w:rPr>
          <w:rtl/>
        </w:rPr>
        <w:t>«</w:t>
      </w:r>
      <w:r w:rsidRPr="0025250D">
        <w:rPr>
          <w:rFonts w:hint="cs"/>
          <w:rtl/>
        </w:rPr>
        <w:t>قرار است از امروز چگونه بهره ببرید</w:t>
      </w:r>
      <w:r w:rsidR="002C61FC" w:rsidRPr="0025250D">
        <w:rPr>
          <w:rtl/>
        </w:rPr>
        <w:t>؟!»</w:t>
      </w:r>
      <w:r w:rsidRPr="0025250D">
        <w:rPr>
          <w:rFonts w:hint="cs"/>
          <w:rtl/>
        </w:rPr>
        <w:t xml:space="preserve"> و با دقت به پاسخ‌های ابتدایی خود گوش کنید. این عادت روزانه شما را به اکنون و آینده خواهد برد و به شما یادآوری می‌کند که رویکرد و ذهنیت اکنون شما و برنامه‌های آینده نزدیک شما، </w:t>
      </w:r>
      <w:r w:rsidRPr="0025250D">
        <w:t>GRASP</w:t>
      </w:r>
      <w:r w:rsidRPr="0025250D">
        <w:rPr>
          <w:rFonts w:hint="cs"/>
          <w:rtl/>
        </w:rPr>
        <w:t xml:space="preserve">‌های شما برای امروز، ارزشمند‌ترین آزادی‌ها و دارایی‌های شما هستند. این امر شما را حتی زود‌تر هم از تخت خوابتان بیرون می‌آورد! برای شما بهترین‌ها را در سفر </w:t>
      </w:r>
      <w:r w:rsidRPr="0025250D">
        <w:rPr>
          <w:rtl/>
        </w:rPr>
        <w:t>آینده‌نگاری</w:t>
      </w:r>
      <w:r w:rsidRPr="0025250D">
        <w:rPr>
          <w:rFonts w:hint="cs"/>
          <w:rtl/>
        </w:rPr>
        <w:t xml:space="preserve"> خود آرزو می‌کنیم.</w:t>
      </w:r>
    </w:p>
    <w:p w14:paraId="5DB6C446" w14:textId="77777777" w:rsidR="00537CC8" w:rsidRPr="0025250D" w:rsidRDefault="00537CC8" w:rsidP="00537CC8">
      <w:pPr>
        <w:rPr>
          <w:rtl/>
        </w:rPr>
      </w:pPr>
    </w:p>
    <w:p w14:paraId="47948BB8" w14:textId="77777777" w:rsidR="00537CC8" w:rsidRPr="0025250D" w:rsidRDefault="00537CC8" w:rsidP="00492C47">
      <w:pPr>
        <w:numPr>
          <w:ilvl w:val="0"/>
          <w:numId w:val="70"/>
        </w:numPr>
        <w:bidi w:val="0"/>
      </w:pPr>
      <w:r w:rsidRPr="0025250D">
        <w:t xml:space="preserve">Martin Seligman, </w:t>
      </w:r>
      <w:hyperlink r:id="rId285">
        <w:r w:rsidRPr="0025250D">
          <w:rPr>
            <w:rStyle w:val="Hyperlink"/>
            <w:i/>
          </w:rPr>
          <w:t>Learned Optimism</w:t>
        </w:r>
      </w:hyperlink>
      <w:r w:rsidRPr="0025250D">
        <w:t>, 2006</w:t>
      </w:r>
    </w:p>
    <w:p w14:paraId="28C0E6F7" w14:textId="77777777" w:rsidR="00537CC8" w:rsidRPr="0025250D" w:rsidRDefault="00537CC8" w:rsidP="00492C47">
      <w:pPr>
        <w:numPr>
          <w:ilvl w:val="0"/>
          <w:numId w:val="70"/>
        </w:numPr>
        <w:bidi w:val="0"/>
      </w:pPr>
      <w:r w:rsidRPr="0025250D">
        <w:t>Julie Norem, The Positive Power of Negative Thinking: Using Defensive Pessimism, 2002.</w:t>
      </w:r>
    </w:p>
    <w:p w14:paraId="0B695266" w14:textId="77777777" w:rsidR="00537CC8" w:rsidRPr="0025250D" w:rsidRDefault="00537CC8" w:rsidP="00492C47">
      <w:pPr>
        <w:numPr>
          <w:ilvl w:val="0"/>
          <w:numId w:val="70"/>
        </w:numPr>
        <w:bidi w:val="0"/>
      </w:pPr>
      <w:r w:rsidRPr="0025250D">
        <w:t>Gabriele Oettingen, Rethinking Positive Thinking: Inside the New Science of Motivation, 2014.</w:t>
      </w:r>
    </w:p>
    <w:p w14:paraId="628ABD2A" w14:textId="77777777" w:rsidR="00537CC8" w:rsidRPr="0025250D" w:rsidRDefault="00537CC8" w:rsidP="00492C47">
      <w:pPr>
        <w:numPr>
          <w:ilvl w:val="0"/>
          <w:numId w:val="70"/>
        </w:numPr>
        <w:bidi w:val="0"/>
      </w:pPr>
      <w:r w:rsidRPr="0025250D">
        <w:t>Bradberry and Greaves, Emotional Intelligence 2.0, 2009</w:t>
      </w:r>
    </w:p>
    <w:p w14:paraId="7F87D13E" w14:textId="77777777" w:rsidR="00537CC8" w:rsidRPr="0025250D" w:rsidRDefault="00537CC8" w:rsidP="00492C47">
      <w:pPr>
        <w:numPr>
          <w:ilvl w:val="0"/>
          <w:numId w:val="70"/>
        </w:numPr>
        <w:bidi w:val="0"/>
      </w:pPr>
      <w:r w:rsidRPr="0025250D">
        <w:t>John Gottman, Why Marriages Succeed or Fail, 1995; Science of Couples &amp; Family Therapy, 2018.</w:t>
      </w:r>
    </w:p>
    <w:p w14:paraId="18732153" w14:textId="28A46C82" w:rsidR="00537CC8" w:rsidRPr="0025250D" w:rsidRDefault="00537CC8" w:rsidP="00492C47">
      <w:pPr>
        <w:numPr>
          <w:ilvl w:val="0"/>
          <w:numId w:val="70"/>
        </w:numPr>
        <w:bidi w:val="0"/>
      </w:pPr>
      <w:r w:rsidRPr="0025250D">
        <w:t>Garyn Klein, “Performing a Project Premortem,”</w:t>
      </w:r>
      <w:r w:rsidR="008D6F97" w:rsidRPr="0025250D">
        <w:t xml:space="preserve"> </w:t>
      </w:r>
      <w:r w:rsidRPr="0025250D">
        <w:t>Harvard Business Review, 2007</w:t>
      </w:r>
    </w:p>
    <w:p w14:paraId="13D232EA" w14:textId="77777777" w:rsidR="00537CC8" w:rsidRPr="0025250D" w:rsidRDefault="00537CC8" w:rsidP="00492C47">
      <w:pPr>
        <w:numPr>
          <w:ilvl w:val="0"/>
          <w:numId w:val="70"/>
        </w:numPr>
        <w:bidi w:val="0"/>
      </w:pPr>
      <w:r w:rsidRPr="0025250D">
        <w:t>Dilip Jeste, Wiser: The Scientiﬁc Roots of Wisdom, Compassion, and What Makes Us Good, 2020.</w:t>
      </w:r>
    </w:p>
    <w:p w14:paraId="01F7F29C" w14:textId="77777777" w:rsidR="00537CC8" w:rsidRPr="0025250D" w:rsidRDefault="00537CC8" w:rsidP="00492C47">
      <w:pPr>
        <w:numPr>
          <w:ilvl w:val="0"/>
          <w:numId w:val="70"/>
        </w:numPr>
        <w:bidi w:val="0"/>
      </w:pPr>
      <w:r w:rsidRPr="0025250D">
        <w:t>Benjamin Libet, Mind Time, 2005.</w:t>
      </w:r>
    </w:p>
    <w:p w14:paraId="2022F59C" w14:textId="77777777" w:rsidR="00537CC8" w:rsidRPr="0025250D" w:rsidRDefault="00537CC8" w:rsidP="00492C47">
      <w:pPr>
        <w:numPr>
          <w:ilvl w:val="0"/>
          <w:numId w:val="70"/>
        </w:numPr>
        <w:bidi w:val="0"/>
      </w:pPr>
      <w:r w:rsidRPr="0025250D">
        <w:t>Stulberg and Magness, Peak Performance: The New Science of Success, 2017</w:t>
      </w:r>
    </w:p>
    <w:p w14:paraId="78351838" w14:textId="77777777" w:rsidR="00537CC8" w:rsidRPr="0025250D" w:rsidRDefault="00537CC8" w:rsidP="00492C47">
      <w:pPr>
        <w:numPr>
          <w:ilvl w:val="0"/>
          <w:numId w:val="70"/>
        </w:numPr>
        <w:bidi w:val="0"/>
      </w:pPr>
      <w:r w:rsidRPr="0025250D">
        <w:t>Nir Eyal, Indistractable: How to Control Your Attention and Choose Your Life, 2019</w:t>
      </w:r>
    </w:p>
    <w:p w14:paraId="27EF162E" w14:textId="77777777" w:rsidR="00537CC8" w:rsidRPr="0025250D" w:rsidRDefault="00537CC8" w:rsidP="00492C47">
      <w:pPr>
        <w:numPr>
          <w:ilvl w:val="0"/>
          <w:numId w:val="70"/>
        </w:numPr>
        <w:bidi w:val="0"/>
      </w:pPr>
      <w:r w:rsidRPr="0025250D">
        <w:t>MindTime</w:t>
      </w:r>
      <w:r w:rsidRPr="0025250D">
        <w:tab/>
        <w:t>Time</w:t>
      </w:r>
      <w:r w:rsidRPr="0025250D">
        <w:tab/>
        <w:t>Orientation,</w:t>
      </w:r>
      <w:r w:rsidRPr="0025250D">
        <w:tab/>
        <w:t>Free</w:t>
      </w:r>
      <w:r w:rsidRPr="0025250D">
        <w:tab/>
        <w:t>Online</w:t>
      </w:r>
      <w:r w:rsidRPr="0025250D">
        <w:tab/>
        <w:t>18-question Assessment, MindTime.com</w:t>
      </w:r>
    </w:p>
    <w:p w14:paraId="1A32A3AD" w14:textId="77777777" w:rsidR="00537CC8" w:rsidRPr="0025250D" w:rsidRDefault="00537CC8" w:rsidP="00492C47">
      <w:pPr>
        <w:numPr>
          <w:ilvl w:val="0"/>
          <w:numId w:val="70"/>
        </w:numPr>
        <w:bidi w:val="0"/>
      </w:pPr>
      <w:r w:rsidRPr="0025250D">
        <w:t>Christfort and Vickberg, Business Chemistry, 2018</w:t>
      </w:r>
    </w:p>
    <w:p w14:paraId="23BDE9D5" w14:textId="77777777" w:rsidR="00537CC8" w:rsidRPr="0025250D" w:rsidRDefault="00537CC8" w:rsidP="00492C47">
      <w:pPr>
        <w:numPr>
          <w:ilvl w:val="0"/>
          <w:numId w:val="70"/>
        </w:numPr>
        <w:bidi w:val="0"/>
      </w:pPr>
      <w:r w:rsidRPr="0025250D">
        <w:t>Pecher and Zwaan, Grounding Cognition: The Perception and Action Cycle, 2010</w:t>
      </w:r>
    </w:p>
    <w:p w14:paraId="47C05CE1" w14:textId="77777777" w:rsidR="00537CC8" w:rsidRPr="0025250D" w:rsidRDefault="00537CC8" w:rsidP="00492C47">
      <w:pPr>
        <w:numPr>
          <w:ilvl w:val="0"/>
          <w:numId w:val="70"/>
        </w:numPr>
        <w:bidi w:val="0"/>
      </w:pPr>
      <w:r w:rsidRPr="0025250D">
        <w:t>Robert Coram, Boyd: The Fighter Pilot Who Changed the Art of War, 2003. Audio</w:t>
      </w:r>
    </w:p>
    <w:p w14:paraId="39B80F09" w14:textId="77777777" w:rsidR="00537CC8" w:rsidRPr="0025250D" w:rsidRDefault="00537CC8" w:rsidP="00492C47">
      <w:pPr>
        <w:numPr>
          <w:ilvl w:val="0"/>
          <w:numId w:val="70"/>
        </w:numPr>
        <w:bidi w:val="0"/>
      </w:pPr>
      <w:r w:rsidRPr="0025250D">
        <w:t>Chet Richards, Certain to Win: The Strategy of John Boyd Applied to Business, 2004.</w:t>
      </w:r>
    </w:p>
    <w:p w14:paraId="6525AA4D" w14:textId="77777777" w:rsidR="00537CC8" w:rsidRPr="0025250D" w:rsidRDefault="00537CC8" w:rsidP="00492C47">
      <w:pPr>
        <w:numPr>
          <w:ilvl w:val="0"/>
          <w:numId w:val="70"/>
        </w:numPr>
        <w:bidi w:val="0"/>
      </w:pPr>
      <w:r w:rsidRPr="0025250D">
        <w:t>John Smart, “The Eight Skills of Adaptive Foresight.” In: The Foresight Guide, 2020</w:t>
      </w:r>
    </w:p>
    <w:p w14:paraId="71034A99" w14:textId="77777777" w:rsidR="00537CC8" w:rsidRPr="0025250D" w:rsidRDefault="00537CC8" w:rsidP="00537CC8"/>
    <w:p w14:paraId="1265C8DA" w14:textId="77777777" w:rsidR="00537CC8" w:rsidRPr="0025250D" w:rsidRDefault="00537CC8" w:rsidP="00494960">
      <w:pPr>
        <w:pStyle w:val="Heading1"/>
        <w:rPr>
          <w:rtl/>
        </w:rPr>
      </w:pPr>
      <w:bookmarkStart w:id="84" w:name="_Toc127831349"/>
      <w:r w:rsidRPr="0025250D">
        <w:rPr>
          <w:rtl/>
        </w:rPr>
        <w:t>پ</w:t>
      </w:r>
      <w:r w:rsidRPr="0025250D">
        <w:rPr>
          <w:rFonts w:hint="cs"/>
          <w:rtl/>
        </w:rPr>
        <w:t>ی</w:t>
      </w:r>
      <w:r w:rsidRPr="0025250D">
        <w:rPr>
          <w:rFonts w:hint="eastAsia"/>
          <w:rtl/>
        </w:rPr>
        <w:t>وست</w:t>
      </w:r>
      <w:r w:rsidRPr="0025250D">
        <w:rPr>
          <w:rtl/>
        </w:rPr>
        <w:t xml:space="preserve"> 2: مشاوران آینده‌نگاری </w:t>
      </w:r>
      <w:r w:rsidRPr="0025250D">
        <w:rPr>
          <w:rFonts w:ascii="Times New Roman" w:hAnsi="Times New Roman" w:cs="Times New Roman" w:hint="cs"/>
          <w:rtl/>
        </w:rPr>
        <w:t>–</w:t>
      </w:r>
      <w:r w:rsidRPr="0025250D">
        <w:rPr>
          <w:rtl/>
        </w:rPr>
        <w:t xml:space="preserve"> </w:t>
      </w:r>
      <w:r w:rsidRPr="0025250D">
        <w:rPr>
          <w:rFonts w:hint="cs"/>
          <w:rtl/>
        </w:rPr>
        <w:t>بزرگ،</w:t>
      </w:r>
      <w:r w:rsidRPr="0025250D">
        <w:rPr>
          <w:rtl/>
        </w:rPr>
        <w:t xml:space="preserve"> </w:t>
      </w:r>
      <w:r w:rsidRPr="0025250D">
        <w:rPr>
          <w:rFonts w:hint="cs"/>
          <w:rtl/>
        </w:rPr>
        <w:t>متوسط</w:t>
      </w:r>
      <w:r w:rsidRPr="0025250D">
        <w:rPr>
          <w:rtl/>
        </w:rPr>
        <w:t xml:space="preserve"> </w:t>
      </w:r>
      <w:r w:rsidRPr="0025250D">
        <w:rPr>
          <w:rFonts w:hint="cs"/>
          <w:rtl/>
        </w:rPr>
        <w:t>و</w:t>
      </w:r>
      <w:r w:rsidRPr="0025250D">
        <w:rPr>
          <w:rtl/>
        </w:rPr>
        <w:t xml:space="preserve"> </w:t>
      </w:r>
      <w:r w:rsidRPr="0025250D">
        <w:rPr>
          <w:rFonts w:hint="cs"/>
          <w:rtl/>
        </w:rPr>
        <w:t>کوچک</w:t>
      </w:r>
      <w:bookmarkEnd w:id="84"/>
    </w:p>
    <w:p w14:paraId="65D718A7" w14:textId="55D36AB1" w:rsidR="00537CC8" w:rsidRPr="0025250D" w:rsidRDefault="00537CC8" w:rsidP="00537CC8">
      <w:pPr>
        <w:rPr>
          <w:rtl/>
        </w:rPr>
      </w:pPr>
      <w:r w:rsidRPr="0025250D">
        <w:rPr>
          <w:rtl/>
        </w:rPr>
        <w:t>در ز</w:t>
      </w:r>
      <w:r w:rsidRPr="0025250D">
        <w:rPr>
          <w:rFonts w:hint="cs"/>
          <w:rtl/>
        </w:rPr>
        <w:t>ی</w:t>
      </w:r>
      <w:r w:rsidRPr="0025250D">
        <w:rPr>
          <w:rFonts w:hint="eastAsia"/>
          <w:rtl/>
        </w:rPr>
        <w:t>ر</w:t>
      </w:r>
      <w:r w:rsidRPr="0025250D">
        <w:rPr>
          <w:rtl/>
        </w:rPr>
        <w:t xml:space="preserve"> برخ</w:t>
      </w:r>
      <w:r w:rsidRPr="0025250D">
        <w:rPr>
          <w:rFonts w:hint="cs"/>
          <w:rtl/>
        </w:rPr>
        <w:t>ی</w:t>
      </w:r>
      <w:r w:rsidRPr="0025250D">
        <w:rPr>
          <w:rtl/>
        </w:rPr>
        <w:t xml:space="preserve"> از مشاوران پ</w:t>
      </w:r>
      <w:r w:rsidRPr="0025250D">
        <w:rPr>
          <w:rFonts w:hint="cs"/>
          <w:rtl/>
        </w:rPr>
        <w:t>ی</w:t>
      </w:r>
      <w:r w:rsidRPr="0025250D">
        <w:rPr>
          <w:rFonts w:hint="eastAsia"/>
          <w:rtl/>
        </w:rPr>
        <w:t>شرو</w:t>
      </w:r>
      <w:r w:rsidRPr="0025250D">
        <w:rPr>
          <w:rtl/>
        </w:rPr>
        <w:t xml:space="preserve">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و آ</w:t>
      </w:r>
      <w:r w:rsidRPr="0025250D">
        <w:rPr>
          <w:rFonts w:hint="cs"/>
          <w:rtl/>
        </w:rPr>
        <w:t>ی</w:t>
      </w:r>
      <w:r w:rsidRPr="0025250D">
        <w:rPr>
          <w:rFonts w:hint="eastAsia"/>
          <w:rtl/>
        </w:rPr>
        <w:t>نده‌نگار</w:t>
      </w:r>
      <w:r w:rsidRPr="0025250D">
        <w:rPr>
          <w:rFonts w:hint="cs"/>
          <w:rtl/>
        </w:rPr>
        <w:t>ی</w:t>
      </w:r>
      <w:r w:rsidRPr="0025250D">
        <w:rPr>
          <w:rtl/>
        </w:rPr>
        <w:t xml:space="preserve"> که کار آ</w:t>
      </w:r>
      <w:r w:rsidRPr="0025250D">
        <w:rPr>
          <w:rFonts w:hint="cs"/>
          <w:rtl/>
        </w:rPr>
        <w:t>ی</w:t>
      </w:r>
      <w:r w:rsidRPr="0025250D">
        <w:rPr>
          <w:rFonts w:hint="eastAsia"/>
          <w:rtl/>
        </w:rPr>
        <w:t>نده‌نگار</w:t>
      </w:r>
      <w:r w:rsidRPr="0025250D">
        <w:rPr>
          <w:rFonts w:hint="cs"/>
          <w:rtl/>
        </w:rPr>
        <w:t>ی</w:t>
      </w:r>
      <w:r w:rsidRPr="0025250D">
        <w:rPr>
          <w:rtl/>
        </w:rPr>
        <w:t xml:space="preserve"> کاربرد</w:t>
      </w:r>
      <w:r w:rsidRPr="0025250D">
        <w:rPr>
          <w:rFonts w:hint="cs"/>
          <w:rtl/>
        </w:rPr>
        <w:t>ی</w:t>
      </w:r>
      <w:r w:rsidRPr="0025250D">
        <w:rPr>
          <w:rtl/>
        </w:rPr>
        <w:t xml:space="preserve"> را در سراسر جهان انجام م</w:t>
      </w:r>
      <w:r w:rsidRPr="0025250D">
        <w:rPr>
          <w:rFonts w:hint="cs"/>
          <w:rtl/>
        </w:rPr>
        <w:t>ی‌</w:t>
      </w:r>
      <w:r w:rsidRPr="0025250D">
        <w:rPr>
          <w:rFonts w:hint="eastAsia"/>
          <w:rtl/>
        </w:rPr>
        <w:t>دهند،</w:t>
      </w:r>
      <w:r w:rsidRPr="0025250D">
        <w:rPr>
          <w:rtl/>
        </w:rPr>
        <w:t xml:space="preserve"> آورده شده است. در </w:t>
      </w:r>
      <w:r w:rsidRPr="0025250D">
        <w:rPr>
          <w:rFonts w:hint="cs"/>
          <w:rtl/>
        </w:rPr>
        <w:t>مواردی</w:t>
      </w:r>
      <w:r w:rsidRPr="0025250D">
        <w:rPr>
          <w:rtl/>
        </w:rPr>
        <w:t xml:space="preserve"> که ما </w:t>
      </w:r>
      <w:r w:rsidRPr="0025250D">
        <w:rPr>
          <w:rFonts w:hint="cs"/>
          <w:rtl/>
        </w:rPr>
        <w:t>ی</w:t>
      </w:r>
      <w:r w:rsidRPr="0025250D">
        <w:rPr>
          <w:rFonts w:hint="eastAsia"/>
          <w:rtl/>
        </w:rPr>
        <w:t>ک</w:t>
      </w:r>
      <w:r w:rsidRPr="0025250D">
        <w:rPr>
          <w:rtl/>
        </w:rPr>
        <w:t xml:space="preserve"> رهبر آینده‌</w:t>
      </w:r>
      <w:r w:rsidR="00664E33" w:rsidRPr="0025250D">
        <w:rPr>
          <w:rtl/>
        </w:rPr>
        <w:t>نگار</w:t>
      </w:r>
      <w:r w:rsidRPr="0025250D">
        <w:rPr>
          <w:rtl/>
        </w:rPr>
        <w:t>ی را در ا</w:t>
      </w:r>
      <w:r w:rsidRPr="0025250D">
        <w:rPr>
          <w:rFonts w:hint="cs"/>
          <w:rtl/>
        </w:rPr>
        <w:t>ی</w:t>
      </w:r>
      <w:r w:rsidRPr="0025250D">
        <w:rPr>
          <w:rFonts w:hint="eastAsia"/>
          <w:rtl/>
        </w:rPr>
        <w:t>ن</w:t>
      </w:r>
      <w:r w:rsidRPr="0025250D">
        <w:rPr>
          <w:rtl/>
        </w:rPr>
        <w:t xml:space="preserve"> سازمان‌ها می‌شناس</w:t>
      </w:r>
      <w:r w:rsidRPr="0025250D">
        <w:rPr>
          <w:rFonts w:hint="cs"/>
          <w:rtl/>
        </w:rPr>
        <w:t>ی</w:t>
      </w:r>
      <w:r w:rsidRPr="0025250D">
        <w:rPr>
          <w:rFonts w:hint="eastAsia"/>
          <w:rtl/>
        </w:rPr>
        <w:t>م،</w:t>
      </w:r>
      <w:r w:rsidRPr="0025250D">
        <w:rPr>
          <w:rtl/>
        </w:rPr>
        <w:t xml:space="preserve"> نام آن‌ها را در ابتدا</w:t>
      </w:r>
      <w:r w:rsidRPr="0025250D">
        <w:rPr>
          <w:rFonts w:hint="cs"/>
          <w:rtl/>
        </w:rPr>
        <w:t>ی</w:t>
      </w:r>
      <w:r w:rsidRPr="0025250D">
        <w:rPr>
          <w:rtl/>
        </w:rPr>
        <w:t xml:space="preserve"> توض</w:t>
      </w:r>
      <w:r w:rsidRPr="0025250D">
        <w:rPr>
          <w:rFonts w:hint="cs"/>
          <w:rtl/>
        </w:rPr>
        <w:t>ی</w:t>
      </w:r>
      <w:r w:rsidRPr="0025250D">
        <w:rPr>
          <w:rFonts w:hint="eastAsia"/>
          <w:rtl/>
        </w:rPr>
        <w:t>حات</w:t>
      </w:r>
      <w:r w:rsidRPr="0025250D">
        <w:rPr>
          <w:rtl/>
        </w:rPr>
        <w:t xml:space="preserve"> ذکر کرده‌ایم. فهرست ما به ده منطقه جها</w:t>
      </w:r>
      <w:r w:rsidRPr="0025250D">
        <w:rPr>
          <w:rFonts w:hint="eastAsia"/>
          <w:rtl/>
        </w:rPr>
        <w:t>ن</w:t>
      </w:r>
      <w:r w:rsidRPr="0025250D">
        <w:rPr>
          <w:rFonts w:hint="cs"/>
          <w:rtl/>
        </w:rPr>
        <w:t>ی</w:t>
      </w:r>
      <w:r w:rsidRPr="0025250D">
        <w:rPr>
          <w:rtl/>
        </w:rPr>
        <w:t xml:space="preserve"> تقس</w:t>
      </w:r>
      <w:r w:rsidRPr="0025250D">
        <w:rPr>
          <w:rFonts w:hint="cs"/>
          <w:rtl/>
        </w:rPr>
        <w:t>ی</w:t>
      </w:r>
      <w:r w:rsidRPr="0025250D">
        <w:rPr>
          <w:rFonts w:hint="eastAsia"/>
          <w:rtl/>
        </w:rPr>
        <w:t>م</w:t>
      </w:r>
      <w:r w:rsidRPr="0025250D">
        <w:rPr>
          <w:rtl/>
        </w:rPr>
        <w:t xml:space="preserve"> شده است که در ز</w:t>
      </w:r>
      <w:r w:rsidRPr="0025250D">
        <w:rPr>
          <w:rFonts w:hint="cs"/>
          <w:rtl/>
        </w:rPr>
        <w:t>ی</w:t>
      </w:r>
      <w:r w:rsidRPr="0025250D">
        <w:rPr>
          <w:rFonts w:hint="eastAsia"/>
          <w:rtl/>
        </w:rPr>
        <w:t>ر</w:t>
      </w:r>
      <w:r w:rsidRPr="0025250D">
        <w:rPr>
          <w:rtl/>
        </w:rPr>
        <w:t xml:space="preserve"> نشان داده شده است. </w:t>
      </w:r>
      <w:r w:rsidRPr="0025250D">
        <w:rPr>
          <w:rFonts w:hint="cs"/>
          <w:rtl/>
        </w:rPr>
        <w:t xml:space="preserve">محور </w:t>
      </w:r>
      <w:r w:rsidRPr="0025250D">
        <w:rPr>
          <w:rtl/>
        </w:rPr>
        <w:t>ا</w:t>
      </w:r>
      <w:r w:rsidRPr="0025250D">
        <w:rPr>
          <w:rFonts w:hint="cs"/>
          <w:rtl/>
        </w:rPr>
        <w:t>ی</w:t>
      </w:r>
      <w:r w:rsidRPr="0025250D">
        <w:rPr>
          <w:rFonts w:hint="eastAsia"/>
          <w:rtl/>
        </w:rPr>
        <w:t>ن</w:t>
      </w:r>
      <w:r w:rsidRPr="0025250D">
        <w:rPr>
          <w:rtl/>
        </w:rPr>
        <w:t xml:space="preserve"> فهرست زبان آمر</w:t>
      </w:r>
      <w:r w:rsidRPr="0025250D">
        <w:rPr>
          <w:rFonts w:hint="cs"/>
          <w:rtl/>
        </w:rPr>
        <w:t>ی</w:t>
      </w:r>
      <w:r w:rsidRPr="0025250D">
        <w:rPr>
          <w:rFonts w:hint="eastAsia"/>
          <w:rtl/>
        </w:rPr>
        <w:t>کا</w:t>
      </w:r>
      <w:r w:rsidRPr="0025250D">
        <w:rPr>
          <w:rFonts w:hint="cs"/>
          <w:rtl/>
        </w:rPr>
        <w:t>یی</w:t>
      </w:r>
      <w:r w:rsidRPr="0025250D">
        <w:rPr>
          <w:rtl/>
        </w:rPr>
        <w:t xml:space="preserve"> و انگل</w:t>
      </w:r>
      <w:r w:rsidRPr="0025250D">
        <w:rPr>
          <w:rFonts w:hint="cs"/>
          <w:rtl/>
        </w:rPr>
        <w:t>ی</w:t>
      </w:r>
      <w:r w:rsidRPr="0025250D">
        <w:rPr>
          <w:rFonts w:hint="eastAsia"/>
          <w:rtl/>
        </w:rPr>
        <w:t>س</w:t>
      </w:r>
      <w:r w:rsidRPr="0025250D">
        <w:rPr>
          <w:rFonts w:hint="cs"/>
          <w:rtl/>
        </w:rPr>
        <w:t>ی</w:t>
      </w:r>
      <w:r w:rsidRPr="0025250D">
        <w:rPr>
          <w:rtl/>
        </w:rPr>
        <w:t xml:space="preserve"> است.</w:t>
      </w:r>
      <w:r w:rsidRPr="0025250D">
        <w:rPr>
          <w:rFonts w:hint="cs"/>
          <w:rtl/>
        </w:rPr>
        <w:t xml:space="preserve"> </w:t>
      </w:r>
      <w:r w:rsidRPr="0025250D">
        <w:rPr>
          <w:rtl/>
        </w:rPr>
        <w:t>لطفاً عذرخواه</w:t>
      </w:r>
      <w:r w:rsidRPr="0025250D">
        <w:rPr>
          <w:rFonts w:hint="cs"/>
          <w:rtl/>
        </w:rPr>
        <w:t>ی</w:t>
      </w:r>
      <w:r w:rsidRPr="0025250D">
        <w:rPr>
          <w:rtl/>
        </w:rPr>
        <w:t xml:space="preserve"> ما را برا</w:t>
      </w:r>
      <w:r w:rsidRPr="0025250D">
        <w:rPr>
          <w:rFonts w:hint="cs"/>
          <w:rtl/>
        </w:rPr>
        <w:t>ی</w:t>
      </w:r>
      <w:r w:rsidRPr="0025250D">
        <w:rPr>
          <w:rtl/>
        </w:rPr>
        <w:t xml:space="preserve"> آن بپذ</w:t>
      </w:r>
      <w:r w:rsidRPr="0025250D">
        <w:rPr>
          <w:rFonts w:hint="cs"/>
          <w:rtl/>
        </w:rPr>
        <w:t>ی</w:t>
      </w:r>
      <w:r w:rsidRPr="0025250D">
        <w:rPr>
          <w:rFonts w:hint="eastAsia"/>
          <w:rtl/>
        </w:rPr>
        <w:t>ر</w:t>
      </w:r>
      <w:r w:rsidRPr="0025250D">
        <w:rPr>
          <w:rFonts w:hint="cs"/>
          <w:rtl/>
        </w:rPr>
        <w:t>ی</w:t>
      </w:r>
      <w:r w:rsidRPr="0025250D">
        <w:rPr>
          <w:rFonts w:hint="eastAsia"/>
          <w:rtl/>
        </w:rPr>
        <w:t>د</w:t>
      </w:r>
      <w:r w:rsidRPr="0025250D">
        <w:rPr>
          <w:rtl/>
        </w:rPr>
        <w:t xml:space="preserve"> - زمان و بودجه ما را برا</w:t>
      </w:r>
      <w:r w:rsidRPr="0025250D">
        <w:rPr>
          <w:rFonts w:hint="cs"/>
          <w:rtl/>
        </w:rPr>
        <w:t>ی</w:t>
      </w:r>
      <w:r w:rsidRPr="0025250D">
        <w:rPr>
          <w:rtl/>
        </w:rPr>
        <w:t xml:space="preserve"> ا</w:t>
      </w:r>
      <w:r w:rsidRPr="0025250D">
        <w:rPr>
          <w:rFonts w:hint="cs"/>
          <w:rtl/>
        </w:rPr>
        <w:t>ی</w:t>
      </w:r>
      <w:r w:rsidRPr="0025250D">
        <w:rPr>
          <w:rFonts w:hint="eastAsia"/>
          <w:rtl/>
        </w:rPr>
        <w:t>ن</w:t>
      </w:r>
      <w:r w:rsidRPr="0025250D">
        <w:rPr>
          <w:rtl/>
        </w:rPr>
        <w:t xml:space="preserve"> نسخه محدود کرده است. ام</w:t>
      </w:r>
      <w:r w:rsidRPr="0025250D">
        <w:rPr>
          <w:rFonts w:hint="cs"/>
          <w:rtl/>
        </w:rPr>
        <w:t>ی</w:t>
      </w:r>
      <w:r w:rsidRPr="0025250D">
        <w:rPr>
          <w:rFonts w:hint="eastAsia"/>
          <w:rtl/>
        </w:rPr>
        <w:t>دوار</w:t>
      </w:r>
      <w:r w:rsidRPr="0025250D">
        <w:rPr>
          <w:rFonts w:hint="cs"/>
          <w:rtl/>
        </w:rPr>
        <w:t>ی</w:t>
      </w:r>
      <w:r w:rsidRPr="0025250D">
        <w:rPr>
          <w:rFonts w:hint="eastAsia"/>
          <w:rtl/>
        </w:rPr>
        <w:t>م</w:t>
      </w:r>
      <w:r w:rsidRPr="0025250D">
        <w:rPr>
          <w:rtl/>
        </w:rPr>
        <w:t xml:space="preserve"> ا</w:t>
      </w:r>
      <w:r w:rsidRPr="0025250D">
        <w:rPr>
          <w:rFonts w:hint="cs"/>
          <w:rtl/>
        </w:rPr>
        <w:t>ی</w:t>
      </w:r>
      <w:r w:rsidRPr="0025250D">
        <w:rPr>
          <w:rFonts w:hint="eastAsia"/>
          <w:rtl/>
        </w:rPr>
        <w:t>ن</w:t>
      </w:r>
      <w:r w:rsidRPr="0025250D">
        <w:rPr>
          <w:rtl/>
        </w:rPr>
        <w:t xml:space="preserve"> فهرست </w:t>
      </w:r>
      <w:r w:rsidRPr="0025250D">
        <w:rPr>
          <w:rFonts w:hint="cs"/>
          <w:rtl/>
        </w:rPr>
        <w:t xml:space="preserve">الهام‌بخش </w:t>
      </w:r>
      <w:r w:rsidRPr="0025250D">
        <w:rPr>
          <w:rtl/>
        </w:rPr>
        <w:t xml:space="preserve">شما </w:t>
      </w:r>
      <w:r w:rsidRPr="0025250D">
        <w:rPr>
          <w:rFonts w:hint="cs"/>
          <w:rtl/>
        </w:rPr>
        <w:t>باشد</w:t>
      </w:r>
      <w:r w:rsidRPr="0025250D">
        <w:rPr>
          <w:rtl/>
        </w:rPr>
        <w:t xml:space="preserve"> </w:t>
      </w:r>
      <w:r w:rsidRPr="0025250D">
        <w:rPr>
          <w:rFonts w:hint="cs"/>
          <w:rtl/>
        </w:rPr>
        <w:t>تا عمیق‌تر مطالعه نمایید</w:t>
      </w:r>
      <w:r w:rsidRPr="0025250D">
        <w:rPr>
          <w:rtl/>
        </w:rPr>
        <w:t>. نکات تحق</w:t>
      </w:r>
      <w:r w:rsidRPr="0025250D">
        <w:rPr>
          <w:rFonts w:hint="cs"/>
          <w:rtl/>
        </w:rPr>
        <w:t>ی</w:t>
      </w:r>
      <w:r w:rsidRPr="0025250D">
        <w:rPr>
          <w:rFonts w:hint="eastAsia"/>
          <w:rtl/>
        </w:rPr>
        <w:t>قات</w:t>
      </w:r>
      <w:r w:rsidRPr="0025250D">
        <w:rPr>
          <w:rFonts w:hint="cs"/>
          <w:rtl/>
        </w:rPr>
        <w:t>ی</w:t>
      </w:r>
      <w:r w:rsidRPr="0025250D">
        <w:rPr>
          <w:rtl/>
        </w:rPr>
        <w:t xml:space="preserve"> در ز</w:t>
      </w:r>
      <w:r w:rsidRPr="0025250D">
        <w:rPr>
          <w:rFonts w:hint="cs"/>
          <w:rtl/>
        </w:rPr>
        <w:t>ی</w:t>
      </w:r>
      <w:r w:rsidRPr="0025250D">
        <w:rPr>
          <w:rFonts w:hint="eastAsia"/>
          <w:rtl/>
        </w:rPr>
        <w:t>ر</w:t>
      </w:r>
      <w:r w:rsidRPr="0025250D">
        <w:rPr>
          <w:rtl/>
        </w:rPr>
        <w:t xml:space="preserve"> ارائه </w:t>
      </w:r>
      <w:r w:rsidR="00185F3E" w:rsidRPr="0025250D">
        <w:rPr>
          <w:rtl/>
        </w:rPr>
        <w:t>شده‌اند</w:t>
      </w:r>
      <w:r w:rsidRPr="0025250D">
        <w:rPr>
          <w:rtl/>
        </w:rPr>
        <w:t>. آ</w:t>
      </w:r>
      <w:r w:rsidRPr="0025250D">
        <w:rPr>
          <w:rFonts w:hint="cs"/>
          <w:rtl/>
        </w:rPr>
        <w:t>ی</w:t>
      </w:r>
      <w:r w:rsidRPr="0025250D">
        <w:rPr>
          <w:rFonts w:hint="eastAsia"/>
          <w:rtl/>
        </w:rPr>
        <w:t>ا</w:t>
      </w:r>
      <w:r w:rsidRPr="0025250D">
        <w:rPr>
          <w:rtl/>
        </w:rPr>
        <w:t xml:space="preserve"> می‌خواه</w:t>
      </w:r>
      <w:r w:rsidRPr="0025250D">
        <w:rPr>
          <w:rFonts w:hint="cs"/>
          <w:rtl/>
        </w:rPr>
        <w:t>ی</w:t>
      </w:r>
      <w:r w:rsidRPr="0025250D">
        <w:rPr>
          <w:rFonts w:hint="eastAsia"/>
          <w:rtl/>
        </w:rPr>
        <w:t>د</w:t>
      </w:r>
      <w:r w:rsidRPr="0025250D">
        <w:rPr>
          <w:rtl/>
        </w:rPr>
        <w:t xml:space="preserve"> به ما در گسترش آن کمک کن</w:t>
      </w:r>
      <w:r w:rsidRPr="0025250D">
        <w:rPr>
          <w:rFonts w:hint="cs"/>
          <w:rtl/>
        </w:rPr>
        <w:t>ی</w:t>
      </w:r>
      <w:r w:rsidRPr="0025250D">
        <w:rPr>
          <w:rFonts w:hint="eastAsia"/>
          <w:rtl/>
        </w:rPr>
        <w:t>د؟</w:t>
      </w:r>
      <w:r w:rsidRPr="0025250D">
        <w:rPr>
          <w:rtl/>
        </w:rPr>
        <w:t xml:space="preserve"> با ما تماس بگ</w:t>
      </w:r>
      <w:r w:rsidRPr="0025250D">
        <w:rPr>
          <w:rFonts w:hint="cs"/>
          <w:rtl/>
        </w:rPr>
        <w:t>ی</w:t>
      </w:r>
      <w:r w:rsidRPr="0025250D">
        <w:rPr>
          <w:rFonts w:hint="eastAsia"/>
          <w:rtl/>
        </w:rPr>
        <w:t>ر</w:t>
      </w:r>
      <w:r w:rsidRPr="0025250D">
        <w:rPr>
          <w:rFonts w:hint="cs"/>
          <w:rtl/>
        </w:rPr>
        <w:t>ی</w:t>
      </w:r>
      <w:r w:rsidRPr="0025250D">
        <w:rPr>
          <w:rFonts w:hint="eastAsia"/>
          <w:rtl/>
        </w:rPr>
        <w:t>د،</w:t>
      </w:r>
      <w:r w:rsidRPr="0025250D">
        <w:rPr>
          <w:rtl/>
        </w:rPr>
        <w:t xml:space="preserve"> ما دوست دار</w:t>
      </w:r>
      <w:r w:rsidRPr="0025250D">
        <w:rPr>
          <w:rFonts w:hint="cs"/>
          <w:rtl/>
        </w:rPr>
        <w:t>ی</w:t>
      </w:r>
      <w:r w:rsidRPr="0025250D">
        <w:rPr>
          <w:rFonts w:hint="eastAsia"/>
          <w:rtl/>
        </w:rPr>
        <w:t>م</w:t>
      </w:r>
      <w:r w:rsidRPr="0025250D">
        <w:rPr>
          <w:rtl/>
        </w:rPr>
        <w:t xml:space="preserve"> با شما </w:t>
      </w:r>
      <w:r w:rsidRPr="0025250D">
        <w:rPr>
          <w:rFonts w:hint="cs"/>
          <w:rtl/>
        </w:rPr>
        <w:t>هم</w:t>
      </w:r>
      <w:r w:rsidRPr="0025250D">
        <w:rPr>
          <w:rtl/>
        </w:rPr>
        <w:t>کار</w:t>
      </w:r>
      <w:r w:rsidRPr="0025250D">
        <w:rPr>
          <w:rFonts w:hint="cs"/>
          <w:rtl/>
        </w:rPr>
        <w:t>ی</w:t>
      </w:r>
      <w:r w:rsidRPr="0025250D">
        <w:rPr>
          <w:rtl/>
        </w:rPr>
        <w:t xml:space="preserve"> کن</w:t>
      </w:r>
      <w:r w:rsidRPr="0025250D">
        <w:rPr>
          <w:rFonts w:hint="cs"/>
          <w:rtl/>
        </w:rPr>
        <w:t>ی</w:t>
      </w:r>
      <w:r w:rsidRPr="0025250D">
        <w:rPr>
          <w:rFonts w:hint="eastAsia"/>
          <w:rtl/>
        </w:rPr>
        <w:t>م</w:t>
      </w:r>
      <w:r w:rsidRPr="0025250D">
        <w:rPr>
          <w:rtl/>
        </w:rPr>
        <w:t>.</w:t>
      </w:r>
    </w:p>
    <w:p w14:paraId="07D9A71F" w14:textId="18BEB360" w:rsidR="00537CC8" w:rsidRPr="0025250D" w:rsidRDefault="00537CC8" w:rsidP="00537CC8">
      <w:pPr>
        <w:rPr>
          <w:rtl/>
        </w:rPr>
      </w:pPr>
      <w:r w:rsidRPr="0025250D">
        <w:rPr>
          <w:rtl/>
        </w:rPr>
        <w:t>امروزه انواع الهام‌بخش</w:t>
      </w:r>
      <w:r w:rsidRPr="0025250D">
        <w:rPr>
          <w:rFonts w:hint="cs"/>
          <w:rtl/>
        </w:rPr>
        <w:t>ی</w:t>
      </w:r>
      <w:r w:rsidRPr="0025250D">
        <w:rPr>
          <w:rtl/>
        </w:rPr>
        <w:t xml:space="preserve"> از فعال</w:t>
      </w:r>
      <w:r w:rsidRPr="0025250D">
        <w:rPr>
          <w:rFonts w:hint="cs"/>
          <w:rtl/>
        </w:rPr>
        <w:t>ی</w:t>
      </w:r>
      <w:r w:rsidRPr="0025250D">
        <w:rPr>
          <w:rFonts w:hint="eastAsia"/>
          <w:rtl/>
        </w:rPr>
        <w:t>ت</w:t>
      </w:r>
      <w:r w:rsidRPr="0025250D">
        <w:rPr>
          <w:rtl/>
        </w:rPr>
        <w:t>‌های آینده‌نگاری سازمان</w:t>
      </w:r>
      <w:r w:rsidRPr="0025250D">
        <w:rPr>
          <w:rFonts w:hint="cs"/>
          <w:rtl/>
        </w:rPr>
        <w:t>ی</w:t>
      </w:r>
      <w:r w:rsidRPr="0025250D">
        <w:rPr>
          <w:rtl/>
        </w:rPr>
        <w:t xml:space="preserve"> وجود دار</w:t>
      </w:r>
      <w:r w:rsidRPr="0025250D">
        <w:rPr>
          <w:rFonts w:hint="cs"/>
          <w:rtl/>
        </w:rPr>
        <w:t>ن</w:t>
      </w:r>
      <w:r w:rsidRPr="0025250D">
        <w:rPr>
          <w:rtl/>
        </w:rPr>
        <w:t xml:space="preserve">د. </w:t>
      </w:r>
      <w:r w:rsidR="007118DE" w:rsidRPr="0025250D">
        <w:rPr>
          <w:rtl/>
        </w:rPr>
        <w:t>همان‌طور</w:t>
      </w:r>
      <w:r w:rsidRPr="0025250D">
        <w:rPr>
          <w:rtl/>
        </w:rPr>
        <w:t xml:space="preserve"> که پلتفرم‌ها</w:t>
      </w:r>
      <w:r w:rsidRPr="0025250D">
        <w:rPr>
          <w:rFonts w:hint="cs"/>
          <w:rtl/>
        </w:rPr>
        <w:t>ی</w:t>
      </w:r>
      <w:r w:rsidRPr="0025250D">
        <w:rPr>
          <w:rtl/>
        </w:rPr>
        <w:t xml:space="preserve"> د</w:t>
      </w:r>
      <w:r w:rsidRPr="0025250D">
        <w:rPr>
          <w:rFonts w:hint="cs"/>
          <w:rtl/>
        </w:rPr>
        <w:t>ی</w:t>
      </w:r>
      <w:r w:rsidRPr="0025250D">
        <w:rPr>
          <w:rFonts w:hint="eastAsia"/>
          <w:rtl/>
        </w:rPr>
        <w:t>ج</w:t>
      </w:r>
      <w:r w:rsidRPr="0025250D">
        <w:rPr>
          <w:rFonts w:hint="cs"/>
          <w:rtl/>
        </w:rPr>
        <w:t>ی</w:t>
      </w:r>
      <w:r w:rsidRPr="0025250D">
        <w:rPr>
          <w:rFonts w:hint="eastAsia"/>
          <w:rtl/>
        </w:rPr>
        <w:t>تال</w:t>
      </w:r>
      <w:r w:rsidRPr="0025250D">
        <w:rPr>
          <w:rtl/>
        </w:rPr>
        <w:t xml:space="preserve"> ما هر سال قدرتمندتر م</w:t>
      </w:r>
      <w:r w:rsidRPr="0025250D">
        <w:rPr>
          <w:rFonts w:hint="cs"/>
          <w:rtl/>
        </w:rPr>
        <w:t>ی‌</w:t>
      </w:r>
      <w:r w:rsidRPr="0025250D">
        <w:rPr>
          <w:rFonts w:hint="eastAsia"/>
          <w:rtl/>
        </w:rPr>
        <w:t>شوند،</w:t>
      </w:r>
      <w:r w:rsidRPr="0025250D">
        <w:rPr>
          <w:rtl/>
        </w:rPr>
        <w:t xml:space="preserve"> متخصصان آ</w:t>
      </w:r>
      <w:r w:rsidRPr="0025250D">
        <w:rPr>
          <w:rFonts w:hint="cs"/>
          <w:rtl/>
        </w:rPr>
        <w:t>ی</w:t>
      </w:r>
      <w:r w:rsidRPr="0025250D">
        <w:rPr>
          <w:rFonts w:hint="eastAsia"/>
          <w:rtl/>
        </w:rPr>
        <w:t>نده‌</w:t>
      </w:r>
      <w:r w:rsidR="00664E33" w:rsidRPr="0025250D">
        <w:rPr>
          <w:rFonts w:hint="eastAsia"/>
          <w:rtl/>
        </w:rPr>
        <w:t>نگار</w:t>
      </w:r>
      <w:r w:rsidRPr="0025250D">
        <w:rPr>
          <w:rFonts w:hint="cs"/>
          <w:rtl/>
        </w:rPr>
        <w:t>ی</w:t>
      </w:r>
      <w:r w:rsidRPr="0025250D">
        <w:rPr>
          <w:rtl/>
        </w:rPr>
        <w:t xml:space="preserve"> در همه جا به طور فزا</w:t>
      </w:r>
      <w:r w:rsidRPr="0025250D">
        <w:rPr>
          <w:rFonts w:hint="cs"/>
          <w:rtl/>
        </w:rPr>
        <w:t>ی</w:t>
      </w:r>
      <w:r w:rsidRPr="0025250D">
        <w:rPr>
          <w:rFonts w:hint="eastAsia"/>
          <w:rtl/>
        </w:rPr>
        <w:t>نده‌ا</w:t>
      </w:r>
      <w:r w:rsidRPr="0025250D">
        <w:rPr>
          <w:rFonts w:hint="cs"/>
          <w:rtl/>
        </w:rPr>
        <w:t>ی</w:t>
      </w:r>
      <w:r w:rsidRPr="0025250D">
        <w:rPr>
          <w:rtl/>
        </w:rPr>
        <w:t xml:space="preserve"> قادر خواهند بود در </w:t>
      </w:r>
      <w:r w:rsidRPr="0025250D">
        <w:rPr>
          <w:rFonts w:hint="cs"/>
          <w:rtl/>
        </w:rPr>
        <w:t xml:space="preserve">حل </w:t>
      </w:r>
      <w:r w:rsidRPr="0025250D">
        <w:rPr>
          <w:rtl/>
        </w:rPr>
        <w:t>مشکلات و پروژه‌ها همکار</w:t>
      </w:r>
      <w:r w:rsidRPr="0025250D">
        <w:rPr>
          <w:rFonts w:hint="cs"/>
          <w:rtl/>
        </w:rPr>
        <w:t>ی</w:t>
      </w:r>
      <w:r w:rsidRPr="0025250D">
        <w:rPr>
          <w:rtl/>
        </w:rPr>
        <w:t xml:space="preserve"> کنند، مسابقات را </w:t>
      </w:r>
      <w:r w:rsidRPr="0025250D">
        <w:rPr>
          <w:rFonts w:hint="cs"/>
          <w:rtl/>
        </w:rPr>
        <w:t>برگزار</w:t>
      </w:r>
      <w:r w:rsidRPr="0025250D">
        <w:rPr>
          <w:rtl/>
        </w:rPr>
        <w:t xml:space="preserve"> کنند، عملکر</w:t>
      </w:r>
      <w:r w:rsidRPr="0025250D">
        <w:rPr>
          <w:rFonts w:hint="eastAsia"/>
          <w:rtl/>
        </w:rPr>
        <w:t>د</w:t>
      </w:r>
      <w:r w:rsidRPr="0025250D">
        <w:rPr>
          <w:rtl/>
        </w:rPr>
        <w:t xml:space="preserve"> را محک بزنند، روش‌ها را به </w:t>
      </w:r>
      <w:r w:rsidRPr="0025250D">
        <w:rPr>
          <w:rFonts w:hint="cs"/>
          <w:rtl/>
        </w:rPr>
        <w:t>ی</w:t>
      </w:r>
      <w:r w:rsidRPr="0025250D">
        <w:rPr>
          <w:rFonts w:hint="eastAsia"/>
          <w:rtl/>
        </w:rPr>
        <w:t>کد</w:t>
      </w:r>
      <w:r w:rsidRPr="0025250D">
        <w:rPr>
          <w:rFonts w:hint="cs"/>
          <w:rtl/>
        </w:rPr>
        <w:t>ی</w:t>
      </w:r>
      <w:r w:rsidRPr="0025250D">
        <w:rPr>
          <w:rFonts w:hint="eastAsia"/>
          <w:rtl/>
        </w:rPr>
        <w:t>گر</w:t>
      </w:r>
      <w:r w:rsidRPr="0025250D">
        <w:rPr>
          <w:rtl/>
        </w:rPr>
        <w:t xml:space="preserve"> آموزش دهند، آزما</w:t>
      </w:r>
      <w:r w:rsidRPr="0025250D">
        <w:rPr>
          <w:rFonts w:hint="cs"/>
          <w:rtl/>
        </w:rPr>
        <w:t>ی</w:t>
      </w:r>
      <w:r w:rsidRPr="0025250D">
        <w:rPr>
          <w:rFonts w:hint="eastAsia"/>
          <w:rtl/>
        </w:rPr>
        <w:t>ش‌ها</w:t>
      </w:r>
      <w:r w:rsidRPr="0025250D">
        <w:rPr>
          <w:rtl/>
        </w:rPr>
        <w:t xml:space="preserve"> را انجام دهند، کسب‌وکار را راه‌انداز</w:t>
      </w:r>
      <w:r w:rsidRPr="0025250D">
        <w:rPr>
          <w:rFonts w:hint="cs"/>
          <w:rtl/>
        </w:rPr>
        <w:t>ی</w:t>
      </w:r>
      <w:r w:rsidRPr="0025250D">
        <w:rPr>
          <w:rtl/>
        </w:rPr>
        <w:t xml:space="preserve"> کنند و‌</w:t>
      </w:r>
      <w:r w:rsidR="005B6D28" w:rsidRPr="0025250D">
        <w:rPr>
          <w:rFonts w:hint="cs"/>
          <w:rtl/>
        </w:rPr>
        <w:t xml:space="preserve"> </w:t>
      </w:r>
      <w:r w:rsidRPr="0025250D">
        <w:rPr>
          <w:rtl/>
        </w:rPr>
        <w:t>ای</w:t>
      </w:r>
      <w:r w:rsidR="005B6D28" w:rsidRPr="0025250D">
        <w:rPr>
          <w:rFonts w:hint="cs"/>
          <w:rtl/>
        </w:rPr>
        <w:t>ن</w:t>
      </w:r>
      <w:r w:rsidRPr="0025250D">
        <w:rPr>
          <w:rtl/>
        </w:rPr>
        <w:t xml:space="preserve"> زم</w:t>
      </w:r>
      <w:r w:rsidRPr="0025250D">
        <w:rPr>
          <w:rFonts w:hint="cs"/>
          <w:rtl/>
        </w:rPr>
        <w:t>ی</w:t>
      </w:r>
      <w:r w:rsidRPr="0025250D">
        <w:rPr>
          <w:rFonts w:hint="eastAsia"/>
          <w:rtl/>
        </w:rPr>
        <w:t>نه</w:t>
      </w:r>
      <w:r w:rsidRPr="0025250D">
        <w:rPr>
          <w:rtl/>
        </w:rPr>
        <w:t xml:space="preserve"> را به </w:t>
      </w:r>
      <w:r w:rsidRPr="0025250D">
        <w:rPr>
          <w:rFonts w:hint="cs"/>
          <w:rtl/>
        </w:rPr>
        <w:t>شیوه</w:t>
      </w:r>
      <w:r w:rsidR="005B6D28" w:rsidRPr="0025250D">
        <w:rPr>
          <w:rFonts w:hint="cs"/>
          <w:rtl/>
        </w:rPr>
        <w:t>‌</w:t>
      </w:r>
      <w:r w:rsidRPr="0025250D">
        <w:rPr>
          <w:rtl/>
        </w:rPr>
        <w:t>ها</w:t>
      </w:r>
      <w:r w:rsidRPr="0025250D">
        <w:rPr>
          <w:rFonts w:hint="cs"/>
          <w:rtl/>
        </w:rPr>
        <w:t>یی</w:t>
      </w:r>
      <w:r w:rsidRPr="0025250D">
        <w:rPr>
          <w:rtl/>
        </w:rPr>
        <w:t xml:space="preserve"> که به سخت</w:t>
      </w:r>
      <w:r w:rsidRPr="0025250D">
        <w:rPr>
          <w:rFonts w:hint="cs"/>
          <w:rtl/>
        </w:rPr>
        <w:t>ی</w:t>
      </w:r>
      <w:r w:rsidRPr="0025250D">
        <w:rPr>
          <w:rtl/>
        </w:rPr>
        <w:t xml:space="preserve"> م</w:t>
      </w:r>
      <w:r w:rsidRPr="0025250D">
        <w:rPr>
          <w:rFonts w:hint="cs"/>
          <w:rtl/>
        </w:rPr>
        <w:t>ی‌</w:t>
      </w:r>
      <w:r w:rsidRPr="0025250D">
        <w:rPr>
          <w:rFonts w:hint="eastAsia"/>
          <w:rtl/>
        </w:rPr>
        <w:t>توان</w:t>
      </w:r>
      <w:r w:rsidRPr="0025250D">
        <w:rPr>
          <w:rFonts w:hint="cs"/>
          <w:rtl/>
        </w:rPr>
        <w:t>ی</w:t>
      </w:r>
      <w:r w:rsidRPr="0025250D">
        <w:rPr>
          <w:rFonts w:hint="eastAsia"/>
          <w:rtl/>
        </w:rPr>
        <w:t>م</w:t>
      </w:r>
      <w:r w:rsidRPr="0025250D">
        <w:rPr>
          <w:rtl/>
        </w:rPr>
        <w:t xml:space="preserve"> </w:t>
      </w:r>
      <w:r w:rsidRPr="0025250D">
        <w:rPr>
          <w:rFonts w:hint="cs"/>
          <w:rtl/>
        </w:rPr>
        <w:t xml:space="preserve">تصور کنیم، </w:t>
      </w:r>
      <w:r w:rsidRPr="0025250D">
        <w:rPr>
          <w:rtl/>
        </w:rPr>
        <w:t>پ</w:t>
      </w:r>
      <w:r w:rsidRPr="0025250D">
        <w:rPr>
          <w:rFonts w:hint="cs"/>
          <w:rtl/>
        </w:rPr>
        <w:t>ی</w:t>
      </w:r>
      <w:r w:rsidRPr="0025250D">
        <w:rPr>
          <w:rFonts w:hint="eastAsia"/>
          <w:rtl/>
        </w:rPr>
        <w:t>ش</w:t>
      </w:r>
      <w:r w:rsidRPr="0025250D">
        <w:rPr>
          <w:rtl/>
        </w:rPr>
        <w:t xml:space="preserve"> ببرند.</w:t>
      </w:r>
    </w:p>
    <w:p w14:paraId="43ED0BAE" w14:textId="77777777" w:rsidR="00537CC8" w:rsidRPr="0025250D" w:rsidRDefault="00537CC8" w:rsidP="00A07BC9">
      <w:pPr>
        <w:jc w:val="center"/>
        <w:rPr>
          <w:rtl/>
        </w:rPr>
      </w:pPr>
      <w:r w:rsidRPr="0025250D">
        <w:rPr>
          <w:noProof/>
          <w:lang w:bidi="ar-SA"/>
        </w:rPr>
        <w:drawing>
          <wp:inline distT="0" distB="0" distL="0" distR="0" wp14:anchorId="7B045298" wp14:editId="631631EE">
            <wp:extent cx="4565176" cy="3915608"/>
            <wp:effectExtent l="0" t="0" r="6985" b="889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6" cstate="screen">
                      <a:extLst>
                        <a:ext uri="{BEBA8EAE-BF5A-486C-A8C5-ECC9F3942E4B}">
                          <a14:imgProps xmlns:a14="http://schemas.microsoft.com/office/drawing/2010/main">
                            <a14:imgLayer r:embed="rId287">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4576291" cy="3925141"/>
                    </a:xfrm>
                    <a:prstGeom prst="rect">
                      <a:avLst/>
                    </a:prstGeom>
                    <a:noFill/>
                  </pic:spPr>
                </pic:pic>
              </a:graphicData>
            </a:graphic>
          </wp:inline>
        </w:drawing>
      </w:r>
    </w:p>
    <w:p w14:paraId="77E5ED9F" w14:textId="2F10A76C" w:rsidR="00537CC8" w:rsidRPr="0025250D" w:rsidRDefault="00537CC8" w:rsidP="00E26538">
      <w:pPr>
        <w:pStyle w:val="Heading2"/>
        <w:rPr>
          <w:rtl/>
        </w:rPr>
      </w:pPr>
      <w:bookmarkStart w:id="85" w:name="_Toc127831350"/>
      <w:r w:rsidRPr="0025250D">
        <w:rPr>
          <w:rFonts w:hint="cs"/>
          <w:rtl/>
        </w:rPr>
        <w:t>ی</w:t>
      </w:r>
      <w:r w:rsidRPr="0025250D">
        <w:rPr>
          <w:rFonts w:hint="eastAsia"/>
          <w:rtl/>
        </w:rPr>
        <w:t>افتن</w:t>
      </w:r>
      <w:r w:rsidRPr="0025250D">
        <w:rPr>
          <w:rtl/>
        </w:rPr>
        <w:t xml:space="preserve"> سازمان‌ها و افراد پ</w:t>
      </w:r>
      <w:r w:rsidRPr="0025250D">
        <w:rPr>
          <w:rFonts w:hint="cs"/>
          <w:rtl/>
        </w:rPr>
        <w:t>ی</w:t>
      </w:r>
      <w:r w:rsidRPr="0025250D">
        <w:rPr>
          <w:rFonts w:hint="eastAsia"/>
          <w:rtl/>
        </w:rPr>
        <w:t>شرو</w:t>
      </w:r>
      <w:r w:rsidRPr="0025250D">
        <w:rPr>
          <w:rtl/>
        </w:rPr>
        <w:t xml:space="preserve"> </w:t>
      </w:r>
      <w:r w:rsidR="00D30084" w:rsidRPr="0025250D">
        <w:rPr>
          <w:rtl/>
        </w:rPr>
        <w:t>آینده‌نگار</w:t>
      </w:r>
      <w:r w:rsidRPr="0025250D">
        <w:rPr>
          <w:rtl/>
        </w:rPr>
        <w:t xml:space="preserve"> </w:t>
      </w:r>
      <w:r w:rsidRPr="0025250D">
        <w:rPr>
          <w:rFonts w:ascii="Times New Roman" w:hAnsi="Times New Roman" w:cs="Times New Roman" w:hint="cs"/>
          <w:rtl/>
        </w:rPr>
        <w:t>–</w:t>
      </w:r>
      <w:r w:rsidRPr="0025250D">
        <w:rPr>
          <w:rtl/>
        </w:rPr>
        <w:t xml:space="preserve"> </w:t>
      </w:r>
      <w:r w:rsidRPr="0025250D">
        <w:rPr>
          <w:rFonts w:hint="cs"/>
          <w:rtl/>
        </w:rPr>
        <w:t>نکات</w:t>
      </w:r>
      <w:r w:rsidRPr="0025250D">
        <w:rPr>
          <w:rtl/>
        </w:rPr>
        <w:t xml:space="preserve"> </w:t>
      </w:r>
      <w:r w:rsidRPr="0025250D">
        <w:rPr>
          <w:rFonts w:hint="cs"/>
          <w:rtl/>
        </w:rPr>
        <w:t>تحقی</w:t>
      </w:r>
      <w:r w:rsidRPr="0025250D">
        <w:rPr>
          <w:rFonts w:hint="eastAsia"/>
          <w:rtl/>
        </w:rPr>
        <w:t>ق</w:t>
      </w:r>
      <w:r w:rsidRPr="0025250D">
        <w:rPr>
          <w:rFonts w:hint="cs"/>
          <w:rtl/>
        </w:rPr>
        <w:t>اتی</w:t>
      </w:r>
      <w:bookmarkEnd w:id="85"/>
    </w:p>
    <w:p w14:paraId="4AD9DDAE" w14:textId="1E13E678" w:rsidR="00537CC8" w:rsidRPr="0025250D" w:rsidRDefault="00537CC8" w:rsidP="00537CC8">
      <w:pPr>
        <w:rPr>
          <w:rtl/>
        </w:rPr>
      </w:pPr>
      <w:r w:rsidRPr="0025250D">
        <w:rPr>
          <w:rFonts w:hint="cs"/>
          <w:rtl/>
        </w:rPr>
        <w:t>اگر</w:t>
      </w:r>
      <w:r w:rsidRPr="0025250D">
        <w:rPr>
          <w:rtl/>
        </w:rPr>
        <w:t xml:space="preserve"> به دنبال سازمان‌ها و افراد پ</w:t>
      </w:r>
      <w:r w:rsidRPr="0025250D">
        <w:rPr>
          <w:rFonts w:hint="cs"/>
          <w:rtl/>
        </w:rPr>
        <w:t>ی</w:t>
      </w:r>
      <w:r w:rsidRPr="0025250D">
        <w:rPr>
          <w:rFonts w:hint="eastAsia"/>
          <w:rtl/>
        </w:rPr>
        <w:t>شرو</w:t>
      </w:r>
      <w:r w:rsidRPr="0025250D">
        <w:rPr>
          <w:rFonts w:hint="cs"/>
          <w:rtl/>
        </w:rPr>
        <w:t xml:space="preserve"> در</w:t>
      </w:r>
      <w:r w:rsidRPr="0025250D">
        <w:rPr>
          <w:rtl/>
        </w:rPr>
        <w:t xml:space="preserve"> آ</w:t>
      </w:r>
      <w:r w:rsidRPr="0025250D">
        <w:rPr>
          <w:rFonts w:hint="cs"/>
          <w:rtl/>
        </w:rPr>
        <w:t>ی</w:t>
      </w:r>
      <w:r w:rsidRPr="0025250D">
        <w:rPr>
          <w:rFonts w:hint="eastAsia"/>
          <w:rtl/>
        </w:rPr>
        <w:t>نده</w:t>
      </w:r>
      <w:r w:rsidRPr="0025250D">
        <w:rPr>
          <w:rFonts w:hint="cs"/>
          <w:rtl/>
        </w:rPr>
        <w:t xml:space="preserve"> </w:t>
      </w:r>
      <w:r w:rsidRPr="0025250D">
        <w:rPr>
          <w:rtl/>
        </w:rPr>
        <w:t>هست</w:t>
      </w:r>
      <w:r w:rsidRPr="0025250D">
        <w:rPr>
          <w:rFonts w:hint="cs"/>
          <w:rtl/>
        </w:rPr>
        <w:t>ی</w:t>
      </w:r>
      <w:r w:rsidRPr="0025250D">
        <w:rPr>
          <w:rFonts w:hint="eastAsia"/>
          <w:rtl/>
        </w:rPr>
        <w:t>د،</w:t>
      </w:r>
      <w:r w:rsidRPr="0025250D">
        <w:rPr>
          <w:rtl/>
        </w:rPr>
        <w:t xml:space="preserve"> سه نکته </w:t>
      </w:r>
      <w:r w:rsidRPr="0025250D">
        <w:rPr>
          <w:rFonts w:hint="cs"/>
          <w:rtl/>
        </w:rPr>
        <w:t xml:space="preserve">در </w:t>
      </w:r>
      <w:r w:rsidRPr="0025250D">
        <w:rPr>
          <w:rtl/>
        </w:rPr>
        <w:t>جستجو وجود دارد:</w:t>
      </w:r>
    </w:p>
    <w:p w14:paraId="231A2BDD" w14:textId="437DAA8B" w:rsidR="00537CC8" w:rsidRPr="0025250D" w:rsidRDefault="00537CC8" w:rsidP="00492C47">
      <w:pPr>
        <w:numPr>
          <w:ilvl w:val="0"/>
          <w:numId w:val="71"/>
        </w:numPr>
      </w:pPr>
      <w:r w:rsidRPr="0025250D">
        <w:rPr>
          <w:rtl/>
        </w:rPr>
        <w:t>به دنبال فهرست</w:t>
      </w:r>
      <w:r w:rsidRPr="0025250D">
        <w:rPr>
          <w:rFonts w:hint="cs"/>
          <w:rtl/>
        </w:rPr>
        <w:t xml:space="preserve"> هایی</w:t>
      </w:r>
      <w:r w:rsidRPr="0025250D">
        <w:rPr>
          <w:rtl/>
        </w:rPr>
        <w:t xml:space="preserve"> (</w:t>
      </w:r>
      <w:r w:rsidRPr="0025250D">
        <w:rPr>
          <w:rFonts w:hint="cs"/>
          <w:rtl/>
        </w:rPr>
        <w:t>بیزینس ویک</w:t>
      </w:r>
      <w:r w:rsidRPr="0025250D">
        <w:rPr>
          <w:vertAlign w:val="superscript"/>
          <w:rtl/>
        </w:rPr>
        <w:footnoteReference w:id="3053"/>
      </w:r>
      <w:r w:rsidRPr="0025250D">
        <w:rPr>
          <w:rtl/>
        </w:rPr>
        <w:t xml:space="preserve">، </w:t>
      </w:r>
      <w:r w:rsidRPr="0025250D">
        <w:rPr>
          <w:rFonts w:hint="cs"/>
          <w:rtl/>
        </w:rPr>
        <w:t>فست کمپانی</w:t>
      </w:r>
      <w:r w:rsidRPr="0025250D">
        <w:rPr>
          <w:vertAlign w:val="superscript"/>
          <w:rtl/>
        </w:rPr>
        <w:footnoteReference w:id="3054"/>
      </w:r>
      <w:r w:rsidRPr="0025250D">
        <w:rPr>
          <w:rtl/>
        </w:rPr>
        <w:t xml:space="preserve">، </w:t>
      </w:r>
      <w:r w:rsidRPr="0025250D">
        <w:rPr>
          <w:rFonts w:hint="cs"/>
          <w:rtl/>
        </w:rPr>
        <w:t>فوربس</w:t>
      </w:r>
      <w:r w:rsidRPr="0025250D">
        <w:rPr>
          <w:vertAlign w:val="superscript"/>
          <w:rtl/>
        </w:rPr>
        <w:footnoteReference w:id="3055"/>
      </w:r>
      <w:r w:rsidRPr="0025250D">
        <w:rPr>
          <w:rtl/>
        </w:rPr>
        <w:t>،</w:t>
      </w:r>
      <w:r w:rsidRPr="0025250D">
        <w:rPr>
          <w:rFonts w:hint="cs"/>
          <w:rtl/>
        </w:rPr>
        <w:t xml:space="preserve"> مرور فناوری</w:t>
      </w:r>
      <w:r w:rsidRPr="0025250D">
        <w:rPr>
          <w:rtl/>
        </w:rPr>
        <w:t xml:space="preserve"> </w:t>
      </w:r>
      <w:r w:rsidRPr="0025250D">
        <w:t>MIT</w:t>
      </w:r>
      <w:r w:rsidRPr="0025250D">
        <w:rPr>
          <w:vertAlign w:val="superscript"/>
        </w:rPr>
        <w:footnoteReference w:id="3056"/>
      </w:r>
      <w:r w:rsidRPr="0025250D">
        <w:rPr>
          <w:rtl/>
        </w:rPr>
        <w:t xml:space="preserve"> و غ</w:t>
      </w:r>
      <w:r w:rsidRPr="0025250D">
        <w:rPr>
          <w:rFonts w:hint="cs"/>
          <w:rtl/>
        </w:rPr>
        <w:t>ی</w:t>
      </w:r>
      <w:r w:rsidRPr="0025250D">
        <w:rPr>
          <w:rFonts w:hint="eastAsia"/>
          <w:rtl/>
        </w:rPr>
        <w:t>ره</w:t>
      </w:r>
      <w:r w:rsidRPr="0025250D">
        <w:rPr>
          <w:rtl/>
        </w:rPr>
        <w:t>) از نوآورتر</w:t>
      </w:r>
      <w:r w:rsidRPr="0025250D">
        <w:rPr>
          <w:rFonts w:hint="cs"/>
          <w:rtl/>
        </w:rPr>
        <w:t>ی</w:t>
      </w:r>
      <w:r w:rsidRPr="0025250D">
        <w:rPr>
          <w:rFonts w:hint="eastAsia"/>
          <w:rtl/>
        </w:rPr>
        <w:t>ن،</w:t>
      </w:r>
      <w:r w:rsidRPr="0025250D">
        <w:rPr>
          <w:rtl/>
        </w:rPr>
        <w:t xml:space="preserve"> </w:t>
      </w:r>
      <w:r w:rsidRPr="0025250D">
        <w:rPr>
          <w:rFonts w:hint="cs"/>
          <w:rtl/>
        </w:rPr>
        <w:t xml:space="preserve">دارای </w:t>
      </w:r>
      <w:r w:rsidRPr="0025250D">
        <w:rPr>
          <w:rtl/>
        </w:rPr>
        <w:t>سر</w:t>
      </w:r>
      <w:r w:rsidRPr="0025250D">
        <w:rPr>
          <w:rFonts w:hint="cs"/>
          <w:rtl/>
        </w:rPr>
        <w:t>ی</w:t>
      </w:r>
      <w:r w:rsidRPr="0025250D">
        <w:rPr>
          <w:rFonts w:hint="eastAsia"/>
          <w:rtl/>
        </w:rPr>
        <w:t>ع‌تر</w:t>
      </w:r>
      <w:r w:rsidRPr="0025250D">
        <w:rPr>
          <w:rFonts w:hint="cs"/>
          <w:rtl/>
        </w:rPr>
        <w:t>ی</w:t>
      </w:r>
      <w:r w:rsidRPr="0025250D">
        <w:rPr>
          <w:rFonts w:hint="eastAsia"/>
          <w:rtl/>
        </w:rPr>
        <w:t>ن</w:t>
      </w:r>
      <w:r w:rsidRPr="0025250D">
        <w:rPr>
          <w:rtl/>
        </w:rPr>
        <w:t xml:space="preserve"> رشد، </w:t>
      </w:r>
      <w:r w:rsidR="00701E03" w:rsidRPr="0025250D">
        <w:rPr>
          <w:rtl/>
        </w:rPr>
        <w:t>راهبردی</w:t>
      </w:r>
      <w:r w:rsidRPr="0025250D">
        <w:rPr>
          <w:rFonts w:hint="cs"/>
          <w:rtl/>
        </w:rPr>
        <w:t xml:space="preserve"> ترین</w:t>
      </w:r>
      <w:r w:rsidRPr="0025250D">
        <w:rPr>
          <w:rFonts w:hint="eastAsia"/>
          <w:rtl/>
        </w:rPr>
        <w:t>،</w:t>
      </w:r>
      <w:r w:rsidRPr="0025250D">
        <w:rPr>
          <w:rtl/>
        </w:rPr>
        <w:t xml:space="preserve"> «هوشمندتر</w:t>
      </w:r>
      <w:r w:rsidRPr="0025250D">
        <w:rPr>
          <w:rFonts w:hint="cs"/>
          <w:rtl/>
        </w:rPr>
        <w:t>ی</w:t>
      </w:r>
      <w:r w:rsidRPr="0025250D">
        <w:rPr>
          <w:rFonts w:hint="eastAsia"/>
          <w:rtl/>
        </w:rPr>
        <w:t>ن»</w:t>
      </w:r>
      <w:r w:rsidRPr="0025250D">
        <w:rPr>
          <w:rtl/>
        </w:rPr>
        <w:t xml:space="preserve"> و آ</w:t>
      </w:r>
      <w:r w:rsidRPr="0025250D">
        <w:rPr>
          <w:rFonts w:hint="cs"/>
          <w:rtl/>
        </w:rPr>
        <w:t>ی</w:t>
      </w:r>
      <w:r w:rsidRPr="0025250D">
        <w:rPr>
          <w:rFonts w:hint="eastAsia"/>
          <w:rtl/>
        </w:rPr>
        <w:t>نده‌نگ</w:t>
      </w:r>
      <w:r w:rsidRPr="0025250D">
        <w:rPr>
          <w:rFonts w:hint="cs"/>
          <w:rtl/>
        </w:rPr>
        <w:t>ا</w:t>
      </w:r>
      <w:r w:rsidRPr="0025250D">
        <w:rPr>
          <w:rFonts w:hint="eastAsia"/>
          <w:rtl/>
        </w:rPr>
        <w:t>رتر</w:t>
      </w:r>
      <w:r w:rsidRPr="0025250D">
        <w:rPr>
          <w:rFonts w:hint="cs"/>
          <w:rtl/>
        </w:rPr>
        <w:t>ی</w:t>
      </w:r>
      <w:r w:rsidRPr="0025250D">
        <w:rPr>
          <w:rFonts w:hint="eastAsia"/>
          <w:rtl/>
        </w:rPr>
        <w:t>ن</w:t>
      </w:r>
      <w:r w:rsidRPr="0025250D">
        <w:rPr>
          <w:rtl/>
        </w:rPr>
        <w:t xml:space="preserve"> شرکت‌ها </w:t>
      </w:r>
      <w:r w:rsidRPr="0025250D">
        <w:rPr>
          <w:rFonts w:hint="cs"/>
          <w:rtl/>
        </w:rPr>
        <w:t>ی</w:t>
      </w:r>
      <w:r w:rsidRPr="0025250D">
        <w:rPr>
          <w:rFonts w:hint="eastAsia"/>
          <w:rtl/>
        </w:rPr>
        <w:t>ا</w:t>
      </w:r>
      <w:r w:rsidRPr="0025250D">
        <w:rPr>
          <w:rtl/>
        </w:rPr>
        <w:t xml:space="preserve"> سازمان‌ها باش</w:t>
      </w:r>
      <w:r w:rsidRPr="0025250D">
        <w:rPr>
          <w:rFonts w:hint="cs"/>
          <w:rtl/>
        </w:rPr>
        <w:t>ی</w:t>
      </w:r>
      <w:r w:rsidRPr="0025250D">
        <w:rPr>
          <w:rFonts w:hint="eastAsia"/>
          <w:rtl/>
        </w:rPr>
        <w:t>د</w:t>
      </w:r>
      <w:r w:rsidRPr="0025250D">
        <w:rPr>
          <w:rtl/>
        </w:rPr>
        <w:t>. ا</w:t>
      </w:r>
      <w:r w:rsidRPr="0025250D">
        <w:rPr>
          <w:rFonts w:hint="cs"/>
          <w:rtl/>
        </w:rPr>
        <w:t>ی</w:t>
      </w:r>
      <w:r w:rsidRPr="0025250D">
        <w:rPr>
          <w:rFonts w:hint="eastAsia"/>
          <w:rtl/>
        </w:rPr>
        <w:t>ن</w:t>
      </w:r>
      <w:r w:rsidRPr="0025250D">
        <w:rPr>
          <w:rtl/>
        </w:rPr>
        <w:t xml:space="preserve"> شرکت‌ها اغلب </w:t>
      </w:r>
      <w:r w:rsidRPr="0025250D">
        <w:rPr>
          <w:rFonts w:hint="cs"/>
          <w:rtl/>
        </w:rPr>
        <w:t>بن</w:t>
      </w:r>
      <w:r w:rsidR="005B6D28" w:rsidRPr="0025250D">
        <w:rPr>
          <w:rFonts w:hint="cs"/>
          <w:rtl/>
        </w:rPr>
        <w:t>ی</w:t>
      </w:r>
      <w:r w:rsidRPr="0025250D">
        <w:rPr>
          <w:rFonts w:hint="cs"/>
          <w:rtl/>
        </w:rPr>
        <w:t>ان</w:t>
      </w:r>
      <w:r w:rsidR="005B6D28" w:rsidRPr="0025250D">
        <w:rPr>
          <w:rFonts w:hint="cs"/>
          <w:rtl/>
        </w:rPr>
        <w:t>‌</w:t>
      </w:r>
      <w:r w:rsidRPr="0025250D">
        <w:rPr>
          <w:rFonts w:hint="cs"/>
          <w:rtl/>
        </w:rPr>
        <w:t xml:space="preserve">افکن </w:t>
      </w:r>
      <w:r w:rsidRPr="0025250D">
        <w:rPr>
          <w:rtl/>
        </w:rPr>
        <w:t>صنا</w:t>
      </w:r>
      <w:r w:rsidRPr="0025250D">
        <w:rPr>
          <w:rFonts w:hint="cs"/>
          <w:rtl/>
        </w:rPr>
        <w:t>ی</w:t>
      </w:r>
      <w:r w:rsidRPr="0025250D">
        <w:rPr>
          <w:rFonts w:hint="eastAsia"/>
          <w:rtl/>
        </w:rPr>
        <w:t>ع</w:t>
      </w:r>
      <w:r w:rsidRPr="0025250D">
        <w:rPr>
          <w:rtl/>
        </w:rPr>
        <w:t xml:space="preserve"> خود </w:t>
      </w:r>
      <w:r w:rsidRPr="0025250D">
        <w:rPr>
          <w:rFonts w:hint="cs"/>
          <w:rtl/>
        </w:rPr>
        <w:t>هستند</w:t>
      </w:r>
      <w:r w:rsidRPr="0025250D">
        <w:rPr>
          <w:rtl/>
        </w:rPr>
        <w:t>.</w:t>
      </w:r>
    </w:p>
    <w:p w14:paraId="3E1173FC" w14:textId="20BA847D" w:rsidR="00537CC8" w:rsidRPr="0025250D" w:rsidRDefault="00537CC8" w:rsidP="00492C47">
      <w:pPr>
        <w:numPr>
          <w:ilvl w:val="0"/>
          <w:numId w:val="71"/>
        </w:numPr>
      </w:pPr>
      <w:r w:rsidRPr="0025250D">
        <w:rPr>
          <w:rFonts w:hint="cs"/>
          <w:rtl/>
        </w:rPr>
        <w:t>عضو</w:t>
      </w:r>
      <w:r w:rsidRPr="0025250D">
        <w:rPr>
          <w:rtl/>
        </w:rPr>
        <w:t xml:space="preserve"> </w:t>
      </w:r>
      <w:r w:rsidRPr="0025250D">
        <w:rPr>
          <w:rFonts w:hint="cs"/>
          <w:rtl/>
        </w:rPr>
        <w:t>نسخه پیشرفته لینکدین</w:t>
      </w:r>
      <w:r w:rsidRPr="0025250D">
        <w:rPr>
          <w:rtl/>
        </w:rPr>
        <w:t xml:space="preserve"> </w:t>
      </w:r>
      <w:r w:rsidRPr="0025250D">
        <w:rPr>
          <w:rFonts w:hint="cs"/>
          <w:rtl/>
        </w:rPr>
        <w:t>شوید</w:t>
      </w:r>
      <w:r w:rsidRPr="0025250D">
        <w:rPr>
          <w:rtl/>
        </w:rPr>
        <w:t xml:space="preserve"> و از جستجو</w:t>
      </w:r>
      <w:r w:rsidRPr="0025250D">
        <w:rPr>
          <w:rFonts w:hint="cs"/>
          <w:rtl/>
        </w:rPr>
        <w:t>ی</w:t>
      </w:r>
      <w:r w:rsidRPr="0025250D">
        <w:rPr>
          <w:rtl/>
        </w:rPr>
        <w:t xml:space="preserve"> پ</w:t>
      </w:r>
      <w:r w:rsidRPr="0025250D">
        <w:rPr>
          <w:rFonts w:hint="cs"/>
          <w:rtl/>
        </w:rPr>
        <w:t>ی</w:t>
      </w:r>
      <w:r w:rsidRPr="0025250D">
        <w:rPr>
          <w:rFonts w:hint="eastAsia"/>
          <w:rtl/>
        </w:rPr>
        <w:t>شرفته</w:t>
      </w:r>
      <w:r w:rsidRPr="0025250D">
        <w:rPr>
          <w:rtl/>
        </w:rPr>
        <w:t xml:space="preserve"> با «نام شرکت» + «آ</w:t>
      </w:r>
      <w:r w:rsidRPr="0025250D">
        <w:rPr>
          <w:rFonts w:hint="cs"/>
          <w:rtl/>
        </w:rPr>
        <w:t>ی</w:t>
      </w:r>
      <w:r w:rsidRPr="0025250D">
        <w:rPr>
          <w:rFonts w:hint="eastAsia"/>
          <w:rtl/>
        </w:rPr>
        <w:t>نده‌نگار</w:t>
      </w:r>
      <w:r w:rsidRPr="0025250D">
        <w:rPr>
          <w:rFonts w:hint="cs"/>
          <w:rtl/>
        </w:rPr>
        <w:t>ی</w:t>
      </w:r>
      <w:r w:rsidRPr="0025250D">
        <w:rPr>
          <w:rFonts w:hint="eastAsia"/>
          <w:rtl/>
        </w:rPr>
        <w:t>»</w:t>
      </w:r>
      <w:r w:rsidRPr="0025250D">
        <w:rPr>
          <w:rtl/>
        </w:rPr>
        <w:t xml:space="preserve"> «پ</w:t>
      </w:r>
      <w:r w:rsidRPr="0025250D">
        <w:rPr>
          <w:rFonts w:hint="cs"/>
          <w:rtl/>
        </w:rPr>
        <w:t>ی</w:t>
      </w:r>
      <w:r w:rsidRPr="0025250D">
        <w:rPr>
          <w:rFonts w:hint="eastAsia"/>
          <w:rtl/>
        </w:rPr>
        <w:t>ش‌</w:t>
      </w:r>
      <w:r w:rsidRPr="0025250D">
        <w:rPr>
          <w:rFonts w:hint="cs"/>
          <w:rtl/>
        </w:rPr>
        <w:t>نگری</w:t>
      </w:r>
      <w:r w:rsidRPr="0025250D">
        <w:rPr>
          <w:rFonts w:hint="eastAsia"/>
          <w:rtl/>
        </w:rPr>
        <w:t>»</w:t>
      </w:r>
      <w:r w:rsidRPr="0025250D">
        <w:rPr>
          <w:rtl/>
        </w:rPr>
        <w:t xml:space="preserve"> «روند» «</w:t>
      </w:r>
      <w:r w:rsidR="007A53FD" w:rsidRPr="0025250D">
        <w:rPr>
          <w:rtl/>
        </w:rPr>
        <w:t>فرانامه</w:t>
      </w:r>
      <w:r w:rsidRPr="0025250D">
        <w:rPr>
          <w:rFonts w:hint="eastAsia"/>
          <w:rtl/>
        </w:rPr>
        <w:t>ها»</w:t>
      </w:r>
      <w:r w:rsidRPr="0025250D">
        <w:rPr>
          <w:rtl/>
        </w:rPr>
        <w:t xml:space="preserve"> «نوآور</w:t>
      </w:r>
      <w:r w:rsidRPr="0025250D">
        <w:rPr>
          <w:rFonts w:hint="cs"/>
          <w:rtl/>
        </w:rPr>
        <w:t>ی</w:t>
      </w:r>
      <w:r w:rsidRPr="0025250D">
        <w:rPr>
          <w:rFonts w:hint="eastAsia"/>
          <w:rtl/>
        </w:rPr>
        <w:t>»</w:t>
      </w:r>
      <w:r w:rsidRPr="0025250D">
        <w:rPr>
          <w:rtl/>
        </w:rPr>
        <w:t xml:space="preserve"> و غ</w:t>
      </w:r>
      <w:r w:rsidRPr="0025250D">
        <w:rPr>
          <w:rFonts w:hint="cs"/>
          <w:rtl/>
        </w:rPr>
        <w:t>ی</w:t>
      </w:r>
      <w:r w:rsidRPr="0025250D">
        <w:rPr>
          <w:rFonts w:hint="eastAsia"/>
          <w:rtl/>
        </w:rPr>
        <w:t>ره</w:t>
      </w:r>
      <w:r w:rsidRPr="0025250D">
        <w:rPr>
          <w:rtl/>
        </w:rPr>
        <w:t xml:space="preserve"> استفاده کن</w:t>
      </w:r>
      <w:r w:rsidRPr="0025250D">
        <w:rPr>
          <w:rFonts w:hint="cs"/>
          <w:rtl/>
        </w:rPr>
        <w:t>ی</w:t>
      </w:r>
      <w:r w:rsidRPr="0025250D">
        <w:rPr>
          <w:rFonts w:hint="eastAsia"/>
          <w:rtl/>
        </w:rPr>
        <w:t>د</w:t>
      </w:r>
      <w:r w:rsidRPr="0025250D">
        <w:rPr>
          <w:rtl/>
        </w:rPr>
        <w:t xml:space="preserve"> تا افراد و واحدها</w:t>
      </w:r>
      <w:r w:rsidRPr="0025250D">
        <w:rPr>
          <w:rFonts w:hint="cs"/>
          <w:rtl/>
        </w:rPr>
        <w:t>ی</w:t>
      </w:r>
      <w:r w:rsidRPr="0025250D">
        <w:rPr>
          <w:rtl/>
        </w:rPr>
        <w:t xml:space="preserve"> </w:t>
      </w:r>
      <w:r w:rsidR="00B124DE" w:rsidRPr="0025250D">
        <w:rPr>
          <w:rFonts w:hint="cs"/>
          <w:rtl/>
        </w:rPr>
        <w:t>کسب‌و‌کار</w:t>
      </w:r>
      <w:r w:rsidRPr="0025250D">
        <w:rPr>
          <w:rtl/>
        </w:rPr>
        <w:t xml:space="preserve"> آ</w:t>
      </w:r>
      <w:r w:rsidRPr="0025250D">
        <w:rPr>
          <w:rFonts w:hint="cs"/>
          <w:rtl/>
        </w:rPr>
        <w:t>ی</w:t>
      </w:r>
      <w:r w:rsidRPr="0025250D">
        <w:rPr>
          <w:rFonts w:hint="eastAsia"/>
          <w:rtl/>
        </w:rPr>
        <w:t>نده‌نگار</w:t>
      </w:r>
      <w:r w:rsidRPr="0025250D">
        <w:rPr>
          <w:rtl/>
        </w:rPr>
        <w:t xml:space="preserve"> در صنا</w:t>
      </w:r>
      <w:r w:rsidRPr="0025250D">
        <w:rPr>
          <w:rFonts w:hint="cs"/>
          <w:rtl/>
        </w:rPr>
        <w:t>ی</w:t>
      </w:r>
      <w:r w:rsidRPr="0025250D">
        <w:rPr>
          <w:rFonts w:hint="eastAsia"/>
          <w:rtl/>
        </w:rPr>
        <w:t>ع</w:t>
      </w:r>
      <w:r w:rsidRPr="0025250D">
        <w:rPr>
          <w:rtl/>
        </w:rPr>
        <w:t xml:space="preserve"> مختلف و اندازه آن‌ها را پ</w:t>
      </w:r>
      <w:r w:rsidRPr="0025250D">
        <w:rPr>
          <w:rFonts w:hint="cs"/>
          <w:rtl/>
        </w:rPr>
        <w:t>ی</w:t>
      </w:r>
      <w:r w:rsidRPr="0025250D">
        <w:rPr>
          <w:rFonts w:hint="eastAsia"/>
          <w:rtl/>
        </w:rPr>
        <w:t>دا</w:t>
      </w:r>
      <w:r w:rsidRPr="0025250D">
        <w:rPr>
          <w:rtl/>
        </w:rPr>
        <w:t xml:space="preserve"> کن</w:t>
      </w:r>
      <w:r w:rsidRPr="0025250D">
        <w:rPr>
          <w:rFonts w:hint="cs"/>
          <w:rtl/>
        </w:rPr>
        <w:t>ی</w:t>
      </w:r>
      <w:r w:rsidRPr="0025250D">
        <w:rPr>
          <w:rFonts w:hint="eastAsia"/>
          <w:rtl/>
        </w:rPr>
        <w:t>د</w:t>
      </w:r>
      <w:r w:rsidRPr="0025250D">
        <w:rPr>
          <w:rtl/>
        </w:rPr>
        <w:t>. هم</w:t>
      </w:r>
      <w:r w:rsidRPr="0025250D">
        <w:rPr>
          <w:rFonts w:hint="cs"/>
          <w:rtl/>
        </w:rPr>
        <w:t>ی</w:t>
      </w:r>
      <w:r w:rsidRPr="0025250D">
        <w:rPr>
          <w:rFonts w:hint="eastAsia"/>
          <w:rtl/>
        </w:rPr>
        <w:t>ن</w:t>
      </w:r>
      <w:r w:rsidRPr="0025250D">
        <w:rPr>
          <w:rtl/>
        </w:rPr>
        <w:t xml:space="preserve"> کار را با موتور ج</w:t>
      </w:r>
      <w:r w:rsidRPr="0025250D">
        <w:rPr>
          <w:rFonts w:hint="eastAsia"/>
          <w:rtl/>
        </w:rPr>
        <w:t>ستجو</w:t>
      </w:r>
      <w:r w:rsidRPr="0025250D">
        <w:rPr>
          <w:rFonts w:hint="cs"/>
          <w:rtl/>
        </w:rPr>
        <w:t>ی</w:t>
      </w:r>
      <w:r w:rsidRPr="0025250D">
        <w:rPr>
          <w:rtl/>
        </w:rPr>
        <w:t xml:space="preserve"> مورد علاقه خود انجام ده</w:t>
      </w:r>
      <w:r w:rsidRPr="0025250D">
        <w:rPr>
          <w:rFonts w:hint="cs"/>
          <w:rtl/>
        </w:rPr>
        <w:t>ی</w:t>
      </w:r>
      <w:r w:rsidRPr="0025250D">
        <w:rPr>
          <w:rFonts w:hint="eastAsia"/>
          <w:rtl/>
        </w:rPr>
        <w:t>د</w:t>
      </w:r>
      <w:r w:rsidRPr="0025250D">
        <w:rPr>
          <w:rtl/>
        </w:rPr>
        <w:t>.</w:t>
      </w:r>
    </w:p>
    <w:p w14:paraId="3E9B54F3" w14:textId="1015E312" w:rsidR="00537CC8" w:rsidRPr="0025250D" w:rsidRDefault="00537CC8" w:rsidP="00492C47">
      <w:pPr>
        <w:numPr>
          <w:ilvl w:val="0"/>
          <w:numId w:val="71"/>
        </w:numPr>
      </w:pPr>
      <w:r w:rsidRPr="0025250D">
        <w:rPr>
          <w:rtl/>
        </w:rPr>
        <w:t>در وب سا</w:t>
      </w:r>
      <w:r w:rsidRPr="0025250D">
        <w:rPr>
          <w:rFonts w:hint="cs"/>
          <w:rtl/>
        </w:rPr>
        <w:t>ی</w:t>
      </w:r>
      <w:r w:rsidRPr="0025250D">
        <w:rPr>
          <w:rFonts w:hint="eastAsia"/>
          <w:rtl/>
        </w:rPr>
        <w:t>ت</w:t>
      </w:r>
      <w:r w:rsidRPr="0025250D">
        <w:rPr>
          <w:rtl/>
        </w:rPr>
        <w:t xml:space="preserve"> </w:t>
      </w:r>
      <w:r w:rsidRPr="0025250D">
        <w:rPr>
          <w:rFonts w:hint="cs"/>
          <w:rtl/>
        </w:rPr>
        <w:t>ی</w:t>
      </w:r>
      <w:r w:rsidRPr="0025250D">
        <w:rPr>
          <w:rFonts w:hint="eastAsia"/>
          <w:rtl/>
        </w:rPr>
        <w:t>ک</w:t>
      </w:r>
      <w:r w:rsidRPr="0025250D">
        <w:rPr>
          <w:rtl/>
        </w:rPr>
        <w:t xml:space="preserve"> شرکت</w:t>
      </w:r>
      <w:r w:rsidRPr="0025250D">
        <w:rPr>
          <w:rFonts w:hint="cs"/>
          <w:rtl/>
        </w:rPr>
        <w:t xml:space="preserve"> جستجو کنید.</w:t>
      </w:r>
      <w:r w:rsidRPr="0025250D">
        <w:rPr>
          <w:rtl/>
        </w:rPr>
        <w:t xml:space="preserve"> "</w:t>
      </w:r>
      <w:r w:rsidRPr="0025250D">
        <w:t>Site:company.com</w:t>
      </w:r>
      <w:r w:rsidRPr="0025250D">
        <w:rPr>
          <w:rtl/>
        </w:rPr>
        <w:t>" + کلمات آینده‌</w:t>
      </w:r>
      <w:r w:rsidR="00664E33" w:rsidRPr="0025250D">
        <w:rPr>
          <w:rtl/>
        </w:rPr>
        <w:t>نگار</w:t>
      </w:r>
      <w:r w:rsidRPr="0025250D">
        <w:rPr>
          <w:rtl/>
        </w:rPr>
        <w:t>ی مورد علاقه خود را در نقل قول جستجو کن</w:t>
      </w:r>
      <w:r w:rsidRPr="0025250D">
        <w:rPr>
          <w:rFonts w:hint="cs"/>
          <w:rtl/>
        </w:rPr>
        <w:t>ی</w:t>
      </w:r>
      <w:r w:rsidRPr="0025250D">
        <w:rPr>
          <w:rFonts w:hint="eastAsia"/>
          <w:rtl/>
        </w:rPr>
        <w:t>د</w:t>
      </w:r>
      <w:r w:rsidRPr="0025250D">
        <w:rPr>
          <w:rtl/>
        </w:rPr>
        <w:t xml:space="preserve"> تا رهبران آینده‌</w:t>
      </w:r>
      <w:r w:rsidR="00664E33" w:rsidRPr="0025250D">
        <w:rPr>
          <w:rtl/>
        </w:rPr>
        <w:t>نگار</w:t>
      </w:r>
      <w:r w:rsidRPr="0025250D">
        <w:rPr>
          <w:rtl/>
        </w:rPr>
        <w:t>ی</w:t>
      </w:r>
      <w:r w:rsidRPr="0025250D">
        <w:rPr>
          <w:rFonts w:hint="eastAsia"/>
          <w:rtl/>
        </w:rPr>
        <w:t>،</w:t>
      </w:r>
      <w:r w:rsidRPr="0025250D">
        <w:rPr>
          <w:rtl/>
        </w:rPr>
        <w:t xml:space="preserve"> </w:t>
      </w:r>
      <w:r w:rsidR="0008779C" w:rsidRPr="0025250D">
        <w:rPr>
          <w:rtl/>
        </w:rPr>
        <w:t>پیش‌نگر</w:t>
      </w:r>
      <w:r w:rsidRPr="0025250D">
        <w:rPr>
          <w:rFonts w:hint="cs"/>
          <w:rtl/>
        </w:rPr>
        <w:t>ها</w:t>
      </w:r>
      <w:r w:rsidRPr="0025250D">
        <w:rPr>
          <w:rtl/>
        </w:rPr>
        <w:t>، خلاقان و نوآوران را برا</w:t>
      </w:r>
      <w:r w:rsidRPr="0025250D">
        <w:rPr>
          <w:rFonts w:hint="cs"/>
          <w:rtl/>
        </w:rPr>
        <w:t>ی</w:t>
      </w:r>
      <w:r w:rsidRPr="0025250D">
        <w:rPr>
          <w:rtl/>
        </w:rPr>
        <w:t xml:space="preserve"> ارتباط با شرکت مورد علاقه خود ب</w:t>
      </w:r>
      <w:r w:rsidRPr="0025250D">
        <w:rPr>
          <w:rFonts w:hint="cs"/>
          <w:rtl/>
        </w:rPr>
        <w:t>ی</w:t>
      </w:r>
      <w:r w:rsidRPr="0025250D">
        <w:rPr>
          <w:rFonts w:hint="eastAsia"/>
          <w:rtl/>
        </w:rPr>
        <w:t>اب</w:t>
      </w:r>
      <w:r w:rsidRPr="0025250D">
        <w:rPr>
          <w:rFonts w:hint="cs"/>
          <w:rtl/>
        </w:rPr>
        <w:t>ی</w:t>
      </w:r>
      <w:r w:rsidRPr="0025250D">
        <w:rPr>
          <w:rFonts w:hint="eastAsia"/>
          <w:rtl/>
        </w:rPr>
        <w:t>د</w:t>
      </w:r>
      <w:r w:rsidRPr="0025250D">
        <w:rPr>
          <w:rtl/>
        </w:rPr>
        <w:t>.</w:t>
      </w:r>
    </w:p>
    <w:p w14:paraId="6816D647" w14:textId="77777777" w:rsidR="00537CC8" w:rsidRPr="0025250D" w:rsidRDefault="00537CC8" w:rsidP="00E26538">
      <w:pPr>
        <w:pStyle w:val="Heading2"/>
        <w:rPr>
          <w:rtl/>
        </w:rPr>
      </w:pPr>
      <w:bookmarkStart w:id="86" w:name="_Toc127831351"/>
      <w:r w:rsidRPr="0025250D">
        <w:rPr>
          <w:rtl/>
        </w:rPr>
        <w:t>مشاوران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Fonts w:hint="cs"/>
          <w:rtl/>
        </w:rPr>
        <w:t>ی</w:t>
      </w:r>
      <w:r w:rsidRPr="0025250D">
        <w:rPr>
          <w:rtl/>
        </w:rPr>
        <w:t xml:space="preserve"> پ</w:t>
      </w:r>
      <w:r w:rsidRPr="0025250D">
        <w:rPr>
          <w:rFonts w:hint="cs"/>
          <w:rtl/>
        </w:rPr>
        <w:t>ی</w:t>
      </w:r>
      <w:r w:rsidRPr="0025250D">
        <w:rPr>
          <w:rFonts w:hint="eastAsia"/>
          <w:rtl/>
        </w:rPr>
        <w:t>شرو</w:t>
      </w:r>
      <w:r w:rsidRPr="0025250D">
        <w:rPr>
          <w:rtl/>
        </w:rPr>
        <w:t xml:space="preserve"> درگ</w:t>
      </w:r>
      <w:r w:rsidRPr="0025250D">
        <w:rPr>
          <w:rFonts w:hint="cs"/>
          <w:rtl/>
        </w:rPr>
        <w:t>ی</w:t>
      </w:r>
      <w:r w:rsidRPr="0025250D">
        <w:rPr>
          <w:rFonts w:hint="eastAsia"/>
          <w:rtl/>
        </w:rPr>
        <w:t>ر</w:t>
      </w:r>
      <w:r w:rsidRPr="0025250D">
        <w:rPr>
          <w:rtl/>
        </w:rPr>
        <w:t xml:space="preserve"> در کار آینده‌نگاری</w:t>
      </w:r>
      <w:bookmarkEnd w:id="86"/>
    </w:p>
    <w:p w14:paraId="4F274021" w14:textId="77777777" w:rsidR="00537CC8" w:rsidRPr="0025250D" w:rsidRDefault="00537CC8" w:rsidP="00537CC8">
      <w:pPr>
        <w:rPr>
          <w:rtl/>
        </w:rPr>
      </w:pPr>
      <w:r w:rsidRPr="0025250D">
        <w:rPr>
          <w:rtl/>
        </w:rPr>
        <w:t>ا</w:t>
      </w:r>
      <w:r w:rsidRPr="0025250D">
        <w:rPr>
          <w:rFonts w:hint="cs"/>
          <w:rtl/>
        </w:rPr>
        <w:t>ی</w:t>
      </w:r>
      <w:r w:rsidRPr="0025250D">
        <w:rPr>
          <w:rFonts w:hint="eastAsia"/>
          <w:rtl/>
        </w:rPr>
        <w:t>ن</w:t>
      </w:r>
      <w:r w:rsidRPr="0025250D">
        <w:rPr>
          <w:rtl/>
        </w:rPr>
        <w:t xml:space="preserve"> مشاوران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Fonts w:hint="cs"/>
          <w:rtl/>
        </w:rPr>
        <w:t>ی</w:t>
      </w:r>
      <w:r w:rsidRPr="0025250D">
        <w:rPr>
          <w:rtl/>
        </w:rPr>
        <w:t xml:space="preserve"> بزرگ اغلب کارها</w:t>
      </w:r>
      <w:r w:rsidRPr="0025250D">
        <w:rPr>
          <w:rFonts w:hint="cs"/>
          <w:rtl/>
        </w:rPr>
        <w:t>ی</w:t>
      </w:r>
      <w:r w:rsidRPr="0025250D">
        <w:rPr>
          <w:rtl/>
        </w:rPr>
        <w:t xml:space="preserve"> پ</w:t>
      </w:r>
      <w:r w:rsidRPr="0025250D">
        <w:rPr>
          <w:rFonts w:hint="cs"/>
          <w:rtl/>
        </w:rPr>
        <w:t>ی</w:t>
      </w:r>
      <w:r w:rsidRPr="0025250D">
        <w:rPr>
          <w:rFonts w:hint="eastAsia"/>
          <w:rtl/>
        </w:rPr>
        <w:t>شرو</w:t>
      </w:r>
      <w:r w:rsidRPr="0025250D">
        <w:rPr>
          <w:rFonts w:hint="cs"/>
          <w:rtl/>
        </w:rPr>
        <w:t>ی</w:t>
      </w:r>
      <w:r w:rsidRPr="0025250D">
        <w:rPr>
          <w:rtl/>
        </w:rPr>
        <w:t xml:space="preserve"> آ</w:t>
      </w:r>
      <w:r w:rsidRPr="0025250D">
        <w:rPr>
          <w:rFonts w:hint="cs"/>
          <w:rtl/>
        </w:rPr>
        <w:t>ی</w:t>
      </w:r>
      <w:r w:rsidRPr="0025250D">
        <w:rPr>
          <w:rFonts w:hint="eastAsia"/>
          <w:rtl/>
        </w:rPr>
        <w:t>نده‌نگار</w:t>
      </w:r>
      <w:r w:rsidRPr="0025250D">
        <w:rPr>
          <w:rFonts w:hint="cs"/>
          <w:rtl/>
        </w:rPr>
        <w:t>ی</w:t>
      </w:r>
      <w:r w:rsidRPr="0025250D">
        <w:rPr>
          <w:rtl/>
        </w:rPr>
        <w:t xml:space="preserve"> را انجام م</w:t>
      </w:r>
      <w:r w:rsidRPr="0025250D">
        <w:rPr>
          <w:rFonts w:hint="cs"/>
          <w:rtl/>
        </w:rPr>
        <w:t>ی‌</w:t>
      </w:r>
      <w:r w:rsidRPr="0025250D">
        <w:rPr>
          <w:rFonts w:hint="eastAsia"/>
          <w:rtl/>
        </w:rPr>
        <w:t>دهند،</w:t>
      </w:r>
      <w:r w:rsidRPr="0025250D">
        <w:rPr>
          <w:rtl/>
        </w:rPr>
        <w:t xml:space="preserve"> اگرچه به صراحت خود را به عنوان مشاور آ</w:t>
      </w:r>
      <w:r w:rsidRPr="0025250D">
        <w:rPr>
          <w:rFonts w:hint="cs"/>
          <w:rtl/>
        </w:rPr>
        <w:t>ی</w:t>
      </w:r>
      <w:r w:rsidRPr="0025250D">
        <w:rPr>
          <w:rFonts w:hint="eastAsia"/>
          <w:rtl/>
        </w:rPr>
        <w:t>نده‌نگار</w:t>
      </w:r>
      <w:r w:rsidRPr="0025250D">
        <w:rPr>
          <w:rFonts w:hint="cs"/>
          <w:rtl/>
        </w:rPr>
        <w:t>ی</w:t>
      </w:r>
      <w:r w:rsidRPr="0025250D">
        <w:rPr>
          <w:rtl/>
        </w:rPr>
        <w:t xml:space="preserve"> معرف</w:t>
      </w:r>
      <w:r w:rsidRPr="0025250D">
        <w:rPr>
          <w:rFonts w:hint="cs"/>
          <w:rtl/>
        </w:rPr>
        <w:t>ی</w:t>
      </w:r>
      <w:r w:rsidRPr="0025250D">
        <w:rPr>
          <w:rtl/>
        </w:rPr>
        <w:t xml:space="preserve"> نم</w:t>
      </w:r>
      <w:r w:rsidRPr="0025250D">
        <w:rPr>
          <w:rFonts w:hint="cs"/>
          <w:rtl/>
        </w:rPr>
        <w:t>ی‌</w:t>
      </w:r>
      <w:r w:rsidRPr="0025250D">
        <w:rPr>
          <w:rFonts w:hint="eastAsia"/>
          <w:rtl/>
        </w:rPr>
        <w:t>کنند</w:t>
      </w:r>
      <w:r w:rsidRPr="0025250D">
        <w:rPr>
          <w:rtl/>
        </w:rPr>
        <w:t xml:space="preserve">. </w:t>
      </w:r>
      <w:r w:rsidRPr="0025250D">
        <w:rPr>
          <w:rFonts w:hint="cs"/>
          <w:rtl/>
        </w:rPr>
        <w:t>اگر</w:t>
      </w:r>
      <w:r w:rsidRPr="0025250D">
        <w:rPr>
          <w:rtl/>
        </w:rPr>
        <w:t xml:space="preserve"> آن‌ها ا</w:t>
      </w:r>
      <w:r w:rsidRPr="0025250D">
        <w:rPr>
          <w:rFonts w:hint="cs"/>
          <w:rtl/>
        </w:rPr>
        <w:t>ی</w:t>
      </w:r>
      <w:r w:rsidRPr="0025250D">
        <w:rPr>
          <w:rFonts w:hint="eastAsia"/>
          <w:rtl/>
        </w:rPr>
        <w:t>ن</w:t>
      </w:r>
      <w:r w:rsidRPr="0025250D">
        <w:rPr>
          <w:rtl/>
        </w:rPr>
        <w:t xml:space="preserve"> کار را انجام دادند، آن‌ها را در بخش بعد</w:t>
      </w:r>
      <w:r w:rsidRPr="0025250D">
        <w:rPr>
          <w:rFonts w:hint="cs"/>
          <w:rtl/>
        </w:rPr>
        <w:t>ی</w:t>
      </w:r>
      <w:r w:rsidRPr="0025250D">
        <w:rPr>
          <w:rtl/>
        </w:rPr>
        <w:t xml:space="preserve"> به مشاوران آینده‌نگاری بزرگتر منتقل می‌کن</w:t>
      </w:r>
      <w:r w:rsidRPr="0025250D">
        <w:rPr>
          <w:rFonts w:hint="cs"/>
          <w:rtl/>
        </w:rPr>
        <w:t>ی</w:t>
      </w:r>
      <w:r w:rsidRPr="0025250D">
        <w:rPr>
          <w:rFonts w:hint="eastAsia"/>
          <w:rtl/>
        </w:rPr>
        <w:t>م</w:t>
      </w:r>
      <w:r w:rsidRPr="0025250D">
        <w:rPr>
          <w:rtl/>
        </w:rPr>
        <w:t>.</w:t>
      </w:r>
    </w:p>
    <w:p w14:paraId="2FD3FFC4" w14:textId="782B1513" w:rsidR="00537CC8" w:rsidRPr="0025250D" w:rsidRDefault="00537CC8" w:rsidP="00537CC8">
      <w:pPr>
        <w:rPr>
          <w:rtl/>
        </w:rPr>
      </w:pPr>
      <w:r w:rsidRPr="0025250D">
        <w:rPr>
          <w:rtl/>
        </w:rPr>
        <w:t>رهبران آ</w:t>
      </w:r>
      <w:r w:rsidRPr="0025250D">
        <w:rPr>
          <w:rFonts w:hint="cs"/>
          <w:rtl/>
        </w:rPr>
        <w:t>ی</w:t>
      </w:r>
      <w:r w:rsidRPr="0025250D">
        <w:rPr>
          <w:rFonts w:hint="eastAsia"/>
          <w:rtl/>
        </w:rPr>
        <w:t>نده‌</w:t>
      </w:r>
      <w:r w:rsidR="00664E33" w:rsidRPr="0025250D">
        <w:rPr>
          <w:rFonts w:hint="eastAsia"/>
          <w:rtl/>
        </w:rPr>
        <w:t>نگار</w:t>
      </w:r>
      <w:r w:rsidRPr="0025250D">
        <w:rPr>
          <w:rFonts w:hint="cs"/>
          <w:rtl/>
        </w:rPr>
        <w:t>ی</w:t>
      </w:r>
      <w:r w:rsidRPr="0025250D">
        <w:rPr>
          <w:rtl/>
        </w:rPr>
        <w:t xml:space="preserve"> سازمان</w:t>
      </w:r>
      <w:r w:rsidRPr="0025250D">
        <w:rPr>
          <w:rFonts w:hint="cs"/>
          <w:rtl/>
        </w:rPr>
        <w:t>ی</w:t>
      </w:r>
      <w:r w:rsidRPr="0025250D">
        <w:rPr>
          <w:rtl/>
        </w:rPr>
        <w:t xml:space="preserve"> و رهبران </w:t>
      </w:r>
      <w:r w:rsidRPr="0025250D">
        <w:rPr>
          <w:rFonts w:hint="cs"/>
          <w:rtl/>
        </w:rPr>
        <w:t>پیشین</w:t>
      </w:r>
      <w:r w:rsidRPr="0025250D">
        <w:rPr>
          <w:rtl/>
        </w:rPr>
        <w:t xml:space="preserve"> در ز</w:t>
      </w:r>
      <w:r w:rsidRPr="0025250D">
        <w:rPr>
          <w:rFonts w:hint="cs"/>
          <w:rtl/>
        </w:rPr>
        <w:t>ی</w:t>
      </w:r>
      <w:r w:rsidRPr="0025250D">
        <w:rPr>
          <w:rFonts w:hint="eastAsia"/>
          <w:rtl/>
        </w:rPr>
        <w:t>ر</w:t>
      </w:r>
      <w:r w:rsidRPr="0025250D">
        <w:rPr>
          <w:rtl/>
        </w:rPr>
        <w:t xml:space="preserve"> فهرست شده‌اند. جستجو</w:t>
      </w:r>
      <w:r w:rsidRPr="0025250D">
        <w:rPr>
          <w:rFonts w:hint="cs"/>
          <w:rtl/>
        </w:rPr>
        <w:t>ی</w:t>
      </w:r>
      <w:r w:rsidRPr="0025250D">
        <w:rPr>
          <w:rtl/>
        </w:rPr>
        <w:t xml:space="preserve"> پ</w:t>
      </w:r>
      <w:r w:rsidRPr="0025250D">
        <w:rPr>
          <w:rFonts w:hint="cs"/>
          <w:rtl/>
        </w:rPr>
        <w:t>ی</w:t>
      </w:r>
      <w:r w:rsidRPr="0025250D">
        <w:rPr>
          <w:rFonts w:hint="eastAsia"/>
          <w:rtl/>
        </w:rPr>
        <w:t>شرفته</w:t>
      </w:r>
      <w:r w:rsidRPr="0025250D">
        <w:rPr>
          <w:rtl/>
        </w:rPr>
        <w:t xml:space="preserve"> ل</w:t>
      </w:r>
      <w:r w:rsidRPr="0025250D">
        <w:rPr>
          <w:rFonts w:hint="cs"/>
          <w:rtl/>
        </w:rPr>
        <w:t>ی</w:t>
      </w:r>
      <w:r w:rsidRPr="0025250D">
        <w:rPr>
          <w:rFonts w:hint="eastAsia"/>
          <w:rtl/>
        </w:rPr>
        <w:t>نکد</w:t>
      </w:r>
      <w:r w:rsidRPr="0025250D">
        <w:rPr>
          <w:rFonts w:hint="cs"/>
          <w:rtl/>
        </w:rPr>
        <w:t>ی</w:t>
      </w:r>
      <w:r w:rsidRPr="0025250D">
        <w:rPr>
          <w:rFonts w:hint="eastAsia"/>
          <w:rtl/>
        </w:rPr>
        <w:t>ن</w:t>
      </w:r>
      <w:r w:rsidRPr="0025250D">
        <w:rPr>
          <w:rtl/>
        </w:rPr>
        <w:t xml:space="preserve"> را با استفاده از نام سازمان و عبارات آ</w:t>
      </w:r>
      <w:r w:rsidRPr="0025250D">
        <w:rPr>
          <w:rFonts w:hint="cs"/>
          <w:rtl/>
        </w:rPr>
        <w:t>ی</w:t>
      </w:r>
      <w:r w:rsidRPr="0025250D">
        <w:rPr>
          <w:rFonts w:hint="eastAsia"/>
          <w:rtl/>
        </w:rPr>
        <w:t>نده‌نگار</w:t>
      </w:r>
      <w:r w:rsidRPr="0025250D">
        <w:rPr>
          <w:rFonts w:hint="cs"/>
          <w:rtl/>
        </w:rPr>
        <w:t>ی</w:t>
      </w:r>
      <w:r w:rsidRPr="0025250D">
        <w:rPr>
          <w:rtl/>
        </w:rPr>
        <w:t xml:space="preserve"> مرتبط</w:t>
      </w:r>
      <w:r w:rsidRPr="0025250D">
        <w:rPr>
          <w:rFonts w:hint="cs"/>
          <w:rtl/>
        </w:rPr>
        <w:t xml:space="preserve"> </w:t>
      </w:r>
      <w:r w:rsidRPr="0025250D">
        <w:rPr>
          <w:rtl/>
        </w:rPr>
        <w:t>(</w:t>
      </w:r>
      <w:r w:rsidR="00701E03" w:rsidRPr="0025250D">
        <w:rPr>
          <w:rtl/>
        </w:rPr>
        <w:t>راهبرد</w:t>
      </w:r>
      <w:r w:rsidRPr="0025250D">
        <w:rPr>
          <w:rFonts w:hint="eastAsia"/>
          <w:rtl/>
        </w:rPr>
        <w:t>،</w:t>
      </w:r>
      <w:r w:rsidRPr="0025250D">
        <w:rPr>
          <w:rtl/>
        </w:rPr>
        <w:t xml:space="preserve"> آینده‌</w:t>
      </w:r>
      <w:r w:rsidR="00664E33" w:rsidRPr="0025250D">
        <w:rPr>
          <w:rtl/>
        </w:rPr>
        <w:t>نگار</w:t>
      </w:r>
      <w:r w:rsidRPr="0025250D">
        <w:rPr>
          <w:rtl/>
        </w:rPr>
        <w:t>ی</w:t>
      </w:r>
      <w:r w:rsidRPr="0025250D">
        <w:rPr>
          <w:rFonts w:hint="eastAsia"/>
          <w:rtl/>
        </w:rPr>
        <w:t>،</w:t>
      </w:r>
      <w:r w:rsidRPr="0025250D">
        <w:rPr>
          <w:rtl/>
        </w:rPr>
        <w:t xml:space="preserve"> </w:t>
      </w:r>
      <w:r w:rsidR="00FB6A7E" w:rsidRPr="0025250D">
        <w:rPr>
          <w:rtl/>
        </w:rPr>
        <w:t>پیش‌نگری</w:t>
      </w:r>
      <w:r w:rsidRPr="0025250D">
        <w:rPr>
          <w:rFonts w:hint="eastAsia"/>
          <w:rtl/>
        </w:rPr>
        <w:t>،</w:t>
      </w:r>
      <w:r w:rsidRPr="0025250D">
        <w:rPr>
          <w:rtl/>
        </w:rPr>
        <w:t xml:space="preserve"> طراح</w:t>
      </w:r>
      <w:r w:rsidRPr="0025250D">
        <w:rPr>
          <w:rFonts w:hint="cs"/>
          <w:rtl/>
        </w:rPr>
        <w:t>ی</w:t>
      </w:r>
      <w:r w:rsidRPr="0025250D">
        <w:rPr>
          <w:rFonts w:hint="eastAsia"/>
          <w:rtl/>
        </w:rPr>
        <w:t>،</w:t>
      </w:r>
      <w:r w:rsidRPr="0025250D">
        <w:rPr>
          <w:rtl/>
        </w:rPr>
        <w:t xml:space="preserve"> نوآور</w:t>
      </w:r>
      <w:r w:rsidRPr="0025250D">
        <w:rPr>
          <w:rFonts w:hint="cs"/>
          <w:rtl/>
        </w:rPr>
        <w:t>ی</w:t>
      </w:r>
      <w:r w:rsidRPr="0025250D">
        <w:rPr>
          <w:rFonts w:hint="eastAsia"/>
          <w:rtl/>
        </w:rPr>
        <w:t>،</w:t>
      </w:r>
      <w:r w:rsidRPr="0025250D">
        <w:rPr>
          <w:rtl/>
        </w:rPr>
        <w:t xml:space="preserve"> </w:t>
      </w:r>
      <w:r w:rsidR="007A53FD" w:rsidRPr="0025250D">
        <w:rPr>
          <w:rtl/>
        </w:rPr>
        <w:t>فرانامه</w:t>
      </w:r>
      <w:r w:rsidRPr="0025250D">
        <w:rPr>
          <w:rFonts w:hint="eastAsia"/>
          <w:rtl/>
        </w:rPr>
        <w:t>ها</w:t>
      </w:r>
      <w:r w:rsidRPr="0025250D">
        <w:rPr>
          <w:rtl/>
        </w:rPr>
        <w:t xml:space="preserve"> و غ</w:t>
      </w:r>
      <w:r w:rsidRPr="0025250D">
        <w:rPr>
          <w:rFonts w:hint="cs"/>
          <w:rtl/>
        </w:rPr>
        <w:t>ی</w:t>
      </w:r>
      <w:r w:rsidRPr="0025250D">
        <w:rPr>
          <w:rFonts w:hint="eastAsia"/>
          <w:rtl/>
        </w:rPr>
        <w:t>ره</w:t>
      </w:r>
      <w:r w:rsidRPr="0025250D">
        <w:rPr>
          <w:rtl/>
        </w:rPr>
        <w:t>)، جستجو</w:t>
      </w:r>
      <w:r w:rsidRPr="0025250D">
        <w:rPr>
          <w:rFonts w:hint="cs"/>
          <w:rtl/>
        </w:rPr>
        <w:t>ی</w:t>
      </w:r>
      <w:r w:rsidRPr="0025250D">
        <w:rPr>
          <w:rtl/>
        </w:rPr>
        <w:t xml:space="preserve"> سا</w:t>
      </w:r>
      <w:r w:rsidRPr="0025250D">
        <w:rPr>
          <w:rFonts w:hint="cs"/>
          <w:rtl/>
        </w:rPr>
        <w:t>ی</w:t>
      </w:r>
      <w:r w:rsidRPr="0025250D">
        <w:rPr>
          <w:rFonts w:hint="eastAsia"/>
          <w:rtl/>
        </w:rPr>
        <w:t>ت</w:t>
      </w:r>
      <w:r w:rsidRPr="0025250D">
        <w:rPr>
          <w:rtl/>
        </w:rPr>
        <w:t xml:space="preserve"> (سا</w:t>
      </w:r>
      <w:r w:rsidRPr="0025250D">
        <w:rPr>
          <w:rFonts w:hint="cs"/>
          <w:rtl/>
        </w:rPr>
        <w:t>ی</w:t>
      </w:r>
      <w:r w:rsidRPr="0025250D">
        <w:rPr>
          <w:rFonts w:hint="eastAsia"/>
          <w:rtl/>
        </w:rPr>
        <w:t>ت</w:t>
      </w:r>
      <w:r w:rsidRPr="0025250D">
        <w:rPr>
          <w:rtl/>
        </w:rPr>
        <w:t>: رشته جستجو</w:t>
      </w:r>
      <w:r w:rsidRPr="0025250D">
        <w:rPr>
          <w:rFonts w:hint="cs"/>
          <w:rtl/>
        </w:rPr>
        <w:t>ی</w:t>
      </w:r>
      <w:r w:rsidRPr="0025250D">
        <w:rPr>
          <w:rtl/>
        </w:rPr>
        <w:t xml:space="preserve"> نام دامنه) و جستجو</w:t>
      </w:r>
      <w:r w:rsidRPr="0025250D">
        <w:rPr>
          <w:rFonts w:hint="cs"/>
          <w:rtl/>
        </w:rPr>
        <w:t>ی</w:t>
      </w:r>
      <w:r w:rsidRPr="0025250D">
        <w:rPr>
          <w:rtl/>
        </w:rPr>
        <w:t xml:space="preserve"> عموم</w:t>
      </w:r>
      <w:r w:rsidRPr="0025250D">
        <w:rPr>
          <w:rFonts w:hint="cs"/>
          <w:rtl/>
        </w:rPr>
        <w:t>ی</w:t>
      </w:r>
      <w:r w:rsidRPr="0025250D">
        <w:rPr>
          <w:rtl/>
        </w:rPr>
        <w:t xml:space="preserve"> </w:t>
      </w:r>
      <w:r w:rsidRPr="0025250D">
        <w:rPr>
          <w:rFonts w:hint="cs"/>
          <w:rtl/>
        </w:rPr>
        <w:t>گوگل</w:t>
      </w:r>
      <w:r w:rsidRPr="0025250D">
        <w:rPr>
          <w:rtl/>
        </w:rPr>
        <w:t xml:space="preserve"> برا</w:t>
      </w:r>
      <w:r w:rsidRPr="0025250D">
        <w:rPr>
          <w:rFonts w:hint="cs"/>
          <w:rtl/>
        </w:rPr>
        <w:t>ی</w:t>
      </w:r>
      <w:r w:rsidRPr="0025250D">
        <w:rPr>
          <w:rtl/>
        </w:rPr>
        <w:t xml:space="preserve"> </w:t>
      </w:r>
      <w:r w:rsidRPr="0025250D">
        <w:rPr>
          <w:rFonts w:hint="cs"/>
          <w:rtl/>
        </w:rPr>
        <w:t>ی</w:t>
      </w:r>
      <w:r w:rsidRPr="0025250D">
        <w:rPr>
          <w:rFonts w:hint="eastAsia"/>
          <w:rtl/>
        </w:rPr>
        <w:t>افتن</w:t>
      </w:r>
      <w:r w:rsidRPr="0025250D">
        <w:rPr>
          <w:rtl/>
        </w:rPr>
        <w:t xml:space="preserve"> رهبران آ</w:t>
      </w:r>
      <w:r w:rsidRPr="0025250D">
        <w:rPr>
          <w:rFonts w:hint="cs"/>
          <w:rtl/>
        </w:rPr>
        <w:t>ی</w:t>
      </w:r>
      <w:r w:rsidRPr="0025250D">
        <w:rPr>
          <w:rFonts w:hint="eastAsia"/>
          <w:rtl/>
        </w:rPr>
        <w:t>نده‌</w:t>
      </w:r>
      <w:r w:rsidR="00664E33" w:rsidRPr="0025250D">
        <w:rPr>
          <w:rFonts w:hint="eastAsia"/>
          <w:rtl/>
        </w:rPr>
        <w:t>نگار</w:t>
      </w:r>
      <w:r w:rsidRPr="0025250D">
        <w:rPr>
          <w:rFonts w:hint="cs"/>
          <w:rtl/>
        </w:rPr>
        <w:t>ی</w:t>
      </w:r>
      <w:r w:rsidRPr="0025250D">
        <w:rPr>
          <w:rtl/>
        </w:rPr>
        <w:t xml:space="preserve"> فعل</w:t>
      </w:r>
      <w:r w:rsidRPr="0025250D">
        <w:rPr>
          <w:rFonts w:hint="cs"/>
          <w:rtl/>
        </w:rPr>
        <w:t>ی</w:t>
      </w:r>
      <w:r w:rsidRPr="0025250D">
        <w:rPr>
          <w:rtl/>
        </w:rPr>
        <w:t xml:space="preserve"> و گذشته در هر سازمان بررس</w:t>
      </w:r>
      <w:r w:rsidRPr="0025250D">
        <w:rPr>
          <w:rFonts w:hint="cs"/>
          <w:rtl/>
        </w:rPr>
        <w:t>ی</w:t>
      </w:r>
      <w:r w:rsidRPr="0025250D">
        <w:rPr>
          <w:rtl/>
        </w:rPr>
        <w:t xml:space="preserve"> کن</w:t>
      </w:r>
      <w:r w:rsidRPr="0025250D">
        <w:rPr>
          <w:rFonts w:hint="cs"/>
          <w:rtl/>
        </w:rPr>
        <w:t>ی</w:t>
      </w:r>
      <w:r w:rsidRPr="0025250D">
        <w:rPr>
          <w:rFonts w:hint="eastAsia"/>
          <w:rtl/>
        </w:rPr>
        <w:t>د</w:t>
      </w:r>
      <w:r w:rsidRPr="0025250D">
        <w:rPr>
          <w:rtl/>
        </w:rPr>
        <w:t>.</w:t>
      </w:r>
      <w:r w:rsidRPr="0025250D">
        <w:rPr>
          <w:rFonts w:hint="cs"/>
          <w:rtl/>
        </w:rPr>
        <w:t xml:space="preserve"> </w:t>
      </w:r>
      <w:r w:rsidRPr="0025250D">
        <w:rPr>
          <w:rtl/>
        </w:rPr>
        <w:t>از چند</w:t>
      </w:r>
      <w:r w:rsidRPr="0025250D">
        <w:rPr>
          <w:rFonts w:hint="cs"/>
          <w:rtl/>
        </w:rPr>
        <w:t>ی</w:t>
      </w:r>
      <w:r w:rsidRPr="0025250D">
        <w:rPr>
          <w:rFonts w:hint="eastAsia"/>
          <w:rtl/>
        </w:rPr>
        <w:t>ن</w:t>
      </w:r>
      <w:r w:rsidRPr="0025250D">
        <w:rPr>
          <w:rtl/>
        </w:rPr>
        <w:t xml:space="preserve"> </w:t>
      </w:r>
      <w:r w:rsidRPr="0025250D">
        <w:rPr>
          <w:rFonts w:hint="cs"/>
          <w:rtl/>
        </w:rPr>
        <w:t>معیار</w:t>
      </w:r>
      <w:r w:rsidRPr="0025250D">
        <w:rPr>
          <w:rtl/>
        </w:rPr>
        <w:t xml:space="preserve"> برا</w:t>
      </w:r>
      <w:r w:rsidRPr="0025250D">
        <w:rPr>
          <w:rFonts w:hint="cs"/>
          <w:rtl/>
        </w:rPr>
        <w:t>ی</w:t>
      </w:r>
      <w:r w:rsidRPr="0025250D">
        <w:rPr>
          <w:rtl/>
        </w:rPr>
        <w:t xml:space="preserve"> حذف نشان</w:t>
      </w:r>
      <w:r w:rsidRPr="0025250D">
        <w:rPr>
          <w:rFonts w:hint="cs"/>
          <w:rtl/>
        </w:rPr>
        <w:t>ی‌</w:t>
      </w:r>
      <w:r w:rsidRPr="0025250D">
        <w:rPr>
          <w:rFonts w:hint="eastAsia"/>
          <w:rtl/>
        </w:rPr>
        <w:t>ها</w:t>
      </w:r>
      <w:r w:rsidRPr="0025250D">
        <w:rPr>
          <w:rFonts w:hint="cs"/>
          <w:rtl/>
        </w:rPr>
        <w:t>ی</w:t>
      </w:r>
      <w:r w:rsidRPr="0025250D">
        <w:rPr>
          <w:rtl/>
        </w:rPr>
        <w:t xml:space="preserve"> ا</w:t>
      </w:r>
      <w:r w:rsidRPr="0025250D">
        <w:rPr>
          <w:rFonts w:hint="cs"/>
          <w:rtl/>
        </w:rPr>
        <w:t>ی</w:t>
      </w:r>
      <w:r w:rsidRPr="0025250D">
        <w:rPr>
          <w:rFonts w:hint="eastAsia"/>
          <w:rtl/>
        </w:rPr>
        <w:t>نترنت</w:t>
      </w:r>
      <w:r w:rsidRPr="0025250D">
        <w:rPr>
          <w:rFonts w:hint="cs"/>
          <w:rtl/>
        </w:rPr>
        <w:t>ی</w:t>
      </w:r>
      <w:r w:rsidRPr="0025250D">
        <w:rPr>
          <w:rtl/>
        </w:rPr>
        <w:t xml:space="preserve"> </w:t>
      </w:r>
      <w:r w:rsidRPr="0025250D">
        <w:rPr>
          <w:rFonts w:hint="cs"/>
          <w:rtl/>
        </w:rPr>
        <w:t>ی</w:t>
      </w:r>
      <w:r w:rsidRPr="0025250D">
        <w:rPr>
          <w:rFonts w:hint="eastAsia"/>
          <w:rtl/>
        </w:rPr>
        <w:t>ا</w:t>
      </w:r>
      <w:r w:rsidRPr="0025250D">
        <w:rPr>
          <w:rtl/>
        </w:rPr>
        <w:t xml:space="preserve"> اصطلاحات</w:t>
      </w:r>
      <w:r w:rsidRPr="0025250D">
        <w:rPr>
          <w:rFonts w:hint="cs"/>
          <w:rtl/>
        </w:rPr>
        <w:t>ی</w:t>
      </w:r>
      <w:r w:rsidRPr="0025250D">
        <w:rPr>
          <w:rtl/>
        </w:rPr>
        <w:t xml:space="preserve"> که نم</w:t>
      </w:r>
      <w:r w:rsidRPr="0025250D">
        <w:rPr>
          <w:rFonts w:hint="cs"/>
          <w:rtl/>
        </w:rPr>
        <w:t>ی‌</w:t>
      </w:r>
      <w:r w:rsidRPr="0025250D">
        <w:rPr>
          <w:rFonts w:hint="eastAsia"/>
          <w:rtl/>
        </w:rPr>
        <w:t>خواه</w:t>
      </w:r>
      <w:r w:rsidRPr="0025250D">
        <w:rPr>
          <w:rFonts w:hint="cs"/>
          <w:rtl/>
        </w:rPr>
        <w:t>ی</w:t>
      </w:r>
      <w:r w:rsidRPr="0025250D">
        <w:rPr>
          <w:rFonts w:hint="eastAsia"/>
          <w:rtl/>
        </w:rPr>
        <w:t>د</w:t>
      </w:r>
      <w:r w:rsidRPr="0025250D">
        <w:rPr>
          <w:rtl/>
        </w:rPr>
        <w:t xml:space="preserve"> استفاده کن</w:t>
      </w:r>
      <w:r w:rsidRPr="0025250D">
        <w:rPr>
          <w:rFonts w:hint="cs"/>
          <w:rtl/>
        </w:rPr>
        <w:t>ی</w:t>
      </w:r>
      <w:r w:rsidRPr="0025250D">
        <w:rPr>
          <w:rFonts w:hint="eastAsia"/>
          <w:rtl/>
        </w:rPr>
        <w:t>د</w:t>
      </w:r>
      <w:r w:rsidRPr="0025250D">
        <w:rPr>
          <w:rtl/>
        </w:rPr>
        <w:t xml:space="preserve"> و از نقل قول‌ها برا</w:t>
      </w:r>
      <w:r w:rsidRPr="0025250D">
        <w:rPr>
          <w:rFonts w:hint="cs"/>
          <w:rtl/>
        </w:rPr>
        <w:t>ی</w:t>
      </w:r>
      <w:r w:rsidRPr="0025250D">
        <w:rPr>
          <w:rtl/>
        </w:rPr>
        <w:t xml:space="preserve"> در</w:t>
      </w:r>
      <w:r w:rsidRPr="0025250D">
        <w:rPr>
          <w:rFonts w:hint="cs"/>
          <w:rtl/>
        </w:rPr>
        <w:t>ی</w:t>
      </w:r>
      <w:r w:rsidRPr="0025250D">
        <w:rPr>
          <w:rFonts w:hint="eastAsia"/>
          <w:rtl/>
        </w:rPr>
        <w:t>افت</w:t>
      </w:r>
      <w:r w:rsidRPr="0025250D">
        <w:rPr>
          <w:rtl/>
        </w:rPr>
        <w:t xml:space="preserve"> عبارات دق</w:t>
      </w:r>
      <w:r w:rsidRPr="0025250D">
        <w:rPr>
          <w:rFonts w:hint="cs"/>
          <w:rtl/>
        </w:rPr>
        <w:t>ی</w:t>
      </w:r>
      <w:r w:rsidRPr="0025250D">
        <w:rPr>
          <w:rFonts w:hint="eastAsia"/>
          <w:rtl/>
        </w:rPr>
        <w:t>ق</w:t>
      </w:r>
      <w:r w:rsidRPr="0025250D">
        <w:rPr>
          <w:rtl/>
        </w:rPr>
        <w:t xml:space="preserve"> مانند «آ</w:t>
      </w:r>
      <w:r w:rsidRPr="0025250D">
        <w:rPr>
          <w:rFonts w:hint="cs"/>
          <w:rtl/>
        </w:rPr>
        <w:t>ی</w:t>
      </w:r>
      <w:r w:rsidRPr="0025250D">
        <w:rPr>
          <w:rFonts w:hint="eastAsia"/>
          <w:rtl/>
        </w:rPr>
        <w:t>نده‌نگار</w:t>
      </w:r>
      <w:r w:rsidRPr="0025250D">
        <w:rPr>
          <w:rFonts w:hint="cs"/>
          <w:rtl/>
        </w:rPr>
        <w:t>ی</w:t>
      </w:r>
      <w:r w:rsidRPr="0025250D">
        <w:rPr>
          <w:rtl/>
        </w:rPr>
        <w:t xml:space="preserve"> </w:t>
      </w:r>
      <w:r w:rsidR="00701E03" w:rsidRPr="0025250D">
        <w:rPr>
          <w:rtl/>
        </w:rPr>
        <w:t>راهبردی</w:t>
      </w:r>
      <w:r w:rsidRPr="0025250D">
        <w:rPr>
          <w:rFonts w:hint="eastAsia"/>
          <w:rtl/>
        </w:rPr>
        <w:t>»</w:t>
      </w:r>
      <w:r w:rsidRPr="0025250D">
        <w:rPr>
          <w:rtl/>
        </w:rPr>
        <w:t xml:space="preserve"> و «آ</w:t>
      </w:r>
      <w:r w:rsidRPr="0025250D">
        <w:rPr>
          <w:rFonts w:hint="cs"/>
          <w:rtl/>
        </w:rPr>
        <w:t>ی</w:t>
      </w:r>
      <w:r w:rsidRPr="0025250D">
        <w:rPr>
          <w:rFonts w:hint="eastAsia"/>
          <w:rtl/>
        </w:rPr>
        <w:t>نده»</w:t>
      </w:r>
      <w:r w:rsidRPr="0025250D">
        <w:rPr>
          <w:rtl/>
        </w:rPr>
        <w:t xml:space="preserve"> استفاده کن</w:t>
      </w:r>
      <w:r w:rsidRPr="0025250D">
        <w:rPr>
          <w:rFonts w:hint="cs"/>
          <w:rtl/>
        </w:rPr>
        <w:t>ی</w:t>
      </w:r>
      <w:r w:rsidRPr="0025250D">
        <w:rPr>
          <w:rFonts w:hint="eastAsia"/>
          <w:rtl/>
        </w:rPr>
        <w:t>د</w:t>
      </w:r>
      <w:r w:rsidRPr="0025250D">
        <w:rPr>
          <w:rtl/>
        </w:rPr>
        <w:t>.</w:t>
      </w:r>
    </w:p>
    <w:tbl>
      <w:tblPr>
        <w:tblStyle w:val="TableGrid"/>
        <w:bidiVisual/>
        <w:tblW w:w="0" w:type="auto"/>
        <w:tblLook w:val="04A0" w:firstRow="1" w:lastRow="0" w:firstColumn="1" w:lastColumn="0" w:noHBand="0" w:noVBand="1"/>
      </w:tblPr>
      <w:tblGrid>
        <w:gridCol w:w="1982"/>
        <w:gridCol w:w="3969"/>
        <w:gridCol w:w="1409"/>
      </w:tblGrid>
      <w:tr w:rsidR="00494960" w:rsidRPr="0025250D" w14:paraId="168CD05F" w14:textId="77777777" w:rsidTr="002925C9">
        <w:tc>
          <w:tcPr>
            <w:tcW w:w="1982" w:type="dxa"/>
            <w:vAlign w:val="center"/>
          </w:tcPr>
          <w:p w14:paraId="7307CA82" w14:textId="77777777" w:rsidR="00537CC8" w:rsidRPr="0025250D" w:rsidRDefault="00537CC8" w:rsidP="00A07BC9">
            <w:pPr>
              <w:bidi/>
              <w:spacing w:after="160"/>
              <w:jc w:val="center"/>
              <w:rPr>
                <w:rtl/>
              </w:rPr>
            </w:pPr>
            <w:r w:rsidRPr="0025250D">
              <w:rPr>
                <w:rtl/>
              </w:rPr>
              <w:t>مشاوره</w:t>
            </w:r>
          </w:p>
        </w:tc>
        <w:tc>
          <w:tcPr>
            <w:tcW w:w="3969" w:type="dxa"/>
            <w:vAlign w:val="center"/>
          </w:tcPr>
          <w:p w14:paraId="0CF0C1EF" w14:textId="31D446A9" w:rsidR="00537CC8" w:rsidRPr="0025250D" w:rsidRDefault="00537CC8" w:rsidP="00A07BC9">
            <w:pPr>
              <w:bidi/>
              <w:spacing w:after="160"/>
              <w:jc w:val="center"/>
              <w:rPr>
                <w:rtl/>
              </w:rPr>
            </w:pPr>
            <w:r w:rsidRPr="0025250D">
              <w:rPr>
                <w:rtl/>
              </w:rPr>
              <w:t xml:space="preserve">رهبران </w:t>
            </w:r>
            <w:r w:rsidR="00D30084" w:rsidRPr="0025250D">
              <w:rPr>
                <w:rtl/>
              </w:rPr>
              <w:t>آینده‌نگار</w:t>
            </w:r>
            <w:r w:rsidRPr="0025250D">
              <w:rPr>
                <w:rtl/>
              </w:rPr>
              <w:t>؛ توض</w:t>
            </w:r>
            <w:r w:rsidRPr="0025250D">
              <w:rPr>
                <w:rFonts w:hint="cs"/>
                <w:rtl/>
              </w:rPr>
              <w:t>ی</w:t>
            </w:r>
            <w:r w:rsidRPr="0025250D">
              <w:rPr>
                <w:rFonts w:hint="eastAsia"/>
                <w:rtl/>
              </w:rPr>
              <w:t>حات</w:t>
            </w:r>
            <w:r w:rsidRPr="0025250D">
              <w:rPr>
                <w:rtl/>
              </w:rPr>
              <w:t xml:space="preserve"> شرکت</w:t>
            </w:r>
          </w:p>
        </w:tc>
        <w:tc>
          <w:tcPr>
            <w:tcW w:w="1409" w:type="dxa"/>
            <w:vAlign w:val="center"/>
          </w:tcPr>
          <w:p w14:paraId="0B4CA619" w14:textId="77777777" w:rsidR="00537CC8" w:rsidRPr="0025250D" w:rsidRDefault="00537CC8" w:rsidP="00A07BC9">
            <w:pPr>
              <w:bidi/>
              <w:spacing w:after="160"/>
              <w:jc w:val="center"/>
              <w:rPr>
                <w:rtl/>
              </w:rPr>
            </w:pPr>
            <w:r w:rsidRPr="0025250D">
              <w:rPr>
                <w:rtl/>
              </w:rPr>
              <w:t>منطقه (</w:t>
            </w:r>
            <w:r w:rsidRPr="0025250D">
              <w:rPr>
                <w:rFonts w:hint="cs"/>
                <w:rtl/>
              </w:rPr>
              <w:t>دفتر اصلی</w:t>
            </w:r>
            <w:r w:rsidRPr="0025250D">
              <w:rPr>
                <w:rtl/>
              </w:rPr>
              <w:t>)</w:t>
            </w:r>
          </w:p>
        </w:tc>
      </w:tr>
      <w:tr w:rsidR="00494960" w:rsidRPr="0025250D" w14:paraId="778E62A6" w14:textId="77777777" w:rsidTr="002925C9">
        <w:tc>
          <w:tcPr>
            <w:tcW w:w="1982" w:type="dxa"/>
            <w:vAlign w:val="center"/>
          </w:tcPr>
          <w:p w14:paraId="4E3B9715" w14:textId="1BF5BDDB" w:rsidR="00537CC8" w:rsidRPr="0025250D" w:rsidRDefault="007A207F" w:rsidP="00A07BC9">
            <w:pPr>
              <w:spacing w:after="160"/>
              <w:jc w:val="center"/>
              <w:rPr>
                <w:rtl/>
              </w:rPr>
            </w:pPr>
            <w:hyperlink r:id="rId288">
              <w:r w:rsidR="00537CC8" w:rsidRPr="0025250D">
                <w:rPr>
                  <w:rStyle w:val="Hyperlink"/>
                  <w:color w:val="auto"/>
                  <w:u w:val="none"/>
                </w:rPr>
                <w:t>A.T.</w:t>
              </w:r>
            </w:hyperlink>
            <w:r w:rsidR="00494960" w:rsidRPr="0025250D">
              <w:t xml:space="preserve"> </w:t>
            </w:r>
            <w:hyperlink r:id="rId289">
              <w:r w:rsidR="00537CC8" w:rsidRPr="0025250D">
                <w:rPr>
                  <w:rStyle w:val="Hyperlink"/>
                  <w:color w:val="auto"/>
                  <w:u w:val="none"/>
                </w:rPr>
                <w:t>Kearney</w:t>
              </w:r>
            </w:hyperlink>
          </w:p>
        </w:tc>
        <w:tc>
          <w:tcPr>
            <w:tcW w:w="3969" w:type="dxa"/>
            <w:vAlign w:val="center"/>
          </w:tcPr>
          <w:p w14:paraId="5F1FD12D" w14:textId="01B0C74C" w:rsidR="00537CC8" w:rsidRPr="0025250D" w:rsidRDefault="00537CC8" w:rsidP="00A07BC9">
            <w:pPr>
              <w:bidi/>
              <w:spacing w:after="160"/>
              <w:jc w:val="center"/>
              <w:rPr>
                <w:rtl/>
              </w:rPr>
            </w:pPr>
            <w:r w:rsidRPr="0025250D">
              <w:rPr>
                <w:rtl/>
              </w:rPr>
              <w:t>مشاوره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جهان</w:t>
            </w:r>
            <w:r w:rsidRPr="0025250D">
              <w:rPr>
                <w:rFonts w:hint="cs"/>
                <w:rtl/>
              </w:rPr>
              <w:t>ی</w:t>
            </w:r>
            <w:r w:rsidRPr="0025250D">
              <w:rPr>
                <w:rtl/>
              </w:rPr>
              <w:t xml:space="preserve"> 3200 مشاور، 58 </w:t>
            </w:r>
            <w:r w:rsidR="005B6D28" w:rsidRPr="0025250D">
              <w:rPr>
                <w:rFonts w:hint="cs"/>
                <w:rtl/>
              </w:rPr>
              <w:t>شعبه</w:t>
            </w:r>
            <w:r w:rsidRPr="0025250D">
              <w:rPr>
                <w:rtl/>
              </w:rPr>
              <w:t>.</w:t>
            </w:r>
          </w:p>
        </w:tc>
        <w:tc>
          <w:tcPr>
            <w:tcW w:w="1409" w:type="dxa"/>
            <w:vAlign w:val="center"/>
          </w:tcPr>
          <w:p w14:paraId="62A88F4D" w14:textId="77777777" w:rsidR="00537CC8" w:rsidRPr="0025250D" w:rsidRDefault="00537CC8" w:rsidP="00A07BC9">
            <w:pPr>
              <w:bidi/>
              <w:spacing w:after="160"/>
              <w:jc w:val="center"/>
              <w:rPr>
                <w:rtl/>
              </w:rPr>
            </w:pPr>
            <w:r w:rsidRPr="0025250D">
              <w:rPr>
                <w:rtl/>
              </w:rPr>
              <w:t>1 (ش</w:t>
            </w:r>
            <w:r w:rsidRPr="0025250D">
              <w:rPr>
                <w:rFonts w:hint="cs"/>
                <w:rtl/>
              </w:rPr>
              <w:t>ی</w:t>
            </w:r>
            <w:r w:rsidRPr="0025250D">
              <w:rPr>
                <w:rFonts w:hint="eastAsia"/>
                <w:rtl/>
              </w:rPr>
              <w:t>کاگو</w:t>
            </w:r>
            <w:r w:rsidRPr="0025250D">
              <w:rPr>
                <w:rtl/>
              </w:rPr>
              <w:t>)</w:t>
            </w:r>
          </w:p>
        </w:tc>
      </w:tr>
      <w:tr w:rsidR="00494960" w:rsidRPr="0025250D" w14:paraId="59BBCACF" w14:textId="77777777" w:rsidTr="002925C9">
        <w:tc>
          <w:tcPr>
            <w:tcW w:w="1982" w:type="dxa"/>
            <w:vAlign w:val="center"/>
          </w:tcPr>
          <w:p w14:paraId="2C6B66CD" w14:textId="77777777" w:rsidR="00537CC8" w:rsidRPr="0025250D" w:rsidRDefault="007A207F" w:rsidP="00A07BC9">
            <w:pPr>
              <w:bidi/>
              <w:spacing w:after="160"/>
              <w:jc w:val="center"/>
              <w:rPr>
                <w:rtl/>
              </w:rPr>
            </w:pPr>
            <w:hyperlink r:id="rId290">
              <w:r w:rsidR="00537CC8" w:rsidRPr="0025250D">
                <w:rPr>
                  <w:rStyle w:val="Hyperlink"/>
                  <w:color w:val="auto"/>
                  <w:u w:val="none"/>
                </w:rPr>
                <w:t>Accenture</w:t>
              </w:r>
            </w:hyperlink>
          </w:p>
        </w:tc>
        <w:tc>
          <w:tcPr>
            <w:tcW w:w="3969" w:type="dxa"/>
            <w:vAlign w:val="center"/>
          </w:tcPr>
          <w:p w14:paraId="2F53A0EA" w14:textId="0A2397A5" w:rsidR="00537CC8" w:rsidRPr="0025250D" w:rsidRDefault="00537CC8" w:rsidP="00A07BC9">
            <w:pPr>
              <w:bidi/>
              <w:spacing w:after="160"/>
              <w:jc w:val="center"/>
              <w:rPr>
                <w:rtl/>
              </w:rPr>
            </w:pPr>
            <w:r w:rsidRPr="0025250D">
              <w:rPr>
                <w:rFonts w:hint="cs"/>
                <w:rtl/>
              </w:rPr>
              <w:t xml:space="preserve">مدیریت، فناوری اطلاعات. </w:t>
            </w:r>
            <w:r w:rsidRPr="0025250D">
              <w:rPr>
                <w:rtl/>
              </w:rPr>
              <w:t>خدمات مشاوره و برون سپار</w:t>
            </w:r>
            <w:r w:rsidRPr="0025250D">
              <w:rPr>
                <w:rFonts w:hint="cs"/>
                <w:rtl/>
              </w:rPr>
              <w:t>ی</w:t>
            </w:r>
            <w:r w:rsidRPr="0025250D">
              <w:rPr>
                <w:rtl/>
              </w:rPr>
              <w:t xml:space="preserve">. 280000 مشاور، 200 </w:t>
            </w:r>
            <w:r w:rsidRPr="0025250D">
              <w:rPr>
                <w:rFonts w:hint="cs"/>
                <w:rtl/>
              </w:rPr>
              <w:t>شعبه</w:t>
            </w:r>
            <w:r w:rsidRPr="0025250D">
              <w:rPr>
                <w:rtl/>
              </w:rPr>
              <w:t xml:space="preserve">. نام </w:t>
            </w:r>
            <w:r w:rsidRPr="0025250D">
              <w:rPr>
                <w:rFonts w:hint="cs"/>
                <w:rtl/>
              </w:rPr>
              <w:t xml:space="preserve">آن </w:t>
            </w:r>
            <w:r w:rsidRPr="0025250D">
              <w:rPr>
                <w:rtl/>
              </w:rPr>
              <w:t>ترک</w:t>
            </w:r>
            <w:r w:rsidRPr="0025250D">
              <w:rPr>
                <w:rFonts w:hint="cs"/>
                <w:rtl/>
              </w:rPr>
              <w:t>ی</w:t>
            </w:r>
            <w:r w:rsidRPr="0025250D">
              <w:rPr>
                <w:rFonts w:hint="eastAsia"/>
                <w:rtl/>
              </w:rPr>
              <w:t>ب</w:t>
            </w:r>
            <w:r w:rsidRPr="0025250D">
              <w:rPr>
                <w:rFonts w:hint="cs"/>
                <w:rtl/>
              </w:rPr>
              <w:t>ی</w:t>
            </w:r>
            <w:r w:rsidRPr="0025250D">
              <w:rPr>
                <w:rtl/>
              </w:rPr>
              <w:t xml:space="preserve"> از </w:t>
            </w:r>
            <w:r w:rsidR="002C61FC" w:rsidRPr="0025250D">
              <w:rPr>
                <w:rtl/>
              </w:rPr>
              <w:t>«</w:t>
            </w:r>
            <w:r w:rsidRPr="0025250D">
              <w:rPr>
                <w:rFonts w:hint="cs"/>
                <w:rtl/>
              </w:rPr>
              <w:t>تاکید</w:t>
            </w:r>
            <w:r w:rsidRPr="0025250D">
              <w:rPr>
                <w:rtl/>
              </w:rPr>
              <w:t xml:space="preserve"> بر آ</w:t>
            </w:r>
            <w:r w:rsidRPr="0025250D">
              <w:rPr>
                <w:rFonts w:hint="cs"/>
                <w:rtl/>
              </w:rPr>
              <w:t>ی</w:t>
            </w:r>
            <w:r w:rsidRPr="0025250D">
              <w:rPr>
                <w:rFonts w:hint="eastAsia"/>
                <w:rtl/>
              </w:rPr>
              <w:t>نده</w:t>
            </w:r>
            <w:r w:rsidRPr="0025250D">
              <w:rPr>
                <w:vertAlign w:val="superscript"/>
                <w:rtl/>
              </w:rPr>
              <w:footnoteReference w:id="3057"/>
            </w:r>
            <w:r w:rsidR="002C61FC" w:rsidRPr="0025250D">
              <w:rPr>
                <w:rtl/>
              </w:rPr>
              <w:t>»</w:t>
            </w:r>
            <w:r w:rsidRPr="0025250D">
              <w:rPr>
                <w:rtl/>
              </w:rPr>
              <w:t xml:space="preserve"> است.</w:t>
            </w:r>
          </w:p>
        </w:tc>
        <w:tc>
          <w:tcPr>
            <w:tcW w:w="1409" w:type="dxa"/>
            <w:vAlign w:val="center"/>
          </w:tcPr>
          <w:p w14:paraId="3650EDB3" w14:textId="77777777" w:rsidR="00537CC8" w:rsidRPr="0025250D" w:rsidRDefault="00537CC8" w:rsidP="00A07BC9">
            <w:pPr>
              <w:bidi/>
              <w:spacing w:after="160"/>
              <w:jc w:val="center"/>
              <w:rPr>
                <w:rtl/>
              </w:rPr>
            </w:pPr>
            <w:r w:rsidRPr="0025250D">
              <w:rPr>
                <w:rtl/>
              </w:rPr>
              <w:t>3 (دوبل</w:t>
            </w:r>
            <w:r w:rsidRPr="0025250D">
              <w:rPr>
                <w:rFonts w:hint="cs"/>
                <w:rtl/>
              </w:rPr>
              <w:t>ی</w:t>
            </w:r>
            <w:r w:rsidRPr="0025250D">
              <w:rPr>
                <w:rFonts w:hint="eastAsia"/>
                <w:rtl/>
              </w:rPr>
              <w:t>ن،</w:t>
            </w:r>
            <w:r w:rsidRPr="0025250D">
              <w:rPr>
                <w:rtl/>
              </w:rPr>
              <w:t xml:space="preserve"> ا</w:t>
            </w:r>
            <w:r w:rsidRPr="0025250D">
              <w:rPr>
                <w:rFonts w:hint="cs"/>
                <w:rtl/>
              </w:rPr>
              <w:t>ی</w:t>
            </w:r>
            <w:r w:rsidRPr="0025250D">
              <w:rPr>
                <w:rFonts w:hint="eastAsia"/>
                <w:rtl/>
              </w:rPr>
              <w:t>رلند</w:t>
            </w:r>
            <w:r w:rsidRPr="0025250D">
              <w:rPr>
                <w:rtl/>
              </w:rPr>
              <w:t>)</w:t>
            </w:r>
          </w:p>
        </w:tc>
      </w:tr>
      <w:tr w:rsidR="00494960" w:rsidRPr="0025250D" w14:paraId="1F74B14C" w14:textId="77777777" w:rsidTr="002925C9">
        <w:tc>
          <w:tcPr>
            <w:tcW w:w="1982" w:type="dxa"/>
            <w:vAlign w:val="center"/>
          </w:tcPr>
          <w:p w14:paraId="14605ECA" w14:textId="77777777" w:rsidR="00537CC8" w:rsidRPr="0025250D" w:rsidRDefault="007A207F" w:rsidP="00A07BC9">
            <w:pPr>
              <w:bidi/>
              <w:spacing w:after="160"/>
              <w:jc w:val="center"/>
              <w:rPr>
                <w:rtl/>
              </w:rPr>
            </w:pPr>
            <w:hyperlink r:id="rId291">
              <w:r w:rsidR="00537CC8" w:rsidRPr="0025250D">
                <w:rPr>
                  <w:rStyle w:val="Hyperlink"/>
                  <w:color w:val="auto"/>
                  <w:u w:val="none"/>
                </w:rPr>
                <w:t>Advisory Board Company</w:t>
              </w:r>
            </w:hyperlink>
          </w:p>
        </w:tc>
        <w:tc>
          <w:tcPr>
            <w:tcW w:w="3969" w:type="dxa"/>
            <w:vAlign w:val="center"/>
          </w:tcPr>
          <w:p w14:paraId="50211AF6" w14:textId="77777777" w:rsidR="00537CC8" w:rsidRPr="0025250D" w:rsidRDefault="00537CC8" w:rsidP="00A07BC9">
            <w:pPr>
              <w:bidi/>
              <w:spacing w:after="160"/>
              <w:jc w:val="center"/>
              <w:rPr>
                <w:rtl/>
              </w:rPr>
            </w:pPr>
            <w:r w:rsidRPr="0025250D">
              <w:rPr>
                <w:rtl/>
              </w:rPr>
              <w:t>شرکت تحق</w:t>
            </w:r>
            <w:r w:rsidRPr="0025250D">
              <w:rPr>
                <w:rFonts w:hint="cs"/>
                <w:rtl/>
              </w:rPr>
              <w:t>ی</w:t>
            </w:r>
            <w:r w:rsidRPr="0025250D">
              <w:rPr>
                <w:rFonts w:hint="eastAsia"/>
                <w:rtl/>
              </w:rPr>
              <w:t>قات</w:t>
            </w:r>
            <w:r w:rsidRPr="0025250D">
              <w:rPr>
                <w:rFonts w:hint="cs"/>
                <w:rtl/>
              </w:rPr>
              <w:t>ی</w:t>
            </w:r>
            <w:r w:rsidRPr="0025250D">
              <w:rPr>
                <w:rFonts w:hint="eastAsia"/>
                <w:rtl/>
              </w:rPr>
              <w:t>،</w:t>
            </w:r>
            <w:r w:rsidRPr="0025250D">
              <w:rPr>
                <w:rtl/>
              </w:rPr>
              <w:t xml:space="preserve"> فناور</w:t>
            </w:r>
            <w:r w:rsidRPr="0025250D">
              <w:rPr>
                <w:rFonts w:hint="cs"/>
                <w:rtl/>
              </w:rPr>
              <w:t>ی</w:t>
            </w:r>
            <w:r w:rsidRPr="0025250D">
              <w:rPr>
                <w:rtl/>
              </w:rPr>
              <w:t xml:space="preserve"> و مشاوره جهان</w:t>
            </w:r>
            <w:r w:rsidRPr="0025250D">
              <w:rPr>
                <w:rFonts w:hint="cs"/>
                <w:rtl/>
              </w:rPr>
              <w:t>ی</w:t>
            </w:r>
            <w:r w:rsidRPr="0025250D">
              <w:rPr>
                <w:rtl/>
              </w:rPr>
              <w:t xml:space="preserve"> که به مد</w:t>
            </w:r>
            <w:r w:rsidRPr="0025250D">
              <w:rPr>
                <w:rFonts w:hint="cs"/>
                <w:rtl/>
              </w:rPr>
              <w:t>ی</w:t>
            </w:r>
            <w:r w:rsidRPr="0025250D">
              <w:rPr>
                <w:rFonts w:hint="eastAsia"/>
                <w:rtl/>
              </w:rPr>
              <w:t>ران</w:t>
            </w:r>
            <w:r w:rsidRPr="0025250D">
              <w:rPr>
                <w:rtl/>
              </w:rPr>
              <w:t xml:space="preserve"> ب</w:t>
            </w:r>
            <w:r w:rsidRPr="0025250D">
              <w:rPr>
                <w:rFonts w:hint="cs"/>
                <w:rtl/>
              </w:rPr>
              <w:t>ی</w:t>
            </w:r>
            <w:r w:rsidRPr="0025250D">
              <w:rPr>
                <w:rFonts w:hint="eastAsia"/>
                <w:rtl/>
              </w:rPr>
              <w:t>مارستان</w:t>
            </w:r>
            <w:r w:rsidRPr="0025250D">
              <w:rPr>
                <w:rtl/>
              </w:rPr>
              <w:t>‌ها و دانشگاه‌ها کمک می‌کند تا به ب</w:t>
            </w:r>
            <w:r w:rsidRPr="0025250D">
              <w:rPr>
                <w:rFonts w:hint="cs"/>
                <w:rtl/>
              </w:rPr>
              <w:t>ی</w:t>
            </w:r>
            <w:r w:rsidRPr="0025250D">
              <w:rPr>
                <w:rFonts w:hint="eastAsia"/>
                <w:rtl/>
              </w:rPr>
              <w:t>ماران</w:t>
            </w:r>
            <w:r w:rsidRPr="0025250D">
              <w:rPr>
                <w:rtl/>
              </w:rPr>
              <w:t xml:space="preserve"> و دانشجو</w:t>
            </w:r>
            <w:r w:rsidRPr="0025250D">
              <w:rPr>
                <w:rFonts w:hint="cs"/>
                <w:rtl/>
              </w:rPr>
              <w:t>ی</w:t>
            </w:r>
            <w:r w:rsidRPr="0025250D">
              <w:rPr>
                <w:rFonts w:hint="eastAsia"/>
                <w:rtl/>
              </w:rPr>
              <w:t>ان</w:t>
            </w:r>
            <w:r w:rsidRPr="0025250D">
              <w:rPr>
                <w:rtl/>
              </w:rPr>
              <w:t xml:space="preserve"> خدمات بهتر</w:t>
            </w:r>
            <w:r w:rsidRPr="0025250D">
              <w:rPr>
                <w:rFonts w:hint="cs"/>
                <w:rtl/>
              </w:rPr>
              <w:t>ی</w:t>
            </w:r>
            <w:r w:rsidRPr="0025250D">
              <w:rPr>
                <w:rtl/>
              </w:rPr>
              <w:t xml:space="preserve"> ارائه دهند.</w:t>
            </w:r>
          </w:p>
        </w:tc>
        <w:tc>
          <w:tcPr>
            <w:tcW w:w="1409" w:type="dxa"/>
            <w:vAlign w:val="center"/>
          </w:tcPr>
          <w:p w14:paraId="21143652" w14:textId="77777777" w:rsidR="00537CC8" w:rsidRPr="0025250D" w:rsidRDefault="00537CC8" w:rsidP="00A07BC9">
            <w:pPr>
              <w:bidi/>
              <w:spacing w:after="160"/>
              <w:jc w:val="center"/>
              <w:rPr>
                <w:rtl/>
              </w:rPr>
            </w:pPr>
            <w:r w:rsidRPr="0025250D">
              <w:rPr>
                <w:rtl/>
              </w:rPr>
              <w:t>1 (واشنگتن، د</w:t>
            </w:r>
            <w:r w:rsidRPr="0025250D">
              <w:rPr>
                <w:rFonts w:hint="cs"/>
                <w:rtl/>
              </w:rPr>
              <w:t>ی</w:t>
            </w:r>
            <w:r w:rsidRPr="0025250D">
              <w:rPr>
                <w:rtl/>
              </w:rPr>
              <w:t xml:space="preserve"> س</w:t>
            </w:r>
            <w:r w:rsidRPr="0025250D">
              <w:rPr>
                <w:rFonts w:hint="cs"/>
                <w:rtl/>
              </w:rPr>
              <w:t>ی</w:t>
            </w:r>
            <w:r w:rsidRPr="0025250D">
              <w:rPr>
                <w:rtl/>
              </w:rPr>
              <w:t>)</w:t>
            </w:r>
          </w:p>
        </w:tc>
      </w:tr>
      <w:tr w:rsidR="00494960" w:rsidRPr="0025250D" w14:paraId="4036C3D9" w14:textId="77777777" w:rsidTr="002925C9">
        <w:tc>
          <w:tcPr>
            <w:tcW w:w="1982" w:type="dxa"/>
            <w:vAlign w:val="center"/>
          </w:tcPr>
          <w:p w14:paraId="5AC26B5A" w14:textId="77777777" w:rsidR="00537CC8" w:rsidRPr="0025250D" w:rsidRDefault="007A207F" w:rsidP="00A07BC9">
            <w:pPr>
              <w:bidi/>
              <w:spacing w:after="160"/>
              <w:jc w:val="center"/>
              <w:rPr>
                <w:rtl/>
              </w:rPr>
            </w:pPr>
            <w:hyperlink r:id="rId292">
              <w:r w:rsidR="00537CC8" w:rsidRPr="0025250D">
                <w:rPr>
                  <w:rStyle w:val="Hyperlink"/>
                  <w:color w:val="auto"/>
                  <w:u w:val="none"/>
                </w:rPr>
                <w:t>Alvarez &amp; Marsal</w:t>
              </w:r>
            </w:hyperlink>
          </w:p>
        </w:tc>
        <w:tc>
          <w:tcPr>
            <w:tcW w:w="3969" w:type="dxa"/>
            <w:vAlign w:val="center"/>
          </w:tcPr>
          <w:p w14:paraId="6F9D451E" w14:textId="77777777" w:rsidR="00537CC8" w:rsidRPr="0025250D" w:rsidRDefault="00537CC8" w:rsidP="00A07BC9">
            <w:pPr>
              <w:bidi/>
              <w:spacing w:after="160"/>
              <w:jc w:val="center"/>
              <w:rPr>
                <w:rtl/>
              </w:rPr>
            </w:pPr>
            <w:r w:rsidRPr="0025250D">
              <w:rPr>
                <w:rtl/>
              </w:rPr>
              <w:t>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چرخش و بهبود عملکرد. 2000 مشاور، 40 </w:t>
            </w:r>
            <w:r w:rsidRPr="0025250D">
              <w:rPr>
                <w:rFonts w:hint="cs"/>
                <w:rtl/>
              </w:rPr>
              <w:t>شعبه</w:t>
            </w:r>
            <w:r w:rsidRPr="0025250D">
              <w:rPr>
                <w:rtl/>
              </w:rPr>
              <w:t xml:space="preserve"> در سراسر جهان</w:t>
            </w:r>
          </w:p>
        </w:tc>
        <w:tc>
          <w:tcPr>
            <w:tcW w:w="1409" w:type="dxa"/>
            <w:vAlign w:val="center"/>
          </w:tcPr>
          <w:p w14:paraId="7F717F8A" w14:textId="77777777" w:rsidR="00537CC8" w:rsidRPr="0025250D" w:rsidRDefault="00537CC8" w:rsidP="00A07BC9">
            <w:pPr>
              <w:bidi/>
              <w:spacing w:after="160"/>
              <w:jc w:val="center"/>
              <w:rPr>
                <w:rtl/>
              </w:rPr>
            </w:pPr>
            <w:r w:rsidRPr="0025250D">
              <w:rPr>
                <w:rtl/>
              </w:rPr>
              <w:t>1 (ن</w:t>
            </w:r>
            <w:r w:rsidRPr="0025250D">
              <w:rPr>
                <w:rFonts w:hint="cs"/>
                <w:rtl/>
              </w:rPr>
              <w:t>ی</w:t>
            </w:r>
            <w:r w:rsidRPr="0025250D">
              <w:rPr>
                <w:rFonts w:hint="eastAsia"/>
                <w:rtl/>
              </w:rPr>
              <w:t>و</w:t>
            </w:r>
            <w:r w:rsidRPr="0025250D">
              <w:rPr>
                <w:rFonts w:hint="cs"/>
                <w:rtl/>
              </w:rPr>
              <w:t>ی</w:t>
            </w:r>
            <w:r w:rsidRPr="0025250D">
              <w:rPr>
                <w:rFonts w:hint="eastAsia"/>
                <w:rtl/>
              </w:rPr>
              <w:t>ورک</w:t>
            </w:r>
            <w:r w:rsidRPr="0025250D">
              <w:rPr>
                <w:rtl/>
              </w:rPr>
              <w:t>)</w:t>
            </w:r>
          </w:p>
        </w:tc>
      </w:tr>
      <w:tr w:rsidR="00494960" w:rsidRPr="0025250D" w14:paraId="5B43B1B1" w14:textId="77777777" w:rsidTr="002925C9">
        <w:tc>
          <w:tcPr>
            <w:tcW w:w="1982" w:type="dxa"/>
            <w:vAlign w:val="center"/>
          </w:tcPr>
          <w:p w14:paraId="10043945" w14:textId="77777777" w:rsidR="00537CC8" w:rsidRPr="0025250D" w:rsidRDefault="007A207F" w:rsidP="00A07BC9">
            <w:pPr>
              <w:bidi/>
              <w:spacing w:after="160"/>
              <w:jc w:val="center"/>
              <w:rPr>
                <w:rtl/>
              </w:rPr>
            </w:pPr>
            <w:hyperlink r:id="rId293">
              <w:r w:rsidR="00537CC8" w:rsidRPr="0025250D">
                <w:rPr>
                  <w:rStyle w:val="Hyperlink"/>
                  <w:color w:val="auto"/>
                  <w:u w:val="none"/>
                </w:rPr>
                <w:t>Analysis Group, Inc.</w:t>
              </w:r>
            </w:hyperlink>
          </w:p>
        </w:tc>
        <w:tc>
          <w:tcPr>
            <w:tcW w:w="3969" w:type="dxa"/>
            <w:vAlign w:val="center"/>
          </w:tcPr>
          <w:p w14:paraId="0D15D2F4" w14:textId="06BE02AA" w:rsidR="00537CC8" w:rsidRPr="0025250D" w:rsidRDefault="00537CC8" w:rsidP="00A07BC9">
            <w:pPr>
              <w:bidi/>
              <w:spacing w:after="160"/>
              <w:jc w:val="center"/>
              <w:rPr>
                <w:rtl/>
              </w:rPr>
            </w:pPr>
            <w:r w:rsidRPr="0025250D">
              <w:rPr>
                <w:rtl/>
              </w:rPr>
              <w:t>مشاوره اقتصاد</w:t>
            </w:r>
            <w:r w:rsidRPr="0025250D">
              <w:rPr>
                <w:rFonts w:hint="cs"/>
                <w:rtl/>
              </w:rPr>
              <w:t>ی</w:t>
            </w:r>
            <w:r w:rsidRPr="0025250D">
              <w:rPr>
                <w:rFonts w:hint="eastAsia"/>
                <w:rtl/>
              </w:rPr>
              <w:t>،</w:t>
            </w:r>
            <w:r w:rsidRPr="0025250D">
              <w:rPr>
                <w:rtl/>
              </w:rPr>
              <w:t xml:space="preserve"> مال</w:t>
            </w:r>
            <w:r w:rsidRPr="0025250D">
              <w:rPr>
                <w:rFonts w:hint="cs"/>
                <w:rtl/>
              </w:rPr>
              <w:t>ی</w:t>
            </w:r>
            <w:r w:rsidRPr="0025250D">
              <w:rPr>
                <w:rtl/>
              </w:rPr>
              <w:t xml:space="preserve"> و </w:t>
            </w:r>
            <w:r w:rsidR="00701E03" w:rsidRPr="0025250D">
              <w:rPr>
                <w:rtl/>
              </w:rPr>
              <w:t>راهبرد</w:t>
            </w:r>
            <w:r w:rsidRPr="0025250D">
              <w:rPr>
                <w:rtl/>
              </w:rPr>
              <w:t xml:space="preserve"> آمر</w:t>
            </w:r>
            <w:r w:rsidRPr="0025250D">
              <w:rPr>
                <w:rFonts w:hint="cs"/>
                <w:rtl/>
              </w:rPr>
              <w:t>ی</w:t>
            </w:r>
            <w:r w:rsidRPr="0025250D">
              <w:rPr>
                <w:rFonts w:hint="eastAsia"/>
                <w:rtl/>
              </w:rPr>
              <w:t>کا</w:t>
            </w:r>
            <w:r w:rsidRPr="0025250D">
              <w:rPr>
                <w:rtl/>
              </w:rPr>
              <w:t xml:space="preserve"> و کانادا</w:t>
            </w:r>
          </w:p>
        </w:tc>
        <w:tc>
          <w:tcPr>
            <w:tcW w:w="1409" w:type="dxa"/>
            <w:vAlign w:val="center"/>
          </w:tcPr>
          <w:p w14:paraId="194A87AD" w14:textId="77777777" w:rsidR="00537CC8" w:rsidRPr="0025250D" w:rsidRDefault="00537CC8" w:rsidP="00A07BC9">
            <w:pPr>
              <w:bidi/>
              <w:spacing w:after="160"/>
              <w:jc w:val="center"/>
              <w:rPr>
                <w:rtl/>
              </w:rPr>
            </w:pPr>
            <w:r w:rsidRPr="0025250D">
              <w:rPr>
                <w:rtl/>
              </w:rPr>
              <w:t>1 (بوستون</w:t>
            </w:r>
            <w:r w:rsidRPr="0025250D">
              <w:rPr>
                <w:rFonts w:hint="cs"/>
                <w:rtl/>
              </w:rPr>
              <w:t>)</w:t>
            </w:r>
          </w:p>
        </w:tc>
      </w:tr>
      <w:tr w:rsidR="00494960" w:rsidRPr="0025250D" w14:paraId="1C30D2E6" w14:textId="77777777" w:rsidTr="002925C9">
        <w:tc>
          <w:tcPr>
            <w:tcW w:w="1982" w:type="dxa"/>
            <w:vAlign w:val="center"/>
          </w:tcPr>
          <w:p w14:paraId="02C080C1" w14:textId="1EFB2A84" w:rsidR="00537CC8" w:rsidRPr="0025250D" w:rsidRDefault="007A207F" w:rsidP="00A07BC9">
            <w:pPr>
              <w:bidi/>
              <w:spacing w:after="160"/>
              <w:jc w:val="center"/>
              <w:rPr>
                <w:rtl/>
              </w:rPr>
            </w:pPr>
            <w:hyperlink r:id="rId294">
              <w:r w:rsidR="00537CC8" w:rsidRPr="0025250D">
                <w:rPr>
                  <w:rStyle w:val="Hyperlink"/>
                  <w:color w:val="auto"/>
                  <w:u w:val="none"/>
                </w:rPr>
                <w:t>Aon</w:t>
              </w:r>
            </w:hyperlink>
            <w:r w:rsidR="00494960" w:rsidRPr="0025250D">
              <w:t xml:space="preserve"> </w:t>
            </w:r>
            <w:hyperlink r:id="rId295">
              <w:r w:rsidR="00537CC8" w:rsidRPr="0025250D">
                <w:rPr>
                  <w:rStyle w:val="Hyperlink"/>
                  <w:color w:val="auto"/>
                  <w:u w:val="none"/>
                </w:rPr>
                <w:t>Consulting Worldwide</w:t>
              </w:r>
            </w:hyperlink>
          </w:p>
        </w:tc>
        <w:tc>
          <w:tcPr>
            <w:tcW w:w="3969" w:type="dxa"/>
            <w:vAlign w:val="center"/>
          </w:tcPr>
          <w:p w14:paraId="2E180D75" w14:textId="77777777" w:rsidR="00537CC8" w:rsidRPr="0025250D" w:rsidRDefault="00537CC8" w:rsidP="00A07BC9">
            <w:pPr>
              <w:bidi/>
              <w:spacing w:after="160"/>
              <w:jc w:val="center"/>
              <w:rPr>
                <w:rtl/>
              </w:rPr>
            </w:pPr>
            <w:r w:rsidRPr="0025250D">
              <w:rPr>
                <w:rtl/>
              </w:rPr>
              <w:t>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ر</w:t>
            </w:r>
            <w:r w:rsidRPr="0025250D">
              <w:rPr>
                <w:rFonts w:hint="cs"/>
                <w:rtl/>
              </w:rPr>
              <w:t>ی</w:t>
            </w:r>
            <w:r w:rsidRPr="0025250D">
              <w:rPr>
                <w:rFonts w:hint="eastAsia"/>
                <w:rtl/>
              </w:rPr>
              <w:t>سک،</w:t>
            </w:r>
            <w:r w:rsidRPr="0025250D">
              <w:rPr>
                <w:rtl/>
              </w:rPr>
              <w:t xml:space="preserve"> کارگزار</w:t>
            </w:r>
            <w:r w:rsidRPr="0025250D">
              <w:rPr>
                <w:rFonts w:hint="cs"/>
                <w:rtl/>
              </w:rPr>
              <w:t>ی</w:t>
            </w:r>
            <w:r w:rsidRPr="0025250D">
              <w:rPr>
                <w:rtl/>
              </w:rPr>
              <w:t xml:space="preserve"> ب</w:t>
            </w:r>
            <w:r w:rsidRPr="0025250D">
              <w:rPr>
                <w:rFonts w:hint="cs"/>
                <w:rtl/>
              </w:rPr>
              <w:t>ی</w:t>
            </w:r>
            <w:r w:rsidRPr="0025250D">
              <w:rPr>
                <w:rFonts w:hint="eastAsia"/>
                <w:rtl/>
              </w:rPr>
              <w:t>مه</w:t>
            </w:r>
            <w:r w:rsidRPr="0025250D">
              <w:rPr>
                <w:rtl/>
              </w:rPr>
              <w:t xml:space="preserve"> و ب</w:t>
            </w:r>
            <w:r w:rsidRPr="0025250D">
              <w:rPr>
                <w:rFonts w:hint="cs"/>
                <w:rtl/>
              </w:rPr>
              <w:t>ی</w:t>
            </w:r>
            <w:r w:rsidRPr="0025250D">
              <w:rPr>
                <w:rFonts w:hint="eastAsia"/>
                <w:rtl/>
              </w:rPr>
              <w:t>مه</w:t>
            </w:r>
            <w:r w:rsidRPr="0025250D">
              <w:rPr>
                <w:rtl/>
              </w:rPr>
              <w:t xml:space="preserve"> اتکا</w:t>
            </w:r>
            <w:r w:rsidRPr="0025250D">
              <w:rPr>
                <w:rFonts w:hint="cs"/>
                <w:rtl/>
              </w:rPr>
              <w:t>یی</w:t>
            </w:r>
            <w:r w:rsidRPr="0025250D">
              <w:rPr>
                <w:rFonts w:hint="eastAsia"/>
                <w:rtl/>
              </w:rPr>
              <w:t>،</w:t>
            </w:r>
            <w:r w:rsidRPr="0025250D">
              <w:rPr>
                <w:rtl/>
              </w:rPr>
              <w:t xml:space="preserve"> مشاوره منابع انسان</w:t>
            </w:r>
            <w:r w:rsidRPr="0025250D">
              <w:rPr>
                <w:rFonts w:hint="cs"/>
                <w:rtl/>
              </w:rPr>
              <w:t>ی</w:t>
            </w:r>
            <w:r w:rsidRPr="0025250D">
              <w:rPr>
                <w:rtl/>
              </w:rPr>
              <w:t xml:space="preserve"> و برون سپار</w:t>
            </w:r>
            <w:r w:rsidRPr="0025250D">
              <w:rPr>
                <w:rFonts w:hint="cs"/>
                <w:rtl/>
              </w:rPr>
              <w:t>ی</w:t>
            </w:r>
            <w:r w:rsidRPr="0025250D">
              <w:rPr>
                <w:rtl/>
              </w:rPr>
              <w:t xml:space="preserve">. 65000 مشاور، 500 </w:t>
            </w:r>
            <w:r w:rsidRPr="0025250D">
              <w:rPr>
                <w:rFonts w:hint="cs"/>
                <w:rtl/>
              </w:rPr>
              <w:t>شعبه</w:t>
            </w:r>
            <w:r w:rsidRPr="0025250D">
              <w:rPr>
                <w:rtl/>
              </w:rPr>
              <w:t>.</w:t>
            </w:r>
          </w:p>
        </w:tc>
        <w:tc>
          <w:tcPr>
            <w:tcW w:w="1409" w:type="dxa"/>
            <w:vAlign w:val="center"/>
          </w:tcPr>
          <w:p w14:paraId="6BC914D3" w14:textId="77777777" w:rsidR="00537CC8" w:rsidRPr="0025250D" w:rsidRDefault="00537CC8" w:rsidP="00A07BC9">
            <w:pPr>
              <w:bidi/>
              <w:spacing w:after="160"/>
              <w:jc w:val="center"/>
              <w:rPr>
                <w:rtl/>
              </w:rPr>
            </w:pPr>
            <w:r w:rsidRPr="0025250D">
              <w:rPr>
                <w:rtl/>
              </w:rPr>
              <w:t>3 (لندن</w:t>
            </w:r>
            <w:r w:rsidRPr="0025250D">
              <w:rPr>
                <w:rFonts w:hint="cs"/>
                <w:rtl/>
              </w:rPr>
              <w:t>)</w:t>
            </w:r>
          </w:p>
        </w:tc>
      </w:tr>
      <w:tr w:rsidR="00494960" w:rsidRPr="0025250D" w14:paraId="23290F4D" w14:textId="77777777" w:rsidTr="002925C9">
        <w:tc>
          <w:tcPr>
            <w:tcW w:w="1982" w:type="dxa"/>
            <w:vAlign w:val="center"/>
          </w:tcPr>
          <w:p w14:paraId="181778EE" w14:textId="77777777" w:rsidR="00537CC8" w:rsidRPr="0025250D" w:rsidRDefault="007A207F" w:rsidP="00A07BC9">
            <w:pPr>
              <w:bidi/>
              <w:spacing w:after="160"/>
              <w:jc w:val="center"/>
              <w:rPr>
                <w:rtl/>
              </w:rPr>
            </w:pPr>
            <w:hyperlink r:id="rId296">
              <w:r w:rsidR="00537CC8" w:rsidRPr="0025250D">
                <w:rPr>
                  <w:rStyle w:val="Hyperlink"/>
                  <w:color w:val="auto"/>
                  <w:u w:val="none"/>
                </w:rPr>
                <w:t>Bain &amp; Company</w:t>
              </w:r>
            </w:hyperlink>
          </w:p>
        </w:tc>
        <w:tc>
          <w:tcPr>
            <w:tcW w:w="3969" w:type="dxa"/>
            <w:vAlign w:val="center"/>
          </w:tcPr>
          <w:p w14:paraId="5786FEDA" w14:textId="57BD7510" w:rsidR="00537CC8" w:rsidRPr="0025250D" w:rsidRDefault="00701E03" w:rsidP="00A07BC9">
            <w:pPr>
              <w:bidi/>
              <w:spacing w:after="160"/>
              <w:jc w:val="center"/>
              <w:rPr>
                <w:rtl/>
              </w:rPr>
            </w:pPr>
            <w:r w:rsidRPr="0025250D">
              <w:rPr>
                <w:rtl/>
              </w:rPr>
              <w:t>راهبرد</w:t>
            </w:r>
            <w:r w:rsidR="00537CC8" w:rsidRPr="0025250D">
              <w:rPr>
                <w:rFonts w:hint="eastAsia"/>
                <w:rtl/>
              </w:rPr>
              <w:t>،</w:t>
            </w:r>
            <w:r w:rsidR="00537CC8" w:rsidRPr="0025250D">
              <w:rPr>
                <w:rtl/>
              </w:rPr>
              <w:t xml:space="preserve"> بازار</w:t>
            </w:r>
            <w:r w:rsidR="00537CC8" w:rsidRPr="0025250D">
              <w:rPr>
                <w:rFonts w:hint="cs"/>
                <w:rtl/>
              </w:rPr>
              <w:t>ی</w:t>
            </w:r>
            <w:r w:rsidR="00537CC8" w:rsidRPr="0025250D">
              <w:rPr>
                <w:rFonts w:hint="eastAsia"/>
                <w:rtl/>
              </w:rPr>
              <w:t>اب</w:t>
            </w:r>
            <w:r w:rsidR="00537CC8" w:rsidRPr="0025250D">
              <w:rPr>
                <w:rFonts w:hint="cs"/>
                <w:rtl/>
              </w:rPr>
              <w:t>ی</w:t>
            </w:r>
            <w:r w:rsidR="00537CC8" w:rsidRPr="0025250D">
              <w:rPr>
                <w:rFonts w:hint="eastAsia"/>
                <w:rtl/>
              </w:rPr>
              <w:t>،</w:t>
            </w:r>
            <w:r w:rsidR="00537CC8" w:rsidRPr="0025250D">
              <w:rPr>
                <w:rtl/>
              </w:rPr>
              <w:t xml:space="preserve"> سازمان</w:t>
            </w:r>
            <w:r w:rsidR="00537CC8" w:rsidRPr="0025250D">
              <w:rPr>
                <w:rFonts w:hint="cs"/>
                <w:rtl/>
              </w:rPr>
              <w:t>دهی</w:t>
            </w:r>
            <w:r w:rsidR="00537CC8" w:rsidRPr="0025250D">
              <w:rPr>
                <w:rtl/>
              </w:rPr>
              <w:t>، عمل</w:t>
            </w:r>
            <w:r w:rsidR="00537CC8" w:rsidRPr="0025250D">
              <w:rPr>
                <w:rFonts w:hint="cs"/>
                <w:rtl/>
              </w:rPr>
              <w:t>ی</w:t>
            </w:r>
            <w:r w:rsidR="00537CC8" w:rsidRPr="0025250D">
              <w:rPr>
                <w:rFonts w:hint="eastAsia"/>
                <w:rtl/>
              </w:rPr>
              <w:t>ات،</w:t>
            </w:r>
            <w:r w:rsidR="00537CC8" w:rsidRPr="0025250D">
              <w:rPr>
                <w:rtl/>
              </w:rPr>
              <w:t xml:space="preserve"> خدمات فناور</w:t>
            </w:r>
            <w:r w:rsidR="00537CC8" w:rsidRPr="0025250D">
              <w:rPr>
                <w:rFonts w:hint="cs"/>
                <w:rtl/>
              </w:rPr>
              <w:t>ی</w:t>
            </w:r>
            <w:r w:rsidR="00537CC8" w:rsidRPr="0025250D">
              <w:rPr>
                <w:rtl/>
              </w:rPr>
              <w:t xml:space="preserve"> اطلاعات و </w:t>
            </w:r>
            <w:r w:rsidR="00537CC8" w:rsidRPr="0025250D">
              <w:t>M&amp;A</w:t>
            </w:r>
            <w:r w:rsidR="00537CC8" w:rsidRPr="0025250D">
              <w:rPr>
                <w:rFonts w:hint="cs"/>
                <w:rtl/>
              </w:rPr>
              <w:t>. 6000</w:t>
            </w:r>
            <w:r w:rsidR="00537CC8" w:rsidRPr="0025250D">
              <w:rPr>
                <w:rtl/>
              </w:rPr>
              <w:t xml:space="preserve"> مشاور، 50 </w:t>
            </w:r>
            <w:r w:rsidR="00537CC8" w:rsidRPr="0025250D">
              <w:rPr>
                <w:rFonts w:hint="cs"/>
                <w:rtl/>
              </w:rPr>
              <w:t>شعبه</w:t>
            </w:r>
            <w:r w:rsidR="00537CC8" w:rsidRPr="0025250D">
              <w:rPr>
                <w:rtl/>
              </w:rPr>
              <w:t>.</w:t>
            </w:r>
          </w:p>
        </w:tc>
        <w:tc>
          <w:tcPr>
            <w:tcW w:w="1409" w:type="dxa"/>
            <w:vAlign w:val="center"/>
          </w:tcPr>
          <w:p w14:paraId="70EBDA78" w14:textId="77777777" w:rsidR="00537CC8" w:rsidRPr="0025250D" w:rsidRDefault="00537CC8" w:rsidP="00A07BC9">
            <w:pPr>
              <w:bidi/>
              <w:spacing w:after="160"/>
              <w:jc w:val="center"/>
              <w:rPr>
                <w:rtl/>
              </w:rPr>
            </w:pPr>
            <w:r w:rsidRPr="0025250D">
              <w:rPr>
                <w:rtl/>
              </w:rPr>
              <w:t>1 (بوستون</w:t>
            </w:r>
            <w:r w:rsidRPr="0025250D">
              <w:rPr>
                <w:rFonts w:hint="cs"/>
                <w:rtl/>
              </w:rPr>
              <w:t>)</w:t>
            </w:r>
          </w:p>
        </w:tc>
      </w:tr>
      <w:tr w:rsidR="00494960" w:rsidRPr="0025250D" w14:paraId="1C2F1ECF" w14:textId="77777777" w:rsidTr="002925C9">
        <w:tc>
          <w:tcPr>
            <w:tcW w:w="1982" w:type="dxa"/>
            <w:vAlign w:val="center"/>
          </w:tcPr>
          <w:p w14:paraId="793CD16A" w14:textId="77777777" w:rsidR="00537CC8" w:rsidRPr="0025250D" w:rsidRDefault="007A207F" w:rsidP="00A07BC9">
            <w:pPr>
              <w:bidi/>
              <w:spacing w:after="160"/>
              <w:jc w:val="center"/>
              <w:rPr>
                <w:rtl/>
              </w:rPr>
            </w:pPr>
            <w:hyperlink r:id="rId297">
              <w:r w:rsidR="00537CC8" w:rsidRPr="0025250D">
                <w:rPr>
                  <w:rStyle w:val="Hyperlink"/>
                  <w:color w:val="auto"/>
                  <w:u w:val="none"/>
                </w:rPr>
                <w:t>BearingPoint Inc.</w:t>
              </w:r>
            </w:hyperlink>
          </w:p>
        </w:tc>
        <w:tc>
          <w:tcPr>
            <w:tcW w:w="3969" w:type="dxa"/>
            <w:vAlign w:val="center"/>
          </w:tcPr>
          <w:p w14:paraId="2D3AC48C" w14:textId="77777777" w:rsidR="00537CC8" w:rsidRPr="0025250D" w:rsidRDefault="00537CC8" w:rsidP="00A07BC9">
            <w:pPr>
              <w:bidi/>
              <w:spacing w:after="160"/>
              <w:jc w:val="center"/>
              <w:rPr>
                <w:rtl/>
              </w:rPr>
            </w:pPr>
            <w:r w:rsidRPr="0025250D">
              <w:rPr>
                <w:rFonts w:hint="cs"/>
                <w:rtl/>
              </w:rPr>
              <w:t>مدیریت</w:t>
            </w:r>
            <w:r w:rsidRPr="0025250D">
              <w:rPr>
                <w:rtl/>
              </w:rPr>
              <w:t xml:space="preserve"> و مشاوره فناور</w:t>
            </w:r>
            <w:r w:rsidRPr="0025250D">
              <w:rPr>
                <w:rFonts w:hint="cs"/>
                <w:rtl/>
              </w:rPr>
              <w:t>ی</w:t>
            </w:r>
            <w:r w:rsidRPr="0025250D">
              <w:rPr>
                <w:rtl/>
              </w:rPr>
              <w:t>. 3350 مشاور</w:t>
            </w:r>
          </w:p>
        </w:tc>
        <w:tc>
          <w:tcPr>
            <w:tcW w:w="1409" w:type="dxa"/>
            <w:vAlign w:val="center"/>
          </w:tcPr>
          <w:p w14:paraId="4292FE35" w14:textId="77777777" w:rsidR="00537CC8" w:rsidRPr="0025250D" w:rsidRDefault="00537CC8" w:rsidP="00A07BC9">
            <w:pPr>
              <w:bidi/>
              <w:spacing w:after="160"/>
              <w:jc w:val="center"/>
              <w:rPr>
                <w:rtl/>
              </w:rPr>
            </w:pPr>
            <w:r w:rsidRPr="0025250D">
              <w:rPr>
                <w:rtl/>
              </w:rPr>
              <w:t>3 (آمستردام</w:t>
            </w:r>
            <w:r w:rsidRPr="0025250D">
              <w:rPr>
                <w:rFonts w:hint="cs"/>
                <w:rtl/>
              </w:rPr>
              <w:t>)</w:t>
            </w:r>
          </w:p>
        </w:tc>
      </w:tr>
      <w:tr w:rsidR="00494960" w:rsidRPr="0025250D" w14:paraId="3E9BDFD1" w14:textId="77777777" w:rsidTr="002925C9">
        <w:tc>
          <w:tcPr>
            <w:tcW w:w="1982" w:type="dxa"/>
            <w:vAlign w:val="center"/>
          </w:tcPr>
          <w:p w14:paraId="56BD9FB9" w14:textId="77777777" w:rsidR="00537CC8" w:rsidRPr="0025250D" w:rsidRDefault="007A207F" w:rsidP="00A07BC9">
            <w:pPr>
              <w:bidi/>
              <w:spacing w:after="160"/>
              <w:jc w:val="center"/>
              <w:rPr>
                <w:rtl/>
              </w:rPr>
            </w:pPr>
            <w:hyperlink r:id="rId298">
              <w:r w:rsidR="00537CC8" w:rsidRPr="0025250D">
                <w:rPr>
                  <w:rStyle w:val="Hyperlink"/>
                  <w:color w:val="auto"/>
                  <w:u w:val="none"/>
                </w:rPr>
                <w:t>Booz Allen Hamilton</w:t>
              </w:r>
            </w:hyperlink>
          </w:p>
        </w:tc>
        <w:tc>
          <w:tcPr>
            <w:tcW w:w="3969" w:type="dxa"/>
            <w:vAlign w:val="center"/>
          </w:tcPr>
          <w:p w14:paraId="43A562B6" w14:textId="5BCAF730" w:rsidR="00537CC8" w:rsidRPr="0025250D" w:rsidRDefault="00537CC8" w:rsidP="00A07BC9">
            <w:pPr>
              <w:bidi/>
              <w:spacing w:after="160"/>
              <w:jc w:val="center"/>
              <w:rPr>
                <w:rtl/>
              </w:rPr>
            </w:pPr>
            <w:r w:rsidRPr="0025250D">
              <w:rPr>
                <w:rtl/>
              </w:rPr>
              <w:t>ر</w:t>
            </w:r>
            <w:r w:rsidRPr="0025250D">
              <w:rPr>
                <w:rFonts w:hint="cs"/>
                <w:rtl/>
              </w:rPr>
              <w:t>ی</w:t>
            </w:r>
            <w:r w:rsidRPr="0025250D">
              <w:rPr>
                <w:rFonts w:hint="eastAsia"/>
                <w:rtl/>
              </w:rPr>
              <w:t>چارد</w:t>
            </w:r>
            <w:r w:rsidRPr="0025250D">
              <w:rPr>
                <w:rtl/>
              </w:rPr>
              <w:t xml:space="preserve"> فلچر</w:t>
            </w:r>
            <w:r w:rsidRPr="0025250D">
              <w:rPr>
                <w:vertAlign w:val="superscript"/>
                <w:rtl/>
              </w:rPr>
              <w:footnoteReference w:id="3058"/>
            </w:r>
            <w:r w:rsidRPr="0025250D">
              <w:rPr>
                <w:rtl/>
              </w:rPr>
              <w:t>؛ مشاوره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جهان</w:t>
            </w:r>
            <w:r w:rsidRPr="0025250D">
              <w:rPr>
                <w:rFonts w:hint="cs"/>
                <w:rtl/>
              </w:rPr>
              <w:t>ی</w:t>
            </w:r>
            <w:r w:rsidRPr="0025250D">
              <w:rPr>
                <w:rtl/>
              </w:rPr>
              <w:t xml:space="preserve"> و فناور</w:t>
            </w:r>
            <w:r w:rsidRPr="0025250D">
              <w:rPr>
                <w:rFonts w:hint="cs"/>
                <w:rtl/>
              </w:rPr>
              <w:t>ی</w:t>
            </w:r>
            <w:r w:rsidRPr="0025250D">
              <w:rPr>
                <w:rtl/>
              </w:rPr>
              <w:t xml:space="preserve"> اطلاعات</w:t>
            </w:r>
            <w:r w:rsidRPr="0025250D">
              <w:rPr>
                <w:rFonts w:hint="cs"/>
                <w:rtl/>
              </w:rPr>
              <w:t>.</w:t>
            </w:r>
            <w:r w:rsidRPr="0025250D">
              <w:rPr>
                <w:rtl/>
              </w:rPr>
              <w:t xml:space="preserve"> </w:t>
            </w:r>
            <w:r w:rsidRPr="0025250D">
              <w:rPr>
                <w:rFonts w:hint="cs"/>
                <w:rtl/>
              </w:rPr>
              <w:t xml:space="preserve">تمرکز بر بخش </w:t>
            </w:r>
            <w:r w:rsidRPr="0025250D">
              <w:rPr>
                <w:rtl/>
              </w:rPr>
              <w:t>دفاع</w:t>
            </w:r>
            <w:r w:rsidRPr="0025250D">
              <w:rPr>
                <w:rFonts w:hint="cs"/>
                <w:rtl/>
              </w:rPr>
              <w:t>ی</w:t>
            </w:r>
            <w:r w:rsidRPr="0025250D">
              <w:rPr>
                <w:rtl/>
              </w:rPr>
              <w:t xml:space="preserve"> و اطلاعات</w:t>
            </w:r>
            <w:r w:rsidRPr="0025250D">
              <w:rPr>
                <w:rFonts w:hint="cs"/>
                <w:rtl/>
              </w:rPr>
              <w:t>ی.</w:t>
            </w:r>
          </w:p>
        </w:tc>
        <w:tc>
          <w:tcPr>
            <w:tcW w:w="1409" w:type="dxa"/>
            <w:vAlign w:val="center"/>
          </w:tcPr>
          <w:p w14:paraId="3AC8A62D" w14:textId="77777777" w:rsidR="00537CC8" w:rsidRPr="0025250D" w:rsidRDefault="00537CC8" w:rsidP="00A07BC9">
            <w:pPr>
              <w:bidi/>
              <w:spacing w:after="160"/>
              <w:jc w:val="center"/>
              <w:rPr>
                <w:rtl/>
              </w:rPr>
            </w:pPr>
            <w:r w:rsidRPr="0025250D">
              <w:rPr>
                <w:rtl/>
              </w:rPr>
              <w:t>1 (ن</w:t>
            </w:r>
            <w:r w:rsidRPr="0025250D">
              <w:rPr>
                <w:rFonts w:hint="cs"/>
                <w:rtl/>
              </w:rPr>
              <w:t>ی</w:t>
            </w:r>
            <w:r w:rsidRPr="0025250D">
              <w:rPr>
                <w:rFonts w:hint="eastAsia"/>
                <w:rtl/>
              </w:rPr>
              <w:t>و</w:t>
            </w:r>
            <w:r w:rsidRPr="0025250D">
              <w:rPr>
                <w:rFonts w:hint="cs"/>
                <w:rtl/>
              </w:rPr>
              <w:t>ی</w:t>
            </w:r>
            <w:r w:rsidRPr="0025250D">
              <w:rPr>
                <w:rFonts w:hint="eastAsia"/>
                <w:rtl/>
              </w:rPr>
              <w:t>ورک</w:t>
            </w:r>
            <w:r w:rsidRPr="0025250D">
              <w:rPr>
                <w:rFonts w:hint="cs"/>
                <w:rtl/>
              </w:rPr>
              <w:t>)</w:t>
            </w:r>
          </w:p>
        </w:tc>
      </w:tr>
      <w:tr w:rsidR="00494960" w:rsidRPr="0025250D" w14:paraId="21D10986" w14:textId="77777777" w:rsidTr="002925C9">
        <w:tc>
          <w:tcPr>
            <w:tcW w:w="1982" w:type="dxa"/>
            <w:vAlign w:val="center"/>
          </w:tcPr>
          <w:p w14:paraId="7CE63C19" w14:textId="77777777" w:rsidR="00537CC8" w:rsidRPr="0025250D" w:rsidRDefault="007A207F" w:rsidP="00A07BC9">
            <w:pPr>
              <w:bidi/>
              <w:spacing w:after="160"/>
              <w:jc w:val="center"/>
              <w:rPr>
                <w:rtl/>
              </w:rPr>
            </w:pPr>
            <w:hyperlink r:id="rId299">
              <w:r w:rsidR="00537CC8" w:rsidRPr="0025250D">
                <w:rPr>
                  <w:rStyle w:val="Hyperlink"/>
                  <w:color w:val="auto"/>
                  <w:u w:val="none"/>
                </w:rPr>
                <w:t xml:space="preserve">Boston Consulting Group  </w:t>
              </w:r>
            </w:hyperlink>
          </w:p>
        </w:tc>
        <w:tc>
          <w:tcPr>
            <w:tcW w:w="3969" w:type="dxa"/>
            <w:vAlign w:val="center"/>
          </w:tcPr>
          <w:p w14:paraId="279C8FDB" w14:textId="1A2A4B4D" w:rsidR="00537CC8" w:rsidRPr="0025250D" w:rsidRDefault="00537CC8" w:rsidP="00A07BC9">
            <w:pPr>
              <w:bidi/>
              <w:spacing w:after="160"/>
              <w:jc w:val="center"/>
              <w:rPr>
                <w:rtl/>
              </w:rPr>
            </w:pPr>
            <w:r w:rsidRPr="0025250D">
              <w:rPr>
                <w:rtl/>
              </w:rPr>
              <w:t>کار</w:t>
            </w:r>
            <w:r w:rsidRPr="0025250D">
              <w:rPr>
                <w:rFonts w:hint="cs"/>
                <w:rtl/>
              </w:rPr>
              <w:t>ی</w:t>
            </w:r>
            <w:r w:rsidRPr="0025250D">
              <w:rPr>
                <w:rtl/>
              </w:rPr>
              <w:t xml:space="preserve"> پ</w:t>
            </w:r>
            <w:r w:rsidRPr="0025250D">
              <w:rPr>
                <w:rFonts w:hint="cs"/>
                <w:rtl/>
              </w:rPr>
              <w:t>ی</w:t>
            </w:r>
            <w:r w:rsidRPr="0025250D">
              <w:rPr>
                <w:rFonts w:hint="eastAsia"/>
                <w:rtl/>
              </w:rPr>
              <w:t>شگام</w:t>
            </w:r>
            <w:r w:rsidRPr="0025250D">
              <w:rPr>
                <w:rtl/>
              </w:rPr>
              <w:t xml:space="preserve"> در منحن</w:t>
            </w:r>
            <w:r w:rsidRPr="0025250D">
              <w:rPr>
                <w:rFonts w:hint="cs"/>
                <w:rtl/>
              </w:rPr>
              <w:t>ی</w:t>
            </w:r>
            <w:r w:rsidRPr="0025250D">
              <w:rPr>
                <w:rtl/>
              </w:rPr>
              <w:t xml:space="preserve">‌های عملکرد </w:t>
            </w:r>
            <w:r w:rsidR="007A53FD" w:rsidRPr="0025250D">
              <w:rPr>
                <w:rtl/>
              </w:rPr>
              <w:t>فناورانه</w:t>
            </w:r>
            <w:r w:rsidRPr="0025250D">
              <w:rPr>
                <w:rtl/>
              </w:rPr>
              <w:t xml:space="preserve"> انجام داد. 6200 مشاور، 81 </w:t>
            </w:r>
            <w:r w:rsidRPr="0025250D">
              <w:rPr>
                <w:rFonts w:hint="cs"/>
                <w:rtl/>
              </w:rPr>
              <w:t>شعبه</w:t>
            </w:r>
            <w:r w:rsidRPr="0025250D">
              <w:rPr>
                <w:rtl/>
              </w:rPr>
              <w:t xml:space="preserve"> در سراسر جهان.</w:t>
            </w:r>
          </w:p>
        </w:tc>
        <w:tc>
          <w:tcPr>
            <w:tcW w:w="1409" w:type="dxa"/>
            <w:vAlign w:val="center"/>
          </w:tcPr>
          <w:p w14:paraId="3C47994E" w14:textId="77777777" w:rsidR="00537CC8" w:rsidRPr="0025250D" w:rsidRDefault="00537CC8" w:rsidP="00A07BC9">
            <w:pPr>
              <w:bidi/>
              <w:spacing w:after="160"/>
              <w:jc w:val="center"/>
              <w:rPr>
                <w:rtl/>
              </w:rPr>
            </w:pPr>
            <w:r w:rsidRPr="0025250D">
              <w:rPr>
                <w:rtl/>
              </w:rPr>
              <w:t>1 (بوستون</w:t>
            </w:r>
            <w:r w:rsidRPr="0025250D">
              <w:rPr>
                <w:rFonts w:hint="cs"/>
                <w:rtl/>
              </w:rPr>
              <w:t>)</w:t>
            </w:r>
          </w:p>
        </w:tc>
      </w:tr>
      <w:tr w:rsidR="00494960" w:rsidRPr="0025250D" w14:paraId="1826BBE0" w14:textId="77777777" w:rsidTr="002925C9">
        <w:tc>
          <w:tcPr>
            <w:tcW w:w="1982" w:type="dxa"/>
            <w:vAlign w:val="center"/>
          </w:tcPr>
          <w:p w14:paraId="6B671864" w14:textId="77777777" w:rsidR="00537CC8" w:rsidRPr="0025250D" w:rsidRDefault="007A207F" w:rsidP="00A07BC9">
            <w:pPr>
              <w:bidi/>
              <w:spacing w:after="160"/>
              <w:jc w:val="center"/>
              <w:rPr>
                <w:rtl/>
              </w:rPr>
            </w:pPr>
            <w:hyperlink r:id="rId300">
              <w:r w:rsidR="00537CC8" w:rsidRPr="0025250D">
                <w:rPr>
                  <w:rStyle w:val="Hyperlink"/>
                  <w:color w:val="auto"/>
                  <w:u w:val="none"/>
                </w:rPr>
                <w:t>Cambridge Associates</w:t>
              </w:r>
            </w:hyperlink>
          </w:p>
        </w:tc>
        <w:tc>
          <w:tcPr>
            <w:tcW w:w="3969" w:type="dxa"/>
            <w:vAlign w:val="center"/>
          </w:tcPr>
          <w:p w14:paraId="6D1FB5CD" w14:textId="51CF73A0" w:rsidR="00537CC8" w:rsidRPr="0025250D" w:rsidRDefault="00537CC8" w:rsidP="00A07BC9">
            <w:pPr>
              <w:bidi/>
              <w:spacing w:after="160"/>
              <w:jc w:val="center"/>
              <w:rPr>
                <w:rtl/>
              </w:rPr>
            </w:pPr>
            <w:r w:rsidRPr="0025250D">
              <w:rPr>
                <w:rtl/>
              </w:rPr>
              <w:t xml:space="preserve">خدمات مشاوره </w:t>
            </w:r>
            <w:r w:rsidR="00F50EB4" w:rsidRPr="0025250D">
              <w:rPr>
                <w:rtl/>
              </w:rPr>
              <w:t>سرمایه‌گذاری</w:t>
            </w:r>
          </w:p>
        </w:tc>
        <w:tc>
          <w:tcPr>
            <w:tcW w:w="1409" w:type="dxa"/>
            <w:vAlign w:val="center"/>
          </w:tcPr>
          <w:p w14:paraId="748E74E0" w14:textId="77777777" w:rsidR="00537CC8" w:rsidRPr="0025250D" w:rsidRDefault="00537CC8" w:rsidP="00A07BC9">
            <w:pPr>
              <w:bidi/>
              <w:spacing w:after="160"/>
              <w:jc w:val="center"/>
              <w:rPr>
                <w:rtl/>
              </w:rPr>
            </w:pPr>
            <w:r w:rsidRPr="0025250D">
              <w:rPr>
                <w:rtl/>
              </w:rPr>
              <w:t>1 (بوستون</w:t>
            </w:r>
            <w:r w:rsidRPr="0025250D">
              <w:rPr>
                <w:rFonts w:hint="cs"/>
                <w:rtl/>
              </w:rPr>
              <w:t>)</w:t>
            </w:r>
          </w:p>
        </w:tc>
      </w:tr>
      <w:tr w:rsidR="00494960" w:rsidRPr="0025250D" w14:paraId="779013CC" w14:textId="77777777" w:rsidTr="002925C9">
        <w:tc>
          <w:tcPr>
            <w:tcW w:w="1982" w:type="dxa"/>
            <w:vAlign w:val="center"/>
          </w:tcPr>
          <w:p w14:paraId="210235A7" w14:textId="77777777" w:rsidR="00537CC8" w:rsidRPr="0025250D" w:rsidRDefault="007A207F" w:rsidP="00A07BC9">
            <w:pPr>
              <w:bidi/>
              <w:spacing w:after="160"/>
              <w:jc w:val="center"/>
              <w:rPr>
                <w:rtl/>
              </w:rPr>
            </w:pPr>
            <w:hyperlink r:id="rId301">
              <w:r w:rsidR="00537CC8" w:rsidRPr="0025250D">
                <w:rPr>
                  <w:rStyle w:val="Hyperlink"/>
                  <w:color w:val="auto"/>
                  <w:u w:val="none"/>
                </w:rPr>
                <w:t>Capgemini</w:t>
              </w:r>
            </w:hyperlink>
          </w:p>
        </w:tc>
        <w:tc>
          <w:tcPr>
            <w:tcW w:w="3969" w:type="dxa"/>
            <w:vAlign w:val="center"/>
          </w:tcPr>
          <w:p w14:paraId="6CD100C3" w14:textId="77777777" w:rsidR="00537CC8" w:rsidRPr="0025250D" w:rsidRDefault="00537CC8" w:rsidP="00A07BC9">
            <w:pPr>
              <w:bidi/>
              <w:spacing w:after="160"/>
              <w:jc w:val="center"/>
              <w:rPr>
                <w:rtl/>
              </w:rPr>
            </w:pPr>
            <w:r w:rsidRPr="0025250D">
              <w:t>IT</w:t>
            </w:r>
            <w:r w:rsidRPr="0025250D">
              <w:rPr>
                <w:rtl/>
              </w:rPr>
              <w:t>، مشاوره، برون سپار</w:t>
            </w:r>
            <w:r w:rsidRPr="0025250D">
              <w:rPr>
                <w:rFonts w:hint="cs"/>
                <w:rtl/>
              </w:rPr>
              <w:t>ی</w:t>
            </w:r>
            <w:r w:rsidRPr="0025250D">
              <w:rPr>
                <w:rFonts w:hint="eastAsia"/>
                <w:rtl/>
              </w:rPr>
              <w:t>،</w:t>
            </w:r>
            <w:r w:rsidRPr="0025250D">
              <w:rPr>
                <w:rtl/>
              </w:rPr>
              <w:t xml:space="preserve"> خدمات حرفه ا</w:t>
            </w:r>
            <w:r w:rsidRPr="0025250D">
              <w:rPr>
                <w:rFonts w:hint="cs"/>
                <w:rtl/>
              </w:rPr>
              <w:t>ی</w:t>
            </w:r>
            <w:r w:rsidRPr="0025250D">
              <w:rPr>
                <w:rtl/>
              </w:rPr>
              <w:t>. 130 هزار مشاور، 44 کشور.</w:t>
            </w:r>
          </w:p>
        </w:tc>
        <w:tc>
          <w:tcPr>
            <w:tcW w:w="1409" w:type="dxa"/>
            <w:vAlign w:val="center"/>
          </w:tcPr>
          <w:p w14:paraId="2917226A" w14:textId="77777777" w:rsidR="00537CC8" w:rsidRPr="0025250D" w:rsidRDefault="00537CC8" w:rsidP="00A07BC9">
            <w:pPr>
              <w:bidi/>
              <w:spacing w:after="160"/>
              <w:jc w:val="center"/>
              <w:rPr>
                <w:rtl/>
              </w:rPr>
            </w:pPr>
            <w:r w:rsidRPr="0025250D">
              <w:rPr>
                <w:rtl/>
              </w:rPr>
              <w:t>3 (پار</w:t>
            </w:r>
            <w:r w:rsidRPr="0025250D">
              <w:rPr>
                <w:rFonts w:hint="cs"/>
                <w:rtl/>
              </w:rPr>
              <w:t>ی</w:t>
            </w:r>
            <w:r w:rsidRPr="0025250D">
              <w:rPr>
                <w:rFonts w:hint="eastAsia"/>
                <w:rtl/>
              </w:rPr>
              <w:t>س،</w:t>
            </w:r>
            <w:r w:rsidRPr="0025250D">
              <w:rPr>
                <w:rtl/>
              </w:rPr>
              <w:t xml:space="preserve"> فرانسه)</w:t>
            </w:r>
          </w:p>
        </w:tc>
      </w:tr>
      <w:tr w:rsidR="00494960" w:rsidRPr="0025250D" w14:paraId="243AA1AF" w14:textId="77777777" w:rsidTr="002925C9">
        <w:tc>
          <w:tcPr>
            <w:tcW w:w="1982" w:type="dxa"/>
            <w:vAlign w:val="center"/>
          </w:tcPr>
          <w:p w14:paraId="6D546A66" w14:textId="77777777" w:rsidR="00537CC8" w:rsidRPr="0025250D" w:rsidRDefault="007A207F" w:rsidP="00A07BC9">
            <w:pPr>
              <w:bidi/>
              <w:spacing w:after="160"/>
              <w:jc w:val="center"/>
              <w:rPr>
                <w:rtl/>
              </w:rPr>
            </w:pPr>
            <w:hyperlink r:id="rId302">
              <w:r w:rsidR="00537CC8" w:rsidRPr="0025250D">
                <w:rPr>
                  <w:rStyle w:val="Hyperlink"/>
                  <w:color w:val="auto"/>
                  <w:u w:val="none"/>
                </w:rPr>
                <w:t>CEB</w:t>
              </w:r>
            </w:hyperlink>
          </w:p>
        </w:tc>
        <w:tc>
          <w:tcPr>
            <w:tcW w:w="3969" w:type="dxa"/>
            <w:vAlign w:val="center"/>
          </w:tcPr>
          <w:p w14:paraId="5A82BD78" w14:textId="77777777" w:rsidR="00537CC8" w:rsidRPr="0025250D" w:rsidRDefault="00537CC8" w:rsidP="00A07BC9">
            <w:pPr>
              <w:bidi/>
              <w:spacing w:after="160"/>
              <w:jc w:val="center"/>
              <w:rPr>
                <w:rtl/>
              </w:rPr>
            </w:pPr>
            <w:r w:rsidRPr="0025250D">
              <w:rPr>
                <w:rtl/>
              </w:rPr>
              <w:t>مشاوره پ</w:t>
            </w:r>
            <w:r w:rsidRPr="0025250D">
              <w:rPr>
                <w:rFonts w:hint="cs"/>
                <w:rtl/>
              </w:rPr>
              <w:t>ی</w:t>
            </w:r>
            <w:r w:rsidRPr="0025250D">
              <w:rPr>
                <w:rFonts w:hint="eastAsia"/>
                <w:rtl/>
              </w:rPr>
              <w:t>شرو</w:t>
            </w:r>
            <w:r w:rsidRPr="0025250D">
              <w:rPr>
                <w:rtl/>
              </w:rPr>
              <w:t xml:space="preserve"> مبتن</w:t>
            </w:r>
            <w:r w:rsidRPr="0025250D">
              <w:rPr>
                <w:rFonts w:hint="cs"/>
                <w:rtl/>
              </w:rPr>
              <w:t>ی</w:t>
            </w:r>
            <w:r w:rsidRPr="0025250D">
              <w:rPr>
                <w:rtl/>
              </w:rPr>
              <w:t xml:space="preserve"> بر اعضا در جهان برا</w:t>
            </w:r>
            <w:r w:rsidRPr="0025250D">
              <w:rPr>
                <w:rFonts w:hint="cs"/>
                <w:rtl/>
              </w:rPr>
              <w:t>ی</w:t>
            </w:r>
            <w:r w:rsidRPr="0025250D">
              <w:rPr>
                <w:rtl/>
              </w:rPr>
              <w:t xml:space="preserve"> رهبران ارشد.</w:t>
            </w:r>
          </w:p>
        </w:tc>
        <w:tc>
          <w:tcPr>
            <w:tcW w:w="1409" w:type="dxa"/>
            <w:vAlign w:val="center"/>
          </w:tcPr>
          <w:p w14:paraId="64AB8C84" w14:textId="77777777" w:rsidR="00537CC8" w:rsidRPr="0025250D" w:rsidRDefault="00537CC8" w:rsidP="00A07BC9">
            <w:pPr>
              <w:bidi/>
              <w:spacing w:after="160"/>
              <w:jc w:val="center"/>
              <w:rPr>
                <w:rtl/>
              </w:rPr>
            </w:pPr>
            <w:r w:rsidRPr="0025250D">
              <w:rPr>
                <w:rtl/>
              </w:rPr>
              <w:t>1 (آرل</w:t>
            </w:r>
            <w:r w:rsidRPr="0025250D">
              <w:rPr>
                <w:rFonts w:hint="cs"/>
                <w:rtl/>
              </w:rPr>
              <w:t>ی</w:t>
            </w:r>
            <w:r w:rsidRPr="0025250D">
              <w:rPr>
                <w:rFonts w:hint="eastAsia"/>
                <w:rtl/>
              </w:rPr>
              <w:t>نگتون</w:t>
            </w:r>
            <w:r w:rsidRPr="0025250D">
              <w:rPr>
                <w:rFonts w:hint="cs"/>
                <w:rtl/>
              </w:rPr>
              <w:t>)</w:t>
            </w:r>
          </w:p>
        </w:tc>
      </w:tr>
      <w:tr w:rsidR="00494960" w:rsidRPr="0025250D" w14:paraId="4A84A82D" w14:textId="77777777" w:rsidTr="002925C9">
        <w:tc>
          <w:tcPr>
            <w:tcW w:w="1982" w:type="dxa"/>
            <w:vAlign w:val="center"/>
          </w:tcPr>
          <w:p w14:paraId="78598878" w14:textId="77777777" w:rsidR="00537CC8" w:rsidRPr="0025250D" w:rsidRDefault="007A207F" w:rsidP="00A07BC9">
            <w:pPr>
              <w:bidi/>
              <w:spacing w:after="160"/>
              <w:jc w:val="center"/>
              <w:rPr>
                <w:rtl/>
              </w:rPr>
            </w:pPr>
            <w:hyperlink r:id="rId303">
              <w:r w:rsidR="00537CC8" w:rsidRPr="0025250D">
                <w:rPr>
                  <w:rStyle w:val="Hyperlink"/>
                  <w:color w:val="auto"/>
                  <w:u w:val="none"/>
                </w:rPr>
                <w:t>Charles River Associates</w:t>
              </w:r>
            </w:hyperlink>
          </w:p>
        </w:tc>
        <w:tc>
          <w:tcPr>
            <w:tcW w:w="3969" w:type="dxa"/>
            <w:vAlign w:val="center"/>
          </w:tcPr>
          <w:p w14:paraId="1DD551E4" w14:textId="77777777" w:rsidR="00537CC8" w:rsidRPr="0025250D" w:rsidRDefault="00537CC8" w:rsidP="00A07BC9">
            <w:pPr>
              <w:bidi/>
              <w:spacing w:after="160"/>
              <w:jc w:val="center"/>
              <w:rPr>
                <w:rtl/>
              </w:rPr>
            </w:pPr>
            <w:r w:rsidRPr="0025250D">
              <w:rPr>
                <w:rtl/>
              </w:rPr>
              <w:t>پ</w:t>
            </w:r>
            <w:r w:rsidRPr="0025250D">
              <w:rPr>
                <w:rFonts w:hint="cs"/>
                <w:rtl/>
              </w:rPr>
              <w:t>ی</w:t>
            </w:r>
            <w:r w:rsidRPr="0025250D">
              <w:rPr>
                <w:rFonts w:hint="eastAsia"/>
                <w:rtl/>
              </w:rPr>
              <w:t>شرو</w:t>
            </w:r>
            <w:r w:rsidRPr="0025250D">
              <w:rPr>
                <w:rtl/>
              </w:rPr>
              <w:t xml:space="preserve"> در دعاو</w:t>
            </w:r>
            <w:r w:rsidRPr="0025250D">
              <w:rPr>
                <w:rFonts w:hint="cs"/>
                <w:rtl/>
              </w:rPr>
              <w:t>ی</w:t>
            </w:r>
            <w:r w:rsidRPr="0025250D">
              <w:rPr>
                <w:rtl/>
              </w:rPr>
              <w:t xml:space="preserve"> جهان</w:t>
            </w:r>
            <w:r w:rsidRPr="0025250D">
              <w:rPr>
                <w:rFonts w:hint="cs"/>
                <w:rtl/>
              </w:rPr>
              <w:t>ی</w:t>
            </w:r>
            <w:r w:rsidRPr="0025250D">
              <w:rPr>
                <w:rtl/>
              </w:rPr>
              <w:t xml:space="preserve"> و مشاوره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خر</w:t>
            </w:r>
            <w:r w:rsidRPr="0025250D">
              <w:rPr>
                <w:rFonts w:hint="cs"/>
                <w:rtl/>
              </w:rPr>
              <w:t>ی</w:t>
            </w:r>
            <w:r w:rsidRPr="0025250D">
              <w:rPr>
                <w:rFonts w:hint="eastAsia"/>
                <w:rtl/>
              </w:rPr>
              <w:t>دار</w:t>
            </w:r>
            <w:r w:rsidRPr="0025250D">
              <w:rPr>
                <w:rFonts w:hint="cs"/>
                <w:rtl/>
              </w:rPr>
              <w:t>ی</w:t>
            </w:r>
            <w:r w:rsidRPr="0025250D">
              <w:rPr>
                <w:rtl/>
              </w:rPr>
              <w:t xml:space="preserve"> شده توسط </w:t>
            </w:r>
            <w:r w:rsidRPr="0025250D">
              <w:rPr>
                <w:rFonts w:hint="cs"/>
                <w:rtl/>
              </w:rPr>
              <w:t>ماراکون</w:t>
            </w:r>
            <w:r w:rsidRPr="0025250D">
              <w:rPr>
                <w:vertAlign w:val="superscript"/>
                <w:rtl/>
              </w:rPr>
              <w:footnoteReference w:id="3059"/>
            </w:r>
          </w:p>
        </w:tc>
        <w:tc>
          <w:tcPr>
            <w:tcW w:w="1409" w:type="dxa"/>
            <w:vAlign w:val="center"/>
          </w:tcPr>
          <w:p w14:paraId="1BB359B1" w14:textId="77777777" w:rsidR="00537CC8" w:rsidRPr="0025250D" w:rsidRDefault="00537CC8" w:rsidP="00A07BC9">
            <w:pPr>
              <w:bidi/>
              <w:spacing w:after="160"/>
              <w:jc w:val="center"/>
              <w:rPr>
                <w:rtl/>
              </w:rPr>
            </w:pPr>
            <w:r w:rsidRPr="0025250D">
              <w:rPr>
                <w:rtl/>
              </w:rPr>
              <w:t>1 (بوستون</w:t>
            </w:r>
            <w:r w:rsidRPr="0025250D">
              <w:rPr>
                <w:rFonts w:hint="cs"/>
                <w:rtl/>
              </w:rPr>
              <w:t>)</w:t>
            </w:r>
          </w:p>
        </w:tc>
      </w:tr>
      <w:tr w:rsidR="00494960" w:rsidRPr="0025250D" w14:paraId="775C2240" w14:textId="77777777" w:rsidTr="002925C9">
        <w:tc>
          <w:tcPr>
            <w:tcW w:w="1982" w:type="dxa"/>
            <w:vAlign w:val="center"/>
          </w:tcPr>
          <w:p w14:paraId="5E34AE1F" w14:textId="77777777" w:rsidR="00537CC8" w:rsidRPr="0025250D" w:rsidRDefault="007A207F" w:rsidP="00A07BC9">
            <w:pPr>
              <w:bidi/>
              <w:spacing w:after="160"/>
              <w:jc w:val="center"/>
              <w:rPr>
                <w:rtl/>
              </w:rPr>
            </w:pPr>
            <w:hyperlink r:id="rId304">
              <w:r w:rsidR="00537CC8" w:rsidRPr="0025250D">
                <w:rPr>
                  <w:rStyle w:val="Hyperlink"/>
                  <w:color w:val="auto"/>
                  <w:u w:val="none"/>
                </w:rPr>
                <w:t>Cornerstone Research</w:t>
              </w:r>
            </w:hyperlink>
          </w:p>
        </w:tc>
        <w:tc>
          <w:tcPr>
            <w:tcW w:w="3969" w:type="dxa"/>
            <w:vAlign w:val="center"/>
          </w:tcPr>
          <w:p w14:paraId="2608CB0E" w14:textId="77777777" w:rsidR="00537CC8" w:rsidRPr="0025250D" w:rsidRDefault="00537CC8" w:rsidP="00A07BC9">
            <w:pPr>
              <w:bidi/>
              <w:spacing w:after="160"/>
              <w:jc w:val="center"/>
              <w:rPr>
                <w:rtl/>
              </w:rPr>
            </w:pPr>
            <w:r w:rsidRPr="0025250D">
              <w:rPr>
                <w:rtl/>
              </w:rPr>
              <w:t>مشاوره مال</w:t>
            </w:r>
            <w:r w:rsidRPr="0025250D">
              <w:rPr>
                <w:rFonts w:hint="cs"/>
                <w:rtl/>
              </w:rPr>
              <w:t>ی</w:t>
            </w:r>
            <w:r w:rsidRPr="0025250D">
              <w:rPr>
                <w:rFonts w:hint="eastAsia"/>
                <w:rtl/>
              </w:rPr>
              <w:t>،</w:t>
            </w:r>
            <w:r w:rsidRPr="0025250D">
              <w:rPr>
                <w:rtl/>
              </w:rPr>
              <w:t xml:space="preserve"> اقتصاد</w:t>
            </w:r>
            <w:r w:rsidRPr="0025250D">
              <w:rPr>
                <w:rFonts w:hint="cs"/>
                <w:rtl/>
              </w:rPr>
              <w:t>ی</w:t>
            </w:r>
            <w:r w:rsidRPr="0025250D">
              <w:rPr>
                <w:rtl/>
              </w:rPr>
              <w:t xml:space="preserve"> و دعاو</w:t>
            </w:r>
            <w:r w:rsidRPr="0025250D">
              <w:rPr>
                <w:rFonts w:hint="cs"/>
                <w:rtl/>
              </w:rPr>
              <w:t>ی</w:t>
            </w:r>
            <w:r w:rsidRPr="0025250D">
              <w:rPr>
                <w:rtl/>
              </w:rPr>
              <w:t xml:space="preserve">. فقط </w:t>
            </w:r>
            <w:r w:rsidRPr="0025250D">
              <w:rPr>
                <w:rFonts w:hint="cs"/>
                <w:rtl/>
              </w:rPr>
              <w:t>آمریکا</w:t>
            </w:r>
            <w:r w:rsidRPr="0025250D">
              <w:rPr>
                <w:rtl/>
              </w:rPr>
              <w:t>.</w:t>
            </w:r>
          </w:p>
        </w:tc>
        <w:tc>
          <w:tcPr>
            <w:tcW w:w="1409" w:type="dxa"/>
            <w:vAlign w:val="center"/>
          </w:tcPr>
          <w:p w14:paraId="3A62B23A" w14:textId="77777777" w:rsidR="00537CC8" w:rsidRPr="0025250D" w:rsidRDefault="00537CC8" w:rsidP="00A07BC9">
            <w:pPr>
              <w:bidi/>
              <w:spacing w:after="160"/>
              <w:jc w:val="center"/>
              <w:rPr>
                <w:rtl/>
              </w:rPr>
            </w:pPr>
            <w:r w:rsidRPr="0025250D">
              <w:rPr>
                <w:rtl/>
              </w:rPr>
              <w:t>1 (منلو پارک</w:t>
            </w:r>
            <w:r w:rsidRPr="0025250D">
              <w:rPr>
                <w:rFonts w:hint="cs"/>
                <w:rtl/>
              </w:rPr>
              <w:t>)</w:t>
            </w:r>
          </w:p>
        </w:tc>
      </w:tr>
      <w:tr w:rsidR="00494960" w:rsidRPr="0025250D" w14:paraId="115A2EEF" w14:textId="77777777" w:rsidTr="002925C9">
        <w:tc>
          <w:tcPr>
            <w:tcW w:w="1982" w:type="dxa"/>
            <w:vAlign w:val="center"/>
          </w:tcPr>
          <w:p w14:paraId="249AE085" w14:textId="77777777" w:rsidR="00537CC8" w:rsidRPr="0025250D" w:rsidRDefault="007A207F" w:rsidP="00A07BC9">
            <w:pPr>
              <w:bidi/>
              <w:spacing w:after="160"/>
              <w:jc w:val="center"/>
              <w:rPr>
                <w:rtl/>
              </w:rPr>
            </w:pPr>
            <w:hyperlink r:id="rId305">
              <w:r w:rsidR="00537CC8" w:rsidRPr="0025250D">
                <w:rPr>
                  <w:rStyle w:val="Hyperlink"/>
                  <w:color w:val="auto"/>
                  <w:u w:val="none"/>
                </w:rPr>
                <w:t>Corp Executive Board</w:t>
              </w:r>
            </w:hyperlink>
          </w:p>
        </w:tc>
        <w:tc>
          <w:tcPr>
            <w:tcW w:w="3969" w:type="dxa"/>
            <w:vAlign w:val="center"/>
          </w:tcPr>
          <w:p w14:paraId="64A41E1D" w14:textId="77777777" w:rsidR="00537CC8" w:rsidRPr="0025250D" w:rsidRDefault="00537CC8" w:rsidP="00A07BC9">
            <w:pPr>
              <w:bidi/>
              <w:spacing w:after="160"/>
              <w:jc w:val="center"/>
              <w:rPr>
                <w:rtl/>
              </w:rPr>
            </w:pPr>
            <w:r w:rsidRPr="0025250D">
              <w:rPr>
                <w:rtl/>
              </w:rPr>
              <w:t>شرکت خدمات مشاوره حرفه‌ای جهان</w:t>
            </w:r>
            <w:r w:rsidRPr="0025250D">
              <w:rPr>
                <w:rFonts w:hint="cs"/>
                <w:rtl/>
              </w:rPr>
              <w:t>ی</w:t>
            </w:r>
          </w:p>
        </w:tc>
        <w:tc>
          <w:tcPr>
            <w:tcW w:w="1409" w:type="dxa"/>
            <w:vAlign w:val="center"/>
          </w:tcPr>
          <w:p w14:paraId="07242989" w14:textId="77777777" w:rsidR="00537CC8" w:rsidRPr="0025250D" w:rsidRDefault="00537CC8" w:rsidP="00A07BC9">
            <w:pPr>
              <w:bidi/>
              <w:spacing w:after="160"/>
              <w:jc w:val="center"/>
              <w:rPr>
                <w:rtl/>
              </w:rPr>
            </w:pPr>
            <w:r w:rsidRPr="0025250D">
              <w:rPr>
                <w:rtl/>
              </w:rPr>
              <w:t>1 (آرل</w:t>
            </w:r>
            <w:r w:rsidRPr="0025250D">
              <w:rPr>
                <w:rFonts w:hint="cs"/>
                <w:rtl/>
              </w:rPr>
              <w:t>ی</w:t>
            </w:r>
            <w:r w:rsidRPr="0025250D">
              <w:rPr>
                <w:rFonts w:hint="eastAsia"/>
                <w:rtl/>
              </w:rPr>
              <w:t>نگتون</w:t>
            </w:r>
            <w:r w:rsidRPr="0025250D">
              <w:rPr>
                <w:rFonts w:hint="cs"/>
                <w:rtl/>
              </w:rPr>
              <w:t>)</w:t>
            </w:r>
          </w:p>
        </w:tc>
      </w:tr>
      <w:tr w:rsidR="00494960" w:rsidRPr="0025250D" w14:paraId="75974CFD" w14:textId="77777777" w:rsidTr="002925C9">
        <w:tc>
          <w:tcPr>
            <w:tcW w:w="1982" w:type="dxa"/>
            <w:vAlign w:val="center"/>
          </w:tcPr>
          <w:p w14:paraId="375073E9" w14:textId="5F05FAC5" w:rsidR="00537CC8" w:rsidRPr="0025250D" w:rsidRDefault="007A207F" w:rsidP="00A07BC9">
            <w:pPr>
              <w:bidi/>
              <w:spacing w:after="160"/>
              <w:jc w:val="center"/>
              <w:rPr>
                <w:rtl/>
              </w:rPr>
            </w:pPr>
            <w:hyperlink r:id="rId306">
              <w:r w:rsidR="00537CC8" w:rsidRPr="0025250D">
                <w:rPr>
                  <w:rStyle w:val="Hyperlink"/>
                  <w:color w:val="auto"/>
                  <w:u w:val="none"/>
                </w:rPr>
                <w:t>CRA</w:t>
              </w:r>
            </w:hyperlink>
            <w:r w:rsidR="00494960" w:rsidRPr="0025250D">
              <w:t xml:space="preserve"> </w:t>
            </w:r>
            <w:hyperlink r:id="rId307">
              <w:r w:rsidR="00537CC8" w:rsidRPr="0025250D">
                <w:rPr>
                  <w:rStyle w:val="Hyperlink"/>
                  <w:color w:val="auto"/>
                  <w:u w:val="none"/>
                </w:rPr>
                <w:t>International</w:t>
              </w:r>
            </w:hyperlink>
          </w:p>
        </w:tc>
        <w:tc>
          <w:tcPr>
            <w:tcW w:w="3969" w:type="dxa"/>
            <w:vAlign w:val="center"/>
          </w:tcPr>
          <w:p w14:paraId="247B7C93" w14:textId="4E03BAF8" w:rsidR="00537CC8" w:rsidRPr="0025250D" w:rsidRDefault="00537CC8" w:rsidP="00A07BC9">
            <w:pPr>
              <w:bidi/>
              <w:spacing w:after="160"/>
              <w:jc w:val="center"/>
              <w:rPr>
                <w:rtl/>
              </w:rPr>
            </w:pPr>
            <w:r w:rsidRPr="0025250D">
              <w:rPr>
                <w:rtl/>
              </w:rPr>
              <w:t>تخصص اقتصاد</w:t>
            </w:r>
            <w:r w:rsidRPr="0025250D">
              <w:rPr>
                <w:rFonts w:hint="cs"/>
                <w:rtl/>
              </w:rPr>
              <w:t>ی</w:t>
            </w:r>
            <w:r w:rsidRPr="0025250D">
              <w:rPr>
                <w:rFonts w:hint="eastAsia"/>
                <w:rtl/>
              </w:rPr>
              <w:t>،</w:t>
            </w:r>
            <w:r w:rsidRPr="0025250D">
              <w:rPr>
                <w:rtl/>
              </w:rPr>
              <w:t xml:space="preserve"> مال</w:t>
            </w:r>
            <w:r w:rsidRPr="0025250D">
              <w:rPr>
                <w:rFonts w:hint="cs"/>
                <w:rtl/>
              </w:rPr>
              <w:t>ی</w:t>
            </w:r>
            <w:r w:rsidRPr="0025250D">
              <w:rPr>
                <w:rFonts w:hint="eastAsia"/>
                <w:rtl/>
              </w:rPr>
              <w:t>،</w:t>
            </w:r>
            <w:r w:rsidRPr="0025250D">
              <w:rPr>
                <w:rtl/>
              </w:rPr>
              <w:t xml:space="preserve"> </w:t>
            </w:r>
            <w:r w:rsidR="00701E03" w:rsidRPr="0025250D">
              <w:rPr>
                <w:rtl/>
              </w:rPr>
              <w:t>راهبرد</w:t>
            </w:r>
            <w:r w:rsidRPr="0025250D">
              <w:rPr>
                <w:rtl/>
              </w:rPr>
              <w:t xml:space="preserve"> برا</w:t>
            </w:r>
            <w:r w:rsidRPr="0025250D">
              <w:rPr>
                <w:rFonts w:hint="cs"/>
                <w:rtl/>
              </w:rPr>
              <w:t>ی</w:t>
            </w:r>
            <w:r w:rsidRPr="0025250D">
              <w:rPr>
                <w:rtl/>
              </w:rPr>
              <w:t xml:space="preserve"> شرکت‌های حقوق</w:t>
            </w:r>
            <w:r w:rsidRPr="0025250D">
              <w:rPr>
                <w:rFonts w:hint="cs"/>
                <w:rtl/>
              </w:rPr>
              <w:t>ی</w:t>
            </w:r>
            <w:r w:rsidRPr="0025250D">
              <w:rPr>
                <w:rtl/>
              </w:rPr>
              <w:t xml:space="preserve"> بزرگ، </w:t>
            </w:r>
            <w:r w:rsidRPr="0025250D">
              <w:rPr>
                <w:rFonts w:hint="cs"/>
                <w:rtl/>
              </w:rPr>
              <w:t>ارتش</w:t>
            </w:r>
            <w:r w:rsidRPr="0025250D">
              <w:rPr>
                <w:rtl/>
              </w:rPr>
              <w:t>، شرکت‌های حسابدار</w:t>
            </w:r>
            <w:r w:rsidRPr="0025250D">
              <w:rPr>
                <w:rFonts w:hint="cs"/>
                <w:rtl/>
              </w:rPr>
              <w:t>ی</w:t>
            </w:r>
            <w:r w:rsidR="008D6F97" w:rsidRPr="0025250D">
              <w:rPr>
                <w:rtl/>
              </w:rPr>
              <w:t xml:space="preserve"> </w:t>
            </w:r>
            <w:r w:rsidRPr="0025250D">
              <w:rPr>
                <w:rtl/>
              </w:rPr>
              <w:t>و دولت ها. آمر</w:t>
            </w:r>
            <w:r w:rsidRPr="0025250D">
              <w:rPr>
                <w:rFonts w:hint="cs"/>
                <w:rtl/>
              </w:rPr>
              <w:t>ی</w:t>
            </w:r>
            <w:r w:rsidRPr="0025250D">
              <w:rPr>
                <w:rFonts w:hint="eastAsia"/>
                <w:rtl/>
              </w:rPr>
              <w:t>کا</w:t>
            </w:r>
            <w:r w:rsidRPr="0025250D">
              <w:rPr>
                <w:rtl/>
              </w:rPr>
              <w:t xml:space="preserve"> و اروپا.</w:t>
            </w:r>
          </w:p>
        </w:tc>
        <w:tc>
          <w:tcPr>
            <w:tcW w:w="1409" w:type="dxa"/>
            <w:vAlign w:val="center"/>
          </w:tcPr>
          <w:p w14:paraId="3066DF75" w14:textId="77777777" w:rsidR="00537CC8" w:rsidRPr="0025250D" w:rsidRDefault="00537CC8" w:rsidP="00A07BC9">
            <w:pPr>
              <w:bidi/>
              <w:spacing w:after="160"/>
              <w:jc w:val="center"/>
              <w:rPr>
                <w:rtl/>
              </w:rPr>
            </w:pPr>
            <w:r w:rsidRPr="0025250D">
              <w:rPr>
                <w:rtl/>
              </w:rPr>
              <w:t>1 (بوستون</w:t>
            </w:r>
            <w:r w:rsidRPr="0025250D">
              <w:rPr>
                <w:rFonts w:hint="cs"/>
                <w:rtl/>
              </w:rPr>
              <w:t>)</w:t>
            </w:r>
          </w:p>
        </w:tc>
      </w:tr>
      <w:tr w:rsidR="00494960" w:rsidRPr="0025250D" w14:paraId="25C97283" w14:textId="77777777" w:rsidTr="002925C9">
        <w:tc>
          <w:tcPr>
            <w:tcW w:w="1982" w:type="dxa"/>
            <w:vAlign w:val="center"/>
          </w:tcPr>
          <w:p w14:paraId="48717CAC" w14:textId="77777777" w:rsidR="00537CC8" w:rsidRPr="0025250D" w:rsidRDefault="007A207F" w:rsidP="00A07BC9">
            <w:pPr>
              <w:bidi/>
              <w:spacing w:after="160"/>
              <w:jc w:val="center"/>
              <w:rPr>
                <w:rtl/>
              </w:rPr>
            </w:pPr>
            <w:hyperlink r:id="rId308">
              <w:r w:rsidR="00537CC8" w:rsidRPr="0025250D">
                <w:rPr>
                  <w:rStyle w:val="Hyperlink"/>
                  <w:color w:val="auto"/>
                  <w:u w:val="none"/>
                </w:rPr>
                <w:t>Deloitte Consulting</w:t>
              </w:r>
            </w:hyperlink>
          </w:p>
        </w:tc>
        <w:tc>
          <w:tcPr>
            <w:tcW w:w="3969" w:type="dxa"/>
            <w:vAlign w:val="center"/>
          </w:tcPr>
          <w:p w14:paraId="44C8A894" w14:textId="77777777" w:rsidR="00537CC8" w:rsidRPr="0025250D" w:rsidRDefault="00537CC8" w:rsidP="00A07BC9">
            <w:pPr>
              <w:bidi/>
              <w:spacing w:after="160"/>
              <w:jc w:val="center"/>
              <w:rPr>
                <w:rtl/>
              </w:rPr>
            </w:pPr>
            <w:r w:rsidRPr="0025250D">
              <w:rPr>
                <w:rtl/>
              </w:rPr>
              <w:t>جان ه</w:t>
            </w:r>
            <w:r w:rsidRPr="0025250D">
              <w:rPr>
                <w:rFonts w:hint="cs"/>
                <w:rtl/>
              </w:rPr>
              <w:t>ی</w:t>
            </w:r>
            <w:r w:rsidRPr="0025250D">
              <w:rPr>
                <w:rFonts w:hint="eastAsia"/>
                <w:rtl/>
              </w:rPr>
              <w:t>گل</w:t>
            </w:r>
            <w:r w:rsidRPr="0025250D">
              <w:rPr>
                <w:vertAlign w:val="superscript"/>
                <w:rtl/>
              </w:rPr>
              <w:footnoteReference w:id="3060"/>
            </w:r>
            <w:r w:rsidRPr="0025250D">
              <w:rPr>
                <w:rFonts w:hint="eastAsia"/>
                <w:rtl/>
              </w:rPr>
              <w:t>،</w:t>
            </w:r>
            <w:r w:rsidRPr="0025250D">
              <w:rPr>
                <w:rtl/>
              </w:rPr>
              <w:t xml:space="preserve"> رئ</w:t>
            </w:r>
            <w:r w:rsidRPr="0025250D">
              <w:rPr>
                <w:rFonts w:hint="cs"/>
                <w:rtl/>
              </w:rPr>
              <w:t>ی</w:t>
            </w:r>
            <w:r w:rsidRPr="0025250D">
              <w:rPr>
                <w:rFonts w:hint="eastAsia"/>
                <w:rtl/>
              </w:rPr>
              <w:t>س</w:t>
            </w:r>
            <w:r w:rsidRPr="0025250D">
              <w:rPr>
                <w:rtl/>
              </w:rPr>
              <w:t xml:space="preserve"> مشترک </w:t>
            </w:r>
            <w:r w:rsidRPr="0025250D">
              <w:rPr>
                <w:rFonts w:hint="cs"/>
                <w:rtl/>
              </w:rPr>
              <w:t>سنتر فور د ادج</w:t>
            </w:r>
            <w:r w:rsidRPr="0025250D">
              <w:rPr>
                <w:vertAlign w:val="superscript"/>
                <w:rtl/>
              </w:rPr>
              <w:footnoteReference w:id="3061"/>
            </w:r>
            <w:r w:rsidRPr="0025250D">
              <w:rPr>
                <w:rtl/>
              </w:rPr>
              <w:t xml:space="preserve"> (سانتا کلارا)؛ حسابرس</w:t>
            </w:r>
            <w:r w:rsidRPr="0025250D">
              <w:rPr>
                <w:rFonts w:hint="cs"/>
                <w:rtl/>
              </w:rPr>
              <w:t>ی</w:t>
            </w:r>
            <w:r w:rsidRPr="0025250D">
              <w:rPr>
                <w:rFonts w:hint="eastAsia"/>
                <w:rtl/>
              </w:rPr>
              <w:t>،</w:t>
            </w:r>
            <w:r w:rsidRPr="0025250D">
              <w:rPr>
                <w:rtl/>
              </w:rPr>
              <w:t xml:space="preserve"> مال</w:t>
            </w:r>
            <w:r w:rsidRPr="0025250D">
              <w:rPr>
                <w:rFonts w:hint="cs"/>
                <w:rtl/>
              </w:rPr>
              <w:t>ی</w:t>
            </w:r>
            <w:r w:rsidRPr="0025250D">
              <w:rPr>
                <w:rFonts w:hint="eastAsia"/>
                <w:rtl/>
              </w:rPr>
              <w:t>ات،</w:t>
            </w:r>
            <w:r w:rsidRPr="0025250D">
              <w:rPr>
                <w:rtl/>
              </w:rPr>
              <w:t xml:space="preserve"> مشاوره، خدمات مال</w:t>
            </w:r>
            <w:r w:rsidRPr="0025250D">
              <w:rPr>
                <w:rFonts w:hint="cs"/>
                <w:rtl/>
              </w:rPr>
              <w:t>ی</w:t>
            </w:r>
            <w:r w:rsidRPr="0025250D">
              <w:rPr>
                <w:rtl/>
              </w:rPr>
              <w:t xml:space="preserve"> شرکت</w:t>
            </w:r>
            <w:r w:rsidRPr="0025250D">
              <w:rPr>
                <w:rFonts w:hint="cs"/>
                <w:rtl/>
              </w:rPr>
              <w:t>ی</w:t>
            </w:r>
            <w:r w:rsidRPr="0025250D">
              <w:rPr>
                <w:rtl/>
              </w:rPr>
              <w:t>.</w:t>
            </w:r>
          </w:p>
        </w:tc>
        <w:tc>
          <w:tcPr>
            <w:tcW w:w="1409" w:type="dxa"/>
            <w:vAlign w:val="center"/>
          </w:tcPr>
          <w:p w14:paraId="60F8044A" w14:textId="77777777" w:rsidR="00537CC8" w:rsidRPr="0025250D" w:rsidRDefault="00537CC8" w:rsidP="00A07BC9">
            <w:pPr>
              <w:bidi/>
              <w:spacing w:after="160"/>
              <w:jc w:val="center"/>
              <w:rPr>
                <w:rtl/>
              </w:rPr>
            </w:pPr>
            <w:r w:rsidRPr="0025250D">
              <w:rPr>
                <w:rtl/>
              </w:rPr>
              <w:t>1 (ن</w:t>
            </w:r>
            <w:r w:rsidRPr="0025250D">
              <w:rPr>
                <w:rFonts w:hint="cs"/>
                <w:rtl/>
              </w:rPr>
              <w:t>ی</w:t>
            </w:r>
            <w:r w:rsidRPr="0025250D">
              <w:rPr>
                <w:rFonts w:hint="eastAsia"/>
                <w:rtl/>
              </w:rPr>
              <w:t>و</w:t>
            </w:r>
            <w:r w:rsidRPr="0025250D">
              <w:rPr>
                <w:rFonts w:hint="cs"/>
                <w:rtl/>
              </w:rPr>
              <w:t>ی</w:t>
            </w:r>
            <w:r w:rsidRPr="0025250D">
              <w:rPr>
                <w:rFonts w:hint="eastAsia"/>
                <w:rtl/>
              </w:rPr>
              <w:t>ورک</w:t>
            </w:r>
            <w:r w:rsidRPr="0025250D">
              <w:rPr>
                <w:rFonts w:hint="cs"/>
                <w:rtl/>
              </w:rPr>
              <w:t>)</w:t>
            </w:r>
          </w:p>
        </w:tc>
      </w:tr>
      <w:tr w:rsidR="00494960" w:rsidRPr="0025250D" w14:paraId="37042723" w14:textId="77777777" w:rsidTr="002925C9">
        <w:tc>
          <w:tcPr>
            <w:tcW w:w="1982" w:type="dxa"/>
            <w:vAlign w:val="center"/>
          </w:tcPr>
          <w:p w14:paraId="3C3AC715" w14:textId="77777777" w:rsidR="00537CC8" w:rsidRPr="0025250D" w:rsidRDefault="007A207F" w:rsidP="00A07BC9">
            <w:pPr>
              <w:bidi/>
              <w:spacing w:after="160"/>
              <w:jc w:val="center"/>
            </w:pPr>
            <w:hyperlink r:id="rId309">
              <w:r w:rsidR="00537CC8" w:rsidRPr="0025250D">
                <w:rPr>
                  <w:rStyle w:val="Hyperlink"/>
                  <w:color w:val="auto"/>
                  <w:u w:val="none"/>
                </w:rPr>
                <w:t>Deutche</w:t>
              </w:r>
            </w:hyperlink>
          </w:p>
          <w:p w14:paraId="35F45303" w14:textId="77777777" w:rsidR="00537CC8" w:rsidRPr="0025250D" w:rsidRDefault="007A207F" w:rsidP="00A07BC9">
            <w:pPr>
              <w:bidi/>
              <w:spacing w:after="160"/>
              <w:jc w:val="center"/>
              <w:rPr>
                <w:rtl/>
              </w:rPr>
            </w:pPr>
            <w:hyperlink r:id="rId310">
              <w:r w:rsidR="00537CC8" w:rsidRPr="0025250D">
                <w:rPr>
                  <w:rStyle w:val="Hyperlink"/>
                  <w:color w:val="auto"/>
                  <w:u w:val="none"/>
                </w:rPr>
                <w:t>Bank Research</w:t>
              </w:r>
            </w:hyperlink>
          </w:p>
        </w:tc>
        <w:tc>
          <w:tcPr>
            <w:tcW w:w="3969" w:type="dxa"/>
            <w:vAlign w:val="center"/>
          </w:tcPr>
          <w:p w14:paraId="79216085" w14:textId="77777777" w:rsidR="00537CC8" w:rsidRPr="0025250D" w:rsidRDefault="00537CC8" w:rsidP="00A07BC9">
            <w:pPr>
              <w:bidi/>
              <w:spacing w:after="160"/>
              <w:jc w:val="center"/>
              <w:rPr>
                <w:rtl/>
              </w:rPr>
            </w:pPr>
            <w:r w:rsidRPr="0025250D">
              <w:rPr>
                <w:rtl/>
              </w:rPr>
              <w:t>تحل</w:t>
            </w:r>
            <w:r w:rsidRPr="0025250D">
              <w:rPr>
                <w:rFonts w:hint="cs"/>
                <w:rtl/>
              </w:rPr>
              <w:t>ی</w:t>
            </w:r>
            <w:r w:rsidRPr="0025250D">
              <w:rPr>
                <w:rFonts w:hint="eastAsia"/>
                <w:rtl/>
              </w:rPr>
              <w:t>ل</w:t>
            </w:r>
            <w:r w:rsidRPr="0025250D">
              <w:rPr>
                <w:rtl/>
              </w:rPr>
              <w:t xml:space="preserve"> اقتصاد کلان در گروه بانک دو</w:t>
            </w:r>
            <w:r w:rsidRPr="0025250D">
              <w:rPr>
                <w:rFonts w:hint="cs"/>
                <w:rtl/>
              </w:rPr>
              <w:t>ی</w:t>
            </w:r>
            <w:r w:rsidRPr="0025250D">
              <w:rPr>
                <w:rFonts w:hint="eastAsia"/>
                <w:rtl/>
              </w:rPr>
              <w:t>چه</w:t>
            </w:r>
            <w:r w:rsidRPr="0025250D">
              <w:rPr>
                <w:rtl/>
              </w:rPr>
              <w:t xml:space="preserve"> و مشاوره برا</w:t>
            </w:r>
            <w:r w:rsidRPr="0025250D">
              <w:rPr>
                <w:rFonts w:hint="cs"/>
                <w:rtl/>
              </w:rPr>
              <w:t>ی</w:t>
            </w:r>
            <w:r w:rsidRPr="0025250D">
              <w:rPr>
                <w:rtl/>
              </w:rPr>
              <w:t xml:space="preserve"> بانک، مشتر</w:t>
            </w:r>
            <w:r w:rsidRPr="0025250D">
              <w:rPr>
                <w:rFonts w:hint="cs"/>
                <w:rtl/>
              </w:rPr>
              <w:t>ی</w:t>
            </w:r>
            <w:r w:rsidRPr="0025250D">
              <w:rPr>
                <w:rFonts w:hint="eastAsia"/>
                <w:rtl/>
              </w:rPr>
              <w:t>ان</w:t>
            </w:r>
            <w:r w:rsidRPr="0025250D">
              <w:rPr>
                <w:rtl/>
              </w:rPr>
              <w:t xml:space="preserve"> و ذ</w:t>
            </w:r>
            <w:r w:rsidRPr="0025250D">
              <w:rPr>
                <w:rFonts w:hint="cs"/>
                <w:rtl/>
              </w:rPr>
              <w:t>ی</w:t>
            </w:r>
            <w:r w:rsidRPr="0025250D">
              <w:rPr>
                <w:rFonts w:hint="eastAsia"/>
                <w:rtl/>
              </w:rPr>
              <w:t>نفعان</w:t>
            </w:r>
            <w:r w:rsidRPr="0025250D">
              <w:rPr>
                <w:rtl/>
              </w:rPr>
              <w:t xml:space="preserve"> آن</w:t>
            </w:r>
          </w:p>
        </w:tc>
        <w:tc>
          <w:tcPr>
            <w:tcW w:w="1409" w:type="dxa"/>
            <w:vAlign w:val="center"/>
          </w:tcPr>
          <w:p w14:paraId="1080C4A2" w14:textId="77777777" w:rsidR="00537CC8" w:rsidRPr="0025250D" w:rsidRDefault="00537CC8" w:rsidP="00A07BC9">
            <w:pPr>
              <w:bidi/>
              <w:spacing w:after="160"/>
              <w:jc w:val="center"/>
              <w:rPr>
                <w:rtl/>
              </w:rPr>
            </w:pPr>
            <w:r w:rsidRPr="0025250D">
              <w:rPr>
                <w:rtl/>
              </w:rPr>
              <w:t>3 (فرانکفورت، آلمان)</w:t>
            </w:r>
          </w:p>
        </w:tc>
      </w:tr>
      <w:tr w:rsidR="00494960" w:rsidRPr="0025250D" w14:paraId="119129DB" w14:textId="77777777" w:rsidTr="002925C9">
        <w:tc>
          <w:tcPr>
            <w:tcW w:w="1982" w:type="dxa"/>
            <w:vAlign w:val="center"/>
          </w:tcPr>
          <w:p w14:paraId="355E2A9B" w14:textId="77777777" w:rsidR="00537CC8" w:rsidRPr="0025250D" w:rsidRDefault="007A207F" w:rsidP="00A07BC9">
            <w:pPr>
              <w:bidi/>
              <w:spacing w:after="160"/>
              <w:jc w:val="center"/>
              <w:rPr>
                <w:rtl/>
              </w:rPr>
            </w:pPr>
            <w:hyperlink r:id="rId311">
              <w:r w:rsidR="00537CC8" w:rsidRPr="0025250D">
                <w:rPr>
                  <w:rStyle w:val="Hyperlink"/>
                  <w:color w:val="auto"/>
                  <w:u w:val="none"/>
                </w:rPr>
                <w:t>EY (Ernst &amp; Young)</w:t>
              </w:r>
            </w:hyperlink>
          </w:p>
        </w:tc>
        <w:tc>
          <w:tcPr>
            <w:tcW w:w="3969" w:type="dxa"/>
            <w:vAlign w:val="center"/>
          </w:tcPr>
          <w:p w14:paraId="78953B52" w14:textId="77777777" w:rsidR="00537CC8" w:rsidRPr="0025250D" w:rsidRDefault="00537CC8" w:rsidP="00A07BC9">
            <w:pPr>
              <w:bidi/>
              <w:spacing w:after="160"/>
              <w:jc w:val="center"/>
              <w:rPr>
                <w:rtl/>
              </w:rPr>
            </w:pPr>
            <w:r w:rsidRPr="0025250D">
              <w:rPr>
                <w:rtl/>
              </w:rPr>
              <w:t>خدمات تضم</w:t>
            </w:r>
            <w:r w:rsidRPr="0025250D">
              <w:rPr>
                <w:rFonts w:hint="cs"/>
                <w:rtl/>
              </w:rPr>
              <w:t>ی</w:t>
            </w:r>
            <w:r w:rsidRPr="0025250D">
              <w:rPr>
                <w:rFonts w:hint="eastAsia"/>
                <w:rtl/>
              </w:rPr>
              <w:t>ن</w:t>
            </w:r>
            <w:r w:rsidRPr="0025250D">
              <w:rPr>
                <w:rFonts w:hint="cs"/>
                <w:rtl/>
              </w:rPr>
              <w:t>ی</w:t>
            </w:r>
            <w:r w:rsidRPr="0025250D">
              <w:rPr>
                <w:rFonts w:hint="eastAsia"/>
                <w:rtl/>
              </w:rPr>
              <w:t>،</w:t>
            </w:r>
            <w:r w:rsidRPr="0025250D">
              <w:rPr>
                <w:rtl/>
              </w:rPr>
              <w:t xml:space="preserve"> مشاوره ا</w:t>
            </w:r>
            <w:r w:rsidRPr="0025250D">
              <w:rPr>
                <w:rFonts w:hint="cs"/>
                <w:rtl/>
              </w:rPr>
              <w:t>ی</w:t>
            </w:r>
            <w:r w:rsidRPr="0025250D">
              <w:rPr>
                <w:rFonts w:hint="eastAsia"/>
                <w:rtl/>
              </w:rPr>
              <w:t>،</w:t>
            </w:r>
            <w:r w:rsidRPr="0025250D">
              <w:rPr>
                <w:rtl/>
              </w:rPr>
              <w:t xml:space="preserve"> مال</w:t>
            </w:r>
            <w:r w:rsidRPr="0025250D">
              <w:rPr>
                <w:rFonts w:hint="cs"/>
                <w:rtl/>
              </w:rPr>
              <w:t>ی</w:t>
            </w:r>
            <w:r w:rsidRPr="0025250D">
              <w:rPr>
                <w:rFonts w:hint="eastAsia"/>
                <w:rtl/>
              </w:rPr>
              <w:t>ات</w:t>
            </w:r>
            <w:r w:rsidRPr="0025250D">
              <w:rPr>
                <w:rFonts w:hint="cs"/>
                <w:rtl/>
              </w:rPr>
              <w:t>ی</w:t>
            </w:r>
            <w:r w:rsidRPr="0025250D">
              <w:rPr>
                <w:rFonts w:hint="eastAsia"/>
                <w:rtl/>
              </w:rPr>
              <w:t>،</w:t>
            </w:r>
            <w:r w:rsidRPr="0025250D">
              <w:rPr>
                <w:rtl/>
              </w:rPr>
              <w:t xml:space="preserve"> معاملات</w:t>
            </w:r>
            <w:r w:rsidRPr="0025250D">
              <w:rPr>
                <w:rFonts w:hint="cs"/>
                <w:rtl/>
              </w:rPr>
              <w:t>ی</w:t>
            </w:r>
            <w:r w:rsidRPr="0025250D">
              <w:rPr>
                <w:rtl/>
              </w:rPr>
              <w:t>.</w:t>
            </w:r>
          </w:p>
        </w:tc>
        <w:tc>
          <w:tcPr>
            <w:tcW w:w="1409" w:type="dxa"/>
            <w:vAlign w:val="center"/>
          </w:tcPr>
          <w:p w14:paraId="1011AFC7" w14:textId="77777777" w:rsidR="00537CC8" w:rsidRPr="0025250D" w:rsidRDefault="00537CC8" w:rsidP="00A07BC9">
            <w:pPr>
              <w:bidi/>
              <w:spacing w:after="160"/>
              <w:jc w:val="center"/>
              <w:rPr>
                <w:rtl/>
              </w:rPr>
            </w:pPr>
            <w:r w:rsidRPr="0025250D">
              <w:rPr>
                <w:rtl/>
              </w:rPr>
              <w:t>3 (لندن</w:t>
            </w:r>
            <w:r w:rsidRPr="0025250D">
              <w:rPr>
                <w:rFonts w:hint="cs"/>
                <w:rtl/>
              </w:rPr>
              <w:t>)</w:t>
            </w:r>
          </w:p>
        </w:tc>
      </w:tr>
      <w:tr w:rsidR="00494960" w:rsidRPr="0025250D" w14:paraId="33209AA9" w14:textId="77777777" w:rsidTr="002925C9">
        <w:tc>
          <w:tcPr>
            <w:tcW w:w="1982" w:type="dxa"/>
            <w:vAlign w:val="center"/>
          </w:tcPr>
          <w:p w14:paraId="08FF71C1" w14:textId="77777777" w:rsidR="00537CC8" w:rsidRPr="0025250D" w:rsidRDefault="007A207F" w:rsidP="00A07BC9">
            <w:pPr>
              <w:bidi/>
              <w:spacing w:after="160"/>
              <w:jc w:val="center"/>
              <w:rPr>
                <w:rtl/>
              </w:rPr>
            </w:pPr>
            <w:hyperlink r:id="rId312">
              <w:r w:rsidR="00537CC8" w:rsidRPr="0025250D">
                <w:rPr>
                  <w:rStyle w:val="Hyperlink"/>
                  <w:color w:val="auto"/>
                  <w:u w:val="none"/>
                </w:rPr>
                <w:t>First Manhattan Consulting</w:t>
              </w:r>
            </w:hyperlink>
          </w:p>
        </w:tc>
        <w:tc>
          <w:tcPr>
            <w:tcW w:w="3969" w:type="dxa"/>
            <w:vAlign w:val="center"/>
          </w:tcPr>
          <w:p w14:paraId="4ABBBF9F" w14:textId="77777777" w:rsidR="00537CC8" w:rsidRPr="0025250D" w:rsidRDefault="00537CC8" w:rsidP="00A07BC9">
            <w:pPr>
              <w:bidi/>
              <w:spacing w:after="160"/>
              <w:jc w:val="center"/>
              <w:rPr>
                <w:rtl/>
              </w:rPr>
            </w:pPr>
            <w:r w:rsidRPr="0025250D">
              <w:rPr>
                <w:rtl/>
              </w:rPr>
              <w:t>مشاوره در مورد مسائل مربوط به خدمات مال</w:t>
            </w:r>
            <w:r w:rsidRPr="0025250D">
              <w:rPr>
                <w:rFonts w:hint="cs"/>
                <w:rtl/>
              </w:rPr>
              <w:t>ی</w:t>
            </w:r>
            <w:r w:rsidRPr="0025250D">
              <w:rPr>
                <w:rtl/>
              </w:rPr>
              <w:t>.</w:t>
            </w:r>
          </w:p>
        </w:tc>
        <w:tc>
          <w:tcPr>
            <w:tcW w:w="1409" w:type="dxa"/>
            <w:vAlign w:val="center"/>
          </w:tcPr>
          <w:p w14:paraId="1FB30DAE" w14:textId="77777777" w:rsidR="00537CC8" w:rsidRPr="0025250D" w:rsidRDefault="00537CC8" w:rsidP="00A07BC9">
            <w:pPr>
              <w:bidi/>
              <w:spacing w:after="160"/>
              <w:jc w:val="center"/>
              <w:rPr>
                <w:rtl/>
              </w:rPr>
            </w:pPr>
            <w:r w:rsidRPr="0025250D">
              <w:rPr>
                <w:rtl/>
              </w:rPr>
              <w:t>1 (ن</w:t>
            </w:r>
            <w:r w:rsidRPr="0025250D">
              <w:rPr>
                <w:rFonts w:hint="cs"/>
                <w:rtl/>
              </w:rPr>
              <w:t>ی</w:t>
            </w:r>
            <w:r w:rsidRPr="0025250D">
              <w:rPr>
                <w:rFonts w:hint="eastAsia"/>
                <w:rtl/>
              </w:rPr>
              <w:t>و</w:t>
            </w:r>
            <w:r w:rsidRPr="0025250D">
              <w:rPr>
                <w:rFonts w:hint="cs"/>
                <w:rtl/>
              </w:rPr>
              <w:t>ی</w:t>
            </w:r>
            <w:r w:rsidRPr="0025250D">
              <w:rPr>
                <w:rFonts w:hint="eastAsia"/>
                <w:rtl/>
              </w:rPr>
              <w:t>ورک</w:t>
            </w:r>
            <w:r w:rsidRPr="0025250D">
              <w:rPr>
                <w:rFonts w:hint="cs"/>
                <w:rtl/>
              </w:rPr>
              <w:t>)</w:t>
            </w:r>
          </w:p>
        </w:tc>
      </w:tr>
      <w:tr w:rsidR="00494960" w:rsidRPr="0025250D" w14:paraId="59A58142" w14:textId="77777777" w:rsidTr="002925C9">
        <w:tc>
          <w:tcPr>
            <w:tcW w:w="1982" w:type="dxa"/>
            <w:vAlign w:val="center"/>
          </w:tcPr>
          <w:p w14:paraId="3FF2A6B3" w14:textId="5150D842" w:rsidR="00537CC8" w:rsidRPr="0025250D" w:rsidRDefault="007A207F" w:rsidP="00A07BC9">
            <w:pPr>
              <w:bidi/>
              <w:spacing w:after="160"/>
              <w:jc w:val="center"/>
              <w:rPr>
                <w:rtl/>
              </w:rPr>
            </w:pPr>
            <w:hyperlink r:id="rId313">
              <w:r w:rsidR="00537CC8" w:rsidRPr="0025250D">
                <w:rPr>
                  <w:rStyle w:val="Hyperlink"/>
                  <w:color w:val="auto"/>
                  <w:u w:val="none"/>
                </w:rPr>
                <w:t>FTI</w:t>
              </w:r>
            </w:hyperlink>
            <w:r w:rsidR="00494960" w:rsidRPr="0025250D">
              <w:t xml:space="preserve"> </w:t>
            </w:r>
            <w:hyperlink r:id="rId314">
              <w:r w:rsidR="00537CC8" w:rsidRPr="0025250D">
                <w:rPr>
                  <w:rStyle w:val="Hyperlink"/>
                  <w:color w:val="auto"/>
                  <w:u w:val="none"/>
                </w:rPr>
                <w:t>Consulting</w:t>
              </w:r>
            </w:hyperlink>
          </w:p>
        </w:tc>
        <w:tc>
          <w:tcPr>
            <w:tcW w:w="3969" w:type="dxa"/>
            <w:vAlign w:val="center"/>
          </w:tcPr>
          <w:p w14:paraId="5AF20308" w14:textId="05694326" w:rsidR="00537CC8" w:rsidRPr="0025250D" w:rsidRDefault="00537CC8" w:rsidP="00A07BC9">
            <w:pPr>
              <w:bidi/>
              <w:spacing w:after="160"/>
              <w:jc w:val="center"/>
              <w:rPr>
                <w:rtl/>
              </w:rPr>
            </w:pPr>
            <w:r w:rsidRPr="0025250D">
              <w:rPr>
                <w:rtl/>
              </w:rPr>
              <w:t>امور مال</w:t>
            </w:r>
            <w:r w:rsidRPr="0025250D">
              <w:rPr>
                <w:rFonts w:hint="cs"/>
                <w:rtl/>
              </w:rPr>
              <w:t>ی</w:t>
            </w:r>
            <w:r w:rsidRPr="0025250D">
              <w:rPr>
                <w:rtl/>
              </w:rPr>
              <w:t xml:space="preserve"> و بازساز</w:t>
            </w:r>
            <w:r w:rsidRPr="0025250D">
              <w:rPr>
                <w:rFonts w:hint="cs"/>
                <w:rtl/>
              </w:rPr>
              <w:t>ی</w:t>
            </w:r>
            <w:r w:rsidRPr="0025250D">
              <w:rPr>
                <w:rtl/>
              </w:rPr>
              <w:t xml:space="preserve"> شرکت، مشاوره اقتصاد</w:t>
            </w:r>
            <w:r w:rsidRPr="0025250D">
              <w:rPr>
                <w:rFonts w:hint="cs"/>
                <w:rtl/>
              </w:rPr>
              <w:t>ی</w:t>
            </w:r>
            <w:r w:rsidRPr="0025250D">
              <w:rPr>
                <w:rFonts w:hint="eastAsia"/>
                <w:rtl/>
              </w:rPr>
              <w:t>،</w:t>
            </w:r>
            <w:r w:rsidRPr="0025250D">
              <w:rPr>
                <w:rtl/>
              </w:rPr>
              <w:t xml:space="preserve"> پزشک</w:t>
            </w:r>
            <w:r w:rsidRPr="0025250D">
              <w:rPr>
                <w:rFonts w:hint="cs"/>
                <w:rtl/>
              </w:rPr>
              <w:t>ی</w:t>
            </w:r>
            <w:r w:rsidRPr="0025250D">
              <w:rPr>
                <w:rtl/>
              </w:rPr>
              <w:t xml:space="preserve"> قانون</w:t>
            </w:r>
            <w:r w:rsidRPr="0025250D">
              <w:rPr>
                <w:rFonts w:hint="cs"/>
                <w:rtl/>
              </w:rPr>
              <w:t>ی</w:t>
            </w:r>
            <w:r w:rsidRPr="0025250D">
              <w:rPr>
                <w:rFonts w:hint="eastAsia"/>
                <w:rtl/>
              </w:rPr>
              <w:t>،</w:t>
            </w:r>
            <w:r w:rsidRPr="0025250D">
              <w:rPr>
                <w:rtl/>
              </w:rPr>
              <w:t xml:space="preserve"> دعاو</w:t>
            </w:r>
            <w:r w:rsidRPr="0025250D">
              <w:rPr>
                <w:rFonts w:hint="cs"/>
                <w:rtl/>
              </w:rPr>
              <w:t>ی</w:t>
            </w:r>
            <w:r w:rsidRPr="0025250D">
              <w:rPr>
                <w:rtl/>
              </w:rPr>
              <w:t xml:space="preserve"> و فناور</w:t>
            </w:r>
            <w:r w:rsidRPr="0025250D">
              <w:rPr>
                <w:rFonts w:hint="cs"/>
                <w:rtl/>
              </w:rPr>
              <w:t>ی</w:t>
            </w:r>
            <w:r w:rsidRPr="0025250D">
              <w:rPr>
                <w:rFonts w:hint="eastAsia"/>
                <w:rtl/>
              </w:rPr>
              <w:t>،</w:t>
            </w:r>
            <w:r w:rsidRPr="0025250D">
              <w:rPr>
                <w:rtl/>
              </w:rPr>
              <w:t xml:space="preserve"> ارتباطات </w:t>
            </w:r>
            <w:r w:rsidR="00701E03" w:rsidRPr="0025250D">
              <w:rPr>
                <w:rtl/>
              </w:rPr>
              <w:t>راهبردی</w:t>
            </w:r>
            <w:r w:rsidRPr="0025250D">
              <w:rPr>
                <w:rtl/>
              </w:rPr>
              <w:t>.</w:t>
            </w:r>
          </w:p>
        </w:tc>
        <w:tc>
          <w:tcPr>
            <w:tcW w:w="1409" w:type="dxa"/>
            <w:vAlign w:val="center"/>
          </w:tcPr>
          <w:p w14:paraId="116B3A3A" w14:textId="77777777" w:rsidR="00537CC8" w:rsidRPr="0025250D" w:rsidRDefault="00537CC8" w:rsidP="00A07BC9">
            <w:pPr>
              <w:bidi/>
              <w:spacing w:after="160"/>
              <w:jc w:val="center"/>
              <w:rPr>
                <w:rtl/>
              </w:rPr>
            </w:pPr>
            <w:r w:rsidRPr="0025250D">
              <w:rPr>
                <w:rFonts w:hint="cs"/>
                <w:rtl/>
              </w:rPr>
              <w:t>1 (پالم بیچ)</w:t>
            </w:r>
          </w:p>
        </w:tc>
      </w:tr>
      <w:tr w:rsidR="00494960" w:rsidRPr="0025250D" w14:paraId="4E74B8C3" w14:textId="77777777" w:rsidTr="002925C9">
        <w:tc>
          <w:tcPr>
            <w:tcW w:w="1982" w:type="dxa"/>
            <w:vAlign w:val="center"/>
          </w:tcPr>
          <w:p w14:paraId="3D5CB80A" w14:textId="77777777" w:rsidR="00537CC8" w:rsidRPr="0025250D" w:rsidRDefault="007A207F" w:rsidP="00A07BC9">
            <w:pPr>
              <w:bidi/>
              <w:spacing w:after="160"/>
              <w:jc w:val="center"/>
              <w:rPr>
                <w:rtl/>
              </w:rPr>
            </w:pPr>
            <w:hyperlink r:id="rId315">
              <w:r w:rsidR="00537CC8" w:rsidRPr="0025250D">
                <w:rPr>
                  <w:rStyle w:val="Hyperlink"/>
                  <w:color w:val="auto"/>
                  <w:u w:val="none"/>
                </w:rPr>
                <w:t>Hewitt Associates</w:t>
              </w:r>
            </w:hyperlink>
          </w:p>
        </w:tc>
        <w:tc>
          <w:tcPr>
            <w:tcW w:w="3969" w:type="dxa"/>
            <w:vAlign w:val="center"/>
          </w:tcPr>
          <w:p w14:paraId="290D232A" w14:textId="77777777" w:rsidR="00537CC8" w:rsidRPr="0025250D" w:rsidRDefault="00537CC8" w:rsidP="00A07BC9">
            <w:pPr>
              <w:bidi/>
              <w:spacing w:after="160"/>
              <w:jc w:val="center"/>
              <w:rPr>
                <w:rtl/>
              </w:rPr>
            </w:pPr>
            <w:r w:rsidRPr="0025250D">
              <w:rPr>
                <w:rtl/>
              </w:rPr>
              <w:t>خدمات مشاوره، برون سپار</w:t>
            </w:r>
            <w:r w:rsidRPr="0025250D">
              <w:rPr>
                <w:rFonts w:hint="cs"/>
                <w:rtl/>
              </w:rPr>
              <w:t>ی</w:t>
            </w:r>
            <w:r w:rsidRPr="0025250D">
              <w:rPr>
                <w:rtl/>
              </w:rPr>
              <w:t xml:space="preserve"> و کارگزار</w:t>
            </w:r>
            <w:r w:rsidRPr="0025250D">
              <w:rPr>
                <w:rFonts w:hint="cs"/>
                <w:rtl/>
              </w:rPr>
              <w:t>ی</w:t>
            </w:r>
            <w:r w:rsidRPr="0025250D">
              <w:rPr>
                <w:rtl/>
              </w:rPr>
              <w:t xml:space="preserve"> ب</w:t>
            </w:r>
            <w:r w:rsidRPr="0025250D">
              <w:rPr>
                <w:rFonts w:hint="cs"/>
                <w:rtl/>
              </w:rPr>
              <w:t>ی</w:t>
            </w:r>
            <w:r w:rsidRPr="0025250D">
              <w:rPr>
                <w:rFonts w:hint="eastAsia"/>
                <w:rtl/>
              </w:rPr>
              <w:t>مه</w:t>
            </w:r>
            <w:r w:rsidRPr="0025250D">
              <w:rPr>
                <w:rtl/>
              </w:rPr>
              <w:t>.</w:t>
            </w:r>
          </w:p>
        </w:tc>
        <w:tc>
          <w:tcPr>
            <w:tcW w:w="1409" w:type="dxa"/>
            <w:vAlign w:val="center"/>
          </w:tcPr>
          <w:p w14:paraId="780AB954" w14:textId="77777777" w:rsidR="00537CC8" w:rsidRPr="0025250D" w:rsidRDefault="00537CC8" w:rsidP="00A07BC9">
            <w:pPr>
              <w:bidi/>
              <w:spacing w:after="160"/>
              <w:jc w:val="center"/>
              <w:rPr>
                <w:rtl/>
              </w:rPr>
            </w:pPr>
            <w:r w:rsidRPr="0025250D">
              <w:rPr>
                <w:rtl/>
              </w:rPr>
              <w:t>1 (ش</w:t>
            </w:r>
            <w:r w:rsidRPr="0025250D">
              <w:rPr>
                <w:rFonts w:hint="cs"/>
                <w:rtl/>
              </w:rPr>
              <w:t>ی</w:t>
            </w:r>
            <w:r w:rsidRPr="0025250D">
              <w:rPr>
                <w:rFonts w:hint="eastAsia"/>
                <w:rtl/>
              </w:rPr>
              <w:t>کاگو</w:t>
            </w:r>
            <w:r w:rsidRPr="0025250D">
              <w:rPr>
                <w:rFonts w:hint="cs"/>
                <w:rtl/>
              </w:rPr>
              <w:t>)</w:t>
            </w:r>
          </w:p>
        </w:tc>
      </w:tr>
      <w:tr w:rsidR="00494960" w:rsidRPr="0025250D" w14:paraId="384F2FB5" w14:textId="77777777" w:rsidTr="002925C9">
        <w:tc>
          <w:tcPr>
            <w:tcW w:w="1982" w:type="dxa"/>
            <w:vAlign w:val="center"/>
          </w:tcPr>
          <w:p w14:paraId="6EE0E462" w14:textId="77777777" w:rsidR="00537CC8" w:rsidRPr="0025250D" w:rsidRDefault="007A207F" w:rsidP="00A07BC9">
            <w:pPr>
              <w:bidi/>
              <w:spacing w:after="160"/>
              <w:jc w:val="center"/>
              <w:rPr>
                <w:rtl/>
              </w:rPr>
            </w:pPr>
            <w:hyperlink r:id="rId316">
              <w:r w:rsidR="00537CC8" w:rsidRPr="0025250D">
                <w:rPr>
                  <w:rStyle w:val="Hyperlink"/>
                  <w:color w:val="auto"/>
                  <w:u w:val="none"/>
                </w:rPr>
                <w:t>Huron Consulting Group</w:t>
              </w:r>
            </w:hyperlink>
          </w:p>
        </w:tc>
        <w:tc>
          <w:tcPr>
            <w:tcW w:w="3969" w:type="dxa"/>
            <w:vAlign w:val="center"/>
          </w:tcPr>
          <w:p w14:paraId="44A671BF" w14:textId="77777777" w:rsidR="00537CC8" w:rsidRPr="0025250D" w:rsidRDefault="00537CC8" w:rsidP="00A07BC9">
            <w:pPr>
              <w:bidi/>
              <w:spacing w:after="160"/>
              <w:jc w:val="center"/>
              <w:rPr>
                <w:rtl/>
              </w:rPr>
            </w:pPr>
            <w:r w:rsidRPr="0025250D">
              <w:rPr>
                <w:rtl/>
              </w:rPr>
              <w:t xml:space="preserve">مشاوره </w:t>
            </w:r>
            <w:r w:rsidRPr="0025250D">
              <w:rPr>
                <w:rFonts w:hint="cs"/>
                <w:rtl/>
              </w:rPr>
              <w:t>مدیریت</w:t>
            </w:r>
            <w:r w:rsidRPr="0025250D">
              <w:rPr>
                <w:rtl/>
              </w:rPr>
              <w:t xml:space="preserve"> برا</w:t>
            </w:r>
            <w:r w:rsidRPr="0025250D">
              <w:rPr>
                <w:rFonts w:hint="cs"/>
                <w:rtl/>
              </w:rPr>
              <w:t>ی</w:t>
            </w:r>
            <w:r w:rsidRPr="0025250D">
              <w:rPr>
                <w:rtl/>
              </w:rPr>
              <w:t xml:space="preserve"> صنا</w:t>
            </w:r>
            <w:r w:rsidRPr="0025250D">
              <w:rPr>
                <w:rFonts w:hint="cs"/>
                <w:rtl/>
              </w:rPr>
              <w:t>ی</w:t>
            </w:r>
            <w:r w:rsidRPr="0025250D">
              <w:rPr>
                <w:rFonts w:hint="eastAsia"/>
                <w:rtl/>
              </w:rPr>
              <w:t>ع</w:t>
            </w:r>
            <w:r w:rsidRPr="0025250D">
              <w:rPr>
                <w:rtl/>
              </w:rPr>
              <w:t xml:space="preserve"> بهداشت</w:t>
            </w:r>
            <w:r w:rsidRPr="0025250D">
              <w:rPr>
                <w:rFonts w:hint="cs"/>
                <w:rtl/>
              </w:rPr>
              <w:t>ی</w:t>
            </w:r>
            <w:r w:rsidRPr="0025250D">
              <w:rPr>
                <w:rFonts w:hint="eastAsia"/>
                <w:rtl/>
              </w:rPr>
              <w:t>،</w:t>
            </w:r>
            <w:r w:rsidRPr="0025250D">
              <w:rPr>
                <w:rtl/>
              </w:rPr>
              <w:t xml:space="preserve"> آموزش</w:t>
            </w:r>
            <w:r w:rsidRPr="0025250D">
              <w:rPr>
                <w:rFonts w:hint="cs"/>
                <w:rtl/>
              </w:rPr>
              <w:t>ی</w:t>
            </w:r>
            <w:r w:rsidRPr="0025250D">
              <w:rPr>
                <w:rFonts w:hint="eastAsia"/>
                <w:rtl/>
              </w:rPr>
              <w:t>،</w:t>
            </w:r>
            <w:r w:rsidRPr="0025250D">
              <w:rPr>
                <w:rtl/>
              </w:rPr>
              <w:t xml:space="preserve"> حقوق</w:t>
            </w:r>
            <w:r w:rsidRPr="0025250D">
              <w:rPr>
                <w:rFonts w:hint="cs"/>
                <w:rtl/>
              </w:rPr>
              <w:t>ی</w:t>
            </w:r>
            <w:r w:rsidRPr="0025250D">
              <w:rPr>
                <w:rtl/>
              </w:rPr>
              <w:t xml:space="preserve"> و مال</w:t>
            </w:r>
            <w:r w:rsidRPr="0025250D">
              <w:rPr>
                <w:rFonts w:hint="cs"/>
                <w:rtl/>
              </w:rPr>
              <w:t>ی</w:t>
            </w:r>
            <w:r w:rsidRPr="0025250D">
              <w:rPr>
                <w:rtl/>
              </w:rPr>
              <w:t>.</w:t>
            </w:r>
          </w:p>
        </w:tc>
        <w:tc>
          <w:tcPr>
            <w:tcW w:w="1409" w:type="dxa"/>
            <w:vAlign w:val="center"/>
          </w:tcPr>
          <w:p w14:paraId="406686D3" w14:textId="77777777" w:rsidR="00537CC8" w:rsidRPr="0025250D" w:rsidRDefault="00537CC8" w:rsidP="00A07BC9">
            <w:pPr>
              <w:bidi/>
              <w:spacing w:after="160"/>
              <w:jc w:val="center"/>
              <w:rPr>
                <w:rtl/>
              </w:rPr>
            </w:pPr>
            <w:r w:rsidRPr="0025250D">
              <w:rPr>
                <w:rtl/>
              </w:rPr>
              <w:t>1 (ش</w:t>
            </w:r>
            <w:r w:rsidRPr="0025250D">
              <w:rPr>
                <w:rFonts w:hint="cs"/>
                <w:rtl/>
              </w:rPr>
              <w:t>ی</w:t>
            </w:r>
            <w:r w:rsidRPr="0025250D">
              <w:rPr>
                <w:rFonts w:hint="eastAsia"/>
                <w:rtl/>
              </w:rPr>
              <w:t>کاگو</w:t>
            </w:r>
            <w:r w:rsidRPr="0025250D">
              <w:rPr>
                <w:rFonts w:hint="cs"/>
                <w:rtl/>
              </w:rPr>
              <w:t>)</w:t>
            </w:r>
          </w:p>
        </w:tc>
      </w:tr>
      <w:tr w:rsidR="00494960" w:rsidRPr="0025250D" w14:paraId="7F76E7F3" w14:textId="77777777" w:rsidTr="002925C9">
        <w:tc>
          <w:tcPr>
            <w:tcW w:w="1982" w:type="dxa"/>
            <w:vAlign w:val="center"/>
          </w:tcPr>
          <w:p w14:paraId="50E6118A" w14:textId="77777777" w:rsidR="00537CC8" w:rsidRPr="0025250D" w:rsidRDefault="007A207F" w:rsidP="00A07BC9">
            <w:pPr>
              <w:bidi/>
              <w:spacing w:after="160"/>
              <w:jc w:val="center"/>
              <w:rPr>
                <w:rtl/>
              </w:rPr>
            </w:pPr>
            <w:hyperlink r:id="rId317">
              <w:r w:rsidR="00537CC8" w:rsidRPr="0025250D">
                <w:rPr>
                  <w:rStyle w:val="Hyperlink"/>
                  <w:color w:val="auto"/>
                  <w:u w:val="none"/>
                </w:rPr>
                <w:t>IBM Global Services</w:t>
              </w:r>
            </w:hyperlink>
          </w:p>
        </w:tc>
        <w:tc>
          <w:tcPr>
            <w:tcW w:w="3969" w:type="dxa"/>
            <w:vAlign w:val="center"/>
          </w:tcPr>
          <w:p w14:paraId="253BAC5B" w14:textId="03014290" w:rsidR="00537CC8" w:rsidRPr="0025250D" w:rsidRDefault="00537CC8" w:rsidP="00A07BC9">
            <w:pPr>
              <w:bidi/>
              <w:spacing w:after="160"/>
              <w:jc w:val="center"/>
              <w:rPr>
                <w:rtl/>
              </w:rPr>
            </w:pPr>
            <w:r w:rsidRPr="0025250D">
              <w:rPr>
                <w:rtl/>
              </w:rPr>
              <w:t xml:space="preserve">مشاوره </w:t>
            </w:r>
            <w:r w:rsidR="00B124DE" w:rsidRPr="0025250D">
              <w:rPr>
                <w:rtl/>
              </w:rPr>
              <w:t>کسب‌و‌کار</w:t>
            </w:r>
            <w:r w:rsidRPr="0025250D">
              <w:rPr>
                <w:rtl/>
              </w:rPr>
              <w:t xml:space="preserve"> و فناور</w:t>
            </w:r>
            <w:r w:rsidRPr="0025250D">
              <w:rPr>
                <w:rFonts w:hint="cs"/>
                <w:rtl/>
              </w:rPr>
              <w:t>ی</w:t>
            </w:r>
            <w:r w:rsidRPr="0025250D">
              <w:rPr>
                <w:rtl/>
              </w:rPr>
              <w:t xml:space="preserve"> جهان</w:t>
            </w:r>
            <w:r w:rsidRPr="0025250D">
              <w:rPr>
                <w:rFonts w:hint="cs"/>
                <w:rtl/>
              </w:rPr>
              <w:t>ی</w:t>
            </w:r>
          </w:p>
        </w:tc>
        <w:tc>
          <w:tcPr>
            <w:tcW w:w="1409" w:type="dxa"/>
            <w:vAlign w:val="center"/>
          </w:tcPr>
          <w:p w14:paraId="7D4FF4FF" w14:textId="77777777" w:rsidR="00537CC8" w:rsidRPr="0025250D" w:rsidRDefault="00537CC8" w:rsidP="00A07BC9">
            <w:pPr>
              <w:bidi/>
              <w:spacing w:after="160"/>
              <w:jc w:val="center"/>
              <w:rPr>
                <w:rtl/>
              </w:rPr>
            </w:pPr>
            <w:r w:rsidRPr="0025250D">
              <w:rPr>
                <w:rtl/>
              </w:rPr>
              <w:t>1 (آرمانک، ن</w:t>
            </w:r>
            <w:r w:rsidRPr="0025250D">
              <w:rPr>
                <w:rFonts w:hint="cs"/>
                <w:rtl/>
              </w:rPr>
              <w:t>ی</w:t>
            </w:r>
            <w:r w:rsidRPr="0025250D">
              <w:rPr>
                <w:rFonts w:hint="eastAsia"/>
                <w:rtl/>
              </w:rPr>
              <w:t>و</w:t>
            </w:r>
            <w:r w:rsidRPr="0025250D">
              <w:rPr>
                <w:rFonts w:hint="cs"/>
                <w:rtl/>
              </w:rPr>
              <w:t>ی</w:t>
            </w:r>
            <w:r w:rsidRPr="0025250D">
              <w:rPr>
                <w:rFonts w:hint="eastAsia"/>
                <w:rtl/>
              </w:rPr>
              <w:t>ورک</w:t>
            </w:r>
            <w:r w:rsidRPr="0025250D">
              <w:rPr>
                <w:rtl/>
              </w:rPr>
              <w:t>)</w:t>
            </w:r>
          </w:p>
        </w:tc>
      </w:tr>
      <w:tr w:rsidR="00494960" w:rsidRPr="0025250D" w14:paraId="6D9BBD18" w14:textId="77777777" w:rsidTr="002925C9">
        <w:tc>
          <w:tcPr>
            <w:tcW w:w="1982" w:type="dxa"/>
            <w:vAlign w:val="center"/>
          </w:tcPr>
          <w:p w14:paraId="0FAD454C" w14:textId="77777777" w:rsidR="00537CC8" w:rsidRPr="0025250D" w:rsidRDefault="007A207F" w:rsidP="00A07BC9">
            <w:pPr>
              <w:bidi/>
              <w:spacing w:after="160"/>
              <w:jc w:val="center"/>
              <w:rPr>
                <w:rtl/>
              </w:rPr>
            </w:pPr>
            <w:hyperlink r:id="rId318">
              <w:r w:rsidR="00537CC8" w:rsidRPr="0025250D">
                <w:rPr>
                  <w:rStyle w:val="Hyperlink"/>
                  <w:color w:val="auto"/>
                  <w:u w:val="none"/>
                </w:rPr>
                <w:t>KPMG</w:t>
              </w:r>
            </w:hyperlink>
          </w:p>
        </w:tc>
        <w:tc>
          <w:tcPr>
            <w:tcW w:w="3969" w:type="dxa"/>
            <w:vAlign w:val="center"/>
          </w:tcPr>
          <w:p w14:paraId="05483D5E" w14:textId="77777777" w:rsidR="00537CC8" w:rsidRPr="0025250D" w:rsidRDefault="00537CC8" w:rsidP="00A07BC9">
            <w:pPr>
              <w:bidi/>
              <w:spacing w:after="160"/>
              <w:jc w:val="center"/>
              <w:rPr>
                <w:rtl/>
              </w:rPr>
            </w:pPr>
            <w:r w:rsidRPr="0025250D">
              <w:rPr>
                <w:rtl/>
              </w:rPr>
              <w:t>شرکت خدمات حرفه‌ای حسابرس</w:t>
            </w:r>
            <w:r w:rsidRPr="0025250D">
              <w:rPr>
                <w:rFonts w:hint="cs"/>
                <w:rtl/>
              </w:rPr>
              <w:t>ی</w:t>
            </w:r>
            <w:r w:rsidRPr="0025250D">
              <w:rPr>
                <w:rFonts w:hint="eastAsia"/>
                <w:rtl/>
              </w:rPr>
              <w:t>،</w:t>
            </w:r>
            <w:r w:rsidRPr="0025250D">
              <w:rPr>
                <w:rtl/>
              </w:rPr>
              <w:t xml:space="preserve"> مال</w:t>
            </w:r>
            <w:r w:rsidRPr="0025250D">
              <w:rPr>
                <w:rFonts w:hint="cs"/>
                <w:rtl/>
              </w:rPr>
              <w:t>ی</w:t>
            </w:r>
            <w:r w:rsidRPr="0025250D">
              <w:rPr>
                <w:rFonts w:hint="eastAsia"/>
                <w:rtl/>
              </w:rPr>
              <w:t>ات</w:t>
            </w:r>
            <w:r w:rsidRPr="0025250D">
              <w:rPr>
                <w:rFonts w:hint="cs"/>
                <w:rtl/>
              </w:rPr>
              <w:t>ی</w:t>
            </w:r>
            <w:r w:rsidRPr="0025250D">
              <w:rPr>
                <w:rtl/>
              </w:rPr>
              <w:t xml:space="preserve"> و مشاوره. 152000 نفر</w:t>
            </w:r>
          </w:p>
        </w:tc>
        <w:tc>
          <w:tcPr>
            <w:tcW w:w="1409" w:type="dxa"/>
            <w:vAlign w:val="center"/>
          </w:tcPr>
          <w:p w14:paraId="3F6700F0" w14:textId="77777777" w:rsidR="00537CC8" w:rsidRPr="0025250D" w:rsidRDefault="00537CC8" w:rsidP="00A07BC9">
            <w:pPr>
              <w:bidi/>
              <w:spacing w:after="160"/>
              <w:jc w:val="center"/>
              <w:rPr>
                <w:rtl/>
              </w:rPr>
            </w:pPr>
            <w:r w:rsidRPr="0025250D">
              <w:rPr>
                <w:rtl/>
              </w:rPr>
              <w:t>3 (هلند)</w:t>
            </w:r>
          </w:p>
        </w:tc>
      </w:tr>
      <w:tr w:rsidR="00494960" w:rsidRPr="0025250D" w14:paraId="36E3FE69" w14:textId="77777777" w:rsidTr="002925C9">
        <w:tc>
          <w:tcPr>
            <w:tcW w:w="1982" w:type="dxa"/>
            <w:vAlign w:val="center"/>
          </w:tcPr>
          <w:p w14:paraId="0AB22D9E" w14:textId="77777777" w:rsidR="00537CC8" w:rsidRPr="0025250D" w:rsidRDefault="007A207F" w:rsidP="00A07BC9">
            <w:pPr>
              <w:bidi/>
              <w:spacing w:after="160"/>
              <w:jc w:val="center"/>
              <w:rPr>
                <w:rtl/>
              </w:rPr>
            </w:pPr>
            <w:hyperlink r:id="rId319">
              <w:r w:rsidR="00537CC8" w:rsidRPr="0025250D">
                <w:rPr>
                  <w:rStyle w:val="Hyperlink"/>
                  <w:color w:val="auto"/>
                  <w:u w:val="none"/>
                </w:rPr>
                <w:t>Kurt Salmon</w:t>
              </w:r>
            </w:hyperlink>
          </w:p>
        </w:tc>
        <w:tc>
          <w:tcPr>
            <w:tcW w:w="3969" w:type="dxa"/>
            <w:vAlign w:val="center"/>
          </w:tcPr>
          <w:p w14:paraId="708CCF73" w14:textId="5B5BF120" w:rsidR="00537CC8" w:rsidRPr="0025250D" w:rsidRDefault="00537CC8" w:rsidP="00A07BC9">
            <w:pPr>
              <w:bidi/>
              <w:spacing w:after="160"/>
              <w:jc w:val="center"/>
              <w:rPr>
                <w:rtl/>
              </w:rPr>
            </w:pPr>
            <w:r w:rsidRPr="0025250D">
              <w:rPr>
                <w:rtl/>
              </w:rPr>
              <w:t>مشاوره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جهان</w:t>
            </w:r>
            <w:r w:rsidRPr="0025250D">
              <w:rPr>
                <w:rFonts w:hint="cs"/>
                <w:rtl/>
              </w:rPr>
              <w:t>ی</w:t>
            </w:r>
            <w:r w:rsidRPr="0025250D">
              <w:rPr>
                <w:rFonts w:hint="eastAsia"/>
                <w:rtl/>
              </w:rPr>
              <w:t>،</w:t>
            </w:r>
            <w:r w:rsidRPr="0025250D">
              <w:rPr>
                <w:rtl/>
              </w:rPr>
              <w:t xml:space="preserve"> خرده فروش</w:t>
            </w:r>
            <w:r w:rsidRPr="0025250D">
              <w:rPr>
                <w:rFonts w:hint="cs"/>
                <w:rtl/>
              </w:rPr>
              <w:t>ی</w:t>
            </w:r>
            <w:r w:rsidRPr="0025250D">
              <w:rPr>
                <w:rtl/>
              </w:rPr>
              <w:t xml:space="preserve"> و </w:t>
            </w:r>
            <w:r w:rsidR="00701E03" w:rsidRPr="0025250D">
              <w:rPr>
                <w:rtl/>
              </w:rPr>
              <w:t>راهبرد</w:t>
            </w:r>
            <w:r w:rsidRPr="0025250D">
              <w:rPr>
                <w:rtl/>
              </w:rPr>
              <w:t xml:space="preserve"> مصرف کننده.</w:t>
            </w:r>
          </w:p>
        </w:tc>
        <w:tc>
          <w:tcPr>
            <w:tcW w:w="1409" w:type="dxa"/>
            <w:vAlign w:val="center"/>
          </w:tcPr>
          <w:p w14:paraId="64FF72CD" w14:textId="77777777" w:rsidR="00537CC8" w:rsidRPr="0025250D" w:rsidRDefault="00537CC8" w:rsidP="00A07BC9">
            <w:pPr>
              <w:bidi/>
              <w:spacing w:after="160"/>
              <w:jc w:val="center"/>
              <w:rPr>
                <w:rtl/>
              </w:rPr>
            </w:pPr>
            <w:r w:rsidRPr="0025250D">
              <w:rPr>
                <w:rtl/>
              </w:rPr>
              <w:t>1 (ن</w:t>
            </w:r>
            <w:r w:rsidRPr="0025250D">
              <w:rPr>
                <w:rFonts w:hint="cs"/>
                <w:rtl/>
              </w:rPr>
              <w:t>ی</w:t>
            </w:r>
            <w:r w:rsidRPr="0025250D">
              <w:rPr>
                <w:rFonts w:hint="eastAsia"/>
                <w:rtl/>
              </w:rPr>
              <w:t>و</w:t>
            </w:r>
            <w:r w:rsidRPr="0025250D">
              <w:rPr>
                <w:rFonts w:hint="cs"/>
                <w:rtl/>
              </w:rPr>
              <w:t>ی</w:t>
            </w:r>
            <w:r w:rsidRPr="0025250D">
              <w:rPr>
                <w:rFonts w:hint="eastAsia"/>
                <w:rtl/>
              </w:rPr>
              <w:t>ورک</w:t>
            </w:r>
            <w:r w:rsidRPr="0025250D">
              <w:rPr>
                <w:rFonts w:hint="cs"/>
                <w:rtl/>
              </w:rPr>
              <w:t>)</w:t>
            </w:r>
          </w:p>
        </w:tc>
      </w:tr>
      <w:tr w:rsidR="00494960" w:rsidRPr="0025250D" w14:paraId="55469C72" w14:textId="77777777" w:rsidTr="002925C9">
        <w:tc>
          <w:tcPr>
            <w:tcW w:w="1982" w:type="dxa"/>
            <w:vAlign w:val="center"/>
          </w:tcPr>
          <w:p w14:paraId="1F804CA1" w14:textId="05B5BED7" w:rsidR="00537CC8" w:rsidRPr="0025250D" w:rsidRDefault="007A207F" w:rsidP="00A07BC9">
            <w:pPr>
              <w:bidi/>
              <w:spacing w:after="160"/>
              <w:jc w:val="center"/>
              <w:rPr>
                <w:rtl/>
              </w:rPr>
            </w:pPr>
            <w:hyperlink r:id="rId320">
              <w:r w:rsidR="00537CC8" w:rsidRPr="0025250D">
                <w:rPr>
                  <w:rStyle w:val="Hyperlink"/>
                  <w:color w:val="auto"/>
                  <w:u w:val="none"/>
                </w:rPr>
                <w:t>L.E.K.</w:t>
              </w:r>
            </w:hyperlink>
            <w:r w:rsidR="00494960" w:rsidRPr="0025250D">
              <w:t xml:space="preserve"> </w:t>
            </w:r>
            <w:hyperlink r:id="rId321">
              <w:r w:rsidR="00537CC8" w:rsidRPr="0025250D">
                <w:rPr>
                  <w:rStyle w:val="Hyperlink"/>
                  <w:color w:val="auto"/>
                  <w:u w:val="none"/>
                </w:rPr>
                <w:t>Consulting</w:t>
              </w:r>
            </w:hyperlink>
          </w:p>
        </w:tc>
        <w:tc>
          <w:tcPr>
            <w:tcW w:w="3969" w:type="dxa"/>
            <w:vAlign w:val="center"/>
          </w:tcPr>
          <w:p w14:paraId="18086ED8" w14:textId="77777777" w:rsidR="00537CC8" w:rsidRPr="0025250D" w:rsidRDefault="00537CC8" w:rsidP="00A07BC9">
            <w:pPr>
              <w:bidi/>
              <w:spacing w:after="160"/>
              <w:jc w:val="center"/>
              <w:rPr>
                <w:rtl/>
              </w:rPr>
            </w:pPr>
            <w:r w:rsidRPr="0025250D">
              <w:rPr>
                <w:rtl/>
              </w:rPr>
              <w:t>شرکت مشاوره عموم</w:t>
            </w:r>
            <w:r w:rsidRPr="0025250D">
              <w:rPr>
                <w:rFonts w:hint="cs"/>
                <w:rtl/>
              </w:rPr>
              <w:t>ی</w:t>
            </w:r>
            <w:r w:rsidRPr="0025250D">
              <w:rPr>
                <w:rtl/>
              </w:rPr>
              <w:t xml:space="preserve"> جهان</w:t>
            </w:r>
            <w:r w:rsidRPr="0025250D">
              <w:rPr>
                <w:rFonts w:hint="cs"/>
                <w:rtl/>
              </w:rPr>
              <w:t>ی</w:t>
            </w:r>
          </w:p>
        </w:tc>
        <w:tc>
          <w:tcPr>
            <w:tcW w:w="1409" w:type="dxa"/>
            <w:vAlign w:val="center"/>
          </w:tcPr>
          <w:p w14:paraId="16910A58" w14:textId="77777777" w:rsidR="00537CC8" w:rsidRPr="0025250D" w:rsidRDefault="00537CC8" w:rsidP="00A07BC9">
            <w:pPr>
              <w:bidi/>
              <w:spacing w:after="160"/>
              <w:jc w:val="center"/>
              <w:rPr>
                <w:rtl/>
              </w:rPr>
            </w:pPr>
            <w:r w:rsidRPr="0025250D">
              <w:rPr>
                <w:rtl/>
              </w:rPr>
              <w:t>1 (لندن</w:t>
            </w:r>
            <w:r w:rsidRPr="0025250D">
              <w:rPr>
                <w:rFonts w:hint="cs"/>
                <w:rtl/>
              </w:rPr>
              <w:t>)</w:t>
            </w:r>
          </w:p>
        </w:tc>
      </w:tr>
      <w:tr w:rsidR="00494960" w:rsidRPr="0025250D" w14:paraId="28BA650D" w14:textId="77777777" w:rsidTr="002925C9">
        <w:tc>
          <w:tcPr>
            <w:tcW w:w="1982" w:type="dxa"/>
            <w:vAlign w:val="center"/>
          </w:tcPr>
          <w:p w14:paraId="10ECB063" w14:textId="77777777" w:rsidR="00537CC8" w:rsidRPr="0025250D" w:rsidRDefault="007A207F" w:rsidP="00A07BC9">
            <w:pPr>
              <w:bidi/>
              <w:spacing w:after="160"/>
              <w:jc w:val="center"/>
              <w:rPr>
                <w:rtl/>
              </w:rPr>
            </w:pPr>
            <w:hyperlink r:id="rId322">
              <w:r w:rsidR="00537CC8" w:rsidRPr="0025250D">
                <w:rPr>
                  <w:rStyle w:val="Hyperlink"/>
                  <w:color w:val="auto"/>
                  <w:u w:val="none"/>
                </w:rPr>
                <w:t>Lippincott</w:t>
              </w:r>
            </w:hyperlink>
          </w:p>
        </w:tc>
        <w:tc>
          <w:tcPr>
            <w:tcW w:w="3969" w:type="dxa"/>
            <w:vAlign w:val="center"/>
          </w:tcPr>
          <w:p w14:paraId="633779D0" w14:textId="7C3C58B7" w:rsidR="00537CC8" w:rsidRPr="0025250D" w:rsidRDefault="00701E03" w:rsidP="00A07BC9">
            <w:pPr>
              <w:bidi/>
              <w:spacing w:after="160"/>
              <w:jc w:val="center"/>
              <w:rPr>
                <w:rtl/>
              </w:rPr>
            </w:pPr>
            <w:r w:rsidRPr="0025250D">
              <w:rPr>
                <w:rtl/>
              </w:rPr>
              <w:t>راهبرد</w:t>
            </w:r>
            <w:r w:rsidR="00537CC8" w:rsidRPr="0025250D">
              <w:rPr>
                <w:rtl/>
              </w:rPr>
              <w:t xml:space="preserve"> برند جهان</w:t>
            </w:r>
            <w:r w:rsidR="00537CC8" w:rsidRPr="0025250D">
              <w:rPr>
                <w:rFonts w:hint="cs"/>
                <w:rtl/>
              </w:rPr>
              <w:t>ی</w:t>
            </w:r>
            <w:r w:rsidR="00537CC8" w:rsidRPr="0025250D">
              <w:rPr>
                <w:rFonts w:hint="eastAsia"/>
                <w:rtl/>
              </w:rPr>
              <w:t>،</w:t>
            </w:r>
            <w:r w:rsidR="00537CC8" w:rsidRPr="0025250D">
              <w:rPr>
                <w:rtl/>
              </w:rPr>
              <w:t xml:space="preserve"> هو</w:t>
            </w:r>
            <w:r w:rsidR="00537CC8" w:rsidRPr="0025250D">
              <w:rPr>
                <w:rFonts w:hint="cs"/>
                <w:rtl/>
              </w:rPr>
              <w:t>ی</w:t>
            </w:r>
            <w:r w:rsidR="00537CC8" w:rsidRPr="0025250D">
              <w:rPr>
                <w:rFonts w:hint="eastAsia"/>
                <w:rtl/>
              </w:rPr>
              <w:t>ت</w:t>
            </w:r>
            <w:r w:rsidR="00537CC8" w:rsidRPr="0025250D">
              <w:rPr>
                <w:rtl/>
              </w:rPr>
              <w:t xml:space="preserve"> و مشاوره طراح</w:t>
            </w:r>
            <w:r w:rsidR="00537CC8" w:rsidRPr="0025250D">
              <w:rPr>
                <w:rFonts w:hint="cs"/>
                <w:rtl/>
              </w:rPr>
              <w:t>ی</w:t>
            </w:r>
            <w:r w:rsidR="00537CC8" w:rsidRPr="0025250D">
              <w:rPr>
                <w:rtl/>
              </w:rPr>
              <w:t>.</w:t>
            </w:r>
          </w:p>
        </w:tc>
        <w:tc>
          <w:tcPr>
            <w:tcW w:w="1409" w:type="dxa"/>
            <w:vAlign w:val="center"/>
          </w:tcPr>
          <w:p w14:paraId="62491513" w14:textId="77777777" w:rsidR="00537CC8" w:rsidRPr="0025250D" w:rsidRDefault="00537CC8" w:rsidP="00A07BC9">
            <w:pPr>
              <w:bidi/>
              <w:spacing w:after="160"/>
              <w:jc w:val="center"/>
              <w:rPr>
                <w:rtl/>
              </w:rPr>
            </w:pPr>
            <w:r w:rsidRPr="0025250D">
              <w:rPr>
                <w:rtl/>
              </w:rPr>
              <w:t>1 (ن</w:t>
            </w:r>
            <w:r w:rsidRPr="0025250D">
              <w:rPr>
                <w:rFonts w:hint="cs"/>
                <w:rtl/>
              </w:rPr>
              <w:t>ی</w:t>
            </w:r>
            <w:r w:rsidRPr="0025250D">
              <w:rPr>
                <w:rFonts w:hint="eastAsia"/>
                <w:rtl/>
              </w:rPr>
              <w:t>و</w:t>
            </w:r>
            <w:r w:rsidRPr="0025250D">
              <w:rPr>
                <w:rFonts w:hint="cs"/>
                <w:rtl/>
              </w:rPr>
              <w:t>ی</w:t>
            </w:r>
            <w:r w:rsidRPr="0025250D">
              <w:rPr>
                <w:rFonts w:hint="eastAsia"/>
                <w:rtl/>
              </w:rPr>
              <w:t>ورک</w:t>
            </w:r>
            <w:r w:rsidRPr="0025250D">
              <w:rPr>
                <w:rFonts w:hint="cs"/>
                <w:rtl/>
              </w:rPr>
              <w:t>)</w:t>
            </w:r>
          </w:p>
        </w:tc>
      </w:tr>
      <w:tr w:rsidR="00494960" w:rsidRPr="0025250D" w14:paraId="7A06750D" w14:textId="77777777" w:rsidTr="002925C9">
        <w:tc>
          <w:tcPr>
            <w:tcW w:w="1982" w:type="dxa"/>
            <w:vAlign w:val="center"/>
          </w:tcPr>
          <w:p w14:paraId="11C373D3" w14:textId="77777777" w:rsidR="00537CC8" w:rsidRPr="0025250D" w:rsidRDefault="007A207F" w:rsidP="00A07BC9">
            <w:pPr>
              <w:bidi/>
              <w:spacing w:after="160"/>
              <w:jc w:val="center"/>
              <w:rPr>
                <w:rtl/>
              </w:rPr>
            </w:pPr>
            <w:hyperlink r:id="rId323">
              <w:r w:rsidR="00537CC8" w:rsidRPr="0025250D">
                <w:rPr>
                  <w:rStyle w:val="Hyperlink"/>
                  <w:color w:val="auto"/>
                  <w:u w:val="none"/>
                </w:rPr>
                <w:t>Mars &amp; Co</w:t>
              </w:r>
            </w:hyperlink>
          </w:p>
        </w:tc>
        <w:tc>
          <w:tcPr>
            <w:tcW w:w="3969" w:type="dxa"/>
            <w:vAlign w:val="center"/>
          </w:tcPr>
          <w:p w14:paraId="123F1FCD" w14:textId="38A7A5CA" w:rsidR="00537CC8" w:rsidRPr="0025250D" w:rsidRDefault="00537CC8" w:rsidP="00A07BC9">
            <w:pPr>
              <w:bidi/>
              <w:spacing w:after="160"/>
              <w:jc w:val="center"/>
              <w:rPr>
                <w:rtl/>
              </w:rPr>
            </w:pPr>
            <w:r w:rsidRPr="0025250D">
              <w:rPr>
                <w:rtl/>
              </w:rPr>
              <w:t xml:space="preserve">مشاوره </w:t>
            </w:r>
            <w:r w:rsidR="00701E03" w:rsidRPr="0025250D">
              <w:rPr>
                <w:rtl/>
              </w:rPr>
              <w:t>راهبرد</w:t>
            </w:r>
            <w:r w:rsidRPr="0025250D">
              <w:rPr>
                <w:rtl/>
              </w:rPr>
              <w:t xml:space="preserve"> ب</w:t>
            </w:r>
            <w:r w:rsidRPr="0025250D">
              <w:rPr>
                <w:rFonts w:hint="cs"/>
                <w:rtl/>
              </w:rPr>
              <w:t>ی</w:t>
            </w:r>
            <w:r w:rsidRPr="0025250D">
              <w:rPr>
                <w:rFonts w:hint="eastAsia"/>
                <w:rtl/>
              </w:rPr>
              <w:t>ن</w:t>
            </w:r>
            <w:r w:rsidRPr="0025250D">
              <w:rPr>
                <w:rtl/>
              </w:rPr>
              <w:t xml:space="preserve"> الملل</w:t>
            </w:r>
            <w:r w:rsidRPr="0025250D">
              <w:rPr>
                <w:rFonts w:hint="cs"/>
                <w:rtl/>
              </w:rPr>
              <w:t>ی.</w:t>
            </w:r>
            <w:r w:rsidRPr="0025250D">
              <w:rPr>
                <w:rtl/>
              </w:rPr>
              <w:t xml:space="preserve"> مشتر</w:t>
            </w:r>
            <w:r w:rsidRPr="0025250D">
              <w:rPr>
                <w:rFonts w:hint="cs"/>
                <w:rtl/>
              </w:rPr>
              <w:t>ی محور</w:t>
            </w:r>
            <w:r w:rsidRPr="0025250D">
              <w:rPr>
                <w:rtl/>
              </w:rPr>
              <w:t>. 250 مشاور</w:t>
            </w:r>
          </w:p>
        </w:tc>
        <w:tc>
          <w:tcPr>
            <w:tcW w:w="1409" w:type="dxa"/>
            <w:vAlign w:val="center"/>
          </w:tcPr>
          <w:p w14:paraId="1AB3AD27" w14:textId="77777777" w:rsidR="00537CC8" w:rsidRPr="0025250D" w:rsidRDefault="00537CC8" w:rsidP="00A07BC9">
            <w:pPr>
              <w:bidi/>
              <w:spacing w:after="160"/>
              <w:jc w:val="center"/>
              <w:rPr>
                <w:rtl/>
              </w:rPr>
            </w:pPr>
            <w:r w:rsidRPr="0025250D">
              <w:rPr>
                <w:rtl/>
              </w:rPr>
              <w:t>1 (گر</w:t>
            </w:r>
            <w:r w:rsidRPr="0025250D">
              <w:rPr>
                <w:rFonts w:hint="cs"/>
                <w:rtl/>
              </w:rPr>
              <w:t>ی</w:t>
            </w:r>
            <w:r w:rsidRPr="0025250D">
              <w:rPr>
                <w:rFonts w:hint="eastAsia"/>
                <w:rtl/>
              </w:rPr>
              <w:t>نو</w:t>
            </w:r>
            <w:r w:rsidRPr="0025250D">
              <w:rPr>
                <w:rFonts w:hint="cs"/>
                <w:rtl/>
              </w:rPr>
              <w:t>ی</w:t>
            </w:r>
            <w:r w:rsidRPr="0025250D">
              <w:rPr>
                <w:rFonts w:hint="eastAsia"/>
                <w:rtl/>
              </w:rPr>
              <w:t>چ</w:t>
            </w:r>
            <w:r w:rsidRPr="0025250D">
              <w:rPr>
                <w:rFonts w:hint="cs"/>
                <w:rtl/>
              </w:rPr>
              <w:t>)</w:t>
            </w:r>
          </w:p>
        </w:tc>
      </w:tr>
      <w:tr w:rsidR="00494960" w:rsidRPr="0025250D" w14:paraId="4B09841B" w14:textId="77777777" w:rsidTr="002925C9">
        <w:tc>
          <w:tcPr>
            <w:tcW w:w="1982" w:type="dxa"/>
            <w:vAlign w:val="center"/>
          </w:tcPr>
          <w:p w14:paraId="64C5634A" w14:textId="77777777" w:rsidR="00537CC8" w:rsidRPr="0025250D" w:rsidRDefault="007A207F" w:rsidP="00A07BC9">
            <w:pPr>
              <w:bidi/>
              <w:spacing w:after="160"/>
              <w:jc w:val="center"/>
              <w:rPr>
                <w:rtl/>
              </w:rPr>
            </w:pPr>
            <w:hyperlink r:id="rId324">
              <w:r w:rsidR="00537CC8" w:rsidRPr="0025250D">
                <w:rPr>
                  <w:rStyle w:val="Hyperlink"/>
                  <w:color w:val="auto"/>
                  <w:u w:val="none"/>
                </w:rPr>
                <w:t>McKinsey &amp; Company</w:t>
              </w:r>
            </w:hyperlink>
          </w:p>
        </w:tc>
        <w:tc>
          <w:tcPr>
            <w:tcW w:w="3969" w:type="dxa"/>
            <w:vAlign w:val="center"/>
          </w:tcPr>
          <w:p w14:paraId="037EF98F" w14:textId="77777777" w:rsidR="00537CC8" w:rsidRPr="0025250D" w:rsidRDefault="00537CC8" w:rsidP="00A07BC9">
            <w:pPr>
              <w:bidi/>
              <w:spacing w:after="160"/>
              <w:jc w:val="center"/>
              <w:rPr>
                <w:rtl/>
              </w:rPr>
            </w:pPr>
            <w:r w:rsidRPr="0025250D">
              <w:rPr>
                <w:rtl/>
              </w:rPr>
              <w:t>رهبر مشاوره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جهان</w:t>
            </w:r>
            <w:r w:rsidRPr="0025250D">
              <w:rPr>
                <w:rFonts w:hint="cs"/>
                <w:rtl/>
              </w:rPr>
              <w:t>ی</w:t>
            </w:r>
            <w:r w:rsidRPr="0025250D">
              <w:rPr>
                <w:rtl/>
              </w:rPr>
              <w:t xml:space="preserve"> صنعت بزرگ و مطالعات جهان</w:t>
            </w:r>
            <w:r w:rsidRPr="0025250D">
              <w:rPr>
                <w:rFonts w:hint="cs"/>
                <w:rtl/>
              </w:rPr>
              <w:t>ی</w:t>
            </w:r>
            <w:r w:rsidRPr="0025250D">
              <w:rPr>
                <w:rtl/>
              </w:rPr>
              <w:t xml:space="preserve"> (موسسه جهان</w:t>
            </w:r>
            <w:r w:rsidRPr="0025250D">
              <w:rPr>
                <w:rFonts w:hint="cs"/>
                <w:rtl/>
              </w:rPr>
              <w:t>ی</w:t>
            </w:r>
            <w:r w:rsidRPr="0025250D">
              <w:rPr>
                <w:rtl/>
              </w:rPr>
              <w:t xml:space="preserve"> مک ک</w:t>
            </w:r>
            <w:r w:rsidRPr="0025250D">
              <w:rPr>
                <w:rFonts w:hint="cs"/>
                <w:rtl/>
              </w:rPr>
              <w:t>ی</w:t>
            </w:r>
            <w:r w:rsidRPr="0025250D">
              <w:rPr>
                <w:rFonts w:hint="eastAsia"/>
                <w:rtl/>
              </w:rPr>
              <w:t>نز</w:t>
            </w:r>
            <w:r w:rsidRPr="0025250D">
              <w:rPr>
                <w:rFonts w:hint="cs"/>
                <w:rtl/>
              </w:rPr>
              <w:t>ی</w:t>
            </w:r>
            <w:r w:rsidRPr="0025250D">
              <w:rPr>
                <w:rtl/>
              </w:rPr>
              <w:t>)</w:t>
            </w:r>
          </w:p>
        </w:tc>
        <w:tc>
          <w:tcPr>
            <w:tcW w:w="1409" w:type="dxa"/>
            <w:vAlign w:val="center"/>
          </w:tcPr>
          <w:p w14:paraId="3938971A" w14:textId="77777777" w:rsidR="00537CC8" w:rsidRPr="0025250D" w:rsidRDefault="00537CC8" w:rsidP="00A07BC9">
            <w:pPr>
              <w:bidi/>
              <w:spacing w:after="160"/>
              <w:jc w:val="center"/>
              <w:rPr>
                <w:rtl/>
              </w:rPr>
            </w:pPr>
            <w:r w:rsidRPr="0025250D">
              <w:rPr>
                <w:rtl/>
              </w:rPr>
              <w:t>1 (ن</w:t>
            </w:r>
            <w:r w:rsidRPr="0025250D">
              <w:rPr>
                <w:rFonts w:hint="cs"/>
                <w:rtl/>
              </w:rPr>
              <w:t>ی</w:t>
            </w:r>
            <w:r w:rsidRPr="0025250D">
              <w:rPr>
                <w:rFonts w:hint="eastAsia"/>
                <w:rtl/>
              </w:rPr>
              <w:t>و</w:t>
            </w:r>
            <w:r w:rsidRPr="0025250D">
              <w:rPr>
                <w:rFonts w:hint="cs"/>
                <w:rtl/>
              </w:rPr>
              <w:t>ی</w:t>
            </w:r>
            <w:r w:rsidRPr="0025250D">
              <w:rPr>
                <w:rFonts w:hint="eastAsia"/>
                <w:rtl/>
              </w:rPr>
              <w:t>ورک</w:t>
            </w:r>
            <w:r w:rsidRPr="0025250D">
              <w:rPr>
                <w:rFonts w:hint="cs"/>
                <w:rtl/>
              </w:rPr>
              <w:t>)</w:t>
            </w:r>
          </w:p>
        </w:tc>
      </w:tr>
      <w:tr w:rsidR="00494960" w:rsidRPr="0025250D" w14:paraId="5BE59E12" w14:textId="77777777" w:rsidTr="002925C9">
        <w:tc>
          <w:tcPr>
            <w:tcW w:w="1982" w:type="dxa"/>
            <w:vAlign w:val="center"/>
          </w:tcPr>
          <w:p w14:paraId="471DDA79" w14:textId="77777777" w:rsidR="00537CC8" w:rsidRPr="0025250D" w:rsidRDefault="007A207F" w:rsidP="00A07BC9">
            <w:pPr>
              <w:bidi/>
              <w:spacing w:after="160"/>
              <w:jc w:val="center"/>
              <w:rPr>
                <w:rtl/>
              </w:rPr>
            </w:pPr>
            <w:hyperlink r:id="rId325">
              <w:r w:rsidR="00537CC8" w:rsidRPr="0025250D">
                <w:rPr>
                  <w:rStyle w:val="Hyperlink"/>
                  <w:color w:val="auto"/>
                  <w:u w:val="none"/>
                </w:rPr>
                <w:t>Mercer HR Consulting</w:t>
              </w:r>
            </w:hyperlink>
          </w:p>
        </w:tc>
        <w:tc>
          <w:tcPr>
            <w:tcW w:w="3969" w:type="dxa"/>
            <w:vAlign w:val="center"/>
          </w:tcPr>
          <w:p w14:paraId="5F53258D" w14:textId="77777777" w:rsidR="00537CC8" w:rsidRPr="0025250D" w:rsidRDefault="00537CC8" w:rsidP="00A07BC9">
            <w:pPr>
              <w:bidi/>
              <w:spacing w:after="160"/>
              <w:jc w:val="center"/>
              <w:rPr>
                <w:rtl/>
              </w:rPr>
            </w:pPr>
            <w:r w:rsidRPr="0025250D">
              <w:rPr>
                <w:rtl/>
              </w:rPr>
              <w:t>مشاوره منابع انسان</w:t>
            </w:r>
            <w:r w:rsidRPr="0025250D">
              <w:rPr>
                <w:rFonts w:hint="cs"/>
                <w:rtl/>
              </w:rPr>
              <w:t>ی</w:t>
            </w:r>
            <w:r w:rsidRPr="0025250D">
              <w:rPr>
                <w:rtl/>
              </w:rPr>
              <w:t xml:space="preserve"> و خدمات مال</w:t>
            </w:r>
            <w:r w:rsidRPr="0025250D">
              <w:rPr>
                <w:rFonts w:hint="cs"/>
                <w:rtl/>
              </w:rPr>
              <w:t>ی</w:t>
            </w:r>
            <w:r w:rsidRPr="0025250D">
              <w:rPr>
                <w:rtl/>
              </w:rPr>
              <w:t xml:space="preserve"> جهان</w:t>
            </w:r>
            <w:r w:rsidRPr="0025250D">
              <w:rPr>
                <w:rFonts w:hint="cs"/>
                <w:rtl/>
              </w:rPr>
              <w:t>ی</w:t>
            </w:r>
          </w:p>
        </w:tc>
        <w:tc>
          <w:tcPr>
            <w:tcW w:w="1409" w:type="dxa"/>
            <w:vAlign w:val="center"/>
          </w:tcPr>
          <w:p w14:paraId="13D48B03" w14:textId="77777777" w:rsidR="00537CC8" w:rsidRPr="0025250D" w:rsidRDefault="00537CC8" w:rsidP="00A07BC9">
            <w:pPr>
              <w:bidi/>
              <w:spacing w:after="160"/>
              <w:jc w:val="center"/>
              <w:rPr>
                <w:rtl/>
              </w:rPr>
            </w:pPr>
            <w:r w:rsidRPr="0025250D">
              <w:rPr>
                <w:rtl/>
              </w:rPr>
              <w:t>1 (ن</w:t>
            </w:r>
            <w:r w:rsidRPr="0025250D">
              <w:rPr>
                <w:rFonts w:hint="cs"/>
                <w:rtl/>
              </w:rPr>
              <w:t>ی</w:t>
            </w:r>
            <w:r w:rsidRPr="0025250D">
              <w:rPr>
                <w:rFonts w:hint="eastAsia"/>
                <w:rtl/>
              </w:rPr>
              <w:t>و</w:t>
            </w:r>
            <w:r w:rsidRPr="0025250D">
              <w:rPr>
                <w:rFonts w:hint="cs"/>
                <w:rtl/>
              </w:rPr>
              <w:t>ی</w:t>
            </w:r>
            <w:r w:rsidRPr="0025250D">
              <w:rPr>
                <w:rFonts w:hint="eastAsia"/>
                <w:rtl/>
              </w:rPr>
              <w:t>ورک</w:t>
            </w:r>
            <w:r w:rsidRPr="0025250D">
              <w:rPr>
                <w:rFonts w:hint="cs"/>
                <w:rtl/>
              </w:rPr>
              <w:t>)</w:t>
            </w:r>
          </w:p>
        </w:tc>
      </w:tr>
      <w:tr w:rsidR="00494960" w:rsidRPr="0025250D" w14:paraId="0839B02E" w14:textId="77777777" w:rsidTr="002925C9">
        <w:tc>
          <w:tcPr>
            <w:tcW w:w="1982" w:type="dxa"/>
            <w:vAlign w:val="center"/>
          </w:tcPr>
          <w:p w14:paraId="12EE0A49" w14:textId="77777777" w:rsidR="00537CC8" w:rsidRPr="0025250D" w:rsidRDefault="007A207F" w:rsidP="00A07BC9">
            <w:pPr>
              <w:bidi/>
              <w:spacing w:after="160"/>
              <w:jc w:val="center"/>
              <w:rPr>
                <w:rtl/>
              </w:rPr>
            </w:pPr>
            <w:hyperlink r:id="rId326">
              <w:r w:rsidR="00537CC8" w:rsidRPr="0025250D">
                <w:rPr>
                  <w:rStyle w:val="Hyperlink"/>
                  <w:color w:val="auto"/>
                  <w:u w:val="none"/>
                </w:rPr>
                <w:t>Monitor Deloitte</w:t>
              </w:r>
            </w:hyperlink>
          </w:p>
        </w:tc>
        <w:tc>
          <w:tcPr>
            <w:tcW w:w="3969" w:type="dxa"/>
            <w:vAlign w:val="center"/>
          </w:tcPr>
          <w:p w14:paraId="510D3BA8" w14:textId="13336754" w:rsidR="00537CC8" w:rsidRPr="0025250D" w:rsidRDefault="00537CC8" w:rsidP="00A07BC9">
            <w:pPr>
              <w:bidi/>
              <w:spacing w:after="160"/>
              <w:jc w:val="center"/>
              <w:rPr>
                <w:rtl/>
              </w:rPr>
            </w:pPr>
            <w:r w:rsidRPr="0025250D">
              <w:rPr>
                <w:rFonts w:hint="cs"/>
                <w:rtl/>
              </w:rPr>
              <w:t xml:space="preserve">مدیریت </w:t>
            </w:r>
            <w:r w:rsidRPr="0025250D">
              <w:rPr>
                <w:rtl/>
              </w:rPr>
              <w:t xml:space="preserve">ارشد. </w:t>
            </w:r>
            <w:r w:rsidR="00701E03" w:rsidRPr="0025250D">
              <w:rPr>
                <w:rtl/>
              </w:rPr>
              <w:t>راهبرد</w:t>
            </w:r>
            <w:r w:rsidRPr="0025250D">
              <w:rPr>
                <w:rtl/>
              </w:rPr>
              <w:t xml:space="preserve"> و تحول </w:t>
            </w:r>
            <w:r w:rsidR="00B124DE" w:rsidRPr="0025250D">
              <w:rPr>
                <w:rtl/>
              </w:rPr>
              <w:t>کسب‌و‌کار</w:t>
            </w:r>
          </w:p>
        </w:tc>
        <w:tc>
          <w:tcPr>
            <w:tcW w:w="1409" w:type="dxa"/>
            <w:vAlign w:val="center"/>
          </w:tcPr>
          <w:p w14:paraId="03B66B29" w14:textId="77777777" w:rsidR="00537CC8" w:rsidRPr="0025250D" w:rsidRDefault="00537CC8" w:rsidP="00A07BC9">
            <w:pPr>
              <w:bidi/>
              <w:spacing w:after="160"/>
              <w:jc w:val="center"/>
              <w:rPr>
                <w:rtl/>
              </w:rPr>
            </w:pPr>
            <w:r w:rsidRPr="0025250D">
              <w:rPr>
                <w:rtl/>
              </w:rPr>
              <w:t>1 (کمبر</w:t>
            </w:r>
            <w:r w:rsidRPr="0025250D">
              <w:rPr>
                <w:rFonts w:hint="cs"/>
                <w:rtl/>
              </w:rPr>
              <w:t>ی</w:t>
            </w:r>
            <w:r w:rsidRPr="0025250D">
              <w:rPr>
                <w:rFonts w:hint="eastAsia"/>
                <w:rtl/>
              </w:rPr>
              <w:t>ج</w:t>
            </w:r>
            <w:r w:rsidRPr="0025250D">
              <w:rPr>
                <w:rFonts w:hint="cs"/>
                <w:rtl/>
              </w:rPr>
              <w:t>)</w:t>
            </w:r>
          </w:p>
        </w:tc>
      </w:tr>
      <w:tr w:rsidR="00494960" w:rsidRPr="0025250D" w14:paraId="78AD6502" w14:textId="77777777" w:rsidTr="002925C9">
        <w:tc>
          <w:tcPr>
            <w:tcW w:w="1982" w:type="dxa"/>
            <w:vAlign w:val="center"/>
          </w:tcPr>
          <w:p w14:paraId="37FFF3F6" w14:textId="0E210BE5" w:rsidR="00537CC8" w:rsidRPr="0025250D" w:rsidRDefault="007A207F" w:rsidP="00A07BC9">
            <w:pPr>
              <w:bidi/>
              <w:spacing w:after="160"/>
              <w:jc w:val="center"/>
              <w:rPr>
                <w:rtl/>
              </w:rPr>
            </w:pPr>
            <w:hyperlink r:id="rId327">
              <w:r w:rsidR="00537CC8" w:rsidRPr="0025250D">
                <w:rPr>
                  <w:rStyle w:val="Hyperlink"/>
                  <w:color w:val="auto"/>
                  <w:u w:val="none"/>
                </w:rPr>
                <w:t>Navigant</w:t>
              </w:r>
            </w:hyperlink>
            <w:r w:rsidR="00494960" w:rsidRPr="0025250D">
              <w:t xml:space="preserve"> </w:t>
            </w:r>
            <w:hyperlink r:id="rId328">
              <w:r w:rsidR="00537CC8" w:rsidRPr="0025250D">
                <w:rPr>
                  <w:rStyle w:val="Hyperlink"/>
                  <w:color w:val="auto"/>
                  <w:u w:val="none"/>
                </w:rPr>
                <w:t>Consulting</w:t>
              </w:r>
            </w:hyperlink>
          </w:p>
        </w:tc>
        <w:tc>
          <w:tcPr>
            <w:tcW w:w="3969" w:type="dxa"/>
            <w:vAlign w:val="center"/>
          </w:tcPr>
          <w:p w14:paraId="713EF4FD" w14:textId="77777777" w:rsidR="00537CC8" w:rsidRPr="0025250D" w:rsidRDefault="00537CC8" w:rsidP="00A07BC9">
            <w:pPr>
              <w:bidi/>
              <w:spacing w:after="160"/>
              <w:jc w:val="center"/>
              <w:rPr>
                <w:rtl/>
              </w:rPr>
            </w:pPr>
            <w:r w:rsidRPr="0025250D">
              <w:rPr>
                <w:rFonts w:hint="cs"/>
                <w:rtl/>
              </w:rPr>
              <w:t xml:space="preserve">مشاوره </w:t>
            </w:r>
            <w:r w:rsidRPr="0025250D">
              <w:rPr>
                <w:rtl/>
              </w:rPr>
              <w:t>اختلاف، تحق</w:t>
            </w:r>
            <w:r w:rsidRPr="0025250D">
              <w:rPr>
                <w:rFonts w:hint="cs"/>
                <w:rtl/>
              </w:rPr>
              <w:t>ی</w:t>
            </w:r>
            <w:r w:rsidRPr="0025250D">
              <w:rPr>
                <w:rFonts w:hint="eastAsia"/>
                <w:rtl/>
              </w:rPr>
              <w:t>ق،</w:t>
            </w:r>
            <w:r w:rsidRPr="0025250D">
              <w:rPr>
                <w:rtl/>
              </w:rPr>
              <w:t xml:space="preserve"> تنظ</w:t>
            </w:r>
            <w:r w:rsidRPr="0025250D">
              <w:rPr>
                <w:rFonts w:hint="cs"/>
                <w:rtl/>
              </w:rPr>
              <w:t>ی</w:t>
            </w:r>
            <w:r w:rsidRPr="0025250D">
              <w:rPr>
                <w:rFonts w:hint="eastAsia"/>
                <w:rtl/>
              </w:rPr>
              <w:t>م</w:t>
            </w:r>
            <w:r w:rsidRPr="0025250D">
              <w:rPr>
                <w:rFonts w:hint="cs"/>
                <w:rtl/>
              </w:rPr>
              <w:t xml:space="preserve"> و تقاضا</w:t>
            </w:r>
          </w:p>
        </w:tc>
        <w:tc>
          <w:tcPr>
            <w:tcW w:w="1409" w:type="dxa"/>
            <w:vAlign w:val="center"/>
          </w:tcPr>
          <w:p w14:paraId="174978D6" w14:textId="77777777" w:rsidR="00537CC8" w:rsidRPr="0025250D" w:rsidRDefault="00537CC8" w:rsidP="00A07BC9">
            <w:pPr>
              <w:bidi/>
              <w:spacing w:after="160"/>
              <w:jc w:val="center"/>
              <w:rPr>
                <w:rtl/>
              </w:rPr>
            </w:pPr>
            <w:r w:rsidRPr="0025250D">
              <w:rPr>
                <w:rtl/>
              </w:rPr>
              <w:t>1 (ش</w:t>
            </w:r>
            <w:r w:rsidRPr="0025250D">
              <w:rPr>
                <w:rFonts w:hint="cs"/>
                <w:rtl/>
              </w:rPr>
              <w:t>ی</w:t>
            </w:r>
            <w:r w:rsidRPr="0025250D">
              <w:rPr>
                <w:rFonts w:hint="eastAsia"/>
                <w:rtl/>
              </w:rPr>
              <w:t>کاگو</w:t>
            </w:r>
            <w:r w:rsidRPr="0025250D">
              <w:rPr>
                <w:rFonts w:hint="cs"/>
                <w:rtl/>
              </w:rPr>
              <w:t>)</w:t>
            </w:r>
          </w:p>
        </w:tc>
      </w:tr>
      <w:tr w:rsidR="00494960" w:rsidRPr="0025250D" w14:paraId="6A843099" w14:textId="77777777" w:rsidTr="002925C9">
        <w:tc>
          <w:tcPr>
            <w:tcW w:w="1982" w:type="dxa"/>
            <w:vAlign w:val="center"/>
          </w:tcPr>
          <w:p w14:paraId="05281AA0" w14:textId="26E6942D" w:rsidR="00537CC8" w:rsidRPr="0025250D" w:rsidRDefault="007A207F" w:rsidP="00A07BC9">
            <w:pPr>
              <w:bidi/>
              <w:spacing w:after="160"/>
              <w:jc w:val="center"/>
              <w:rPr>
                <w:rtl/>
              </w:rPr>
            </w:pPr>
            <w:hyperlink r:id="rId329">
              <w:r w:rsidR="00537CC8" w:rsidRPr="0025250D">
                <w:rPr>
                  <w:rStyle w:val="Hyperlink"/>
                  <w:color w:val="auto"/>
                  <w:u w:val="none"/>
                </w:rPr>
                <w:t>NERA</w:t>
              </w:r>
            </w:hyperlink>
            <w:r w:rsidR="00494960" w:rsidRPr="0025250D">
              <w:t xml:space="preserve"> </w:t>
            </w:r>
            <w:hyperlink r:id="rId330">
              <w:r w:rsidR="00537CC8" w:rsidRPr="0025250D">
                <w:rPr>
                  <w:rStyle w:val="Hyperlink"/>
                  <w:color w:val="auto"/>
                  <w:u w:val="none"/>
                </w:rPr>
                <w:t>Economic Consulting</w:t>
              </w:r>
            </w:hyperlink>
          </w:p>
        </w:tc>
        <w:tc>
          <w:tcPr>
            <w:tcW w:w="3969" w:type="dxa"/>
            <w:vAlign w:val="center"/>
          </w:tcPr>
          <w:p w14:paraId="6E922285" w14:textId="3373BC50" w:rsidR="00537CC8" w:rsidRPr="0025250D" w:rsidRDefault="00537CC8" w:rsidP="00A07BC9">
            <w:pPr>
              <w:bidi/>
              <w:spacing w:after="160"/>
              <w:jc w:val="center"/>
              <w:rPr>
                <w:rtl/>
              </w:rPr>
            </w:pPr>
            <w:r w:rsidRPr="0025250D">
              <w:rPr>
                <w:rtl/>
              </w:rPr>
              <w:t>تجز</w:t>
            </w:r>
            <w:r w:rsidRPr="0025250D">
              <w:rPr>
                <w:rFonts w:hint="cs"/>
                <w:rtl/>
              </w:rPr>
              <w:t>ی</w:t>
            </w:r>
            <w:r w:rsidRPr="0025250D">
              <w:rPr>
                <w:rFonts w:hint="eastAsia"/>
                <w:rtl/>
              </w:rPr>
              <w:t>ه</w:t>
            </w:r>
            <w:r w:rsidRPr="0025250D">
              <w:rPr>
                <w:rtl/>
              </w:rPr>
              <w:t xml:space="preserve"> و تحل</w:t>
            </w:r>
            <w:r w:rsidRPr="0025250D">
              <w:rPr>
                <w:rFonts w:hint="cs"/>
                <w:rtl/>
              </w:rPr>
              <w:t>ی</w:t>
            </w:r>
            <w:r w:rsidRPr="0025250D">
              <w:rPr>
                <w:rFonts w:hint="eastAsia"/>
                <w:rtl/>
              </w:rPr>
              <w:t>ل</w:t>
            </w:r>
            <w:r w:rsidRPr="0025250D">
              <w:rPr>
                <w:rtl/>
              </w:rPr>
              <w:t xml:space="preserve"> اقتصاد</w:t>
            </w:r>
            <w:r w:rsidRPr="0025250D">
              <w:rPr>
                <w:rFonts w:hint="cs"/>
                <w:rtl/>
              </w:rPr>
              <w:t>ی</w:t>
            </w:r>
            <w:r w:rsidRPr="0025250D">
              <w:rPr>
                <w:rFonts w:hint="eastAsia"/>
                <w:rtl/>
              </w:rPr>
              <w:t>،</w:t>
            </w:r>
            <w:r w:rsidRPr="0025250D">
              <w:rPr>
                <w:rtl/>
              </w:rPr>
              <w:t xml:space="preserve"> مشاوره</w:t>
            </w:r>
            <w:r w:rsidR="008D6F97" w:rsidRPr="0025250D">
              <w:rPr>
                <w:rtl/>
              </w:rPr>
              <w:t xml:space="preserve"> </w:t>
            </w:r>
            <w:r w:rsidRPr="0025250D">
              <w:rPr>
                <w:rtl/>
              </w:rPr>
              <w:t>و س</w:t>
            </w:r>
            <w:r w:rsidRPr="0025250D">
              <w:rPr>
                <w:rFonts w:hint="cs"/>
                <w:rtl/>
              </w:rPr>
              <w:t>ی</w:t>
            </w:r>
            <w:r w:rsidRPr="0025250D">
              <w:rPr>
                <w:rFonts w:hint="eastAsia"/>
                <w:rtl/>
              </w:rPr>
              <w:t>است</w:t>
            </w:r>
            <w:r w:rsidRPr="0025250D">
              <w:rPr>
                <w:rtl/>
              </w:rPr>
              <w:t xml:space="preserve"> برا</w:t>
            </w:r>
            <w:r w:rsidRPr="0025250D">
              <w:rPr>
                <w:rFonts w:hint="cs"/>
                <w:rtl/>
              </w:rPr>
              <w:t>ی</w:t>
            </w:r>
            <w:r w:rsidRPr="0025250D">
              <w:rPr>
                <w:rtl/>
              </w:rPr>
              <w:t xml:space="preserve"> </w:t>
            </w:r>
            <w:r w:rsidRPr="0025250D">
              <w:rPr>
                <w:rFonts w:hint="cs"/>
                <w:rtl/>
              </w:rPr>
              <w:t>ارتش</w:t>
            </w:r>
            <w:r w:rsidRPr="0025250D">
              <w:rPr>
                <w:rtl/>
              </w:rPr>
              <w:t xml:space="preserve"> و دولت.</w:t>
            </w:r>
          </w:p>
        </w:tc>
        <w:tc>
          <w:tcPr>
            <w:tcW w:w="1409" w:type="dxa"/>
            <w:vAlign w:val="center"/>
          </w:tcPr>
          <w:p w14:paraId="77434392" w14:textId="77777777" w:rsidR="00537CC8" w:rsidRPr="0025250D" w:rsidRDefault="00537CC8" w:rsidP="00A07BC9">
            <w:pPr>
              <w:bidi/>
              <w:spacing w:after="160"/>
              <w:jc w:val="center"/>
              <w:rPr>
                <w:rtl/>
              </w:rPr>
            </w:pPr>
            <w:r w:rsidRPr="0025250D">
              <w:rPr>
                <w:rtl/>
              </w:rPr>
              <w:t>1 (</w:t>
            </w:r>
            <w:r w:rsidRPr="0025250D">
              <w:t>SF</w:t>
            </w:r>
            <w:r w:rsidRPr="0025250D">
              <w:rPr>
                <w:rtl/>
              </w:rPr>
              <w:t xml:space="preserve">، </w:t>
            </w:r>
            <w:r w:rsidRPr="0025250D">
              <w:t>CA</w:t>
            </w:r>
            <w:r w:rsidRPr="0025250D">
              <w:rPr>
                <w:rtl/>
              </w:rPr>
              <w:t>)</w:t>
            </w:r>
          </w:p>
        </w:tc>
      </w:tr>
      <w:tr w:rsidR="00494960" w:rsidRPr="0025250D" w14:paraId="1EDDABE2" w14:textId="77777777" w:rsidTr="002925C9">
        <w:tc>
          <w:tcPr>
            <w:tcW w:w="1982" w:type="dxa"/>
            <w:vAlign w:val="center"/>
          </w:tcPr>
          <w:p w14:paraId="6C494176" w14:textId="77777777" w:rsidR="00537CC8" w:rsidRPr="0025250D" w:rsidRDefault="007A207F" w:rsidP="00A07BC9">
            <w:pPr>
              <w:bidi/>
              <w:spacing w:after="160"/>
              <w:jc w:val="center"/>
              <w:rPr>
                <w:rtl/>
              </w:rPr>
            </w:pPr>
            <w:hyperlink r:id="rId331">
              <w:r w:rsidR="00537CC8" w:rsidRPr="0025250D">
                <w:rPr>
                  <w:rStyle w:val="Hyperlink"/>
                  <w:color w:val="auto"/>
                  <w:u w:val="none"/>
                </w:rPr>
                <w:t>Oliver Wyman</w:t>
              </w:r>
            </w:hyperlink>
          </w:p>
        </w:tc>
        <w:tc>
          <w:tcPr>
            <w:tcW w:w="3969" w:type="dxa"/>
            <w:vAlign w:val="center"/>
          </w:tcPr>
          <w:p w14:paraId="51612A93" w14:textId="77777777" w:rsidR="00537CC8" w:rsidRPr="0025250D" w:rsidRDefault="00537CC8" w:rsidP="00A07BC9">
            <w:pPr>
              <w:bidi/>
              <w:spacing w:after="160"/>
              <w:jc w:val="center"/>
              <w:rPr>
                <w:rtl/>
              </w:rPr>
            </w:pPr>
            <w:r w:rsidRPr="0025250D">
              <w:rPr>
                <w:rtl/>
              </w:rPr>
              <w:t>رهبر مشاوره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جهان</w:t>
            </w:r>
            <w:r w:rsidRPr="0025250D">
              <w:rPr>
                <w:rFonts w:hint="cs"/>
                <w:rtl/>
              </w:rPr>
              <w:t>ی</w:t>
            </w:r>
          </w:p>
        </w:tc>
        <w:tc>
          <w:tcPr>
            <w:tcW w:w="1409" w:type="dxa"/>
            <w:vAlign w:val="center"/>
          </w:tcPr>
          <w:p w14:paraId="17AB3A06" w14:textId="77777777" w:rsidR="00537CC8" w:rsidRPr="0025250D" w:rsidRDefault="00537CC8" w:rsidP="00A07BC9">
            <w:pPr>
              <w:bidi/>
              <w:spacing w:after="160"/>
              <w:jc w:val="center"/>
              <w:rPr>
                <w:rtl/>
              </w:rPr>
            </w:pPr>
            <w:r w:rsidRPr="0025250D">
              <w:rPr>
                <w:rtl/>
              </w:rPr>
              <w:t>1 (</w:t>
            </w:r>
            <w:r w:rsidRPr="0025250D">
              <w:t>SF</w:t>
            </w:r>
            <w:r w:rsidRPr="0025250D">
              <w:rPr>
                <w:rtl/>
              </w:rPr>
              <w:t xml:space="preserve">، </w:t>
            </w:r>
            <w:r w:rsidRPr="0025250D">
              <w:t>CA</w:t>
            </w:r>
            <w:r w:rsidRPr="0025250D">
              <w:rPr>
                <w:rtl/>
              </w:rPr>
              <w:t>)</w:t>
            </w:r>
          </w:p>
        </w:tc>
      </w:tr>
      <w:tr w:rsidR="00494960" w:rsidRPr="0025250D" w14:paraId="68060841" w14:textId="77777777" w:rsidTr="002925C9">
        <w:tc>
          <w:tcPr>
            <w:tcW w:w="1982" w:type="dxa"/>
            <w:vAlign w:val="center"/>
          </w:tcPr>
          <w:p w14:paraId="5EC69973" w14:textId="08DA541A" w:rsidR="00537CC8" w:rsidRPr="0025250D" w:rsidRDefault="007A207F" w:rsidP="00A07BC9">
            <w:pPr>
              <w:bidi/>
              <w:spacing w:after="160"/>
              <w:jc w:val="center"/>
              <w:rPr>
                <w:rtl/>
              </w:rPr>
            </w:pPr>
            <w:hyperlink r:id="rId332">
              <w:r w:rsidR="00537CC8" w:rsidRPr="0025250D">
                <w:rPr>
                  <w:rStyle w:val="Hyperlink"/>
                  <w:color w:val="auto"/>
                  <w:u w:val="none"/>
                </w:rPr>
                <w:t>PA</w:t>
              </w:r>
            </w:hyperlink>
            <w:r w:rsidR="00494960" w:rsidRPr="0025250D">
              <w:t xml:space="preserve"> </w:t>
            </w:r>
            <w:hyperlink r:id="rId333">
              <w:r w:rsidR="00537CC8" w:rsidRPr="0025250D">
                <w:rPr>
                  <w:rStyle w:val="Hyperlink"/>
                  <w:color w:val="auto"/>
                  <w:u w:val="none"/>
                </w:rPr>
                <w:t>Consulting Group</w:t>
              </w:r>
            </w:hyperlink>
          </w:p>
        </w:tc>
        <w:tc>
          <w:tcPr>
            <w:tcW w:w="3969" w:type="dxa"/>
            <w:vAlign w:val="center"/>
          </w:tcPr>
          <w:p w14:paraId="03F9C67E" w14:textId="77777777" w:rsidR="00537CC8" w:rsidRPr="0025250D" w:rsidRDefault="00537CC8" w:rsidP="00A07BC9">
            <w:pPr>
              <w:bidi/>
              <w:spacing w:after="160"/>
              <w:jc w:val="center"/>
              <w:rPr>
                <w:rtl/>
              </w:rPr>
            </w:pPr>
            <w:r w:rsidRPr="0025250D">
              <w:rPr>
                <w:rtl/>
              </w:rPr>
              <w:t>راب گ</w:t>
            </w:r>
            <w:r w:rsidRPr="0025250D">
              <w:rPr>
                <w:rFonts w:hint="cs"/>
                <w:rtl/>
              </w:rPr>
              <w:t>ی</w:t>
            </w:r>
            <w:r w:rsidRPr="0025250D">
              <w:rPr>
                <w:rFonts w:hint="eastAsia"/>
                <w:rtl/>
              </w:rPr>
              <w:t>ر</w:t>
            </w:r>
            <w:r w:rsidRPr="0025250D">
              <w:rPr>
                <w:vertAlign w:val="superscript"/>
                <w:rtl/>
              </w:rPr>
              <w:footnoteReference w:id="3062"/>
            </w:r>
            <w:r w:rsidRPr="0025250D">
              <w:rPr>
                <w:rFonts w:hint="cs"/>
                <w:rtl/>
              </w:rPr>
              <w:t>؛</w:t>
            </w:r>
            <w:r w:rsidRPr="0025250D">
              <w:rPr>
                <w:rtl/>
              </w:rPr>
              <w:t xml:space="preserve"> مشاوره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فناور</w:t>
            </w:r>
            <w:r w:rsidRPr="0025250D">
              <w:rPr>
                <w:rFonts w:hint="cs"/>
                <w:rtl/>
              </w:rPr>
              <w:t>ی</w:t>
            </w:r>
            <w:r w:rsidRPr="0025250D">
              <w:rPr>
                <w:rtl/>
              </w:rPr>
              <w:t xml:space="preserve"> و نوآور</w:t>
            </w:r>
            <w:r w:rsidRPr="0025250D">
              <w:rPr>
                <w:rFonts w:hint="cs"/>
                <w:rtl/>
              </w:rPr>
              <w:t>ی</w:t>
            </w:r>
            <w:r w:rsidRPr="0025250D">
              <w:rPr>
                <w:rtl/>
              </w:rPr>
              <w:t>.</w:t>
            </w:r>
          </w:p>
        </w:tc>
        <w:tc>
          <w:tcPr>
            <w:tcW w:w="1409" w:type="dxa"/>
            <w:vAlign w:val="center"/>
          </w:tcPr>
          <w:p w14:paraId="204090F7" w14:textId="77777777" w:rsidR="00537CC8" w:rsidRPr="0025250D" w:rsidRDefault="00537CC8" w:rsidP="00A07BC9">
            <w:pPr>
              <w:bidi/>
              <w:spacing w:after="160"/>
              <w:jc w:val="center"/>
              <w:rPr>
                <w:rtl/>
              </w:rPr>
            </w:pPr>
            <w:r w:rsidRPr="0025250D">
              <w:rPr>
                <w:rtl/>
              </w:rPr>
              <w:t>3 (لندن</w:t>
            </w:r>
            <w:r w:rsidRPr="0025250D">
              <w:rPr>
                <w:rFonts w:hint="cs"/>
                <w:rtl/>
              </w:rPr>
              <w:t>)</w:t>
            </w:r>
          </w:p>
        </w:tc>
      </w:tr>
      <w:tr w:rsidR="00494960" w:rsidRPr="0025250D" w14:paraId="50124B22" w14:textId="77777777" w:rsidTr="002925C9">
        <w:tc>
          <w:tcPr>
            <w:tcW w:w="1982" w:type="dxa"/>
            <w:vAlign w:val="center"/>
          </w:tcPr>
          <w:p w14:paraId="4A778C1D" w14:textId="77777777" w:rsidR="00537CC8" w:rsidRPr="0025250D" w:rsidRDefault="007A207F" w:rsidP="00A07BC9">
            <w:pPr>
              <w:bidi/>
              <w:spacing w:after="160"/>
              <w:jc w:val="center"/>
              <w:rPr>
                <w:rtl/>
              </w:rPr>
            </w:pPr>
            <w:hyperlink r:id="rId334">
              <w:r w:rsidR="00537CC8" w:rsidRPr="0025250D">
                <w:rPr>
                  <w:rStyle w:val="Hyperlink"/>
                  <w:color w:val="auto"/>
                  <w:u w:val="none"/>
                </w:rPr>
                <w:t xml:space="preserve">Parthenon Group  </w:t>
              </w:r>
            </w:hyperlink>
          </w:p>
        </w:tc>
        <w:tc>
          <w:tcPr>
            <w:tcW w:w="3969" w:type="dxa"/>
            <w:vAlign w:val="center"/>
          </w:tcPr>
          <w:p w14:paraId="674720F4" w14:textId="1C62C48A" w:rsidR="00537CC8" w:rsidRPr="0025250D" w:rsidRDefault="00537CC8" w:rsidP="00A07BC9">
            <w:pPr>
              <w:bidi/>
              <w:spacing w:after="160"/>
              <w:jc w:val="center"/>
              <w:rPr>
                <w:rtl/>
              </w:rPr>
            </w:pPr>
            <w:r w:rsidRPr="0025250D">
              <w:rPr>
                <w:rtl/>
              </w:rPr>
              <w:t xml:space="preserve">مشاوران </w:t>
            </w:r>
            <w:r w:rsidR="00701E03" w:rsidRPr="0025250D">
              <w:rPr>
                <w:rtl/>
              </w:rPr>
              <w:t>راهبردی</w:t>
            </w:r>
            <w:r w:rsidRPr="0025250D">
              <w:rPr>
                <w:rtl/>
              </w:rPr>
              <w:t xml:space="preserve"> مد</w:t>
            </w:r>
            <w:r w:rsidRPr="0025250D">
              <w:rPr>
                <w:rFonts w:hint="cs"/>
                <w:rtl/>
              </w:rPr>
              <w:t>ی</w:t>
            </w:r>
            <w:r w:rsidRPr="0025250D">
              <w:rPr>
                <w:rFonts w:hint="eastAsia"/>
                <w:rtl/>
              </w:rPr>
              <w:t>ران</w:t>
            </w:r>
            <w:r w:rsidRPr="0025250D">
              <w:rPr>
                <w:rtl/>
              </w:rPr>
              <w:t xml:space="preserve"> عامل و رهبران</w:t>
            </w:r>
          </w:p>
        </w:tc>
        <w:tc>
          <w:tcPr>
            <w:tcW w:w="1409" w:type="dxa"/>
            <w:vAlign w:val="center"/>
          </w:tcPr>
          <w:p w14:paraId="2EC82A7A" w14:textId="77777777" w:rsidR="00537CC8" w:rsidRPr="0025250D" w:rsidRDefault="00537CC8" w:rsidP="00A07BC9">
            <w:pPr>
              <w:bidi/>
              <w:spacing w:after="160"/>
              <w:jc w:val="center"/>
              <w:rPr>
                <w:rtl/>
              </w:rPr>
            </w:pPr>
            <w:r w:rsidRPr="0025250D">
              <w:rPr>
                <w:rtl/>
              </w:rPr>
              <w:t>1 (</w:t>
            </w:r>
            <w:r w:rsidRPr="0025250D">
              <w:t>SF</w:t>
            </w:r>
            <w:r w:rsidRPr="0025250D">
              <w:rPr>
                <w:rtl/>
              </w:rPr>
              <w:t xml:space="preserve">، </w:t>
            </w:r>
            <w:r w:rsidRPr="0025250D">
              <w:t>CA</w:t>
            </w:r>
            <w:r w:rsidRPr="0025250D">
              <w:rPr>
                <w:rtl/>
              </w:rPr>
              <w:t>)</w:t>
            </w:r>
          </w:p>
        </w:tc>
      </w:tr>
      <w:tr w:rsidR="00494960" w:rsidRPr="0025250D" w14:paraId="316B9614" w14:textId="77777777" w:rsidTr="002925C9">
        <w:tc>
          <w:tcPr>
            <w:tcW w:w="1982" w:type="dxa"/>
            <w:vAlign w:val="center"/>
          </w:tcPr>
          <w:p w14:paraId="68D935C2" w14:textId="77777777" w:rsidR="00537CC8" w:rsidRPr="0025250D" w:rsidRDefault="007A207F" w:rsidP="00A07BC9">
            <w:pPr>
              <w:bidi/>
              <w:spacing w:after="160"/>
              <w:jc w:val="center"/>
              <w:rPr>
                <w:rtl/>
              </w:rPr>
            </w:pPr>
            <w:hyperlink r:id="rId335">
              <w:r w:rsidR="00537CC8" w:rsidRPr="0025250D">
                <w:rPr>
                  <w:rStyle w:val="Hyperlink"/>
                  <w:color w:val="auto"/>
                  <w:u w:val="none"/>
                </w:rPr>
                <w:t>Price Waterhouse Coopers</w:t>
              </w:r>
            </w:hyperlink>
          </w:p>
        </w:tc>
        <w:tc>
          <w:tcPr>
            <w:tcW w:w="3969" w:type="dxa"/>
            <w:vAlign w:val="center"/>
          </w:tcPr>
          <w:p w14:paraId="6FF04E95" w14:textId="43977510" w:rsidR="00537CC8" w:rsidRPr="0025250D" w:rsidRDefault="00537CC8" w:rsidP="00A07BC9">
            <w:pPr>
              <w:bidi/>
              <w:spacing w:after="160"/>
              <w:jc w:val="center"/>
              <w:rPr>
                <w:rtl/>
              </w:rPr>
            </w:pPr>
            <w:r w:rsidRPr="0025250D">
              <w:rPr>
                <w:rtl/>
              </w:rPr>
              <w:t>خدمات حرفه‌ای جهان</w:t>
            </w:r>
            <w:r w:rsidRPr="0025250D">
              <w:rPr>
                <w:rFonts w:hint="cs"/>
                <w:rtl/>
              </w:rPr>
              <w:t>ی</w:t>
            </w:r>
            <w:r w:rsidRPr="0025250D">
              <w:rPr>
                <w:rtl/>
              </w:rPr>
              <w:t xml:space="preserve"> و شرکت مشاوره </w:t>
            </w:r>
            <w:r w:rsidR="00701E03" w:rsidRPr="0025250D">
              <w:rPr>
                <w:rtl/>
              </w:rPr>
              <w:t>راهبرد</w:t>
            </w:r>
          </w:p>
        </w:tc>
        <w:tc>
          <w:tcPr>
            <w:tcW w:w="1409" w:type="dxa"/>
            <w:vAlign w:val="center"/>
          </w:tcPr>
          <w:p w14:paraId="710394AD" w14:textId="77777777" w:rsidR="00537CC8" w:rsidRPr="0025250D" w:rsidRDefault="00537CC8" w:rsidP="00A07BC9">
            <w:pPr>
              <w:bidi/>
              <w:spacing w:after="160"/>
              <w:jc w:val="center"/>
              <w:rPr>
                <w:rtl/>
              </w:rPr>
            </w:pPr>
            <w:r w:rsidRPr="0025250D">
              <w:rPr>
                <w:rtl/>
              </w:rPr>
              <w:t>3 (لندن</w:t>
            </w:r>
            <w:r w:rsidRPr="0025250D">
              <w:rPr>
                <w:rFonts w:hint="cs"/>
                <w:rtl/>
              </w:rPr>
              <w:t>)</w:t>
            </w:r>
          </w:p>
        </w:tc>
      </w:tr>
      <w:tr w:rsidR="00494960" w:rsidRPr="0025250D" w14:paraId="5EB988C0" w14:textId="77777777" w:rsidTr="002925C9">
        <w:tc>
          <w:tcPr>
            <w:tcW w:w="1982" w:type="dxa"/>
            <w:vAlign w:val="center"/>
          </w:tcPr>
          <w:p w14:paraId="07694008" w14:textId="77777777" w:rsidR="00537CC8" w:rsidRPr="0025250D" w:rsidRDefault="007A207F" w:rsidP="00A07BC9">
            <w:pPr>
              <w:bidi/>
              <w:spacing w:after="160"/>
              <w:jc w:val="center"/>
              <w:rPr>
                <w:rtl/>
              </w:rPr>
            </w:pPr>
            <w:hyperlink r:id="rId336">
              <w:r w:rsidR="00537CC8" w:rsidRPr="0025250D">
                <w:rPr>
                  <w:rStyle w:val="Hyperlink"/>
                  <w:color w:val="auto"/>
                  <w:u w:val="none"/>
                </w:rPr>
                <w:t>Putnam Associates</w:t>
              </w:r>
            </w:hyperlink>
          </w:p>
        </w:tc>
        <w:tc>
          <w:tcPr>
            <w:tcW w:w="3969" w:type="dxa"/>
            <w:vAlign w:val="center"/>
          </w:tcPr>
          <w:p w14:paraId="6BCA204F" w14:textId="186D285A" w:rsidR="00537CC8" w:rsidRPr="0025250D" w:rsidRDefault="00537CC8" w:rsidP="00A07BC9">
            <w:pPr>
              <w:bidi/>
              <w:spacing w:after="160"/>
              <w:jc w:val="center"/>
              <w:rPr>
                <w:rtl/>
              </w:rPr>
            </w:pPr>
            <w:r w:rsidRPr="0025250D">
              <w:rPr>
                <w:rtl/>
              </w:rPr>
              <w:t>مشاوره داروساز</w:t>
            </w:r>
            <w:r w:rsidRPr="0025250D">
              <w:rPr>
                <w:rFonts w:hint="cs"/>
                <w:rtl/>
              </w:rPr>
              <w:t>ی</w:t>
            </w:r>
            <w:r w:rsidRPr="0025250D">
              <w:rPr>
                <w:rFonts w:hint="eastAsia"/>
                <w:rtl/>
              </w:rPr>
              <w:t>،</w:t>
            </w:r>
            <w:r w:rsidRPr="0025250D">
              <w:rPr>
                <w:rtl/>
              </w:rPr>
              <w:t xml:space="preserve"> </w:t>
            </w:r>
            <w:r w:rsidR="007A53FD" w:rsidRPr="0025250D">
              <w:rPr>
                <w:rtl/>
              </w:rPr>
              <w:t>زیست‌فناوری</w:t>
            </w:r>
            <w:r w:rsidRPr="0025250D">
              <w:rPr>
                <w:rtl/>
              </w:rPr>
              <w:t xml:space="preserve"> و تجه</w:t>
            </w:r>
            <w:r w:rsidRPr="0025250D">
              <w:rPr>
                <w:rFonts w:hint="cs"/>
                <w:rtl/>
              </w:rPr>
              <w:t>ی</w:t>
            </w:r>
            <w:r w:rsidRPr="0025250D">
              <w:rPr>
                <w:rFonts w:hint="eastAsia"/>
                <w:rtl/>
              </w:rPr>
              <w:t>زات</w:t>
            </w:r>
            <w:r w:rsidRPr="0025250D">
              <w:rPr>
                <w:rtl/>
              </w:rPr>
              <w:t xml:space="preserve"> پزشک</w:t>
            </w:r>
            <w:r w:rsidRPr="0025250D">
              <w:rPr>
                <w:rFonts w:hint="cs"/>
                <w:rtl/>
              </w:rPr>
              <w:t>ی</w:t>
            </w:r>
          </w:p>
        </w:tc>
        <w:tc>
          <w:tcPr>
            <w:tcW w:w="1409" w:type="dxa"/>
            <w:vAlign w:val="center"/>
          </w:tcPr>
          <w:p w14:paraId="444679C0" w14:textId="77777777" w:rsidR="00537CC8" w:rsidRPr="0025250D" w:rsidRDefault="00537CC8" w:rsidP="00A07BC9">
            <w:pPr>
              <w:bidi/>
              <w:spacing w:after="160"/>
              <w:jc w:val="center"/>
              <w:rPr>
                <w:rtl/>
              </w:rPr>
            </w:pPr>
            <w:r w:rsidRPr="0025250D">
              <w:rPr>
                <w:rtl/>
              </w:rPr>
              <w:t>1 (برل</w:t>
            </w:r>
            <w:r w:rsidRPr="0025250D">
              <w:rPr>
                <w:rFonts w:hint="cs"/>
                <w:rtl/>
              </w:rPr>
              <w:t>ی</w:t>
            </w:r>
            <w:r w:rsidRPr="0025250D">
              <w:rPr>
                <w:rFonts w:hint="eastAsia"/>
                <w:rtl/>
              </w:rPr>
              <w:t>نگتون</w:t>
            </w:r>
            <w:r w:rsidRPr="0025250D">
              <w:rPr>
                <w:rFonts w:hint="cs"/>
                <w:rtl/>
              </w:rPr>
              <w:t>)</w:t>
            </w:r>
          </w:p>
        </w:tc>
      </w:tr>
      <w:tr w:rsidR="00494960" w:rsidRPr="0025250D" w14:paraId="0FBA72D4" w14:textId="77777777" w:rsidTr="002925C9">
        <w:tc>
          <w:tcPr>
            <w:tcW w:w="1982" w:type="dxa"/>
            <w:vAlign w:val="center"/>
          </w:tcPr>
          <w:p w14:paraId="0EC00AF7" w14:textId="77777777" w:rsidR="00537CC8" w:rsidRPr="0025250D" w:rsidRDefault="007A207F" w:rsidP="00A07BC9">
            <w:pPr>
              <w:bidi/>
              <w:spacing w:after="160"/>
              <w:jc w:val="center"/>
              <w:rPr>
                <w:rtl/>
              </w:rPr>
            </w:pPr>
            <w:hyperlink r:id="rId337">
              <w:r w:rsidR="00537CC8" w:rsidRPr="0025250D">
                <w:rPr>
                  <w:rStyle w:val="Hyperlink"/>
                  <w:color w:val="auto"/>
                  <w:u w:val="none"/>
                </w:rPr>
                <w:t>Roland Berger Strat. Consults</w:t>
              </w:r>
            </w:hyperlink>
          </w:p>
        </w:tc>
        <w:tc>
          <w:tcPr>
            <w:tcW w:w="3969" w:type="dxa"/>
            <w:vAlign w:val="center"/>
          </w:tcPr>
          <w:p w14:paraId="787157B4" w14:textId="62836AC2" w:rsidR="00537CC8" w:rsidRPr="0025250D" w:rsidRDefault="00537CC8" w:rsidP="00A07BC9">
            <w:pPr>
              <w:bidi/>
              <w:spacing w:after="160"/>
              <w:jc w:val="center"/>
              <w:rPr>
                <w:rtl/>
              </w:rPr>
            </w:pPr>
            <w:r w:rsidRPr="0025250D">
              <w:rPr>
                <w:rtl/>
              </w:rPr>
              <w:t xml:space="preserve">مشاوره </w:t>
            </w:r>
            <w:r w:rsidR="00701E03" w:rsidRPr="0025250D">
              <w:rPr>
                <w:rtl/>
              </w:rPr>
              <w:t>راهبرد</w:t>
            </w:r>
            <w:r w:rsidRPr="0025250D">
              <w:rPr>
                <w:rtl/>
              </w:rPr>
              <w:t xml:space="preserve"> جهان</w:t>
            </w:r>
            <w:r w:rsidRPr="0025250D">
              <w:rPr>
                <w:rFonts w:hint="cs"/>
                <w:rtl/>
              </w:rPr>
              <w:t>ی.</w:t>
            </w:r>
            <w:r w:rsidRPr="0025250D">
              <w:rPr>
                <w:rtl/>
              </w:rPr>
              <w:t xml:space="preserve"> 250 شر</w:t>
            </w:r>
            <w:r w:rsidRPr="0025250D">
              <w:rPr>
                <w:rFonts w:hint="cs"/>
                <w:rtl/>
              </w:rPr>
              <w:t>ی</w:t>
            </w:r>
            <w:r w:rsidRPr="0025250D">
              <w:rPr>
                <w:rFonts w:hint="eastAsia"/>
                <w:rtl/>
              </w:rPr>
              <w:t>ک</w:t>
            </w:r>
            <w:r w:rsidRPr="0025250D">
              <w:rPr>
                <w:rtl/>
              </w:rPr>
              <w:t>.</w:t>
            </w:r>
          </w:p>
        </w:tc>
        <w:tc>
          <w:tcPr>
            <w:tcW w:w="1409" w:type="dxa"/>
            <w:vAlign w:val="center"/>
          </w:tcPr>
          <w:p w14:paraId="2F3E9A83" w14:textId="77777777" w:rsidR="00537CC8" w:rsidRPr="0025250D" w:rsidRDefault="00537CC8" w:rsidP="00A07BC9">
            <w:pPr>
              <w:bidi/>
              <w:spacing w:after="160"/>
              <w:jc w:val="center"/>
              <w:rPr>
                <w:rtl/>
              </w:rPr>
            </w:pPr>
            <w:r w:rsidRPr="0025250D">
              <w:rPr>
                <w:rtl/>
              </w:rPr>
              <w:t>3 (مون</w:t>
            </w:r>
            <w:r w:rsidRPr="0025250D">
              <w:rPr>
                <w:rFonts w:hint="cs"/>
                <w:rtl/>
              </w:rPr>
              <w:t>ی</w:t>
            </w:r>
            <w:r w:rsidRPr="0025250D">
              <w:rPr>
                <w:rFonts w:hint="eastAsia"/>
                <w:rtl/>
              </w:rPr>
              <w:t>خ،</w:t>
            </w:r>
            <w:r w:rsidRPr="0025250D">
              <w:rPr>
                <w:rtl/>
              </w:rPr>
              <w:t xml:space="preserve"> آلمان)</w:t>
            </w:r>
          </w:p>
        </w:tc>
      </w:tr>
      <w:tr w:rsidR="00494960" w:rsidRPr="0025250D" w14:paraId="0B8E59F2" w14:textId="77777777" w:rsidTr="002925C9">
        <w:tc>
          <w:tcPr>
            <w:tcW w:w="1982" w:type="dxa"/>
            <w:vAlign w:val="center"/>
          </w:tcPr>
          <w:p w14:paraId="7ED3DD51" w14:textId="77777777" w:rsidR="00537CC8" w:rsidRPr="0025250D" w:rsidRDefault="007A207F" w:rsidP="00A07BC9">
            <w:pPr>
              <w:bidi/>
              <w:spacing w:after="160"/>
              <w:jc w:val="center"/>
              <w:rPr>
                <w:rtl/>
              </w:rPr>
            </w:pPr>
            <w:hyperlink r:id="rId338">
              <w:r w:rsidR="00537CC8" w:rsidRPr="0025250D">
                <w:rPr>
                  <w:rStyle w:val="Hyperlink"/>
                  <w:color w:val="auto"/>
                  <w:u w:val="none"/>
                </w:rPr>
                <w:t>Strategic Business Insights</w:t>
              </w:r>
            </w:hyperlink>
          </w:p>
        </w:tc>
        <w:tc>
          <w:tcPr>
            <w:tcW w:w="3969" w:type="dxa"/>
            <w:vAlign w:val="center"/>
          </w:tcPr>
          <w:p w14:paraId="20DE765F" w14:textId="6E95E2C5" w:rsidR="00537CC8" w:rsidRPr="0025250D" w:rsidRDefault="00537CC8" w:rsidP="00A07BC9">
            <w:pPr>
              <w:bidi/>
              <w:spacing w:after="160"/>
              <w:jc w:val="center"/>
              <w:rPr>
                <w:rtl/>
              </w:rPr>
            </w:pPr>
            <w:r w:rsidRPr="0025250D">
              <w:rPr>
                <w:rtl/>
              </w:rPr>
              <w:t>اسپ</w:t>
            </w:r>
            <w:r w:rsidRPr="0025250D">
              <w:rPr>
                <w:rFonts w:hint="cs"/>
                <w:rtl/>
              </w:rPr>
              <w:t>ی</w:t>
            </w:r>
            <w:r w:rsidRPr="0025250D">
              <w:rPr>
                <w:rFonts w:hint="eastAsia"/>
                <w:rtl/>
              </w:rPr>
              <w:t>نوف</w:t>
            </w:r>
            <w:r w:rsidRPr="0025250D">
              <w:rPr>
                <w:rtl/>
              </w:rPr>
              <w:t xml:space="preserve"> </w:t>
            </w:r>
            <w:r w:rsidRPr="0025250D">
              <w:t>SRI</w:t>
            </w:r>
            <w:r w:rsidRPr="0025250D">
              <w:rPr>
                <w:rtl/>
              </w:rPr>
              <w:t xml:space="preserve">. </w:t>
            </w:r>
            <w:r w:rsidR="00B124DE" w:rsidRPr="0025250D">
              <w:rPr>
                <w:rtl/>
              </w:rPr>
              <w:t>برنامه‌ریزی</w:t>
            </w:r>
            <w:r w:rsidRPr="0025250D">
              <w:rPr>
                <w:rtl/>
              </w:rPr>
              <w:t xml:space="preserve"> </w:t>
            </w:r>
            <w:r w:rsidR="007A53FD" w:rsidRPr="0025250D">
              <w:rPr>
                <w:rtl/>
              </w:rPr>
              <w:t>فرانامه</w:t>
            </w:r>
            <w:r w:rsidRPr="0025250D">
              <w:rPr>
                <w:rFonts w:hint="eastAsia"/>
                <w:rtl/>
              </w:rPr>
              <w:t>،</w:t>
            </w:r>
            <w:r w:rsidRPr="0025250D">
              <w:rPr>
                <w:rtl/>
              </w:rPr>
              <w:t xml:space="preserve"> نقشه راه </w:t>
            </w:r>
            <w:r w:rsidR="00701E03" w:rsidRPr="0025250D">
              <w:rPr>
                <w:rtl/>
              </w:rPr>
              <w:t>راهبردی</w:t>
            </w:r>
            <w:r w:rsidRPr="0025250D">
              <w:rPr>
                <w:rFonts w:hint="eastAsia"/>
                <w:rtl/>
              </w:rPr>
              <w:t>،</w:t>
            </w:r>
            <w:r w:rsidRPr="0025250D">
              <w:rPr>
                <w:rtl/>
              </w:rPr>
              <w:t xml:space="preserve"> آینده‌</w:t>
            </w:r>
            <w:r w:rsidR="00664E33" w:rsidRPr="0025250D">
              <w:rPr>
                <w:rtl/>
              </w:rPr>
              <w:t>نگار</w:t>
            </w:r>
            <w:r w:rsidRPr="0025250D">
              <w:rPr>
                <w:rtl/>
              </w:rPr>
              <w:t>ی.</w:t>
            </w:r>
          </w:p>
        </w:tc>
        <w:tc>
          <w:tcPr>
            <w:tcW w:w="1409" w:type="dxa"/>
            <w:vAlign w:val="center"/>
          </w:tcPr>
          <w:p w14:paraId="116FDD6D" w14:textId="77777777" w:rsidR="00537CC8" w:rsidRPr="0025250D" w:rsidRDefault="00537CC8" w:rsidP="00A07BC9">
            <w:pPr>
              <w:bidi/>
              <w:spacing w:after="160"/>
              <w:jc w:val="center"/>
              <w:rPr>
                <w:rtl/>
              </w:rPr>
            </w:pPr>
            <w:r w:rsidRPr="0025250D">
              <w:rPr>
                <w:rtl/>
              </w:rPr>
              <w:t>1 (منلو پارک</w:t>
            </w:r>
            <w:r w:rsidRPr="0025250D">
              <w:rPr>
                <w:rFonts w:hint="cs"/>
                <w:rtl/>
              </w:rPr>
              <w:t>)</w:t>
            </w:r>
          </w:p>
        </w:tc>
      </w:tr>
      <w:tr w:rsidR="00494960" w:rsidRPr="0025250D" w14:paraId="1E690AB3" w14:textId="77777777" w:rsidTr="002925C9">
        <w:tc>
          <w:tcPr>
            <w:tcW w:w="1982" w:type="dxa"/>
            <w:vAlign w:val="center"/>
          </w:tcPr>
          <w:p w14:paraId="6F1D46FE" w14:textId="77777777" w:rsidR="00537CC8" w:rsidRPr="0025250D" w:rsidRDefault="007A207F" w:rsidP="00A07BC9">
            <w:pPr>
              <w:bidi/>
              <w:spacing w:after="160"/>
              <w:jc w:val="center"/>
              <w:rPr>
                <w:rtl/>
              </w:rPr>
            </w:pPr>
            <w:hyperlink r:id="rId339">
              <w:r w:rsidR="00537CC8" w:rsidRPr="0025250D">
                <w:rPr>
                  <w:rStyle w:val="Hyperlink"/>
                  <w:color w:val="auto"/>
                  <w:u w:val="none"/>
                </w:rPr>
                <w:t>TeleTech</w:t>
              </w:r>
            </w:hyperlink>
          </w:p>
        </w:tc>
        <w:tc>
          <w:tcPr>
            <w:tcW w:w="3969" w:type="dxa"/>
            <w:vAlign w:val="center"/>
          </w:tcPr>
          <w:p w14:paraId="51397350" w14:textId="17091EA2" w:rsidR="00537CC8" w:rsidRPr="0025250D" w:rsidRDefault="00537CC8" w:rsidP="00A07BC9">
            <w:pPr>
              <w:bidi/>
              <w:spacing w:after="160"/>
              <w:jc w:val="center"/>
              <w:rPr>
                <w:rtl/>
              </w:rPr>
            </w:pPr>
            <w:r w:rsidRPr="0025250D">
              <w:rPr>
                <w:rtl/>
              </w:rPr>
              <w:t>برون سپار</w:t>
            </w:r>
            <w:r w:rsidRPr="0025250D">
              <w:rPr>
                <w:rFonts w:hint="cs"/>
                <w:rtl/>
              </w:rPr>
              <w:t>ی</w:t>
            </w:r>
            <w:r w:rsidRPr="0025250D">
              <w:rPr>
                <w:rtl/>
              </w:rPr>
              <w:t xml:space="preserve"> فرآ</w:t>
            </w:r>
            <w:r w:rsidRPr="0025250D">
              <w:rPr>
                <w:rFonts w:hint="cs"/>
                <w:rtl/>
              </w:rPr>
              <w:t>ی</w:t>
            </w:r>
            <w:r w:rsidRPr="0025250D">
              <w:rPr>
                <w:rFonts w:hint="eastAsia"/>
                <w:rtl/>
              </w:rPr>
              <w:t>ندها</w:t>
            </w:r>
            <w:r w:rsidRPr="0025250D">
              <w:rPr>
                <w:rFonts w:hint="cs"/>
                <w:rtl/>
              </w:rPr>
              <w:t>ی</w:t>
            </w:r>
            <w:r w:rsidRPr="0025250D">
              <w:rPr>
                <w:rtl/>
              </w:rPr>
              <w:t xml:space="preserve"> </w:t>
            </w:r>
            <w:r w:rsidR="00B124DE" w:rsidRPr="0025250D">
              <w:rPr>
                <w:rtl/>
              </w:rPr>
              <w:t>کسب‌و‌کار</w:t>
            </w:r>
            <w:r w:rsidRPr="0025250D">
              <w:rPr>
                <w:rtl/>
              </w:rPr>
              <w:t xml:space="preserve"> جهان</w:t>
            </w:r>
            <w:r w:rsidRPr="0025250D">
              <w:rPr>
                <w:rFonts w:hint="cs"/>
                <w:rtl/>
              </w:rPr>
              <w:t>ی</w:t>
            </w:r>
          </w:p>
        </w:tc>
        <w:tc>
          <w:tcPr>
            <w:tcW w:w="1409" w:type="dxa"/>
            <w:vAlign w:val="center"/>
          </w:tcPr>
          <w:p w14:paraId="2409936A" w14:textId="77777777" w:rsidR="00537CC8" w:rsidRPr="0025250D" w:rsidRDefault="00537CC8" w:rsidP="00A07BC9">
            <w:pPr>
              <w:bidi/>
              <w:spacing w:after="160"/>
              <w:jc w:val="center"/>
              <w:rPr>
                <w:rtl/>
              </w:rPr>
            </w:pPr>
            <w:r w:rsidRPr="0025250D">
              <w:rPr>
                <w:rtl/>
              </w:rPr>
              <w:t>1 (انگلوود</w:t>
            </w:r>
            <w:r w:rsidRPr="0025250D">
              <w:rPr>
                <w:rFonts w:hint="cs"/>
                <w:rtl/>
              </w:rPr>
              <w:t>)</w:t>
            </w:r>
          </w:p>
        </w:tc>
      </w:tr>
      <w:tr w:rsidR="00494960" w:rsidRPr="0025250D" w14:paraId="2C4E30F6" w14:textId="77777777" w:rsidTr="002925C9">
        <w:tc>
          <w:tcPr>
            <w:tcW w:w="1982" w:type="dxa"/>
            <w:vAlign w:val="center"/>
          </w:tcPr>
          <w:p w14:paraId="3ECC298D" w14:textId="77777777" w:rsidR="00537CC8" w:rsidRPr="0025250D" w:rsidRDefault="007A207F" w:rsidP="00A07BC9">
            <w:pPr>
              <w:bidi/>
              <w:spacing w:after="160"/>
              <w:jc w:val="center"/>
              <w:rPr>
                <w:rtl/>
              </w:rPr>
            </w:pPr>
            <w:hyperlink r:id="rId340">
              <w:r w:rsidR="00537CC8" w:rsidRPr="0025250D">
                <w:rPr>
                  <w:rStyle w:val="Hyperlink"/>
                  <w:color w:val="auto"/>
                  <w:u w:val="none"/>
                </w:rPr>
                <w:t>Towers Watson</w:t>
              </w:r>
            </w:hyperlink>
          </w:p>
        </w:tc>
        <w:tc>
          <w:tcPr>
            <w:tcW w:w="3969" w:type="dxa"/>
            <w:vAlign w:val="center"/>
          </w:tcPr>
          <w:p w14:paraId="3962ECBA" w14:textId="77777777" w:rsidR="00537CC8" w:rsidRPr="0025250D" w:rsidRDefault="00537CC8" w:rsidP="00A07BC9">
            <w:pPr>
              <w:bidi/>
              <w:spacing w:after="160"/>
              <w:jc w:val="center"/>
              <w:rPr>
                <w:rtl/>
              </w:rPr>
            </w:pPr>
            <w:r w:rsidRPr="0025250D">
              <w:rPr>
                <w:rtl/>
              </w:rPr>
              <w:t>جاناتان ولز</w:t>
            </w:r>
            <w:r w:rsidRPr="0025250D">
              <w:rPr>
                <w:vertAlign w:val="superscript"/>
                <w:rtl/>
              </w:rPr>
              <w:footnoteReference w:id="3063"/>
            </w:r>
            <w:r w:rsidRPr="0025250D">
              <w:rPr>
                <w:rFonts w:hint="cs"/>
                <w:rtl/>
              </w:rPr>
              <w:t>.</w:t>
            </w:r>
            <w:r w:rsidRPr="0025250D">
              <w:rPr>
                <w:rtl/>
              </w:rPr>
              <w:t xml:space="preserve">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ر</w:t>
            </w:r>
            <w:r w:rsidRPr="0025250D">
              <w:rPr>
                <w:rFonts w:hint="cs"/>
                <w:rtl/>
              </w:rPr>
              <w:t>ی</w:t>
            </w:r>
            <w:r w:rsidRPr="0025250D">
              <w:rPr>
                <w:rFonts w:hint="eastAsia"/>
                <w:rtl/>
              </w:rPr>
              <w:t>سک،</w:t>
            </w:r>
            <w:r w:rsidRPr="0025250D">
              <w:rPr>
                <w:rtl/>
              </w:rPr>
              <w:t xml:space="preserve"> منابع انسان</w:t>
            </w:r>
            <w:r w:rsidRPr="0025250D">
              <w:rPr>
                <w:rFonts w:hint="cs"/>
                <w:rtl/>
              </w:rPr>
              <w:t>ی</w:t>
            </w:r>
            <w:r w:rsidRPr="0025250D">
              <w:rPr>
                <w:rtl/>
              </w:rPr>
              <w:t xml:space="preserve"> جهان</w:t>
            </w:r>
            <w:r w:rsidRPr="0025250D">
              <w:rPr>
                <w:rFonts w:hint="cs"/>
                <w:rtl/>
              </w:rPr>
              <w:t>ی</w:t>
            </w:r>
            <w:r w:rsidRPr="0025250D">
              <w:rPr>
                <w:rtl/>
              </w:rPr>
              <w:t>. 14000 همکار</w:t>
            </w:r>
          </w:p>
        </w:tc>
        <w:tc>
          <w:tcPr>
            <w:tcW w:w="1409" w:type="dxa"/>
            <w:vAlign w:val="center"/>
          </w:tcPr>
          <w:p w14:paraId="232061A1" w14:textId="77777777" w:rsidR="00537CC8" w:rsidRPr="0025250D" w:rsidRDefault="00537CC8" w:rsidP="00A07BC9">
            <w:pPr>
              <w:bidi/>
              <w:spacing w:after="160"/>
              <w:jc w:val="center"/>
              <w:rPr>
                <w:rtl/>
              </w:rPr>
            </w:pPr>
            <w:r w:rsidRPr="0025250D">
              <w:rPr>
                <w:rtl/>
              </w:rPr>
              <w:t>1 (ن</w:t>
            </w:r>
            <w:r w:rsidRPr="0025250D">
              <w:rPr>
                <w:rFonts w:hint="cs"/>
                <w:rtl/>
              </w:rPr>
              <w:t>ی</w:t>
            </w:r>
            <w:r w:rsidRPr="0025250D">
              <w:rPr>
                <w:rFonts w:hint="eastAsia"/>
                <w:rtl/>
              </w:rPr>
              <w:t>و</w:t>
            </w:r>
            <w:r w:rsidRPr="0025250D">
              <w:rPr>
                <w:rFonts w:hint="cs"/>
                <w:rtl/>
              </w:rPr>
              <w:t>ی</w:t>
            </w:r>
            <w:r w:rsidRPr="0025250D">
              <w:rPr>
                <w:rFonts w:hint="eastAsia"/>
                <w:rtl/>
              </w:rPr>
              <w:t>ورک</w:t>
            </w:r>
            <w:r w:rsidRPr="0025250D">
              <w:rPr>
                <w:rFonts w:hint="cs"/>
                <w:rtl/>
              </w:rPr>
              <w:t>)</w:t>
            </w:r>
          </w:p>
        </w:tc>
      </w:tr>
      <w:tr w:rsidR="00494960" w:rsidRPr="0025250D" w14:paraId="378AA6B9" w14:textId="77777777" w:rsidTr="002925C9">
        <w:tc>
          <w:tcPr>
            <w:tcW w:w="1982" w:type="dxa"/>
            <w:vAlign w:val="center"/>
          </w:tcPr>
          <w:p w14:paraId="2C61D91F" w14:textId="348DEE8C" w:rsidR="00537CC8" w:rsidRPr="0025250D" w:rsidRDefault="007A207F" w:rsidP="00A07BC9">
            <w:pPr>
              <w:bidi/>
              <w:spacing w:after="160"/>
              <w:jc w:val="center"/>
              <w:rPr>
                <w:rtl/>
              </w:rPr>
            </w:pPr>
            <w:hyperlink r:id="rId341">
              <w:r w:rsidR="00537CC8" w:rsidRPr="0025250D">
                <w:rPr>
                  <w:rStyle w:val="Hyperlink"/>
                  <w:color w:val="auto"/>
                  <w:u w:val="none"/>
                </w:rPr>
                <w:t>ZS</w:t>
              </w:r>
            </w:hyperlink>
            <w:r w:rsidR="00494960" w:rsidRPr="0025250D">
              <w:t xml:space="preserve"> </w:t>
            </w:r>
            <w:hyperlink r:id="rId342">
              <w:r w:rsidR="00537CC8" w:rsidRPr="0025250D">
                <w:rPr>
                  <w:rStyle w:val="Hyperlink"/>
                  <w:color w:val="auto"/>
                  <w:u w:val="none"/>
                </w:rPr>
                <w:t>Associates</w:t>
              </w:r>
            </w:hyperlink>
          </w:p>
        </w:tc>
        <w:tc>
          <w:tcPr>
            <w:tcW w:w="3969" w:type="dxa"/>
            <w:vAlign w:val="center"/>
          </w:tcPr>
          <w:p w14:paraId="40D34F02" w14:textId="77777777" w:rsidR="00537CC8" w:rsidRPr="0025250D" w:rsidRDefault="00537CC8" w:rsidP="00A07BC9">
            <w:pPr>
              <w:bidi/>
              <w:spacing w:after="160"/>
              <w:jc w:val="center"/>
              <w:rPr>
                <w:rtl/>
              </w:rPr>
            </w:pPr>
            <w:r w:rsidRPr="0025250D">
              <w:rPr>
                <w:rtl/>
              </w:rPr>
              <w:t>مشاوره فروش و بازار</w:t>
            </w:r>
            <w:r w:rsidRPr="0025250D">
              <w:rPr>
                <w:rFonts w:hint="cs"/>
                <w:rtl/>
              </w:rPr>
              <w:t>ی</w:t>
            </w:r>
            <w:r w:rsidRPr="0025250D">
              <w:rPr>
                <w:rFonts w:hint="eastAsia"/>
                <w:rtl/>
              </w:rPr>
              <w:t>اب</w:t>
            </w:r>
            <w:r w:rsidRPr="0025250D">
              <w:rPr>
                <w:rFonts w:hint="cs"/>
                <w:rtl/>
              </w:rPr>
              <w:t>ی</w:t>
            </w:r>
            <w:r w:rsidRPr="0025250D">
              <w:rPr>
                <w:rtl/>
              </w:rPr>
              <w:t>.</w:t>
            </w:r>
          </w:p>
        </w:tc>
        <w:tc>
          <w:tcPr>
            <w:tcW w:w="1409" w:type="dxa"/>
            <w:vAlign w:val="center"/>
          </w:tcPr>
          <w:p w14:paraId="058AC3EA" w14:textId="77777777" w:rsidR="00537CC8" w:rsidRPr="0025250D" w:rsidRDefault="00537CC8" w:rsidP="00A07BC9">
            <w:pPr>
              <w:bidi/>
              <w:spacing w:after="160"/>
              <w:jc w:val="center"/>
              <w:rPr>
                <w:rtl/>
              </w:rPr>
            </w:pPr>
            <w:r w:rsidRPr="0025250D">
              <w:rPr>
                <w:rtl/>
              </w:rPr>
              <w:t>1 (سن متئو</w:t>
            </w:r>
            <w:r w:rsidRPr="0025250D">
              <w:rPr>
                <w:rFonts w:hint="cs"/>
                <w:rtl/>
              </w:rPr>
              <w:t>)</w:t>
            </w:r>
          </w:p>
        </w:tc>
      </w:tr>
    </w:tbl>
    <w:p w14:paraId="513938D5" w14:textId="7222C005" w:rsidR="00537CC8" w:rsidRPr="0025250D" w:rsidRDefault="00537CC8" w:rsidP="00E26538">
      <w:pPr>
        <w:pStyle w:val="Heading2"/>
        <w:rPr>
          <w:rtl/>
        </w:rPr>
      </w:pPr>
      <w:bookmarkStart w:id="87" w:name="_Toc127831352"/>
      <w:r w:rsidRPr="0025250D">
        <w:rPr>
          <w:rtl/>
        </w:rPr>
        <w:t>مشاوران آ</w:t>
      </w:r>
      <w:r w:rsidRPr="0025250D">
        <w:rPr>
          <w:rFonts w:hint="cs"/>
          <w:rtl/>
        </w:rPr>
        <w:t>ی</w:t>
      </w:r>
      <w:r w:rsidRPr="0025250D">
        <w:rPr>
          <w:rFonts w:hint="eastAsia"/>
          <w:rtl/>
        </w:rPr>
        <w:t>نده‌</w:t>
      </w:r>
      <w:r w:rsidR="00664E33" w:rsidRPr="0025250D">
        <w:rPr>
          <w:rFonts w:hint="eastAsia"/>
          <w:rtl/>
        </w:rPr>
        <w:t>نگار</w:t>
      </w:r>
      <w:r w:rsidRPr="0025250D">
        <w:rPr>
          <w:rFonts w:hint="cs"/>
          <w:rtl/>
        </w:rPr>
        <w:t>ی</w:t>
      </w:r>
      <w:r w:rsidRPr="0025250D">
        <w:rPr>
          <w:rtl/>
        </w:rPr>
        <w:t xml:space="preserve"> اول</w:t>
      </w:r>
      <w:r w:rsidRPr="0025250D">
        <w:rPr>
          <w:rFonts w:hint="cs"/>
          <w:rtl/>
        </w:rPr>
        <w:t>ی</w:t>
      </w:r>
      <w:r w:rsidRPr="0025250D">
        <w:rPr>
          <w:rFonts w:hint="eastAsia"/>
          <w:rtl/>
        </w:rPr>
        <w:t>ه</w:t>
      </w:r>
      <w:r w:rsidRPr="0025250D">
        <w:rPr>
          <w:rtl/>
        </w:rPr>
        <w:t xml:space="preserve"> بزرگتر (ب</w:t>
      </w:r>
      <w:r w:rsidRPr="0025250D">
        <w:rPr>
          <w:rFonts w:hint="cs"/>
          <w:rtl/>
        </w:rPr>
        <w:t>ی</w:t>
      </w:r>
      <w:r w:rsidRPr="0025250D">
        <w:rPr>
          <w:rFonts w:hint="eastAsia"/>
          <w:rtl/>
        </w:rPr>
        <w:t>ش</w:t>
      </w:r>
      <w:r w:rsidRPr="0025250D">
        <w:rPr>
          <w:rtl/>
        </w:rPr>
        <w:t xml:space="preserve"> از 2 م</w:t>
      </w:r>
      <w:r w:rsidRPr="0025250D">
        <w:rPr>
          <w:rFonts w:hint="cs"/>
          <w:rtl/>
        </w:rPr>
        <w:t>ی</w:t>
      </w:r>
      <w:r w:rsidRPr="0025250D">
        <w:rPr>
          <w:rFonts w:hint="eastAsia"/>
          <w:rtl/>
        </w:rPr>
        <w:t>ل</w:t>
      </w:r>
      <w:r w:rsidRPr="0025250D">
        <w:rPr>
          <w:rFonts w:hint="cs"/>
          <w:rtl/>
        </w:rPr>
        <w:t>ی</w:t>
      </w:r>
      <w:r w:rsidRPr="0025250D">
        <w:rPr>
          <w:rFonts w:hint="eastAsia"/>
          <w:rtl/>
        </w:rPr>
        <w:t>ون</w:t>
      </w:r>
      <w:r w:rsidRPr="0025250D">
        <w:rPr>
          <w:rtl/>
        </w:rPr>
        <w:t xml:space="preserve"> دلار </w:t>
      </w:r>
      <w:r w:rsidRPr="0025250D">
        <w:rPr>
          <w:rFonts w:hint="cs"/>
          <w:rtl/>
        </w:rPr>
        <w:t>درآمد</w:t>
      </w:r>
      <w:r w:rsidRPr="0025250D">
        <w:rPr>
          <w:rtl/>
        </w:rPr>
        <w:t xml:space="preserve"> </w:t>
      </w:r>
      <w:r w:rsidRPr="0025250D">
        <w:rPr>
          <w:rFonts w:hint="cs"/>
          <w:rtl/>
        </w:rPr>
        <w:t>ی</w:t>
      </w:r>
      <w:r w:rsidRPr="0025250D">
        <w:rPr>
          <w:rFonts w:hint="eastAsia"/>
          <w:rtl/>
        </w:rPr>
        <w:t>ا</w:t>
      </w:r>
      <w:r w:rsidRPr="0025250D">
        <w:rPr>
          <w:rtl/>
        </w:rPr>
        <w:t xml:space="preserve"> ب</w:t>
      </w:r>
      <w:r w:rsidRPr="0025250D">
        <w:rPr>
          <w:rFonts w:hint="cs"/>
          <w:rtl/>
        </w:rPr>
        <w:t>ی</w:t>
      </w:r>
      <w:r w:rsidRPr="0025250D">
        <w:rPr>
          <w:rFonts w:hint="eastAsia"/>
          <w:rtl/>
        </w:rPr>
        <w:t>ش</w:t>
      </w:r>
      <w:r w:rsidRPr="0025250D">
        <w:rPr>
          <w:rtl/>
        </w:rPr>
        <w:t xml:space="preserve"> از 5 کارمند)</w:t>
      </w:r>
      <w:bookmarkEnd w:id="87"/>
    </w:p>
    <w:p w14:paraId="1B462371" w14:textId="2DB93AA3" w:rsidR="00537CC8" w:rsidRPr="0025250D" w:rsidRDefault="00537CC8" w:rsidP="00537CC8">
      <w:pPr>
        <w:rPr>
          <w:rtl/>
        </w:rPr>
      </w:pPr>
      <w:r w:rsidRPr="0025250D">
        <w:rPr>
          <w:rFonts w:hint="cs"/>
          <w:rtl/>
        </w:rPr>
        <w:t xml:space="preserve">هم </w:t>
      </w:r>
      <w:r w:rsidRPr="0025250D">
        <w:rPr>
          <w:rtl/>
        </w:rPr>
        <w:t>مشاوران آینده‌نگاری اول</w:t>
      </w:r>
      <w:r w:rsidRPr="0025250D">
        <w:rPr>
          <w:rFonts w:hint="cs"/>
          <w:rtl/>
        </w:rPr>
        <w:t>ی</w:t>
      </w:r>
      <w:r w:rsidRPr="0025250D">
        <w:rPr>
          <w:rFonts w:hint="eastAsia"/>
          <w:rtl/>
        </w:rPr>
        <w:t>ه</w:t>
      </w:r>
      <w:r w:rsidRPr="0025250D">
        <w:rPr>
          <w:rtl/>
        </w:rPr>
        <w:t xml:space="preserve"> بزرگتر و </w:t>
      </w:r>
      <w:r w:rsidRPr="0025250D">
        <w:rPr>
          <w:rFonts w:hint="cs"/>
          <w:rtl/>
        </w:rPr>
        <w:t xml:space="preserve">هم </w:t>
      </w:r>
      <w:r w:rsidRPr="0025250D">
        <w:rPr>
          <w:rtl/>
        </w:rPr>
        <w:t>کوچکتر</w:t>
      </w:r>
      <w:r w:rsidRPr="0025250D">
        <w:rPr>
          <w:rFonts w:hint="cs"/>
          <w:rtl/>
        </w:rPr>
        <w:t xml:space="preserve"> مانند </w:t>
      </w:r>
      <w:r w:rsidR="00701E03" w:rsidRPr="0025250D">
        <w:rPr>
          <w:rtl/>
        </w:rPr>
        <w:t>راهبرد</w:t>
      </w:r>
      <w:r w:rsidRPr="0025250D">
        <w:rPr>
          <w:rtl/>
        </w:rPr>
        <w:t>‌های تصم</w:t>
      </w:r>
      <w:r w:rsidRPr="0025250D">
        <w:rPr>
          <w:rFonts w:hint="cs"/>
          <w:rtl/>
        </w:rPr>
        <w:t>ی</w:t>
      </w:r>
      <w:r w:rsidRPr="0025250D">
        <w:rPr>
          <w:rFonts w:hint="eastAsia"/>
          <w:rtl/>
        </w:rPr>
        <w:t>م</w:t>
      </w:r>
      <w:r w:rsidRPr="0025250D">
        <w:rPr>
          <w:rtl/>
        </w:rPr>
        <w:t xml:space="preserve"> ب</w:t>
      </w:r>
      <w:r w:rsidRPr="0025250D">
        <w:rPr>
          <w:rFonts w:hint="cs"/>
          <w:rtl/>
        </w:rPr>
        <w:t>ی</w:t>
      </w:r>
      <w:r w:rsidRPr="0025250D">
        <w:rPr>
          <w:rFonts w:hint="eastAsia"/>
          <w:rtl/>
        </w:rPr>
        <w:t>ن</w:t>
      </w:r>
      <w:r w:rsidRPr="0025250D">
        <w:rPr>
          <w:rtl/>
        </w:rPr>
        <w:t xml:space="preserve"> الملل</w:t>
      </w:r>
      <w:r w:rsidRPr="0025250D">
        <w:rPr>
          <w:rFonts w:hint="cs"/>
          <w:rtl/>
        </w:rPr>
        <w:t>ی</w:t>
      </w:r>
      <w:r w:rsidRPr="0025250D">
        <w:rPr>
          <w:vertAlign w:val="superscript"/>
          <w:rtl/>
        </w:rPr>
        <w:footnoteReference w:id="3064"/>
      </w:r>
      <w:r w:rsidRPr="0025250D">
        <w:rPr>
          <w:rFonts w:hint="cs"/>
          <w:rtl/>
        </w:rPr>
        <w:t xml:space="preserve">، </w:t>
      </w:r>
      <w:r w:rsidRPr="0025250D">
        <w:rPr>
          <w:rtl/>
        </w:rPr>
        <w:t>واحد اطلاعات اکونوم</w:t>
      </w:r>
      <w:r w:rsidRPr="0025250D">
        <w:rPr>
          <w:rFonts w:hint="cs"/>
          <w:rtl/>
        </w:rPr>
        <w:t>ی</w:t>
      </w:r>
      <w:r w:rsidRPr="0025250D">
        <w:rPr>
          <w:rFonts w:hint="eastAsia"/>
          <w:rtl/>
        </w:rPr>
        <w:t>ست</w:t>
      </w:r>
      <w:r w:rsidRPr="0025250D">
        <w:rPr>
          <w:vertAlign w:val="superscript"/>
          <w:rtl/>
        </w:rPr>
        <w:footnoteReference w:id="3065"/>
      </w:r>
      <w:r w:rsidRPr="0025250D">
        <w:rPr>
          <w:rFonts w:hint="cs"/>
          <w:rtl/>
        </w:rPr>
        <w:t xml:space="preserve">، </w:t>
      </w:r>
      <w:r w:rsidRPr="0025250D">
        <w:rPr>
          <w:rtl/>
        </w:rPr>
        <w:t>فراونهوفر</w:t>
      </w:r>
      <w:r w:rsidRPr="0025250D">
        <w:rPr>
          <w:vertAlign w:val="superscript"/>
          <w:rtl/>
        </w:rPr>
        <w:footnoteReference w:id="3066"/>
      </w:r>
      <w:r w:rsidRPr="0025250D">
        <w:rPr>
          <w:rFonts w:hint="cs"/>
          <w:rtl/>
        </w:rPr>
        <w:t xml:space="preserve">، </w:t>
      </w:r>
      <w:r w:rsidR="00B124DE" w:rsidRPr="0025250D">
        <w:rPr>
          <w:rtl/>
        </w:rPr>
        <w:t>شکل‌دهی</w:t>
      </w:r>
      <w:r w:rsidRPr="0025250D">
        <w:rPr>
          <w:rtl/>
        </w:rPr>
        <w:t xml:space="preserve"> فردا</w:t>
      </w:r>
      <w:r w:rsidRPr="0025250D">
        <w:rPr>
          <w:vertAlign w:val="superscript"/>
          <w:rtl/>
        </w:rPr>
        <w:footnoteReference w:id="3067"/>
      </w:r>
      <w:r w:rsidRPr="0025250D">
        <w:rPr>
          <w:rFonts w:hint="cs"/>
          <w:rtl/>
        </w:rPr>
        <w:t xml:space="preserve">، </w:t>
      </w:r>
      <w:r w:rsidRPr="0025250D">
        <w:rPr>
          <w:rtl/>
        </w:rPr>
        <w:t>گروه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آ</w:t>
      </w:r>
      <w:r w:rsidRPr="0025250D">
        <w:rPr>
          <w:rFonts w:hint="cs"/>
          <w:rtl/>
        </w:rPr>
        <w:t>ی</w:t>
      </w:r>
      <w:r w:rsidRPr="0025250D">
        <w:rPr>
          <w:rFonts w:hint="eastAsia"/>
          <w:rtl/>
        </w:rPr>
        <w:t>نده</w:t>
      </w:r>
      <w:r w:rsidRPr="0025250D">
        <w:rPr>
          <w:vertAlign w:val="superscript"/>
          <w:rtl/>
        </w:rPr>
        <w:footnoteReference w:id="3068"/>
      </w:r>
      <w:r w:rsidRPr="0025250D">
        <w:rPr>
          <w:rFonts w:hint="cs"/>
          <w:rtl/>
        </w:rPr>
        <w:t xml:space="preserve">، </w:t>
      </w:r>
      <w:r w:rsidRPr="0025250D">
        <w:rPr>
          <w:rtl/>
        </w:rPr>
        <w:t>موسسه آ</w:t>
      </w:r>
      <w:r w:rsidRPr="0025250D">
        <w:rPr>
          <w:rFonts w:hint="cs"/>
          <w:rtl/>
        </w:rPr>
        <w:t>ی</w:t>
      </w:r>
      <w:r w:rsidRPr="0025250D">
        <w:rPr>
          <w:rFonts w:hint="eastAsia"/>
          <w:rtl/>
        </w:rPr>
        <w:t>نده</w:t>
      </w:r>
      <w:r w:rsidRPr="0025250D">
        <w:rPr>
          <w:rtl/>
        </w:rPr>
        <w:t xml:space="preserve">‌های </w:t>
      </w:r>
      <w:r w:rsidRPr="0025250D">
        <w:rPr>
          <w:rFonts w:hint="cs"/>
          <w:rtl/>
        </w:rPr>
        <w:t>بدیل</w:t>
      </w:r>
      <w:r w:rsidRPr="0025250D">
        <w:rPr>
          <w:vertAlign w:val="superscript"/>
          <w:rtl/>
        </w:rPr>
        <w:footnoteReference w:id="3069"/>
      </w:r>
      <w:r w:rsidRPr="0025250D">
        <w:rPr>
          <w:rFonts w:hint="cs"/>
          <w:rtl/>
        </w:rPr>
        <w:t xml:space="preserve">، </w:t>
      </w:r>
      <w:r w:rsidRPr="0025250D">
        <w:rPr>
          <w:rtl/>
        </w:rPr>
        <w:t>آ</w:t>
      </w:r>
      <w:r w:rsidRPr="0025250D">
        <w:rPr>
          <w:rFonts w:hint="cs"/>
          <w:rtl/>
        </w:rPr>
        <w:t>ی</w:t>
      </w:r>
      <w:r w:rsidRPr="0025250D">
        <w:rPr>
          <w:rFonts w:hint="eastAsia"/>
          <w:rtl/>
        </w:rPr>
        <w:t>نده</w:t>
      </w:r>
      <w:r w:rsidRPr="0025250D">
        <w:rPr>
          <w:rtl/>
        </w:rPr>
        <w:t xml:space="preserve"> کا</w:t>
      </w:r>
      <w:r w:rsidRPr="0025250D">
        <w:rPr>
          <w:rFonts w:hint="cs"/>
          <w:rtl/>
        </w:rPr>
        <w:t>ی</w:t>
      </w:r>
      <w:r w:rsidRPr="0025250D">
        <w:rPr>
          <w:rFonts w:hint="eastAsia"/>
          <w:rtl/>
        </w:rPr>
        <w:t>روس</w:t>
      </w:r>
      <w:r w:rsidRPr="0025250D">
        <w:rPr>
          <w:vertAlign w:val="superscript"/>
          <w:rtl/>
        </w:rPr>
        <w:footnoteReference w:id="3070"/>
      </w:r>
      <w:r w:rsidRPr="0025250D">
        <w:rPr>
          <w:rFonts w:hint="cs"/>
          <w:rtl/>
        </w:rPr>
        <w:t xml:space="preserve">، </w:t>
      </w:r>
      <w:r w:rsidRPr="0025250D">
        <w:rPr>
          <w:rtl/>
        </w:rPr>
        <w:t xml:space="preserve">شرکت </w:t>
      </w:r>
      <w:r w:rsidR="00D92F6E" w:rsidRPr="0025250D">
        <w:rPr>
          <w:rFonts w:hint="cs"/>
          <w:rtl/>
        </w:rPr>
        <w:t>آینده‌پژوه</w:t>
      </w:r>
      <w:r w:rsidRPr="0025250D">
        <w:rPr>
          <w:rFonts w:hint="cs"/>
          <w:rtl/>
        </w:rPr>
        <w:t>ی</w:t>
      </w:r>
      <w:r w:rsidRPr="0025250D">
        <w:rPr>
          <w:vertAlign w:val="superscript"/>
          <w:rtl/>
        </w:rPr>
        <w:footnoteReference w:id="3071"/>
      </w:r>
      <w:r w:rsidRPr="0025250D">
        <w:rPr>
          <w:rtl/>
        </w:rPr>
        <w:t xml:space="preserve"> دوره‌های کارآموز</w:t>
      </w:r>
      <w:r w:rsidRPr="0025250D">
        <w:rPr>
          <w:rFonts w:hint="cs"/>
          <w:rtl/>
        </w:rPr>
        <w:t>ی</w:t>
      </w:r>
      <w:r w:rsidRPr="0025250D">
        <w:rPr>
          <w:rtl/>
        </w:rPr>
        <w:t xml:space="preserve"> و مشاغل را به متقاض</w:t>
      </w:r>
      <w:r w:rsidRPr="0025250D">
        <w:rPr>
          <w:rFonts w:hint="cs"/>
          <w:rtl/>
        </w:rPr>
        <w:t>ی</w:t>
      </w:r>
      <w:r w:rsidRPr="0025250D">
        <w:rPr>
          <w:rFonts w:hint="eastAsia"/>
          <w:rtl/>
        </w:rPr>
        <w:t>ان</w:t>
      </w:r>
      <w:r w:rsidRPr="0025250D">
        <w:rPr>
          <w:rtl/>
        </w:rPr>
        <w:t xml:space="preserve"> واجد شرا</w:t>
      </w:r>
      <w:r w:rsidRPr="0025250D">
        <w:rPr>
          <w:rFonts w:hint="cs"/>
          <w:rtl/>
        </w:rPr>
        <w:t>ی</w:t>
      </w:r>
      <w:r w:rsidRPr="0025250D">
        <w:rPr>
          <w:rFonts w:hint="eastAsia"/>
          <w:rtl/>
        </w:rPr>
        <w:t>ط</w:t>
      </w:r>
      <w:r w:rsidRPr="0025250D">
        <w:rPr>
          <w:rtl/>
        </w:rPr>
        <w:t xml:space="preserve"> ارائه می‌دهند.</w:t>
      </w:r>
    </w:p>
    <w:p w14:paraId="6CCA5447" w14:textId="1D2971E3" w:rsidR="00537CC8" w:rsidRPr="0025250D" w:rsidRDefault="00537CC8" w:rsidP="00537CC8">
      <w:pPr>
        <w:rPr>
          <w:rtl/>
        </w:rPr>
      </w:pPr>
      <w:r w:rsidRPr="0025250D">
        <w:rPr>
          <w:rtl/>
        </w:rPr>
        <w:t>رهبران آ</w:t>
      </w:r>
      <w:r w:rsidRPr="0025250D">
        <w:rPr>
          <w:rFonts w:hint="cs"/>
          <w:rtl/>
        </w:rPr>
        <w:t>ی</w:t>
      </w:r>
      <w:r w:rsidRPr="0025250D">
        <w:rPr>
          <w:rFonts w:hint="eastAsia"/>
          <w:rtl/>
        </w:rPr>
        <w:t>نده‌</w:t>
      </w:r>
      <w:r w:rsidR="00664E33" w:rsidRPr="0025250D">
        <w:rPr>
          <w:rFonts w:hint="eastAsia"/>
          <w:rtl/>
        </w:rPr>
        <w:t>نگار</w:t>
      </w:r>
      <w:r w:rsidRPr="0025250D">
        <w:rPr>
          <w:rFonts w:hint="cs"/>
          <w:rtl/>
        </w:rPr>
        <w:t>ی</w:t>
      </w:r>
      <w:r w:rsidRPr="0025250D">
        <w:rPr>
          <w:rtl/>
        </w:rPr>
        <w:t xml:space="preserve"> سازمان</w:t>
      </w:r>
      <w:r w:rsidRPr="0025250D">
        <w:rPr>
          <w:rFonts w:hint="cs"/>
          <w:rtl/>
        </w:rPr>
        <w:t>ی</w:t>
      </w:r>
      <w:r w:rsidRPr="0025250D">
        <w:rPr>
          <w:rtl/>
        </w:rPr>
        <w:t xml:space="preserve"> و رهبران </w:t>
      </w:r>
      <w:r w:rsidRPr="0025250D">
        <w:rPr>
          <w:rFonts w:hint="cs"/>
          <w:rtl/>
        </w:rPr>
        <w:t>پیشین</w:t>
      </w:r>
      <w:r w:rsidRPr="0025250D">
        <w:rPr>
          <w:rtl/>
        </w:rPr>
        <w:t xml:space="preserve"> در ز</w:t>
      </w:r>
      <w:r w:rsidRPr="0025250D">
        <w:rPr>
          <w:rFonts w:hint="cs"/>
          <w:rtl/>
        </w:rPr>
        <w:t>ی</w:t>
      </w:r>
      <w:r w:rsidRPr="0025250D">
        <w:rPr>
          <w:rFonts w:hint="eastAsia"/>
          <w:rtl/>
        </w:rPr>
        <w:t>ر</w:t>
      </w:r>
      <w:r w:rsidRPr="0025250D">
        <w:rPr>
          <w:rtl/>
        </w:rPr>
        <w:t xml:space="preserve"> فهرست شده‌اند. جستجو</w:t>
      </w:r>
      <w:r w:rsidRPr="0025250D">
        <w:rPr>
          <w:rFonts w:hint="cs"/>
          <w:rtl/>
        </w:rPr>
        <w:t>ی</w:t>
      </w:r>
      <w:r w:rsidRPr="0025250D">
        <w:rPr>
          <w:rtl/>
        </w:rPr>
        <w:t xml:space="preserve"> پ</w:t>
      </w:r>
      <w:r w:rsidRPr="0025250D">
        <w:rPr>
          <w:rFonts w:hint="cs"/>
          <w:rtl/>
        </w:rPr>
        <w:t>ی</w:t>
      </w:r>
      <w:r w:rsidRPr="0025250D">
        <w:rPr>
          <w:rFonts w:hint="eastAsia"/>
          <w:rtl/>
        </w:rPr>
        <w:t>شرفته</w:t>
      </w:r>
      <w:r w:rsidRPr="0025250D">
        <w:rPr>
          <w:rtl/>
        </w:rPr>
        <w:t xml:space="preserve"> ل</w:t>
      </w:r>
      <w:r w:rsidRPr="0025250D">
        <w:rPr>
          <w:rFonts w:hint="cs"/>
          <w:rtl/>
        </w:rPr>
        <w:t>ی</w:t>
      </w:r>
      <w:r w:rsidRPr="0025250D">
        <w:rPr>
          <w:rFonts w:hint="eastAsia"/>
          <w:rtl/>
        </w:rPr>
        <w:t>نکد</w:t>
      </w:r>
      <w:r w:rsidRPr="0025250D">
        <w:rPr>
          <w:rFonts w:hint="cs"/>
          <w:rtl/>
        </w:rPr>
        <w:t>ی</w:t>
      </w:r>
      <w:r w:rsidRPr="0025250D">
        <w:rPr>
          <w:rFonts w:hint="eastAsia"/>
          <w:rtl/>
        </w:rPr>
        <w:t>ن</w:t>
      </w:r>
      <w:r w:rsidRPr="0025250D">
        <w:rPr>
          <w:rtl/>
        </w:rPr>
        <w:t xml:space="preserve"> را با استفاده از نام سازمان و عبارات آ</w:t>
      </w:r>
      <w:r w:rsidRPr="0025250D">
        <w:rPr>
          <w:rFonts w:hint="cs"/>
          <w:rtl/>
        </w:rPr>
        <w:t>ی</w:t>
      </w:r>
      <w:r w:rsidRPr="0025250D">
        <w:rPr>
          <w:rFonts w:hint="eastAsia"/>
          <w:rtl/>
        </w:rPr>
        <w:t>نده‌نگار</w:t>
      </w:r>
      <w:r w:rsidRPr="0025250D">
        <w:rPr>
          <w:rFonts w:hint="cs"/>
          <w:rtl/>
        </w:rPr>
        <w:t>ی</w:t>
      </w:r>
      <w:r w:rsidRPr="0025250D">
        <w:rPr>
          <w:rtl/>
        </w:rPr>
        <w:t xml:space="preserve"> مرتبط</w:t>
      </w:r>
      <w:r w:rsidRPr="0025250D">
        <w:rPr>
          <w:rFonts w:hint="cs"/>
          <w:rtl/>
        </w:rPr>
        <w:t xml:space="preserve"> </w:t>
      </w:r>
      <w:r w:rsidRPr="0025250D">
        <w:rPr>
          <w:rtl/>
        </w:rPr>
        <w:t>(</w:t>
      </w:r>
      <w:r w:rsidR="00701E03" w:rsidRPr="0025250D">
        <w:rPr>
          <w:rtl/>
        </w:rPr>
        <w:t>راهبرد</w:t>
      </w:r>
      <w:r w:rsidRPr="0025250D">
        <w:rPr>
          <w:rFonts w:hint="eastAsia"/>
          <w:rtl/>
        </w:rPr>
        <w:t>،</w:t>
      </w:r>
      <w:r w:rsidRPr="0025250D">
        <w:rPr>
          <w:rtl/>
        </w:rPr>
        <w:t xml:space="preserve"> آینده‌</w:t>
      </w:r>
      <w:r w:rsidR="00664E33" w:rsidRPr="0025250D">
        <w:rPr>
          <w:rtl/>
        </w:rPr>
        <w:t>نگار</w:t>
      </w:r>
      <w:r w:rsidRPr="0025250D">
        <w:rPr>
          <w:rtl/>
        </w:rPr>
        <w:t>ی</w:t>
      </w:r>
      <w:r w:rsidRPr="0025250D">
        <w:rPr>
          <w:rFonts w:hint="eastAsia"/>
          <w:rtl/>
        </w:rPr>
        <w:t>،</w:t>
      </w:r>
      <w:r w:rsidRPr="0025250D">
        <w:rPr>
          <w:rtl/>
        </w:rPr>
        <w:t xml:space="preserve"> </w:t>
      </w:r>
      <w:r w:rsidR="00FB6A7E" w:rsidRPr="0025250D">
        <w:rPr>
          <w:rtl/>
        </w:rPr>
        <w:t>پیش‌نگری</w:t>
      </w:r>
      <w:r w:rsidRPr="0025250D">
        <w:rPr>
          <w:rFonts w:hint="eastAsia"/>
          <w:rtl/>
        </w:rPr>
        <w:t>،</w:t>
      </w:r>
      <w:r w:rsidRPr="0025250D">
        <w:rPr>
          <w:rtl/>
        </w:rPr>
        <w:t xml:space="preserve"> طراح</w:t>
      </w:r>
      <w:r w:rsidRPr="0025250D">
        <w:rPr>
          <w:rFonts w:hint="cs"/>
          <w:rtl/>
        </w:rPr>
        <w:t>ی</w:t>
      </w:r>
      <w:r w:rsidRPr="0025250D">
        <w:rPr>
          <w:rFonts w:hint="eastAsia"/>
          <w:rtl/>
        </w:rPr>
        <w:t>،</w:t>
      </w:r>
      <w:r w:rsidRPr="0025250D">
        <w:rPr>
          <w:rtl/>
        </w:rPr>
        <w:t xml:space="preserve"> نوآور</w:t>
      </w:r>
      <w:r w:rsidRPr="0025250D">
        <w:rPr>
          <w:rFonts w:hint="cs"/>
          <w:rtl/>
        </w:rPr>
        <w:t>ی</w:t>
      </w:r>
      <w:r w:rsidRPr="0025250D">
        <w:rPr>
          <w:rFonts w:hint="eastAsia"/>
          <w:rtl/>
        </w:rPr>
        <w:t>،</w:t>
      </w:r>
      <w:r w:rsidRPr="0025250D">
        <w:rPr>
          <w:rtl/>
        </w:rPr>
        <w:t xml:space="preserve"> </w:t>
      </w:r>
      <w:r w:rsidR="007A53FD" w:rsidRPr="0025250D">
        <w:rPr>
          <w:rtl/>
        </w:rPr>
        <w:t>فرانامه</w:t>
      </w:r>
      <w:r w:rsidRPr="0025250D">
        <w:rPr>
          <w:rFonts w:hint="eastAsia"/>
          <w:rtl/>
        </w:rPr>
        <w:t>ها</w:t>
      </w:r>
      <w:r w:rsidRPr="0025250D">
        <w:rPr>
          <w:rtl/>
        </w:rPr>
        <w:t xml:space="preserve"> و غ</w:t>
      </w:r>
      <w:r w:rsidRPr="0025250D">
        <w:rPr>
          <w:rFonts w:hint="cs"/>
          <w:rtl/>
        </w:rPr>
        <w:t>ی</w:t>
      </w:r>
      <w:r w:rsidRPr="0025250D">
        <w:rPr>
          <w:rFonts w:hint="eastAsia"/>
          <w:rtl/>
        </w:rPr>
        <w:t>ره</w:t>
      </w:r>
      <w:r w:rsidRPr="0025250D">
        <w:rPr>
          <w:rtl/>
        </w:rPr>
        <w:t>)، جستجو</w:t>
      </w:r>
      <w:r w:rsidRPr="0025250D">
        <w:rPr>
          <w:rFonts w:hint="cs"/>
          <w:rtl/>
        </w:rPr>
        <w:t>ی</w:t>
      </w:r>
      <w:r w:rsidRPr="0025250D">
        <w:rPr>
          <w:rtl/>
        </w:rPr>
        <w:t xml:space="preserve"> سا</w:t>
      </w:r>
      <w:r w:rsidRPr="0025250D">
        <w:rPr>
          <w:rFonts w:hint="cs"/>
          <w:rtl/>
        </w:rPr>
        <w:t>ی</w:t>
      </w:r>
      <w:r w:rsidRPr="0025250D">
        <w:rPr>
          <w:rFonts w:hint="eastAsia"/>
          <w:rtl/>
        </w:rPr>
        <w:t>ت</w:t>
      </w:r>
      <w:r w:rsidRPr="0025250D">
        <w:rPr>
          <w:rtl/>
        </w:rPr>
        <w:t xml:space="preserve"> (سا</w:t>
      </w:r>
      <w:r w:rsidRPr="0025250D">
        <w:rPr>
          <w:rFonts w:hint="cs"/>
          <w:rtl/>
        </w:rPr>
        <w:t>ی</w:t>
      </w:r>
      <w:r w:rsidRPr="0025250D">
        <w:rPr>
          <w:rFonts w:hint="eastAsia"/>
          <w:rtl/>
        </w:rPr>
        <w:t>ت</w:t>
      </w:r>
      <w:r w:rsidRPr="0025250D">
        <w:rPr>
          <w:rtl/>
        </w:rPr>
        <w:t>: رشته جستجو</w:t>
      </w:r>
      <w:r w:rsidRPr="0025250D">
        <w:rPr>
          <w:rFonts w:hint="cs"/>
          <w:rtl/>
        </w:rPr>
        <w:t>ی</w:t>
      </w:r>
      <w:r w:rsidRPr="0025250D">
        <w:rPr>
          <w:rtl/>
        </w:rPr>
        <w:t xml:space="preserve"> نام دامنه) و جستجو</w:t>
      </w:r>
      <w:r w:rsidRPr="0025250D">
        <w:rPr>
          <w:rFonts w:hint="cs"/>
          <w:rtl/>
        </w:rPr>
        <w:t>ی</w:t>
      </w:r>
      <w:r w:rsidRPr="0025250D">
        <w:rPr>
          <w:rtl/>
        </w:rPr>
        <w:t xml:space="preserve"> عموم</w:t>
      </w:r>
      <w:r w:rsidRPr="0025250D">
        <w:rPr>
          <w:rFonts w:hint="cs"/>
          <w:rtl/>
        </w:rPr>
        <w:t>ی</w:t>
      </w:r>
      <w:r w:rsidRPr="0025250D">
        <w:rPr>
          <w:rtl/>
        </w:rPr>
        <w:t xml:space="preserve"> </w:t>
      </w:r>
      <w:r w:rsidRPr="0025250D">
        <w:rPr>
          <w:rFonts w:hint="cs"/>
          <w:rtl/>
        </w:rPr>
        <w:t>گوگل</w:t>
      </w:r>
      <w:r w:rsidRPr="0025250D">
        <w:rPr>
          <w:rtl/>
        </w:rPr>
        <w:t xml:space="preserve"> برا</w:t>
      </w:r>
      <w:r w:rsidRPr="0025250D">
        <w:rPr>
          <w:rFonts w:hint="cs"/>
          <w:rtl/>
        </w:rPr>
        <w:t>ی</w:t>
      </w:r>
      <w:r w:rsidRPr="0025250D">
        <w:rPr>
          <w:rtl/>
        </w:rPr>
        <w:t xml:space="preserve"> </w:t>
      </w:r>
      <w:r w:rsidRPr="0025250D">
        <w:rPr>
          <w:rFonts w:hint="cs"/>
          <w:rtl/>
        </w:rPr>
        <w:t>ی</w:t>
      </w:r>
      <w:r w:rsidRPr="0025250D">
        <w:rPr>
          <w:rFonts w:hint="eastAsia"/>
          <w:rtl/>
        </w:rPr>
        <w:t>افتن</w:t>
      </w:r>
      <w:r w:rsidRPr="0025250D">
        <w:rPr>
          <w:rtl/>
        </w:rPr>
        <w:t xml:space="preserve"> رهبران آ</w:t>
      </w:r>
      <w:r w:rsidRPr="0025250D">
        <w:rPr>
          <w:rFonts w:hint="cs"/>
          <w:rtl/>
        </w:rPr>
        <w:t>ی</w:t>
      </w:r>
      <w:r w:rsidRPr="0025250D">
        <w:rPr>
          <w:rFonts w:hint="eastAsia"/>
          <w:rtl/>
        </w:rPr>
        <w:t>نده‌</w:t>
      </w:r>
      <w:r w:rsidR="00664E33" w:rsidRPr="0025250D">
        <w:rPr>
          <w:rFonts w:hint="eastAsia"/>
          <w:rtl/>
        </w:rPr>
        <w:t>نگار</w:t>
      </w:r>
      <w:r w:rsidRPr="0025250D">
        <w:rPr>
          <w:rFonts w:hint="cs"/>
          <w:rtl/>
        </w:rPr>
        <w:t>ی</w:t>
      </w:r>
      <w:r w:rsidRPr="0025250D">
        <w:rPr>
          <w:rtl/>
        </w:rPr>
        <w:t xml:space="preserve"> فعل</w:t>
      </w:r>
      <w:r w:rsidRPr="0025250D">
        <w:rPr>
          <w:rFonts w:hint="cs"/>
          <w:rtl/>
        </w:rPr>
        <w:t>ی</w:t>
      </w:r>
      <w:r w:rsidRPr="0025250D">
        <w:rPr>
          <w:rtl/>
        </w:rPr>
        <w:t xml:space="preserve"> و گذشته در هر سازمان بررس</w:t>
      </w:r>
      <w:r w:rsidRPr="0025250D">
        <w:rPr>
          <w:rFonts w:hint="cs"/>
          <w:rtl/>
        </w:rPr>
        <w:t>ی</w:t>
      </w:r>
      <w:r w:rsidRPr="0025250D">
        <w:rPr>
          <w:rtl/>
        </w:rPr>
        <w:t xml:space="preserve"> کن</w:t>
      </w:r>
      <w:r w:rsidRPr="0025250D">
        <w:rPr>
          <w:rFonts w:hint="cs"/>
          <w:rtl/>
        </w:rPr>
        <w:t>ی</w:t>
      </w:r>
      <w:r w:rsidRPr="0025250D">
        <w:rPr>
          <w:rFonts w:hint="eastAsia"/>
          <w:rtl/>
        </w:rPr>
        <w:t>د</w:t>
      </w:r>
      <w:r w:rsidRPr="0025250D">
        <w:rPr>
          <w:rtl/>
        </w:rPr>
        <w:t>.</w:t>
      </w:r>
      <w:r w:rsidRPr="0025250D">
        <w:rPr>
          <w:rFonts w:hint="cs"/>
          <w:rtl/>
        </w:rPr>
        <w:t xml:space="preserve"> </w:t>
      </w:r>
      <w:r w:rsidRPr="0025250D">
        <w:rPr>
          <w:rtl/>
        </w:rPr>
        <w:t>از چند</w:t>
      </w:r>
      <w:r w:rsidRPr="0025250D">
        <w:rPr>
          <w:rFonts w:hint="cs"/>
          <w:rtl/>
        </w:rPr>
        <w:t>ی</w:t>
      </w:r>
      <w:r w:rsidRPr="0025250D">
        <w:rPr>
          <w:rFonts w:hint="eastAsia"/>
          <w:rtl/>
        </w:rPr>
        <w:t>ن</w:t>
      </w:r>
      <w:r w:rsidRPr="0025250D">
        <w:rPr>
          <w:rtl/>
        </w:rPr>
        <w:t xml:space="preserve"> </w:t>
      </w:r>
      <w:r w:rsidRPr="0025250D">
        <w:rPr>
          <w:rFonts w:hint="cs"/>
          <w:rtl/>
        </w:rPr>
        <w:t>معیار</w:t>
      </w:r>
      <w:r w:rsidRPr="0025250D">
        <w:rPr>
          <w:rtl/>
        </w:rPr>
        <w:t xml:space="preserve"> برا</w:t>
      </w:r>
      <w:r w:rsidRPr="0025250D">
        <w:rPr>
          <w:rFonts w:hint="cs"/>
          <w:rtl/>
        </w:rPr>
        <w:t>ی</w:t>
      </w:r>
      <w:r w:rsidRPr="0025250D">
        <w:rPr>
          <w:rtl/>
        </w:rPr>
        <w:t xml:space="preserve"> حذف نشان</w:t>
      </w:r>
      <w:r w:rsidRPr="0025250D">
        <w:rPr>
          <w:rFonts w:hint="cs"/>
          <w:rtl/>
        </w:rPr>
        <w:t>ی‌</w:t>
      </w:r>
      <w:r w:rsidRPr="0025250D">
        <w:rPr>
          <w:rFonts w:hint="eastAsia"/>
          <w:rtl/>
        </w:rPr>
        <w:t>ها</w:t>
      </w:r>
      <w:r w:rsidRPr="0025250D">
        <w:rPr>
          <w:rFonts w:hint="cs"/>
          <w:rtl/>
        </w:rPr>
        <w:t>ی</w:t>
      </w:r>
      <w:r w:rsidRPr="0025250D">
        <w:rPr>
          <w:rtl/>
        </w:rPr>
        <w:t xml:space="preserve"> ا</w:t>
      </w:r>
      <w:r w:rsidRPr="0025250D">
        <w:rPr>
          <w:rFonts w:hint="cs"/>
          <w:rtl/>
        </w:rPr>
        <w:t>ی</w:t>
      </w:r>
      <w:r w:rsidRPr="0025250D">
        <w:rPr>
          <w:rFonts w:hint="eastAsia"/>
          <w:rtl/>
        </w:rPr>
        <w:t>نترنت</w:t>
      </w:r>
      <w:r w:rsidRPr="0025250D">
        <w:rPr>
          <w:rFonts w:hint="cs"/>
          <w:rtl/>
        </w:rPr>
        <w:t>ی</w:t>
      </w:r>
      <w:r w:rsidRPr="0025250D">
        <w:rPr>
          <w:rtl/>
        </w:rPr>
        <w:t xml:space="preserve"> </w:t>
      </w:r>
      <w:r w:rsidRPr="0025250D">
        <w:rPr>
          <w:rFonts w:hint="cs"/>
          <w:rtl/>
        </w:rPr>
        <w:t>ی</w:t>
      </w:r>
      <w:r w:rsidRPr="0025250D">
        <w:rPr>
          <w:rFonts w:hint="eastAsia"/>
          <w:rtl/>
        </w:rPr>
        <w:t>ا</w:t>
      </w:r>
      <w:r w:rsidRPr="0025250D">
        <w:rPr>
          <w:rtl/>
        </w:rPr>
        <w:t xml:space="preserve"> اصطلاحات</w:t>
      </w:r>
      <w:r w:rsidRPr="0025250D">
        <w:rPr>
          <w:rFonts w:hint="cs"/>
          <w:rtl/>
        </w:rPr>
        <w:t>ی</w:t>
      </w:r>
      <w:r w:rsidRPr="0025250D">
        <w:rPr>
          <w:rtl/>
        </w:rPr>
        <w:t xml:space="preserve"> که نم</w:t>
      </w:r>
      <w:r w:rsidRPr="0025250D">
        <w:rPr>
          <w:rFonts w:hint="cs"/>
          <w:rtl/>
        </w:rPr>
        <w:t>ی‌</w:t>
      </w:r>
      <w:r w:rsidRPr="0025250D">
        <w:rPr>
          <w:rFonts w:hint="eastAsia"/>
          <w:rtl/>
        </w:rPr>
        <w:t>خواه</w:t>
      </w:r>
      <w:r w:rsidRPr="0025250D">
        <w:rPr>
          <w:rFonts w:hint="cs"/>
          <w:rtl/>
        </w:rPr>
        <w:t>ی</w:t>
      </w:r>
      <w:r w:rsidRPr="0025250D">
        <w:rPr>
          <w:rFonts w:hint="eastAsia"/>
          <w:rtl/>
        </w:rPr>
        <w:t>د</w:t>
      </w:r>
      <w:r w:rsidRPr="0025250D">
        <w:rPr>
          <w:rtl/>
        </w:rPr>
        <w:t xml:space="preserve"> استفاده کن</w:t>
      </w:r>
      <w:r w:rsidRPr="0025250D">
        <w:rPr>
          <w:rFonts w:hint="cs"/>
          <w:rtl/>
        </w:rPr>
        <w:t>ی</w:t>
      </w:r>
      <w:r w:rsidRPr="0025250D">
        <w:rPr>
          <w:rFonts w:hint="eastAsia"/>
          <w:rtl/>
        </w:rPr>
        <w:t>د</w:t>
      </w:r>
      <w:r w:rsidRPr="0025250D">
        <w:rPr>
          <w:rtl/>
        </w:rPr>
        <w:t xml:space="preserve"> و از نقل قول‌ها برا</w:t>
      </w:r>
      <w:r w:rsidRPr="0025250D">
        <w:rPr>
          <w:rFonts w:hint="cs"/>
          <w:rtl/>
        </w:rPr>
        <w:t>ی</w:t>
      </w:r>
      <w:r w:rsidRPr="0025250D">
        <w:rPr>
          <w:rtl/>
        </w:rPr>
        <w:t xml:space="preserve"> در</w:t>
      </w:r>
      <w:r w:rsidRPr="0025250D">
        <w:rPr>
          <w:rFonts w:hint="cs"/>
          <w:rtl/>
        </w:rPr>
        <w:t>ی</w:t>
      </w:r>
      <w:r w:rsidRPr="0025250D">
        <w:rPr>
          <w:rFonts w:hint="eastAsia"/>
          <w:rtl/>
        </w:rPr>
        <w:t>افت</w:t>
      </w:r>
      <w:r w:rsidRPr="0025250D">
        <w:rPr>
          <w:rtl/>
        </w:rPr>
        <w:t xml:space="preserve"> عبارات دق</w:t>
      </w:r>
      <w:r w:rsidRPr="0025250D">
        <w:rPr>
          <w:rFonts w:hint="cs"/>
          <w:rtl/>
        </w:rPr>
        <w:t>ی</w:t>
      </w:r>
      <w:r w:rsidRPr="0025250D">
        <w:rPr>
          <w:rFonts w:hint="eastAsia"/>
          <w:rtl/>
        </w:rPr>
        <w:t>ق</w:t>
      </w:r>
      <w:r w:rsidRPr="0025250D">
        <w:rPr>
          <w:rtl/>
        </w:rPr>
        <w:t xml:space="preserve"> مانند «آ</w:t>
      </w:r>
      <w:r w:rsidRPr="0025250D">
        <w:rPr>
          <w:rFonts w:hint="cs"/>
          <w:rtl/>
        </w:rPr>
        <w:t>ی</w:t>
      </w:r>
      <w:r w:rsidRPr="0025250D">
        <w:rPr>
          <w:rFonts w:hint="eastAsia"/>
          <w:rtl/>
        </w:rPr>
        <w:t>نده‌نگار</w:t>
      </w:r>
      <w:r w:rsidRPr="0025250D">
        <w:rPr>
          <w:rFonts w:hint="cs"/>
          <w:rtl/>
        </w:rPr>
        <w:t>ی</w:t>
      </w:r>
      <w:r w:rsidRPr="0025250D">
        <w:rPr>
          <w:rtl/>
        </w:rPr>
        <w:t xml:space="preserve"> </w:t>
      </w:r>
      <w:r w:rsidR="00701E03" w:rsidRPr="0025250D">
        <w:rPr>
          <w:rtl/>
        </w:rPr>
        <w:t>راهبردی</w:t>
      </w:r>
      <w:r w:rsidRPr="0025250D">
        <w:rPr>
          <w:rFonts w:hint="eastAsia"/>
          <w:rtl/>
        </w:rPr>
        <w:t>»</w:t>
      </w:r>
      <w:r w:rsidRPr="0025250D">
        <w:rPr>
          <w:rtl/>
        </w:rPr>
        <w:t xml:space="preserve"> و «آ</w:t>
      </w:r>
      <w:r w:rsidRPr="0025250D">
        <w:rPr>
          <w:rFonts w:hint="cs"/>
          <w:rtl/>
        </w:rPr>
        <w:t>ی</w:t>
      </w:r>
      <w:r w:rsidRPr="0025250D">
        <w:rPr>
          <w:rFonts w:hint="eastAsia"/>
          <w:rtl/>
        </w:rPr>
        <w:t>نده»</w:t>
      </w:r>
      <w:r w:rsidRPr="0025250D">
        <w:rPr>
          <w:rtl/>
        </w:rPr>
        <w:t xml:space="preserve"> استفاده کن</w:t>
      </w:r>
      <w:r w:rsidRPr="0025250D">
        <w:rPr>
          <w:rFonts w:hint="cs"/>
          <w:rtl/>
        </w:rPr>
        <w:t>ی</w:t>
      </w:r>
      <w:r w:rsidRPr="0025250D">
        <w:rPr>
          <w:rFonts w:hint="eastAsia"/>
          <w:rtl/>
        </w:rPr>
        <w:t>د</w:t>
      </w:r>
      <w:r w:rsidRPr="0025250D">
        <w:rPr>
          <w:rtl/>
        </w:rPr>
        <w:t>.</w:t>
      </w:r>
    </w:p>
    <w:tbl>
      <w:tblPr>
        <w:tblStyle w:val="TableGrid"/>
        <w:bidiVisual/>
        <w:tblW w:w="0" w:type="auto"/>
        <w:tblLook w:val="04A0" w:firstRow="1" w:lastRow="0" w:firstColumn="1" w:lastColumn="0" w:noHBand="0" w:noVBand="1"/>
      </w:tblPr>
      <w:tblGrid>
        <w:gridCol w:w="2266"/>
        <w:gridCol w:w="3597"/>
        <w:gridCol w:w="1497"/>
      </w:tblGrid>
      <w:tr w:rsidR="00537CC8" w:rsidRPr="0025250D" w14:paraId="27F1D33C" w14:textId="77777777" w:rsidTr="002925C9">
        <w:tc>
          <w:tcPr>
            <w:tcW w:w="2266" w:type="dxa"/>
            <w:vAlign w:val="center"/>
          </w:tcPr>
          <w:p w14:paraId="29102AC5" w14:textId="77777777" w:rsidR="00537CC8" w:rsidRPr="0025250D" w:rsidRDefault="00537CC8" w:rsidP="002925C9">
            <w:pPr>
              <w:bidi/>
              <w:spacing w:after="160"/>
              <w:jc w:val="center"/>
              <w:rPr>
                <w:rtl/>
              </w:rPr>
            </w:pPr>
            <w:r w:rsidRPr="0025250D">
              <w:rPr>
                <w:rtl/>
              </w:rPr>
              <w:t>مشاوره</w:t>
            </w:r>
          </w:p>
        </w:tc>
        <w:tc>
          <w:tcPr>
            <w:tcW w:w="3597" w:type="dxa"/>
            <w:vAlign w:val="center"/>
          </w:tcPr>
          <w:p w14:paraId="6C458E85" w14:textId="2F66533C" w:rsidR="00537CC8" w:rsidRPr="0025250D" w:rsidRDefault="00537CC8" w:rsidP="002925C9">
            <w:pPr>
              <w:bidi/>
              <w:spacing w:after="160"/>
              <w:jc w:val="center"/>
              <w:rPr>
                <w:rtl/>
              </w:rPr>
            </w:pPr>
            <w:r w:rsidRPr="0025250D">
              <w:rPr>
                <w:rtl/>
              </w:rPr>
              <w:t xml:space="preserve">رهبران </w:t>
            </w:r>
            <w:r w:rsidR="00D30084" w:rsidRPr="0025250D">
              <w:rPr>
                <w:rtl/>
              </w:rPr>
              <w:t>آینده‌نگار</w:t>
            </w:r>
            <w:r w:rsidRPr="0025250D">
              <w:rPr>
                <w:rtl/>
              </w:rPr>
              <w:t>؛ توض</w:t>
            </w:r>
            <w:r w:rsidRPr="0025250D">
              <w:rPr>
                <w:rFonts w:hint="cs"/>
                <w:rtl/>
              </w:rPr>
              <w:t>ی</w:t>
            </w:r>
            <w:r w:rsidRPr="0025250D">
              <w:rPr>
                <w:rFonts w:hint="eastAsia"/>
                <w:rtl/>
              </w:rPr>
              <w:t>حات</w:t>
            </w:r>
            <w:r w:rsidRPr="0025250D">
              <w:rPr>
                <w:rtl/>
              </w:rPr>
              <w:t xml:space="preserve"> شرکت</w:t>
            </w:r>
          </w:p>
        </w:tc>
        <w:tc>
          <w:tcPr>
            <w:tcW w:w="1497" w:type="dxa"/>
            <w:vAlign w:val="center"/>
          </w:tcPr>
          <w:p w14:paraId="4379850B" w14:textId="77777777" w:rsidR="00537CC8" w:rsidRPr="0025250D" w:rsidRDefault="00537CC8" w:rsidP="002925C9">
            <w:pPr>
              <w:bidi/>
              <w:spacing w:after="160"/>
              <w:jc w:val="center"/>
              <w:rPr>
                <w:rtl/>
              </w:rPr>
            </w:pPr>
            <w:r w:rsidRPr="0025250D">
              <w:rPr>
                <w:rtl/>
              </w:rPr>
              <w:t>منطقه (</w:t>
            </w:r>
            <w:r w:rsidRPr="0025250D">
              <w:rPr>
                <w:rFonts w:hint="cs"/>
                <w:rtl/>
              </w:rPr>
              <w:t>دفتر اصلی</w:t>
            </w:r>
            <w:r w:rsidRPr="0025250D">
              <w:rPr>
                <w:rtl/>
              </w:rPr>
              <w:t>)</w:t>
            </w:r>
          </w:p>
        </w:tc>
      </w:tr>
      <w:tr w:rsidR="00537CC8" w:rsidRPr="0025250D" w14:paraId="71A0EA36" w14:textId="77777777" w:rsidTr="002925C9">
        <w:tc>
          <w:tcPr>
            <w:tcW w:w="2266" w:type="dxa"/>
            <w:vAlign w:val="center"/>
          </w:tcPr>
          <w:p w14:paraId="03416F48" w14:textId="77777777" w:rsidR="00537CC8" w:rsidRPr="0025250D" w:rsidRDefault="007A207F" w:rsidP="002925C9">
            <w:pPr>
              <w:bidi/>
              <w:spacing w:after="160"/>
              <w:jc w:val="center"/>
              <w:rPr>
                <w:rtl/>
              </w:rPr>
            </w:pPr>
            <w:hyperlink r:id="rId343">
              <w:r w:rsidR="00537CC8" w:rsidRPr="0025250D">
                <w:rPr>
                  <w:rStyle w:val="Hyperlink"/>
                  <w:color w:val="auto"/>
                  <w:u w:val="none"/>
                </w:rPr>
                <w:t>AECOM</w:t>
              </w:r>
            </w:hyperlink>
          </w:p>
        </w:tc>
        <w:tc>
          <w:tcPr>
            <w:tcW w:w="3597" w:type="dxa"/>
            <w:vAlign w:val="center"/>
          </w:tcPr>
          <w:p w14:paraId="0056BF67" w14:textId="77777777" w:rsidR="00537CC8" w:rsidRPr="0025250D" w:rsidRDefault="00537CC8" w:rsidP="002925C9">
            <w:pPr>
              <w:bidi/>
              <w:spacing w:after="160"/>
              <w:jc w:val="center"/>
              <w:rPr>
                <w:rtl/>
              </w:rPr>
            </w:pPr>
            <w:r w:rsidRPr="0025250D">
              <w:rPr>
                <w:rtl/>
              </w:rPr>
              <w:t>رهبر</w:t>
            </w:r>
            <w:r w:rsidRPr="0025250D">
              <w:rPr>
                <w:rFonts w:hint="cs"/>
                <w:rtl/>
              </w:rPr>
              <w:t>ی</w:t>
            </w:r>
            <w:r w:rsidRPr="0025250D">
              <w:rPr>
                <w:rtl/>
              </w:rPr>
              <w:t xml:space="preserve"> جهان</w:t>
            </w:r>
            <w:r w:rsidRPr="0025250D">
              <w:rPr>
                <w:rFonts w:hint="cs"/>
                <w:rtl/>
              </w:rPr>
              <w:t>ی</w:t>
            </w:r>
            <w:r w:rsidRPr="0025250D">
              <w:rPr>
                <w:rFonts w:hint="eastAsia"/>
                <w:rtl/>
              </w:rPr>
              <w:t>،</w:t>
            </w:r>
            <w:r w:rsidRPr="0025250D">
              <w:rPr>
                <w:rtl/>
              </w:rPr>
              <w:t xml:space="preserve"> نوآور</w:t>
            </w:r>
            <w:r w:rsidRPr="0025250D">
              <w:rPr>
                <w:rFonts w:hint="cs"/>
                <w:rtl/>
              </w:rPr>
              <w:t>ی</w:t>
            </w:r>
            <w:r w:rsidRPr="0025250D">
              <w:rPr>
                <w:rFonts w:hint="eastAsia"/>
                <w:rtl/>
              </w:rPr>
              <w:t>،</w:t>
            </w:r>
            <w:r w:rsidRPr="0025250D">
              <w:rPr>
                <w:rtl/>
              </w:rPr>
              <w:t xml:space="preserve"> پشت</w:t>
            </w:r>
            <w:r w:rsidRPr="0025250D">
              <w:rPr>
                <w:rFonts w:hint="cs"/>
                <w:rtl/>
              </w:rPr>
              <w:t>ی</w:t>
            </w:r>
            <w:r w:rsidRPr="0025250D">
              <w:rPr>
                <w:rFonts w:hint="eastAsia"/>
                <w:rtl/>
              </w:rPr>
              <w:t>بان</w:t>
            </w:r>
            <w:r w:rsidRPr="0025250D">
              <w:rPr>
                <w:rFonts w:hint="cs"/>
                <w:rtl/>
              </w:rPr>
              <w:t>ی</w:t>
            </w:r>
            <w:r w:rsidRPr="0025250D">
              <w:rPr>
                <w:rtl/>
              </w:rPr>
              <w:t xml:space="preserve"> از صنعت و دولت</w:t>
            </w:r>
          </w:p>
        </w:tc>
        <w:tc>
          <w:tcPr>
            <w:tcW w:w="1497" w:type="dxa"/>
            <w:vAlign w:val="center"/>
          </w:tcPr>
          <w:p w14:paraId="1AF98646" w14:textId="77777777" w:rsidR="00537CC8" w:rsidRPr="0025250D" w:rsidRDefault="00537CC8" w:rsidP="002925C9">
            <w:pPr>
              <w:bidi/>
              <w:spacing w:after="160"/>
              <w:jc w:val="center"/>
              <w:rPr>
                <w:rtl/>
              </w:rPr>
            </w:pPr>
            <w:r w:rsidRPr="0025250D">
              <w:rPr>
                <w:rtl/>
              </w:rPr>
              <w:t>1 (لس آنجلس</w:t>
            </w:r>
            <w:r w:rsidRPr="0025250D">
              <w:rPr>
                <w:rFonts w:hint="cs"/>
                <w:rtl/>
              </w:rPr>
              <w:t>)</w:t>
            </w:r>
          </w:p>
        </w:tc>
      </w:tr>
      <w:tr w:rsidR="00537CC8" w:rsidRPr="0025250D" w14:paraId="33E84702" w14:textId="77777777" w:rsidTr="002925C9">
        <w:tc>
          <w:tcPr>
            <w:tcW w:w="2266" w:type="dxa"/>
            <w:vAlign w:val="center"/>
          </w:tcPr>
          <w:p w14:paraId="454611CD" w14:textId="77777777" w:rsidR="00537CC8" w:rsidRPr="0025250D" w:rsidRDefault="007A207F" w:rsidP="002925C9">
            <w:pPr>
              <w:bidi/>
              <w:spacing w:after="160"/>
              <w:jc w:val="center"/>
              <w:rPr>
                <w:rtl/>
              </w:rPr>
            </w:pPr>
            <w:hyperlink r:id="rId344">
              <w:r w:rsidR="00537CC8" w:rsidRPr="0025250D">
                <w:rPr>
                  <w:rStyle w:val="Hyperlink"/>
                  <w:color w:val="auto"/>
                  <w:u w:val="none"/>
                </w:rPr>
                <w:t>AIR Worldwide</w:t>
              </w:r>
            </w:hyperlink>
          </w:p>
        </w:tc>
        <w:tc>
          <w:tcPr>
            <w:tcW w:w="3597" w:type="dxa"/>
            <w:vAlign w:val="center"/>
          </w:tcPr>
          <w:p w14:paraId="2C25CCCD" w14:textId="77777777" w:rsidR="00537CC8" w:rsidRPr="0025250D" w:rsidRDefault="00537CC8" w:rsidP="002925C9">
            <w:pPr>
              <w:bidi/>
              <w:spacing w:after="160"/>
              <w:jc w:val="center"/>
              <w:rPr>
                <w:rtl/>
              </w:rPr>
            </w:pPr>
            <w:r w:rsidRPr="0025250D">
              <w:rPr>
                <w:rtl/>
              </w:rPr>
              <w:t>رهبران در</w:t>
            </w:r>
            <w:r w:rsidRPr="0025250D">
              <w:rPr>
                <w:rFonts w:hint="cs"/>
                <w:rtl/>
              </w:rPr>
              <w:t xml:space="preserve"> مدلسازی</w:t>
            </w:r>
            <w:r w:rsidRPr="0025250D">
              <w:rPr>
                <w:rtl/>
              </w:rPr>
              <w:t xml:space="preserve"> فاجعه، ترور</w:t>
            </w:r>
            <w:r w:rsidRPr="0025250D">
              <w:rPr>
                <w:rFonts w:hint="cs"/>
                <w:rtl/>
              </w:rPr>
              <w:t>ی</w:t>
            </w:r>
            <w:r w:rsidRPr="0025250D">
              <w:rPr>
                <w:rFonts w:hint="eastAsia"/>
                <w:rtl/>
              </w:rPr>
              <w:t>سم،</w:t>
            </w:r>
            <w:r w:rsidRPr="0025250D">
              <w:rPr>
                <w:rtl/>
              </w:rPr>
              <w:t xml:space="preserve"> ر</w:t>
            </w:r>
            <w:r w:rsidRPr="0025250D">
              <w:rPr>
                <w:rFonts w:hint="cs"/>
                <w:rtl/>
              </w:rPr>
              <w:t>ی</w:t>
            </w:r>
            <w:r w:rsidRPr="0025250D">
              <w:rPr>
                <w:rFonts w:hint="eastAsia"/>
                <w:rtl/>
              </w:rPr>
              <w:t>سک،</w:t>
            </w:r>
            <w:r w:rsidRPr="0025250D">
              <w:rPr>
                <w:rtl/>
              </w:rPr>
              <w:t xml:space="preserve"> تصم</w:t>
            </w:r>
            <w:r w:rsidRPr="0025250D">
              <w:rPr>
                <w:rFonts w:hint="cs"/>
                <w:rtl/>
              </w:rPr>
              <w:t>ی</w:t>
            </w:r>
            <w:r w:rsidRPr="0025250D">
              <w:rPr>
                <w:rFonts w:hint="eastAsia"/>
                <w:rtl/>
              </w:rPr>
              <w:t>م</w:t>
            </w:r>
          </w:p>
        </w:tc>
        <w:tc>
          <w:tcPr>
            <w:tcW w:w="1497" w:type="dxa"/>
            <w:vAlign w:val="center"/>
          </w:tcPr>
          <w:p w14:paraId="412E9A75" w14:textId="77777777" w:rsidR="00537CC8" w:rsidRPr="0025250D" w:rsidRDefault="00537CC8" w:rsidP="002925C9">
            <w:pPr>
              <w:bidi/>
              <w:spacing w:after="160"/>
              <w:jc w:val="center"/>
              <w:rPr>
                <w:rtl/>
              </w:rPr>
            </w:pPr>
            <w:r w:rsidRPr="0025250D">
              <w:rPr>
                <w:rtl/>
              </w:rPr>
              <w:t>1 (بوستون</w:t>
            </w:r>
            <w:r w:rsidRPr="0025250D">
              <w:rPr>
                <w:rFonts w:hint="cs"/>
                <w:rtl/>
              </w:rPr>
              <w:t>)</w:t>
            </w:r>
          </w:p>
        </w:tc>
      </w:tr>
      <w:tr w:rsidR="00537CC8" w:rsidRPr="0025250D" w14:paraId="561DB2BB" w14:textId="77777777" w:rsidTr="002925C9">
        <w:tc>
          <w:tcPr>
            <w:tcW w:w="2266" w:type="dxa"/>
            <w:vAlign w:val="center"/>
          </w:tcPr>
          <w:p w14:paraId="70F8DCA8" w14:textId="77777777" w:rsidR="00537CC8" w:rsidRPr="0025250D" w:rsidRDefault="007A207F" w:rsidP="002925C9">
            <w:pPr>
              <w:bidi/>
              <w:spacing w:after="160"/>
              <w:jc w:val="center"/>
              <w:rPr>
                <w:rtl/>
              </w:rPr>
            </w:pPr>
            <w:hyperlink r:id="rId345">
              <w:r w:rsidR="00537CC8" w:rsidRPr="0025250D">
                <w:rPr>
                  <w:rStyle w:val="Hyperlink"/>
                  <w:color w:val="auto"/>
                  <w:u w:val="none"/>
                </w:rPr>
                <w:t>Arlington Institute</w:t>
              </w:r>
            </w:hyperlink>
          </w:p>
        </w:tc>
        <w:tc>
          <w:tcPr>
            <w:tcW w:w="3597" w:type="dxa"/>
            <w:vAlign w:val="center"/>
          </w:tcPr>
          <w:p w14:paraId="16361D6F" w14:textId="2E38883B" w:rsidR="00537CC8" w:rsidRPr="0025250D" w:rsidRDefault="00537CC8" w:rsidP="002925C9">
            <w:pPr>
              <w:bidi/>
              <w:spacing w:after="160"/>
              <w:jc w:val="center"/>
              <w:rPr>
                <w:rtl/>
              </w:rPr>
            </w:pPr>
            <w:r w:rsidRPr="0025250D">
              <w:rPr>
                <w:rtl/>
              </w:rPr>
              <w:t>جان ال. پ</w:t>
            </w:r>
            <w:r w:rsidRPr="0025250D">
              <w:rPr>
                <w:rFonts w:hint="cs"/>
                <w:rtl/>
              </w:rPr>
              <w:t>ی</w:t>
            </w:r>
            <w:r w:rsidRPr="0025250D">
              <w:rPr>
                <w:rFonts w:hint="eastAsia"/>
                <w:rtl/>
              </w:rPr>
              <w:t>ترسن</w:t>
            </w:r>
            <w:r w:rsidRPr="0025250D">
              <w:rPr>
                <w:vertAlign w:val="superscript"/>
                <w:rtl/>
              </w:rPr>
              <w:footnoteReference w:id="3072"/>
            </w:r>
            <w:r w:rsidRPr="0025250D">
              <w:rPr>
                <w:rFonts w:hint="cs"/>
                <w:rtl/>
              </w:rPr>
              <w:t>؛</w:t>
            </w:r>
            <w:r w:rsidRPr="0025250D">
              <w:rPr>
                <w:rtl/>
              </w:rPr>
              <w:t xml:space="preserve"> آینده‌</w:t>
            </w:r>
            <w:r w:rsidR="00664E33" w:rsidRPr="0025250D">
              <w:rPr>
                <w:rtl/>
              </w:rPr>
              <w:t>نگار</w:t>
            </w:r>
            <w:r w:rsidRPr="0025250D">
              <w:rPr>
                <w:rtl/>
              </w:rPr>
              <w:t>ی جهان</w:t>
            </w:r>
            <w:r w:rsidRPr="0025250D">
              <w:rPr>
                <w:rFonts w:hint="cs"/>
                <w:rtl/>
              </w:rPr>
              <w:t>ی</w:t>
            </w:r>
            <w:r w:rsidRPr="0025250D">
              <w:rPr>
                <w:rFonts w:hint="eastAsia"/>
                <w:rtl/>
              </w:rPr>
              <w:t>،</w:t>
            </w:r>
            <w:r w:rsidRPr="0025250D">
              <w:rPr>
                <w:rtl/>
              </w:rPr>
              <w:t xml:space="preserve"> فناور</w:t>
            </w:r>
            <w:r w:rsidRPr="0025250D">
              <w:rPr>
                <w:rFonts w:hint="cs"/>
                <w:rtl/>
              </w:rPr>
              <w:t>ی</w:t>
            </w:r>
            <w:r w:rsidRPr="0025250D">
              <w:rPr>
                <w:rtl/>
              </w:rPr>
              <w:t>‌های جد</w:t>
            </w:r>
            <w:r w:rsidRPr="0025250D">
              <w:rPr>
                <w:rFonts w:hint="cs"/>
                <w:rtl/>
              </w:rPr>
              <w:t>ی</w:t>
            </w:r>
            <w:r w:rsidRPr="0025250D">
              <w:rPr>
                <w:rFonts w:hint="eastAsia"/>
                <w:rtl/>
              </w:rPr>
              <w:t>د،</w:t>
            </w:r>
            <w:r w:rsidRPr="0025250D">
              <w:rPr>
                <w:rtl/>
              </w:rPr>
              <w:t xml:space="preserve"> تلاش برا</w:t>
            </w:r>
            <w:r w:rsidRPr="0025250D">
              <w:rPr>
                <w:rFonts w:hint="cs"/>
                <w:rtl/>
              </w:rPr>
              <w:t>ی</w:t>
            </w:r>
            <w:r w:rsidRPr="0025250D">
              <w:rPr>
                <w:rtl/>
              </w:rPr>
              <w:t xml:space="preserve"> تأث</w:t>
            </w:r>
            <w:r w:rsidRPr="0025250D">
              <w:rPr>
                <w:rFonts w:hint="cs"/>
                <w:rtl/>
              </w:rPr>
              <w:t>ی</w:t>
            </w:r>
            <w:r w:rsidRPr="0025250D">
              <w:rPr>
                <w:rFonts w:hint="eastAsia"/>
                <w:rtl/>
              </w:rPr>
              <w:t>رگذار</w:t>
            </w:r>
            <w:r w:rsidRPr="0025250D">
              <w:rPr>
                <w:rFonts w:hint="cs"/>
                <w:rtl/>
              </w:rPr>
              <w:t>ی</w:t>
            </w:r>
            <w:r w:rsidRPr="0025250D">
              <w:rPr>
                <w:rtl/>
              </w:rPr>
              <w:t xml:space="preserve"> بر تغ</w:t>
            </w:r>
            <w:r w:rsidRPr="0025250D">
              <w:rPr>
                <w:rFonts w:hint="cs"/>
                <w:rtl/>
              </w:rPr>
              <w:t>یی</w:t>
            </w:r>
            <w:r w:rsidRPr="0025250D">
              <w:rPr>
                <w:rFonts w:hint="eastAsia"/>
                <w:rtl/>
              </w:rPr>
              <w:t>رات</w:t>
            </w:r>
            <w:r w:rsidRPr="0025250D">
              <w:rPr>
                <w:rtl/>
              </w:rPr>
              <w:t xml:space="preserve"> سر</w:t>
            </w:r>
            <w:r w:rsidRPr="0025250D">
              <w:rPr>
                <w:rFonts w:hint="cs"/>
                <w:rtl/>
              </w:rPr>
              <w:t>ی</w:t>
            </w:r>
            <w:r w:rsidRPr="0025250D">
              <w:rPr>
                <w:rFonts w:hint="eastAsia"/>
                <w:rtl/>
              </w:rPr>
              <w:t>ع</w:t>
            </w:r>
            <w:r w:rsidRPr="0025250D">
              <w:rPr>
                <w:rtl/>
              </w:rPr>
              <w:t xml:space="preserve"> و مثبت</w:t>
            </w:r>
          </w:p>
        </w:tc>
        <w:tc>
          <w:tcPr>
            <w:tcW w:w="1497" w:type="dxa"/>
            <w:vAlign w:val="center"/>
          </w:tcPr>
          <w:p w14:paraId="3513DD4D" w14:textId="77777777" w:rsidR="00537CC8" w:rsidRPr="0025250D" w:rsidRDefault="00537CC8" w:rsidP="002925C9">
            <w:pPr>
              <w:bidi/>
              <w:spacing w:after="160"/>
              <w:jc w:val="center"/>
              <w:rPr>
                <w:rtl/>
              </w:rPr>
            </w:pPr>
            <w:r w:rsidRPr="0025250D">
              <w:rPr>
                <w:rtl/>
              </w:rPr>
              <w:t>1 (برکل</w:t>
            </w:r>
            <w:r w:rsidRPr="0025250D">
              <w:rPr>
                <w:rFonts w:hint="cs"/>
                <w:rtl/>
              </w:rPr>
              <w:t>ی</w:t>
            </w:r>
            <w:r w:rsidRPr="0025250D">
              <w:rPr>
                <w:rtl/>
              </w:rPr>
              <w:t xml:space="preserve"> اسپر</w:t>
            </w:r>
            <w:r w:rsidRPr="0025250D">
              <w:rPr>
                <w:rFonts w:hint="cs"/>
                <w:rtl/>
              </w:rPr>
              <w:t>ی</w:t>
            </w:r>
            <w:r w:rsidRPr="0025250D">
              <w:rPr>
                <w:rFonts w:hint="eastAsia"/>
                <w:rtl/>
              </w:rPr>
              <w:t>نگز</w:t>
            </w:r>
            <w:r w:rsidRPr="0025250D">
              <w:rPr>
                <w:rFonts w:hint="cs"/>
                <w:rtl/>
              </w:rPr>
              <w:t>)</w:t>
            </w:r>
          </w:p>
        </w:tc>
      </w:tr>
      <w:tr w:rsidR="00537CC8" w:rsidRPr="0025250D" w14:paraId="6CB88AA9" w14:textId="77777777" w:rsidTr="002925C9">
        <w:tc>
          <w:tcPr>
            <w:tcW w:w="2266" w:type="dxa"/>
            <w:vAlign w:val="center"/>
          </w:tcPr>
          <w:p w14:paraId="4C5E8F04" w14:textId="77777777" w:rsidR="00537CC8" w:rsidRPr="0025250D" w:rsidRDefault="007A207F" w:rsidP="002925C9">
            <w:pPr>
              <w:bidi/>
              <w:spacing w:after="160"/>
              <w:jc w:val="center"/>
              <w:rPr>
                <w:rtl/>
              </w:rPr>
            </w:pPr>
            <w:hyperlink r:id="rId346">
              <w:r w:rsidR="00537CC8" w:rsidRPr="0025250D">
                <w:rPr>
                  <w:rStyle w:val="Hyperlink"/>
                  <w:color w:val="auto"/>
                  <w:u w:val="none"/>
                </w:rPr>
                <w:t>Arup</w:t>
              </w:r>
            </w:hyperlink>
          </w:p>
        </w:tc>
        <w:tc>
          <w:tcPr>
            <w:tcW w:w="3597" w:type="dxa"/>
            <w:vAlign w:val="center"/>
          </w:tcPr>
          <w:p w14:paraId="62A1798C" w14:textId="77777777" w:rsidR="00537CC8" w:rsidRPr="0025250D" w:rsidRDefault="00537CC8" w:rsidP="002925C9">
            <w:pPr>
              <w:bidi/>
              <w:spacing w:after="160"/>
              <w:jc w:val="center"/>
              <w:rPr>
                <w:rtl/>
              </w:rPr>
            </w:pPr>
            <w:r w:rsidRPr="0025250D">
              <w:rPr>
                <w:rtl/>
              </w:rPr>
              <w:t>کر</w:t>
            </w:r>
            <w:r w:rsidRPr="0025250D">
              <w:rPr>
                <w:rFonts w:hint="cs"/>
                <w:rtl/>
              </w:rPr>
              <w:t>ی</w:t>
            </w:r>
            <w:r w:rsidRPr="0025250D">
              <w:rPr>
                <w:rFonts w:hint="eastAsia"/>
                <w:rtl/>
              </w:rPr>
              <w:t>س</w:t>
            </w:r>
            <w:r w:rsidRPr="0025250D">
              <w:rPr>
                <w:rtl/>
              </w:rPr>
              <w:t xml:space="preserve"> لوبکمن</w:t>
            </w:r>
            <w:r w:rsidRPr="0025250D">
              <w:rPr>
                <w:vertAlign w:val="superscript"/>
                <w:rtl/>
              </w:rPr>
              <w:footnoteReference w:id="3073"/>
            </w:r>
            <w:r w:rsidRPr="0025250D">
              <w:rPr>
                <w:rtl/>
              </w:rPr>
              <w:t>، جوزف هارگر</w:t>
            </w:r>
            <w:r w:rsidRPr="0025250D">
              <w:rPr>
                <w:rFonts w:hint="cs"/>
                <w:rtl/>
              </w:rPr>
              <w:t>ی</w:t>
            </w:r>
            <w:r w:rsidRPr="0025250D">
              <w:rPr>
                <w:rFonts w:hint="eastAsia"/>
                <w:rtl/>
              </w:rPr>
              <w:t>و</w:t>
            </w:r>
            <w:r w:rsidRPr="0025250D">
              <w:rPr>
                <w:vertAlign w:val="superscript"/>
                <w:rtl/>
              </w:rPr>
              <w:footnoteReference w:id="3074"/>
            </w:r>
            <w:r w:rsidRPr="0025250D">
              <w:rPr>
                <w:rFonts w:hint="eastAsia"/>
                <w:rtl/>
              </w:rPr>
              <w:t>؛</w:t>
            </w:r>
            <w:r w:rsidRPr="0025250D">
              <w:rPr>
                <w:rtl/>
              </w:rPr>
              <w:t xml:space="preserve"> مشاوره برا</w:t>
            </w:r>
            <w:r w:rsidRPr="0025250D">
              <w:rPr>
                <w:rFonts w:hint="cs"/>
                <w:rtl/>
              </w:rPr>
              <w:t>ی</w:t>
            </w:r>
            <w:r w:rsidRPr="0025250D">
              <w:rPr>
                <w:rtl/>
              </w:rPr>
              <w:t xml:space="preserve"> مح</w:t>
            </w:r>
            <w:r w:rsidRPr="0025250D">
              <w:rPr>
                <w:rFonts w:hint="cs"/>
                <w:rtl/>
              </w:rPr>
              <w:t>ی</w:t>
            </w:r>
            <w:r w:rsidRPr="0025250D">
              <w:rPr>
                <w:rFonts w:hint="eastAsia"/>
                <w:rtl/>
              </w:rPr>
              <w:t>ط</w:t>
            </w:r>
            <w:r w:rsidRPr="0025250D">
              <w:rPr>
                <w:rtl/>
              </w:rPr>
              <w:t xml:space="preserve">‌های ساخته شده 10000 </w:t>
            </w:r>
            <w:r w:rsidRPr="0025250D">
              <w:rPr>
                <w:rFonts w:hint="cs"/>
                <w:rtl/>
              </w:rPr>
              <w:t>کارمند</w:t>
            </w:r>
            <w:r w:rsidRPr="0025250D">
              <w:rPr>
                <w:rtl/>
              </w:rPr>
              <w:t xml:space="preserve">، 83 </w:t>
            </w:r>
            <w:r w:rsidRPr="0025250D">
              <w:rPr>
                <w:rFonts w:hint="cs"/>
                <w:rtl/>
              </w:rPr>
              <w:t>شعبه</w:t>
            </w:r>
            <w:r w:rsidRPr="0025250D">
              <w:rPr>
                <w:rtl/>
              </w:rPr>
              <w:t>.</w:t>
            </w:r>
          </w:p>
        </w:tc>
        <w:tc>
          <w:tcPr>
            <w:tcW w:w="1497" w:type="dxa"/>
            <w:vAlign w:val="center"/>
          </w:tcPr>
          <w:p w14:paraId="67C0DBAE" w14:textId="77777777" w:rsidR="00537CC8" w:rsidRPr="0025250D" w:rsidRDefault="00537CC8" w:rsidP="002925C9">
            <w:pPr>
              <w:bidi/>
              <w:spacing w:after="160"/>
              <w:jc w:val="center"/>
              <w:rPr>
                <w:rtl/>
              </w:rPr>
            </w:pPr>
            <w:r w:rsidRPr="0025250D">
              <w:rPr>
                <w:rtl/>
              </w:rPr>
              <w:t>3 (لندن</w:t>
            </w:r>
            <w:r w:rsidRPr="0025250D">
              <w:rPr>
                <w:rFonts w:hint="cs"/>
                <w:rtl/>
              </w:rPr>
              <w:t>)</w:t>
            </w:r>
          </w:p>
        </w:tc>
      </w:tr>
      <w:tr w:rsidR="00537CC8" w:rsidRPr="0025250D" w14:paraId="57C82707" w14:textId="77777777" w:rsidTr="002925C9">
        <w:tc>
          <w:tcPr>
            <w:tcW w:w="2266" w:type="dxa"/>
            <w:vAlign w:val="center"/>
          </w:tcPr>
          <w:p w14:paraId="7EAC572C" w14:textId="77777777" w:rsidR="00537CC8" w:rsidRPr="0025250D" w:rsidRDefault="007A207F" w:rsidP="002925C9">
            <w:pPr>
              <w:bidi/>
              <w:spacing w:after="160"/>
              <w:jc w:val="center"/>
              <w:rPr>
                <w:rtl/>
              </w:rPr>
            </w:pPr>
            <w:hyperlink r:id="rId347">
              <w:r w:rsidR="00537CC8" w:rsidRPr="0025250D">
                <w:rPr>
                  <w:rStyle w:val="Hyperlink"/>
                  <w:color w:val="auto"/>
                  <w:u w:val="none"/>
                </w:rPr>
                <w:t>Atmos Global</w:t>
              </w:r>
            </w:hyperlink>
          </w:p>
        </w:tc>
        <w:tc>
          <w:tcPr>
            <w:tcW w:w="3597" w:type="dxa"/>
            <w:vAlign w:val="center"/>
          </w:tcPr>
          <w:p w14:paraId="349934D6" w14:textId="31305EC2" w:rsidR="00537CC8" w:rsidRPr="0025250D" w:rsidRDefault="00D92F6E" w:rsidP="002925C9">
            <w:pPr>
              <w:bidi/>
              <w:spacing w:after="160"/>
              <w:jc w:val="center"/>
              <w:rPr>
                <w:rtl/>
              </w:rPr>
            </w:pPr>
            <w:r w:rsidRPr="0025250D">
              <w:rPr>
                <w:rtl/>
              </w:rPr>
              <w:t>پیش‌بین</w:t>
            </w:r>
            <w:r w:rsidR="00537CC8" w:rsidRPr="0025250D">
              <w:rPr>
                <w:rFonts w:hint="cs"/>
                <w:rtl/>
              </w:rPr>
              <w:t>ی</w:t>
            </w:r>
            <w:r w:rsidR="00537CC8" w:rsidRPr="0025250D">
              <w:rPr>
                <w:rtl/>
              </w:rPr>
              <w:t xml:space="preserve"> اتمسفر، ک</w:t>
            </w:r>
            <w:r w:rsidR="00537CC8" w:rsidRPr="0025250D">
              <w:rPr>
                <w:rFonts w:hint="cs"/>
                <w:rtl/>
              </w:rPr>
              <w:t>ی</w:t>
            </w:r>
            <w:r w:rsidR="00537CC8" w:rsidRPr="0025250D">
              <w:rPr>
                <w:rFonts w:hint="eastAsia"/>
                <w:rtl/>
              </w:rPr>
              <w:t>ف</w:t>
            </w:r>
            <w:r w:rsidR="00537CC8" w:rsidRPr="0025250D">
              <w:rPr>
                <w:rFonts w:hint="cs"/>
                <w:rtl/>
              </w:rPr>
              <w:t>ی</w:t>
            </w:r>
            <w:r w:rsidR="00537CC8" w:rsidRPr="0025250D">
              <w:rPr>
                <w:rFonts w:hint="eastAsia"/>
                <w:rtl/>
              </w:rPr>
              <w:t>ت</w:t>
            </w:r>
            <w:r w:rsidR="00537CC8" w:rsidRPr="0025250D">
              <w:rPr>
                <w:rtl/>
              </w:rPr>
              <w:t xml:space="preserve"> هوا و تغ</w:t>
            </w:r>
            <w:r w:rsidR="00537CC8" w:rsidRPr="0025250D">
              <w:rPr>
                <w:rFonts w:hint="cs"/>
                <w:rtl/>
              </w:rPr>
              <w:t>یی</w:t>
            </w:r>
            <w:r w:rsidR="00537CC8" w:rsidRPr="0025250D">
              <w:rPr>
                <w:rFonts w:hint="eastAsia"/>
                <w:rtl/>
              </w:rPr>
              <w:t>رات</w:t>
            </w:r>
            <w:r w:rsidR="00537CC8" w:rsidRPr="0025250D">
              <w:rPr>
                <w:rtl/>
              </w:rPr>
              <w:t xml:space="preserve"> آب و هوا.</w:t>
            </w:r>
          </w:p>
        </w:tc>
        <w:tc>
          <w:tcPr>
            <w:tcW w:w="1497" w:type="dxa"/>
            <w:vAlign w:val="center"/>
          </w:tcPr>
          <w:p w14:paraId="748CC756" w14:textId="77777777" w:rsidR="00537CC8" w:rsidRPr="0025250D" w:rsidRDefault="00537CC8" w:rsidP="002925C9">
            <w:pPr>
              <w:bidi/>
              <w:spacing w:after="160"/>
              <w:jc w:val="center"/>
              <w:rPr>
                <w:rtl/>
              </w:rPr>
            </w:pPr>
            <w:r w:rsidRPr="0025250D">
              <w:rPr>
                <w:rtl/>
              </w:rPr>
              <w:t>10 (ملبورن، استرال</w:t>
            </w:r>
            <w:r w:rsidRPr="0025250D">
              <w:rPr>
                <w:rFonts w:hint="cs"/>
                <w:rtl/>
              </w:rPr>
              <w:t>ی</w:t>
            </w:r>
            <w:r w:rsidRPr="0025250D">
              <w:rPr>
                <w:rFonts w:hint="eastAsia"/>
                <w:rtl/>
              </w:rPr>
              <w:t>ا</w:t>
            </w:r>
            <w:r w:rsidRPr="0025250D">
              <w:rPr>
                <w:rtl/>
              </w:rPr>
              <w:t>)</w:t>
            </w:r>
          </w:p>
        </w:tc>
      </w:tr>
      <w:tr w:rsidR="00537CC8" w:rsidRPr="0025250D" w14:paraId="7C7ECE3C" w14:textId="77777777" w:rsidTr="002925C9">
        <w:tc>
          <w:tcPr>
            <w:tcW w:w="2266" w:type="dxa"/>
            <w:vAlign w:val="center"/>
          </w:tcPr>
          <w:p w14:paraId="348E09E4" w14:textId="77777777" w:rsidR="00537CC8" w:rsidRPr="0025250D" w:rsidRDefault="007A207F" w:rsidP="002925C9">
            <w:pPr>
              <w:bidi/>
              <w:spacing w:after="160"/>
              <w:jc w:val="center"/>
              <w:rPr>
                <w:rtl/>
              </w:rPr>
            </w:pPr>
            <w:hyperlink r:id="rId348">
              <w:r w:rsidR="00537CC8" w:rsidRPr="0025250D">
                <w:rPr>
                  <w:rStyle w:val="Hyperlink"/>
                  <w:color w:val="auto"/>
                  <w:u w:val="none"/>
                </w:rPr>
                <w:t>Austrian Institute of Technology</w:t>
              </w:r>
            </w:hyperlink>
          </w:p>
        </w:tc>
        <w:tc>
          <w:tcPr>
            <w:tcW w:w="3597" w:type="dxa"/>
            <w:vAlign w:val="center"/>
          </w:tcPr>
          <w:p w14:paraId="481E3B35" w14:textId="6B168521" w:rsidR="00537CC8" w:rsidRPr="0025250D" w:rsidRDefault="00537CC8" w:rsidP="002925C9">
            <w:pPr>
              <w:bidi/>
              <w:spacing w:after="160"/>
              <w:jc w:val="center"/>
              <w:rPr>
                <w:rtl/>
              </w:rPr>
            </w:pPr>
            <w:r w:rsidRPr="0025250D">
              <w:rPr>
                <w:rtl/>
              </w:rPr>
              <w:t>مفلح</w:t>
            </w:r>
            <w:r w:rsidRPr="0025250D">
              <w:rPr>
                <w:rFonts w:hint="cs"/>
                <w:rtl/>
              </w:rPr>
              <w:t>ی</w:t>
            </w:r>
            <w:r w:rsidRPr="0025250D">
              <w:rPr>
                <w:rFonts w:hint="eastAsia"/>
                <w:rtl/>
              </w:rPr>
              <w:t>اس</w:t>
            </w:r>
            <w:r w:rsidRPr="0025250D">
              <w:rPr>
                <w:rtl/>
              </w:rPr>
              <w:t xml:space="preserve"> وبر</w:t>
            </w:r>
            <w:r w:rsidRPr="0025250D">
              <w:rPr>
                <w:vertAlign w:val="superscript"/>
                <w:rtl/>
              </w:rPr>
              <w:footnoteReference w:id="3075"/>
            </w:r>
            <w:r w:rsidRPr="0025250D">
              <w:rPr>
                <w:rFonts w:hint="cs"/>
                <w:rtl/>
              </w:rPr>
              <w:t>؛</w:t>
            </w:r>
            <w:r w:rsidRPr="0025250D">
              <w:rPr>
                <w:rtl/>
              </w:rPr>
              <w:t xml:space="preserve"> بزرگتر</w:t>
            </w:r>
            <w:r w:rsidRPr="0025250D">
              <w:rPr>
                <w:rFonts w:hint="cs"/>
                <w:rtl/>
              </w:rPr>
              <w:t>ی</w:t>
            </w:r>
            <w:r w:rsidRPr="0025250D">
              <w:rPr>
                <w:rFonts w:hint="eastAsia"/>
                <w:rtl/>
              </w:rPr>
              <w:t>ن</w:t>
            </w:r>
            <w:r w:rsidRPr="0025250D">
              <w:rPr>
                <w:rtl/>
              </w:rPr>
              <w:t xml:space="preserve"> مؤسسه تحق</w:t>
            </w:r>
            <w:r w:rsidRPr="0025250D">
              <w:rPr>
                <w:rFonts w:hint="cs"/>
                <w:rtl/>
              </w:rPr>
              <w:t>ی</w:t>
            </w:r>
            <w:r w:rsidRPr="0025250D">
              <w:rPr>
                <w:rFonts w:hint="eastAsia"/>
                <w:rtl/>
              </w:rPr>
              <w:t>قات</w:t>
            </w:r>
            <w:r w:rsidRPr="0025250D">
              <w:rPr>
                <w:rFonts w:hint="cs"/>
                <w:rtl/>
              </w:rPr>
              <w:t>ی</w:t>
            </w:r>
            <w:r w:rsidRPr="0025250D">
              <w:rPr>
                <w:rtl/>
              </w:rPr>
              <w:t xml:space="preserve"> فناور</w:t>
            </w:r>
            <w:r w:rsidRPr="0025250D">
              <w:rPr>
                <w:rFonts w:hint="cs"/>
                <w:rtl/>
              </w:rPr>
              <w:t>ی</w:t>
            </w:r>
            <w:r w:rsidRPr="0025250D">
              <w:rPr>
                <w:rtl/>
              </w:rPr>
              <w:t xml:space="preserve"> و ز</w:t>
            </w:r>
            <w:r w:rsidRPr="0025250D">
              <w:rPr>
                <w:rFonts w:hint="cs"/>
                <w:rtl/>
              </w:rPr>
              <w:t>ی</w:t>
            </w:r>
            <w:r w:rsidRPr="0025250D">
              <w:rPr>
                <w:rFonts w:hint="eastAsia"/>
                <w:rtl/>
              </w:rPr>
              <w:t>رساخت</w:t>
            </w:r>
            <w:r w:rsidRPr="0025250D">
              <w:rPr>
                <w:rtl/>
              </w:rPr>
              <w:t>‌های غ</w:t>
            </w:r>
            <w:r w:rsidRPr="0025250D">
              <w:rPr>
                <w:rFonts w:hint="cs"/>
                <w:rtl/>
              </w:rPr>
              <w:t>ی</w:t>
            </w:r>
            <w:r w:rsidRPr="0025250D">
              <w:rPr>
                <w:rFonts w:hint="eastAsia"/>
                <w:rtl/>
              </w:rPr>
              <w:t>ر</w:t>
            </w:r>
            <w:r w:rsidRPr="0025250D">
              <w:rPr>
                <w:rtl/>
              </w:rPr>
              <w:t xml:space="preserve"> آمر</w:t>
            </w:r>
            <w:r w:rsidRPr="0025250D">
              <w:rPr>
                <w:rFonts w:hint="cs"/>
                <w:rtl/>
              </w:rPr>
              <w:t>ی</w:t>
            </w:r>
            <w:r w:rsidRPr="0025250D">
              <w:rPr>
                <w:rFonts w:hint="eastAsia"/>
                <w:rtl/>
              </w:rPr>
              <w:t>کا</w:t>
            </w:r>
            <w:r w:rsidRPr="0025250D">
              <w:rPr>
                <w:rFonts w:hint="cs"/>
                <w:rtl/>
              </w:rPr>
              <w:t>یی</w:t>
            </w:r>
            <w:r w:rsidRPr="0025250D">
              <w:rPr>
                <w:rtl/>
              </w:rPr>
              <w:t xml:space="preserve"> اتر</w:t>
            </w:r>
            <w:r w:rsidRPr="0025250D">
              <w:rPr>
                <w:rFonts w:hint="cs"/>
                <w:rtl/>
              </w:rPr>
              <w:t>ی</w:t>
            </w:r>
            <w:r w:rsidRPr="0025250D">
              <w:rPr>
                <w:rFonts w:hint="eastAsia"/>
                <w:rtl/>
              </w:rPr>
              <w:t>ش</w:t>
            </w:r>
            <w:r w:rsidRPr="0025250D">
              <w:rPr>
                <w:rtl/>
              </w:rPr>
              <w:t xml:space="preserve">. 1100 </w:t>
            </w:r>
            <w:r w:rsidRPr="0025250D">
              <w:rPr>
                <w:rFonts w:hint="cs"/>
                <w:rtl/>
              </w:rPr>
              <w:t>کارمند</w:t>
            </w:r>
          </w:p>
        </w:tc>
        <w:tc>
          <w:tcPr>
            <w:tcW w:w="1497" w:type="dxa"/>
            <w:vAlign w:val="center"/>
          </w:tcPr>
          <w:p w14:paraId="4AD22FC1" w14:textId="77777777" w:rsidR="00537CC8" w:rsidRPr="0025250D" w:rsidRDefault="00537CC8" w:rsidP="002925C9">
            <w:pPr>
              <w:bidi/>
              <w:spacing w:after="160"/>
              <w:jc w:val="center"/>
              <w:rPr>
                <w:rtl/>
              </w:rPr>
            </w:pPr>
            <w:r w:rsidRPr="0025250D">
              <w:rPr>
                <w:rtl/>
              </w:rPr>
              <w:t>3 (و</w:t>
            </w:r>
            <w:r w:rsidRPr="0025250D">
              <w:rPr>
                <w:rFonts w:hint="cs"/>
                <w:rtl/>
              </w:rPr>
              <w:t>ی</w:t>
            </w:r>
            <w:r w:rsidRPr="0025250D">
              <w:rPr>
                <w:rFonts w:hint="eastAsia"/>
                <w:rtl/>
              </w:rPr>
              <w:t>ن،</w:t>
            </w:r>
            <w:r w:rsidRPr="0025250D">
              <w:rPr>
                <w:rtl/>
              </w:rPr>
              <w:t xml:space="preserve"> اتر</w:t>
            </w:r>
            <w:r w:rsidRPr="0025250D">
              <w:rPr>
                <w:rFonts w:hint="cs"/>
                <w:rtl/>
              </w:rPr>
              <w:t>ی</w:t>
            </w:r>
            <w:r w:rsidRPr="0025250D">
              <w:rPr>
                <w:rFonts w:hint="eastAsia"/>
                <w:rtl/>
              </w:rPr>
              <w:t>ش</w:t>
            </w:r>
            <w:r w:rsidRPr="0025250D">
              <w:rPr>
                <w:rtl/>
              </w:rPr>
              <w:t>)</w:t>
            </w:r>
          </w:p>
        </w:tc>
      </w:tr>
      <w:tr w:rsidR="00537CC8" w:rsidRPr="0025250D" w14:paraId="001BB608" w14:textId="77777777" w:rsidTr="002925C9">
        <w:tc>
          <w:tcPr>
            <w:tcW w:w="2266" w:type="dxa"/>
            <w:vAlign w:val="center"/>
          </w:tcPr>
          <w:p w14:paraId="27BACCCF" w14:textId="77777777" w:rsidR="00537CC8" w:rsidRPr="0025250D" w:rsidRDefault="007A207F" w:rsidP="002925C9">
            <w:pPr>
              <w:bidi/>
              <w:spacing w:after="160"/>
              <w:jc w:val="center"/>
              <w:rPr>
                <w:rtl/>
              </w:rPr>
            </w:pPr>
            <w:hyperlink r:id="rId349">
              <w:r w:rsidR="00537CC8" w:rsidRPr="0025250D">
                <w:rPr>
                  <w:rStyle w:val="Hyperlink"/>
                  <w:color w:val="auto"/>
                  <w:u w:val="none"/>
                </w:rPr>
                <w:t>BMC Innovation</w:t>
              </w:r>
            </w:hyperlink>
          </w:p>
        </w:tc>
        <w:tc>
          <w:tcPr>
            <w:tcW w:w="3597" w:type="dxa"/>
            <w:vAlign w:val="center"/>
          </w:tcPr>
          <w:p w14:paraId="444FE22A" w14:textId="56D6E262" w:rsidR="00537CC8" w:rsidRPr="0025250D" w:rsidRDefault="00537CC8" w:rsidP="002925C9">
            <w:pPr>
              <w:bidi/>
              <w:spacing w:after="160"/>
              <w:jc w:val="center"/>
              <w:rPr>
                <w:rtl/>
              </w:rPr>
            </w:pPr>
            <w:r w:rsidRPr="0025250D">
              <w:rPr>
                <w:rtl/>
              </w:rPr>
              <w:t>شرکت تحق</w:t>
            </w:r>
            <w:r w:rsidRPr="0025250D">
              <w:rPr>
                <w:rFonts w:hint="cs"/>
                <w:rtl/>
              </w:rPr>
              <w:t>ی</w:t>
            </w:r>
            <w:r w:rsidRPr="0025250D">
              <w:rPr>
                <w:rFonts w:hint="eastAsia"/>
                <w:rtl/>
              </w:rPr>
              <w:t>قات</w:t>
            </w:r>
            <w:r w:rsidRPr="0025250D">
              <w:rPr>
                <w:rtl/>
              </w:rPr>
              <w:t xml:space="preserve"> بازار و نوآور</w:t>
            </w:r>
            <w:r w:rsidRPr="0025250D">
              <w:rPr>
                <w:rFonts w:hint="cs"/>
                <w:rtl/>
              </w:rPr>
              <w:t>ی</w:t>
            </w:r>
            <w:r w:rsidRPr="0025250D">
              <w:rPr>
                <w:rtl/>
              </w:rPr>
              <w:t xml:space="preserve"> </w:t>
            </w:r>
            <w:r w:rsidR="00701E03" w:rsidRPr="0025250D">
              <w:rPr>
                <w:rtl/>
              </w:rPr>
              <w:t>راهبردی</w:t>
            </w:r>
            <w:r w:rsidRPr="0025250D">
              <w:rPr>
                <w:rtl/>
              </w:rPr>
              <w:t xml:space="preserve"> 150 </w:t>
            </w:r>
            <w:r w:rsidRPr="0025250D">
              <w:rPr>
                <w:rFonts w:hint="cs"/>
                <w:rtl/>
              </w:rPr>
              <w:t>کارمند</w:t>
            </w:r>
          </w:p>
        </w:tc>
        <w:tc>
          <w:tcPr>
            <w:tcW w:w="1497" w:type="dxa"/>
            <w:vAlign w:val="center"/>
          </w:tcPr>
          <w:p w14:paraId="47A42B3E" w14:textId="77777777" w:rsidR="00537CC8" w:rsidRPr="0025250D" w:rsidRDefault="00537CC8" w:rsidP="002925C9">
            <w:pPr>
              <w:bidi/>
              <w:spacing w:after="160"/>
              <w:jc w:val="center"/>
              <w:rPr>
                <w:rtl/>
              </w:rPr>
            </w:pPr>
            <w:r w:rsidRPr="0025250D">
              <w:rPr>
                <w:rtl/>
              </w:rPr>
              <w:t>2 (بوئن آ</w:t>
            </w:r>
            <w:r w:rsidRPr="0025250D">
              <w:rPr>
                <w:rFonts w:hint="cs"/>
                <w:rtl/>
              </w:rPr>
              <w:t>ی</w:t>
            </w:r>
            <w:r w:rsidRPr="0025250D">
              <w:rPr>
                <w:rFonts w:hint="eastAsia"/>
                <w:rtl/>
              </w:rPr>
              <w:t>رس،</w:t>
            </w:r>
            <w:r w:rsidRPr="0025250D">
              <w:rPr>
                <w:rtl/>
              </w:rPr>
              <w:t xml:space="preserve"> آرژانت</w:t>
            </w:r>
            <w:r w:rsidRPr="0025250D">
              <w:rPr>
                <w:rFonts w:hint="cs"/>
                <w:rtl/>
              </w:rPr>
              <w:t>ی</w:t>
            </w:r>
            <w:r w:rsidRPr="0025250D">
              <w:rPr>
                <w:rFonts w:hint="eastAsia"/>
                <w:rtl/>
              </w:rPr>
              <w:t>ن</w:t>
            </w:r>
            <w:r w:rsidRPr="0025250D">
              <w:rPr>
                <w:rtl/>
              </w:rPr>
              <w:t>)</w:t>
            </w:r>
          </w:p>
        </w:tc>
      </w:tr>
      <w:tr w:rsidR="00537CC8" w:rsidRPr="0025250D" w14:paraId="1B0B601D" w14:textId="77777777" w:rsidTr="002925C9">
        <w:tc>
          <w:tcPr>
            <w:tcW w:w="2266" w:type="dxa"/>
            <w:vAlign w:val="center"/>
          </w:tcPr>
          <w:p w14:paraId="4222EF7A" w14:textId="77777777" w:rsidR="00537CC8" w:rsidRPr="0025250D" w:rsidRDefault="007A207F" w:rsidP="002925C9">
            <w:pPr>
              <w:bidi/>
              <w:spacing w:after="160"/>
              <w:jc w:val="center"/>
              <w:rPr>
                <w:rtl/>
              </w:rPr>
            </w:pPr>
            <w:hyperlink r:id="rId350">
              <w:r w:rsidR="00537CC8" w:rsidRPr="0025250D">
                <w:rPr>
                  <w:rStyle w:val="Hyperlink"/>
                  <w:color w:val="auto"/>
                  <w:u w:val="none"/>
                </w:rPr>
                <w:t>Breakthrough Institute</w:t>
              </w:r>
            </w:hyperlink>
          </w:p>
        </w:tc>
        <w:tc>
          <w:tcPr>
            <w:tcW w:w="3597" w:type="dxa"/>
            <w:vAlign w:val="center"/>
          </w:tcPr>
          <w:p w14:paraId="5149F95B" w14:textId="77777777" w:rsidR="00537CC8" w:rsidRPr="0025250D" w:rsidRDefault="00537CC8" w:rsidP="002925C9">
            <w:pPr>
              <w:bidi/>
              <w:spacing w:after="160"/>
              <w:jc w:val="center"/>
              <w:rPr>
                <w:rtl/>
              </w:rPr>
            </w:pPr>
            <w:r w:rsidRPr="0025250D">
              <w:rPr>
                <w:rtl/>
              </w:rPr>
              <w:t>نوساز</w:t>
            </w:r>
            <w:r w:rsidRPr="0025250D">
              <w:rPr>
                <w:rFonts w:hint="cs"/>
                <w:rtl/>
              </w:rPr>
              <w:t>ی</w:t>
            </w:r>
            <w:r w:rsidRPr="0025250D">
              <w:rPr>
                <w:rtl/>
              </w:rPr>
              <w:t xml:space="preserve"> مح</w:t>
            </w:r>
            <w:r w:rsidRPr="0025250D">
              <w:rPr>
                <w:rFonts w:hint="cs"/>
                <w:rtl/>
              </w:rPr>
              <w:t>ی</w:t>
            </w:r>
            <w:r w:rsidRPr="0025250D">
              <w:rPr>
                <w:rFonts w:hint="eastAsia"/>
                <w:rtl/>
              </w:rPr>
              <w:t>ط</w:t>
            </w:r>
            <w:r w:rsidRPr="0025250D">
              <w:rPr>
                <w:rtl/>
              </w:rPr>
              <w:t xml:space="preserve"> ز</w:t>
            </w:r>
            <w:r w:rsidRPr="0025250D">
              <w:rPr>
                <w:rFonts w:hint="cs"/>
                <w:rtl/>
              </w:rPr>
              <w:t>ی</w:t>
            </w:r>
            <w:r w:rsidRPr="0025250D">
              <w:rPr>
                <w:rFonts w:hint="eastAsia"/>
                <w:rtl/>
              </w:rPr>
              <w:t>ست</w:t>
            </w:r>
            <w:r w:rsidRPr="0025250D">
              <w:rPr>
                <w:rtl/>
              </w:rPr>
              <w:t xml:space="preserve"> برا</w:t>
            </w:r>
            <w:r w:rsidRPr="0025250D">
              <w:rPr>
                <w:rFonts w:hint="cs"/>
                <w:rtl/>
              </w:rPr>
              <w:t>ی</w:t>
            </w:r>
            <w:r w:rsidRPr="0025250D">
              <w:rPr>
                <w:rtl/>
              </w:rPr>
              <w:t xml:space="preserve"> قرن ب</w:t>
            </w:r>
            <w:r w:rsidRPr="0025250D">
              <w:rPr>
                <w:rFonts w:hint="cs"/>
                <w:rtl/>
              </w:rPr>
              <w:t>ی</w:t>
            </w:r>
            <w:r w:rsidRPr="0025250D">
              <w:rPr>
                <w:rFonts w:hint="eastAsia"/>
                <w:rtl/>
              </w:rPr>
              <w:t>ست</w:t>
            </w:r>
            <w:r w:rsidRPr="0025250D">
              <w:rPr>
                <w:rtl/>
              </w:rPr>
              <w:t xml:space="preserve"> و </w:t>
            </w:r>
            <w:r w:rsidRPr="0025250D">
              <w:rPr>
                <w:rFonts w:hint="cs"/>
                <w:rtl/>
              </w:rPr>
              <w:t>ی</w:t>
            </w:r>
            <w:r w:rsidRPr="0025250D">
              <w:rPr>
                <w:rFonts w:hint="eastAsia"/>
                <w:rtl/>
              </w:rPr>
              <w:t>کم</w:t>
            </w:r>
          </w:p>
        </w:tc>
        <w:tc>
          <w:tcPr>
            <w:tcW w:w="1497" w:type="dxa"/>
            <w:vAlign w:val="center"/>
          </w:tcPr>
          <w:p w14:paraId="1DEFFEB6" w14:textId="77777777" w:rsidR="00537CC8" w:rsidRPr="0025250D" w:rsidRDefault="00537CC8" w:rsidP="002925C9">
            <w:pPr>
              <w:bidi/>
              <w:spacing w:after="160"/>
              <w:jc w:val="center"/>
              <w:rPr>
                <w:rtl/>
              </w:rPr>
            </w:pPr>
            <w:r w:rsidRPr="0025250D">
              <w:rPr>
                <w:rtl/>
              </w:rPr>
              <w:t>1 (اوکلند</w:t>
            </w:r>
            <w:r w:rsidRPr="0025250D">
              <w:rPr>
                <w:rFonts w:hint="cs"/>
                <w:rtl/>
              </w:rPr>
              <w:t>)</w:t>
            </w:r>
          </w:p>
        </w:tc>
      </w:tr>
      <w:tr w:rsidR="00537CC8" w:rsidRPr="0025250D" w14:paraId="76C67FEF" w14:textId="77777777" w:rsidTr="002925C9">
        <w:tc>
          <w:tcPr>
            <w:tcW w:w="2266" w:type="dxa"/>
            <w:vAlign w:val="center"/>
          </w:tcPr>
          <w:p w14:paraId="1E7303C4" w14:textId="77777777" w:rsidR="00537CC8" w:rsidRPr="0025250D" w:rsidRDefault="007A207F" w:rsidP="002925C9">
            <w:pPr>
              <w:bidi/>
              <w:spacing w:after="160"/>
              <w:jc w:val="center"/>
              <w:rPr>
                <w:rtl/>
              </w:rPr>
            </w:pPr>
            <w:hyperlink r:id="rId351">
              <w:r w:rsidR="00537CC8" w:rsidRPr="0025250D">
                <w:rPr>
                  <w:rStyle w:val="Hyperlink"/>
                  <w:color w:val="auto"/>
                  <w:u w:val="none"/>
                </w:rPr>
                <w:t>BrightIdea</w:t>
              </w:r>
            </w:hyperlink>
          </w:p>
        </w:tc>
        <w:tc>
          <w:tcPr>
            <w:tcW w:w="3597" w:type="dxa"/>
            <w:vAlign w:val="center"/>
          </w:tcPr>
          <w:p w14:paraId="3D6437C4" w14:textId="77777777" w:rsidR="00537CC8" w:rsidRPr="0025250D" w:rsidRDefault="00537CC8" w:rsidP="002925C9">
            <w:pPr>
              <w:bidi/>
              <w:spacing w:after="160"/>
              <w:jc w:val="center"/>
              <w:rPr>
                <w:rtl/>
              </w:rPr>
            </w:pPr>
            <w:r w:rsidRPr="0025250D">
              <w:rPr>
                <w:rtl/>
              </w:rPr>
              <w:t>پلت فرم ا</w:t>
            </w:r>
            <w:r w:rsidRPr="0025250D">
              <w:rPr>
                <w:rFonts w:hint="cs"/>
                <w:rtl/>
              </w:rPr>
              <w:t>ی</w:t>
            </w:r>
            <w:r w:rsidRPr="0025250D">
              <w:rPr>
                <w:rFonts w:hint="eastAsia"/>
                <w:rtl/>
              </w:rPr>
              <w:t>ده</w:t>
            </w:r>
            <w:r w:rsidRPr="0025250D">
              <w:rPr>
                <w:rtl/>
              </w:rPr>
              <w:t xml:space="preserve"> پرداز</w:t>
            </w:r>
            <w:r w:rsidRPr="0025250D">
              <w:rPr>
                <w:rFonts w:hint="cs"/>
                <w:rtl/>
              </w:rPr>
              <w:t>ی</w:t>
            </w:r>
            <w:r w:rsidRPr="0025250D">
              <w:rPr>
                <w:rFonts w:hint="eastAsia"/>
                <w:rtl/>
              </w:rPr>
              <w:t>،</w:t>
            </w:r>
            <w:r w:rsidRPr="0025250D">
              <w:rPr>
                <w:rtl/>
              </w:rPr>
              <w:t xml:space="preserve"> محصولات نرم افزار</w:t>
            </w:r>
            <w:r w:rsidRPr="0025250D">
              <w:rPr>
                <w:rFonts w:hint="cs"/>
                <w:rtl/>
              </w:rPr>
              <w:t>ی</w:t>
            </w:r>
            <w:r w:rsidRPr="0025250D">
              <w:rPr>
                <w:rtl/>
              </w:rPr>
              <w:t xml:space="preserve"> برا</w:t>
            </w:r>
            <w:r w:rsidRPr="0025250D">
              <w:rPr>
                <w:rFonts w:hint="cs"/>
                <w:rtl/>
              </w:rPr>
              <w:t>ی</w:t>
            </w:r>
            <w:r w:rsidRPr="0025250D">
              <w:rPr>
                <w:rtl/>
              </w:rPr>
              <w:t xml:space="preserve"> چرخه ح</w:t>
            </w:r>
            <w:r w:rsidRPr="0025250D">
              <w:rPr>
                <w:rFonts w:hint="cs"/>
                <w:rtl/>
              </w:rPr>
              <w:t>ی</w:t>
            </w:r>
            <w:r w:rsidRPr="0025250D">
              <w:rPr>
                <w:rFonts w:hint="eastAsia"/>
                <w:rtl/>
              </w:rPr>
              <w:t>ات</w:t>
            </w:r>
            <w:r w:rsidRPr="0025250D">
              <w:rPr>
                <w:rtl/>
              </w:rPr>
              <w:t xml:space="preserve"> ا</w:t>
            </w:r>
            <w:r w:rsidRPr="0025250D">
              <w:rPr>
                <w:rFonts w:hint="cs"/>
                <w:rtl/>
              </w:rPr>
              <w:t>ی</w:t>
            </w:r>
            <w:r w:rsidRPr="0025250D">
              <w:rPr>
                <w:rFonts w:hint="eastAsia"/>
                <w:rtl/>
              </w:rPr>
              <w:t>ده</w:t>
            </w:r>
            <w:r w:rsidRPr="0025250D">
              <w:rPr>
                <w:rtl/>
              </w:rPr>
              <w:t>.</w:t>
            </w:r>
          </w:p>
        </w:tc>
        <w:tc>
          <w:tcPr>
            <w:tcW w:w="1497" w:type="dxa"/>
            <w:vAlign w:val="center"/>
          </w:tcPr>
          <w:p w14:paraId="48BC3192" w14:textId="77777777" w:rsidR="00537CC8" w:rsidRPr="0025250D" w:rsidRDefault="00537CC8" w:rsidP="002925C9">
            <w:pPr>
              <w:bidi/>
              <w:spacing w:after="160"/>
              <w:jc w:val="center"/>
              <w:rPr>
                <w:rtl/>
              </w:rPr>
            </w:pPr>
            <w:r w:rsidRPr="0025250D">
              <w:rPr>
                <w:rtl/>
              </w:rPr>
              <w:t>1 (سانفرانس</w:t>
            </w:r>
            <w:r w:rsidRPr="0025250D">
              <w:rPr>
                <w:rFonts w:hint="cs"/>
                <w:rtl/>
              </w:rPr>
              <w:t>ی</w:t>
            </w:r>
            <w:r w:rsidRPr="0025250D">
              <w:rPr>
                <w:rFonts w:hint="eastAsia"/>
                <w:rtl/>
              </w:rPr>
              <w:t>سکو</w:t>
            </w:r>
            <w:r w:rsidRPr="0025250D">
              <w:rPr>
                <w:rFonts w:hint="cs"/>
                <w:rtl/>
              </w:rPr>
              <w:t>)</w:t>
            </w:r>
          </w:p>
        </w:tc>
      </w:tr>
      <w:tr w:rsidR="00537CC8" w:rsidRPr="0025250D" w14:paraId="3F1B9747" w14:textId="77777777" w:rsidTr="002925C9">
        <w:tc>
          <w:tcPr>
            <w:tcW w:w="2266" w:type="dxa"/>
            <w:vAlign w:val="center"/>
          </w:tcPr>
          <w:p w14:paraId="3826E21F" w14:textId="77777777" w:rsidR="00537CC8" w:rsidRPr="0025250D" w:rsidRDefault="007A207F" w:rsidP="002925C9">
            <w:pPr>
              <w:bidi/>
              <w:spacing w:after="160"/>
              <w:jc w:val="center"/>
              <w:rPr>
                <w:rtl/>
              </w:rPr>
            </w:pPr>
            <w:hyperlink r:id="rId352">
              <w:r w:rsidR="00537CC8" w:rsidRPr="0025250D">
                <w:rPr>
                  <w:rStyle w:val="Hyperlink"/>
                  <w:color w:val="auto"/>
                  <w:u w:val="none"/>
                </w:rPr>
                <w:t>Cambridge Leadership Associates</w:t>
              </w:r>
            </w:hyperlink>
          </w:p>
        </w:tc>
        <w:tc>
          <w:tcPr>
            <w:tcW w:w="3597" w:type="dxa"/>
            <w:vAlign w:val="center"/>
          </w:tcPr>
          <w:p w14:paraId="46BD8120" w14:textId="7BF61448" w:rsidR="00537CC8" w:rsidRPr="0025250D" w:rsidRDefault="00537CC8" w:rsidP="002925C9">
            <w:pPr>
              <w:bidi/>
              <w:spacing w:after="160"/>
              <w:jc w:val="center"/>
              <w:rPr>
                <w:rtl/>
              </w:rPr>
            </w:pPr>
            <w:r w:rsidRPr="0025250D">
              <w:rPr>
                <w:rtl/>
              </w:rPr>
              <w:t>ران ها</w:t>
            </w:r>
            <w:r w:rsidRPr="0025250D">
              <w:rPr>
                <w:rFonts w:hint="cs"/>
                <w:rtl/>
              </w:rPr>
              <w:t>ی</w:t>
            </w:r>
            <w:r w:rsidRPr="0025250D">
              <w:rPr>
                <w:rFonts w:hint="eastAsia"/>
                <w:rtl/>
              </w:rPr>
              <w:t>فد</w:t>
            </w:r>
            <w:r w:rsidRPr="0025250D">
              <w:rPr>
                <w:vertAlign w:val="superscript"/>
                <w:rtl/>
              </w:rPr>
              <w:footnoteReference w:id="3076"/>
            </w:r>
            <w:r w:rsidRPr="0025250D">
              <w:rPr>
                <w:rFonts w:hint="eastAsia"/>
                <w:rtl/>
              </w:rPr>
              <w:t>،</w:t>
            </w:r>
            <w:r w:rsidRPr="0025250D">
              <w:rPr>
                <w:rtl/>
              </w:rPr>
              <w:t xml:space="preserve"> الکس گراشو</w:t>
            </w:r>
            <w:r w:rsidRPr="0025250D">
              <w:rPr>
                <w:vertAlign w:val="superscript"/>
                <w:rtl/>
              </w:rPr>
              <w:footnoteReference w:id="3077"/>
            </w:r>
            <w:r w:rsidRPr="0025250D">
              <w:rPr>
                <w:rtl/>
              </w:rPr>
              <w:t>، مارت</w:t>
            </w:r>
            <w:r w:rsidRPr="0025250D">
              <w:rPr>
                <w:rFonts w:hint="cs"/>
                <w:rtl/>
              </w:rPr>
              <w:t>ی</w:t>
            </w:r>
            <w:r w:rsidRPr="0025250D">
              <w:rPr>
                <w:rtl/>
              </w:rPr>
              <w:t xml:space="preserve"> ل</w:t>
            </w:r>
            <w:r w:rsidRPr="0025250D">
              <w:rPr>
                <w:rFonts w:hint="cs"/>
                <w:rtl/>
              </w:rPr>
              <w:t>ی</w:t>
            </w:r>
            <w:r w:rsidRPr="0025250D">
              <w:rPr>
                <w:rFonts w:hint="eastAsia"/>
                <w:rtl/>
              </w:rPr>
              <w:t>نسک</w:t>
            </w:r>
            <w:r w:rsidRPr="0025250D">
              <w:rPr>
                <w:rFonts w:hint="cs"/>
                <w:rtl/>
              </w:rPr>
              <w:t>ی</w:t>
            </w:r>
            <w:r w:rsidRPr="0025250D">
              <w:rPr>
                <w:vertAlign w:val="superscript"/>
                <w:rtl/>
              </w:rPr>
              <w:footnoteReference w:id="3078"/>
            </w:r>
            <w:r w:rsidRPr="0025250D">
              <w:rPr>
                <w:rFonts w:hint="eastAsia"/>
                <w:rtl/>
              </w:rPr>
              <w:t>؛</w:t>
            </w:r>
            <w:r w:rsidRPr="0025250D">
              <w:rPr>
                <w:rtl/>
              </w:rPr>
              <w:t xml:space="preserve"> توسعه دهندگان چارچوب رهبر</w:t>
            </w:r>
            <w:r w:rsidRPr="0025250D">
              <w:rPr>
                <w:rFonts w:hint="cs"/>
                <w:rtl/>
              </w:rPr>
              <w:t>ی</w:t>
            </w:r>
            <w:r w:rsidRPr="0025250D">
              <w:rPr>
                <w:rtl/>
              </w:rPr>
              <w:t xml:space="preserve"> </w:t>
            </w:r>
            <w:r w:rsidR="002F3C14" w:rsidRPr="0025250D">
              <w:rPr>
                <w:rtl/>
              </w:rPr>
              <w:t>انطباقی</w:t>
            </w:r>
            <w:r w:rsidRPr="0025250D">
              <w:rPr>
                <w:rtl/>
              </w:rPr>
              <w:t>. شرکت، دولت، مشتر</w:t>
            </w:r>
            <w:r w:rsidRPr="0025250D">
              <w:rPr>
                <w:rFonts w:hint="cs"/>
                <w:rtl/>
              </w:rPr>
              <w:t>ی</w:t>
            </w:r>
            <w:r w:rsidRPr="0025250D">
              <w:rPr>
                <w:rFonts w:hint="eastAsia"/>
                <w:rtl/>
              </w:rPr>
              <w:t>ان</w:t>
            </w:r>
            <w:r w:rsidRPr="0025250D">
              <w:rPr>
                <w:rtl/>
              </w:rPr>
              <w:t xml:space="preserve"> غ</w:t>
            </w:r>
            <w:r w:rsidRPr="0025250D">
              <w:rPr>
                <w:rFonts w:hint="cs"/>
                <w:rtl/>
              </w:rPr>
              <w:t>ی</w:t>
            </w:r>
            <w:r w:rsidRPr="0025250D">
              <w:rPr>
                <w:rFonts w:hint="eastAsia"/>
                <w:rtl/>
              </w:rPr>
              <w:t>رانتفاع</w:t>
            </w:r>
            <w:r w:rsidRPr="0025250D">
              <w:rPr>
                <w:rFonts w:hint="cs"/>
                <w:rtl/>
              </w:rPr>
              <w:t>ی</w:t>
            </w:r>
            <w:r w:rsidRPr="0025250D">
              <w:rPr>
                <w:rtl/>
              </w:rPr>
              <w:t>.</w:t>
            </w:r>
          </w:p>
        </w:tc>
        <w:tc>
          <w:tcPr>
            <w:tcW w:w="1497" w:type="dxa"/>
            <w:vAlign w:val="center"/>
          </w:tcPr>
          <w:p w14:paraId="6F0F7580" w14:textId="77777777" w:rsidR="00537CC8" w:rsidRPr="0025250D" w:rsidRDefault="00537CC8" w:rsidP="002925C9">
            <w:pPr>
              <w:bidi/>
              <w:spacing w:after="160"/>
              <w:jc w:val="center"/>
              <w:rPr>
                <w:rtl/>
              </w:rPr>
            </w:pPr>
            <w:r w:rsidRPr="0025250D">
              <w:rPr>
                <w:rtl/>
              </w:rPr>
              <w:t>1 (ن</w:t>
            </w:r>
            <w:r w:rsidRPr="0025250D">
              <w:rPr>
                <w:rFonts w:hint="cs"/>
                <w:rtl/>
              </w:rPr>
              <w:t>ی</w:t>
            </w:r>
            <w:r w:rsidRPr="0025250D">
              <w:rPr>
                <w:rFonts w:hint="eastAsia"/>
                <w:rtl/>
              </w:rPr>
              <w:t>و</w:t>
            </w:r>
            <w:r w:rsidRPr="0025250D">
              <w:rPr>
                <w:rFonts w:hint="cs"/>
                <w:rtl/>
              </w:rPr>
              <w:t>ی</w:t>
            </w:r>
            <w:r w:rsidRPr="0025250D">
              <w:rPr>
                <w:rFonts w:hint="eastAsia"/>
                <w:rtl/>
              </w:rPr>
              <w:t>ورک</w:t>
            </w:r>
            <w:r w:rsidRPr="0025250D">
              <w:rPr>
                <w:rFonts w:hint="cs"/>
                <w:rtl/>
              </w:rPr>
              <w:t>)</w:t>
            </w:r>
          </w:p>
        </w:tc>
      </w:tr>
      <w:tr w:rsidR="00537CC8" w:rsidRPr="0025250D" w14:paraId="0C9A3A91" w14:textId="77777777" w:rsidTr="002925C9">
        <w:tc>
          <w:tcPr>
            <w:tcW w:w="2266" w:type="dxa"/>
            <w:vAlign w:val="center"/>
          </w:tcPr>
          <w:p w14:paraId="2087484D" w14:textId="77777777" w:rsidR="00537CC8" w:rsidRPr="0025250D" w:rsidRDefault="007A207F" w:rsidP="002925C9">
            <w:pPr>
              <w:bidi/>
              <w:spacing w:after="160"/>
              <w:jc w:val="center"/>
              <w:rPr>
                <w:rtl/>
              </w:rPr>
            </w:pPr>
            <w:hyperlink r:id="rId353">
              <w:r w:rsidR="00537CC8" w:rsidRPr="0025250D">
                <w:rPr>
                  <w:rStyle w:val="Hyperlink"/>
                  <w:color w:val="auto"/>
                  <w:u w:val="none"/>
                </w:rPr>
                <w:t>CB Insights</w:t>
              </w:r>
            </w:hyperlink>
          </w:p>
        </w:tc>
        <w:tc>
          <w:tcPr>
            <w:tcW w:w="3597" w:type="dxa"/>
            <w:vAlign w:val="center"/>
          </w:tcPr>
          <w:p w14:paraId="00ED6CB8" w14:textId="77777777" w:rsidR="00537CC8" w:rsidRPr="0025250D" w:rsidRDefault="00537CC8" w:rsidP="002925C9">
            <w:pPr>
              <w:bidi/>
              <w:spacing w:after="160"/>
              <w:jc w:val="center"/>
              <w:rPr>
                <w:rtl/>
              </w:rPr>
            </w:pPr>
            <w:r w:rsidRPr="0025250D">
              <w:rPr>
                <w:rtl/>
              </w:rPr>
              <w:t>داده‌ها</w:t>
            </w:r>
            <w:r w:rsidRPr="0025250D">
              <w:rPr>
                <w:rFonts w:hint="cs"/>
                <w:rtl/>
              </w:rPr>
              <w:t>ی</w:t>
            </w:r>
            <w:r w:rsidRPr="0025250D">
              <w:rPr>
                <w:rtl/>
              </w:rPr>
              <w:t xml:space="preserve"> بازار در زم</w:t>
            </w:r>
            <w:r w:rsidRPr="0025250D">
              <w:rPr>
                <w:rFonts w:hint="cs"/>
                <w:rtl/>
              </w:rPr>
              <w:t>ی</w:t>
            </w:r>
            <w:r w:rsidRPr="0025250D">
              <w:rPr>
                <w:rFonts w:hint="eastAsia"/>
                <w:rtl/>
              </w:rPr>
              <w:t>نه</w:t>
            </w:r>
            <w:r w:rsidRPr="0025250D">
              <w:rPr>
                <w:rtl/>
              </w:rPr>
              <w:t xml:space="preserve"> فن‌آور</w:t>
            </w:r>
            <w:r w:rsidRPr="0025250D">
              <w:rPr>
                <w:rFonts w:hint="cs"/>
                <w:rtl/>
              </w:rPr>
              <w:t>ی</w:t>
            </w:r>
            <w:r w:rsidRPr="0025250D">
              <w:rPr>
                <w:rFonts w:hint="eastAsia"/>
                <w:rtl/>
              </w:rPr>
              <w:t>،</w:t>
            </w:r>
            <w:r w:rsidRPr="0025250D">
              <w:rPr>
                <w:rtl/>
              </w:rPr>
              <w:t xml:space="preserve"> فناور</w:t>
            </w:r>
            <w:r w:rsidRPr="0025250D">
              <w:rPr>
                <w:rFonts w:hint="cs"/>
                <w:rtl/>
              </w:rPr>
              <w:t>ی</w:t>
            </w:r>
            <w:r w:rsidRPr="0025250D">
              <w:rPr>
                <w:rtl/>
              </w:rPr>
              <w:t xml:space="preserve"> ب</w:t>
            </w:r>
            <w:r w:rsidRPr="0025250D">
              <w:rPr>
                <w:rFonts w:hint="cs"/>
                <w:rtl/>
              </w:rPr>
              <w:t>ی</w:t>
            </w:r>
            <w:r w:rsidRPr="0025250D">
              <w:rPr>
                <w:rFonts w:hint="eastAsia"/>
                <w:rtl/>
              </w:rPr>
              <w:t>مه،</w:t>
            </w:r>
            <w:r w:rsidRPr="0025250D">
              <w:rPr>
                <w:rtl/>
              </w:rPr>
              <w:t xml:space="preserve"> فناور</w:t>
            </w:r>
            <w:r w:rsidRPr="0025250D">
              <w:rPr>
                <w:rFonts w:hint="cs"/>
                <w:rtl/>
              </w:rPr>
              <w:t>ی</w:t>
            </w:r>
            <w:r w:rsidRPr="0025250D">
              <w:rPr>
                <w:rFonts w:hint="eastAsia"/>
                <w:rtl/>
              </w:rPr>
              <w:t>،</w:t>
            </w:r>
            <w:r w:rsidRPr="0025250D">
              <w:rPr>
                <w:rtl/>
              </w:rPr>
              <w:t xml:space="preserve"> سلامت د</w:t>
            </w:r>
            <w:r w:rsidRPr="0025250D">
              <w:rPr>
                <w:rFonts w:hint="cs"/>
                <w:rtl/>
              </w:rPr>
              <w:t>ی</w:t>
            </w:r>
            <w:r w:rsidRPr="0025250D">
              <w:rPr>
                <w:rFonts w:hint="eastAsia"/>
                <w:rtl/>
              </w:rPr>
              <w:t>ج</w:t>
            </w:r>
            <w:r w:rsidRPr="0025250D">
              <w:rPr>
                <w:rFonts w:hint="cs"/>
                <w:rtl/>
              </w:rPr>
              <w:t>ی</w:t>
            </w:r>
            <w:r w:rsidRPr="0025250D">
              <w:rPr>
                <w:rFonts w:hint="eastAsia"/>
                <w:rtl/>
              </w:rPr>
              <w:t>تال،</w:t>
            </w:r>
            <w:r w:rsidRPr="0025250D">
              <w:rPr>
                <w:rtl/>
              </w:rPr>
              <w:t xml:space="preserve"> فناور</w:t>
            </w:r>
            <w:r w:rsidRPr="0025250D">
              <w:rPr>
                <w:rFonts w:hint="cs"/>
                <w:rtl/>
              </w:rPr>
              <w:t>ی</w:t>
            </w:r>
            <w:r w:rsidRPr="0025250D">
              <w:rPr>
                <w:rtl/>
              </w:rPr>
              <w:t xml:space="preserve"> پاک، ا</w:t>
            </w:r>
            <w:r w:rsidRPr="0025250D">
              <w:rPr>
                <w:rFonts w:hint="cs"/>
                <w:rtl/>
              </w:rPr>
              <w:t>ی</w:t>
            </w:r>
            <w:r w:rsidRPr="0025250D">
              <w:rPr>
                <w:rFonts w:hint="eastAsia"/>
                <w:rtl/>
              </w:rPr>
              <w:t>نترنت</w:t>
            </w:r>
            <w:r w:rsidRPr="0025250D">
              <w:rPr>
                <w:rtl/>
              </w:rPr>
              <w:t xml:space="preserve"> اش</w:t>
            </w:r>
            <w:r w:rsidRPr="0025250D">
              <w:rPr>
                <w:rFonts w:hint="cs"/>
                <w:rtl/>
              </w:rPr>
              <w:t>ی</w:t>
            </w:r>
            <w:r w:rsidRPr="0025250D">
              <w:rPr>
                <w:rFonts w:hint="eastAsia"/>
                <w:rtl/>
              </w:rPr>
              <w:t>ا</w:t>
            </w:r>
            <w:r w:rsidRPr="0025250D">
              <w:rPr>
                <w:rtl/>
              </w:rPr>
              <w:t xml:space="preserve"> و صنا</w:t>
            </w:r>
            <w:r w:rsidRPr="0025250D">
              <w:rPr>
                <w:rFonts w:hint="cs"/>
                <w:rtl/>
              </w:rPr>
              <w:t>ی</w:t>
            </w:r>
            <w:r w:rsidRPr="0025250D">
              <w:rPr>
                <w:rFonts w:hint="eastAsia"/>
                <w:rtl/>
              </w:rPr>
              <w:t>ع</w:t>
            </w:r>
            <w:r w:rsidRPr="0025250D">
              <w:rPr>
                <w:rtl/>
              </w:rPr>
              <w:t xml:space="preserve"> موبا</w:t>
            </w:r>
            <w:r w:rsidRPr="0025250D">
              <w:rPr>
                <w:rFonts w:hint="cs"/>
                <w:rtl/>
              </w:rPr>
              <w:t>ی</w:t>
            </w:r>
            <w:r w:rsidRPr="0025250D">
              <w:rPr>
                <w:rFonts w:hint="eastAsia"/>
                <w:rtl/>
              </w:rPr>
              <w:t>ل</w:t>
            </w:r>
            <w:r w:rsidRPr="0025250D">
              <w:rPr>
                <w:rtl/>
              </w:rPr>
              <w:t>.</w:t>
            </w:r>
          </w:p>
        </w:tc>
        <w:tc>
          <w:tcPr>
            <w:tcW w:w="1497" w:type="dxa"/>
            <w:vAlign w:val="center"/>
          </w:tcPr>
          <w:p w14:paraId="2F7091E8" w14:textId="77777777" w:rsidR="00537CC8" w:rsidRPr="0025250D" w:rsidRDefault="00537CC8" w:rsidP="002925C9">
            <w:pPr>
              <w:bidi/>
              <w:spacing w:after="160"/>
              <w:jc w:val="center"/>
              <w:rPr>
                <w:rtl/>
              </w:rPr>
            </w:pPr>
            <w:r w:rsidRPr="0025250D">
              <w:rPr>
                <w:rtl/>
              </w:rPr>
              <w:t>1 (ن</w:t>
            </w:r>
            <w:r w:rsidRPr="0025250D">
              <w:rPr>
                <w:rFonts w:hint="cs"/>
                <w:rtl/>
              </w:rPr>
              <w:t>ی</w:t>
            </w:r>
            <w:r w:rsidRPr="0025250D">
              <w:rPr>
                <w:rFonts w:hint="eastAsia"/>
                <w:rtl/>
              </w:rPr>
              <w:t>و</w:t>
            </w:r>
            <w:r w:rsidRPr="0025250D">
              <w:rPr>
                <w:rFonts w:hint="cs"/>
                <w:rtl/>
              </w:rPr>
              <w:t>ی</w:t>
            </w:r>
            <w:r w:rsidRPr="0025250D">
              <w:rPr>
                <w:rFonts w:hint="eastAsia"/>
                <w:rtl/>
              </w:rPr>
              <w:t>ورک</w:t>
            </w:r>
            <w:r w:rsidRPr="0025250D">
              <w:rPr>
                <w:rFonts w:hint="cs"/>
                <w:rtl/>
              </w:rPr>
              <w:t>)</w:t>
            </w:r>
          </w:p>
        </w:tc>
      </w:tr>
      <w:tr w:rsidR="00537CC8" w:rsidRPr="0025250D" w14:paraId="5B4D4695" w14:textId="77777777" w:rsidTr="002925C9">
        <w:tc>
          <w:tcPr>
            <w:tcW w:w="2266" w:type="dxa"/>
            <w:vAlign w:val="center"/>
          </w:tcPr>
          <w:p w14:paraId="13C57E05" w14:textId="77777777" w:rsidR="00537CC8" w:rsidRPr="0025250D" w:rsidRDefault="007A207F" w:rsidP="002925C9">
            <w:pPr>
              <w:bidi/>
              <w:spacing w:after="160"/>
              <w:jc w:val="center"/>
              <w:rPr>
                <w:rtl/>
              </w:rPr>
            </w:pPr>
            <w:hyperlink r:id="rId354">
              <w:r w:rsidR="00537CC8" w:rsidRPr="0025250D">
                <w:rPr>
                  <w:rStyle w:val="Hyperlink"/>
                  <w:color w:val="auto"/>
                  <w:u w:val="none"/>
                </w:rPr>
                <w:t>Cognitive Edge</w:t>
              </w:r>
            </w:hyperlink>
          </w:p>
        </w:tc>
        <w:tc>
          <w:tcPr>
            <w:tcW w:w="3597" w:type="dxa"/>
            <w:vAlign w:val="center"/>
          </w:tcPr>
          <w:p w14:paraId="1A803D87" w14:textId="77777777" w:rsidR="00537CC8" w:rsidRPr="0025250D" w:rsidRDefault="00537CC8" w:rsidP="002925C9">
            <w:pPr>
              <w:bidi/>
              <w:spacing w:after="160"/>
              <w:jc w:val="center"/>
              <w:rPr>
                <w:rtl/>
              </w:rPr>
            </w:pPr>
            <w:r w:rsidRPr="0025250D">
              <w:rPr>
                <w:rtl/>
              </w:rPr>
              <w:t>آموزش، شبکه و نرم افزار برا</w:t>
            </w:r>
            <w:r w:rsidRPr="0025250D">
              <w:rPr>
                <w:rFonts w:hint="cs"/>
                <w:rtl/>
              </w:rPr>
              <w:t>ی</w:t>
            </w:r>
            <w:r w:rsidRPr="0025250D">
              <w:rPr>
                <w:rtl/>
              </w:rPr>
              <w:t xml:space="preserve">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پ</w:t>
            </w:r>
            <w:r w:rsidRPr="0025250D">
              <w:rPr>
                <w:rFonts w:hint="cs"/>
                <w:rtl/>
              </w:rPr>
              <w:t>ی</w:t>
            </w:r>
            <w:r w:rsidRPr="0025250D">
              <w:rPr>
                <w:rFonts w:hint="eastAsia"/>
                <w:rtl/>
              </w:rPr>
              <w:t>چ</w:t>
            </w:r>
            <w:r w:rsidRPr="0025250D">
              <w:rPr>
                <w:rFonts w:hint="cs"/>
                <w:rtl/>
              </w:rPr>
              <w:t>ی</w:t>
            </w:r>
            <w:r w:rsidRPr="0025250D">
              <w:rPr>
                <w:rFonts w:hint="eastAsia"/>
                <w:rtl/>
              </w:rPr>
              <w:t>دگ</w:t>
            </w:r>
            <w:r w:rsidRPr="0025250D">
              <w:rPr>
                <w:rFonts w:hint="cs"/>
                <w:rtl/>
              </w:rPr>
              <w:t>ی</w:t>
            </w:r>
            <w:r w:rsidRPr="0025250D">
              <w:rPr>
                <w:rtl/>
              </w:rPr>
              <w:t>.</w:t>
            </w:r>
          </w:p>
        </w:tc>
        <w:tc>
          <w:tcPr>
            <w:tcW w:w="1497" w:type="dxa"/>
            <w:vAlign w:val="center"/>
          </w:tcPr>
          <w:p w14:paraId="44C52C9C" w14:textId="77777777" w:rsidR="00537CC8" w:rsidRPr="0025250D" w:rsidRDefault="00537CC8" w:rsidP="002925C9">
            <w:pPr>
              <w:bidi/>
              <w:spacing w:after="160"/>
              <w:jc w:val="center"/>
              <w:rPr>
                <w:rtl/>
              </w:rPr>
            </w:pPr>
            <w:r w:rsidRPr="0025250D">
              <w:rPr>
                <w:rtl/>
              </w:rPr>
              <w:t>10 (سنگاپور)</w:t>
            </w:r>
          </w:p>
        </w:tc>
      </w:tr>
      <w:tr w:rsidR="00537CC8" w:rsidRPr="0025250D" w14:paraId="614AD132" w14:textId="77777777" w:rsidTr="002925C9">
        <w:tc>
          <w:tcPr>
            <w:tcW w:w="2266" w:type="dxa"/>
            <w:vAlign w:val="center"/>
          </w:tcPr>
          <w:p w14:paraId="3E99A57C" w14:textId="77777777" w:rsidR="00537CC8" w:rsidRPr="0025250D" w:rsidRDefault="007A207F" w:rsidP="002925C9">
            <w:pPr>
              <w:bidi/>
              <w:spacing w:after="160"/>
              <w:jc w:val="center"/>
              <w:rPr>
                <w:rtl/>
              </w:rPr>
            </w:pPr>
            <w:hyperlink r:id="rId355">
              <w:r w:rsidR="00537CC8" w:rsidRPr="0025250D">
                <w:rPr>
                  <w:rStyle w:val="Hyperlink"/>
                  <w:color w:val="auto"/>
                  <w:u w:val="none"/>
                </w:rPr>
                <w:t>Copenhagen Institute for Futures Studies</w:t>
              </w:r>
            </w:hyperlink>
          </w:p>
        </w:tc>
        <w:tc>
          <w:tcPr>
            <w:tcW w:w="3597" w:type="dxa"/>
            <w:vAlign w:val="center"/>
          </w:tcPr>
          <w:p w14:paraId="276E5A58" w14:textId="4089CD5F" w:rsidR="00537CC8" w:rsidRPr="0025250D" w:rsidRDefault="00537CC8" w:rsidP="002925C9">
            <w:pPr>
              <w:bidi/>
              <w:spacing w:after="160"/>
              <w:jc w:val="center"/>
              <w:rPr>
                <w:rtl/>
              </w:rPr>
            </w:pPr>
            <w:r w:rsidRPr="0025250D">
              <w:rPr>
                <w:rtl/>
              </w:rPr>
              <w:t>اولر</w:t>
            </w:r>
            <w:r w:rsidRPr="0025250D">
              <w:rPr>
                <w:rFonts w:hint="cs"/>
                <w:rtl/>
              </w:rPr>
              <w:t>ی</w:t>
            </w:r>
            <w:r w:rsidRPr="0025250D">
              <w:rPr>
                <w:rFonts w:hint="eastAsia"/>
                <w:rtl/>
              </w:rPr>
              <w:t>ک</w:t>
            </w:r>
            <w:r w:rsidRPr="0025250D">
              <w:rPr>
                <w:rtl/>
              </w:rPr>
              <w:t xml:space="preserve"> بل</w:t>
            </w:r>
            <w:r w:rsidRPr="0025250D">
              <w:rPr>
                <w:rFonts w:hint="cs"/>
                <w:rtl/>
              </w:rPr>
              <w:t>ی</w:t>
            </w:r>
            <w:r w:rsidRPr="0025250D">
              <w:rPr>
                <w:rFonts w:hint="eastAsia"/>
                <w:rtl/>
              </w:rPr>
              <w:t>نکنبرگ</w:t>
            </w:r>
            <w:r w:rsidRPr="0025250D">
              <w:rPr>
                <w:vertAlign w:val="superscript"/>
                <w:rtl/>
              </w:rPr>
              <w:footnoteReference w:id="3079"/>
            </w:r>
            <w:r w:rsidRPr="0025250D">
              <w:rPr>
                <w:rFonts w:hint="eastAsia"/>
                <w:rtl/>
              </w:rPr>
              <w:t>،</w:t>
            </w:r>
            <w:r w:rsidRPr="0025250D">
              <w:rPr>
                <w:rtl/>
              </w:rPr>
              <w:t xml:space="preserve"> مارت</w:t>
            </w:r>
            <w:r w:rsidRPr="0025250D">
              <w:rPr>
                <w:rFonts w:hint="cs"/>
                <w:rtl/>
              </w:rPr>
              <w:t>ی</w:t>
            </w:r>
            <w:r w:rsidRPr="0025250D">
              <w:rPr>
                <w:rFonts w:hint="eastAsia"/>
                <w:rtl/>
              </w:rPr>
              <w:t>ن</w:t>
            </w:r>
            <w:r w:rsidRPr="0025250D">
              <w:rPr>
                <w:rtl/>
              </w:rPr>
              <w:t xml:space="preserve"> کروزه</w:t>
            </w:r>
            <w:r w:rsidRPr="0025250D">
              <w:rPr>
                <w:vertAlign w:val="superscript"/>
                <w:rtl/>
              </w:rPr>
              <w:footnoteReference w:id="3080"/>
            </w:r>
            <w:r w:rsidRPr="0025250D">
              <w:rPr>
                <w:rtl/>
              </w:rPr>
              <w:t xml:space="preserve">؛ </w:t>
            </w:r>
            <w:r w:rsidR="00D92F6E" w:rsidRPr="0025250D">
              <w:rPr>
                <w:rtl/>
              </w:rPr>
              <w:t>آینده‌پژوه</w:t>
            </w:r>
            <w:r w:rsidRPr="0025250D">
              <w:rPr>
                <w:rFonts w:hint="cs"/>
                <w:rtl/>
              </w:rPr>
              <w:t>ی</w:t>
            </w:r>
            <w:r w:rsidRPr="0025250D">
              <w:rPr>
                <w:rtl/>
              </w:rPr>
              <w:t xml:space="preserve"> / آینده‌نگاری برا</w:t>
            </w:r>
            <w:r w:rsidRPr="0025250D">
              <w:rPr>
                <w:rFonts w:hint="cs"/>
                <w:rtl/>
              </w:rPr>
              <w:t>ی</w:t>
            </w:r>
            <w:r w:rsidRPr="0025250D">
              <w:rPr>
                <w:rtl/>
              </w:rPr>
              <w:t xml:space="preserve"> سازمان‌های دولت</w:t>
            </w:r>
            <w:r w:rsidRPr="0025250D">
              <w:rPr>
                <w:rFonts w:hint="cs"/>
                <w:rtl/>
              </w:rPr>
              <w:t>ی</w:t>
            </w:r>
            <w:r w:rsidRPr="0025250D">
              <w:rPr>
                <w:rtl/>
              </w:rPr>
              <w:t xml:space="preserve"> و خصوص</w:t>
            </w:r>
            <w:r w:rsidRPr="0025250D">
              <w:rPr>
                <w:rFonts w:hint="cs"/>
                <w:rtl/>
              </w:rPr>
              <w:t>ی</w:t>
            </w:r>
            <w:r w:rsidRPr="0025250D">
              <w:rPr>
                <w:rtl/>
              </w:rPr>
              <w:t>.</w:t>
            </w:r>
          </w:p>
        </w:tc>
        <w:tc>
          <w:tcPr>
            <w:tcW w:w="1497" w:type="dxa"/>
            <w:vAlign w:val="center"/>
          </w:tcPr>
          <w:p w14:paraId="4F8CA2B5" w14:textId="77777777" w:rsidR="00537CC8" w:rsidRPr="0025250D" w:rsidRDefault="00537CC8" w:rsidP="002925C9">
            <w:pPr>
              <w:bidi/>
              <w:spacing w:after="160"/>
              <w:jc w:val="center"/>
              <w:rPr>
                <w:rtl/>
              </w:rPr>
            </w:pPr>
            <w:r w:rsidRPr="0025250D">
              <w:rPr>
                <w:rtl/>
              </w:rPr>
              <w:t xml:space="preserve">3 (کپنهاگ، </w:t>
            </w:r>
            <w:r w:rsidRPr="0025250D">
              <w:rPr>
                <w:rFonts w:hint="cs"/>
                <w:rtl/>
              </w:rPr>
              <w:t>دانمارک</w:t>
            </w:r>
            <w:r w:rsidRPr="0025250D">
              <w:rPr>
                <w:rtl/>
              </w:rPr>
              <w:t>)</w:t>
            </w:r>
          </w:p>
        </w:tc>
      </w:tr>
      <w:tr w:rsidR="00537CC8" w:rsidRPr="0025250D" w14:paraId="547249FC" w14:textId="77777777" w:rsidTr="002925C9">
        <w:tc>
          <w:tcPr>
            <w:tcW w:w="2266" w:type="dxa"/>
            <w:vAlign w:val="center"/>
          </w:tcPr>
          <w:p w14:paraId="0E484408" w14:textId="77777777" w:rsidR="00537CC8" w:rsidRPr="0025250D" w:rsidRDefault="007A207F" w:rsidP="002925C9">
            <w:pPr>
              <w:bidi/>
              <w:spacing w:after="160"/>
              <w:jc w:val="center"/>
              <w:rPr>
                <w:rtl/>
              </w:rPr>
            </w:pPr>
            <w:hyperlink r:id="rId356">
              <w:r w:rsidR="00537CC8" w:rsidRPr="0025250D">
                <w:rPr>
                  <w:rStyle w:val="Hyperlink"/>
                  <w:color w:val="auto"/>
                  <w:u w:val="none"/>
                </w:rPr>
                <w:t>Datamonitor</w:t>
              </w:r>
            </w:hyperlink>
          </w:p>
        </w:tc>
        <w:tc>
          <w:tcPr>
            <w:tcW w:w="3597" w:type="dxa"/>
            <w:vAlign w:val="center"/>
          </w:tcPr>
          <w:p w14:paraId="0566AAB8" w14:textId="77777777" w:rsidR="00537CC8" w:rsidRPr="0025250D" w:rsidRDefault="00537CC8" w:rsidP="002925C9">
            <w:pPr>
              <w:bidi/>
              <w:spacing w:after="160"/>
              <w:jc w:val="center"/>
              <w:rPr>
                <w:rtl/>
              </w:rPr>
            </w:pPr>
            <w:r w:rsidRPr="0025250D">
              <w:rPr>
                <w:rtl/>
              </w:rPr>
              <w:t>تحق</w:t>
            </w:r>
            <w:r w:rsidRPr="0025250D">
              <w:rPr>
                <w:rFonts w:hint="cs"/>
                <w:rtl/>
              </w:rPr>
              <w:t>ی</w:t>
            </w:r>
            <w:r w:rsidRPr="0025250D">
              <w:rPr>
                <w:rFonts w:hint="eastAsia"/>
                <w:rtl/>
              </w:rPr>
              <w:t>قات</w:t>
            </w:r>
            <w:r w:rsidRPr="0025250D">
              <w:rPr>
                <w:rtl/>
              </w:rPr>
              <w:t xml:space="preserve"> بازار</w:t>
            </w:r>
            <w:r w:rsidRPr="0025250D">
              <w:rPr>
                <w:rFonts w:hint="cs"/>
                <w:rtl/>
              </w:rPr>
              <w:t>.</w:t>
            </w:r>
            <w:r w:rsidRPr="0025250D">
              <w:rPr>
                <w:rtl/>
              </w:rPr>
              <w:t xml:space="preserve"> بخش اطلاعات</w:t>
            </w:r>
          </w:p>
        </w:tc>
        <w:tc>
          <w:tcPr>
            <w:tcW w:w="1497" w:type="dxa"/>
            <w:vAlign w:val="center"/>
          </w:tcPr>
          <w:p w14:paraId="4EB01714" w14:textId="77777777" w:rsidR="00537CC8" w:rsidRPr="0025250D" w:rsidRDefault="00537CC8" w:rsidP="002925C9">
            <w:pPr>
              <w:bidi/>
              <w:spacing w:after="160"/>
              <w:jc w:val="center"/>
              <w:rPr>
                <w:rtl/>
              </w:rPr>
            </w:pPr>
            <w:r w:rsidRPr="0025250D">
              <w:rPr>
                <w:rtl/>
              </w:rPr>
              <w:t>3 (زوگ، سوئ</w:t>
            </w:r>
            <w:r w:rsidRPr="0025250D">
              <w:rPr>
                <w:rFonts w:hint="cs"/>
                <w:rtl/>
              </w:rPr>
              <w:t>ی</w:t>
            </w:r>
            <w:r w:rsidRPr="0025250D">
              <w:rPr>
                <w:rFonts w:hint="eastAsia"/>
                <w:rtl/>
              </w:rPr>
              <w:t>س</w:t>
            </w:r>
            <w:r w:rsidRPr="0025250D">
              <w:rPr>
                <w:rtl/>
              </w:rPr>
              <w:t>)</w:t>
            </w:r>
          </w:p>
        </w:tc>
      </w:tr>
      <w:tr w:rsidR="00537CC8" w:rsidRPr="0025250D" w14:paraId="2CDD5D7D" w14:textId="77777777" w:rsidTr="002925C9">
        <w:tc>
          <w:tcPr>
            <w:tcW w:w="2266" w:type="dxa"/>
            <w:vAlign w:val="center"/>
          </w:tcPr>
          <w:p w14:paraId="3F8D1BB8" w14:textId="77777777" w:rsidR="00537CC8" w:rsidRPr="0025250D" w:rsidRDefault="007A207F" w:rsidP="002925C9">
            <w:pPr>
              <w:bidi/>
              <w:spacing w:after="160"/>
              <w:jc w:val="center"/>
              <w:rPr>
                <w:rtl/>
              </w:rPr>
            </w:pPr>
            <w:hyperlink r:id="rId357">
              <w:r w:rsidR="00537CC8" w:rsidRPr="0025250D">
                <w:rPr>
                  <w:rStyle w:val="Hyperlink"/>
                  <w:color w:val="auto"/>
                  <w:u w:val="none"/>
                </w:rPr>
                <w:t>Decision Analyst</w:t>
              </w:r>
            </w:hyperlink>
          </w:p>
        </w:tc>
        <w:tc>
          <w:tcPr>
            <w:tcW w:w="3597" w:type="dxa"/>
            <w:vAlign w:val="center"/>
          </w:tcPr>
          <w:p w14:paraId="236D2D26" w14:textId="77777777" w:rsidR="00537CC8" w:rsidRPr="0025250D" w:rsidRDefault="00537CC8" w:rsidP="002925C9">
            <w:pPr>
              <w:bidi/>
              <w:spacing w:after="160"/>
              <w:jc w:val="center"/>
              <w:rPr>
                <w:rtl/>
              </w:rPr>
            </w:pPr>
            <w:r w:rsidRPr="0025250D">
              <w:rPr>
                <w:rtl/>
              </w:rPr>
              <w:t>تحق</w:t>
            </w:r>
            <w:r w:rsidRPr="0025250D">
              <w:rPr>
                <w:rFonts w:hint="cs"/>
                <w:rtl/>
              </w:rPr>
              <w:t>ی</w:t>
            </w:r>
            <w:r w:rsidRPr="0025250D">
              <w:rPr>
                <w:rFonts w:hint="eastAsia"/>
                <w:rtl/>
              </w:rPr>
              <w:t>قات</w:t>
            </w:r>
            <w:r w:rsidRPr="0025250D">
              <w:rPr>
                <w:rtl/>
              </w:rPr>
              <w:t xml:space="preserve"> بازار، پنل مصرف کننده، خدمات نوآور</w:t>
            </w:r>
            <w:r w:rsidRPr="0025250D">
              <w:rPr>
                <w:rFonts w:hint="cs"/>
                <w:rtl/>
              </w:rPr>
              <w:t>ی</w:t>
            </w:r>
            <w:r w:rsidRPr="0025250D">
              <w:rPr>
                <w:rtl/>
              </w:rPr>
              <w:t>.</w:t>
            </w:r>
          </w:p>
        </w:tc>
        <w:tc>
          <w:tcPr>
            <w:tcW w:w="1497" w:type="dxa"/>
            <w:vAlign w:val="center"/>
          </w:tcPr>
          <w:p w14:paraId="2E69D356" w14:textId="77777777" w:rsidR="00537CC8" w:rsidRPr="0025250D" w:rsidRDefault="00537CC8" w:rsidP="002925C9">
            <w:pPr>
              <w:bidi/>
              <w:spacing w:after="160"/>
              <w:jc w:val="center"/>
              <w:rPr>
                <w:rtl/>
              </w:rPr>
            </w:pPr>
            <w:r w:rsidRPr="0025250D">
              <w:rPr>
                <w:rtl/>
              </w:rPr>
              <w:t>1 (آرل</w:t>
            </w:r>
            <w:r w:rsidRPr="0025250D">
              <w:rPr>
                <w:rFonts w:hint="cs"/>
                <w:rtl/>
              </w:rPr>
              <w:t>ی</w:t>
            </w:r>
            <w:r w:rsidRPr="0025250D">
              <w:rPr>
                <w:rFonts w:hint="eastAsia"/>
                <w:rtl/>
              </w:rPr>
              <w:t>نگتون</w:t>
            </w:r>
            <w:r w:rsidRPr="0025250D">
              <w:rPr>
                <w:rFonts w:hint="cs"/>
                <w:rtl/>
              </w:rPr>
              <w:t>)</w:t>
            </w:r>
          </w:p>
        </w:tc>
      </w:tr>
      <w:tr w:rsidR="00537CC8" w:rsidRPr="0025250D" w14:paraId="122D6E60" w14:textId="77777777" w:rsidTr="002925C9">
        <w:tc>
          <w:tcPr>
            <w:tcW w:w="2266" w:type="dxa"/>
            <w:vAlign w:val="center"/>
          </w:tcPr>
          <w:p w14:paraId="435856AE" w14:textId="77777777" w:rsidR="00537CC8" w:rsidRPr="0025250D" w:rsidRDefault="007A207F" w:rsidP="002925C9">
            <w:pPr>
              <w:bidi/>
              <w:spacing w:after="160"/>
              <w:jc w:val="center"/>
              <w:rPr>
                <w:rtl/>
              </w:rPr>
            </w:pPr>
            <w:hyperlink r:id="rId358">
              <w:r w:rsidR="00537CC8" w:rsidRPr="0025250D">
                <w:rPr>
                  <w:rStyle w:val="Hyperlink"/>
                  <w:color w:val="auto"/>
                  <w:u w:val="none"/>
                </w:rPr>
                <w:t>Decision Strategies International</w:t>
              </w:r>
            </w:hyperlink>
          </w:p>
        </w:tc>
        <w:tc>
          <w:tcPr>
            <w:tcW w:w="3597" w:type="dxa"/>
            <w:vAlign w:val="center"/>
          </w:tcPr>
          <w:p w14:paraId="2F023BFC" w14:textId="77777777" w:rsidR="00537CC8" w:rsidRPr="0025250D" w:rsidRDefault="00537CC8" w:rsidP="002925C9">
            <w:pPr>
              <w:bidi/>
              <w:spacing w:after="160"/>
              <w:jc w:val="center"/>
              <w:rPr>
                <w:rtl/>
              </w:rPr>
            </w:pPr>
            <w:r w:rsidRPr="0025250D">
              <w:rPr>
                <w:rtl/>
              </w:rPr>
              <w:t>رهبر در مشاوره آ</w:t>
            </w:r>
            <w:r w:rsidRPr="0025250D">
              <w:rPr>
                <w:rFonts w:hint="cs"/>
                <w:rtl/>
              </w:rPr>
              <w:t>ی</w:t>
            </w:r>
            <w:r w:rsidRPr="0025250D">
              <w:rPr>
                <w:rFonts w:hint="eastAsia"/>
                <w:rtl/>
              </w:rPr>
              <w:t>نده</w:t>
            </w:r>
            <w:r w:rsidRPr="0025250D">
              <w:rPr>
                <w:rtl/>
              </w:rPr>
              <w:t xml:space="preserve"> محور. ا</w:t>
            </w:r>
            <w:r w:rsidRPr="0025250D">
              <w:rPr>
                <w:rFonts w:hint="cs"/>
                <w:rtl/>
              </w:rPr>
              <w:t>ی</w:t>
            </w:r>
            <w:r w:rsidRPr="0025250D">
              <w:rPr>
                <w:rFonts w:hint="eastAsia"/>
                <w:rtl/>
              </w:rPr>
              <w:t>الات</w:t>
            </w:r>
            <w:r w:rsidRPr="0025250D">
              <w:rPr>
                <w:rtl/>
              </w:rPr>
              <w:t xml:space="preserve"> متحده، انگلستان، فرانسه، سنگاپور</w:t>
            </w:r>
          </w:p>
        </w:tc>
        <w:tc>
          <w:tcPr>
            <w:tcW w:w="1497" w:type="dxa"/>
            <w:vAlign w:val="center"/>
          </w:tcPr>
          <w:p w14:paraId="03C4062C" w14:textId="77777777" w:rsidR="00537CC8" w:rsidRPr="0025250D" w:rsidRDefault="00537CC8" w:rsidP="002925C9">
            <w:pPr>
              <w:bidi/>
              <w:spacing w:after="160"/>
              <w:jc w:val="center"/>
              <w:rPr>
                <w:rtl/>
              </w:rPr>
            </w:pPr>
            <w:r w:rsidRPr="0025250D">
              <w:rPr>
                <w:rFonts w:hint="cs"/>
                <w:rtl/>
              </w:rPr>
              <w:t>1 (کونشوهوکن</w:t>
            </w:r>
            <w:r w:rsidRPr="0025250D">
              <w:rPr>
                <w:vertAlign w:val="superscript"/>
                <w:rtl/>
              </w:rPr>
              <w:footnoteReference w:id="3081"/>
            </w:r>
            <w:r w:rsidRPr="0025250D">
              <w:rPr>
                <w:rFonts w:hint="cs"/>
                <w:rtl/>
              </w:rPr>
              <w:t>)</w:t>
            </w:r>
          </w:p>
        </w:tc>
      </w:tr>
      <w:tr w:rsidR="00537CC8" w:rsidRPr="0025250D" w14:paraId="68194F4A" w14:textId="77777777" w:rsidTr="002925C9">
        <w:tc>
          <w:tcPr>
            <w:tcW w:w="2266" w:type="dxa"/>
            <w:vAlign w:val="center"/>
          </w:tcPr>
          <w:p w14:paraId="73F008AD" w14:textId="77777777" w:rsidR="00537CC8" w:rsidRPr="0025250D" w:rsidRDefault="007A207F" w:rsidP="002925C9">
            <w:pPr>
              <w:bidi/>
              <w:spacing w:after="160"/>
              <w:jc w:val="center"/>
              <w:rPr>
                <w:rtl/>
              </w:rPr>
            </w:pPr>
            <w:hyperlink r:id="rId359">
              <w:r w:rsidR="00537CC8" w:rsidRPr="0025250D">
                <w:rPr>
                  <w:rStyle w:val="Hyperlink"/>
                  <w:color w:val="auto"/>
                  <w:u w:val="none"/>
                </w:rPr>
                <w:t>Deloitte Center for the Edge</w:t>
              </w:r>
            </w:hyperlink>
          </w:p>
        </w:tc>
        <w:tc>
          <w:tcPr>
            <w:tcW w:w="3597" w:type="dxa"/>
            <w:vAlign w:val="center"/>
          </w:tcPr>
          <w:p w14:paraId="5A89D0B4" w14:textId="274EB805" w:rsidR="00537CC8" w:rsidRPr="0025250D" w:rsidRDefault="00537CC8" w:rsidP="002925C9">
            <w:pPr>
              <w:bidi/>
              <w:spacing w:after="160"/>
              <w:jc w:val="center"/>
              <w:rPr>
                <w:rtl/>
              </w:rPr>
            </w:pPr>
            <w:r w:rsidRPr="0025250D">
              <w:rPr>
                <w:rtl/>
              </w:rPr>
              <w:t>جان ه</w:t>
            </w:r>
            <w:r w:rsidRPr="0025250D">
              <w:rPr>
                <w:rFonts w:hint="cs"/>
                <w:rtl/>
              </w:rPr>
              <w:t>ی</w:t>
            </w:r>
            <w:r w:rsidRPr="0025250D">
              <w:rPr>
                <w:rFonts w:hint="eastAsia"/>
                <w:rtl/>
              </w:rPr>
              <w:t>گل</w:t>
            </w:r>
            <w:r w:rsidRPr="0025250D">
              <w:rPr>
                <w:vertAlign w:val="superscript"/>
                <w:rtl/>
              </w:rPr>
              <w:footnoteReference w:id="3082"/>
            </w:r>
            <w:r w:rsidRPr="0025250D">
              <w:rPr>
                <w:rFonts w:hint="eastAsia"/>
                <w:rtl/>
              </w:rPr>
              <w:t>،</w:t>
            </w:r>
            <w:r w:rsidRPr="0025250D">
              <w:rPr>
                <w:rtl/>
              </w:rPr>
              <w:t xml:space="preserve"> جان س</w:t>
            </w:r>
            <w:r w:rsidRPr="0025250D">
              <w:rPr>
                <w:rFonts w:hint="cs"/>
                <w:rtl/>
              </w:rPr>
              <w:t>ی</w:t>
            </w:r>
            <w:r w:rsidRPr="0025250D">
              <w:rPr>
                <w:rFonts w:hint="eastAsia"/>
                <w:rtl/>
              </w:rPr>
              <w:t>ل</w:t>
            </w:r>
            <w:r w:rsidRPr="0025250D">
              <w:rPr>
                <w:rFonts w:hint="cs"/>
                <w:rtl/>
              </w:rPr>
              <w:t>ی</w:t>
            </w:r>
            <w:r w:rsidRPr="0025250D">
              <w:rPr>
                <w:rtl/>
              </w:rPr>
              <w:t xml:space="preserve"> براون</w:t>
            </w:r>
            <w:r w:rsidRPr="0025250D">
              <w:rPr>
                <w:vertAlign w:val="superscript"/>
                <w:rtl/>
              </w:rPr>
              <w:footnoteReference w:id="3083"/>
            </w:r>
            <w:r w:rsidRPr="0025250D">
              <w:rPr>
                <w:rtl/>
              </w:rPr>
              <w:t>؛ آینده‌</w:t>
            </w:r>
            <w:r w:rsidR="00664E33" w:rsidRPr="0025250D">
              <w:rPr>
                <w:rtl/>
              </w:rPr>
              <w:t>نگار</w:t>
            </w:r>
            <w:r w:rsidRPr="0025250D">
              <w:rPr>
                <w:rtl/>
              </w:rPr>
              <w:t>ی و رهبر</w:t>
            </w:r>
            <w:r w:rsidRPr="0025250D">
              <w:rPr>
                <w:rFonts w:hint="cs"/>
                <w:rtl/>
              </w:rPr>
              <w:t>ی</w:t>
            </w:r>
            <w:r w:rsidRPr="0025250D">
              <w:rPr>
                <w:rtl/>
              </w:rPr>
              <w:t>.</w:t>
            </w:r>
          </w:p>
        </w:tc>
        <w:tc>
          <w:tcPr>
            <w:tcW w:w="1497" w:type="dxa"/>
            <w:vAlign w:val="center"/>
          </w:tcPr>
          <w:p w14:paraId="74186CF8" w14:textId="77777777" w:rsidR="00537CC8" w:rsidRPr="0025250D" w:rsidRDefault="00537CC8" w:rsidP="002925C9">
            <w:pPr>
              <w:bidi/>
              <w:spacing w:after="160"/>
              <w:jc w:val="center"/>
              <w:rPr>
                <w:rtl/>
              </w:rPr>
            </w:pPr>
            <w:r w:rsidRPr="0025250D">
              <w:rPr>
                <w:rtl/>
              </w:rPr>
              <w:t>1 (پالو آلتو</w:t>
            </w:r>
            <w:r w:rsidRPr="0025250D">
              <w:rPr>
                <w:rFonts w:hint="cs"/>
                <w:rtl/>
              </w:rPr>
              <w:t>)</w:t>
            </w:r>
          </w:p>
        </w:tc>
      </w:tr>
      <w:tr w:rsidR="00537CC8" w:rsidRPr="0025250D" w14:paraId="71D72076" w14:textId="77777777" w:rsidTr="002925C9">
        <w:tc>
          <w:tcPr>
            <w:tcW w:w="2266" w:type="dxa"/>
            <w:vAlign w:val="center"/>
          </w:tcPr>
          <w:p w14:paraId="2E03CAFC" w14:textId="77777777" w:rsidR="00537CC8" w:rsidRPr="0025250D" w:rsidRDefault="007A207F" w:rsidP="002925C9">
            <w:pPr>
              <w:bidi/>
              <w:spacing w:after="160"/>
              <w:jc w:val="center"/>
              <w:rPr>
                <w:rtl/>
              </w:rPr>
            </w:pPr>
            <w:hyperlink r:id="rId360">
              <w:r w:rsidR="00537CC8" w:rsidRPr="0025250D">
                <w:rPr>
                  <w:rStyle w:val="Hyperlink"/>
                  <w:color w:val="auto"/>
                  <w:u w:val="none"/>
                </w:rPr>
                <w:t>Dent Research</w:t>
              </w:r>
            </w:hyperlink>
          </w:p>
        </w:tc>
        <w:tc>
          <w:tcPr>
            <w:tcW w:w="3597" w:type="dxa"/>
            <w:vAlign w:val="center"/>
          </w:tcPr>
          <w:p w14:paraId="628EFE1C" w14:textId="1E035A8C" w:rsidR="00537CC8" w:rsidRPr="0025250D" w:rsidRDefault="00537CC8" w:rsidP="002925C9">
            <w:pPr>
              <w:bidi/>
              <w:spacing w:after="160"/>
              <w:jc w:val="center"/>
              <w:rPr>
                <w:rtl/>
              </w:rPr>
            </w:pPr>
            <w:r w:rsidRPr="0025250D">
              <w:rPr>
                <w:rtl/>
              </w:rPr>
              <w:t>هر</w:t>
            </w:r>
            <w:r w:rsidRPr="0025250D">
              <w:rPr>
                <w:rFonts w:hint="cs"/>
                <w:rtl/>
              </w:rPr>
              <w:t>ی</w:t>
            </w:r>
            <w:r w:rsidRPr="0025250D">
              <w:rPr>
                <w:rtl/>
              </w:rPr>
              <w:t xml:space="preserve"> دنت</w:t>
            </w:r>
            <w:r w:rsidRPr="0025250D">
              <w:rPr>
                <w:vertAlign w:val="superscript"/>
                <w:rtl/>
              </w:rPr>
              <w:footnoteReference w:id="3084"/>
            </w:r>
            <w:r w:rsidRPr="0025250D">
              <w:rPr>
                <w:rtl/>
              </w:rPr>
              <w:t xml:space="preserve">؛ </w:t>
            </w:r>
            <w:r w:rsidR="00D92F6E" w:rsidRPr="0025250D">
              <w:rPr>
                <w:rtl/>
              </w:rPr>
              <w:t>پیش‌بین</w:t>
            </w:r>
            <w:r w:rsidRPr="0025250D">
              <w:rPr>
                <w:rFonts w:hint="cs"/>
                <w:rtl/>
              </w:rPr>
              <w:t>ی</w:t>
            </w:r>
            <w:r w:rsidRPr="0025250D">
              <w:rPr>
                <w:rtl/>
              </w:rPr>
              <w:t xml:space="preserve"> اقتصاد</w:t>
            </w:r>
            <w:r w:rsidRPr="0025250D">
              <w:rPr>
                <w:rFonts w:hint="cs"/>
                <w:rtl/>
              </w:rPr>
              <w:t>ی</w:t>
            </w:r>
            <w:r w:rsidRPr="0025250D">
              <w:rPr>
                <w:rtl/>
              </w:rPr>
              <w:t xml:space="preserve"> و </w:t>
            </w:r>
            <w:r w:rsidR="00F50EB4" w:rsidRPr="0025250D">
              <w:rPr>
                <w:rtl/>
              </w:rPr>
              <w:t>سرمایه‌گذاری</w:t>
            </w:r>
            <w:r w:rsidRPr="0025250D">
              <w:rPr>
                <w:rtl/>
              </w:rPr>
              <w:t xml:space="preserve"> شرکت تحق</w:t>
            </w:r>
            <w:r w:rsidRPr="0025250D">
              <w:rPr>
                <w:rFonts w:hint="cs"/>
                <w:rtl/>
              </w:rPr>
              <w:t>ی</w:t>
            </w:r>
            <w:r w:rsidRPr="0025250D">
              <w:rPr>
                <w:rFonts w:hint="eastAsia"/>
                <w:rtl/>
              </w:rPr>
              <w:t>قات</w:t>
            </w:r>
            <w:r w:rsidRPr="0025250D">
              <w:rPr>
                <w:rFonts w:hint="cs"/>
                <w:rtl/>
              </w:rPr>
              <w:t>ی</w:t>
            </w:r>
            <w:r w:rsidRPr="0025250D">
              <w:rPr>
                <w:rtl/>
              </w:rPr>
              <w:t>.</w:t>
            </w:r>
          </w:p>
        </w:tc>
        <w:tc>
          <w:tcPr>
            <w:tcW w:w="1497" w:type="dxa"/>
            <w:vAlign w:val="center"/>
          </w:tcPr>
          <w:p w14:paraId="22B76CD6" w14:textId="77777777" w:rsidR="00537CC8" w:rsidRPr="0025250D" w:rsidRDefault="00537CC8" w:rsidP="002925C9">
            <w:pPr>
              <w:bidi/>
              <w:spacing w:after="160"/>
              <w:jc w:val="center"/>
              <w:rPr>
                <w:rtl/>
              </w:rPr>
            </w:pPr>
            <w:r w:rsidRPr="0025250D">
              <w:rPr>
                <w:rtl/>
              </w:rPr>
              <w:t>1 (ساحل دلر</w:t>
            </w:r>
            <w:r w:rsidRPr="0025250D">
              <w:rPr>
                <w:rFonts w:hint="cs"/>
                <w:rtl/>
              </w:rPr>
              <w:t>ی)</w:t>
            </w:r>
          </w:p>
        </w:tc>
      </w:tr>
      <w:tr w:rsidR="00537CC8" w:rsidRPr="0025250D" w14:paraId="4F9F102E" w14:textId="77777777" w:rsidTr="002925C9">
        <w:tc>
          <w:tcPr>
            <w:tcW w:w="2266" w:type="dxa"/>
            <w:vAlign w:val="center"/>
          </w:tcPr>
          <w:p w14:paraId="65053D16" w14:textId="77777777" w:rsidR="00537CC8" w:rsidRPr="0025250D" w:rsidRDefault="007A207F" w:rsidP="002925C9">
            <w:pPr>
              <w:bidi/>
              <w:spacing w:after="160"/>
              <w:jc w:val="center"/>
              <w:rPr>
                <w:rtl/>
              </w:rPr>
            </w:pPr>
            <w:hyperlink r:id="rId361">
              <w:r w:rsidR="00537CC8" w:rsidRPr="0025250D">
                <w:rPr>
                  <w:rStyle w:val="Hyperlink"/>
                  <w:color w:val="auto"/>
                  <w:u w:val="none"/>
                </w:rPr>
                <w:t>Destree Institute</w:t>
              </w:r>
            </w:hyperlink>
          </w:p>
        </w:tc>
        <w:tc>
          <w:tcPr>
            <w:tcW w:w="3597" w:type="dxa"/>
            <w:vAlign w:val="center"/>
          </w:tcPr>
          <w:p w14:paraId="15055654" w14:textId="33C12ABE" w:rsidR="00537CC8" w:rsidRPr="0025250D" w:rsidRDefault="00537CC8" w:rsidP="002925C9">
            <w:pPr>
              <w:bidi/>
              <w:spacing w:after="160"/>
              <w:jc w:val="center"/>
              <w:rPr>
                <w:rtl/>
              </w:rPr>
            </w:pPr>
            <w:r w:rsidRPr="0025250D">
              <w:rPr>
                <w:rtl/>
              </w:rPr>
              <w:t>ف</w:t>
            </w:r>
            <w:r w:rsidRPr="0025250D">
              <w:rPr>
                <w:rFonts w:hint="cs"/>
                <w:rtl/>
              </w:rPr>
              <w:t>ی</w:t>
            </w:r>
            <w:r w:rsidRPr="0025250D">
              <w:rPr>
                <w:rFonts w:hint="eastAsia"/>
                <w:rtl/>
              </w:rPr>
              <w:t>ل</w:t>
            </w:r>
            <w:r w:rsidRPr="0025250D">
              <w:rPr>
                <w:rFonts w:hint="cs"/>
                <w:rtl/>
              </w:rPr>
              <w:t>ی</w:t>
            </w:r>
            <w:r w:rsidRPr="0025250D">
              <w:rPr>
                <w:rFonts w:hint="eastAsia"/>
                <w:rtl/>
              </w:rPr>
              <w:t>پ</w:t>
            </w:r>
            <w:r w:rsidRPr="0025250D">
              <w:rPr>
                <w:rtl/>
              </w:rPr>
              <w:t xml:space="preserve"> دستافل</w:t>
            </w:r>
            <w:r w:rsidRPr="0025250D">
              <w:rPr>
                <w:vertAlign w:val="superscript"/>
                <w:rtl/>
              </w:rPr>
              <w:footnoteReference w:id="3085"/>
            </w:r>
            <w:r w:rsidRPr="0025250D">
              <w:rPr>
                <w:rtl/>
              </w:rPr>
              <w:t>، مار</w:t>
            </w:r>
            <w:r w:rsidRPr="0025250D">
              <w:rPr>
                <w:rFonts w:hint="cs"/>
                <w:rtl/>
              </w:rPr>
              <w:t>ی</w:t>
            </w:r>
            <w:r w:rsidRPr="0025250D">
              <w:rPr>
                <w:rtl/>
              </w:rPr>
              <w:t xml:space="preserve"> آن دلو</w:t>
            </w:r>
            <w:r w:rsidRPr="0025250D">
              <w:rPr>
                <w:vertAlign w:val="superscript"/>
                <w:rtl/>
              </w:rPr>
              <w:footnoteReference w:id="3086"/>
            </w:r>
            <w:r w:rsidRPr="0025250D">
              <w:rPr>
                <w:rtl/>
              </w:rPr>
              <w:t>. آینده‌</w:t>
            </w:r>
            <w:r w:rsidR="00664E33" w:rsidRPr="0025250D">
              <w:rPr>
                <w:rtl/>
              </w:rPr>
              <w:t>نگار</w:t>
            </w:r>
            <w:r w:rsidRPr="0025250D">
              <w:rPr>
                <w:rtl/>
              </w:rPr>
              <w:t>ی</w:t>
            </w:r>
            <w:r w:rsidRPr="0025250D">
              <w:rPr>
                <w:rFonts w:hint="eastAsia"/>
                <w:rtl/>
              </w:rPr>
              <w:t>،</w:t>
            </w:r>
            <w:r w:rsidRPr="0025250D">
              <w:rPr>
                <w:rtl/>
              </w:rPr>
              <w:t xml:space="preserve"> س</w:t>
            </w:r>
            <w:r w:rsidRPr="0025250D">
              <w:rPr>
                <w:rFonts w:hint="cs"/>
                <w:rtl/>
              </w:rPr>
              <w:t>ی</w:t>
            </w:r>
            <w:r w:rsidRPr="0025250D">
              <w:rPr>
                <w:rFonts w:hint="eastAsia"/>
                <w:rtl/>
              </w:rPr>
              <w:t>است</w:t>
            </w:r>
            <w:r w:rsidRPr="0025250D">
              <w:rPr>
                <w:rtl/>
              </w:rPr>
              <w:t xml:space="preserve"> راهبرد</w:t>
            </w:r>
            <w:r w:rsidRPr="0025250D">
              <w:rPr>
                <w:rFonts w:hint="cs"/>
                <w:rtl/>
              </w:rPr>
              <w:t>ی</w:t>
            </w:r>
            <w:r w:rsidRPr="0025250D">
              <w:rPr>
                <w:rtl/>
              </w:rPr>
              <w:t xml:space="preserve"> و هوشمند</w:t>
            </w:r>
            <w:r w:rsidRPr="0025250D">
              <w:rPr>
                <w:rFonts w:hint="cs"/>
                <w:rtl/>
              </w:rPr>
              <w:t>ی</w:t>
            </w:r>
            <w:r w:rsidRPr="0025250D">
              <w:rPr>
                <w:rtl/>
              </w:rPr>
              <w:t>.</w:t>
            </w:r>
          </w:p>
        </w:tc>
        <w:tc>
          <w:tcPr>
            <w:tcW w:w="1497" w:type="dxa"/>
            <w:vAlign w:val="center"/>
          </w:tcPr>
          <w:p w14:paraId="08CD861F" w14:textId="77777777" w:rsidR="00537CC8" w:rsidRPr="0025250D" w:rsidRDefault="00537CC8" w:rsidP="002925C9">
            <w:pPr>
              <w:bidi/>
              <w:spacing w:after="160"/>
              <w:jc w:val="center"/>
              <w:rPr>
                <w:rtl/>
              </w:rPr>
            </w:pPr>
            <w:r w:rsidRPr="0025250D">
              <w:rPr>
                <w:rtl/>
              </w:rPr>
              <w:t>1 (والون</w:t>
            </w:r>
            <w:r w:rsidRPr="0025250D">
              <w:rPr>
                <w:rFonts w:hint="cs"/>
                <w:rtl/>
              </w:rPr>
              <w:t>ی</w:t>
            </w:r>
            <w:r w:rsidRPr="0025250D">
              <w:rPr>
                <w:rFonts w:hint="eastAsia"/>
                <w:rtl/>
              </w:rPr>
              <w:t>ا،</w:t>
            </w:r>
            <w:r w:rsidRPr="0025250D">
              <w:rPr>
                <w:rtl/>
              </w:rPr>
              <w:t xml:space="preserve"> بروکسل)</w:t>
            </w:r>
          </w:p>
        </w:tc>
      </w:tr>
      <w:tr w:rsidR="00537CC8" w:rsidRPr="0025250D" w14:paraId="4E28DA7E" w14:textId="77777777" w:rsidTr="002925C9">
        <w:tc>
          <w:tcPr>
            <w:tcW w:w="2266" w:type="dxa"/>
            <w:vAlign w:val="center"/>
          </w:tcPr>
          <w:p w14:paraId="243C820A" w14:textId="77777777" w:rsidR="00537CC8" w:rsidRPr="0025250D" w:rsidRDefault="007A207F" w:rsidP="002925C9">
            <w:pPr>
              <w:bidi/>
              <w:spacing w:after="160"/>
              <w:jc w:val="center"/>
              <w:rPr>
                <w:rtl/>
              </w:rPr>
            </w:pPr>
            <w:hyperlink r:id="rId362">
              <w:r w:rsidR="00537CC8" w:rsidRPr="0025250D">
                <w:rPr>
                  <w:rStyle w:val="Hyperlink"/>
                  <w:color w:val="auto"/>
                  <w:u w:val="none"/>
                </w:rPr>
                <w:t>Deutsche Bank Research</w:t>
              </w:r>
            </w:hyperlink>
          </w:p>
        </w:tc>
        <w:tc>
          <w:tcPr>
            <w:tcW w:w="3597" w:type="dxa"/>
            <w:vAlign w:val="center"/>
          </w:tcPr>
          <w:p w14:paraId="40557E7E" w14:textId="0E3677F3" w:rsidR="00537CC8" w:rsidRPr="0025250D" w:rsidRDefault="00537CC8" w:rsidP="002925C9">
            <w:pPr>
              <w:bidi/>
              <w:spacing w:after="160"/>
              <w:jc w:val="center"/>
              <w:rPr>
                <w:rtl/>
              </w:rPr>
            </w:pPr>
            <w:r w:rsidRPr="0025250D">
              <w:rPr>
                <w:rtl/>
              </w:rPr>
              <w:t>تحق</w:t>
            </w:r>
            <w:r w:rsidRPr="0025250D">
              <w:rPr>
                <w:rFonts w:hint="cs"/>
                <w:rtl/>
              </w:rPr>
              <w:t>ی</w:t>
            </w:r>
            <w:r w:rsidRPr="0025250D">
              <w:rPr>
                <w:rFonts w:hint="eastAsia"/>
                <w:rtl/>
              </w:rPr>
              <w:t>قات</w:t>
            </w:r>
            <w:r w:rsidRPr="0025250D">
              <w:rPr>
                <w:rtl/>
              </w:rPr>
              <w:t xml:space="preserve"> بازار و اقتصاد</w:t>
            </w:r>
            <w:r w:rsidRPr="0025250D">
              <w:rPr>
                <w:rFonts w:hint="cs"/>
                <w:rtl/>
              </w:rPr>
              <w:t>ی</w:t>
            </w:r>
            <w:r w:rsidRPr="0025250D">
              <w:rPr>
                <w:rFonts w:hint="eastAsia"/>
                <w:rtl/>
              </w:rPr>
              <w:t>،</w:t>
            </w:r>
            <w:r w:rsidRPr="0025250D">
              <w:rPr>
                <w:rtl/>
              </w:rPr>
              <w:t xml:space="preserve"> </w:t>
            </w:r>
            <w:r w:rsidR="00D92F6E" w:rsidRPr="0025250D">
              <w:rPr>
                <w:rtl/>
              </w:rPr>
              <w:t>پیش‌بین</w:t>
            </w:r>
            <w:r w:rsidRPr="0025250D">
              <w:rPr>
                <w:rFonts w:hint="cs"/>
                <w:rtl/>
              </w:rPr>
              <w:t>ی</w:t>
            </w:r>
            <w:r w:rsidRPr="0025250D">
              <w:rPr>
                <w:rtl/>
              </w:rPr>
              <w:t xml:space="preserve"> ها، خدمات.</w:t>
            </w:r>
          </w:p>
        </w:tc>
        <w:tc>
          <w:tcPr>
            <w:tcW w:w="1497" w:type="dxa"/>
            <w:vAlign w:val="center"/>
          </w:tcPr>
          <w:p w14:paraId="2AE27ED7" w14:textId="77777777" w:rsidR="00537CC8" w:rsidRPr="0025250D" w:rsidRDefault="00537CC8" w:rsidP="002925C9">
            <w:pPr>
              <w:bidi/>
              <w:spacing w:after="160"/>
              <w:jc w:val="center"/>
              <w:rPr>
                <w:rtl/>
              </w:rPr>
            </w:pPr>
            <w:r w:rsidRPr="0025250D">
              <w:rPr>
                <w:rtl/>
              </w:rPr>
              <w:t>3 (فرانکفورت، آلمان)</w:t>
            </w:r>
          </w:p>
        </w:tc>
      </w:tr>
      <w:tr w:rsidR="00537CC8" w:rsidRPr="0025250D" w14:paraId="672B93D0" w14:textId="77777777" w:rsidTr="002925C9">
        <w:tc>
          <w:tcPr>
            <w:tcW w:w="2266" w:type="dxa"/>
            <w:vAlign w:val="center"/>
          </w:tcPr>
          <w:p w14:paraId="1052EC31" w14:textId="77777777" w:rsidR="00537CC8" w:rsidRPr="0025250D" w:rsidRDefault="007A207F" w:rsidP="002925C9">
            <w:pPr>
              <w:bidi/>
              <w:spacing w:after="160"/>
              <w:jc w:val="center"/>
              <w:rPr>
                <w:rtl/>
              </w:rPr>
            </w:pPr>
            <w:hyperlink r:id="rId363">
              <w:r w:rsidR="00537CC8" w:rsidRPr="0025250D">
                <w:rPr>
                  <w:rStyle w:val="Hyperlink"/>
                  <w:color w:val="auto"/>
                  <w:u w:val="none"/>
                </w:rPr>
                <w:t>Discern</w:t>
              </w:r>
            </w:hyperlink>
          </w:p>
        </w:tc>
        <w:tc>
          <w:tcPr>
            <w:tcW w:w="3597" w:type="dxa"/>
            <w:vAlign w:val="center"/>
          </w:tcPr>
          <w:p w14:paraId="583BD42A" w14:textId="2EB58338" w:rsidR="00537CC8" w:rsidRPr="0025250D" w:rsidRDefault="00537CC8" w:rsidP="002925C9">
            <w:pPr>
              <w:bidi/>
              <w:spacing w:after="160"/>
              <w:jc w:val="center"/>
              <w:rPr>
                <w:rtl/>
              </w:rPr>
            </w:pPr>
            <w:r w:rsidRPr="0025250D">
              <w:rPr>
                <w:rtl/>
              </w:rPr>
              <w:t>هر</w:t>
            </w:r>
            <w:r w:rsidRPr="0025250D">
              <w:rPr>
                <w:rFonts w:hint="cs"/>
                <w:rtl/>
              </w:rPr>
              <w:t>ی</w:t>
            </w:r>
            <w:r w:rsidRPr="0025250D">
              <w:rPr>
                <w:rtl/>
              </w:rPr>
              <w:t xml:space="preserve"> بلونت</w:t>
            </w:r>
            <w:r w:rsidRPr="0025250D">
              <w:rPr>
                <w:vertAlign w:val="superscript"/>
                <w:rtl/>
              </w:rPr>
              <w:footnoteReference w:id="3087"/>
            </w:r>
            <w:r w:rsidRPr="0025250D">
              <w:rPr>
                <w:rtl/>
              </w:rPr>
              <w:t>؛ تجز</w:t>
            </w:r>
            <w:r w:rsidRPr="0025250D">
              <w:rPr>
                <w:rFonts w:hint="cs"/>
                <w:rtl/>
              </w:rPr>
              <w:t>ی</w:t>
            </w:r>
            <w:r w:rsidRPr="0025250D">
              <w:rPr>
                <w:rFonts w:hint="eastAsia"/>
                <w:rtl/>
              </w:rPr>
              <w:t>ه</w:t>
            </w:r>
            <w:r w:rsidRPr="0025250D">
              <w:rPr>
                <w:rtl/>
              </w:rPr>
              <w:t xml:space="preserve"> و تحل</w:t>
            </w:r>
            <w:r w:rsidRPr="0025250D">
              <w:rPr>
                <w:rFonts w:hint="cs"/>
                <w:rtl/>
              </w:rPr>
              <w:t>ی</w:t>
            </w:r>
            <w:r w:rsidRPr="0025250D">
              <w:rPr>
                <w:rFonts w:hint="eastAsia"/>
                <w:rtl/>
              </w:rPr>
              <w:t>ل</w:t>
            </w:r>
            <w:r w:rsidRPr="0025250D">
              <w:rPr>
                <w:rtl/>
              </w:rPr>
              <w:t xml:space="preserve"> داده‌های </w:t>
            </w:r>
            <w:r w:rsidRPr="0025250D">
              <w:rPr>
                <w:rFonts w:hint="cs"/>
                <w:rtl/>
              </w:rPr>
              <w:t>کلان</w:t>
            </w:r>
            <w:r w:rsidRPr="0025250D">
              <w:rPr>
                <w:rtl/>
              </w:rPr>
              <w:t xml:space="preserve"> و آینده‌</w:t>
            </w:r>
            <w:r w:rsidR="00664E33" w:rsidRPr="0025250D">
              <w:rPr>
                <w:rtl/>
              </w:rPr>
              <w:t>نگار</w:t>
            </w:r>
            <w:r w:rsidRPr="0025250D">
              <w:rPr>
                <w:rtl/>
              </w:rPr>
              <w:t>ی.</w:t>
            </w:r>
          </w:p>
        </w:tc>
        <w:tc>
          <w:tcPr>
            <w:tcW w:w="1497" w:type="dxa"/>
            <w:vAlign w:val="center"/>
          </w:tcPr>
          <w:p w14:paraId="0A472A39" w14:textId="77777777" w:rsidR="00537CC8" w:rsidRPr="0025250D" w:rsidRDefault="00537CC8" w:rsidP="002925C9">
            <w:pPr>
              <w:bidi/>
              <w:spacing w:after="160"/>
              <w:jc w:val="center"/>
              <w:rPr>
                <w:rtl/>
              </w:rPr>
            </w:pPr>
            <w:r w:rsidRPr="0025250D">
              <w:rPr>
                <w:rtl/>
              </w:rPr>
              <w:t>1 (پالو آلتو</w:t>
            </w:r>
            <w:r w:rsidRPr="0025250D">
              <w:rPr>
                <w:rFonts w:hint="cs"/>
                <w:rtl/>
              </w:rPr>
              <w:t>)</w:t>
            </w:r>
          </w:p>
        </w:tc>
      </w:tr>
      <w:tr w:rsidR="00537CC8" w:rsidRPr="0025250D" w14:paraId="296748BF" w14:textId="77777777" w:rsidTr="002925C9">
        <w:tc>
          <w:tcPr>
            <w:tcW w:w="2266" w:type="dxa"/>
            <w:vAlign w:val="center"/>
          </w:tcPr>
          <w:p w14:paraId="0DD27ADE" w14:textId="77777777" w:rsidR="00537CC8" w:rsidRPr="0025250D" w:rsidRDefault="007A207F" w:rsidP="002925C9">
            <w:pPr>
              <w:bidi/>
              <w:spacing w:after="160"/>
              <w:jc w:val="center"/>
              <w:rPr>
                <w:rtl/>
              </w:rPr>
            </w:pPr>
            <w:hyperlink r:id="rId364">
              <w:r w:rsidR="00537CC8" w:rsidRPr="0025250D">
                <w:rPr>
                  <w:rStyle w:val="Hyperlink"/>
                  <w:color w:val="auto"/>
                  <w:u w:val="none"/>
                </w:rPr>
                <w:t>Early Warning</w:t>
              </w:r>
            </w:hyperlink>
          </w:p>
        </w:tc>
        <w:tc>
          <w:tcPr>
            <w:tcW w:w="3597" w:type="dxa"/>
            <w:vAlign w:val="center"/>
          </w:tcPr>
          <w:p w14:paraId="5EC04421" w14:textId="024BD3FF" w:rsidR="00537CC8" w:rsidRPr="0025250D" w:rsidRDefault="00537CC8" w:rsidP="002925C9">
            <w:pPr>
              <w:bidi/>
              <w:spacing w:after="160"/>
              <w:jc w:val="center"/>
              <w:rPr>
                <w:rtl/>
              </w:rPr>
            </w:pPr>
            <w:r w:rsidRPr="0025250D">
              <w:rPr>
                <w:rtl/>
              </w:rPr>
              <w:t>پ</w:t>
            </w:r>
            <w:r w:rsidRPr="0025250D">
              <w:rPr>
                <w:rFonts w:hint="cs"/>
                <w:rtl/>
              </w:rPr>
              <w:t>ی</w:t>
            </w:r>
            <w:r w:rsidRPr="0025250D">
              <w:rPr>
                <w:rFonts w:hint="eastAsia"/>
                <w:rtl/>
              </w:rPr>
              <w:t>شگ</w:t>
            </w:r>
            <w:r w:rsidRPr="0025250D">
              <w:rPr>
                <w:rFonts w:hint="cs"/>
                <w:rtl/>
              </w:rPr>
              <w:t>ی</w:t>
            </w:r>
            <w:r w:rsidRPr="0025250D">
              <w:rPr>
                <w:rFonts w:hint="eastAsia"/>
                <w:rtl/>
              </w:rPr>
              <w:t>ر</w:t>
            </w:r>
            <w:r w:rsidRPr="0025250D">
              <w:rPr>
                <w:rFonts w:hint="cs"/>
                <w:rtl/>
              </w:rPr>
              <w:t>ی</w:t>
            </w:r>
            <w:r w:rsidRPr="0025250D">
              <w:rPr>
                <w:rtl/>
              </w:rPr>
              <w:t xml:space="preserve"> از تقلب مال</w:t>
            </w:r>
            <w:r w:rsidRPr="0025250D">
              <w:rPr>
                <w:rFonts w:hint="cs"/>
                <w:rtl/>
              </w:rPr>
              <w:t>ی</w:t>
            </w:r>
            <w:r w:rsidRPr="0025250D">
              <w:rPr>
                <w:rtl/>
              </w:rPr>
              <w:t xml:space="preserve"> و آینده‌</w:t>
            </w:r>
            <w:r w:rsidR="00664E33" w:rsidRPr="0025250D">
              <w:rPr>
                <w:rtl/>
              </w:rPr>
              <w:t>نگار</w:t>
            </w:r>
            <w:r w:rsidRPr="0025250D">
              <w:rPr>
                <w:rtl/>
              </w:rPr>
              <w:t>ی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ر</w:t>
            </w:r>
            <w:r w:rsidRPr="0025250D">
              <w:rPr>
                <w:rFonts w:hint="cs"/>
                <w:rtl/>
              </w:rPr>
              <w:t>ی</w:t>
            </w:r>
            <w:r w:rsidRPr="0025250D">
              <w:rPr>
                <w:rFonts w:hint="eastAsia"/>
                <w:rtl/>
              </w:rPr>
              <w:t>سک</w:t>
            </w:r>
            <w:r w:rsidRPr="0025250D">
              <w:rPr>
                <w:rtl/>
              </w:rPr>
              <w:t>.</w:t>
            </w:r>
          </w:p>
        </w:tc>
        <w:tc>
          <w:tcPr>
            <w:tcW w:w="1497" w:type="dxa"/>
            <w:vAlign w:val="center"/>
          </w:tcPr>
          <w:p w14:paraId="110289A5" w14:textId="77777777" w:rsidR="00537CC8" w:rsidRPr="0025250D" w:rsidRDefault="00537CC8" w:rsidP="002925C9">
            <w:pPr>
              <w:bidi/>
              <w:spacing w:after="160"/>
              <w:jc w:val="center"/>
              <w:rPr>
                <w:rtl/>
              </w:rPr>
            </w:pPr>
            <w:r w:rsidRPr="0025250D">
              <w:rPr>
                <w:rtl/>
              </w:rPr>
              <w:t>1 (اسکاتزد</w:t>
            </w:r>
            <w:r w:rsidRPr="0025250D">
              <w:rPr>
                <w:rFonts w:hint="cs"/>
                <w:rtl/>
              </w:rPr>
              <w:t>ی</w:t>
            </w:r>
            <w:r w:rsidRPr="0025250D">
              <w:rPr>
                <w:rFonts w:hint="eastAsia"/>
                <w:rtl/>
              </w:rPr>
              <w:t>ل</w:t>
            </w:r>
            <w:r w:rsidRPr="0025250D">
              <w:rPr>
                <w:rFonts w:hint="cs"/>
                <w:rtl/>
              </w:rPr>
              <w:t>)</w:t>
            </w:r>
          </w:p>
        </w:tc>
      </w:tr>
      <w:tr w:rsidR="00537CC8" w:rsidRPr="0025250D" w14:paraId="34FB18E3" w14:textId="77777777" w:rsidTr="002925C9">
        <w:tc>
          <w:tcPr>
            <w:tcW w:w="2266" w:type="dxa"/>
            <w:vAlign w:val="center"/>
          </w:tcPr>
          <w:p w14:paraId="7A5E9E00" w14:textId="77777777" w:rsidR="00537CC8" w:rsidRPr="0025250D" w:rsidRDefault="00537CC8" w:rsidP="002925C9">
            <w:pPr>
              <w:bidi/>
              <w:spacing w:after="160"/>
              <w:jc w:val="center"/>
              <w:rPr>
                <w:rtl/>
              </w:rPr>
            </w:pPr>
            <w:r w:rsidRPr="0025250D">
              <w:t>Economic Cycle Research Inst.</w:t>
            </w:r>
          </w:p>
        </w:tc>
        <w:tc>
          <w:tcPr>
            <w:tcW w:w="3597" w:type="dxa"/>
            <w:vAlign w:val="center"/>
          </w:tcPr>
          <w:p w14:paraId="1AE0654E" w14:textId="71071217" w:rsidR="00537CC8" w:rsidRPr="0025250D" w:rsidRDefault="00537CC8" w:rsidP="002925C9">
            <w:pPr>
              <w:bidi/>
              <w:spacing w:after="160"/>
              <w:jc w:val="center"/>
              <w:rPr>
                <w:rtl/>
              </w:rPr>
            </w:pPr>
            <w:r w:rsidRPr="0025250D">
              <w:rPr>
                <w:rtl/>
              </w:rPr>
              <w:t>ان</w:t>
            </w:r>
            <w:r w:rsidRPr="0025250D">
              <w:rPr>
                <w:rFonts w:hint="cs"/>
                <w:rtl/>
              </w:rPr>
              <w:t>ی</w:t>
            </w:r>
            <w:r w:rsidRPr="0025250D">
              <w:rPr>
                <w:rFonts w:hint="eastAsia"/>
                <w:rtl/>
              </w:rPr>
              <w:t>روان</w:t>
            </w:r>
            <w:r w:rsidRPr="0025250D">
              <w:rPr>
                <w:rtl/>
              </w:rPr>
              <w:t xml:space="preserve"> بانرج</w:t>
            </w:r>
            <w:r w:rsidRPr="0025250D">
              <w:rPr>
                <w:rFonts w:hint="cs"/>
                <w:rtl/>
              </w:rPr>
              <w:t>ی</w:t>
            </w:r>
            <w:r w:rsidRPr="0025250D">
              <w:rPr>
                <w:vertAlign w:val="superscript"/>
                <w:rtl/>
              </w:rPr>
              <w:footnoteReference w:id="3088"/>
            </w:r>
            <w:r w:rsidRPr="0025250D">
              <w:rPr>
                <w:rFonts w:hint="eastAsia"/>
                <w:rtl/>
              </w:rPr>
              <w:t>،</w:t>
            </w:r>
            <w:r w:rsidRPr="0025250D">
              <w:rPr>
                <w:rtl/>
              </w:rPr>
              <w:t xml:space="preserve"> کارگردان پژوهش</w:t>
            </w:r>
            <w:r w:rsidRPr="0025250D">
              <w:rPr>
                <w:rFonts w:hint="cs"/>
                <w:rtl/>
              </w:rPr>
              <w:t>ی</w:t>
            </w:r>
            <w:r w:rsidRPr="0025250D">
              <w:rPr>
                <w:rFonts w:hint="eastAsia"/>
                <w:rtl/>
              </w:rPr>
              <w:t>؛</w:t>
            </w:r>
            <w:r w:rsidRPr="0025250D">
              <w:rPr>
                <w:rtl/>
              </w:rPr>
              <w:t xml:space="preserve"> </w:t>
            </w:r>
            <w:r w:rsidR="00D92F6E" w:rsidRPr="0025250D">
              <w:rPr>
                <w:rtl/>
              </w:rPr>
              <w:t>پیش‌بین</w:t>
            </w:r>
            <w:r w:rsidRPr="0025250D">
              <w:rPr>
                <w:rFonts w:hint="cs"/>
                <w:rtl/>
              </w:rPr>
              <w:t>ی</w:t>
            </w:r>
            <w:r w:rsidRPr="0025250D">
              <w:rPr>
                <w:rtl/>
              </w:rPr>
              <w:t xml:space="preserve"> اقتصاد</w:t>
            </w:r>
            <w:r w:rsidRPr="0025250D">
              <w:rPr>
                <w:rFonts w:hint="cs"/>
                <w:rtl/>
              </w:rPr>
              <w:t>ی</w:t>
            </w:r>
          </w:p>
        </w:tc>
        <w:tc>
          <w:tcPr>
            <w:tcW w:w="1497" w:type="dxa"/>
            <w:vAlign w:val="center"/>
          </w:tcPr>
          <w:p w14:paraId="2D9B2C31" w14:textId="59FE2212" w:rsidR="00537CC8" w:rsidRPr="0025250D" w:rsidRDefault="00537CC8" w:rsidP="002925C9">
            <w:pPr>
              <w:bidi/>
              <w:spacing w:after="160"/>
              <w:jc w:val="center"/>
              <w:rPr>
                <w:rtl/>
              </w:rPr>
            </w:pPr>
            <w:r w:rsidRPr="0025250D">
              <w:rPr>
                <w:rtl/>
              </w:rPr>
              <w:t>1 (ن</w:t>
            </w:r>
            <w:r w:rsidRPr="0025250D">
              <w:rPr>
                <w:rFonts w:hint="cs"/>
                <w:rtl/>
              </w:rPr>
              <w:t>ی</w:t>
            </w:r>
            <w:r w:rsidRPr="0025250D">
              <w:rPr>
                <w:rFonts w:hint="eastAsia"/>
                <w:rtl/>
              </w:rPr>
              <w:t>و</w:t>
            </w:r>
            <w:r w:rsidRPr="0025250D">
              <w:rPr>
                <w:rFonts w:hint="cs"/>
                <w:rtl/>
              </w:rPr>
              <w:t>ی</w:t>
            </w:r>
            <w:r w:rsidRPr="0025250D">
              <w:rPr>
                <w:rFonts w:hint="eastAsia"/>
                <w:rtl/>
              </w:rPr>
              <w:t>ورک</w:t>
            </w:r>
            <w:r w:rsidR="002C61FC" w:rsidRPr="0025250D">
              <w:rPr>
                <w:rFonts w:hint="cs"/>
                <w:rtl/>
              </w:rPr>
              <w:t>)</w:t>
            </w:r>
          </w:p>
        </w:tc>
      </w:tr>
      <w:tr w:rsidR="00537CC8" w:rsidRPr="0025250D" w14:paraId="2B388461" w14:textId="77777777" w:rsidTr="002925C9">
        <w:tc>
          <w:tcPr>
            <w:tcW w:w="2266" w:type="dxa"/>
            <w:vAlign w:val="center"/>
          </w:tcPr>
          <w:p w14:paraId="1FF68213" w14:textId="77777777" w:rsidR="00537CC8" w:rsidRPr="0025250D" w:rsidRDefault="007A207F" w:rsidP="002925C9">
            <w:pPr>
              <w:bidi/>
              <w:spacing w:after="160"/>
              <w:jc w:val="center"/>
              <w:rPr>
                <w:rtl/>
              </w:rPr>
            </w:pPr>
            <w:hyperlink r:id="rId365">
              <w:r w:rsidR="00537CC8" w:rsidRPr="0025250D">
                <w:rPr>
                  <w:rStyle w:val="Hyperlink"/>
                  <w:color w:val="auto"/>
                  <w:u w:val="none"/>
                </w:rPr>
                <w:t>Economic Modeling Specialists International</w:t>
              </w:r>
            </w:hyperlink>
          </w:p>
        </w:tc>
        <w:tc>
          <w:tcPr>
            <w:tcW w:w="3597" w:type="dxa"/>
            <w:vAlign w:val="center"/>
          </w:tcPr>
          <w:p w14:paraId="4EE8E2ED" w14:textId="77777777" w:rsidR="00537CC8" w:rsidRPr="0025250D" w:rsidRDefault="00537CC8" w:rsidP="002925C9">
            <w:pPr>
              <w:bidi/>
              <w:spacing w:after="160"/>
              <w:jc w:val="center"/>
              <w:rPr>
                <w:rtl/>
              </w:rPr>
            </w:pPr>
            <w:r w:rsidRPr="0025250D">
              <w:rPr>
                <w:rtl/>
              </w:rPr>
              <w:t>تبد</w:t>
            </w:r>
            <w:r w:rsidRPr="0025250D">
              <w:rPr>
                <w:rFonts w:hint="cs"/>
                <w:rtl/>
              </w:rPr>
              <w:t>ی</w:t>
            </w:r>
            <w:r w:rsidRPr="0025250D">
              <w:rPr>
                <w:rFonts w:hint="eastAsia"/>
                <w:rtl/>
              </w:rPr>
              <w:t>ل</w:t>
            </w:r>
            <w:r w:rsidRPr="0025250D">
              <w:rPr>
                <w:rtl/>
              </w:rPr>
              <w:t xml:space="preserve"> داده‌های </w:t>
            </w:r>
            <w:r w:rsidRPr="0025250D">
              <w:rPr>
                <w:rFonts w:hint="cs"/>
                <w:rtl/>
              </w:rPr>
              <w:t xml:space="preserve">نیروی </w:t>
            </w:r>
            <w:r w:rsidRPr="0025250D">
              <w:rPr>
                <w:rtl/>
              </w:rPr>
              <w:t>کار و بازار به مدل ها</w:t>
            </w:r>
            <w:r w:rsidRPr="0025250D">
              <w:rPr>
                <w:rFonts w:hint="cs"/>
                <w:rtl/>
              </w:rPr>
              <w:t>یی</w:t>
            </w:r>
            <w:r w:rsidRPr="0025250D">
              <w:rPr>
                <w:rtl/>
              </w:rPr>
              <w:t xml:space="preserve"> برا</w:t>
            </w:r>
            <w:r w:rsidRPr="0025250D">
              <w:rPr>
                <w:rFonts w:hint="cs"/>
                <w:rtl/>
              </w:rPr>
              <w:t>ی</w:t>
            </w:r>
            <w:r w:rsidRPr="0025250D">
              <w:rPr>
                <w:rtl/>
              </w:rPr>
              <w:t xml:space="preserve"> درک ارتباط ب</w:t>
            </w:r>
            <w:r w:rsidRPr="0025250D">
              <w:rPr>
                <w:rFonts w:hint="cs"/>
                <w:rtl/>
              </w:rPr>
              <w:t>ی</w:t>
            </w:r>
            <w:r w:rsidRPr="0025250D">
              <w:rPr>
                <w:rFonts w:hint="eastAsia"/>
                <w:rtl/>
              </w:rPr>
              <w:t>ن</w:t>
            </w:r>
            <w:r w:rsidRPr="0025250D">
              <w:rPr>
                <w:rtl/>
              </w:rPr>
              <w:t xml:space="preserve"> اقتصاد، مردم و کار.</w:t>
            </w:r>
          </w:p>
        </w:tc>
        <w:tc>
          <w:tcPr>
            <w:tcW w:w="1497" w:type="dxa"/>
            <w:vAlign w:val="center"/>
          </w:tcPr>
          <w:p w14:paraId="575677A3" w14:textId="77777777" w:rsidR="00537CC8" w:rsidRPr="0025250D" w:rsidRDefault="00537CC8" w:rsidP="002925C9">
            <w:pPr>
              <w:bidi/>
              <w:spacing w:after="160"/>
              <w:jc w:val="center"/>
              <w:rPr>
                <w:rtl/>
              </w:rPr>
            </w:pPr>
            <w:r w:rsidRPr="0025250D">
              <w:rPr>
                <w:rtl/>
              </w:rPr>
              <w:t>1 (مسکو)</w:t>
            </w:r>
          </w:p>
        </w:tc>
      </w:tr>
      <w:tr w:rsidR="00537CC8" w:rsidRPr="0025250D" w14:paraId="0C043292" w14:textId="77777777" w:rsidTr="002925C9">
        <w:tc>
          <w:tcPr>
            <w:tcW w:w="2266" w:type="dxa"/>
            <w:vAlign w:val="center"/>
          </w:tcPr>
          <w:p w14:paraId="323B40C0" w14:textId="77777777" w:rsidR="00537CC8" w:rsidRPr="0025250D" w:rsidRDefault="007A207F" w:rsidP="002925C9">
            <w:pPr>
              <w:bidi/>
              <w:spacing w:after="160"/>
              <w:jc w:val="center"/>
              <w:rPr>
                <w:rtl/>
              </w:rPr>
            </w:pPr>
            <w:hyperlink r:id="rId366">
              <w:r w:rsidR="00537CC8" w:rsidRPr="0025250D">
                <w:rPr>
                  <w:rStyle w:val="Hyperlink"/>
                  <w:color w:val="auto"/>
                  <w:u w:val="none"/>
                </w:rPr>
                <w:t>Economist Intelligence Unit</w:t>
              </w:r>
            </w:hyperlink>
          </w:p>
        </w:tc>
        <w:tc>
          <w:tcPr>
            <w:tcW w:w="3597" w:type="dxa"/>
            <w:vAlign w:val="center"/>
          </w:tcPr>
          <w:p w14:paraId="262FD27A" w14:textId="42133769" w:rsidR="00537CC8" w:rsidRPr="0025250D" w:rsidRDefault="00537CC8" w:rsidP="002925C9">
            <w:pPr>
              <w:bidi/>
              <w:spacing w:after="160"/>
              <w:jc w:val="center"/>
              <w:rPr>
                <w:rtl/>
              </w:rPr>
            </w:pPr>
            <w:r w:rsidRPr="0025250D">
              <w:rPr>
                <w:rtl/>
              </w:rPr>
              <w:t>دان</w:t>
            </w:r>
            <w:r w:rsidRPr="0025250D">
              <w:rPr>
                <w:rFonts w:hint="cs"/>
                <w:rtl/>
              </w:rPr>
              <w:t>ی</w:t>
            </w:r>
            <w:r w:rsidRPr="0025250D">
              <w:rPr>
                <w:rFonts w:hint="eastAsia"/>
                <w:rtl/>
              </w:rPr>
              <w:t>ل</w:t>
            </w:r>
            <w:r w:rsidRPr="0025250D">
              <w:rPr>
                <w:rtl/>
              </w:rPr>
              <w:t xml:space="preserve"> فرانکل</w:t>
            </w:r>
            <w:r w:rsidRPr="0025250D">
              <w:rPr>
                <w:rFonts w:hint="cs"/>
                <w:rtl/>
              </w:rPr>
              <w:t>ی</w:t>
            </w:r>
            <w:r w:rsidRPr="0025250D">
              <w:rPr>
                <w:rFonts w:hint="eastAsia"/>
                <w:rtl/>
              </w:rPr>
              <w:t>ن</w:t>
            </w:r>
            <w:r w:rsidRPr="0025250D">
              <w:rPr>
                <w:vertAlign w:val="superscript"/>
                <w:rtl/>
              </w:rPr>
              <w:footnoteReference w:id="3089"/>
            </w:r>
            <w:r w:rsidRPr="0025250D">
              <w:rPr>
                <w:rFonts w:hint="eastAsia"/>
                <w:rtl/>
              </w:rPr>
              <w:t>؛</w:t>
            </w:r>
            <w:r w:rsidRPr="0025250D">
              <w:rPr>
                <w:rtl/>
              </w:rPr>
              <w:t xml:space="preserve"> </w:t>
            </w:r>
            <w:r w:rsidR="00D92F6E" w:rsidRPr="0025250D">
              <w:rPr>
                <w:rtl/>
              </w:rPr>
              <w:t>پیش‌بین</w:t>
            </w:r>
            <w:r w:rsidRPr="0025250D">
              <w:rPr>
                <w:rFonts w:hint="cs"/>
                <w:rtl/>
              </w:rPr>
              <w:t>ی</w:t>
            </w:r>
            <w:r w:rsidRPr="0025250D">
              <w:rPr>
                <w:rFonts w:hint="eastAsia"/>
                <w:rtl/>
              </w:rPr>
              <w:t>،</w:t>
            </w:r>
            <w:r w:rsidRPr="0025250D">
              <w:rPr>
                <w:rtl/>
              </w:rPr>
              <w:t xml:space="preserve"> هوش بازار و خدمات مشاوره‌ای انگلستان، ا</w:t>
            </w:r>
            <w:r w:rsidRPr="0025250D">
              <w:rPr>
                <w:rFonts w:hint="cs"/>
                <w:rtl/>
              </w:rPr>
              <w:t>ی</w:t>
            </w:r>
            <w:r w:rsidRPr="0025250D">
              <w:rPr>
                <w:rFonts w:hint="eastAsia"/>
                <w:rtl/>
              </w:rPr>
              <w:t>الات</w:t>
            </w:r>
            <w:r w:rsidRPr="0025250D">
              <w:rPr>
                <w:rtl/>
              </w:rPr>
              <w:t xml:space="preserve"> متحده، هنگ کنگ</w:t>
            </w:r>
          </w:p>
        </w:tc>
        <w:tc>
          <w:tcPr>
            <w:tcW w:w="1497" w:type="dxa"/>
            <w:vAlign w:val="center"/>
          </w:tcPr>
          <w:p w14:paraId="13AA6C2A" w14:textId="77777777" w:rsidR="00537CC8" w:rsidRPr="0025250D" w:rsidRDefault="00537CC8" w:rsidP="002925C9">
            <w:pPr>
              <w:bidi/>
              <w:spacing w:after="160"/>
              <w:jc w:val="center"/>
              <w:rPr>
                <w:rtl/>
              </w:rPr>
            </w:pPr>
            <w:r w:rsidRPr="0025250D">
              <w:rPr>
                <w:rtl/>
              </w:rPr>
              <w:t>3 (لندن)</w:t>
            </w:r>
          </w:p>
        </w:tc>
      </w:tr>
      <w:tr w:rsidR="00537CC8" w:rsidRPr="0025250D" w14:paraId="266E330A" w14:textId="77777777" w:rsidTr="002925C9">
        <w:tc>
          <w:tcPr>
            <w:tcW w:w="2266" w:type="dxa"/>
            <w:vAlign w:val="center"/>
          </w:tcPr>
          <w:p w14:paraId="1814BE11" w14:textId="77777777" w:rsidR="00537CC8" w:rsidRPr="0025250D" w:rsidRDefault="007A207F" w:rsidP="002925C9">
            <w:pPr>
              <w:bidi/>
              <w:spacing w:after="160"/>
              <w:jc w:val="center"/>
              <w:rPr>
                <w:rtl/>
              </w:rPr>
            </w:pPr>
            <w:hyperlink r:id="rId367">
              <w:r w:rsidR="00537CC8" w:rsidRPr="0025250D">
                <w:rPr>
                  <w:rStyle w:val="Hyperlink"/>
                  <w:color w:val="auto"/>
                  <w:u w:val="none"/>
                </w:rPr>
                <w:t>European IT Observ</w:t>
              </w:r>
            </w:hyperlink>
            <w:r w:rsidR="00537CC8" w:rsidRPr="0025250D">
              <w:t xml:space="preserve"> </w:t>
            </w:r>
            <w:hyperlink r:id="rId368">
              <w:r w:rsidR="00537CC8" w:rsidRPr="0025250D">
                <w:rPr>
                  <w:rStyle w:val="Hyperlink"/>
                  <w:b/>
                  <w:color w:val="auto"/>
                  <w:u w:val="none"/>
                </w:rPr>
                <w:t>a</w:t>
              </w:r>
              <w:r w:rsidR="00537CC8" w:rsidRPr="0025250D">
                <w:rPr>
                  <w:rStyle w:val="Hyperlink"/>
                  <w:color w:val="auto"/>
                  <w:u w:val="none"/>
                </w:rPr>
                <w:t>nd Bitkom Research</w:t>
              </w:r>
            </w:hyperlink>
          </w:p>
        </w:tc>
        <w:tc>
          <w:tcPr>
            <w:tcW w:w="3597" w:type="dxa"/>
            <w:vAlign w:val="center"/>
          </w:tcPr>
          <w:p w14:paraId="6ECC6066" w14:textId="77777777" w:rsidR="00537CC8" w:rsidRPr="0025250D" w:rsidRDefault="00537CC8" w:rsidP="002925C9">
            <w:pPr>
              <w:bidi/>
              <w:spacing w:after="160"/>
              <w:jc w:val="center"/>
              <w:rPr>
                <w:rtl/>
              </w:rPr>
            </w:pPr>
            <w:r w:rsidRPr="0025250D">
              <w:rPr>
                <w:rtl/>
              </w:rPr>
              <w:t>تحق</w:t>
            </w:r>
            <w:r w:rsidRPr="0025250D">
              <w:rPr>
                <w:rFonts w:hint="cs"/>
                <w:rtl/>
              </w:rPr>
              <w:t>ی</w:t>
            </w:r>
            <w:r w:rsidRPr="0025250D">
              <w:rPr>
                <w:rFonts w:hint="eastAsia"/>
                <w:rtl/>
              </w:rPr>
              <w:t>قات</w:t>
            </w:r>
            <w:r w:rsidRPr="0025250D">
              <w:rPr>
                <w:rtl/>
              </w:rPr>
              <w:t xml:space="preserve"> بازار و آمار در مورد بازارها</w:t>
            </w:r>
            <w:r w:rsidRPr="0025250D">
              <w:rPr>
                <w:rFonts w:hint="cs"/>
                <w:rtl/>
              </w:rPr>
              <w:t>ی</w:t>
            </w:r>
            <w:r w:rsidRPr="0025250D">
              <w:rPr>
                <w:rtl/>
              </w:rPr>
              <w:t xml:space="preserve"> </w:t>
            </w:r>
            <w:r w:rsidRPr="0025250D">
              <w:t>ICT</w:t>
            </w:r>
            <w:r w:rsidRPr="0025250D">
              <w:rPr>
                <w:rtl/>
              </w:rPr>
              <w:t xml:space="preserve"> اروپا</w:t>
            </w:r>
          </w:p>
        </w:tc>
        <w:tc>
          <w:tcPr>
            <w:tcW w:w="1497" w:type="dxa"/>
            <w:vAlign w:val="center"/>
          </w:tcPr>
          <w:p w14:paraId="319B1B2C" w14:textId="77777777" w:rsidR="00537CC8" w:rsidRPr="0025250D" w:rsidRDefault="00537CC8" w:rsidP="002925C9">
            <w:pPr>
              <w:bidi/>
              <w:spacing w:after="160"/>
              <w:jc w:val="center"/>
              <w:rPr>
                <w:rtl/>
              </w:rPr>
            </w:pPr>
            <w:r w:rsidRPr="0025250D">
              <w:rPr>
                <w:rtl/>
              </w:rPr>
              <w:t>3 (برل</w:t>
            </w:r>
            <w:r w:rsidRPr="0025250D">
              <w:rPr>
                <w:rFonts w:hint="cs"/>
                <w:rtl/>
              </w:rPr>
              <w:t>ی</w:t>
            </w:r>
            <w:r w:rsidRPr="0025250D">
              <w:rPr>
                <w:rFonts w:hint="eastAsia"/>
                <w:rtl/>
              </w:rPr>
              <w:t>ن،</w:t>
            </w:r>
            <w:r w:rsidRPr="0025250D">
              <w:rPr>
                <w:rtl/>
              </w:rPr>
              <w:t xml:space="preserve"> آلمان)</w:t>
            </w:r>
          </w:p>
        </w:tc>
      </w:tr>
      <w:tr w:rsidR="00537CC8" w:rsidRPr="0025250D" w14:paraId="64B433EF" w14:textId="77777777" w:rsidTr="002925C9">
        <w:tc>
          <w:tcPr>
            <w:tcW w:w="2266" w:type="dxa"/>
            <w:vAlign w:val="center"/>
          </w:tcPr>
          <w:p w14:paraId="6CA8C81E" w14:textId="77777777" w:rsidR="00537CC8" w:rsidRPr="0025250D" w:rsidRDefault="007A207F" w:rsidP="002925C9">
            <w:pPr>
              <w:bidi/>
              <w:spacing w:after="160"/>
              <w:jc w:val="center"/>
              <w:rPr>
                <w:rtl/>
              </w:rPr>
            </w:pPr>
            <w:hyperlink r:id="rId369">
              <w:r w:rsidR="00537CC8" w:rsidRPr="0025250D">
                <w:rPr>
                  <w:rStyle w:val="Hyperlink"/>
                  <w:color w:val="auto"/>
                  <w:u w:val="none"/>
                </w:rPr>
                <w:t>Elder Research</w:t>
              </w:r>
            </w:hyperlink>
          </w:p>
        </w:tc>
        <w:tc>
          <w:tcPr>
            <w:tcW w:w="3597" w:type="dxa"/>
            <w:vAlign w:val="center"/>
          </w:tcPr>
          <w:p w14:paraId="22121DA9" w14:textId="496467C0" w:rsidR="00537CC8" w:rsidRPr="0025250D" w:rsidRDefault="00537CC8" w:rsidP="002925C9">
            <w:pPr>
              <w:bidi/>
              <w:spacing w:after="160"/>
              <w:jc w:val="center"/>
              <w:rPr>
                <w:rtl/>
              </w:rPr>
            </w:pPr>
            <w:r w:rsidRPr="0025250D">
              <w:rPr>
                <w:rtl/>
              </w:rPr>
              <w:t>شرکت پ</w:t>
            </w:r>
            <w:r w:rsidRPr="0025250D">
              <w:rPr>
                <w:rFonts w:hint="cs"/>
                <w:rtl/>
              </w:rPr>
              <w:t>ی</w:t>
            </w:r>
            <w:r w:rsidRPr="0025250D">
              <w:rPr>
                <w:rFonts w:hint="eastAsia"/>
                <w:rtl/>
              </w:rPr>
              <w:t>شرو</w:t>
            </w:r>
            <w:r w:rsidRPr="0025250D">
              <w:rPr>
                <w:rtl/>
              </w:rPr>
              <w:t xml:space="preserve"> داده کاو</w:t>
            </w:r>
            <w:r w:rsidRPr="0025250D">
              <w:rPr>
                <w:rFonts w:hint="cs"/>
                <w:rtl/>
              </w:rPr>
              <w:t>ی</w:t>
            </w:r>
            <w:r w:rsidRPr="0025250D">
              <w:rPr>
                <w:rtl/>
              </w:rPr>
              <w:t xml:space="preserve"> و تجز</w:t>
            </w:r>
            <w:r w:rsidRPr="0025250D">
              <w:rPr>
                <w:rFonts w:hint="cs"/>
                <w:rtl/>
              </w:rPr>
              <w:t>ی</w:t>
            </w:r>
            <w:r w:rsidRPr="0025250D">
              <w:rPr>
                <w:rFonts w:hint="eastAsia"/>
                <w:rtl/>
              </w:rPr>
              <w:t>ه</w:t>
            </w:r>
            <w:r w:rsidRPr="0025250D">
              <w:rPr>
                <w:rtl/>
              </w:rPr>
              <w:t xml:space="preserve"> و تحل</w:t>
            </w:r>
            <w:r w:rsidRPr="0025250D">
              <w:rPr>
                <w:rFonts w:hint="cs"/>
                <w:rtl/>
              </w:rPr>
              <w:t>ی</w:t>
            </w:r>
            <w:r w:rsidRPr="0025250D">
              <w:rPr>
                <w:rFonts w:hint="eastAsia"/>
                <w:rtl/>
              </w:rPr>
              <w:t>ل</w:t>
            </w:r>
            <w:r w:rsidRPr="0025250D">
              <w:rPr>
                <w:rtl/>
              </w:rPr>
              <w:t xml:space="preserve"> </w:t>
            </w:r>
            <w:r w:rsidR="00D92F6E" w:rsidRPr="0025250D">
              <w:rPr>
                <w:rFonts w:hint="cs"/>
                <w:rtl/>
              </w:rPr>
              <w:t>پیش‌بین</w:t>
            </w:r>
            <w:r w:rsidRPr="0025250D">
              <w:rPr>
                <w:rtl/>
              </w:rPr>
              <w:t>.</w:t>
            </w:r>
          </w:p>
        </w:tc>
        <w:tc>
          <w:tcPr>
            <w:tcW w:w="1497" w:type="dxa"/>
            <w:vAlign w:val="center"/>
          </w:tcPr>
          <w:p w14:paraId="2C08B27D" w14:textId="77777777" w:rsidR="00537CC8" w:rsidRPr="0025250D" w:rsidRDefault="00537CC8" w:rsidP="002925C9">
            <w:pPr>
              <w:bidi/>
              <w:spacing w:after="160"/>
              <w:jc w:val="center"/>
              <w:rPr>
                <w:rtl/>
              </w:rPr>
            </w:pPr>
            <w:r w:rsidRPr="0025250D">
              <w:rPr>
                <w:rtl/>
              </w:rPr>
              <w:t>1 (شارلوتزو</w:t>
            </w:r>
            <w:r w:rsidRPr="0025250D">
              <w:rPr>
                <w:rFonts w:hint="cs"/>
                <w:rtl/>
              </w:rPr>
              <w:t>ی</w:t>
            </w:r>
            <w:r w:rsidRPr="0025250D">
              <w:rPr>
                <w:rFonts w:hint="eastAsia"/>
                <w:rtl/>
              </w:rPr>
              <w:t>ل</w:t>
            </w:r>
            <w:r w:rsidRPr="0025250D">
              <w:rPr>
                <w:rFonts w:hint="cs"/>
                <w:rtl/>
              </w:rPr>
              <w:t>)</w:t>
            </w:r>
          </w:p>
        </w:tc>
      </w:tr>
      <w:tr w:rsidR="00537CC8" w:rsidRPr="0025250D" w14:paraId="7C1568F8" w14:textId="77777777" w:rsidTr="002925C9">
        <w:tc>
          <w:tcPr>
            <w:tcW w:w="2266" w:type="dxa"/>
            <w:vAlign w:val="center"/>
          </w:tcPr>
          <w:p w14:paraId="70393F73" w14:textId="77777777" w:rsidR="00537CC8" w:rsidRPr="0025250D" w:rsidRDefault="007A207F" w:rsidP="002925C9">
            <w:pPr>
              <w:bidi/>
              <w:spacing w:after="160"/>
              <w:jc w:val="center"/>
            </w:pPr>
            <w:hyperlink r:id="rId370">
              <w:r w:rsidR="00537CC8" w:rsidRPr="0025250D">
                <w:rPr>
                  <w:rStyle w:val="Hyperlink"/>
                  <w:color w:val="auto"/>
                  <w:u w:val="none"/>
                </w:rPr>
                <w:t>Eurasia Group</w:t>
              </w:r>
            </w:hyperlink>
          </w:p>
        </w:tc>
        <w:tc>
          <w:tcPr>
            <w:tcW w:w="3597" w:type="dxa"/>
            <w:vAlign w:val="center"/>
          </w:tcPr>
          <w:p w14:paraId="5F4400A2" w14:textId="77777777" w:rsidR="00537CC8" w:rsidRPr="0025250D" w:rsidRDefault="00537CC8" w:rsidP="002925C9">
            <w:pPr>
              <w:bidi/>
              <w:spacing w:after="160"/>
              <w:jc w:val="center"/>
              <w:rPr>
                <w:rtl/>
              </w:rPr>
            </w:pPr>
            <w:r w:rsidRPr="0025250D">
              <w:rPr>
                <w:rtl/>
              </w:rPr>
              <w:t>ا</w:t>
            </w:r>
            <w:r w:rsidRPr="0025250D">
              <w:rPr>
                <w:rFonts w:hint="cs"/>
                <w:rtl/>
              </w:rPr>
              <w:t>ی</w:t>
            </w:r>
            <w:r w:rsidRPr="0025250D">
              <w:rPr>
                <w:rFonts w:hint="eastAsia"/>
                <w:rtl/>
              </w:rPr>
              <w:t>ان</w:t>
            </w:r>
            <w:r w:rsidRPr="0025250D">
              <w:rPr>
                <w:rtl/>
              </w:rPr>
              <w:t xml:space="preserve"> برمر</w:t>
            </w:r>
            <w:r w:rsidRPr="0025250D">
              <w:rPr>
                <w:vertAlign w:val="superscript"/>
                <w:rtl/>
              </w:rPr>
              <w:footnoteReference w:id="3090"/>
            </w:r>
            <w:r w:rsidRPr="0025250D">
              <w:rPr>
                <w:rFonts w:hint="cs"/>
                <w:rtl/>
              </w:rPr>
              <w:t>؛</w:t>
            </w:r>
            <w:r w:rsidRPr="0025250D">
              <w:rPr>
                <w:rtl/>
              </w:rPr>
              <w:t xml:space="preserve"> بزرگتر</w:t>
            </w:r>
            <w:r w:rsidRPr="0025250D">
              <w:rPr>
                <w:rFonts w:hint="cs"/>
                <w:rtl/>
              </w:rPr>
              <w:t>ی</w:t>
            </w:r>
            <w:r w:rsidRPr="0025250D">
              <w:rPr>
                <w:rFonts w:hint="eastAsia"/>
                <w:rtl/>
              </w:rPr>
              <w:t>ن</w:t>
            </w:r>
            <w:r w:rsidRPr="0025250D">
              <w:rPr>
                <w:rtl/>
              </w:rPr>
              <w:t xml:space="preserve"> شرکت مشاوره ر</w:t>
            </w:r>
            <w:r w:rsidRPr="0025250D">
              <w:rPr>
                <w:rFonts w:hint="cs"/>
                <w:rtl/>
              </w:rPr>
              <w:t>ی</w:t>
            </w:r>
            <w:r w:rsidRPr="0025250D">
              <w:rPr>
                <w:rFonts w:hint="eastAsia"/>
                <w:rtl/>
              </w:rPr>
              <w:t>سک</w:t>
            </w:r>
            <w:r w:rsidRPr="0025250D">
              <w:rPr>
                <w:rtl/>
              </w:rPr>
              <w:t xml:space="preserve"> س</w:t>
            </w:r>
            <w:r w:rsidRPr="0025250D">
              <w:rPr>
                <w:rFonts w:hint="cs"/>
                <w:rtl/>
              </w:rPr>
              <w:t>ی</w:t>
            </w:r>
            <w:r w:rsidRPr="0025250D">
              <w:rPr>
                <w:rFonts w:hint="eastAsia"/>
                <w:rtl/>
              </w:rPr>
              <w:t>اس</w:t>
            </w:r>
            <w:r w:rsidRPr="0025250D">
              <w:rPr>
                <w:rFonts w:hint="cs"/>
                <w:rtl/>
              </w:rPr>
              <w:t>ی</w:t>
            </w:r>
            <w:r w:rsidRPr="0025250D">
              <w:rPr>
                <w:rtl/>
              </w:rPr>
              <w:t xml:space="preserve"> جهان</w:t>
            </w:r>
          </w:p>
        </w:tc>
        <w:tc>
          <w:tcPr>
            <w:tcW w:w="1497" w:type="dxa"/>
            <w:vAlign w:val="center"/>
          </w:tcPr>
          <w:p w14:paraId="4ED92962" w14:textId="77777777" w:rsidR="00537CC8" w:rsidRPr="0025250D" w:rsidRDefault="00537CC8" w:rsidP="002925C9">
            <w:pPr>
              <w:bidi/>
              <w:spacing w:after="160"/>
              <w:jc w:val="center"/>
              <w:rPr>
                <w:rtl/>
              </w:rPr>
            </w:pPr>
            <w:r w:rsidRPr="0025250D">
              <w:rPr>
                <w:rtl/>
              </w:rPr>
              <w:t>1،3 (</w:t>
            </w:r>
            <w:r w:rsidRPr="0025250D">
              <w:rPr>
                <w:rFonts w:hint="cs"/>
                <w:rtl/>
              </w:rPr>
              <w:t>نیویورک</w:t>
            </w:r>
            <w:r w:rsidRPr="0025250D">
              <w:rPr>
                <w:rtl/>
              </w:rPr>
              <w:t>، لندن)</w:t>
            </w:r>
          </w:p>
        </w:tc>
      </w:tr>
      <w:tr w:rsidR="00537CC8" w:rsidRPr="0025250D" w14:paraId="364BEFE8" w14:textId="77777777" w:rsidTr="002925C9">
        <w:tc>
          <w:tcPr>
            <w:tcW w:w="2266" w:type="dxa"/>
            <w:vAlign w:val="center"/>
          </w:tcPr>
          <w:p w14:paraId="5C68E029" w14:textId="77777777" w:rsidR="00537CC8" w:rsidRPr="0025250D" w:rsidRDefault="007A207F" w:rsidP="002925C9">
            <w:pPr>
              <w:bidi/>
              <w:spacing w:after="160"/>
              <w:jc w:val="center"/>
            </w:pPr>
            <w:hyperlink r:id="rId371">
              <w:r w:rsidR="00537CC8" w:rsidRPr="0025250D">
                <w:rPr>
                  <w:rStyle w:val="Hyperlink"/>
                  <w:color w:val="auto"/>
                  <w:u w:val="none"/>
                </w:rPr>
                <w:t>Finpro</w:t>
              </w:r>
            </w:hyperlink>
          </w:p>
        </w:tc>
        <w:tc>
          <w:tcPr>
            <w:tcW w:w="3597" w:type="dxa"/>
            <w:vAlign w:val="center"/>
          </w:tcPr>
          <w:p w14:paraId="3E6C7EA7" w14:textId="2596DC6B" w:rsidR="00537CC8" w:rsidRPr="0025250D" w:rsidRDefault="00537CC8" w:rsidP="002925C9">
            <w:pPr>
              <w:bidi/>
              <w:spacing w:after="160"/>
              <w:jc w:val="center"/>
              <w:rPr>
                <w:rtl/>
              </w:rPr>
            </w:pPr>
            <w:r w:rsidRPr="0025250D">
              <w:rPr>
                <w:rtl/>
              </w:rPr>
              <w:t>سازمان تجارت، ب</w:t>
            </w:r>
            <w:r w:rsidRPr="0025250D">
              <w:rPr>
                <w:rFonts w:hint="cs"/>
                <w:rtl/>
              </w:rPr>
              <w:t>ی</w:t>
            </w:r>
            <w:r w:rsidRPr="0025250D">
              <w:rPr>
                <w:rFonts w:hint="eastAsia"/>
                <w:rtl/>
              </w:rPr>
              <w:t>ن</w:t>
            </w:r>
            <w:r w:rsidRPr="0025250D">
              <w:rPr>
                <w:rtl/>
              </w:rPr>
              <w:t xml:space="preserve"> الملل</w:t>
            </w:r>
            <w:r w:rsidRPr="0025250D">
              <w:rPr>
                <w:rFonts w:hint="cs"/>
                <w:rtl/>
              </w:rPr>
              <w:t>ی</w:t>
            </w:r>
            <w:r w:rsidRPr="0025250D">
              <w:rPr>
                <w:rtl/>
              </w:rPr>
              <w:t xml:space="preserve"> ساز</w:t>
            </w:r>
            <w:r w:rsidRPr="0025250D">
              <w:rPr>
                <w:rFonts w:hint="cs"/>
                <w:rtl/>
              </w:rPr>
              <w:t>ی</w:t>
            </w:r>
            <w:r w:rsidRPr="0025250D">
              <w:rPr>
                <w:rtl/>
              </w:rPr>
              <w:t xml:space="preserve"> و توسعه </w:t>
            </w:r>
            <w:r w:rsidR="00F50EB4" w:rsidRPr="0025250D">
              <w:rPr>
                <w:rtl/>
              </w:rPr>
              <w:t>سرمایه‌گذاری</w:t>
            </w:r>
          </w:p>
        </w:tc>
        <w:tc>
          <w:tcPr>
            <w:tcW w:w="1497" w:type="dxa"/>
            <w:vAlign w:val="center"/>
          </w:tcPr>
          <w:p w14:paraId="6343ACE0" w14:textId="77777777" w:rsidR="00537CC8" w:rsidRPr="0025250D" w:rsidRDefault="00537CC8" w:rsidP="002925C9">
            <w:pPr>
              <w:bidi/>
              <w:spacing w:after="160"/>
              <w:jc w:val="center"/>
              <w:rPr>
                <w:rtl/>
              </w:rPr>
            </w:pPr>
            <w:r w:rsidRPr="0025250D">
              <w:rPr>
                <w:rtl/>
              </w:rPr>
              <w:t>3 (هلس</w:t>
            </w:r>
            <w:r w:rsidRPr="0025250D">
              <w:rPr>
                <w:rFonts w:hint="cs"/>
                <w:rtl/>
              </w:rPr>
              <w:t>ی</w:t>
            </w:r>
            <w:r w:rsidRPr="0025250D">
              <w:rPr>
                <w:rFonts w:hint="eastAsia"/>
                <w:rtl/>
              </w:rPr>
              <w:t>نک</w:t>
            </w:r>
            <w:r w:rsidRPr="0025250D">
              <w:rPr>
                <w:rFonts w:hint="cs"/>
                <w:rtl/>
              </w:rPr>
              <w:t>ی</w:t>
            </w:r>
            <w:r w:rsidRPr="0025250D">
              <w:rPr>
                <w:rFonts w:hint="eastAsia"/>
                <w:rtl/>
              </w:rPr>
              <w:t>،</w:t>
            </w:r>
            <w:r w:rsidRPr="0025250D">
              <w:rPr>
                <w:rtl/>
              </w:rPr>
              <w:t xml:space="preserve"> فنلاند)</w:t>
            </w:r>
          </w:p>
        </w:tc>
      </w:tr>
      <w:tr w:rsidR="00537CC8" w:rsidRPr="0025250D" w14:paraId="2994CA68" w14:textId="77777777" w:rsidTr="002925C9">
        <w:tc>
          <w:tcPr>
            <w:tcW w:w="2266" w:type="dxa"/>
            <w:vAlign w:val="center"/>
          </w:tcPr>
          <w:p w14:paraId="1A3F6BA7" w14:textId="77777777" w:rsidR="00537CC8" w:rsidRPr="0025250D" w:rsidRDefault="007A207F" w:rsidP="002925C9">
            <w:pPr>
              <w:bidi/>
              <w:spacing w:after="160"/>
              <w:jc w:val="center"/>
            </w:pPr>
            <w:hyperlink r:id="rId372">
              <w:r w:rsidR="00537CC8" w:rsidRPr="0025250D">
                <w:rPr>
                  <w:rStyle w:val="Hyperlink"/>
                  <w:color w:val="auto"/>
                  <w:u w:val="none"/>
                </w:rPr>
                <w:t>Forecast International</w:t>
              </w:r>
            </w:hyperlink>
          </w:p>
        </w:tc>
        <w:tc>
          <w:tcPr>
            <w:tcW w:w="3597" w:type="dxa"/>
            <w:vAlign w:val="center"/>
          </w:tcPr>
          <w:p w14:paraId="0E11AD61" w14:textId="277001B3" w:rsidR="00537CC8" w:rsidRPr="0025250D" w:rsidRDefault="00537CC8" w:rsidP="002925C9">
            <w:pPr>
              <w:bidi/>
              <w:spacing w:after="160"/>
              <w:jc w:val="center"/>
              <w:rPr>
                <w:rtl/>
              </w:rPr>
            </w:pPr>
            <w:r w:rsidRPr="0025250D">
              <w:rPr>
                <w:rtl/>
              </w:rPr>
              <w:t>هوش هوافضا، دفاع، الکترون</w:t>
            </w:r>
            <w:r w:rsidRPr="0025250D">
              <w:rPr>
                <w:rFonts w:hint="cs"/>
                <w:rtl/>
              </w:rPr>
              <w:t>ی</w:t>
            </w:r>
            <w:r w:rsidRPr="0025250D">
              <w:rPr>
                <w:rFonts w:hint="eastAsia"/>
                <w:rtl/>
              </w:rPr>
              <w:t>ک،</w:t>
            </w:r>
            <w:r w:rsidRPr="0025250D">
              <w:rPr>
                <w:rtl/>
              </w:rPr>
              <w:t xml:space="preserve"> </w:t>
            </w:r>
            <w:r w:rsidR="008D6F97" w:rsidRPr="0025250D">
              <w:rPr>
                <w:rtl/>
              </w:rPr>
              <w:t>سامانه‌</w:t>
            </w:r>
            <w:r w:rsidRPr="0025250D">
              <w:rPr>
                <w:rtl/>
              </w:rPr>
              <w:t>‌های قدرت.</w:t>
            </w:r>
          </w:p>
        </w:tc>
        <w:tc>
          <w:tcPr>
            <w:tcW w:w="1497" w:type="dxa"/>
            <w:vAlign w:val="center"/>
          </w:tcPr>
          <w:p w14:paraId="57350F32" w14:textId="77777777" w:rsidR="00537CC8" w:rsidRPr="0025250D" w:rsidRDefault="00537CC8" w:rsidP="002925C9">
            <w:pPr>
              <w:bidi/>
              <w:spacing w:after="160"/>
              <w:jc w:val="center"/>
              <w:rPr>
                <w:rtl/>
              </w:rPr>
            </w:pPr>
            <w:r w:rsidRPr="0025250D">
              <w:rPr>
                <w:rtl/>
              </w:rPr>
              <w:t>1 (ن</w:t>
            </w:r>
            <w:r w:rsidRPr="0025250D">
              <w:rPr>
                <w:rFonts w:hint="cs"/>
                <w:rtl/>
              </w:rPr>
              <w:t>ی</w:t>
            </w:r>
            <w:r w:rsidRPr="0025250D">
              <w:rPr>
                <w:rFonts w:hint="eastAsia"/>
                <w:rtl/>
              </w:rPr>
              <w:t>وتاون</w:t>
            </w:r>
            <w:r w:rsidRPr="0025250D">
              <w:rPr>
                <w:rFonts w:hint="cs"/>
                <w:rtl/>
              </w:rPr>
              <w:t>)</w:t>
            </w:r>
          </w:p>
        </w:tc>
      </w:tr>
      <w:tr w:rsidR="00537CC8" w:rsidRPr="0025250D" w14:paraId="3414B690" w14:textId="77777777" w:rsidTr="002925C9">
        <w:tc>
          <w:tcPr>
            <w:tcW w:w="2266" w:type="dxa"/>
            <w:vAlign w:val="center"/>
          </w:tcPr>
          <w:p w14:paraId="4C25B812" w14:textId="77777777" w:rsidR="00537CC8" w:rsidRPr="0025250D" w:rsidRDefault="007A207F" w:rsidP="002925C9">
            <w:pPr>
              <w:bidi/>
              <w:spacing w:after="160"/>
              <w:jc w:val="center"/>
            </w:pPr>
            <w:hyperlink r:id="rId373">
              <w:r w:rsidR="00537CC8" w:rsidRPr="0025250D">
                <w:rPr>
                  <w:rStyle w:val="Hyperlink"/>
                  <w:color w:val="auto"/>
                  <w:u w:val="none"/>
                </w:rPr>
                <w:t>Foresight Science &amp; Technology</w:t>
              </w:r>
            </w:hyperlink>
          </w:p>
        </w:tc>
        <w:tc>
          <w:tcPr>
            <w:tcW w:w="3597" w:type="dxa"/>
            <w:vAlign w:val="center"/>
          </w:tcPr>
          <w:p w14:paraId="5E135E88" w14:textId="77777777" w:rsidR="00537CC8" w:rsidRPr="0025250D" w:rsidRDefault="00537CC8" w:rsidP="002925C9">
            <w:pPr>
              <w:bidi/>
              <w:spacing w:after="160"/>
              <w:jc w:val="center"/>
              <w:rPr>
                <w:rtl/>
              </w:rPr>
            </w:pPr>
            <w:r w:rsidRPr="0025250D">
              <w:rPr>
                <w:rtl/>
              </w:rPr>
              <w:t>ف</w:t>
            </w:r>
            <w:r w:rsidRPr="0025250D">
              <w:rPr>
                <w:rFonts w:hint="cs"/>
                <w:rtl/>
              </w:rPr>
              <w:t>ی</w:t>
            </w:r>
            <w:r w:rsidRPr="0025250D">
              <w:rPr>
                <w:rFonts w:hint="eastAsia"/>
                <w:rtl/>
              </w:rPr>
              <w:t>ل</w:t>
            </w:r>
            <w:r w:rsidRPr="0025250D">
              <w:rPr>
                <w:rtl/>
              </w:rPr>
              <w:t xml:space="preserve"> اسپسر</w:t>
            </w:r>
            <w:r w:rsidRPr="0025250D">
              <w:rPr>
                <w:vertAlign w:val="superscript"/>
                <w:rtl/>
              </w:rPr>
              <w:footnoteReference w:id="3091"/>
            </w:r>
            <w:r w:rsidRPr="0025250D">
              <w:rPr>
                <w:rFonts w:hint="cs"/>
                <w:rtl/>
              </w:rPr>
              <w:t>؛</w:t>
            </w:r>
            <w:r w:rsidRPr="0025250D">
              <w:rPr>
                <w:rtl/>
              </w:rPr>
              <w:t xml:space="preserve"> توسعه محصول و خدمات انتقال فناور</w:t>
            </w:r>
            <w:r w:rsidRPr="0025250D">
              <w:rPr>
                <w:rFonts w:hint="cs"/>
                <w:rtl/>
              </w:rPr>
              <w:t>ی</w:t>
            </w:r>
            <w:r w:rsidRPr="0025250D">
              <w:rPr>
                <w:rtl/>
              </w:rPr>
              <w:t>.</w:t>
            </w:r>
          </w:p>
        </w:tc>
        <w:tc>
          <w:tcPr>
            <w:tcW w:w="1497" w:type="dxa"/>
            <w:vAlign w:val="center"/>
          </w:tcPr>
          <w:p w14:paraId="281E7900" w14:textId="77777777" w:rsidR="00537CC8" w:rsidRPr="0025250D" w:rsidRDefault="00537CC8" w:rsidP="002925C9">
            <w:pPr>
              <w:bidi/>
              <w:spacing w:after="160"/>
              <w:jc w:val="center"/>
              <w:rPr>
                <w:rtl/>
              </w:rPr>
            </w:pPr>
            <w:r w:rsidRPr="0025250D">
              <w:rPr>
                <w:rtl/>
              </w:rPr>
              <w:t>1 (پروا</w:t>
            </w:r>
            <w:r w:rsidRPr="0025250D">
              <w:rPr>
                <w:rFonts w:hint="cs"/>
                <w:rtl/>
              </w:rPr>
              <w:t>ی</w:t>
            </w:r>
            <w:r w:rsidRPr="0025250D">
              <w:rPr>
                <w:rFonts w:hint="eastAsia"/>
                <w:rtl/>
              </w:rPr>
              <w:t>دنس</w:t>
            </w:r>
            <w:r w:rsidRPr="0025250D">
              <w:rPr>
                <w:rFonts w:hint="cs"/>
                <w:rtl/>
              </w:rPr>
              <w:t>)</w:t>
            </w:r>
          </w:p>
        </w:tc>
      </w:tr>
      <w:tr w:rsidR="00537CC8" w:rsidRPr="0025250D" w14:paraId="0F5919AD" w14:textId="77777777" w:rsidTr="002925C9">
        <w:tc>
          <w:tcPr>
            <w:tcW w:w="2266" w:type="dxa"/>
            <w:vAlign w:val="center"/>
          </w:tcPr>
          <w:p w14:paraId="19AC89AE" w14:textId="77777777" w:rsidR="00537CC8" w:rsidRPr="0025250D" w:rsidRDefault="007A207F" w:rsidP="002925C9">
            <w:pPr>
              <w:bidi/>
              <w:spacing w:after="160"/>
              <w:jc w:val="center"/>
            </w:pPr>
            <w:hyperlink r:id="rId374">
              <w:r w:rsidR="00537CC8" w:rsidRPr="0025250D">
                <w:rPr>
                  <w:rStyle w:val="Hyperlink"/>
                  <w:color w:val="auto"/>
                  <w:u w:val="none"/>
                </w:rPr>
                <w:t>Forrester Research</w:t>
              </w:r>
            </w:hyperlink>
          </w:p>
        </w:tc>
        <w:tc>
          <w:tcPr>
            <w:tcW w:w="3597" w:type="dxa"/>
            <w:vAlign w:val="center"/>
          </w:tcPr>
          <w:p w14:paraId="0B2AAA1C" w14:textId="77777777" w:rsidR="00537CC8" w:rsidRPr="0025250D" w:rsidRDefault="00537CC8" w:rsidP="002925C9">
            <w:pPr>
              <w:bidi/>
              <w:spacing w:after="160"/>
              <w:jc w:val="center"/>
              <w:rPr>
                <w:rtl/>
              </w:rPr>
            </w:pPr>
            <w:r w:rsidRPr="0025250D">
              <w:rPr>
                <w:rtl/>
              </w:rPr>
              <w:t>ج</w:t>
            </w:r>
            <w:r w:rsidRPr="0025250D">
              <w:rPr>
                <w:rFonts w:hint="cs"/>
                <w:rtl/>
              </w:rPr>
              <w:t>ی</w:t>
            </w:r>
            <w:r w:rsidRPr="0025250D">
              <w:rPr>
                <w:rFonts w:hint="eastAsia"/>
                <w:rtl/>
              </w:rPr>
              <w:t>مز</w:t>
            </w:r>
            <w:r w:rsidRPr="0025250D">
              <w:rPr>
                <w:rtl/>
              </w:rPr>
              <w:t xml:space="preserve"> مک کو</w:t>
            </w:r>
            <w:r w:rsidRPr="0025250D">
              <w:rPr>
                <w:rFonts w:hint="cs"/>
                <w:rtl/>
              </w:rPr>
              <w:t>ی</w:t>
            </w:r>
            <w:r w:rsidRPr="0025250D">
              <w:rPr>
                <w:rFonts w:hint="eastAsia"/>
                <w:rtl/>
              </w:rPr>
              <w:t>و</w:t>
            </w:r>
            <w:r w:rsidRPr="0025250D">
              <w:rPr>
                <w:rFonts w:hint="cs"/>
                <w:rtl/>
              </w:rPr>
              <w:t>ی</w:t>
            </w:r>
            <w:r w:rsidRPr="0025250D">
              <w:rPr>
                <w:vertAlign w:val="superscript"/>
                <w:rtl/>
              </w:rPr>
              <w:footnoteReference w:id="3092"/>
            </w:r>
            <w:r w:rsidRPr="0025250D">
              <w:rPr>
                <w:rtl/>
              </w:rPr>
              <w:t>. شرکت تحق</w:t>
            </w:r>
            <w:r w:rsidRPr="0025250D">
              <w:rPr>
                <w:rFonts w:hint="cs"/>
                <w:rtl/>
              </w:rPr>
              <w:t>ی</w:t>
            </w:r>
            <w:r w:rsidRPr="0025250D">
              <w:rPr>
                <w:rFonts w:hint="eastAsia"/>
                <w:rtl/>
              </w:rPr>
              <w:t>قات</w:t>
            </w:r>
            <w:r w:rsidRPr="0025250D">
              <w:rPr>
                <w:rFonts w:hint="cs"/>
                <w:rtl/>
              </w:rPr>
              <w:t>ی</w:t>
            </w:r>
            <w:r w:rsidRPr="0025250D">
              <w:rPr>
                <w:rtl/>
              </w:rPr>
              <w:t xml:space="preserve"> و مشاوره‌ای در زم</w:t>
            </w:r>
            <w:r w:rsidRPr="0025250D">
              <w:rPr>
                <w:rFonts w:hint="cs"/>
                <w:rtl/>
              </w:rPr>
              <w:t>ی</w:t>
            </w:r>
            <w:r w:rsidRPr="0025250D">
              <w:rPr>
                <w:rFonts w:hint="eastAsia"/>
                <w:rtl/>
              </w:rPr>
              <w:t>نه</w:t>
            </w:r>
            <w:r w:rsidRPr="0025250D">
              <w:rPr>
                <w:rtl/>
              </w:rPr>
              <w:t xml:space="preserve"> تجارت و فناور</w:t>
            </w:r>
            <w:r w:rsidRPr="0025250D">
              <w:rPr>
                <w:rFonts w:hint="cs"/>
                <w:rtl/>
              </w:rPr>
              <w:t>ی</w:t>
            </w:r>
            <w:r w:rsidRPr="0025250D">
              <w:rPr>
                <w:rtl/>
              </w:rPr>
              <w:t xml:space="preserve"> جهان</w:t>
            </w:r>
            <w:r w:rsidRPr="0025250D">
              <w:rPr>
                <w:rFonts w:hint="cs"/>
                <w:rtl/>
              </w:rPr>
              <w:t>ی</w:t>
            </w:r>
          </w:p>
        </w:tc>
        <w:tc>
          <w:tcPr>
            <w:tcW w:w="1497" w:type="dxa"/>
            <w:vAlign w:val="center"/>
          </w:tcPr>
          <w:p w14:paraId="7ECCBC19" w14:textId="77777777" w:rsidR="00537CC8" w:rsidRPr="0025250D" w:rsidRDefault="00537CC8" w:rsidP="002925C9">
            <w:pPr>
              <w:bidi/>
              <w:spacing w:after="160"/>
              <w:jc w:val="center"/>
              <w:rPr>
                <w:rtl/>
              </w:rPr>
            </w:pPr>
            <w:r w:rsidRPr="0025250D">
              <w:rPr>
                <w:rtl/>
              </w:rPr>
              <w:t>1 (کمبر</w:t>
            </w:r>
            <w:r w:rsidRPr="0025250D">
              <w:rPr>
                <w:rFonts w:hint="cs"/>
                <w:rtl/>
              </w:rPr>
              <w:t>ی</w:t>
            </w:r>
            <w:r w:rsidRPr="0025250D">
              <w:rPr>
                <w:rFonts w:hint="eastAsia"/>
                <w:rtl/>
              </w:rPr>
              <w:t>ج</w:t>
            </w:r>
            <w:r w:rsidRPr="0025250D">
              <w:rPr>
                <w:rFonts w:hint="cs"/>
                <w:rtl/>
              </w:rPr>
              <w:t>)</w:t>
            </w:r>
          </w:p>
        </w:tc>
      </w:tr>
      <w:tr w:rsidR="00537CC8" w:rsidRPr="0025250D" w14:paraId="7F0608FD" w14:textId="77777777" w:rsidTr="002925C9">
        <w:tc>
          <w:tcPr>
            <w:tcW w:w="2266" w:type="dxa"/>
            <w:vAlign w:val="center"/>
          </w:tcPr>
          <w:p w14:paraId="683AA86F" w14:textId="77777777" w:rsidR="00537CC8" w:rsidRPr="0025250D" w:rsidRDefault="007A207F" w:rsidP="002925C9">
            <w:pPr>
              <w:bidi/>
              <w:spacing w:after="160"/>
              <w:jc w:val="center"/>
            </w:pPr>
            <w:hyperlink r:id="rId375">
              <w:r w:rsidR="00537CC8" w:rsidRPr="0025250D">
                <w:rPr>
                  <w:rStyle w:val="Hyperlink"/>
                  <w:color w:val="auto"/>
                  <w:u w:val="none"/>
                </w:rPr>
                <w:t>Forum for the Future</w:t>
              </w:r>
            </w:hyperlink>
          </w:p>
        </w:tc>
        <w:tc>
          <w:tcPr>
            <w:tcW w:w="3597" w:type="dxa"/>
            <w:vAlign w:val="center"/>
          </w:tcPr>
          <w:p w14:paraId="2D5C9912" w14:textId="77777777" w:rsidR="00537CC8" w:rsidRPr="0025250D" w:rsidRDefault="00537CC8" w:rsidP="002925C9">
            <w:pPr>
              <w:bidi/>
              <w:spacing w:after="160"/>
              <w:jc w:val="center"/>
              <w:rPr>
                <w:rtl/>
              </w:rPr>
            </w:pPr>
            <w:r w:rsidRPr="0025250D">
              <w:rPr>
                <w:rtl/>
              </w:rPr>
              <w:t>توسعه پا</w:t>
            </w:r>
            <w:r w:rsidRPr="0025250D">
              <w:rPr>
                <w:rFonts w:hint="cs"/>
                <w:rtl/>
              </w:rPr>
              <w:t>ی</w:t>
            </w:r>
            <w:r w:rsidRPr="0025250D">
              <w:rPr>
                <w:rFonts w:hint="eastAsia"/>
                <w:rtl/>
              </w:rPr>
              <w:t>دار</w:t>
            </w:r>
            <w:r w:rsidRPr="0025250D">
              <w:rPr>
                <w:rtl/>
              </w:rPr>
              <w:t xml:space="preserve"> همکار</w:t>
            </w:r>
            <w:r w:rsidRPr="0025250D">
              <w:rPr>
                <w:rFonts w:hint="cs"/>
                <w:rtl/>
              </w:rPr>
              <w:t>ی</w:t>
            </w:r>
            <w:r w:rsidRPr="0025250D">
              <w:rPr>
                <w:rtl/>
              </w:rPr>
              <w:t xml:space="preserve"> سازمان با تجارت، آموزش و دولت.</w:t>
            </w:r>
          </w:p>
        </w:tc>
        <w:tc>
          <w:tcPr>
            <w:tcW w:w="1497" w:type="dxa"/>
            <w:vAlign w:val="center"/>
          </w:tcPr>
          <w:p w14:paraId="54690CD9" w14:textId="77777777" w:rsidR="00537CC8" w:rsidRPr="0025250D" w:rsidRDefault="00537CC8" w:rsidP="002925C9">
            <w:pPr>
              <w:bidi/>
              <w:spacing w:after="160"/>
              <w:jc w:val="center"/>
              <w:rPr>
                <w:rtl/>
              </w:rPr>
            </w:pPr>
            <w:r w:rsidRPr="0025250D">
              <w:rPr>
                <w:rtl/>
              </w:rPr>
              <w:t>3 (لندن انگلستان)</w:t>
            </w:r>
          </w:p>
          <w:p w14:paraId="5D1EBB58" w14:textId="77777777" w:rsidR="00537CC8" w:rsidRPr="0025250D" w:rsidRDefault="00537CC8" w:rsidP="002925C9">
            <w:pPr>
              <w:bidi/>
              <w:spacing w:after="160"/>
              <w:jc w:val="center"/>
              <w:rPr>
                <w:rtl/>
              </w:rPr>
            </w:pPr>
            <w:r w:rsidRPr="0025250D">
              <w:rPr>
                <w:rtl/>
              </w:rPr>
              <w:t>1،3،8،10</w:t>
            </w:r>
          </w:p>
        </w:tc>
      </w:tr>
      <w:tr w:rsidR="00537CC8" w:rsidRPr="0025250D" w14:paraId="18F2442E" w14:textId="77777777" w:rsidTr="002925C9">
        <w:tc>
          <w:tcPr>
            <w:tcW w:w="2266" w:type="dxa"/>
            <w:vAlign w:val="center"/>
          </w:tcPr>
          <w:p w14:paraId="2593D2F0" w14:textId="77777777" w:rsidR="00537CC8" w:rsidRPr="0025250D" w:rsidRDefault="007A207F" w:rsidP="002925C9">
            <w:pPr>
              <w:bidi/>
              <w:spacing w:after="160"/>
              <w:jc w:val="center"/>
            </w:pPr>
            <w:hyperlink r:id="rId376">
              <w:r w:rsidR="00537CC8" w:rsidRPr="0025250D">
                <w:rPr>
                  <w:rStyle w:val="Hyperlink"/>
                  <w:color w:val="auto"/>
                  <w:u w:val="none"/>
                </w:rPr>
                <w:t>FourSight</w:t>
              </w:r>
            </w:hyperlink>
          </w:p>
        </w:tc>
        <w:tc>
          <w:tcPr>
            <w:tcW w:w="3597" w:type="dxa"/>
            <w:vAlign w:val="center"/>
          </w:tcPr>
          <w:p w14:paraId="331012EF" w14:textId="3D883AA5" w:rsidR="00537CC8" w:rsidRPr="0025250D" w:rsidRDefault="00537CC8" w:rsidP="002925C9">
            <w:pPr>
              <w:bidi/>
              <w:spacing w:after="160"/>
              <w:jc w:val="center"/>
              <w:rPr>
                <w:rtl/>
              </w:rPr>
            </w:pPr>
            <w:r w:rsidRPr="0025250D">
              <w:rPr>
                <w:rtl/>
              </w:rPr>
              <w:t>جرارد پوچ</w:t>
            </w:r>
            <w:r w:rsidRPr="0025250D">
              <w:rPr>
                <w:rFonts w:hint="cs"/>
                <w:rtl/>
              </w:rPr>
              <w:t>ی</w:t>
            </w:r>
            <w:r w:rsidRPr="0025250D">
              <w:rPr>
                <w:rFonts w:hint="eastAsia"/>
                <w:rtl/>
              </w:rPr>
              <w:t>و</w:t>
            </w:r>
            <w:r w:rsidRPr="0025250D">
              <w:rPr>
                <w:vertAlign w:val="superscript"/>
                <w:rtl/>
              </w:rPr>
              <w:footnoteReference w:id="3093"/>
            </w:r>
            <w:r w:rsidRPr="0025250D">
              <w:rPr>
                <w:rFonts w:hint="eastAsia"/>
                <w:rtl/>
              </w:rPr>
              <w:t>،</w:t>
            </w:r>
            <w:r w:rsidRPr="0025250D">
              <w:rPr>
                <w:rtl/>
              </w:rPr>
              <w:t xml:space="preserve"> راس شوئن</w:t>
            </w:r>
            <w:r w:rsidRPr="0025250D">
              <w:rPr>
                <w:vertAlign w:val="superscript"/>
                <w:rtl/>
              </w:rPr>
              <w:footnoteReference w:id="3094"/>
            </w:r>
            <w:r w:rsidRPr="0025250D">
              <w:rPr>
                <w:rtl/>
              </w:rPr>
              <w:t>؛ ارز</w:t>
            </w:r>
            <w:r w:rsidRPr="0025250D">
              <w:rPr>
                <w:rFonts w:hint="cs"/>
                <w:rtl/>
              </w:rPr>
              <w:t>ی</w:t>
            </w:r>
            <w:r w:rsidRPr="0025250D">
              <w:rPr>
                <w:rFonts w:hint="eastAsia"/>
                <w:rtl/>
              </w:rPr>
              <w:t>اب</w:t>
            </w:r>
            <w:r w:rsidRPr="0025250D">
              <w:rPr>
                <w:rFonts w:hint="cs"/>
                <w:rtl/>
              </w:rPr>
              <w:t>ی</w:t>
            </w:r>
            <w:r w:rsidRPr="0025250D">
              <w:rPr>
                <w:rtl/>
              </w:rPr>
              <w:t xml:space="preserve"> نوآور</w:t>
            </w:r>
            <w:r w:rsidRPr="0025250D">
              <w:rPr>
                <w:rFonts w:hint="cs"/>
                <w:rtl/>
              </w:rPr>
              <w:t>ی</w:t>
            </w:r>
            <w:r w:rsidRPr="0025250D">
              <w:rPr>
                <w:rFonts w:hint="eastAsia"/>
                <w:rtl/>
              </w:rPr>
              <w:t>،</w:t>
            </w:r>
            <w:r w:rsidRPr="0025250D">
              <w:rPr>
                <w:rtl/>
              </w:rPr>
              <w:t xml:space="preserve"> خلاق</w:t>
            </w:r>
            <w:r w:rsidRPr="0025250D">
              <w:rPr>
                <w:rFonts w:hint="cs"/>
                <w:rtl/>
              </w:rPr>
              <w:t>ی</w:t>
            </w:r>
            <w:r w:rsidRPr="0025250D">
              <w:rPr>
                <w:rFonts w:hint="eastAsia"/>
                <w:rtl/>
              </w:rPr>
              <w:t>ت</w:t>
            </w:r>
            <w:r w:rsidRPr="0025250D">
              <w:rPr>
                <w:rtl/>
              </w:rPr>
              <w:t xml:space="preserve"> و آینده‌</w:t>
            </w:r>
            <w:r w:rsidR="00664E33" w:rsidRPr="0025250D">
              <w:rPr>
                <w:rtl/>
              </w:rPr>
              <w:t>نگار</w:t>
            </w:r>
            <w:r w:rsidRPr="0025250D">
              <w:rPr>
                <w:rtl/>
              </w:rPr>
              <w:t>ی</w:t>
            </w:r>
            <w:r w:rsidRPr="0025250D">
              <w:rPr>
                <w:rFonts w:hint="eastAsia"/>
                <w:rtl/>
              </w:rPr>
              <w:t>،</w:t>
            </w:r>
            <w:r w:rsidRPr="0025250D">
              <w:rPr>
                <w:rtl/>
              </w:rPr>
              <w:t xml:space="preserve"> آموزش و صدور گواه</w:t>
            </w:r>
            <w:r w:rsidRPr="0025250D">
              <w:rPr>
                <w:rFonts w:hint="cs"/>
                <w:rtl/>
              </w:rPr>
              <w:t>ی</w:t>
            </w:r>
            <w:r w:rsidRPr="0025250D">
              <w:rPr>
                <w:rFonts w:hint="eastAsia"/>
                <w:rtl/>
              </w:rPr>
              <w:t>نامه</w:t>
            </w:r>
            <w:r w:rsidRPr="0025250D">
              <w:rPr>
                <w:rtl/>
              </w:rPr>
              <w:t>.</w:t>
            </w:r>
          </w:p>
        </w:tc>
        <w:tc>
          <w:tcPr>
            <w:tcW w:w="1497" w:type="dxa"/>
            <w:vAlign w:val="center"/>
          </w:tcPr>
          <w:p w14:paraId="0AB33B30" w14:textId="77777777" w:rsidR="00537CC8" w:rsidRPr="0025250D" w:rsidRDefault="00537CC8" w:rsidP="002925C9">
            <w:pPr>
              <w:bidi/>
              <w:spacing w:after="160"/>
              <w:jc w:val="center"/>
              <w:rPr>
                <w:rtl/>
              </w:rPr>
            </w:pPr>
            <w:r w:rsidRPr="0025250D">
              <w:rPr>
                <w:rtl/>
              </w:rPr>
              <w:t>1 (ا</w:t>
            </w:r>
            <w:r w:rsidRPr="0025250D">
              <w:rPr>
                <w:rFonts w:hint="cs"/>
                <w:rtl/>
              </w:rPr>
              <w:t>ی</w:t>
            </w:r>
            <w:r w:rsidRPr="0025250D">
              <w:rPr>
                <w:rFonts w:hint="eastAsia"/>
                <w:rtl/>
              </w:rPr>
              <w:t>وانستون</w:t>
            </w:r>
            <w:r w:rsidRPr="0025250D">
              <w:rPr>
                <w:rFonts w:hint="cs"/>
                <w:rtl/>
              </w:rPr>
              <w:t>)</w:t>
            </w:r>
          </w:p>
        </w:tc>
      </w:tr>
      <w:tr w:rsidR="00537CC8" w:rsidRPr="0025250D" w14:paraId="703D4B3F" w14:textId="77777777" w:rsidTr="002925C9">
        <w:tc>
          <w:tcPr>
            <w:tcW w:w="2266" w:type="dxa"/>
            <w:vAlign w:val="center"/>
          </w:tcPr>
          <w:p w14:paraId="212E64D7" w14:textId="77112516" w:rsidR="00537CC8" w:rsidRPr="0025250D" w:rsidRDefault="007A207F" w:rsidP="002925C9">
            <w:pPr>
              <w:bidi/>
              <w:spacing w:after="160"/>
              <w:jc w:val="center"/>
            </w:pPr>
            <w:hyperlink r:id="rId377">
              <w:r w:rsidR="00537CC8" w:rsidRPr="0025250D">
                <w:rPr>
                  <w:rStyle w:val="Hyperlink"/>
                  <w:color w:val="auto"/>
                  <w:u w:val="none"/>
                </w:rPr>
                <w:t xml:space="preserve">Fraunhofer INT </w:t>
              </w:r>
            </w:hyperlink>
            <w:r w:rsidR="00537CC8" w:rsidRPr="0025250D">
              <w:t>and</w:t>
            </w:r>
            <w:r w:rsidR="008D6F97" w:rsidRPr="0025250D">
              <w:t xml:space="preserve"> </w:t>
            </w:r>
            <w:hyperlink r:id="rId378">
              <w:r w:rsidR="00537CC8" w:rsidRPr="0025250D">
                <w:rPr>
                  <w:rStyle w:val="Hyperlink"/>
                  <w:color w:val="auto"/>
                  <w:u w:val="none"/>
                </w:rPr>
                <w:t>ISI</w:t>
              </w:r>
            </w:hyperlink>
          </w:p>
        </w:tc>
        <w:tc>
          <w:tcPr>
            <w:tcW w:w="3597" w:type="dxa"/>
            <w:vAlign w:val="center"/>
          </w:tcPr>
          <w:p w14:paraId="0BDF5491" w14:textId="348A59E8" w:rsidR="00537CC8" w:rsidRPr="0025250D" w:rsidRDefault="00537CC8" w:rsidP="002925C9">
            <w:pPr>
              <w:bidi/>
              <w:spacing w:after="160"/>
              <w:jc w:val="center"/>
              <w:rPr>
                <w:rtl/>
              </w:rPr>
            </w:pPr>
            <w:r w:rsidRPr="0025250D">
              <w:rPr>
                <w:rtl/>
              </w:rPr>
              <w:t>کرست</w:t>
            </w:r>
            <w:r w:rsidRPr="0025250D">
              <w:rPr>
                <w:rFonts w:hint="cs"/>
                <w:rtl/>
              </w:rPr>
              <w:t>ی</w:t>
            </w:r>
            <w:r w:rsidRPr="0025250D">
              <w:rPr>
                <w:rFonts w:hint="eastAsia"/>
                <w:rtl/>
              </w:rPr>
              <w:t>ن</w:t>
            </w:r>
            <w:r w:rsidRPr="0025250D">
              <w:rPr>
                <w:rtl/>
              </w:rPr>
              <w:t xml:space="preserve"> کولز</w:t>
            </w:r>
            <w:r w:rsidRPr="0025250D">
              <w:rPr>
                <w:vertAlign w:val="superscript"/>
                <w:rtl/>
              </w:rPr>
              <w:footnoteReference w:id="3095"/>
            </w:r>
            <w:r w:rsidRPr="0025250D">
              <w:rPr>
                <w:rFonts w:hint="cs"/>
                <w:rtl/>
              </w:rPr>
              <w:t xml:space="preserve"> مدیر </w:t>
            </w:r>
            <w:r w:rsidRPr="0025250D">
              <w:rPr>
                <w:rtl/>
              </w:rPr>
              <w:t>تحق</w:t>
            </w:r>
            <w:r w:rsidRPr="0025250D">
              <w:rPr>
                <w:rFonts w:hint="cs"/>
                <w:rtl/>
              </w:rPr>
              <w:t>ی</w:t>
            </w:r>
            <w:r w:rsidRPr="0025250D">
              <w:rPr>
                <w:rFonts w:hint="eastAsia"/>
                <w:rtl/>
              </w:rPr>
              <w:t>قات</w:t>
            </w:r>
            <w:r w:rsidRPr="0025250D">
              <w:rPr>
                <w:rtl/>
              </w:rPr>
              <w:t xml:space="preserve"> آینده‌نگاری</w:t>
            </w:r>
            <w:r w:rsidRPr="0025250D">
              <w:rPr>
                <w:rFonts w:hint="cs"/>
                <w:rtl/>
              </w:rPr>
              <w:t xml:space="preserve">. </w:t>
            </w:r>
            <w:r w:rsidRPr="0025250D">
              <w:rPr>
                <w:rtl/>
              </w:rPr>
              <w:t>تجز</w:t>
            </w:r>
            <w:r w:rsidRPr="0025250D">
              <w:rPr>
                <w:rFonts w:hint="cs"/>
                <w:rtl/>
              </w:rPr>
              <w:t>ی</w:t>
            </w:r>
            <w:r w:rsidRPr="0025250D">
              <w:rPr>
                <w:rFonts w:hint="eastAsia"/>
                <w:rtl/>
              </w:rPr>
              <w:t>ه</w:t>
            </w:r>
            <w:r w:rsidRPr="0025250D">
              <w:rPr>
                <w:rtl/>
              </w:rPr>
              <w:t xml:space="preserve"> و تحل</w:t>
            </w:r>
            <w:r w:rsidRPr="0025250D">
              <w:rPr>
                <w:rFonts w:hint="cs"/>
                <w:rtl/>
              </w:rPr>
              <w:t>ی</w:t>
            </w:r>
            <w:r w:rsidRPr="0025250D">
              <w:rPr>
                <w:rFonts w:hint="eastAsia"/>
                <w:rtl/>
              </w:rPr>
              <w:t>ل</w:t>
            </w:r>
            <w:r w:rsidRPr="0025250D">
              <w:rPr>
                <w:rtl/>
              </w:rPr>
              <w:t xml:space="preserve"> و آینده‌</w:t>
            </w:r>
            <w:r w:rsidR="00664E33" w:rsidRPr="0025250D">
              <w:rPr>
                <w:rtl/>
              </w:rPr>
              <w:t>نگار</w:t>
            </w:r>
            <w:r w:rsidRPr="0025250D">
              <w:rPr>
                <w:rtl/>
              </w:rPr>
              <w:t>ی برا</w:t>
            </w:r>
            <w:r w:rsidRPr="0025250D">
              <w:rPr>
                <w:rFonts w:hint="cs"/>
                <w:rtl/>
              </w:rPr>
              <w:t>ی</w:t>
            </w:r>
            <w:r w:rsidRPr="0025250D">
              <w:rPr>
                <w:rtl/>
              </w:rPr>
              <w:t xml:space="preserve"> نوآور</w:t>
            </w:r>
            <w:r w:rsidRPr="0025250D">
              <w:rPr>
                <w:rFonts w:hint="cs"/>
                <w:rtl/>
              </w:rPr>
              <w:t>ی</w:t>
            </w:r>
            <w:r w:rsidRPr="0025250D">
              <w:rPr>
                <w:rFonts w:hint="eastAsia"/>
                <w:rtl/>
              </w:rPr>
              <w:t>،</w:t>
            </w:r>
            <w:r w:rsidRPr="0025250D">
              <w:rPr>
                <w:rtl/>
              </w:rPr>
              <w:t xml:space="preserve"> امن</w:t>
            </w:r>
            <w:r w:rsidRPr="0025250D">
              <w:rPr>
                <w:rFonts w:hint="cs"/>
                <w:rtl/>
              </w:rPr>
              <w:t>ی</w:t>
            </w:r>
            <w:r w:rsidRPr="0025250D">
              <w:rPr>
                <w:rFonts w:hint="eastAsia"/>
                <w:rtl/>
              </w:rPr>
              <w:t>ت</w:t>
            </w:r>
            <w:r w:rsidRPr="0025250D">
              <w:rPr>
                <w:rtl/>
              </w:rPr>
              <w:t>.</w:t>
            </w:r>
            <w:r w:rsidRPr="0025250D">
              <w:rPr>
                <w:rFonts w:hint="cs"/>
                <w:rtl/>
              </w:rPr>
              <w:t xml:space="preserve"> 220 کارمند</w:t>
            </w:r>
          </w:p>
        </w:tc>
        <w:tc>
          <w:tcPr>
            <w:tcW w:w="1497" w:type="dxa"/>
            <w:vAlign w:val="center"/>
          </w:tcPr>
          <w:p w14:paraId="11BBE498" w14:textId="77777777" w:rsidR="00537CC8" w:rsidRPr="0025250D" w:rsidRDefault="00537CC8" w:rsidP="002925C9">
            <w:pPr>
              <w:bidi/>
              <w:spacing w:after="160"/>
              <w:jc w:val="center"/>
              <w:rPr>
                <w:rtl/>
              </w:rPr>
            </w:pPr>
            <w:r w:rsidRPr="0025250D">
              <w:rPr>
                <w:rtl/>
              </w:rPr>
              <w:t>3 (</w:t>
            </w:r>
            <w:r w:rsidRPr="0025250D">
              <w:rPr>
                <w:rFonts w:hint="cs"/>
                <w:rtl/>
              </w:rPr>
              <w:t>ی</w:t>
            </w:r>
            <w:r w:rsidRPr="0025250D">
              <w:rPr>
                <w:rFonts w:hint="eastAsia"/>
                <w:rtl/>
              </w:rPr>
              <w:t>وسک</w:t>
            </w:r>
            <w:r w:rsidRPr="0025250D">
              <w:rPr>
                <w:rFonts w:hint="cs"/>
                <w:rtl/>
              </w:rPr>
              <w:t>ی</w:t>
            </w:r>
            <w:r w:rsidRPr="0025250D">
              <w:rPr>
                <w:rFonts w:hint="eastAsia"/>
                <w:rtl/>
              </w:rPr>
              <w:t>رشن</w:t>
            </w:r>
            <w:r w:rsidRPr="0025250D">
              <w:rPr>
                <w:rtl/>
              </w:rPr>
              <w:t xml:space="preserve"> و کارلسروهه، آلمان)</w:t>
            </w:r>
          </w:p>
        </w:tc>
      </w:tr>
      <w:tr w:rsidR="00537CC8" w:rsidRPr="0025250D" w14:paraId="1B6758EB" w14:textId="77777777" w:rsidTr="002925C9">
        <w:tc>
          <w:tcPr>
            <w:tcW w:w="2266" w:type="dxa"/>
            <w:vAlign w:val="center"/>
          </w:tcPr>
          <w:p w14:paraId="7A7C9A48" w14:textId="77777777" w:rsidR="00537CC8" w:rsidRPr="0025250D" w:rsidRDefault="007A207F" w:rsidP="002925C9">
            <w:pPr>
              <w:bidi/>
              <w:spacing w:after="160"/>
              <w:jc w:val="center"/>
            </w:pPr>
            <w:hyperlink r:id="rId379">
              <w:r w:rsidR="00537CC8" w:rsidRPr="0025250D">
                <w:rPr>
                  <w:rStyle w:val="Hyperlink"/>
                  <w:color w:val="auto"/>
                  <w:u w:val="none"/>
                </w:rPr>
                <w:t>Frost &amp; Sullivan</w:t>
              </w:r>
            </w:hyperlink>
          </w:p>
        </w:tc>
        <w:tc>
          <w:tcPr>
            <w:tcW w:w="3597" w:type="dxa"/>
            <w:vAlign w:val="center"/>
          </w:tcPr>
          <w:p w14:paraId="1937B9AA" w14:textId="1CBB712F" w:rsidR="00537CC8" w:rsidRPr="0025250D" w:rsidRDefault="00537CC8" w:rsidP="002925C9">
            <w:pPr>
              <w:bidi/>
              <w:spacing w:after="160"/>
              <w:jc w:val="center"/>
              <w:rPr>
                <w:rtl/>
              </w:rPr>
            </w:pPr>
            <w:r w:rsidRPr="0025250D">
              <w:rPr>
                <w:rtl/>
              </w:rPr>
              <w:t>تحق</w:t>
            </w:r>
            <w:r w:rsidRPr="0025250D">
              <w:rPr>
                <w:rFonts w:hint="cs"/>
                <w:rtl/>
              </w:rPr>
              <w:t>ی</w:t>
            </w:r>
            <w:r w:rsidRPr="0025250D">
              <w:rPr>
                <w:rFonts w:hint="eastAsia"/>
                <w:rtl/>
              </w:rPr>
              <w:t>ق</w:t>
            </w:r>
            <w:r w:rsidRPr="0025250D">
              <w:rPr>
                <w:rtl/>
              </w:rPr>
              <w:t xml:space="preserve"> و تحل</w:t>
            </w:r>
            <w:r w:rsidRPr="0025250D">
              <w:rPr>
                <w:rFonts w:hint="cs"/>
                <w:rtl/>
              </w:rPr>
              <w:t>ی</w:t>
            </w:r>
            <w:r w:rsidRPr="0025250D">
              <w:rPr>
                <w:rFonts w:hint="eastAsia"/>
                <w:rtl/>
              </w:rPr>
              <w:t>ل</w:t>
            </w:r>
            <w:r w:rsidRPr="0025250D">
              <w:rPr>
                <w:rtl/>
              </w:rPr>
              <w:t xml:space="preserve"> بازار، شرکت مشاوره </w:t>
            </w:r>
            <w:r w:rsidR="00701E03" w:rsidRPr="0025250D">
              <w:rPr>
                <w:rtl/>
              </w:rPr>
              <w:t>راهبرد</w:t>
            </w:r>
            <w:r w:rsidRPr="0025250D">
              <w:rPr>
                <w:rtl/>
              </w:rPr>
              <w:t xml:space="preserve"> رشد</w:t>
            </w:r>
          </w:p>
        </w:tc>
        <w:tc>
          <w:tcPr>
            <w:tcW w:w="1497" w:type="dxa"/>
            <w:vAlign w:val="center"/>
          </w:tcPr>
          <w:p w14:paraId="09DA6BD4" w14:textId="77777777" w:rsidR="00537CC8" w:rsidRPr="0025250D" w:rsidRDefault="00537CC8" w:rsidP="002925C9">
            <w:pPr>
              <w:bidi/>
              <w:spacing w:after="160"/>
              <w:jc w:val="center"/>
              <w:rPr>
                <w:rtl/>
              </w:rPr>
            </w:pPr>
            <w:r w:rsidRPr="0025250D">
              <w:rPr>
                <w:rtl/>
              </w:rPr>
              <w:t>1 (</w:t>
            </w:r>
            <w:r w:rsidRPr="0025250D">
              <w:rPr>
                <w:rFonts w:hint="cs"/>
                <w:rtl/>
              </w:rPr>
              <w:t>مانتین ویو</w:t>
            </w:r>
            <w:r w:rsidRPr="0025250D">
              <w:rPr>
                <w:vertAlign w:val="superscript"/>
                <w:rtl/>
              </w:rPr>
              <w:footnoteReference w:id="3096"/>
            </w:r>
            <w:r w:rsidRPr="0025250D">
              <w:rPr>
                <w:rFonts w:hint="cs"/>
                <w:rtl/>
              </w:rPr>
              <w:t>)</w:t>
            </w:r>
          </w:p>
        </w:tc>
      </w:tr>
      <w:tr w:rsidR="00537CC8" w:rsidRPr="0025250D" w14:paraId="10966A94" w14:textId="77777777" w:rsidTr="002925C9">
        <w:tc>
          <w:tcPr>
            <w:tcW w:w="2266" w:type="dxa"/>
            <w:vAlign w:val="center"/>
          </w:tcPr>
          <w:p w14:paraId="66CAEBFC" w14:textId="77777777" w:rsidR="00537CC8" w:rsidRPr="0025250D" w:rsidRDefault="007A207F" w:rsidP="002925C9">
            <w:pPr>
              <w:bidi/>
              <w:spacing w:after="160"/>
              <w:jc w:val="center"/>
            </w:pPr>
            <w:hyperlink r:id="rId380">
              <w:r w:rsidR="00537CC8" w:rsidRPr="0025250D">
                <w:rPr>
                  <w:rStyle w:val="Hyperlink"/>
                  <w:color w:val="auto"/>
                  <w:u w:val="none"/>
                </w:rPr>
                <w:t>Future Concept Lab</w:t>
              </w:r>
            </w:hyperlink>
          </w:p>
        </w:tc>
        <w:tc>
          <w:tcPr>
            <w:tcW w:w="3597" w:type="dxa"/>
            <w:vAlign w:val="center"/>
          </w:tcPr>
          <w:p w14:paraId="11CC20BB" w14:textId="3DD92A41" w:rsidR="00537CC8" w:rsidRPr="0025250D" w:rsidRDefault="00537CC8" w:rsidP="002925C9">
            <w:pPr>
              <w:bidi/>
              <w:spacing w:after="160"/>
              <w:jc w:val="center"/>
              <w:rPr>
                <w:rtl/>
              </w:rPr>
            </w:pPr>
            <w:r w:rsidRPr="0025250D">
              <w:rPr>
                <w:rtl/>
              </w:rPr>
              <w:t xml:space="preserve">توسعه محصول، روندها، </w:t>
            </w:r>
            <w:r w:rsidR="00D92F6E" w:rsidRPr="0025250D">
              <w:rPr>
                <w:rtl/>
              </w:rPr>
              <w:t>پیش‌بین</w:t>
            </w:r>
            <w:r w:rsidRPr="0025250D">
              <w:rPr>
                <w:rFonts w:hint="cs"/>
                <w:rtl/>
              </w:rPr>
              <w:t>ی</w:t>
            </w:r>
            <w:r w:rsidRPr="0025250D">
              <w:rPr>
                <w:rFonts w:hint="eastAsia"/>
                <w:rtl/>
              </w:rPr>
              <w:t>،</w:t>
            </w:r>
            <w:r w:rsidRPr="0025250D">
              <w:rPr>
                <w:rtl/>
              </w:rPr>
              <w:t xml:space="preserve"> تحق</w:t>
            </w:r>
            <w:r w:rsidRPr="0025250D">
              <w:rPr>
                <w:rFonts w:hint="cs"/>
                <w:rtl/>
              </w:rPr>
              <w:t>ی</w:t>
            </w:r>
            <w:r w:rsidRPr="0025250D">
              <w:rPr>
                <w:rFonts w:hint="eastAsia"/>
                <w:rtl/>
              </w:rPr>
              <w:t>قات</w:t>
            </w:r>
            <w:r w:rsidRPr="0025250D">
              <w:rPr>
                <w:rtl/>
              </w:rPr>
              <w:t xml:space="preserve"> مصرف.</w:t>
            </w:r>
          </w:p>
        </w:tc>
        <w:tc>
          <w:tcPr>
            <w:tcW w:w="1497" w:type="dxa"/>
            <w:vAlign w:val="center"/>
          </w:tcPr>
          <w:p w14:paraId="5F1054E9" w14:textId="77777777" w:rsidR="00537CC8" w:rsidRPr="0025250D" w:rsidRDefault="00537CC8" w:rsidP="002925C9">
            <w:pPr>
              <w:bidi/>
              <w:spacing w:after="160"/>
              <w:jc w:val="center"/>
              <w:rPr>
                <w:rtl/>
              </w:rPr>
            </w:pPr>
            <w:r w:rsidRPr="0025250D">
              <w:rPr>
                <w:rtl/>
              </w:rPr>
              <w:t>3 (م</w:t>
            </w:r>
            <w:r w:rsidRPr="0025250D">
              <w:rPr>
                <w:rFonts w:hint="cs"/>
                <w:rtl/>
              </w:rPr>
              <w:t>ی</w:t>
            </w:r>
            <w:r w:rsidRPr="0025250D">
              <w:rPr>
                <w:rFonts w:hint="eastAsia"/>
                <w:rtl/>
              </w:rPr>
              <w:t>لان،</w:t>
            </w:r>
            <w:r w:rsidRPr="0025250D">
              <w:rPr>
                <w:rtl/>
              </w:rPr>
              <w:t xml:space="preserve"> ا</w:t>
            </w:r>
            <w:r w:rsidRPr="0025250D">
              <w:rPr>
                <w:rFonts w:hint="cs"/>
                <w:rtl/>
              </w:rPr>
              <w:t>ی</w:t>
            </w:r>
            <w:r w:rsidRPr="0025250D">
              <w:rPr>
                <w:rFonts w:hint="eastAsia"/>
                <w:rtl/>
              </w:rPr>
              <w:t>تال</w:t>
            </w:r>
            <w:r w:rsidRPr="0025250D">
              <w:rPr>
                <w:rFonts w:hint="cs"/>
                <w:rtl/>
              </w:rPr>
              <w:t>ی</w:t>
            </w:r>
            <w:r w:rsidRPr="0025250D">
              <w:rPr>
                <w:rFonts w:hint="eastAsia"/>
                <w:rtl/>
              </w:rPr>
              <w:t>ا</w:t>
            </w:r>
            <w:r w:rsidRPr="0025250D">
              <w:rPr>
                <w:rtl/>
              </w:rPr>
              <w:t>)</w:t>
            </w:r>
          </w:p>
        </w:tc>
      </w:tr>
      <w:tr w:rsidR="00537CC8" w:rsidRPr="0025250D" w14:paraId="578E28D3" w14:textId="77777777" w:rsidTr="002925C9">
        <w:tc>
          <w:tcPr>
            <w:tcW w:w="2266" w:type="dxa"/>
            <w:vAlign w:val="center"/>
          </w:tcPr>
          <w:p w14:paraId="758373DF" w14:textId="77777777" w:rsidR="00537CC8" w:rsidRPr="0025250D" w:rsidRDefault="007A207F" w:rsidP="002925C9">
            <w:pPr>
              <w:bidi/>
              <w:spacing w:after="160"/>
              <w:jc w:val="center"/>
            </w:pPr>
            <w:hyperlink r:id="rId381">
              <w:r w:rsidR="00537CC8" w:rsidRPr="0025250D">
                <w:rPr>
                  <w:rStyle w:val="Hyperlink"/>
                  <w:color w:val="auto"/>
                  <w:u w:val="none"/>
                </w:rPr>
                <w:t>Future Foundation</w:t>
              </w:r>
            </w:hyperlink>
          </w:p>
        </w:tc>
        <w:tc>
          <w:tcPr>
            <w:tcW w:w="3597" w:type="dxa"/>
            <w:vAlign w:val="center"/>
          </w:tcPr>
          <w:p w14:paraId="4F01367C" w14:textId="77777777" w:rsidR="00537CC8" w:rsidRPr="0025250D" w:rsidRDefault="00537CC8" w:rsidP="002925C9">
            <w:pPr>
              <w:bidi/>
              <w:spacing w:after="160"/>
              <w:jc w:val="center"/>
              <w:rPr>
                <w:rtl/>
              </w:rPr>
            </w:pPr>
            <w:r w:rsidRPr="0025250D">
              <w:rPr>
                <w:rtl/>
              </w:rPr>
              <w:t>کر</w:t>
            </w:r>
            <w:r w:rsidRPr="0025250D">
              <w:rPr>
                <w:rFonts w:hint="cs"/>
                <w:rtl/>
              </w:rPr>
              <w:t>ی</w:t>
            </w:r>
            <w:r w:rsidRPr="0025250D">
              <w:rPr>
                <w:rFonts w:hint="eastAsia"/>
                <w:rtl/>
              </w:rPr>
              <w:t>ستف</w:t>
            </w:r>
            <w:r w:rsidRPr="0025250D">
              <w:rPr>
                <w:rtl/>
              </w:rPr>
              <w:t xml:space="preserve"> ژوان</w:t>
            </w:r>
            <w:r w:rsidRPr="0025250D">
              <w:rPr>
                <w:rFonts w:hint="cs"/>
                <w:rtl/>
              </w:rPr>
              <w:t>ی</w:t>
            </w:r>
            <w:r w:rsidRPr="0025250D">
              <w:rPr>
                <w:vertAlign w:val="superscript"/>
                <w:rtl/>
              </w:rPr>
              <w:footnoteReference w:id="3097"/>
            </w:r>
            <w:r w:rsidRPr="0025250D">
              <w:rPr>
                <w:rFonts w:hint="eastAsia"/>
                <w:rtl/>
              </w:rPr>
              <w:t>،</w:t>
            </w:r>
            <w:r w:rsidRPr="0025250D">
              <w:rPr>
                <w:rtl/>
              </w:rPr>
              <w:t xml:space="preserve"> م</w:t>
            </w:r>
            <w:r w:rsidRPr="0025250D">
              <w:rPr>
                <w:rFonts w:hint="cs"/>
                <w:rtl/>
              </w:rPr>
              <w:t>ی</w:t>
            </w:r>
            <w:r w:rsidRPr="0025250D">
              <w:rPr>
                <w:rFonts w:hint="eastAsia"/>
                <w:rtl/>
              </w:rPr>
              <w:t>اب</w:t>
            </w:r>
            <w:r w:rsidRPr="0025250D">
              <w:rPr>
                <w:rtl/>
              </w:rPr>
              <w:t xml:space="preserve"> کو</w:t>
            </w:r>
            <w:r w:rsidRPr="0025250D">
              <w:rPr>
                <w:rFonts w:hint="cs"/>
                <w:rtl/>
              </w:rPr>
              <w:t>ی</w:t>
            </w:r>
            <w:r w:rsidRPr="0025250D">
              <w:rPr>
                <w:rFonts w:hint="eastAsia"/>
                <w:rtl/>
              </w:rPr>
              <w:t>ر</w:t>
            </w:r>
            <w:r w:rsidRPr="0025250D">
              <w:rPr>
                <w:rFonts w:hint="cs"/>
                <w:rtl/>
              </w:rPr>
              <w:t>ی</w:t>
            </w:r>
            <w:r w:rsidRPr="0025250D">
              <w:rPr>
                <w:rFonts w:hint="eastAsia"/>
                <w:rtl/>
              </w:rPr>
              <w:t>ن</w:t>
            </w:r>
            <w:r w:rsidRPr="0025250D">
              <w:rPr>
                <w:vertAlign w:val="superscript"/>
                <w:rtl/>
              </w:rPr>
              <w:footnoteReference w:id="3098"/>
            </w:r>
            <w:r w:rsidRPr="0025250D">
              <w:rPr>
                <w:rFonts w:hint="eastAsia"/>
                <w:rtl/>
              </w:rPr>
              <w:t>؛</w:t>
            </w:r>
            <w:r w:rsidRPr="0025250D">
              <w:rPr>
                <w:rtl/>
              </w:rPr>
              <w:t xml:space="preserve"> مشاوره و تحق</w:t>
            </w:r>
            <w:r w:rsidRPr="0025250D">
              <w:rPr>
                <w:rFonts w:hint="cs"/>
                <w:rtl/>
              </w:rPr>
              <w:t>ی</w:t>
            </w:r>
            <w:r w:rsidRPr="0025250D">
              <w:rPr>
                <w:rFonts w:hint="eastAsia"/>
                <w:rtl/>
              </w:rPr>
              <w:t>ق</w:t>
            </w:r>
            <w:r w:rsidRPr="0025250D">
              <w:rPr>
                <w:rtl/>
              </w:rPr>
              <w:t xml:space="preserve"> درباره روندها</w:t>
            </w:r>
          </w:p>
        </w:tc>
        <w:tc>
          <w:tcPr>
            <w:tcW w:w="1497" w:type="dxa"/>
            <w:vAlign w:val="center"/>
          </w:tcPr>
          <w:p w14:paraId="7C941247" w14:textId="77777777" w:rsidR="00537CC8" w:rsidRPr="0025250D" w:rsidRDefault="00537CC8" w:rsidP="002925C9">
            <w:pPr>
              <w:bidi/>
              <w:spacing w:after="160"/>
              <w:jc w:val="center"/>
              <w:rPr>
                <w:rtl/>
              </w:rPr>
            </w:pPr>
            <w:r w:rsidRPr="0025250D">
              <w:rPr>
                <w:rtl/>
              </w:rPr>
              <w:t>3 (لندن</w:t>
            </w:r>
            <w:r w:rsidRPr="0025250D">
              <w:rPr>
                <w:rFonts w:hint="cs"/>
                <w:rtl/>
              </w:rPr>
              <w:t>)</w:t>
            </w:r>
          </w:p>
        </w:tc>
      </w:tr>
      <w:tr w:rsidR="00537CC8" w:rsidRPr="0025250D" w14:paraId="348808D4" w14:textId="77777777" w:rsidTr="002925C9">
        <w:tc>
          <w:tcPr>
            <w:tcW w:w="2266" w:type="dxa"/>
            <w:vAlign w:val="center"/>
          </w:tcPr>
          <w:p w14:paraId="03C10A63" w14:textId="77777777" w:rsidR="00537CC8" w:rsidRPr="0025250D" w:rsidRDefault="007A207F" w:rsidP="002925C9">
            <w:pPr>
              <w:bidi/>
              <w:spacing w:after="160"/>
              <w:jc w:val="center"/>
            </w:pPr>
            <w:hyperlink r:id="rId382">
              <w:r w:rsidR="00537CC8" w:rsidRPr="0025250D">
                <w:rPr>
                  <w:rStyle w:val="Hyperlink"/>
                  <w:color w:val="auto"/>
                  <w:u w:val="none"/>
                </w:rPr>
                <w:t>Future Management Group AG</w:t>
              </w:r>
            </w:hyperlink>
          </w:p>
        </w:tc>
        <w:tc>
          <w:tcPr>
            <w:tcW w:w="3597" w:type="dxa"/>
            <w:vAlign w:val="center"/>
          </w:tcPr>
          <w:p w14:paraId="1FB82260" w14:textId="54A94267" w:rsidR="00537CC8" w:rsidRPr="0025250D" w:rsidRDefault="00537CC8" w:rsidP="002925C9">
            <w:pPr>
              <w:bidi/>
              <w:spacing w:after="160"/>
              <w:jc w:val="center"/>
              <w:rPr>
                <w:rtl/>
              </w:rPr>
            </w:pPr>
            <w:r w:rsidRPr="0025250D">
              <w:rPr>
                <w:rtl/>
              </w:rPr>
              <w:t>پرو م</w:t>
            </w:r>
            <w:r w:rsidRPr="0025250D">
              <w:rPr>
                <w:rFonts w:hint="cs"/>
                <w:rtl/>
              </w:rPr>
              <w:t>ی</w:t>
            </w:r>
            <w:r w:rsidRPr="0025250D">
              <w:rPr>
                <w:rFonts w:hint="eastAsia"/>
                <w:rtl/>
              </w:rPr>
              <w:t>س</w:t>
            </w:r>
            <w:r w:rsidRPr="0025250D">
              <w:rPr>
                <w:rFonts w:hint="cs"/>
                <w:rtl/>
              </w:rPr>
              <w:t>ی</w:t>
            </w:r>
            <w:r w:rsidRPr="0025250D">
              <w:rPr>
                <w:rFonts w:hint="eastAsia"/>
                <w:rtl/>
              </w:rPr>
              <w:t>چ</w:t>
            </w:r>
            <w:r w:rsidRPr="0025250D">
              <w:rPr>
                <w:vertAlign w:val="superscript"/>
                <w:rtl/>
              </w:rPr>
              <w:footnoteReference w:id="3099"/>
            </w:r>
            <w:r w:rsidRPr="0025250D">
              <w:rPr>
                <w:rFonts w:hint="cs"/>
                <w:rtl/>
              </w:rPr>
              <w:t>؛</w:t>
            </w:r>
            <w:r w:rsidRPr="0025250D">
              <w:rPr>
                <w:rtl/>
              </w:rPr>
              <w:t xml:space="preserve"> شرکت مشاوره </w:t>
            </w:r>
            <w:r w:rsidR="00D92F6E" w:rsidRPr="0025250D">
              <w:rPr>
                <w:rtl/>
              </w:rPr>
              <w:t>آینده‌پژوه</w:t>
            </w:r>
            <w:r w:rsidRPr="0025250D">
              <w:rPr>
                <w:rFonts w:hint="cs"/>
                <w:rtl/>
              </w:rPr>
              <w:t>ی</w:t>
            </w:r>
            <w:r w:rsidRPr="0025250D">
              <w:rPr>
                <w:rtl/>
              </w:rPr>
              <w:t>.</w:t>
            </w:r>
          </w:p>
        </w:tc>
        <w:tc>
          <w:tcPr>
            <w:tcW w:w="1497" w:type="dxa"/>
            <w:vAlign w:val="center"/>
          </w:tcPr>
          <w:p w14:paraId="760B8F5E" w14:textId="77777777" w:rsidR="00537CC8" w:rsidRPr="0025250D" w:rsidRDefault="00537CC8" w:rsidP="002925C9">
            <w:pPr>
              <w:bidi/>
              <w:spacing w:after="160"/>
              <w:jc w:val="center"/>
              <w:rPr>
                <w:rtl/>
              </w:rPr>
            </w:pPr>
            <w:r w:rsidRPr="0025250D">
              <w:rPr>
                <w:rtl/>
              </w:rPr>
              <w:t>3 (فرانکفورت، آلمان)</w:t>
            </w:r>
          </w:p>
        </w:tc>
      </w:tr>
      <w:tr w:rsidR="00537CC8" w:rsidRPr="0025250D" w14:paraId="59014397" w14:textId="77777777" w:rsidTr="002925C9">
        <w:tc>
          <w:tcPr>
            <w:tcW w:w="2266" w:type="dxa"/>
            <w:vAlign w:val="center"/>
          </w:tcPr>
          <w:p w14:paraId="61C77445" w14:textId="77777777" w:rsidR="00537CC8" w:rsidRPr="0025250D" w:rsidRDefault="007A207F" w:rsidP="002925C9">
            <w:pPr>
              <w:bidi/>
              <w:spacing w:after="160"/>
              <w:jc w:val="center"/>
            </w:pPr>
            <w:hyperlink r:id="rId383">
              <w:r w:rsidR="00537CC8" w:rsidRPr="0025250D">
                <w:rPr>
                  <w:rStyle w:val="Hyperlink"/>
                  <w:color w:val="auto"/>
                  <w:u w:val="none"/>
                </w:rPr>
                <w:t>Future Navigator</w:t>
              </w:r>
            </w:hyperlink>
          </w:p>
        </w:tc>
        <w:tc>
          <w:tcPr>
            <w:tcW w:w="3597" w:type="dxa"/>
            <w:vAlign w:val="center"/>
          </w:tcPr>
          <w:p w14:paraId="3BC4714E" w14:textId="77777777" w:rsidR="00537CC8" w:rsidRPr="0025250D" w:rsidRDefault="00537CC8" w:rsidP="002925C9">
            <w:pPr>
              <w:bidi/>
              <w:spacing w:after="160"/>
              <w:jc w:val="center"/>
              <w:rPr>
                <w:rtl/>
              </w:rPr>
            </w:pPr>
            <w:r w:rsidRPr="0025250D">
              <w:rPr>
                <w:rtl/>
              </w:rPr>
              <w:t>آن اسکار ن</w:t>
            </w:r>
            <w:r w:rsidRPr="0025250D">
              <w:rPr>
                <w:rFonts w:hint="cs"/>
                <w:rtl/>
              </w:rPr>
              <w:t>ی</w:t>
            </w:r>
            <w:r w:rsidRPr="0025250D">
              <w:rPr>
                <w:rFonts w:hint="eastAsia"/>
                <w:rtl/>
              </w:rPr>
              <w:t>لسن</w:t>
            </w:r>
            <w:r w:rsidRPr="0025250D">
              <w:rPr>
                <w:vertAlign w:val="superscript"/>
                <w:rtl/>
              </w:rPr>
              <w:footnoteReference w:id="3100"/>
            </w:r>
            <w:r w:rsidRPr="0025250D">
              <w:rPr>
                <w:rFonts w:hint="eastAsia"/>
                <w:rtl/>
              </w:rPr>
              <w:t>،</w:t>
            </w:r>
            <w:r w:rsidRPr="0025250D">
              <w:rPr>
                <w:rtl/>
              </w:rPr>
              <w:t xml:space="preserve"> ل</w:t>
            </w:r>
            <w:r w:rsidRPr="0025250D">
              <w:rPr>
                <w:rFonts w:hint="cs"/>
                <w:rtl/>
              </w:rPr>
              <w:t>ی</w:t>
            </w:r>
            <w:r w:rsidRPr="0025250D">
              <w:rPr>
                <w:rFonts w:hint="eastAsia"/>
                <w:rtl/>
              </w:rPr>
              <w:t>زلوفل</w:t>
            </w:r>
            <w:r w:rsidRPr="0025250D">
              <w:rPr>
                <w:rtl/>
              </w:rPr>
              <w:t xml:space="preserve"> ل</w:t>
            </w:r>
            <w:r w:rsidRPr="0025250D">
              <w:rPr>
                <w:rFonts w:hint="cs"/>
                <w:rtl/>
              </w:rPr>
              <w:t>ی</w:t>
            </w:r>
            <w:r w:rsidRPr="0025250D">
              <w:rPr>
                <w:rFonts w:hint="eastAsia"/>
                <w:rtl/>
              </w:rPr>
              <w:t>نگسو</w:t>
            </w:r>
            <w:r w:rsidRPr="0025250D">
              <w:rPr>
                <w:vertAlign w:val="superscript"/>
                <w:rtl/>
              </w:rPr>
              <w:footnoteReference w:id="3101"/>
            </w:r>
            <w:r w:rsidRPr="0025250D">
              <w:rPr>
                <w:rFonts w:hint="eastAsia"/>
                <w:rtl/>
              </w:rPr>
              <w:t>؛</w:t>
            </w:r>
            <w:r w:rsidRPr="0025250D">
              <w:rPr>
                <w:rtl/>
              </w:rPr>
              <w:t xml:space="preserve"> خدمات آینده‌نگاری</w:t>
            </w:r>
          </w:p>
        </w:tc>
        <w:tc>
          <w:tcPr>
            <w:tcW w:w="1497" w:type="dxa"/>
            <w:vAlign w:val="center"/>
          </w:tcPr>
          <w:p w14:paraId="7A3B88EF" w14:textId="77777777" w:rsidR="00537CC8" w:rsidRPr="0025250D" w:rsidRDefault="00537CC8" w:rsidP="002925C9">
            <w:pPr>
              <w:bidi/>
              <w:spacing w:after="160"/>
              <w:jc w:val="center"/>
              <w:rPr>
                <w:rtl/>
              </w:rPr>
            </w:pPr>
            <w:r w:rsidRPr="0025250D">
              <w:rPr>
                <w:rtl/>
              </w:rPr>
              <w:t xml:space="preserve">3 (کپنهاگ، </w:t>
            </w:r>
            <w:r w:rsidRPr="0025250D">
              <w:rPr>
                <w:rFonts w:hint="cs"/>
                <w:rtl/>
              </w:rPr>
              <w:t>دانمارک</w:t>
            </w:r>
            <w:r w:rsidRPr="0025250D">
              <w:rPr>
                <w:rtl/>
              </w:rPr>
              <w:t>)</w:t>
            </w:r>
          </w:p>
        </w:tc>
      </w:tr>
      <w:tr w:rsidR="00537CC8" w:rsidRPr="0025250D" w14:paraId="3B3C4D71" w14:textId="77777777" w:rsidTr="002925C9">
        <w:tc>
          <w:tcPr>
            <w:tcW w:w="2266" w:type="dxa"/>
            <w:vAlign w:val="center"/>
          </w:tcPr>
          <w:p w14:paraId="208AE0FB" w14:textId="77777777" w:rsidR="00537CC8" w:rsidRPr="0025250D" w:rsidRDefault="007A207F" w:rsidP="002925C9">
            <w:pPr>
              <w:bidi/>
              <w:spacing w:after="160"/>
              <w:jc w:val="center"/>
            </w:pPr>
            <w:hyperlink r:id="rId384">
              <w:r w:rsidR="00537CC8" w:rsidRPr="0025250D">
                <w:rPr>
                  <w:rStyle w:val="Hyperlink"/>
                  <w:color w:val="auto"/>
                  <w:u w:val="none"/>
                </w:rPr>
                <w:t>Future Today Institute</w:t>
              </w:r>
            </w:hyperlink>
          </w:p>
        </w:tc>
        <w:tc>
          <w:tcPr>
            <w:tcW w:w="3597" w:type="dxa"/>
            <w:vAlign w:val="center"/>
          </w:tcPr>
          <w:p w14:paraId="0AE5D0F5" w14:textId="52F1E233" w:rsidR="00537CC8" w:rsidRPr="0025250D" w:rsidRDefault="00537CC8" w:rsidP="002925C9">
            <w:pPr>
              <w:bidi/>
              <w:spacing w:after="160"/>
              <w:jc w:val="center"/>
              <w:rPr>
                <w:rtl/>
              </w:rPr>
            </w:pPr>
            <w:r w:rsidRPr="0025250D">
              <w:rPr>
                <w:rtl/>
              </w:rPr>
              <w:t>ام</w:t>
            </w:r>
            <w:r w:rsidRPr="0025250D">
              <w:rPr>
                <w:rFonts w:hint="cs"/>
                <w:rtl/>
              </w:rPr>
              <w:t>ی</w:t>
            </w:r>
            <w:r w:rsidRPr="0025250D">
              <w:rPr>
                <w:rtl/>
              </w:rPr>
              <w:t xml:space="preserve"> وب</w:t>
            </w:r>
            <w:r w:rsidRPr="0025250D">
              <w:rPr>
                <w:vertAlign w:val="superscript"/>
                <w:rtl/>
              </w:rPr>
              <w:footnoteReference w:id="3102"/>
            </w:r>
            <w:r w:rsidRPr="0025250D">
              <w:rPr>
                <w:rtl/>
              </w:rPr>
              <w:t xml:space="preserve"> </w:t>
            </w:r>
            <w:r w:rsidR="00D92F6E" w:rsidRPr="0025250D">
              <w:rPr>
                <w:rtl/>
              </w:rPr>
              <w:t>آینده‌پژوه</w:t>
            </w:r>
            <w:r w:rsidRPr="0025250D">
              <w:rPr>
                <w:rFonts w:hint="cs"/>
                <w:rtl/>
              </w:rPr>
              <w:t>ی</w:t>
            </w:r>
            <w:r w:rsidRPr="0025250D">
              <w:rPr>
                <w:rFonts w:hint="eastAsia"/>
                <w:rtl/>
              </w:rPr>
              <w:t>،</w:t>
            </w:r>
            <w:r w:rsidRPr="0025250D">
              <w:rPr>
                <w:rtl/>
              </w:rPr>
              <w:t xml:space="preserve"> ارز</w:t>
            </w:r>
            <w:r w:rsidRPr="0025250D">
              <w:rPr>
                <w:rFonts w:hint="cs"/>
                <w:rtl/>
              </w:rPr>
              <w:t>ی</w:t>
            </w:r>
            <w:r w:rsidRPr="0025250D">
              <w:rPr>
                <w:rFonts w:hint="eastAsia"/>
                <w:rtl/>
              </w:rPr>
              <w:t>اب</w:t>
            </w:r>
            <w:r w:rsidRPr="0025250D">
              <w:rPr>
                <w:rFonts w:hint="cs"/>
                <w:rtl/>
              </w:rPr>
              <w:t>ی</w:t>
            </w:r>
            <w:r w:rsidRPr="0025250D">
              <w:rPr>
                <w:rtl/>
              </w:rPr>
              <w:t xml:space="preserve"> روند و مشاوره. گزارش بزرگ سالانه روندها</w:t>
            </w:r>
            <w:r w:rsidRPr="0025250D">
              <w:rPr>
                <w:rFonts w:hint="cs"/>
                <w:rtl/>
              </w:rPr>
              <w:t>ی</w:t>
            </w:r>
            <w:r w:rsidRPr="0025250D">
              <w:rPr>
                <w:rtl/>
              </w:rPr>
              <w:t xml:space="preserve"> فناور</w:t>
            </w:r>
            <w:r w:rsidRPr="0025250D">
              <w:rPr>
                <w:rFonts w:hint="cs"/>
                <w:rtl/>
              </w:rPr>
              <w:t>ی</w:t>
            </w:r>
          </w:p>
        </w:tc>
        <w:tc>
          <w:tcPr>
            <w:tcW w:w="1497" w:type="dxa"/>
            <w:vAlign w:val="center"/>
          </w:tcPr>
          <w:p w14:paraId="2D8DFD54" w14:textId="77777777" w:rsidR="00537CC8" w:rsidRPr="0025250D" w:rsidRDefault="00537CC8" w:rsidP="002925C9">
            <w:pPr>
              <w:bidi/>
              <w:spacing w:after="160"/>
              <w:jc w:val="center"/>
              <w:rPr>
                <w:rtl/>
              </w:rPr>
            </w:pPr>
            <w:r w:rsidRPr="0025250D">
              <w:rPr>
                <w:rtl/>
              </w:rPr>
              <w:t>1 (ن</w:t>
            </w:r>
            <w:r w:rsidRPr="0025250D">
              <w:rPr>
                <w:rFonts w:hint="cs"/>
                <w:rtl/>
              </w:rPr>
              <w:t>ی</w:t>
            </w:r>
            <w:r w:rsidRPr="0025250D">
              <w:rPr>
                <w:rFonts w:hint="eastAsia"/>
                <w:rtl/>
              </w:rPr>
              <w:t>و</w:t>
            </w:r>
            <w:r w:rsidRPr="0025250D">
              <w:rPr>
                <w:rFonts w:hint="cs"/>
                <w:rtl/>
              </w:rPr>
              <w:t>ی</w:t>
            </w:r>
            <w:r w:rsidRPr="0025250D">
              <w:rPr>
                <w:rFonts w:hint="eastAsia"/>
                <w:rtl/>
              </w:rPr>
              <w:t>ورک</w:t>
            </w:r>
            <w:r w:rsidRPr="0025250D">
              <w:rPr>
                <w:rFonts w:hint="cs"/>
                <w:rtl/>
              </w:rPr>
              <w:t>)</w:t>
            </w:r>
          </w:p>
        </w:tc>
      </w:tr>
      <w:tr w:rsidR="00537CC8" w:rsidRPr="0025250D" w14:paraId="07871B53" w14:textId="77777777" w:rsidTr="002925C9">
        <w:tc>
          <w:tcPr>
            <w:tcW w:w="2266" w:type="dxa"/>
            <w:vAlign w:val="center"/>
          </w:tcPr>
          <w:p w14:paraId="1373BE4C" w14:textId="77777777" w:rsidR="00537CC8" w:rsidRPr="0025250D" w:rsidRDefault="007A207F" w:rsidP="002925C9">
            <w:pPr>
              <w:bidi/>
              <w:spacing w:after="160"/>
              <w:jc w:val="center"/>
            </w:pPr>
            <w:hyperlink r:id="rId385">
              <w:r w:rsidR="00537CC8" w:rsidRPr="0025250D">
                <w:rPr>
                  <w:rStyle w:val="Hyperlink"/>
                  <w:color w:val="auto"/>
                  <w:u w:val="none"/>
                </w:rPr>
                <w:t>Futures Group</w:t>
              </w:r>
            </w:hyperlink>
          </w:p>
        </w:tc>
        <w:tc>
          <w:tcPr>
            <w:tcW w:w="3597" w:type="dxa"/>
            <w:vAlign w:val="center"/>
          </w:tcPr>
          <w:p w14:paraId="5A581FB5" w14:textId="0674C67D" w:rsidR="00537CC8" w:rsidRPr="0025250D" w:rsidRDefault="00537CC8" w:rsidP="002925C9">
            <w:pPr>
              <w:bidi/>
              <w:spacing w:after="160"/>
              <w:jc w:val="center"/>
              <w:rPr>
                <w:rtl/>
              </w:rPr>
            </w:pPr>
            <w:r w:rsidRPr="0025250D">
              <w:rPr>
                <w:rtl/>
              </w:rPr>
              <w:t>شرکت مشاوره و توسعه بهداشت جهان</w:t>
            </w:r>
            <w:r w:rsidRPr="0025250D">
              <w:rPr>
                <w:rFonts w:hint="cs"/>
                <w:rtl/>
              </w:rPr>
              <w:t>ی</w:t>
            </w:r>
            <w:r w:rsidRPr="0025250D">
              <w:rPr>
                <w:rFonts w:hint="eastAsia"/>
                <w:rtl/>
              </w:rPr>
              <w:t>؛</w:t>
            </w:r>
            <w:r w:rsidRPr="0025250D">
              <w:rPr>
                <w:rtl/>
              </w:rPr>
              <w:t xml:space="preserve"> </w:t>
            </w:r>
            <w:r w:rsidR="00D92F6E" w:rsidRPr="0025250D">
              <w:rPr>
                <w:rtl/>
              </w:rPr>
              <w:t>پیش‌بین</w:t>
            </w:r>
            <w:r w:rsidRPr="0025250D">
              <w:rPr>
                <w:rFonts w:hint="cs"/>
                <w:rtl/>
              </w:rPr>
              <w:t>ی</w:t>
            </w:r>
            <w:r w:rsidRPr="0025250D">
              <w:rPr>
                <w:rtl/>
              </w:rPr>
              <w:t xml:space="preserve"> سلامت</w:t>
            </w:r>
          </w:p>
        </w:tc>
        <w:tc>
          <w:tcPr>
            <w:tcW w:w="1497" w:type="dxa"/>
            <w:vAlign w:val="center"/>
          </w:tcPr>
          <w:p w14:paraId="01C54224" w14:textId="77777777" w:rsidR="00537CC8" w:rsidRPr="0025250D" w:rsidRDefault="00537CC8" w:rsidP="002925C9">
            <w:pPr>
              <w:bidi/>
              <w:spacing w:after="160"/>
              <w:jc w:val="center"/>
              <w:rPr>
                <w:rtl/>
              </w:rPr>
            </w:pPr>
            <w:r w:rsidRPr="0025250D">
              <w:rPr>
                <w:rtl/>
              </w:rPr>
              <w:t>1، 3 (واشنگتن، د</w:t>
            </w:r>
            <w:r w:rsidRPr="0025250D">
              <w:rPr>
                <w:rFonts w:hint="cs"/>
                <w:rtl/>
              </w:rPr>
              <w:t>ی</w:t>
            </w:r>
            <w:r w:rsidRPr="0025250D">
              <w:rPr>
                <w:rtl/>
              </w:rPr>
              <w:t xml:space="preserve"> س</w:t>
            </w:r>
            <w:r w:rsidRPr="0025250D">
              <w:rPr>
                <w:rFonts w:hint="cs"/>
                <w:rtl/>
              </w:rPr>
              <w:t>ی</w:t>
            </w:r>
            <w:r w:rsidRPr="0025250D">
              <w:rPr>
                <w:rFonts w:hint="eastAsia"/>
                <w:rtl/>
              </w:rPr>
              <w:t>؛</w:t>
            </w:r>
            <w:r w:rsidRPr="0025250D">
              <w:rPr>
                <w:rtl/>
              </w:rPr>
              <w:t xml:space="preserve"> لندن، بر</w:t>
            </w:r>
            <w:r w:rsidRPr="0025250D">
              <w:rPr>
                <w:rFonts w:hint="cs"/>
                <w:rtl/>
              </w:rPr>
              <w:t>ی</w:t>
            </w:r>
            <w:r w:rsidRPr="0025250D">
              <w:rPr>
                <w:rFonts w:hint="eastAsia"/>
                <w:rtl/>
              </w:rPr>
              <w:t>تان</w:t>
            </w:r>
            <w:r w:rsidRPr="0025250D">
              <w:rPr>
                <w:rFonts w:hint="cs"/>
                <w:rtl/>
              </w:rPr>
              <w:t>ی</w:t>
            </w:r>
            <w:r w:rsidRPr="0025250D">
              <w:rPr>
                <w:rFonts w:hint="eastAsia"/>
                <w:rtl/>
              </w:rPr>
              <w:t>ا</w:t>
            </w:r>
            <w:r w:rsidRPr="0025250D">
              <w:rPr>
                <w:rtl/>
              </w:rPr>
              <w:t>)</w:t>
            </w:r>
          </w:p>
        </w:tc>
      </w:tr>
      <w:tr w:rsidR="00537CC8" w:rsidRPr="0025250D" w14:paraId="3EFB200C" w14:textId="77777777" w:rsidTr="002925C9">
        <w:tc>
          <w:tcPr>
            <w:tcW w:w="2266" w:type="dxa"/>
            <w:vAlign w:val="center"/>
          </w:tcPr>
          <w:p w14:paraId="652FF421" w14:textId="77777777" w:rsidR="00537CC8" w:rsidRPr="0025250D" w:rsidRDefault="007A207F" w:rsidP="002925C9">
            <w:pPr>
              <w:bidi/>
              <w:spacing w:after="160"/>
              <w:jc w:val="center"/>
            </w:pPr>
            <w:hyperlink r:id="rId386">
              <w:r w:rsidR="00537CC8" w:rsidRPr="0025250D">
                <w:rPr>
                  <w:rStyle w:val="Hyperlink"/>
                  <w:color w:val="auto"/>
                  <w:u w:val="none"/>
                </w:rPr>
                <w:t>Futures Strategy Group</w:t>
              </w:r>
            </w:hyperlink>
          </w:p>
        </w:tc>
        <w:tc>
          <w:tcPr>
            <w:tcW w:w="3597" w:type="dxa"/>
            <w:vAlign w:val="center"/>
          </w:tcPr>
          <w:p w14:paraId="7BB57090" w14:textId="63225777" w:rsidR="00537CC8" w:rsidRPr="0025250D" w:rsidRDefault="00537CC8" w:rsidP="002925C9">
            <w:pPr>
              <w:bidi/>
              <w:spacing w:after="160"/>
              <w:jc w:val="center"/>
              <w:rPr>
                <w:rtl/>
              </w:rPr>
            </w:pPr>
            <w:r w:rsidRPr="0025250D">
              <w:rPr>
                <w:rtl/>
              </w:rPr>
              <w:t xml:space="preserve">مشاوره </w:t>
            </w:r>
            <w:r w:rsidRPr="0025250D">
              <w:rPr>
                <w:rFonts w:hint="cs"/>
                <w:rtl/>
              </w:rPr>
              <w:t>مدیریت</w:t>
            </w:r>
            <w:r w:rsidRPr="0025250D">
              <w:rPr>
                <w:rtl/>
              </w:rPr>
              <w:t xml:space="preserve">، </w:t>
            </w:r>
            <w:r w:rsidR="00B124DE" w:rsidRPr="0025250D">
              <w:rPr>
                <w:rtl/>
              </w:rPr>
              <w:t>برنامه‌ریزی</w:t>
            </w:r>
            <w:r w:rsidRPr="0025250D">
              <w:rPr>
                <w:rtl/>
              </w:rPr>
              <w:t xml:space="preserve"> </w:t>
            </w:r>
            <w:r w:rsidR="007A53FD" w:rsidRPr="0025250D">
              <w:rPr>
                <w:rtl/>
              </w:rPr>
              <w:t>فرانامه</w:t>
            </w:r>
            <w:r w:rsidRPr="0025250D">
              <w:rPr>
                <w:rtl/>
              </w:rPr>
              <w:t xml:space="preserve"> و پشت</w:t>
            </w:r>
            <w:r w:rsidRPr="0025250D">
              <w:rPr>
                <w:rFonts w:hint="cs"/>
                <w:rtl/>
              </w:rPr>
              <w:t>ی</w:t>
            </w:r>
            <w:r w:rsidRPr="0025250D">
              <w:rPr>
                <w:rFonts w:hint="eastAsia"/>
                <w:rtl/>
              </w:rPr>
              <w:t>بان</w:t>
            </w:r>
            <w:r w:rsidRPr="0025250D">
              <w:rPr>
                <w:rFonts w:hint="cs"/>
                <w:rtl/>
              </w:rPr>
              <w:t>ی</w:t>
            </w:r>
            <w:r w:rsidRPr="0025250D">
              <w:rPr>
                <w:rtl/>
              </w:rPr>
              <w:t xml:space="preserve"> تصم</w:t>
            </w:r>
            <w:r w:rsidRPr="0025250D">
              <w:rPr>
                <w:rFonts w:hint="cs"/>
                <w:rtl/>
              </w:rPr>
              <w:t>ی</w:t>
            </w:r>
            <w:r w:rsidRPr="0025250D">
              <w:rPr>
                <w:rFonts w:hint="eastAsia"/>
                <w:rtl/>
              </w:rPr>
              <w:t>م</w:t>
            </w:r>
            <w:r w:rsidRPr="0025250D">
              <w:rPr>
                <w:rtl/>
              </w:rPr>
              <w:t xml:space="preserve"> </w:t>
            </w:r>
            <w:r w:rsidR="00701E03" w:rsidRPr="0025250D">
              <w:rPr>
                <w:rtl/>
              </w:rPr>
              <w:t>راهبردی</w:t>
            </w:r>
            <w:r w:rsidRPr="0025250D">
              <w:rPr>
                <w:rtl/>
              </w:rPr>
              <w:t>.</w:t>
            </w:r>
          </w:p>
        </w:tc>
        <w:tc>
          <w:tcPr>
            <w:tcW w:w="1497" w:type="dxa"/>
            <w:vAlign w:val="center"/>
          </w:tcPr>
          <w:p w14:paraId="7AAC4C61" w14:textId="77777777" w:rsidR="00537CC8" w:rsidRPr="0025250D" w:rsidRDefault="00537CC8" w:rsidP="002925C9">
            <w:pPr>
              <w:bidi/>
              <w:spacing w:after="160"/>
              <w:jc w:val="center"/>
              <w:rPr>
                <w:rtl/>
              </w:rPr>
            </w:pPr>
            <w:r w:rsidRPr="0025250D">
              <w:rPr>
                <w:rtl/>
              </w:rPr>
              <w:t>1 (گلاستونبر</w:t>
            </w:r>
            <w:r w:rsidRPr="0025250D">
              <w:rPr>
                <w:rFonts w:hint="cs"/>
                <w:rtl/>
              </w:rPr>
              <w:t>ی)</w:t>
            </w:r>
          </w:p>
        </w:tc>
      </w:tr>
      <w:tr w:rsidR="00537CC8" w:rsidRPr="0025250D" w14:paraId="3C1E1496" w14:textId="77777777" w:rsidTr="002925C9">
        <w:tc>
          <w:tcPr>
            <w:tcW w:w="2266" w:type="dxa"/>
            <w:vAlign w:val="center"/>
          </w:tcPr>
          <w:p w14:paraId="43093B1C" w14:textId="77777777" w:rsidR="00537CC8" w:rsidRPr="0025250D" w:rsidRDefault="007A207F" w:rsidP="002925C9">
            <w:pPr>
              <w:bidi/>
              <w:spacing w:after="160"/>
              <w:jc w:val="center"/>
            </w:pPr>
            <w:hyperlink r:id="rId387">
              <w:r w:rsidR="00537CC8" w:rsidRPr="0025250D">
                <w:rPr>
                  <w:rStyle w:val="Hyperlink"/>
                  <w:color w:val="auto"/>
                  <w:u w:val="none"/>
                </w:rPr>
                <w:t>FutureThink</w:t>
              </w:r>
            </w:hyperlink>
          </w:p>
        </w:tc>
        <w:tc>
          <w:tcPr>
            <w:tcW w:w="3597" w:type="dxa"/>
            <w:vAlign w:val="center"/>
          </w:tcPr>
          <w:p w14:paraId="542D7757" w14:textId="77777777" w:rsidR="00537CC8" w:rsidRPr="0025250D" w:rsidRDefault="00537CC8" w:rsidP="002925C9">
            <w:pPr>
              <w:bidi/>
              <w:spacing w:after="160"/>
              <w:jc w:val="center"/>
              <w:rPr>
                <w:rtl/>
              </w:rPr>
            </w:pPr>
            <w:r w:rsidRPr="0025250D">
              <w:rPr>
                <w:rtl/>
              </w:rPr>
              <w:t>ل</w:t>
            </w:r>
            <w:r w:rsidRPr="0025250D">
              <w:rPr>
                <w:rFonts w:hint="cs"/>
                <w:rtl/>
              </w:rPr>
              <w:t>ی</w:t>
            </w:r>
            <w:r w:rsidRPr="0025250D">
              <w:rPr>
                <w:rFonts w:hint="eastAsia"/>
                <w:rtl/>
              </w:rPr>
              <w:t>زا</w:t>
            </w:r>
            <w:r w:rsidRPr="0025250D">
              <w:rPr>
                <w:rtl/>
              </w:rPr>
              <w:t xml:space="preserve"> بودل</w:t>
            </w:r>
            <w:r w:rsidRPr="0025250D">
              <w:rPr>
                <w:vertAlign w:val="superscript"/>
                <w:rtl/>
              </w:rPr>
              <w:footnoteReference w:id="3103"/>
            </w:r>
            <w:r w:rsidRPr="0025250D">
              <w:rPr>
                <w:rtl/>
              </w:rPr>
              <w:t>، گر</w:t>
            </w:r>
            <w:r w:rsidRPr="0025250D">
              <w:rPr>
                <w:rFonts w:hint="cs"/>
                <w:rtl/>
              </w:rPr>
              <w:t>ی</w:t>
            </w:r>
            <w:r w:rsidRPr="0025250D">
              <w:rPr>
                <w:rtl/>
              </w:rPr>
              <w:t xml:space="preserve"> گلدن</w:t>
            </w:r>
            <w:r w:rsidRPr="0025250D">
              <w:rPr>
                <w:vertAlign w:val="superscript"/>
                <w:rtl/>
              </w:rPr>
              <w:footnoteReference w:id="3104"/>
            </w:r>
            <w:r w:rsidRPr="0025250D">
              <w:rPr>
                <w:rtl/>
              </w:rPr>
              <w:t>؛ آموزش و توسعه نوآور</w:t>
            </w:r>
            <w:r w:rsidRPr="0025250D">
              <w:rPr>
                <w:rFonts w:hint="cs"/>
                <w:rtl/>
              </w:rPr>
              <w:t>ی</w:t>
            </w:r>
          </w:p>
        </w:tc>
        <w:tc>
          <w:tcPr>
            <w:tcW w:w="1497" w:type="dxa"/>
            <w:vAlign w:val="center"/>
          </w:tcPr>
          <w:p w14:paraId="6F481A19" w14:textId="77777777" w:rsidR="00537CC8" w:rsidRPr="0025250D" w:rsidRDefault="00537CC8" w:rsidP="002925C9">
            <w:pPr>
              <w:bidi/>
              <w:spacing w:after="160"/>
              <w:jc w:val="center"/>
              <w:rPr>
                <w:rtl/>
              </w:rPr>
            </w:pPr>
            <w:r w:rsidRPr="0025250D">
              <w:rPr>
                <w:rtl/>
              </w:rPr>
              <w:t>1 (ن</w:t>
            </w:r>
            <w:r w:rsidRPr="0025250D">
              <w:rPr>
                <w:rFonts w:hint="cs"/>
                <w:rtl/>
              </w:rPr>
              <w:t>ی</w:t>
            </w:r>
            <w:r w:rsidRPr="0025250D">
              <w:rPr>
                <w:rFonts w:hint="eastAsia"/>
                <w:rtl/>
              </w:rPr>
              <w:t>و</w:t>
            </w:r>
            <w:r w:rsidRPr="0025250D">
              <w:rPr>
                <w:rFonts w:hint="cs"/>
                <w:rtl/>
              </w:rPr>
              <w:t>ی</w:t>
            </w:r>
            <w:r w:rsidRPr="0025250D">
              <w:rPr>
                <w:rFonts w:hint="eastAsia"/>
                <w:rtl/>
              </w:rPr>
              <w:t>ورک</w:t>
            </w:r>
            <w:r w:rsidRPr="0025250D">
              <w:rPr>
                <w:rFonts w:hint="cs"/>
                <w:rtl/>
              </w:rPr>
              <w:t>)</w:t>
            </w:r>
          </w:p>
        </w:tc>
      </w:tr>
      <w:tr w:rsidR="00537CC8" w:rsidRPr="0025250D" w14:paraId="15CCB3F9" w14:textId="77777777" w:rsidTr="002925C9">
        <w:tc>
          <w:tcPr>
            <w:tcW w:w="2266" w:type="dxa"/>
            <w:vAlign w:val="center"/>
          </w:tcPr>
          <w:p w14:paraId="6908A0B9" w14:textId="77777777" w:rsidR="00537CC8" w:rsidRPr="0025250D" w:rsidRDefault="007A207F" w:rsidP="002925C9">
            <w:pPr>
              <w:bidi/>
              <w:spacing w:after="160"/>
              <w:jc w:val="center"/>
            </w:pPr>
            <w:hyperlink r:id="rId388">
              <w:r w:rsidR="00537CC8" w:rsidRPr="0025250D">
                <w:rPr>
                  <w:rStyle w:val="Hyperlink"/>
                  <w:color w:val="auto"/>
                  <w:u w:val="none"/>
                </w:rPr>
                <w:t>Gallup Consulting</w:t>
              </w:r>
            </w:hyperlink>
          </w:p>
        </w:tc>
        <w:tc>
          <w:tcPr>
            <w:tcW w:w="3597" w:type="dxa"/>
            <w:vAlign w:val="center"/>
          </w:tcPr>
          <w:p w14:paraId="0B0AB812" w14:textId="77777777" w:rsidR="00537CC8" w:rsidRPr="0025250D" w:rsidRDefault="00537CC8" w:rsidP="002925C9">
            <w:pPr>
              <w:bidi/>
              <w:spacing w:after="160"/>
              <w:jc w:val="center"/>
              <w:rPr>
                <w:rtl/>
              </w:rPr>
            </w:pPr>
            <w:r w:rsidRPr="0025250D">
              <w:rPr>
                <w:rtl/>
              </w:rPr>
              <w:t>تحق</w:t>
            </w:r>
            <w:r w:rsidRPr="0025250D">
              <w:rPr>
                <w:rFonts w:hint="cs"/>
                <w:rtl/>
              </w:rPr>
              <w:t>ی</w:t>
            </w:r>
            <w:r w:rsidRPr="0025250D">
              <w:rPr>
                <w:rFonts w:hint="eastAsia"/>
                <w:rtl/>
              </w:rPr>
              <w:t>قات</w:t>
            </w:r>
            <w:r w:rsidRPr="0025250D">
              <w:rPr>
                <w:rtl/>
              </w:rPr>
              <w:t xml:space="preserve"> آ</w:t>
            </w:r>
            <w:r w:rsidRPr="0025250D">
              <w:rPr>
                <w:rFonts w:hint="cs"/>
                <w:rtl/>
              </w:rPr>
              <w:t>ی</w:t>
            </w:r>
            <w:r w:rsidRPr="0025250D">
              <w:rPr>
                <w:rFonts w:hint="eastAsia"/>
                <w:rtl/>
              </w:rPr>
              <w:t>نده</w:t>
            </w:r>
            <w:r w:rsidRPr="0025250D">
              <w:rPr>
                <w:rtl/>
              </w:rPr>
              <w:t xml:space="preserve"> نگر، تجز</w:t>
            </w:r>
            <w:r w:rsidRPr="0025250D">
              <w:rPr>
                <w:rFonts w:hint="cs"/>
                <w:rtl/>
              </w:rPr>
              <w:t>ی</w:t>
            </w:r>
            <w:r w:rsidRPr="0025250D">
              <w:rPr>
                <w:rFonts w:hint="eastAsia"/>
                <w:rtl/>
              </w:rPr>
              <w:t>ه</w:t>
            </w:r>
            <w:r w:rsidRPr="0025250D">
              <w:rPr>
                <w:rtl/>
              </w:rPr>
              <w:t xml:space="preserve"> و تحل</w:t>
            </w:r>
            <w:r w:rsidRPr="0025250D">
              <w:rPr>
                <w:rFonts w:hint="cs"/>
                <w:rtl/>
              </w:rPr>
              <w:t>ی</w:t>
            </w:r>
            <w:r w:rsidRPr="0025250D">
              <w:rPr>
                <w:rFonts w:hint="eastAsia"/>
                <w:rtl/>
              </w:rPr>
              <w:t>ل</w:t>
            </w:r>
            <w:r w:rsidRPr="0025250D">
              <w:rPr>
                <w:rtl/>
              </w:rPr>
              <w:t xml:space="preserve"> و مشاوره </w:t>
            </w:r>
            <w:r w:rsidRPr="0025250D">
              <w:rPr>
                <w:rFonts w:hint="cs"/>
                <w:rtl/>
              </w:rPr>
              <w:t>مدیریت</w:t>
            </w:r>
            <w:r w:rsidRPr="0025250D">
              <w:rPr>
                <w:rtl/>
              </w:rPr>
              <w:t>، نظرسنج</w:t>
            </w:r>
            <w:r w:rsidRPr="0025250D">
              <w:rPr>
                <w:rFonts w:hint="cs"/>
                <w:rtl/>
              </w:rPr>
              <w:t>ی</w:t>
            </w:r>
            <w:r w:rsidRPr="0025250D">
              <w:rPr>
                <w:rtl/>
              </w:rPr>
              <w:t xml:space="preserve"> جهان</w:t>
            </w:r>
            <w:r w:rsidRPr="0025250D">
              <w:rPr>
                <w:rFonts w:hint="cs"/>
                <w:rtl/>
              </w:rPr>
              <w:t>ی</w:t>
            </w:r>
            <w:r w:rsidRPr="0025250D">
              <w:rPr>
                <w:rFonts w:hint="eastAsia"/>
                <w:rtl/>
              </w:rPr>
              <w:t>،</w:t>
            </w:r>
            <w:r w:rsidRPr="0025250D">
              <w:rPr>
                <w:rtl/>
              </w:rPr>
              <w:t xml:space="preserve"> ناشر مجله تجار</w:t>
            </w:r>
            <w:r w:rsidRPr="0025250D">
              <w:rPr>
                <w:rFonts w:hint="cs"/>
                <w:rtl/>
              </w:rPr>
              <w:t>ی</w:t>
            </w:r>
            <w:r w:rsidRPr="0025250D">
              <w:rPr>
                <w:rtl/>
              </w:rPr>
              <w:t xml:space="preserve"> گالوپ.</w:t>
            </w:r>
          </w:p>
        </w:tc>
        <w:tc>
          <w:tcPr>
            <w:tcW w:w="1497" w:type="dxa"/>
            <w:vAlign w:val="center"/>
          </w:tcPr>
          <w:p w14:paraId="35443C5E" w14:textId="77777777" w:rsidR="00537CC8" w:rsidRPr="0025250D" w:rsidRDefault="00537CC8" w:rsidP="002925C9">
            <w:pPr>
              <w:bidi/>
              <w:spacing w:after="160"/>
              <w:jc w:val="center"/>
              <w:rPr>
                <w:rtl/>
              </w:rPr>
            </w:pPr>
            <w:r w:rsidRPr="0025250D">
              <w:rPr>
                <w:rtl/>
              </w:rPr>
              <w:t>1 (واشنگتن</w:t>
            </w:r>
            <w:r w:rsidRPr="0025250D">
              <w:rPr>
                <w:rFonts w:hint="cs"/>
                <w:rtl/>
              </w:rPr>
              <w:t>)</w:t>
            </w:r>
          </w:p>
        </w:tc>
      </w:tr>
      <w:tr w:rsidR="00537CC8" w:rsidRPr="0025250D" w14:paraId="3D028EC4" w14:textId="77777777" w:rsidTr="002925C9">
        <w:tc>
          <w:tcPr>
            <w:tcW w:w="2266" w:type="dxa"/>
            <w:vAlign w:val="center"/>
          </w:tcPr>
          <w:p w14:paraId="6921186B" w14:textId="77777777" w:rsidR="00537CC8" w:rsidRPr="0025250D" w:rsidRDefault="007A207F" w:rsidP="002925C9">
            <w:pPr>
              <w:bidi/>
              <w:spacing w:after="160"/>
              <w:jc w:val="center"/>
            </w:pPr>
            <w:hyperlink r:id="rId389">
              <w:r w:rsidR="00537CC8" w:rsidRPr="0025250D">
                <w:rPr>
                  <w:rStyle w:val="Hyperlink"/>
                  <w:color w:val="auto"/>
                  <w:u w:val="none"/>
                </w:rPr>
                <w:t>Gartner</w:t>
              </w:r>
            </w:hyperlink>
          </w:p>
        </w:tc>
        <w:tc>
          <w:tcPr>
            <w:tcW w:w="3597" w:type="dxa"/>
            <w:vAlign w:val="center"/>
          </w:tcPr>
          <w:p w14:paraId="35B2AD38" w14:textId="77777777" w:rsidR="00537CC8" w:rsidRPr="0025250D" w:rsidRDefault="00537CC8" w:rsidP="002925C9">
            <w:pPr>
              <w:bidi/>
              <w:spacing w:after="160"/>
              <w:jc w:val="center"/>
              <w:rPr>
                <w:rtl/>
              </w:rPr>
            </w:pPr>
            <w:r w:rsidRPr="0025250D">
              <w:rPr>
                <w:rtl/>
              </w:rPr>
              <w:t>شرکت مشاوره و تحق</w:t>
            </w:r>
            <w:r w:rsidRPr="0025250D">
              <w:rPr>
                <w:rFonts w:hint="cs"/>
                <w:rtl/>
              </w:rPr>
              <w:t>ی</w:t>
            </w:r>
            <w:r w:rsidRPr="0025250D">
              <w:rPr>
                <w:rFonts w:hint="eastAsia"/>
                <w:rtl/>
              </w:rPr>
              <w:t>قات</w:t>
            </w:r>
            <w:r w:rsidRPr="0025250D">
              <w:rPr>
                <w:rtl/>
              </w:rPr>
              <w:t xml:space="preserve"> فناور</w:t>
            </w:r>
            <w:r w:rsidRPr="0025250D">
              <w:rPr>
                <w:rFonts w:hint="cs"/>
                <w:rtl/>
              </w:rPr>
              <w:t>ی</w:t>
            </w:r>
            <w:r w:rsidRPr="0025250D">
              <w:rPr>
                <w:rtl/>
              </w:rPr>
              <w:t xml:space="preserve"> اطلاعات</w:t>
            </w:r>
          </w:p>
        </w:tc>
        <w:tc>
          <w:tcPr>
            <w:tcW w:w="1497" w:type="dxa"/>
            <w:vAlign w:val="center"/>
          </w:tcPr>
          <w:p w14:paraId="22AC09D9" w14:textId="77777777" w:rsidR="00537CC8" w:rsidRPr="0025250D" w:rsidRDefault="00537CC8" w:rsidP="002925C9">
            <w:pPr>
              <w:bidi/>
              <w:spacing w:after="160"/>
              <w:jc w:val="center"/>
              <w:rPr>
                <w:rtl/>
              </w:rPr>
            </w:pPr>
            <w:r w:rsidRPr="0025250D">
              <w:rPr>
                <w:rtl/>
              </w:rPr>
              <w:t>1 (استمفورد</w:t>
            </w:r>
            <w:r w:rsidRPr="0025250D">
              <w:rPr>
                <w:rFonts w:hint="cs"/>
                <w:rtl/>
              </w:rPr>
              <w:t>)</w:t>
            </w:r>
          </w:p>
        </w:tc>
      </w:tr>
      <w:tr w:rsidR="00537CC8" w:rsidRPr="0025250D" w14:paraId="318B6A3F" w14:textId="77777777" w:rsidTr="002925C9">
        <w:tc>
          <w:tcPr>
            <w:tcW w:w="2266" w:type="dxa"/>
            <w:vAlign w:val="center"/>
          </w:tcPr>
          <w:p w14:paraId="262BD33D" w14:textId="77777777" w:rsidR="00537CC8" w:rsidRPr="0025250D" w:rsidRDefault="007A207F" w:rsidP="002925C9">
            <w:pPr>
              <w:bidi/>
              <w:spacing w:after="160"/>
              <w:jc w:val="center"/>
            </w:pPr>
            <w:hyperlink r:id="rId390">
              <w:r w:rsidR="00537CC8" w:rsidRPr="0025250D">
                <w:rPr>
                  <w:rStyle w:val="Hyperlink"/>
                  <w:color w:val="auto"/>
                  <w:u w:val="none"/>
                </w:rPr>
                <w:t>Global Business Network</w:t>
              </w:r>
            </w:hyperlink>
          </w:p>
        </w:tc>
        <w:tc>
          <w:tcPr>
            <w:tcW w:w="3597" w:type="dxa"/>
            <w:vAlign w:val="center"/>
          </w:tcPr>
          <w:p w14:paraId="7A53A36C" w14:textId="570A2ABC" w:rsidR="00537CC8" w:rsidRPr="0025250D" w:rsidRDefault="00537CC8" w:rsidP="002925C9">
            <w:pPr>
              <w:bidi/>
              <w:spacing w:after="160"/>
              <w:jc w:val="center"/>
              <w:rPr>
                <w:rtl/>
              </w:rPr>
            </w:pPr>
            <w:r w:rsidRPr="0025250D">
              <w:rPr>
                <w:rtl/>
              </w:rPr>
              <w:t>ز</w:t>
            </w:r>
            <w:r w:rsidRPr="0025250D">
              <w:rPr>
                <w:rFonts w:hint="cs"/>
                <w:rtl/>
              </w:rPr>
              <w:t>ی</w:t>
            </w:r>
            <w:r w:rsidRPr="0025250D">
              <w:rPr>
                <w:rFonts w:hint="eastAsia"/>
                <w:rtl/>
              </w:rPr>
              <w:t>رمجموعه</w:t>
            </w:r>
            <w:r w:rsidRPr="0025250D">
              <w:rPr>
                <w:rtl/>
              </w:rPr>
              <w:t xml:space="preserve"> مان</w:t>
            </w:r>
            <w:r w:rsidRPr="0025250D">
              <w:rPr>
                <w:rFonts w:hint="cs"/>
                <w:rtl/>
              </w:rPr>
              <w:t>ی</w:t>
            </w:r>
            <w:r w:rsidRPr="0025250D">
              <w:rPr>
                <w:rFonts w:hint="eastAsia"/>
                <w:rtl/>
              </w:rPr>
              <w:t>تور</w:t>
            </w:r>
            <w:r w:rsidRPr="0025250D">
              <w:rPr>
                <w:rtl/>
              </w:rPr>
              <w:t xml:space="preserve"> د</w:t>
            </w:r>
            <w:r w:rsidRPr="0025250D">
              <w:rPr>
                <w:rFonts w:hint="cs"/>
                <w:rtl/>
              </w:rPr>
              <w:t>ی</w:t>
            </w:r>
            <w:r w:rsidRPr="0025250D">
              <w:rPr>
                <w:rFonts w:hint="eastAsia"/>
                <w:rtl/>
              </w:rPr>
              <w:t>لو</w:t>
            </w:r>
            <w:r w:rsidRPr="0025250D">
              <w:rPr>
                <w:rFonts w:hint="cs"/>
                <w:rtl/>
              </w:rPr>
              <w:t>ی</w:t>
            </w:r>
            <w:r w:rsidRPr="0025250D">
              <w:rPr>
                <w:rFonts w:hint="eastAsia"/>
                <w:rtl/>
              </w:rPr>
              <w:t>ت</w:t>
            </w:r>
            <w:r w:rsidRPr="0025250D">
              <w:rPr>
                <w:rtl/>
              </w:rPr>
              <w:t>. از سال 1987. رهبران آینده‌</w:t>
            </w:r>
            <w:r w:rsidR="00664E33" w:rsidRPr="0025250D">
              <w:rPr>
                <w:rtl/>
              </w:rPr>
              <w:t>نگار</w:t>
            </w:r>
            <w:r w:rsidRPr="0025250D">
              <w:rPr>
                <w:rtl/>
              </w:rPr>
              <w:t>ی در دهه 1990</w:t>
            </w:r>
          </w:p>
        </w:tc>
        <w:tc>
          <w:tcPr>
            <w:tcW w:w="1497" w:type="dxa"/>
            <w:vAlign w:val="center"/>
          </w:tcPr>
          <w:p w14:paraId="75B16562" w14:textId="77777777" w:rsidR="00537CC8" w:rsidRPr="0025250D" w:rsidRDefault="00537CC8" w:rsidP="002925C9">
            <w:pPr>
              <w:bidi/>
              <w:spacing w:after="160"/>
              <w:jc w:val="center"/>
              <w:rPr>
                <w:rtl/>
              </w:rPr>
            </w:pPr>
            <w:r w:rsidRPr="0025250D">
              <w:rPr>
                <w:rtl/>
              </w:rPr>
              <w:t>1 (سانفرانس</w:t>
            </w:r>
            <w:r w:rsidRPr="0025250D">
              <w:rPr>
                <w:rFonts w:hint="cs"/>
                <w:rtl/>
              </w:rPr>
              <w:t>ی</w:t>
            </w:r>
            <w:r w:rsidRPr="0025250D">
              <w:rPr>
                <w:rFonts w:hint="eastAsia"/>
                <w:rtl/>
              </w:rPr>
              <w:t>سکو</w:t>
            </w:r>
            <w:r w:rsidRPr="0025250D">
              <w:rPr>
                <w:rFonts w:hint="cs"/>
                <w:rtl/>
              </w:rPr>
              <w:t>)</w:t>
            </w:r>
          </w:p>
        </w:tc>
      </w:tr>
      <w:tr w:rsidR="00537CC8" w:rsidRPr="0025250D" w14:paraId="3E478993" w14:textId="77777777" w:rsidTr="002925C9">
        <w:tc>
          <w:tcPr>
            <w:tcW w:w="2266" w:type="dxa"/>
            <w:vAlign w:val="center"/>
          </w:tcPr>
          <w:p w14:paraId="4C77C04A" w14:textId="77777777" w:rsidR="00537CC8" w:rsidRPr="0025250D" w:rsidRDefault="007A207F" w:rsidP="002925C9">
            <w:pPr>
              <w:bidi/>
              <w:spacing w:after="160"/>
              <w:jc w:val="center"/>
            </w:pPr>
            <w:hyperlink r:id="rId391">
              <w:r w:rsidR="00537CC8" w:rsidRPr="0025250D">
                <w:rPr>
                  <w:rStyle w:val="Hyperlink"/>
                  <w:color w:val="auto"/>
                  <w:u w:val="none"/>
                </w:rPr>
                <w:t>Global Intelligence Alliance</w:t>
              </w:r>
            </w:hyperlink>
          </w:p>
        </w:tc>
        <w:tc>
          <w:tcPr>
            <w:tcW w:w="3597" w:type="dxa"/>
            <w:vAlign w:val="center"/>
          </w:tcPr>
          <w:p w14:paraId="2918A2B6" w14:textId="0C49F7F1" w:rsidR="00537CC8" w:rsidRPr="0025250D" w:rsidRDefault="00537CC8" w:rsidP="002925C9">
            <w:pPr>
              <w:bidi/>
              <w:spacing w:after="160"/>
              <w:jc w:val="center"/>
              <w:rPr>
                <w:rtl/>
              </w:rPr>
            </w:pPr>
            <w:r w:rsidRPr="0025250D">
              <w:rPr>
                <w:rtl/>
              </w:rPr>
              <w:t xml:space="preserve">هوش </w:t>
            </w:r>
            <w:r w:rsidR="00701E03" w:rsidRPr="0025250D">
              <w:rPr>
                <w:rtl/>
              </w:rPr>
              <w:t>راهبردی</w:t>
            </w:r>
            <w:r w:rsidRPr="0025250D">
              <w:rPr>
                <w:rtl/>
              </w:rPr>
              <w:t xml:space="preserve"> بازار؛ تحق</w:t>
            </w:r>
            <w:r w:rsidRPr="0025250D">
              <w:rPr>
                <w:rFonts w:hint="cs"/>
                <w:rtl/>
              </w:rPr>
              <w:t>ی</w:t>
            </w:r>
            <w:r w:rsidRPr="0025250D">
              <w:rPr>
                <w:rFonts w:hint="eastAsia"/>
                <w:rtl/>
              </w:rPr>
              <w:t>ق،</w:t>
            </w:r>
            <w:r w:rsidRPr="0025250D">
              <w:rPr>
                <w:rtl/>
              </w:rPr>
              <w:t xml:space="preserve"> تحل</w:t>
            </w:r>
            <w:r w:rsidRPr="0025250D">
              <w:rPr>
                <w:rFonts w:hint="cs"/>
                <w:rtl/>
              </w:rPr>
              <w:t>ی</w:t>
            </w:r>
            <w:r w:rsidRPr="0025250D">
              <w:rPr>
                <w:rFonts w:hint="eastAsia"/>
                <w:rtl/>
              </w:rPr>
              <w:t>ل</w:t>
            </w:r>
            <w:r w:rsidRPr="0025250D">
              <w:rPr>
                <w:rtl/>
              </w:rPr>
              <w:t xml:space="preserve"> و مشاوره برا</w:t>
            </w:r>
            <w:r w:rsidRPr="0025250D">
              <w:rPr>
                <w:rFonts w:hint="cs"/>
                <w:rtl/>
              </w:rPr>
              <w:t>ی</w:t>
            </w:r>
            <w:r w:rsidRPr="0025250D">
              <w:rPr>
                <w:rtl/>
              </w:rPr>
              <w:t xml:space="preserve"> </w:t>
            </w:r>
            <w:r w:rsidR="0008779C" w:rsidRPr="0025250D">
              <w:rPr>
                <w:rtl/>
              </w:rPr>
              <w:t>تصمیم‌گیری</w:t>
            </w:r>
          </w:p>
        </w:tc>
        <w:tc>
          <w:tcPr>
            <w:tcW w:w="1497" w:type="dxa"/>
            <w:vAlign w:val="center"/>
          </w:tcPr>
          <w:p w14:paraId="3126F310" w14:textId="77777777" w:rsidR="00537CC8" w:rsidRPr="0025250D" w:rsidRDefault="00537CC8" w:rsidP="002925C9">
            <w:pPr>
              <w:bidi/>
              <w:spacing w:after="160"/>
              <w:jc w:val="center"/>
              <w:rPr>
                <w:rtl/>
              </w:rPr>
            </w:pPr>
            <w:r w:rsidRPr="0025250D">
              <w:rPr>
                <w:rFonts w:hint="cs"/>
                <w:rtl/>
              </w:rPr>
              <w:t>1</w:t>
            </w:r>
            <w:r w:rsidRPr="0025250D">
              <w:rPr>
                <w:rtl/>
              </w:rPr>
              <w:t>، 2، 3، 7</w:t>
            </w:r>
          </w:p>
        </w:tc>
      </w:tr>
      <w:tr w:rsidR="00537CC8" w:rsidRPr="0025250D" w14:paraId="12C73D6E" w14:textId="77777777" w:rsidTr="002925C9">
        <w:tc>
          <w:tcPr>
            <w:tcW w:w="2266" w:type="dxa"/>
            <w:vAlign w:val="center"/>
          </w:tcPr>
          <w:p w14:paraId="5975A14B" w14:textId="77777777" w:rsidR="00537CC8" w:rsidRPr="0025250D" w:rsidRDefault="007A207F" w:rsidP="002925C9">
            <w:pPr>
              <w:bidi/>
              <w:spacing w:after="160"/>
              <w:jc w:val="center"/>
            </w:pPr>
            <w:hyperlink r:id="rId392">
              <w:r w:rsidR="00537CC8" w:rsidRPr="0025250D">
                <w:rPr>
                  <w:rStyle w:val="Hyperlink"/>
                  <w:color w:val="auto"/>
                  <w:u w:val="none"/>
                </w:rPr>
                <w:t>GlobeScan Foundation</w:t>
              </w:r>
            </w:hyperlink>
          </w:p>
        </w:tc>
        <w:tc>
          <w:tcPr>
            <w:tcW w:w="3597" w:type="dxa"/>
            <w:vAlign w:val="center"/>
          </w:tcPr>
          <w:p w14:paraId="10B9B2BC" w14:textId="77777777" w:rsidR="00537CC8" w:rsidRPr="0025250D" w:rsidRDefault="00537CC8" w:rsidP="002925C9">
            <w:pPr>
              <w:bidi/>
              <w:spacing w:after="160"/>
              <w:jc w:val="center"/>
              <w:rPr>
                <w:rtl/>
              </w:rPr>
            </w:pPr>
            <w:r w:rsidRPr="0025250D">
              <w:rPr>
                <w:rtl/>
              </w:rPr>
              <w:t>داگ م</w:t>
            </w:r>
            <w:r w:rsidRPr="0025250D">
              <w:rPr>
                <w:rFonts w:hint="cs"/>
                <w:rtl/>
              </w:rPr>
              <w:t>ی</w:t>
            </w:r>
            <w:r w:rsidRPr="0025250D">
              <w:rPr>
                <w:rFonts w:hint="eastAsia"/>
                <w:rtl/>
              </w:rPr>
              <w:t>لر</w:t>
            </w:r>
            <w:r w:rsidRPr="0025250D">
              <w:rPr>
                <w:vertAlign w:val="superscript"/>
                <w:rtl/>
              </w:rPr>
              <w:footnoteReference w:id="3105"/>
            </w:r>
            <w:r w:rsidRPr="0025250D">
              <w:rPr>
                <w:rFonts w:hint="eastAsia"/>
                <w:rtl/>
              </w:rPr>
              <w:t>؛</w:t>
            </w:r>
            <w:r w:rsidRPr="0025250D">
              <w:rPr>
                <w:rtl/>
              </w:rPr>
              <w:t xml:space="preserve"> نظرسنج</w:t>
            </w:r>
            <w:r w:rsidRPr="0025250D">
              <w:rPr>
                <w:rFonts w:hint="cs"/>
                <w:rtl/>
              </w:rPr>
              <w:t>ی</w:t>
            </w:r>
            <w:r w:rsidRPr="0025250D">
              <w:rPr>
                <w:rtl/>
              </w:rPr>
              <w:t xml:space="preserve"> عموم</w:t>
            </w:r>
            <w:r w:rsidRPr="0025250D">
              <w:rPr>
                <w:rFonts w:hint="cs"/>
                <w:rtl/>
              </w:rPr>
              <w:t>ی</w:t>
            </w:r>
            <w:r w:rsidRPr="0025250D">
              <w:rPr>
                <w:rtl/>
              </w:rPr>
              <w:t xml:space="preserve"> برا</w:t>
            </w:r>
            <w:r w:rsidRPr="0025250D">
              <w:rPr>
                <w:rFonts w:hint="cs"/>
                <w:rtl/>
              </w:rPr>
              <w:t>ی</w:t>
            </w:r>
            <w:r w:rsidRPr="0025250D">
              <w:rPr>
                <w:rtl/>
              </w:rPr>
              <w:t xml:space="preserve"> بدست آوردن اطلاعات ذ</w:t>
            </w:r>
            <w:r w:rsidRPr="0025250D">
              <w:rPr>
                <w:rFonts w:hint="cs"/>
                <w:rtl/>
              </w:rPr>
              <w:t>ی</w:t>
            </w:r>
            <w:r w:rsidRPr="0025250D">
              <w:rPr>
                <w:rFonts w:hint="eastAsia"/>
                <w:rtl/>
              </w:rPr>
              <w:t>نفعان</w:t>
            </w:r>
            <w:r w:rsidRPr="0025250D">
              <w:rPr>
                <w:rtl/>
              </w:rPr>
              <w:t xml:space="preserve"> و </w:t>
            </w:r>
            <w:r w:rsidRPr="0025250D">
              <w:rPr>
                <w:rFonts w:hint="cs"/>
                <w:rtl/>
              </w:rPr>
              <w:t>ی</w:t>
            </w:r>
            <w:r w:rsidRPr="0025250D">
              <w:rPr>
                <w:rFonts w:hint="eastAsia"/>
                <w:rtl/>
              </w:rPr>
              <w:t>افتن</w:t>
            </w:r>
            <w:r w:rsidRPr="0025250D">
              <w:rPr>
                <w:rtl/>
              </w:rPr>
              <w:t xml:space="preserve"> روندها</w:t>
            </w:r>
            <w:r w:rsidRPr="0025250D">
              <w:rPr>
                <w:rFonts w:hint="cs"/>
                <w:rtl/>
              </w:rPr>
              <w:t>ی</w:t>
            </w:r>
            <w:r w:rsidRPr="0025250D">
              <w:rPr>
                <w:rtl/>
              </w:rPr>
              <w:t xml:space="preserve"> توسعه جهان</w:t>
            </w:r>
            <w:r w:rsidRPr="0025250D">
              <w:rPr>
                <w:rFonts w:hint="cs"/>
                <w:rtl/>
              </w:rPr>
              <w:t>ی</w:t>
            </w:r>
          </w:p>
        </w:tc>
        <w:tc>
          <w:tcPr>
            <w:tcW w:w="1497" w:type="dxa"/>
            <w:vAlign w:val="center"/>
          </w:tcPr>
          <w:p w14:paraId="3F0A8CC5" w14:textId="77777777" w:rsidR="00537CC8" w:rsidRPr="0025250D" w:rsidRDefault="00537CC8" w:rsidP="002925C9">
            <w:pPr>
              <w:bidi/>
              <w:spacing w:after="160"/>
              <w:jc w:val="center"/>
              <w:rPr>
                <w:rtl/>
              </w:rPr>
            </w:pPr>
            <w:r w:rsidRPr="0025250D">
              <w:rPr>
                <w:rtl/>
              </w:rPr>
              <w:t>1، 2، 3، 5، 7</w:t>
            </w:r>
          </w:p>
        </w:tc>
      </w:tr>
      <w:tr w:rsidR="00537CC8" w:rsidRPr="0025250D" w14:paraId="31D96912" w14:textId="77777777" w:rsidTr="002925C9">
        <w:tc>
          <w:tcPr>
            <w:tcW w:w="2266" w:type="dxa"/>
            <w:vAlign w:val="center"/>
          </w:tcPr>
          <w:p w14:paraId="008C72F7" w14:textId="77777777" w:rsidR="00537CC8" w:rsidRPr="0025250D" w:rsidRDefault="007A207F" w:rsidP="002925C9">
            <w:pPr>
              <w:bidi/>
              <w:spacing w:after="160"/>
              <w:jc w:val="center"/>
            </w:pPr>
            <w:hyperlink r:id="rId393">
              <w:r w:rsidR="00537CC8" w:rsidRPr="0025250D">
                <w:rPr>
                  <w:rStyle w:val="Hyperlink"/>
                  <w:color w:val="auto"/>
                  <w:u w:val="none"/>
                </w:rPr>
                <w:t>Greenway Group</w:t>
              </w:r>
            </w:hyperlink>
          </w:p>
        </w:tc>
        <w:tc>
          <w:tcPr>
            <w:tcW w:w="3597" w:type="dxa"/>
            <w:vAlign w:val="center"/>
          </w:tcPr>
          <w:p w14:paraId="27232494" w14:textId="21AA3FEC" w:rsidR="00537CC8" w:rsidRPr="0025250D" w:rsidRDefault="00537CC8" w:rsidP="002925C9">
            <w:pPr>
              <w:bidi/>
              <w:spacing w:after="160"/>
              <w:jc w:val="center"/>
              <w:rPr>
                <w:rtl/>
              </w:rPr>
            </w:pPr>
            <w:r w:rsidRPr="0025250D">
              <w:rPr>
                <w:rtl/>
              </w:rPr>
              <w:t>ج</w:t>
            </w:r>
            <w:r w:rsidRPr="0025250D">
              <w:rPr>
                <w:rFonts w:hint="cs"/>
                <w:rtl/>
              </w:rPr>
              <w:t>ی</w:t>
            </w:r>
            <w:r w:rsidRPr="0025250D">
              <w:rPr>
                <w:rFonts w:hint="eastAsia"/>
                <w:rtl/>
              </w:rPr>
              <w:t>مز</w:t>
            </w:r>
            <w:r w:rsidRPr="0025250D">
              <w:rPr>
                <w:rtl/>
              </w:rPr>
              <w:t xml:space="preserve"> کرامر</w:t>
            </w:r>
            <w:r w:rsidRPr="0025250D">
              <w:rPr>
                <w:vertAlign w:val="superscript"/>
                <w:rtl/>
              </w:rPr>
              <w:footnoteReference w:id="3106"/>
            </w:r>
            <w:r w:rsidRPr="0025250D">
              <w:rPr>
                <w:rtl/>
              </w:rPr>
              <w:t xml:space="preserve">؛ مشاوره </w:t>
            </w:r>
            <w:r w:rsidR="00701E03" w:rsidRPr="0025250D">
              <w:rPr>
                <w:rtl/>
              </w:rPr>
              <w:t>راهبرد</w:t>
            </w:r>
            <w:r w:rsidRPr="0025250D">
              <w:rPr>
                <w:rtl/>
              </w:rPr>
              <w:t xml:space="preserve"> مح</w:t>
            </w:r>
            <w:r w:rsidRPr="0025250D">
              <w:rPr>
                <w:rFonts w:hint="cs"/>
                <w:rtl/>
              </w:rPr>
              <w:t>ی</w:t>
            </w:r>
            <w:r w:rsidRPr="0025250D">
              <w:rPr>
                <w:rFonts w:hint="eastAsia"/>
                <w:rtl/>
              </w:rPr>
              <w:t>ط</w:t>
            </w:r>
            <w:r w:rsidRPr="0025250D">
              <w:rPr>
                <w:rtl/>
              </w:rPr>
              <w:t xml:space="preserve"> ز</w:t>
            </w:r>
            <w:r w:rsidRPr="0025250D">
              <w:rPr>
                <w:rFonts w:hint="cs"/>
                <w:rtl/>
              </w:rPr>
              <w:t>ی</w:t>
            </w:r>
            <w:r w:rsidRPr="0025250D">
              <w:rPr>
                <w:rFonts w:hint="eastAsia"/>
                <w:rtl/>
              </w:rPr>
              <w:t>ست</w:t>
            </w:r>
            <w:r w:rsidRPr="0025250D">
              <w:rPr>
                <w:rtl/>
              </w:rPr>
              <w:t xml:space="preserve"> ساخته شده</w:t>
            </w:r>
          </w:p>
        </w:tc>
        <w:tc>
          <w:tcPr>
            <w:tcW w:w="1497" w:type="dxa"/>
            <w:vAlign w:val="center"/>
          </w:tcPr>
          <w:p w14:paraId="0A3F1A1C" w14:textId="77777777" w:rsidR="00537CC8" w:rsidRPr="0025250D" w:rsidRDefault="00537CC8" w:rsidP="002925C9">
            <w:pPr>
              <w:bidi/>
              <w:spacing w:after="160"/>
              <w:jc w:val="center"/>
              <w:rPr>
                <w:rtl/>
              </w:rPr>
            </w:pPr>
            <w:r w:rsidRPr="0025250D">
              <w:rPr>
                <w:rtl/>
              </w:rPr>
              <w:t>1 (نورکراس</w:t>
            </w:r>
            <w:r w:rsidRPr="0025250D">
              <w:rPr>
                <w:rFonts w:hint="cs"/>
                <w:rtl/>
              </w:rPr>
              <w:t>)</w:t>
            </w:r>
          </w:p>
        </w:tc>
      </w:tr>
      <w:tr w:rsidR="00537CC8" w:rsidRPr="0025250D" w14:paraId="21DDB073" w14:textId="77777777" w:rsidTr="002925C9">
        <w:tc>
          <w:tcPr>
            <w:tcW w:w="2266" w:type="dxa"/>
            <w:vAlign w:val="center"/>
          </w:tcPr>
          <w:p w14:paraId="7CA09EE8" w14:textId="77777777" w:rsidR="00537CC8" w:rsidRPr="0025250D" w:rsidRDefault="007A207F" w:rsidP="002925C9">
            <w:pPr>
              <w:bidi/>
              <w:spacing w:after="160"/>
              <w:jc w:val="center"/>
            </w:pPr>
            <w:hyperlink r:id="rId394">
              <w:r w:rsidR="00537CC8" w:rsidRPr="0025250D">
                <w:rPr>
                  <w:rStyle w:val="Hyperlink"/>
                  <w:color w:val="auto"/>
                  <w:u w:val="none"/>
                </w:rPr>
                <w:t>io9/Gawker Media</w:t>
              </w:r>
            </w:hyperlink>
          </w:p>
        </w:tc>
        <w:tc>
          <w:tcPr>
            <w:tcW w:w="3597" w:type="dxa"/>
            <w:vAlign w:val="center"/>
          </w:tcPr>
          <w:p w14:paraId="38FD17CA" w14:textId="4EF0D537" w:rsidR="00537CC8" w:rsidRPr="0025250D" w:rsidRDefault="00537CC8" w:rsidP="002925C9">
            <w:pPr>
              <w:bidi/>
              <w:spacing w:after="160"/>
              <w:jc w:val="center"/>
              <w:rPr>
                <w:rtl/>
              </w:rPr>
            </w:pPr>
            <w:r w:rsidRPr="0025250D">
              <w:rPr>
                <w:rtl/>
              </w:rPr>
              <w:t>جورج دوورسک</w:t>
            </w:r>
            <w:r w:rsidRPr="0025250D">
              <w:rPr>
                <w:rFonts w:hint="cs"/>
                <w:rtl/>
              </w:rPr>
              <w:t>ی</w:t>
            </w:r>
            <w:r w:rsidRPr="0025250D">
              <w:rPr>
                <w:vertAlign w:val="superscript"/>
                <w:rtl/>
              </w:rPr>
              <w:footnoteReference w:id="3107"/>
            </w:r>
            <w:r w:rsidRPr="0025250D">
              <w:rPr>
                <w:rFonts w:hint="eastAsia"/>
                <w:rtl/>
              </w:rPr>
              <w:t>،</w:t>
            </w:r>
            <w:r w:rsidRPr="0025250D">
              <w:rPr>
                <w:rtl/>
              </w:rPr>
              <w:t xml:space="preserve"> آنال</w:t>
            </w:r>
            <w:r w:rsidRPr="0025250D">
              <w:rPr>
                <w:rFonts w:hint="cs"/>
                <w:rtl/>
              </w:rPr>
              <w:t>ی</w:t>
            </w:r>
            <w:r w:rsidRPr="0025250D">
              <w:rPr>
                <w:rtl/>
              </w:rPr>
              <w:t xml:space="preserve"> ن</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vertAlign w:val="superscript"/>
                <w:rtl/>
              </w:rPr>
              <w:footnoteReference w:id="3108"/>
            </w:r>
            <w:r w:rsidRPr="0025250D">
              <w:rPr>
                <w:rFonts w:hint="eastAsia"/>
                <w:rtl/>
              </w:rPr>
              <w:t>؛</w:t>
            </w:r>
            <w:r w:rsidRPr="0025250D">
              <w:rPr>
                <w:rtl/>
              </w:rPr>
              <w:t xml:space="preserve"> وبلاگ </w:t>
            </w:r>
            <w:r w:rsidR="00D92F6E" w:rsidRPr="0025250D">
              <w:rPr>
                <w:rtl/>
              </w:rPr>
              <w:t>آینده‌پژوه</w:t>
            </w:r>
            <w:r w:rsidRPr="0025250D">
              <w:rPr>
                <w:rFonts w:hint="cs"/>
                <w:rtl/>
              </w:rPr>
              <w:t>ی</w:t>
            </w:r>
            <w:r w:rsidRPr="0025250D">
              <w:rPr>
                <w:rtl/>
              </w:rPr>
              <w:t xml:space="preserve"> و علم</w:t>
            </w:r>
            <w:r w:rsidRPr="0025250D">
              <w:rPr>
                <w:rFonts w:hint="cs"/>
                <w:rtl/>
              </w:rPr>
              <w:t>ی</w:t>
            </w:r>
            <w:r w:rsidRPr="0025250D">
              <w:rPr>
                <w:rtl/>
              </w:rPr>
              <w:t xml:space="preserve"> تخ</w:t>
            </w:r>
            <w:r w:rsidRPr="0025250D">
              <w:rPr>
                <w:rFonts w:hint="cs"/>
                <w:rtl/>
              </w:rPr>
              <w:t>ی</w:t>
            </w:r>
            <w:r w:rsidRPr="0025250D">
              <w:rPr>
                <w:rFonts w:hint="eastAsia"/>
                <w:rtl/>
              </w:rPr>
              <w:t>ل</w:t>
            </w:r>
            <w:r w:rsidRPr="0025250D">
              <w:rPr>
                <w:rFonts w:hint="cs"/>
                <w:rtl/>
              </w:rPr>
              <w:t>ی</w:t>
            </w:r>
          </w:p>
        </w:tc>
        <w:tc>
          <w:tcPr>
            <w:tcW w:w="1497" w:type="dxa"/>
            <w:vAlign w:val="center"/>
          </w:tcPr>
          <w:p w14:paraId="60867905" w14:textId="77777777" w:rsidR="00537CC8" w:rsidRPr="0025250D" w:rsidRDefault="00537CC8" w:rsidP="002925C9">
            <w:pPr>
              <w:bidi/>
              <w:spacing w:after="160"/>
              <w:jc w:val="center"/>
              <w:rPr>
                <w:rtl/>
              </w:rPr>
            </w:pPr>
            <w:r w:rsidRPr="0025250D">
              <w:rPr>
                <w:rtl/>
              </w:rPr>
              <w:t>1 (ن</w:t>
            </w:r>
            <w:r w:rsidRPr="0025250D">
              <w:rPr>
                <w:rFonts w:hint="cs"/>
                <w:rtl/>
              </w:rPr>
              <w:t>ی</w:t>
            </w:r>
            <w:r w:rsidRPr="0025250D">
              <w:rPr>
                <w:rFonts w:hint="eastAsia"/>
                <w:rtl/>
              </w:rPr>
              <w:t>و</w:t>
            </w:r>
            <w:r w:rsidRPr="0025250D">
              <w:rPr>
                <w:rFonts w:hint="cs"/>
                <w:rtl/>
              </w:rPr>
              <w:t>ی</w:t>
            </w:r>
            <w:r w:rsidRPr="0025250D">
              <w:rPr>
                <w:rFonts w:hint="eastAsia"/>
                <w:rtl/>
              </w:rPr>
              <w:t>ورک</w:t>
            </w:r>
            <w:r w:rsidRPr="0025250D">
              <w:rPr>
                <w:rFonts w:hint="cs"/>
                <w:rtl/>
              </w:rPr>
              <w:t>)</w:t>
            </w:r>
          </w:p>
        </w:tc>
      </w:tr>
      <w:tr w:rsidR="00537CC8" w:rsidRPr="0025250D" w14:paraId="00F6C95A" w14:textId="77777777" w:rsidTr="002925C9">
        <w:tc>
          <w:tcPr>
            <w:tcW w:w="2266" w:type="dxa"/>
            <w:vAlign w:val="center"/>
          </w:tcPr>
          <w:p w14:paraId="50C6FA60" w14:textId="77777777" w:rsidR="00537CC8" w:rsidRPr="0025250D" w:rsidRDefault="007A207F" w:rsidP="002925C9">
            <w:pPr>
              <w:bidi/>
              <w:spacing w:after="160"/>
              <w:jc w:val="center"/>
            </w:pPr>
            <w:hyperlink r:id="rId395">
              <w:r w:rsidR="00537CC8" w:rsidRPr="0025250D">
                <w:rPr>
                  <w:rStyle w:val="Hyperlink"/>
                  <w:color w:val="auto"/>
                  <w:u w:val="none"/>
                </w:rPr>
                <w:t>IBIS World</w:t>
              </w:r>
            </w:hyperlink>
          </w:p>
        </w:tc>
        <w:tc>
          <w:tcPr>
            <w:tcW w:w="3597" w:type="dxa"/>
            <w:vAlign w:val="center"/>
          </w:tcPr>
          <w:p w14:paraId="7C802377" w14:textId="29DB7234" w:rsidR="00537CC8" w:rsidRPr="0025250D" w:rsidRDefault="00537CC8" w:rsidP="002925C9">
            <w:pPr>
              <w:bidi/>
              <w:spacing w:after="160"/>
              <w:jc w:val="center"/>
              <w:rPr>
                <w:rtl/>
              </w:rPr>
            </w:pPr>
            <w:r w:rsidRPr="0025250D">
              <w:rPr>
                <w:rFonts w:hint="cs"/>
                <w:rtl/>
              </w:rPr>
              <w:t xml:space="preserve">هوش </w:t>
            </w:r>
            <w:r w:rsidR="00B124DE" w:rsidRPr="0025250D">
              <w:rPr>
                <w:rFonts w:hint="cs"/>
                <w:rtl/>
              </w:rPr>
              <w:t>کسب‌و‌کار</w:t>
            </w:r>
            <w:r w:rsidRPr="0025250D">
              <w:rPr>
                <w:rtl/>
              </w:rPr>
              <w:t>، تحق</w:t>
            </w:r>
            <w:r w:rsidRPr="0025250D">
              <w:rPr>
                <w:rFonts w:hint="cs"/>
                <w:rtl/>
              </w:rPr>
              <w:t>ی</w:t>
            </w:r>
            <w:r w:rsidRPr="0025250D">
              <w:rPr>
                <w:rFonts w:hint="eastAsia"/>
                <w:rtl/>
              </w:rPr>
              <w:t>ق</w:t>
            </w:r>
            <w:r w:rsidRPr="0025250D">
              <w:rPr>
                <w:rtl/>
              </w:rPr>
              <w:t xml:space="preserve"> صنعت و تجز</w:t>
            </w:r>
            <w:r w:rsidRPr="0025250D">
              <w:rPr>
                <w:rFonts w:hint="cs"/>
                <w:rtl/>
              </w:rPr>
              <w:t>ی</w:t>
            </w:r>
            <w:r w:rsidRPr="0025250D">
              <w:rPr>
                <w:rFonts w:hint="eastAsia"/>
                <w:rtl/>
              </w:rPr>
              <w:t>ه</w:t>
            </w:r>
            <w:r w:rsidRPr="0025250D">
              <w:rPr>
                <w:rtl/>
              </w:rPr>
              <w:t xml:space="preserve"> و تحل</w:t>
            </w:r>
            <w:r w:rsidRPr="0025250D">
              <w:rPr>
                <w:rFonts w:hint="cs"/>
                <w:rtl/>
              </w:rPr>
              <w:t>ی</w:t>
            </w:r>
            <w:r w:rsidRPr="0025250D">
              <w:rPr>
                <w:rFonts w:hint="eastAsia"/>
                <w:rtl/>
              </w:rPr>
              <w:t>ل</w:t>
            </w:r>
            <w:r w:rsidRPr="0025250D">
              <w:rPr>
                <w:rtl/>
              </w:rPr>
              <w:t xml:space="preserve"> بازار برا</w:t>
            </w:r>
            <w:r w:rsidRPr="0025250D">
              <w:rPr>
                <w:rFonts w:hint="cs"/>
                <w:rtl/>
              </w:rPr>
              <w:t>ی</w:t>
            </w:r>
            <w:r w:rsidRPr="0025250D">
              <w:rPr>
                <w:rtl/>
              </w:rPr>
              <w:t xml:space="preserve"> استرال</w:t>
            </w:r>
            <w:r w:rsidRPr="0025250D">
              <w:rPr>
                <w:rFonts w:hint="cs"/>
                <w:rtl/>
              </w:rPr>
              <w:t>ی</w:t>
            </w:r>
            <w:r w:rsidRPr="0025250D">
              <w:rPr>
                <w:rFonts w:hint="eastAsia"/>
                <w:rtl/>
              </w:rPr>
              <w:t>ا</w:t>
            </w:r>
          </w:p>
        </w:tc>
        <w:tc>
          <w:tcPr>
            <w:tcW w:w="1497" w:type="dxa"/>
            <w:vAlign w:val="center"/>
          </w:tcPr>
          <w:p w14:paraId="5ADD9054" w14:textId="77777777" w:rsidR="00537CC8" w:rsidRPr="0025250D" w:rsidRDefault="00537CC8" w:rsidP="002925C9">
            <w:pPr>
              <w:bidi/>
              <w:spacing w:after="160"/>
              <w:jc w:val="center"/>
              <w:rPr>
                <w:rtl/>
              </w:rPr>
            </w:pPr>
            <w:r w:rsidRPr="0025250D">
              <w:rPr>
                <w:rtl/>
              </w:rPr>
              <w:t>10 (استرال</w:t>
            </w:r>
            <w:r w:rsidRPr="0025250D">
              <w:rPr>
                <w:rFonts w:hint="cs"/>
                <w:rtl/>
              </w:rPr>
              <w:t>ی</w:t>
            </w:r>
            <w:r w:rsidRPr="0025250D">
              <w:rPr>
                <w:rFonts w:hint="eastAsia"/>
                <w:rtl/>
              </w:rPr>
              <w:t>ا</w:t>
            </w:r>
            <w:r w:rsidRPr="0025250D">
              <w:rPr>
                <w:rtl/>
              </w:rPr>
              <w:t>)</w:t>
            </w:r>
          </w:p>
        </w:tc>
      </w:tr>
      <w:tr w:rsidR="00537CC8" w:rsidRPr="0025250D" w14:paraId="0F2A2662" w14:textId="77777777" w:rsidTr="002925C9">
        <w:tc>
          <w:tcPr>
            <w:tcW w:w="2266" w:type="dxa"/>
            <w:vAlign w:val="center"/>
          </w:tcPr>
          <w:p w14:paraId="16972537" w14:textId="77777777" w:rsidR="00537CC8" w:rsidRPr="0025250D" w:rsidRDefault="007A207F" w:rsidP="002925C9">
            <w:pPr>
              <w:bidi/>
              <w:spacing w:after="160"/>
              <w:jc w:val="center"/>
            </w:pPr>
            <w:hyperlink r:id="rId396">
              <w:r w:rsidR="00537CC8" w:rsidRPr="0025250D">
                <w:rPr>
                  <w:rStyle w:val="Hyperlink"/>
                  <w:color w:val="auto"/>
                  <w:u w:val="none"/>
                </w:rPr>
                <w:t>Iceberg Consulting</w:t>
              </w:r>
            </w:hyperlink>
          </w:p>
        </w:tc>
        <w:tc>
          <w:tcPr>
            <w:tcW w:w="3597" w:type="dxa"/>
            <w:vAlign w:val="center"/>
          </w:tcPr>
          <w:p w14:paraId="3F7B6634" w14:textId="77777777" w:rsidR="00537CC8" w:rsidRPr="0025250D" w:rsidRDefault="00537CC8" w:rsidP="002925C9">
            <w:pPr>
              <w:bidi/>
              <w:spacing w:after="160"/>
              <w:jc w:val="center"/>
              <w:rPr>
                <w:rtl/>
              </w:rPr>
            </w:pPr>
            <w:r w:rsidRPr="0025250D">
              <w:rPr>
                <w:rtl/>
              </w:rPr>
              <w:t>خدمات مرتبط با فناور</w:t>
            </w:r>
            <w:r w:rsidRPr="0025250D">
              <w:rPr>
                <w:rFonts w:hint="cs"/>
                <w:rtl/>
              </w:rPr>
              <w:t>ی</w:t>
            </w:r>
            <w:r w:rsidRPr="0025250D">
              <w:rPr>
                <w:rtl/>
              </w:rPr>
              <w:t xml:space="preserve"> اطلاعات</w:t>
            </w:r>
          </w:p>
        </w:tc>
        <w:tc>
          <w:tcPr>
            <w:tcW w:w="1497" w:type="dxa"/>
            <w:vAlign w:val="center"/>
          </w:tcPr>
          <w:p w14:paraId="7C0CB935" w14:textId="77777777" w:rsidR="00537CC8" w:rsidRPr="0025250D" w:rsidRDefault="00537CC8" w:rsidP="002925C9">
            <w:pPr>
              <w:bidi/>
              <w:spacing w:after="160"/>
              <w:jc w:val="center"/>
              <w:rPr>
                <w:rtl/>
              </w:rPr>
            </w:pPr>
            <w:r w:rsidRPr="0025250D">
              <w:rPr>
                <w:rtl/>
              </w:rPr>
              <w:t>1 (شکوپ</w:t>
            </w:r>
            <w:r w:rsidRPr="0025250D">
              <w:rPr>
                <w:rFonts w:hint="cs"/>
                <w:rtl/>
              </w:rPr>
              <w:t>ی)</w:t>
            </w:r>
          </w:p>
        </w:tc>
      </w:tr>
      <w:tr w:rsidR="00537CC8" w:rsidRPr="0025250D" w14:paraId="784E9040" w14:textId="77777777" w:rsidTr="002925C9">
        <w:tc>
          <w:tcPr>
            <w:tcW w:w="2266" w:type="dxa"/>
            <w:vAlign w:val="center"/>
          </w:tcPr>
          <w:p w14:paraId="5F0F4874" w14:textId="77777777" w:rsidR="00537CC8" w:rsidRPr="0025250D" w:rsidRDefault="007A207F" w:rsidP="002925C9">
            <w:pPr>
              <w:bidi/>
              <w:spacing w:after="160"/>
              <w:jc w:val="center"/>
            </w:pPr>
            <w:hyperlink r:id="rId397">
              <w:r w:rsidR="00537CC8" w:rsidRPr="0025250D">
                <w:rPr>
                  <w:rStyle w:val="Hyperlink"/>
                  <w:color w:val="auto"/>
                  <w:u w:val="none"/>
                </w:rPr>
                <w:t>IHS Economics &amp; Country Risk</w:t>
              </w:r>
            </w:hyperlink>
          </w:p>
        </w:tc>
        <w:tc>
          <w:tcPr>
            <w:tcW w:w="3597" w:type="dxa"/>
            <w:vAlign w:val="center"/>
          </w:tcPr>
          <w:p w14:paraId="685B7596" w14:textId="221BBE85" w:rsidR="00537CC8" w:rsidRPr="0025250D" w:rsidRDefault="00537CC8" w:rsidP="002925C9">
            <w:pPr>
              <w:bidi/>
              <w:spacing w:after="160"/>
              <w:jc w:val="center"/>
              <w:rPr>
                <w:rtl/>
              </w:rPr>
            </w:pPr>
            <w:r w:rsidRPr="0025250D">
              <w:rPr>
                <w:rtl/>
              </w:rPr>
              <w:t xml:space="preserve">رهبران در </w:t>
            </w:r>
            <w:r w:rsidR="00D92F6E" w:rsidRPr="0025250D">
              <w:rPr>
                <w:rtl/>
              </w:rPr>
              <w:t>پیش‌بین</w:t>
            </w:r>
            <w:r w:rsidRPr="0025250D">
              <w:rPr>
                <w:rFonts w:hint="cs"/>
                <w:rtl/>
              </w:rPr>
              <w:t>ی</w:t>
            </w:r>
            <w:r w:rsidRPr="0025250D">
              <w:rPr>
                <w:rtl/>
              </w:rPr>
              <w:t xml:space="preserve"> اقتصاد</w:t>
            </w:r>
            <w:r w:rsidRPr="0025250D">
              <w:rPr>
                <w:rFonts w:hint="cs"/>
                <w:rtl/>
              </w:rPr>
              <w:t>ی</w:t>
            </w:r>
            <w:r w:rsidRPr="0025250D">
              <w:rPr>
                <w:rtl/>
              </w:rPr>
              <w:t xml:space="preserve"> و ر</w:t>
            </w:r>
            <w:r w:rsidRPr="0025250D">
              <w:rPr>
                <w:rFonts w:hint="cs"/>
                <w:rtl/>
              </w:rPr>
              <w:t>ی</w:t>
            </w:r>
            <w:r w:rsidRPr="0025250D">
              <w:rPr>
                <w:rFonts w:hint="eastAsia"/>
                <w:rtl/>
              </w:rPr>
              <w:t>سک</w:t>
            </w:r>
          </w:p>
        </w:tc>
        <w:tc>
          <w:tcPr>
            <w:tcW w:w="1497" w:type="dxa"/>
            <w:vAlign w:val="center"/>
          </w:tcPr>
          <w:p w14:paraId="17BAE777" w14:textId="77777777" w:rsidR="00537CC8" w:rsidRPr="0025250D" w:rsidRDefault="00537CC8" w:rsidP="002925C9">
            <w:pPr>
              <w:bidi/>
              <w:spacing w:after="160"/>
              <w:jc w:val="center"/>
              <w:rPr>
                <w:rtl/>
              </w:rPr>
            </w:pPr>
            <w:r w:rsidRPr="0025250D">
              <w:rPr>
                <w:rtl/>
              </w:rPr>
              <w:t>1 (انگلوود</w:t>
            </w:r>
            <w:r w:rsidRPr="0025250D">
              <w:rPr>
                <w:rFonts w:hint="cs"/>
                <w:rtl/>
              </w:rPr>
              <w:t>)</w:t>
            </w:r>
          </w:p>
        </w:tc>
      </w:tr>
      <w:tr w:rsidR="00537CC8" w:rsidRPr="0025250D" w14:paraId="7DB869D0" w14:textId="77777777" w:rsidTr="002925C9">
        <w:tc>
          <w:tcPr>
            <w:tcW w:w="2266" w:type="dxa"/>
            <w:vAlign w:val="center"/>
          </w:tcPr>
          <w:p w14:paraId="7900E726" w14:textId="77777777" w:rsidR="00537CC8" w:rsidRPr="0025250D" w:rsidRDefault="007A207F" w:rsidP="002925C9">
            <w:pPr>
              <w:bidi/>
              <w:spacing w:after="160"/>
              <w:jc w:val="center"/>
            </w:pPr>
            <w:hyperlink r:id="rId398">
              <w:r w:rsidR="00537CC8" w:rsidRPr="0025250D">
                <w:rPr>
                  <w:rStyle w:val="Hyperlink"/>
                  <w:color w:val="auto"/>
                  <w:u w:val="none"/>
                </w:rPr>
                <w:t>Innovation Focus</w:t>
              </w:r>
            </w:hyperlink>
          </w:p>
        </w:tc>
        <w:tc>
          <w:tcPr>
            <w:tcW w:w="3597" w:type="dxa"/>
            <w:vAlign w:val="center"/>
          </w:tcPr>
          <w:p w14:paraId="32B09F68" w14:textId="77777777" w:rsidR="00537CC8" w:rsidRPr="0025250D" w:rsidRDefault="00537CC8" w:rsidP="002925C9">
            <w:pPr>
              <w:bidi/>
              <w:spacing w:after="160"/>
              <w:jc w:val="center"/>
              <w:rPr>
                <w:rtl/>
              </w:rPr>
            </w:pPr>
            <w:r w:rsidRPr="0025250D">
              <w:rPr>
                <w:rtl/>
              </w:rPr>
              <w:t>کر</w:t>
            </w:r>
            <w:r w:rsidRPr="0025250D">
              <w:rPr>
                <w:rFonts w:hint="cs"/>
                <w:rtl/>
              </w:rPr>
              <w:t>ی</w:t>
            </w:r>
            <w:r w:rsidRPr="0025250D">
              <w:rPr>
                <w:rFonts w:hint="eastAsia"/>
                <w:rtl/>
              </w:rPr>
              <w:t>ستوفر</w:t>
            </w:r>
            <w:r w:rsidRPr="0025250D">
              <w:rPr>
                <w:rtl/>
              </w:rPr>
              <w:t xml:space="preserve"> دبل</w:t>
            </w:r>
            <w:r w:rsidRPr="0025250D">
              <w:rPr>
                <w:rFonts w:hint="cs"/>
                <w:rtl/>
              </w:rPr>
              <w:t>ی</w:t>
            </w:r>
            <w:r w:rsidRPr="0025250D">
              <w:rPr>
                <w:rFonts w:hint="eastAsia"/>
                <w:rtl/>
              </w:rPr>
              <w:t>و</w:t>
            </w:r>
            <w:r w:rsidRPr="0025250D">
              <w:rPr>
                <w:rtl/>
              </w:rPr>
              <w:t>. م</w:t>
            </w:r>
            <w:r w:rsidRPr="0025250D">
              <w:rPr>
                <w:rFonts w:hint="cs"/>
                <w:rtl/>
              </w:rPr>
              <w:t>ی</w:t>
            </w:r>
            <w:r w:rsidRPr="0025250D">
              <w:rPr>
                <w:rFonts w:hint="eastAsia"/>
                <w:rtl/>
              </w:rPr>
              <w:t>لر</w:t>
            </w:r>
            <w:r w:rsidRPr="0025250D">
              <w:rPr>
                <w:vertAlign w:val="superscript"/>
                <w:rtl/>
              </w:rPr>
              <w:footnoteReference w:id="3109"/>
            </w:r>
            <w:r w:rsidRPr="0025250D">
              <w:rPr>
                <w:rFonts w:hint="eastAsia"/>
                <w:rtl/>
              </w:rPr>
              <w:t>،</w:t>
            </w:r>
            <w:r w:rsidRPr="0025250D">
              <w:rPr>
                <w:rtl/>
              </w:rPr>
              <w:t xml:space="preserve"> آن اوربان</w:t>
            </w:r>
            <w:r w:rsidRPr="0025250D">
              <w:rPr>
                <w:vertAlign w:val="superscript"/>
                <w:rtl/>
              </w:rPr>
              <w:footnoteReference w:id="3110"/>
            </w:r>
            <w:r w:rsidRPr="0025250D">
              <w:rPr>
                <w:rtl/>
              </w:rPr>
              <w:t xml:space="preserve">؛ </w:t>
            </w:r>
            <w:r w:rsidRPr="0025250D">
              <w:t>PLM</w:t>
            </w:r>
            <w:r w:rsidRPr="0025250D">
              <w:rPr>
                <w:rtl/>
              </w:rPr>
              <w:t>، مشاوره نوآور</w:t>
            </w:r>
            <w:r w:rsidRPr="0025250D">
              <w:rPr>
                <w:rFonts w:hint="cs"/>
                <w:rtl/>
              </w:rPr>
              <w:t>ی</w:t>
            </w:r>
            <w:r w:rsidRPr="0025250D">
              <w:rPr>
                <w:rtl/>
              </w:rPr>
              <w:t>.</w:t>
            </w:r>
          </w:p>
        </w:tc>
        <w:tc>
          <w:tcPr>
            <w:tcW w:w="1497" w:type="dxa"/>
            <w:vAlign w:val="center"/>
          </w:tcPr>
          <w:p w14:paraId="3CE02356" w14:textId="77777777" w:rsidR="00537CC8" w:rsidRPr="0025250D" w:rsidRDefault="00537CC8" w:rsidP="002925C9">
            <w:pPr>
              <w:bidi/>
              <w:spacing w:after="160"/>
              <w:jc w:val="center"/>
              <w:rPr>
                <w:rtl/>
              </w:rPr>
            </w:pPr>
            <w:r w:rsidRPr="0025250D">
              <w:rPr>
                <w:rtl/>
              </w:rPr>
              <w:t>1 (لنکستر</w:t>
            </w:r>
            <w:r w:rsidRPr="0025250D">
              <w:rPr>
                <w:rFonts w:hint="cs"/>
                <w:rtl/>
              </w:rPr>
              <w:t>)</w:t>
            </w:r>
          </w:p>
        </w:tc>
      </w:tr>
      <w:tr w:rsidR="00537CC8" w:rsidRPr="0025250D" w14:paraId="61F2AF2E" w14:textId="77777777" w:rsidTr="002925C9">
        <w:tc>
          <w:tcPr>
            <w:tcW w:w="2266" w:type="dxa"/>
            <w:vAlign w:val="center"/>
          </w:tcPr>
          <w:p w14:paraId="26C04D05" w14:textId="77777777" w:rsidR="00537CC8" w:rsidRPr="0025250D" w:rsidRDefault="007A207F" w:rsidP="002925C9">
            <w:pPr>
              <w:bidi/>
              <w:spacing w:after="160"/>
              <w:jc w:val="center"/>
            </w:pPr>
            <w:hyperlink r:id="rId399">
              <w:r w:rsidR="00537CC8" w:rsidRPr="0025250D">
                <w:rPr>
                  <w:rStyle w:val="Hyperlink"/>
                  <w:color w:val="auto"/>
                  <w:u w:val="none"/>
                </w:rPr>
                <w:t>Innovation Framework Technologies</w:t>
              </w:r>
            </w:hyperlink>
          </w:p>
        </w:tc>
        <w:tc>
          <w:tcPr>
            <w:tcW w:w="3597" w:type="dxa"/>
            <w:vAlign w:val="center"/>
          </w:tcPr>
          <w:p w14:paraId="3A57876B" w14:textId="77777777" w:rsidR="00537CC8" w:rsidRPr="0025250D" w:rsidRDefault="00537CC8" w:rsidP="002925C9">
            <w:pPr>
              <w:bidi/>
              <w:spacing w:after="160"/>
              <w:jc w:val="center"/>
              <w:rPr>
                <w:rtl/>
              </w:rPr>
            </w:pPr>
            <w:r w:rsidRPr="0025250D">
              <w:rPr>
                <w:rtl/>
              </w:rPr>
              <w:t xml:space="preserve">نرم افزار و مشاوره </w:t>
            </w:r>
            <w:r w:rsidRPr="0025250D">
              <w:rPr>
                <w:rFonts w:hint="cs"/>
                <w:rtl/>
              </w:rPr>
              <w:t>مدیریت</w:t>
            </w:r>
            <w:r w:rsidRPr="0025250D">
              <w:rPr>
                <w:rtl/>
              </w:rPr>
              <w:t xml:space="preserve"> نوآور</w:t>
            </w:r>
            <w:r w:rsidRPr="0025250D">
              <w:rPr>
                <w:rFonts w:hint="cs"/>
                <w:rtl/>
              </w:rPr>
              <w:t>ی</w:t>
            </w:r>
            <w:r w:rsidRPr="0025250D">
              <w:rPr>
                <w:rtl/>
              </w:rPr>
              <w:t xml:space="preserve"> و توسعه محصول جد</w:t>
            </w:r>
            <w:r w:rsidRPr="0025250D">
              <w:rPr>
                <w:rFonts w:hint="cs"/>
                <w:rtl/>
              </w:rPr>
              <w:t>ی</w:t>
            </w:r>
            <w:r w:rsidRPr="0025250D">
              <w:rPr>
                <w:rFonts w:hint="eastAsia"/>
                <w:rtl/>
              </w:rPr>
              <w:t>د</w:t>
            </w:r>
          </w:p>
        </w:tc>
        <w:tc>
          <w:tcPr>
            <w:tcW w:w="1497" w:type="dxa"/>
            <w:vAlign w:val="center"/>
          </w:tcPr>
          <w:p w14:paraId="4AF2DC1A" w14:textId="77777777" w:rsidR="00537CC8" w:rsidRPr="0025250D" w:rsidRDefault="00537CC8" w:rsidP="002925C9">
            <w:pPr>
              <w:bidi/>
              <w:spacing w:after="160"/>
              <w:jc w:val="center"/>
              <w:rPr>
                <w:rtl/>
              </w:rPr>
            </w:pPr>
            <w:r w:rsidRPr="0025250D">
              <w:rPr>
                <w:rtl/>
              </w:rPr>
              <w:t>1 (ن</w:t>
            </w:r>
            <w:r w:rsidRPr="0025250D">
              <w:rPr>
                <w:rFonts w:hint="cs"/>
                <w:rtl/>
              </w:rPr>
              <w:t>ی</w:t>
            </w:r>
            <w:r w:rsidRPr="0025250D">
              <w:rPr>
                <w:rFonts w:hint="eastAsia"/>
                <w:rtl/>
              </w:rPr>
              <w:t>و</w:t>
            </w:r>
            <w:r w:rsidRPr="0025250D">
              <w:rPr>
                <w:rFonts w:hint="cs"/>
                <w:rtl/>
              </w:rPr>
              <w:t>ی</w:t>
            </w:r>
            <w:r w:rsidRPr="0025250D">
              <w:rPr>
                <w:rFonts w:hint="eastAsia"/>
                <w:rtl/>
              </w:rPr>
              <w:t>ورک</w:t>
            </w:r>
            <w:r w:rsidRPr="0025250D">
              <w:rPr>
                <w:rFonts w:hint="cs"/>
                <w:rtl/>
              </w:rPr>
              <w:t>)</w:t>
            </w:r>
          </w:p>
        </w:tc>
      </w:tr>
      <w:tr w:rsidR="00537CC8" w:rsidRPr="0025250D" w14:paraId="78A8437B" w14:textId="77777777" w:rsidTr="002925C9">
        <w:tc>
          <w:tcPr>
            <w:tcW w:w="2266" w:type="dxa"/>
            <w:vAlign w:val="center"/>
          </w:tcPr>
          <w:p w14:paraId="36375A78" w14:textId="77777777" w:rsidR="00537CC8" w:rsidRPr="0025250D" w:rsidRDefault="007A207F" w:rsidP="002925C9">
            <w:pPr>
              <w:bidi/>
              <w:spacing w:after="160"/>
              <w:jc w:val="center"/>
            </w:pPr>
            <w:hyperlink r:id="rId400">
              <w:r w:rsidR="00537CC8" w:rsidRPr="0025250D">
                <w:rPr>
                  <w:rStyle w:val="Hyperlink"/>
                  <w:color w:val="auto"/>
                  <w:u w:val="none"/>
                </w:rPr>
                <w:t>Idea Couture</w:t>
              </w:r>
            </w:hyperlink>
          </w:p>
        </w:tc>
        <w:tc>
          <w:tcPr>
            <w:tcW w:w="3597" w:type="dxa"/>
            <w:vAlign w:val="center"/>
          </w:tcPr>
          <w:p w14:paraId="04967082" w14:textId="270D3808" w:rsidR="00537CC8" w:rsidRPr="0025250D" w:rsidRDefault="00537CC8" w:rsidP="002925C9">
            <w:pPr>
              <w:bidi/>
              <w:spacing w:after="160"/>
              <w:jc w:val="center"/>
              <w:rPr>
                <w:rtl/>
              </w:rPr>
            </w:pPr>
            <w:r w:rsidRPr="0025250D">
              <w:rPr>
                <w:rtl/>
              </w:rPr>
              <w:t>نوآور</w:t>
            </w:r>
            <w:r w:rsidRPr="0025250D">
              <w:rPr>
                <w:rFonts w:hint="cs"/>
                <w:rtl/>
              </w:rPr>
              <w:t>ی</w:t>
            </w:r>
            <w:r w:rsidRPr="0025250D">
              <w:rPr>
                <w:rFonts w:hint="eastAsia"/>
                <w:rtl/>
              </w:rPr>
              <w:t>،</w:t>
            </w:r>
            <w:r w:rsidRPr="0025250D">
              <w:rPr>
                <w:rtl/>
              </w:rPr>
              <w:t xml:space="preserve"> طراح</w:t>
            </w:r>
            <w:r w:rsidRPr="0025250D">
              <w:rPr>
                <w:rFonts w:hint="cs"/>
                <w:rtl/>
              </w:rPr>
              <w:t>ی</w:t>
            </w:r>
            <w:r w:rsidRPr="0025250D">
              <w:rPr>
                <w:rtl/>
              </w:rPr>
              <w:t xml:space="preserve"> و آینده‌</w:t>
            </w:r>
            <w:r w:rsidR="00664E33" w:rsidRPr="0025250D">
              <w:rPr>
                <w:rtl/>
              </w:rPr>
              <w:t>نگار</w:t>
            </w:r>
            <w:r w:rsidRPr="0025250D">
              <w:rPr>
                <w:rtl/>
              </w:rPr>
              <w:t xml:space="preserve">ی </w:t>
            </w:r>
            <w:r w:rsidR="00701E03" w:rsidRPr="0025250D">
              <w:rPr>
                <w:rtl/>
              </w:rPr>
              <w:t>راهبردی</w:t>
            </w:r>
            <w:r w:rsidRPr="0025250D">
              <w:rPr>
                <w:rtl/>
              </w:rPr>
              <w:t xml:space="preserve"> و کاربرد</w:t>
            </w:r>
            <w:r w:rsidRPr="0025250D">
              <w:rPr>
                <w:rFonts w:hint="cs"/>
                <w:rtl/>
              </w:rPr>
              <w:t>ی</w:t>
            </w:r>
          </w:p>
        </w:tc>
        <w:tc>
          <w:tcPr>
            <w:tcW w:w="1497" w:type="dxa"/>
            <w:vAlign w:val="center"/>
          </w:tcPr>
          <w:p w14:paraId="1A66E693" w14:textId="77777777" w:rsidR="00537CC8" w:rsidRPr="0025250D" w:rsidRDefault="00537CC8" w:rsidP="002925C9">
            <w:pPr>
              <w:bidi/>
              <w:spacing w:after="160"/>
              <w:jc w:val="center"/>
              <w:rPr>
                <w:rtl/>
              </w:rPr>
            </w:pPr>
            <w:r w:rsidRPr="0025250D">
              <w:rPr>
                <w:rFonts w:hint="cs"/>
                <w:rtl/>
              </w:rPr>
              <w:t>1 (تورنتو)</w:t>
            </w:r>
          </w:p>
        </w:tc>
      </w:tr>
      <w:tr w:rsidR="00537CC8" w:rsidRPr="0025250D" w14:paraId="7AFA9699" w14:textId="77777777" w:rsidTr="002925C9">
        <w:tc>
          <w:tcPr>
            <w:tcW w:w="2266" w:type="dxa"/>
            <w:vAlign w:val="center"/>
          </w:tcPr>
          <w:p w14:paraId="6A31BAB8" w14:textId="77777777" w:rsidR="00537CC8" w:rsidRPr="0025250D" w:rsidRDefault="007A207F" w:rsidP="002925C9">
            <w:pPr>
              <w:bidi/>
              <w:spacing w:after="160"/>
              <w:jc w:val="center"/>
            </w:pPr>
            <w:hyperlink r:id="rId401">
              <w:r w:rsidR="00537CC8" w:rsidRPr="0025250D">
                <w:rPr>
                  <w:rStyle w:val="Hyperlink"/>
                  <w:color w:val="auto"/>
                  <w:u w:val="none"/>
                </w:rPr>
                <w:t>Ideo</w:t>
              </w:r>
            </w:hyperlink>
          </w:p>
        </w:tc>
        <w:tc>
          <w:tcPr>
            <w:tcW w:w="3597" w:type="dxa"/>
            <w:vAlign w:val="center"/>
          </w:tcPr>
          <w:p w14:paraId="10D51A8F" w14:textId="77777777" w:rsidR="00537CC8" w:rsidRPr="0025250D" w:rsidRDefault="00537CC8" w:rsidP="002925C9">
            <w:pPr>
              <w:bidi/>
              <w:spacing w:after="160"/>
              <w:jc w:val="center"/>
              <w:rPr>
                <w:rtl/>
              </w:rPr>
            </w:pPr>
            <w:r w:rsidRPr="0025250D">
              <w:rPr>
                <w:rtl/>
              </w:rPr>
              <w:t>ت</w:t>
            </w:r>
            <w:r w:rsidRPr="0025250D">
              <w:rPr>
                <w:rFonts w:hint="cs"/>
                <w:rtl/>
              </w:rPr>
              <w:t>ی</w:t>
            </w:r>
            <w:r w:rsidRPr="0025250D">
              <w:rPr>
                <w:rFonts w:hint="eastAsia"/>
                <w:rtl/>
              </w:rPr>
              <w:t>م</w:t>
            </w:r>
            <w:r w:rsidRPr="0025250D">
              <w:rPr>
                <w:rtl/>
              </w:rPr>
              <w:t xml:space="preserve"> براون</w:t>
            </w:r>
            <w:r w:rsidRPr="0025250D">
              <w:rPr>
                <w:vertAlign w:val="superscript"/>
                <w:rtl/>
              </w:rPr>
              <w:footnoteReference w:id="3111"/>
            </w:r>
            <w:r w:rsidRPr="0025250D">
              <w:rPr>
                <w:rtl/>
              </w:rPr>
              <w:t>، د</w:t>
            </w:r>
            <w:r w:rsidRPr="0025250D">
              <w:rPr>
                <w:rFonts w:hint="cs"/>
                <w:rtl/>
              </w:rPr>
              <w:t>ی</w:t>
            </w:r>
            <w:r w:rsidRPr="0025250D">
              <w:rPr>
                <w:rFonts w:hint="eastAsia"/>
                <w:rtl/>
              </w:rPr>
              <w:t>و</w:t>
            </w:r>
            <w:r w:rsidRPr="0025250D">
              <w:rPr>
                <w:rtl/>
              </w:rPr>
              <w:t xml:space="preserve"> بل</w:t>
            </w:r>
            <w:r w:rsidRPr="0025250D">
              <w:rPr>
                <w:rFonts w:hint="cs"/>
                <w:rtl/>
              </w:rPr>
              <w:t>ی</w:t>
            </w:r>
            <w:r w:rsidRPr="0025250D">
              <w:rPr>
                <w:rFonts w:hint="eastAsia"/>
                <w:rtl/>
              </w:rPr>
              <w:t>کل</w:t>
            </w:r>
            <w:r w:rsidRPr="0025250D">
              <w:rPr>
                <w:rFonts w:hint="cs"/>
                <w:rtl/>
              </w:rPr>
              <w:t>ی</w:t>
            </w:r>
            <w:r w:rsidRPr="0025250D">
              <w:rPr>
                <w:vertAlign w:val="superscript"/>
                <w:rtl/>
              </w:rPr>
              <w:footnoteReference w:id="3112"/>
            </w:r>
            <w:r w:rsidRPr="0025250D">
              <w:rPr>
                <w:rFonts w:hint="eastAsia"/>
                <w:rtl/>
              </w:rPr>
              <w:t>؛</w:t>
            </w:r>
            <w:r w:rsidRPr="0025250D">
              <w:rPr>
                <w:rtl/>
              </w:rPr>
              <w:t xml:space="preserve"> پ</w:t>
            </w:r>
            <w:r w:rsidRPr="0025250D">
              <w:rPr>
                <w:rFonts w:hint="cs"/>
                <w:rtl/>
              </w:rPr>
              <w:t>ی</w:t>
            </w:r>
            <w:r w:rsidRPr="0025250D">
              <w:rPr>
                <w:rFonts w:hint="eastAsia"/>
                <w:rtl/>
              </w:rPr>
              <w:t>شرو</w:t>
            </w:r>
            <w:r w:rsidRPr="0025250D">
              <w:rPr>
                <w:rtl/>
              </w:rPr>
              <w:t xml:space="preserve"> در مشاوره طراح</w:t>
            </w:r>
            <w:r w:rsidRPr="0025250D">
              <w:rPr>
                <w:rFonts w:hint="cs"/>
                <w:rtl/>
              </w:rPr>
              <w:t>ی</w:t>
            </w:r>
          </w:p>
        </w:tc>
        <w:tc>
          <w:tcPr>
            <w:tcW w:w="1497" w:type="dxa"/>
            <w:vAlign w:val="center"/>
          </w:tcPr>
          <w:p w14:paraId="5A68A123" w14:textId="77777777" w:rsidR="00537CC8" w:rsidRPr="0025250D" w:rsidRDefault="00537CC8" w:rsidP="002925C9">
            <w:pPr>
              <w:bidi/>
              <w:spacing w:after="160"/>
              <w:jc w:val="center"/>
              <w:rPr>
                <w:rtl/>
              </w:rPr>
            </w:pPr>
            <w:r w:rsidRPr="0025250D">
              <w:rPr>
                <w:rtl/>
              </w:rPr>
              <w:t>1 (پالو آلتو</w:t>
            </w:r>
            <w:r w:rsidRPr="0025250D">
              <w:rPr>
                <w:rFonts w:hint="cs"/>
                <w:rtl/>
              </w:rPr>
              <w:t>)</w:t>
            </w:r>
          </w:p>
        </w:tc>
      </w:tr>
      <w:tr w:rsidR="00537CC8" w:rsidRPr="0025250D" w14:paraId="7EA330A9" w14:textId="77777777" w:rsidTr="002925C9">
        <w:tc>
          <w:tcPr>
            <w:tcW w:w="2266" w:type="dxa"/>
            <w:vAlign w:val="center"/>
          </w:tcPr>
          <w:p w14:paraId="7A707872" w14:textId="77777777" w:rsidR="00537CC8" w:rsidRPr="0025250D" w:rsidRDefault="007A207F" w:rsidP="002925C9">
            <w:pPr>
              <w:bidi/>
              <w:spacing w:after="160"/>
              <w:jc w:val="center"/>
            </w:pPr>
            <w:hyperlink r:id="rId402">
              <w:r w:rsidR="00537CC8" w:rsidRPr="0025250D">
                <w:rPr>
                  <w:rStyle w:val="Hyperlink"/>
                  <w:color w:val="auto"/>
                  <w:u w:val="none"/>
                </w:rPr>
                <w:t>IFOK</w:t>
              </w:r>
            </w:hyperlink>
          </w:p>
        </w:tc>
        <w:tc>
          <w:tcPr>
            <w:tcW w:w="3597" w:type="dxa"/>
            <w:vAlign w:val="center"/>
          </w:tcPr>
          <w:p w14:paraId="47C999D6" w14:textId="00F6F799" w:rsidR="00537CC8" w:rsidRPr="0025250D" w:rsidRDefault="00537CC8" w:rsidP="002925C9">
            <w:pPr>
              <w:bidi/>
              <w:spacing w:after="160"/>
              <w:jc w:val="center"/>
              <w:rPr>
                <w:rtl/>
              </w:rPr>
            </w:pPr>
            <w:r w:rsidRPr="0025250D">
              <w:rPr>
                <w:rtl/>
              </w:rPr>
              <w:t>ف</w:t>
            </w:r>
            <w:r w:rsidRPr="0025250D">
              <w:rPr>
                <w:rFonts w:hint="cs"/>
                <w:rtl/>
              </w:rPr>
              <w:t>ی</w:t>
            </w:r>
            <w:r w:rsidRPr="0025250D">
              <w:rPr>
                <w:rFonts w:hint="eastAsia"/>
                <w:rtl/>
              </w:rPr>
              <w:t>ونا</w:t>
            </w:r>
            <w:r w:rsidRPr="0025250D">
              <w:rPr>
                <w:rtl/>
              </w:rPr>
              <w:t xml:space="preserve"> ولن ساک</w:t>
            </w:r>
            <w:r w:rsidRPr="0025250D">
              <w:rPr>
                <w:vertAlign w:val="superscript"/>
                <w:rtl/>
              </w:rPr>
              <w:footnoteReference w:id="3113"/>
            </w:r>
            <w:r w:rsidRPr="0025250D">
              <w:rPr>
                <w:rFonts w:hint="cs"/>
                <w:rtl/>
              </w:rPr>
              <w:t>؛</w:t>
            </w:r>
            <w:r w:rsidRPr="0025250D">
              <w:rPr>
                <w:rtl/>
              </w:rPr>
              <w:t xml:space="preserve"> </w:t>
            </w:r>
            <w:r w:rsidR="00701E03" w:rsidRPr="0025250D">
              <w:rPr>
                <w:rtl/>
              </w:rPr>
              <w:t>راهبرد</w:t>
            </w:r>
            <w:r w:rsidRPr="0025250D">
              <w:rPr>
                <w:rFonts w:hint="eastAsia"/>
                <w:rtl/>
              </w:rPr>
              <w:t>،</w:t>
            </w:r>
            <w:r w:rsidRPr="0025250D">
              <w:rPr>
                <w:rtl/>
              </w:rPr>
              <w:t xml:space="preserve"> </w:t>
            </w:r>
            <w:r w:rsidRPr="0025250D">
              <w:rPr>
                <w:rFonts w:hint="cs"/>
                <w:rtl/>
              </w:rPr>
              <w:t xml:space="preserve">مدیریت </w:t>
            </w:r>
            <w:r w:rsidRPr="0025250D">
              <w:rPr>
                <w:rtl/>
              </w:rPr>
              <w:t>تغ</w:t>
            </w:r>
            <w:r w:rsidRPr="0025250D">
              <w:rPr>
                <w:rFonts w:hint="cs"/>
                <w:rtl/>
              </w:rPr>
              <w:t>یی</w:t>
            </w:r>
            <w:r w:rsidRPr="0025250D">
              <w:rPr>
                <w:rFonts w:hint="eastAsia"/>
                <w:rtl/>
              </w:rPr>
              <w:t>ر</w:t>
            </w:r>
            <w:r w:rsidRPr="0025250D">
              <w:rPr>
                <w:rtl/>
              </w:rPr>
              <w:t xml:space="preserve">، </w:t>
            </w:r>
            <w:r w:rsidR="00B56611" w:rsidRPr="0025250D">
              <w:rPr>
                <w:rtl/>
              </w:rPr>
              <w:t>چشم‌انداز</w:t>
            </w:r>
          </w:p>
        </w:tc>
        <w:tc>
          <w:tcPr>
            <w:tcW w:w="1497" w:type="dxa"/>
            <w:vAlign w:val="center"/>
          </w:tcPr>
          <w:p w14:paraId="1C1F7A4A" w14:textId="77777777" w:rsidR="00537CC8" w:rsidRPr="0025250D" w:rsidRDefault="00537CC8" w:rsidP="002925C9">
            <w:pPr>
              <w:bidi/>
              <w:spacing w:after="160"/>
              <w:jc w:val="center"/>
              <w:rPr>
                <w:rtl/>
              </w:rPr>
            </w:pPr>
            <w:r w:rsidRPr="0025250D">
              <w:rPr>
                <w:rtl/>
              </w:rPr>
              <w:t>3 (بنسها</w:t>
            </w:r>
            <w:r w:rsidRPr="0025250D">
              <w:rPr>
                <w:rFonts w:hint="cs"/>
                <w:rtl/>
              </w:rPr>
              <w:t>ی</w:t>
            </w:r>
            <w:r w:rsidRPr="0025250D">
              <w:rPr>
                <w:rFonts w:hint="eastAsia"/>
                <w:rtl/>
              </w:rPr>
              <w:t>م</w:t>
            </w:r>
            <w:r w:rsidRPr="0025250D">
              <w:rPr>
                <w:rFonts w:hint="cs"/>
                <w:rtl/>
              </w:rPr>
              <w:t>)</w:t>
            </w:r>
          </w:p>
        </w:tc>
      </w:tr>
      <w:tr w:rsidR="00537CC8" w:rsidRPr="0025250D" w14:paraId="6FF1E0B1" w14:textId="77777777" w:rsidTr="002925C9">
        <w:tc>
          <w:tcPr>
            <w:tcW w:w="2266" w:type="dxa"/>
            <w:vAlign w:val="center"/>
          </w:tcPr>
          <w:p w14:paraId="558EC40C" w14:textId="77777777" w:rsidR="00537CC8" w:rsidRPr="0025250D" w:rsidRDefault="007A207F" w:rsidP="002925C9">
            <w:pPr>
              <w:bidi/>
              <w:spacing w:after="160"/>
              <w:jc w:val="center"/>
            </w:pPr>
            <w:hyperlink r:id="rId403">
              <w:r w:rsidR="00537CC8" w:rsidRPr="0025250D">
                <w:rPr>
                  <w:rStyle w:val="Hyperlink"/>
                  <w:color w:val="auto"/>
                  <w:u w:val="none"/>
                </w:rPr>
                <w:t>Innosight</w:t>
              </w:r>
            </w:hyperlink>
          </w:p>
        </w:tc>
        <w:tc>
          <w:tcPr>
            <w:tcW w:w="3597" w:type="dxa"/>
            <w:vAlign w:val="center"/>
          </w:tcPr>
          <w:p w14:paraId="6103D58D" w14:textId="77777777" w:rsidR="00537CC8" w:rsidRPr="0025250D" w:rsidRDefault="00537CC8" w:rsidP="002925C9">
            <w:pPr>
              <w:bidi/>
              <w:spacing w:after="160"/>
              <w:jc w:val="center"/>
              <w:rPr>
                <w:rtl/>
              </w:rPr>
            </w:pPr>
            <w:r w:rsidRPr="0025250D">
              <w:rPr>
                <w:rtl/>
              </w:rPr>
              <w:t>کل</w:t>
            </w:r>
            <w:r w:rsidRPr="0025250D">
              <w:rPr>
                <w:rFonts w:hint="cs"/>
                <w:rtl/>
              </w:rPr>
              <w:t>ی</w:t>
            </w:r>
            <w:r w:rsidRPr="0025250D">
              <w:rPr>
                <w:rtl/>
              </w:rPr>
              <w:t xml:space="preserve"> کر</w:t>
            </w:r>
            <w:r w:rsidRPr="0025250D">
              <w:rPr>
                <w:rFonts w:hint="cs"/>
                <w:rtl/>
              </w:rPr>
              <w:t>ی</w:t>
            </w:r>
            <w:r w:rsidRPr="0025250D">
              <w:rPr>
                <w:rFonts w:hint="eastAsia"/>
                <w:rtl/>
              </w:rPr>
              <w:t>ستنسن</w:t>
            </w:r>
            <w:r w:rsidRPr="0025250D">
              <w:rPr>
                <w:vertAlign w:val="superscript"/>
                <w:rtl/>
              </w:rPr>
              <w:footnoteReference w:id="3114"/>
            </w:r>
            <w:r w:rsidRPr="0025250D">
              <w:rPr>
                <w:rFonts w:hint="eastAsia"/>
                <w:rtl/>
              </w:rPr>
              <w:t>،</w:t>
            </w:r>
            <w:r w:rsidRPr="0025250D">
              <w:rPr>
                <w:rtl/>
              </w:rPr>
              <w:t xml:space="preserve"> ر</w:t>
            </w:r>
            <w:r w:rsidRPr="0025250D">
              <w:rPr>
                <w:rFonts w:hint="cs"/>
                <w:rtl/>
              </w:rPr>
              <w:t>ی</w:t>
            </w:r>
            <w:r w:rsidRPr="0025250D">
              <w:rPr>
                <w:rFonts w:hint="eastAsia"/>
                <w:rtl/>
              </w:rPr>
              <w:t>چارد</w:t>
            </w:r>
            <w:r w:rsidRPr="0025250D">
              <w:rPr>
                <w:rtl/>
              </w:rPr>
              <w:t xml:space="preserve"> ان. فاستر</w:t>
            </w:r>
            <w:r w:rsidRPr="0025250D">
              <w:rPr>
                <w:vertAlign w:val="superscript"/>
                <w:rtl/>
              </w:rPr>
              <w:footnoteReference w:id="3115"/>
            </w:r>
            <w:r w:rsidRPr="0025250D">
              <w:rPr>
                <w:rFonts w:hint="cs"/>
                <w:rtl/>
              </w:rPr>
              <w:t>؛</w:t>
            </w:r>
            <w:r w:rsidRPr="0025250D">
              <w:rPr>
                <w:rtl/>
              </w:rPr>
              <w:t xml:space="preserve"> مشاوره نوآور</w:t>
            </w:r>
            <w:r w:rsidRPr="0025250D">
              <w:rPr>
                <w:rFonts w:hint="cs"/>
                <w:rtl/>
              </w:rPr>
              <w:t>ی</w:t>
            </w:r>
          </w:p>
        </w:tc>
        <w:tc>
          <w:tcPr>
            <w:tcW w:w="1497" w:type="dxa"/>
            <w:vAlign w:val="center"/>
          </w:tcPr>
          <w:p w14:paraId="6B247037" w14:textId="77777777" w:rsidR="00537CC8" w:rsidRPr="0025250D" w:rsidRDefault="00537CC8" w:rsidP="002925C9">
            <w:pPr>
              <w:bidi/>
              <w:spacing w:after="160"/>
              <w:jc w:val="center"/>
              <w:rPr>
                <w:rtl/>
              </w:rPr>
            </w:pPr>
            <w:r w:rsidRPr="0025250D">
              <w:rPr>
                <w:rtl/>
              </w:rPr>
              <w:t>1 (لکس</w:t>
            </w:r>
            <w:r w:rsidRPr="0025250D">
              <w:rPr>
                <w:rFonts w:hint="cs"/>
                <w:rtl/>
              </w:rPr>
              <w:t>ی</w:t>
            </w:r>
            <w:r w:rsidRPr="0025250D">
              <w:rPr>
                <w:rFonts w:hint="eastAsia"/>
                <w:rtl/>
              </w:rPr>
              <w:t>نگتون</w:t>
            </w:r>
            <w:r w:rsidRPr="0025250D">
              <w:rPr>
                <w:rFonts w:hint="cs"/>
                <w:rtl/>
              </w:rPr>
              <w:t>)</w:t>
            </w:r>
          </w:p>
        </w:tc>
      </w:tr>
      <w:tr w:rsidR="00537CC8" w:rsidRPr="0025250D" w14:paraId="6987F7E4" w14:textId="77777777" w:rsidTr="002925C9">
        <w:tc>
          <w:tcPr>
            <w:tcW w:w="2266" w:type="dxa"/>
            <w:vAlign w:val="center"/>
          </w:tcPr>
          <w:p w14:paraId="2D45EA1A" w14:textId="77777777" w:rsidR="00537CC8" w:rsidRPr="0025250D" w:rsidRDefault="007A207F" w:rsidP="002925C9">
            <w:pPr>
              <w:bidi/>
              <w:spacing w:after="160"/>
              <w:jc w:val="center"/>
            </w:pPr>
            <w:hyperlink r:id="rId404">
              <w:r w:rsidR="00537CC8" w:rsidRPr="0025250D">
                <w:rPr>
                  <w:rStyle w:val="Hyperlink"/>
                  <w:color w:val="auto"/>
                  <w:u w:val="none"/>
                </w:rPr>
                <w:t>Innovaro</w:t>
              </w:r>
            </w:hyperlink>
          </w:p>
        </w:tc>
        <w:tc>
          <w:tcPr>
            <w:tcW w:w="3597" w:type="dxa"/>
            <w:vAlign w:val="center"/>
          </w:tcPr>
          <w:p w14:paraId="6E32AE66" w14:textId="77777777" w:rsidR="00537CC8" w:rsidRPr="0025250D" w:rsidRDefault="00537CC8" w:rsidP="002925C9">
            <w:pPr>
              <w:bidi/>
              <w:spacing w:after="160"/>
              <w:jc w:val="center"/>
              <w:rPr>
                <w:rtl/>
              </w:rPr>
            </w:pPr>
            <w:r w:rsidRPr="0025250D">
              <w:rPr>
                <w:rtl/>
              </w:rPr>
              <w:t>کر</w:t>
            </w:r>
            <w:r w:rsidRPr="0025250D">
              <w:rPr>
                <w:rFonts w:hint="cs"/>
                <w:rtl/>
              </w:rPr>
              <w:t>ی</w:t>
            </w:r>
            <w:r w:rsidRPr="0025250D">
              <w:rPr>
                <w:rFonts w:hint="eastAsia"/>
                <w:rtl/>
              </w:rPr>
              <w:t>س</w:t>
            </w:r>
            <w:r w:rsidRPr="0025250D">
              <w:rPr>
                <w:rtl/>
              </w:rPr>
              <w:t xml:space="preserve"> کربن</w:t>
            </w:r>
            <w:r w:rsidRPr="0025250D">
              <w:rPr>
                <w:vertAlign w:val="superscript"/>
                <w:rtl/>
              </w:rPr>
              <w:footnoteReference w:id="3116"/>
            </w:r>
            <w:r w:rsidRPr="0025250D">
              <w:rPr>
                <w:rtl/>
              </w:rPr>
              <w:t xml:space="preserve">؛ </w:t>
            </w:r>
            <w:r w:rsidRPr="0025250D">
              <w:rPr>
                <w:rFonts w:hint="cs"/>
                <w:rtl/>
              </w:rPr>
              <w:t>مدیریت</w:t>
            </w:r>
            <w:r w:rsidRPr="0025250D">
              <w:rPr>
                <w:rtl/>
              </w:rPr>
              <w:t xml:space="preserve"> نوآور</w:t>
            </w:r>
            <w:r w:rsidRPr="0025250D">
              <w:rPr>
                <w:rFonts w:hint="cs"/>
                <w:rtl/>
              </w:rPr>
              <w:t>ی</w:t>
            </w:r>
            <w:r w:rsidRPr="0025250D">
              <w:rPr>
                <w:rFonts w:hint="eastAsia"/>
                <w:rtl/>
              </w:rPr>
              <w:t>،</w:t>
            </w:r>
            <w:r w:rsidRPr="0025250D">
              <w:rPr>
                <w:rtl/>
              </w:rPr>
              <w:t xml:space="preserve"> روند و خدمات تحق</w:t>
            </w:r>
            <w:r w:rsidRPr="0025250D">
              <w:rPr>
                <w:rFonts w:hint="cs"/>
                <w:rtl/>
              </w:rPr>
              <w:t>ی</w:t>
            </w:r>
            <w:r w:rsidRPr="0025250D">
              <w:rPr>
                <w:rFonts w:hint="eastAsia"/>
                <w:rtl/>
              </w:rPr>
              <w:t>قات</w:t>
            </w:r>
            <w:r w:rsidRPr="0025250D">
              <w:rPr>
                <w:rFonts w:hint="cs"/>
                <w:rtl/>
              </w:rPr>
              <w:t>ی</w:t>
            </w:r>
            <w:r w:rsidRPr="0025250D">
              <w:rPr>
                <w:rFonts w:hint="eastAsia"/>
                <w:rtl/>
              </w:rPr>
              <w:t>،</w:t>
            </w:r>
            <w:r w:rsidRPr="0025250D">
              <w:rPr>
                <w:rtl/>
              </w:rPr>
              <w:t xml:space="preserve"> نظارت بر رسانه‌های اجتماع</w:t>
            </w:r>
            <w:r w:rsidRPr="0025250D">
              <w:rPr>
                <w:rFonts w:hint="cs"/>
                <w:rtl/>
              </w:rPr>
              <w:t>ی</w:t>
            </w:r>
          </w:p>
        </w:tc>
        <w:tc>
          <w:tcPr>
            <w:tcW w:w="1497" w:type="dxa"/>
            <w:vAlign w:val="center"/>
          </w:tcPr>
          <w:p w14:paraId="29597FC9" w14:textId="77777777" w:rsidR="00537CC8" w:rsidRPr="0025250D" w:rsidRDefault="00537CC8" w:rsidP="002925C9">
            <w:pPr>
              <w:bidi/>
              <w:spacing w:after="160"/>
              <w:jc w:val="center"/>
              <w:rPr>
                <w:rtl/>
              </w:rPr>
            </w:pPr>
            <w:r w:rsidRPr="0025250D">
              <w:rPr>
                <w:rtl/>
              </w:rPr>
              <w:t>1 (تامپا</w:t>
            </w:r>
            <w:r w:rsidRPr="0025250D">
              <w:rPr>
                <w:rFonts w:hint="cs"/>
                <w:rtl/>
              </w:rPr>
              <w:t>)</w:t>
            </w:r>
          </w:p>
        </w:tc>
      </w:tr>
      <w:tr w:rsidR="00537CC8" w:rsidRPr="0025250D" w14:paraId="2794C031" w14:textId="77777777" w:rsidTr="002925C9">
        <w:tc>
          <w:tcPr>
            <w:tcW w:w="2266" w:type="dxa"/>
            <w:vAlign w:val="center"/>
          </w:tcPr>
          <w:p w14:paraId="203DD6AC" w14:textId="77777777" w:rsidR="00537CC8" w:rsidRPr="0025250D" w:rsidRDefault="007A207F" w:rsidP="002925C9">
            <w:pPr>
              <w:bidi/>
              <w:spacing w:after="160"/>
              <w:jc w:val="center"/>
            </w:pPr>
            <w:hyperlink r:id="rId405">
              <w:r w:rsidR="00537CC8" w:rsidRPr="0025250D">
                <w:rPr>
                  <w:rStyle w:val="Hyperlink"/>
                  <w:color w:val="auto"/>
                  <w:u w:val="none"/>
                </w:rPr>
                <w:t>Instat/MDR</w:t>
              </w:r>
            </w:hyperlink>
          </w:p>
        </w:tc>
        <w:tc>
          <w:tcPr>
            <w:tcW w:w="3597" w:type="dxa"/>
            <w:vAlign w:val="center"/>
          </w:tcPr>
          <w:p w14:paraId="7F614D16" w14:textId="52DD29B6" w:rsidR="00537CC8" w:rsidRPr="0025250D" w:rsidRDefault="00537CC8" w:rsidP="002925C9">
            <w:pPr>
              <w:bidi/>
              <w:spacing w:after="160"/>
              <w:jc w:val="center"/>
              <w:rPr>
                <w:rtl/>
              </w:rPr>
            </w:pPr>
            <w:r w:rsidRPr="0025250D">
              <w:rPr>
                <w:rtl/>
              </w:rPr>
              <w:t xml:space="preserve">گزارش و </w:t>
            </w:r>
            <w:r w:rsidR="00D92F6E" w:rsidRPr="0025250D">
              <w:rPr>
                <w:rtl/>
              </w:rPr>
              <w:t>پیش‌بین</w:t>
            </w:r>
            <w:r w:rsidRPr="0025250D">
              <w:rPr>
                <w:rFonts w:hint="cs"/>
                <w:rtl/>
              </w:rPr>
              <w:t>ی</w:t>
            </w:r>
            <w:r w:rsidRPr="0025250D">
              <w:rPr>
                <w:rtl/>
              </w:rPr>
              <w:t xml:space="preserve"> در صنا</w:t>
            </w:r>
            <w:r w:rsidRPr="0025250D">
              <w:rPr>
                <w:rFonts w:hint="cs"/>
                <w:rtl/>
              </w:rPr>
              <w:t>ی</w:t>
            </w:r>
            <w:r w:rsidRPr="0025250D">
              <w:rPr>
                <w:rFonts w:hint="eastAsia"/>
                <w:rtl/>
              </w:rPr>
              <w:t>ع</w:t>
            </w:r>
            <w:r w:rsidRPr="0025250D">
              <w:rPr>
                <w:rtl/>
              </w:rPr>
              <w:t xml:space="preserve"> مرتبط با نما</w:t>
            </w:r>
            <w:r w:rsidRPr="0025250D">
              <w:rPr>
                <w:rFonts w:hint="cs"/>
                <w:rtl/>
              </w:rPr>
              <w:t>ی</w:t>
            </w:r>
            <w:r w:rsidRPr="0025250D">
              <w:rPr>
                <w:rFonts w:hint="eastAsia"/>
                <w:rtl/>
              </w:rPr>
              <w:t>شگر</w:t>
            </w:r>
          </w:p>
        </w:tc>
        <w:tc>
          <w:tcPr>
            <w:tcW w:w="1497" w:type="dxa"/>
            <w:vAlign w:val="center"/>
          </w:tcPr>
          <w:p w14:paraId="52D74591" w14:textId="77777777" w:rsidR="00537CC8" w:rsidRPr="0025250D" w:rsidRDefault="00537CC8" w:rsidP="002925C9">
            <w:pPr>
              <w:bidi/>
              <w:spacing w:after="160"/>
              <w:jc w:val="center"/>
              <w:rPr>
                <w:rtl/>
              </w:rPr>
            </w:pPr>
            <w:r w:rsidRPr="0025250D">
              <w:rPr>
                <w:rtl/>
              </w:rPr>
              <w:t>1 (سانتا کلارا</w:t>
            </w:r>
            <w:r w:rsidRPr="0025250D">
              <w:rPr>
                <w:rFonts w:hint="cs"/>
                <w:rtl/>
              </w:rPr>
              <w:t>)</w:t>
            </w:r>
          </w:p>
        </w:tc>
      </w:tr>
      <w:tr w:rsidR="00537CC8" w:rsidRPr="0025250D" w14:paraId="49730AD3" w14:textId="77777777" w:rsidTr="002925C9">
        <w:tc>
          <w:tcPr>
            <w:tcW w:w="2266" w:type="dxa"/>
            <w:vAlign w:val="center"/>
          </w:tcPr>
          <w:p w14:paraId="109DDC97" w14:textId="77777777" w:rsidR="00537CC8" w:rsidRPr="0025250D" w:rsidRDefault="007A207F" w:rsidP="002925C9">
            <w:pPr>
              <w:bidi/>
              <w:spacing w:after="160"/>
              <w:jc w:val="center"/>
            </w:pPr>
            <w:hyperlink r:id="rId406">
              <w:r w:rsidR="00537CC8" w:rsidRPr="0025250D">
                <w:rPr>
                  <w:rStyle w:val="Hyperlink"/>
                  <w:color w:val="auto"/>
                  <w:u w:val="none"/>
                </w:rPr>
                <w:t>Inst. for Futures Studies and Tech Assessment</w:t>
              </w:r>
            </w:hyperlink>
          </w:p>
        </w:tc>
        <w:tc>
          <w:tcPr>
            <w:tcW w:w="3597" w:type="dxa"/>
            <w:vAlign w:val="center"/>
          </w:tcPr>
          <w:p w14:paraId="13243698" w14:textId="1FE8ECF8" w:rsidR="00537CC8" w:rsidRPr="0025250D" w:rsidRDefault="00537CC8" w:rsidP="002925C9">
            <w:pPr>
              <w:bidi/>
              <w:spacing w:after="160"/>
              <w:jc w:val="center"/>
              <w:rPr>
                <w:rtl/>
              </w:rPr>
            </w:pPr>
            <w:r w:rsidRPr="0025250D">
              <w:rPr>
                <w:rtl/>
              </w:rPr>
              <w:t>آینده‌</w:t>
            </w:r>
            <w:r w:rsidR="00664E33" w:rsidRPr="0025250D">
              <w:rPr>
                <w:rtl/>
              </w:rPr>
              <w:t>نگار</w:t>
            </w:r>
            <w:r w:rsidRPr="0025250D">
              <w:rPr>
                <w:rtl/>
              </w:rPr>
              <w:t>ی</w:t>
            </w:r>
            <w:r w:rsidRPr="0025250D">
              <w:rPr>
                <w:rFonts w:hint="eastAsia"/>
                <w:rtl/>
              </w:rPr>
              <w:t>،</w:t>
            </w:r>
            <w:r w:rsidRPr="0025250D">
              <w:rPr>
                <w:rtl/>
              </w:rPr>
              <w:t xml:space="preserve"> ارز</w:t>
            </w:r>
            <w:r w:rsidRPr="0025250D">
              <w:rPr>
                <w:rFonts w:hint="cs"/>
                <w:rtl/>
              </w:rPr>
              <w:t>ی</w:t>
            </w:r>
            <w:r w:rsidRPr="0025250D">
              <w:rPr>
                <w:rFonts w:hint="eastAsia"/>
                <w:rtl/>
              </w:rPr>
              <w:t>اب</w:t>
            </w:r>
            <w:r w:rsidRPr="0025250D">
              <w:rPr>
                <w:rFonts w:hint="cs"/>
                <w:rtl/>
              </w:rPr>
              <w:t>ی</w:t>
            </w:r>
            <w:r w:rsidRPr="0025250D">
              <w:rPr>
                <w:rtl/>
              </w:rPr>
              <w:t xml:space="preserve"> فناور</w:t>
            </w:r>
            <w:r w:rsidRPr="0025250D">
              <w:rPr>
                <w:rFonts w:hint="cs"/>
                <w:rtl/>
              </w:rPr>
              <w:t>ی</w:t>
            </w:r>
            <w:r w:rsidRPr="0025250D">
              <w:rPr>
                <w:rFonts w:hint="eastAsia"/>
                <w:rtl/>
              </w:rPr>
              <w:t>،</w:t>
            </w:r>
            <w:r w:rsidRPr="0025250D">
              <w:rPr>
                <w:rtl/>
              </w:rPr>
              <w:t xml:space="preserve"> توسعه پا</w:t>
            </w:r>
            <w:r w:rsidRPr="0025250D">
              <w:rPr>
                <w:rFonts w:hint="cs"/>
                <w:rtl/>
              </w:rPr>
              <w:t>ی</w:t>
            </w:r>
            <w:r w:rsidRPr="0025250D">
              <w:rPr>
                <w:rFonts w:hint="eastAsia"/>
                <w:rtl/>
              </w:rPr>
              <w:t>دار</w:t>
            </w:r>
            <w:r w:rsidRPr="0025250D">
              <w:rPr>
                <w:rtl/>
              </w:rPr>
              <w:t>. آلمان و جهان</w:t>
            </w:r>
            <w:r w:rsidRPr="0025250D">
              <w:rPr>
                <w:rFonts w:hint="cs"/>
                <w:rtl/>
              </w:rPr>
              <w:t>ی</w:t>
            </w:r>
            <w:r w:rsidRPr="0025250D">
              <w:rPr>
                <w:rtl/>
              </w:rPr>
              <w:t xml:space="preserve"> 30 کارمند</w:t>
            </w:r>
          </w:p>
        </w:tc>
        <w:tc>
          <w:tcPr>
            <w:tcW w:w="1497" w:type="dxa"/>
            <w:vAlign w:val="center"/>
          </w:tcPr>
          <w:p w14:paraId="6F4F1F5C" w14:textId="77777777" w:rsidR="00537CC8" w:rsidRPr="0025250D" w:rsidRDefault="00537CC8" w:rsidP="002925C9">
            <w:pPr>
              <w:bidi/>
              <w:spacing w:after="160"/>
              <w:jc w:val="center"/>
              <w:rPr>
                <w:rtl/>
              </w:rPr>
            </w:pPr>
            <w:r w:rsidRPr="0025250D">
              <w:rPr>
                <w:rtl/>
              </w:rPr>
              <w:t>1 (برل</w:t>
            </w:r>
            <w:r w:rsidRPr="0025250D">
              <w:rPr>
                <w:rFonts w:hint="cs"/>
                <w:rtl/>
              </w:rPr>
              <w:t>ی</w:t>
            </w:r>
            <w:r w:rsidRPr="0025250D">
              <w:rPr>
                <w:rFonts w:hint="eastAsia"/>
                <w:rtl/>
              </w:rPr>
              <w:t>ن،</w:t>
            </w:r>
            <w:r w:rsidRPr="0025250D">
              <w:rPr>
                <w:rtl/>
              </w:rPr>
              <w:t xml:space="preserve"> آلمان)</w:t>
            </w:r>
          </w:p>
        </w:tc>
      </w:tr>
      <w:tr w:rsidR="00537CC8" w:rsidRPr="0025250D" w14:paraId="298E1CAC" w14:textId="77777777" w:rsidTr="002925C9">
        <w:tc>
          <w:tcPr>
            <w:tcW w:w="2266" w:type="dxa"/>
            <w:vAlign w:val="center"/>
          </w:tcPr>
          <w:p w14:paraId="5D732AF9" w14:textId="77777777" w:rsidR="00537CC8" w:rsidRPr="0025250D" w:rsidRDefault="007A207F" w:rsidP="002925C9">
            <w:pPr>
              <w:bidi/>
              <w:spacing w:after="160"/>
              <w:jc w:val="center"/>
            </w:pPr>
            <w:hyperlink r:id="rId407">
              <w:r w:rsidR="00537CC8" w:rsidRPr="0025250D">
                <w:rPr>
                  <w:rStyle w:val="Hyperlink"/>
                  <w:color w:val="auto"/>
                  <w:u w:val="none"/>
                </w:rPr>
                <w:t>Institute for Innovation and Trend Research</w:t>
              </w:r>
            </w:hyperlink>
          </w:p>
        </w:tc>
        <w:tc>
          <w:tcPr>
            <w:tcW w:w="3597" w:type="dxa"/>
            <w:vAlign w:val="center"/>
          </w:tcPr>
          <w:p w14:paraId="264488FF" w14:textId="77777777" w:rsidR="00537CC8" w:rsidRPr="0025250D" w:rsidRDefault="00537CC8" w:rsidP="002925C9">
            <w:pPr>
              <w:bidi/>
              <w:spacing w:after="160"/>
              <w:jc w:val="center"/>
              <w:rPr>
                <w:rtl/>
              </w:rPr>
            </w:pPr>
            <w:r w:rsidRPr="0025250D">
              <w:rPr>
                <w:rtl/>
              </w:rPr>
              <w:t>نوآور</w:t>
            </w:r>
            <w:r w:rsidRPr="0025250D">
              <w:rPr>
                <w:rFonts w:hint="cs"/>
                <w:rtl/>
              </w:rPr>
              <w:t>ی</w:t>
            </w:r>
            <w:r w:rsidRPr="0025250D">
              <w:rPr>
                <w:rFonts w:hint="eastAsia"/>
                <w:rtl/>
              </w:rPr>
              <w:t>،</w:t>
            </w:r>
            <w:r w:rsidRPr="0025250D">
              <w:rPr>
                <w:rtl/>
              </w:rPr>
              <w:t xml:space="preserve"> روندها،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دانش، آموزش و مشاوره</w:t>
            </w:r>
          </w:p>
        </w:tc>
        <w:tc>
          <w:tcPr>
            <w:tcW w:w="1497" w:type="dxa"/>
            <w:vAlign w:val="center"/>
          </w:tcPr>
          <w:p w14:paraId="2E485FC0" w14:textId="77777777" w:rsidR="00537CC8" w:rsidRPr="0025250D" w:rsidRDefault="00537CC8" w:rsidP="002925C9">
            <w:pPr>
              <w:bidi/>
              <w:spacing w:after="160"/>
              <w:jc w:val="center"/>
              <w:rPr>
                <w:rtl/>
              </w:rPr>
            </w:pPr>
            <w:r w:rsidRPr="0025250D">
              <w:rPr>
                <w:rtl/>
              </w:rPr>
              <w:t>3 (گراتس، اتر</w:t>
            </w:r>
            <w:r w:rsidRPr="0025250D">
              <w:rPr>
                <w:rFonts w:hint="cs"/>
                <w:rtl/>
              </w:rPr>
              <w:t>ی</w:t>
            </w:r>
            <w:r w:rsidRPr="0025250D">
              <w:rPr>
                <w:rFonts w:hint="eastAsia"/>
                <w:rtl/>
              </w:rPr>
              <w:t>ش</w:t>
            </w:r>
            <w:r w:rsidRPr="0025250D">
              <w:rPr>
                <w:rtl/>
              </w:rPr>
              <w:t>)</w:t>
            </w:r>
          </w:p>
        </w:tc>
      </w:tr>
      <w:tr w:rsidR="00537CC8" w:rsidRPr="0025250D" w14:paraId="7806D6D2" w14:textId="77777777" w:rsidTr="002925C9">
        <w:tc>
          <w:tcPr>
            <w:tcW w:w="2266" w:type="dxa"/>
            <w:vAlign w:val="center"/>
          </w:tcPr>
          <w:p w14:paraId="4BEEB6BE" w14:textId="77777777" w:rsidR="00537CC8" w:rsidRPr="0025250D" w:rsidRDefault="007A207F" w:rsidP="002925C9">
            <w:pPr>
              <w:bidi/>
              <w:spacing w:after="160"/>
              <w:jc w:val="center"/>
            </w:pPr>
            <w:hyperlink r:id="rId408">
              <w:r w:rsidR="00537CC8" w:rsidRPr="0025250D">
                <w:rPr>
                  <w:rStyle w:val="Hyperlink"/>
                  <w:color w:val="auto"/>
                  <w:u w:val="none"/>
                </w:rPr>
                <w:t>Institute for Prospective Technological Studies</w:t>
              </w:r>
            </w:hyperlink>
          </w:p>
        </w:tc>
        <w:tc>
          <w:tcPr>
            <w:tcW w:w="3597" w:type="dxa"/>
            <w:vAlign w:val="center"/>
          </w:tcPr>
          <w:p w14:paraId="1FE58313" w14:textId="77777777" w:rsidR="00537CC8" w:rsidRPr="0025250D" w:rsidRDefault="00537CC8" w:rsidP="002925C9">
            <w:pPr>
              <w:bidi/>
              <w:spacing w:after="160"/>
              <w:jc w:val="center"/>
              <w:rPr>
                <w:rtl/>
              </w:rPr>
            </w:pPr>
            <w:r w:rsidRPr="0025250D">
              <w:rPr>
                <w:rtl/>
              </w:rPr>
              <w:t>مطالعات تحق</w:t>
            </w:r>
            <w:r w:rsidRPr="0025250D">
              <w:rPr>
                <w:rFonts w:hint="cs"/>
                <w:rtl/>
              </w:rPr>
              <w:t>ی</w:t>
            </w:r>
            <w:r w:rsidRPr="0025250D">
              <w:rPr>
                <w:rFonts w:hint="eastAsia"/>
                <w:rtl/>
              </w:rPr>
              <w:t>ق</w:t>
            </w:r>
            <w:r w:rsidRPr="0025250D">
              <w:rPr>
                <w:rtl/>
              </w:rPr>
              <w:t xml:space="preserve"> و توسعه فناور</w:t>
            </w:r>
            <w:r w:rsidRPr="0025250D">
              <w:rPr>
                <w:rFonts w:hint="cs"/>
                <w:rtl/>
              </w:rPr>
              <w:t>ی</w:t>
            </w:r>
            <w:r w:rsidRPr="0025250D">
              <w:rPr>
                <w:rtl/>
              </w:rPr>
              <w:t xml:space="preserve"> در حما</w:t>
            </w:r>
            <w:r w:rsidRPr="0025250D">
              <w:rPr>
                <w:rFonts w:hint="cs"/>
                <w:rtl/>
              </w:rPr>
              <w:t>ی</w:t>
            </w:r>
            <w:r w:rsidRPr="0025250D">
              <w:rPr>
                <w:rFonts w:hint="eastAsia"/>
                <w:rtl/>
              </w:rPr>
              <w:t>ت</w:t>
            </w:r>
            <w:r w:rsidRPr="0025250D">
              <w:rPr>
                <w:rtl/>
              </w:rPr>
              <w:t xml:space="preserve"> از س</w:t>
            </w:r>
            <w:r w:rsidRPr="0025250D">
              <w:rPr>
                <w:rFonts w:hint="cs"/>
                <w:rtl/>
              </w:rPr>
              <w:t>ی</w:t>
            </w:r>
            <w:r w:rsidRPr="0025250D">
              <w:rPr>
                <w:rFonts w:hint="eastAsia"/>
                <w:rtl/>
              </w:rPr>
              <w:t>است</w:t>
            </w:r>
            <w:r w:rsidRPr="0025250D">
              <w:rPr>
                <w:rtl/>
              </w:rPr>
              <w:t xml:space="preserve"> اتحاد</w:t>
            </w:r>
            <w:r w:rsidRPr="0025250D">
              <w:rPr>
                <w:rFonts w:hint="cs"/>
                <w:rtl/>
              </w:rPr>
              <w:t>ی</w:t>
            </w:r>
            <w:r w:rsidRPr="0025250D">
              <w:rPr>
                <w:rFonts w:hint="eastAsia"/>
                <w:rtl/>
              </w:rPr>
              <w:t>ه</w:t>
            </w:r>
            <w:r w:rsidRPr="0025250D">
              <w:rPr>
                <w:rtl/>
              </w:rPr>
              <w:t xml:space="preserve"> اروپا. مرکز تحق</w:t>
            </w:r>
            <w:r w:rsidRPr="0025250D">
              <w:rPr>
                <w:rFonts w:hint="cs"/>
                <w:rtl/>
              </w:rPr>
              <w:t>ی</w:t>
            </w:r>
            <w:r w:rsidRPr="0025250D">
              <w:rPr>
                <w:rFonts w:hint="eastAsia"/>
                <w:rtl/>
              </w:rPr>
              <w:t>قات</w:t>
            </w:r>
            <w:r w:rsidRPr="0025250D">
              <w:rPr>
                <w:rtl/>
              </w:rPr>
              <w:t xml:space="preserve"> مشترک اتحاد</w:t>
            </w:r>
            <w:r w:rsidRPr="0025250D">
              <w:rPr>
                <w:rFonts w:hint="cs"/>
                <w:rtl/>
              </w:rPr>
              <w:t>ی</w:t>
            </w:r>
            <w:r w:rsidRPr="0025250D">
              <w:rPr>
                <w:rFonts w:hint="eastAsia"/>
                <w:rtl/>
              </w:rPr>
              <w:t>ه</w:t>
            </w:r>
            <w:r w:rsidRPr="0025250D">
              <w:rPr>
                <w:rtl/>
              </w:rPr>
              <w:t xml:space="preserve"> اروپا</w:t>
            </w:r>
          </w:p>
        </w:tc>
        <w:tc>
          <w:tcPr>
            <w:tcW w:w="1497" w:type="dxa"/>
            <w:vAlign w:val="center"/>
          </w:tcPr>
          <w:p w14:paraId="42E22088" w14:textId="77777777" w:rsidR="00537CC8" w:rsidRPr="0025250D" w:rsidRDefault="00537CC8" w:rsidP="002925C9">
            <w:pPr>
              <w:bidi/>
              <w:spacing w:after="160"/>
              <w:jc w:val="center"/>
              <w:rPr>
                <w:rtl/>
              </w:rPr>
            </w:pPr>
            <w:r w:rsidRPr="0025250D">
              <w:rPr>
                <w:rtl/>
              </w:rPr>
              <w:t>3 (سو</w:t>
            </w:r>
            <w:r w:rsidRPr="0025250D">
              <w:rPr>
                <w:rFonts w:hint="cs"/>
                <w:rtl/>
              </w:rPr>
              <w:t>ی</w:t>
            </w:r>
            <w:r w:rsidRPr="0025250D">
              <w:rPr>
                <w:rFonts w:hint="eastAsia"/>
                <w:rtl/>
              </w:rPr>
              <w:t>ل</w:t>
            </w:r>
            <w:r w:rsidRPr="0025250D">
              <w:rPr>
                <w:rtl/>
              </w:rPr>
              <w:t xml:space="preserve"> اسپان</w:t>
            </w:r>
            <w:r w:rsidRPr="0025250D">
              <w:rPr>
                <w:rFonts w:hint="cs"/>
                <w:rtl/>
              </w:rPr>
              <w:t>ی</w:t>
            </w:r>
            <w:r w:rsidRPr="0025250D">
              <w:rPr>
                <w:rFonts w:hint="eastAsia"/>
                <w:rtl/>
              </w:rPr>
              <w:t>ا</w:t>
            </w:r>
            <w:r w:rsidRPr="0025250D">
              <w:rPr>
                <w:rtl/>
              </w:rPr>
              <w:t>)</w:t>
            </w:r>
          </w:p>
        </w:tc>
      </w:tr>
      <w:tr w:rsidR="00537CC8" w:rsidRPr="0025250D" w14:paraId="36B86D41" w14:textId="77777777" w:rsidTr="002925C9">
        <w:tc>
          <w:tcPr>
            <w:tcW w:w="2266" w:type="dxa"/>
            <w:vAlign w:val="center"/>
          </w:tcPr>
          <w:p w14:paraId="396C3931" w14:textId="77777777" w:rsidR="00537CC8" w:rsidRPr="0025250D" w:rsidRDefault="007A207F" w:rsidP="002925C9">
            <w:pPr>
              <w:bidi/>
              <w:spacing w:after="160"/>
              <w:jc w:val="center"/>
            </w:pPr>
            <w:hyperlink r:id="rId409">
              <w:r w:rsidR="00537CC8" w:rsidRPr="0025250D">
                <w:rPr>
                  <w:rStyle w:val="Hyperlink"/>
                  <w:color w:val="auto"/>
                  <w:u w:val="none"/>
                </w:rPr>
                <w:t>Institute for the Future</w:t>
              </w:r>
            </w:hyperlink>
          </w:p>
        </w:tc>
        <w:tc>
          <w:tcPr>
            <w:tcW w:w="3597" w:type="dxa"/>
            <w:vAlign w:val="center"/>
          </w:tcPr>
          <w:p w14:paraId="07DACCDE" w14:textId="77777777" w:rsidR="00537CC8" w:rsidRPr="0025250D" w:rsidRDefault="00537CC8" w:rsidP="002925C9">
            <w:pPr>
              <w:bidi/>
              <w:spacing w:after="160"/>
              <w:jc w:val="center"/>
              <w:rPr>
                <w:rtl/>
              </w:rPr>
            </w:pPr>
            <w:r w:rsidRPr="0025250D">
              <w:rPr>
                <w:rtl/>
              </w:rPr>
              <w:t>مار</w:t>
            </w:r>
            <w:r w:rsidRPr="0025250D">
              <w:rPr>
                <w:rFonts w:hint="cs"/>
                <w:rtl/>
              </w:rPr>
              <w:t>ی</w:t>
            </w:r>
            <w:r w:rsidRPr="0025250D">
              <w:rPr>
                <w:rFonts w:hint="eastAsia"/>
                <w:rtl/>
              </w:rPr>
              <w:t>نا</w:t>
            </w:r>
            <w:r w:rsidRPr="0025250D">
              <w:rPr>
                <w:rtl/>
              </w:rPr>
              <w:t xml:space="preserve"> گورب</w:t>
            </w:r>
            <w:r w:rsidRPr="0025250D">
              <w:rPr>
                <w:rFonts w:hint="cs"/>
                <w:rtl/>
              </w:rPr>
              <w:t>ی</w:t>
            </w:r>
            <w:r w:rsidRPr="0025250D">
              <w:rPr>
                <w:rFonts w:hint="eastAsia"/>
                <w:rtl/>
              </w:rPr>
              <w:t>س</w:t>
            </w:r>
            <w:r w:rsidRPr="0025250D">
              <w:rPr>
                <w:vertAlign w:val="superscript"/>
                <w:rtl/>
              </w:rPr>
              <w:footnoteReference w:id="3117"/>
            </w:r>
            <w:r w:rsidRPr="0025250D">
              <w:rPr>
                <w:rFonts w:hint="eastAsia"/>
                <w:rtl/>
              </w:rPr>
              <w:t>،</w:t>
            </w:r>
            <w:r w:rsidRPr="0025250D">
              <w:rPr>
                <w:rtl/>
              </w:rPr>
              <w:t xml:space="preserve"> باب </w:t>
            </w:r>
            <w:r w:rsidRPr="0025250D">
              <w:rPr>
                <w:rFonts w:hint="cs"/>
                <w:rtl/>
              </w:rPr>
              <w:t>ی</w:t>
            </w:r>
            <w:r w:rsidRPr="0025250D">
              <w:rPr>
                <w:rFonts w:hint="eastAsia"/>
                <w:rtl/>
              </w:rPr>
              <w:t>وهانسن</w:t>
            </w:r>
            <w:r w:rsidRPr="0025250D">
              <w:rPr>
                <w:vertAlign w:val="superscript"/>
                <w:rtl/>
              </w:rPr>
              <w:footnoteReference w:id="3118"/>
            </w:r>
            <w:r w:rsidRPr="0025250D">
              <w:rPr>
                <w:rFonts w:hint="eastAsia"/>
                <w:rtl/>
              </w:rPr>
              <w:t>؛</w:t>
            </w:r>
            <w:r w:rsidRPr="0025250D">
              <w:rPr>
                <w:rtl/>
              </w:rPr>
              <w:t xml:space="preserve"> شرکت پ</w:t>
            </w:r>
            <w:r w:rsidRPr="0025250D">
              <w:rPr>
                <w:rFonts w:hint="cs"/>
                <w:rtl/>
              </w:rPr>
              <w:t>ی</w:t>
            </w:r>
            <w:r w:rsidRPr="0025250D">
              <w:rPr>
                <w:rFonts w:hint="eastAsia"/>
                <w:rtl/>
              </w:rPr>
              <w:t>شگام</w:t>
            </w:r>
            <w:r w:rsidRPr="0025250D">
              <w:rPr>
                <w:rtl/>
              </w:rPr>
              <w:t xml:space="preserve"> آینده‌نگاری</w:t>
            </w:r>
            <w:r w:rsidRPr="0025250D">
              <w:rPr>
                <w:rFonts w:hint="eastAsia"/>
                <w:rtl/>
              </w:rPr>
              <w:t>،</w:t>
            </w:r>
            <w:r w:rsidRPr="0025250D">
              <w:rPr>
                <w:rtl/>
              </w:rPr>
              <w:t xml:space="preserve"> مخترع روش دلف</w:t>
            </w:r>
            <w:r w:rsidRPr="0025250D">
              <w:rPr>
                <w:rFonts w:hint="cs"/>
                <w:rtl/>
              </w:rPr>
              <w:t>ی</w:t>
            </w:r>
            <w:r w:rsidRPr="0025250D">
              <w:rPr>
                <w:rFonts w:hint="eastAsia"/>
                <w:rtl/>
              </w:rPr>
              <w:t>،</w:t>
            </w:r>
          </w:p>
        </w:tc>
        <w:tc>
          <w:tcPr>
            <w:tcW w:w="1497" w:type="dxa"/>
            <w:vAlign w:val="center"/>
          </w:tcPr>
          <w:p w14:paraId="6FF21FBC" w14:textId="77777777" w:rsidR="00537CC8" w:rsidRPr="0025250D" w:rsidRDefault="00537CC8" w:rsidP="002925C9">
            <w:pPr>
              <w:bidi/>
              <w:spacing w:after="160"/>
              <w:jc w:val="center"/>
              <w:rPr>
                <w:rtl/>
              </w:rPr>
            </w:pPr>
            <w:r w:rsidRPr="0025250D">
              <w:rPr>
                <w:rtl/>
              </w:rPr>
              <w:t>1 (پالو آلتو</w:t>
            </w:r>
            <w:r w:rsidRPr="0025250D">
              <w:rPr>
                <w:rFonts w:hint="cs"/>
                <w:rtl/>
              </w:rPr>
              <w:t>)</w:t>
            </w:r>
          </w:p>
        </w:tc>
      </w:tr>
      <w:tr w:rsidR="00537CC8" w:rsidRPr="0025250D" w14:paraId="6E36E954" w14:textId="77777777" w:rsidTr="002925C9">
        <w:tc>
          <w:tcPr>
            <w:tcW w:w="2266" w:type="dxa"/>
            <w:vAlign w:val="center"/>
          </w:tcPr>
          <w:p w14:paraId="5C441720" w14:textId="77777777" w:rsidR="00537CC8" w:rsidRPr="0025250D" w:rsidRDefault="007A207F" w:rsidP="002925C9">
            <w:pPr>
              <w:bidi/>
              <w:spacing w:after="160"/>
              <w:jc w:val="center"/>
            </w:pPr>
            <w:hyperlink r:id="rId410">
              <w:r w:rsidR="00537CC8" w:rsidRPr="0025250D">
                <w:rPr>
                  <w:rStyle w:val="Hyperlink"/>
                  <w:color w:val="auto"/>
                  <w:u w:val="none"/>
                </w:rPr>
                <w:t>International Data Corp (IDC)</w:t>
              </w:r>
            </w:hyperlink>
          </w:p>
        </w:tc>
        <w:tc>
          <w:tcPr>
            <w:tcW w:w="3597" w:type="dxa"/>
            <w:vAlign w:val="center"/>
          </w:tcPr>
          <w:p w14:paraId="3B380F86" w14:textId="77777777" w:rsidR="00537CC8" w:rsidRPr="0025250D" w:rsidRDefault="00537CC8" w:rsidP="002925C9">
            <w:pPr>
              <w:bidi/>
              <w:spacing w:after="160"/>
              <w:jc w:val="center"/>
              <w:rPr>
                <w:rtl/>
              </w:rPr>
            </w:pPr>
            <w:r w:rsidRPr="0025250D">
              <w:rPr>
                <w:rtl/>
              </w:rPr>
              <w:t>هوش بازار فناور</w:t>
            </w:r>
            <w:r w:rsidRPr="0025250D">
              <w:rPr>
                <w:rFonts w:hint="cs"/>
                <w:rtl/>
              </w:rPr>
              <w:t>ی</w:t>
            </w:r>
            <w:r w:rsidRPr="0025250D">
              <w:rPr>
                <w:rtl/>
              </w:rPr>
              <w:t xml:space="preserve"> اطلاعات، تحق</w:t>
            </w:r>
            <w:r w:rsidRPr="0025250D">
              <w:rPr>
                <w:rFonts w:hint="cs"/>
                <w:rtl/>
              </w:rPr>
              <w:t>ی</w:t>
            </w:r>
            <w:r w:rsidRPr="0025250D">
              <w:rPr>
                <w:rFonts w:hint="eastAsia"/>
                <w:rtl/>
              </w:rPr>
              <w:t>ق،</w:t>
            </w:r>
            <w:r w:rsidRPr="0025250D">
              <w:rPr>
                <w:rtl/>
              </w:rPr>
              <w:t xml:space="preserve"> تحل</w:t>
            </w:r>
            <w:r w:rsidRPr="0025250D">
              <w:rPr>
                <w:rFonts w:hint="cs"/>
                <w:rtl/>
              </w:rPr>
              <w:t>ی</w:t>
            </w:r>
            <w:r w:rsidRPr="0025250D">
              <w:rPr>
                <w:rFonts w:hint="eastAsia"/>
                <w:rtl/>
              </w:rPr>
              <w:t>ل</w:t>
            </w:r>
            <w:r w:rsidRPr="0025250D">
              <w:rPr>
                <w:rtl/>
              </w:rPr>
              <w:t xml:space="preserve"> و مشاوره.</w:t>
            </w:r>
          </w:p>
        </w:tc>
        <w:tc>
          <w:tcPr>
            <w:tcW w:w="1497" w:type="dxa"/>
            <w:vAlign w:val="center"/>
          </w:tcPr>
          <w:p w14:paraId="70B86CE8" w14:textId="77777777" w:rsidR="00537CC8" w:rsidRPr="0025250D" w:rsidRDefault="00537CC8" w:rsidP="002925C9">
            <w:pPr>
              <w:bidi/>
              <w:spacing w:after="160"/>
              <w:jc w:val="center"/>
              <w:rPr>
                <w:rtl/>
              </w:rPr>
            </w:pPr>
            <w:r w:rsidRPr="0025250D">
              <w:rPr>
                <w:rtl/>
              </w:rPr>
              <w:t>1 (سن متئو</w:t>
            </w:r>
            <w:r w:rsidRPr="0025250D">
              <w:rPr>
                <w:rFonts w:hint="cs"/>
                <w:rtl/>
              </w:rPr>
              <w:t>)</w:t>
            </w:r>
          </w:p>
        </w:tc>
      </w:tr>
      <w:tr w:rsidR="00537CC8" w:rsidRPr="0025250D" w14:paraId="4809B4A7" w14:textId="77777777" w:rsidTr="002925C9">
        <w:tc>
          <w:tcPr>
            <w:tcW w:w="2266" w:type="dxa"/>
            <w:vAlign w:val="center"/>
          </w:tcPr>
          <w:p w14:paraId="4BA22ED4" w14:textId="1809BBC7" w:rsidR="00537CC8" w:rsidRPr="0025250D" w:rsidRDefault="007A207F" w:rsidP="002925C9">
            <w:pPr>
              <w:bidi/>
              <w:spacing w:after="160"/>
              <w:jc w:val="center"/>
            </w:pPr>
            <w:hyperlink r:id="rId411">
              <w:r w:rsidR="00537CC8" w:rsidRPr="0025250D">
                <w:rPr>
                  <w:rStyle w:val="Hyperlink"/>
                  <w:color w:val="auto"/>
                  <w:u w:val="none"/>
                </w:rPr>
                <w:t>International Inst.</w:t>
              </w:r>
            </w:hyperlink>
            <w:r w:rsidR="008D6F97" w:rsidRPr="0025250D">
              <w:rPr>
                <w:rtl/>
              </w:rPr>
              <w:t xml:space="preserve"> </w:t>
            </w:r>
            <w:hyperlink r:id="rId412">
              <w:r w:rsidR="00537CC8" w:rsidRPr="0025250D">
                <w:rPr>
                  <w:rStyle w:val="Hyperlink"/>
                  <w:color w:val="auto"/>
                  <w:u w:val="none"/>
                </w:rPr>
                <w:t>for Applied Systems</w:t>
              </w:r>
            </w:hyperlink>
          </w:p>
          <w:p w14:paraId="27EB69D6" w14:textId="77777777" w:rsidR="00537CC8" w:rsidRPr="0025250D" w:rsidRDefault="007A207F" w:rsidP="002925C9">
            <w:pPr>
              <w:bidi/>
              <w:spacing w:after="160"/>
              <w:jc w:val="center"/>
              <w:rPr>
                <w:rtl/>
              </w:rPr>
            </w:pPr>
            <w:hyperlink r:id="rId413">
              <w:r w:rsidR="00537CC8" w:rsidRPr="0025250D">
                <w:rPr>
                  <w:rStyle w:val="Hyperlink"/>
                  <w:color w:val="auto"/>
                  <w:u w:val="none"/>
                </w:rPr>
                <w:t>Analysis</w:t>
              </w:r>
            </w:hyperlink>
          </w:p>
        </w:tc>
        <w:tc>
          <w:tcPr>
            <w:tcW w:w="3597" w:type="dxa"/>
            <w:vAlign w:val="center"/>
          </w:tcPr>
          <w:p w14:paraId="0D480306" w14:textId="77777777" w:rsidR="00537CC8" w:rsidRPr="0025250D" w:rsidRDefault="00537CC8" w:rsidP="002925C9">
            <w:pPr>
              <w:bidi/>
              <w:spacing w:after="160"/>
              <w:jc w:val="center"/>
              <w:rPr>
                <w:rtl/>
              </w:rPr>
            </w:pPr>
            <w:r w:rsidRPr="0025250D">
              <w:rPr>
                <w:rtl/>
              </w:rPr>
              <w:t>تحق</w:t>
            </w:r>
            <w:r w:rsidRPr="0025250D">
              <w:rPr>
                <w:rFonts w:hint="cs"/>
                <w:rtl/>
              </w:rPr>
              <w:t>ی</w:t>
            </w:r>
            <w:r w:rsidRPr="0025250D">
              <w:rPr>
                <w:rFonts w:hint="eastAsia"/>
                <w:rtl/>
              </w:rPr>
              <w:t>قات</w:t>
            </w:r>
            <w:r w:rsidRPr="0025250D">
              <w:rPr>
                <w:rtl/>
              </w:rPr>
              <w:t xml:space="preserve"> تغ</w:t>
            </w:r>
            <w:r w:rsidRPr="0025250D">
              <w:rPr>
                <w:rFonts w:hint="cs"/>
                <w:rtl/>
              </w:rPr>
              <w:t>یی</w:t>
            </w:r>
            <w:r w:rsidRPr="0025250D">
              <w:rPr>
                <w:rFonts w:hint="eastAsia"/>
                <w:rtl/>
              </w:rPr>
              <w:t>ر</w:t>
            </w:r>
            <w:r w:rsidRPr="0025250D">
              <w:rPr>
                <w:rtl/>
              </w:rPr>
              <w:t xml:space="preserve"> جهان</w:t>
            </w:r>
            <w:r w:rsidRPr="0025250D">
              <w:rPr>
                <w:rFonts w:hint="cs"/>
                <w:rtl/>
              </w:rPr>
              <w:t>ی</w:t>
            </w:r>
            <w:r w:rsidRPr="0025250D">
              <w:rPr>
                <w:rtl/>
              </w:rPr>
              <w:t xml:space="preserve"> و پ</w:t>
            </w:r>
            <w:r w:rsidRPr="0025250D">
              <w:rPr>
                <w:rFonts w:hint="cs"/>
                <w:rtl/>
              </w:rPr>
              <w:t>ی</w:t>
            </w:r>
            <w:r w:rsidRPr="0025250D">
              <w:rPr>
                <w:rFonts w:hint="eastAsia"/>
                <w:rtl/>
              </w:rPr>
              <w:t>چ</w:t>
            </w:r>
            <w:r w:rsidRPr="0025250D">
              <w:rPr>
                <w:rFonts w:hint="cs"/>
                <w:rtl/>
              </w:rPr>
              <w:t>ی</w:t>
            </w:r>
            <w:r w:rsidRPr="0025250D">
              <w:rPr>
                <w:rFonts w:hint="eastAsia"/>
                <w:rtl/>
              </w:rPr>
              <w:t>دگ</w:t>
            </w:r>
            <w:r w:rsidRPr="0025250D">
              <w:rPr>
                <w:rFonts w:hint="cs"/>
                <w:rtl/>
              </w:rPr>
              <w:t>ی</w:t>
            </w:r>
            <w:r w:rsidRPr="0025250D">
              <w:rPr>
                <w:rtl/>
              </w:rPr>
              <w:t xml:space="preserve"> مح</w:t>
            </w:r>
            <w:r w:rsidRPr="0025250D">
              <w:rPr>
                <w:rFonts w:hint="cs"/>
                <w:rtl/>
              </w:rPr>
              <w:t>ی</w:t>
            </w:r>
            <w:r w:rsidRPr="0025250D">
              <w:rPr>
                <w:rFonts w:hint="eastAsia"/>
                <w:rtl/>
              </w:rPr>
              <w:t>ط</w:t>
            </w:r>
            <w:r w:rsidRPr="0025250D">
              <w:rPr>
                <w:rtl/>
              </w:rPr>
              <w:t xml:space="preserve"> ز</w:t>
            </w:r>
            <w:r w:rsidRPr="0025250D">
              <w:rPr>
                <w:rFonts w:hint="cs"/>
                <w:rtl/>
              </w:rPr>
              <w:t>ی</w:t>
            </w:r>
            <w:r w:rsidRPr="0025250D">
              <w:rPr>
                <w:rFonts w:hint="eastAsia"/>
                <w:rtl/>
              </w:rPr>
              <w:t>ست،</w:t>
            </w:r>
            <w:r w:rsidRPr="0025250D">
              <w:rPr>
                <w:rtl/>
              </w:rPr>
              <w:t xml:space="preserve"> اقتصاد، فناور</w:t>
            </w:r>
            <w:r w:rsidRPr="0025250D">
              <w:rPr>
                <w:rFonts w:hint="cs"/>
                <w:rtl/>
              </w:rPr>
              <w:t>ی</w:t>
            </w:r>
            <w:r w:rsidRPr="0025250D">
              <w:rPr>
                <w:rtl/>
              </w:rPr>
              <w:t xml:space="preserve"> و جامعه.</w:t>
            </w:r>
          </w:p>
        </w:tc>
        <w:tc>
          <w:tcPr>
            <w:tcW w:w="1497" w:type="dxa"/>
            <w:vAlign w:val="center"/>
          </w:tcPr>
          <w:p w14:paraId="1EA8AD36" w14:textId="77777777" w:rsidR="00537CC8" w:rsidRPr="0025250D" w:rsidRDefault="00537CC8" w:rsidP="002925C9">
            <w:pPr>
              <w:bidi/>
              <w:spacing w:after="160"/>
              <w:jc w:val="center"/>
              <w:rPr>
                <w:rtl/>
              </w:rPr>
            </w:pPr>
            <w:r w:rsidRPr="0025250D">
              <w:rPr>
                <w:rtl/>
              </w:rPr>
              <w:t>1 (لاکزنبورگ، اتر</w:t>
            </w:r>
            <w:r w:rsidRPr="0025250D">
              <w:rPr>
                <w:rFonts w:hint="cs"/>
                <w:rtl/>
              </w:rPr>
              <w:t>ی</w:t>
            </w:r>
            <w:r w:rsidRPr="0025250D">
              <w:rPr>
                <w:rFonts w:hint="eastAsia"/>
                <w:rtl/>
              </w:rPr>
              <w:t>ش</w:t>
            </w:r>
            <w:r w:rsidRPr="0025250D">
              <w:rPr>
                <w:rtl/>
              </w:rPr>
              <w:t>)</w:t>
            </w:r>
          </w:p>
        </w:tc>
      </w:tr>
      <w:tr w:rsidR="00537CC8" w:rsidRPr="0025250D" w14:paraId="5912DAD7" w14:textId="77777777" w:rsidTr="002925C9">
        <w:tc>
          <w:tcPr>
            <w:tcW w:w="2266" w:type="dxa"/>
            <w:vAlign w:val="center"/>
          </w:tcPr>
          <w:p w14:paraId="376441CF" w14:textId="77777777" w:rsidR="00537CC8" w:rsidRPr="0025250D" w:rsidRDefault="007A207F" w:rsidP="002925C9">
            <w:pPr>
              <w:bidi/>
              <w:spacing w:after="160"/>
              <w:jc w:val="center"/>
            </w:pPr>
            <w:hyperlink r:id="rId414">
              <w:r w:rsidR="00537CC8" w:rsidRPr="0025250D">
                <w:rPr>
                  <w:rStyle w:val="Hyperlink"/>
                  <w:color w:val="auto"/>
                  <w:u w:val="none"/>
                </w:rPr>
                <w:t>Inventta</w:t>
              </w:r>
            </w:hyperlink>
          </w:p>
        </w:tc>
        <w:tc>
          <w:tcPr>
            <w:tcW w:w="3597" w:type="dxa"/>
            <w:vAlign w:val="center"/>
          </w:tcPr>
          <w:p w14:paraId="1C3D858F" w14:textId="77777777" w:rsidR="00537CC8" w:rsidRPr="0025250D" w:rsidRDefault="00537CC8" w:rsidP="002925C9">
            <w:pPr>
              <w:bidi/>
              <w:spacing w:after="160"/>
              <w:jc w:val="center"/>
              <w:rPr>
                <w:rtl/>
              </w:rPr>
            </w:pPr>
            <w:r w:rsidRPr="0025250D">
              <w:rPr>
                <w:rtl/>
              </w:rPr>
              <w:t>برونو مور</w:t>
            </w:r>
            <w:r w:rsidRPr="0025250D">
              <w:rPr>
                <w:rFonts w:hint="cs"/>
                <w:rtl/>
              </w:rPr>
              <w:t>ی</w:t>
            </w:r>
            <w:r w:rsidRPr="0025250D">
              <w:rPr>
                <w:rFonts w:hint="eastAsia"/>
                <w:rtl/>
              </w:rPr>
              <w:t>را</w:t>
            </w:r>
            <w:r w:rsidRPr="0025250D">
              <w:rPr>
                <w:vertAlign w:val="superscript"/>
                <w:rtl/>
              </w:rPr>
              <w:footnoteReference w:id="3119"/>
            </w:r>
            <w:r w:rsidRPr="0025250D">
              <w:rPr>
                <w:rFonts w:hint="eastAsia"/>
                <w:rtl/>
              </w:rPr>
              <w:t>؛</w:t>
            </w:r>
            <w:r w:rsidRPr="0025250D">
              <w:rPr>
                <w:rtl/>
              </w:rPr>
              <w:t xml:space="preserve"> خدمات نوآور</w:t>
            </w:r>
            <w:r w:rsidRPr="0025250D">
              <w:rPr>
                <w:rFonts w:hint="cs"/>
                <w:rtl/>
              </w:rPr>
              <w:t>ی</w:t>
            </w:r>
            <w:r w:rsidRPr="0025250D">
              <w:rPr>
                <w:rFonts w:hint="eastAsia"/>
                <w:rtl/>
              </w:rPr>
              <w:t>،</w:t>
            </w:r>
            <w:r w:rsidRPr="0025250D">
              <w:rPr>
                <w:rtl/>
              </w:rPr>
              <w:t xml:space="preserve"> تحق</w:t>
            </w:r>
            <w:r w:rsidRPr="0025250D">
              <w:rPr>
                <w:rFonts w:hint="cs"/>
                <w:rtl/>
              </w:rPr>
              <w:t>ی</w:t>
            </w:r>
            <w:r w:rsidRPr="0025250D">
              <w:rPr>
                <w:rFonts w:hint="eastAsia"/>
                <w:rtl/>
              </w:rPr>
              <w:t>ق</w:t>
            </w:r>
            <w:r w:rsidRPr="0025250D">
              <w:rPr>
                <w:rtl/>
              </w:rPr>
              <w:t xml:space="preserve"> و توسعه و جذب سرما</w:t>
            </w:r>
            <w:r w:rsidRPr="0025250D">
              <w:rPr>
                <w:rFonts w:hint="cs"/>
                <w:rtl/>
              </w:rPr>
              <w:t>ی</w:t>
            </w:r>
            <w:r w:rsidRPr="0025250D">
              <w:rPr>
                <w:rFonts w:hint="eastAsia"/>
                <w:rtl/>
              </w:rPr>
              <w:t>ه</w:t>
            </w:r>
          </w:p>
        </w:tc>
        <w:tc>
          <w:tcPr>
            <w:tcW w:w="1497" w:type="dxa"/>
            <w:vAlign w:val="center"/>
          </w:tcPr>
          <w:p w14:paraId="7F396CE0" w14:textId="77777777" w:rsidR="00537CC8" w:rsidRPr="0025250D" w:rsidRDefault="00537CC8" w:rsidP="002925C9">
            <w:pPr>
              <w:bidi/>
              <w:spacing w:after="160"/>
              <w:jc w:val="center"/>
              <w:rPr>
                <w:rtl/>
              </w:rPr>
            </w:pPr>
            <w:r w:rsidRPr="0025250D">
              <w:rPr>
                <w:rtl/>
              </w:rPr>
              <w:t>2 (بلو هور</w:t>
            </w:r>
            <w:r w:rsidRPr="0025250D">
              <w:rPr>
                <w:rFonts w:hint="cs"/>
                <w:rtl/>
              </w:rPr>
              <w:t>ی</w:t>
            </w:r>
            <w:r w:rsidRPr="0025250D">
              <w:rPr>
                <w:rFonts w:hint="eastAsia"/>
                <w:rtl/>
              </w:rPr>
              <w:t>زونته</w:t>
            </w:r>
            <w:r w:rsidRPr="0025250D">
              <w:rPr>
                <w:rFonts w:hint="cs"/>
                <w:rtl/>
              </w:rPr>
              <w:t>)</w:t>
            </w:r>
          </w:p>
        </w:tc>
      </w:tr>
      <w:tr w:rsidR="00537CC8" w:rsidRPr="0025250D" w14:paraId="5B1998D6" w14:textId="77777777" w:rsidTr="002925C9">
        <w:tc>
          <w:tcPr>
            <w:tcW w:w="2266" w:type="dxa"/>
            <w:vAlign w:val="center"/>
          </w:tcPr>
          <w:p w14:paraId="4362418C" w14:textId="77777777" w:rsidR="00537CC8" w:rsidRPr="0025250D" w:rsidRDefault="007A207F" w:rsidP="002925C9">
            <w:pPr>
              <w:bidi/>
              <w:spacing w:after="160"/>
              <w:jc w:val="center"/>
            </w:pPr>
            <w:hyperlink r:id="rId415">
              <w:r w:rsidR="00537CC8" w:rsidRPr="0025250D">
                <w:rPr>
                  <w:rStyle w:val="Hyperlink"/>
                  <w:color w:val="auto"/>
                  <w:u w:val="none"/>
                </w:rPr>
                <w:t>Ipsos InnoQuest</w:t>
              </w:r>
            </w:hyperlink>
          </w:p>
        </w:tc>
        <w:tc>
          <w:tcPr>
            <w:tcW w:w="3597" w:type="dxa"/>
            <w:vAlign w:val="center"/>
          </w:tcPr>
          <w:p w14:paraId="2B7970BA" w14:textId="77777777" w:rsidR="00537CC8" w:rsidRPr="0025250D" w:rsidRDefault="00537CC8" w:rsidP="002925C9">
            <w:pPr>
              <w:bidi/>
              <w:spacing w:after="160"/>
              <w:jc w:val="center"/>
              <w:rPr>
                <w:rtl/>
              </w:rPr>
            </w:pPr>
            <w:r w:rsidRPr="0025250D">
              <w:rPr>
                <w:rtl/>
              </w:rPr>
              <w:t>پشت</w:t>
            </w:r>
            <w:r w:rsidRPr="0025250D">
              <w:rPr>
                <w:rFonts w:hint="cs"/>
                <w:rtl/>
              </w:rPr>
              <w:t>ی</w:t>
            </w:r>
            <w:r w:rsidRPr="0025250D">
              <w:rPr>
                <w:rFonts w:hint="eastAsia"/>
                <w:rtl/>
              </w:rPr>
              <w:t>بان</w:t>
            </w:r>
            <w:r w:rsidRPr="0025250D">
              <w:rPr>
                <w:rFonts w:hint="cs"/>
                <w:rtl/>
              </w:rPr>
              <w:t>ی</w:t>
            </w:r>
            <w:r w:rsidRPr="0025250D">
              <w:rPr>
                <w:rtl/>
              </w:rPr>
              <w:t xml:space="preserve"> از نوآور</w:t>
            </w:r>
            <w:r w:rsidRPr="0025250D">
              <w:rPr>
                <w:rFonts w:hint="cs"/>
                <w:rtl/>
              </w:rPr>
              <w:t>ی</w:t>
            </w:r>
            <w:r w:rsidRPr="0025250D">
              <w:rPr>
                <w:rFonts w:hint="eastAsia"/>
                <w:rtl/>
              </w:rPr>
              <w:t>،</w:t>
            </w:r>
            <w:r w:rsidRPr="0025250D">
              <w:rPr>
                <w:rtl/>
              </w:rPr>
              <w:t xml:space="preserve"> تحق</w:t>
            </w:r>
            <w:r w:rsidRPr="0025250D">
              <w:rPr>
                <w:rFonts w:hint="cs"/>
                <w:rtl/>
              </w:rPr>
              <w:t>ی</w:t>
            </w:r>
            <w:r w:rsidRPr="0025250D">
              <w:rPr>
                <w:rFonts w:hint="eastAsia"/>
                <w:rtl/>
              </w:rPr>
              <w:t>ق</w:t>
            </w:r>
            <w:r w:rsidRPr="0025250D">
              <w:rPr>
                <w:rtl/>
              </w:rPr>
              <w:t xml:space="preserve"> و توسعه محصول، بازرس</w:t>
            </w:r>
            <w:r w:rsidRPr="0025250D">
              <w:rPr>
                <w:rFonts w:hint="cs"/>
                <w:rtl/>
              </w:rPr>
              <w:t>ی</w:t>
            </w:r>
            <w:r w:rsidRPr="0025250D">
              <w:rPr>
                <w:rtl/>
              </w:rPr>
              <w:t xml:space="preserve"> بازار. 10000 </w:t>
            </w:r>
            <w:r w:rsidRPr="0025250D">
              <w:rPr>
                <w:rFonts w:hint="cs"/>
                <w:rtl/>
              </w:rPr>
              <w:t>کارمند</w:t>
            </w:r>
          </w:p>
        </w:tc>
        <w:tc>
          <w:tcPr>
            <w:tcW w:w="1497" w:type="dxa"/>
            <w:vAlign w:val="center"/>
          </w:tcPr>
          <w:p w14:paraId="6CE65361" w14:textId="77777777" w:rsidR="00537CC8" w:rsidRPr="0025250D" w:rsidRDefault="00537CC8" w:rsidP="002925C9">
            <w:pPr>
              <w:bidi/>
              <w:spacing w:after="160"/>
              <w:jc w:val="center"/>
              <w:rPr>
                <w:rtl/>
              </w:rPr>
            </w:pPr>
            <w:r w:rsidRPr="0025250D">
              <w:rPr>
                <w:rtl/>
              </w:rPr>
              <w:t>1 (ن</w:t>
            </w:r>
            <w:r w:rsidRPr="0025250D">
              <w:rPr>
                <w:rFonts w:hint="cs"/>
                <w:rtl/>
              </w:rPr>
              <w:t>ی</w:t>
            </w:r>
            <w:r w:rsidRPr="0025250D">
              <w:rPr>
                <w:rFonts w:hint="eastAsia"/>
                <w:rtl/>
              </w:rPr>
              <w:t>و</w:t>
            </w:r>
            <w:r w:rsidRPr="0025250D">
              <w:rPr>
                <w:rFonts w:hint="cs"/>
                <w:rtl/>
              </w:rPr>
              <w:t>ی</w:t>
            </w:r>
            <w:r w:rsidRPr="0025250D">
              <w:rPr>
                <w:rFonts w:hint="eastAsia"/>
                <w:rtl/>
              </w:rPr>
              <w:t>ورک</w:t>
            </w:r>
            <w:r w:rsidRPr="0025250D">
              <w:rPr>
                <w:rFonts w:hint="cs"/>
                <w:rtl/>
              </w:rPr>
              <w:t>)</w:t>
            </w:r>
          </w:p>
        </w:tc>
      </w:tr>
      <w:tr w:rsidR="00537CC8" w:rsidRPr="0025250D" w14:paraId="0D01DE6F" w14:textId="77777777" w:rsidTr="002925C9">
        <w:tc>
          <w:tcPr>
            <w:tcW w:w="2266" w:type="dxa"/>
            <w:vAlign w:val="center"/>
          </w:tcPr>
          <w:p w14:paraId="00093977" w14:textId="77777777" w:rsidR="00537CC8" w:rsidRPr="0025250D" w:rsidRDefault="007A207F" w:rsidP="002925C9">
            <w:pPr>
              <w:bidi/>
              <w:spacing w:after="160"/>
              <w:jc w:val="center"/>
            </w:pPr>
            <w:hyperlink r:id="rId416">
              <w:r w:rsidR="00537CC8" w:rsidRPr="0025250D">
                <w:rPr>
                  <w:rStyle w:val="Hyperlink"/>
                  <w:color w:val="auto"/>
                  <w:u w:val="none"/>
                </w:rPr>
                <w:t>Kairos Future</w:t>
              </w:r>
            </w:hyperlink>
          </w:p>
        </w:tc>
        <w:tc>
          <w:tcPr>
            <w:tcW w:w="3597" w:type="dxa"/>
            <w:vAlign w:val="center"/>
          </w:tcPr>
          <w:p w14:paraId="7CEE3709" w14:textId="74EC6678" w:rsidR="00537CC8" w:rsidRPr="0025250D" w:rsidRDefault="00537CC8" w:rsidP="002925C9">
            <w:pPr>
              <w:bidi/>
              <w:spacing w:after="160"/>
              <w:jc w:val="center"/>
              <w:rPr>
                <w:rtl/>
              </w:rPr>
            </w:pPr>
            <w:r w:rsidRPr="0025250D">
              <w:rPr>
                <w:rtl/>
              </w:rPr>
              <w:t>اولف بومان</w:t>
            </w:r>
            <w:r w:rsidRPr="0025250D">
              <w:rPr>
                <w:vertAlign w:val="superscript"/>
                <w:rtl/>
              </w:rPr>
              <w:footnoteReference w:id="3120"/>
            </w:r>
            <w:r w:rsidRPr="0025250D">
              <w:rPr>
                <w:rtl/>
              </w:rPr>
              <w:t>، متس ل</w:t>
            </w:r>
            <w:r w:rsidRPr="0025250D">
              <w:rPr>
                <w:rFonts w:hint="cs"/>
                <w:rtl/>
              </w:rPr>
              <w:t>ی</w:t>
            </w:r>
            <w:r w:rsidRPr="0025250D">
              <w:rPr>
                <w:rFonts w:hint="eastAsia"/>
                <w:rtl/>
              </w:rPr>
              <w:t>ندگرن</w:t>
            </w:r>
            <w:r w:rsidRPr="0025250D">
              <w:rPr>
                <w:vertAlign w:val="superscript"/>
                <w:rtl/>
              </w:rPr>
              <w:footnoteReference w:id="3121"/>
            </w:r>
            <w:r w:rsidRPr="0025250D">
              <w:rPr>
                <w:rFonts w:hint="eastAsia"/>
                <w:rtl/>
              </w:rPr>
              <w:t>،</w:t>
            </w:r>
            <w:r w:rsidRPr="0025250D">
              <w:rPr>
                <w:rtl/>
              </w:rPr>
              <w:t xml:space="preserve"> ار</w:t>
            </w:r>
            <w:r w:rsidRPr="0025250D">
              <w:rPr>
                <w:rFonts w:hint="cs"/>
                <w:rtl/>
              </w:rPr>
              <w:t>ی</w:t>
            </w:r>
            <w:r w:rsidRPr="0025250D">
              <w:rPr>
                <w:rFonts w:hint="eastAsia"/>
                <w:rtl/>
              </w:rPr>
              <w:t>ک</w:t>
            </w:r>
            <w:r w:rsidRPr="0025250D">
              <w:rPr>
                <w:rtl/>
              </w:rPr>
              <w:t xml:space="preserve"> هرنگرن</w:t>
            </w:r>
            <w:r w:rsidRPr="0025250D">
              <w:rPr>
                <w:vertAlign w:val="superscript"/>
                <w:rtl/>
              </w:rPr>
              <w:footnoteReference w:id="3122"/>
            </w:r>
            <w:r w:rsidRPr="0025250D">
              <w:rPr>
                <w:rtl/>
              </w:rPr>
              <w:t>؛ مشاوره جهان</w:t>
            </w:r>
            <w:r w:rsidRPr="0025250D">
              <w:rPr>
                <w:rFonts w:hint="cs"/>
                <w:rtl/>
              </w:rPr>
              <w:t>ی</w:t>
            </w:r>
            <w:r w:rsidRPr="0025250D">
              <w:rPr>
                <w:rtl/>
              </w:rPr>
              <w:t xml:space="preserve"> آینده‌نگاری</w:t>
            </w:r>
            <w:r w:rsidRPr="0025250D">
              <w:rPr>
                <w:rFonts w:hint="eastAsia"/>
                <w:rtl/>
              </w:rPr>
              <w:t>،</w:t>
            </w:r>
            <w:r w:rsidRPr="0025250D">
              <w:rPr>
                <w:rtl/>
              </w:rPr>
              <w:t xml:space="preserve"> تحق</w:t>
            </w:r>
            <w:r w:rsidRPr="0025250D">
              <w:rPr>
                <w:rFonts w:hint="cs"/>
                <w:rtl/>
              </w:rPr>
              <w:t>ی</w:t>
            </w:r>
            <w:r w:rsidRPr="0025250D">
              <w:rPr>
                <w:rFonts w:hint="eastAsia"/>
                <w:rtl/>
              </w:rPr>
              <w:t>ق،</w:t>
            </w:r>
            <w:r w:rsidRPr="0025250D">
              <w:rPr>
                <w:rtl/>
              </w:rPr>
              <w:t xml:space="preserve"> روندها، </w:t>
            </w:r>
            <w:r w:rsidR="007A53FD" w:rsidRPr="0025250D">
              <w:rPr>
                <w:rtl/>
              </w:rPr>
              <w:t>فرانامه</w:t>
            </w:r>
            <w:r w:rsidRPr="0025250D">
              <w:rPr>
                <w:rFonts w:hint="eastAsia"/>
                <w:rtl/>
              </w:rPr>
              <w:t>ها،</w:t>
            </w:r>
            <w:r w:rsidRPr="0025250D">
              <w:rPr>
                <w:rtl/>
              </w:rPr>
              <w:t xml:space="preserve"> </w:t>
            </w:r>
            <w:r w:rsidR="00701E03" w:rsidRPr="0025250D">
              <w:rPr>
                <w:rtl/>
              </w:rPr>
              <w:t>راهبرد</w:t>
            </w:r>
            <w:r w:rsidRPr="0025250D">
              <w:rPr>
                <w:rFonts w:hint="eastAsia"/>
                <w:rtl/>
              </w:rPr>
              <w:t>،</w:t>
            </w:r>
            <w:r w:rsidRPr="0025250D">
              <w:rPr>
                <w:rtl/>
              </w:rPr>
              <w:t xml:space="preserve"> نوآور</w:t>
            </w:r>
            <w:r w:rsidRPr="0025250D">
              <w:rPr>
                <w:rFonts w:hint="cs"/>
                <w:rtl/>
              </w:rPr>
              <w:t>ی</w:t>
            </w:r>
            <w:r w:rsidRPr="0025250D">
              <w:rPr>
                <w:rtl/>
              </w:rPr>
              <w:t>.</w:t>
            </w:r>
          </w:p>
        </w:tc>
        <w:tc>
          <w:tcPr>
            <w:tcW w:w="1497" w:type="dxa"/>
            <w:vAlign w:val="center"/>
          </w:tcPr>
          <w:p w14:paraId="59C245F0" w14:textId="77777777" w:rsidR="00537CC8" w:rsidRPr="0025250D" w:rsidRDefault="00537CC8" w:rsidP="002925C9">
            <w:pPr>
              <w:bidi/>
              <w:spacing w:after="160"/>
              <w:jc w:val="center"/>
              <w:rPr>
                <w:rtl/>
              </w:rPr>
            </w:pPr>
            <w:r w:rsidRPr="0025250D">
              <w:rPr>
                <w:rtl/>
              </w:rPr>
              <w:t>1 (استکهلم، سوئد)</w:t>
            </w:r>
          </w:p>
        </w:tc>
      </w:tr>
      <w:tr w:rsidR="00537CC8" w:rsidRPr="0025250D" w14:paraId="2F0645B4" w14:textId="77777777" w:rsidTr="002925C9">
        <w:tc>
          <w:tcPr>
            <w:tcW w:w="2266" w:type="dxa"/>
            <w:vAlign w:val="center"/>
          </w:tcPr>
          <w:p w14:paraId="1BBEFE6D" w14:textId="77777777" w:rsidR="00537CC8" w:rsidRPr="0025250D" w:rsidRDefault="007A207F" w:rsidP="002925C9">
            <w:pPr>
              <w:bidi/>
              <w:spacing w:after="160"/>
              <w:jc w:val="center"/>
            </w:pPr>
            <w:hyperlink r:id="rId417">
              <w:r w:rsidR="00537CC8" w:rsidRPr="0025250D">
                <w:rPr>
                  <w:rStyle w:val="Hyperlink"/>
                  <w:color w:val="auto"/>
                  <w:u w:val="none"/>
                </w:rPr>
                <w:t>Kauﬀman Foundation</w:t>
              </w:r>
            </w:hyperlink>
          </w:p>
        </w:tc>
        <w:tc>
          <w:tcPr>
            <w:tcW w:w="3597" w:type="dxa"/>
            <w:vAlign w:val="center"/>
          </w:tcPr>
          <w:p w14:paraId="0933549F" w14:textId="77777777" w:rsidR="00537CC8" w:rsidRPr="0025250D" w:rsidRDefault="00537CC8" w:rsidP="002925C9">
            <w:pPr>
              <w:bidi/>
              <w:spacing w:after="160"/>
              <w:jc w:val="center"/>
              <w:rPr>
                <w:rtl/>
              </w:rPr>
            </w:pPr>
            <w:r w:rsidRPr="0025250D">
              <w:rPr>
                <w:rtl/>
              </w:rPr>
              <w:t>پ</w:t>
            </w:r>
            <w:r w:rsidRPr="0025250D">
              <w:rPr>
                <w:rFonts w:hint="cs"/>
                <w:rtl/>
              </w:rPr>
              <w:t>ی</w:t>
            </w:r>
            <w:r w:rsidRPr="0025250D">
              <w:rPr>
                <w:rFonts w:hint="eastAsia"/>
                <w:rtl/>
              </w:rPr>
              <w:t>شرو</w:t>
            </w:r>
            <w:r w:rsidRPr="0025250D">
              <w:rPr>
                <w:rtl/>
              </w:rPr>
              <w:t xml:space="preserve"> در پ</w:t>
            </w:r>
            <w:r w:rsidRPr="0025250D">
              <w:rPr>
                <w:rFonts w:hint="cs"/>
                <w:rtl/>
              </w:rPr>
              <w:t>ی</w:t>
            </w:r>
            <w:r w:rsidRPr="0025250D">
              <w:rPr>
                <w:rFonts w:hint="eastAsia"/>
                <w:rtl/>
              </w:rPr>
              <w:t>شرو</w:t>
            </w:r>
            <w:r w:rsidRPr="0025250D">
              <w:rPr>
                <w:rFonts w:hint="cs"/>
                <w:rtl/>
              </w:rPr>
              <w:t>ی</w:t>
            </w:r>
            <w:r w:rsidRPr="0025250D">
              <w:rPr>
                <w:rtl/>
              </w:rPr>
              <w:t xml:space="preserve"> کارآفر</w:t>
            </w:r>
            <w:r w:rsidRPr="0025250D">
              <w:rPr>
                <w:rFonts w:hint="cs"/>
                <w:rtl/>
              </w:rPr>
              <w:t>ی</w:t>
            </w:r>
            <w:r w:rsidRPr="0025250D">
              <w:rPr>
                <w:rFonts w:hint="eastAsia"/>
                <w:rtl/>
              </w:rPr>
              <w:t>ن</w:t>
            </w:r>
            <w:r w:rsidRPr="0025250D">
              <w:rPr>
                <w:rFonts w:hint="cs"/>
                <w:rtl/>
              </w:rPr>
              <w:t>ی</w:t>
            </w:r>
            <w:r w:rsidRPr="0025250D">
              <w:rPr>
                <w:rtl/>
              </w:rPr>
              <w:t xml:space="preserve"> غ</w:t>
            </w:r>
            <w:r w:rsidRPr="0025250D">
              <w:rPr>
                <w:rFonts w:hint="cs"/>
                <w:rtl/>
              </w:rPr>
              <w:t>ی</w:t>
            </w:r>
            <w:r w:rsidRPr="0025250D">
              <w:rPr>
                <w:rFonts w:hint="eastAsia"/>
                <w:rtl/>
              </w:rPr>
              <w:t>رانتفاع</w:t>
            </w:r>
            <w:r w:rsidRPr="0025250D">
              <w:rPr>
                <w:rFonts w:hint="cs"/>
                <w:rtl/>
              </w:rPr>
              <w:t>ی</w:t>
            </w:r>
            <w:r w:rsidRPr="0025250D">
              <w:rPr>
                <w:rtl/>
              </w:rPr>
              <w:t xml:space="preserve"> ا</w:t>
            </w:r>
            <w:r w:rsidRPr="0025250D">
              <w:rPr>
                <w:rFonts w:hint="cs"/>
                <w:rtl/>
              </w:rPr>
              <w:t>ی</w:t>
            </w:r>
            <w:r w:rsidRPr="0025250D">
              <w:rPr>
                <w:rFonts w:hint="eastAsia"/>
                <w:rtl/>
              </w:rPr>
              <w:t>الات</w:t>
            </w:r>
            <w:r w:rsidRPr="0025250D">
              <w:rPr>
                <w:rtl/>
              </w:rPr>
              <w:t xml:space="preserve"> متحده.</w:t>
            </w:r>
          </w:p>
        </w:tc>
        <w:tc>
          <w:tcPr>
            <w:tcW w:w="1497" w:type="dxa"/>
            <w:vAlign w:val="center"/>
          </w:tcPr>
          <w:p w14:paraId="11421402" w14:textId="77777777" w:rsidR="00537CC8" w:rsidRPr="0025250D" w:rsidRDefault="00537CC8" w:rsidP="002925C9">
            <w:pPr>
              <w:bidi/>
              <w:spacing w:after="160"/>
              <w:jc w:val="center"/>
              <w:rPr>
                <w:rtl/>
              </w:rPr>
            </w:pPr>
            <w:r w:rsidRPr="0025250D">
              <w:rPr>
                <w:rtl/>
              </w:rPr>
              <w:t>1 (کانزاس س</w:t>
            </w:r>
            <w:r w:rsidRPr="0025250D">
              <w:rPr>
                <w:rFonts w:hint="cs"/>
                <w:rtl/>
              </w:rPr>
              <w:t>ی</w:t>
            </w:r>
            <w:r w:rsidRPr="0025250D">
              <w:rPr>
                <w:rFonts w:hint="eastAsia"/>
                <w:rtl/>
              </w:rPr>
              <w:t>ت</w:t>
            </w:r>
            <w:r w:rsidRPr="0025250D">
              <w:rPr>
                <w:rFonts w:hint="cs"/>
                <w:rtl/>
              </w:rPr>
              <w:t>ی)</w:t>
            </w:r>
          </w:p>
        </w:tc>
      </w:tr>
      <w:tr w:rsidR="00537CC8" w:rsidRPr="0025250D" w14:paraId="0EF3BC89" w14:textId="77777777" w:rsidTr="002925C9">
        <w:tc>
          <w:tcPr>
            <w:tcW w:w="2266" w:type="dxa"/>
            <w:vAlign w:val="center"/>
          </w:tcPr>
          <w:p w14:paraId="1EACCDFA" w14:textId="77777777" w:rsidR="00537CC8" w:rsidRPr="0025250D" w:rsidRDefault="007A207F" w:rsidP="002925C9">
            <w:pPr>
              <w:bidi/>
              <w:spacing w:after="160"/>
              <w:jc w:val="center"/>
            </w:pPr>
            <w:hyperlink r:id="rId418">
              <w:r w:rsidR="00537CC8" w:rsidRPr="0025250D">
                <w:rPr>
                  <w:rStyle w:val="Hyperlink"/>
                  <w:color w:val="auto"/>
                  <w:u w:val="none"/>
                </w:rPr>
                <w:t>Kinetic Cafe</w:t>
              </w:r>
            </w:hyperlink>
          </w:p>
        </w:tc>
        <w:tc>
          <w:tcPr>
            <w:tcW w:w="3597" w:type="dxa"/>
            <w:vAlign w:val="center"/>
          </w:tcPr>
          <w:p w14:paraId="6666C383" w14:textId="35524CC3" w:rsidR="00537CC8" w:rsidRPr="0025250D" w:rsidRDefault="00537CC8" w:rsidP="002925C9">
            <w:pPr>
              <w:bidi/>
              <w:spacing w:after="160"/>
              <w:jc w:val="center"/>
              <w:rPr>
                <w:rtl/>
              </w:rPr>
            </w:pPr>
            <w:r w:rsidRPr="0025250D">
              <w:rPr>
                <w:rtl/>
              </w:rPr>
              <w:t>مت</w:t>
            </w:r>
            <w:r w:rsidRPr="0025250D">
              <w:rPr>
                <w:rFonts w:hint="cs"/>
                <w:rtl/>
              </w:rPr>
              <w:t>ی</w:t>
            </w:r>
            <w:r w:rsidRPr="0025250D">
              <w:rPr>
                <w:rFonts w:hint="eastAsia"/>
                <w:rtl/>
              </w:rPr>
              <w:t>و</w:t>
            </w:r>
            <w:r w:rsidRPr="0025250D">
              <w:rPr>
                <w:rtl/>
              </w:rPr>
              <w:t xml:space="preserve"> ل</w:t>
            </w:r>
            <w:r w:rsidRPr="0025250D">
              <w:rPr>
                <w:rFonts w:hint="cs"/>
                <w:rtl/>
              </w:rPr>
              <w:t>ی</w:t>
            </w:r>
            <w:r w:rsidRPr="0025250D">
              <w:rPr>
                <w:rFonts w:hint="eastAsia"/>
                <w:rtl/>
              </w:rPr>
              <w:t>نسز</w:t>
            </w:r>
            <w:r w:rsidRPr="0025250D">
              <w:rPr>
                <w:vertAlign w:val="superscript"/>
                <w:rtl/>
              </w:rPr>
              <w:footnoteReference w:id="3123"/>
            </w:r>
            <w:r w:rsidRPr="0025250D">
              <w:rPr>
                <w:rFonts w:hint="cs"/>
                <w:rtl/>
              </w:rPr>
              <w:t>؛</w:t>
            </w:r>
            <w:r w:rsidRPr="0025250D">
              <w:rPr>
                <w:rtl/>
              </w:rPr>
              <w:t xml:space="preserve"> نوآور</w:t>
            </w:r>
            <w:r w:rsidRPr="0025250D">
              <w:rPr>
                <w:rFonts w:hint="cs"/>
                <w:rtl/>
              </w:rPr>
              <w:t>ی</w:t>
            </w:r>
            <w:r w:rsidRPr="0025250D">
              <w:rPr>
                <w:rFonts w:hint="eastAsia"/>
                <w:rtl/>
              </w:rPr>
              <w:t>،</w:t>
            </w:r>
            <w:r w:rsidRPr="0025250D">
              <w:rPr>
                <w:rtl/>
              </w:rPr>
              <w:t xml:space="preserve"> آینده‌</w:t>
            </w:r>
            <w:r w:rsidR="00664E33" w:rsidRPr="0025250D">
              <w:rPr>
                <w:rtl/>
              </w:rPr>
              <w:t>نگار</w:t>
            </w:r>
            <w:r w:rsidRPr="0025250D">
              <w:rPr>
                <w:rtl/>
              </w:rPr>
              <w:t xml:space="preserve">ی </w:t>
            </w:r>
            <w:r w:rsidR="00701E03" w:rsidRPr="0025250D">
              <w:rPr>
                <w:rtl/>
              </w:rPr>
              <w:t>راهبردی</w:t>
            </w:r>
            <w:r w:rsidRPr="0025250D">
              <w:rPr>
                <w:rFonts w:hint="eastAsia"/>
                <w:rtl/>
              </w:rPr>
              <w:t>،</w:t>
            </w:r>
            <w:r w:rsidRPr="0025250D">
              <w:rPr>
                <w:rtl/>
              </w:rPr>
              <w:t xml:space="preserve"> توسعه فناور</w:t>
            </w:r>
            <w:r w:rsidRPr="0025250D">
              <w:rPr>
                <w:rFonts w:hint="cs"/>
                <w:rtl/>
              </w:rPr>
              <w:t>ی</w:t>
            </w:r>
            <w:r w:rsidRPr="0025250D">
              <w:rPr>
                <w:rtl/>
              </w:rPr>
              <w:t xml:space="preserve"> اطلاعات</w:t>
            </w:r>
          </w:p>
        </w:tc>
        <w:tc>
          <w:tcPr>
            <w:tcW w:w="1497" w:type="dxa"/>
            <w:vAlign w:val="center"/>
          </w:tcPr>
          <w:p w14:paraId="0F6774AD" w14:textId="77777777" w:rsidR="00537CC8" w:rsidRPr="0025250D" w:rsidRDefault="00537CC8" w:rsidP="002925C9">
            <w:pPr>
              <w:bidi/>
              <w:spacing w:after="160"/>
              <w:jc w:val="center"/>
              <w:rPr>
                <w:rtl/>
              </w:rPr>
            </w:pPr>
            <w:r w:rsidRPr="0025250D">
              <w:rPr>
                <w:rtl/>
              </w:rPr>
              <w:t>1 (تورنتو</w:t>
            </w:r>
            <w:r w:rsidRPr="0025250D">
              <w:rPr>
                <w:rFonts w:hint="cs"/>
                <w:rtl/>
              </w:rPr>
              <w:t>)</w:t>
            </w:r>
          </w:p>
        </w:tc>
      </w:tr>
      <w:tr w:rsidR="00537CC8" w:rsidRPr="0025250D" w14:paraId="33DD7D16" w14:textId="77777777" w:rsidTr="002925C9">
        <w:tc>
          <w:tcPr>
            <w:tcW w:w="2266" w:type="dxa"/>
            <w:vAlign w:val="center"/>
          </w:tcPr>
          <w:p w14:paraId="37948346" w14:textId="77777777" w:rsidR="00537CC8" w:rsidRPr="0025250D" w:rsidRDefault="007A207F" w:rsidP="002925C9">
            <w:pPr>
              <w:bidi/>
              <w:spacing w:after="160"/>
              <w:jc w:val="center"/>
            </w:pPr>
            <w:hyperlink r:id="rId419">
              <w:r w:rsidR="00537CC8" w:rsidRPr="0025250D">
                <w:rPr>
                  <w:rStyle w:val="Hyperlink"/>
                  <w:color w:val="auto"/>
                  <w:u w:val="none"/>
                </w:rPr>
                <w:t>Kjaer Global</w:t>
              </w:r>
            </w:hyperlink>
          </w:p>
        </w:tc>
        <w:tc>
          <w:tcPr>
            <w:tcW w:w="3597" w:type="dxa"/>
            <w:vAlign w:val="center"/>
          </w:tcPr>
          <w:p w14:paraId="577CF469" w14:textId="77777777" w:rsidR="00537CC8" w:rsidRPr="0025250D" w:rsidRDefault="00537CC8" w:rsidP="002925C9">
            <w:pPr>
              <w:bidi/>
              <w:spacing w:after="160"/>
              <w:jc w:val="center"/>
              <w:rPr>
                <w:rtl/>
              </w:rPr>
            </w:pPr>
            <w:r w:rsidRPr="0025250D">
              <w:rPr>
                <w:rtl/>
              </w:rPr>
              <w:t>آن ل</w:t>
            </w:r>
            <w:r w:rsidRPr="0025250D">
              <w:rPr>
                <w:rFonts w:hint="cs"/>
                <w:rtl/>
              </w:rPr>
              <w:t>ی</w:t>
            </w:r>
            <w:r w:rsidRPr="0025250D">
              <w:rPr>
                <w:rFonts w:hint="eastAsia"/>
                <w:rtl/>
              </w:rPr>
              <w:t>ز</w:t>
            </w:r>
            <w:r w:rsidRPr="0025250D">
              <w:rPr>
                <w:rtl/>
              </w:rPr>
              <w:t xml:space="preserve"> ک</w:t>
            </w:r>
            <w:r w:rsidRPr="0025250D">
              <w:rPr>
                <w:rFonts w:hint="cs"/>
                <w:rtl/>
              </w:rPr>
              <w:t>ی</w:t>
            </w:r>
            <w:r w:rsidRPr="0025250D">
              <w:rPr>
                <w:rFonts w:hint="eastAsia"/>
                <w:rtl/>
              </w:rPr>
              <w:t>ار</w:t>
            </w:r>
            <w:r w:rsidRPr="0025250D">
              <w:rPr>
                <w:vertAlign w:val="superscript"/>
                <w:rtl/>
              </w:rPr>
              <w:footnoteReference w:id="3124"/>
            </w:r>
            <w:r w:rsidRPr="0025250D">
              <w:rPr>
                <w:rFonts w:hint="eastAsia"/>
                <w:rtl/>
              </w:rPr>
              <w:t>؛</w:t>
            </w:r>
            <w:r w:rsidRPr="0025250D">
              <w:rPr>
                <w:rtl/>
              </w:rPr>
              <w:t xml:space="preserve"> مشاوره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روند</w:t>
            </w:r>
          </w:p>
        </w:tc>
        <w:tc>
          <w:tcPr>
            <w:tcW w:w="1497" w:type="dxa"/>
            <w:vAlign w:val="center"/>
          </w:tcPr>
          <w:p w14:paraId="6FB95422" w14:textId="77777777" w:rsidR="00537CC8" w:rsidRPr="0025250D" w:rsidRDefault="00537CC8" w:rsidP="002925C9">
            <w:pPr>
              <w:bidi/>
              <w:spacing w:after="160"/>
              <w:jc w:val="center"/>
              <w:rPr>
                <w:rtl/>
              </w:rPr>
            </w:pPr>
            <w:r w:rsidRPr="0025250D">
              <w:rPr>
                <w:rtl/>
              </w:rPr>
              <w:t>3 (لندن</w:t>
            </w:r>
            <w:r w:rsidRPr="0025250D">
              <w:rPr>
                <w:rFonts w:hint="cs"/>
                <w:rtl/>
              </w:rPr>
              <w:t>)</w:t>
            </w:r>
          </w:p>
        </w:tc>
      </w:tr>
      <w:tr w:rsidR="00537CC8" w:rsidRPr="0025250D" w14:paraId="6E6939D9" w14:textId="77777777" w:rsidTr="002925C9">
        <w:tc>
          <w:tcPr>
            <w:tcW w:w="2266" w:type="dxa"/>
            <w:vAlign w:val="center"/>
          </w:tcPr>
          <w:p w14:paraId="53147BA6" w14:textId="77777777" w:rsidR="00537CC8" w:rsidRPr="0025250D" w:rsidRDefault="007A207F" w:rsidP="002925C9">
            <w:pPr>
              <w:bidi/>
              <w:spacing w:after="160"/>
              <w:jc w:val="center"/>
            </w:pPr>
            <w:hyperlink r:id="rId420">
              <w:r w:rsidR="00537CC8" w:rsidRPr="0025250D">
                <w:rPr>
                  <w:rStyle w:val="Hyperlink"/>
                  <w:color w:val="auto"/>
                  <w:u w:val="none"/>
                </w:rPr>
                <w:t>Leadership Forum</w:t>
              </w:r>
            </w:hyperlink>
          </w:p>
        </w:tc>
        <w:tc>
          <w:tcPr>
            <w:tcW w:w="3597" w:type="dxa"/>
            <w:vAlign w:val="center"/>
          </w:tcPr>
          <w:p w14:paraId="53D87428" w14:textId="5D0F5FBF" w:rsidR="00537CC8" w:rsidRPr="0025250D" w:rsidRDefault="00537CC8" w:rsidP="002925C9">
            <w:pPr>
              <w:bidi/>
              <w:spacing w:after="160"/>
              <w:jc w:val="center"/>
              <w:rPr>
                <w:rtl/>
              </w:rPr>
            </w:pPr>
            <w:r w:rsidRPr="0025250D">
              <w:rPr>
                <w:rtl/>
              </w:rPr>
              <w:t>ل</w:t>
            </w:r>
            <w:r w:rsidRPr="0025250D">
              <w:rPr>
                <w:rFonts w:hint="cs"/>
                <w:rtl/>
              </w:rPr>
              <w:t>ی</w:t>
            </w:r>
            <w:r w:rsidRPr="0025250D">
              <w:rPr>
                <w:rFonts w:hint="eastAsia"/>
                <w:rtl/>
              </w:rPr>
              <w:t>ام</w:t>
            </w:r>
            <w:r w:rsidRPr="0025250D">
              <w:rPr>
                <w:rtl/>
              </w:rPr>
              <w:t xml:space="preserve"> فاه</w:t>
            </w:r>
            <w:r w:rsidRPr="0025250D">
              <w:rPr>
                <w:rFonts w:hint="cs"/>
                <w:rtl/>
              </w:rPr>
              <w:t>ی</w:t>
            </w:r>
            <w:r w:rsidRPr="0025250D">
              <w:rPr>
                <w:vertAlign w:val="superscript"/>
                <w:rtl/>
              </w:rPr>
              <w:footnoteReference w:id="3125"/>
            </w:r>
            <w:r w:rsidRPr="0025250D">
              <w:rPr>
                <w:rFonts w:hint="eastAsia"/>
                <w:rtl/>
              </w:rPr>
              <w:t>؛</w:t>
            </w:r>
            <w:r w:rsidRPr="0025250D">
              <w:rPr>
                <w:rtl/>
              </w:rPr>
              <w:t xml:space="preserve"> مشاوره رهبر</w:t>
            </w:r>
            <w:r w:rsidRPr="0025250D">
              <w:rPr>
                <w:rFonts w:hint="cs"/>
                <w:rtl/>
              </w:rPr>
              <w:t>ی</w:t>
            </w:r>
            <w:r w:rsidRPr="0025250D">
              <w:rPr>
                <w:rtl/>
              </w:rPr>
              <w:t xml:space="preserve"> و آینده‌</w:t>
            </w:r>
            <w:r w:rsidR="00664E33" w:rsidRPr="0025250D">
              <w:rPr>
                <w:rtl/>
              </w:rPr>
              <w:t>نگار</w:t>
            </w:r>
            <w:r w:rsidRPr="0025250D">
              <w:rPr>
                <w:rtl/>
              </w:rPr>
              <w:t>ی</w:t>
            </w:r>
          </w:p>
        </w:tc>
        <w:tc>
          <w:tcPr>
            <w:tcW w:w="1497" w:type="dxa"/>
            <w:vAlign w:val="center"/>
          </w:tcPr>
          <w:p w14:paraId="31ED0F1B" w14:textId="77777777" w:rsidR="00537CC8" w:rsidRPr="0025250D" w:rsidRDefault="00537CC8" w:rsidP="002925C9">
            <w:pPr>
              <w:bidi/>
              <w:spacing w:after="160"/>
              <w:jc w:val="center"/>
              <w:rPr>
                <w:rtl/>
              </w:rPr>
            </w:pPr>
            <w:r w:rsidRPr="0025250D">
              <w:rPr>
                <w:rtl/>
              </w:rPr>
              <w:t>1 (دورهم</w:t>
            </w:r>
            <w:r w:rsidRPr="0025250D">
              <w:rPr>
                <w:vertAlign w:val="superscript"/>
                <w:rtl/>
              </w:rPr>
              <w:footnoteReference w:id="3126"/>
            </w:r>
            <w:r w:rsidRPr="0025250D">
              <w:rPr>
                <w:rFonts w:hint="cs"/>
                <w:rtl/>
              </w:rPr>
              <w:t>)</w:t>
            </w:r>
          </w:p>
        </w:tc>
      </w:tr>
      <w:tr w:rsidR="00537CC8" w:rsidRPr="0025250D" w14:paraId="68CD1D74" w14:textId="77777777" w:rsidTr="002925C9">
        <w:tc>
          <w:tcPr>
            <w:tcW w:w="2266" w:type="dxa"/>
            <w:vAlign w:val="center"/>
          </w:tcPr>
          <w:p w14:paraId="55DD3F21" w14:textId="77777777" w:rsidR="00537CC8" w:rsidRPr="0025250D" w:rsidRDefault="007A207F" w:rsidP="002925C9">
            <w:pPr>
              <w:bidi/>
              <w:spacing w:after="160"/>
              <w:jc w:val="center"/>
            </w:pPr>
            <w:hyperlink r:id="rId421">
              <w:r w:rsidR="00537CC8" w:rsidRPr="0025250D">
                <w:rPr>
                  <w:rStyle w:val="Hyperlink"/>
                  <w:color w:val="auto"/>
                  <w:u w:val="none"/>
                </w:rPr>
                <w:t>Long Now Foundation</w:t>
              </w:r>
            </w:hyperlink>
          </w:p>
        </w:tc>
        <w:tc>
          <w:tcPr>
            <w:tcW w:w="3597" w:type="dxa"/>
            <w:vAlign w:val="center"/>
          </w:tcPr>
          <w:p w14:paraId="23CBB439" w14:textId="77777777" w:rsidR="00537CC8" w:rsidRPr="0025250D" w:rsidRDefault="00537CC8" w:rsidP="002925C9">
            <w:pPr>
              <w:bidi/>
              <w:spacing w:after="160"/>
              <w:jc w:val="center"/>
              <w:rPr>
                <w:rtl/>
              </w:rPr>
            </w:pPr>
            <w:r w:rsidRPr="0025250D">
              <w:rPr>
                <w:rtl/>
              </w:rPr>
              <w:t>استوارت برند</w:t>
            </w:r>
            <w:r w:rsidRPr="0025250D">
              <w:rPr>
                <w:vertAlign w:val="superscript"/>
                <w:rtl/>
              </w:rPr>
              <w:footnoteReference w:id="3127"/>
            </w:r>
            <w:r w:rsidRPr="0025250D">
              <w:rPr>
                <w:rtl/>
              </w:rPr>
              <w:t>، الکس رز</w:t>
            </w:r>
            <w:r w:rsidRPr="0025250D">
              <w:rPr>
                <w:vertAlign w:val="superscript"/>
                <w:rtl/>
              </w:rPr>
              <w:footnoteReference w:id="3128"/>
            </w:r>
            <w:r w:rsidRPr="0025250D">
              <w:rPr>
                <w:rtl/>
              </w:rPr>
              <w:t>؛ بن</w:t>
            </w:r>
            <w:r w:rsidRPr="0025250D">
              <w:rPr>
                <w:rFonts w:hint="cs"/>
                <w:rtl/>
              </w:rPr>
              <w:t>ی</w:t>
            </w:r>
            <w:r w:rsidRPr="0025250D">
              <w:rPr>
                <w:rFonts w:hint="eastAsia"/>
                <w:rtl/>
              </w:rPr>
              <w:t>اد</w:t>
            </w:r>
            <w:r w:rsidRPr="0025250D">
              <w:rPr>
                <w:rFonts w:hint="cs"/>
                <w:rtl/>
              </w:rPr>
              <w:t>ی</w:t>
            </w:r>
            <w:r w:rsidRPr="0025250D">
              <w:rPr>
                <w:rtl/>
              </w:rPr>
              <w:t xml:space="preserve"> که تفکر بلندمدت را تقو</w:t>
            </w:r>
            <w:r w:rsidRPr="0025250D">
              <w:rPr>
                <w:rFonts w:hint="cs"/>
                <w:rtl/>
              </w:rPr>
              <w:t>ی</w:t>
            </w:r>
            <w:r w:rsidRPr="0025250D">
              <w:rPr>
                <w:rFonts w:hint="eastAsia"/>
                <w:rtl/>
              </w:rPr>
              <w:t>ت</w:t>
            </w:r>
            <w:r w:rsidRPr="0025250D">
              <w:rPr>
                <w:rtl/>
              </w:rPr>
              <w:t xml:space="preserve"> می‌کند</w:t>
            </w:r>
          </w:p>
        </w:tc>
        <w:tc>
          <w:tcPr>
            <w:tcW w:w="1497" w:type="dxa"/>
            <w:vAlign w:val="center"/>
          </w:tcPr>
          <w:p w14:paraId="58CDC360" w14:textId="77777777" w:rsidR="00537CC8" w:rsidRPr="0025250D" w:rsidRDefault="00537CC8" w:rsidP="002925C9">
            <w:pPr>
              <w:bidi/>
              <w:spacing w:after="160"/>
              <w:jc w:val="center"/>
              <w:rPr>
                <w:rtl/>
              </w:rPr>
            </w:pPr>
            <w:r w:rsidRPr="0025250D">
              <w:rPr>
                <w:rtl/>
              </w:rPr>
              <w:t>1 (</w:t>
            </w:r>
            <w:r w:rsidRPr="0025250D">
              <w:t>SF</w:t>
            </w:r>
            <w:r w:rsidRPr="0025250D">
              <w:rPr>
                <w:rtl/>
              </w:rPr>
              <w:t xml:space="preserve">، </w:t>
            </w:r>
            <w:r w:rsidRPr="0025250D">
              <w:t>CA</w:t>
            </w:r>
            <w:r w:rsidRPr="0025250D">
              <w:rPr>
                <w:rtl/>
              </w:rPr>
              <w:t>)</w:t>
            </w:r>
          </w:p>
        </w:tc>
      </w:tr>
      <w:tr w:rsidR="00537CC8" w:rsidRPr="0025250D" w14:paraId="0ABD6613" w14:textId="77777777" w:rsidTr="002925C9">
        <w:tc>
          <w:tcPr>
            <w:tcW w:w="2266" w:type="dxa"/>
            <w:vAlign w:val="center"/>
          </w:tcPr>
          <w:p w14:paraId="1FEFD458" w14:textId="77777777" w:rsidR="00537CC8" w:rsidRPr="0025250D" w:rsidRDefault="007A207F" w:rsidP="002925C9">
            <w:pPr>
              <w:bidi/>
              <w:spacing w:after="160"/>
              <w:jc w:val="center"/>
            </w:pPr>
            <w:hyperlink r:id="rId422">
              <w:r w:rsidR="00537CC8" w:rsidRPr="0025250D">
                <w:rPr>
                  <w:rStyle w:val="Hyperlink"/>
                  <w:color w:val="auto"/>
                  <w:u w:val="none"/>
                </w:rPr>
                <w:t>Magellis Consultants</w:t>
              </w:r>
            </w:hyperlink>
          </w:p>
        </w:tc>
        <w:tc>
          <w:tcPr>
            <w:tcW w:w="3597" w:type="dxa"/>
            <w:vAlign w:val="center"/>
          </w:tcPr>
          <w:p w14:paraId="4EB1E858" w14:textId="0BA43D16" w:rsidR="00537CC8" w:rsidRPr="0025250D" w:rsidRDefault="00537CC8" w:rsidP="002925C9">
            <w:pPr>
              <w:bidi/>
              <w:spacing w:after="160"/>
              <w:jc w:val="center"/>
              <w:rPr>
                <w:rtl/>
              </w:rPr>
            </w:pPr>
            <w:r w:rsidRPr="0025250D">
              <w:rPr>
                <w:rtl/>
              </w:rPr>
              <w:t>ناتال</w:t>
            </w:r>
            <w:r w:rsidRPr="0025250D">
              <w:rPr>
                <w:rFonts w:hint="cs"/>
                <w:rtl/>
              </w:rPr>
              <w:t>ی</w:t>
            </w:r>
            <w:r w:rsidRPr="0025250D">
              <w:rPr>
                <w:rtl/>
              </w:rPr>
              <w:t xml:space="preserve"> باسالر</w:t>
            </w:r>
            <w:r w:rsidRPr="0025250D">
              <w:rPr>
                <w:vertAlign w:val="superscript"/>
                <w:rtl/>
              </w:rPr>
              <w:footnoteReference w:id="3129"/>
            </w:r>
            <w:r w:rsidRPr="0025250D">
              <w:rPr>
                <w:rFonts w:hint="cs"/>
                <w:rtl/>
              </w:rPr>
              <w:t>؛</w:t>
            </w:r>
            <w:r w:rsidRPr="0025250D">
              <w:rPr>
                <w:rtl/>
              </w:rPr>
              <w:t xml:space="preserve"> مشاوره آینده‌نگاری </w:t>
            </w:r>
            <w:r w:rsidR="00701E03" w:rsidRPr="0025250D">
              <w:rPr>
                <w:rtl/>
              </w:rPr>
              <w:t>راهبردی</w:t>
            </w:r>
            <w:r w:rsidRPr="0025250D">
              <w:rPr>
                <w:rtl/>
              </w:rPr>
              <w:t xml:space="preserve"> 70 </w:t>
            </w:r>
            <w:r w:rsidRPr="0025250D">
              <w:rPr>
                <w:rFonts w:hint="cs"/>
                <w:rtl/>
              </w:rPr>
              <w:t>کارمند</w:t>
            </w:r>
          </w:p>
        </w:tc>
        <w:tc>
          <w:tcPr>
            <w:tcW w:w="1497" w:type="dxa"/>
            <w:vAlign w:val="center"/>
          </w:tcPr>
          <w:p w14:paraId="1A2B5089" w14:textId="77777777" w:rsidR="00537CC8" w:rsidRPr="0025250D" w:rsidRDefault="00537CC8" w:rsidP="002925C9">
            <w:pPr>
              <w:bidi/>
              <w:spacing w:after="160"/>
              <w:jc w:val="center"/>
              <w:rPr>
                <w:rtl/>
              </w:rPr>
            </w:pPr>
            <w:r w:rsidRPr="0025250D">
              <w:rPr>
                <w:rtl/>
              </w:rPr>
              <w:t>1 (پار</w:t>
            </w:r>
            <w:r w:rsidRPr="0025250D">
              <w:rPr>
                <w:rFonts w:hint="cs"/>
                <w:rtl/>
              </w:rPr>
              <w:t>ی</w:t>
            </w:r>
            <w:r w:rsidRPr="0025250D">
              <w:rPr>
                <w:rFonts w:hint="eastAsia"/>
                <w:rtl/>
              </w:rPr>
              <w:t>س،</w:t>
            </w:r>
            <w:r w:rsidRPr="0025250D">
              <w:rPr>
                <w:rtl/>
              </w:rPr>
              <w:t xml:space="preserve"> فرانسه)</w:t>
            </w:r>
          </w:p>
        </w:tc>
      </w:tr>
      <w:tr w:rsidR="00537CC8" w:rsidRPr="0025250D" w14:paraId="4272443B" w14:textId="77777777" w:rsidTr="002925C9">
        <w:tc>
          <w:tcPr>
            <w:tcW w:w="2266" w:type="dxa"/>
            <w:vAlign w:val="center"/>
          </w:tcPr>
          <w:p w14:paraId="1F019343" w14:textId="77777777" w:rsidR="00537CC8" w:rsidRPr="0025250D" w:rsidRDefault="007A207F" w:rsidP="002925C9">
            <w:pPr>
              <w:bidi/>
              <w:spacing w:after="160"/>
              <w:jc w:val="center"/>
            </w:pPr>
            <w:hyperlink r:id="rId423">
              <w:r w:rsidR="00537CC8" w:rsidRPr="0025250D">
                <w:rPr>
                  <w:rStyle w:val="Hyperlink"/>
                  <w:color w:val="auto"/>
                  <w:u w:val="none"/>
                </w:rPr>
                <w:t>Marid</w:t>
              </w:r>
            </w:hyperlink>
          </w:p>
        </w:tc>
        <w:tc>
          <w:tcPr>
            <w:tcW w:w="3597" w:type="dxa"/>
            <w:vAlign w:val="center"/>
          </w:tcPr>
          <w:p w14:paraId="1A7B3933" w14:textId="77777777" w:rsidR="00537CC8" w:rsidRPr="0025250D" w:rsidRDefault="00537CC8" w:rsidP="002925C9">
            <w:pPr>
              <w:bidi/>
              <w:spacing w:after="160"/>
              <w:jc w:val="center"/>
              <w:rPr>
                <w:rtl/>
              </w:rPr>
            </w:pPr>
            <w:r w:rsidRPr="0025250D">
              <w:rPr>
                <w:rtl/>
              </w:rPr>
              <w:t>مر</w:t>
            </w:r>
            <w:r w:rsidRPr="0025250D">
              <w:rPr>
                <w:rFonts w:hint="cs"/>
                <w:rtl/>
              </w:rPr>
              <w:t>ی</w:t>
            </w:r>
            <w:r w:rsidRPr="0025250D">
              <w:rPr>
                <w:rtl/>
              </w:rPr>
              <w:t xml:space="preserve"> بث مک </w:t>
            </w:r>
            <w:r w:rsidRPr="0025250D">
              <w:rPr>
                <w:rFonts w:hint="cs"/>
                <w:rtl/>
              </w:rPr>
              <w:t>ی</w:t>
            </w:r>
            <w:r w:rsidRPr="0025250D">
              <w:rPr>
                <w:rFonts w:hint="eastAsia"/>
                <w:rtl/>
              </w:rPr>
              <w:t>وئن</w:t>
            </w:r>
            <w:r w:rsidRPr="0025250D">
              <w:rPr>
                <w:vertAlign w:val="superscript"/>
                <w:rtl/>
              </w:rPr>
              <w:footnoteReference w:id="3130"/>
            </w:r>
            <w:r w:rsidRPr="0025250D">
              <w:rPr>
                <w:rFonts w:hint="cs"/>
                <w:rtl/>
              </w:rPr>
              <w:t>؛</w:t>
            </w:r>
            <w:r w:rsidRPr="0025250D">
              <w:rPr>
                <w:rtl/>
              </w:rPr>
              <w:t xml:space="preserve"> </w:t>
            </w:r>
            <w:r w:rsidRPr="0025250D">
              <w:rPr>
                <w:rFonts w:hint="cs"/>
                <w:rtl/>
              </w:rPr>
              <w:t>منابع انسانی</w:t>
            </w:r>
            <w:r w:rsidRPr="0025250D">
              <w:rPr>
                <w:rtl/>
              </w:rPr>
              <w:t>، بازار</w:t>
            </w:r>
            <w:r w:rsidRPr="0025250D">
              <w:rPr>
                <w:rFonts w:hint="cs"/>
                <w:rtl/>
              </w:rPr>
              <w:t>ی</w:t>
            </w:r>
            <w:r w:rsidRPr="0025250D">
              <w:rPr>
                <w:rFonts w:hint="eastAsia"/>
                <w:rtl/>
              </w:rPr>
              <w:t>اب</w:t>
            </w:r>
            <w:r w:rsidRPr="0025250D">
              <w:rPr>
                <w:rFonts w:hint="cs"/>
                <w:rtl/>
              </w:rPr>
              <w:t>ی</w:t>
            </w:r>
            <w:r w:rsidRPr="0025250D">
              <w:rPr>
                <w:rtl/>
              </w:rPr>
              <w:t xml:space="preserve"> و مشاوره رفتار</w:t>
            </w:r>
            <w:r w:rsidRPr="0025250D">
              <w:rPr>
                <w:rFonts w:hint="cs"/>
                <w:rtl/>
              </w:rPr>
              <w:t>ی</w:t>
            </w:r>
            <w:r w:rsidRPr="0025250D">
              <w:rPr>
                <w:rtl/>
              </w:rPr>
              <w:t>.</w:t>
            </w:r>
          </w:p>
        </w:tc>
        <w:tc>
          <w:tcPr>
            <w:tcW w:w="1497" w:type="dxa"/>
            <w:vAlign w:val="center"/>
          </w:tcPr>
          <w:p w14:paraId="044E146D" w14:textId="77777777" w:rsidR="00537CC8" w:rsidRPr="0025250D" w:rsidRDefault="00537CC8" w:rsidP="002925C9">
            <w:pPr>
              <w:bidi/>
              <w:spacing w:after="160"/>
              <w:jc w:val="center"/>
              <w:rPr>
                <w:rtl/>
              </w:rPr>
            </w:pPr>
            <w:r w:rsidRPr="0025250D">
              <w:rPr>
                <w:rtl/>
              </w:rPr>
              <w:t>1 (سنت لوئ</w:t>
            </w:r>
            <w:r w:rsidRPr="0025250D">
              <w:rPr>
                <w:rFonts w:hint="cs"/>
                <w:rtl/>
              </w:rPr>
              <w:t>ی</w:t>
            </w:r>
            <w:r w:rsidRPr="0025250D">
              <w:rPr>
                <w:rFonts w:hint="eastAsia"/>
                <w:rtl/>
              </w:rPr>
              <w:t>س</w:t>
            </w:r>
            <w:r w:rsidRPr="0025250D">
              <w:rPr>
                <w:rFonts w:hint="cs"/>
                <w:rtl/>
              </w:rPr>
              <w:t>)</w:t>
            </w:r>
          </w:p>
        </w:tc>
      </w:tr>
      <w:tr w:rsidR="00537CC8" w:rsidRPr="0025250D" w14:paraId="42649AD1" w14:textId="77777777" w:rsidTr="002925C9">
        <w:tc>
          <w:tcPr>
            <w:tcW w:w="2266" w:type="dxa"/>
            <w:vAlign w:val="center"/>
          </w:tcPr>
          <w:p w14:paraId="34B072D6" w14:textId="77777777" w:rsidR="00537CC8" w:rsidRPr="0025250D" w:rsidRDefault="007A207F" w:rsidP="002925C9">
            <w:pPr>
              <w:bidi/>
              <w:spacing w:after="160"/>
              <w:jc w:val="center"/>
            </w:pPr>
            <w:hyperlink r:id="rId424">
              <w:r w:rsidR="00537CC8" w:rsidRPr="0025250D">
                <w:rPr>
                  <w:rStyle w:val="Hyperlink"/>
                  <w:color w:val="auto"/>
                  <w:u w:val="none"/>
                </w:rPr>
                <w:t>MarketResearch.com</w:t>
              </w:r>
            </w:hyperlink>
          </w:p>
        </w:tc>
        <w:tc>
          <w:tcPr>
            <w:tcW w:w="3597" w:type="dxa"/>
            <w:vAlign w:val="center"/>
          </w:tcPr>
          <w:p w14:paraId="703248B1" w14:textId="74623FB7" w:rsidR="00537CC8" w:rsidRPr="0025250D" w:rsidRDefault="001C62AD" w:rsidP="002925C9">
            <w:pPr>
              <w:bidi/>
              <w:spacing w:after="160"/>
              <w:jc w:val="center"/>
              <w:rPr>
                <w:rtl/>
              </w:rPr>
            </w:pPr>
            <w:r w:rsidRPr="0025250D">
              <w:rPr>
                <w:rtl/>
              </w:rPr>
              <w:t>«</w:t>
            </w:r>
            <w:r w:rsidR="00537CC8" w:rsidRPr="0025250D">
              <w:rPr>
                <w:rtl/>
              </w:rPr>
              <w:t>بزرگتر</w:t>
            </w:r>
            <w:r w:rsidR="00537CC8" w:rsidRPr="0025250D">
              <w:rPr>
                <w:rFonts w:hint="cs"/>
                <w:rtl/>
              </w:rPr>
              <w:t>ی</w:t>
            </w:r>
            <w:r w:rsidR="00537CC8" w:rsidRPr="0025250D">
              <w:rPr>
                <w:rFonts w:hint="eastAsia"/>
                <w:rtl/>
              </w:rPr>
              <w:t>ن</w:t>
            </w:r>
            <w:r w:rsidR="00537CC8" w:rsidRPr="0025250D">
              <w:rPr>
                <w:rtl/>
              </w:rPr>
              <w:t xml:space="preserve"> مجموعه اطلاعات بازار آنلا</w:t>
            </w:r>
            <w:r w:rsidR="00537CC8" w:rsidRPr="0025250D">
              <w:rPr>
                <w:rFonts w:hint="cs"/>
                <w:rtl/>
              </w:rPr>
              <w:t>ی</w:t>
            </w:r>
            <w:r w:rsidR="00537CC8" w:rsidRPr="0025250D">
              <w:rPr>
                <w:rFonts w:hint="eastAsia"/>
                <w:rtl/>
              </w:rPr>
              <w:t>ن</w:t>
            </w:r>
            <w:r w:rsidR="00537CC8" w:rsidRPr="0025250D">
              <w:rPr>
                <w:rtl/>
              </w:rPr>
              <w:t>.</w:t>
            </w:r>
            <w:r w:rsidRPr="0025250D">
              <w:rPr>
                <w:rtl/>
              </w:rPr>
              <w:t>»</w:t>
            </w:r>
            <w:r w:rsidR="00537CC8" w:rsidRPr="0025250D">
              <w:rPr>
                <w:rtl/>
              </w:rPr>
              <w:t xml:space="preserve"> چهار کارمند</w:t>
            </w:r>
          </w:p>
        </w:tc>
        <w:tc>
          <w:tcPr>
            <w:tcW w:w="1497" w:type="dxa"/>
            <w:vAlign w:val="center"/>
          </w:tcPr>
          <w:p w14:paraId="541B9D0B" w14:textId="77777777" w:rsidR="00537CC8" w:rsidRPr="0025250D" w:rsidRDefault="00537CC8" w:rsidP="002925C9">
            <w:pPr>
              <w:bidi/>
              <w:spacing w:after="160"/>
              <w:jc w:val="center"/>
              <w:rPr>
                <w:rtl/>
              </w:rPr>
            </w:pPr>
            <w:r w:rsidRPr="0025250D">
              <w:rPr>
                <w:rtl/>
              </w:rPr>
              <w:t>1 (راک و</w:t>
            </w:r>
            <w:r w:rsidRPr="0025250D">
              <w:rPr>
                <w:rFonts w:hint="cs"/>
                <w:rtl/>
              </w:rPr>
              <w:t>ی</w:t>
            </w:r>
            <w:r w:rsidRPr="0025250D">
              <w:rPr>
                <w:rFonts w:hint="eastAsia"/>
                <w:rtl/>
              </w:rPr>
              <w:t>ل</w:t>
            </w:r>
            <w:r w:rsidRPr="0025250D">
              <w:rPr>
                <w:rFonts w:hint="cs"/>
                <w:rtl/>
              </w:rPr>
              <w:t>)</w:t>
            </w:r>
          </w:p>
        </w:tc>
      </w:tr>
      <w:tr w:rsidR="00537CC8" w:rsidRPr="0025250D" w14:paraId="140007F9" w14:textId="77777777" w:rsidTr="002925C9">
        <w:tc>
          <w:tcPr>
            <w:tcW w:w="2266" w:type="dxa"/>
            <w:vAlign w:val="center"/>
          </w:tcPr>
          <w:p w14:paraId="28942C61" w14:textId="77777777" w:rsidR="00537CC8" w:rsidRPr="0025250D" w:rsidRDefault="007A207F" w:rsidP="002925C9">
            <w:pPr>
              <w:bidi/>
              <w:spacing w:after="160"/>
              <w:jc w:val="center"/>
            </w:pPr>
            <w:hyperlink r:id="rId425">
              <w:r w:rsidR="00537CC8" w:rsidRPr="0025250D">
                <w:rPr>
                  <w:rStyle w:val="Hyperlink"/>
                  <w:color w:val="auto"/>
                  <w:u w:val="none"/>
                </w:rPr>
                <w:t>MG Rush</w:t>
              </w:r>
            </w:hyperlink>
          </w:p>
        </w:tc>
        <w:tc>
          <w:tcPr>
            <w:tcW w:w="3597" w:type="dxa"/>
            <w:vAlign w:val="center"/>
          </w:tcPr>
          <w:p w14:paraId="577740A8" w14:textId="210390CD" w:rsidR="00537CC8" w:rsidRPr="0025250D" w:rsidRDefault="00537CC8" w:rsidP="002925C9">
            <w:pPr>
              <w:bidi/>
              <w:spacing w:after="160"/>
              <w:jc w:val="center"/>
              <w:rPr>
                <w:rtl/>
              </w:rPr>
            </w:pPr>
            <w:r w:rsidRPr="0025250D">
              <w:rPr>
                <w:rtl/>
              </w:rPr>
              <w:t>ترنس مد</w:t>
            </w:r>
            <w:r w:rsidRPr="0025250D">
              <w:rPr>
                <w:vertAlign w:val="superscript"/>
                <w:rtl/>
              </w:rPr>
              <w:footnoteReference w:id="3131"/>
            </w:r>
            <w:r w:rsidRPr="0025250D">
              <w:rPr>
                <w:rtl/>
              </w:rPr>
              <w:t>، کو</w:t>
            </w:r>
            <w:r w:rsidRPr="0025250D">
              <w:rPr>
                <w:rFonts w:hint="cs"/>
                <w:rtl/>
              </w:rPr>
              <w:t>ی</w:t>
            </w:r>
            <w:r w:rsidRPr="0025250D">
              <w:rPr>
                <w:rFonts w:hint="eastAsia"/>
                <w:rtl/>
              </w:rPr>
              <w:t>ن</w:t>
            </w:r>
            <w:r w:rsidRPr="0025250D">
              <w:rPr>
                <w:rtl/>
              </w:rPr>
              <w:t xml:space="preserve"> بوث؛</w:t>
            </w:r>
            <w:r w:rsidRPr="0025250D">
              <w:rPr>
                <w:vertAlign w:val="superscript"/>
                <w:rtl/>
              </w:rPr>
              <w:footnoteReference w:id="3132"/>
            </w:r>
            <w:r w:rsidRPr="0025250D">
              <w:rPr>
                <w:rtl/>
              </w:rPr>
              <w:t xml:space="preserve"> آموزش تسه</w:t>
            </w:r>
            <w:r w:rsidRPr="0025250D">
              <w:rPr>
                <w:rFonts w:hint="cs"/>
                <w:rtl/>
              </w:rPr>
              <w:t>ی</w:t>
            </w:r>
            <w:r w:rsidRPr="0025250D">
              <w:rPr>
                <w:rFonts w:hint="eastAsia"/>
                <w:rtl/>
              </w:rPr>
              <w:t>ل</w:t>
            </w:r>
            <w:r w:rsidRPr="0025250D">
              <w:rPr>
                <w:rtl/>
              </w:rPr>
              <w:t xml:space="preserve"> گر</w:t>
            </w:r>
            <w:r w:rsidRPr="0025250D">
              <w:rPr>
                <w:rFonts w:hint="cs"/>
                <w:rtl/>
              </w:rPr>
              <w:t>ی</w:t>
            </w:r>
            <w:r w:rsidRPr="0025250D">
              <w:rPr>
                <w:rFonts w:hint="eastAsia"/>
                <w:rtl/>
              </w:rPr>
              <w:t>،</w:t>
            </w:r>
            <w:r w:rsidRPr="0025250D">
              <w:rPr>
                <w:rtl/>
              </w:rPr>
              <w:t xml:space="preserve"> </w:t>
            </w:r>
            <w:r w:rsidR="00B124DE" w:rsidRPr="0025250D">
              <w:rPr>
                <w:rtl/>
              </w:rPr>
              <w:t>برنامه‌ریزی</w:t>
            </w:r>
            <w:r w:rsidRPr="0025250D">
              <w:rPr>
                <w:rtl/>
              </w:rPr>
              <w:t xml:space="preserve"> </w:t>
            </w:r>
            <w:r w:rsidR="007A53FD" w:rsidRPr="0025250D">
              <w:rPr>
                <w:rtl/>
              </w:rPr>
              <w:t>فرانامه</w:t>
            </w:r>
            <w:r w:rsidRPr="0025250D">
              <w:rPr>
                <w:rtl/>
              </w:rPr>
              <w:t>.</w:t>
            </w:r>
          </w:p>
        </w:tc>
        <w:tc>
          <w:tcPr>
            <w:tcW w:w="1497" w:type="dxa"/>
            <w:vAlign w:val="center"/>
          </w:tcPr>
          <w:p w14:paraId="14F84872" w14:textId="77777777" w:rsidR="00537CC8" w:rsidRPr="0025250D" w:rsidRDefault="00537CC8" w:rsidP="002925C9">
            <w:pPr>
              <w:bidi/>
              <w:spacing w:after="160"/>
              <w:jc w:val="center"/>
              <w:rPr>
                <w:rtl/>
              </w:rPr>
            </w:pPr>
            <w:r w:rsidRPr="0025250D">
              <w:rPr>
                <w:rtl/>
              </w:rPr>
              <w:t>1 (اوک بروک</w:t>
            </w:r>
            <w:r w:rsidRPr="0025250D">
              <w:rPr>
                <w:rFonts w:hint="cs"/>
                <w:rtl/>
              </w:rPr>
              <w:t>)</w:t>
            </w:r>
          </w:p>
        </w:tc>
      </w:tr>
      <w:tr w:rsidR="00537CC8" w:rsidRPr="0025250D" w14:paraId="5636D27D" w14:textId="77777777" w:rsidTr="002925C9">
        <w:tc>
          <w:tcPr>
            <w:tcW w:w="2266" w:type="dxa"/>
            <w:vAlign w:val="center"/>
          </w:tcPr>
          <w:p w14:paraId="603E84AA" w14:textId="77777777" w:rsidR="00537CC8" w:rsidRPr="0025250D" w:rsidRDefault="007A207F" w:rsidP="002925C9">
            <w:pPr>
              <w:bidi/>
              <w:spacing w:after="160"/>
              <w:jc w:val="center"/>
            </w:pPr>
            <w:hyperlink r:id="rId426">
              <w:r w:rsidR="00537CC8" w:rsidRPr="0025250D">
                <w:rPr>
                  <w:rStyle w:val="Hyperlink"/>
                  <w:color w:val="auto"/>
                  <w:u w:val="none"/>
                </w:rPr>
                <w:t>Monitor 360</w:t>
              </w:r>
            </w:hyperlink>
          </w:p>
        </w:tc>
        <w:tc>
          <w:tcPr>
            <w:tcW w:w="3597" w:type="dxa"/>
            <w:vAlign w:val="center"/>
          </w:tcPr>
          <w:p w14:paraId="59746A36" w14:textId="36B4418D" w:rsidR="00537CC8" w:rsidRPr="0025250D" w:rsidRDefault="00537CC8" w:rsidP="002925C9">
            <w:pPr>
              <w:bidi/>
              <w:spacing w:after="160"/>
              <w:jc w:val="center"/>
              <w:rPr>
                <w:rtl/>
              </w:rPr>
            </w:pPr>
            <w:r w:rsidRPr="0025250D">
              <w:rPr>
                <w:rtl/>
              </w:rPr>
              <w:t>پ</w:t>
            </w:r>
            <w:r w:rsidRPr="0025250D">
              <w:rPr>
                <w:rFonts w:hint="cs"/>
                <w:rtl/>
              </w:rPr>
              <w:t>ی</w:t>
            </w:r>
            <w:r w:rsidRPr="0025250D">
              <w:rPr>
                <w:rFonts w:hint="eastAsia"/>
                <w:rtl/>
              </w:rPr>
              <w:t>تر</w:t>
            </w:r>
            <w:r w:rsidRPr="0025250D">
              <w:rPr>
                <w:rtl/>
              </w:rPr>
              <w:t xml:space="preserve"> </w:t>
            </w:r>
            <w:r w:rsidRPr="0025250D">
              <w:rPr>
                <w:rFonts w:hint="cs"/>
                <w:rtl/>
              </w:rPr>
              <w:t>استوارت</w:t>
            </w:r>
            <w:r w:rsidRPr="0025250D">
              <w:rPr>
                <w:vertAlign w:val="superscript"/>
                <w:rtl/>
              </w:rPr>
              <w:footnoteReference w:id="3133"/>
            </w:r>
            <w:r w:rsidRPr="0025250D">
              <w:rPr>
                <w:rtl/>
              </w:rPr>
              <w:t xml:space="preserve">؛ درک چالش‌های </w:t>
            </w:r>
            <w:r w:rsidR="00701E03" w:rsidRPr="0025250D">
              <w:rPr>
                <w:rtl/>
              </w:rPr>
              <w:t>راهبردی</w:t>
            </w:r>
            <w:r w:rsidRPr="0025250D">
              <w:rPr>
                <w:rtl/>
              </w:rPr>
              <w:t xml:space="preserve"> و تحل</w:t>
            </w:r>
            <w:r w:rsidRPr="0025250D">
              <w:rPr>
                <w:rFonts w:hint="cs"/>
                <w:rtl/>
              </w:rPr>
              <w:t>ی</w:t>
            </w:r>
            <w:r w:rsidRPr="0025250D">
              <w:rPr>
                <w:rFonts w:hint="eastAsia"/>
                <w:rtl/>
              </w:rPr>
              <w:t>ل</w:t>
            </w:r>
            <w:r w:rsidRPr="0025250D">
              <w:rPr>
                <w:rFonts w:hint="cs"/>
                <w:rtl/>
              </w:rPr>
              <w:t>ی</w:t>
            </w:r>
            <w:r w:rsidRPr="0025250D">
              <w:rPr>
                <w:rtl/>
              </w:rPr>
              <w:t xml:space="preserve"> جهان</w:t>
            </w:r>
            <w:r w:rsidRPr="0025250D">
              <w:rPr>
                <w:rFonts w:hint="cs"/>
                <w:rtl/>
              </w:rPr>
              <w:t>ی</w:t>
            </w:r>
            <w:r w:rsidRPr="0025250D">
              <w:rPr>
                <w:rFonts w:hint="eastAsia"/>
                <w:rtl/>
              </w:rPr>
              <w:t>،</w:t>
            </w:r>
            <w:r w:rsidRPr="0025250D">
              <w:rPr>
                <w:rtl/>
              </w:rPr>
              <w:t xml:space="preserve"> خدمت به دولت ها، سازمان‌های غ</w:t>
            </w:r>
            <w:r w:rsidRPr="0025250D">
              <w:rPr>
                <w:rFonts w:hint="cs"/>
                <w:rtl/>
              </w:rPr>
              <w:t>ی</w:t>
            </w:r>
            <w:r w:rsidRPr="0025250D">
              <w:rPr>
                <w:rFonts w:hint="eastAsia"/>
                <w:rtl/>
              </w:rPr>
              <w:t>ردولت</w:t>
            </w:r>
            <w:r w:rsidRPr="0025250D">
              <w:rPr>
                <w:rFonts w:hint="cs"/>
                <w:rtl/>
              </w:rPr>
              <w:t>ی</w:t>
            </w:r>
            <w:r w:rsidRPr="0025250D">
              <w:rPr>
                <w:rtl/>
              </w:rPr>
              <w:t xml:space="preserve"> و شرکت ها.</w:t>
            </w:r>
          </w:p>
        </w:tc>
        <w:tc>
          <w:tcPr>
            <w:tcW w:w="1497" w:type="dxa"/>
            <w:vAlign w:val="center"/>
          </w:tcPr>
          <w:p w14:paraId="621B8E81" w14:textId="77777777" w:rsidR="00537CC8" w:rsidRPr="0025250D" w:rsidRDefault="00537CC8" w:rsidP="002925C9">
            <w:pPr>
              <w:bidi/>
              <w:spacing w:after="160"/>
              <w:jc w:val="center"/>
              <w:rPr>
                <w:rtl/>
              </w:rPr>
            </w:pPr>
            <w:r w:rsidRPr="0025250D">
              <w:rPr>
                <w:rtl/>
              </w:rPr>
              <w:t>1 (سانفرانس</w:t>
            </w:r>
            <w:r w:rsidRPr="0025250D">
              <w:rPr>
                <w:rFonts w:hint="cs"/>
                <w:rtl/>
              </w:rPr>
              <w:t>ی</w:t>
            </w:r>
            <w:r w:rsidRPr="0025250D">
              <w:rPr>
                <w:rFonts w:hint="eastAsia"/>
                <w:rtl/>
              </w:rPr>
              <w:t>سکو</w:t>
            </w:r>
            <w:r w:rsidRPr="0025250D">
              <w:rPr>
                <w:rFonts w:hint="cs"/>
                <w:rtl/>
              </w:rPr>
              <w:t>)</w:t>
            </w:r>
          </w:p>
        </w:tc>
      </w:tr>
      <w:tr w:rsidR="00537CC8" w:rsidRPr="0025250D" w14:paraId="204A1D8C" w14:textId="77777777" w:rsidTr="002925C9">
        <w:tc>
          <w:tcPr>
            <w:tcW w:w="2266" w:type="dxa"/>
            <w:vAlign w:val="center"/>
          </w:tcPr>
          <w:p w14:paraId="1035E745" w14:textId="77777777" w:rsidR="00537CC8" w:rsidRPr="0025250D" w:rsidRDefault="007A207F" w:rsidP="002925C9">
            <w:pPr>
              <w:bidi/>
              <w:spacing w:after="160"/>
              <w:jc w:val="center"/>
            </w:pPr>
            <w:hyperlink r:id="rId427">
              <w:r w:rsidR="00537CC8" w:rsidRPr="0025250D">
                <w:rPr>
                  <w:rStyle w:val="Hyperlink"/>
                  <w:color w:val="auto"/>
                  <w:u w:val="none"/>
                </w:rPr>
                <w:t>Nesta</w:t>
              </w:r>
            </w:hyperlink>
          </w:p>
        </w:tc>
        <w:tc>
          <w:tcPr>
            <w:tcW w:w="3597" w:type="dxa"/>
            <w:vAlign w:val="center"/>
          </w:tcPr>
          <w:p w14:paraId="7EF5FE15" w14:textId="77777777" w:rsidR="00537CC8" w:rsidRPr="0025250D" w:rsidRDefault="00537CC8" w:rsidP="002925C9">
            <w:pPr>
              <w:bidi/>
              <w:spacing w:after="160"/>
              <w:jc w:val="center"/>
              <w:rPr>
                <w:rtl/>
              </w:rPr>
            </w:pPr>
            <w:r w:rsidRPr="0025250D">
              <w:rPr>
                <w:rtl/>
              </w:rPr>
              <w:t>جس</w:t>
            </w:r>
            <w:r w:rsidRPr="0025250D">
              <w:rPr>
                <w:rFonts w:hint="cs"/>
                <w:rtl/>
              </w:rPr>
              <w:t>ی</w:t>
            </w:r>
            <w:r w:rsidRPr="0025250D">
              <w:rPr>
                <w:rFonts w:hint="eastAsia"/>
                <w:rtl/>
              </w:rPr>
              <w:t>کا</w:t>
            </w:r>
            <w:r w:rsidRPr="0025250D">
              <w:rPr>
                <w:rtl/>
              </w:rPr>
              <w:t xml:space="preserve"> بلاند</w:t>
            </w:r>
            <w:r w:rsidRPr="0025250D">
              <w:rPr>
                <w:vertAlign w:val="superscript"/>
                <w:rtl/>
              </w:rPr>
              <w:footnoteReference w:id="3134"/>
            </w:r>
            <w:r w:rsidRPr="0025250D">
              <w:rPr>
                <w:rtl/>
              </w:rPr>
              <w:t>، است</w:t>
            </w:r>
            <w:r w:rsidRPr="0025250D">
              <w:rPr>
                <w:rFonts w:hint="cs"/>
                <w:rtl/>
              </w:rPr>
              <w:t>ی</w:t>
            </w:r>
            <w:r w:rsidRPr="0025250D">
              <w:rPr>
                <w:rFonts w:hint="eastAsia"/>
                <w:rtl/>
              </w:rPr>
              <w:t>ان</w:t>
            </w:r>
            <w:r w:rsidRPr="0025250D">
              <w:rPr>
                <w:rtl/>
              </w:rPr>
              <w:t xml:space="preserve"> وست ل</w:t>
            </w:r>
            <w:r w:rsidRPr="0025250D">
              <w:rPr>
                <w:rFonts w:hint="cs"/>
                <w:rtl/>
              </w:rPr>
              <w:t>ی</w:t>
            </w:r>
            <w:r w:rsidRPr="0025250D">
              <w:rPr>
                <w:rFonts w:hint="eastAsia"/>
                <w:rtl/>
              </w:rPr>
              <w:t>ک</w:t>
            </w:r>
            <w:r w:rsidRPr="0025250D">
              <w:rPr>
                <w:vertAlign w:val="superscript"/>
                <w:rtl/>
              </w:rPr>
              <w:footnoteReference w:id="3135"/>
            </w:r>
            <w:r w:rsidRPr="0025250D">
              <w:rPr>
                <w:rFonts w:hint="eastAsia"/>
                <w:rtl/>
              </w:rPr>
              <w:t>؛</w:t>
            </w:r>
            <w:r w:rsidRPr="0025250D">
              <w:rPr>
                <w:rtl/>
              </w:rPr>
              <w:t xml:space="preserve"> خ</w:t>
            </w:r>
            <w:r w:rsidRPr="0025250D">
              <w:rPr>
                <w:rFonts w:hint="cs"/>
                <w:rtl/>
              </w:rPr>
              <w:t>ی</w:t>
            </w:r>
            <w:r w:rsidRPr="0025250D">
              <w:rPr>
                <w:rFonts w:hint="eastAsia"/>
                <w:rtl/>
              </w:rPr>
              <w:t>ر</w:t>
            </w:r>
            <w:r w:rsidRPr="0025250D">
              <w:rPr>
                <w:rFonts w:hint="cs"/>
                <w:rtl/>
              </w:rPr>
              <w:t>ی</w:t>
            </w:r>
            <w:r w:rsidRPr="0025250D">
              <w:rPr>
                <w:rFonts w:hint="eastAsia"/>
                <w:rtl/>
              </w:rPr>
              <w:t>ه</w:t>
            </w:r>
            <w:r w:rsidRPr="0025250D">
              <w:rPr>
                <w:rtl/>
              </w:rPr>
              <w:t xml:space="preserve"> غ</w:t>
            </w:r>
            <w:r w:rsidRPr="0025250D">
              <w:rPr>
                <w:rFonts w:hint="cs"/>
                <w:rtl/>
              </w:rPr>
              <w:t>ی</w:t>
            </w:r>
            <w:r w:rsidRPr="0025250D">
              <w:rPr>
                <w:rFonts w:hint="eastAsia"/>
                <w:rtl/>
              </w:rPr>
              <w:t>رانتفاع</w:t>
            </w:r>
            <w:r w:rsidRPr="0025250D">
              <w:rPr>
                <w:rFonts w:hint="cs"/>
                <w:rtl/>
              </w:rPr>
              <w:t>ی</w:t>
            </w:r>
            <w:r w:rsidRPr="0025250D">
              <w:rPr>
                <w:rFonts w:hint="eastAsia"/>
                <w:rtl/>
              </w:rPr>
              <w:t>،</w:t>
            </w:r>
            <w:r w:rsidRPr="0025250D">
              <w:rPr>
                <w:rtl/>
              </w:rPr>
              <w:t xml:space="preserve"> ا</w:t>
            </w:r>
            <w:r w:rsidRPr="0025250D">
              <w:rPr>
                <w:rFonts w:hint="cs"/>
                <w:rtl/>
              </w:rPr>
              <w:t>ی</w:t>
            </w:r>
            <w:r w:rsidRPr="0025250D">
              <w:rPr>
                <w:rFonts w:hint="eastAsia"/>
                <w:rtl/>
              </w:rPr>
              <w:t>جاد</w:t>
            </w:r>
            <w:r w:rsidRPr="0025250D">
              <w:rPr>
                <w:rtl/>
              </w:rPr>
              <w:t xml:space="preserve"> ظرف</w:t>
            </w:r>
            <w:r w:rsidRPr="0025250D">
              <w:rPr>
                <w:rFonts w:hint="cs"/>
                <w:rtl/>
              </w:rPr>
              <w:t>ی</w:t>
            </w:r>
            <w:r w:rsidRPr="0025250D">
              <w:rPr>
                <w:rFonts w:hint="eastAsia"/>
                <w:rtl/>
              </w:rPr>
              <w:t>ت</w:t>
            </w:r>
            <w:r w:rsidRPr="0025250D">
              <w:rPr>
                <w:rtl/>
              </w:rPr>
              <w:t xml:space="preserve"> نوآور</w:t>
            </w:r>
            <w:r w:rsidRPr="0025250D">
              <w:rPr>
                <w:rFonts w:hint="cs"/>
                <w:rtl/>
              </w:rPr>
              <w:t>ی</w:t>
            </w:r>
            <w:r w:rsidRPr="0025250D">
              <w:rPr>
                <w:rtl/>
              </w:rPr>
              <w:t xml:space="preserve"> در بر</w:t>
            </w:r>
            <w:r w:rsidRPr="0025250D">
              <w:rPr>
                <w:rFonts w:hint="cs"/>
                <w:rtl/>
              </w:rPr>
              <w:t>ی</w:t>
            </w:r>
            <w:r w:rsidRPr="0025250D">
              <w:rPr>
                <w:rFonts w:hint="eastAsia"/>
                <w:rtl/>
              </w:rPr>
              <w:t>تان</w:t>
            </w:r>
            <w:r w:rsidRPr="0025250D">
              <w:rPr>
                <w:rFonts w:hint="cs"/>
                <w:rtl/>
              </w:rPr>
              <w:t>ی</w:t>
            </w:r>
            <w:r w:rsidRPr="0025250D">
              <w:rPr>
                <w:rFonts w:hint="eastAsia"/>
                <w:rtl/>
              </w:rPr>
              <w:t>ا</w:t>
            </w:r>
          </w:p>
        </w:tc>
        <w:tc>
          <w:tcPr>
            <w:tcW w:w="1497" w:type="dxa"/>
            <w:vAlign w:val="center"/>
          </w:tcPr>
          <w:p w14:paraId="3E21586D" w14:textId="77777777" w:rsidR="00537CC8" w:rsidRPr="0025250D" w:rsidRDefault="00537CC8" w:rsidP="002925C9">
            <w:pPr>
              <w:bidi/>
              <w:spacing w:after="160"/>
              <w:jc w:val="center"/>
              <w:rPr>
                <w:rtl/>
              </w:rPr>
            </w:pPr>
            <w:r w:rsidRPr="0025250D">
              <w:rPr>
                <w:rtl/>
              </w:rPr>
              <w:t>1 (لندن</w:t>
            </w:r>
            <w:r w:rsidRPr="0025250D">
              <w:rPr>
                <w:rFonts w:hint="cs"/>
                <w:rtl/>
              </w:rPr>
              <w:t>)</w:t>
            </w:r>
          </w:p>
        </w:tc>
      </w:tr>
      <w:tr w:rsidR="00537CC8" w:rsidRPr="0025250D" w14:paraId="0DCD846E" w14:textId="77777777" w:rsidTr="002925C9">
        <w:tc>
          <w:tcPr>
            <w:tcW w:w="2266" w:type="dxa"/>
            <w:vAlign w:val="center"/>
          </w:tcPr>
          <w:p w14:paraId="565C566E" w14:textId="77777777" w:rsidR="00537CC8" w:rsidRPr="0025250D" w:rsidRDefault="007A207F" w:rsidP="002925C9">
            <w:pPr>
              <w:bidi/>
              <w:spacing w:after="160"/>
              <w:jc w:val="center"/>
            </w:pPr>
            <w:hyperlink r:id="rId428">
              <w:r w:rsidR="00537CC8" w:rsidRPr="0025250D">
                <w:rPr>
                  <w:rStyle w:val="Hyperlink"/>
                  <w:color w:val="auto"/>
                  <w:u w:val="none"/>
                </w:rPr>
                <w:t>Nine AB</w:t>
              </w:r>
            </w:hyperlink>
          </w:p>
        </w:tc>
        <w:tc>
          <w:tcPr>
            <w:tcW w:w="3597" w:type="dxa"/>
            <w:vAlign w:val="center"/>
          </w:tcPr>
          <w:p w14:paraId="2F6C9A3F" w14:textId="77777777" w:rsidR="00537CC8" w:rsidRPr="0025250D" w:rsidRDefault="00537CC8" w:rsidP="002925C9">
            <w:pPr>
              <w:bidi/>
              <w:spacing w:after="160"/>
              <w:jc w:val="center"/>
              <w:rPr>
                <w:rtl/>
              </w:rPr>
            </w:pPr>
            <w:r w:rsidRPr="0025250D">
              <w:rPr>
                <w:rtl/>
              </w:rPr>
              <w:t>ال</w:t>
            </w:r>
            <w:r w:rsidRPr="0025250D">
              <w:rPr>
                <w:rFonts w:hint="cs"/>
                <w:rtl/>
              </w:rPr>
              <w:t>ی</w:t>
            </w:r>
            <w:r w:rsidRPr="0025250D">
              <w:rPr>
                <w:rFonts w:hint="eastAsia"/>
                <w:rtl/>
              </w:rPr>
              <w:t>ن</w:t>
            </w:r>
            <w:r w:rsidRPr="0025250D">
              <w:rPr>
                <w:rtl/>
              </w:rPr>
              <w:t xml:space="preserve"> رودبرگ</w:t>
            </w:r>
            <w:r w:rsidRPr="0025250D">
              <w:rPr>
                <w:vertAlign w:val="superscript"/>
                <w:rtl/>
              </w:rPr>
              <w:footnoteReference w:id="3136"/>
            </w:r>
            <w:r w:rsidRPr="0025250D">
              <w:rPr>
                <w:rFonts w:hint="cs"/>
                <w:rtl/>
              </w:rPr>
              <w:t>؛</w:t>
            </w:r>
            <w:r w:rsidRPr="0025250D">
              <w:rPr>
                <w:rtl/>
              </w:rPr>
              <w:t xml:space="preserve"> مشاوره برند و نوآور</w:t>
            </w:r>
            <w:r w:rsidRPr="0025250D">
              <w:rPr>
                <w:rFonts w:hint="cs"/>
                <w:rtl/>
              </w:rPr>
              <w:t>ی</w:t>
            </w:r>
          </w:p>
        </w:tc>
        <w:tc>
          <w:tcPr>
            <w:tcW w:w="1497" w:type="dxa"/>
            <w:vAlign w:val="center"/>
          </w:tcPr>
          <w:p w14:paraId="74662605" w14:textId="77777777" w:rsidR="00537CC8" w:rsidRPr="0025250D" w:rsidRDefault="00537CC8" w:rsidP="002925C9">
            <w:pPr>
              <w:bidi/>
              <w:spacing w:after="160"/>
              <w:jc w:val="center"/>
              <w:rPr>
                <w:rtl/>
              </w:rPr>
            </w:pPr>
            <w:r w:rsidRPr="0025250D">
              <w:rPr>
                <w:rtl/>
              </w:rPr>
              <w:t>3 (استکهلم، سوئد)</w:t>
            </w:r>
          </w:p>
        </w:tc>
      </w:tr>
      <w:tr w:rsidR="00537CC8" w:rsidRPr="0025250D" w14:paraId="0749E4C1" w14:textId="77777777" w:rsidTr="002925C9">
        <w:tc>
          <w:tcPr>
            <w:tcW w:w="2266" w:type="dxa"/>
            <w:vAlign w:val="center"/>
          </w:tcPr>
          <w:p w14:paraId="205E381F" w14:textId="77777777" w:rsidR="00537CC8" w:rsidRPr="0025250D" w:rsidRDefault="007A207F" w:rsidP="002925C9">
            <w:pPr>
              <w:bidi/>
              <w:spacing w:after="160"/>
              <w:jc w:val="center"/>
            </w:pPr>
            <w:hyperlink r:id="rId429">
              <w:r w:rsidR="00537CC8" w:rsidRPr="0025250D">
                <w:rPr>
                  <w:rStyle w:val="Hyperlink"/>
                  <w:color w:val="auto"/>
                  <w:u w:val="none"/>
                </w:rPr>
                <w:t>Normann Partners</w:t>
              </w:r>
            </w:hyperlink>
          </w:p>
        </w:tc>
        <w:tc>
          <w:tcPr>
            <w:tcW w:w="3597" w:type="dxa"/>
            <w:vAlign w:val="center"/>
          </w:tcPr>
          <w:p w14:paraId="599BADAA" w14:textId="45C6B1F3" w:rsidR="00537CC8" w:rsidRPr="0025250D" w:rsidRDefault="00537CC8" w:rsidP="002925C9">
            <w:pPr>
              <w:bidi/>
              <w:spacing w:after="160"/>
              <w:jc w:val="center"/>
              <w:rPr>
                <w:rtl/>
              </w:rPr>
            </w:pPr>
            <w:r w:rsidRPr="0025250D">
              <w:rPr>
                <w:rtl/>
              </w:rPr>
              <w:t>دان</w:t>
            </w:r>
            <w:r w:rsidRPr="0025250D">
              <w:rPr>
                <w:rFonts w:hint="cs"/>
                <w:rtl/>
              </w:rPr>
              <w:t>ی</w:t>
            </w:r>
            <w:r w:rsidRPr="0025250D">
              <w:rPr>
                <w:rFonts w:hint="eastAsia"/>
                <w:rtl/>
              </w:rPr>
              <w:t>ل</w:t>
            </w:r>
            <w:r w:rsidRPr="0025250D">
              <w:rPr>
                <w:rtl/>
              </w:rPr>
              <w:t xml:space="preserve"> گرونکوئ</w:t>
            </w:r>
            <w:r w:rsidRPr="0025250D">
              <w:rPr>
                <w:rFonts w:hint="cs"/>
                <w:rtl/>
              </w:rPr>
              <w:t>ی</w:t>
            </w:r>
            <w:r w:rsidRPr="0025250D">
              <w:rPr>
                <w:rFonts w:hint="eastAsia"/>
                <w:rtl/>
              </w:rPr>
              <w:t>ست</w:t>
            </w:r>
            <w:r w:rsidRPr="0025250D">
              <w:rPr>
                <w:vertAlign w:val="superscript"/>
                <w:rtl/>
              </w:rPr>
              <w:footnoteReference w:id="3137"/>
            </w:r>
            <w:r w:rsidRPr="0025250D">
              <w:rPr>
                <w:rFonts w:hint="eastAsia"/>
                <w:rtl/>
              </w:rPr>
              <w:t>؛</w:t>
            </w:r>
            <w:r w:rsidRPr="0025250D">
              <w:rPr>
                <w:rtl/>
              </w:rPr>
              <w:t xml:space="preserve"> ب</w:t>
            </w:r>
            <w:r w:rsidRPr="0025250D">
              <w:rPr>
                <w:rFonts w:hint="cs"/>
                <w:rtl/>
              </w:rPr>
              <w:t>ی</w:t>
            </w:r>
            <w:r w:rsidRPr="0025250D">
              <w:rPr>
                <w:rFonts w:hint="eastAsia"/>
                <w:rtl/>
              </w:rPr>
              <w:t>ن</w:t>
            </w:r>
            <w:r w:rsidRPr="0025250D">
              <w:rPr>
                <w:rtl/>
              </w:rPr>
              <w:t xml:space="preserve"> الملل</w:t>
            </w:r>
            <w:r w:rsidRPr="0025250D">
              <w:rPr>
                <w:rFonts w:hint="cs"/>
                <w:rtl/>
              </w:rPr>
              <w:t>ی</w:t>
            </w:r>
            <w:r w:rsidRPr="0025250D">
              <w:rPr>
                <w:rtl/>
              </w:rPr>
              <w:t xml:space="preserve"> مشاوره در زم</w:t>
            </w:r>
            <w:r w:rsidRPr="0025250D">
              <w:rPr>
                <w:rFonts w:hint="cs"/>
                <w:rtl/>
              </w:rPr>
              <w:t>ی</w:t>
            </w:r>
            <w:r w:rsidRPr="0025250D">
              <w:rPr>
                <w:rFonts w:hint="eastAsia"/>
                <w:rtl/>
              </w:rPr>
              <w:t>نه</w:t>
            </w:r>
            <w:r w:rsidRPr="0025250D">
              <w:rPr>
                <w:rtl/>
              </w:rPr>
              <w:t xml:space="preserve"> نوآور</w:t>
            </w:r>
            <w:r w:rsidRPr="0025250D">
              <w:rPr>
                <w:rFonts w:hint="cs"/>
                <w:rtl/>
              </w:rPr>
              <w:t>ی</w:t>
            </w:r>
            <w:r w:rsidRPr="0025250D">
              <w:rPr>
                <w:rFonts w:hint="eastAsia"/>
                <w:rtl/>
              </w:rPr>
              <w:t>،</w:t>
            </w:r>
            <w:r w:rsidRPr="0025250D">
              <w:rPr>
                <w:rtl/>
              </w:rPr>
              <w:t xml:space="preserve"> </w:t>
            </w:r>
            <w:r w:rsidR="00701E03" w:rsidRPr="0025250D">
              <w:rPr>
                <w:rtl/>
              </w:rPr>
              <w:t>راهبرد</w:t>
            </w:r>
            <w:r w:rsidRPr="0025250D">
              <w:rPr>
                <w:rtl/>
              </w:rPr>
              <w:t xml:space="preserve"> و </w:t>
            </w:r>
            <w:r w:rsidR="007A53FD" w:rsidRPr="0025250D">
              <w:rPr>
                <w:rtl/>
              </w:rPr>
              <w:t>فرانامه</w:t>
            </w:r>
            <w:r w:rsidRPr="0025250D">
              <w:rPr>
                <w:rFonts w:hint="eastAsia"/>
                <w:rtl/>
              </w:rPr>
              <w:t>ها</w:t>
            </w:r>
          </w:p>
        </w:tc>
        <w:tc>
          <w:tcPr>
            <w:tcW w:w="1497" w:type="dxa"/>
            <w:vAlign w:val="center"/>
          </w:tcPr>
          <w:p w14:paraId="446239A2" w14:textId="77777777" w:rsidR="00537CC8" w:rsidRPr="0025250D" w:rsidRDefault="00537CC8" w:rsidP="002925C9">
            <w:pPr>
              <w:bidi/>
              <w:spacing w:after="160"/>
              <w:jc w:val="center"/>
              <w:rPr>
                <w:rtl/>
              </w:rPr>
            </w:pPr>
            <w:r w:rsidRPr="0025250D">
              <w:rPr>
                <w:rtl/>
              </w:rPr>
              <w:t>3 (سوئد</w:t>
            </w:r>
            <w:r w:rsidRPr="0025250D">
              <w:rPr>
                <w:rFonts w:hint="cs"/>
                <w:rtl/>
              </w:rPr>
              <w:t>)</w:t>
            </w:r>
          </w:p>
        </w:tc>
      </w:tr>
      <w:tr w:rsidR="00537CC8" w:rsidRPr="0025250D" w14:paraId="237F145F" w14:textId="77777777" w:rsidTr="002925C9">
        <w:tc>
          <w:tcPr>
            <w:tcW w:w="2266" w:type="dxa"/>
            <w:vAlign w:val="center"/>
          </w:tcPr>
          <w:p w14:paraId="38D97EFB" w14:textId="77777777" w:rsidR="00537CC8" w:rsidRPr="0025250D" w:rsidRDefault="007A207F" w:rsidP="002925C9">
            <w:pPr>
              <w:bidi/>
              <w:spacing w:after="160"/>
              <w:jc w:val="center"/>
            </w:pPr>
            <w:hyperlink r:id="rId430">
              <w:r w:rsidR="00537CC8" w:rsidRPr="0025250D">
                <w:rPr>
                  <w:rStyle w:val="Hyperlink"/>
                  <w:color w:val="auto"/>
                  <w:u w:val="none"/>
                </w:rPr>
                <w:t>PA Consulting Group</w:t>
              </w:r>
            </w:hyperlink>
          </w:p>
        </w:tc>
        <w:tc>
          <w:tcPr>
            <w:tcW w:w="3597" w:type="dxa"/>
            <w:vAlign w:val="center"/>
          </w:tcPr>
          <w:p w14:paraId="0AE925E0" w14:textId="41324DD0" w:rsidR="00537CC8" w:rsidRPr="0025250D" w:rsidRDefault="00537CC8" w:rsidP="002925C9">
            <w:pPr>
              <w:bidi/>
              <w:spacing w:after="160"/>
              <w:jc w:val="center"/>
              <w:rPr>
                <w:rtl/>
              </w:rPr>
            </w:pPr>
            <w:r w:rsidRPr="0025250D">
              <w:rPr>
                <w:rtl/>
              </w:rPr>
              <w:t>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جهان</w:t>
            </w:r>
            <w:r w:rsidRPr="0025250D">
              <w:rPr>
                <w:rFonts w:hint="cs"/>
                <w:rtl/>
              </w:rPr>
              <w:t>ی</w:t>
            </w:r>
            <w:r w:rsidRPr="0025250D">
              <w:rPr>
                <w:rFonts w:hint="eastAsia"/>
                <w:rtl/>
              </w:rPr>
              <w:t>،</w:t>
            </w:r>
            <w:r w:rsidRPr="0025250D">
              <w:rPr>
                <w:rtl/>
              </w:rPr>
              <w:t xml:space="preserve"> </w:t>
            </w:r>
            <w:r w:rsidR="008D6F97" w:rsidRPr="0025250D">
              <w:rPr>
                <w:rtl/>
              </w:rPr>
              <w:t>سامانه‌</w:t>
            </w:r>
            <w:r w:rsidRPr="0025250D">
              <w:rPr>
                <w:rtl/>
              </w:rPr>
              <w:t xml:space="preserve"> ها، نوآور</w:t>
            </w:r>
            <w:r w:rsidRPr="0025250D">
              <w:rPr>
                <w:rFonts w:hint="cs"/>
                <w:rtl/>
              </w:rPr>
              <w:t>ی</w:t>
            </w:r>
            <w:r w:rsidRPr="0025250D">
              <w:rPr>
                <w:rtl/>
              </w:rPr>
              <w:t xml:space="preserve"> و مشاوره فناور</w:t>
            </w:r>
            <w:r w:rsidRPr="0025250D">
              <w:rPr>
                <w:rFonts w:hint="cs"/>
                <w:rtl/>
              </w:rPr>
              <w:t>ی</w:t>
            </w:r>
            <w:r w:rsidRPr="0025250D">
              <w:rPr>
                <w:rtl/>
              </w:rPr>
              <w:t>. 70 سال</w:t>
            </w:r>
            <w:r w:rsidRPr="0025250D">
              <w:rPr>
                <w:rFonts w:hint="cs"/>
                <w:rtl/>
              </w:rPr>
              <w:t xml:space="preserve"> قدمت.</w:t>
            </w:r>
            <w:r w:rsidRPr="0025250D">
              <w:rPr>
                <w:rtl/>
              </w:rPr>
              <w:t xml:space="preserve"> کارمندان</w:t>
            </w:r>
          </w:p>
        </w:tc>
        <w:tc>
          <w:tcPr>
            <w:tcW w:w="1497" w:type="dxa"/>
            <w:vAlign w:val="center"/>
          </w:tcPr>
          <w:p w14:paraId="2D5EA8D1" w14:textId="77777777" w:rsidR="00537CC8" w:rsidRPr="0025250D" w:rsidRDefault="00537CC8" w:rsidP="002925C9">
            <w:pPr>
              <w:bidi/>
              <w:spacing w:after="160"/>
              <w:jc w:val="center"/>
              <w:rPr>
                <w:rtl/>
              </w:rPr>
            </w:pPr>
            <w:r w:rsidRPr="0025250D">
              <w:rPr>
                <w:rtl/>
              </w:rPr>
              <w:t>3 (لندن</w:t>
            </w:r>
            <w:r w:rsidRPr="0025250D">
              <w:rPr>
                <w:rFonts w:hint="cs"/>
                <w:rtl/>
              </w:rPr>
              <w:t>)</w:t>
            </w:r>
          </w:p>
        </w:tc>
      </w:tr>
      <w:tr w:rsidR="00537CC8" w:rsidRPr="0025250D" w14:paraId="2A40EE1B" w14:textId="77777777" w:rsidTr="002925C9">
        <w:tc>
          <w:tcPr>
            <w:tcW w:w="2266" w:type="dxa"/>
            <w:vAlign w:val="center"/>
          </w:tcPr>
          <w:p w14:paraId="5D3D4E10" w14:textId="77777777" w:rsidR="00537CC8" w:rsidRPr="0025250D" w:rsidRDefault="007A207F" w:rsidP="002925C9">
            <w:pPr>
              <w:bidi/>
              <w:spacing w:after="160"/>
              <w:jc w:val="center"/>
            </w:pPr>
            <w:hyperlink r:id="rId431">
              <w:r w:rsidR="00537CC8" w:rsidRPr="0025250D">
                <w:rPr>
                  <w:rStyle w:val="Hyperlink"/>
                  <w:color w:val="auto"/>
                  <w:u w:val="none"/>
                </w:rPr>
                <w:t>Pattern Recognition Tech</w:t>
              </w:r>
            </w:hyperlink>
          </w:p>
        </w:tc>
        <w:tc>
          <w:tcPr>
            <w:tcW w:w="3597" w:type="dxa"/>
            <w:vAlign w:val="center"/>
          </w:tcPr>
          <w:p w14:paraId="13E89594" w14:textId="5BA4F889" w:rsidR="00537CC8" w:rsidRPr="0025250D" w:rsidRDefault="00537CC8" w:rsidP="002925C9">
            <w:pPr>
              <w:bidi/>
              <w:spacing w:after="160"/>
              <w:jc w:val="center"/>
              <w:rPr>
                <w:rtl/>
              </w:rPr>
            </w:pPr>
            <w:r w:rsidRPr="0025250D">
              <w:rPr>
                <w:rtl/>
              </w:rPr>
              <w:t>صنعت نفت و انرژ</w:t>
            </w:r>
            <w:r w:rsidRPr="0025250D">
              <w:rPr>
                <w:rFonts w:hint="cs"/>
                <w:rtl/>
              </w:rPr>
              <w:t>ی</w:t>
            </w:r>
            <w:r w:rsidRPr="0025250D">
              <w:rPr>
                <w:rFonts w:hint="eastAsia"/>
                <w:rtl/>
              </w:rPr>
              <w:t>؛</w:t>
            </w:r>
            <w:r w:rsidRPr="0025250D">
              <w:rPr>
                <w:rtl/>
              </w:rPr>
              <w:t xml:space="preserve"> </w:t>
            </w:r>
            <w:r w:rsidR="00D92F6E" w:rsidRPr="0025250D">
              <w:rPr>
                <w:rtl/>
              </w:rPr>
              <w:t>پیش‌بین</w:t>
            </w:r>
            <w:r w:rsidRPr="0025250D">
              <w:rPr>
                <w:rFonts w:hint="cs"/>
                <w:rtl/>
              </w:rPr>
              <w:t>ی</w:t>
            </w:r>
            <w:r w:rsidRPr="0025250D">
              <w:rPr>
                <w:rtl/>
              </w:rPr>
              <w:t xml:space="preserve"> بار، ق</w:t>
            </w:r>
            <w:r w:rsidRPr="0025250D">
              <w:rPr>
                <w:rFonts w:hint="cs"/>
                <w:rtl/>
              </w:rPr>
              <w:t>ی</w:t>
            </w:r>
            <w:r w:rsidRPr="0025250D">
              <w:rPr>
                <w:rFonts w:hint="eastAsia"/>
                <w:rtl/>
              </w:rPr>
              <w:t>مت</w:t>
            </w:r>
            <w:r w:rsidRPr="0025250D">
              <w:rPr>
                <w:rtl/>
              </w:rPr>
              <w:t xml:space="preserve"> و تقاضا</w:t>
            </w:r>
          </w:p>
        </w:tc>
        <w:tc>
          <w:tcPr>
            <w:tcW w:w="1497" w:type="dxa"/>
            <w:vAlign w:val="center"/>
          </w:tcPr>
          <w:p w14:paraId="5CBF1978" w14:textId="77777777" w:rsidR="00537CC8" w:rsidRPr="0025250D" w:rsidRDefault="00537CC8" w:rsidP="002925C9">
            <w:pPr>
              <w:bidi/>
              <w:spacing w:after="160"/>
              <w:jc w:val="center"/>
              <w:rPr>
                <w:rtl/>
              </w:rPr>
            </w:pPr>
            <w:r w:rsidRPr="0025250D">
              <w:rPr>
                <w:rtl/>
              </w:rPr>
              <w:t>1 (پلانو</w:t>
            </w:r>
            <w:r w:rsidRPr="0025250D">
              <w:rPr>
                <w:rFonts w:hint="cs"/>
                <w:rtl/>
              </w:rPr>
              <w:t>)</w:t>
            </w:r>
          </w:p>
        </w:tc>
      </w:tr>
      <w:tr w:rsidR="00537CC8" w:rsidRPr="0025250D" w14:paraId="6FCF9566" w14:textId="77777777" w:rsidTr="002925C9">
        <w:tc>
          <w:tcPr>
            <w:tcW w:w="2266" w:type="dxa"/>
            <w:vAlign w:val="center"/>
          </w:tcPr>
          <w:p w14:paraId="17FB4FA9" w14:textId="77777777" w:rsidR="00537CC8" w:rsidRPr="0025250D" w:rsidRDefault="007A207F" w:rsidP="002925C9">
            <w:pPr>
              <w:bidi/>
              <w:spacing w:after="160"/>
              <w:jc w:val="center"/>
            </w:pPr>
            <w:hyperlink r:id="rId432">
              <w:r w:rsidR="00537CC8" w:rsidRPr="0025250D">
                <w:rPr>
                  <w:rStyle w:val="Hyperlink"/>
                  <w:color w:val="auto"/>
                  <w:u w:val="none"/>
                </w:rPr>
                <w:t>Prognos AG</w:t>
              </w:r>
            </w:hyperlink>
          </w:p>
        </w:tc>
        <w:tc>
          <w:tcPr>
            <w:tcW w:w="3597" w:type="dxa"/>
            <w:vAlign w:val="center"/>
          </w:tcPr>
          <w:p w14:paraId="1F2BD5AC" w14:textId="48A792E6" w:rsidR="00537CC8" w:rsidRPr="0025250D" w:rsidRDefault="00537CC8" w:rsidP="002925C9">
            <w:pPr>
              <w:bidi/>
              <w:spacing w:after="160"/>
              <w:jc w:val="center"/>
              <w:rPr>
                <w:rtl/>
              </w:rPr>
            </w:pPr>
            <w:r w:rsidRPr="0025250D">
              <w:rPr>
                <w:rtl/>
              </w:rPr>
              <w:t>تجز</w:t>
            </w:r>
            <w:r w:rsidRPr="0025250D">
              <w:rPr>
                <w:rFonts w:hint="cs"/>
                <w:rtl/>
              </w:rPr>
              <w:t>ی</w:t>
            </w:r>
            <w:r w:rsidRPr="0025250D">
              <w:rPr>
                <w:rFonts w:hint="eastAsia"/>
                <w:rtl/>
              </w:rPr>
              <w:t>ه</w:t>
            </w:r>
            <w:r w:rsidRPr="0025250D">
              <w:rPr>
                <w:rtl/>
              </w:rPr>
              <w:t xml:space="preserve"> و تحل</w:t>
            </w:r>
            <w:r w:rsidRPr="0025250D">
              <w:rPr>
                <w:rFonts w:hint="cs"/>
                <w:rtl/>
              </w:rPr>
              <w:t>ی</w:t>
            </w:r>
            <w:r w:rsidRPr="0025250D">
              <w:rPr>
                <w:rFonts w:hint="eastAsia"/>
                <w:rtl/>
              </w:rPr>
              <w:t>ل،</w:t>
            </w:r>
            <w:r w:rsidRPr="0025250D">
              <w:rPr>
                <w:rtl/>
              </w:rPr>
              <w:t xml:space="preserve"> </w:t>
            </w:r>
            <w:r w:rsidR="00D92F6E" w:rsidRPr="0025250D">
              <w:rPr>
                <w:rtl/>
              </w:rPr>
              <w:t>پیش‌بین</w:t>
            </w:r>
            <w:r w:rsidRPr="0025250D">
              <w:rPr>
                <w:rFonts w:hint="cs"/>
                <w:rtl/>
              </w:rPr>
              <w:t>ی</w:t>
            </w:r>
            <w:r w:rsidRPr="0025250D">
              <w:rPr>
                <w:rtl/>
              </w:rPr>
              <w:t xml:space="preserve"> و ارز</w:t>
            </w:r>
            <w:r w:rsidRPr="0025250D">
              <w:rPr>
                <w:rFonts w:hint="cs"/>
                <w:rtl/>
              </w:rPr>
              <w:t>ی</w:t>
            </w:r>
            <w:r w:rsidRPr="0025250D">
              <w:rPr>
                <w:rFonts w:hint="eastAsia"/>
                <w:rtl/>
              </w:rPr>
              <w:t>اب</w:t>
            </w:r>
            <w:r w:rsidRPr="0025250D">
              <w:rPr>
                <w:rFonts w:hint="cs"/>
                <w:rtl/>
              </w:rPr>
              <w:t>ی</w:t>
            </w:r>
            <w:r w:rsidRPr="0025250D">
              <w:rPr>
                <w:rtl/>
              </w:rPr>
              <w:t xml:space="preserve"> برا</w:t>
            </w:r>
            <w:r w:rsidRPr="0025250D">
              <w:rPr>
                <w:rFonts w:hint="cs"/>
                <w:rtl/>
              </w:rPr>
              <w:t>ی</w:t>
            </w:r>
            <w:r w:rsidRPr="0025250D">
              <w:rPr>
                <w:rtl/>
              </w:rPr>
              <w:t xml:space="preserve"> </w:t>
            </w:r>
            <w:r w:rsidR="00701E03" w:rsidRPr="0025250D">
              <w:rPr>
                <w:rtl/>
              </w:rPr>
              <w:t>راهبرد</w:t>
            </w:r>
            <w:r w:rsidRPr="0025250D">
              <w:rPr>
                <w:rtl/>
              </w:rPr>
              <w:t xml:space="preserve"> و </w:t>
            </w:r>
            <w:r w:rsidR="0008779C" w:rsidRPr="0025250D">
              <w:rPr>
                <w:rtl/>
              </w:rPr>
              <w:t>تصمیم‌گیری</w:t>
            </w:r>
            <w:r w:rsidRPr="0025250D">
              <w:rPr>
                <w:rtl/>
              </w:rPr>
              <w:t xml:space="preserve"> در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پسماند و صنا</w:t>
            </w:r>
            <w:r w:rsidRPr="0025250D">
              <w:rPr>
                <w:rFonts w:hint="cs"/>
                <w:rtl/>
              </w:rPr>
              <w:t>ی</w:t>
            </w:r>
            <w:r w:rsidRPr="0025250D">
              <w:rPr>
                <w:rFonts w:hint="eastAsia"/>
                <w:rtl/>
              </w:rPr>
              <w:t>ع</w:t>
            </w:r>
            <w:r w:rsidRPr="0025250D">
              <w:rPr>
                <w:rtl/>
              </w:rPr>
              <w:t xml:space="preserve"> انرژ</w:t>
            </w:r>
            <w:r w:rsidRPr="0025250D">
              <w:rPr>
                <w:rFonts w:hint="cs"/>
                <w:rtl/>
              </w:rPr>
              <w:t>ی</w:t>
            </w:r>
          </w:p>
        </w:tc>
        <w:tc>
          <w:tcPr>
            <w:tcW w:w="1497" w:type="dxa"/>
            <w:vAlign w:val="center"/>
          </w:tcPr>
          <w:p w14:paraId="6FB0E1B3" w14:textId="77777777" w:rsidR="00537CC8" w:rsidRPr="0025250D" w:rsidRDefault="00537CC8" w:rsidP="002925C9">
            <w:pPr>
              <w:bidi/>
              <w:spacing w:after="160"/>
              <w:jc w:val="center"/>
              <w:rPr>
                <w:rtl/>
              </w:rPr>
            </w:pPr>
            <w:r w:rsidRPr="0025250D">
              <w:rPr>
                <w:rtl/>
              </w:rPr>
              <w:t>3 (آلمان)</w:t>
            </w:r>
          </w:p>
        </w:tc>
      </w:tr>
      <w:tr w:rsidR="00537CC8" w:rsidRPr="0025250D" w14:paraId="50514237" w14:textId="77777777" w:rsidTr="002925C9">
        <w:tc>
          <w:tcPr>
            <w:tcW w:w="2266" w:type="dxa"/>
            <w:vAlign w:val="center"/>
          </w:tcPr>
          <w:p w14:paraId="09A35030" w14:textId="77777777" w:rsidR="00537CC8" w:rsidRPr="0025250D" w:rsidRDefault="007A207F" w:rsidP="002925C9">
            <w:pPr>
              <w:bidi/>
              <w:spacing w:after="160"/>
              <w:jc w:val="center"/>
            </w:pPr>
            <w:hyperlink r:id="rId433">
              <w:r w:rsidR="00537CC8" w:rsidRPr="0025250D">
                <w:rPr>
                  <w:rStyle w:val="Hyperlink"/>
                  <w:color w:val="auto"/>
                  <w:u w:val="none"/>
                </w:rPr>
                <w:t>PSFK</w:t>
              </w:r>
            </w:hyperlink>
          </w:p>
        </w:tc>
        <w:tc>
          <w:tcPr>
            <w:tcW w:w="3597" w:type="dxa"/>
            <w:vAlign w:val="center"/>
          </w:tcPr>
          <w:p w14:paraId="5947E4BA" w14:textId="77777777" w:rsidR="00537CC8" w:rsidRPr="0025250D" w:rsidRDefault="00537CC8" w:rsidP="002925C9">
            <w:pPr>
              <w:bidi/>
              <w:spacing w:after="160"/>
              <w:jc w:val="center"/>
              <w:rPr>
                <w:rtl/>
              </w:rPr>
            </w:pPr>
            <w:r w:rsidRPr="0025250D">
              <w:rPr>
                <w:rtl/>
              </w:rPr>
              <w:t>پ</w:t>
            </w:r>
            <w:r w:rsidRPr="0025250D">
              <w:rPr>
                <w:rFonts w:hint="cs"/>
                <w:rtl/>
              </w:rPr>
              <w:t>ی</w:t>
            </w:r>
            <w:r w:rsidRPr="0025250D">
              <w:rPr>
                <w:rFonts w:hint="eastAsia"/>
                <w:rtl/>
              </w:rPr>
              <w:t>رز</w:t>
            </w:r>
            <w:r w:rsidRPr="0025250D">
              <w:rPr>
                <w:rtl/>
              </w:rPr>
              <w:t xml:space="preserve"> فاکس</w:t>
            </w:r>
            <w:r w:rsidRPr="0025250D">
              <w:rPr>
                <w:vertAlign w:val="superscript"/>
                <w:rtl/>
              </w:rPr>
              <w:footnoteReference w:id="3138"/>
            </w:r>
            <w:r w:rsidRPr="0025250D">
              <w:rPr>
                <w:rFonts w:hint="cs"/>
                <w:rtl/>
              </w:rPr>
              <w:t>؛</w:t>
            </w:r>
            <w:r w:rsidRPr="0025250D">
              <w:rPr>
                <w:rtl/>
              </w:rPr>
              <w:t xml:space="preserve"> مشاوره روند، نوآور</w:t>
            </w:r>
            <w:r w:rsidRPr="0025250D">
              <w:rPr>
                <w:rFonts w:hint="cs"/>
                <w:rtl/>
              </w:rPr>
              <w:t>ی</w:t>
            </w:r>
            <w:r w:rsidRPr="0025250D">
              <w:rPr>
                <w:rtl/>
              </w:rPr>
              <w:t xml:space="preserve"> و بازار.</w:t>
            </w:r>
          </w:p>
        </w:tc>
        <w:tc>
          <w:tcPr>
            <w:tcW w:w="1497" w:type="dxa"/>
            <w:vAlign w:val="center"/>
          </w:tcPr>
          <w:p w14:paraId="361EA29D" w14:textId="77777777" w:rsidR="00537CC8" w:rsidRPr="0025250D" w:rsidRDefault="00537CC8" w:rsidP="002925C9">
            <w:pPr>
              <w:bidi/>
              <w:spacing w:after="160"/>
              <w:jc w:val="center"/>
              <w:rPr>
                <w:rtl/>
              </w:rPr>
            </w:pPr>
            <w:r w:rsidRPr="0025250D">
              <w:rPr>
                <w:rtl/>
              </w:rPr>
              <w:t>1 (ن</w:t>
            </w:r>
            <w:r w:rsidRPr="0025250D">
              <w:rPr>
                <w:rFonts w:hint="cs"/>
                <w:rtl/>
              </w:rPr>
              <w:t>ی</w:t>
            </w:r>
            <w:r w:rsidRPr="0025250D">
              <w:rPr>
                <w:rFonts w:hint="eastAsia"/>
                <w:rtl/>
              </w:rPr>
              <w:t>و</w:t>
            </w:r>
            <w:r w:rsidRPr="0025250D">
              <w:rPr>
                <w:rFonts w:hint="cs"/>
                <w:rtl/>
              </w:rPr>
              <w:t>ی</w:t>
            </w:r>
            <w:r w:rsidRPr="0025250D">
              <w:rPr>
                <w:rFonts w:hint="eastAsia"/>
                <w:rtl/>
              </w:rPr>
              <w:t>ورک</w:t>
            </w:r>
            <w:r w:rsidRPr="0025250D">
              <w:rPr>
                <w:rFonts w:hint="cs"/>
                <w:rtl/>
              </w:rPr>
              <w:t>)</w:t>
            </w:r>
          </w:p>
        </w:tc>
      </w:tr>
      <w:tr w:rsidR="00537CC8" w:rsidRPr="0025250D" w14:paraId="36E7F1BC" w14:textId="77777777" w:rsidTr="002925C9">
        <w:tc>
          <w:tcPr>
            <w:tcW w:w="2266" w:type="dxa"/>
            <w:vAlign w:val="center"/>
          </w:tcPr>
          <w:p w14:paraId="5866285F" w14:textId="77777777" w:rsidR="00537CC8" w:rsidRPr="0025250D" w:rsidRDefault="007A207F" w:rsidP="002925C9">
            <w:pPr>
              <w:bidi/>
              <w:spacing w:after="160"/>
              <w:jc w:val="center"/>
            </w:pPr>
            <w:hyperlink r:id="rId434">
              <w:r w:rsidR="00537CC8" w:rsidRPr="0025250D">
                <w:rPr>
                  <w:rStyle w:val="Hyperlink"/>
                  <w:color w:val="auto"/>
                  <w:u w:val="none"/>
                </w:rPr>
                <w:t>Quid</w:t>
              </w:r>
            </w:hyperlink>
          </w:p>
        </w:tc>
        <w:tc>
          <w:tcPr>
            <w:tcW w:w="3597" w:type="dxa"/>
            <w:vAlign w:val="center"/>
          </w:tcPr>
          <w:p w14:paraId="6227B008" w14:textId="77777777" w:rsidR="00537CC8" w:rsidRPr="0025250D" w:rsidRDefault="00537CC8" w:rsidP="002925C9">
            <w:pPr>
              <w:bidi/>
              <w:spacing w:after="160"/>
              <w:jc w:val="center"/>
              <w:rPr>
                <w:rtl/>
              </w:rPr>
            </w:pPr>
            <w:r w:rsidRPr="0025250D">
              <w:rPr>
                <w:rtl/>
              </w:rPr>
              <w:t>محصول نرم افزار</w:t>
            </w:r>
            <w:r w:rsidRPr="0025250D">
              <w:rPr>
                <w:rFonts w:hint="cs"/>
                <w:rtl/>
              </w:rPr>
              <w:t>ی</w:t>
            </w:r>
            <w:r w:rsidRPr="0025250D">
              <w:rPr>
                <w:rtl/>
              </w:rPr>
              <w:t xml:space="preserve"> برا</w:t>
            </w:r>
            <w:r w:rsidRPr="0025250D">
              <w:rPr>
                <w:rFonts w:hint="cs"/>
                <w:rtl/>
              </w:rPr>
              <w:t>ی</w:t>
            </w:r>
            <w:r w:rsidRPr="0025250D">
              <w:rPr>
                <w:rtl/>
              </w:rPr>
              <w:t xml:space="preserve"> تحل</w:t>
            </w:r>
            <w:r w:rsidRPr="0025250D">
              <w:rPr>
                <w:rFonts w:hint="cs"/>
                <w:rtl/>
              </w:rPr>
              <w:t>ی</w:t>
            </w:r>
            <w:r w:rsidRPr="0025250D">
              <w:rPr>
                <w:rFonts w:hint="eastAsia"/>
                <w:rtl/>
              </w:rPr>
              <w:t>ل</w:t>
            </w:r>
            <w:r w:rsidRPr="0025250D">
              <w:rPr>
                <w:rtl/>
              </w:rPr>
              <w:t xml:space="preserve"> روا</w:t>
            </w:r>
            <w:r w:rsidRPr="0025250D">
              <w:rPr>
                <w:rFonts w:hint="cs"/>
                <w:rtl/>
              </w:rPr>
              <w:t>یی</w:t>
            </w:r>
            <w:r w:rsidRPr="0025250D">
              <w:rPr>
                <w:rFonts w:hint="eastAsia"/>
                <w:rtl/>
              </w:rPr>
              <w:t>،</w:t>
            </w:r>
            <w:r w:rsidRPr="0025250D">
              <w:rPr>
                <w:rtl/>
              </w:rPr>
              <w:t xml:space="preserve"> فناور</w:t>
            </w:r>
            <w:r w:rsidRPr="0025250D">
              <w:rPr>
                <w:rFonts w:hint="cs"/>
                <w:rtl/>
              </w:rPr>
              <w:t>ی</w:t>
            </w:r>
            <w:r w:rsidRPr="0025250D">
              <w:rPr>
                <w:rtl/>
              </w:rPr>
              <w:t xml:space="preserve"> و محوطه ساز</w:t>
            </w:r>
            <w:r w:rsidRPr="0025250D">
              <w:rPr>
                <w:rFonts w:hint="cs"/>
                <w:rtl/>
              </w:rPr>
              <w:t>ی</w:t>
            </w:r>
            <w:r w:rsidRPr="0025250D">
              <w:rPr>
                <w:rtl/>
              </w:rPr>
              <w:t xml:space="preserve"> صنعت، تحل</w:t>
            </w:r>
            <w:r w:rsidRPr="0025250D">
              <w:rPr>
                <w:rFonts w:hint="cs"/>
                <w:rtl/>
              </w:rPr>
              <w:t>ی</w:t>
            </w:r>
            <w:r w:rsidRPr="0025250D">
              <w:rPr>
                <w:rFonts w:hint="eastAsia"/>
                <w:rtl/>
              </w:rPr>
              <w:t>ل</w:t>
            </w:r>
            <w:r w:rsidRPr="0025250D">
              <w:rPr>
                <w:rtl/>
              </w:rPr>
              <w:t xml:space="preserve"> روند.</w:t>
            </w:r>
          </w:p>
        </w:tc>
        <w:tc>
          <w:tcPr>
            <w:tcW w:w="1497" w:type="dxa"/>
            <w:vAlign w:val="center"/>
          </w:tcPr>
          <w:p w14:paraId="279915D9" w14:textId="77777777" w:rsidR="00537CC8" w:rsidRPr="0025250D" w:rsidRDefault="00537CC8" w:rsidP="002925C9">
            <w:pPr>
              <w:bidi/>
              <w:spacing w:after="160"/>
              <w:jc w:val="center"/>
              <w:rPr>
                <w:rtl/>
              </w:rPr>
            </w:pPr>
            <w:r w:rsidRPr="0025250D">
              <w:rPr>
                <w:rtl/>
              </w:rPr>
              <w:t>1 (سانفرانس</w:t>
            </w:r>
            <w:r w:rsidRPr="0025250D">
              <w:rPr>
                <w:rFonts w:hint="cs"/>
                <w:rtl/>
              </w:rPr>
              <w:t>ی</w:t>
            </w:r>
            <w:r w:rsidRPr="0025250D">
              <w:rPr>
                <w:rFonts w:hint="eastAsia"/>
                <w:rtl/>
              </w:rPr>
              <w:t>سکو</w:t>
            </w:r>
            <w:r w:rsidRPr="0025250D">
              <w:rPr>
                <w:rFonts w:hint="cs"/>
                <w:rtl/>
              </w:rPr>
              <w:t>)</w:t>
            </w:r>
          </w:p>
        </w:tc>
      </w:tr>
      <w:tr w:rsidR="00537CC8" w:rsidRPr="0025250D" w14:paraId="6640A35B" w14:textId="77777777" w:rsidTr="002925C9">
        <w:tc>
          <w:tcPr>
            <w:tcW w:w="2266" w:type="dxa"/>
            <w:vAlign w:val="center"/>
          </w:tcPr>
          <w:p w14:paraId="7B319335" w14:textId="77777777" w:rsidR="00537CC8" w:rsidRPr="0025250D" w:rsidRDefault="007A207F" w:rsidP="002925C9">
            <w:pPr>
              <w:bidi/>
              <w:spacing w:after="160"/>
              <w:jc w:val="center"/>
            </w:pPr>
            <w:hyperlink r:id="rId435">
              <w:r w:rsidR="00537CC8" w:rsidRPr="0025250D">
                <w:rPr>
                  <w:rStyle w:val="Hyperlink"/>
                  <w:color w:val="auto"/>
                  <w:u w:val="none"/>
                </w:rPr>
                <w:t>Recorded Future</w:t>
              </w:r>
            </w:hyperlink>
          </w:p>
        </w:tc>
        <w:tc>
          <w:tcPr>
            <w:tcW w:w="3597" w:type="dxa"/>
            <w:vAlign w:val="center"/>
          </w:tcPr>
          <w:p w14:paraId="37E95742" w14:textId="0930D4D5" w:rsidR="00537CC8" w:rsidRPr="0025250D" w:rsidRDefault="00537CC8" w:rsidP="002925C9">
            <w:pPr>
              <w:bidi/>
              <w:spacing w:after="160"/>
              <w:jc w:val="center"/>
              <w:rPr>
                <w:rtl/>
              </w:rPr>
            </w:pPr>
            <w:r w:rsidRPr="0025250D">
              <w:rPr>
                <w:rtl/>
              </w:rPr>
              <w:t>محصولات نرم افزار</w:t>
            </w:r>
            <w:r w:rsidRPr="0025250D">
              <w:rPr>
                <w:rFonts w:hint="cs"/>
                <w:rtl/>
              </w:rPr>
              <w:t>ی</w:t>
            </w:r>
            <w:r w:rsidRPr="0025250D">
              <w:rPr>
                <w:rtl/>
              </w:rPr>
              <w:t xml:space="preserve"> هوش وب و تجز</w:t>
            </w:r>
            <w:r w:rsidRPr="0025250D">
              <w:rPr>
                <w:rFonts w:hint="cs"/>
                <w:rtl/>
              </w:rPr>
              <w:t>ی</w:t>
            </w:r>
            <w:r w:rsidRPr="0025250D">
              <w:rPr>
                <w:rFonts w:hint="eastAsia"/>
                <w:rtl/>
              </w:rPr>
              <w:t>ه</w:t>
            </w:r>
            <w:r w:rsidRPr="0025250D">
              <w:rPr>
                <w:rtl/>
              </w:rPr>
              <w:t xml:space="preserve"> و تحل</w:t>
            </w:r>
            <w:r w:rsidRPr="0025250D">
              <w:rPr>
                <w:rFonts w:hint="cs"/>
                <w:rtl/>
              </w:rPr>
              <w:t>ی</w:t>
            </w:r>
            <w:r w:rsidRPr="0025250D">
              <w:rPr>
                <w:rFonts w:hint="eastAsia"/>
                <w:rtl/>
              </w:rPr>
              <w:t>ل</w:t>
            </w:r>
            <w:r w:rsidRPr="0025250D">
              <w:rPr>
                <w:rtl/>
              </w:rPr>
              <w:t xml:space="preserve"> </w:t>
            </w:r>
            <w:r w:rsidR="00D92F6E" w:rsidRPr="0025250D">
              <w:rPr>
                <w:rtl/>
              </w:rPr>
              <w:t>پیش‌بین</w:t>
            </w:r>
            <w:r w:rsidRPr="0025250D">
              <w:rPr>
                <w:rFonts w:hint="cs"/>
                <w:rtl/>
              </w:rPr>
              <w:t>ی</w:t>
            </w:r>
          </w:p>
        </w:tc>
        <w:tc>
          <w:tcPr>
            <w:tcW w:w="1497" w:type="dxa"/>
            <w:vAlign w:val="center"/>
          </w:tcPr>
          <w:p w14:paraId="0DC55453" w14:textId="77777777" w:rsidR="00537CC8" w:rsidRPr="0025250D" w:rsidRDefault="00537CC8" w:rsidP="002925C9">
            <w:pPr>
              <w:bidi/>
              <w:spacing w:after="160"/>
              <w:jc w:val="center"/>
              <w:rPr>
                <w:rtl/>
              </w:rPr>
            </w:pPr>
            <w:r w:rsidRPr="0025250D">
              <w:rPr>
                <w:rtl/>
              </w:rPr>
              <w:t>1، 3 (کمبر</w:t>
            </w:r>
            <w:r w:rsidRPr="0025250D">
              <w:rPr>
                <w:rFonts w:hint="cs"/>
                <w:rtl/>
              </w:rPr>
              <w:t>ی</w:t>
            </w:r>
            <w:r w:rsidRPr="0025250D">
              <w:rPr>
                <w:rFonts w:hint="eastAsia"/>
                <w:rtl/>
              </w:rPr>
              <w:t>ج،</w:t>
            </w:r>
            <w:r w:rsidRPr="0025250D">
              <w:rPr>
                <w:rtl/>
              </w:rPr>
              <w:t xml:space="preserve"> </w:t>
            </w:r>
            <w:r w:rsidRPr="0025250D">
              <w:t>MA</w:t>
            </w:r>
            <w:r w:rsidRPr="0025250D">
              <w:rPr>
                <w:rtl/>
              </w:rPr>
              <w:t>؛ گوتبورگ، سوئد)</w:t>
            </w:r>
          </w:p>
        </w:tc>
      </w:tr>
      <w:tr w:rsidR="00537CC8" w:rsidRPr="0025250D" w14:paraId="015EFC1D" w14:textId="77777777" w:rsidTr="002925C9">
        <w:tc>
          <w:tcPr>
            <w:tcW w:w="2266" w:type="dxa"/>
            <w:vAlign w:val="center"/>
          </w:tcPr>
          <w:p w14:paraId="58C7C488" w14:textId="77777777" w:rsidR="00537CC8" w:rsidRPr="0025250D" w:rsidRDefault="007A207F" w:rsidP="002925C9">
            <w:pPr>
              <w:bidi/>
              <w:spacing w:after="160"/>
              <w:jc w:val="center"/>
            </w:pPr>
            <w:hyperlink r:id="rId436">
              <w:r w:rsidR="00537CC8" w:rsidRPr="0025250D">
                <w:rPr>
                  <w:rStyle w:val="Hyperlink"/>
                  <w:color w:val="auto"/>
                  <w:u w:val="none"/>
                </w:rPr>
                <w:t>Resonance Consultancy</w:t>
              </w:r>
            </w:hyperlink>
          </w:p>
        </w:tc>
        <w:tc>
          <w:tcPr>
            <w:tcW w:w="3597" w:type="dxa"/>
            <w:vAlign w:val="center"/>
          </w:tcPr>
          <w:p w14:paraId="02CB7385" w14:textId="6D79216B" w:rsidR="00537CC8" w:rsidRPr="0025250D" w:rsidRDefault="00537CC8" w:rsidP="002925C9">
            <w:pPr>
              <w:bidi/>
              <w:spacing w:after="160"/>
              <w:jc w:val="center"/>
              <w:rPr>
                <w:rtl/>
              </w:rPr>
            </w:pPr>
            <w:r w:rsidRPr="0025250D">
              <w:rPr>
                <w:rtl/>
              </w:rPr>
              <w:t>کر</w:t>
            </w:r>
            <w:r w:rsidRPr="0025250D">
              <w:rPr>
                <w:rFonts w:hint="cs"/>
                <w:rtl/>
              </w:rPr>
              <w:t>ی</w:t>
            </w:r>
            <w:r w:rsidRPr="0025250D">
              <w:rPr>
                <w:rFonts w:hint="eastAsia"/>
                <w:rtl/>
              </w:rPr>
              <w:t>س</w:t>
            </w:r>
            <w:r w:rsidRPr="0025250D">
              <w:rPr>
                <w:rtl/>
              </w:rPr>
              <w:t xml:space="preserve"> فر؛ برندساز</w:t>
            </w:r>
            <w:r w:rsidRPr="0025250D">
              <w:rPr>
                <w:rFonts w:hint="cs"/>
                <w:rtl/>
              </w:rPr>
              <w:t>ی</w:t>
            </w:r>
            <w:r w:rsidRPr="0025250D">
              <w:rPr>
                <w:rtl/>
              </w:rPr>
              <w:t xml:space="preserve"> </w:t>
            </w:r>
            <w:r w:rsidRPr="0025250D">
              <w:rPr>
                <w:rFonts w:hint="cs"/>
                <w:rtl/>
              </w:rPr>
              <w:t>مقصد</w:t>
            </w:r>
            <w:r w:rsidRPr="0025250D">
              <w:rPr>
                <w:rtl/>
              </w:rPr>
              <w:t xml:space="preserve"> برا</w:t>
            </w:r>
            <w:r w:rsidRPr="0025250D">
              <w:rPr>
                <w:rFonts w:hint="cs"/>
                <w:rtl/>
              </w:rPr>
              <w:t>ی</w:t>
            </w:r>
            <w:r w:rsidRPr="0025250D">
              <w:rPr>
                <w:rtl/>
              </w:rPr>
              <w:t xml:space="preserve"> گردشگر</w:t>
            </w:r>
            <w:r w:rsidRPr="0025250D">
              <w:rPr>
                <w:rFonts w:hint="cs"/>
                <w:rtl/>
              </w:rPr>
              <w:t>ی</w:t>
            </w:r>
            <w:r w:rsidRPr="0025250D">
              <w:rPr>
                <w:rFonts w:hint="eastAsia"/>
                <w:rtl/>
              </w:rPr>
              <w:t>،</w:t>
            </w:r>
            <w:r w:rsidRPr="0025250D">
              <w:rPr>
                <w:rtl/>
              </w:rPr>
              <w:t xml:space="preserve"> آینده‌</w:t>
            </w:r>
            <w:r w:rsidR="00664E33" w:rsidRPr="0025250D">
              <w:rPr>
                <w:rtl/>
              </w:rPr>
              <w:t>نگار</w:t>
            </w:r>
            <w:r w:rsidRPr="0025250D">
              <w:rPr>
                <w:rtl/>
              </w:rPr>
              <w:t>ی شهر</w:t>
            </w:r>
            <w:r w:rsidRPr="0025250D">
              <w:rPr>
                <w:rFonts w:hint="cs"/>
                <w:rtl/>
              </w:rPr>
              <w:t>ی</w:t>
            </w:r>
            <w:r w:rsidRPr="0025250D">
              <w:rPr>
                <w:rtl/>
              </w:rPr>
              <w:t>.</w:t>
            </w:r>
          </w:p>
        </w:tc>
        <w:tc>
          <w:tcPr>
            <w:tcW w:w="1497" w:type="dxa"/>
            <w:vAlign w:val="center"/>
          </w:tcPr>
          <w:p w14:paraId="521B6E30" w14:textId="77777777" w:rsidR="00537CC8" w:rsidRPr="0025250D" w:rsidRDefault="00537CC8" w:rsidP="002925C9">
            <w:pPr>
              <w:bidi/>
              <w:spacing w:after="160"/>
              <w:jc w:val="center"/>
              <w:rPr>
                <w:rtl/>
              </w:rPr>
            </w:pPr>
            <w:r w:rsidRPr="0025250D">
              <w:rPr>
                <w:rtl/>
              </w:rPr>
              <w:t>1 (ونکوور، کانادا، ن</w:t>
            </w:r>
            <w:r w:rsidRPr="0025250D">
              <w:rPr>
                <w:rFonts w:hint="cs"/>
                <w:rtl/>
              </w:rPr>
              <w:t>ی</w:t>
            </w:r>
            <w:r w:rsidRPr="0025250D">
              <w:rPr>
                <w:rFonts w:hint="eastAsia"/>
                <w:rtl/>
              </w:rPr>
              <w:t>و</w:t>
            </w:r>
            <w:r w:rsidRPr="0025250D">
              <w:rPr>
                <w:rFonts w:hint="cs"/>
                <w:rtl/>
              </w:rPr>
              <w:t>ی</w:t>
            </w:r>
            <w:r w:rsidRPr="0025250D">
              <w:rPr>
                <w:rFonts w:hint="eastAsia"/>
                <w:rtl/>
              </w:rPr>
              <w:t>ورک</w:t>
            </w:r>
            <w:r w:rsidRPr="0025250D">
              <w:rPr>
                <w:rFonts w:hint="cs"/>
                <w:rtl/>
              </w:rPr>
              <w:t>)</w:t>
            </w:r>
          </w:p>
        </w:tc>
      </w:tr>
      <w:tr w:rsidR="00537CC8" w:rsidRPr="0025250D" w14:paraId="19AB489A" w14:textId="77777777" w:rsidTr="002925C9">
        <w:tc>
          <w:tcPr>
            <w:tcW w:w="2266" w:type="dxa"/>
            <w:vAlign w:val="center"/>
          </w:tcPr>
          <w:p w14:paraId="33FA9264" w14:textId="77777777" w:rsidR="00537CC8" w:rsidRPr="0025250D" w:rsidRDefault="007A207F" w:rsidP="002925C9">
            <w:pPr>
              <w:bidi/>
              <w:spacing w:after="160"/>
              <w:jc w:val="center"/>
            </w:pPr>
            <w:hyperlink r:id="rId437">
              <w:r w:rsidR="00537CC8" w:rsidRPr="0025250D">
                <w:rPr>
                  <w:rStyle w:val="Hyperlink"/>
                  <w:color w:val="auto"/>
                  <w:u w:val="none"/>
                </w:rPr>
                <w:t>RKS Design</w:t>
              </w:r>
            </w:hyperlink>
          </w:p>
        </w:tc>
        <w:tc>
          <w:tcPr>
            <w:tcW w:w="3597" w:type="dxa"/>
            <w:vAlign w:val="center"/>
          </w:tcPr>
          <w:p w14:paraId="2ECEE677" w14:textId="0B27CCD5" w:rsidR="00537CC8" w:rsidRPr="0025250D" w:rsidRDefault="00537CC8" w:rsidP="002925C9">
            <w:pPr>
              <w:bidi/>
              <w:spacing w:after="160"/>
              <w:jc w:val="center"/>
              <w:rPr>
                <w:rtl/>
              </w:rPr>
            </w:pPr>
            <w:r w:rsidRPr="0025250D">
              <w:rPr>
                <w:rtl/>
              </w:rPr>
              <w:t>تحق</w:t>
            </w:r>
            <w:r w:rsidRPr="0025250D">
              <w:rPr>
                <w:rFonts w:hint="cs"/>
                <w:rtl/>
              </w:rPr>
              <w:t>ی</w:t>
            </w:r>
            <w:r w:rsidRPr="0025250D">
              <w:rPr>
                <w:rFonts w:hint="eastAsia"/>
                <w:rtl/>
              </w:rPr>
              <w:t>ق،</w:t>
            </w:r>
            <w:r w:rsidRPr="0025250D">
              <w:rPr>
                <w:rtl/>
              </w:rPr>
              <w:t xml:space="preserve"> </w:t>
            </w:r>
            <w:r w:rsidR="00701E03" w:rsidRPr="0025250D">
              <w:rPr>
                <w:rtl/>
              </w:rPr>
              <w:t>راهبرد</w:t>
            </w:r>
            <w:r w:rsidRPr="0025250D">
              <w:rPr>
                <w:rFonts w:hint="eastAsia"/>
                <w:rtl/>
              </w:rPr>
              <w:t>،</w:t>
            </w:r>
            <w:r w:rsidRPr="0025250D">
              <w:rPr>
                <w:rtl/>
              </w:rPr>
              <w:t xml:space="preserve"> طراح</w:t>
            </w:r>
            <w:r w:rsidRPr="0025250D">
              <w:rPr>
                <w:rFonts w:hint="cs"/>
                <w:rtl/>
              </w:rPr>
              <w:t>ی</w:t>
            </w:r>
            <w:r w:rsidRPr="0025250D">
              <w:rPr>
                <w:rFonts w:hint="eastAsia"/>
                <w:rtl/>
              </w:rPr>
              <w:t>،</w:t>
            </w:r>
            <w:r w:rsidRPr="0025250D">
              <w:rPr>
                <w:rtl/>
              </w:rPr>
              <w:t xml:space="preserve"> ارتباطات، نمونه ساز</w:t>
            </w:r>
            <w:r w:rsidRPr="0025250D">
              <w:rPr>
                <w:rFonts w:hint="cs"/>
                <w:rtl/>
              </w:rPr>
              <w:t>ی</w:t>
            </w:r>
          </w:p>
        </w:tc>
        <w:tc>
          <w:tcPr>
            <w:tcW w:w="1497" w:type="dxa"/>
            <w:vAlign w:val="center"/>
          </w:tcPr>
          <w:p w14:paraId="526C23EE" w14:textId="77777777" w:rsidR="00537CC8" w:rsidRPr="0025250D" w:rsidRDefault="00537CC8" w:rsidP="002925C9">
            <w:pPr>
              <w:bidi/>
              <w:spacing w:after="160"/>
              <w:jc w:val="center"/>
              <w:rPr>
                <w:rtl/>
              </w:rPr>
            </w:pPr>
            <w:r w:rsidRPr="0025250D">
              <w:rPr>
                <w:rtl/>
              </w:rPr>
              <w:t>1 (</w:t>
            </w:r>
            <w:r w:rsidRPr="0025250D">
              <w:rPr>
                <w:rFonts w:hint="cs"/>
                <w:rtl/>
              </w:rPr>
              <w:t>تاوزند اوکز</w:t>
            </w:r>
            <w:r w:rsidRPr="0025250D">
              <w:rPr>
                <w:vertAlign w:val="superscript"/>
                <w:rtl/>
              </w:rPr>
              <w:footnoteReference w:id="3139"/>
            </w:r>
            <w:r w:rsidRPr="0025250D">
              <w:rPr>
                <w:rFonts w:hint="cs"/>
                <w:rtl/>
              </w:rPr>
              <w:t>)</w:t>
            </w:r>
          </w:p>
        </w:tc>
      </w:tr>
      <w:tr w:rsidR="00537CC8" w:rsidRPr="0025250D" w14:paraId="1C472FA9" w14:textId="77777777" w:rsidTr="002925C9">
        <w:tc>
          <w:tcPr>
            <w:tcW w:w="2266" w:type="dxa"/>
            <w:vAlign w:val="center"/>
          </w:tcPr>
          <w:p w14:paraId="5B0D03BA" w14:textId="77777777" w:rsidR="00537CC8" w:rsidRPr="0025250D" w:rsidRDefault="007A207F" w:rsidP="002925C9">
            <w:pPr>
              <w:bidi/>
              <w:spacing w:after="160"/>
              <w:jc w:val="center"/>
            </w:pPr>
            <w:hyperlink r:id="rId438">
              <w:r w:rsidR="00537CC8" w:rsidRPr="0025250D">
                <w:rPr>
                  <w:rStyle w:val="Hyperlink"/>
                  <w:color w:val="auto"/>
                  <w:u w:val="none"/>
                </w:rPr>
                <w:t>Roadmapping Technology</w:t>
              </w:r>
            </w:hyperlink>
          </w:p>
        </w:tc>
        <w:tc>
          <w:tcPr>
            <w:tcW w:w="3597" w:type="dxa"/>
            <w:vAlign w:val="center"/>
          </w:tcPr>
          <w:p w14:paraId="1D54D0DD" w14:textId="6C8A21B1" w:rsidR="00537CC8" w:rsidRPr="0025250D" w:rsidRDefault="00537CC8" w:rsidP="002925C9">
            <w:pPr>
              <w:bidi/>
              <w:spacing w:after="160"/>
              <w:jc w:val="center"/>
              <w:rPr>
                <w:rtl/>
              </w:rPr>
            </w:pPr>
            <w:r w:rsidRPr="0025250D">
              <w:rPr>
                <w:rtl/>
              </w:rPr>
              <w:t xml:space="preserve">نقشه راه </w:t>
            </w:r>
            <w:r w:rsidR="00701E03" w:rsidRPr="0025250D">
              <w:rPr>
                <w:rtl/>
              </w:rPr>
              <w:t>راهبردی</w:t>
            </w:r>
            <w:r w:rsidRPr="0025250D">
              <w:rPr>
                <w:rFonts w:hint="eastAsia"/>
                <w:rtl/>
              </w:rPr>
              <w:t>،</w:t>
            </w:r>
            <w:r w:rsidRPr="0025250D">
              <w:rPr>
                <w:rtl/>
              </w:rPr>
              <w:t xml:space="preserve"> </w:t>
            </w:r>
            <w:r w:rsidR="00B124DE" w:rsidRPr="0025250D">
              <w:rPr>
                <w:rtl/>
              </w:rPr>
              <w:t>برنامه‌ریزی</w:t>
            </w:r>
            <w:r w:rsidRPr="0025250D">
              <w:rPr>
                <w:rtl/>
              </w:rPr>
              <w:t xml:space="preserve"> محصول و آینده‌</w:t>
            </w:r>
            <w:r w:rsidR="00664E33" w:rsidRPr="0025250D">
              <w:rPr>
                <w:rtl/>
              </w:rPr>
              <w:t>نگار</w:t>
            </w:r>
            <w:r w:rsidRPr="0025250D">
              <w:rPr>
                <w:rtl/>
              </w:rPr>
              <w:t>ی فناور</w:t>
            </w:r>
            <w:r w:rsidRPr="0025250D">
              <w:rPr>
                <w:rFonts w:hint="cs"/>
                <w:rtl/>
              </w:rPr>
              <w:t>ی</w:t>
            </w:r>
            <w:r w:rsidRPr="0025250D">
              <w:rPr>
                <w:rtl/>
              </w:rPr>
              <w:t>.</w:t>
            </w:r>
          </w:p>
        </w:tc>
        <w:tc>
          <w:tcPr>
            <w:tcW w:w="1497" w:type="dxa"/>
            <w:vAlign w:val="center"/>
          </w:tcPr>
          <w:p w14:paraId="59DD5D0A" w14:textId="77777777" w:rsidR="00537CC8" w:rsidRPr="0025250D" w:rsidRDefault="00537CC8" w:rsidP="002925C9">
            <w:pPr>
              <w:bidi/>
              <w:spacing w:after="160"/>
              <w:jc w:val="center"/>
              <w:rPr>
                <w:rtl/>
              </w:rPr>
            </w:pPr>
            <w:r w:rsidRPr="0025250D">
              <w:rPr>
                <w:rtl/>
              </w:rPr>
              <w:t>3 (بر</w:t>
            </w:r>
            <w:r w:rsidRPr="0025250D">
              <w:rPr>
                <w:rFonts w:hint="cs"/>
                <w:rtl/>
              </w:rPr>
              <w:t>ی</w:t>
            </w:r>
            <w:r w:rsidRPr="0025250D">
              <w:rPr>
                <w:rFonts w:hint="eastAsia"/>
                <w:rtl/>
              </w:rPr>
              <w:t>تان</w:t>
            </w:r>
            <w:r w:rsidRPr="0025250D">
              <w:rPr>
                <w:rFonts w:hint="cs"/>
                <w:rtl/>
              </w:rPr>
              <w:t>ی</w:t>
            </w:r>
            <w:r w:rsidRPr="0025250D">
              <w:rPr>
                <w:rFonts w:hint="eastAsia"/>
                <w:rtl/>
              </w:rPr>
              <w:t>ا</w:t>
            </w:r>
            <w:r w:rsidRPr="0025250D">
              <w:rPr>
                <w:rtl/>
              </w:rPr>
              <w:t>)</w:t>
            </w:r>
          </w:p>
        </w:tc>
      </w:tr>
      <w:tr w:rsidR="00537CC8" w:rsidRPr="0025250D" w14:paraId="477D135F" w14:textId="77777777" w:rsidTr="002925C9">
        <w:tc>
          <w:tcPr>
            <w:tcW w:w="2266" w:type="dxa"/>
            <w:vAlign w:val="center"/>
          </w:tcPr>
          <w:p w14:paraId="71FC36DD" w14:textId="77777777" w:rsidR="00537CC8" w:rsidRPr="0025250D" w:rsidRDefault="007A207F" w:rsidP="002925C9">
            <w:pPr>
              <w:bidi/>
              <w:spacing w:after="160"/>
              <w:jc w:val="center"/>
            </w:pPr>
            <w:hyperlink r:id="rId439">
              <w:r w:rsidR="00537CC8" w:rsidRPr="0025250D">
                <w:rPr>
                  <w:rStyle w:val="Hyperlink"/>
                  <w:color w:val="auto"/>
                  <w:u w:val="none"/>
                </w:rPr>
                <w:t>Rocky Mountain Institute</w:t>
              </w:r>
            </w:hyperlink>
          </w:p>
        </w:tc>
        <w:tc>
          <w:tcPr>
            <w:tcW w:w="3597" w:type="dxa"/>
            <w:vAlign w:val="center"/>
          </w:tcPr>
          <w:p w14:paraId="73D1BFA2" w14:textId="77777777" w:rsidR="00537CC8" w:rsidRPr="0025250D" w:rsidRDefault="00537CC8" w:rsidP="002925C9">
            <w:pPr>
              <w:bidi/>
              <w:spacing w:after="160"/>
              <w:jc w:val="center"/>
              <w:rPr>
                <w:rtl/>
              </w:rPr>
            </w:pPr>
            <w:r w:rsidRPr="0025250D">
              <w:rPr>
                <w:rtl/>
              </w:rPr>
              <w:t>آمور</w:t>
            </w:r>
            <w:r w:rsidRPr="0025250D">
              <w:rPr>
                <w:rFonts w:hint="cs"/>
                <w:rtl/>
              </w:rPr>
              <w:t>ی</w:t>
            </w:r>
            <w:r w:rsidRPr="0025250D">
              <w:rPr>
                <w:rtl/>
              </w:rPr>
              <w:t xml:space="preserve"> لاو</w:t>
            </w:r>
            <w:r w:rsidRPr="0025250D">
              <w:rPr>
                <w:rFonts w:hint="cs"/>
                <w:rtl/>
              </w:rPr>
              <w:t>ی</w:t>
            </w:r>
            <w:r w:rsidRPr="0025250D">
              <w:rPr>
                <w:rFonts w:hint="eastAsia"/>
                <w:rtl/>
              </w:rPr>
              <w:t>نز</w:t>
            </w:r>
            <w:r w:rsidRPr="0025250D">
              <w:rPr>
                <w:rFonts w:hint="cs"/>
                <w:rtl/>
              </w:rPr>
              <w:t>؛</w:t>
            </w:r>
            <w:r w:rsidRPr="0025250D">
              <w:rPr>
                <w:rtl/>
              </w:rPr>
              <w:t xml:space="preserve"> تحق</w:t>
            </w:r>
            <w:r w:rsidRPr="0025250D">
              <w:rPr>
                <w:rFonts w:hint="cs"/>
                <w:rtl/>
              </w:rPr>
              <w:t>ی</w:t>
            </w:r>
            <w:r w:rsidRPr="0025250D">
              <w:rPr>
                <w:rFonts w:hint="eastAsia"/>
                <w:rtl/>
              </w:rPr>
              <w:t>ق</w:t>
            </w:r>
            <w:r w:rsidRPr="0025250D">
              <w:rPr>
                <w:rtl/>
              </w:rPr>
              <w:t xml:space="preserve"> و مشاوره پا</w:t>
            </w:r>
            <w:r w:rsidRPr="0025250D">
              <w:rPr>
                <w:rFonts w:hint="cs"/>
                <w:rtl/>
              </w:rPr>
              <w:t>ی</w:t>
            </w:r>
            <w:r w:rsidRPr="0025250D">
              <w:rPr>
                <w:rFonts w:hint="eastAsia"/>
                <w:rtl/>
              </w:rPr>
              <w:t>دار</w:t>
            </w:r>
            <w:r w:rsidRPr="0025250D">
              <w:rPr>
                <w:rFonts w:hint="cs"/>
                <w:rtl/>
              </w:rPr>
              <w:t>ی</w:t>
            </w:r>
          </w:p>
        </w:tc>
        <w:tc>
          <w:tcPr>
            <w:tcW w:w="1497" w:type="dxa"/>
            <w:vAlign w:val="center"/>
          </w:tcPr>
          <w:p w14:paraId="50B193B9" w14:textId="77777777" w:rsidR="00537CC8" w:rsidRPr="0025250D" w:rsidRDefault="00537CC8" w:rsidP="002925C9">
            <w:pPr>
              <w:bidi/>
              <w:spacing w:after="160"/>
              <w:jc w:val="center"/>
              <w:rPr>
                <w:rtl/>
              </w:rPr>
            </w:pPr>
            <w:r w:rsidRPr="0025250D">
              <w:rPr>
                <w:rtl/>
              </w:rPr>
              <w:t>1 (بولدر</w:t>
            </w:r>
            <w:r w:rsidRPr="0025250D">
              <w:rPr>
                <w:rFonts w:hint="cs"/>
                <w:rtl/>
              </w:rPr>
              <w:t>)</w:t>
            </w:r>
          </w:p>
        </w:tc>
      </w:tr>
      <w:tr w:rsidR="00537CC8" w:rsidRPr="0025250D" w14:paraId="6DD3A136" w14:textId="77777777" w:rsidTr="002925C9">
        <w:tc>
          <w:tcPr>
            <w:tcW w:w="2266" w:type="dxa"/>
            <w:vAlign w:val="center"/>
          </w:tcPr>
          <w:p w14:paraId="245D0452" w14:textId="77777777" w:rsidR="00537CC8" w:rsidRPr="0025250D" w:rsidRDefault="007A207F" w:rsidP="002925C9">
            <w:pPr>
              <w:bidi/>
              <w:spacing w:after="160"/>
              <w:jc w:val="center"/>
            </w:pPr>
            <w:hyperlink r:id="rId440">
              <w:r w:rsidR="00537CC8" w:rsidRPr="0025250D">
                <w:rPr>
                  <w:rStyle w:val="Hyperlink"/>
                  <w:color w:val="auto"/>
                  <w:u w:val="none"/>
                </w:rPr>
                <w:t>Samsung Econ Research Inst</w:t>
              </w:r>
            </w:hyperlink>
          </w:p>
        </w:tc>
        <w:tc>
          <w:tcPr>
            <w:tcW w:w="3597" w:type="dxa"/>
            <w:vAlign w:val="center"/>
          </w:tcPr>
          <w:p w14:paraId="1F7B8B58" w14:textId="77777777" w:rsidR="00537CC8" w:rsidRPr="0025250D" w:rsidRDefault="00537CC8" w:rsidP="002925C9">
            <w:pPr>
              <w:bidi/>
              <w:spacing w:after="160"/>
              <w:jc w:val="center"/>
              <w:rPr>
                <w:rtl/>
              </w:rPr>
            </w:pPr>
            <w:r w:rsidRPr="0025250D">
              <w:rPr>
                <w:rtl/>
              </w:rPr>
              <w:t>سونگو ل</w:t>
            </w:r>
            <w:r w:rsidRPr="0025250D">
              <w:rPr>
                <w:rFonts w:hint="cs"/>
                <w:rtl/>
              </w:rPr>
              <w:t>ی</w:t>
            </w:r>
            <w:r w:rsidRPr="0025250D">
              <w:rPr>
                <w:rFonts w:hint="eastAsia"/>
                <w:rtl/>
              </w:rPr>
              <w:t>؛</w:t>
            </w:r>
            <w:r w:rsidRPr="0025250D">
              <w:rPr>
                <w:rtl/>
              </w:rPr>
              <w:t xml:space="preserve"> بزرگتر</w:t>
            </w:r>
            <w:r w:rsidRPr="0025250D">
              <w:rPr>
                <w:rFonts w:hint="cs"/>
                <w:rtl/>
              </w:rPr>
              <w:t>ی</w:t>
            </w:r>
            <w:r w:rsidRPr="0025250D">
              <w:rPr>
                <w:rFonts w:hint="eastAsia"/>
                <w:rtl/>
              </w:rPr>
              <w:t>ن</w:t>
            </w:r>
            <w:r w:rsidRPr="0025250D">
              <w:rPr>
                <w:rtl/>
              </w:rPr>
              <w:t xml:space="preserve"> اتاق فکر خصوص</w:t>
            </w:r>
            <w:r w:rsidRPr="0025250D">
              <w:rPr>
                <w:rFonts w:hint="cs"/>
                <w:rtl/>
              </w:rPr>
              <w:t>ی</w:t>
            </w:r>
            <w:r w:rsidRPr="0025250D">
              <w:rPr>
                <w:rtl/>
              </w:rPr>
              <w:t xml:space="preserve"> کره 100 محقق</w:t>
            </w:r>
          </w:p>
        </w:tc>
        <w:tc>
          <w:tcPr>
            <w:tcW w:w="1497" w:type="dxa"/>
            <w:vAlign w:val="center"/>
          </w:tcPr>
          <w:p w14:paraId="619D625E" w14:textId="77777777" w:rsidR="00537CC8" w:rsidRPr="0025250D" w:rsidRDefault="00537CC8" w:rsidP="002925C9">
            <w:pPr>
              <w:bidi/>
              <w:spacing w:after="160"/>
              <w:jc w:val="center"/>
              <w:rPr>
                <w:rtl/>
              </w:rPr>
            </w:pPr>
            <w:r w:rsidRPr="0025250D">
              <w:rPr>
                <w:rtl/>
              </w:rPr>
              <w:t>9 (سئول، کره)</w:t>
            </w:r>
          </w:p>
        </w:tc>
      </w:tr>
      <w:tr w:rsidR="00537CC8" w:rsidRPr="0025250D" w14:paraId="63746D82" w14:textId="77777777" w:rsidTr="002925C9">
        <w:tc>
          <w:tcPr>
            <w:tcW w:w="2266" w:type="dxa"/>
            <w:vAlign w:val="center"/>
          </w:tcPr>
          <w:p w14:paraId="6ADC987D" w14:textId="77777777" w:rsidR="00537CC8" w:rsidRPr="0025250D" w:rsidRDefault="007A207F" w:rsidP="002925C9">
            <w:pPr>
              <w:bidi/>
              <w:spacing w:after="160"/>
              <w:jc w:val="center"/>
            </w:pPr>
            <w:hyperlink r:id="rId441">
              <w:r w:rsidR="00537CC8" w:rsidRPr="0025250D">
                <w:rPr>
                  <w:rStyle w:val="Hyperlink"/>
                  <w:color w:val="auto"/>
                  <w:u w:val="none"/>
                </w:rPr>
                <w:t>Scenario Management International</w:t>
              </w:r>
            </w:hyperlink>
          </w:p>
        </w:tc>
        <w:tc>
          <w:tcPr>
            <w:tcW w:w="3597" w:type="dxa"/>
            <w:vAlign w:val="center"/>
          </w:tcPr>
          <w:p w14:paraId="2BD2E7A0" w14:textId="56D690D9" w:rsidR="00537CC8" w:rsidRPr="0025250D" w:rsidRDefault="00537CC8" w:rsidP="002925C9">
            <w:pPr>
              <w:bidi/>
              <w:spacing w:after="160"/>
              <w:jc w:val="center"/>
              <w:rPr>
                <w:rtl/>
              </w:rPr>
            </w:pPr>
            <w:r w:rsidRPr="0025250D">
              <w:rPr>
                <w:rtl/>
              </w:rPr>
              <w:t>الکساندر ف</w:t>
            </w:r>
            <w:r w:rsidRPr="0025250D">
              <w:rPr>
                <w:rFonts w:hint="cs"/>
                <w:rtl/>
              </w:rPr>
              <w:t>ی</w:t>
            </w:r>
            <w:r w:rsidRPr="0025250D">
              <w:rPr>
                <w:rFonts w:hint="eastAsia"/>
                <w:rtl/>
              </w:rPr>
              <w:t>نک</w:t>
            </w:r>
            <w:r w:rsidRPr="0025250D">
              <w:rPr>
                <w:vertAlign w:val="superscript"/>
                <w:rtl/>
              </w:rPr>
              <w:footnoteReference w:id="3140"/>
            </w:r>
            <w:r w:rsidRPr="0025250D">
              <w:rPr>
                <w:rFonts w:hint="eastAsia"/>
                <w:rtl/>
              </w:rPr>
              <w:t>؛</w:t>
            </w:r>
            <w:r w:rsidRPr="0025250D">
              <w:rPr>
                <w:rtl/>
              </w:rPr>
              <w:t xml:space="preserve"> تول</w:t>
            </w:r>
            <w:r w:rsidRPr="0025250D">
              <w:rPr>
                <w:rFonts w:hint="cs"/>
                <w:rtl/>
              </w:rPr>
              <w:t>ی</w:t>
            </w:r>
            <w:r w:rsidRPr="0025250D">
              <w:rPr>
                <w:rFonts w:hint="eastAsia"/>
                <w:rtl/>
              </w:rPr>
              <w:t>د</w:t>
            </w:r>
            <w:r w:rsidRPr="0025250D">
              <w:rPr>
                <w:rtl/>
              </w:rPr>
              <w:t xml:space="preserve"> </w:t>
            </w:r>
            <w:r w:rsidR="007A53FD" w:rsidRPr="0025250D">
              <w:rPr>
                <w:rtl/>
              </w:rPr>
              <w:t>فرانامه</w:t>
            </w:r>
            <w:r w:rsidRPr="0025250D">
              <w:rPr>
                <w:rtl/>
              </w:rPr>
              <w:t xml:space="preserve"> و نرم افزار، تحل</w:t>
            </w:r>
            <w:r w:rsidRPr="0025250D">
              <w:rPr>
                <w:rFonts w:hint="cs"/>
                <w:rtl/>
              </w:rPr>
              <w:t>ی</w:t>
            </w:r>
            <w:r w:rsidRPr="0025250D">
              <w:rPr>
                <w:rFonts w:hint="eastAsia"/>
                <w:rtl/>
              </w:rPr>
              <w:t>ل</w:t>
            </w:r>
            <w:r w:rsidRPr="0025250D">
              <w:rPr>
                <w:rtl/>
              </w:rPr>
              <w:t xml:space="preserve"> </w:t>
            </w:r>
            <w:r w:rsidR="00701E03" w:rsidRPr="0025250D">
              <w:rPr>
                <w:rtl/>
              </w:rPr>
              <w:t>راهبرد</w:t>
            </w:r>
            <w:r w:rsidRPr="0025250D">
              <w:rPr>
                <w:rFonts w:hint="eastAsia"/>
                <w:rtl/>
              </w:rPr>
              <w:t>،</w:t>
            </w:r>
            <w:r w:rsidRPr="0025250D">
              <w:rPr>
                <w:rtl/>
              </w:rPr>
              <w:t xml:space="preserve"> آینده‌</w:t>
            </w:r>
            <w:r w:rsidR="00664E33" w:rsidRPr="0025250D">
              <w:rPr>
                <w:rtl/>
              </w:rPr>
              <w:t>نگار</w:t>
            </w:r>
            <w:r w:rsidRPr="0025250D">
              <w:rPr>
                <w:rtl/>
              </w:rPr>
              <w:t>ی و فرآ</w:t>
            </w:r>
            <w:r w:rsidRPr="0025250D">
              <w:rPr>
                <w:rFonts w:hint="cs"/>
                <w:rtl/>
              </w:rPr>
              <w:t>ی</w:t>
            </w:r>
            <w:r w:rsidRPr="0025250D">
              <w:rPr>
                <w:rFonts w:hint="eastAsia"/>
                <w:rtl/>
              </w:rPr>
              <w:t>ند</w:t>
            </w:r>
            <w:r w:rsidRPr="0025250D">
              <w:rPr>
                <w:rtl/>
              </w:rPr>
              <w:t xml:space="preserve"> نوآور</w:t>
            </w:r>
            <w:r w:rsidRPr="0025250D">
              <w:rPr>
                <w:rFonts w:hint="cs"/>
                <w:rtl/>
              </w:rPr>
              <w:t>ی</w:t>
            </w:r>
          </w:p>
        </w:tc>
        <w:tc>
          <w:tcPr>
            <w:tcW w:w="1497" w:type="dxa"/>
            <w:vAlign w:val="center"/>
          </w:tcPr>
          <w:p w14:paraId="550CB479" w14:textId="77777777" w:rsidR="00537CC8" w:rsidRPr="0025250D" w:rsidRDefault="00537CC8" w:rsidP="002925C9">
            <w:pPr>
              <w:bidi/>
              <w:spacing w:after="160"/>
              <w:jc w:val="center"/>
              <w:rPr>
                <w:rtl/>
              </w:rPr>
            </w:pPr>
            <w:r w:rsidRPr="0025250D">
              <w:rPr>
                <w:rtl/>
              </w:rPr>
              <w:t>3 (نوردرا</w:t>
            </w:r>
            <w:r w:rsidRPr="0025250D">
              <w:rPr>
                <w:rFonts w:hint="cs"/>
                <w:rtl/>
              </w:rPr>
              <w:t>ی</w:t>
            </w:r>
            <w:r w:rsidRPr="0025250D">
              <w:rPr>
                <w:rFonts w:hint="eastAsia"/>
                <w:rtl/>
              </w:rPr>
              <w:t>ن،</w:t>
            </w:r>
            <w:r w:rsidRPr="0025250D">
              <w:rPr>
                <w:rtl/>
              </w:rPr>
              <w:t xml:space="preserve"> آلمان)</w:t>
            </w:r>
          </w:p>
        </w:tc>
      </w:tr>
      <w:tr w:rsidR="00537CC8" w:rsidRPr="0025250D" w14:paraId="615B8CC5" w14:textId="77777777" w:rsidTr="002925C9">
        <w:tc>
          <w:tcPr>
            <w:tcW w:w="2266" w:type="dxa"/>
            <w:vAlign w:val="center"/>
          </w:tcPr>
          <w:p w14:paraId="0499EF1E" w14:textId="77777777" w:rsidR="00537CC8" w:rsidRPr="0025250D" w:rsidRDefault="007A207F" w:rsidP="002925C9">
            <w:pPr>
              <w:bidi/>
              <w:spacing w:after="160"/>
              <w:jc w:val="center"/>
            </w:pPr>
            <w:hyperlink r:id="rId442">
              <w:r w:rsidR="00537CC8" w:rsidRPr="0025250D">
                <w:rPr>
                  <w:rStyle w:val="Hyperlink"/>
                  <w:color w:val="auto"/>
                  <w:u w:val="none"/>
                </w:rPr>
                <w:t>Selectors</w:t>
              </w:r>
            </w:hyperlink>
          </w:p>
        </w:tc>
        <w:tc>
          <w:tcPr>
            <w:tcW w:w="3597" w:type="dxa"/>
            <w:vAlign w:val="center"/>
          </w:tcPr>
          <w:p w14:paraId="2077120A" w14:textId="083BCE0C" w:rsidR="00537CC8" w:rsidRPr="0025250D" w:rsidRDefault="00537CC8" w:rsidP="002925C9">
            <w:pPr>
              <w:bidi/>
              <w:spacing w:after="160"/>
              <w:jc w:val="center"/>
              <w:rPr>
                <w:rtl/>
              </w:rPr>
            </w:pPr>
            <w:r w:rsidRPr="0025250D">
              <w:rPr>
                <w:rtl/>
              </w:rPr>
              <w:t>بروس بوئنو د مسک</w:t>
            </w:r>
            <w:r w:rsidRPr="0025250D">
              <w:rPr>
                <w:rFonts w:hint="cs"/>
                <w:rtl/>
              </w:rPr>
              <w:t>ی</w:t>
            </w:r>
            <w:r w:rsidRPr="0025250D">
              <w:rPr>
                <w:rFonts w:hint="eastAsia"/>
                <w:rtl/>
              </w:rPr>
              <w:t>تا</w:t>
            </w:r>
            <w:r w:rsidRPr="0025250D">
              <w:rPr>
                <w:vertAlign w:val="superscript"/>
                <w:rtl/>
              </w:rPr>
              <w:footnoteReference w:id="3141"/>
            </w:r>
            <w:r w:rsidRPr="0025250D">
              <w:rPr>
                <w:rFonts w:hint="eastAsia"/>
                <w:rtl/>
              </w:rPr>
              <w:t>؛</w:t>
            </w:r>
            <w:r w:rsidRPr="0025250D">
              <w:rPr>
                <w:rtl/>
              </w:rPr>
              <w:t xml:space="preserve"> تئور</w:t>
            </w:r>
            <w:r w:rsidRPr="0025250D">
              <w:rPr>
                <w:rFonts w:hint="cs"/>
                <w:rtl/>
              </w:rPr>
              <w:t>ی</w:t>
            </w:r>
            <w:r w:rsidRPr="0025250D">
              <w:rPr>
                <w:rtl/>
              </w:rPr>
              <w:t xml:space="preserve"> باز</w:t>
            </w:r>
            <w:r w:rsidRPr="0025250D">
              <w:rPr>
                <w:rFonts w:hint="cs"/>
                <w:rtl/>
              </w:rPr>
              <w:t>ی</w:t>
            </w:r>
            <w:r w:rsidRPr="0025250D">
              <w:rPr>
                <w:rtl/>
              </w:rPr>
              <w:t xml:space="preserve">‌ها و </w:t>
            </w:r>
            <w:r w:rsidR="00D92F6E" w:rsidRPr="0025250D">
              <w:rPr>
                <w:rtl/>
              </w:rPr>
              <w:t>پیش‌بین</w:t>
            </w:r>
            <w:r w:rsidRPr="0025250D">
              <w:rPr>
                <w:rFonts w:hint="cs"/>
                <w:rtl/>
              </w:rPr>
              <w:t>ی</w:t>
            </w:r>
          </w:p>
        </w:tc>
        <w:tc>
          <w:tcPr>
            <w:tcW w:w="1497" w:type="dxa"/>
            <w:vAlign w:val="center"/>
          </w:tcPr>
          <w:p w14:paraId="12FBCFB2" w14:textId="77777777" w:rsidR="00537CC8" w:rsidRPr="0025250D" w:rsidRDefault="00537CC8" w:rsidP="002925C9">
            <w:pPr>
              <w:bidi/>
              <w:spacing w:after="160"/>
              <w:jc w:val="center"/>
              <w:rPr>
                <w:rtl/>
              </w:rPr>
            </w:pPr>
            <w:r w:rsidRPr="0025250D">
              <w:rPr>
                <w:rtl/>
              </w:rPr>
              <w:t>1 (ن</w:t>
            </w:r>
            <w:r w:rsidRPr="0025250D">
              <w:rPr>
                <w:rFonts w:hint="cs"/>
                <w:rtl/>
              </w:rPr>
              <w:t>ی</w:t>
            </w:r>
            <w:r w:rsidRPr="0025250D">
              <w:rPr>
                <w:rFonts w:hint="eastAsia"/>
                <w:rtl/>
              </w:rPr>
              <w:t>و</w:t>
            </w:r>
            <w:r w:rsidRPr="0025250D">
              <w:rPr>
                <w:rFonts w:hint="cs"/>
                <w:rtl/>
              </w:rPr>
              <w:t>ی</w:t>
            </w:r>
            <w:r w:rsidRPr="0025250D">
              <w:rPr>
                <w:rFonts w:hint="eastAsia"/>
                <w:rtl/>
              </w:rPr>
              <w:t>ورک</w:t>
            </w:r>
            <w:r w:rsidRPr="0025250D">
              <w:rPr>
                <w:rFonts w:hint="cs"/>
                <w:rtl/>
              </w:rPr>
              <w:t>)</w:t>
            </w:r>
          </w:p>
        </w:tc>
      </w:tr>
      <w:tr w:rsidR="00537CC8" w:rsidRPr="0025250D" w14:paraId="176368BA" w14:textId="77777777" w:rsidTr="002925C9">
        <w:tc>
          <w:tcPr>
            <w:tcW w:w="2266" w:type="dxa"/>
            <w:vAlign w:val="center"/>
          </w:tcPr>
          <w:p w14:paraId="103448BF" w14:textId="77777777" w:rsidR="00537CC8" w:rsidRPr="0025250D" w:rsidRDefault="007A207F" w:rsidP="002925C9">
            <w:pPr>
              <w:bidi/>
              <w:spacing w:after="160"/>
              <w:jc w:val="center"/>
            </w:pPr>
            <w:hyperlink r:id="rId443">
              <w:r w:rsidR="00537CC8" w:rsidRPr="0025250D">
                <w:rPr>
                  <w:rStyle w:val="Hyperlink"/>
                  <w:color w:val="auto"/>
                  <w:u w:val="none"/>
                </w:rPr>
                <w:t>Shaping Tomorrow</w:t>
              </w:r>
            </w:hyperlink>
          </w:p>
        </w:tc>
        <w:tc>
          <w:tcPr>
            <w:tcW w:w="3597" w:type="dxa"/>
            <w:vAlign w:val="center"/>
          </w:tcPr>
          <w:p w14:paraId="40D77F6F" w14:textId="2DFEB7FD" w:rsidR="00537CC8" w:rsidRPr="0025250D" w:rsidRDefault="00537CC8" w:rsidP="002925C9">
            <w:pPr>
              <w:bidi/>
              <w:spacing w:after="160"/>
              <w:jc w:val="center"/>
              <w:rPr>
                <w:rtl/>
              </w:rPr>
            </w:pPr>
            <w:r w:rsidRPr="0025250D">
              <w:rPr>
                <w:rtl/>
              </w:rPr>
              <w:t>آینده‌</w:t>
            </w:r>
            <w:r w:rsidR="00664E33" w:rsidRPr="0025250D">
              <w:rPr>
                <w:rtl/>
              </w:rPr>
              <w:t>نگار</w:t>
            </w:r>
            <w:r w:rsidRPr="0025250D">
              <w:rPr>
                <w:rtl/>
              </w:rPr>
              <w:t xml:space="preserve">ی </w:t>
            </w:r>
            <w:r w:rsidR="00701E03" w:rsidRPr="0025250D">
              <w:rPr>
                <w:rtl/>
              </w:rPr>
              <w:t>راهبردی</w:t>
            </w:r>
            <w:r w:rsidRPr="0025250D">
              <w:rPr>
                <w:rFonts w:hint="eastAsia"/>
                <w:rtl/>
              </w:rPr>
              <w:t>،</w:t>
            </w:r>
            <w:r w:rsidRPr="0025250D">
              <w:rPr>
                <w:rtl/>
              </w:rPr>
              <w:t xml:space="preserve"> نوآور</w:t>
            </w:r>
            <w:r w:rsidRPr="0025250D">
              <w:rPr>
                <w:rFonts w:hint="cs"/>
                <w:rtl/>
              </w:rPr>
              <w:t>ی</w:t>
            </w:r>
            <w:r w:rsidRPr="0025250D">
              <w:rPr>
                <w:rFonts w:hint="eastAsia"/>
                <w:rtl/>
              </w:rPr>
              <w:t>،</w:t>
            </w:r>
            <w:r w:rsidRPr="0025250D">
              <w:rPr>
                <w:rtl/>
              </w:rPr>
              <w:t xml:space="preserve"> ارز</w:t>
            </w:r>
            <w:r w:rsidRPr="0025250D">
              <w:rPr>
                <w:rFonts w:hint="cs"/>
                <w:rtl/>
              </w:rPr>
              <w:t>ی</w:t>
            </w:r>
            <w:r w:rsidRPr="0025250D">
              <w:rPr>
                <w:rFonts w:hint="eastAsia"/>
                <w:rtl/>
              </w:rPr>
              <w:t>اب</w:t>
            </w:r>
            <w:r w:rsidRPr="0025250D">
              <w:rPr>
                <w:rFonts w:hint="cs"/>
                <w:rtl/>
              </w:rPr>
              <w:t>ی</w:t>
            </w:r>
            <w:r w:rsidRPr="0025250D">
              <w:rPr>
                <w:rtl/>
              </w:rPr>
              <w:t xml:space="preserve"> ر</w:t>
            </w:r>
            <w:r w:rsidRPr="0025250D">
              <w:rPr>
                <w:rFonts w:hint="cs"/>
                <w:rtl/>
              </w:rPr>
              <w:t>ی</w:t>
            </w:r>
            <w:r w:rsidRPr="0025250D">
              <w:rPr>
                <w:rFonts w:hint="eastAsia"/>
                <w:rtl/>
              </w:rPr>
              <w:t>سک،</w:t>
            </w:r>
            <w:r w:rsidRPr="0025250D">
              <w:rPr>
                <w:rtl/>
              </w:rPr>
              <w:t xml:space="preserve"> گفتگو و آموزش. تحق</w:t>
            </w:r>
            <w:r w:rsidRPr="0025250D">
              <w:rPr>
                <w:rFonts w:hint="cs"/>
                <w:rtl/>
              </w:rPr>
              <w:t>ی</w:t>
            </w:r>
            <w:r w:rsidRPr="0025250D">
              <w:rPr>
                <w:rFonts w:hint="eastAsia"/>
                <w:rtl/>
              </w:rPr>
              <w:t>قات</w:t>
            </w:r>
            <w:r w:rsidRPr="0025250D">
              <w:rPr>
                <w:rtl/>
              </w:rPr>
              <w:t xml:space="preserve"> جهان</w:t>
            </w:r>
            <w:r w:rsidRPr="0025250D">
              <w:rPr>
                <w:rFonts w:hint="cs"/>
                <w:rtl/>
              </w:rPr>
              <w:t>ی</w:t>
            </w:r>
            <w:r w:rsidRPr="0025250D">
              <w:rPr>
                <w:rtl/>
              </w:rPr>
              <w:t xml:space="preserve"> جمع‌سپار</w:t>
            </w:r>
            <w:r w:rsidRPr="0025250D">
              <w:rPr>
                <w:rFonts w:hint="cs"/>
                <w:rtl/>
              </w:rPr>
              <w:t>ی</w:t>
            </w:r>
            <w:r w:rsidRPr="0025250D">
              <w:rPr>
                <w:rtl/>
              </w:rPr>
              <w:t xml:space="preserve"> شده</w:t>
            </w:r>
          </w:p>
        </w:tc>
        <w:tc>
          <w:tcPr>
            <w:tcW w:w="1497" w:type="dxa"/>
            <w:vAlign w:val="center"/>
          </w:tcPr>
          <w:p w14:paraId="26409A12" w14:textId="77777777" w:rsidR="00537CC8" w:rsidRPr="0025250D" w:rsidRDefault="00537CC8" w:rsidP="002925C9">
            <w:pPr>
              <w:bidi/>
              <w:spacing w:after="160"/>
              <w:jc w:val="center"/>
              <w:rPr>
                <w:rtl/>
              </w:rPr>
            </w:pPr>
            <w:r w:rsidRPr="0025250D">
              <w:rPr>
                <w:rtl/>
              </w:rPr>
              <w:t>3 (بر</w:t>
            </w:r>
            <w:r w:rsidRPr="0025250D">
              <w:rPr>
                <w:rFonts w:hint="cs"/>
                <w:rtl/>
              </w:rPr>
              <w:t>ی</w:t>
            </w:r>
            <w:r w:rsidRPr="0025250D">
              <w:rPr>
                <w:rFonts w:hint="eastAsia"/>
                <w:rtl/>
              </w:rPr>
              <w:t>تان</w:t>
            </w:r>
            <w:r w:rsidRPr="0025250D">
              <w:rPr>
                <w:rFonts w:hint="cs"/>
                <w:rtl/>
              </w:rPr>
              <w:t>ی</w:t>
            </w:r>
            <w:r w:rsidRPr="0025250D">
              <w:rPr>
                <w:rFonts w:hint="eastAsia"/>
                <w:rtl/>
              </w:rPr>
              <w:t>ا</w:t>
            </w:r>
            <w:r w:rsidRPr="0025250D">
              <w:rPr>
                <w:rtl/>
              </w:rPr>
              <w:t>)</w:t>
            </w:r>
          </w:p>
        </w:tc>
      </w:tr>
      <w:tr w:rsidR="00537CC8" w:rsidRPr="0025250D" w14:paraId="59746140" w14:textId="77777777" w:rsidTr="002925C9">
        <w:tc>
          <w:tcPr>
            <w:tcW w:w="2266" w:type="dxa"/>
            <w:vAlign w:val="center"/>
          </w:tcPr>
          <w:p w14:paraId="5BB56649" w14:textId="77777777" w:rsidR="00537CC8" w:rsidRPr="0025250D" w:rsidRDefault="007A207F" w:rsidP="002925C9">
            <w:pPr>
              <w:bidi/>
              <w:spacing w:after="160"/>
              <w:jc w:val="center"/>
            </w:pPr>
            <w:hyperlink r:id="rId444">
              <w:r w:rsidR="00537CC8" w:rsidRPr="0025250D">
                <w:rPr>
                  <w:rStyle w:val="Hyperlink"/>
                  <w:color w:val="auto"/>
                  <w:u w:val="none"/>
                </w:rPr>
                <w:t>Singularity University</w:t>
              </w:r>
            </w:hyperlink>
          </w:p>
        </w:tc>
        <w:tc>
          <w:tcPr>
            <w:tcW w:w="3597" w:type="dxa"/>
            <w:vAlign w:val="center"/>
          </w:tcPr>
          <w:p w14:paraId="5921D9A2" w14:textId="77777777" w:rsidR="00537CC8" w:rsidRPr="0025250D" w:rsidRDefault="00537CC8" w:rsidP="002925C9">
            <w:pPr>
              <w:bidi/>
              <w:spacing w:after="160"/>
              <w:jc w:val="center"/>
              <w:rPr>
                <w:rtl/>
              </w:rPr>
            </w:pPr>
            <w:r w:rsidRPr="0025250D">
              <w:rPr>
                <w:rtl/>
              </w:rPr>
              <w:t>برنامه‌های آموزش</w:t>
            </w:r>
            <w:r w:rsidRPr="0025250D">
              <w:rPr>
                <w:rFonts w:hint="cs"/>
                <w:rtl/>
              </w:rPr>
              <w:t>ی</w:t>
            </w:r>
            <w:r w:rsidRPr="0025250D">
              <w:rPr>
                <w:rFonts w:hint="eastAsia"/>
                <w:rtl/>
              </w:rPr>
              <w:t>،</w:t>
            </w:r>
            <w:r w:rsidRPr="0025250D">
              <w:rPr>
                <w:rtl/>
              </w:rPr>
              <w:t xml:space="preserve"> نوآور</w:t>
            </w:r>
            <w:r w:rsidRPr="0025250D">
              <w:rPr>
                <w:rFonts w:hint="cs"/>
                <w:rtl/>
              </w:rPr>
              <w:t>ی</w:t>
            </w:r>
            <w:r w:rsidRPr="0025250D">
              <w:rPr>
                <w:rtl/>
              </w:rPr>
              <w:t xml:space="preserve"> آزما</w:t>
            </w:r>
            <w:r w:rsidRPr="0025250D">
              <w:rPr>
                <w:rFonts w:hint="cs"/>
                <w:rtl/>
              </w:rPr>
              <w:t>ی</w:t>
            </w:r>
            <w:r w:rsidRPr="0025250D">
              <w:rPr>
                <w:rFonts w:hint="eastAsia"/>
                <w:rtl/>
              </w:rPr>
              <w:t>شگاه</w:t>
            </w:r>
            <w:r w:rsidRPr="0025250D">
              <w:rPr>
                <w:rtl/>
              </w:rPr>
              <w:t xml:space="preserve"> ها</w:t>
            </w:r>
            <w:r w:rsidRPr="0025250D">
              <w:rPr>
                <w:rFonts w:hint="cs"/>
                <w:rtl/>
              </w:rPr>
              <w:t>یی</w:t>
            </w:r>
            <w:r w:rsidRPr="0025250D">
              <w:rPr>
                <w:rtl/>
              </w:rPr>
              <w:t xml:space="preserve"> برا</w:t>
            </w:r>
            <w:r w:rsidRPr="0025250D">
              <w:rPr>
                <w:rFonts w:hint="cs"/>
                <w:rtl/>
              </w:rPr>
              <w:t>ی</w:t>
            </w:r>
            <w:r w:rsidRPr="0025250D">
              <w:rPr>
                <w:rtl/>
              </w:rPr>
              <w:t xml:space="preserve"> استارت آپ‌ها و شرکت ها</w:t>
            </w:r>
          </w:p>
        </w:tc>
        <w:tc>
          <w:tcPr>
            <w:tcW w:w="1497" w:type="dxa"/>
            <w:vAlign w:val="center"/>
          </w:tcPr>
          <w:p w14:paraId="02A6F0E6" w14:textId="77777777" w:rsidR="00537CC8" w:rsidRPr="0025250D" w:rsidRDefault="00537CC8" w:rsidP="002925C9">
            <w:pPr>
              <w:bidi/>
              <w:spacing w:after="160"/>
              <w:jc w:val="center"/>
              <w:rPr>
                <w:rtl/>
              </w:rPr>
            </w:pPr>
            <w:r w:rsidRPr="0025250D">
              <w:rPr>
                <w:rtl/>
              </w:rPr>
              <w:t>1 (مفت ف</w:t>
            </w:r>
            <w:r w:rsidRPr="0025250D">
              <w:rPr>
                <w:rFonts w:hint="cs"/>
                <w:rtl/>
              </w:rPr>
              <w:t>ی</w:t>
            </w:r>
            <w:r w:rsidRPr="0025250D">
              <w:rPr>
                <w:rFonts w:hint="eastAsia"/>
                <w:rtl/>
              </w:rPr>
              <w:t>لد</w:t>
            </w:r>
            <w:r w:rsidRPr="0025250D">
              <w:rPr>
                <w:rFonts w:hint="cs"/>
                <w:rtl/>
              </w:rPr>
              <w:t>)</w:t>
            </w:r>
          </w:p>
        </w:tc>
      </w:tr>
      <w:tr w:rsidR="00537CC8" w:rsidRPr="0025250D" w14:paraId="0289A84B" w14:textId="77777777" w:rsidTr="002925C9">
        <w:tc>
          <w:tcPr>
            <w:tcW w:w="2266" w:type="dxa"/>
            <w:vAlign w:val="center"/>
          </w:tcPr>
          <w:p w14:paraId="60C3A8D8" w14:textId="77777777" w:rsidR="00537CC8" w:rsidRPr="0025250D" w:rsidRDefault="007A207F" w:rsidP="002925C9">
            <w:pPr>
              <w:bidi/>
              <w:spacing w:after="160"/>
              <w:jc w:val="center"/>
            </w:pPr>
            <w:hyperlink r:id="rId445">
              <w:r w:rsidR="00537CC8" w:rsidRPr="0025250D">
                <w:rPr>
                  <w:rStyle w:val="Hyperlink"/>
                  <w:color w:val="auto"/>
                  <w:u w:val="none"/>
                </w:rPr>
                <w:t>SINTEF</w:t>
              </w:r>
            </w:hyperlink>
          </w:p>
        </w:tc>
        <w:tc>
          <w:tcPr>
            <w:tcW w:w="3597" w:type="dxa"/>
            <w:vAlign w:val="center"/>
          </w:tcPr>
          <w:p w14:paraId="4D315A15" w14:textId="77777777" w:rsidR="00537CC8" w:rsidRPr="0025250D" w:rsidRDefault="00537CC8" w:rsidP="002925C9">
            <w:pPr>
              <w:bidi/>
              <w:spacing w:after="160"/>
              <w:jc w:val="center"/>
              <w:rPr>
                <w:rtl/>
              </w:rPr>
            </w:pPr>
            <w:r w:rsidRPr="0025250D">
              <w:rPr>
                <w:rtl/>
              </w:rPr>
              <w:t>ر</w:t>
            </w:r>
            <w:r w:rsidRPr="0025250D">
              <w:rPr>
                <w:rFonts w:hint="cs"/>
                <w:rtl/>
              </w:rPr>
              <w:t>ی</w:t>
            </w:r>
            <w:r w:rsidRPr="0025250D">
              <w:rPr>
                <w:rFonts w:hint="eastAsia"/>
                <w:rtl/>
              </w:rPr>
              <w:t>تا</w:t>
            </w:r>
            <w:r w:rsidRPr="0025250D">
              <w:rPr>
                <w:rtl/>
              </w:rPr>
              <w:t xml:space="preserve"> وستو</w:t>
            </w:r>
            <w:r w:rsidRPr="0025250D">
              <w:rPr>
                <w:rFonts w:hint="cs"/>
                <w:rtl/>
              </w:rPr>
              <w:t>ی</w:t>
            </w:r>
            <w:r w:rsidRPr="0025250D">
              <w:rPr>
                <w:rFonts w:hint="eastAsia"/>
                <w:rtl/>
              </w:rPr>
              <w:t>ک</w:t>
            </w:r>
            <w:r w:rsidRPr="0025250D">
              <w:rPr>
                <w:vertAlign w:val="superscript"/>
                <w:rtl/>
              </w:rPr>
              <w:footnoteReference w:id="3142"/>
            </w:r>
            <w:r w:rsidRPr="0025250D">
              <w:rPr>
                <w:rFonts w:hint="cs"/>
                <w:rtl/>
              </w:rPr>
              <w:t>؛</w:t>
            </w:r>
            <w:r w:rsidRPr="0025250D">
              <w:rPr>
                <w:rtl/>
              </w:rPr>
              <w:t xml:space="preserve"> بزرگتر</w:t>
            </w:r>
            <w:r w:rsidRPr="0025250D">
              <w:rPr>
                <w:rFonts w:hint="cs"/>
                <w:rtl/>
              </w:rPr>
              <w:t>ی</w:t>
            </w:r>
            <w:r w:rsidRPr="0025250D">
              <w:rPr>
                <w:rFonts w:hint="eastAsia"/>
                <w:rtl/>
              </w:rPr>
              <w:t>ن</w:t>
            </w:r>
            <w:r w:rsidRPr="0025250D">
              <w:rPr>
                <w:rtl/>
              </w:rPr>
              <w:t xml:space="preserve"> سازمان تحق</w:t>
            </w:r>
            <w:r w:rsidRPr="0025250D">
              <w:rPr>
                <w:rFonts w:hint="cs"/>
                <w:rtl/>
              </w:rPr>
              <w:t>ی</w:t>
            </w:r>
            <w:r w:rsidRPr="0025250D">
              <w:rPr>
                <w:rFonts w:hint="eastAsia"/>
                <w:rtl/>
              </w:rPr>
              <w:t>قات</w:t>
            </w:r>
            <w:r w:rsidRPr="0025250D">
              <w:rPr>
                <w:rtl/>
              </w:rPr>
              <w:t xml:space="preserve"> قرارداد مستقل در اسکاند</w:t>
            </w:r>
            <w:r w:rsidRPr="0025250D">
              <w:rPr>
                <w:rFonts w:hint="cs"/>
                <w:rtl/>
              </w:rPr>
              <w:t>ی</w:t>
            </w:r>
            <w:r w:rsidRPr="0025250D">
              <w:rPr>
                <w:rFonts w:hint="eastAsia"/>
                <w:rtl/>
              </w:rPr>
              <w:t>ناو</w:t>
            </w:r>
            <w:r w:rsidRPr="0025250D">
              <w:rPr>
                <w:rFonts w:hint="cs"/>
                <w:rtl/>
              </w:rPr>
              <w:t>ی</w:t>
            </w:r>
            <w:r w:rsidRPr="0025250D">
              <w:rPr>
                <w:rtl/>
              </w:rPr>
              <w:t>. فن</w:t>
            </w:r>
            <w:r w:rsidRPr="0025250D">
              <w:rPr>
                <w:rFonts w:hint="cs"/>
                <w:rtl/>
              </w:rPr>
              <w:t>ی</w:t>
            </w:r>
            <w:r w:rsidRPr="0025250D">
              <w:rPr>
                <w:rFonts w:hint="eastAsia"/>
                <w:rtl/>
              </w:rPr>
              <w:t>،</w:t>
            </w:r>
            <w:r w:rsidRPr="0025250D">
              <w:rPr>
                <w:rtl/>
              </w:rPr>
              <w:t xml:space="preserve"> پزشک</w:t>
            </w:r>
            <w:r w:rsidRPr="0025250D">
              <w:rPr>
                <w:rFonts w:hint="cs"/>
                <w:rtl/>
              </w:rPr>
              <w:t>ی</w:t>
            </w:r>
            <w:r w:rsidRPr="0025250D">
              <w:rPr>
                <w:rFonts w:hint="eastAsia"/>
                <w:rtl/>
              </w:rPr>
              <w:t>،</w:t>
            </w:r>
            <w:r w:rsidRPr="0025250D">
              <w:rPr>
                <w:rtl/>
              </w:rPr>
              <w:t xml:space="preserve"> علوم اجتماع</w:t>
            </w:r>
            <w:r w:rsidRPr="0025250D">
              <w:rPr>
                <w:rFonts w:hint="cs"/>
                <w:rtl/>
              </w:rPr>
              <w:t>ی</w:t>
            </w:r>
            <w:r w:rsidRPr="0025250D">
              <w:rPr>
                <w:rtl/>
              </w:rPr>
              <w:t>.</w:t>
            </w:r>
          </w:p>
        </w:tc>
        <w:tc>
          <w:tcPr>
            <w:tcW w:w="1497" w:type="dxa"/>
            <w:vAlign w:val="center"/>
          </w:tcPr>
          <w:p w14:paraId="7959BBE1" w14:textId="77777777" w:rsidR="00537CC8" w:rsidRPr="0025250D" w:rsidRDefault="00537CC8" w:rsidP="002925C9">
            <w:pPr>
              <w:bidi/>
              <w:spacing w:after="160"/>
              <w:jc w:val="center"/>
              <w:rPr>
                <w:rtl/>
              </w:rPr>
            </w:pPr>
            <w:r w:rsidRPr="0025250D">
              <w:rPr>
                <w:rtl/>
              </w:rPr>
              <w:t>3 (تروندها</w:t>
            </w:r>
            <w:r w:rsidRPr="0025250D">
              <w:rPr>
                <w:rFonts w:hint="cs"/>
                <w:rtl/>
              </w:rPr>
              <w:t>ی</w:t>
            </w:r>
            <w:r w:rsidRPr="0025250D">
              <w:rPr>
                <w:rFonts w:hint="eastAsia"/>
                <w:rtl/>
              </w:rPr>
              <w:t>م،</w:t>
            </w:r>
            <w:r w:rsidRPr="0025250D">
              <w:rPr>
                <w:rtl/>
              </w:rPr>
              <w:t xml:space="preserve"> نروژ)</w:t>
            </w:r>
          </w:p>
        </w:tc>
      </w:tr>
      <w:tr w:rsidR="00537CC8" w:rsidRPr="0025250D" w14:paraId="01915D8B" w14:textId="77777777" w:rsidTr="002925C9">
        <w:tc>
          <w:tcPr>
            <w:tcW w:w="2266" w:type="dxa"/>
            <w:vAlign w:val="center"/>
          </w:tcPr>
          <w:p w14:paraId="7609FAF7" w14:textId="77777777" w:rsidR="00537CC8" w:rsidRPr="0025250D" w:rsidRDefault="007A207F" w:rsidP="002925C9">
            <w:pPr>
              <w:bidi/>
              <w:spacing w:after="160"/>
              <w:jc w:val="center"/>
            </w:pPr>
            <w:hyperlink r:id="rId446">
              <w:r w:rsidR="00537CC8" w:rsidRPr="0025250D">
                <w:rPr>
                  <w:rStyle w:val="Hyperlink"/>
                  <w:color w:val="auto"/>
                  <w:u w:val="none"/>
                </w:rPr>
                <w:t>Sitra</w:t>
              </w:r>
            </w:hyperlink>
          </w:p>
        </w:tc>
        <w:tc>
          <w:tcPr>
            <w:tcW w:w="3597" w:type="dxa"/>
            <w:vAlign w:val="center"/>
          </w:tcPr>
          <w:p w14:paraId="77EDDF00" w14:textId="77777777" w:rsidR="00537CC8" w:rsidRPr="0025250D" w:rsidRDefault="00537CC8" w:rsidP="002925C9">
            <w:pPr>
              <w:bidi/>
              <w:spacing w:after="160"/>
              <w:jc w:val="center"/>
              <w:rPr>
                <w:rtl/>
              </w:rPr>
            </w:pPr>
            <w:r w:rsidRPr="0025250D">
              <w:rPr>
                <w:rtl/>
              </w:rPr>
              <w:t>تحق</w:t>
            </w:r>
            <w:r w:rsidRPr="0025250D">
              <w:rPr>
                <w:rFonts w:hint="cs"/>
                <w:rtl/>
              </w:rPr>
              <w:t>ی</w:t>
            </w:r>
            <w:r w:rsidRPr="0025250D">
              <w:rPr>
                <w:rFonts w:hint="eastAsia"/>
                <w:rtl/>
              </w:rPr>
              <w:t>ق</w:t>
            </w:r>
            <w:r w:rsidRPr="0025250D">
              <w:rPr>
                <w:rtl/>
              </w:rPr>
              <w:t xml:space="preserve"> و بودجه عموم</w:t>
            </w:r>
            <w:r w:rsidRPr="0025250D">
              <w:rPr>
                <w:rFonts w:hint="cs"/>
                <w:rtl/>
              </w:rPr>
              <w:t>ی</w:t>
            </w:r>
            <w:r w:rsidRPr="0025250D">
              <w:rPr>
                <w:rtl/>
              </w:rPr>
              <w:t xml:space="preserve"> برا</w:t>
            </w:r>
            <w:r w:rsidRPr="0025250D">
              <w:rPr>
                <w:rFonts w:hint="cs"/>
                <w:rtl/>
              </w:rPr>
              <w:t>ی</w:t>
            </w:r>
            <w:r w:rsidRPr="0025250D">
              <w:rPr>
                <w:rtl/>
              </w:rPr>
              <w:t xml:space="preserve"> پ</w:t>
            </w:r>
            <w:r w:rsidRPr="0025250D">
              <w:rPr>
                <w:rFonts w:hint="cs"/>
                <w:rtl/>
              </w:rPr>
              <w:t>ی</w:t>
            </w:r>
            <w:r w:rsidRPr="0025250D">
              <w:rPr>
                <w:rFonts w:hint="eastAsia"/>
                <w:rtl/>
              </w:rPr>
              <w:t>ش‌ب</w:t>
            </w:r>
            <w:r w:rsidRPr="0025250D">
              <w:rPr>
                <w:rFonts w:hint="cs"/>
                <w:rtl/>
              </w:rPr>
              <w:t>ی</w:t>
            </w:r>
            <w:r w:rsidRPr="0025250D">
              <w:rPr>
                <w:rFonts w:hint="eastAsia"/>
                <w:rtl/>
              </w:rPr>
              <w:t>ن</w:t>
            </w:r>
            <w:r w:rsidRPr="0025250D">
              <w:rPr>
                <w:rFonts w:hint="cs"/>
                <w:rtl/>
              </w:rPr>
              <w:t>ی</w:t>
            </w:r>
            <w:r w:rsidRPr="0025250D">
              <w:rPr>
                <w:rtl/>
              </w:rPr>
              <w:t xml:space="preserve"> و تحل</w:t>
            </w:r>
            <w:r w:rsidRPr="0025250D">
              <w:rPr>
                <w:rFonts w:hint="cs"/>
                <w:rtl/>
              </w:rPr>
              <w:t>ی</w:t>
            </w:r>
            <w:r w:rsidRPr="0025250D">
              <w:rPr>
                <w:rFonts w:hint="eastAsia"/>
                <w:rtl/>
              </w:rPr>
              <w:t>ل</w:t>
            </w:r>
            <w:r w:rsidRPr="0025250D">
              <w:rPr>
                <w:rtl/>
              </w:rPr>
              <w:t xml:space="preserve"> تغ</w:t>
            </w:r>
            <w:r w:rsidRPr="0025250D">
              <w:rPr>
                <w:rFonts w:hint="cs"/>
                <w:rtl/>
              </w:rPr>
              <w:t>یی</w:t>
            </w:r>
            <w:r w:rsidRPr="0025250D">
              <w:rPr>
                <w:rFonts w:hint="eastAsia"/>
                <w:rtl/>
              </w:rPr>
              <w:t>رات</w:t>
            </w:r>
            <w:r w:rsidRPr="0025250D">
              <w:rPr>
                <w:rtl/>
              </w:rPr>
              <w:t xml:space="preserve"> اجتماع</w:t>
            </w:r>
            <w:r w:rsidRPr="0025250D">
              <w:rPr>
                <w:rFonts w:hint="cs"/>
                <w:rtl/>
              </w:rPr>
              <w:t>ی</w:t>
            </w:r>
            <w:r w:rsidRPr="0025250D">
              <w:rPr>
                <w:rtl/>
              </w:rPr>
              <w:t xml:space="preserve"> و تأث</w:t>
            </w:r>
            <w:r w:rsidRPr="0025250D">
              <w:rPr>
                <w:rFonts w:hint="cs"/>
                <w:rtl/>
              </w:rPr>
              <w:t>ی</w:t>
            </w:r>
            <w:r w:rsidRPr="0025250D">
              <w:rPr>
                <w:rFonts w:hint="eastAsia"/>
                <w:rtl/>
              </w:rPr>
              <w:t>ر</w:t>
            </w:r>
            <w:r w:rsidRPr="0025250D">
              <w:rPr>
                <w:rtl/>
              </w:rPr>
              <w:t xml:space="preserve"> آن بر فنلاند</w:t>
            </w:r>
          </w:p>
        </w:tc>
        <w:tc>
          <w:tcPr>
            <w:tcW w:w="1497" w:type="dxa"/>
            <w:vAlign w:val="center"/>
          </w:tcPr>
          <w:p w14:paraId="7B90EAEC" w14:textId="77777777" w:rsidR="00537CC8" w:rsidRPr="0025250D" w:rsidRDefault="00537CC8" w:rsidP="002925C9">
            <w:pPr>
              <w:bidi/>
              <w:spacing w:after="160"/>
              <w:jc w:val="center"/>
              <w:rPr>
                <w:rtl/>
              </w:rPr>
            </w:pPr>
            <w:r w:rsidRPr="0025250D">
              <w:rPr>
                <w:rtl/>
              </w:rPr>
              <w:t>3 (هلس</w:t>
            </w:r>
            <w:r w:rsidRPr="0025250D">
              <w:rPr>
                <w:rFonts w:hint="cs"/>
                <w:rtl/>
              </w:rPr>
              <w:t>ی</w:t>
            </w:r>
            <w:r w:rsidRPr="0025250D">
              <w:rPr>
                <w:rFonts w:hint="eastAsia"/>
                <w:rtl/>
              </w:rPr>
              <w:t>نک</w:t>
            </w:r>
            <w:r w:rsidRPr="0025250D">
              <w:rPr>
                <w:rFonts w:hint="cs"/>
                <w:rtl/>
              </w:rPr>
              <w:t>ی</w:t>
            </w:r>
            <w:r w:rsidRPr="0025250D">
              <w:rPr>
                <w:rFonts w:hint="eastAsia"/>
                <w:rtl/>
              </w:rPr>
              <w:t>،</w:t>
            </w:r>
            <w:r w:rsidRPr="0025250D">
              <w:rPr>
                <w:rtl/>
              </w:rPr>
              <w:t xml:space="preserve"> فنلاند)</w:t>
            </w:r>
          </w:p>
        </w:tc>
      </w:tr>
      <w:tr w:rsidR="00537CC8" w:rsidRPr="0025250D" w14:paraId="0C86623F" w14:textId="77777777" w:rsidTr="002925C9">
        <w:tc>
          <w:tcPr>
            <w:tcW w:w="2266" w:type="dxa"/>
            <w:vAlign w:val="center"/>
          </w:tcPr>
          <w:p w14:paraId="40BE5013" w14:textId="77777777" w:rsidR="00537CC8" w:rsidRPr="0025250D" w:rsidRDefault="007A207F" w:rsidP="002925C9">
            <w:pPr>
              <w:bidi/>
              <w:spacing w:after="160"/>
              <w:jc w:val="center"/>
            </w:pPr>
            <w:hyperlink r:id="rId447">
              <w:r w:rsidR="00537CC8" w:rsidRPr="0025250D">
                <w:rPr>
                  <w:rStyle w:val="Hyperlink"/>
                  <w:color w:val="auto"/>
                  <w:u w:val="none"/>
                </w:rPr>
                <w:t>Spigit</w:t>
              </w:r>
            </w:hyperlink>
          </w:p>
        </w:tc>
        <w:tc>
          <w:tcPr>
            <w:tcW w:w="3597" w:type="dxa"/>
            <w:vAlign w:val="center"/>
          </w:tcPr>
          <w:p w14:paraId="6012B3AE" w14:textId="77777777" w:rsidR="00537CC8" w:rsidRPr="0025250D" w:rsidRDefault="00537CC8" w:rsidP="002925C9">
            <w:pPr>
              <w:bidi/>
              <w:spacing w:after="160"/>
              <w:jc w:val="center"/>
              <w:rPr>
                <w:rtl/>
              </w:rPr>
            </w:pPr>
            <w:r w:rsidRPr="0025250D">
              <w:rPr>
                <w:rtl/>
              </w:rPr>
              <w:t>ج</w:t>
            </w:r>
            <w:r w:rsidRPr="0025250D">
              <w:rPr>
                <w:rFonts w:hint="cs"/>
                <w:rtl/>
              </w:rPr>
              <w:t>ی</w:t>
            </w:r>
            <w:r w:rsidRPr="0025250D">
              <w:rPr>
                <w:rFonts w:hint="eastAsia"/>
                <w:rtl/>
              </w:rPr>
              <w:t>مز</w:t>
            </w:r>
            <w:r w:rsidRPr="0025250D">
              <w:rPr>
                <w:rtl/>
              </w:rPr>
              <w:t xml:space="preserve"> گاردنر</w:t>
            </w:r>
            <w:r w:rsidRPr="0025250D">
              <w:rPr>
                <w:vertAlign w:val="superscript"/>
                <w:rtl/>
              </w:rPr>
              <w:footnoteReference w:id="3143"/>
            </w:r>
            <w:r w:rsidRPr="0025250D">
              <w:rPr>
                <w:rtl/>
              </w:rPr>
              <w:t>؛ پلتفرم ا</w:t>
            </w:r>
            <w:r w:rsidRPr="0025250D">
              <w:rPr>
                <w:rFonts w:hint="cs"/>
                <w:rtl/>
              </w:rPr>
              <w:t>ی</w:t>
            </w:r>
            <w:r w:rsidRPr="0025250D">
              <w:rPr>
                <w:rFonts w:hint="eastAsia"/>
                <w:rtl/>
              </w:rPr>
              <w:t>ده‌پرداز</w:t>
            </w:r>
            <w:r w:rsidRPr="0025250D">
              <w:rPr>
                <w:rFonts w:hint="cs"/>
                <w:rtl/>
              </w:rPr>
              <w:t>ی</w:t>
            </w:r>
            <w:r w:rsidRPr="0025250D">
              <w:rPr>
                <w:rFonts w:hint="eastAsia"/>
                <w:rtl/>
              </w:rPr>
              <w:t>،</w:t>
            </w:r>
            <w:r w:rsidRPr="0025250D">
              <w:rPr>
                <w:rtl/>
              </w:rPr>
              <w:t xml:space="preserve"> نرم‌افزار جمع‌سپار</w:t>
            </w:r>
            <w:r w:rsidRPr="0025250D">
              <w:rPr>
                <w:rFonts w:hint="cs"/>
                <w:rtl/>
              </w:rPr>
              <w:t>ی</w:t>
            </w:r>
          </w:p>
        </w:tc>
        <w:tc>
          <w:tcPr>
            <w:tcW w:w="1497" w:type="dxa"/>
            <w:vAlign w:val="center"/>
          </w:tcPr>
          <w:p w14:paraId="48840A27" w14:textId="77777777" w:rsidR="00537CC8" w:rsidRPr="0025250D" w:rsidRDefault="00537CC8" w:rsidP="002925C9">
            <w:pPr>
              <w:bidi/>
              <w:spacing w:after="160"/>
              <w:jc w:val="center"/>
              <w:rPr>
                <w:rtl/>
              </w:rPr>
            </w:pPr>
            <w:r w:rsidRPr="0025250D">
              <w:rPr>
                <w:rtl/>
              </w:rPr>
              <w:t>1 (</w:t>
            </w:r>
            <w:r w:rsidRPr="0025250D">
              <w:rPr>
                <w:rFonts w:hint="cs"/>
                <w:rtl/>
              </w:rPr>
              <w:t>پلیسانتون</w:t>
            </w:r>
            <w:r w:rsidRPr="0025250D">
              <w:rPr>
                <w:vertAlign w:val="superscript"/>
                <w:rtl/>
              </w:rPr>
              <w:footnoteReference w:id="3144"/>
            </w:r>
            <w:r w:rsidRPr="0025250D">
              <w:rPr>
                <w:rFonts w:hint="cs"/>
                <w:rtl/>
              </w:rPr>
              <w:t>)</w:t>
            </w:r>
          </w:p>
        </w:tc>
      </w:tr>
      <w:tr w:rsidR="00537CC8" w:rsidRPr="0025250D" w14:paraId="026B8A72" w14:textId="77777777" w:rsidTr="002925C9">
        <w:tc>
          <w:tcPr>
            <w:tcW w:w="2266" w:type="dxa"/>
            <w:vAlign w:val="center"/>
          </w:tcPr>
          <w:p w14:paraId="1A73C9D4" w14:textId="77777777" w:rsidR="00537CC8" w:rsidRPr="0025250D" w:rsidRDefault="007A207F" w:rsidP="002925C9">
            <w:pPr>
              <w:bidi/>
              <w:spacing w:after="160"/>
              <w:jc w:val="center"/>
            </w:pPr>
            <w:hyperlink r:id="rId448">
              <w:r w:rsidR="00537CC8" w:rsidRPr="0025250D">
                <w:rPr>
                  <w:rStyle w:val="Hyperlink"/>
                  <w:color w:val="auto"/>
                  <w:u w:val="none"/>
                </w:rPr>
                <w:t>Strategic Business Insights</w:t>
              </w:r>
            </w:hyperlink>
          </w:p>
        </w:tc>
        <w:tc>
          <w:tcPr>
            <w:tcW w:w="3597" w:type="dxa"/>
            <w:vAlign w:val="center"/>
          </w:tcPr>
          <w:p w14:paraId="671293AB" w14:textId="6EE47FB5" w:rsidR="00537CC8" w:rsidRPr="0025250D" w:rsidRDefault="00537CC8" w:rsidP="002925C9">
            <w:pPr>
              <w:bidi/>
              <w:spacing w:after="160"/>
              <w:jc w:val="center"/>
              <w:rPr>
                <w:rtl/>
              </w:rPr>
            </w:pPr>
            <w:r w:rsidRPr="0025250D">
              <w:rPr>
                <w:rtl/>
              </w:rPr>
              <w:t>تحق</w:t>
            </w:r>
            <w:r w:rsidRPr="0025250D">
              <w:rPr>
                <w:rFonts w:hint="cs"/>
                <w:rtl/>
              </w:rPr>
              <w:t>ی</w:t>
            </w:r>
            <w:r w:rsidRPr="0025250D">
              <w:rPr>
                <w:rFonts w:hint="eastAsia"/>
                <w:rtl/>
              </w:rPr>
              <w:t>ق</w:t>
            </w:r>
            <w:r w:rsidRPr="0025250D">
              <w:rPr>
                <w:rtl/>
              </w:rPr>
              <w:t xml:space="preserve"> و مشاوره در زم</w:t>
            </w:r>
            <w:r w:rsidRPr="0025250D">
              <w:rPr>
                <w:rFonts w:hint="cs"/>
                <w:rtl/>
              </w:rPr>
              <w:t>ی</w:t>
            </w:r>
            <w:r w:rsidRPr="0025250D">
              <w:rPr>
                <w:rFonts w:hint="eastAsia"/>
                <w:rtl/>
              </w:rPr>
              <w:t>نه</w:t>
            </w:r>
            <w:r w:rsidRPr="0025250D">
              <w:rPr>
                <w:rtl/>
              </w:rPr>
              <w:t xml:space="preserve"> فناور</w:t>
            </w:r>
            <w:r w:rsidRPr="0025250D">
              <w:rPr>
                <w:rFonts w:hint="cs"/>
                <w:rtl/>
              </w:rPr>
              <w:t>ی</w:t>
            </w:r>
            <w:r w:rsidRPr="0025250D">
              <w:rPr>
                <w:rFonts w:hint="eastAsia"/>
                <w:rtl/>
              </w:rPr>
              <w:t>،</w:t>
            </w:r>
            <w:r w:rsidRPr="0025250D">
              <w:rPr>
                <w:rtl/>
              </w:rPr>
              <w:t xml:space="preserve"> مصرف کننده و مح</w:t>
            </w:r>
            <w:r w:rsidRPr="0025250D">
              <w:rPr>
                <w:rFonts w:hint="cs"/>
                <w:rtl/>
              </w:rPr>
              <w:t>ی</w:t>
            </w:r>
            <w:r w:rsidRPr="0025250D">
              <w:rPr>
                <w:rFonts w:hint="eastAsia"/>
                <w:rtl/>
              </w:rPr>
              <w:t>ط</w:t>
            </w:r>
            <w:r w:rsidRPr="0025250D">
              <w:rPr>
                <w:rtl/>
              </w:rPr>
              <w:t xml:space="preserve"> </w:t>
            </w:r>
            <w:r w:rsidR="00B124DE" w:rsidRPr="0025250D">
              <w:rPr>
                <w:rFonts w:hint="cs"/>
                <w:rtl/>
              </w:rPr>
              <w:t>کسب‌و‌کار</w:t>
            </w:r>
          </w:p>
        </w:tc>
        <w:tc>
          <w:tcPr>
            <w:tcW w:w="1497" w:type="dxa"/>
            <w:vAlign w:val="center"/>
          </w:tcPr>
          <w:p w14:paraId="4EB7F62A" w14:textId="77777777" w:rsidR="00537CC8" w:rsidRPr="0025250D" w:rsidRDefault="00537CC8" w:rsidP="002925C9">
            <w:pPr>
              <w:bidi/>
              <w:spacing w:after="160"/>
              <w:jc w:val="center"/>
              <w:rPr>
                <w:rtl/>
              </w:rPr>
            </w:pPr>
            <w:r w:rsidRPr="0025250D">
              <w:rPr>
                <w:rtl/>
              </w:rPr>
              <w:t>1 (منلو پارک</w:t>
            </w:r>
            <w:r w:rsidRPr="0025250D">
              <w:rPr>
                <w:rFonts w:hint="cs"/>
                <w:rtl/>
              </w:rPr>
              <w:t>)</w:t>
            </w:r>
          </w:p>
        </w:tc>
      </w:tr>
      <w:tr w:rsidR="00537CC8" w:rsidRPr="0025250D" w14:paraId="307E4F91" w14:textId="77777777" w:rsidTr="002925C9">
        <w:tc>
          <w:tcPr>
            <w:tcW w:w="2266" w:type="dxa"/>
            <w:vAlign w:val="center"/>
          </w:tcPr>
          <w:p w14:paraId="72AADB14" w14:textId="77777777" w:rsidR="00537CC8" w:rsidRPr="0025250D" w:rsidRDefault="007A207F" w:rsidP="002925C9">
            <w:pPr>
              <w:bidi/>
              <w:spacing w:after="160"/>
              <w:jc w:val="center"/>
            </w:pPr>
            <w:hyperlink r:id="rId449">
              <w:r w:rsidR="00537CC8" w:rsidRPr="0025250D">
                <w:rPr>
                  <w:rStyle w:val="Hyperlink"/>
                  <w:color w:val="auto"/>
                  <w:u w:val="none"/>
                </w:rPr>
                <w:t>Stratfor</w:t>
              </w:r>
            </w:hyperlink>
          </w:p>
        </w:tc>
        <w:tc>
          <w:tcPr>
            <w:tcW w:w="3597" w:type="dxa"/>
            <w:vAlign w:val="center"/>
          </w:tcPr>
          <w:p w14:paraId="1FA379CB" w14:textId="6610C784" w:rsidR="00537CC8" w:rsidRPr="0025250D" w:rsidRDefault="00537CC8" w:rsidP="002925C9">
            <w:pPr>
              <w:bidi/>
              <w:spacing w:after="160"/>
              <w:jc w:val="center"/>
              <w:rPr>
                <w:rtl/>
              </w:rPr>
            </w:pPr>
            <w:r w:rsidRPr="0025250D">
              <w:rPr>
                <w:rtl/>
              </w:rPr>
              <w:t>جورج فر</w:t>
            </w:r>
            <w:r w:rsidRPr="0025250D">
              <w:rPr>
                <w:rFonts w:hint="cs"/>
                <w:rtl/>
              </w:rPr>
              <w:t>ی</w:t>
            </w:r>
            <w:r w:rsidRPr="0025250D">
              <w:rPr>
                <w:rFonts w:hint="eastAsia"/>
                <w:rtl/>
              </w:rPr>
              <w:t>دمن</w:t>
            </w:r>
            <w:r w:rsidRPr="0025250D">
              <w:rPr>
                <w:vertAlign w:val="superscript"/>
                <w:rtl/>
              </w:rPr>
              <w:footnoteReference w:id="3145"/>
            </w:r>
            <w:r w:rsidRPr="0025250D">
              <w:rPr>
                <w:rFonts w:hint="eastAsia"/>
                <w:rtl/>
              </w:rPr>
              <w:t>؛</w:t>
            </w:r>
            <w:r w:rsidRPr="0025250D">
              <w:rPr>
                <w:rtl/>
              </w:rPr>
              <w:t xml:space="preserve"> </w:t>
            </w:r>
            <w:r w:rsidR="00D92F6E" w:rsidRPr="0025250D">
              <w:rPr>
                <w:rtl/>
              </w:rPr>
              <w:t>پیش‌بین</w:t>
            </w:r>
            <w:r w:rsidRPr="0025250D">
              <w:rPr>
                <w:rFonts w:hint="cs"/>
                <w:rtl/>
              </w:rPr>
              <w:t>ی</w:t>
            </w:r>
            <w:r w:rsidRPr="0025250D">
              <w:rPr>
                <w:rtl/>
              </w:rPr>
              <w:t xml:space="preserve"> امن</w:t>
            </w:r>
            <w:r w:rsidRPr="0025250D">
              <w:rPr>
                <w:rFonts w:hint="cs"/>
                <w:rtl/>
              </w:rPr>
              <w:t>ی</w:t>
            </w:r>
            <w:r w:rsidRPr="0025250D">
              <w:rPr>
                <w:rFonts w:hint="eastAsia"/>
                <w:rtl/>
              </w:rPr>
              <w:t>ت</w:t>
            </w:r>
            <w:r w:rsidRPr="0025250D">
              <w:rPr>
                <w:rtl/>
              </w:rPr>
              <w:t xml:space="preserve"> و اطلاعات جهان</w:t>
            </w:r>
            <w:r w:rsidRPr="0025250D">
              <w:rPr>
                <w:rFonts w:hint="cs"/>
                <w:rtl/>
              </w:rPr>
              <w:t>ی</w:t>
            </w:r>
          </w:p>
        </w:tc>
        <w:tc>
          <w:tcPr>
            <w:tcW w:w="1497" w:type="dxa"/>
            <w:vAlign w:val="center"/>
          </w:tcPr>
          <w:p w14:paraId="5D841DF6" w14:textId="77777777" w:rsidR="00537CC8" w:rsidRPr="0025250D" w:rsidRDefault="00537CC8" w:rsidP="002925C9">
            <w:pPr>
              <w:bidi/>
              <w:spacing w:after="160"/>
              <w:jc w:val="center"/>
              <w:rPr>
                <w:rtl/>
              </w:rPr>
            </w:pPr>
            <w:r w:rsidRPr="0025250D">
              <w:rPr>
                <w:rtl/>
              </w:rPr>
              <w:t>1 (آست</w:t>
            </w:r>
            <w:r w:rsidRPr="0025250D">
              <w:rPr>
                <w:rFonts w:hint="cs"/>
                <w:rtl/>
              </w:rPr>
              <w:t>ی</w:t>
            </w:r>
            <w:r w:rsidRPr="0025250D">
              <w:rPr>
                <w:rFonts w:hint="eastAsia"/>
                <w:rtl/>
              </w:rPr>
              <w:t>ن</w:t>
            </w:r>
            <w:r w:rsidRPr="0025250D">
              <w:rPr>
                <w:rFonts w:hint="cs"/>
                <w:rtl/>
              </w:rPr>
              <w:t>)</w:t>
            </w:r>
          </w:p>
        </w:tc>
      </w:tr>
      <w:tr w:rsidR="00537CC8" w:rsidRPr="0025250D" w14:paraId="6B2E435A" w14:textId="77777777" w:rsidTr="002925C9">
        <w:tc>
          <w:tcPr>
            <w:tcW w:w="2266" w:type="dxa"/>
            <w:vAlign w:val="center"/>
          </w:tcPr>
          <w:p w14:paraId="78BF4869" w14:textId="77777777" w:rsidR="00537CC8" w:rsidRPr="0025250D" w:rsidRDefault="007A207F" w:rsidP="002925C9">
            <w:pPr>
              <w:bidi/>
              <w:spacing w:after="160"/>
              <w:jc w:val="center"/>
            </w:pPr>
            <w:hyperlink r:id="rId450">
              <w:r w:rsidR="00537CC8" w:rsidRPr="0025250D">
                <w:rPr>
                  <w:rStyle w:val="Hyperlink"/>
                  <w:color w:val="auto"/>
                  <w:u w:val="none"/>
                </w:rPr>
                <w:t>SustainAbility</w:t>
              </w:r>
            </w:hyperlink>
          </w:p>
        </w:tc>
        <w:tc>
          <w:tcPr>
            <w:tcW w:w="3597" w:type="dxa"/>
            <w:vAlign w:val="center"/>
          </w:tcPr>
          <w:p w14:paraId="5D49E312" w14:textId="77777777" w:rsidR="00537CC8" w:rsidRPr="0025250D" w:rsidRDefault="00537CC8" w:rsidP="002925C9">
            <w:pPr>
              <w:bidi/>
              <w:spacing w:after="160"/>
              <w:jc w:val="center"/>
              <w:rPr>
                <w:rtl/>
              </w:rPr>
            </w:pPr>
            <w:r w:rsidRPr="0025250D">
              <w:rPr>
                <w:rtl/>
              </w:rPr>
              <w:t>مشاوره نوآور</w:t>
            </w:r>
            <w:r w:rsidRPr="0025250D">
              <w:rPr>
                <w:rFonts w:hint="cs"/>
                <w:rtl/>
              </w:rPr>
              <w:t>ی</w:t>
            </w:r>
            <w:r w:rsidRPr="0025250D">
              <w:rPr>
                <w:rtl/>
              </w:rPr>
              <w:t xml:space="preserve"> پا</w:t>
            </w:r>
            <w:r w:rsidRPr="0025250D">
              <w:rPr>
                <w:rFonts w:hint="cs"/>
                <w:rtl/>
              </w:rPr>
              <w:t>ی</w:t>
            </w:r>
            <w:r w:rsidRPr="0025250D">
              <w:rPr>
                <w:rFonts w:hint="eastAsia"/>
                <w:rtl/>
              </w:rPr>
              <w:t>دار</w:t>
            </w:r>
            <w:r w:rsidRPr="0025250D">
              <w:rPr>
                <w:rFonts w:hint="cs"/>
                <w:rtl/>
              </w:rPr>
              <w:t>ی</w:t>
            </w:r>
            <w:r w:rsidRPr="0025250D">
              <w:rPr>
                <w:rtl/>
              </w:rPr>
              <w:t xml:space="preserve"> از سال 1987.</w:t>
            </w:r>
          </w:p>
        </w:tc>
        <w:tc>
          <w:tcPr>
            <w:tcW w:w="1497" w:type="dxa"/>
            <w:vAlign w:val="center"/>
          </w:tcPr>
          <w:p w14:paraId="76991E59" w14:textId="77777777" w:rsidR="00537CC8" w:rsidRPr="0025250D" w:rsidRDefault="00537CC8" w:rsidP="002925C9">
            <w:pPr>
              <w:bidi/>
              <w:spacing w:after="160"/>
              <w:jc w:val="center"/>
              <w:rPr>
                <w:rtl/>
              </w:rPr>
            </w:pPr>
            <w:r w:rsidRPr="0025250D">
              <w:rPr>
                <w:rtl/>
              </w:rPr>
              <w:t>1،3 (</w:t>
            </w:r>
            <w:r w:rsidRPr="0025250D">
              <w:rPr>
                <w:rFonts w:hint="cs"/>
                <w:rtl/>
              </w:rPr>
              <w:t>نیویورک</w:t>
            </w:r>
            <w:r w:rsidRPr="0025250D">
              <w:rPr>
                <w:rtl/>
              </w:rPr>
              <w:t xml:space="preserve">، لندن، </w:t>
            </w:r>
            <w:r w:rsidRPr="0025250D">
              <w:t>SF</w:t>
            </w:r>
            <w:r w:rsidRPr="0025250D">
              <w:rPr>
                <w:rtl/>
              </w:rPr>
              <w:t>)</w:t>
            </w:r>
          </w:p>
        </w:tc>
      </w:tr>
      <w:tr w:rsidR="00537CC8" w:rsidRPr="0025250D" w14:paraId="391A726C" w14:textId="77777777" w:rsidTr="002925C9">
        <w:tc>
          <w:tcPr>
            <w:tcW w:w="2266" w:type="dxa"/>
            <w:vAlign w:val="center"/>
          </w:tcPr>
          <w:p w14:paraId="68DAB9D2" w14:textId="77777777" w:rsidR="00537CC8" w:rsidRPr="0025250D" w:rsidRDefault="007A207F" w:rsidP="002925C9">
            <w:pPr>
              <w:bidi/>
              <w:spacing w:after="160"/>
              <w:jc w:val="center"/>
            </w:pPr>
            <w:hyperlink r:id="rId451">
              <w:r w:rsidR="00537CC8" w:rsidRPr="0025250D">
                <w:rPr>
                  <w:rStyle w:val="Hyperlink"/>
                  <w:color w:val="auto"/>
                  <w:u w:val="none"/>
                </w:rPr>
                <w:t>TechCast Global</w:t>
              </w:r>
            </w:hyperlink>
          </w:p>
        </w:tc>
        <w:tc>
          <w:tcPr>
            <w:tcW w:w="3597" w:type="dxa"/>
            <w:vAlign w:val="center"/>
          </w:tcPr>
          <w:p w14:paraId="2A179D4F" w14:textId="051658B8" w:rsidR="00537CC8" w:rsidRPr="0025250D" w:rsidRDefault="00537CC8" w:rsidP="002925C9">
            <w:pPr>
              <w:bidi/>
              <w:spacing w:after="160"/>
              <w:jc w:val="center"/>
              <w:rPr>
                <w:rtl/>
              </w:rPr>
            </w:pPr>
            <w:r w:rsidRPr="0025250D">
              <w:rPr>
                <w:rtl/>
              </w:rPr>
              <w:t>ب</w:t>
            </w:r>
            <w:r w:rsidRPr="0025250D">
              <w:rPr>
                <w:rFonts w:hint="cs"/>
                <w:rtl/>
              </w:rPr>
              <w:t>ی</w:t>
            </w:r>
            <w:r w:rsidRPr="0025250D">
              <w:rPr>
                <w:rFonts w:hint="eastAsia"/>
                <w:rtl/>
              </w:rPr>
              <w:t>ل</w:t>
            </w:r>
            <w:r w:rsidRPr="0025250D">
              <w:rPr>
                <w:rtl/>
              </w:rPr>
              <w:t xml:space="preserve"> حلال</w:t>
            </w:r>
            <w:r w:rsidRPr="0025250D">
              <w:rPr>
                <w:vertAlign w:val="superscript"/>
                <w:rtl/>
              </w:rPr>
              <w:footnoteReference w:id="3146"/>
            </w:r>
            <w:r w:rsidRPr="0025250D">
              <w:rPr>
                <w:rtl/>
              </w:rPr>
              <w:t>، آر</w:t>
            </w:r>
            <w:r w:rsidRPr="0025250D">
              <w:rPr>
                <w:rFonts w:hint="cs"/>
                <w:rtl/>
              </w:rPr>
              <w:t>ی</w:t>
            </w:r>
            <w:r w:rsidRPr="0025250D">
              <w:rPr>
                <w:rtl/>
              </w:rPr>
              <w:t xml:space="preserve"> پالفلالا</w:t>
            </w:r>
            <w:r w:rsidRPr="0025250D">
              <w:rPr>
                <w:vertAlign w:val="superscript"/>
                <w:rtl/>
              </w:rPr>
              <w:footnoteReference w:id="3147"/>
            </w:r>
            <w:r w:rsidRPr="0025250D">
              <w:rPr>
                <w:rFonts w:hint="cs"/>
                <w:rtl/>
              </w:rPr>
              <w:t>؛</w:t>
            </w:r>
            <w:r w:rsidRPr="0025250D">
              <w:rPr>
                <w:rtl/>
              </w:rPr>
              <w:t xml:space="preserve"> آینده‌</w:t>
            </w:r>
            <w:r w:rsidR="00664E33" w:rsidRPr="0025250D">
              <w:rPr>
                <w:rtl/>
              </w:rPr>
              <w:t>نگار</w:t>
            </w:r>
            <w:r w:rsidRPr="0025250D">
              <w:rPr>
                <w:rtl/>
              </w:rPr>
              <w:t xml:space="preserve">ی و </w:t>
            </w:r>
            <w:r w:rsidR="00701E03" w:rsidRPr="0025250D">
              <w:rPr>
                <w:rtl/>
              </w:rPr>
              <w:t>راهبرد</w:t>
            </w:r>
            <w:r w:rsidRPr="0025250D">
              <w:rPr>
                <w:rtl/>
              </w:rPr>
              <w:t xml:space="preserve"> فناور</w:t>
            </w:r>
            <w:r w:rsidRPr="0025250D">
              <w:rPr>
                <w:rFonts w:hint="cs"/>
                <w:rtl/>
              </w:rPr>
              <w:t>ی</w:t>
            </w:r>
            <w:r w:rsidRPr="0025250D">
              <w:rPr>
                <w:rtl/>
              </w:rPr>
              <w:t xml:space="preserve"> کل</w:t>
            </w:r>
            <w:r w:rsidRPr="0025250D">
              <w:rPr>
                <w:rFonts w:hint="cs"/>
                <w:rtl/>
              </w:rPr>
              <w:t>ی</w:t>
            </w:r>
            <w:r w:rsidRPr="0025250D">
              <w:rPr>
                <w:rFonts w:hint="eastAsia"/>
                <w:rtl/>
              </w:rPr>
              <w:t>د</w:t>
            </w:r>
            <w:r w:rsidRPr="0025250D">
              <w:rPr>
                <w:rFonts w:hint="cs"/>
                <w:rtl/>
              </w:rPr>
              <w:t>ی</w:t>
            </w:r>
          </w:p>
        </w:tc>
        <w:tc>
          <w:tcPr>
            <w:tcW w:w="1497" w:type="dxa"/>
            <w:vAlign w:val="center"/>
          </w:tcPr>
          <w:p w14:paraId="66FAA861" w14:textId="77777777" w:rsidR="00537CC8" w:rsidRPr="0025250D" w:rsidRDefault="00537CC8" w:rsidP="002925C9">
            <w:pPr>
              <w:bidi/>
              <w:spacing w:after="160"/>
              <w:jc w:val="center"/>
              <w:rPr>
                <w:rtl/>
              </w:rPr>
            </w:pPr>
            <w:r w:rsidRPr="0025250D">
              <w:rPr>
                <w:rtl/>
              </w:rPr>
              <w:t>1 (واشنگتن</w:t>
            </w:r>
            <w:r w:rsidRPr="0025250D">
              <w:rPr>
                <w:rFonts w:hint="cs"/>
                <w:rtl/>
              </w:rPr>
              <w:t>)</w:t>
            </w:r>
          </w:p>
        </w:tc>
      </w:tr>
      <w:tr w:rsidR="00537CC8" w:rsidRPr="0025250D" w14:paraId="360D3830" w14:textId="77777777" w:rsidTr="002925C9">
        <w:tc>
          <w:tcPr>
            <w:tcW w:w="2266" w:type="dxa"/>
            <w:vAlign w:val="center"/>
          </w:tcPr>
          <w:p w14:paraId="46A46343" w14:textId="77777777" w:rsidR="00537CC8" w:rsidRPr="0025250D" w:rsidRDefault="007A207F" w:rsidP="002925C9">
            <w:pPr>
              <w:bidi/>
              <w:spacing w:after="160"/>
              <w:jc w:val="center"/>
            </w:pPr>
            <w:hyperlink r:id="rId452">
              <w:r w:rsidR="00537CC8" w:rsidRPr="0025250D">
                <w:rPr>
                  <w:rStyle w:val="Hyperlink"/>
                  <w:color w:val="auto"/>
                  <w:u w:val="none"/>
                </w:rPr>
                <w:t>Technology Futures</w:t>
              </w:r>
            </w:hyperlink>
          </w:p>
        </w:tc>
        <w:tc>
          <w:tcPr>
            <w:tcW w:w="3597" w:type="dxa"/>
            <w:vAlign w:val="center"/>
          </w:tcPr>
          <w:p w14:paraId="2B80ECDD" w14:textId="7156EEC5" w:rsidR="00537CC8" w:rsidRPr="0025250D" w:rsidRDefault="00537CC8" w:rsidP="002925C9">
            <w:pPr>
              <w:bidi/>
              <w:spacing w:after="160"/>
              <w:jc w:val="center"/>
              <w:rPr>
                <w:rtl/>
              </w:rPr>
            </w:pPr>
            <w:r w:rsidRPr="0025250D">
              <w:rPr>
                <w:rtl/>
              </w:rPr>
              <w:t>جان وانستون</w:t>
            </w:r>
            <w:r w:rsidRPr="0025250D">
              <w:rPr>
                <w:vertAlign w:val="superscript"/>
                <w:rtl/>
              </w:rPr>
              <w:footnoteReference w:id="3148"/>
            </w:r>
            <w:r w:rsidRPr="0025250D">
              <w:rPr>
                <w:rtl/>
              </w:rPr>
              <w:t>، کر</w:t>
            </w:r>
            <w:r w:rsidRPr="0025250D">
              <w:rPr>
                <w:rFonts w:hint="cs"/>
                <w:rtl/>
              </w:rPr>
              <w:t>ی</w:t>
            </w:r>
            <w:r w:rsidRPr="0025250D">
              <w:rPr>
                <w:rtl/>
              </w:rPr>
              <w:t xml:space="preserve"> وانستون</w:t>
            </w:r>
            <w:r w:rsidRPr="0025250D">
              <w:rPr>
                <w:vertAlign w:val="superscript"/>
                <w:rtl/>
              </w:rPr>
              <w:footnoteReference w:id="3149"/>
            </w:r>
            <w:r w:rsidRPr="0025250D">
              <w:rPr>
                <w:rtl/>
              </w:rPr>
              <w:t>؛ فناور</w:t>
            </w:r>
            <w:r w:rsidRPr="0025250D">
              <w:rPr>
                <w:rFonts w:hint="cs"/>
                <w:rtl/>
              </w:rPr>
              <w:t>ی</w:t>
            </w:r>
            <w:r w:rsidRPr="0025250D">
              <w:rPr>
                <w:rtl/>
              </w:rPr>
              <w:t xml:space="preserve"> و مخابرات </w:t>
            </w:r>
            <w:r w:rsidR="00D92F6E" w:rsidRPr="0025250D">
              <w:rPr>
                <w:rtl/>
              </w:rPr>
              <w:t>پیش‌بین</w:t>
            </w:r>
            <w:r w:rsidRPr="0025250D">
              <w:rPr>
                <w:rFonts w:hint="cs"/>
                <w:rtl/>
              </w:rPr>
              <w:t>ی</w:t>
            </w:r>
            <w:r w:rsidRPr="0025250D">
              <w:rPr>
                <w:rFonts w:hint="eastAsia"/>
                <w:rtl/>
              </w:rPr>
              <w:t>،</w:t>
            </w:r>
            <w:r w:rsidRPr="0025250D">
              <w:rPr>
                <w:rtl/>
              </w:rPr>
              <w:t xml:space="preserve"> ارزش گذار</w:t>
            </w:r>
            <w:r w:rsidRPr="0025250D">
              <w:rPr>
                <w:rFonts w:hint="cs"/>
                <w:rtl/>
              </w:rPr>
              <w:t>ی</w:t>
            </w:r>
            <w:r w:rsidRPr="0025250D">
              <w:rPr>
                <w:rFonts w:hint="eastAsia"/>
                <w:rtl/>
              </w:rPr>
              <w:t>،</w:t>
            </w:r>
            <w:r w:rsidRPr="0025250D">
              <w:rPr>
                <w:rtl/>
              </w:rPr>
              <w:t xml:space="preserve"> </w:t>
            </w:r>
            <w:r w:rsidR="00D92F6E" w:rsidRPr="0025250D">
              <w:rPr>
                <w:rtl/>
              </w:rPr>
              <w:t>پیش‌بین</w:t>
            </w:r>
            <w:r w:rsidRPr="0025250D">
              <w:rPr>
                <w:rFonts w:hint="cs"/>
                <w:rtl/>
              </w:rPr>
              <w:t>ی</w:t>
            </w:r>
            <w:r w:rsidRPr="0025250D">
              <w:rPr>
                <w:rtl/>
              </w:rPr>
              <w:t xml:space="preserve"> روند کوچک</w:t>
            </w:r>
          </w:p>
        </w:tc>
        <w:tc>
          <w:tcPr>
            <w:tcW w:w="1497" w:type="dxa"/>
            <w:vAlign w:val="center"/>
          </w:tcPr>
          <w:p w14:paraId="0C0BA6DE" w14:textId="77777777" w:rsidR="00537CC8" w:rsidRPr="0025250D" w:rsidRDefault="00537CC8" w:rsidP="002925C9">
            <w:pPr>
              <w:bidi/>
              <w:spacing w:after="160"/>
              <w:jc w:val="center"/>
              <w:rPr>
                <w:rtl/>
              </w:rPr>
            </w:pPr>
            <w:r w:rsidRPr="0025250D">
              <w:rPr>
                <w:rtl/>
              </w:rPr>
              <w:t>1 (آست</w:t>
            </w:r>
            <w:r w:rsidRPr="0025250D">
              <w:rPr>
                <w:rFonts w:hint="cs"/>
                <w:rtl/>
              </w:rPr>
              <w:t>ی</w:t>
            </w:r>
            <w:r w:rsidRPr="0025250D">
              <w:rPr>
                <w:rFonts w:hint="eastAsia"/>
                <w:rtl/>
              </w:rPr>
              <w:t>ن</w:t>
            </w:r>
            <w:r w:rsidRPr="0025250D">
              <w:rPr>
                <w:rFonts w:hint="cs"/>
                <w:rtl/>
              </w:rPr>
              <w:t>)</w:t>
            </w:r>
          </w:p>
        </w:tc>
      </w:tr>
      <w:tr w:rsidR="00537CC8" w:rsidRPr="0025250D" w14:paraId="1B84F431" w14:textId="77777777" w:rsidTr="002925C9">
        <w:tc>
          <w:tcPr>
            <w:tcW w:w="2266" w:type="dxa"/>
            <w:vAlign w:val="center"/>
          </w:tcPr>
          <w:p w14:paraId="3431635A" w14:textId="77777777" w:rsidR="00537CC8" w:rsidRPr="0025250D" w:rsidRDefault="007A207F" w:rsidP="002925C9">
            <w:pPr>
              <w:bidi/>
              <w:spacing w:after="160"/>
              <w:jc w:val="center"/>
            </w:pPr>
            <w:hyperlink r:id="rId453">
              <w:r w:rsidR="00537CC8" w:rsidRPr="0025250D">
                <w:rPr>
                  <w:rStyle w:val="Hyperlink"/>
                  <w:color w:val="auto"/>
                  <w:u w:val="none"/>
                </w:rPr>
                <w:t>Technopolis Group</w:t>
              </w:r>
            </w:hyperlink>
          </w:p>
        </w:tc>
        <w:tc>
          <w:tcPr>
            <w:tcW w:w="3597" w:type="dxa"/>
            <w:vAlign w:val="center"/>
          </w:tcPr>
          <w:p w14:paraId="65BD4C55" w14:textId="19FD39A1" w:rsidR="00537CC8" w:rsidRPr="0025250D" w:rsidRDefault="00537CC8" w:rsidP="002925C9">
            <w:pPr>
              <w:bidi/>
              <w:spacing w:after="160"/>
              <w:jc w:val="center"/>
              <w:rPr>
                <w:rtl/>
              </w:rPr>
            </w:pPr>
            <w:r w:rsidRPr="0025250D">
              <w:t>S&amp;T</w:t>
            </w:r>
            <w:r w:rsidRPr="0025250D">
              <w:rPr>
                <w:rtl/>
              </w:rPr>
              <w:t>، نوآور</w:t>
            </w:r>
            <w:r w:rsidRPr="0025250D">
              <w:rPr>
                <w:rFonts w:hint="cs"/>
                <w:rtl/>
              </w:rPr>
              <w:t>ی</w:t>
            </w:r>
            <w:r w:rsidRPr="0025250D">
              <w:rPr>
                <w:rFonts w:hint="eastAsia"/>
                <w:rtl/>
              </w:rPr>
              <w:t>،</w:t>
            </w:r>
            <w:r w:rsidRPr="0025250D">
              <w:rPr>
                <w:rtl/>
              </w:rPr>
              <w:t xml:space="preserve"> آموزش و آینده‌</w:t>
            </w:r>
            <w:r w:rsidR="00664E33" w:rsidRPr="0025250D">
              <w:rPr>
                <w:rtl/>
              </w:rPr>
              <w:t>نگار</w:t>
            </w:r>
            <w:r w:rsidRPr="0025250D">
              <w:rPr>
                <w:rtl/>
              </w:rPr>
              <w:t>ی توسعه.</w:t>
            </w:r>
          </w:p>
        </w:tc>
        <w:tc>
          <w:tcPr>
            <w:tcW w:w="1497" w:type="dxa"/>
            <w:vAlign w:val="center"/>
          </w:tcPr>
          <w:p w14:paraId="2A265483" w14:textId="77777777" w:rsidR="00537CC8" w:rsidRPr="0025250D" w:rsidRDefault="00537CC8" w:rsidP="002925C9">
            <w:pPr>
              <w:bidi/>
              <w:spacing w:after="160"/>
              <w:jc w:val="center"/>
              <w:rPr>
                <w:rtl/>
              </w:rPr>
            </w:pPr>
            <w:r w:rsidRPr="0025250D">
              <w:rPr>
                <w:rtl/>
              </w:rPr>
              <w:t>3 (برا</w:t>
            </w:r>
            <w:r w:rsidRPr="0025250D">
              <w:rPr>
                <w:rFonts w:hint="cs"/>
                <w:rtl/>
              </w:rPr>
              <w:t>ی</w:t>
            </w:r>
            <w:r w:rsidRPr="0025250D">
              <w:rPr>
                <w:rFonts w:hint="eastAsia"/>
                <w:rtl/>
              </w:rPr>
              <w:t>تون</w:t>
            </w:r>
            <w:r w:rsidRPr="0025250D">
              <w:rPr>
                <w:rFonts w:hint="cs"/>
                <w:rtl/>
              </w:rPr>
              <w:t>)</w:t>
            </w:r>
          </w:p>
        </w:tc>
      </w:tr>
      <w:tr w:rsidR="00537CC8" w:rsidRPr="0025250D" w14:paraId="2D2FE828" w14:textId="77777777" w:rsidTr="002925C9">
        <w:tc>
          <w:tcPr>
            <w:tcW w:w="2266" w:type="dxa"/>
            <w:vAlign w:val="center"/>
          </w:tcPr>
          <w:p w14:paraId="5698C408" w14:textId="77777777" w:rsidR="00537CC8" w:rsidRPr="0025250D" w:rsidRDefault="007A207F" w:rsidP="002925C9">
            <w:pPr>
              <w:bidi/>
              <w:spacing w:after="160"/>
              <w:jc w:val="center"/>
            </w:pPr>
            <w:hyperlink r:id="rId454">
              <w:r w:rsidR="00537CC8" w:rsidRPr="0025250D">
                <w:rPr>
                  <w:rStyle w:val="Hyperlink"/>
                  <w:color w:val="auto"/>
                  <w:u w:val="none"/>
                </w:rPr>
                <w:t>The Futures Company</w:t>
              </w:r>
            </w:hyperlink>
          </w:p>
        </w:tc>
        <w:tc>
          <w:tcPr>
            <w:tcW w:w="3597" w:type="dxa"/>
            <w:vAlign w:val="center"/>
          </w:tcPr>
          <w:p w14:paraId="3DA544A4" w14:textId="3B6ADD18" w:rsidR="00537CC8" w:rsidRPr="0025250D" w:rsidRDefault="00537CC8" w:rsidP="002925C9">
            <w:pPr>
              <w:bidi/>
              <w:spacing w:after="160"/>
              <w:jc w:val="center"/>
              <w:rPr>
                <w:rtl/>
              </w:rPr>
            </w:pPr>
            <w:r w:rsidRPr="0025250D">
              <w:rPr>
                <w:rtl/>
              </w:rPr>
              <w:t>خدمات مشاوره (نوآور</w:t>
            </w:r>
            <w:r w:rsidRPr="0025250D">
              <w:rPr>
                <w:rFonts w:hint="cs"/>
                <w:rtl/>
              </w:rPr>
              <w:t>ی</w:t>
            </w:r>
            <w:r w:rsidRPr="0025250D">
              <w:rPr>
                <w:rFonts w:hint="eastAsia"/>
                <w:rtl/>
              </w:rPr>
              <w:t>،</w:t>
            </w:r>
            <w:r w:rsidRPr="0025250D">
              <w:rPr>
                <w:rtl/>
              </w:rPr>
              <w:t xml:space="preserve"> </w:t>
            </w:r>
            <w:r w:rsidR="00701E03" w:rsidRPr="0025250D">
              <w:rPr>
                <w:rtl/>
              </w:rPr>
              <w:t>راهبرد</w:t>
            </w:r>
            <w:r w:rsidRPr="0025250D">
              <w:rPr>
                <w:rFonts w:hint="eastAsia"/>
                <w:rtl/>
              </w:rPr>
              <w:t>،</w:t>
            </w:r>
            <w:r w:rsidRPr="0025250D">
              <w:rPr>
                <w:rtl/>
              </w:rPr>
              <w:t xml:space="preserve"> روندها</w:t>
            </w:r>
            <w:r w:rsidR="008D6F97" w:rsidRPr="0025250D">
              <w:rPr>
                <w:rtl/>
              </w:rPr>
              <w:t xml:space="preserve"> </w:t>
            </w:r>
            <w:r w:rsidRPr="0025250D">
              <w:rPr>
                <w:rtl/>
              </w:rPr>
              <w:t>و غ</w:t>
            </w:r>
            <w:r w:rsidRPr="0025250D">
              <w:rPr>
                <w:rFonts w:hint="cs"/>
                <w:rtl/>
              </w:rPr>
              <w:t>ی</w:t>
            </w:r>
            <w:r w:rsidRPr="0025250D">
              <w:rPr>
                <w:rFonts w:hint="eastAsia"/>
                <w:rtl/>
              </w:rPr>
              <w:t>ره</w:t>
            </w:r>
            <w:r w:rsidRPr="0025250D">
              <w:rPr>
                <w:rtl/>
              </w:rPr>
              <w:t>) و خدمات نظارت بر اشتراک</w:t>
            </w:r>
          </w:p>
        </w:tc>
        <w:tc>
          <w:tcPr>
            <w:tcW w:w="1497" w:type="dxa"/>
            <w:vAlign w:val="center"/>
          </w:tcPr>
          <w:p w14:paraId="08472A56" w14:textId="77777777" w:rsidR="00537CC8" w:rsidRPr="0025250D" w:rsidRDefault="00537CC8" w:rsidP="002925C9">
            <w:pPr>
              <w:bidi/>
              <w:spacing w:after="160"/>
              <w:jc w:val="center"/>
              <w:rPr>
                <w:rtl/>
              </w:rPr>
            </w:pPr>
            <w:r w:rsidRPr="0025250D">
              <w:rPr>
                <w:rtl/>
              </w:rPr>
              <w:t>1، 2، 3، 10</w:t>
            </w:r>
          </w:p>
        </w:tc>
      </w:tr>
      <w:tr w:rsidR="00537CC8" w:rsidRPr="0025250D" w14:paraId="4D0392EE" w14:textId="77777777" w:rsidTr="002925C9">
        <w:tc>
          <w:tcPr>
            <w:tcW w:w="2266" w:type="dxa"/>
            <w:vAlign w:val="center"/>
          </w:tcPr>
          <w:p w14:paraId="21EA01E0" w14:textId="77777777" w:rsidR="00537CC8" w:rsidRPr="0025250D" w:rsidRDefault="007A207F" w:rsidP="002925C9">
            <w:pPr>
              <w:bidi/>
              <w:spacing w:after="160"/>
              <w:jc w:val="center"/>
            </w:pPr>
            <w:hyperlink r:id="rId455">
              <w:r w:rsidR="00537CC8" w:rsidRPr="0025250D">
                <w:rPr>
                  <w:rStyle w:val="Hyperlink"/>
                  <w:color w:val="auto"/>
                  <w:u w:val="none"/>
                </w:rPr>
                <w:t>The Millennium Project</w:t>
              </w:r>
            </w:hyperlink>
          </w:p>
        </w:tc>
        <w:tc>
          <w:tcPr>
            <w:tcW w:w="3597" w:type="dxa"/>
            <w:vAlign w:val="center"/>
          </w:tcPr>
          <w:p w14:paraId="2956C2D2" w14:textId="77777777" w:rsidR="00537CC8" w:rsidRPr="0025250D" w:rsidRDefault="00537CC8" w:rsidP="002925C9">
            <w:pPr>
              <w:bidi/>
              <w:spacing w:after="160"/>
              <w:jc w:val="center"/>
              <w:rPr>
                <w:rtl/>
              </w:rPr>
            </w:pPr>
            <w:r w:rsidRPr="0025250D">
              <w:rPr>
                <w:rtl/>
              </w:rPr>
              <w:t>جروم گلن</w:t>
            </w:r>
            <w:r w:rsidRPr="0025250D">
              <w:rPr>
                <w:vertAlign w:val="superscript"/>
                <w:rtl/>
              </w:rPr>
              <w:footnoteReference w:id="3150"/>
            </w:r>
            <w:r w:rsidRPr="0025250D">
              <w:rPr>
                <w:rtl/>
              </w:rPr>
              <w:t>، تد گوردون</w:t>
            </w:r>
            <w:r w:rsidRPr="0025250D">
              <w:rPr>
                <w:vertAlign w:val="superscript"/>
                <w:rtl/>
              </w:rPr>
              <w:footnoteReference w:id="3151"/>
            </w:r>
            <w:r w:rsidRPr="0025250D">
              <w:rPr>
                <w:rtl/>
              </w:rPr>
              <w:t>؛ اند</w:t>
            </w:r>
            <w:r w:rsidRPr="0025250D">
              <w:rPr>
                <w:rFonts w:hint="cs"/>
                <w:rtl/>
              </w:rPr>
              <w:t>ی</w:t>
            </w:r>
            <w:r w:rsidRPr="0025250D">
              <w:rPr>
                <w:rFonts w:hint="eastAsia"/>
                <w:rtl/>
              </w:rPr>
              <w:t>شکده</w:t>
            </w:r>
            <w:r w:rsidRPr="0025250D">
              <w:rPr>
                <w:rtl/>
              </w:rPr>
              <w:t xml:space="preserve"> تحق</w:t>
            </w:r>
            <w:r w:rsidRPr="0025250D">
              <w:rPr>
                <w:rFonts w:hint="cs"/>
                <w:rtl/>
              </w:rPr>
              <w:t>ی</w:t>
            </w:r>
            <w:r w:rsidRPr="0025250D">
              <w:rPr>
                <w:rFonts w:hint="eastAsia"/>
                <w:rtl/>
              </w:rPr>
              <w:t>قات</w:t>
            </w:r>
            <w:r w:rsidRPr="0025250D">
              <w:rPr>
                <w:rtl/>
              </w:rPr>
              <w:t xml:space="preserve"> آ</w:t>
            </w:r>
            <w:r w:rsidRPr="0025250D">
              <w:rPr>
                <w:rFonts w:hint="cs"/>
                <w:rtl/>
              </w:rPr>
              <w:t>ی</w:t>
            </w:r>
            <w:r w:rsidRPr="0025250D">
              <w:rPr>
                <w:rFonts w:hint="eastAsia"/>
                <w:rtl/>
              </w:rPr>
              <w:t>نده</w:t>
            </w:r>
            <w:r w:rsidRPr="0025250D">
              <w:rPr>
                <w:rtl/>
              </w:rPr>
              <w:t xml:space="preserve"> مشارکت</w:t>
            </w:r>
            <w:r w:rsidRPr="0025250D">
              <w:rPr>
                <w:rFonts w:hint="cs"/>
                <w:rtl/>
              </w:rPr>
              <w:t>ی</w:t>
            </w:r>
            <w:r w:rsidRPr="0025250D">
              <w:rPr>
                <w:rtl/>
              </w:rPr>
              <w:t xml:space="preserve"> غ</w:t>
            </w:r>
            <w:r w:rsidRPr="0025250D">
              <w:rPr>
                <w:rFonts w:hint="cs"/>
                <w:rtl/>
              </w:rPr>
              <w:t>ی</w:t>
            </w:r>
            <w:r w:rsidRPr="0025250D">
              <w:rPr>
                <w:rFonts w:hint="eastAsia"/>
                <w:rtl/>
              </w:rPr>
              <w:t>رانتفاع</w:t>
            </w:r>
            <w:r w:rsidRPr="0025250D">
              <w:rPr>
                <w:rFonts w:hint="cs"/>
                <w:rtl/>
              </w:rPr>
              <w:t>ی</w:t>
            </w:r>
            <w:r w:rsidRPr="0025250D">
              <w:rPr>
                <w:rtl/>
              </w:rPr>
              <w:t xml:space="preserve"> مستقل جهان</w:t>
            </w:r>
            <w:r w:rsidRPr="0025250D">
              <w:rPr>
                <w:rFonts w:hint="cs"/>
                <w:rtl/>
              </w:rPr>
              <w:t>ی</w:t>
            </w:r>
          </w:p>
        </w:tc>
        <w:tc>
          <w:tcPr>
            <w:tcW w:w="1497" w:type="dxa"/>
            <w:vAlign w:val="center"/>
          </w:tcPr>
          <w:p w14:paraId="007CC0F8" w14:textId="77777777" w:rsidR="00537CC8" w:rsidRPr="0025250D" w:rsidRDefault="00537CC8" w:rsidP="002925C9">
            <w:pPr>
              <w:bidi/>
              <w:spacing w:after="160"/>
              <w:jc w:val="center"/>
              <w:rPr>
                <w:rtl/>
              </w:rPr>
            </w:pPr>
            <w:r w:rsidRPr="0025250D">
              <w:rPr>
                <w:rtl/>
              </w:rPr>
              <w:t>1 (واشنگتن، د</w:t>
            </w:r>
            <w:r w:rsidRPr="0025250D">
              <w:rPr>
                <w:rFonts w:hint="cs"/>
                <w:rtl/>
              </w:rPr>
              <w:t>ی</w:t>
            </w:r>
            <w:r w:rsidRPr="0025250D">
              <w:rPr>
                <w:rtl/>
              </w:rPr>
              <w:t xml:space="preserve"> س</w:t>
            </w:r>
            <w:r w:rsidRPr="0025250D">
              <w:rPr>
                <w:rFonts w:hint="cs"/>
                <w:rtl/>
              </w:rPr>
              <w:t>ی</w:t>
            </w:r>
            <w:r w:rsidRPr="0025250D">
              <w:rPr>
                <w:rtl/>
              </w:rPr>
              <w:t>)،</w:t>
            </w:r>
            <w:r w:rsidRPr="0025250D">
              <w:rPr>
                <w:rFonts w:hint="cs"/>
                <w:rtl/>
              </w:rPr>
              <w:t xml:space="preserve"> </w:t>
            </w:r>
            <w:r w:rsidRPr="0025250D">
              <w:rPr>
                <w:rtl/>
              </w:rPr>
              <w:t xml:space="preserve">50 </w:t>
            </w:r>
            <w:r w:rsidRPr="0025250D">
              <w:rPr>
                <w:rFonts w:hint="cs"/>
                <w:rtl/>
              </w:rPr>
              <w:t>شعبه</w:t>
            </w:r>
            <w:r w:rsidRPr="0025250D">
              <w:rPr>
                <w:rtl/>
              </w:rPr>
              <w:t xml:space="preserve"> جهان</w:t>
            </w:r>
            <w:r w:rsidRPr="0025250D">
              <w:rPr>
                <w:rFonts w:hint="cs"/>
                <w:rtl/>
              </w:rPr>
              <w:t>ی</w:t>
            </w:r>
          </w:p>
        </w:tc>
      </w:tr>
      <w:tr w:rsidR="00537CC8" w:rsidRPr="0025250D" w14:paraId="5ACB83C4" w14:textId="77777777" w:rsidTr="002925C9">
        <w:tc>
          <w:tcPr>
            <w:tcW w:w="2266" w:type="dxa"/>
            <w:vAlign w:val="center"/>
          </w:tcPr>
          <w:p w14:paraId="1D288E14" w14:textId="77777777" w:rsidR="00537CC8" w:rsidRPr="0025250D" w:rsidRDefault="007A207F" w:rsidP="002925C9">
            <w:pPr>
              <w:bidi/>
              <w:spacing w:after="160"/>
              <w:jc w:val="center"/>
            </w:pPr>
            <w:hyperlink r:id="rId456">
              <w:r w:rsidR="00537CC8" w:rsidRPr="0025250D">
                <w:rPr>
                  <w:rStyle w:val="Hyperlink"/>
                  <w:color w:val="auto"/>
                  <w:u w:val="none"/>
                </w:rPr>
                <w:t>Toﬄer Associates</w:t>
              </w:r>
            </w:hyperlink>
          </w:p>
        </w:tc>
        <w:tc>
          <w:tcPr>
            <w:tcW w:w="3597" w:type="dxa"/>
            <w:vAlign w:val="center"/>
          </w:tcPr>
          <w:p w14:paraId="37DF5D7F" w14:textId="77777777" w:rsidR="00537CC8" w:rsidRPr="0025250D" w:rsidRDefault="00537CC8" w:rsidP="002925C9">
            <w:pPr>
              <w:bidi/>
              <w:spacing w:after="160"/>
              <w:jc w:val="center"/>
              <w:rPr>
                <w:rtl/>
              </w:rPr>
            </w:pPr>
            <w:r w:rsidRPr="0025250D">
              <w:rPr>
                <w:rtl/>
              </w:rPr>
              <w:t>دبورا وستفال</w:t>
            </w:r>
            <w:r w:rsidRPr="0025250D">
              <w:rPr>
                <w:vertAlign w:val="superscript"/>
                <w:rtl/>
              </w:rPr>
              <w:footnoteReference w:id="3152"/>
            </w:r>
            <w:r w:rsidRPr="0025250D">
              <w:rPr>
                <w:rtl/>
              </w:rPr>
              <w:t>، مد</w:t>
            </w:r>
            <w:r w:rsidRPr="0025250D">
              <w:rPr>
                <w:rFonts w:hint="cs"/>
                <w:rtl/>
              </w:rPr>
              <w:t>ی</w:t>
            </w:r>
            <w:r w:rsidRPr="0025250D">
              <w:rPr>
                <w:rFonts w:hint="eastAsia"/>
                <w:rtl/>
              </w:rPr>
              <w:t>رعامل؛</w:t>
            </w:r>
            <w:r w:rsidRPr="0025250D">
              <w:rPr>
                <w:rtl/>
              </w:rPr>
              <w:t xml:space="preserve"> مشاوره آینده‌نگاری</w:t>
            </w:r>
            <w:r w:rsidRPr="0025250D">
              <w:rPr>
                <w:rFonts w:hint="eastAsia"/>
                <w:rtl/>
              </w:rPr>
              <w:t>،</w:t>
            </w:r>
            <w:r w:rsidRPr="0025250D">
              <w:rPr>
                <w:rtl/>
              </w:rPr>
              <w:t xml:space="preserve"> رو</w:t>
            </w:r>
            <w:r w:rsidRPr="0025250D">
              <w:rPr>
                <w:rFonts w:hint="cs"/>
                <w:rtl/>
              </w:rPr>
              <w:t>ی</w:t>
            </w:r>
            <w:r w:rsidRPr="0025250D">
              <w:rPr>
                <w:rFonts w:hint="eastAsia"/>
                <w:rtl/>
              </w:rPr>
              <w:t>کرد</w:t>
            </w:r>
            <w:r w:rsidRPr="0025250D">
              <w:rPr>
                <w:rtl/>
              </w:rPr>
              <w:t xml:space="preserve"> طراح</w:t>
            </w:r>
            <w:r w:rsidRPr="0025250D">
              <w:rPr>
                <w:rFonts w:hint="cs"/>
                <w:rtl/>
              </w:rPr>
              <w:t>ی</w:t>
            </w:r>
            <w:r w:rsidRPr="0025250D">
              <w:rPr>
                <w:rtl/>
              </w:rPr>
              <w:t xml:space="preserve"> تحول</w:t>
            </w:r>
          </w:p>
        </w:tc>
        <w:tc>
          <w:tcPr>
            <w:tcW w:w="1497" w:type="dxa"/>
            <w:vAlign w:val="center"/>
          </w:tcPr>
          <w:p w14:paraId="0F12AEE0" w14:textId="77777777" w:rsidR="00537CC8" w:rsidRPr="0025250D" w:rsidRDefault="00537CC8" w:rsidP="002925C9">
            <w:pPr>
              <w:bidi/>
              <w:spacing w:after="160"/>
              <w:jc w:val="center"/>
              <w:rPr>
                <w:rtl/>
              </w:rPr>
            </w:pPr>
            <w:r w:rsidRPr="0025250D">
              <w:rPr>
                <w:rtl/>
              </w:rPr>
              <w:t>1 (رستون</w:t>
            </w:r>
            <w:r w:rsidRPr="0025250D">
              <w:rPr>
                <w:rFonts w:hint="cs"/>
                <w:rtl/>
              </w:rPr>
              <w:t>)</w:t>
            </w:r>
          </w:p>
        </w:tc>
      </w:tr>
      <w:tr w:rsidR="00537CC8" w:rsidRPr="0025250D" w14:paraId="6BE56D95" w14:textId="77777777" w:rsidTr="002925C9">
        <w:tc>
          <w:tcPr>
            <w:tcW w:w="2266" w:type="dxa"/>
            <w:vAlign w:val="center"/>
          </w:tcPr>
          <w:p w14:paraId="4C8ADF7A" w14:textId="77777777" w:rsidR="00537CC8" w:rsidRPr="0025250D" w:rsidRDefault="007A207F" w:rsidP="002925C9">
            <w:pPr>
              <w:bidi/>
              <w:spacing w:after="160"/>
              <w:jc w:val="center"/>
            </w:pPr>
            <w:hyperlink r:id="rId457">
              <w:r w:rsidR="00537CC8" w:rsidRPr="0025250D">
                <w:rPr>
                  <w:rStyle w:val="Hyperlink"/>
                  <w:color w:val="auto"/>
                  <w:u w:val="none"/>
                </w:rPr>
                <w:t>Trajectory</w:t>
              </w:r>
            </w:hyperlink>
          </w:p>
        </w:tc>
        <w:tc>
          <w:tcPr>
            <w:tcW w:w="3597" w:type="dxa"/>
            <w:vAlign w:val="center"/>
          </w:tcPr>
          <w:p w14:paraId="06AC2D08" w14:textId="6DAAA985" w:rsidR="00537CC8" w:rsidRPr="0025250D" w:rsidRDefault="00D92F6E" w:rsidP="002925C9">
            <w:pPr>
              <w:bidi/>
              <w:spacing w:after="160"/>
              <w:jc w:val="center"/>
              <w:rPr>
                <w:rtl/>
              </w:rPr>
            </w:pPr>
            <w:r w:rsidRPr="0025250D">
              <w:rPr>
                <w:rtl/>
              </w:rPr>
              <w:t>پیش‌بین</w:t>
            </w:r>
            <w:r w:rsidR="00537CC8" w:rsidRPr="0025250D">
              <w:rPr>
                <w:rFonts w:hint="cs"/>
                <w:rtl/>
              </w:rPr>
              <w:t>ی</w:t>
            </w:r>
            <w:r w:rsidR="00537CC8" w:rsidRPr="0025250D">
              <w:rPr>
                <w:rFonts w:hint="eastAsia"/>
                <w:rtl/>
              </w:rPr>
              <w:t>،</w:t>
            </w:r>
            <w:r w:rsidR="00537CC8" w:rsidRPr="0025250D">
              <w:rPr>
                <w:rtl/>
              </w:rPr>
              <w:t xml:space="preserve"> </w:t>
            </w:r>
            <w:r w:rsidRPr="0025250D">
              <w:rPr>
                <w:rtl/>
              </w:rPr>
              <w:t>پیش‌</w:t>
            </w:r>
            <w:r w:rsidR="005B6D28" w:rsidRPr="0025250D">
              <w:rPr>
                <w:rFonts w:hint="cs"/>
                <w:rtl/>
              </w:rPr>
              <w:t>نگری</w:t>
            </w:r>
            <w:r w:rsidR="00537CC8" w:rsidRPr="0025250D">
              <w:rPr>
                <w:rFonts w:hint="eastAsia"/>
                <w:rtl/>
              </w:rPr>
              <w:t>،</w:t>
            </w:r>
            <w:r w:rsidR="00537CC8" w:rsidRPr="0025250D">
              <w:rPr>
                <w:rtl/>
              </w:rPr>
              <w:t xml:space="preserve"> شرکت تحل</w:t>
            </w:r>
            <w:r w:rsidR="00537CC8" w:rsidRPr="0025250D">
              <w:rPr>
                <w:rFonts w:hint="cs"/>
                <w:rtl/>
              </w:rPr>
              <w:t>ی</w:t>
            </w:r>
            <w:r w:rsidR="00537CC8" w:rsidRPr="0025250D">
              <w:rPr>
                <w:rFonts w:hint="eastAsia"/>
                <w:rtl/>
              </w:rPr>
              <w:t>ل</w:t>
            </w:r>
            <w:r w:rsidR="00537CC8" w:rsidRPr="0025250D">
              <w:rPr>
                <w:rtl/>
              </w:rPr>
              <w:t xml:space="preserve"> بازار</w:t>
            </w:r>
          </w:p>
        </w:tc>
        <w:tc>
          <w:tcPr>
            <w:tcW w:w="1497" w:type="dxa"/>
            <w:vAlign w:val="center"/>
          </w:tcPr>
          <w:p w14:paraId="164839FD" w14:textId="77777777" w:rsidR="00537CC8" w:rsidRPr="0025250D" w:rsidRDefault="00537CC8" w:rsidP="002925C9">
            <w:pPr>
              <w:bidi/>
              <w:spacing w:after="160"/>
              <w:jc w:val="center"/>
              <w:rPr>
                <w:rtl/>
              </w:rPr>
            </w:pPr>
            <w:r w:rsidRPr="0025250D">
              <w:rPr>
                <w:rtl/>
              </w:rPr>
              <w:t>3 (لندن</w:t>
            </w:r>
            <w:r w:rsidRPr="0025250D">
              <w:rPr>
                <w:rFonts w:hint="cs"/>
                <w:rtl/>
              </w:rPr>
              <w:t>)</w:t>
            </w:r>
          </w:p>
        </w:tc>
      </w:tr>
      <w:tr w:rsidR="00537CC8" w:rsidRPr="0025250D" w14:paraId="14EA335C" w14:textId="77777777" w:rsidTr="002925C9">
        <w:tc>
          <w:tcPr>
            <w:tcW w:w="2266" w:type="dxa"/>
            <w:vAlign w:val="center"/>
          </w:tcPr>
          <w:p w14:paraId="5BA9E2B1" w14:textId="77777777" w:rsidR="00537CC8" w:rsidRPr="0025250D" w:rsidRDefault="007A207F" w:rsidP="002925C9">
            <w:pPr>
              <w:bidi/>
              <w:spacing w:after="160"/>
              <w:jc w:val="center"/>
            </w:pPr>
            <w:hyperlink r:id="rId458">
              <w:r w:rsidR="00537CC8" w:rsidRPr="0025250D">
                <w:rPr>
                  <w:rStyle w:val="Hyperlink"/>
                  <w:color w:val="auto"/>
                  <w:u w:val="none"/>
                </w:rPr>
                <w:t>Trendburo</w:t>
              </w:r>
            </w:hyperlink>
          </w:p>
        </w:tc>
        <w:tc>
          <w:tcPr>
            <w:tcW w:w="3597" w:type="dxa"/>
            <w:vAlign w:val="center"/>
          </w:tcPr>
          <w:p w14:paraId="1F6A79FE" w14:textId="77777777" w:rsidR="00537CC8" w:rsidRPr="0025250D" w:rsidRDefault="00537CC8" w:rsidP="002925C9">
            <w:pPr>
              <w:bidi/>
              <w:spacing w:after="160"/>
              <w:jc w:val="center"/>
              <w:rPr>
                <w:rtl/>
              </w:rPr>
            </w:pPr>
            <w:r w:rsidRPr="0025250D">
              <w:rPr>
                <w:rtl/>
              </w:rPr>
              <w:t>مات</w:t>
            </w:r>
            <w:r w:rsidRPr="0025250D">
              <w:rPr>
                <w:rFonts w:hint="cs"/>
                <w:rtl/>
              </w:rPr>
              <w:t>ی</w:t>
            </w:r>
            <w:r w:rsidRPr="0025250D">
              <w:rPr>
                <w:rFonts w:hint="eastAsia"/>
                <w:rtl/>
              </w:rPr>
              <w:t>اس</w:t>
            </w:r>
            <w:r w:rsidRPr="0025250D">
              <w:rPr>
                <w:rtl/>
              </w:rPr>
              <w:t xml:space="preserve"> هورکس</w:t>
            </w:r>
            <w:r w:rsidRPr="0025250D">
              <w:rPr>
                <w:vertAlign w:val="superscript"/>
                <w:rtl/>
              </w:rPr>
              <w:footnoteReference w:id="3153"/>
            </w:r>
            <w:r w:rsidRPr="0025250D">
              <w:rPr>
                <w:rFonts w:hint="cs"/>
                <w:rtl/>
              </w:rPr>
              <w:t>،</w:t>
            </w:r>
            <w:r w:rsidRPr="0025250D">
              <w:rPr>
                <w:rtl/>
              </w:rPr>
              <w:t xml:space="preserve"> اونا استراترن</w:t>
            </w:r>
            <w:r w:rsidRPr="0025250D">
              <w:rPr>
                <w:vertAlign w:val="superscript"/>
                <w:rtl/>
              </w:rPr>
              <w:footnoteReference w:id="3154"/>
            </w:r>
            <w:r w:rsidRPr="0025250D">
              <w:rPr>
                <w:rFonts w:hint="cs"/>
                <w:rtl/>
              </w:rPr>
              <w:t>؛</w:t>
            </w:r>
            <w:r w:rsidRPr="0025250D">
              <w:rPr>
                <w:rtl/>
              </w:rPr>
              <w:t xml:space="preserve"> آ</w:t>
            </w:r>
            <w:r w:rsidRPr="0025250D">
              <w:rPr>
                <w:rFonts w:hint="cs"/>
                <w:rtl/>
              </w:rPr>
              <w:t>ی</w:t>
            </w:r>
            <w:r w:rsidRPr="0025250D">
              <w:rPr>
                <w:rFonts w:hint="eastAsia"/>
                <w:rtl/>
              </w:rPr>
              <w:t>نده</w:t>
            </w:r>
            <w:r w:rsidRPr="0025250D">
              <w:rPr>
                <w:rtl/>
              </w:rPr>
              <w:t xml:space="preserve"> برا</w:t>
            </w:r>
            <w:r w:rsidRPr="0025250D">
              <w:rPr>
                <w:rFonts w:hint="cs"/>
                <w:rtl/>
              </w:rPr>
              <w:t>ی</w:t>
            </w:r>
            <w:r w:rsidRPr="0025250D">
              <w:rPr>
                <w:rtl/>
              </w:rPr>
              <w:t xml:space="preserve"> دولت محل</w:t>
            </w:r>
            <w:r w:rsidRPr="0025250D">
              <w:rPr>
                <w:rFonts w:hint="cs"/>
                <w:rtl/>
              </w:rPr>
              <w:t>ی</w:t>
            </w:r>
            <w:r w:rsidRPr="0025250D">
              <w:rPr>
                <w:rtl/>
              </w:rPr>
              <w:t xml:space="preserve"> و استان</w:t>
            </w:r>
            <w:r w:rsidRPr="0025250D">
              <w:rPr>
                <w:rFonts w:hint="cs"/>
                <w:rtl/>
              </w:rPr>
              <w:t>ی</w:t>
            </w:r>
            <w:r w:rsidRPr="0025250D">
              <w:rPr>
                <w:rFonts w:hint="eastAsia"/>
                <w:rtl/>
              </w:rPr>
              <w:t>،</w:t>
            </w:r>
            <w:r w:rsidRPr="0025250D">
              <w:rPr>
                <w:rtl/>
              </w:rPr>
              <w:t xml:space="preserve"> مشاغل منطقه‌ای و سازمان‌های جامعه مدن</w:t>
            </w:r>
            <w:r w:rsidRPr="0025250D">
              <w:rPr>
                <w:rFonts w:hint="cs"/>
                <w:rtl/>
              </w:rPr>
              <w:t>ی</w:t>
            </w:r>
          </w:p>
        </w:tc>
        <w:tc>
          <w:tcPr>
            <w:tcW w:w="1497" w:type="dxa"/>
            <w:vAlign w:val="center"/>
          </w:tcPr>
          <w:p w14:paraId="52D6C902" w14:textId="77777777" w:rsidR="00537CC8" w:rsidRPr="0025250D" w:rsidRDefault="00537CC8" w:rsidP="002925C9">
            <w:pPr>
              <w:bidi/>
              <w:spacing w:after="160"/>
              <w:jc w:val="center"/>
              <w:rPr>
                <w:rtl/>
              </w:rPr>
            </w:pPr>
            <w:r w:rsidRPr="0025250D">
              <w:rPr>
                <w:rtl/>
              </w:rPr>
              <w:t>3 (هلند)</w:t>
            </w:r>
          </w:p>
        </w:tc>
      </w:tr>
      <w:tr w:rsidR="00537CC8" w:rsidRPr="0025250D" w14:paraId="6F039552" w14:textId="77777777" w:rsidTr="002925C9">
        <w:tc>
          <w:tcPr>
            <w:tcW w:w="2266" w:type="dxa"/>
            <w:vAlign w:val="center"/>
          </w:tcPr>
          <w:p w14:paraId="77C11DE5" w14:textId="77777777" w:rsidR="00537CC8" w:rsidRPr="0025250D" w:rsidRDefault="007A207F" w:rsidP="002925C9">
            <w:pPr>
              <w:bidi/>
              <w:spacing w:after="160"/>
              <w:jc w:val="center"/>
            </w:pPr>
            <w:hyperlink r:id="rId459">
              <w:r w:rsidR="00537CC8" w:rsidRPr="0025250D">
                <w:rPr>
                  <w:rStyle w:val="Hyperlink"/>
                  <w:color w:val="auto"/>
                  <w:u w:val="none"/>
                </w:rPr>
                <w:t>TrendONE</w:t>
              </w:r>
            </w:hyperlink>
          </w:p>
        </w:tc>
        <w:tc>
          <w:tcPr>
            <w:tcW w:w="3597" w:type="dxa"/>
            <w:vAlign w:val="center"/>
          </w:tcPr>
          <w:p w14:paraId="46A4D35A" w14:textId="77777777" w:rsidR="00537CC8" w:rsidRPr="0025250D" w:rsidRDefault="00537CC8" w:rsidP="002925C9">
            <w:pPr>
              <w:bidi/>
              <w:spacing w:after="160"/>
              <w:jc w:val="center"/>
              <w:rPr>
                <w:rtl/>
              </w:rPr>
            </w:pPr>
            <w:r w:rsidRPr="0025250D">
              <w:rPr>
                <w:rFonts w:hint="cs"/>
                <w:rtl/>
              </w:rPr>
              <w:t>دیده بان</w:t>
            </w:r>
            <w:r w:rsidRPr="0025250D">
              <w:rPr>
                <w:rtl/>
              </w:rPr>
              <w:t xml:space="preserve"> روند، محققان، مشاوران نوآور</w:t>
            </w:r>
            <w:r w:rsidRPr="0025250D">
              <w:rPr>
                <w:rFonts w:hint="cs"/>
                <w:rtl/>
              </w:rPr>
              <w:t>ی</w:t>
            </w:r>
            <w:r w:rsidRPr="0025250D">
              <w:rPr>
                <w:rtl/>
              </w:rPr>
              <w:t xml:space="preserve"> خلاق.</w:t>
            </w:r>
          </w:p>
        </w:tc>
        <w:tc>
          <w:tcPr>
            <w:tcW w:w="1497" w:type="dxa"/>
            <w:vAlign w:val="center"/>
          </w:tcPr>
          <w:p w14:paraId="3C4CF298" w14:textId="77777777" w:rsidR="00537CC8" w:rsidRPr="0025250D" w:rsidRDefault="00537CC8" w:rsidP="002925C9">
            <w:pPr>
              <w:bidi/>
              <w:spacing w:after="160"/>
              <w:jc w:val="center"/>
              <w:rPr>
                <w:rtl/>
              </w:rPr>
            </w:pPr>
            <w:r w:rsidRPr="0025250D">
              <w:rPr>
                <w:rtl/>
              </w:rPr>
              <w:t>3 (برل</w:t>
            </w:r>
            <w:r w:rsidRPr="0025250D">
              <w:rPr>
                <w:rFonts w:hint="cs"/>
                <w:rtl/>
              </w:rPr>
              <w:t>ی</w:t>
            </w:r>
            <w:r w:rsidRPr="0025250D">
              <w:rPr>
                <w:rFonts w:hint="eastAsia"/>
                <w:rtl/>
              </w:rPr>
              <w:t>ن،</w:t>
            </w:r>
            <w:r w:rsidRPr="0025250D">
              <w:rPr>
                <w:rtl/>
              </w:rPr>
              <w:t xml:space="preserve"> آلمان)</w:t>
            </w:r>
          </w:p>
        </w:tc>
      </w:tr>
      <w:tr w:rsidR="00537CC8" w:rsidRPr="0025250D" w14:paraId="7AE86A41" w14:textId="77777777" w:rsidTr="002925C9">
        <w:tc>
          <w:tcPr>
            <w:tcW w:w="2266" w:type="dxa"/>
            <w:vAlign w:val="center"/>
          </w:tcPr>
          <w:p w14:paraId="77845E66" w14:textId="77777777" w:rsidR="00537CC8" w:rsidRPr="0025250D" w:rsidRDefault="007A207F" w:rsidP="002925C9">
            <w:pPr>
              <w:bidi/>
              <w:spacing w:after="160"/>
              <w:jc w:val="center"/>
            </w:pPr>
            <w:hyperlink r:id="rId460">
              <w:r w:rsidR="00537CC8" w:rsidRPr="0025250D">
                <w:rPr>
                  <w:rStyle w:val="Hyperlink"/>
                  <w:color w:val="auto"/>
                  <w:u w:val="none"/>
                </w:rPr>
                <w:t>Trendstop</w:t>
              </w:r>
            </w:hyperlink>
          </w:p>
        </w:tc>
        <w:tc>
          <w:tcPr>
            <w:tcW w:w="3597" w:type="dxa"/>
            <w:vAlign w:val="center"/>
          </w:tcPr>
          <w:p w14:paraId="2C2679C0" w14:textId="2B338DFD" w:rsidR="00537CC8" w:rsidRPr="0025250D" w:rsidRDefault="00D92F6E" w:rsidP="002925C9">
            <w:pPr>
              <w:bidi/>
              <w:spacing w:after="160"/>
              <w:jc w:val="center"/>
              <w:rPr>
                <w:rtl/>
              </w:rPr>
            </w:pPr>
            <w:r w:rsidRPr="0025250D">
              <w:rPr>
                <w:rtl/>
              </w:rPr>
              <w:t>پیش‌بین</w:t>
            </w:r>
            <w:r w:rsidR="00537CC8" w:rsidRPr="0025250D">
              <w:rPr>
                <w:rFonts w:hint="cs"/>
                <w:rtl/>
              </w:rPr>
              <w:t>ی</w:t>
            </w:r>
            <w:r w:rsidR="00537CC8" w:rsidRPr="0025250D">
              <w:rPr>
                <w:rtl/>
              </w:rPr>
              <w:t xml:space="preserve"> و تحل</w:t>
            </w:r>
            <w:r w:rsidR="00537CC8" w:rsidRPr="0025250D">
              <w:rPr>
                <w:rFonts w:hint="cs"/>
                <w:rtl/>
              </w:rPr>
              <w:t>ی</w:t>
            </w:r>
            <w:r w:rsidR="00537CC8" w:rsidRPr="0025250D">
              <w:rPr>
                <w:rFonts w:hint="eastAsia"/>
                <w:rtl/>
              </w:rPr>
              <w:t>ل</w:t>
            </w:r>
            <w:r w:rsidR="00537CC8" w:rsidRPr="0025250D">
              <w:rPr>
                <w:rtl/>
              </w:rPr>
              <w:t xml:space="preserve"> روند مد و پوشاک</w:t>
            </w:r>
          </w:p>
        </w:tc>
        <w:tc>
          <w:tcPr>
            <w:tcW w:w="1497" w:type="dxa"/>
            <w:vAlign w:val="center"/>
          </w:tcPr>
          <w:p w14:paraId="5B19769E" w14:textId="77777777" w:rsidR="00537CC8" w:rsidRPr="0025250D" w:rsidRDefault="00537CC8" w:rsidP="002925C9">
            <w:pPr>
              <w:bidi/>
              <w:spacing w:after="160"/>
              <w:jc w:val="center"/>
              <w:rPr>
                <w:rtl/>
              </w:rPr>
            </w:pPr>
            <w:r w:rsidRPr="0025250D">
              <w:rPr>
                <w:rtl/>
              </w:rPr>
              <w:t>3 (لندن</w:t>
            </w:r>
            <w:r w:rsidRPr="0025250D">
              <w:rPr>
                <w:rFonts w:hint="cs"/>
                <w:rtl/>
              </w:rPr>
              <w:t>)</w:t>
            </w:r>
          </w:p>
        </w:tc>
      </w:tr>
      <w:tr w:rsidR="00537CC8" w:rsidRPr="0025250D" w14:paraId="2149481D" w14:textId="77777777" w:rsidTr="002925C9">
        <w:tc>
          <w:tcPr>
            <w:tcW w:w="2266" w:type="dxa"/>
            <w:vAlign w:val="center"/>
          </w:tcPr>
          <w:p w14:paraId="41413E2B" w14:textId="77777777" w:rsidR="00537CC8" w:rsidRPr="0025250D" w:rsidRDefault="007A207F" w:rsidP="002925C9">
            <w:pPr>
              <w:bidi/>
              <w:spacing w:after="160"/>
              <w:jc w:val="center"/>
            </w:pPr>
            <w:hyperlink r:id="rId461">
              <w:r w:rsidR="00537CC8" w:rsidRPr="0025250D">
                <w:rPr>
                  <w:rStyle w:val="Hyperlink"/>
                  <w:color w:val="auto"/>
                  <w:u w:val="none"/>
                </w:rPr>
                <w:t>Trends Research Institute</w:t>
              </w:r>
            </w:hyperlink>
          </w:p>
        </w:tc>
        <w:tc>
          <w:tcPr>
            <w:tcW w:w="3597" w:type="dxa"/>
            <w:vAlign w:val="center"/>
          </w:tcPr>
          <w:p w14:paraId="7EFAC984" w14:textId="2F61EE7D" w:rsidR="00537CC8" w:rsidRPr="0025250D" w:rsidRDefault="00537CC8" w:rsidP="002925C9">
            <w:pPr>
              <w:bidi/>
              <w:spacing w:after="160"/>
              <w:jc w:val="center"/>
              <w:rPr>
                <w:rtl/>
              </w:rPr>
            </w:pPr>
            <w:r w:rsidRPr="0025250D">
              <w:rPr>
                <w:rtl/>
              </w:rPr>
              <w:t>جرالد سلنت</w:t>
            </w:r>
            <w:r w:rsidRPr="0025250D">
              <w:rPr>
                <w:vertAlign w:val="superscript"/>
                <w:rtl/>
              </w:rPr>
              <w:footnoteReference w:id="3155"/>
            </w:r>
            <w:r w:rsidRPr="0025250D">
              <w:rPr>
                <w:rtl/>
              </w:rPr>
              <w:t>؛ تحق</w:t>
            </w:r>
            <w:r w:rsidRPr="0025250D">
              <w:rPr>
                <w:rFonts w:hint="cs"/>
                <w:rtl/>
              </w:rPr>
              <w:t>ی</w:t>
            </w:r>
            <w:r w:rsidRPr="0025250D">
              <w:rPr>
                <w:rFonts w:hint="eastAsia"/>
                <w:rtl/>
              </w:rPr>
              <w:t>ق</w:t>
            </w:r>
            <w:r w:rsidRPr="0025250D">
              <w:rPr>
                <w:rtl/>
              </w:rPr>
              <w:t xml:space="preserve"> و </w:t>
            </w:r>
            <w:r w:rsidR="00D92F6E" w:rsidRPr="0025250D">
              <w:rPr>
                <w:rtl/>
              </w:rPr>
              <w:t>پیش‌بین</w:t>
            </w:r>
            <w:r w:rsidRPr="0025250D">
              <w:rPr>
                <w:rFonts w:hint="cs"/>
                <w:rtl/>
              </w:rPr>
              <w:t>ی</w:t>
            </w:r>
            <w:r w:rsidRPr="0025250D">
              <w:rPr>
                <w:rtl/>
              </w:rPr>
              <w:t xml:space="preserve"> روندها</w:t>
            </w:r>
          </w:p>
        </w:tc>
        <w:tc>
          <w:tcPr>
            <w:tcW w:w="1497" w:type="dxa"/>
            <w:vAlign w:val="center"/>
          </w:tcPr>
          <w:p w14:paraId="7611BB3F" w14:textId="77777777" w:rsidR="00537CC8" w:rsidRPr="0025250D" w:rsidRDefault="00537CC8" w:rsidP="002925C9">
            <w:pPr>
              <w:bidi/>
              <w:spacing w:after="160"/>
              <w:jc w:val="center"/>
              <w:rPr>
                <w:rtl/>
              </w:rPr>
            </w:pPr>
            <w:r w:rsidRPr="0025250D">
              <w:rPr>
                <w:rtl/>
              </w:rPr>
              <w:t>1 (ک</w:t>
            </w:r>
            <w:r w:rsidRPr="0025250D">
              <w:rPr>
                <w:rFonts w:hint="cs"/>
                <w:rtl/>
              </w:rPr>
              <w:t>ی</w:t>
            </w:r>
            <w:r w:rsidRPr="0025250D">
              <w:rPr>
                <w:rFonts w:hint="eastAsia"/>
                <w:rtl/>
              </w:rPr>
              <w:t>نگستون</w:t>
            </w:r>
            <w:r w:rsidRPr="0025250D">
              <w:rPr>
                <w:rFonts w:hint="cs"/>
                <w:rtl/>
              </w:rPr>
              <w:t>)</w:t>
            </w:r>
          </w:p>
        </w:tc>
      </w:tr>
      <w:tr w:rsidR="00537CC8" w:rsidRPr="0025250D" w14:paraId="43841CAD" w14:textId="77777777" w:rsidTr="002925C9">
        <w:tc>
          <w:tcPr>
            <w:tcW w:w="2266" w:type="dxa"/>
            <w:vAlign w:val="center"/>
          </w:tcPr>
          <w:p w14:paraId="13604D7D" w14:textId="77777777" w:rsidR="00537CC8" w:rsidRPr="0025250D" w:rsidRDefault="007A207F" w:rsidP="002925C9">
            <w:pPr>
              <w:bidi/>
              <w:spacing w:after="160"/>
              <w:jc w:val="center"/>
            </w:pPr>
            <w:hyperlink r:id="rId462">
              <w:r w:rsidR="00537CC8" w:rsidRPr="0025250D">
                <w:rPr>
                  <w:rStyle w:val="Hyperlink"/>
                  <w:color w:val="auto"/>
                  <w:u w:val="none"/>
                </w:rPr>
                <w:t>Trendwatching</w:t>
              </w:r>
            </w:hyperlink>
          </w:p>
        </w:tc>
        <w:tc>
          <w:tcPr>
            <w:tcW w:w="3597" w:type="dxa"/>
            <w:vAlign w:val="center"/>
          </w:tcPr>
          <w:p w14:paraId="70897CCA" w14:textId="77777777" w:rsidR="00537CC8" w:rsidRPr="0025250D" w:rsidRDefault="00537CC8" w:rsidP="002925C9">
            <w:pPr>
              <w:bidi/>
              <w:spacing w:after="160"/>
              <w:jc w:val="center"/>
              <w:rPr>
                <w:rtl/>
              </w:rPr>
            </w:pPr>
            <w:r w:rsidRPr="0025250D">
              <w:rPr>
                <w:rtl/>
              </w:rPr>
              <w:t>د</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rtl/>
              </w:rPr>
              <w:t xml:space="preserve"> مافل</w:t>
            </w:r>
            <w:r w:rsidRPr="0025250D">
              <w:rPr>
                <w:rFonts w:hint="cs"/>
                <w:rtl/>
              </w:rPr>
              <w:t>ی</w:t>
            </w:r>
            <w:r w:rsidRPr="0025250D">
              <w:rPr>
                <w:rFonts w:hint="eastAsia"/>
                <w:rtl/>
              </w:rPr>
              <w:t>ن</w:t>
            </w:r>
            <w:r w:rsidRPr="0025250D">
              <w:rPr>
                <w:vertAlign w:val="superscript"/>
                <w:rtl/>
              </w:rPr>
              <w:footnoteReference w:id="3156"/>
            </w:r>
            <w:r w:rsidRPr="0025250D">
              <w:rPr>
                <w:rFonts w:hint="eastAsia"/>
                <w:rtl/>
              </w:rPr>
              <w:t>؛</w:t>
            </w:r>
            <w:r w:rsidRPr="0025250D">
              <w:rPr>
                <w:rtl/>
              </w:rPr>
              <w:t xml:space="preserve"> خدمات </w:t>
            </w:r>
            <w:r w:rsidRPr="0025250D">
              <w:rPr>
                <w:rFonts w:hint="cs"/>
                <w:rtl/>
              </w:rPr>
              <w:t>پویش</w:t>
            </w:r>
            <w:r w:rsidRPr="0025250D">
              <w:rPr>
                <w:rtl/>
              </w:rPr>
              <w:t xml:space="preserve"> روند جهان</w:t>
            </w:r>
            <w:r w:rsidRPr="0025250D">
              <w:rPr>
                <w:rFonts w:hint="cs"/>
                <w:rtl/>
              </w:rPr>
              <w:t>ی</w:t>
            </w:r>
            <w:r w:rsidRPr="0025250D">
              <w:rPr>
                <w:rtl/>
              </w:rPr>
              <w:t xml:space="preserve"> 25 </w:t>
            </w:r>
            <w:r w:rsidRPr="0025250D">
              <w:rPr>
                <w:rFonts w:hint="cs"/>
                <w:rtl/>
              </w:rPr>
              <w:t>کارمند</w:t>
            </w:r>
          </w:p>
        </w:tc>
        <w:tc>
          <w:tcPr>
            <w:tcW w:w="1497" w:type="dxa"/>
            <w:vAlign w:val="center"/>
          </w:tcPr>
          <w:p w14:paraId="65853D0E" w14:textId="77777777" w:rsidR="00537CC8" w:rsidRPr="0025250D" w:rsidRDefault="00537CC8" w:rsidP="002925C9">
            <w:pPr>
              <w:bidi/>
              <w:spacing w:after="160"/>
              <w:jc w:val="center"/>
              <w:rPr>
                <w:rtl/>
              </w:rPr>
            </w:pPr>
            <w:r w:rsidRPr="0025250D">
              <w:rPr>
                <w:rtl/>
              </w:rPr>
              <w:t>3 (لندن</w:t>
            </w:r>
            <w:r w:rsidRPr="0025250D">
              <w:rPr>
                <w:rFonts w:hint="cs"/>
                <w:rtl/>
              </w:rPr>
              <w:t>)</w:t>
            </w:r>
          </w:p>
        </w:tc>
      </w:tr>
      <w:tr w:rsidR="00537CC8" w:rsidRPr="0025250D" w14:paraId="54D3DFE0" w14:textId="77777777" w:rsidTr="002925C9">
        <w:tc>
          <w:tcPr>
            <w:tcW w:w="2266" w:type="dxa"/>
            <w:vAlign w:val="center"/>
          </w:tcPr>
          <w:p w14:paraId="3E4CE37A" w14:textId="77777777" w:rsidR="00537CC8" w:rsidRPr="0025250D" w:rsidRDefault="007A207F" w:rsidP="002925C9">
            <w:pPr>
              <w:bidi/>
              <w:spacing w:after="160"/>
              <w:jc w:val="center"/>
            </w:pPr>
            <w:hyperlink r:id="rId463">
              <w:r w:rsidR="00537CC8" w:rsidRPr="0025250D">
                <w:rPr>
                  <w:rStyle w:val="Hyperlink"/>
                  <w:color w:val="auto"/>
                  <w:u w:val="none"/>
                </w:rPr>
                <w:t>TTI/Vanguard</w:t>
              </w:r>
            </w:hyperlink>
          </w:p>
        </w:tc>
        <w:tc>
          <w:tcPr>
            <w:tcW w:w="3597" w:type="dxa"/>
            <w:vAlign w:val="center"/>
          </w:tcPr>
          <w:p w14:paraId="26BF95DD" w14:textId="0FD150B6" w:rsidR="00537CC8" w:rsidRPr="0025250D" w:rsidRDefault="00537CC8" w:rsidP="002925C9">
            <w:pPr>
              <w:bidi/>
              <w:spacing w:after="160"/>
              <w:jc w:val="center"/>
              <w:rPr>
                <w:rtl/>
              </w:rPr>
            </w:pPr>
            <w:r w:rsidRPr="0025250D">
              <w:rPr>
                <w:rtl/>
              </w:rPr>
              <w:t>سازمان دهنده کنفرانس برا</w:t>
            </w:r>
            <w:r w:rsidRPr="0025250D">
              <w:rPr>
                <w:rFonts w:hint="cs"/>
                <w:rtl/>
              </w:rPr>
              <w:t>ی</w:t>
            </w:r>
            <w:r w:rsidRPr="0025250D">
              <w:rPr>
                <w:rtl/>
              </w:rPr>
              <w:t xml:space="preserve"> اعضا برا</w:t>
            </w:r>
            <w:r w:rsidRPr="0025250D">
              <w:rPr>
                <w:rFonts w:hint="cs"/>
                <w:rtl/>
              </w:rPr>
              <w:t>ی</w:t>
            </w:r>
            <w:r w:rsidRPr="0025250D">
              <w:rPr>
                <w:rtl/>
              </w:rPr>
              <w:t xml:space="preserve"> کشف فناور</w:t>
            </w:r>
            <w:r w:rsidRPr="0025250D">
              <w:rPr>
                <w:rFonts w:hint="cs"/>
                <w:rtl/>
              </w:rPr>
              <w:t>ی</w:t>
            </w:r>
            <w:r w:rsidRPr="0025250D">
              <w:rPr>
                <w:rtl/>
              </w:rPr>
              <w:t xml:space="preserve">‌های نوظهور و بالقوه </w:t>
            </w:r>
            <w:r w:rsidR="00D92F6E" w:rsidRPr="0025250D">
              <w:rPr>
                <w:rFonts w:hint="cs"/>
                <w:rtl/>
              </w:rPr>
              <w:t>بنیان‌افکن</w:t>
            </w:r>
            <w:r w:rsidRPr="0025250D">
              <w:rPr>
                <w:rtl/>
              </w:rPr>
              <w:t xml:space="preserve"> و ارز</w:t>
            </w:r>
            <w:r w:rsidRPr="0025250D">
              <w:rPr>
                <w:rFonts w:hint="cs"/>
                <w:rtl/>
              </w:rPr>
              <w:t>ی</w:t>
            </w:r>
            <w:r w:rsidRPr="0025250D">
              <w:rPr>
                <w:rFonts w:hint="eastAsia"/>
                <w:rtl/>
              </w:rPr>
              <w:t>اب</w:t>
            </w:r>
            <w:r w:rsidRPr="0025250D">
              <w:rPr>
                <w:rFonts w:hint="cs"/>
                <w:rtl/>
              </w:rPr>
              <w:t>ی</w:t>
            </w:r>
            <w:r w:rsidRPr="0025250D">
              <w:rPr>
                <w:rtl/>
              </w:rPr>
              <w:t xml:space="preserve"> تأث</w:t>
            </w:r>
            <w:r w:rsidRPr="0025250D">
              <w:rPr>
                <w:rFonts w:hint="cs"/>
                <w:rtl/>
              </w:rPr>
              <w:t>ی</w:t>
            </w:r>
            <w:r w:rsidRPr="0025250D">
              <w:rPr>
                <w:rFonts w:hint="eastAsia"/>
                <w:rtl/>
              </w:rPr>
              <w:t>ر</w:t>
            </w:r>
            <w:r w:rsidRPr="0025250D">
              <w:rPr>
                <w:rtl/>
              </w:rPr>
              <w:t xml:space="preserve"> آن‌ها بر سازمان ها، س</w:t>
            </w:r>
            <w:r w:rsidRPr="0025250D">
              <w:rPr>
                <w:rFonts w:hint="cs"/>
                <w:rtl/>
              </w:rPr>
              <w:t>ی</w:t>
            </w:r>
            <w:r w:rsidRPr="0025250D">
              <w:rPr>
                <w:rFonts w:hint="eastAsia"/>
                <w:rtl/>
              </w:rPr>
              <w:t>است</w:t>
            </w:r>
            <w:r w:rsidRPr="0025250D">
              <w:rPr>
                <w:rtl/>
              </w:rPr>
              <w:t>‌ها و جامعه. 5 جلسه سالانه</w:t>
            </w:r>
          </w:p>
        </w:tc>
        <w:tc>
          <w:tcPr>
            <w:tcW w:w="1497" w:type="dxa"/>
            <w:vAlign w:val="center"/>
          </w:tcPr>
          <w:p w14:paraId="1EE51142" w14:textId="77777777" w:rsidR="00537CC8" w:rsidRPr="0025250D" w:rsidRDefault="00537CC8" w:rsidP="002925C9">
            <w:pPr>
              <w:bidi/>
              <w:spacing w:after="160"/>
              <w:jc w:val="center"/>
              <w:rPr>
                <w:rtl/>
              </w:rPr>
            </w:pPr>
            <w:r w:rsidRPr="0025250D">
              <w:rPr>
                <w:rtl/>
              </w:rPr>
              <w:t>1 (سانتا مون</w:t>
            </w:r>
            <w:r w:rsidRPr="0025250D">
              <w:rPr>
                <w:rFonts w:hint="cs"/>
                <w:rtl/>
              </w:rPr>
              <w:t>ی</w:t>
            </w:r>
            <w:r w:rsidRPr="0025250D">
              <w:rPr>
                <w:rFonts w:hint="eastAsia"/>
                <w:rtl/>
              </w:rPr>
              <w:t>کا</w:t>
            </w:r>
            <w:r w:rsidRPr="0025250D">
              <w:rPr>
                <w:rFonts w:hint="cs"/>
                <w:rtl/>
              </w:rPr>
              <w:t>)</w:t>
            </w:r>
          </w:p>
        </w:tc>
      </w:tr>
      <w:tr w:rsidR="00537CC8" w:rsidRPr="0025250D" w14:paraId="37B64674" w14:textId="77777777" w:rsidTr="002925C9">
        <w:tc>
          <w:tcPr>
            <w:tcW w:w="2266" w:type="dxa"/>
            <w:vAlign w:val="center"/>
          </w:tcPr>
          <w:p w14:paraId="5F40787A" w14:textId="77777777" w:rsidR="00537CC8" w:rsidRPr="0025250D" w:rsidRDefault="007A207F" w:rsidP="002925C9">
            <w:pPr>
              <w:bidi/>
              <w:spacing w:after="160"/>
              <w:jc w:val="center"/>
            </w:pPr>
            <w:hyperlink r:id="rId464">
              <w:r w:rsidR="00537CC8" w:rsidRPr="0025250D">
                <w:rPr>
                  <w:rStyle w:val="Hyperlink"/>
                  <w:color w:val="auto"/>
                  <w:u w:val="none"/>
                </w:rPr>
                <w:t>Weiner Edrich Brown</w:t>
              </w:r>
            </w:hyperlink>
          </w:p>
        </w:tc>
        <w:tc>
          <w:tcPr>
            <w:tcW w:w="3597" w:type="dxa"/>
            <w:vAlign w:val="center"/>
          </w:tcPr>
          <w:p w14:paraId="475AD3EF" w14:textId="5132B8BF" w:rsidR="00537CC8" w:rsidRPr="0025250D" w:rsidRDefault="00537CC8" w:rsidP="002925C9">
            <w:pPr>
              <w:bidi/>
              <w:spacing w:after="160"/>
              <w:jc w:val="center"/>
              <w:rPr>
                <w:rtl/>
              </w:rPr>
            </w:pPr>
            <w:r w:rsidRPr="0025250D">
              <w:rPr>
                <w:rtl/>
              </w:rPr>
              <w:t>اد</w:t>
            </w:r>
            <w:r w:rsidRPr="0025250D">
              <w:rPr>
                <w:rFonts w:hint="cs"/>
                <w:rtl/>
              </w:rPr>
              <w:t>ی</w:t>
            </w:r>
            <w:r w:rsidRPr="0025250D">
              <w:rPr>
                <w:rtl/>
              </w:rPr>
              <w:t xml:space="preserve"> و</w:t>
            </w:r>
            <w:r w:rsidRPr="0025250D">
              <w:rPr>
                <w:rFonts w:hint="cs"/>
                <w:rtl/>
              </w:rPr>
              <w:t>ی</w:t>
            </w:r>
            <w:r w:rsidRPr="0025250D">
              <w:rPr>
                <w:rFonts w:hint="eastAsia"/>
                <w:rtl/>
              </w:rPr>
              <w:t>نر</w:t>
            </w:r>
            <w:r w:rsidRPr="0025250D">
              <w:rPr>
                <w:vertAlign w:val="superscript"/>
                <w:rtl/>
              </w:rPr>
              <w:footnoteReference w:id="3157"/>
            </w:r>
            <w:r w:rsidRPr="0025250D">
              <w:rPr>
                <w:rFonts w:hint="eastAsia"/>
                <w:rtl/>
              </w:rPr>
              <w:t>،</w:t>
            </w:r>
            <w:r w:rsidRPr="0025250D">
              <w:rPr>
                <w:rtl/>
              </w:rPr>
              <w:t xml:space="preserve"> ار</w:t>
            </w:r>
            <w:r w:rsidRPr="0025250D">
              <w:rPr>
                <w:rFonts w:hint="cs"/>
                <w:rtl/>
              </w:rPr>
              <w:t>ی</w:t>
            </w:r>
            <w:r w:rsidRPr="0025250D">
              <w:rPr>
                <w:rFonts w:hint="eastAsia"/>
                <w:rtl/>
              </w:rPr>
              <w:t>کا</w:t>
            </w:r>
            <w:r w:rsidRPr="0025250D">
              <w:rPr>
                <w:rtl/>
              </w:rPr>
              <w:t xml:space="preserve"> اورنج</w:t>
            </w:r>
            <w:r w:rsidRPr="0025250D">
              <w:rPr>
                <w:vertAlign w:val="superscript"/>
                <w:rtl/>
              </w:rPr>
              <w:footnoteReference w:id="3158"/>
            </w:r>
            <w:r w:rsidRPr="0025250D">
              <w:rPr>
                <w:rtl/>
              </w:rPr>
              <w:t>؛ مشاوره آینده‌</w:t>
            </w:r>
            <w:r w:rsidR="00664E33" w:rsidRPr="0025250D">
              <w:rPr>
                <w:rtl/>
              </w:rPr>
              <w:t>نگار</w:t>
            </w:r>
            <w:r w:rsidRPr="0025250D">
              <w:rPr>
                <w:rtl/>
              </w:rPr>
              <w:t>ی ن</w:t>
            </w:r>
            <w:r w:rsidRPr="0025250D">
              <w:rPr>
                <w:rFonts w:hint="cs"/>
                <w:rtl/>
              </w:rPr>
              <w:t>ی</w:t>
            </w:r>
            <w:r w:rsidRPr="0025250D">
              <w:rPr>
                <w:rFonts w:hint="eastAsia"/>
                <w:rtl/>
              </w:rPr>
              <w:t>رو</w:t>
            </w:r>
            <w:r w:rsidRPr="0025250D">
              <w:rPr>
                <w:rFonts w:hint="cs"/>
                <w:rtl/>
              </w:rPr>
              <w:t>ی</w:t>
            </w:r>
            <w:r w:rsidRPr="0025250D">
              <w:rPr>
                <w:rtl/>
              </w:rPr>
              <w:t xml:space="preserve"> کار</w:t>
            </w:r>
          </w:p>
        </w:tc>
        <w:tc>
          <w:tcPr>
            <w:tcW w:w="1497" w:type="dxa"/>
            <w:vAlign w:val="center"/>
          </w:tcPr>
          <w:p w14:paraId="02815C15" w14:textId="77777777" w:rsidR="00537CC8" w:rsidRPr="0025250D" w:rsidRDefault="00537CC8" w:rsidP="002925C9">
            <w:pPr>
              <w:bidi/>
              <w:spacing w:after="160"/>
              <w:jc w:val="center"/>
              <w:rPr>
                <w:rtl/>
              </w:rPr>
            </w:pPr>
            <w:r w:rsidRPr="0025250D">
              <w:rPr>
                <w:rtl/>
              </w:rPr>
              <w:t>1 (ن</w:t>
            </w:r>
            <w:r w:rsidRPr="0025250D">
              <w:rPr>
                <w:rFonts w:hint="cs"/>
                <w:rtl/>
              </w:rPr>
              <w:t>ی</w:t>
            </w:r>
            <w:r w:rsidRPr="0025250D">
              <w:rPr>
                <w:rFonts w:hint="eastAsia"/>
                <w:rtl/>
              </w:rPr>
              <w:t>و</w:t>
            </w:r>
            <w:r w:rsidRPr="0025250D">
              <w:rPr>
                <w:rFonts w:hint="cs"/>
                <w:rtl/>
              </w:rPr>
              <w:t>ی</w:t>
            </w:r>
            <w:r w:rsidRPr="0025250D">
              <w:rPr>
                <w:rFonts w:hint="eastAsia"/>
                <w:rtl/>
              </w:rPr>
              <w:t>ورک</w:t>
            </w:r>
            <w:r w:rsidRPr="0025250D">
              <w:rPr>
                <w:rFonts w:hint="cs"/>
                <w:rtl/>
              </w:rPr>
              <w:t>)</w:t>
            </w:r>
          </w:p>
        </w:tc>
      </w:tr>
      <w:tr w:rsidR="00537CC8" w:rsidRPr="0025250D" w14:paraId="6090B7E4" w14:textId="77777777" w:rsidTr="002925C9">
        <w:tc>
          <w:tcPr>
            <w:tcW w:w="2266" w:type="dxa"/>
            <w:vAlign w:val="center"/>
          </w:tcPr>
          <w:p w14:paraId="66B9AC27" w14:textId="77777777" w:rsidR="00537CC8" w:rsidRPr="0025250D" w:rsidRDefault="007A207F" w:rsidP="002925C9">
            <w:pPr>
              <w:bidi/>
              <w:spacing w:after="160"/>
              <w:jc w:val="center"/>
            </w:pPr>
            <w:hyperlink r:id="rId465">
              <w:r w:rsidR="00537CC8" w:rsidRPr="0025250D">
                <w:rPr>
                  <w:rStyle w:val="Hyperlink"/>
                  <w:color w:val="auto"/>
                  <w:u w:val="none"/>
                </w:rPr>
                <w:t>White Cliﬀs Consulting</w:t>
              </w:r>
            </w:hyperlink>
          </w:p>
        </w:tc>
        <w:tc>
          <w:tcPr>
            <w:tcW w:w="3597" w:type="dxa"/>
            <w:vAlign w:val="center"/>
          </w:tcPr>
          <w:p w14:paraId="7C0E471B" w14:textId="77777777" w:rsidR="00537CC8" w:rsidRPr="0025250D" w:rsidRDefault="00537CC8" w:rsidP="002925C9">
            <w:pPr>
              <w:bidi/>
              <w:spacing w:after="160"/>
              <w:jc w:val="center"/>
              <w:rPr>
                <w:rtl/>
              </w:rPr>
            </w:pPr>
            <w:r w:rsidRPr="0025250D">
              <w:rPr>
                <w:rtl/>
              </w:rPr>
              <w:t>جاش ل</w:t>
            </w:r>
            <w:r w:rsidRPr="0025250D">
              <w:rPr>
                <w:rFonts w:hint="cs"/>
                <w:rtl/>
              </w:rPr>
              <w:t>ی</w:t>
            </w:r>
            <w:r w:rsidRPr="0025250D">
              <w:rPr>
                <w:rFonts w:hint="eastAsia"/>
                <w:rtl/>
              </w:rPr>
              <w:t>ندنگر</w:t>
            </w:r>
            <w:r w:rsidRPr="0025250D">
              <w:rPr>
                <w:vertAlign w:val="superscript"/>
                <w:rtl/>
              </w:rPr>
              <w:footnoteReference w:id="3159"/>
            </w:r>
            <w:r w:rsidRPr="0025250D">
              <w:rPr>
                <w:rFonts w:hint="eastAsia"/>
                <w:rtl/>
              </w:rPr>
              <w:t>،</w:t>
            </w:r>
            <w:r w:rsidRPr="0025250D">
              <w:rPr>
                <w:rtl/>
              </w:rPr>
              <w:t xml:space="preserve"> تحل</w:t>
            </w:r>
            <w:r w:rsidRPr="0025250D">
              <w:rPr>
                <w:rFonts w:hint="cs"/>
                <w:rtl/>
              </w:rPr>
              <w:t>ی</w:t>
            </w:r>
            <w:r w:rsidRPr="0025250D">
              <w:rPr>
                <w:rFonts w:hint="eastAsia"/>
                <w:rtl/>
              </w:rPr>
              <w:t>لگر</w:t>
            </w:r>
            <w:r w:rsidRPr="0025250D">
              <w:rPr>
                <w:rtl/>
              </w:rPr>
              <w:t xml:space="preserve"> روندها</w:t>
            </w:r>
            <w:r w:rsidRPr="0025250D">
              <w:rPr>
                <w:rFonts w:hint="cs"/>
                <w:rtl/>
              </w:rPr>
              <w:t>ی</w:t>
            </w:r>
            <w:r w:rsidRPr="0025250D">
              <w:rPr>
                <w:rtl/>
              </w:rPr>
              <w:t xml:space="preserve"> فناور</w:t>
            </w:r>
            <w:r w:rsidRPr="0025250D">
              <w:rPr>
                <w:rFonts w:hint="cs"/>
                <w:rtl/>
              </w:rPr>
              <w:t>ی</w:t>
            </w:r>
            <w:r w:rsidRPr="0025250D">
              <w:rPr>
                <w:rFonts w:hint="eastAsia"/>
                <w:rtl/>
              </w:rPr>
              <w:t>؛</w:t>
            </w:r>
            <w:r w:rsidRPr="0025250D">
              <w:rPr>
                <w:rtl/>
              </w:rPr>
              <w:t xml:space="preserve"> دفاع و امن</w:t>
            </w:r>
            <w:r w:rsidRPr="0025250D">
              <w:rPr>
                <w:rFonts w:hint="cs"/>
                <w:rtl/>
              </w:rPr>
              <w:t>ی</w:t>
            </w:r>
            <w:r w:rsidRPr="0025250D">
              <w:rPr>
                <w:rFonts w:hint="eastAsia"/>
                <w:rtl/>
              </w:rPr>
              <w:t>ت</w:t>
            </w:r>
          </w:p>
        </w:tc>
        <w:tc>
          <w:tcPr>
            <w:tcW w:w="1497" w:type="dxa"/>
            <w:vAlign w:val="center"/>
          </w:tcPr>
          <w:p w14:paraId="4ACAC913" w14:textId="77777777" w:rsidR="00537CC8" w:rsidRPr="0025250D" w:rsidRDefault="00537CC8" w:rsidP="002925C9">
            <w:pPr>
              <w:bidi/>
              <w:spacing w:after="160"/>
              <w:jc w:val="center"/>
              <w:rPr>
                <w:rtl/>
              </w:rPr>
            </w:pPr>
            <w:r w:rsidRPr="0025250D">
              <w:rPr>
                <w:rtl/>
              </w:rPr>
              <w:t>1 (کلمب</w:t>
            </w:r>
            <w:r w:rsidRPr="0025250D">
              <w:rPr>
                <w:rFonts w:hint="cs"/>
                <w:rtl/>
              </w:rPr>
              <w:t>ی</w:t>
            </w:r>
            <w:r w:rsidRPr="0025250D">
              <w:rPr>
                <w:rFonts w:hint="eastAsia"/>
                <w:rtl/>
              </w:rPr>
              <w:t>ا</w:t>
            </w:r>
            <w:r w:rsidRPr="0025250D">
              <w:rPr>
                <w:rFonts w:hint="cs"/>
                <w:rtl/>
              </w:rPr>
              <w:t>)</w:t>
            </w:r>
          </w:p>
        </w:tc>
      </w:tr>
      <w:tr w:rsidR="00537CC8" w:rsidRPr="0025250D" w14:paraId="6469718D" w14:textId="77777777" w:rsidTr="002925C9">
        <w:tc>
          <w:tcPr>
            <w:tcW w:w="2266" w:type="dxa"/>
            <w:vAlign w:val="center"/>
          </w:tcPr>
          <w:p w14:paraId="2AEB8570" w14:textId="77777777" w:rsidR="00537CC8" w:rsidRPr="0025250D" w:rsidRDefault="007A207F" w:rsidP="002925C9">
            <w:pPr>
              <w:bidi/>
              <w:spacing w:after="160"/>
              <w:jc w:val="center"/>
            </w:pPr>
            <w:hyperlink r:id="rId466">
              <w:r w:rsidR="00537CC8" w:rsidRPr="0025250D">
                <w:rPr>
                  <w:rStyle w:val="Hyperlink"/>
                  <w:color w:val="auto"/>
                  <w:u w:val="none"/>
                </w:rPr>
                <w:t>Wikistrat</w:t>
              </w:r>
            </w:hyperlink>
          </w:p>
        </w:tc>
        <w:tc>
          <w:tcPr>
            <w:tcW w:w="3597" w:type="dxa"/>
            <w:vAlign w:val="center"/>
          </w:tcPr>
          <w:p w14:paraId="286AEAD6" w14:textId="09339E2C" w:rsidR="00537CC8" w:rsidRPr="0025250D" w:rsidRDefault="00537CC8" w:rsidP="002925C9">
            <w:pPr>
              <w:bidi/>
              <w:spacing w:after="160"/>
              <w:jc w:val="center"/>
              <w:rPr>
                <w:rtl/>
              </w:rPr>
            </w:pPr>
            <w:r w:rsidRPr="0025250D">
              <w:rPr>
                <w:rFonts w:hint="cs"/>
                <w:rtl/>
              </w:rPr>
              <w:t>ی</w:t>
            </w:r>
            <w:r w:rsidRPr="0025250D">
              <w:rPr>
                <w:rFonts w:hint="eastAsia"/>
                <w:rtl/>
              </w:rPr>
              <w:t>ک</w:t>
            </w:r>
            <w:r w:rsidRPr="0025250D">
              <w:rPr>
                <w:rtl/>
              </w:rPr>
              <w:t xml:space="preserve"> </w:t>
            </w:r>
            <w:r w:rsidR="001C62AD" w:rsidRPr="0025250D">
              <w:rPr>
                <w:rtl/>
              </w:rPr>
              <w:t>«</w:t>
            </w:r>
            <w:r w:rsidRPr="0025250D">
              <w:rPr>
                <w:rtl/>
              </w:rPr>
              <w:t>مشاور آنلا</w:t>
            </w:r>
            <w:r w:rsidRPr="0025250D">
              <w:rPr>
                <w:rFonts w:hint="cs"/>
                <w:rtl/>
              </w:rPr>
              <w:t>ی</w:t>
            </w:r>
            <w:r w:rsidRPr="0025250D">
              <w:rPr>
                <w:rFonts w:hint="eastAsia"/>
                <w:rtl/>
              </w:rPr>
              <w:t>ن</w:t>
            </w:r>
            <w:r w:rsidRPr="0025250D">
              <w:rPr>
                <w:rtl/>
              </w:rPr>
              <w:t xml:space="preserve"> انبوه چند نفره (</w:t>
            </w:r>
            <w:r w:rsidRPr="0025250D">
              <w:t>MMOC</w:t>
            </w:r>
            <w:r w:rsidRPr="0025250D">
              <w:rPr>
                <w:rtl/>
              </w:rPr>
              <w:t>)</w:t>
            </w:r>
            <w:r w:rsidR="001C62AD" w:rsidRPr="0025250D">
              <w:rPr>
                <w:rtl/>
              </w:rPr>
              <w:t>»</w:t>
            </w:r>
            <w:r w:rsidRPr="0025250D">
              <w:rPr>
                <w:rtl/>
              </w:rPr>
              <w:t>.</w:t>
            </w:r>
          </w:p>
        </w:tc>
        <w:tc>
          <w:tcPr>
            <w:tcW w:w="1497" w:type="dxa"/>
            <w:vAlign w:val="center"/>
          </w:tcPr>
          <w:p w14:paraId="28BFE2B8" w14:textId="77777777" w:rsidR="00537CC8" w:rsidRPr="0025250D" w:rsidRDefault="00537CC8" w:rsidP="002925C9">
            <w:pPr>
              <w:bidi/>
              <w:spacing w:after="160"/>
              <w:jc w:val="center"/>
              <w:rPr>
                <w:rtl/>
              </w:rPr>
            </w:pPr>
            <w:r w:rsidRPr="0025250D">
              <w:rPr>
                <w:rtl/>
              </w:rPr>
              <w:t>1 (واشنگتن</w:t>
            </w:r>
            <w:r w:rsidRPr="0025250D">
              <w:rPr>
                <w:rFonts w:hint="cs"/>
                <w:rtl/>
              </w:rPr>
              <w:t>)</w:t>
            </w:r>
          </w:p>
        </w:tc>
      </w:tr>
      <w:tr w:rsidR="00537CC8" w:rsidRPr="0025250D" w14:paraId="57DE6E83" w14:textId="77777777" w:rsidTr="002925C9">
        <w:tc>
          <w:tcPr>
            <w:tcW w:w="2266" w:type="dxa"/>
            <w:vAlign w:val="center"/>
          </w:tcPr>
          <w:p w14:paraId="3C361DB7" w14:textId="77777777" w:rsidR="00537CC8" w:rsidRPr="0025250D" w:rsidRDefault="007A207F" w:rsidP="002925C9">
            <w:pPr>
              <w:bidi/>
              <w:spacing w:after="160"/>
              <w:jc w:val="center"/>
            </w:pPr>
            <w:hyperlink r:id="rId467">
              <w:r w:rsidR="00537CC8" w:rsidRPr="0025250D">
                <w:rPr>
                  <w:rStyle w:val="Hyperlink"/>
                  <w:color w:val="auto"/>
                  <w:u w:val="none"/>
                </w:rPr>
                <w:t>Wise.io</w:t>
              </w:r>
            </w:hyperlink>
          </w:p>
        </w:tc>
        <w:tc>
          <w:tcPr>
            <w:tcW w:w="3597" w:type="dxa"/>
            <w:vAlign w:val="center"/>
          </w:tcPr>
          <w:p w14:paraId="031EDA1D" w14:textId="36E8B7B3" w:rsidR="00537CC8" w:rsidRPr="0025250D" w:rsidRDefault="00537CC8" w:rsidP="002925C9">
            <w:pPr>
              <w:bidi/>
              <w:spacing w:after="160"/>
              <w:jc w:val="center"/>
              <w:rPr>
                <w:rtl/>
              </w:rPr>
            </w:pPr>
            <w:r w:rsidRPr="0025250D">
              <w:rPr>
                <w:rFonts w:hint="cs"/>
                <w:rtl/>
              </w:rPr>
              <w:t>ی</w:t>
            </w:r>
            <w:r w:rsidRPr="0025250D">
              <w:rPr>
                <w:rFonts w:hint="eastAsia"/>
                <w:rtl/>
              </w:rPr>
              <w:t>ادگ</w:t>
            </w:r>
            <w:r w:rsidRPr="0025250D">
              <w:rPr>
                <w:rFonts w:hint="cs"/>
                <w:rtl/>
              </w:rPr>
              <w:t>ی</w:t>
            </w:r>
            <w:r w:rsidRPr="0025250D">
              <w:rPr>
                <w:rFonts w:hint="eastAsia"/>
                <w:rtl/>
              </w:rPr>
              <w:t>ر</w:t>
            </w:r>
            <w:r w:rsidRPr="0025250D">
              <w:rPr>
                <w:rFonts w:hint="cs"/>
                <w:rtl/>
              </w:rPr>
              <w:t>ی</w:t>
            </w:r>
            <w:r w:rsidRPr="0025250D">
              <w:rPr>
                <w:rtl/>
              </w:rPr>
              <w:t xml:space="preserve"> ماش</w:t>
            </w:r>
            <w:r w:rsidRPr="0025250D">
              <w:rPr>
                <w:rFonts w:hint="cs"/>
                <w:rtl/>
              </w:rPr>
              <w:t>ی</w:t>
            </w:r>
            <w:r w:rsidRPr="0025250D">
              <w:rPr>
                <w:rFonts w:hint="eastAsia"/>
                <w:rtl/>
              </w:rPr>
              <w:t>ن</w:t>
            </w:r>
            <w:r w:rsidRPr="0025250D">
              <w:rPr>
                <w:rFonts w:hint="cs"/>
                <w:rtl/>
              </w:rPr>
              <w:t>ی</w:t>
            </w:r>
            <w:r w:rsidRPr="0025250D">
              <w:rPr>
                <w:rtl/>
              </w:rPr>
              <w:t xml:space="preserve"> به عنوان </w:t>
            </w:r>
            <w:r w:rsidRPr="0025250D">
              <w:rPr>
                <w:rFonts w:hint="cs"/>
                <w:rtl/>
              </w:rPr>
              <w:t>ی</w:t>
            </w:r>
            <w:r w:rsidRPr="0025250D">
              <w:rPr>
                <w:rFonts w:hint="eastAsia"/>
                <w:rtl/>
              </w:rPr>
              <w:t>ک</w:t>
            </w:r>
            <w:r w:rsidRPr="0025250D">
              <w:rPr>
                <w:rtl/>
              </w:rPr>
              <w:t xml:space="preserve"> سرو</w:t>
            </w:r>
            <w:r w:rsidRPr="0025250D">
              <w:rPr>
                <w:rFonts w:hint="cs"/>
                <w:rtl/>
              </w:rPr>
              <w:t>ی</w:t>
            </w:r>
            <w:r w:rsidRPr="0025250D">
              <w:rPr>
                <w:rFonts w:hint="eastAsia"/>
                <w:rtl/>
              </w:rPr>
              <w:t>س</w:t>
            </w:r>
            <w:r w:rsidRPr="0025250D">
              <w:rPr>
                <w:rtl/>
              </w:rPr>
              <w:t xml:space="preserve"> پلت فرم </w:t>
            </w:r>
            <w:r w:rsidR="00D92F6E" w:rsidRPr="0025250D">
              <w:rPr>
                <w:rtl/>
              </w:rPr>
              <w:t>پیش‌بین</w:t>
            </w:r>
            <w:r w:rsidRPr="0025250D">
              <w:rPr>
                <w:rFonts w:hint="cs"/>
                <w:rtl/>
              </w:rPr>
              <w:t>ی</w:t>
            </w:r>
            <w:r w:rsidRPr="0025250D">
              <w:rPr>
                <w:rtl/>
              </w:rPr>
              <w:t xml:space="preserve"> کلان داده</w:t>
            </w:r>
          </w:p>
        </w:tc>
        <w:tc>
          <w:tcPr>
            <w:tcW w:w="1497" w:type="dxa"/>
            <w:vAlign w:val="center"/>
          </w:tcPr>
          <w:p w14:paraId="51A23BD6" w14:textId="77777777" w:rsidR="00537CC8" w:rsidRPr="0025250D" w:rsidRDefault="00537CC8" w:rsidP="002925C9">
            <w:pPr>
              <w:bidi/>
              <w:spacing w:after="160"/>
              <w:jc w:val="center"/>
              <w:rPr>
                <w:rtl/>
              </w:rPr>
            </w:pPr>
            <w:r w:rsidRPr="0025250D">
              <w:rPr>
                <w:rtl/>
              </w:rPr>
              <w:t>1 (برکل</w:t>
            </w:r>
            <w:r w:rsidRPr="0025250D">
              <w:rPr>
                <w:rFonts w:hint="cs"/>
                <w:rtl/>
              </w:rPr>
              <w:t>ی)</w:t>
            </w:r>
          </w:p>
        </w:tc>
      </w:tr>
      <w:tr w:rsidR="00537CC8" w:rsidRPr="0025250D" w14:paraId="40122BBF" w14:textId="77777777" w:rsidTr="002925C9">
        <w:tc>
          <w:tcPr>
            <w:tcW w:w="2266" w:type="dxa"/>
            <w:vAlign w:val="center"/>
          </w:tcPr>
          <w:p w14:paraId="0B428C68" w14:textId="77777777" w:rsidR="00537CC8" w:rsidRPr="0025250D" w:rsidRDefault="007A207F" w:rsidP="002925C9">
            <w:pPr>
              <w:bidi/>
              <w:spacing w:after="160"/>
              <w:jc w:val="center"/>
            </w:pPr>
            <w:hyperlink r:id="rId468">
              <w:r w:rsidR="00537CC8" w:rsidRPr="0025250D">
                <w:rPr>
                  <w:rStyle w:val="Hyperlink"/>
                  <w:color w:val="auto"/>
                  <w:u w:val="none"/>
                </w:rPr>
                <w:t>XPRIZE</w:t>
              </w:r>
            </w:hyperlink>
          </w:p>
        </w:tc>
        <w:tc>
          <w:tcPr>
            <w:tcW w:w="3597" w:type="dxa"/>
            <w:vAlign w:val="center"/>
          </w:tcPr>
          <w:p w14:paraId="13112C14" w14:textId="77777777" w:rsidR="00537CC8" w:rsidRPr="0025250D" w:rsidRDefault="00537CC8" w:rsidP="002925C9">
            <w:pPr>
              <w:bidi/>
              <w:spacing w:after="160"/>
              <w:jc w:val="center"/>
              <w:rPr>
                <w:rtl/>
              </w:rPr>
            </w:pPr>
            <w:r w:rsidRPr="0025250D">
              <w:rPr>
                <w:rtl/>
              </w:rPr>
              <w:t>پ</w:t>
            </w:r>
            <w:r w:rsidRPr="0025250D">
              <w:rPr>
                <w:rFonts w:hint="cs"/>
                <w:rtl/>
              </w:rPr>
              <w:t>ی</w:t>
            </w:r>
            <w:r w:rsidRPr="0025250D">
              <w:rPr>
                <w:rFonts w:hint="eastAsia"/>
                <w:rtl/>
              </w:rPr>
              <w:t>تر</w:t>
            </w:r>
            <w:r w:rsidRPr="0025250D">
              <w:rPr>
                <w:rtl/>
              </w:rPr>
              <w:t xml:space="preserve"> د</w:t>
            </w:r>
            <w:r w:rsidRPr="0025250D">
              <w:rPr>
                <w:rFonts w:hint="cs"/>
                <w:rtl/>
              </w:rPr>
              <w:t>ی</w:t>
            </w:r>
            <w:r w:rsidRPr="0025250D">
              <w:rPr>
                <w:rFonts w:hint="eastAsia"/>
                <w:rtl/>
              </w:rPr>
              <w:t>اماند</w:t>
            </w:r>
            <w:r w:rsidRPr="0025250D">
              <w:rPr>
                <w:rFonts w:hint="cs"/>
                <w:rtl/>
              </w:rPr>
              <w:t>ی</w:t>
            </w:r>
            <w:r w:rsidRPr="0025250D">
              <w:rPr>
                <w:rFonts w:hint="eastAsia"/>
                <w:rtl/>
              </w:rPr>
              <w:t>س</w:t>
            </w:r>
            <w:r w:rsidRPr="0025250D">
              <w:rPr>
                <w:vertAlign w:val="superscript"/>
                <w:rtl/>
              </w:rPr>
              <w:footnoteReference w:id="3160"/>
            </w:r>
            <w:r w:rsidRPr="0025250D">
              <w:rPr>
                <w:rFonts w:hint="eastAsia"/>
                <w:rtl/>
              </w:rPr>
              <w:t>؛</w:t>
            </w:r>
            <w:r w:rsidRPr="0025250D">
              <w:rPr>
                <w:rtl/>
              </w:rPr>
              <w:t xml:space="preserve"> جوا</w:t>
            </w:r>
            <w:r w:rsidRPr="0025250D">
              <w:rPr>
                <w:rFonts w:hint="cs"/>
                <w:rtl/>
              </w:rPr>
              <w:t>ی</w:t>
            </w:r>
            <w:r w:rsidRPr="0025250D">
              <w:rPr>
                <w:rFonts w:hint="eastAsia"/>
                <w:rtl/>
              </w:rPr>
              <w:t>ز</w:t>
            </w:r>
            <w:r w:rsidRPr="0025250D">
              <w:rPr>
                <w:rtl/>
              </w:rPr>
              <w:t xml:space="preserve"> تشو</w:t>
            </w:r>
            <w:r w:rsidRPr="0025250D">
              <w:rPr>
                <w:rFonts w:hint="cs"/>
                <w:rtl/>
              </w:rPr>
              <w:t>ی</w:t>
            </w:r>
            <w:r w:rsidRPr="0025250D">
              <w:rPr>
                <w:rFonts w:hint="eastAsia"/>
                <w:rtl/>
              </w:rPr>
              <w:t>ق</w:t>
            </w:r>
            <w:r w:rsidRPr="0025250D">
              <w:rPr>
                <w:rFonts w:hint="cs"/>
                <w:rtl/>
              </w:rPr>
              <w:t>ی</w:t>
            </w:r>
            <w:r w:rsidRPr="0025250D">
              <w:rPr>
                <w:rtl/>
              </w:rPr>
              <w:t xml:space="preserve"> برا</w:t>
            </w:r>
            <w:r w:rsidRPr="0025250D">
              <w:rPr>
                <w:rFonts w:hint="cs"/>
                <w:rtl/>
              </w:rPr>
              <w:t>ی</w:t>
            </w:r>
            <w:r w:rsidRPr="0025250D">
              <w:rPr>
                <w:rtl/>
              </w:rPr>
              <w:t xml:space="preserve"> نوآور</w:t>
            </w:r>
            <w:r w:rsidRPr="0025250D">
              <w:rPr>
                <w:rFonts w:hint="cs"/>
                <w:rtl/>
              </w:rPr>
              <w:t>ی</w:t>
            </w:r>
          </w:p>
        </w:tc>
        <w:tc>
          <w:tcPr>
            <w:tcW w:w="1497" w:type="dxa"/>
            <w:vAlign w:val="center"/>
          </w:tcPr>
          <w:p w14:paraId="14D4BAE2" w14:textId="77777777" w:rsidR="00537CC8" w:rsidRPr="0025250D" w:rsidRDefault="00537CC8" w:rsidP="002925C9">
            <w:pPr>
              <w:bidi/>
              <w:spacing w:after="160"/>
              <w:jc w:val="center"/>
              <w:rPr>
                <w:rtl/>
              </w:rPr>
            </w:pPr>
            <w:r w:rsidRPr="0025250D">
              <w:rPr>
                <w:rtl/>
              </w:rPr>
              <w:t>1 (لس آنجلس</w:t>
            </w:r>
            <w:r w:rsidRPr="0025250D">
              <w:rPr>
                <w:rFonts w:hint="cs"/>
                <w:rtl/>
              </w:rPr>
              <w:t>)</w:t>
            </w:r>
          </w:p>
        </w:tc>
      </w:tr>
      <w:tr w:rsidR="00537CC8" w:rsidRPr="0025250D" w14:paraId="2A6F99D3" w14:textId="77777777" w:rsidTr="002925C9">
        <w:tc>
          <w:tcPr>
            <w:tcW w:w="2266" w:type="dxa"/>
            <w:vAlign w:val="center"/>
          </w:tcPr>
          <w:p w14:paraId="14250858" w14:textId="77777777" w:rsidR="00537CC8" w:rsidRPr="0025250D" w:rsidRDefault="007A207F" w:rsidP="002925C9">
            <w:pPr>
              <w:bidi/>
              <w:spacing w:after="160"/>
              <w:jc w:val="center"/>
            </w:pPr>
            <w:hyperlink r:id="rId469">
              <w:r w:rsidR="00537CC8" w:rsidRPr="0025250D">
                <w:rPr>
                  <w:rStyle w:val="Hyperlink"/>
                  <w:color w:val="auto"/>
                  <w:u w:val="none"/>
                </w:rPr>
                <w:t>Zogby International</w:t>
              </w:r>
            </w:hyperlink>
          </w:p>
        </w:tc>
        <w:tc>
          <w:tcPr>
            <w:tcW w:w="3597" w:type="dxa"/>
            <w:vAlign w:val="center"/>
          </w:tcPr>
          <w:p w14:paraId="6BBDD628" w14:textId="77777777" w:rsidR="00537CC8" w:rsidRPr="0025250D" w:rsidRDefault="00537CC8" w:rsidP="002925C9">
            <w:pPr>
              <w:bidi/>
              <w:spacing w:after="160"/>
              <w:jc w:val="center"/>
              <w:rPr>
                <w:rtl/>
              </w:rPr>
            </w:pPr>
            <w:r w:rsidRPr="0025250D">
              <w:rPr>
                <w:rtl/>
              </w:rPr>
              <w:t>نظرسنج</w:t>
            </w:r>
            <w:r w:rsidRPr="0025250D">
              <w:rPr>
                <w:rFonts w:hint="cs"/>
                <w:rtl/>
              </w:rPr>
              <w:t>ی</w:t>
            </w:r>
            <w:r w:rsidRPr="0025250D">
              <w:rPr>
                <w:rtl/>
              </w:rPr>
              <w:t xml:space="preserve"> و تحق</w:t>
            </w:r>
            <w:r w:rsidRPr="0025250D">
              <w:rPr>
                <w:rFonts w:hint="cs"/>
                <w:rtl/>
              </w:rPr>
              <w:t>ی</w:t>
            </w:r>
            <w:r w:rsidRPr="0025250D">
              <w:rPr>
                <w:rFonts w:hint="eastAsia"/>
                <w:rtl/>
              </w:rPr>
              <w:t>قات</w:t>
            </w:r>
            <w:r w:rsidRPr="0025250D">
              <w:rPr>
                <w:rtl/>
              </w:rPr>
              <w:t xml:space="preserve"> بازار خدمات کامل تاس</w:t>
            </w:r>
            <w:r w:rsidRPr="0025250D">
              <w:rPr>
                <w:rFonts w:hint="cs"/>
                <w:rtl/>
              </w:rPr>
              <w:t>ی</w:t>
            </w:r>
            <w:r w:rsidRPr="0025250D">
              <w:rPr>
                <w:rFonts w:hint="eastAsia"/>
                <w:rtl/>
              </w:rPr>
              <w:t>س</w:t>
            </w:r>
            <w:r w:rsidRPr="0025250D">
              <w:rPr>
                <w:rtl/>
              </w:rPr>
              <w:t xml:space="preserve"> 1942</w:t>
            </w:r>
          </w:p>
        </w:tc>
        <w:tc>
          <w:tcPr>
            <w:tcW w:w="1497" w:type="dxa"/>
            <w:vAlign w:val="center"/>
          </w:tcPr>
          <w:p w14:paraId="6CCDB397" w14:textId="77777777" w:rsidR="00537CC8" w:rsidRPr="0025250D" w:rsidRDefault="00537CC8" w:rsidP="002925C9">
            <w:pPr>
              <w:bidi/>
              <w:spacing w:after="160"/>
              <w:jc w:val="center"/>
              <w:rPr>
                <w:rtl/>
              </w:rPr>
            </w:pPr>
            <w:r w:rsidRPr="0025250D">
              <w:rPr>
                <w:rFonts w:hint="cs"/>
                <w:rtl/>
              </w:rPr>
              <w:t>1 (یوتیکا)</w:t>
            </w:r>
          </w:p>
        </w:tc>
      </w:tr>
      <w:tr w:rsidR="00537CC8" w:rsidRPr="0025250D" w14:paraId="3B67041D" w14:textId="77777777" w:rsidTr="002925C9">
        <w:tc>
          <w:tcPr>
            <w:tcW w:w="2266" w:type="dxa"/>
            <w:vAlign w:val="center"/>
          </w:tcPr>
          <w:p w14:paraId="166CF1C5" w14:textId="77777777" w:rsidR="00537CC8" w:rsidRPr="0025250D" w:rsidRDefault="007A207F" w:rsidP="002925C9">
            <w:pPr>
              <w:bidi/>
              <w:spacing w:after="160"/>
              <w:jc w:val="center"/>
            </w:pPr>
            <w:hyperlink r:id="rId470">
              <w:r w:rsidR="00537CC8" w:rsidRPr="0025250D">
                <w:rPr>
                  <w:rStyle w:val="Hyperlink"/>
                  <w:color w:val="auto"/>
                  <w:u w:val="none"/>
                </w:rPr>
                <w:t>Z_punkt The Foresight Co.</w:t>
              </w:r>
            </w:hyperlink>
          </w:p>
        </w:tc>
        <w:tc>
          <w:tcPr>
            <w:tcW w:w="3597" w:type="dxa"/>
            <w:vAlign w:val="center"/>
          </w:tcPr>
          <w:p w14:paraId="6C83DC4B" w14:textId="360A3B6D" w:rsidR="00537CC8" w:rsidRPr="0025250D" w:rsidRDefault="00537CC8" w:rsidP="002925C9">
            <w:pPr>
              <w:bidi/>
              <w:spacing w:after="160"/>
              <w:jc w:val="center"/>
              <w:rPr>
                <w:rtl/>
              </w:rPr>
            </w:pPr>
            <w:r w:rsidRPr="0025250D">
              <w:rPr>
                <w:rtl/>
              </w:rPr>
              <w:t>کورنل</w:t>
            </w:r>
            <w:r w:rsidRPr="0025250D">
              <w:rPr>
                <w:rFonts w:hint="cs"/>
                <w:rtl/>
              </w:rPr>
              <w:t>ی</w:t>
            </w:r>
            <w:r w:rsidRPr="0025250D">
              <w:rPr>
                <w:rFonts w:hint="eastAsia"/>
                <w:rtl/>
              </w:rPr>
              <w:t>ا</w:t>
            </w:r>
            <w:r w:rsidRPr="0025250D">
              <w:rPr>
                <w:rtl/>
              </w:rPr>
              <w:t xml:space="preserve"> داه</w:t>
            </w:r>
            <w:r w:rsidRPr="0025250D">
              <w:rPr>
                <w:rFonts w:hint="cs"/>
                <w:rtl/>
              </w:rPr>
              <w:t>ی</w:t>
            </w:r>
            <w:r w:rsidRPr="0025250D">
              <w:rPr>
                <w:rFonts w:hint="eastAsia"/>
                <w:rtl/>
              </w:rPr>
              <w:t>م</w:t>
            </w:r>
            <w:r w:rsidRPr="0025250D">
              <w:rPr>
                <w:vertAlign w:val="superscript"/>
                <w:rtl/>
              </w:rPr>
              <w:footnoteReference w:id="3161"/>
            </w:r>
            <w:r w:rsidRPr="0025250D">
              <w:rPr>
                <w:rFonts w:hint="cs"/>
                <w:rtl/>
              </w:rPr>
              <w:t>؛</w:t>
            </w:r>
            <w:r w:rsidRPr="0025250D">
              <w:rPr>
                <w:rtl/>
              </w:rPr>
              <w:t xml:space="preserve"> مشاوره راهبرد</w:t>
            </w:r>
            <w:r w:rsidRPr="0025250D">
              <w:rPr>
                <w:rFonts w:hint="cs"/>
                <w:rtl/>
              </w:rPr>
              <w:t>ی</w:t>
            </w:r>
            <w:r w:rsidRPr="0025250D">
              <w:rPr>
                <w:rtl/>
              </w:rPr>
              <w:t xml:space="preserve"> و آ</w:t>
            </w:r>
            <w:r w:rsidRPr="0025250D">
              <w:rPr>
                <w:rFonts w:hint="cs"/>
                <w:rtl/>
              </w:rPr>
              <w:t>ی</w:t>
            </w:r>
            <w:r w:rsidRPr="0025250D">
              <w:rPr>
                <w:rFonts w:hint="eastAsia"/>
                <w:rtl/>
              </w:rPr>
              <w:t>نده‌نگار</w:t>
            </w:r>
            <w:r w:rsidRPr="0025250D">
              <w:rPr>
                <w:rFonts w:hint="cs"/>
                <w:rtl/>
              </w:rPr>
              <w:t>ی</w:t>
            </w:r>
            <w:r w:rsidRPr="0025250D">
              <w:rPr>
                <w:rFonts w:hint="eastAsia"/>
                <w:rtl/>
              </w:rPr>
              <w:t>،</w:t>
            </w:r>
            <w:r w:rsidRPr="0025250D">
              <w:rPr>
                <w:rtl/>
              </w:rPr>
              <w:t xml:space="preserve"> در سطح ب</w:t>
            </w:r>
            <w:r w:rsidRPr="0025250D">
              <w:rPr>
                <w:rFonts w:hint="cs"/>
                <w:rtl/>
              </w:rPr>
              <w:t>ی</w:t>
            </w:r>
            <w:r w:rsidRPr="0025250D">
              <w:rPr>
                <w:rFonts w:hint="eastAsia"/>
                <w:rtl/>
              </w:rPr>
              <w:t>ن‌الملل</w:t>
            </w:r>
            <w:r w:rsidRPr="0025250D">
              <w:rPr>
                <w:rFonts w:hint="cs"/>
                <w:rtl/>
              </w:rPr>
              <w:t>ی</w:t>
            </w:r>
            <w:r w:rsidRPr="0025250D">
              <w:rPr>
                <w:rtl/>
              </w:rPr>
              <w:t xml:space="preserve"> و تمرکز بر مسائل </w:t>
            </w:r>
            <w:r w:rsidR="00701E03" w:rsidRPr="0025250D">
              <w:rPr>
                <w:rtl/>
              </w:rPr>
              <w:t>راهبردی</w:t>
            </w:r>
            <w:r w:rsidRPr="0025250D">
              <w:rPr>
                <w:rtl/>
              </w:rPr>
              <w:t xml:space="preserve"> آ</w:t>
            </w:r>
            <w:r w:rsidRPr="0025250D">
              <w:rPr>
                <w:rFonts w:hint="cs"/>
                <w:rtl/>
              </w:rPr>
              <w:t>ی</w:t>
            </w:r>
            <w:r w:rsidRPr="0025250D">
              <w:rPr>
                <w:rFonts w:hint="eastAsia"/>
                <w:rtl/>
              </w:rPr>
              <w:t>نده</w:t>
            </w:r>
            <w:r w:rsidRPr="0025250D">
              <w:rPr>
                <w:rtl/>
              </w:rPr>
              <w:t>.</w:t>
            </w:r>
          </w:p>
        </w:tc>
        <w:tc>
          <w:tcPr>
            <w:tcW w:w="1497" w:type="dxa"/>
            <w:vAlign w:val="center"/>
          </w:tcPr>
          <w:p w14:paraId="19A71F43" w14:textId="77777777" w:rsidR="00537CC8" w:rsidRPr="0025250D" w:rsidRDefault="00537CC8" w:rsidP="002925C9">
            <w:pPr>
              <w:bidi/>
              <w:spacing w:after="160"/>
              <w:jc w:val="center"/>
              <w:rPr>
                <w:rtl/>
              </w:rPr>
            </w:pPr>
            <w:r w:rsidRPr="0025250D">
              <w:rPr>
                <w:rtl/>
              </w:rPr>
              <w:t>3 (کلن، آلمان)</w:t>
            </w:r>
          </w:p>
        </w:tc>
      </w:tr>
    </w:tbl>
    <w:p w14:paraId="7A159DE7" w14:textId="77777777" w:rsidR="00537CC8" w:rsidRPr="0025250D" w:rsidRDefault="00537CC8" w:rsidP="00537CC8">
      <w:pPr>
        <w:rPr>
          <w:rtl/>
        </w:rPr>
      </w:pPr>
    </w:p>
    <w:p w14:paraId="2A57B12A" w14:textId="1C7927BA" w:rsidR="00537CC8" w:rsidRPr="0025250D" w:rsidRDefault="00537CC8" w:rsidP="00537CC8">
      <w:pPr>
        <w:rPr>
          <w:rtl/>
        </w:rPr>
      </w:pPr>
      <w:r w:rsidRPr="0025250D">
        <w:rPr>
          <w:rtl/>
        </w:rPr>
        <w:t>مشاوران آ</w:t>
      </w:r>
      <w:r w:rsidRPr="0025250D">
        <w:rPr>
          <w:rFonts w:hint="cs"/>
          <w:rtl/>
        </w:rPr>
        <w:t>ی</w:t>
      </w:r>
      <w:r w:rsidRPr="0025250D">
        <w:rPr>
          <w:rFonts w:hint="eastAsia"/>
          <w:rtl/>
        </w:rPr>
        <w:t>نده‌</w:t>
      </w:r>
      <w:r w:rsidR="00664E33" w:rsidRPr="0025250D">
        <w:rPr>
          <w:rFonts w:hint="eastAsia"/>
          <w:rtl/>
        </w:rPr>
        <w:t>نگار</w:t>
      </w:r>
      <w:r w:rsidRPr="0025250D">
        <w:rPr>
          <w:rFonts w:hint="cs"/>
          <w:rtl/>
        </w:rPr>
        <w:t>ی</w:t>
      </w:r>
      <w:r w:rsidRPr="0025250D">
        <w:rPr>
          <w:rtl/>
        </w:rPr>
        <w:t xml:space="preserve"> کوچکتر (</w:t>
      </w:r>
      <w:r w:rsidRPr="0025250D">
        <w:rPr>
          <w:rFonts w:hint="cs"/>
          <w:rtl/>
        </w:rPr>
        <w:t xml:space="preserve">کمتر از </w:t>
      </w:r>
      <w:r w:rsidRPr="0025250D">
        <w:rPr>
          <w:rtl/>
        </w:rPr>
        <w:t>2 م</w:t>
      </w:r>
      <w:r w:rsidRPr="0025250D">
        <w:rPr>
          <w:rFonts w:hint="cs"/>
          <w:rtl/>
        </w:rPr>
        <w:t>ی</w:t>
      </w:r>
      <w:r w:rsidRPr="0025250D">
        <w:rPr>
          <w:rFonts w:hint="eastAsia"/>
          <w:rtl/>
        </w:rPr>
        <w:t>ل</w:t>
      </w:r>
      <w:r w:rsidRPr="0025250D">
        <w:rPr>
          <w:rFonts w:hint="cs"/>
          <w:rtl/>
        </w:rPr>
        <w:t>ی</w:t>
      </w:r>
      <w:r w:rsidRPr="0025250D">
        <w:rPr>
          <w:rFonts w:hint="eastAsia"/>
          <w:rtl/>
        </w:rPr>
        <w:t>ون</w:t>
      </w:r>
      <w:r w:rsidRPr="0025250D">
        <w:rPr>
          <w:rtl/>
        </w:rPr>
        <w:t xml:space="preserve"> دلار و کمتر از 5 کارمند)</w:t>
      </w:r>
    </w:p>
    <w:p w14:paraId="013450AF" w14:textId="77777777" w:rsidR="00537CC8" w:rsidRPr="0025250D" w:rsidRDefault="00537CC8" w:rsidP="00537CC8">
      <w:pPr>
        <w:rPr>
          <w:rtl/>
        </w:rPr>
      </w:pPr>
    </w:p>
    <w:p w14:paraId="4F07F46F" w14:textId="77777777" w:rsidR="00537CC8" w:rsidRPr="0025250D" w:rsidRDefault="00537CC8" w:rsidP="00537CC8">
      <w:pPr>
        <w:rPr>
          <w:rtl/>
        </w:rPr>
      </w:pPr>
    </w:p>
    <w:tbl>
      <w:tblPr>
        <w:tblStyle w:val="TableGrid"/>
        <w:bidiVisual/>
        <w:tblW w:w="0" w:type="auto"/>
        <w:tblLook w:val="04A0" w:firstRow="1" w:lastRow="0" w:firstColumn="1" w:lastColumn="0" w:noHBand="0" w:noVBand="1"/>
      </w:tblPr>
      <w:tblGrid>
        <w:gridCol w:w="2124"/>
        <w:gridCol w:w="3798"/>
        <w:gridCol w:w="1438"/>
      </w:tblGrid>
      <w:tr w:rsidR="00537CC8" w:rsidRPr="0025250D" w14:paraId="2AA18B05" w14:textId="77777777" w:rsidTr="00664E33">
        <w:tc>
          <w:tcPr>
            <w:tcW w:w="2124" w:type="dxa"/>
            <w:vAlign w:val="center"/>
          </w:tcPr>
          <w:p w14:paraId="7F391C44" w14:textId="77777777" w:rsidR="00537CC8" w:rsidRPr="0025250D" w:rsidRDefault="00537CC8" w:rsidP="00664E33">
            <w:pPr>
              <w:bidi/>
              <w:spacing w:after="160"/>
              <w:jc w:val="center"/>
              <w:rPr>
                <w:rtl/>
              </w:rPr>
            </w:pPr>
            <w:r w:rsidRPr="0025250D">
              <w:rPr>
                <w:rtl/>
              </w:rPr>
              <w:t>مشاوره</w:t>
            </w:r>
          </w:p>
        </w:tc>
        <w:tc>
          <w:tcPr>
            <w:tcW w:w="3798" w:type="dxa"/>
            <w:vAlign w:val="center"/>
          </w:tcPr>
          <w:p w14:paraId="4CFE4F1E" w14:textId="5E8E510B" w:rsidR="00537CC8" w:rsidRPr="0025250D" w:rsidRDefault="00537CC8" w:rsidP="00664E33">
            <w:pPr>
              <w:bidi/>
              <w:spacing w:after="160"/>
              <w:jc w:val="center"/>
              <w:rPr>
                <w:rtl/>
              </w:rPr>
            </w:pPr>
            <w:r w:rsidRPr="0025250D">
              <w:rPr>
                <w:rtl/>
              </w:rPr>
              <w:t xml:space="preserve">رهبران </w:t>
            </w:r>
            <w:r w:rsidR="00D30084" w:rsidRPr="0025250D">
              <w:rPr>
                <w:rtl/>
              </w:rPr>
              <w:t>آینده‌نگار</w:t>
            </w:r>
            <w:r w:rsidRPr="0025250D">
              <w:rPr>
                <w:rtl/>
              </w:rPr>
              <w:t>؛ توض</w:t>
            </w:r>
            <w:r w:rsidRPr="0025250D">
              <w:rPr>
                <w:rFonts w:hint="cs"/>
                <w:rtl/>
              </w:rPr>
              <w:t>ی</w:t>
            </w:r>
            <w:r w:rsidRPr="0025250D">
              <w:rPr>
                <w:rFonts w:hint="eastAsia"/>
                <w:rtl/>
              </w:rPr>
              <w:t>حات</w:t>
            </w:r>
            <w:r w:rsidRPr="0025250D">
              <w:rPr>
                <w:rtl/>
              </w:rPr>
              <w:t xml:space="preserve"> شرکت</w:t>
            </w:r>
          </w:p>
        </w:tc>
        <w:tc>
          <w:tcPr>
            <w:tcW w:w="1438" w:type="dxa"/>
            <w:vAlign w:val="center"/>
          </w:tcPr>
          <w:p w14:paraId="532E19D3" w14:textId="77777777" w:rsidR="00537CC8" w:rsidRPr="0025250D" w:rsidRDefault="00537CC8" w:rsidP="00664E33">
            <w:pPr>
              <w:bidi/>
              <w:spacing w:after="160"/>
              <w:jc w:val="center"/>
              <w:rPr>
                <w:rtl/>
              </w:rPr>
            </w:pPr>
            <w:r w:rsidRPr="0025250D">
              <w:rPr>
                <w:rtl/>
              </w:rPr>
              <w:t>منطقه (</w:t>
            </w:r>
            <w:r w:rsidRPr="0025250D">
              <w:rPr>
                <w:rFonts w:hint="cs"/>
                <w:rtl/>
              </w:rPr>
              <w:t>دفتر اصلی</w:t>
            </w:r>
            <w:r w:rsidRPr="0025250D">
              <w:rPr>
                <w:rtl/>
              </w:rPr>
              <w:t>)</w:t>
            </w:r>
          </w:p>
        </w:tc>
      </w:tr>
      <w:tr w:rsidR="00537CC8" w:rsidRPr="0025250D" w14:paraId="522AC163" w14:textId="77777777" w:rsidTr="00664E33">
        <w:tc>
          <w:tcPr>
            <w:tcW w:w="2124" w:type="dxa"/>
            <w:vAlign w:val="center"/>
          </w:tcPr>
          <w:p w14:paraId="125F10B7" w14:textId="77777777" w:rsidR="00537CC8" w:rsidRPr="0025250D" w:rsidRDefault="007A207F" w:rsidP="00664E33">
            <w:pPr>
              <w:bidi/>
              <w:spacing w:after="160"/>
              <w:jc w:val="center"/>
              <w:rPr>
                <w:rtl/>
              </w:rPr>
            </w:pPr>
            <w:hyperlink r:id="rId471">
              <w:r w:rsidR="00537CC8" w:rsidRPr="0025250D">
                <w:rPr>
                  <w:rStyle w:val="Hyperlink"/>
                  <w:color w:val="auto"/>
                  <w:u w:val="none"/>
                </w:rPr>
                <w:t>21st Century Learning</w:t>
              </w:r>
            </w:hyperlink>
          </w:p>
        </w:tc>
        <w:tc>
          <w:tcPr>
            <w:tcW w:w="3798" w:type="dxa"/>
            <w:vAlign w:val="center"/>
          </w:tcPr>
          <w:p w14:paraId="64110469" w14:textId="5B71B3A4" w:rsidR="00537CC8" w:rsidRPr="0025250D" w:rsidRDefault="00537CC8" w:rsidP="00664E33">
            <w:pPr>
              <w:bidi/>
              <w:spacing w:after="160"/>
              <w:jc w:val="center"/>
              <w:rPr>
                <w:rtl/>
              </w:rPr>
            </w:pPr>
            <w:r w:rsidRPr="0025250D">
              <w:rPr>
                <w:rtl/>
              </w:rPr>
              <w:t>چارلز فادل</w:t>
            </w:r>
            <w:r w:rsidRPr="0025250D">
              <w:rPr>
                <w:vertAlign w:val="superscript"/>
                <w:rtl/>
              </w:rPr>
              <w:footnoteReference w:id="3162"/>
            </w:r>
            <w:r w:rsidRPr="0025250D">
              <w:rPr>
                <w:rtl/>
              </w:rPr>
              <w:t>. استانداردها</w:t>
            </w:r>
            <w:r w:rsidRPr="0025250D">
              <w:rPr>
                <w:rFonts w:hint="cs"/>
                <w:rtl/>
              </w:rPr>
              <w:t>ی</w:t>
            </w:r>
            <w:r w:rsidRPr="0025250D">
              <w:rPr>
                <w:rtl/>
              </w:rPr>
              <w:t xml:space="preserve"> آموزش</w:t>
            </w:r>
            <w:r w:rsidRPr="0025250D">
              <w:rPr>
                <w:rFonts w:hint="cs"/>
                <w:rtl/>
              </w:rPr>
              <w:t>ی</w:t>
            </w:r>
            <w:r w:rsidRPr="0025250D">
              <w:rPr>
                <w:rtl/>
              </w:rPr>
              <w:t xml:space="preserve"> و آینده‌</w:t>
            </w:r>
            <w:r w:rsidR="00664E33" w:rsidRPr="0025250D">
              <w:rPr>
                <w:rtl/>
              </w:rPr>
              <w:t>نگار</w:t>
            </w:r>
            <w:r w:rsidRPr="0025250D">
              <w:rPr>
                <w:rtl/>
              </w:rPr>
              <w:t>ی</w:t>
            </w:r>
          </w:p>
        </w:tc>
        <w:tc>
          <w:tcPr>
            <w:tcW w:w="1438" w:type="dxa"/>
            <w:vAlign w:val="center"/>
          </w:tcPr>
          <w:p w14:paraId="7BE3185E" w14:textId="77777777" w:rsidR="00537CC8" w:rsidRPr="0025250D" w:rsidRDefault="00537CC8" w:rsidP="00664E33">
            <w:pPr>
              <w:bidi/>
              <w:spacing w:after="160"/>
              <w:jc w:val="center"/>
              <w:rPr>
                <w:rtl/>
              </w:rPr>
            </w:pPr>
            <w:r w:rsidRPr="0025250D">
              <w:rPr>
                <w:rtl/>
              </w:rPr>
              <w:t>1 (بوستون</w:t>
            </w:r>
            <w:r w:rsidRPr="0025250D">
              <w:rPr>
                <w:rFonts w:hint="cs"/>
                <w:rtl/>
              </w:rPr>
              <w:t>)</w:t>
            </w:r>
          </w:p>
        </w:tc>
      </w:tr>
      <w:tr w:rsidR="00537CC8" w:rsidRPr="0025250D" w14:paraId="627411BE" w14:textId="77777777" w:rsidTr="00664E33">
        <w:tc>
          <w:tcPr>
            <w:tcW w:w="2124" w:type="dxa"/>
            <w:vAlign w:val="center"/>
          </w:tcPr>
          <w:p w14:paraId="4D49DAE4" w14:textId="77777777" w:rsidR="00537CC8" w:rsidRPr="0025250D" w:rsidRDefault="007A207F" w:rsidP="00664E33">
            <w:pPr>
              <w:bidi/>
              <w:spacing w:after="160"/>
              <w:jc w:val="center"/>
              <w:rPr>
                <w:rtl/>
              </w:rPr>
            </w:pPr>
            <w:hyperlink r:id="rId472">
              <w:r w:rsidR="00537CC8" w:rsidRPr="0025250D">
                <w:rPr>
                  <w:rStyle w:val="Hyperlink"/>
                  <w:color w:val="auto"/>
                  <w:u w:val="none"/>
                </w:rPr>
                <w:t>4CF</w:t>
              </w:r>
            </w:hyperlink>
          </w:p>
        </w:tc>
        <w:tc>
          <w:tcPr>
            <w:tcW w:w="3798" w:type="dxa"/>
            <w:vAlign w:val="center"/>
          </w:tcPr>
          <w:p w14:paraId="255F3432" w14:textId="49C4C64F" w:rsidR="00537CC8" w:rsidRPr="0025250D" w:rsidRDefault="00537CC8" w:rsidP="00664E33">
            <w:pPr>
              <w:bidi/>
              <w:spacing w:after="160"/>
              <w:jc w:val="center"/>
              <w:rPr>
                <w:rtl/>
              </w:rPr>
            </w:pPr>
            <w:r w:rsidRPr="0025250D">
              <w:rPr>
                <w:rtl/>
              </w:rPr>
              <w:t>کاپر نوساروفسک</w:t>
            </w:r>
            <w:r w:rsidRPr="0025250D">
              <w:rPr>
                <w:rFonts w:hint="cs"/>
                <w:rtl/>
              </w:rPr>
              <w:t>ی</w:t>
            </w:r>
            <w:r w:rsidRPr="0025250D">
              <w:rPr>
                <w:vertAlign w:val="superscript"/>
                <w:rtl/>
              </w:rPr>
              <w:footnoteReference w:id="3163"/>
            </w:r>
            <w:r w:rsidRPr="0025250D">
              <w:rPr>
                <w:rtl/>
              </w:rPr>
              <w:t xml:space="preserve">. مشاوره آینده‌نگاری </w:t>
            </w:r>
            <w:r w:rsidR="00701E03" w:rsidRPr="0025250D">
              <w:rPr>
                <w:rtl/>
              </w:rPr>
              <w:t>راهبردی</w:t>
            </w:r>
          </w:p>
        </w:tc>
        <w:tc>
          <w:tcPr>
            <w:tcW w:w="1438" w:type="dxa"/>
            <w:vAlign w:val="center"/>
          </w:tcPr>
          <w:p w14:paraId="5062340F" w14:textId="77777777" w:rsidR="00537CC8" w:rsidRPr="0025250D" w:rsidRDefault="00537CC8" w:rsidP="00664E33">
            <w:pPr>
              <w:bidi/>
              <w:spacing w:after="160"/>
              <w:jc w:val="center"/>
              <w:rPr>
                <w:rtl/>
              </w:rPr>
            </w:pPr>
            <w:r w:rsidRPr="0025250D">
              <w:rPr>
                <w:rtl/>
              </w:rPr>
              <w:t>3 (ورشو، لهستان)</w:t>
            </w:r>
          </w:p>
        </w:tc>
      </w:tr>
      <w:tr w:rsidR="00537CC8" w:rsidRPr="0025250D" w14:paraId="7BB489D8" w14:textId="77777777" w:rsidTr="00664E33">
        <w:tc>
          <w:tcPr>
            <w:tcW w:w="2124" w:type="dxa"/>
            <w:vAlign w:val="center"/>
          </w:tcPr>
          <w:p w14:paraId="19D98E40" w14:textId="77777777" w:rsidR="00537CC8" w:rsidRPr="0025250D" w:rsidRDefault="007A207F" w:rsidP="00664E33">
            <w:pPr>
              <w:bidi/>
              <w:spacing w:after="160"/>
              <w:jc w:val="center"/>
              <w:rPr>
                <w:rtl/>
              </w:rPr>
            </w:pPr>
            <w:hyperlink r:id="rId473">
              <w:r w:rsidR="00537CC8" w:rsidRPr="0025250D">
                <w:rPr>
                  <w:rStyle w:val="Hyperlink"/>
                  <w:color w:val="auto"/>
                  <w:u w:val="none"/>
                </w:rPr>
                <w:t>5Deka</w:t>
              </w:r>
            </w:hyperlink>
          </w:p>
        </w:tc>
        <w:tc>
          <w:tcPr>
            <w:tcW w:w="3798" w:type="dxa"/>
            <w:vAlign w:val="center"/>
          </w:tcPr>
          <w:p w14:paraId="4A32FA20" w14:textId="77777777" w:rsidR="00537CC8" w:rsidRPr="0025250D" w:rsidRDefault="00537CC8" w:rsidP="00664E33">
            <w:pPr>
              <w:bidi/>
              <w:spacing w:after="160"/>
              <w:jc w:val="center"/>
              <w:rPr>
                <w:rtl/>
              </w:rPr>
            </w:pPr>
            <w:r w:rsidRPr="0025250D">
              <w:rPr>
                <w:rtl/>
              </w:rPr>
              <w:t>رژان بورگو</w:t>
            </w:r>
            <w:r w:rsidRPr="0025250D">
              <w:rPr>
                <w:vertAlign w:val="superscript"/>
                <w:rtl/>
              </w:rPr>
              <w:footnoteReference w:id="3164"/>
            </w:r>
            <w:r w:rsidRPr="0025250D">
              <w:rPr>
                <w:rtl/>
              </w:rPr>
              <w:t>، اول</w:t>
            </w:r>
            <w:r w:rsidRPr="0025250D">
              <w:rPr>
                <w:rFonts w:hint="cs"/>
                <w:rtl/>
              </w:rPr>
              <w:t>ی</w:t>
            </w:r>
            <w:r w:rsidRPr="0025250D">
              <w:rPr>
                <w:rFonts w:hint="eastAsia"/>
                <w:rtl/>
              </w:rPr>
              <w:t>و</w:t>
            </w:r>
            <w:r w:rsidRPr="0025250D">
              <w:rPr>
                <w:rFonts w:hint="cs"/>
                <w:rtl/>
              </w:rPr>
              <w:t>ی</w:t>
            </w:r>
            <w:r w:rsidRPr="0025250D">
              <w:rPr>
                <w:rFonts w:hint="eastAsia"/>
                <w:rtl/>
              </w:rPr>
              <w:t>ه</w:t>
            </w:r>
            <w:r w:rsidRPr="0025250D">
              <w:rPr>
                <w:rtl/>
              </w:rPr>
              <w:t xml:space="preserve"> آدام</w:t>
            </w:r>
            <w:r w:rsidRPr="0025250D">
              <w:rPr>
                <w:vertAlign w:val="superscript"/>
                <w:rtl/>
              </w:rPr>
              <w:footnoteReference w:id="3165"/>
            </w:r>
            <w:r w:rsidRPr="0025250D">
              <w:rPr>
                <w:rtl/>
              </w:rPr>
              <w:t>. تحق</w:t>
            </w:r>
            <w:r w:rsidRPr="0025250D">
              <w:rPr>
                <w:rFonts w:hint="cs"/>
                <w:rtl/>
              </w:rPr>
              <w:t>ی</w:t>
            </w:r>
            <w:r w:rsidRPr="0025250D">
              <w:rPr>
                <w:rFonts w:hint="eastAsia"/>
                <w:rtl/>
              </w:rPr>
              <w:t>ق،</w:t>
            </w:r>
            <w:r w:rsidRPr="0025250D">
              <w:rPr>
                <w:rtl/>
              </w:rPr>
              <w:t xml:space="preserve"> مشاوره، گفتگو</w:t>
            </w:r>
          </w:p>
        </w:tc>
        <w:tc>
          <w:tcPr>
            <w:tcW w:w="1438" w:type="dxa"/>
            <w:vAlign w:val="center"/>
          </w:tcPr>
          <w:p w14:paraId="20B28567" w14:textId="77777777" w:rsidR="00537CC8" w:rsidRPr="0025250D" w:rsidRDefault="00537CC8" w:rsidP="00664E33">
            <w:pPr>
              <w:bidi/>
              <w:spacing w:after="160"/>
              <w:jc w:val="center"/>
              <w:rPr>
                <w:rtl/>
              </w:rPr>
            </w:pPr>
            <w:r w:rsidRPr="0025250D">
              <w:rPr>
                <w:rtl/>
              </w:rPr>
              <w:t>1 (مونترال، کانادا)</w:t>
            </w:r>
          </w:p>
        </w:tc>
      </w:tr>
      <w:tr w:rsidR="00537CC8" w:rsidRPr="0025250D" w14:paraId="24C4F8AA" w14:textId="77777777" w:rsidTr="00664E33">
        <w:tc>
          <w:tcPr>
            <w:tcW w:w="2124" w:type="dxa"/>
            <w:vAlign w:val="center"/>
          </w:tcPr>
          <w:p w14:paraId="581923F8" w14:textId="77777777" w:rsidR="00537CC8" w:rsidRPr="0025250D" w:rsidRDefault="007A207F" w:rsidP="00664E33">
            <w:pPr>
              <w:bidi/>
              <w:spacing w:after="160"/>
              <w:jc w:val="center"/>
              <w:rPr>
                <w:rtl/>
              </w:rPr>
            </w:pPr>
            <w:hyperlink r:id="rId474">
              <w:r w:rsidR="00537CC8" w:rsidRPr="0025250D">
                <w:rPr>
                  <w:rStyle w:val="Hyperlink"/>
                  <w:color w:val="auto"/>
                  <w:u w:val="none"/>
                </w:rPr>
                <w:t>Acceleration Studies Fdn</w:t>
              </w:r>
            </w:hyperlink>
          </w:p>
        </w:tc>
        <w:tc>
          <w:tcPr>
            <w:tcW w:w="3798" w:type="dxa"/>
            <w:vAlign w:val="center"/>
          </w:tcPr>
          <w:p w14:paraId="5785CEB6" w14:textId="504A3ECD" w:rsidR="00537CC8" w:rsidRPr="0025250D" w:rsidRDefault="00537CC8" w:rsidP="00664E33">
            <w:pPr>
              <w:bidi/>
              <w:spacing w:after="160"/>
              <w:jc w:val="center"/>
              <w:rPr>
                <w:rtl/>
              </w:rPr>
            </w:pPr>
            <w:r w:rsidRPr="0025250D">
              <w:rPr>
                <w:rtl/>
              </w:rPr>
              <w:t>جان اسمارت</w:t>
            </w:r>
            <w:r w:rsidRPr="0025250D">
              <w:rPr>
                <w:vertAlign w:val="superscript"/>
                <w:rtl/>
              </w:rPr>
              <w:footnoteReference w:id="3166"/>
            </w:r>
            <w:r w:rsidRPr="0025250D">
              <w:rPr>
                <w:rFonts w:hint="cs"/>
                <w:rtl/>
              </w:rPr>
              <w:t>؛</w:t>
            </w:r>
            <w:r w:rsidRPr="0025250D">
              <w:rPr>
                <w:rtl/>
              </w:rPr>
              <w:t xml:space="preserve"> مطالعات شتاب، آینده‌</w:t>
            </w:r>
            <w:r w:rsidR="00664E33" w:rsidRPr="0025250D">
              <w:rPr>
                <w:rtl/>
              </w:rPr>
              <w:t>نگار</w:t>
            </w:r>
            <w:r w:rsidRPr="0025250D">
              <w:rPr>
                <w:rtl/>
              </w:rPr>
              <w:t>ی و مشاوره نوآور</w:t>
            </w:r>
            <w:r w:rsidRPr="0025250D">
              <w:rPr>
                <w:rFonts w:hint="cs"/>
                <w:rtl/>
              </w:rPr>
              <w:t>ی</w:t>
            </w:r>
            <w:r w:rsidRPr="0025250D">
              <w:rPr>
                <w:rtl/>
              </w:rPr>
              <w:t>.</w:t>
            </w:r>
          </w:p>
        </w:tc>
        <w:tc>
          <w:tcPr>
            <w:tcW w:w="1438" w:type="dxa"/>
            <w:vAlign w:val="center"/>
          </w:tcPr>
          <w:p w14:paraId="4358125B" w14:textId="77777777" w:rsidR="00537CC8" w:rsidRPr="0025250D" w:rsidRDefault="00537CC8" w:rsidP="00664E33">
            <w:pPr>
              <w:bidi/>
              <w:spacing w:after="160"/>
              <w:jc w:val="center"/>
              <w:rPr>
                <w:rtl/>
              </w:rPr>
            </w:pPr>
            <w:r w:rsidRPr="0025250D">
              <w:rPr>
                <w:rtl/>
              </w:rPr>
              <w:t>1 (آن آربر</w:t>
            </w:r>
            <w:r w:rsidRPr="0025250D">
              <w:rPr>
                <w:rFonts w:hint="cs"/>
                <w:rtl/>
              </w:rPr>
              <w:t>)</w:t>
            </w:r>
          </w:p>
        </w:tc>
      </w:tr>
      <w:tr w:rsidR="00537CC8" w:rsidRPr="0025250D" w14:paraId="5F55A283" w14:textId="77777777" w:rsidTr="00664E33">
        <w:tc>
          <w:tcPr>
            <w:tcW w:w="2124" w:type="dxa"/>
            <w:vAlign w:val="center"/>
          </w:tcPr>
          <w:p w14:paraId="33844FCD" w14:textId="77777777" w:rsidR="00537CC8" w:rsidRPr="0025250D" w:rsidRDefault="007A207F" w:rsidP="00664E33">
            <w:pPr>
              <w:bidi/>
              <w:spacing w:after="160"/>
              <w:jc w:val="center"/>
              <w:rPr>
                <w:rtl/>
              </w:rPr>
            </w:pPr>
            <w:hyperlink r:id="rId475">
              <w:r w:rsidR="00537CC8" w:rsidRPr="0025250D">
                <w:rPr>
                  <w:rStyle w:val="Hyperlink"/>
                  <w:color w:val="auto"/>
                  <w:u w:val="none"/>
                </w:rPr>
                <w:t>Adizes Institute</w:t>
              </w:r>
            </w:hyperlink>
          </w:p>
        </w:tc>
        <w:tc>
          <w:tcPr>
            <w:tcW w:w="3798" w:type="dxa"/>
            <w:vAlign w:val="center"/>
          </w:tcPr>
          <w:p w14:paraId="75F62E3B" w14:textId="77777777" w:rsidR="00537CC8" w:rsidRPr="0025250D" w:rsidRDefault="00537CC8" w:rsidP="00664E33">
            <w:pPr>
              <w:bidi/>
              <w:spacing w:after="160"/>
              <w:jc w:val="center"/>
              <w:rPr>
                <w:rtl/>
              </w:rPr>
            </w:pPr>
            <w:r w:rsidRPr="0025250D">
              <w:rPr>
                <w:rtl/>
              </w:rPr>
              <w:t>ا</w:t>
            </w:r>
            <w:r w:rsidRPr="0025250D">
              <w:rPr>
                <w:rFonts w:hint="cs"/>
                <w:rtl/>
              </w:rPr>
              <w:t>ی</w:t>
            </w:r>
            <w:r w:rsidRPr="0025250D">
              <w:rPr>
                <w:rFonts w:hint="eastAsia"/>
                <w:rtl/>
              </w:rPr>
              <w:t>چاک</w:t>
            </w:r>
            <w:r w:rsidRPr="0025250D">
              <w:rPr>
                <w:rtl/>
              </w:rPr>
              <w:t xml:space="preserve"> آد</w:t>
            </w:r>
            <w:r w:rsidRPr="0025250D">
              <w:rPr>
                <w:rFonts w:hint="cs"/>
                <w:rtl/>
              </w:rPr>
              <w:t>ی</w:t>
            </w:r>
            <w:r w:rsidRPr="0025250D">
              <w:rPr>
                <w:rFonts w:hint="eastAsia"/>
                <w:rtl/>
              </w:rPr>
              <w:t>زس</w:t>
            </w:r>
            <w:r w:rsidRPr="0025250D">
              <w:rPr>
                <w:rFonts w:hint="cs"/>
                <w:rtl/>
              </w:rPr>
              <w:t>؛</w:t>
            </w:r>
            <w:r w:rsidRPr="0025250D">
              <w:rPr>
                <w:rtl/>
              </w:rPr>
              <w:t xml:space="preserve"> مشاوره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تغ</w:t>
            </w:r>
            <w:r w:rsidRPr="0025250D">
              <w:rPr>
                <w:rFonts w:hint="cs"/>
                <w:rtl/>
              </w:rPr>
              <w:t>یی</w:t>
            </w:r>
            <w:r w:rsidRPr="0025250D">
              <w:rPr>
                <w:rFonts w:hint="eastAsia"/>
                <w:rtl/>
              </w:rPr>
              <w:t>ر</w:t>
            </w:r>
            <w:r w:rsidRPr="0025250D">
              <w:rPr>
                <w:rtl/>
              </w:rPr>
              <w:t xml:space="preserve"> و توسعه سازمان</w:t>
            </w:r>
          </w:p>
        </w:tc>
        <w:tc>
          <w:tcPr>
            <w:tcW w:w="1438" w:type="dxa"/>
            <w:vAlign w:val="center"/>
          </w:tcPr>
          <w:p w14:paraId="00588792" w14:textId="77777777" w:rsidR="00537CC8" w:rsidRPr="0025250D" w:rsidRDefault="00537CC8" w:rsidP="00664E33">
            <w:pPr>
              <w:bidi/>
              <w:spacing w:after="160"/>
              <w:jc w:val="center"/>
              <w:rPr>
                <w:rtl/>
              </w:rPr>
            </w:pPr>
            <w:r w:rsidRPr="0025250D">
              <w:rPr>
                <w:rtl/>
              </w:rPr>
              <w:t>1 (سانتا باربارا</w:t>
            </w:r>
            <w:r w:rsidRPr="0025250D">
              <w:rPr>
                <w:rFonts w:hint="cs"/>
                <w:rtl/>
              </w:rPr>
              <w:t>)</w:t>
            </w:r>
          </w:p>
        </w:tc>
      </w:tr>
      <w:tr w:rsidR="00537CC8" w:rsidRPr="0025250D" w14:paraId="38DD971A" w14:textId="77777777" w:rsidTr="00664E33">
        <w:tc>
          <w:tcPr>
            <w:tcW w:w="2124" w:type="dxa"/>
            <w:vAlign w:val="center"/>
          </w:tcPr>
          <w:p w14:paraId="73485773" w14:textId="77777777" w:rsidR="00537CC8" w:rsidRPr="0025250D" w:rsidRDefault="007A207F" w:rsidP="00664E33">
            <w:pPr>
              <w:bidi/>
              <w:spacing w:after="160"/>
              <w:jc w:val="center"/>
              <w:rPr>
                <w:rtl/>
              </w:rPr>
            </w:pPr>
            <w:hyperlink r:id="rId476">
              <w:r w:rsidR="00537CC8" w:rsidRPr="0025250D">
                <w:rPr>
                  <w:rStyle w:val="Hyperlink"/>
                  <w:color w:val="auto"/>
                  <w:u w:val="none"/>
                </w:rPr>
                <w:t>Alsek Research</w:t>
              </w:r>
            </w:hyperlink>
          </w:p>
        </w:tc>
        <w:tc>
          <w:tcPr>
            <w:tcW w:w="3798" w:type="dxa"/>
            <w:vAlign w:val="center"/>
          </w:tcPr>
          <w:p w14:paraId="394FD987" w14:textId="0ED4794A" w:rsidR="00537CC8" w:rsidRPr="0025250D" w:rsidRDefault="00537CC8" w:rsidP="00664E33">
            <w:pPr>
              <w:bidi/>
              <w:spacing w:after="160"/>
              <w:jc w:val="center"/>
              <w:rPr>
                <w:rtl/>
              </w:rPr>
            </w:pPr>
            <w:r w:rsidRPr="0025250D">
              <w:rPr>
                <w:rtl/>
              </w:rPr>
              <w:t>جوآن فولد</w:t>
            </w:r>
            <w:r w:rsidRPr="0025250D">
              <w:rPr>
                <w:vertAlign w:val="superscript"/>
                <w:rtl/>
              </w:rPr>
              <w:footnoteReference w:id="3167"/>
            </w:r>
            <w:r w:rsidRPr="0025250D">
              <w:rPr>
                <w:rFonts w:hint="cs"/>
                <w:rtl/>
              </w:rPr>
              <w:t>؛</w:t>
            </w:r>
            <w:r w:rsidRPr="0025250D">
              <w:rPr>
                <w:rtl/>
              </w:rPr>
              <w:t xml:space="preserve"> مشاوره آینده‌</w:t>
            </w:r>
            <w:r w:rsidR="00664E33" w:rsidRPr="0025250D">
              <w:rPr>
                <w:rtl/>
              </w:rPr>
              <w:t>نگار</w:t>
            </w:r>
            <w:r w:rsidRPr="0025250D">
              <w:rPr>
                <w:rtl/>
              </w:rPr>
              <w:t>ی شرکت</w:t>
            </w:r>
            <w:r w:rsidRPr="0025250D">
              <w:rPr>
                <w:rFonts w:hint="cs"/>
                <w:rtl/>
              </w:rPr>
              <w:t>ی</w:t>
            </w:r>
          </w:p>
        </w:tc>
        <w:tc>
          <w:tcPr>
            <w:tcW w:w="1438" w:type="dxa"/>
            <w:vAlign w:val="center"/>
          </w:tcPr>
          <w:p w14:paraId="4758E888" w14:textId="77777777" w:rsidR="00537CC8" w:rsidRPr="0025250D" w:rsidRDefault="00537CC8" w:rsidP="00664E33">
            <w:pPr>
              <w:bidi/>
              <w:spacing w:after="160"/>
              <w:jc w:val="center"/>
              <w:rPr>
                <w:rtl/>
              </w:rPr>
            </w:pPr>
            <w:r w:rsidRPr="0025250D">
              <w:rPr>
                <w:rtl/>
              </w:rPr>
              <w:t>1 (تمپ</w:t>
            </w:r>
            <w:r w:rsidRPr="0025250D">
              <w:rPr>
                <w:vertAlign w:val="superscript"/>
                <w:rtl/>
              </w:rPr>
              <w:footnoteReference w:id="3168"/>
            </w:r>
            <w:r w:rsidRPr="0025250D">
              <w:rPr>
                <w:rFonts w:hint="cs"/>
                <w:rtl/>
              </w:rPr>
              <w:t>)</w:t>
            </w:r>
          </w:p>
        </w:tc>
      </w:tr>
      <w:tr w:rsidR="00537CC8" w:rsidRPr="0025250D" w14:paraId="78D9BEEA" w14:textId="77777777" w:rsidTr="00664E33">
        <w:tc>
          <w:tcPr>
            <w:tcW w:w="2124" w:type="dxa"/>
            <w:vAlign w:val="center"/>
          </w:tcPr>
          <w:p w14:paraId="27FA974A" w14:textId="77777777" w:rsidR="00537CC8" w:rsidRPr="0025250D" w:rsidRDefault="007A207F" w:rsidP="00664E33">
            <w:pPr>
              <w:bidi/>
              <w:spacing w:after="160"/>
              <w:jc w:val="center"/>
              <w:rPr>
                <w:rtl/>
              </w:rPr>
            </w:pPr>
            <w:hyperlink r:id="rId477">
              <w:r w:rsidR="00537CC8" w:rsidRPr="0025250D">
                <w:rPr>
                  <w:rStyle w:val="Hyperlink"/>
                  <w:color w:val="auto"/>
                  <w:u w:val="none"/>
                </w:rPr>
                <w:t>Alternative Futures</w:t>
              </w:r>
            </w:hyperlink>
          </w:p>
        </w:tc>
        <w:tc>
          <w:tcPr>
            <w:tcW w:w="3798" w:type="dxa"/>
            <w:vAlign w:val="center"/>
          </w:tcPr>
          <w:p w14:paraId="538AB95D" w14:textId="517C3B1D" w:rsidR="00537CC8" w:rsidRPr="0025250D" w:rsidRDefault="00537CC8" w:rsidP="00664E33">
            <w:pPr>
              <w:bidi/>
              <w:spacing w:after="160"/>
              <w:jc w:val="center"/>
              <w:rPr>
                <w:rtl/>
              </w:rPr>
            </w:pPr>
            <w:r w:rsidRPr="0025250D">
              <w:rPr>
                <w:rtl/>
              </w:rPr>
              <w:t>تومو کوسا</w:t>
            </w:r>
            <w:r w:rsidRPr="0025250D">
              <w:rPr>
                <w:vertAlign w:val="superscript"/>
                <w:rtl/>
              </w:rPr>
              <w:footnoteReference w:id="3169"/>
            </w:r>
            <w:r w:rsidRPr="0025250D">
              <w:rPr>
                <w:rtl/>
              </w:rPr>
              <w:t>؛ ترک</w:t>
            </w:r>
            <w:r w:rsidRPr="0025250D">
              <w:rPr>
                <w:rFonts w:hint="cs"/>
                <w:rtl/>
              </w:rPr>
              <w:t>ی</w:t>
            </w:r>
            <w:r w:rsidRPr="0025250D">
              <w:rPr>
                <w:rFonts w:hint="eastAsia"/>
                <w:rtl/>
              </w:rPr>
              <w:t>ب</w:t>
            </w:r>
            <w:r w:rsidRPr="0025250D">
              <w:rPr>
                <w:rtl/>
              </w:rPr>
              <w:t xml:space="preserve"> </w:t>
            </w:r>
            <w:r w:rsidR="00D92F6E" w:rsidRPr="0025250D">
              <w:rPr>
                <w:rtl/>
              </w:rPr>
              <w:t>پیش‌بین</w:t>
            </w:r>
            <w:r w:rsidRPr="0025250D">
              <w:rPr>
                <w:rFonts w:hint="cs"/>
                <w:rtl/>
              </w:rPr>
              <w:t>ی</w:t>
            </w:r>
            <w:r w:rsidRPr="0025250D">
              <w:rPr>
                <w:rtl/>
              </w:rPr>
              <w:t xml:space="preserve"> با طراح</w:t>
            </w:r>
            <w:r w:rsidRPr="0025250D">
              <w:rPr>
                <w:rFonts w:hint="cs"/>
                <w:rtl/>
              </w:rPr>
              <w:t>ی</w:t>
            </w:r>
            <w:r w:rsidRPr="0025250D">
              <w:rPr>
                <w:rtl/>
              </w:rPr>
              <w:t xml:space="preserve"> مشترک</w:t>
            </w:r>
          </w:p>
        </w:tc>
        <w:tc>
          <w:tcPr>
            <w:tcW w:w="1438" w:type="dxa"/>
            <w:vAlign w:val="center"/>
          </w:tcPr>
          <w:p w14:paraId="0BF60991" w14:textId="77777777" w:rsidR="00537CC8" w:rsidRPr="0025250D" w:rsidRDefault="00537CC8" w:rsidP="00664E33">
            <w:pPr>
              <w:bidi/>
              <w:spacing w:after="160"/>
              <w:jc w:val="center"/>
              <w:rPr>
                <w:rtl/>
              </w:rPr>
            </w:pPr>
            <w:r w:rsidRPr="0025250D">
              <w:rPr>
                <w:rtl/>
              </w:rPr>
              <w:t>3 (هلس</w:t>
            </w:r>
            <w:r w:rsidRPr="0025250D">
              <w:rPr>
                <w:rFonts w:hint="cs"/>
                <w:rtl/>
              </w:rPr>
              <w:t>ی</w:t>
            </w:r>
            <w:r w:rsidRPr="0025250D">
              <w:rPr>
                <w:rFonts w:hint="eastAsia"/>
                <w:rtl/>
              </w:rPr>
              <w:t>نک</w:t>
            </w:r>
            <w:r w:rsidRPr="0025250D">
              <w:rPr>
                <w:rFonts w:hint="cs"/>
                <w:rtl/>
              </w:rPr>
              <w:t>ی</w:t>
            </w:r>
            <w:r w:rsidRPr="0025250D">
              <w:rPr>
                <w:rFonts w:hint="eastAsia"/>
                <w:rtl/>
              </w:rPr>
              <w:t>،</w:t>
            </w:r>
            <w:r w:rsidRPr="0025250D">
              <w:rPr>
                <w:rtl/>
              </w:rPr>
              <w:t xml:space="preserve"> فنلاند)</w:t>
            </w:r>
          </w:p>
        </w:tc>
      </w:tr>
      <w:tr w:rsidR="00537CC8" w:rsidRPr="0025250D" w14:paraId="006EC15E" w14:textId="77777777" w:rsidTr="00664E33">
        <w:tc>
          <w:tcPr>
            <w:tcW w:w="2124" w:type="dxa"/>
            <w:vAlign w:val="center"/>
          </w:tcPr>
          <w:p w14:paraId="547DFC89" w14:textId="77777777" w:rsidR="00537CC8" w:rsidRPr="0025250D" w:rsidRDefault="007A207F" w:rsidP="00664E33">
            <w:pPr>
              <w:bidi/>
              <w:spacing w:after="160"/>
              <w:jc w:val="center"/>
              <w:rPr>
                <w:rtl/>
              </w:rPr>
            </w:pPr>
            <w:hyperlink r:id="rId478">
              <w:r w:rsidR="00537CC8" w:rsidRPr="0025250D">
                <w:rPr>
                  <w:rStyle w:val="Hyperlink"/>
                  <w:color w:val="auto"/>
                  <w:u w:val="none"/>
                </w:rPr>
                <w:t>AndSpace</w:t>
              </w:r>
            </w:hyperlink>
          </w:p>
        </w:tc>
        <w:tc>
          <w:tcPr>
            <w:tcW w:w="3798" w:type="dxa"/>
            <w:vAlign w:val="center"/>
          </w:tcPr>
          <w:p w14:paraId="004DF268" w14:textId="196B1F9C" w:rsidR="00537CC8" w:rsidRPr="0025250D" w:rsidRDefault="00537CC8" w:rsidP="00664E33">
            <w:pPr>
              <w:bidi/>
              <w:spacing w:after="160"/>
              <w:jc w:val="center"/>
              <w:rPr>
                <w:rtl/>
              </w:rPr>
            </w:pPr>
            <w:r w:rsidRPr="0025250D">
              <w:rPr>
                <w:rFonts w:hint="cs"/>
                <w:rtl/>
              </w:rPr>
              <w:t>کریستن کروز</w:t>
            </w:r>
            <w:r w:rsidRPr="0025250D">
              <w:rPr>
                <w:vertAlign w:val="superscript"/>
                <w:rtl/>
              </w:rPr>
              <w:footnoteReference w:id="3170"/>
            </w:r>
            <w:r w:rsidRPr="0025250D">
              <w:rPr>
                <w:rFonts w:hint="eastAsia"/>
                <w:rtl/>
              </w:rPr>
              <w:t>؛</w:t>
            </w:r>
            <w:r w:rsidRPr="0025250D">
              <w:rPr>
                <w:rtl/>
              </w:rPr>
              <w:t xml:space="preserve"> آینده‌</w:t>
            </w:r>
            <w:r w:rsidR="00664E33" w:rsidRPr="0025250D">
              <w:rPr>
                <w:rtl/>
              </w:rPr>
              <w:t>نگار</w:t>
            </w:r>
            <w:r w:rsidRPr="0025250D">
              <w:rPr>
                <w:rtl/>
              </w:rPr>
              <w:t>ی</w:t>
            </w:r>
            <w:r w:rsidRPr="0025250D">
              <w:rPr>
                <w:rFonts w:hint="eastAsia"/>
                <w:rtl/>
              </w:rPr>
              <w:t>،</w:t>
            </w:r>
            <w:r w:rsidRPr="0025250D">
              <w:rPr>
                <w:rtl/>
              </w:rPr>
              <w:t xml:space="preserve"> نوآور</w:t>
            </w:r>
            <w:r w:rsidRPr="0025250D">
              <w:rPr>
                <w:rFonts w:hint="cs"/>
                <w:rtl/>
              </w:rPr>
              <w:t>ی</w:t>
            </w:r>
            <w:r w:rsidRPr="0025250D">
              <w:rPr>
                <w:rFonts w:hint="eastAsia"/>
                <w:rtl/>
              </w:rPr>
              <w:t>،</w:t>
            </w:r>
            <w:r w:rsidRPr="0025250D">
              <w:rPr>
                <w:rtl/>
              </w:rPr>
              <w:t xml:space="preserve"> مشاوره </w:t>
            </w:r>
            <w:r w:rsidR="00701E03" w:rsidRPr="0025250D">
              <w:rPr>
                <w:rtl/>
              </w:rPr>
              <w:t>راهبرد</w:t>
            </w:r>
          </w:p>
        </w:tc>
        <w:tc>
          <w:tcPr>
            <w:tcW w:w="1438" w:type="dxa"/>
            <w:vAlign w:val="center"/>
          </w:tcPr>
          <w:p w14:paraId="49594311" w14:textId="77777777" w:rsidR="00537CC8" w:rsidRPr="0025250D" w:rsidRDefault="00537CC8" w:rsidP="00664E33">
            <w:pPr>
              <w:bidi/>
              <w:spacing w:after="160"/>
              <w:jc w:val="center"/>
              <w:rPr>
                <w:rtl/>
              </w:rPr>
            </w:pPr>
            <w:r w:rsidRPr="0025250D">
              <w:rPr>
                <w:rtl/>
              </w:rPr>
              <w:t>1 (ن</w:t>
            </w:r>
            <w:r w:rsidRPr="0025250D">
              <w:rPr>
                <w:rFonts w:hint="cs"/>
                <w:rtl/>
              </w:rPr>
              <w:t>ی</w:t>
            </w:r>
            <w:r w:rsidRPr="0025250D">
              <w:rPr>
                <w:rFonts w:hint="eastAsia"/>
                <w:rtl/>
              </w:rPr>
              <w:t>و</w:t>
            </w:r>
            <w:r w:rsidRPr="0025250D">
              <w:rPr>
                <w:rFonts w:hint="cs"/>
                <w:rtl/>
              </w:rPr>
              <w:t>ی</w:t>
            </w:r>
            <w:r w:rsidRPr="0025250D">
              <w:rPr>
                <w:rFonts w:hint="eastAsia"/>
                <w:rtl/>
              </w:rPr>
              <w:t>ورک</w:t>
            </w:r>
            <w:r w:rsidRPr="0025250D">
              <w:rPr>
                <w:rFonts w:hint="cs"/>
                <w:rtl/>
              </w:rPr>
              <w:t>)</w:t>
            </w:r>
          </w:p>
        </w:tc>
      </w:tr>
      <w:tr w:rsidR="00537CC8" w:rsidRPr="0025250D" w14:paraId="06AF6973" w14:textId="77777777" w:rsidTr="00664E33">
        <w:tc>
          <w:tcPr>
            <w:tcW w:w="2124" w:type="dxa"/>
            <w:vAlign w:val="center"/>
          </w:tcPr>
          <w:p w14:paraId="33FCDB03" w14:textId="77777777" w:rsidR="00537CC8" w:rsidRPr="0025250D" w:rsidRDefault="007A207F" w:rsidP="00664E33">
            <w:pPr>
              <w:bidi/>
              <w:spacing w:after="160"/>
              <w:jc w:val="center"/>
              <w:rPr>
                <w:rtl/>
              </w:rPr>
            </w:pPr>
            <w:hyperlink r:id="rId479">
              <w:r w:rsidR="00537CC8" w:rsidRPr="0025250D">
                <w:rPr>
                  <w:rStyle w:val="Hyperlink"/>
                  <w:color w:val="auto"/>
                  <w:u w:val="none"/>
                </w:rPr>
                <w:t>Asian Foresight Inst</w:t>
              </w:r>
            </w:hyperlink>
          </w:p>
        </w:tc>
        <w:tc>
          <w:tcPr>
            <w:tcW w:w="3798" w:type="dxa"/>
            <w:vAlign w:val="center"/>
          </w:tcPr>
          <w:p w14:paraId="066ACDD9" w14:textId="087F6A77" w:rsidR="00537CC8" w:rsidRPr="0025250D" w:rsidRDefault="00537CC8" w:rsidP="00664E33">
            <w:pPr>
              <w:bidi/>
              <w:spacing w:after="160"/>
              <w:jc w:val="center"/>
              <w:rPr>
                <w:rtl/>
              </w:rPr>
            </w:pPr>
            <w:r w:rsidRPr="0025250D">
              <w:rPr>
                <w:rtl/>
              </w:rPr>
              <w:t>ر</w:t>
            </w:r>
            <w:r w:rsidRPr="0025250D">
              <w:rPr>
                <w:rFonts w:hint="cs"/>
                <w:rtl/>
              </w:rPr>
              <w:t>ی</w:t>
            </w:r>
            <w:r w:rsidRPr="0025250D">
              <w:rPr>
                <w:rFonts w:hint="eastAsia"/>
                <w:rtl/>
              </w:rPr>
              <w:t>چارد</w:t>
            </w:r>
            <w:r w:rsidRPr="0025250D">
              <w:rPr>
                <w:rtl/>
              </w:rPr>
              <w:t xml:space="preserve"> همز</w:t>
            </w:r>
            <w:r w:rsidRPr="0025250D">
              <w:rPr>
                <w:vertAlign w:val="superscript"/>
                <w:rtl/>
              </w:rPr>
              <w:footnoteReference w:id="3171"/>
            </w:r>
            <w:r w:rsidRPr="0025250D">
              <w:rPr>
                <w:rFonts w:hint="cs"/>
                <w:rtl/>
              </w:rPr>
              <w:t>؛</w:t>
            </w:r>
            <w:r w:rsidRPr="0025250D">
              <w:rPr>
                <w:rtl/>
              </w:rPr>
              <w:t xml:space="preserve"> آینده‌</w:t>
            </w:r>
            <w:r w:rsidR="00664E33" w:rsidRPr="0025250D">
              <w:rPr>
                <w:rtl/>
              </w:rPr>
              <w:t>نگار</w:t>
            </w:r>
            <w:r w:rsidRPr="0025250D">
              <w:rPr>
                <w:rtl/>
              </w:rPr>
              <w:t xml:space="preserve">ی </w:t>
            </w:r>
            <w:r w:rsidR="00701E03" w:rsidRPr="0025250D">
              <w:rPr>
                <w:rtl/>
              </w:rPr>
              <w:t>راهبردی</w:t>
            </w:r>
            <w:r w:rsidRPr="0025250D">
              <w:rPr>
                <w:rtl/>
              </w:rPr>
              <w:t xml:space="preserve"> و مشاوره رهبر</w:t>
            </w:r>
            <w:r w:rsidRPr="0025250D">
              <w:rPr>
                <w:rFonts w:hint="cs"/>
                <w:rtl/>
              </w:rPr>
              <w:t>ی</w:t>
            </w:r>
            <w:r w:rsidRPr="0025250D">
              <w:rPr>
                <w:rtl/>
              </w:rPr>
              <w:t>.</w:t>
            </w:r>
          </w:p>
        </w:tc>
        <w:tc>
          <w:tcPr>
            <w:tcW w:w="1438" w:type="dxa"/>
            <w:vAlign w:val="center"/>
          </w:tcPr>
          <w:p w14:paraId="4A67AEF2" w14:textId="77777777" w:rsidR="00537CC8" w:rsidRPr="0025250D" w:rsidRDefault="00537CC8" w:rsidP="00664E33">
            <w:pPr>
              <w:bidi/>
              <w:spacing w:after="160"/>
              <w:jc w:val="center"/>
              <w:rPr>
                <w:rtl/>
              </w:rPr>
            </w:pPr>
            <w:r w:rsidRPr="0025250D">
              <w:rPr>
                <w:rtl/>
              </w:rPr>
              <w:t>10 (تا</w:t>
            </w:r>
            <w:r w:rsidRPr="0025250D">
              <w:rPr>
                <w:rFonts w:hint="cs"/>
                <w:rtl/>
              </w:rPr>
              <w:t>ی</w:t>
            </w:r>
            <w:r w:rsidRPr="0025250D">
              <w:rPr>
                <w:rFonts w:hint="eastAsia"/>
                <w:rtl/>
              </w:rPr>
              <w:t>لند</w:t>
            </w:r>
            <w:r w:rsidRPr="0025250D">
              <w:rPr>
                <w:rtl/>
              </w:rPr>
              <w:t>)</w:t>
            </w:r>
          </w:p>
        </w:tc>
      </w:tr>
      <w:tr w:rsidR="00537CC8" w:rsidRPr="0025250D" w14:paraId="51540BB0" w14:textId="77777777" w:rsidTr="00664E33">
        <w:tc>
          <w:tcPr>
            <w:tcW w:w="2124" w:type="dxa"/>
            <w:vAlign w:val="center"/>
          </w:tcPr>
          <w:p w14:paraId="126D0F63" w14:textId="77777777" w:rsidR="00537CC8" w:rsidRPr="0025250D" w:rsidRDefault="007A207F" w:rsidP="00664E33">
            <w:pPr>
              <w:bidi/>
              <w:spacing w:after="160"/>
              <w:jc w:val="center"/>
              <w:rPr>
                <w:rtl/>
              </w:rPr>
            </w:pPr>
            <w:hyperlink r:id="rId480">
              <w:r w:rsidR="00537CC8" w:rsidRPr="0025250D">
                <w:rPr>
                  <w:rStyle w:val="Hyperlink"/>
                  <w:color w:val="auto"/>
                  <w:u w:val="none"/>
                </w:rPr>
                <w:t>Breaking Trends</w:t>
              </w:r>
            </w:hyperlink>
          </w:p>
        </w:tc>
        <w:tc>
          <w:tcPr>
            <w:tcW w:w="3798" w:type="dxa"/>
            <w:vAlign w:val="center"/>
          </w:tcPr>
          <w:p w14:paraId="7CF3FBB0" w14:textId="77777777" w:rsidR="00537CC8" w:rsidRPr="0025250D" w:rsidRDefault="00537CC8" w:rsidP="00664E33">
            <w:pPr>
              <w:bidi/>
              <w:spacing w:after="160"/>
              <w:jc w:val="center"/>
              <w:rPr>
                <w:rtl/>
              </w:rPr>
            </w:pPr>
            <w:r w:rsidRPr="0025250D">
              <w:rPr>
                <w:rtl/>
              </w:rPr>
              <w:t>الکس هاو</w:t>
            </w:r>
            <w:r w:rsidRPr="0025250D">
              <w:rPr>
                <w:vertAlign w:val="superscript"/>
                <w:rtl/>
              </w:rPr>
              <w:footnoteReference w:id="3172"/>
            </w:r>
            <w:r w:rsidRPr="0025250D">
              <w:rPr>
                <w:rtl/>
              </w:rPr>
              <w:t>؛ اطلاعات روندها</w:t>
            </w:r>
            <w:r w:rsidRPr="0025250D">
              <w:rPr>
                <w:rFonts w:hint="cs"/>
                <w:rtl/>
              </w:rPr>
              <w:t>ی</w:t>
            </w:r>
            <w:r w:rsidRPr="0025250D">
              <w:rPr>
                <w:rtl/>
              </w:rPr>
              <w:t xml:space="preserve"> جهان</w:t>
            </w:r>
            <w:r w:rsidRPr="0025250D">
              <w:rPr>
                <w:rFonts w:hint="cs"/>
                <w:rtl/>
              </w:rPr>
              <w:t>ی</w:t>
            </w:r>
            <w:r w:rsidRPr="0025250D">
              <w:rPr>
                <w:rtl/>
              </w:rPr>
              <w:t xml:space="preserve"> از شهرها</w:t>
            </w:r>
            <w:r w:rsidRPr="0025250D">
              <w:rPr>
                <w:rFonts w:hint="cs"/>
                <w:rtl/>
              </w:rPr>
              <w:t>ی</w:t>
            </w:r>
            <w:r w:rsidRPr="0025250D">
              <w:rPr>
                <w:rtl/>
              </w:rPr>
              <w:t xml:space="preserve"> پ</w:t>
            </w:r>
            <w:r w:rsidRPr="0025250D">
              <w:rPr>
                <w:rFonts w:hint="cs"/>
                <w:rtl/>
              </w:rPr>
              <w:t>ی</w:t>
            </w:r>
            <w:r w:rsidRPr="0025250D">
              <w:rPr>
                <w:rFonts w:hint="eastAsia"/>
                <w:rtl/>
              </w:rPr>
              <w:t>شرو</w:t>
            </w:r>
            <w:r w:rsidRPr="0025250D">
              <w:rPr>
                <w:rtl/>
              </w:rPr>
              <w:t>.</w:t>
            </w:r>
          </w:p>
        </w:tc>
        <w:tc>
          <w:tcPr>
            <w:tcW w:w="1438" w:type="dxa"/>
            <w:vAlign w:val="center"/>
          </w:tcPr>
          <w:p w14:paraId="370B8E04" w14:textId="77777777" w:rsidR="00537CC8" w:rsidRPr="0025250D" w:rsidRDefault="00537CC8" w:rsidP="00664E33">
            <w:pPr>
              <w:bidi/>
              <w:spacing w:after="160"/>
              <w:jc w:val="center"/>
              <w:rPr>
                <w:rtl/>
              </w:rPr>
            </w:pPr>
            <w:r w:rsidRPr="0025250D">
              <w:rPr>
                <w:rtl/>
              </w:rPr>
              <w:t>1 (لندن</w:t>
            </w:r>
            <w:r w:rsidRPr="0025250D">
              <w:rPr>
                <w:rFonts w:hint="cs"/>
                <w:rtl/>
              </w:rPr>
              <w:t>)</w:t>
            </w:r>
          </w:p>
        </w:tc>
      </w:tr>
      <w:tr w:rsidR="00537CC8" w:rsidRPr="0025250D" w14:paraId="00A7FDBE" w14:textId="77777777" w:rsidTr="00664E33">
        <w:tc>
          <w:tcPr>
            <w:tcW w:w="2124" w:type="dxa"/>
            <w:vAlign w:val="center"/>
          </w:tcPr>
          <w:p w14:paraId="20514FC8" w14:textId="77777777" w:rsidR="00537CC8" w:rsidRPr="0025250D" w:rsidRDefault="007A207F" w:rsidP="00664E33">
            <w:pPr>
              <w:bidi/>
              <w:spacing w:after="160"/>
              <w:jc w:val="center"/>
              <w:rPr>
                <w:rtl/>
              </w:rPr>
            </w:pPr>
            <w:hyperlink r:id="rId481">
              <w:r w:rsidR="00537CC8" w:rsidRPr="0025250D">
                <w:rPr>
                  <w:rStyle w:val="Hyperlink"/>
                  <w:color w:val="auto"/>
                  <w:u w:val="none"/>
                </w:rPr>
                <w:t>Bridge8</w:t>
              </w:r>
            </w:hyperlink>
          </w:p>
        </w:tc>
        <w:tc>
          <w:tcPr>
            <w:tcW w:w="3798" w:type="dxa"/>
            <w:vAlign w:val="center"/>
          </w:tcPr>
          <w:p w14:paraId="6A6E7442" w14:textId="2E0EDBB7" w:rsidR="00537CC8" w:rsidRPr="0025250D" w:rsidRDefault="00537CC8" w:rsidP="00664E33">
            <w:pPr>
              <w:bidi/>
              <w:spacing w:after="160"/>
              <w:jc w:val="center"/>
              <w:rPr>
                <w:rtl/>
              </w:rPr>
            </w:pPr>
            <w:r w:rsidRPr="0025250D">
              <w:rPr>
                <w:rtl/>
              </w:rPr>
              <w:t>کر</w:t>
            </w:r>
            <w:r w:rsidRPr="0025250D">
              <w:rPr>
                <w:rFonts w:hint="cs"/>
                <w:rtl/>
              </w:rPr>
              <w:t>ی</w:t>
            </w:r>
            <w:r w:rsidRPr="0025250D">
              <w:rPr>
                <w:rFonts w:hint="eastAsia"/>
                <w:rtl/>
              </w:rPr>
              <w:t>ست</w:t>
            </w:r>
            <w:r w:rsidRPr="0025250D">
              <w:rPr>
                <w:rFonts w:hint="cs"/>
                <w:rtl/>
              </w:rPr>
              <w:t>ی</w:t>
            </w:r>
            <w:r w:rsidRPr="0025250D">
              <w:rPr>
                <w:rFonts w:hint="eastAsia"/>
                <w:rtl/>
              </w:rPr>
              <w:t>ن</w:t>
            </w:r>
            <w:r w:rsidRPr="0025250D">
              <w:rPr>
                <w:rtl/>
              </w:rPr>
              <w:t xml:space="preserve"> آلفورد</w:t>
            </w:r>
            <w:r w:rsidRPr="0025250D">
              <w:rPr>
                <w:vertAlign w:val="superscript"/>
                <w:rtl/>
              </w:rPr>
              <w:footnoteReference w:id="3173"/>
            </w:r>
            <w:r w:rsidRPr="0025250D">
              <w:rPr>
                <w:rFonts w:hint="cs"/>
                <w:rtl/>
              </w:rPr>
              <w:t>؛</w:t>
            </w:r>
            <w:r w:rsidRPr="0025250D">
              <w:rPr>
                <w:rtl/>
              </w:rPr>
              <w:t xml:space="preserve"> تسه</w:t>
            </w:r>
            <w:r w:rsidRPr="0025250D">
              <w:rPr>
                <w:rFonts w:hint="cs"/>
                <w:rtl/>
              </w:rPr>
              <w:t>ی</w:t>
            </w:r>
            <w:r w:rsidRPr="0025250D">
              <w:rPr>
                <w:rFonts w:hint="eastAsia"/>
                <w:rtl/>
              </w:rPr>
              <w:t>لات،</w:t>
            </w:r>
            <w:r w:rsidRPr="0025250D">
              <w:rPr>
                <w:rtl/>
              </w:rPr>
              <w:t xml:space="preserve"> آینده‌</w:t>
            </w:r>
            <w:r w:rsidR="00664E33" w:rsidRPr="0025250D">
              <w:rPr>
                <w:rtl/>
              </w:rPr>
              <w:t>نگار</w:t>
            </w:r>
            <w:r w:rsidRPr="0025250D">
              <w:rPr>
                <w:rtl/>
              </w:rPr>
              <w:t>ی فناور</w:t>
            </w:r>
            <w:r w:rsidRPr="0025250D">
              <w:rPr>
                <w:rFonts w:hint="cs"/>
                <w:rtl/>
              </w:rPr>
              <w:t>ی</w:t>
            </w:r>
            <w:r w:rsidRPr="0025250D">
              <w:rPr>
                <w:rFonts w:hint="eastAsia"/>
                <w:rtl/>
              </w:rPr>
              <w:t>،</w:t>
            </w:r>
            <w:r w:rsidRPr="0025250D">
              <w:rPr>
                <w:rtl/>
              </w:rPr>
              <w:t xml:space="preserve"> کارگاه ها، رو</w:t>
            </w:r>
            <w:r w:rsidRPr="0025250D">
              <w:rPr>
                <w:rFonts w:hint="cs"/>
                <w:rtl/>
              </w:rPr>
              <w:t>ی</w:t>
            </w:r>
            <w:r w:rsidRPr="0025250D">
              <w:rPr>
                <w:rFonts w:hint="eastAsia"/>
                <w:rtl/>
              </w:rPr>
              <w:t>دادها</w:t>
            </w:r>
          </w:p>
        </w:tc>
        <w:tc>
          <w:tcPr>
            <w:tcW w:w="1438" w:type="dxa"/>
            <w:vAlign w:val="center"/>
          </w:tcPr>
          <w:p w14:paraId="2A6F088E" w14:textId="77777777" w:rsidR="00537CC8" w:rsidRPr="0025250D" w:rsidRDefault="00537CC8" w:rsidP="00664E33">
            <w:pPr>
              <w:bidi/>
              <w:spacing w:after="160"/>
              <w:jc w:val="center"/>
              <w:rPr>
                <w:rtl/>
              </w:rPr>
            </w:pPr>
            <w:r w:rsidRPr="0025250D">
              <w:rPr>
                <w:rtl/>
              </w:rPr>
              <w:t>10 (آدلا</w:t>
            </w:r>
            <w:r w:rsidRPr="0025250D">
              <w:rPr>
                <w:rFonts w:hint="cs"/>
                <w:rtl/>
              </w:rPr>
              <w:t>ی</w:t>
            </w:r>
            <w:r w:rsidRPr="0025250D">
              <w:rPr>
                <w:rFonts w:hint="eastAsia"/>
                <w:rtl/>
              </w:rPr>
              <w:t>د،</w:t>
            </w:r>
            <w:r w:rsidRPr="0025250D">
              <w:rPr>
                <w:rtl/>
              </w:rPr>
              <w:t xml:space="preserve"> استرال</w:t>
            </w:r>
            <w:r w:rsidRPr="0025250D">
              <w:rPr>
                <w:rFonts w:hint="cs"/>
                <w:rtl/>
              </w:rPr>
              <w:t>ی</w:t>
            </w:r>
            <w:r w:rsidRPr="0025250D">
              <w:rPr>
                <w:rFonts w:hint="eastAsia"/>
                <w:rtl/>
              </w:rPr>
              <w:t>ا</w:t>
            </w:r>
            <w:r w:rsidRPr="0025250D">
              <w:rPr>
                <w:rtl/>
              </w:rPr>
              <w:t>)</w:t>
            </w:r>
          </w:p>
        </w:tc>
      </w:tr>
      <w:tr w:rsidR="00537CC8" w:rsidRPr="0025250D" w14:paraId="59236A56" w14:textId="77777777" w:rsidTr="00664E33">
        <w:tc>
          <w:tcPr>
            <w:tcW w:w="2124" w:type="dxa"/>
            <w:vAlign w:val="center"/>
          </w:tcPr>
          <w:p w14:paraId="47BE0072" w14:textId="77777777" w:rsidR="00537CC8" w:rsidRPr="0025250D" w:rsidRDefault="007A207F" w:rsidP="00664E33">
            <w:pPr>
              <w:bidi/>
              <w:spacing w:after="160"/>
              <w:jc w:val="center"/>
              <w:rPr>
                <w:rtl/>
              </w:rPr>
            </w:pPr>
            <w:hyperlink r:id="rId482">
              <w:r w:rsidR="00537CC8" w:rsidRPr="0025250D">
                <w:rPr>
                  <w:rStyle w:val="Hyperlink"/>
                  <w:color w:val="auto"/>
                  <w:u w:val="none"/>
                </w:rPr>
                <w:t>Center for Future Studies</w:t>
              </w:r>
            </w:hyperlink>
          </w:p>
        </w:tc>
        <w:tc>
          <w:tcPr>
            <w:tcW w:w="3798" w:type="dxa"/>
            <w:vAlign w:val="center"/>
          </w:tcPr>
          <w:p w14:paraId="5F23E583" w14:textId="75EB2553" w:rsidR="00537CC8" w:rsidRPr="0025250D" w:rsidRDefault="00537CC8" w:rsidP="00664E33">
            <w:pPr>
              <w:bidi/>
              <w:spacing w:after="160"/>
              <w:jc w:val="center"/>
              <w:rPr>
                <w:rtl/>
              </w:rPr>
            </w:pPr>
            <w:r w:rsidRPr="0025250D">
              <w:rPr>
                <w:rtl/>
              </w:rPr>
              <w:t>مشاوره، تحق</w:t>
            </w:r>
            <w:r w:rsidRPr="0025250D">
              <w:rPr>
                <w:rFonts w:hint="cs"/>
                <w:rtl/>
              </w:rPr>
              <w:t>ی</w:t>
            </w:r>
            <w:r w:rsidRPr="0025250D">
              <w:rPr>
                <w:rFonts w:hint="eastAsia"/>
                <w:rtl/>
              </w:rPr>
              <w:t>ق،</w:t>
            </w:r>
            <w:r w:rsidRPr="0025250D">
              <w:rPr>
                <w:rtl/>
              </w:rPr>
              <w:t xml:space="preserve"> آینده‌</w:t>
            </w:r>
            <w:r w:rsidR="00664E33" w:rsidRPr="0025250D">
              <w:rPr>
                <w:rtl/>
              </w:rPr>
              <w:t>نگار</w:t>
            </w:r>
            <w:r w:rsidRPr="0025250D">
              <w:rPr>
                <w:rtl/>
              </w:rPr>
              <w:t xml:space="preserve">ی. وابسته به </w:t>
            </w:r>
            <w:r w:rsidRPr="0025250D">
              <w:rPr>
                <w:rFonts w:hint="cs"/>
                <w:rtl/>
              </w:rPr>
              <w:t xml:space="preserve">دانشگاه </w:t>
            </w:r>
            <w:r w:rsidRPr="0025250D">
              <w:rPr>
                <w:rtl/>
              </w:rPr>
              <w:t>کنت</w:t>
            </w:r>
          </w:p>
        </w:tc>
        <w:tc>
          <w:tcPr>
            <w:tcW w:w="1438" w:type="dxa"/>
            <w:vAlign w:val="center"/>
          </w:tcPr>
          <w:p w14:paraId="7F28BE8F" w14:textId="77777777" w:rsidR="00537CC8" w:rsidRPr="0025250D" w:rsidRDefault="00537CC8" w:rsidP="00664E33">
            <w:pPr>
              <w:bidi/>
              <w:spacing w:after="160"/>
              <w:jc w:val="center"/>
              <w:rPr>
                <w:rtl/>
              </w:rPr>
            </w:pPr>
            <w:r w:rsidRPr="0025250D">
              <w:rPr>
                <w:rtl/>
              </w:rPr>
              <w:t>1 (کنت، انگلستان)</w:t>
            </w:r>
          </w:p>
        </w:tc>
      </w:tr>
      <w:tr w:rsidR="00537CC8" w:rsidRPr="0025250D" w14:paraId="06139E47" w14:textId="77777777" w:rsidTr="00664E33">
        <w:tc>
          <w:tcPr>
            <w:tcW w:w="2124" w:type="dxa"/>
            <w:vAlign w:val="center"/>
          </w:tcPr>
          <w:p w14:paraId="3EB33EC8" w14:textId="77777777" w:rsidR="00537CC8" w:rsidRPr="0025250D" w:rsidRDefault="007A207F" w:rsidP="00664E33">
            <w:pPr>
              <w:bidi/>
              <w:spacing w:after="160"/>
              <w:jc w:val="center"/>
              <w:rPr>
                <w:rtl/>
              </w:rPr>
            </w:pPr>
            <w:hyperlink r:id="rId483">
              <w:r w:rsidR="00537CC8" w:rsidRPr="0025250D">
                <w:rPr>
                  <w:rStyle w:val="Hyperlink"/>
                  <w:color w:val="auto"/>
                  <w:u w:val="none"/>
                </w:rPr>
                <w:t>Chermack Scenarios</w:t>
              </w:r>
            </w:hyperlink>
          </w:p>
        </w:tc>
        <w:tc>
          <w:tcPr>
            <w:tcW w:w="3798" w:type="dxa"/>
            <w:vAlign w:val="center"/>
          </w:tcPr>
          <w:p w14:paraId="7D7C5AD1" w14:textId="2695B008" w:rsidR="00537CC8" w:rsidRPr="0025250D" w:rsidRDefault="00537CC8" w:rsidP="00664E33">
            <w:pPr>
              <w:bidi/>
              <w:spacing w:after="160"/>
              <w:jc w:val="center"/>
              <w:rPr>
                <w:rtl/>
              </w:rPr>
            </w:pPr>
            <w:r w:rsidRPr="0025250D">
              <w:rPr>
                <w:rtl/>
              </w:rPr>
              <w:t>توماس ج</w:t>
            </w:r>
            <w:r w:rsidRPr="0025250D">
              <w:rPr>
                <w:rFonts w:hint="cs"/>
                <w:rtl/>
              </w:rPr>
              <w:t>ی چرماک</w:t>
            </w:r>
            <w:r w:rsidRPr="0025250D">
              <w:rPr>
                <w:vertAlign w:val="superscript"/>
                <w:rtl/>
              </w:rPr>
              <w:footnoteReference w:id="3174"/>
            </w:r>
            <w:r w:rsidRPr="0025250D">
              <w:rPr>
                <w:rFonts w:hint="cs"/>
                <w:rtl/>
              </w:rPr>
              <w:t>؛</w:t>
            </w:r>
            <w:r w:rsidRPr="0025250D">
              <w:rPr>
                <w:rtl/>
              </w:rPr>
              <w:t xml:space="preserve"> مشاوره متمرکز بر </w:t>
            </w:r>
            <w:r w:rsidR="00B124DE" w:rsidRPr="0025250D">
              <w:rPr>
                <w:rtl/>
              </w:rPr>
              <w:t>برنامه‌ریزی</w:t>
            </w:r>
            <w:r w:rsidRPr="0025250D">
              <w:rPr>
                <w:rtl/>
              </w:rPr>
              <w:t xml:space="preserve"> </w:t>
            </w:r>
            <w:r w:rsidR="007A53FD" w:rsidRPr="0025250D">
              <w:rPr>
                <w:rtl/>
              </w:rPr>
              <w:t>فرانامه</w:t>
            </w:r>
            <w:r w:rsidRPr="0025250D">
              <w:rPr>
                <w:rtl/>
              </w:rPr>
              <w:t>.</w:t>
            </w:r>
          </w:p>
        </w:tc>
        <w:tc>
          <w:tcPr>
            <w:tcW w:w="1438" w:type="dxa"/>
            <w:vAlign w:val="center"/>
          </w:tcPr>
          <w:p w14:paraId="26B4EDCD" w14:textId="77777777" w:rsidR="00537CC8" w:rsidRPr="0025250D" w:rsidRDefault="00537CC8" w:rsidP="00664E33">
            <w:pPr>
              <w:bidi/>
              <w:spacing w:after="160"/>
              <w:jc w:val="center"/>
              <w:rPr>
                <w:rtl/>
              </w:rPr>
            </w:pPr>
            <w:r w:rsidRPr="0025250D">
              <w:rPr>
                <w:rtl/>
              </w:rPr>
              <w:t>1 (فوت کال</w:t>
            </w:r>
            <w:r w:rsidRPr="0025250D">
              <w:rPr>
                <w:rFonts w:hint="cs"/>
                <w:rtl/>
              </w:rPr>
              <w:t>ی</w:t>
            </w:r>
            <w:r w:rsidRPr="0025250D">
              <w:rPr>
                <w:rFonts w:hint="eastAsia"/>
                <w:rtl/>
              </w:rPr>
              <w:t>نز</w:t>
            </w:r>
            <w:r w:rsidRPr="0025250D">
              <w:rPr>
                <w:rFonts w:hint="cs"/>
                <w:rtl/>
              </w:rPr>
              <w:t>)</w:t>
            </w:r>
          </w:p>
        </w:tc>
      </w:tr>
      <w:tr w:rsidR="00537CC8" w:rsidRPr="0025250D" w14:paraId="10FDF8CF" w14:textId="77777777" w:rsidTr="00664E33">
        <w:tc>
          <w:tcPr>
            <w:tcW w:w="2124" w:type="dxa"/>
            <w:vAlign w:val="center"/>
          </w:tcPr>
          <w:p w14:paraId="39ABC43D" w14:textId="77777777" w:rsidR="00537CC8" w:rsidRPr="0025250D" w:rsidRDefault="007A207F" w:rsidP="00664E33">
            <w:pPr>
              <w:bidi/>
              <w:spacing w:after="160"/>
              <w:jc w:val="center"/>
              <w:rPr>
                <w:rtl/>
              </w:rPr>
            </w:pPr>
            <w:hyperlink r:id="rId484">
              <w:r w:rsidR="00537CC8" w:rsidRPr="0025250D">
                <w:rPr>
                  <w:rStyle w:val="Hyperlink"/>
                  <w:color w:val="auto"/>
                  <w:u w:val="none"/>
                </w:rPr>
                <w:t>Cognovis</w:t>
              </w:r>
            </w:hyperlink>
          </w:p>
        </w:tc>
        <w:tc>
          <w:tcPr>
            <w:tcW w:w="3798" w:type="dxa"/>
            <w:vAlign w:val="center"/>
          </w:tcPr>
          <w:p w14:paraId="0D9425B7" w14:textId="77777777" w:rsidR="00537CC8" w:rsidRPr="0025250D" w:rsidRDefault="00537CC8" w:rsidP="00664E33">
            <w:pPr>
              <w:bidi/>
              <w:spacing w:after="160"/>
              <w:jc w:val="center"/>
              <w:rPr>
                <w:rtl/>
              </w:rPr>
            </w:pPr>
            <w:r w:rsidRPr="0025250D">
              <w:rPr>
                <w:rtl/>
              </w:rPr>
              <w:t>تر</w:t>
            </w:r>
            <w:r w:rsidRPr="0025250D">
              <w:rPr>
                <w:rFonts w:hint="cs"/>
                <w:rtl/>
              </w:rPr>
              <w:t>ی</w:t>
            </w:r>
            <w:r w:rsidRPr="0025250D">
              <w:rPr>
                <w:rtl/>
              </w:rPr>
              <w:t xml:space="preserve"> فر</w:t>
            </w:r>
            <w:r w:rsidRPr="0025250D">
              <w:rPr>
                <w:rFonts w:hint="cs"/>
                <w:rtl/>
              </w:rPr>
              <w:t>ی</w:t>
            </w:r>
            <w:r w:rsidRPr="0025250D">
              <w:rPr>
                <w:rFonts w:hint="eastAsia"/>
                <w:rtl/>
              </w:rPr>
              <w:t>زر</w:t>
            </w:r>
            <w:r w:rsidRPr="0025250D">
              <w:rPr>
                <w:vertAlign w:val="superscript"/>
                <w:rtl/>
              </w:rPr>
              <w:footnoteReference w:id="3175"/>
            </w:r>
            <w:r w:rsidRPr="0025250D">
              <w:rPr>
                <w:rFonts w:hint="eastAsia"/>
                <w:rtl/>
              </w:rPr>
              <w:t>؛</w:t>
            </w:r>
            <w:r w:rsidRPr="0025250D">
              <w:rPr>
                <w:rtl/>
              </w:rPr>
              <w:t xml:space="preserve"> هوش رقابت</w:t>
            </w:r>
            <w:r w:rsidRPr="0025250D">
              <w:rPr>
                <w:rFonts w:hint="cs"/>
                <w:rtl/>
              </w:rPr>
              <w:t>ی</w:t>
            </w:r>
            <w:r w:rsidRPr="0025250D">
              <w:rPr>
                <w:rFonts w:hint="eastAsia"/>
                <w:rtl/>
              </w:rPr>
              <w:t>،</w:t>
            </w:r>
            <w:r w:rsidRPr="0025250D">
              <w:rPr>
                <w:rtl/>
              </w:rPr>
              <w:t xml:space="preserve"> باز</w:t>
            </w:r>
            <w:r w:rsidRPr="0025250D">
              <w:rPr>
                <w:rFonts w:hint="cs"/>
                <w:rtl/>
              </w:rPr>
              <w:t>ی</w:t>
            </w:r>
            <w:r w:rsidRPr="0025250D">
              <w:rPr>
                <w:rtl/>
              </w:rPr>
              <w:t xml:space="preserve"> جنگ</w:t>
            </w:r>
            <w:r w:rsidRPr="0025250D">
              <w:rPr>
                <w:rFonts w:hint="cs"/>
                <w:rtl/>
              </w:rPr>
              <w:t>ی</w:t>
            </w:r>
            <w:r w:rsidRPr="0025250D">
              <w:rPr>
                <w:rtl/>
              </w:rPr>
              <w:t>.</w:t>
            </w:r>
          </w:p>
        </w:tc>
        <w:tc>
          <w:tcPr>
            <w:tcW w:w="1438" w:type="dxa"/>
            <w:vAlign w:val="center"/>
          </w:tcPr>
          <w:p w14:paraId="077790E3" w14:textId="77777777" w:rsidR="00537CC8" w:rsidRPr="0025250D" w:rsidRDefault="00537CC8" w:rsidP="00664E33">
            <w:pPr>
              <w:bidi/>
              <w:spacing w:after="160"/>
              <w:jc w:val="center"/>
              <w:rPr>
                <w:rtl/>
              </w:rPr>
            </w:pPr>
            <w:r w:rsidRPr="0025250D">
              <w:rPr>
                <w:rtl/>
              </w:rPr>
              <w:t>1 (تا</w:t>
            </w:r>
            <w:r w:rsidRPr="0025250D">
              <w:rPr>
                <w:rFonts w:hint="cs"/>
                <w:rtl/>
              </w:rPr>
              <w:t>ی</w:t>
            </w:r>
            <w:r w:rsidRPr="0025250D">
              <w:rPr>
                <w:rFonts w:hint="eastAsia"/>
                <w:rtl/>
              </w:rPr>
              <w:t>لر</w:t>
            </w:r>
            <w:r w:rsidRPr="0025250D">
              <w:rPr>
                <w:rFonts w:hint="cs"/>
                <w:rtl/>
              </w:rPr>
              <w:t>)</w:t>
            </w:r>
          </w:p>
        </w:tc>
      </w:tr>
      <w:tr w:rsidR="00537CC8" w:rsidRPr="0025250D" w14:paraId="08A3B0CA" w14:textId="77777777" w:rsidTr="00664E33">
        <w:tc>
          <w:tcPr>
            <w:tcW w:w="2124" w:type="dxa"/>
            <w:vAlign w:val="center"/>
          </w:tcPr>
          <w:p w14:paraId="7A3ED458" w14:textId="77777777" w:rsidR="00537CC8" w:rsidRPr="0025250D" w:rsidRDefault="007A207F" w:rsidP="00664E33">
            <w:pPr>
              <w:bidi/>
              <w:spacing w:after="160"/>
              <w:jc w:val="center"/>
              <w:rPr>
                <w:rtl/>
              </w:rPr>
            </w:pPr>
            <w:hyperlink r:id="rId485">
              <w:r w:rsidR="00537CC8" w:rsidRPr="0025250D">
                <w:rPr>
                  <w:rStyle w:val="Hyperlink"/>
                  <w:color w:val="auto"/>
                  <w:u w:val="none"/>
                </w:rPr>
                <w:t>Community &amp; Regional Resilience</w:t>
              </w:r>
            </w:hyperlink>
          </w:p>
        </w:tc>
        <w:tc>
          <w:tcPr>
            <w:tcW w:w="3798" w:type="dxa"/>
            <w:vAlign w:val="center"/>
          </w:tcPr>
          <w:p w14:paraId="5765282E" w14:textId="38DB9C5E" w:rsidR="00537CC8" w:rsidRPr="0025250D" w:rsidRDefault="00537CC8" w:rsidP="00664E33">
            <w:pPr>
              <w:bidi/>
              <w:spacing w:after="160"/>
              <w:jc w:val="center"/>
              <w:rPr>
                <w:rtl/>
              </w:rPr>
            </w:pPr>
            <w:r w:rsidRPr="0025250D">
              <w:rPr>
                <w:rtl/>
              </w:rPr>
              <w:t>وارن ادواردز</w:t>
            </w:r>
            <w:r w:rsidRPr="0025250D">
              <w:rPr>
                <w:vertAlign w:val="superscript"/>
                <w:rtl/>
              </w:rPr>
              <w:footnoteReference w:id="3176"/>
            </w:r>
            <w:r w:rsidRPr="0025250D">
              <w:rPr>
                <w:rFonts w:hint="cs"/>
                <w:rtl/>
              </w:rPr>
              <w:t>؛</w:t>
            </w:r>
            <w:r w:rsidRPr="0025250D">
              <w:rPr>
                <w:rtl/>
              </w:rPr>
              <w:t xml:space="preserve"> </w:t>
            </w:r>
            <w:r w:rsidR="00B124DE" w:rsidRPr="0025250D">
              <w:rPr>
                <w:rtl/>
              </w:rPr>
              <w:t>برنامه‌ریزی</w:t>
            </w:r>
            <w:r w:rsidRPr="0025250D">
              <w:rPr>
                <w:rtl/>
              </w:rPr>
              <w:t xml:space="preserve"> و تحق</w:t>
            </w:r>
            <w:r w:rsidRPr="0025250D">
              <w:rPr>
                <w:rFonts w:hint="cs"/>
                <w:rtl/>
              </w:rPr>
              <w:t>ی</w:t>
            </w:r>
            <w:r w:rsidRPr="0025250D">
              <w:rPr>
                <w:rFonts w:hint="eastAsia"/>
                <w:rtl/>
              </w:rPr>
              <w:t>ق</w:t>
            </w:r>
            <w:r w:rsidRPr="0025250D">
              <w:rPr>
                <w:rtl/>
              </w:rPr>
              <w:t xml:space="preserve"> </w:t>
            </w:r>
            <w:r w:rsidR="0008779C" w:rsidRPr="0025250D">
              <w:rPr>
                <w:rtl/>
              </w:rPr>
              <w:t>تاب‌آور</w:t>
            </w:r>
            <w:r w:rsidRPr="0025250D">
              <w:rPr>
                <w:rFonts w:hint="cs"/>
                <w:rtl/>
              </w:rPr>
              <w:t>ی</w:t>
            </w:r>
          </w:p>
        </w:tc>
        <w:tc>
          <w:tcPr>
            <w:tcW w:w="1438" w:type="dxa"/>
            <w:vAlign w:val="center"/>
          </w:tcPr>
          <w:p w14:paraId="5EC3626C" w14:textId="77777777" w:rsidR="00537CC8" w:rsidRPr="0025250D" w:rsidRDefault="00537CC8" w:rsidP="00664E33">
            <w:pPr>
              <w:bidi/>
              <w:spacing w:after="160"/>
              <w:jc w:val="center"/>
              <w:rPr>
                <w:rtl/>
              </w:rPr>
            </w:pPr>
            <w:r w:rsidRPr="0025250D">
              <w:rPr>
                <w:rtl/>
              </w:rPr>
              <w:t>1 (اوک ر</w:t>
            </w:r>
            <w:r w:rsidRPr="0025250D">
              <w:rPr>
                <w:rFonts w:hint="cs"/>
                <w:rtl/>
              </w:rPr>
              <w:t>ی</w:t>
            </w:r>
            <w:r w:rsidRPr="0025250D">
              <w:rPr>
                <w:rFonts w:hint="eastAsia"/>
                <w:rtl/>
              </w:rPr>
              <w:t>ج</w:t>
            </w:r>
            <w:r w:rsidRPr="0025250D">
              <w:rPr>
                <w:rFonts w:hint="cs"/>
                <w:rtl/>
              </w:rPr>
              <w:t>)</w:t>
            </w:r>
          </w:p>
        </w:tc>
      </w:tr>
      <w:tr w:rsidR="00537CC8" w:rsidRPr="0025250D" w14:paraId="75630ABC" w14:textId="77777777" w:rsidTr="00664E33">
        <w:tc>
          <w:tcPr>
            <w:tcW w:w="2124" w:type="dxa"/>
            <w:vAlign w:val="center"/>
          </w:tcPr>
          <w:p w14:paraId="0AC1E9E9" w14:textId="77777777" w:rsidR="00537CC8" w:rsidRPr="0025250D" w:rsidRDefault="007A207F" w:rsidP="00664E33">
            <w:pPr>
              <w:bidi/>
              <w:spacing w:after="160"/>
              <w:jc w:val="center"/>
              <w:rPr>
                <w:rtl/>
              </w:rPr>
            </w:pPr>
            <w:hyperlink r:id="rId486">
              <w:r w:rsidR="00537CC8" w:rsidRPr="0025250D">
                <w:rPr>
                  <w:rStyle w:val="Hyperlink"/>
                  <w:color w:val="auto"/>
                  <w:u w:val="none"/>
                </w:rPr>
                <w:t>Competia</w:t>
              </w:r>
            </w:hyperlink>
          </w:p>
        </w:tc>
        <w:tc>
          <w:tcPr>
            <w:tcW w:w="3798" w:type="dxa"/>
            <w:vAlign w:val="center"/>
          </w:tcPr>
          <w:p w14:paraId="4C374FC8" w14:textId="4FE6DCFF" w:rsidR="00537CC8" w:rsidRPr="0025250D" w:rsidRDefault="00537CC8" w:rsidP="00664E33">
            <w:pPr>
              <w:bidi/>
              <w:spacing w:after="160"/>
              <w:jc w:val="center"/>
              <w:rPr>
                <w:rtl/>
              </w:rPr>
            </w:pPr>
            <w:r w:rsidRPr="0025250D">
              <w:rPr>
                <w:rtl/>
              </w:rPr>
              <w:t>استل ما</w:t>
            </w:r>
            <w:r w:rsidRPr="0025250D">
              <w:rPr>
                <w:rFonts w:hint="cs"/>
                <w:rtl/>
              </w:rPr>
              <w:t>ی</w:t>
            </w:r>
            <w:r w:rsidRPr="0025250D">
              <w:rPr>
                <w:rFonts w:hint="eastAsia"/>
                <w:rtl/>
              </w:rPr>
              <w:t>ر</w:t>
            </w:r>
            <w:r w:rsidRPr="0025250D">
              <w:rPr>
                <w:vertAlign w:val="superscript"/>
                <w:rtl/>
              </w:rPr>
              <w:footnoteReference w:id="3177"/>
            </w:r>
            <w:r w:rsidRPr="0025250D">
              <w:rPr>
                <w:rFonts w:hint="cs"/>
                <w:rtl/>
              </w:rPr>
              <w:t>؛</w:t>
            </w:r>
            <w:r w:rsidRPr="0025250D">
              <w:rPr>
                <w:rtl/>
              </w:rPr>
              <w:t xml:space="preserve"> هوش رقابت</w:t>
            </w:r>
            <w:r w:rsidRPr="0025250D">
              <w:rPr>
                <w:rFonts w:hint="cs"/>
                <w:rtl/>
              </w:rPr>
              <w:t>ی</w:t>
            </w:r>
            <w:r w:rsidRPr="0025250D">
              <w:rPr>
                <w:rtl/>
              </w:rPr>
              <w:t xml:space="preserve"> و </w:t>
            </w:r>
            <w:r w:rsidR="00701E03" w:rsidRPr="0025250D">
              <w:rPr>
                <w:rtl/>
              </w:rPr>
              <w:t>راهبردی</w:t>
            </w:r>
          </w:p>
        </w:tc>
        <w:tc>
          <w:tcPr>
            <w:tcW w:w="1438" w:type="dxa"/>
            <w:vAlign w:val="center"/>
          </w:tcPr>
          <w:p w14:paraId="00FC9815" w14:textId="77777777" w:rsidR="00537CC8" w:rsidRPr="0025250D" w:rsidRDefault="00537CC8" w:rsidP="00664E33">
            <w:pPr>
              <w:bidi/>
              <w:spacing w:after="160"/>
              <w:jc w:val="center"/>
              <w:rPr>
                <w:rtl/>
              </w:rPr>
            </w:pPr>
            <w:r w:rsidRPr="0025250D">
              <w:rPr>
                <w:rtl/>
              </w:rPr>
              <w:t>1 (اتاوا) 3 (ژنو)</w:t>
            </w:r>
          </w:p>
        </w:tc>
      </w:tr>
      <w:tr w:rsidR="00537CC8" w:rsidRPr="0025250D" w14:paraId="1C349D4D" w14:textId="77777777" w:rsidTr="00664E33">
        <w:tc>
          <w:tcPr>
            <w:tcW w:w="2124" w:type="dxa"/>
            <w:vAlign w:val="center"/>
          </w:tcPr>
          <w:p w14:paraId="739FB579" w14:textId="77777777" w:rsidR="00537CC8" w:rsidRPr="0025250D" w:rsidRDefault="007A207F" w:rsidP="00664E33">
            <w:pPr>
              <w:bidi/>
              <w:spacing w:after="160"/>
              <w:jc w:val="center"/>
              <w:rPr>
                <w:rtl/>
              </w:rPr>
            </w:pPr>
            <w:hyperlink r:id="rId487">
              <w:r w:rsidR="00537CC8" w:rsidRPr="0025250D">
                <w:rPr>
                  <w:rStyle w:val="Hyperlink"/>
                  <w:color w:val="auto"/>
                  <w:u w:val="none"/>
                </w:rPr>
                <w:t>Emergent Futures</w:t>
              </w:r>
            </w:hyperlink>
          </w:p>
        </w:tc>
        <w:tc>
          <w:tcPr>
            <w:tcW w:w="3798" w:type="dxa"/>
            <w:vAlign w:val="center"/>
          </w:tcPr>
          <w:p w14:paraId="5101CCFB" w14:textId="04877635" w:rsidR="00537CC8" w:rsidRPr="0025250D" w:rsidRDefault="00537CC8" w:rsidP="00664E33">
            <w:pPr>
              <w:bidi/>
              <w:spacing w:after="160"/>
              <w:jc w:val="center"/>
              <w:rPr>
                <w:rtl/>
              </w:rPr>
            </w:pPr>
            <w:r w:rsidRPr="0025250D">
              <w:rPr>
                <w:rtl/>
              </w:rPr>
              <w:t>پل ه</w:t>
            </w:r>
            <w:r w:rsidRPr="0025250D">
              <w:rPr>
                <w:rFonts w:hint="cs"/>
                <w:rtl/>
              </w:rPr>
              <w:t>ی</w:t>
            </w:r>
            <w:r w:rsidRPr="0025250D">
              <w:rPr>
                <w:rFonts w:hint="eastAsia"/>
                <w:rtl/>
              </w:rPr>
              <w:t>گ</w:t>
            </w:r>
            <w:r w:rsidRPr="0025250D">
              <w:rPr>
                <w:rFonts w:hint="cs"/>
                <w:rtl/>
              </w:rPr>
              <w:t>ی</w:t>
            </w:r>
            <w:r w:rsidRPr="0025250D">
              <w:rPr>
                <w:rFonts w:hint="eastAsia"/>
                <w:rtl/>
              </w:rPr>
              <w:t>نز</w:t>
            </w:r>
            <w:r w:rsidRPr="0025250D">
              <w:rPr>
                <w:vertAlign w:val="superscript"/>
                <w:rtl/>
              </w:rPr>
              <w:footnoteReference w:id="3178"/>
            </w:r>
            <w:r w:rsidRPr="0025250D">
              <w:rPr>
                <w:rFonts w:hint="eastAsia"/>
                <w:rtl/>
              </w:rPr>
              <w:t>،</w:t>
            </w:r>
            <w:r w:rsidRPr="0025250D">
              <w:rPr>
                <w:rtl/>
              </w:rPr>
              <w:t xml:space="preserve"> شن</w:t>
            </w:r>
            <w:r w:rsidRPr="0025250D">
              <w:rPr>
                <w:rFonts w:hint="cs"/>
                <w:rtl/>
              </w:rPr>
              <w:t>ی</w:t>
            </w:r>
            <w:r w:rsidRPr="0025250D">
              <w:rPr>
                <w:rtl/>
              </w:rPr>
              <w:t xml:space="preserve"> ت</w:t>
            </w:r>
            <w:r w:rsidRPr="0025250D">
              <w:rPr>
                <w:rFonts w:hint="cs"/>
                <w:rtl/>
              </w:rPr>
              <w:t>ی</w:t>
            </w:r>
            <w:r w:rsidRPr="0025250D">
              <w:rPr>
                <w:rFonts w:hint="eastAsia"/>
                <w:rtl/>
              </w:rPr>
              <w:t>گل</w:t>
            </w:r>
            <w:r w:rsidRPr="0025250D">
              <w:rPr>
                <w:vertAlign w:val="superscript"/>
                <w:rtl/>
              </w:rPr>
              <w:footnoteReference w:id="3179"/>
            </w:r>
            <w:r w:rsidRPr="0025250D">
              <w:rPr>
                <w:rFonts w:hint="cs"/>
                <w:rtl/>
              </w:rPr>
              <w:t>؛</w:t>
            </w:r>
            <w:r w:rsidRPr="0025250D">
              <w:rPr>
                <w:rtl/>
              </w:rPr>
              <w:t xml:space="preserve"> مشاوره آینده‌</w:t>
            </w:r>
            <w:r w:rsidR="00664E33" w:rsidRPr="0025250D">
              <w:rPr>
                <w:rtl/>
              </w:rPr>
              <w:t>نگار</w:t>
            </w:r>
            <w:r w:rsidRPr="0025250D">
              <w:rPr>
                <w:rtl/>
              </w:rPr>
              <w:t>ی</w:t>
            </w:r>
          </w:p>
        </w:tc>
        <w:tc>
          <w:tcPr>
            <w:tcW w:w="1438" w:type="dxa"/>
            <w:vAlign w:val="center"/>
          </w:tcPr>
          <w:p w14:paraId="4D2193EC" w14:textId="77777777" w:rsidR="00537CC8" w:rsidRPr="0025250D" w:rsidRDefault="00537CC8" w:rsidP="00664E33">
            <w:pPr>
              <w:bidi/>
              <w:spacing w:after="160"/>
              <w:jc w:val="center"/>
              <w:rPr>
                <w:rtl/>
              </w:rPr>
            </w:pPr>
            <w:r w:rsidRPr="0025250D">
              <w:rPr>
                <w:rtl/>
              </w:rPr>
              <w:t>10 (ملبورن، استرال</w:t>
            </w:r>
            <w:r w:rsidRPr="0025250D">
              <w:rPr>
                <w:rFonts w:hint="cs"/>
                <w:rtl/>
              </w:rPr>
              <w:t>ی</w:t>
            </w:r>
            <w:r w:rsidRPr="0025250D">
              <w:rPr>
                <w:rFonts w:hint="eastAsia"/>
                <w:rtl/>
              </w:rPr>
              <w:t>ا</w:t>
            </w:r>
            <w:r w:rsidRPr="0025250D">
              <w:rPr>
                <w:rtl/>
              </w:rPr>
              <w:t>)</w:t>
            </w:r>
          </w:p>
        </w:tc>
      </w:tr>
      <w:tr w:rsidR="00537CC8" w:rsidRPr="0025250D" w14:paraId="46489C70" w14:textId="77777777" w:rsidTr="00664E33">
        <w:tc>
          <w:tcPr>
            <w:tcW w:w="2124" w:type="dxa"/>
            <w:vAlign w:val="center"/>
          </w:tcPr>
          <w:p w14:paraId="29836146" w14:textId="77777777" w:rsidR="00537CC8" w:rsidRPr="0025250D" w:rsidRDefault="007A207F" w:rsidP="00664E33">
            <w:pPr>
              <w:bidi/>
              <w:spacing w:after="160"/>
              <w:jc w:val="center"/>
              <w:rPr>
                <w:rtl/>
              </w:rPr>
            </w:pPr>
            <w:hyperlink r:id="rId488">
              <w:r w:rsidR="00537CC8" w:rsidRPr="0025250D">
                <w:rPr>
                  <w:rStyle w:val="Hyperlink"/>
                  <w:color w:val="auto"/>
                  <w:u w:val="none"/>
                </w:rPr>
                <w:t>European Futures Observatory</w:t>
              </w:r>
            </w:hyperlink>
          </w:p>
        </w:tc>
        <w:tc>
          <w:tcPr>
            <w:tcW w:w="3798" w:type="dxa"/>
            <w:vAlign w:val="center"/>
          </w:tcPr>
          <w:p w14:paraId="30378D27" w14:textId="77777777" w:rsidR="00537CC8" w:rsidRPr="0025250D" w:rsidRDefault="00537CC8" w:rsidP="00664E33">
            <w:pPr>
              <w:bidi/>
              <w:spacing w:after="160"/>
              <w:jc w:val="center"/>
              <w:rPr>
                <w:rtl/>
              </w:rPr>
            </w:pPr>
            <w:r w:rsidRPr="0025250D">
              <w:rPr>
                <w:rtl/>
              </w:rPr>
              <w:t>استفان آگ</w:t>
            </w:r>
            <w:r w:rsidRPr="0025250D">
              <w:rPr>
                <w:rFonts w:hint="cs"/>
                <w:rtl/>
              </w:rPr>
              <w:t>ی</w:t>
            </w:r>
            <w:r w:rsidRPr="0025250D">
              <w:rPr>
                <w:rFonts w:hint="eastAsia"/>
                <w:rtl/>
              </w:rPr>
              <w:t>لار</w:t>
            </w:r>
            <w:r w:rsidRPr="0025250D">
              <w:rPr>
                <w:rtl/>
              </w:rPr>
              <w:t>-م</w:t>
            </w:r>
            <w:r w:rsidRPr="0025250D">
              <w:rPr>
                <w:rFonts w:hint="cs"/>
                <w:rtl/>
              </w:rPr>
              <w:t>ی</w:t>
            </w:r>
            <w:r w:rsidRPr="0025250D">
              <w:rPr>
                <w:rFonts w:hint="eastAsia"/>
                <w:rtl/>
              </w:rPr>
              <w:t>لان</w:t>
            </w:r>
            <w:r w:rsidRPr="0025250D">
              <w:rPr>
                <w:vertAlign w:val="superscript"/>
                <w:rtl/>
              </w:rPr>
              <w:footnoteReference w:id="3180"/>
            </w:r>
            <w:r w:rsidRPr="0025250D">
              <w:rPr>
                <w:rFonts w:hint="eastAsia"/>
                <w:rtl/>
              </w:rPr>
              <w:t>؛</w:t>
            </w:r>
            <w:r w:rsidRPr="0025250D">
              <w:rPr>
                <w:rtl/>
              </w:rPr>
              <w:t xml:space="preserve"> مطالعات پژوهش</w:t>
            </w:r>
            <w:r w:rsidRPr="0025250D">
              <w:rPr>
                <w:rFonts w:hint="cs"/>
                <w:rtl/>
              </w:rPr>
              <w:t>ی</w:t>
            </w:r>
            <w:r w:rsidRPr="0025250D">
              <w:rPr>
                <w:rFonts w:hint="eastAsia"/>
                <w:rtl/>
              </w:rPr>
              <w:t>،</w:t>
            </w:r>
            <w:r w:rsidRPr="0025250D">
              <w:rPr>
                <w:rtl/>
              </w:rPr>
              <w:t xml:space="preserve"> رو</w:t>
            </w:r>
            <w:r w:rsidRPr="0025250D">
              <w:rPr>
                <w:rFonts w:hint="cs"/>
                <w:rtl/>
              </w:rPr>
              <w:t>ی</w:t>
            </w:r>
            <w:r w:rsidRPr="0025250D">
              <w:rPr>
                <w:rFonts w:hint="eastAsia"/>
                <w:rtl/>
              </w:rPr>
              <w:t>دادها</w:t>
            </w:r>
            <w:r w:rsidRPr="0025250D">
              <w:rPr>
                <w:rtl/>
              </w:rPr>
              <w:t>.</w:t>
            </w:r>
          </w:p>
        </w:tc>
        <w:tc>
          <w:tcPr>
            <w:tcW w:w="1438" w:type="dxa"/>
            <w:vAlign w:val="center"/>
          </w:tcPr>
          <w:p w14:paraId="5E2ED906" w14:textId="77777777" w:rsidR="00537CC8" w:rsidRPr="0025250D" w:rsidRDefault="00537CC8" w:rsidP="00664E33">
            <w:pPr>
              <w:bidi/>
              <w:spacing w:after="160"/>
              <w:jc w:val="center"/>
              <w:rPr>
                <w:rtl/>
              </w:rPr>
            </w:pPr>
            <w:r w:rsidRPr="0025250D">
              <w:rPr>
                <w:rtl/>
              </w:rPr>
              <w:t>3 (</w:t>
            </w:r>
            <w:r w:rsidRPr="0025250D">
              <w:rPr>
                <w:rFonts w:hint="cs"/>
                <w:rtl/>
              </w:rPr>
              <w:t>ایپسویچ</w:t>
            </w:r>
            <w:r w:rsidRPr="0025250D">
              <w:rPr>
                <w:rtl/>
              </w:rPr>
              <w:t>، انگلستان)</w:t>
            </w:r>
          </w:p>
        </w:tc>
      </w:tr>
      <w:tr w:rsidR="00537CC8" w:rsidRPr="0025250D" w14:paraId="60DE444F" w14:textId="77777777" w:rsidTr="00664E33">
        <w:tc>
          <w:tcPr>
            <w:tcW w:w="2124" w:type="dxa"/>
            <w:vAlign w:val="center"/>
          </w:tcPr>
          <w:p w14:paraId="6AA645AF" w14:textId="77777777" w:rsidR="00537CC8" w:rsidRPr="0025250D" w:rsidRDefault="007A207F" w:rsidP="00664E33">
            <w:pPr>
              <w:bidi/>
              <w:spacing w:after="160"/>
              <w:jc w:val="center"/>
              <w:rPr>
                <w:rtl/>
              </w:rPr>
            </w:pPr>
            <w:hyperlink r:id="rId489">
              <w:r w:rsidR="00537CC8" w:rsidRPr="0025250D">
                <w:rPr>
                  <w:rStyle w:val="Hyperlink"/>
                  <w:color w:val="auto"/>
                  <w:u w:val="none"/>
                </w:rPr>
                <w:t>Fast Future</w:t>
              </w:r>
            </w:hyperlink>
          </w:p>
        </w:tc>
        <w:tc>
          <w:tcPr>
            <w:tcW w:w="3798" w:type="dxa"/>
            <w:vAlign w:val="center"/>
          </w:tcPr>
          <w:p w14:paraId="07CC31FB" w14:textId="3C960FCF" w:rsidR="00537CC8" w:rsidRPr="0025250D" w:rsidRDefault="00537CC8" w:rsidP="00664E33">
            <w:pPr>
              <w:bidi/>
              <w:spacing w:after="160"/>
              <w:jc w:val="center"/>
              <w:rPr>
                <w:rtl/>
              </w:rPr>
            </w:pPr>
            <w:r w:rsidRPr="0025250D">
              <w:rPr>
                <w:rtl/>
              </w:rPr>
              <w:t>روه</w:t>
            </w:r>
            <w:r w:rsidRPr="0025250D">
              <w:rPr>
                <w:rFonts w:hint="cs"/>
                <w:rtl/>
              </w:rPr>
              <w:t>ی</w:t>
            </w:r>
            <w:r w:rsidRPr="0025250D">
              <w:rPr>
                <w:rFonts w:hint="eastAsia"/>
                <w:rtl/>
              </w:rPr>
              <w:t>ت</w:t>
            </w:r>
            <w:r w:rsidRPr="0025250D">
              <w:rPr>
                <w:rtl/>
              </w:rPr>
              <w:t xml:space="preserve"> تالوار</w:t>
            </w:r>
            <w:r w:rsidRPr="0025250D">
              <w:rPr>
                <w:vertAlign w:val="superscript"/>
                <w:rtl/>
              </w:rPr>
              <w:footnoteReference w:id="3181"/>
            </w:r>
            <w:r w:rsidRPr="0025250D">
              <w:rPr>
                <w:rFonts w:hint="cs"/>
                <w:rtl/>
              </w:rPr>
              <w:t>؛</w:t>
            </w:r>
            <w:r w:rsidRPr="0025250D">
              <w:rPr>
                <w:rtl/>
              </w:rPr>
              <w:t xml:space="preserve"> افق</w:t>
            </w:r>
            <w:r w:rsidRPr="0025250D">
              <w:rPr>
                <w:rFonts w:hint="cs"/>
                <w:rtl/>
              </w:rPr>
              <w:t xml:space="preserve"> پویی</w:t>
            </w:r>
            <w:r w:rsidRPr="0025250D">
              <w:rPr>
                <w:rtl/>
              </w:rPr>
              <w:t>، مطالعات روند، نقشه راه فناور</w:t>
            </w:r>
            <w:r w:rsidRPr="0025250D">
              <w:rPr>
                <w:rFonts w:hint="cs"/>
                <w:rtl/>
              </w:rPr>
              <w:t>ی</w:t>
            </w:r>
            <w:r w:rsidRPr="0025250D">
              <w:rPr>
                <w:rFonts w:hint="eastAsia"/>
                <w:rtl/>
              </w:rPr>
              <w:t>،</w:t>
            </w:r>
            <w:r w:rsidRPr="0025250D">
              <w:rPr>
                <w:rtl/>
              </w:rPr>
              <w:t xml:space="preserve"> </w:t>
            </w:r>
            <w:r w:rsidR="00B124DE" w:rsidRPr="0025250D">
              <w:rPr>
                <w:rtl/>
              </w:rPr>
              <w:t>برنامه‌ریزی</w:t>
            </w:r>
            <w:r w:rsidRPr="0025250D">
              <w:rPr>
                <w:rtl/>
              </w:rPr>
              <w:t xml:space="preserve"> </w:t>
            </w:r>
            <w:r w:rsidR="007A53FD" w:rsidRPr="0025250D">
              <w:rPr>
                <w:rtl/>
              </w:rPr>
              <w:t>فرانامه</w:t>
            </w:r>
            <w:r w:rsidRPr="0025250D">
              <w:rPr>
                <w:rFonts w:hint="eastAsia"/>
                <w:rtl/>
              </w:rPr>
              <w:t>،</w:t>
            </w:r>
            <w:r w:rsidRPr="0025250D">
              <w:rPr>
                <w:rtl/>
              </w:rPr>
              <w:t xml:space="preserve"> نقشه بردار</w:t>
            </w:r>
            <w:r w:rsidRPr="0025250D">
              <w:rPr>
                <w:rFonts w:hint="cs"/>
                <w:rtl/>
              </w:rPr>
              <w:t>ی</w:t>
            </w:r>
            <w:r w:rsidRPr="0025250D">
              <w:rPr>
                <w:rtl/>
              </w:rPr>
              <w:t xml:space="preserve"> آ</w:t>
            </w:r>
            <w:r w:rsidRPr="0025250D">
              <w:rPr>
                <w:rFonts w:hint="cs"/>
                <w:rtl/>
              </w:rPr>
              <w:t>ی</w:t>
            </w:r>
            <w:r w:rsidRPr="0025250D">
              <w:rPr>
                <w:rFonts w:hint="eastAsia"/>
                <w:rtl/>
              </w:rPr>
              <w:t>نده</w:t>
            </w:r>
          </w:p>
        </w:tc>
        <w:tc>
          <w:tcPr>
            <w:tcW w:w="1438" w:type="dxa"/>
            <w:vAlign w:val="center"/>
          </w:tcPr>
          <w:p w14:paraId="3FA610C6" w14:textId="77777777" w:rsidR="00537CC8" w:rsidRPr="0025250D" w:rsidRDefault="00537CC8" w:rsidP="00664E33">
            <w:pPr>
              <w:bidi/>
              <w:spacing w:after="160"/>
              <w:jc w:val="center"/>
              <w:rPr>
                <w:rtl/>
              </w:rPr>
            </w:pPr>
            <w:r w:rsidRPr="0025250D">
              <w:rPr>
                <w:rtl/>
              </w:rPr>
              <w:t>3 (لندن</w:t>
            </w:r>
            <w:r w:rsidRPr="0025250D">
              <w:rPr>
                <w:rFonts w:hint="cs"/>
                <w:rtl/>
              </w:rPr>
              <w:t>)</w:t>
            </w:r>
          </w:p>
        </w:tc>
      </w:tr>
      <w:tr w:rsidR="00537CC8" w:rsidRPr="0025250D" w14:paraId="3516928F" w14:textId="77777777" w:rsidTr="00664E33">
        <w:tc>
          <w:tcPr>
            <w:tcW w:w="2124" w:type="dxa"/>
            <w:vAlign w:val="center"/>
          </w:tcPr>
          <w:p w14:paraId="49EF765F" w14:textId="77777777" w:rsidR="00537CC8" w:rsidRPr="0025250D" w:rsidRDefault="007A207F" w:rsidP="00664E33">
            <w:pPr>
              <w:bidi/>
              <w:spacing w:after="160"/>
              <w:jc w:val="center"/>
              <w:rPr>
                <w:rtl/>
              </w:rPr>
            </w:pPr>
            <w:hyperlink r:id="rId490">
              <w:r w:rsidR="00537CC8" w:rsidRPr="0025250D">
                <w:rPr>
                  <w:rStyle w:val="Hyperlink"/>
                  <w:color w:val="auto"/>
                  <w:u w:val="none"/>
                </w:rPr>
                <w:t>FiveThirtyEight</w:t>
              </w:r>
            </w:hyperlink>
          </w:p>
        </w:tc>
        <w:tc>
          <w:tcPr>
            <w:tcW w:w="3798" w:type="dxa"/>
            <w:vAlign w:val="center"/>
          </w:tcPr>
          <w:p w14:paraId="029CF507" w14:textId="33E87CAC" w:rsidR="00537CC8" w:rsidRPr="0025250D" w:rsidRDefault="00537CC8" w:rsidP="00664E33">
            <w:pPr>
              <w:bidi/>
              <w:spacing w:after="160"/>
              <w:jc w:val="center"/>
              <w:rPr>
                <w:rtl/>
              </w:rPr>
            </w:pPr>
            <w:r w:rsidRPr="0025250D">
              <w:rPr>
                <w:rtl/>
              </w:rPr>
              <w:t>نات</w:t>
            </w:r>
            <w:r w:rsidRPr="0025250D">
              <w:rPr>
                <w:rFonts w:hint="cs"/>
                <w:rtl/>
              </w:rPr>
              <w:t>ی</w:t>
            </w:r>
            <w:r w:rsidRPr="0025250D">
              <w:rPr>
                <w:rtl/>
              </w:rPr>
              <w:t xml:space="preserve"> </w:t>
            </w:r>
            <w:r w:rsidRPr="0025250D">
              <w:rPr>
                <w:rFonts w:hint="cs"/>
                <w:rtl/>
              </w:rPr>
              <w:t>سیلور</w:t>
            </w:r>
            <w:r w:rsidRPr="0025250D">
              <w:rPr>
                <w:vertAlign w:val="superscript"/>
                <w:rtl/>
              </w:rPr>
              <w:footnoteReference w:id="3182"/>
            </w:r>
            <w:r w:rsidRPr="0025250D">
              <w:rPr>
                <w:rFonts w:hint="cs"/>
                <w:rtl/>
              </w:rPr>
              <w:t>؛</w:t>
            </w:r>
            <w:r w:rsidRPr="0025250D">
              <w:rPr>
                <w:rtl/>
              </w:rPr>
              <w:t xml:space="preserve"> تجز</w:t>
            </w:r>
            <w:r w:rsidRPr="0025250D">
              <w:rPr>
                <w:rFonts w:hint="cs"/>
                <w:rtl/>
              </w:rPr>
              <w:t>ی</w:t>
            </w:r>
            <w:r w:rsidRPr="0025250D">
              <w:rPr>
                <w:rFonts w:hint="eastAsia"/>
                <w:rtl/>
              </w:rPr>
              <w:t>ه</w:t>
            </w:r>
            <w:r w:rsidRPr="0025250D">
              <w:rPr>
                <w:rtl/>
              </w:rPr>
              <w:t xml:space="preserve"> و تحل</w:t>
            </w:r>
            <w:r w:rsidRPr="0025250D">
              <w:rPr>
                <w:rFonts w:hint="cs"/>
                <w:rtl/>
              </w:rPr>
              <w:t>ی</w:t>
            </w:r>
            <w:r w:rsidRPr="0025250D">
              <w:rPr>
                <w:rFonts w:hint="eastAsia"/>
                <w:rtl/>
              </w:rPr>
              <w:t>ل</w:t>
            </w:r>
            <w:r w:rsidRPr="0025250D">
              <w:rPr>
                <w:rtl/>
              </w:rPr>
              <w:t xml:space="preserve"> </w:t>
            </w:r>
            <w:r w:rsidR="00D92F6E" w:rsidRPr="0025250D">
              <w:rPr>
                <w:rtl/>
              </w:rPr>
              <w:t>پیش‌بین</w:t>
            </w:r>
            <w:r w:rsidRPr="0025250D">
              <w:rPr>
                <w:rFonts w:hint="cs"/>
                <w:rtl/>
              </w:rPr>
              <w:t>ی</w:t>
            </w:r>
            <w:r w:rsidRPr="0025250D">
              <w:rPr>
                <w:rtl/>
              </w:rPr>
              <w:t xml:space="preserve"> کننده (انتخابات، رو</w:t>
            </w:r>
            <w:r w:rsidRPr="0025250D">
              <w:rPr>
                <w:rFonts w:hint="cs"/>
                <w:rtl/>
              </w:rPr>
              <w:t>ی</w:t>
            </w:r>
            <w:r w:rsidRPr="0025250D">
              <w:rPr>
                <w:rFonts w:hint="eastAsia"/>
                <w:rtl/>
              </w:rPr>
              <w:t>دادها</w:t>
            </w:r>
            <w:r w:rsidRPr="0025250D">
              <w:rPr>
                <w:rtl/>
              </w:rPr>
              <w:t>)</w:t>
            </w:r>
          </w:p>
        </w:tc>
        <w:tc>
          <w:tcPr>
            <w:tcW w:w="1438" w:type="dxa"/>
            <w:vAlign w:val="center"/>
          </w:tcPr>
          <w:p w14:paraId="5A70D134" w14:textId="77777777" w:rsidR="00537CC8" w:rsidRPr="0025250D" w:rsidRDefault="00537CC8" w:rsidP="00664E33">
            <w:pPr>
              <w:bidi/>
              <w:spacing w:after="160"/>
              <w:jc w:val="center"/>
              <w:rPr>
                <w:rtl/>
              </w:rPr>
            </w:pPr>
            <w:r w:rsidRPr="0025250D">
              <w:rPr>
                <w:rtl/>
              </w:rPr>
              <w:t>1 (ن</w:t>
            </w:r>
            <w:r w:rsidRPr="0025250D">
              <w:rPr>
                <w:rFonts w:hint="cs"/>
                <w:rtl/>
              </w:rPr>
              <w:t>ی</w:t>
            </w:r>
            <w:r w:rsidRPr="0025250D">
              <w:rPr>
                <w:rFonts w:hint="eastAsia"/>
                <w:rtl/>
              </w:rPr>
              <w:t>و</w:t>
            </w:r>
            <w:r w:rsidRPr="0025250D">
              <w:rPr>
                <w:rFonts w:hint="cs"/>
                <w:rtl/>
              </w:rPr>
              <w:t>ی</w:t>
            </w:r>
            <w:r w:rsidRPr="0025250D">
              <w:rPr>
                <w:rFonts w:hint="eastAsia"/>
                <w:rtl/>
              </w:rPr>
              <w:t>ورک</w:t>
            </w:r>
            <w:r w:rsidRPr="0025250D">
              <w:rPr>
                <w:rFonts w:hint="cs"/>
                <w:rtl/>
              </w:rPr>
              <w:t>)</w:t>
            </w:r>
          </w:p>
        </w:tc>
      </w:tr>
      <w:tr w:rsidR="00537CC8" w:rsidRPr="0025250D" w14:paraId="66B0F4AC" w14:textId="77777777" w:rsidTr="00664E33">
        <w:tc>
          <w:tcPr>
            <w:tcW w:w="2124" w:type="dxa"/>
            <w:vAlign w:val="center"/>
          </w:tcPr>
          <w:p w14:paraId="3E013A30" w14:textId="77777777" w:rsidR="00537CC8" w:rsidRPr="0025250D" w:rsidRDefault="007A207F" w:rsidP="00664E33">
            <w:pPr>
              <w:bidi/>
              <w:spacing w:after="160"/>
              <w:jc w:val="center"/>
              <w:rPr>
                <w:rtl/>
              </w:rPr>
            </w:pPr>
            <w:hyperlink r:id="rId491">
              <w:r w:rsidR="00537CC8" w:rsidRPr="0025250D">
                <w:rPr>
                  <w:rStyle w:val="Hyperlink"/>
                  <w:color w:val="auto"/>
                  <w:u w:val="none"/>
                </w:rPr>
                <w:t>Foresight Alliance</w:t>
              </w:r>
            </w:hyperlink>
          </w:p>
        </w:tc>
        <w:tc>
          <w:tcPr>
            <w:tcW w:w="3798" w:type="dxa"/>
            <w:vAlign w:val="center"/>
          </w:tcPr>
          <w:p w14:paraId="50220CCB" w14:textId="012F1B6F" w:rsidR="00537CC8" w:rsidRPr="0025250D" w:rsidRDefault="00537CC8" w:rsidP="00664E33">
            <w:pPr>
              <w:bidi/>
              <w:spacing w:after="160"/>
              <w:jc w:val="center"/>
              <w:rPr>
                <w:rtl/>
              </w:rPr>
            </w:pPr>
            <w:r w:rsidRPr="0025250D">
              <w:rPr>
                <w:rtl/>
              </w:rPr>
              <w:t>جاش کالدر</w:t>
            </w:r>
            <w:r w:rsidRPr="0025250D">
              <w:rPr>
                <w:vertAlign w:val="superscript"/>
                <w:rtl/>
              </w:rPr>
              <w:footnoteReference w:id="3183"/>
            </w:r>
            <w:r w:rsidRPr="0025250D">
              <w:rPr>
                <w:rtl/>
              </w:rPr>
              <w:t>، روم</w:t>
            </w:r>
            <w:r w:rsidRPr="0025250D">
              <w:rPr>
                <w:rFonts w:hint="cs"/>
                <w:rtl/>
              </w:rPr>
              <w:t>ی</w:t>
            </w:r>
            <w:r w:rsidRPr="0025250D">
              <w:rPr>
                <w:rFonts w:hint="eastAsia"/>
                <w:rtl/>
              </w:rPr>
              <w:t>نا</w:t>
            </w:r>
            <w:r w:rsidRPr="0025250D">
              <w:rPr>
                <w:rtl/>
              </w:rPr>
              <w:t xml:space="preserve"> گوتسوا</w:t>
            </w:r>
            <w:r w:rsidRPr="0025250D">
              <w:rPr>
                <w:vertAlign w:val="superscript"/>
                <w:rtl/>
              </w:rPr>
              <w:footnoteReference w:id="3184"/>
            </w:r>
            <w:r w:rsidRPr="0025250D">
              <w:rPr>
                <w:rtl/>
              </w:rPr>
              <w:t>، کر</w:t>
            </w:r>
            <w:r w:rsidRPr="0025250D">
              <w:rPr>
                <w:rFonts w:hint="cs"/>
                <w:rtl/>
              </w:rPr>
              <w:t>ی</w:t>
            </w:r>
            <w:r w:rsidRPr="0025250D">
              <w:rPr>
                <w:rFonts w:hint="eastAsia"/>
                <w:rtl/>
              </w:rPr>
              <w:t>ستن</w:t>
            </w:r>
            <w:r w:rsidRPr="0025250D">
              <w:rPr>
                <w:rtl/>
              </w:rPr>
              <w:t xml:space="preserve"> ناوت</w:t>
            </w:r>
            <w:r w:rsidRPr="0025250D">
              <w:rPr>
                <w:vertAlign w:val="superscript"/>
                <w:rtl/>
              </w:rPr>
              <w:footnoteReference w:id="3185"/>
            </w:r>
            <w:r w:rsidRPr="0025250D">
              <w:rPr>
                <w:rtl/>
              </w:rPr>
              <w:t>؛ شناسا</w:t>
            </w:r>
            <w:r w:rsidRPr="0025250D">
              <w:rPr>
                <w:rFonts w:hint="cs"/>
                <w:rtl/>
              </w:rPr>
              <w:t>یی</w:t>
            </w:r>
            <w:r w:rsidRPr="0025250D">
              <w:rPr>
                <w:rtl/>
              </w:rPr>
              <w:t xml:space="preserve"> فرصت، هشدار اول</w:t>
            </w:r>
            <w:r w:rsidRPr="0025250D">
              <w:rPr>
                <w:rFonts w:hint="cs"/>
                <w:rtl/>
              </w:rPr>
              <w:t>ی</w:t>
            </w:r>
            <w:r w:rsidRPr="0025250D">
              <w:rPr>
                <w:rFonts w:hint="eastAsia"/>
                <w:rtl/>
              </w:rPr>
              <w:t>ه،</w:t>
            </w:r>
            <w:r w:rsidRPr="0025250D">
              <w:rPr>
                <w:rtl/>
              </w:rPr>
              <w:t xml:space="preserve"> نوآور</w:t>
            </w:r>
            <w:r w:rsidRPr="0025250D">
              <w:rPr>
                <w:rFonts w:hint="cs"/>
                <w:rtl/>
              </w:rPr>
              <w:t>ی</w:t>
            </w:r>
            <w:r w:rsidRPr="0025250D">
              <w:rPr>
                <w:rFonts w:hint="eastAsia"/>
                <w:rtl/>
              </w:rPr>
              <w:t>،</w:t>
            </w:r>
            <w:r w:rsidRPr="0025250D">
              <w:rPr>
                <w:rtl/>
              </w:rPr>
              <w:t xml:space="preserve"> مشاوره </w:t>
            </w:r>
            <w:r w:rsidR="00701E03" w:rsidRPr="0025250D">
              <w:rPr>
                <w:rtl/>
              </w:rPr>
              <w:t>راهبرد</w:t>
            </w:r>
          </w:p>
        </w:tc>
        <w:tc>
          <w:tcPr>
            <w:tcW w:w="1438" w:type="dxa"/>
            <w:vAlign w:val="center"/>
          </w:tcPr>
          <w:p w14:paraId="45519AEB" w14:textId="77777777" w:rsidR="00537CC8" w:rsidRPr="0025250D" w:rsidRDefault="00537CC8" w:rsidP="00664E33">
            <w:pPr>
              <w:bidi/>
              <w:spacing w:after="160"/>
              <w:jc w:val="center"/>
              <w:rPr>
                <w:rtl/>
              </w:rPr>
            </w:pPr>
            <w:r w:rsidRPr="0025250D">
              <w:rPr>
                <w:rtl/>
              </w:rPr>
              <w:t>1 (واشنگتن</w:t>
            </w:r>
            <w:r w:rsidRPr="0025250D">
              <w:rPr>
                <w:rFonts w:hint="cs"/>
                <w:rtl/>
              </w:rPr>
              <w:t>)</w:t>
            </w:r>
          </w:p>
        </w:tc>
      </w:tr>
      <w:tr w:rsidR="00537CC8" w:rsidRPr="0025250D" w14:paraId="3AFF7233" w14:textId="77777777" w:rsidTr="00664E33">
        <w:tc>
          <w:tcPr>
            <w:tcW w:w="2124" w:type="dxa"/>
            <w:vAlign w:val="center"/>
          </w:tcPr>
          <w:p w14:paraId="2DA75961" w14:textId="77777777" w:rsidR="00537CC8" w:rsidRPr="0025250D" w:rsidRDefault="007A207F" w:rsidP="00664E33">
            <w:pPr>
              <w:bidi/>
              <w:spacing w:after="160"/>
              <w:jc w:val="center"/>
              <w:rPr>
                <w:rtl/>
              </w:rPr>
            </w:pPr>
            <w:hyperlink r:id="rId492">
              <w:r w:rsidR="00537CC8" w:rsidRPr="0025250D">
                <w:rPr>
                  <w:rStyle w:val="Hyperlink"/>
                  <w:color w:val="auto"/>
                  <w:u w:val="none"/>
                </w:rPr>
                <w:t>Foresight Canada</w:t>
              </w:r>
            </w:hyperlink>
          </w:p>
        </w:tc>
        <w:tc>
          <w:tcPr>
            <w:tcW w:w="3798" w:type="dxa"/>
            <w:vAlign w:val="center"/>
          </w:tcPr>
          <w:p w14:paraId="081CB17D" w14:textId="1B747D60" w:rsidR="00537CC8" w:rsidRPr="0025250D" w:rsidRDefault="00537CC8" w:rsidP="00664E33">
            <w:pPr>
              <w:bidi/>
              <w:spacing w:after="160"/>
              <w:jc w:val="center"/>
              <w:rPr>
                <w:rtl/>
              </w:rPr>
            </w:pPr>
            <w:r w:rsidRPr="0025250D">
              <w:rPr>
                <w:rtl/>
              </w:rPr>
              <w:t>روبن نلسون</w:t>
            </w:r>
            <w:r w:rsidRPr="0025250D">
              <w:rPr>
                <w:vertAlign w:val="superscript"/>
                <w:rtl/>
              </w:rPr>
              <w:footnoteReference w:id="3186"/>
            </w:r>
            <w:r w:rsidRPr="0025250D">
              <w:rPr>
                <w:rtl/>
              </w:rPr>
              <w:t>؛ آینده‌</w:t>
            </w:r>
            <w:r w:rsidR="00664E33" w:rsidRPr="0025250D">
              <w:rPr>
                <w:rtl/>
              </w:rPr>
              <w:t>نگار</w:t>
            </w:r>
            <w:r w:rsidRPr="0025250D">
              <w:rPr>
                <w:rtl/>
              </w:rPr>
              <w:t>ی برا</w:t>
            </w:r>
            <w:r w:rsidRPr="0025250D">
              <w:rPr>
                <w:rFonts w:hint="cs"/>
                <w:rtl/>
              </w:rPr>
              <w:t>ی</w:t>
            </w:r>
            <w:r w:rsidRPr="0025250D">
              <w:rPr>
                <w:rtl/>
              </w:rPr>
              <w:t xml:space="preserve"> اقتصاد و جامعه کانادا</w:t>
            </w:r>
          </w:p>
        </w:tc>
        <w:tc>
          <w:tcPr>
            <w:tcW w:w="1438" w:type="dxa"/>
            <w:vAlign w:val="center"/>
          </w:tcPr>
          <w:p w14:paraId="4FD1B451" w14:textId="77777777" w:rsidR="00537CC8" w:rsidRPr="0025250D" w:rsidRDefault="00537CC8" w:rsidP="00664E33">
            <w:pPr>
              <w:bidi/>
              <w:spacing w:after="160"/>
              <w:jc w:val="center"/>
              <w:rPr>
                <w:rtl/>
              </w:rPr>
            </w:pPr>
            <w:r w:rsidRPr="0025250D">
              <w:rPr>
                <w:rtl/>
              </w:rPr>
              <w:t>1 (آلبرتا، کانادا)</w:t>
            </w:r>
          </w:p>
        </w:tc>
      </w:tr>
      <w:tr w:rsidR="00537CC8" w:rsidRPr="0025250D" w14:paraId="0F76148E" w14:textId="77777777" w:rsidTr="00664E33">
        <w:tc>
          <w:tcPr>
            <w:tcW w:w="2124" w:type="dxa"/>
            <w:vAlign w:val="center"/>
          </w:tcPr>
          <w:p w14:paraId="74CCE225" w14:textId="77777777" w:rsidR="00537CC8" w:rsidRPr="0025250D" w:rsidRDefault="007A207F" w:rsidP="00664E33">
            <w:pPr>
              <w:bidi/>
              <w:spacing w:after="160"/>
              <w:jc w:val="center"/>
              <w:rPr>
                <w:rtl/>
              </w:rPr>
            </w:pPr>
            <w:hyperlink r:id="rId493">
              <w:r w:rsidR="00537CC8" w:rsidRPr="0025250D">
                <w:rPr>
                  <w:rStyle w:val="Hyperlink"/>
                  <w:color w:val="auto"/>
                  <w:u w:val="none"/>
                </w:rPr>
                <w:t>Foresight for Development</w:t>
              </w:r>
            </w:hyperlink>
          </w:p>
        </w:tc>
        <w:tc>
          <w:tcPr>
            <w:tcW w:w="3798" w:type="dxa"/>
            <w:vAlign w:val="center"/>
          </w:tcPr>
          <w:p w14:paraId="730C9A8D" w14:textId="4F585ECD" w:rsidR="00537CC8" w:rsidRPr="0025250D" w:rsidRDefault="00537CC8" w:rsidP="00664E33">
            <w:pPr>
              <w:bidi/>
              <w:spacing w:after="160"/>
              <w:jc w:val="center"/>
              <w:rPr>
                <w:rtl/>
              </w:rPr>
            </w:pPr>
            <w:r w:rsidRPr="0025250D">
              <w:rPr>
                <w:rtl/>
              </w:rPr>
              <w:t>پلت فرم راکفلر برا</w:t>
            </w:r>
            <w:r w:rsidRPr="0025250D">
              <w:rPr>
                <w:rFonts w:hint="cs"/>
                <w:rtl/>
              </w:rPr>
              <w:t>ی</w:t>
            </w:r>
            <w:r w:rsidRPr="0025250D">
              <w:rPr>
                <w:rtl/>
              </w:rPr>
              <w:t xml:space="preserve"> آینده‌</w:t>
            </w:r>
            <w:r w:rsidR="00664E33" w:rsidRPr="0025250D">
              <w:rPr>
                <w:rtl/>
              </w:rPr>
              <w:t>نگار</w:t>
            </w:r>
            <w:r w:rsidRPr="0025250D">
              <w:rPr>
                <w:rtl/>
              </w:rPr>
              <w:t>ی آفر</w:t>
            </w:r>
            <w:r w:rsidRPr="0025250D">
              <w:rPr>
                <w:rFonts w:hint="cs"/>
                <w:rtl/>
              </w:rPr>
              <w:t>ی</w:t>
            </w:r>
            <w:r w:rsidRPr="0025250D">
              <w:rPr>
                <w:rFonts w:hint="eastAsia"/>
                <w:rtl/>
              </w:rPr>
              <w:t>قا</w:t>
            </w:r>
            <w:r w:rsidRPr="0025250D">
              <w:rPr>
                <w:rFonts w:hint="cs"/>
                <w:rtl/>
              </w:rPr>
              <w:t>یی</w:t>
            </w:r>
            <w:r w:rsidRPr="0025250D">
              <w:rPr>
                <w:rtl/>
              </w:rPr>
              <w:t>.</w:t>
            </w:r>
          </w:p>
        </w:tc>
        <w:tc>
          <w:tcPr>
            <w:tcW w:w="1438" w:type="dxa"/>
            <w:vAlign w:val="center"/>
          </w:tcPr>
          <w:p w14:paraId="45920FD4" w14:textId="77777777" w:rsidR="00537CC8" w:rsidRPr="0025250D" w:rsidRDefault="00537CC8" w:rsidP="00664E33">
            <w:pPr>
              <w:bidi/>
              <w:spacing w:after="160"/>
              <w:jc w:val="center"/>
              <w:rPr>
                <w:rtl/>
              </w:rPr>
            </w:pPr>
            <w:r w:rsidRPr="0025250D">
              <w:rPr>
                <w:rtl/>
              </w:rPr>
              <w:t>5 (پرتور</w:t>
            </w:r>
            <w:r w:rsidRPr="0025250D">
              <w:rPr>
                <w:rFonts w:hint="cs"/>
                <w:rtl/>
              </w:rPr>
              <w:t>ی</w:t>
            </w:r>
            <w:r w:rsidRPr="0025250D">
              <w:rPr>
                <w:rFonts w:hint="eastAsia"/>
                <w:rtl/>
              </w:rPr>
              <w:t>ا،</w:t>
            </w:r>
            <w:r w:rsidRPr="0025250D">
              <w:rPr>
                <w:rtl/>
              </w:rPr>
              <w:t xml:space="preserve"> آفر</w:t>
            </w:r>
            <w:r w:rsidRPr="0025250D">
              <w:rPr>
                <w:rFonts w:hint="cs"/>
                <w:rtl/>
              </w:rPr>
              <w:t>ی</w:t>
            </w:r>
            <w:r w:rsidRPr="0025250D">
              <w:rPr>
                <w:rFonts w:hint="eastAsia"/>
                <w:rtl/>
              </w:rPr>
              <w:t>قا</w:t>
            </w:r>
            <w:r w:rsidRPr="0025250D">
              <w:rPr>
                <w:rFonts w:hint="cs"/>
                <w:rtl/>
              </w:rPr>
              <w:t>ی</w:t>
            </w:r>
            <w:r w:rsidRPr="0025250D">
              <w:rPr>
                <w:rtl/>
              </w:rPr>
              <w:t xml:space="preserve"> جنوب</w:t>
            </w:r>
            <w:r w:rsidRPr="0025250D">
              <w:rPr>
                <w:rFonts w:hint="cs"/>
                <w:rtl/>
              </w:rPr>
              <w:t>ی</w:t>
            </w:r>
            <w:r w:rsidRPr="0025250D">
              <w:rPr>
                <w:rtl/>
              </w:rPr>
              <w:t>)</w:t>
            </w:r>
          </w:p>
        </w:tc>
      </w:tr>
      <w:tr w:rsidR="00537CC8" w:rsidRPr="0025250D" w14:paraId="606648C6" w14:textId="77777777" w:rsidTr="00664E33">
        <w:tc>
          <w:tcPr>
            <w:tcW w:w="2124" w:type="dxa"/>
            <w:vAlign w:val="center"/>
          </w:tcPr>
          <w:p w14:paraId="3FFF4B93" w14:textId="77777777" w:rsidR="00537CC8" w:rsidRPr="0025250D" w:rsidRDefault="007A207F" w:rsidP="00664E33">
            <w:pPr>
              <w:bidi/>
              <w:spacing w:after="160"/>
              <w:jc w:val="center"/>
              <w:rPr>
                <w:rtl/>
              </w:rPr>
            </w:pPr>
            <w:hyperlink r:id="rId494">
              <w:r w:rsidR="00537CC8" w:rsidRPr="0025250D">
                <w:rPr>
                  <w:rStyle w:val="Hyperlink"/>
                  <w:color w:val="auto"/>
                  <w:u w:val="none"/>
                </w:rPr>
                <w:t>Foresight</w:t>
              </w:r>
            </w:hyperlink>
            <w:r w:rsidR="00537CC8" w:rsidRPr="0025250D">
              <w:t xml:space="preserve"> </w:t>
            </w:r>
            <w:hyperlink r:id="rId495">
              <w:r w:rsidR="00537CC8" w:rsidRPr="0025250D">
                <w:rPr>
                  <w:rStyle w:val="Hyperlink"/>
                  <w:color w:val="auto"/>
                  <w:u w:val="none"/>
                </w:rPr>
                <w:t>International</w:t>
              </w:r>
            </w:hyperlink>
          </w:p>
        </w:tc>
        <w:tc>
          <w:tcPr>
            <w:tcW w:w="3798" w:type="dxa"/>
            <w:vAlign w:val="center"/>
          </w:tcPr>
          <w:p w14:paraId="400324E3" w14:textId="1D4C87A4" w:rsidR="00537CC8" w:rsidRPr="0025250D" w:rsidRDefault="00537CC8" w:rsidP="00664E33">
            <w:pPr>
              <w:bidi/>
              <w:spacing w:after="160"/>
              <w:jc w:val="center"/>
              <w:rPr>
                <w:rtl/>
              </w:rPr>
            </w:pPr>
            <w:r w:rsidRPr="0025250D">
              <w:rPr>
                <w:rtl/>
              </w:rPr>
              <w:t>ر</w:t>
            </w:r>
            <w:r w:rsidRPr="0025250D">
              <w:rPr>
                <w:rFonts w:hint="cs"/>
                <w:rtl/>
              </w:rPr>
              <w:t>ی</w:t>
            </w:r>
            <w:r w:rsidRPr="0025250D">
              <w:rPr>
                <w:rFonts w:hint="eastAsia"/>
                <w:rtl/>
              </w:rPr>
              <w:t>چارد</w:t>
            </w:r>
            <w:r w:rsidRPr="0025250D">
              <w:rPr>
                <w:rtl/>
              </w:rPr>
              <w:t xml:space="preserve"> اسلاتر</w:t>
            </w:r>
            <w:r w:rsidRPr="0025250D">
              <w:rPr>
                <w:vertAlign w:val="superscript"/>
                <w:rtl/>
              </w:rPr>
              <w:footnoteReference w:id="3187"/>
            </w:r>
            <w:r w:rsidRPr="0025250D">
              <w:rPr>
                <w:rFonts w:hint="cs"/>
                <w:rtl/>
              </w:rPr>
              <w:t>؛</w:t>
            </w:r>
            <w:r w:rsidRPr="0025250D">
              <w:rPr>
                <w:rtl/>
              </w:rPr>
              <w:t xml:space="preserve"> آینده‌</w:t>
            </w:r>
            <w:r w:rsidR="00664E33" w:rsidRPr="0025250D">
              <w:rPr>
                <w:rtl/>
              </w:rPr>
              <w:t>نگار</w:t>
            </w:r>
            <w:r w:rsidRPr="0025250D">
              <w:rPr>
                <w:rtl/>
              </w:rPr>
              <w:t xml:space="preserve">ی </w:t>
            </w:r>
            <w:r w:rsidRPr="0025250D">
              <w:rPr>
                <w:rFonts w:hint="cs"/>
                <w:rtl/>
              </w:rPr>
              <w:t>ی</w:t>
            </w:r>
            <w:r w:rsidRPr="0025250D">
              <w:rPr>
                <w:rFonts w:hint="eastAsia"/>
                <w:rtl/>
              </w:rPr>
              <w:t>کپارچه</w:t>
            </w:r>
            <w:r w:rsidRPr="0025250D">
              <w:rPr>
                <w:rtl/>
              </w:rPr>
              <w:t xml:space="preserve"> و پا</w:t>
            </w:r>
            <w:r w:rsidRPr="0025250D">
              <w:rPr>
                <w:rFonts w:hint="cs"/>
                <w:rtl/>
              </w:rPr>
              <w:t>ی</w:t>
            </w:r>
            <w:r w:rsidRPr="0025250D">
              <w:rPr>
                <w:rFonts w:hint="eastAsia"/>
                <w:rtl/>
              </w:rPr>
              <w:t>دار</w:t>
            </w:r>
            <w:r w:rsidRPr="0025250D">
              <w:rPr>
                <w:rtl/>
              </w:rPr>
              <w:t>.</w:t>
            </w:r>
          </w:p>
        </w:tc>
        <w:tc>
          <w:tcPr>
            <w:tcW w:w="1438" w:type="dxa"/>
            <w:vAlign w:val="center"/>
          </w:tcPr>
          <w:p w14:paraId="53AAF42D" w14:textId="77777777" w:rsidR="00537CC8" w:rsidRPr="0025250D" w:rsidRDefault="00537CC8" w:rsidP="00664E33">
            <w:pPr>
              <w:bidi/>
              <w:spacing w:after="160"/>
              <w:jc w:val="center"/>
              <w:rPr>
                <w:rtl/>
              </w:rPr>
            </w:pPr>
            <w:r w:rsidRPr="0025250D">
              <w:rPr>
                <w:rtl/>
              </w:rPr>
              <w:t>10 (</w:t>
            </w:r>
            <w:r w:rsidRPr="0025250D">
              <w:rPr>
                <w:rFonts w:hint="cs"/>
                <w:rtl/>
              </w:rPr>
              <w:t>ایندوروپولی</w:t>
            </w:r>
            <w:r w:rsidRPr="0025250D">
              <w:rPr>
                <w:rtl/>
              </w:rPr>
              <w:t>، استرال</w:t>
            </w:r>
            <w:r w:rsidRPr="0025250D">
              <w:rPr>
                <w:rFonts w:hint="cs"/>
                <w:rtl/>
              </w:rPr>
              <w:t>ی</w:t>
            </w:r>
            <w:r w:rsidRPr="0025250D">
              <w:rPr>
                <w:rFonts w:hint="eastAsia"/>
                <w:rtl/>
              </w:rPr>
              <w:t>ا</w:t>
            </w:r>
            <w:r w:rsidRPr="0025250D">
              <w:rPr>
                <w:rtl/>
              </w:rPr>
              <w:t>)</w:t>
            </w:r>
          </w:p>
        </w:tc>
      </w:tr>
      <w:tr w:rsidR="00537CC8" w:rsidRPr="0025250D" w14:paraId="6D9017E0" w14:textId="77777777" w:rsidTr="00664E33">
        <w:tc>
          <w:tcPr>
            <w:tcW w:w="2124" w:type="dxa"/>
            <w:vAlign w:val="center"/>
          </w:tcPr>
          <w:p w14:paraId="4F02B962" w14:textId="77777777" w:rsidR="00537CC8" w:rsidRPr="0025250D" w:rsidRDefault="007A207F" w:rsidP="00664E33">
            <w:pPr>
              <w:bidi/>
              <w:spacing w:after="160"/>
              <w:jc w:val="center"/>
              <w:rPr>
                <w:rtl/>
              </w:rPr>
            </w:pPr>
            <w:hyperlink r:id="rId496">
              <w:r w:rsidR="00537CC8" w:rsidRPr="0025250D">
                <w:rPr>
                  <w:rStyle w:val="Hyperlink"/>
                  <w:color w:val="auto"/>
                  <w:u w:val="none"/>
                </w:rPr>
                <w:t>Foresight Institute</w:t>
              </w:r>
            </w:hyperlink>
          </w:p>
        </w:tc>
        <w:tc>
          <w:tcPr>
            <w:tcW w:w="3798" w:type="dxa"/>
            <w:vAlign w:val="center"/>
          </w:tcPr>
          <w:p w14:paraId="368EBC32" w14:textId="77777777" w:rsidR="00537CC8" w:rsidRPr="0025250D" w:rsidRDefault="00537CC8" w:rsidP="00664E33">
            <w:pPr>
              <w:bidi/>
              <w:spacing w:after="160"/>
              <w:jc w:val="center"/>
              <w:rPr>
                <w:rtl/>
              </w:rPr>
            </w:pPr>
            <w:r w:rsidRPr="0025250D">
              <w:rPr>
                <w:rtl/>
              </w:rPr>
              <w:t>کر</w:t>
            </w:r>
            <w:r w:rsidRPr="0025250D">
              <w:rPr>
                <w:rFonts w:hint="cs"/>
                <w:rtl/>
              </w:rPr>
              <w:t>ی</w:t>
            </w:r>
            <w:r w:rsidRPr="0025250D">
              <w:rPr>
                <w:rFonts w:hint="eastAsia"/>
                <w:rtl/>
              </w:rPr>
              <w:t>ست</w:t>
            </w:r>
            <w:r w:rsidRPr="0025250D">
              <w:rPr>
                <w:rFonts w:hint="cs"/>
                <w:rtl/>
              </w:rPr>
              <w:t>ی</w:t>
            </w:r>
            <w:r w:rsidRPr="0025250D">
              <w:rPr>
                <w:rFonts w:hint="eastAsia"/>
                <w:rtl/>
              </w:rPr>
              <w:t>ن</w:t>
            </w:r>
            <w:r w:rsidRPr="0025250D">
              <w:rPr>
                <w:rtl/>
              </w:rPr>
              <w:t xml:space="preserve"> پترسون</w:t>
            </w:r>
            <w:r w:rsidRPr="0025250D">
              <w:rPr>
                <w:vertAlign w:val="superscript"/>
                <w:rtl/>
              </w:rPr>
              <w:footnoteReference w:id="3188"/>
            </w:r>
            <w:r w:rsidRPr="0025250D">
              <w:rPr>
                <w:rtl/>
              </w:rPr>
              <w:t>؛ با تمرکز بر فناور</w:t>
            </w:r>
            <w:r w:rsidRPr="0025250D">
              <w:rPr>
                <w:rFonts w:hint="cs"/>
                <w:rtl/>
              </w:rPr>
              <w:t>ی</w:t>
            </w:r>
            <w:r w:rsidRPr="0025250D">
              <w:rPr>
                <w:rtl/>
              </w:rPr>
              <w:t xml:space="preserve"> نانو، </w:t>
            </w:r>
            <w:r w:rsidRPr="0025250D">
              <w:rPr>
                <w:rFonts w:hint="cs"/>
                <w:rtl/>
              </w:rPr>
              <w:t>اندیشکده</w:t>
            </w:r>
          </w:p>
        </w:tc>
        <w:tc>
          <w:tcPr>
            <w:tcW w:w="1438" w:type="dxa"/>
            <w:vAlign w:val="center"/>
          </w:tcPr>
          <w:p w14:paraId="1CD68A9B" w14:textId="77777777" w:rsidR="00537CC8" w:rsidRPr="0025250D" w:rsidRDefault="00537CC8" w:rsidP="00664E33">
            <w:pPr>
              <w:bidi/>
              <w:spacing w:after="160"/>
              <w:jc w:val="center"/>
              <w:rPr>
                <w:rtl/>
              </w:rPr>
            </w:pPr>
            <w:r w:rsidRPr="0025250D">
              <w:rPr>
                <w:rtl/>
              </w:rPr>
              <w:t>1 (پالو آلتو</w:t>
            </w:r>
            <w:r w:rsidRPr="0025250D">
              <w:rPr>
                <w:rFonts w:hint="cs"/>
                <w:rtl/>
              </w:rPr>
              <w:t>)</w:t>
            </w:r>
          </w:p>
        </w:tc>
      </w:tr>
      <w:tr w:rsidR="00537CC8" w:rsidRPr="0025250D" w14:paraId="6752C093" w14:textId="77777777" w:rsidTr="00664E33">
        <w:tc>
          <w:tcPr>
            <w:tcW w:w="2124" w:type="dxa"/>
            <w:vAlign w:val="center"/>
          </w:tcPr>
          <w:p w14:paraId="4BF0D5B9" w14:textId="77777777" w:rsidR="00537CC8" w:rsidRPr="0025250D" w:rsidRDefault="007A207F" w:rsidP="00664E33">
            <w:pPr>
              <w:bidi/>
              <w:spacing w:after="160"/>
              <w:jc w:val="center"/>
              <w:rPr>
                <w:rtl/>
              </w:rPr>
            </w:pPr>
            <w:hyperlink r:id="rId497">
              <w:r w:rsidR="00537CC8" w:rsidRPr="0025250D">
                <w:rPr>
                  <w:rStyle w:val="Hyperlink"/>
                  <w:color w:val="auto"/>
                  <w:u w:val="none"/>
                </w:rPr>
                <w:t>Foresight University</w:t>
              </w:r>
            </w:hyperlink>
          </w:p>
        </w:tc>
        <w:tc>
          <w:tcPr>
            <w:tcW w:w="3798" w:type="dxa"/>
            <w:vAlign w:val="center"/>
          </w:tcPr>
          <w:p w14:paraId="71440307" w14:textId="3E2623BE" w:rsidR="00537CC8" w:rsidRPr="0025250D" w:rsidRDefault="00537CC8" w:rsidP="00664E33">
            <w:pPr>
              <w:bidi/>
              <w:spacing w:after="160"/>
              <w:jc w:val="center"/>
              <w:rPr>
                <w:rtl/>
              </w:rPr>
            </w:pPr>
            <w:r w:rsidRPr="0025250D">
              <w:rPr>
                <w:rtl/>
              </w:rPr>
              <w:t>جان اسمارت</w:t>
            </w:r>
            <w:r w:rsidRPr="0025250D">
              <w:rPr>
                <w:rFonts w:hint="cs"/>
                <w:rtl/>
              </w:rPr>
              <w:t>؛</w:t>
            </w:r>
            <w:r w:rsidRPr="0025250D">
              <w:rPr>
                <w:rtl/>
              </w:rPr>
              <w:t xml:space="preserve"> رسانه‌های آینده‌</w:t>
            </w:r>
            <w:r w:rsidR="00664E33" w:rsidRPr="0025250D">
              <w:rPr>
                <w:rtl/>
              </w:rPr>
              <w:t>نگار</w:t>
            </w:r>
            <w:r w:rsidRPr="0025250D">
              <w:rPr>
                <w:rtl/>
              </w:rPr>
              <w:t>ی</w:t>
            </w:r>
            <w:r w:rsidRPr="0025250D">
              <w:rPr>
                <w:rFonts w:hint="eastAsia"/>
                <w:rtl/>
              </w:rPr>
              <w:t>،</w:t>
            </w:r>
            <w:r w:rsidRPr="0025250D">
              <w:rPr>
                <w:rtl/>
              </w:rPr>
              <w:t xml:space="preserve"> آموزش، پژوهش، کنفرانس‌ها و نشست ها.</w:t>
            </w:r>
          </w:p>
        </w:tc>
        <w:tc>
          <w:tcPr>
            <w:tcW w:w="1438" w:type="dxa"/>
            <w:vAlign w:val="center"/>
          </w:tcPr>
          <w:p w14:paraId="5935282A" w14:textId="77777777" w:rsidR="00537CC8" w:rsidRPr="0025250D" w:rsidRDefault="00537CC8" w:rsidP="00664E33">
            <w:pPr>
              <w:bidi/>
              <w:spacing w:after="160"/>
              <w:jc w:val="center"/>
              <w:rPr>
                <w:rtl/>
              </w:rPr>
            </w:pPr>
            <w:r w:rsidRPr="0025250D">
              <w:rPr>
                <w:rFonts w:hint="cs"/>
                <w:rtl/>
              </w:rPr>
              <w:t xml:space="preserve">1 (ان آربور، </w:t>
            </w:r>
            <w:r w:rsidRPr="0025250D">
              <w:t>MI</w:t>
            </w:r>
            <w:r w:rsidRPr="0025250D">
              <w:rPr>
                <w:rFonts w:hint="cs"/>
                <w:rtl/>
              </w:rPr>
              <w:t xml:space="preserve"> و سن خوزه)</w:t>
            </w:r>
          </w:p>
        </w:tc>
      </w:tr>
      <w:tr w:rsidR="00537CC8" w:rsidRPr="0025250D" w14:paraId="01764AEC" w14:textId="77777777" w:rsidTr="00664E33">
        <w:tc>
          <w:tcPr>
            <w:tcW w:w="2124" w:type="dxa"/>
            <w:vAlign w:val="center"/>
          </w:tcPr>
          <w:p w14:paraId="6CB2C820" w14:textId="77777777" w:rsidR="00537CC8" w:rsidRPr="0025250D" w:rsidRDefault="007A207F" w:rsidP="00664E33">
            <w:pPr>
              <w:bidi/>
              <w:spacing w:after="160"/>
              <w:jc w:val="center"/>
              <w:rPr>
                <w:rtl/>
              </w:rPr>
            </w:pPr>
            <w:hyperlink r:id="rId498">
              <w:r w:rsidR="00537CC8" w:rsidRPr="0025250D">
                <w:rPr>
                  <w:rStyle w:val="Hyperlink"/>
                  <w:color w:val="auto"/>
                  <w:u w:val="none"/>
                </w:rPr>
                <w:t>Fdn for Peer to Peer Alternatives</w:t>
              </w:r>
            </w:hyperlink>
          </w:p>
        </w:tc>
        <w:tc>
          <w:tcPr>
            <w:tcW w:w="3798" w:type="dxa"/>
            <w:vAlign w:val="center"/>
          </w:tcPr>
          <w:p w14:paraId="21B47614" w14:textId="6451C3EC" w:rsidR="00537CC8" w:rsidRPr="0025250D" w:rsidRDefault="00537CC8" w:rsidP="00664E33">
            <w:pPr>
              <w:bidi/>
              <w:spacing w:after="160"/>
              <w:jc w:val="center"/>
              <w:rPr>
                <w:rtl/>
              </w:rPr>
            </w:pPr>
            <w:r w:rsidRPr="0025250D">
              <w:rPr>
                <w:rtl/>
              </w:rPr>
              <w:t>ما</w:t>
            </w:r>
            <w:r w:rsidRPr="0025250D">
              <w:rPr>
                <w:rFonts w:hint="cs"/>
                <w:rtl/>
              </w:rPr>
              <w:t>ی</w:t>
            </w:r>
            <w:r w:rsidRPr="0025250D">
              <w:rPr>
                <w:rFonts w:hint="eastAsia"/>
                <w:rtl/>
              </w:rPr>
              <w:t>کل</w:t>
            </w:r>
            <w:r w:rsidRPr="0025250D">
              <w:rPr>
                <w:rtl/>
              </w:rPr>
              <w:t xml:space="preserve"> باوونز</w:t>
            </w:r>
            <w:r w:rsidRPr="0025250D">
              <w:rPr>
                <w:vertAlign w:val="superscript"/>
                <w:rtl/>
              </w:rPr>
              <w:footnoteReference w:id="3189"/>
            </w:r>
            <w:r w:rsidRPr="0025250D">
              <w:rPr>
                <w:rFonts w:hint="cs"/>
                <w:rtl/>
              </w:rPr>
              <w:t>؛</w:t>
            </w:r>
            <w:r w:rsidRPr="0025250D">
              <w:rPr>
                <w:rtl/>
              </w:rPr>
              <w:t xml:space="preserve"> آینده‌</w:t>
            </w:r>
            <w:r w:rsidR="00664E33" w:rsidRPr="0025250D">
              <w:rPr>
                <w:rtl/>
              </w:rPr>
              <w:t>نگار</w:t>
            </w:r>
            <w:r w:rsidRPr="0025250D">
              <w:rPr>
                <w:rtl/>
              </w:rPr>
              <w:t>ی پ</w:t>
            </w:r>
            <w:r w:rsidRPr="0025250D">
              <w:rPr>
                <w:rFonts w:hint="cs"/>
                <w:rtl/>
              </w:rPr>
              <w:t>ی</w:t>
            </w:r>
            <w:r w:rsidRPr="0025250D">
              <w:rPr>
                <w:rFonts w:hint="eastAsia"/>
                <w:rtl/>
              </w:rPr>
              <w:t>رامون</w:t>
            </w:r>
            <w:r w:rsidRPr="0025250D">
              <w:rPr>
                <w:rtl/>
              </w:rPr>
              <w:t xml:space="preserve"> اقتصاد </w:t>
            </w:r>
            <w:r w:rsidRPr="0025250D">
              <w:t>P2P</w:t>
            </w:r>
            <w:r w:rsidRPr="0025250D">
              <w:rPr>
                <w:rFonts w:hint="cs"/>
                <w:rtl/>
              </w:rPr>
              <w:t>/</w:t>
            </w:r>
            <w:r w:rsidR="00274907" w:rsidRPr="0025250D">
              <w:rPr>
                <w:rFonts w:hint="cs"/>
                <w:rtl/>
              </w:rPr>
              <w:t>به‌اشتراک‌گذار</w:t>
            </w:r>
            <w:r w:rsidRPr="0025250D">
              <w:rPr>
                <w:rFonts w:hint="cs"/>
                <w:rtl/>
              </w:rPr>
              <w:t>ی</w:t>
            </w:r>
            <w:r w:rsidRPr="0025250D">
              <w:rPr>
                <w:rtl/>
              </w:rPr>
              <w:t>.</w:t>
            </w:r>
          </w:p>
        </w:tc>
        <w:tc>
          <w:tcPr>
            <w:tcW w:w="1438" w:type="dxa"/>
            <w:vAlign w:val="center"/>
          </w:tcPr>
          <w:p w14:paraId="232299E2" w14:textId="77777777" w:rsidR="00537CC8" w:rsidRPr="0025250D" w:rsidRDefault="00537CC8" w:rsidP="00664E33">
            <w:pPr>
              <w:bidi/>
              <w:spacing w:after="160"/>
              <w:jc w:val="center"/>
              <w:rPr>
                <w:rtl/>
              </w:rPr>
            </w:pPr>
            <w:r w:rsidRPr="0025250D">
              <w:rPr>
                <w:rtl/>
              </w:rPr>
              <w:t>10 (چ</w:t>
            </w:r>
            <w:r w:rsidRPr="0025250D">
              <w:rPr>
                <w:rFonts w:hint="cs"/>
                <w:rtl/>
              </w:rPr>
              <w:t>ی</w:t>
            </w:r>
            <w:r w:rsidRPr="0025250D">
              <w:rPr>
                <w:rFonts w:hint="eastAsia"/>
                <w:rtl/>
              </w:rPr>
              <w:t>انگ</w:t>
            </w:r>
            <w:r w:rsidRPr="0025250D">
              <w:rPr>
                <w:rtl/>
              </w:rPr>
              <w:t xml:space="preserve"> ما</w:t>
            </w:r>
            <w:r w:rsidRPr="0025250D">
              <w:rPr>
                <w:rFonts w:hint="cs"/>
                <w:rtl/>
              </w:rPr>
              <w:t>ی</w:t>
            </w:r>
            <w:r w:rsidRPr="0025250D">
              <w:rPr>
                <w:rFonts w:hint="eastAsia"/>
                <w:rtl/>
              </w:rPr>
              <w:t>،</w:t>
            </w:r>
            <w:r w:rsidRPr="0025250D">
              <w:rPr>
                <w:rtl/>
              </w:rPr>
              <w:t xml:space="preserve"> تا</w:t>
            </w:r>
            <w:r w:rsidRPr="0025250D">
              <w:rPr>
                <w:rFonts w:hint="cs"/>
                <w:rtl/>
              </w:rPr>
              <w:t>ی</w:t>
            </w:r>
            <w:r w:rsidRPr="0025250D">
              <w:rPr>
                <w:rFonts w:hint="eastAsia"/>
                <w:rtl/>
              </w:rPr>
              <w:t>لند</w:t>
            </w:r>
            <w:r w:rsidRPr="0025250D">
              <w:rPr>
                <w:rtl/>
              </w:rPr>
              <w:t>)</w:t>
            </w:r>
          </w:p>
        </w:tc>
      </w:tr>
      <w:tr w:rsidR="00537CC8" w:rsidRPr="0025250D" w14:paraId="68409BAC" w14:textId="77777777" w:rsidTr="00664E33">
        <w:tc>
          <w:tcPr>
            <w:tcW w:w="2124" w:type="dxa"/>
            <w:vAlign w:val="center"/>
          </w:tcPr>
          <w:p w14:paraId="3224EEB7" w14:textId="77777777" w:rsidR="00537CC8" w:rsidRPr="0025250D" w:rsidRDefault="007A207F" w:rsidP="00664E33">
            <w:pPr>
              <w:bidi/>
              <w:spacing w:after="160"/>
              <w:jc w:val="center"/>
              <w:rPr>
                <w:rtl/>
              </w:rPr>
            </w:pPr>
            <w:hyperlink r:id="rId499">
              <w:r w:rsidR="00537CC8" w:rsidRPr="0025250D">
                <w:rPr>
                  <w:rStyle w:val="Hyperlink"/>
                  <w:color w:val="auto"/>
                  <w:u w:val="none"/>
                </w:rPr>
                <w:t>Futuramb</w:t>
              </w:r>
            </w:hyperlink>
          </w:p>
        </w:tc>
        <w:tc>
          <w:tcPr>
            <w:tcW w:w="3798" w:type="dxa"/>
            <w:vAlign w:val="center"/>
          </w:tcPr>
          <w:p w14:paraId="4DE6B80D" w14:textId="28A7864C" w:rsidR="00537CC8" w:rsidRPr="0025250D" w:rsidRDefault="00537CC8" w:rsidP="00664E33">
            <w:pPr>
              <w:bidi/>
              <w:spacing w:after="160"/>
              <w:jc w:val="center"/>
              <w:rPr>
                <w:rtl/>
              </w:rPr>
            </w:pPr>
            <w:r w:rsidRPr="0025250D">
              <w:rPr>
                <w:rFonts w:hint="cs"/>
                <w:rtl/>
              </w:rPr>
              <w:t xml:space="preserve">پی‌ای </w:t>
            </w:r>
            <w:r w:rsidRPr="0025250D">
              <w:rPr>
                <w:rtl/>
              </w:rPr>
              <w:t>مارت</w:t>
            </w:r>
            <w:r w:rsidRPr="0025250D">
              <w:rPr>
                <w:rFonts w:hint="cs"/>
                <w:rtl/>
              </w:rPr>
              <w:t>ی</w:t>
            </w:r>
            <w:r w:rsidRPr="0025250D">
              <w:rPr>
                <w:rFonts w:hint="eastAsia"/>
                <w:rtl/>
              </w:rPr>
              <w:t>ن</w:t>
            </w:r>
            <w:r w:rsidRPr="0025250D">
              <w:rPr>
                <w:rtl/>
              </w:rPr>
              <w:t xml:space="preserve"> بورجسون</w:t>
            </w:r>
            <w:r w:rsidRPr="0025250D">
              <w:rPr>
                <w:vertAlign w:val="superscript"/>
                <w:rtl/>
              </w:rPr>
              <w:footnoteReference w:id="3190"/>
            </w:r>
            <w:r w:rsidRPr="0025250D">
              <w:rPr>
                <w:rFonts w:hint="cs"/>
                <w:rtl/>
              </w:rPr>
              <w:t xml:space="preserve">؛ </w:t>
            </w:r>
            <w:r w:rsidRPr="0025250D">
              <w:rPr>
                <w:rtl/>
              </w:rPr>
              <w:t>آینده‌</w:t>
            </w:r>
            <w:r w:rsidR="00664E33" w:rsidRPr="0025250D">
              <w:rPr>
                <w:rtl/>
              </w:rPr>
              <w:t>نگار</w:t>
            </w:r>
            <w:r w:rsidRPr="0025250D">
              <w:rPr>
                <w:rtl/>
              </w:rPr>
              <w:t>ی</w:t>
            </w:r>
            <w:r w:rsidRPr="0025250D">
              <w:rPr>
                <w:rFonts w:hint="eastAsia"/>
                <w:rtl/>
              </w:rPr>
              <w:t>،</w:t>
            </w:r>
            <w:r w:rsidRPr="0025250D">
              <w:rPr>
                <w:rtl/>
              </w:rPr>
              <w:t xml:space="preserve"> ب</w:t>
            </w:r>
            <w:r w:rsidRPr="0025250D">
              <w:rPr>
                <w:rFonts w:hint="cs"/>
                <w:rtl/>
              </w:rPr>
              <w:t>ی</w:t>
            </w:r>
            <w:r w:rsidRPr="0025250D">
              <w:rPr>
                <w:rFonts w:hint="eastAsia"/>
                <w:rtl/>
              </w:rPr>
              <w:t>نش،</w:t>
            </w:r>
            <w:r w:rsidRPr="0025250D">
              <w:rPr>
                <w:rtl/>
              </w:rPr>
              <w:t xml:space="preserve"> مشاوره </w:t>
            </w:r>
            <w:r w:rsidR="00701E03" w:rsidRPr="0025250D">
              <w:rPr>
                <w:rtl/>
              </w:rPr>
              <w:t>راهبرد</w:t>
            </w:r>
          </w:p>
        </w:tc>
        <w:tc>
          <w:tcPr>
            <w:tcW w:w="1438" w:type="dxa"/>
            <w:vAlign w:val="center"/>
          </w:tcPr>
          <w:p w14:paraId="272F9A56" w14:textId="77777777" w:rsidR="00537CC8" w:rsidRPr="0025250D" w:rsidRDefault="00537CC8" w:rsidP="00664E33">
            <w:pPr>
              <w:bidi/>
              <w:spacing w:after="160"/>
              <w:jc w:val="center"/>
              <w:rPr>
                <w:rtl/>
              </w:rPr>
            </w:pPr>
            <w:r w:rsidRPr="0025250D">
              <w:rPr>
                <w:rtl/>
              </w:rPr>
              <w:t>3 (گوتبورگ، سوئد)</w:t>
            </w:r>
          </w:p>
        </w:tc>
      </w:tr>
      <w:tr w:rsidR="00537CC8" w:rsidRPr="0025250D" w14:paraId="73FACD45" w14:textId="77777777" w:rsidTr="00664E33">
        <w:tc>
          <w:tcPr>
            <w:tcW w:w="2124" w:type="dxa"/>
            <w:vAlign w:val="center"/>
          </w:tcPr>
          <w:p w14:paraId="11A10BCD" w14:textId="77777777" w:rsidR="00537CC8" w:rsidRPr="0025250D" w:rsidRDefault="007A207F" w:rsidP="00664E33">
            <w:pPr>
              <w:bidi/>
              <w:spacing w:after="160"/>
              <w:jc w:val="center"/>
              <w:rPr>
                <w:rtl/>
              </w:rPr>
            </w:pPr>
            <w:hyperlink r:id="rId500">
              <w:r w:rsidR="00537CC8" w:rsidRPr="0025250D">
                <w:rPr>
                  <w:rStyle w:val="Hyperlink"/>
                  <w:color w:val="auto"/>
                  <w:u w:val="none"/>
                </w:rPr>
                <w:t>Future Corporation</w:t>
              </w:r>
            </w:hyperlink>
          </w:p>
        </w:tc>
        <w:tc>
          <w:tcPr>
            <w:tcW w:w="3798" w:type="dxa"/>
            <w:vAlign w:val="center"/>
          </w:tcPr>
          <w:p w14:paraId="6A4E63AE" w14:textId="77777777" w:rsidR="00537CC8" w:rsidRPr="0025250D" w:rsidRDefault="00537CC8" w:rsidP="00664E33">
            <w:pPr>
              <w:bidi/>
              <w:spacing w:after="160"/>
              <w:jc w:val="center"/>
              <w:rPr>
                <w:rtl/>
              </w:rPr>
            </w:pPr>
            <w:r w:rsidRPr="0025250D">
              <w:rPr>
                <w:rtl/>
              </w:rPr>
              <w:t>دکتر جان لوت</w:t>
            </w:r>
            <w:r w:rsidRPr="0025250D">
              <w:rPr>
                <w:rFonts w:hint="cs"/>
                <w:rtl/>
              </w:rPr>
              <w:t>ی</w:t>
            </w:r>
            <w:r w:rsidRPr="0025250D">
              <w:rPr>
                <w:vertAlign w:val="superscript"/>
                <w:rtl/>
              </w:rPr>
              <w:footnoteReference w:id="3191"/>
            </w:r>
            <w:r w:rsidRPr="0025250D">
              <w:rPr>
                <w:rFonts w:hint="cs"/>
                <w:rtl/>
              </w:rPr>
              <w:t>؛</w:t>
            </w:r>
            <w:r w:rsidRPr="0025250D">
              <w:rPr>
                <w:rtl/>
              </w:rPr>
              <w:t xml:space="preserve"> مشاوره آ</w:t>
            </w:r>
            <w:r w:rsidRPr="0025250D">
              <w:rPr>
                <w:rFonts w:hint="cs"/>
                <w:rtl/>
              </w:rPr>
              <w:t>ی</w:t>
            </w:r>
            <w:r w:rsidRPr="0025250D">
              <w:rPr>
                <w:rFonts w:hint="eastAsia"/>
                <w:rtl/>
              </w:rPr>
              <w:t>نده</w:t>
            </w:r>
            <w:r w:rsidRPr="0025250D">
              <w:rPr>
                <w:rtl/>
              </w:rPr>
              <w:t xml:space="preserve"> عموم</w:t>
            </w:r>
            <w:r w:rsidRPr="0025250D">
              <w:rPr>
                <w:rFonts w:hint="cs"/>
                <w:rtl/>
              </w:rPr>
              <w:t>ی</w:t>
            </w:r>
            <w:r w:rsidRPr="0025250D">
              <w:rPr>
                <w:rtl/>
              </w:rPr>
              <w:t xml:space="preserve"> و تجار</w:t>
            </w:r>
            <w:r w:rsidRPr="0025250D">
              <w:rPr>
                <w:rFonts w:hint="cs"/>
                <w:rtl/>
              </w:rPr>
              <w:t>ی</w:t>
            </w:r>
            <w:r w:rsidRPr="0025250D">
              <w:rPr>
                <w:rtl/>
              </w:rPr>
              <w:t>.</w:t>
            </w:r>
          </w:p>
        </w:tc>
        <w:tc>
          <w:tcPr>
            <w:tcW w:w="1438" w:type="dxa"/>
            <w:vAlign w:val="center"/>
          </w:tcPr>
          <w:p w14:paraId="5C52EA7E" w14:textId="77777777" w:rsidR="00537CC8" w:rsidRPr="0025250D" w:rsidRDefault="00537CC8" w:rsidP="00664E33">
            <w:pPr>
              <w:bidi/>
              <w:spacing w:after="160"/>
              <w:jc w:val="center"/>
              <w:rPr>
                <w:rtl/>
              </w:rPr>
            </w:pPr>
            <w:r w:rsidRPr="0025250D">
              <w:rPr>
                <w:rtl/>
              </w:rPr>
              <w:t>1 (بو</w:t>
            </w:r>
            <w:r w:rsidRPr="0025250D">
              <w:rPr>
                <w:rFonts w:hint="cs"/>
                <w:rtl/>
              </w:rPr>
              <w:t>ی</w:t>
            </w:r>
            <w:r w:rsidRPr="0025250D">
              <w:rPr>
                <w:rFonts w:hint="eastAsia"/>
                <w:rtl/>
              </w:rPr>
              <w:t>ز</w:t>
            </w:r>
            <w:r w:rsidRPr="0025250D">
              <w:rPr>
                <w:rFonts w:hint="cs"/>
                <w:rtl/>
              </w:rPr>
              <w:t>)</w:t>
            </w:r>
          </w:p>
        </w:tc>
      </w:tr>
      <w:tr w:rsidR="00537CC8" w:rsidRPr="0025250D" w14:paraId="440C64C1" w14:textId="77777777" w:rsidTr="00664E33">
        <w:tc>
          <w:tcPr>
            <w:tcW w:w="2124" w:type="dxa"/>
            <w:vAlign w:val="center"/>
          </w:tcPr>
          <w:p w14:paraId="77A1C6AD" w14:textId="77777777" w:rsidR="00537CC8" w:rsidRPr="0025250D" w:rsidRDefault="007A207F" w:rsidP="00664E33">
            <w:pPr>
              <w:bidi/>
              <w:spacing w:after="160"/>
              <w:jc w:val="center"/>
              <w:rPr>
                <w:rtl/>
              </w:rPr>
            </w:pPr>
            <w:hyperlink r:id="rId501">
              <w:r w:rsidR="00537CC8" w:rsidRPr="0025250D">
                <w:rPr>
                  <w:rStyle w:val="Hyperlink"/>
                  <w:color w:val="auto"/>
                  <w:u w:val="none"/>
                </w:rPr>
                <w:t>Future Crimes Institute</w:t>
              </w:r>
            </w:hyperlink>
          </w:p>
        </w:tc>
        <w:tc>
          <w:tcPr>
            <w:tcW w:w="3798" w:type="dxa"/>
            <w:vAlign w:val="center"/>
          </w:tcPr>
          <w:p w14:paraId="144FC95F" w14:textId="77777777" w:rsidR="00537CC8" w:rsidRPr="0025250D" w:rsidRDefault="00537CC8" w:rsidP="00664E33">
            <w:pPr>
              <w:bidi/>
              <w:spacing w:after="160"/>
              <w:jc w:val="center"/>
              <w:rPr>
                <w:rtl/>
              </w:rPr>
            </w:pPr>
            <w:r w:rsidRPr="0025250D">
              <w:rPr>
                <w:rtl/>
              </w:rPr>
              <w:t>مارک گودمن</w:t>
            </w:r>
            <w:r w:rsidRPr="0025250D">
              <w:rPr>
                <w:vertAlign w:val="superscript"/>
                <w:rtl/>
              </w:rPr>
              <w:footnoteReference w:id="3192"/>
            </w:r>
            <w:r w:rsidRPr="0025250D">
              <w:rPr>
                <w:rtl/>
              </w:rPr>
              <w:t>؛ تحق</w:t>
            </w:r>
            <w:r w:rsidRPr="0025250D">
              <w:rPr>
                <w:rFonts w:hint="cs"/>
                <w:rtl/>
              </w:rPr>
              <w:t>ی</w:t>
            </w:r>
            <w:r w:rsidRPr="0025250D">
              <w:rPr>
                <w:rFonts w:hint="eastAsia"/>
                <w:rtl/>
              </w:rPr>
              <w:t>ق</w:t>
            </w:r>
            <w:r w:rsidRPr="0025250D">
              <w:rPr>
                <w:rtl/>
              </w:rPr>
              <w:t xml:space="preserve"> در مورد جرم، پل</w:t>
            </w:r>
            <w:r w:rsidRPr="0025250D">
              <w:rPr>
                <w:rFonts w:hint="cs"/>
                <w:rtl/>
              </w:rPr>
              <w:t>ی</w:t>
            </w:r>
            <w:r w:rsidRPr="0025250D">
              <w:rPr>
                <w:rFonts w:hint="eastAsia"/>
                <w:rtl/>
              </w:rPr>
              <w:t>س،</w:t>
            </w:r>
            <w:r w:rsidRPr="0025250D">
              <w:rPr>
                <w:rtl/>
              </w:rPr>
              <w:t xml:space="preserve"> عدالت ک</w:t>
            </w:r>
            <w:r w:rsidRPr="0025250D">
              <w:rPr>
                <w:rFonts w:hint="cs"/>
                <w:rtl/>
              </w:rPr>
              <w:t>ی</w:t>
            </w:r>
            <w:r w:rsidRPr="0025250D">
              <w:rPr>
                <w:rFonts w:hint="eastAsia"/>
                <w:rtl/>
              </w:rPr>
              <w:t>فر</w:t>
            </w:r>
            <w:r w:rsidRPr="0025250D">
              <w:rPr>
                <w:rFonts w:hint="cs"/>
                <w:rtl/>
              </w:rPr>
              <w:t>ی</w:t>
            </w:r>
          </w:p>
        </w:tc>
        <w:tc>
          <w:tcPr>
            <w:tcW w:w="1438" w:type="dxa"/>
            <w:vAlign w:val="center"/>
          </w:tcPr>
          <w:p w14:paraId="53ECF1FD" w14:textId="77777777" w:rsidR="00537CC8" w:rsidRPr="0025250D" w:rsidRDefault="00537CC8" w:rsidP="00664E33">
            <w:pPr>
              <w:bidi/>
              <w:spacing w:after="160"/>
              <w:jc w:val="center"/>
              <w:rPr>
                <w:rtl/>
              </w:rPr>
            </w:pPr>
            <w:r w:rsidRPr="0025250D">
              <w:rPr>
                <w:rtl/>
              </w:rPr>
              <w:t>1 (س</w:t>
            </w:r>
            <w:r w:rsidRPr="0025250D">
              <w:rPr>
                <w:rFonts w:hint="cs"/>
                <w:rtl/>
              </w:rPr>
              <w:t>ی</w:t>
            </w:r>
            <w:r w:rsidRPr="0025250D">
              <w:rPr>
                <w:rFonts w:hint="eastAsia"/>
                <w:rtl/>
              </w:rPr>
              <w:t>ل</w:t>
            </w:r>
            <w:r w:rsidRPr="0025250D">
              <w:rPr>
                <w:rFonts w:hint="cs"/>
                <w:rtl/>
              </w:rPr>
              <w:t>ی</w:t>
            </w:r>
            <w:r w:rsidRPr="0025250D">
              <w:rPr>
                <w:rFonts w:hint="eastAsia"/>
                <w:rtl/>
              </w:rPr>
              <w:t>کون</w:t>
            </w:r>
            <w:r w:rsidRPr="0025250D">
              <w:rPr>
                <w:rtl/>
              </w:rPr>
              <w:t xml:space="preserve"> ول</w:t>
            </w:r>
            <w:r w:rsidRPr="0025250D">
              <w:rPr>
                <w:rFonts w:hint="cs"/>
                <w:rtl/>
              </w:rPr>
              <w:t>ی)</w:t>
            </w:r>
          </w:p>
        </w:tc>
      </w:tr>
      <w:tr w:rsidR="00537CC8" w:rsidRPr="0025250D" w14:paraId="04A01AF9" w14:textId="77777777" w:rsidTr="00664E33">
        <w:tc>
          <w:tcPr>
            <w:tcW w:w="2124" w:type="dxa"/>
            <w:vAlign w:val="center"/>
          </w:tcPr>
          <w:p w14:paraId="2A8224E5" w14:textId="77777777" w:rsidR="00537CC8" w:rsidRPr="0025250D" w:rsidRDefault="007A207F" w:rsidP="00664E33">
            <w:pPr>
              <w:bidi/>
              <w:spacing w:after="160"/>
              <w:jc w:val="center"/>
              <w:rPr>
                <w:rtl/>
              </w:rPr>
            </w:pPr>
            <w:hyperlink r:id="rId502">
              <w:r w:rsidR="00537CC8" w:rsidRPr="0025250D">
                <w:rPr>
                  <w:rStyle w:val="Hyperlink"/>
                  <w:color w:val="auto"/>
                  <w:u w:val="none"/>
                </w:rPr>
                <w:t>Future Directions</w:t>
              </w:r>
            </w:hyperlink>
          </w:p>
        </w:tc>
        <w:tc>
          <w:tcPr>
            <w:tcW w:w="3798" w:type="dxa"/>
            <w:vAlign w:val="center"/>
          </w:tcPr>
          <w:p w14:paraId="5DCE246E" w14:textId="77777777" w:rsidR="00537CC8" w:rsidRPr="0025250D" w:rsidRDefault="00537CC8" w:rsidP="00664E33">
            <w:pPr>
              <w:bidi/>
              <w:spacing w:after="160"/>
              <w:jc w:val="center"/>
              <w:rPr>
                <w:rtl/>
              </w:rPr>
            </w:pPr>
            <w:r w:rsidRPr="0025250D">
              <w:rPr>
                <w:rtl/>
              </w:rPr>
              <w:t>کاستولوس کولو</w:t>
            </w:r>
            <w:r w:rsidRPr="0025250D">
              <w:rPr>
                <w:rFonts w:hint="cs"/>
                <w:rtl/>
              </w:rPr>
              <w:t>؛ مشاوره مدیریت</w:t>
            </w:r>
          </w:p>
        </w:tc>
        <w:tc>
          <w:tcPr>
            <w:tcW w:w="1438" w:type="dxa"/>
            <w:vAlign w:val="center"/>
          </w:tcPr>
          <w:p w14:paraId="4858757D" w14:textId="77777777" w:rsidR="00537CC8" w:rsidRPr="0025250D" w:rsidRDefault="00537CC8" w:rsidP="00664E33">
            <w:pPr>
              <w:bidi/>
              <w:spacing w:after="160"/>
              <w:jc w:val="center"/>
              <w:rPr>
                <w:rtl/>
              </w:rPr>
            </w:pPr>
            <w:r w:rsidRPr="0025250D">
              <w:rPr>
                <w:rtl/>
              </w:rPr>
              <w:t>3 (مون</w:t>
            </w:r>
            <w:r w:rsidRPr="0025250D">
              <w:rPr>
                <w:rFonts w:hint="cs"/>
                <w:rtl/>
              </w:rPr>
              <w:t>ی</w:t>
            </w:r>
            <w:r w:rsidRPr="0025250D">
              <w:rPr>
                <w:rFonts w:hint="eastAsia"/>
                <w:rtl/>
              </w:rPr>
              <w:t>خ،</w:t>
            </w:r>
            <w:r w:rsidRPr="0025250D">
              <w:rPr>
                <w:rtl/>
              </w:rPr>
              <w:t xml:space="preserve"> آلمان)</w:t>
            </w:r>
          </w:p>
        </w:tc>
      </w:tr>
      <w:tr w:rsidR="00537CC8" w:rsidRPr="0025250D" w14:paraId="598F3931" w14:textId="77777777" w:rsidTr="00664E33">
        <w:tc>
          <w:tcPr>
            <w:tcW w:w="2124" w:type="dxa"/>
            <w:vAlign w:val="center"/>
          </w:tcPr>
          <w:p w14:paraId="0D377EC7" w14:textId="77777777" w:rsidR="00537CC8" w:rsidRPr="0025250D" w:rsidRDefault="007A207F" w:rsidP="00664E33">
            <w:pPr>
              <w:bidi/>
              <w:spacing w:after="160"/>
              <w:jc w:val="center"/>
              <w:rPr>
                <w:rtl/>
              </w:rPr>
            </w:pPr>
            <w:hyperlink r:id="rId503">
              <w:r w:rsidR="00537CC8" w:rsidRPr="0025250D">
                <w:rPr>
                  <w:rStyle w:val="Hyperlink"/>
                  <w:color w:val="auto"/>
                  <w:u w:val="none"/>
                </w:rPr>
                <w:t>Future Journeys</w:t>
              </w:r>
            </w:hyperlink>
          </w:p>
        </w:tc>
        <w:tc>
          <w:tcPr>
            <w:tcW w:w="3798" w:type="dxa"/>
            <w:vAlign w:val="center"/>
          </w:tcPr>
          <w:p w14:paraId="2507543D" w14:textId="682A3C69" w:rsidR="00537CC8" w:rsidRPr="0025250D" w:rsidRDefault="00537CC8" w:rsidP="00664E33">
            <w:pPr>
              <w:bidi/>
              <w:spacing w:after="160"/>
              <w:jc w:val="center"/>
              <w:rPr>
                <w:rtl/>
              </w:rPr>
            </w:pPr>
            <w:r w:rsidRPr="0025250D">
              <w:rPr>
                <w:rtl/>
              </w:rPr>
              <w:t>جن</w:t>
            </w:r>
            <w:r w:rsidRPr="0025250D">
              <w:rPr>
                <w:rFonts w:hint="cs"/>
                <w:rtl/>
              </w:rPr>
              <w:t>ی</w:t>
            </w:r>
            <w:r w:rsidRPr="0025250D">
              <w:rPr>
                <w:rFonts w:hint="eastAsia"/>
                <w:rtl/>
              </w:rPr>
              <w:t>ن</w:t>
            </w:r>
            <w:r w:rsidRPr="0025250D">
              <w:rPr>
                <w:rtl/>
              </w:rPr>
              <w:t xml:space="preserve"> ک</w:t>
            </w:r>
            <w:r w:rsidRPr="0025250D">
              <w:rPr>
                <w:rFonts w:hint="cs"/>
                <w:rtl/>
              </w:rPr>
              <w:t>ی</w:t>
            </w:r>
            <w:r w:rsidRPr="0025250D">
              <w:rPr>
                <w:rFonts w:hint="eastAsia"/>
                <w:rtl/>
              </w:rPr>
              <w:t>ه</w:t>
            </w:r>
            <w:r w:rsidRPr="0025250D">
              <w:rPr>
                <w:rFonts w:hint="cs"/>
                <w:rtl/>
              </w:rPr>
              <w:t>ی</w:t>
            </w:r>
            <w:r w:rsidRPr="0025250D">
              <w:rPr>
                <w:rFonts w:hint="eastAsia"/>
                <w:rtl/>
              </w:rPr>
              <w:t>ل</w:t>
            </w:r>
            <w:r w:rsidRPr="0025250D">
              <w:rPr>
                <w:vertAlign w:val="superscript"/>
                <w:rtl/>
              </w:rPr>
              <w:footnoteReference w:id="3193"/>
            </w:r>
            <w:r w:rsidRPr="0025250D">
              <w:rPr>
                <w:rFonts w:hint="cs"/>
                <w:rtl/>
              </w:rPr>
              <w:t>؛</w:t>
            </w:r>
            <w:r w:rsidRPr="0025250D">
              <w:rPr>
                <w:rtl/>
              </w:rPr>
              <w:t xml:space="preserve"> مشاوره آینده‌</w:t>
            </w:r>
            <w:r w:rsidR="00664E33" w:rsidRPr="0025250D">
              <w:rPr>
                <w:rtl/>
              </w:rPr>
              <w:t>نگار</w:t>
            </w:r>
            <w:r w:rsidRPr="0025250D">
              <w:rPr>
                <w:rtl/>
              </w:rPr>
              <w:t>ی</w:t>
            </w:r>
            <w:r w:rsidRPr="0025250D">
              <w:rPr>
                <w:rFonts w:hint="eastAsia"/>
                <w:rtl/>
              </w:rPr>
              <w:t>،</w:t>
            </w:r>
            <w:r w:rsidRPr="0025250D">
              <w:rPr>
                <w:rtl/>
              </w:rPr>
              <w:t xml:space="preserve"> </w:t>
            </w:r>
            <w:r w:rsidRPr="0025250D">
              <w:rPr>
                <w:rFonts w:hint="cs"/>
                <w:rtl/>
              </w:rPr>
              <w:t>ی</w:t>
            </w:r>
            <w:r w:rsidRPr="0025250D">
              <w:rPr>
                <w:rFonts w:hint="eastAsia"/>
                <w:rtl/>
              </w:rPr>
              <w:t>ادگ</w:t>
            </w:r>
            <w:r w:rsidRPr="0025250D">
              <w:rPr>
                <w:rFonts w:hint="cs"/>
                <w:rtl/>
              </w:rPr>
              <w:t>ی</w:t>
            </w:r>
            <w:r w:rsidRPr="0025250D">
              <w:rPr>
                <w:rFonts w:hint="eastAsia"/>
                <w:rtl/>
              </w:rPr>
              <w:t>ر</w:t>
            </w:r>
            <w:r w:rsidRPr="0025250D">
              <w:rPr>
                <w:rFonts w:hint="cs"/>
                <w:rtl/>
              </w:rPr>
              <w:t>ی</w:t>
            </w:r>
            <w:r w:rsidRPr="0025250D">
              <w:rPr>
                <w:rtl/>
              </w:rPr>
              <w:t xml:space="preserve"> تجرب</w:t>
            </w:r>
            <w:r w:rsidRPr="0025250D">
              <w:rPr>
                <w:rFonts w:hint="cs"/>
                <w:rtl/>
              </w:rPr>
              <w:t>ی</w:t>
            </w:r>
            <w:r w:rsidRPr="0025250D">
              <w:rPr>
                <w:rtl/>
              </w:rPr>
              <w:t>.</w:t>
            </w:r>
          </w:p>
        </w:tc>
        <w:tc>
          <w:tcPr>
            <w:tcW w:w="1438" w:type="dxa"/>
            <w:vAlign w:val="center"/>
          </w:tcPr>
          <w:p w14:paraId="253767A0" w14:textId="77777777" w:rsidR="00537CC8" w:rsidRPr="0025250D" w:rsidRDefault="00537CC8" w:rsidP="00664E33">
            <w:pPr>
              <w:bidi/>
              <w:spacing w:after="160"/>
              <w:jc w:val="center"/>
              <w:rPr>
                <w:rtl/>
              </w:rPr>
            </w:pPr>
            <w:r w:rsidRPr="0025250D">
              <w:rPr>
                <w:rtl/>
              </w:rPr>
              <w:t>10 (کوگ</w:t>
            </w:r>
            <w:r w:rsidRPr="0025250D">
              <w:rPr>
                <w:rFonts w:hint="cs"/>
                <w:rtl/>
              </w:rPr>
              <w:t>ی</w:t>
            </w:r>
            <w:r w:rsidRPr="0025250D">
              <w:rPr>
                <w:rFonts w:hint="eastAsia"/>
                <w:rtl/>
              </w:rPr>
              <w:t>،</w:t>
            </w:r>
            <w:r w:rsidRPr="0025250D">
              <w:rPr>
                <w:rtl/>
              </w:rPr>
              <w:t xml:space="preserve"> استرال</w:t>
            </w:r>
            <w:r w:rsidRPr="0025250D">
              <w:rPr>
                <w:rFonts w:hint="cs"/>
                <w:rtl/>
              </w:rPr>
              <w:t>ی</w:t>
            </w:r>
            <w:r w:rsidRPr="0025250D">
              <w:rPr>
                <w:rFonts w:hint="eastAsia"/>
                <w:rtl/>
              </w:rPr>
              <w:t>ا</w:t>
            </w:r>
            <w:r w:rsidRPr="0025250D">
              <w:rPr>
                <w:rtl/>
              </w:rPr>
              <w:t>)</w:t>
            </w:r>
          </w:p>
        </w:tc>
      </w:tr>
      <w:tr w:rsidR="00537CC8" w:rsidRPr="0025250D" w14:paraId="649B4FF0" w14:textId="77777777" w:rsidTr="00664E33">
        <w:tc>
          <w:tcPr>
            <w:tcW w:w="2124" w:type="dxa"/>
            <w:vAlign w:val="center"/>
          </w:tcPr>
          <w:p w14:paraId="6692055C" w14:textId="77777777" w:rsidR="00537CC8" w:rsidRPr="0025250D" w:rsidRDefault="007A207F" w:rsidP="00664E33">
            <w:pPr>
              <w:bidi/>
              <w:spacing w:after="160"/>
              <w:jc w:val="center"/>
              <w:rPr>
                <w:rtl/>
              </w:rPr>
            </w:pPr>
            <w:hyperlink r:id="rId504">
              <w:r w:rsidR="00537CC8" w:rsidRPr="0025250D">
                <w:rPr>
                  <w:rStyle w:val="Hyperlink"/>
                  <w:color w:val="auto"/>
                  <w:u w:val="none"/>
                </w:rPr>
                <w:t>Future Laboratory</w:t>
              </w:r>
            </w:hyperlink>
          </w:p>
        </w:tc>
        <w:tc>
          <w:tcPr>
            <w:tcW w:w="3798" w:type="dxa"/>
            <w:vAlign w:val="center"/>
          </w:tcPr>
          <w:p w14:paraId="0AE47E3B" w14:textId="77777777" w:rsidR="00537CC8" w:rsidRPr="0025250D" w:rsidRDefault="00537CC8" w:rsidP="00664E33">
            <w:pPr>
              <w:bidi/>
              <w:spacing w:after="160"/>
              <w:jc w:val="center"/>
              <w:rPr>
                <w:rtl/>
              </w:rPr>
            </w:pPr>
            <w:r w:rsidRPr="0025250D">
              <w:rPr>
                <w:rtl/>
              </w:rPr>
              <w:t>کر</w:t>
            </w:r>
            <w:r w:rsidRPr="0025250D">
              <w:rPr>
                <w:rFonts w:hint="cs"/>
                <w:rtl/>
              </w:rPr>
              <w:t>ی</w:t>
            </w:r>
            <w:r w:rsidRPr="0025250D">
              <w:rPr>
                <w:rFonts w:hint="eastAsia"/>
                <w:rtl/>
              </w:rPr>
              <w:t>س</w:t>
            </w:r>
            <w:r w:rsidRPr="0025250D">
              <w:rPr>
                <w:rtl/>
              </w:rPr>
              <w:t xml:space="preserve"> ساندرسون</w:t>
            </w:r>
            <w:r w:rsidRPr="0025250D">
              <w:rPr>
                <w:vertAlign w:val="superscript"/>
                <w:rtl/>
              </w:rPr>
              <w:footnoteReference w:id="3194"/>
            </w:r>
            <w:r w:rsidRPr="0025250D">
              <w:rPr>
                <w:rtl/>
              </w:rPr>
              <w:t>؛ گزارش و مشاوره روند مصرف کننده</w:t>
            </w:r>
          </w:p>
        </w:tc>
        <w:tc>
          <w:tcPr>
            <w:tcW w:w="1438" w:type="dxa"/>
            <w:vAlign w:val="center"/>
          </w:tcPr>
          <w:p w14:paraId="7ACB4ECF" w14:textId="77777777" w:rsidR="00537CC8" w:rsidRPr="0025250D" w:rsidRDefault="00537CC8" w:rsidP="00664E33">
            <w:pPr>
              <w:bidi/>
              <w:spacing w:after="160"/>
              <w:jc w:val="center"/>
              <w:rPr>
                <w:rtl/>
              </w:rPr>
            </w:pPr>
            <w:r w:rsidRPr="0025250D">
              <w:rPr>
                <w:rtl/>
              </w:rPr>
              <w:t>1 (لندن</w:t>
            </w:r>
            <w:r w:rsidRPr="0025250D">
              <w:rPr>
                <w:rFonts w:hint="cs"/>
                <w:rtl/>
              </w:rPr>
              <w:t>)</w:t>
            </w:r>
          </w:p>
        </w:tc>
      </w:tr>
      <w:tr w:rsidR="00537CC8" w:rsidRPr="0025250D" w14:paraId="1DC847BD" w14:textId="77777777" w:rsidTr="00664E33">
        <w:tc>
          <w:tcPr>
            <w:tcW w:w="2124" w:type="dxa"/>
            <w:vAlign w:val="center"/>
          </w:tcPr>
          <w:p w14:paraId="35568407" w14:textId="77777777" w:rsidR="00537CC8" w:rsidRPr="0025250D" w:rsidRDefault="007A207F" w:rsidP="00664E33">
            <w:pPr>
              <w:bidi/>
              <w:spacing w:after="160"/>
              <w:jc w:val="center"/>
              <w:rPr>
                <w:rtl/>
              </w:rPr>
            </w:pPr>
            <w:hyperlink r:id="rId505">
              <w:r w:rsidR="00537CC8" w:rsidRPr="0025250D">
                <w:rPr>
                  <w:rStyle w:val="Hyperlink"/>
                  <w:color w:val="auto"/>
                  <w:u w:val="none"/>
                </w:rPr>
                <w:t>Future Moves</w:t>
              </w:r>
            </w:hyperlink>
          </w:p>
        </w:tc>
        <w:tc>
          <w:tcPr>
            <w:tcW w:w="3798" w:type="dxa"/>
            <w:vAlign w:val="center"/>
          </w:tcPr>
          <w:p w14:paraId="5313D237" w14:textId="6E8F4D8F" w:rsidR="00537CC8" w:rsidRPr="0025250D" w:rsidRDefault="00537CC8" w:rsidP="00664E33">
            <w:pPr>
              <w:bidi/>
              <w:spacing w:after="160"/>
              <w:jc w:val="center"/>
              <w:rPr>
                <w:rtl/>
              </w:rPr>
            </w:pPr>
            <w:r w:rsidRPr="0025250D">
              <w:rPr>
                <w:rtl/>
              </w:rPr>
              <w:t>دواداس کر</w:t>
            </w:r>
            <w:r w:rsidRPr="0025250D">
              <w:rPr>
                <w:rFonts w:hint="cs"/>
                <w:rtl/>
              </w:rPr>
              <w:t>ی</w:t>
            </w:r>
            <w:r w:rsidRPr="0025250D">
              <w:rPr>
                <w:rFonts w:hint="eastAsia"/>
                <w:rtl/>
              </w:rPr>
              <w:t>شناداس</w:t>
            </w:r>
            <w:r w:rsidRPr="0025250D">
              <w:rPr>
                <w:vertAlign w:val="superscript"/>
                <w:rtl/>
              </w:rPr>
              <w:footnoteReference w:id="3195"/>
            </w:r>
            <w:r w:rsidRPr="0025250D">
              <w:rPr>
                <w:rFonts w:hint="cs"/>
                <w:rtl/>
              </w:rPr>
              <w:t>؛</w:t>
            </w:r>
            <w:r w:rsidRPr="0025250D">
              <w:rPr>
                <w:rtl/>
              </w:rPr>
              <w:t xml:space="preserve"> آینده‌</w:t>
            </w:r>
            <w:r w:rsidR="00664E33" w:rsidRPr="0025250D">
              <w:rPr>
                <w:rtl/>
              </w:rPr>
              <w:t>نگار</w:t>
            </w:r>
            <w:r w:rsidRPr="0025250D">
              <w:rPr>
                <w:rtl/>
              </w:rPr>
              <w:t>ی و مشاوره آ</w:t>
            </w:r>
            <w:r w:rsidRPr="0025250D">
              <w:rPr>
                <w:rFonts w:hint="cs"/>
                <w:rtl/>
              </w:rPr>
              <w:t>ی</w:t>
            </w:r>
            <w:r w:rsidRPr="0025250D">
              <w:rPr>
                <w:rFonts w:hint="eastAsia"/>
                <w:rtl/>
              </w:rPr>
              <w:t>نده</w:t>
            </w:r>
            <w:r w:rsidRPr="0025250D">
              <w:rPr>
                <w:rtl/>
              </w:rPr>
              <w:t>.</w:t>
            </w:r>
          </w:p>
        </w:tc>
        <w:tc>
          <w:tcPr>
            <w:tcW w:w="1438" w:type="dxa"/>
            <w:vAlign w:val="center"/>
          </w:tcPr>
          <w:p w14:paraId="3A74615F" w14:textId="77777777" w:rsidR="00537CC8" w:rsidRPr="0025250D" w:rsidRDefault="00537CC8" w:rsidP="00664E33">
            <w:pPr>
              <w:bidi/>
              <w:spacing w:after="160"/>
              <w:jc w:val="center"/>
              <w:rPr>
                <w:rtl/>
              </w:rPr>
            </w:pPr>
            <w:r w:rsidRPr="0025250D">
              <w:rPr>
                <w:rtl/>
              </w:rPr>
              <w:t>10 (سنگاپور)</w:t>
            </w:r>
          </w:p>
        </w:tc>
      </w:tr>
      <w:tr w:rsidR="00537CC8" w:rsidRPr="0025250D" w14:paraId="0F472AFC" w14:textId="77777777" w:rsidTr="00664E33">
        <w:tc>
          <w:tcPr>
            <w:tcW w:w="2124" w:type="dxa"/>
            <w:vAlign w:val="center"/>
          </w:tcPr>
          <w:p w14:paraId="2774E96A" w14:textId="77777777" w:rsidR="00537CC8" w:rsidRPr="0025250D" w:rsidRDefault="007A207F" w:rsidP="00664E33">
            <w:pPr>
              <w:bidi/>
              <w:spacing w:after="160"/>
              <w:jc w:val="center"/>
              <w:rPr>
                <w:rtl/>
              </w:rPr>
            </w:pPr>
            <w:hyperlink r:id="rId506">
              <w:r w:rsidR="00537CC8" w:rsidRPr="0025250D">
                <w:rPr>
                  <w:rStyle w:val="Hyperlink"/>
                  <w:color w:val="auto"/>
                  <w:u w:val="none"/>
                </w:rPr>
                <w:t>Future Problem Solving Program International</w:t>
              </w:r>
            </w:hyperlink>
          </w:p>
        </w:tc>
        <w:tc>
          <w:tcPr>
            <w:tcW w:w="3798" w:type="dxa"/>
            <w:vAlign w:val="center"/>
          </w:tcPr>
          <w:p w14:paraId="4B2B537C" w14:textId="20F74CE6" w:rsidR="00537CC8" w:rsidRPr="0025250D" w:rsidRDefault="00537CC8" w:rsidP="00664E33">
            <w:pPr>
              <w:bidi/>
              <w:spacing w:after="160"/>
              <w:jc w:val="center"/>
              <w:rPr>
                <w:rtl/>
              </w:rPr>
            </w:pPr>
            <w:r w:rsidRPr="0025250D">
              <w:rPr>
                <w:rtl/>
              </w:rPr>
              <w:t>مار</w:t>
            </w:r>
            <w:r w:rsidRPr="0025250D">
              <w:rPr>
                <w:rFonts w:hint="cs"/>
                <w:rtl/>
              </w:rPr>
              <w:t>ی</w:t>
            </w:r>
            <w:r w:rsidRPr="0025250D">
              <w:rPr>
                <w:rFonts w:hint="eastAsia"/>
                <w:rtl/>
              </w:rPr>
              <w:t>ان</w:t>
            </w:r>
            <w:r w:rsidRPr="0025250D">
              <w:rPr>
                <w:rtl/>
              </w:rPr>
              <w:t xml:space="preserve"> سولومون</w:t>
            </w:r>
            <w:r w:rsidRPr="0025250D">
              <w:rPr>
                <w:vertAlign w:val="superscript"/>
                <w:rtl/>
              </w:rPr>
              <w:footnoteReference w:id="3196"/>
            </w:r>
            <w:r w:rsidRPr="0025250D">
              <w:rPr>
                <w:rtl/>
              </w:rPr>
              <w:t>؛ آینده‌</w:t>
            </w:r>
            <w:r w:rsidR="00664E33" w:rsidRPr="0025250D">
              <w:rPr>
                <w:rtl/>
              </w:rPr>
              <w:t>نگار</w:t>
            </w:r>
            <w:r w:rsidRPr="0025250D">
              <w:rPr>
                <w:rtl/>
              </w:rPr>
              <w:t>ی را به دب</w:t>
            </w:r>
            <w:r w:rsidRPr="0025250D">
              <w:rPr>
                <w:rFonts w:hint="cs"/>
                <w:rtl/>
              </w:rPr>
              <w:t>ی</w:t>
            </w:r>
            <w:r w:rsidRPr="0025250D">
              <w:rPr>
                <w:rFonts w:hint="eastAsia"/>
                <w:rtl/>
              </w:rPr>
              <w:t>رستان</w:t>
            </w:r>
            <w:r w:rsidRPr="0025250D">
              <w:rPr>
                <w:rtl/>
              </w:rPr>
              <w:t>‌ها در سطح ب</w:t>
            </w:r>
            <w:r w:rsidRPr="0025250D">
              <w:rPr>
                <w:rFonts w:hint="cs"/>
                <w:rtl/>
              </w:rPr>
              <w:t>ی</w:t>
            </w:r>
            <w:r w:rsidRPr="0025250D">
              <w:rPr>
                <w:rFonts w:hint="eastAsia"/>
                <w:rtl/>
              </w:rPr>
              <w:t>ن</w:t>
            </w:r>
            <w:r w:rsidRPr="0025250D">
              <w:rPr>
                <w:rtl/>
              </w:rPr>
              <w:t xml:space="preserve"> الملل</w:t>
            </w:r>
            <w:r w:rsidRPr="0025250D">
              <w:rPr>
                <w:rFonts w:hint="cs"/>
                <w:rtl/>
              </w:rPr>
              <w:t>ی</w:t>
            </w:r>
            <w:r w:rsidRPr="0025250D">
              <w:rPr>
                <w:rtl/>
              </w:rPr>
              <w:t xml:space="preserve"> می‌آورد. مسابقات و کنفرانس.</w:t>
            </w:r>
          </w:p>
        </w:tc>
        <w:tc>
          <w:tcPr>
            <w:tcW w:w="1438" w:type="dxa"/>
            <w:vAlign w:val="center"/>
          </w:tcPr>
          <w:p w14:paraId="582E9CEE" w14:textId="77777777" w:rsidR="00537CC8" w:rsidRPr="0025250D" w:rsidRDefault="00537CC8" w:rsidP="00664E33">
            <w:pPr>
              <w:bidi/>
              <w:spacing w:after="160"/>
              <w:jc w:val="center"/>
              <w:rPr>
                <w:rtl/>
              </w:rPr>
            </w:pPr>
            <w:r w:rsidRPr="0025250D">
              <w:rPr>
                <w:rtl/>
              </w:rPr>
              <w:t>1 (ملبورن</w:t>
            </w:r>
            <w:r w:rsidRPr="0025250D">
              <w:rPr>
                <w:rFonts w:hint="cs"/>
                <w:rtl/>
              </w:rPr>
              <w:t>)</w:t>
            </w:r>
          </w:p>
        </w:tc>
      </w:tr>
      <w:tr w:rsidR="00537CC8" w:rsidRPr="0025250D" w14:paraId="4F65FD5D" w14:textId="77777777" w:rsidTr="00664E33">
        <w:tc>
          <w:tcPr>
            <w:tcW w:w="2124" w:type="dxa"/>
            <w:vAlign w:val="center"/>
          </w:tcPr>
          <w:p w14:paraId="3848B4D4" w14:textId="77777777" w:rsidR="00537CC8" w:rsidRPr="0025250D" w:rsidRDefault="007A207F" w:rsidP="00664E33">
            <w:pPr>
              <w:bidi/>
              <w:spacing w:after="160"/>
              <w:jc w:val="center"/>
              <w:rPr>
                <w:rtl/>
              </w:rPr>
            </w:pPr>
            <w:hyperlink r:id="rId507">
              <w:r w:rsidR="00537CC8" w:rsidRPr="0025250D">
                <w:rPr>
                  <w:rStyle w:val="Hyperlink"/>
                  <w:color w:val="auto"/>
                  <w:u w:val="none"/>
                </w:rPr>
                <w:t>Future Search Network</w:t>
              </w:r>
            </w:hyperlink>
          </w:p>
        </w:tc>
        <w:tc>
          <w:tcPr>
            <w:tcW w:w="3798" w:type="dxa"/>
            <w:vAlign w:val="center"/>
          </w:tcPr>
          <w:p w14:paraId="584DF418" w14:textId="27C78DD3" w:rsidR="00537CC8" w:rsidRPr="0025250D" w:rsidRDefault="00537CC8" w:rsidP="00664E33">
            <w:pPr>
              <w:bidi/>
              <w:spacing w:after="160"/>
              <w:jc w:val="center"/>
              <w:rPr>
                <w:rtl/>
              </w:rPr>
            </w:pPr>
            <w:r w:rsidRPr="0025250D">
              <w:rPr>
                <w:rtl/>
              </w:rPr>
              <w:t>ساندرا جانوف</w:t>
            </w:r>
            <w:r w:rsidRPr="0025250D">
              <w:rPr>
                <w:vertAlign w:val="superscript"/>
                <w:rtl/>
              </w:rPr>
              <w:footnoteReference w:id="3197"/>
            </w:r>
            <w:r w:rsidRPr="0025250D">
              <w:rPr>
                <w:rtl/>
              </w:rPr>
              <w:t>، مارو</w:t>
            </w:r>
            <w:r w:rsidRPr="0025250D">
              <w:rPr>
                <w:rFonts w:hint="cs"/>
                <w:rtl/>
              </w:rPr>
              <w:t>ی</w:t>
            </w:r>
            <w:r w:rsidRPr="0025250D">
              <w:rPr>
                <w:rFonts w:hint="eastAsia"/>
                <w:rtl/>
              </w:rPr>
              <w:t>ن</w:t>
            </w:r>
            <w:r w:rsidRPr="0025250D">
              <w:rPr>
                <w:rtl/>
              </w:rPr>
              <w:t xml:space="preserve"> وا</w:t>
            </w:r>
            <w:r w:rsidRPr="0025250D">
              <w:rPr>
                <w:rFonts w:hint="cs"/>
                <w:rtl/>
              </w:rPr>
              <w:t>ی</w:t>
            </w:r>
            <w:r w:rsidRPr="0025250D">
              <w:rPr>
                <w:rFonts w:hint="eastAsia"/>
                <w:rtl/>
              </w:rPr>
              <w:t>زبورد</w:t>
            </w:r>
            <w:r w:rsidRPr="0025250D">
              <w:rPr>
                <w:vertAlign w:val="superscript"/>
                <w:rtl/>
              </w:rPr>
              <w:footnoteReference w:id="3198"/>
            </w:r>
            <w:r w:rsidRPr="0025250D">
              <w:rPr>
                <w:rFonts w:hint="eastAsia"/>
                <w:rtl/>
              </w:rPr>
              <w:t>؛</w:t>
            </w:r>
            <w:r w:rsidRPr="0025250D">
              <w:rPr>
                <w:rtl/>
              </w:rPr>
              <w:t xml:space="preserve"> تسه</w:t>
            </w:r>
            <w:r w:rsidRPr="0025250D">
              <w:rPr>
                <w:rFonts w:hint="cs"/>
                <w:rtl/>
              </w:rPr>
              <w:t>ی</w:t>
            </w:r>
            <w:r w:rsidRPr="0025250D">
              <w:rPr>
                <w:rFonts w:hint="eastAsia"/>
                <w:rtl/>
              </w:rPr>
              <w:t>ل</w:t>
            </w:r>
            <w:r w:rsidRPr="0025250D">
              <w:rPr>
                <w:rtl/>
              </w:rPr>
              <w:t xml:space="preserve"> آینده‌</w:t>
            </w:r>
            <w:r w:rsidR="00664E33" w:rsidRPr="0025250D">
              <w:rPr>
                <w:rtl/>
              </w:rPr>
              <w:t>نگار</w:t>
            </w:r>
            <w:r w:rsidRPr="0025250D">
              <w:rPr>
                <w:rtl/>
              </w:rPr>
              <w:t>ی</w:t>
            </w:r>
          </w:p>
        </w:tc>
        <w:tc>
          <w:tcPr>
            <w:tcW w:w="1438" w:type="dxa"/>
            <w:vAlign w:val="center"/>
          </w:tcPr>
          <w:p w14:paraId="419A16B5" w14:textId="77777777" w:rsidR="00537CC8" w:rsidRPr="0025250D" w:rsidRDefault="00537CC8" w:rsidP="00664E33">
            <w:pPr>
              <w:bidi/>
              <w:spacing w:after="160"/>
              <w:jc w:val="center"/>
              <w:rPr>
                <w:rtl/>
              </w:rPr>
            </w:pPr>
            <w:r w:rsidRPr="0025250D">
              <w:rPr>
                <w:rtl/>
              </w:rPr>
              <w:t>1 (ف</w:t>
            </w:r>
            <w:r w:rsidRPr="0025250D">
              <w:rPr>
                <w:rFonts w:hint="cs"/>
                <w:rtl/>
              </w:rPr>
              <w:t>ی</w:t>
            </w:r>
            <w:r w:rsidRPr="0025250D">
              <w:rPr>
                <w:rFonts w:hint="eastAsia"/>
                <w:rtl/>
              </w:rPr>
              <w:t>لادلف</w:t>
            </w:r>
            <w:r w:rsidRPr="0025250D">
              <w:rPr>
                <w:rFonts w:hint="cs"/>
                <w:rtl/>
              </w:rPr>
              <w:t>ی</w:t>
            </w:r>
            <w:r w:rsidRPr="0025250D">
              <w:rPr>
                <w:rFonts w:hint="eastAsia"/>
                <w:rtl/>
              </w:rPr>
              <w:t>ا</w:t>
            </w:r>
            <w:r w:rsidRPr="0025250D">
              <w:rPr>
                <w:rFonts w:hint="cs"/>
                <w:rtl/>
              </w:rPr>
              <w:t>)</w:t>
            </w:r>
          </w:p>
        </w:tc>
      </w:tr>
      <w:tr w:rsidR="00537CC8" w:rsidRPr="0025250D" w14:paraId="76926134" w14:textId="77777777" w:rsidTr="00664E33">
        <w:tc>
          <w:tcPr>
            <w:tcW w:w="2124" w:type="dxa"/>
            <w:vAlign w:val="center"/>
          </w:tcPr>
          <w:p w14:paraId="16B5A9EF" w14:textId="77777777" w:rsidR="00537CC8" w:rsidRPr="0025250D" w:rsidRDefault="007A207F" w:rsidP="00664E33">
            <w:pPr>
              <w:bidi/>
              <w:spacing w:after="160"/>
              <w:jc w:val="center"/>
              <w:rPr>
                <w:rtl/>
              </w:rPr>
            </w:pPr>
            <w:hyperlink r:id="rId508">
              <w:r w:rsidR="00537CC8" w:rsidRPr="0025250D">
                <w:rPr>
                  <w:rStyle w:val="Hyperlink"/>
                  <w:color w:val="auto"/>
                  <w:u w:val="none"/>
                </w:rPr>
                <w:t>Futurecheck</w:t>
              </w:r>
            </w:hyperlink>
          </w:p>
        </w:tc>
        <w:tc>
          <w:tcPr>
            <w:tcW w:w="3798" w:type="dxa"/>
            <w:vAlign w:val="center"/>
          </w:tcPr>
          <w:p w14:paraId="524504CC" w14:textId="77777777" w:rsidR="00537CC8" w:rsidRPr="0025250D" w:rsidRDefault="00537CC8" w:rsidP="00664E33">
            <w:pPr>
              <w:bidi/>
              <w:spacing w:after="160"/>
              <w:jc w:val="center"/>
              <w:rPr>
                <w:rtl/>
              </w:rPr>
            </w:pPr>
            <w:r w:rsidRPr="0025250D">
              <w:rPr>
                <w:rtl/>
              </w:rPr>
              <w:t>مارسل بول</w:t>
            </w:r>
            <w:r w:rsidRPr="0025250D">
              <w:rPr>
                <w:rFonts w:hint="cs"/>
                <w:rtl/>
              </w:rPr>
              <w:t>ی</w:t>
            </w:r>
            <w:r w:rsidRPr="0025250D">
              <w:rPr>
                <w:rFonts w:hint="eastAsia"/>
                <w:rtl/>
              </w:rPr>
              <w:t>نگا</w:t>
            </w:r>
            <w:r w:rsidRPr="0025250D">
              <w:rPr>
                <w:vertAlign w:val="superscript"/>
                <w:rtl/>
              </w:rPr>
              <w:footnoteReference w:id="3199"/>
            </w:r>
            <w:r w:rsidRPr="0025250D">
              <w:rPr>
                <w:rFonts w:hint="cs"/>
                <w:rtl/>
              </w:rPr>
              <w:t>؛</w:t>
            </w:r>
            <w:r w:rsidRPr="0025250D">
              <w:rPr>
                <w:rtl/>
              </w:rPr>
              <w:t xml:space="preserve"> مشاوره روندها و آینده‌نگاری.</w:t>
            </w:r>
          </w:p>
        </w:tc>
        <w:tc>
          <w:tcPr>
            <w:tcW w:w="1438" w:type="dxa"/>
            <w:vAlign w:val="center"/>
          </w:tcPr>
          <w:p w14:paraId="3CD5F12F" w14:textId="77777777" w:rsidR="00537CC8" w:rsidRPr="0025250D" w:rsidRDefault="00537CC8" w:rsidP="00664E33">
            <w:pPr>
              <w:bidi/>
              <w:spacing w:after="160"/>
              <w:jc w:val="center"/>
              <w:rPr>
                <w:rtl/>
              </w:rPr>
            </w:pPr>
            <w:r w:rsidRPr="0025250D">
              <w:rPr>
                <w:rtl/>
              </w:rPr>
              <w:t>3 (آمستردام)</w:t>
            </w:r>
          </w:p>
        </w:tc>
      </w:tr>
      <w:tr w:rsidR="00537CC8" w:rsidRPr="0025250D" w14:paraId="24234358" w14:textId="77777777" w:rsidTr="00664E33">
        <w:tc>
          <w:tcPr>
            <w:tcW w:w="2124" w:type="dxa"/>
            <w:vAlign w:val="center"/>
          </w:tcPr>
          <w:p w14:paraId="68A7EC84" w14:textId="77777777" w:rsidR="00537CC8" w:rsidRPr="0025250D" w:rsidRDefault="007A207F" w:rsidP="00664E33">
            <w:pPr>
              <w:bidi/>
              <w:spacing w:after="160"/>
              <w:jc w:val="center"/>
              <w:rPr>
                <w:rtl/>
              </w:rPr>
            </w:pPr>
            <w:hyperlink r:id="rId509">
              <w:r w:rsidR="00537CC8" w:rsidRPr="0025250D">
                <w:rPr>
                  <w:rStyle w:val="Hyperlink"/>
                  <w:color w:val="auto"/>
                  <w:u w:val="none"/>
                </w:rPr>
                <w:t>Futures Foundation</w:t>
              </w:r>
            </w:hyperlink>
          </w:p>
        </w:tc>
        <w:tc>
          <w:tcPr>
            <w:tcW w:w="3798" w:type="dxa"/>
            <w:vAlign w:val="center"/>
          </w:tcPr>
          <w:p w14:paraId="0D298210" w14:textId="0A253974" w:rsidR="00537CC8" w:rsidRPr="0025250D" w:rsidRDefault="00537CC8" w:rsidP="00664E33">
            <w:pPr>
              <w:bidi/>
              <w:spacing w:after="160"/>
              <w:jc w:val="center"/>
              <w:rPr>
                <w:rtl/>
              </w:rPr>
            </w:pPr>
            <w:r w:rsidRPr="0025250D">
              <w:rPr>
                <w:rtl/>
              </w:rPr>
              <w:t>چارلز براس</w:t>
            </w:r>
            <w:r w:rsidRPr="0025250D">
              <w:rPr>
                <w:vertAlign w:val="superscript"/>
                <w:rtl/>
              </w:rPr>
              <w:footnoteReference w:id="3200"/>
            </w:r>
            <w:r w:rsidRPr="0025250D">
              <w:rPr>
                <w:rtl/>
              </w:rPr>
              <w:t xml:space="preserve">؛ </w:t>
            </w:r>
            <w:r w:rsidR="00B124DE" w:rsidRPr="0025250D">
              <w:rPr>
                <w:rtl/>
              </w:rPr>
              <w:t>برنامه‌ریزی</w:t>
            </w:r>
            <w:r w:rsidRPr="0025250D">
              <w:rPr>
                <w:rFonts w:hint="eastAsia"/>
                <w:rtl/>
              </w:rPr>
              <w:t>،</w:t>
            </w:r>
            <w:r w:rsidRPr="0025250D">
              <w:rPr>
                <w:rtl/>
              </w:rPr>
              <w:t xml:space="preserve"> </w:t>
            </w:r>
            <w:r w:rsidR="00701E03" w:rsidRPr="0025250D">
              <w:rPr>
                <w:rtl/>
              </w:rPr>
              <w:t>راهبرد</w:t>
            </w:r>
            <w:r w:rsidRPr="0025250D">
              <w:rPr>
                <w:rFonts w:hint="eastAsia"/>
                <w:rtl/>
              </w:rPr>
              <w:t>،</w:t>
            </w:r>
            <w:r w:rsidRPr="0025250D">
              <w:rPr>
                <w:rtl/>
              </w:rPr>
              <w:t xml:space="preserve"> آینده‌</w:t>
            </w:r>
            <w:r w:rsidR="00E26538" w:rsidRPr="0025250D">
              <w:rPr>
                <w:rtl/>
              </w:rPr>
              <w:t>نگار</w:t>
            </w:r>
            <w:r w:rsidRPr="0025250D">
              <w:rPr>
                <w:rtl/>
              </w:rPr>
              <w:t>ی برا</w:t>
            </w:r>
            <w:r w:rsidRPr="0025250D">
              <w:rPr>
                <w:rFonts w:hint="cs"/>
                <w:rtl/>
              </w:rPr>
              <w:t>ی</w:t>
            </w:r>
            <w:r w:rsidRPr="0025250D">
              <w:rPr>
                <w:rtl/>
              </w:rPr>
              <w:t xml:space="preserve"> افراد</w:t>
            </w:r>
            <w:r w:rsidRPr="0025250D">
              <w:rPr>
                <w:rFonts w:hint="cs"/>
                <w:rtl/>
              </w:rPr>
              <w:t xml:space="preserve"> و</w:t>
            </w:r>
            <w:r w:rsidRPr="0025250D">
              <w:rPr>
                <w:rtl/>
              </w:rPr>
              <w:t>سازمان ها</w:t>
            </w:r>
          </w:p>
        </w:tc>
        <w:tc>
          <w:tcPr>
            <w:tcW w:w="1438" w:type="dxa"/>
            <w:vAlign w:val="center"/>
          </w:tcPr>
          <w:p w14:paraId="0C6F47D4" w14:textId="77777777" w:rsidR="00537CC8" w:rsidRPr="0025250D" w:rsidRDefault="00537CC8" w:rsidP="00664E33">
            <w:pPr>
              <w:bidi/>
              <w:spacing w:after="160"/>
              <w:jc w:val="center"/>
              <w:rPr>
                <w:rtl/>
              </w:rPr>
            </w:pPr>
            <w:r w:rsidRPr="0025250D">
              <w:rPr>
                <w:rtl/>
              </w:rPr>
              <w:t>10 (ملبورن، استرال</w:t>
            </w:r>
            <w:r w:rsidRPr="0025250D">
              <w:rPr>
                <w:rFonts w:hint="cs"/>
                <w:rtl/>
              </w:rPr>
              <w:t>ی</w:t>
            </w:r>
            <w:r w:rsidRPr="0025250D">
              <w:rPr>
                <w:rFonts w:hint="eastAsia"/>
                <w:rtl/>
              </w:rPr>
              <w:t>ا</w:t>
            </w:r>
            <w:r w:rsidRPr="0025250D">
              <w:rPr>
                <w:rtl/>
              </w:rPr>
              <w:t>)</w:t>
            </w:r>
          </w:p>
        </w:tc>
      </w:tr>
      <w:tr w:rsidR="00537CC8" w:rsidRPr="0025250D" w14:paraId="42C74BB3" w14:textId="77777777" w:rsidTr="00664E33">
        <w:tc>
          <w:tcPr>
            <w:tcW w:w="2124" w:type="dxa"/>
            <w:vAlign w:val="center"/>
          </w:tcPr>
          <w:p w14:paraId="77DB4AB3" w14:textId="77777777" w:rsidR="00537CC8" w:rsidRPr="0025250D" w:rsidRDefault="007A207F" w:rsidP="00664E33">
            <w:pPr>
              <w:bidi/>
              <w:spacing w:after="160"/>
              <w:jc w:val="center"/>
              <w:rPr>
                <w:rtl/>
              </w:rPr>
            </w:pPr>
            <w:hyperlink r:id="rId510">
              <w:r w:rsidR="00537CC8" w:rsidRPr="0025250D">
                <w:rPr>
                  <w:rStyle w:val="Hyperlink"/>
                  <w:color w:val="auto"/>
                  <w:u w:val="none"/>
                </w:rPr>
                <w:t>Futures Lab</w:t>
              </w:r>
            </w:hyperlink>
          </w:p>
        </w:tc>
        <w:tc>
          <w:tcPr>
            <w:tcW w:w="3798" w:type="dxa"/>
            <w:vAlign w:val="center"/>
          </w:tcPr>
          <w:p w14:paraId="32CDBD06" w14:textId="52010BDE" w:rsidR="00537CC8" w:rsidRPr="0025250D" w:rsidRDefault="00537CC8" w:rsidP="00664E33">
            <w:pPr>
              <w:bidi/>
              <w:spacing w:after="160"/>
              <w:jc w:val="center"/>
              <w:rPr>
                <w:rtl/>
              </w:rPr>
            </w:pPr>
            <w:r w:rsidRPr="0025250D">
              <w:rPr>
                <w:rtl/>
              </w:rPr>
              <w:t>درک وودگ</w:t>
            </w:r>
            <w:r w:rsidRPr="0025250D">
              <w:rPr>
                <w:rFonts w:hint="cs"/>
                <w:rtl/>
              </w:rPr>
              <w:t>ی</w:t>
            </w:r>
            <w:r w:rsidRPr="0025250D">
              <w:rPr>
                <w:rFonts w:hint="eastAsia"/>
                <w:rtl/>
              </w:rPr>
              <w:t>ت</w:t>
            </w:r>
            <w:r w:rsidRPr="0025250D">
              <w:rPr>
                <w:vertAlign w:val="superscript"/>
                <w:rtl/>
              </w:rPr>
              <w:footnoteReference w:id="3201"/>
            </w:r>
            <w:r w:rsidRPr="0025250D">
              <w:rPr>
                <w:rFonts w:hint="eastAsia"/>
                <w:rtl/>
              </w:rPr>
              <w:t>؛</w:t>
            </w:r>
            <w:r w:rsidRPr="0025250D">
              <w:rPr>
                <w:rtl/>
              </w:rPr>
              <w:t xml:space="preserve"> مشاوره آینده‌</w:t>
            </w:r>
            <w:r w:rsidR="00E26538" w:rsidRPr="0025250D">
              <w:rPr>
                <w:rtl/>
              </w:rPr>
              <w:t>نگار</w:t>
            </w:r>
            <w:r w:rsidRPr="0025250D">
              <w:rPr>
                <w:rtl/>
              </w:rPr>
              <w:t>ی و نوآور</w:t>
            </w:r>
            <w:r w:rsidRPr="0025250D">
              <w:rPr>
                <w:rFonts w:hint="cs"/>
                <w:rtl/>
              </w:rPr>
              <w:t>ی</w:t>
            </w:r>
            <w:r w:rsidRPr="0025250D">
              <w:rPr>
                <w:rtl/>
              </w:rPr>
              <w:t>.</w:t>
            </w:r>
          </w:p>
        </w:tc>
        <w:tc>
          <w:tcPr>
            <w:tcW w:w="1438" w:type="dxa"/>
            <w:vAlign w:val="center"/>
          </w:tcPr>
          <w:p w14:paraId="19D95CBC" w14:textId="77777777" w:rsidR="00537CC8" w:rsidRPr="0025250D" w:rsidRDefault="00537CC8" w:rsidP="00664E33">
            <w:pPr>
              <w:bidi/>
              <w:spacing w:after="160"/>
              <w:jc w:val="center"/>
              <w:rPr>
                <w:rtl/>
              </w:rPr>
            </w:pPr>
            <w:r w:rsidRPr="0025250D">
              <w:rPr>
                <w:rtl/>
              </w:rPr>
              <w:t>1 (آست</w:t>
            </w:r>
            <w:r w:rsidRPr="0025250D">
              <w:rPr>
                <w:rFonts w:hint="cs"/>
                <w:rtl/>
              </w:rPr>
              <w:t>ی</w:t>
            </w:r>
            <w:r w:rsidRPr="0025250D">
              <w:rPr>
                <w:rFonts w:hint="eastAsia"/>
                <w:rtl/>
              </w:rPr>
              <w:t>ن</w:t>
            </w:r>
            <w:r w:rsidRPr="0025250D">
              <w:rPr>
                <w:rFonts w:hint="cs"/>
                <w:rtl/>
              </w:rPr>
              <w:t>)</w:t>
            </w:r>
          </w:p>
        </w:tc>
      </w:tr>
      <w:tr w:rsidR="00537CC8" w:rsidRPr="0025250D" w14:paraId="39A4FDFA" w14:textId="77777777" w:rsidTr="00664E33">
        <w:tc>
          <w:tcPr>
            <w:tcW w:w="2124" w:type="dxa"/>
            <w:vAlign w:val="center"/>
          </w:tcPr>
          <w:p w14:paraId="72AFDCBA" w14:textId="77777777" w:rsidR="00537CC8" w:rsidRPr="0025250D" w:rsidRDefault="007A207F" w:rsidP="00664E33">
            <w:pPr>
              <w:bidi/>
              <w:spacing w:after="160"/>
              <w:jc w:val="center"/>
              <w:rPr>
                <w:rtl/>
              </w:rPr>
            </w:pPr>
            <w:hyperlink r:id="rId511">
              <w:r w:rsidR="00537CC8" w:rsidRPr="0025250D">
                <w:rPr>
                  <w:rStyle w:val="Hyperlink"/>
                  <w:color w:val="auto"/>
                  <w:u w:val="none"/>
                </w:rPr>
                <w:t>Futurewise AB</w:t>
              </w:r>
            </w:hyperlink>
          </w:p>
        </w:tc>
        <w:tc>
          <w:tcPr>
            <w:tcW w:w="3798" w:type="dxa"/>
            <w:vAlign w:val="center"/>
          </w:tcPr>
          <w:p w14:paraId="5FB3CF71" w14:textId="1884710A" w:rsidR="00537CC8" w:rsidRPr="0025250D" w:rsidRDefault="00537CC8" w:rsidP="00664E33">
            <w:pPr>
              <w:bidi/>
              <w:spacing w:after="160"/>
              <w:jc w:val="center"/>
              <w:rPr>
                <w:rtl/>
              </w:rPr>
            </w:pPr>
            <w:r w:rsidRPr="0025250D">
              <w:rPr>
                <w:rtl/>
              </w:rPr>
              <w:t>پ</w:t>
            </w:r>
            <w:r w:rsidRPr="0025250D">
              <w:rPr>
                <w:rFonts w:hint="cs"/>
                <w:rtl/>
              </w:rPr>
              <w:t>ی</w:t>
            </w:r>
            <w:r w:rsidRPr="0025250D">
              <w:rPr>
                <w:rFonts w:hint="eastAsia"/>
                <w:rtl/>
              </w:rPr>
              <w:t>تر</w:t>
            </w:r>
            <w:r w:rsidRPr="0025250D">
              <w:rPr>
                <w:rtl/>
              </w:rPr>
              <w:t xml:space="preserve"> س</w:t>
            </w:r>
            <w:r w:rsidRPr="0025250D">
              <w:rPr>
                <w:rFonts w:hint="cs"/>
                <w:rtl/>
              </w:rPr>
              <w:t>ی</w:t>
            </w:r>
            <w:r w:rsidRPr="0025250D">
              <w:rPr>
                <w:rFonts w:hint="eastAsia"/>
                <w:rtl/>
              </w:rPr>
              <w:t>لجرود</w:t>
            </w:r>
            <w:r w:rsidRPr="0025250D">
              <w:rPr>
                <w:vertAlign w:val="superscript"/>
                <w:rtl/>
              </w:rPr>
              <w:footnoteReference w:id="3202"/>
            </w:r>
            <w:r w:rsidRPr="0025250D">
              <w:rPr>
                <w:rFonts w:hint="eastAsia"/>
                <w:rtl/>
              </w:rPr>
              <w:t>،</w:t>
            </w:r>
            <w:r w:rsidRPr="0025250D">
              <w:rPr>
                <w:rtl/>
              </w:rPr>
              <w:t xml:space="preserve"> توماس ادلوند</w:t>
            </w:r>
            <w:r w:rsidRPr="0025250D">
              <w:rPr>
                <w:vertAlign w:val="superscript"/>
                <w:rtl/>
              </w:rPr>
              <w:footnoteReference w:id="3203"/>
            </w:r>
            <w:r w:rsidRPr="0025250D">
              <w:rPr>
                <w:rFonts w:hint="cs"/>
                <w:rtl/>
              </w:rPr>
              <w:t>؛</w:t>
            </w:r>
            <w:r w:rsidRPr="0025250D">
              <w:rPr>
                <w:rtl/>
              </w:rPr>
              <w:t xml:space="preserve"> </w:t>
            </w:r>
            <w:r w:rsidR="00D92F6E" w:rsidRPr="0025250D">
              <w:rPr>
                <w:rtl/>
              </w:rPr>
              <w:t>پیش‌بین</w:t>
            </w:r>
            <w:r w:rsidRPr="0025250D">
              <w:rPr>
                <w:rFonts w:hint="cs"/>
                <w:rtl/>
              </w:rPr>
              <w:t>ی</w:t>
            </w:r>
            <w:r w:rsidRPr="0025250D">
              <w:rPr>
                <w:rtl/>
              </w:rPr>
              <w:t xml:space="preserve"> روند</w:t>
            </w:r>
          </w:p>
        </w:tc>
        <w:tc>
          <w:tcPr>
            <w:tcW w:w="1438" w:type="dxa"/>
            <w:vAlign w:val="center"/>
          </w:tcPr>
          <w:p w14:paraId="102A1645" w14:textId="77777777" w:rsidR="00537CC8" w:rsidRPr="0025250D" w:rsidRDefault="00537CC8" w:rsidP="00664E33">
            <w:pPr>
              <w:bidi/>
              <w:spacing w:after="160"/>
              <w:jc w:val="center"/>
              <w:rPr>
                <w:rtl/>
              </w:rPr>
            </w:pPr>
            <w:r w:rsidRPr="0025250D">
              <w:rPr>
                <w:rFonts w:hint="cs"/>
                <w:rtl/>
              </w:rPr>
              <w:t xml:space="preserve">3 </w:t>
            </w:r>
            <w:r w:rsidRPr="0025250D">
              <w:rPr>
                <w:rtl/>
              </w:rPr>
              <w:t>(کپنهاگ، سوئد)</w:t>
            </w:r>
          </w:p>
        </w:tc>
      </w:tr>
      <w:tr w:rsidR="00537CC8" w:rsidRPr="0025250D" w14:paraId="4EC99626" w14:textId="77777777" w:rsidTr="00664E33">
        <w:tc>
          <w:tcPr>
            <w:tcW w:w="2124" w:type="dxa"/>
            <w:vAlign w:val="center"/>
          </w:tcPr>
          <w:p w14:paraId="09B04068" w14:textId="77777777" w:rsidR="00537CC8" w:rsidRPr="0025250D" w:rsidRDefault="007A207F" w:rsidP="00664E33">
            <w:pPr>
              <w:bidi/>
              <w:spacing w:after="160"/>
              <w:jc w:val="center"/>
              <w:rPr>
                <w:rtl/>
              </w:rPr>
            </w:pPr>
            <w:hyperlink r:id="rId512">
              <w:r w:rsidR="00537CC8" w:rsidRPr="0025250D">
                <w:rPr>
                  <w:rStyle w:val="Hyperlink"/>
                  <w:color w:val="auto"/>
                  <w:u w:val="none"/>
                </w:rPr>
                <w:t>Futuribles</w:t>
              </w:r>
            </w:hyperlink>
          </w:p>
        </w:tc>
        <w:tc>
          <w:tcPr>
            <w:tcW w:w="3798" w:type="dxa"/>
            <w:vAlign w:val="center"/>
          </w:tcPr>
          <w:p w14:paraId="49A38E6D" w14:textId="2FE91A39" w:rsidR="00537CC8" w:rsidRPr="0025250D" w:rsidRDefault="00537CC8" w:rsidP="00664E33">
            <w:pPr>
              <w:bidi/>
              <w:spacing w:after="160"/>
              <w:jc w:val="center"/>
              <w:rPr>
                <w:rtl/>
              </w:rPr>
            </w:pPr>
            <w:r w:rsidRPr="0025250D">
              <w:rPr>
                <w:rtl/>
              </w:rPr>
              <w:t>هوگ دو ژوونل</w:t>
            </w:r>
            <w:r w:rsidRPr="0025250D">
              <w:rPr>
                <w:vertAlign w:val="superscript"/>
                <w:rtl/>
              </w:rPr>
              <w:footnoteReference w:id="3204"/>
            </w:r>
            <w:r w:rsidRPr="0025250D">
              <w:rPr>
                <w:rFonts w:hint="cs"/>
                <w:rtl/>
              </w:rPr>
              <w:t xml:space="preserve">؛ </w:t>
            </w:r>
            <w:r w:rsidRPr="0025250D">
              <w:rPr>
                <w:rtl/>
              </w:rPr>
              <w:t>تحق</w:t>
            </w:r>
            <w:r w:rsidRPr="0025250D">
              <w:rPr>
                <w:rFonts w:hint="cs"/>
                <w:rtl/>
              </w:rPr>
              <w:t>ی</w:t>
            </w:r>
            <w:r w:rsidRPr="0025250D">
              <w:rPr>
                <w:rFonts w:hint="eastAsia"/>
                <w:rtl/>
              </w:rPr>
              <w:t>قات</w:t>
            </w:r>
            <w:r w:rsidRPr="0025250D">
              <w:rPr>
                <w:rtl/>
              </w:rPr>
              <w:t xml:space="preserve"> آینده‌</w:t>
            </w:r>
            <w:r w:rsidR="00E26538" w:rsidRPr="0025250D">
              <w:rPr>
                <w:rtl/>
              </w:rPr>
              <w:t>نگار</w:t>
            </w:r>
            <w:r w:rsidRPr="0025250D">
              <w:rPr>
                <w:rtl/>
              </w:rPr>
              <w:t>ی از دهه 1960</w:t>
            </w:r>
          </w:p>
        </w:tc>
        <w:tc>
          <w:tcPr>
            <w:tcW w:w="1438" w:type="dxa"/>
            <w:vAlign w:val="center"/>
          </w:tcPr>
          <w:p w14:paraId="229BD1BA" w14:textId="77777777" w:rsidR="00537CC8" w:rsidRPr="0025250D" w:rsidRDefault="00537CC8" w:rsidP="00664E33">
            <w:pPr>
              <w:bidi/>
              <w:spacing w:after="160"/>
              <w:jc w:val="center"/>
              <w:rPr>
                <w:rtl/>
              </w:rPr>
            </w:pPr>
            <w:r w:rsidRPr="0025250D">
              <w:rPr>
                <w:rtl/>
              </w:rPr>
              <w:t>3 (پار</w:t>
            </w:r>
            <w:r w:rsidRPr="0025250D">
              <w:rPr>
                <w:rFonts w:hint="cs"/>
                <w:rtl/>
              </w:rPr>
              <w:t>ی</w:t>
            </w:r>
            <w:r w:rsidRPr="0025250D">
              <w:rPr>
                <w:rFonts w:hint="eastAsia"/>
                <w:rtl/>
              </w:rPr>
              <w:t>س،</w:t>
            </w:r>
            <w:r w:rsidRPr="0025250D">
              <w:rPr>
                <w:rtl/>
              </w:rPr>
              <w:t xml:space="preserve"> فرانسه)</w:t>
            </w:r>
          </w:p>
        </w:tc>
      </w:tr>
      <w:tr w:rsidR="00537CC8" w:rsidRPr="0025250D" w14:paraId="5032DA59" w14:textId="77777777" w:rsidTr="00664E33">
        <w:tc>
          <w:tcPr>
            <w:tcW w:w="2124" w:type="dxa"/>
            <w:vAlign w:val="center"/>
          </w:tcPr>
          <w:p w14:paraId="269217E2" w14:textId="77777777" w:rsidR="00537CC8" w:rsidRPr="0025250D" w:rsidRDefault="007A207F" w:rsidP="00664E33">
            <w:pPr>
              <w:bidi/>
              <w:spacing w:after="160"/>
              <w:jc w:val="center"/>
              <w:rPr>
                <w:rtl/>
              </w:rPr>
            </w:pPr>
            <w:hyperlink r:id="rId513">
              <w:r w:rsidR="00537CC8" w:rsidRPr="0025250D">
                <w:rPr>
                  <w:rStyle w:val="Hyperlink"/>
                  <w:color w:val="auto"/>
                  <w:u w:val="none"/>
                </w:rPr>
                <w:t>Futurist.com</w:t>
              </w:r>
            </w:hyperlink>
          </w:p>
        </w:tc>
        <w:tc>
          <w:tcPr>
            <w:tcW w:w="3798" w:type="dxa"/>
            <w:vAlign w:val="center"/>
          </w:tcPr>
          <w:p w14:paraId="4DAAF80A" w14:textId="37A9708E" w:rsidR="00537CC8" w:rsidRPr="0025250D" w:rsidRDefault="00537CC8" w:rsidP="00664E33">
            <w:pPr>
              <w:bidi/>
              <w:spacing w:after="160"/>
              <w:jc w:val="center"/>
              <w:rPr>
                <w:rtl/>
              </w:rPr>
            </w:pPr>
            <w:r w:rsidRPr="0025250D">
              <w:rPr>
                <w:rtl/>
              </w:rPr>
              <w:t>گلن ه</w:t>
            </w:r>
            <w:r w:rsidRPr="0025250D">
              <w:rPr>
                <w:rFonts w:hint="cs"/>
                <w:rtl/>
              </w:rPr>
              <w:t>ی</w:t>
            </w:r>
            <w:r w:rsidRPr="0025250D">
              <w:rPr>
                <w:rFonts w:hint="eastAsia"/>
                <w:rtl/>
              </w:rPr>
              <w:t>مسترا؛</w:t>
            </w:r>
            <w:r w:rsidRPr="0025250D">
              <w:rPr>
                <w:rtl/>
              </w:rPr>
              <w:t xml:space="preserve"> </w:t>
            </w:r>
            <w:r w:rsidRPr="0025250D">
              <w:rPr>
                <w:rFonts w:hint="cs"/>
                <w:rtl/>
              </w:rPr>
              <w:t>انتشارات</w:t>
            </w:r>
            <w:r w:rsidRPr="0025250D">
              <w:rPr>
                <w:rtl/>
              </w:rPr>
              <w:t xml:space="preserve"> آینده‌</w:t>
            </w:r>
            <w:r w:rsidR="00E26538" w:rsidRPr="0025250D">
              <w:rPr>
                <w:rtl/>
              </w:rPr>
              <w:t>نگار</w:t>
            </w:r>
            <w:r w:rsidRPr="0025250D">
              <w:rPr>
                <w:rtl/>
              </w:rPr>
              <w:t>ی</w:t>
            </w:r>
            <w:r w:rsidRPr="0025250D">
              <w:rPr>
                <w:rFonts w:hint="eastAsia"/>
                <w:rtl/>
              </w:rPr>
              <w:t>،</w:t>
            </w:r>
            <w:r w:rsidRPr="0025250D">
              <w:rPr>
                <w:rtl/>
              </w:rPr>
              <w:t xml:space="preserve"> سخنران</w:t>
            </w:r>
            <w:r w:rsidRPr="0025250D">
              <w:rPr>
                <w:rFonts w:hint="cs"/>
                <w:rtl/>
              </w:rPr>
              <w:t>ی</w:t>
            </w:r>
            <w:r w:rsidRPr="0025250D">
              <w:rPr>
                <w:rtl/>
              </w:rPr>
              <w:t xml:space="preserve"> و مشاوره.</w:t>
            </w:r>
          </w:p>
        </w:tc>
        <w:tc>
          <w:tcPr>
            <w:tcW w:w="1438" w:type="dxa"/>
            <w:vAlign w:val="center"/>
          </w:tcPr>
          <w:p w14:paraId="32FA87A7" w14:textId="77777777" w:rsidR="00537CC8" w:rsidRPr="0025250D" w:rsidRDefault="00537CC8" w:rsidP="00664E33">
            <w:pPr>
              <w:bidi/>
              <w:spacing w:after="160"/>
              <w:jc w:val="center"/>
              <w:rPr>
                <w:rtl/>
              </w:rPr>
            </w:pPr>
            <w:r w:rsidRPr="0025250D">
              <w:rPr>
                <w:rtl/>
              </w:rPr>
              <w:t>1 (</w:t>
            </w:r>
            <w:r w:rsidRPr="0025250D">
              <w:t>WA, USA</w:t>
            </w:r>
            <w:r w:rsidRPr="0025250D">
              <w:rPr>
                <w:rtl/>
              </w:rPr>
              <w:t>)</w:t>
            </w:r>
          </w:p>
        </w:tc>
      </w:tr>
      <w:tr w:rsidR="00537CC8" w:rsidRPr="0025250D" w14:paraId="0A073A56" w14:textId="77777777" w:rsidTr="00664E33">
        <w:tc>
          <w:tcPr>
            <w:tcW w:w="2124" w:type="dxa"/>
            <w:vAlign w:val="center"/>
          </w:tcPr>
          <w:p w14:paraId="49EF6984" w14:textId="77777777" w:rsidR="00537CC8" w:rsidRPr="0025250D" w:rsidRDefault="007A207F" w:rsidP="00664E33">
            <w:pPr>
              <w:bidi/>
              <w:spacing w:after="160"/>
              <w:jc w:val="center"/>
              <w:rPr>
                <w:rtl/>
              </w:rPr>
            </w:pPr>
            <w:hyperlink r:id="rId514">
              <w:r w:rsidR="00537CC8" w:rsidRPr="0025250D">
                <w:rPr>
                  <w:rStyle w:val="Hyperlink"/>
                  <w:color w:val="auto"/>
                  <w:u w:val="none"/>
                </w:rPr>
                <w:t>Global Change</w:t>
              </w:r>
            </w:hyperlink>
          </w:p>
        </w:tc>
        <w:tc>
          <w:tcPr>
            <w:tcW w:w="3798" w:type="dxa"/>
            <w:vAlign w:val="center"/>
          </w:tcPr>
          <w:p w14:paraId="00AFB6FD" w14:textId="347FA2BF" w:rsidR="00537CC8" w:rsidRPr="0025250D" w:rsidRDefault="00537CC8" w:rsidP="00664E33">
            <w:pPr>
              <w:bidi/>
              <w:spacing w:after="160"/>
              <w:jc w:val="center"/>
              <w:rPr>
                <w:rtl/>
              </w:rPr>
            </w:pPr>
            <w:r w:rsidRPr="0025250D">
              <w:rPr>
                <w:rtl/>
              </w:rPr>
              <w:t>پاتر</w:t>
            </w:r>
            <w:r w:rsidRPr="0025250D">
              <w:rPr>
                <w:rFonts w:hint="cs"/>
                <w:rtl/>
              </w:rPr>
              <w:t>ی</w:t>
            </w:r>
            <w:r w:rsidRPr="0025250D">
              <w:rPr>
                <w:rFonts w:hint="eastAsia"/>
                <w:rtl/>
              </w:rPr>
              <w:t>ک</w:t>
            </w:r>
            <w:r w:rsidRPr="0025250D">
              <w:rPr>
                <w:rtl/>
              </w:rPr>
              <w:t xml:space="preserve"> د</w:t>
            </w:r>
            <w:r w:rsidRPr="0025250D">
              <w:rPr>
                <w:rFonts w:hint="cs"/>
                <w:rtl/>
              </w:rPr>
              <w:t>ی</w:t>
            </w:r>
            <w:r w:rsidRPr="0025250D">
              <w:rPr>
                <w:rFonts w:hint="eastAsia"/>
                <w:rtl/>
              </w:rPr>
              <w:t>کسون</w:t>
            </w:r>
            <w:r w:rsidRPr="0025250D">
              <w:rPr>
                <w:vertAlign w:val="superscript"/>
                <w:rtl/>
              </w:rPr>
              <w:footnoteReference w:id="3205"/>
            </w:r>
            <w:r w:rsidRPr="0025250D">
              <w:rPr>
                <w:rFonts w:hint="eastAsia"/>
                <w:rtl/>
              </w:rPr>
              <w:t>؛</w:t>
            </w:r>
            <w:r w:rsidRPr="0025250D">
              <w:rPr>
                <w:rtl/>
              </w:rPr>
              <w:t xml:space="preserve"> روندها، </w:t>
            </w:r>
            <w:r w:rsidR="00701E03" w:rsidRPr="0025250D">
              <w:rPr>
                <w:rtl/>
              </w:rPr>
              <w:t>راهبرد</w:t>
            </w:r>
            <w:r w:rsidRPr="0025250D">
              <w:rPr>
                <w:rFonts w:hint="eastAsia"/>
                <w:rtl/>
              </w:rPr>
              <w:t>،</w:t>
            </w:r>
            <w:r w:rsidRPr="0025250D">
              <w:rPr>
                <w:rtl/>
              </w:rPr>
              <w:t xml:space="preserve"> </w:t>
            </w:r>
            <w:r w:rsidRPr="0025250D">
              <w:rPr>
                <w:rFonts w:hint="cs"/>
                <w:rtl/>
              </w:rPr>
              <w:t>سخرانی</w:t>
            </w:r>
            <w:r w:rsidRPr="0025250D">
              <w:rPr>
                <w:rtl/>
              </w:rPr>
              <w:t>، مشاوره.</w:t>
            </w:r>
          </w:p>
        </w:tc>
        <w:tc>
          <w:tcPr>
            <w:tcW w:w="1438" w:type="dxa"/>
            <w:vAlign w:val="center"/>
          </w:tcPr>
          <w:p w14:paraId="700BA6B4" w14:textId="77777777" w:rsidR="00537CC8" w:rsidRPr="0025250D" w:rsidRDefault="00537CC8" w:rsidP="00664E33">
            <w:pPr>
              <w:bidi/>
              <w:spacing w:after="160"/>
              <w:jc w:val="center"/>
              <w:rPr>
                <w:rtl/>
              </w:rPr>
            </w:pPr>
            <w:r w:rsidRPr="0025250D">
              <w:rPr>
                <w:rtl/>
              </w:rPr>
              <w:t>1 (لندن، انگلستان)</w:t>
            </w:r>
          </w:p>
        </w:tc>
      </w:tr>
      <w:tr w:rsidR="00537CC8" w:rsidRPr="0025250D" w14:paraId="23C740B5" w14:textId="77777777" w:rsidTr="00664E33">
        <w:tc>
          <w:tcPr>
            <w:tcW w:w="2124" w:type="dxa"/>
            <w:vAlign w:val="center"/>
          </w:tcPr>
          <w:p w14:paraId="5255A652" w14:textId="77777777" w:rsidR="00537CC8" w:rsidRPr="0025250D" w:rsidRDefault="007A207F" w:rsidP="00664E33">
            <w:pPr>
              <w:bidi/>
              <w:spacing w:after="160"/>
              <w:jc w:val="center"/>
              <w:rPr>
                <w:rtl/>
              </w:rPr>
            </w:pPr>
            <w:hyperlink r:id="rId515">
              <w:r w:rsidR="00537CC8" w:rsidRPr="0025250D">
                <w:rPr>
                  <w:rStyle w:val="Hyperlink"/>
                  <w:color w:val="auto"/>
                  <w:u w:val="none"/>
                </w:rPr>
                <w:t>Group Resources Prospective</w:t>
              </w:r>
            </w:hyperlink>
          </w:p>
        </w:tc>
        <w:tc>
          <w:tcPr>
            <w:tcW w:w="3798" w:type="dxa"/>
            <w:vAlign w:val="center"/>
          </w:tcPr>
          <w:p w14:paraId="3ADA70A8" w14:textId="60A9B0B8" w:rsidR="00537CC8" w:rsidRPr="0025250D" w:rsidRDefault="00537CC8" w:rsidP="00664E33">
            <w:pPr>
              <w:bidi/>
              <w:spacing w:after="160"/>
              <w:jc w:val="center"/>
              <w:rPr>
                <w:rtl/>
              </w:rPr>
            </w:pPr>
            <w:r w:rsidRPr="0025250D">
              <w:rPr>
                <w:rtl/>
              </w:rPr>
              <w:t>فرانسوا بورس</w:t>
            </w:r>
            <w:r w:rsidRPr="0025250D">
              <w:rPr>
                <w:vertAlign w:val="superscript"/>
                <w:rtl/>
              </w:rPr>
              <w:footnoteReference w:id="3206"/>
            </w:r>
            <w:r w:rsidRPr="0025250D">
              <w:rPr>
                <w:rtl/>
              </w:rPr>
              <w:t>؛ مشاوره آینده‌</w:t>
            </w:r>
            <w:r w:rsidR="00E26538" w:rsidRPr="0025250D">
              <w:rPr>
                <w:rtl/>
              </w:rPr>
              <w:t>نگار</w:t>
            </w:r>
            <w:r w:rsidRPr="0025250D">
              <w:rPr>
                <w:rtl/>
              </w:rPr>
              <w:t>ی</w:t>
            </w:r>
          </w:p>
        </w:tc>
        <w:tc>
          <w:tcPr>
            <w:tcW w:w="1438" w:type="dxa"/>
            <w:vAlign w:val="center"/>
          </w:tcPr>
          <w:p w14:paraId="6920A0D7" w14:textId="77777777" w:rsidR="00537CC8" w:rsidRPr="0025250D" w:rsidRDefault="00537CC8" w:rsidP="00664E33">
            <w:pPr>
              <w:bidi/>
              <w:spacing w:after="160"/>
              <w:jc w:val="center"/>
              <w:rPr>
                <w:rtl/>
              </w:rPr>
            </w:pPr>
            <w:r w:rsidRPr="0025250D">
              <w:rPr>
                <w:rtl/>
              </w:rPr>
              <w:t>3 (پار</w:t>
            </w:r>
            <w:r w:rsidRPr="0025250D">
              <w:rPr>
                <w:rFonts w:hint="cs"/>
                <w:rtl/>
              </w:rPr>
              <w:t>ی</w:t>
            </w:r>
            <w:r w:rsidRPr="0025250D">
              <w:rPr>
                <w:rFonts w:hint="eastAsia"/>
                <w:rtl/>
              </w:rPr>
              <w:t>س،</w:t>
            </w:r>
            <w:r w:rsidRPr="0025250D">
              <w:rPr>
                <w:rtl/>
              </w:rPr>
              <w:t xml:space="preserve"> فرانسه)</w:t>
            </w:r>
          </w:p>
        </w:tc>
      </w:tr>
      <w:tr w:rsidR="00537CC8" w:rsidRPr="0025250D" w14:paraId="7C122EF5" w14:textId="77777777" w:rsidTr="00664E33">
        <w:tc>
          <w:tcPr>
            <w:tcW w:w="2124" w:type="dxa"/>
            <w:vAlign w:val="center"/>
          </w:tcPr>
          <w:p w14:paraId="2E0A291C" w14:textId="77777777" w:rsidR="00537CC8" w:rsidRPr="0025250D" w:rsidRDefault="007A207F" w:rsidP="00664E33">
            <w:pPr>
              <w:bidi/>
              <w:spacing w:after="160"/>
              <w:jc w:val="center"/>
              <w:rPr>
                <w:rtl/>
              </w:rPr>
            </w:pPr>
            <w:hyperlink r:id="rId516">
              <w:r w:rsidR="00537CC8" w:rsidRPr="0025250D">
                <w:rPr>
                  <w:rStyle w:val="Hyperlink"/>
                  <w:color w:val="auto"/>
                  <w:u w:val="none"/>
                </w:rPr>
                <w:t>Hybrid Reality Institute</w:t>
              </w:r>
            </w:hyperlink>
          </w:p>
        </w:tc>
        <w:tc>
          <w:tcPr>
            <w:tcW w:w="3798" w:type="dxa"/>
            <w:vAlign w:val="center"/>
          </w:tcPr>
          <w:p w14:paraId="56D7EA57" w14:textId="615EAA21" w:rsidR="00537CC8" w:rsidRPr="0025250D" w:rsidRDefault="00537CC8" w:rsidP="00664E33">
            <w:pPr>
              <w:bidi/>
              <w:spacing w:after="160"/>
              <w:jc w:val="center"/>
              <w:rPr>
                <w:rtl/>
              </w:rPr>
            </w:pPr>
            <w:r w:rsidRPr="0025250D">
              <w:rPr>
                <w:rtl/>
              </w:rPr>
              <w:t>پاراگ خانا</w:t>
            </w:r>
            <w:r w:rsidRPr="0025250D">
              <w:rPr>
                <w:vertAlign w:val="superscript"/>
                <w:rtl/>
              </w:rPr>
              <w:footnoteReference w:id="3207"/>
            </w:r>
            <w:r w:rsidRPr="0025250D">
              <w:rPr>
                <w:rFonts w:hint="cs"/>
                <w:rtl/>
              </w:rPr>
              <w:t>؛</w:t>
            </w:r>
            <w:r w:rsidRPr="0025250D">
              <w:rPr>
                <w:rtl/>
              </w:rPr>
              <w:t xml:space="preserve"> آینده‌</w:t>
            </w:r>
            <w:r w:rsidR="00E26538" w:rsidRPr="0025250D">
              <w:rPr>
                <w:rtl/>
              </w:rPr>
              <w:t>نگار</w:t>
            </w:r>
            <w:r w:rsidRPr="0025250D">
              <w:rPr>
                <w:rtl/>
              </w:rPr>
              <w:t>ی شهر</w:t>
            </w:r>
            <w:r w:rsidRPr="0025250D">
              <w:rPr>
                <w:rFonts w:hint="cs"/>
                <w:rtl/>
              </w:rPr>
              <w:t>ی</w:t>
            </w:r>
            <w:r w:rsidRPr="0025250D">
              <w:rPr>
                <w:rtl/>
              </w:rPr>
              <w:t xml:space="preserve"> و ژئو</w:t>
            </w:r>
            <w:r w:rsidR="00701E03" w:rsidRPr="0025250D">
              <w:rPr>
                <w:rtl/>
              </w:rPr>
              <w:t>راهبردی</w:t>
            </w:r>
          </w:p>
        </w:tc>
        <w:tc>
          <w:tcPr>
            <w:tcW w:w="1438" w:type="dxa"/>
            <w:vAlign w:val="center"/>
          </w:tcPr>
          <w:p w14:paraId="3445FD46" w14:textId="77777777" w:rsidR="00537CC8" w:rsidRPr="0025250D" w:rsidRDefault="00537CC8" w:rsidP="00664E33">
            <w:pPr>
              <w:bidi/>
              <w:spacing w:after="160"/>
              <w:jc w:val="center"/>
              <w:rPr>
                <w:rtl/>
              </w:rPr>
            </w:pPr>
            <w:r w:rsidRPr="0025250D">
              <w:rPr>
                <w:rtl/>
              </w:rPr>
              <w:t>3 (لندن، انگلستان)</w:t>
            </w:r>
          </w:p>
        </w:tc>
      </w:tr>
      <w:tr w:rsidR="00537CC8" w:rsidRPr="0025250D" w14:paraId="595A9DAE" w14:textId="77777777" w:rsidTr="00664E33">
        <w:tc>
          <w:tcPr>
            <w:tcW w:w="2124" w:type="dxa"/>
            <w:vAlign w:val="center"/>
          </w:tcPr>
          <w:p w14:paraId="60A0669C" w14:textId="77777777" w:rsidR="00537CC8" w:rsidRPr="0025250D" w:rsidRDefault="007A207F" w:rsidP="00664E33">
            <w:pPr>
              <w:bidi/>
              <w:spacing w:after="160"/>
              <w:jc w:val="center"/>
              <w:rPr>
                <w:rtl/>
              </w:rPr>
            </w:pPr>
            <w:hyperlink r:id="rId517">
              <w:r w:rsidR="00537CC8" w:rsidRPr="0025250D">
                <w:rPr>
                  <w:rStyle w:val="Hyperlink"/>
                  <w:color w:val="auto"/>
                  <w:u w:val="none"/>
                </w:rPr>
                <w:t>Impetu Solutions</w:t>
              </w:r>
            </w:hyperlink>
          </w:p>
        </w:tc>
        <w:tc>
          <w:tcPr>
            <w:tcW w:w="3798" w:type="dxa"/>
            <w:vAlign w:val="center"/>
          </w:tcPr>
          <w:p w14:paraId="048D6763" w14:textId="1E0E1B69" w:rsidR="00537CC8" w:rsidRPr="0025250D" w:rsidRDefault="00537CC8" w:rsidP="00664E33">
            <w:pPr>
              <w:bidi/>
              <w:spacing w:after="160"/>
              <w:jc w:val="center"/>
              <w:rPr>
                <w:rtl/>
              </w:rPr>
            </w:pPr>
            <w:r w:rsidRPr="0025250D">
              <w:rPr>
                <w:rtl/>
              </w:rPr>
              <w:t>توفل</w:t>
            </w:r>
            <w:r w:rsidRPr="0025250D">
              <w:rPr>
                <w:rFonts w:hint="cs"/>
                <w:rtl/>
              </w:rPr>
              <w:t>ی</w:t>
            </w:r>
            <w:r w:rsidRPr="0025250D">
              <w:rPr>
                <w:rtl/>
              </w:rPr>
              <w:t xml:space="preserve"> کنولا</w:t>
            </w:r>
            <w:r w:rsidRPr="0025250D">
              <w:rPr>
                <w:vertAlign w:val="superscript"/>
                <w:rtl/>
              </w:rPr>
              <w:footnoteReference w:id="3208"/>
            </w:r>
            <w:r w:rsidRPr="0025250D">
              <w:rPr>
                <w:rFonts w:hint="cs"/>
                <w:rtl/>
              </w:rPr>
              <w:t>؛</w:t>
            </w:r>
            <w:r w:rsidRPr="0025250D">
              <w:rPr>
                <w:rtl/>
              </w:rPr>
              <w:t xml:space="preserve"> آینده‌</w:t>
            </w:r>
            <w:r w:rsidR="00E26538" w:rsidRPr="0025250D">
              <w:rPr>
                <w:rtl/>
              </w:rPr>
              <w:t>نگار</w:t>
            </w:r>
            <w:r w:rsidRPr="0025250D">
              <w:rPr>
                <w:rtl/>
              </w:rPr>
              <w:t>ی</w:t>
            </w:r>
            <w:r w:rsidRPr="0025250D">
              <w:rPr>
                <w:rFonts w:hint="eastAsia"/>
                <w:rtl/>
              </w:rPr>
              <w:t>،</w:t>
            </w:r>
            <w:r w:rsidRPr="0025250D">
              <w:rPr>
                <w:rtl/>
              </w:rPr>
              <w:t xml:space="preserve"> مشاوره نوآور</w:t>
            </w:r>
            <w:r w:rsidRPr="0025250D">
              <w:rPr>
                <w:rFonts w:hint="cs"/>
                <w:rtl/>
              </w:rPr>
              <w:t>ی</w:t>
            </w:r>
            <w:r w:rsidRPr="0025250D">
              <w:rPr>
                <w:rtl/>
              </w:rPr>
              <w:t xml:space="preserve"> </w:t>
            </w:r>
            <w:r w:rsidR="008D6F97" w:rsidRPr="0025250D">
              <w:rPr>
                <w:rtl/>
              </w:rPr>
              <w:t>سامانه‌ای</w:t>
            </w:r>
            <w:r w:rsidRPr="0025250D">
              <w:rPr>
                <w:rtl/>
              </w:rPr>
              <w:t xml:space="preserve"> و نرم افزار. بخش عموم</w:t>
            </w:r>
            <w:r w:rsidRPr="0025250D">
              <w:rPr>
                <w:rFonts w:hint="cs"/>
                <w:rtl/>
              </w:rPr>
              <w:t>ی محور</w:t>
            </w:r>
          </w:p>
        </w:tc>
        <w:tc>
          <w:tcPr>
            <w:tcW w:w="1438" w:type="dxa"/>
            <w:vAlign w:val="center"/>
          </w:tcPr>
          <w:p w14:paraId="3FC3E5FB" w14:textId="77777777" w:rsidR="00537CC8" w:rsidRPr="0025250D" w:rsidRDefault="00537CC8" w:rsidP="00664E33">
            <w:pPr>
              <w:bidi/>
              <w:spacing w:after="160"/>
              <w:jc w:val="center"/>
              <w:rPr>
                <w:rtl/>
              </w:rPr>
            </w:pPr>
            <w:r w:rsidRPr="0025250D">
              <w:rPr>
                <w:rtl/>
              </w:rPr>
              <w:t>3 (اسپو، فنلاند؛ مادر</w:t>
            </w:r>
            <w:r w:rsidRPr="0025250D">
              <w:rPr>
                <w:rFonts w:hint="cs"/>
                <w:rtl/>
              </w:rPr>
              <w:t>ی</w:t>
            </w:r>
            <w:r w:rsidRPr="0025250D">
              <w:rPr>
                <w:rFonts w:hint="eastAsia"/>
                <w:rtl/>
              </w:rPr>
              <w:t>د،</w:t>
            </w:r>
            <w:r w:rsidRPr="0025250D">
              <w:rPr>
                <w:rtl/>
              </w:rPr>
              <w:t xml:space="preserve"> اسپان</w:t>
            </w:r>
            <w:r w:rsidRPr="0025250D">
              <w:rPr>
                <w:rFonts w:hint="cs"/>
                <w:rtl/>
              </w:rPr>
              <w:t>ی</w:t>
            </w:r>
            <w:r w:rsidRPr="0025250D">
              <w:rPr>
                <w:rFonts w:hint="eastAsia"/>
                <w:rtl/>
              </w:rPr>
              <w:t>ا</w:t>
            </w:r>
            <w:r w:rsidRPr="0025250D">
              <w:rPr>
                <w:rtl/>
              </w:rPr>
              <w:t>)</w:t>
            </w:r>
          </w:p>
        </w:tc>
      </w:tr>
      <w:tr w:rsidR="00537CC8" w:rsidRPr="0025250D" w14:paraId="0DFDCCD4" w14:textId="77777777" w:rsidTr="00664E33">
        <w:tc>
          <w:tcPr>
            <w:tcW w:w="2124" w:type="dxa"/>
            <w:vAlign w:val="center"/>
          </w:tcPr>
          <w:p w14:paraId="046011B4" w14:textId="77777777" w:rsidR="00537CC8" w:rsidRPr="0025250D" w:rsidRDefault="007A207F" w:rsidP="00664E33">
            <w:pPr>
              <w:bidi/>
              <w:spacing w:after="160"/>
              <w:jc w:val="center"/>
              <w:rPr>
                <w:rtl/>
              </w:rPr>
            </w:pPr>
            <w:hyperlink r:id="rId518">
              <w:r w:rsidR="00537CC8" w:rsidRPr="0025250D">
                <w:rPr>
                  <w:rStyle w:val="Hyperlink"/>
                  <w:color w:val="auto"/>
                  <w:u w:val="none"/>
                </w:rPr>
                <w:t>Inﬁnite Futures</w:t>
              </w:r>
            </w:hyperlink>
          </w:p>
        </w:tc>
        <w:tc>
          <w:tcPr>
            <w:tcW w:w="3798" w:type="dxa"/>
            <w:vAlign w:val="center"/>
          </w:tcPr>
          <w:p w14:paraId="7493D2AC" w14:textId="1D8E9B21" w:rsidR="00537CC8" w:rsidRPr="0025250D" w:rsidRDefault="00537CC8" w:rsidP="00664E33">
            <w:pPr>
              <w:bidi/>
              <w:spacing w:after="160"/>
              <w:jc w:val="center"/>
              <w:rPr>
                <w:rtl/>
              </w:rPr>
            </w:pPr>
            <w:r w:rsidRPr="0025250D">
              <w:rPr>
                <w:rtl/>
              </w:rPr>
              <w:t>وند</w:t>
            </w:r>
            <w:r w:rsidRPr="0025250D">
              <w:rPr>
                <w:rFonts w:hint="cs"/>
                <w:rtl/>
              </w:rPr>
              <w:t>ی</w:t>
            </w:r>
            <w:r w:rsidRPr="0025250D">
              <w:rPr>
                <w:rtl/>
              </w:rPr>
              <w:t xml:space="preserve"> شولد</w:t>
            </w:r>
            <w:r w:rsidRPr="0025250D">
              <w:rPr>
                <w:vertAlign w:val="superscript"/>
                <w:rtl/>
              </w:rPr>
              <w:footnoteReference w:id="3209"/>
            </w:r>
            <w:r w:rsidRPr="0025250D">
              <w:rPr>
                <w:rFonts w:hint="cs"/>
                <w:rtl/>
              </w:rPr>
              <w:t>؛</w:t>
            </w:r>
            <w:r w:rsidRPr="0025250D">
              <w:rPr>
                <w:rtl/>
              </w:rPr>
              <w:t xml:space="preserve"> آینده‌</w:t>
            </w:r>
            <w:r w:rsidR="00E26538" w:rsidRPr="0025250D">
              <w:rPr>
                <w:rtl/>
              </w:rPr>
              <w:t>نگار</w:t>
            </w:r>
            <w:r w:rsidRPr="0025250D">
              <w:rPr>
                <w:rtl/>
              </w:rPr>
              <w:t>ی</w:t>
            </w:r>
            <w:r w:rsidRPr="0025250D">
              <w:rPr>
                <w:rFonts w:hint="eastAsia"/>
                <w:rtl/>
              </w:rPr>
              <w:t>،</w:t>
            </w:r>
            <w:r w:rsidRPr="0025250D">
              <w:rPr>
                <w:rtl/>
              </w:rPr>
              <w:t xml:space="preserve"> </w:t>
            </w:r>
            <w:r w:rsidR="00B56611" w:rsidRPr="0025250D">
              <w:rPr>
                <w:rtl/>
              </w:rPr>
              <w:t>چشم‌انداز</w:t>
            </w:r>
            <w:r w:rsidRPr="0025250D">
              <w:rPr>
                <w:rtl/>
              </w:rPr>
              <w:t>، تسه</w:t>
            </w:r>
            <w:r w:rsidRPr="0025250D">
              <w:rPr>
                <w:rFonts w:hint="cs"/>
                <w:rtl/>
              </w:rPr>
              <w:t>ی</w:t>
            </w:r>
            <w:r w:rsidRPr="0025250D">
              <w:rPr>
                <w:rFonts w:hint="eastAsia"/>
                <w:rtl/>
              </w:rPr>
              <w:t>ل</w:t>
            </w:r>
          </w:p>
        </w:tc>
        <w:tc>
          <w:tcPr>
            <w:tcW w:w="1438" w:type="dxa"/>
            <w:vAlign w:val="center"/>
          </w:tcPr>
          <w:p w14:paraId="6605F7BC" w14:textId="77777777" w:rsidR="00537CC8" w:rsidRPr="0025250D" w:rsidRDefault="00537CC8" w:rsidP="00664E33">
            <w:pPr>
              <w:bidi/>
              <w:spacing w:after="160"/>
              <w:jc w:val="center"/>
              <w:rPr>
                <w:rtl/>
              </w:rPr>
            </w:pPr>
            <w:r w:rsidRPr="0025250D">
              <w:rPr>
                <w:rtl/>
              </w:rPr>
              <w:t>3 (آکسفورد، انگلستان)</w:t>
            </w:r>
          </w:p>
        </w:tc>
      </w:tr>
      <w:tr w:rsidR="00537CC8" w:rsidRPr="0025250D" w14:paraId="2D174ED6" w14:textId="77777777" w:rsidTr="00664E33">
        <w:tc>
          <w:tcPr>
            <w:tcW w:w="2124" w:type="dxa"/>
            <w:vAlign w:val="center"/>
          </w:tcPr>
          <w:p w14:paraId="5CA79936" w14:textId="77777777" w:rsidR="00537CC8" w:rsidRPr="0025250D" w:rsidRDefault="007A207F" w:rsidP="00664E33">
            <w:pPr>
              <w:bidi/>
              <w:spacing w:after="160"/>
              <w:jc w:val="center"/>
              <w:rPr>
                <w:rtl/>
              </w:rPr>
            </w:pPr>
            <w:hyperlink r:id="rId519">
              <w:r w:rsidR="00537CC8" w:rsidRPr="0025250D">
                <w:rPr>
                  <w:rStyle w:val="Hyperlink"/>
                  <w:color w:val="auto"/>
                  <w:u w:val="none"/>
                </w:rPr>
                <w:t>Inst. for Ethics &amp; Emerg Tech</w:t>
              </w:r>
            </w:hyperlink>
          </w:p>
        </w:tc>
        <w:tc>
          <w:tcPr>
            <w:tcW w:w="3798" w:type="dxa"/>
            <w:vAlign w:val="center"/>
          </w:tcPr>
          <w:p w14:paraId="24AD8F4D" w14:textId="6DBBC785" w:rsidR="00537CC8" w:rsidRPr="0025250D" w:rsidRDefault="00537CC8" w:rsidP="00664E33">
            <w:pPr>
              <w:bidi/>
              <w:spacing w:after="160"/>
              <w:jc w:val="center"/>
              <w:rPr>
                <w:rtl/>
              </w:rPr>
            </w:pPr>
            <w:r w:rsidRPr="0025250D">
              <w:rPr>
                <w:rtl/>
              </w:rPr>
              <w:t>ج</w:t>
            </w:r>
            <w:r w:rsidRPr="0025250D">
              <w:rPr>
                <w:rFonts w:hint="cs"/>
                <w:rtl/>
              </w:rPr>
              <w:t>ی</w:t>
            </w:r>
            <w:r w:rsidRPr="0025250D">
              <w:rPr>
                <w:rFonts w:hint="eastAsia"/>
                <w:rtl/>
              </w:rPr>
              <w:t>مز</w:t>
            </w:r>
            <w:r w:rsidRPr="0025250D">
              <w:rPr>
                <w:rtl/>
              </w:rPr>
              <w:t xml:space="preserve"> ه</w:t>
            </w:r>
            <w:r w:rsidRPr="0025250D">
              <w:rPr>
                <w:rFonts w:hint="cs"/>
                <w:rtl/>
              </w:rPr>
              <w:t>ی</w:t>
            </w:r>
            <w:r w:rsidRPr="0025250D">
              <w:rPr>
                <w:rFonts w:hint="eastAsia"/>
                <w:rtl/>
              </w:rPr>
              <w:t>وز</w:t>
            </w:r>
            <w:r w:rsidRPr="0025250D">
              <w:rPr>
                <w:vertAlign w:val="superscript"/>
                <w:rtl/>
              </w:rPr>
              <w:footnoteReference w:id="3210"/>
            </w:r>
            <w:r w:rsidRPr="0025250D">
              <w:rPr>
                <w:rFonts w:hint="eastAsia"/>
                <w:rtl/>
              </w:rPr>
              <w:t>؛</w:t>
            </w:r>
            <w:r w:rsidRPr="0025250D">
              <w:rPr>
                <w:rtl/>
              </w:rPr>
              <w:t xml:space="preserve"> فناور</w:t>
            </w:r>
            <w:r w:rsidRPr="0025250D">
              <w:rPr>
                <w:rFonts w:hint="cs"/>
                <w:rtl/>
              </w:rPr>
              <w:t>ی</w:t>
            </w:r>
            <w:r w:rsidRPr="0025250D">
              <w:rPr>
                <w:rtl/>
              </w:rPr>
              <w:t xml:space="preserve"> و آینده‌</w:t>
            </w:r>
            <w:r w:rsidR="00E26538" w:rsidRPr="0025250D">
              <w:rPr>
                <w:rtl/>
              </w:rPr>
              <w:t>نگار</w:t>
            </w:r>
            <w:r w:rsidRPr="0025250D">
              <w:rPr>
                <w:rtl/>
              </w:rPr>
              <w:t>ی فراانسان</w:t>
            </w:r>
            <w:r w:rsidRPr="0025250D">
              <w:rPr>
                <w:rFonts w:hint="cs"/>
                <w:rtl/>
              </w:rPr>
              <w:t>ی</w:t>
            </w:r>
            <w:r w:rsidRPr="0025250D">
              <w:rPr>
                <w:rtl/>
              </w:rPr>
              <w:t>.</w:t>
            </w:r>
          </w:p>
        </w:tc>
        <w:tc>
          <w:tcPr>
            <w:tcW w:w="1438" w:type="dxa"/>
            <w:vAlign w:val="center"/>
          </w:tcPr>
          <w:p w14:paraId="315F38EB" w14:textId="77777777" w:rsidR="00537CC8" w:rsidRPr="0025250D" w:rsidRDefault="00537CC8" w:rsidP="00664E33">
            <w:pPr>
              <w:bidi/>
              <w:spacing w:after="160"/>
              <w:jc w:val="center"/>
              <w:rPr>
                <w:rtl/>
              </w:rPr>
            </w:pPr>
            <w:r w:rsidRPr="0025250D">
              <w:rPr>
                <w:rtl/>
              </w:rPr>
              <w:t>1 (هارتفورد، س</w:t>
            </w:r>
            <w:r w:rsidRPr="0025250D">
              <w:rPr>
                <w:rFonts w:hint="cs"/>
                <w:rtl/>
              </w:rPr>
              <w:t>ی</w:t>
            </w:r>
            <w:r w:rsidRPr="0025250D">
              <w:rPr>
                <w:rtl/>
              </w:rPr>
              <w:t xml:space="preserve"> ت</w:t>
            </w:r>
            <w:r w:rsidRPr="0025250D">
              <w:rPr>
                <w:rFonts w:hint="cs"/>
                <w:rtl/>
              </w:rPr>
              <w:t>ی</w:t>
            </w:r>
            <w:r w:rsidRPr="0025250D">
              <w:rPr>
                <w:rtl/>
              </w:rPr>
              <w:t>)</w:t>
            </w:r>
          </w:p>
        </w:tc>
      </w:tr>
      <w:tr w:rsidR="00537CC8" w:rsidRPr="0025250D" w14:paraId="1060ABD9" w14:textId="77777777" w:rsidTr="00664E33">
        <w:tc>
          <w:tcPr>
            <w:tcW w:w="2124" w:type="dxa"/>
            <w:vAlign w:val="center"/>
          </w:tcPr>
          <w:p w14:paraId="72383BCF" w14:textId="77777777" w:rsidR="00537CC8" w:rsidRPr="0025250D" w:rsidRDefault="007A207F" w:rsidP="00664E33">
            <w:pPr>
              <w:bidi/>
              <w:spacing w:after="160"/>
              <w:jc w:val="center"/>
              <w:rPr>
                <w:rtl/>
              </w:rPr>
            </w:pPr>
            <w:hyperlink r:id="rId520">
              <w:r w:rsidR="00537CC8" w:rsidRPr="0025250D">
                <w:rPr>
                  <w:rStyle w:val="Hyperlink"/>
                  <w:color w:val="auto"/>
                  <w:u w:val="none"/>
                </w:rPr>
                <w:t>Inst. for Global Futures</w:t>
              </w:r>
            </w:hyperlink>
          </w:p>
        </w:tc>
        <w:tc>
          <w:tcPr>
            <w:tcW w:w="3798" w:type="dxa"/>
            <w:vAlign w:val="center"/>
          </w:tcPr>
          <w:p w14:paraId="725B6CC2" w14:textId="41933886" w:rsidR="00537CC8" w:rsidRPr="0025250D" w:rsidRDefault="00537CC8" w:rsidP="00664E33">
            <w:pPr>
              <w:bidi/>
              <w:spacing w:after="160"/>
              <w:jc w:val="center"/>
              <w:rPr>
                <w:rtl/>
              </w:rPr>
            </w:pPr>
            <w:r w:rsidRPr="0025250D">
              <w:rPr>
                <w:rtl/>
              </w:rPr>
              <w:t>ج</w:t>
            </w:r>
            <w:r w:rsidRPr="0025250D">
              <w:rPr>
                <w:rFonts w:hint="cs"/>
                <w:rtl/>
              </w:rPr>
              <w:t>ی</w:t>
            </w:r>
            <w:r w:rsidRPr="0025250D">
              <w:rPr>
                <w:rFonts w:hint="eastAsia"/>
                <w:rtl/>
              </w:rPr>
              <w:t>مز</w:t>
            </w:r>
            <w:r w:rsidRPr="0025250D">
              <w:rPr>
                <w:rtl/>
              </w:rPr>
              <w:t xml:space="preserve"> کانتون</w:t>
            </w:r>
            <w:r w:rsidRPr="0025250D">
              <w:rPr>
                <w:vertAlign w:val="superscript"/>
                <w:rtl/>
              </w:rPr>
              <w:footnoteReference w:id="3211"/>
            </w:r>
            <w:r w:rsidRPr="0025250D">
              <w:rPr>
                <w:rtl/>
              </w:rPr>
              <w:t xml:space="preserve">؛ مشاوره </w:t>
            </w:r>
            <w:r w:rsidR="00701E03" w:rsidRPr="0025250D">
              <w:rPr>
                <w:rtl/>
              </w:rPr>
              <w:t>راهبرد</w:t>
            </w:r>
            <w:r w:rsidRPr="0025250D">
              <w:rPr>
                <w:rFonts w:hint="eastAsia"/>
                <w:rtl/>
              </w:rPr>
              <w:t>،</w:t>
            </w:r>
            <w:r w:rsidRPr="0025250D">
              <w:rPr>
                <w:rtl/>
              </w:rPr>
              <w:t xml:space="preserve"> تحل</w:t>
            </w:r>
            <w:r w:rsidRPr="0025250D">
              <w:rPr>
                <w:rFonts w:hint="cs"/>
                <w:rtl/>
              </w:rPr>
              <w:t>ی</w:t>
            </w:r>
            <w:r w:rsidRPr="0025250D">
              <w:rPr>
                <w:rFonts w:hint="eastAsia"/>
                <w:rtl/>
              </w:rPr>
              <w:t>ل</w:t>
            </w:r>
            <w:r w:rsidRPr="0025250D">
              <w:rPr>
                <w:rtl/>
              </w:rPr>
              <w:t xml:space="preserve"> </w:t>
            </w:r>
            <w:r w:rsidR="00F50EB4" w:rsidRPr="0025250D">
              <w:rPr>
                <w:rtl/>
              </w:rPr>
              <w:t>سرمایه‌گذاری</w:t>
            </w:r>
            <w:r w:rsidRPr="0025250D">
              <w:rPr>
                <w:rtl/>
              </w:rPr>
              <w:t xml:space="preserve"> جد</w:t>
            </w:r>
            <w:r w:rsidRPr="0025250D">
              <w:rPr>
                <w:rFonts w:hint="cs"/>
                <w:rtl/>
              </w:rPr>
              <w:t>ی</w:t>
            </w:r>
            <w:r w:rsidRPr="0025250D">
              <w:rPr>
                <w:rFonts w:hint="eastAsia"/>
                <w:rtl/>
              </w:rPr>
              <w:t>د</w:t>
            </w:r>
          </w:p>
        </w:tc>
        <w:tc>
          <w:tcPr>
            <w:tcW w:w="1438" w:type="dxa"/>
            <w:vAlign w:val="center"/>
          </w:tcPr>
          <w:p w14:paraId="3868325B" w14:textId="77777777" w:rsidR="00537CC8" w:rsidRPr="0025250D" w:rsidRDefault="00537CC8" w:rsidP="00664E33">
            <w:pPr>
              <w:bidi/>
              <w:spacing w:after="160"/>
              <w:jc w:val="center"/>
              <w:rPr>
                <w:rtl/>
              </w:rPr>
            </w:pPr>
            <w:r w:rsidRPr="0025250D">
              <w:rPr>
                <w:rtl/>
              </w:rPr>
              <w:t>3 (سانفرانس</w:t>
            </w:r>
            <w:r w:rsidRPr="0025250D">
              <w:rPr>
                <w:rFonts w:hint="cs"/>
                <w:rtl/>
              </w:rPr>
              <w:t>ی</w:t>
            </w:r>
            <w:r w:rsidRPr="0025250D">
              <w:rPr>
                <w:rFonts w:hint="eastAsia"/>
                <w:rtl/>
              </w:rPr>
              <w:t>سکو</w:t>
            </w:r>
            <w:r w:rsidRPr="0025250D">
              <w:rPr>
                <w:rFonts w:hint="cs"/>
                <w:rtl/>
              </w:rPr>
              <w:t>)</w:t>
            </w:r>
          </w:p>
        </w:tc>
      </w:tr>
      <w:tr w:rsidR="00537CC8" w:rsidRPr="0025250D" w14:paraId="779AA0F9" w14:textId="77777777" w:rsidTr="00664E33">
        <w:tc>
          <w:tcPr>
            <w:tcW w:w="2124" w:type="dxa"/>
            <w:vAlign w:val="center"/>
          </w:tcPr>
          <w:p w14:paraId="67AD4EB0" w14:textId="77777777" w:rsidR="00537CC8" w:rsidRPr="0025250D" w:rsidRDefault="007A207F" w:rsidP="00664E33">
            <w:pPr>
              <w:bidi/>
              <w:spacing w:after="160"/>
              <w:jc w:val="center"/>
              <w:rPr>
                <w:rtl/>
              </w:rPr>
            </w:pPr>
            <w:hyperlink r:id="rId521">
              <w:r w:rsidR="00537CC8" w:rsidRPr="0025250D">
                <w:rPr>
                  <w:rStyle w:val="Hyperlink"/>
                  <w:color w:val="auto"/>
                  <w:u w:val="none"/>
                </w:rPr>
                <w:t>International Futures Forum</w:t>
              </w:r>
            </w:hyperlink>
          </w:p>
        </w:tc>
        <w:tc>
          <w:tcPr>
            <w:tcW w:w="3798" w:type="dxa"/>
            <w:vAlign w:val="center"/>
          </w:tcPr>
          <w:p w14:paraId="7EB0B23D" w14:textId="1CA5D66A" w:rsidR="00537CC8" w:rsidRPr="0025250D" w:rsidRDefault="00537CC8" w:rsidP="00664E33">
            <w:pPr>
              <w:bidi/>
              <w:spacing w:after="160"/>
              <w:jc w:val="center"/>
              <w:rPr>
                <w:rtl/>
              </w:rPr>
            </w:pPr>
            <w:r w:rsidRPr="0025250D">
              <w:rPr>
                <w:rtl/>
              </w:rPr>
              <w:t>گراهام لستر</w:t>
            </w:r>
            <w:r w:rsidRPr="0025250D">
              <w:rPr>
                <w:vertAlign w:val="superscript"/>
                <w:rtl/>
              </w:rPr>
              <w:footnoteReference w:id="3212"/>
            </w:r>
            <w:r w:rsidRPr="0025250D">
              <w:rPr>
                <w:rtl/>
              </w:rPr>
              <w:t>؛ آموزش آینده‌</w:t>
            </w:r>
            <w:r w:rsidR="00E26538" w:rsidRPr="0025250D">
              <w:rPr>
                <w:rtl/>
              </w:rPr>
              <w:t>نگار</w:t>
            </w:r>
            <w:r w:rsidRPr="0025250D">
              <w:rPr>
                <w:rtl/>
              </w:rPr>
              <w:t>ی</w:t>
            </w:r>
            <w:r w:rsidRPr="0025250D">
              <w:rPr>
                <w:rFonts w:hint="eastAsia"/>
                <w:rtl/>
              </w:rPr>
              <w:t>،</w:t>
            </w:r>
            <w:r w:rsidRPr="0025250D">
              <w:rPr>
                <w:rtl/>
              </w:rPr>
              <w:t xml:space="preserve"> آموزش، باز</w:t>
            </w:r>
            <w:r w:rsidRPr="0025250D">
              <w:rPr>
                <w:rFonts w:hint="cs"/>
                <w:rtl/>
              </w:rPr>
              <w:t>ی</w:t>
            </w:r>
            <w:r w:rsidRPr="0025250D">
              <w:rPr>
                <w:rtl/>
              </w:rPr>
              <w:t>‌های جهان</w:t>
            </w:r>
            <w:r w:rsidRPr="0025250D">
              <w:rPr>
                <w:rFonts w:hint="cs"/>
                <w:rtl/>
              </w:rPr>
              <w:t>ی</w:t>
            </w:r>
          </w:p>
        </w:tc>
        <w:tc>
          <w:tcPr>
            <w:tcW w:w="1438" w:type="dxa"/>
            <w:vAlign w:val="center"/>
          </w:tcPr>
          <w:p w14:paraId="5BB2DB79" w14:textId="77777777" w:rsidR="00537CC8" w:rsidRPr="0025250D" w:rsidRDefault="00537CC8" w:rsidP="00664E33">
            <w:pPr>
              <w:bidi/>
              <w:spacing w:after="160"/>
              <w:jc w:val="center"/>
              <w:rPr>
                <w:rtl/>
              </w:rPr>
            </w:pPr>
            <w:r w:rsidRPr="0025250D">
              <w:rPr>
                <w:rtl/>
              </w:rPr>
              <w:t>3 (آبردور، اسکاتلند)</w:t>
            </w:r>
          </w:p>
        </w:tc>
      </w:tr>
      <w:tr w:rsidR="00537CC8" w:rsidRPr="0025250D" w14:paraId="595DA340" w14:textId="77777777" w:rsidTr="00664E33">
        <w:tc>
          <w:tcPr>
            <w:tcW w:w="2124" w:type="dxa"/>
            <w:vAlign w:val="center"/>
          </w:tcPr>
          <w:p w14:paraId="021E5F81" w14:textId="77777777" w:rsidR="00537CC8" w:rsidRPr="0025250D" w:rsidRDefault="007A207F" w:rsidP="00664E33">
            <w:pPr>
              <w:bidi/>
              <w:spacing w:after="160"/>
              <w:jc w:val="center"/>
              <w:rPr>
                <w:rtl/>
              </w:rPr>
            </w:pPr>
            <w:hyperlink r:id="rId522">
              <w:r w:rsidR="00537CC8" w:rsidRPr="0025250D">
                <w:rPr>
                  <w:rStyle w:val="Hyperlink"/>
                  <w:color w:val="auto"/>
                  <w:u w:val="none"/>
                </w:rPr>
                <w:t>Intelligent Future</w:t>
              </w:r>
            </w:hyperlink>
          </w:p>
        </w:tc>
        <w:tc>
          <w:tcPr>
            <w:tcW w:w="3798" w:type="dxa"/>
            <w:vAlign w:val="center"/>
          </w:tcPr>
          <w:p w14:paraId="624292D5" w14:textId="4ADFD0F8" w:rsidR="00537CC8" w:rsidRPr="0025250D" w:rsidRDefault="00537CC8" w:rsidP="00664E33">
            <w:pPr>
              <w:bidi/>
              <w:spacing w:after="160"/>
              <w:jc w:val="center"/>
              <w:rPr>
                <w:rtl/>
              </w:rPr>
            </w:pPr>
            <w:r w:rsidRPr="0025250D">
              <w:rPr>
                <w:rtl/>
              </w:rPr>
              <w:t>ر</w:t>
            </w:r>
            <w:r w:rsidRPr="0025250D">
              <w:rPr>
                <w:rFonts w:hint="cs"/>
                <w:rtl/>
              </w:rPr>
              <w:t>ی</w:t>
            </w:r>
            <w:r w:rsidRPr="0025250D">
              <w:rPr>
                <w:rFonts w:hint="eastAsia"/>
                <w:rtl/>
              </w:rPr>
              <w:t>چارد</w:t>
            </w:r>
            <w:r w:rsidRPr="0025250D">
              <w:rPr>
                <w:rtl/>
              </w:rPr>
              <w:t xml:space="preserve"> </w:t>
            </w:r>
            <w:r w:rsidRPr="0025250D">
              <w:rPr>
                <w:rFonts w:hint="cs"/>
                <w:rtl/>
              </w:rPr>
              <w:t>ی</w:t>
            </w:r>
            <w:r w:rsidRPr="0025250D">
              <w:rPr>
                <w:rFonts w:hint="eastAsia"/>
                <w:rtl/>
              </w:rPr>
              <w:t>ونک</w:t>
            </w:r>
            <w:r w:rsidRPr="0025250D">
              <w:rPr>
                <w:vertAlign w:val="superscript"/>
                <w:rtl/>
              </w:rPr>
              <w:footnoteReference w:id="3213"/>
            </w:r>
            <w:r w:rsidRPr="0025250D">
              <w:rPr>
                <w:rFonts w:hint="eastAsia"/>
                <w:rtl/>
              </w:rPr>
              <w:t>؛</w:t>
            </w:r>
            <w:r w:rsidRPr="0025250D">
              <w:rPr>
                <w:rtl/>
              </w:rPr>
              <w:t xml:space="preserve"> مشاوره آینده‌نگاری</w:t>
            </w:r>
            <w:r w:rsidRPr="0025250D">
              <w:rPr>
                <w:rFonts w:hint="eastAsia"/>
                <w:rtl/>
              </w:rPr>
              <w:t>،</w:t>
            </w:r>
            <w:r w:rsidRPr="0025250D">
              <w:rPr>
                <w:rtl/>
              </w:rPr>
              <w:t xml:space="preserve"> آینده‌</w:t>
            </w:r>
            <w:r w:rsidR="00E26538" w:rsidRPr="0025250D">
              <w:rPr>
                <w:rtl/>
              </w:rPr>
              <w:t>نگار</w:t>
            </w:r>
            <w:r w:rsidRPr="0025250D">
              <w:rPr>
                <w:rtl/>
              </w:rPr>
              <w:t>ی فناور</w:t>
            </w:r>
            <w:r w:rsidRPr="0025250D">
              <w:rPr>
                <w:rFonts w:hint="cs"/>
                <w:rtl/>
              </w:rPr>
              <w:t>ی</w:t>
            </w:r>
            <w:r w:rsidRPr="0025250D">
              <w:rPr>
                <w:rtl/>
              </w:rPr>
              <w:t>.</w:t>
            </w:r>
          </w:p>
        </w:tc>
        <w:tc>
          <w:tcPr>
            <w:tcW w:w="1438" w:type="dxa"/>
            <w:vAlign w:val="center"/>
          </w:tcPr>
          <w:p w14:paraId="2F07CD59" w14:textId="77777777" w:rsidR="00537CC8" w:rsidRPr="0025250D" w:rsidRDefault="00537CC8" w:rsidP="00664E33">
            <w:pPr>
              <w:bidi/>
              <w:spacing w:after="160"/>
              <w:jc w:val="center"/>
              <w:rPr>
                <w:rtl/>
              </w:rPr>
            </w:pPr>
            <w:r w:rsidRPr="0025250D">
              <w:rPr>
                <w:rtl/>
              </w:rPr>
              <w:t>1 (س</w:t>
            </w:r>
            <w:r w:rsidRPr="0025250D">
              <w:rPr>
                <w:rFonts w:hint="cs"/>
                <w:rtl/>
              </w:rPr>
              <w:t>ی</w:t>
            </w:r>
            <w:r w:rsidRPr="0025250D">
              <w:rPr>
                <w:rFonts w:hint="eastAsia"/>
                <w:rtl/>
              </w:rPr>
              <w:t>اتل</w:t>
            </w:r>
            <w:r w:rsidRPr="0025250D">
              <w:rPr>
                <w:rFonts w:hint="cs"/>
                <w:rtl/>
              </w:rPr>
              <w:t>)</w:t>
            </w:r>
          </w:p>
        </w:tc>
      </w:tr>
      <w:tr w:rsidR="00537CC8" w:rsidRPr="0025250D" w14:paraId="14BF6937" w14:textId="77777777" w:rsidTr="00664E33">
        <w:tc>
          <w:tcPr>
            <w:tcW w:w="2124" w:type="dxa"/>
            <w:vAlign w:val="center"/>
          </w:tcPr>
          <w:p w14:paraId="784CB8DF" w14:textId="77777777" w:rsidR="00537CC8" w:rsidRPr="0025250D" w:rsidRDefault="007A207F" w:rsidP="00664E33">
            <w:pPr>
              <w:bidi/>
              <w:spacing w:after="160"/>
              <w:jc w:val="center"/>
              <w:rPr>
                <w:rtl/>
              </w:rPr>
            </w:pPr>
            <w:hyperlink r:id="rId523">
              <w:r w:rsidR="00537CC8" w:rsidRPr="0025250D">
                <w:rPr>
                  <w:rStyle w:val="Hyperlink"/>
                  <w:color w:val="auto"/>
                  <w:u w:val="none"/>
                </w:rPr>
                <w:t>JPM Associates</w:t>
              </w:r>
            </w:hyperlink>
          </w:p>
        </w:tc>
        <w:tc>
          <w:tcPr>
            <w:tcW w:w="3798" w:type="dxa"/>
            <w:vAlign w:val="center"/>
          </w:tcPr>
          <w:p w14:paraId="325D2F0F" w14:textId="1F875F9B" w:rsidR="00537CC8" w:rsidRPr="0025250D" w:rsidRDefault="00537CC8" w:rsidP="00664E33">
            <w:pPr>
              <w:bidi/>
              <w:spacing w:after="160"/>
              <w:jc w:val="center"/>
              <w:rPr>
                <w:rtl/>
              </w:rPr>
            </w:pPr>
            <w:r w:rsidRPr="0025250D">
              <w:rPr>
                <w:rtl/>
              </w:rPr>
              <w:t>کارول ال. مک فادن</w:t>
            </w:r>
            <w:r w:rsidR="005B6D28" w:rsidRPr="0025250D">
              <w:rPr>
                <w:rFonts w:hint="cs"/>
                <w:rtl/>
              </w:rPr>
              <w:t xml:space="preserve">؛ </w:t>
            </w:r>
            <w:r w:rsidR="00B124DE" w:rsidRPr="0025250D">
              <w:rPr>
                <w:rFonts w:hint="cs"/>
                <w:rtl/>
              </w:rPr>
              <w:t>برنامه‌ریزی</w:t>
            </w:r>
            <w:r w:rsidRPr="0025250D">
              <w:rPr>
                <w:rtl/>
              </w:rPr>
              <w:t xml:space="preserve"> و گروه مشاوره عدالت ک</w:t>
            </w:r>
            <w:r w:rsidRPr="0025250D">
              <w:rPr>
                <w:rFonts w:hint="cs"/>
                <w:rtl/>
              </w:rPr>
              <w:t>ی</w:t>
            </w:r>
            <w:r w:rsidRPr="0025250D">
              <w:rPr>
                <w:rFonts w:hint="eastAsia"/>
                <w:rtl/>
              </w:rPr>
              <w:t>فر</w:t>
            </w:r>
            <w:r w:rsidRPr="0025250D">
              <w:rPr>
                <w:rFonts w:hint="cs"/>
                <w:rtl/>
              </w:rPr>
              <w:t>ی</w:t>
            </w:r>
          </w:p>
        </w:tc>
        <w:tc>
          <w:tcPr>
            <w:tcW w:w="1438" w:type="dxa"/>
            <w:vAlign w:val="center"/>
          </w:tcPr>
          <w:p w14:paraId="3BE32997" w14:textId="77777777" w:rsidR="00537CC8" w:rsidRPr="0025250D" w:rsidRDefault="00537CC8" w:rsidP="00664E33">
            <w:pPr>
              <w:bidi/>
              <w:spacing w:after="160"/>
              <w:jc w:val="center"/>
              <w:rPr>
                <w:rtl/>
              </w:rPr>
            </w:pPr>
            <w:r w:rsidRPr="0025250D">
              <w:rPr>
                <w:rtl/>
              </w:rPr>
              <w:t>1 (</w:t>
            </w:r>
            <w:r w:rsidRPr="0025250D">
              <w:t>AZ</w:t>
            </w:r>
            <w:r w:rsidRPr="0025250D">
              <w:rPr>
                <w:rtl/>
              </w:rPr>
              <w:t>، ا</w:t>
            </w:r>
            <w:r w:rsidRPr="0025250D">
              <w:rPr>
                <w:rFonts w:hint="cs"/>
                <w:rtl/>
              </w:rPr>
              <w:t>ی</w:t>
            </w:r>
            <w:r w:rsidRPr="0025250D">
              <w:rPr>
                <w:rFonts w:hint="eastAsia"/>
                <w:rtl/>
              </w:rPr>
              <w:t>الات</w:t>
            </w:r>
            <w:r w:rsidRPr="0025250D">
              <w:rPr>
                <w:rtl/>
              </w:rPr>
              <w:t xml:space="preserve"> متحده آمر</w:t>
            </w:r>
            <w:r w:rsidRPr="0025250D">
              <w:rPr>
                <w:rFonts w:hint="cs"/>
                <w:rtl/>
              </w:rPr>
              <w:t>ی</w:t>
            </w:r>
            <w:r w:rsidRPr="0025250D">
              <w:rPr>
                <w:rFonts w:hint="eastAsia"/>
                <w:rtl/>
              </w:rPr>
              <w:t>کا</w:t>
            </w:r>
            <w:r w:rsidRPr="0025250D">
              <w:rPr>
                <w:rtl/>
              </w:rPr>
              <w:t>)</w:t>
            </w:r>
          </w:p>
        </w:tc>
      </w:tr>
      <w:tr w:rsidR="00537CC8" w:rsidRPr="0025250D" w14:paraId="591CE4F4" w14:textId="77777777" w:rsidTr="00664E33">
        <w:tc>
          <w:tcPr>
            <w:tcW w:w="2124" w:type="dxa"/>
            <w:vAlign w:val="center"/>
          </w:tcPr>
          <w:p w14:paraId="0E3410EA" w14:textId="77777777" w:rsidR="00537CC8" w:rsidRPr="0025250D" w:rsidRDefault="007A207F" w:rsidP="00664E33">
            <w:pPr>
              <w:bidi/>
              <w:spacing w:after="160"/>
              <w:jc w:val="center"/>
              <w:rPr>
                <w:rtl/>
              </w:rPr>
            </w:pPr>
            <w:hyperlink r:id="rId524">
              <w:r w:rsidR="00537CC8" w:rsidRPr="0025250D">
                <w:rPr>
                  <w:rStyle w:val="Hyperlink"/>
                  <w:color w:val="auto"/>
                  <w:u w:val="none"/>
                </w:rPr>
                <w:t>Kate Thomas &amp; Kleyn</w:t>
              </w:r>
            </w:hyperlink>
          </w:p>
        </w:tc>
        <w:tc>
          <w:tcPr>
            <w:tcW w:w="3798" w:type="dxa"/>
            <w:vAlign w:val="center"/>
          </w:tcPr>
          <w:p w14:paraId="7E79A1BE" w14:textId="77777777" w:rsidR="00537CC8" w:rsidRPr="0025250D" w:rsidRDefault="00537CC8" w:rsidP="00664E33">
            <w:pPr>
              <w:bidi/>
              <w:spacing w:after="160"/>
              <w:jc w:val="center"/>
              <w:rPr>
                <w:rtl/>
              </w:rPr>
            </w:pPr>
            <w:r w:rsidRPr="0025250D">
              <w:rPr>
                <w:rFonts w:hint="cs"/>
                <w:rtl/>
              </w:rPr>
              <w:t>کات اکستربایل</w:t>
            </w:r>
            <w:r w:rsidRPr="0025250D">
              <w:rPr>
                <w:vertAlign w:val="superscript"/>
                <w:rtl/>
              </w:rPr>
              <w:footnoteReference w:id="3214"/>
            </w:r>
            <w:r w:rsidRPr="0025250D">
              <w:rPr>
                <w:rFonts w:hint="cs"/>
                <w:rtl/>
              </w:rPr>
              <w:t xml:space="preserve">؛ </w:t>
            </w:r>
            <w:r w:rsidRPr="0025250D">
              <w:rPr>
                <w:rtl/>
              </w:rPr>
              <w:t>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آ</w:t>
            </w:r>
            <w:r w:rsidRPr="0025250D">
              <w:rPr>
                <w:rFonts w:hint="cs"/>
                <w:rtl/>
              </w:rPr>
              <w:t>ی</w:t>
            </w:r>
            <w:r w:rsidRPr="0025250D">
              <w:rPr>
                <w:rFonts w:hint="eastAsia"/>
                <w:rtl/>
              </w:rPr>
              <w:t>نده</w:t>
            </w:r>
            <w:r w:rsidRPr="0025250D">
              <w:rPr>
                <w:rtl/>
              </w:rPr>
              <w:t xml:space="preserve"> و ارتباط مشاوره</w:t>
            </w:r>
          </w:p>
        </w:tc>
        <w:tc>
          <w:tcPr>
            <w:tcW w:w="1438" w:type="dxa"/>
            <w:vAlign w:val="center"/>
          </w:tcPr>
          <w:p w14:paraId="1B3EF3D5" w14:textId="77777777" w:rsidR="00537CC8" w:rsidRPr="0025250D" w:rsidRDefault="00537CC8" w:rsidP="00664E33">
            <w:pPr>
              <w:bidi/>
              <w:spacing w:after="160"/>
              <w:jc w:val="center"/>
              <w:rPr>
                <w:rtl/>
              </w:rPr>
            </w:pPr>
            <w:r w:rsidRPr="0025250D">
              <w:rPr>
                <w:rtl/>
              </w:rPr>
              <w:t>3 (بروکسل، بلژ</w:t>
            </w:r>
            <w:r w:rsidRPr="0025250D">
              <w:rPr>
                <w:rFonts w:hint="cs"/>
                <w:rtl/>
              </w:rPr>
              <w:t>ی</w:t>
            </w:r>
            <w:r w:rsidRPr="0025250D">
              <w:rPr>
                <w:rFonts w:hint="eastAsia"/>
                <w:rtl/>
              </w:rPr>
              <w:t>ک</w:t>
            </w:r>
            <w:r w:rsidRPr="0025250D">
              <w:rPr>
                <w:rtl/>
              </w:rPr>
              <w:t>)</w:t>
            </w:r>
          </w:p>
        </w:tc>
      </w:tr>
      <w:tr w:rsidR="00537CC8" w:rsidRPr="0025250D" w14:paraId="62BCFB10" w14:textId="77777777" w:rsidTr="00664E33">
        <w:tc>
          <w:tcPr>
            <w:tcW w:w="2124" w:type="dxa"/>
            <w:vAlign w:val="center"/>
          </w:tcPr>
          <w:p w14:paraId="448855C8" w14:textId="77777777" w:rsidR="00537CC8" w:rsidRPr="0025250D" w:rsidRDefault="007A207F" w:rsidP="00664E33">
            <w:pPr>
              <w:bidi/>
              <w:spacing w:after="160"/>
              <w:jc w:val="center"/>
            </w:pPr>
            <w:hyperlink r:id="rId525">
              <w:r w:rsidR="00537CC8" w:rsidRPr="0025250D">
                <w:rPr>
                  <w:rStyle w:val="Hyperlink"/>
                  <w:color w:val="auto"/>
                  <w:u w:val="none"/>
                </w:rPr>
                <w:t>Kedge</w:t>
              </w:r>
            </w:hyperlink>
          </w:p>
        </w:tc>
        <w:tc>
          <w:tcPr>
            <w:tcW w:w="3798" w:type="dxa"/>
            <w:vAlign w:val="center"/>
          </w:tcPr>
          <w:p w14:paraId="3D4FBE23" w14:textId="440D737F" w:rsidR="00537CC8" w:rsidRPr="0025250D" w:rsidRDefault="00537CC8" w:rsidP="00664E33">
            <w:pPr>
              <w:bidi/>
              <w:spacing w:after="160"/>
              <w:jc w:val="center"/>
              <w:rPr>
                <w:rtl/>
              </w:rPr>
            </w:pPr>
            <w:r w:rsidRPr="0025250D">
              <w:rPr>
                <w:rtl/>
              </w:rPr>
              <w:t>فرانک اسپنسر</w:t>
            </w:r>
            <w:r w:rsidRPr="0025250D">
              <w:rPr>
                <w:vertAlign w:val="superscript"/>
                <w:rtl/>
              </w:rPr>
              <w:footnoteReference w:id="3215"/>
            </w:r>
            <w:r w:rsidRPr="0025250D">
              <w:rPr>
                <w:rtl/>
              </w:rPr>
              <w:t>؛ آینده‌</w:t>
            </w:r>
            <w:r w:rsidR="00E26538" w:rsidRPr="0025250D">
              <w:rPr>
                <w:rtl/>
              </w:rPr>
              <w:t>نگار</w:t>
            </w:r>
            <w:r w:rsidRPr="0025250D">
              <w:rPr>
                <w:rtl/>
              </w:rPr>
              <w:t>ی</w:t>
            </w:r>
            <w:r w:rsidRPr="0025250D">
              <w:rPr>
                <w:rFonts w:hint="eastAsia"/>
                <w:rtl/>
              </w:rPr>
              <w:t>،</w:t>
            </w:r>
            <w:r w:rsidRPr="0025250D">
              <w:rPr>
                <w:rtl/>
              </w:rPr>
              <w:t xml:space="preserve"> نوآور</w:t>
            </w:r>
            <w:r w:rsidRPr="0025250D">
              <w:rPr>
                <w:rFonts w:hint="cs"/>
                <w:rtl/>
              </w:rPr>
              <w:t>ی</w:t>
            </w:r>
            <w:r w:rsidRPr="0025250D">
              <w:rPr>
                <w:rFonts w:hint="eastAsia"/>
                <w:rtl/>
              </w:rPr>
              <w:t>،</w:t>
            </w:r>
            <w:r w:rsidRPr="0025250D">
              <w:rPr>
                <w:rtl/>
              </w:rPr>
              <w:t xml:space="preserve"> شرکت طراح</w:t>
            </w:r>
            <w:r w:rsidRPr="0025250D">
              <w:rPr>
                <w:rFonts w:hint="cs"/>
                <w:rtl/>
              </w:rPr>
              <w:t>ی</w:t>
            </w:r>
            <w:r w:rsidRPr="0025250D">
              <w:rPr>
                <w:rtl/>
              </w:rPr>
              <w:t xml:space="preserve"> </w:t>
            </w:r>
            <w:r w:rsidR="00701E03" w:rsidRPr="0025250D">
              <w:rPr>
                <w:rtl/>
              </w:rPr>
              <w:t>راهبردی</w:t>
            </w:r>
          </w:p>
        </w:tc>
        <w:tc>
          <w:tcPr>
            <w:tcW w:w="1438" w:type="dxa"/>
            <w:vAlign w:val="center"/>
          </w:tcPr>
          <w:p w14:paraId="373E0E72" w14:textId="77777777" w:rsidR="00537CC8" w:rsidRPr="0025250D" w:rsidRDefault="00537CC8" w:rsidP="00664E33">
            <w:pPr>
              <w:bidi/>
              <w:spacing w:after="160"/>
              <w:jc w:val="center"/>
              <w:rPr>
                <w:rtl/>
              </w:rPr>
            </w:pPr>
            <w:r w:rsidRPr="0025250D">
              <w:rPr>
                <w:rtl/>
              </w:rPr>
              <w:t>1 (ساوانا)</w:t>
            </w:r>
          </w:p>
        </w:tc>
      </w:tr>
      <w:tr w:rsidR="00537CC8" w:rsidRPr="0025250D" w14:paraId="24F05595" w14:textId="77777777" w:rsidTr="00664E33">
        <w:tc>
          <w:tcPr>
            <w:tcW w:w="2124" w:type="dxa"/>
            <w:vAlign w:val="center"/>
          </w:tcPr>
          <w:p w14:paraId="06F871E1" w14:textId="77777777" w:rsidR="00537CC8" w:rsidRPr="0025250D" w:rsidRDefault="007A207F" w:rsidP="00664E33">
            <w:pPr>
              <w:bidi/>
              <w:spacing w:after="160"/>
              <w:jc w:val="center"/>
            </w:pPr>
            <w:hyperlink r:id="rId526">
              <w:r w:rsidR="00537CC8" w:rsidRPr="0025250D">
                <w:rPr>
                  <w:rStyle w:val="Hyperlink"/>
                  <w:color w:val="auto"/>
                  <w:u w:val="none"/>
                </w:rPr>
                <w:t>KurzweilAI</w:t>
              </w:r>
            </w:hyperlink>
          </w:p>
        </w:tc>
        <w:tc>
          <w:tcPr>
            <w:tcW w:w="3798" w:type="dxa"/>
            <w:vAlign w:val="center"/>
          </w:tcPr>
          <w:p w14:paraId="043568C8" w14:textId="0939E366" w:rsidR="00537CC8" w:rsidRPr="0025250D" w:rsidRDefault="00537CC8" w:rsidP="00664E33">
            <w:pPr>
              <w:bidi/>
              <w:spacing w:after="160"/>
              <w:jc w:val="center"/>
              <w:rPr>
                <w:rtl/>
              </w:rPr>
            </w:pPr>
            <w:r w:rsidRPr="0025250D">
              <w:rPr>
                <w:rtl/>
              </w:rPr>
              <w:t>آمارا آنجل</w:t>
            </w:r>
            <w:r w:rsidRPr="0025250D">
              <w:rPr>
                <w:rFonts w:hint="cs"/>
                <w:rtl/>
              </w:rPr>
              <w:t>ی</w:t>
            </w:r>
            <w:r w:rsidRPr="0025250D">
              <w:rPr>
                <w:rFonts w:hint="eastAsia"/>
                <w:rtl/>
              </w:rPr>
              <w:t>کا</w:t>
            </w:r>
            <w:r w:rsidRPr="0025250D">
              <w:rPr>
                <w:vertAlign w:val="superscript"/>
                <w:rtl/>
              </w:rPr>
              <w:footnoteReference w:id="3216"/>
            </w:r>
            <w:r w:rsidRPr="0025250D">
              <w:rPr>
                <w:rFonts w:hint="eastAsia"/>
                <w:rtl/>
              </w:rPr>
              <w:t>،</w:t>
            </w:r>
            <w:r w:rsidRPr="0025250D">
              <w:rPr>
                <w:rtl/>
              </w:rPr>
              <w:t xml:space="preserve"> جول</w:t>
            </w:r>
            <w:r w:rsidRPr="0025250D">
              <w:rPr>
                <w:rFonts w:hint="cs"/>
                <w:rtl/>
              </w:rPr>
              <w:t>ی</w:t>
            </w:r>
            <w:r w:rsidRPr="0025250D">
              <w:rPr>
                <w:rFonts w:hint="eastAsia"/>
                <w:rtl/>
              </w:rPr>
              <w:t>و</w:t>
            </w:r>
            <w:r w:rsidRPr="0025250D">
              <w:rPr>
                <w:rtl/>
              </w:rPr>
              <w:t xml:space="preserve"> پر</w:t>
            </w:r>
            <w:r w:rsidRPr="0025250D">
              <w:rPr>
                <w:rFonts w:hint="cs"/>
                <w:rtl/>
              </w:rPr>
              <w:t>ی</w:t>
            </w:r>
            <w:r w:rsidRPr="0025250D">
              <w:rPr>
                <w:rFonts w:hint="eastAsia"/>
                <w:rtl/>
              </w:rPr>
              <w:t>سکو</w:t>
            </w:r>
            <w:r w:rsidRPr="0025250D">
              <w:rPr>
                <w:vertAlign w:val="superscript"/>
                <w:rtl/>
              </w:rPr>
              <w:footnoteReference w:id="3217"/>
            </w:r>
            <w:r w:rsidRPr="0025250D">
              <w:rPr>
                <w:rFonts w:hint="cs"/>
                <w:rtl/>
              </w:rPr>
              <w:t>؛</w:t>
            </w:r>
            <w:r w:rsidRPr="0025250D">
              <w:rPr>
                <w:rtl/>
              </w:rPr>
              <w:t xml:space="preserve"> </w:t>
            </w:r>
            <w:r w:rsidRPr="0025250D">
              <w:rPr>
                <w:rFonts w:hint="cs"/>
                <w:rtl/>
              </w:rPr>
              <w:t xml:space="preserve">تسهیل </w:t>
            </w:r>
            <w:r w:rsidRPr="0025250D">
              <w:rPr>
                <w:rtl/>
              </w:rPr>
              <w:t>وبلاگ نو</w:t>
            </w:r>
            <w:r w:rsidRPr="0025250D">
              <w:rPr>
                <w:rFonts w:hint="cs"/>
                <w:rtl/>
              </w:rPr>
              <w:t>ی</w:t>
            </w:r>
            <w:r w:rsidRPr="0025250D">
              <w:rPr>
                <w:rFonts w:hint="eastAsia"/>
                <w:rtl/>
              </w:rPr>
              <w:t>س</w:t>
            </w:r>
            <w:r w:rsidRPr="0025250D">
              <w:rPr>
                <w:rFonts w:hint="cs"/>
                <w:rtl/>
              </w:rPr>
              <w:t>ی</w:t>
            </w:r>
            <w:r w:rsidRPr="0025250D">
              <w:rPr>
                <w:rtl/>
              </w:rPr>
              <w:t xml:space="preserve"> تغ</w:t>
            </w:r>
            <w:r w:rsidRPr="0025250D">
              <w:rPr>
                <w:rFonts w:hint="cs"/>
                <w:rtl/>
              </w:rPr>
              <w:t>یی</w:t>
            </w:r>
            <w:r w:rsidRPr="0025250D">
              <w:rPr>
                <w:rFonts w:hint="eastAsia"/>
                <w:rtl/>
              </w:rPr>
              <w:t>رات</w:t>
            </w:r>
          </w:p>
        </w:tc>
        <w:tc>
          <w:tcPr>
            <w:tcW w:w="1438" w:type="dxa"/>
            <w:vAlign w:val="center"/>
          </w:tcPr>
          <w:p w14:paraId="1001824C" w14:textId="77777777" w:rsidR="00537CC8" w:rsidRPr="0025250D" w:rsidRDefault="00537CC8" w:rsidP="00664E33">
            <w:pPr>
              <w:bidi/>
              <w:spacing w:after="160"/>
              <w:jc w:val="center"/>
              <w:rPr>
                <w:rtl/>
              </w:rPr>
            </w:pPr>
            <w:r w:rsidRPr="0025250D">
              <w:rPr>
                <w:rtl/>
              </w:rPr>
              <w:t>1 (بوستون)</w:t>
            </w:r>
          </w:p>
        </w:tc>
      </w:tr>
      <w:tr w:rsidR="00537CC8" w:rsidRPr="0025250D" w14:paraId="4498D5CC" w14:textId="77777777" w:rsidTr="00664E33">
        <w:tc>
          <w:tcPr>
            <w:tcW w:w="2124" w:type="dxa"/>
            <w:vAlign w:val="center"/>
          </w:tcPr>
          <w:p w14:paraId="331002E8" w14:textId="77777777" w:rsidR="00537CC8" w:rsidRPr="0025250D" w:rsidRDefault="007A207F" w:rsidP="00664E33">
            <w:pPr>
              <w:bidi/>
              <w:spacing w:after="160"/>
              <w:jc w:val="center"/>
            </w:pPr>
            <w:hyperlink r:id="rId527">
              <w:r w:rsidR="00537CC8" w:rsidRPr="0025250D">
                <w:rPr>
                  <w:rStyle w:val="Hyperlink"/>
                  <w:color w:val="auto"/>
                  <w:u w:val="none"/>
                </w:rPr>
                <w:t>La Prospective</w:t>
              </w:r>
            </w:hyperlink>
          </w:p>
        </w:tc>
        <w:tc>
          <w:tcPr>
            <w:tcW w:w="3798" w:type="dxa"/>
            <w:vAlign w:val="center"/>
          </w:tcPr>
          <w:p w14:paraId="084C4697" w14:textId="3512822A" w:rsidR="00537CC8" w:rsidRPr="0025250D" w:rsidRDefault="00537CC8" w:rsidP="00664E33">
            <w:pPr>
              <w:bidi/>
              <w:spacing w:after="160"/>
              <w:jc w:val="center"/>
              <w:rPr>
                <w:rtl/>
              </w:rPr>
            </w:pPr>
            <w:r w:rsidRPr="0025250D">
              <w:rPr>
                <w:rtl/>
              </w:rPr>
              <w:t>م</w:t>
            </w:r>
            <w:r w:rsidRPr="0025250D">
              <w:rPr>
                <w:rFonts w:hint="cs"/>
                <w:rtl/>
              </w:rPr>
              <w:t>ی</w:t>
            </w:r>
            <w:r w:rsidRPr="0025250D">
              <w:rPr>
                <w:rFonts w:hint="eastAsia"/>
                <w:rtl/>
              </w:rPr>
              <w:t>شل</w:t>
            </w:r>
            <w:r w:rsidRPr="0025250D">
              <w:rPr>
                <w:rtl/>
              </w:rPr>
              <w:t xml:space="preserve"> گوده</w:t>
            </w:r>
            <w:r w:rsidRPr="0025250D">
              <w:rPr>
                <w:vertAlign w:val="superscript"/>
                <w:rtl/>
              </w:rPr>
              <w:footnoteReference w:id="3218"/>
            </w:r>
            <w:r w:rsidRPr="0025250D">
              <w:rPr>
                <w:rtl/>
              </w:rPr>
              <w:t>؛ مشاوره آینده‌</w:t>
            </w:r>
            <w:r w:rsidR="00E26538" w:rsidRPr="0025250D">
              <w:rPr>
                <w:rtl/>
              </w:rPr>
              <w:t>نگار</w:t>
            </w:r>
            <w:r w:rsidRPr="0025250D">
              <w:rPr>
                <w:rtl/>
              </w:rPr>
              <w:t>ی</w:t>
            </w:r>
          </w:p>
        </w:tc>
        <w:tc>
          <w:tcPr>
            <w:tcW w:w="1438" w:type="dxa"/>
            <w:vAlign w:val="center"/>
          </w:tcPr>
          <w:p w14:paraId="713CCD31" w14:textId="77777777" w:rsidR="00537CC8" w:rsidRPr="0025250D" w:rsidRDefault="00537CC8" w:rsidP="00664E33">
            <w:pPr>
              <w:bidi/>
              <w:spacing w:after="160"/>
              <w:jc w:val="center"/>
              <w:rPr>
                <w:rtl/>
              </w:rPr>
            </w:pPr>
            <w:r w:rsidRPr="0025250D">
              <w:rPr>
                <w:rtl/>
              </w:rPr>
              <w:t>3 (پار</w:t>
            </w:r>
            <w:r w:rsidRPr="0025250D">
              <w:rPr>
                <w:rFonts w:hint="cs"/>
                <w:rtl/>
              </w:rPr>
              <w:t>ی</w:t>
            </w:r>
            <w:r w:rsidRPr="0025250D">
              <w:rPr>
                <w:rFonts w:hint="eastAsia"/>
                <w:rtl/>
              </w:rPr>
              <w:t>س،</w:t>
            </w:r>
            <w:r w:rsidRPr="0025250D">
              <w:rPr>
                <w:rtl/>
              </w:rPr>
              <w:t xml:space="preserve"> فرانسه)</w:t>
            </w:r>
          </w:p>
        </w:tc>
      </w:tr>
      <w:tr w:rsidR="00537CC8" w:rsidRPr="0025250D" w14:paraId="0831C051" w14:textId="77777777" w:rsidTr="00664E33">
        <w:tc>
          <w:tcPr>
            <w:tcW w:w="2124" w:type="dxa"/>
            <w:vAlign w:val="center"/>
          </w:tcPr>
          <w:p w14:paraId="364EDCD6" w14:textId="77777777" w:rsidR="00537CC8" w:rsidRPr="0025250D" w:rsidRDefault="007A207F" w:rsidP="00664E33">
            <w:pPr>
              <w:bidi/>
              <w:spacing w:after="160"/>
              <w:jc w:val="center"/>
            </w:pPr>
            <w:hyperlink r:id="rId528">
              <w:r w:rsidR="00537CC8" w:rsidRPr="0025250D">
                <w:rPr>
                  <w:rStyle w:val="Hyperlink"/>
                  <w:color w:val="auto"/>
                  <w:u w:val="none"/>
                </w:rPr>
                <w:t>LASA</w:t>
              </w:r>
            </w:hyperlink>
          </w:p>
          <w:p w14:paraId="0A7ABC89" w14:textId="77777777" w:rsidR="00537CC8" w:rsidRPr="0025250D" w:rsidRDefault="007A207F" w:rsidP="00664E33">
            <w:pPr>
              <w:bidi/>
              <w:spacing w:after="160"/>
              <w:jc w:val="center"/>
            </w:pPr>
            <w:hyperlink r:id="rId529">
              <w:r w:rsidR="00537CC8" w:rsidRPr="0025250D">
                <w:rPr>
                  <w:rStyle w:val="Hyperlink"/>
                  <w:color w:val="auto"/>
                  <w:u w:val="none"/>
                </w:rPr>
                <w:t>Development</w:t>
              </w:r>
            </w:hyperlink>
          </w:p>
        </w:tc>
        <w:tc>
          <w:tcPr>
            <w:tcW w:w="3798" w:type="dxa"/>
            <w:vAlign w:val="center"/>
          </w:tcPr>
          <w:p w14:paraId="219F8F7D" w14:textId="18C09964" w:rsidR="00537CC8" w:rsidRPr="0025250D" w:rsidRDefault="00537CC8" w:rsidP="00664E33">
            <w:pPr>
              <w:bidi/>
              <w:spacing w:after="160"/>
              <w:jc w:val="center"/>
              <w:rPr>
                <w:rtl/>
              </w:rPr>
            </w:pPr>
            <w:r w:rsidRPr="0025250D">
              <w:rPr>
                <w:rtl/>
              </w:rPr>
              <w:t>پاتر</w:t>
            </w:r>
            <w:r w:rsidRPr="0025250D">
              <w:rPr>
                <w:rFonts w:hint="cs"/>
                <w:rtl/>
              </w:rPr>
              <w:t>ی</w:t>
            </w:r>
            <w:r w:rsidRPr="0025250D">
              <w:rPr>
                <w:rFonts w:hint="eastAsia"/>
                <w:rtl/>
              </w:rPr>
              <w:t>ش</w:t>
            </w:r>
            <w:r w:rsidRPr="0025250D">
              <w:rPr>
                <w:rFonts w:hint="cs"/>
                <w:rtl/>
              </w:rPr>
              <w:t>ی</w:t>
            </w:r>
            <w:r w:rsidRPr="0025250D">
              <w:rPr>
                <w:rFonts w:hint="eastAsia"/>
                <w:rtl/>
              </w:rPr>
              <w:t>ا</w:t>
            </w:r>
            <w:r w:rsidRPr="0025250D">
              <w:rPr>
                <w:rtl/>
              </w:rPr>
              <w:t xml:space="preserve"> لوست</w:t>
            </w:r>
            <w:r w:rsidRPr="0025250D">
              <w:rPr>
                <w:rFonts w:hint="cs"/>
                <w:rtl/>
              </w:rPr>
              <w:t>ی</w:t>
            </w:r>
            <w:r w:rsidRPr="0025250D">
              <w:rPr>
                <w:rFonts w:hint="eastAsia"/>
                <w:rtl/>
              </w:rPr>
              <w:t>گ</w:t>
            </w:r>
            <w:r w:rsidRPr="0025250D">
              <w:rPr>
                <w:vertAlign w:val="superscript"/>
                <w:rtl/>
              </w:rPr>
              <w:footnoteReference w:id="3219"/>
            </w:r>
            <w:r w:rsidRPr="0025250D">
              <w:rPr>
                <w:rFonts w:hint="eastAsia"/>
                <w:rtl/>
              </w:rPr>
              <w:t>،</w:t>
            </w:r>
            <w:r w:rsidRPr="0025250D">
              <w:rPr>
                <w:rtl/>
              </w:rPr>
              <w:t xml:space="preserve"> وند</w:t>
            </w:r>
            <w:r w:rsidRPr="0025250D">
              <w:rPr>
                <w:rFonts w:hint="cs"/>
                <w:rtl/>
              </w:rPr>
              <w:t>ی</w:t>
            </w:r>
            <w:r w:rsidRPr="0025250D">
              <w:rPr>
                <w:rtl/>
              </w:rPr>
              <w:t xml:space="preserve"> شولد</w:t>
            </w:r>
            <w:r w:rsidRPr="0025250D">
              <w:rPr>
                <w:vertAlign w:val="superscript"/>
                <w:rtl/>
              </w:rPr>
              <w:footnoteReference w:id="3220"/>
            </w:r>
            <w:r w:rsidRPr="0025250D">
              <w:rPr>
                <w:rtl/>
              </w:rPr>
              <w:t>؛ مشاوره آینده‌</w:t>
            </w:r>
            <w:r w:rsidR="00E26538" w:rsidRPr="0025250D">
              <w:rPr>
                <w:rtl/>
              </w:rPr>
              <w:t>نگار</w:t>
            </w:r>
            <w:r w:rsidRPr="0025250D">
              <w:rPr>
                <w:rtl/>
              </w:rPr>
              <w:t>ی</w:t>
            </w:r>
          </w:p>
        </w:tc>
        <w:tc>
          <w:tcPr>
            <w:tcW w:w="1438" w:type="dxa"/>
            <w:vAlign w:val="center"/>
          </w:tcPr>
          <w:p w14:paraId="01507F56" w14:textId="77777777" w:rsidR="00537CC8" w:rsidRPr="0025250D" w:rsidRDefault="00537CC8" w:rsidP="00664E33">
            <w:pPr>
              <w:bidi/>
              <w:spacing w:after="160"/>
              <w:jc w:val="center"/>
              <w:rPr>
                <w:rtl/>
              </w:rPr>
            </w:pPr>
            <w:r w:rsidRPr="0025250D">
              <w:rPr>
                <w:rtl/>
              </w:rPr>
              <w:t>3 (استرود، انگلستان)</w:t>
            </w:r>
          </w:p>
        </w:tc>
      </w:tr>
      <w:tr w:rsidR="00537CC8" w:rsidRPr="0025250D" w14:paraId="0C2CCC6A" w14:textId="77777777" w:rsidTr="00664E33">
        <w:tc>
          <w:tcPr>
            <w:tcW w:w="2124" w:type="dxa"/>
            <w:vAlign w:val="center"/>
          </w:tcPr>
          <w:p w14:paraId="77AB8E22" w14:textId="77777777" w:rsidR="00537CC8" w:rsidRPr="0025250D" w:rsidRDefault="007A207F" w:rsidP="00664E33">
            <w:pPr>
              <w:bidi/>
              <w:spacing w:after="160"/>
              <w:jc w:val="center"/>
            </w:pPr>
            <w:hyperlink r:id="rId530">
              <w:r w:rsidR="00537CC8" w:rsidRPr="0025250D">
                <w:rPr>
                  <w:rStyle w:val="Hyperlink"/>
                  <w:color w:val="auto"/>
                  <w:u w:val="none"/>
                </w:rPr>
                <w:t>Leading Futurists</w:t>
              </w:r>
            </w:hyperlink>
          </w:p>
        </w:tc>
        <w:tc>
          <w:tcPr>
            <w:tcW w:w="3798" w:type="dxa"/>
            <w:vAlign w:val="center"/>
          </w:tcPr>
          <w:p w14:paraId="0B78A83A" w14:textId="58CE7415" w:rsidR="00537CC8" w:rsidRPr="0025250D" w:rsidRDefault="00537CC8" w:rsidP="00664E33">
            <w:pPr>
              <w:bidi/>
              <w:spacing w:after="160"/>
              <w:jc w:val="center"/>
              <w:rPr>
                <w:rtl/>
              </w:rPr>
            </w:pPr>
            <w:r w:rsidRPr="0025250D">
              <w:rPr>
                <w:rtl/>
              </w:rPr>
              <w:t>جن</w:t>
            </w:r>
            <w:r w:rsidRPr="0025250D">
              <w:rPr>
                <w:rFonts w:hint="cs"/>
                <w:rtl/>
              </w:rPr>
              <w:t>ی</w:t>
            </w:r>
            <w:r w:rsidRPr="0025250D">
              <w:rPr>
                <w:rFonts w:hint="eastAsia"/>
                <w:rtl/>
              </w:rPr>
              <w:t>فر</w:t>
            </w:r>
            <w:r w:rsidRPr="0025250D">
              <w:rPr>
                <w:rtl/>
              </w:rPr>
              <w:t xml:space="preserve"> جرافل</w:t>
            </w:r>
            <w:r w:rsidRPr="0025250D">
              <w:rPr>
                <w:vertAlign w:val="superscript"/>
                <w:rtl/>
              </w:rPr>
              <w:footnoteReference w:id="3221"/>
            </w:r>
            <w:r w:rsidRPr="0025250D">
              <w:rPr>
                <w:rtl/>
              </w:rPr>
              <w:t xml:space="preserve"> و جان مهاف</w:t>
            </w:r>
            <w:r w:rsidRPr="0025250D">
              <w:rPr>
                <w:rFonts w:hint="cs"/>
                <w:rtl/>
              </w:rPr>
              <w:t>ی</w:t>
            </w:r>
            <w:r w:rsidRPr="0025250D">
              <w:rPr>
                <w:vertAlign w:val="superscript"/>
                <w:rtl/>
              </w:rPr>
              <w:footnoteReference w:id="3222"/>
            </w:r>
            <w:r w:rsidRPr="0025250D">
              <w:rPr>
                <w:rFonts w:hint="eastAsia"/>
                <w:rtl/>
              </w:rPr>
              <w:t>؛</w:t>
            </w:r>
            <w:r w:rsidRPr="0025250D">
              <w:rPr>
                <w:rtl/>
              </w:rPr>
              <w:t xml:space="preserve"> مشاوره آینده‌</w:t>
            </w:r>
            <w:r w:rsidR="00E26538" w:rsidRPr="0025250D">
              <w:rPr>
                <w:rtl/>
              </w:rPr>
              <w:t>نگار</w:t>
            </w:r>
            <w:r w:rsidRPr="0025250D">
              <w:rPr>
                <w:rtl/>
              </w:rPr>
              <w:t>ی</w:t>
            </w:r>
          </w:p>
        </w:tc>
        <w:tc>
          <w:tcPr>
            <w:tcW w:w="1438" w:type="dxa"/>
            <w:vAlign w:val="center"/>
          </w:tcPr>
          <w:p w14:paraId="2EDA6A4D" w14:textId="77777777" w:rsidR="00537CC8" w:rsidRPr="0025250D" w:rsidRDefault="00537CC8" w:rsidP="00664E33">
            <w:pPr>
              <w:bidi/>
              <w:spacing w:after="160"/>
              <w:jc w:val="center"/>
              <w:rPr>
                <w:rtl/>
              </w:rPr>
            </w:pPr>
            <w:r w:rsidRPr="0025250D">
              <w:rPr>
                <w:rtl/>
              </w:rPr>
              <w:t>1 (واشنگتن</w:t>
            </w:r>
            <w:r w:rsidRPr="0025250D">
              <w:rPr>
                <w:rFonts w:hint="cs"/>
                <w:rtl/>
              </w:rPr>
              <w:t>)</w:t>
            </w:r>
          </w:p>
        </w:tc>
      </w:tr>
      <w:tr w:rsidR="00537CC8" w:rsidRPr="0025250D" w14:paraId="7C756B6B" w14:textId="77777777" w:rsidTr="00664E33">
        <w:tc>
          <w:tcPr>
            <w:tcW w:w="2124" w:type="dxa"/>
            <w:vAlign w:val="center"/>
          </w:tcPr>
          <w:p w14:paraId="2DAABA14" w14:textId="77777777" w:rsidR="00537CC8" w:rsidRPr="0025250D" w:rsidRDefault="007A207F" w:rsidP="00664E33">
            <w:pPr>
              <w:bidi/>
              <w:spacing w:after="160"/>
              <w:jc w:val="center"/>
            </w:pPr>
            <w:hyperlink r:id="rId531">
              <w:r w:rsidR="00537CC8" w:rsidRPr="0025250D">
                <w:rPr>
                  <w:rStyle w:val="Hyperlink"/>
                  <w:color w:val="auto"/>
                  <w:u w:val="none"/>
                </w:rPr>
                <w:t>Long Now Foundation</w:t>
              </w:r>
            </w:hyperlink>
          </w:p>
        </w:tc>
        <w:tc>
          <w:tcPr>
            <w:tcW w:w="3798" w:type="dxa"/>
            <w:vAlign w:val="center"/>
          </w:tcPr>
          <w:p w14:paraId="09B15441" w14:textId="4F887CD2" w:rsidR="00537CC8" w:rsidRPr="0025250D" w:rsidRDefault="00537CC8" w:rsidP="00664E33">
            <w:pPr>
              <w:bidi/>
              <w:spacing w:after="160"/>
              <w:jc w:val="center"/>
              <w:rPr>
                <w:rtl/>
              </w:rPr>
            </w:pPr>
            <w:r w:rsidRPr="0025250D">
              <w:rPr>
                <w:rtl/>
              </w:rPr>
              <w:t>الکس رز</w:t>
            </w:r>
            <w:r w:rsidRPr="0025250D">
              <w:rPr>
                <w:vertAlign w:val="superscript"/>
                <w:rtl/>
              </w:rPr>
              <w:footnoteReference w:id="3223"/>
            </w:r>
            <w:r w:rsidRPr="0025250D">
              <w:rPr>
                <w:rFonts w:hint="cs"/>
                <w:rtl/>
              </w:rPr>
              <w:t>؛</w:t>
            </w:r>
            <w:r w:rsidRPr="0025250D">
              <w:rPr>
                <w:rtl/>
              </w:rPr>
              <w:t xml:space="preserve"> ترو</w:t>
            </w:r>
            <w:r w:rsidRPr="0025250D">
              <w:rPr>
                <w:rFonts w:hint="cs"/>
                <w:rtl/>
              </w:rPr>
              <w:t>ی</w:t>
            </w:r>
            <w:r w:rsidRPr="0025250D">
              <w:rPr>
                <w:rFonts w:hint="eastAsia"/>
                <w:rtl/>
              </w:rPr>
              <w:t>ج</w:t>
            </w:r>
            <w:r w:rsidRPr="0025250D">
              <w:rPr>
                <w:rtl/>
              </w:rPr>
              <w:t xml:space="preserve"> آینده‌</w:t>
            </w:r>
            <w:r w:rsidR="00E26538" w:rsidRPr="0025250D">
              <w:rPr>
                <w:rtl/>
              </w:rPr>
              <w:t>نگار</w:t>
            </w:r>
            <w:r w:rsidRPr="0025250D">
              <w:rPr>
                <w:rtl/>
              </w:rPr>
              <w:t>ی طولان</w:t>
            </w:r>
            <w:r w:rsidRPr="0025250D">
              <w:rPr>
                <w:rFonts w:hint="cs"/>
                <w:rtl/>
              </w:rPr>
              <w:t>ی</w:t>
            </w:r>
            <w:r w:rsidRPr="0025250D">
              <w:rPr>
                <w:rtl/>
              </w:rPr>
              <w:t xml:space="preserve"> مدت، </w:t>
            </w:r>
            <w:r w:rsidR="001C62AD" w:rsidRPr="0025250D">
              <w:rPr>
                <w:rtl/>
              </w:rPr>
              <w:t>«</w:t>
            </w:r>
            <w:r w:rsidRPr="0025250D">
              <w:rPr>
                <w:rtl/>
              </w:rPr>
              <w:t>تفکر آهسته تر</w:t>
            </w:r>
            <w:r w:rsidR="001C62AD" w:rsidRPr="0025250D">
              <w:rPr>
                <w:rtl/>
              </w:rPr>
              <w:t>»</w:t>
            </w:r>
            <w:r w:rsidRPr="0025250D">
              <w:rPr>
                <w:rtl/>
              </w:rPr>
              <w:t>.</w:t>
            </w:r>
          </w:p>
        </w:tc>
        <w:tc>
          <w:tcPr>
            <w:tcW w:w="1438" w:type="dxa"/>
            <w:vAlign w:val="center"/>
          </w:tcPr>
          <w:p w14:paraId="72FA03EC" w14:textId="77777777" w:rsidR="00537CC8" w:rsidRPr="0025250D" w:rsidRDefault="00537CC8" w:rsidP="00664E33">
            <w:pPr>
              <w:bidi/>
              <w:spacing w:after="160"/>
              <w:jc w:val="center"/>
              <w:rPr>
                <w:rtl/>
              </w:rPr>
            </w:pPr>
            <w:r w:rsidRPr="0025250D">
              <w:rPr>
                <w:rtl/>
              </w:rPr>
              <w:t>1 (سانفرانس</w:t>
            </w:r>
            <w:r w:rsidRPr="0025250D">
              <w:rPr>
                <w:rFonts w:hint="cs"/>
                <w:rtl/>
              </w:rPr>
              <w:t>ی</w:t>
            </w:r>
            <w:r w:rsidRPr="0025250D">
              <w:rPr>
                <w:rFonts w:hint="eastAsia"/>
                <w:rtl/>
              </w:rPr>
              <w:t>سکو</w:t>
            </w:r>
            <w:r w:rsidRPr="0025250D">
              <w:rPr>
                <w:rFonts w:hint="cs"/>
                <w:rtl/>
              </w:rPr>
              <w:t>)</w:t>
            </w:r>
          </w:p>
        </w:tc>
      </w:tr>
      <w:tr w:rsidR="00537CC8" w:rsidRPr="0025250D" w14:paraId="38C0E8D0" w14:textId="77777777" w:rsidTr="00664E33">
        <w:tc>
          <w:tcPr>
            <w:tcW w:w="2124" w:type="dxa"/>
            <w:vAlign w:val="center"/>
          </w:tcPr>
          <w:p w14:paraId="3FA6DD49" w14:textId="77777777" w:rsidR="00537CC8" w:rsidRPr="0025250D" w:rsidRDefault="007A207F" w:rsidP="00664E33">
            <w:pPr>
              <w:bidi/>
              <w:spacing w:after="160"/>
              <w:jc w:val="center"/>
            </w:pPr>
            <w:hyperlink r:id="rId532">
              <w:r w:rsidR="00537CC8" w:rsidRPr="0025250D">
                <w:rPr>
                  <w:rStyle w:val="Hyperlink"/>
                  <w:color w:val="auto"/>
                  <w:u w:val="none"/>
                </w:rPr>
                <w:t>Machine Intelligence Rsrch Inst</w:t>
              </w:r>
            </w:hyperlink>
          </w:p>
        </w:tc>
        <w:tc>
          <w:tcPr>
            <w:tcW w:w="3798" w:type="dxa"/>
            <w:vAlign w:val="center"/>
          </w:tcPr>
          <w:p w14:paraId="7F840545" w14:textId="77777777" w:rsidR="00537CC8" w:rsidRPr="0025250D" w:rsidRDefault="00537CC8" w:rsidP="00664E33">
            <w:pPr>
              <w:bidi/>
              <w:spacing w:after="160"/>
              <w:jc w:val="center"/>
              <w:rPr>
                <w:rtl/>
              </w:rPr>
            </w:pPr>
            <w:r w:rsidRPr="0025250D">
              <w:rPr>
                <w:rtl/>
              </w:rPr>
              <w:t>لوک مولهاوزر</w:t>
            </w:r>
            <w:r w:rsidRPr="0025250D">
              <w:rPr>
                <w:vertAlign w:val="superscript"/>
                <w:rtl/>
              </w:rPr>
              <w:footnoteReference w:id="3224"/>
            </w:r>
            <w:r w:rsidRPr="0025250D">
              <w:rPr>
                <w:rtl/>
              </w:rPr>
              <w:t>، ال</w:t>
            </w:r>
            <w:r w:rsidRPr="0025250D">
              <w:rPr>
                <w:rFonts w:hint="cs"/>
                <w:rtl/>
              </w:rPr>
              <w:t>ی</w:t>
            </w:r>
            <w:r w:rsidRPr="0025250D">
              <w:rPr>
                <w:rFonts w:hint="eastAsia"/>
                <w:rtl/>
              </w:rPr>
              <w:t>زر</w:t>
            </w:r>
            <w:r w:rsidRPr="0025250D">
              <w:rPr>
                <w:rtl/>
              </w:rPr>
              <w:t xml:space="preserve"> </w:t>
            </w:r>
            <w:r w:rsidRPr="0025250D">
              <w:rPr>
                <w:rFonts w:hint="cs"/>
                <w:rtl/>
              </w:rPr>
              <w:t>ی</w:t>
            </w:r>
            <w:r w:rsidRPr="0025250D">
              <w:rPr>
                <w:rFonts w:hint="eastAsia"/>
                <w:rtl/>
              </w:rPr>
              <w:t>ودکوفسک</w:t>
            </w:r>
            <w:r w:rsidRPr="0025250D">
              <w:rPr>
                <w:rFonts w:hint="cs"/>
                <w:rtl/>
              </w:rPr>
              <w:t>ی</w:t>
            </w:r>
            <w:r w:rsidRPr="0025250D">
              <w:rPr>
                <w:vertAlign w:val="superscript"/>
                <w:rtl/>
              </w:rPr>
              <w:footnoteReference w:id="3225"/>
            </w:r>
            <w:r w:rsidRPr="0025250D">
              <w:rPr>
                <w:rFonts w:hint="eastAsia"/>
                <w:rtl/>
              </w:rPr>
              <w:t>؛</w:t>
            </w:r>
            <w:r w:rsidRPr="0025250D">
              <w:rPr>
                <w:rtl/>
              </w:rPr>
              <w:t xml:space="preserve"> تحق</w:t>
            </w:r>
            <w:r w:rsidRPr="0025250D">
              <w:rPr>
                <w:rFonts w:hint="cs"/>
                <w:rtl/>
              </w:rPr>
              <w:t>ی</w:t>
            </w:r>
            <w:r w:rsidRPr="0025250D">
              <w:rPr>
                <w:rFonts w:hint="eastAsia"/>
                <w:rtl/>
              </w:rPr>
              <w:t>قات</w:t>
            </w:r>
            <w:r w:rsidRPr="0025250D">
              <w:rPr>
                <w:rtl/>
              </w:rPr>
              <w:t xml:space="preserve"> هوش مصنوع</w:t>
            </w:r>
            <w:r w:rsidRPr="0025250D">
              <w:rPr>
                <w:rFonts w:hint="cs"/>
                <w:rtl/>
              </w:rPr>
              <w:t>ی</w:t>
            </w:r>
            <w:r w:rsidRPr="0025250D">
              <w:rPr>
                <w:rtl/>
              </w:rPr>
              <w:t xml:space="preserve"> دوستانه</w:t>
            </w:r>
          </w:p>
        </w:tc>
        <w:tc>
          <w:tcPr>
            <w:tcW w:w="1438" w:type="dxa"/>
            <w:vAlign w:val="center"/>
          </w:tcPr>
          <w:p w14:paraId="06CB1A69" w14:textId="77777777" w:rsidR="00537CC8" w:rsidRPr="0025250D" w:rsidRDefault="00537CC8" w:rsidP="00664E33">
            <w:pPr>
              <w:bidi/>
              <w:spacing w:after="160"/>
              <w:jc w:val="center"/>
              <w:rPr>
                <w:rtl/>
              </w:rPr>
            </w:pPr>
            <w:r w:rsidRPr="0025250D">
              <w:rPr>
                <w:rtl/>
              </w:rPr>
              <w:t>1 (برکل</w:t>
            </w:r>
            <w:r w:rsidRPr="0025250D">
              <w:rPr>
                <w:rFonts w:hint="cs"/>
                <w:rtl/>
              </w:rPr>
              <w:t>ی)</w:t>
            </w:r>
          </w:p>
        </w:tc>
      </w:tr>
      <w:tr w:rsidR="00537CC8" w:rsidRPr="0025250D" w14:paraId="78443DED" w14:textId="77777777" w:rsidTr="00664E33">
        <w:tc>
          <w:tcPr>
            <w:tcW w:w="2124" w:type="dxa"/>
            <w:vAlign w:val="center"/>
          </w:tcPr>
          <w:p w14:paraId="5BB05604" w14:textId="77777777" w:rsidR="00537CC8" w:rsidRPr="0025250D" w:rsidRDefault="007A207F" w:rsidP="00664E33">
            <w:pPr>
              <w:bidi/>
              <w:spacing w:after="160"/>
              <w:jc w:val="center"/>
            </w:pPr>
            <w:hyperlink r:id="rId533">
              <w:r w:rsidR="00537CC8" w:rsidRPr="0025250D">
                <w:rPr>
                  <w:rStyle w:val="Hyperlink"/>
                  <w:color w:val="auto"/>
                  <w:u w:val="none"/>
                </w:rPr>
                <w:t>Magellis Consultants</w:t>
              </w:r>
            </w:hyperlink>
          </w:p>
        </w:tc>
        <w:tc>
          <w:tcPr>
            <w:tcW w:w="3798" w:type="dxa"/>
            <w:vAlign w:val="center"/>
          </w:tcPr>
          <w:p w14:paraId="16E0CB38" w14:textId="582AECF1" w:rsidR="00537CC8" w:rsidRPr="0025250D" w:rsidRDefault="00537CC8" w:rsidP="00664E33">
            <w:pPr>
              <w:bidi/>
              <w:spacing w:after="160"/>
              <w:jc w:val="center"/>
              <w:rPr>
                <w:rtl/>
              </w:rPr>
            </w:pPr>
            <w:r w:rsidRPr="0025250D">
              <w:rPr>
                <w:rtl/>
              </w:rPr>
              <w:t>ناتال</w:t>
            </w:r>
            <w:r w:rsidRPr="0025250D">
              <w:rPr>
                <w:rFonts w:hint="cs"/>
                <w:rtl/>
              </w:rPr>
              <w:t>ی</w:t>
            </w:r>
            <w:r w:rsidRPr="0025250D">
              <w:rPr>
                <w:rtl/>
              </w:rPr>
              <w:t xml:space="preserve"> باسالر</w:t>
            </w:r>
            <w:r w:rsidRPr="0025250D">
              <w:rPr>
                <w:vertAlign w:val="superscript"/>
                <w:rtl/>
              </w:rPr>
              <w:footnoteReference w:id="3226"/>
            </w:r>
            <w:r w:rsidRPr="0025250D">
              <w:rPr>
                <w:rFonts w:hint="cs"/>
                <w:rtl/>
              </w:rPr>
              <w:t>؛</w:t>
            </w:r>
            <w:r w:rsidRPr="0025250D">
              <w:rPr>
                <w:rtl/>
              </w:rPr>
              <w:t xml:space="preserve"> مشاوره آینده‌</w:t>
            </w:r>
            <w:r w:rsidR="00E26538" w:rsidRPr="0025250D">
              <w:rPr>
                <w:rtl/>
              </w:rPr>
              <w:t>نگار</w:t>
            </w:r>
            <w:r w:rsidRPr="0025250D">
              <w:rPr>
                <w:rtl/>
              </w:rPr>
              <w:t xml:space="preserve">ی </w:t>
            </w:r>
            <w:r w:rsidR="00701E03" w:rsidRPr="0025250D">
              <w:rPr>
                <w:rtl/>
              </w:rPr>
              <w:t>راهبردی</w:t>
            </w:r>
          </w:p>
        </w:tc>
        <w:tc>
          <w:tcPr>
            <w:tcW w:w="1438" w:type="dxa"/>
            <w:vAlign w:val="center"/>
          </w:tcPr>
          <w:p w14:paraId="48E0EF2C" w14:textId="77777777" w:rsidR="00537CC8" w:rsidRPr="0025250D" w:rsidRDefault="00537CC8" w:rsidP="00664E33">
            <w:pPr>
              <w:bidi/>
              <w:spacing w:after="160"/>
              <w:jc w:val="center"/>
              <w:rPr>
                <w:rtl/>
              </w:rPr>
            </w:pPr>
            <w:r w:rsidRPr="0025250D">
              <w:rPr>
                <w:rtl/>
              </w:rPr>
              <w:t>3 (پار</w:t>
            </w:r>
            <w:r w:rsidRPr="0025250D">
              <w:rPr>
                <w:rFonts w:hint="cs"/>
                <w:rtl/>
              </w:rPr>
              <w:t>ی</w:t>
            </w:r>
            <w:r w:rsidRPr="0025250D">
              <w:rPr>
                <w:rFonts w:hint="eastAsia"/>
                <w:rtl/>
              </w:rPr>
              <w:t>س،</w:t>
            </w:r>
            <w:r w:rsidRPr="0025250D">
              <w:rPr>
                <w:rtl/>
              </w:rPr>
              <w:t xml:space="preserve"> فرانسه)</w:t>
            </w:r>
          </w:p>
        </w:tc>
      </w:tr>
      <w:tr w:rsidR="00537CC8" w:rsidRPr="0025250D" w14:paraId="0E63B1AB" w14:textId="77777777" w:rsidTr="00664E33">
        <w:tc>
          <w:tcPr>
            <w:tcW w:w="2124" w:type="dxa"/>
            <w:vAlign w:val="center"/>
          </w:tcPr>
          <w:p w14:paraId="6D08B038" w14:textId="77777777" w:rsidR="00537CC8" w:rsidRPr="0025250D" w:rsidRDefault="007A207F" w:rsidP="00664E33">
            <w:pPr>
              <w:bidi/>
              <w:spacing w:after="160"/>
              <w:jc w:val="center"/>
            </w:pPr>
            <w:hyperlink r:id="rId534">
              <w:r w:rsidR="00537CC8" w:rsidRPr="0025250D">
                <w:rPr>
                  <w:rStyle w:val="Hyperlink"/>
                  <w:color w:val="auto"/>
                  <w:u w:val="none"/>
                </w:rPr>
                <w:t>Neocogs</w:t>
              </w:r>
            </w:hyperlink>
          </w:p>
        </w:tc>
        <w:tc>
          <w:tcPr>
            <w:tcW w:w="3798" w:type="dxa"/>
            <w:vAlign w:val="center"/>
          </w:tcPr>
          <w:p w14:paraId="015D4FC1" w14:textId="341C48C9" w:rsidR="00537CC8" w:rsidRPr="0025250D" w:rsidRDefault="00537CC8" w:rsidP="00664E33">
            <w:pPr>
              <w:bidi/>
              <w:spacing w:after="160"/>
              <w:jc w:val="center"/>
              <w:rPr>
                <w:rtl/>
              </w:rPr>
            </w:pPr>
            <w:r w:rsidRPr="0025250D">
              <w:rPr>
                <w:rtl/>
              </w:rPr>
              <w:t>بن فلاول</w:t>
            </w:r>
            <w:r w:rsidRPr="0025250D">
              <w:rPr>
                <w:vertAlign w:val="superscript"/>
                <w:rtl/>
              </w:rPr>
              <w:footnoteReference w:id="3227"/>
            </w:r>
            <w:r w:rsidRPr="0025250D">
              <w:rPr>
                <w:rtl/>
              </w:rPr>
              <w:t>؛ مشاوره آینده‌</w:t>
            </w:r>
            <w:r w:rsidR="00E26538" w:rsidRPr="0025250D">
              <w:rPr>
                <w:rtl/>
              </w:rPr>
              <w:t>نگار</w:t>
            </w:r>
            <w:r w:rsidRPr="0025250D">
              <w:rPr>
                <w:rtl/>
              </w:rPr>
              <w:t>ی و نوآور</w:t>
            </w:r>
            <w:r w:rsidRPr="0025250D">
              <w:rPr>
                <w:rFonts w:hint="cs"/>
                <w:rtl/>
              </w:rPr>
              <w:t>ی</w:t>
            </w:r>
          </w:p>
        </w:tc>
        <w:tc>
          <w:tcPr>
            <w:tcW w:w="1438" w:type="dxa"/>
            <w:vAlign w:val="center"/>
          </w:tcPr>
          <w:p w14:paraId="73C958E1" w14:textId="77777777" w:rsidR="00537CC8" w:rsidRPr="0025250D" w:rsidRDefault="00537CC8" w:rsidP="00664E33">
            <w:pPr>
              <w:bidi/>
              <w:spacing w:after="160"/>
              <w:jc w:val="center"/>
              <w:rPr>
                <w:rtl/>
              </w:rPr>
            </w:pPr>
            <w:r w:rsidRPr="0025250D">
              <w:rPr>
                <w:rtl/>
              </w:rPr>
              <w:t>10 (ملبورن</w:t>
            </w:r>
            <w:r w:rsidRPr="0025250D">
              <w:rPr>
                <w:rFonts w:hint="cs"/>
                <w:rtl/>
              </w:rPr>
              <w:t>)</w:t>
            </w:r>
          </w:p>
        </w:tc>
      </w:tr>
      <w:tr w:rsidR="00537CC8" w:rsidRPr="0025250D" w14:paraId="1E7C822B" w14:textId="77777777" w:rsidTr="00664E33">
        <w:tc>
          <w:tcPr>
            <w:tcW w:w="2124" w:type="dxa"/>
            <w:vAlign w:val="center"/>
          </w:tcPr>
          <w:p w14:paraId="21A3AACA" w14:textId="77777777" w:rsidR="00537CC8" w:rsidRPr="0025250D" w:rsidRDefault="007A207F" w:rsidP="00664E33">
            <w:pPr>
              <w:bidi/>
              <w:spacing w:after="160"/>
              <w:jc w:val="center"/>
            </w:pPr>
            <w:hyperlink r:id="rId535">
              <w:r w:rsidR="00537CC8" w:rsidRPr="0025250D">
                <w:rPr>
                  <w:rStyle w:val="Hyperlink"/>
                  <w:color w:val="auto"/>
                  <w:u w:val="none"/>
                </w:rPr>
                <w:t>NVC</w:t>
              </w:r>
            </w:hyperlink>
            <w:r w:rsidR="00537CC8" w:rsidRPr="0025250D">
              <w:t xml:space="preserve"> </w:t>
            </w:r>
            <w:hyperlink r:id="rId536">
              <w:r w:rsidR="00537CC8" w:rsidRPr="0025250D">
                <w:rPr>
                  <w:rStyle w:val="Hyperlink"/>
                  <w:color w:val="auto"/>
                  <w:u w:val="none"/>
                </w:rPr>
                <w:t>Consulting/Spiral Dynamics</w:t>
              </w:r>
            </w:hyperlink>
          </w:p>
        </w:tc>
        <w:tc>
          <w:tcPr>
            <w:tcW w:w="3798" w:type="dxa"/>
            <w:vAlign w:val="center"/>
          </w:tcPr>
          <w:p w14:paraId="1EDBCDAB" w14:textId="5E7A8AD0" w:rsidR="00537CC8" w:rsidRPr="0025250D" w:rsidRDefault="00537CC8" w:rsidP="00664E33">
            <w:pPr>
              <w:bidi/>
              <w:spacing w:after="160"/>
              <w:jc w:val="center"/>
              <w:rPr>
                <w:rtl/>
              </w:rPr>
            </w:pPr>
            <w:r w:rsidRPr="0025250D">
              <w:rPr>
                <w:rtl/>
              </w:rPr>
              <w:t>کر</w:t>
            </w:r>
            <w:r w:rsidRPr="0025250D">
              <w:rPr>
                <w:rFonts w:hint="cs"/>
                <w:rtl/>
              </w:rPr>
              <w:t>ی</w:t>
            </w:r>
            <w:r w:rsidRPr="0025250D">
              <w:rPr>
                <w:rFonts w:hint="eastAsia"/>
                <w:rtl/>
              </w:rPr>
              <w:t>س</w:t>
            </w:r>
            <w:r w:rsidRPr="0025250D">
              <w:rPr>
                <w:rtl/>
              </w:rPr>
              <w:t xml:space="preserve"> کوان</w:t>
            </w:r>
            <w:r w:rsidRPr="0025250D">
              <w:rPr>
                <w:vertAlign w:val="superscript"/>
                <w:rtl/>
              </w:rPr>
              <w:footnoteReference w:id="3228"/>
            </w:r>
            <w:r w:rsidRPr="0025250D">
              <w:rPr>
                <w:rtl/>
              </w:rPr>
              <w:t>، ناتاشا تودوروو</w:t>
            </w:r>
            <w:r w:rsidRPr="0025250D">
              <w:rPr>
                <w:rFonts w:hint="cs"/>
                <w:rtl/>
              </w:rPr>
              <w:t>ی</w:t>
            </w:r>
            <w:r w:rsidRPr="0025250D">
              <w:rPr>
                <w:rFonts w:hint="eastAsia"/>
                <w:rtl/>
              </w:rPr>
              <w:t>چ</w:t>
            </w:r>
            <w:r w:rsidRPr="0025250D">
              <w:rPr>
                <w:vertAlign w:val="superscript"/>
                <w:rtl/>
              </w:rPr>
              <w:footnoteReference w:id="3229"/>
            </w:r>
            <w:r w:rsidRPr="0025250D">
              <w:rPr>
                <w:rFonts w:hint="eastAsia"/>
                <w:rtl/>
              </w:rPr>
              <w:t>؛</w:t>
            </w:r>
            <w:r w:rsidRPr="0025250D">
              <w:rPr>
                <w:rtl/>
              </w:rPr>
              <w:t xml:space="preserve"> </w:t>
            </w:r>
            <w:r w:rsidRPr="0025250D">
              <w:rPr>
                <w:rFonts w:hint="cs"/>
                <w:rtl/>
              </w:rPr>
              <w:t xml:space="preserve">مدیریت </w:t>
            </w:r>
            <w:r w:rsidRPr="0025250D">
              <w:rPr>
                <w:rtl/>
              </w:rPr>
              <w:t>تغ</w:t>
            </w:r>
            <w:r w:rsidRPr="0025250D">
              <w:rPr>
                <w:rFonts w:hint="cs"/>
                <w:rtl/>
              </w:rPr>
              <w:t>یی</w:t>
            </w:r>
            <w:r w:rsidRPr="0025250D">
              <w:rPr>
                <w:rFonts w:hint="eastAsia"/>
                <w:rtl/>
              </w:rPr>
              <w:t>ر</w:t>
            </w:r>
            <w:r w:rsidRPr="0025250D">
              <w:rPr>
                <w:rFonts w:hint="cs"/>
                <w:rtl/>
              </w:rPr>
              <w:t>،</w:t>
            </w:r>
            <w:r w:rsidR="008D6F97" w:rsidRPr="0025250D">
              <w:rPr>
                <w:rtl/>
              </w:rPr>
              <w:t xml:space="preserve"> </w:t>
            </w:r>
            <w:r w:rsidRPr="0025250D">
              <w:rPr>
                <w:rtl/>
              </w:rPr>
              <w:t>رهبر</w:t>
            </w:r>
            <w:r w:rsidRPr="0025250D">
              <w:rPr>
                <w:rFonts w:hint="cs"/>
                <w:rtl/>
              </w:rPr>
              <w:t>ی</w:t>
            </w:r>
          </w:p>
        </w:tc>
        <w:tc>
          <w:tcPr>
            <w:tcW w:w="1438" w:type="dxa"/>
            <w:vAlign w:val="center"/>
          </w:tcPr>
          <w:p w14:paraId="716DDB21" w14:textId="77777777" w:rsidR="00537CC8" w:rsidRPr="0025250D" w:rsidRDefault="00537CC8" w:rsidP="00664E33">
            <w:pPr>
              <w:bidi/>
              <w:spacing w:after="160"/>
              <w:jc w:val="center"/>
              <w:rPr>
                <w:rtl/>
              </w:rPr>
            </w:pPr>
            <w:r w:rsidRPr="0025250D">
              <w:rPr>
                <w:rtl/>
              </w:rPr>
              <w:t>1 (سانتا باربارا</w:t>
            </w:r>
            <w:r w:rsidRPr="0025250D">
              <w:rPr>
                <w:rFonts w:hint="cs"/>
                <w:rtl/>
              </w:rPr>
              <w:t>)</w:t>
            </w:r>
          </w:p>
        </w:tc>
      </w:tr>
      <w:tr w:rsidR="00537CC8" w:rsidRPr="0025250D" w14:paraId="48BF6E80" w14:textId="77777777" w:rsidTr="00664E33">
        <w:tc>
          <w:tcPr>
            <w:tcW w:w="2124" w:type="dxa"/>
            <w:vAlign w:val="center"/>
          </w:tcPr>
          <w:p w14:paraId="299A64CB" w14:textId="77777777" w:rsidR="00537CC8" w:rsidRPr="0025250D" w:rsidRDefault="007A207F" w:rsidP="00664E33">
            <w:pPr>
              <w:bidi/>
              <w:spacing w:after="160"/>
              <w:jc w:val="center"/>
            </w:pPr>
            <w:hyperlink r:id="rId537">
              <w:r w:rsidR="00537CC8" w:rsidRPr="0025250D">
                <w:rPr>
                  <w:rStyle w:val="Hyperlink"/>
                  <w:color w:val="auto"/>
                  <w:u w:val="none"/>
                </w:rPr>
                <w:t>Panopticon</w:t>
              </w:r>
            </w:hyperlink>
          </w:p>
        </w:tc>
        <w:tc>
          <w:tcPr>
            <w:tcW w:w="3798" w:type="dxa"/>
            <w:vAlign w:val="center"/>
          </w:tcPr>
          <w:p w14:paraId="231989ED" w14:textId="32A14D00" w:rsidR="00537CC8" w:rsidRPr="0025250D" w:rsidRDefault="00537CC8" w:rsidP="00664E33">
            <w:pPr>
              <w:bidi/>
              <w:spacing w:after="160"/>
              <w:jc w:val="center"/>
              <w:rPr>
                <w:rtl/>
              </w:rPr>
            </w:pPr>
            <w:r w:rsidRPr="0025250D">
              <w:rPr>
                <w:rtl/>
              </w:rPr>
              <w:t xml:space="preserve">گروه </w:t>
            </w:r>
            <w:r w:rsidR="00B56611" w:rsidRPr="0025250D">
              <w:rPr>
                <w:rtl/>
              </w:rPr>
              <w:t>چشم‌انداز</w:t>
            </w:r>
            <w:r w:rsidRPr="0025250D">
              <w:rPr>
                <w:rtl/>
              </w:rPr>
              <w:t xml:space="preserve"> و آ</w:t>
            </w:r>
            <w:r w:rsidRPr="0025250D">
              <w:rPr>
                <w:rFonts w:hint="cs"/>
                <w:rtl/>
              </w:rPr>
              <w:t>ی</w:t>
            </w:r>
            <w:r w:rsidRPr="0025250D">
              <w:rPr>
                <w:rFonts w:hint="eastAsia"/>
                <w:rtl/>
              </w:rPr>
              <w:t>نده</w:t>
            </w:r>
            <w:r w:rsidRPr="0025250D">
              <w:rPr>
                <w:rtl/>
              </w:rPr>
              <w:t xml:space="preserve">‌های </w:t>
            </w:r>
            <w:r w:rsidRPr="0025250D">
              <w:rPr>
                <w:rFonts w:hint="cs"/>
                <w:rtl/>
              </w:rPr>
              <w:t>بدیل</w:t>
            </w:r>
          </w:p>
        </w:tc>
        <w:tc>
          <w:tcPr>
            <w:tcW w:w="1438" w:type="dxa"/>
            <w:vAlign w:val="center"/>
          </w:tcPr>
          <w:p w14:paraId="25CD1C32" w14:textId="77777777" w:rsidR="00537CC8" w:rsidRPr="0025250D" w:rsidRDefault="00537CC8" w:rsidP="00664E33">
            <w:pPr>
              <w:bidi/>
              <w:spacing w:after="160"/>
              <w:jc w:val="center"/>
              <w:rPr>
                <w:rtl/>
              </w:rPr>
            </w:pPr>
            <w:r w:rsidRPr="0025250D">
              <w:rPr>
                <w:rtl/>
              </w:rPr>
              <w:t>3 (آنتورپ، بلژ</w:t>
            </w:r>
            <w:r w:rsidRPr="0025250D">
              <w:rPr>
                <w:rFonts w:hint="cs"/>
                <w:rtl/>
              </w:rPr>
              <w:t>ی</w:t>
            </w:r>
            <w:r w:rsidRPr="0025250D">
              <w:rPr>
                <w:rFonts w:hint="eastAsia"/>
                <w:rtl/>
              </w:rPr>
              <w:t>ک</w:t>
            </w:r>
            <w:r w:rsidRPr="0025250D">
              <w:rPr>
                <w:rtl/>
              </w:rPr>
              <w:t>)</w:t>
            </w:r>
          </w:p>
        </w:tc>
      </w:tr>
      <w:tr w:rsidR="00537CC8" w:rsidRPr="0025250D" w14:paraId="3D1FC75B" w14:textId="77777777" w:rsidTr="00664E33">
        <w:tc>
          <w:tcPr>
            <w:tcW w:w="2124" w:type="dxa"/>
            <w:vAlign w:val="center"/>
          </w:tcPr>
          <w:p w14:paraId="72FEF126" w14:textId="77777777" w:rsidR="00537CC8" w:rsidRPr="0025250D" w:rsidRDefault="007A207F" w:rsidP="00664E33">
            <w:pPr>
              <w:bidi/>
              <w:spacing w:after="160"/>
              <w:jc w:val="center"/>
            </w:pPr>
            <w:hyperlink r:id="rId538">
              <w:r w:rsidR="00537CC8" w:rsidRPr="0025250D">
                <w:rPr>
                  <w:rStyle w:val="Hyperlink"/>
                  <w:color w:val="auto"/>
                  <w:u w:val="none"/>
                </w:rPr>
                <w:t>Personal Futures</w:t>
              </w:r>
            </w:hyperlink>
          </w:p>
        </w:tc>
        <w:tc>
          <w:tcPr>
            <w:tcW w:w="3798" w:type="dxa"/>
            <w:vAlign w:val="center"/>
          </w:tcPr>
          <w:p w14:paraId="3976380A" w14:textId="18ADE316" w:rsidR="00537CC8" w:rsidRPr="0025250D" w:rsidRDefault="00537CC8" w:rsidP="00664E33">
            <w:pPr>
              <w:bidi/>
              <w:spacing w:after="160"/>
              <w:jc w:val="center"/>
              <w:rPr>
                <w:rtl/>
              </w:rPr>
            </w:pPr>
            <w:r w:rsidRPr="0025250D">
              <w:rPr>
                <w:rtl/>
              </w:rPr>
              <w:t>ورن و</w:t>
            </w:r>
            <w:r w:rsidRPr="0025250D">
              <w:rPr>
                <w:rFonts w:hint="cs"/>
                <w:rtl/>
              </w:rPr>
              <w:t>ی</w:t>
            </w:r>
            <w:r w:rsidRPr="0025250D">
              <w:rPr>
                <w:rFonts w:hint="eastAsia"/>
                <w:rtl/>
              </w:rPr>
              <w:t>ل</w:t>
            </w:r>
            <w:r w:rsidRPr="0025250D">
              <w:rPr>
                <w:rtl/>
              </w:rPr>
              <w:t xml:space="preserve"> را</w:t>
            </w:r>
            <w:r w:rsidRPr="0025250D">
              <w:rPr>
                <w:rFonts w:hint="cs"/>
                <w:rtl/>
              </w:rPr>
              <w:t>ی</w:t>
            </w:r>
            <w:r w:rsidRPr="0025250D">
              <w:rPr>
                <w:rFonts w:hint="eastAsia"/>
                <w:rtl/>
              </w:rPr>
              <w:t>ت</w:t>
            </w:r>
            <w:r w:rsidRPr="0025250D">
              <w:rPr>
                <w:vertAlign w:val="superscript"/>
                <w:rtl/>
              </w:rPr>
              <w:footnoteReference w:id="3230"/>
            </w:r>
            <w:r w:rsidRPr="0025250D">
              <w:rPr>
                <w:rFonts w:hint="cs"/>
                <w:rtl/>
              </w:rPr>
              <w:t xml:space="preserve">؛ </w:t>
            </w:r>
            <w:r w:rsidRPr="0025250D">
              <w:rPr>
                <w:rtl/>
              </w:rPr>
              <w:t>آینده‌</w:t>
            </w:r>
            <w:r w:rsidR="00E26538" w:rsidRPr="0025250D">
              <w:rPr>
                <w:rtl/>
              </w:rPr>
              <w:t>نگار</w:t>
            </w:r>
            <w:r w:rsidRPr="0025250D">
              <w:rPr>
                <w:rtl/>
              </w:rPr>
              <w:t xml:space="preserve">ی </w:t>
            </w:r>
            <w:r w:rsidR="001A3F0A" w:rsidRPr="0025250D">
              <w:rPr>
                <w:rtl/>
              </w:rPr>
              <w:t>فردی</w:t>
            </w:r>
            <w:r w:rsidRPr="0025250D">
              <w:rPr>
                <w:rtl/>
              </w:rPr>
              <w:t xml:space="preserve"> و </w:t>
            </w:r>
            <w:r w:rsidR="00B124DE" w:rsidRPr="0025250D">
              <w:rPr>
                <w:rtl/>
              </w:rPr>
              <w:t>برنامه‌ریزی</w:t>
            </w:r>
            <w:r w:rsidRPr="0025250D">
              <w:rPr>
                <w:rtl/>
              </w:rPr>
              <w:t xml:space="preserve"> </w:t>
            </w:r>
            <w:r w:rsidR="00701E03" w:rsidRPr="0025250D">
              <w:rPr>
                <w:rtl/>
              </w:rPr>
              <w:t>راهبردی</w:t>
            </w:r>
          </w:p>
        </w:tc>
        <w:tc>
          <w:tcPr>
            <w:tcW w:w="1438" w:type="dxa"/>
            <w:vAlign w:val="center"/>
          </w:tcPr>
          <w:p w14:paraId="0750AD94" w14:textId="77777777" w:rsidR="00537CC8" w:rsidRPr="0025250D" w:rsidRDefault="00537CC8" w:rsidP="00664E33">
            <w:pPr>
              <w:bidi/>
              <w:spacing w:after="160"/>
              <w:jc w:val="center"/>
              <w:rPr>
                <w:rtl/>
              </w:rPr>
            </w:pPr>
            <w:r w:rsidRPr="0025250D">
              <w:rPr>
                <w:rtl/>
              </w:rPr>
              <w:t>1 (هارل</w:t>
            </w:r>
            <w:r w:rsidRPr="0025250D">
              <w:rPr>
                <w:rFonts w:hint="cs"/>
                <w:rtl/>
              </w:rPr>
              <w:t>ی</w:t>
            </w:r>
            <w:r w:rsidRPr="0025250D">
              <w:rPr>
                <w:rFonts w:hint="eastAsia"/>
                <w:rtl/>
              </w:rPr>
              <w:t>نگن</w:t>
            </w:r>
            <w:r w:rsidRPr="0025250D">
              <w:rPr>
                <w:rFonts w:hint="cs"/>
                <w:rtl/>
              </w:rPr>
              <w:t>)</w:t>
            </w:r>
          </w:p>
        </w:tc>
      </w:tr>
      <w:tr w:rsidR="00537CC8" w:rsidRPr="0025250D" w14:paraId="09DD86E5" w14:textId="77777777" w:rsidTr="00664E33">
        <w:tc>
          <w:tcPr>
            <w:tcW w:w="2124" w:type="dxa"/>
            <w:vAlign w:val="center"/>
          </w:tcPr>
          <w:p w14:paraId="072FB791" w14:textId="77777777" w:rsidR="00537CC8" w:rsidRPr="0025250D" w:rsidRDefault="007A207F" w:rsidP="00664E33">
            <w:pPr>
              <w:bidi/>
              <w:spacing w:after="160"/>
              <w:jc w:val="center"/>
            </w:pPr>
            <w:hyperlink r:id="rId539">
              <w:r w:rsidR="00537CC8" w:rsidRPr="0025250D">
                <w:rPr>
                  <w:rStyle w:val="Hyperlink"/>
                  <w:color w:val="auto"/>
                  <w:u w:val="none"/>
                </w:rPr>
                <w:t>ProGective</w:t>
              </w:r>
            </w:hyperlink>
          </w:p>
        </w:tc>
        <w:tc>
          <w:tcPr>
            <w:tcW w:w="3798" w:type="dxa"/>
            <w:vAlign w:val="center"/>
          </w:tcPr>
          <w:p w14:paraId="4CA1F06B" w14:textId="0FE0C4BB" w:rsidR="00537CC8" w:rsidRPr="0025250D" w:rsidRDefault="00537CC8" w:rsidP="00664E33">
            <w:pPr>
              <w:bidi/>
              <w:spacing w:after="160"/>
              <w:jc w:val="center"/>
              <w:rPr>
                <w:rtl/>
              </w:rPr>
            </w:pPr>
            <w:r w:rsidRPr="0025250D">
              <w:rPr>
                <w:rtl/>
              </w:rPr>
              <w:t>فاب</w:t>
            </w:r>
            <w:r w:rsidRPr="0025250D">
              <w:rPr>
                <w:rFonts w:hint="cs"/>
                <w:rtl/>
              </w:rPr>
              <w:t>ی</w:t>
            </w:r>
            <w:r w:rsidRPr="0025250D">
              <w:rPr>
                <w:rFonts w:hint="eastAsia"/>
                <w:rtl/>
              </w:rPr>
              <w:t>ن</w:t>
            </w:r>
            <w:r w:rsidRPr="0025250D">
              <w:rPr>
                <w:rtl/>
              </w:rPr>
              <w:t xml:space="preserve"> گوکس-باود</w:t>
            </w:r>
            <w:r w:rsidRPr="0025250D">
              <w:rPr>
                <w:rFonts w:hint="cs"/>
                <w:rtl/>
              </w:rPr>
              <w:t>ی</w:t>
            </w:r>
            <w:r w:rsidRPr="0025250D">
              <w:rPr>
                <w:rFonts w:hint="eastAsia"/>
                <w:rtl/>
              </w:rPr>
              <w:t>من</w:t>
            </w:r>
            <w:r w:rsidRPr="0025250D">
              <w:rPr>
                <w:vertAlign w:val="superscript"/>
                <w:rtl/>
              </w:rPr>
              <w:footnoteReference w:id="3231"/>
            </w:r>
            <w:r w:rsidRPr="0025250D">
              <w:rPr>
                <w:rFonts w:hint="cs"/>
                <w:rtl/>
              </w:rPr>
              <w:t xml:space="preserve">؛ </w:t>
            </w:r>
            <w:r w:rsidRPr="0025250D">
              <w:rPr>
                <w:rtl/>
              </w:rPr>
              <w:t>مشاوره آینده‌</w:t>
            </w:r>
            <w:r w:rsidR="00E26538" w:rsidRPr="0025250D">
              <w:rPr>
                <w:rtl/>
              </w:rPr>
              <w:t>نگار</w:t>
            </w:r>
            <w:r w:rsidRPr="0025250D">
              <w:rPr>
                <w:rtl/>
              </w:rPr>
              <w:t>ی شرکت</w:t>
            </w:r>
            <w:r w:rsidRPr="0025250D">
              <w:rPr>
                <w:rFonts w:hint="cs"/>
                <w:rtl/>
              </w:rPr>
              <w:t>ی</w:t>
            </w:r>
          </w:p>
        </w:tc>
        <w:tc>
          <w:tcPr>
            <w:tcW w:w="1438" w:type="dxa"/>
            <w:vAlign w:val="center"/>
          </w:tcPr>
          <w:p w14:paraId="7B91224B" w14:textId="77777777" w:rsidR="00537CC8" w:rsidRPr="0025250D" w:rsidRDefault="00537CC8" w:rsidP="00664E33">
            <w:pPr>
              <w:bidi/>
              <w:spacing w:after="160"/>
              <w:jc w:val="center"/>
              <w:rPr>
                <w:rtl/>
              </w:rPr>
            </w:pPr>
            <w:r w:rsidRPr="0025250D">
              <w:rPr>
                <w:rtl/>
              </w:rPr>
              <w:t>3 (پار</w:t>
            </w:r>
            <w:r w:rsidRPr="0025250D">
              <w:rPr>
                <w:rFonts w:hint="cs"/>
                <w:rtl/>
              </w:rPr>
              <w:t>ی</w:t>
            </w:r>
            <w:r w:rsidRPr="0025250D">
              <w:rPr>
                <w:rFonts w:hint="eastAsia"/>
                <w:rtl/>
              </w:rPr>
              <w:t>س،</w:t>
            </w:r>
            <w:r w:rsidRPr="0025250D">
              <w:rPr>
                <w:rtl/>
              </w:rPr>
              <w:t xml:space="preserve"> فرانسه)</w:t>
            </w:r>
          </w:p>
        </w:tc>
      </w:tr>
      <w:tr w:rsidR="00537CC8" w:rsidRPr="0025250D" w14:paraId="13CAEC72" w14:textId="77777777" w:rsidTr="00664E33">
        <w:tc>
          <w:tcPr>
            <w:tcW w:w="2124" w:type="dxa"/>
            <w:vAlign w:val="center"/>
          </w:tcPr>
          <w:p w14:paraId="128CA52F" w14:textId="77777777" w:rsidR="00537CC8" w:rsidRPr="0025250D" w:rsidRDefault="007A207F" w:rsidP="00664E33">
            <w:pPr>
              <w:bidi/>
              <w:spacing w:after="160"/>
              <w:jc w:val="center"/>
            </w:pPr>
            <w:hyperlink r:id="rId540">
              <w:r w:rsidR="00537CC8" w:rsidRPr="0025250D">
                <w:rPr>
                  <w:rStyle w:val="Hyperlink"/>
                  <w:color w:val="auto"/>
                  <w:u w:val="none"/>
                </w:rPr>
                <w:t>Prospektiker</w:t>
              </w:r>
            </w:hyperlink>
          </w:p>
        </w:tc>
        <w:tc>
          <w:tcPr>
            <w:tcW w:w="3798" w:type="dxa"/>
            <w:vAlign w:val="center"/>
          </w:tcPr>
          <w:p w14:paraId="38A9B313" w14:textId="6E2028AD" w:rsidR="00537CC8" w:rsidRPr="0025250D" w:rsidRDefault="00537CC8" w:rsidP="00664E33">
            <w:pPr>
              <w:bidi/>
              <w:spacing w:after="160"/>
              <w:jc w:val="center"/>
              <w:rPr>
                <w:rtl/>
              </w:rPr>
            </w:pPr>
            <w:r w:rsidRPr="0025250D">
              <w:rPr>
                <w:rtl/>
              </w:rPr>
              <w:t>آینده‌</w:t>
            </w:r>
            <w:r w:rsidR="00E26538" w:rsidRPr="0025250D">
              <w:rPr>
                <w:rtl/>
              </w:rPr>
              <w:t>نگار</w:t>
            </w:r>
            <w:r w:rsidRPr="0025250D">
              <w:rPr>
                <w:rtl/>
              </w:rPr>
              <w:t>ی</w:t>
            </w:r>
            <w:r w:rsidRPr="0025250D">
              <w:rPr>
                <w:rFonts w:hint="eastAsia"/>
                <w:rtl/>
              </w:rPr>
              <w:t>،</w:t>
            </w:r>
            <w:r w:rsidRPr="0025250D">
              <w:rPr>
                <w:rtl/>
              </w:rPr>
              <w:t xml:space="preserve"> </w:t>
            </w:r>
            <w:r w:rsidR="00B56611" w:rsidRPr="0025250D">
              <w:rPr>
                <w:rtl/>
              </w:rPr>
              <w:t>چشم‌انداز</w:t>
            </w:r>
            <w:r w:rsidRPr="0025250D">
              <w:rPr>
                <w:rtl/>
              </w:rPr>
              <w:t xml:space="preserve">، </w:t>
            </w:r>
            <w:r w:rsidR="00B124DE" w:rsidRPr="0025250D">
              <w:rPr>
                <w:rtl/>
              </w:rPr>
              <w:t>برنامه‌ریزی</w:t>
            </w:r>
            <w:r w:rsidRPr="0025250D">
              <w:rPr>
                <w:rtl/>
              </w:rPr>
              <w:t xml:space="preserve"> </w:t>
            </w:r>
            <w:r w:rsidR="00701E03" w:rsidRPr="0025250D">
              <w:rPr>
                <w:rtl/>
              </w:rPr>
              <w:t>راهبردی</w:t>
            </w:r>
            <w:r w:rsidRPr="0025250D">
              <w:rPr>
                <w:rtl/>
              </w:rPr>
              <w:t>. 25 سال</w:t>
            </w:r>
          </w:p>
        </w:tc>
        <w:tc>
          <w:tcPr>
            <w:tcW w:w="1438" w:type="dxa"/>
            <w:vAlign w:val="center"/>
          </w:tcPr>
          <w:p w14:paraId="61479FD1" w14:textId="77777777" w:rsidR="00537CC8" w:rsidRPr="0025250D" w:rsidRDefault="00537CC8" w:rsidP="00664E33">
            <w:pPr>
              <w:bidi/>
              <w:spacing w:after="160"/>
              <w:jc w:val="center"/>
              <w:rPr>
                <w:rtl/>
              </w:rPr>
            </w:pPr>
            <w:r w:rsidRPr="0025250D">
              <w:rPr>
                <w:rtl/>
              </w:rPr>
              <w:t>3 (گ</w:t>
            </w:r>
            <w:r w:rsidRPr="0025250D">
              <w:rPr>
                <w:rFonts w:hint="cs"/>
                <w:rtl/>
              </w:rPr>
              <w:t>ی</w:t>
            </w:r>
            <w:r w:rsidRPr="0025250D">
              <w:rPr>
                <w:rFonts w:hint="eastAsia"/>
                <w:rtl/>
              </w:rPr>
              <w:t>پوسکوآ،</w:t>
            </w:r>
            <w:r w:rsidRPr="0025250D">
              <w:rPr>
                <w:rtl/>
              </w:rPr>
              <w:t xml:space="preserve"> اسپان</w:t>
            </w:r>
            <w:r w:rsidRPr="0025250D">
              <w:rPr>
                <w:rFonts w:hint="cs"/>
                <w:rtl/>
              </w:rPr>
              <w:t>ی</w:t>
            </w:r>
            <w:r w:rsidRPr="0025250D">
              <w:rPr>
                <w:rFonts w:hint="eastAsia"/>
                <w:rtl/>
              </w:rPr>
              <w:t>ا</w:t>
            </w:r>
            <w:r w:rsidRPr="0025250D">
              <w:rPr>
                <w:rtl/>
              </w:rPr>
              <w:t>)</w:t>
            </w:r>
          </w:p>
        </w:tc>
      </w:tr>
      <w:tr w:rsidR="00537CC8" w:rsidRPr="0025250D" w14:paraId="3C1DC404" w14:textId="77777777" w:rsidTr="00664E33">
        <w:tc>
          <w:tcPr>
            <w:tcW w:w="2124" w:type="dxa"/>
            <w:vAlign w:val="center"/>
          </w:tcPr>
          <w:p w14:paraId="6ADD8AE2" w14:textId="77777777" w:rsidR="00537CC8" w:rsidRPr="0025250D" w:rsidRDefault="007A207F" w:rsidP="00664E33">
            <w:pPr>
              <w:bidi/>
              <w:spacing w:after="160"/>
              <w:jc w:val="center"/>
            </w:pPr>
            <w:hyperlink r:id="rId541">
              <w:r w:rsidR="00537CC8" w:rsidRPr="0025250D">
                <w:rPr>
                  <w:rStyle w:val="Hyperlink"/>
                  <w:color w:val="auto"/>
                  <w:u w:val="none"/>
                </w:rPr>
                <w:t>SAMI Consulting</w:t>
              </w:r>
            </w:hyperlink>
          </w:p>
        </w:tc>
        <w:tc>
          <w:tcPr>
            <w:tcW w:w="3798" w:type="dxa"/>
            <w:vAlign w:val="center"/>
          </w:tcPr>
          <w:p w14:paraId="5025E627" w14:textId="61973FC1" w:rsidR="00537CC8" w:rsidRPr="0025250D" w:rsidRDefault="00537CC8" w:rsidP="00664E33">
            <w:pPr>
              <w:bidi/>
              <w:spacing w:after="160"/>
              <w:jc w:val="center"/>
              <w:rPr>
                <w:rtl/>
              </w:rPr>
            </w:pPr>
            <w:r w:rsidRPr="0025250D">
              <w:rPr>
                <w:rtl/>
              </w:rPr>
              <w:t>ما</w:t>
            </w:r>
            <w:r w:rsidRPr="0025250D">
              <w:rPr>
                <w:rFonts w:hint="cs"/>
                <w:rtl/>
              </w:rPr>
              <w:t>ی</w:t>
            </w:r>
            <w:r w:rsidRPr="0025250D">
              <w:rPr>
                <w:rFonts w:hint="eastAsia"/>
                <w:rtl/>
              </w:rPr>
              <w:t>کل</w:t>
            </w:r>
            <w:r w:rsidRPr="0025250D">
              <w:rPr>
                <w:rtl/>
              </w:rPr>
              <w:t xml:space="preserve"> اوون</w:t>
            </w:r>
            <w:r w:rsidRPr="0025250D">
              <w:rPr>
                <w:vertAlign w:val="superscript"/>
                <w:rtl/>
              </w:rPr>
              <w:footnoteReference w:id="3232"/>
            </w:r>
            <w:r w:rsidRPr="0025250D">
              <w:rPr>
                <w:rtl/>
              </w:rPr>
              <w:t>، گ</w:t>
            </w:r>
            <w:r w:rsidRPr="0025250D">
              <w:rPr>
                <w:rFonts w:hint="cs"/>
                <w:rtl/>
              </w:rPr>
              <w:t>ی</w:t>
            </w:r>
            <w:r w:rsidRPr="0025250D">
              <w:rPr>
                <w:rFonts w:hint="eastAsia"/>
                <w:rtl/>
              </w:rPr>
              <w:t>ل</w:t>
            </w:r>
            <w:r w:rsidRPr="0025250D">
              <w:rPr>
                <w:rtl/>
              </w:rPr>
              <w:t xml:space="preserve"> ر</w:t>
            </w:r>
            <w:r w:rsidRPr="0025250D">
              <w:rPr>
                <w:rFonts w:hint="cs"/>
                <w:rtl/>
              </w:rPr>
              <w:t>ی</w:t>
            </w:r>
            <w:r w:rsidRPr="0025250D">
              <w:rPr>
                <w:rFonts w:hint="eastAsia"/>
                <w:rtl/>
              </w:rPr>
              <w:t>نگلند</w:t>
            </w:r>
            <w:r w:rsidRPr="0025250D">
              <w:rPr>
                <w:vertAlign w:val="superscript"/>
                <w:rtl/>
              </w:rPr>
              <w:footnoteReference w:id="3233"/>
            </w:r>
            <w:r w:rsidRPr="0025250D">
              <w:rPr>
                <w:rFonts w:hint="eastAsia"/>
                <w:rtl/>
              </w:rPr>
              <w:t>؛</w:t>
            </w:r>
            <w:r w:rsidRPr="0025250D">
              <w:rPr>
                <w:rtl/>
              </w:rPr>
              <w:t xml:space="preserve"> مشاوره آینده‌</w:t>
            </w:r>
            <w:r w:rsidR="00E26538" w:rsidRPr="0025250D">
              <w:rPr>
                <w:rtl/>
              </w:rPr>
              <w:t>نگار</w:t>
            </w:r>
            <w:r w:rsidRPr="0025250D">
              <w:rPr>
                <w:rtl/>
              </w:rPr>
              <w:t>ی</w:t>
            </w:r>
          </w:p>
        </w:tc>
        <w:tc>
          <w:tcPr>
            <w:tcW w:w="1438" w:type="dxa"/>
            <w:vAlign w:val="center"/>
          </w:tcPr>
          <w:p w14:paraId="58FB4F4B" w14:textId="77777777" w:rsidR="00537CC8" w:rsidRPr="0025250D" w:rsidRDefault="00537CC8" w:rsidP="00664E33">
            <w:pPr>
              <w:bidi/>
              <w:spacing w:after="160"/>
              <w:jc w:val="center"/>
              <w:rPr>
                <w:rtl/>
              </w:rPr>
            </w:pPr>
            <w:r w:rsidRPr="0025250D">
              <w:rPr>
                <w:rtl/>
              </w:rPr>
              <w:t>3 (ن</w:t>
            </w:r>
            <w:r w:rsidRPr="0025250D">
              <w:rPr>
                <w:rFonts w:hint="cs"/>
                <w:rtl/>
              </w:rPr>
              <w:t>ی</w:t>
            </w:r>
            <w:r w:rsidRPr="0025250D">
              <w:rPr>
                <w:rFonts w:hint="eastAsia"/>
                <w:rtl/>
              </w:rPr>
              <w:t>وبور</w:t>
            </w:r>
            <w:r w:rsidRPr="0025250D">
              <w:rPr>
                <w:rFonts w:hint="cs"/>
                <w:rtl/>
              </w:rPr>
              <w:t>ی</w:t>
            </w:r>
            <w:r w:rsidRPr="0025250D">
              <w:rPr>
                <w:rFonts w:hint="eastAsia"/>
                <w:rtl/>
              </w:rPr>
              <w:t>،</w:t>
            </w:r>
            <w:r w:rsidRPr="0025250D">
              <w:rPr>
                <w:rtl/>
              </w:rPr>
              <w:t xml:space="preserve"> انگلستان)</w:t>
            </w:r>
          </w:p>
        </w:tc>
      </w:tr>
      <w:tr w:rsidR="00537CC8" w:rsidRPr="0025250D" w14:paraId="75D0FFC4" w14:textId="77777777" w:rsidTr="00664E33">
        <w:tc>
          <w:tcPr>
            <w:tcW w:w="2124" w:type="dxa"/>
            <w:vAlign w:val="center"/>
          </w:tcPr>
          <w:p w14:paraId="5CF5AA23" w14:textId="77777777" w:rsidR="00537CC8" w:rsidRPr="0025250D" w:rsidRDefault="007A207F" w:rsidP="00664E33">
            <w:pPr>
              <w:bidi/>
              <w:spacing w:after="160"/>
              <w:jc w:val="center"/>
            </w:pPr>
            <w:hyperlink r:id="rId542">
              <w:r w:rsidR="00537CC8" w:rsidRPr="0025250D">
                <w:rPr>
                  <w:rStyle w:val="Hyperlink"/>
                  <w:color w:val="auto"/>
                  <w:u w:val="none"/>
                </w:rPr>
                <w:t>Scenarios + Vision</w:t>
              </w:r>
            </w:hyperlink>
          </w:p>
        </w:tc>
        <w:tc>
          <w:tcPr>
            <w:tcW w:w="3798" w:type="dxa"/>
            <w:vAlign w:val="center"/>
          </w:tcPr>
          <w:p w14:paraId="578CF501" w14:textId="7B3AB821" w:rsidR="00537CC8" w:rsidRPr="0025250D" w:rsidRDefault="00537CC8" w:rsidP="00664E33">
            <w:pPr>
              <w:bidi/>
              <w:spacing w:after="160"/>
              <w:jc w:val="center"/>
              <w:rPr>
                <w:rtl/>
              </w:rPr>
            </w:pPr>
            <w:r w:rsidRPr="0025250D">
              <w:rPr>
                <w:rtl/>
              </w:rPr>
              <w:t>هلن فون ر</w:t>
            </w:r>
            <w:r w:rsidRPr="0025250D">
              <w:rPr>
                <w:rFonts w:hint="cs"/>
                <w:rtl/>
              </w:rPr>
              <w:t>ی</w:t>
            </w:r>
            <w:r w:rsidRPr="0025250D">
              <w:rPr>
                <w:rFonts w:hint="eastAsia"/>
                <w:rtl/>
              </w:rPr>
              <w:t>بن</w:t>
            </w:r>
            <w:r w:rsidRPr="0025250D">
              <w:rPr>
                <w:rFonts w:hint="cs"/>
                <w:rtl/>
              </w:rPr>
              <w:t>ی</w:t>
            </w:r>
            <w:r w:rsidRPr="0025250D">
              <w:rPr>
                <w:rFonts w:hint="eastAsia"/>
                <w:rtl/>
              </w:rPr>
              <w:t>د</w:t>
            </w:r>
            <w:r w:rsidRPr="0025250D">
              <w:rPr>
                <w:vertAlign w:val="superscript"/>
                <w:rtl/>
              </w:rPr>
              <w:footnoteReference w:id="3234"/>
            </w:r>
            <w:r w:rsidRPr="0025250D">
              <w:rPr>
                <w:rFonts w:hint="cs"/>
                <w:rtl/>
              </w:rPr>
              <w:t>؛</w:t>
            </w:r>
            <w:r w:rsidRPr="0025250D">
              <w:rPr>
                <w:rtl/>
              </w:rPr>
              <w:t xml:space="preserve"> مشاوره آینده‌</w:t>
            </w:r>
            <w:r w:rsidR="00E26538" w:rsidRPr="0025250D">
              <w:rPr>
                <w:rtl/>
              </w:rPr>
              <w:t>نگار</w:t>
            </w:r>
            <w:r w:rsidRPr="0025250D">
              <w:rPr>
                <w:rtl/>
              </w:rPr>
              <w:t>ی</w:t>
            </w:r>
          </w:p>
        </w:tc>
        <w:tc>
          <w:tcPr>
            <w:tcW w:w="1438" w:type="dxa"/>
            <w:vAlign w:val="center"/>
          </w:tcPr>
          <w:p w14:paraId="559FFD9B" w14:textId="77777777" w:rsidR="00537CC8" w:rsidRPr="0025250D" w:rsidRDefault="00537CC8" w:rsidP="00664E33">
            <w:pPr>
              <w:bidi/>
              <w:spacing w:after="160"/>
              <w:jc w:val="center"/>
              <w:rPr>
                <w:rtl/>
              </w:rPr>
            </w:pPr>
            <w:r w:rsidRPr="0025250D">
              <w:rPr>
                <w:rtl/>
              </w:rPr>
              <w:t>3 (پار</w:t>
            </w:r>
            <w:r w:rsidRPr="0025250D">
              <w:rPr>
                <w:rFonts w:hint="cs"/>
                <w:rtl/>
              </w:rPr>
              <w:t>ی</w:t>
            </w:r>
            <w:r w:rsidRPr="0025250D">
              <w:rPr>
                <w:rFonts w:hint="eastAsia"/>
                <w:rtl/>
              </w:rPr>
              <w:t>س،</w:t>
            </w:r>
            <w:r w:rsidRPr="0025250D">
              <w:rPr>
                <w:rtl/>
              </w:rPr>
              <w:t xml:space="preserve"> فرانسه)</w:t>
            </w:r>
          </w:p>
        </w:tc>
      </w:tr>
      <w:tr w:rsidR="00537CC8" w:rsidRPr="0025250D" w14:paraId="03D40067" w14:textId="77777777" w:rsidTr="00664E33">
        <w:tc>
          <w:tcPr>
            <w:tcW w:w="2124" w:type="dxa"/>
            <w:vAlign w:val="center"/>
          </w:tcPr>
          <w:p w14:paraId="6DF107F3" w14:textId="77777777" w:rsidR="00537CC8" w:rsidRPr="0025250D" w:rsidRDefault="007A207F" w:rsidP="00664E33">
            <w:pPr>
              <w:bidi/>
              <w:spacing w:after="160"/>
              <w:jc w:val="center"/>
            </w:pPr>
            <w:hyperlink r:id="rId543">
              <w:r w:rsidR="00537CC8" w:rsidRPr="0025250D">
                <w:rPr>
                  <w:rStyle w:val="Hyperlink"/>
                  <w:color w:val="auto"/>
                  <w:u w:val="none"/>
                </w:rPr>
                <w:t>Smart Innovation</w:t>
              </w:r>
            </w:hyperlink>
          </w:p>
        </w:tc>
        <w:tc>
          <w:tcPr>
            <w:tcW w:w="3798" w:type="dxa"/>
            <w:vAlign w:val="center"/>
          </w:tcPr>
          <w:p w14:paraId="52CAD7F5" w14:textId="77777777" w:rsidR="00537CC8" w:rsidRPr="0025250D" w:rsidRDefault="00537CC8" w:rsidP="00664E33">
            <w:pPr>
              <w:bidi/>
              <w:spacing w:after="160"/>
              <w:jc w:val="center"/>
              <w:rPr>
                <w:rtl/>
              </w:rPr>
            </w:pPr>
            <w:r w:rsidRPr="0025250D">
              <w:rPr>
                <w:rtl/>
              </w:rPr>
              <w:t>دکتر گامب</w:t>
            </w:r>
            <w:r w:rsidRPr="0025250D">
              <w:rPr>
                <w:rFonts w:hint="cs"/>
                <w:rtl/>
              </w:rPr>
              <w:t>ی</w:t>
            </w:r>
            <w:r w:rsidRPr="0025250D">
              <w:rPr>
                <w:rtl/>
              </w:rPr>
              <w:t xml:space="preserve"> س</w:t>
            </w:r>
            <w:r w:rsidRPr="0025250D">
              <w:rPr>
                <w:rFonts w:hint="cs"/>
                <w:rtl/>
              </w:rPr>
              <w:t>ی</w:t>
            </w:r>
            <w:r w:rsidRPr="0025250D">
              <w:rPr>
                <w:rFonts w:hint="eastAsia"/>
                <w:rtl/>
              </w:rPr>
              <w:t>بونگ</w:t>
            </w:r>
            <w:r w:rsidRPr="0025250D">
              <w:rPr>
                <w:rFonts w:hint="cs"/>
                <w:rtl/>
              </w:rPr>
              <w:t>ی</w:t>
            </w:r>
            <w:r w:rsidRPr="0025250D">
              <w:rPr>
                <w:rFonts w:hint="eastAsia"/>
                <w:rtl/>
              </w:rPr>
              <w:t>له</w:t>
            </w:r>
            <w:r w:rsidRPr="0025250D">
              <w:rPr>
                <w:vertAlign w:val="superscript"/>
                <w:rtl/>
              </w:rPr>
              <w:footnoteReference w:id="3235"/>
            </w:r>
            <w:r w:rsidRPr="0025250D">
              <w:rPr>
                <w:rFonts w:hint="cs"/>
                <w:rtl/>
              </w:rPr>
              <w:t>؛</w:t>
            </w:r>
            <w:r w:rsidRPr="0025250D">
              <w:rPr>
                <w:rtl/>
              </w:rPr>
              <w:t xml:space="preserve"> مشاوره علم به بازار</w:t>
            </w:r>
          </w:p>
        </w:tc>
        <w:tc>
          <w:tcPr>
            <w:tcW w:w="1438" w:type="dxa"/>
            <w:vAlign w:val="center"/>
          </w:tcPr>
          <w:p w14:paraId="4ACBB462" w14:textId="77777777" w:rsidR="00537CC8" w:rsidRPr="0025250D" w:rsidRDefault="00537CC8" w:rsidP="00664E33">
            <w:pPr>
              <w:bidi/>
              <w:spacing w:after="160"/>
              <w:jc w:val="center"/>
              <w:rPr>
                <w:rtl/>
              </w:rPr>
            </w:pPr>
            <w:r w:rsidRPr="0025250D">
              <w:rPr>
                <w:rtl/>
              </w:rPr>
              <w:t>5 (ساندتون، آفر</w:t>
            </w:r>
            <w:r w:rsidRPr="0025250D">
              <w:rPr>
                <w:rFonts w:hint="cs"/>
                <w:rtl/>
              </w:rPr>
              <w:t>ی</w:t>
            </w:r>
            <w:r w:rsidRPr="0025250D">
              <w:rPr>
                <w:rFonts w:hint="eastAsia"/>
                <w:rtl/>
              </w:rPr>
              <w:t>قا</w:t>
            </w:r>
            <w:r w:rsidRPr="0025250D">
              <w:rPr>
                <w:rFonts w:hint="cs"/>
                <w:rtl/>
              </w:rPr>
              <w:t>ی</w:t>
            </w:r>
            <w:r w:rsidRPr="0025250D">
              <w:rPr>
                <w:rtl/>
              </w:rPr>
              <w:t xml:space="preserve"> جنوب</w:t>
            </w:r>
            <w:r w:rsidRPr="0025250D">
              <w:rPr>
                <w:rFonts w:hint="cs"/>
                <w:rtl/>
              </w:rPr>
              <w:t>ی</w:t>
            </w:r>
            <w:r w:rsidRPr="0025250D">
              <w:rPr>
                <w:rtl/>
              </w:rPr>
              <w:t>)</w:t>
            </w:r>
          </w:p>
        </w:tc>
      </w:tr>
      <w:tr w:rsidR="00537CC8" w:rsidRPr="0025250D" w14:paraId="107C370D" w14:textId="77777777" w:rsidTr="00664E33">
        <w:tc>
          <w:tcPr>
            <w:tcW w:w="2124" w:type="dxa"/>
            <w:vAlign w:val="center"/>
          </w:tcPr>
          <w:p w14:paraId="77201900" w14:textId="77777777" w:rsidR="00537CC8" w:rsidRPr="0025250D" w:rsidRDefault="007A207F" w:rsidP="00664E33">
            <w:pPr>
              <w:bidi/>
              <w:spacing w:after="160"/>
              <w:jc w:val="center"/>
            </w:pPr>
            <w:hyperlink r:id="rId544">
              <w:r w:rsidR="00537CC8" w:rsidRPr="0025250D">
                <w:rPr>
                  <w:rStyle w:val="Hyperlink"/>
                  <w:color w:val="auto"/>
                  <w:u w:val="none"/>
                </w:rPr>
                <w:t>StratEDGY</w:t>
              </w:r>
            </w:hyperlink>
          </w:p>
        </w:tc>
        <w:tc>
          <w:tcPr>
            <w:tcW w:w="3798" w:type="dxa"/>
            <w:vAlign w:val="center"/>
          </w:tcPr>
          <w:p w14:paraId="256C0DF0" w14:textId="56335440" w:rsidR="00537CC8" w:rsidRPr="0025250D" w:rsidRDefault="00537CC8" w:rsidP="00664E33">
            <w:pPr>
              <w:bidi/>
              <w:spacing w:after="160"/>
              <w:jc w:val="center"/>
              <w:rPr>
                <w:rtl/>
              </w:rPr>
            </w:pPr>
            <w:r w:rsidRPr="0025250D">
              <w:rPr>
                <w:rtl/>
              </w:rPr>
              <w:t>استفان</w:t>
            </w:r>
            <w:r w:rsidRPr="0025250D">
              <w:rPr>
                <w:rFonts w:hint="cs"/>
                <w:rtl/>
              </w:rPr>
              <w:t>ی</w:t>
            </w:r>
            <w:r w:rsidRPr="0025250D">
              <w:rPr>
                <w:rtl/>
              </w:rPr>
              <w:t xml:space="preserve"> پرا</w:t>
            </w:r>
            <w:r w:rsidRPr="0025250D">
              <w:rPr>
                <w:rFonts w:hint="cs"/>
                <w:rtl/>
              </w:rPr>
              <w:t>ی</w:t>
            </w:r>
            <w:r w:rsidRPr="0025250D">
              <w:rPr>
                <w:rFonts w:hint="eastAsia"/>
                <w:rtl/>
              </w:rPr>
              <w:t>د</w:t>
            </w:r>
            <w:r w:rsidRPr="0025250D">
              <w:rPr>
                <w:vertAlign w:val="superscript"/>
                <w:rtl/>
              </w:rPr>
              <w:footnoteReference w:id="3236"/>
            </w:r>
            <w:r w:rsidRPr="0025250D">
              <w:rPr>
                <w:rFonts w:hint="cs"/>
                <w:rtl/>
              </w:rPr>
              <w:t>؛</w:t>
            </w:r>
            <w:r w:rsidRPr="0025250D">
              <w:rPr>
                <w:rtl/>
              </w:rPr>
              <w:t xml:space="preserve"> </w:t>
            </w:r>
            <w:r w:rsidR="00701E03" w:rsidRPr="0025250D">
              <w:rPr>
                <w:rtl/>
              </w:rPr>
              <w:t>راهبرد</w:t>
            </w:r>
            <w:r w:rsidRPr="0025250D">
              <w:rPr>
                <w:rFonts w:hint="eastAsia"/>
                <w:rtl/>
              </w:rPr>
              <w:t>،</w:t>
            </w:r>
            <w:r w:rsidRPr="0025250D">
              <w:rPr>
                <w:rtl/>
              </w:rPr>
              <w:t xml:space="preserve"> آینده‌</w:t>
            </w:r>
            <w:r w:rsidR="00E26538" w:rsidRPr="0025250D">
              <w:rPr>
                <w:rtl/>
              </w:rPr>
              <w:t>نگار</w:t>
            </w:r>
            <w:r w:rsidRPr="0025250D">
              <w:rPr>
                <w:rtl/>
              </w:rPr>
              <w:t>ی</w:t>
            </w:r>
            <w:r w:rsidRPr="0025250D">
              <w:rPr>
                <w:rFonts w:hint="eastAsia"/>
                <w:rtl/>
              </w:rPr>
              <w:t>،</w:t>
            </w:r>
            <w:r w:rsidRPr="0025250D">
              <w:rPr>
                <w:rtl/>
              </w:rPr>
              <w:t xml:space="preserve"> طراح</w:t>
            </w:r>
            <w:r w:rsidRPr="0025250D">
              <w:rPr>
                <w:rFonts w:hint="cs"/>
                <w:rtl/>
              </w:rPr>
              <w:t>ی</w:t>
            </w:r>
            <w:r w:rsidRPr="0025250D">
              <w:rPr>
                <w:rFonts w:hint="eastAsia"/>
                <w:rtl/>
              </w:rPr>
              <w:t>،</w:t>
            </w:r>
            <w:r w:rsidRPr="0025250D">
              <w:rPr>
                <w:rtl/>
              </w:rPr>
              <w:t xml:space="preserve"> باز</w:t>
            </w:r>
            <w:r w:rsidRPr="0025250D">
              <w:rPr>
                <w:rFonts w:hint="cs"/>
                <w:rtl/>
              </w:rPr>
              <w:t>ی</w:t>
            </w:r>
            <w:r w:rsidRPr="0025250D">
              <w:rPr>
                <w:rtl/>
              </w:rPr>
              <w:t>.</w:t>
            </w:r>
          </w:p>
        </w:tc>
        <w:tc>
          <w:tcPr>
            <w:tcW w:w="1438" w:type="dxa"/>
            <w:vAlign w:val="center"/>
          </w:tcPr>
          <w:p w14:paraId="3D5F6A42" w14:textId="77777777" w:rsidR="00537CC8" w:rsidRPr="0025250D" w:rsidRDefault="00537CC8" w:rsidP="00664E33">
            <w:pPr>
              <w:bidi/>
              <w:spacing w:after="160"/>
              <w:jc w:val="center"/>
              <w:rPr>
                <w:rtl/>
              </w:rPr>
            </w:pPr>
            <w:r w:rsidRPr="0025250D">
              <w:rPr>
                <w:rtl/>
              </w:rPr>
              <w:t>10 (ول</w:t>
            </w:r>
            <w:r w:rsidRPr="0025250D">
              <w:rPr>
                <w:rFonts w:hint="cs"/>
                <w:rtl/>
              </w:rPr>
              <w:t>ی</w:t>
            </w:r>
            <w:r w:rsidRPr="0025250D">
              <w:rPr>
                <w:rFonts w:hint="eastAsia"/>
                <w:rtl/>
              </w:rPr>
              <w:t>نگتون</w:t>
            </w:r>
            <w:r w:rsidRPr="0025250D">
              <w:rPr>
                <w:rFonts w:hint="cs"/>
                <w:rtl/>
              </w:rPr>
              <w:t>)</w:t>
            </w:r>
          </w:p>
        </w:tc>
      </w:tr>
      <w:tr w:rsidR="00537CC8" w:rsidRPr="0025250D" w14:paraId="068F1128" w14:textId="77777777" w:rsidTr="00664E33">
        <w:tc>
          <w:tcPr>
            <w:tcW w:w="2124" w:type="dxa"/>
            <w:vAlign w:val="center"/>
          </w:tcPr>
          <w:p w14:paraId="0858B5BC" w14:textId="0CD587B1" w:rsidR="00537CC8" w:rsidRPr="0025250D" w:rsidRDefault="007A207F" w:rsidP="00664E33">
            <w:pPr>
              <w:bidi/>
              <w:spacing w:after="160"/>
              <w:jc w:val="center"/>
            </w:pPr>
            <w:hyperlink r:id="rId545">
              <w:r w:rsidR="00537CC8" w:rsidRPr="0025250D">
                <w:rPr>
                  <w:rStyle w:val="Hyperlink"/>
                  <w:color w:val="auto"/>
                  <w:u w:val="none"/>
                </w:rPr>
                <w:t>Strategic Foresight Group</w:t>
              </w:r>
            </w:hyperlink>
          </w:p>
        </w:tc>
        <w:tc>
          <w:tcPr>
            <w:tcW w:w="3798" w:type="dxa"/>
            <w:vAlign w:val="center"/>
          </w:tcPr>
          <w:p w14:paraId="4E408FC3" w14:textId="10969405" w:rsidR="00537CC8" w:rsidRPr="0025250D" w:rsidRDefault="00537CC8" w:rsidP="00664E33">
            <w:pPr>
              <w:bidi/>
              <w:spacing w:after="160"/>
              <w:jc w:val="center"/>
              <w:rPr>
                <w:rtl/>
              </w:rPr>
            </w:pPr>
            <w:r w:rsidRPr="0025250D">
              <w:rPr>
                <w:rtl/>
              </w:rPr>
              <w:t>ساند</w:t>
            </w:r>
            <w:r w:rsidRPr="0025250D">
              <w:rPr>
                <w:rFonts w:hint="cs"/>
                <w:rtl/>
              </w:rPr>
              <w:t>ی</w:t>
            </w:r>
            <w:r w:rsidRPr="0025250D">
              <w:rPr>
                <w:rFonts w:hint="eastAsia"/>
                <w:rtl/>
              </w:rPr>
              <w:t>پ</w:t>
            </w:r>
            <w:r w:rsidRPr="0025250D">
              <w:rPr>
                <w:rtl/>
              </w:rPr>
              <w:t xml:space="preserve"> واسلکار</w:t>
            </w:r>
            <w:r w:rsidRPr="0025250D">
              <w:rPr>
                <w:vertAlign w:val="superscript"/>
                <w:rtl/>
              </w:rPr>
              <w:footnoteReference w:id="3237"/>
            </w:r>
            <w:r w:rsidRPr="0025250D">
              <w:rPr>
                <w:rtl/>
              </w:rPr>
              <w:t>، ا</w:t>
            </w:r>
            <w:r w:rsidRPr="0025250D">
              <w:rPr>
                <w:rFonts w:hint="cs"/>
                <w:rtl/>
              </w:rPr>
              <w:t>ی</w:t>
            </w:r>
            <w:r w:rsidRPr="0025250D">
              <w:rPr>
                <w:rFonts w:hint="eastAsia"/>
                <w:rtl/>
              </w:rPr>
              <w:t>لماس</w:t>
            </w:r>
            <w:r w:rsidRPr="0025250D">
              <w:rPr>
                <w:rtl/>
              </w:rPr>
              <w:t xml:space="preserve"> فوتهال</w:t>
            </w:r>
            <w:r w:rsidRPr="0025250D">
              <w:rPr>
                <w:rFonts w:hint="cs"/>
                <w:rtl/>
              </w:rPr>
              <w:t>ی</w:t>
            </w:r>
            <w:r w:rsidRPr="0025250D">
              <w:rPr>
                <w:vertAlign w:val="superscript"/>
                <w:rtl/>
              </w:rPr>
              <w:footnoteReference w:id="3238"/>
            </w:r>
            <w:r w:rsidRPr="0025250D">
              <w:rPr>
                <w:rFonts w:hint="eastAsia"/>
                <w:rtl/>
              </w:rPr>
              <w:t>؛</w:t>
            </w:r>
            <w:r w:rsidRPr="0025250D">
              <w:rPr>
                <w:rtl/>
              </w:rPr>
              <w:t xml:space="preserve"> س</w:t>
            </w:r>
            <w:r w:rsidRPr="0025250D">
              <w:rPr>
                <w:rFonts w:hint="cs"/>
                <w:rtl/>
              </w:rPr>
              <w:t>ی</w:t>
            </w:r>
            <w:r w:rsidRPr="0025250D">
              <w:rPr>
                <w:rFonts w:hint="eastAsia"/>
                <w:rtl/>
              </w:rPr>
              <w:t>است</w:t>
            </w:r>
            <w:r w:rsidRPr="0025250D">
              <w:rPr>
                <w:rtl/>
              </w:rPr>
              <w:t xml:space="preserve">‌ها و </w:t>
            </w:r>
            <w:r w:rsidR="007A53FD" w:rsidRPr="0025250D">
              <w:rPr>
                <w:rtl/>
              </w:rPr>
              <w:t>فرانامه</w:t>
            </w:r>
            <w:r w:rsidR="00D335B2" w:rsidRPr="0025250D">
              <w:rPr>
                <w:rFonts w:hint="cs"/>
                <w:rtl/>
              </w:rPr>
              <w:t>‌</w:t>
            </w:r>
            <w:r w:rsidRPr="0025250D">
              <w:rPr>
                <w:rFonts w:hint="eastAsia"/>
                <w:rtl/>
              </w:rPr>
              <w:t>ها</w:t>
            </w:r>
          </w:p>
        </w:tc>
        <w:tc>
          <w:tcPr>
            <w:tcW w:w="1438" w:type="dxa"/>
            <w:vAlign w:val="center"/>
          </w:tcPr>
          <w:p w14:paraId="1DD81AF6" w14:textId="77777777" w:rsidR="00537CC8" w:rsidRPr="0025250D" w:rsidRDefault="00537CC8" w:rsidP="00664E33">
            <w:pPr>
              <w:bidi/>
              <w:spacing w:after="160"/>
              <w:jc w:val="center"/>
              <w:rPr>
                <w:rtl/>
              </w:rPr>
            </w:pPr>
            <w:r w:rsidRPr="0025250D">
              <w:rPr>
                <w:rtl/>
              </w:rPr>
              <w:t>1 (واشنگتن</w:t>
            </w:r>
            <w:r w:rsidRPr="0025250D">
              <w:rPr>
                <w:rFonts w:hint="cs"/>
                <w:rtl/>
              </w:rPr>
              <w:t>)</w:t>
            </w:r>
          </w:p>
        </w:tc>
      </w:tr>
      <w:tr w:rsidR="00537CC8" w:rsidRPr="0025250D" w14:paraId="7E3B3884" w14:textId="77777777" w:rsidTr="00664E33">
        <w:tc>
          <w:tcPr>
            <w:tcW w:w="2124" w:type="dxa"/>
            <w:vAlign w:val="center"/>
          </w:tcPr>
          <w:p w14:paraId="3991F171" w14:textId="77777777" w:rsidR="00537CC8" w:rsidRPr="0025250D" w:rsidRDefault="007A207F" w:rsidP="00664E33">
            <w:pPr>
              <w:bidi/>
              <w:spacing w:after="160"/>
              <w:jc w:val="center"/>
            </w:pPr>
            <w:hyperlink r:id="rId546">
              <w:r w:rsidR="00537CC8" w:rsidRPr="0025250D">
                <w:rPr>
                  <w:rStyle w:val="Hyperlink"/>
                  <w:color w:val="auto"/>
                  <w:u w:val="none"/>
                </w:rPr>
                <w:t>Strategic Futures</w:t>
              </w:r>
            </w:hyperlink>
          </w:p>
        </w:tc>
        <w:tc>
          <w:tcPr>
            <w:tcW w:w="3798" w:type="dxa"/>
            <w:vAlign w:val="center"/>
          </w:tcPr>
          <w:p w14:paraId="2EE84196" w14:textId="4B3C9013" w:rsidR="00537CC8" w:rsidRPr="0025250D" w:rsidRDefault="00537CC8" w:rsidP="00664E33">
            <w:pPr>
              <w:bidi/>
              <w:spacing w:after="160"/>
              <w:jc w:val="center"/>
              <w:rPr>
                <w:rtl/>
              </w:rPr>
            </w:pPr>
            <w:r w:rsidRPr="0025250D">
              <w:rPr>
                <w:rtl/>
              </w:rPr>
              <w:t>ران گان</w:t>
            </w:r>
            <w:r w:rsidRPr="0025250D">
              <w:rPr>
                <w:vertAlign w:val="superscript"/>
                <w:rtl/>
              </w:rPr>
              <w:footnoteReference w:id="3239"/>
            </w:r>
            <w:r w:rsidRPr="0025250D">
              <w:rPr>
                <w:rtl/>
              </w:rPr>
              <w:t>، جن</w:t>
            </w:r>
            <w:r w:rsidRPr="0025250D">
              <w:rPr>
                <w:rFonts w:hint="cs"/>
                <w:rtl/>
              </w:rPr>
              <w:t>ی</w:t>
            </w:r>
            <w:r w:rsidRPr="0025250D">
              <w:rPr>
                <w:rFonts w:hint="eastAsia"/>
                <w:rtl/>
              </w:rPr>
              <w:t>فر</w:t>
            </w:r>
            <w:r w:rsidRPr="0025250D">
              <w:rPr>
                <w:rtl/>
              </w:rPr>
              <w:t xml:space="preserve"> تامپسون</w:t>
            </w:r>
            <w:r w:rsidRPr="0025250D">
              <w:rPr>
                <w:vertAlign w:val="superscript"/>
                <w:rtl/>
              </w:rPr>
              <w:footnoteReference w:id="3240"/>
            </w:r>
            <w:r w:rsidRPr="0025250D">
              <w:rPr>
                <w:rtl/>
              </w:rPr>
              <w:t xml:space="preserve">؛ </w:t>
            </w:r>
            <w:r w:rsidR="00B124DE" w:rsidRPr="0025250D">
              <w:rPr>
                <w:rtl/>
              </w:rPr>
              <w:t>برنامه‌ریزی</w:t>
            </w:r>
            <w:r w:rsidRPr="0025250D">
              <w:rPr>
                <w:rtl/>
              </w:rPr>
              <w:t xml:space="preserve"> </w:t>
            </w:r>
            <w:r w:rsidR="00701E03" w:rsidRPr="0025250D">
              <w:rPr>
                <w:rtl/>
              </w:rPr>
              <w:t>راهبرد</w:t>
            </w:r>
            <w:r w:rsidRPr="0025250D">
              <w:rPr>
                <w:rFonts w:hint="eastAsia"/>
                <w:rtl/>
              </w:rPr>
              <w:t>،</w:t>
            </w:r>
            <w:r w:rsidRPr="0025250D">
              <w:rPr>
                <w:rtl/>
              </w:rPr>
              <w:t xml:space="preserve"> ماتر</w:t>
            </w:r>
            <w:r w:rsidRPr="0025250D">
              <w:rPr>
                <w:rFonts w:hint="cs"/>
                <w:rtl/>
              </w:rPr>
              <w:t>ی</w:t>
            </w:r>
            <w:r w:rsidRPr="0025250D">
              <w:rPr>
                <w:rFonts w:hint="eastAsia"/>
                <w:rtl/>
              </w:rPr>
              <w:t>س</w:t>
            </w:r>
            <w:r w:rsidRPr="0025250D">
              <w:rPr>
                <w:rtl/>
              </w:rPr>
              <w:t xml:space="preserve"> </w:t>
            </w:r>
            <w:r w:rsidRPr="0025250D">
              <w:rPr>
                <w:rFonts w:hint="cs"/>
                <w:rtl/>
              </w:rPr>
              <w:t>مدیریت</w:t>
            </w:r>
            <w:r w:rsidRPr="0025250D">
              <w:rPr>
                <w:rtl/>
              </w:rPr>
              <w:t>.</w:t>
            </w:r>
          </w:p>
        </w:tc>
        <w:tc>
          <w:tcPr>
            <w:tcW w:w="1438" w:type="dxa"/>
            <w:vAlign w:val="center"/>
          </w:tcPr>
          <w:p w14:paraId="1F28E08D" w14:textId="77777777" w:rsidR="00537CC8" w:rsidRPr="0025250D" w:rsidRDefault="00537CC8" w:rsidP="00664E33">
            <w:pPr>
              <w:bidi/>
              <w:spacing w:after="160"/>
              <w:jc w:val="center"/>
              <w:rPr>
                <w:rtl/>
              </w:rPr>
            </w:pPr>
            <w:r w:rsidRPr="0025250D">
              <w:rPr>
                <w:rtl/>
              </w:rPr>
              <w:t>1 (اسکندر</w:t>
            </w:r>
            <w:r w:rsidRPr="0025250D">
              <w:rPr>
                <w:rFonts w:hint="cs"/>
                <w:rtl/>
              </w:rPr>
              <w:t>ی</w:t>
            </w:r>
            <w:r w:rsidRPr="0025250D">
              <w:rPr>
                <w:rFonts w:hint="eastAsia"/>
                <w:rtl/>
              </w:rPr>
              <w:t>ه</w:t>
            </w:r>
            <w:r w:rsidRPr="0025250D">
              <w:rPr>
                <w:rFonts w:hint="cs"/>
                <w:rtl/>
              </w:rPr>
              <w:t>)</w:t>
            </w:r>
          </w:p>
        </w:tc>
      </w:tr>
      <w:tr w:rsidR="00537CC8" w:rsidRPr="0025250D" w14:paraId="790FAB8A" w14:textId="77777777" w:rsidTr="00664E33">
        <w:tc>
          <w:tcPr>
            <w:tcW w:w="2124" w:type="dxa"/>
            <w:vAlign w:val="center"/>
          </w:tcPr>
          <w:p w14:paraId="40F4221B" w14:textId="77777777" w:rsidR="00537CC8" w:rsidRPr="0025250D" w:rsidRDefault="007A207F" w:rsidP="00664E33">
            <w:pPr>
              <w:bidi/>
              <w:spacing w:after="160"/>
              <w:jc w:val="center"/>
            </w:pPr>
            <w:hyperlink r:id="rId547">
              <w:r w:rsidR="00537CC8" w:rsidRPr="0025250D">
                <w:rPr>
                  <w:rStyle w:val="Hyperlink"/>
                  <w:color w:val="auto"/>
                  <w:u w:val="none"/>
                </w:rPr>
                <w:t>Summon</w:t>
              </w:r>
            </w:hyperlink>
          </w:p>
        </w:tc>
        <w:tc>
          <w:tcPr>
            <w:tcW w:w="3798" w:type="dxa"/>
            <w:vAlign w:val="center"/>
          </w:tcPr>
          <w:p w14:paraId="70CD2CEA" w14:textId="4FA2F32D" w:rsidR="00537CC8" w:rsidRPr="0025250D" w:rsidRDefault="00537CC8" w:rsidP="00664E33">
            <w:pPr>
              <w:bidi/>
              <w:spacing w:after="160"/>
              <w:jc w:val="center"/>
              <w:rPr>
                <w:rtl/>
              </w:rPr>
            </w:pPr>
            <w:r w:rsidRPr="0025250D">
              <w:rPr>
                <w:rtl/>
              </w:rPr>
              <w:t>اسلاوا کوسلوف</w:t>
            </w:r>
            <w:r w:rsidRPr="0025250D">
              <w:rPr>
                <w:vertAlign w:val="superscript"/>
                <w:rtl/>
              </w:rPr>
              <w:footnoteReference w:id="3241"/>
            </w:r>
            <w:r w:rsidRPr="0025250D">
              <w:rPr>
                <w:rtl/>
              </w:rPr>
              <w:t>؛ نوآور</w:t>
            </w:r>
            <w:r w:rsidRPr="0025250D">
              <w:rPr>
                <w:rFonts w:hint="cs"/>
                <w:rtl/>
              </w:rPr>
              <w:t>ی</w:t>
            </w:r>
            <w:r w:rsidRPr="0025250D">
              <w:rPr>
                <w:rFonts w:hint="eastAsia"/>
                <w:rtl/>
              </w:rPr>
              <w:t>،</w:t>
            </w:r>
            <w:r w:rsidRPr="0025250D">
              <w:rPr>
                <w:rtl/>
              </w:rPr>
              <w:t xml:space="preserve"> آینده‌</w:t>
            </w:r>
            <w:r w:rsidR="00E26538" w:rsidRPr="0025250D">
              <w:rPr>
                <w:rtl/>
              </w:rPr>
              <w:t>نگار</w:t>
            </w:r>
            <w:r w:rsidRPr="0025250D">
              <w:rPr>
                <w:rtl/>
              </w:rPr>
              <w:t>ی</w:t>
            </w:r>
            <w:r w:rsidRPr="0025250D">
              <w:rPr>
                <w:rFonts w:hint="eastAsia"/>
                <w:rtl/>
              </w:rPr>
              <w:t>،</w:t>
            </w:r>
            <w:r w:rsidRPr="0025250D">
              <w:rPr>
                <w:rtl/>
              </w:rPr>
              <w:t xml:space="preserve"> طراح</w:t>
            </w:r>
            <w:r w:rsidRPr="0025250D">
              <w:rPr>
                <w:rFonts w:hint="cs"/>
                <w:rtl/>
              </w:rPr>
              <w:t>ی</w:t>
            </w:r>
            <w:r w:rsidRPr="0025250D">
              <w:rPr>
                <w:rtl/>
              </w:rPr>
              <w:t xml:space="preserve"> محصول</w:t>
            </w:r>
          </w:p>
        </w:tc>
        <w:tc>
          <w:tcPr>
            <w:tcW w:w="1438" w:type="dxa"/>
            <w:vAlign w:val="center"/>
          </w:tcPr>
          <w:p w14:paraId="0A40F550" w14:textId="77777777" w:rsidR="00537CC8" w:rsidRPr="0025250D" w:rsidRDefault="00537CC8" w:rsidP="00664E33">
            <w:pPr>
              <w:bidi/>
              <w:spacing w:after="160"/>
              <w:jc w:val="center"/>
              <w:rPr>
                <w:rtl/>
              </w:rPr>
            </w:pPr>
            <w:r w:rsidRPr="0025250D">
              <w:rPr>
                <w:rtl/>
              </w:rPr>
              <w:t>3 (آ</w:t>
            </w:r>
            <w:r w:rsidRPr="0025250D">
              <w:rPr>
                <w:rFonts w:hint="cs"/>
                <w:rtl/>
              </w:rPr>
              <w:t>ی</w:t>
            </w:r>
            <w:r w:rsidRPr="0025250D">
              <w:rPr>
                <w:rFonts w:hint="eastAsia"/>
                <w:rtl/>
              </w:rPr>
              <w:t>ندهوون</w:t>
            </w:r>
            <w:r w:rsidRPr="0025250D">
              <w:rPr>
                <w:vertAlign w:val="superscript"/>
                <w:rtl/>
              </w:rPr>
              <w:footnoteReference w:id="3242"/>
            </w:r>
            <w:r w:rsidRPr="0025250D">
              <w:rPr>
                <w:rtl/>
              </w:rPr>
              <w:t>)</w:t>
            </w:r>
          </w:p>
        </w:tc>
      </w:tr>
      <w:tr w:rsidR="00537CC8" w:rsidRPr="0025250D" w14:paraId="771C4C9F" w14:textId="77777777" w:rsidTr="00664E33">
        <w:tc>
          <w:tcPr>
            <w:tcW w:w="2124" w:type="dxa"/>
            <w:vAlign w:val="center"/>
          </w:tcPr>
          <w:p w14:paraId="6934D726" w14:textId="77777777" w:rsidR="00537CC8" w:rsidRPr="0025250D" w:rsidRDefault="007A207F" w:rsidP="00664E33">
            <w:pPr>
              <w:bidi/>
              <w:spacing w:after="160"/>
              <w:jc w:val="center"/>
            </w:pPr>
            <w:hyperlink r:id="rId548">
              <w:r w:rsidR="00537CC8" w:rsidRPr="0025250D">
                <w:rPr>
                  <w:rStyle w:val="Hyperlink"/>
                  <w:color w:val="auto"/>
                  <w:u w:val="none"/>
                </w:rPr>
                <w:t>Superﬂux</w:t>
              </w:r>
            </w:hyperlink>
          </w:p>
        </w:tc>
        <w:tc>
          <w:tcPr>
            <w:tcW w:w="3798" w:type="dxa"/>
            <w:vAlign w:val="center"/>
          </w:tcPr>
          <w:p w14:paraId="2B2EBD20" w14:textId="7DEB911C" w:rsidR="00537CC8" w:rsidRPr="0025250D" w:rsidRDefault="00537CC8" w:rsidP="00664E33">
            <w:pPr>
              <w:bidi/>
              <w:spacing w:after="160"/>
              <w:jc w:val="center"/>
              <w:rPr>
                <w:rtl/>
              </w:rPr>
            </w:pPr>
            <w:r w:rsidRPr="0025250D">
              <w:rPr>
                <w:rtl/>
              </w:rPr>
              <w:t>عناب ج</w:t>
            </w:r>
            <w:r w:rsidRPr="0025250D">
              <w:rPr>
                <w:rFonts w:hint="cs"/>
                <w:rtl/>
              </w:rPr>
              <w:t>ی</w:t>
            </w:r>
            <w:r w:rsidRPr="0025250D">
              <w:rPr>
                <w:rFonts w:hint="eastAsia"/>
                <w:rtl/>
              </w:rPr>
              <w:t>ن</w:t>
            </w:r>
            <w:r w:rsidRPr="0025250D">
              <w:rPr>
                <w:rFonts w:hint="cs"/>
                <w:rtl/>
              </w:rPr>
              <w:t>؛</w:t>
            </w:r>
            <w:r w:rsidRPr="0025250D">
              <w:rPr>
                <w:rtl/>
              </w:rPr>
              <w:t xml:space="preserve"> مشاوره طراح</w:t>
            </w:r>
            <w:r w:rsidRPr="0025250D">
              <w:rPr>
                <w:rFonts w:hint="cs"/>
                <w:rtl/>
              </w:rPr>
              <w:t>ی</w:t>
            </w:r>
            <w:r w:rsidRPr="0025250D">
              <w:rPr>
                <w:rtl/>
              </w:rPr>
              <w:t xml:space="preserve"> و آینده‌</w:t>
            </w:r>
            <w:r w:rsidR="00E26538" w:rsidRPr="0025250D">
              <w:rPr>
                <w:rtl/>
              </w:rPr>
              <w:t>نگار</w:t>
            </w:r>
            <w:r w:rsidRPr="0025250D">
              <w:rPr>
                <w:rtl/>
              </w:rPr>
              <w:t>ی</w:t>
            </w:r>
          </w:p>
        </w:tc>
        <w:tc>
          <w:tcPr>
            <w:tcW w:w="1438" w:type="dxa"/>
            <w:vAlign w:val="center"/>
          </w:tcPr>
          <w:p w14:paraId="3B1A32D1" w14:textId="77777777" w:rsidR="00537CC8" w:rsidRPr="0025250D" w:rsidRDefault="00537CC8" w:rsidP="00664E33">
            <w:pPr>
              <w:bidi/>
              <w:spacing w:after="160"/>
              <w:jc w:val="center"/>
              <w:rPr>
                <w:rtl/>
              </w:rPr>
            </w:pPr>
            <w:r w:rsidRPr="0025250D">
              <w:rPr>
                <w:rtl/>
              </w:rPr>
              <w:t>3،8 (بر</w:t>
            </w:r>
            <w:r w:rsidRPr="0025250D">
              <w:rPr>
                <w:rFonts w:hint="cs"/>
                <w:rtl/>
              </w:rPr>
              <w:t>ی</w:t>
            </w:r>
            <w:r w:rsidRPr="0025250D">
              <w:rPr>
                <w:rFonts w:hint="eastAsia"/>
                <w:rtl/>
              </w:rPr>
              <w:t>تان</w:t>
            </w:r>
            <w:r w:rsidRPr="0025250D">
              <w:rPr>
                <w:rFonts w:hint="cs"/>
                <w:rtl/>
              </w:rPr>
              <w:t>ی</w:t>
            </w:r>
            <w:r w:rsidRPr="0025250D">
              <w:rPr>
                <w:rFonts w:hint="eastAsia"/>
                <w:rtl/>
              </w:rPr>
              <w:t>ا،</w:t>
            </w:r>
            <w:r w:rsidRPr="0025250D">
              <w:rPr>
                <w:rtl/>
              </w:rPr>
              <w:t xml:space="preserve"> هند)</w:t>
            </w:r>
          </w:p>
        </w:tc>
      </w:tr>
      <w:tr w:rsidR="00537CC8" w:rsidRPr="0025250D" w14:paraId="16D18CB3" w14:textId="77777777" w:rsidTr="00664E33">
        <w:tc>
          <w:tcPr>
            <w:tcW w:w="2124" w:type="dxa"/>
            <w:vAlign w:val="center"/>
          </w:tcPr>
          <w:p w14:paraId="13B461A8" w14:textId="77777777" w:rsidR="00537CC8" w:rsidRPr="0025250D" w:rsidRDefault="007A207F" w:rsidP="00664E33">
            <w:pPr>
              <w:bidi/>
              <w:spacing w:after="160"/>
              <w:jc w:val="center"/>
            </w:pPr>
            <w:hyperlink r:id="rId549">
              <w:r w:rsidR="00537CC8" w:rsidRPr="0025250D">
                <w:rPr>
                  <w:rStyle w:val="Hyperlink"/>
                  <w:color w:val="auto"/>
                  <w:u w:val="none"/>
                </w:rPr>
                <w:t>Synovation</w:t>
              </w:r>
            </w:hyperlink>
          </w:p>
        </w:tc>
        <w:tc>
          <w:tcPr>
            <w:tcW w:w="3798" w:type="dxa"/>
            <w:vAlign w:val="center"/>
          </w:tcPr>
          <w:p w14:paraId="0A13211B" w14:textId="73BA03C7" w:rsidR="00537CC8" w:rsidRPr="0025250D" w:rsidRDefault="00537CC8" w:rsidP="00664E33">
            <w:pPr>
              <w:bidi/>
              <w:spacing w:after="160"/>
              <w:jc w:val="center"/>
              <w:rPr>
                <w:rtl/>
              </w:rPr>
            </w:pPr>
            <w:r w:rsidRPr="0025250D">
              <w:rPr>
                <w:rtl/>
              </w:rPr>
              <w:t>بروس تاو</w:t>
            </w:r>
            <w:r w:rsidRPr="0025250D">
              <w:rPr>
                <w:vertAlign w:val="superscript"/>
                <w:rtl/>
              </w:rPr>
              <w:footnoteReference w:id="3243"/>
            </w:r>
            <w:r w:rsidRPr="0025250D">
              <w:rPr>
                <w:rtl/>
              </w:rPr>
              <w:t>، د</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rtl/>
              </w:rPr>
              <w:t xml:space="preserve"> گ</w:t>
            </w:r>
            <w:r w:rsidRPr="0025250D">
              <w:rPr>
                <w:rFonts w:hint="cs"/>
                <w:rtl/>
              </w:rPr>
              <w:t>ی</w:t>
            </w:r>
            <w:r w:rsidRPr="0025250D">
              <w:rPr>
                <w:rFonts w:hint="eastAsia"/>
                <w:rtl/>
              </w:rPr>
              <w:t>ل</w:t>
            </w:r>
            <w:r w:rsidRPr="0025250D">
              <w:rPr>
                <w:rFonts w:hint="cs"/>
                <w:rtl/>
              </w:rPr>
              <w:t>ی</w:t>
            </w:r>
            <w:r w:rsidRPr="0025250D">
              <w:rPr>
                <w:rFonts w:hint="eastAsia"/>
                <w:rtl/>
              </w:rPr>
              <w:t>ام</w:t>
            </w:r>
            <w:r w:rsidRPr="0025250D">
              <w:rPr>
                <w:vertAlign w:val="superscript"/>
                <w:rtl/>
              </w:rPr>
              <w:footnoteReference w:id="3244"/>
            </w:r>
            <w:r w:rsidRPr="0025250D">
              <w:rPr>
                <w:rFonts w:hint="eastAsia"/>
                <w:rtl/>
              </w:rPr>
              <w:t>؛</w:t>
            </w:r>
            <w:r w:rsidRPr="0025250D">
              <w:rPr>
                <w:rtl/>
              </w:rPr>
              <w:t xml:space="preserve"> آینده‌</w:t>
            </w:r>
            <w:r w:rsidR="00E26538" w:rsidRPr="0025250D">
              <w:rPr>
                <w:rtl/>
              </w:rPr>
              <w:t>نگار</w:t>
            </w:r>
            <w:r w:rsidRPr="0025250D">
              <w:rPr>
                <w:rtl/>
              </w:rPr>
              <w:t>ی</w:t>
            </w:r>
            <w:r w:rsidRPr="0025250D">
              <w:rPr>
                <w:rFonts w:hint="eastAsia"/>
                <w:rtl/>
              </w:rPr>
              <w:t>،</w:t>
            </w:r>
            <w:r w:rsidRPr="0025250D">
              <w:rPr>
                <w:rtl/>
              </w:rPr>
              <w:t xml:space="preserve"> حل مسئله، نوآور</w:t>
            </w:r>
            <w:r w:rsidRPr="0025250D">
              <w:rPr>
                <w:rFonts w:hint="cs"/>
                <w:rtl/>
              </w:rPr>
              <w:t>ی</w:t>
            </w:r>
            <w:r w:rsidRPr="0025250D">
              <w:rPr>
                <w:rtl/>
              </w:rPr>
              <w:t>.</w:t>
            </w:r>
          </w:p>
        </w:tc>
        <w:tc>
          <w:tcPr>
            <w:tcW w:w="1438" w:type="dxa"/>
            <w:vAlign w:val="center"/>
          </w:tcPr>
          <w:p w14:paraId="1AE9CFB1" w14:textId="77777777" w:rsidR="00537CC8" w:rsidRPr="0025250D" w:rsidRDefault="00537CC8" w:rsidP="00664E33">
            <w:pPr>
              <w:bidi/>
              <w:spacing w:after="160"/>
              <w:jc w:val="center"/>
              <w:rPr>
                <w:rtl/>
              </w:rPr>
            </w:pPr>
            <w:r w:rsidRPr="0025250D">
              <w:rPr>
                <w:rtl/>
              </w:rPr>
              <w:t>1 (سانفرانس</w:t>
            </w:r>
            <w:r w:rsidRPr="0025250D">
              <w:rPr>
                <w:rFonts w:hint="cs"/>
                <w:rtl/>
              </w:rPr>
              <w:t>ی</w:t>
            </w:r>
            <w:r w:rsidRPr="0025250D">
              <w:rPr>
                <w:rFonts w:hint="eastAsia"/>
                <w:rtl/>
              </w:rPr>
              <w:t>سکو</w:t>
            </w:r>
            <w:r w:rsidRPr="0025250D">
              <w:rPr>
                <w:rFonts w:hint="cs"/>
                <w:rtl/>
              </w:rPr>
              <w:t>)</w:t>
            </w:r>
          </w:p>
        </w:tc>
      </w:tr>
      <w:tr w:rsidR="00537CC8" w:rsidRPr="0025250D" w14:paraId="30189EFE" w14:textId="77777777" w:rsidTr="00664E33">
        <w:tc>
          <w:tcPr>
            <w:tcW w:w="2124" w:type="dxa"/>
            <w:vAlign w:val="center"/>
          </w:tcPr>
          <w:p w14:paraId="000F68E0" w14:textId="77777777" w:rsidR="00537CC8" w:rsidRPr="0025250D" w:rsidRDefault="007A207F" w:rsidP="00664E33">
            <w:pPr>
              <w:bidi/>
              <w:spacing w:after="160"/>
              <w:jc w:val="center"/>
            </w:pPr>
            <w:hyperlink r:id="rId550">
              <w:r w:rsidR="00537CC8" w:rsidRPr="0025250D">
                <w:rPr>
                  <w:rStyle w:val="Hyperlink"/>
                  <w:color w:val="auto"/>
                  <w:u w:val="none"/>
                </w:rPr>
                <w:t>Synthesys Strategic Consulting</w:t>
              </w:r>
            </w:hyperlink>
          </w:p>
        </w:tc>
        <w:tc>
          <w:tcPr>
            <w:tcW w:w="3798" w:type="dxa"/>
            <w:vAlign w:val="center"/>
          </w:tcPr>
          <w:p w14:paraId="6A37158A" w14:textId="7E8EA999" w:rsidR="00537CC8" w:rsidRPr="0025250D" w:rsidRDefault="00537CC8" w:rsidP="00664E33">
            <w:pPr>
              <w:bidi/>
              <w:spacing w:after="160"/>
              <w:jc w:val="center"/>
              <w:rPr>
                <w:rtl/>
              </w:rPr>
            </w:pPr>
            <w:r w:rsidRPr="0025250D">
              <w:rPr>
                <w:rtl/>
              </w:rPr>
              <w:t>هارد</w:t>
            </w:r>
            <w:r w:rsidRPr="0025250D">
              <w:rPr>
                <w:rFonts w:hint="cs"/>
                <w:rtl/>
              </w:rPr>
              <w:t>ی</w:t>
            </w:r>
            <w:r w:rsidRPr="0025250D">
              <w:rPr>
                <w:rFonts w:hint="eastAsia"/>
                <w:rtl/>
              </w:rPr>
              <w:t>ن</w:t>
            </w:r>
            <w:r w:rsidRPr="0025250D">
              <w:rPr>
                <w:rtl/>
              </w:rPr>
              <w:t xml:space="preserve"> ت</w:t>
            </w:r>
            <w:r w:rsidRPr="0025250D">
              <w:rPr>
                <w:rFonts w:hint="cs"/>
                <w:rtl/>
              </w:rPr>
              <w:t>ی</w:t>
            </w:r>
            <w:r w:rsidRPr="0025250D">
              <w:rPr>
                <w:rFonts w:hint="eastAsia"/>
                <w:rtl/>
              </w:rPr>
              <w:t>بز</w:t>
            </w:r>
            <w:r w:rsidRPr="0025250D">
              <w:rPr>
                <w:vertAlign w:val="superscript"/>
                <w:rtl/>
              </w:rPr>
              <w:footnoteReference w:id="3245"/>
            </w:r>
            <w:r w:rsidRPr="0025250D">
              <w:rPr>
                <w:rFonts w:hint="cs"/>
                <w:rtl/>
              </w:rPr>
              <w:t>؛</w:t>
            </w:r>
            <w:r w:rsidRPr="0025250D">
              <w:rPr>
                <w:rtl/>
              </w:rPr>
              <w:t xml:space="preserve"> آینده‌</w:t>
            </w:r>
            <w:r w:rsidR="00E26538" w:rsidRPr="0025250D">
              <w:rPr>
                <w:rtl/>
              </w:rPr>
              <w:t>نگار</w:t>
            </w:r>
            <w:r w:rsidRPr="0025250D">
              <w:rPr>
                <w:rtl/>
              </w:rPr>
              <w:t>ی</w:t>
            </w:r>
            <w:r w:rsidRPr="0025250D">
              <w:rPr>
                <w:rFonts w:hint="eastAsia"/>
                <w:rtl/>
              </w:rPr>
              <w:t>،</w:t>
            </w:r>
            <w:r w:rsidRPr="0025250D">
              <w:rPr>
                <w:rtl/>
              </w:rPr>
              <w:t xml:space="preserve"> </w:t>
            </w:r>
            <w:r w:rsidRPr="0025250D">
              <w:rPr>
                <w:rFonts w:hint="cs"/>
                <w:rtl/>
              </w:rPr>
              <w:t>معنا</w:t>
            </w:r>
            <w:r w:rsidRPr="0025250D">
              <w:rPr>
                <w:rtl/>
              </w:rPr>
              <w:t xml:space="preserve"> ساز</w:t>
            </w:r>
            <w:r w:rsidRPr="0025250D">
              <w:rPr>
                <w:rFonts w:hint="cs"/>
                <w:rtl/>
              </w:rPr>
              <w:t>ی</w:t>
            </w:r>
            <w:r w:rsidRPr="0025250D">
              <w:rPr>
                <w:rFonts w:hint="eastAsia"/>
                <w:rtl/>
              </w:rPr>
              <w:t>،</w:t>
            </w:r>
            <w:r w:rsidRPr="0025250D">
              <w:rPr>
                <w:rtl/>
              </w:rPr>
              <w:t xml:space="preserve"> </w:t>
            </w:r>
            <w:r w:rsidR="00701E03" w:rsidRPr="0025250D">
              <w:rPr>
                <w:rtl/>
              </w:rPr>
              <w:t>راهبرد</w:t>
            </w:r>
          </w:p>
        </w:tc>
        <w:tc>
          <w:tcPr>
            <w:tcW w:w="1438" w:type="dxa"/>
            <w:vAlign w:val="center"/>
          </w:tcPr>
          <w:p w14:paraId="5E4249DD" w14:textId="77777777" w:rsidR="00537CC8" w:rsidRPr="0025250D" w:rsidRDefault="00537CC8" w:rsidP="00664E33">
            <w:pPr>
              <w:bidi/>
              <w:spacing w:after="160"/>
              <w:jc w:val="center"/>
              <w:rPr>
                <w:rtl/>
              </w:rPr>
            </w:pPr>
            <w:r w:rsidRPr="0025250D">
              <w:rPr>
                <w:rtl/>
              </w:rPr>
              <w:t>3 (لندن، انگلستان)</w:t>
            </w:r>
          </w:p>
        </w:tc>
      </w:tr>
      <w:tr w:rsidR="00537CC8" w:rsidRPr="0025250D" w14:paraId="26A6989C" w14:textId="77777777" w:rsidTr="00664E33">
        <w:tc>
          <w:tcPr>
            <w:tcW w:w="2124" w:type="dxa"/>
            <w:vAlign w:val="center"/>
          </w:tcPr>
          <w:p w14:paraId="3B984BD8" w14:textId="77777777" w:rsidR="00537CC8" w:rsidRPr="0025250D" w:rsidRDefault="007A207F" w:rsidP="00664E33">
            <w:pPr>
              <w:bidi/>
              <w:spacing w:after="160"/>
              <w:jc w:val="center"/>
            </w:pPr>
            <w:hyperlink r:id="rId551">
              <w:r w:rsidR="00537CC8" w:rsidRPr="0025250D">
                <w:rPr>
                  <w:rStyle w:val="Hyperlink"/>
                  <w:color w:val="auto"/>
                  <w:u w:val="none"/>
                </w:rPr>
                <w:t>The Futures Agency</w:t>
              </w:r>
            </w:hyperlink>
          </w:p>
        </w:tc>
        <w:tc>
          <w:tcPr>
            <w:tcW w:w="3798" w:type="dxa"/>
            <w:vAlign w:val="center"/>
          </w:tcPr>
          <w:p w14:paraId="5CA26194" w14:textId="226B870C" w:rsidR="00537CC8" w:rsidRPr="0025250D" w:rsidRDefault="00537CC8" w:rsidP="00664E33">
            <w:pPr>
              <w:bidi/>
              <w:spacing w:after="160"/>
              <w:jc w:val="center"/>
              <w:rPr>
                <w:rtl/>
              </w:rPr>
            </w:pPr>
            <w:r w:rsidRPr="0025250D">
              <w:rPr>
                <w:rtl/>
              </w:rPr>
              <w:t>گرد لئونهارد</w:t>
            </w:r>
            <w:r w:rsidRPr="0025250D">
              <w:rPr>
                <w:vertAlign w:val="superscript"/>
                <w:rtl/>
              </w:rPr>
              <w:footnoteReference w:id="3246"/>
            </w:r>
            <w:r w:rsidRPr="0025250D">
              <w:rPr>
                <w:rFonts w:hint="cs"/>
                <w:rtl/>
              </w:rPr>
              <w:t>؛</w:t>
            </w:r>
            <w:r w:rsidRPr="0025250D">
              <w:rPr>
                <w:rtl/>
              </w:rPr>
              <w:t xml:space="preserve"> آینده‌</w:t>
            </w:r>
            <w:r w:rsidR="00E26538" w:rsidRPr="0025250D">
              <w:rPr>
                <w:rtl/>
              </w:rPr>
              <w:t>نگار</w:t>
            </w:r>
            <w:r w:rsidRPr="0025250D">
              <w:rPr>
                <w:rtl/>
              </w:rPr>
              <w:t>ی</w:t>
            </w:r>
            <w:r w:rsidRPr="0025250D">
              <w:rPr>
                <w:rFonts w:hint="eastAsia"/>
                <w:rtl/>
              </w:rPr>
              <w:t>،</w:t>
            </w:r>
            <w:r w:rsidRPr="0025250D">
              <w:rPr>
                <w:rtl/>
              </w:rPr>
              <w:t xml:space="preserve"> کارگاه‌های آموزش</w:t>
            </w:r>
            <w:r w:rsidRPr="0025250D">
              <w:rPr>
                <w:rFonts w:hint="cs"/>
                <w:rtl/>
              </w:rPr>
              <w:t>ی</w:t>
            </w:r>
            <w:r w:rsidRPr="0025250D">
              <w:rPr>
                <w:rFonts w:hint="eastAsia"/>
                <w:rtl/>
              </w:rPr>
              <w:t>،</w:t>
            </w:r>
            <w:r w:rsidRPr="0025250D">
              <w:rPr>
                <w:rtl/>
              </w:rPr>
              <w:t xml:space="preserve"> مشاوره</w:t>
            </w:r>
          </w:p>
        </w:tc>
        <w:tc>
          <w:tcPr>
            <w:tcW w:w="1438" w:type="dxa"/>
            <w:vAlign w:val="center"/>
          </w:tcPr>
          <w:p w14:paraId="5C8648E0" w14:textId="77777777" w:rsidR="00537CC8" w:rsidRPr="0025250D" w:rsidRDefault="00537CC8" w:rsidP="00664E33">
            <w:pPr>
              <w:bidi/>
              <w:spacing w:after="160"/>
              <w:jc w:val="center"/>
              <w:rPr>
                <w:rtl/>
              </w:rPr>
            </w:pPr>
            <w:r w:rsidRPr="0025250D">
              <w:rPr>
                <w:rtl/>
              </w:rPr>
              <w:t>3 (بازل، سوئ</w:t>
            </w:r>
            <w:r w:rsidRPr="0025250D">
              <w:rPr>
                <w:rFonts w:hint="cs"/>
                <w:rtl/>
              </w:rPr>
              <w:t>ی</w:t>
            </w:r>
            <w:r w:rsidRPr="0025250D">
              <w:rPr>
                <w:rFonts w:hint="eastAsia"/>
                <w:rtl/>
              </w:rPr>
              <w:t>س</w:t>
            </w:r>
            <w:r w:rsidRPr="0025250D">
              <w:rPr>
                <w:rtl/>
              </w:rPr>
              <w:t>)</w:t>
            </w:r>
          </w:p>
        </w:tc>
      </w:tr>
      <w:tr w:rsidR="00537CC8" w:rsidRPr="0025250D" w14:paraId="3B2A322B" w14:textId="77777777" w:rsidTr="00664E33">
        <w:tc>
          <w:tcPr>
            <w:tcW w:w="2124" w:type="dxa"/>
            <w:vAlign w:val="center"/>
          </w:tcPr>
          <w:p w14:paraId="60396D57" w14:textId="77777777" w:rsidR="00537CC8" w:rsidRPr="0025250D" w:rsidRDefault="007A207F" w:rsidP="00664E33">
            <w:pPr>
              <w:bidi/>
              <w:spacing w:after="160"/>
              <w:jc w:val="center"/>
            </w:pPr>
            <w:hyperlink r:id="rId552">
              <w:r w:rsidR="00537CC8" w:rsidRPr="0025250D">
                <w:rPr>
                  <w:rStyle w:val="Hyperlink"/>
                  <w:color w:val="auto"/>
                  <w:u w:val="none"/>
                </w:rPr>
                <w:t>Tomorrow Today</w:t>
              </w:r>
            </w:hyperlink>
          </w:p>
        </w:tc>
        <w:tc>
          <w:tcPr>
            <w:tcW w:w="3798" w:type="dxa"/>
            <w:vAlign w:val="center"/>
          </w:tcPr>
          <w:p w14:paraId="16248630" w14:textId="38B661AA" w:rsidR="00537CC8" w:rsidRPr="0025250D" w:rsidRDefault="00537CC8" w:rsidP="00664E33">
            <w:pPr>
              <w:bidi/>
              <w:spacing w:after="160"/>
              <w:jc w:val="center"/>
              <w:rPr>
                <w:rtl/>
              </w:rPr>
            </w:pPr>
            <w:r w:rsidRPr="0025250D">
              <w:rPr>
                <w:rtl/>
              </w:rPr>
              <w:t>گر</w:t>
            </w:r>
            <w:r w:rsidRPr="0025250D">
              <w:rPr>
                <w:rFonts w:hint="cs"/>
                <w:rtl/>
              </w:rPr>
              <w:t>ی</w:t>
            </w:r>
            <w:r w:rsidRPr="0025250D">
              <w:rPr>
                <w:rFonts w:hint="eastAsia"/>
                <w:rtl/>
              </w:rPr>
              <w:t>م</w:t>
            </w:r>
            <w:r w:rsidRPr="0025250D">
              <w:rPr>
                <w:rtl/>
              </w:rPr>
              <w:t xml:space="preserve"> کودر</w:t>
            </w:r>
            <w:r w:rsidRPr="0025250D">
              <w:rPr>
                <w:rFonts w:hint="cs"/>
                <w:rtl/>
              </w:rPr>
              <w:t>ی</w:t>
            </w:r>
            <w:r w:rsidRPr="0025250D">
              <w:rPr>
                <w:rFonts w:hint="eastAsia"/>
                <w:rtl/>
              </w:rPr>
              <w:t>نگتون</w:t>
            </w:r>
            <w:r w:rsidRPr="0025250D">
              <w:rPr>
                <w:vertAlign w:val="superscript"/>
                <w:rtl/>
              </w:rPr>
              <w:footnoteReference w:id="3247"/>
            </w:r>
            <w:r w:rsidRPr="0025250D">
              <w:rPr>
                <w:rFonts w:hint="cs"/>
                <w:rtl/>
              </w:rPr>
              <w:t>؛</w:t>
            </w:r>
            <w:r w:rsidRPr="0025250D">
              <w:rPr>
                <w:rtl/>
              </w:rPr>
              <w:t xml:space="preserve"> مشاوره آینده‌</w:t>
            </w:r>
            <w:r w:rsidR="00E26538" w:rsidRPr="0025250D">
              <w:rPr>
                <w:rtl/>
              </w:rPr>
              <w:t>نگار</w:t>
            </w:r>
            <w:r w:rsidRPr="0025250D">
              <w:rPr>
                <w:rtl/>
              </w:rPr>
              <w:t>ی</w:t>
            </w:r>
            <w:r w:rsidRPr="0025250D">
              <w:rPr>
                <w:rFonts w:hint="eastAsia"/>
                <w:rtl/>
              </w:rPr>
              <w:t>،</w:t>
            </w:r>
            <w:r w:rsidRPr="0025250D">
              <w:rPr>
                <w:rtl/>
              </w:rPr>
              <w:t xml:space="preserve"> صحبت کردن</w:t>
            </w:r>
          </w:p>
        </w:tc>
        <w:tc>
          <w:tcPr>
            <w:tcW w:w="1438" w:type="dxa"/>
            <w:vAlign w:val="center"/>
          </w:tcPr>
          <w:p w14:paraId="123CA247" w14:textId="77777777" w:rsidR="00537CC8" w:rsidRPr="0025250D" w:rsidRDefault="00537CC8" w:rsidP="00664E33">
            <w:pPr>
              <w:bidi/>
              <w:spacing w:after="160"/>
              <w:jc w:val="center"/>
              <w:rPr>
                <w:rtl/>
              </w:rPr>
            </w:pPr>
            <w:r w:rsidRPr="0025250D">
              <w:rPr>
                <w:rtl/>
              </w:rPr>
              <w:t>3 (ر</w:t>
            </w:r>
            <w:r w:rsidRPr="0025250D">
              <w:rPr>
                <w:rFonts w:hint="cs"/>
                <w:rtl/>
              </w:rPr>
              <w:t>ی</w:t>
            </w:r>
            <w:r w:rsidRPr="0025250D">
              <w:rPr>
                <w:rFonts w:hint="eastAsia"/>
                <w:rtl/>
              </w:rPr>
              <w:t>چموند،</w:t>
            </w:r>
            <w:r w:rsidRPr="0025250D">
              <w:rPr>
                <w:rtl/>
              </w:rPr>
              <w:t xml:space="preserve"> بر</w:t>
            </w:r>
            <w:r w:rsidRPr="0025250D">
              <w:rPr>
                <w:rFonts w:hint="cs"/>
                <w:rtl/>
              </w:rPr>
              <w:t>ی</w:t>
            </w:r>
            <w:r w:rsidRPr="0025250D">
              <w:rPr>
                <w:rFonts w:hint="eastAsia"/>
                <w:rtl/>
              </w:rPr>
              <w:t>تان</w:t>
            </w:r>
            <w:r w:rsidRPr="0025250D">
              <w:rPr>
                <w:rFonts w:hint="cs"/>
                <w:rtl/>
              </w:rPr>
              <w:t>ی</w:t>
            </w:r>
            <w:r w:rsidRPr="0025250D">
              <w:rPr>
                <w:rFonts w:hint="eastAsia"/>
                <w:rtl/>
              </w:rPr>
              <w:t>ا</w:t>
            </w:r>
            <w:r w:rsidRPr="0025250D">
              <w:rPr>
                <w:rtl/>
              </w:rPr>
              <w:t>)</w:t>
            </w:r>
          </w:p>
        </w:tc>
      </w:tr>
      <w:tr w:rsidR="00537CC8" w:rsidRPr="0025250D" w14:paraId="7A436374" w14:textId="77777777" w:rsidTr="00664E33">
        <w:tc>
          <w:tcPr>
            <w:tcW w:w="2124" w:type="dxa"/>
            <w:vAlign w:val="center"/>
          </w:tcPr>
          <w:p w14:paraId="5CD3742F" w14:textId="77777777" w:rsidR="00537CC8" w:rsidRPr="0025250D" w:rsidRDefault="007A207F" w:rsidP="00664E33">
            <w:pPr>
              <w:bidi/>
              <w:spacing w:after="160"/>
              <w:jc w:val="center"/>
            </w:pPr>
            <w:hyperlink r:id="rId553">
              <w:r w:rsidR="00537CC8" w:rsidRPr="0025250D">
                <w:rPr>
                  <w:rStyle w:val="Hyperlink"/>
                  <w:color w:val="auto"/>
                  <w:u w:val="none"/>
                </w:rPr>
                <w:t>TrendsDigest</w:t>
              </w:r>
            </w:hyperlink>
          </w:p>
        </w:tc>
        <w:tc>
          <w:tcPr>
            <w:tcW w:w="3798" w:type="dxa"/>
            <w:vAlign w:val="center"/>
          </w:tcPr>
          <w:p w14:paraId="371D23BD" w14:textId="77777777" w:rsidR="00537CC8" w:rsidRPr="0025250D" w:rsidRDefault="00537CC8" w:rsidP="00664E33">
            <w:pPr>
              <w:bidi/>
              <w:spacing w:after="160"/>
              <w:jc w:val="center"/>
              <w:rPr>
                <w:rtl/>
              </w:rPr>
            </w:pPr>
            <w:r w:rsidRPr="0025250D">
              <w:rPr>
                <w:rtl/>
              </w:rPr>
              <w:t>مور</w:t>
            </w:r>
            <w:r w:rsidRPr="0025250D">
              <w:rPr>
                <w:rFonts w:hint="cs"/>
                <w:rtl/>
              </w:rPr>
              <w:t>ی</w:t>
            </w:r>
            <w:r w:rsidRPr="0025250D">
              <w:rPr>
                <w:rFonts w:hint="eastAsia"/>
                <w:rtl/>
              </w:rPr>
              <w:t>ن</w:t>
            </w:r>
            <w:r w:rsidRPr="0025250D">
              <w:rPr>
                <w:rtl/>
              </w:rPr>
              <w:t xml:space="preserve"> رامان</w:t>
            </w:r>
            <w:r w:rsidRPr="0025250D">
              <w:rPr>
                <w:vertAlign w:val="superscript"/>
                <w:rtl/>
              </w:rPr>
              <w:footnoteReference w:id="3248"/>
            </w:r>
            <w:r w:rsidRPr="0025250D">
              <w:rPr>
                <w:rtl/>
              </w:rPr>
              <w:t>؛ اشتراک‌ها</w:t>
            </w:r>
            <w:r w:rsidRPr="0025250D">
              <w:rPr>
                <w:rFonts w:hint="cs"/>
                <w:rtl/>
              </w:rPr>
              <w:t>ی</w:t>
            </w:r>
            <w:r w:rsidRPr="0025250D">
              <w:rPr>
                <w:rtl/>
              </w:rPr>
              <w:t xml:space="preserve"> روند مبتن</w:t>
            </w:r>
            <w:r w:rsidRPr="0025250D">
              <w:rPr>
                <w:rFonts w:hint="cs"/>
                <w:rtl/>
              </w:rPr>
              <w:t>ی</w:t>
            </w:r>
            <w:r w:rsidRPr="0025250D">
              <w:rPr>
                <w:rtl/>
              </w:rPr>
              <w:t xml:space="preserve"> بر </w:t>
            </w:r>
            <w:r w:rsidRPr="0025250D">
              <w:t>PA</w:t>
            </w:r>
          </w:p>
        </w:tc>
        <w:tc>
          <w:tcPr>
            <w:tcW w:w="1438" w:type="dxa"/>
            <w:vAlign w:val="center"/>
          </w:tcPr>
          <w:p w14:paraId="73F0DC61" w14:textId="77777777" w:rsidR="00537CC8" w:rsidRPr="0025250D" w:rsidRDefault="00537CC8" w:rsidP="00664E33">
            <w:pPr>
              <w:bidi/>
              <w:spacing w:after="160"/>
              <w:jc w:val="center"/>
              <w:rPr>
                <w:rtl/>
              </w:rPr>
            </w:pPr>
            <w:r w:rsidRPr="0025250D">
              <w:rPr>
                <w:rtl/>
              </w:rPr>
              <w:t>1 (ه</w:t>
            </w:r>
            <w:r w:rsidRPr="0025250D">
              <w:rPr>
                <w:rFonts w:hint="cs"/>
                <w:rtl/>
              </w:rPr>
              <w:t>ی</w:t>
            </w:r>
            <w:r w:rsidRPr="0025250D">
              <w:rPr>
                <w:rtl/>
              </w:rPr>
              <w:t>وستون</w:t>
            </w:r>
            <w:r w:rsidRPr="0025250D">
              <w:rPr>
                <w:rFonts w:hint="cs"/>
                <w:rtl/>
              </w:rPr>
              <w:t>)</w:t>
            </w:r>
          </w:p>
        </w:tc>
      </w:tr>
      <w:tr w:rsidR="00537CC8" w:rsidRPr="0025250D" w14:paraId="45EB18A5" w14:textId="77777777" w:rsidTr="00664E33">
        <w:tc>
          <w:tcPr>
            <w:tcW w:w="2124" w:type="dxa"/>
            <w:vAlign w:val="center"/>
          </w:tcPr>
          <w:p w14:paraId="14CEC9C9" w14:textId="56D4A570" w:rsidR="00537CC8" w:rsidRPr="0025250D" w:rsidRDefault="007A207F" w:rsidP="00664E33">
            <w:pPr>
              <w:bidi/>
              <w:spacing w:after="160"/>
              <w:jc w:val="center"/>
            </w:pPr>
            <w:hyperlink r:id="rId554">
              <w:r w:rsidR="00537CC8" w:rsidRPr="0025250D">
                <w:rPr>
                  <w:rStyle w:val="Hyperlink"/>
                  <w:color w:val="auto"/>
                  <w:u w:val="none"/>
                </w:rPr>
                <w:t>TRIZ &amp;</w:t>
              </w:r>
            </w:hyperlink>
            <w:r w:rsidR="00664E33" w:rsidRPr="0025250D">
              <w:t xml:space="preserve"> </w:t>
            </w:r>
            <w:hyperlink r:id="rId555">
              <w:r w:rsidR="00537CC8" w:rsidRPr="0025250D">
                <w:rPr>
                  <w:rStyle w:val="Hyperlink"/>
                  <w:color w:val="auto"/>
                  <w:u w:val="none"/>
                </w:rPr>
                <w:t>Engineering Training</w:t>
              </w:r>
            </w:hyperlink>
          </w:p>
        </w:tc>
        <w:tc>
          <w:tcPr>
            <w:tcW w:w="3798" w:type="dxa"/>
            <w:vAlign w:val="center"/>
          </w:tcPr>
          <w:p w14:paraId="5C1FE7E7" w14:textId="77777777" w:rsidR="00537CC8" w:rsidRPr="0025250D" w:rsidRDefault="00537CC8" w:rsidP="00664E33">
            <w:pPr>
              <w:bidi/>
              <w:spacing w:after="160"/>
              <w:jc w:val="center"/>
              <w:rPr>
                <w:rtl/>
              </w:rPr>
            </w:pPr>
            <w:r w:rsidRPr="0025250D">
              <w:rPr>
                <w:rtl/>
              </w:rPr>
              <w:t>جک ه</w:t>
            </w:r>
            <w:r w:rsidRPr="0025250D">
              <w:rPr>
                <w:rFonts w:hint="cs"/>
                <w:rtl/>
              </w:rPr>
              <w:t>ی</w:t>
            </w:r>
            <w:r w:rsidRPr="0025250D">
              <w:rPr>
                <w:rFonts w:hint="eastAsia"/>
                <w:rtl/>
              </w:rPr>
              <w:t>پل</w:t>
            </w:r>
            <w:r w:rsidRPr="0025250D">
              <w:rPr>
                <w:vertAlign w:val="superscript"/>
                <w:rtl/>
              </w:rPr>
              <w:footnoteReference w:id="3249"/>
            </w:r>
            <w:r w:rsidRPr="0025250D">
              <w:rPr>
                <w:rFonts w:hint="eastAsia"/>
                <w:rtl/>
              </w:rPr>
              <w:t>؛</w:t>
            </w:r>
            <w:r w:rsidRPr="0025250D">
              <w:rPr>
                <w:rtl/>
              </w:rPr>
              <w:t xml:space="preserve"> تول</w:t>
            </w:r>
            <w:r w:rsidRPr="0025250D">
              <w:rPr>
                <w:rFonts w:hint="cs"/>
                <w:rtl/>
              </w:rPr>
              <w:t>ی</w:t>
            </w:r>
            <w:r w:rsidRPr="0025250D">
              <w:rPr>
                <w:rFonts w:hint="eastAsia"/>
                <w:rtl/>
              </w:rPr>
              <w:t>د</w:t>
            </w:r>
            <w:r w:rsidRPr="0025250D">
              <w:rPr>
                <w:rtl/>
              </w:rPr>
              <w:t xml:space="preserve"> ا</w:t>
            </w:r>
            <w:r w:rsidRPr="0025250D">
              <w:rPr>
                <w:rFonts w:hint="cs"/>
                <w:rtl/>
              </w:rPr>
              <w:t>ی</w:t>
            </w:r>
            <w:r w:rsidRPr="0025250D">
              <w:rPr>
                <w:rFonts w:hint="eastAsia"/>
                <w:rtl/>
              </w:rPr>
              <w:t>ده</w:t>
            </w:r>
            <w:r w:rsidRPr="0025250D">
              <w:rPr>
                <w:rtl/>
              </w:rPr>
              <w:t xml:space="preserve"> و ارز</w:t>
            </w:r>
            <w:r w:rsidRPr="0025250D">
              <w:rPr>
                <w:rFonts w:hint="cs"/>
                <w:rtl/>
              </w:rPr>
              <w:t>ی</w:t>
            </w:r>
            <w:r w:rsidRPr="0025250D">
              <w:rPr>
                <w:rFonts w:hint="eastAsia"/>
                <w:rtl/>
              </w:rPr>
              <w:t>اب</w:t>
            </w:r>
            <w:r w:rsidRPr="0025250D">
              <w:rPr>
                <w:rFonts w:hint="cs"/>
                <w:rtl/>
              </w:rPr>
              <w:t>ی</w:t>
            </w:r>
            <w:r w:rsidRPr="0025250D">
              <w:rPr>
                <w:rtl/>
              </w:rPr>
              <w:t xml:space="preserve"> ساختار</w:t>
            </w:r>
            <w:r w:rsidRPr="0025250D">
              <w:rPr>
                <w:rFonts w:hint="cs"/>
                <w:rtl/>
              </w:rPr>
              <w:t>ی</w:t>
            </w:r>
            <w:r w:rsidRPr="0025250D">
              <w:rPr>
                <w:rFonts w:hint="eastAsia"/>
                <w:rtl/>
              </w:rPr>
              <w:t>افته</w:t>
            </w:r>
          </w:p>
        </w:tc>
        <w:tc>
          <w:tcPr>
            <w:tcW w:w="1438" w:type="dxa"/>
            <w:vAlign w:val="center"/>
          </w:tcPr>
          <w:p w14:paraId="4F10787C" w14:textId="77777777" w:rsidR="00537CC8" w:rsidRPr="0025250D" w:rsidRDefault="00537CC8" w:rsidP="00664E33">
            <w:pPr>
              <w:bidi/>
              <w:spacing w:after="160"/>
              <w:jc w:val="center"/>
              <w:rPr>
                <w:rtl/>
              </w:rPr>
            </w:pPr>
            <w:r w:rsidRPr="0025250D">
              <w:rPr>
                <w:rtl/>
              </w:rPr>
              <w:t>1 (تامپا</w:t>
            </w:r>
            <w:r w:rsidRPr="0025250D">
              <w:rPr>
                <w:rFonts w:hint="cs"/>
                <w:rtl/>
              </w:rPr>
              <w:t>)</w:t>
            </w:r>
          </w:p>
        </w:tc>
      </w:tr>
      <w:tr w:rsidR="00537CC8" w:rsidRPr="0025250D" w14:paraId="7DC1A578" w14:textId="77777777" w:rsidTr="00664E33">
        <w:tc>
          <w:tcPr>
            <w:tcW w:w="2124" w:type="dxa"/>
            <w:vAlign w:val="center"/>
          </w:tcPr>
          <w:p w14:paraId="671D457C" w14:textId="77777777" w:rsidR="00537CC8" w:rsidRPr="0025250D" w:rsidRDefault="007A207F" w:rsidP="00664E33">
            <w:pPr>
              <w:bidi/>
              <w:spacing w:after="160"/>
              <w:jc w:val="center"/>
            </w:pPr>
            <w:hyperlink r:id="rId556">
              <w:r w:rsidR="00537CC8" w:rsidRPr="0025250D">
                <w:rPr>
                  <w:rStyle w:val="Hyperlink"/>
                  <w:color w:val="auto"/>
                  <w:u w:val="none"/>
                </w:rPr>
                <w:t>Urban Foresight</w:t>
              </w:r>
            </w:hyperlink>
          </w:p>
        </w:tc>
        <w:tc>
          <w:tcPr>
            <w:tcW w:w="3798" w:type="dxa"/>
            <w:vAlign w:val="center"/>
          </w:tcPr>
          <w:p w14:paraId="68FF9430" w14:textId="337637A9" w:rsidR="00537CC8" w:rsidRPr="0025250D" w:rsidRDefault="00537CC8" w:rsidP="00664E33">
            <w:pPr>
              <w:bidi/>
              <w:spacing w:after="160"/>
              <w:jc w:val="center"/>
              <w:rPr>
                <w:rtl/>
              </w:rPr>
            </w:pPr>
            <w:r w:rsidRPr="0025250D">
              <w:rPr>
                <w:rtl/>
              </w:rPr>
              <w:t>د</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rtl/>
              </w:rPr>
              <w:t xml:space="preserve"> ب</w:t>
            </w:r>
            <w:r w:rsidRPr="0025250D">
              <w:rPr>
                <w:rFonts w:hint="cs"/>
                <w:rtl/>
              </w:rPr>
              <w:t>ی</w:t>
            </w:r>
            <w:r w:rsidRPr="0025250D">
              <w:rPr>
                <w:rFonts w:hint="eastAsia"/>
                <w:rtl/>
              </w:rPr>
              <w:t>تون</w:t>
            </w:r>
            <w:r w:rsidRPr="0025250D">
              <w:rPr>
                <w:vertAlign w:val="superscript"/>
                <w:rtl/>
              </w:rPr>
              <w:footnoteReference w:id="3250"/>
            </w:r>
            <w:r w:rsidRPr="0025250D">
              <w:rPr>
                <w:rFonts w:hint="eastAsia"/>
                <w:rtl/>
              </w:rPr>
              <w:t>؛</w:t>
            </w:r>
            <w:r w:rsidRPr="0025250D">
              <w:rPr>
                <w:rtl/>
              </w:rPr>
              <w:t xml:space="preserve"> آینده‌</w:t>
            </w:r>
            <w:r w:rsidR="00E26538" w:rsidRPr="0025250D">
              <w:rPr>
                <w:rtl/>
              </w:rPr>
              <w:t>نگار</w:t>
            </w:r>
            <w:r w:rsidRPr="0025250D">
              <w:rPr>
                <w:rtl/>
              </w:rPr>
              <w:t>ی و پا</w:t>
            </w:r>
            <w:r w:rsidRPr="0025250D">
              <w:rPr>
                <w:rFonts w:hint="cs"/>
                <w:rtl/>
              </w:rPr>
              <w:t>ی</w:t>
            </w:r>
            <w:r w:rsidRPr="0025250D">
              <w:rPr>
                <w:rFonts w:hint="eastAsia"/>
                <w:rtl/>
              </w:rPr>
              <w:t>دار</w:t>
            </w:r>
            <w:r w:rsidRPr="0025250D">
              <w:rPr>
                <w:rFonts w:hint="cs"/>
                <w:rtl/>
              </w:rPr>
              <w:t>ی</w:t>
            </w:r>
            <w:r w:rsidRPr="0025250D">
              <w:rPr>
                <w:rtl/>
              </w:rPr>
              <w:t xml:space="preserve"> شهر</w:t>
            </w:r>
            <w:r w:rsidRPr="0025250D">
              <w:rPr>
                <w:rFonts w:hint="cs"/>
                <w:rtl/>
              </w:rPr>
              <w:t>ی</w:t>
            </w:r>
            <w:r w:rsidRPr="0025250D">
              <w:rPr>
                <w:rtl/>
              </w:rPr>
              <w:t xml:space="preserve"> و صنعت</w:t>
            </w:r>
            <w:r w:rsidRPr="0025250D">
              <w:rPr>
                <w:rFonts w:hint="cs"/>
                <w:rtl/>
              </w:rPr>
              <w:t>ی</w:t>
            </w:r>
          </w:p>
        </w:tc>
        <w:tc>
          <w:tcPr>
            <w:tcW w:w="1438" w:type="dxa"/>
            <w:vAlign w:val="center"/>
          </w:tcPr>
          <w:p w14:paraId="2FE4F617" w14:textId="77777777" w:rsidR="00537CC8" w:rsidRPr="0025250D" w:rsidRDefault="00537CC8" w:rsidP="00664E33">
            <w:pPr>
              <w:bidi/>
              <w:spacing w:after="160"/>
              <w:jc w:val="center"/>
              <w:rPr>
                <w:rtl/>
              </w:rPr>
            </w:pPr>
            <w:r w:rsidRPr="0025250D">
              <w:rPr>
                <w:rtl/>
              </w:rPr>
              <w:t>1 (ن</w:t>
            </w:r>
            <w:r w:rsidRPr="0025250D">
              <w:rPr>
                <w:rFonts w:hint="cs"/>
                <w:rtl/>
              </w:rPr>
              <w:t>ی</w:t>
            </w:r>
            <w:r w:rsidRPr="0025250D">
              <w:rPr>
                <w:rFonts w:hint="eastAsia"/>
                <w:rtl/>
              </w:rPr>
              <w:t>وکاسل،</w:t>
            </w:r>
            <w:r w:rsidRPr="0025250D">
              <w:rPr>
                <w:rtl/>
              </w:rPr>
              <w:t xml:space="preserve"> انگلستان)</w:t>
            </w:r>
          </w:p>
        </w:tc>
      </w:tr>
      <w:tr w:rsidR="00537CC8" w:rsidRPr="0025250D" w14:paraId="12DBC92A" w14:textId="77777777" w:rsidTr="00664E33">
        <w:tc>
          <w:tcPr>
            <w:tcW w:w="2124" w:type="dxa"/>
            <w:vAlign w:val="center"/>
          </w:tcPr>
          <w:p w14:paraId="08F5F9FD" w14:textId="77777777" w:rsidR="00537CC8" w:rsidRPr="0025250D" w:rsidRDefault="007A207F" w:rsidP="00664E33">
            <w:pPr>
              <w:bidi/>
              <w:spacing w:after="160"/>
              <w:jc w:val="center"/>
            </w:pPr>
            <w:hyperlink r:id="rId557">
              <w:r w:rsidR="00537CC8" w:rsidRPr="0025250D">
                <w:rPr>
                  <w:rStyle w:val="Hyperlink"/>
                  <w:color w:val="auto"/>
                  <w:u w:val="none"/>
                </w:rPr>
                <w:t>What’s Next</w:t>
              </w:r>
            </w:hyperlink>
          </w:p>
        </w:tc>
        <w:tc>
          <w:tcPr>
            <w:tcW w:w="3798" w:type="dxa"/>
            <w:vAlign w:val="center"/>
          </w:tcPr>
          <w:p w14:paraId="5F840918" w14:textId="59E33968" w:rsidR="00537CC8" w:rsidRPr="0025250D" w:rsidRDefault="00537CC8" w:rsidP="00664E33">
            <w:pPr>
              <w:bidi/>
              <w:spacing w:after="160"/>
              <w:jc w:val="center"/>
              <w:rPr>
                <w:rtl/>
              </w:rPr>
            </w:pPr>
            <w:r w:rsidRPr="0025250D">
              <w:rPr>
                <w:rtl/>
              </w:rPr>
              <w:t>ال</w:t>
            </w:r>
            <w:r w:rsidRPr="0025250D">
              <w:rPr>
                <w:rFonts w:hint="cs"/>
                <w:rtl/>
              </w:rPr>
              <w:t>ی</w:t>
            </w:r>
            <w:r w:rsidRPr="0025250D">
              <w:rPr>
                <w:rFonts w:hint="eastAsia"/>
                <w:rtl/>
              </w:rPr>
              <w:t>نا</w:t>
            </w:r>
            <w:r w:rsidRPr="0025250D">
              <w:rPr>
                <w:rtl/>
              </w:rPr>
              <w:t xml:space="preserve"> ه</w:t>
            </w:r>
            <w:r w:rsidRPr="0025250D">
              <w:rPr>
                <w:rFonts w:hint="cs"/>
                <w:rtl/>
              </w:rPr>
              <w:t>ی</w:t>
            </w:r>
            <w:r w:rsidRPr="0025250D">
              <w:rPr>
                <w:rFonts w:hint="eastAsia"/>
                <w:rtl/>
              </w:rPr>
              <w:t>لتونن</w:t>
            </w:r>
            <w:r w:rsidRPr="0025250D">
              <w:rPr>
                <w:vertAlign w:val="superscript"/>
                <w:rtl/>
              </w:rPr>
              <w:footnoteReference w:id="3251"/>
            </w:r>
            <w:r w:rsidRPr="0025250D">
              <w:rPr>
                <w:rFonts w:hint="eastAsia"/>
                <w:rtl/>
              </w:rPr>
              <w:t>،</w:t>
            </w:r>
            <w:r w:rsidRPr="0025250D">
              <w:rPr>
                <w:rtl/>
              </w:rPr>
              <w:t xml:space="preserve"> کار</w:t>
            </w:r>
            <w:r w:rsidRPr="0025250D">
              <w:rPr>
                <w:rFonts w:hint="cs"/>
                <w:rtl/>
              </w:rPr>
              <w:t>ی</w:t>
            </w:r>
            <w:r w:rsidRPr="0025250D">
              <w:rPr>
                <w:rtl/>
              </w:rPr>
              <w:t xml:space="preserve"> ه</w:t>
            </w:r>
            <w:r w:rsidRPr="0025250D">
              <w:rPr>
                <w:rFonts w:hint="cs"/>
                <w:rtl/>
              </w:rPr>
              <w:t>ی</w:t>
            </w:r>
            <w:r w:rsidRPr="0025250D">
              <w:rPr>
                <w:rFonts w:hint="eastAsia"/>
                <w:rtl/>
              </w:rPr>
              <w:t>لتونن</w:t>
            </w:r>
            <w:r w:rsidRPr="0025250D">
              <w:rPr>
                <w:vertAlign w:val="superscript"/>
                <w:rtl/>
              </w:rPr>
              <w:footnoteReference w:id="3252"/>
            </w:r>
            <w:r w:rsidRPr="0025250D">
              <w:rPr>
                <w:rFonts w:hint="cs"/>
                <w:rtl/>
              </w:rPr>
              <w:t>؛</w:t>
            </w:r>
            <w:r w:rsidRPr="0025250D">
              <w:rPr>
                <w:rtl/>
              </w:rPr>
              <w:t xml:space="preserve"> مشاوره آینده‌</w:t>
            </w:r>
            <w:r w:rsidR="00E26538" w:rsidRPr="0025250D">
              <w:rPr>
                <w:rtl/>
              </w:rPr>
              <w:t>نگار</w:t>
            </w:r>
            <w:r w:rsidRPr="0025250D">
              <w:rPr>
                <w:rtl/>
              </w:rPr>
              <w:t>ی</w:t>
            </w:r>
          </w:p>
        </w:tc>
        <w:tc>
          <w:tcPr>
            <w:tcW w:w="1438" w:type="dxa"/>
            <w:vAlign w:val="center"/>
          </w:tcPr>
          <w:p w14:paraId="675DC1AC" w14:textId="77777777" w:rsidR="00537CC8" w:rsidRPr="0025250D" w:rsidRDefault="00537CC8" w:rsidP="00664E33">
            <w:pPr>
              <w:bidi/>
              <w:spacing w:after="160"/>
              <w:jc w:val="center"/>
              <w:rPr>
                <w:rtl/>
              </w:rPr>
            </w:pPr>
            <w:r w:rsidRPr="0025250D">
              <w:rPr>
                <w:rtl/>
              </w:rPr>
              <w:t>1 (اسپو، فنلاند)</w:t>
            </w:r>
          </w:p>
        </w:tc>
      </w:tr>
      <w:tr w:rsidR="00537CC8" w:rsidRPr="0025250D" w14:paraId="220B30C3" w14:textId="77777777" w:rsidTr="00664E33">
        <w:tc>
          <w:tcPr>
            <w:tcW w:w="2124" w:type="dxa"/>
            <w:vAlign w:val="center"/>
          </w:tcPr>
          <w:p w14:paraId="14C11665" w14:textId="77777777" w:rsidR="00537CC8" w:rsidRPr="0025250D" w:rsidRDefault="007A207F" w:rsidP="00664E33">
            <w:pPr>
              <w:bidi/>
              <w:spacing w:after="160"/>
              <w:jc w:val="center"/>
            </w:pPr>
            <w:hyperlink r:id="rId558">
              <w:r w:rsidR="00537CC8" w:rsidRPr="0025250D">
                <w:rPr>
                  <w:rStyle w:val="Hyperlink"/>
                  <w:color w:val="auto"/>
                  <w:u w:val="none"/>
                </w:rPr>
                <w:t>Xland</w:t>
              </w:r>
            </w:hyperlink>
          </w:p>
        </w:tc>
        <w:tc>
          <w:tcPr>
            <w:tcW w:w="3798" w:type="dxa"/>
            <w:vAlign w:val="center"/>
          </w:tcPr>
          <w:p w14:paraId="4E84D4C4" w14:textId="644320AA" w:rsidR="00537CC8" w:rsidRPr="0025250D" w:rsidRDefault="00537CC8" w:rsidP="00664E33">
            <w:pPr>
              <w:bidi/>
              <w:spacing w:after="160"/>
              <w:jc w:val="center"/>
              <w:rPr>
                <w:rtl/>
              </w:rPr>
            </w:pPr>
            <w:r w:rsidRPr="0025250D">
              <w:rPr>
                <w:rtl/>
              </w:rPr>
              <w:t>م</w:t>
            </w:r>
            <w:r w:rsidRPr="0025250D">
              <w:rPr>
                <w:rFonts w:hint="cs"/>
                <w:rtl/>
              </w:rPr>
              <w:t>ی</w:t>
            </w:r>
            <w:r w:rsidRPr="0025250D">
              <w:rPr>
                <w:rFonts w:hint="eastAsia"/>
                <w:rtl/>
              </w:rPr>
              <w:t>شل</w:t>
            </w:r>
            <w:r w:rsidRPr="0025250D">
              <w:rPr>
                <w:rtl/>
              </w:rPr>
              <w:t xml:space="preserve"> جودک</w:t>
            </w:r>
            <w:r w:rsidRPr="0025250D">
              <w:rPr>
                <w:rFonts w:hint="cs"/>
                <w:rtl/>
              </w:rPr>
              <w:t>ی</w:t>
            </w:r>
            <w:r w:rsidRPr="0025250D">
              <w:rPr>
                <w:rFonts w:hint="eastAsia"/>
                <w:rtl/>
              </w:rPr>
              <w:t>و</w:t>
            </w:r>
            <w:r w:rsidRPr="0025250D">
              <w:rPr>
                <w:rFonts w:hint="cs"/>
                <w:rtl/>
              </w:rPr>
              <w:t>ی</w:t>
            </w:r>
            <w:r w:rsidRPr="0025250D">
              <w:rPr>
                <w:rFonts w:hint="eastAsia"/>
                <w:rtl/>
              </w:rPr>
              <w:t>چ</w:t>
            </w:r>
            <w:r w:rsidRPr="0025250D">
              <w:rPr>
                <w:vertAlign w:val="superscript"/>
                <w:rtl/>
              </w:rPr>
              <w:footnoteReference w:id="3253"/>
            </w:r>
            <w:r w:rsidRPr="0025250D">
              <w:rPr>
                <w:rFonts w:hint="cs"/>
                <w:rtl/>
              </w:rPr>
              <w:t>؛</w:t>
            </w:r>
            <w:r w:rsidRPr="0025250D">
              <w:rPr>
                <w:rtl/>
              </w:rPr>
              <w:t xml:space="preserve"> تحل</w:t>
            </w:r>
            <w:r w:rsidRPr="0025250D">
              <w:rPr>
                <w:rFonts w:hint="cs"/>
                <w:rtl/>
              </w:rPr>
              <w:t>ی</w:t>
            </w:r>
            <w:r w:rsidRPr="0025250D">
              <w:rPr>
                <w:rFonts w:hint="eastAsia"/>
                <w:rtl/>
              </w:rPr>
              <w:t>ل</w:t>
            </w:r>
            <w:r w:rsidRPr="0025250D">
              <w:rPr>
                <w:rtl/>
              </w:rPr>
              <w:t xml:space="preserve"> روند، </w:t>
            </w:r>
            <w:r w:rsidR="00D92F6E" w:rsidRPr="0025250D">
              <w:rPr>
                <w:rtl/>
              </w:rPr>
              <w:t>پیش‌بین</w:t>
            </w:r>
            <w:r w:rsidRPr="0025250D">
              <w:rPr>
                <w:rFonts w:hint="cs"/>
                <w:rtl/>
              </w:rPr>
              <w:t>ی</w:t>
            </w:r>
            <w:r w:rsidRPr="0025250D">
              <w:rPr>
                <w:rtl/>
              </w:rPr>
              <w:t xml:space="preserve"> فناور</w:t>
            </w:r>
            <w:r w:rsidRPr="0025250D">
              <w:rPr>
                <w:rFonts w:hint="cs"/>
                <w:rtl/>
              </w:rPr>
              <w:t>ی</w:t>
            </w:r>
          </w:p>
        </w:tc>
        <w:tc>
          <w:tcPr>
            <w:tcW w:w="1438" w:type="dxa"/>
            <w:vAlign w:val="center"/>
          </w:tcPr>
          <w:p w14:paraId="58E34642" w14:textId="77777777" w:rsidR="00537CC8" w:rsidRPr="0025250D" w:rsidRDefault="00537CC8" w:rsidP="00664E33">
            <w:pPr>
              <w:bidi/>
              <w:spacing w:after="160"/>
              <w:jc w:val="center"/>
              <w:rPr>
                <w:rtl/>
              </w:rPr>
            </w:pPr>
            <w:r w:rsidRPr="0025250D">
              <w:rPr>
                <w:rtl/>
              </w:rPr>
              <w:t>3 (بروکسل، بلژ</w:t>
            </w:r>
            <w:r w:rsidRPr="0025250D">
              <w:rPr>
                <w:rFonts w:hint="cs"/>
                <w:rtl/>
              </w:rPr>
              <w:t>ی</w:t>
            </w:r>
            <w:r w:rsidRPr="0025250D">
              <w:rPr>
                <w:rFonts w:hint="eastAsia"/>
                <w:rtl/>
              </w:rPr>
              <w:t>ک</w:t>
            </w:r>
            <w:r w:rsidRPr="0025250D">
              <w:rPr>
                <w:rtl/>
              </w:rPr>
              <w:t>)</w:t>
            </w:r>
          </w:p>
        </w:tc>
      </w:tr>
    </w:tbl>
    <w:p w14:paraId="225A7A10" w14:textId="77777777" w:rsidR="00537CC8" w:rsidRPr="0025250D" w:rsidRDefault="00537CC8" w:rsidP="00537CC8">
      <w:pPr>
        <w:rPr>
          <w:rtl/>
        </w:rPr>
      </w:pPr>
    </w:p>
    <w:p w14:paraId="7D900C10" w14:textId="70B4A959" w:rsidR="00537CC8" w:rsidRPr="0025250D" w:rsidRDefault="00537CC8" w:rsidP="00494960">
      <w:pPr>
        <w:pStyle w:val="Heading1"/>
        <w:rPr>
          <w:rtl/>
        </w:rPr>
      </w:pPr>
      <w:bookmarkStart w:id="88" w:name="_Toc127831353"/>
      <w:r w:rsidRPr="0025250D">
        <w:rPr>
          <w:rtl/>
        </w:rPr>
        <w:t>پ</w:t>
      </w:r>
      <w:r w:rsidRPr="0025250D">
        <w:rPr>
          <w:rFonts w:hint="cs"/>
          <w:rtl/>
        </w:rPr>
        <w:t>ی</w:t>
      </w:r>
      <w:r w:rsidRPr="0025250D">
        <w:rPr>
          <w:rFonts w:hint="eastAsia"/>
          <w:rtl/>
        </w:rPr>
        <w:t>وست</w:t>
      </w:r>
      <w:r w:rsidRPr="0025250D">
        <w:rPr>
          <w:rtl/>
        </w:rPr>
        <w:t xml:space="preserve"> 3: منابع آینده‌نگاری </w:t>
      </w:r>
      <w:r w:rsidRPr="0025250D">
        <w:rPr>
          <w:rFonts w:ascii="Times New Roman" w:hAnsi="Times New Roman" w:cs="Times New Roman" w:hint="cs"/>
          <w:rtl/>
        </w:rPr>
        <w:t>–</w:t>
      </w:r>
      <w:r w:rsidRPr="0025250D">
        <w:rPr>
          <w:rtl/>
        </w:rPr>
        <w:t xml:space="preserve"> </w:t>
      </w:r>
      <w:r w:rsidR="001A3F0A" w:rsidRPr="0025250D">
        <w:rPr>
          <w:rFonts w:hint="cs"/>
          <w:rtl/>
        </w:rPr>
        <w:t>فردی</w:t>
      </w:r>
      <w:r w:rsidRPr="0025250D">
        <w:rPr>
          <w:rFonts w:hint="eastAsia"/>
          <w:rtl/>
        </w:rPr>
        <w:t>،</w:t>
      </w:r>
      <w:r w:rsidRPr="0025250D">
        <w:rPr>
          <w:rtl/>
        </w:rPr>
        <w:t xml:space="preserve"> ت</w:t>
      </w:r>
      <w:r w:rsidRPr="0025250D">
        <w:rPr>
          <w:rFonts w:hint="cs"/>
          <w:rtl/>
        </w:rPr>
        <w:t>ی</w:t>
      </w:r>
      <w:r w:rsidRPr="0025250D">
        <w:rPr>
          <w:rFonts w:hint="eastAsia"/>
          <w:rtl/>
        </w:rPr>
        <w:t>م</w:t>
      </w:r>
      <w:r w:rsidRPr="0025250D">
        <w:rPr>
          <w:rFonts w:hint="cs"/>
          <w:rtl/>
        </w:rPr>
        <w:t>ی</w:t>
      </w:r>
      <w:r w:rsidRPr="0025250D">
        <w:rPr>
          <w:rtl/>
        </w:rPr>
        <w:t xml:space="preserve"> و سازمان</w:t>
      </w:r>
      <w:r w:rsidRPr="0025250D">
        <w:rPr>
          <w:rFonts w:hint="cs"/>
          <w:rtl/>
        </w:rPr>
        <w:t>ی</w:t>
      </w:r>
      <w:bookmarkEnd w:id="88"/>
    </w:p>
    <w:p w14:paraId="5147C00B" w14:textId="75437015" w:rsidR="002F186A" w:rsidRPr="0025250D" w:rsidRDefault="002F186A" w:rsidP="002F186A">
      <w:pPr>
        <w:rPr>
          <w:rtl/>
        </w:rPr>
      </w:pPr>
      <w:r w:rsidRPr="0025250D">
        <w:rPr>
          <w:rtl/>
        </w:rPr>
        <w:t>ا</w:t>
      </w:r>
      <w:r w:rsidRPr="0025250D">
        <w:rPr>
          <w:rFonts w:hint="cs"/>
          <w:rtl/>
        </w:rPr>
        <w:t>ی</w:t>
      </w:r>
      <w:r w:rsidRPr="0025250D">
        <w:rPr>
          <w:rFonts w:hint="eastAsia"/>
          <w:rtl/>
        </w:rPr>
        <w:t>ن</w:t>
      </w:r>
      <w:r w:rsidRPr="0025250D">
        <w:rPr>
          <w:rtl/>
        </w:rPr>
        <w:t xml:space="preserve"> </w:t>
      </w:r>
      <w:r w:rsidRPr="0025250D">
        <w:rPr>
          <w:rFonts w:hint="cs"/>
          <w:rtl/>
        </w:rPr>
        <w:t>پیوست</w:t>
      </w:r>
      <w:r w:rsidRPr="0025250D">
        <w:rPr>
          <w:rtl/>
        </w:rPr>
        <w:t xml:space="preserve"> منابع</w:t>
      </w:r>
      <w:r w:rsidRPr="0025250D">
        <w:rPr>
          <w:rFonts w:hint="cs"/>
          <w:rtl/>
        </w:rPr>
        <w:t>ی</w:t>
      </w:r>
      <w:r w:rsidRPr="0025250D">
        <w:rPr>
          <w:rtl/>
        </w:rPr>
        <w:t xml:space="preserve"> برا</w:t>
      </w:r>
      <w:r w:rsidRPr="0025250D">
        <w:rPr>
          <w:rFonts w:hint="cs"/>
          <w:rtl/>
        </w:rPr>
        <w:t>ی</w:t>
      </w:r>
      <w:r w:rsidRPr="0025250D">
        <w:rPr>
          <w:rtl/>
        </w:rPr>
        <w:t xml:space="preserve"> </w:t>
      </w:r>
      <w:r w:rsidR="00D92F6E" w:rsidRPr="0025250D">
        <w:rPr>
          <w:rtl/>
        </w:rPr>
        <w:t>آینده‌نگاری</w:t>
      </w:r>
      <w:r w:rsidRPr="0025250D">
        <w:rPr>
          <w:rtl/>
        </w:rPr>
        <w:t xml:space="preserve"> </w:t>
      </w:r>
      <w:r w:rsidR="001A3F0A" w:rsidRPr="0025250D">
        <w:rPr>
          <w:rtl/>
        </w:rPr>
        <w:t>فردی</w:t>
      </w:r>
      <w:r w:rsidRPr="0025250D">
        <w:rPr>
          <w:rFonts w:hint="eastAsia"/>
          <w:rtl/>
        </w:rPr>
        <w:t>،</w:t>
      </w:r>
      <w:r w:rsidRPr="0025250D">
        <w:rPr>
          <w:rtl/>
        </w:rPr>
        <w:t xml:space="preserve"> ت</w:t>
      </w:r>
      <w:r w:rsidRPr="0025250D">
        <w:rPr>
          <w:rFonts w:hint="cs"/>
          <w:rtl/>
        </w:rPr>
        <w:t>ی</w:t>
      </w:r>
      <w:r w:rsidRPr="0025250D">
        <w:rPr>
          <w:rFonts w:hint="eastAsia"/>
          <w:rtl/>
        </w:rPr>
        <w:t>م</w:t>
      </w:r>
      <w:r w:rsidRPr="0025250D">
        <w:rPr>
          <w:rFonts w:hint="cs"/>
          <w:rtl/>
        </w:rPr>
        <w:t>ی</w:t>
      </w:r>
      <w:r w:rsidRPr="0025250D">
        <w:rPr>
          <w:rtl/>
        </w:rPr>
        <w:t xml:space="preserve"> و سازمان</w:t>
      </w:r>
      <w:r w:rsidRPr="0025250D">
        <w:rPr>
          <w:rFonts w:hint="cs"/>
          <w:rtl/>
        </w:rPr>
        <w:t>ی</w:t>
      </w:r>
      <w:r w:rsidRPr="0025250D">
        <w:rPr>
          <w:rFonts w:hint="eastAsia"/>
          <w:rtl/>
        </w:rPr>
        <w:t>،</w:t>
      </w:r>
      <w:r w:rsidRPr="0025250D">
        <w:rPr>
          <w:rtl/>
        </w:rPr>
        <w:t xml:space="preserve"> سه مورد اول از شش حوزه </w:t>
      </w:r>
      <w:r w:rsidR="00D92F6E" w:rsidRPr="0025250D">
        <w:rPr>
          <w:rtl/>
        </w:rPr>
        <w:t>آینده‌نگاری</w:t>
      </w:r>
      <w:r w:rsidRPr="0025250D">
        <w:rPr>
          <w:rtl/>
        </w:rPr>
        <w:t xml:space="preserve"> </w:t>
      </w:r>
      <w:r w:rsidRPr="0025250D">
        <w:rPr>
          <w:rFonts w:hint="cs"/>
          <w:rtl/>
        </w:rPr>
        <w:t>ارائه می دهد</w:t>
      </w:r>
      <w:r w:rsidRPr="0025250D">
        <w:rPr>
          <w:rtl/>
        </w:rPr>
        <w:t>. به طور دق</w:t>
      </w:r>
      <w:r w:rsidRPr="0025250D">
        <w:rPr>
          <w:rFonts w:hint="cs"/>
          <w:rtl/>
        </w:rPr>
        <w:t>ی</w:t>
      </w:r>
      <w:r w:rsidRPr="0025250D">
        <w:rPr>
          <w:rFonts w:hint="eastAsia"/>
          <w:rtl/>
        </w:rPr>
        <w:t>ق</w:t>
      </w:r>
      <w:r w:rsidRPr="0025250D">
        <w:rPr>
          <w:rtl/>
        </w:rPr>
        <w:t xml:space="preserve"> تر، به پنج موضوع م</w:t>
      </w:r>
      <w:r w:rsidRPr="0025250D">
        <w:rPr>
          <w:rFonts w:hint="cs"/>
          <w:rtl/>
        </w:rPr>
        <w:t>ی</w:t>
      </w:r>
      <w:r w:rsidRPr="0025250D">
        <w:rPr>
          <w:rtl/>
        </w:rPr>
        <w:t xml:space="preserve"> پردازد:</w:t>
      </w:r>
    </w:p>
    <w:p w14:paraId="489F502B" w14:textId="725B16B2" w:rsidR="002F186A" w:rsidRPr="0025250D" w:rsidRDefault="002F186A" w:rsidP="00492C47">
      <w:pPr>
        <w:numPr>
          <w:ilvl w:val="0"/>
          <w:numId w:val="72"/>
        </w:numPr>
        <w:rPr>
          <w:rtl/>
        </w:rPr>
      </w:pPr>
      <w:r w:rsidRPr="0025250D">
        <w:rPr>
          <w:rtl/>
        </w:rPr>
        <w:t>مقدمه ا</w:t>
      </w:r>
      <w:r w:rsidRPr="0025250D">
        <w:rPr>
          <w:rFonts w:hint="cs"/>
          <w:rtl/>
        </w:rPr>
        <w:t>ی</w:t>
      </w:r>
      <w:r w:rsidRPr="0025250D">
        <w:rPr>
          <w:rtl/>
        </w:rPr>
        <w:t xml:space="preserve"> بر </w:t>
      </w:r>
      <w:r w:rsidR="00D92F6E" w:rsidRPr="0025250D">
        <w:rPr>
          <w:rtl/>
        </w:rPr>
        <w:t>آینده‌نگاری</w:t>
      </w:r>
      <w:r w:rsidRPr="0025250D">
        <w:rPr>
          <w:rtl/>
        </w:rPr>
        <w:t xml:space="preserve"> (</w:t>
      </w:r>
      <w:r w:rsidR="00D92F6E" w:rsidRPr="0025250D">
        <w:rPr>
          <w:rtl/>
        </w:rPr>
        <w:t>آینده‌نگاری</w:t>
      </w:r>
      <w:r w:rsidRPr="0025250D">
        <w:rPr>
          <w:rtl/>
        </w:rPr>
        <w:t xml:space="preserve"> چ</w:t>
      </w:r>
      <w:r w:rsidRPr="0025250D">
        <w:rPr>
          <w:rFonts w:hint="cs"/>
          <w:rtl/>
        </w:rPr>
        <w:t>ی</w:t>
      </w:r>
      <w:r w:rsidRPr="0025250D">
        <w:rPr>
          <w:rFonts w:hint="eastAsia"/>
          <w:rtl/>
        </w:rPr>
        <w:t>ست</w:t>
      </w:r>
      <w:r w:rsidRPr="0025250D">
        <w:rPr>
          <w:rtl/>
        </w:rPr>
        <w:t xml:space="preserve"> و چرا </w:t>
      </w:r>
      <w:r w:rsidRPr="0025250D">
        <w:rPr>
          <w:rFonts w:hint="cs"/>
          <w:rtl/>
        </w:rPr>
        <w:t>ی</w:t>
      </w:r>
      <w:r w:rsidRPr="0025250D">
        <w:rPr>
          <w:rFonts w:hint="eastAsia"/>
          <w:rtl/>
        </w:rPr>
        <w:t>ک</w:t>
      </w:r>
      <w:r w:rsidRPr="0025250D">
        <w:rPr>
          <w:rFonts w:hint="cs"/>
          <w:rtl/>
        </w:rPr>
        <w:t>ی</w:t>
      </w:r>
      <w:r w:rsidRPr="0025250D">
        <w:rPr>
          <w:rtl/>
        </w:rPr>
        <w:t xml:space="preserve"> از بزرگتر</w:t>
      </w:r>
      <w:r w:rsidRPr="0025250D">
        <w:rPr>
          <w:rFonts w:hint="cs"/>
          <w:rtl/>
        </w:rPr>
        <w:t>ی</w:t>
      </w:r>
      <w:r w:rsidRPr="0025250D">
        <w:rPr>
          <w:rFonts w:hint="eastAsia"/>
          <w:rtl/>
        </w:rPr>
        <w:t>ن</w:t>
      </w:r>
      <w:r w:rsidRPr="0025250D">
        <w:rPr>
          <w:rtl/>
        </w:rPr>
        <w:t xml:space="preserve"> ابرقدرت ها</w:t>
      </w:r>
      <w:r w:rsidRPr="0025250D">
        <w:rPr>
          <w:rFonts w:hint="cs"/>
          <w:rtl/>
        </w:rPr>
        <w:t>ی</w:t>
      </w:r>
      <w:r w:rsidRPr="0025250D">
        <w:rPr>
          <w:rtl/>
        </w:rPr>
        <w:t xml:space="preserve"> ماست)</w:t>
      </w:r>
    </w:p>
    <w:p w14:paraId="22D36A39" w14:textId="77777777" w:rsidR="002F186A" w:rsidRPr="0025250D" w:rsidRDefault="002F186A" w:rsidP="00492C47">
      <w:pPr>
        <w:numPr>
          <w:ilvl w:val="0"/>
          <w:numId w:val="72"/>
        </w:numPr>
        <w:rPr>
          <w:rtl/>
        </w:rPr>
      </w:pPr>
      <w:r w:rsidRPr="0025250D">
        <w:rPr>
          <w:rFonts w:hint="cs"/>
          <w:rtl/>
        </w:rPr>
        <w:t>تخصص</w:t>
      </w:r>
      <w:r w:rsidRPr="0025250D">
        <w:rPr>
          <w:rtl/>
        </w:rPr>
        <w:t xml:space="preserve">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(وضع</w:t>
      </w:r>
      <w:r w:rsidRPr="0025250D">
        <w:rPr>
          <w:rFonts w:hint="cs"/>
          <w:rtl/>
        </w:rPr>
        <w:t>ی</w:t>
      </w:r>
      <w:r w:rsidRPr="0025250D">
        <w:rPr>
          <w:rFonts w:hint="eastAsia"/>
          <w:rtl/>
        </w:rPr>
        <w:t>ت</w:t>
      </w:r>
      <w:r w:rsidRPr="0025250D">
        <w:rPr>
          <w:rtl/>
        </w:rPr>
        <w:t xml:space="preserve"> ا</w:t>
      </w:r>
      <w:r w:rsidRPr="0025250D">
        <w:rPr>
          <w:rFonts w:hint="cs"/>
          <w:rtl/>
        </w:rPr>
        <w:t>ی</w:t>
      </w:r>
      <w:r w:rsidRPr="0025250D">
        <w:rPr>
          <w:rFonts w:hint="eastAsia"/>
          <w:rtl/>
        </w:rPr>
        <w:t>ن</w:t>
      </w:r>
      <w:r w:rsidRPr="0025250D">
        <w:rPr>
          <w:rtl/>
        </w:rPr>
        <w:t xml:space="preserve"> رشته، گز</w:t>
      </w:r>
      <w:r w:rsidRPr="0025250D">
        <w:rPr>
          <w:rFonts w:hint="cs"/>
          <w:rtl/>
        </w:rPr>
        <w:t>ی</w:t>
      </w:r>
      <w:r w:rsidRPr="0025250D">
        <w:rPr>
          <w:rFonts w:hint="eastAsia"/>
          <w:rtl/>
        </w:rPr>
        <w:t>نه‌ها</w:t>
      </w:r>
      <w:r w:rsidRPr="0025250D">
        <w:rPr>
          <w:rFonts w:hint="cs"/>
          <w:rtl/>
        </w:rPr>
        <w:t>ی</w:t>
      </w:r>
      <w:r w:rsidRPr="0025250D">
        <w:rPr>
          <w:rtl/>
        </w:rPr>
        <w:t xml:space="preserve"> آموزش</w:t>
      </w:r>
      <w:r w:rsidRPr="0025250D">
        <w:rPr>
          <w:rFonts w:hint="cs"/>
          <w:rtl/>
        </w:rPr>
        <w:t>ی</w:t>
      </w:r>
      <w:r w:rsidRPr="0025250D">
        <w:rPr>
          <w:rtl/>
        </w:rPr>
        <w:t xml:space="preserve"> و تمر</w:t>
      </w:r>
      <w:r w:rsidRPr="0025250D">
        <w:rPr>
          <w:rFonts w:hint="cs"/>
          <w:rtl/>
        </w:rPr>
        <w:t>ی</w:t>
      </w:r>
      <w:r w:rsidRPr="0025250D">
        <w:rPr>
          <w:rFonts w:hint="eastAsia"/>
          <w:rtl/>
        </w:rPr>
        <w:t>ن</w:t>
      </w:r>
      <w:r w:rsidRPr="0025250D">
        <w:rPr>
          <w:rFonts w:hint="cs"/>
          <w:rtl/>
        </w:rPr>
        <w:t>ی</w:t>
      </w:r>
      <w:r w:rsidRPr="0025250D">
        <w:rPr>
          <w:rtl/>
        </w:rPr>
        <w:t>)</w:t>
      </w:r>
    </w:p>
    <w:p w14:paraId="239ED610" w14:textId="6B915A24" w:rsidR="002F186A" w:rsidRPr="0025250D" w:rsidRDefault="002F186A" w:rsidP="00492C47">
      <w:pPr>
        <w:numPr>
          <w:ilvl w:val="0"/>
          <w:numId w:val="72"/>
        </w:numPr>
        <w:rPr>
          <w:rtl/>
        </w:rPr>
      </w:pPr>
      <w:r w:rsidRPr="0025250D">
        <w:rPr>
          <w:rtl/>
        </w:rPr>
        <w:t>آ</w:t>
      </w:r>
      <w:r w:rsidRPr="0025250D">
        <w:rPr>
          <w:rFonts w:hint="cs"/>
          <w:rtl/>
        </w:rPr>
        <w:t>ی</w:t>
      </w:r>
      <w:r w:rsidRPr="0025250D">
        <w:rPr>
          <w:rFonts w:hint="eastAsia"/>
          <w:rtl/>
        </w:rPr>
        <w:t>نده</w:t>
      </w:r>
      <w:r w:rsidRPr="0025250D">
        <w:rPr>
          <w:rtl/>
        </w:rPr>
        <w:t xml:space="preserve"> نگر</w:t>
      </w:r>
      <w:r w:rsidRPr="0025250D">
        <w:rPr>
          <w:rFonts w:hint="cs"/>
          <w:rtl/>
        </w:rPr>
        <w:t>ی</w:t>
      </w:r>
      <w:r w:rsidRPr="0025250D">
        <w:rPr>
          <w:rtl/>
        </w:rPr>
        <w:t xml:space="preserve"> </w:t>
      </w:r>
      <w:r w:rsidR="001A3F0A" w:rsidRPr="0025250D">
        <w:rPr>
          <w:rtl/>
        </w:rPr>
        <w:t>فردی</w:t>
      </w:r>
      <w:r w:rsidRPr="0025250D">
        <w:rPr>
          <w:rtl/>
        </w:rPr>
        <w:t xml:space="preserve"> (خود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Fonts w:hint="cs"/>
          <w:rtl/>
        </w:rPr>
        <w:t>ی</w:t>
      </w:r>
      <w:r w:rsidRPr="0025250D">
        <w:rPr>
          <w:rFonts w:hint="eastAsia"/>
          <w:rtl/>
        </w:rPr>
        <w:t>،</w:t>
      </w:r>
      <w:r w:rsidRPr="0025250D">
        <w:rPr>
          <w:rtl/>
        </w:rPr>
        <w:t xml:space="preserve"> ارزش ها، هدف و چالش ها)</w:t>
      </w:r>
    </w:p>
    <w:p w14:paraId="1F86F6FC" w14:textId="20ED3534" w:rsidR="002F186A" w:rsidRPr="0025250D" w:rsidRDefault="002F186A" w:rsidP="00492C47">
      <w:pPr>
        <w:numPr>
          <w:ilvl w:val="0"/>
          <w:numId w:val="72"/>
        </w:numPr>
        <w:rPr>
          <w:rtl/>
        </w:rPr>
      </w:pPr>
      <w:r w:rsidRPr="0025250D">
        <w:rPr>
          <w:rtl/>
        </w:rPr>
        <w:t>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ت</w:t>
      </w:r>
      <w:r w:rsidRPr="0025250D">
        <w:rPr>
          <w:rFonts w:hint="cs"/>
          <w:rtl/>
        </w:rPr>
        <w:t>ی</w:t>
      </w:r>
      <w:r w:rsidRPr="0025250D">
        <w:rPr>
          <w:rFonts w:hint="eastAsia"/>
          <w:rtl/>
        </w:rPr>
        <w:t>م</w:t>
      </w:r>
      <w:r w:rsidRPr="0025250D">
        <w:rPr>
          <w:rFonts w:hint="cs"/>
          <w:rtl/>
        </w:rPr>
        <w:t>ی</w:t>
      </w:r>
      <w:r w:rsidRPr="0025250D">
        <w:rPr>
          <w:rtl/>
        </w:rPr>
        <w:t xml:space="preserve"> (مهارت‌ها</w:t>
      </w:r>
      <w:r w:rsidRPr="0025250D">
        <w:rPr>
          <w:rFonts w:hint="cs"/>
          <w:rtl/>
        </w:rPr>
        <w:t>ی</w:t>
      </w:r>
      <w:r w:rsidRPr="0025250D">
        <w:rPr>
          <w:rtl/>
        </w:rPr>
        <w:t xml:space="preserve"> کل</w:t>
      </w:r>
      <w:r w:rsidRPr="0025250D">
        <w:rPr>
          <w:rFonts w:hint="cs"/>
          <w:rtl/>
        </w:rPr>
        <w:t>ی</w:t>
      </w:r>
      <w:r w:rsidRPr="0025250D">
        <w:rPr>
          <w:rFonts w:hint="eastAsia"/>
          <w:rtl/>
        </w:rPr>
        <w:t>د</w:t>
      </w:r>
      <w:r w:rsidRPr="0025250D">
        <w:rPr>
          <w:rFonts w:hint="cs"/>
          <w:rtl/>
        </w:rPr>
        <w:t>ی</w:t>
      </w:r>
      <w:r w:rsidRPr="0025250D">
        <w:rPr>
          <w:rtl/>
        </w:rPr>
        <w:t xml:space="preserve"> </w:t>
      </w:r>
      <w:r w:rsidRPr="0025250D">
        <w:rPr>
          <w:rFonts w:hint="cs"/>
          <w:rtl/>
        </w:rPr>
        <w:t>عملی</w:t>
      </w:r>
      <w:r w:rsidRPr="0025250D">
        <w:rPr>
          <w:rtl/>
        </w:rPr>
        <w:t xml:space="preserve"> و چالش‌ها</w:t>
      </w:r>
      <w:r w:rsidRPr="0025250D">
        <w:rPr>
          <w:rFonts w:hint="cs"/>
          <w:rtl/>
        </w:rPr>
        <w:t>ی</w:t>
      </w:r>
      <w:r w:rsidRPr="0025250D">
        <w:rPr>
          <w:rtl/>
        </w:rPr>
        <w:t xml:space="preserve"> جامعه)</w:t>
      </w:r>
    </w:p>
    <w:p w14:paraId="17BDECDA" w14:textId="77777777" w:rsidR="002F186A" w:rsidRPr="0025250D" w:rsidRDefault="002F186A" w:rsidP="00492C47">
      <w:pPr>
        <w:numPr>
          <w:ilvl w:val="0"/>
          <w:numId w:val="72"/>
        </w:numPr>
        <w:rPr>
          <w:rtl/>
        </w:rPr>
      </w:pPr>
      <w:r w:rsidRPr="0025250D">
        <w:rPr>
          <w:rtl/>
        </w:rPr>
        <w:t>آ</w:t>
      </w:r>
      <w:r w:rsidRPr="0025250D">
        <w:rPr>
          <w:rFonts w:hint="cs"/>
          <w:rtl/>
        </w:rPr>
        <w:t>ی</w:t>
      </w:r>
      <w:r w:rsidRPr="0025250D">
        <w:rPr>
          <w:rFonts w:hint="eastAsia"/>
          <w:rtl/>
        </w:rPr>
        <w:t>نده‌نگار</w:t>
      </w:r>
      <w:r w:rsidRPr="0025250D">
        <w:rPr>
          <w:rFonts w:hint="cs"/>
          <w:rtl/>
        </w:rPr>
        <w:t>ی</w:t>
      </w:r>
      <w:r w:rsidRPr="0025250D">
        <w:rPr>
          <w:rtl/>
        </w:rPr>
        <w:t xml:space="preserve"> سازمان</w:t>
      </w:r>
      <w:r w:rsidRPr="0025250D">
        <w:rPr>
          <w:rFonts w:hint="cs"/>
          <w:rtl/>
        </w:rPr>
        <w:t>ی</w:t>
      </w:r>
      <w:r w:rsidRPr="0025250D">
        <w:rPr>
          <w:rtl/>
        </w:rPr>
        <w:t xml:space="preserve"> (مدل‌ها، چارچوب‌ها، روش‌ها، چالش‌ها)</w:t>
      </w:r>
    </w:p>
    <w:p w14:paraId="6C342FB9" w14:textId="33D5EDA4" w:rsidR="002F186A" w:rsidRPr="0025250D" w:rsidRDefault="002F186A" w:rsidP="002F186A">
      <w:pPr>
        <w:rPr>
          <w:rtl/>
        </w:rPr>
      </w:pPr>
      <w:r w:rsidRPr="0025250D">
        <w:rPr>
          <w:rFonts w:hint="cs"/>
          <w:rtl/>
        </w:rPr>
        <w:t>پیوست</w:t>
      </w:r>
      <w:r w:rsidRPr="0025250D">
        <w:rPr>
          <w:rtl/>
        </w:rPr>
        <w:t xml:space="preserve"> معادل در کتاب 2 دارا</w:t>
      </w:r>
      <w:r w:rsidRPr="0025250D">
        <w:rPr>
          <w:rFonts w:hint="cs"/>
          <w:rtl/>
        </w:rPr>
        <w:t>ی</w:t>
      </w:r>
      <w:r w:rsidRPr="0025250D">
        <w:rPr>
          <w:rtl/>
        </w:rPr>
        <w:t xml:space="preserve"> منابع</w:t>
      </w:r>
      <w:r w:rsidRPr="0025250D">
        <w:rPr>
          <w:rFonts w:hint="cs"/>
          <w:rtl/>
        </w:rPr>
        <w:t>ی</w:t>
      </w:r>
      <w:r w:rsidRPr="0025250D">
        <w:rPr>
          <w:rtl/>
        </w:rPr>
        <w:t xml:space="preserve"> برا</w:t>
      </w:r>
      <w:r w:rsidRPr="0025250D">
        <w:rPr>
          <w:rFonts w:hint="cs"/>
          <w:rtl/>
        </w:rPr>
        <w:t>ی</w:t>
      </w:r>
      <w:r w:rsidRPr="0025250D">
        <w:rPr>
          <w:rtl/>
        </w:rPr>
        <w:t xml:space="preserve"> </w:t>
      </w:r>
      <w:r w:rsidR="00D92F6E" w:rsidRPr="0025250D">
        <w:rPr>
          <w:rtl/>
        </w:rPr>
        <w:t>آینده‌نگاری</w:t>
      </w:r>
      <w:r w:rsidRPr="0025250D">
        <w:rPr>
          <w:rtl/>
        </w:rPr>
        <w:t xml:space="preserve"> اجتماع</w:t>
      </w:r>
      <w:r w:rsidRPr="0025250D">
        <w:rPr>
          <w:rFonts w:hint="cs"/>
          <w:rtl/>
        </w:rPr>
        <w:t>ی</w:t>
      </w:r>
      <w:r w:rsidRPr="0025250D">
        <w:rPr>
          <w:rFonts w:hint="eastAsia"/>
          <w:rtl/>
        </w:rPr>
        <w:t>،</w:t>
      </w:r>
      <w:r w:rsidRPr="0025250D">
        <w:rPr>
          <w:rtl/>
        </w:rPr>
        <w:t xml:space="preserve"> جهان</w:t>
      </w:r>
      <w:r w:rsidRPr="0025250D">
        <w:rPr>
          <w:rFonts w:hint="cs"/>
          <w:rtl/>
        </w:rPr>
        <w:t>ی</w:t>
      </w:r>
      <w:r w:rsidRPr="0025250D">
        <w:rPr>
          <w:rtl/>
        </w:rPr>
        <w:t xml:space="preserve"> و </w:t>
      </w:r>
      <w:r w:rsidRPr="0025250D">
        <w:rPr>
          <w:rFonts w:hint="cs"/>
          <w:rtl/>
        </w:rPr>
        <w:t>فراگیر</w:t>
      </w:r>
      <w:r w:rsidRPr="0025250D">
        <w:rPr>
          <w:rtl/>
        </w:rPr>
        <w:t xml:space="preserve"> است که سه مورد آخر از شش حوزه </w:t>
      </w:r>
      <w:r w:rsidR="00D92F6E" w:rsidRPr="0025250D">
        <w:rPr>
          <w:rtl/>
        </w:rPr>
        <w:t>آینده‌نگاری</w:t>
      </w:r>
      <w:r w:rsidRPr="0025250D">
        <w:rPr>
          <w:rtl/>
        </w:rPr>
        <w:t xml:space="preserve"> هستند. </w:t>
      </w:r>
      <w:r w:rsidRPr="0025250D">
        <w:rPr>
          <w:rFonts w:hint="cs"/>
          <w:rtl/>
        </w:rPr>
        <w:t xml:space="preserve">همچنین </w:t>
      </w:r>
      <w:r w:rsidRPr="0025250D">
        <w:rPr>
          <w:rtl/>
        </w:rPr>
        <w:t>به پنج موضوع اضاف</w:t>
      </w:r>
      <w:r w:rsidRPr="0025250D">
        <w:rPr>
          <w:rFonts w:hint="cs"/>
          <w:rtl/>
        </w:rPr>
        <w:t>ی</w:t>
      </w:r>
      <w:r w:rsidRPr="0025250D">
        <w:rPr>
          <w:rtl/>
        </w:rPr>
        <w:t xml:space="preserve"> م</w:t>
      </w:r>
      <w:r w:rsidRPr="0025250D">
        <w:rPr>
          <w:rFonts w:hint="cs"/>
          <w:rtl/>
        </w:rPr>
        <w:t>ی‌</w:t>
      </w:r>
      <w:r w:rsidRPr="0025250D">
        <w:rPr>
          <w:rFonts w:hint="eastAsia"/>
          <w:rtl/>
        </w:rPr>
        <w:t>پردازد</w:t>
      </w:r>
      <w:r w:rsidRPr="0025250D">
        <w:rPr>
          <w:rtl/>
        </w:rPr>
        <w:t>:</w:t>
      </w:r>
    </w:p>
    <w:p w14:paraId="2917C5D1" w14:textId="7C326446" w:rsidR="002F186A" w:rsidRPr="0025250D" w:rsidRDefault="00D92F6E" w:rsidP="00492C47">
      <w:pPr>
        <w:numPr>
          <w:ilvl w:val="0"/>
          <w:numId w:val="73"/>
        </w:numPr>
        <w:rPr>
          <w:rtl/>
        </w:rPr>
      </w:pPr>
      <w:r w:rsidRPr="0025250D">
        <w:rPr>
          <w:rtl/>
        </w:rPr>
        <w:t>آینده‌نگاری</w:t>
      </w:r>
      <w:r w:rsidR="002F186A" w:rsidRPr="0025250D">
        <w:rPr>
          <w:rtl/>
        </w:rPr>
        <w:t xml:space="preserve"> </w:t>
      </w:r>
      <w:r w:rsidR="002F186A" w:rsidRPr="0025250D">
        <w:rPr>
          <w:rFonts w:hint="cs"/>
          <w:rtl/>
        </w:rPr>
        <w:t>نمایی</w:t>
      </w:r>
      <w:r w:rsidR="002F186A" w:rsidRPr="0025250D">
        <w:rPr>
          <w:rtl/>
        </w:rPr>
        <w:t xml:space="preserve"> (چگونه و چرا بخش ها</w:t>
      </w:r>
      <w:r w:rsidR="002F186A" w:rsidRPr="0025250D">
        <w:rPr>
          <w:rFonts w:hint="cs"/>
          <w:rtl/>
        </w:rPr>
        <w:t>یی</w:t>
      </w:r>
      <w:r w:rsidR="002F186A" w:rsidRPr="0025250D">
        <w:rPr>
          <w:rtl/>
        </w:rPr>
        <w:t xml:space="preserve"> از جهان ما هر سال سر</w:t>
      </w:r>
      <w:r w:rsidR="002F186A" w:rsidRPr="0025250D">
        <w:rPr>
          <w:rFonts w:hint="cs"/>
          <w:rtl/>
        </w:rPr>
        <w:t>ی</w:t>
      </w:r>
      <w:r w:rsidR="002F186A" w:rsidRPr="0025250D">
        <w:rPr>
          <w:rFonts w:hint="eastAsia"/>
          <w:rtl/>
        </w:rPr>
        <w:t>عتر</w:t>
      </w:r>
      <w:r w:rsidR="002F186A" w:rsidRPr="0025250D">
        <w:rPr>
          <w:rtl/>
        </w:rPr>
        <w:t xml:space="preserve"> رشد م</w:t>
      </w:r>
      <w:r w:rsidR="002F186A" w:rsidRPr="0025250D">
        <w:rPr>
          <w:rFonts w:hint="cs"/>
          <w:rtl/>
        </w:rPr>
        <w:t>ی</w:t>
      </w:r>
      <w:r w:rsidR="002F186A" w:rsidRPr="0025250D">
        <w:rPr>
          <w:rtl/>
        </w:rPr>
        <w:t xml:space="preserve"> کنند)</w:t>
      </w:r>
    </w:p>
    <w:p w14:paraId="100CB546" w14:textId="60B0A200" w:rsidR="002F186A" w:rsidRPr="0025250D" w:rsidRDefault="00D92F6E" w:rsidP="00492C47">
      <w:pPr>
        <w:numPr>
          <w:ilvl w:val="0"/>
          <w:numId w:val="73"/>
        </w:numPr>
        <w:rPr>
          <w:rtl/>
        </w:rPr>
      </w:pPr>
      <w:r w:rsidRPr="0025250D">
        <w:rPr>
          <w:rtl/>
        </w:rPr>
        <w:t>آینده‌نگاری</w:t>
      </w:r>
      <w:r w:rsidR="002F186A" w:rsidRPr="0025250D">
        <w:rPr>
          <w:rtl/>
        </w:rPr>
        <w:t xml:space="preserve"> </w:t>
      </w:r>
      <w:r w:rsidR="002F186A" w:rsidRPr="0025250D">
        <w:rPr>
          <w:rFonts w:hint="cs"/>
          <w:rtl/>
        </w:rPr>
        <w:t>تکاملی-توسعه ای</w:t>
      </w:r>
      <w:r w:rsidR="002F186A" w:rsidRPr="0025250D">
        <w:rPr>
          <w:rtl/>
        </w:rPr>
        <w:t xml:space="preserve"> (چه چ</w:t>
      </w:r>
      <w:r w:rsidR="002F186A" w:rsidRPr="0025250D">
        <w:rPr>
          <w:rFonts w:hint="cs"/>
          <w:rtl/>
        </w:rPr>
        <w:t>ی</w:t>
      </w:r>
      <w:r w:rsidR="002F186A" w:rsidRPr="0025250D">
        <w:rPr>
          <w:rFonts w:hint="eastAsia"/>
          <w:rtl/>
        </w:rPr>
        <w:t>ز</w:t>
      </w:r>
      <w:r w:rsidR="002F186A" w:rsidRPr="0025250D">
        <w:rPr>
          <w:rFonts w:hint="cs"/>
          <w:rtl/>
        </w:rPr>
        <w:t>ی</w:t>
      </w:r>
      <w:r w:rsidR="002F186A" w:rsidRPr="0025250D">
        <w:rPr>
          <w:rtl/>
        </w:rPr>
        <w:t xml:space="preserve"> قابل </w:t>
      </w:r>
      <w:r w:rsidRPr="0025250D">
        <w:rPr>
          <w:rtl/>
        </w:rPr>
        <w:t>پیش‌بین</w:t>
      </w:r>
      <w:r w:rsidR="002F186A" w:rsidRPr="0025250D">
        <w:rPr>
          <w:rFonts w:hint="cs"/>
          <w:rtl/>
        </w:rPr>
        <w:t>ی</w:t>
      </w:r>
      <w:r w:rsidR="002F186A" w:rsidRPr="0025250D">
        <w:rPr>
          <w:rtl/>
        </w:rPr>
        <w:t xml:space="preserve"> است، چه چ</w:t>
      </w:r>
      <w:r w:rsidR="002F186A" w:rsidRPr="0025250D">
        <w:rPr>
          <w:rFonts w:hint="cs"/>
          <w:rtl/>
        </w:rPr>
        <w:t>ی</w:t>
      </w:r>
      <w:r w:rsidR="002F186A" w:rsidRPr="0025250D">
        <w:rPr>
          <w:rFonts w:hint="eastAsia"/>
          <w:rtl/>
        </w:rPr>
        <w:t>ز</w:t>
      </w:r>
      <w:r w:rsidR="002F186A" w:rsidRPr="0025250D">
        <w:rPr>
          <w:rFonts w:hint="cs"/>
          <w:rtl/>
        </w:rPr>
        <w:t>ی</w:t>
      </w:r>
      <w:r w:rsidR="002F186A" w:rsidRPr="0025250D">
        <w:rPr>
          <w:rtl/>
        </w:rPr>
        <w:t xml:space="preserve"> ن</w:t>
      </w:r>
      <w:r w:rsidR="002F186A" w:rsidRPr="0025250D">
        <w:rPr>
          <w:rFonts w:hint="cs"/>
          <w:rtl/>
        </w:rPr>
        <w:t>ی</w:t>
      </w:r>
      <w:r w:rsidR="002F186A" w:rsidRPr="0025250D">
        <w:rPr>
          <w:rFonts w:hint="eastAsia"/>
          <w:rtl/>
        </w:rPr>
        <w:t>ست</w:t>
      </w:r>
      <w:r w:rsidR="002F186A" w:rsidRPr="0025250D">
        <w:rPr>
          <w:rtl/>
        </w:rPr>
        <w:t xml:space="preserve"> و چه چ</w:t>
      </w:r>
      <w:r w:rsidR="002F186A" w:rsidRPr="0025250D">
        <w:rPr>
          <w:rFonts w:hint="cs"/>
          <w:rtl/>
        </w:rPr>
        <w:t>ی</w:t>
      </w:r>
      <w:r w:rsidR="002F186A" w:rsidRPr="0025250D">
        <w:rPr>
          <w:rFonts w:hint="eastAsia"/>
          <w:rtl/>
        </w:rPr>
        <w:t>ز</w:t>
      </w:r>
      <w:r w:rsidR="002F186A" w:rsidRPr="0025250D">
        <w:rPr>
          <w:rFonts w:hint="cs"/>
          <w:rtl/>
        </w:rPr>
        <w:t>ی</w:t>
      </w:r>
      <w:r w:rsidR="002F186A" w:rsidRPr="0025250D">
        <w:rPr>
          <w:rtl/>
        </w:rPr>
        <w:t xml:space="preserve"> </w:t>
      </w:r>
      <w:r w:rsidR="00B124DE" w:rsidRPr="0025250D">
        <w:rPr>
          <w:rFonts w:hint="cs"/>
          <w:rtl/>
        </w:rPr>
        <w:t>انطباق‌پذیر</w:t>
      </w:r>
      <w:r w:rsidR="002F186A" w:rsidRPr="0025250D">
        <w:rPr>
          <w:rtl/>
        </w:rPr>
        <w:t xml:space="preserve"> است)</w:t>
      </w:r>
    </w:p>
    <w:p w14:paraId="529309CF" w14:textId="0AF78702" w:rsidR="002F186A" w:rsidRPr="0025250D" w:rsidRDefault="00D92F6E" w:rsidP="00492C47">
      <w:pPr>
        <w:numPr>
          <w:ilvl w:val="0"/>
          <w:numId w:val="73"/>
        </w:numPr>
        <w:rPr>
          <w:rtl/>
        </w:rPr>
      </w:pPr>
      <w:r w:rsidRPr="0025250D">
        <w:rPr>
          <w:rtl/>
        </w:rPr>
        <w:t>آینده‌نگاری</w:t>
      </w:r>
      <w:r w:rsidR="002F186A" w:rsidRPr="0025250D">
        <w:rPr>
          <w:rtl/>
        </w:rPr>
        <w:t xml:space="preserve"> اجتماع</w:t>
      </w:r>
      <w:r w:rsidR="002F186A" w:rsidRPr="0025250D">
        <w:rPr>
          <w:rFonts w:hint="cs"/>
          <w:rtl/>
        </w:rPr>
        <w:t>ی</w:t>
      </w:r>
      <w:r w:rsidR="002F186A" w:rsidRPr="0025250D">
        <w:rPr>
          <w:rtl/>
        </w:rPr>
        <w:t xml:space="preserve"> (جوامع </w:t>
      </w:r>
      <w:r w:rsidR="00B124DE" w:rsidRPr="0025250D">
        <w:rPr>
          <w:rFonts w:hint="cs"/>
          <w:rtl/>
        </w:rPr>
        <w:t>انطباق‌پذیر</w:t>
      </w:r>
      <w:r w:rsidR="002F186A" w:rsidRPr="0025250D">
        <w:rPr>
          <w:rtl/>
        </w:rPr>
        <w:t xml:space="preserve"> در دن</w:t>
      </w:r>
      <w:r w:rsidR="002F186A" w:rsidRPr="0025250D">
        <w:rPr>
          <w:rFonts w:hint="cs"/>
          <w:rtl/>
        </w:rPr>
        <w:t>ی</w:t>
      </w:r>
      <w:r w:rsidR="002F186A" w:rsidRPr="0025250D">
        <w:rPr>
          <w:rFonts w:hint="eastAsia"/>
          <w:rtl/>
        </w:rPr>
        <w:t>ا</w:t>
      </w:r>
      <w:r w:rsidR="002F186A" w:rsidRPr="0025250D">
        <w:rPr>
          <w:rFonts w:hint="cs"/>
          <w:rtl/>
        </w:rPr>
        <w:t>ی</w:t>
      </w:r>
      <w:r w:rsidR="002F186A" w:rsidRPr="0025250D">
        <w:rPr>
          <w:rtl/>
        </w:rPr>
        <w:t xml:space="preserve"> تغ</w:t>
      </w:r>
      <w:r w:rsidR="002F186A" w:rsidRPr="0025250D">
        <w:rPr>
          <w:rFonts w:hint="cs"/>
          <w:rtl/>
        </w:rPr>
        <w:t>یی</w:t>
      </w:r>
      <w:r w:rsidR="002F186A" w:rsidRPr="0025250D">
        <w:rPr>
          <w:rFonts w:hint="eastAsia"/>
          <w:rtl/>
        </w:rPr>
        <w:t>رات</w:t>
      </w:r>
      <w:r w:rsidR="002F186A" w:rsidRPr="0025250D">
        <w:rPr>
          <w:rtl/>
        </w:rPr>
        <w:t xml:space="preserve"> شتابان)</w:t>
      </w:r>
    </w:p>
    <w:p w14:paraId="6DEC19B2" w14:textId="320F3262" w:rsidR="002F186A" w:rsidRPr="0025250D" w:rsidRDefault="00D92F6E" w:rsidP="00492C47">
      <w:pPr>
        <w:numPr>
          <w:ilvl w:val="0"/>
          <w:numId w:val="73"/>
        </w:numPr>
        <w:rPr>
          <w:rtl/>
        </w:rPr>
      </w:pPr>
      <w:r w:rsidRPr="0025250D">
        <w:rPr>
          <w:rtl/>
        </w:rPr>
        <w:t>آینده‌نگاری</w:t>
      </w:r>
      <w:r w:rsidR="002F186A" w:rsidRPr="0025250D">
        <w:rPr>
          <w:rtl/>
        </w:rPr>
        <w:t xml:space="preserve"> جهان</w:t>
      </w:r>
      <w:r w:rsidR="002F186A" w:rsidRPr="0025250D">
        <w:rPr>
          <w:rFonts w:hint="cs"/>
          <w:rtl/>
        </w:rPr>
        <w:t>ی</w:t>
      </w:r>
      <w:r w:rsidR="002F186A" w:rsidRPr="0025250D">
        <w:rPr>
          <w:rtl/>
        </w:rPr>
        <w:t xml:space="preserve"> (تمدن جهان</w:t>
      </w:r>
      <w:r w:rsidR="002F186A" w:rsidRPr="0025250D">
        <w:rPr>
          <w:rFonts w:hint="cs"/>
          <w:rtl/>
        </w:rPr>
        <w:t>ی</w:t>
      </w:r>
      <w:r w:rsidR="002F186A" w:rsidRPr="0025250D">
        <w:rPr>
          <w:rtl/>
        </w:rPr>
        <w:t xml:space="preserve"> به طور فزا</w:t>
      </w:r>
      <w:r w:rsidR="002F186A" w:rsidRPr="0025250D">
        <w:rPr>
          <w:rFonts w:hint="cs"/>
          <w:rtl/>
        </w:rPr>
        <w:t>ی</w:t>
      </w:r>
      <w:r w:rsidR="002F186A" w:rsidRPr="0025250D">
        <w:rPr>
          <w:rFonts w:hint="eastAsia"/>
          <w:rtl/>
        </w:rPr>
        <w:t>نده</w:t>
      </w:r>
      <w:r w:rsidR="002F186A" w:rsidRPr="0025250D">
        <w:rPr>
          <w:rtl/>
        </w:rPr>
        <w:t xml:space="preserve"> </w:t>
      </w:r>
      <w:r w:rsidR="002F186A" w:rsidRPr="0025250D">
        <w:rPr>
          <w:rFonts w:hint="cs"/>
          <w:rtl/>
        </w:rPr>
        <w:t>ی</w:t>
      </w:r>
      <w:r w:rsidR="002F186A" w:rsidRPr="0025250D">
        <w:rPr>
          <w:rFonts w:hint="eastAsia"/>
          <w:rtl/>
        </w:rPr>
        <w:t>کپارچه</w:t>
      </w:r>
      <w:r w:rsidR="002F186A" w:rsidRPr="0025250D">
        <w:rPr>
          <w:rtl/>
        </w:rPr>
        <w:t xml:space="preserve"> ما)</w:t>
      </w:r>
    </w:p>
    <w:p w14:paraId="15A2B728" w14:textId="4B320FF1" w:rsidR="002F186A" w:rsidRPr="0025250D" w:rsidRDefault="002F186A" w:rsidP="00492C47">
      <w:pPr>
        <w:numPr>
          <w:ilvl w:val="0"/>
          <w:numId w:val="73"/>
        </w:numPr>
        <w:rPr>
          <w:rtl/>
        </w:rPr>
      </w:pPr>
      <w:r w:rsidRPr="0025250D">
        <w:rPr>
          <w:rtl/>
        </w:rPr>
        <w:t>آ</w:t>
      </w:r>
      <w:r w:rsidRPr="0025250D">
        <w:rPr>
          <w:rFonts w:hint="cs"/>
          <w:rtl/>
        </w:rPr>
        <w:t>ی</w:t>
      </w:r>
      <w:r w:rsidRPr="0025250D">
        <w:rPr>
          <w:rFonts w:hint="eastAsia"/>
          <w:rtl/>
        </w:rPr>
        <w:t>نده‌نگار</w:t>
      </w:r>
      <w:r w:rsidRPr="0025250D">
        <w:rPr>
          <w:rFonts w:hint="cs"/>
          <w:rtl/>
        </w:rPr>
        <w:t>ی</w:t>
      </w:r>
      <w:r w:rsidRPr="0025250D">
        <w:rPr>
          <w:rtl/>
        </w:rPr>
        <w:t xml:space="preserve"> </w:t>
      </w:r>
      <w:r w:rsidRPr="0025250D">
        <w:rPr>
          <w:rFonts w:hint="cs"/>
          <w:rtl/>
        </w:rPr>
        <w:t>فراگیر</w:t>
      </w:r>
      <w:r w:rsidRPr="0025250D">
        <w:rPr>
          <w:rtl/>
        </w:rPr>
        <w:t xml:space="preserve"> (نظر</w:t>
      </w:r>
      <w:r w:rsidRPr="0025250D">
        <w:rPr>
          <w:rFonts w:hint="cs"/>
          <w:rtl/>
        </w:rPr>
        <w:t>ی</w:t>
      </w:r>
      <w:r w:rsidRPr="0025250D">
        <w:rPr>
          <w:rFonts w:hint="eastAsia"/>
          <w:rtl/>
        </w:rPr>
        <w:t>ه‌ها</w:t>
      </w:r>
      <w:r w:rsidRPr="0025250D">
        <w:rPr>
          <w:rFonts w:hint="cs"/>
          <w:rtl/>
        </w:rPr>
        <w:t>ی</w:t>
      </w:r>
      <w:r w:rsidRPr="0025250D">
        <w:rPr>
          <w:rtl/>
        </w:rPr>
        <w:t xml:space="preserve"> علم و </w:t>
      </w:r>
      <w:r w:rsidR="008D6F97" w:rsidRPr="0025250D">
        <w:rPr>
          <w:rtl/>
        </w:rPr>
        <w:t>سامانه‌</w:t>
      </w:r>
      <w:r w:rsidRPr="0025250D">
        <w:rPr>
          <w:rFonts w:hint="eastAsia"/>
          <w:rtl/>
        </w:rPr>
        <w:t>‌ها</w:t>
      </w:r>
      <w:r w:rsidRPr="0025250D">
        <w:rPr>
          <w:rFonts w:hint="cs"/>
          <w:rtl/>
        </w:rPr>
        <w:t>ی</w:t>
      </w:r>
      <w:r w:rsidRPr="0025250D">
        <w:rPr>
          <w:rtl/>
        </w:rPr>
        <w:t xml:space="preserve"> پ</w:t>
      </w:r>
      <w:r w:rsidRPr="0025250D">
        <w:rPr>
          <w:rFonts w:hint="cs"/>
          <w:rtl/>
        </w:rPr>
        <w:t>ی</w:t>
      </w:r>
      <w:r w:rsidRPr="0025250D">
        <w:rPr>
          <w:rFonts w:hint="eastAsia"/>
          <w:rtl/>
        </w:rPr>
        <w:t>چ</w:t>
      </w:r>
      <w:r w:rsidRPr="0025250D">
        <w:rPr>
          <w:rFonts w:hint="cs"/>
          <w:rtl/>
        </w:rPr>
        <w:t>ی</w:t>
      </w:r>
      <w:r w:rsidRPr="0025250D">
        <w:rPr>
          <w:rFonts w:hint="eastAsia"/>
          <w:rtl/>
        </w:rPr>
        <w:t>دگ</w:t>
      </w:r>
      <w:r w:rsidRPr="0025250D">
        <w:rPr>
          <w:rFonts w:hint="cs"/>
          <w:rtl/>
        </w:rPr>
        <w:t>ی</w:t>
      </w:r>
      <w:r w:rsidRPr="0025250D">
        <w:rPr>
          <w:rtl/>
        </w:rPr>
        <w:t xml:space="preserve"> و تغ</w:t>
      </w:r>
      <w:r w:rsidRPr="0025250D">
        <w:rPr>
          <w:rFonts w:hint="cs"/>
          <w:rtl/>
        </w:rPr>
        <w:t>یی</w:t>
      </w:r>
      <w:r w:rsidRPr="0025250D">
        <w:rPr>
          <w:rFonts w:hint="eastAsia"/>
          <w:rtl/>
        </w:rPr>
        <w:t>ر</w:t>
      </w:r>
      <w:r w:rsidRPr="0025250D">
        <w:rPr>
          <w:rtl/>
        </w:rPr>
        <w:t>)</w:t>
      </w:r>
    </w:p>
    <w:p w14:paraId="12344521" w14:textId="1E5925D1" w:rsidR="00E26538" w:rsidRPr="0025250D" w:rsidRDefault="002F186A" w:rsidP="002F186A">
      <w:pPr>
        <w:rPr>
          <w:rtl/>
        </w:rPr>
      </w:pPr>
      <w:r w:rsidRPr="0025250D">
        <w:rPr>
          <w:rtl/>
        </w:rPr>
        <w:t>ا</w:t>
      </w:r>
      <w:r w:rsidRPr="0025250D">
        <w:rPr>
          <w:rFonts w:hint="cs"/>
          <w:rtl/>
        </w:rPr>
        <w:t>ی</w:t>
      </w:r>
      <w:r w:rsidRPr="0025250D">
        <w:rPr>
          <w:rFonts w:hint="eastAsia"/>
          <w:rtl/>
        </w:rPr>
        <w:t>ن</w:t>
      </w:r>
      <w:r w:rsidRPr="0025250D">
        <w:rPr>
          <w:rtl/>
        </w:rPr>
        <w:t xml:space="preserve"> ده </w:t>
      </w:r>
      <w:r w:rsidRPr="0025250D">
        <w:rPr>
          <w:rFonts w:hint="cs"/>
          <w:rtl/>
        </w:rPr>
        <w:t>مضمون</w:t>
      </w:r>
      <w:r w:rsidRPr="0025250D">
        <w:rPr>
          <w:rtl/>
        </w:rPr>
        <w:t xml:space="preserve"> با هم نسخه فعل</w:t>
      </w:r>
      <w:r w:rsidRPr="0025250D">
        <w:rPr>
          <w:rFonts w:hint="cs"/>
          <w:rtl/>
        </w:rPr>
        <w:t>ی</w:t>
      </w:r>
      <w:r w:rsidRPr="0025250D">
        <w:rPr>
          <w:rtl/>
        </w:rPr>
        <w:t xml:space="preserve"> </w:t>
      </w:r>
      <w:r w:rsidRPr="0025250D">
        <w:t>4U</w:t>
      </w:r>
      <w:r w:rsidRPr="0025250D">
        <w:rPr>
          <w:rtl/>
        </w:rPr>
        <w:t xml:space="preserve"> از آ</w:t>
      </w:r>
      <w:r w:rsidRPr="0025250D">
        <w:rPr>
          <w:rFonts w:hint="cs"/>
          <w:rtl/>
        </w:rPr>
        <w:t>ی</w:t>
      </w:r>
      <w:r w:rsidRPr="0025250D">
        <w:rPr>
          <w:rFonts w:hint="eastAsia"/>
          <w:rtl/>
        </w:rPr>
        <w:t>نده‌نگار</w:t>
      </w:r>
      <w:r w:rsidRPr="0025250D">
        <w:rPr>
          <w:rFonts w:hint="cs"/>
          <w:rtl/>
        </w:rPr>
        <w:t>ی</w:t>
      </w:r>
      <w:r w:rsidRPr="0025250D">
        <w:rPr>
          <w:rtl/>
        </w:rPr>
        <w:t xml:space="preserve"> جامع (ط</w:t>
      </w:r>
      <w:r w:rsidRPr="0025250D">
        <w:rPr>
          <w:rFonts w:hint="cs"/>
          <w:rtl/>
        </w:rPr>
        <w:t>ی</w:t>
      </w:r>
      <w:r w:rsidRPr="0025250D">
        <w:rPr>
          <w:rFonts w:hint="eastAsia"/>
          <w:rtl/>
        </w:rPr>
        <w:t>ف</w:t>
      </w:r>
      <w:r w:rsidRPr="0025250D">
        <w:rPr>
          <w:rFonts w:hint="cs"/>
          <w:rtl/>
        </w:rPr>
        <w:t xml:space="preserve"> کامل</w:t>
      </w:r>
      <w:r w:rsidRPr="0025250D">
        <w:rPr>
          <w:rtl/>
        </w:rPr>
        <w:t>) هستند.</w:t>
      </w:r>
    </w:p>
    <w:p w14:paraId="7CE7E77A" w14:textId="77777777" w:rsidR="00E26538" w:rsidRPr="0025250D" w:rsidRDefault="00E26538" w:rsidP="00537CC8">
      <w:pPr>
        <w:rPr>
          <w:rtl/>
        </w:rPr>
      </w:pPr>
    </w:p>
    <w:p w14:paraId="6DB8911D" w14:textId="77777777" w:rsidR="00E26538" w:rsidRPr="0025250D" w:rsidRDefault="00E26538" w:rsidP="00537CC8">
      <w:pPr>
        <w:rPr>
          <w:rtl/>
        </w:rPr>
      </w:pPr>
    </w:p>
    <w:p w14:paraId="1A2BB1AF" w14:textId="7A4CC1ED" w:rsidR="00537CC8" w:rsidRPr="0025250D" w:rsidRDefault="00537CC8" w:rsidP="002F186A">
      <w:pPr>
        <w:pStyle w:val="Heading2"/>
        <w:rPr>
          <w:rtl/>
        </w:rPr>
      </w:pPr>
      <w:bookmarkStart w:id="89" w:name="_Toc127831354"/>
      <w:r w:rsidRPr="0025250D">
        <w:rPr>
          <w:rtl/>
        </w:rPr>
        <w:t xml:space="preserve">کتاب‌های آینده‌نگاری </w:t>
      </w:r>
      <w:r w:rsidRPr="0025250D">
        <w:rPr>
          <w:rFonts w:ascii="Times New Roman" w:hAnsi="Times New Roman" w:cs="Times New Roman" w:hint="cs"/>
          <w:rtl/>
        </w:rPr>
        <w:t>–</w:t>
      </w:r>
      <w:r w:rsidRPr="0025250D">
        <w:rPr>
          <w:rtl/>
        </w:rPr>
        <w:t xml:space="preserve"> </w:t>
      </w:r>
      <w:r w:rsidRPr="0025250D">
        <w:rPr>
          <w:rFonts w:hint="cs"/>
          <w:rtl/>
        </w:rPr>
        <w:t>برخی</w:t>
      </w:r>
      <w:r w:rsidRPr="0025250D">
        <w:rPr>
          <w:rtl/>
        </w:rPr>
        <w:t xml:space="preserve"> از فهرست‌های با ارزش بالا</w:t>
      </w:r>
      <w:bookmarkEnd w:id="89"/>
    </w:p>
    <w:p w14:paraId="194C4165" w14:textId="7FA6D7FE" w:rsidR="00537CC8" w:rsidRPr="0025250D" w:rsidRDefault="00537CC8" w:rsidP="00537CC8">
      <w:pPr>
        <w:rPr>
          <w:rtl/>
        </w:rPr>
      </w:pPr>
    </w:p>
    <w:p w14:paraId="68EFF30A" w14:textId="276B88D7" w:rsidR="00A011F5" w:rsidRPr="0025250D" w:rsidRDefault="00A011F5" w:rsidP="00A011F5">
      <w:pPr>
        <w:rPr>
          <w:rtl/>
        </w:rPr>
      </w:pPr>
      <w:r w:rsidRPr="0025250D">
        <w:rPr>
          <w:rtl/>
        </w:rPr>
        <w:t>ما کتاب‌ها</w:t>
      </w:r>
      <w:r w:rsidRPr="0025250D">
        <w:rPr>
          <w:rFonts w:hint="cs"/>
          <w:rtl/>
        </w:rPr>
        <w:t>ی</w:t>
      </w:r>
      <w:r w:rsidRPr="0025250D">
        <w:rPr>
          <w:rtl/>
        </w:rPr>
        <w:t xml:space="preserve"> ز</w:t>
      </w:r>
      <w:r w:rsidRPr="0025250D">
        <w:rPr>
          <w:rFonts w:hint="cs"/>
          <w:rtl/>
        </w:rPr>
        <w:t>ی</w:t>
      </w:r>
      <w:r w:rsidRPr="0025250D">
        <w:rPr>
          <w:rFonts w:hint="eastAsia"/>
          <w:rtl/>
        </w:rPr>
        <w:t>ر</w:t>
      </w:r>
      <w:r w:rsidRPr="0025250D">
        <w:rPr>
          <w:rtl/>
        </w:rPr>
        <w:t xml:space="preserve"> را برا</w:t>
      </w:r>
      <w:r w:rsidRPr="0025250D">
        <w:rPr>
          <w:rFonts w:hint="cs"/>
          <w:rtl/>
        </w:rPr>
        <w:t>ی</w:t>
      </w:r>
      <w:r w:rsidRPr="0025250D">
        <w:rPr>
          <w:rtl/>
        </w:rPr>
        <w:t xml:space="preserve"> رهبران</w:t>
      </w:r>
      <w:r w:rsidRPr="0025250D">
        <w:rPr>
          <w:rFonts w:hint="cs"/>
          <w:rtl/>
        </w:rPr>
        <w:t>ی</w:t>
      </w:r>
      <w:r w:rsidRPr="0025250D">
        <w:rPr>
          <w:rtl/>
        </w:rPr>
        <w:t xml:space="preserve"> توص</w:t>
      </w:r>
      <w:r w:rsidRPr="0025250D">
        <w:rPr>
          <w:rFonts w:hint="cs"/>
          <w:rtl/>
        </w:rPr>
        <w:t>ی</w:t>
      </w:r>
      <w:r w:rsidRPr="0025250D">
        <w:rPr>
          <w:rFonts w:hint="eastAsia"/>
          <w:rtl/>
        </w:rPr>
        <w:t>ه</w:t>
      </w:r>
      <w:r w:rsidRPr="0025250D">
        <w:rPr>
          <w:rtl/>
        </w:rPr>
        <w:t xml:space="preserve"> م</w:t>
      </w:r>
      <w:r w:rsidRPr="0025250D">
        <w:rPr>
          <w:rFonts w:hint="cs"/>
          <w:rtl/>
        </w:rPr>
        <w:t>ی‌</w:t>
      </w:r>
      <w:r w:rsidRPr="0025250D">
        <w:rPr>
          <w:rFonts w:hint="eastAsia"/>
          <w:rtl/>
        </w:rPr>
        <w:t>کن</w:t>
      </w:r>
      <w:r w:rsidRPr="0025250D">
        <w:rPr>
          <w:rFonts w:hint="cs"/>
          <w:rtl/>
        </w:rPr>
        <w:t>ی</w:t>
      </w:r>
      <w:r w:rsidRPr="0025250D">
        <w:rPr>
          <w:rFonts w:hint="eastAsia"/>
          <w:rtl/>
        </w:rPr>
        <w:t>م</w:t>
      </w:r>
      <w:r w:rsidRPr="0025250D">
        <w:rPr>
          <w:rtl/>
        </w:rPr>
        <w:t xml:space="preserve"> که با</w:t>
      </w:r>
      <w:r w:rsidRPr="0025250D">
        <w:rPr>
          <w:rFonts w:hint="cs"/>
          <w:rtl/>
        </w:rPr>
        <w:t>ی</w:t>
      </w:r>
      <w:r w:rsidRPr="0025250D">
        <w:rPr>
          <w:rFonts w:hint="eastAsia"/>
          <w:rtl/>
        </w:rPr>
        <w:t>د</w:t>
      </w:r>
      <w:r w:rsidRPr="0025250D">
        <w:rPr>
          <w:rtl/>
        </w:rPr>
        <w:t xml:space="preserve"> فرآ</w:t>
      </w:r>
      <w:r w:rsidRPr="0025250D">
        <w:rPr>
          <w:rFonts w:hint="cs"/>
          <w:rtl/>
        </w:rPr>
        <w:t>ی</w:t>
      </w:r>
      <w:r w:rsidRPr="0025250D">
        <w:rPr>
          <w:rFonts w:hint="eastAsia"/>
          <w:rtl/>
        </w:rPr>
        <w:t>ند</w:t>
      </w:r>
      <w:r w:rsidRPr="0025250D">
        <w:rPr>
          <w:rtl/>
        </w:rPr>
        <w:t xml:space="preserve">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و فرهنگ سازمان‌شان را بهبود بخشند و ت</w:t>
      </w:r>
      <w:r w:rsidRPr="0025250D">
        <w:rPr>
          <w:rFonts w:hint="cs"/>
          <w:rtl/>
        </w:rPr>
        <w:t>ی</w:t>
      </w:r>
      <w:r w:rsidRPr="0025250D">
        <w:rPr>
          <w:rFonts w:hint="eastAsia"/>
          <w:rtl/>
        </w:rPr>
        <w:t>م‌ها</w:t>
      </w:r>
      <w:r w:rsidRPr="0025250D">
        <w:rPr>
          <w:rFonts w:hint="cs"/>
          <w:rtl/>
        </w:rPr>
        <w:t>ی</w:t>
      </w:r>
      <w:r w:rsidRPr="0025250D">
        <w:rPr>
          <w:rtl/>
        </w:rPr>
        <w:t xml:space="preserve"> خود را برا</w:t>
      </w:r>
      <w:r w:rsidRPr="0025250D">
        <w:rPr>
          <w:rFonts w:hint="cs"/>
          <w:rtl/>
        </w:rPr>
        <w:t>ی</w:t>
      </w:r>
      <w:r w:rsidRPr="0025250D">
        <w:rPr>
          <w:rtl/>
        </w:rPr>
        <w:t xml:space="preserve"> ا</w:t>
      </w:r>
      <w:r w:rsidRPr="0025250D">
        <w:rPr>
          <w:rFonts w:hint="cs"/>
          <w:rtl/>
        </w:rPr>
        <w:t>ی</w:t>
      </w:r>
      <w:r w:rsidRPr="0025250D">
        <w:rPr>
          <w:rFonts w:hint="eastAsia"/>
          <w:rtl/>
        </w:rPr>
        <w:t>جاد</w:t>
      </w:r>
      <w:r w:rsidRPr="0025250D">
        <w:rPr>
          <w:rtl/>
        </w:rPr>
        <w:t xml:space="preserve"> چشم‌اندازها</w:t>
      </w:r>
      <w:r w:rsidRPr="0025250D">
        <w:rPr>
          <w:rFonts w:hint="cs"/>
          <w:rtl/>
        </w:rPr>
        <w:t>ی</w:t>
      </w:r>
      <w:r w:rsidRPr="0025250D">
        <w:rPr>
          <w:rtl/>
        </w:rPr>
        <w:t xml:space="preserve"> آ</w:t>
      </w:r>
      <w:r w:rsidRPr="0025250D">
        <w:rPr>
          <w:rFonts w:hint="cs"/>
          <w:rtl/>
        </w:rPr>
        <w:t>ی</w:t>
      </w:r>
      <w:r w:rsidRPr="0025250D">
        <w:rPr>
          <w:rFonts w:hint="eastAsia"/>
          <w:rtl/>
        </w:rPr>
        <w:t>نده</w:t>
      </w:r>
      <w:r w:rsidRPr="0025250D">
        <w:rPr>
          <w:rtl/>
        </w:rPr>
        <w:t xml:space="preserve"> بهتر و اهداف و </w:t>
      </w:r>
      <w:r w:rsidR="00701E03" w:rsidRPr="0025250D">
        <w:rPr>
          <w:rtl/>
        </w:rPr>
        <w:t>راهبرد</w:t>
      </w:r>
      <w:r w:rsidRPr="0025250D">
        <w:rPr>
          <w:rtl/>
        </w:rPr>
        <w:t xml:space="preserve"> مؤثرتر تشو</w:t>
      </w:r>
      <w:r w:rsidRPr="0025250D">
        <w:rPr>
          <w:rFonts w:hint="cs"/>
          <w:rtl/>
        </w:rPr>
        <w:t>ی</w:t>
      </w:r>
      <w:r w:rsidRPr="0025250D">
        <w:rPr>
          <w:rFonts w:hint="eastAsia"/>
          <w:rtl/>
        </w:rPr>
        <w:t>ق</w:t>
      </w:r>
      <w:r w:rsidRPr="0025250D">
        <w:rPr>
          <w:rtl/>
        </w:rPr>
        <w:t xml:space="preserve"> کنند.</w:t>
      </w:r>
      <w:r w:rsidRPr="0025250D">
        <w:rPr>
          <w:rFonts w:hint="cs"/>
          <w:rtl/>
        </w:rPr>
        <w:t xml:space="preserve"> </w:t>
      </w:r>
      <w:r w:rsidRPr="0025250D">
        <w:rPr>
          <w:rtl/>
        </w:rPr>
        <w:t>ما همچن</w:t>
      </w:r>
      <w:r w:rsidRPr="0025250D">
        <w:rPr>
          <w:rFonts w:hint="cs"/>
          <w:rtl/>
        </w:rPr>
        <w:t>ی</w:t>
      </w:r>
      <w:r w:rsidRPr="0025250D">
        <w:rPr>
          <w:rFonts w:hint="eastAsia"/>
          <w:rtl/>
        </w:rPr>
        <w:t>ن</w:t>
      </w:r>
      <w:r w:rsidRPr="0025250D">
        <w:rPr>
          <w:rtl/>
        </w:rPr>
        <w:t xml:space="preserve"> آنها را برا</w:t>
      </w:r>
      <w:r w:rsidRPr="0025250D">
        <w:rPr>
          <w:rFonts w:hint="cs"/>
          <w:rtl/>
        </w:rPr>
        <w:t>ی</w:t>
      </w:r>
      <w:r w:rsidRPr="0025250D">
        <w:rPr>
          <w:rtl/>
        </w:rPr>
        <w:t xml:space="preserve"> دانش</w:t>
      </w:r>
      <w:r w:rsidRPr="0025250D">
        <w:rPr>
          <w:rFonts w:hint="cs"/>
          <w:rtl/>
        </w:rPr>
        <w:t>جویان</w:t>
      </w:r>
      <w:r w:rsidRPr="0025250D">
        <w:rPr>
          <w:rtl/>
        </w:rPr>
        <w:t xml:space="preserve">، خواه خودآموز </w:t>
      </w:r>
      <w:r w:rsidRPr="0025250D">
        <w:rPr>
          <w:rFonts w:hint="cs"/>
          <w:rtl/>
        </w:rPr>
        <w:t>ی</w:t>
      </w:r>
      <w:r w:rsidRPr="0025250D">
        <w:rPr>
          <w:rFonts w:hint="eastAsia"/>
          <w:rtl/>
        </w:rPr>
        <w:t>ا</w:t>
      </w:r>
      <w:r w:rsidRPr="0025250D">
        <w:rPr>
          <w:rtl/>
        </w:rPr>
        <w:t xml:space="preserve"> </w:t>
      </w:r>
      <w:r w:rsidRPr="0025250D">
        <w:rPr>
          <w:rFonts w:hint="cs"/>
          <w:rtl/>
        </w:rPr>
        <w:t xml:space="preserve">کسانی که </w:t>
      </w:r>
      <w:r w:rsidRPr="0025250D">
        <w:rPr>
          <w:rtl/>
        </w:rPr>
        <w:t>در هر برنامه‌ا</w:t>
      </w:r>
      <w:r w:rsidRPr="0025250D">
        <w:rPr>
          <w:rFonts w:hint="cs"/>
          <w:rtl/>
        </w:rPr>
        <w:t xml:space="preserve">ی </w:t>
      </w:r>
      <w:r w:rsidRPr="0025250D">
        <w:rPr>
          <w:rtl/>
        </w:rPr>
        <w:t xml:space="preserve">ثبت‌نام </w:t>
      </w:r>
      <w:r w:rsidR="007118DE" w:rsidRPr="0025250D">
        <w:rPr>
          <w:rFonts w:hint="cs"/>
          <w:rtl/>
        </w:rPr>
        <w:t>کرده‌اند</w:t>
      </w:r>
      <w:r w:rsidRPr="0025250D">
        <w:rPr>
          <w:rFonts w:hint="eastAsia"/>
          <w:rtl/>
        </w:rPr>
        <w:t>،</w:t>
      </w:r>
      <w:r w:rsidRPr="0025250D">
        <w:rPr>
          <w:rtl/>
        </w:rPr>
        <w:t xml:space="preserve"> برا</w:t>
      </w:r>
      <w:r w:rsidRPr="0025250D">
        <w:rPr>
          <w:rFonts w:hint="cs"/>
          <w:rtl/>
        </w:rPr>
        <w:t>ی</w:t>
      </w:r>
      <w:r w:rsidRPr="0025250D">
        <w:rPr>
          <w:rtl/>
        </w:rPr>
        <w:t xml:space="preserve"> آ</w:t>
      </w:r>
      <w:r w:rsidRPr="0025250D">
        <w:rPr>
          <w:rFonts w:hint="cs"/>
          <w:rtl/>
        </w:rPr>
        <w:t>ی</w:t>
      </w:r>
      <w:r w:rsidRPr="0025250D">
        <w:rPr>
          <w:rFonts w:hint="eastAsia"/>
          <w:rtl/>
        </w:rPr>
        <w:t>نده‌نگاران</w:t>
      </w:r>
      <w:r w:rsidRPr="0025250D">
        <w:rPr>
          <w:rFonts w:hint="cs"/>
          <w:rtl/>
        </w:rPr>
        <w:t>ی</w:t>
      </w:r>
      <w:r w:rsidRPr="0025250D">
        <w:rPr>
          <w:rtl/>
        </w:rPr>
        <w:t xml:space="preserve"> که آماده </w:t>
      </w:r>
      <w:r w:rsidRPr="0025250D">
        <w:rPr>
          <w:rFonts w:hint="cs"/>
          <w:rtl/>
        </w:rPr>
        <w:t xml:space="preserve">بررسی </w:t>
      </w:r>
      <w:r w:rsidRPr="0025250D">
        <w:rPr>
          <w:rtl/>
        </w:rPr>
        <w:t>عم</w:t>
      </w:r>
      <w:r w:rsidRPr="0025250D">
        <w:rPr>
          <w:rFonts w:hint="cs"/>
          <w:rtl/>
        </w:rPr>
        <w:t>ی</w:t>
      </w:r>
      <w:r w:rsidRPr="0025250D">
        <w:rPr>
          <w:rFonts w:hint="eastAsia"/>
          <w:rtl/>
        </w:rPr>
        <w:t>ق‌تر</w:t>
      </w:r>
      <w:r w:rsidRPr="0025250D">
        <w:rPr>
          <w:rtl/>
        </w:rPr>
        <w:t xml:space="preserve"> هستند، برا</w:t>
      </w:r>
      <w:r w:rsidRPr="0025250D">
        <w:rPr>
          <w:rFonts w:hint="cs"/>
          <w:rtl/>
        </w:rPr>
        <w:t>ی</w:t>
      </w:r>
      <w:r w:rsidRPr="0025250D">
        <w:rPr>
          <w:rtl/>
        </w:rPr>
        <w:t xml:space="preserve"> </w:t>
      </w:r>
      <w:r w:rsidRPr="0025250D">
        <w:rPr>
          <w:rFonts w:hint="cs"/>
          <w:rtl/>
        </w:rPr>
        <w:t>کارگرانی</w:t>
      </w:r>
      <w:r w:rsidRPr="0025250D">
        <w:rPr>
          <w:rtl/>
        </w:rPr>
        <w:t xml:space="preserve"> که به دنبال رشد شغل</w:t>
      </w:r>
      <w:r w:rsidRPr="0025250D">
        <w:rPr>
          <w:rFonts w:hint="cs"/>
          <w:rtl/>
        </w:rPr>
        <w:t>ی</w:t>
      </w:r>
      <w:r w:rsidRPr="0025250D">
        <w:rPr>
          <w:rtl/>
        </w:rPr>
        <w:t xml:space="preserve"> خود هستند و برا</w:t>
      </w:r>
      <w:r w:rsidRPr="0025250D">
        <w:rPr>
          <w:rFonts w:hint="cs"/>
          <w:rtl/>
        </w:rPr>
        <w:t>ی</w:t>
      </w:r>
      <w:r w:rsidRPr="0025250D">
        <w:rPr>
          <w:rtl/>
        </w:rPr>
        <w:t xml:space="preserve"> والد</w:t>
      </w:r>
      <w:r w:rsidRPr="0025250D">
        <w:rPr>
          <w:rFonts w:hint="cs"/>
          <w:rtl/>
        </w:rPr>
        <w:t>ی</w:t>
      </w:r>
      <w:r w:rsidRPr="0025250D">
        <w:rPr>
          <w:rFonts w:hint="eastAsia"/>
          <w:rtl/>
        </w:rPr>
        <w:t>ن</w:t>
      </w:r>
      <w:r w:rsidRPr="0025250D">
        <w:rPr>
          <w:rtl/>
        </w:rPr>
        <w:t xml:space="preserve"> </w:t>
      </w:r>
      <w:r w:rsidRPr="0025250D">
        <w:rPr>
          <w:rFonts w:hint="cs"/>
          <w:rtl/>
        </w:rPr>
        <w:t>جهت</w:t>
      </w:r>
      <w:r w:rsidRPr="0025250D">
        <w:rPr>
          <w:rtl/>
        </w:rPr>
        <w:t xml:space="preserve"> کمک به فرزندانشان برا</w:t>
      </w:r>
      <w:r w:rsidRPr="0025250D">
        <w:rPr>
          <w:rFonts w:hint="cs"/>
          <w:rtl/>
        </w:rPr>
        <w:t>ی</w:t>
      </w:r>
      <w:r w:rsidRPr="0025250D">
        <w:rPr>
          <w:rtl/>
        </w:rPr>
        <w:t xml:space="preserve"> داشتن زندگ</w:t>
      </w:r>
      <w:r w:rsidRPr="0025250D">
        <w:rPr>
          <w:rFonts w:hint="cs"/>
          <w:rtl/>
        </w:rPr>
        <w:t>ی</w:t>
      </w:r>
      <w:r w:rsidRPr="0025250D">
        <w:rPr>
          <w:rtl/>
        </w:rPr>
        <w:t xml:space="preserve"> موفق‌تر توص</w:t>
      </w:r>
      <w:r w:rsidRPr="0025250D">
        <w:rPr>
          <w:rFonts w:hint="cs"/>
          <w:rtl/>
        </w:rPr>
        <w:t>ی</w:t>
      </w:r>
      <w:r w:rsidRPr="0025250D">
        <w:rPr>
          <w:rFonts w:hint="eastAsia"/>
          <w:rtl/>
        </w:rPr>
        <w:t>ه</w:t>
      </w:r>
      <w:r w:rsidRPr="0025250D">
        <w:rPr>
          <w:rtl/>
        </w:rPr>
        <w:t xml:space="preserve"> م</w:t>
      </w:r>
      <w:r w:rsidRPr="0025250D">
        <w:rPr>
          <w:rFonts w:hint="cs"/>
          <w:rtl/>
        </w:rPr>
        <w:t>ی‌</w:t>
      </w:r>
      <w:r w:rsidRPr="0025250D">
        <w:rPr>
          <w:rFonts w:hint="eastAsia"/>
          <w:rtl/>
        </w:rPr>
        <w:t>کن</w:t>
      </w:r>
      <w:r w:rsidRPr="0025250D">
        <w:rPr>
          <w:rFonts w:hint="cs"/>
          <w:rtl/>
        </w:rPr>
        <w:t>ی</w:t>
      </w:r>
      <w:r w:rsidRPr="0025250D">
        <w:rPr>
          <w:rFonts w:hint="eastAsia"/>
          <w:rtl/>
        </w:rPr>
        <w:t>م</w:t>
      </w:r>
      <w:r w:rsidRPr="0025250D">
        <w:rPr>
          <w:rtl/>
        </w:rPr>
        <w:t>.</w:t>
      </w:r>
    </w:p>
    <w:p w14:paraId="3EB92DCD" w14:textId="584BB06E" w:rsidR="00A011F5" w:rsidRPr="0025250D" w:rsidRDefault="00A011F5" w:rsidP="00A011F5">
      <w:pPr>
        <w:rPr>
          <w:rtl/>
        </w:rPr>
      </w:pPr>
      <w:r w:rsidRPr="0025250D">
        <w:rPr>
          <w:rtl/>
        </w:rPr>
        <w:t>حتماً انجمن‌ها</w:t>
      </w:r>
      <w:r w:rsidRPr="0025250D">
        <w:rPr>
          <w:rFonts w:hint="cs"/>
          <w:rtl/>
        </w:rPr>
        <w:t>ی</w:t>
      </w:r>
      <w:r w:rsidRPr="0025250D">
        <w:rPr>
          <w:rtl/>
        </w:rPr>
        <w:t xml:space="preserve"> بحث و مطالعه مانند </w:t>
      </w:r>
      <w:r w:rsidRPr="0025250D">
        <w:rPr>
          <w:rFonts w:hint="cs"/>
          <w:rtl/>
        </w:rPr>
        <w:t>کورا</w:t>
      </w:r>
      <w:r w:rsidRPr="0025250D">
        <w:rPr>
          <w:rtl/>
        </w:rPr>
        <w:t xml:space="preserve"> و </w:t>
      </w:r>
      <w:r w:rsidRPr="0025250D">
        <w:rPr>
          <w:rFonts w:hint="cs"/>
          <w:rtl/>
        </w:rPr>
        <w:t>مطالعات گوگل</w:t>
      </w:r>
      <w:r w:rsidRPr="0025250D">
        <w:rPr>
          <w:vertAlign w:val="superscript"/>
          <w:rtl/>
        </w:rPr>
        <w:footnoteReference w:id="3254"/>
      </w:r>
      <w:r w:rsidRPr="0025250D">
        <w:rPr>
          <w:rtl/>
        </w:rPr>
        <w:t>، پلتفرم‌ها</w:t>
      </w:r>
      <w:r w:rsidRPr="0025250D">
        <w:rPr>
          <w:rFonts w:hint="cs"/>
          <w:rtl/>
        </w:rPr>
        <w:t>ی</w:t>
      </w:r>
      <w:r w:rsidRPr="0025250D">
        <w:rPr>
          <w:rtl/>
        </w:rPr>
        <w:t xml:space="preserve"> اختصاص</w:t>
      </w:r>
      <w:r w:rsidRPr="0025250D">
        <w:rPr>
          <w:rFonts w:hint="cs"/>
          <w:rtl/>
        </w:rPr>
        <w:t>ی</w:t>
      </w:r>
      <w:r w:rsidRPr="0025250D">
        <w:rPr>
          <w:rtl/>
        </w:rPr>
        <w:t xml:space="preserve"> مانند آمازون (از </w:t>
      </w:r>
      <w:r w:rsidRPr="0025250D">
        <w:rPr>
          <w:rFonts w:hint="cs"/>
          <w:rtl/>
        </w:rPr>
        <w:t>بررسی محتوای کتاب</w:t>
      </w:r>
      <w:r w:rsidRPr="0025250D">
        <w:rPr>
          <w:vertAlign w:val="superscript"/>
          <w:rtl/>
        </w:rPr>
        <w:footnoteReference w:id="3255"/>
      </w:r>
      <w:r w:rsidRPr="0025250D">
        <w:rPr>
          <w:rtl/>
        </w:rPr>
        <w:t xml:space="preserve"> و </w:t>
      </w:r>
      <w:r w:rsidRPr="0025250D">
        <w:rPr>
          <w:rFonts w:hint="cs"/>
          <w:rtl/>
        </w:rPr>
        <w:t xml:space="preserve">جستجوی داخل کتاب </w:t>
      </w:r>
      <w:r w:rsidRPr="0025250D">
        <w:rPr>
          <w:rtl/>
        </w:rPr>
        <w:t>استفاده کن</w:t>
      </w:r>
      <w:r w:rsidRPr="0025250D">
        <w:rPr>
          <w:rFonts w:hint="cs"/>
          <w:rtl/>
        </w:rPr>
        <w:t>ی</w:t>
      </w:r>
      <w:r w:rsidRPr="0025250D">
        <w:rPr>
          <w:rFonts w:hint="eastAsia"/>
          <w:rtl/>
        </w:rPr>
        <w:t>د</w:t>
      </w:r>
      <w:r w:rsidRPr="0025250D">
        <w:rPr>
          <w:rtl/>
        </w:rPr>
        <w:t>) و پلتفرم‌ها</w:t>
      </w:r>
      <w:r w:rsidRPr="0025250D">
        <w:rPr>
          <w:rFonts w:hint="cs"/>
          <w:rtl/>
        </w:rPr>
        <w:t>ی</w:t>
      </w:r>
      <w:r w:rsidRPr="0025250D">
        <w:rPr>
          <w:rtl/>
        </w:rPr>
        <w:t xml:space="preserve"> باز مانند کتابها</w:t>
      </w:r>
      <w:r w:rsidRPr="0025250D">
        <w:rPr>
          <w:rFonts w:hint="cs"/>
          <w:rtl/>
        </w:rPr>
        <w:t>ی</w:t>
      </w:r>
      <w:r w:rsidRPr="0025250D">
        <w:rPr>
          <w:rtl/>
        </w:rPr>
        <w:t xml:space="preserve"> گوگل و </w:t>
      </w:r>
      <w:r w:rsidRPr="0025250D">
        <w:rPr>
          <w:rFonts w:hint="cs"/>
          <w:rtl/>
        </w:rPr>
        <w:t>اینتک اوپن</w:t>
      </w:r>
      <w:r w:rsidRPr="0025250D">
        <w:rPr>
          <w:vertAlign w:val="superscript"/>
          <w:rtl/>
        </w:rPr>
        <w:footnoteReference w:id="3256"/>
      </w:r>
      <w:r w:rsidRPr="0025250D">
        <w:rPr>
          <w:rtl/>
        </w:rPr>
        <w:t xml:space="preserve"> را بررس</w:t>
      </w:r>
      <w:r w:rsidRPr="0025250D">
        <w:rPr>
          <w:rFonts w:hint="cs"/>
          <w:rtl/>
        </w:rPr>
        <w:t>ی</w:t>
      </w:r>
      <w:r w:rsidRPr="0025250D">
        <w:rPr>
          <w:rtl/>
        </w:rPr>
        <w:t xml:space="preserve"> کن</w:t>
      </w:r>
      <w:r w:rsidRPr="0025250D">
        <w:rPr>
          <w:rFonts w:hint="cs"/>
          <w:rtl/>
        </w:rPr>
        <w:t>ی</w:t>
      </w:r>
      <w:r w:rsidRPr="0025250D">
        <w:rPr>
          <w:rFonts w:hint="eastAsia"/>
          <w:rtl/>
        </w:rPr>
        <w:t>د</w:t>
      </w:r>
      <w:r w:rsidRPr="0025250D">
        <w:rPr>
          <w:rtl/>
        </w:rPr>
        <w:t>.</w:t>
      </w:r>
      <w:r w:rsidRPr="0025250D">
        <w:rPr>
          <w:rFonts w:hint="cs"/>
          <w:rtl/>
        </w:rPr>
        <w:t xml:space="preserve"> مورد</w:t>
      </w:r>
      <w:r w:rsidRPr="0025250D">
        <w:rPr>
          <w:rtl/>
        </w:rPr>
        <w:t xml:space="preserve"> دوم با 5000 کتاب در حال حاضر، بزرگتر</w:t>
      </w:r>
      <w:r w:rsidRPr="0025250D">
        <w:rPr>
          <w:rFonts w:hint="cs"/>
          <w:rtl/>
        </w:rPr>
        <w:t>ی</w:t>
      </w:r>
      <w:r w:rsidRPr="0025250D">
        <w:rPr>
          <w:rFonts w:hint="eastAsia"/>
          <w:rtl/>
        </w:rPr>
        <w:t>ن</w:t>
      </w:r>
      <w:r w:rsidRPr="0025250D">
        <w:rPr>
          <w:rtl/>
        </w:rPr>
        <w:t xml:space="preserve"> ناشر کتاب ها</w:t>
      </w:r>
      <w:r w:rsidRPr="0025250D">
        <w:rPr>
          <w:rFonts w:hint="cs"/>
          <w:rtl/>
        </w:rPr>
        <w:t>ی با</w:t>
      </w:r>
      <w:r w:rsidRPr="0025250D">
        <w:rPr>
          <w:rtl/>
        </w:rPr>
        <w:t xml:space="preserve"> دسترس</w:t>
      </w:r>
      <w:r w:rsidRPr="0025250D">
        <w:rPr>
          <w:rFonts w:hint="cs"/>
          <w:rtl/>
        </w:rPr>
        <w:t>ی</w:t>
      </w:r>
      <w:r w:rsidRPr="0025250D">
        <w:rPr>
          <w:rtl/>
        </w:rPr>
        <w:t xml:space="preserve"> آزاد است. اکنون ما فقط با</w:t>
      </w:r>
      <w:r w:rsidRPr="0025250D">
        <w:rPr>
          <w:rFonts w:hint="cs"/>
          <w:rtl/>
        </w:rPr>
        <w:t>ی</w:t>
      </w:r>
      <w:r w:rsidRPr="0025250D">
        <w:rPr>
          <w:rFonts w:hint="eastAsia"/>
          <w:rtl/>
        </w:rPr>
        <w:t>د</w:t>
      </w:r>
      <w:r w:rsidRPr="0025250D">
        <w:rPr>
          <w:rtl/>
        </w:rPr>
        <w:t xml:space="preserve"> خوانندگان ب</w:t>
      </w:r>
      <w:r w:rsidRPr="0025250D">
        <w:rPr>
          <w:rFonts w:hint="cs"/>
          <w:rtl/>
        </w:rPr>
        <w:t>ی</w:t>
      </w:r>
      <w:r w:rsidRPr="0025250D">
        <w:rPr>
          <w:rFonts w:hint="eastAsia"/>
          <w:rtl/>
        </w:rPr>
        <w:t>شتر</w:t>
      </w:r>
      <w:r w:rsidRPr="0025250D">
        <w:rPr>
          <w:rFonts w:hint="cs"/>
          <w:rtl/>
        </w:rPr>
        <w:t>ی</w:t>
      </w:r>
      <w:r w:rsidRPr="0025250D">
        <w:rPr>
          <w:rtl/>
        </w:rPr>
        <w:t xml:space="preserve"> را جذب کن</w:t>
      </w:r>
      <w:r w:rsidRPr="0025250D">
        <w:rPr>
          <w:rFonts w:hint="cs"/>
          <w:rtl/>
        </w:rPr>
        <w:t>ی</w:t>
      </w:r>
      <w:r w:rsidRPr="0025250D">
        <w:rPr>
          <w:rFonts w:hint="eastAsia"/>
          <w:rtl/>
        </w:rPr>
        <w:t>م</w:t>
      </w:r>
      <w:r w:rsidRPr="0025250D">
        <w:rPr>
          <w:rtl/>
        </w:rPr>
        <w:t xml:space="preserve"> تا واقعاً برا</w:t>
      </w:r>
      <w:r w:rsidRPr="0025250D">
        <w:rPr>
          <w:rFonts w:hint="cs"/>
          <w:rtl/>
        </w:rPr>
        <w:t>ی</w:t>
      </w:r>
      <w:r w:rsidRPr="0025250D">
        <w:rPr>
          <w:rtl/>
        </w:rPr>
        <w:t xml:space="preserve"> کتاب ها</w:t>
      </w:r>
      <w:r w:rsidRPr="0025250D">
        <w:rPr>
          <w:rFonts w:hint="cs"/>
          <w:rtl/>
        </w:rPr>
        <w:t>یی</w:t>
      </w:r>
      <w:r w:rsidRPr="0025250D">
        <w:rPr>
          <w:rtl/>
        </w:rPr>
        <w:t xml:space="preserve"> که به طور را</w:t>
      </w:r>
      <w:r w:rsidRPr="0025250D">
        <w:rPr>
          <w:rFonts w:hint="cs"/>
          <w:rtl/>
        </w:rPr>
        <w:t>ی</w:t>
      </w:r>
      <w:r w:rsidRPr="0025250D">
        <w:rPr>
          <w:rFonts w:hint="eastAsia"/>
          <w:rtl/>
        </w:rPr>
        <w:t>گان</w:t>
      </w:r>
      <w:r w:rsidRPr="0025250D">
        <w:rPr>
          <w:rtl/>
        </w:rPr>
        <w:t xml:space="preserve"> در اخت</w:t>
      </w:r>
      <w:r w:rsidRPr="0025250D">
        <w:rPr>
          <w:rFonts w:hint="cs"/>
          <w:rtl/>
        </w:rPr>
        <w:t>ی</w:t>
      </w:r>
      <w:r w:rsidRPr="0025250D">
        <w:rPr>
          <w:rFonts w:hint="eastAsia"/>
          <w:rtl/>
        </w:rPr>
        <w:t>ار</w:t>
      </w:r>
      <w:r w:rsidRPr="0025250D">
        <w:rPr>
          <w:rtl/>
        </w:rPr>
        <w:t xml:space="preserve"> جهان قرار م</w:t>
      </w:r>
      <w:r w:rsidRPr="0025250D">
        <w:rPr>
          <w:rFonts w:hint="cs"/>
          <w:rtl/>
        </w:rPr>
        <w:t>ی</w:t>
      </w:r>
      <w:r w:rsidRPr="0025250D">
        <w:rPr>
          <w:rtl/>
        </w:rPr>
        <w:t xml:space="preserve"> گ</w:t>
      </w:r>
      <w:r w:rsidRPr="0025250D">
        <w:rPr>
          <w:rFonts w:hint="cs"/>
          <w:rtl/>
        </w:rPr>
        <w:t>ی</w:t>
      </w:r>
      <w:r w:rsidRPr="0025250D">
        <w:rPr>
          <w:rFonts w:hint="eastAsia"/>
          <w:rtl/>
        </w:rPr>
        <w:t>رند</w:t>
      </w:r>
      <w:r w:rsidRPr="0025250D">
        <w:rPr>
          <w:rFonts w:hint="cs"/>
          <w:rtl/>
        </w:rPr>
        <w:t>،</w:t>
      </w:r>
      <w:r w:rsidRPr="0025250D">
        <w:rPr>
          <w:rtl/>
        </w:rPr>
        <w:t xml:space="preserve"> ارزش قائل شوند و</w:t>
      </w:r>
      <w:r w:rsidRPr="0025250D">
        <w:rPr>
          <w:rFonts w:hint="cs"/>
          <w:rtl/>
        </w:rPr>
        <w:t xml:space="preserve"> مطالعه کنند</w:t>
      </w:r>
      <w:r w:rsidRPr="0025250D">
        <w:rPr>
          <w:rtl/>
        </w:rPr>
        <w:t xml:space="preserve">. </w:t>
      </w:r>
      <w:r w:rsidRPr="0025250D">
        <w:t>PAI</w:t>
      </w:r>
      <w:r w:rsidRPr="0025250D">
        <w:rPr>
          <w:rtl/>
        </w:rPr>
        <w:t xml:space="preserve"> ها مطمئناً به مشکل</w:t>
      </w:r>
      <w:r w:rsidRPr="0025250D">
        <w:rPr>
          <w:rFonts w:hint="cs"/>
          <w:rtl/>
        </w:rPr>
        <w:t>ات</w:t>
      </w:r>
      <w:r w:rsidRPr="0025250D">
        <w:rPr>
          <w:rtl/>
        </w:rPr>
        <w:t xml:space="preserve"> روان</w:t>
      </w:r>
      <w:r w:rsidRPr="0025250D">
        <w:rPr>
          <w:rFonts w:hint="cs"/>
          <w:rtl/>
        </w:rPr>
        <w:t>ی</w:t>
      </w:r>
      <w:r w:rsidRPr="0025250D">
        <w:rPr>
          <w:rtl/>
        </w:rPr>
        <w:t xml:space="preserve"> که همه م</w:t>
      </w:r>
      <w:r w:rsidRPr="0025250D">
        <w:rPr>
          <w:rFonts w:hint="eastAsia"/>
          <w:rtl/>
        </w:rPr>
        <w:t>ا</w:t>
      </w:r>
      <w:r w:rsidRPr="0025250D">
        <w:rPr>
          <w:rtl/>
        </w:rPr>
        <w:t xml:space="preserve"> دار</w:t>
      </w:r>
      <w:r w:rsidRPr="0025250D">
        <w:rPr>
          <w:rFonts w:hint="cs"/>
          <w:rtl/>
        </w:rPr>
        <w:t>ی</w:t>
      </w:r>
      <w:r w:rsidRPr="0025250D">
        <w:rPr>
          <w:rFonts w:hint="eastAsia"/>
          <w:rtl/>
        </w:rPr>
        <w:t>م،</w:t>
      </w:r>
      <w:r w:rsidRPr="0025250D">
        <w:rPr>
          <w:rtl/>
        </w:rPr>
        <w:t xml:space="preserve"> همراه با بس</w:t>
      </w:r>
      <w:r w:rsidRPr="0025250D">
        <w:rPr>
          <w:rFonts w:hint="cs"/>
          <w:rtl/>
        </w:rPr>
        <w:t>ی</w:t>
      </w:r>
      <w:r w:rsidRPr="0025250D">
        <w:rPr>
          <w:rFonts w:hint="eastAsia"/>
          <w:rtl/>
        </w:rPr>
        <w:t>ار</w:t>
      </w:r>
      <w:r w:rsidRPr="0025250D">
        <w:rPr>
          <w:rFonts w:hint="cs"/>
          <w:rtl/>
        </w:rPr>
        <w:t>ی</w:t>
      </w:r>
      <w:r w:rsidRPr="0025250D">
        <w:rPr>
          <w:rtl/>
        </w:rPr>
        <w:t xml:space="preserve"> از مشکلات د</w:t>
      </w:r>
      <w:r w:rsidRPr="0025250D">
        <w:rPr>
          <w:rFonts w:hint="cs"/>
          <w:rtl/>
        </w:rPr>
        <w:t>ی</w:t>
      </w:r>
      <w:r w:rsidRPr="0025250D">
        <w:rPr>
          <w:rFonts w:hint="eastAsia"/>
          <w:rtl/>
        </w:rPr>
        <w:t>گر</w:t>
      </w:r>
      <w:r w:rsidRPr="0025250D">
        <w:rPr>
          <w:rtl/>
        </w:rPr>
        <w:t xml:space="preserve"> در جامعه قرن ب</w:t>
      </w:r>
      <w:r w:rsidRPr="0025250D">
        <w:rPr>
          <w:rFonts w:hint="cs"/>
          <w:rtl/>
        </w:rPr>
        <w:t>ی</w:t>
      </w:r>
      <w:r w:rsidRPr="0025250D">
        <w:rPr>
          <w:rFonts w:hint="eastAsia"/>
          <w:rtl/>
        </w:rPr>
        <w:t>ست</w:t>
      </w:r>
      <w:r w:rsidRPr="0025250D">
        <w:rPr>
          <w:rtl/>
        </w:rPr>
        <w:t xml:space="preserve"> و </w:t>
      </w:r>
      <w:r w:rsidRPr="0025250D">
        <w:rPr>
          <w:rFonts w:hint="cs"/>
          <w:rtl/>
        </w:rPr>
        <w:t>ی</w:t>
      </w:r>
      <w:r w:rsidRPr="0025250D">
        <w:rPr>
          <w:rFonts w:hint="eastAsia"/>
          <w:rtl/>
        </w:rPr>
        <w:t>کم</w:t>
      </w:r>
      <w:r w:rsidRPr="0025250D">
        <w:rPr>
          <w:rtl/>
        </w:rPr>
        <w:t xml:space="preserve"> کمک خواهند کرد.</w:t>
      </w:r>
    </w:p>
    <w:p w14:paraId="1D7589B9" w14:textId="4141A883" w:rsidR="00537CC8" w:rsidRPr="0025250D" w:rsidRDefault="00537CC8" w:rsidP="00A011F5">
      <w:pPr>
        <w:pStyle w:val="Heading3"/>
        <w:rPr>
          <w:rtl/>
        </w:rPr>
      </w:pPr>
      <w:r w:rsidRPr="0025250D">
        <w:rPr>
          <w:rtl/>
        </w:rPr>
        <w:t>کتاب‌ها</w:t>
      </w:r>
      <w:r w:rsidRPr="0025250D">
        <w:rPr>
          <w:rFonts w:hint="cs"/>
          <w:rtl/>
        </w:rPr>
        <w:t>ی</w:t>
      </w:r>
      <w:r w:rsidRPr="0025250D">
        <w:rPr>
          <w:rtl/>
        </w:rPr>
        <w:t xml:space="preserve">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مقدمات</w:t>
      </w:r>
      <w:r w:rsidRPr="0025250D">
        <w:rPr>
          <w:rFonts w:hint="cs"/>
          <w:rtl/>
        </w:rPr>
        <w:t>ی</w:t>
      </w:r>
      <w:r w:rsidRPr="0025250D">
        <w:rPr>
          <w:rtl/>
        </w:rPr>
        <w:t xml:space="preserve"> </w:t>
      </w:r>
      <w:r w:rsidRPr="0025250D">
        <w:rPr>
          <w:rFonts w:ascii="Times New Roman" w:hAnsi="Times New Roman" w:cs="Times New Roman" w:hint="cs"/>
          <w:rtl/>
        </w:rPr>
        <w:t>–</w:t>
      </w:r>
      <w:r w:rsidRPr="0025250D">
        <w:rPr>
          <w:rtl/>
        </w:rPr>
        <w:t xml:space="preserve"> </w:t>
      </w:r>
      <w:r w:rsidRPr="0025250D">
        <w:rPr>
          <w:rFonts w:hint="cs"/>
          <w:rtl/>
        </w:rPr>
        <w:t>فهرستی</w:t>
      </w:r>
      <w:r w:rsidRPr="0025250D">
        <w:rPr>
          <w:rtl/>
        </w:rPr>
        <w:t xml:space="preserve"> </w:t>
      </w:r>
      <w:r w:rsidR="008A50B6" w:rsidRPr="0025250D">
        <w:rPr>
          <w:rFonts w:hint="cs"/>
          <w:rtl/>
        </w:rPr>
        <w:t>ابتدایی</w:t>
      </w:r>
    </w:p>
    <w:p w14:paraId="683262CC" w14:textId="5277F57A" w:rsidR="008A50B6" w:rsidRPr="0025250D" w:rsidRDefault="008A50B6" w:rsidP="00492C47">
      <w:pPr>
        <w:numPr>
          <w:ilvl w:val="0"/>
          <w:numId w:val="74"/>
        </w:numPr>
        <w:rPr>
          <w:rtl/>
        </w:rPr>
      </w:pPr>
      <w:r w:rsidRPr="0025250D">
        <w:rPr>
          <w:rFonts w:hint="cs"/>
          <w:rtl/>
        </w:rPr>
        <w:t>نشانک</w:t>
      </w:r>
      <w:r w:rsidRPr="0025250D">
        <w:rPr>
          <w:rtl/>
        </w:rPr>
        <w:t xml:space="preserve"> ها صحبت م</w:t>
      </w:r>
      <w:r w:rsidRPr="0025250D">
        <w:rPr>
          <w:rFonts w:hint="cs"/>
          <w:rtl/>
        </w:rPr>
        <w:t>ی</w:t>
      </w:r>
      <w:r w:rsidRPr="0025250D">
        <w:rPr>
          <w:rtl/>
        </w:rPr>
        <w:t xml:space="preserve"> کنند: چرا حاش</w:t>
      </w:r>
      <w:r w:rsidRPr="0025250D">
        <w:rPr>
          <w:rFonts w:hint="cs"/>
          <w:rtl/>
        </w:rPr>
        <w:t>ی</w:t>
      </w:r>
      <w:r w:rsidRPr="0025250D">
        <w:rPr>
          <w:rFonts w:hint="eastAsia"/>
          <w:rtl/>
        </w:rPr>
        <w:t>ه</w:t>
      </w:r>
      <w:r w:rsidRPr="0025250D">
        <w:rPr>
          <w:rtl/>
        </w:rPr>
        <w:t xml:space="preserve"> ها</w:t>
      </w:r>
      <w:r w:rsidRPr="0025250D">
        <w:rPr>
          <w:rFonts w:hint="cs"/>
          <w:rtl/>
        </w:rPr>
        <w:t>ی</w:t>
      </w:r>
      <w:r w:rsidRPr="0025250D">
        <w:rPr>
          <w:rtl/>
        </w:rPr>
        <w:t xml:space="preserve"> امروز جر</w:t>
      </w:r>
      <w:r w:rsidRPr="0025250D">
        <w:rPr>
          <w:rFonts w:hint="cs"/>
          <w:rtl/>
        </w:rPr>
        <w:t>ی</w:t>
      </w:r>
      <w:r w:rsidRPr="0025250D">
        <w:rPr>
          <w:rFonts w:hint="eastAsia"/>
          <w:rtl/>
        </w:rPr>
        <w:t>ان</w:t>
      </w:r>
      <w:r w:rsidRPr="0025250D">
        <w:rPr>
          <w:rtl/>
        </w:rPr>
        <w:t xml:space="preserve"> اصل</w:t>
      </w:r>
      <w:r w:rsidRPr="0025250D">
        <w:rPr>
          <w:rFonts w:hint="cs"/>
          <w:rtl/>
        </w:rPr>
        <w:t>ی</w:t>
      </w:r>
      <w:r w:rsidRPr="0025250D">
        <w:rPr>
          <w:rtl/>
        </w:rPr>
        <w:t xml:space="preserve"> فردا است</w:t>
      </w:r>
      <w:r w:rsidRPr="0025250D">
        <w:rPr>
          <w:vertAlign w:val="superscript"/>
          <w:rtl/>
        </w:rPr>
        <w:footnoteReference w:id="3257"/>
      </w:r>
      <w:r w:rsidRPr="0025250D">
        <w:rPr>
          <w:rFonts w:hint="cs"/>
          <w:rtl/>
        </w:rPr>
        <w:t xml:space="preserve">، امی وب، 2018. </w:t>
      </w:r>
      <w:r w:rsidRPr="0025250D">
        <w:rPr>
          <w:rtl/>
        </w:rPr>
        <w:t>نما</w:t>
      </w:r>
      <w:r w:rsidRPr="0025250D">
        <w:rPr>
          <w:rFonts w:hint="cs"/>
          <w:rtl/>
        </w:rPr>
        <w:t>ی</w:t>
      </w:r>
      <w:r w:rsidRPr="0025250D">
        <w:rPr>
          <w:rtl/>
        </w:rPr>
        <w:t xml:space="preserve"> کل</w:t>
      </w:r>
      <w:r w:rsidRPr="0025250D">
        <w:rPr>
          <w:rFonts w:hint="cs"/>
          <w:rtl/>
        </w:rPr>
        <w:t>ی</w:t>
      </w:r>
      <w:r w:rsidRPr="0025250D">
        <w:rPr>
          <w:rtl/>
        </w:rPr>
        <w:t xml:space="preserve"> عال</w:t>
      </w:r>
      <w:r w:rsidRPr="0025250D">
        <w:rPr>
          <w:rFonts w:hint="cs"/>
          <w:rtl/>
        </w:rPr>
        <w:t>ی</w:t>
      </w:r>
      <w:r w:rsidRPr="0025250D">
        <w:rPr>
          <w:rtl/>
        </w:rPr>
        <w:t xml:space="preserve"> از نحوه </w:t>
      </w:r>
      <w:r w:rsidRPr="0025250D">
        <w:rPr>
          <w:rFonts w:hint="cs"/>
          <w:rtl/>
        </w:rPr>
        <w:t>پویش</w:t>
      </w:r>
      <w:r w:rsidRPr="0025250D">
        <w:rPr>
          <w:rtl/>
        </w:rPr>
        <w:t xml:space="preserve"> و ارز</w:t>
      </w:r>
      <w:r w:rsidRPr="0025250D">
        <w:rPr>
          <w:rFonts w:hint="cs"/>
          <w:rtl/>
        </w:rPr>
        <w:t>ی</w:t>
      </w:r>
      <w:r w:rsidRPr="0025250D">
        <w:rPr>
          <w:rFonts w:hint="eastAsia"/>
          <w:rtl/>
        </w:rPr>
        <w:t>اب</w:t>
      </w:r>
      <w:r w:rsidRPr="0025250D">
        <w:rPr>
          <w:rFonts w:hint="cs"/>
          <w:rtl/>
        </w:rPr>
        <w:t>ی</w:t>
      </w:r>
      <w:r w:rsidRPr="0025250D">
        <w:rPr>
          <w:rtl/>
        </w:rPr>
        <w:t xml:space="preserve"> </w:t>
      </w:r>
      <w:r w:rsidRPr="0025250D">
        <w:rPr>
          <w:rFonts w:hint="cs"/>
          <w:rtl/>
        </w:rPr>
        <w:t>نشانک های</w:t>
      </w:r>
      <w:r w:rsidRPr="0025250D">
        <w:rPr>
          <w:rtl/>
        </w:rPr>
        <w:t xml:space="preserve"> ضع</w:t>
      </w:r>
      <w:r w:rsidRPr="0025250D">
        <w:rPr>
          <w:rFonts w:hint="cs"/>
          <w:rtl/>
        </w:rPr>
        <w:t>ی</w:t>
      </w:r>
      <w:r w:rsidRPr="0025250D">
        <w:rPr>
          <w:rFonts w:hint="eastAsia"/>
          <w:rtl/>
        </w:rPr>
        <w:t>ف،</w:t>
      </w:r>
      <w:r w:rsidRPr="0025250D">
        <w:rPr>
          <w:rtl/>
        </w:rPr>
        <w:t xml:space="preserve"> روندها و مسائل در حال ظهور. وب </w:t>
      </w:r>
      <w:r w:rsidRPr="0025250D">
        <w:rPr>
          <w:rFonts w:hint="cs"/>
          <w:rtl/>
        </w:rPr>
        <w:t>ی</w:t>
      </w:r>
      <w:r w:rsidRPr="0025250D">
        <w:rPr>
          <w:rFonts w:hint="eastAsia"/>
          <w:rtl/>
        </w:rPr>
        <w:t>ک</w:t>
      </w:r>
      <w:r w:rsidRPr="0025250D">
        <w:rPr>
          <w:rFonts w:hint="cs"/>
          <w:rtl/>
        </w:rPr>
        <w:t>ی</w:t>
      </w:r>
      <w:r w:rsidRPr="0025250D">
        <w:rPr>
          <w:rtl/>
        </w:rPr>
        <w:t xml:space="preserve"> از درخشان تر</w:t>
      </w:r>
      <w:r w:rsidRPr="0025250D">
        <w:rPr>
          <w:rFonts w:hint="cs"/>
          <w:rtl/>
        </w:rPr>
        <w:t>ی</w:t>
      </w:r>
      <w:r w:rsidRPr="0025250D">
        <w:rPr>
          <w:rFonts w:hint="eastAsia"/>
          <w:rtl/>
        </w:rPr>
        <w:t>ن</w:t>
      </w:r>
      <w:r w:rsidRPr="0025250D">
        <w:rPr>
          <w:rtl/>
        </w:rPr>
        <w:t xml:space="preserve"> </w:t>
      </w:r>
      <w:r w:rsidR="00D92F6E" w:rsidRPr="0025250D">
        <w:rPr>
          <w:rtl/>
        </w:rPr>
        <w:t>آینده‌پژوه</w:t>
      </w:r>
      <w:r w:rsidRPr="0025250D">
        <w:rPr>
          <w:rtl/>
        </w:rPr>
        <w:t>ان جد</w:t>
      </w:r>
      <w:r w:rsidRPr="0025250D">
        <w:rPr>
          <w:rFonts w:hint="cs"/>
          <w:rtl/>
        </w:rPr>
        <w:t>ی</w:t>
      </w:r>
      <w:r w:rsidRPr="0025250D">
        <w:rPr>
          <w:rFonts w:hint="eastAsia"/>
          <w:rtl/>
        </w:rPr>
        <w:t>د</w:t>
      </w:r>
      <w:r w:rsidRPr="0025250D">
        <w:rPr>
          <w:rtl/>
        </w:rPr>
        <w:t xml:space="preserve"> ما است.</w:t>
      </w:r>
      <w:r w:rsidRPr="0025250D">
        <w:rPr>
          <w:rFonts w:hint="cs"/>
          <w:rtl/>
        </w:rPr>
        <w:t xml:space="preserve"> </w:t>
      </w:r>
      <w:r w:rsidRPr="0025250D">
        <w:rPr>
          <w:rtl/>
        </w:rPr>
        <w:t>وب گاه</w:t>
      </w:r>
      <w:r w:rsidRPr="0025250D">
        <w:rPr>
          <w:rFonts w:hint="cs"/>
          <w:rtl/>
        </w:rPr>
        <w:t>ی</w:t>
      </w:r>
      <w:r w:rsidRPr="0025250D">
        <w:rPr>
          <w:rtl/>
        </w:rPr>
        <w:t xml:space="preserve"> اوقات از کلمه </w:t>
      </w:r>
      <w:r w:rsidRPr="0025250D">
        <w:t>d</w:t>
      </w:r>
      <w:r w:rsidRPr="0025250D">
        <w:rPr>
          <w:rtl/>
        </w:rPr>
        <w:t xml:space="preserve"> استفاده م</w:t>
      </w:r>
      <w:r w:rsidRPr="0025250D">
        <w:rPr>
          <w:rFonts w:hint="cs"/>
          <w:rtl/>
        </w:rPr>
        <w:t>ی</w:t>
      </w:r>
      <w:r w:rsidRPr="0025250D">
        <w:rPr>
          <w:rtl/>
        </w:rPr>
        <w:t xml:space="preserve"> کند و تشخ</w:t>
      </w:r>
      <w:r w:rsidRPr="0025250D">
        <w:rPr>
          <w:rFonts w:hint="cs"/>
          <w:rtl/>
        </w:rPr>
        <w:t>ی</w:t>
      </w:r>
      <w:r w:rsidRPr="0025250D">
        <w:rPr>
          <w:rFonts w:hint="eastAsia"/>
          <w:rtl/>
        </w:rPr>
        <w:t>ص</w:t>
      </w:r>
      <w:r w:rsidRPr="0025250D">
        <w:rPr>
          <w:rtl/>
        </w:rPr>
        <w:t xml:space="preserve"> م</w:t>
      </w:r>
      <w:r w:rsidRPr="0025250D">
        <w:rPr>
          <w:rFonts w:hint="cs"/>
          <w:rtl/>
        </w:rPr>
        <w:t>ی</w:t>
      </w:r>
      <w:r w:rsidRPr="0025250D">
        <w:rPr>
          <w:rtl/>
        </w:rPr>
        <w:t xml:space="preserve"> دهد که برخ</w:t>
      </w:r>
      <w:r w:rsidRPr="0025250D">
        <w:rPr>
          <w:rFonts w:hint="cs"/>
          <w:rtl/>
        </w:rPr>
        <w:t>ی</w:t>
      </w:r>
      <w:r w:rsidRPr="0025250D">
        <w:rPr>
          <w:rtl/>
        </w:rPr>
        <w:t xml:space="preserve"> تغ</w:t>
      </w:r>
      <w:r w:rsidRPr="0025250D">
        <w:rPr>
          <w:rFonts w:hint="cs"/>
          <w:rtl/>
        </w:rPr>
        <w:t>یی</w:t>
      </w:r>
      <w:r w:rsidRPr="0025250D">
        <w:rPr>
          <w:rFonts w:hint="eastAsia"/>
          <w:rtl/>
        </w:rPr>
        <w:t>رات</w:t>
      </w:r>
      <w:r w:rsidRPr="0025250D">
        <w:rPr>
          <w:rtl/>
        </w:rPr>
        <w:t xml:space="preserve"> صرفاً تغ</w:t>
      </w:r>
      <w:r w:rsidRPr="0025250D">
        <w:rPr>
          <w:rFonts w:hint="cs"/>
          <w:rtl/>
        </w:rPr>
        <w:t>یی</w:t>
      </w:r>
      <w:r w:rsidRPr="0025250D">
        <w:rPr>
          <w:rFonts w:hint="eastAsia"/>
          <w:rtl/>
        </w:rPr>
        <w:t>رات</w:t>
      </w:r>
      <w:r w:rsidRPr="0025250D">
        <w:rPr>
          <w:rtl/>
        </w:rPr>
        <w:t xml:space="preserve"> تکامل</w:t>
      </w:r>
      <w:r w:rsidRPr="0025250D">
        <w:rPr>
          <w:rFonts w:hint="cs"/>
          <w:rtl/>
        </w:rPr>
        <w:t>ی</w:t>
      </w:r>
      <w:r w:rsidRPr="0025250D">
        <w:rPr>
          <w:rtl/>
        </w:rPr>
        <w:t xml:space="preserve"> ن</w:t>
      </w:r>
      <w:r w:rsidRPr="0025250D">
        <w:rPr>
          <w:rFonts w:hint="cs"/>
          <w:rtl/>
        </w:rPr>
        <w:t>ی</w:t>
      </w:r>
      <w:r w:rsidRPr="0025250D">
        <w:rPr>
          <w:rFonts w:hint="eastAsia"/>
          <w:rtl/>
        </w:rPr>
        <w:t>ستند،</w:t>
      </w:r>
      <w:r w:rsidRPr="0025250D">
        <w:rPr>
          <w:rtl/>
        </w:rPr>
        <w:t xml:space="preserve"> آنها قابل </w:t>
      </w:r>
      <w:r w:rsidR="00D92F6E" w:rsidRPr="0025250D">
        <w:rPr>
          <w:rtl/>
        </w:rPr>
        <w:t>پیش‌بین</w:t>
      </w:r>
      <w:r w:rsidRPr="0025250D">
        <w:rPr>
          <w:rFonts w:hint="cs"/>
          <w:rtl/>
        </w:rPr>
        <w:t>ی</w:t>
      </w:r>
      <w:r w:rsidRPr="0025250D">
        <w:rPr>
          <w:rtl/>
        </w:rPr>
        <w:t xml:space="preserve"> و تحولات همگرا هستند. ا</w:t>
      </w:r>
      <w:r w:rsidRPr="0025250D">
        <w:rPr>
          <w:rFonts w:hint="cs"/>
          <w:rtl/>
        </w:rPr>
        <w:t>ی</w:t>
      </w:r>
      <w:r w:rsidRPr="0025250D">
        <w:rPr>
          <w:rFonts w:hint="eastAsia"/>
          <w:rtl/>
        </w:rPr>
        <w:t>ن</w:t>
      </w:r>
      <w:r w:rsidRPr="0025250D">
        <w:rPr>
          <w:rtl/>
        </w:rPr>
        <w:t xml:space="preserve"> کتاب کاربرد</w:t>
      </w:r>
      <w:r w:rsidRPr="0025250D">
        <w:rPr>
          <w:rFonts w:hint="cs"/>
          <w:rtl/>
        </w:rPr>
        <w:t>ی</w:t>
      </w:r>
      <w:r w:rsidRPr="0025250D">
        <w:rPr>
          <w:rtl/>
        </w:rPr>
        <w:t xml:space="preserve"> </w:t>
      </w:r>
      <w:r w:rsidRPr="0025250D">
        <w:rPr>
          <w:rFonts w:hint="cs"/>
          <w:rtl/>
        </w:rPr>
        <w:t>کتابی</w:t>
      </w:r>
      <w:r w:rsidRPr="0025250D">
        <w:rPr>
          <w:rtl/>
        </w:rPr>
        <w:t xml:space="preserve"> عال</w:t>
      </w:r>
      <w:r w:rsidRPr="0025250D">
        <w:rPr>
          <w:rFonts w:hint="cs"/>
          <w:rtl/>
        </w:rPr>
        <w:t>ی</w:t>
      </w:r>
      <w:r w:rsidRPr="0025250D">
        <w:rPr>
          <w:rtl/>
        </w:rPr>
        <w:t xml:space="preserve"> برا</w:t>
      </w:r>
      <w:r w:rsidRPr="0025250D">
        <w:rPr>
          <w:rFonts w:hint="cs"/>
          <w:rtl/>
        </w:rPr>
        <w:t>ی</w:t>
      </w:r>
      <w:r w:rsidRPr="0025250D">
        <w:rPr>
          <w:rtl/>
        </w:rPr>
        <w:t xml:space="preserve"> شروع تفکر </w:t>
      </w:r>
      <w:r w:rsidR="00D92F6E" w:rsidRPr="0025250D">
        <w:rPr>
          <w:rtl/>
        </w:rPr>
        <w:t>آینده‌نگاری</w:t>
      </w:r>
      <w:r w:rsidRPr="0025250D">
        <w:rPr>
          <w:rtl/>
        </w:rPr>
        <w:t xml:space="preserve"> سازمان</w:t>
      </w:r>
      <w:r w:rsidRPr="0025250D">
        <w:rPr>
          <w:rFonts w:hint="cs"/>
          <w:rtl/>
        </w:rPr>
        <w:t>ی</w:t>
      </w:r>
      <w:r w:rsidRPr="0025250D">
        <w:rPr>
          <w:rtl/>
        </w:rPr>
        <w:t xml:space="preserve"> شما است.</w:t>
      </w:r>
    </w:p>
    <w:p w14:paraId="70051CB9" w14:textId="37E27C5F" w:rsidR="008A50B6" w:rsidRPr="0025250D" w:rsidRDefault="008A50B6" w:rsidP="00492C47">
      <w:pPr>
        <w:numPr>
          <w:ilvl w:val="0"/>
          <w:numId w:val="74"/>
        </w:numPr>
        <w:rPr>
          <w:rtl/>
        </w:rPr>
      </w:pPr>
      <w:r w:rsidRPr="0025250D">
        <w:rPr>
          <w:rtl/>
        </w:rPr>
        <w:t>ابر</w:t>
      </w:r>
      <w:r w:rsidR="00FB6A7E" w:rsidRPr="0025250D">
        <w:rPr>
          <w:rtl/>
        </w:rPr>
        <w:t>پیش‌نگری</w:t>
      </w:r>
      <w:r w:rsidRPr="0025250D">
        <w:rPr>
          <w:rtl/>
        </w:rPr>
        <w:t xml:space="preserve">: هنر و علم </w:t>
      </w:r>
      <w:r w:rsidR="00D92F6E" w:rsidRPr="0025250D">
        <w:rPr>
          <w:rtl/>
        </w:rPr>
        <w:t>پیش‌بین</w:t>
      </w:r>
      <w:r w:rsidRPr="0025250D">
        <w:rPr>
          <w:rFonts w:hint="cs"/>
          <w:rtl/>
        </w:rPr>
        <w:t>ی</w:t>
      </w:r>
      <w:r w:rsidRPr="0025250D">
        <w:rPr>
          <w:vertAlign w:val="superscript"/>
          <w:rtl/>
        </w:rPr>
        <w:footnoteReference w:id="3258"/>
      </w:r>
      <w:r w:rsidRPr="0025250D">
        <w:rPr>
          <w:rFonts w:hint="cs"/>
          <w:rtl/>
        </w:rPr>
        <w:t xml:space="preserve">، </w:t>
      </w:r>
      <w:r w:rsidRPr="0025250D">
        <w:rPr>
          <w:rtl/>
        </w:rPr>
        <w:t>ف</w:t>
      </w:r>
      <w:r w:rsidRPr="0025250D">
        <w:rPr>
          <w:rFonts w:hint="cs"/>
          <w:rtl/>
        </w:rPr>
        <w:t>ی</w:t>
      </w:r>
      <w:r w:rsidRPr="0025250D">
        <w:rPr>
          <w:rFonts w:hint="eastAsia"/>
          <w:rtl/>
        </w:rPr>
        <w:t>ل</w:t>
      </w:r>
      <w:r w:rsidRPr="0025250D">
        <w:rPr>
          <w:rFonts w:hint="cs"/>
          <w:rtl/>
        </w:rPr>
        <w:t>ی</w:t>
      </w:r>
      <w:r w:rsidRPr="0025250D">
        <w:rPr>
          <w:rFonts w:hint="eastAsia"/>
          <w:rtl/>
        </w:rPr>
        <w:t>پ</w:t>
      </w:r>
      <w:r w:rsidRPr="0025250D">
        <w:rPr>
          <w:rtl/>
        </w:rPr>
        <w:t xml:space="preserve"> ا</w:t>
      </w:r>
      <w:r w:rsidRPr="0025250D">
        <w:rPr>
          <w:rFonts w:hint="cs"/>
          <w:rtl/>
        </w:rPr>
        <w:t>ی</w:t>
      </w:r>
      <w:r w:rsidRPr="0025250D">
        <w:rPr>
          <w:rtl/>
        </w:rPr>
        <w:t>. تتلاک و دن گاردنر</w:t>
      </w:r>
      <w:r w:rsidRPr="0025250D">
        <w:rPr>
          <w:rFonts w:hint="cs"/>
          <w:rtl/>
        </w:rPr>
        <w:t xml:space="preserve">، </w:t>
      </w:r>
      <w:r w:rsidRPr="0025250D">
        <w:rPr>
          <w:rtl/>
        </w:rPr>
        <w:t>2015.</w:t>
      </w:r>
      <w:r w:rsidRPr="0025250D">
        <w:rPr>
          <w:rFonts w:hint="cs"/>
          <w:rtl/>
        </w:rPr>
        <w:t xml:space="preserve"> </w:t>
      </w:r>
      <w:r w:rsidRPr="0025250D">
        <w:rPr>
          <w:rtl/>
        </w:rPr>
        <w:t>مقدمه‌ا</w:t>
      </w:r>
      <w:r w:rsidRPr="0025250D">
        <w:rPr>
          <w:rFonts w:hint="cs"/>
          <w:rtl/>
        </w:rPr>
        <w:t>ی</w:t>
      </w:r>
      <w:r w:rsidRPr="0025250D">
        <w:rPr>
          <w:rtl/>
        </w:rPr>
        <w:t xml:space="preserve"> اجبار</w:t>
      </w:r>
      <w:r w:rsidRPr="0025250D">
        <w:rPr>
          <w:rFonts w:hint="cs"/>
          <w:rtl/>
        </w:rPr>
        <w:t>ی</w:t>
      </w:r>
      <w:r w:rsidRPr="0025250D">
        <w:rPr>
          <w:rtl/>
        </w:rPr>
        <w:t xml:space="preserve"> در مورد ا</w:t>
      </w:r>
      <w:r w:rsidRPr="0025250D">
        <w:rPr>
          <w:rFonts w:hint="cs"/>
          <w:rtl/>
        </w:rPr>
        <w:t>ی</w:t>
      </w:r>
      <w:r w:rsidRPr="0025250D">
        <w:rPr>
          <w:rFonts w:hint="eastAsia"/>
          <w:rtl/>
        </w:rPr>
        <w:t>نکه</w:t>
      </w:r>
      <w:r w:rsidRPr="0025250D">
        <w:rPr>
          <w:rtl/>
        </w:rPr>
        <w:t xml:space="preserve"> چگونه ت</w:t>
      </w:r>
      <w:r w:rsidRPr="0025250D">
        <w:rPr>
          <w:rFonts w:hint="cs"/>
          <w:rtl/>
        </w:rPr>
        <w:t>ی</w:t>
      </w:r>
      <w:r w:rsidRPr="0025250D">
        <w:rPr>
          <w:rFonts w:hint="eastAsia"/>
          <w:rtl/>
        </w:rPr>
        <w:t>م‌ها</w:t>
      </w:r>
      <w:r w:rsidRPr="0025250D">
        <w:rPr>
          <w:rFonts w:hint="cs"/>
          <w:rtl/>
        </w:rPr>
        <w:t>ی</w:t>
      </w:r>
      <w:r w:rsidRPr="0025250D">
        <w:rPr>
          <w:rtl/>
        </w:rPr>
        <w:t xml:space="preserve"> دارا</w:t>
      </w:r>
      <w:r w:rsidRPr="0025250D">
        <w:rPr>
          <w:rFonts w:hint="cs"/>
          <w:rtl/>
        </w:rPr>
        <w:t>ی</w:t>
      </w:r>
      <w:r w:rsidRPr="0025250D">
        <w:rPr>
          <w:rtl/>
        </w:rPr>
        <w:t xml:space="preserve"> تنوع شناخت</w:t>
      </w:r>
      <w:r w:rsidRPr="0025250D">
        <w:rPr>
          <w:rFonts w:hint="cs"/>
          <w:rtl/>
        </w:rPr>
        <w:t>ی</w:t>
      </w:r>
      <w:r w:rsidRPr="0025250D">
        <w:rPr>
          <w:rFonts w:hint="eastAsia"/>
          <w:rtl/>
        </w:rPr>
        <w:t>،</w:t>
      </w:r>
      <w:r w:rsidRPr="0025250D">
        <w:rPr>
          <w:rtl/>
        </w:rPr>
        <w:t xml:space="preserve"> با استفاده از شواهد از منابع مختلف، تفکر احتمال</w:t>
      </w:r>
      <w:r w:rsidRPr="0025250D">
        <w:rPr>
          <w:rFonts w:hint="cs"/>
          <w:rtl/>
        </w:rPr>
        <w:t>ی</w:t>
      </w:r>
      <w:r w:rsidRPr="0025250D">
        <w:rPr>
          <w:rFonts w:hint="eastAsia"/>
          <w:rtl/>
        </w:rPr>
        <w:t>،</w:t>
      </w:r>
      <w:r w:rsidRPr="0025250D">
        <w:rPr>
          <w:rtl/>
        </w:rPr>
        <w:t xml:space="preserve"> حفظ امت</w:t>
      </w:r>
      <w:r w:rsidRPr="0025250D">
        <w:rPr>
          <w:rFonts w:hint="cs"/>
          <w:rtl/>
        </w:rPr>
        <w:t>ی</w:t>
      </w:r>
      <w:r w:rsidRPr="0025250D">
        <w:rPr>
          <w:rFonts w:hint="eastAsia"/>
          <w:rtl/>
        </w:rPr>
        <w:t>از</w:t>
      </w:r>
      <w:r w:rsidRPr="0025250D">
        <w:rPr>
          <w:rtl/>
        </w:rPr>
        <w:t xml:space="preserve"> و </w:t>
      </w:r>
      <w:r w:rsidRPr="0025250D">
        <w:rPr>
          <w:rFonts w:hint="cs"/>
          <w:rtl/>
        </w:rPr>
        <w:t>ی</w:t>
      </w:r>
      <w:r w:rsidRPr="0025250D">
        <w:rPr>
          <w:rFonts w:hint="eastAsia"/>
          <w:rtl/>
        </w:rPr>
        <w:t>ادگ</w:t>
      </w:r>
      <w:r w:rsidRPr="0025250D">
        <w:rPr>
          <w:rFonts w:hint="cs"/>
          <w:rtl/>
        </w:rPr>
        <w:t>ی</w:t>
      </w:r>
      <w:r w:rsidRPr="0025250D">
        <w:rPr>
          <w:rFonts w:hint="eastAsia"/>
          <w:rtl/>
        </w:rPr>
        <w:t>ر</w:t>
      </w:r>
      <w:r w:rsidRPr="0025250D">
        <w:rPr>
          <w:rFonts w:hint="cs"/>
          <w:rtl/>
        </w:rPr>
        <w:t>ی</w:t>
      </w:r>
      <w:r w:rsidRPr="0025250D">
        <w:rPr>
          <w:rtl/>
        </w:rPr>
        <w:t xml:space="preserve"> از خطا، م</w:t>
      </w:r>
      <w:r w:rsidRPr="0025250D">
        <w:rPr>
          <w:rFonts w:hint="cs"/>
          <w:rtl/>
        </w:rPr>
        <w:t>ی‌</w:t>
      </w:r>
      <w:r w:rsidRPr="0025250D">
        <w:rPr>
          <w:rFonts w:hint="eastAsia"/>
          <w:rtl/>
        </w:rPr>
        <w:t>توانند</w:t>
      </w:r>
      <w:r w:rsidRPr="0025250D">
        <w:rPr>
          <w:rtl/>
        </w:rPr>
        <w:t xml:space="preserve"> به طور اساس</w:t>
      </w:r>
      <w:r w:rsidRPr="0025250D">
        <w:rPr>
          <w:rFonts w:hint="cs"/>
          <w:rtl/>
        </w:rPr>
        <w:t>ی</w:t>
      </w:r>
      <w:r w:rsidRPr="0025250D">
        <w:rPr>
          <w:rtl/>
        </w:rPr>
        <w:t xml:space="preserve"> توانا</w:t>
      </w:r>
      <w:r w:rsidRPr="0025250D">
        <w:rPr>
          <w:rFonts w:hint="cs"/>
          <w:rtl/>
        </w:rPr>
        <w:t>یی</w:t>
      </w:r>
      <w:r w:rsidRPr="0025250D">
        <w:rPr>
          <w:rtl/>
        </w:rPr>
        <w:t xml:space="preserve"> ما را برا</w:t>
      </w:r>
      <w:r w:rsidRPr="0025250D">
        <w:rPr>
          <w:rFonts w:hint="cs"/>
          <w:rtl/>
        </w:rPr>
        <w:t>ی</w:t>
      </w:r>
      <w:r w:rsidRPr="0025250D">
        <w:rPr>
          <w:rtl/>
        </w:rPr>
        <w:t xml:space="preserve"> پ</w:t>
      </w:r>
      <w:r w:rsidRPr="0025250D">
        <w:rPr>
          <w:rFonts w:hint="cs"/>
          <w:rtl/>
        </w:rPr>
        <w:t>ی</w:t>
      </w:r>
      <w:r w:rsidRPr="0025250D">
        <w:rPr>
          <w:rFonts w:hint="eastAsia"/>
          <w:rtl/>
        </w:rPr>
        <w:t>ش‌ب</w:t>
      </w:r>
      <w:r w:rsidRPr="0025250D">
        <w:rPr>
          <w:rFonts w:hint="cs"/>
          <w:rtl/>
        </w:rPr>
        <w:t>ی</w:t>
      </w:r>
      <w:r w:rsidRPr="0025250D">
        <w:rPr>
          <w:rFonts w:hint="eastAsia"/>
          <w:rtl/>
        </w:rPr>
        <w:t>ن</w:t>
      </w:r>
      <w:r w:rsidRPr="0025250D">
        <w:rPr>
          <w:rFonts w:hint="cs"/>
          <w:rtl/>
        </w:rPr>
        <w:t>ی</w:t>
      </w:r>
      <w:r w:rsidRPr="0025250D">
        <w:rPr>
          <w:rtl/>
        </w:rPr>
        <w:t xml:space="preserve"> بهبود بخشند.</w:t>
      </w:r>
    </w:p>
    <w:p w14:paraId="0F2BE5A3" w14:textId="42FA40C8" w:rsidR="008A50B6" w:rsidRPr="0025250D" w:rsidRDefault="008A50B6" w:rsidP="00492C47">
      <w:pPr>
        <w:numPr>
          <w:ilvl w:val="0"/>
          <w:numId w:val="74"/>
        </w:numPr>
        <w:rPr>
          <w:rtl/>
        </w:rPr>
      </w:pPr>
      <w:r w:rsidRPr="0025250D">
        <w:rPr>
          <w:rtl/>
        </w:rPr>
        <w:t>واقع</w:t>
      </w:r>
      <w:r w:rsidRPr="0025250D">
        <w:rPr>
          <w:rFonts w:hint="cs"/>
          <w:rtl/>
        </w:rPr>
        <w:t>ی</w:t>
      </w:r>
      <w:r w:rsidRPr="0025250D">
        <w:rPr>
          <w:rFonts w:hint="eastAsia"/>
          <w:rtl/>
        </w:rPr>
        <w:t>ت</w:t>
      </w:r>
      <w:r w:rsidRPr="0025250D">
        <w:rPr>
          <w:rtl/>
        </w:rPr>
        <w:t>: ده دل</w:t>
      </w:r>
      <w:r w:rsidRPr="0025250D">
        <w:rPr>
          <w:rFonts w:hint="cs"/>
          <w:rtl/>
        </w:rPr>
        <w:t>ی</w:t>
      </w:r>
      <w:r w:rsidRPr="0025250D">
        <w:rPr>
          <w:rFonts w:hint="eastAsia"/>
          <w:rtl/>
        </w:rPr>
        <w:t>ل</w:t>
      </w:r>
      <w:r w:rsidRPr="0025250D">
        <w:rPr>
          <w:rtl/>
        </w:rPr>
        <w:t xml:space="preserve"> برا</w:t>
      </w:r>
      <w:r w:rsidRPr="0025250D">
        <w:rPr>
          <w:rFonts w:hint="cs"/>
          <w:rtl/>
        </w:rPr>
        <w:t>ی</w:t>
      </w:r>
      <w:r w:rsidRPr="0025250D">
        <w:rPr>
          <w:rtl/>
        </w:rPr>
        <w:t xml:space="preserve"> ا</w:t>
      </w:r>
      <w:r w:rsidRPr="0025250D">
        <w:rPr>
          <w:rFonts w:hint="cs"/>
          <w:rtl/>
        </w:rPr>
        <w:t>ی</w:t>
      </w:r>
      <w:r w:rsidRPr="0025250D">
        <w:rPr>
          <w:rFonts w:hint="eastAsia"/>
          <w:rtl/>
        </w:rPr>
        <w:t>نکه</w:t>
      </w:r>
      <w:r w:rsidRPr="0025250D">
        <w:rPr>
          <w:rtl/>
        </w:rPr>
        <w:t xml:space="preserve"> دن</w:t>
      </w:r>
      <w:r w:rsidRPr="0025250D">
        <w:rPr>
          <w:rFonts w:hint="cs"/>
          <w:rtl/>
        </w:rPr>
        <w:t>ی</w:t>
      </w:r>
      <w:r w:rsidRPr="0025250D">
        <w:rPr>
          <w:rFonts w:hint="eastAsia"/>
          <w:rtl/>
        </w:rPr>
        <w:t>ا</w:t>
      </w:r>
      <w:r w:rsidRPr="0025250D">
        <w:rPr>
          <w:rtl/>
        </w:rPr>
        <w:t xml:space="preserve"> بهتر از آن چ</w:t>
      </w:r>
      <w:r w:rsidRPr="0025250D">
        <w:rPr>
          <w:rFonts w:hint="cs"/>
          <w:rtl/>
        </w:rPr>
        <w:t>ی</w:t>
      </w:r>
      <w:r w:rsidRPr="0025250D">
        <w:rPr>
          <w:rFonts w:hint="eastAsia"/>
          <w:rtl/>
        </w:rPr>
        <w:t>ز</w:t>
      </w:r>
      <w:r w:rsidRPr="0025250D">
        <w:rPr>
          <w:rFonts w:hint="cs"/>
          <w:rtl/>
        </w:rPr>
        <w:t>ی</w:t>
      </w:r>
      <w:r w:rsidRPr="0025250D">
        <w:rPr>
          <w:rtl/>
        </w:rPr>
        <w:t xml:space="preserve"> است که شما فکر م</w:t>
      </w:r>
      <w:r w:rsidRPr="0025250D">
        <w:rPr>
          <w:rFonts w:hint="cs"/>
          <w:rtl/>
        </w:rPr>
        <w:t>ی</w:t>
      </w:r>
      <w:r w:rsidRPr="0025250D">
        <w:rPr>
          <w:rtl/>
        </w:rPr>
        <w:t xml:space="preserve"> کن</w:t>
      </w:r>
      <w:r w:rsidRPr="0025250D">
        <w:rPr>
          <w:rFonts w:hint="cs"/>
          <w:rtl/>
        </w:rPr>
        <w:t>ی</w:t>
      </w:r>
      <w:r w:rsidRPr="0025250D">
        <w:rPr>
          <w:rFonts w:hint="eastAsia"/>
          <w:rtl/>
        </w:rPr>
        <w:t>د</w:t>
      </w:r>
      <w:r w:rsidRPr="0025250D">
        <w:rPr>
          <w:vertAlign w:val="superscript"/>
          <w:rtl/>
        </w:rPr>
        <w:footnoteReference w:id="3259"/>
      </w:r>
      <w:r w:rsidRPr="0025250D">
        <w:rPr>
          <w:rFonts w:hint="cs"/>
          <w:rtl/>
        </w:rPr>
        <w:t xml:space="preserve">، </w:t>
      </w:r>
      <w:r w:rsidRPr="0025250D">
        <w:rPr>
          <w:rtl/>
        </w:rPr>
        <w:t>هانس روسل</w:t>
      </w:r>
      <w:r w:rsidRPr="0025250D">
        <w:rPr>
          <w:rFonts w:hint="cs"/>
          <w:rtl/>
        </w:rPr>
        <w:t>ی</w:t>
      </w:r>
      <w:r w:rsidRPr="0025250D">
        <w:rPr>
          <w:rFonts w:hint="eastAsia"/>
          <w:rtl/>
        </w:rPr>
        <w:t>نگ</w:t>
      </w:r>
      <w:r w:rsidRPr="0025250D">
        <w:rPr>
          <w:rFonts w:hint="cs"/>
          <w:rtl/>
        </w:rPr>
        <w:t xml:space="preserve">، </w:t>
      </w:r>
      <w:r w:rsidRPr="0025250D">
        <w:rPr>
          <w:rtl/>
        </w:rPr>
        <w:t>2018</w:t>
      </w:r>
      <w:r w:rsidRPr="0025250D">
        <w:rPr>
          <w:rFonts w:hint="cs"/>
          <w:rtl/>
        </w:rPr>
        <w:t xml:space="preserve">. </w:t>
      </w:r>
      <w:r w:rsidRPr="0025250D">
        <w:rPr>
          <w:rtl/>
        </w:rPr>
        <w:t>برا</w:t>
      </w:r>
      <w:r w:rsidRPr="0025250D">
        <w:rPr>
          <w:rFonts w:hint="cs"/>
          <w:rtl/>
        </w:rPr>
        <w:t>ی</w:t>
      </w:r>
      <w:r w:rsidRPr="0025250D">
        <w:rPr>
          <w:rtl/>
        </w:rPr>
        <w:t xml:space="preserve"> متفکران </w:t>
      </w:r>
      <w:r w:rsidR="00D30084" w:rsidRPr="0025250D">
        <w:rPr>
          <w:rtl/>
        </w:rPr>
        <w:t>آینده‌نگار</w:t>
      </w:r>
      <w:r w:rsidRPr="0025250D">
        <w:rPr>
          <w:rtl/>
        </w:rPr>
        <w:t xml:space="preserve"> مقدمات</w:t>
      </w:r>
      <w:r w:rsidRPr="0025250D">
        <w:rPr>
          <w:rFonts w:hint="cs"/>
          <w:rtl/>
        </w:rPr>
        <w:t>ی</w:t>
      </w:r>
      <w:r w:rsidRPr="0025250D">
        <w:rPr>
          <w:rtl/>
        </w:rPr>
        <w:t xml:space="preserve"> ضرور</w:t>
      </w:r>
      <w:r w:rsidRPr="0025250D">
        <w:rPr>
          <w:rFonts w:hint="cs"/>
          <w:rtl/>
        </w:rPr>
        <w:t>ی</w:t>
      </w:r>
      <w:r w:rsidRPr="0025250D">
        <w:rPr>
          <w:rtl/>
        </w:rPr>
        <w:t xml:space="preserve"> است، ز</w:t>
      </w:r>
      <w:r w:rsidRPr="0025250D">
        <w:rPr>
          <w:rFonts w:hint="cs"/>
          <w:rtl/>
        </w:rPr>
        <w:t>ی</w:t>
      </w:r>
      <w:r w:rsidRPr="0025250D">
        <w:rPr>
          <w:rFonts w:hint="eastAsia"/>
          <w:rtl/>
        </w:rPr>
        <w:t>را</w:t>
      </w:r>
      <w:r w:rsidRPr="0025250D">
        <w:rPr>
          <w:rtl/>
        </w:rPr>
        <w:t xml:space="preserve"> بر اهم</w:t>
      </w:r>
      <w:r w:rsidRPr="0025250D">
        <w:rPr>
          <w:rFonts w:hint="cs"/>
          <w:rtl/>
        </w:rPr>
        <w:t>ی</w:t>
      </w:r>
      <w:r w:rsidRPr="0025250D">
        <w:rPr>
          <w:rFonts w:hint="eastAsia"/>
          <w:rtl/>
        </w:rPr>
        <w:t>ت</w:t>
      </w:r>
      <w:r w:rsidRPr="0025250D">
        <w:rPr>
          <w:rtl/>
        </w:rPr>
        <w:t xml:space="preserve"> ا</w:t>
      </w:r>
      <w:r w:rsidRPr="0025250D">
        <w:rPr>
          <w:rFonts w:hint="cs"/>
          <w:rtl/>
        </w:rPr>
        <w:t>ی</w:t>
      </w:r>
      <w:r w:rsidRPr="0025250D">
        <w:rPr>
          <w:rFonts w:hint="eastAsia"/>
          <w:rtl/>
        </w:rPr>
        <w:t>جاد</w:t>
      </w:r>
      <w:r w:rsidRPr="0025250D">
        <w:rPr>
          <w:rtl/>
        </w:rPr>
        <w:t xml:space="preserve"> </w:t>
      </w:r>
      <w:r w:rsidRPr="0025250D">
        <w:rPr>
          <w:rFonts w:hint="cs"/>
          <w:rtl/>
        </w:rPr>
        <w:t>ی</w:t>
      </w:r>
      <w:r w:rsidRPr="0025250D">
        <w:rPr>
          <w:rFonts w:hint="eastAsia"/>
          <w:rtl/>
        </w:rPr>
        <w:t>ک</w:t>
      </w:r>
      <w:r w:rsidRPr="0025250D">
        <w:rPr>
          <w:rtl/>
        </w:rPr>
        <w:t xml:space="preserve"> </w:t>
      </w:r>
      <w:r w:rsidR="00A20CCB" w:rsidRPr="0025250D">
        <w:rPr>
          <w:rtl/>
        </w:rPr>
        <w:t>جهان‌بینی</w:t>
      </w:r>
      <w:r w:rsidRPr="0025250D">
        <w:rPr>
          <w:rtl/>
        </w:rPr>
        <w:t xml:space="preserve"> مبتن</w:t>
      </w:r>
      <w:r w:rsidRPr="0025250D">
        <w:rPr>
          <w:rFonts w:hint="cs"/>
          <w:rtl/>
        </w:rPr>
        <w:t>ی</w:t>
      </w:r>
      <w:r w:rsidRPr="0025250D">
        <w:rPr>
          <w:rtl/>
        </w:rPr>
        <w:t xml:space="preserve"> بر شواهد، </w:t>
      </w:r>
      <w:r w:rsidRPr="0025250D">
        <w:rPr>
          <w:rFonts w:hint="cs"/>
          <w:rtl/>
        </w:rPr>
        <w:t>ضمن</w:t>
      </w:r>
      <w:r w:rsidRPr="0025250D">
        <w:rPr>
          <w:rtl/>
        </w:rPr>
        <w:t xml:space="preserve"> بررس</w:t>
      </w:r>
      <w:r w:rsidRPr="0025250D">
        <w:rPr>
          <w:rFonts w:hint="cs"/>
          <w:rtl/>
        </w:rPr>
        <w:t>ی</w:t>
      </w:r>
      <w:r w:rsidRPr="0025250D">
        <w:rPr>
          <w:rtl/>
        </w:rPr>
        <w:t xml:space="preserve"> روندها</w:t>
      </w:r>
      <w:r w:rsidRPr="0025250D">
        <w:rPr>
          <w:rFonts w:hint="cs"/>
          <w:rtl/>
        </w:rPr>
        <w:t>ی</w:t>
      </w:r>
      <w:r w:rsidRPr="0025250D">
        <w:rPr>
          <w:rtl/>
        </w:rPr>
        <w:t xml:space="preserve"> کل</w:t>
      </w:r>
      <w:r w:rsidRPr="0025250D">
        <w:rPr>
          <w:rFonts w:hint="cs"/>
          <w:rtl/>
        </w:rPr>
        <w:t>ی</w:t>
      </w:r>
      <w:r w:rsidRPr="0025250D">
        <w:rPr>
          <w:rFonts w:hint="eastAsia"/>
          <w:rtl/>
        </w:rPr>
        <w:t>د</w:t>
      </w:r>
      <w:r w:rsidRPr="0025250D">
        <w:rPr>
          <w:rFonts w:hint="cs"/>
          <w:rtl/>
        </w:rPr>
        <w:t>ی</w:t>
      </w:r>
      <w:r w:rsidRPr="0025250D">
        <w:rPr>
          <w:rtl/>
        </w:rPr>
        <w:t xml:space="preserve"> در توسعه جهان</w:t>
      </w:r>
      <w:r w:rsidRPr="0025250D">
        <w:rPr>
          <w:rFonts w:hint="cs"/>
          <w:rtl/>
        </w:rPr>
        <w:t>ی</w:t>
      </w:r>
      <w:r w:rsidRPr="0025250D">
        <w:rPr>
          <w:rtl/>
        </w:rPr>
        <w:t xml:space="preserve"> تأک</w:t>
      </w:r>
      <w:r w:rsidRPr="0025250D">
        <w:rPr>
          <w:rFonts w:hint="cs"/>
          <w:rtl/>
        </w:rPr>
        <w:t>ی</w:t>
      </w:r>
      <w:r w:rsidRPr="0025250D">
        <w:rPr>
          <w:rFonts w:hint="eastAsia"/>
          <w:rtl/>
        </w:rPr>
        <w:t>د</w:t>
      </w:r>
      <w:r w:rsidRPr="0025250D">
        <w:rPr>
          <w:rtl/>
        </w:rPr>
        <w:t xml:space="preserve"> م</w:t>
      </w:r>
      <w:r w:rsidRPr="0025250D">
        <w:rPr>
          <w:rFonts w:hint="cs"/>
          <w:rtl/>
        </w:rPr>
        <w:t>ی</w:t>
      </w:r>
      <w:r w:rsidRPr="0025250D">
        <w:rPr>
          <w:rtl/>
        </w:rPr>
        <w:t xml:space="preserve"> کند.</w:t>
      </w:r>
    </w:p>
    <w:p w14:paraId="22155E95" w14:textId="5F87093F" w:rsidR="008A50B6" w:rsidRPr="0025250D" w:rsidRDefault="008A50B6" w:rsidP="00492C47">
      <w:pPr>
        <w:numPr>
          <w:ilvl w:val="0"/>
          <w:numId w:val="74"/>
        </w:numPr>
      </w:pPr>
      <w:r w:rsidRPr="0025250D">
        <w:rPr>
          <w:rtl/>
        </w:rPr>
        <w:t>ده روند جهان</w:t>
      </w:r>
      <w:r w:rsidRPr="0025250D">
        <w:rPr>
          <w:rFonts w:hint="cs"/>
          <w:rtl/>
        </w:rPr>
        <w:t>ی</w:t>
      </w:r>
      <w:r w:rsidRPr="0025250D">
        <w:rPr>
          <w:rtl/>
        </w:rPr>
        <w:t xml:space="preserve"> که هر فرد باهوش</w:t>
      </w:r>
      <w:r w:rsidRPr="0025250D">
        <w:rPr>
          <w:rFonts w:hint="cs"/>
          <w:rtl/>
        </w:rPr>
        <w:t>ی</w:t>
      </w:r>
      <w:r w:rsidRPr="0025250D">
        <w:rPr>
          <w:rtl/>
        </w:rPr>
        <w:t xml:space="preserve"> با</w:t>
      </w:r>
      <w:r w:rsidRPr="0025250D">
        <w:rPr>
          <w:rFonts w:hint="cs"/>
          <w:rtl/>
        </w:rPr>
        <w:t>ی</w:t>
      </w:r>
      <w:r w:rsidRPr="0025250D">
        <w:rPr>
          <w:rFonts w:hint="eastAsia"/>
          <w:rtl/>
        </w:rPr>
        <w:t>د</w:t>
      </w:r>
      <w:r w:rsidRPr="0025250D">
        <w:rPr>
          <w:rtl/>
        </w:rPr>
        <w:t xml:space="preserve"> بداند، ران ب</w:t>
      </w:r>
      <w:r w:rsidRPr="0025250D">
        <w:rPr>
          <w:rFonts w:hint="cs"/>
          <w:rtl/>
        </w:rPr>
        <w:t>ی</w:t>
      </w:r>
      <w:r w:rsidRPr="0025250D">
        <w:rPr>
          <w:rFonts w:hint="eastAsia"/>
          <w:rtl/>
        </w:rPr>
        <w:t>ل</w:t>
      </w:r>
      <w:r w:rsidRPr="0025250D">
        <w:rPr>
          <w:rFonts w:hint="cs"/>
          <w:rtl/>
        </w:rPr>
        <w:t>ی</w:t>
      </w:r>
      <w:r w:rsidRPr="0025250D">
        <w:rPr>
          <w:rtl/>
        </w:rPr>
        <w:t xml:space="preserve"> و مار</w:t>
      </w:r>
      <w:r w:rsidRPr="0025250D">
        <w:rPr>
          <w:rFonts w:hint="cs"/>
          <w:rtl/>
        </w:rPr>
        <w:t>ی</w:t>
      </w:r>
      <w:r w:rsidRPr="0025250D">
        <w:rPr>
          <w:rFonts w:hint="eastAsia"/>
          <w:rtl/>
        </w:rPr>
        <w:t>ون</w:t>
      </w:r>
      <w:r w:rsidRPr="0025250D">
        <w:rPr>
          <w:rtl/>
        </w:rPr>
        <w:t xml:space="preserve"> تاپ</w:t>
      </w:r>
      <w:r w:rsidRPr="0025250D">
        <w:rPr>
          <w:rFonts w:hint="cs"/>
          <w:rtl/>
        </w:rPr>
        <w:t>ی</w:t>
      </w:r>
      <w:r w:rsidRPr="0025250D">
        <w:rPr>
          <w:vertAlign w:val="superscript"/>
          <w:rtl/>
        </w:rPr>
        <w:footnoteReference w:id="3260"/>
      </w:r>
      <w:r w:rsidRPr="0025250D">
        <w:rPr>
          <w:rFonts w:hint="eastAsia"/>
          <w:rtl/>
        </w:rPr>
        <w:t>،</w:t>
      </w:r>
      <w:r w:rsidRPr="0025250D">
        <w:rPr>
          <w:rtl/>
        </w:rPr>
        <w:t xml:space="preserve"> 2020</w:t>
      </w:r>
      <w:r w:rsidRPr="0025250D">
        <w:rPr>
          <w:rFonts w:hint="cs"/>
          <w:rtl/>
        </w:rPr>
        <w:t xml:space="preserve">. </w:t>
      </w:r>
      <w:r w:rsidRPr="0025250D">
        <w:rPr>
          <w:rtl/>
        </w:rPr>
        <w:t>نگاه</w:t>
      </w:r>
      <w:r w:rsidRPr="0025250D">
        <w:rPr>
          <w:rFonts w:hint="cs"/>
          <w:rtl/>
        </w:rPr>
        <w:t>ی</w:t>
      </w:r>
      <w:r w:rsidRPr="0025250D">
        <w:rPr>
          <w:rtl/>
        </w:rPr>
        <w:t xml:space="preserve"> گسترده به چند</w:t>
      </w:r>
      <w:r w:rsidRPr="0025250D">
        <w:rPr>
          <w:rFonts w:hint="cs"/>
          <w:rtl/>
        </w:rPr>
        <w:t>ی</w:t>
      </w:r>
      <w:r w:rsidRPr="0025250D">
        <w:rPr>
          <w:rFonts w:hint="eastAsia"/>
          <w:rtl/>
        </w:rPr>
        <w:t>ن</w:t>
      </w:r>
      <w:r w:rsidRPr="0025250D">
        <w:rPr>
          <w:rtl/>
        </w:rPr>
        <w:t xml:space="preserve"> روند مثبت قابل </w:t>
      </w:r>
      <w:r w:rsidR="00D92F6E" w:rsidRPr="0025250D">
        <w:rPr>
          <w:rtl/>
        </w:rPr>
        <w:t>پیش‌بین</w:t>
      </w:r>
      <w:r w:rsidRPr="0025250D">
        <w:rPr>
          <w:rFonts w:hint="cs"/>
          <w:rtl/>
        </w:rPr>
        <w:t>ی</w:t>
      </w:r>
      <w:r w:rsidRPr="0025250D">
        <w:rPr>
          <w:rtl/>
        </w:rPr>
        <w:t xml:space="preserve"> جهان</w:t>
      </w:r>
      <w:r w:rsidRPr="0025250D">
        <w:rPr>
          <w:rFonts w:hint="cs"/>
          <w:rtl/>
        </w:rPr>
        <w:t>ی</w:t>
      </w:r>
      <w:r w:rsidRPr="0025250D">
        <w:rPr>
          <w:rtl/>
        </w:rPr>
        <w:t xml:space="preserve"> که ب</w:t>
      </w:r>
      <w:r w:rsidRPr="0025250D">
        <w:rPr>
          <w:rFonts w:hint="cs"/>
          <w:rtl/>
        </w:rPr>
        <w:t>ی</w:t>
      </w:r>
      <w:r w:rsidRPr="0025250D">
        <w:rPr>
          <w:rFonts w:hint="eastAsia"/>
          <w:rtl/>
        </w:rPr>
        <w:t>شتر</w:t>
      </w:r>
      <w:r w:rsidRPr="0025250D">
        <w:rPr>
          <w:rtl/>
        </w:rPr>
        <w:t xml:space="preserve"> آنها توسط رسانه ها</w:t>
      </w:r>
      <w:r w:rsidRPr="0025250D">
        <w:rPr>
          <w:rFonts w:hint="cs"/>
          <w:rtl/>
        </w:rPr>
        <w:t>ی</w:t>
      </w:r>
      <w:r w:rsidRPr="0025250D">
        <w:rPr>
          <w:rtl/>
        </w:rPr>
        <w:t xml:space="preserve"> بزرگ ناد</w:t>
      </w:r>
      <w:r w:rsidRPr="0025250D">
        <w:rPr>
          <w:rFonts w:hint="cs"/>
          <w:rtl/>
        </w:rPr>
        <w:t>ی</w:t>
      </w:r>
      <w:r w:rsidRPr="0025250D">
        <w:rPr>
          <w:rFonts w:hint="eastAsia"/>
          <w:rtl/>
        </w:rPr>
        <w:t>ده</w:t>
      </w:r>
      <w:r w:rsidRPr="0025250D">
        <w:rPr>
          <w:rtl/>
        </w:rPr>
        <w:t xml:space="preserve"> گرفته </w:t>
      </w:r>
      <w:r w:rsidR="00185F3E" w:rsidRPr="0025250D">
        <w:rPr>
          <w:rtl/>
        </w:rPr>
        <w:t>شده‌اند</w:t>
      </w:r>
      <w:r w:rsidRPr="0025250D">
        <w:rPr>
          <w:rtl/>
        </w:rPr>
        <w:t xml:space="preserve">. </w:t>
      </w:r>
      <w:r w:rsidRPr="0025250D">
        <w:rPr>
          <w:rFonts w:hint="cs"/>
          <w:rtl/>
        </w:rPr>
        <w:t>ی</w:t>
      </w:r>
      <w:r w:rsidRPr="0025250D">
        <w:rPr>
          <w:rFonts w:hint="eastAsia"/>
          <w:rtl/>
        </w:rPr>
        <w:t>ک</w:t>
      </w:r>
      <w:r w:rsidRPr="0025250D">
        <w:rPr>
          <w:rtl/>
        </w:rPr>
        <w:t xml:space="preserve"> همراه عال</w:t>
      </w:r>
      <w:r w:rsidRPr="0025250D">
        <w:rPr>
          <w:rFonts w:hint="cs"/>
          <w:rtl/>
        </w:rPr>
        <w:t>ی</w:t>
      </w:r>
      <w:r w:rsidRPr="0025250D">
        <w:rPr>
          <w:rtl/>
        </w:rPr>
        <w:t xml:space="preserve"> برا</w:t>
      </w:r>
      <w:r w:rsidRPr="0025250D">
        <w:rPr>
          <w:rFonts w:hint="cs"/>
          <w:rtl/>
        </w:rPr>
        <w:t>ی</w:t>
      </w:r>
      <w:r w:rsidRPr="0025250D">
        <w:rPr>
          <w:rtl/>
        </w:rPr>
        <w:t xml:space="preserve"> واقع</w:t>
      </w:r>
      <w:r w:rsidRPr="0025250D">
        <w:rPr>
          <w:rFonts w:hint="cs"/>
          <w:rtl/>
        </w:rPr>
        <w:t>ی</w:t>
      </w:r>
      <w:r w:rsidRPr="0025250D">
        <w:rPr>
          <w:rFonts w:hint="eastAsia"/>
          <w:rtl/>
        </w:rPr>
        <w:t>ت</w:t>
      </w:r>
      <w:r w:rsidRPr="0025250D">
        <w:rPr>
          <w:rtl/>
        </w:rPr>
        <w:t xml:space="preserve"> گرا</w:t>
      </w:r>
      <w:r w:rsidRPr="0025250D">
        <w:rPr>
          <w:rFonts w:hint="cs"/>
          <w:rtl/>
        </w:rPr>
        <w:t>یی</w:t>
      </w:r>
      <w:r w:rsidRPr="0025250D">
        <w:rPr>
          <w:rtl/>
        </w:rPr>
        <w:t xml:space="preserve">. </w:t>
      </w:r>
      <w:r w:rsidRPr="0025250D">
        <w:rPr>
          <w:rFonts w:hint="cs"/>
          <w:rtl/>
        </w:rPr>
        <w:t>با این حال این کتاب</w:t>
      </w:r>
      <w:r w:rsidRPr="0025250D">
        <w:rPr>
          <w:rtl/>
        </w:rPr>
        <w:t xml:space="preserve"> روند چندگانه شتابان تغ</w:t>
      </w:r>
      <w:r w:rsidRPr="0025250D">
        <w:rPr>
          <w:rFonts w:hint="cs"/>
          <w:rtl/>
        </w:rPr>
        <w:t>یی</w:t>
      </w:r>
      <w:r w:rsidRPr="0025250D">
        <w:rPr>
          <w:rFonts w:hint="eastAsia"/>
          <w:rtl/>
        </w:rPr>
        <w:t>ر</w:t>
      </w:r>
      <w:r w:rsidRPr="0025250D">
        <w:rPr>
          <w:rtl/>
        </w:rPr>
        <w:t xml:space="preserve"> را نام</w:t>
      </w:r>
      <w:r w:rsidR="00EE4B64" w:rsidRPr="0025250D">
        <w:rPr>
          <w:rtl/>
        </w:rPr>
        <w:t xml:space="preserve"> نمی‌</w:t>
      </w:r>
      <w:r w:rsidRPr="0025250D">
        <w:rPr>
          <w:rtl/>
        </w:rPr>
        <w:t xml:space="preserve">برد </w:t>
      </w:r>
      <w:r w:rsidRPr="0025250D">
        <w:rPr>
          <w:rFonts w:hint="cs"/>
          <w:rtl/>
        </w:rPr>
        <w:t>ی</w:t>
      </w:r>
      <w:r w:rsidRPr="0025250D">
        <w:rPr>
          <w:rFonts w:hint="eastAsia"/>
          <w:rtl/>
        </w:rPr>
        <w:t>ا</w:t>
      </w:r>
      <w:r w:rsidRPr="0025250D">
        <w:rPr>
          <w:rtl/>
        </w:rPr>
        <w:t xml:space="preserve"> مستق</w:t>
      </w:r>
      <w:r w:rsidRPr="0025250D">
        <w:rPr>
          <w:rFonts w:hint="cs"/>
          <w:rtl/>
        </w:rPr>
        <w:t>ی</w:t>
      </w:r>
      <w:r w:rsidRPr="0025250D">
        <w:rPr>
          <w:rFonts w:hint="eastAsia"/>
          <w:rtl/>
        </w:rPr>
        <w:t>ماً</w:t>
      </w:r>
      <w:r w:rsidRPr="0025250D">
        <w:rPr>
          <w:rtl/>
        </w:rPr>
        <w:t xml:space="preserve"> در نظر</w:t>
      </w:r>
      <w:r w:rsidR="00EE4B64" w:rsidRPr="0025250D">
        <w:rPr>
          <w:rtl/>
        </w:rPr>
        <w:t xml:space="preserve"> نمی‌</w:t>
      </w:r>
      <w:r w:rsidRPr="0025250D">
        <w:rPr>
          <w:rtl/>
        </w:rPr>
        <w:t>گ</w:t>
      </w:r>
      <w:r w:rsidRPr="0025250D">
        <w:rPr>
          <w:rFonts w:hint="cs"/>
          <w:rtl/>
        </w:rPr>
        <w:t>ی</w:t>
      </w:r>
      <w:r w:rsidRPr="0025250D">
        <w:rPr>
          <w:rFonts w:hint="eastAsia"/>
          <w:rtl/>
        </w:rPr>
        <w:t>رد</w:t>
      </w:r>
      <w:r w:rsidRPr="0025250D">
        <w:rPr>
          <w:rtl/>
        </w:rPr>
        <w:t>.</w:t>
      </w:r>
    </w:p>
    <w:p w14:paraId="28DA2EBB" w14:textId="13FBD1B3" w:rsidR="008A50B6" w:rsidRPr="0025250D" w:rsidRDefault="008A50B6" w:rsidP="00DC51E6">
      <w:pPr>
        <w:numPr>
          <w:ilvl w:val="0"/>
          <w:numId w:val="74"/>
        </w:numPr>
      </w:pPr>
      <w:r w:rsidRPr="0025250D">
        <w:rPr>
          <w:rtl/>
        </w:rPr>
        <w:t>آ</w:t>
      </w:r>
      <w:r w:rsidRPr="0025250D">
        <w:rPr>
          <w:rFonts w:hint="cs"/>
          <w:rtl/>
        </w:rPr>
        <w:t>ی</w:t>
      </w:r>
      <w:r w:rsidRPr="0025250D">
        <w:rPr>
          <w:rFonts w:hint="eastAsia"/>
          <w:rtl/>
        </w:rPr>
        <w:t>ا</w:t>
      </w:r>
      <w:r w:rsidRPr="0025250D">
        <w:rPr>
          <w:rtl/>
        </w:rPr>
        <w:t xml:space="preserve"> جهان م</w:t>
      </w:r>
      <w:r w:rsidRPr="0025250D">
        <w:rPr>
          <w:rFonts w:hint="cs"/>
          <w:rtl/>
        </w:rPr>
        <w:t>ی</w:t>
      </w:r>
      <w:r w:rsidRPr="0025250D">
        <w:rPr>
          <w:rtl/>
        </w:rPr>
        <w:t xml:space="preserve"> تواند اشتباه کند؟ جا</w:t>
      </w:r>
      <w:r w:rsidRPr="0025250D">
        <w:rPr>
          <w:rFonts w:hint="cs"/>
          <w:rtl/>
        </w:rPr>
        <w:t>یی</w:t>
      </w:r>
      <w:r w:rsidRPr="0025250D">
        <w:rPr>
          <w:rtl/>
        </w:rPr>
        <w:t xml:space="preserve"> که افکار عموم</w:t>
      </w:r>
      <w:r w:rsidRPr="0025250D">
        <w:rPr>
          <w:rFonts w:hint="cs"/>
          <w:rtl/>
        </w:rPr>
        <w:t>ی</w:t>
      </w:r>
      <w:r w:rsidRPr="0025250D">
        <w:rPr>
          <w:rtl/>
        </w:rPr>
        <w:t xml:space="preserve"> جهان</w:t>
      </w:r>
      <w:r w:rsidRPr="0025250D">
        <w:rPr>
          <w:rFonts w:hint="cs"/>
          <w:rtl/>
        </w:rPr>
        <w:t>ی</w:t>
      </w:r>
      <w:r w:rsidRPr="0025250D">
        <w:rPr>
          <w:rtl/>
        </w:rPr>
        <w:t xml:space="preserve"> م</w:t>
      </w:r>
      <w:r w:rsidRPr="0025250D">
        <w:rPr>
          <w:rFonts w:hint="cs"/>
          <w:rtl/>
        </w:rPr>
        <w:t>ی</w:t>
      </w:r>
      <w:r w:rsidRPr="0025250D">
        <w:rPr>
          <w:rtl/>
        </w:rPr>
        <w:t xml:space="preserve"> گو</w:t>
      </w:r>
      <w:r w:rsidRPr="0025250D">
        <w:rPr>
          <w:rFonts w:hint="cs"/>
          <w:rtl/>
        </w:rPr>
        <w:t>ی</w:t>
      </w:r>
      <w:r w:rsidRPr="0025250D">
        <w:rPr>
          <w:rFonts w:hint="eastAsia"/>
          <w:rtl/>
        </w:rPr>
        <w:t>د</w:t>
      </w:r>
      <w:r w:rsidRPr="0025250D">
        <w:rPr>
          <w:rtl/>
        </w:rPr>
        <w:t xml:space="preserve"> ما به </w:t>
      </w:r>
      <w:r w:rsidRPr="0025250D">
        <w:rPr>
          <w:rFonts w:hint="cs"/>
          <w:rtl/>
        </w:rPr>
        <w:t>آن جا</w:t>
      </w:r>
      <w:r w:rsidRPr="0025250D">
        <w:rPr>
          <w:rtl/>
        </w:rPr>
        <w:t xml:space="preserve"> م</w:t>
      </w:r>
      <w:r w:rsidRPr="0025250D">
        <w:rPr>
          <w:rFonts w:hint="cs"/>
          <w:rtl/>
        </w:rPr>
        <w:t>ی</w:t>
      </w:r>
      <w:r w:rsidRPr="0025250D">
        <w:rPr>
          <w:rtl/>
        </w:rPr>
        <w:t xml:space="preserve"> رو</w:t>
      </w:r>
      <w:r w:rsidRPr="0025250D">
        <w:rPr>
          <w:rFonts w:hint="cs"/>
          <w:rtl/>
        </w:rPr>
        <w:t>ی</w:t>
      </w:r>
      <w:r w:rsidRPr="0025250D">
        <w:rPr>
          <w:rFonts w:hint="eastAsia"/>
          <w:rtl/>
        </w:rPr>
        <w:t>م،</w:t>
      </w:r>
      <w:r w:rsidRPr="0025250D">
        <w:rPr>
          <w:rtl/>
        </w:rPr>
        <w:t xml:space="preserve"> داگ م</w:t>
      </w:r>
      <w:r w:rsidRPr="0025250D">
        <w:rPr>
          <w:rFonts w:hint="cs"/>
          <w:rtl/>
        </w:rPr>
        <w:t>ی</w:t>
      </w:r>
      <w:r w:rsidRPr="0025250D">
        <w:rPr>
          <w:rFonts w:hint="eastAsia"/>
          <w:rtl/>
        </w:rPr>
        <w:t>لر</w:t>
      </w:r>
      <w:r w:rsidRPr="0025250D">
        <w:rPr>
          <w:rtl/>
        </w:rPr>
        <w:t xml:space="preserve"> و جان الک</w:t>
      </w:r>
      <w:r w:rsidRPr="0025250D">
        <w:rPr>
          <w:rFonts w:hint="cs"/>
          <w:rtl/>
        </w:rPr>
        <w:t>ی</w:t>
      </w:r>
      <w:r w:rsidRPr="0025250D">
        <w:rPr>
          <w:rFonts w:hint="eastAsia"/>
          <w:rtl/>
        </w:rPr>
        <w:t>نگتون</w:t>
      </w:r>
      <w:r w:rsidRPr="0025250D">
        <w:rPr>
          <w:vertAlign w:val="superscript"/>
          <w:rtl/>
        </w:rPr>
        <w:footnoteReference w:id="3261"/>
      </w:r>
      <w:r w:rsidRPr="0025250D">
        <w:rPr>
          <w:rFonts w:hint="eastAsia"/>
          <w:rtl/>
        </w:rPr>
        <w:t>،</w:t>
      </w:r>
      <w:r w:rsidRPr="0025250D">
        <w:rPr>
          <w:rtl/>
        </w:rPr>
        <w:t xml:space="preserve"> 2015.</w:t>
      </w:r>
      <w:r w:rsidRPr="0025250D">
        <w:rPr>
          <w:rFonts w:hint="cs"/>
          <w:rtl/>
        </w:rPr>
        <w:t xml:space="preserve"> </w:t>
      </w:r>
      <w:r w:rsidRPr="0025250D">
        <w:rPr>
          <w:rtl/>
        </w:rPr>
        <w:t>بررس</w:t>
      </w:r>
      <w:r w:rsidRPr="0025250D">
        <w:rPr>
          <w:rFonts w:hint="cs"/>
          <w:rtl/>
        </w:rPr>
        <w:t>ی</w:t>
      </w:r>
      <w:r w:rsidRPr="0025250D">
        <w:rPr>
          <w:rtl/>
        </w:rPr>
        <w:t xml:space="preserve"> هوش جمع</w:t>
      </w:r>
      <w:r w:rsidRPr="0025250D">
        <w:rPr>
          <w:rFonts w:hint="cs"/>
          <w:rtl/>
        </w:rPr>
        <w:t>ی</w:t>
      </w:r>
      <w:r w:rsidRPr="0025250D">
        <w:rPr>
          <w:rtl/>
        </w:rPr>
        <w:t xml:space="preserve"> شهروندان جهان</w:t>
      </w:r>
      <w:r w:rsidRPr="0025250D">
        <w:rPr>
          <w:rFonts w:hint="cs"/>
          <w:rtl/>
        </w:rPr>
        <w:t>ی.</w:t>
      </w:r>
      <w:r w:rsidRPr="0025250D">
        <w:rPr>
          <w:rtl/>
        </w:rPr>
        <w:t xml:space="preserve"> شواهد</w:t>
      </w:r>
      <w:r w:rsidRPr="0025250D">
        <w:rPr>
          <w:rFonts w:hint="cs"/>
          <w:rtl/>
        </w:rPr>
        <w:t>ی</w:t>
      </w:r>
      <w:r w:rsidRPr="0025250D">
        <w:rPr>
          <w:rtl/>
        </w:rPr>
        <w:t xml:space="preserve"> برا</w:t>
      </w:r>
      <w:r w:rsidRPr="0025250D">
        <w:rPr>
          <w:rFonts w:hint="cs"/>
          <w:rtl/>
        </w:rPr>
        <w:t>ی</w:t>
      </w:r>
      <w:r w:rsidRPr="0025250D">
        <w:rPr>
          <w:rtl/>
        </w:rPr>
        <w:t xml:space="preserve"> ا</w:t>
      </w:r>
      <w:r w:rsidRPr="0025250D">
        <w:rPr>
          <w:rFonts w:hint="cs"/>
          <w:rtl/>
        </w:rPr>
        <w:t>ی</w:t>
      </w:r>
      <w:r w:rsidRPr="0025250D">
        <w:rPr>
          <w:rFonts w:hint="eastAsia"/>
          <w:rtl/>
        </w:rPr>
        <w:t>ن</w:t>
      </w:r>
      <w:r w:rsidRPr="0025250D">
        <w:rPr>
          <w:rtl/>
        </w:rPr>
        <w:t xml:space="preserve"> </w:t>
      </w:r>
      <w:r w:rsidRPr="0025250D">
        <w:rPr>
          <w:rFonts w:hint="cs"/>
          <w:rtl/>
        </w:rPr>
        <w:t>نظریه</w:t>
      </w:r>
      <w:r w:rsidRPr="0025250D">
        <w:rPr>
          <w:rtl/>
        </w:rPr>
        <w:t xml:space="preserve"> که </w:t>
      </w:r>
      <w:r w:rsidR="00DC51E6" w:rsidRPr="0025250D">
        <w:rPr>
          <w:rFonts w:hint="cs"/>
          <w:rtl/>
        </w:rPr>
        <w:t>حس‌داد</w:t>
      </w:r>
      <w:r w:rsidRPr="0025250D">
        <w:rPr>
          <w:rtl/>
        </w:rPr>
        <w:t xml:space="preserve"> عموم</w:t>
      </w:r>
      <w:r w:rsidRPr="0025250D">
        <w:rPr>
          <w:rFonts w:hint="cs"/>
          <w:rtl/>
        </w:rPr>
        <w:t>ی</w:t>
      </w:r>
      <w:r w:rsidRPr="0025250D">
        <w:rPr>
          <w:rtl/>
        </w:rPr>
        <w:t xml:space="preserve"> اغلب تحولات عمده جهان</w:t>
      </w:r>
      <w:r w:rsidRPr="0025250D">
        <w:rPr>
          <w:rFonts w:hint="cs"/>
          <w:rtl/>
        </w:rPr>
        <w:t>ی</w:t>
      </w:r>
      <w:r w:rsidRPr="0025250D">
        <w:rPr>
          <w:rtl/>
        </w:rPr>
        <w:t xml:space="preserve"> را </w:t>
      </w:r>
      <w:r w:rsidR="00D92F6E" w:rsidRPr="0025250D">
        <w:rPr>
          <w:rtl/>
        </w:rPr>
        <w:t>پیش‌بین</w:t>
      </w:r>
      <w:r w:rsidRPr="0025250D">
        <w:rPr>
          <w:rFonts w:hint="cs"/>
          <w:rtl/>
        </w:rPr>
        <w:t>ی</w:t>
      </w:r>
      <w:r w:rsidRPr="0025250D">
        <w:rPr>
          <w:rtl/>
        </w:rPr>
        <w:t xml:space="preserve"> م</w:t>
      </w:r>
      <w:r w:rsidRPr="0025250D">
        <w:rPr>
          <w:rFonts w:hint="cs"/>
          <w:rtl/>
        </w:rPr>
        <w:t>ی</w:t>
      </w:r>
      <w:r w:rsidRPr="0025250D">
        <w:rPr>
          <w:rtl/>
        </w:rPr>
        <w:t xml:space="preserve"> کند. بس</w:t>
      </w:r>
      <w:r w:rsidRPr="0025250D">
        <w:rPr>
          <w:rFonts w:hint="cs"/>
          <w:rtl/>
        </w:rPr>
        <w:t>ی</w:t>
      </w:r>
      <w:r w:rsidRPr="0025250D">
        <w:rPr>
          <w:rFonts w:hint="eastAsia"/>
          <w:rtl/>
        </w:rPr>
        <w:t>ار</w:t>
      </w:r>
      <w:r w:rsidRPr="0025250D">
        <w:rPr>
          <w:rFonts w:hint="cs"/>
          <w:rtl/>
        </w:rPr>
        <w:t>ی</w:t>
      </w:r>
      <w:r w:rsidRPr="0025250D">
        <w:rPr>
          <w:rtl/>
        </w:rPr>
        <w:t xml:space="preserve"> از روندها</w:t>
      </w:r>
      <w:r w:rsidRPr="0025250D">
        <w:rPr>
          <w:rFonts w:hint="cs"/>
          <w:rtl/>
        </w:rPr>
        <w:t>ی</w:t>
      </w:r>
      <w:r w:rsidRPr="0025250D">
        <w:rPr>
          <w:rtl/>
        </w:rPr>
        <w:t xml:space="preserve"> جهان</w:t>
      </w:r>
      <w:r w:rsidRPr="0025250D">
        <w:rPr>
          <w:rFonts w:hint="cs"/>
          <w:rtl/>
        </w:rPr>
        <w:t>ی</w:t>
      </w:r>
      <w:r w:rsidRPr="0025250D">
        <w:rPr>
          <w:rtl/>
        </w:rPr>
        <w:t xml:space="preserve"> مهم و ناد</w:t>
      </w:r>
      <w:r w:rsidRPr="0025250D">
        <w:rPr>
          <w:rFonts w:hint="cs"/>
          <w:rtl/>
        </w:rPr>
        <w:t>ی</w:t>
      </w:r>
      <w:r w:rsidRPr="0025250D">
        <w:rPr>
          <w:rFonts w:hint="eastAsia"/>
          <w:rtl/>
        </w:rPr>
        <w:t>ده</w:t>
      </w:r>
      <w:r w:rsidRPr="0025250D">
        <w:rPr>
          <w:rtl/>
        </w:rPr>
        <w:t xml:space="preserve"> گرفته شده توسط رسانه ها را آشکار م</w:t>
      </w:r>
      <w:r w:rsidRPr="0025250D">
        <w:rPr>
          <w:rFonts w:hint="cs"/>
          <w:rtl/>
        </w:rPr>
        <w:t>ی</w:t>
      </w:r>
      <w:r w:rsidRPr="0025250D">
        <w:rPr>
          <w:rtl/>
        </w:rPr>
        <w:t xml:space="preserve"> کند</w:t>
      </w:r>
      <w:r w:rsidRPr="0025250D">
        <w:rPr>
          <w:rFonts w:hint="cs"/>
          <w:rtl/>
        </w:rPr>
        <w:t>.</w:t>
      </w:r>
    </w:p>
    <w:p w14:paraId="553F830A" w14:textId="152D9FB1" w:rsidR="008A50B6" w:rsidRPr="0025250D" w:rsidRDefault="008A50B6" w:rsidP="00492C47">
      <w:pPr>
        <w:numPr>
          <w:ilvl w:val="0"/>
          <w:numId w:val="74"/>
        </w:numPr>
      </w:pPr>
      <w:r w:rsidRPr="0025250D">
        <w:rPr>
          <w:rtl/>
        </w:rPr>
        <w:t>تار</w:t>
      </w:r>
      <w:r w:rsidRPr="0025250D">
        <w:rPr>
          <w:rFonts w:hint="cs"/>
          <w:rtl/>
        </w:rPr>
        <w:t>ی</w:t>
      </w:r>
      <w:r w:rsidRPr="0025250D">
        <w:rPr>
          <w:rFonts w:hint="eastAsia"/>
          <w:rtl/>
        </w:rPr>
        <w:t>خچه</w:t>
      </w:r>
      <w:r w:rsidRPr="0025250D">
        <w:rPr>
          <w:rtl/>
        </w:rPr>
        <w:t xml:space="preserve"> مختصر</w:t>
      </w:r>
      <w:r w:rsidRPr="0025250D">
        <w:rPr>
          <w:rFonts w:hint="cs"/>
          <w:rtl/>
        </w:rPr>
        <w:t>ی</w:t>
      </w:r>
      <w:r w:rsidRPr="0025250D">
        <w:rPr>
          <w:rtl/>
        </w:rPr>
        <w:t xml:space="preserve"> از آ</w:t>
      </w:r>
      <w:r w:rsidRPr="0025250D">
        <w:rPr>
          <w:rFonts w:hint="cs"/>
          <w:rtl/>
        </w:rPr>
        <w:t>ی</w:t>
      </w:r>
      <w:r w:rsidRPr="0025250D">
        <w:rPr>
          <w:rFonts w:hint="eastAsia"/>
          <w:rtl/>
        </w:rPr>
        <w:t>نده،</w:t>
      </w:r>
      <w:r w:rsidRPr="0025250D">
        <w:rPr>
          <w:rtl/>
        </w:rPr>
        <w:t xml:space="preserve"> اونا استراترن</w:t>
      </w:r>
      <w:r w:rsidRPr="0025250D">
        <w:rPr>
          <w:vertAlign w:val="superscript"/>
          <w:rtl/>
        </w:rPr>
        <w:footnoteReference w:id="3262"/>
      </w:r>
      <w:r w:rsidRPr="0025250D">
        <w:rPr>
          <w:rtl/>
        </w:rPr>
        <w:t>، 2007.</w:t>
      </w:r>
      <w:r w:rsidRPr="0025250D">
        <w:rPr>
          <w:rFonts w:hint="cs"/>
          <w:rtl/>
        </w:rPr>
        <w:t xml:space="preserve"> </w:t>
      </w:r>
      <w:r w:rsidRPr="0025250D">
        <w:rPr>
          <w:rtl/>
        </w:rPr>
        <w:t>مرور</w:t>
      </w:r>
      <w:r w:rsidRPr="0025250D">
        <w:rPr>
          <w:rFonts w:hint="cs"/>
          <w:rtl/>
        </w:rPr>
        <w:t>ی</w:t>
      </w:r>
      <w:r w:rsidRPr="0025250D">
        <w:rPr>
          <w:rtl/>
        </w:rPr>
        <w:t xml:space="preserve"> عال</w:t>
      </w:r>
      <w:r w:rsidRPr="0025250D">
        <w:rPr>
          <w:rFonts w:hint="cs"/>
          <w:rtl/>
        </w:rPr>
        <w:t>ی</w:t>
      </w:r>
      <w:r w:rsidRPr="0025250D">
        <w:rPr>
          <w:rtl/>
        </w:rPr>
        <w:t xml:space="preserve"> بر توسعه حوزه آ</w:t>
      </w:r>
      <w:r w:rsidRPr="0025250D">
        <w:rPr>
          <w:rFonts w:hint="cs"/>
          <w:rtl/>
        </w:rPr>
        <w:t>ی</w:t>
      </w:r>
      <w:r w:rsidRPr="0025250D">
        <w:rPr>
          <w:rFonts w:hint="eastAsia"/>
          <w:rtl/>
        </w:rPr>
        <w:t>نده‌نگار</w:t>
      </w:r>
      <w:r w:rsidRPr="0025250D">
        <w:rPr>
          <w:rFonts w:hint="cs"/>
          <w:rtl/>
        </w:rPr>
        <w:t>ی</w:t>
      </w:r>
      <w:r w:rsidRPr="0025250D">
        <w:rPr>
          <w:rtl/>
        </w:rPr>
        <w:t xml:space="preserve"> مدرن، توسط </w:t>
      </w:r>
      <w:r w:rsidRPr="0025250D">
        <w:rPr>
          <w:rFonts w:hint="cs"/>
          <w:rtl/>
        </w:rPr>
        <w:t>ی</w:t>
      </w:r>
      <w:r w:rsidRPr="0025250D">
        <w:rPr>
          <w:rFonts w:hint="eastAsia"/>
          <w:rtl/>
        </w:rPr>
        <w:t>ک</w:t>
      </w:r>
      <w:r w:rsidRPr="0025250D">
        <w:rPr>
          <w:rtl/>
        </w:rPr>
        <w:t xml:space="preserve"> </w:t>
      </w:r>
      <w:r w:rsidRPr="0025250D">
        <w:rPr>
          <w:rFonts w:hint="cs"/>
          <w:rtl/>
        </w:rPr>
        <w:t>فعال</w:t>
      </w:r>
      <w:r w:rsidRPr="0025250D">
        <w:rPr>
          <w:rtl/>
        </w:rPr>
        <w:t xml:space="preserve"> با تجربه. </w:t>
      </w:r>
      <w:r w:rsidRPr="0025250D">
        <w:rPr>
          <w:rFonts w:hint="cs"/>
          <w:rtl/>
        </w:rPr>
        <w:t>مطالعه ای</w:t>
      </w:r>
      <w:r w:rsidRPr="0025250D">
        <w:rPr>
          <w:rtl/>
        </w:rPr>
        <w:t xml:space="preserve"> بس</w:t>
      </w:r>
      <w:r w:rsidRPr="0025250D">
        <w:rPr>
          <w:rFonts w:hint="cs"/>
          <w:rtl/>
        </w:rPr>
        <w:t>ی</w:t>
      </w:r>
      <w:r w:rsidRPr="0025250D">
        <w:rPr>
          <w:rFonts w:hint="eastAsia"/>
          <w:rtl/>
        </w:rPr>
        <w:t>ار</w:t>
      </w:r>
      <w:r w:rsidRPr="0025250D">
        <w:rPr>
          <w:rtl/>
        </w:rPr>
        <w:t xml:space="preserve"> در دسترس و لذت بخش. کتاب‌ها</w:t>
      </w:r>
      <w:r w:rsidRPr="0025250D">
        <w:rPr>
          <w:rFonts w:hint="cs"/>
          <w:rtl/>
        </w:rPr>
        <w:t>یی</w:t>
      </w:r>
      <w:r w:rsidRPr="0025250D">
        <w:rPr>
          <w:rtl/>
        </w:rPr>
        <w:t xml:space="preserve"> از ا</w:t>
      </w:r>
      <w:r w:rsidRPr="0025250D">
        <w:rPr>
          <w:rFonts w:hint="cs"/>
          <w:rtl/>
        </w:rPr>
        <w:t>ی</w:t>
      </w:r>
      <w:r w:rsidRPr="0025250D">
        <w:rPr>
          <w:rFonts w:hint="eastAsia"/>
          <w:rtl/>
        </w:rPr>
        <w:t>ن</w:t>
      </w:r>
      <w:r w:rsidRPr="0025250D">
        <w:rPr>
          <w:rtl/>
        </w:rPr>
        <w:t xml:space="preserve"> دست ممکن است شما را تشو</w:t>
      </w:r>
      <w:r w:rsidRPr="0025250D">
        <w:rPr>
          <w:rFonts w:hint="cs"/>
          <w:rtl/>
        </w:rPr>
        <w:t>ی</w:t>
      </w:r>
      <w:r w:rsidRPr="0025250D">
        <w:rPr>
          <w:rFonts w:hint="eastAsia"/>
          <w:rtl/>
        </w:rPr>
        <w:t>ق</w:t>
      </w:r>
      <w:r w:rsidRPr="0025250D">
        <w:rPr>
          <w:rtl/>
        </w:rPr>
        <w:t xml:space="preserve"> کنند تا در زم</w:t>
      </w:r>
      <w:r w:rsidRPr="0025250D">
        <w:rPr>
          <w:rFonts w:hint="cs"/>
          <w:rtl/>
        </w:rPr>
        <w:t>ی</w:t>
      </w:r>
      <w:r w:rsidRPr="0025250D">
        <w:rPr>
          <w:rFonts w:hint="eastAsia"/>
          <w:rtl/>
        </w:rPr>
        <w:t>نه</w:t>
      </w:r>
      <w:r w:rsidRPr="0025250D">
        <w:rPr>
          <w:rtl/>
        </w:rPr>
        <w:t xml:space="preserve"> ما مشارکت کن</w:t>
      </w:r>
      <w:r w:rsidRPr="0025250D">
        <w:rPr>
          <w:rFonts w:hint="cs"/>
          <w:rtl/>
        </w:rPr>
        <w:t>ی</w:t>
      </w:r>
      <w:r w:rsidRPr="0025250D">
        <w:rPr>
          <w:rFonts w:hint="eastAsia"/>
          <w:rtl/>
        </w:rPr>
        <w:t>د</w:t>
      </w:r>
      <w:r w:rsidRPr="0025250D">
        <w:rPr>
          <w:rFonts w:hint="cs"/>
          <w:rtl/>
        </w:rPr>
        <w:t>.</w:t>
      </w:r>
    </w:p>
    <w:p w14:paraId="0092FEF0" w14:textId="1F37F0D8" w:rsidR="008A50B6" w:rsidRPr="0025250D" w:rsidRDefault="00D92F6E" w:rsidP="00492C47">
      <w:pPr>
        <w:numPr>
          <w:ilvl w:val="0"/>
          <w:numId w:val="74"/>
        </w:numPr>
      </w:pPr>
      <w:r w:rsidRPr="0025250D">
        <w:rPr>
          <w:rtl/>
        </w:rPr>
        <w:t>آینده‌نگاری</w:t>
      </w:r>
      <w:r w:rsidR="008A50B6" w:rsidRPr="0025250D">
        <w:rPr>
          <w:rtl/>
        </w:rPr>
        <w:t xml:space="preserve"> </w:t>
      </w:r>
      <w:r w:rsidR="00701E03" w:rsidRPr="0025250D">
        <w:rPr>
          <w:rtl/>
        </w:rPr>
        <w:t>راهبردی</w:t>
      </w:r>
      <w:r w:rsidR="008A50B6" w:rsidRPr="0025250D">
        <w:rPr>
          <w:rtl/>
        </w:rPr>
        <w:t xml:space="preserve">: </w:t>
      </w:r>
      <w:r w:rsidR="008A50B6" w:rsidRPr="0025250D">
        <w:rPr>
          <w:rFonts w:hint="cs"/>
          <w:rtl/>
        </w:rPr>
        <w:t>ی</w:t>
      </w:r>
      <w:r w:rsidR="008A50B6" w:rsidRPr="0025250D">
        <w:rPr>
          <w:rFonts w:hint="eastAsia"/>
          <w:rtl/>
        </w:rPr>
        <w:t>ادگ</w:t>
      </w:r>
      <w:r w:rsidR="008A50B6" w:rsidRPr="0025250D">
        <w:rPr>
          <w:rFonts w:hint="cs"/>
          <w:rtl/>
        </w:rPr>
        <w:t>ی</w:t>
      </w:r>
      <w:r w:rsidR="008A50B6" w:rsidRPr="0025250D">
        <w:rPr>
          <w:rFonts w:hint="eastAsia"/>
          <w:rtl/>
        </w:rPr>
        <w:t>ر</w:t>
      </w:r>
      <w:r w:rsidR="008A50B6" w:rsidRPr="0025250D">
        <w:rPr>
          <w:rFonts w:hint="cs"/>
          <w:rtl/>
        </w:rPr>
        <w:t>ی</w:t>
      </w:r>
      <w:r w:rsidR="008A50B6" w:rsidRPr="0025250D">
        <w:rPr>
          <w:rtl/>
        </w:rPr>
        <w:t xml:space="preserve"> از آ</w:t>
      </w:r>
      <w:r w:rsidR="008A50B6" w:rsidRPr="0025250D">
        <w:rPr>
          <w:rFonts w:hint="cs"/>
          <w:rtl/>
        </w:rPr>
        <w:t>ی</w:t>
      </w:r>
      <w:r w:rsidR="008A50B6" w:rsidRPr="0025250D">
        <w:rPr>
          <w:rFonts w:hint="eastAsia"/>
          <w:rtl/>
        </w:rPr>
        <w:t>نده،</w:t>
      </w:r>
      <w:r w:rsidR="008A50B6" w:rsidRPr="0025250D">
        <w:rPr>
          <w:rtl/>
        </w:rPr>
        <w:t xml:space="preserve"> پاتر</w:t>
      </w:r>
      <w:r w:rsidR="008A50B6" w:rsidRPr="0025250D">
        <w:rPr>
          <w:rFonts w:hint="cs"/>
          <w:rtl/>
        </w:rPr>
        <w:t>ی</w:t>
      </w:r>
      <w:r w:rsidR="008A50B6" w:rsidRPr="0025250D">
        <w:rPr>
          <w:rFonts w:hint="eastAsia"/>
          <w:rtl/>
        </w:rPr>
        <w:t>ش</w:t>
      </w:r>
      <w:r w:rsidR="008A50B6" w:rsidRPr="0025250D">
        <w:rPr>
          <w:rFonts w:hint="cs"/>
          <w:rtl/>
        </w:rPr>
        <w:t>ی</w:t>
      </w:r>
      <w:r w:rsidR="008A50B6" w:rsidRPr="0025250D">
        <w:rPr>
          <w:rFonts w:hint="eastAsia"/>
          <w:rtl/>
        </w:rPr>
        <w:t>ا</w:t>
      </w:r>
      <w:r w:rsidR="008A50B6" w:rsidRPr="0025250D">
        <w:rPr>
          <w:rtl/>
        </w:rPr>
        <w:t xml:space="preserve"> لوست</w:t>
      </w:r>
      <w:r w:rsidR="008A50B6" w:rsidRPr="0025250D">
        <w:rPr>
          <w:rFonts w:hint="cs"/>
          <w:rtl/>
        </w:rPr>
        <w:t>ی</w:t>
      </w:r>
      <w:r w:rsidR="008A50B6" w:rsidRPr="0025250D">
        <w:rPr>
          <w:rFonts w:hint="eastAsia"/>
          <w:rtl/>
        </w:rPr>
        <w:t>گ</w:t>
      </w:r>
      <w:r w:rsidR="008A50B6" w:rsidRPr="0025250D">
        <w:rPr>
          <w:vertAlign w:val="superscript"/>
          <w:rtl/>
        </w:rPr>
        <w:footnoteReference w:id="3263"/>
      </w:r>
      <w:r w:rsidR="008A50B6" w:rsidRPr="0025250D">
        <w:rPr>
          <w:rFonts w:hint="eastAsia"/>
          <w:rtl/>
        </w:rPr>
        <w:t>،</w:t>
      </w:r>
      <w:r w:rsidR="008A50B6" w:rsidRPr="0025250D">
        <w:rPr>
          <w:rtl/>
        </w:rPr>
        <w:t xml:space="preserve"> 2015</w:t>
      </w:r>
      <w:r w:rsidR="008A50B6" w:rsidRPr="0025250D">
        <w:rPr>
          <w:rFonts w:hint="cs"/>
          <w:rtl/>
        </w:rPr>
        <w:t xml:space="preserve">. </w:t>
      </w:r>
      <w:r w:rsidR="008A50B6" w:rsidRPr="0025250D">
        <w:rPr>
          <w:rtl/>
        </w:rPr>
        <w:t>معرف</w:t>
      </w:r>
      <w:r w:rsidR="008A50B6" w:rsidRPr="0025250D">
        <w:rPr>
          <w:rFonts w:hint="cs"/>
          <w:rtl/>
        </w:rPr>
        <w:t>ی</w:t>
      </w:r>
      <w:r w:rsidR="008A50B6" w:rsidRPr="0025250D">
        <w:rPr>
          <w:rtl/>
        </w:rPr>
        <w:t xml:space="preserve"> مختصر</w:t>
      </w:r>
      <w:r w:rsidR="008A50B6" w:rsidRPr="0025250D">
        <w:rPr>
          <w:rFonts w:hint="cs"/>
          <w:rtl/>
        </w:rPr>
        <w:t>ی</w:t>
      </w:r>
      <w:r w:rsidR="008A50B6" w:rsidRPr="0025250D">
        <w:rPr>
          <w:rtl/>
        </w:rPr>
        <w:t xml:space="preserve"> عال</w:t>
      </w:r>
      <w:r w:rsidR="008A50B6" w:rsidRPr="0025250D">
        <w:rPr>
          <w:rFonts w:hint="cs"/>
          <w:rtl/>
        </w:rPr>
        <w:t>ی</w:t>
      </w:r>
      <w:r w:rsidR="008A50B6" w:rsidRPr="0025250D">
        <w:rPr>
          <w:rtl/>
        </w:rPr>
        <w:t xml:space="preserve"> از ابزار و ارزش حوزه ما. لوست</w:t>
      </w:r>
      <w:r w:rsidR="008A50B6" w:rsidRPr="0025250D">
        <w:rPr>
          <w:rFonts w:hint="cs"/>
          <w:rtl/>
        </w:rPr>
        <w:t>ی</w:t>
      </w:r>
      <w:r w:rsidR="008A50B6" w:rsidRPr="0025250D">
        <w:rPr>
          <w:rFonts w:hint="eastAsia"/>
          <w:rtl/>
        </w:rPr>
        <w:t>گ</w:t>
      </w:r>
      <w:r w:rsidR="008A50B6" w:rsidRPr="0025250D">
        <w:rPr>
          <w:rtl/>
        </w:rPr>
        <w:t xml:space="preserve"> پ</w:t>
      </w:r>
      <w:r w:rsidR="008A50B6" w:rsidRPr="0025250D">
        <w:rPr>
          <w:rFonts w:hint="cs"/>
          <w:rtl/>
        </w:rPr>
        <w:t>ی</w:t>
      </w:r>
      <w:r w:rsidR="008A50B6" w:rsidRPr="0025250D">
        <w:rPr>
          <w:rFonts w:hint="eastAsia"/>
          <w:rtl/>
        </w:rPr>
        <w:t>ش</w:t>
      </w:r>
      <w:r w:rsidR="008A50B6" w:rsidRPr="0025250D">
        <w:rPr>
          <w:rFonts w:hint="cs"/>
          <w:rtl/>
        </w:rPr>
        <w:t>ی</w:t>
      </w:r>
      <w:r w:rsidR="008A50B6" w:rsidRPr="0025250D">
        <w:rPr>
          <w:rFonts w:hint="eastAsia"/>
          <w:rtl/>
        </w:rPr>
        <w:t>نه</w:t>
      </w:r>
      <w:r w:rsidR="008A50B6" w:rsidRPr="0025250D">
        <w:rPr>
          <w:rtl/>
        </w:rPr>
        <w:t xml:space="preserve"> متنوع</w:t>
      </w:r>
      <w:r w:rsidR="008A50B6" w:rsidRPr="0025250D">
        <w:rPr>
          <w:rFonts w:hint="cs"/>
          <w:rtl/>
        </w:rPr>
        <w:t>ی</w:t>
      </w:r>
      <w:r w:rsidR="008A50B6" w:rsidRPr="0025250D">
        <w:rPr>
          <w:rtl/>
        </w:rPr>
        <w:t xml:space="preserve"> دارد و در </w:t>
      </w:r>
      <w:r w:rsidR="008A50B6" w:rsidRPr="0025250D">
        <w:rPr>
          <w:rFonts w:hint="cs"/>
          <w:rtl/>
        </w:rPr>
        <w:t>ی</w:t>
      </w:r>
      <w:r w:rsidR="008A50B6" w:rsidRPr="0025250D">
        <w:rPr>
          <w:rFonts w:hint="eastAsia"/>
          <w:rtl/>
        </w:rPr>
        <w:t>ک</w:t>
      </w:r>
      <w:r w:rsidR="008A50B6" w:rsidRPr="0025250D">
        <w:rPr>
          <w:rFonts w:hint="cs"/>
          <w:rtl/>
        </w:rPr>
        <w:t xml:space="preserve"> شرکت</w:t>
      </w:r>
      <w:r w:rsidR="008A50B6" w:rsidRPr="0025250D">
        <w:rPr>
          <w:rtl/>
        </w:rPr>
        <w:t xml:space="preserve"> مشاوره </w:t>
      </w:r>
      <w:r w:rsidRPr="0025250D">
        <w:rPr>
          <w:rtl/>
        </w:rPr>
        <w:t>آینده‌نگاری</w:t>
      </w:r>
      <w:r w:rsidR="008A50B6" w:rsidRPr="0025250D">
        <w:rPr>
          <w:rtl/>
        </w:rPr>
        <w:t xml:space="preserve"> با </w:t>
      </w:r>
      <w:r w:rsidRPr="0025250D">
        <w:rPr>
          <w:rtl/>
        </w:rPr>
        <w:t>آینده‌پژوه</w:t>
      </w:r>
      <w:r w:rsidR="008A50B6" w:rsidRPr="0025250D">
        <w:rPr>
          <w:rtl/>
        </w:rPr>
        <w:t xml:space="preserve"> وند</w:t>
      </w:r>
      <w:r w:rsidR="008A50B6" w:rsidRPr="0025250D">
        <w:rPr>
          <w:rFonts w:hint="cs"/>
          <w:rtl/>
        </w:rPr>
        <w:t>ی</w:t>
      </w:r>
      <w:r w:rsidR="008A50B6" w:rsidRPr="0025250D">
        <w:rPr>
          <w:rtl/>
        </w:rPr>
        <w:t xml:space="preserve"> شولد شر</w:t>
      </w:r>
      <w:r w:rsidR="008A50B6" w:rsidRPr="0025250D">
        <w:rPr>
          <w:rFonts w:hint="cs"/>
          <w:rtl/>
        </w:rPr>
        <w:t>ی</w:t>
      </w:r>
      <w:r w:rsidR="008A50B6" w:rsidRPr="0025250D">
        <w:rPr>
          <w:rFonts w:hint="eastAsia"/>
          <w:rtl/>
        </w:rPr>
        <w:t>ک</w:t>
      </w:r>
      <w:r w:rsidR="008A50B6" w:rsidRPr="0025250D">
        <w:rPr>
          <w:rtl/>
        </w:rPr>
        <w:t xml:space="preserve"> است. متأسفانه، ا</w:t>
      </w:r>
      <w:r w:rsidR="008A50B6" w:rsidRPr="0025250D">
        <w:rPr>
          <w:rFonts w:hint="cs"/>
          <w:rtl/>
        </w:rPr>
        <w:t>ی</w:t>
      </w:r>
      <w:r w:rsidR="008A50B6" w:rsidRPr="0025250D">
        <w:rPr>
          <w:rFonts w:hint="eastAsia"/>
          <w:rtl/>
        </w:rPr>
        <w:t>ن</w:t>
      </w:r>
      <w:r w:rsidR="008A50B6" w:rsidRPr="0025250D">
        <w:rPr>
          <w:rtl/>
        </w:rPr>
        <w:t xml:space="preserve"> کتاب به اندازه کاف</w:t>
      </w:r>
      <w:r w:rsidR="008A50B6" w:rsidRPr="0025250D">
        <w:rPr>
          <w:rFonts w:hint="cs"/>
          <w:rtl/>
        </w:rPr>
        <w:t>ی</w:t>
      </w:r>
      <w:r w:rsidR="008A50B6" w:rsidRPr="0025250D">
        <w:rPr>
          <w:rtl/>
        </w:rPr>
        <w:t xml:space="preserve"> برا</w:t>
      </w:r>
      <w:r w:rsidR="008A50B6" w:rsidRPr="0025250D">
        <w:rPr>
          <w:rFonts w:hint="cs"/>
          <w:rtl/>
        </w:rPr>
        <w:t>ی</w:t>
      </w:r>
      <w:r w:rsidR="008A50B6" w:rsidRPr="0025250D">
        <w:rPr>
          <w:rtl/>
        </w:rPr>
        <w:t xml:space="preserve"> </w:t>
      </w:r>
      <w:r w:rsidRPr="0025250D">
        <w:rPr>
          <w:rtl/>
        </w:rPr>
        <w:t>آینده‌نگاری</w:t>
      </w:r>
      <w:r w:rsidR="008A50B6" w:rsidRPr="0025250D">
        <w:rPr>
          <w:rtl/>
        </w:rPr>
        <w:t xml:space="preserve"> </w:t>
      </w:r>
      <w:r w:rsidR="008A50B6" w:rsidRPr="0025250D">
        <w:rPr>
          <w:rFonts w:hint="cs"/>
          <w:rtl/>
        </w:rPr>
        <w:t>موارد محتمل</w:t>
      </w:r>
      <w:r w:rsidR="008A50B6" w:rsidRPr="0025250D">
        <w:rPr>
          <w:rtl/>
        </w:rPr>
        <w:t xml:space="preserve"> ارزش قائل </w:t>
      </w:r>
      <w:r w:rsidR="00B56611" w:rsidRPr="0025250D">
        <w:rPr>
          <w:rFonts w:hint="cs"/>
          <w:rtl/>
        </w:rPr>
        <w:t>نمی‌شود</w:t>
      </w:r>
      <w:r w:rsidR="008A50B6" w:rsidRPr="0025250D">
        <w:rPr>
          <w:rtl/>
        </w:rPr>
        <w:t xml:space="preserve">. </w:t>
      </w:r>
      <w:r w:rsidR="008A50B6" w:rsidRPr="0025250D">
        <w:rPr>
          <w:rFonts w:hint="cs"/>
          <w:rtl/>
        </w:rPr>
        <w:t>بیان</w:t>
      </w:r>
      <w:r w:rsidR="008A50B6" w:rsidRPr="0025250D">
        <w:rPr>
          <w:rtl/>
        </w:rPr>
        <w:t xml:space="preserve"> م</w:t>
      </w:r>
      <w:r w:rsidR="008A50B6" w:rsidRPr="0025250D">
        <w:rPr>
          <w:rFonts w:hint="cs"/>
          <w:rtl/>
        </w:rPr>
        <w:t>ی</w:t>
      </w:r>
      <w:r w:rsidR="008A50B6" w:rsidRPr="0025250D">
        <w:rPr>
          <w:rtl/>
        </w:rPr>
        <w:t xml:space="preserve"> </w:t>
      </w:r>
      <w:r w:rsidR="008A50B6" w:rsidRPr="0025250D">
        <w:rPr>
          <w:rFonts w:hint="cs"/>
          <w:rtl/>
        </w:rPr>
        <w:t>کند</w:t>
      </w:r>
      <w:r w:rsidR="008A50B6" w:rsidRPr="0025250D">
        <w:rPr>
          <w:rtl/>
        </w:rPr>
        <w:t xml:space="preserve">: </w:t>
      </w:r>
      <w:r w:rsidR="001C62AD" w:rsidRPr="0025250D">
        <w:rPr>
          <w:rtl/>
        </w:rPr>
        <w:t>«</w:t>
      </w:r>
      <w:r w:rsidRPr="0025250D">
        <w:rPr>
          <w:rtl/>
        </w:rPr>
        <w:t>آینده‌نگاری</w:t>
      </w:r>
      <w:r w:rsidR="008A50B6" w:rsidRPr="0025250D">
        <w:rPr>
          <w:rtl/>
        </w:rPr>
        <w:t xml:space="preserve"> </w:t>
      </w:r>
      <w:r w:rsidR="00701E03" w:rsidRPr="0025250D">
        <w:rPr>
          <w:rtl/>
        </w:rPr>
        <w:t>راهبردی</w:t>
      </w:r>
      <w:r w:rsidR="008A50B6" w:rsidRPr="0025250D">
        <w:rPr>
          <w:rtl/>
        </w:rPr>
        <w:t xml:space="preserve"> </w:t>
      </w:r>
      <w:r w:rsidRPr="0025250D">
        <w:rPr>
          <w:rtl/>
        </w:rPr>
        <w:t>پیش‌بین</w:t>
      </w:r>
      <w:r w:rsidR="008A50B6" w:rsidRPr="0025250D">
        <w:rPr>
          <w:rFonts w:hint="cs"/>
          <w:rtl/>
        </w:rPr>
        <w:t>ی</w:t>
      </w:r>
      <w:r w:rsidR="008A50B6" w:rsidRPr="0025250D">
        <w:rPr>
          <w:rtl/>
        </w:rPr>
        <w:t xml:space="preserve"> ن</w:t>
      </w:r>
      <w:r w:rsidR="008A50B6" w:rsidRPr="0025250D">
        <w:rPr>
          <w:rFonts w:hint="cs"/>
          <w:rtl/>
        </w:rPr>
        <w:t>ی</w:t>
      </w:r>
      <w:r w:rsidR="008A50B6" w:rsidRPr="0025250D">
        <w:rPr>
          <w:rFonts w:hint="eastAsia"/>
          <w:rtl/>
        </w:rPr>
        <w:t>ست</w:t>
      </w:r>
      <w:r w:rsidR="008A50B6" w:rsidRPr="0025250D">
        <w:rPr>
          <w:rtl/>
        </w:rPr>
        <w:t>.</w:t>
      </w:r>
      <w:r w:rsidR="001C62AD" w:rsidRPr="0025250D">
        <w:rPr>
          <w:rtl/>
        </w:rPr>
        <w:t>»</w:t>
      </w:r>
      <w:r w:rsidR="008A50B6" w:rsidRPr="0025250D">
        <w:rPr>
          <w:rtl/>
        </w:rPr>
        <w:t xml:space="preserve"> در واقع </w:t>
      </w:r>
      <w:r w:rsidR="008A50B6" w:rsidRPr="0025250D">
        <w:rPr>
          <w:rFonts w:hint="cs"/>
          <w:rtl/>
        </w:rPr>
        <w:t>ی</w:t>
      </w:r>
      <w:r w:rsidR="008A50B6" w:rsidRPr="0025250D">
        <w:rPr>
          <w:rFonts w:hint="eastAsia"/>
          <w:rtl/>
        </w:rPr>
        <w:t>ک</w:t>
      </w:r>
      <w:r w:rsidR="008A50B6" w:rsidRPr="0025250D">
        <w:rPr>
          <w:rtl/>
        </w:rPr>
        <w:t xml:space="preserve"> سوم آن است. احتمال و </w:t>
      </w:r>
      <w:r w:rsidRPr="0025250D">
        <w:rPr>
          <w:rtl/>
        </w:rPr>
        <w:t>پیش‌بین</w:t>
      </w:r>
      <w:r w:rsidR="008A50B6" w:rsidRPr="0025250D">
        <w:rPr>
          <w:rFonts w:hint="cs"/>
          <w:rtl/>
        </w:rPr>
        <w:t>ی</w:t>
      </w:r>
      <w:r w:rsidR="008A50B6" w:rsidRPr="0025250D">
        <w:rPr>
          <w:rtl/>
        </w:rPr>
        <w:t xml:space="preserve"> را در خطر ناد</w:t>
      </w:r>
      <w:r w:rsidR="008A50B6" w:rsidRPr="0025250D">
        <w:rPr>
          <w:rFonts w:hint="cs"/>
          <w:rtl/>
        </w:rPr>
        <w:t>ی</w:t>
      </w:r>
      <w:r w:rsidR="008A50B6" w:rsidRPr="0025250D">
        <w:rPr>
          <w:rFonts w:hint="eastAsia"/>
          <w:rtl/>
        </w:rPr>
        <w:t>ده</w:t>
      </w:r>
      <w:r w:rsidR="008A50B6" w:rsidRPr="0025250D">
        <w:rPr>
          <w:rtl/>
        </w:rPr>
        <w:t xml:space="preserve"> بگ</w:t>
      </w:r>
      <w:r w:rsidR="008A50B6" w:rsidRPr="0025250D">
        <w:rPr>
          <w:rFonts w:hint="cs"/>
          <w:rtl/>
        </w:rPr>
        <w:t>ی</w:t>
      </w:r>
      <w:r w:rsidR="008A50B6" w:rsidRPr="0025250D">
        <w:rPr>
          <w:rFonts w:hint="eastAsia"/>
          <w:rtl/>
        </w:rPr>
        <w:t>ر</w:t>
      </w:r>
      <w:r w:rsidR="008A50B6" w:rsidRPr="0025250D">
        <w:rPr>
          <w:rFonts w:hint="cs"/>
          <w:rtl/>
        </w:rPr>
        <w:t>ی</w:t>
      </w:r>
      <w:r w:rsidR="008A50B6" w:rsidRPr="0025250D">
        <w:rPr>
          <w:rFonts w:hint="eastAsia"/>
          <w:rtl/>
        </w:rPr>
        <w:t>د</w:t>
      </w:r>
      <w:r w:rsidR="008A50B6" w:rsidRPr="0025250D">
        <w:rPr>
          <w:rtl/>
        </w:rPr>
        <w:t>.</w:t>
      </w:r>
    </w:p>
    <w:p w14:paraId="224AEAAC" w14:textId="3C81BFED" w:rsidR="008A50B6" w:rsidRPr="0025250D" w:rsidRDefault="008A50B6" w:rsidP="00492C47">
      <w:pPr>
        <w:numPr>
          <w:ilvl w:val="0"/>
          <w:numId w:val="74"/>
        </w:numPr>
      </w:pPr>
      <w:r w:rsidRPr="0025250D">
        <w:rPr>
          <w:rtl/>
        </w:rPr>
        <w:t>تعق</w:t>
      </w:r>
      <w:r w:rsidRPr="0025250D">
        <w:rPr>
          <w:rFonts w:hint="cs"/>
          <w:rtl/>
        </w:rPr>
        <w:t>ی</w:t>
      </w:r>
      <w:r w:rsidRPr="0025250D">
        <w:rPr>
          <w:rFonts w:hint="eastAsia"/>
          <w:rtl/>
        </w:rPr>
        <w:t>ب</w:t>
      </w:r>
      <w:r w:rsidRPr="0025250D">
        <w:rPr>
          <w:rtl/>
        </w:rPr>
        <w:t xml:space="preserve"> سرنوشت: تار</w:t>
      </w:r>
      <w:r w:rsidRPr="0025250D">
        <w:rPr>
          <w:rFonts w:hint="cs"/>
          <w:rtl/>
        </w:rPr>
        <w:t>ی</w:t>
      </w:r>
      <w:r w:rsidRPr="0025250D">
        <w:rPr>
          <w:rFonts w:hint="eastAsia"/>
          <w:rtl/>
        </w:rPr>
        <w:t>خچه</w:t>
      </w:r>
      <w:r w:rsidRPr="0025250D">
        <w:rPr>
          <w:rtl/>
        </w:rPr>
        <w:t xml:space="preserve"> </w:t>
      </w:r>
      <w:r w:rsidR="00D92F6E" w:rsidRPr="0025250D">
        <w:rPr>
          <w:rtl/>
        </w:rPr>
        <w:t>پیش‌بین</w:t>
      </w:r>
      <w:r w:rsidRPr="0025250D">
        <w:rPr>
          <w:rFonts w:hint="cs"/>
          <w:rtl/>
        </w:rPr>
        <w:t>ی</w:t>
      </w:r>
      <w:r w:rsidRPr="0025250D">
        <w:rPr>
          <w:rFonts w:hint="eastAsia"/>
          <w:rtl/>
        </w:rPr>
        <w:t>،</w:t>
      </w:r>
      <w:r w:rsidRPr="0025250D">
        <w:rPr>
          <w:rtl/>
        </w:rPr>
        <w:t xml:space="preserve"> پل هالپرن</w:t>
      </w:r>
      <w:r w:rsidRPr="0025250D">
        <w:rPr>
          <w:vertAlign w:val="superscript"/>
          <w:rtl/>
        </w:rPr>
        <w:footnoteReference w:id="3264"/>
      </w:r>
      <w:r w:rsidRPr="0025250D">
        <w:rPr>
          <w:rtl/>
        </w:rPr>
        <w:t>، 2000</w:t>
      </w:r>
      <w:r w:rsidRPr="0025250D">
        <w:rPr>
          <w:rFonts w:hint="cs"/>
          <w:rtl/>
        </w:rPr>
        <w:t xml:space="preserve">. </w:t>
      </w:r>
      <w:r w:rsidRPr="0025250D">
        <w:rPr>
          <w:rtl/>
        </w:rPr>
        <w:t>ا</w:t>
      </w:r>
      <w:r w:rsidRPr="0025250D">
        <w:rPr>
          <w:rFonts w:hint="cs"/>
          <w:rtl/>
        </w:rPr>
        <w:t>ی</w:t>
      </w:r>
      <w:r w:rsidRPr="0025250D">
        <w:rPr>
          <w:rFonts w:hint="eastAsia"/>
          <w:rtl/>
        </w:rPr>
        <w:t>ن</w:t>
      </w:r>
      <w:r w:rsidRPr="0025250D">
        <w:rPr>
          <w:rtl/>
        </w:rPr>
        <w:t xml:space="preserve"> کتاب مختصر، توسط </w:t>
      </w:r>
      <w:r w:rsidRPr="0025250D">
        <w:rPr>
          <w:rFonts w:hint="cs"/>
          <w:rtl/>
        </w:rPr>
        <w:t>ی</w:t>
      </w:r>
      <w:r w:rsidRPr="0025250D">
        <w:rPr>
          <w:rFonts w:hint="eastAsia"/>
          <w:rtl/>
        </w:rPr>
        <w:t>ک</w:t>
      </w:r>
      <w:r w:rsidRPr="0025250D">
        <w:rPr>
          <w:rtl/>
        </w:rPr>
        <w:t xml:space="preserve"> ف</w:t>
      </w:r>
      <w:r w:rsidRPr="0025250D">
        <w:rPr>
          <w:rFonts w:hint="cs"/>
          <w:rtl/>
        </w:rPr>
        <w:t>ی</w:t>
      </w:r>
      <w:r w:rsidRPr="0025250D">
        <w:rPr>
          <w:rFonts w:hint="eastAsia"/>
          <w:rtl/>
        </w:rPr>
        <w:t>ز</w:t>
      </w:r>
      <w:r w:rsidRPr="0025250D">
        <w:rPr>
          <w:rFonts w:hint="cs"/>
          <w:rtl/>
        </w:rPr>
        <w:t>ی</w:t>
      </w:r>
      <w:r w:rsidRPr="0025250D">
        <w:rPr>
          <w:rFonts w:hint="eastAsia"/>
          <w:rtl/>
        </w:rPr>
        <w:t>کدان</w:t>
      </w:r>
      <w:r w:rsidRPr="0025250D">
        <w:rPr>
          <w:rtl/>
        </w:rPr>
        <w:t xml:space="preserve"> خردمند، </w:t>
      </w:r>
      <w:r w:rsidR="00D92F6E" w:rsidRPr="0025250D">
        <w:rPr>
          <w:rtl/>
        </w:rPr>
        <w:t>پیش‌بین</w:t>
      </w:r>
      <w:r w:rsidRPr="0025250D">
        <w:rPr>
          <w:rFonts w:hint="cs"/>
          <w:rtl/>
        </w:rPr>
        <w:t>ی</w:t>
      </w:r>
      <w:r w:rsidRPr="0025250D">
        <w:rPr>
          <w:rtl/>
        </w:rPr>
        <w:t xml:space="preserve"> را محور پ</w:t>
      </w:r>
      <w:r w:rsidRPr="0025250D">
        <w:rPr>
          <w:rFonts w:hint="cs"/>
          <w:rtl/>
        </w:rPr>
        <w:t>ی</w:t>
      </w:r>
      <w:r w:rsidRPr="0025250D">
        <w:rPr>
          <w:rFonts w:hint="eastAsia"/>
          <w:rtl/>
        </w:rPr>
        <w:t>شرفت</w:t>
      </w:r>
      <w:r w:rsidRPr="0025250D">
        <w:rPr>
          <w:rtl/>
        </w:rPr>
        <w:t xml:space="preserve"> بشر</w:t>
      </w:r>
      <w:r w:rsidRPr="0025250D">
        <w:rPr>
          <w:rFonts w:hint="cs"/>
          <w:rtl/>
        </w:rPr>
        <w:t>ی</w:t>
      </w:r>
      <w:r w:rsidRPr="0025250D">
        <w:rPr>
          <w:rFonts w:hint="eastAsia"/>
          <w:rtl/>
        </w:rPr>
        <w:t>ت</w:t>
      </w:r>
      <w:r w:rsidRPr="0025250D">
        <w:rPr>
          <w:rtl/>
        </w:rPr>
        <w:t xml:space="preserve"> م</w:t>
      </w:r>
      <w:r w:rsidRPr="0025250D">
        <w:rPr>
          <w:rFonts w:hint="cs"/>
          <w:rtl/>
        </w:rPr>
        <w:t>ی</w:t>
      </w:r>
      <w:r w:rsidRPr="0025250D">
        <w:rPr>
          <w:rtl/>
        </w:rPr>
        <w:t xml:space="preserve"> داند. ا</w:t>
      </w:r>
      <w:r w:rsidRPr="0025250D">
        <w:rPr>
          <w:rFonts w:hint="cs"/>
          <w:rtl/>
        </w:rPr>
        <w:t>ی</w:t>
      </w:r>
      <w:r w:rsidRPr="0025250D">
        <w:rPr>
          <w:rFonts w:hint="eastAsia"/>
          <w:rtl/>
        </w:rPr>
        <w:t>ن</w:t>
      </w:r>
      <w:r w:rsidR="005B6D28" w:rsidRPr="0025250D">
        <w:rPr>
          <w:rFonts w:hint="cs"/>
          <w:rtl/>
        </w:rPr>
        <w:t xml:space="preserve"> کتاب</w:t>
      </w:r>
      <w:r w:rsidRPr="0025250D">
        <w:rPr>
          <w:rtl/>
        </w:rPr>
        <w:t xml:space="preserve"> </w:t>
      </w:r>
      <w:r w:rsidR="00D92F6E" w:rsidRPr="0025250D">
        <w:rPr>
          <w:rtl/>
        </w:rPr>
        <w:t>پیش‌بین</w:t>
      </w:r>
      <w:r w:rsidRPr="0025250D">
        <w:rPr>
          <w:rFonts w:hint="cs"/>
          <w:rtl/>
        </w:rPr>
        <w:t>ی</w:t>
      </w:r>
      <w:r w:rsidRPr="0025250D">
        <w:rPr>
          <w:rtl/>
        </w:rPr>
        <w:t xml:space="preserve"> را به عنوان حق</w:t>
      </w:r>
      <w:r w:rsidRPr="0025250D">
        <w:rPr>
          <w:rFonts w:hint="cs"/>
          <w:rtl/>
        </w:rPr>
        <w:t>ی</w:t>
      </w:r>
      <w:r w:rsidRPr="0025250D">
        <w:rPr>
          <w:rFonts w:hint="eastAsia"/>
          <w:rtl/>
        </w:rPr>
        <w:t>قت</w:t>
      </w:r>
      <w:r w:rsidRPr="0025250D">
        <w:rPr>
          <w:rtl/>
        </w:rPr>
        <w:t xml:space="preserve"> جو</w:t>
      </w:r>
      <w:r w:rsidRPr="0025250D">
        <w:rPr>
          <w:rFonts w:hint="cs"/>
          <w:rtl/>
        </w:rPr>
        <w:t>یی</w:t>
      </w:r>
      <w:r w:rsidRPr="0025250D">
        <w:rPr>
          <w:rtl/>
        </w:rPr>
        <w:t xml:space="preserve"> همگرا و کشف الگوها</w:t>
      </w:r>
      <w:r w:rsidRPr="0025250D">
        <w:rPr>
          <w:rFonts w:hint="cs"/>
          <w:rtl/>
        </w:rPr>
        <w:t>ی</w:t>
      </w:r>
      <w:r w:rsidRPr="0025250D">
        <w:rPr>
          <w:rtl/>
        </w:rPr>
        <w:t xml:space="preserve"> پا</w:t>
      </w:r>
      <w:r w:rsidRPr="0025250D">
        <w:rPr>
          <w:rFonts w:hint="cs"/>
          <w:rtl/>
        </w:rPr>
        <w:t>ی</w:t>
      </w:r>
      <w:r w:rsidRPr="0025250D">
        <w:rPr>
          <w:rFonts w:hint="eastAsia"/>
          <w:rtl/>
        </w:rPr>
        <w:t>دار</w:t>
      </w:r>
      <w:r w:rsidRPr="0025250D">
        <w:rPr>
          <w:rtl/>
        </w:rPr>
        <w:t xml:space="preserve"> مکان</w:t>
      </w:r>
      <w:r w:rsidRPr="0025250D">
        <w:rPr>
          <w:rFonts w:hint="cs"/>
          <w:rtl/>
        </w:rPr>
        <w:t>ی</w:t>
      </w:r>
      <w:r w:rsidRPr="0025250D">
        <w:rPr>
          <w:rtl/>
        </w:rPr>
        <w:t xml:space="preserve"> و زمان</w:t>
      </w:r>
      <w:r w:rsidRPr="0025250D">
        <w:rPr>
          <w:rFonts w:hint="cs"/>
          <w:rtl/>
        </w:rPr>
        <w:t>ی</w:t>
      </w:r>
      <w:r w:rsidRPr="0025250D">
        <w:rPr>
          <w:rtl/>
        </w:rPr>
        <w:t xml:space="preserve"> در جهان مورد بررس</w:t>
      </w:r>
      <w:r w:rsidRPr="0025250D">
        <w:rPr>
          <w:rFonts w:hint="cs"/>
          <w:rtl/>
        </w:rPr>
        <w:t>ی</w:t>
      </w:r>
      <w:r w:rsidRPr="0025250D">
        <w:rPr>
          <w:rtl/>
        </w:rPr>
        <w:t xml:space="preserve"> قرار م</w:t>
      </w:r>
      <w:r w:rsidRPr="0025250D">
        <w:rPr>
          <w:rFonts w:hint="cs"/>
          <w:rtl/>
        </w:rPr>
        <w:t>ی</w:t>
      </w:r>
      <w:r w:rsidRPr="0025250D">
        <w:rPr>
          <w:rtl/>
        </w:rPr>
        <w:t xml:space="preserve"> دهد.</w:t>
      </w:r>
    </w:p>
    <w:p w14:paraId="2F1985C7" w14:textId="41D7025A" w:rsidR="008A50B6" w:rsidRPr="0025250D" w:rsidRDefault="008A50B6" w:rsidP="00492C47">
      <w:pPr>
        <w:numPr>
          <w:ilvl w:val="0"/>
          <w:numId w:val="74"/>
        </w:numPr>
      </w:pPr>
      <w:r w:rsidRPr="0025250D">
        <w:rPr>
          <w:rFonts w:hint="cs"/>
          <w:rtl/>
        </w:rPr>
        <w:t xml:space="preserve">باهوش آینده: </w:t>
      </w:r>
      <w:r w:rsidRPr="0025250D">
        <w:rPr>
          <w:rtl/>
        </w:rPr>
        <w:t>ک</w:t>
      </w:r>
      <w:r w:rsidRPr="0025250D">
        <w:rPr>
          <w:rFonts w:hint="cs"/>
          <w:rtl/>
        </w:rPr>
        <w:t>ی</w:t>
      </w:r>
      <w:r w:rsidRPr="0025250D">
        <w:rPr>
          <w:rFonts w:hint="eastAsia"/>
          <w:rtl/>
        </w:rPr>
        <w:t>ف</w:t>
      </w:r>
      <w:r w:rsidRPr="0025250D">
        <w:rPr>
          <w:rFonts w:hint="cs"/>
          <w:rtl/>
        </w:rPr>
        <w:t>ی</w:t>
      </w:r>
      <w:r w:rsidRPr="0025250D">
        <w:rPr>
          <w:rFonts w:hint="eastAsia"/>
          <w:rtl/>
        </w:rPr>
        <w:t>ت</w:t>
      </w:r>
      <w:r w:rsidRPr="0025250D">
        <w:rPr>
          <w:rtl/>
        </w:rPr>
        <w:t xml:space="preserve"> در </w:t>
      </w:r>
      <w:r w:rsidR="00D92F6E" w:rsidRPr="0025250D">
        <w:rPr>
          <w:rtl/>
        </w:rPr>
        <w:t>آینده‌نگاری</w:t>
      </w:r>
      <w:r w:rsidRPr="0025250D">
        <w:rPr>
          <w:rFonts w:hint="eastAsia"/>
          <w:rtl/>
        </w:rPr>
        <w:t>،</w:t>
      </w:r>
      <w:r w:rsidRPr="0025250D">
        <w:rPr>
          <w:rtl/>
        </w:rPr>
        <w:t xml:space="preserve"> آدام گوردون</w:t>
      </w:r>
      <w:r w:rsidRPr="0025250D">
        <w:rPr>
          <w:vertAlign w:val="superscript"/>
          <w:rtl/>
        </w:rPr>
        <w:footnoteReference w:id="3265"/>
      </w:r>
      <w:r w:rsidRPr="0025250D">
        <w:rPr>
          <w:rtl/>
        </w:rPr>
        <w:t>، 2008</w:t>
      </w:r>
      <w:r w:rsidRPr="0025250D">
        <w:rPr>
          <w:rFonts w:hint="cs"/>
          <w:rtl/>
        </w:rPr>
        <w:t xml:space="preserve">. </w:t>
      </w:r>
      <w:r w:rsidRPr="0025250D">
        <w:rPr>
          <w:rtl/>
        </w:rPr>
        <w:t>مقدمه ا</w:t>
      </w:r>
      <w:r w:rsidRPr="0025250D">
        <w:rPr>
          <w:rFonts w:hint="cs"/>
          <w:rtl/>
        </w:rPr>
        <w:t>ی</w:t>
      </w:r>
      <w:r w:rsidRPr="0025250D">
        <w:rPr>
          <w:rtl/>
        </w:rPr>
        <w:t xml:space="preserve"> بس</w:t>
      </w:r>
      <w:r w:rsidRPr="0025250D">
        <w:rPr>
          <w:rFonts w:hint="cs"/>
          <w:rtl/>
        </w:rPr>
        <w:t>ی</w:t>
      </w:r>
      <w:r w:rsidRPr="0025250D">
        <w:rPr>
          <w:rFonts w:hint="eastAsia"/>
          <w:rtl/>
        </w:rPr>
        <w:t>ار</w:t>
      </w:r>
      <w:r w:rsidRPr="0025250D">
        <w:rPr>
          <w:rtl/>
        </w:rPr>
        <w:t xml:space="preserve"> در دسترس برا</w:t>
      </w:r>
      <w:r w:rsidRPr="0025250D">
        <w:rPr>
          <w:rFonts w:hint="cs"/>
          <w:rtl/>
        </w:rPr>
        <w:t>ی</w:t>
      </w:r>
      <w:r w:rsidRPr="0025250D">
        <w:rPr>
          <w:rtl/>
        </w:rPr>
        <w:t xml:space="preserve"> شناسا</w:t>
      </w:r>
      <w:r w:rsidRPr="0025250D">
        <w:rPr>
          <w:rFonts w:hint="cs"/>
          <w:rtl/>
        </w:rPr>
        <w:t>یی</w:t>
      </w:r>
      <w:r w:rsidRPr="0025250D">
        <w:rPr>
          <w:rtl/>
        </w:rPr>
        <w:t xml:space="preserve"> و برون </w:t>
      </w:r>
      <w:r w:rsidRPr="0025250D">
        <w:rPr>
          <w:rFonts w:hint="cs"/>
          <w:rtl/>
        </w:rPr>
        <w:t>ی</w:t>
      </w:r>
      <w:r w:rsidRPr="0025250D">
        <w:rPr>
          <w:rFonts w:hint="eastAsia"/>
          <w:rtl/>
        </w:rPr>
        <w:t>اب</w:t>
      </w:r>
      <w:r w:rsidRPr="0025250D">
        <w:rPr>
          <w:rFonts w:hint="cs"/>
          <w:rtl/>
        </w:rPr>
        <w:t>ی</w:t>
      </w:r>
      <w:r w:rsidRPr="0025250D">
        <w:rPr>
          <w:rtl/>
        </w:rPr>
        <w:t xml:space="preserve"> روند. همچن</w:t>
      </w:r>
      <w:r w:rsidRPr="0025250D">
        <w:rPr>
          <w:rFonts w:hint="cs"/>
          <w:rtl/>
        </w:rPr>
        <w:t>ی</w:t>
      </w:r>
      <w:r w:rsidRPr="0025250D">
        <w:rPr>
          <w:rFonts w:hint="eastAsia"/>
          <w:rtl/>
        </w:rPr>
        <w:t>ن</w:t>
      </w:r>
      <w:r w:rsidRPr="0025250D">
        <w:rPr>
          <w:rtl/>
        </w:rPr>
        <w:t xml:space="preserve"> برا</w:t>
      </w:r>
      <w:r w:rsidRPr="0025250D">
        <w:rPr>
          <w:rFonts w:hint="cs"/>
          <w:rtl/>
        </w:rPr>
        <w:t>ی</w:t>
      </w:r>
      <w:r w:rsidRPr="0025250D">
        <w:rPr>
          <w:rtl/>
        </w:rPr>
        <w:t xml:space="preserve"> تشخ</w:t>
      </w:r>
      <w:r w:rsidRPr="0025250D">
        <w:rPr>
          <w:rFonts w:hint="cs"/>
          <w:rtl/>
        </w:rPr>
        <w:t>ی</w:t>
      </w:r>
      <w:r w:rsidRPr="0025250D">
        <w:rPr>
          <w:rFonts w:hint="eastAsia"/>
          <w:rtl/>
        </w:rPr>
        <w:t>ص</w:t>
      </w:r>
      <w:r w:rsidRPr="0025250D">
        <w:rPr>
          <w:rtl/>
        </w:rPr>
        <w:t xml:space="preserve"> و کاهش </w:t>
      </w:r>
      <w:r w:rsidRPr="0025250D">
        <w:rPr>
          <w:rFonts w:hint="cs"/>
          <w:rtl/>
        </w:rPr>
        <w:t>سوگیری</w:t>
      </w:r>
      <w:r w:rsidRPr="0025250D">
        <w:rPr>
          <w:rtl/>
        </w:rPr>
        <w:t xml:space="preserve"> مف</w:t>
      </w:r>
      <w:r w:rsidRPr="0025250D">
        <w:rPr>
          <w:rFonts w:hint="cs"/>
          <w:rtl/>
        </w:rPr>
        <w:t>ی</w:t>
      </w:r>
      <w:r w:rsidRPr="0025250D">
        <w:rPr>
          <w:rFonts w:hint="eastAsia"/>
          <w:rtl/>
        </w:rPr>
        <w:t>د</w:t>
      </w:r>
      <w:r w:rsidRPr="0025250D">
        <w:rPr>
          <w:rtl/>
        </w:rPr>
        <w:t xml:space="preserve"> است. تغ</w:t>
      </w:r>
      <w:r w:rsidRPr="0025250D">
        <w:rPr>
          <w:rFonts w:hint="cs"/>
          <w:rtl/>
        </w:rPr>
        <w:t>یی</w:t>
      </w:r>
      <w:r w:rsidRPr="0025250D">
        <w:rPr>
          <w:rFonts w:hint="eastAsia"/>
          <w:rtl/>
        </w:rPr>
        <w:t>رات</w:t>
      </w:r>
      <w:r w:rsidRPr="0025250D">
        <w:rPr>
          <w:rtl/>
        </w:rPr>
        <w:t xml:space="preserve"> شتاب دهنده </w:t>
      </w:r>
      <w:r w:rsidRPr="0025250D">
        <w:rPr>
          <w:rFonts w:hint="cs"/>
          <w:rtl/>
        </w:rPr>
        <w:t>را</w:t>
      </w:r>
      <w:r w:rsidRPr="0025250D">
        <w:rPr>
          <w:rtl/>
        </w:rPr>
        <w:t xml:space="preserve"> </w:t>
      </w:r>
      <w:r w:rsidRPr="0025250D">
        <w:rPr>
          <w:rFonts w:hint="cs"/>
          <w:rtl/>
        </w:rPr>
        <w:t>شناسایی</w:t>
      </w:r>
      <w:r w:rsidR="00EE4B64" w:rsidRPr="0025250D">
        <w:rPr>
          <w:rtl/>
        </w:rPr>
        <w:t xml:space="preserve"> نمی‌</w:t>
      </w:r>
      <w:r w:rsidRPr="0025250D">
        <w:rPr>
          <w:rtl/>
        </w:rPr>
        <w:t>کند، اما ه</w:t>
      </w:r>
      <w:r w:rsidRPr="0025250D">
        <w:rPr>
          <w:rFonts w:hint="cs"/>
          <w:rtl/>
        </w:rPr>
        <w:t>ی</w:t>
      </w:r>
      <w:r w:rsidRPr="0025250D">
        <w:rPr>
          <w:rFonts w:hint="eastAsia"/>
          <w:rtl/>
        </w:rPr>
        <w:t>چ</w:t>
      </w:r>
      <w:r w:rsidRPr="0025250D">
        <w:rPr>
          <w:rtl/>
        </w:rPr>
        <w:t xml:space="preserve"> کار</w:t>
      </w:r>
      <w:r w:rsidRPr="0025250D">
        <w:rPr>
          <w:rFonts w:hint="cs"/>
          <w:rtl/>
        </w:rPr>
        <w:t>ی</w:t>
      </w:r>
      <w:r w:rsidRPr="0025250D">
        <w:rPr>
          <w:rtl/>
        </w:rPr>
        <w:t xml:space="preserve"> ب</w:t>
      </w:r>
      <w:r w:rsidRPr="0025250D">
        <w:rPr>
          <w:rFonts w:hint="cs"/>
          <w:rtl/>
        </w:rPr>
        <w:t>ی</w:t>
      </w:r>
      <w:r w:rsidRPr="0025250D">
        <w:rPr>
          <w:rtl/>
        </w:rPr>
        <w:t xml:space="preserve"> نقص ن</w:t>
      </w:r>
      <w:r w:rsidRPr="0025250D">
        <w:rPr>
          <w:rFonts w:hint="cs"/>
          <w:rtl/>
        </w:rPr>
        <w:t>ی</w:t>
      </w:r>
      <w:r w:rsidRPr="0025250D">
        <w:rPr>
          <w:rFonts w:hint="eastAsia"/>
          <w:rtl/>
        </w:rPr>
        <w:t>ست</w:t>
      </w:r>
      <w:r w:rsidRPr="0025250D">
        <w:rPr>
          <w:rtl/>
        </w:rPr>
        <w:t>. ب</w:t>
      </w:r>
      <w:r w:rsidRPr="0025250D">
        <w:rPr>
          <w:rFonts w:hint="cs"/>
          <w:rtl/>
        </w:rPr>
        <w:t>ی</w:t>
      </w:r>
      <w:r w:rsidRPr="0025250D">
        <w:rPr>
          <w:rFonts w:hint="eastAsia"/>
          <w:rtl/>
        </w:rPr>
        <w:t>نش</w:t>
      </w:r>
      <w:r w:rsidRPr="0025250D">
        <w:rPr>
          <w:rtl/>
        </w:rPr>
        <w:t xml:space="preserve"> ها را </w:t>
      </w:r>
      <w:r w:rsidR="007118DE" w:rsidRPr="0025250D">
        <w:rPr>
          <w:rtl/>
        </w:rPr>
        <w:t>همان‌طور</w:t>
      </w:r>
      <w:r w:rsidRPr="0025250D">
        <w:rPr>
          <w:rtl/>
        </w:rPr>
        <w:t xml:space="preserve"> که م</w:t>
      </w:r>
      <w:r w:rsidRPr="0025250D">
        <w:rPr>
          <w:rFonts w:hint="cs"/>
          <w:rtl/>
        </w:rPr>
        <w:t>ی</w:t>
      </w:r>
      <w:r w:rsidRPr="0025250D">
        <w:rPr>
          <w:rtl/>
        </w:rPr>
        <w:t xml:space="preserve"> ب</w:t>
      </w:r>
      <w:r w:rsidRPr="0025250D">
        <w:rPr>
          <w:rFonts w:hint="cs"/>
          <w:rtl/>
        </w:rPr>
        <w:t>ی</w:t>
      </w:r>
      <w:r w:rsidRPr="0025250D">
        <w:rPr>
          <w:rFonts w:hint="eastAsia"/>
          <w:rtl/>
        </w:rPr>
        <w:t>ن</w:t>
      </w:r>
      <w:r w:rsidRPr="0025250D">
        <w:rPr>
          <w:rFonts w:hint="cs"/>
          <w:rtl/>
        </w:rPr>
        <w:t>ی</w:t>
      </w:r>
      <w:r w:rsidRPr="0025250D">
        <w:rPr>
          <w:rFonts w:hint="eastAsia"/>
          <w:rtl/>
        </w:rPr>
        <w:t>د</w:t>
      </w:r>
      <w:r w:rsidRPr="0025250D">
        <w:rPr>
          <w:rtl/>
        </w:rPr>
        <w:t xml:space="preserve"> در نظر بگ</w:t>
      </w:r>
      <w:r w:rsidRPr="0025250D">
        <w:rPr>
          <w:rFonts w:hint="cs"/>
          <w:rtl/>
        </w:rPr>
        <w:t>ی</w:t>
      </w:r>
      <w:r w:rsidRPr="0025250D">
        <w:rPr>
          <w:rFonts w:hint="eastAsia"/>
          <w:rtl/>
        </w:rPr>
        <w:t>ر</w:t>
      </w:r>
      <w:r w:rsidRPr="0025250D">
        <w:rPr>
          <w:rFonts w:hint="cs"/>
          <w:rtl/>
        </w:rPr>
        <w:t>ی</w:t>
      </w:r>
      <w:r w:rsidRPr="0025250D">
        <w:rPr>
          <w:rFonts w:hint="eastAsia"/>
          <w:rtl/>
        </w:rPr>
        <w:t>د</w:t>
      </w:r>
      <w:r w:rsidRPr="0025250D">
        <w:rPr>
          <w:rFonts w:hint="cs"/>
          <w:rtl/>
        </w:rPr>
        <w:t>.</w:t>
      </w:r>
    </w:p>
    <w:p w14:paraId="012DF89A" w14:textId="78C5C0AE" w:rsidR="008A50B6" w:rsidRPr="0025250D" w:rsidRDefault="008A50B6" w:rsidP="00492C47">
      <w:pPr>
        <w:numPr>
          <w:ilvl w:val="0"/>
          <w:numId w:val="74"/>
        </w:numPr>
      </w:pPr>
      <w:r w:rsidRPr="0025250D">
        <w:rPr>
          <w:rFonts w:hint="cs"/>
          <w:rtl/>
        </w:rPr>
        <w:t>نشانک</w:t>
      </w:r>
      <w:r w:rsidRPr="0025250D">
        <w:rPr>
          <w:rtl/>
        </w:rPr>
        <w:t xml:space="preserve"> و نو</w:t>
      </w:r>
      <w:r w:rsidRPr="0025250D">
        <w:rPr>
          <w:rFonts w:hint="cs"/>
          <w:rtl/>
        </w:rPr>
        <w:t>ی</w:t>
      </w:r>
      <w:r w:rsidRPr="0025250D">
        <w:rPr>
          <w:rFonts w:hint="eastAsia"/>
          <w:rtl/>
        </w:rPr>
        <w:t>ز</w:t>
      </w:r>
      <w:r w:rsidRPr="0025250D">
        <w:rPr>
          <w:rtl/>
        </w:rPr>
        <w:t>: چرا بس</w:t>
      </w:r>
      <w:r w:rsidRPr="0025250D">
        <w:rPr>
          <w:rFonts w:hint="cs"/>
          <w:rtl/>
        </w:rPr>
        <w:t>ی</w:t>
      </w:r>
      <w:r w:rsidRPr="0025250D">
        <w:rPr>
          <w:rFonts w:hint="eastAsia"/>
          <w:rtl/>
        </w:rPr>
        <w:t>ار</w:t>
      </w:r>
      <w:r w:rsidRPr="0025250D">
        <w:rPr>
          <w:rFonts w:hint="cs"/>
          <w:rtl/>
        </w:rPr>
        <w:t>ی</w:t>
      </w:r>
      <w:r w:rsidRPr="0025250D">
        <w:rPr>
          <w:rtl/>
        </w:rPr>
        <w:t xml:space="preserve"> از پ</w:t>
      </w:r>
      <w:r w:rsidRPr="0025250D">
        <w:rPr>
          <w:rFonts w:hint="cs"/>
          <w:rtl/>
        </w:rPr>
        <w:t>ی</w:t>
      </w:r>
      <w:r w:rsidRPr="0025250D">
        <w:rPr>
          <w:rFonts w:hint="eastAsia"/>
          <w:rtl/>
        </w:rPr>
        <w:t>ش‌ب</w:t>
      </w:r>
      <w:r w:rsidRPr="0025250D">
        <w:rPr>
          <w:rFonts w:hint="cs"/>
          <w:rtl/>
        </w:rPr>
        <w:t>ی</w:t>
      </w:r>
      <w:r w:rsidRPr="0025250D">
        <w:rPr>
          <w:rFonts w:hint="eastAsia"/>
          <w:rtl/>
        </w:rPr>
        <w:t>ن</w:t>
      </w:r>
      <w:r w:rsidRPr="0025250D">
        <w:rPr>
          <w:rFonts w:hint="cs"/>
          <w:rtl/>
        </w:rPr>
        <w:t>ی‌</w:t>
      </w:r>
      <w:r w:rsidRPr="0025250D">
        <w:rPr>
          <w:rFonts w:hint="eastAsia"/>
          <w:rtl/>
        </w:rPr>
        <w:t>ها</w:t>
      </w:r>
      <w:r w:rsidRPr="0025250D">
        <w:rPr>
          <w:rtl/>
        </w:rPr>
        <w:t xml:space="preserve"> شکست م</w:t>
      </w:r>
      <w:r w:rsidRPr="0025250D">
        <w:rPr>
          <w:rFonts w:hint="cs"/>
          <w:rtl/>
        </w:rPr>
        <w:t>ی‌</w:t>
      </w:r>
      <w:r w:rsidRPr="0025250D">
        <w:rPr>
          <w:rFonts w:hint="eastAsia"/>
          <w:rtl/>
        </w:rPr>
        <w:t>خورند،</w:t>
      </w:r>
      <w:r w:rsidRPr="0025250D">
        <w:rPr>
          <w:rtl/>
        </w:rPr>
        <w:t xml:space="preserve"> اما برخ</w:t>
      </w:r>
      <w:r w:rsidRPr="0025250D">
        <w:rPr>
          <w:rFonts w:hint="cs"/>
          <w:rtl/>
        </w:rPr>
        <w:t>ی</w:t>
      </w:r>
      <w:r w:rsidRPr="0025250D">
        <w:rPr>
          <w:rtl/>
        </w:rPr>
        <w:t xml:space="preserve"> </w:t>
      </w:r>
      <w:r w:rsidR="005B6D28" w:rsidRPr="0025250D">
        <w:rPr>
          <w:rFonts w:hint="cs"/>
          <w:rtl/>
        </w:rPr>
        <w:t>موفق می شوند،</w:t>
      </w:r>
      <w:r w:rsidRPr="0025250D">
        <w:rPr>
          <w:rtl/>
        </w:rPr>
        <w:t xml:space="preserve"> ن</w:t>
      </w:r>
      <w:r w:rsidRPr="0025250D">
        <w:rPr>
          <w:rFonts w:hint="cs"/>
          <w:rtl/>
        </w:rPr>
        <w:t>ی</w:t>
      </w:r>
      <w:r w:rsidRPr="0025250D">
        <w:rPr>
          <w:rFonts w:hint="eastAsia"/>
          <w:rtl/>
        </w:rPr>
        <w:t>ت</w:t>
      </w:r>
      <w:r w:rsidRPr="0025250D">
        <w:rPr>
          <w:rtl/>
        </w:rPr>
        <w:t xml:space="preserve"> س</w:t>
      </w:r>
      <w:r w:rsidRPr="0025250D">
        <w:rPr>
          <w:rFonts w:hint="cs"/>
          <w:rtl/>
        </w:rPr>
        <w:t>ی</w:t>
      </w:r>
      <w:r w:rsidRPr="0025250D">
        <w:rPr>
          <w:rFonts w:hint="eastAsia"/>
          <w:rtl/>
        </w:rPr>
        <w:t>لور</w:t>
      </w:r>
      <w:r w:rsidRPr="0025250D">
        <w:rPr>
          <w:vertAlign w:val="superscript"/>
          <w:rtl/>
        </w:rPr>
        <w:footnoteReference w:id="3266"/>
      </w:r>
      <w:r w:rsidRPr="0025250D">
        <w:rPr>
          <w:rFonts w:hint="eastAsia"/>
          <w:rtl/>
        </w:rPr>
        <w:t>،</w:t>
      </w:r>
      <w:r w:rsidRPr="0025250D">
        <w:rPr>
          <w:rtl/>
        </w:rPr>
        <w:t xml:space="preserve"> 2012. مقدمه‌ا</w:t>
      </w:r>
      <w:r w:rsidRPr="0025250D">
        <w:rPr>
          <w:rFonts w:hint="cs"/>
          <w:rtl/>
        </w:rPr>
        <w:t>ی</w:t>
      </w:r>
      <w:r w:rsidRPr="0025250D">
        <w:rPr>
          <w:rtl/>
        </w:rPr>
        <w:t xml:space="preserve"> پرمخاطب </w:t>
      </w:r>
      <w:r w:rsidRPr="0025250D">
        <w:rPr>
          <w:rFonts w:hint="cs"/>
          <w:rtl/>
        </w:rPr>
        <w:t>برای</w:t>
      </w:r>
      <w:r w:rsidRPr="0025250D">
        <w:rPr>
          <w:rtl/>
        </w:rPr>
        <w:t xml:space="preserve"> رو</w:t>
      </w:r>
      <w:r w:rsidRPr="0025250D">
        <w:rPr>
          <w:rFonts w:hint="cs"/>
          <w:rtl/>
        </w:rPr>
        <w:t>ی</w:t>
      </w:r>
      <w:r w:rsidRPr="0025250D">
        <w:rPr>
          <w:rFonts w:hint="eastAsia"/>
          <w:rtl/>
        </w:rPr>
        <w:t>ه‌ها</w:t>
      </w:r>
      <w:r w:rsidRPr="0025250D">
        <w:rPr>
          <w:rFonts w:hint="cs"/>
          <w:rtl/>
        </w:rPr>
        <w:t>ی</w:t>
      </w:r>
      <w:r w:rsidRPr="0025250D">
        <w:rPr>
          <w:rtl/>
        </w:rPr>
        <w:t xml:space="preserve"> نوظهور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آمار</w:t>
      </w:r>
      <w:r w:rsidRPr="0025250D">
        <w:rPr>
          <w:rFonts w:hint="cs"/>
          <w:rtl/>
        </w:rPr>
        <w:t>ی</w:t>
      </w:r>
      <w:r w:rsidRPr="0025250D">
        <w:rPr>
          <w:rtl/>
        </w:rPr>
        <w:t xml:space="preserve"> و ارزش پ</w:t>
      </w:r>
      <w:r w:rsidRPr="0025250D">
        <w:rPr>
          <w:rFonts w:hint="cs"/>
          <w:rtl/>
        </w:rPr>
        <w:t>ی</w:t>
      </w:r>
      <w:r w:rsidRPr="0025250D">
        <w:rPr>
          <w:rFonts w:hint="eastAsia"/>
          <w:rtl/>
        </w:rPr>
        <w:t>ش‌ب</w:t>
      </w:r>
      <w:r w:rsidRPr="0025250D">
        <w:rPr>
          <w:rFonts w:hint="cs"/>
          <w:rtl/>
        </w:rPr>
        <w:t>ی</w:t>
      </w:r>
      <w:r w:rsidRPr="0025250D">
        <w:rPr>
          <w:rFonts w:hint="eastAsia"/>
          <w:rtl/>
        </w:rPr>
        <w:t>ن</w:t>
      </w:r>
      <w:r w:rsidRPr="0025250D">
        <w:rPr>
          <w:rFonts w:hint="cs"/>
          <w:rtl/>
        </w:rPr>
        <w:t>ی‌</w:t>
      </w:r>
      <w:r w:rsidRPr="0025250D">
        <w:rPr>
          <w:rFonts w:hint="eastAsia"/>
          <w:rtl/>
        </w:rPr>
        <w:t>ها</w:t>
      </w:r>
      <w:r w:rsidRPr="0025250D">
        <w:rPr>
          <w:rFonts w:hint="cs"/>
          <w:rtl/>
        </w:rPr>
        <w:t>ی</w:t>
      </w:r>
      <w:r w:rsidRPr="0025250D">
        <w:rPr>
          <w:rtl/>
        </w:rPr>
        <w:t xml:space="preserve"> شفاف مکرر </w:t>
      </w:r>
      <w:r w:rsidR="008D6F97" w:rsidRPr="0025250D">
        <w:rPr>
          <w:rtl/>
        </w:rPr>
        <w:t>سامانه‌</w:t>
      </w:r>
      <w:r w:rsidRPr="0025250D">
        <w:rPr>
          <w:rFonts w:hint="eastAsia"/>
          <w:rtl/>
        </w:rPr>
        <w:t>‌ها</w:t>
      </w:r>
      <w:r w:rsidRPr="0025250D">
        <w:rPr>
          <w:rFonts w:hint="cs"/>
          <w:rtl/>
        </w:rPr>
        <w:t>ی</w:t>
      </w:r>
      <w:r w:rsidRPr="0025250D">
        <w:rPr>
          <w:rtl/>
        </w:rPr>
        <w:t xml:space="preserve"> پ</w:t>
      </w:r>
      <w:r w:rsidRPr="0025250D">
        <w:rPr>
          <w:rFonts w:hint="cs"/>
          <w:rtl/>
        </w:rPr>
        <w:t>ی</w:t>
      </w:r>
      <w:r w:rsidRPr="0025250D">
        <w:rPr>
          <w:rFonts w:hint="eastAsia"/>
          <w:rtl/>
        </w:rPr>
        <w:t>چ</w:t>
      </w:r>
      <w:r w:rsidRPr="0025250D">
        <w:rPr>
          <w:rFonts w:hint="cs"/>
          <w:rtl/>
        </w:rPr>
        <w:t>ی</w:t>
      </w:r>
      <w:r w:rsidRPr="0025250D">
        <w:rPr>
          <w:rFonts w:hint="eastAsia"/>
          <w:rtl/>
        </w:rPr>
        <w:t>ده</w:t>
      </w:r>
      <w:r w:rsidRPr="0025250D">
        <w:rPr>
          <w:rtl/>
        </w:rPr>
        <w:t xml:space="preserve">. </w:t>
      </w:r>
      <w:r w:rsidRPr="0025250D">
        <w:rPr>
          <w:rFonts w:hint="cs"/>
          <w:rtl/>
        </w:rPr>
        <w:t>ی</w:t>
      </w:r>
      <w:r w:rsidRPr="0025250D">
        <w:rPr>
          <w:rFonts w:hint="eastAsia"/>
          <w:rtl/>
        </w:rPr>
        <w:t>ک</w:t>
      </w:r>
      <w:r w:rsidRPr="0025250D">
        <w:rPr>
          <w:rFonts w:hint="cs"/>
          <w:rtl/>
        </w:rPr>
        <w:t>ی</w:t>
      </w:r>
      <w:r w:rsidRPr="0025250D">
        <w:rPr>
          <w:rtl/>
        </w:rPr>
        <w:t xml:space="preserve"> از راه ها</w:t>
      </w:r>
      <w:r w:rsidRPr="0025250D">
        <w:rPr>
          <w:rFonts w:hint="cs"/>
          <w:rtl/>
        </w:rPr>
        <w:t>یی که</w:t>
      </w:r>
      <w:r w:rsidRPr="0025250D">
        <w:rPr>
          <w:rtl/>
        </w:rPr>
        <w:t xml:space="preserve"> حوزه ما مشروع</w:t>
      </w:r>
      <w:r w:rsidRPr="0025250D">
        <w:rPr>
          <w:rFonts w:hint="cs"/>
          <w:rtl/>
        </w:rPr>
        <w:t>ی</w:t>
      </w:r>
      <w:r w:rsidRPr="0025250D">
        <w:rPr>
          <w:rFonts w:hint="eastAsia"/>
          <w:rtl/>
        </w:rPr>
        <w:t>ت</w:t>
      </w:r>
      <w:r w:rsidRPr="0025250D">
        <w:rPr>
          <w:rtl/>
        </w:rPr>
        <w:t xml:space="preserve"> خواهد </w:t>
      </w:r>
      <w:r w:rsidRPr="0025250D">
        <w:rPr>
          <w:rFonts w:hint="cs"/>
          <w:rtl/>
        </w:rPr>
        <w:t>ی</w:t>
      </w:r>
      <w:r w:rsidRPr="0025250D">
        <w:rPr>
          <w:rFonts w:hint="eastAsia"/>
          <w:rtl/>
        </w:rPr>
        <w:t>افت</w:t>
      </w:r>
      <w:r w:rsidRPr="0025250D">
        <w:rPr>
          <w:rtl/>
        </w:rPr>
        <w:t>.</w:t>
      </w:r>
    </w:p>
    <w:p w14:paraId="5BA6EAD9" w14:textId="007212E4" w:rsidR="008A50B6" w:rsidRPr="0025250D" w:rsidRDefault="008A50B6" w:rsidP="00492C47">
      <w:pPr>
        <w:numPr>
          <w:ilvl w:val="0"/>
          <w:numId w:val="74"/>
        </w:numPr>
      </w:pPr>
      <w:r w:rsidRPr="0025250D">
        <w:rPr>
          <w:rtl/>
        </w:rPr>
        <w:t xml:space="preserve">مانند </w:t>
      </w:r>
      <w:r w:rsidRPr="0025250D">
        <w:rPr>
          <w:rFonts w:hint="cs"/>
          <w:rtl/>
        </w:rPr>
        <w:t>ی</w:t>
      </w:r>
      <w:r w:rsidRPr="0025250D">
        <w:rPr>
          <w:rFonts w:hint="eastAsia"/>
          <w:rtl/>
        </w:rPr>
        <w:t>ک</w:t>
      </w:r>
      <w:r w:rsidRPr="0025250D">
        <w:rPr>
          <w:rtl/>
        </w:rPr>
        <w:t xml:space="preserve"> </w:t>
      </w:r>
      <w:r w:rsidR="00D92F6E" w:rsidRPr="0025250D">
        <w:rPr>
          <w:rtl/>
        </w:rPr>
        <w:t>آینده‌پژوه</w:t>
      </w:r>
      <w:r w:rsidRPr="0025250D">
        <w:rPr>
          <w:rtl/>
        </w:rPr>
        <w:t xml:space="preserve"> فکر کن، س</w:t>
      </w:r>
      <w:r w:rsidRPr="0025250D">
        <w:rPr>
          <w:rFonts w:hint="cs"/>
          <w:rtl/>
        </w:rPr>
        <w:t>ی</w:t>
      </w:r>
      <w:r w:rsidRPr="0025250D">
        <w:rPr>
          <w:rFonts w:hint="eastAsia"/>
          <w:rtl/>
        </w:rPr>
        <w:t>س</w:t>
      </w:r>
      <w:r w:rsidRPr="0025250D">
        <w:rPr>
          <w:rFonts w:hint="cs"/>
          <w:rtl/>
        </w:rPr>
        <w:t>ی</w:t>
      </w:r>
      <w:r w:rsidRPr="0025250D">
        <w:rPr>
          <w:rFonts w:hint="eastAsia"/>
          <w:rtl/>
        </w:rPr>
        <w:t>ل</w:t>
      </w:r>
      <w:r w:rsidRPr="0025250D">
        <w:rPr>
          <w:rFonts w:hint="cs"/>
          <w:rtl/>
        </w:rPr>
        <w:t>ی</w:t>
      </w:r>
      <w:r w:rsidRPr="0025250D">
        <w:rPr>
          <w:rtl/>
        </w:rPr>
        <w:t xml:space="preserve"> سامرز</w:t>
      </w:r>
      <w:r w:rsidRPr="0025250D">
        <w:rPr>
          <w:vertAlign w:val="superscript"/>
          <w:rtl/>
        </w:rPr>
        <w:footnoteReference w:id="3267"/>
      </w:r>
      <w:r w:rsidRPr="0025250D">
        <w:rPr>
          <w:rtl/>
        </w:rPr>
        <w:t>، 2012. مقدمه ا</w:t>
      </w:r>
      <w:r w:rsidRPr="0025250D">
        <w:rPr>
          <w:rFonts w:hint="cs"/>
          <w:rtl/>
        </w:rPr>
        <w:t>ی</w:t>
      </w:r>
      <w:r w:rsidRPr="0025250D">
        <w:rPr>
          <w:rtl/>
        </w:rPr>
        <w:t xml:space="preserve"> الهام بخش و بس</w:t>
      </w:r>
      <w:r w:rsidRPr="0025250D">
        <w:rPr>
          <w:rFonts w:hint="cs"/>
          <w:rtl/>
        </w:rPr>
        <w:t>ی</w:t>
      </w:r>
      <w:r w:rsidRPr="0025250D">
        <w:rPr>
          <w:rFonts w:hint="eastAsia"/>
          <w:rtl/>
        </w:rPr>
        <w:t>ار</w:t>
      </w:r>
      <w:r w:rsidRPr="0025250D">
        <w:rPr>
          <w:rtl/>
        </w:rPr>
        <w:t xml:space="preserve"> قابل دسترس برا</w:t>
      </w:r>
      <w:r w:rsidRPr="0025250D">
        <w:rPr>
          <w:rFonts w:hint="cs"/>
          <w:rtl/>
        </w:rPr>
        <w:t>ی</w:t>
      </w:r>
      <w:r w:rsidRPr="0025250D">
        <w:rPr>
          <w:rtl/>
        </w:rPr>
        <w:t xml:space="preserve"> مزا</w:t>
      </w:r>
      <w:r w:rsidRPr="0025250D">
        <w:rPr>
          <w:rFonts w:hint="cs"/>
          <w:rtl/>
        </w:rPr>
        <w:t>ی</w:t>
      </w:r>
      <w:r w:rsidRPr="0025250D">
        <w:rPr>
          <w:rFonts w:hint="eastAsia"/>
          <w:rtl/>
        </w:rPr>
        <w:t>ا</w:t>
      </w:r>
      <w:r w:rsidRPr="0025250D">
        <w:rPr>
          <w:rFonts w:hint="cs"/>
          <w:rtl/>
        </w:rPr>
        <w:t>ی</w:t>
      </w:r>
      <w:r w:rsidRPr="0025250D">
        <w:rPr>
          <w:rtl/>
        </w:rPr>
        <w:t xml:space="preserve"> </w:t>
      </w:r>
      <w:r w:rsidR="00701E03" w:rsidRPr="0025250D">
        <w:rPr>
          <w:rtl/>
        </w:rPr>
        <w:t>راهبردی</w:t>
      </w:r>
      <w:r w:rsidRPr="0025250D">
        <w:rPr>
          <w:rtl/>
        </w:rPr>
        <w:t xml:space="preserve"> و فرآ</w:t>
      </w:r>
      <w:r w:rsidRPr="0025250D">
        <w:rPr>
          <w:rFonts w:hint="cs"/>
          <w:rtl/>
        </w:rPr>
        <w:t>ی</w:t>
      </w:r>
      <w:r w:rsidRPr="0025250D">
        <w:rPr>
          <w:rFonts w:hint="eastAsia"/>
          <w:rtl/>
        </w:rPr>
        <w:t>ندها</w:t>
      </w:r>
      <w:r w:rsidRPr="0025250D">
        <w:rPr>
          <w:rFonts w:hint="cs"/>
          <w:rtl/>
        </w:rPr>
        <w:t>ی</w:t>
      </w:r>
      <w:r w:rsidRPr="0025250D">
        <w:rPr>
          <w:rtl/>
        </w:rPr>
        <w:t xml:space="preserve"> تفکر </w:t>
      </w:r>
      <w:r w:rsidR="00D92F6E" w:rsidRPr="0025250D">
        <w:rPr>
          <w:rtl/>
        </w:rPr>
        <w:t>آینده‌نگاری</w:t>
      </w:r>
      <w:r w:rsidRPr="0025250D">
        <w:rPr>
          <w:rtl/>
        </w:rPr>
        <w:t xml:space="preserve">. عاقلانه </w:t>
      </w:r>
      <w:r w:rsidRPr="0025250D">
        <w:rPr>
          <w:rFonts w:hint="cs"/>
          <w:rtl/>
        </w:rPr>
        <w:t>ی</w:t>
      </w:r>
      <w:r w:rsidRPr="0025250D">
        <w:rPr>
          <w:rFonts w:hint="eastAsia"/>
          <w:rtl/>
        </w:rPr>
        <w:t>افتن</w:t>
      </w:r>
      <w:r w:rsidRPr="0025250D">
        <w:rPr>
          <w:rtl/>
        </w:rPr>
        <w:t xml:space="preserve"> </w:t>
      </w:r>
      <w:r w:rsidRPr="0025250D">
        <w:rPr>
          <w:rFonts w:hint="cs"/>
          <w:rtl/>
        </w:rPr>
        <w:t xml:space="preserve">کلان </w:t>
      </w:r>
      <w:r w:rsidRPr="0025250D">
        <w:rPr>
          <w:rtl/>
        </w:rPr>
        <w:t>روندها، تشخ</w:t>
      </w:r>
      <w:r w:rsidRPr="0025250D">
        <w:rPr>
          <w:rFonts w:hint="cs"/>
          <w:rtl/>
        </w:rPr>
        <w:t>ی</w:t>
      </w:r>
      <w:r w:rsidRPr="0025250D">
        <w:rPr>
          <w:rFonts w:hint="eastAsia"/>
          <w:rtl/>
        </w:rPr>
        <w:t>ص</w:t>
      </w:r>
      <w:r w:rsidRPr="0025250D">
        <w:rPr>
          <w:rtl/>
        </w:rPr>
        <w:t xml:space="preserve"> آنچه تغ</w:t>
      </w:r>
      <w:r w:rsidRPr="0025250D">
        <w:rPr>
          <w:rFonts w:hint="cs"/>
          <w:rtl/>
        </w:rPr>
        <w:t>یی</w:t>
      </w:r>
      <w:r w:rsidRPr="0025250D">
        <w:rPr>
          <w:rFonts w:hint="eastAsia"/>
          <w:rtl/>
        </w:rPr>
        <w:t>ر</w:t>
      </w:r>
      <w:r w:rsidR="00EE4B64" w:rsidRPr="0025250D">
        <w:rPr>
          <w:rtl/>
        </w:rPr>
        <w:t xml:space="preserve"> نمی‌</w:t>
      </w:r>
      <w:r w:rsidRPr="0025250D">
        <w:rPr>
          <w:rtl/>
        </w:rPr>
        <w:t>کند و کشف آنچه م</w:t>
      </w:r>
      <w:r w:rsidRPr="0025250D">
        <w:rPr>
          <w:rFonts w:hint="cs"/>
          <w:rtl/>
        </w:rPr>
        <w:t>ی</w:t>
      </w:r>
      <w:r w:rsidRPr="0025250D">
        <w:rPr>
          <w:rtl/>
        </w:rPr>
        <w:t xml:space="preserve"> تواند</w:t>
      </w:r>
      <w:r w:rsidRPr="0025250D">
        <w:rPr>
          <w:rFonts w:hint="cs"/>
          <w:rtl/>
        </w:rPr>
        <w:t xml:space="preserve"> تغییر کند را</w:t>
      </w:r>
      <w:r w:rsidRPr="0025250D">
        <w:rPr>
          <w:rtl/>
        </w:rPr>
        <w:t xml:space="preserve"> توص</w:t>
      </w:r>
      <w:r w:rsidRPr="0025250D">
        <w:rPr>
          <w:rFonts w:hint="cs"/>
          <w:rtl/>
        </w:rPr>
        <w:t>ی</w:t>
      </w:r>
      <w:r w:rsidRPr="0025250D">
        <w:rPr>
          <w:rFonts w:hint="eastAsia"/>
          <w:rtl/>
        </w:rPr>
        <w:t>ه</w:t>
      </w:r>
      <w:r w:rsidRPr="0025250D">
        <w:rPr>
          <w:rtl/>
        </w:rPr>
        <w:t xml:space="preserve"> م</w:t>
      </w:r>
      <w:r w:rsidRPr="0025250D">
        <w:rPr>
          <w:rFonts w:hint="cs"/>
          <w:rtl/>
        </w:rPr>
        <w:t>ی</w:t>
      </w:r>
      <w:r w:rsidRPr="0025250D">
        <w:rPr>
          <w:rtl/>
        </w:rPr>
        <w:t xml:space="preserve"> کند. چهار ن</w:t>
      </w:r>
      <w:r w:rsidRPr="0025250D">
        <w:rPr>
          <w:rFonts w:hint="cs"/>
          <w:rtl/>
        </w:rPr>
        <w:t>ی</w:t>
      </w:r>
      <w:r w:rsidRPr="0025250D">
        <w:rPr>
          <w:rFonts w:hint="eastAsia"/>
          <w:rtl/>
        </w:rPr>
        <w:t>رو</w:t>
      </w:r>
      <w:r w:rsidRPr="0025250D">
        <w:rPr>
          <w:rFonts w:hint="cs"/>
          <w:rtl/>
        </w:rPr>
        <w:t>ی</w:t>
      </w:r>
      <w:r w:rsidRPr="0025250D">
        <w:rPr>
          <w:rtl/>
        </w:rPr>
        <w:t xml:space="preserve"> توسعه ا</w:t>
      </w:r>
      <w:r w:rsidRPr="0025250D">
        <w:rPr>
          <w:rFonts w:hint="cs"/>
          <w:rtl/>
        </w:rPr>
        <w:t>ی</w:t>
      </w:r>
      <w:r w:rsidRPr="0025250D">
        <w:rPr>
          <w:rtl/>
        </w:rPr>
        <w:t xml:space="preserve"> را ارائه م</w:t>
      </w:r>
      <w:r w:rsidRPr="0025250D">
        <w:rPr>
          <w:rFonts w:hint="cs"/>
          <w:rtl/>
        </w:rPr>
        <w:t>ی</w:t>
      </w:r>
      <w:r w:rsidRPr="0025250D">
        <w:rPr>
          <w:rtl/>
        </w:rPr>
        <w:t xml:space="preserve"> د</w:t>
      </w:r>
      <w:r w:rsidRPr="0025250D">
        <w:rPr>
          <w:rFonts w:hint="eastAsia"/>
          <w:rtl/>
        </w:rPr>
        <w:t>هد</w:t>
      </w:r>
      <w:r w:rsidRPr="0025250D">
        <w:rPr>
          <w:rtl/>
        </w:rPr>
        <w:t xml:space="preserve"> که با</w:t>
      </w:r>
      <w:r w:rsidRPr="0025250D">
        <w:rPr>
          <w:rFonts w:hint="cs"/>
          <w:rtl/>
        </w:rPr>
        <w:t>ی</w:t>
      </w:r>
      <w:r w:rsidRPr="0025250D">
        <w:rPr>
          <w:rFonts w:hint="eastAsia"/>
          <w:rtl/>
        </w:rPr>
        <w:t>د</w:t>
      </w:r>
      <w:r w:rsidRPr="0025250D">
        <w:rPr>
          <w:rtl/>
        </w:rPr>
        <w:t xml:space="preserve"> در </w:t>
      </w:r>
      <w:r w:rsidR="00701E03" w:rsidRPr="0025250D">
        <w:rPr>
          <w:rtl/>
        </w:rPr>
        <w:t>راهبرد</w:t>
      </w:r>
      <w:r w:rsidRPr="0025250D">
        <w:rPr>
          <w:rtl/>
        </w:rPr>
        <w:t xml:space="preserve"> به آنها توجه کرد</w:t>
      </w:r>
      <w:r w:rsidRPr="0025250D">
        <w:rPr>
          <w:rFonts w:hint="cs"/>
          <w:rtl/>
        </w:rPr>
        <w:t>.</w:t>
      </w:r>
    </w:p>
    <w:p w14:paraId="2D8C6030" w14:textId="08AD7579" w:rsidR="008A50B6" w:rsidRPr="0025250D" w:rsidRDefault="008A50B6" w:rsidP="00492C47">
      <w:pPr>
        <w:numPr>
          <w:ilvl w:val="0"/>
          <w:numId w:val="74"/>
        </w:numPr>
      </w:pPr>
      <w:r w:rsidRPr="0025250D">
        <w:rPr>
          <w:rtl/>
        </w:rPr>
        <w:t>آ</w:t>
      </w:r>
      <w:r w:rsidRPr="0025250D">
        <w:rPr>
          <w:rFonts w:hint="cs"/>
          <w:rtl/>
        </w:rPr>
        <w:t>ی</w:t>
      </w:r>
      <w:r w:rsidRPr="0025250D">
        <w:rPr>
          <w:rFonts w:hint="eastAsia"/>
          <w:rtl/>
        </w:rPr>
        <w:t>نده</w:t>
      </w:r>
      <w:r w:rsidRPr="0025250D">
        <w:rPr>
          <w:rtl/>
        </w:rPr>
        <w:t xml:space="preserve">: </w:t>
      </w:r>
      <w:r w:rsidRPr="0025250D">
        <w:rPr>
          <w:rFonts w:hint="cs"/>
          <w:rtl/>
        </w:rPr>
        <w:t>ی</w:t>
      </w:r>
      <w:r w:rsidRPr="0025250D">
        <w:rPr>
          <w:rFonts w:hint="eastAsia"/>
          <w:rtl/>
        </w:rPr>
        <w:t>ک</w:t>
      </w:r>
      <w:r w:rsidRPr="0025250D">
        <w:rPr>
          <w:rtl/>
        </w:rPr>
        <w:t xml:space="preserve"> مقدمه بس</w:t>
      </w:r>
      <w:r w:rsidRPr="0025250D">
        <w:rPr>
          <w:rFonts w:hint="cs"/>
          <w:rtl/>
        </w:rPr>
        <w:t>ی</w:t>
      </w:r>
      <w:r w:rsidRPr="0025250D">
        <w:rPr>
          <w:rFonts w:hint="eastAsia"/>
          <w:rtl/>
        </w:rPr>
        <w:t>ار</w:t>
      </w:r>
      <w:r w:rsidRPr="0025250D">
        <w:rPr>
          <w:rtl/>
        </w:rPr>
        <w:t xml:space="preserve"> کوتاه، جن</w:t>
      </w:r>
      <w:r w:rsidRPr="0025250D">
        <w:rPr>
          <w:rFonts w:hint="cs"/>
          <w:rtl/>
        </w:rPr>
        <w:t>ی</w:t>
      </w:r>
      <w:r w:rsidRPr="0025250D">
        <w:rPr>
          <w:rFonts w:hint="eastAsia"/>
          <w:rtl/>
        </w:rPr>
        <w:t>فر</w:t>
      </w:r>
      <w:r w:rsidRPr="0025250D">
        <w:rPr>
          <w:rtl/>
        </w:rPr>
        <w:t xml:space="preserve"> گ</w:t>
      </w:r>
      <w:r w:rsidRPr="0025250D">
        <w:rPr>
          <w:rFonts w:hint="cs"/>
          <w:rtl/>
        </w:rPr>
        <w:t>ی</w:t>
      </w:r>
      <w:r w:rsidRPr="0025250D">
        <w:rPr>
          <w:rFonts w:hint="eastAsia"/>
          <w:rtl/>
        </w:rPr>
        <w:t>دل</w:t>
      </w:r>
      <w:r w:rsidRPr="0025250D">
        <w:rPr>
          <w:rFonts w:hint="cs"/>
          <w:rtl/>
        </w:rPr>
        <w:t>ی</w:t>
      </w:r>
      <w:r w:rsidRPr="0025250D">
        <w:rPr>
          <w:vertAlign w:val="superscript"/>
          <w:rtl/>
        </w:rPr>
        <w:footnoteReference w:id="3268"/>
      </w:r>
      <w:r w:rsidRPr="0025250D">
        <w:rPr>
          <w:rFonts w:hint="eastAsia"/>
          <w:rtl/>
        </w:rPr>
        <w:t>،</w:t>
      </w:r>
      <w:r w:rsidRPr="0025250D">
        <w:rPr>
          <w:rtl/>
        </w:rPr>
        <w:t xml:space="preserve"> 2018. تار</w:t>
      </w:r>
      <w:r w:rsidRPr="0025250D">
        <w:rPr>
          <w:rFonts w:hint="cs"/>
          <w:rtl/>
        </w:rPr>
        <w:t>ی</w:t>
      </w:r>
      <w:r w:rsidRPr="0025250D">
        <w:rPr>
          <w:rFonts w:hint="eastAsia"/>
          <w:rtl/>
        </w:rPr>
        <w:t>خچه</w:t>
      </w:r>
      <w:r w:rsidRPr="0025250D">
        <w:rPr>
          <w:rtl/>
        </w:rPr>
        <w:t xml:space="preserve"> مختصر</w:t>
      </w:r>
      <w:r w:rsidRPr="0025250D">
        <w:rPr>
          <w:rFonts w:hint="cs"/>
          <w:rtl/>
        </w:rPr>
        <w:t>ی</w:t>
      </w:r>
      <w:r w:rsidRPr="0025250D">
        <w:rPr>
          <w:rtl/>
        </w:rPr>
        <w:t xml:space="preserve"> از جنبه ها</w:t>
      </w:r>
      <w:r w:rsidRPr="0025250D">
        <w:rPr>
          <w:rFonts w:hint="cs"/>
          <w:rtl/>
        </w:rPr>
        <w:t>ی</w:t>
      </w:r>
      <w:r w:rsidRPr="0025250D">
        <w:rPr>
          <w:rtl/>
        </w:rPr>
        <w:t xml:space="preserve"> تکامل</w:t>
      </w:r>
      <w:r w:rsidRPr="0025250D">
        <w:rPr>
          <w:rFonts w:hint="cs"/>
          <w:rtl/>
        </w:rPr>
        <w:t>ی</w:t>
      </w:r>
      <w:r w:rsidRPr="0025250D">
        <w:rPr>
          <w:rtl/>
        </w:rPr>
        <w:t xml:space="preserve"> حوزه در حال ظهور </w:t>
      </w:r>
      <w:r w:rsidR="005B6D28" w:rsidRPr="0025250D">
        <w:rPr>
          <w:rFonts w:hint="cs"/>
          <w:rtl/>
        </w:rPr>
        <w:t>آینده‌نگاری.</w:t>
      </w:r>
      <w:r w:rsidRPr="0025250D">
        <w:rPr>
          <w:rtl/>
        </w:rPr>
        <w:t xml:space="preserve"> گ</w:t>
      </w:r>
      <w:r w:rsidRPr="0025250D">
        <w:rPr>
          <w:rFonts w:hint="cs"/>
          <w:rtl/>
        </w:rPr>
        <w:t>ی</w:t>
      </w:r>
      <w:r w:rsidRPr="0025250D">
        <w:rPr>
          <w:rFonts w:hint="eastAsia"/>
          <w:rtl/>
        </w:rPr>
        <w:t>دل</w:t>
      </w:r>
      <w:r w:rsidRPr="0025250D">
        <w:rPr>
          <w:rFonts w:hint="cs"/>
          <w:rtl/>
        </w:rPr>
        <w:t>ی</w:t>
      </w:r>
      <w:r w:rsidRPr="0025250D">
        <w:rPr>
          <w:rtl/>
        </w:rPr>
        <w:t xml:space="preserve"> رئ</w:t>
      </w:r>
      <w:r w:rsidRPr="0025250D">
        <w:rPr>
          <w:rFonts w:hint="cs"/>
          <w:rtl/>
        </w:rPr>
        <w:t>ی</w:t>
      </w:r>
      <w:r w:rsidRPr="0025250D">
        <w:rPr>
          <w:rFonts w:hint="eastAsia"/>
          <w:rtl/>
        </w:rPr>
        <w:t>س</w:t>
      </w:r>
      <w:r w:rsidRPr="0025250D">
        <w:rPr>
          <w:rtl/>
        </w:rPr>
        <w:t xml:space="preserve"> سابق فدراس</w:t>
      </w:r>
      <w:r w:rsidRPr="0025250D">
        <w:rPr>
          <w:rFonts w:hint="cs"/>
          <w:rtl/>
        </w:rPr>
        <w:t>ی</w:t>
      </w:r>
      <w:r w:rsidRPr="0025250D">
        <w:rPr>
          <w:rFonts w:hint="eastAsia"/>
          <w:rtl/>
        </w:rPr>
        <w:t>ون</w:t>
      </w:r>
      <w:r w:rsidRPr="0025250D">
        <w:rPr>
          <w:rtl/>
        </w:rPr>
        <w:t xml:space="preserve"> جهان</w:t>
      </w:r>
      <w:r w:rsidRPr="0025250D">
        <w:rPr>
          <w:rFonts w:hint="cs"/>
          <w:rtl/>
        </w:rPr>
        <w:t>ی</w:t>
      </w:r>
      <w:r w:rsidRPr="0025250D">
        <w:rPr>
          <w:rtl/>
        </w:rPr>
        <w:t xml:space="preserve"> </w:t>
      </w:r>
      <w:r w:rsidR="00D92F6E" w:rsidRPr="0025250D">
        <w:rPr>
          <w:rtl/>
        </w:rPr>
        <w:t>آینده‌پژوه</w:t>
      </w:r>
      <w:r w:rsidRPr="0025250D">
        <w:rPr>
          <w:rFonts w:hint="cs"/>
          <w:rtl/>
        </w:rPr>
        <w:t>ی</w:t>
      </w:r>
      <w:r w:rsidRPr="0025250D">
        <w:rPr>
          <w:rtl/>
        </w:rPr>
        <w:t xml:space="preserve"> است. تنها ا</w:t>
      </w:r>
      <w:r w:rsidRPr="0025250D">
        <w:rPr>
          <w:rFonts w:hint="cs"/>
          <w:rtl/>
        </w:rPr>
        <w:t>ی</w:t>
      </w:r>
      <w:r w:rsidRPr="0025250D">
        <w:rPr>
          <w:rFonts w:hint="eastAsia"/>
          <w:rtl/>
        </w:rPr>
        <w:t>راد</w:t>
      </w:r>
      <w:r w:rsidRPr="0025250D">
        <w:rPr>
          <w:rtl/>
        </w:rPr>
        <w:t xml:space="preserve"> ا</w:t>
      </w:r>
      <w:r w:rsidRPr="0025250D">
        <w:rPr>
          <w:rFonts w:hint="cs"/>
          <w:rtl/>
        </w:rPr>
        <w:t>ی</w:t>
      </w:r>
      <w:r w:rsidRPr="0025250D">
        <w:rPr>
          <w:rFonts w:hint="eastAsia"/>
          <w:rtl/>
        </w:rPr>
        <w:t>ن</w:t>
      </w:r>
      <w:r w:rsidRPr="0025250D">
        <w:rPr>
          <w:rtl/>
        </w:rPr>
        <w:t xml:space="preserve"> کتاب </w:t>
      </w:r>
      <w:r w:rsidR="005B6D28" w:rsidRPr="0025250D">
        <w:rPr>
          <w:rFonts w:hint="cs"/>
          <w:rtl/>
        </w:rPr>
        <w:t>که</w:t>
      </w:r>
      <w:r w:rsidRPr="0025250D">
        <w:rPr>
          <w:rtl/>
        </w:rPr>
        <w:t xml:space="preserve"> </w:t>
      </w:r>
      <w:r w:rsidRPr="0025250D">
        <w:rPr>
          <w:rFonts w:hint="cs"/>
          <w:rtl/>
        </w:rPr>
        <w:t>ی</w:t>
      </w:r>
      <w:r w:rsidRPr="0025250D">
        <w:rPr>
          <w:rFonts w:hint="eastAsia"/>
          <w:rtl/>
        </w:rPr>
        <w:t>ک</w:t>
      </w:r>
      <w:r w:rsidRPr="0025250D">
        <w:rPr>
          <w:rtl/>
        </w:rPr>
        <w:t xml:space="preserve"> نقص بزرگ </w:t>
      </w:r>
      <w:r w:rsidR="005B6D28" w:rsidRPr="0025250D">
        <w:rPr>
          <w:rFonts w:hint="cs"/>
          <w:rtl/>
        </w:rPr>
        <w:t>می‌باشد</w:t>
      </w:r>
      <w:r w:rsidRPr="0025250D">
        <w:rPr>
          <w:rtl/>
        </w:rPr>
        <w:t>، ا</w:t>
      </w:r>
      <w:r w:rsidRPr="0025250D">
        <w:rPr>
          <w:rFonts w:hint="cs"/>
          <w:rtl/>
        </w:rPr>
        <w:t>ی</w:t>
      </w:r>
      <w:r w:rsidRPr="0025250D">
        <w:rPr>
          <w:rFonts w:hint="eastAsia"/>
          <w:rtl/>
        </w:rPr>
        <w:t>ن</w:t>
      </w:r>
      <w:r w:rsidRPr="0025250D">
        <w:rPr>
          <w:rtl/>
        </w:rPr>
        <w:t xml:space="preserve"> است که گ</w:t>
      </w:r>
      <w:r w:rsidRPr="0025250D">
        <w:rPr>
          <w:rFonts w:hint="cs"/>
          <w:rtl/>
        </w:rPr>
        <w:t>ی</w:t>
      </w:r>
      <w:r w:rsidRPr="0025250D">
        <w:rPr>
          <w:rFonts w:hint="eastAsia"/>
          <w:rtl/>
        </w:rPr>
        <w:t>دل</w:t>
      </w:r>
      <w:r w:rsidRPr="0025250D">
        <w:rPr>
          <w:rFonts w:hint="cs"/>
          <w:rtl/>
        </w:rPr>
        <w:t>ی</w:t>
      </w:r>
      <w:r w:rsidRPr="0025250D">
        <w:rPr>
          <w:rtl/>
        </w:rPr>
        <w:t xml:space="preserve"> علم پ</w:t>
      </w:r>
      <w:r w:rsidRPr="0025250D">
        <w:rPr>
          <w:rFonts w:hint="cs"/>
          <w:rtl/>
        </w:rPr>
        <w:t>ی</w:t>
      </w:r>
      <w:r w:rsidRPr="0025250D">
        <w:rPr>
          <w:rFonts w:hint="eastAsia"/>
          <w:rtl/>
        </w:rPr>
        <w:t>چ</w:t>
      </w:r>
      <w:r w:rsidRPr="0025250D">
        <w:rPr>
          <w:rFonts w:hint="cs"/>
          <w:rtl/>
        </w:rPr>
        <w:t>ی</w:t>
      </w:r>
      <w:r w:rsidRPr="0025250D">
        <w:rPr>
          <w:rFonts w:hint="eastAsia"/>
          <w:rtl/>
        </w:rPr>
        <w:t>دگ</w:t>
      </w:r>
      <w:r w:rsidRPr="0025250D">
        <w:rPr>
          <w:rFonts w:hint="cs"/>
          <w:rtl/>
        </w:rPr>
        <w:t>ی</w:t>
      </w:r>
      <w:r w:rsidRPr="0025250D">
        <w:rPr>
          <w:rtl/>
        </w:rPr>
        <w:t xml:space="preserve"> را برا</w:t>
      </w:r>
      <w:r w:rsidRPr="0025250D">
        <w:rPr>
          <w:rFonts w:hint="cs"/>
          <w:rtl/>
        </w:rPr>
        <w:t>ی</w:t>
      </w:r>
      <w:r w:rsidRPr="0025250D">
        <w:rPr>
          <w:rtl/>
        </w:rPr>
        <w:t xml:space="preserve"> استدلال در مورد «غ</w:t>
      </w:r>
      <w:r w:rsidRPr="0025250D">
        <w:rPr>
          <w:rFonts w:hint="cs"/>
          <w:rtl/>
        </w:rPr>
        <w:t>ی</w:t>
      </w:r>
      <w:r w:rsidRPr="0025250D">
        <w:rPr>
          <w:rFonts w:hint="eastAsia"/>
          <w:rtl/>
        </w:rPr>
        <w:t>رقابل</w:t>
      </w:r>
      <w:r w:rsidRPr="0025250D">
        <w:rPr>
          <w:rtl/>
        </w:rPr>
        <w:t xml:space="preserve"> </w:t>
      </w:r>
      <w:r w:rsidR="00D92F6E" w:rsidRPr="0025250D">
        <w:rPr>
          <w:rtl/>
        </w:rPr>
        <w:t>پیش‌بین</w:t>
      </w:r>
      <w:r w:rsidRPr="0025250D">
        <w:rPr>
          <w:rFonts w:hint="cs"/>
          <w:rtl/>
        </w:rPr>
        <w:t>ی</w:t>
      </w:r>
      <w:r w:rsidRPr="0025250D">
        <w:rPr>
          <w:rtl/>
        </w:rPr>
        <w:t xml:space="preserve"> بودن» اساس</w:t>
      </w:r>
      <w:r w:rsidRPr="0025250D">
        <w:rPr>
          <w:rFonts w:hint="cs"/>
          <w:rtl/>
        </w:rPr>
        <w:t>ی</w:t>
      </w:r>
      <w:r w:rsidRPr="0025250D">
        <w:rPr>
          <w:rtl/>
        </w:rPr>
        <w:t xml:space="preserve"> آ</w:t>
      </w:r>
      <w:r w:rsidRPr="0025250D">
        <w:rPr>
          <w:rFonts w:hint="cs"/>
          <w:rtl/>
        </w:rPr>
        <w:t>ی</w:t>
      </w:r>
      <w:r w:rsidRPr="0025250D">
        <w:rPr>
          <w:rFonts w:hint="eastAsia"/>
          <w:rtl/>
        </w:rPr>
        <w:t>نده</w:t>
      </w:r>
      <w:r w:rsidRPr="0025250D">
        <w:rPr>
          <w:rtl/>
        </w:rPr>
        <w:t xml:space="preserve"> به اشتباه م</w:t>
      </w:r>
      <w:r w:rsidRPr="0025250D">
        <w:rPr>
          <w:rFonts w:hint="cs"/>
          <w:rtl/>
        </w:rPr>
        <w:t>ی</w:t>
      </w:r>
      <w:r w:rsidRPr="0025250D">
        <w:rPr>
          <w:rtl/>
        </w:rPr>
        <w:t xml:space="preserve"> فهمد.</w:t>
      </w:r>
      <w:r w:rsidRPr="0025250D">
        <w:rPr>
          <w:rFonts w:hint="cs"/>
          <w:rtl/>
        </w:rPr>
        <w:t xml:space="preserve"> </w:t>
      </w:r>
      <w:r w:rsidRPr="0025250D">
        <w:rPr>
          <w:rtl/>
        </w:rPr>
        <w:t>ا</w:t>
      </w:r>
      <w:r w:rsidRPr="0025250D">
        <w:rPr>
          <w:rFonts w:hint="cs"/>
          <w:rtl/>
        </w:rPr>
        <w:t>ی</w:t>
      </w:r>
      <w:r w:rsidRPr="0025250D">
        <w:rPr>
          <w:rFonts w:hint="eastAsia"/>
          <w:rtl/>
        </w:rPr>
        <w:t>ن</w:t>
      </w:r>
      <w:r w:rsidRPr="0025250D">
        <w:rPr>
          <w:rtl/>
        </w:rPr>
        <w:t xml:space="preserve"> اشتباه</w:t>
      </w:r>
      <w:r w:rsidRPr="0025250D">
        <w:rPr>
          <w:rFonts w:hint="cs"/>
          <w:rtl/>
        </w:rPr>
        <w:t>ی</w:t>
      </w:r>
      <w:r w:rsidRPr="0025250D">
        <w:rPr>
          <w:rtl/>
        </w:rPr>
        <w:t xml:space="preserve"> است که بس</w:t>
      </w:r>
      <w:r w:rsidRPr="0025250D">
        <w:rPr>
          <w:rFonts w:hint="cs"/>
          <w:rtl/>
        </w:rPr>
        <w:t>ی</w:t>
      </w:r>
      <w:r w:rsidRPr="0025250D">
        <w:rPr>
          <w:rFonts w:hint="eastAsia"/>
          <w:rtl/>
        </w:rPr>
        <w:t>ار</w:t>
      </w:r>
      <w:r w:rsidRPr="0025250D">
        <w:rPr>
          <w:rFonts w:hint="cs"/>
          <w:rtl/>
        </w:rPr>
        <w:t>ی</w:t>
      </w:r>
      <w:r w:rsidRPr="0025250D">
        <w:rPr>
          <w:rtl/>
        </w:rPr>
        <w:t xml:space="preserve"> از متخصصان </w:t>
      </w:r>
      <w:r w:rsidR="00D92F6E" w:rsidRPr="0025250D">
        <w:rPr>
          <w:rtl/>
        </w:rPr>
        <w:t>آینده‌نگاری</w:t>
      </w:r>
      <w:r w:rsidRPr="0025250D">
        <w:rPr>
          <w:rtl/>
        </w:rPr>
        <w:t xml:space="preserve"> امروز</w:t>
      </w:r>
      <w:r w:rsidRPr="0025250D">
        <w:rPr>
          <w:rFonts w:hint="cs"/>
          <w:rtl/>
        </w:rPr>
        <w:t>ی</w:t>
      </w:r>
      <w:r w:rsidRPr="0025250D">
        <w:rPr>
          <w:rtl/>
        </w:rPr>
        <w:t xml:space="preserve"> به اشتراک م</w:t>
      </w:r>
      <w:r w:rsidRPr="0025250D">
        <w:rPr>
          <w:rFonts w:hint="cs"/>
          <w:rtl/>
        </w:rPr>
        <w:t>ی</w:t>
      </w:r>
      <w:r w:rsidRPr="0025250D">
        <w:rPr>
          <w:rtl/>
        </w:rPr>
        <w:t xml:space="preserve"> گذارند. در نت</w:t>
      </w:r>
      <w:r w:rsidRPr="0025250D">
        <w:rPr>
          <w:rFonts w:hint="cs"/>
          <w:rtl/>
        </w:rPr>
        <w:t>ی</w:t>
      </w:r>
      <w:r w:rsidRPr="0025250D">
        <w:rPr>
          <w:rFonts w:hint="eastAsia"/>
          <w:rtl/>
        </w:rPr>
        <w:t>جه،</w:t>
      </w:r>
      <w:r w:rsidRPr="0025250D">
        <w:rPr>
          <w:rtl/>
        </w:rPr>
        <w:t xml:space="preserve"> گ</w:t>
      </w:r>
      <w:r w:rsidRPr="0025250D">
        <w:rPr>
          <w:rFonts w:hint="cs"/>
          <w:rtl/>
        </w:rPr>
        <w:t>ی</w:t>
      </w:r>
      <w:r w:rsidRPr="0025250D">
        <w:rPr>
          <w:rFonts w:hint="eastAsia"/>
          <w:rtl/>
        </w:rPr>
        <w:t>دل</w:t>
      </w:r>
      <w:r w:rsidRPr="0025250D">
        <w:rPr>
          <w:rFonts w:hint="cs"/>
          <w:rtl/>
        </w:rPr>
        <w:t>ی</w:t>
      </w:r>
      <w:r w:rsidRPr="0025250D">
        <w:rPr>
          <w:rtl/>
        </w:rPr>
        <w:t xml:space="preserve"> تغ</w:t>
      </w:r>
      <w:r w:rsidRPr="0025250D">
        <w:rPr>
          <w:rFonts w:hint="cs"/>
          <w:rtl/>
        </w:rPr>
        <w:t>یی</w:t>
      </w:r>
      <w:r w:rsidRPr="0025250D">
        <w:rPr>
          <w:rFonts w:hint="eastAsia"/>
          <w:rtl/>
        </w:rPr>
        <w:t>ر</w:t>
      </w:r>
      <w:r w:rsidRPr="0025250D">
        <w:rPr>
          <w:rtl/>
        </w:rPr>
        <w:t xml:space="preserve"> </w:t>
      </w:r>
      <w:r w:rsidR="007B3B35" w:rsidRPr="0025250D">
        <w:rPr>
          <w:rtl/>
        </w:rPr>
        <w:t>شتاب‌گیر</w:t>
      </w:r>
      <w:r w:rsidRPr="0025250D">
        <w:rPr>
          <w:rFonts w:hint="cs"/>
          <w:rtl/>
        </w:rPr>
        <w:t>نده</w:t>
      </w:r>
      <w:r w:rsidRPr="0025250D">
        <w:rPr>
          <w:rtl/>
        </w:rPr>
        <w:t xml:space="preserve"> را به عنوان </w:t>
      </w:r>
      <w:r w:rsidRPr="0025250D">
        <w:rPr>
          <w:rFonts w:hint="cs"/>
          <w:rtl/>
        </w:rPr>
        <w:t>ی</w:t>
      </w:r>
      <w:r w:rsidRPr="0025250D">
        <w:rPr>
          <w:rFonts w:hint="eastAsia"/>
          <w:rtl/>
        </w:rPr>
        <w:t>ک</w:t>
      </w:r>
      <w:r w:rsidRPr="0025250D">
        <w:rPr>
          <w:rtl/>
        </w:rPr>
        <w:t xml:space="preserve"> پد</w:t>
      </w:r>
      <w:r w:rsidRPr="0025250D">
        <w:rPr>
          <w:rFonts w:hint="cs"/>
          <w:rtl/>
        </w:rPr>
        <w:t>ی</w:t>
      </w:r>
      <w:r w:rsidRPr="0025250D">
        <w:rPr>
          <w:rFonts w:hint="eastAsia"/>
          <w:rtl/>
        </w:rPr>
        <w:t>ده</w:t>
      </w:r>
      <w:r w:rsidRPr="0025250D">
        <w:rPr>
          <w:rtl/>
        </w:rPr>
        <w:t xml:space="preserve"> بالقوه گذرا، کاهش</w:t>
      </w:r>
      <w:r w:rsidRPr="0025250D">
        <w:rPr>
          <w:rFonts w:hint="cs"/>
          <w:rtl/>
        </w:rPr>
        <w:t xml:space="preserve"> دهنده</w:t>
      </w:r>
      <w:r w:rsidRPr="0025250D">
        <w:rPr>
          <w:rtl/>
        </w:rPr>
        <w:t xml:space="preserve"> ارزش احتمال، روند و پ</w:t>
      </w:r>
      <w:r w:rsidRPr="0025250D">
        <w:rPr>
          <w:rFonts w:hint="cs"/>
          <w:rtl/>
        </w:rPr>
        <w:t>ی</w:t>
      </w:r>
      <w:r w:rsidRPr="0025250D">
        <w:rPr>
          <w:rFonts w:hint="eastAsia"/>
          <w:rtl/>
        </w:rPr>
        <w:t>ش‌ب</w:t>
      </w:r>
      <w:r w:rsidRPr="0025250D">
        <w:rPr>
          <w:rFonts w:hint="cs"/>
          <w:rtl/>
        </w:rPr>
        <w:t>ی</w:t>
      </w:r>
      <w:r w:rsidRPr="0025250D">
        <w:rPr>
          <w:rFonts w:hint="eastAsia"/>
          <w:rtl/>
        </w:rPr>
        <w:t>ن</w:t>
      </w:r>
      <w:r w:rsidRPr="0025250D">
        <w:rPr>
          <w:rFonts w:hint="cs"/>
          <w:rtl/>
        </w:rPr>
        <w:t>ی</w:t>
      </w:r>
      <w:r w:rsidRPr="0025250D">
        <w:rPr>
          <w:rtl/>
        </w:rPr>
        <w:t xml:space="preserve"> م</w:t>
      </w:r>
      <w:r w:rsidRPr="0025250D">
        <w:rPr>
          <w:rFonts w:hint="cs"/>
          <w:rtl/>
        </w:rPr>
        <w:t>ی‌</w:t>
      </w:r>
      <w:r w:rsidRPr="0025250D">
        <w:rPr>
          <w:rFonts w:hint="eastAsia"/>
          <w:rtl/>
        </w:rPr>
        <w:t>داند</w:t>
      </w:r>
      <w:r w:rsidR="008D6F97" w:rsidRPr="0025250D">
        <w:rPr>
          <w:rtl/>
        </w:rPr>
        <w:t xml:space="preserve">؛ </w:t>
      </w:r>
      <w:r w:rsidRPr="0025250D">
        <w:rPr>
          <w:rtl/>
        </w:rPr>
        <w:t>بنابرا</w:t>
      </w:r>
      <w:r w:rsidRPr="0025250D">
        <w:rPr>
          <w:rFonts w:hint="cs"/>
          <w:rtl/>
        </w:rPr>
        <w:t>ی</w:t>
      </w:r>
      <w:r w:rsidRPr="0025250D">
        <w:rPr>
          <w:rFonts w:hint="eastAsia"/>
          <w:rtl/>
        </w:rPr>
        <w:t>ن،</w:t>
      </w:r>
      <w:r w:rsidRPr="0025250D">
        <w:rPr>
          <w:rtl/>
        </w:rPr>
        <w:t xml:space="preserve"> ا</w:t>
      </w:r>
      <w:r w:rsidRPr="0025250D">
        <w:rPr>
          <w:rFonts w:hint="cs"/>
          <w:rtl/>
        </w:rPr>
        <w:t>ی</w:t>
      </w:r>
      <w:r w:rsidRPr="0025250D">
        <w:rPr>
          <w:rFonts w:hint="eastAsia"/>
          <w:rtl/>
        </w:rPr>
        <w:t>ن</w:t>
      </w:r>
      <w:r w:rsidRPr="0025250D">
        <w:rPr>
          <w:rtl/>
        </w:rPr>
        <w:t xml:space="preserve"> کتاب قو</w:t>
      </w:r>
      <w:r w:rsidRPr="0025250D">
        <w:rPr>
          <w:rFonts w:hint="cs"/>
          <w:rtl/>
        </w:rPr>
        <w:t>ی</w:t>
      </w:r>
      <w:r w:rsidRPr="0025250D">
        <w:rPr>
          <w:rFonts w:hint="eastAsia"/>
          <w:rtl/>
        </w:rPr>
        <w:t>،</w:t>
      </w:r>
      <w:r w:rsidRPr="0025250D">
        <w:rPr>
          <w:rtl/>
        </w:rPr>
        <w:t xml:space="preserve"> </w:t>
      </w:r>
      <w:r w:rsidRPr="0025250D">
        <w:rPr>
          <w:rFonts w:hint="cs"/>
          <w:rtl/>
        </w:rPr>
        <w:t>ی</w:t>
      </w:r>
      <w:r w:rsidRPr="0025250D">
        <w:rPr>
          <w:rFonts w:hint="eastAsia"/>
          <w:rtl/>
        </w:rPr>
        <w:t>ک</w:t>
      </w:r>
      <w:r w:rsidRPr="0025250D">
        <w:rPr>
          <w:rFonts w:hint="cs"/>
          <w:rtl/>
        </w:rPr>
        <w:t>ی</w:t>
      </w:r>
      <w:r w:rsidRPr="0025250D">
        <w:rPr>
          <w:rtl/>
        </w:rPr>
        <w:t xml:space="preserve"> از دو پا</w:t>
      </w:r>
      <w:r w:rsidRPr="0025250D">
        <w:rPr>
          <w:rFonts w:hint="cs"/>
          <w:rtl/>
        </w:rPr>
        <w:t>ی</w:t>
      </w:r>
      <w:r w:rsidRPr="0025250D">
        <w:rPr>
          <w:rFonts w:hint="eastAsia"/>
          <w:rtl/>
        </w:rPr>
        <w:t>ه</w:t>
      </w:r>
      <w:r w:rsidRPr="0025250D">
        <w:rPr>
          <w:rtl/>
        </w:rPr>
        <w:t xml:space="preserve"> هرم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را ناد</w:t>
      </w:r>
      <w:r w:rsidRPr="0025250D">
        <w:rPr>
          <w:rFonts w:hint="cs"/>
          <w:rtl/>
        </w:rPr>
        <w:t>ی</w:t>
      </w:r>
      <w:r w:rsidRPr="0025250D">
        <w:rPr>
          <w:rFonts w:hint="eastAsia"/>
          <w:rtl/>
        </w:rPr>
        <w:t>ده</w:t>
      </w:r>
      <w:r w:rsidRPr="0025250D">
        <w:rPr>
          <w:rtl/>
        </w:rPr>
        <w:t xml:space="preserve"> م</w:t>
      </w:r>
      <w:r w:rsidRPr="0025250D">
        <w:rPr>
          <w:rFonts w:hint="cs"/>
          <w:rtl/>
        </w:rPr>
        <w:t>ی‌</w:t>
      </w:r>
      <w:r w:rsidRPr="0025250D">
        <w:rPr>
          <w:rFonts w:hint="eastAsia"/>
          <w:rtl/>
        </w:rPr>
        <w:t>گ</w:t>
      </w:r>
      <w:r w:rsidRPr="0025250D">
        <w:rPr>
          <w:rFonts w:hint="cs"/>
          <w:rtl/>
        </w:rPr>
        <w:t>ی</w:t>
      </w:r>
      <w:r w:rsidRPr="0025250D">
        <w:rPr>
          <w:rFonts w:hint="eastAsia"/>
          <w:rtl/>
        </w:rPr>
        <w:t>رد</w:t>
      </w:r>
      <w:r w:rsidRPr="0025250D">
        <w:rPr>
          <w:rtl/>
        </w:rPr>
        <w:t xml:space="preserve">. به </w:t>
      </w:r>
      <w:r w:rsidRPr="0025250D">
        <w:rPr>
          <w:rFonts w:hint="eastAsia"/>
          <w:rtl/>
        </w:rPr>
        <w:t>تنها</w:t>
      </w:r>
      <w:r w:rsidRPr="0025250D">
        <w:rPr>
          <w:rFonts w:hint="cs"/>
          <w:rtl/>
        </w:rPr>
        <w:t>یی</w:t>
      </w:r>
      <w:r w:rsidRPr="0025250D">
        <w:rPr>
          <w:rFonts w:hint="eastAsia"/>
          <w:rtl/>
        </w:rPr>
        <w:t>،</w:t>
      </w:r>
      <w:r w:rsidRPr="0025250D">
        <w:rPr>
          <w:rtl/>
        </w:rPr>
        <w:t xml:space="preserve"> </w:t>
      </w:r>
      <w:r w:rsidR="00A20CCB" w:rsidRPr="0025250D">
        <w:rPr>
          <w:rtl/>
        </w:rPr>
        <w:t>جهان‌بینی</w:t>
      </w:r>
      <w:r w:rsidRPr="0025250D">
        <w:rPr>
          <w:rtl/>
        </w:rPr>
        <w:t xml:space="preserve"> پا</w:t>
      </w:r>
      <w:r w:rsidRPr="0025250D">
        <w:rPr>
          <w:rFonts w:hint="cs"/>
          <w:rtl/>
        </w:rPr>
        <w:t>ی</w:t>
      </w:r>
      <w:r w:rsidRPr="0025250D">
        <w:rPr>
          <w:rFonts w:hint="eastAsia"/>
          <w:rtl/>
        </w:rPr>
        <w:t>دار</w:t>
      </w:r>
      <w:r w:rsidRPr="0025250D">
        <w:rPr>
          <w:rFonts w:hint="cs"/>
          <w:rtl/>
        </w:rPr>
        <w:t>ی</w:t>
      </w:r>
      <w:r w:rsidRPr="0025250D">
        <w:rPr>
          <w:rtl/>
        </w:rPr>
        <w:t xml:space="preserve"> ن</w:t>
      </w:r>
      <w:r w:rsidRPr="0025250D">
        <w:rPr>
          <w:rFonts w:hint="cs"/>
          <w:rtl/>
        </w:rPr>
        <w:t>ی</w:t>
      </w:r>
      <w:r w:rsidRPr="0025250D">
        <w:rPr>
          <w:rFonts w:hint="eastAsia"/>
          <w:rtl/>
        </w:rPr>
        <w:t>ست</w:t>
      </w:r>
      <w:r w:rsidRPr="0025250D">
        <w:rPr>
          <w:rtl/>
        </w:rPr>
        <w:t>.</w:t>
      </w:r>
    </w:p>
    <w:p w14:paraId="7D52D47F" w14:textId="02122127" w:rsidR="008A50B6" w:rsidRPr="0025250D" w:rsidRDefault="008A50B6" w:rsidP="00492C47">
      <w:pPr>
        <w:numPr>
          <w:ilvl w:val="0"/>
          <w:numId w:val="74"/>
        </w:numPr>
      </w:pPr>
      <w:r w:rsidRPr="0025250D">
        <w:rPr>
          <w:rFonts w:hint="cs"/>
          <w:rtl/>
        </w:rPr>
        <w:t>چگونگی رسیدن</w:t>
      </w:r>
      <w:r w:rsidRPr="0025250D">
        <w:rPr>
          <w:rtl/>
        </w:rPr>
        <w:t xml:space="preserve"> به آ</w:t>
      </w:r>
      <w:r w:rsidRPr="0025250D">
        <w:rPr>
          <w:rFonts w:hint="cs"/>
          <w:rtl/>
        </w:rPr>
        <w:t>ی</w:t>
      </w:r>
      <w:r w:rsidRPr="0025250D">
        <w:rPr>
          <w:rFonts w:hint="eastAsia"/>
          <w:rtl/>
        </w:rPr>
        <w:t>نده</w:t>
      </w:r>
      <w:r w:rsidRPr="0025250D">
        <w:rPr>
          <w:rtl/>
        </w:rPr>
        <w:t>: پ</w:t>
      </w:r>
      <w:r w:rsidRPr="0025250D">
        <w:rPr>
          <w:rFonts w:hint="cs"/>
          <w:rtl/>
        </w:rPr>
        <w:t>ی</w:t>
      </w:r>
      <w:r w:rsidRPr="0025250D">
        <w:rPr>
          <w:rFonts w:hint="eastAsia"/>
          <w:rtl/>
        </w:rPr>
        <w:t>شرو</w:t>
      </w:r>
      <w:r w:rsidRPr="0025250D">
        <w:rPr>
          <w:rFonts w:hint="cs"/>
          <w:rtl/>
        </w:rPr>
        <w:t>ی</w:t>
      </w:r>
      <w:r w:rsidRPr="0025250D">
        <w:rPr>
          <w:rtl/>
        </w:rPr>
        <w:t xml:space="preserve"> و </w:t>
      </w:r>
      <w:r w:rsidRPr="0025250D">
        <w:rPr>
          <w:rFonts w:hint="cs"/>
          <w:rtl/>
        </w:rPr>
        <w:t>معنا</w:t>
      </w:r>
      <w:r w:rsidRPr="0025250D">
        <w:rPr>
          <w:rtl/>
        </w:rPr>
        <w:t>‌آفر</w:t>
      </w:r>
      <w:r w:rsidRPr="0025250D">
        <w:rPr>
          <w:rFonts w:hint="cs"/>
          <w:rtl/>
        </w:rPr>
        <w:t>ی</w:t>
      </w:r>
      <w:r w:rsidRPr="0025250D">
        <w:rPr>
          <w:rFonts w:hint="eastAsia"/>
          <w:rtl/>
        </w:rPr>
        <w:t>ن</w:t>
      </w:r>
      <w:r w:rsidRPr="0025250D">
        <w:rPr>
          <w:rFonts w:hint="cs"/>
          <w:rtl/>
        </w:rPr>
        <w:t>ی</w:t>
      </w:r>
      <w:r w:rsidRPr="0025250D">
        <w:rPr>
          <w:rtl/>
        </w:rPr>
        <w:t xml:space="preserve"> در عصر تغ</w:t>
      </w:r>
      <w:r w:rsidRPr="0025250D">
        <w:rPr>
          <w:rFonts w:hint="cs"/>
          <w:rtl/>
        </w:rPr>
        <w:t>یی</w:t>
      </w:r>
      <w:r w:rsidRPr="0025250D">
        <w:rPr>
          <w:rFonts w:hint="eastAsia"/>
          <w:rtl/>
        </w:rPr>
        <w:t>ر</w:t>
      </w:r>
      <w:r w:rsidRPr="0025250D">
        <w:rPr>
          <w:rtl/>
        </w:rPr>
        <w:t xml:space="preserve"> ب</w:t>
      </w:r>
      <w:r w:rsidRPr="0025250D">
        <w:rPr>
          <w:rFonts w:hint="cs"/>
          <w:rtl/>
        </w:rPr>
        <w:t>ی</w:t>
      </w:r>
      <w:r w:rsidRPr="0025250D">
        <w:rPr>
          <w:rFonts w:hint="eastAsia"/>
          <w:rtl/>
        </w:rPr>
        <w:t>ش</w:t>
      </w:r>
      <w:r w:rsidRPr="0025250D">
        <w:rPr>
          <w:rtl/>
        </w:rPr>
        <w:t xml:space="preserve"> از حد، مادل</w:t>
      </w:r>
      <w:r w:rsidRPr="0025250D">
        <w:rPr>
          <w:rFonts w:hint="cs"/>
          <w:rtl/>
        </w:rPr>
        <w:t>ی</w:t>
      </w:r>
      <w:r w:rsidRPr="0025250D">
        <w:rPr>
          <w:rFonts w:hint="eastAsia"/>
          <w:rtl/>
        </w:rPr>
        <w:t>ن</w:t>
      </w:r>
      <w:r w:rsidRPr="0025250D">
        <w:rPr>
          <w:rtl/>
        </w:rPr>
        <w:t xml:space="preserve"> اشب</w:t>
      </w:r>
      <w:r w:rsidRPr="0025250D">
        <w:rPr>
          <w:rFonts w:hint="cs"/>
          <w:rtl/>
        </w:rPr>
        <w:t>ی</w:t>
      </w:r>
      <w:r w:rsidRPr="0025250D">
        <w:rPr>
          <w:rtl/>
        </w:rPr>
        <w:t xml:space="preserve"> و اسکافل اسم</w:t>
      </w:r>
      <w:r w:rsidRPr="0025250D">
        <w:rPr>
          <w:rFonts w:hint="cs"/>
          <w:rtl/>
        </w:rPr>
        <w:t>ی</w:t>
      </w:r>
      <w:r w:rsidRPr="0025250D">
        <w:rPr>
          <w:rFonts w:hint="eastAsia"/>
          <w:rtl/>
        </w:rPr>
        <w:t>ت</w:t>
      </w:r>
      <w:r w:rsidRPr="0025250D">
        <w:rPr>
          <w:vertAlign w:val="superscript"/>
          <w:rtl/>
        </w:rPr>
        <w:footnoteReference w:id="3269"/>
      </w:r>
      <w:r w:rsidRPr="0025250D">
        <w:rPr>
          <w:rFonts w:hint="eastAsia"/>
          <w:rtl/>
        </w:rPr>
        <w:t>،</w:t>
      </w:r>
      <w:r w:rsidRPr="0025250D">
        <w:rPr>
          <w:rtl/>
        </w:rPr>
        <w:t xml:space="preserve"> 2020</w:t>
      </w:r>
      <w:r w:rsidRPr="0025250D">
        <w:rPr>
          <w:rFonts w:hint="cs"/>
          <w:rtl/>
        </w:rPr>
        <w:t xml:space="preserve">. </w:t>
      </w:r>
      <w:r w:rsidRPr="0025250D">
        <w:rPr>
          <w:rtl/>
        </w:rPr>
        <w:t>مقدمه ا</w:t>
      </w:r>
      <w:r w:rsidRPr="0025250D">
        <w:rPr>
          <w:rFonts w:hint="cs"/>
          <w:rtl/>
        </w:rPr>
        <w:t>ی</w:t>
      </w:r>
      <w:r w:rsidRPr="0025250D">
        <w:rPr>
          <w:rtl/>
        </w:rPr>
        <w:t xml:space="preserve"> خوب برا</w:t>
      </w:r>
      <w:r w:rsidRPr="0025250D">
        <w:rPr>
          <w:rFonts w:hint="cs"/>
          <w:rtl/>
        </w:rPr>
        <w:t>ی</w:t>
      </w:r>
      <w:r w:rsidRPr="0025250D">
        <w:rPr>
          <w:rtl/>
        </w:rPr>
        <w:t xml:space="preserve"> ذهن</w:t>
      </w:r>
      <w:r w:rsidRPr="0025250D">
        <w:rPr>
          <w:rFonts w:hint="cs"/>
          <w:rtl/>
        </w:rPr>
        <w:t>ی</w:t>
      </w:r>
      <w:r w:rsidRPr="0025250D">
        <w:rPr>
          <w:rFonts w:hint="eastAsia"/>
          <w:rtl/>
        </w:rPr>
        <w:t>ت</w:t>
      </w:r>
      <w:r w:rsidRPr="0025250D">
        <w:rPr>
          <w:rtl/>
        </w:rPr>
        <w:t xml:space="preserve"> </w:t>
      </w:r>
      <w:r w:rsidRPr="0025250D">
        <w:rPr>
          <w:rFonts w:hint="cs"/>
          <w:rtl/>
        </w:rPr>
        <w:t>ی</w:t>
      </w:r>
      <w:r w:rsidRPr="0025250D">
        <w:rPr>
          <w:rFonts w:hint="eastAsia"/>
          <w:rtl/>
        </w:rPr>
        <w:t>ادگ</w:t>
      </w:r>
      <w:r w:rsidRPr="0025250D">
        <w:rPr>
          <w:rFonts w:hint="cs"/>
          <w:rtl/>
        </w:rPr>
        <w:t>ی</w:t>
      </w:r>
      <w:r w:rsidRPr="0025250D">
        <w:rPr>
          <w:rFonts w:hint="eastAsia"/>
          <w:rtl/>
        </w:rPr>
        <w:t>ر</w:t>
      </w:r>
      <w:r w:rsidRPr="0025250D">
        <w:rPr>
          <w:rFonts w:hint="cs"/>
          <w:rtl/>
        </w:rPr>
        <w:t>ی</w:t>
      </w:r>
      <w:r w:rsidRPr="0025250D">
        <w:rPr>
          <w:rtl/>
        </w:rPr>
        <w:t xml:space="preserve"> مستمر، </w:t>
      </w:r>
      <w:r w:rsidR="00B124DE" w:rsidRPr="0025250D">
        <w:rPr>
          <w:rFonts w:hint="cs"/>
          <w:rtl/>
        </w:rPr>
        <w:t>آینده‌اندیش</w:t>
      </w:r>
      <w:r w:rsidRPr="0025250D">
        <w:rPr>
          <w:rFonts w:hint="cs"/>
          <w:rtl/>
        </w:rPr>
        <w:t>ی</w:t>
      </w:r>
      <w:r w:rsidRPr="0025250D">
        <w:rPr>
          <w:rtl/>
        </w:rPr>
        <w:t xml:space="preserve"> و راه </w:t>
      </w:r>
      <w:r w:rsidRPr="0025250D">
        <w:rPr>
          <w:rFonts w:hint="cs"/>
          <w:rtl/>
        </w:rPr>
        <w:t>ی</w:t>
      </w:r>
      <w:r w:rsidRPr="0025250D">
        <w:rPr>
          <w:rFonts w:hint="eastAsia"/>
          <w:rtl/>
        </w:rPr>
        <w:t>اب</w:t>
      </w:r>
      <w:r w:rsidRPr="0025250D">
        <w:rPr>
          <w:rFonts w:hint="cs"/>
          <w:rtl/>
        </w:rPr>
        <w:t>ی</w:t>
      </w:r>
      <w:r w:rsidRPr="0025250D">
        <w:rPr>
          <w:rtl/>
        </w:rPr>
        <w:t xml:space="preserve"> </w:t>
      </w:r>
      <w:r w:rsidR="00701E03" w:rsidRPr="0025250D">
        <w:rPr>
          <w:rtl/>
        </w:rPr>
        <w:t>راهبردی</w:t>
      </w:r>
      <w:r w:rsidRPr="0025250D">
        <w:rPr>
          <w:rtl/>
        </w:rPr>
        <w:t xml:space="preserve"> در زمان تغ</w:t>
      </w:r>
      <w:r w:rsidRPr="0025250D">
        <w:rPr>
          <w:rFonts w:hint="cs"/>
          <w:rtl/>
        </w:rPr>
        <w:t>یی</w:t>
      </w:r>
      <w:r w:rsidRPr="0025250D">
        <w:rPr>
          <w:rFonts w:hint="eastAsia"/>
          <w:rtl/>
        </w:rPr>
        <w:t>ر</w:t>
      </w:r>
      <w:r w:rsidRPr="0025250D">
        <w:rPr>
          <w:rtl/>
        </w:rPr>
        <w:t xml:space="preserve"> </w:t>
      </w:r>
      <w:r w:rsidR="007B3B35" w:rsidRPr="0025250D">
        <w:rPr>
          <w:rtl/>
        </w:rPr>
        <w:t>شتاب‌گیر</w:t>
      </w:r>
      <w:r w:rsidRPr="0025250D">
        <w:rPr>
          <w:rFonts w:hint="cs"/>
          <w:rtl/>
        </w:rPr>
        <w:t>نده</w:t>
      </w:r>
      <w:r w:rsidRPr="0025250D">
        <w:rPr>
          <w:rtl/>
        </w:rPr>
        <w:t>. متأسفانه ا</w:t>
      </w:r>
      <w:r w:rsidRPr="0025250D">
        <w:rPr>
          <w:rFonts w:hint="cs"/>
          <w:rtl/>
        </w:rPr>
        <w:t>ی</w:t>
      </w:r>
      <w:r w:rsidRPr="0025250D">
        <w:rPr>
          <w:rFonts w:hint="eastAsia"/>
          <w:rtl/>
        </w:rPr>
        <w:t>ن</w:t>
      </w:r>
      <w:r w:rsidRPr="0025250D">
        <w:rPr>
          <w:rtl/>
        </w:rPr>
        <w:t xml:space="preserve"> کتاب </w:t>
      </w:r>
      <w:r w:rsidRPr="0025250D">
        <w:rPr>
          <w:rFonts w:hint="cs"/>
          <w:rtl/>
        </w:rPr>
        <w:t>نیز</w:t>
      </w:r>
      <w:r w:rsidRPr="0025250D">
        <w:rPr>
          <w:rtl/>
        </w:rPr>
        <w:t xml:space="preserve"> از سوگ</w:t>
      </w:r>
      <w:r w:rsidRPr="0025250D">
        <w:rPr>
          <w:rFonts w:hint="cs"/>
          <w:rtl/>
        </w:rPr>
        <w:t>ی</w:t>
      </w:r>
      <w:r w:rsidRPr="0025250D">
        <w:rPr>
          <w:rFonts w:hint="eastAsia"/>
          <w:rtl/>
        </w:rPr>
        <w:t>ر</w:t>
      </w:r>
      <w:r w:rsidRPr="0025250D">
        <w:rPr>
          <w:rFonts w:hint="cs"/>
          <w:rtl/>
        </w:rPr>
        <w:t>ی</w:t>
      </w:r>
      <w:r w:rsidRPr="0025250D">
        <w:rPr>
          <w:rtl/>
        </w:rPr>
        <w:t xml:space="preserve"> ضد</w:t>
      </w:r>
      <w:r w:rsidR="00D92F6E" w:rsidRPr="0025250D">
        <w:rPr>
          <w:rtl/>
        </w:rPr>
        <w:t>پیش‌بین</w:t>
      </w:r>
      <w:r w:rsidRPr="0025250D">
        <w:rPr>
          <w:rFonts w:hint="cs"/>
          <w:rtl/>
        </w:rPr>
        <w:t>ی</w:t>
      </w:r>
      <w:r w:rsidRPr="0025250D">
        <w:rPr>
          <w:rtl/>
        </w:rPr>
        <w:t xml:space="preserve"> رنج م</w:t>
      </w:r>
      <w:r w:rsidRPr="0025250D">
        <w:rPr>
          <w:rFonts w:hint="cs"/>
          <w:rtl/>
        </w:rPr>
        <w:t>ی</w:t>
      </w:r>
      <w:r w:rsidRPr="0025250D">
        <w:rPr>
          <w:rtl/>
        </w:rPr>
        <w:t xml:space="preserve"> برد. ا</w:t>
      </w:r>
      <w:r w:rsidRPr="0025250D">
        <w:rPr>
          <w:rFonts w:hint="cs"/>
          <w:rtl/>
        </w:rPr>
        <w:t>ی</w:t>
      </w:r>
      <w:r w:rsidRPr="0025250D">
        <w:rPr>
          <w:rFonts w:hint="eastAsia"/>
          <w:rtl/>
        </w:rPr>
        <w:t>ن</w:t>
      </w:r>
      <w:r w:rsidRPr="0025250D">
        <w:rPr>
          <w:rFonts w:hint="cs"/>
          <w:rtl/>
        </w:rPr>
        <w:t xml:space="preserve"> کتاب</w:t>
      </w:r>
      <w:r w:rsidRPr="0025250D">
        <w:rPr>
          <w:rtl/>
        </w:rPr>
        <w:t xml:space="preserve"> استدلال م</w:t>
      </w:r>
      <w:r w:rsidRPr="0025250D">
        <w:rPr>
          <w:rFonts w:hint="cs"/>
          <w:rtl/>
        </w:rPr>
        <w:t>ی</w:t>
      </w:r>
      <w:r w:rsidRPr="0025250D">
        <w:rPr>
          <w:rtl/>
        </w:rPr>
        <w:t xml:space="preserve"> کند که </w:t>
      </w:r>
      <w:r w:rsidR="001C62AD" w:rsidRPr="0025250D">
        <w:rPr>
          <w:rtl/>
        </w:rPr>
        <w:t>«</w:t>
      </w:r>
      <w:r w:rsidRPr="0025250D">
        <w:rPr>
          <w:rtl/>
        </w:rPr>
        <w:t>آ</w:t>
      </w:r>
      <w:r w:rsidRPr="0025250D">
        <w:rPr>
          <w:rFonts w:hint="cs"/>
          <w:rtl/>
        </w:rPr>
        <w:t>ی</w:t>
      </w:r>
      <w:r w:rsidRPr="0025250D">
        <w:rPr>
          <w:rFonts w:hint="eastAsia"/>
          <w:rtl/>
        </w:rPr>
        <w:t>نده</w:t>
      </w:r>
      <w:r w:rsidRPr="0025250D">
        <w:rPr>
          <w:rtl/>
        </w:rPr>
        <w:t xml:space="preserve"> </w:t>
      </w:r>
      <w:r w:rsidRPr="0025250D">
        <w:rPr>
          <w:rFonts w:hint="cs"/>
          <w:rtl/>
        </w:rPr>
        <w:t>ی</w:t>
      </w:r>
      <w:r w:rsidRPr="0025250D">
        <w:rPr>
          <w:rFonts w:hint="eastAsia"/>
          <w:rtl/>
        </w:rPr>
        <w:t>ک</w:t>
      </w:r>
      <w:r w:rsidRPr="0025250D">
        <w:rPr>
          <w:rtl/>
        </w:rPr>
        <w:t xml:space="preserve"> گفتگو است، نه </w:t>
      </w:r>
      <w:r w:rsidRPr="0025250D">
        <w:rPr>
          <w:rFonts w:hint="cs"/>
          <w:rtl/>
        </w:rPr>
        <w:t>ی</w:t>
      </w:r>
      <w:r w:rsidRPr="0025250D">
        <w:rPr>
          <w:rFonts w:hint="eastAsia"/>
          <w:rtl/>
        </w:rPr>
        <w:t>ک</w:t>
      </w:r>
      <w:r w:rsidRPr="0025250D">
        <w:rPr>
          <w:rtl/>
        </w:rPr>
        <w:t xml:space="preserve"> </w:t>
      </w:r>
      <w:r w:rsidRPr="0025250D">
        <w:rPr>
          <w:rFonts w:hint="cs"/>
          <w:rtl/>
        </w:rPr>
        <w:t>بیانیه</w:t>
      </w:r>
      <w:r w:rsidRPr="0025250D">
        <w:rPr>
          <w:rtl/>
        </w:rPr>
        <w:t>.</w:t>
      </w:r>
      <w:r w:rsidR="001C62AD" w:rsidRPr="0025250D">
        <w:rPr>
          <w:rtl/>
        </w:rPr>
        <w:t>»</w:t>
      </w:r>
      <w:r w:rsidRPr="0025250D">
        <w:rPr>
          <w:rtl/>
        </w:rPr>
        <w:t xml:space="preserve"> در واقع آ</w:t>
      </w:r>
      <w:r w:rsidRPr="0025250D">
        <w:rPr>
          <w:rFonts w:hint="cs"/>
          <w:rtl/>
        </w:rPr>
        <w:t>ی</w:t>
      </w:r>
      <w:r w:rsidRPr="0025250D">
        <w:rPr>
          <w:rFonts w:hint="eastAsia"/>
          <w:rtl/>
        </w:rPr>
        <w:t>نده</w:t>
      </w:r>
      <w:r w:rsidRPr="0025250D">
        <w:rPr>
          <w:rtl/>
        </w:rPr>
        <w:t xml:space="preserve"> مجموعه ا</w:t>
      </w:r>
      <w:r w:rsidRPr="0025250D">
        <w:rPr>
          <w:rFonts w:hint="cs"/>
          <w:rtl/>
        </w:rPr>
        <w:t>ی</w:t>
      </w:r>
      <w:r w:rsidRPr="0025250D">
        <w:rPr>
          <w:rtl/>
        </w:rPr>
        <w:t xml:space="preserve"> از مقاصد (</w:t>
      </w:r>
      <w:r w:rsidRPr="0025250D">
        <w:rPr>
          <w:rFonts w:hint="cs"/>
          <w:rtl/>
        </w:rPr>
        <w:t>موارد محتمل</w:t>
      </w:r>
      <w:r w:rsidRPr="0025250D">
        <w:rPr>
          <w:rtl/>
        </w:rPr>
        <w:t>)، گفت</w:t>
      </w:r>
      <w:r w:rsidRPr="0025250D">
        <w:rPr>
          <w:rFonts w:hint="eastAsia"/>
          <w:rtl/>
        </w:rPr>
        <w:t>گوها</w:t>
      </w:r>
      <w:r w:rsidRPr="0025250D">
        <w:rPr>
          <w:rtl/>
        </w:rPr>
        <w:t xml:space="preserve"> (</w:t>
      </w:r>
      <w:r w:rsidRPr="0025250D">
        <w:rPr>
          <w:rFonts w:hint="cs"/>
          <w:rtl/>
        </w:rPr>
        <w:t>موارد ممکن</w:t>
      </w:r>
      <w:r w:rsidRPr="0025250D">
        <w:rPr>
          <w:rtl/>
        </w:rPr>
        <w:t>)، اعلام</w:t>
      </w:r>
      <w:r w:rsidRPr="0025250D">
        <w:rPr>
          <w:rFonts w:hint="cs"/>
          <w:rtl/>
        </w:rPr>
        <w:t>ی</w:t>
      </w:r>
      <w:r w:rsidRPr="0025250D">
        <w:rPr>
          <w:rFonts w:hint="eastAsia"/>
          <w:rtl/>
        </w:rPr>
        <w:t>ه</w:t>
      </w:r>
      <w:r w:rsidRPr="0025250D">
        <w:rPr>
          <w:rtl/>
        </w:rPr>
        <w:t xml:space="preserve"> ها (</w:t>
      </w:r>
      <w:r w:rsidRPr="0025250D">
        <w:rPr>
          <w:rFonts w:hint="cs"/>
          <w:rtl/>
        </w:rPr>
        <w:t>ترجیحات</w:t>
      </w:r>
      <w:r w:rsidRPr="0025250D">
        <w:rPr>
          <w:rtl/>
        </w:rPr>
        <w:t>) و وسوسه ها (تله ها</w:t>
      </w:r>
      <w:r w:rsidRPr="0025250D">
        <w:rPr>
          <w:rFonts w:hint="cs"/>
          <w:rtl/>
        </w:rPr>
        <w:t>ی</w:t>
      </w:r>
      <w:r w:rsidRPr="0025250D">
        <w:rPr>
          <w:rtl/>
        </w:rPr>
        <w:t xml:space="preserve"> قابل </w:t>
      </w:r>
      <w:r w:rsidRPr="0025250D">
        <w:rPr>
          <w:rFonts w:hint="cs"/>
          <w:rtl/>
        </w:rPr>
        <w:t>اجتناب</w:t>
      </w:r>
      <w:r w:rsidRPr="0025250D">
        <w:rPr>
          <w:rtl/>
        </w:rPr>
        <w:t xml:space="preserve"> و </w:t>
      </w:r>
      <w:r w:rsidR="005B6D28" w:rsidRPr="0025250D">
        <w:rPr>
          <w:rFonts w:hint="cs"/>
          <w:rtl/>
        </w:rPr>
        <w:t>ویران شهر</w:t>
      </w:r>
      <w:r w:rsidRPr="0025250D">
        <w:rPr>
          <w:rtl/>
        </w:rPr>
        <w:t>) است. ه</w:t>
      </w:r>
      <w:r w:rsidRPr="0025250D">
        <w:rPr>
          <w:rFonts w:hint="cs"/>
          <w:rtl/>
        </w:rPr>
        <w:t>ی</w:t>
      </w:r>
      <w:r w:rsidRPr="0025250D">
        <w:rPr>
          <w:rFonts w:hint="eastAsia"/>
          <w:rtl/>
        </w:rPr>
        <w:t>چ</w:t>
      </w:r>
      <w:r w:rsidRPr="0025250D">
        <w:rPr>
          <w:rtl/>
        </w:rPr>
        <w:t xml:space="preserve"> </w:t>
      </w:r>
      <w:r w:rsidRPr="0025250D">
        <w:rPr>
          <w:rFonts w:hint="cs"/>
          <w:rtl/>
        </w:rPr>
        <w:t>ی</w:t>
      </w:r>
      <w:r w:rsidRPr="0025250D">
        <w:rPr>
          <w:rFonts w:hint="eastAsia"/>
          <w:rtl/>
        </w:rPr>
        <w:t>ک</w:t>
      </w:r>
      <w:r w:rsidRPr="0025250D">
        <w:rPr>
          <w:rtl/>
        </w:rPr>
        <w:t xml:space="preserve"> از چهار </w:t>
      </w:r>
      <w:r w:rsidRPr="0025250D">
        <w:t>P</w:t>
      </w:r>
      <w:r w:rsidRPr="0025250D">
        <w:rPr>
          <w:rtl/>
        </w:rPr>
        <w:t xml:space="preserve"> را ناد</w:t>
      </w:r>
      <w:r w:rsidRPr="0025250D">
        <w:rPr>
          <w:rFonts w:hint="cs"/>
          <w:rtl/>
        </w:rPr>
        <w:t>ی</w:t>
      </w:r>
      <w:r w:rsidRPr="0025250D">
        <w:rPr>
          <w:rFonts w:hint="eastAsia"/>
          <w:rtl/>
        </w:rPr>
        <w:t>ده</w:t>
      </w:r>
      <w:r w:rsidRPr="0025250D">
        <w:rPr>
          <w:rtl/>
        </w:rPr>
        <w:t xml:space="preserve"> نگ</w:t>
      </w:r>
      <w:r w:rsidRPr="0025250D">
        <w:rPr>
          <w:rFonts w:hint="cs"/>
          <w:rtl/>
        </w:rPr>
        <w:t>ی</w:t>
      </w:r>
      <w:r w:rsidRPr="0025250D">
        <w:rPr>
          <w:rFonts w:hint="eastAsia"/>
          <w:rtl/>
        </w:rPr>
        <w:t>ر</w:t>
      </w:r>
      <w:r w:rsidRPr="0025250D">
        <w:rPr>
          <w:rFonts w:hint="cs"/>
          <w:rtl/>
        </w:rPr>
        <w:t>ی</w:t>
      </w:r>
      <w:r w:rsidRPr="0025250D">
        <w:rPr>
          <w:rFonts w:hint="eastAsia"/>
          <w:rtl/>
        </w:rPr>
        <w:t>د،</w:t>
      </w:r>
      <w:r w:rsidRPr="0025250D">
        <w:rPr>
          <w:rtl/>
        </w:rPr>
        <w:t xml:space="preserve"> در غ</w:t>
      </w:r>
      <w:r w:rsidRPr="0025250D">
        <w:rPr>
          <w:rFonts w:hint="cs"/>
          <w:rtl/>
        </w:rPr>
        <w:t>ی</w:t>
      </w:r>
      <w:r w:rsidRPr="0025250D">
        <w:rPr>
          <w:rFonts w:hint="eastAsia"/>
          <w:rtl/>
        </w:rPr>
        <w:t>ر</w:t>
      </w:r>
      <w:r w:rsidRPr="0025250D">
        <w:rPr>
          <w:rtl/>
        </w:rPr>
        <w:t xml:space="preserve"> ا</w:t>
      </w:r>
      <w:r w:rsidRPr="0025250D">
        <w:rPr>
          <w:rFonts w:hint="cs"/>
          <w:rtl/>
        </w:rPr>
        <w:t>ی</w:t>
      </w:r>
      <w:r w:rsidRPr="0025250D">
        <w:rPr>
          <w:rFonts w:hint="eastAsia"/>
          <w:rtl/>
        </w:rPr>
        <w:t>ن</w:t>
      </w:r>
      <w:r w:rsidRPr="0025250D">
        <w:rPr>
          <w:rtl/>
        </w:rPr>
        <w:t xml:space="preserve"> صورت ت</w:t>
      </w:r>
      <w:r w:rsidRPr="0025250D">
        <w:rPr>
          <w:rFonts w:hint="cs"/>
          <w:rtl/>
        </w:rPr>
        <w:t>ی</w:t>
      </w:r>
      <w:r w:rsidRPr="0025250D">
        <w:rPr>
          <w:rFonts w:hint="eastAsia"/>
          <w:rtl/>
        </w:rPr>
        <w:t>م</w:t>
      </w:r>
      <w:r w:rsidRPr="0025250D">
        <w:rPr>
          <w:rtl/>
        </w:rPr>
        <w:t xml:space="preserve"> شما </w:t>
      </w:r>
      <w:r w:rsidR="00701E03" w:rsidRPr="0025250D">
        <w:rPr>
          <w:rtl/>
        </w:rPr>
        <w:t>راهبرد</w:t>
      </w:r>
      <w:r w:rsidRPr="0025250D">
        <w:rPr>
          <w:rtl/>
        </w:rPr>
        <w:t xml:space="preserve"> </w:t>
      </w:r>
      <w:r w:rsidR="00B124DE" w:rsidRPr="0025250D">
        <w:rPr>
          <w:rtl/>
        </w:rPr>
        <w:t>انطباق‌پذیر</w:t>
      </w:r>
      <w:r w:rsidRPr="0025250D">
        <w:rPr>
          <w:rFonts w:hint="cs"/>
          <w:rtl/>
        </w:rPr>
        <w:t>ی</w:t>
      </w:r>
      <w:r w:rsidRPr="0025250D">
        <w:rPr>
          <w:rtl/>
        </w:rPr>
        <w:t xml:space="preserve"> کمتر</w:t>
      </w:r>
      <w:r w:rsidRPr="0025250D">
        <w:rPr>
          <w:rFonts w:hint="cs"/>
          <w:rtl/>
        </w:rPr>
        <w:t>ی</w:t>
      </w:r>
      <w:r w:rsidRPr="0025250D">
        <w:rPr>
          <w:rtl/>
        </w:rPr>
        <w:t xml:space="preserve"> خواهد داشت.</w:t>
      </w:r>
    </w:p>
    <w:p w14:paraId="6DAEFBC7" w14:textId="48F581B9" w:rsidR="008A50B6" w:rsidRPr="0025250D" w:rsidRDefault="005B6D28" w:rsidP="00492C47">
      <w:pPr>
        <w:numPr>
          <w:ilvl w:val="0"/>
          <w:numId w:val="74"/>
        </w:numPr>
      </w:pPr>
      <w:r w:rsidRPr="0025250D">
        <w:rPr>
          <w:rFonts w:hint="cs"/>
          <w:rtl/>
        </w:rPr>
        <w:t>نامعلوم:</w:t>
      </w:r>
      <w:r w:rsidR="008A50B6" w:rsidRPr="0025250D">
        <w:rPr>
          <w:rFonts w:hint="cs"/>
          <w:rtl/>
        </w:rPr>
        <w:t xml:space="preserve"> </w:t>
      </w:r>
      <w:r w:rsidR="008A50B6" w:rsidRPr="0025250D">
        <w:rPr>
          <w:rtl/>
        </w:rPr>
        <w:t xml:space="preserve">چگونه </w:t>
      </w:r>
      <w:r w:rsidR="008A50B6" w:rsidRPr="0025250D">
        <w:rPr>
          <w:rFonts w:hint="cs"/>
          <w:rtl/>
        </w:rPr>
        <w:t>به سوی</w:t>
      </w:r>
      <w:r w:rsidR="008A50B6" w:rsidRPr="0025250D">
        <w:rPr>
          <w:rtl/>
        </w:rPr>
        <w:t xml:space="preserve"> آ</w:t>
      </w:r>
      <w:r w:rsidR="008A50B6" w:rsidRPr="0025250D">
        <w:rPr>
          <w:rFonts w:hint="cs"/>
          <w:rtl/>
        </w:rPr>
        <w:t>ی</w:t>
      </w:r>
      <w:r w:rsidR="008A50B6" w:rsidRPr="0025250D">
        <w:rPr>
          <w:rFonts w:hint="eastAsia"/>
          <w:rtl/>
        </w:rPr>
        <w:t>نده</w:t>
      </w:r>
      <w:r w:rsidR="008A50B6" w:rsidRPr="0025250D">
        <w:rPr>
          <w:rtl/>
        </w:rPr>
        <w:t xml:space="preserve"> حرکت کن</w:t>
      </w:r>
      <w:r w:rsidR="008A50B6" w:rsidRPr="0025250D">
        <w:rPr>
          <w:rFonts w:hint="cs"/>
          <w:rtl/>
        </w:rPr>
        <w:t>ی</w:t>
      </w:r>
      <w:r w:rsidR="008A50B6" w:rsidRPr="0025250D">
        <w:rPr>
          <w:rFonts w:hint="eastAsia"/>
          <w:rtl/>
        </w:rPr>
        <w:t>م،</w:t>
      </w:r>
      <w:r w:rsidR="008A50B6" w:rsidRPr="0025250D">
        <w:rPr>
          <w:rtl/>
        </w:rPr>
        <w:t xml:space="preserve"> مارگارت هفرمن</w:t>
      </w:r>
      <w:r w:rsidR="008A50B6" w:rsidRPr="0025250D">
        <w:rPr>
          <w:vertAlign w:val="superscript"/>
          <w:rtl/>
        </w:rPr>
        <w:footnoteReference w:id="3270"/>
      </w:r>
      <w:r w:rsidR="008A50B6" w:rsidRPr="0025250D">
        <w:rPr>
          <w:rtl/>
        </w:rPr>
        <w:t>، 2020. مرور</w:t>
      </w:r>
      <w:r w:rsidR="008A50B6" w:rsidRPr="0025250D">
        <w:rPr>
          <w:rFonts w:hint="cs"/>
          <w:rtl/>
        </w:rPr>
        <w:t>ی</w:t>
      </w:r>
      <w:r w:rsidR="008A50B6" w:rsidRPr="0025250D">
        <w:rPr>
          <w:rtl/>
        </w:rPr>
        <w:t xml:space="preserve"> بس</w:t>
      </w:r>
      <w:r w:rsidR="008A50B6" w:rsidRPr="0025250D">
        <w:rPr>
          <w:rFonts w:hint="cs"/>
          <w:rtl/>
        </w:rPr>
        <w:t>ی</w:t>
      </w:r>
      <w:r w:rsidR="008A50B6" w:rsidRPr="0025250D">
        <w:rPr>
          <w:rFonts w:hint="eastAsia"/>
          <w:rtl/>
        </w:rPr>
        <w:t>ار</w:t>
      </w:r>
      <w:r w:rsidR="008A50B6" w:rsidRPr="0025250D">
        <w:rPr>
          <w:rtl/>
        </w:rPr>
        <w:t xml:space="preserve"> خواندن</w:t>
      </w:r>
      <w:r w:rsidR="008A50B6" w:rsidRPr="0025250D">
        <w:rPr>
          <w:rFonts w:hint="cs"/>
          <w:rtl/>
        </w:rPr>
        <w:t>ی</w:t>
      </w:r>
      <w:r w:rsidR="008A50B6" w:rsidRPr="0025250D">
        <w:rPr>
          <w:rtl/>
        </w:rPr>
        <w:t xml:space="preserve"> و داستان محور از روش ها</w:t>
      </w:r>
      <w:r w:rsidR="008A50B6" w:rsidRPr="0025250D">
        <w:rPr>
          <w:rFonts w:hint="cs"/>
          <w:rtl/>
        </w:rPr>
        <w:t>ی</w:t>
      </w:r>
      <w:r w:rsidR="008A50B6" w:rsidRPr="0025250D">
        <w:rPr>
          <w:rtl/>
        </w:rPr>
        <w:t xml:space="preserve"> عمل گرا</w:t>
      </w:r>
      <w:r w:rsidR="008A50B6" w:rsidRPr="0025250D">
        <w:rPr>
          <w:rFonts w:hint="cs"/>
          <w:rtl/>
        </w:rPr>
        <w:t>ی</w:t>
      </w:r>
      <w:r w:rsidR="008A50B6" w:rsidRPr="0025250D">
        <w:rPr>
          <w:rFonts w:hint="eastAsia"/>
          <w:rtl/>
        </w:rPr>
        <w:t>انه</w:t>
      </w:r>
      <w:r w:rsidR="008A50B6" w:rsidRPr="0025250D">
        <w:rPr>
          <w:rtl/>
        </w:rPr>
        <w:t xml:space="preserve"> برا</w:t>
      </w:r>
      <w:r w:rsidR="008A50B6" w:rsidRPr="0025250D">
        <w:rPr>
          <w:rFonts w:hint="cs"/>
          <w:rtl/>
        </w:rPr>
        <w:t>ی</w:t>
      </w:r>
      <w:r w:rsidR="008A50B6" w:rsidRPr="0025250D">
        <w:rPr>
          <w:rtl/>
        </w:rPr>
        <w:t xml:space="preserve"> </w:t>
      </w:r>
      <w:r w:rsidR="008A50B6" w:rsidRPr="0025250D">
        <w:rPr>
          <w:rFonts w:hint="cs"/>
          <w:rtl/>
        </w:rPr>
        <w:t>راهبری از میان</w:t>
      </w:r>
      <w:r w:rsidR="008A50B6" w:rsidRPr="0025250D">
        <w:rPr>
          <w:rtl/>
        </w:rPr>
        <w:t xml:space="preserve"> عدم قطع</w:t>
      </w:r>
      <w:r w:rsidR="008A50B6" w:rsidRPr="0025250D">
        <w:rPr>
          <w:rFonts w:hint="cs"/>
          <w:rtl/>
        </w:rPr>
        <w:t>ی</w:t>
      </w:r>
      <w:r w:rsidR="008A50B6" w:rsidRPr="0025250D">
        <w:rPr>
          <w:rFonts w:hint="eastAsia"/>
          <w:rtl/>
        </w:rPr>
        <w:t>ت،</w:t>
      </w:r>
      <w:r w:rsidR="008A50B6" w:rsidRPr="0025250D">
        <w:rPr>
          <w:rtl/>
        </w:rPr>
        <w:t xml:space="preserve"> نوشته شده توسط </w:t>
      </w:r>
      <w:r w:rsidR="008A50B6" w:rsidRPr="0025250D">
        <w:rPr>
          <w:rFonts w:hint="cs"/>
          <w:rtl/>
        </w:rPr>
        <w:t>ی</w:t>
      </w:r>
      <w:r w:rsidR="008A50B6" w:rsidRPr="0025250D">
        <w:rPr>
          <w:rFonts w:hint="eastAsia"/>
          <w:rtl/>
        </w:rPr>
        <w:t>ک</w:t>
      </w:r>
      <w:r w:rsidR="008A50B6" w:rsidRPr="0025250D">
        <w:rPr>
          <w:rtl/>
        </w:rPr>
        <w:t xml:space="preserve"> مد</w:t>
      </w:r>
      <w:r w:rsidR="008A50B6" w:rsidRPr="0025250D">
        <w:rPr>
          <w:rFonts w:hint="cs"/>
          <w:rtl/>
        </w:rPr>
        <w:t>ی</w:t>
      </w:r>
      <w:r w:rsidR="008A50B6" w:rsidRPr="0025250D">
        <w:rPr>
          <w:rFonts w:hint="eastAsia"/>
          <w:rtl/>
        </w:rPr>
        <w:t>ر</w:t>
      </w:r>
      <w:r w:rsidR="008A50B6" w:rsidRPr="0025250D">
        <w:rPr>
          <w:rtl/>
        </w:rPr>
        <w:t xml:space="preserve"> عامل. از ا</w:t>
      </w:r>
      <w:r w:rsidR="008A50B6" w:rsidRPr="0025250D">
        <w:rPr>
          <w:rFonts w:hint="cs"/>
          <w:rtl/>
        </w:rPr>
        <w:t>ی</w:t>
      </w:r>
      <w:r w:rsidR="008A50B6" w:rsidRPr="0025250D">
        <w:rPr>
          <w:rFonts w:hint="eastAsia"/>
          <w:rtl/>
        </w:rPr>
        <w:t>ن</w:t>
      </w:r>
      <w:r w:rsidR="008A50B6" w:rsidRPr="0025250D">
        <w:rPr>
          <w:rtl/>
        </w:rPr>
        <w:t xml:space="preserve"> سوگ</w:t>
      </w:r>
      <w:r w:rsidR="008A50B6" w:rsidRPr="0025250D">
        <w:rPr>
          <w:rFonts w:hint="cs"/>
          <w:rtl/>
        </w:rPr>
        <w:t>ی</w:t>
      </w:r>
      <w:r w:rsidR="008A50B6" w:rsidRPr="0025250D">
        <w:rPr>
          <w:rFonts w:hint="eastAsia"/>
          <w:rtl/>
        </w:rPr>
        <w:t>ر</w:t>
      </w:r>
      <w:r w:rsidR="008A50B6" w:rsidRPr="0025250D">
        <w:rPr>
          <w:rFonts w:hint="cs"/>
          <w:rtl/>
        </w:rPr>
        <w:t>ی</w:t>
      </w:r>
      <w:r w:rsidR="008A50B6" w:rsidRPr="0025250D">
        <w:rPr>
          <w:rtl/>
        </w:rPr>
        <w:t xml:space="preserve"> رنج م</w:t>
      </w:r>
      <w:r w:rsidR="008A50B6" w:rsidRPr="0025250D">
        <w:rPr>
          <w:rFonts w:hint="cs"/>
          <w:rtl/>
        </w:rPr>
        <w:t>ی</w:t>
      </w:r>
      <w:r w:rsidR="008A50B6" w:rsidRPr="0025250D">
        <w:rPr>
          <w:rtl/>
        </w:rPr>
        <w:t xml:space="preserve"> برد که آ</w:t>
      </w:r>
      <w:r w:rsidR="008A50B6" w:rsidRPr="0025250D">
        <w:rPr>
          <w:rFonts w:hint="cs"/>
          <w:rtl/>
        </w:rPr>
        <w:t>ی</w:t>
      </w:r>
      <w:r w:rsidR="008A50B6" w:rsidRPr="0025250D">
        <w:rPr>
          <w:rFonts w:hint="eastAsia"/>
          <w:rtl/>
        </w:rPr>
        <w:t>نده</w:t>
      </w:r>
      <w:r w:rsidR="008A50B6" w:rsidRPr="0025250D">
        <w:rPr>
          <w:rtl/>
        </w:rPr>
        <w:t xml:space="preserve"> را</w:t>
      </w:r>
      <w:r w:rsidR="00EE4B64" w:rsidRPr="0025250D">
        <w:rPr>
          <w:rtl/>
        </w:rPr>
        <w:t xml:space="preserve"> نمی‌</w:t>
      </w:r>
      <w:r w:rsidR="008A50B6" w:rsidRPr="0025250D">
        <w:rPr>
          <w:rtl/>
        </w:rPr>
        <w:t xml:space="preserve">توان </w:t>
      </w:r>
      <w:r w:rsidR="00D92F6E" w:rsidRPr="0025250D">
        <w:rPr>
          <w:rtl/>
        </w:rPr>
        <w:t>پیش‌بین</w:t>
      </w:r>
      <w:r w:rsidR="008A50B6" w:rsidRPr="0025250D">
        <w:rPr>
          <w:rFonts w:hint="cs"/>
          <w:rtl/>
        </w:rPr>
        <w:t>ی</w:t>
      </w:r>
      <w:r w:rsidR="008A50B6" w:rsidRPr="0025250D">
        <w:rPr>
          <w:rtl/>
        </w:rPr>
        <w:t xml:space="preserve"> کرد و ه</w:t>
      </w:r>
      <w:r w:rsidR="008A50B6" w:rsidRPr="0025250D">
        <w:rPr>
          <w:rFonts w:hint="eastAsia"/>
          <w:rtl/>
        </w:rPr>
        <w:t>فرمن</w:t>
      </w:r>
      <w:r w:rsidR="008A50B6" w:rsidRPr="0025250D">
        <w:rPr>
          <w:rtl/>
        </w:rPr>
        <w:t xml:space="preserve"> فراانسان گرا</w:t>
      </w:r>
      <w:r w:rsidR="008A50B6" w:rsidRPr="0025250D">
        <w:rPr>
          <w:rFonts w:hint="cs"/>
          <w:rtl/>
        </w:rPr>
        <w:t>یی</w:t>
      </w:r>
      <w:r w:rsidR="008A50B6" w:rsidRPr="0025250D">
        <w:rPr>
          <w:rtl/>
        </w:rPr>
        <w:t xml:space="preserve"> را بد درک م</w:t>
      </w:r>
      <w:r w:rsidR="008A50B6" w:rsidRPr="0025250D">
        <w:rPr>
          <w:rFonts w:hint="cs"/>
          <w:rtl/>
        </w:rPr>
        <w:t>ی</w:t>
      </w:r>
      <w:r w:rsidR="008A50B6" w:rsidRPr="0025250D">
        <w:rPr>
          <w:rtl/>
        </w:rPr>
        <w:t xml:space="preserve"> کند</w:t>
      </w:r>
      <w:r w:rsidR="008A50B6" w:rsidRPr="0025250D">
        <w:rPr>
          <w:rFonts w:hint="eastAsia"/>
          <w:rtl/>
        </w:rPr>
        <w:t>،</w:t>
      </w:r>
      <w:r w:rsidR="008A50B6" w:rsidRPr="0025250D">
        <w:rPr>
          <w:rtl/>
        </w:rPr>
        <w:t xml:space="preserve"> اما حداقل او در فصل خود در مورد طول عمر به آن م</w:t>
      </w:r>
      <w:r w:rsidR="008A50B6" w:rsidRPr="0025250D">
        <w:rPr>
          <w:rFonts w:hint="cs"/>
          <w:rtl/>
        </w:rPr>
        <w:t>ی</w:t>
      </w:r>
      <w:r w:rsidR="008A50B6" w:rsidRPr="0025250D">
        <w:rPr>
          <w:rtl/>
        </w:rPr>
        <w:t xml:space="preserve"> پردازد. تله‌ها</w:t>
      </w:r>
      <w:r w:rsidR="008A50B6" w:rsidRPr="0025250D">
        <w:rPr>
          <w:rFonts w:hint="cs"/>
          <w:rtl/>
        </w:rPr>
        <w:t>یی</w:t>
      </w:r>
      <w:r w:rsidR="008A50B6" w:rsidRPr="0025250D">
        <w:rPr>
          <w:rtl/>
        </w:rPr>
        <w:t xml:space="preserve"> مانند ساده‌ساز</w:t>
      </w:r>
      <w:r w:rsidR="008A50B6" w:rsidRPr="0025250D">
        <w:rPr>
          <w:rFonts w:hint="cs"/>
          <w:rtl/>
        </w:rPr>
        <w:t>ی</w:t>
      </w:r>
      <w:r w:rsidR="008A50B6" w:rsidRPr="0025250D">
        <w:rPr>
          <w:rtl/>
        </w:rPr>
        <w:t xml:space="preserve"> ب</w:t>
      </w:r>
      <w:r w:rsidR="008A50B6" w:rsidRPr="0025250D">
        <w:rPr>
          <w:rFonts w:hint="cs"/>
          <w:rtl/>
        </w:rPr>
        <w:t>ی</w:t>
      </w:r>
      <w:r w:rsidR="008A50B6" w:rsidRPr="0025250D">
        <w:rPr>
          <w:rFonts w:hint="eastAsia"/>
          <w:rtl/>
        </w:rPr>
        <w:t>ش</w:t>
      </w:r>
      <w:r w:rsidR="008A50B6" w:rsidRPr="0025250D">
        <w:rPr>
          <w:rtl/>
        </w:rPr>
        <w:t xml:space="preserve"> از حد و تعصب جبرگرا</w:t>
      </w:r>
      <w:r w:rsidR="008A50B6" w:rsidRPr="0025250D">
        <w:rPr>
          <w:rFonts w:hint="cs"/>
          <w:rtl/>
        </w:rPr>
        <w:t>یی</w:t>
      </w:r>
      <w:r w:rsidR="008A50B6" w:rsidRPr="0025250D">
        <w:rPr>
          <w:rtl/>
        </w:rPr>
        <w:t xml:space="preserve"> (ارزش ب</w:t>
      </w:r>
      <w:r w:rsidR="008A50B6" w:rsidRPr="0025250D">
        <w:rPr>
          <w:rFonts w:hint="cs"/>
          <w:rtl/>
        </w:rPr>
        <w:t>ی</w:t>
      </w:r>
      <w:r w:rsidR="008A50B6" w:rsidRPr="0025250D">
        <w:rPr>
          <w:rFonts w:hint="eastAsia"/>
          <w:rtl/>
        </w:rPr>
        <w:t>ش</w:t>
      </w:r>
      <w:r w:rsidR="008A50B6" w:rsidRPr="0025250D">
        <w:rPr>
          <w:rtl/>
        </w:rPr>
        <w:t xml:space="preserve"> از حد آ</w:t>
      </w:r>
      <w:r w:rsidR="008A50B6" w:rsidRPr="0025250D">
        <w:rPr>
          <w:rFonts w:hint="cs"/>
          <w:rtl/>
        </w:rPr>
        <w:t>ی</w:t>
      </w:r>
      <w:r w:rsidR="008A50B6" w:rsidRPr="0025250D">
        <w:rPr>
          <w:rFonts w:hint="eastAsia"/>
          <w:rtl/>
        </w:rPr>
        <w:t>نده‌نگر</w:t>
      </w:r>
      <w:r w:rsidR="008A50B6" w:rsidRPr="0025250D">
        <w:rPr>
          <w:rFonts w:hint="cs"/>
          <w:rtl/>
        </w:rPr>
        <w:t>ی</w:t>
      </w:r>
      <w:r w:rsidR="008A50B6" w:rsidRPr="0025250D">
        <w:rPr>
          <w:rtl/>
        </w:rPr>
        <w:t xml:space="preserve"> احتمال</w:t>
      </w:r>
      <w:r w:rsidR="008A50B6" w:rsidRPr="0025250D">
        <w:rPr>
          <w:rFonts w:hint="cs"/>
          <w:rtl/>
        </w:rPr>
        <w:t>ی</w:t>
      </w:r>
      <w:r w:rsidR="008A50B6" w:rsidRPr="0025250D">
        <w:rPr>
          <w:rtl/>
        </w:rPr>
        <w:t>)</w:t>
      </w:r>
      <w:r w:rsidR="008A50B6" w:rsidRPr="0025250D">
        <w:rPr>
          <w:rFonts w:hint="cs"/>
          <w:rtl/>
        </w:rPr>
        <w:t xml:space="preserve"> </w:t>
      </w:r>
      <w:r w:rsidR="008A50B6" w:rsidRPr="0025250D">
        <w:rPr>
          <w:rtl/>
        </w:rPr>
        <w:t>را به‌طور مف</w:t>
      </w:r>
      <w:r w:rsidR="008A50B6" w:rsidRPr="0025250D">
        <w:rPr>
          <w:rFonts w:hint="cs"/>
          <w:rtl/>
        </w:rPr>
        <w:t>ی</w:t>
      </w:r>
      <w:r w:rsidR="008A50B6" w:rsidRPr="0025250D">
        <w:rPr>
          <w:rFonts w:hint="eastAsia"/>
          <w:rtl/>
        </w:rPr>
        <w:t>د</w:t>
      </w:r>
      <w:r w:rsidR="008A50B6" w:rsidRPr="0025250D">
        <w:rPr>
          <w:rFonts w:hint="cs"/>
          <w:rtl/>
        </w:rPr>
        <w:t>ی</w:t>
      </w:r>
      <w:r w:rsidR="008A50B6" w:rsidRPr="0025250D">
        <w:rPr>
          <w:rtl/>
        </w:rPr>
        <w:t xml:space="preserve"> توص</w:t>
      </w:r>
      <w:r w:rsidR="008A50B6" w:rsidRPr="0025250D">
        <w:rPr>
          <w:rFonts w:hint="cs"/>
          <w:rtl/>
        </w:rPr>
        <w:t>ی</w:t>
      </w:r>
      <w:r w:rsidR="008A50B6" w:rsidRPr="0025250D">
        <w:rPr>
          <w:rFonts w:hint="eastAsia"/>
          <w:rtl/>
        </w:rPr>
        <w:t>ف</w:t>
      </w:r>
      <w:r w:rsidR="008A50B6" w:rsidRPr="0025250D">
        <w:rPr>
          <w:rtl/>
        </w:rPr>
        <w:t xml:space="preserve"> م</w:t>
      </w:r>
      <w:r w:rsidR="008A50B6" w:rsidRPr="0025250D">
        <w:rPr>
          <w:rFonts w:hint="cs"/>
          <w:rtl/>
        </w:rPr>
        <w:t>ی‌</w:t>
      </w:r>
      <w:r w:rsidR="008A50B6" w:rsidRPr="0025250D">
        <w:rPr>
          <w:rFonts w:hint="eastAsia"/>
          <w:rtl/>
        </w:rPr>
        <w:t>کند</w:t>
      </w:r>
      <w:r w:rsidR="008A50B6" w:rsidRPr="0025250D">
        <w:rPr>
          <w:rtl/>
        </w:rPr>
        <w:t>.</w:t>
      </w:r>
      <w:r w:rsidR="008A50B6" w:rsidRPr="0025250D">
        <w:rPr>
          <w:rFonts w:hint="cs"/>
          <w:rtl/>
        </w:rPr>
        <w:t xml:space="preserve"> برای</w:t>
      </w:r>
      <w:r w:rsidR="008A50B6" w:rsidRPr="0025250D">
        <w:rPr>
          <w:rtl/>
        </w:rPr>
        <w:t xml:space="preserve"> تنوع تجربه و تنوع شناخت</w:t>
      </w:r>
      <w:r w:rsidR="008A50B6" w:rsidRPr="0025250D">
        <w:rPr>
          <w:rFonts w:hint="cs"/>
          <w:rtl/>
        </w:rPr>
        <w:t>ی</w:t>
      </w:r>
      <w:r w:rsidR="008A50B6" w:rsidRPr="0025250D">
        <w:rPr>
          <w:rtl/>
        </w:rPr>
        <w:t xml:space="preserve"> به طور مناسب</w:t>
      </w:r>
      <w:r w:rsidR="008A50B6" w:rsidRPr="0025250D">
        <w:rPr>
          <w:rFonts w:hint="cs"/>
          <w:rtl/>
        </w:rPr>
        <w:t>ی</w:t>
      </w:r>
      <w:r w:rsidR="008A50B6" w:rsidRPr="0025250D">
        <w:rPr>
          <w:rtl/>
        </w:rPr>
        <w:t xml:space="preserve"> ارزش</w:t>
      </w:r>
      <w:r w:rsidR="008A50B6" w:rsidRPr="0025250D">
        <w:rPr>
          <w:rFonts w:hint="cs"/>
          <w:rtl/>
        </w:rPr>
        <w:t xml:space="preserve"> قائل می شود</w:t>
      </w:r>
      <w:r w:rsidR="008A50B6" w:rsidRPr="0025250D">
        <w:rPr>
          <w:rtl/>
        </w:rPr>
        <w:t>. نمونه ها</w:t>
      </w:r>
      <w:r w:rsidR="008A50B6" w:rsidRPr="0025250D">
        <w:rPr>
          <w:rFonts w:hint="cs"/>
          <w:rtl/>
        </w:rPr>
        <w:t>ی</w:t>
      </w:r>
      <w:r w:rsidR="008A50B6" w:rsidRPr="0025250D">
        <w:rPr>
          <w:rtl/>
        </w:rPr>
        <w:t xml:space="preserve"> خوب</w:t>
      </w:r>
      <w:r w:rsidR="008A50B6" w:rsidRPr="0025250D">
        <w:rPr>
          <w:rFonts w:hint="cs"/>
          <w:rtl/>
        </w:rPr>
        <w:t>ی</w:t>
      </w:r>
      <w:r w:rsidR="008A50B6" w:rsidRPr="0025250D">
        <w:rPr>
          <w:rtl/>
        </w:rPr>
        <w:t xml:space="preserve"> از تلاش ها</w:t>
      </w:r>
      <w:r w:rsidR="008A50B6" w:rsidRPr="0025250D">
        <w:rPr>
          <w:rFonts w:hint="cs"/>
          <w:rtl/>
        </w:rPr>
        <w:t>ی</w:t>
      </w:r>
      <w:r w:rsidR="008A50B6" w:rsidRPr="0025250D">
        <w:rPr>
          <w:rtl/>
        </w:rPr>
        <w:t xml:space="preserve"> </w:t>
      </w:r>
      <w:r w:rsidR="00D92F6E" w:rsidRPr="0025250D">
        <w:rPr>
          <w:rtl/>
        </w:rPr>
        <w:t>آینده‌نگاری</w:t>
      </w:r>
      <w:r w:rsidR="008A50B6" w:rsidRPr="0025250D">
        <w:rPr>
          <w:rtl/>
        </w:rPr>
        <w:t xml:space="preserve"> بلند مدت در </w:t>
      </w:r>
      <w:r w:rsidR="00B124DE" w:rsidRPr="0025250D">
        <w:rPr>
          <w:rFonts w:hint="cs"/>
          <w:rtl/>
        </w:rPr>
        <w:t>کسب‌و‌کار</w:t>
      </w:r>
      <w:r w:rsidR="008A50B6" w:rsidRPr="0025250D">
        <w:rPr>
          <w:rtl/>
        </w:rPr>
        <w:t>، دولت، علم، سازمان ها و روابط</w:t>
      </w:r>
      <w:r w:rsidR="008A50B6" w:rsidRPr="0025250D">
        <w:rPr>
          <w:rFonts w:hint="cs"/>
          <w:rtl/>
        </w:rPr>
        <w:t xml:space="preserve"> ارائه می دهد</w:t>
      </w:r>
      <w:r w:rsidR="008A50B6" w:rsidRPr="0025250D">
        <w:rPr>
          <w:rtl/>
        </w:rPr>
        <w:t>.</w:t>
      </w:r>
    </w:p>
    <w:p w14:paraId="1CA06CD5" w14:textId="2874EA02" w:rsidR="008A50B6" w:rsidRPr="0025250D" w:rsidRDefault="008A50B6" w:rsidP="008A50B6">
      <w:pPr>
        <w:pStyle w:val="Heading3"/>
        <w:rPr>
          <w:rtl/>
        </w:rPr>
      </w:pPr>
      <w:r w:rsidRPr="0025250D">
        <w:rPr>
          <w:rtl/>
        </w:rPr>
        <w:t>کتاب‌ها</w:t>
      </w:r>
      <w:r w:rsidRPr="0025250D">
        <w:rPr>
          <w:rFonts w:hint="cs"/>
          <w:rtl/>
        </w:rPr>
        <w:t>ی</w:t>
      </w:r>
      <w:r w:rsidRPr="0025250D">
        <w:rPr>
          <w:rtl/>
        </w:rPr>
        <w:t xml:space="preserve">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مقدمات</w:t>
      </w:r>
      <w:r w:rsidRPr="0025250D">
        <w:rPr>
          <w:rFonts w:hint="cs"/>
          <w:rtl/>
        </w:rPr>
        <w:t>ی</w:t>
      </w:r>
      <w:r w:rsidRPr="0025250D">
        <w:rPr>
          <w:rtl/>
        </w:rPr>
        <w:t xml:space="preserve"> </w:t>
      </w:r>
      <w:r w:rsidRPr="0025250D">
        <w:rPr>
          <w:rFonts w:ascii="Times New Roman" w:hAnsi="Times New Roman" w:cs="Times New Roman" w:hint="cs"/>
          <w:rtl/>
        </w:rPr>
        <w:t>–</w:t>
      </w:r>
      <w:r w:rsidRPr="0025250D">
        <w:rPr>
          <w:rtl/>
        </w:rPr>
        <w:t xml:space="preserve"> </w:t>
      </w:r>
      <w:r w:rsidRPr="0025250D">
        <w:rPr>
          <w:rFonts w:hint="cs"/>
          <w:rtl/>
        </w:rPr>
        <w:t>فهرستی</w:t>
      </w:r>
      <w:r w:rsidRPr="0025250D">
        <w:rPr>
          <w:rtl/>
        </w:rPr>
        <w:t xml:space="preserve"> </w:t>
      </w:r>
      <w:r w:rsidRPr="0025250D">
        <w:rPr>
          <w:rFonts w:hint="cs"/>
          <w:rtl/>
        </w:rPr>
        <w:t>طولانی تر</w:t>
      </w:r>
    </w:p>
    <w:p w14:paraId="75543233" w14:textId="1F4FD6AE" w:rsidR="00537CC8" w:rsidRPr="0025250D" w:rsidRDefault="00537CC8" w:rsidP="00537CC8">
      <w:pPr>
        <w:rPr>
          <w:rtl/>
        </w:rPr>
      </w:pPr>
      <w:bookmarkStart w:id="90" w:name="_Hlk110787016"/>
    </w:p>
    <w:p w14:paraId="6DC37DC6" w14:textId="77777777" w:rsidR="00C0542C" w:rsidRPr="0025250D" w:rsidRDefault="00C0542C" w:rsidP="00492C47">
      <w:pPr>
        <w:numPr>
          <w:ilvl w:val="0"/>
          <w:numId w:val="75"/>
        </w:numPr>
        <w:rPr>
          <w:rtl/>
        </w:rPr>
      </w:pPr>
      <w:r w:rsidRPr="0025250D">
        <w:rPr>
          <w:rtl/>
        </w:rPr>
        <w:t>تار</w:t>
      </w:r>
      <w:r w:rsidRPr="0025250D">
        <w:rPr>
          <w:rFonts w:hint="cs"/>
          <w:rtl/>
        </w:rPr>
        <w:t>ی</w:t>
      </w:r>
      <w:r w:rsidRPr="0025250D">
        <w:rPr>
          <w:rFonts w:hint="eastAsia"/>
          <w:rtl/>
        </w:rPr>
        <w:t>خچه</w:t>
      </w:r>
      <w:r w:rsidRPr="0025250D">
        <w:rPr>
          <w:rtl/>
        </w:rPr>
        <w:t xml:space="preserve"> مختصر</w:t>
      </w:r>
      <w:r w:rsidRPr="0025250D">
        <w:rPr>
          <w:rFonts w:hint="cs"/>
          <w:rtl/>
        </w:rPr>
        <w:t>ی</w:t>
      </w:r>
      <w:r w:rsidRPr="0025250D">
        <w:rPr>
          <w:rtl/>
        </w:rPr>
        <w:t xml:space="preserve"> از آ</w:t>
      </w:r>
      <w:r w:rsidRPr="0025250D">
        <w:rPr>
          <w:rFonts w:hint="cs"/>
          <w:rtl/>
        </w:rPr>
        <w:t>ی</w:t>
      </w:r>
      <w:r w:rsidRPr="0025250D">
        <w:rPr>
          <w:rFonts w:hint="eastAsia"/>
          <w:rtl/>
        </w:rPr>
        <w:t>نده،</w:t>
      </w:r>
      <w:r w:rsidRPr="0025250D">
        <w:rPr>
          <w:rtl/>
        </w:rPr>
        <w:t xml:space="preserve"> اونا استراترن</w:t>
      </w:r>
      <w:r w:rsidRPr="0025250D">
        <w:rPr>
          <w:vertAlign w:val="superscript"/>
          <w:rtl/>
        </w:rPr>
        <w:footnoteReference w:id="3271"/>
      </w:r>
      <w:r w:rsidRPr="0025250D">
        <w:rPr>
          <w:rtl/>
        </w:rPr>
        <w:t>، 2007.</w:t>
      </w:r>
    </w:p>
    <w:p w14:paraId="7FBD1162" w14:textId="77777777" w:rsidR="00C0542C" w:rsidRPr="0025250D" w:rsidRDefault="00C0542C" w:rsidP="00492C47">
      <w:pPr>
        <w:numPr>
          <w:ilvl w:val="0"/>
          <w:numId w:val="75"/>
        </w:numPr>
        <w:rPr>
          <w:rtl/>
        </w:rPr>
      </w:pPr>
      <w:r w:rsidRPr="0025250D">
        <w:rPr>
          <w:rtl/>
        </w:rPr>
        <w:t>تار</w:t>
      </w:r>
      <w:r w:rsidRPr="0025250D">
        <w:rPr>
          <w:rFonts w:hint="cs"/>
          <w:rtl/>
        </w:rPr>
        <w:t>ی</w:t>
      </w:r>
      <w:r w:rsidRPr="0025250D">
        <w:rPr>
          <w:rFonts w:hint="eastAsia"/>
          <w:rtl/>
        </w:rPr>
        <w:t>خچه</w:t>
      </w:r>
      <w:r w:rsidRPr="0025250D">
        <w:rPr>
          <w:rtl/>
        </w:rPr>
        <w:t xml:space="preserve"> مختصر</w:t>
      </w:r>
      <w:r w:rsidRPr="0025250D">
        <w:rPr>
          <w:rFonts w:hint="cs"/>
          <w:rtl/>
        </w:rPr>
        <w:t>ی از</w:t>
      </w:r>
      <w:r w:rsidRPr="0025250D">
        <w:rPr>
          <w:rtl/>
        </w:rPr>
        <w:t xml:space="preserve"> فردا: گذشته و حال آ</w:t>
      </w:r>
      <w:r w:rsidRPr="0025250D">
        <w:rPr>
          <w:rFonts w:hint="cs"/>
          <w:rtl/>
        </w:rPr>
        <w:t>ی</w:t>
      </w:r>
      <w:r w:rsidRPr="0025250D">
        <w:rPr>
          <w:rFonts w:hint="eastAsia"/>
          <w:rtl/>
        </w:rPr>
        <w:t>نده،</w:t>
      </w:r>
      <w:r w:rsidRPr="0025250D">
        <w:rPr>
          <w:rtl/>
        </w:rPr>
        <w:t xml:space="preserve"> جان مارگول</w:t>
      </w:r>
      <w:r w:rsidRPr="0025250D">
        <w:rPr>
          <w:rFonts w:hint="cs"/>
          <w:rtl/>
        </w:rPr>
        <w:t>ی</w:t>
      </w:r>
      <w:r w:rsidRPr="0025250D">
        <w:rPr>
          <w:rFonts w:hint="eastAsia"/>
          <w:rtl/>
        </w:rPr>
        <w:t>س</w:t>
      </w:r>
      <w:r w:rsidRPr="0025250D">
        <w:rPr>
          <w:vertAlign w:val="superscript"/>
          <w:rtl/>
        </w:rPr>
        <w:footnoteReference w:id="3272"/>
      </w:r>
      <w:r w:rsidRPr="0025250D">
        <w:rPr>
          <w:rFonts w:hint="eastAsia"/>
          <w:rtl/>
        </w:rPr>
        <w:t>،</w:t>
      </w:r>
      <w:r w:rsidRPr="0025250D">
        <w:rPr>
          <w:rtl/>
        </w:rPr>
        <w:t xml:space="preserve"> 2000</w:t>
      </w:r>
    </w:p>
    <w:p w14:paraId="1350D191" w14:textId="77777777" w:rsidR="00C0542C" w:rsidRPr="0025250D" w:rsidRDefault="00C0542C" w:rsidP="00492C47">
      <w:pPr>
        <w:numPr>
          <w:ilvl w:val="0"/>
          <w:numId w:val="75"/>
        </w:numPr>
        <w:rPr>
          <w:rtl/>
        </w:rPr>
      </w:pPr>
      <w:r w:rsidRPr="0025250D">
        <w:rPr>
          <w:rtl/>
        </w:rPr>
        <w:t>آ</w:t>
      </w:r>
      <w:r w:rsidRPr="0025250D">
        <w:rPr>
          <w:rFonts w:hint="cs"/>
          <w:rtl/>
        </w:rPr>
        <w:t>ی</w:t>
      </w:r>
      <w:r w:rsidRPr="0025250D">
        <w:rPr>
          <w:rFonts w:hint="eastAsia"/>
          <w:rtl/>
        </w:rPr>
        <w:t>ا</w:t>
      </w:r>
      <w:r w:rsidRPr="0025250D">
        <w:rPr>
          <w:rtl/>
        </w:rPr>
        <w:t xml:space="preserve"> جهان می‌تواند اشتباه کند؟ افکار عموم</w:t>
      </w:r>
      <w:r w:rsidRPr="0025250D">
        <w:rPr>
          <w:rFonts w:hint="cs"/>
          <w:rtl/>
        </w:rPr>
        <w:t>ی</w:t>
      </w:r>
      <w:r w:rsidRPr="0025250D">
        <w:rPr>
          <w:rtl/>
        </w:rPr>
        <w:t xml:space="preserve"> جهان</w:t>
      </w:r>
      <w:r w:rsidRPr="0025250D">
        <w:rPr>
          <w:rFonts w:hint="cs"/>
          <w:rtl/>
        </w:rPr>
        <w:t>ی</w:t>
      </w:r>
      <w:r w:rsidRPr="0025250D">
        <w:rPr>
          <w:rtl/>
        </w:rPr>
        <w:t xml:space="preserve"> </w:t>
      </w:r>
      <w:r w:rsidRPr="0025250D">
        <w:rPr>
          <w:rFonts w:hint="cs"/>
          <w:rtl/>
        </w:rPr>
        <w:t>تصور می‌کند</w:t>
      </w:r>
      <w:r w:rsidRPr="0025250D">
        <w:rPr>
          <w:rtl/>
        </w:rPr>
        <w:t xml:space="preserve"> ما به </w:t>
      </w:r>
      <w:r w:rsidRPr="0025250D">
        <w:rPr>
          <w:rFonts w:hint="cs"/>
          <w:rtl/>
        </w:rPr>
        <w:t>کجا</w:t>
      </w:r>
      <w:r w:rsidRPr="0025250D">
        <w:rPr>
          <w:rtl/>
        </w:rPr>
        <w:t xml:space="preserve"> می‌رو</w:t>
      </w:r>
      <w:r w:rsidRPr="0025250D">
        <w:rPr>
          <w:rFonts w:hint="cs"/>
          <w:rtl/>
        </w:rPr>
        <w:t>ی</w:t>
      </w:r>
      <w:r w:rsidRPr="0025250D">
        <w:rPr>
          <w:rFonts w:hint="eastAsia"/>
          <w:rtl/>
        </w:rPr>
        <w:t>م،</w:t>
      </w:r>
      <w:r w:rsidRPr="0025250D">
        <w:rPr>
          <w:rtl/>
        </w:rPr>
        <w:t xml:space="preserve"> م</w:t>
      </w:r>
      <w:r w:rsidRPr="0025250D">
        <w:rPr>
          <w:rFonts w:hint="cs"/>
          <w:rtl/>
        </w:rPr>
        <w:t>ی</w:t>
      </w:r>
      <w:r w:rsidRPr="0025250D">
        <w:rPr>
          <w:rFonts w:hint="eastAsia"/>
          <w:rtl/>
        </w:rPr>
        <w:t>لر</w:t>
      </w:r>
      <w:r w:rsidRPr="0025250D">
        <w:rPr>
          <w:rtl/>
        </w:rPr>
        <w:t xml:space="preserve"> و الک</w:t>
      </w:r>
      <w:r w:rsidRPr="0025250D">
        <w:rPr>
          <w:rFonts w:hint="cs"/>
          <w:rtl/>
        </w:rPr>
        <w:t>ی</w:t>
      </w:r>
      <w:r w:rsidRPr="0025250D">
        <w:rPr>
          <w:rFonts w:hint="eastAsia"/>
          <w:rtl/>
        </w:rPr>
        <w:t>نگتون</w:t>
      </w:r>
      <w:r w:rsidRPr="0025250D">
        <w:rPr>
          <w:vertAlign w:val="superscript"/>
          <w:rtl/>
        </w:rPr>
        <w:footnoteReference w:id="3273"/>
      </w:r>
      <w:r w:rsidRPr="0025250D">
        <w:rPr>
          <w:rFonts w:hint="eastAsia"/>
          <w:rtl/>
        </w:rPr>
        <w:t>،</w:t>
      </w:r>
      <w:r w:rsidRPr="0025250D">
        <w:rPr>
          <w:rtl/>
        </w:rPr>
        <w:t xml:space="preserve"> 2015.</w:t>
      </w:r>
    </w:p>
    <w:p w14:paraId="1E846FFC" w14:textId="77777777" w:rsidR="00C0542C" w:rsidRPr="0025250D" w:rsidRDefault="00C0542C" w:rsidP="00492C47">
      <w:pPr>
        <w:numPr>
          <w:ilvl w:val="0"/>
          <w:numId w:val="75"/>
        </w:numPr>
        <w:rPr>
          <w:rtl/>
        </w:rPr>
      </w:pPr>
      <w:r w:rsidRPr="0025250D">
        <w:rPr>
          <w:rtl/>
        </w:rPr>
        <w:t>همگرا</w:t>
      </w:r>
      <w:r w:rsidRPr="0025250D">
        <w:rPr>
          <w:rFonts w:hint="cs"/>
          <w:rtl/>
        </w:rPr>
        <w:t>یی</w:t>
      </w:r>
      <w:r w:rsidRPr="0025250D">
        <w:rPr>
          <w:rtl/>
        </w:rPr>
        <w:t>: ا</w:t>
      </w:r>
      <w:r w:rsidRPr="0025250D">
        <w:rPr>
          <w:rFonts w:hint="cs"/>
          <w:rtl/>
        </w:rPr>
        <w:t>ی</w:t>
      </w:r>
      <w:r w:rsidRPr="0025250D">
        <w:rPr>
          <w:rFonts w:hint="eastAsia"/>
          <w:rtl/>
        </w:rPr>
        <w:t>ده</w:t>
      </w:r>
      <w:r w:rsidRPr="0025250D">
        <w:rPr>
          <w:rtl/>
        </w:rPr>
        <w:t xml:space="preserve"> در قلب علم</w:t>
      </w:r>
      <w:r w:rsidRPr="0025250D">
        <w:rPr>
          <w:vertAlign w:val="superscript"/>
          <w:rtl/>
        </w:rPr>
        <w:footnoteReference w:id="3274"/>
      </w:r>
      <w:r w:rsidRPr="0025250D">
        <w:rPr>
          <w:rtl/>
        </w:rPr>
        <w:t>، 2018.</w:t>
      </w:r>
    </w:p>
    <w:p w14:paraId="59C8D4E3" w14:textId="77777777" w:rsidR="00C0542C" w:rsidRPr="0025250D" w:rsidRDefault="00C0542C" w:rsidP="00492C47">
      <w:pPr>
        <w:numPr>
          <w:ilvl w:val="0"/>
          <w:numId w:val="75"/>
        </w:numPr>
        <w:rPr>
          <w:rtl/>
        </w:rPr>
      </w:pPr>
      <w:r w:rsidRPr="0025250D">
        <w:rPr>
          <w:rtl/>
        </w:rPr>
        <w:t>واقع</w:t>
      </w:r>
      <w:r w:rsidRPr="0025250D">
        <w:rPr>
          <w:rFonts w:hint="cs"/>
          <w:rtl/>
        </w:rPr>
        <w:t>ی</w:t>
      </w:r>
      <w:r w:rsidRPr="0025250D">
        <w:rPr>
          <w:rFonts w:hint="eastAsia"/>
          <w:rtl/>
        </w:rPr>
        <w:t>ت</w:t>
      </w:r>
      <w:r w:rsidRPr="0025250D">
        <w:rPr>
          <w:rtl/>
        </w:rPr>
        <w:t>: ده دل</w:t>
      </w:r>
      <w:r w:rsidRPr="0025250D">
        <w:rPr>
          <w:rFonts w:hint="cs"/>
          <w:rtl/>
        </w:rPr>
        <w:t>ی</w:t>
      </w:r>
      <w:r w:rsidRPr="0025250D">
        <w:rPr>
          <w:rFonts w:hint="eastAsia"/>
          <w:rtl/>
        </w:rPr>
        <w:t>ل</w:t>
      </w:r>
      <w:r w:rsidRPr="0025250D">
        <w:rPr>
          <w:rtl/>
        </w:rPr>
        <w:t xml:space="preserve"> برا</w:t>
      </w:r>
      <w:r w:rsidRPr="0025250D">
        <w:rPr>
          <w:rFonts w:hint="cs"/>
          <w:rtl/>
        </w:rPr>
        <w:t>ی</w:t>
      </w:r>
      <w:r w:rsidRPr="0025250D">
        <w:rPr>
          <w:rtl/>
        </w:rPr>
        <w:t xml:space="preserve"> ا</w:t>
      </w:r>
      <w:r w:rsidRPr="0025250D">
        <w:rPr>
          <w:rFonts w:hint="cs"/>
          <w:rtl/>
        </w:rPr>
        <w:t>ی</w:t>
      </w:r>
      <w:r w:rsidRPr="0025250D">
        <w:rPr>
          <w:rFonts w:hint="eastAsia"/>
          <w:rtl/>
        </w:rPr>
        <w:t>نکه</w:t>
      </w:r>
      <w:r w:rsidRPr="0025250D">
        <w:rPr>
          <w:rtl/>
        </w:rPr>
        <w:t xml:space="preserve"> دن</w:t>
      </w:r>
      <w:r w:rsidRPr="0025250D">
        <w:rPr>
          <w:rFonts w:hint="cs"/>
          <w:rtl/>
        </w:rPr>
        <w:t>ی</w:t>
      </w:r>
      <w:r w:rsidRPr="0025250D">
        <w:rPr>
          <w:rFonts w:hint="eastAsia"/>
          <w:rtl/>
        </w:rPr>
        <w:t>ا</w:t>
      </w:r>
      <w:r w:rsidRPr="0025250D">
        <w:rPr>
          <w:rtl/>
        </w:rPr>
        <w:t xml:space="preserve"> بهتر از آن چ</w:t>
      </w:r>
      <w:r w:rsidRPr="0025250D">
        <w:rPr>
          <w:rFonts w:hint="cs"/>
          <w:rtl/>
        </w:rPr>
        <w:t>ی</w:t>
      </w:r>
      <w:r w:rsidRPr="0025250D">
        <w:rPr>
          <w:rFonts w:hint="eastAsia"/>
          <w:rtl/>
        </w:rPr>
        <w:t>ز</w:t>
      </w:r>
      <w:r w:rsidRPr="0025250D">
        <w:rPr>
          <w:rFonts w:hint="cs"/>
          <w:rtl/>
        </w:rPr>
        <w:t>ی</w:t>
      </w:r>
      <w:r w:rsidRPr="0025250D">
        <w:rPr>
          <w:rtl/>
        </w:rPr>
        <w:t xml:space="preserve"> است که شما فکر می‌کن</w:t>
      </w:r>
      <w:r w:rsidRPr="0025250D">
        <w:rPr>
          <w:rFonts w:hint="cs"/>
          <w:rtl/>
        </w:rPr>
        <w:t>ی</w:t>
      </w:r>
      <w:r w:rsidRPr="0025250D">
        <w:rPr>
          <w:rFonts w:hint="eastAsia"/>
          <w:rtl/>
        </w:rPr>
        <w:t>د،</w:t>
      </w:r>
      <w:r w:rsidRPr="0025250D">
        <w:rPr>
          <w:rtl/>
        </w:rPr>
        <w:t xml:space="preserve"> هانس روسل</w:t>
      </w:r>
      <w:r w:rsidRPr="0025250D">
        <w:rPr>
          <w:rFonts w:hint="cs"/>
          <w:rtl/>
        </w:rPr>
        <w:t>ی</w:t>
      </w:r>
      <w:r w:rsidRPr="0025250D">
        <w:rPr>
          <w:rFonts w:hint="eastAsia"/>
          <w:rtl/>
        </w:rPr>
        <w:t>نگ</w:t>
      </w:r>
      <w:r w:rsidRPr="0025250D">
        <w:rPr>
          <w:vertAlign w:val="superscript"/>
          <w:rtl/>
        </w:rPr>
        <w:footnoteReference w:id="3275"/>
      </w:r>
      <w:r w:rsidRPr="0025250D">
        <w:rPr>
          <w:rFonts w:hint="eastAsia"/>
          <w:rtl/>
        </w:rPr>
        <w:t>،</w:t>
      </w:r>
      <w:r w:rsidRPr="0025250D">
        <w:rPr>
          <w:rtl/>
        </w:rPr>
        <w:t xml:space="preserve"> 2018</w:t>
      </w:r>
    </w:p>
    <w:p w14:paraId="089BE71A" w14:textId="77777777" w:rsidR="00C0542C" w:rsidRPr="0025250D" w:rsidRDefault="00C0542C" w:rsidP="00492C47">
      <w:pPr>
        <w:numPr>
          <w:ilvl w:val="0"/>
          <w:numId w:val="75"/>
        </w:numPr>
        <w:rPr>
          <w:rtl/>
        </w:rPr>
      </w:pPr>
      <w:r w:rsidRPr="0025250D">
        <w:rPr>
          <w:rtl/>
        </w:rPr>
        <w:t>آ</w:t>
      </w:r>
      <w:r w:rsidRPr="0025250D">
        <w:rPr>
          <w:rFonts w:hint="cs"/>
          <w:rtl/>
        </w:rPr>
        <w:t>ی</w:t>
      </w:r>
      <w:r w:rsidRPr="0025250D">
        <w:rPr>
          <w:rFonts w:hint="eastAsia"/>
          <w:rtl/>
        </w:rPr>
        <w:t>نده‌نگار</w:t>
      </w:r>
      <w:r w:rsidRPr="0025250D">
        <w:rPr>
          <w:rFonts w:hint="cs"/>
          <w:rtl/>
        </w:rPr>
        <w:t>ی</w:t>
      </w:r>
      <w:r w:rsidRPr="0025250D">
        <w:rPr>
          <w:rtl/>
        </w:rPr>
        <w:t xml:space="preserve"> فلش، دان</w:t>
      </w:r>
      <w:r w:rsidRPr="0025250D">
        <w:rPr>
          <w:rFonts w:hint="cs"/>
          <w:rtl/>
        </w:rPr>
        <w:t>ی</w:t>
      </w:r>
      <w:r w:rsidRPr="0025250D">
        <w:rPr>
          <w:rFonts w:hint="eastAsia"/>
          <w:rtl/>
        </w:rPr>
        <w:t>ل</w:t>
      </w:r>
      <w:r w:rsidRPr="0025250D">
        <w:rPr>
          <w:rtl/>
        </w:rPr>
        <w:t xml:space="preserve"> بوروس</w:t>
      </w:r>
      <w:r w:rsidRPr="0025250D">
        <w:rPr>
          <w:vertAlign w:val="superscript"/>
          <w:rtl/>
        </w:rPr>
        <w:footnoteReference w:id="3276"/>
      </w:r>
      <w:r w:rsidRPr="0025250D">
        <w:rPr>
          <w:rtl/>
        </w:rPr>
        <w:t>، 2011</w:t>
      </w:r>
    </w:p>
    <w:p w14:paraId="5FFD93BB" w14:textId="0D7E65EF" w:rsidR="00C0542C" w:rsidRPr="0025250D" w:rsidRDefault="00C0542C" w:rsidP="00492C47">
      <w:pPr>
        <w:numPr>
          <w:ilvl w:val="0"/>
          <w:numId w:val="75"/>
        </w:numPr>
        <w:rPr>
          <w:rtl/>
        </w:rPr>
      </w:pPr>
      <w:r w:rsidRPr="0025250D">
        <w:rPr>
          <w:rFonts w:hint="cs"/>
          <w:rtl/>
        </w:rPr>
        <w:t>باهوش آینده: کیفیت در آینده، آدام گوردون</w:t>
      </w:r>
      <w:r w:rsidRPr="0025250D">
        <w:rPr>
          <w:vertAlign w:val="superscript"/>
          <w:rtl/>
        </w:rPr>
        <w:footnoteReference w:id="3277"/>
      </w:r>
      <w:r w:rsidRPr="0025250D">
        <w:rPr>
          <w:rFonts w:hint="cs"/>
          <w:rtl/>
        </w:rPr>
        <w:t>، 2008</w:t>
      </w:r>
    </w:p>
    <w:p w14:paraId="1E194B1F" w14:textId="77777777" w:rsidR="00C0542C" w:rsidRPr="0025250D" w:rsidRDefault="00C0542C" w:rsidP="00492C47">
      <w:pPr>
        <w:numPr>
          <w:ilvl w:val="0"/>
          <w:numId w:val="75"/>
        </w:numPr>
        <w:rPr>
          <w:rtl/>
        </w:rPr>
      </w:pPr>
      <w:r w:rsidRPr="0025250D">
        <w:rPr>
          <w:rtl/>
        </w:rPr>
        <w:t>آ</w:t>
      </w:r>
      <w:r w:rsidRPr="0025250D">
        <w:rPr>
          <w:rFonts w:hint="cs"/>
          <w:rtl/>
        </w:rPr>
        <w:t>ی</w:t>
      </w:r>
      <w:r w:rsidRPr="0025250D">
        <w:rPr>
          <w:rFonts w:hint="eastAsia"/>
          <w:rtl/>
        </w:rPr>
        <w:t>نده</w:t>
      </w:r>
      <w:r w:rsidRPr="0025250D">
        <w:rPr>
          <w:rtl/>
        </w:rPr>
        <w:t>: کاوش در آ</w:t>
      </w:r>
      <w:r w:rsidRPr="0025250D">
        <w:rPr>
          <w:rFonts w:hint="cs"/>
          <w:rtl/>
        </w:rPr>
        <w:t>ی</w:t>
      </w:r>
      <w:r w:rsidRPr="0025250D">
        <w:rPr>
          <w:rFonts w:hint="eastAsia"/>
          <w:rtl/>
        </w:rPr>
        <w:t>نده،</w:t>
      </w:r>
      <w:r w:rsidRPr="0025250D">
        <w:rPr>
          <w:rtl/>
        </w:rPr>
        <w:t xml:space="preserve"> اد کورن</w:t>
      </w:r>
      <w:r w:rsidRPr="0025250D">
        <w:rPr>
          <w:rFonts w:hint="cs"/>
          <w:rtl/>
        </w:rPr>
        <w:t>ی</w:t>
      </w:r>
      <w:r w:rsidRPr="0025250D">
        <w:rPr>
          <w:rFonts w:hint="eastAsia"/>
          <w:rtl/>
        </w:rPr>
        <w:t>ش</w:t>
      </w:r>
      <w:r w:rsidRPr="0025250D">
        <w:rPr>
          <w:vertAlign w:val="superscript"/>
          <w:rtl/>
        </w:rPr>
        <w:footnoteReference w:id="3278"/>
      </w:r>
      <w:r w:rsidRPr="0025250D">
        <w:rPr>
          <w:rFonts w:hint="eastAsia"/>
          <w:rtl/>
        </w:rPr>
        <w:t>،</w:t>
      </w:r>
      <w:r w:rsidRPr="0025250D">
        <w:rPr>
          <w:rtl/>
        </w:rPr>
        <w:t xml:space="preserve"> 2005</w:t>
      </w:r>
    </w:p>
    <w:p w14:paraId="4B63A41A" w14:textId="77777777" w:rsidR="00C0542C" w:rsidRPr="0025250D" w:rsidRDefault="00C0542C" w:rsidP="00492C47">
      <w:pPr>
        <w:numPr>
          <w:ilvl w:val="0"/>
          <w:numId w:val="75"/>
        </w:numPr>
        <w:rPr>
          <w:rtl/>
        </w:rPr>
      </w:pPr>
      <w:r w:rsidRPr="0025250D">
        <w:rPr>
          <w:rtl/>
        </w:rPr>
        <w:t>چگونه به آ</w:t>
      </w:r>
      <w:r w:rsidRPr="0025250D">
        <w:rPr>
          <w:rFonts w:hint="cs"/>
          <w:rtl/>
        </w:rPr>
        <w:t>ی</w:t>
      </w:r>
      <w:r w:rsidRPr="0025250D">
        <w:rPr>
          <w:rFonts w:hint="eastAsia"/>
          <w:rtl/>
        </w:rPr>
        <w:t>نده</w:t>
      </w:r>
      <w:r w:rsidRPr="0025250D">
        <w:rPr>
          <w:rFonts w:hint="cs"/>
          <w:rtl/>
        </w:rPr>
        <w:t xml:space="preserve"> برسیم</w:t>
      </w:r>
      <w:r w:rsidRPr="0025250D">
        <w:rPr>
          <w:rtl/>
        </w:rPr>
        <w:t xml:space="preserve">: </w:t>
      </w:r>
      <w:r w:rsidRPr="0025250D">
        <w:rPr>
          <w:rFonts w:hint="cs"/>
          <w:rtl/>
        </w:rPr>
        <w:t>رهبری</w:t>
      </w:r>
      <w:r w:rsidRPr="0025250D">
        <w:rPr>
          <w:rtl/>
        </w:rPr>
        <w:t xml:space="preserve"> و معنا</w:t>
      </w:r>
      <w:r w:rsidRPr="0025250D">
        <w:rPr>
          <w:rFonts w:hint="cs"/>
          <w:rtl/>
        </w:rPr>
        <w:t>سازی</w:t>
      </w:r>
      <w:r w:rsidRPr="0025250D">
        <w:rPr>
          <w:rtl/>
        </w:rPr>
        <w:t xml:space="preserve"> در عصر تغ</w:t>
      </w:r>
      <w:r w:rsidRPr="0025250D">
        <w:rPr>
          <w:rFonts w:hint="cs"/>
          <w:rtl/>
        </w:rPr>
        <w:t>یی</w:t>
      </w:r>
      <w:r w:rsidRPr="0025250D">
        <w:rPr>
          <w:rFonts w:hint="eastAsia"/>
          <w:rtl/>
        </w:rPr>
        <w:t>ر</w:t>
      </w:r>
      <w:r w:rsidRPr="0025250D">
        <w:rPr>
          <w:rtl/>
        </w:rPr>
        <w:t xml:space="preserve"> ب</w:t>
      </w:r>
      <w:r w:rsidRPr="0025250D">
        <w:rPr>
          <w:rFonts w:hint="cs"/>
          <w:rtl/>
        </w:rPr>
        <w:t>ی</w:t>
      </w:r>
      <w:r w:rsidRPr="0025250D">
        <w:rPr>
          <w:rFonts w:hint="eastAsia"/>
          <w:rtl/>
        </w:rPr>
        <w:t>ش</w:t>
      </w:r>
      <w:r w:rsidRPr="0025250D">
        <w:rPr>
          <w:rtl/>
        </w:rPr>
        <w:t xml:space="preserve"> از حد، اشب</w:t>
      </w:r>
      <w:r w:rsidRPr="0025250D">
        <w:rPr>
          <w:rFonts w:hint="cs"/>
          <w:rtl/>
        </w:rPr>
        <w:t>ی</w:t>
      </w:r>
      <w:r w:rsidRPr="0025250D">
        <w:rPr>
          <w:rtl/>
        </w:rPr>
        <w:t xml:space="preserve"> و اسم</w:t>
      </w:r>
      <w:r w:rsidRPr="0025250D">
        <w:rPr>
          <w:rFonts w:hint="cs"/>
          <w:rtl/>
        </w:rPr>
        <w:t>ی</w:t>
      </w:r>
      <w:r w:rsidRPr="0025250D">
        <w:rPr>
          <w:rFonts w:hint="eastAsia"/>
          <w:rtl/>
        </w:rPr>
        <w:t>ت</w:t>
      </w:r>
      <w:r w:rsidRPr="0025250D">
        <w:rPr>
          <w:vertAlign w:val="superscript"/>
          <w:rtl/>
        </w:rPr>
        <w:footnoteReference w:id="3279"/>
      </w:r>
      <w:r w:rsidRPr="0025250D">
        <w:rPr>
          <w:rFonts w:hint="eastAsia"/>
          <w:rtl/>
        </w:rPr>
        <w:t>،</w:t>
      </w:r>
      <w:r w:rsidRPr="0025250D">
        <w:rPr>
          <w:rtl/>
        </w:rPr>
        <w:t xml:space="preserve"> 2020</w:t>
      </w:r>
    </w:p>
    <w:p w14:paraId="489B49FE" w14:textId="71639281" w:rsidR="00C0542C" w:rsidRPr="0025250D" w:rsidRDefault="00C0542C" w:rsidP="00492C47">
      <w:pPr>
        <w:numPr>
          <w:ilvl w:val="0"/>
          <w:numId w:val="75"/>
        </w:numPr>
        <w:rPr>
          <w:rtl/>
        </w:rPr>
      </w:pPr>
      <w:r w:rsidRPr="0025250D">
        <w:rPr>
          <w:rtl/>
        </w:rPr>
        <w:t>دانستن آ</w:t>
      </w:r>
      <w:r w:rsidRPr="0025250D">
        <w:rPr>
          <w:rFonts w:hint="cs"/>
          <w:rtl/>
        </w:rPr>
        <w:t>ی</w:t>
      </w:r>
      <w:r w:rsidRPr="0025250D">
        <w:rPr>
          <w:rFonts w:hint="eastAsia"/>
          <w:rtl/>
        </w:rPr>
        <w:t>نده</w:t>
      </w:r>
      <w:r w:rsidRPr="0025250D">
        <w:rPr>
          <w:rtl/>
        </w:rPr>
        <w:t xml:space="preserve"> ما: مورد شگفت انگ</w:t>
      </w:r>
      <w:r w:rsidRPr="0025250D">
        <w:rPr>
          <w:rFonts w:hint="cs"/>
          <w:rtl/>
        </w:rPr>
        <w:t>ی</w:t>
      </w:r>
      <w:r w:rsidRPr="0025250D">
        <w:rPr>
          <w:rFonts w:hint="eastAsia"/>
          <w:rtl/>
        </w:rPr>
        <w:t>ز</w:t>
      </w:r>
      <w:r w:rsidRPr="0025250D">
        <w:rPr>
          <w:rtl/>
        </w:rPr>
        <w:t xml:space="preserve"> برا</w:t>
      </w:r>
      <w:r w:rsidRPr="0025250D">
        <w:rPr>
          <w:rFonts w:hint="cs"/>
          <w:rtl/>
        </w:rPr>
        <w:t>ی</w:t>
      </w:r>
      <w:r w:rsidRPr="0025250D">
        <w:rPr>
          <w:rtl/>
        </w:rPr>
        <w:t xml:space="preserve"> </w:t>
      </w:r>
      <w:r w:rsidR="00D92F6E" w:rsidRPr="0025250D">
        <w:rPr>
          <w:rtl/>
        </w:rPr>
        <w:t>آینده‌پژوه</w:t>
      </w:r>
      <w:r w:rsidRPr="0025250D">
        <w:rPr>
          <w:rFonts w:hint="cs"/>
          <w:rtl/>
        </w:rPr>
        <w:t>ی</w:t>
      </w:r>
      <w:r w:rsidRPr="0025250D">
        <w:rPr>
          <w:rFonts w:hint="eastAsia"/>
          <w:rtl/>
        </w:rPr>
        <w:t>،</w:t>
      </w:r>
      <w:r w:rsidRPr="0025250D">
        <w:rPr>
          <w:rtl/>
        </w:rPr>
        <w:t xml:space="preserve"> ما</w:t>
      </w:r>
      <w:r w:rsidRPr="0025250D">
        <w:rPr>
          <w:rFonts w:hint="cs"/>
          <w:rtl/>
        </w:rPr>
        <w:t>ی</w:t>
      </w:r>
      <w:r w:rsidRPr="0025250D">
        <w:rPr>
          <w:rFonts w:hint="eastAsia"/>
          <w:rtl/>
        </w:rPr>
        <w:t>کل</w:t>
      </w:r>
      <w:r w:rsidRPr="0025250D">
        <w:rPr>
          <w:rtl/>
        </w:rPr>
        <w:t xml:space="preserve"> ل</w:t>
      </w:r>
      <w:r w:rsidRPr="0025250D">
        <w:rPr>
          <w:rFonts w:hint="cs"/>
          <w:rtl/>
        </w:rPr>
        <w:t>ی</w:t>
      </w:r>
      <w:r w:rsidRPr="0025250D">
        <w:rPr>
          <w:vertAlign w:val="superscript"/>
          <w:rtl/>
        </w:rPr>
        <w:footnoteReference w:id="3280"/>
      </w:r>
      <w:r w:rsidRPr="0025250D">
        <w:rPr>
          <w:rFonts w:hint="eastAsia"/>
          <w:rtl/>
        </w:rPr>
        <w:t>،</w:t>
      </w:r>
      <w:r w:rsidRPr="0025250D">
        <w:rPr>
          <w:rtl/>
        </w:rPr>
        <w:t xml:space="preserve"> 2012</w:t>
      </w:r>
    </w:p>
    <w:p w14:paraId="0872793B" w14:textId="77777777" w:rsidR="00C0542C" w:rsidRPr="0025250D" w:rsidRDefault="00C0542C" w:rsidP="00492C47">
      <w:pPr>
        <w:numPr>
          <w:ilvl w:val="0"/>
          <w:numId w:val="75"/>
        </w:numPr>
        <w:rPr>
          <w:rtl/>
        </w:rPr>
      </w:pPr>
      <w:r w:rsidRPr="0025250D">
        <w:rPr>
          <w:rFonts w:hint="cs"/>
          <w:rtl/>
        </w:rPr>
        <w:t>ی</w:t>
      </w:r>
      <w:r w:rsidRPr="0025250D">
        <w:rPr>
          <w:rFonts w:hint="eastAsia"/>
          <w:rtl/>
        </w:rPr>
        <w:t>ادگ</w:t>
      </w:r>
      <w:r w:rsidRPr="0025250D">
        <w:rPr>
          <w:rFonts w:hint="cs"/>
          <w:rtl/>
        </w:rPr>
        <w:t>ی</w:t>
      </w:r>
      <w:r w:rsidRPr="0025250D">
        <w:rPr>
          <w:rFonts w:hint="eastAsia"/>
          <w:rtl/>
        </w:rPr>
        <w:t>ر</w:t>
      </w:r>
      <w:r w:rsidRPr="0025250D">
        <w:rPr>
          <w:rFonts w:hint="cs"/>
          <w:rtl/>
        </w:rPr>
        <w:t>ی</w:t>
      </w:r>
      <w:r w:rsidRPr="0025250D">
        <w:rPr>
          <w:rtl/>
        </w:rPr>
        <w:t xml:space="preserve"> طولان</w:t>
      </w:r>
      <w:r w:rsidRPr="0025250D">
        <w:rPr>
          <w:rFonts w:hint="cs"/>
          <w:rtl/>
        </w:rPr>
        <w:t>ی</w:t>
      </w:r>
      <w:r w:rsidRPr="0025250D">
        <w:rPr>
          <w:rtl/>
        </w:rPr>
        <w:t xml:space="preserve"> مدت: آماده شدن برا</w:t>
      </w:r>
      <w:r w:rsidRPr="0025250D">
        <w:rPr>
          <w:rFonts w:hint="cs"/>
          <w:rtl/>
        </w:rPr>
        <w:t>ی</w:t>
      </w:r>
      <w:r w:rsidRPr="0025250D">
        <w:rPr>
          <w:rtl/>
        </w:rPr>
        <w:t xml:space="preserve"> مشاغل</w:t>
      </w:r>
      <w:r w:rsidRPr="0025250D">
        <w:rPr>
          <w:rFonts w:hint="cs"/>
          <w:rtl/>
        </w:rPr>
        <w:t>ی</w:t>
      </w:r>
      <w:r w:rsidRPr="0025250D">
        <w:rPr>
          <w:rtl/>
        </w:rPr>
        <w:t xml:space="preserve"> که هنوز وجود ندارند، م</w:t>
      </w:r>
      <w:r w:rsidRPr="0025250D">
        <w:rPr>
          <w:rFonts w:hint="cs"/>
          <w:rtl/>
        </w:rPr>
        <w:t>ی</w:t>
      </w:r>
      <w:r w:rsidRPr="0025250D">
        <w:rPr>
          <w:rFonts w:hint="eastAsia"/>
          <w:rtl/>
        </w:rPr>
        <w:t>شل</w:t>
      </w:r>
      <w:r w:rsidRPr="0025250D">
        <w:rPr>
          <w:rtl/>
        </w:rPr>
        <w:t xml:space="preserve"> وا</w:t>
      </w:r>
      <w:r w:rsidRPr="0025250D">
        <w:rPr>
          <w:rFonts w:hint="cs"/>
          <w:rtl/>
        </w:rPr>
        <w:t>ی</w:t>
      </w:r>
      <w:r w:rsidRPr="0025250D">
        <w:rPr>
          <w:rFonts w:hint="eastAsia"/>
          <w:rtl/>
        </w:rPr>
        <w:t>س</w:t>
      </w:r>
      <w:r w:rsidRPr="0025250D">
        <w:rPr>
          <w:vertAlign w:val="superscript"/>
          <w:rtl/>
        </w:rPr>
        <w:footnoteReference w:id="3281"/>
      </w:r>
      <w:r w:rsidRPr="0025250D">
        <w:rPr>
          <w:rFonts w:hint="eastAsia"/>
          <w:rtl/>
        </w:rPr>
        <w:t>،</w:t>
      </w:r>
      <w:r w:rsidRPr="0025250D">
        <w:rPr>
          <w:rtl/>
        </w:rPr>
        <w:t xml:space="preserve"> 2020</w:t>
      </w:r>
    </w:p>
    <w:p w14:paraId="2AA18BC0" w14:textId="77777777" w:rsidR="00C0542C" w:rsidRPr="0025250D" w:rsidRDefault="00C0542C" w:rsidP="00492C47">
      <w:pPr>
        <w:numPr>
          <w:ilvl w:val="0"/>
          <w:numId w:val="75"/>
        </w:numPr>
        <w:rPr>
          <w:rtl/>
        </w:rPr>
      </w:pPr>
      <w:r w:rsidRPr="0025250D">
        <w:rPr>
          <w:rtl/>
        </w:rPr>
        <w:t>2017 غ</w:t>
      </w:r>
      <w:r w:rsidRPr="0025250D">
        <w:rPr>
          <w:rFonts w:hint="cs"/>
          <w:rtl/>
        </w:rPr>
        <w:t>ی</w:t>
      </w:r>
      <w:r w:rsidRPr="0025250D">
        <w:rPr>
          <w:rFonts w:hint="eastAsia"/>
          <w:rtl/>
        </w:rPr>
        <w:t>ر</w:t>
      </w:r>
      <w:r w:rsidRPr="0025250D">
        <w:rPr>
          <w:rtl/>
        </w:rPr>
        <w:t xml:space="preserve"> آشکار: متفاوت ب</w:t>
      </w:r>
      <w:r w:rsidRPr="0025250D">
        <w:rPr>
          <w:rFonts w:hint="cs"/>
          <w:rtl/>
        </w:rPr>
        <w:t>ی</w:t>
      </w:r>
      <w:r w:rsidRPr="0025250D">
        <w:rPr>
          <w:rFonts w:hint="eastAsia"/>
          <w:rtl/>
        </w:rPr>
        <w:t>ند</w:t>
      </w:r>
      <w:r w:rsidRPr="0025250D">
        <w:rPr>
          <w:rFonts w:hint="cs"/>
          <w:rtl/>
        </w:rPr>
        <w:t>ی</w:t>
      </w:r>
      <w:r w:rsidRPr="0025250D">
        <w:rPr>
          <w:rFonts w:hint="eastAsia"/>
          <w:rtl/>
        </w:rPr>
        <w:t>ش</w:t>
      </w:r>
      <w:r w:rsidRPr="0025250D">
        <w:rPr>
          <w:rFonts w:hint="cs"/>
          <w:rtl/>
        </w:rPr>
        <w:t>ی</w:t>
      </w:r>
      <w:r w:rsidRPr="0025250D">
        <w:rPr>
          <w:rFonts w:hint="eastAsia"/>
          <w:rtl/>
        </w:rPr>
        <w:t>د،</w:t>
      </w:r>
      <w:r w:rsidRPr="0025250D">
        <w:rPr>
          <w:rtl/>
        </w:rPr>
        <w:t xml:space="preserve"> ا</w:t>
      </w:r>
      <w:r w:rsidRPr="0025250D">
        <w:rPr>
          <w:rFonts w:hint="cs"/>
          <w:rtl/>
        </w:rPr>
        <w:t>ی</w:t>
      </w:r>
      <w:r w:rsidRPr="0025250D">
        <w:rPr>
          <w:rFonts w:hint="eastAsia"/>
          <w:rtl/>
        </w:rPr>
        <w:t>ده‌ها</w:t>
      </w:r>
      <w:r w:rsidRPr="0025250D">
        <w:rPr>
          <w:rtl/>
        </w:rPr>
        <w:t xml:space="preserve"> را انتخاب کن</w:t>
      </w:r>
      <w:r w:rsidRPr="0025250D">
        <w:rPr>
          <w:rFonts w:hint="cs"/>
          <w:rtl/>
        </w:rPr>
        <w:t>ی</w:t>
      </w:r>
      <w:r w:rsidRPr="0025250D">
        <w:rPr>
          <w:rFonts w:hint="eastAsia"/>
          <w:rtl/>
        </w:rPr>
        <w:t>د،</w:t>
      </w:r>
      <w:r w:rsidRPr="0025250D">
        <w:rPr>
          <w:rtl/>
        </w:rPr>
        <w:t xml:space="preserve"> آ</w:t>
      </w:r>
      <w:r w:rsidRPr="0025250D">
        <w:rPr>
          <w:rFonts w:hint="cs"/>
          <w:rtl/>
        </w:rPr>
        <w:t>ی</w:t>
      </w:r>
      <w:r w:rsidRPr="0025250D">
        <w:rPr>
          <w:rFonts w:hint="eastAsia"/>
          <w:rtl/>
        </w:rPr>
        <w:t>نده</w:t>
      </w:r>
      <w:r w:rsidRPr="0025250D">
        <w:rPr>
          <w:rtl/>
        </w:rPr>
        <w:t xml:space="preserve"> را پ</w:t>
      </w:r>
      <w:r w:rsidRPr="0025250D">
        <w:rPr>
          <w:rFonts w:hint="cs"/>
          <w:rtl/>
        </w:rPr>
        <w:t>ی</w:t>
      </w:r>
      <w:r w:rsidRPr="0025250D">
        <w:rPr>
          <w:rFonts w:hint="eastAsia"/>
          <w:rtl/>
        </w:rPr>
        <w:t>ش‌ب</w:t>
      </w:r>
      <w:r w:rsidRPr="0025250D">
        <w:rPr>
          <w:rFonts w:hint="cs"/>
          <w:rtl/>
        </w:rPr>
        <w:t>ی</w:t>
      </w:r>
      <w:r w:rsidRPr="0025250D">
        <w:rPr>
          <w:rFonts w:hint="eastAsia"/>
          <w:rtl/>
        </w:rPr>
        <w:t>ن</w:t>
      </w:r>
      <w:r w:rsidRPr="0025250D">
        <w:rPr>
          <w:rFonts w:hint="cs"/>
          <w:rtl/>
        </w:rPr>
        <w:t>ی</w:t>
      </w:r>
      <w:r w:rsidRPr="0025250D">
        <w:rPr>
          <w:rtl/>
        </w:rPr>
        <w:t xml:space="preserve"> کن</w:t>
      </w:r>
      <w:r w:rsidRPr="0025250D">
        <w:rPr>
          <w:rFonts w:hint="cs"/>
          <w:rtl/>
        </w:rPr>
        <w:t>ی</w:t>
      </w:r>
      <w:r w:rsidRPr="0025250D">
        <w:rPr>
          <w:rFonts w:hint="eastAsia"/>
          <w:rtl/>
        </w:rPr>
        <w:t>د،</w:t>
      </w:r>
      <w:r w:rsidRPr="0025250D">
        <w:rPr>
          <w:rtl/>
        </w:rPr>
        <w:t xml:space="preserve"> روه</w:t>
      </w:r>
      <w:r w:rsidRPr="0025250D">
        <w:rPr>
          <w:rFonts w:hint="cs"/>
          <w:rtl/>
        </w:rPr>
        <w:t>ی</w:t>
      </w:r>
      <w:r w:rsidRPr="0025250D">
        <w:rPr>
          <w:rFonts w:hint="eastAsia"/>
          <w:rtl/>
        </w:rPr>
        <w:t>ت</w:t>
      </w:r>
      <w:r w:rsidRPr="0025250D">
        <w:rPr>
          <w:rtl/>
        </w:rPr>
        <w:t xml:space="preserve"> بهارگاوا</w:t>
      </w:r>
      <w:r w:rsidRPr="0025250D">
        <w:rPr>
          <w:vertAlign w:val="superscript"/>
          <w:rtl/>
        </w:rPr>
        <w:footnoteReference w:id="3282"/>
      </w:r>
      <w:r w:rsidRPr="0025250D">
        <w:rPr>
          <w:rtl/>
        </w:rPr>
        <w:t>، 2017</w:t>
      </w:r>
    </w:p>
    <w:p w14:paraId="127B0AE3" w14:textId="19477B45" w:rsidR="00C0542C" w:rsidRPr="0025250D" w:rsidRDefault="00C0542C" w:rsidP="00492C47">
      <w:pPr>
        <w:numPr>
          <w:ilvl w:val="0"/>
          <w:numId w:val="75"/>
        </w:numPr>
        <w:rPr>
          <w:rtl/>
        </w:rPr>
      </w:pPr>
      <w:r w:rsidRPr="0025250D">
        <w:rPr>
          <w:rtl/>
        </w:rPr>
        <w:t xml:space="preserve">آینده‌نگاری </w:t>
      </w:r>
      <w:r w:rsidR="00701E03" w:rsidRPr="0025250D">
        <w:rPr>
          <w:rtl/>
        </w:rPr>
        <w:t>راهبردی</w:t>
      </w:r>
      <w:r w:rsidRPr="0025250D">
        <w:rPr>
          <w:rtl/>
        </w:rPr>
        <w:t xml:space="preserve">: </w:t>
      </w:r>
      <w:r w:rsidRPr="0025250D">
        <w:rPr>
          <w:rFonts w:hint="cs"/>
          <w:rtl/>
        </w:rPr>
        <w:t>ی</w:t>
      </w:r>
      <w:r w:rsidRPr="0025250D">
        <w:rPr>
          <w:rFonts w:hint="eastAsia"/>
          <w:rtl/>
        </w:rPr>
        <w:t>ادگ</w:t>
      </w:r>
      <w:r w:rsidRPr="0025250D">
        <w:rPr>
          <w:rFonts w:hint="cs"/>
          <w:rtl/>
        </w:rPr>
        <w:t>ی</w:t>
      </w:r>
      <w:r w:rsidRPr="0025250D">
        <w:rPr>
          <w:rFonts w:hint="eastAsia"/>
          <w:rtl/>
        </w:rPr>
        <w:t>ر</w:t>
      </w:r>
      <w:r w:rsidRPr="0025250D">
        <w:rPr>
          <w:rFonts w:hint="cs"/>
          <w:rtl/>
        </w:rPr>
        <w:t>ی</w:t>
      </w:r>
      <w:r w:rsidRPr="0025250D">
        <w:rPr>
          <w:rtl/>
        </w:rPr>
        <w:t xml:space="preserve"> از آ</w:t>
      </w:r>
      <w:r w:rsidRPr="0025250D">
        <w:rPr>
          <w:rFonts w:hint="cs"/>
          <w:rtl/>
        </w:rPr>
        <w:t>ی</w:t>
      </w:r>
      <w:r w:rsidRPr="0025250D">
        <w:rPr>
          <w:rFonts w:hint="eastAsia"/>
          <w:rtl/>
        </w:rPr>
        <w:t>نده،</w:t>
      </w:r>
      <w:r w:rsidRPr="0025250D">
        <w:rPr>
          <w:rtl/>
        </w:rPr>
        <w:t xml:space="preserve"> پاتر</w:t>
      </w:r>
      <w:r w:rsidRPr="0025250D">
        <w:rPr>
          <w:rFonts w:hint="cs"/>
          <w:rtl/>
        </w:rPr>
        <w:t>ی</w:t>
      </w:r>
      <w:r w:rsidRPr="0025250D">
        <w:rPr>
          <w:rFonts w:hint="eastAsia"/>
          <w:rtl/>
        </w:rPr>
        <w:t>ش</w:t>
      </w:r>
      <w:r w:rsidRPr="0025250D">
        <w:rPr>
          <w:rFonts w:hint="cs"/>
          <w:rtl/>
        </w:rPr>
        <w:t>ی</w:t>
      </w:r>
      <w:r w:rsidRPr="0025250D">
        <w:rPr>
          <w:rFonts w:hint="eastAsia"/>
          <w:rtl/>
        </w:rPr>
        <w:t>ا</w:t>
      </w:r>
      <w:r w:rsidRPr="0025250D">
        <w:rPr>
          <w:rtl/>
        </w:rPr>
        <w:t xml:space="preserve"> لوست</w:t>
      </w:r>
      <w:r w:rsidRPr="0025250D">
        <w:rPr>
          <w:rFonts w:hint="cs"/>
          <w:rtl/>
        </w:rPr>
        <w:t>ی</w:t>
      </w:r>
      <w:r w:rsidRPr="0025250D">
        <w:rPr>
          <w:rFonts w:hint="eastAsia"/>
          <w:rtl/>
        </w:rPr>
        <w:t>گ</w:t>
      </w:r>
      <w:r w:rsidRPr="0025250D">
        <w:rPr>
          <w:vertAlign w:val="superscript"/>
          <w:rtl/>
        </w:rPr>
        <w:footnoteReference w:id="3283"/>
      </w:r>
      <w:r w:rsidRPr="0025250D">
        <w:rPr>
          <w:rFonts w:hint="eastAsia"/>
          <w:rtl/>
        </w:rPr>
        <w:t>،</w:t>
      </w:r>
      <w:r w:rsidRPr="0025250D">
        <w:rPr>
          <w:rtl/>
        </w:rPr>
        <w:t xml:space="preserve"> 2015</w:t>
      </w:r>
    </w:p>
    <w:p w14:paraId="155D5A8B" w14:textId="5F79BA8E" w:rsidR="00C0542C" w:rsidRPr="0025250D" w:rsidRDefault="00C0542C" w:rsidP="00492C47">
      <w:pPr>
        <w:numPr>
          <w:ilvl w:val="0"/>
          <w:numId w:val="75"/>
        </w:numPr>
        <w:rPr>
          <w:rtl/>
        </w:rPr>
      </w:pPr>
      <w:r w:rsidRPr="0025250D">
        <w:rPr>
          <w:rtl/>
        </w:rPr>
        <w:t xml:space="preserve">ابر </w:t>
      </w:r>
      <w:r w:rsidR="00D92F6E" w:rsidRPr="0025250D">
        <w:rPr>
          <w:rtl/>
        </w:rPr>
        <w:t>پیش‌بین</w:t>
      </w:r>
      <w:r w:rsidRPr="0025250D">
        <w:rPr>
          <w:rFonts w:hint="cs"/>
          <w:rtl/>
        </w:rPr>
        <w:t>ی</w:t>
      </w:r>
      <w:r w:rsidRPr="0025250D">
        <w:rPr>
          <w:rtl/>
        </w:rPr>
        <w:t xml:space="preserve">: هنر و علم </w:t>
      </w:r>
      <w:r w:rsidR="00D92F6E" w:rsidRPr="0025250D">
        <w:rPr>
          <w:rtl/>
        </w:rPr>
        <w:t>پیش‌بین</w:t>
      </w:r>
      <w:r w:rsidRPr="0025250D">
        <w:rPr>
          <w:rFonts w:hint="cs"/>
          <w:rtl/>
        </w:rPr>
        <w:t>ی</w:t>
      </w:r>
      <w:r w:rsidRPr="0025250D">
        <w:rPr>
          <w:rFonts w:hint="eastAsia"/>
          <w:rtl/>
        </w:rPr>
        <w:t>،</w:t>
      </w:r>
      <w:r w:rsidRPr="0025250D">
        <w:rPr>
          <w:rtl/>
        </w:rPr>
        <w:t xml:space="preserve"> ف</w:t>
      </w:r>
      <w:r w:rsidRPr="0025250D">
        <w:rPr>
          <w:rFonts w:hint="cs"/>
          <w:rtl/>
        </w:rPr>
        <w:t>ی</w:t>
      </w:r>
      <w:r w:rsidRPr="0025250D">
        <w:rPr>
          <w:rFonts w:hint="eastAsia"/>
          <w:rtl/>
        </w:rPr>
        <w:t>ل</w:t>
      </w:r>
      <w:r w:rsidRPr="0025250D">
        <w:rPr>
          <w:rFonts w:hint="cs"/>
          <w:rtl/>
        </w:rPr>
        <w:t>ی</w:t>
      </w:r>
      <w:r w:rsidRPr="0025250D">
        <w:rPr>
          <w:rFonts w:hint="eastAsia"/>
          <w:rtl/>
        </w:rPr>
        <w:t>پ</w:t>
      </w:r>
      <w:r w:rsidRPr="0025250D">
        <w:rPr>
          <w:rtl/>
        </w:rPr>
        <w:t xml:space="preserve"> تتلاک و دن گاردنر</w:t>
      </w:r>
      <w:r w:rsidRPr="0025250D">
        <w:rPr>
          <w:vertAlign w:val="superscript"/>
          <w:rtl/>
        </w:rPr>
        <w:footnoteReference w:id="3284"/>
      </w:r>
      <w:r w:rsidRPr="0025250D">
        <w:rPr>
          <w:rtl/>
        </w:rPr>
        <w:t>، 2015</w:t>
      </w:r>
    </w:p>
    <w:p w14:paraId="39674330" w14:textId="77777777" w:rsidR="00C0542C" w:rsidRPr="0025250D" w:rsidRDefault="00C0542C" w:rsidP="00492C47">
      <w:pPr>
        <w:numPr>
          <w:ilvl w:val="0"/>
          <w:numId w:val="75"/>
        </w:numPr>
        <w:rPr>
          <w:rtl/>
        </w:rPr>
      </w:pPr>
      <w:r w:rsidRPr="0025250D">
        <w:rPr>
          <w:rtl/>
        </w:rPr>
        <w:t>ده روند جهان</w:t>
      </w:r>
      <w:r w:rsidRPr="0025250D">
        <w:rPr>
          <w:rFonts w:hint="cs"/>
          <w:rtl/>
        </w:rPr>
        <w:t>ی</w:t>
      </w:r>
      <w:r w:rsidRPr="0025250D">
        <w:rPr>
          <w:rtl/>
        </w:rPr>
        <w:t xml:space="preserve"> که هر باهوش</w:t>
      </w:r>
      <w:r w:rsidRPr="0025250D">
        <w:rPr>
          <w:rFonts w:hint="cs"/>
          <w:rtl/>
        </w:rPr>
        <w:t>ی</w:t>
      </w:r>
      <w:r w:rsidRPr="0025250D">
        <w:rPr>
          <w:rtl/>
        </w:rPr>
        <w:t xml:space="preserve"> با</w:t>
      </w:r>
      <w:r w:rsidRPr="0025250D">
        <w:rPr>
          <w:rFonts w:hint="cs"/>
          <w:rtl/>
        </w:rPr>
        <w:t>ی</w:t>
      </w:r>
      <w:r w:rsidRPr="0025250D">
        <w:rPr>
          <w:rFonts w:hint="eastAsia"/>
          <w:rtl/>
        </w:rPr>
        <w:t>د</w:t>
      </w:r>
      <w:r w:rsidRPr="0025250D">
        <w:rPr>
          <w:rtl/>
        </w:rPr>
        <w:t xml:space="preserve"> بداند، ران ب</w:t>
      </w:r>
      <w:r w:rsidRPr="0025250D">
        <w:rPr>
          <w:rFonts w:hint="cs"/>
          <w:rtl/>
        </w:rPr>
        <w:t>ی</w:t>
      </w:r>
      <w:r w:rsidRPr="0025250D">
        <w:rPr>
          <w:rFonts w:hint="eastAsia"/>
          <w:rtl/>
        </w:rPr>
        <w:t>ل</w:t>
      </w:r>
      <w:r w:rsidRPr="0025250D">
        <w:rPr>
          <w:rFonts w:hint="cs"/>
          <w:rtl/>
        </w:rPr>
        <w:t>ی</w:t>
      </w:r>
      <w:r w:rsidRPr="0025250D">
        <w:rPr>
          <w:rtl/>
        </w:rPr>
        <w:t xml:space="preserve"> و مار</w:t>
      </w:r>
      <w:r w:rsidRPr="0025250D">
        <w:rPr>
          <w:rFonts w:hint="cs"/>
          <w:rtl/>
        </w:rPr>
        <w:t>ی</w:t>
      </w:r>
      <w:r w:rsidRPr="0025250D">
        <w:rPr>
          <w:rFonts w:hint="eastAsia"/>
          <w:rtl/>
        </w:rPr>
        <w:t>ان</w:t>
      </w:r>
      <w:r w:rsidRPr="0025250D">
        <w:rPr>
          <w:rtl/>
        </w:rPr>
        <w:t xml:space="preserve"> تاپ</w:t>
      </w:r>
      <w:r w:rsidRPr="0025250D">
        <w:rPr>
          <w:rFonts w:hint="cs"/>
          <w:rtl/>
        </w:rPr>
        <w:t>ی</w:t>
      </w:r>
      <w:r w:rsidRPr="0025250D">
        <w:rPr>
          <w:vertAlign w:val="superscript"/>
          <w:rtl/>
        </w:rPr>
        <w:footnoteReference w:id="3285"/>
      </w:r>
      <w:r w:rsidRPr="0025250D">
        <w:rPr>
          <w:rFonts w:hint="eastAsia"/>
          <w:rtl/>
        </w:rPr>
        <w:t>،</w:t>
      </w:r>
      <w:r w:rsidRPr="0025250D">
        <w:rPr>
          <w:rtl/>
        </w:rPr>
        <w:t xml:space="preserve"> 2020</w:t>
      </w:r>
    </w:p>
    <w:p w14:paraId="49896739" w14:textId="7D06661D" w:rsidR="00C0542C" w:rsidRPr="0025250D" w:rsidRDefault="00C0542C" w:rsidP="00492C47">
      <w:pPr>
        <w:numPr>
          <w:ilvl w:val="0"/>
          <w:numId w:val="75"/>
        </w:numPr>
        <w:rPr>
          <w:rtl/>
        </w:rPr>
      </w:pPr>
      <w:r w:rsidRPr="0025250D">
        <w:rPr>
          <w:rtl/>
        </w:rPr>
        <w:t>هنر نگاه طولان</w:t>
      </w:r>
      <w:r w:rsidRPr="0025250D">
        <w:rPr>
          <w:rFonts w:hint="cs"/>
          <w:rtl/>
        </w:rPr>
        <w:t>ی</w:t>
      </w:r>
      <w:r w:rsidRPr="0025250D">
        <w:rPr>
          <w:rtl/>
        </w:rPr>
        <w:t>: برا</w:t>
      </w:r>
      <w:r w:rsidRPr="0025250D">
        <w:rPr>
          <w:rFonts w:hint="cs"/>
          <w:rtl/>
        </w:rPr>
        <w:t>ی</w:t>
      </w:r>
      <w:r w:rsidRPr="0025250D">
        <w:rPr>
          <w:rtl/>
        </w:rPr>
        <w:t xml:space="preserve"> آ</w:t>
      </w:r>
      <w:r w:rsidRPr="0025250D">
        <w:rPr>
          <w:rFonts w:hint="cs"/>
          <w:rtl/>
        </w:rPr>
        <w:t>ی</w:t>
      </w:r>
      <w:r w:rsidRPr="0025250D">
        <w:rPr>
          <w:rFonts w:hint="eastAsia"/>
          <w:rtl/>
        </w:rPr>
        <w:t>نده</w:t>
      </w:r>
      <w:r w:rsidRPr="0025250D">
        <w:rPr>
          <w:rtl/>
        </w:rPr>
        <w:t xml:space="preserve"> در دن</w:t>
      </w:r>
      <w:r w:rsidRPr="0025250D">
        <w:rPr>
          <w:rFonts w:hint="cs"/>
          <w:rtl/>
        </w:rPr>
        <w:t>ی</w:t>
      </w:r>
      <w:r w:rsidRPr="0025250D">
        <w:rPr>
          <w:rFonts w:hint="eastAsia"/>
          <w:rtl/>
        </w:rPr>
        <w:t>ا</w:t>
      </w:r>
      <w:r w:rsidRPr="0025250D">
        <w:rPr>
          <w:rFonts w:hint="cs"/>
          <w:rtl/>
        </w:rPr>
        <w:t>ی</w:t>
      </w:r>
      <w:r w:rsidRPr="0025250D">
        <w:rPr>
          <w:rtl/>
        </w:rPr>
        <w:t xml:space="preserve"> نامشخص </w:t>
      </w:r>
      <w:r w:rsidR="00B124DE" w:rsidRPr="0025250D">
        <w:rPr>
          <w:rtl/>
        </w:rPr>
        <w:t>برنامه‌ریزی</w:t>
      </w:r>
      <w:r w:rsidRPr="0025250D">
        <w:rPr>
          <w:rtl/>
        </w:rPr>
        <w:t xml:space="preserve"> کن</w:t>
      </w:r>
      <w:r w:rsidRPr="0025250D">
        <w:rPr>
          <w:rFonts w:hint="cs"/>
          <w:rtl/>
        </w:rPr>
        <w:t>ی</w:t>
      </w:r>
      <w:r w:rsidRPr="0025250D">
        <w:rPr>
          <w:rFonts w:hint="eastAsia"/>
          <w:rtl/>
        </w:rPr>
        <w:t>د،</w:t>
      </w:r>
      <w:r w:rsidRPr="0025250D">
        <w:rPr>
          <w:rtl/>
        </w:rPr>
        <w:t xml:space="preserve"> پ</w:t>
      </w:r>
      <w:r w:rsidRPr="0025250D">
        <w:rPr>
          <w:rFonts w:hint="cs"/>
          <w:rtl/>
        </w:rPr>
        <w:t>ی</w:t>
      </w:r>
      <w:r w:rsidRPr="0025250D">
        <w:rPr>
          <w:rFonts w:hint="eastAsia"/>
          <w:rtl/>
        </w:rPr>
        <w:t>تر</w:t>
      </w:r>
      <w:r w:rsidRPr="0025250D">
        <w:rPr>
          <w:rtl/>
        </w:rPr>
        <w:t xml:space="preserve"> شوارد</w:t>
      </w:r>
      <w:r w:rsidRPr="0025250D">
        <w:rPr>
          <w:vertAlign w:val="superscript"/>
          <w:rtl/>
        </w:rPr>
        <w:footnoteReference w:id="3286"/>
      </w:r>
      <w:r w:rsidRPr="0025250D">
        <w:rPr>
          <w:rtl/>
        </w:rPr>
        <w:t>، 1996</w:t>
      </w:r>
    </w:p>
    <w:p w14:paraId="3749C6EE" w14:textId="77777777" w:rsidR="00C0542C" w:rsidRPr="0025250D" w:rsidRDefault="00C0542C" w:rsidP="00492C47">
      <w:pPr>
        <w:numPr>
          <w:ilvl w:val="0"/>
          <w:numId w:val="75"/>
        </w:numPr>
        <w:rPr>
          <w:rtl/>
        </w:rPr>
      </w:pPr>
      <w:r w:rsidRPr="0025250D">
        <w:rPr>
          <w:rtl/>
        </w:rPr>
        <w:t>آ</w:t>
      </w:r>
      <w:r w:rsidRPr="0025250D">
        <w:rPr>
          <w:rFonts w:hint="cs"/>
          <w:rtl/>
        </w:rPr>
        <w:t>ی</w:t>
      </w:r>
      <w:r w:rsidRPr="0025250D">
        <w:rPr>
          <w:rFonts w:hint="eastAsia"/>
          <w:rtl/>
        </w:rPr>
        <w:t>نده</w:t>
      </w:r>
      <w:r w:rsidRPr="0025250D">
        <w:rPr>
          <w:rtl/>
        </w:rPr>
        <w:t xml:space="preserve">: </w:t>
      </w:r>
      <w:r w:rsidRPr="0025250D">
        <w:rPr>
          <w:rFonts w:hint="cs"/>
          <w:rtl/>
        </w:rPr>
        <w:t>ی</w:t>
      </w:r>
      <w:r w:rsidRPr="0025250D">
        <w:rPr>
          <w:rFonts w:hint="eastAsia"/>
          <w:rtl/>
        </w:rPr>
        <w:t>ک</w:t>
      </w:r>
      <w:r w:rsidRPr="0025250D">
        <w:rPr>
          <w:rtl/>
        </w:rPr>
        <w:t xml:space="preserve"> مقدمه بس</w:t>
      </w:r>
      <w:r w:rsidRPr="0025250D">
        <w:rPr>
          <w:rFonts w:hint="cs"/>
          <w:rtl/>
        </w:rPr>
        <w:t>ی</w:t>
      </w:r>
      <w:r w:rsidRPr="0025250D">
        <w:rPr>
          <w:rFonts w:hint="eastAsia"/>
          <w:rtl/>
        </w:rPr>
        <w:t>ار</w:t>
      </w:r>
      <w:r w:rsidRPr="0025250D">
        <w:rPr>
          <w:rtl/>
        </w:rPr>
        <w:t xml:space="preserve"> کوتاه، جن</w:t>
      </w:r>
      <w:r w:rsidRPr="0025250D">
        <w:rPr>
          <w:rFonts w:hint="cs"/>
          <w:rtl/>
        </w:rPr>
        <w:t>ی</w:t>
      </w:r>
      <w:r w:rsidRPr="0025250D">
        <w:rPr>
          <w:rFonts w:hint="eastAsia"/>
          <w:rtl/>
        </w:rPr>
        <w:t>فر</w:t>
      </w:r>
      <w:r w:rsidRPr="0025250D">
        <w:rPr>
          <w:rtl/>
        </w:rPr>
        <w:t xml:space="preserve"> گ</w:t>
      </w:r>
      <w:r w:rsidRPr="0025250D">
        <w:rPr>
          <w:rFonts w:hint="cs"/>
          <w:rtl/>
        </w:rPr>
        <w:t>ی</w:t>
      </w:r>
      <w:r w:rsidRPr="0025250D">
        <w:rPr>
          <w:rFonts w:hint="eastAsia"/>
          <w:rtl/>
        </w:rPr>
        <w:t>دل</w:t>
      </w:r>
      <w:r w:rsidRPr="0025250D">
        <w:rPr>
          <w:rFonts w:hint="cs"/>
          <w:rtl/>
        </w:rPr>
        <w:t>ی</w:t>
      </w:r>
      <w:r w:rsidRPr="0025250D">
        <w:rPr>
          <w:vertAlign w:val="superscript"/>
          <w:rtl/>
        </w:rPr>
        <w:footnoteReference w:id="3287"/>
      </w:r>
      <w:r w:rsidRPr="0025250D">
        <w:rPr>
          <w:rFonts w:hint="eastAsia"/>
          <w:rtl/>
        </w:rPr>
        <w:t>،</w:t>
      </w:r>
      <w:r w:rsidRPr="0025250D">
        <w:rPr>
          <w:rtl/>
        </w:rPr>
        <w:t xml:space="preserve"> 2018</w:t>
      </w:r>
    </w:p>
    <w:p w14:paraId="24616E68" w14:textId="2325C492" w:rsidR="00C0542C" w:rsidRPr="0025250D" w:rsidRDefault="00C0542C" w:rsidP="00492C47">
      <w:pPr>
        <w:numPr>
          <w:ilvl w:val="0"/>
          <w:numId w:val="75"/>
        </w:numPr>
        <w:rPr>
          <w:rtl/>
        </w:rPr>
      </w:pPr>
      <w:r w:rsidRPr="0025250D">
        <w:rPr>
          <w:rtl/>
        </w:rPr>
        <w:t>تعق</w:t>
      </w:r>
      <w:r w:rsidRPr="0025250D">
        <w:rPr>
          <w:rFonts w:hint="cs"/>
          <w:rtl/>
        </w:rPr>
        <w:t>ی</w:t>
      </w:r>
      <w:r w:rsidRPr="0025250D">
        <w:rPr>
          <w:rFonts w:hint="eastAsia"/>
          <w:rtl/>
        </w:rPr>
        <w:t>ب</w:t>
      </w:r>
      <w:r w:rsidRPr="0025250D">
        <w:rPr>
          <w:rtl/>
        </w:rPr>
        <w:t xml:space="preserve"> سرنوشت: تار</w:t>
      </w:r>
      <w:r w:rsidRPr="0025250D">
        <w:rPr>
          <w:rFonts w:hint="cs"/>
          <w:rtl/>
        </w:rPr>
        <w:t>ی</w:t>
      </w:r>
      <w:r w:rsidRPr="0025250D">
        <w:rPr>
          <w:rFonts w:hint="eastAsia"/>
          <w:rtl/>
        </w:rPr>
        <w:t>خچه</w:t>
      </w:r>
      <w:r w:rsidRPr="0025250D">
        <w:rPr>
          <w:rtl/>
        </w:rPr>
        <w:t xml:space="preserve"> </w:t>
      </w:r>
      <w:r w:rsidR="00D92F6E" w:rsidRPr="0025250D">
        <w:rPr>
          <w:rtl/>
        </w:rPr>
        <w:t>پیش‌بین</w:t>
      </w:r>
      <w:r w:rsidRPr="0025250D">
        <w:rPr>
          <w:rFonts w:hint="cs"/>
          <w:rtl/>
        </w:rPr>
        <w:t>ی</w:t>
      </w:r>
      <w:r w:rsidRPr="0025250D">
        <w:rPr>
          <w:rFonts w:hint="eastAsia"/>
          <w:rtl/>
        </w:rPr>
        <w:t>،</w:t>
      </w:r>
      <w:r w:rsidRPr="0025250D">
        <w:rPr>
          <w:rtl/>
        </w:rPr>
        <w:t xml:space="preserve"> پل هالپرن</w:t>
      </w:r>
      <w:r w:rsidRPr="0025250D">
        <w:rPr>
          <w:vertAlign w:val="superscript"/>
          <w:rtl/>
        </w:rPr>
        <w:footnoteReference w:id="3288"/>
      </w:r>
      <w:r w:rsidRPr="0025250D">
        <w:rPr>
          <w:rtl/>
        </w:rPr>
        <w:t>، 2000</w:t>
      </w:r>
    </w:p>
    <w:p w14:paraId="48D54C5F" w14:textId="77777777" w:rsidR="00C0542C" w:rsidRPr="0025250D" w:rsidRDefault="00C0542C" w:rsidP="00492C47">
      <w:pPr>
        <w:numPr>
          <w:ilvl w:val="0"/>
          <w:numId w:val="75"/>
        </w:numPr>
        <w:rPr>
          <w:rtl/>
        </w:rPr>
      </w:pPr>
      <w:r w:rsidRPr="0025250D">
        <w:rPr>
          <w:rtl/>
        </w:rPr>
        <w:t>راهنما</w:t>
      </w:r>
      <w:r w:rsidRPr="0025250D">
        <w:rPr>
          <w:rFonts w:hint="cs"/>
          <w:rtl/>
        </w:rPr>
        <w:t>ی</w:t>
      </w:r>
      <w:r w:rsidRPr="0025250D">
        <w:rPr>
          <w:rtl/>
        </w:rPr>
        <w:t xml:space="preserve"> خشن برا</w:t>
      </w:r>
      <w:r w:rsidRPr="0025250D">
        <w:rPr>
          <w:rFonts w:hint="cs"/>
          <w:rtl/>
        </w:rPr>
        <w:t>ی</w:t>
      </w:r>
      <w:r w:rsidRPr="0025250D">
        <w:rPr>
          <w:rtl/>
        </w:rPr>
        <w:t xml:space="preserve"> آ</w:t>
      </w:r>
      <w:r w:rsidRPr="0025250D">
        <w:rPr>
          <w:rFonts w:hint="cs"/>
          <w:rtl/>
        </w:rPr>
        <w:t>ی</w:t>
      </w:r>
      <w:r w:rsidRPr="0025250D">
        <w:rPr>
          <w:rFonts w:hint="eastAsia"/>
          <w:rtl/>
        </w:rPr>
        <w:t>نده،</w:t>
      </w:r>
      <w:r w:rsidRPr="0025250D">
        <w:rPr>
          <w:rtl/>
        </w:rPr>
        <w:t xml:space="preserve"> جان تورن</w:t>
      </w:r>
      <w:r w:rsidRPr="0025250D">
        <w:rPr>
          <w:rFonts w:hint="cs"/>
          <w:rtl/>
        </w:rPr>
        <w:t>ی</w:t>
      </w:r>
      <w:r w:rsidRPr="0025250D">
        <w:rPr>
          <w:vertAlign w:val="superscript"/>
          <w:rtl/>
        </w:rPr>
        <w:footnoteReference w:id="3289"/>
      </w:r>
      <w:r w:rsidRPr="0025250D">
        <w:rPr>
          <w:rFonts w:hint="eastAsia"/>
          <w:rtl/>
        </w:rPr>
        <w:t>،</w:t>
      </w:r>
      <w:r w:rsidRPr="0025250D">
        <w:rPr>
          <w:rtl/>
        </w:rPr>
        <w:t xml:space="preserve"> 2010</w:t>
      </w:r>
    </w:p>
    <w:p w14:paraId="39DFA204" w14:textId="77777777" w:rsidR="00C0542C" w:rsidRPr="0025250D" w:rsidRDefault="00C0542C" w:rsidP="00492C47">
      <w:pPr>
        <w:numPr>
          <w:ilvl w:val="0"/>
          <w:numId w:val="75"/>
        </w:numPr>
        <w:rPr>
          <w:rtl/>
        </w:rPr>
      </w:pPr>
      <w:r w:rsidRPr="0025250D">
        <w:rPr>
          <w:rtl/>
        </w:rPr>
        <w:t>س</w:t>
      </w:r>
      <w:r w:rsidRPr="0025250D">
        <w:rPr>
          <w:rFonts w:hint="cs"/>
          <w:rtl/>
        </w:rPr>
        <w:t>ی</w:t>
      </w:r>
      <w:r w:rsidRPr="0025250D">
        <w:rPr>
          <w:rFonts w:hint="eastAsia"/>
          <w:rtl/>
        </w:rPr>
        <w:t>گنال</w:t>
      </w:r>
      <w:r w:rsidRPr="0025250D">
        <w:rPr>
          <w:rtl/>
        </w:rPr>
        <w:t xml:space="preserve"> و نو</w:t>
      </w:r>
      <w:r w:rsidRPr="0025250D">
        <w:rPr>
          <w:rFonts w:hint="cs"/>
          <w:rtl/>
        </w:rPr>
        <w:t>ی</w:t>
      </w:r>
      <w:r w:rsidRPr="0025250D">
        <w:rPr>
          <w:rFonts w:hint="eastAsia"/>
          <w:rtl/>
        </w:rPr>
        <w:t>ز</w:t>
      </w:r>
      <w:r w:rsidRPr="0025250D">
        <w:rPr>
          <w:rtl/>
        </w:rPr>
        <w:t>: چرا اکثر پ</w:t>
      </w:r>
      <w:r w:rsidRPr="0025250D">
        <w:rPr>
          <w:rFonts w:hint="cs"/>
          <w:rtl/>
        </w:rPr>
        <w:t>ی</w:t>
      </w:r>
      <w:r w:rsidRPr="0025250D">
        <w:rPr>
          <w:rFonts w:hint="eastAsia"/>
          <w:rtl/>
        </w:rPr>
        <w:t>ش‌ب</w:t>
      </w:r>
      <w:r w:rsidRPr="0025250D">
        <w:rPr>
          <w:rFonts w:hint="cs"/>
          <w:rtl/>
        </w:rPr>
        <w:t>ی</w:t>
      </w:r>
      <w:r w:rsidRPr="0025250D">
        <w:rPr>
          <w:rFonts w:hint="eastAsia"/>
          <w:rtl/>
        </w:rPr>
        <w:t>ن</w:t>
      </w:r>
      <w:r w:rsidRPr="0025250D">
        <w:rPr>
          <w:rFonts w:hint="cs"/>
          <w:rtl/>
        </w:rPr>
        <w:t>ی‌</w:t>
      </w:r>
      <w:r w:rsidRPr="0025250D">
        <w:rPr>
          <w:rFonts w:hint="eastAsia"/>
          <w:rtl/>
        </w:rPr>
        <w:t>ها</w:t>
      </w:r>
      <w:r w:rsidRPr="0025250D">
        <w:rPr>
          <w:rtl/>
        </w:rPr>
        <w:t xml:space="preserve"> شکست م</w:t>
      </w:r>
      <w:r w:rsidRPr="0025250D">
        <w:rPr>
          <w:rFonts w:hint="cs"/>
          <w:rtl/>
        </w:rPr>
        <w:t>ی‌</w:t>
      </w:r>
      <w:r w:rsidRPr="0025250D">
        <w:rPr>
          <w:rFonts w:hint="eastAsia"/>
          <w:rtl/>
        </w:rPr>
        <w:t>خورند،</w:t>
      </w:r>
      <w:r w:rsidRPr="0025250D">
        <w:rPr>
          <w:rtl/>
        </w:rPr>
        <w:t xml:space="preserve"> اما برخ</w:t>
      </w:r>
      <w:r w:rsidRPr="0025250D">
        <w:rPr>
          <w:rFonts w:hint="cs"/>
          <w:rtl/>
        </w:rPr>
        <w:t>ی</w:t>
      </w:r>
      <w:r w:rsidRPr="0025250D">
        <w:rPr>
          <w:rtl/>
        </w:rPr>
        <w:t xml:space="preserve"> </w:t>
      </w:r>
      <w:r w:rsidRPr="0025250D">
        <w:rPr>
          <w:rFonts w:hint="cs"/>
          <w:rtl/>
        </w:rPr>
        <w:t>موفق می‌شوند</w:t>
      </w:r>
      <w:r w:rsidRPr="0025250D">
        <w:rPr>
          <w:rFonts w:hint="eastAsia"/>
          <w:rtl/>
        </w:rPr>
        <w:t>،</w:t>
      </w:r>
      <w:r w:rsidRPr="0025250D">
        <w:rPr>
          <w:rtl/>
        </w:rPr>
        <w:t xml:space="preserve"> ن</w:t>
      </w:r>
      <w:r w:rsidRPr="0025250D">
        <w:rPr>
          <w:rFonts w:hint="cs"/>
          <w:rtl/>
        </w:rPr>
        <w:t>ی</w:t>
      </w:r>
      <w:r w:rsidRPr="0025250D">
        <w:rPr>
          <w:rFonts w:hint="eastAsia"/>
          <w:rtl/>
        </w:rPr>
        <w:t>ت</w:t>
      </w:r>
      <w:r w:rsidRPr="0025250D">
        <w:rPr>
          <w:rtl/>
        </w:rPr>
        <w:t xml:space="preserve"> س</w:t>
      </w:r>
      <w:r w:rsidRPr="0025250D">
        <w:rPr>
          <w:rFonts w:hint="cs"/>
          <w:rtl/>
        </w:rPr>
        <w:t>ی</w:t>
      </w:r>
      <w:r w:rsidRPr="0025250D">
        <w:rPr>
          <w:rFonts w:hint="eastAsia"/>
          <w:rtl/>
        </w:rPr>
        <w:t>لور</w:t>
      </w:r>
      <w:r w:rsidRPr="0025250D">
        <w:rPr>
          <w:vertAlign w:val="superscript"/>
          <w:rtl/>
        </w:rPr>
        <w:footnoteReference w:id="3290"/>
      </w:r>
      <w:r w:rsidRPr="0025250D">
        <w:rPr>
          <w:rFonts w:hint="eastAsia"/>
          <w:rtl/>
        </w:rPr>
        <w:t>،</w:t>
      </w:r>
      <w:r w:rsidRPr="0025250D">
        <w:rPr>
          <w:rtl/>
        </w:rPr>
        <w:t xml:space="preserve"> 2012</w:t>
      </w:r>
    </w:p>
    <w:p w14:paraId="5357548F" w14:textId="77777777" w:rsidR="00C0542C" w:rsidRPr="0025250D" w:rsidRDefault="00C0542C" w:rsidP="00492C47">
      <w:pPr>
        <w:numPr>
          <w:ilvl w:val="0"/>
          <w:numId w:val="75"/>
        </w:numPr>
        <w:rPr>
          <w:rtl/>
        </w:rPr>
      </w:pPr>
      <w:r w:rsidRPr="0025250D">
        <w:rPr>
          <w:rtl/>
        </w:rPr>
        <w:t>س</w:t>
      </w:r>
      <w:r w:rsidRPr="0025250D">
        <w:rPr>
          <w:rFonts w:hint="cs"/>
          <w:rtl/>
        </w:rPr>
        <w:t>ی</w:t>
      </w:r>
      <w:r w:rsidRPr="0025250D">
        <w:rPr>
          <w:rFonts w:hint="eastAsia"/>
          <w:rtl/>
        </w:rPr>
        <w:t>گنال‌ها</w:t>
      </w:r>
      <w:r w:rsidRPr="0025250D">
        <w:rPr>
          <w:rtl/>
        </w:rPr>
        <w:t xml:space="preserve"> صحبت م</w:t>
      </w:r>
      <w:r w:rsidRPr="0025250D">
        <w:rPr>
          <w:rFonts w:hint="cs"/>
          <w:rtl/>
        </w:rPr>
        <w:t>ی‌</w:t>
      </w:r>
      <w:r w:rsidRPr="0025250D">
        <w:rPr>
          <w:rFonts w:hint="eastAsia"/>
          <w:rtl/>
        </w:rPr>
        <w:t>کنند</w:t>
      </w:r>
      <w:r w:rsidRPr="0025250D">
        <w:rPr>
          <w:rtl/>
        </w:rPr>
        <w:t>: وقت</w:t>
      </w:r>
      <w:r w:rsidRPr="0025250D">
        <w:rPr>
          <w:rFonts w:hint="cs"/>
          <w:rtl/>
        </w:rPr>
        <w:t>ی</w:t>
      </w:r>
      <w:r w:rsidRPr="0025250D">
        <w:rPr>
          <w:rtl/>
        </w:rPr>
        <w:t xml:space="preserve"> حاش</w:t>
      </w:r>
      <w:r w:rsidRPr="0025250D">
        <w:rPr>
          <w:rFonts w:hint="cs"/>
          <w:rtl/>
        </w:rPr>
        <w:t>ی</w:t>
      </w:r>
      <w:r w:rsidRPr="0025250D">
        <w:rPr>
          <w:rFonts w:hint="eastAsia"/>
          <w:rtl/>
        </w:rPr>
        <w:t>ه‌ها</w:t>
      </w:r>
      <w:r w:rsidRPr="0025250D">
        <w:rPr>
          <w:rFonts w:hint="cs"/>
          <w:rtl/>
        </w:rPr>
        <w:t>ی</w:t>
      </w:r>
      <w:r w:rsidRPr="0025250D">
        <w:rPr>
          <w:rtl/>
        </w:rPr>
        <w:t xml:space="preserve"> امروز</w:t>
      </w:r>
      <w:r w:rsidRPr="0025250D">
        <w:rPr>
          <w:rFonts w:hint="cs"/>
          <w:rtl/>
        </w:rPr>
        <w:t>ی</w:t>
      </w:r>
      <w:r w:rsidRPr="0025250D">
        <w:rPr>
          <w:rtl/>
        </w:rPr>
        <w:t xml:space="preserve"> به جر</w:t>
      </w:r>
      <w:r w:rsidRPr="0025250D">
        <w:rPr>
          <w:rFonts w:hint="cs"/>
          <w:rtl/>
        </w:rPr>
        <w:t>ی</w:t>
      </w:r>
      <w:r w:rsidRPr="0025250D">
        <w:rPr>
          <w:rFonts w:hint="eastAsia"/>
          <w:rtl/>
        </w:rPr>
        <w:t>ان</w:t>
      </w:r>
      <w:r w:rsidRPr="0025250D">
        <w:rPr>
          <w:rtl/>
        </w:rPr>
        <w:t xml:space="preserve"> اصل</w:t>
      </w:r>
      <w:r w:rsidRPr="0025250D">
        <w:rPr>
          <w:rFonts w:hint="cs"/>
          <w:rtl/>
        </w:rPr>
        <w:t>ی</w:t>
      </w:r>
      <w:r w:rsidRPr="0025250D">
        <w:rPr>
          <w:rtl/>
        </w:rPr>
        <w:t xml:space="preserve"> تبد</w:t>
      </w:r>
      <w:r w:rsidRPr="0025250D">
        <w:rPr>
          <w:rFonts w:hint="cs"/>
          <w:rtl/>
        </w:rPr>
        <w:t>ی</w:t>
      </w:r>
      <w:r w:rsidRPr="0025250D">
        <w:rPr>
          <w:rFonts w:hint="eastAsia"/>
          <w:rtl/>
        </w:rPr>
        <w:t>ل</w:t>
      </w:r>
      <w:r w:rsidRPr="0025250D">
        <w:rPr>
          <w:rtl/>
        </w:rPr>
        <w:t xml:space="preserve"> م</w:t>
      </w:r>
      <w:r w:rsidRPr="0025250D">
        <w:rPr>
          <w:rFonts w:hint="cs"/>
          <w:rtl/>
        </w:rPr>
        <w:t>ی‌</w:t>
      </w:r>
      <w:r w:rsidRPr="0025250D">
        <w:rPr>
          <w:rFonts w:hint="eastAsia"/>
          <w:rtl/>
        </w:rPr>
        <w:t>شوند،</w:t>
      </w:r>
      <w:r w:rsidRPr="0025250D">
        <w:rPr>
          <w:rtl/>
        </w:rPr>
        <w:t xml:space="preserve"> ام</w:t>
      </w:r>
      <w:r w:rsidRPr="0025250D">
        <w:rPr>
          <w:rFonts w:hint="cs"/>
          <w:rtl/>
        </w:rPr>
        <w:t>ی</w:t>
      </w:r>
      <w:r w:rsidRPr="0025250D">
        <w:rPr>
          <w:rtl/>
        </w:rPr>
        <w:t xml:space="preserve"> وب</w:t>
      </w:r>
      <w:r w:rsidRPr="0025250D">
        <w:rPr>
          <w:vertAlign w:val="superscript"/>
          <w:rtl/>
        </w:rPr>
        <w:footnoteReference w:id="3291"/>
      </w:r>
      <w:r w:rsidRPr="0025250D">
        <w:rPr>
          <w:rtl/>
        </w:rPr>
        <w:t>، 2018</w:t>
      </w:r>
    </w:p>
    <w:p w14:paraId="5853DB5F" w14:textId="3C9BD4B4" w:rsidR="00C0542C" w:rsidRPr="0025250D" w:rsidRDefault="00C0542C" w:rsidP="00492C47">
      <w:pPr>
        <w:numPr>
          <w:ilvl w:val="0"/>
          <w:numId w:val="75"/>
        </w:numPr>
        <w:rPr>
          <w:rtl/>
        </w:rPr>
      </w:pPr>
      <w:r w:rsidRPr="0025250D">
        <w:rPr>
          <w:rtl/>
        </w:rPr>
        <w:t xml:space="preserve">مثل </w:t>
      </w:r>
      <w:r w:rsidRPr="0025250D">
        <w:rPr>
          <w:rFonts w:hint="cs"/>
          <w:rtl/>
        </w:rPr>
        <w:t>ی</w:t>
      </w:r>
      <w:r w:rsidRPr="0025250D">
        <w:rPr>
          <w:rFonts w:hint="eastAsia"/>
          <w:rtl/>
        </w:rPr>
        <w:t>ک</w:t>
      </w:r>
      <w:r w:rsidRPr="0025250D">
        <w:rPr>
          <w:rtl/>
        </w:rPr>
        <w:t xml:space="preserve"> </w:t>
      </w:r>
      <w:r w:rsidR="00D30084" w:rsidRPr="0025250D">
        <w:rPr>
          <w:rtl/>
        </w:rPr>
        <w:t>آینده‌نگار</w:t>
      </w:r>
      <w:r w:rsidRPr="0025250D">
        <w:rPr>
          <w:rtl/>
        </w:rPr>
        <w:t xml:space="preserve"> فکر کن، س</w:t>
      </w:r>
      <w:r w:rsidRPr="0025250D">
        <w:rPr>
          <w:rFonts w:hint="cs"/>
          <w:rtl/>
        </w:rPr>
        <w:t>ی</w:t>
      </w:r>
      <w:r w:rsidRPr="0025250D">
        <w:rPr>
          <w:rFonts w:hint="eastAsia"/>
          <w:rtl/>
        </w:rPr>
        <w:t>س</w:t>
      </w:r>
      <w:r w:rsidRPr="0025250D">
        <w:rPr>
          <w:rFonts w:hint="cs"/>
          <w:rtl/>
        </w:rPr>
        <w:t>ی</w:t>
      </w:r>
      <w:r w:rsidRPr="0025250D">
        <w:rPr>
          <w:rFonts w:hint="eastAsia"/>
          <w:rtl/>
        </w:rPr>
        <w:t>ل</w:t>
      </w:r>
      <w:r w:rsidRPr="0025250D">
        <w:rPr>
          <w:rFonts w:hint="cs"/>
          <w:rtl/>
        </w:rPr>
        <w:t>ی</w:t>
      </w:r>
      <w:r w:rsidRPr="0025250D">
        <w:rPr>
          <w:rtl/>
        </w:rPr>
        <w:t xml:space="preserve"> سامرز</w:t>
      </w:r>
      <w:r w:rsidRPr="0025250D">
        <w:rPr>
          <w:vertAlign w:val="superscript"/>
          <w:rtl/>
        </w:rPr>
        <w:footnoteReference w:id="3292"/>
      </w:r>
      <w:r w:rsidRPr="0025250D">
        <w:rPr>
          <w:rtl/>
        </w:rPr>
        <w:t>، 2012</w:t>
      </w:r>
    </w:p>
    <w:p w14:paraId="2413BB28" w14:textId="77777777" w:rsidR="00C0542C" w:rsidRPr="0025250D" w:rsidRDefault="00C0542C" w:rsidP="00492C47">
      <w:pPr>
        <w:numPr>
          <w:ilvl w:val="0"/>
          <w:numId w:val="75"/>
        </w:numPr>
        <w:rPr>
          <w:rtl/>
        </w:rPr>
      </w:pPr>
      <w:r w:rsidRPr="0025250D">
        <w:rPr>
          <w:rtl/>
        </w:rPr>
        <w:t>نا معلوم</w:t>
      </w:r>
      <w:r w:rsidRPr="0025250D">
        <w:rPr>
          <w:rFonts w:hint="cs"/>
          <w:rtl/>
        </w:rPr>
        <w:t xml:space="preserve">: راهبری به سوی آینده، </w:t>
      </w:r>
      <w:r w:rsidRPr="0025250D">
        <w:rPr>
          <w:rtl/>
        </w:rPr>
        <w:t>مارگارت ه</w:t>
      </w:r>
      <w:r w:rsidRPr="0025250D">
        <w:rPr>
          <w:rFonts w:hint="cs"/>
          <w:rtl/>
        </w:rPr>
        <w:t>ی</w:t>
      </w:r>
      <w:r w:rsidRPr="0025250D">
        <w:rPr>
          <w:rFonts w:hint="eastAsia"/>
          <w:rtl/>
        </w:rPr>
        <w:t>فرمن</w:t>
      </w:r>
      <w:r w:rsidRPr="0025250D">
        <w:rPr>
          <w:vertAlign w:val="superscript"/>
          <w:rtl/>
        </w:rPr>
        <w:footnoteReference w:id="3293"/>
      </w:r>
      <w:r w:rsidRPr="0025250D">
        <w:rPr>
          <w:rFonts w:hint="eastAsia"/>
          <w:rtl/>
        </w:rPr>
        <w:t>،</w:t>
      </w:r>
      <w:r w:rsidRPr="0025250D">
        <w:rPr>
          <w:rtl/>
        </w:rPr>
        <w:t xml:space="preserve"> 2020</w:t>
      </w:r>
    </w:p>
    <w:p w14:paraId="23FFB9BC" w14:textId="77777777" w:rsidR="00C0542C" w:rsidRPr="0025250D" w:rsidRDefault="00C0542C" w:rsidP="00C0542C"/>
    <w:bookmarkEnd w:id="90"/>
    <w:p w14:paraId="34DAD446" w14:textId="34975FDD" w:rsidR="00537CC8" w:rsidRPr="0025250D" w:rsidRDefault="00537CC8" w:rsidP="00C0542C">
      <w:pPr>
        <w:pStyle w:val="Heading3"/>
        <w:rPr>
          <w:rtl/>
        </w:rPr>
      </w:pPr>
      <w:r w:rsidRPr="0025250D">
        <w:rPr>
          <w:rtl/>
        </w:rPr>
        <w:t>کتاب‌ها</w:t>
      </w:r>
      <w:r w:rsidRPr="0025250D">
        <w:rPr>
          <w:rFonts w:hint="cs"/>
          <w:rtl/>
        </w:rPr>
        <w:t>ی</w:t>
      </w:r>
      <w:r w:rsidRPr="0025250D">
        <w:rPr>
          <w:rtl/>
        </w:rPr>
        <w:t xml:space="preserve"> آ</w:t>
      </w:r>
      <w:r w:rsidRPr="0025250D">
        <w:rPr>
          <w:rFonts w:hint="cs"/>
          <w:rtl/>
        </w:rPr>
        <w:t>ی</w:t>
      </w:r>
      <w:r w:rsidRPr="0025250D">
        <w:rPr>
          <w:rFonts w:hint="eastAsia"/>
          <w:rtl/>
        </w:rPr>
        <w:t>نده‌نگار</w:t>
      </w:r>
      <w:r w:rsidRPr="0025250D">
        <w:rPr>
          <w:rFonts w:hint="cs"/>
          <w:rtl/>
        </w:rPr>
        <w:t>ی</w:t>
      </w:r>
      <w:r w:rsidRPr="0025250D">
        <w:rPr>
          <w:rtl/>
        </w:rPr>
        <w:t xml:space="preserve"> </w:t>
      </w:r>
      <w:r w:rsidRPr="0025250D">
        <w:rPr>
          <w:rFonts w:hint="cs"/>
          <w:rtl/>
        </w:rPr>
        <w:t>تخصصی</w:t>
      </w:r>
      <w:r w:rsidRPr="0025250D">
        <w:rPr>
          <w:rtl/>
        </w:rPr>
        <w:t xml:space="preserve"> </w:t>
      </w:r>
      <w:r w:rsidRPr="0025250D">
        <w:rPr>
          <w:rFonts w:ascii="Times New Roman" w:hAnsi="Times New Roman" w:cs="Times New Roman" w:hint="cs"/>
          <w:rtl/>
        </w:rPr>
        <w:t>–</w:t>
      </w:r>
      <w:r w:rsidRPr="0025250D">
        <w:rPr>
          <w:rtl/>
        </w:rPr>
        <w:t xml:space="preserve"> </w:t>
      </w:r>
      <w:r w:rsidRPr="0025250D">
        <w:rPr>
          <w:rFonts w:hint="cs"/>
          <w:rtl/>
        </w:rPr>
        <w:t>فهرست</w:t>
      </w:r>
      <w:r w:rsidRPr="0025250D">
        <w:rPr>
          <w:rtl/>
        </w:rPr>
        <w:t xml:space="preserve"> </w:t>
      </w:r>
      <w:r w:rsidRPr="0025250D">
        <w:rPr>
          <w:rFonts w:hint="cs"/>
          <w:rtl/>
        </w:rPr>
        <w:t>آغازی</w:t>
      </w:r>
      <w:r w:rsidRPr="0025250D">
        <w:rPr>
          <w:rFonts w:hint="eastAsia"/>
          <w:rtl/>
        </w:rPr>
        <w:t>ن</w:t>
      </w:r>
    </w:p>
    <w:p w14:paraId="2E456E3D" w14:textId="38A2E28B" w:rsidR="00C0542C" w:rsidRPr="0025250D" w:rsidRDefault="00C0542C" w:rsidP="00C0542C">
      <w:pPr>
        <w:rPr>
          <w:rtl/>
        </w:rPr>
      </w:pPr>
    </w:p>
    <w:p w14:paraId="187A5266" w14:textId="6F8E1155" w:rsidR="005B4181" w:rsidRPr="0025250D" w:rsidRDefault="005B4181" w:rsidP="00492C47">
      <w:pPr>
        <w:numPr>
          <w:ilvl w:val="0"/>
          <w:numId w:val="76"/>
        </w:numPr>
      </w:pPr>
      <w:r w:rsidRPr="0025250D">
        <w:rPr>
          <w:rtl/>
        </w:rPr>
        <w:t>روش تحق</w:t>
      </w:r>
      <w:r w:rsidRPr="0025250D">
        <w:rPr>
          <w:rFonts w:hint="cs"/>
          <w:rtl/>
        </w:rPr>
        <w:t>ی</w:t>
      </w:r>
      <w:r w:rsidRPr="0025250D">
        <w:rPr>
          <w:rFonts w:hint="eastAsia"/>
          <w:rtl/>
        </w:rPr>
        <w:t>ق</w:t>
      </w:r>
      <w:r w:rsidRPr="0025250D">
        <w:rPr>
          <w:rtl/>
        </w:rPr>
        <w:t xml:space="preserve"> </w:t>
      </w:r>
      <w:r w:rsidR="00D92F6E" w:rsidRPr="0025250D">
        <w:rPr>
          <w:rtl/>
        </w:rPr>
        <w:t>آینده‌پژوه</w:t>
      </w:r>
      <w:r w:rsidRPr="0025250D">
        <w:rPr>
          <w:rFonts w:hint="cs"/>
          <w:rtl/>
        </w:rPr>
        <w:t>ی،</w:t>
      </w:r>
      <w:r w:rsidRPr="0025250D">
        <w:rPr>
          <w:rtl/>
        </w:rPr>
        <w:t xml:space="preserve"> </w:t>
      </w:r>
      <w:r w:rsidRPr="0025250D">
        <w:rPr>
          <w:rFonts w:hint="cs"/>
          <w:rtl/>
        </w:rPr>
        <w:t>نسخه 3.0</w:t>
      </w:r>
      <w:r w:rsidRPr="0025250D">
        <w:rPr>
          <w:rtl/>
        </w:rPr>
        <w:t>، جر</w:t>
      </w:r>
      <w:r w:rsidRPr="0025250D">
        <w:rPr>
          <w:rFonts w:hint="cs"/>
          <w:rtl/>
        </w:rPr>
        <w:t>ی</w:t>
      </w:r>
      <w:r w:rsidRPr="0025250D">
        <w:rPr>
          <w:rtl/>
        </w:rPr>
        <w:t xml:space="preserve"> گلن و تد گوردون</w:t>
      </w:r>
      <w:r w:rsidRPr="0025250D">
        <w:rPr>
          <w:vertAlign w:val="superscript"/>
          <w:rtl/>
        </w:rPr>
        <w:footnoteReference w:id="3294"/>
      </w:r>
      <w:r w:rsidRPr="0025250D">
        <w:rPr>
          <w:rtl/>
        </w:rPr>
        <w:t>، 2009. ا</w:t>
      </w:r>
      <w:r w:rsidRPr="0025250D">
        <w:rPr>
          <w:rFonts w:hint="cs"/>
          <w:rtl/>
        </w:rPr>
        <w:t>ی</w:t>
      </w:r>
      <w:r w:rsidRPr="0025250D">
        <w:rPr>
          <w:rFonts w:hint="eastAsia"/>
          <w:rtl/>
        </w:rPr>
        <w:t>ن</w:t>
      </w:r>
      <w:r w:rsidRPr="0025250D">
        <w:rPr>
          <w:rtl/>
        </w:rPr>
        <w:t xml:space="preserve"> </w:t>
      </w:r>
      <w:r w:rsidRPr="0025250D">
        <w:rPr>
          <w:rFonts w:hint="cs"/>
          <w:rtl/>
        </w:rPr>
        <w:t>کتاب</w:t>
      </w:r>
      <w:r w:rsidRPr="0025250D">
        <w:rPr>
          <w:rtl/>
        </w:rPr>
        <w:t xml:space="preserve"> به صورت الکترون</w:t>
      </w:r>
      <w:r w:rsidRPr="0025250D">
        <w:rPr>
          <w:rFonts w:hint="cs"/>
          <w:rtl/>
        </w:rPr>
        <w:t>ی</w:t>
      </w:r>
      <w:r w:rsidRPr="0025250D">
        <w:rPr>
          <w:rFonts w:hint="eastAsia"/>
          <w:rtl/>
        </w:rPr>
        <w:t>ک</w:t>
      </w:r>
      <w:r w:rsidRPr="0025250D">
        <w:rPr>
          <w:rFonts w:hint="cs"/>
          <w:rtl/>
        </w:rPr>
        <w:t>ی</w:t>
      </w:r>
      <w:r w:rsidRPr="0025250D">
        <w:rPr>
          <w:rtl/>
        </w:rPr>
        <w:t xml:space="preserve"> موجود است (50 دلار)، ا</w:t>
      </w:r>
      <w:r w:rsidRPr="0025250D">
        <w:rPr>
          <w:rFonts w:hint="cs"/>
          <w:rtl/>
        </w:rPr>
        <w:t>ی</w:t>
      </w:r>
      <w:r w:rsidRPr="0025250D">
        <w:rPr>
          <w:rFonts w:hint="eastAsia"/>
          <w:rtl/>
        </w:rPr>
        <w:t>ن</w:t>
      </w:r>
      <w:r w:rsidRPr="0025250D">
        <w:rPr>
          <w:rtl/>
        </w:rPr>
        <w:t xml:space="preserve"> </w:t>
      </w:r>
      <w:r w:rsidRPr="0025250D">
        <w:rPr>
          <w:rFonts w:hint="cs"/>
          <w:rtl/>
        </w:rPr>
        <w:t>کتاب</w:t>
      </w:r>
      <w:r w:rsidRPr="0025250D">
        <w:rPr>
          <w:rtl/>
        </w:rPr>
        <w:t xml:space="preserve"> منبع عال</w:t>
      </w:r>
      <w:r w:rsidRPr="0025250D">
        <w:rPr>
          <w:rFonts w:hint="cs"/>
          <w:rtl/>
        </w:rPr>
        <w:t>ی</w:t>
      </w:r>
      <w:r w:rsidRPr="0025250D">
        <w:rPr>
          <w:rtl/>
        </w:rPr>
        <w:t xml:space="preserve"> در مورد س</w:t>
      </w:r>
      <w:r w:rsidRPr="0025250D">
        <w:rPr>
          <w:rFonts w:hint="cs"/>
          <w:rtl/>
        </w:rPr>
        <w:t>ی</w:t>
      </w:r>
      <w:r w:rsidRPr="0025250D">
        <w:rPr>
          <w:rtl/>
        </w:rPr>
        <w:t xml:space="preserve"> و هفت روش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w:t>
      </w:r>
      <w:r w:rsidRPr="0025250D">
        <w:rPr>
          <w:rFonts w:hint="cs"/>
          <w:rtl/>
        </w:rPr>
        <w:t>ی</w:t>
      </w:r>
      <w:r w:rsidRPr="0025250D">
        <w:rPr>
          <w:rFonts w:hint="eastAsia"/>
          <w:rtl/>
        </w:rPr>
        <w:t>ا</w:t>
      </w:r>
      <w:r w:rsidRPr="0025250D">
        <w:rPr>
          <w:rtl/>
        </w:rPr>
        <w:t xml:space="preserve"> دسته‌بند</w:t>
      </w:r>
      <w:r w:rsidRPr="0025250D">
        <w:rPr>
          <w:rFonts w:hint="cs"/>
          <w:rtl/>
        </w:rPr>
        <w:t>ی</w:t>
      </w:r>
      <w:r w:rsidRPr="0025250D">
        <w:rPr>
          <w:rtl/>
        </w:rPr>
        <w:t xml:space="preserve"> روش‌ها با تار</w:t>
      </w:r>
      <w:r w:rsidRPr="0025250D">
        <w:rPr>
          <w:rFonts w:hint="cs"/>
          <w:rtl/>
        </w:rPr>
        <w:t>ی</w:t>
      </w:r>
      <w:r w:rsidRPr="0025250D">
        <w:rPr>
          <w:rFonts w:hint="eastAsia"/>
          <w:rtl/>
        </w:rPr>
        <w:t>خچه،</w:t>
      </w:r>
      <w:r w:rsidRPr="0025250D">
        <w:rPr>
          <w:rtl/>
        </w:rPr>
        <w:t xml:space="preserve"> نقاط قوت و ضعف برا</w:t>
      </w:r>
      <w:r w:rsidRPr="0025250D">
        <w:rPr>
          <w:rFonts w:hint="cs"/>
          <w:rtl/>
        </w:rPr>
        <w:t>ی</w:t>
      </w:r>
      <w:r w:rsidRPr="0025250D">
        <w:rPr>
          <w:rtl/>
        </w:rPr>
        <w:t xml:space="preserve"> هر </w:t>
      </w:r>
      <w:r w:rsidRPr="0025250D">
        <w:rPr>
          <w:rFonts w:hint="cs"/>
          <w:rtl/>
        </w:rPr>
        <w:t>ی</w:t>
      </w:r>
      <w:r w:rsidRPr="0025250D">
        <w:rPr>
          <w:rFonts w:hint="eastAsia"/>
          <w:rtl/>
        </w:rPr>
        <w:t>ک</w:t>
      </w:r>
      <w:r w:rsidRPr="0025250D">
        <w:rPr>
          <w:rtl/>
        </w:rPr>
        <w:t xml:space="preserve"> است.</w:t>
      </w:r>
      <w:r w:rsidRPr="0025250D">
        <w:rPr>
          <w:rFonts w:hint="cs"/>
          <w:rtl/>
        </w:rPr>
        <w:t xml:space="preserve"> این کتاب </w:t>
      </w:r>
      <w:r w:rsidRPr="0025250D">
        <w:rPr>
          <w:rtl/>
        </w:rPr>
        <w:t xml:space="preserve">در 1300 صفحه، </w:t>
      </w:r>
      <w:r w:rsidRPr="0025250D">
        <w:rPr>
          <w:rFonts w:hint="cs"/>
          <w:rtl/>
        </w:rPr>
        <w:t>ی</w:t>
      </w:r>
      <w:r w:rsidRPr="0025250D">
        <w:rPr>
          <w:rFonts w:hint="eastAsia"/>
          <w:rtl/>
        </w:rPr>
        <w:t>ک</w:t>
      </w:r>
      <w:r w:rsidRPr="0025250D">
        <w:rPr>
          <w:rtl/>
        </w:rPr>
        <w:t xml:space="preserve"> مجموعه روش</w:t>
      </w:r>
      <w:r w:rsidRPr="0025250D">
        <w:rPr>
          <w:rFonts w:hint="cs"/>
          <w:rtl/>
        </w:rPr>
        <w:t>ی</w:t>
      </w:r>
      <w:r w:rsidRPr="0025250D">
        <w:rPr>
          <w:rtl/>
        </w:rPr>
        <w:t xml:space="preserve"> عال</w:t>
      </w:r>
      <w:r w:rsidRPr="0025250D">
        <w:rPr>
          <w:rFonts w:hint="cs"/>
          <w:rtl/>
        </w:rPr>
        <w:t>ی</w:t>
      </w:r>
      <w:r w:rsidRPr="0025250D">
        <w:rPr>
          <w:rtl/>
        </w:rPr>
        <w:t xml:space="preserve"> برا</w:t>
      </w:r>
      <w:r w:rsidRPr="0025250D">
        <w:rPr>
          <w:rFonts w:hint="cs"/>
          <w:rtl/>
        </w:rPr>
        <w:t>ی</w:t>
      </w:r>
      <w:r w:rsidRPr="0025250D">
        <w:rPr>
          <w:rtl/>
        </w:rPr>
        <w:t xml:space="preserve"> </w:t>
      </w:r>
      <w:r w:rsidRPr="0025250D">
        <w:rPr>
          <w:rFonts w:hint="cs"/>
          <w:rtl/>
        </w:rPr>
        <w:t>کارگزاران</w:t>
      </w:r>
      <w:r w:rsidRPr="0025250D">
        <w:rPr>
          <w:rtl/>
        </w:rPr>
        <w:t xml:space="preserve"> است. ما آن را به عنوان </w:t>
      </w:r>
      <w:r w:rsidRPr="0025250D">
        <w:rPr>
          <w:rFonts w:hint="cs"/>
          <w:rtl/>
        </w:rPr>
        <w:t>ی</w:t>
      </w:r>
      <w:r w:rsidRPr="0025250D">
        <w:rPr>
          <w:rFonts w:hint="eastAsia"/>
          <w:rtl/>
        </w:rPr>
        <w:t>ک</w:t>
      </w:r>
      <w:r w:rsidRPr="0025250D">
        <w:rPr>
          <w:rtl/>
        </w:rPr>
        <w:t xml:space="preserve"> مکمل آموزش</w:t>
      </w:r>
      <w:r w:rsidRPr="0025250D">
        <w:rPr>
          <w:rFonts w:hint="cs"/>
          <w:rtl/>
        </w:rPr>
        <w:t>ی</w:t>
      </w:r>
      <w:r w:rsidRPr="0025250D">
        <w:rPr>
          <w:rtl/>
        </w:rPr>
        <w:t xml:space="preserve"> برا</w:t>
      </w:r>
      <w:r w:rsidRPr="0025250D">
        <w:rPr>
          <w:rFonts w:hint="cs"/>
          <w:rtl/>
        </w:rPr>
        <w:t>ی</w:t>
      </w:r>
      <w:r w:rsidRPr="0025250D">
        <w:rPr>
          <w:rtl/>
        </w:rPr>
        <w:t xml:space="preserve"> ا</w:t>
      </w:r>
      <w:r w:rsidRPr="0025250D">
        <w:rPr>
          <w:rFonts w:hint="cs"/>
          <w:rtl/>
        </w:rPr>
        <w:t>ی</w:t>
      </w:r>
      <w:r w:rsidRPr="0025250D">
        <w:rPr>
          <w:rFonts w:hint="eastAsia"/>
          <w:rtl/>
        </w:rPr>
        <w:t>ن</w:t>
      </w:r>
      <w:r w:rsidRPr="0025250D">
        <w:rPr>
          <w:rtl/>
        </w:rPr>
        <w:t xml:space="preserve"> راهنما به شدت توص</w:t>
      </w:r>
      <w:r w:rsidRPr="0025250D">
        <w:rPr>
          <w:rFonts w:hint="cs"/>
          <w:rtl/>
        </w:rPr>
        <w:t>ی</w:t>
      </w:r>
      <w:r w:rsidRPr="0025250D">
        <w:rPr>
          <w:rFonts w:hint="eastAsia"/>
          <w:rtl/>
        </w:rPr>
        <w:t>ه</w:t>
      </w:r>
      <w:r w:rsidRPr="0025250D">
        <w:rPr>
          <w:rtl/>
        </w:rPr>
        <w:t xml:space="preserve"> م</w:t>
      </w:r>
      <w:r w:rsidRPr="0025250D">
        <w:rPr>
          <w:rFonts w:hint="cs"/>
          <w:rtl/>
        </w:rPr>
        <w:t>ی</w:t>
      </w:r>
      <w:r w:rsidRPr="0025250D">
        <w:rPr>
          <w:rtl/>
        </w:rPr>
        <w:t xml:space="preserve"> کن</w:t>
      </w:r>
      <w:r w:rsidRPr="0025250D">
        <w:rPr>
          <w:rFonts w:hint="cs"/>
          <w:rtl/>
        </w:rPr>
        <w:t>ی</w:t>
      </w:r>
      <w:r w:rsidRPr="0025250D">
        <w:rPr>
          <w:rFonts w:hint="eastAsia"/>
          <w:rtl/>
        </w:rPr>
        <w:t>م</w:t>
      </w:r>
      <w:r w:rsidRPr="0025250D">
        <w:rPr>
          <w:rtl/>
        </w:rPr>
        <w:t>. ا</w:t>
      </w:r>
      <w:r w:rsidRPr="0025250D">
        <w:rPr>
          <w:rFonts w:hint="cs"/>
          <w:rtl/>
        </w:rPr>
        <w:t>ی</w:t>
      </w:r>
      <w:r w:rsidRPr="0025250D">
        <w:rPr>
          <w:rFonts w:hint="eastAsia"/>
          <w:rtl/>
        </w:rPr>
        <w:t>ن</w:t>
      </w:r>
      <w:r w:rsidRPr="0025250D">
        <w:rPr>
          <w:rFonts w:hint="cs"/>
          <w:rtl/>
        </w:rPr>
        <w:t xml:space="preserve"> کتاب</w:t>
      </w:r>
      <w:r w:rsidRPr="0025250D">
        <w:rPr>
          <w:rtl/>
        </w:rPr>
        <w:t xml:space="preserve"> توسط </w:t>
      </w:r>
      <w:r w:rsidRPr="0025250D">
        <w:rPr>
          <w:rFonts w:hint="cs"/>
          <w:rtl/>
        </w:rPr>
        <w:t>ی</w:t>
      </w:r>
      <w:r w:rsidRPr="0025250D">
        <w:rPr>
          <w:rFonts w:hint="eastAsia"/>
          <w:rtl/>
        </w:rPr>
        <w:t>ک</w:t>
      </w:r>
      <w:r w:rsidRPr="0025250D">
        <w:rPr>
          <w:rtl/>
        </w:rPr>
        <w:t xml:space="preserve"> شبکه جهان</w:t>
      </w:r>
      <w:r w:rsidRPr="0025250D">
        <w:rPr>
          <w:rFonts w:hint="cs"/>
          <w:rtl/>
        </w:rPr>
        <w:t>ی</w:t>
      </w:r>
      <w:r w:rsidRPr="0025250D">
        <w:rPr>
          <w:rtl/>
        </w:rPr>
        <w:t xml:space="preserve"> از متخصصان آ</w:t>
      </w:r>
      <w:r w:rsidRPr="0025250D">
        <w:rPr>
          <w:rFonts w:hint="cs"/>
          <w:rtl/>
        </w:rPr>
        <w:t>ی</w:t>
      </w:r>
      <w:r w:rsidRPr="0025250D">
        <w:rPr>
          <w:rFonts w:hint="eastAsia"/>
          <w:rtl/>
        </w:rPr>
        <w:t>نده‌نگار</w:t>
      </w:r>
      <w:r w:rsidRPr="0025250D">
        <w:rPr>
          <w:rFonts w:hint="cs"/>
          <w:rtl/>
        </w:rPr>
        <w:t>ی</w:t>
      </w:r>
      <w:r w:rsidRPr="0025250D">
        <w:rPr>
          <w:rtl/>
        </w:rPr>
        <w:t xml:space="preserve"> که در پروژه هزاره گلن شرکت م</w:t>
      </w:r>
      <w:r w:rsidRPr="0025250D">
        <w:rPr>
          <w:rFonts w:hint="cs"/>
          <w:rtl/>
        </w:rPr>
        <w:t>ی‌</w:t>
      </w:r>
      <w:r w:rsidRPr="0025250D">
        <w:rPr>
          <w:rFonts w:hint="eastAsia"/>
          <w:rtl/>
        </w:rPr>
        <w:t>کنند،</w:t>
      </w:r>
      <w:r w:rsidRPr="0025250D">
        <w:rPr>
          <w:rtl/>
        </w:rPr>
        <w:t xml:space="preserve"> </w:t>
      </w:r>
      <w:r w:rsidRPr="0025250D">
        <w:rPr>
          <w:rFonts w:hint="cs"/>
          <w:rtl/>
        </w:rPr>
        <w:t>تدوین</w:t>
      </w:r>
      <w:r w:rsidRPr="0025250D">
        <w:rPr>
          <w:rtl/>
        </w:rPr>
        <w:t xml:space="preserve"> شده است. گزارش وضع</w:t>
      </w:r>
      <w:r w:rsidRPr="0025250D">
        <w:rPr>
          <w:rFonts w:hint="cs"/>
          <w:rtl/>
        </w:rPr>
        <w:t>ی</w:t>
      </w:r>
      <w:r w:rsidRPr="0025250D">
        <w:rPr>
          <w:rFonts w:hint="eastAsia"/>
          <w:rtl/>
        </w:rPr>
        <w:t>ت</w:t>
      </w:r>
      <w:r w:rsidRPr="0025250D">
        <w:rPr>
          <w:rtl/>
        </w:rPr>
        <w:t xml:space="preserve"> آ</w:t>
      </w:r>
      <w:r w:rsidRPr="0025250D">
        <w:rPr>
          <w:rFonts w:hint="cs"/>
          <w:rtl/>
        </w:rPr>
        <w:t>ی</w:t>
      </w:r>
      <w:r w:rsidRPr="0025250D">
        <w:rPr>
          <w:rFonts w:hint="eastAsia"/>
          <w:rtl/>
        </w:rPr>
        <w:t>نده</w:t>
      </w:r>
      <w:r w:rsidRPr="0025250D">
        <w:rPr>
          <w:rtl/>
        </w:rPr>
        <w:t xml:space="preserve"> گلن و فلورسکو ن</w:t>
      </w:r>
      <w:r w:rsidRPr="0025250D">
        <w:rPr>
          <w:rFonts w:hint="cs"/>
          <w:rtl/>
        </w:rPr>
        <w:t>ی</w:t>
      </w:r>
      <w:r w:rsidRPr="0025250D">
        <w:rPr>
          <w:rFonts w:hint="eastAsia"/>
          <w:rtl/>
        </w:rPr>
        <w:t>ز</w:t>
      </w:r>
      <w:r w:rsidRPr="0025250D">
        <w:rPr>
          <w:rtl/>
        </w:rPr>
        <w:t xml:space="preserve"> بس</w:t>
      </w:r>
      <w:r w:rsidRPr="0025250D">
        <w:rPr>
          <w:rFonts w:hint="cs"/>
          <w:rtl/>
        </w:rPr>
        <w:t>ی</w:t>
      </w:r>
      <w:r w:rsidRPr="0025250D">
        <w:rPr>
          <w:rFonts w:hint="eastAsia"/>
          <w:rtl/>
        </w:rPr>
        <w:t>ار</w:t>
      </w:r>
      <w:r w:rsidRPr="0025250D">
        <w:rPr>
          <w:rtl/>
        </w:rPr>
        <w:t xml:space="preserve"> توص</w:t>
      </w:r>
      <w:r w:rsidRPr="0025250D">
        <w:rPr>
          <w:rFonts w:hint="cs"/>
          <w:rtl/>
        </w:rPr>
        <w:t>ی</w:t>
      </w:r>
      <w:r w:rsidRPr="0025250D">
        <w:rPr>
          <w:rFonts w:hint="eastAsia"/>
          <w:rtl/>
        </w:rPr>
        <w:t>ه</w:t>
      </w:r>
      <w:r w:rsidRPr="0025250D">
        <w:rPr>
          <w:rtl/>
        </w:rPr>
        <w:t xml:space="preserve"> م</w:t>
      </w:r>
      <w:r w:rsidRPr="0025250D">
        <w:rPr>
          <w:rFonts w:hint="cs"/>
          <w:rtl/>
        </w:rPr>
        <w:t>ی</w:t>
      </w:r>
      <w:r w:rsidRPr="0025250D">
        <w:rPr>
          <w:rtl/>
        </w:rPr>
        <w:t xml:space="preserve"> شود.</w:t>
      </w:r>
    </w:p>
    <w:p w14:paraId="27B7D571" w14:textId="59EB31F9" w:rsidR="005B4181" w:rsidRPr="0025250D" w:rsidRDefault="005B4181" w:rsidP="00492C47">
      <w:pPr>
        <w:numPr>
          <w:ilvl w:val="0"/>
          <w:numId w:val="76"/>
        </w:numPr>
      </w:pPr>
      <w:r w:rsidRPr="0025250D">
        <w:rPr>
          <w:rtl/>
        </w:rPr>
        <w:t>مبان</w:t>
      </w:r>
      <w:r w:rsidRPr="0025250D">
        <w:rPr>
          <w:rFonts w:hint="cs"/>
          <w:rtl/>
        </w:rPr>
        <w:t>ی</w:t>
      </w:r>
      <w:r w:rsidRPr="0025250D">
        <w:rPr>
          <w:rtl/>
        </w:rPr>
        <w:t xml:space="preserve"> </w:t>
      </w:r>
      <w:r w:rsidR="00D92F6E" w:rsidRPr="0025250D">
        <w:rPr>
          <w:rFonts w:hint="cs"/>
          <w:rtl/>
        </w:rPr>
        <w:t>آینده‌پژوه</w:t>
      </w:r>
      <w:r w:rsidRPr="0025250D">
        <w:rPr>
          <w:rFonts w:hint="cs"/>
          <w:rtl/>
        </w:rPr>
        <w:t>ی</w:t>
      </w:r>
      <w:r w:rsidRPr="0025250D">
        <w:rPr>
          <w:rFonts w:hint="eastAsia"/>
          <w:rtl/>
        </w:rPr>
        <w:t>،</w:t>
      </w:r>
      <w:r w:rsidRPr="0025250D">
        <w:rPr>
          <w:rtl/>
        </w:rPr>
        <w:t xml:space="preserve"> جلد 1 و 2، وندل بل</w:t>
      </w:r>
      <w:r w:rsidRPr="0025250D">
        <w:rPr>
          <w:vertAlign w:val="superscript"/>
          <w:rtl/>
        </w:rPr>
        <w:footnoteReference w:id="3295"/>
      </w:r>
      <w:r w:rsidRPr="0025250D">
        <w:rPr>
          <w:rtl/>
        </w:rPr>
        <w:t xml:space="preserve">، 1997/2004. مسلماً هنوز کتاب </w:t>
      </w:r>
      <w:r w:rsidRPr="0025250D">
        <w:rPr>
          <w:rFonts w:hint="cs"/>
          <w:rtl/>
        </w:rPr>
        <w:t>آموزشی</w:t>
      </w:r>
      <w:r w:rsidRPr="0025250D">
        <w:rPr>
          <w:rtl/>
        </w:rPr>
        <w:t xml:space="preserve"> قطع</w:t>
      </w:r>
      <w:r w:rsidRPr="0025250D">
        <w:rPr>
          <w:rFonts w:hint="cs"/>
          <w:rtl/>
        </w:rPr>
        <w:t>ی</w:t>
      </w:r>
      <w:r w:rsidRPr="0025250D">
        <w:rPr>
          <w:rtl/>
        </w:rPr>
        <w:t xml:space="preserve"> در زم</w:t>
      </w:r>
      <w:r w:rsidRPr="0025250D">
        <w:rPr>
          <w:rFonts w:hint="cs"/>
          <w:rtl/>
        </w:rPr>
        <w:t>ی</w:t>
      </w:r>
      <w:r w:rsidRPr="0025250D">
        <w:rPr>
          <w:rFonts w:hint="eastAsia"/>
          <w:rtl/>
        </w:rPr>
        <w:t>نه</w:t>
      </w:r>
      <w:r w:rsidRPr="0025250D">
        <w:rPr>
          <w:rtl/>
        </w:rPr>
        <w:t xml:space="preserve"> ما است که توسط </w:t>
      </w:r>
      <w:r w:rsidRPr="0025250D">
        <w:rPr>
          <w:rFonts w:hint="cs"/>
          <w:rtl/>
        </w:rPr>
        <w:t>ی</w:t>
      </w:r>
      <w:r w:rsidRPr="0025250D">
        <w:rPr>
          <w:rFonts w:hint="eastAsia"/>
          <w:rtl/>
        </w:rPr>
        <w:t>ک</w:t>
      </w:r>
      <w:r w:rsidRPr="0025250D">
        <w:rPr>
          <w:rtl/>
        </w:rPr>
        <w:t xml:space="preserve"> استاد بازنشسته </w:t>
      </w:r>
      <w:r w:rsidR="00B124DE" w:rsidRPr="0025250D">
        <w:rPr>
          <w:rtl/>
        </w:rPr>
        <w:t>جامعه‌شناسی</w:t>
      </w:r>
      <w:r w:rsidRPr="0025250D">
        <w:rPr>
          <w:rtl/>
        </w:rPr>
        <w:t xml:space="preserve"> در </w:t>
      </w:r>
      <w:r w:rsidRPr="0025250D">
        <w:rPr>
          <w:rFonts w:hint="cs"/>
          <w:rtl/>
        </w:rPr>
        <w:t>یی</w:t>
      </w:r>
      <w:r w:rsidRPr="0025250D">
        <w:rPr>
          <w:rFonts w:hint="eastAsia"/>
          <w:rtl/>
        </w:rPr>
        <w:t>ل</w:t>
      </w:r>
      <w:r w:rsidRPr="0025250D">
        <w:rPr>
          <w:rtl/>
        </w:rPr>
        <w:t xml:space="preserve"> نوشته شده است. بل در سال 2019 درگذشت.</w:t>
      </w:r>
      <w:r w:rsidRPr="0025250D">
        <w:rPr>
          <w:rFonts w:hint="cs"/>
          <w:rtl/>
        </w:rPr>
        <w:t xml:space="preserve"> این کتاب</w:t>
      </w:r>
      <w:r w:rsidRPr="0025250D">
        <w:rPr>
          <w:rFonts w:hint="eastAsia"/>
          <w:rtl/>
        </w:rPr>
        <w:t>،</w:t>
      </w:r>
      <w:r w:rsidRPr="0025250D">
        <w:rPr>
          <w:rtl/>
        </w:rPr>
        <w:t xml:space="preserve"> مانند </w:t>
      </w:r>
      <w:r w:rsidR="005B6D28" w:rsidRPr="0025250D">
        <w:rPr>
          <w:rFonts w:hint="cs"/>
          <w:rtl/>
        </w:rPr>
        <w:t xml:space="preserve">این </w:t>
      </w:r>
      <w:r w:rsidRPr="0025250D">
        <w:rPr>
          <w:rtl/>
        </w:rPr>
        <w:t xml:space="preserve">راهنما، </w:t>
      </w:r>
      <w:r w:rsidRPr="0025250D">
        <w:rPr>
          <w:rFonts w:hint="cs"/>
          <w:rtl/>
        </w:rPr>
        <w:t xml:space="preserve">مبانی </w:t>
      </w:r>
      <w:r w:rsidRPr="0025250D">
        <w:rPr>
          <w:rtl/>
        </w:rPr>
        <w:t>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w:t>
      </w:r>
      <w:r w:rsidR="00701E03" w:rsidRPr="0025250D">
        <w:rPr>
          <w:rtl/>
        </w:rPr>
        <w:t>راهبردی</w:t>
      </w:r>
      <w:r w:rsidRPr="0025250D">
        <w:rPr>
          <w:rtl/>
        </w:rPr>
        <w:t xml:space="preserve"> و هنجار</w:t>
      </w:r>
      <w:r w:rsidRPr="0025250D">
        <w:rPr>
          <w:rFonts w:hint="cs"/>
          <w:rtl/>
        </w:rPr>
        <w:t>ی</w:t>
      </w:r>
      <w:r w:rsidRPr="0025250D">
        <w:rPr>
          <w:rtl/>
        </w:rPr>
        <w:t xml:space="preserve"> را پوشش م</w:t>
      </w:r>
      <w:r w:rsidRPr="0025250D">
        <w:rPr>
          <w:rFonts w:hint="cs"/>
          <w:rtl/>
        </w:rPr>
        <w:t>ی‌</w:t>
      </w:r>
      <w:r w:rsidRPr="0025250D">
        <w:rPr>
          <w:rFonts w:hint="eastAsia"/>
          <w:rtl/>
        </w:rPr>
        <w:t>دهد</w:t>
      </w:r>
      <w:r w:rsidRPr="0025250D">
        <w:rPr>
          <w:rtl/>
        </w:rPr>
        <w:t xml:space="preserve">. هر دو جلد به طور آگاهانه </w:t>
      </w:r>
      <w:r w:rsidRPr="0025250D">
        <w:rPr>
          <w:rFonts w:hint="cs"/>
          <w:rtl/>
        </w:rPr>
        <w:t xml:space="preserve">مبتنی بر </w:t>
      </w:r>
      <w:r w:rsidRPr="0025250D">
        <w:rPr>
          <w:rtl/>
        </w:rPr>
        <w:t xml:space="preserve">سه </w:t>
      </w:r>
      <w:r w:rsidRPr="0025250D">
        <w:t>P</w:t>
      </w:r>
      <w:r w:rsidRPr="0025250D">
        <w:rPr>
          <w:rtl/>
        </w:rPr>
        <w:t xml:space="preserve"> سازمانده</w:t>
      </w:r>
      <w:r w:rsidRPr="0025250D">
        <w:rPr>
          <w:rFonts w:hint="cs"/>
          <w:rtl/>
        </w:rPr>
        <w:t>ی</w:t>
      </w:r>
      <w:r w:rsidRPr="0025250D">
        <w:rPr>
          <w:rtl/>
        </w:rPr>
        <w:t xml:space="preserve"> </w:t>
      </w:r>
      <w:r w:rsidR="00185F3E" w:rsidRPr="0025250D">
        <w:rPr>
          <w:rtl/>
        </w:rPr>
        <w:t>شده‌اند</w:t>
      </w:r>
      <w:r w:rsidRPr="0025250D">
        <w:rPr>
          <w:rtl/>
        </w:rPr>
        <w:t>. بل در جلد 1 آ</w:t>
      </w:r>
      <w:r w:rsidRPr="0025250D">
        <w:rPr>
          <w:rFonts w:hint="cs"/>
          <w:rtl/>
        </w:rPr>
        <w:t>ی</w:t>
      </w:r>
      <w:r w:rsidRPr="0025250D">
        <w:rPr>
          <w:rFonts w:hint="eastAsia"/>
          <w:rtl/>
        </w:rPr>
        <w:t>نده‌ها</w:t>
      </w:r>
      <w:r w:rsidRPr="0025250D">
        <w:rPr>
          <w:rFonts w:hint="cs"/>
          <w:rtl/>
        </w:rPr>
        <w:t>ی</w:t>
      </w:r>
      <w:r w:rsidRPr="0025250D">
        <w:rPr>
          <w:rtl/>
        </w:rPr>
        <w:t xml:space="preserve"> </w:t>
      </w:r>
      <w:r w:rsidRPr="0025250D">
        <w:rPr>
          <w:rFonts w:hint="cs"/>
          <w:rtl/>
        </w:rPr>
        <w:t>محتمل</w:t>
      </w:r>
      <w:r w:rsidRPr="0025250D">
        <w:rPr>
          <w:rtl/>
        </w:rPr>
        <w:t xml:space="preserve"> و </w:t>
      </w:r>
      <w:r w:rsidRPr="0025250D">
        <w:rPr>
          <w:rFonts w:hint="cs"/>
          <w:rtl/>
        </w:rPr>
        <w:t>ممکن</w:t>
      </w:r>
      <w:r w:rsidRPr="0025250D">
        <w:rPr>
          <w:rtl/>
        </w:rPr>
        <w:t xml:space="preserve"> را پوشش م</w:t>
      </w:r>
      <w:r w:rsidRPr="0025250D">
        <w:rPr>
          <w:rFonts w:hint="cs"/>
          <w:rtl/>
        </w:rPr>
        <w:t>ی‌</w:t>
      </w:r>
      <w:r w:rsidRPr="0025250D">
        <w:rPr>
          <w:rFonts w:hint="eastAsia"/>
          <w:rtl/>
        </w:rPr>
        <w:t>دهد</w:t>
      </w:r>
      <w:r w:rsidRPr="0025250D">
        <w:rPr>
          <w:rtl/>
        </w:rPr>
        <w:t xml:space="preserve"> که شامل تار</w:t>
      </w:r>
      <w:r w:rsidRPr="0025250D">
        <w:rPr>
          <w:rFonts w:hint="cs"/>
          <w:rtl/>
        </w:rPr>
        <w:t>ی</w:t>
      </w:r>
      <w:r w:rsidRPr="0025250D">
        <w:rPr>
          <w:rFonts w:hint="eastAsia"/>
          <w:rtl/>
        </w:rPr>
        <w:t>خچه،</w:t>
      </w:r>
      <w:r w:rsidRPr="0025250D">
        <w:rPr>
          <w:rtl/>
        </w:rPr>
        <w:t xml:space="preserve"> اهداف و پا</w:t>
      </w:r>
      <w:r w:rsidRPr="0025250D">
        <w:rPr>
          <w:rFonts w:hint="cs"/>
          <w:rtl/>
        </w:rPr>
        <w:t>ی</w:t>
      </w:r>
      <w:r w:rsidRPr="0025250D">
        <w:rPr>
          <w:rFonts w:hint="eastAsia"/>
          <w:rtl/>
        </w:rPr>
        <w:t>گاه</w:t>
      </w:r>
      <w:r w:rsidRPr="0025250D">
        <w:rPr>
          <w:rtl/>
        </w:rPr>
        <w:t xml:space="preserve"> دانش حوزه ما است.</w:t>
      </w:r>
      <w:r w:rsidRPr="0025250D">
        <w:rPr>
          <w:rFonts w:hint="cs"/>
          <w:rtl/>
        </w:rPr>
        <w:t xml:space="preserve"> </w:t>
      </w:r>
      <w:r w:rsidRPr="0025250D">
        <w:rPr>
          <w:rtl/>
        </w:rPr>
        <w:t>او آ</w:t>
      </w:r>
      <w:r w:rsidRPr="0025250D">
        <w:rPr>
          <w:rFonts w:hint="cs"/>
          <w:rtl/>
        </w:rPr>
        <w:t>ی</w:t>
      </w:r>
      <w:r w:rsidRPr="0025250D">
        <w:rPr>
          <w:rFonts w:hint="eastAsia"/>
          <w:rtl/>
        </w:rPr>
        <w:t>نده</w:t>
      </w:r>
      <w:r w:rsidRPr="0025250D">
        <w:rPr>
          <w:rtl/>
        </w:rPr>
        <w:t xml:space="preserve"> ها</w:t>
      </w:r>
      <w:r w:rsidRPr="0025250D">
        <w:rPr>
          <w:rFonts w:hint="cs"/>
          <w:rtl/>
        </w:rPr>
        <w:t>ی</w:t>
      </w:r>
      <w:r w:rsidRPr="0025250D">
        <w:rPr>
          <w:rtl/>
        </w:rPr>
        <w:t xml:space="preserve"> </w:t>
      </w:r>
      <w:r w:rsidRPr="0025250D">
        <w:rPr>
          <w:rFonts w:hint="cs"/>
          <w:rtl/>
        </w:rPr>
        <w:t>مرجح</w:t>
      </w:r>
      <w:r w:rsidRPr="0025250D">
        <w:rPr>
          <w:rtl/>
        </w:rPr>
        <w:t xml:space="preserve"> (</w:t>
      </w:r>
      <w:r w:rsidR="00D92F6E" w:rsidRPr="0025250D">
        <w:rPr>
          <w:rtl/>
        </w:rPr>
        <w:t>آینده‌نگاری</w:t>
      </w:r>
      <w:r w:rsidRPr="0025250D">
        <w:rPr>
          <w:rtl/>
        </w:rPr>
        <w:t xml:space="preserve"> هنجار</w:t>
      </w:r>
      <w:r w:rsidRPr="0025250D">
        <w:rPr>
          <w:rFonts w:hint="cs"/>
          <w:rtl/>
        </w:rPr>
        <w:t>ی</w:t>
      </w:r>
      <w:r w:rsidRPr="0025250D">
        <w:rPr>
          <w:rtl/>
        </w:rPr>
        <w:t>) را به صورت فرد</w:t>
      </w:r>
      <w:r w:rsidRPr="0025250D">
        <w:rPr>
          <w:rFonts w:hint="cs"/>
          <w:rtl/>
        </w:rPr>
        <w:t>ی</w:t>
      </w:r>
      <w:r w:rsidRPr="0025250D">
        <w:rPr>
          <w:rtl/>
        </w:rPr>
        <w:t xml:space="preserve"> و اجتماع</w:t>
      </w:r>
      <w:r w:rsidRPr="0025250D">
        <w:rPr>
          <w:rFonts w:hint="cs"/>
          <w:rtl/>
        </w:rPr>
        <w:t>ی</w:t>
      </w:r>
      <w:r w:rsidRPr="0025250D">
        <w:rPr>
          <w:rtl/>
        </w:rPr>
        <w:t xml:space="preserve"> در جلد 2 پوشش م</w:t>
      </w:r>
      <w:r w:rsidRPr="0025250D">
        <w:rPr>
          <w:rFonts w:hint="cs"/>
          <w:rtl/>
        </w:rPr>
        <w:t>ی</w:t>
      </w:r>
      <w:r w:rsidRPr="0025250D">
        <w:rPr>
          <w:rtl/>
        </w:rPr>
        <w:t xml:space="preserve"> دهد. جلد 2 خلاصه ا</w:t>
      </w:r>
      <w:r w:rsidRPr="0025250D">
        <w:rPr>
          <w:rFonts w:hint="cs"/>
          <w:rtl/>
        </w:rPr>
        <w:t>ی</w:t>
      </w:r>
      <w:r w:rsidRPr="0025250D">
        <w:rPr>
          <w:rtl/>
        </w:rPr>
        <w:t xml:space="preserve"> از کار بل در مورد سازگار</w:t>
      </w:r>
      <w:r w:rsidRPr="0025250D">
        <w:rPr>
          <w:rFonts w:hint="cs"/>
          <w:rtl/>
        </w:rPr>
        <w:t>ی</w:t>
      </w:r>
      <w:r w:rsidRPr="0025250D">
        <w:rPr>
          <w:rtl/>
        </w:rPr>
        <w:t xml:space="preserve"> اجتماع</w:t>
      </w:r>
      <w:r w:rsidRPr="0025250D">
        <w:rPr>
          <w:rFonts w:hint="cs"/>
          <w:rtl/>
        </w:rPr>
        <w:t>ی</w:t>
      </w:r>
      <w:r w:rsidRPr="0025250D">
        <w:rPr>
          <w:rFonts w:hint="eastAsia"/>
          <w:rtl/>
        </w:rPr>
        <w:t>،</w:t>
      </w:r>
      <w:r w:rsidRPr="0025250D">
        <w:rPr>
          <w:rtl/>
        </w:rPr>
        <w:t xml:space="preserve"> پرداختن به ارزش ها، ع</w:t>
      </w:r>
      <w:r w:rsidRPr="0025250D">
        <w:rPr>
          <w:rFonts w:hint="cs"/>
          <w:rtl/>
        </w:rPr>
        <w:t>ی</w:t>
      </w:r>
      <w:r w:rsidRPr="0025250D">
        <w:rPr>
          <w:rFonts w:hint="eastAsia"/>
          <w:rtl/>
        </w:rPr>
        <w:t>ن</w:t>
      </w:r>
      <w:r w:rsidRPr="0025250D">
        <w:rPr>
          <w:rFonts w:hint="cs"/>
          <w:rtl/>
        </w:rPr>
        <w:t>ی</w:t>
      </w:r>
      <w:r w:rsidRPr="0025250D">
        <w:rPr>
          <w:rFonts w:hint="eastAsia"/>
          <w:rtl/>
        </w:rPr>
        <w:t>ت</w:t>
      </w:r>
      <w:r w:rsidRPr="0025250D">
        <w:rPr>
          <w:rtl/>
        </w:rPr>
        <w:t xml:space="preserve"> و جامعه خوب </w:t>
      </w:r>
      <w:r w:rsidRPr="0025250D">
        <w:rPr>
          <w:rFonts w:hint="cs"/>
          <w:rtl/>
        </w:rPr>
        <w:t>ارائه می دهد</w:t>
      </w:r>
      <w:r w:rsidRPr="0025250D">
        <w:rPr>
          <w:rtl/>
        </w:rPr>
        <w:t>.</w:t>
      </w:r>
      <w:r w:rsidRPr="0025250D">
        <w:rPr>
          <w:rFonts w:hint="cs"/>
          <w:rtl/>
        </w:rPr>
        <w:t xml:space="preserve"> </w:t>
      </w:r>
      <w:r w:rsidRPr="0025250D">
        <w:rPr>
          <w:rtl/>
        </w:rPr>
        <w:t>تخصص ها</w:t>
      </w:r>
      <w:r w:rsidRPr="0025250D">
        <w:rPr>
          <w:rFonts w:hint="cs"/>
          <w:rtl/>
        </w:rPr>
        <w:t>ی</w:t>
      </w:r>
      <w:r w:rsidRPr="0025250D">
        <w:rPr>
          <w:rtl/>
        </w:rPr>
        <w:t xml:space="preserve"> تحق</w:t>
      </w:r>
      <w:r w:rsidRPr="0025250D">
        <w:rPr>
          <w:rFonts w:hint="cs"/>
          <w:rtl/>
        </w:rPr>
        <w:t>ی</w:t>
      </w:r>
      <w:r w:rsidRPr="0025250D">
        <w:rPr>
          <w:rFonts w:hint="eastAsia"/>
          <w:rtl/>
        </w:rPr>
        <w:t>قات</w:t>
      </w:r>
      <w:r w:rsidRPr="0025250D">
        <w:rPr>
          <w:rFonts w:hint="cs"/>
          <w:rtl/>
        </w:rPr>
        <w:t>ی</w:t>
      </w:r>
      <w:r w:rsidRPr="0025250D">
        <w:rPr>
          <w:rtl/>
        </w:rPr>
        <w:t xml:space="preserve"> </w:t>
      </w:r>
      <w:r w:rsidRPr="0025250D">
        <w:rPr>
          <w:rFonts w:hint="cs"/>
          <w:rtl/>
        </w:rPr>
        <w:t>ب</w:t>
      </w:r>
      <w:r w:rsidRPr="0025250D">
        <w:rPr>
          <w:rtl/>
        </w:rPr>
        <w:t>ل شامل طبقه اجتماع</w:t>
      </w:r>
      <w:r w:rsidRPr="0025250D">
        <w:rPr>
          <w:rFonts w:hint="cs"/>
          <w:rtl/>
        </w:rPr>
        <w:t>ی</w:t>
      </w:r>
      <w:r w:rsidRPr="0025250D">
        <w:rPr>
          <w:rFonts w:hint="eastAsia"/>
          <w:rtl/>
        </w:rPr>
        <w:t>،</w:t>
      </w:r>
      <w:r w:rsidRPr="0025250D">
        <w:rPr>
          <w:rtl/>
        </w:rPr>
        <w:t xml:space="preserve"> نژاد، زندگ</w:t>
      </w:r>
      <w:r w:rsidRPr="0025250D">
        <w:rPr>
          <w:rFonts w:hint="cs"/>
          <w:rtl/>
        </w:rPr>
        <w:t>ی</w:t>
      </w:r>
      <w:r w:rsidRPr="0025250D">
        <w:rPr>
          <w:rtl/>
        </w:rPr>
        <w:t xml:space="preserve"> خانوادگ</w:t>
      </w:r>
      <w:r w:rsidRPr="0025250D">
        <w:rPr>
          <w:rFonts w:hint="cs"/>
          <w:rtl/>
        </w:rPr>
        <w:t>ی</w:t>
      </w:r>
      <w:r w:rsidRPr="0025250D">
        <w:rPr>
          <w:rtl/>
        </w:rPr>
        <w:t xml:space="preserve"> و البته </w:t>
      </w:r>
      <w:r w:rsidR="00D92F6E" w:rsidRPr="0025250D">
        <w:rPr>
          <w:rtl/>
        </w:rPr>
        <w:t>آینده‌نگاری</w:t>
      </w:r>
      <w:r w:rsidRPr="0025250D">
        <w:rPr>
          <w:rtl/>
        </w:rPr>
        <w:t xml:space="preserve"> بود. </w:t>
      </w:r>
      <w:r w:rsidRPr="0025250D">
        <w:rPr>
          <w:rFonts w:hint="cs"/>
          <w:rtl/>
        </w:rPr>
        <w:t>ی</w:t>
      </w:r>
      <w:r w:rsidRPr="0025250D">
        <w:rPr>
          <w:rFonts w:hint="eastAsia"/>
          <w:rtl/>
        </w:rPr>
        <w:t>افتن</w:t>
      </w:r>
      <w:r w:rsidRPr="0025250D">
        <w:rPr>
          <w:rtl/>
        </w:rPr>
        <w:t xml:space="preserve"> ا</w:t>
      </w:r>
      <w:r w:rsidRPr="0025250D">
        <w:rPr>
          <w:rFonts w:hint="cs"/>
          <w:rtl/>
        </w:rPr>
        <w:t>ی</w:t>
      </w:r>
      <w:r w:rsidRPr="0025250D">
        <w:rPr>
          <w:rFonts w:hint="eastAsia"/>
          <w:rtl/>
        </w:rPr>
        <w:t>ن</w:t>
      </w:r>
      <w:r w:rsidRPr="0025250D">
        <w:rPr>
          <w:rtl/>
        </w:rPr>
        <w:t xml:space="preserve"> موارد به صورت چاپ</w:t>
      </w:r>
      <w:r w:rsidRPr="0025250D">
        <w:rPr>
          <w:rFonts w:hint="cs"/>
          <w:rtl/>
        </w:rPr>
        <w:t>ی</w:t>
      </w:r>
      <w:r w:rsidRPr="0025250D">
        <w:rPr>
          <w:rtl/>
        </w:rPr>
        <w:t xml:space="preserve"> در آمازون دشوار است، اما نسخه‌ها</w:t>
      </w:r>
      <w:r w:rsidRPr="0025250D">
        <w:rPr>
          <w:rFonts w:hint="cs"/>
          <w:rtl/>
        </w:rPr>
        <w:t>ی</w:t>
      </w:r>
      <w:r w:rsidRPr="0025250D">
        <w:rPr>
          <w:rtl/>
        </w:rPr>
        <w:t xml:space="preserve"> د</w:t>
      </w:r>
      <w:r w:rsidRPr="0025250D">
        <w:rPr>
          <w:rFonts w:hint="cs"/>
          <w:rtl/>
        </w:rPr>
        <w:t>ی</w:t>
      </w:r>
      <w:r w:rsidRPr="0025250D">
        <w:rPr>
          <w:rFonts w:hint="eastAsia"/>
          <w:rtl/>
        </w:rPr>
        <w:t>ج</w:t>
      </w:r>
      <w:r w:rsidRPr="0025250D">
        <w:rPr>
          <w:rFonts w:hint="cs"/>
          <w:rtl/>
        </w:rPr>
        <w:t>ی</w:t>
      </w:r>
      <w:r w:rsidRPr="0025250D">
        <w:rPr>
          <w:rFonts w:hint="eastAsia"/>
          <w:rtl/>
        </w:rPr>
        <w:t>تال</w:t>
      </w:r>
      <w:r w:rsidRPr="0025250D">
        <w:rPr>
          <w:rtl/>
        </w:rPr>
        <w:t xml:space="preserve"> به راحت</w:t>
      </w:r>
      <w:r w:rsidRPr="0025250D">
        <w:rPr>
          <w:rFonts w:hint="cs"/>
          <w:rtl/>
        </w:rPr>
        <w:t>ی</w:t>
      </w:r>
      <w:r w:rsidRPr="0025250D">
        <w:rPr>
          <w:rtl/>
        </w:rPr>
        <w:t xml:space="preserve"> در دسترس هستند. </w:t>
      </w:r>
      <w:r w:rsidRPr="0025250D">
        <w:rPr>
          <w:rFonts w:hint="cs"/>
          <w:rtl/>
        </w:rPr>
        <w:t>تالیف</w:t>
      </w:r>
      <w:r w:rsidRPr="0025250D">
        <w:rPr>
          <w:rtl/>
        </w:rPr>
        <w:t xml:space="preserve"> دو جلد</w:t>
      </w:r>
      <w:r w:rsidRPr="0025250D">
        <w:rPr>
          <w:rFonts w:hint="cs"/>
          <w:rtl/>
        </w:rPr>
        <w:t>ی</w:t>
      </w:r>
      <w:r w:rsidRPr="0025250D">
        <w:rPr>
          <w:rtl/>
        </w:rPr>
        <w:t xml:space="preserve"> ما از حوزه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مستق</w:t>
      </w:r>
      <w:r w:rsidRPr="0025250D">
        <w:rPr>
          <w:rFonts w:hint="cs"/>
          <w:rtl/>
        </w:rPr>
        <w:t>ی</w:t>
      </w:r>
      <w:r w:rsidRPr="0025250D">
        <w:rPr>
          <w:rFonts w:hint="eastAsia"/>
          <w:rtl/>
        </w:rPr>
        <w:t>ماً</w:t>
      </w:r>
      <w:r w:rsidRPr="0025250D">
        <w:rPr>
          <w:rtl/>
        </w:rPr>
        <w:t xml:space="preserve"> از ساختا</w:t>
      </w:r>
      <w:r w:rsidRPr="0025250D">
        <w:rPr>
          <w:rFonts w:hint="eastAsia"/>
          <w:rtl/>
        </w:rPr>
        <w:t>ر</w:t>
      </w:r>
      <w:r w:rsidRPr="0025250D">
        <w:rPr>
          <w:rtl/>
        </w:rPr>
        <w:t xml:space="preserve"> دو جلد</w:t>
      </w:r>
      <w:r w:rsidRPr="0025250D">
        <w:rPr>
          <w:rFonts w:hint="cs"/>
          <w:rtl/>
        </w:rPr>
        <w:t>ی</w:t>
      </w:r>
      <w:r w:rsidRPr="0025250D">
        <w:rPr>
          <w:rtl/>
        </w:rPr>
        <w:t xml:space="preserve"> بل الهام گرفته شده است. مبان</w:t>
      </w:r>
      <w:r w:rsidRPr="0025250D">
        <w:rPr>
          <w:rFonts w:hint="cs"/>
          <w:rtl/>
        </w:rPr>
        <w:t>ی</w:t>
      </w:r>
      <w:r w:rsidRPr="0025250D">
        <w:rPr>
          <w:rtl/>
        </w:rPr>
        <w:t xml:space="preserve"> </w:t>
      </w:r>
      <w:r w:rsidR="00D92F6E" w:rsidRPr="0025250D">
        <w:rPr>
          <w:rFonts w:hint="cs"/>
          <w:rtl/>
        </w:rPr>
        <w:t>آینده‌پژوه</w:t>
      </w:r>
      <w:r w:rsidRPr="0025250D">
        <w:rPr>
          <w:rFonts w:hint="cs"/>
          <w:rtl/>
        </w:rPr>
        <w:t>ی ی</w:t>
      </w:r>
      <w:r w:rsidRPr="0025250D">
        <w:rPr>
          <w:rFonts w:hint="eastAsia"/>
          <w:rtl/>
        </w:rPr>
        <w:t>ک</w:t>
      </w:r>
      <w:r w:rsidRPr="0025250D">
        <w:rPr>
          <w:rtl/>
        </w:rPr>
        <w:t xml:space="preserve"> مرور کل</w:t>
      </w:r>
      <w:r w:rsidRPr="0025250D">
        <w:rPr>
          <w:rFonts w:hint="cs"/>
          <w:rtl/>
        </w:rPr>
        <w:t>ی</w:t>
      </w:r>
      <w:r w:rsidRPr="0025250D">
        <w:rPr>
          <w:rtl/>
        </w:rPr>
        <w:t xml:space="preserve"> الهام بخش از گذشته و</w:t>
      </w:r>
      <w:r w:rsidRPr="0025250D">
        <w:rPr>
          <w:rFonts w:hint="cs"/>
          <w:rtl/>
        </w:rPr>
        <w:t xml:space="preserve"> موارد </w:t>
      </w:r>
      <w:r w:rsidR="00B453C0" w:rsidRPr="0025250D">
        <w:rPr>
          <w:rFonts w:hint="cs"/>
          <w:rtl/>
        </w:rPr>
        <w:t>امکان‌پذیر</w:t>
      </w:r>
      <w:r w:rsidRPr="0025250D">
        <w:rPr>
          <w:rtl/>
        </w:rPr>
        <w:t xml:space="preserve"> ه</w:t>
      </w:r>
      <w:r w:rsidRPr="0025250D">
        <w:rPr>
          <w:rFonts w:hint="cs"/>
          <w:rtl/>
        </w:rPr>
        <w:t>ی</w:t>
      </w:r>
      <w:r w:rsidRPr="0025250D">
        <w:rPr>
          <w:rFonts w:hint="eastAsia"/>
          <w:rtl/>
        </w:rPr>
        <w:t>جان</w:t>
      </w:r>
      <w:r w:rsidRPr="0025250D">
        <w:rPr>
          <w:rtl/>
        </w:rPr>
        <w:t xml:space="preserve"> انگ</w:t>
      </w:r>
      <w:r w:rsidRPr="0025250D">
        <w:rPr>
          <w:rFonts w:hint="cs"/>
          <w:rtl/>
        </w:rPr>
        <w:t>ی</w:t>
      </w:r>
      <w:r w:rsidRPr="0025250D">
        <w:rPr>
          <w:rFonts w:hint="eastAsia"/>
          <w:rtl/>
        </w:rPr>
        <w:t>ز</w:t>
      </w:r>
      <w:r w:rsidRPr="0025250D">
        <w:rPr>
          <w:rtl/>
        </w:rPr>
        <w:t xml:space="preserve"> </w:t>
      </w:r>
      <w:r w:rsidRPr="0025250D">
        <w:rPr>
          <w:rFonts w:hint="cs"/>
          <w:rtl/>
        </w:rPr>
        <w:t xml:space="preserve">برای </w:t>
      </w:r>
      <w:r w:rsidRPr="0025250D">
        <w:rPr>
          <w:rtl/>
        </w:rPr>
        <w:t xml:space="preserve">حوزه ما </w:t>
      </w:r>
      <w:r w:rsidRPr="0025250D">
        <w:rPr>
          <w:rFonts w:hint="cs"/>
          <w:rtl/>
        </w:rPr>
        <w:t>ارائه می دهد</w:t>
      </w:r>
      <w:r w:rsidRPr="0025250D">
        <w:rPr>
          <w:rtl/>
        </w:rPr>
        <w:t>.</w:t>
      </w:r>
    </w:p>
    <w:p w14:paraId="52842757" w14:textId="7338D1A3" w:rsidR="005B4181" w:rsidRPr="0025250D" w:rsidRDefault="005B4181" w:rsidP="00492C47">
      <w:pPr>
        <w:numPr>
          <w:ilvl w:val="0"/>
          <w:numId w:val="76"/>
        </w:numPr>
      </w:pPr>
      <w:r w:rsidRPr="0025250D">
        <w:rPr>
          <w:rtl/>
        </w:rPr>
        <w:t>پا</w:t>
      </w:r>
      <w:r w:rsidRPr="0025250D">
        <w:rPr>
          <w:rFonts w:hint="cs"/>
          <w:rtl/>
        </w:rPr>
        <w:t>ی</w:t>
      </w:r>
      <w:r w:rsidRPr="0025250D">
        <w:rPr>
          <w:rFonts w:hint="eastAsia"/>
          <w:rtl/>
        </w:rPr>
        <w:t>گاه</w:t>
      </w:r>
      <w:r w:rsidRPr="0025250D">
        <w:rPr>
          <w:rtl/>
        </w:rPr>
        <w:t xml:space="preserve"> دانش آ</w:t>
      </w:r>
      <w:r w:rsidRPr="0025250D">
        <w:rPr>
          <w:rFonts w:hint="cs"/>
          <w:rtl/>
        </w:rPr>
        <w:t>ی</w:t>
      </w:r>
      <w:r w:rsidRPr="0025250D">
        <w:rPr>
          <w:rFonts w:hint="eastAsia"/>
          <w:rtl/>
        </w:rPr>
        <w:t>نده‌پژوه</w:t>
      </w:r>
      <w:r w:rsidRPr="0025250D">
        <w:rPr>
          <w:rFonts w:hint="cs"/>
          <w:rtl/>
        </w:rPr>
        <w:t>ی</w:t>
      </w:r>
      <w:r w:rsidRPr="0025250D">
        <w:rPr>
          <w:rFonts w:hint="eastAsia"/>
          <w:rtl/>
        </w:rPr>
        <w:t>،</w:t>
      </w:r>
      <w:r w:rsidRPr="0025250D">
        <w:rPr>
          <w:rtl/>
        </w:rPr>
        <w:t xml:space="preserve"> ر</w:t>
      </w:r>
      <w:r w:rsidRPr="0025250D">
        <w:rPr>
          <w:rFonts w:hint="cs"/>
          <w:rtl/>
        </w:rPr>
        <w:t>ی</w:t>
      </w:r>
      <w:r w:rsidRPr="0025250D">
        <w:rPr>
          <w:rFonts w:hint="eastAsia"/>
          <w:rtl/>
        </w:rPr>
        <w:t>چارد</w:t>
      </w:r>
      <w:r w:rsidRPr="0025250D">
        <w:rPr>
          <w:rtl/>
        </w:rPr>
        <w:t xml:space="preserve"> اسلاتر و اند</w:t>
      </w:r>
      <w:r w:rsidRPr="0025250D">
        <w:rPr>
          <w:rFonts w:hint="cs"/>
          <w:rtl/>
        </w:rPr>
        <w:t>ی</w:t>
      </w:r>
      <w:r w:rsidRPr="0025250D">
        <w:rPr>
          <w:rtl/>
        </w:rPr>
        <w:t xml:space="preserve"> ها</w:t>
      </w:r>
      <w:r w:rsidRPr="0025250D">
        <w:rPr>
          <w:rFonts w:hint="cs"/>
          <w:rtl/>
        </w:rPr>
        <w:t>ی</w:t>
      </w:r>
      <w:r w:rsidRPr="0025250D">
        <w:rPr>
          <w:rFonts w:hint="eastAsia"/>
          <w:rtl/>
        </w:rPr>
        <w:t>نز</w:t>
      </w:r>
      <w:r w:rsidRPr="0025250D">
        <w:rPr>
          <w:vertAlign w:val="superscript"/>
          <w:rtl/>
        </w:rPr>
        <w:footnoteReference w:id="3296"/>
      </w:r>
      <w:r w:rsidRPr="0025250D">
        <w:rPr>
          <w:rFonts w:hint="eastAsia"/>
          <w:rtl/>
        </w:rPr>
        <w:t>،</w:t>
      </w:r>
      <w:r w:rsidRPr="0025250D">
        <w:rPr>
          <w:rtl/>
        </w:rPr>
        <w:t xml:space="preserve"> 2020. ا</w:t>
      </w:r>
      <w:r w:rsidRPr="0025250D">
        <w:rPr>
          <w:rFonts w:hint="cs"/>
          <w:rtl/>
        </w:rPr>
        <w:t>ی</w:t>
      </w:r>
      <w:r w:rsidRPr="0025250D">
        <w:rPr>
          <w:rFonts w:hint="eastAsia"/>
          <w:rtl/>
        </w:rPr>
        <w:t>ن</w:t>
      </w:r>
      <w:r w:rsidRPr="0025250D">
        <w:rPr>
          <w:rtl/>
        </w:rPr>
        <w:t xml:space="preserve"> </w:t>
      </w:r>
      <w:r w:rsidRPr="0025250D">
        <w:rPr>
          <w:rFonts w:hint="cs"/>
          <w:rtl/>
        </w:rPr>
        <w:t>کتاب</w:t>
      </w:r>
      <w:r w:rsidRPr="0025250D">
        <w:rPr>
          <w:rtl/>
        </w:rPr>
        <w:t xml:space="preserve"> خلاصه‌ا</w:t>
      </w:r>
      <w:r w:rsidRPr="0025250D">
        <w:rPr>
          <w:rFonts w:hint="cs"/>
          <w:rtl/>
        </w:rPr>
        <w:t>ی</w:t>
      </w:r>
      <w:r w:rsidRPr="0025250D">
        <w:rPr>
          <w:rtl/>
        </w:rPr>
        <w:t xml:space="preserve"> عال</w:t>
      </w:r>
      <w:r w:rsidRPr="0025250D">
        <w:rPr>
          <w:rFonts w:hint="cs"/>
          <w:rtl/>
        </w:rPr>
        <w:t>ی</w:t>
      </w:r>
      <w:r w:rsidRPr="0025250D">
        <w:rPr>
          <w:rtl/>
        </w:rPr>
        <w:t xml:space="preserve"> از روش‌ها و د</w:t>
      </w:r>
      <w:r w:rsidRPr="0025250D">
        <w:rPr>
          <w:rFonts w:hint="cs"/>
          <w:rtl/>
        </w:rPr>
        <w:t>ی</w:t>
      </w:r>
      <w:r w:rsidRPr="0025250D">
        <w:rPr>
          <w:rFonts w:hint="eastAsia"/>
          <w:rtl/>
        </w:rPr>
        <w:t>دگاه‌ها</w:t>
      </w:r>
      <w:r w:rsidRPr="0025250D">
        <w:rPr>
          <w:rFonts w:hint="cs"/>
          <w:rtl/>
        </w:rPr>
        <w:t>ی</w:t>
      </w:r>
      <w:r w:rsidRPr="0025250D">
        <w:rPr>
          <w:rtl/>
        </w:rPr>
        <w:t xml:space="preserve"> متنوع </w:t>
      </w:r>
      <w:r w:rsidRPr="0025250D">
        <w:rPr>
          <w:rFonts w:hint="cs"/>
          <w:rtl/>
        </w:rPr>
        <w:t>کارگزاران</w:t>
      </w:r>
      <w:r w:rsidRPr="0025250D">
        <w:rPr>
          <w:rtl/>
        </w:rPr>
        <w:t xml:space="preserve"> فعل</w:t>
      </w:r>
      <w:r w:rsidRPr="0025250D">
        <w:rPr>
          <w:rFonts w:hint="cs"/>
          <w:rtl/>
        </w:rPr>
        <w:t>ی</w:t>
      </w:r>
      <w:r w:rsidRPr="0025250D">
        <w:rPr>
          <w:rtl/>
        </w:rPr>
        <w:t xml:space="preserve"> در حوزه ما و مکمل عال</w:t>
      </w:r>
      <w:r w:rsidRPr="0025250D">
        <w:rPr>
          <w:rFonts w:hint="cs"/>
          <w:rtl/>
        </w:rPr>
        <w:t>ی</w:t>
      </w:r>
      <w:r w:rsidRPr="0025250D">
        <w:rPr>
          <w:rtl/>
        </w:rPr>
        <w:t xml:space="preserve"> د</w:t>
      </w:r>
      <w:r w:rsidRPr="0025250D">
        <w:rPr>
          <w:rFonts w:hint="cs"/>
          <w:rtl/>
        </w:rPr>
        <w:t>ی</w:t>
      </w:r>
      <w:r w:rsidRPr="0025250D">
        <w:rPr>
          <w:rFonts w:hint="eastAsia"/>
          <w:rtl/>
        </w:rPr>
        <w:t>گر</w:t>
      </w:r>
      <w:r w:rsidRPr="0025250D">
        <w:rPr>
          <w:rFonts w:hint="cs"/>
          <w:rtl/>
        </w:rPr>
        <w:t>ی</w:t>
      </w:r>
      <w:r w:rsidRPr="0025250D">
        <w:rPr>
          <w:rtl/>
        </w:rPr>
        <w:t xml:space="preserve"> برا</w:t>
      </w:r>
      <w:r w:rsidRPr="0025250D">
        <w:rPr>
          <w:rFonts w:hint="cs"/>
          <w:rtl/>
        </w:rPr>
        <w:t>ی</w:t>
      </w:r>
      <w:r w:rsidRPr="0025250D">
        <w:rPr>
          <w:rtl/>
        </w:rPr>
        <w:t xml:space="preserve"> ا</w:t>
      </w:r>
      <w:r w:rsidRPr="0025250D">
        <w:rPr>
          <w:rFonts w:hint="cs"/>
          <w:rtl/>
        </w:rPr>
        <w:t>ی</w:t>
      </w:r>
      <w:r w:rsidRPr="0025250D">
        <w:rPr>
          <w:rFonts w:hint="eastAsia"/>
          <w:rtl/>
        </w:rPr>
        <w:t>ن</w:t>
      </w:r>
      <w:r w:rsidRPr="0025250D">
        <w:rPr>
          <w:rtl/>
        </w:rPr>
        <w:t xml:space="preserve"> راهنما است.</w:t>
      </w:r>
      <w:r w:rsidRPr="0025250D">
        <w:rPr>
          <w:rFonts w:hint="cs"/>
          <w:rtl/>
        </w:rPr>
        <w:t xml:space="preserve"> </w:t>
      </w:r>
      <w:r w:rsidRPr="0025250D">
        <w:rPr>
          <w:rtl/>
        </w:rPr>
        <w:t>ا</w:t>
      </w:r>
      <w:r w:rsidRPr="0025250D">
        <w:rPr>
          <w:rFonts w:hint="cs"/>
          <w:rtl/>
        </w:rPr>
        <w:t>ی</w:t>
      </w:r>
      <w:r w:rsidRPr="0025250D">
        <w:rPr>
          <w:rFonts w:hint="eastAsia"/>
          <w:rtl/>
        </w:rPr>
        <w:t>ن</w:t>
      </w:r>
      <w:r w:rsidRPr="0025250D">
        <w:rPr>
          <w:rtl/>
        </w:rPr>
        <w:t xml:space="preserve"> اثر که در ابتدا در سال 1993 و دوباره در سال 2005 توسط </w:t>
      </w:r>
      <w:r w:rsidR="00D92F6E" w:rsidRPr="0025250D">
        <w:rPr>
          <w:rtl/>
        </w:rPr>
        <w:t>آینده‌پژوه</w:t>
      </w:r>
      <w:r w:rsidRPr="0025250D">
        <w:rPr>
          <w:rtl/>
        </w:rPr>
        <w:t xml:space="preserve"> پ</w:t>
      </w:r>
      <w:r w:rsidRPr="0025250D">
        <w:rPr>
          <w:rFonts w:hint="cs"/>
          <w:rtl/>
        </w:rPr>
        <w:t>ی</w:t>
      </w:r>
      <w:r w:rsidRPr="0025250D">
        <w:rPr>
          <w:rFonts w:hint="eastAsia"/>
          <w:rtl/>
        </w:rPr>
        <w:t>شگام</w:t>
      </w:r>
      <w:r w:rsidRPr="0025250D">
        <w:rPr>
          <w:rtl/>
        </w:rPr>
        <w:t xml:space="preserve"> منتقد استرال</w:t>
      </w:r>
      <w:r w:rsidRPr="0025250D">
        <w:rPr>
          <w:rFonts w:hint="cs"/>
          <w:rtl/>
        </w:rPr>
        <w:t>ی</w:t>
      </w:r>
      <w:r w:rsidRPr="0025250D">
        <w:rPr>
          <w:rFonts w:hint="eastAsia"/>
          <w:rtl/>
        </w:rPr>
        <w:t>ا</w:t>
      </w:r>
      <w:r w:rsidRPr="0025250D">
        <w:rPr>
          <w:rFonts w:hint="cs"/>
          <w:rtl/>
        </w:rPr>
        <w:t>یی</w:t>
      </w:r>
      <w:r w:rsidRPr="0025250D">
        <w:rPr>
          <w:rtl/>
        </w:rPr>
        <w:t xml:space="preserve"> ر</w:t>
      </w:r>
      <w:r w:rsidRPr="0025250D">
        <w:rPr>
          <w:rFonts w:hint="cs"/>
          <w:rtl/>
        </w:rPr>
        <w:t>ی</w:t>
      </w:r>
      <w:r w:rsidRPr="0025250D">
        <w:rPr>
          <w:rFonts w:hint="eastAsia"/>
          <w:rtl/>
        </w:rPr>
        <w:t>چارد</w:t>
      </w:r>
      <w:r w:rsidRPr="0025250D">
        <w:rPr>
          <w:rtl/>
        </w:rPr>
        <w:t xml:space="preserve"> اسلاتر منتشر شد، با کمک مال</w:t>
      </w:r>
      <w:r w:rsidRPr="0025250D">
        <w:rPr>
          <w:rFonts w:hint="cs"/>
          <w:rtl/>
        </w:rPr>
        <w:t>ی</w:t>
      </w:r>
      <w:r w:rsidRPr="0025250D">
        <w:rPr>
          <w:rtl/>
        </w:rPr>
        <w:t xml:space="preserve"> انجمن </w:t>
      </w:r>
      <w:r w:rsidR="00D92F6E" w:rsidRPr="0025250D">
        <w:rPr>
          <w:rtl/>
        </w:rPr>
        <w:t>آینده‌پژوه</w:t>
      </w:r>
      <w:r w:rsidRPr="0025250D">
        <w:rPr>
          <w:rtl/>
        </w:rPr>
        <w:t xml:space="preserve">ان </w:t>
      </w:r>
      <w:r w:rsidRPr="0025250D">
        <w:rPr>
          <w:rFonts w:hint="cs"/>
          <w:rtl/>
        </w:rPr>
        <w:t>متخصص</w:t>
      </w:r>
      <w:r w:rsidRPr="0025250D">
        <w:rPr>
          <w:rtl/>
        </w:rPr>
        <w:t xml:space="preserve"> - سازمان </w:t>
      </w:r>
      <w:r w:rsidRPr="0025250D">
        <w:rPr>
          <w:rFonts w:hint="cs"/>
          <w:rtl/>
        </w:rPr>
        <w:t>تخصصی</w:t>
      </w:r>
      <w:r w:rsidRPr="0025250D">
        <w:rPr>
          <w:rtl/>
        </w:rPr>
        <w:t xml:space="preserve"> پ</w:t>
      </w:r>
      <w:r w:rsidRPr="0025250D">
        <w:rPr>
          <w:rFonts w:hint="cs"/>
          <w:rtl/>
        </w:rPr>
        <w:t>ی</w:t>
      </w:r>
      <w:r w:rsidRPr="0025250D">
        <w:rPr>
          <w:rFonts w:hint="eastAsia"/>
          <w:rtl/>
        </w:rPr>
        <w:t>شرو</w:t>
      </w:r>
      <w:r w:rsidRPr="0025250D">
        <w:rPr>
          <w:rtl/>
        </w:rPr>
        <w:t xml:space="preserve"> در حوزه </w:t>
      </w:r>
      <w:r w:rsidR="005B6D28" w:rsidRPr="0025250D">
        <w:rPr>
          <w:rFonts w:hint="cs"/>
          <w:rtl/>
        </w:rPr>
        <w:t>آینده‌نگاری</w:t>
      </w:r>
      <w:r w:rsidRPr="0025250D">
        <w:rPr>
          <w:rtl/>
        </w:rPr>
        <w:t xml:space="preserve">، به روز شده است. </w:t>
      </w:r>
      <w:r w:rsidRPr="0025250D">
        <w:t>KBFS</w:t>
      </w:r>
      <w:r w:rsidRPr="0025250D">
        <w:rPr>
          <w:rtl/>
        </w:rPr>
        <w:t xml:space="preserve"> در چهار جلد، با 31 فصل و 37 نو</w:t>
      </w:r>
      <w:r w:rsidRPr="0025250D">
        <w:rPr>
          <w:rFonts w:hint="cs"/>
          <w:rtl/>
        </w:rPr>
        <w:t>ی</w:t>
      </w:r>
      <w:r w:rsidRPr="0025250D">
        <w:rPr>
          <w:rFonts w:hint="eastAsia"/>
          <w:rtl/>
        </w:rPr>
        <w:t>سنده،</w:t>
      </w:r>
      <w:r w:rsidRPr="0025250D">
        <w:rPr>
          <w:rtl/>
        </w:rPr>
        <w:t xml:space="preserve"> ارزش و </w:t>
      </w:r>
      <w:r w:rsidRPr="0025250D">
        <w:rPr>
          <w:rFonts w:hint="eastAsia"/>
          <w:rtl/>
        </w:rPr>
        <w:t>تنوع</w:t>
      </w:r>
      <w:r w:rsidRPr="0025250D">
        <w:rPr>
          <w:rtl/>
        </w:rPr>
        <w:t xml:space="preserve"> ز</w:t>
      </w:r>
      <w:r w:rsidRPr="0025250D">
        <w:rPr>
          <w:rFonts w:hint="cs"/>
          <w:rtl/>
        </w:rPr>
        <w:t>ی</w:t>
      </w:r>
      <w:r w:rsidRPr="0025250D">
        <w:rPr>
          <w:rFonts w:hint="eastAsia"/>
          <w:rtl/>
        </w:rPr>
        <w:t>اد</w:t>
      </w:r>
      <w:r w:rsidRPr="0025250D">
        <w:rPr>
          <w:rtl/>
        </w:rPr>
        <w:t xml:space="preserve"> روش‌ها و ش</w:t>
      </w:r>
      <w:r w:rsidRPr="0025250D">
        <w:rPr>
          <w:rFonts w:hint="cs"/>
          <w:rtl/>
        </w:rPr>
        <w:t>ی</w:t>
      </w:r>
      <w:r w:rsidRPr="0025250D">
        <w:rPr>
          <w:rFonts w:hint="eastAsia"/>
          <w:rtl/>
        </w:rPr>
        <w:t>وه‌ها</w:t>
      </w:r>
      <w:r w:rsidRPr="0025250D">
        <w:rPr>
          <w:rFonts w:hint="cs"/>
          <w:rtl/>
        </w:rPr>
        <w:t>ی</w:t>
      </w:r>
      <w:r w:rsidRPr="0025250D">
        <w:rPr>
          <w:rtl/>
        </w:rPr>
        <w:t xml:space="preserve"> آ</w:t>
      </w:r>
      <w:r w:rsidRPr="0025250D">
        <w:rPr>
          <w:rFonts w:hint="cs"/>
          <w:rtl/>
        </w:rPr>
        <w:t>ی</w:t>
      </w:r>
      <w:r w:rsidRPr="0025250D">
        <w:rPr>
          <w:rFonts w:hint="eastAsia"/>
          <w:rtl/>
        </w:rPr>
        <w:t>نده‌نگار</w:t>
      </w:r>
      <w:r w:rsidRPr="0025250D">
        <w:rPr>
          <w:rFonts w:hint="cs"/>
          <w:rtl/>
        </w:rPr>
        <w:t>ی</w:t>
      </w:r>
      <w:r w:rsidRPr="0025250D">
        <w:rPr>
          <w:rtl/>
        </w:rPr>
        <w:t xml:space="preserve"> را نشان م</w:t>
      </w:r>
      <w:r w:rsidRPr="0025250D">
        <w:rPr>
          <w:rFonts w:hint="cs"/>
          <w:rtl/>
        </w:rPr>
        <w:t>ی‌</w:t>
      </w:r>
      <w:r w:rsidRPr="0025250D">
        <w:rPr>
          <w:rFonts w:hint="eastAsia"/>
          <w:rtl/>
        </w:rPr>
        <w:t>دهد</w:t>
      </w:r>
      <w:r w:rsidRPr="0025250D">
        <w:rPr>
          <w:rtl/>
        </w:rPr>
        <w:t>.</w:t>
      </w:r>
      <w:r w:rsidRPr="0025250D">
        <w:rPr>
          <w:rFonts w:hint="cs"/>
          <w:rtl/>
        </w:rPr>
        <w:t xml:space="preserve"> </w:t>
      </w:r>
      <w:r w:rsidRPr="0025250D">
        <w:rPr>
          <w:rtl/>
        </w:rPr>
        <w:t>در ع</w:t>
      </w:r>
      <w:r w:rsidRPr="0025250D">
        <w:rPr>
          <w:rFonts w:hint="cs"/>
          <w:rtl/>
        </w:rPr>
        <w:t>ی</w:t>
      </w:r>
      <w:r w:rsidRPr="0025250D">
        <w:rPr>
          <w:rFonts w:hint="eastAsia"/>
          <w:rtl/>
        </w:rPr>
        <w:t>ن</w:t>
      </w:r>
      <w:r w:rsidRPr="0025250D">
        <w:rPr>
          <w:rtl/>
        </w:rPr>
        <w:t xml:space="preserve"> حال، تفاوت ها</w:t>
      </w:r>
      <w:r w:rsidRPr="0025250D">
        <w:rPr>
          <w:rFonts w:hint="cs"/>
          <w:rtl/>
        </w:rPr>
        <w:t>ی</w:t>
      </w:r>
      <w:r w:rsidRPr="0025250D">
        <w:rPr>
          <w:rtl/>
        </w:rPr>
        <w:t xml:space="preserve"> قابل توجه</w:t>
      </w:r>
      <w:r w:rsidRPr="0025250D">
        <w:rPr>
          <w:rFonts w:hint="cs"/>
          <w:rtl/>
        </w:rPr>
        <w:t>ی</w:t>
      </w:r>
      <w:r w:rsidRPr="0025250D">
        <w:rPr>
          <w:rtl/>
        </w:rPr>
        <w:t xml:space="preserve"> در لحن و مفروضات ا</w:t>
      </w:r>
      <w:r w:rsidRPr="0025250D">
        <w:rPr>
          <w:rFonts w:hint="cs"/>
          <w:rtl/>
        </w:rPr>
        <w:t>ی</w:t>
      </w:r>
      <w:r w:rsidRPr="0025250D">
        <w:rPr>
          <w:rFonts w:hint="eastAsia"/>
          <w:rtl/>
        </w:rPr>
        <w:t>ن</w:t>
      </w:r>
      <w:r w:rsidRPr="0025250D">
        <w:rPr>
          <w:rtl/>
        </w:rPr>
        <w:t xml:space="preserve"> راهنما دارد. به عنوان </w:t>
      </w:r>
      <w:r w:rsidRPr="0025250D">
        <w:rPr>
          <w:rFonts w:hint="cs"/>
          <w:rtl/>
        </w:rPr>
        <w:t>ی</w:t>
      </w:r>
      <w:r w:rsidRPr="0025250D">
        <w:rPr>
          <w:rFonts w:hint="eastAsia"/>
          <w:rtl/>
        </w:rPr>
        <w:t>ک</w:t>
      </w:r>
      <w:r w:rsidRPr="0025250D">
        <w:rPr>
          <w:rtl/>
        </w:rPr>
        <w:t xml:space="preserve"> </w:t>
      </w:r>
      <w:r w:rsidRPr="0025250D">
        <w:rPr>
          <w:rFonts w:hint="cs"/>
          <w:rtl/>
        </w:rPr>
        <w:t>نسخه</w:t>
      </w:r>
      <w:r w:rsidRPr="0025250D">
        <w:rPr>
          <w:rtl/>
        </w:rPr>
        <w:t xml:space="preserve"> و</w:t>
      </w:r>
      <w:r w:rsidRPr="0025250D">
        <w:rPr>
          <w:rFonts w:hint="cs"/>
          <w:rtl/>
        </w:rPr>
        <w:t>ی</w:t>
      </w:r>
      <w:r w:rsidRPr="0025250D">
        <w:rPr>
          <w:rFonts w:hint="eastAsia"/>
          <w:rtl/>
        </w:rPr>
        <w:t>را</w:t>
      </w:r>
      <w:r w:rsidRPr="0025250D">
        <w:rPr>
          <w:rFonts w:hint="cs"/>
          <w:rtl/>
        </w:rPr>
        <w:t>ی</w:t>
      </w:r>
      <w:r w:rsidRPr="0025250D">
        <w:rPr>
          <w:rFonts w:hint="eastAsia"/>
          <w:rtl/>
        </w:rPr>
        <w:t>ش</w:t>
      </w:r>
      <w:r w:rsidRPr="0025250D">
        <w:rPr>
          <w:rtl/>
        </w:rPr>
        <w:t xml:space="preserve"> شده با تنوع</w:t>
      </w:r>
      <w:r w:rsidRPr="0025250D">
        <w:rPr>
          <w:rFonts w:hint="cs"/>
          <w:rtl/>
        </w:rPr>
        <w:t>ی</w:t>
      </w:r>
      <w:r w:rsidRPr="0025250D">
        <w:rPr>
          <w:rtl/>
        </w:rPr>
        <w:t xml:space="preserve"> از </w:t>
      </w:r>
      <w:r w:rsidR="00A20CCB" w:rsidRPr="0025250D">
        <w:rPr>
          <w:rtl/>
        </w:rPr>
        <w:t>جهان‌بینی</w:t>
      </w:r>
      <w:r w:rsidRPr="0025250D">
        <w:rPr>
          <w:rFonts w:hint="cs"/>
          <w:rtl/>
        </w:rPr>
        <w:t xml:space="preserve"> ها</w:t>
      </w:r>
      <w:r w:rsidRPr="0025250D">
        <w:rPr>
          <w:rFonts w:hint="eastAsia"/>
          <w:rtl/>
        </w:rPr>
        <w:t>،</w:t>
      </w:r>
      <w:r w:rsidRPr="0025250D">
        <w:rPr>
          <w:rtl/>
        </w:rPr>
        <w:t xml:space="preserve"> </w:t>
      </w:r>
      <w:r w:rsidRPr="0025250D">
        <w:t>KBFS</w:t>
      </w:r>
      <w:r w:rsidRPr="0025250D">
        <w:rPr>
          <w:rtl/>
        </w:rPr>
        <w:t xml:space="preserve"> از د</w:t>
      </w:r>
      <w:r w:rsidRPr="0025250D">
        <w:rPr>
          <w:rFonts w:hint="cs"/>
          <w:rtl/>
        </w:rPr>
        <w:t>ی</w:t>
      </w:r>
      <w:r w:rsidRPr="0025250D">
        <w:rPr>
          <w:rFonts w:hint="eastAsia"/>
          <w:rtl/>
        </w:rPr>
        <w:t>دگاه</w:t>
      </w:r>
      <w:r w:rsidRPr="0025250D">
        <w:rPr>
          <w:rtl/>
        </w:rPr>
        <w:t xml:space="preserve"> </w:t>
      </w:r>
      <w:r w:rsidRPr="0025250D">
        <w:rPr>
          <w:rFonts w:hint="cs"/>
          <w:rtl/>
        </w:rPr>
        <w:t>تکاملی-توسعه ای</w:t>
      </w:r>
      <w:r w:rsidRPr="0025250D">
        <w:rPr>
          <w:rtl/>
        </w:rPr>
        <w:t xml:space="preserve"> در مورد تغ</w:t>
      </w:r>
      <w:r w:rsidRPr="0025250D">
        <w:rPr>
          <w:rFonts w:hint="cs"/>
          <w:rtl/>
        </w:rPr>
        <w:t>یی</w:t>
      </w:r>
      <w:r w:rsidRPr="0025250D">
        <w:rPr>
          <w:rFonts w:hint="eastAsia"/>
          <w:rtl/>
        </w:rPr>
        <w:t>رات</w:t>
      </w:r>
      <w:r w:rsidRPr="0025250D">
        <w:rPr>
          <w:rtl/>
        </w:rPr>
        <w:t xml:space="preserve"> اجتماع</w:t>
      </w:r>
      <w:r w:rsidRPr="0025250D">
        <w:rPr>
          <w:rFonts w:hint="cs"/>
          <w:rtl/>
        </w:rPr>
        <w:t>ی</w:t>
      </w:r>
      <w:r w:rsidRPr="0025250D">
        <w:rPr>
          <w:rtl/>
        </w:rPr>
        <w:t xml:space="preserve"> استفاده</w:t>
      </w:r>
      <w:r w:rsidR="00EE4B64" w:rsidRPr="0025250D">
        <w:rPr>
          <w:rtl/>
        </w:rPr>
        <w:t xml:space="preserve"> نمی‌</w:t>
      </w:r>
      <w:r w:rsidRPr="0025250D">
        <w:rPr>
          <w:rtl/>
        </w:rPr>
        <w:t>کند. چند</w:t>
      </w:r>
      <w:r w:rsidRPr="0025250D">
        <w:rPr>
          <w:rFonts w:hint="cs"/>
          <w:rtl/>
        </w:rPr>
        <w:t>ی</w:t>
      </w:r>
      <w:r w:rsidRPr="0025250D">
        <w:rPr>
          <w:rFonts w:hint="eastAsia"/>
          <w:rtl/>
        </w:rPr>
        <w:t>ن</w:t>
      </w:r>
      <w:r w:rsidRPr="0025250D">
        <w:rPr>
          <w:rtl/>
        </w:rPr>
        <w:t xml:space="preserve"> مقاله جنبه‌ها</w:t>
      </w:r>
      <w:r w:rsidRPr="0025250D">
        <w:rPr>
          <w:rFonts w:hint="cs"/>
          <w:rtl/>
        </w:rPr>
        <w:t>ی</w:t>
      </w:r>
      <w:r w:rsidRPr="0025250D">
        <w:rPr>
          <w:rtl/>
        </w:rPr>
        <w:t xml:space="preserve"> منف</w:t>
      </w:r>
      <w:r w:rsidRPr="0025250D">
        <w:rPr>
          <w:rFonts w:hint="cs"/>
          <w:rtl/>
        </w:rPr>
        <w:t>ی</w:t>
      </w:r>
      <w:r w:rsidRPr="0025250D">
        <w:rPr>
          <w:rtl/>
        </w:rPr>
        <w:t xml:space="preserve"> سرما</w:t>
      </w:r>
      <w:r w:rsidRPr="0025250D">
        <w:rPr>
          <w:rFonts w:hint="cs"/>
          <w:rtl/>
        </w:rPr>
        <w:t>ی</w:t>
      </w:r>
      <w:r w:rsidRPr="0025250D">
        <w:rPr>
          <w:rFonts w:hint="eastAsia"/>
          <w:rtl/>
        </w:rPr>
        <w:t>ه‌دار</w:t>
      </w:r>
      <w:r w:rsidRPr="0025250D">
        <w:rPr>
          <w:rFonts w:hint="cs"/>
          <w:rtl/>
        </w:rPr>
        <w:t>ی</w:t>
      </w:r>
      <w:r w:rsidRPr="0025250D">
        <w:rPr>
          <w:rtl/>
        </w:rPr>
        <w:t xml:space="preserve"> مصرف‌کننده و </w:t>
      </w:r>
      <w:r w:rsidRPr="0025250D">
        <w:rPr>
          <w:rFonts w:hint="cs"/>
          <w:rtl/>
        </w:rPr>
        <w:t>زرسالاری</w:t>
      </w:r>
      <w:r w:rsidRPr="0025250D">
        <w:rPr>
          <w:rtl/>
        </w:rPr>
        <w:t xml:space="preserve"> را برجسته م</w:t>
      </w:r>
      <w:r w:rsidRPr="0025250D">
        <w:rPr>
          <w:rFonts w:hint="cs"/>
          <w:rtl/>
        </w:rPr>
        <w:t>ی‌</w:t>
      </w:r>
      <w:r w:rsidRPr="0025250D">
        <w:rPr>
          <w:rFonts w:hint="eastAsia"/>
          <w:rtl/>
        </w:rPr>
        <w:t>کند،</w:t>
      </w:r>
      <w:r w:rsidRPr="0025250D">
        <w:rPr>
          <w:rtl/>
        </w:rPr>
        <w:t xml:space="preserve"> اما ه</w:t>
      </w:r>
      <w:r w:rsidRPr="0025250D">
        <w:rPr>
          <w:rFonts w:hint="cs"/>
          <w:rtl/>
        </w:rPr>
        <w:t>ی</w:t>
      </w:r>
      <w:r w:rsidRPr="0025250D">
        <w:rPr>
          <w:rFonts w:hint="eastAsia"/>
          <w:rtl/>
        </w:rPr>
        <w:t>چ‌کدام</w:t>
      </w:r>
      <w:r w:rsidRPr="0025250D">
        <w:rPr>
          <w:rtl/>
        </w:rPr>
        <w:t xml:space="preserve"> ماه</w:t>
      </w:r>
      <w:r w:rsidRPr="0025250D">
        <w:rPr>
          <w:rFonts w:hint="cs"/>
          <w:rtl/>
        </w:rPr>
        <w:t>ی</w:t>
      </w:r>
      <w:r w:rsidRPr="0025250D">
        <w:rPr>
          <w:rFonts w:hint="eastAsia"/>
          <w:rtl/>
        </w:rPr>
        <w:t>ت</w:t>
      </w:r>
      <w:r w:rsidRPr="0025250D">
        <w:rPr>
          <w:rtl/>
        </w:rPr>
        <w:t xml:space="preserve"> خوداصلاح‌شونده شبکه‌ها</w:t>
      </w:r>
      <w:r w:rsidRPr="0025250D">
        <w:rPr>
          <w:rFonts w:hint="cs"/>
          <w:rtl/>
        </w:rPr>
        <w:t>ی</w:t>
      </w:r>
      <w:r w:rsidRPr="0025250D">
        <w:rPr>
          <w:rtl/>
        </w:rPr>
        <w:t xml:space="preserve"> پ</w:t>
      </w:r>
      <w:r w:rsidRPr="0025250D">
        <w:rPr>
          <w:rFonts w:hint="cs"/>
          <w:rtl/>
        </w:rPr>
        <w:t>ی</w:t>
      </w:r>
      <w:r w:rsidRPr="0025250D">
        <w:rPr>
          <w:rFonts w:hint="eastAsia"/>
          <w:rtl/>
        </w:rPr>
        <w:t>چ</w:t>
      </w:r>
      <w:r w:rsidRPr="0025250D">
        <w:rPr>
          <w:rFonts w:hint="cs"/>
          <w:rtl/>
        </w:rPr>
        <w:t>ی</w:t>
      </w:r>
      <w:r w:rsidRPr="0025250D">
        <w:rPr>
          <w:rFonts w:hint="eastAsia"/>
          <w:rtl/>
        </w:rPr>
        <w:t>ده</w:t>
      </w:r>
      <w:r w:rsidRPr="0025250D">
        <w:rPr>
          <w:rtl/>
        </w:rPr>
        <w:t xml:space="preserve"> در تار</w:t>
      </w:r>
      <w:r w:rsidRPr="0025250D">
        <w:rPr>
          <w:rFonts w:hint="cs"/>
          <w:rtl/>
        </w:rPr>
        <w:t>ی</w:t>
      </w:r>
      <w:r w:rsidRPr="0025250D">
        <w:rPr>
          <w:rFonts w:hint="eastAsia"/>
          <w:rtl/>
        </w:rPr>
        <w:t>خ</w:t>
      </w:r>
      <w:r w:rsidRPr="0025250D">
        <w:rPr>
          <w:rtl/>
        </w:rPr>
        <w:t xml:space="preserve"> بشر را بررس</w:t>
      </w:r>
      <w:r w:rsidRPr="0025250D">
        <w:rPr>
          <w:rFonts w:hint="cs"/>
          <w:rtl/>
        </w:rPr>
        <w:t>ی</w:t>
      </w:r>
      <w:r w:rsidRPr="0025250D">
        <w:rPr>
          <w:rtl/>
        </w:rPr>
        <w:t xml:space="preserve"> نم</w:t>
      </w:r>
      <w:r w:rsidRPr="0025250D">
        <w:rPr>
          <w:rFonts w:hint="cs"/>
          <w:rtl/>
        </w:rPr>
        <w:t>ی‌</w:t>
      </w:r>
      <w:r w:rsidRPr="0025250D">
        <w:rPr>
          <w:rFonts w:hint="eastAsia"/>
          <w:rtl/>
        </w:rPr>
        <w:t>کنند</w:t>
      </w:r>
      <w:r w:rsidRPr="0025250D">
        <w:rPr>
          <w:rtl/>
        </w:rPr>
        <w:t>.</w:t>
      </w:r>
      <w:r w:rsidRPr="0025250D">
        <w:rPr>
          <w:rFonts w:hint="cs"/>
          <w:rtl/>
        </w:rPr>
        <w:t xml:space="preserve"> </w:t>
      </w:r>
      <w:r w:rsidRPr="0025250D">
        <w:rPr>
          <w:rtl/>
        </w:rPr>
        <w:t>چند</w:t>
      </w:r>
      <w:r w:rsidRPr="0025250D">
        <w:rPr>
          <w:rFonts w:hint="cs"/>
          <w:rtl/>
        </w:rPr>
        <w:t>ی</w:t>
      </w:r>
      <w:r w:rsidRPr="0025250D">
        <w:rPr>
          <w:rFonts w:hint="eastAsia"/>
          <w:rtl/>
        </w:rPr>
        <w:t>ن</w:t>
      </w:r>
      <w:r w:rsidRPr="0025250D">
        <w:rPr>
          <w:rtl/>
        </w:rPr>
        <w:t xml:space="preserve"> </w:t>
      </w:r>
      <w:r w:rsidRPr="0025250D">
        <w:rPr>
          <w:rFonts w:hint="cs"/>
          <w:rtl/>
        </w:rPr>
        <w:t>مقاله</w:t>
      </w:r>
      <w:r w:rsidRPr="0025250D">
        <w:rPr>
          <w:rtl/>
        </w:rPr>
        <w:t xml:space="preserve"> ن</w:t>
      </w:r>
      <w:r w:rsidRPr="0025250D">
        <w:rPr>
          <w:rFonts w:hint="cs"/>
          <w:rtl/>
        </w:rPr>
        <w:t>ی</w:t>
      </w:r>
      <w:r w:rsidRPr="0025250D">
        <w:rPr>
          <w:rFonts w:hint="eastAsia"/>
          <w:rtl/>
        </w:rPr>
        <w:t>ز</w:t>
      </w:r>
      <w:r w:rsidRPr="0025250D">
        <w:rPr>
          <w:rtl/>
        </w:rPr>
        <w:t xml:space="preserve"> نسبت به تغ</w:t>
      </w:r>
      <w:r w:rsidRPr="0025250D">
        <w:rPr>
          <w:rFonts w:hint="cs"/>
          <w:rtl/>
        </w:rPr>
        <w:t>یی</w:t>
      </w:r>
      <w:r w:rsidRPr="0025250D">
        <w:rPr>
          <w:rFonts w:hint="eastAsia"/>
          <w:rtl/>
        </w:rPr>
        <w:t>رات</w:t>
      </w:r>
      <w:r w:rsidRPr="0025250D">
        <w:rPr>
          <w:rtl/>
        </w:rPr>
        <w:t xml:space="preserve"> اجتماع</w:t>
      </w:r>
      <w:r w:rsidRPr="0025250D">
        <w:rPr>
          <w:rFonts w:hint="cs"/>
          <w:rtl/>
        </w:rPr>
        <w:t>ی</w:t>
      </w:r>
      <w:r w:rsidRPr="0025250D">
        <w:rPr>
          <w:rFonts w:hint="eastAsia"/>
          <w:rtl/>
        </w:rPr>
        <w:t>،</w:t>
      </w:r>
      <w:r w:rsidRPr="0025250D">
        <w:rPr>
          <w:rtl/>
        </w:rPr>
        <w:t xml:space="preserve"> جهان</w:t>
      </w:r>
      <w:r w:rsidRPr="0025250D">
        <w:rPr>
          <w:rFonts w:hint="cs"/>
          <w:rtl/>
        </w:rPr>
        <w:t>ی</w:t>
      </w:r>
      <w:r w:rsidRPr="0025250D">
        <w:rPr>
          <w:rtl/>
        </w:rPr>
        <w:t xml:space="preserve"> و </w:t>
      </w:r>
      <w:r w:rsidRPr="0025250D">
        <w:rPr>
          <w:rFonts w:hint="cs"/>
          <w:rtl/>
        </w:rPr>
        <w:t>فراگیر</w:t>
      </w:r>
      <w:r w:rsidRPr="0025250D">
        <w:rPr>
          <w:rtl/>
        </w:rPr>
        <w:t xml:space="preserve"> </w:t>
      </w:r>
      <w:r w:rsidRPr="0025250D">
        <w:rPr>
          <w:rFonts w:hint="cs"/>
          <w:rtl/>
        </w:rPr>
        <w:t>سوگیری</w:t>
      </w:r>
      <w:r w:rsidRPr="0025250D">
        <w:rPr>
          <w:rtl/>
        </w:rPr>
        <w:t xml:space="preserve"> ضد پ</w:t>
      </w:r>
      <w:r w:rsidRPr="0025250D">
        <w:rPr>
          <w:rFonts w:hint="cs"/>
          <w:rtl/>
        </w:rPr>
        <w:t>ی</w:t>
      </w:r>
      <w:r w:rsidRPr="0025250D">
        <w:rPr>
          <w:rFonts w:hint="eastAsia"/>
          <w:rtl/>
        </w:rPr>
        <w:t>ش‌ب</w:t>
      </w:r>
      <w:r w:rsidRPr="0025250D">
        <w:rPr>
          <w:rFonts w:hint="cs"/>
          <w:rtl/>
        </w:rPr>
        <w:t>ی</w:t>
      </w:r>
      <w:r w:rsidRPr="0025250D">
        <w:rPr>
          <w:rFonts w:hint="eastAsia"/>
          <w:rtl/>
        </w:rPr>
        <w:t>ن</w:t>
      </w:r>
      <w:r w:rsidRPr="0025250D">
        <w:rPr>
          <w:rFonts w:hint="cs"/>
          <w:rtl/>
        </w:rPr>
        <w:t>ی</w:t>
      </w:r>
      <w:r w:rsidRPr="0025250D">
        <w:rPr>
          <w:rtl/>
        </w:rPr>
        <w:t xml:space="preserve"> دارند. نه تغ</w:t>
      </w:r>
      <w:r w:rsidRPr="0025250D">
        <w:rPr>
          <w:rFonts w:hint="cs"/>
          <w:rtl/>
        </w:rPr>
        <w:t>یی</w:t>
      </w:r>
      <w:r w:rsidRPr="0025250D">
        <w:rPr>
          <w:rFonts w:hint="eastAsia"/>
          <w:rtl/>
        </w:rPr>
        <w:t>ر</w:t>
      </w:r>
      <w:r w:rsidRPr="0025250D">
        <w:rPr>
          <w:rtl/>
        </w:rPr>
        <w:t xml:space="preserve"> شتاب‌دهنده - با </w:t>
      </w:r>
      <w:r w:rsidR="00CF59DF" w:rsidRPr="0025250D">
        <w:rPr>
          <w:rtl/>
        </w:rPr>
        <w:t>جهت‌گیری</w:t>
      </w:r>
      <w:r w:rsidRPr="0025250D">
        <w:rPr>
          <w:rFonts w:hint="cs"/>
          <w:rtl/>
        </w:rPr>
        <w:t xml:space="preserve"> به سمت</w:t>
      </w:r>
      <w:r w:rsidRPr="0025250D">
        <w:rPr>
          <w:rtl/>
        </w:rPr>
        <w:t xml:space="preserve"> فضا</w:t>
      </w:r>
      <w:r w:rsidRPr="0025250D">
        <w:rPr>
          <w:rFonts w:hint="cs"/>
          <w:rtl/>
        </w:rPr>
        <w:t>ی</w:t>
      </w:r>
      <w:r w:rsidRPr="0025250D">
        <w:rPr>
          <w:rtl/>
        </w:rPr>
        <w:t xml:space="preserve"> داخل</w:t>
      </w:r>
      <w:r w:rsidRPr="0025250D">
        <w:rPr>
          <w:rFonts w:hint="cs"/>
          <w:rtl/>
        </w:rPr>
        <w:t>ی</w:t>
      </w:r>
      <w:r w:rsidRPr="0025250D">
        <w:rPr>
          <w:rtl/>
        </w:rPr>
        <w:t xml:space="preserve"> کارآمدتر آن</w:t>
      </w:r>
      <w:r w:rsidRPr="0025250D">
        <w:rPr>
          <w:rFonts w:hint="cs"/>
          <w:rtl/>
        </w:rPr>
        <w:t xml:space="preserve"> -</w:t>
      </w:r>
      <w:r w:rsidRPr="0025250D">
        <w:rPr>
          <w:rtl/>
        </w:rPr>
        <w:t xml:space="preserve"> و نه هوش مصنوع</w:t>
      </w:r>
      <w:r w:rsidRPr="0025250D">
        <w:rPr>
          <w:rFonts w:hint="cs"/>
          <w:rtl/>
        </w:rPr>
        <w:t>ی</w:t>
      </w:r>
      <w:r w:rsidRPr="0025250D">
        <w:rPr>
          <w:rtl/>
        </w:rPr>
        <w:t xml:space="preserve"> به عنوان </w:t>
      </w:r>
      <w:r w:rsidRPr="0025250D">
        <w:rPr>
          <w:rFonts w:hint="cs"/>
          <w:rtl/>
        </w:rPr>
        <w:t>ی</w:t>
      </w:r>
      <w:r w:rsidRPr="0025250D">
        <w:rPr>
          <w:rFonts w:hint="eastAsia"/>
          <w:rtl/>
        </w:rPr>
        <w:t>ک</w:t>
      </w:r>
      <w:r w:rsidRPr="0025250D">
        <w:rPr>
          <w:rtl/>
        </w:rPr>
        <w:t xml:space="preserve"> </w:t>
      </w:r>
      <w:r w:rsidR="008D6F97" w:rsidRPr="0025250D">
        <w:rPr>
          <w:rtl/>
        </w:rPr>
        <w:t>سامانه‌</w:t>
      </w:r>
      <w:r w:rsidRPr="0025250D">
        <w:rPr>
          <w:rtl/>
        </w:rPr>
        <w:t xml:space="preserve"> </w:t>
      </w:r>
      <w:r w:rsidRPr="0025250D">
        <w:rPr>
          <w:rFonts w:hint="cs"/>
          <w:rtl/>
        </w:rPr>
        <w:t>ی</w:t>
      </w:r>
      <w:r w:rsidRPr="0025250D">
        <w:rPr>
          <w:rFonts w:hint="eastAsia"/>
          <w:rtl/>
        </w:rPr>
        <w:t>ادگ</w:t>
      </w:r>
      <w:r w:rsidRPr="0025250D">
        <w:rPr>
          <w:rFonts w:hint="cs"/>
          <w:rtl/>
        </w:rPr>
        <w:t>ی</w:t>
      </w:r>
      <w:r w:rsidRPr="0025250D">
        <w:rPr>
          <w:rFonts w:hint="eastAsia"/>
          <w:rtl/>
        </w:rPr>
        <w:t>ر</w:t>
      </w:r>
      <w:r w:rsidRPr="0025250D">
        <w:rPr>
          <w:rFonts w:hint="cs"/>
          <w:rtl/>
        </w:rPr>
        <w:t>ی</w:t>
      </w:r>
      <w:r w:rsidRPr="0025250D">
        <w:rPr>
          <w:rtl/>
        </w:rPr>
        <w:t xml:space="preserve"> شبکه</w:t>
      </w:r>
      <w:r w:rsidRPr="0025250D">
        <w:rPr>
          <w:rFonts w:hint="cs"/>
          <w:rtl/>
        </w:rPr>
        <w:t xml:space="preserve"> ای</w:t>
      </w:r>
      <w:r w:rsidR="008D6F97" w:rsidRPr="0025250D">
        <w:rPr>
          <w:rtl/>
        </w:rPr>
        <w:t xml:space="preserve"> </w:t>
      </w:r>
      <w:r w:rsidRPr="0025250D">
        <w:rPr>
          <w:rtl/>
        </w:rPr>
        <w:t>به درست</w:t>
      </w:r>
      <w:r w:rsidRPr="0025250D">
        <w:rPr>
          <w:rFonts w:hint="cs"/>
          <w:rtl/>
        </w:rPr>
        <w:t>ی</w:t>
      </w:r>
      <w:r w:rsidRPr="0025250D">
        <w:rPr>
          <w:rtl/>
        </w:rPr>
        <w:t xml:space="preserve"> نشان داده نم</w:t>
      </w:r>
      <w:r w:rsidRPr="0025250D">
        <w:rPr>
          <w:rFonts w:hint="cs"/>
          <w:rtl/>
        </w:rPr>
        <w:t>ی‌</w:t>
      </w:r>
      <w:r w:rsidRPr="0025250D">
        <w:rPr>
          <w:rFonts w:hint="eastAsia"/>
          <w:rtl/>
        </w:rPr>
        <w:t>شوند</w:t>
      </w:r>
      <w:r w:rsidRPr="0025250D">
        <w:rPr>
          <w:rtl/>
        </w:rPr>
        <w:t>. نه جوامع و نه ماش</w:t>
      </w:r>
      <w:r w:rsidRPr="0025250D">
        <w:rPr>
          <w:rFonts w:hint="cs"/>
          <w:rtl/>
        </w:rPr>
        <w:t>ی</w:t>
      </w:r>
      <w:r w:rsidRPr="0025250D">
        <w:rPr>
          <w:rFonts w:hint="eastAsia"/>
          <w:rtl/>
        </w:rPr>
        <w:t>ن‌ها</w:t>
      </w:r>
      <w:r w:rsidRPr="0025250D">
        <w:rPr>
          <w:rFonts w:hint="cs"/>
          <w:rtl/>
        </w:rPr>
        <w:t>ی</w:t>
      </w:r>
      <w:r w:rsidRPr="0025250D">
        <w:rPr>
          <w:rtl/>
        </w:rPr>
        <w:t xml:space="preserve"> همگرا</w:t>
      </w:r>
      <w:r w:rsidRPr="0025250D">
        <w:rPr>
          <w:rFonts w:hint="cs"/>
          <w:rtl/>
        </w:rPr>
        <w:t>ی</w:t>
      </w:r>
      <w:r w:rsidRPr="0025250D">
        <w:rPr>
          <w:rtl/>
        </w:rPr>
        <w:t xml:space="preserve"> </w:t>
      </w:r>
      <w:r w:rsidR="0044659F" w:rsidRPr="0025250D">
        <w:rPr>
          <w:rtl/>
        </w:rPr>
        <w:t>زیستی</w:t>
      </w:r>
      <w:r w:rsidRPr="0025250D">
        <w:rPr>
          <w:rtl/>
        </w:rPr>
        <w:t xml:space="preserve"> ب</w:t>
      </w:r>
      <w:r w:rsidRPr="0025250D">
        <w:rPr>
          <w:rFonts w:hint="eastAsia"/>
          <w:rtl/>
        </w:rPr>
        <w:t>ه</w:t>
      </w:r>
      <w:r w:rsidRPr="0025250D">
        <w:rPr>
          <w:rtl/>
        </w:rPr>
        <w:t xml:space="preserve"> عنوان </w:t>
      </w:r>
      <w:r w:rsidR="008D6F97" w:rsidRPr="0025250D">
        <w:rPr>
          <w:rtl/>
        </w:rPr>
        <w:t>سامانه‌</w:t>
      </w:r>
      <w:r w:rsidRPr="0025250D">
        <w:rPr>
          <w:rFonts w:hint="eastAsia"/>
          <w:rtl/>
        </w:rPr>
        <w:t>‌ها</w:t>
      </w:r>
      <w:r w:rsidRPr="0025250D">
        <w:rPr>
          <w:rFonts w:hint="cs"/>
          <w:rtl/>
        </w:rPr>
        <w:t>ی</w:t>
      </w:r>
      <w:r w:rsidRPr="0025250D">
        <w:rPr>
          <w:rtl/>
        </w:rPr>
        <w:t xml:space="preserve"> </w:t>
      </w:r>
      <w:r w:rsidRPr="0025250D">
        <w:rPr>
          <w:rFonts w:hint="cs"/>
          <w:rtl/>
        </w:rPr>
        <w:t>تکاملی-توسعه ای</w:t>
      </w:r>
      <w:r w:rsidRPr="0025250D">
        <w:rPr>
          <w:rtl/>
        </w:rPr>
        <w:t xml:space="preserve"> که لزوماً از طر</w:t>
      </w:r>
      <w:r w:rsidRPr="0025250D">
        <w:rPr>
          <w:rFonts w:hint="cs"/>
          <w:rtl/>
        </w:rPr>
        <w:t>ی</w:t>
      </w:r>
      <w:r w:rsidRPr="0025250D">
        <w:rPr>
          <w:rFonts w:hint="eastAsia"/>
          <w:rtl/>
        </w:rPr>
        <w:t>ق</w:t>
      </w:r>
      <w:r w:rsidRPr="0025250D">
        <w:rPr>
          <w:rtl/>
        </w:rPr>
        <w:t xml:space="preserve"> ارزش‌ها</w:t>
      </w:r>
      <w:r w:rsidRPr="0025250D">
        <w:rPr>
          <w:rFonts w:hint="cs"/>
          <w:rtl/>
        </w:rPr>
        <w:t>ی</w:t>
      </w:r>
      <w:r w:rsidRPr="0025250D">
        <w:rPr>
          <w:rtl/>
        </w:rPr>
        <w:t xml:space="preserve"> </w:t>
      </w:r>
      <w:r w:rsidRPr="0025250D">
        <w:rPr>
          <w:rFonts w:hint="cs"/>
          <w:rtl/>
        </w:rPr>
        <w:t>تکاملی-توسعه ای</w:t>
      </w:r>
      <w:r w:rsidRPr="0025250D">
        <w:rPr>
          <w:rtl/>
        </w:rPr>
        <w:t xml:space="preserve">، مانند اهداف </w:t>
      </w:r>
      <w:r w:rsidRPr="0025250D">
        <w:t>IES</w:t>
      </w:r>
      <w:r w:rsidRPr="0025250D">
        <w:rPr>
          <w:rtl/>
        </w:rPr>
        <w:t>، خودتثب</w:t>
      </w:r>
      <w:r w:rsidRPr="0025250D">
        <w:rPr>
          <w:rFonts w:hint="cs"/>
          <w:rtl/>
        </w:rPr>
        <w:t>ی</w:t>
      </w:r>
      <w:r w:rsidRPr="0025250D">
        <w:rPr>
          <w:rFonts w:hint="eastAsia"/>
          <w:rtl/>
        </w:rPr>
        <w:t>ت</w:t>
      </w:r>
      <w:r w:rsidR="00074BFC" w:rsidRPr="0025250D">
        <w:rPr>
          <w:rFonts w:hint="eastAsia"/>
        </w:rPr>
        <w:t>‌</w:t>
      </w:r>
      <w:r w:rsidRPr="0025250D">
        <w:rPr>
          <w:rFonts w:hint="cs"/>
          <w:rtl/>
        </w:rPr>
        <w:t>شونده</w:t>
      </w:r>
      <w:r w:rsidRPr="0025250D">
        <w:rPr>
          <w:rtl/>
        </w:rPr>
        <w:t xml:space="preserve"> </w:t>
      </w:r>
      <w:r w:rsidRPr="0025250D">
        <w:rPr>
          <w:rFonts w:hint="cs"/>
          <w:rtl/>
        </w:rPr>
        <w:t xml:space="preserve">هستند، </w:t>
      </w:r>
      <w:r w:rsidRPr="0025250D">
        <w:rPr>
          <w:rtl/>
        </w:rPr>
        <w:t>در نظر گرفته نم</w:t>
      </w:r>
      <w:r w:rsidRPr="0025250D">
        <w:rPr>
          <w:rFonts w:hint="cs"/>
          <w:rtl/>
        </w:rPr>
        <w:t>ی‌</w:t>
      </w:r>
      <w:r w:rsidRPr="0025250D">
        <w:rPr>
          <w:rFonts w:hint="eastAsia"/>
          <w:rtl/>
        </w:rPr>
        <w:t>شوند</w:t>
      </w:r>
      <w:r w:rsidRPr="0025250D">
        <w:rPr>
          <w:rtl/>
        </w:rPr>
        <w:t>. از ا</w:t>
      </w:r>
      <w:r w:rsidRPr="0025250D">
        <w:rPr>
          <w:rFonts w:hint="cs"/>
          <w:rtl/>
        </w:rPr>
        <w:t>ی</w:t>
      </w:r>
      <w:r w:rsidRPr="0025250D">
        <w:rPr>
          <w:rFonts w:hint="eastAsia"/>
          <w:rtl/>
        </w:rPr>
        <w:t>ن</w:t>
      </w:r>
      <w:r w:rsidRPr="0025250D">
        <w:rPr>
          <w:rtl/>
        </w:rPr>
        <w:t xml:space="preserve"> کار خوب برا</w:t>
      </w:r>
      <w:r w:rsidRPr="0025250D">
        <w:rPr>
          <w:rFonts w:hint="cs"/>
          <w:rtl/>
        </w:rPr>
        <w:t>ی</w:t>
      </w:r>
      <w:r w:rsidRPr="0025250D">
        <w:rPr>
          <w:rtl/>
        </w:rPr>
        <w:t xml:space="preserve"> آنچه هست </w:t>
      </w:r>
      <w:r w:rsidRPr="0025250D">
        <w:rPr>
          <w:rFonts w:hint="cs"/>
          <w:rtl/>
        </w:rPr>
        <w:t>ارزش قائل شوید</w:t>
      </w:r>
      <w:r w:rsidRPr="0025250D">
        <w:rPr>
          <w:rFonts w:hint="eastAsia"/>
          <w:rtl/>
        </w:rPr>
        <w:t>،</w:t>
      </w:r>
      <w:r w:rsidRPr="0025250D">
        <w:rPr>
          <w:rtl/>
        </w:rPr>
        <w:t xml:space="preserve"> اما مفروضات آن را در ذهن داشته باش</w:t>
      </w:r>
      <w:r w:rsidRPr="0025250D">
        <w:rPr>
          <w:rFonts w:hint="cs"/>
          <w:rtl/>
        </w:rPr>
        <w:t>ی</w:t>
      </w:r>
      <w:r w:rsidRPr="0025250D">
        <w:rPr>
          <w:rFonts w:hint="eastAsia"/>
          <w:rtl/>
        </w:rPr>
        <w:t>د</w:t>
      </w:r>
      <w:r w:rsidRPr="0025250D">
        <w:rPr>
          <w:rtl/>
        </w:rPr>
        <w:t>.</w:t>
      </w:r>
    </w:p>
    <w:p w14:paraId="32E625E6" w14:textId="1BA39BBD" w:rsidR="005B4181" w:rsidRPr="0025250D" w:rsidRDefault="005B4181" w:rsidP="00492C47">
      <w:pPr>
        <w:numPr>
          <w:ilvl w:val="0"/>
          <w:numId w:val="76"/>
        </w:numPr>
      </w:pPr>
      <w:r w:rsidRPr="0025250D">
        <w:rPr>
          <w:rtl/>
        </w:rPr>
        <w:t xml:space="preserve">استفاده از روندها و </w:t>
      </w:r>
      <w:r w:rsidRPr="0025250D">
        <w:rPr>
          <w:rFonts w:hint="cs"/>
          <w:rtl/>
        </w:rPr>
        <w:t>فرانامه ها</w:t>
      </w:r>
      <w:r w:rsidRPr="0025250D">
        <w:rPr>
          <w:rtl/>
        </w:rPr>
        <w:t xml:space="preserve"> به عنوان ابزار</w:t>
      </w:r>
      <w:r w:rsidRPr="0025250D">
        <w:rPr>
          <w:rFonts w:hint="cs"/>
          <w:rtl/>
        </w:rPr>
        <w:t>ی</w:t>
      </w:r>
      <w:r w:rsidRPr="0025250D">
        <w:rPr>
          <w:rtl/>
        </w:rPr>
        <w:t xml:space="preserve"> برا</w:t>
      </w:r>
      <w:r w:rsidRPr="0025250D">
        <w:rPr>
          <w:rFonts w:hint="cs"/>
          <w:rtl/>
        </w:rPr>
        <w:t>ی</w:t>
      </w:r>
      <w:r w:rsidRPr="0025250D">
        <w:rPr>
          <w:rtl/>
        </w:rPr>
        <w:t xml:space="preserve"> توسعه </w:t>
      </w:r>
      <w:r w:rsidR="00701E03" w:rsidRPr="0025250D">
        <w:rPr>
          <w:rtl/>
        </w:rPr>
        <w:t>راهبرد</w:t>
      </w:r>
      <w:r w:rsidRPr="0025250D">
        <w:rPr>
          <w:rFonts w:hint="eastAsia"/>
          <w:rtl/>
        </w:rPr>
        <w:t>،</w:t>
      </w:r>
      <w:r w:rsidRPr="0025250D">
        <w:rPr>
          <w:rtl/>
        </w:rPr>
        <w:t xml:space="preserve"> اولف پ</w:t>
      </w:r>
      <w:r w:rsidRPr="0025250D">
        <w:rPr>
          <w:rFonts w:hint="cs"/>
          <w:rtl/>
        </w:rPr>
        <w:t>ی</w:t>
      </w:r>
      <w:r w:rsidRPr="0025250D">
        <w:rPr>
          <w:rFonts w:hint="eastAsia"/>
          <w:rtl/>
        </w:rPr>
        <w:t>لکان</w:t>
      </w:r>
      <w:r w:rsidRPr="0025250D">
        <w:rPr>
          <w:vertAlign w:val="superscript"/>
          <w:rtl/>
        </w:rPr>
        <w:footnoteReference w:id="3297"/>
      </w:r>
      <w:r w:rsidRPr="0025250D">
        <w:rPr>
          <w:rFonts w:hint="eastAsia"/>
          <w:rtl/>
        </w:rPr>
        <w:t>،</w:t>
      </w:r>
      <w:r w:rsidRPr="0025250D">
        <w:rPr>
          <w:rtl/>
        </w:rPr>
        <w:t xml:space="preserve"> 2008</w:t>
      </w:r>
      <w:r w:rsidRPr="0025250D">
        <w:rPr>
          <w:rFonts w:hint="cs"/>
          <w:rtl/>
        </w:rPr>
        <w:t xml:space="preserve">. </w:t>
      </w:r>
      <w:r w:rsidRPr="0025250D">
        <w:rPr>
          <w:rtl/>
        </w:rPr>
        <w:t>کتاب</w:t>
      </w:r>
      <w:r w:rsidRPr="0025250D">
        <w:rPr>
          <w:rFonts w:hint="cs"/>
          <w:rtl/>
        </w:rPr>
        <w:t>ی</w:t>
      </w:r>
      <w:r w:rsidRPr="0025250D">
        <w:rPr>
          <w:rtl/>
        </w:rPr>
        <w:t xml:space="preserve"> عال</w:t>
      </w:r>
      <w:r w:rsidRPr="0025250D">
        <w:rPr>
          <w:rFonts w:hint="cs"/>
          <w:rtl/>
        </w:rPr>
        <w:t>ی</w:t>
      </w:r>
      <w:r w:rsidRPr="0025250D">
        <w:rPr>
          <w:rtl/>
        </w:rPr>
        <w:t xml:space="preserve"> و جامع در مورد استفاده از روندها و سا</w:t>
      </w:r>
      <w:r w:rsidRPr="0025250D">
        <w:rPr>
          <w:rFonts w:hint="cs"/>
          <w:rtl/>
        </w:rPr>
        <w:t>ی</w:t>
      </w:r>
      <w:r w:rsidRPr="0025250D">
        <w:rPr>
          <w:rFonts w:hint="eastAsia"/>
          <w:rtl/>
        </w:rPr>
        <w:t>ر</w:t>
      </w:r>
      <w:r w:rsidRPr="0025250D">
        <w:rPr>
          <w:rtl/>
        </w:rPr>
        <w:t xml:space="preserve"> عوامل آ</w:t>
      </w:r>
      <w:r w:rsidRPr="0025250D">
        <w:rPr>
          <w:rFonts w:hint="cs"/>
          <w:rtl/>
        </w:rPr>
        <w:t>ی</w:t>
      </w:r>
      <w:r w:rsidRPr="0025250D">
        <w:rPr>
          <w:rFonts w:hint="eastAsia"/>
          <w:rtl/>
        </w:rPr>
        <w:t>نده</w:t>
      </w:r>
      <w:r w:rsidRPr="0025250D">
        <w:rPr>
          <w:rFonts w:hint="cs"/>
          <w:rtl/>
        </w:rPr>
        <w:t xml:space="preserve"> های محتمل</w:t>
      </w:r>
      <w:r w:rsidRPr="0025250D">
        <w:rPr>
          <w:rtl/>
        </w:rPr>
        <w:t xml:space="preserve"> و </w:t>
      </w:r>
      <w:r w:rsidRPr="0025250D">
        <w:rPr>
          <w:rFonts w:hint="cs"/>
          <w:rtl/>
        </w:rPr>
        <w:t>فرانامه ها</w:t>
      </w:r>
      <w:r w:rsidRPr="0025250D">
        <w:rPr>
          <w:rtl/>
        </w:rPr>
        <w:t xml:space="preserve"> و سا</w:t>
      </w:r>
      <w:r w:rsidRPr="0025250D">
        <w:rPr>
          <w:rFonts w:hint="cs"/>
          <w:rtl/>
        </w:rPr>
        <w:t>ی</w:t>
      </w:r>
      <w:r w:rsidRPr="0025250D">
        <w:rPr>
          <w:rFonts w:hint="eastAsia"/>
          <w:rtl/>
        </w:rPr>
        <w:t>ر</w:t>
      </w:r>
      <w:r w:rsidRPr="0025250D">
        <w:rPr>
          <w:rtl/>
        </w:rPr>
        <w:t xml:space="preserve"> عوامل آ</w:t>
      </w:r>
      <w:r w:rsidRPr="0025250D">
        <w:rPr>
          <w:rFonts w:hint="cs"/>
          <w:rtl/>
        </w:rPr>
        <w:t>ی</w:t>
      </w:r>
      <w:r w:rsidRPr="0025250D">
        <w:rPr>
          <w:rFonts w:hint="eastAsia"/>
          <w:rtl/>
        </w:rPr>
        <w:t>نده</w:t>
      </w:r>
      <w:r w:rsidRPr="0025250D">
        <w:rPr>
          <w:rFonts w:hint="cs"/>
          <w:rtl/>
        </w:rPr>
        <w:t xml:space="preserve"> های ممکن</w:t>
      </w:r>
      <w:r w:rsidRPr="0025250D">
        <w:rPr>
          <w:rtl/>
        </w:rPr>
        <w:t xml:space="preserve"> به عنوان ورود</w:t>
      </w:r>
      <w:r w:rsidRPr="0025250D">
        <w:rPr>
          <w:rFonts w:hint="cs"/>
          <w:rtl/>
        </w:rPr>
        <w:t>ی</w:t>
      </w:r>
      <w:r w:rsidRPr="0025250D">
        <w:rPr>
          <w:rtl/>
        </w:rPr>
        <w:t xml:space="preserve"> برا</w:t>
      </w:r>
      <w:r w:rsidRPr="0025250D">
        <w:rPr>
          <w:rFonts w:hint="cs"/>
          <w:rtl/>
        </w:rPr>
        <w:t>ی</w:t>
      </w:r>
      <w:r w:rsidRPr="0025250D">
        <w:rPr>
          <w:rtl/>
        </w:rPr>
        <w:t xml:space="preserve"> تجز</w:t>
      </w:r>
      <w:r w:rsidRPr="0025250D">
        <w:rPr>
          <w:rFonts w:hint="cs"/>
          <w:rtl/>
        </w:rPr>
        <w:t>ی</w:t>
      </w:r>
      <w:r w:rsidRPr="0025250D">
        <w:rPr>
          <w:rFonts w:hint="eastAsia"/>
          <w:rtl/>
        </w:rPr>
        <w:t>ه</w:t>
      </w:r>
      <w:r w:rsidRPr="0025250D">
        <w:rPr>
          <w:rtl/>
        </w:rPr>
        <w:t xml:space="preserve"> و تحل</w:t>
      </w:r>
      <w:r w:rsidRPr="0025250D">
        <w:rPr>
          <w:rFonts w:hint="cs"/>
          <w:rtl/>
        </w:rPr>
        <w:t>ی</w:t>
      </w:r>
      <w:r w:rsidRPr="0025250D">
        <w:rPr>
          <w:rFonts w:hint="eastAsia"/>
          <w:rtl/>
        </w:rPr>
        <w:t>ل</w:t>
      </w:r>
      <w:r w:rsidRPr="0025250D">
        <w:rPr>
          <w:rtl/>
        </w:rPr>
        <w:t xml:space="preserve"> و توسعه </w:t>
      </w:r>
      <w:r w:rsidR="00701E03" w:rsidRPr="0025250D">
        <w:rPr>
          <w:rtl/>
        </w:rPr>
        <w:t>راهبرد</w:t>
      </w:r>
      <w:r w:rsidRPr="0025250D">
        <w:rPr>
          <w:rtl/>
        </w:rPr>
        <w:t xml:space="preserve"> در ت</w:t>
      </w:r>
      <w:r w:rsidRPr="0025250D">
        <w:rPr>
          <w:rFonts w:hint="cs"/>
          <w:rtl/>
        </w:rPr>
        <w:t>ی</w:t>
      </w:r>
      <w:r w:rsidRPr="0025250D">
        <w:rPr>
          <w:rFonts w:hint="eastAsia"/>
          <w:rtl/>
        </w:rPr>
        <w:t>م</w:t>
      </w:r>
      <w:r w:rsidRPr="0025250D">
        <w:rPr>
          <w:rtl/>
        </w:rPr>
        <w:t xml:space="preserve"> ها</w:t>
      </w:r>
      <w:r w:rsidRPr="0025250D">
        <w:rPr>
          <w:rFonts w:hint="cs"/>
          <w:rtl/>
        </w:rPr>
        <w:t>ی</w:t>
      </w:r>
      <w:r w:rsidRPr="0025250D">
        <w:rPr>
          <w:rtl/>
        </w:rPr>
        <w:t xml:space="preserve"> </w:t>
      </w:r>
      <w:r w:rsidR="00701E03" w:rsidRPr="0025250D">
        <w:rPr>
          <w:rtl/>
        </w:rPr>
        <w:t>راهبرد</w:t>
      </w:r>
      <w:r w:rsidRPr="0025250D">
        <w:rPr>
          <w:rtl/>
        </w:rPr>
        <w:t xml:space="preserve"> شرکت. نوشته شده توسط </w:t>
      </w:r>
      <w:r w:rsidRPr="0025250D">
        <w:rPr>
          <w:rFonts w:hint="cs"/>
          <w:rtl/>
        </w:rPr>
        <w:t>ی</w:t>
      </w:r>
      <w:r w:rsidRPr="0025250D">
        <w:rPr>
          <w:rFonts w:hint="eastAsia"/>
          <w:rtl/>
        </w:rPr>
        <w:t>ک</w:t>
      </w:r>
      <w:r w:rsidRPr="0025250D">
        <w:rPr>
          <w:rtl/>
        </w:rPr>
        <w:t xml:space="preserve"> رهبر </w:t>
      </w:r>
      <w:r w:rsidR="00D92F6E" w:rsidRPr="0025250D">
        <w:rPr>
          <w:rtl/>
        </w:rPr>
        <w:t>آینده‌نگاری</w:t>
      </w:r>
      <w:r w:rsidRPr="0025250D">
        <w:rPr>
          <w:rtl/>
        </w:rPr>
        <w:t xml:space="preserve"> </w:t>
      </w:r>
      <w:r w:rsidR="00701E03" w:rsidRPr="0025250D">
        <w:rPr>
          <w:rtl/>
        </w:rPr>
        <w:t>راهبردی</w:t>
      </w:r>
      <w:r w:rsidRPr="0025250D">
        <w:rPr>
          <w:rtl/>
        </w:rPr>
        <w:t xml:space="preserve"> در ز</w:t>
      </w:r>
      <w:r w:rsidRPr="0025250D">
        <w:rPr>
          <w:rFonts w:hint="cs"/>
          <w:rtl/>
        </w:rPr>
        <w:t>ی</w:t>
      </w:r>
      <w:r w:rsidRPr="0025250D">
        <w:rPr>
          <w:rFonts w:hint="eastAsia"/>
          <w:rtl/>
        </w:rPr>
        <w:t>منس</w:t>
      </w:r>
      <w:r w:rsidRPr="0025250D">
        <w:rPr>
          <w:rtl/>
        </w:rPr>
        <w:t xml:space="preserve">. </w:t>
      </w:r>
      <w:r w:rsidRPr="0025250D">
        <w:rPr>
          <w:rFonts w:hint="cs"/>
          <w:rtl/>
        </w:rPr>
        <w:t xml:space="preserve">این </w:t>
      </w:r>
      <w:r w:rsidRPr="0025250D">
        <w:rPr>
          <w:rtl/>
        </w:rPr>
        <w:t xml:space="preserve">کتاب </w:t>
      </w:r>
      <w:r w:rsidRPr="0025250D">
        <w:rPr>
          <w:rFonts w:hint="cs"/>
          <w:rtl/>
        </w:rPr>
        <w:t xml:space="preserve">رویکردی </w:t>
      </w:r>
      <w:r w:rsidRPr="0025250D">
        <w:rPr>
          <w:rtl/>
        </w:rPr>
        <w:t>مت</w:t>
      </w:r>
      <w:r w:rsidRPr="0025250D">
        <w:rPr>
          <w:rFonts w:hint="eastAsia"/>
          <w:rtl/>
        </w:rPr>
        <w:t>عادل</w:t>
      </w:r>
      <w:r w:rsidRPr="0025250D">
        <w:rPr>
          <w:rtl/>
        </w:rPr>
        <w:t xml:space="preserve"> </w:t>
      </w:r>
      <w:r w:rsidRPr="0025250D">
        <w:rPr>
          <w:rFonts w:hint="cs"/>
          <w:rtl/>
        </w:rPr>
        <w:t xml:space="preserve">نسبت به </w:t>
      </w:r>
      <w:r w:rsidRPr="0025250D">
        <w:rPr>
          <w:rtl/>
        </w:rPr>
        <w:t xml:space="preserve">چهار </w:t>
      </w:r>
      <w:r w:rsidRPr="0025250D">
        <w:t>P</w:t>
      </w:r>
      <w:r w:rsidRPr="0025250D">
        <w:rPr>
          <w:rFonts w:hint="cs"/>
          <w:rtl/>
        </w:rPr>
        <w:t xml:space="preserve"> دارد</w:t>
      </w:r>
      <w:r w:rsidRPr="0025250D">
        <w:rPr>
          <w:rtl/>
        </w:rPr>
        <w:t>.</w:t>
      </w:r>
    </w:p>
    <w:p w14:paraId="4248B49B" w14:textId="65CF4C67" w:rsidR="005B4181" w:rsidRPr="0025250D" w:rsidRDefault="005B4181" w:rsidP="00492C47">
      <w:pPr>
        <w:numPr>
          <w:ilvl w:val="0"/>
          <w:numId w:val="76"/>
        </w:numPr>
      </w:pPr>
      <w:r w:rsidRPr="0025250D">
        <w:rPr>
          <w:rtl/>
        </w:rPr>
        <w:t xml:space="preserve">فروشندگان </w:t>
      </w:r>
      <w:r w:rsidRPr="0025250D">
        <w:rPr>
          <w:rFonts w:hint="cs"/>
          <w:rtl/>
        </w:rPr>
        <w:t>بخت و اقبال</w:t>
      </w:r>
      <w:r w:rsidRPr="0025250D">
        <w:rPr>
          <w:rtl/>
        </w:rPr>
        <w:t xml:space="preserve">: </w:t>
      </w:r>
      <w:r w:rsidR="00B124DE" w:rsidRPr="0025250D">
        <w:rPr>
          <w:rFonts w:hint="cs"/>
          <w:rtl/>
        </w:rPr>
        <w:t>کسب‌و‌کار</w:t>
      </w:r>
      <w:r w:rsidRPr="0025250D">
        <w:rPr>
          <w:rtl/>
        </w:rPr>
        <w:t xml:space="preserve"> بزرگ </w:t>
      </w:r>
      <w:r w:rsidR="00D92F6E" w:rsidRPr="0025250D">
        <w:rPr>
          <w:rtl/>
        </w:rPr>
        <w:t>پیش‌بین</w:t>
      </w:r>
      <w:r w:rsidRPr="0025250D">
        <w:rPr>
          <w:rFonts w:hint="cs"/>
          <w:rtl/>
        </w:rPr>
        <w:t>ی</w:t>
      </w:r>
      <w:r w:rsidRPr="0025250D">
        <w:rPr>
          <w:rtl/>
        </w:rPr>
        <w:t xml:space="preserve"> ها</w:t>
      </w:r>
      <w:r w:rsidRPr="0025250D">
        <w:rPr>
          <w:rFonts w:hint="cs"/>
          <w:rtl/>
        </w:rPr>
        <w:t>ی</w:t>
      </w:r>
      <w:r w:rsidRPr="0025250D">
        <w:rPr>
          <w:rtl/>
        </w:rPr>
        <w:t xml:space="preserve"> خر</w:t>
      </w:r>
      <w:r w:rsidRPr="0025250D">
        <w:rPr>
          <w:rFonts w:hint="cs"/>
          <w:rtl/>
        </w:rPr>
        <w:t>ی</w:t>
      </w:r>
      <w:r w:rsidRPr="0025250D">
        <w:rPr>
          <w:rFonts w:hint="eastAsia"/>
          <w:rtl/>
        </w:rPr>
        <w:t>د</w:t>
      </w:r>
      <w:r w:rsidRPr="0025250D">
        <w:rPr>
          <w:rtl/>
        </w:rPr>
        <w:t xml:space="preserve"> و فروش، و</w:t>
      </w:r>
      <w:r w:rsidRPr="0025250D">
        <w:rPr>
          <w:rFonts w:hint="cs"/>
          <w:rtl/>
        </w:rPr>
        <w:t>ی</w:t>
      </w:r>
      <w:r w:rsidRPr="0025250D">
        <w:rPr>
          <w:rFonts w:hint="eastAsia"/>
          <w:rtl/>
        </w:rPr>
        <w:t>ل</w:t>
      </w:r>
      <w:r w:rsidRPr="0025250D">
        <w:rPr>
          <w:rFonts w:hint="cs"/>
          <w:rtl/>
        </w:rPr>
        <w:t>ی</w:t>
      </w:r>
      <w:r w:rsidRPr="0025250D">
        <w:rPr>
          <w:rFonts w:hint="eastAsia"/>
          <w:rtl/>
        </w:rPr>
        <w:t>ام</w:t>
      </w:r>
      <w:r w:rsidRPr="0025250D">
        <w:rPr>
          <w:rtl/>
        </w:rPr>
        <w:t xml:space="preserve"> شردن</w:t>
      </w:r>
      <w:r w:rsidRPr="0025250D">
        <w:rPr>
          <w:vertAlign w:val="superscript"/>
          <w:rtl/>
        </w:rPr>
        <w:footnoteReference w:id="3298"/>
      </w:r>
      <w:r w:rsidRPr="0025250D">
        <w:rPr>
          <w:rtl/>
        </w:rPr>
        <w:t>، 1997</w:t>
      </w:r>
      <w:r w:rsidRPr="0025250D">
        <w:rPr>
          <w:rFonts w:hint="cs"/>
          <w:rtl/>
        </w:rPr>
        <w:t>. ی</w:t>
      </w:r>
      <w:r w:rsidRPr="0025250D">
        <w:rPr>
          <w:rFonts w:hint="eastAsia"/>
          <w:rtl/>
        </w:rPr>
        <w:t>ک</w:t>
      </w:r>
      <w:r w:rsidRPr="0025250D">
        <w:rPr>
          <w:rtl/>
        </w:rPr>
        <w:t xml:space="preserve"> مرور کل</w:t>
      </w:r>
      <w:r w:rsidRPr="0025250D">
        <w:rPr>
          <w:rFonts w:hint="cs"/>
          <w:rtl/>
        </w:rPr>
        <w:t>ی</w:t>
      </w:r>
      <w:r w:rsidRPr="0025250D">
        <w:rPr>
          <w:rtl/>
        </w:rPr>
        <w:t xml:space="preserve"> کلاس</w:t>
      </w:r>
      <w:r w:rsidRPr="0025250D">
        <w:rPr>
          <w:rFonts w:hint="cs"/>
          <w:rtl/>
        </w:rPr>
        <w:t>ی</w:t>
      </w:r>
      <w:r w:rsidRPr="0025250D">
        <w:rPr>
          <w:rFonts w:hint="eastAsia"/>
          <w:rtl/>
        </w:rPr>
        <w:t>ک</w:t>
      </w:r>
      <w:r w:rsidRPr="0025250D">
        <w:rPr>
          <w:rtl/>
        </w:rPr>
        <w:t xml:space="preserve"> از وسوسه ها، چالش ها و خطرات </w:t>
      </w:r>
      <w:r w:rsidR="00D92F6E" w:rsidRPr="0025250D">
        <w:rPr>
          <w:rtl/>
        </w:rPr>
        <w:t>پیش‌بین</w:t>
      </w:r>
      <w:r w:rsidRPr="0025250D">
        <w:rPr>
          <w:rFonts w:hint="cs"/>
          <w:rtl/>
        </w:rPr>
        <w:t>ی</w:t>
      </w:r>
      <w:r w:rsidRPr="0025250D">
        <w:rPr>
          <w:rtl/>
        </w:rPr>
        <w:t>. همچن</w:t>
      </w:r>
      <w:r w:rsidRPr="0025250D">
        <w:rPr>
          <w:rFonts w:hint="cs"/>
          <w:rtl/>
        </w:rPr>
        <w:t>ی</w:t>
      </w:r>
      <w:r w:rsidRPr="0025250D">
        <w:rPr>
          <w:rFonts w:hint="eastAsia"/>
          <w:rtl/>
        </w:rPr>
        <w:t>ن</w:t>
      </w:r>
      <w:r w:rsidRPr="0025250D">
        <w:rPr>
          <w:rtl/>
        </w:rPr>
        <w:t xml:space="preserve"> </w:t>
      </w:r>
      <w:r w:rsidRPr="0025250D">
        <w:rPr>
          <w:rFonts w:hint="cs"/>
          <w:rtl/>
        </w:rPr>
        <w:t>ی</w:t>
      </w:r>
      <w:r w:rsidRPr="0025250D">
        <w:rPr>
          <w:rFonts w:hint="eastAsia"/>
          <w:rtl/>
        </w:rPr>
        <w:t>ک</w:t>
      </w:r>
      <w:r w:rsidRPr="0025250D">
        <w:rPr>
          <w:rtl/>
        </w:rPr>
        <w:t xml:space="preserve"> راهنما</w:t>
      </w:r>
      <w:r w:rsidRPr="0025250D">
        <w:rPr>
          <w:rFonts w:hint="cs"/>
          <w:rtl/>
        </w:rPr>
        <w:t>ی</w:t>
      </w:r>
      <w:r w:rsidRPr="0025250D">
        <w:rPr>
          <w:rtl/>
        </w:rPr>
        <w:t xml:space="preserve"> عال</w:t>
      </w:r>
      <w:r w:rsidRPr="0025250D">
        <w:rPr>
          <w:rFonts w:hint="cs"/>
          <w:rtl/>
        </w:rPr>
        <w:t>ی</w:t>
      </w:r>
      <w:r w:rsidRPr="0025250D">
        <w:rPr>
          <w:rtl/>
        </w:rPr>
        <w:t xml:space="preserve"> برا</w:t>
      </w:r>
      <w:r w:rsidRPr="0025250D">
        <w:rPr>
          <w:rFonts w:hint="cs"/>
          <w:rtl/>
        </w:rPr>
        <w:t>ی</w:t>
      </w:r>
      <w:r w:rsidRPr="0025250D">
        <w:rPr>
          <w:rtl/>
        </w:rPr>
        <w:t xml:space="preserve"> خطرات </w:t>
      </w:r>
      <w:r w:rsidR="00D92F6E" w:rsidRPr="0025250D">
        <w:rPr>
          <w:rtl/>
        </w:rPr>
        <w:t>آینده‌نگاری</w:t>
      </w:r>
      <w:r w:rsidRPr="0025250D">
        <w:rPr>
          <w:rtl/>
        </w:rPr>
        <w:t xml:space="preserve"> سازمان</w:t>
      </w:r>
      <w:r w:rsidRPr="0025250D">
        <w:rPr>
          <w:rFonts w:hint="cs"/>
          <w:rtl/>
        </w:rPr>
        <w:t>ی</w:t>
      </w:r>
      <w:r w:rsidRPr="0025250D">
        <w:rPr>
          <w:rtl/>
        </w:rPr>
        <w:t xml:space="preserve"> و </w:t>
      </w:r>
      <w:r w:rsidRPr="0025250D">
        <w:rPr>
          <w:rFonts w:hint="cs"/>
          <w:rtl/>
        </w:rPr>
        <w:t>ی</w:t>
      </w:r>
      <w:r w:rsidRPr="0025250D">
        <w:rPr>
          <w:rFonts w:hint="eastAsia"/>
          <w:rtl/>
        </w:rPr>
        <w:t>ک</w:t>
      </w:r>
      <w:r w:rsidRPr="0025250D">
        <w:rPr>
          <w:rtl/>
        </w:rPr>
        <w:t xml:space="preserve"> مکمل ضرور</w:t>
      </w:r>
      <w:r w:rsidRPr="0025250D">
        <w:rPr>
          <w:rFonts w:hint="cs"/>
          <w:rtl/>
        </w:rPr>
        <w:t>ی</w:t>
      </w:r>
      <w:r w:rsidRPr="0025250D">
        <w:rPr>
          <w:rtl/>
        </w:rPr>
        <w:t xml:space="preserve"> برا</w:t>
      </w:r>
      <w:r w:rsidRPr="0025250D">
        <w:rPr>
          <w:rFonts w:hint="cs"/>
          <w:rtl/>
        </w:rPr>
        <w:t>ی</w:t>
      </w:r>
      <w:r w:rsidRPr="0025250D">
        <w:rPr>
          <w:rtl/>
        </w:rPr>
        <w:t xml:space="preserve"> </w:t>
      </w:r>
      <w:r w:rsidRPr="0025250D">
        <w:rPr>
          <w:rFonts w:hint="cs"/>
          <w:rtl/>
        </w:rPr>
        <w:t>کتاب ابَر</w:t>
      </w:r>
      <w:r w:rsidR="00FB6A7E" w:rsidRPr="0025250D">
        <w:rPr>
          <w:rFonts w:hint="cs"/>
          <w:rtl/>
        </w:rPr>
        <w:t>پیش‌نگری</w:t>
      </w:r>
      <w:r w:rsidRPr="0025250D">
        <w:rPr>
          <w:vertAlign w:val="superscript"/>
          <w:rtl/>
        </w:rPr>
        <w:footnoteReference w:id="3299"/>
      </w:r>
      <w:r w:rsidRPr="0025250D">
        <w:rPr>
          <w:rtl/>
        </w:rPr>
        <w:t xml:space="preserve"> تتلاک و گاردنر (2015). شردن مانند همه ما </w:t>
      </w:r>
      <w:r w:rsidRPr="0025250D">
        <w:rPr>
          <w:rFonts w:hint="cs"/>
          <w:rtl/>
        </w:rPr>
        <w:t>ی</w:t>
      </w:r>
      <w:r w:rsidRPr="0025250D">
        <w:rPr>
          <w:rFonts w:hint="eastAsia"/>
          <w:rtl/>
        </w:rPr>
        <w:t>ک</w:t>
      </w:r>
      <w:r w:rsidRPr="0025250D">
        <w:rPr>
          <w:rtl/>
        </w:rPr>
        <w:t xml:space="preserve"> </w:t>
      </w:r>
      <w:r w:rsidRPr="0025250D">
        <w:rPr>
          <w:rFonts w:hint="cs"/>
          <w:rtl/>
        </w:rPr>
        <w:t>سوگیری در</w:t>
      </w:r>
      <w:r w:rsidRPr="0025250D">
        <w:rPr>
          <w:rtl/>
        </w:rPr>
        <w:t xml:space="preserve"> </w:t>
      </w:r>
      <w:r w:rsidR="00A20CCB" w:rsidRPr="0025250D">
        <w:rPr>
          <w:rtl/>
        </w:rPr>
        <w:t>جهان‌بینی</w:t>
      </w:r>
      <w:r w:rsidRPr="0025250D">
        <w:rPr>
          <w:rFonts w:hint="cs"/>
          <w:rtl/>
        </w:rPr>
        <w:t xml:space="preserve"> خود</w:t>
      </w:r>
      <w:r w:rsidRPr="0025250D">
        <w:rPr>
          <w:rtl/>
        </w:rPr>
        <w:t xml:space="preserve"> دارد. او 5 درصد </w:t>
      </w:r>
      <w:r w:rsidRPr="0025250D">
        <w:rPr>
          <w:rFonts w:hint="cs"/>
          <w:rtl/>
        </w:rPr>
        <w:t>عامل توسعه ای</w:t>
      </w:r>
      <w:r w:rsidRPr="0025250D">
        <w:rPr>
          <w:rtl/>
        </w:rPr>
        <w:t xml:space="preserve"> آ</w:t>
      </w:r>
      <w:r w:rsidRPr="0025250D">
        <w:rPr>
          <w:rFonts w:hint="cs"/>
          <w:rtl/>
        </w:rPr>
        <w:t>ی</w:t>
      </w:r>
      <w:r w:rsidRPr="0025250D">
        <w:rPr>
          <w:rFonts w:hint="eastAsia"/>
          <w:rtl/>
        </w:rPr>
        <w:t>نده</w:t>
      </w:r>
      <w:r w:rsidRPr="0025250D">
        <w:rPr>
          <w:rtl/>
        </w:rPr>
        <w:t xml:space="preserve"> را به رسم</w:t>
      </w:r>
      <w:r w:rsidRPr="0025250D">
        <w:rPr>
          <w:rFonts w:hint="cs"/>
          <w:rtl/>
        </w:rPr>
        <w:t>ی</w:t>
      </w:r>
      <w:r w:rsidRPr="0025250D">
        <w:rPr>
          <w:rFonts w:hint="eastAsia"/>
          <w:rtl/>
        </w:rPr>
        <w:t>ت</w:t>
      </w:r>
      <w:r w:rsidRPr="0025250D">
        <w:rPr>
          <w:rtl/>
        </w:rPr>
        <w:t xml:space="preserve"> نم</w:t>
      </w:r>
      <w:r w:rsidRPr="0025250D">
        <w:rPr>
          <w:rFonts w:hint="cs"/>
          <w:rtl/>
        </w:rPr>
        <w:t>ی‌</w:t>
      </w:r>
      <w:r w:rsidRPr="0025250D">
        <w:rPr>
          <w:rFonts w:hint="eastAsia"/>
          <w:rtl/>
        </w:rPr>
        <w:t>شناسد،</w:t>
      </w:r>
      <w:r w:rsidRPr="0025250D">
        <w:rPr>
          <w:rtl/>
        </w:rPr>
        <w:t xml:space="preserve"> پ</w:t>
      </w:r>
      <w:r w:rsidRPr="0025250D">
        <w:rPr>
          <w:rFonts w:hint="cs"/>
          <w:rtl/>
        </w:rPr>
        <w:t>ی</w:t>
      </w:r>
      <w:r w:rsidRPr="0025250D">
        <w:rPr>
          <w:rFonts w:hint="eastAsia"/>
          <w:rtl/>
        </w:rPr>
        <w:t>ش‌ب</w:t>
      </w:r>
      <w:r w:rsidRPr="0025250D">
        <w:rPr>
          <w:rFonts w:hint="cs"/>
          <w:rtl/>
        </w:rPr>
        <w:t>ی</w:t>
      </w:r>
      <w:r w:rsidRPr="0025250D">
        <w:rPr>
          <w:rFonts w:hint="eastAsia"/>
          <w:rtl/>
        </w:rPr>
        <w:t>ن</w:t>
      </w:r>
      <w:r w:rsidRPr="0025250D">
        <w:rPr>
          <w:rFonts w:hint="cs"/>
          <w:rtl/>
        </w:rPr>
        <w:t>ی‌</w:t>
      </w:r>
      <w:r w:rsidRPr="0025250D">
        <w:rPr>
          <w:rFonts w:hint="eastAsia"/>
          <w:rtl/>
        </w:rPr>
        <w:t>پذ</w:t>
      </w:r>
      <w:r w:rsidRPr="0025250D">
        <w:rPr>
          <w:rFonts w:hint="cs"/>
          <w:rtl/>
        </w:rPr>
        <w:t>ی</w:t>
      </w:r>
      <w:r w:rsidRPr="0025250D">
        <w:rPr>
          <w:rFonts w:hint="eastAsia"/>
          <w:rtl/>
        </w:rPr>
        <w:t>ر</w:t>
      </w:r>
      <w:r w:rsidRPr="0025250D">
        <w:rPr>
          <w:rFonts w:hint="cs"/>
          <w:rtl/>
        </w:rPr>
        <w:t>ی</w:t>
      </w:r>
      <w:r w:rsidRPr="0025250D">
        <w:rPr>
          <w:rtl/>
        </w:rPr>
        <w:t xml:space="preserve"> آمار</w:t>
      </w:r>
      <w:r w:rsidRPr="0025250D">
        <w:rPr>
          <w:rFonts w:hint="cs"/>
          <w:rtl/>
        </w:rPr>
        <w:t>ی</w:t>
      </w:r>
      <w:r w:rsidRPr="0025250D">
        <w:rPr>
          <w:rtl/>
        </w:rPr>
        <w:t xml:space="preserve"> بس</w:t>
      </w:r>
      <w:r w:rsidRPr="0025250D">
        <w:rPr>
          <w:rFonts w:hint="cs"/>
          <w:rtl/>
        </w:rPr>
        <w:t>ی</w:t>
      </w:r>
      <w:r w:rsidRPr="0025250D">
        <w:rPr>
          <w:rFonts w:hint="eastAsia"/>
          <w:rtl/>
        </w:rPr>
        <w:t>ار</w:t>
      </w:r>
      <w:r w:rsidRPr="0025250D">
        <w:rPr>
          <w:rFonts w:hint="cs"/>
          <w:rtl/>
        </w:rPr>
        <w:t>ی</w:t>
      </w:r>
      <w:r w:rsidRPr="0025250D">
        <w:rPr>
          <w:rtl/>
        </w:rPr>
        <w:t xml:space="preserve"> از جنبه‌ها</w:t>
      </w:r>
      <w:r w:rsidRPr="0025250D">
        <w:rPr>
          <w:rFonts w:hint="cs"/>
          <w:rtl/>
        </w:rPr>
        <w:t>ی</w:t>
      </w:r>
      <w:r w:rsidRPr="0025250D">
        <w:rPr>
          <w:rtl/>
        </w:rPr>
        <w:t xml:space="preserve"> تغ</w:t>
      </w:r>
      <w:r w:rsidRPr="0025250D">
        <w:rPr>
          <w:rFonts w:hint="cs"/>
          <w:rtl/>
        </w:rPr>
        <w:t>یی</w:t>
      </w:r>
      <w:r w:rsidRPr="0025250D">
        <w:rPr>
          <w:rFonts w:hint="eastAsia"/>
          <w:rtl/>
        </w:rPr>
        <w:t>ر</w:t>
      </w:r>
      <w:r w:rsidRPr="0025250D">
        <w:rPr>
          <w:rtl/>
        </w:rPr>
        <w:t xml:space="preserve"> شتاب‌</w:t>
      </w:r>
      <w:r w:rsidRPr="0025250D">
        <w:rPr>
          <w:rFonts w:hint="cs"/>
          <w:rtl/>
        </w:rPr>
        <w:t>گیرنده</w:t>
      </w:r>
      <w:r w:rsidRPr="0025250D">
        <w:rPr>
          <w:rtl/>
        </w:rPr>
        <w:t xml:space="preserve"> را در نظر نم</w:t>
      </w:r>
      <w:r w:rsidRPr="0025250D">
        <w:rPr>
          <w:rFonts w:hint="cs"/>
          <w:rtl/>
        </w:rPr>
        <w:t>ی‌</w:t>
      </w:r>
      <w:r w:rsidRPr="0025250D">
        <w:rPr>
          <w:rFonts w:hint="eastAsia"/>
          <w:rtl/>
        </w:rPr>
        <w:t>گ</w:t>
      </w:r>
      <w:r w:rsidRPr="0025250D">
        <w:rPr>
          <w:rFonts w:hint="cs"/>
          <w:rtl/>
        </w:rPr>
        <w:t>ی</w:t>
      </w:r>
      <w:r w:rsidRPr="0025250D">
        <w:rPr>
          <w:rFonts w:hint="eastAsia"/>
          <w:rtl/>
        </w:rPr>
        <w:t>رد</w:t>
      </w:r>
      <w:r w:rsidRPr="0025250D">
        <w:rPr>
          <w:rtl/>
        </w:rPr>
        <w:t xml:space="preserve"> و نم</w:t>
      </w:r>
      <w:r w:rsidRPr="0025250D">
        <w:rPr>
          <w:rFonts w:hint="cs"/>
          <w:rtl/>
        </w:rPr>
        <w:t>ی‌</w:t>
      </w:r>
      <w:r w:rsidRPr="0025250D">
        <w:rPr>
          <w:rFonts w:hint="eastAsia"/>
          <w:rtl/>
        </w:rPr>
        <w:t>ب</w:t>
      </w:r>
      <w:r w:rsidRPr="0025250D">
        <w:rPr>
          <w:rFonts w:hint="cs"/>
          <w:rtl/>
        </w:rPr>
        <w:t>ی</w:t>
      </w:r>
      <w:r w:rsidRPr="0025250D">
        <w:rPr>
          <w:rFonts w:hint="eastAsia"/>
          <w:rtl/>
        </w:rPr>
        <w:t>ند</w:t>
      </w:r>
      <w:r w:rsidRPr="0025250D">
        <w:rPr>
          <w:rtl/>
        </w:rPr>
        <w:t xml:space="preserve"> که جنبه‌ها</w:t>
      </w:r>
      <w:r w:rsidRPr="0025250D">
        <w:rPr>
          <w:rFonts w:hint="cs"/>
          <w:rtl/>
        </w:rPr>
        <w:t>ی</w:t>
      </w:r>
      <w:r w:rsidRPr="0025250D">
        <w:rPr>
          <w:rtl/>
        </w:rPr>
        <w:t xml:space="preserve"> خاص آ</w:t>
      </w:r>
      <w:r w:rsidRPr="0025250D">
        <w:rPr>
          <w:rFonts w:hint="cs"/>
          <w:rtl/>
        </w:rPr>
        <w:t>ی</w:t>
      </w:r>
      <w:r w:rsidRPr="0025250D">
        <w:rPr>
          <w:rFonts w:hint="eastAsia"/>
          <w:rtl/>
        </w:rPr>
        <w:t>نده</w:t>
      </w:r>
      <w:r w:rsidRPr="0025250D">
        <w:rPr>
          <w:rtl/>
        </w:rPr>
        <w:t xml:space="preserve"> ما، مانند </w:t>
      </w:r>
      <w:r w:rsidRPr="0025250D">
        <w:t>D&amp;D</w:t>
      </w:r>
      <w:r w:rsidRPr="0025250D">
        <w:rPr>
          <w:rtl/>
        </w:rPr>
        <w:t>، با توسعه تمدن ما قابل پ</w:t>
      </w:r>
      <w:r w:rsidRPr="0025250D">
        <w:rPr>
          <w:rFonts w:hint="cs"/>
          <w:rtl/>
        </w:rPr>
        <w:t>ی</w:t>
      </w:r>
      <w:r w:rsidRPr="0025250D">
        <w:rPr>
          <w:rFonts w:hint="eastAsia"/>
          <w:rtl/>
        </w:rPr>
        <w:t>ش‌ب</w:t>
      </w:r>
      <w:r w:rsidRPr="0025250D">
        <w:rPr>
          <w:rFonts w:hint="cs"/>
          <w:rtl/>
        </w:rPr>
        <w:t>ی</w:t>
      </w:r>
      <w:r w:rsidRPr="0025250D">
        <w:rPr>
          <w:rFonts w:hint="eastAsia"/>
          <w:rtl/>
        </w:rPr>
        <w:t>ن</w:t>
      </w:r>
      <w:r w:rsidRPr="0025250D">
        <w:rPr>
          <w:rFonts w:hint="cs"/>
          <w:rtl/>
        </w:rPr>
        <w:t>ی‌</w:t>
      </w:r>
      <w:r w:rsidRPr="0025250D">
        <w:rPr>
          <w:rFonts w:hint="eastAsia"/>
          <w:rtl/>
        </w:rPr>
        <w:t>تر</w:t>
      </w:r>
      <w:r w:rsidRPr="0025250D">
        <w:rPr>
          <w:rtl/>
        </w:rPr>
        <w:t xml:space="preserve"> م</w:t>
      </w:r>
      <w:r w:rsidRPr="0025250D">
        <w:rPr>
          <w:rFonts w:hint="cs"/>
          <w:rtl/>
        </w:rPr>
        <w:t>ی‌</w:t>
      </w:r>
      <w:r w:rsidRPr="0025250D">
        <w:rPr>
          <w:rFonts w:hint="eastAsia"/>
          <w:rtl/>
        </w:rPr>
        <w:t>شوند</w:t>
      </w:r>
      <w:r w:rsidR="008D6F97" w:rsidRPr="0025250D">
        <w:rPr>
          <w:rtl/>
        </w:rPr>
        <w:t xml:space="preserve">؛ </w:t>
      </w:r>
      <w:r w:rsidR="0020589F" w:rsidRPr="0025250D">
        <w:rPr>
          <w:rtl/>
        </w:rPr>
        <w:t>اما</w:t>
      </w:r>
      <w:r w:rsidRPr="0025250D">
        <w:rPr>
          <w:rtl/>
        </w:rPr>
        <w:t xml:space="preserve"> کار او آستانه بالا</w:t>
      </w:r>
      <w:r w:rsidRPr="0025250D">
        <w:rPr>
          <w:rFonts w:hint="cs"/>
          <w:rtl/>
        </w:rPr>
        <w:t>یی</w:t>
      </w:r>
      <w:r w:rsidRPr="0025250D">
        <w:rPr>
          <w:rtl/>
        </w:rPr>
        <w:t xml:space="preserve"> را برا</w:t>
      </w:r>
      <w:r w:rsidRPr="0025250D">
        <w:rPr>
          <w:rFonts w:hint="cs"/>
          <w:rtl/>
        </w:rPr>
        <w:t>ی</w:t>
      </w:r>
      <w:r w:rsidRPr="0025250D">
        <w:rPr>
          <w:rtl/>
        </w:rPr>
        <w:t xml:space="preserve"> انجام پ</w:t>
      </w:r>
      <w:r w:rsidRPr="0025250D">
        <w:rPr>
          <w:rFonts w:hint="cs"/>
          <w:rtl/>
        </w:rPr>
        <w:t>ی</w:t>
      </w:r>
      <w:r w:rsidRPr="0025250D">
        <w:rPr>
          <w:rFonts w:hint="eastAsia"/>
          <w:rtl/>
        </w:rPr>
        <w:t>ش‌ب</w:t>
      </w:r>
      <w:r w:rsidRPr="0025250D">
        <w:rPr>
          <w:rFonts w:hint="cs"/>
          <w:rtl/>
        </w:rPr>
        <w:t>ی</w:t>
      </w:r>
      <w:r w:rsidRPr="0025250D">
        <w:rPr>
          <w:rFonts w:hint="eastAsia"/>
          <w:rtl/>
        </w:rPr>
        <w:t>ن</w:t>
      </w:r>
      <w:r w:rsidRPr="0025250D">
        <w:rPr>
          <w:rFonts w:hint="cs"/>
          <w:rtl/>
        </w:rPr>
        <w:t>ی</w:t>
      </w:r>
      <w:r w:rsidRPr="0025250D">
        <w:rPr>
          <w:rtl/>
        </w:rPr>
        <w:t xml:space="preserve"> خوب و چند</w:t>
      </w:r>
      <w:r w:rsidRPr="0025250D">
        <w:rPr>
          <w:rFonts w:hint="cs"/>
          <w:rtl/>
        </w:rPr>
        <w:t>ی</w:t>
      </w:r>
      <w:r w:rsidRPr="0025250D">
        <w:rPr>
          <w:rFonts w:hint="eastAsia"/>
          <w:rtl/>
        </w:rPr>
        <w:t>ن</w:t>
      </w:r>
      <w:r w:rsidRPr="0025250D">
        <w:rPr>
          <w:rtl/>
        </w:rPr>
        <w:t xml:space="preserve"> راه از بس</w:t>
      </w:r>
      <w:r w:rsidRPr="0025250D">
        <w:rPr>
          <w:rFonts w:hint="cs"/>
          <w:rtl/>
        </w:rPr>
        <w:t>ی</w:t>
      </w:r>
      <w:r w:rsidRPr="0025250D">
        <w:rPr>
          <w:rFonts w:hint="eastAsia"/>
          <w:rtl/>
        </w:rPr>
        <w:t>ار</w:t>
      </w:r>
      <w:r w:rsidRPr="0025250D">
        <w:rPr>
          <w:rFonts w:hint="cs"/>
          <w:rtl/>
        </w:rPr>
        <w:t>ی</w:t>
      </w:r>
      <w:r w:rsidRPr="0025250D">
        <w:rPr>
          <w:rtl/>
        </w:rPr>
        <w:t xml:space="preserve"> از راه‌ها</w:t>
      </w:r>
      <w:r w:rsidRPr="0025250D">
        <w:rPr>
          <w:rFonts w:hint="cs"/>
          <w:rtl/>
        </w:rPr>
        <w:t>یی</w:t>
      </w:r>
      <w:r w:rsidRPr="0025250D">
        <w:rPr>
          <w:rtl/>
        </w:rPr>
        <w:t xml:space="preserve"> که </w:t>
      </w:r>
      <w:r w:rsidRPr="0025250D">
        <w:rPr>
          <w:rFonts w:hint="cs"/>
          <w:rtl/>
        </w:rPr>
        <w:t>تخصص</w:t>
      </w:r>
      <w:r w:rsidRPr="0025250D">
        <w:rPr>
          <w:rtl/>
        </w:rPr>
        <w:t xml:space="preserve">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در طول تار</w:t>
      </w:r>
      <w:r w:rsidRPr="0025250D">
        <w:rPr>
          <w:rFonts w:hint="cs"/>
          <w:rtl/>
        </w:rPr>
        <w:t>ی</w:t>
      </w:r>
      <w:r w:rsidRPr="0025250D">
        <w:rPr>
          <w:rFonts w:hint="eastAsia"/>
          <w:rtl/>
        </w:rPr>
        <w:t>خ</w:t>
      </w:r>
      <w:r w:rsidRPr="0025250D">
        <w:rPr>
          <w:rtl/>
        </w:rPr>
        <w:t xml:space="preserve"> شکست خورده است</w:t>
      </w:r>
      <w:r w:rsidRPr="0025250D">
        <w:rPr>
          <w:rFonts w:hint="cs"/>
          <w:rtl/>
        </w:rPr>
        <w:t xml:space="preserve"> را</w:t>
      </w:r>
      <w:r w:rsidRPr="0025250D">
        <w:rPr>
          <w:rtl/>
        </w:rPr>
        <w:t xml:space="preserve"> نشان م</w:t>
      </w:r>
      <w:r w:rsidRPr="0025250D">
        <w:rPr>
          <w:rFonts w:hint="cs"/>
          <w:rtl/>
        </w:rPr>
        <w:t>ی‌</w:t>
      </w:r>
      <w:r w:rsidRPr="0025250D">
        <w:rPr>
          <w:rFonts w:hint="eastAsia"/>
          <w:rtl/>
        </w:rPr>
        <w:t>دهد</w:t>
      </w:r>
      <w:r w:rsidRPr="0025250D">
        <w:rPr>
          <w:rtl/>
        </w:rPr>
        <w:t>. از نظر ما خواندن</w:t>
      </w:r>
      <w:r w:rsidRPr="0025250D">
        <w:rPr>
          <w:rFonts w:hint="cs"/>
          <w:rtl/>
        </w:rPr>
        <w:t xml:space="preserve"> آن</w:t>
      </w:r>
      <w:r w:rsidRPr="0025250D">
        <w:rPr>
          <w:rtl/>
        </w:rPr>
        <w:t xml:space="preserve"> برا</w:t>
      </w:r>
      <w:r w:rsidRPr="0025250D">
        <w:rPr>
          <w:rFonts w:hint="cs"/>
          <w:rtl/>
        </w:rPr>
        <w:t>ی</w:t>
      </w:r>
      <w:r w:rsidRPr="0025250D">
        <w:rPr>
          <w:rtl/>
        </w:rPr>
        <w:t xml:space="preserve"> متخصصان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ضرو</w:t>
      </w:r>
      <w:r w:rsidRPr="0025250D">
        <w:rPr>
          <w:rFonts w:hint="eastAsia"/>
          <w:rtl/>
        </w:rPr>
        <w:t>ر</w:t>
      </w:r>
      <w:r w:rsidRPr="0025250D">
        <w:rPr>
          <w:rFonts w:hint="cs"/>
          <w:rtl/>
        </w:rPr>
        <w:t>ی</w:t>
      </w:r>
      <w:r w:rsidRPr="0025250D">
        <w:rPr>
          <w:rtl/>
        </w:rPr>
        <w:t xml:space="preserve"> است</w:t>
      </w:r>
      <w:r w:rsidRPr="0025250D">
        <w:rPr>
          <w:rFonts w:hint="cs"/>
          <w:rtl/>
        </w:rPr>
        <w:t>.</w:t>
      </w:r>
    </w:p>
    <w:p w14:paraId="7A458628" w14:textId="59C677D0" w:rsidR="005B4181" w:rsidRPr="0025250D" w:rsidRDefault="005B4181" w:rsidP="00492C47">
      <w:pPr>
        <w:numPr>
          <w:ilvl w:val="0"/>
          <w:numId w:val="76"/>
        </w:numPr>
      </w:pPr>
      <w:r w:rsidRPr="0025250D">
        <w:rPr>
          <w:rtl/>
        </w:rPr>
        <w:t>بهتر</w:t>
      </w:r>
      <w:r w:rsidRPr="0025250D">
        <w:rPr>
          <w:rFonts w:hint="cs"/>
          <w:rtl/>
        </w:rPr>
        <w:t>ی</w:t>
      </w:r>
      <w:r w:rsidRPr="0025250D">
        <w:rPr>
          <w:rFonts w:hint="eastAsia"/>
          <w:rtl/>
        </w:rPr>
        <w:t>ن</w:t>
      </w:r>
      <w:r w:rsidRPr="0025250D">
        <w:rPr>
          <w:rtl/>
        </w:rPr>
        <w:t xml:space="preserve"> </w:t>
      </w:r>
      <w:r w:rsidR="008F0DD8" w:rsidRPr="0025250D">
        <w:rPr>
          <w:rFonts w:hint="cs"/>
          <w:rtl/>
        </w:rPr>
        <w:t>برنامه‌ها</w:t>
      </w:r>
      <w:r w:rsidRPr="0025250D">
        <w:rPr>
          <w:rtl/>
        </w:rPr>
        <w:t>: استبداد پ</w:t>
      </w:r>
      <w:r w:rsidRPr="0025250D">
        <w:rPr>
          <w:rFonts w:hint="cs"/>
          <w:rtl/>
        </w:rPr>
        <w:t>ی</w:t>
      </w:r>
      <w:r w:rsidRPr="0025250D">
        <w:rPr>
          <w:rFonts w:hint="eastAsia"/>
          <w:rtl/>
        </w:rPr>
        <w:t>امدها</w:t>
      </w:r>
      <w:r w:rsidRPr="0025250D">
        <w:rPr>
          <w:rFonts w:hint="cs"/>
          <w:rtl/>
        </w:rPr>
        <w:t>ی</w:t>
      </w:r>
      <w:r w:rsidRPr="0025250D">
        <w:rPr>
          <w:rtl/>
        </w:rPr>
        <w:t xml:space="preserve"> ناخواسته و نحوه اجتناب از آنها، و</w:t>
      </w:r>
      <w:r w:rsidRPr="0025250D">
        <w:rPr>
          <w:rFonts w:hint="cs"/>
          <w:rtl/>
        </w:rPr>
        <w:t>ی</w:t>
      </w:r>
      <w:r w:rsidRPr="0025250D">
        <w:rPr>
          <w:rFonts w:hint="eastAsia"/>
          <w:rtl/>
        </w:rPr>
        <w:t>ل</w:t>
      </w:r>
      <w:r w:rsidRPr="0025250D">
        <w:rPr>
          <w:rFonts w:hint="cs"/>
          <w:rtl/>
        </w:rPr>
        <w:t>ی</w:t>
      </w:r>
      <w:r w:rsidRPr="0025250D">
        <w:rPr>
          <w:rFonts w:hint="eastAsia"/>
          <w:rtl/>
        </w:rPr>
        <w:t>ام</w:t>
      </w:r>
      <w:r w:rsidRPr="0025250D">
        <w:rPr>
          <w:rtl/>
        </w:rPr>
        <w:t xml:space="preserve"> شردن</w:t>
      </w:r>
      <w:r w:rsidRPr="0025250D">
        <w:rPr>
          <w:vertAlign w:val="superscript"/>
          <w:rtl/>
        </w:rPr>
        <w:footnoteReference w:id="3300"/>
      </w:r>
      <w:r w:rsidRPr="0025250D">
        <w:rPr>
          <w:rtl/>
        </w:rPr>
        <w:t>، 2011</w:t>
      </w:r>
      <w:r w:rsidRPr="0025250D">
        <w:rPr>
          <w:rFonts w:hint="cs"/>
          <w:rtl/>
        </w:rPr>
        <w:t xml:space="preserve">. </w:t>
      </w:r>
      <w:r w:rsidRPr="0025250D">
        <w:rPr>
          <w:rtl/>
        </w:rPr>
        <w:t>مرور</w:t>
      </w:r>
      <w:r w:rsidRPr="0025250D">
        <w:rPr>
          <w:rFonts w:hint="cs"/>
          <w:rtl/>
        </w:rPr>
        <w:t>ی</w:t>
      </w:r>
      <w:r w:rsidRPr="0025250D">
        <w:rPr>
          <w:rtl/>
        </w:rPr>
        <w:t xml:space="preserve"> متواضعانه از راه‌ها</w:t>
      </w:r>
      <w:r w:rsidRPr="0025250D">
        <w:rPr>
          <w:rFonts w:hint="cs"/>
          <w:rtl/>
        </w:rPr>
        <w:t>یی</w:t>
      </w:r>
      <w:r w:rsidRPr="0025250D">
        <w:rPr>
          <w:rtl/>
        </w:rPr>
        <w:t xml:space="preserve"> که برنامه‌ها</w:t>
      </w:r>
      <w:r w:rsidRPr="0025250D">
        <w:rPr>
          <w:rFonts w:hint="cs"/>
          <w:rtl/>
        </w:rPr>
        <w:t>ی</w:t>
      </w:r>
      <w:r w:rsidRPr="0025250D">
        <w:rPr>
          <w:rtl/>
        </w:rPr>
        <w:t xml:space="preserve"> </w:t>
      </w:r>
      <w:r w:rsidR="001A3F0A" w:rsidRPr="0025250D">
        <w:rPr>
          <w:rtl/>
        </w:rPr>
        <w:t>فردی</w:t>
      </w:r>
      <w:r w:rsidRPr="0025250D">
        <w:rPr>
          <w:rFonts w:hint="eastAsia"/>
          <w:rtl/>
        </w:rPr>
        <w:t>،</w:t>
      </w:r>
      <w:r w:rsidRPr="0025250D">
        <w:rPr>
          <w:rtl/>
        </w:rPr>
        <w:t xml:space="preserve"> </w:t>
      </w:r>
      <w:r w:rsidR="00B124DE" w:rsidRPr="0025250D">
        <w:rPr>
          <w:rFonts w:hint="cs"/>
          <w:rtl/>
        </w:rPr>
        <w:t>کسب‌و‌کار</w:t>
      </w:r>
      <w:r w:rsidRPr="0025250D">
        <w:rPr>
          <w:rFonts w:hint="cs"/>
          <w:rtl/>
        </w:rPr>
        <w:t>ی</w:t>
      </w:r>
      <w:r w:rsidRPr="0025250D">
        <w:rPr>
          <w:rtl/>
        </w:rPr>
        <w:t xml:space="preserve"> و س</w:t>
      </w:r>
      <w:r w:rsidRPr="0025250D">
        <w:rPr>
          <w:rFonts w:hint="cs"/>
          <w:rtl/>
        </w:rPr>
        <w:t>ی</w:t>
      </w:r>
      <w:r w:rsidRPr="0025250D">
        <w:rPr>
          <w:rFonts w:hint="eastAsia"/>
          <w:rtl/>
        </w:rPr>
        <w:t>اس</w:t>
      </w:r>
      <w:r w:rsidRPr="0025250D">
        <w:rPr>
          <w:rFonts w:hint="cs"/>
          <w:rtl/>
        </w:rPr>
        <w:t>ی</w:t>
      </w:r>
      <w:r w:rsidRPr="0025250D">
        <w:rPr>
          <w:rtl/>
        </w:rPr>
        <w:t xml:space="preserve"> ما از </w:t>
      </w:r>
      <w:r w:rsidRPr="0025250D">
        <w:rPr>
          <w:rFonts w:hint="cs"/>
          <w:rtl/>
        </w:rPr>
        <w:t>مسیر</w:t>
      </w:r>
      <w:r w:rsidRPr="0025250D">
        <w:rPr>
          <w:rtl/>
        </w:rPr>
        <w:t xml:space="preserve"> خارج م</w:t>
      </w:r>
      <w:r w:rsidRPr="0025250D">
        <w:rPr>
          <w:rFonts w:hint="cs"/>
          <w:rtl/>
        </w:rPr>
        <w:t>ی‌</w:t>
      </w:r>
      <w:r w:rsidRPr="0025250D">
        <w:rPr>
          <w:rFonts w:hint="eastAsia"/>
          <w:rtl/>
        </w:rPr>
        <w:t>شوند</w:t>
      </w:r>
      <w:r w:rsidRPr="0025250D">
        <w:rPr>
          <w:rtl/>
        </w:rPr>
        <w:t xml:space="preserve">. شردن هشت </w:t>
      </w:r>
      <w:r w:rsidRPr="0025250D">
        <w:rPr>
          <w:rFonts w:hint="cs"/>
          <w:rtl/>
        </w:rPr>
        <w:t>سازوکار</w:t>
      </w:r>
      <w:r w:rsidRPr="0025250D">
        <w:rPr>
          <w:rtl/>
        </w:rPr>
        <w:t xml:space="preserve"> را توص</w:t>
      </w:r>
      <w:r w:rsidRPr="0025250D">
        <w:rPr>
          <w:rFonts w:hint="cs"/>
          <w:rtl/>
        </w:rPr>
        <w:t>ی</w:t>
      </w:r>
      <w:r w:rsidRPr="0025250D">
        <w:rPr>
          <w:rFonts w:hint="eastAsia"/>
          <w:rtl/>
        </w:rPr>
        <w:t>ف</w:t>
      </w:r>
      <w:r w:rsidRPr="0025250D">
        <w:rPr>
          <w:rtl/>
        </w:rPr>
        <w:t xml:space="preserve"> م</w:t>
      </w:r>
      <w:r w:rsidRPr="0025250D">
        <w:rPr>
          <w:rFonts w:hint="cs"/>
          <w:rtl/>
        </w:rPr>
        <w:t>ی</w:t>
      </w:r>
      <w:r w:rsidRPr="0025250D">
        <w:rPr>
          <w:rtl/>
        </w:rPr>
        <w:t xml:space="preserve"> کند که نتا</w:t>
      </w:r>
      <w:r w:rsidRPr="0025250D">
        <w:rPr>
          <w:rFonts w:hint="cs"/>
          <w:rtl/>
        </w:rPr>
        <w:t>ی</w:t>
      </w:r>
      <w:r w:rsidRPr="0025250D">
        <w:rPr>
          <w:rFonts w:hint="eastAsia"/>
          <w:rtl/>
        </w:rPr>
        <w:t>ج</w:t>
      </w:r>
      <w:r w:rsidRPr="0025250D">
        <w:rPr>
          <w:rtl/>
        </w:rPr>
        <w:t xml:space="preserve"> ما را به </w:t>
      </w:r>
      <w:r w:rsidRPr="0025250D">
        <w:rPr>
          <w:rFonts w:hint="cs"/>
          <w:rtl/>
        </w:rPr>
        <w:t>شیوه</w:t>
      </w:r>
      <w:r w:rsidRPr="0025250D">
        <w:rPr>
          <w:rtl/>
        </w:rPr>
        <w:t xml:space="preserve"> ها</w:t>
      </w:r>
      <w:r w:rsidRPr="0025250D">
        <w:rPr>
          <w:rFonts w:hint="cs"/>
          <w:rtl/>
        </w:rPr>
        <w:t>ی</w:t>
      </w:r>
      <w:r w:rsidRPr="0025250D">
        <w:rPr>
          <w:rtl/>
        </w:rPr>
        <w:t xml:space="preserve"> غ</w:t>
      </w:r>
      <w:r w:rsidRPr="0025250D">
        <w:rPr>
          <w:rFonts w:hint="cs"/>
          <w:rtl/>
        </w:rPr>
        <w:t>ی</w:t>
      </w:r>
      <w:r w:rsidRPr="0025250D">
        <w:rPr>
          <w:rFonts w:hint="eastAsia"/>
          <w:rtl/>
        </w:rPr>
        <w:t>رقابل</w:t>
      </w:r>
      <w:r w:rsidRPr="0025250D">
        <w:rPr>
          <w:rtl/>
        </w:rPr>
        <w:t xml:space="preserve"> </w:t>
      </w:r>
      <w:r w:rsidR="00D92F6E" w:rsidRPr="0025250D">
        <w:rPr>
          <w:rtl/>
        </w:rPr>
        <w:t>پیش‌بین</w:t>
      </w:r>
      <w:r w:rsidRPr="0025250D">
        <w:rPr>
          <w:rFonts w:hint="cs"/>
          <w:rtl/>
        </w:rPr>
        <w:t>ی</w:t>
      </w:r>
      <w:r w:rsidRPr="0025250D">
        <w:rPr>
          <w:rtl/>
        </w:rPr>
        <w:t xml:space="preserve"> پ</w:t>
      </w:r>
      <w:r w:rsidRPr="0025250D">
        <w:rPr>
          <w:rFonts w:hint="cs"/>
          <w:rtl/>
        </w:rPr>
        <w:t>ی</w:t>
      </w:r>
      <w:r w:rsidRPr="0025250D">
        <w:rPr>
          <w:rFonts w:hint="eastAsia"/>
          <w:rtl/>
        </w:rPr>
        <w:t>چ</w:t>
      </w:r>
      <w:r w:rsidRPr="0025250D">
        <w:rPr>
          <w:rFonts w:hint="cs"/>
          <w:rtl/>
        </w:rPr>
        <w:t>ی</w:t>
      </w:r>
      <w:r w:rsidRPr="0025250D">
        <w:rPr>
          <w:rFonts w:hint="eastAsia"/>
          <w:rtl/>
        </w:rPr>
        <w:t>ده</w:t>
      </w:r>
      <w:r w:rsidRPr="0025250D">
        <w:rPr>
          <w:rtl/>
        </w:rPr>
        <w:t xml:space="preserve"> م</w:t>
      </w:r>
      <w:r w:rsidRPr="0025250D">
        <w:rPr>
          <w:rFonts w:hint="cs"/>
          <w:rtl/>
        </w:rPr>
        <w:t>ی</w:t>
      </w:r>
      <w:r w:rsidRPr="0025250D">
        <w:rPr>
          <w:rtl/>
        </w:rPr>
        <w:t xml:space="preserve"> کند و </w:t>
      </w:r>
      <w:r w:rsidRPr="0025250D">
        <w:rPr>
          <w:rFonts w:hint="cs"/>
          <w:rtl/>
        </w:rPr>
        <w:t>استدلالی متقاعد کننده ارائه می دهد که</w:t>
      </w:r>
      <w:r w:rsidRPr="0025250D">
        <w:rPr>
          <w:rtl/>
        </w:rPr>
        <w:t xml:space="preserve"> </w:t>
      </w:r>
      <w:r w:rsidRPr="0025250D">
        <w:rPr>
          <w:rFonts w:hint="cs"/>
          <w:rtl/>
        </w:rPr>
        <w:t>پایش</w:t>
      </w:r>
      <w:r w:rsidRPr="0025250D">
        <w:rPr>
          <w:rtl/>
        </w:rPr>
        <w:t xml:space="preserve"> ا</w:t>
      </w:r>
      <w:r w:rsidRPr="0025250D">
        <w:rPr>
          <w:rFonts w:hint="cs"/>
          <w:rtl/>
        </w:rPr>
        <w:t>ی</w:t>
      </w:r>
      <w:r w:rsidRPr="0025250D">
        <w:rPr>
          <w:rFonts w:hint="eastAsia"/>
          <w:rtl/>
        </w:rPr>
        <w:t>ن</w:t>
      </w:r>
      <w:r w:rsidRPr="0025250D">
        <w:rPr>
          <w:rtl/>
        </w:rPr>
        <w:t xml:space="preserve"> </w:t>
      </w:r>
      <w:r w:rsidRPr="0025250D">
        <w:rPr>
          <w:rFonts w:hint="cs"/>
          <w:rtl/>
        </w:rPr>
        <w:t>سازوکار</w:t>
      </w:r>
      <w:r w:rsidRPr="0025250D">
        <w:rPr>
          <w:rtl/>
        </w:rPr>
        <w:t xml:space="preserve"> ها م</w:t>
      </w:r>
      <w:r w:rsidRPr="0025250D">
        <w:rPr>
          <w:rFonts w:hint="cs"/>
          <w:rtl/>
        </w:rPr>
        <w:t>ی</w:t>
      </w:r>
      <w:r w:rsidRPr="0025250D">
        <w:rPr>
          <w:rtl/>
        </w:rPr>
        <w:t xml:space="preserve"> تواند به ما امکا</w:t>
      </w:r>
      <w:r w:rsidRPr="0025250D">
        <w:rPr>
          <w:rFonts w:hint="eastAsia"/>
          <w:rtl/>
        </w:rPr>
        <w:t>ن</w:t>
      </w:r>
      <w:r w:rsidRPr="0025250D">
        <w:rPr>
          <w:rtl/>
        </w:rPr>
        <w:t xml:space="preserve"> </w:t>
      </w:r>
      <w:r w:rsidR="00D92F6E" w:rsidRPr="0025250D">
        <w:rPr>
          <w:rtl/>
        </w:rPr>
        <w:t>پیش‌بین</w:t>
      </w:r>
      <w:r w:rsidRPr="0025250D">
        <w:rPr>
          <w:rFonts w:hint="cs"/>
          <w:rtl/>
        </w:rPr>
        <w:t>ی</w:t>
      </w:r>
      <w:r w:rsidRPr="0025250D">
        <w:rPr>
          <w:rFonts w:hint="eastAsia"/>
          <w:rtl/>
        </w:rPr>
        <w:t>،</w:t>
      </w:r>
      <w:r w:rsidRPr="0025250D">
        <w:rPr>
          <w:rtl/>
        </w:rPr>
        <w:t xml:space="preserve"> اجتناب و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بهتر پ</w:t>
      </w:r>
      <w:r w:rsidRPr="0025250D">
        <w:rPr>
          <w:rFonts w:hint="cs"/>
          <w:rtl/>
        </w:rPr>
        <w:t>ی</w:t>
      </w:r>
      <w:r w:rsidRPr="0025250D">
        <w:rPr>
          <w:rFonts w:hint="eastAsia"/>
          <w:rtl/>
        </w:rPr>
        <w:t>امدها</w:t>
      </w:r>
      <w:r w:rsidRPr="0025250D">
        <w:rPr>
          <w:rFonts w:hint="cs"/>
          <w:rtl/>
        </w:rPr>
        <w:t>ی</w:t>
      </w:r>
      <w:r w:rsidRPr="0025250D">
        <w:rPr>
          <w:rtl/>
        </w:rPr>
        <w:t xml:space="preserve"> منف</w:t>
      </w:r>
      <w:r w:rsidRPr="0025250D">
        <w:rPr>
          <w:rFonts w:hint="cs"/>
          <w:rtl/>
        </w:rPr>
        <w:t>ی</w:t>
      </w:r>
      <w:r w:rsidRPr="0025250D">
        <w:rPr>
          <w:rtl/>
        </w:rPr>
        <w:t xml:space="preserve"> در زمان وقوع آنها را بدهد. شردن </w:t>
      </w:r>
      <w:r w:rsidRPr="0025250D">
        <w:rPr>
          <w:rFonts w:hint="cs"/>
          <w:rtl/>
        </w:rPr>
        <w:t>سخنی بیهوده بیان</w:t>
      </w:r>
      <w:r w:rsidR="00EE4B64" w:rsidRPr="0025250D">
        <w:rPr>
          <w:rFonts w:hint="cs"/>
          <w:rtl/>
        </w:rPr>
        <w:t xml:space="preserve"> نمی‌</w:t>
      </w:r>
      <w:r w:rsidRPr="0025250D">
        <w:rPr>
          <w:rFonts w:hint="cs"/>
          <w:rtl/>
        </w:rPr>
        <w:t>کند</w:t>
      </w:r>
      <w:r w:rsidRPr="0025250D">
        <w:rPr>
          <w:rtl/>
        </w:rPr>
        <w:t xml:space="preserve"> و </w:t>
      </w:r>
      <w:r w:rsidRPr="0025250D">
        <w:rPr>
          <w:rFonts w:hint="cs"/>
          <w:rtl/>
        </w:rPr>
        <w:t xml:space="preserve">مبتنی بر </w:t>
      </w:r>
      <w:r w:rsidRPr="0025250D">
        <w:rPr>
          <w:rtl/>
        </w:rPr>
        <w:t>ب</w:t>
      </w:r>
      <w:r w:rsidRPr="0025250D">
        <w:rPr>
          <w:rFonts w:hint="cs"/>
          <w:rtl/>
        </w:rPr>
        <w:t>ی</w:t>
      </w:r>
      <w:r w:rsidRPr="0025250D">
        <w:rPr>
          <w:rFonts w:hint="eastAsia"/>
          <w:rtl/>
        </w:rPr>
        <w:t>نش</w:t>
      </w:r>
      <w:r w:rsidRPr="0025250D">
        <w:rPr>
          <w:rtl/>
        </w:rPr>
        <w:t xml:space="preserve"> و تجربه </w:t>
      </w:r>
      <w:r w:rsidRPr="0025250D">
        <w:rPr>
          <w:rFonts w:hint="cs"/>
          <w:rtl/>
        </w:rPr>
        <w:t>تخصصی</w:t>
      </w:r>
      <w:r w:rsidRPr="0025250D">
        <w:rPr>
          <w:rtl/>
        </w:rPr>
        <w:t xml:space="preserve"> </w:t>
      </w:r>
      <w:r w:rsidRPr="0025250D">
        <w:rPr>
          <w:rFonts w:hint="cs"/>
          <w:rtl/>
        </w:rPr>
        <w:t>صحبت می کند</w:t>
      </w:r>
      <w:r w:rsidRPr="0025250D">
        <w:rPr>
          <w:rtl/>
        </w:rPr>
        <w:t>. شردن دن</w:t>
      </w:r>
      <w:r w:rsidRPr="0025250D">
        <w:rPr>
          <w:rFonts w:hint="cs"/>
          <w:rtl/>
        </w:rPr>
        <w:t>ی</w:t>
      </w:r>
      <w:r w:rsidRPr="0025250D">
        <w:rPr>
          <w:rFonts w:hint="eastAsia"/>
          <w:rtl/>
        </w:rPr>
        <w:t>ا</w:t>
      </w:r>
      <w:r w:rsidRPr="0025250D">
        <w:rPr>
          <w:rtl/>
        </w:rPr>
        <w:t xml:space="preserve"> را از در</w:t>
      </w:r>
      <w:r w:rsidRPr="0025250D">
        <w:rPr>
          <w:rFonts w:hint="cs"/>
          <w:rtl/>
        </w:rPr>
        <w:t>ی</w:t>
      </w:r>
      <w:r w:rsidRPr="0025250D">
        <w:rPr>
          <w:rFonts w:hint="eastAsia"/>
          <w:rtl/>
        </w:rPr>
        <w:t>چه</w:t>
      </w:r>
      <w:r w:rsidRPr="0025250D">
        <w:rPr>
          <w:rtl/>
        </w:rPr>
        <w:t xml:space="preserve"> تکامل</w:t>
      </w:r>
      <w:r w:rsidRPr="0025250D">
        <w:rPr>
          <w:rFonts w:hint="cs"/>
          <w:rtl/>
        </w:rPr>
        <w:t>ی</w:t>
      </w:r>
      <w:r w:rsidRPr="0025250D">
        <w:rPr>
          <w:rtl/>
        </w:rPr>
        <w:t xml:space="preserve"> استاندارد م</w:t>
      </w:r>
      <w:r w:rsidRPr="0025250D">
        <w:rPr>
          <w:rFonts w:hint="cs"/>
          <w:rtl/>
        </w:rPr>
        <w:t>ی</w:t>
      </w:r>
      <w:r w:rsidRPr="0025250D">
        <w:rPr>
          <w:rtl/>
        </w:rPr>
        <w:t xml:space="preserve"> ب</w:t>
      </w:r>
      <w:r w:rsidRPr="0025250D">
        <w:rPr>
          <w:rFonts w:hint="cs"/>
          <w:rtl/>
        </w:rPr>
        <w:t>ی</w:t>
      </w:r>
      <w:r w:rsidRPr="0025250D">
        <w:rPr>
          <w:rFonts w:hint="eastAsia"/>
          <w:rtl/>
        </w:rPr>
        <w:t>ند</w:t>
      </w:r>
      <w:r w:rsidRPr="0025250D">
        <w:rPr>
          <w:rtl/>
        </w:rPr>
        <w:t>. ما با</w:t>
      </w:r>
      <w:r w:rsidRPr="0025250D">
        <w:rPr>
          <w:rFonts w:hint="cs"/>
          <w:rtl/>
        </w:rPr>
        <w:t>ی</w:t>
      </w:r>
      <w:r w:rsidRPr="0025250D">
        <w:rPr>
          <w:rFonts w:hint="eastAsia"/>
          <w:rtl/>
        </w:rPr>
        <w:t>د</w:t>
      </w:r>
      <w:r w:rsidRPr="0025250D">
        <w:rPr>
          <w:rtl/>
        </w:rPr>
        <w:t xml:space="preserve"> به </w:t>
      </w:r>
      <w:r w:rsidRPr="0025250D">
        <w:rPr>
          <w:rFonts w:hint="cs"/>
          <w:rtl/>
        </w:rPr>
        <w:t>ی</w:t>
      </w:r>
      <w:r w:rsidRPr="0025250D">
        <w:rPr>
          <w:rFonts w:hint="eastAsia"/>
          <w:rtl/>
        </w:rPr>
        <w:t>اد</w:t>
      </w:r>
      <w:r w:rsidRPr="0025250D">
        <w:rPr>
          <w:rtl/>
        </w:rPr>
        <w:t xml:space="preserve"> داشته باش</w:t>
      </w:r>
      <w:r w:rsidRPr="0025250D">
        <w:rPr>
          <w:rFonts w:hint="cs"/>
          <w:rtl/>
        </w:rPr>
        <w:t>ی</w:t>
      </w:r>
      <w:r w:rsidRPr="0025250D">
        <w:rPr>
          <w:rFonts w:hint="eastAsia"/>
          <w:rtl/>
        </w:rPr>
        <w:t>م</w:t>
      </w:r>
      <w:r w:rsidRPr="0025250D">
        <w:rPr>
          <w:rtl/>
        </w:rPr>
        <w:t xml:space="preserve"> که فرآ</w:t>
      </w:r>
      <w:r w:rsidRPr="0025250D">
        <w:rPr>
          <w:rFonts w:hint="cs"/>
          <w:rtl/>
        </w:rPr>
        <w:t>ی</w:t>
      </w:r>
      <w:r w:rsidRPr="0025250D">
        <w:rPr>
          <w:rFonts w:hint="eastAsia"/>
          <w:rtl/>
        </w:rPr>
        <w:t>ندها</w:t>
      </w:r>
      <w:r w:rsidRPr="0025250D">
        <w:rPr>
          <w:rFonts w:hint="cs"/>
          <w:rtl/>
        </w:rPr>
        <w:t>ی</w:t>
      </w:r>
      <w:r w:rsidRPr="0025250D">
        <w:rPr>
          <w:rtl/>
        </w:rPr>
        <w:t xml:space="preserve"> توسعه</w:t>
      </w:r>
      <w:r w:rsidRPr="0025250D">
        <w:rPr>
          <w:rFonts w:hint="cs"/>
          <w:rtl/>
        </w:rPr>
        <w:t xml:space="preserve"> ای</w:t>
      </w:r>
      <w:r w:rsidRPr="0025250D">
        <w:rPr>
          <w:rtl/>
        </w:rPr>
        <w:t xml:space="preserve"> ن</w:t>
      </w:r>
      <w:r w:rsidRPr="0025250D">
        <w:rPr>
          <w:rFonts w:hint="cs"/>
          <w:rtl/>
        </w:rPr>
        <w:t>ی</w:t>
      </w:r>
      <w:r w:rsidRPr="0025250D">
        <w:rPr>
          <w:rFonts w:hint="eastAsia"/>
          <w:rtl/>
        </w:rPr>
        <w:t>ز</w:t>
      </w:r>
      <w:r w:rsidRPr="0025250D">
        <w:rPr>
          <w:rtl/>
        </w:rPr>
        <w:t xml:space="preserve"> </w:t>
      </w:r>
      <w:r w:rsidRPr="0025250D">
        <w:rPr>
          <w:rFonts w:hint="cs"/>
          <w:rtl/>
        </w:rPr>
        <w:t>اثرگذار</w:t>
      </w:r>
      <w:r w:rsidRPr="0025250D">
        <w:rPr>
          <w:rtl/>
        </w:rPr>
        <w:t xml:space="preserve"> هستند. اگر مدل ها </w:t>
      </w:r>
      <w:r w:rsidRPr="0025250D">
        <w:rPr>
          <w:rFonts w:hint="cs"/>
          <w:rtl/>
        </w:rPr>
        <w:t>ی</w:t>
      </w:r>
      <w:r w:rsidRPr="0025250D">
        <w:rPr>
          <w:rFonts w:hint="eastAsia"/>
          <w:rtl/>
        </w:rPr>
        <w:t>ا</w:t>
      </w:r>
      <w:r w:rsidRPr="0025250D">
        <w:rPr>
          <w:rtl/>
        </w:rPr>
        <w:t xml:space="preserve"> تار</w:t>
      </w:r>
      <w:r w:rsidRPr="0025250D">
        <w:rPr>
          <w:rFonts w:hint="cs"/>
          <w:rtl/>
        </w:rPr>
        <w:t>ی</w:t>
      </w:r>
      <w:r w:rsidRPr="0025250D">
        <w:rPr>
          <w:rFonts w:hint="eastAsia"/>
          <w:rtl/>
        </w:rPr>
        <w:t>خچه</w:t>
      </w:r>
      <w:r w:rsidRPr="0025250D">
        <w:rPr>
          <w:rtl/>
        </w:rPr>
        <w:t xml:space="preserve"> مناسب</w:t>
      </w:r>
      <w:r w:rsidRPr="0025250D">
        <w:rPr>
          <w:rFonts w:hint="cs"/>
          <w:rtl/>
        </w:rPr>
        <w:t xml:space="preserve"> در اختیار</w:t>
      </w:r>
      <w:r w:rsidRPr="0025250D">
        <w:rPr>
          <w:rtl/>
        </w:rPr>
        <w:t xml:space="preserve"> </w:t>
      </w:r>
      <w:r w:rsidRPr="0025250D">
        <w:rPr>
          <w:rFonts w:hint="cs"/>
          <w:rtl/>
        </w:rPr>
        <w:t>باشند</w:t>
      </w:r>
      <w:r w:rsidRPr="0025250D">
        <w:rPr>
          <w:rFonts w:hint="eastAsia"/>
          <w:rtl/>
        </w:rPr>
        <w:t>،</w:t>
      </w:r>
      <w:r w:rsidRPr="0025250D">
        <w:rPr>
          <w:rtl/>
        </w:rPr>
        <w:t xml:space="preserve"> ا</w:t>
      </w:r>
      <w:r w:rsidRPr="0025250D">
        <w:rPr>
          <w:rFonts w:hint="cs"/>
          <w:rtl/>
        </w:rPr>
        <w:t>ی</w:t>
      </w:r>
      <w:r w:rsidRPr="0025250D">
        <w:rPr>
          <w:rFonts w:hint="eastAsia"/>
          <w:rtl/>
        </w:rPr>
        <w:t>ن</w:t>
      </w:r>
      <w:r w:rsidRPr="0025250D">
        <w:rPr>
          <w:rtl/>
        </w:rPr>
        <w:t xml:space="preserve"> فرآ</w:t>
      </w:r>
      <w:r w:rsidRPr="0025250D">
        <w:rPr>
          <w:rFonts w:hint="cs"/>
          <w:rtl/>
        </w:rPr>
        <w:t>ی</w:t>
      </w:r>
      <w:r w:rsidRPr="0025250D">
        <w:rPr>
          <w:rFonts w:hint="eastAsia"/>
          <w:rtl/>
        </w:rPr>
        <w:t>ندها</w:t>
      </w:r>
      <w:r w:rsidRPr="0025250D">
        <w:rPr>
          <w:rtl/>
        </w:rPr>
        <w:t xml:space="preserve"> قابل </w:t>
      </w:r>
      <w:r w:rsidR="00D92F6E" w:rsidRPr="0025250D">
        <w:rPr>
          <w:rtl/>
        </w:rPr>
        <w:t>پیش‌بین</w:t>
      </w:r>
      <w:r w:rsidRPr="0025250D">
        <w:rPr>
          <w:rFonts w:hint="cs"/>
          <w:rtl/>
        </w:rPr>
        <w:t>ی</w:t>
      </w:r>
      <w:r w:rsidRPr="0025250D">
        <w:rPr>
          <w:rtl/>
        </w:rPr>
        <w:t xml:space="preserve"> هستند. آنها ز</w:t>
      </w:r>
      <w:r w:rsidRPr="0025250D">
        <w:rPr>
          <w:rFonts w:hint="cs"/>
          <w:rtl/>
        </w:rPr>
        <w:t>ی</w:t>
      </w:r>
      <w:r w:rsidRPr="0025250D">
        <w:rPr>
          <w:rFonts w:hint="eastAsia"/>
          <w:rtl/>
        </w:rPr>
        <w:t>رمجموعه</w:t>
      </w:r>
      <w:r w:rsidRPr="0025250D">
        <w:rPr>
          <w:rtl/>
        </w:rPr>
        <w:t xml:space="preserve"> کوچک</w:t>
      </w:r>
      <w:r w:rsidRPr="0025250D">
        <w:rPr>
          <w:rFonts w:hint="cs"/>
          <w:rtl/>
        </w:rPr>
        <w:t>ی</w:t>
      </w:r>
      <w:r w:rsidRPr="0025250D">
        <w:rPr>
          <w:rtl/>
        </w:rPr>
        <w:t xml:space="preserve"> از فرآ</w:t>
      </w:r>
      <w:r w:rsidRPr="0025250D">
        <w:rPr>
          <w:rFonts w:hint="cs"/>
          <w:rtl/>
        </w:rPr>
        <w:t>ی</w:t>
      </w:r>
      <w:r w:rsidRPr="0025250D">
        <w:rPr>
          <w:rFonts w:hint="eastAsia"/>
          <w:rtl/>
        </w:rPr>
        <w:t>ندها</w:t>
      </w:r>
      <w:r w:rsidRPr="0025250D">
        <w:rPr>
          <w:rtl/>
        </w:rPr>
        <w:t xml:space="preserve"> در </w:t>
      </w:r>
      <w:r w:rsidR="008D6F97" w:rsidRPr="0025250D">
        <w:rPr>
          <w:rtl/>
        </w:rPr>
        <w:t>سامانه‌</w:t>
      </w:r>
      <w:r w:rsidRPr="0025250D">
        <w:rPr>
          <w:rtl/>
        </w:rPr>
        <w:t xml:space="preserve"> ها</w:t>
      </w:r>
      <w:r w:rsidRPr="0025250D">
        <w:rPr>
          <w:rFonts w:hint="cs"/>
          <w:rtl/>
        </w:rPr>
        <w:t>ی</w:t>
      </w:r>
      <w:r w:rsidRPr="0025250D">
        <w:rPr>
          <w:rtl/>
        </w:rPr>
        <w:t xml:space="preserve"> زنده هستند (فقط 5</w:t>
      </w:r>
      <w:r w:rsidRPr="0025250D">
        <w:rPr>
          <w:rFonts w:cs="Times New Roman" w:hint="cs"/>
          <w:rtl/>
        </w:rPr>
        <w:t>٪</w:t>
      </w:r>
      <w:r w:rsidRPr="0025250D">
        <w:rPr>
          <w:rFonts w:hint="cs"/>
          <w:rtl/>
        </w:rPr>
        <w:t>،</w:t>
      </w:r>
      <w:r w:rsidRPr="0025250D">
        <w:rPr>
          <w:rtl/>
        </w:rPr>
        <w:t xml:space="preserve"> </w:t>
      </w:r>
      <w:r w:rsidRPr="0025250D">
        <w:rPr>
          <w:rFonts w:hint="cs"/>
          <w:rtl/>
        </w:rPr>
        <w:t>در</w:t>
      </w:r>
      <w:r w:rsidRPr="0025250D">
        <w:rPr>
          <w:rtl/>
        </w:rPr>
        <w:t xml:space="preserve"> </w:t>
      </w:r>
      <w:r w:rsidRPr="0025250D">
        <w:rPr>
          <w:rFonts w:hint="cs"/>
          <w:rtl/>
        </w:rPr>
        <w:t>قانون</w:t>
      </w:r>
      <w:r w:rsidRPr="0025250D">
        <w:rPr>
          <w:rtl/>
        </w:rPr>
        <w:t xml:space="preserve"> 95/5) </w:t>
      </w:r>
      <w:r w:rsidRPr="0025250D">
        <w:rPr>
          <w:rFonts w:hint="cs"/>
          <w:rtl/>
        </w:rPr>
        <w:t>اما</w:t>
      </w:r>
      <w:r w:rsidRPr="0025250D">
        <w:rPr>
          <w:rtl/>
        </w:rPr>
        <w:t xml:space="preserve"> </w:t>
      </w:r>
      <w:r w:rsidRPr="0025250D">
        <w:rPr>
          <w:rFonts w:hint="cs"/>
          <w:rtl/>
        </w:rPr>
        <w:t>از</w:t>
      </w:r>
      <w:r w:rsidRPr="0025250D">
        <w:rPr>
          <w:rtl/>
        </w:rPr>
        <w:t xml:space="preserve"> </w:t>
      </w:r>
      <w:r w:rsidRPr="0025250D">
        <w:rPr>
          <w:rFonts w:hint="cs"/>
          <w:rtl/>
        </w:rPr>
        <w:t>نظر</w:t>
      </w:r>
      <w:r w:rsidRPr="0025250D">
        <w:rPr>
          <w:rtl/>
        </w:rPr>
        <w:t xml:space="preserve"> </w:t>
      </w:r>
      <w:r w:rsidRPr="0025250D">
        <w:rPr>
          <w:rFonts w:hint="cs"/>
          <w:rtl/>
        </w:rPr>
        <w:t>ما،</w:t>
      </w:r>
      <w:r w:rsidRPr="0025250D">
        <w:rPr>
          <w:rtl/>
        </w:rPr>
        <w:t xml:space="preserve"> </w:t>
      </w:r>
      <w:r w:rsidRPr="0025250D">
        <w:rPr>
          <w:rFonts w:hint="cs"/>
          <w:rtl/>
        </w:rPr>
        <w:t>آنها</w:t>
      </w:r>
      <w:r w:rsidRPr="0025250D">
        <w:rPr>
          <w:rtl/>
        </w:rPr>
        <w:t xml:space="preserve"> </w:t>
      </w:r>
      <w:r w:rsidRPr="0025250D">
        <w:rPr>
          <w:rFonts w:hint="cs"/>
          <w:rtl/>
        </w:rPr>
        <w:t>به</w:t>
      </w:r>
      <w:r w:rsidRPr="0025250D">
        <w:rPr>
          <w:rtl/>
        </w:rPr>
        <w:t xml:space="preserve"> </w:t>
      </w:r>
      <w:r w:rsidRPr="0025250D">
        <w:rPr>
          <w:rFonts w:hint="cs"/>
          <w:rtl/>
        </w:rPr>
        <w:t>همان</w:t>
      </w:r>
      <w:r w:rsidRPr="0025250D">
        <w:rPr>
          <w:rtl/>
        </w:rPr>
        <w:t xml:space="preserve"> </w:t>
      </w:r>
      <w:r w:rsidRPr="0025250D">
        <w:rPr>
          <w:rFonts w:hint="cs"/>
          <w:rtl/>
        </w:rPr>
        <w:t>اندازه</w:t>
      </w:r>
      <w:r w:rsidRPr="0025250D">
        <w:rPr>
          <w:rtl/>
        </w:rPr>
        <w:t xml:space="preserve"> </w:t>
      </w:r>
      <w:r w:rsidRPr="0025250D">
        <w:rPr>
          <w:rFonts w:hint="cs"/>
          <w:rtl/>
        </w:rPr>
        <w:t>فرآی</w:t>
      </w:r>
      <w:r w:rsidRPr="0025250D">
        <w:rPr>
          <w:rFonts w:hint="eastAsia"/>
          <w:rtl/>
        </w:rPr>
        <w:t>ندها</w:t>
      </w:r>
      <w:r w:rsidRPr="0025250D">
        <w:rPr>
          <w:rFonts w:hint="cs"/>
          <w:rtl/>
        </w:rPr>
        <w:t>ی</w:t>
      </w:r>
      <w:r w:rsidRPr="0025250D">
        <w:rPr>
          <w:rtl/>
        </w:rPr>
        <w:t xml:space="preserve"> تکامل</w:t>
      </w:r>
      <w:r w:rsidRPr="0025250D">
        <w:rPr>
          <w:rFonts w:hint="cs"/>
          <w:rtl/>
        </w:rPr>
        <w:t>ی</w:t>
      </w:r>
      <w:r w:rsidRPr="0025250D">
        <w:rPr>
          <w:rtl/>
        </w:rPr>
        <w:t xml:space="preserve"> برا</w:t>
      </w:r>
      <w:r w:rsidRPr="0025250D">
        <w:rPr>
          <w:rFonts w:hint="cs"/>
          <w:rtl/>
        </w:rPr>
        <w:t>ی</w:t>
      </w:r>
      <w:r w:rsidRPr="0025250D">
        <w:rPr>
          <w:rtl/>
        </w:rPr>
        <w:t xml:space="preserve"> </w:t>
      </w:r>
      <w:r w:rsidR="00B124DE" w:rsidRPr="0025250D">
        <w:rPr>
          <w:rFonts w:hint="cs"/>
          <w:rtl/>
        </w:rPr>
        <w:t>انطباق‌پذیر</w:t>
      </w:r>
      <w:r w:rsidRPr="0025250D">
        <w:rPr>
          <w:rFonts w:hint="cs"/>
          <w:rtl/>
        </w:rPr>
        <w:t>ی</w:t>
      </w:r>
      <w:r w:rsidRPr="0025250D">
        <w:rPr>
          <w:rtl/>
        </w:rPr>
        <w:t xml:space="preserve"> طولان</w:t>
      </w:r>
      <w:r w:rsidRPr="0025250D">
        <w:rPr>
          <w:rFonts w:hint="cs"/>
          <w:rtl/>
        </w:rPr>
        <w:t>ی</w:t>
      </w:r>
      <w:r w:rsidRPr="0025250D">
        <w:rPr>
          <w:rtl/>
        </w:rPr>
        <w:t xml:space="preserve"> مدت مهم هستند. ما با</w:t>
      </w:r>
      <w:r w:rsidRPr="0025250D">
        <w:rPr>
          <w:rFonts w:hint="cs"/>
          <w:rtl/>
        </w:rPr>
        <w:t>ی</w:t>
      </w:r>
      <w:r w:rsidRPr="0025250D">
        <w:rPr>
          <w:rFonts w:hint="eastAsia"/>
          <w:rtl/>
        </w:rPr>
        <w:t>د</w:t>
      </w:r>
      <w:r w:rsidRPr="0025250D">
        <w:rPr>
          <w:rtl/>
        </w:rPr>
        <w:t xml:space="preserve"> هر دو را بب</w:t>
      </w:r>
      <w:r w:rsidRPr="0025250D">
        <w:rPr>
          <w:rFonts w:hint="cs"/>
          <w:rtl/>
        </w:rPr>
        <w:t>ی</w:t>
      </w:r>
      <w:r w:rsidRPr="0025250D">
        <w:rPr>
          <w:rFonts w:hint="eastAsia"/>
          <w:rtl/>
        </w:rPr>
        <w:t>ن</w:t>
      </w:r>
      <w:r w:rsidRPr="0025250D">
        <w:rPr>
          <w:rFonts w:hint="cs"/>
          <w:rtl/>
        </w:rPr>
        <w:t>ی</w:t>
      </w:r>
      <w:r w:rsidRPr="0025250D">
        <w:rPr>
          <w:rFonts w:hint="eastAsia"/>
          <w:rtl/>
        </w:rPr>
        <w:t>م</w:t>
      </w:r>
      <w:r w:rsidRPr="0025250D">
        <w:rPr>
          <w:rtl/>
        </w:rPr>
        <w:t>.</w:t>
      </w:r>
    </w:p>
    <w:p w14:paraId="5838A34B" w14:textId="525B66B1" w:rsidR="005B4181" w:rsidRPr="0025250D" w:rsidRDefault="005B4181" w:rsidP="00492C47">
      <w:pPr>
        <w:numPr>
          <w:ilvl w:val="0"/>
          <w:numId w:val="76"/>
        </w:numPr>
      </w:pPr>
      <w:r w:rsidRPr="0025250D">
        <w:rPr>
          <w:rFonts w:hint="cs"/>
          <w:rtl/>
        </w:rPr>
        <w:t>ی</w:t>
      </w:r>
      <w:r w:rsidRPr="0025250D">
        <w:rPr>
          <w:rFonts w:hint="eastAsia"/>
          <w:rtl/>
        </w:rPr>
        <w:t>ادگ</w:t>
      </w:r>
      <w:r w:rsidRPr="0025250D">
        <w:rPr>
          <w:rFonts w:hint="cs"/>
          <w:rtl/>
        </w:rPr>
        <w:t>ی</w:t>
      </w:r>
      <w:r w:rsidRPr="0025250D">
        <w:rPr>
          <w:rFonts w:hint="eastAsia"/>
          <w:rtl/>
        </w:rPr>
        <w:t>ر</w:t>
      </w:r>
      <w:r w:rsidRPr="0025250D">
        <w:rPr>
          <w:rFonts w:hint="cs"/>
          <w:rtl/>
        </w:rPr>
        <w:t>ی</w:t>
      </w:r>
      <w:r w:rsidRPr="0025250D">
        <w:rPr>
          <w:rtl/>
        </w:rPr>
        <w:t xml:space="preserve"> از آ</w:t>
      </w:r>
      <w:r w:rsidRPr="0025250D">
        <w:rPr>
          <w:rFonts w:hint="cs"/>
          <w:rtl/>
        </w:rPr>
        <w:t>ی</w:t>
      </w:r>
      <w:r w:rsidRPr="0025250D">
        <w:rPr>
          <w:rFonts w:hint="eastAsia"/>
          <w:rtl/>
        </w:rPr>
        <w:t>نده</w:t>
      </w:r>
      <w:r w:rsidRPr="0025250D">
        <w:rPr>
          <w:rtl/>
        </w:rPr>
        <w:t xml:space="preserve">: </w:t>
      </w:r>
      <w:r w:rsidRPr="0025250D">
        <w:rPr>
          <w:rFonts w:hint="cs"/>
          <w:rtl/>
        </w:rPr>
        <w:t>فرانامه های</w:t>
      </w:r>
      <w:r w:rsidRPr="0025250D">
        <w:rPr>
          <w:rtl/>
        </w:rPr>
        <w:t xml:space="preserve"> </w:t>
      </w:r>
      <w:r w:rsidR="00D92F6E" w:rsidRPr="0025250D">
        <w:rPr>
          <w:rtl/>
        </w:rPr>
        <w:t>آینده‌نگاری</w:t>
      </w:r>
      <w:r w:rsidRPr="0025250D">
        <w:rPr>
          <w:rtl/>
        </w:rPr>
        <w:t xml:space="preserve"> رقابت</w:t>
      </w:r>
      <w:r w:rsidRPr="0025250D">
        <w:rPr>
          <w:rFonts w:hint="cs"/>
          <w:rtl/>
        </w:rPr>
        <w:t>ی</w:t>
      </w:r>
      <w:r w:rsidRPr="0025250D">
        <w:rPr>
          <w:rFonts w:hint="eastAsia"/>
          <w:rtl/>
        </w:rPr>
        <w:t>،</w:t>
      </w:r>
      <w:r w:rsidRPr="0025250D">
        <w:rPr>
          <w:rtl/>
        </w:rPr>
        <w:t xml:space="preserve"> ل</w:t>
      </w:r>
      <w:r w:rsidRPr="0025250D">
        <w:rPr>
          <w:rFonts w:hint="cs"/>
          <w:rtl/>
        </w:rPr>
        <w:t>ی</w:t>
      </w:r>
      <w:r w:rsidRPr="0025250D">
        <w:rPr>
          <w:rFonts w:hint="eastAsia"/>
          <w:rtl/>
        </w:rPr>
        <w:t>ام</w:t>
      </w:r>
      <w:r w:rsidRPr="0025250D">
        <w:rPr>
          <w:rtl/>
        </w:rPr>
        <w:t xml:space="preserve"> فاه</w:t>
      </w:r>
      <w:r w:rsidRPr="0025250D">
        <w:rPr>
          <w:rFonts w:hint="cs"/>
          <w:rtl/>
        </w:rPr>
        <w:t>ی</w:t>
      </w:r>
      <w:r w:rsidRPr="0025250D">
        <w:rPr>
          <w:rtl/>
        </w:rPr>
        <w:t xml:space="preserve"> و رابرت راندال</w:t>
      </w:r>
      <w:r w:rsidRPr="0025250D">
        <w:rPr>
          <w:vertAlign w:val="superscript"/>
          <w:rtl/>
        </w:rPr>
        <w:footnoteReference w:id="3301"/>
      </w:r>
      <w:r w:rsidRPr="0025250D">
        <w:rPr>
          <w:rtl/>
        </w:rPr>
        <w:t>، 1997</w:t>
      </w:r>
      <w:r w:rsidRPr="0025250D">
        <w:rPr>
          <w:rFonts w:hint="cs"/>
          <w:rtl/>
        </w:rPr>
        <w:t xml:space="preserve">. </w:t>
      </w:r>
      <w:r w:rsidRPr="0025250D">
        <w:rPr>
          <w:rtl/>
        </w:rPr>
        <w:t>راهنما</w:t>
      </w:r>
      <w:r w:rsidRPr="0025250D">
        <w:rPr>
          <w:rFonts w:hint="cs"/>
          <w:rtl/>
        </w:rPr>
        <w:t>یی</w:t>
      </w:r>
      <w:r w:rsidRPr="0025250D">
        <w:rPr>
          <w:rtl/>
        </w:rPr>
        <w:t xml:space="preserve"> عال</w:t>
      </w:r>
      <w:r w:rsidRPr="0025250D">
        <w:rPr>
          <w:rFonts w:hint="cs"/>
          <w:rtl/>
        </w:rPr>
        <w:t>ی</w:t>
      </w:r>
      <w:r w:rsidRPr="0025250D">
        <w:rPr>
          <w:rtl/>
        </w:rPr>
        <w:t xml:space="preserve"> برا</w:t>
      </w:r>
      <w:r w:rsidRPr="0025250D">
        <w:rPr>
          <w:rFonts w:hint="cs"/>
          <w:rtl/>
        </w:rPr>
        <w:t>ی</w:t>
      </w:r>
      <w:r w:rsidRPr="0025250D">
        <w:rPr>
          <w:rtl/>
        </w:rPr>
        <w:t xml:space="preserve"> استفاده از </w:t>
      </w:r>
      <w:r w:rsidRPr="0025250D">
        <w:rPr>
          <w:rFonts w:hint="cs"/>
          <w:rtl/>
        </w:rPr>
        <w:t>فرانامه ها</w:t>
      </w:r>
      <w:r w:rsidRPr="0025250D">
        <w:rPr>
          <w:rtl/>
        </w:rPr>
        <w:t xml:space="preserve"> </w:t>
      </w:r>
      <w:r w:rsidRPr="0025250D">
        <w:rPr>
          <w:rFonts w:hint="cs"/>
          <w:rtl/>
        </w:rPr>
        <w:t>جهت</w:t>
      </w:r>
      <w:r w:rsidRPr="0025250D">
        <w:rPr>
          <w:rtl/>
        </w:rPr>
        <w:t xml:space="preserve"> کاهش عدم اطم</w:t>
      </w:r>
      <w:r w:rsidRPr="0025250D">
        <w:rPr>
          <w:rFonts w:hint="cs"/>
          <w:rtl/>
        </w:rPr>
        <w:t>ی</w:t>
      </w:r>
      <w:r w:rsidRPr="0025250D">
        <w:rPr>
          <w:rFonts w:hint="eastAsia"/>
          <w:rtl/>
        </w:rPr>
        <w:t>نان،</w:t>
      </w:r>
      <w:r w:rsidRPr="0025250D">
        <w:rPr>
          <w:rtl/>
        </w:rPr>
        <w:t xml:space="preserve"> </w:t>
      </w:r>
      <w:r w:rsidRPr="0025250D">
        <w:rPr>
          <w:rFonts w:hint="cs"/>
          <w:rtl/>
        </w:rPr>
        <w:t>ی</w:t>
      </w:r>
      <w:r w:rsidRPr="0025250D">
        <w:rPr>
          <w:rFonts w:hint="eastAsia"/>
          <w:rtl/>
        </w:rPr>
        <w:t>افتن</w:t>
      </w:r>
      <w:r w:rsidRPr="0025250D">
        <w:rPr>
          <w:rtl/>
        </w:rPr>
        <w:t xml:space="preserve"> فرصت ها و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ر</w:t>
      </w:r>
      <w:r w:rsidRPr="0025250D">
        <w:rPr>
          <w:rFonts w:hint="cs"/>
          <w:rtl/>
        </w:rPr>
        <w:t>ی</w:t>
      </w:r>
      <w:r w:rsidRPr="0025250D">
        <w:rPr>
          <w:rFonts w:hint="eastAsia"/>
          <w:rtl/>
        </w:rPr>
        <w:t>سک</w:t>
      </w:r>
      <w:r w:rsidRPr="0025250D">
        <w:rPr>
          <w:rtl/>
        </w:rPr>
        <w:t>. فاه</w:t>
      </w:r>
      <w:r w:rsidRPr="0025250D">
        <w:rPr>
          <w:rFonts w:hint="cs"/>
          <w:rtl/>
        </w:rPr>
        <w:t>ی</w:t>
      </w:r>
      <w:r w:rsidRPr="0025250D">
        <w:rPr>
          <w:rtl/>
        </w:rPr>
        <w:t xml:space="preserve"> و رندال ترک</w:t>
      </w:r>
      <w:r w:rsidRPr="0025250D">
        <w:rPr>
          <w:rFonts w:hint="cs"/>
          <w:rtl/>
        </w:rPr>
        <w:t>ی</w:t>
      </w:r>
      <w:r w:rsidRPr="0025250D">
        <w:rPr>
          <w:rFonts w:hint="eastAsia"/>
          <w:rtl/>
        </w:rPr>
        <w:t>ب</w:t>
      </w:r>
      <w:r w:rsidRPr="0025250D">
        <w:rPr>
          <w:rFonts w:hint="cs"/>
          <w:rtl/>
        </w:rPr>
        <w:t>ی</w:t>
      </w:r>
      <w:r w:rsidRPr="0025250D">
        <w:rPr>
          <w:rtl/>
        </w:rPr>
        <w:t xml:space="preserve"> از </w:t>
      </w:r>
      <w:r w:rsidR="00701E03" w:rsidRPr="0025250D">
        <w:rPr>
          <w:rtl/>
        </w:rPr>
        <w:t>راهبرد</w:t>
      </w:r>
      <w:r w:rsidRPr="0025250D">
        <w:rPr>
          <w:rFonts w:hint="cs"/>
          <w:rtl/>
        </w:rPr>
        <w:t>‌</w:t>
      </w:r>
      <w:r w:rsidRPr="0025250D">
        <w:rPr>
          <w:rFonts w:hint="eastAsia"/>
          <w:rtl/>
        </w:rPr>
        <w:t>ها</w:t>
      </w:r>
      <w:r w:rsidRPr="0025250D">
        <w:rPr>
          <w:rtl/>
        </w:rPr>
        <w:t xml:space="preserve"> را ارائه م</w:t>
      </w:r>
      <w:r w:rsidRPr="0025250D">
        <w:rPr>
          <w:rFonts w:hint="cs"/>
          <w:rtl/>
        </w:rPr>
        <w:t>ی‌</w:t>
      </w:r>
      <w:r w:rsidRPr="0025250D">
        <w:rPr>
          <w:rFonts w:hint="eastAsia"/>
          <w:rtl/>
        </w:rPr>
        <w:t>کنند</w:t>
      </w:r>
      <w:r w:rsidRPr="0025250D">
        <w:rPr>
          <w:rtl/>
        </w:rPr>
        <w:t xml:space="preserve"> که به خوب</w:t>
      </w:r>
      <w:r w:rsidRPr="0025250D">
        <w:rPr>
          <w:rFonts w:hint="cs"/>
          <w:rtl/>
        </w:rPr>
        <w:t>ی</w:t>
      </w:r>
      <w:r w:rsidRPr="0025250D">
        <w:rPr>
          <w:rtl/>
        </w:rPr>
        <w:t xml:space="preserve"> ب</w:t>
      </w:r>
      <w:r w:rsidRPr="0025250D">
        <w:rPr>
          <w:rFonts w:hint="cs"/>
          <w:rtl/>
        </w:rPr>
        <w:t>ی</w:t>
      </w:r>
      <w:r w:rsidRPr="0025250D">
        <w:rPr>
          <w:rFonts w:hint="eastAsia"/>
          <w:rtl/>
        </w:rPr>
        <w:t>ن</w:t>
      </w:r>
      <w:r w:rsidRPr="0025250D">
        <w:rPr>
          <w:rtl/>
        </w:rPr>
        <w:t xml:space="preserve">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غ</w:t>
      </w:r>
      <w:r w:rsidRPr="0025250D">
        <w:rPr>
          <w:rFonts w:hint="cs"/>
          <w:rtl/>
        </w:rPr>
        <w:t>ی</w:t>
      </w:r>
      <w:r w:rsidRPr="0025250D">
        <w:rPr>
          <w:rFonts w:hint="eastAsia"/>
          <w:rtl/>
        </w:rPr>
        <w:t>رقابل</w:t>
      </w:r>
      <w:r w:rsidRPr="0025250D">
        <w:rPr>
          <w:rtl/>
        </w:rPr>
        <w:t xml:space="preserve"> پ</w:t>
      </w:r>
      <w:r w:rsidRPr="0025250D">
        <w:rPr>
          <w:rFonts w:hint="cs"/>
          <w:rtl/>
        </w:rPr>
        <w:t>ی</w:t>
      </w:r>
      <w:r w:rsidRPr="0025250D">
        <w:rPr>
          <w:rFonts w:hint="eastAsia"/>
          <w:rtl/>
        </w:rPr>
        <w:t>ش‌ب</w:t>
      </w:r>
      <w:r w:rsidRPr="0025250D">
        <w:rPr>
          <w:rFonts w:hint="cs"/>
          <w:rtl/>
        </w:rPr>
        <w:t>ی</w:t>
      </w:r>
      <w:r w:rsidRPr="0025250D">
        <w:rPr>
          <w:rFonts w:hint="eastAsia"/>
          <w:rtl/>
        </w:rPr>
        <w:t>ن</w:t>
      </w:r>
      <w:r w:rsidRPr="0025250D">
        <w:rPr>
          <w:rFonts w:hint="cs"/>
          <w:rtl/>
        </w:rPr>
        <w:t>ی</w:t>
      </w:r>
      <w:r w:rsidRPr="0025250D">
        <w:rPr>
          <w:rtl/>
        </w:rPr>
        <w:t xml:space="preserve"> (تفکر تکامل</w:t>
      </w:r>
      <w:r w:rsidRPr="0025250D">
        <w:rPr>
          <w:rFonts w:hint="cs"/>
          <w:rtl/>
        </w:rPr>
        <w:t>ی</w:t>
      </w:r>
      <w:r w:rsidRPr="0025250D">
        <w:rPr>
          <w:rtl/>
        </w:rPr>
        <w:t>) و کشف موارد قابل پ</w:t>
      </w:r>
      <w:r w:rsidRPr="0025250D">
        <w:rPr>
          <w:rFonts w:hint="cs"/>
          <w:rtl/>
        </w:rPr>
        <w:t>ی</w:t>
      </w:r>
      <w:r w:rsidRPr="0025250D">
        <w:rPr>
          <w:rFonts w:hint="eastAsia"/>
          <w:rtl/>
        </w:rPr>
        <w:t>ش‌ب</w:t>
      </w:r>
      <w:r w:rsidRPr="0025250D">
        <w:rPr>
          <w:rFonts w:hint="cs"/>
          <w:rtl/>
        </w:rPr>
        <w:t>ی</w:t>
      </w:r>
      <w:r w:rsidRPr="0025250D">
        <w:rPr>
          <w:rFonts w:hint="eastAsia"/>
          <w:rtl/>
        </w:rPr>
        <w:t>ن</w:t>
      </w:r>
      <w:r w:rsidRPr="0025250D">
        <w:rPr>
          <w:rFonts w:hint="cs"/>
          <w:rtl/>
        </w:rPr>
        <w:t>ی</w:t>
      </w:r>
      <w:r w:rsidRPr="0025250D">
        <w:rPr>
          <w:rtl/>
        </w:rPr>
        <w:t xml:space="preserve"> (تفکر توسعه‌ا</w:t>
      </w:r>
      <w:r w:rsidRPr="0025250D">
        <w:rPr>
          <w:rFonts w:hint="cs"/>
          <w:rtl/>
        </w:rPr>
        <w:t>ی</w:t>
      </w:r>
      <w:r w:rsidRPr="0025250D">
        <w:rPr>
          <w:rtl/>
        </w:rPr>
        <w:t xml:space="preserve">) </w:t>
      </w:r>
      <w:r w:rsidR="00074BFC" w:rsidRPr="0025250D">
        <w:rPr>
          <w:rFonts w:hint="cs"/>
          <w:rtl/>
        </w:rPr>
        <w:t>تعادل دارد</w:t>
      </w:r>
      <w:r w:rsidRPr="0025250D">
        <w:rPr>
          <w:rtl/>
        </w:rPr>
        <w:t>.</w:t>
      </w:r>
    </w:p>
    <w:p w14:paraId="0FDD4A58" w14:textId="4F6E906D" w:rsidR="005B4181" w:rsidRPr="0025250D" w:rsidRDefault="005B4181" w:rsidP="00492C47">
      <w:pPr>
        <w:numPr>
          <w:ilvl w:val="0"/>
          <w:numId w:val="76"/>
        </w:numPr>
      </w:pPr>
      <w:r w:rsidRPr="0025250D">
        <w:rPr>
          <w:rtl/>
        </w:rPr>
        <w:t>تجز</w:t>
      </w:r>
      <w:r w:rsidRPr="0025250D">
        <w:rPr>
          <w:rFonts w:hint="cs"/>
          <w:rtl/>
        </w:rPr>
        <w:t>ی</w:t>
      </w:r>
      <w:r w:rsidRPr="0025250D">
        <w:rPr>
          <w:rFonts w:hint="eastAsia"/>
          <w:rtl/>
        </w:rPr>
        <w:t>ه</w:t>
      </w:r>
      <w:r w:rsidRPr="0025250D">
        <w:rPr>
          <w:rtl/>
        </w:rPr>
        <w:t xml:space="preserve"> و تحل</w:t>
      </w:r>
      <w:r w:rsidRPr="0025250D">
        <w:rPr>
          <w:rFonts w:hint="cs"/>
          <w:rtl/>
        </w:rPr>
        <w:t>ی</w:t>
      </w:r>
      <w:r w:rsidRPr="0025250D">
        <w:rPr>
          <w:rFonts w:hint="eastAsia"/>
          <w:rtl/>
        </w:rPr>
        <w:t>ل</w:t>
      </w:r>
      <w:r w:rsidRPr="0025250D">
        <w:rPr>
          <w:rtl/>
        </w:rPr>
        <w:t xml:space="preserve"> </w:t>
      </w:r>
      <w:r w:rsidR="00D92F6E" w:rsidRPr="0025250D">
        <w:rPr>
          <w:rtl/>
        </w:rPr>
        <w:t>پیش‌بین</w:t>
      </w:r>
      <w:r w:rsidRPr="0025250D">
        <w:rPr>
          <w:rFonts w:hint="eastAsia"/>
          <w:rtl/>
        </w:rPr>
        <w:t>،</w:t>
      </w:r>
      <w:r w:rsidRPr="0025250D">
        <w:rPr>
          <w:rtl/>
        </w:rPr>
        <w:t xml:space="preserve"> ار</w:t>
      </w:r>
      <w:r w:rsidRPr="0025250D">
        <w:rPr>
          <w:rFonts w:hint="cs"/>
          <w:rtl/>
        </w:rPr>
        <w:t>ی</w:t>
      </w:r>
      <w:r w:rsidRPr="0025250D">
        <w:rPr>
          <w:rFonts w:hint="eastAsia"/>
          <w:rtl/>
        </w:rPr>
        <w:t>ک</w:t>
      </w:r>
      <w:r w:rsidRPr="0025250D">
        <w:rPr>
          <w:rtl/>
        </w:rPr>
        <w:t xml:space="preserve"> س</w:t>
      </w:r>
      <w:r w:rsidRPr="0025250D">
        <w:rPr>
          <w:rFonts w:hint="cs"/>
          <w:rtl/>
        </w:rPr>
        <w:t>ی</w:t>
      </w:r>
      <w:r w:rsidRPr="0025250D">
        <w:rPr>
          <w:rFonts w:hint="eastAsia"/>
          <w:rtl/>
        </w:rPr>
        <w:t>گل</w:t>
      </w:r>
      <w:r w:rsidRPr="0025250D">
        <w:rPr>
          <w:vertAlign w:val="superscript"/>
          <w:rtl/>
        </w:rPr>
        <w:footnoteReference w:id="3302"/>
      </w:r>
      <w:r w:rsidRPr="0025250D">
        <w:rPr>
          <w:rFonts w:hint="eastAsia"/>
          <w:rtl/>
        </w:rPr>
        <w:t>،</w:t>
      </w:r>
      <w:r w:rsidRPr="0025250D">
        <w:rPr>
          <w:rtl/>
        </w:rPr>
        <w:t xml:space="preserve"> 2013</w:t>
      </w:r>
      <w:r w:rsidRPr="0025250D">
        <w:rPr>
          <w:rFonts w:hint="cs"/>
          <w:rtl/>
        </w:rPr>
        <w:t xml:space="preserve">. </w:t>
      </w:r>
      <w:r w:rsidRPr="0025250D">
        <w:rPr>
          <w:rtl/>
        </w:rPr>
        <w:t>مرور</w:t>
      </w:r>
      <w:r w:rsidRPr="0025250D">
        <w:rPr>
          <w:rFonts w:hint="cs"/>
          <w:rtl/>
        </w:rPr>
        <w:t>ی</w:t>
      </w:r>
      <w:r w:rsidRPr="0025250D">
        <w:rPr>
          <w:rtl/>
        </w:rPr>
        <w:t xml:space="preserve"> عال</w:t>
      </w:r>
      <w:r w:rsidRPr="0025250D">
        <w:rPr>
          <w:rFonts w:hint="cs"/>
          <w:rtl/>
        </w:rPr>
        <w:t>ی</w:t>
      </w:r>
      <w:r w:rsidRPr="0025250D">
        <w:rPr>
          <w:rtl/>
        </w:rPr>
        <w:t xml:space="preserve"> از مرز </w:t>
      </w:r>
      <w:r w:rsidR="00D92F6E" w:rsidRPr="0025250D">
        <w:rPr>
          <w:rtl/>
        </w:rPr>
        <w:t>آینده‌نگاری</w:t>
      </w:r>
      <w:r w:rsidRPr="0025250D">
        <w:rPr>
          <w:rtl/>
        </w:rPr>
        <w:t xml:space="preserve"> جد</w:t>
      </w:r>
      <w:r w:rsidRPr="0025250D">
        <w:rPr>
          <w:rFonts w:hint="cs"/>
          <w:rtl/>
        </w:rPr>
        <w:t>ی</w:t>
      </w:r>
      <w:r w:rsidRPr="0025250D">
        <w:rPr>
          <w:rFonts w:hint="eastAsia"/>
          <w:rtl/>
        </w:rPr>
        <w:t>د</w:t>
      </w:r>
      <w:r w:rsidRPr="0025250D">
        <w:rPr>
          <w:rtl/>
        </w:rPr>
        <w:t>: علم داده، داده کاو</w:t>
      </w:r>
      <w:r w:rsidRPr="0025250D">
        <w:rPr>
          <w:rFonts w:hint="cs"/>
          <w:rtl/>
        </w:rPr>
        <w:t>ی</w:t>
      </w:r>
      <w:r w:rsidRPr="0025250D">
        <w:rPr>
          <w:rFonts w:hint="eastAsia"/>
          <w:rtl/>
        </w:rPr>
        <w:t>،</w:t>
      </w:r>
      <w:r w:rsidRPr="0025250D">
        <w:rPr>
          <w:rtl/>
        </w:rPr>
        <w:t xml:space="preserve"> </w:t>
      </w:r>
      <w:r w:rsidR="00D92F6E" w:rsidRPr="0025250D">
        <w:rPr>
          <w:rtl/>
        </w:rPr>
        <w:t>پیش‌بین</w:t>
      </w:r>
      <w:r w:rsidRPr="0025250D">
        <w:rPr>
          <w:rFonts w:hint="cs"/>
          <w:rtl/>
        </w:rPr>
        <w:t>ی</w:t>
      </w:r>
      <w:r w:rsidRPr="0025250D">
        <w:rPr>
          <w:rtl/>
        </w:rPr>
        <w:t xml:space="preserve"> احتمال</w:t>
      </w:r>
      <w:r w:rsidRPr="0025250D">
        <w:rPr>
          <w:rFonts w:hint="cs"/>
          <w:rtl/>
        </w:rPr>
        <w:t>ی</w:t>
      </w:r>
      <w:r w:rsidRPr="0025250D">
        <w:rPr>
          <w:rtl/>
        </w:rPr>
        <w:t xml:space="preserve"> و </w:t>
      </w:r>
      <w:r w:rsidRPr="0025250D">
        <w:rPr>
          <w:rFonts w:hint="cs"/>
          <w:rtl/>
        </w:rPr>
        <w:t>ی</w:t>
      </w:r>
      <w:r w:rsidRPr="0025250D">
        <w:rPr>
          <w:rFonts w:hint="eastAsia"/>
          <w:rtl/>
        </w:rPr>
        <w:t>ادگ</w:t>
      </w:r>
      <w:r w:rsidRPr="0025250D">
        <w:rPr>
          <w:rFonts w:hint="cs"/>
          <w:rtl/>
        </w:rPr>
        <w:t>ی</w:t>
      </w:r>
      <w:r w:rsidRPr="0025250D">
        <w:rPr>
          <w:rFonts w:hint="eastAsia"/>
          <w:rtl/>
        </w:rPr>
        <w:t>ر</w:t>
      </w:r>
      <w:r w:rsidRPr="0025250D">
        <w:rPr>
          <w:rFonts w:hint="cs"/>
          <w:rtl/>
        </w:rPr>
        <w:t>ی</w:t>
      </w:r>
      <w:r w:rsidRPr="0025250D">
        <w:rPr>
          <w:rtl/>
        </w:rPr>
        <w:t xml:space="preserve"> ماش</w:t>
      </w:r>
      <w:r w:rsidRPr="0025250D">
        <w:rPr>
          <w:rFonts w:hint="cs"/>
          <w:rtl/>
        </w:rPr>
        <w:t>ی</w:t>
      </w:r>
      <w:r w:rsidRPr="0025250D">
        <w:rPr>
          <w:rFonts w:hint="eastAsia"/>
          <w:rtl/>
        </w:rPr>
        <w:t>ن</w:t>
      </w:r>
      <w:r w:rsidRPr="0025250D">
        <w:rPr>
          <w:rtl/>
        </w:rPr>
        <w:t xml:space="preserve">. با هوشمندتر شدن وب و </w:t>
      </w:r>
      <w:r w:rsidRPr="0025250D">
        <w:rPr>
          <w:rFonts w:hint="cs"/>
          <w:rtl/>
        </w:rPr>
        <w:t xml:space="preserve">افزایش </w:t>
      </w:r>
      <w:r w:rsidRPr="0025250D">
        <w:rPr>
          <w:rtl/>
        </w:rPr>
        <w:t>ابزار</w:t>
      </w:r>
      <w:r w:rsidRPr="0025250D">
        <w:rPr>
          <w:rFonts w:hint="cs"/>
          <w:rtl/>
        </w:rPr>
        <w:t>ها</w:t>
      </w:r>
      <w:r w:rsidRPr="0025250D">
        <w:rPr>
          <w:rtl/>
        </w:rPr>
        <w:t>، ا</w:t>
      </w:r>
      <w:r w:rsidRPr="0025250D">
        <w:rPr>
          <w:rFonts w:hint="cs"/>
          <w:rtl/>
        </w:rPr>
        <w:t>ی</w:t>
      </w:r>
      <w:r w:rsidRPr="0025250D">
        <w:rPr>
          <w:rFonts w:hint="eastAsia"/>
          <w:rtl/>
        </w:rPr>
        <w:t>ن</w:t>
      </w:r>
      <w:r w:rsidRPr="0025250D">
        <w:rPr>
          <w:rtl/>
        </w:rPr>
        <w:t xml:space="preserve"> زم</w:t>
      </w:r>
      <w:r w:rsidRPr="0025250D">
        <w:rPr>
          <w:rFonts w:hint="cs"/>
          <w:rtl/>
        </w:rPr>
        <w:t>ی</w:t>
      </w:r>
      <w:r w:rsidRPr="0025250D">
        <w:rPr>
          <w:rFonts w:hint="eastAsia"/>
          <w:rtl/>
        </w:rPr>
        <w:t>نه</w:t>
      </w:r>
      <w:r w:rsidRPr="0025250D">
        <w:rPr>
          <w:rtl/>
        </w:rPr>
        <w:t xml:space="preserve"> ها به سرعت به پ</w:t>
      </w:r>
      <w:r w:rsidRPr="0025250D">
        <w:rPr>
          <w:rFonts w:hint="cs"/>
          <w:rtl/>
        </w:rPr>
        <w:t>ی</w:t>
      </w:r>
      <w:r w:rsidRPr="0025250D">
        <w:rPr>
          <w:rFonts w:hint="eastAsia"/>
          <w:rtl/>
        </w:rPr>
        <w:t>شرفت</w:t>
      </w:r>
      <w:r w:rsidRPr="0025250D">
        <w:rPr>
          <w:rtl/>
        </w:rPr>
        <w:t xml:space="preserve"> خود ادامه خواهند داد. ما آ</w:t>
      </w:r>
      <w:r w:rsidRPr="0025250D">
        <w:rPr>
          <w:rFonts w:hint="cs"/>
          <w:rtl/>
        </w:rPr>
        <w:t>ی</w:t>
      </w:r>
      <w:r w:rsidRPr="0025250D">
        <w:rPr>
          <w:rFonts w:hint="eastAsia"/>
          <w:rtl/>
        </w:rPr>
        <w:t>نده</w:t>
      </w:r>
      <w:r w:rsidRPr="0025250D">
        <w:rPr>
          <w:rtl/>
        </w:rPr>
        <w:t xml:space="preserve"> </w:t>
      </w:r>
      <w:r w:rsidRPr="0025250D">
        <w:rPr>
          <w:rFonts w:hint="cs"/>
          <w:rtl/>
        </w:rPr>
        <w:t>محتمل</w:t>
      </w:r>
      <w:r w:rsidRPr="0025250D">
        <w:rPr>
          <w:rtl/>
        </w:rPr>
        <w:t xml:space="preserve"> کوتاه مدت خود و آ</w:t>
      </w:r>
      <w:r w:rsidRPr="0025250D">
        <w:rPr>
          <w:rFonts w:hint="cs"/>
          <w:rtl/>
        </w:rPr>
        <w:t>ی</w:t>
      </w:r>
      <w:r w:rsidRPr="0025250D">
        <w:rPr>
          <w:rFonts w:hint="eastAsia"/>
          <w:rtl/>
        </w:rPr>
        <w:t>نده</w:t>
      </w:r>
      <w:r w:rsidRPr="0025250D">
        <w:rPr>
          <w:rtl/>
        </w:rPr>
        <w:t xml:space="preserve"> </w:t>
      </w:r>
      <w:r w:rsidRPr="0025250D">
        <w:rPr>
          <w:rFonts w:hint="cs"/>
          <w:rtl/>
        </w:rPr>
        <w:t>مرج</w:t>
      </w:r>
      <w:r w:rsidRPr="0025250D">
        <w:rPr>
          <w:rtl/>
        </w:rPr>
        <w:t xml:space="preserve"> و قابل </w:t>
      </w:r>
      <w:r w:rsidRPr="0025250D">
        <w:rPr>
          <w:rFonts w:hint="cs"/>
          <w:rtl/>
        </w:rPr>
        <w:t>اجتناب</w:t>
      </w:r>
      <w:r w:rsidRPr="0025250D">
        <w:rPr>
          <w:rtl/>
        </w:rPr>
        <w:t xml:space="preserve"> فعل</w:t>
      </w:r>
      <w:r w:rsidRPr="0025250D">
        <w:rPr>
          <w:rFonts w:hint="cs"/>
          <w:rtl/>
        </w:rPr>
        <w:t>ی</w:t>
      </w:r>
      <w:r w:rsidRPr="0025250D">
        <w:rPr>
          <w:rtl/>
        </w:rPr>
        <w:t xml:space="preserve"> خود را خواه</w:t>
      </w:r>
      <w:r w:rsidRPr="0025250D">
        <w:rPr>
          <w:rFonts w:hint="cs"/>
          <w:rtl/>
        </w:rPr>
        <w:t>ی</w:t>
      </w:r>
      <w:r w:rsidRPr="0025250D">
        <w:rPr>
          <w:rFonts w:hint="eastAsia"/>
          <w:rtl/>
        </w:rPr>
        <w:t>م</w:t>
      </w:r>
      <w:r w:rsidRPr="0025250D">
        <w:rPr>
          <w:rtl/>
        </w:rPr>
        <w:t xml:space="preserve"> د</w:t>
      </w:r>
      <w:r w:rsidRPr="0025250D">
        <w:rPr>
          <w:rFonts w:hint="cs"/>
          <w:rtl/>
        </w:rPr>
        <w:t>ی</w:t>
      </w:r>
      <w:r w:rsidRPr="0025250D">
        <w:rPr>
          <w:rFonts w:hint="eastAsia"/>
          <w:rtl/>
        </w:rPr>
        <w:t>د</w:t>
      </w:r>
      <w:r w:rsidRPr="0025250D">
        <w:rPr>
          <w:rtl/>
        </w:rPr>
        <w:t xml:space="preserve"> که با وضوح فزا</w:t>
      </w:r>
      <w:r w:rsidRPr="0025250D">
        <w:rPr>
          <w:rFonts w:hint="cs"/>
          <w:rtl/>
        </w:rPr>
        <w:t>ی</w:t>
      </w:r>
      <w:r w:rsidRPr="0025250D">
        <w:rPr>
          <w:rFonts w:hint="eastAsia"/>
          <w:rtl/>
        </w:rPr>
        <w:t>نده</w:t>
      </w:r>
      <w:r w:rsidRPr="0025250D">
        <w:rPr>
          <w:rFonts w:hint="cs"/>
          <w:rtl/>
        </w:rPr>
        <w:t xml:space="preserve"> ای</w:t>
      </w:r>
      <w:r w:rsidRPr="0025250D">
        <w:rPr>
          <w:rtl/>
        </w:rPr>
        <w:t xml:space="preserve"> </w:t>
      </w:r>
      <w:r w:rsidRPr="0025250D">
        <w:rPr>
          <w:rFonts w:hint="cs"/>
          <w:rtl/>
        </w:rPr>
        <w:t>ترسیم</w:t>
      </w:r>
      <w:r w:rsidRPr="0025250D">
        <w:rPr>
          <w:rtl/>
        </w:rPr>
        <w:t xml:space="preserve"> و کم</w:t>
      </w:r>
      <w:r w:rsidRPr="0025250D">
        <w:rPr>
          <w:rFonts w:hint="cs"/>
          <w:rtl/>
        </w:rPr>
        <w:t>ّی</w:t>
      </w:r>
      <w:r w:rsidRPr="0025250D">
        <w:rPr>
          <w:rtl/>
        </w:rPr>
        <w:t xml:space="preserve"> ساز</w:t>
      </w:r>
      <w:r w:rsidRPr="0025250D">
        <w:rPr>
          <w:rFonts w:hint="cs"/>
          <w:rtl/>
        </w:rPr>
        <w:t>ی</w:t>
      </w:r>
      <w:r w:rsidRPr="0025250D">
        <w:rPr>
          <w:rtl/>
        </w:rPr>
        <w:t xml:space="preserve"> شده است.</w:t>
      </w:r>
    </w:p>
    <w:p w14:paraId="3779BA22" w14:textId="4E57C2CC" w:rsidR="005B4181" w:rsidRPr="0025250D" w:rsidRDefault="005B4181" w:rsidP="00492C47">
      <w:pPr>
        <w:numPr>
          <w:ilvl w:val="0"/>
          <w:numId w:val="76"/>
        </w:numPr>
      </w:pPr>
      <w:r w:rsidRPr="0025250D">
        <w:rPr>
          <w:rtl/>
        </w:rPr>
        <w:t>متفکر مدل</w:t>
      </w:r>
      <w:r w:rsidRPr="0025250D">
        <w:rPr>
          <w:rFonts w:hint="cs"/>
          <w:rtl/>
        </w:rPr>
        <w:t xml:space="preserve"> محور</w:t>
      </w:r>
      <w:r w:rsidRPr="0025250D">
        <w:rPr>
          <w:rtl/>
        </w:rPr>
        <w:t>: آنچه با</w:t>
      </w:r>
      <w:r w:rsidRPr="0025250D">
        <w:rPr>
          <w:rFonts w:hint="cs"/>
          <w:rtl/>
        </w:rPr>
        <w:t>ی</w:t>
      </w:r>
      <w:r w:rsidRPr="0025250D">
        <w:rPr>
          <w:rFonts w:hint="eastAsia"/>
          <w:rtl/>
        </w:rPr>
        <w:t>د</w:t>
      </w:r>
      <w:r w:rsidRPr="0025250D">
        <w:rPr>
          <w:rtl/>
        </w:rPr>
        <w:t xml:space="preserve"> بدان</w:t>
      </w:r>
      <w:r w:rsidRPr="0025250D">
        <w:rPr>
          <w:rFonts w:hint="cs"/>
          <w:rtl/>
        </w:rPr>
        <w:t>ی</w:t>
      </w:r>
      <w:r w:rsidRPr="0025250D">
        <w:rPr>
          <w:rFonts w:hint="eastAsia"/>
          <w:rtl/>
        </w:rPr>
        <w:t>د</w:t>
      </w:r>
      <w:r w:rsidRPr="0025250D">
        <w:rPr>
          <w:rtl/>
        </w:rPr>
        <w:t xml:space="preserve"> تا </w:t>
      </w:r>
      <w:r w:rsidRPr="0025250D">
        <w:rPr>
          <w:rFonts w:hint="cs"/>
          <w:rtl/>
        </w:rPr>
        <w:t>بتوانید از داده ها استفاده کنید</w:t>
      </w:r>
      <w:r w:rsidRPr="0025250D">
        <w:rPr>
          <w:rtl/>
        </w:rPr>
        <w:t>، اسکافل پ</w:t>
      </w:r>
      <w:r w:rsidRPr="0025250D">
        <w:rPr>
          <w:rFonts w:hint="cs"/>
          <w:rtl/>
        </w:rPr>
        <w:t>ی</w:t>
      </w:r>
      <w:r w:rsidRPr="0025250D">
        <w:rPr>
          <w:rFonts w:hint="eastAsia"/>
          <w:rtl/>
        </w:rPr>
        <w:t>ج</w:t>
      </w:r>
      <w:r w:rsidRPr="0025250D">
        <w:rPr>
          <w:vertAlign w:val="superscript"/>
          <w:rtl/>
        </w:rPr>
        <w:footnoteReference w:id="3303"/>
      </w:r>
      <w:r w:rsidRPr="0025250D">
        <w:rPr>
          <w:rFonts w:hint="eastAsia"/>
          <w:rtl/>
        </w:rPr>
        <w:t>،</w:t>
      </w:r>
      <w:r w:rsidRPr="0025250D">
        <w:rPr>
          <w:rtl/>
        </w:rPr>
        <w:t xml:space="preserve"> 2018. مقدمه‌ا</w:t>
      </w:r>
      <w:r w:rsidRPr="0025250D">
        <w:rPr>
          <w:rFonts w:hint="cs"/>
          <w:rtl/>
        </w:rPr>
        <w:t>ی</w:t>
      </w:r>
      <w:r w:rsidRPr="0025250D">
        <w:rPr>
          <w:rtl/>
        </w:rPr>
        <w:t xml:space="preserve"> پرفروش بر قدرت مدل‌ها و نحوه استفاده از مدل‌ها</w:t>
      </w:r>
      <w:r w:rsidRPr="0025250D">
        <w:rPr>
          <w:rFonts w:hint="cs"/>
          <w:rtl/>
        </w:rPr>
        <w:t>ی</w:t>
      </w:r>
      <w:r w:rsidRPr="0025250D">
        <w:rPr>
          <w:rtl/>
        </w:rPr>
        <w:t xml:space="preserve"> ساده ر</w:t>
      </w:r>
      <w:r w:rsidRPr="0025250D">
        <w:rPr>
          <w:rFonts w:hint="cs"/>
          <w:rtl/>
        </w:rPr>
        <w:t>ی</w:t>
      </w:r>
      <w:r w:rsidRPr="0025250D">
        <w:rPr>
          <w:rFonts w:hint="eastAsia"/>
          <w:rtl/>
        </w:rPr>
        <w:t>اض</w:t>
      </w:r>
      <w:r w:rsidRPr="0025250D">
        <w:rPr>
          <w:rFonts w:hint="cs"/>
          <w:rtl/>
        </w:rPr>
        <w:t>ی</w:t>
      </w:r>
      <w:r w:rsidRPr="0025250D">
        <w:rPr>
          <w:rFonts w:hint="eastAsia"/>
          <w:rtl/>
        </w:rPr>
        <w:t>،</w:t>
      </w:r>
      <w:r w:rsidRPr="0025250D">
        <w:rPr>
          <w:rtl/>
        </w:rPr>
        <w:t xml:space="preserve"> آمار</w:t>
      </w:r>
      <w:r w:rsidRPr="0025250D">
        <w:rPr>
          <w:rFonts w:hint="cs"/>
          <w:rtl/>
        </w:rPr>
        <w:t>ی</w:t>
      </w:r>
      <w:r w:rsidRPr="0025250D">
        <w:rPr>
          <w:rtl/>
        </w:rPr>
        <w:t xml:space="preserve"> و محاسبات</w:t>
      </w:r>
      <w:r w:rsidRPr="0025250D">
        <w:rPr>
          <w:rFonts w:hint="cs"/>
          <w:rtl/>
        </w:rPr>
        <w:t>ی</w:t>
      </w:r>
      <w:r w:rsidRPr="0025250D">
        <w:rPr>
          <w:rtl/>
        </w:rPr>
        <w:t xml:space="preserve"> برا</w:t>
      </w:r>
      <w:r w:rsidRPr="0025250D">
        <w:rPr>
          <w:rFonts w:hint="cs"/>
          <w:rtl/>
        </w:rPr>
        <w:t>ی</w:t>
      </w:r>
      <w:r w:rsidRPr="0025250D">
        <w:rPr>
          <w:rtl/>
        </w:rPr>
        <w:t xml:space="preserve"> </w:t>
      </w:r>
      <w:r w:rsidRPr="0025250D">
        <w:rPr>
          <w:rFonts w:hint="cs"/>
          <w:rtl/>
        </w:rPr>
        <w:t>ی</w:t>
      </w:r>
      <w:r w:rsidRPr="0025250D">
        <w:rPr>
          <w:rFonts w:hint="eastAsia"/>
          <w:rtl/>
        </w:rPr>
        <w:t>افتن</w:t>
      </w:r>
      <w:r w:rsidRPr="0025250D">
        <w:rPr>
          <w:rtl/>
        </w:rPr>
        <w:t xml:space="preserve"> نظم پنهان، الگوها</w:t>
      </w:r>
      <w:r w:rsidR="008D6F97" w:rsidRPr="0025250D">
        <w:rPr>
          <w:rtl/>
        </w:rPr>
        <w:t xml:space="preserve"> </w:t>
      </w:r>
      <w:r w:rsidRPr="0025250D">
        <w:rPr>
          <w:rtl/>
        </w:rPr>
        <w:t>و معن</w:t>
      </w:r>
      <w:r w:rsidRPr="0025250D">
        <w:rPr>
          <w:rFonts w:hint="cs"/>
          <w:rtl/>
        </w:rPr>
        <w:t>ی</w:t>
      </w:r>
      <w:r w:rsidRPr="0025250D">
        <w:rPr>
          <w:rtl/>
        </w:rPr>
        <w:t xml:space="preserve"> در داده و برا</w:t>
      </w:r>
      <w:r w:rsidRPr="0025250D">
        <w:rPr>
          <w:rFonts w:hint="cs"/>
          <w:rtl/>
        </w:rPr>
        <w:t>ی</w:t>
      </w:r>
      <w:r w:rsidRPr="0025250D">
        <w:rPr>
          <w:rtl/>
        </w:rPr>
        <w:t xml:space="preserve"> بهتر د</w:t>
      </w:r>
      <w:r w:rsidRPr="0025250D">
        <w:rPr>
          <w:rFonts w:hint="cs"/>
          <w:rtl/>
        </w:rPr>
        <w:t>ی</w:t>
      </w:r>
      <w:r w:rsidRPr="0025250D">
        <w:rPr>
          <w:rFonts w:hint="eastAsia"/>
          <w:rtl/>
        </w:rPr>
        <w:t>دن</w:t>
      </w:r>
      <w:r w:rsidRPr="0025250D">
        <w:rPr>
          <w:rtl/>
        </w:rPr>
        <w:t xml:space="preserve"> و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چهار </w:t>
      </w:r>
      <w:r w:rsidRPr="0025250D">
        <w:t>P</w:t>
      </w:r>
      <w:r w:rsidRPr="0025250D">
        <w:rPr>
          <w:rtl/>
        </w:rPr>
        <w:t>.</w:t>
      </w:r>
    </w:p>
    <w:p w14:paraId="53E66B9D" w14:textId="3E9CBD6F" w:rsidR="005B4181" w:rsidRPr="0025250D" w:rsidRDefault="005B4181" w:rsidP="00492C47">
      <w:pPr>
        <w:numPr>
          <w:ilvl w:val="0"/>
          <w:numId w:val="76"/>
        </w:numPr>
        <w:rPr>
          <w:rtl/>
        </w:rPr>
      </w:pPr>
      <w:r w:rsidRPr="0025250D">
        <w:rPr>
          <w:rtl/>
        </w:rPr>
        <w:t>تفکر درباره آ</w:t>
      </w:r>
      <w:r w:rsidRPr="0025250D">
        <w:rPr>
          <w:rFonts w:hint="cs"/>
          <w:rtl/>
        </w:rPr>
        <w:t>ی</w:t>
      </w:r>
      <w:r w:rsidRPr="0025250D">
        <w:rPr>
          <w:rFonts w:hint="eastAsia"/>
          <w:rtl/>
        </w:rPr>
        <w:t>نده</w:t>
      </w:r>
      <w:r w:rsidRPr="0025250D">
        <w:rPr>
          <w:rtl/>
        </w:rPr>
        <w:t>: دستورالعمل‌ها</w:t>
      </w:r>
      <w:r w:rsidRPr="0025250D">
        <w:rPr>
          <w:rFonts w:hint="cs"/>
          <w:rtl/>
        </w:rPr>
        <w:t>یی</w:t>
      </w:r>
      <w:r w:rsidRPr="0025250D">
        <w:rPr>
          <w:rtl/>
        </w:rPr>
        <w:t xml:space="preserve"> برا</w:t>
      </w:r>
      <w:r w:rsidRPr="0025250D">
        <w:rPr>
          <w:rFonts w:hint="cs"/>
          <w:rtl/>
        </w:rPr>
        <w:t>ی</w:t>
      </w:r>
      <w:r w:rsidRPr="0025250D">
        <w:rPr>
          <w:rtl/>
        </w:rPr>
        <w:t xml:space="preserve">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w:t>
      </w:r>
      <w:r w:rsidR="00701E03" w:rsidRPr="0025250D">
        <w:rPr>
          <w:rtl/>
        </w:rPr>
        <w:t>راهبردی</w:t>
      </w:r>
      <w:r w:rsidRPr="0025250D">
        <w:rPr>
          <w:rFonts w:hint="eastAsia"/>
          <w:rtl/>
        </w:rPr>
        <w:t>،</w:t>
      </w:r>
      <w:r w:rsidRPr="0025250D">
        <w:rPr>
          <w:rtl/>
        </w:rPr>
        <w:t xml:space="preserve"> ب</w:t>
      </w:r>
      <w:r w:rsidRPr="0025250D">
        <w:rPr>
          <w:rFonts w:hint="cs"/>
          <w:rtl/>
        </w:rPr>
        <w:t>ی</w:t>
      </w:r>
      <w:r w:rsidRPr="0025250D">
        <w:rPr>
          <w:rFonts w:hint="eastAsia"/>
          <w:rtl/>
        </w:rPr>
        <w:t>شاپ</w:t>
      </w:r>
      <w:r w:rsidRPr="0025250D">
        <w:rPr>
          <w:rtl/>
        </w:rPr>
        <w:t xml:space="preserve"> و ها</w:t>
      </w:r>
      <w:r w:rsidRPr="0025250D">
        <w:rPr>
          <w:rFonts w:hint="cs"/>
          <w:rtl/>
        </w:rPr>
        <w:t>ی</w:t>
      </w:r>
      <w:r w:rsidRPr="0025250D">
        <w:rPr>
          <w:rFonts w:hint="eastAsia"/>
          <w:rtl/>
        </w:rPr>
        <w:t>نز</w:t>
      </w:r>
      <w:r w:rsidRPr="0025250D">
        <w:rPr>
          <w:vertAlign w:val="superscript"/>
          <w:rtl/>
        </w:rPr>
        <w:footnoteReference w:id="3304"/>
      </w:r>
      <w:r w:rsidRPr="0025250D">
        <w:rPr>
          <w:rFonts w:hint="eastAsia"/>
          <w:rtl/>
        </w:rPr>
        <w:t>،</w:t>
      </w:r>
      <w:r w:rsidRPr="0025250D">
        <w:rPr>
          <w:rtl/>
        </w:rPr>
        <w:t xml:space="preserve"> 2007. مرور</w:t>
      </w:r>
      <w:r w:rsidRPr="0025250D">
        <w:rPr>
          <w:rFonts w:hint="cs"/>
          <w:rtl/>
        </w:rPr>
        <w:t>ی</w:t>
      </w:r>
      <w:r w:rsidRPr="0025250D">
        <w:rPr>
          <w:rtl/>
        </w:rPr>
        <w:t xml:space="preserve"> عال</w:t>
      </w:r>
      <w:r w:rsidRPr="0025250D">
        <w:rPr>
          <w:rFonts w:hint="cs"/>
          <w:rtl/>
        </w:rPr>
        <w:t>ی</w:t>
      </w:r>
      <w:r w:rsidRPr="0025250D">
        <w:rPr>
          <w:rtl/>
        </w:rPr>
        <w:t xml:space="preserve"> بر شش فعال</w:t>
      </w:r>
      <w:r w:rsidRPr="0025250D">
        <w:rPr>
          <w:rFonts w:hint="cs"/>
          <w:rtl/>
        </w:rPr>
        <w:t>ی</w:t>
      </w:r>
      <w:r w:rsidRPr="0025250D">
        <w:rPr>
          <w:rFonts w:hint="eastAsia"/>
          <w:rtl/>
        </w:rPr>
        <w:t>ت</w:t>
      </w:r>
      <w:r w:rsidRPr="0025250D">
        <w:rPr>
          <w:rtl/>
        </w:rPr>
        <w:t xml:space="preserve"> کل</w:t>
      </w:r>
      <w:r w:rsidRPr="0025250D">
        <w:rPr>
          <w:rFonts w:hint="cs"/>
          <w:rtl/>
        </w:rPr>
        <w:t>ی</w:t>
      </w:r>
      <w:r w:rsidRPr="0025250D">
        <w:rPr>
          <w:rFonts w:hint="eastAsia"/>
          <w:rtl/>
        </w:rPr>
        <w:t>د</w:t>
      </w:r>
      <w:r w:rsidRPr="0025250D">
        <w:rPr>
          <w:rFonts w:hint="cs"/>
          <w:rtl/>
        </w:rPr>
        <w:t>ی</w:t>
      </w:r>
      <w:r w:rsidRPr="0025250D">
        <w:rPr>
          <w:rtl/>
        </w:rPr>
        <w:t xml:space="preserve">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w:t>
      </w:r>
      <w:r w:rsidR="00701E03" w:rsidRPr="0025250D">
        <w:rPr>
          <w:rtl/>
        </w:rPr>
        <w:t>راهبردی</w:t>
      </w:r>
      <w:r w:rsidRPr="0025250D">
        <w:rPr>
          <w:rFonts w:hint="eastAsia"/>
          <w:rtl/>
        </w:rPr>
        <w:t>،</w:t>
      </w:r>
      <w:r w:rsidRPr="0025250D">
        <w:rPr>
          <w:rtl/>
        </w:rPr>
        <w:t xml:space="preserve"> با مثال‌ها</w:t>
      </w:r>
      <w:r w:rsidRPr="0025250D">
        <w:rPr>
          <w:rFonts w:hint="cs"/>
          <w:rtl/>
        </w:rPr>
        <w:t>ی</w:t>
      </w:r>
      <w:r w:rsidRPr="0025250D">
        <w:rPr>
          <w:rtl/>
        </w:rPr>
        <w:t xml:space="preserve"> مختصر از </w:t>
      </w:r>
      <w:r w:rsidRPr="0025250D">
        <w:rPr>
          <w:rFonts w:hint="cs"/>
          <w:rtl/>
        </w:rPr>
        <w:t>کارگزاران</w:t>
      </w:r>
      <w:r w:rsidRPr="0025250D">
        <w:rPr>
          <w:rtl/>
        </w:rPr>
        <w:t>. مثال‌ها نگاه</w:t>
      </w:r>
      <w:r w:rsidRPr="0025250D">
        <w:rPr>
          <w:rFonts w:hint="cs"/>
          <w:rtl/>
        </w:rPr>
        <w:t>ی</w:t>
      </w:r>
      <w:r w:rsidRPr="0025250D">
        <w:rPr>
          <w:rtl/>
        </w:rPr>
        <w:t xml:space="preserve"> کاربرد</w:t>
      </w:r>
      <w:r w:rsidRPr="0025250D">
        <w:rPr>
          <w:rFonts w:hint="cs"/>
          <w:rtl/>
        </w:rPr>
        <w:t>ی</w:t>
      </w:r>
      <w:r w:rsidRPr="0025250D">
        <w:rPr>
          <w:rtl/>
        </w:rPr>
        <w:t xml:space="preserve"> قو</w:t>
      </w:r>
      <w:r w:rsidRPr="0025250D">
        <w:rPr>
          <w:rFonts w:hint="cs"/>
          <w:rtl/>
        </w:rPr>
        <w:t>ی</w:t>
      </w:r>
      <w:r w:rsidRPr="0025250D">
        <w:rPr>
          <w:rtl/>
        </w:rPr>
        <w:t xml:space="preserve"> به وضع</w:t>
      </w:r>
      <w:r w:rsidRPr="0025250D">
        <w:rPr>
          <w:rFonts w:hint="cs"/>
          <w:rtl/>
        </w:rPr>
        <w:t>ی</w:t>
      </w:r>
      <w:r w:rsidRPr="0025250D">
        <w:rPr>
          <w:rFonts w:hint="eastAsia"/>
          <w:rtl/>
        </w:rPr>
        <w:t>ت</w:t>
      </w:r>
      <w:r w:rsidRPr="0025250D">
        <w:rPr>
          <w:rtl/>
        </w:rPr>
        <w:t xml:space="preserve"> فعل</w:t>
      </w:r>
      <w:r w:rsidRPr="0025250D">
        <w:rPr>
          <w:rFonts w:hint="cs"/>
          <w:rtl/>
        </w:rPr>
        <w:t>ی</w:t>
      </w:r>
      <w:r w:rsidRPr="0025250D">
        <w:rPr>
          <w:rtl/>
        </w:rPr>
        <w:t xml:space="preserve"> حوزه ما</w:t>
      </w:r>
      <w:r w:rsidRPr="0025250D">
        <w:rPr>
          <w:rFonts w:hint="cs"/>
          <w:rtl/>
        </w:rPr>
        <w:t xml:space="preserve"> در </w:t>
      </w:r>
      <w:r w:rsidRPr="0025250D">
        <w:rPr>
          <w:rtl/>
        </w:rPr>
        <w:t>سمت</w:t>
      </w:r>
      <w:r w:rsidRPr="0025250D">
        <w:rPr>
          <w:rFonts w:hint="cs"/>
          <w:rtl/>
        </w:rPr>
        <w:t>ی</w:t>
      </w:r>
      <w:r w:rsidRPr="0025250D">
        <w:rPr>
          <w:rtl/>
        </w:rPr>
        <w:t xml:space="preserve"> که کمتر پ</w:t>
      </w:r>
      <w:r w:rsidRPr="0025250D">
        <w:rPr>
          <w:rFonts w:hint="cs"/>
          <w:rtl/>
        </w:rPr>
        <w:t>ی</w:t>
      </w:r>
      <w:r w:rsidRPr="0025250D">
        <w:rPr>
          <w:rFonts w:hint="eastAsia"/>
          <w:rtl/>
        </w:rPr>
        <w:t>ش‌ب</w:t>
      </w:r>
      <w:r w:rsidRPr="0025250D">
        <w:rPr>
          <w:rFonts w:hint="cs"/>
          <w:rtl/>
        </w:rPr>
        <w:t>ی</w:t>
      </w:r>
      <w:r w:rsidRPr="0025250D">
        <w:rPr>
          <w:rFonts w:hint="eastAsia"/>
          <w:rtl/>
        </w:rPr>
        <w:t>ن</w:t>
      </w:r>
      <w:r w:rsidRPr="0025250D">
        <w:rPr>
          <w:rFonts w:hint="cs"/>
          <w:rtl/>
        </w:rPr>
        <w:t>ی‌</w:t>
      </w:r>
      <w:r w:rsidRPr="0025250D">
        <w:rPr>
          <w:rFonts w:hint="eastAsia"/>
          <w:rtl/>
        </w:rPr>
        <w:t>کننده</w:t>
      </w:r>
      <w:r w:rsidRPr="0025250D">
        <w:rPr>
          <w:rFonts w:hint="cs"/>
          <w:rtl/>
        </w:rPr>
        <w:t xml:space="preserve"> است</w:t>
      </w:r>
      <w:r w:rsidRPr="0025250D">
        <w:rPr>
          <w:rtl/>
        </w:rPr>
        <w:t xml:space="preserve"> ارائه م</w:t>
      </w:r>
      <w:r w:rsidRPr="0025250D">
        <w:rPr>
          <w:rFonts w:hint="cs"/>
          <w:rtl/>
        </w:rPr>
        <w:t>ی‌</w:t>
      </w:r>
      <w:r w:rsidRPr="0025250D">
        <w:rPr>
          <w:rFonts w:hint="eastAsia"/>
          <w:rtl/>
        </w:rPr>
        <w:t>دهند</w:t>
      </w:r>
      <w:r w:rsidRPr="0025250D">
        <w:rPr>
          <w:rFonts w:hint="cs"/>
          <w:rtl/>
        </w:rPr>
        <w:t>.</w:t>
      </w:r>
    </w:p>
    <w:p w14:paraId="49BB47E4" w14:textId="77777777" w:rsidR="005B4181" w:rsidRPr="0025250D" w:rsidRDefault="005B4181" w:rsidP="005B4181"/>
    <w:p w14:paraId="4A0E62E9" w14:textId="6E292CC2" w:rsidR="00537CC8" w:rsidRPr="0025250D" w:rsidRDefault="00537CC8" w:rsidP="005B4181">
      <w:pPr>
        <w:pStyle w:val="Heading3"/>
        <w:rPr>
          <w:rtl/>
        </w:rPr>
      </w:pPr>
      <w:r w:rsidRPr="0025250D">
        <w:rPr>
          <w:rtl/>
        </w:rPr>
        <w:t>کتاب‌ها</w:t>
      </w:r>
      <w:r w:rsidRPr="0025250D">
        <w:rPr>
          <w:rFonts w:hint="cs"/>
          <w:rtl/>
        </w:rPr>
        <w:t>ی</w:t>
      </w:r>
      <w:r w:rsidRPr="0025250D">
        <w:rPr>
          <w:rtl/>
        </w:rPr>
        <w:t xml:space="preserve"> آ</w:t>
      </w:r>
      <w:r w:rsidRPr="0025250D">
        <w:rPr>
          <w:rFonts w:hint="cs"/>
          <w:rtl/>
        </w:rPr>
        <w:t>ی</w:t>
      </w:r>
      <w:r w:rsidRPr="0025250D">
        <w:rPr>
          <w:rFonts w:hint="eastAsia"/>
          <w:rtl/>
        </w:rPr>
        <w:t>نده‌</w:t>
      </w:r>
      <w:r w:rsidR="00E26538" w:rsidRPr="0025250D">
        <w:rPr>
          <w:rFonts w:hint="eastAsia"/>
          <w:rtl/>
        </w:rPr>
        <w:t>نگار</w:t>
      </w:r>
      <w:r w:rsidRPr="0025250D">
        <w:rPr>
          <w:rFonts w:hint="cs"/>
          <w:rtl/>
        </w:rPr>
        <w:t>ی</w:t>
      </w:r>
      <w:r w:rsidRPr="0025250D">
        <w:rPr>
          <w:rtl/>
        </w:rPr>
        <w:t xml:space="preserve"> </w:t>
      </w:r>
      <w:r w:rsidRPr="0025250D">
        <w:rPr>
          <w:rFonts w:hint="cs"/>
          <w:rtl/>
        </w:rPr>
        <w:t>تخصصی</w:t>
      </w:r>
      <w:r w:rsidRPr="0025250D">
        <w:rPr>
          <w:rtl/>
        </w:rPr>
        <w:t xml:space="preserve"> </w:t>
      </w:r>
      <w:r w:rsidRPr="0025250D">
        <w:rPr>
          <w:rFonts w:ascii="Times New Roman" w:hAnsi="Times New Roman" w:cs="Times New Roman" w:hint="cs"/>
          <w:rtl/>
        </w:rPr>
        <w:t>–</w:t>
      </w:r>
      <w:r w:rsidRPr="0025250D">
        <w:rPr>
          <w:rtl/>
        </w:rPr>
        <w:t xml:space="preserve"> </w:t>
      </w:r>
      <w:r w:rsidRPr="0025250D">
        <w:rPr>
          <w:rFonts w:hint="cs"/>
          <w:rtl/>
        </w:rPr>
        <w:t>فهرستی</w:t>
      </w:r>
      <w:r w:rsidRPr="0025250D">
        <w:rPr>
          <w:rtl/>
        </w:rPr>
        <w:t xml:space="preserve"> طولان</w:t>
      </w:r>
      <w:r w:rsidRPr="0025250D">
        <w:rPr>
          <w:rFonts w:hint="cs"/>
          <w:rtl/>
        </w:rPr>
        <w:t>ی‌</w:t>
      </w:r>
      <w:r w:rsidRPr="0025250D">
        <w:rPr>
          <w:rFonts w:hint="eastAsia"/>
          <w:rtl/>
        </w:rPr>
        <w:t>تر</w:t>
      </w:r>
    </w:p>
    <w:p w14:paraId="50AEFAEF" w14:textId="303D3044" w:rsidR="00537CC8" w:rsidRPr="0025250D" w:rsidRDefault="00537CC8" w:rsidP="00537CC8">
      <w:pPr>
        <w:rPr>
          <w:rtl/>
        </w:rPr>
      </w:pPr>
    </w:p>
    <w:p w14:paraId="2ABF12F8" w14:textId="05ED16F0" w:rsidR="005B4181" w:rsidRPr="0025250D" w:rsidRDefault="005B4181" w:rsidP="00492C47">
      <w:pPr>
        <w:numPr>
          <w:ilvl w:val="0"/>
          <w:numId w:val="77"/>
        </w:numPr>
        <w:rPr>
          <w:rtl/>
        </w:rPr>
      </w:pPr>
      <w:r w:rsidRPr="0025250D">
        <w:rPr>
          <w:rtl/>
        </w:rPr>
        <w:t>آینده‌نگاری 20/20: ا</w:t>
      </w:r>
      <w:r w:rsidRPr="0025250D">
        <w:rPr>
          <w:rFonts w:hint="cs"/>
          <w:rtl/>
        </w:rPr>
        <w:t>ی</w:t>
      </w:r>
      <w:r w:rsidRPr="0025250D">
        <w:rPr>
          <w:rFonts w:hint="eastAsia"/>
          <w:rtl/>
        </w:rPr>
        <w:t>جاد</w:t>
      </w:r>
      <w:r w:rsidRPr="0025250D">
        <w:rPr>
          <w:rtl/>
        </w:rPr>
        <w:t xml:space="preserve"> </w:t>
      </w:r>
      <w:r w:rsidR="00701E03" w:rsidRPr="0025250D">
        <w:rPr>
          <w:rtl/>
        </w:rPr>
        <w:t>راهبرد</w:t>
      </w:r>
      <w:r w:rsidRPr="0025250D">
        <w:rPr>
          <w:rtl/>
        </w:rPr>
        <w:t xml:space="preserve"> در دن</w:t>
      </w:r>
      <w:r w:rsidRPr="0025250D">
        <w:rPr>
          <w:rFonts w:hint="cs"/>
          <w:rtl/>
        </w:rPr>
        <w:t>ی</w:t>
      </w:r>
      <w:r w:rsidRPr="0025250D">
        <w:rPr>
          <w:rFonts w:hint="eastAsia"/>
          <w:rtl/>
        </w:rPr>
        <w:t>ا</w:t>
      </w:r>
      <w:r w:rsidRPr="0025250D">
        <w:rPr>
          <w:rFonts w:hint="cs"/>
          <w:rtl/>
        </w:rPr>
        <w:t>ی</w:t>
      </w:r>
      <w:r w:rsidRPr="0025250D">
        <w:rPr>
          <w:rtl/>
        </w:rPr>
        <w:t xml:space="preserve"> نامشخص، ه</w:t>
      </w:r>
      <w:r w:rsidRPr="0025250D">
        <w:rPr>
          <w:rFonts w:hint="cs"/>
          <w:rtl/>
        </w:rPr>
        <w:t>ی</w:t>
      </w:r>
      <w:r w:rsidRPr="0025250D">
        <w:rPr>
          <w:rFonts w:hint="eastAsia"/>
          <w:rtl/>
        </w:rPr>
        <w:t>و</w:t>
      </w:r>
      <w:r w:rsidRPr="0025250D">
        <w:rPr>
          <w:rtl/>
        </w:rPr>
        <w:t xml:space="preserve"> کورتن</w:t>
      </w:r>
      <w:r w:rsidRPr="0025250D">
        <w:rPr>
          <w:rFonts w:hint="cs"/>
          <w:rtl/>
        </w:rPr>
        <w:t>ی</w:t>
      </w:r>
      <w:r w:rsidRPr="0025250D">
        <w:rPr>
          <w:vertAlign w:val="superscript"/>
          <w:rtl/>
        </w:rPr>
        <w:footnoteReference w:id="3305"/>
      </w:r>
      <w:r w:rsidRPr="0025250D">
        <w:rPr>
          <w:rFonts w:hint="eastAsia"/>
          <w:rtl/>
        </w:rPr>
        <w:t>،</w:t>
      </w:r>
      <w:r w:rsidRPr="0025250D">
        <w:rPr>
          <w:rtl/>
        </w:rPr>
        <w:t xml:space="preserve"> 2001</w:t>
      </w:r>
    </w:p>
    <w:p w14:paraId="7F478EFA" w14:textId="77777777" w:rsidR="005B4181" w:rsidRPr="0025250D" w:rsidRDefault="005B4181" w:rsidP="00492C47">
      <w:pPr>
        <w:numPr>
          <w:ilvl w:val="0"/>
          <w:numId w:val="77"/>
        </w:numPr>
        <w:rPr>
          <w:rtl/>
        </w:rPr>
      </w:pPr>
      <w:r w:rsidRPr="0025250D">
        <w:rPr>
          <w:rtl/>
        </w:rPr>
        <w:t>آکادم</w:t>
      </w:r>
      <w:r w:rsidRPr="0025250D">
        <w:rPr>
          <w:rFonts w:hint="cs"/>
          <w:rtl/>
        </w:rPr>
        <w:t>ی</w:t>
      </w:r>
      <w:r w:rsidRPr="0025250D">
        <w:rPr>
          <w:rtl/>
        </w:rPr>
        <w:t xml:space="preserve"> بعد</w:t>
      </w:r>
      <w:r w:rsidRPr="0025250D">
        <w:rPr>
          <w:rFonts w:hint="cs"/>
          <w:rtl/>
        </w:rPr>
        <w:t>ی</w:t>
      </w:r>
      <w:r w:rsidRPr="0025250D">
        <w:rPr>
          <w:rtl/>
        </w:rPr>
        <w:t>: آ</w:t>
      </w:r>
      <w:r w:rsidRPr="0025250D">
        <w:rPr>
          <w:rFonts w:hint="cs"/>
          <w:rtl/>
        </w:rPr>
        <w:t>ی</w:t>
      </w:r>
      <w:r w:rsidRPr="0025250D">
        <w:rPr>
          <w:rFonts w:hint="eastAsia"/>
          <w:rtl/>
        </w:rPr>
        <w:t>نده</w:t>
      </w:r>
      <w:r w:rsidRPr="0025250D">
        <w:rPr>
          <w:rtl/>
        </w:rPr>
        <w:t xml:space="preserve"> آموزش عال</w:t>
      </w:r>
      <w:r w:rsidRPr="0025250D">
        <w:rPr>
          <w:rFonts w:hint="cs"/>
          <w:rtl/>
        </w:rPr>
        <w:t>ی</w:t>
      </w:r>
      <w:r w:rsidRPr="0025250D">
        <w:rPr>
          <w:rFonts w:hint="eastAsia"/>
          <w:rtl/>
        </w:rPr>
        <w:t>،</w:t>
      </w:r>
      <w:r w:rsidRPr="0025250D">
        <w:rPr>
          <w:rtl/>
        </w:rPr>
        <w:t xml:space="preserve"> برا</w:t>
      </w:r>
      <w:r w:rsidRPr="0025250D">
        <w:rPr>
          <w:rFonts w:hint="cs"/>
          <w:rtl/>
        </w:rPr>
        <w:t>ی</w:t>
      </w:r>
      <w:r w:rsidRPr="0025250D">
        <w:rPr>
          <w:rFonts w:hint="eastAsia"/>
          <w:rtl/>
        </w:rPr>
        <w:t>ان</w:t>
      </w:r>
      <w:r w:rsidRPr="0025250D">
        <w:rPr>
          <w:rtl/>
        </w:rPr>
        <w:t xml:space="preserve"> الکساندر</w:t>
      </w:r>
      <w:r w:rsidRPr="0025250D">
        <w:rPr>
          <w:vertAlign w:val="superscript"/>
          <w:rtl/>
        </w:rPr>
        <w:footnoteReference w:id="3306"/>
      </w:r>
      <w:r w:rsidRPr="0025250D">
        <w:rPr>
          <w:rtl/>
        </w:rPr>
        <w:t>، 2020</w:t>
      </w:r>
    </w:p>
    <w:p w14:paraId="774519AF" w14:textId="38B6B304" w:rsidR="005B4181" w:rsidRPr="0025250D" w:rsidRDefault="00D92F6E" w:rsidP="00492C47">
      <w:pPr>
        <w:numPr>
          <w:ilvl w:val="0"/>
          <w:numId w:val="77"/>
        </w:numPr>
        <w:rPr>
          <w:rtl/>
        </w:rPr>
      </w:pPr>
      <w:r w:rsidRPr="0025250D">
        <w:rPr>
          <w:rtl/>
        </w:rPr>
        <w:t>پیش‌بین</w:t>
      </w:r>
      <w:r w:rsidR="005B4181" w:rsidRPr="0025250D">
        <w:rPr>
          <w:rFonts w:hint="cs"/>
          <w:rtl/>
        </w:rPr>
        <w:t>ی</w:t>
      </w:r>
      <w:r w:rsidR="005B4181" w:rsidRPr="0025250D">
        <w:rPr>
          <w:rtl/>
        </w:rPr>
        <w:t>‌های بد، لورا ل</w:t>
      </w:r>
      <w:r w:rsidR="005B4181" w:rsidRPr="0025250D">
        <w:rPr>
          <w:rFonts w:hint="cs"/>
          <w:rtl/>
        </w:rPr>
        <w:t>ی</w:t>
      </w:r>
      <w:r w:rsidR="005B4181" w:rsidRPr="0025250D">
        <w:rPr>
          <w:vertAlign w:val="superscript"/>
          <w:rtl/>
        </w:rPr>
        <w:footnoteReference w:id="3307"/>
      </w:r>
      <w:r w:rsidR="005B4181" w:rsidRPr="0025250D">
        <w:rPr>
          <w:rFonts w:hint="eastAsia"/>
          <w:rtl/>
        </w:rPr>
        <w:t>،</w:t>
      </w:r>
      <w:r w:rsidR="005B4181" w:rsidRPr="0025250D">
        <w:rPr>
          <w:rtl/>
        </w:rPr>
        <w:t xml:space="preserve"> 2000</w:t>
      </w:r>
    </w:p>
    <w:p w14:paraId="30F73AFF" w14:textId="77777777" w:rsidR="005B4181" w:rsidRPr="0025250D" w:rsidRDefault="005B4181" w:rsidP="00492C47">
      <w:pPr>
        <w:numPr>
          <w:ilvl w:val="0"/>
          <w:numId w:val="77"/>
        </w:numPr>
        <w:rPr>
          <w:rtl/>
        </w:rPr>
      </w:pPr>
      <w:r w:rsidRPr="0025250D">
        <w:rPr>
          <w:rtl/>
        </w:rPr>
        <w:t>بهتر</w:t>
      </w:r>
      <w:r w:rsidRPr="0025250D">
        <w:rPr>
          <w:rFonts w:hint="cs"/>
          <w:rtl/>
        </w:rPr>
        <w:t>ی</w:t>
      </w:r>
      <w:r w:rsidRPr="0025250D">
        <w:rPr>
          <w:rFonts w:hint="eastAsia"/>
          <w:rtl/>
        </w:rPr>
        <w:t>ن</w:t>
      </w:r>
      <w:r w:rsidRPr="0025250D">
        <w:rPr>
          <w:rtl/>
        </w:rPr>
        <w:t xml:space="preserve"> طرح‌ها: استبداد پ</w:t>
      </w:r>
      <w:r w:rsidRPr="0025250D">
        <w:rPr>
          <w:rFonts w:hint="cs"/>
          <w:rtl/>
        </w:rPr>
        <w:t>ی</w:t>
      </w:r>
      <w:r w:rsidRPr="0025250D">
        <w:rPr>
          <w:rFonts w:hint="eastAsia"/>
          <w:rtl/>
        </w:rPr>
        <w:t>امدها</w:t>
      </w:r>
      <w:r w:rsidRPr="0025250D">
        <w:rPr>
          <w:rFonts w:hint="cs"/>
          <w:rtl/>
        </w:rPr>
        <w:t>ی</w:t>
      </w:r>
      <w:r w:rsidRPr="0025250D">
        <w:rPr>
          <w:rtl/>
        </w:rPr>
        <w:t xml:space="preserve"> ناخواسته، و</w:t>
      </w:r>
      <w:r w:rsidRPr="0025250D">
        <w:rPr>
          <w:rFonts w:hint="cs"/>
          <w:rtl/>
        </w:rPr>
        <w:t>ی</w:t>
      </w:r>
      <w:r w:rsidRPr="0025250D">
        <w:rPr>
          <w:rFonts w:hint="eastAsia"/>
          <w:rtl/>
        </w:rPr>
        <w:t>ل</w:t>
      </w:r>
      <w:r w:rsidRPr="0025250D">
        <w:rPr>
          <w:rFonts w:hint="cs"/>
          <w:rtl/>
        </w:rPr>
        <w:t>ی</w:t>
      </w:r>
      <w:r w:rsidRPr="0025250D">
        <w:rPr>
          <w:rFonts w:hint="eastAsia"/>
          <w:rtl/>
        </w:rPr>
        <w:t>ام</w:t>
      </w:r>
      <w:r w:rsidRPr="0025250D">
        <w:rPr>
          <w:rtl/>
        </w:rPr>
        <w:t xml:space="preserve"> شردن</w:t>
      </w:r>
      <w:r w:rsidRPr="0025250D">
        <w:rPr>
          <w:vertAlign w:val="superscript"/>
          <w:rtl/>
        </w:rPr>
        <w:footnoteReference w:id="3308"/>
      </w:r>
      <w:r w:rsidRPr="0025250D">
        <w:rPr>
          <w:rtl/>
        </w:rPr>
        <w:t>، 2011</w:t>
      </w:r>
    </w:p>
    <w:p w14:paraId="179F1C2F" w14:textId="77777777" w:rsidR="005B4181" w:rsidRPr="0025250D" w:rsidRDefault="005B4181" w:rsidP="00492C47">
      <w:pPr>
        <w:numPr>
          <w:ilvl w:val="0"/>
          <w:numId w:val="77"/>
        </w:numPr>
        <w:rPr>
          <w:rtl/>
        </w:rPr>
      </w:pPr>
      <w:r w:rsidRPr="0025250D">
        <w:rPr>
          <w:rtl/>
        </w:rPr>
        <w:t>همگرا</w:t>
      </w:r>
      <w:r w:rsidRPr="0025250D">
        <w:rPr>
          <w:rFonts w:hint="cs"/>
          <w:rtl/>
        </w:rPr>
        <w:t>یی</w:t>
      </w:r>
      <w:r w:rsidRPr="0025250D">
        <w:rPr>
          <w:rtl/>
        </w:rPr>
        <w:t>: ا</w:t>
      </w:r>
      <w:r w:rsidRPr="0025250D">
        <w:rPr>
          <w:rFonts w:hint="cs"/>
          <w:rtl/>
        </w:rPr>
        <w:t>ی</w:t>
      </w:r>
      <w:r w:rsidRPr="0025250D">
        <w:rPr>
          <w:rFonts w:hint="eastAsia"/>
          <w:rtl/>
        </w:rPr>
        <w:t>ده</w:t>
      </w:r>
      <w:r w:rsidRPr="0025250D">
        <w:rPr>
          <w:rtl/>
        </w:rPr>
        <w:t xml:space="preserve"> در قلب علم، پ</w:t>
      </w:r>
      <w:r w:rsidRPr="0025250D">
        <w:rPr>
          <w:rFonts w:hint="cs"/>
          <w:rtl/>
        </w:rPr>
        <w:t>ی</w:t>
      </w:r>
      <w:r w:rsidRPr="0025250D">
        <w:rPr>
          <w:rFonts w:hint="eastAsia"/>
          <w:rtl/>
        </w:rPr>
        <w:t>تر</w:t>
      </w:r>
      <w:r w:rsidRPr="0025250D">
        <w:rPr>
          <w:rtl/>
        </w:rPr>
        <w:t xml:space="preserve"> واتسون</w:t>
      </w:r>
      <w:r w:rsidRPr="0025250D">
        <w:rPr>
          <w:vertAlign w:val="superscript"/>
          <w:rtl/>
        </w:rPr>
        <w:footnoteReference w:id="3309"/>
      </w:r>
      <w:r w:rsidRPr="0025250D">
        <w:rPr>
          <w:rtl/>
        </w:rPr>
        <w:t>، 2018</w:t>
      </w:r>
    </w:p>
    <w:p w14:paraId="4E08FEDB" w14:textId="0812C307" w:rsidR="005B4181" w:rsidRPr="0025250D" w:rsidRDefault="005B4181" w:rsidP="00492C47">
      <w:pPr>
        <w:numPr>
          <w:ilvl w:val="0"/>
          <w:numId w:val="77"/>
        </w:numPr>
        <w:rPr>
          <w:rtl/>
        </w:rPr>
      </w:pPr>
      <w:r w:rsidRPr="0025250D">
        <w:rPr>
          <w:rtl/>
        </w:rPr>
        <w:t>مبان</w:t>
      </w:r>
      <w:r w:rsidRPr="0025250D">
        <w:rPr>
          <w:rFonts w:hint="cs"/>
          <w:rtl/>
        </w:rPr>
        <w:t>ی</w:t>
      </w:r>
      <w:r w:rsidRPr="0025250D">
        <w:rPr>
          <w:rtl/>
        </w:rPr>
        <w:t xml:space="preserve"> </w:t>
      </w:r>
      <w:r w:rsidR="00D92F6E" w:rsidRPr="0025250D">
        <w:rPr>
          <w:rFonts w:hint="cs"/>
          <w:rtl/>
        </w:rPr>
        <w:t>آینده‌پژوه</w:t>
      </w:r>
      <w:r w:rsidRPr="0025250D">
        <w:rPr>
          <w:rFonts w:hint="cs"/>
          <w:rtl/>
        </w:rPr>
        <w:t>ی</w:t>
      </w:r>
      <w:r w:rsidRPr="0025250D">
        <w:rPr>
          <w:rFonts w:hint="eastAsia"/>
          <w:rtl/>
        </w:rPr>
        <w:t>،</w:t>
      </w:r>
      <w:r w:rsidRPr="0025250D">
        <w:rPr>
          <w:rtl/>
        </w:rPr>
        <w:t xml:space="preserve"> جلد 1-2، وندل بل</w:t>
      </w:r>
      <w:r w:rsidRPr="0025250D">
        <w:rPr>
          <w:vertAlign w:val="superscript"/>
          <w:rtl/>
        </w:rPr>
        <w:footnoteReference w:id="3310"/>
      </w:r>
      <w:r w:rsidRPr="0025250D">
        <w:rPr>
          <w:rtl/>
        </w:rPr>
        <w:t>، 2004</w:t>
      </w:r>
    </w:p>
    <w:p w14:paraId="4A25F1D9" w14:textId="77777777" w:rsidR="005B4181" w:rsidRPr="0025250D" w:rsidRDefault="005B4181" w:rsidP="00492C47">
      <w:pPr>
        <w:numPr>
          <w:ilvl w:val="0"/>
          <w:numId w:val="77"/>
        </w:numPr>
        <w:rPr>
          <w:rtl/>
        </w:rPr>
      </w:pPr>
      <w:r w:rsidRPr="0025250D">
        <w:rPr>
          <w:rtl/>
        </w:rPr>
        <w:t>تفکر ط</w:t>
      </w:r>
      <w:r w:rsidRPr="0025250D">
        <w:rPr>
          <w:rFonts w:hint="cs"/>
          <w:rtl/>
        </w:rPr>
        <w:t>ی</w:t>
      </w:r>
      <w:r w:rsidRPr="0025250D">
        <w:rPr>
          <w:rFonts w:hint="eastAsia"/>
          <w:rtl/>
        </w:rPr>
        <w:t>ف</w:t>
      </w:r>
      <w:r w:rsidRPr="0025250D">
        <w:rPr>
          <w:rtl/>
        </w:rPr>
        <w:t xml:space="preserve"> کامل، باب </w:t>
      </w:r>
      <w:r w:rsidRPr="0025250D">
        <w:rPr>
          <w:rFonts w:hint="cs"/>
          <w:rtl/>
        </w:rPr>
        <w:t>ی</w:t>
      </w:r>
      <w:r w:rsidRPr="0025250D">
        <w:rPr>
          <w:rFonts w:hint="eastAsia"/>
          <w:rtl/>
        </w:rPr>
        <w:t>وهانسن</w:t>
      </w:r>
      <w:r w:rsidRPr="0025250D">
        <w:rPr>
          <w:vertAlign w:val="superscript"/>
          <w:rtl/>
        </w:rPr>
        <w:footnoteReference w:id="3311"/>
      </w:r>
      <w:r w:rsidRPr="0025250D">
        <w:rPr>
          <w:rFonts w:hint="eastAsia"/>
          <w:rtl/>
        </w:rPr>
        <w:t>،</w:t>
      </w:r>
      <w:r w:rsidRPr="0025250D">
        <w:rPr>
          <w:rtl/>
        </w:rPr>
        <w:t xml:space="preserve"> 2020</w:t>
      </w:r>
    </w:p>
    <w:p w14:paraId="2CBBE6F4" w14:textId="77777777" w:rsidR="005B4181" w:rsidRPr="0025250D" w:rsidRDefault="005B4181" w:rsidP="00492C47">
      <w:pPr>
        <w:numPr>
          <w:ilvl w:val="0"/>
          <w:numId w:val="77"/>
        </w:numPr>
        <w:rPr>
          <w:rtl/>
        </w:rPr>
      </w:pPr>
      <w:r w:rsidRPr="0025250D">
        <w:rPr>
          <w:rtl/>
        </w:rPr>
        <w:t>هوش آ</w:t>
      </w:r>
      <w:r w:rsidRPr="0025250D">
        <w:rPr>
          <w:rFonts w:hint="cs"/>
          <w:rtl/>
        </w:rPr>
        <w:t>ی</w:t>
      </w:r>
      <w:r w:rsidRPr="0025250D">
        <w:rPr>
          <w:rFonts w:hint="eastAsia"/>
          <w:rtl/>
        </w:rPr>
        <w:t>نده</w:t>
      </w:r>
      <w:r w:rsidRPr="0025250D">
        <w:rPr>
          <w:rtl/>
        </w:rPr>
        <w:t>: ک</w:t>
      </w:r>
      <w:r w:rsidRPr="0025250D">
        <w:rPr>
          <w:rFonts w:hint="cs"/>
          <w:rtl/>
        </w:rPr>
        <w:t>ی</w:t>
      </w:r>
      <w:r w:rsidRPr="0025250D">
        <w:rPr>
          <w:rFonts w:hint="eastAsia"/>
          <w:rtl/>
        </w:rPr>
        <w:t>ف</w:t>
      </w:r>
      <w:r w:rsidRPr="0025250D">
        <w:rPr>
          <w:rFonts w:hint="cs"/>
          <w:rtl/>
        </w:rPr>
        <w:t>ی</w:t>
      </w:r>
      <w:r w:rsidRPr="0025250D">
        <w:rPr>
          <w:rFonts w:hint="eastAsia"/>
          <w:rtl/>
        </w:rPr>
        <w:t>ت</w:t>
      </w:r>
      <w:r w:rsidRPr="0025250D">
        <w:rPr>
          <w:rtl/>
        </w:rPr>
        <w:t xml:space="preserve"> در آینده‌نگاری</w:t>
      </w:r>
      <w:r w:rsidRPr="0025250D">
        <w:rPr>
          <w:rFonts w:hint="eastAsia"/>
          <w:rtl/>
        </w:rPr>
        <w:t>،</w:t>
      </w:r>
      <w:r w:rsidRPr="0025250D">
        <w:rPr>
          <w:rtl/>
        </w:rPr>
        <w:t xml:space="preserve"> آدام گوردون</w:t>
      </w:r>
      <w:r w:rsidRPr="0025250D">
        <w:rPr>
          <w:vertAlign w:val="superscript"/>
          <w:rtl/>
        </w:rPr>
        <w:footnoteReference w:id="3312"/>
      </w:r>
      <w:r w:rsidRPr="0025250D">
        <w:rPr>
          <w:rFonts w:hint="cs"/>
          <w:rtl/>
        </w:rPr>
        <w:t>، 2008</w:t>
      </w:r>
    </w:p>
    <w:p w14:paraId="3F97DF4E" w14:textId="1716027A" w:rsidR="005B4181" w:rsidRPr="0025250D" w:rsidRDefault="00B124DE" w:rsidP="00492C47">
      <w:pPr>
        <w:numPr>
          <w:ilvl w:val="0"/>
          <w:numId w:val="77"/>
        </w:numPr>
        <w:rPr>
          <w:rtl/>
        </w:rPr>
      </w:pPr>
      <w:r w:rsidRPr="0025250D">
        <w:rPr>
          <w:rFonts w:hint="cs"/>
          <w:rtl/>
        </w:rPr>
        <w:t>آینده‌اندیش</w:t>
      </w:r>
      <w:r w:rsidR="005B4181" w:rsidRPr="0025250D">
        <w:rPr>
          <w:rFonts w:hint="cs"/>
          <w:rtl/>
        </w:rPr>
        <w:t>ی</w:t>
      </w:r>
      <w:r w:rsidR="005B4181" w:rsidRPr="0025250D">
        <w:rPr>
          <w:rtl/>
        </w:rPr>
        <w:t>، اد</w:t>
      </w:r>
      <w:r w:rsidR="005B4181" w:rsidRPr="0025250D">
        <w:rPr>
          <w:rFonts w:hint="cs"/>
          <w:rtl/>
        </w:rPr>
        <w:t>ی</w:t>
      </w:r>
      <w:r w:rsidR="005B4181" w:rsidRPr="0025250D">
        <w:rPr>
          <w:rtl/>
        </w:rPr>
        <w:t xml:space="preserve"> و</w:t>
      </w:r>
      <w:r w:rsidR="005B4181" w:rsidRPr="0025250D">
        <w:rPr>
          <w:rFonts w:hint="cs"/>
          <w:rtl/>
        </w:rPr>
        <w:t>ی</w:t>
      </w:r>
      <w:r w:rsidR="005B4181" w:rsidRPr="0025250D">
        <w:rPr>
          <w:rFonts w:hint="eastAsia"/>
          <w:rtl/>
        </w:rPr>
        <w:t>نر</w:t>
      </w:r>
      <w:r w:rsidR="005B4181" w:rsidRPr="0025250D">
        <w:rPr>
          <w:rtl/>
        </w:rPr>
        <w:t xml:space="preserve"> و آرنولد براون</w:t>
      </w:r>
      <w:r w:rsidR="005B4181" w:rsidRPr="0025250D">
        <w:rPr>
          <w:vertAlign w:val="superscript"/>
          <w:rtl/>
        </w:rPr>
        <w:footnoteReference w:id="3313"/>
      </w:r>
      <w:r w:rsidR="005B4181" w:rsidRPr="0025250D">
        <w:rPr>
          <w:rtl/>
        </w:rPr>
        <w:t>، 2005</w:t>
      </w:r>
    </w:p>
    <w:p w14:paraId="405E83CF" w14:textId="77777777" w:rsidR="005B4181" w:rsidRPr="0025250D" w:rsidRDefault="005B4181" w:rsidP="00492C47">
      <w:pPr>
        <w:numPr>
          <w:ilvl w:val="0"/>
          <w:numId w:val="77"/>
        </w:numPr>
        <w:rPr>
          <w:rtl/>
        </w:rPr>
      </w:pPr>
      <w:r w:rsidRPr="0025250D">
        <w:rPr>
          <w:rtl/>
        </w:rPr>
        <w:t>آ</w:t>
      </w:r>
      <w:r w:rsidRPr="0025250D">
        <w:rPr>
          <w:rFonts w:hint="cs"/>
          <w:rtl/>
        </w:rPr>
        <w:t>ی</w:t>
      </w:r>
      <w:r w:rsidRPr="0025250D">
        <w:rPr>
          <w:rFonts w:hint="eastAsia"/>
          <w:rtl/>
        </w:rPr>
        <w:t>نده</w:t>
      </w:r>
      <w:r w:rsidRPr="0025250D">
        <w:rPr>
          <w:rFonts w:hint="cs"/>
          <w:rtl/>
        </w:rPr>
        <w:t xml:space="preserve"> ورزی</w:t>
      </w:r>
      <w:r w:rsidRPr="0025250D">
        <w:rPr>
          <w:rtl/>
        </w:rPr>
        <w:t>: کاوش در آ</w:t>
      </w:r>
      <w:r w:rsidRPr="0025250D">
        <w:rPr>
          <w:rFonts w:hint="cs"/>
          <w:rtl/>
        </w:rPr>
        <w:t>ی</w:t>
      </w:r>
      <w:r w:rsidRPr="0025250D">
        <w:rPr>
          <w:rFonts w:hint="eastAsia"/>
          <w:rtl/>
        </w:rPr>
        <w:t>نده،</w:t>
      </w:r>
      <w:r w:rsidRPr="0025250D">
        <w:rPr>
          <w:rtl/>
        </w:rPr>
        <w:t xml:space="preserve"> اد کورن</w:t>
      </w:r>
      <w:r w:rsidRPr="0025250D">
        <w:rPr>
          <w:rFonts w:hint="cs"/>
          <w:rtl/>
        </w:rPr>
        <w:t>ی</w:t>
      </w:r>
      <w:r w:rsidRPr="0025250D">
        <w:rPr>
          <w:rFonts w:hint="eastAsia"/>
          <w:rtl/>
        </w:rPr>
        <w:t>ش</w:t>
      </w:r>
      <w:r w:rsidRPr="0025250D">
        <w:rPr>
          <w:vertAlign w:val="superscript"/>
          <w:rtl/>
        </w:rPr>
        <w:footnoteReference w:id="3314"/>
      </w:r>
      <w:r w:rsidRPr="0025250D">
        <w:rPr>
          <w:rFonts w:hint="eastAsia"/>
          <w:rtl/>
        </w:rPr>
        <w:t>،</w:t>
      </w:r>
      <w:r w:rsidRPr="0025250D">
        <w:rPr>
          <w:rtl/>
        </w:rPr>
        <w:t xml:space="preserve"> 2005</w:t>
      </w:r>
    </w:p>
    <w:p w14:paraId="04F37930" w14:textId="4E5DB6D1" w:rsidR="005B4181" w:rsidRPr="0025250D" w:rsidRDefault="005B4181" w:rsidP="00492C47">
      <w:pPr>
        <w:numPr>
          <w:ilvl w:val="0"/>
          <w:numId w:val="77"/>
        </w:numPr>
        <w:rPr>
          <w:rtl/>
        </w:rPr>
      </w:pPr>
      <w:r w:rsidRPr="0025250D">
        <w:rPr>
          <w:rtl/>
        </w:rPr>
        <w:t xml:space="preserve">چگونه: </w:t>
      </w:r>
      <w:r w:rsidR="00491E04" w:rsidRPr="0025250D">
        <w:rPr>
          <w:rtl/>
        </w:rPr>
        <w:t xml:space="preserve">چرا </w:t>
      </w:r>
      <w:r w:rsidR="00491E04" w:rsidRPr="0025250D">
        <w:rPr>
          <w:rFonts w:hint="cs"/>
          <w:rtl/>
        </w:rPr>
        <w:t>چگونگی</w:t>
      </w:r>
      <w:r w:rsidR="00491E04" w:rsidRPr="0025250D">
        <w:rPr>
          <w:rtl/>
        </w:rPr>
        <w:t xml:space="preserve"> </w:t>
      </w:r>
      <w:r w:rsidR="00491E04" w:rsidRPr="0025250D">
        <w:rPr>
          <w:rFonts w:hint="cs"/>
          <w:rtl/>
        </w:rPr>
        <w:t xml:space="preserve">انجام </w:t>
      </w:r>
      <w:r w:rsidR="00491E04" w:rsidRPr="0025250D">
        <w:rPr>
          <w:rtl/>
        </w:rPr>
        <w:t>هر کار</w:t>
      </w:r>
      <w:r w:rsidR="00491E04" w:rsidRPr="0025250D">
        <w:rPr>
          <w:rFonts w:hint="cs"/>
          <w:rtl/>
        </w:rPr>
        <w:t>ی</w:t>
      </w:r>
      <w:r w:rsidR="00491E04" w:rsidRPr="0025250D">
        <w:rPr>
          <w:rtl/>
        </w:rPr>
        <w:t xml:space="preserve"> </w:t>
      </w:r>
      <w:r w:rsidR="00491E04" w:rsidRPr="0025250D">
        <w:rPr>
          <w:rFonts w:hint="cs"/>
          <w:rtl/>
        </w:rPr>
        <w:t>ی</w:t>
      </w:r>
      <w:r w:rsidR="00491E04" w:rsidRPr="0025250D">
        <w:rPr>
          <w:rFonts w:hint="eastAsia"/>
          <w:rtl/>
        </w:rPr>
        <w:t>عن</w:t>
      </w:r>
      <w:r w:rsidR="00491E04" w:rsidRPr="0025250D">
        <w:rPr>
          <w:rFonts w:hint="cs"/>
          <w:rtl/>
        </w:rPr>
        <w:t>ی</w:t>
      </w:r>
      <w:r w:rsidR="00491E04" w:rsidRPr="0025250D">
        <w:rPr>
          <w:rtl/>
        </w:rPr>
        <w:t xml:space="preserve"> همه چ</w:t>
      </w:r>
      <w:r w:rsidR="00491E04" w:rsidRPr="0025250D">
        <w:rPr>
          <w:rFonts w:hint="cs"/>
          <w:rtl/>
        </w:rPr>
        <w:t>ی</w:t>
      </w:r>
      <w:r w:rsidR="00491E04" w:rsidRPr="0025250D">
        <w:rPr>
          <w:rFonts w:hint="eastAsia"/>
          <w:rtl/>
        </w:rPr>
        <w:t>ز</w:t>
      </w:r>
      <w:r w:rsidRPr="0025250D">
        <w:rPr>
          <w:rFonts w:hint="eastAsia"/>
          <w:rtl/>
        </w:rPr>
        <w:t>،</w:t>
      </w:r>
      <w:r w:rsidRPr="0025250D">
        <w:rPr>
          <w:rtl/>
        </w:rPr>
        <w:t xml:space="preserve"> داو س</w:t>
      </w:r>
      <w:r w:rsidRPr="0025250D">
        <w:rPr>
          <w:rFonts w:hint="cs"/>
          <w:rtl/>
        </w:rPr>
        <w:t>ی</w:t>
      </w:r>
      <w:r w:rsidRPr="0025250D">
        <w:rPr>
          <w:rFonts w:hint="eastAsia"/>
          <w:rtl/>
        </w:rPr>
        <w:t>دمن</w:t>
      </w:r>
      <w:r w:rsidRPr="0025250D">
        <w:rPr>
          <w:vertAlign w:val="superscript"/>
          <w:rtl/>
        </w:rPr>
        <w:footnoteReference w:id="3315"/>
      </w:r>
      <w:r w:rsidRPr="0025250D">
        <w:rPr>
          <w:rFonts w:hint="eastAsia"/>
          <w:rtl/>
        </w:rPr>
        <w:t>،</w:t>
      </w:r>
      <w:r w:rsidRPr="0025250D">
        <w:rPr>
          <w:rtl/>
        </w:rPr>
        <w:t xml:space="preserve"> 2011</w:t>
      </w:r>
    </w:p>
    <w:p w14:paraId="0B7CE9E0" w14:textId="2A4F292F" w:rsidR="005B4181" w:rsidRPr="0025250D" w:rsidRDefault="005B4181" w:rsidP="00492C47">
      <w:pPr>
        <w:numPr>
          <w:ilvl w:val="0"/>
          <w:numId w:val="77"/>
        </w:numPr>
        <w:rPr>
          <w:rtl/>
        </w:rPr>
      </w:pPr>
      <w:r w:rsidRPr="0025250D">
        <w:rPr>
          <w:rtl/>
        </w:rPr>
        <w:t>دانستن آ</w:t>
      </w:r>
      <w:r w:rsidRPr="0025250D">
        <w:rPr>
          <w:rFonts w:hint="cs"/>
          <w:rtl/>
        </w:rPr>
        <w:t>ی</w:t>
      </w:r>
      <w:r w:rsidRPr="0025250D">
        <w:rPr>
          <w:rFonts w:hint="eastAsia"/>
          <w:rtl/>
        </w:rPr>
        <w:t>نده</w:t>
      </w:r>
      <w:r w:rsidRPr="0025250D">
        <w:rPr>
          <w:rtl/>
        </w:rPr>
        <w:t xml:space="preserve"> ما: مورد شگفت انگ</w:t>
      </w:r>
      <w:r w:rsidRPr="0025250D">
        <w:rPr>
          <w:rFonts w:hint="cs"/>
          <w:rtl/>
        </w:rPr>
        <w:t>ی</w:t>
      </w:r>
      <w:r w:rsidRPr="0025250D">
        <w:rPr>
          <w:rFonts w:hint="eastAsia"/>
          <w:rtl/>
        </w:rPr>
        <w:t>ز</w:t>
      </w:r>
      <w:r w:rsidRPr="0025250D">
        <w:rPr>
          <w:rtl/>
        </w:rPr>
        <w:t xml:space="preserve"> برا</w:t>
      </w:r>
      <w:r w:rsidRPr="0025250D">
        <w:rPr>
          <w:rFonts w:hint="cs"/>
          <w:rtl/>
        </w:rPr>
        <w:t>ی</w:t>
      </w:r>
      <w:r w:rsidRPr="0025250D">
        <w:rPr>
          <w:rtl/>
        </w:rPr>
        <w:t xml:space="preserve"> </w:t>
      </w:r>
      <w:r w:rsidR="00D92F6E" w:rsidRPr="0025250D">
        <w:rPr>
          <w:rtl/>
        </w:rPr>
        <w:t>آینده‌پژوه</w:t>
      </w:r>
      <w:r w:rsidRPr="0025250D">
        <w:rPr>
          <w:rFonts w:hint="cs"/>
          <w:rtl/>
        </w:rPr>
        <w:t>ی</w:t>
      </w:r>
      <w:r w:rsidRPr="0025250D">
        <w:rPr>
          <w:rFonts w:hint="eastAsia"/>
          <w:rtl/>
        </w:rPr>
        <w:t>،</w:t>
      </w:r>
      <w:r w:rsidRPr="0025250D">
        <w:rPr>
          <w:rtl/>
        </w:rPr>
        <w:t xml:space="preserve"> ما</w:t>
      </w:r>
      <w:r w:rsidRPr="0025250D">
        <w:rPr>
          <w:rFonts w:hint="cs"/>
          <w:rtl/>
        </w:rPr>
        <w:t>ی</w:t>
      </w:r>
      <w:r w:rsidRPr="0025250D">
        <w:rPr>
          <w:rFonts w:hint="eastAsia"/>
          <w:rtl/>
        </w:rPr>
        <w:t>کل</w:t>
      </w:r>
      <w:r w:rsidRPr="0025250D">
        <w:rPr>
          <w:rtl/>
        </w:rPr>
        <w:t xml:space="preserve"> ل</w:t>
      </w:r>
      <w:r w:rsidRPr="0025250D">
        <w:rPr>
          <w:rFonts w:hint="cs"/>
          <w:rtl/>
        </w:rPr>
        <w:t>ی</w:t>
      </w:r>
      <w:r w:rsidRPr="0025250D">
        <w:rPr>
          <w:vertAlign w:val="superscript"/>
          <w:rtl/>
        </w:rPr>
        <w:footnoteReference w:id="3316"/>
      </w:r>
      <w:r w:rsidRPr="0025250D">
        <w:rPr>
          <w:rFonts w:hint="eastAsia"/>
          <w:rtl/>
        </w:rPr>
        <w:t>،</w:t>
      </w:r>
      <w:r w:rsidRPr="0025250D">
        <w:rPr>
          <w:rtl/>
        </w:rPr>
        <w:t xml:space="preserve"> 2012</w:t>
      </w:r>
    </w:p>
    <w:p w14:paraId="5224FC22" w14:textId="77777777" w:rsidR="005B4181" w:rsidRPr="0025250D" w:rsidRDefault="005B4181" w:rsidP="00492C47">
      <w:pPr>
        <w:numPr>
          <w:ilvl w:val="0"/>
          <w:numId w:val="77"/>
        </w:numPr>
        <w:rPr>
          <w:rtl/>
        </w:rPr>
      </w:pPr>
      <w:r w:rsidRPr="0025250D">
        <w:rPr>
          <w:rtl/>
        </w:rPr>
        <w:t>پا</w:t>
      </w:r>
      <w:r w:rsidRPr="0025250D">
        <w:rPr>
          <w:rFonts w:hint="cs"/>
          <w:rtl/>
        </w:rPr>
        <w:t>ی</w:t>
      </w:r>
      <w:r w:rsidRPr="0025250D">
        <w:rPr>
          <w:rFonts w:hint="eastAsia"/>
          <w:rtl/>
        </w:rPr>
        <w:t>گاه</w:t>
      </w:r>
      <w:r w:rsidRPr="0025250D">
        <w:rPr>
          <w:rtl/>
        </w:rPr>
        <w:t xml:space="preserve"> دانش مطالعات آ</w:t>
      </w:r>
      <w:r w:rsidRPr="0025250D">
        <w:rPr>
          <w:rFonts w:hint="cs"/>
          <w:rtl/>
        </w:rPr>
        <w:t>ی</w:t>
      </w:r>
      <w:r w:rsidRPr="0025250D">
        <w:rPr>
          <w:rFonts w:hint="eastAsia"/>
          <w:rtl/>
        </w:rPr>
        <w:t>نده،</w:t>
      </w:r>
      <w:r w:rsidRPr="0025250D">
        <w:rPr>
          <w:rtl/>
        </w:rPr>
        <w:t xml:space="preserve"> ر</w:t>
      </w:r>
      <w:r w:rsidRPr="0025250D">
        <w:rPr>
          <w:rFonts w:hint="cs"/>
          <w:rtl/>
        </w:rPr>
        <w:t>ی</w:t>
      </w:r>
      <w:r w:rsidRPr="0025250D">
        <w:rPr>
          <w:rFonts w:hint="eastAsia"/>
          <w:rtl/>
        </w:rPr>
        <w:t>چارد</w:t>
      </w:r>
      <w:r w:rsidRPr="0025250D">
        <w:rPr>
          <w:rtl/>
        </w:rPr>
        <w:t xml:space="preserve"> اسلاتر و اند</w:t>
      </w:r>
      <w:r w:rsidRPr="0025250D">
        <w:rPr>
          <w:rFonts w:hint="cs"/>
          <w:rtl/>
        </w:rPr>
        <w:t>ی</w:t>
      </w:r>
      <w:r w:rsidRPr="0025250D">
        <w:rPr>
          <w:rtl/>
        </w:rPr>
        <w:t xml:space="preserve"> ها</w:t>
      </w:r>
      <w:r w:rsidRPr="0025250D">
        <w:rPr>
          <w:rFonts w:hint="cs"/>
          <w:rtl/>
        </w:rPr>
        <w:t>ی</w:t>
      </w:r>
      <w:r w:rsidRPr="0025250D">
        <w:rPr>
          <w:rFonts w:hint="eastAsia"/>
          <w:rtl/>
        </w:rPr>
        <w:t>نز</w:t>
      </w:r>
      <w:r w:rsidRPr="0025250D">
        <w:rPr>
          <w:vertAlign w:val="superscript"/>
          <w:rtl/>
        </w:rPr>
        <w:footnoteReference w:id="3317"/>
      </w:r>
      <w:r w:rsidRPr="0025250D">
        <w:rPr>
          <w:rFonts w:hint="eastAsia"/>
          <w:rtl/>
        </w:rPr>
        <w:t>،</w:t>
      </w:r>
      <w:r w:rsidRPr="0025250D">
        <w:rPr>
          <w:rtl/>
        </w:rPr>
        <w:t xml:space="preserve"> 2020</w:t>
      </w:r>
    </w:p>
    <w:p w14:paraId="6FE9824F" w14:textId="373503F4" w:rsidR="005B4181" w:rsidRPr="0025250D" w:rsidRDefault="005B4181" w:rsidP="00492C47">
      <w:pPr>
        <w:numPr>
          <w:ilvl w:val="0"/>
          <w:numId w:val="77"/>
        </w:numPr>
        <w:rPr>
          <w:rtl/>
        </w:rPr>
      </w:pPr>
      <w:r w:rsidRPr="0025250D">
        <w:rPr>
          <w:rFonts w:hint="cs"/>
          <w:rtl/>
        </w:rPr>
        <w:t>ی</w:t>
      </w:r>
      <w:r w:rsidRPr="0025250D">
        <w:rPr>
          <w:rFonts w:hint="eastAsia"/>
          <w:rtl/>
        </w:rPr>
        <w:t>ادگ</w:t>
      </w:r>
      <w:r w:rsidRPr="0025250D">
        <w:rPr>
          <w:rFonts w:hint="cs"/>
          <w:rtl/>
        </w:rPr>
        <w:t>ی</w:t>
      </w:r>
      <w:r w:rsidRPr="0025250D">
        <w:rPr>
          <w:rFonts w:hint="eastAsia"/>
          <w:rtl/>
        </w:rPr>
        <w:t>ر</w:t>
      </w:r>
      <w:r w:rsidRPr="0025250D">
        <w:rPr>
          <w:rFonts w:hint="cs"/>
          <w:rtl/>
        </w:rPr>
        <w:t>ی</w:t>
      </w:r>
      <w:r w:rsidRPr="0025250D">
        <w:rPr>
          <w:rtl/>
        </w:rPr>
        <w:t xml:space="preserve"> از آ</w:t>
      </w:r>
      <w:r w:rsidRPr="0025250D">
        <w:rPr>
          <w:rFonts w:hint="cs"/>
          <w:rtl/>
        </w:rPr>
        <w:t>ی</w:t>
      </w:r>
      <w:r w:rsidRPr="0025250D">
        <w:rPr>
          <w:rFonts w:hint="eastAsia"/>
          <w:rtl/>
        </w:rPr>
        <w:t>نده</w:t>
      </w:r>
      <w:r w:rsidRPr="0025250D">
        <w:rPr>
          <w:rtl/>
        </w:rPr>
        <w:t xml:space="preserve">: </w:t>
      </w:r>
      <w:r w:rsidR="00362EF3" w:rsidRPr="0025250D">
        <w:rPr>
          <w:rtl/>
        </w:rPr>
        <w:t>فرانامه‌های</w:t>
      </w:r>
      <w:r w:rsidRPr="0025250D">
        <w:rPr>
          <w:rtl/>
        </w:rPr>
        <w:t xml:space="preserve"> آینده‌نگاری رقابت</w:t>
      </w:r>
      <w:r w:rsidRPr="0025250D">
        <w:rPr>
          <w:rFonts w:hint="cs"/>
          <w:rtl/>
        </w:rPr>
        <w:t>ی</w:t>
      </w:r>
      <w:r w:rsidRPr="0025250D">
        <w:rPr>
          <w:rFonts w:hint="eastAsia"/>
          <w:rtl/>
        </w:rPr>
        <w:t>،</w:t>
      </w:r>
      <w:r w:rsidRPr="0025250D">
        <w:rPr>
          <w:rtl/>
        </w:rPr>
        <w:t xml:space="preserve"> فاه</w:t>
      </w:r>
      <w:r w:rsidRPr="0025250D">
        <w:rPr>
          <w:rFonts w:hint="cs"/>
          <w:rtl/>
        </w:rPr>
        <w:t>ی</w:t>
      </w:r>
      <w:r w:rsidRPr="0025250D">
        <w:rPr>
          <w:rtl/>
        </w:rPr>
        <w:t xml:space="preserve"> و رندال</w:t>
      </w:r>
      <w:r w:rsidRPr="0025250D">
        <w:rPr>
          <w:vertAlign w:val="superscript"/>
          <w:rtl/>
        </w:rPr>
        <w:footnoteReference w:id="3318"/>
      </w:r>
      <w:r w:rsidRPr="0025250D">
        <w:rPr>
          <w:rtl/>
        </w:rPr>
        <w:t>، 1997</w:t>
      </w:r>
    </w:p>
    <w:p w14:paraId="6C39085B" w14:textId="77777777" w:rsidR="005B4181" w:rsidRPr="0025250D" w:rsidRDefault="005B4181" w:rsidP="00492C47">
      <w:pPr>
        <w:numPr>
          <w:ilvl w:val="0"/>
          <w:numId w:val="77"/>
        </w:numPr>
        <w:rPr>
          <w:rtl/>
        </w:rPr>
      </w:pPr>
      <w:r w:rsidRPr="0025250D">
        <w:rPr>
          <w:rtl/>
        </w:rPr>
        <w:t>آموزش از اختاپوس: استفاده از طب</w:t>
      </w:r>
      <w:r w:rsidRPr="0025250D">
        <w:rPr>
          <w:rFonts w:hint="cs"/>
          <w:rtl/>
        </w:rPr>
        <w:t>ی</w:t>
      </w:r>
      <w:r w:rsidRPr="0025250D">
        <w:rPr>
          <w:rFonts w:hint="eastAsia"/>
          <w:rtl/>
        </w:rPr>
        <w:t>عت</w:t>
      </w:r>
      <w:r w:rsidRPr="0025250D">
        <w:rPr>
          <w:rtl/>
        </w:rPr>
        <w:t xml:space="preserve"> برا</w:t>
      </w:r>
      <w:r w:rsidRPr="0025250D">
        <w:rPr>
          <w:rFonts w:hint="cs"/>
          <w:rtl/>
        </w:rPr>
        <w:t>ی</w:t>
      </w:r>
      <w:r w:rsidRPr="0025250D">
        <w:rPr>
          <w:rtl/>
        </w:rPr>
        <w:t xml:space="preserve"> مبارزه با ترور، فاجعه و ب</w:t>
      </w:r>
      <w:r w:rsidRPr="0025250D">
        <w:rPr>
          <w:rFonts w:hint="cs"/>
          <w:rtl/>
        </w:rPr>
        <w:t>ی</w:t>
      </w:r>
      <w:r w:rsidRPr="0025250D">
        <w:rPr>
          <w:rFonts w:hint="eastAsia"/>
          <w:rtl/>
        </w:rPr>
        <w:t>مار</w:t>
      </w:r>
      <w:r w:rsidRPr="0025250D">
        <w:rPr>
          <w:rFonts w:hint="cs"/>
          <w:rtl/>
        </w:rPr>
        <w:t>ی</w:t>
      </w:r>
      <w:r w:rsidRPr="0025250D">
        <w:rPr>
          <w:rFonts w:hint="eastAsia"/>
          <w:rtl/>
        </w:rPr>
        <w:t>،</w:t>
      </w:r>
      <w:r w:rsidRPr="0025250D">
        <w:rPr>
          <w:rtl/>
        </w:rPr>
        <w:t xml:space="preserve"> راف ساگار</w:t>
      </w:r>
      <w:r w:rsidRPr="0025250D">
        <w:rPr>
          <w:rFonts w:hint="cs"/>
          <w:rtl/>
        </w:rPr>
        <w:t>ی</w:t>
      </w:r>
      <w:r w:rsidRPr="0025250D">
        <w:rPr>
          <w:rFonts w:hint="eastAsia"/>
          <w:rtl/>
        </w:rPr>
        <w:t>ن</w:t>
      </w:r>
      <w:r w:rsidRPr="0025250D">
        <w:rPr>
          <w:vertAlign w:val="superscript"/>
          <w:rtl/>
        </w:rPr>
        <w:footnoteReference w:id="3319"/>
      </w:r>
      <w:r w:rsidRPr="0025250D">
        <w:rPr>
          <w:rFonts w:hint="eastAsia"/>
          <w:rtl/>
        </w:rPr>
        <w:t>،</w:t>
      </w:r>
      <w:r w:rsidRPr="0025250D">
        <w:rPr>
          <w:rtl/>
        </w:rPr>
        <w:t xml:space="preserve"> 2012.</w:t>
      </w:r>
    </w:p>
    <w:p w14:paraId="63028E68" w14:textId="612B4902" w:rsidR="005B4181" w:rsidRPr="0025250D" w:rsidRDefault="005B4181" w:rsidP="00492C47">
      <w:pPr>
        <w:numPr>
          <w:ilvl w:val="0"/>
          <w:numId w:val="77"/>
        </w:numPr>
        <w:rPr>
          <w:rtl/>
        </w:rPr>
      </w:pPr>
      <w:r w:rsidRPr="0025250D">
        <w:rPr>
          <w:rtl/>
        </w:rPr>
        <w:t>تجز</w:t>
      </w:r>
      <w:r w:rsidRPr="0025250D">
        <w:rPr>
          <w:rFonts w:hint="cs"/>
          <w:rtl/>
        </w:rPr>
        <w:t>ی</w:t>
      </w:r>
      <w:r w:rsidRPr="0025250D">
        <w:rPr>
          <w:rFonts w:hint="eastAsia"/>
          <w:rtl/>
        </w:rPr>
        <w:t>ه</w:t>
      </w:r>
      <w:r w:rsidRPr="0025250D">
        <w:rPr>
          <w:rtl/>
        </w:rPr>
        <w:t xml:space="preserve"> و تحل</w:t>
      </w:r>
      <w:r w:rsidRPr="0025250D">
        <w:rPr>
          <w:rFonts w:hint="cs"/>
          <w:rtl/>
        </w:rPr>
        <w:t>ی</w:t>
      </w:r>
      <w:r w:rsidRPr="0025250D">
        <w:rPr>
          <w:rFonts w:hint="eastAsia"/>
          <w:rtl/>
        </w:rPr>
        <w:t>ل</w:t>
      </w:r>
      <w:r w:rsidRPr="0025250D">
        <w:rPr>
          <w:rtl/>
        </w:rPr>
        <w:t xml:space="preserve"> </w:t>
      </w:r>
      <w:r w:rsidR="00D92F6E" w:rsidRPr="0025250D">
        <w:rPr>
          <w:rtl/>
        </w:rPr>
        <w:t>پیش‌بین</w:t>
      </w:r>
      <w:r w:rsidRPr="0025250D">
        <w:rPr>
          <w:rFonts w:hint="cs"/>
          <w:rtl/>
        </w:rPr>
        <w:t>ی</w:t>
      </w:r>
      <w:r w:rsidRPr="0025250D">
        <w:rPr>
          <w:rFonts w:hint="eastAsia"/>
          <w:rtl/>
        </w:rPr>
        <w:t>،</w:t>
      </w:r>
      <w:r w:rsidRPr="0025250D">
        <w:rPr>
          <w:rtl/>
        </w:rPr>
        <w:t xml:space="preserve"> ار</w:t>
      </w:r>
      <w:r w:rsidRPr="0025250D">
        <w:rPr>
          <w:rFonts w:hint="cs"/>
          <w:rtl/>
        </w:rPr>
        <w:t>ی</w:t>
      </w:r>
      <w:r w:rsidRPr="0025250D">
        <w:rPr>
          <w:rFonts w:hint="eastAsia"/>
          <w:rtl/>
        </w:rPr>
        <w:t>ک</w:t>
      </w:r>
      <w:r w:rsidRPr="0025250D">
        <w:rPr>
          <w:rtl/>
        </w:rPr>
        <w:t xml:space="preserve"> س</w:t>
      </w:r>
      <w:r w:rsidRPr="0025250D">
        <w:rPr>
          <w:rFonts w:hint="cs"/>
          <w:rtl/>
        </w:rPr>
        <w:t>ی</w:t>
      </w:r>
      <w:r w:rsidRPr="0025250D">
        <w:rPr>
          <w:rFonts w:hint="eastAsia"/>
          <w:rtl/>
        </w:rPr>
        <w:t>گل</w:t>
      </w:r>
      <w:r w:rsidRPr="0025250D">
        <w:rPr>
          <w:vertAlign w:val="superscript"/>
          <w:rtl/>
        </w:rPr>
        <w:footnoteReference w:id="3320"/>
      </w:r>
      <w:r w:rsidRPr="0025250D">
        <w:rPr>
          <w:rFonts w:hint="eastAsia"/>
          <w:rtl/>
        </w:rPr>
        <w:t>،</w:t>
      </w:r>
      <w:r w:rsidRPr="0025250D">
        <w:rPr>
          <w:rtl/>
        </w:rPr>
        <w:t xml:space="preserve"> 2013</w:t>
      </w:r>
    </w:p>
    <w:p w14:paraId="741E15A7" w14:textId="77777777" w:rsidR="005B4181" w:rsidRPr="0025250D" w:rsidRDefault="005B4181" w:rsidP="00492C47">
      <w:pPr>
        <w:numPr>
          <w:ilvl w:val="0"/>
          <w:numId w:val="77"/>
        </w:numPr>
        <w:rPr>
          <w:rtl/>
        </w:rPr>
      </w:pPr>
      <w:r w:rsidRPr="0025250D">
        <w:rPr>
          <w:rtl/>
        </w:rPr>
        <w:t>سود بردن از عدم قطع</w:t>
      </w:r>
      <w:r w:rsidRPr="0025250D">
        <w:rPr>
          <w:rFonts w:hint="cs"/>
          <w:rtl/>
        </w:rPr>
        <w:t>ی</w:t>
      </w:r>
      <w:r w:rsidRPr="0025250D">
        <w:rPr>
          <w:rFonts w:hint="eastAsia"/>
          <w:rtl/>
        </w:rPr>
        <w:t>ت،</w:t>
      </w:r>
      <w:r w:rsidRPr="0025250D">
        <w:rPr>
          <w:rtl/>
        </w:rPr>
        <w:t xml:space="preserve"> پل شوم</w:t>
      </w:r>
      <w:r w:rsidRPr="0025250D">
        <w:rPr>
          <w:rFonts w:hint="cs"/>
          <w:rtl/>
        </w:rPr>
        <w:t>ی</w:t>
      </w:r>
      <w:r w:rsidRPr="0025250D">
        <w:rPr>
          <w:rFonts w:hint="eastAsia"/>
          <w:rtl/>
        </w:rPr>
        <w:t>کر</w:t>
      </w:r>
      <w:r w:rsidRPr="0025250D">
        <w:rPr>
          <w:vertAlign w:val="superscript"/>
          <w:rtl/>
        </w:rPr>
        <w:footnoteReference w:id="3321"/>
      </w:r>
      <w:r w:rsidRPr="0025250D">
        <w:rPr>
          <w:rFonts w:hint="eastAsia"/>
          <w:rtl/>
        </w:rPr>
        <w:t>،</w:t>
      </w:r>
      <w:r w:rsidRPr="0025250D">
        <w:rPr>
          <w:rtl/>
        </w:rPr>
        <w:t xml:space="preserve"> 2002</w:t>
      </w:r>
    </w:p>
    <w:p w14:paraId="41319AC2" w14:textId="1E9EC41E" w:rsidR="005B4181" w:rsidRPr="0025250D" w:rsidRDefault="005B4181" w:rsidP="00492C47">
      <w:pPr>
        <w:numPr>
          <w:ilvl w:val="0"/>
          <w:numId w:val="77"/>
        </w:numPr>
        <w:rPr>
          <w:rtl/>
        </w:rPr>
      </w:pPr>
      <w:r w:rsidRPr="0025250D">
        <w:rPr>
          <w:rtl/>
        </w:rPr>
        <w:t>آماده برا</w:t>
      </w:r>
      <w:r w:rsidRPr="0025250D">
        <w:rPr>
          <w:rFonts w:hint="cs"/>
          <w:rtl/>
        </w:rPr>
        <w:t>ی</w:t>
      </w:r>
      <w:r w:rsidRPr="0025250D">
        <w:rPr>
          <w:rtl/>
        </w:rPr>
        <w:t xml:space="preserve"> هر چ</w:t>
      </w:r>
      <w:r w:rsidRPr="0025250D">
        <w:rPr>
          <w:rFonts w:hint="cs"/>
          <w:rtl/>
        </w:rPr>
        <w:t>ی</w:t>
      </w:r>
      <w:r w:rsidRPr="0025250D">
        <w:rPr>
          <w:rFonts w:hint="eastAsia"/>
          <w:rtl/>
        </w:rPr>
        <w:t>ز</w:t>
      </w:r>
      <w:r w:rsidRPr="0025250D">
        <w:rPr>
          <w:rFonts w:hint="cs"/>
          <w:rtl/>
        </w:rPr>
        <w:t>ی</w:t>
      </w:r>
      <w:r w:rsidRPr="0025250D">
        <w:rPr>
          <w:rtl/>
        </w:rPr>
        <w:t xml:space="preserve">: </w:t>
      </w:r>
      <w:r w:rsidR="0008779C" w:rsidRPr="0025250D">
        <w:rPr>
          <w:rFonts w:hint="cs"/>
          <w:rtl/>
        </w:rPr>
        <w:t>تاب‌آور</w:t>
      </w:r>
      <w:r w:rsidRPr="0025250D">
        <w:rPr>
          <w:rFonts w:hint="cs"/>
          <w:rtl/>
        </w:rPr>
        <w:t>ی</w:t>
      </w:r>
      <w:r w:rsidRPr="0025250D">
        <w:rPr>
          <w:rtl/>
        </w:rPr>
        <w:t xml:space="preserve"> برا</w:t>
      </w:r>
      <w:r w:rsidRPr="0025250D">
        <w:rPr>
          <w:rFonts w:hint="cs"/>
          <w:rtl/>
        </w:rPr>
        <w:t>ی</w:t>
      </w:r>
      <w:r w:rsidRPr="0025250D">
        <w:rPr>
          <w:rtl/>
        </w:rPr>
        <w:t xml:space="preserve"> جهان در حال تغ</w:t>
      </w:r>
      <w:r w:rsidRPr="0025250D">
        <w:rPr>
          <w:rFonts w:hint="cs"/>
          <w:rtl/>
        </w:rPr>
        <w:t>یی</w:t>
      </w:r>
      <w:r w:rsidRPr="0025250D">
        <w:rPr>
          <w:rFonts w:hint="eastAsia"/>
          <w:rtl/>
        </w:rPr>
        <w:t>ر،</w:t>
      </w:r>
      <w:r w:rsidRPr="0025250D">
        <w:rPr>
          <w:rtl/>
        </w:rPr>
        <w:t xml:space="preserve"> آنتون</w:t>
      </w:r>
      <w:r w:rsidRPr="0025250D">
        <w:rPr>
          <w:rFonts w:hint="cs"/>
          <w:rtl/>
        </w:rPr>
        <w:t>ی</w:t>
      </w:r>
      <w:r w:rsidRPr="0025250D">
        <w:rPr>
          <w:rtl/>
        </w:rPr>
        <w:t xml:space="preserve"> هاجسون</w:t>
      </w:r>
      <w:r w:rsidRPr="0025250D">
        <w:rPr>
          <w:vertAlign w:val="superscript"/>
          <w:rtl/>
        </w:rPr>
        <w:footnoteReference w:id="3322"/>
      </w:r>
      <w:r w:rsidRPr="0025250D">
        <w:rPr>
          <w:rtl/>
        </w:rPr>
        <w:t>، 2012</w:t>
      </w:r>
    </w:p>
    <w:p w14:paraId="270ADE51" w14:textId="77777777" w:rsidR="005B4181" w:rsidRPr="0025250D" w:rsidRDefault="005B4181" w:rsidP="00492C47">
      <w:pPr>
        <w:numPr>
          <w:ilvl w:val="0"/>
          <w:numId w:val="77"/>
        </w:numPr>
        <w:rPr>
          <w:rtl/>
        </w:rPr>
      </w:pPr>
      <w:r w:rsidRPr="0025250D">
        <w:rPr>
          <w:rtl/>
        </w:rPr>
        <w:t>بازاند</w:t>
      </w:r>
      <w:r w:rsidRPr="0025250D">
        <w:rPr>
          <w:rFonts w:hint="cs"/>
          <w:rtl/>
        </w:rPr>
        <w:t>ی</w:t>
      </w:r>
      <w:r w:rsidRPr="0025250D">
        <w:rPr>
          <w:rFonts w:hint="eastAsia"/>
          <w:rtl/>
        </w:rPr>
        <w:t>ش</w:t>
      </w:r>
      <w:r w:rsidRPr="0025250D">
        <w:rPr>
          <w:rFonts w:hint="cs"/>
          <w:rtl/>
        </w:rPr>
        <w:t>ی</w:t>
      </w:r>
      <w:r w:rsidRPr="0025250D">
        <w:rPr>
          <w:rtl/>
        </w:rPr>
        <w:t xml:space="preserve"> در تفکر مثبت، گابر</w:t>
      </w:r>
      <w:r w:rsidRPr="0025250D">
        <w:rPr>
          <w:rFonts w:hint="cs"/>
          <w:rtl/>
        </w:rPr>
        <w:t>ی</w:t>
      </w:r>
      <w:r w:rsidRPr="0025250D">
        <w:rPr>
          <w:rFonts w:hint="eastAsia"/>
          <w:rtl/>
        </w:rPr>
        <w:t>ل</w:t>
      </w:r>
      <w:r w:rsidRPr="0025250D">
        <w:rPr>
          <w:rtl/>
        </w:rPr>
        <w:t xml:space="preserve"> اوت</w:t>
      </w:r>
      <w:r w:rsidRPr="0025250D">
        <w:rPr>
          <w:rFonts w:hint="cs"/>
          <w:rtl/>
        </w:rPr>
        <w:t>ی</w:t>
      </w:r>
      <w:r w:rsidRPr="0025250D">
        <w:rPr>
          <w:rFonts w:hint="eastAsia"/>
          <w:rtl/>
        </w:rPr>
        <w:t>نگن</w:t>
      </w:r>
      <w:r w:rsidRPr="0025250D">
        <w:rPr>
          <w:vertAlign w:val="superscript"/>
          <w:rtl/>
        </w:rPr>
        <w:footnoteReference w:id="3323"/>
      </w:r>
      <w:r w:rsidRPr="0025250D">
        <w:rPr>
          <w:rFonts w:hint="eastAsia"/>
          <w:rtl/>
        </w:rPr>
        <w:t>،</w:t>
      </w:r>
      <w:r w:rsidRPr="0025250D">
        <w:rPr>
          <w:rtl/>
        </w:rPr>
        <w:t xml:space="preserve"> 2014</w:t>
      </w:r>
    </w:p>
    <w:p w14:paraId="66FF9B18" w14:textId="49787EF1" w:rsidR="005B4181" w:rsidRPr="0025250D" w:rsidRDefault="00B124DE" w:rsidP="00492C47">
      <w:pPr>
        <w:numPr>
          <w:ilvl w:val="0"/>
          <w:numId w:val="77"/>
        </w:numPr>
        <w:rPr>
          <w:rtl/>
        </w:rPr>
      </w:pPr>
      <w:r w:rsidRPr="0025250D">
        <w:rPr>
          <w:rtl/>
        </w:rPr>
        <w:t>برنامه‌ریزی</w:t>
      </w:r>
      <w:r w:rsidR="005B4181" w:rsidRPr="0025250D">
        <w:rPr>
          <w:rtl/>
        </w:rPr>
        <w:t xml:space="preserve"> </w:t>
      </w:r>
      <w:r w:rsidR="007A53FD" w:rsidRPr="0025250D">
        <w:rPr>
          <w:rtl/>
        </w:rPr>
        <w:t>فرانامه</w:t>
      </w:r>
      <w:r w:rsidR="005B4181" w:rsidRPr="0025250D">
        <w:rPr>
          <w:rtl/>
        </w:rPr>
        <w:t>: راهنما</w:t>
      </w:r>
      <w:r w:rsidR="005B4181" w:rsidRPr="0025250D">
        <w:rPr>
          <w:rFonts w:hint="cs"/>
          <w:rtl/>
        </w:rPr>
        <w:t>ی</w:t>
      </w:r>
      <w:r w:rsidR="005B4181" w:rsidRPr="0025250D">
        <w:rPr>
          <w:rtl/>
        </w:rPr>
        <w:t xml:space="preserve"> م</w:t>
      </w:r>
      <w:r w:rsidR="005B4181" w:rsidRPr="0025250D">
        <w:rPr>
          <w:rFonts w:hint="cs"/>
          <w:rtl/>
        </w:rPr>
        <w:t>ی</w:t>
      </w:r>
      <w:r w:rsidR="005B4181" w:rsidRPr="0025250D">
        <w:rPr>
          <w:rFonts w:hint="eastAsia"/>
          <w:rtl/>
        </w:rPr>
        <w:t>دان</w:t>
      </w:r>
      <w:r w:rsidR="005B4181" w:rsidRPr="0025250D">
        <w:rPr>
          <w:rFonts w:hint="cs"/>
          <w:rtl/>
        </w:rPr>
        <w:t>ی</w:t>
      </w:r>
      <w:r w:rsidR="005B4181" w:rsidRPr="0025250D">
        <w:rPr>
          <w:rtl/>
        </w:rPr>
        <w:t xml:space="preserve"> برا</w:t>
      </w:r>
      <w:r w:rsidR="005B4181" w:rsidRPr="0025250D">
        <w:rPr>
          <w:rFonts w:hint="cs"/>
          <w:rtl/>
        </w:rPr>
        <w:t>ی</w:t>
      </w:r>
      <w:r w:rsidR="005B4181" w:rsidRPr="0025250D">
        <w:rPr>
          <w:rtl/>
        </w:rPr>
        <w:t xml:space="preserve"> آ</w:t>
      </w:r>
      <w:r w:rsidR="005B4181" w:rsidRPr="0025250D">
        <w:rPr>
          <w:rFonts w:hint="cs"/>
          <w:rtl/>
        </w:rPr>
        <w:t>ی</w:t>
      </w:r>
      <w:r w:rsidR="005B4181" w:rsidRPr="0025250D">
        <w:rPr>
          <w:rFonts w:hint="eastAsia"/>
          <w:rtl/>
        </w:rPr>
        <w:t>نده،</w:t>
      </w:r>
      <w:r w:rsidR="005B4181" w:rsidRPr="0025250D">
        <w:rPr>
          <w:rtl/>
        </w:rPr>
        <w:t xml:space="preserve"> وود</w:t>
      </w:r>
      <w:r w:rsidR="005B4181" w:rsidRPr="0025250D">
        <w:rPr>
          <w:rFonts w:hint="cs"/>
          <w:rtl/>
        </w:rPr>
        <w:t>ی</w:t>
      </w:r>
      <w:r w:rsidR="005B4181" w:rsidRPr="0025250D">
        <w:rPr>
          <w:rtl/>
        </w:rPr>
        <w:t xml:space="preserve"> و</w:t>
      </w:r>
      <w:r w:rsidR="005B4181" w:rsidRPr="0025250D">
        <w:rPr>
          <w:rFonts w:hint="cs"/>
          <w:rtl/>
        </w:rPr>
        <w:t>ی</w:t>
      </w:r>
      <w:r w:rsidR="005B4181" w:rsidRPr="0025250D">
        <w:rPr>
          <w:rFonts w:hint="eastAsia"/>
          <w:rtl/>
        </w:rPr>
        <w:t>د</w:t>
      </w:r>
      <w:r w:rsidR="005B4181" w:rsidRPr="0025250D">
        <w:rPr>
          <w:vertAlign w:val="superscript"/>
          <w:rtl/>
        </w:rPr>
        <w:footnoteReference w:id="3324"/>
      </w:r>
      <w:r w:rsidR="005B4181" w:rsidRPr="0025250D">
        <w:rPr>
          <w:rFonts w:hint="eastAsia"/>
          <w:rtl/>
        </w:rPr>
        <w:t>،</w:t>
      </w:r>
      <w:r w:rsidR="005B4181" w:rsidRPr="0025250D">
        <w:rPr>
          <w:rtl/>
        </w:rPr>
        <w:t xml:space="preserve"> 2012</w:t>
      </w:r>
    </w:p>
    <w:p w14:paraId="76EDE778" w14:textId="41BD2E24" w:rsidR="005B4181" w:rsidRPr="0025250D" w:rsidRDefault="007A53FD" w:rsidP="00492C47">
      <w:pPr>
        <w:numPr>
          <w:ilvl w:val="0"/>
          <w:numId w:val="77"/>
        </w:numPr>
        <w:rPr>
          <w:rtl/>
        </w:rPr>
      </w:pPr>
      <w:r w:rsidRPr="0025250D">
        <w:rPr>
          <w:rtl/>
        </w:rPr>
        <w:t>فرانامه</w:t>
      </w:r>
      <w:r w:rsidR="005B4181" w:rsidRPr="0025250D">
        <w:rPr>
          <w:rtl/>
        </w:rPr>
        <w:t xml:space="preserve"> اند</w:t>
      </w:r>
      <w:r w:rsidR="005B4181" w:rsidRPr="0025250D">
        <w:rPr>
          <w:rFonts w:hint="cs"/>
          <w:rtl/>
        </w:rPr>
        <w:t>ی</w:t>
      </w:r>
      <w:r w:rsidR="005B4181" w:rsidRPr="0025250D">
        <w:rPr>
          <w:rFonts w:hint="eastAsia"/>
          <w:rtl/>
        </w:rPr>
        <w:t>ش</w:t>
      </w:r>
      <w:r w:rsidR="005B4181" w:rsidRPr="0025250D">
        <w:rPr>
          <w:rFonts w:hint="cs"/>
          <w:rtl/>
        </w:rPr>
        <w:t>ی</w:t>
      </w:r>
      <w:r w:rsidR="005B4181" w:rsidRPr="0025250D">
        <w:rPr>
          <w:rtl/>
        </w:rPr>
        <w:t xml:space="preserve">: </w:t>
      </w:r>
      <w:r w:rsidR="00D92F6E" w:rsidRPr="0025250D">
        <w:rPr>
          <w:rtl/>
        </w:rPr>
        <w:t>آماده‌سازی</w:t>
      </w:r>
      <w:r w:rsidR="005B4181" w:rsidRPr="0025250D">
        <w:rPr>
          <w:rtl/>
        </w:rPr>
        <w:t xml:space="preserve"> </w:t>
      </w:r>
      <w:r w:rsidR="005B4181" w:rsidRPr="0025250D">
        <w:rPr>
          <w:rFonts w:hint="cs"/>
          <w:rtl/>
        </w:rPr>
        <w:t>سازمان</w:t>
      </w:r>
      <w:r w:rsidR="005B4181" w:rsidRPr="0025250D">
        <w:rPr>
          <w:rtl/>
        </w:rPr>
        <w:t xml:space="preserve"> برا</w:t>
      </w:r>
      <w:r w:rsidR="005B4181" w:rsidRPr="0025250D">
        <w:rPr>
          <w:rFonts w:hint="cs"/>
          <w:rtl/>
        </w:rPr>
        <w:t>ی</w:t>
      </w:r>
      <w:r w:rsidR="005B4181" w:rsidRPr="0025250D">
        <w:rPr>
          <w:rtl/>
        </w:rPr>
        <w:t xml:space="preserve"> آ</w:t>
      </w:r>
      <w:r w:rsidR="005B4181" w:rsidRPr="0025250D">
        <w:rPr>
          <w:rFonts w:hint="cs"/>
          <w:rtl/>
        </w:rPr>
        <w:t>ی</w:t>
      </w:r>
      <w:r w:rsidR="005B4181" w:rsidRPr="0025250D">
        <w:rPr>
          <w:rFonts w:hint="eastAsia"/>
          <w:rtl/>
        </w:rPr>
        <w:t>نده،</w:t>
      </w:r>
      <w:r w:rsidR="005B4181" w:rsidRPr="0025250D">
        <w:rPr>
          <w:rtl/>
        </w:rPr>
        <w:t xml:space="preserve"> کا</w:t>
      </w:r>
      <w:r w:rsidR="005B4181" w:rsidRPr="0025250D">
        <w:rPr>
          <w:rFonts w:hint="cs"/>
          <w:rtl/>
        </w:rPr>
        <w:t>ی</w:t>
      </w:r>
      <w:r w:rsidR="005B4181" w:rsidRPr="0025250D">
        <w:rPr>
          <w:rFonts w:hint="eastAsia"/>
          <w:rtl/>
        </w:rPr>
        <w:t>رنز</w:t>
      </w:r>
      <w:r w:rsidR="005B4181" w:rsidRPr="0025250D">
        <w:rPr>
          <w:rtl/>
        </w:rPr>
        <w:t xml:space="preserve"> و را</w:t>
      </w:r>
      <w:r w:rsidR="005B4181" w:rsidRPr="0025250D">
        <w:rPr>
          <w:rFonts w:hint="cs"/>
          <w:rtl/>
        </w:rPr>
        <w:t>ی</w:t>
      </w:r>
      <w:r w:rsidR="005B4181" w:rsidRPr="0025250D">
        <w:rPr>
          <w:rFonts w:hint="eastAsia"/>
          <w:rtl/>
        </w:rPr>
        <w:t>ت</w:t>
      </w:r>
      <w:r w:rsidR="005B4181" w:rsidRPr="0025250D">
        <w:rPr>
          <w:vertAlign w:val="superscript"/>
          <w:rtl/>
        </w:rPr>
        <w:footnoteReference w:id="3325"/>
      </w:r>
      <w:r w:rsidR="005B4181" w:rsidRPr="0025250D">
        <w:rPr>
          <w:rFonts w:hint="eastAsia"/>
          <w:rtl/>
        </w:rPr>
        <w:t>،</w:t>
      </w:r>
      <w:r w:rsidR="005B4181" w:rsidRPr="0025250D">
        <w:rPr>
          <w:rtl/>
        </w:rPr>
        <w:t xml:space="preserve"> 2018.</w:t>
      </w:r>
    </w:p>
    <w:p w14:paraId="1FD5DB2F" w14:textId="3396AD61" w:rsidR="005B4181" w:rsidRPr="0025250D" w:rsidRDefault="005B4181" w:rsidP="00492C47">
      <w:pPr>
        <w:numPr>
          <w:ilvl w:val="0"/>
          <w:numId w:val="77"/>
        </w:numPr>
        <w:rPr>
          <w:rtl/>
        </w:rPr>
      </w:pPr>
      <w:r w:rsidRPr="0025250D">
        <w:rPr>
          <w:rtl/>
        </w:rPr>
        <w:t>نورها</w:t>
      </w:r>
      <w:r w:rsidRPr="0025250D">
        <w:rPr>
          <w:rFonts w:hint="cs"/>
          <w:rtl/>
        </w:rPr>
        <w:t>ی</w:t>
      </w:r>
      <w:r w:rsidRPr="0025250D">
        <w:rPr>
          <w:rtl/>
        </w:rPr>
        <w:t xml:space="preserve"> خ</w:t>
      </w:r>
      <w:r w:rsidRPr="0025250D">
        <w:rPr>
          <w:rFonts w:hint="cs"/>
          <w:rtl/>
        </w:rPr>
        <w:t>ی</w:t>
      </w:r>
      <w:r w:rsidRPr="0025250D">
        <w:rPr>
          <w:rFonts w:hint="eastAsia"/>
          <w:rtl/>
        </w:rPr>
        <w:t>ابان</w:t>
      </w:r>
      <w:r w:rsidRPr="0025250D">
        <w:rPr>
          <w:rtl/>
        </w:rPr>
        <w:t xml:space="preserve"> و سا</w:t>
      </w:r>
      <w:r w:rsidRPr="0025250D">
        <w:rPr>
          <w:rFonts w:hint="cs"/>
          <w:rtl/>
        </w:rPr>
        <w:t>ی</w:t>
      </w:r>
      <w:r w:rsidRPr="0025250D">
        <w:rPr>
          <w:rFonts w:hint="eastAsia"/>
          <w:rtl/>
        </w:rPr>
        <w:t>ه</w:t>
      </w:r>
      <w:r w:rsidRPr="0025250D">
        <w:rPr>
          <w:rtl/>
        </w:rPr>
        <w:t xml:space="preserve"> ها: کل</w:t>
      </w:r>
      <w:r w:rsidRPr="0025250D">
        <w:rPr>
          <w:rFonts w:hint="cs"/>
          <w:rtl/>
        </w:rPr>
        <w:t>ی</w:t>
      </w:r>
      <w:r w:rsidRPr="0025250D">
        <w:rPr>
          <w:rFonts w:hint="eastAsia"/>
          <w:rtl/>
        </w:rPr>
        <w:t>دها</w:t>
      </w:r>
      <w:r w:rsidRPr="0025250D">
        <w:rPr>
          <w:rFonts w:hint="cs"/>
          <w:rtl/>
        </w:rPr>
        <w:t>ی</w:t>
      </w:r>
      <w:r w:rsidRPr="0025250D">
        <w:rPr>
          <w:rtl/>
        </w:rPr>
        <w:t xml:space="preserve"> </w:t>
      </w:r>
      <w:r w:rsidR="0008779C" w:rsidRPr="0025250D">
        <w:rPr>
          <w:rtl/>
        </w:rPr>
        <w:t>تصمیم‌گیری</w:t>
      </w:r>
      <w:r w:rsidRPr="0025250D">
        <w:rPr>
          <w:rtl/>
        </w:rPr>
        <w:t xml:space="preserve"> </w:t>
      </w:r>
      <w:r w:rsidR="00B124DE" w:rsidRPr="0025250D">
        <w:rPr>
          <w:rtl/>
        </w:rPr>
        <w:t>انطباق‌پذیر</w:t>
      </w:r>
      <w:r w:rsidRPr="0025250D">
        <w:rPr>
          <w:rFonts w:hint="cs"/>
          <w:rtl/>
        </w:rPr>
        <w:t>ی</w:t>
      </w:r>
      <w:r w:rsidRPr="0025250D">
        <w:rPr>
          <w:rFonts w:hint="eastAsia"/>
          <w:rtl/>
        </w:rPr>
        <w:t>،</w:t>
      </w:r>
      <w:r w:rsidRPr="0025250D">
        <w:rPr>
          <w:rtl/>
        </w:rPr>
        <w:t xml:space="preserve"> گر</w:t>
      </w:r>
      <w:r w:rsidRPr="0025250D">
        <w:rPr>
          <w:rFonts w:hint="cs"/>
          <w:rtl/>
        </w:rPr>
        <w:t>ی</w:t>
      </w:r>
      <w:r w:rsidRPr="0025250D">
        <w:rPr>
          <w:rtl/>
        </w:rPr>
        <w:t xml:space="preserve"> کلا</w:t>
      </w:r>
      <w:r w:rsidRPr="0025250D">
        <w:rPr>
          <w:rFonts w:hint="cs"/>
          <w:rtl/>
        </w:rPr>
        <w:t>ی</w:t>
      </w:r>
      <w:r w:rsidRPr="0025250D">
        <w:rPr>
          <w:rFonts w:hint="eastAsia"/>
          <w:rtl/>
        </w:rPr>
        <w:t>ن</w:t>
      </w:r>
      <w:r w:rsidRPr="0025250D">
        <w:rPr>
          <w:vertAlign w:val="superscript"/>
          <w:rtl/>
        </w:rPr>
        <w:footnoteReference w:id="3326"/>
      </w:r>
      <w:r w:rsidRPr="0025250D">
        <w:rPr>
          <w:rFonts w:hint="eastAsia"/>
          <w:rtl/>
        </w:rPr>
        <w:t>،</w:t>
      </w:r>
      <w:r w:rsidRPr="0025250D">
        <w:rPr>
          <w:rtl/>
        </w:rPr>
        <w:t xml:space="preserve"> 2011</w:t>
      </w:r>
    </w:p>
    <w:p w14:paraId="6A4665D3" w14:textId="7FE73B70" w:rsidR="005B4181" w:rsidRPr="0025250D" w:rsidRDefault="005B4181" w:rsidP="00492C47">
      <w:pPr>
        <w:numPr>
          <w:ilvl w:val="0"/>
          <w:numId w:val="77"/>
        </w:numPr>
        <w:rPr>
          <w:rtl/>
        </w:rPr>
      </w:pPr>
      <w:r w:rsidRPr="0025250D">
        <w:rPr>
          <w:rtl/>
        </w:rPr>
        <w:t xml:space="preserve">ابر </w:t>
      </w:r>
      <w:r w:rsidR="00D92F6E" w:rsidRPr="0025250D">
        <w:rPr>
          <w:rtl/>
        </w:rPr>
        <w:t>پیش‌بین</w:t>
      </w:r>
      <w:r w:rsidRPr="0025250D">
        <w:rPr>
          <w:rFonts w:hint="cs"/>
          <w:rtl/>
        </w:rPr>
        <w:t>ی</w:t>
      </w:r>
      <w:r w:rsidRPr="0025250D">
        <w:rPr>
          <w:rtl/>
        </w:rPr>
        <w:t xml:space="preserve">: هنر و علم </w:t>
      </w:r>
      <w:r w:rsidR="00D92F6E" w:rsidRPr="0025250D">
        <w:rPr>
          <w:rtl/>
        </w:rPr>
        <w:t>پیش‌بین</w:t>
      </w:r>
      <w:r w:rsidRPr="0025250D">
        <w:rPr>
          <w:rFonts w:hint="cs"/>
          <w:rtl/>
        </w:rPr>
        <w:t>ی</w:t>
      </w:r>
      <w:r w:rsidRPr="0025250D">
        <w:rPr>
          <w:rFonts w:hint="eastAsia"/>
          <w:rtl/>
        </w:rPr>
        <w:t>،</w:t>
      </w:r>
      <w:r w:rsidRPr="0025250D">
        <w:rPr>
          <w:rtl/>
        </w:rPr>
        <w:t xml:space="preserve"> ف</w:t>
      </w:r>
      <w:r w:rsidRPr="0025250D">
        <w:rPr>
          <w:rFonts w:hint="cs"/>
          <w:rtl/>
        </w:rPr>
        <w:t>ی</w:t>
      </w:r>
      <w:r w:rsidRPr="0025250D">
        <w:rPr>
          <w:rFonts w:hint="eastAsia"/>
          <w:rtl/>
        </w:rPr>
        <w:t>ل</w:t>
      </w:r>
      <w:r w:rsidRPr="0025250D">
        <w:rPr>
          <w:rFonts w:hint="cs"/>
          <w:rtl/>
        </w:rPr>
        <w:t>ی</w:t>
      </w:r>
      <w:r w:rsidRPr="0025250D">
        <w:rPr>
          <w:rFonts w:hint="eastAsia"/>
          <w:rtl/>
        </w:rPr>
        <w:t>پ</w:t>
      </w:r>
      <w:r w:rsidRPr="0025250D">
        <w:rPr>
          <w:rtl/>
        </w:rPr>
        <w:t xml:space="preserve"> تتلاک و دن گاردنر</w:t>
      </w:r>
      <w:r w:rsidRPr="0025250D">
        <w:rPr>
          <w:vertAlign w:val="superscript"/>
          <w:rtl/>
        </w:rPr>
        <w:footnoteReference w:id="3327"/>
      </w:r>
      <w:r w:rsidRPr="0025250D">
        <w:rPr>
          <w:rtl/>
        </w:rPr>
        <w:t>، 2015</w:t>
      </w:r>
    </w:p>
    <w:p w14:paraId="29BD41FF" w14:textId="5545A7D0" w:rsidR="005B4181" w:rsidRPr="0025250D" w:rsidRDefault="005B4181" w:rsidP="00492C47">
      <w:pPr>
        <w:numPr>
          <w:ilvl w:val="0"/>
          <w:numId w:val="77"/>
        </w:numPr>
        <w:rPr>
          <w:rtl/>
        </w:rPr>
      </w:pPr>
      <w:r w:rsidRPr="0025250D">
        <w:rPr>
          <w:rtl/>
        </w:rPr>
        <w:t xml:space="preserve">تفکر </w:t>
      </w:r>
      <w:r w:rsidR="008D6F97" w:rsidRPr="0025250D">
        <w:rPr>
          <w:rtl/>
        </w:rPr>
        <w:t>سامانه‌ای</w:t>
      </w:r>
      <w:r w:rsidRPr="0025250D">
        <w:rPr>
          <w:rtl/>
        </w:rPr>
        <w:t xml:space="preserve"> برا</w:t>
      </w:r>
      <w:r w:rsidRPr="0025250D">
        <w:rPr>
          <w:rFonts w:hint="cs"/>
          <w:rtl/>
        </w:rPr>
        <w:t>ی</w:t>
      </w:r>
      <w:r w:rsidRPr="0025250D">
        <w:rPr>
          <w:rtl/>
        </w:rPr>
        <w:t xml:space="preserve"> مد</w:t>
      </w:r>
      <w:r w:rsidRPr="0025250D">
        <w:rPr>
          <w:rFonts w:hint="cs"/>
          <w:rtl/>
        </w:rPr>
        <w:t>ی</w:t>
      </w:r>
      <w:r w:rsidRPr="0025250D">
        <w:rPr>
          <w:rFonts w:hint="eastAsia"/>
          <w:rtl/>
        </w:rPr>
        <w:t>ران</w:t>
      </w:r>
      <w:r w:rsidRPr="0025250D">
        <w:rPr>
          <w:rtl/>
        </w:rPr>
        <w:t xml:space="preserve"> کنجکاو، آکوف و آد</w:t>
      </w:r>
      <w:r w:rsidRPr="0025250D">
        <w:rPr>
          <w:rFonts w:hint="cs"/>
          <w:rtl/>
        </w:rPr>
        <w:t>ی</w:t>
      </w:r>
      <w:r w:rsidRPr="0025250D">
        <w:rPr>
          <w:rFonts w:hint="eastAsia"/>
          <w:rtl/>
        </w:rPr>
        <w:t>سون</w:t>
      </w:r>
      <w:r w:rsidRPr="0025250D">
        <w:rPr>
          <w:vertAlign w:val="superscript"/>
          <w:rtl/>
        </w:rPr>
        <w:footnoteReference w:id="3328"/>
      </w:r>
      <w:r w:rsidRPr="0025250D">
        <w:rPr>
          <w:rFonts w:hint="eastAsia"/>
          <w:rtl/>
        </w:rPr>
        <w:t>،</w:t>
      </w:r>
      <w:r w:rsidRPr="0025250D">
        <w:rPr>
          <w:rtl/>
        </w:rPr>
        <w:t xml:space="preserve"> 2010</w:t>
      </w:r>
    </w:p>
    <w:p w14:paraId="5C998E28" w14:textId="36F04345" w:rsidR="005B4181" w:rsidRPr="0025250D" w:rsidRDefault="005B4181" w:rsidP="00492C47">
      <w:pPr>
        <w:numPr>
          <w:ilvl w:val="0"/>
          <w:numId w:val="77"/>
        </w:numPr>
        <w:rPr>
          <w:rtl/>
        </w:rPr>
      </w:pPr>
      <w:r w:rsidRPr="0025250D">
        <w:rPr>
          <w:rtl/>
        </w:rPr>
        <w:t>تفکر در مورد آ</w:t>
      </w:r>
      <w:r w:rsidRPr="0025250D">
        <w:rPr>
          <w:rFonts w:hint="cs"/>
          <w:rtl/>
        </w:rPr>
        <w:t>ی</w:t>
      </w:r>
      <w:r w:rsidRPr="0025250D">
        <w:rPr>
          <w:rFonts w:hint="eastAsia"/>
          <w:rtl/>
        </w:rPr>
        <w:t>نده</w:t>
      </w:r>
      <w:r w:rsidRPr="0025250D">
        <w:rPr>
          <w:rtl/>
        </w:rPr>
        <w:t>: رهنمودها</w:t>
      </w:r>
      <w:r w:rsidRPr="0025250D">
        <w:rPr>
          <w:rFonts w:hint="cs"/>
          <w:rtl/>
        </w:rPr>
        <w:t>یی</w:t>
      </w:r>
      <w:r w:rsidRPr="0025250D">
        <w:rPr>
          <w:rtl/>
        </w:rPr>
        <w:t xml:space="preserve"> برا</w:t>
      </w:r>
      <w:r w:rsidRPr="0025250D">
        <w:rPr>
          <w:rFonts w:hint="cs"/>
          <w:rtl/>
        </w:rPr>
        <w:t>ی</w:t>
      </w:r>
      <w:r w:rsidRPr="0025250D">
        <w:rPr>
          <w:rtl/>
        </w:rPr>
        <w:t xml:space="preserve"> آینده‌نگاری </w:t>
      </w:r>
      <w:r w:rsidR="00701E03" w:rsidRPr="0025250D">
        <w:rPr>
          <w:rtl/>
        </w:rPr>
        <w:t>راهبردی</w:t>
      </w:r>
      <w:r w:rsidRPr="0025250D">
        <w:rPr>
          <w:rFonts w:hint="eastAsia"/>
          <w:rtl/>
        </w:rPr>
        <w:t>،</w:t>
      </w:r>
      <w:r w:rsidRPr="0025250D">
        <w:rPr>
          <w:rtl/>
        </w:rPr>
        <w:t xml:space="preserve"> ب</w:t>
      </w:r>
      <w:r w:rsidRPr="0025250D">
        <w:rPr>
          <w:rFonts w:hint="cs"/>
          <w:rtl/>
        </w:rPr>
        <w:t>ی</w:t>
      </w:r>
      <w:r w:rsidRPr="0025250D">
        <w:rPr>
          <w:rFonts w:hint="eastAsia"/>
          <w:rtl/>
        </w:rPr>
        <w:t>شاپ</w:t>
      </w:r>
      <w:r w:rsidRPr="0025250D">
        <w:rPr>
          <w:rtl/>
        </w:rPr>
        <w:t xml:space="preserve"> و ها</w:t>
      </w:r>
      <w:r w:rsidRPr="0025250D">
        <w:rPr>
          <w:rFonts w:hint="cs"/>
          <w:rtl/>
        </w:rPr>
        <w:t>ی</w:t>
      </w:r>
      <w:r w:rsidRPr="0025250D">
        <w:rPr>
          <w:rFonts w:hint="eastAsia"/>
          <w:rtl/>
        </w:rPr>
        <w:t>نز</w:t>
      </w:r>
      <w:r w:rsidRPr="0025250D">
        <w:rPr>
          <w:vertAlign w:val="superscript"/>
          <w:rtl/>
        </w:rPr>
        <w:footnoteReference w:id="3329"/>
      </w:r>
      <w:r w:rsidRPr="0025250D">
        <w:rPr>
          <w:rFonts w:hint="eastAsia"/>
          <w:rtl/>
        </w:rPr>
        <w:t>،</w:t>
      </w:r>
      <w:r w:rsidRPr="0025250D">
        <w:rPr>
          <w:rtl/>
        </w:rPr>
        <w:t xml:space="preserve"> 2007</w:t>
      </w:r>
    </w:p>
    <w:p w14:paraId="09EF690E" w14:textId="77777777" w:rsidR="005B4181" w:rsidRPr="0025250D" w:rsidRDefault="005B4181" w:rsidP="00492C47">
      <w:pPr>
        <w:numPr>
          <w:ilvl w:val="0"/>
          <w:numId w:val="77"/>
        </w:numPr>
        <w:rPr>
          <w:rtl/>
        </w:rPr>
      </w:pPr>
      <w:r w:rsidRPr="0025250D">
        <w:rPr>
          <w:rtl/>
        </w:rPr>
        <w:t>اصل 80/20: راز دست</w:t>
      </w:r>
      <w:r w:rsidRPr="0025250D">
        <w:rPr>
          <w:rFonts w:hint="cs"/>
          <w:rtl/>
        </w:rPr>
        <w:t>ی</w:t>
      </w:r>
      <w:r w:rsidRPr="0025250D">
        <w:rPr>
          <w:rFonts w:hint="eastAsia"/>
          <w:rtl/>
        </w:rPr>
        <w:t>اب</w:t>
      </w:r>
      <w:r w:rsidRPr="0025250D">
        <w:rPr>
          <w:rFonts w:hint="cs"/>
          <w:rtl/>
        </w:rPr>
        <w:t>ی</w:t>
      </w:r>
      <w:r w:rsidRPr="0025250D">
        <w:rPr>
          <w:rtl/>
        </w:rPr>
        <w:t xml:space="preserve"> به ب</w:t>
      </w:r>
      <w:r w:rsidRPr="0025250D">
        <w:rPr>
          <w:rFonts w:hint="cs"/>
          <w:rtl/>
        </w:rPr>
        <w:t>ی</w:t>
      </w:r>
      <w:r w:rsidRPr="0025250D">
        <w:rPr>
          <w:rFonts w:hint="eastAsia"/>
          <w:rtl/>
        </w:rPr>
        <w:t>شتر</w:t>
      </w:r>
      <w:r w:rsidRPr="0025250D">
        <w:rPr>
          <w:rtl/>
        </w:rPr>
        <w:t xml:space="preserve"> با کمتر، ر</w:t>
      </w:r>
      <w:r w:rsidRPr="0025250D">
        <w:rPr>
          <w:rFonts w:hint="cs"/>
          <w:rtl/>
        </w:rPr>
        <w:t>ی</w:t>
      </w:r>
      <w:r w:rsidRPr="0025250D">
        <w:rPr>
          <w:rFonts w:hint="eastAsia"/>
          <w:rtl/>
        </w:rPr>
        <w:t>چارد</w:t>
      </w:r>
      <w:r w:rsidRPr="0025250D">
        <w:rPr>
          <w:rtl/>
        </w:rPr>
        <w:t xml:space="preserve"> کخ</w:t>
      </w:r>
      <w:r w:rsidRPr="0025250D">
        <w:rPr>
          <w:vertAlign w:val="superscript"/>
          <w:rtl/>
        </w:rPr>
        <w:footnoteReference w:id="3330"/>
      </w:r>
      <w:r w:rsidRPr="0025250D">
        <w:rPr>
          <w:rtl/>
        </w:rPr>
        <w:t>، 1999</w:t>
      </w:r>
    </w:p>
    <w:p w14:paraId="409DED5E" w14:textId="67F3EE34" w:rsidR="005B4181" w:rsidRPr="0025250D" w:rsidRDefault="005B4181" w:rsidP="00492C47">
      <w:pPr>
        <w:numPr>
          <w:ilvl w:val="0"/>
          <w:numId w:val="77"/>
        </w:numPr>
        <w:rPr>
          <w:rtl/>
        </w:rPr>
      </w:pPr>
      <w:r w:rsidRPr="0025250D">
        <w:rPr>
          <w:rtl/>
        </w:rPr>
        <w:t>هنر نگاه طولان</w:t>
      </w:r>
      <w:r w:rsidRPr="0025250D">
        <w:rPr>
          <w:rFonts w:hint="cs"/>
          <w:rtl/>
        </w:rPr>
        <w:t>ی</w:t>
      </w:r>
      <w:r w:rsidRPr="0025250D">
        <w:rPr>
          <w:rtl/>
        </w:rPr>
        <w:t xml:space="preserve">: </w:t>
      </w:r>
      <w:r w:rsidR="00B124DE" w:rsidRPr="0025250D">
        <w:rPr>
          <w:rtl/>
        </w:rPr>
        <w:t>برنامه‌ریزی</w:t>
      </w:r>
      <w:r w:rsidRPr="0025250D">
        <w:rPr>
          <w:rtl/>
        </w:rPr>
        <w:t xml:space="preserve"> در دن</w:t>
      </w:r>
      <w:r w:rsidRPr="0025250D">
        <w:rPr>
          <w:rFonts w:hint="cs"/>
          <w:rtl/>
        </w:rPr>
        <w:t>ی</w:t>
      </w:r>
      <w:r w:rsidRPr="0025250D">
        <w:rPr>
          <w:rFonts w:hint="eastAsia"/>
          <w:rtl/>
        </w:rPr>
        <w:t>ا</w:t>
      </w:r>
      <w:r w:rsidRPr="0025250D">
        <w:rPr>
          <w:rFonts w:hint="cs"/>
          <w:rtl/>
        </w:rPr>
        <w:t>ی</w:t>
      </w:r>
      <w:r w:rsidRPr="0025250D">
        <w:rPr>
          <w:rtl/>
        </w:rPr>
        <w:t xml:space="preserve"> نامشخص، پ</w:t>
      </w:r>
      <w:r w:rsidRPr="0025250D">
        <w:rPr>
          <w:rFonts w:hint="cs"/>
          <w:rtl/>
        </w:rPr>
        <w:t>ی</w:t>
      </w:r>
      <w:r w:rsidRPr="0025250D">
        <w:rPr>
          <w:rFonts w:hint="eastAsia"/>
          <w:rtl/>
        </w:rPr>
        <w:t>تر</w:t>
      </w:r>
      <w:r w:rsidRPr="0025250D">
        <w:rPr>
          <w:rtl/>
        </w:rPr>
        <w:t xml:space="preserve"> شوارد</w:t>
      </w:r>
      <w:r w:rsidRPr="0025250D">
        <w:rPr>
          <w:vertAlign w:val="superscript"/>
          <w:rtl/>
        </w:rPr>
        <w:footnoteReference w:id="3331"/>
      </w:r>
      <w:r w:rsidRPr="0025250D">
        <w:rPr>
          <w:rtl/>
        </w:rPr>
        <w:t>، 1996</w:t>
      </w:r>
    </w:p>
    <w:p w14:paraId="05A7FA3B" w14:textId="77777777" w:rsidR="005B4181" w:rsidRPr="0025250D" w:rsidRDefault="005B4181" w:rsidP="00492C47">
      <w:pPr>
        <w:numPr>
          <w:ilvl w:val="0"/>
          <w:numId w:val="77"/>
        </w:numPr>
        <w:rPr>
          <w:rtl/>
        </w:rPr>
      </w:pPr>
      <w:r w:rsidRPr="0025250D">
        <w:rPr>
          <w:rtl/>
        </w:rPr>
        <w:t>خواننده تحل</w:t>
      </w:r>
      <w:r w:rsidRPr="0025250D">
        <w:rPr>
          <w:rFonts w:hint="cs"/>
          <w:rtl/>
        </w:rPr>
        <w:t>ی</w:t>
      </w:r>
      <w:r w:rsidRPr="0025250D">
        <w:rPr>
          <w:rFonts w:hint="eastAsia"/>
          <w:rtl/>
        </w:rPr>
        <w:t>ل</w:t>
      </w:r>
      <w:r w:rsidRPr="0025250D">
        <w:rPr>
          <w:rtl/>
        </w:rPr>
        <w:t xml:space="preserve"> لا</w:t>
      </w:r>
      <w:r w:rsidRPr="0025250D">
        <w:rPr>
          <w:rFonts w:hint="cs"/>
          <w:rtl/>
        </w:rPr>
        <w:t>ی</w:t>
      </w:r>
      <w:r w:rsidRPr="0025250D">
        <w:rPr>
          <w:rFonts w:hint="eastAsia"/>
          <w:rtl/>
        </w:rPr>
        <w:t>ه</w:t>
      </w:r>
      <w:r w:rsidRPr="0025250D">
        <w:rPr>
          <w:rtl/>
        </w:rPr>
        <w:t>‌ای عل</w:t>
      </w:r>
      <w:r w:rsidRPr="0025250D">
        <w:rPr>
          <w:rFonts w:hint="cs"/>
          <w:rtl/>
        </w:rPr>
        <w:t>ی</w:t>
      </w:r>
      <w:r w:rsidRPr="0025250D">
        <w:rPr>
          <w:rtl/>
        </w:rPr>
        <w:t xml:space="preserve"> (</w:t>
      </w:r>
      <w:r w:rsidRPr="0025250D">
        <w:t>CLA</w:t>
      </w:r>
      <w:r w:rsidRPr="0025250D">
        <w:rPr>
          <w:rtl/>
        </w:rPr>
        <w:t>)، سه</w:t>
      </w:r>
      <w:r w:rsidRPr="0025250D">
        <w:rPr>
          <w:rFonts w:hint="cs"/>
          <w:rtl/>
        </w:rPr>
        <w:t>ی</w:t>
      </w:r>
      <w:r w:rsidRPr="0025250D">
        <w:rPr>
          <w:rFonts w:hint="eastAsia"/>
          <w:rtl/>
        </w:rPr>
        <w:t>ل</w:t>
      </w:r>
      <w:r w:rsidRPr="0025250D">
        <w:rPr>
          <w:rtl/>
        </w:rPr>
        <w:t xml:space="preserve"> عنا</w:t>
      </w:r>
      <w:r w:rsidRPr="0025250D">
        <w:rPr>
          <w:rFonts w:hint="cs"/>
          <w:rtl/>
        </w:rPr>
        <w:t>ی</w:t>
      </w:r>
      <w:r w:rsidRPr="0025250D">
        <w:rPr>
          <w:rFonts w:hint="eastAsia"/>
          <w:rtl/>
        </w:rPr>
        <w:t>ت</w:t>
      </w:r>
      <w:r w:rsidRPr="0025250D">
        <w:rPr>
          <w:rtl/>
        </w:rPr>
        <w:t xml:space="preserve"> الله</w:t>
      </w:r>
      <w:r w:rsidRPr="0025250D">
        <w:rPr>
          <w:vertAlign w:val="superscript"/>
          <w:rtl/>
        </w:rPr>
        <w:footnoteReference w:id="3332"/>
      </w:r>
      <w:r w:rsidRPr="0025250D">
        <w:rPr>
          <w:rtl/>
        </w:rPr>
        <w:t>، 2004</w:t>
      </w:r>
    </w:p>
    <w:p w14:paraId="18375D10" w14:textId="77777777" w:rsidR="005B4181" w:rsidRPr="0025250D" w:rsidRDefault="005B4181" w:rsidP="00492C47">
      <w:pPr>
        <w:numPr>
          <w:ilvl w:val="0"/>
          <w:numId w:val="77"/>
        </w:numPr>
        <w:rPr>
          <w:rtl/>
        </w:rPr>
      </w:pPr>
      <w:r w:rsidRPr="0025250D">
        <w:rPr>
          <w:rtl/>
        </w:rPr>
        <w:t>فرهنگ ترس: چرا آمر</w:t>
      </w:r>
      <w:r w:rsidRPr="0025250D">
        <w:rPr>
          <w:rFonts w:hint="cs"/>
          <w:rtl/>
        </w:rPr>
        <w:t>ی</w:t>
      </w:r>
      <w:r w:rsidRPr="0025250D">
        <w:rPr>
          <w:rFonts w:hint="eastAsia"/>
          <w:rtl/>
        </w:rPr>
        <w:t>کا</w:t>
      </w:r>
      <w:r w:rsidRPr="0025250D">
        <w:rPr>
          <w:rFonts w:hint="cs"/>
          <w:rtl/>
        </w:rPr>
        <w:t>یی</w:t>
      </w:r>
      <w:r w:rsidRPr="0025250D">
        <w:rPr>
          <w:rtl/>
        </w:rPr>
        <w:t>‌ها از چ</w:t>
      </w:r>
      <w:r w:rsidRPr="0025250D">
        <w:rPr>
          <w:rFonts w:hint="cs"/>
          <w:rtl/>
        </w:rPr>
        <w:t>ی</w:t>
      </w:r>
      <w:r w:rsidRPr="0025250D">
        <w:rPr>
          <w:rFonts w:hint="eastAsia"/>
          <w:rtl/>
        </w:rPr>
        <w:t>زها</w:t>
      </w:r>
      <w:r w:rsidRPr="0025250D">
        <w:rPr>
          <w:rFonts w:hint="cs"/>
          <w:rtl/>
        </w:rPr>
        <w:t>ی</w:t>
      </w:r>
      <w:r w:rsidRPr="0025250D">
        <w:rPr>
          <w:rtl/>
        </w:rPr>
        <w:t xml:space="preserve"> اشتباه می‌ترسند، گلاسنر</w:t>
      </w:r>
      <w:r w:rsidRPr="0025250D">
        <w:rPr>
          <w:vertAlign w:val="superscript"/>
          <w:rtl/>
        </w:rPr>
        <w:footnoteReference w:id="3333"/>
      </w:r>
      <w:r w:rsidRPr="0025250D">
        <w:rPr>
          <w:rtl/>
        </w:rPr>
        <w:t>، 1999/2018</w:t>
      </w:r>
    </w:p>
    <w:p w14:paraId="1EF9E80F" w14:textId="0911F47A" w:rsidR="005B4181" w:rsidRPr="0025250D" w:rsidRDefault="005B4181" w:rsidP="00492C47">
      <w:pPr>
        <w:numPr>
          <w:ilvl w:val="0"/>
          <w:numId w:val="77"/>
        </w:numPr>
        <w:rPr>
          <w:rtl/>
        </w:rPr>
      </w:pPr>
      <w:r w:rsidRPr="0025250D">
        <w:rPr>
          <w:rtl/>
        </w:rPr>
        <w:t xml:space="preserve">فروشندگان </w:t>
      </w:r>
      <w:r w:rsidRPr="0025250D">
        <w:rPr>
          <w:rFonts w:hint="cs"/>
          <w:rtl/>
        </w:rPr>
        <w:t>بخت</w:t>
      </w:r>
      <w:r w:rsidRPr="0025250D">
        <w:rPr>
          <w:rtl/>
        </w:rPr>
        <w:t xml:space="preserve">: تجارت بزرگ </w:t>
      </w:r>
      <w:r w:rsidR="00D92F6E" w:rsidRPr="0025250D">
        <w:rPr>
          <w:rtl/>
        </w:rPr>
        <w:t>پیش‌بین</w:t>
      </w:r>
      <w:r w:rsidRPr="0025250D">
        <w:rPr>
          <w:rFonts w:hint="cs"/>
          <w:rtl/>
        </w:rPr>
        <w:t>ی</w:t>
      </w:r>
      <w:r w:rsidRPr="0025250D">
        <w:rPr>
          <w:rtl/>
        </w:rPr>
        <w:t>‌های خر</w:t>
      </w:r>
      <w:r w:rsidRPr="0025250D">
        <w:rPr>
          <w:rFonts w:hint="cs"/>
          <w:rtl/>
        </w:rPr>
        <w:t>ی</w:t>
      </w:r>
      <w:r w:rsidRPr="0025250D">
        <w:rPr>
          <w:rFonts w:hint="eastAsia"/>
          <w:rtl/>
        </w:rPr>
        <w:t>د</w:t>
      </w:r>
      <w:r w:rsidRPr="0025250D">
        <w:rPr>
          <w:rtl/>
        </w:rPr>
        <w:t xml:space="preserve"> و فروش، و</w:t>
      </w:r>
      <w:r w:rsidRPr="0025250D">
        <w:rPr>
          <w:rFonts w:hint="cs"/>
          <w:rtl/>
        </w:rPr>
        <w:t>ی</w:t>
      </w:r>
      <w:r w:rsidRPr="0025250D">
        <w:rPr>
          <w:rFonts w:hint="eastAsia"/>
          <w:rtl/>
        </w:rPr>
        <w:t>ل</w:t>
      </w:r>
      <w:r w:rsidRPr="0025250D">
        <w:rPr>
          <w:rFonts w:hint="cs"/>
          <w:rtl/>
        </w:rPr>
        <w:t>ی</w:t>
      </w:r>
      <w:r w:rsidRPr="0025250D">
        <w:rPr>
          <w:rFonts w:hint="eastAsia"/>
          <w:rtl/>
        </w:rPr>
        <w:t>ام</w:t>
      </w:r>
      <w:r w:rsidRPr="0025250D">
        <w:rPr>
          <w:rtl/>
        </w:rPr>
        <w:t xml:space="preserve"> شردن</w:t>
      </w:r>
      <w:r w:rsidRPr="0025250D">
        <w:rPr>
          <w:vertAlign w:val="superscript"/>
          <w:rtl/>
        </w:rPr>
        <w:footnoteReference w:id="3334"/>
      </w:r>
      <w:r w:rsidRPr="0025250D">
        <w:rPr>
          <w:rtl/>
        </w:rPr>
        <w:t>، 1997</w:t>
      </w:r>
    </w:p>
    <w:p w14:paraId="74485898" w14:textId="77777777" w:rsidR="005B4181" w:rsidRPr="0025250D" w:rsidRDefault="005B4181" w:rsidP="00492C47">
      <w:pPr>
        <w:numPr>
          <w:ilvl w:val="0"/>
          <w:numId w:val="77"/>
        </w:numPr>
        <w:rPr>
          <w:rtl/>
        </w:rPr>
      </w:pPr>
      <w:r w:rsidRPr="0025250D">
        <w:rPr>
          <w:rtl/>
        </w:rPr>
        <w:t>تصو</w:t>
      </w:r>
      <w:r w:rsidRPr="0025250D">
        <w:rPr>
          <w:rFonts w:hint="cs"/>
          <w:rtl/>
        </w:rPr>
        <w:t>ی</w:t>
      </w:r>
      <w:r w:rsidRPr="0025250D">
        <w:rPr>
          <w:rFonts w:hint="eastAsia"/>
          <w:rtl/>
        </w:rPr>
        <w:t>ر</w:t>
      </w:r>
      <w:r w:rsidRPr="0025250D">
        <w:rPr>
          <w:rtl/>
        </w:rPr>
        <w:t xml:space="preserve"> آ</w:t>
      </w:r>
      <w:r w:rsidRPr="0025250D">
        <w:rPr>
          <w:rFonts w:hint="cs"/>
          <w:rtl/>
        </w:rPr>
        <w:t>ی</w:t>
      </w:r>
      <w:r w:rsidRPr="0025250D">
        <w:rPr>
          <w:rFonts w:hint="eastAsia"/>
          <w:rtl/>
        </w:rPr>
        <w:t>نده،</w:t>
      </w:r>
      <w:r w:rsidRPr="0025250D">
        <w:rPr>
          <w:rtl/>
        </w:rPr>
        <w:t xml:space="preserve"> فرد پولاک</w:t>
      </w:r>
      <w:r w:rsidRPr="0025250D">
        <w:rPr>
          <w:vertAlign w:val="superscript"/>
          <w:rtl/>
        </w:rPr>
        <w:footnoteReference w:id="3335"/>
      </w:r>
      <w:r w:rsidRPr="0025250D">
        <w:rPr>
          <w:rtl/>
        </w:rPr>
        <w:t>، 1973.</w:t>
      </w:r>
    </w:p>
    <w:p w14:paraId="167BB48F" w14:textId="77777777" w:rsidR="005B4181" w:rsidRPr="0025250D" w:rsidRDefault="005B4181" w:rsidP="00492C47">
      <w:pPr>
        <w:numPr>
          <w:ilvl w:val="0"/>
          <w:numId w:val="77"/>
        </w:numPr>
        <w:rPr>
          <w:rtl/>
        </w:rPr>
      </w:pPr>
      <w:r w:rsidRPr="0025250D">
        <w:rPr>
          <w:rtl/>
        </w:rPr>
        <w:t>متفکر مدل: چه با</w:t>
      </w:r>
      <w:r w:rsidRPr="0025250D">
        <w:rPr>
          <w:rFonts w:hint="cs"/>
          <w:rtl/>
        </w:rPr>
        <w:t>ی</w:t>
      </w:r>
      <w:r w:rsidRPr="0025250D">
        <w:rPr>
          <w:rFonts w:hint="eastAsia"/>
          <w:rtl/>
        </w:rPr>
        <w:t>د</w:t>
      </w:r>
      <w:r w:rsidRPr="0025250D">
        <w:rPr>
          <w:rtl/>
        </w:rPr>
        <w:t xml:space="preserve"> بدان</w:t>
      </w:r>
      <w:r w:rsidRPr="0025250D">
        <w:rPr>
          <w:rFonts w:hint="cs"/>
          <w:rtl/>
        </w:rPr>
        <w:t>ید</w:t>
      </w:r>
      <w:r w:rsidRPr="0025250D">
        <w:rPr>
          <w:rtl/>
        </w:rPr>
        <w:t xml:space="preserve"> تا داده‌ها برا</w:t>
      </w:r>
      <w:r w:rsidRPr="0025250D">
        <w:rPr>
          <w:rFonts w:hint="cs"/>
          <w:rtl/>
        </w:rPr>
        <w:t>ی</w:t>
      </w:r>
      <w:r w:rsidRPr="0025250D">
        <w:rPr>
          <w:rtl/>
        </w:rPr>
        <w:t xml:space="preserve"> شما کار کنند، اسکات پ</w:t>
      </w:r>
      <w:r w:rsidRPr="0025250D">
        <w:rPr>
          <w:rFonts w:hint="cs"/>
          <w:rtl/>
        </w:rPr>
        <w:t>ی</w:t>
      </w:r>
      <w:r w:rsidRPr="0025250D">
        <w:rPr>
          <w:rFonts w:hint="eastAsia"/>
          <w:rtl/>
        </w:rPr>
        <w:t>ج</w:t>
      </w:r>
      <w:r w:rsidRPr="0025250D">
        <w:rPr>
          <w:vertAlign w:val="superscript"/>
          <w:rtl/>
        </w:rPr>
        <w:footnoteReference w:id="3336"/>
      </w:r>
      <w:r w:rsidRPr="0025250D">
        <w:rPr>
          <w:rFonts w:hint="eastAsia"/>
          <w:rtl/>
        </w:rPr>
        <w:t>،</w:t>
      </w:r>
      <w:r w:rsidRPr="0025250D">
        <w:rPr>
          <w:rtl/>
        </w:rPr>
        <w:t xml:space="preserve"> 2018</w:t>
      </w:r>
    </w:p>
    <w:p w14:paraId="22CA96CF" w14:textId="77777777" w:rsidR="005B4181" w:rsidRPr="0025250D" w:rsidRDefault="005B4181" w:rsidP="00492C47">
      <w:pPr>
        <w:numPr>
          <w:ilvl w:val="0"/>
          <w:numId w:val="77"/>
        </w:numPr>
        <w:rPr>
          <w:rtl/>
        </w:rPr>
      </w:pPr>
      <w:r w:rsidRPr="0025250D">
        <w:rPr>
          <w:rtl/>
        </w:rPr>
        <w:t>قدرت بد: چگونه تأث</w:t>
      </w:r>
      <w:r w:rsidRPr="0025250D">
        <w:rPr>
          <w:rFonts w:hint="cs"/>
          <w:rtl/>
        </w:rPr>
        <w:t>ی</w:t>
      </w:r>
      <w:r w:rsidRPr="0025250D">
        <w:rPr>
          <w:rFonts w:hint="eastAsia"/>
          <w:rtl/>
        </w:rPr>
        <w:t>ر</w:t>
      </w:r>
      <w:r w:rsidRPr="0025250D">
        <w:rPr>
          <w:rtl/>
        </w:rPr>
        <w:t xml:space="preserve"> منف</w:t>
      </w:r>
      <w:r w:rsidRPr="0025250D">
        <w:rPr>
          <w:rFonts w:hint="cs"/>
          <w:rtl/>
        </w:rPr>
        <w:t>ی</w:t>
      </w:r>
      <w:r w:rsidRPr="0025250D">
        <w:rPr>
          <w:rtl/>
        </w:rPr>
        <w:t xml:space="preserve"> بر ما حکومت می‌کند، ت</w:t>
      </w:r>
      <w:r w:rsidRPr="0025250D">
        <w:rPr>
          <w:rFonts w:hint="cs"/>
          <w:rtl/>
        </w:rPr>
        <w:t>ی</w:t>
      </w:r>
      <w:r w:rsidRPr="0025250D">
        <w:rPr>
          <w:rFonts w:hint="eastAsia"/>
          <w:rtl/>
        </w:rPr>
        <w:t>رن</w:t>
      </w:r>
      <w:r w:rsidRPr="0025250D">
        <w:rPr>
          <w:rFonts w:hint="cs"/>
          <w:rtl/>
        </w:rPr>
        <w:t>ی</w:t>
      </w:r>
      <w:r w:rsidRPr="0025250D">
        <w:rPr>
          <w:rtl/>
        </w:rPr>
        <w:t xml:space="preserve"> و باوما</w:t>
      </w:r>
      <w:r w:rsidRPr="0025250D">
        <w:rPr>
          <w:rFonts w:hint="cs"/>
          <w:rtl/>
        </w:rPr>
        <w:t>ی</w:t>
      </w:r>
      <w:r w:rsidRPr="0025250D">
        <w:rPr>
          <w:rFonts w:hint="eastAsia"/>
          <w:rtl/>
        </w:rPr>
        <w:t>ستر</w:t>
      </w:r>
      <w:r w:rsidRPr="0025250D">
        <w:rPr>
          <w:vertAlign w:val="superscript"/>
          <w:rtl/>
        </w:rPr>
        <w:footnoteReference w:id="3337"/>
      </w:r>
      <w:r w:rsidRPr="0025250D">
        <w:rPr>
          <w:rFonts w:hint="eastAsia"/>
          <w:rtl/>
        </w:rPr>
        <w:t>،</w:t>
      </w:r>
      <w:r w:rsidRPr="0025250D">
        <w:rPr>
          <w:rtl/>
        </w:rPr>
        <w:t xml:space="preserve"> 2019.</w:t>
      </w:r>
    </w:p>
    <w:p w14:paraId="51085A44" w14:textId="29811C5F" w:rsidR="005B4181" w:rsidRPr="0025250D" w:rsidRDefault="005B4181" w:rsidP="00492C47">
      <w:pPr>
        <w:numPr>
          <w:ilvl w:val="0"/>
          <w:numId w:val="77"/>
        </w:numPr>
        <w:rPr>
          <w:rtl/>
        </w:rPr>
      </w:pPr>
      <w:r w:rsidRPr="0025250D">
        <w:rPr>
          <w:rtl/>
        </w:rPr>
        <w:t>س</w:t>
      </w:r>
      <w:r w:rsidRPr="0025250D">
        <w:rPr>
          <w:rFonts w:hint="cs"/>
          <w:rtl/>
        </w:rPr>
        <w:t>ی</w:t>
      </w:r>
      <w:r w:rsidRPr="0025250D">
        <w:rPr>
          <w:rFonts w:hint="eastAsia"/>
          <w:rtl/>
        </w:rPr>
        <w:t>گنال</w:t>
      </w:r>
      <w:r w:rsidRPr="0025250D">
        <w:rPr>
          <w:rtl/>
        </w:rPr>
        <w:t xml:space="preserve"> و نو</w:t>
      </w:r>
      <w:r w:rsidRPr="0025250D">
        <w:rPr>
          <w:rFonts w:hint="cs"/>
          <w:rtl/>
        </w:rPr>
        <w:t>ی</w:t>
      </w:r>
      <w:r w:rsidRPr="0025250D">
        <w:rPr>
          <w:rFonts w:hint="eastAsia"/>
          <w:rtl/>
        </w:rPr>
        <w:t>ز</w:t>
      </w:r>
      <w:r w:rsidRPr="0025250D">
        <w:rPr>
          <w:rtl/>
        </w:rPr>
        <w:t>: چرا اکثر پ</w:t>
      </w:r>
      <w:r w:rsidRPr="0025250D">
        <w:rPr>
          <w:rFonts w:hint="cs"/>
          <w:rtl/>
        </w:rPr>
        <w:t>ی</w:t>
      </w:r>
      <w:r w:rsidRPr="0025250D">
        <w:rPr>
          <w:rFonts w:hint="eastAsia"/>
          <w:rtl/>
        </w:rPr>
        <w:t>ش‌ب</w:t>
      </w:r>
      <w:r w:rsidRPr="0025250D">
        <w:rPr>
          <w:rFonts w:hint="cs"/>
          <w:rtl/>
        </w:rPr>
        <w:t>ی</w:t>
      </w:r>
      <w:r w:rsidRPr="0025250D">
        <w:rPr>
          <w:rFonts w:hint="eastAsia"/>
          <w:rtl/>
        </w:rPr>
        <w:t>ن</w:t>
      </w:r>
      <w:r w:rsidRPr="0025250D">
        <w:rPr>
          <w:rFonts w:hint="cs"/>
          <w:rtl/>
        </w:rPr>
        <w:t>ی‌</w:t>
      </w:r>
      <w:r w:rsidRPr="0025250D">
        <w:rPr>
          <w:rFonts w:hint="eastAsia"/>
          <w:rtl/>
        </w:rPr>
        <w:t>ها</w:t>
      </w:r>
      <w:r w:rsidRPr="0025250D">
        <w:rPr>
          <w:rtl/>
        </w:rPr>
        <w:t xml:space="preserve"> شکست م</w:t>
      </w:r>
      <w:r w:rsidRPr="0025250D">
        <w:rPr>
          <w:rFonts w:hint="cs"/>
          <w:rtl/>
        </w:rPr>
        <w:t>ی‌</w:t>
      </w:r>
      <w:r w:rsidRPr="0025250D">
        <w:rPr>
          <w:rFonts w:hint="eastAsia"/>
          <w:rtl/>
        </w:rPr>
        <w:t>خورند،</w:t>
      </w:r>
      <w:r w:rsidRPr="0025250D">
        <w:rPr>
          <w:rtl/>
        </w:rPr>
        <w:t xml:space="preserve"> اما برخ</w:t>
      </w:r>
      <w:r w:rsidRPr="0025250D">
        <w:rPr>
          <w:rFonts w:hint="cs"/>
          <w:rtl/>
        </w:rPr>
        <w:t>ی</w:t>
      </w:r>
      <w:r w:rsidR="00726CB4" w:rsidRPr="0025250D">
        <w:rPr>
          <w:rFonts w:hint="cs"/>
          <w:rtl/>
        </w:rPr>
        <w:t xml:space="preserve"> موفق می شوند، </w:t>
      </w:r>
      <w:r w:rsidRPr="0025250D">
        <w:rPr>
          <w:rtl/>
        </w:rPr>
        <w:t xml:space="preserve"> </w:t>
      </w:r>
      <w:r w:rsidR="00491E04" w:rsidRPr="0025250D">
        <w:rPr>
          <w:rFonts w:hint="cs"/>
          <w:rtl/>
        </w:rPr>
        <w:t>مو</w:t>
      </w:r>
      <w:r w:rsidRPr="0025250D">
        <w:rPr>
          <w:rtl/>
        </w:rPr>
        <w:t xml:space="preserve"> ن</w:t>
      </w:r>
      <w:r w:rsidRPr="0025250D">
        <w:rPr>
          <w:rFonts w:hint="cs"/>
          <w:rtl/>
        </w:rPr>
        <w:t>ی</w:t>
      </w:r>
      <w:r w:rsidRPr="0025250D">
        <w:rPr>
          <w:rFonts w:hint="eastAsia"/>
          <w:rtl/>
        </w:rPr>
        <w:t>ت</w:t>
      </w:r>
      <w:r w:rsidRPr="0025250D">
        <w:rPr>
          <w:rtl/>
        </w:rPr>
        <w:t xml:space="preserve"> س</w:t>
      </w:r>
      <w:r w:rsidRPr="0025250D">
        <w:rPr>
          <w:rFonts w:hint="cs"/>
          <w:rtl/>
        </w:rPr>
        <w:t>ی</w:t>
      </w:r>
      <w:r w:rsidRPr="0025250D">
        <w:rPr>
          <w:rFonts w:hint="eastAsia"/>
          <w:rtl/>
        </w:rPr>
        <w:t>لور</w:t>
      </w:r>
      <w:r w:rsidRPr="0025250D">
        <w:rPr>
          <w:vertAlign w:val="superscript"/>
          <w:rtl/>
        </w:rPr>
        <w:footnoteReference w:id="3338"/>
      </w:r>
      <w:r w:rsidRPr="0025250D">
        <w:rPr>
          <w:rFonts w:hint="eastAsia"/>
          <w:rtl/>
        </w:rPr>
        <w:t>،</w:t>
      </w:r>
      <w:r w:rsidRPr="0025250D">
        <w:rPr>
          <w:rtl/>
        </w:rPr>
        <w:t xml:space="preserve"> 2012</w:t>
      </w:r>
    </w:p>
    <w:p w14:paraId="487BBF17" w14:textId="02DD7B2E" w:rsidR="005B4181" w:rsidRPr="0025250D" w:rsidRDefault="005B4181" w:rsidP="00492C47">
      <w:pPr>
        <w:numPr>
          <w:ilvl w:val="0"/>
          <w:numId w:val="77"/>
        </w:numPr>
        <w:rPr>
          <w:rtl/>
        </w:rPr>
      </w:pPr>
      <w:r w:rsidRPr="0025250D">
        <w:rPr>
          <w:rtl/>
        </w:rPr>
        <w:t xml:space="preserve">استفاده از روندها و </w:t>
      </w:r>
      <w:r w:rsidR="007A53FD" w:rsidRPr="0025250D">
        <w:rPr>
          <w:rtl/>
        </w:rPr>
        <w:t>فرانامه</w:t>
      </w:r>
      <w:r w:rsidRPr="0025250D">
        <w:rPr>
          <w:rFonts w:hint="eastAsia"/>
          <w:rtl/>
        </w:rPr>
        <w:t>ها</w:t>
      </w:r>
      <w:r w:rsidRPr="0025250D">
        <w:rPr>
          <w:rtl/>
        </w:rPr>
        <w:t xml:space="preserve"> به عنوان ابزار</w:t>
      </w:r>
      <w:r w:rsidRPr="0025250D">
        <w:rPr>
          <w:rFonts w:hint="cs"/>
          <w:rtl/>
        </w:rPr>
        <w:t>ی</w:t>
      </w:r>
      <w:r w:rsidRPr="0025250D">
        <w:rPr>
          <w:rtl/>
        </w:rPr>
        <w:t xml:space="preserve"> برا</w:t>
      </w:r>
      <w:r w:rsidRPr="0025250D">
        <w:rPr>
          <w:rFonts w:hint="cs"/>
          <w:rtl/>
        </w:rPr>
        <w:t>ی</w:t>
      </w:r>
      <w:r w:rsidRPr="0025250D">
        <w:rPr>
          <w:rtl/>
        </w:rPr>
        <w:t xml:space="preserve"> توسعه </w:t>
      </w:r>
      <w:r w:rsidR="00701E03" w:rsidRPr="0025250D">
        <w:rPr>
          <w:rtl/>
        </w:rPr>
        <w:t>راهبرد</w:t>
      </w:r>
      <w:r w:rsidRPr="0025250D">
        <w:rPr>
          <w:rFonts w:hint="eastAsia"/>
          <w:rtl/>
        </w:rPr>
        <w:t>،</w:t>
      </w:r>
      <w:r w:rsidRPr="0025250D">
        <w:rPr>
          <w:rtl/>
        </w:rPr>
        <w:t xml:space="preserve"> اولف پ</w:t>
      </w:r>
      <w:r w:rsidRPr="0025250D">
        <w:rPr>
          <w:rFonts w:hint="cs"/>
          <w:rtl/>
        </w:rPr>
        <w:t>ی</w:t>
      </w:r>
      <w:r w:rsidRPr="0025250D">
        <w:rPr>
          <w:rFonts w:hint="eastAsia"/>
          <w:rtl/>
        </w:rPr>
        <w:t>لکان</w:t>
      </w:r>
      <w:r w:rsidRPr="0025250D">
        <w:rPr>
          <w:vertAlign w:val="superscript"/>
          <w:rtl/>
        </w:rPr>
        <w:footnoteReference w:id="3339"/>
      </w:r>
      <w:r w:rsidRPr="0025250D">
        <w:rPr>
          <w:rFonts w:hint="eastAsia"/>
          <w:rtl/>
        </w:rPr>
        <w:t>،</w:t>
      </w:r>
      <w:r w:rsidRPr="0025250D">
        <w:rPr>
          <w:rtl/>
        </w:rPr>
        <w:t xml:space="preserve"> 2008</w:t>
      </w:r>
    </w:p>
    <w:p w14:paraId="4E5EADC5" w14:textId="77777777" w:rsidR="005B4181" w:rsidRPr="0025250D" w:rsidRDefault="005B4181" w:rsidP="00492C47">
      <w:pPr>
        <w:numPr>
          <w:ilvl w:val="0"/>
          <w:numId w:val="77"/>
        </w:numPr>
        <w:rPr>
          <w:rtl/>
        </w:rPr>
      </w:pPr>
      <w:r w:rsidRPr="0025250D">
        <w:rPr>
          <w:rtl/>
        </w:rPr>
        <w:t>آنچه من آموخته ام: فکر کردن به آ</w:t>
      </w:r>
      <w:r w:rsidRPr="0025250D">
        <w:rPr>
          <w:rFonts w:hint="cs"/>
          <w:rtl/>
        </w:rPr>
        <w:t>ی</w:t>
      </w:r>
      <w:r w:rsidRPr="0025250D">
        <w:rPr>
          <w:rFonts w:hint="eastAsia"/>
          <w:rtl/>
        </w:rPr>
        <w:t>نده</w:t>
      </w:r>
      <w:r w:rsidRPr="0025250D">
        <w:rPr>
          <w:rtl/>
        </w:rPr>
        <w:t xml:space="preserve"> در آن زمان و اکنون، مار</w:t>
      </w:r>
      <w:r w:rsidRPr="0025250D">
        <w:rPr>
          <w:rFonts w:hint="cs"/>
          <w:rtl/>
        </w:rPr>
        <w:t>ی</w:t>
      </w:r>
      <w:r w:rsidRPr="0025250D">
        <w:rPr>
          <w:rFonts w:hint="eastAsia"/>
          <w:rtl/>
        </w:rPr>
        <w:t>ن</w:t>
      </w:r>
      <w:r w:rsidRPr="0025250D">
        <w:rPr>
          <w:rtl/>
        </w:rPr>
        <w:t xml:space="preserve"> و جن</w:t>
      </w:r>
      <w:r w:rsidRPr="0025250D">
        <w:rPr>
          <w:rFonts w:hint="cs"/>
          <w:rtl/>
        </w:rPr>
        <w:t>ی</w:t>
      </w:r>
      <w:r w:rsidRPr="0025250D">
        <w:rPr>
          <w:rFonts w:hint="eastAsia"/>
          <w:rtl/>
        </w:rPr>
        <w:t>نگز</w:t>
      </w:r>
      <w:r w:rsidRPr="0025250D">
        <w:rPr>
          <w:vertAlign w:val="superscript"/>
          <w:rtl/>
        </w:rPr>
        <w:footnoteReference w:id="3340"/>
      </w:r>
      <w:r w:rsidRPr="0025250D">
        <w:rPr>
          <w:rFonts w:hint="eastAsia"/>
          <w:rtl/>
        </w:rPr>
        <w:t>،</w:t>
      </w:r>
      <w:r w:rsidRPr="0025250D">
        <w:rPr>
          <w:rtl/>
        </w:rPr>
        <w:t xml:space="preserve"> 1987</w:t>
      </w:r>
    </w:p>
    <w:p w14:paraId="213D454C" w14:textId="23BC9E0E" w:rsidR="005B4181" w:rsidRPr="0025250D" w:rsidRDefault="005B4181" w:rsidP="00492C47">
      <w:pPr>
        <w:numPr>
          <w:ilvl w:val="0"/>
          <w:numId w:val="77"/>
        </w:numPr>
      </w:pPr>
      <w:r w:rsidRPr="0025250D">
        <w:rPr>
          <w:rtl/>
        </w:rPr>
        <w:t xml:space="preserve">آنچه </w:t>
      </w:r>
      <w:r w:rsidR="00D92F6E" w:rsidRPr="0025250D">
        <w:rPr>
          <w:rtl/>
        </w:rPr>
        <w:t>آینده‌پژوه</w:t>
      </w:r>
      <w:r w:rsidRPr="0025250D">
        <w:rPr>
          <w:rtl/>
        </w:rPr>
        <w:t>ان باور دارند، کوتس و جارت</w:t>
      </w:r>
      <w:r w:rsidRPr="0025250D">
        <w:rPr>
          <w:vertAlign w:val="superscript"/>
          <w:rtl/>
        </w:rPr>
        <w:footnoteReference w:id="3341"/>
      </w:r>
      <w:r w:rsidRPr="0025250D">
        <w:rPr>
          <w:rtl/>
        </w:rPr>
        <w:t>، 1989.</w:t>
      </w:r>
    </w:p>
    <w:p w14:paraId="367160EB" w14:textId="77777777" w:rsidR="005B4181" w:rsidRPr="0025250D" w:rsidRDefault="005B4181" w:rsidP="00537CC8">
      <w:pPr>
        <w:rPr>
          <w:rtl/>
        </w:rPr>
      </w:pPr>
    </w:p>
    <w:p w14:paraId="43633329" w14:textId="4EC202A4" w:rsidR="00537CC8" w:rsidRPr="0025250D" w:rsidRDefault="00537CC8" w:rsidP="005B4181">
      <w:pPr>
        <w:pStyle w:val="Heading3"/>
        <w:rPr>
          <w:rtl/>
        </w:rPr>
      </w:pPr>
      <w:r w:rsidRPr="0025250D">
        <w:rPr>
          <w:rtl/>
        </w:rPr>
        <w:t>کتاب‌های آینده‌</w:t>
      </w:r>
      <w:r w:rsidR="00E26538" w:rsidRPr="0025250D">
        <w:rPr>
          <w:rtl/>
        </w:rPr>
        <w:t>نگار</w:t>
      </w:r>
      <w:r w:rsidRPr="0025250D">
        <w:rPr>
          <w:rtl/>
        </w:rPr>
        <w:t xml:space="preserve">ی </w:t>
      </w:r>
      <w:r w:rsidR="001A3F0A" w:rsidRPr="0025250D">
        <w:rPr>
          <w:rtl/>
        </w:rPr>
        <w:t>فردی</w:t>
      </w:r>
      <w:r w:rsidRPr="0025250D">
        <w:rPr>
          <w:rtl/>
        </w:rPr>
        <w:t xml:space="preserve"> و خانوادگ</w:t>
      </w:r>
      <w:r w:rsidRPr="0025250D">
        <w:rPr>
          <w:rFonts w:hint="cs"/>
          <w:rtl/>
        </w:rPr>
        <w:t>ی</w:t>
      </w:r>
      <w:r w:rsidRPr="0025250D">
        <w:rPr>
          <w:rtl/>
        </w:rPr>
        <w:t xml:space="preserve"> - فهرست آغاز</w:t>
      </w:r>
      <w:r w:rsidRPr="0025250D">
        <w:rPr>
          <w:rFonts w:hint="cs"/>
          <w:rtl/>
        </w:rPr>
        <w:t>ی</w:t>
      </w:r>
      <w:r w:rsidRPr="0025250D">
        <w:rPr>
          <w:rFonts w:hint="eastAsia"/>
          <w:rtl/>
        </w:rPr>
        <w:t>ن</w:t>
      </w:r>
    </w:p>
    <w:p w14:paraId="5BE67434" w14:textId="3D1B0E6F" w:rsidR="005B4181" w:rsidRPr="0025250D" w:rsidRDefault="005B4181" w:rsidP="00537CC8">
      <w:pPr>
        <w:rPr>
          <w:rtl/>
        </w:rPr>
      </w:pPr>
    </w:p>
    <w:p w14:paraId="047020F9" w14:textId="1837C873" w:rsidR="0009441D" w:rsidRPr="0025250D" w:rsidRDefault="0009441D" w:rsidP="00492C47">
      <w:pPr>
        <w:numPr>
          <w:ilvl w:val="0"/>
          <w:numId w:val="78"/>
        </w:numPr>
      </w:pPr>
      <w:r w:rsidRPr="0025250D">
        <w:rPr>
          <w:rFonts w:hint="cs"/>
          <w:rtl/>
        </w:rPr>
        <w:t>هیولای</w:t>
      </w:r>
      <w:r w:rsidRPr="0025250D">
        <w:rPr>
          <w:rtl/>
        </w:rPr>
        <w:t xml:space="preserve"> درون</w:t>
      </w:r>
      <w:r w:rsidRPr="0025250D">
        <w:rPr>
          <w:rFonts w:hint="cs"/>
          <w:rtl/>
        </w:rPr>
        <w:t>ت</w:t>
      </w:r>
      <w:r w:rsidRPr="0025250D">
        <w:rPr>
          <w:rtl/>
        </w:rPr>
        <w:t xml:space="preserve"> را ب</w:t>
      </w:r>
      <w:r w:rsidRPr="0025250D">
        <w:rPr>
          <w:rFonts w:hint="cs"/>
          <w:rtl/>
        </w:rPr>
        <w:t>ی</w:t>
      </w:r>
      <w:r w:rsidRPr="0025250D">
        <w:rPr>
          <w:rFonts w:hint="eastAsia"/>
          <w:rtl/>
        </w:rPr>
        <w:t>دار</w:t>
      </w:r>
      <w:r w:rsidRPr="0025250D">
        <w:rPr>
          <w:rtl/>
        </w:rPr>
        <w:t xml:space="preserve"> کن، تون</w:t>
      </w:r>
      <w:r w:rsidRPr="0025250D">
        <w:rPr>
          <w:rFonts w:hint="cs"/>
          <w:rtl/>
        </w:rPr>
        <w:t>ی</w:t>
      </w:r>
      <w:r w:rsidRPr="0025250D">
        <w:rPr>
          <w:rtl/>
        </w:rPr>
        <w:t xml:space="preserve"> راب</w:t>
      </w:r>
      <w:r w:rsidRPr="0025250D">
        <w:rPr>
          <w:rFonts w:hint="cs"/>
          <w:rtl/>
        </w:rPr>
        <w:t>ی</w:t>
      </w:r>
      <w:r w:rsidRPr="0025250D">
        <w:rPr>
          <w:rFonts w:hint="eastAsia"/>
          <w:rtl/>
        </w:rPr>
        <w:t>نز</w:t>
      </w:r>
      <w:r w:rsidRPr="0025250D">
        <w:rPr>
          <w:vertAlign w:val="superscript"/>
          <w:rtl/>
        </w:rPr>
        <w:footnoteReference w:id="3342"/>
      </w:r>
      <w:r w:rsidRPr="0025250D">
        <w:rPr>
          <w:rFonts w:hint="eastAsia"/>
          <w:rtl/>
        </w:rPr>
        <w:t>،</w:t>
      </w:r>
      <w:r w:rsidRPr="0025250D">
        <w:rPr>
          <w:rtl/>
        </w:rPr>
        <w:t xml:space="preserve"> 1991/2013. </w:t>
      </w:r>
      <w:r w:rsidRPr="0025250D">
        <w:rPr>
          <w:rFonts w:hint="cs"/>
          <w:rtl/>
        </w:rPr>
        <w:t>ی</w:t>
      </w:r>
      <w:r w:rsidRPr="0025250D">
        <w:rPr>
          <w:rFonts w:hint="eastAsia"/>
          <w:rtl/>
        </w:rPr>
        <w:t>ک</w:t>
      </w:r>
      <w:r w:rsidRPr="0025250D">
        <w:rPr>
          <w:rFonts w:hint="cs"/>
          <w:rtl/>
        </w:rPr>
        <w:t>ی</w:t>
      </w:r>
      <w:r w:rsidRPr="0025250D">
        <w:rPr>
          <w:rtl/>
        </w:rPr>
        <w:t xml:space="preserve"> از بهتر</w:t>
      </w:r>
      <w:r w:rsidRPr="0025250D">
        <w:rPr>
          <w:rFonts w:hint="cs"/>
          <w:rtl/>
        </w:rPr>
        <w:t>ی</w:t>
      </w:r>
      <w:r w:rsidRPr="0025250D">
        <w:rPr>
          <w:rFonts w:hint="eastAsia"/>
          <w:rtl/>
        </w:rPr>
        <w:t>ن</w:t>
      </w:r>
      <w:r w:rsidRPr="0025250D">
        <w:rPr>
          <w:rtl/>
        </w:rPr>
        <w:t xml:space="preserve"> کتاب‌ها</w:t>
      </w:r>
      <w:r w:rsidRPr="0025250D">
        <w:rPr>
          <w:rFonts w:hint="cs"/>
          <w:rtl/>
        </w:rPr>
        <w:t>یی</w:t>
      </w:r>
      <w:r w:rsidRPr="0025250D">
        <w:rPr>
          <w:rtl/>
        </w:rPr>
        <w:t xml:space="preserve"> که م</w:t>
      </w:r>
      <w:r w:rsidRPr="0025250D">
        <w:rPr>
          <w:rFonts w:hint="cs"/>
          <w:rtl/>
        </w:rPr>
        <w:t>ی‌</w:t>
      </w:r>
      <w:r w:rsidRPr="0025250D">
        <w:rPr>
          <w:rFonts w:hint="eastAsia"/>
          <w:rtl/>
        </w:rPr>
        <w:t>شناس</w:t>
      </w:r>
      <w:r w:rsidRPr="0025250D">
        <w:rPr>
          <w:rFonts w:hint="cs"/>
          <w:rtl/>
        </w:rPr>
        <w:t>ی</w:t>
      </w:r>
      <w:r w:rsidRPr="0025250D">
        <w:rPr>
          <w:rFonts w:hint="eastAsia"/>
          <w:rtl/>
        </w:rPr>
        <w:t>م</w:t>
      </w:r>
      <w:r w:rsidRPr="0025250D">
        <w:rPr>
          <w:rtl/>
        </w:rPr>
        <w:t xml:space="preserve"> که شما را متقاعد م</w:t>
      </w:r>
      <w:r w:rsidRPr="0025250D">
        <w:rPr>
          <w:rFonts w:hint="cs"/>
          <w:rtl/>
        </w:rPr>
        <w:t>ی‌</w:t>
      </w:r>
      <w:r w:rsidRPr="0025250D">
        <w:rPr>
          <w:rFonts w:hint="eastAsia"/>
          <w:rtl/>
        </w:rPr>
        <w:t>کند</w:t>
      </w:r>
      <w:r w:rsidRPr="0025250D">
        <w:rPr>
          <w:rFonts w:hint="cs"/>
          <w:rtl/>
        </w:rPr>
        <w:t xml:space="preserve"> که</w:t>
      </w:r>
      <w:r w:rsidRPr="0025250D">
        <w:rPr>
          <w:rtl/>
        </w:rPr>
        <w:t xml:space="preserve"> استعداد، انتخاب‌ها</w:t>
      </w:r>
      <w:r w:rsidRPr="0025250D">
        <w:rPr>
          <w:rFonts w:hint="cs"/>
          <w:rtl/>
        </w:rPr>
        <w:t>ی</w:t>
      </w:r>
      <w:r w:rsidRPr="0025250D">
        <w:rPr>
          <w:rtl/>
        </w:rPr>
        <w:t xml:space="preserve"> عاطف</w:t>
      </w:r>
      <w:r w:rsidRPr="0025250D">
        <w:rPr>
          <w:rFonts w:hint="cs"/>
          <w:rtl/>
        </w:rPr>
        <w:t>ی</w:t>
      </w:r>
      <w:r w:rsidRPr="0025250D">
        <w:rPr>
          <w:rFonts w:hint="eastAsia"/>
          <w:rtl/>
        </w:rPr>
        <w:t>،</w:t>
      </w:r>
      <w:r w:rsidRPr="0025250D">
        <w:rPr>
          <w:rtl/>
        </w:rPr>
        <w:t xml:space="preserve"> عادت‌ها و طرز فکر </w:t>
      </w:r>
      <w:r w:rsidR="001A3F0A" w:rsidRPr="0025250D">
        <w:rPr>
          <w:rtl/>
        </w:rPr>
        <w:t>فردی</w:t>
      </w:r>
      <w:r w:rsidRPr="0025250D">
        <w:rPr>
          <w:rFonts w:hint="cs"/>
          <w:rtl/>
        </w:rPr>
        <w:t>‌</w:t>
      </w:r>
      <w:r w:rsidRPr="0025250D">
        <w:rPr>
          <w:rFonts w:hint="eastAsia"/>
          <w:rtl/>
        </w:rPr>
        <w:t>تان</w:t>
      </w:r>
      <w:r w:rsidRPr="0025250D">
        <w:rPr>
          <w:rtl/>
        </w:rPr>
        <w:t xml:space="preserve"> بزرگتر</w:t>
      </w:r>
      <w:r w:rsidRPr="0025250D">
        <w:rPr>
          <w:rFonts w:hint="cs"/>
          <w:rtl/>
        </w:rPr>
        <w:t>ی</w:t>
      </w:r>
      <w:r w:rsidRPr="0025250D">
        <w:rPr>
          <w:rFonts w:hint="eastAsia"/>
          <w:rtl/>
        </w:rPr>
        <w:t>ن</w:t>
      </w:r>
      <w:r w:rsidRPr="0025250D">
        <w:rPr>
          <w:rtl/>
        </w:rPr>
        <w:t xml:space="preserve"> متحدان شما برا</w:t>
      </w:r>
      <w:r w:rsidRPr="0025250D">
        <w:rPr>
          <w:rFonts w:hint="cs"/>
          <w:rtl/>
        </w:rPr>
        <w:t>ی</w:t>
      </w:r>
      <w:r w:rsidRPr="0025250D">
        <w:rPr>
          <w:rtl/>
        </w:rPr>
        <w:t xml:space="preserve"> موفق</w:t>
      </w:r>
      <w:r w:rsidRPr="0025250D">
        <w:rPr>
          <w:rFonts w:hint="cs"/>
          <w:rtl/>
        </w:rPr>
        <w:t>ی</w:t>
      </w:r>
      <w:r w:rsidRPr="0025250D">
        <w:rPr>
          <w:rFonts w:hint="eastAsia"/>
          <w:rtl/>
        </w:rPr>
        <w:t>ت</w:t>
      </w:r>
      <w:r w:rsidRPr="0025250D">
        <w:rPr>
          <w:rtl/>
        </w:rPr>
        <w:t xml:space="preserve"> در زندگ</w:t>
      </w:r>
      <w:r w:rsidRPr="0025250D">
        <w:rPr>
          <w:rFonts w:hint="cs"/>
          <w:rtl/>
        </w:rPr>
        <w:t>ی</w:t>
      </w:r>
      <w:r w:rsidRPr="0025250D">
        <w:rPr>
          <w:rtl/>
        </w:rPr>
        <w:t xml:space="preserve"> هستند.</w:t>
      </w:r>
      <w:r w:rsidRPr="0025250D">
        <w:rPr>
          <w:rFonts w:hint="cs"/>
          <w:rtl/>
        </w:rPr>
        <w:t xml:space="preserve"> </w:t>
      </w:r>
      <w:r w:rsidRPr="0025250D">
        <w:rPr>
          <w:rtl/>
        </w:rPr>
        <w:t>ما واقعاً م</w:t>
      </w:r>
      <w:r w:rsidRPr="0025250D">
        <w:rPr>
          <w:rFonts w:hint="cs"/>
          <w:rtl/>
        </w:rPr>
        <w:t>ی</w:t>
      </w:r>
      <w:r w:rsidRPr="0025250D">
        <w:rPr>
          <w:rtl/>
        </w:rPr>
        <w:t xml:space="preserve"> توان</w:t>
      </w:r>
      <w:r w:rsidRPr="0025250D">
        <w:rPr>
          <w:rFonts w:hint="cs"/>
          <w:rtl/>
        </w:rPr>
        <w:t>ی</w:t>
      </w:r>
      <w:r w:rsidRPr="0025250D">
        <w:rPr>
          <w:rFonts w:hint="eastAsia"/>
          <w:rtl/>
        </w:rPr>
        <w:t>م،</w:t>
      </w:r>
      <w:r w:rsidRPr="0025250D">
        <w:rPr>
          <w:rtl/>
        </w:rPr>
        <w:t xml:space="preserve"> اگر بخواه</w:t>
      </w:r>
      <w:r w:rsidRPr="0025250D">
        <w:rPr>
          <w:rFonts w:hint="cs"/>
          <w:rtl/>
        </w:rPr>
        <w:t>ی</w:t>
      </w:r>
      <w:r w:rsidRPr="0025250D">
        <w:rPr>
          <w:rFonts w:hint="eastAsia"/>
          <w:rtl/>
        </w:rPr>
        <w:t>م،</w:t>
      </w:r>
      <w:r w:rsidRPr="0025250D">
        <w:rPr>
          <w:rtl/>
        </w:rPr>
        <w:t xml:space="preserve"> بدون توجه به شرا</w:t>
      </w:r>
      <w:r w:rsidRPr="0025250D">
        <w:rPr>
          <w:rFonts w:hint="cs"/>
          <w:rtl/>
        </w:rPr>
        <w:t>ی</w:t>
      </w:r>
      <w:r w:rsidRPr="0025250D">
        <w:rPr>
          <w:rFonts w:hint="eastAsia"/>
          <w:rtl/>
        </w:rPr>
        <w:t>ط</w:t>
      </w:r>
      <w:r w:rsidRPr="0025250D">
        <w:rPr>
          <w:rtl/>
        </w:rPr>
        <w:t xml:space="preserve"> ف</w:t>
      </w:r>
      <w:r w:rsidRPr="0025250D">
        <w:rPr>
          <w:rFonts w:hint="cs"/>
          <w:rtl/>
        </w:rPr>
        <w:t>ی</w:t>
      </w:r>
      <w:r w:rsidRPr="0025250D">
        <w:rPr>
          <w:rFonts w:hint="eastAsia"/>
          <w:rtl/>
        </w:rPr>
        <w:t>ز</w:t>
      </w:r>
      <w:r w:rsidRPr="0025250D">
        <w:rPr>
          <w:rFonts w:hint="cs"/>
          <w:rtl/>
        </w:rPr>
        <w:t>ی</w:t>
      </w:r>
      <w:r w:rsidRPr="0025250D">
        <w:rPr>
          <w:rFonts w:hint="eastAsia"/>
          <w:rtl/>
        </w:rPr>
        <w:t>ک</w:t>
      </w:r>
      <w:r w:rsidRPr="0025250D">
        <w:rPr>
          <w:rFonts w:hint="cs"/>
          <w:rtl/>
        </w:rPr>
        <w:t>ی</w:t>
      </w:r>
      <w:r w:rsidRPr="0025250D">
        <w:rPr>
          <w:rtl/>
        </w:rPr>
        <w:t xml:space="preserve"> مان</w:t>
      </w:r>
      <w:r w:rsidRPr="0025250D">
        <w:rPr>
          <w:rFonts w:hint="cs"/>
          <w:rtl/>
        </w:rPr>
        <w:t xml:space="preserve">، </w:t>
      </w:r>
      <w:r w:rsidRPr="0025250D">
        <w:rPr>
          <w:rtl/>
        </w:rPr>
        <w:t>زندگ</w:t>
      </w:r>
      <w:r w:rsidRPr="0025250D">
        <w:rPr>
          <w:rFonts w:hint="cs"/>
          <w:rtl/>
        </w:rPr>
        <w:t>ی</w:t>
      </w:r>
      <w:r w:rsidRPr="0025250D">
        <w:rPr>
          <w:rtl/>
        </w:rPr>
        <w:t xml:space="preserve"> شگفت انگ</w:t>
      </w:r>
      <w:r w:rsidRPr="0025250D">
        <w:rPr>
          <w:rFonts w:hint="cs"/>
          <w:rtl/>
        </w:rPr>
        <w:t>ی</w:t>
      </w:r>
      <w:r w:rsidRPr="0025250D">
        <w:rPr>
          <w:rFonts w:hint="eastAsia"/>
          <w:rtl/>
        </w:rPr>
        <w:t>ز</w:t>
      </w:r>
      <w:r w:rsidRPr="0025250D">
        <w:rPr>
          <w:rFonts w:hint="cs"/>
          <w:rtl/>
        </w:rPr>
        <w:t>ی</w:t>
      </w:r>
      <w:r w:rsidRPr="0025250D">
        <w:rPr>
          <w:rtl/>
        </w:rPr>
        <w:t xml:space="preserve"> داشته باش</w:t>
      </w:r>
      <w:r w:rsidRPr="0025250D">
        <w:rPr>
          <w:rFonts w:hint="cs"/>
          <w:rtl/>
        </w:rPr>
        <w:t>ی</w:t>
      </w:r>
      <w:r w:rsidRPr="0025250D">
        <w:rPr>
          <w:rFonts w:hint="eastAsia"/>
          <w:rtl/>
        </w:rPr>
        <w:t>م</w:t>
      </w:r>
      <w:r w:rsidRPr="0025250D">
        <w:rPr>
          <w:rtl/>
        </w:rPr>
        <w:t>. ما با</w:t>
      </w:r>
      <w:r w:rsidRPr="0025250D">
        <w:rPr>
          <w:rFonts w:hint="cs"/>
          <w:rtl/>
        </w:rPr>
        <w:t>ی</w:t>
      </w:r>
      <w:r w:rsidRPr="0025250D">
        <w:rPr>
          <w:rFonts w:hint="eastAsia"/>
          <w:rtl/>
        </w:rPr>
        <w:t>د</w:t>
      </w:r>
      <w:r w:rsidRPr="0025250D">
        <w:rPr>
          <w:rtl/>
        </w:rPr>
        <w:t xml:space="preserve"> انتخاب کن</w:t>
      </w:r>
      <w:r w:rsidRPr="0025250D">
        <w:rPr>
          <w:rFonts w:hint="cs"/>
          <w:rtl/>
        </w:rPr>
        <w:t>ی</w:t>
      </w:r>
      <w:r w:rsidRPr="0025250D">
        <w:rPr>
          <w:rFonts w:hint="eastAsia"/>
          <w:rtl/>
        </w:rPr>
        <w:t>م</w:t>
      </w:r>
      <w:r w:rsidRPr="0025250D">
        <w:rPr>
          <w:rtl/>
        </w:rPr>
        <w:t xml:space="preserve"> که چگونه فکر کن</w:t>
      </w:r>
      <w:r w:rsidRPr="0025250D">
        <w:rPr>
          <w:rFonts w:hint="cs"/>
          <w:rtl/>
        </w:rPr>
        <w:t>ی</w:t>
      </w:r>
      <w:r w:rsidRPr="0025250D">
        <w:rPr>
          <w:rFonts w:hint="eastAsia"/>
          <w:rtl/>
        </w:rPr>
        <w:t>م،</w:t>
      </w:r>
      <w:r w:rsidRPr="0025250D">
        <w:rPr>
          <w:rtl/>
        </w:rPr>
        <w:t xml:space="preserve"> احساس کن</w:t>
      </w:r>
      <w:r w:rsidRPr="0025250D">
        <w:rPr>
          <w:rFonts w:hint="cs"/>
          <w:rtl/>
        </w:rPr>
        <w:t>ی</w:t>
      </w:r>
      <w:r w:rsidRPr="0025250D">
        <w:rPr>
          <w:rFonts w:hint="eastAsia"/>
          <w:rtl/>
        </w:rPr>
        <w:t>م</w:t>
      </w:r>
      <w:r w:rsidRPr="0025250D">
        <w:rPr>
          <w:rtl/>
        </w:rPr>
        <w:t xml:space="preserve"> و عمل کن</w:t>
      </w:r>
      <w:r w:rsidRPr="0025250D">
        <w:rPr>
          <w:rFonts w:hint="cs"/>
          <w:rtl/>
        </w:rPr>
        <w:t>ی</w:t>
      </w:r>
      <w:r w:rsidRPr="0025250D">
        <w:rPr>
          <w:rFonts w:hint="eastAsia"/>
          <w:rtl/>
        </w:rPr>
        <w:t>م</w:t>
      </w:r>
      <w:r w:rsidRPr="0025250D">
        <w:rPr>
          <w:rtl/>
        </w:rPr>
        <w:t>. ه</w:t>
      </w:r>
      <w:r w:rsidRPr="0025250D">
        <w:rPr>
          <w:rFonts w:hint="cs"/>
          <w:rtl/>
        </w:rPr>
        <w:t>ی</w:t>
      </w:r>
      <w:r w:rsidRPr="0025250D">
        <w:rPr>
          <w:rFonts w:hint="eastAsia"/>
          <w:rtl/>
        </w:rPr>
        <w:t>چ</w:t>
      </w:r>
      <w:r w:rsidRPr="0025250D">
        <w:rPr>
          <w:rtl/>
        </w:rPr>
        <w:t xml:space="preserve"> کس د</w:t>
      </w:r>
      <w:r w:rsidRPr="0025250D">
        <w:rPr>
          <w:rFonts w:hint="cs"/>
          <w:rtl/>
        </w:rPr>
        <w:t>ی</w:t>
      </w:r>
      <w:r w:rsidRPr="0025250D">
        <w:rPr>
          <w:rFonts w:hint="eastAsia"/>
          <w:rtl/>
        </w:rPr>
        <w:t>گر</w:t>
      </w:r>
      <w:r w:rsidRPr="0025250D">
        <w:rPr>
          <w:rFonts w:hint="cs"/>
          <w:rtl/>
        </w:rPr>
        <w:t>ی</w:t>
      </w:r>
      <w:r w:rsidRPr="0025250D">
        <w:rPr>
          <w:rtl/>
        </w:rPr>
        <w:t xml:space="preserve"> ا</w:t>
      </w:r>
      <w:r w:rsidRPr="0025250D">
        <w:rPr>
          <w:rFonts w:hint="cs"/>
          <w:rtl/>
        </w:rPr>
        <w:t>ی</w:t>
      </w:r>
      <w:r w:rsidRPr="0025250D">
        <w:rPr>
          <w:rFonts w:hint="eastAsia"/>
          <w:rtl/>
        </w:rPr>
        <w:t>ن</w:t>
      </w:r>
      <w:r w:rsidRPr="0025250D">
        <w:rPr>
          <w:rtl/>
        </w:rPr>
        <w:t xml:space="preserve"> مسئول</w:t>
      </w:r>
      <w:r w:rsidRPr="0025250D">
        <w:rPr>
          <w:rFonts w:hint="cs"/>
          <w:rtl/>
        </w:rPr>
        <w:t>ی</w:t>
      </w:r>
      <w:r w:rsidRPr="0025250D">
        <w:rPr>
          <w:rFonts w:hint="eastAsia"/>
          <w:rtl/>
        </w:rPr>
        <w:t>ت</w:t>
      </w:r>
      <w:r w:rsidRPr="0025250D">
        <w:rPr>
          <w:rtl/>
        </w:rPr>
        <w:t xml:space="preserve"> </w:t>
      </w:r>
      <w:r w:rsidRPr="0025250D">
        <w:rPr>
          <w:rFonts w:hint="cs"/>
          <w:rtl/>
        </w:rPr>
        <w:t>ی</w:t>
      </w:r>
      <w:r w:rsidRPr="0025250D">
        <w:rPr>
          <w:rFonts w:hint="eastAsia"/>
          <w:rtl/>
        </w:rPr>
        <w:t>ا</w:t>
      </w:r>
      <w:r w:rsidRPr="0025250D">
        <w:rPr>
          <w:rtl/>
        </w:rPr>
        <w:t xml:space="preserve"> آزاد</w:t>
      </w:r>
      <w:r w:rsidRPr="0025250D">
        <w:rPr>
          <w:rFonts w:hint="cs"/>
          <w:rtl/>
        </w:rPr>
        <w:t>ی</w:t>
      </w:r>
      <w:r w:rsidRPr="0025250D">
        <w:rPr>
          <w:rtl/>
        </w:rPr>
        <w:t xml:space="preserve"> را ندارد. ما م</w:t>
      </w:r>
      <w:r w:rsidRPr="0025250D">
        <w:rPr>
          <w:rFonts w:hint="cs"/>
          <w:rtl/>
        </w:rPr>
        <w:t>ی</w:t>
      </w:r>
      <w:r w:rsidRPr="0025250D">
        <w:rPr>
          <w:rtl/>
        </w:rPr>
        <w:t xml:space="preserve"> توان</w:t>
      </w:r>
      <w:r w:rsidRPr="0025250D">
        <w:rPr>
          <w:rFonts w:hint="cs"/>
          <w:rtl/>
        </w:rPr>
        <w:t>ی</w:t>
      </w:r>
      <w:r w:rsidRPr="0025250D">
        <w:rPr>
          <w:rFonts w:hint="eastAsia"/>
          <w:rtl/>
        </w:rPr>
        <w:t>م</w:t>
      </w:r>
      <w:r w:rsidRPr="0025250D">
        <w:rPr>
          <w:rtl/>
        </w:rPr>
        <w:t xml:space="preserve"> هر روز بهتر</w:t>
      </w:r>
      <w:r w:rsidRPr="0025250D">
        <w:rPr>
          <w:rFonts w:hint="cs"/>
          <w:rtl/>
        </w:rPr>
        <w:t>ی</w:t>
      </w:r>
      <w:r w:rsidRPr="0025250D">
        <w:rPr>
          <w:rFonts w:hint="eastAsia"/>
          <w:rtl/>
        </w:rPr>
        <w:t>ن</w:t>
      </w:r>
      <w:r w:rsidRPr="0025250D">
        <w:rPr>
          <w:rtl/>
        </w:rPr>
        <w:t xml:space="preserve"> </w:t>
      </w:r>
      <w:r w:rsidRPr="0025250D">
        <w:rPr>
          <w:rFonts w:hint="cs"/>
          <w:rtl/>
        </w:rPr>
        <w:t xml:space="preserve">نسخه از </w:t>
      </w:r>
      <w:r w:rsidRPr="0025250D">
        <w:rPr>
          <w:rtl/>
        </w:rPr>
        <w:t>خود را که در حال حاض</w:t>
      </w:r>
      <w:r w:rsidRPr="0025250D">
        <w:rPr>
          <w:rFonts w:hint="eastAsia"/>
          <w:rtl/>
        </w:rPr>
        <w:t>ر</w:t>
      </w:r>
      <w:r w:rsidRPr="0025250D">
        <w:rPr>
          <w:rtl/>
        </w:rPr>
        <w:t xml:space="preserve"> قادر به </w:t>
      </w:r>
      <w:r w:rsidRPr="0025250D">
        <w:rPr>
          <w:rFonts w:hint="cs"/>
          <w:rtl/>
        </w:rPr>
        <w:t>متجلی ساختن آن</w:t>
      </w:r>
      <w:r w:rsidRPr="0025250D">
        <w:rPr>
          <w:rtl/>
        </w:rPr>
        <w:t xml:space="preserve"> هست</w:t>
      </w:r>
      <w:r w:rsidRPr="0025250D">
        <w:rPr>
          <w:rFonts w:hint="cs"/>
          <w:rtl/>
        </w:rPr>
        <w:t>ی</w:t>
      </w:r>
      <w:r w:rsidRPr="0025250D">
        <w:rPr>
          <w:rFonts w:hint="eastAsia"/>
          <w:rtl/>
        </w:rPr>
        <w:t>م</w:t>
      </w:r>
      <w:r w:rsidRPr="0025250D">
        <w:rPr>
          <w:rtl/>
        </w:rPr>
        <w:t xml:space="preserve"> تصور کن</w:t>
      </w:r>
      <w:r w:rsidRPr="0025250D">
        <w:rPr>
          <w:rFonts w:hint="cs"/>
          <w:rtl/>
        </w:rPr>
        <w:t>ی</w:t>
      </w:r>
      <w:r w:rsidRPr="0025250D">
        <w:rPr>
          <w:rFonts w:hint="eastAsia"/>
          <w:rtl/>
        </w:rPr>
        <w:t>م</w:t>
      </w:r>
      <w:r w:rsidRPr="0025250D">
        <w:rPr>
          <w:rtl/>
        </w:rPr>
        <w:t xml:space="preserve"> و باش</w:t>
      </w:r>
      <w:r w:rsidRPr="0025250D">
        <w:rPr>
          <w:rFonts w:hint="cs"/>
          <w:rtl/>
        </w:rPr>
        <w:t>ی</w:t>
      </w:r>
      <w:r w:rsidRPr="0025250D">
        <w:rPr>
          <w:rFonts w:hint="eastAsia"/>
          <w:rtl/>
        </w:rPr>
        <w:t>م</w:t>
      </w:r>
      <w:r w:rsidRPr="0025250D">
        <w:rPr>
          <w:rtl/>
        </w:rPr>
        <w:t>. راب</w:t>
      </w:r>
      <w:r w:rsidRPr="0025250D">
        <w:rPr>
          <w:rFonts w:hint="cs"/>
          <w:rtl/>
        </w:rPr>
        <w:t>ی</w:t>
      </w:r>
      <w:r w:rsidRPr="0025250D">
        <w:rPr>
          <w:rFonts w:hint="eastAsia"/>
          <w:rtl/>
        </w:rPr>
        <w:t>نز</w:t>
      </w:r>
      <w:r w:rsidRPr="0025250D">
        <w:rPr>
          <w:rtl/>
        </w:rPr>
        <w:t xml:space="preserve"> کتاب ها</w:t>
      </w:r>
      <w:r w:rsidRPr="0025250D">
        <w:rPr>
          <w:rFonts w:hint="cs"/>
          <w:rtl/>
        </w:rPr>
        <w:t>ی</w:t>
      </w:r>
      <w:r w:rsidRPr="0025250D">
        <w:rPr>
          <w:rtl/>
        </w:rPr>
        <w:t xml:space="preserve"> ز</w:t>
      </w:r>
      <w:r w:rsidRPr="0025250D">
        <w:rPr>
          <w:rFonts w:hint="cs"/>
          <w:rtl/>
        </w:rPr>
        <w:t>ی</w:t>
      </w:r>
      <w:r w:rsidRPr="0025250D">
        <w:rPr>
          <w:rFonts w:hint="eastAsia"/>
          <w:rtl/>
        </w:rPr>
        <w:t>اد</w:t>
      </w:r>
      <w:r w:rsidRPr="0025250D">
        <w:rPr>
          <w:rFonts w:hint="cs"/>
          <w:rtl/>
        </w:rPr>
        <w:t>ی</w:t>
      </w:r>
      <w:r w:rsidRPr="0025250D">
        <w:rPr>
          <w:rtl/>
        </w:rPr>
        <w:t xml:space="preserve"> نوشته است. ا</w:t>
      </w:r>
      <w:r w:rsidRPr="0025250D">
        <w:rPr>
          <w:rFonts w:hint="cs"/>
          <w:rtl/>
        </w:rPr>
        <w:t>ی</w:t>
      </w:r>
      <w:r w:rsidRPr="0025250D">
        <w:rPr>
          <w:rFonts w:hint="eastAsia"/>
          <w:rtl/>
        </w:rPr>
        <w:t>ن</w:t>
      </w:r>
      <w:r w:rsidRPr="0025250D">
        <w:rPr>
          <w:rtl/>
        </w:rPr>
        <w:t xml:space="preserve"> </w:t>
      </w:r>
      <w:r w:rsidRPr="0025250D">
        <w:rPr>
          <w:rFonts w:hint="cs"/>
          <w:rtl/>
        </w:rPr>
        <w:t xml:space="preserve">کتاب </w:t>
      </w:r>
      <w:r w:rsidRPr="0025250D">
        <w:rPr>
          <w:rtl/>
        </w:rPr>
        <w:t>کلاس</w:t>
      </w:r>
      <w:r w:rsidRPr="0025250D">
        <w:rPr>
          <w:rFonts w:hint="cs"/>
          <w:rtl/>
        </w:rPr>
        <w:t>ی</w:t>
      </w:r>
      <w:r w:rsidRPr="0025250D">
        <w:rPr>
          <w:rFonts w:hint="eastAsia"/>
          <w:rtl/>
        </w:rPr>
        <w:t>ک</w:t>
      </w:r>
      <w:r w:rsidRPr="0025250D">
        <w:rPr>
          <w:rtl/>
        </w:rPr>
        <w:t xml:space="preserve"> اوست.</w:t>
      </w:r>
    </w:p>
    <w:p w14:paraId="5CADA462" w14:textId="4D2A5C57" w:rsidR="0009441D" w:rsidRPr="0025250D" w:rsidRDefault="0009441D" w:rsidP="00492C47">
      <w:pPr>
        <w:numPr>
          <w:ilvl w:val="0"/>
          <w:numId w:val="78"/>
        </w:numPr>
      </w:pPr>
      <w:r w:rsidRPr="0025250D">
        <w:rPr>
          <w:rFonts w:hint="cs"/>
          <w:rtl/>
        </w:rPr>
        <w:t xml:space="preserve">بدون </w:t>
      </w:r>
      <w:r w:rsidRPr="0025250D">
        <w:rPr>
          <w:rtl/>
        </w:rPr>
        <w:t>حواس پرت</w:t>
      </w:r>
      <w:r w:rsidRPr="0025250D">
        <w:rPr>
          <w:rFonts w:hint="cs"/>
          <w:rtl/>
        </w:rPr>
        <w:t>ی</w:t>
      </w:r>
      <w:r w:rsidRPr="0025250D">
        <w:rPr>
          <w:rtl/>
        </w:rPr>
        <w:t>: چگونه توجه خود را کنترل کن</w:t>
      </w:r>
      <w:r w:rsidRPr="0025250D">
        <w:rPr>
          <w:rFonts w:hint="cs"/>
          <w:rtl/>
        </w:rPr>
        <w:t>ی</w:t>
      </w:r>
      <w:r w:rsidRPr="0025250D">
        <w:rPr>
          <w:rFonts w:hint="eastAsia"/>
          <w:rtl/>
        </w:rPr>
        <w:t>م</w:t>
      </w:r>
      <w:r w:rsidRPr="0025250D">
        <w:rPr>
          <w:rtl/>
        </w:rPr>
        <w:t xml:space="preserve"> و زندگ</w:t>
      </w:r>
      <w:r w:rsidRPr="0025250D">
        <w:rPr>
          <w:rFonts w:hint="cs"/>
          <w:rtl/>
        </w:rPr>
        <w:t>ی</w:t>
      </w:r>
      <w:r w:rsidRPr="0025250D">
        <w:rPr>
          <w:rtl/>
        </w:rPr>
        <w:t xml:space="preserve"> خود را انتخاب کن</w:t>
      </w:r>
      <w:r w:rsidRPr="0025250D">
        <w:rPr>
          <w:rFonts w:hint="cs"/>
          <w:rtl/>
        </w:rPr>
        <w:t>ی</w:t>
      </w:r>
      <w:r w:rsidRPr="0025250D">
        <w:rPr>
          <w:rFonts w:hint="eastAsia"/>
          <w:rtl/>
        </w:rPr>
        <w:t>م،</w:t>
      </w:r>
      <w:r w:rsidRPr="0025250D">
        <w:rPr>
          <w:rtl/>
        </w:rPr>
        <w:t xml:space="preserve"> ن</w:t>
      </w:r>
      <w:r w:rsidRPr="0025250D">
        <w:rPr>
          <w:rFonts w:hint="cs"/>
          <w:rtl/>
        </w:rPr>
        <w:t>ی</w:t>
      </w:r>
      <w:r w:rsidRPr="0025250D">
        <w:rPr>
          <w:rFonts w:hint="eastAsia"/>
          <w:rtl/>
        </w:rPr>
        <w:t>ر</w:t>
      </w:r>
      <w:r w:rsidRPr="0025250D">
        <w:rPr>
          <w:rtl/>
        </w:rPr>
        <w:t xml:space="preserve"> </w:t>
      </w:r>
      <w:r w:rsidRPr="0025250D">
        <w:rPr>
          <w:rFonts w:hint="cs"/>
          <w:rtl/>
        </w:rPr>
        <w:t>ای</w:t>
      </w:r>
      <w:r w:rsidRPr="0025250D">
        <w:rPr>
          <w:rFonts w:hint="eastAsia"/>
          <w:rtl/>
        </w:rPr>
        <w:t>ال</w:t>
      </w:r>
      <w:r w:rsidRPr="0025250D">
        <w:rPr>
          <w:vertAlign w:val="superscript"/>
          <w:rtl/>
        </w:rPr>
        <w:footnoteReference w:id="3343"/>
      </w:r>
      <w:r w:rsidRPr="0025250D">
        <w:rPr>
          <w:rFonts w:hint="eastAsia"/>
          <w:rtl/>
        </w:rPr>
        <w:t>،</w:t>
      </w:r>
      <w:r w:rsidRPr="0025250D">
        <w:rPr>
          <w:rtl/>
        </w:rPr>
        <w:t xml:space="preserve"> 2019</w:t>
      </w:r>
      <w:r w:rsidRPr="0025250D">
        <w:rPr>
          <w:rFonts w:hint="cs"/>
          <w:rtl/>
        </w:rPr>
        <w:t>. ی</w:t>
      </w:r>
      <w:r w:rsidRPr="0025250D">
        <w:rPr>
          <w:rFonts w:hint="eastAsia"/>
          <w:rtl/>
        </w:rPr>
        <w:t>ک</w:t>
      </w:r>
      <w:r w:rsidRPr="0025250D">
        <w:rPr>
          <w:rtl/>
        </w:rPr>
        <w:t xml:space="preserve"> آغازگر عال</w:t>
      </w:r>
      <w:r w:rsidRPr="0025250D">
        <w:rPr>
          <w:rFonts w:hint="cs"/>
          <w:rtl/>
        </w:rPr>
        <w:t>ی</w:t>
      </w:r>
      <w:r w:rsidRPr="0025250D">
        <w:rPr>
          <w:rtl/>
        </w:rPr>
        <w:t xml:space="preserve"> در</w:t>
      </w:r>
      <w:r w:rsidRPr="0025250D">
        <w:rPr>
          <w:rFonts w:hint="cs"/>
          <w:rtl/>
        </w:rPr>
        <w:t xml:space="preserve"> مورد</w:t>
      </w:r>
      <w:r w:rsidRPr="0025250D">
        <w:rPr>
          <w:rtl/>
        </w:rPr>
        <w:t xml:space="preserve"> </w:t>
      </w:r>
      <w:r w:rsidRPr="0025250D">
        <w:rPr>
          <w:rFonts w:hint="cs"/>
          <w:rtl/>
        </w:rPr>
        <w:t xml:space="preserve">اولویت های </w:t>
      </w:r>
      <w:r w:rsidR="00D92F6E" w:rsidRPr="0025250D">
        <w:rPr>
          <w:rtl/>
        </w:rPr>
        <w:t>آینده‌نگاری</w:t>
      </w:r>
      <w:r w:rsidRPr="0025250D">
        <w:rPr>
          <w:rtl/>
        </w:rPr>
        <w:t xml:space="preserve"> </w:t>
      </w:r>
      <w:r w:rsidR="001A3F0A" w:rsidRPr="0025250D">
        <w:rPr>
          <w:rtl/>
        </w:rPr>
        <w:t>فردی</w:t>
      </w:r>
      <w:r w:rsidRPr="0025250D">
        <w:rPr>
          <w:rtl/>
        </w:rPr>
        <w:t xml:space="preserve"> و آگاه</w:t>
      </w:r>
      <w:r w:rsidRPr="0025250D">
        <w:rPr>
          <w:rFonts w:hint="cs"/>
          <w:rtl/>
        </w:rPr>
        <w:t>ی</w:t>
      </w:r>
      <w:r w:rsidRPr="0025250D">
        <w:rPr>
          <w:rFonts w:hint="eastAsia"/>
          <w:rtl/>
        </w:rPr>
        <w:t>،</w:t>
      </w:r>
      <w:r w:rsidRPr="0025250D">
        <w:rPr>
          <w:rtl/>
        </w:rPr>
        <w:t xml:space="preserve"> خودکنترل</w:t>
      </w:r>
      <w:r w:rsidRPr="0025250D">
        <w:rPr>
          <w:rFonts w:hint="cs"/>
          <w:rtl/>
        </w:rPr>
        <w:t>ی</w:t>
      </w:r>
      <w:r w:rsidRPr="0025250D">
        <w:rPr>
          <w:rtl/>
        </w:rPr>
        <w:t xml:space="preserve"> و مالک</w:t>
      </w:r>
      <w:r w:rsidRPr="0025250D">
        <w:rPr>
          <w:rFonts w:hint="cs"/>
          <w:rtl/>
        </w:rPr>
        <w:t>ی</w:t>
      </w:r>
      <w:r w:rsidRPr="0025250D">
        <w:rPr>
          <w:rFonts w:hint="eastAsia"/>
          <w:rtl/>
        </w:rPr>
        <w:t>ت</w:t>
      </w:r>
      <w:r w:rsidRPr="0025250D">
        <w:rPr>
          <w:rtl/>
        </w:rPr>
        <w:t xml:space="preserve"> (</w:t>
      </w:r>
      <w:r w:rsidRPr="0025250D">
        <w:t>ASO</w:t>
      </w:r>
      <w:r w:rsidRPr="0025250D">
        <w:rPr>
          <w:rtl/>
        </w:rPr>
        <w:t>). محرک ها</w:t>
      </w:r>
      <w:r w:rsidRPr="0025250D">
        <w:rPr>
          <w:rFonts w:hint="cs"/>
          <w:rtl/>
        </w:rPr>
        <w:t>ی</w:t>
      </w:r>
      <w:r w:rsidRPr="0025250D">
        <w:rPr>
          <w:rtl/>
        </w:rPr>
        <w:t xml:space="preserve"> داخل</w:t>
      </w:r>
      <w:r w:rsidRPr="0025250D">
        <w:rPr>
          <w:rFonts w:hint="cs"/>
          <w:rtl/>
        </w:rPr>
        <w:t>ی</w:t>
      </w:r>
      <w:r w:rsidRPr="0025250D">
        <w:rPr>
          <w:rFonts w:hint="eastAsia"/>
          <w:rtl/>
        </w:rPr>
        <w:t>،</w:t>
      </w:r>
      <w:r w:rsidRPr="0025250D">
        <w:rPr>
          <w:rtl/>
        </w:rPr>
        <w:t xml:space="preserve"> محرک ها</w:t>
      </w:r>
      <w:r w:rsidRPr="0025250D">
        <w:rPr>
          <w:rFonts w:hint="cs"/>
          <w:rtl/>
        </w:rPr>
        <w:t>ی</w:t>
      </w:r>
      <w:r w:rsidRPr="0025250D">
        <w:rPr>
          <w:rtl/>
        </w:rPr>
        <w:t xml:space="preserve"> ب</w:t>
      </w:r>
      <w:r w:rsidRPr="0025250D">
        <w:rPr>
          <w:rFonts w:hint="cs"/>
          <w:rtl/>
        </w:rPr>
        <w:t>ی</w:t>
      </w:r>
      <w:r w:rsidRPr="0025250D">
        <w:rPr>
          <w:rFonts w:hint="eastAsia"/>
          <w:rtl/>
        </w:rPr>
        <w:t>رون</w:t>
      </w:r>
      <w:r w:rsidRPr="0025250D">
        <w:rPr>
          <w:rFonts w:hint="cs"/>
          <w:rtl/>
        </w:rPr>
        <w:t>ی</w:t>
      </w:r>
      <w:r w:rsidRPr="0025250D">
        <w:rPr>
          <w:rFonts w:hint="eastAsia"/>
          <w:rtl/>
        </w:rPr>
        <w:t>،</w:t>
      </w:r>
      <w:r w:rsidRPr="0025250D">
        <w:rPr>
          <w:rtl/>
        </w:rPr>
        <w:t xml:space="preserve"> </w:t>
      </w:r>
      <w:r w:rsidR="00B124DE" w:rsidRPr="0025250D">
        <w:rPr>
          <w:rtl/>
        </w:rPr>
        <w:t>برنامه‌ریزی</w:t>
      </w:r>
      <w:r w:rsidRPr="0025250D">
        <w:rPr>
          <w:rFonts w:hint="eastAsia"/>
          <w:rtl/>
        </w:rPr>
        <w:t>،</w:t>
      </w:r>
      <w:r w:rsidRPr="0025250D">
        <w:rPr>
          <w:rtl/>
        </w:rPr>
        <w:t xml:space="preserve"> تصو</w:t>
      </w:r>
      <w:r w:rsidRPr="0025250D">
        <w:rPr>
          <w:rFonts w:hint="cs"/>
          <w:rtl/>
        </w:rPr>
        <w:t>ی</w:t>
      </w:r>
      <w:r w:rsidRPr="0025250D">
        <w:rPr>
          <w:rFonts w:hint="eastAsia"/>
          <w:rtl/>
        </w:rPr>
        <w:t>ر</w:t>
      </w:r>
      <w:r w:rsidRPr="0025250D">
        <w:rPr>
          <w:rtl/>
        </w:rPr>
        <w:t xml:space="preserve"> از خود، صداقت،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عاطف</w:t>
      </w:r>
      <w:r w:rsidRPr="0025250D">
        <w:rPr>
          <w:rFonts w:hint="cs"/>
          <w:rtl/>
        </w:rPr>
        <w:t>ی</w:t>
      </w:r>
      <w:r w:rsidRPr="0025250D">
        <w:rPr>
          <w:rtl/>
        </w:rPr>
        <w:t xml:space="preserve"> و روال ها در مقابل عادات</w:t>
      </w:r>
      <w:r w:rsidRPr="0025250D">
        <w:rPr>
          <w:rFonts w:hint="cs"/>
          <w:rtl/>
        </w:rPr>
        <w:t xml:space="preserve"> ها</w:t>
      </w:r>
      <w:r w:rsidRPr="0025250D">
        <w:rPr>
          <w:rtl/>
        </w:rPr>
        <w:t xml:space="preserve"> را پوشش م</w:t>
      </w:r>
      <w:r w:rsidRPr="0025250D">
        <w:rPr>
          <w:rFonts w:hint="cs"/>
          <w:rtl/>
        </w:rPr>
        <w:t>ی</w:t>
      </w:r>
      <w:r w:rsidRPr="0025250D">
        <w:rPr>
          <w:rtl/>
        </w:rPr>
        <w:t xml:space="preserve"> دهد</w:t>
      </w:r>
      <w:r w:rsidR="008D6F97" w:rsidRPr="0025250D">
        <w:rPr>
          <w:rtl/>
        </w:rPr>
        <w:t xml:space="preserve">؛ </w:t>
      </w:r>
      <w:r w:rsidRPr="0025250D">
        <w:rPr>
          <w:rtl/>
        </w:rPr>
        <w:t>مانند بس</w:t>
      </w:r>
      <w:r w:rsidRPr="0025250D">
        <w:rPr>
          <w:rFonts w:hint="cs"/>
          <w:rtl/>
        </w:rPr>
        <w:t>ی</w:t>
      </w:r>
      <w:r w:rsidRPr="0025250D">
        <w:rPr>
          <w:rFonts w:hint="eastAsia"/>
          <w:rtl/>
        </w:rPr>
        <w:t>ار</w:t>
      </w:r>
      <w:r w:rsidRPr="0025250D">
        <w:rPr>
          <w:rFonts w:hint="cs"/>
          <w:rtl/>
        </w:rPr>
        <w:t>ی</w:t>
      </w:r>
      <w:r w:rsidRPr="0025250D">
        <w:rPr>
          <w:rtl/>
        </w:rPr>
        <w:t xml:space="preserve"> از ما، ا</w:t>
      </w:r>
      <w:r w:rsidRPr="0025250D">
        <w:rPr>
          <w:rFonts w:hint="cs"/>
          <w:rtl/>
        </w:rPr>
        <w:t>ی</w:t>
      </w:r>
      <w:r w:rsidRPr="0025250D">
        <w:rPr>
          <w:rFonts w:hint="eastAsia"/>
          <w:rtl/>
        </w:rPr>
        <w:t>ال</w:t>
      </w:r>
      <w:r w:rsidRPr="0025250D">
        <w:rPr>
          <w:rtl/>
        </w:rPr>
        <w:t xml:space="preserve"> قبل از </w:t>
      </w:r>
      <w:r w:rsidRPr="0025250D">
        <w:rPr>
          <w:rFonts w:hint="cs"/>
          <w:rtl/>
        </w:rPr>
        <w:t>ی</w:t>
      </w:r>
      <w:r w:rsidRPr="0025250D">
        <w:rPr>
          <w:rFonts w:hint="eastAsia"/>
          <w:rtl/>
        </w:rPr>
        <w:t>افتن</w:t>
      </w:r>
      <w:r w:rsidRPr="0025250D">
        <w:rPr>
          <w:rtl/>
        </w:rPr>
        <w:t xml:space="preserve"> تکن</w:t>
      </w:r>
      <w:r w:rsidRPr="0025250D">
        <w:rPr>
          <w:rFonts w:hint="cs"/>
          <w:rtl/>
        </w:rPr>
        <w:t>ی</w:t>
      </w:r>
      <w:r w:rsidRPr="0025250D">
        <w:rPr>
          <w:rFonts w:hint="eastAsia"/>
          <w:rtl/>
        </w:rPr>
        <w:t>ک</w:t>
      </w:r>
      <w:r w:rsidRPr="0025250D">
        <w:rPr>
          <w:rtl/>
        </w:rPr>
        <w:t xml:space="preserve"> ها</w:t>
      </w:r>
      <w:r w:rsidRPr="0025250D">
        <w:rPr>
          <w:rFonts w:hint="cs"/>
          <w:rtl/>
        </w:rPr>
        <w:t>ی</w:t>
      </w:r>
      <w:r w:rsidRPr="0025250D">
        <w:rPr>
          <w:rtl/>
        </w:rPr>
        <w:t xml:space="preserve"> شرح دا</w:t>
      </w:r>
      <w:r w:rsidRPr="0025250D">
        <w:rPr>
          <w:rFonts w:hint="eastAsia"/>
          <w:rtl/>
        </w:rPr>
        <w:t>ده</w:t>
      </w:r>
      <w:r w:rsidRPr="0025250D">
        <w:rPr>
          <w:rtl/>
        </w:rPr>
        <w:t xml:space="preserve"> شده در ا</w:t>
      </w:r>
      <w:r w:rsidRPr="0025250D">
        <w:rPr>
          <w:rFonts w:hint="cs"/>
          <w:rtl/>
        </w:rPr>
        <w:t>ی</w:t>
      </w:r>
      <w:r w:rsidRPr="0025250D">
        <w:rPr>
          <w:rFonts w:hint="eastAsia"/>
          <w:rtl/>
        </w:rPr>
        <w:t>ن</w:t>
      </w:r>
      <w:r w:rsidRPr="0025250D">
        <w:rPr>
          <w:rtl/>
        </w:rPr>
        <w:t xml:space="preserve"> کتاب به شدت پر</w:t>
      </w:r>
      <w:r w:rsidRPr="0025250D">
        <w:rPr>
          <w:rFonts w:hint="cs"/>
          <w:rtl/>
        </w:rPr>
        <w:t>ی</w:t>
      </w:r>
      <w:r w:rsidRPr="0025250D">
        <w:rPr>
          <w:rFonts w:hint="eastAsia"/>
          <w:rtl/>
        </w:rPr>
        <w:t>شان</w:t>
      </w:r>
      <w:r w:rsidRPr="0025250D">
        <w:rPr>
          <w:rtl/>
        </w:rPr>
        <w:t xml:space="preserve"> بود.</w:t>
      </w:r>
      <w:r w:rsidRPr="0025250D">
        <w:rPr>
          <w:rFonts w:hint="cs"/>
          <w:rtl/>
        </w:rPr>
        <w:t xml:space="preserve"> </w:t>
      </w:r>
      <w:r w:rsidRPr="0025250D">
        <w:rPr>
          <w:rtl/>
        </w:rPr>
        <w:t>ا</w:t>
      </w:r>
      <w:r w:rsidRPr="0025250D">
        <w:rPr>
          <w:rFonts w:hint="cs"/>
          <w:rtl/>
        </w:rPr>
        <w:t>ی</w:t>
      </w:r>
      <w:r w:rsidRPr="0025250D">
        <w:rPr>
          <w:rFonts w:hint="eastAsia"/>
          <w:rtl/>
        </w:rPr>
        <w:t>ن</w:t>
      </w:r>
      <w:r w:rsidRPr="0025250D">
        <w:rPr>
          <w:rtl/>
        </w:rPr>
        <w:t xml:space="preserve"> کتاب را با تمرکز حواس، حلقه انجام و </w:t>
      </w:r>
      <w:r w:rsidRPr="0025250D">
        <w:rPr>
          <w:rFonts w:hint="cs"/>
          <w:rtl/>
        </w:rPr>
        <w:t>خود</w:t>
      </w:r>
      <w:r w:rsidRPr="0025250D">
        <w:rPr>
          <w:rtl/>
        </w:rPr>
        <w:t xml:space="preserve"> پذ</w:t>
      </w:r>
      <w:r w:rsidRPr="0025250D">
        <w:rPr>
          <w:rFonts w:hint="cs"/>
          <w:rtl/>
        </w:rPr>
        <w:t>ی</w:t>
      </w:r>
      <w:r w:rsidRPr="0025250D">
        <w:rPr>
          <w:rFonts w:hint="eastAsia"/>
          <w:rtl/>
        </w:rPr>
        <w:t>رش</w:t>
      </w:r>
      <w:r w:rsidRPr="0025250D">
        <w:rPr>
          <w:rFonts w:hint="cs"/>
          <w:rtl/>
        </w:rPr>
        <w:t>ی</w:t>
      </w:r>
      <w:r w:rsidRPr="0025250D">
        <w:rPr>
          <w:rFonts w:hint="eastAsia"/>
          <w:rtl/>
        </w:rPr>
        <w:t>،</w:t>
      </w:r>
      <w:r w:rsidRPr="0025250D">
        <w:rPr>
          <w:rtl/>
        </w:rPr>
        <w:t xml:space="preserve"> بدون توجه به شخص</w:t>
      </w:r>
      <w:r w:rsidRPr="0025250D">
        <w:rPr>
          <w:rFonts w:hint="cs"/>
          <w:rtl/>
        </w:rPr>
        <w:t>ی</w:t>
      </w:r>
      <w:r w:rsidRPr="0025250D">
        <w:rPr>
          <w:rFonts w:hint="eastAsia"/>
          <w:rtl/>
        </w:rPr>
        <w:t>ت</w:t>
      </w:r>
      <w:r w:rsidRPr="0025250D">
        <w:rPr>
          <w:rtl/>
        </w:rPr>
        <w:t xml:space="preserve"> </w:t>
      </w:r>
      <w:r w:rsidRPr="0025250D">
        <w:rPr>
          <w:rFonts w:hint="cs"/>
          <w:rtl/>
        </w:rPr>
        <w:t>ی</w:t>
      </w:r>
      <w:r w:rsidRPr="0025250D">
        <w:rPr>
          <w:rFonts w:hint="eastAsia"/>
          <w:rtl/>
        </w:rPr>
        <w:t>ا</w:t>
      </w:r>
      <w:r w:rsidRPr="0025250D">
        <w:rPr>
          <w:rtl/>
        </w:rPr>
        <w:t xml:space="preserve"> سطوح فعل</w:t>
      </w:r>
      <w:r w:rsidRPr="0025250D">
        <w:rPr>
          <w:rFonts w:hint="cs"/>
          <w:rtl/>
        </w:rPr>
        <w:t>ی</w:t>
      </w:r>
      <w:r w:rsidRPr="0025250D">
        <w:rPr>
          <w:rtl/>
        </w:rPr>
        <w:t xml:space="preserve"> حواس پرت</w:t>
      </w:r>
      <w:r w:rsidRPr="0025250D">
        <w:rPr>
          <w:rFonts w:hint="cs"/>
          <w:rtl/>
        </w:rPr>
        <w:t>ی</w:t>
      </w:r>
      <w:r w:rsidRPr="0025250D">
        <w:rPr>
          <w:rFonts w:hint="eastAsia"/>
          <w:rtl/>
        </w:rPr>
        <w:t>،</w:t>
      </w:r>
      <w:r w:rsidRPr="0025250D">
        <w:rPr>
          <w:rtl/>
        </w:rPr>
        <w:t xml:space="preserve"> ترک</w:t>
      </w:r>
      <w:r w:rsidRPr="0025250D">
        <w:rPr>
          <w:rFonts w:hint="cs"/>
          <w:rtl/>
        </w:rPr>
        <w:t>ی</w:t>
      </w:r>
      <w:r w:rsidRPr="0025250D">
        <w:rPr>
          <w:rFonts w:hint="eastAsia"/>
          <w:rtl/>
        </w:rPr>
        <w:t>ب</w:t>
      </w:r>
      <w:r w:rsidRPr="0025250D">
        <w:rPr>
          <w:rtl/>
        </w:rPr>
        <w:t xml:space="preserve"> کن</w:t>
      </w:r>
      <w:r w:rsidRPr="0025250D">
        <w:rPr>
          <w:rFonts w:hint="cs"/>
          <w:rtl/>
        </w:rPr>
        <w:t>ی</w:t>
      </w:r>
      <w:r w:rsidRPr="0025250D">
        <w:rPr>
          <w:rFonts w:hint="eastAsia"/>
          <w:rtl/>
        </w:rPr>
        <w:t>د</w:t>
      </w:r>
      <w:r w:rsidRPr="0025250D">
        <w:rPr>
          <w:rFonts w:hint="cs"/>
          <w:rtl/>
        </w:rPr>
        <w:t xml:space="preserve"> و</w:t>
      </w:r>
      <w:r w:rsidRPr="0025250D">
        <w:rPr>
          <w:rtl/>
        </w:rPr>
        <w:t xml:space="preserve"> در </w:t>
      </w:r>
      <w:r w:rsidR="00D92F6E" w:rsidRPr="0025250D">
        <w:rPr>
          <w:rtl/>
        </w:rPr>
        <w:t>آینده‌نگاری</w:t>
      </w:r>
      <w:r w:rsidRPr="0025250D">
        <w:rPr>
          <w:rtl/>
        </w:rPr>
        <w:t xml:space="preserve"> امرو</w:t>
      </w:r>
      <w:r w:rsidRPr="0025250D">
        <w:rPr>
          <w:rFonts w:hint="cs"/>
          <w:rtl/>
        </w:rPr>
        <w:t>ز</w:t>
      </w:r>
      <w:r w:rsidRPr="0025250D">
        <w:rPr>
          <w:rtl/>
        </w:rPr>
        <w:t xml:space="preserve"> عال</w:t>
      </w:r>
      <w:r w:rsidRPr="0025250D">
        <w:rPr>
          <w:rFonts w:hint="cs"/>
          <w:rtl/>
        </w:rPr>
        <w:t>ی</w:t>
      </w:r>
      <w:r w:rsidRPr="0025250D">
        <w:rPr>
          <w:rtl/>
        </w:rPr>
        <w:t xml:space="preserve"> خواه</w:t>
      </w:r>
      <w:r w:rsidRPr="0025250D">
        <w:rPr>
          <w:rFonts w:hint="cs"/>
          <w:rtl/>
        </w:rPr>
        <w:t>ی</w:t>
      </w:r>
      <w:r w:rsidRPr="0025250D">
        <w:rPr>
          <w:rFonts w:hint="eastAsia"/>
          <w:rtl/>
        </w:rPr>
        <w:t>د</w:t>
      </w:r>
      <w:r w:rsidRPr="0025250D">
        <w:rPr>
          <w:rtl/>
        </w:rPr>
        <w:t xml:space="preserve"> شد.</w:t>
      </w:r>
    </w:p>
    <w:p w14:paraId="0C8818B9" w14:textId="77777777" w:rsidR="0009441D" w:rsidRPr="0025250D" w:rsidRDefault="0009441D" w:rsidP="00492C47">
      <w:pPr>
        <w:numPr>
          <w:ilvl w:val="0"/>
          <w:numId w:val="78"/>
        </w:numPr>
      </w:pPr>
      <w:r w:rsidRPr="0025250D">
        <w:rPr>
          <w:rtl/>
        </w:rPr>
        <w:t xml:space="preserve">لطفا مرا درک کن </w:t>
      </w:r>
      <w:r w:rsidRPr="0025250D">
        <w:rPr>
          <w:rFonts w:hint="cs"/>
          <w:rtl/>
        </w:rPr>
        <w:t>2</w:t>
      </w:r>
      <w:r w:rsidRPr="0025250D">
        <w:rPr>
          <w:rtl/>
        </w:rPr>
        <w:t>، د</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rtl/>
        </w:rPr>
        <w:t xml:space="preserve"> ک</w:t>
      </w:r>
      <w:r w:rsidRPr="0025250D">
        <w:rPr>
          <w:rFonts w:hint="cs"/>
          <w:rtl/>
        </w:rPr>
        <w:t>ی</w:t>
      </w:r>
      <w:r w:rsidRPr="0025250D">
        <w:rPr>
          <w:rFonts w:hint="eastAsia"/>
          <w:rtl/>
        </w:rPr>
        <w:t>رس</w:t>
      </w:r>
      <w:r w:rsidRPr="0025250D">
        <w:rPr>
          <w:rFonts w:hint="cs"/>
          <w:rtl/>
        </w:rPr>
        <w:t>ی</w:t>
      </w:r>
      <w:r w:rsidRPr="0025250D">
        <w:rPr>
          <w:vertAlign w:val="superscript"/>
          <w:rtl/>
        </w:rPr>
        <w:footnoteReference w:id="3344"/>
      </w:r>
      <w:r w:rsidRPr="0025250D">
        <w:rPr>
          <w:rFonts w:hint="eastAsia"/>
          <w:rtl/>
        </w:rPr>
        <w:t>،</w:t>
      </w:r>
      <w:r w:rsidRPr="0025250D">
        <w:rPr>
          <w:rtl/>
        </w:rPr>
        <w:t xml:space="preserve"> 1998.</w:t>
      </w:r>
      <w:r w:rsidRPr="0025250D">
        <w:rPr>
          <w:rFonts w:hint="cs"/>
          <w:rtl/>
        </w:rPr>
        <w:t xml:space="preserve"> کتابی</w:t>
      </w:r>
      <w:r w:rsidRPr="0025250D">
        <w:rPr>
          <w:rtl/>
        </w:rPr>
        <w:t xml:space="preserve"> عال</w:t>
      </w:r>
      <w:r w:rsidRPr="0025250D">
        <w:rPr>
          <w:rFonts w:hint="cs"/>
          <w:rtl/>
        </w:rPr>
        <w:t>ی</w:t>
      </w:r>
      <w:r w:rsidRPr="0025250D">
        <w:rPr>
          <w:rtl/>
        </w:rPr>
        <w:t xml:space="preserve"> برا</w:t>
      </w:r>
      <w:r w:rsidRPr="0025250D">
        <w:rPr>
          <w:rFonts w:hint="cs"/>
          <w:rtl/>
        </w:rPr>
        <w:t>ی</w:t>
      </w:r>
      <w:r w:rsidRPr="0025250D">
        <w:rPr>
          <w:rtl/>
        </w:rPr>
        <w:t xml:space="preserve"> شروع خودارز</w:t>
      </w:r>
      <w:r w:rsidRPr="0025250D">
        <w:rPr>
          <w:rFonts w:hint="cs"/>
          <w:rtl/>
        </w:rPr>
        <w:t>ی</w:t>
      </w:r>
      <w:r w:rsidRPr="0025250D">
        <w:rPr>
          <w:rFonts w:hint="eastAsia"/>
          <w:rtl/>
        </w:rPr>
        <w:t>اب</w:t>
      </w:r>
      <w:r w:rsidRPr="0025250D">
        <w:rPr>
          <w:rFonts w:hint="cs"/>
          <w:rtl/>
        </w:rPr>
        <w:t>ی</w:t>
      </w:r>
      <w:r w:rsidRPr="0025250D">
        <w:rPr>
          <w:rtl/>
        </w:rPr>
        <w:t>. چهار خلق و خو</w:t>
      </w:r>
      <w:r w:rsidRPr="0025250D">
        <w:rPr>
          <w:rFonts w:hint="cs"/>
          <w:rtl/>
        </w:rPr>
        <w:t>ی</w:t>
      </w:r>
      <w:r w:rsidRPr="0025250D">
        <w:rPr>
          <w:rtl/>
        </w:rPr>
        <w:t xml:space="preserve"> ک</w:t>
      </w:r>
      <w:r w:rsidRPr="0025250D">
        <w:rPr>
          <w:rFonts w:hint="cs"/>
          <w:rtl/>
        </w:rPr>
        <w:t>ی</w:t>
      </w:r>
      <w:r w:rsidRPr="0025250D">
        <w:rPr>
          <w:rFonts w:hint="eastAsia"/>
          <w:rtl/>
        </w:rPr>
        <w:t>رس</w:t>
      </w:r>
      <w:r w:rsidRPr="0025250D">
        <w:rPr>
          <w:rFonts w:hint="cs"/>
          <w:rtl/>
        </w:rPr>
        <w:t>ی</w:t>
      </w:r>
      <w:r w:rsidRPr="0025250D">
        <w:rPr>
          <w:rtl/>
        </w:rPr>
        <w:t xml:space="preserve"> نزد</w:t>
      </w:r>
      <w:r w:rsidRPr="0025250D">
        <w:rPr>
          <w:rFonts w:hint="cs"/>
          <w:rtl/>
        </w:rPr>
        <w:t>ی</w:t>
      </w:r>
      <w:r w:rsidRPr="0025250D">
        <w:rPr>
          <w:rFonts w:hint="eastAsia"/>
          <w:rtl/>
        </w:rPr>
        <w:t>ک</w:t>
      </w:r>
      <w:r w:rsidRPr="0025250D">
        <w:rPr>
          <w:rtl/>
        </w:rPr>
        <w:t xml:space="preserve"> به هرم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مدرن، با نام مستعار هرم </w:t>
      </w:r>
      <w:r w:rsidRPr="0025250D">
        <w:rPr>
          <w:rFonts w:hint="cs"/>
          <w:rtl/>
        </w:rPr>
        <w:t>تکاملی-توسعه ای</w:t>
      </w:r>
      <w:r w:rsidRPr="0025250D">
        <w:rPr>
          <w:rtl/>
        </w:rPr>
        <w:t xml:space="preserve"> و</w:t>
      </w:r>
      <w:r w:rsidRPr="0025250D">
        <w:rPr>
          <w:rFonts w:hint="cs"/>
          <w:rtl/>
        </w:rPr>
        <w:t xml:space="preserve"> چهار</w:t>
      </w:r>
      <w:r w:rsidRPr="0025250D">
        <w:rPr>
          <w:rtl/>
        </w:rPr>
        <w:t xml:space="preserve"> </w:t>
      </w:r>
      <w:r w:rsidRPr="0025250D">
        <w:t>P</w:t>
      </w:r>
      <w:r w:rsidRPr="0025250D">
        <w:rPr>
          <w:rtl/>
        </w:rPr>
        <w:t xml:space="preserve"> است. در ارز</w:t>
      </w:r>
      <w:r w:rsidRPr="0025250D">
        <w:rPr>
          <w:rFonts w:hint="cs"/>
          <w:rtl/>
        </w:rPr>
        <w:t>ی</w:t>
      </w:r>
      <w:r w:rsidRPr="0025250D">
        <w:rPr>
          <w:rFonts w:hint="eastAsia"/>
          <w:rtl/>
        </w:rPr>
        <w:t>اب</w:t>
      </w:r>
      <w:r w:rsidRPr="0025250D">
        <w:rPr>
          <w:rFonts w:hint="cs"/>
          <w:rtl/>
        </w:rPr>
        <w:t>ی</w:t>
      </w:r>
      <w:r w:rsidRPr="0025250D">
        <w:rPr>
          <w:rtl/>
        </w:rPr>
        <w:t xml:space="preserve"> را</w:t>
      </w:r>
      <w:r w:rsidRPr="0025250D">
        <w:rPr>
          <w:rFonts w:hint="cs"/>
          <w:rtl/>
        </w:rPr>
        <w:t>ی</w:t>
      </w:r>
      <w:r w:rsidRPr="0025250D">
        <w:rPr>
          <w:rFonts w:hint="eastAsia"/>
          <w:rtl/>
        </w:rPr>
        <w:t>گان</w:t>
      </w:r>
      <w:r w:rsidRPr="0025250D">
        <w:rPr>
          <w:rtl/>
        </w:rPr>
        <w:t xml:space="preserve"> 70 سوال</w:t>
      </w:r>
      <w:r w:rsidRPr="0025250D">
        <w:rPr>
          <w:rFonts w:hint="cs"/>
          <w:rtl/>
        </w:rPr>
        <w:t>ی</w:t>
      </w:r>
      <w:r w:rsidRPr="0025250D">
        <w:rPr>
          <w:rtl/>
        </w:rPr>
        <w:t xml:space="preserve"> شرکت کن</w:t>
      </w:r>
      <w:r w:rsidRPr="0025250D">
        <w:rPr>
          <w:rFonts w:hint="cs"/>
          <w:rtl/>
        </w:rPr>
        <w:t>ی</w:t>
      </w:r>
      <w:r w:rsidRPr="0025250D">
        <w:rPr>
          <w:rFonts w:hint="eastAsia"/>
          <w:rtl/>
        </w:rPr>
        <w:t>د</w:t>
      </w:r>
      <w:r w:rsidRPr="0025250D">
        <w:rPr>
          <w:rtl/>
        </w:rPr>
        <w:t xml:space="preserve"> و خلق و خو</w:t>
      </w:r>
      <w:r w:rsidRPr="0025250D">
        <w:rPr>
          <w:rFonts w:hint="cs"/>
          <w:rtl/>
        </w:rPr>
        <w:t>ی</w:t>
      </w:r>
      <w:r w:rsidRPr="0025250D">
        <w:rPr>
          <w:rtl/>
        </w:rPr>
        <w:t xml:space="preserve"> خود را </w:t>
      </w:r>
      <w:r w:rsidRPr="0025250D">
        <w:rPr>
          <w:rFonts w:hint="cs"/>
          <w:rtl/>
        </w:rPr>
        <w:t>بشناسید</w:t>
      </w:r>
      <w:r w:rsidRPr="0025250D">
        <w:rPr>
          <w:rtl/>
        </w:rPr>
        <w:t>. سپس ا</w:t>
      </w:r>
      <w:r w:rsidRPr="0025250D">
        <w:rPr>
          <w:rFonts w:hint="cs"/>
          <w:rtl/>
        </w:rPr>
        <w:t>ی</w:t>
      </w:r>
      <w:r w:rsidRPr="0025250D">
        <w:rPr>
          <w:rFonts w:hint="eastAsia"/>
          <w:rtl/>
        </w:rPr>
        <w:t>ن</w:t>
      </w:r>
      <w:r w:rsidRPr="0025250D">
        <w:rPr>
          <w:rtl/>
        </w:rPr>
        <w:t xml:space="preserve"> کتاب را بخوان</w:t>
      </w:r>
      <w:r w:rsidRPr="0025250D">
        <w:rPr>
          <w:rFonts w:hint="cs"/>
          <w:rtl/>
        </w:rPr>
        <w:t>ی</w:t>
      </w:r>
      <w:r w:rsidRPr="0025250D">
        <w:rPr>
          <w:rFonts w:hint="eastAsia"/>
          <w:rtl/>
        </w:rPr>
        <w:t>د</w:t>
      </w:r>
      <w:r w:rsidRPr="0025250D">
        <w:rPr>
          <w:rtl/>
        </w:rPr>
        <w:t xml:space="preserve"> تا نحوه کار بهتر با د</w:t>
      </w:r>
      <w:r w:rsidRPr="0025250D">
        <w:rPr>
          <w:rFonts w:hint="cs"/>
          <w:rtl/>
        </w:rPr>
        <w:t>ی</w:t>
      </w:r>
      <w:r w:rsidRPr="0025250D">
        <w:rPr>
          <w:rFonts w:hint="eastAsia"/>
          <w:rtl/>
        </w:rPr>
        <w:t>گران</w:t>
      </w:r>
      <w:r w:rsidRPr="0025250D">
        <w:rPr>
          <w:rtl/>
        </w:rPr>
        <w:t xml:space="preserve"> و </w:t>
      </w:r>
      <w:r w:rsidRPr="0025250D">
        <w:rPr>
          <w:rFonts w:hint="cs"/>
          <w:rtl/>
        </w:rPr>
        <w:t>نگرش</w:t>
      </w:r>
      <w:r w:rsidRPr="0025250D">
        <w:rPr>
          <w:rtl/>
        </w:rPr>
        <w:t xml:space="preserve"> مت</w:t>
      </w:r>
      <w:r w:rsidRPr="0025250D">
        <w:rPr>
          <w:rFonts w:hint="eastAsia"/>
          <w:rtl/>
        </w:rPr>
        <w:t>فاوت</w:t>
      </w:r>
      <w:r w:rsidRPr="0025250D">
        <w:rPr>
          <w:rtl/>
        </w:rPr>
        <w:t xml:space="preserve"> و در ع</w:t>
      </w:r>
      <w:r w:rsidRPr="0025250D">
        <w:rPr>
          <w:rFonts w:hint="cs"/>
          <w:rtl/>
        </w:rPr>
        <w:t>ی</w:t>
      </w:r>
      <w:r w:rsidRPr="0025250D">
        <w:rPr>
          <w:rFonts w:hint="eastAsia"/>
          <w:rtl/>
        </w:rPr>
        <w:t>ن</w:t>
      </w:r>
      <w:r w:rsidRPr="0025250D">
        <w:rPr>
          <w:rtl/>
        </w:rPr>
        <w:t xml:space="preserve"> حال ح</w:t>
      </w:r>
      <w:r w:rsidRPr="0025250D">
        <w:rPr>
          <w:rFonts w:hint="cs"/>
          <w:rtl/>
        </w:rPr>
        <w:t>ی</w:t>
      </w:r>
      <w:r w:rsidRPr="0025250D">
        <w:rPr>
          <w:rFonts w:hint="eastAsia"/>
          <w:rtl/>
        </w:rPr>
        <w:t>ات</w:t>
      </w:r>
      <w:r w:rsidRPr="0025250D">
        <w:rPr>
          <w:rFonts w:hint="cs"/>
          <w:rtl/>
        </w:rPr>
        <w:t>ی</w:t>
      </w:r>
      <w:r w:rsidRPr="0025250D">
        <w:rPr>
          <w:rtl/>
        </w:rPr>
        <w:t xml:space="preserve"> آن‌ها </w:t>
      </w:r>
      <w:r w:rsidRPr="0025250D">
        <w:rPr>
          <w:rFonts w:hint="cs"/>
          <w:rtl/>
        </w:rPr>
        <w:t>نسبت</w:t>
      </w:r>
      <w:r w:rsidRPr="0025250D">
        <w:rPr>
          <w:rtl/>
        </w:rPr>
        <w:t xml:space="preserve"> به آ</w:t>
      </w:r>
      <w:r w:rsidRPr="0025250D">
        <w:rPr>
          <w:rFonts w:hint="cs"/>
          <w:rtl/>
        </w:rPr>
        <w:t>ی</w:t>
      </w:r>
      <w:r w:rsidRPr="0025250D">
        <w:rPr>
          <w:rFonts w:hint="eastAsia"/>
          <w:rtl/>
        </w:rPr>
        <w:t>نده</w:t>
      </w:r>
      <w:r w:rsidRPr="0025250D">
        <w:rPr>
          <w:rtl/>
        </w:rPr>
        <w:t xml:space="preserve"> را درک کن</w:t>
      </w:r>
      <w:r w:rsidRPr="0025250D">
        <w:rPr>
          <w:rFonts w:hint="cs"/>
          <w:rtl/>
        </w:rPr>
        <w:t>ی</w:t>
      </w:r>
      <w:r w:rsidRPr="0025250D">
        <w:rPr>
          <w:rFonts w:hint="eastAsia"/>
          <w:rtl/>
        </w:rPr>
        <w:t>د</w:t>
      </w:r>
      <w:r w:rsidRPr="0025250D">
        <w:rPr>
          <w:rtl/>
        </w:rPr>
        <w:t>.</w:t>
      </w:r>
    </w:p>
    <w:p w14:paraId="5C2931DE" w14:textId="789261CF" w:rsidR="0009441D" w:rsidRPr="0025250D" w:rsidRDefault="0046306A" w:rsidP="00492C47">
      <w:pPr>
        <w:numPr>
          <w:ilvl w:val="0"/>
          <w:numId w:val="78"/>
        </w:numPr>
      </w:pPr>
      <w:r w:rsidRPr="0025250D">
        <w:rPr>
          <w:rFonts w:hint="cs"/>
          <w:rtl/>
        </w:rPr>
        <w:t>کودکان خود را دریابید</w:t>
      </w:r>
      <w:r w:rsidR="0009441D" w:rsidRPr="0025250D">
        <w:rPr>
          <w:rFonts w:hint="cs"/>
          <w:rtl/>
        </w:rPr>
        <w:t xml:space="preserve">، </w:t>
      </w:r>
      <w:r w:rsidR="0009441D" w:rsidRPr="0025250D">
        <w:rPr>
          <w:rtl/>
        </w:rPr>
        <w:t>گوردون نوفلد و گابور م</w:t>
      </w:r>
      <w:r w:rsidR="0009441D" w:rsidRPr="0025250D">
        <w:rPr>
          <w:rFonts w:hint="cs"/>
          <w:rtl/>
        </w:rPr>
        <w:t>ی</w:t>
      </w:r>
      <w:r w:rsidR="0009441D" w:rsidRPr="0025250D">
        <w:rPr>
          <w:rFonts w:hint="eastAsia"/>
          <w:rtl/>
        </w:rPr>
        <w:t>ت</w:t>
      </w:r>
      <w:r w:rsidR="0009441D" w:rsidRPr="0025250D">
        <w:rPr>
          <w:vertAlign w:val="superscript"/>
          <w:rtl/>
        </w:rPr>
        <w:footnoteReference w:id="3345"/>
      </w:r>
      <w:r w:rsidR="0009441D" w:rsidRPr="0025250D">
        <w:rPr>
          <w:rFonts w:hint="eastAsia"/>
          <w:rtl/>
        </w:rPr>
        <w:t>،</w:t>
      </w:r>
      <w:r w:rsidR="0009441D" w:rsidRPr="0025250D">
        <w:rPr>
          <w:rtl/>
        </w:rPr>
        <w:t xml:space="preserve"> 2006</w:t>
      </w:r>
      <w:r w:rsidR="0009441D" w:rsidRPr="0025250D">
        <w:rPr>
          <w:rFonts w:hint="cs"/>
          <w:rtl/>
        </w:rPr>
        <w:t xml:space="preserve">. </w:t>
      </w:r>
      <w:r w:rsidR="0009441D" w:rsidRPr="0025250D">
        <w:rPr>
          <w:rtl/>
        </w:rPr>
        <w:t>کتاب</w:t>
      </w:r>
      <w:r w:rsidR="0009441D" w:rsidRPr="0025250D">
        <w:rPr>
          <w:rFonts w:hint="cs"/>
          <w:rtl/>
        </w:rPr>
        <w:t>ی</w:t>
      </w:r>
      <w:r w:rsidR="0009441D" w:rsidRPr="0025250D">
        <w:rPr>
          <w:rtl/>
        </w:rPr>
        <w:t xml:space="preserve"> درخشان که توض</w:t>
      </w:r>
      <w:r w:rsidR="0009441D" w:rsidRPr="0025250D">
        <w:rPr>
          <w:rFonts w:hint="cs"/>
          <w:rtl/>
        </w:rPr>
        <w:t>ی</w:t>
      </w:r>
      <w:r w:rsidR="0009441D" w:rsidRPr="0025250D">
        <w:rPr>
          <w:rFonts w:hint="eastAsia"/>
          <w:rtl/>
        </w:rPr>
        <w:t>ح</w:t>
      </w:r>
      <w:r w:rsidR="0009441D" w:rsidRPr="0025250D">
        <w:rPr>
          <w:rtl/>
        </w:rPr>
        <w:t xml:space="preserve"> م</w:t>
      </w:r>
      <w:r w:rsidR="0009441D" w:rsidRPr="0025250D">
        <w:rPr>
          <w:rFonts w:hint="cs"/>
          <w:rtl/>
        </w:rPr>
        <w:t>ی</w:t>
      </w:r>
      <w:r w:rsidR="0009441D" w:rsidRPr="0025250D">
        <w:rPr>
          <w:rtl/>
        </w:rPr>
        <w:t xml:space="preserve"> دهد چرا برا</w:t>
      </w:r>
      <w:r w:rsidR="0009441D" w:rsidRPr="0025250D">
        <w:rPr>
          <w:rFonts w:hint="cs"/>
          <w:rtl/>
        </w:rPr>
        <w:t>ی</w:t>
      </w:r>
      <w:r w:rsidR="0009441D" w:rsidRPr="0025250D">
        <w:rPr>
          <w:rtl/>
        </w:rPr>
        <w:t xml:space="preserve"> بچه ها بس</w:t>
      </w:r>
      <w:r w:rsidR="0009441D" w:rsidRPr="0025250D">
        <w:rPr>
          <w:rFonts w:hint="cs"/>
          <w:rtl/>
        </w:rPr>
        <w:t>ی</w:t>
      </w:r>
      <w:r w:rsidR="0009441D" w:rsidRPr="0025250D">
        <w:rPr>
          <w:rFonts w:hint="eastAsia"/>
          <w:rtl/>
        </w:rPr>
        <w:t>ار</w:t>
      </w:r>
      <w:r w:rsidR="0009441D" w:rsidRPr="0025250D">
        <w:rPr>
          <w:rtl/>
        </w:rPr>
        <w:t xml:space="preserve"> مهم است که ب</w:t>
      </w:r>
      <w:r w:rsidR="0009441D" w:rsidRPr="0025250D">
        <w:rPr>
          <w:rFonts w:hint="cs"/>
          <w:rtl/>
        </w:rPr>
        <w:t>ی</w:t>
      </w:r>
      <w:r w:rsidR="0009441D" w:rsidRPr="0025250D">
        <w:rPr>
          <w:rFonts w:hint="eastAsia"/>
          <w:rtl/>
        </w:rPr>
        <w:t>شتر</w:t>
      </w:r>
      <w:r w:rsidR="0009441D" w:rsidRPr="0025250D">
        <w:rPr>
          <w:rtl/>
        </w:rPr>
        <w:t xml:space="preserve"> از همسالان خود به والد</w:t>
      </w:r>
      <w:r w:rsidR="0009441D" w:rsidRPr="0025250D">
        <w:rPr>
          <w:rFonts w:hint="cs"/>
          <w:rtl/>
        </w:rPr>
        <w:t>ی</w:t>
      </w:r>
      <w:r w:rsidR="0009441D" w:rsidRPr="0025250D">
        <w:rPr>
          <w:rFonts w:hint="eastAsia"/>
          <w:rtl/>
        </w:rPr>
        <w:t>ن</w:t>
      </w:r>
      <w:r w:rsidR="0009441D" w:rsidRPr="0025250D">
        <w:rPr>
          <w:rtl/>
        </w:rPr>
        <w:t xml:space="preserve"> توجه داشته باشند. </w:t>
      </w:r>
      <w:r w:rsidR="0009441D" w:rsidRPr="0025250D">
        <w:rPr>
          <w:rFonts w:hint="cs"/>
          <w:rtl/>
        </w:rPr>
        <w:t>در اولویت قرار دادن</w:t>
      </w:r>
      <w:r w:rsidR="0009441D" w:rsidRPr="0025250D">
        <w:rPr>
          <w:rtl/>
        </w:rPr>
        <w:t xml:space="preserve"> همسالان، </w:t>
      </w:r>
      <w:r w:rsidR="0009441D" w:rsidRPr="0025250D">
        <w:rPr>
          <w:rFonts w:hint="cs"/>
          <w:rtl/>
        </w:rPr>
        <w:t>موجب</w:t>
      </w:r>
      <w:r w:rsidR="0009441D" w:rsidRPr="0025250D">
        <w:rPr>
          <w:rtl/>
        </w:rPr>
        <w:t xml:space="preserve"> سازگار</w:t>
      </w:r>
      <w:r w:rsidR="0009441D" w:rsidRPr="0025250D">
        <w:rPr>
          <w:rFonts w:hint="cs"/>
          <w:rtl/>
        </w:rPr>
        <w:t>ی</w:t>
      </w:r>
      <w:r w:rsidR="0009441D" w:rsidRPr="0025250D">
        <w:rPr>
          <w:rtl/>
        </w:rPr>
        <w:t>، ر</w:t>
      </w:r>
      <w:r w:rsidR="0009441D" w:rsidRPr="0025250D">
        <w:rPr>
          <w:rFonts w:hint="cs"/>
          <w:rtl/>
        </w:rPr>
        <w:t>ی</w:t>
      </w:r>
      <w:r w:rsidR="0009441D" w:rsidRPr="0025250D">
        <w:rPr>
          <w:rFonts w:hint="eastAsia"/>
          <w:rtl/>
        </w:rPr>
        <w:t>سک</w:t>
      </w:r>
      <w:r w:rsidR="0009441D" w:rsidRPr="0025250D">
        <w:rPr>
          <w:rtl/>
        </w:rPr>
        <w:t xml:space="preserve"> گر</w:t>
      </w:r>
      <w:r w:rsidR="0009441D" w:rsidRPr="0025250D">
        <w:rPr>
          <w:rFonts w:hint="cs"/>
          <w:rtl/>
        </w:rPr>
        <w:t>ی</w:t>
      </w:r>
      <w:r w:rsidR="0009441D" w:rsidRPr="0025250D">
        <w:rPr>
          <w:rFonts w:hint="eastAsia"/>
          <w:rtl/>
        </w:rPr>
        <w:t>ز</w:t>
      </w:r>
      <w:r w:rsidR="0009441D" w:rsidRPr="0025250D">
        <w:rPr>
          <w:rFonts w:hint="cs"/>
          <w:rtl/>
        </w:rPr>
        <w:t>ی</w:t>
      </w:r>
      <w:r w:rsidR="0009441D" w:rsidRPr="0025250D">
        <w:rPr>
          <w:rtl/>
        </w:rPr>
        <w:t xml:space="preserve"> و اغلب همدل</w:t>
      </w:r>
      <w:r w:rsidR="0009441D" w:rsidRPr="0025250D">
        <w:rPr>
          <w:rFonts w:hint="cs"/>
          <w:rtl/>
        </w:rPr>
        <w:t>ی کمتر کودکان می شود</w:t>
      </w:r>
      <w:r w:rsidR="0009441D" w:rsidRPr="0025250D">
        <w:rPr>
          <w:rtl/>
        </w:rPr>
        <w:t xml:space="preserve">. </w:t>
      </w:r>
      <w:r w:rsidR="0009441D" w:rsidRPr="0025250D">
        <w:rPr>
          <w:rFonts w:hint="cs"/>
          <w:rtl/>
        </w:rPr>
        <w:t xml:space="preserve">این کتاب </w:t>
      </w:r>
      <w:r w:rsidR="0009441D" w:rsidRPr="0025250D">
        <w:rPr>
          <w:rtl/>
        </w:rPr>
        <w:t>بس</w:t>
      </w:r>
      <w:r w:rsidR="0009441D" w:rsidRPr="0025250D">
        <w:rPr>
          <w:rFonts w:hint="cs"/>
          <w:rtl/>
        </w:rPr>
        <w:t>ی</w:t>
      </w:r>
      <w:r w:rsidR="0009441D" w:rsidRPr="0025250D">
        <w:rPr>
          <w:rFonts w:hint="eastAsia"/>
          <w:rtl/>
        </w:rPr>
        <w:t>ار</w:t>
      </w:r>
      <w:r w:rsidR="0009441D" w:rsidRPr="0025250D">
        <w:rPr>
          <w:rFonts w:hint="cs"/>
          <w:rtl/>
        </w:rPr>
        <w:t>ی</w:t>
      </w:r>
      <w:r w:rsidR="0009441D" w:rsidRPr="0025250D">
        <w:rPr>
          <w:rtl/>
        </w:rPr>
        <w:t xml:space="preserve"> از تکن</w:t>
      </w:r>
      <w:r w:rsidR="0009441D" w:rsidRPr="0025250D">
        <w:rPr>
          <w:rFonts w:hint="cs"/>
          <w:rtl/>
        </w:rPr>
        <w:t>ی</w:t>
      </w:r>
      <w:r w:rsidR="0009441D" w:rsidRPr="0025250D">
        <w:rPr>
          <w:rFonts w:hint="eastAsia"/>
          <w:rtl/>
        </w:rPr>
        <w:t>ک</w:t>
      </w:r>
      <w:r w:rsidR="0009441D" w:rsidRPr="0025250D">
        <w:rPr>
          <w:rtl/>
        </w:rPr>
        <w:t xml:space="preserve"> ها</w:t>
      </w:r>
      <w:r w:rsidR="0009441D" w:rsidRPr="0025250D">
        <w:rPr>
          <w:rFonts w:hint="cs"/>
          <w:rtl/>
        </w:rPr>
        <w:t>ی</w:t>
      </w:r>
      <w:r w:rsidR="0009441D" w:rsidRPr="0025250D">
        <w:rPr>
          <w:rtl/>
        </w:rPr>
        <w:t xml:space="preserve"> خوب برا</w:t>
      </w:r>
      <w:r w:rsidR="0009441D" w:rsidRPr="0025250D">
        <w:rPr>
          <w:rFonts w:hint="cs"/>
          <w:rtl/>
        </w:rPr>
        <w:t>ی</w:t>
      </w:r>
      <w:r w:rsidR="0009441D" w:rsidRPr="0025250D">
        <w:rPr>
          <w:rtl/>
        </w:rPr>
        <w:t xml:space="preserve"> ا</w:t>
      </w:r>
      <w:r w:rsidR="0009441D" w:rsidRPr="0025250D">
        <w:rPr>
          <w:rFonts w:hint="cs"/>
          <w:rtl/>
        </w:rPr>
        <w:t>ی</w:t>
      </w:r>
      <w:r w:rsidR="0009441D" w:rsidRPr="0025250D">
        <w:rPr>
          <w:rFonts w:hint="eastAsia"/>
          <w:rtl/>
        </w:rPr>
        <w:t>جاد</w:t>
      </w:r>
      <w:r w:rsidR="0009441D" w:rsidRPr="0025250D">
        <w:rPr>
          <w:rtl/>
        </w:rPr>
        <w:t xml:space="preserve"> انسجام خانواده، ارزش ها، هو</w:t>
      </w:r>
      <w:r w:rsidR="0009441D" w:rsidRPr="0025250D">
        <w:rPr>
          <w:rFonts w:hint="cs"/>
          <w:rtl/>
        </w:rPr>
        <w:t>ی</w:t>
      </w:r>
      <w:r w:rsidR="0009441D" w:rsidRPr="0025250D">
        <w:rPr>
          <w:rtl/>
        </w:rPr>
        <w:t>ت و رشد رفتار قو</w:t>
      </w:r>
      <w:r w:rsidR="0009441D" w:rsidRPr="0025250D">
        <w:rPr>
          <w:rFonts w:hint="cs"/>
          <w:rtl/>
        </w:rPr>
        <w:t>ی</w:t>
      </w:r>
      <w:r w:rsidR="0009441D" w:rsidRPr="0025250D">
        <w:rPr>
          <w:rtl/>
        </w:rPr>
        <w:t xml:space="preserve"> تر را ارائه م</w:t>
      </w:r>
      <w:r w:rsidR="0009441D" w:rsidRPr="0025250D">
        <w:rPr>
          <w:rFonts w:hint="cs"/>
          <w:rtl/>
        </w:rPr>
        <w:t>ی</w:t>
      </w:r>
      <w:r w:rsidR="0009441D" w:rsidRPr="0025250D">
        <w:rPr>
          <w:rtl/>
        </w:rPr>
        <w:t xml:space="preserve"> دهد. آموزش دادن به فرزندانمان برا</w:t>
      </w:r>
      <w:r w:rsidR="0009441D" w:rsidRPr="0025250D">
        <w:rPr>
          <w:rFonts w:hint="cs"/>
          <w:rtl/>
        </w:rPr>
        <w:t>ی</w:t>
      </w:r>
      <w:r w:rsidR="0009441D" w:rsidRPr="0025250D">
        <w:rPr>
          <w:rtl/>
        </w:rPr>
        <w:t xml:space="preserve"> </w:t>
      </w:r>
      <w:r w:rsidR="0009441D" w:rsidRPr="0025250D">
        <w:rPr>
          <w:rFonts w:hint="cs"/>
          <w:rtl/>
        </w:rPr>
        <w:t>تفکر</w:t>
      </w:r>
      <w:r w:rsidR="0009441D" w:rsidRPr="0025250D">
        <w:rPr>
          <w:rtl/>
        </w:rPr>
        <w:t xml:space="preserve">، </w:t>
      </w:r>
      <w:r w:rsidR="00D92F6E" w:rsidRPr="0025250D">
        <w:rPr>
          <w:rtl/>
        </w:rPr>
        <w:t>پیش‌بین</w:t>
      </w:r>
      <w:r w:rsidR="0009441D" w:rsidRPr="0025250D">
        <w:rPr>
          <w:rFonts w:hint="cs"/>
          <w:rtl/>
        </w:rPr>
        <w:t>ی</w:t>
      </w:r>
      <w:r w:rsidR="0009441D" w:rsidRPr="0025250D">
        <w:rPr>
          <w:rFonts w:hint="eastAsia"/>
          <w:rtl/>
        </w:rPr>
        <w:t>،</w:t>
      </w:r>
      <w:r w:rsidR="0009441D" w:rsidRPr="0025250D">
        <w:rPr>
          <w:rtl/>
        </w:rPr>
        <w:t xml:space="preserve"> تصور و خلق آ</w:t>
      </w:r>
      <w:r w:rsidR="0009441D" w:rsidRPr="0025250D">
        <w:rPr>
          <w:rFonts w:hint="cs"/>
          <w:rtl/>
        </w:rPr>
        <w:t>ی</w:t>
      </w:r>
      <w:r w:rsidR="0009441D" w:rsidRPr="0025250D">
        <w:rPr>
          <w:rFonts w:hint="eastAsia"/>
          <w:rtl/>
        </w:rPr>
        <w:t>نده</w:t>
      </w:r>
      <w:r w:rsidR="0009441D" w:rsidRPr="0025250D">
        <w:rPr>
          <w:rtl/>
        </w:rPr>
        <w:t xml:space="preserve"> بهتر </w:t>
      </w:r>
      <w:r w:rsidR="0009441D" w:rsidRPr="0025250D">
        <w:rPr>
          <w:rFonts w:hint="cs"/>
          <w:rtl/>
        </w:rPr>
        <w:t>ی</w:t>
      </w:r>
      <w:r w:rsidR="0009441D" w:rsidRPr="0025250D">
        <w:rPr>
          <w:rFonts w:hint="eastAsia"/>
          <w:rtl/>
        </w:rPr>
        <w:t>ک</w:t>
      </w:r>
      <w:r w:rsidR="0009441D" w:rsidRPr="0025250D">
        <w:rPr>
          <w:rFonts w:hint="cs"/>
          <w:rtl/>
        </w:rPr>
        <w:t>ی</w:t>
      </w:r>
      <w:r w:rsidR="0009441D" w:rsidRPr="0025250D">
        <w:rPr>
          <w:rtl/>
        </w:rPr>
        <w:t xml:space="preserve"> از بزرگتر</w:t>
      </w:r>
      <w:r w:rsidR="0009441D" w:rsidRPr="0025250D">
        <w:rPr>
          <w:rFonts w:hint="cs"/>
          <w:rtl/>
        </w:rPr>
        <w:t>ی</w:t>
      </w:r>
      <w:r w:rsidR="0009441D" w:rsidRPr="0025250D">
        <w:rPr>
          <w:rFonts w:hint="eastAsia"/>
          <w:rtl/>
        </w:rPr>
        <w:t>ن</w:t>
      </w:r>
      <w:r w:rsidR="0009441D" w:rsidRPr="0025250D">
        <w:rPr>
          <w:rtl/>
        </w:rPr>
        <w:t xml:space="preserve"> امت</w:t>
      </w:r>
      <w:r w:rsidR="0009441D" w:rsidRPr="0025250D">
        <w:rPr>
          <w:rFonts w:hint="cs"/>
          <w:rtl/>
        </w:rPr>
        <w:t>ی</w:t>
      </w:r>
      <w:r w:rsidR="0009441D" w:rsidRPr="0025250D">
        <w:rPr>
          <w:rFonts w:hint="eastAsia"/>
          <w:rtl/>
        </w:rPr>
        <w:t>ازات</w:t>
      </w:r>
      <w:r w:rsidR="0009441D" w:rsidRPr="0025250D">
        <w:rPr>
          <w:rtl/>
        </w:rPr>
        <w:t xml:space="preserve"> و مسئول</w:t>
      </w:r>
      <w:r w:rsidR="0009441D" w:rsidRPr="0025250D">
        <w:rPr>
          <w:rFonts w:hint="cs"/>
          <w:rtl/>
        </w:rPr>
        <w:t>ی</w:t>
      </w:r>
      <w:r w:rsidR="0009441D" w:rsidRPr="0025250D">
        <w:rPr>
          <w:rFonts w:hint="eastAsia"/>
          <w:rtl/>
        </w:rPr>
        <w:t>ت</w:t>
      </w:r>
      <w:r w:rsidR="0009441D" w:rsidRPr="0025250D">
        <w:rPr>
          <w:rtl/>
        </w:rPr>
        <w:t xml:space="preserve"> ها</w:t>
      </w:r>
      <w:r w:rsidR="0009441D" w:rsidRPr="0025250D">
        <w:rPr>
          <w:rFonts w:hint="cs"/>
          <w:rtl/>
        </w:rPr>
        <w:t>ی</w:t>
      </w:r>
      <w:r w:rsidR="0009441D" w:rsidRPr="0025250D">
        <w:rPr>
          <w:rtl/>
        </w:rPr>
        <w:t xml:space="preserve"> ما به عنوان والد</w:t>
      </w:r>
      <w:r w:rsidR="0009441D" w:rsidRPr="0025250D">
        <w:rPr>
          <w:rFonts w:hint="cs"/>
          <w:rtl/>
        </w:rPr>
        <w:t>ی</w:t>
      </w:r>
      <w:r w:rsidR="0009441D" w:rsidRPr="0025250D">
        <w:rPr>
          <w:rFonts w:hint="eastAsia"/>
          <w:rtl/>
        </w:rPr>
        <w:t>ن</w:t>
      </w:r>
      <w:r w:rsidR="0009441D" w:rsidRPr="0025250D">
        <w:rPr>
          <w:rtl/>
        </w:rPr>
        <w:t xml:space="preserve"> است.</w:t>
      </w:r>
    </w:p>
    <w:p w14:paraId="336B087C" w14:textId="39298A83" w:rsidR="0009441D" w:rsidRPr="0025250D" w:rsidRDefault="0009441D" w:rsidP="00492C47">
      <w:pPr>
        <w:numPr>
          <w:ilvl w:val="0"/>
          <w:numId w:val="78"/>
        </w:numPr>
      </w:pPr>
      <w:r w:rsidRPr="0025250D">
        <w:rPr>
          <w:rtl/>
        </w:rPr>
        <w:t>راهنما</w:t>
      </w:r>
      <w:r w:rsidRPr="0025250D">
        <w:rPr>
          <w:rFonts w:hint="cs"/>
          <w:rtl/>
        </w:rPr>
        <w:t>ی</w:t>
      </w:r>
      <w:r w:rsidRPr="0025250D">
        <w:rPr>
          <w:rtl/>
        </w:rPr>
        <w:t xml:space="preserve"> سرما</w:t>
      </w:r>
      <w:r w:rsidRPr="0025250D">
        <w:rPr>
          <w:rFonts w:hint="cs"/>
          <w:rtl/>
        </w:rPr>
        <w:t>ی</w:t>
      </w:r>
      <w:r w:rsidRPr="0025250D">
        <w:rPr>
          <w:rFonts w:hint="eastAsia"/>
          <w:rtl/>
        </w:rPr>
        <w:t>ه‌گذار</w:t>
      </w:r>
      <w:r w:rsidRPr="0025250D">
        <w:rPr>
          <w:rFonts w:hint="cs"/>
          <w:rtl/>
        </w:rPr>
        <w:t>ی</w:t>
      </w:r>
      <w:r w:rsidRPr="0025250D">
        <w:rPr>
          <w:rtl/>
        </w:rPr>
        <w:t xml:space="preserve"> </w:t>
      </w:r>
      <w:r w:rsidRPr="0025250D">
        <w:rPr>
          <w:rFonts w:hint="cs"/>
          <w:rtl/>
        </w:rPr>
        <w:t>ماتلی فول</w:t>
      </w:r>
      <w:r w:rsidRPr="0025250D">
        <w:rPr>
          <w:rtl/>
        </w:rPr>
        <w:t>، و</w:t>
      </w:r>
      <w:r w:rsidRPr="0025250D">
        <w:rPr>
          <w:rFonts w:hint="cs"/>
          <w:rtl/>
        </w:rPr>
        <w:t>ی</w:t>
      </w:r>
      <w:r w:rsidRPr="0025250D">
        <w:rPr>
          <w:rFonts w:hint="eastAsia"/>
          <w:rtl/>
        </w:rPr>
        <w:t>را</w:t>
      </w:r>
      <w:r w:rsidRPr="0025250D">
        <w:rPr>
          <w:rFonts w:hint="cs"/>
          <w:rtl/>
        </w:rPr>
        <w:t>ی</w:t>
      </w:r>
      <w:r w:rsidRPr="0025250D">
        <w:rPr>
          <w:rFonts w:hint="eastAsia"/>
          <w:rtl/>
        </w:rPr>
        <w:t>ش</w:t>
      </w:r>
      <w:r w:rsidRPr="0025250D">
        <w:rPr>
          <w:rtl/>
        </w:rPr>
        <w:t xml:space="preserve"> سوم، تام و د</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rtl/>
        </w:rPr>
        <w:t xml:space="preserve"> گاردنر</w:t>
      </w:r>
      <w:r w:rsidRPr="0025250D">
        <w:rPr>
          <w:vertAlign w:val="superscript"/>
          <w:rtl/>
        </w:rPr>
        <w:footnoteReference w:id="3346"/>
      </w:r>
      <w:r w:rsidRPr="0025250D">
        <w:rPr>
          <w:rtl/>
        </w:rPr>
        <w:t xml:space="preserve">، 2017. </w:t>
      </w:r>
      <w:r w:rsidRPr="0025250D">
        <w:rPr>
          <w:rFonts w:hint="cs"/>
          <w:rtl/>
        </w:rPr>
        <w:t>ی</w:t>
      </w:r>
      <w:r w:rsidRPr="0025250D">
        <w:rPr>
          <w:rFonts w:hint="eastAsia"/>
          <w:rtl/>
        </w:rPr>
        <w:t>ک</w:t>
      </w:r>
      <w:r w:rsidRPr="0025250D">
        <w:rPr>
          <w:rtl/>
        </w:rPr>
        <w:t xml:space="preserve"> مرور کل</w:t>
      </w:r>
      <w:r w:rsidRPr="0025250D">
        <w:rPr>
          <w:rFonts w:hint="cs"/>
          <w:rtl/>
        </w:rPr>
        <w:t>ی</w:t>
      </w:r>
      <w:r w:rsidRPr="0025250D">
        <w:rPr>
          <w:rtl/>
        </w:rPr>
        <w:t xml:space="preserve"> خوب از نظم </w:t>
      </w:r>
      <w:r w:rsidRPr="0025250D">
        <w:rPr>
          <w:rFonts w:hint="cs"/>
          <w:rtl/>
        </w:rPr>
        <w:t>ی</w:t>
      </w:r>
      <w:r w:rsidRPr="0025250D">
        <w:rPr>
          <w:rFonts w:hint="eastAsia"/>
          <w:rtl/>
        </w:rPr>
        <w:t>افتن</w:t>
      </w:r>
      <w:r w:rsidRPr="0025250D">
        <w:rPr>
          <w:rtl/>
        </w:rPr>
        <w:t xml:space="preserve"> شرکت‌ها</w:t>
      </w:r>
      <w:r w:rsidRPr="0025250D">
        <w:rPr>
          <w:rFonts w:hint="cs"/>
          <w:rtl/>
        </w:rPr>
        <w:t>ی</w:t>
      </w:r>
      <w:r w:rsidRPr="0025250D">
        <w:rPr>
          <w:rtl/>
        </w:rPr>
        <w:t xml:space="preserve"> با ارزش و </w:t>
      </w:r>
      <w:r w:rsidR="001C62AD" w:rsidRPr="0025250D">
        <w:rPr>
          <w:rtl/>
        </w:rPr>
        <w:t>«</w:t>
      </w:r>
      <w:r w:rsidRPr="0025250D">
        <w:rPr>
          <w:rtl/>
        </w:rPr>
        <w:t>سرما</w:t>
      </w:r>
      <w:r w:rsidRPr="0025250D">
        <w:rPr>
          <w:rFonts w:hint="cs"/>
          <w:rtl/>
        </w:rPr>
        <w:t>ی</w:t>
      </w:r>
      <w:r w:rsidRPr="0025250D">
        <w:rPr>
          <w:rFonts w:hint="eastAsia"/>
          <w:rtl/>
        </w:rPr>
        <w:t>ه‌گذار</w:t>
      </w:r>
      <w:r w:rsidRPr="0025250D">
        <w:rPr>
          <w:rFonts w:hint="cs"/>
          <w:rtl/>
        </w:rPr>
        <w:t>ی</w:t>
      </w:r>
      <w:r w:rsidRPr="0025250D">
        <w:rPr>
          <w:rFonts w:hint="eastAsia"/>
          <w:rtl/>
        </w:rPr>
        <w:t>»</w:t>
      </w:r>
      <w:r w:rsidRPr="0025250D">
        <w:rPr>
          <w:rtl/>
        </w:rPr>
        <w:t xml:space="preserve"> بخش خوب</w:t>
      </w:r>
      <w:r w:rsidRPr="0025250D">
        <w:rPr>
          <w:rFonts w:hint="cs"/>
          <w:rtl/>
        </w:rPr>
        <w:t>ی</w:t>
      </w:r>
      <w:r w:rsidRPr="0025250D">
        <w:rPr>
          <w:rtl/>
        </w:rPr>
        <w:t xml:space="preserve"> از پس‌انداز در آنها. کنار گذاشتن 100 دلار در هفته در طول چهل سال برا</w:t>
      </w:r>
      <w:r w:rsidRPr="0025250D">
        <w:rPr>
          <w:rFonts w:hint="cs"/>
          <w:rtl/>
        </w:rPr>
        <w:t>ی</w:t>
      </w:r>
      <w:r w:rsidRPr="0025250D">
        <w:rPr>
          <w:rtl/>
        </w:rPr>
        <w:t xml:space="preserve"> </w:t>
      </w:r>
      <w:r w:rsidR="00F50EB4" w:rsidRPr="0025250D">
        <w:rPr>
          <w:rtl/>
        </w:rPr>
        <w:t>سرمایه‌گذاری</w:t>
      </w:r>
      <w:r w:rsidRPr="0025250D">
        <w:rPr>
          <w:rtl/>
        </w:rPr>
        <w:t xml:space="preserve"> در شرکت ها</w:t>
      </w:r>
      <w:r w:rsidRPr="0025250D">
        <w:rPr>
          <w:rFonts w:hint="cs"/>
          <w:rtl/>
        </w:rPr>
        <w:t>ی</w:t>
      </w:r>
      <w:r w:rsidRPr="0025250D">
        <w:rPr>
          <w:rtl/>
        </w:rPr>
        <w:t xml:space="preserve"> در حال رشد، مطمئن تر</w:t>
      </w:r>
      <w:r w:rsidRPr="0025250D">
        <w:rPr>
          <w:rFonts w:hint="cs"/>
          <w:rtl/>
        </w:rPr>
        <w:t>ی</w:t>
      </w:r>
      <w:r w:rsidRPr="0025250D">
        <w:rPr>
          <w:rFonts w:hint="eastAsia"/>
          <w:rtl/>
        </w:rPr>
        <w:t>ن</w:t>
      </w:r>
      <w:r w:rsidRPr="0025250D">
        <w:rPr>
          <w:rtl/>
        </w:rPr>
        <w:t xml:space="preserve"> راه برا</w:t>
      </w:r>
      <w:r w:rsidRPr="0025250D">
        <w:rPr>
          <w:rFonts w:hint="cs"/>
          <w:rtl/>
        </w:rPr>
        <w:t>ی</w:t>
      </w:r>
      <w:r w:rsidRPr="0025250D">
        <w:rPr>
          <w:rtl/>
        </w:rPr>
        <w:t xml:space="preserve"> استقلال مال</w:t>
      </w:r>
      <w:r w:rsidRPr="0025250D">
        <w:rPr>
          <w:rFonts w:hint="cs"/>
          <w:rtl/>
        </w:rPr>
        <w:t>ی</w:t>
      </w:r>
      <w:r w:rsidRPr="0025250D">
        <w:rPr>
          <w:rtl/>
        </w:rPr>
        <w:t xml:space="preserve"> است.</w:t>
      </w:r>
      <w:r w:rsidRPr="0025250D">
        <w:rPr>
          <w:rFonts w:hint="cs"/>
          <w:rtl/>
        </w:rPr>
        <w:t xml:space="preserve"> </w:t>
      </w:r>
      <w:r w:rsidRPr="0025250D">
        <w:rPr>
          <w:rtl/>
        </w:rPr>
        <w:t>ا</w:t>
      </w:r>
      <w:r w:rsidRPr="0025250D">
        <w:rPr>
          <w:rFonts w:hint="cs"/>
          <w:rtl/>
        </w:rPr>
        <w:t>ی</w:t>
      </w:r>
      <w:r w:rsidRPr="0025250D">
        <w:rPr>
          <w:rFonts w:hint="eastAsia"/>
          <w:rtl/>
        </w:rPr>
        <w:t>ن</w:t>
      </w:r>
      <w:r w:rsidRPr="0025250D">
        <w:rPr>
          <w:rtl/>
        </w:rPr>
        <w:t xml:space="preserve"> کتاب به شما م</w:t>
      </w:r>
      <w:r w:rsidRPr="0025250D">
        <w:rPr>
          <w:rFonts w:hint="cs"/>
          <w:rtl/>
        </w:rPr>
        <w:t>ی</w:t>
      </w:r>
      <w:r w:rsidRPr="0025250D">
        <w:rPr>
          <w:rtl/>
        </w:rPr>
        <w:t xml:space="preserve"> گو</w:t>
      </w:r>
      <w:r w:rsidRPr="0025250D">
        <w:rPr>
          <w:rFonts w:hint="cs"/>
          <w:rtl/>
        </w:rPr>
        <w:t>ی</w:t>
      </w:r>
      <w:r w:rsidRPr="0025250D">
        <w:rPr>
          <w:rFonts w:hint="eastAsia"/>
          <w:rtl/>
        </w:rPr>
        <w:t>د</w:t>
      </w:r>
      <w:r w:rsidRPr="0025250D">
        <w:rPr>
          <w:rtl/>
        </w:rPr>
        <w:t xml:space="preserve"> که چگونه ا</w:t>
      </w:r>
      <w:r w:rsidRPr="0025250D">
        <w:rPr>
          <w:rFonts w:hint="cs"/>
          <w:rtl/>
        </w:rPr>
        <w:t>ی</w:t>
      </w:r>
      <w:r w:rsidRPr="0025250D">
        <w:rPr>
          <w:rFonts w:hint="eastAsia"/>
          <w:rtl/>
        </w:rPr>
        <w:t>ن</w:t>
      </w:r>
      <w:r w:rsidRPr="0025250D">
        <w:rPr>
          <w:rtl/>
        </w:rPr>
        <w:t xml:space="preserve"> کار را انجام ده</w:t>
      </w:r>
      <w:r w:rsidRPr="0025250D">
        <w:rPr>
          <w:rFonts w:hint="cs"/>
          <w:rtl/>
        </w:rPr>
        <w:t>ی</w:t>
      </w:r>
      <w:r w:rsidRPr="0025250D">
        <w:rPr>
          <w:rFonts w:hint="eastAsia"/>
          <w:rtl/>
        </w:rPr>
        <w:t>د</w:t>
      </w:r>
      <w:r w:rsidRPr="0025250D">
        <w:rPr>
          <w:rtl/>
        </w:rPr>
        <w:t xml:space="preserve"> و فقط </w:t>
      </w:r>
      <w:r w:rsidRPr="0025250D">
        <w:rPr>
          <w:rFonts w:hint="cs"/>
          <w:rtl/>
        </w:rPr>
        <w:t>ی</w:t>
      </w:r>
      <w:r w:rsidRPr="0025250D">
        <w:rPr>
          <w:rFonts w:hint="eastAsia"/>
          <w:rtl/>
        </w:rPr>
        <w:t>ک</w:t>
      </w:r>
      <w:r w:rsidRPr="0025250D">
        <w:rPr>
          <w:rtl/>
        </w:rPr>
        <w:t xml:space="preserve"> بار در ماه به </w:t>
      </w:r>
      <w:r w:rsidR="00F50EB4" w:rsidRPr="0025250D">
        <w:rPr>
          <w:rtl/>
        </w:rPr>
        <w:t>سرمایه‌گذاری</w:t>
      </w:r>
      <w:r w:rsidRPr="0025250D">
        <w:rPr>
          <w:rtl/>
        </w:rPr>
        <w:t xml:space="preserve"> ها</w:t>
      </w:r>
      <w:r w:rsidRPr="0025250D">
        <w:rPr>
          <w:rFonts w:hint="cs"/>
          <w:rtl/>
        </w:rPr>
        <w:t>ی</w:t>
      </w:r>
      <w:r w:rsidRPr="0025250D">
        <w:rPr>
          <w:rtl/>
        </w:rPr>
        <w:t xml:space="preserve"> خود توجه کن</w:t>
      </w:r>
      <w:r w:rsidRPr="0025250D">
        <w:rPr>
          <w:rFonts w:hint="cs"/>
          <w:rtl/>
        </w:rPr>
        <w:t>ی</w:t>
      </w:r>
      <w:r w:rsidRPr="0025250D">
        <w:rPr>
          <w:rFonts w:hint="eastAsia"/>
          <w:rtl/>
        </w:rPr>
        <w:t>د</w:t>
      </w:r>
      <w:r w:rsidRPr="0025250D">
        <w:rPr>
          <w:rtl/>
        </w:rPr>
        <w:t>. همچن</w:t>
      </w:r>
      <w:r w:rsidRPr="0025250D">
        <w:rPr>
          <w:rFonts w:hint="cs"/>
          <w:rtl/>
        </w:rPr>
        <w:t>ی</w:t>
      </w:r>
      <w:r w:rsidRPr="0025250D">
        <w:rPr>
          <w:rFonts w:hint="eastAsia"/>
          <w:rtl/>
        </w:rPr>
        <w:t>ن</w:t>
      </w:r>
      <w:r w:rsidRPr="0025250D">
        <w:rPr>
          <w:rtl/>
        </w:rPr>
        <w:t xml:space="preserve"> دارا</w:t>
      </w:r>
      <w:r w:rsidRPr="0025250D">
        <w:rPr>
          <w:rFonts w:hint="cs"/>
          <w:rtl/>
        </w:rPr>
        <w:t>ی</w:t>
      </w:r>
      <w:r w:rsidRPr="0025250D">
        <w:rPr>
          <w:rtl/>
        </w:rPr>
        <w:t xml:space="preserve"> </w:t>
      </w:r>
      <w:r w:rsidRPr="0025250D">
        <w:rPr>
          <w:rFonts w:hint="cs"/>
          <w:rtl/>
        </w:rPr>
        <w:t>ی</w:t>
      </w:r>
      <w:r w:rsidRPr="0025250D">
        <w:rPr>
          <w:rFonts w:hint="eastAsia"/>
          <w:rtl/>
        </w:rPr>
        <w:t>ک</w:t>
      </w:r>
      <w:r w:rsidRPr="0025250D">
        <w:rPr>
          <w:rtl/>
        </w:rPr>
        <w:t xml:space="preserve"> جامعه قو</w:t>
      </w:r>
      <w:r w:rsidRPr="0025250D">
        <w:rPr>
          <w:rFonts w:hint="cs"/>
          <w:rtl/>
        </w:rPr>
        <w:t>ی</w:t>
      </w:r>
      <w:r w:rsidRPr="0025250D">
        <w:rPr>
          <w:rtl/>
        </w:rPr>
        <w:t xml:space="preserve"> از مشاوران </w:t>
      </w:r>
      <w:r w:rsidR="00F50EB4" w:rsidRPr="0025250D">
        <w:rPr>
          <w:rtl/>
        </w:rPr>
        <w:t>سرمایه‌گذاری</w:t>
      </w:r>
      <w:r w:rsidRPr="0025250D">
        <w:rPr>
          <w:rtl/>
        </w:rPr>
        <w:t xml:space="preserve"> حرفه ا</w:t>
      </w:r>
      <w:r w:rsidRPr="0025250D">
        <w:rPr>
          <w:rFonts w:hint="cs"/>
          <w:rtl/>
        </w:rPr>
        <w:t>ی</w:t>
      </w:r>
      <w:r w:rsidRPr="0025250D">
        <w:rPr>
          <w:rtl/>
        </w:rPr>
        <w:t xml:space="preserve"> در آن است. برخلاف سا</w:t>
      </w:r>
      <w:r w:rsidRPr="0025250D">
        <w:rPr>
          <w:rFonts w:hint="cs"/>
          <w:rtl/>
        </w:rPr>
        <w:t>ی</w:t>
      </w:r>
      <w:r w:rsidRPr="0025250D">
        <w:rPr>
          <w:rFonts w:hint="eastAsia"/>
          <w:rtl/>
        </w:rPr>
        <w:t>ر</w:t>
      </w:r>
      <w:r w:rsidRPr="0025250D">
        <w:rPr>
          <w:rtl/>
        </w:rPr>
        <w:t xml:space="preserve"> خدمات مشاوره، هز</w:t>
      </w:r>
      <w:r w:rsidRPr="0025250D">
        <w:rPr>
          <w:rFonts w:hint="cs"/>
          <w:rtl/>
        </w:rPr>
        <w:t>ی</w:t>
      </w:r>
      <w:r w:rsidRPr="0025250D">
        <w:rPr>
          <w:rFonts w:hint="eastAsia"/>
          <w:rtl/>
        </w:rPr>
        <w:t>نه</w:t>
      </w:r>
      <w:r w:rsidRPr="0025250D">
        <w:rPr>
          <w:rtl/>
        </w:rPr>
        <w:t xml:space="preserve"> </w:t>
      </w:r>
      <w:r w:rsidRPr="0025250D">
        <w:rPr>
          <w:rFonts w:hint="cs"/>
          <w:rtl/>
        </w:rPr>
        <w:t>زیادی برای</w:t>
      </w:r>
      <w:r w:rsidRPr="0025250D">
        <w:rPr>
          <w:rtl/>
        </w:rPr>
        <w:t xml:space="preserve"> شما نخو</w:t>
      </w:r>
      <w:r w:rsidRPr="0025250D">
        <w:rPr>
          <w:rFonts w:hint="eastAsia"/>
          <w:rtl/>
        </w:rPr>
        <w:t>اهد</w:t>
      </w:r>
      <w:r w:rsidRPr="0025250D">
        <w:rPr>
          <w:rtl/>
        </w:rPr>
        <w:t xml:space="preserve"> داشت.</w:t>
      </w:r>
    </w:p>
    <w:p w14:paraId="2C315A09" w14:textId="78C6AFB8" w:rsidR="0009441D" w:rsidRPr="0025250D" w:rsidRDefault="0009441D" w:rsidP="00492C47">
      <w:pPr>
        <w:numPr>
          <w:ilvl w:val="0"/>
          <w:numId w:val="78"/>
        </w:numPr>
      </w:pPr>
      <w:r w:rsidRPr="0025250D">
        <w:rPr>
          <w:rtl/>
        </w:rPr>
        <w:t>روانشناس</w:t>
      </w:r>
      <w:r w:rsidRPr="0025250D">
        <w:rPr>
          <w:rFonts w:hint="cs"/>
          <w:rtl/>
        </w:rPr>
        <w:t>ی</w:t>
      </w:r>
      <w:r w:rsidRPr="0025250D">
        <w:rPr>
          <w:rtl/>
        </w:rPr>
        <w:t xml:space="preserve"> پول، مورگان هاوسل</w:t>
      </w:r>
      <w:r w:rsidRPr="0025250D">
        <w:rPr>
          <w:vertAlign w:val="superscript"/>
          <w:rtl/>
        </w:rPr>
        <w:footnoteReference w:id="3347"/>
      </w:r>
      <w:r w:rsidRPr="0025250D">
        <w:rPr>
          <w:rtl/>
        </w:rPr>
        <w:t>، 2020</w:t>
      </w:r>
      <w:r w:rsidRPr="0025250D">
        <w:rPr>
          <w:rFonts w:hint="cs"/>
          <w:rtl/>
        </w:rPr>
        <w:t xml:space="preserve">. </w:t>
      </w:r>
      <w:r w:rsidRPr="0025250D">
        <w:rPr>
          <w:rtl/>
        </w:rPr>
        <w:t>کتاب</w:t>
      </w:r>
      <w:r w:rsidRPr="0025250D">
        <w:rPr>
          <w:rFonts w:hint="cs"/>
          <w:rtl/>
        </w:rPr>
        <w:t>ی</w:t>
      </w:r>
      <w:r w:rsidRPr="0025250D">
        <w:rPr>
          <w:rtl/>
        </w:rPr>
        <w:t xml:space="preserve"> عال</w:t>
      </w:r>
      <w:r w:rsidRPr="0025250D">
        <w:rPr>
          <w:rFonts w:hint="cs"/>
          <w:rtl/>
        </w:rPr>
        <w:t>ی</w:t>
      </w:r>
      <w:r w:rsidRPr="0025250D">
        <w:rPr>
          <w:rtl/>
        </w:rPr>
        <w:t xml:space="preserve"> که بر باورها و عادات ما در مورد پول و ا</w:t>
      </w:r>
      <w:r w:rsidRPr="0025250D">
        <w:rPr>
          <w:rFonts w:hint="cs"/>
          <w:rtl/>
        </w:rPr>
        <w:t>ی</w:t>
      </w:r>
      <w:r w:rsidRPr="0025250D">
        <w:rPr>
          <w:rFonts w:hint="eastAsia"/>
          <w:rtl/>
        </w:rPr>
        <w:t>نکه</w:t>
      </w:r>
      <w:r w:rsidRPr="0025250D">
        <w:rPr>
          <w:rtl/>
        </w:rPr>
        <w:t xml:space="preserve"> چقدر به ما کمک م</w:t>
      </w:r>
      <w:r w:rsidRPr="0025250D">
        <w:rPr>
          <w:rFonts w:hint="cs"/>
          <w:rtl/>
        </w:rPr>
        <w:t>ی</w:t>
      </w:r>
      <w:r w:rsidRPr="0025250D">
        <w:rPr>
          <w:rtl/>
        </w:rPr>
        <w:t xml:space="preserve"> کند </w:t>
      </w:r>
      <w:r w:rsidRPr="0025250D">
        <w:rPr>
          <w:rFonts w:hint="cs"/>
          <w:rtl/>
        </w:rPr>
        <w:t>ی</w:t>
      </w:r>
      <w:r w:rsidRPr="0025250D">
        <w:rPr>
          <w:rFonts w:hint="eastAsia"/>
          <w:rtl/>
        </w:rPr>
        <w:t>ا</w:t>
      </w:r>
      <w:r w:rsidRPr="0025250D">
        <w:rPr>
          <w:rtl/>
        </w:rPr>
        <w:t xml:space="preserve"> به ما آس</w:t>
      </w:r>
      <w:r w:rsidRPr="0025250D">
        <w:rPr>
          <w:rFonts w:hint="cs"/>
          <w:rtl/>
        </w:rPr>
        <w:t>ی</w:t>
      </w:r>
      <w:r w:rsidRPr="0025250D">
        <w:rPr>
          <w:rFonts w:hint="eastAsia"/>
          <w:rtl/>
        </w:rPr>
        <w:t>ب</w:t>
      </w:r>
      <w:r w:rsidRPr="0025250D">
        <w:rPr>
          <w:rtl/>
        </w:rPr>
        <w:t xml:space="preserve"> م</w:t>
      </w:r>
      <w:r w:rsidRPr="0025250D">
        <w:rPr>
          <w:rFonts w:hint="cs"/>
          <w:rtl/>
        </w:rPr>
        <w:t>ی</w:t>
      </w:r>
      <w:r w:rsidRPr="0025250D">
        <w:rPr>
          <w:rtl/>
        </w:rPr>
        <w:t xml:space="preserve"> رساند تمرکز م</w:t>
      </w:r>
      <w:r w:rsidRPr="0025250D">
        <w:rPr>
          <w:rFonts w:hint="cs"/>
          <w:rtl/>
        </w:rPr>
        <w:t>ی</w:t>
      </w:r>
      <w:r w:rsidRPr="0025250D">
        <w:rPr>
          <w:rtl/>
        </w:rPr>
        <w:t xml:space="preserve"> کند. مقاله بزرگ</w:t>
      </w:r>
      <w:r w:rsidRPr="0025250D">
        <w:rPr>
          <w:rFonts w:hint="cs"/>
          <w:rtl/>
        </w:rPr>
        <w:t>ی</w:t>
      </w:r>
      <w:r w:rsidRPr="0025250D">
        <w:rPr>
          <w:rtl/>
        </w:rPr>
        <w:t xml:space="preserve"> که کتاب او را به وجود آورد، با داستان دو سرما</w:t>
      </w:r>
      <w:r w:rsidRPr="0025250D">
        <w:rPr>
          <w:rFonts w:hint="cs"/>
          <w:rtl/>
        </w:rPr>
        <w:t>ی</w:t>
      </w:r>
      <w:r w:rsidRPr="0025250D">
        <w:rPr>
          <w:rFonts w:hint="eastAsia"/>
          <w:rtl/>
        </w:rPr>
        <w:t>ه‌گذار</w:t>
      </w:r>
      <w:r w:rsidRPr="0025250D">
        <w:rPr>
          <w:rtl/>
        </w:rPr>
        <w:t xml:space="preserve"> و رو</w:t>
      </w:r>
      <w:r w:rsidRPr="0025250D">
        <w:rPr>
          <w:rFonts w:hint="cs"/>
          <w:rtl/>
        </w:rPr>
        <w:t>ی</w:t>
      </w:r>
      <w:r w:rsidRPr="0025250D">
        <w:rPr>
          <w:rFonts w:hint="eastAsia"/>
          <w:rtl/>
        </w:rPr>
        <w:t>کردها</w:t>
      </w:r>
      <w:r w:rsidRPr="0025250D">
        <w:rPr>
          <w:rFonts w:hint="cs"/>
          <w:rtl/>
        </w:rPr>
        <w:t>ی</w:t>
      </w:r>
      <w:r w:rsidRPr="0025250D">
        <w:rPr>
          <w:rtl/>
        </w:rPr>
        <w:t xml:space="preserve"> بس</w:t>
      </w:r>
      <w:r w:rsidRPr="0025250D">
        <w:rPr>
          <w:rFonts w:hint="cs"/>
          <w:rtl/>
        </w:rPr>
        <w:t>ی</w:t>
      </w:r>
      <w:r w:rsidRPr="0025250D">
        <w:rPr>
          <w:rFonts w:hint="eastAsia"/>
          <w:rtl/>
        </w:rPr>
        <w:t>ار</w:t>
      </w:r>
      <w:r w:rsidRPr="0025250D">
        <w:rPr>
          <w:rtl/>
        </w:rPr>
        <w:t xml:space="preserve"> متفاوت آنها برا</w:t>
      </w:r>
      <w:r w:rsidRPr="0025250D">
        <w:rPr>
          <w:rFonts w:hint="cs"/>
          <w:rtl/>
        </w:rPr>
        <w:t>ی</w:t>
      </w:r>
      <w:r w:rsidRPr="0025250D">
        <w:rPr>
          <w:rtl/>
        </w:rPr>
        <w:t xml:space="preserve"> پس‌انداز و سرما</w:t>
      </w:r>
      <w:r w:rsidRPr="0025250D">
        <w:rPr>
          <w:rFonts w:hint="cs"/>
          <w:rtl/>
        </w:rPr>
        <w:t>ی</w:t>
      </w:r>
      <w:r w:rsidRPr="0025250D">
        <w:rPr>
          <w:rFonts w:hint="eastAsia"/>
          <w:rtl/>
        </w:rPr>
        <w:t>ه‌گذار</w:t>
      </w:r>
      <w:r w:rsidRPr="0025250D">
        <w:rPr>
          <w:rFonts w:hint="cs"/>
          <w:rtl/>
        </w:rPr>
        <w:t>ی</w:t>
      </w:r>
      <w:r w:rsidRPr="0025250D">
        <w:rPr>
          <w:rtl/>
        </w:rPr>
        <w:t xml:space="preserve"> آغاز م</w:t>
      </w:r>
      <w:r w:rsidRPr="0025250D">
        <w:rPr>
          <w:rFonts w:hint="cs"/>
          <w:rtl/>
        </w:rPr>
        <w:t>ی‌</w:t>
      </w:r>
      <w:r w:rsidRPr="0025250D">
        <w:rPr>
          <w:rFonts w:hint="eastAsia"/>
          <w:rtl/>
        </w:rPr>
        <w:t>شود</w:t>
      </w:r>
      <w:r w:rsidRPr="0025250D">
        <w:rPr>
          <w:rtl/>
        </w:rPr>
        <w:t>. کتاب‌</w:t>
      </w:r>
      <w:r w:rsidRPr="0025250D">
        <w:rPr>
          <w:rFonts w:hint="eastAsia"/>
          <w:rtl/>
        </w:rPr>
        <w:t>ها</w:t>
      </w:r>
      <w:r w:rsidRPr="0025250D">
        <w:rPr>
          <w:rFonts w:hint="cs"/>
          <w:rtl/>
        </w:rPr>
        <w:t>یی</w:t>
      </w:r>
      <w:r w:rsidRPr="0025250D">
        <w:rPr>
          <w:rtl/>
        </w:rPr>
        <w:t xml:space="preserve"> مانند ا</w:t>
      </w:r>
      <w:r w:rsidRPr="0025250D">
        <w:rPr>
          <w:rFonts w:hint="cs"/>
          <w:rtl/>
        </w:rPr>
        <w:t>ی</w:t>
      </w:r>
      <w:r w:rsidRPr="0025250D">
        <w:rPr>
          <w:rFonts w:hint="eastAsia"/>
          <w:rtl/>
        </w:rPr>
        <w:t>ن</w:t>
      </w:r>
      <w:r w:rsidRPr="0025250D">
        <w:rPr>
          <w:rFonts w:hint="cs"/>
          <w:rtl/>
        </w:rPr>
        <w:t xml:space="preserve"> کتاب</w:t>
      </w:r>
      <w:r w:rsidRPr="0025250D">
        <w:rPr>
          <w:rtl/>
        </w:rPr>
        <w:t xml:space="preserve"> م</w:t>
      </w:r>
      <w:r w:rsidRPr="0025250D">
        <w:rPr>
          <w:rFonts w:hint="cs"/>
          <w:rtl/>
        </w:rPr>
        <w:t>ی‌</w:t>
      </w:r>
      <w:r w:rsidRPr="0025250D">
        <w:rPr>
          <w:rFonts w:hint="eastAsia"/>
          <w:rtl/>
        </w:rPr>
        <w:t>توانند</w:t>
      </w:r>
      <w:r w:rsidRPr="0025250D">
        <w:rPr>
          <w:rtl/>
        </w:rPr>
        <w:t xml:space="preserve"> به ما کمک کنند آ</w:t>
      </w:r>
      <w:r w:rsidRPr="0025250D">
        <w:rPr>
          <w:rFonts w:hint="cs"/>
          <w:rtl/>
        </w:rPr>
        <w:t>ی</w:t>
      </w:r>
      <w:r w:rsidRPr="0025250D">
        <w:rPr>
          <w:rFonts w:hint="eastAsia"/>
          <w:rtl/>
        </w:rPr>
        <w:t>نده</w:t>
      </w:r>
      <w:r w:rsidRPr="0025250D">
        <w:rPr>
          <w:rtl/>
        </w:rPr>
        <w:t xml:space="preserve"> مال</w:t>
      </w:r>
      <w:r w:rsidRPr="0025250D">
        <w:rPr>
          <w:rFonts w:hint="cs"/>
          <w:rtl/>
        </w:rPr>
        <w:t>ی</w:t>
      </w:r>
      <w:r w:rsidRPr="0025250D">
        <w:rPr>
          <w:rtl/>
        </w:rPr>
        <w:t xml:space="preserve"> خود را در مس</w:t>
      </w:r>
      <w:r w:rsidRPr="0025250D">
        <w:rPr>
          <w:rFonts w:hint="cs"/>
          <w:rtl/>
        </w:rPr>
        <w:t>ی</w:t>
      </w:r>
      <w:r w:rsidRPr="0025250D">
        <w:rPr>
          <w:rFonts w:hint="eastAsia"/>
          <w:rtl/>
        </w:rPr>
        <w:t>رها</w:t>
      </w:r>
      <w:r w:rsidRPr="0025250D">
        <w:rPr>
          <w:rFonts w:hint="cs"/>
          <w:rtl/>
        </w:rPr>
        <w:t>ی</w:t>
      </w:r>
      <w:r w:rsidRPr="0025250D">
        <w:rPr>
          <w:rtl/>
        </w:rPr>
        <w:t xml:space="preserve"> مختلف زندگ</w:t>
      </w:r>
      <w:r w:rsidRPr="0025250D">
        <w:rPr>
          <w:rFonts w:hint="cs"/>
          <w:rtl/>
        </w:rPr>
        <w:t>ی</w:t>
      </w:r>
      <w:r w:rsidRPr="0025250D">
        <w:rPr>
          <w:rtl/>
        </w:rPr>
        <w:t xml:space="preserve"> تصور کن</w:t>
      </w:r>
      <w:r w:rsidRPr="0025250D">
        <w:rPr>
          <w:rFonts w:hint="cs"/>
          <w:rtl/>
        </w:rPr>
        <w:t>ی</w:t>
      </w:r>
      <w:r w:rsidRPr="0025250D">
        <w:rPr>
          <w:rFonts w:hint="eastAsia"/>
          <w:rtl/>
        </w:rPr>
        <w:t>م</w:t>
      </w:r>
      <w:r w:rsidRPr="0025250D">
        <w:rPr>
          <w:rtl/>
        </w:rPr>
        <w:t xml:space="preserve"> و به ما انگ</w:t>
      </w:r>
      <w:r w:rsidRPr="0025250D">
        <w:rPr>
          <w:rFonts w:hint="cs"/>
          <w:rtl/>
        </w:rPr>
        <w:t>ی</w:t>
      </w:r>
      <w:r w:rsidRPr="0025250D">
        <w:rPr>
          <w:rFonts w:hint="eastAsia"/>
          <w:rtl/>
        </w:rPr>
        <w:t>زه</w:t>
      </w:r>
      <w:r w:rsidRPr="0025250D">
        <w:rPr>
          <w:rFonts w:hint="cs"/>
          <w:rtl/>
        </w:rPr>
        <w:t xml:space="preserve"> ای</w:t>
      </w:r>
      <w:r w:rsidRPr="0025250D">
        <w:rPr>
          <w:rtl/>
        </w:rPr>
        <w:t xml:space="preserve"> برا</w:t>
      </w:r>
      <w:r w:rsidRPr="0025250D">
        <w:rPr>
          <w:rFonts w:hint="cs"/>
          <w:rtl/>
        </w:rPr>
        <w:t>ی</w:t>
      </w:r>
      <w:r w:rsidRPr="0025250D">
        <w:rPr>
          <w:rtl/>
        </w:rPr>
        <w:t xml:space="preserve"> تغ</w:t>
      </w:r>
      <w:r w:rsidRPr="0025250D">
        <w:rPr>
          <w:rFonts w:hint="cs"/>
          <w:rtl/>
        </w:rPr>
        <w:t>یی</w:t>
      </w:r>
      <w:r w:rsidRPr="0025250D">
        <w:rPr>
          <w:rFonts w:hint="eastAsia"/>
          <w:rtl/>
        </w:rPr>
        <w:t>ر</w:t>
      </w:r>
      <w:r w:rsidRPr="0025250D">
        <w:rPr>
          <w:rtl/>
        </w:rPr>
        <w:t xml:space="preserve"> بدهند.</w:t>
      </w:r>
      <w:r w:rsidRPr="0025250D">
        <w:rPr>
          <w:rFonts w:hint="cs"/>
          <w:rtl/>
        </w:rPr>
        <w:t xml:space="preserve"> </w:t>
      </w:r>
      <w:r w:rsidR="00726CB4" w:rsidRPr="0025250D">
        <w:rPr>
          <w:rFonts w:hint="cs"/>
          <w:rtl/>
        </w:rPr>
        <w:t xml:space="preserve">کتاب </w:t>
      </w:r>
      <w:r w:rsidRPr="0025250D">
        <w:rPr>
          <w:rtl/>
        </w:rPr>
        <w:t>راب</w:t>
      </w:r>
      <w:r w:rsidRPr="0025250D">
        <w:rPr>
          <w:rFonts w:hint="cs"/>
          <w:rtl/>
        </w:rPr>
        <w:t>ی</w:t>
      </w:r>
      <w:r w:rsidRPr="0025250D">
        <w:rPr>
          <w:rFonts w:hint="eastAsia"/>
          <w:rtl/>
        </w:rPr>
        <w:t>ن</w:t>
      </w:r>
      <w:r w:rsidRPr="0025250D">
        <w:rPr>
          <w:rtl/>
        </w:rPr>
        <w:t xml:space="preserve"> و دوم</w:t>
      </w:r>
      <w:r w:rsidRPr="0025250D">
        <w:rPr>
          <w:rFonts w:hint="cs"/>
          <w:rtl/>
        </w:rPr>
        <w:t>ی</w:t>
      </w:r>
      <w:r w:rsidRPr="0025250D">
        <w:rPr>
          <w:rFonts w:hint="eastAsia"/>
          <w:rtl/>
        </w:rPr>
        <w:t>نگز</w:t>
      </w:r>
      <w:r w:rsidR="00726CB4" w:rsidRPr="0025250D">
        <w:rPr>
          <w:rFonts w:hint="cs"/>
          <w:rtl/>
        </w:rPr>
        <w:t xml:space="preserve"> با عنوان</w:t>
      </w:r>
      <w:r w:rsidRPr="0025250D">
        <w:rPr>
          <w:rtl/>
        </w:rPr>
        <w:t xml:space="preserve"> پول شما </w:t>
      </w:r>
      <w:r w:rsidRPr="0025250D">
        <w:rPr>
          <w:rFonts w:hint="cs"/>
          <w:rtl/>
        </w:rPr>
        <w:t>ی</w:t>
      </w:r>
      <w:r w:rsidRPr="0025250D">
        <w:rPr>
          <w:rFonts w:hint="eastAsia"/>
          <w:rtl/>
        </w:rPr>
        <w:t>ا</w:t>
      </w:r>
      <w:r w:rsidRPr="0025250D">
        <w:rPr>
          <w:rtl/>
        </w:rPr>
        <w:t xml:space="preserve"> زندگ</w:t>
      </w:r>
      <w:r w:rsidRPr="0025250D">
        <w:rPr>
          <w:rFonts w:hint="cs"/>
          <w:rtl/>
        </w:rPr>
        <w:t>ی</w:t>
      </w:r>
      <w:r w:rsidRPr="0025250D">
        <w:rPr>
          <w:rtl/>
        </w:rPr>
        <w:t xml:space="preserve"> شما</w:t>
      </w:r>
      <w:r w:rsidR="00726CB4" w:rsidRPr="0025250D">
        <w:rPr>
          <w:rFonts w:hint="cs"/>
          <w:rtl/>
        </w:rPr>
        <w:t xml:space="preserve"> در سال</w:t>
      </w:r>
      <w:r w:rsidRPr="0025250D">
        <w:rPr>
          <w:rtl/>
        </w:rPr>
        <w:t xml:space="preserve"> 1992/2018، برا</w:t>
      </w:r>
      <w:r w:rsidRPr="0025250D">
        <w:rPr>
          <w:rFonts w:hint="cs"/>
          <w:rtl/>
        </w:rPr>
        <w:t>ی</w:t>
      </w:r>
      <w:r w:rsidRPr="0025250D">
        <w:rPr>
          <w:rtl/>
        </w:rPr>
        <w:t xml:space="preserve"> کسان</w:t>
      </w:r>
      <w:r w:rsidRPr="0025250D">
        <w:rPr>
          <w:rFonts w:hint="cs"/>
          <w:rtl/>
        </w:rPr>
        <w:t>ی</w:t>
      </w:r>
      <w:r w:rsidRPr="0025250D">
        <w:rPr>
          <w:rtl/>
        </w:rPr>
        <w:t xml:space="preserve"> که به اندازه کاف</w:t>
      </w:r>
      <w:r w:rsidRPr="0025250D">
        <w:rPr>
          <w:rFonts w:hint="cs"/>
          <w:rtl/>
        </w:rPr>
        <w:t>ی</w:t>
      </w:r>
      <w:r w:rsidRPr="0025250D">
        <w:rPr>
          <w:rtl/>
        </w:rPr>
        <w:t xml:space="preserve"> پس انداز</w:t>
      </w:r>
      <w:r w:rsidR="00EE4B64" w:rsidRPr="0025250D">
        <w:rPr>
          <w:rtl/>
        </w:rPr>
        <w:t xml:space="preserve"> نمی‌</w:t>
      </w:r>
      <w:r w:rsidRPr="0025250D">
        <w:rPr>
          <w:rtl/>
        </w:rPr>
        <w:t xml:space="preserve">کنند، </w:t>
      </w:r>
      <w:r w:rsidRPr="0025250D">
        <w:rPr>
          <w:rFonts w:hint="cs"/>
          <w:rtl/>
        </w:rPr>
        <w:t>ی</w:t>
      </w:r>
      <w:r w:rsidRPr="0025250D">
        <w:rPr>
          <w:rFonts w:hint="eastAsia"/>
          <w:rtl/>
        </w:rPr>
        <w:t>ا</w:t>
      </w:r>
      <w:r w:rsidRPr="0025250D">
        <w:rPr>
          <w:rtl/>
        </w:rPr>
        <w:t xml:space="preserve"> کسان</w:t>
      </w:r>
      <w:r w:rsidRPr="0025250D">
        <w:rPr>
          <w:rFonts w:hint="cs"/>
          <w:rtl/>
        </w:rPr>
        <w:t>ی</w:t>
      </w:r>
      <w:r w:rsidRPr="0025250D">
        <w:rPr>
          <w:rtl/>
        </w:rPr>
        <w:t xml:space="preserve"> که خ</w:t>
      </w:r>
      <w:r w:rsidRPr="0025250D">
        <w:rPr>
          <w:rFonts w:hint="cs"/>
          <w:rtl/>
        </w:rPr>
        <w:t>ی</w:t>
      </w:r>
      <w:r w:rsidRPr="0025250D">
        <w:rPr>
          <w:rFonts w:hint="eastAsia"/>
          <w:rtl/>
        </w:rPr>
        <w:t>ل</w:t>
      </w:r>
      <w:r w:rsidRPr="0025250D">
        <w:rPr>
          <w:rFonts w:hint="cs"/>
          <w:rtl/>
        </w:rPr>
        <w:t>ی</w:t>
      </w:r>
      <w:r w:rsidRPr="0025250D">
        <w:rPr>
          <w:rtl/>
        </w:rPr>
        <w:t xml:space="preserve"> پس انداز م</w:t>
      </w:r>
      <w:r w:rsidRPr="0025250D">
        <w:rPr>
          <w:rFonts w:hint="cs"/>
          <w:rtl/>
        </w:rPr>
        <w:t>ی</w:t>
      </w:r>
      <w:r w:rsidRPr="0025250D">
        <w:rPr>
          <w:rtl/>
        </w:rPr>
        <w:t xml:space="preserve"> کنند و خ</w:t>
      </w:r>
      <w:r w:rsidRPr="0025250D">
        <w:rPr>
          <w:rFonts w:hint="cs"/>
          <w:rtl/>
        </w:rPr>
        <w:t>ی</w:t>
      </w:r>
      <w:r w:rsidRPr="0025250D">
        <w:rPr>
          <w:rFonts w:hint="eastAsia"/>
          <w:rtl/>
        </w:rPr>
        <w:t>ل</w:t>
      </w:r>
      <w:r w:rsidRPr="0025250D">
        <w:rPr>
          <w:rFonts w:hint="cs"/>
          <w:rtl/>
        </w:rPr>
        <w:t>ی</w:t>
      </w:r>
      <w:r w:rsidRPr="0025250D">
        <w:rPr>
          <w:rtl/>
        </w:rPr>
        <w:t xml:space="preserve"> کم زندگ</w:t>
      </w:r>
      <w:r w:rsidRPr="0025250D">
        <w:rPr>
          <w:rFonts w:hint="cs"/>
          <w:rtl/>
        </w:rPr>
        <w:t>ی</w:t>
      </w:r>
      <w:r w:rsidRPr="0025250D">
        <w:rPr>
          <w:rtl/>
        </w:rPr>
        <w:t xml:space="preserve"> م</w:t>
      </w:r>
      <w:r w:rsidRPr="0025250D">
        <w:rPr>
          <w:rFonts w:hint="cs"/>
          <w:rtl/>
        </w:rPr>
        <w:t>ی</w:t>
      </w:r>
      <w:r w:rsidRPr="0025250D">
        <w:rPr>
          <w:rtl/>
        </w:rPr>
        <w:t xml:space="preserve"> کنند ن</w:t>
      </w:r>
      <w:r w:rsidRPr="0025250D">
        <w:rPr>
          <w:rFonts w:hint="cs"/>
          <w:rtl/>
        </w:rPr>
        <w:t>ی</w:t>
      </w:r>
      <w:r w:rsidRPr="0025250D">
        <w:rPr>
          <w:rFonts w:hint="eastAsia"/>
          <w:rtl/>
        </w:rPr>
        <w:t>ز</w:t>
      </w:r>
      <w:r w:rsidRPr="0025250D">
        <w:rPr>
          <w:rtl/>
        </w:rPr>
        <w:t xml:space="preserve"> مف</w:t>
      </w:r>
      <w:r w:rsidRPr="0025250D">
        <w:rPr>
          <w:rFonts w:hint="cs"/>
          <w:rtl/>
        </w:rPr>
        <w:t>ی</w:t>
      </w:r>
      <w:r w:rsidRPr="0025250D">
        <w:rPr>
          <w:rFonts w:hint="eastAsia"/>
          <w:rtl/>
        </w:rPr>
        <w:t>د</w:t>
      </w:r>
      <w:r w:rsidRPr="0025250D">
        <w:rPr>
          <w:rtl/>
        </w:rPr>
        <w:t xml:space="preserve"> است. اکثر شهروندان چ</w:t>
      </w:r>
      <w:r w:rsidRPr="0025250D">
        <w:rPr>
          <w:rFonts w:hint="cs"/>
          <w:rtl/>
        </w:rPr>
        <w:t>ی</w:t>
      </w:r>
      <w:r w:rsidRPr="0025250D">
        <w:rPr>
          <w:rFonts w:hint="eastAsia"/>
          <w:rtl/>
        </w:rPr>
        <w:t>ن</w:t>
      </w:r>
      <w:r w:rsidRPr="0025250D">
        <w:rPr>
          <w:rFonts w:hint="cs"/>
          <w:rtl/>
        </w:rPr>
        <w:t>ی</w:t>
      </w:r>
      <w:r w:rsidRPr="0025250D">
        <w:rPr>
          <w:rtl/>
        </w:rPr>
        <w:t xml:space="preserve"> ب</w:t>
      </w:r>
      <w:r w:rsidRPr="0025250D">
        <w:rPr>
          <w:rFonts w:hint="cs"/>
          <w:rtl/>
        </w:rPr>
        <w:t>ی</w:t>
      </w:r>
      <w:r w:rsidRPr="0025250D">
        <w:rPr>
          <w:rFonts w:hint="eastAsia"/>
          <w:rtl/>
        </w:rPr>
        <w:t>ش</w:t>
      </w:r>
      <w:r w:rsidRPr="0025250D">
        <w:rPr>
          <w:rtl/>
        </w:rPr>
        <w:t xml:space="preserve"> از حد پس انداز م</w:t>
      </w:r>
      <w:r w:rsidRPr="0025250D">
        <w:rPr>
          <w:rFonts w:hint="cs"/>
          <w:rtl/>
        </w:rPr>
        <w:t>ی</w:t>
      </w:r>
      <w:r w:rsidRPr="0025250D">
        <w:rPr>
          <w:rtl/>
        </w:rPr>
        <w:t xml:space="preserve"> کنند. اکثر آمر</w:t>
      </w:r>
      <w:r w:rsidRPr="0025250D">
        <w:rPr>
          <w:rFonts w:hint="cs"/>
          <w:rtl/>
        </w:rPr>
        <w:t>ی</w:t>
      </w:r>
      <w:r w:rsidRPr="0025250D">
        <w:rPr>
          <w:rFonts w:hint="eastAsia"/>
          <w:rtl/>
        </w:rPr>
        <w:t>کا</w:t>
      </w:r>
      <w:r w:rsidRPr="0025250D">
        <w:rPr>
          <w:rFonts w:hint="cs"/>
          <w:rtl/>
        </w:rPr>
        <w:t>یی</w:t>
      </w:r>
      <w:r w:rsidRPr="0025250D">
        <w:rPr>
          <w:rtl/>
        </w:rPr>
        <w:t xml:space="preserve"> ها، خ</w:t>
      </w:r>
      <w:r w:rsidRPr="0025250D">
        <w:rPr>
          <w:rFonts w:hint="cs"/>
          <w:rtl/>
        </w:rPr>
        <w:t>ی</w:t>
      </w:r>
      <w:r w:rsidRPr="0025250D">
        <w:rPr>
          <w:rFonts w:hint="eastAsia"/>
          <w:rtl/>
        </w:rPr>
        <w:t>ل</w:t>
      </w:r>
      <w:r w:rsidRPr="0025250D">
        <w:rPr>
          <w:rFonts w:hint="cs"/>
          <w:rtl/>
        </w:rPr>
        <w:t>ی</w:t>
      </w:r>
      <w:r w:rsidRPr="0025250D">
        <w:rPr>
          <w:rtl/>
        </w:rPr>
        <w:t xml:space="preserve"> کم. اگر </w:t>
      </w:r>
      <w:r w:rsidR="00726CB4" w:rsidRPr="0025250D">
        <w:rPr>
          <w:rFonts w:hint="cs"/>
          <w:rtl/>
        </w:rPr>
        <w:t xml:space="preserve">برای خلق ارزش های آینده </w:t>
      </w:r>
      <w:r w:rsidRPr="0025250D">
        <w:rPr>
          <w:rtl/>
        </w:rPr>
        <w:t>پس انداز</w:t>
      </w:r>
      <w:r w:rsidR="00EE4B64" w:rsidRPr="0025250D">
        <w:rPr>
          <w:rtl/>
        </w:rPr>
        <w:t xml:space="preserve"> نمی‌</w:t>
      </w:r>
      <w:r w:rsidRPr="0025250D">
        <w:rPr>
          <w:rtl/>
        </w:rPr>
        <w:t>کن</w:t>
      </w:r>
      <w:r w:rsidRPr="0025250D">
        <w:rPr>
          <w:rFonts w:hint="cs"/>
          <w:rtl/>
        </w:rPr>
        <w:t>ی</w:t>
      </w:r>
      <w:r w:rsidRPr="0025250D">
        <w:rPr>
          <w:rFonts w:hint="eastAsia"/>
          <w:rtl/>
        </w:rPr>
        <w:t>د،</w:t>
      </w:r>
      <w:r w:rsidRPr="0025250D">
        <w:rPr>
          <w:rtl/>
        </w:rPr>
        <w:t xml:space="preserve"> فقط </w:t>
      </w:r>
      <w:r w:rsidRPr="0025250D">
        <w:rPr>
          <w:rFonts w:hint="cs"/>
          <w:rtl/>
        </w:rPr>
        <w:t>ی</w:t>
      </w:r>
      <w:r w:rsidRPr="0025250D">
        <w:rPr>
          <w:rFonts w:hint="eastAsia"/>
          <w:rtl/>
        </w:rPr>
        <w:t>ک</w:t>
      </w:r>
      <w:r w:rsidRPr="0025250D">
        <w:rPr>
          <w:rtl/>
        </w:rPr>
        <w:t xml:space="preserve"> عادت کورکورانه پس انداز دار</w:t>
      </w:r>
      <w:r w:rsidRPr="0025250D">
        <w:rPr>
          <w:rFonts w:hint="cs"/>
          <w:rtl/>
        </w:rPr>
        <w:t>ی</w:t>
      </w:r>
      <w:r w:rsidRPr="0025250D">
        <w:rPr>
          <w:rFonts w:hint="eastAsia"/>
          <w:rtl/>
        </w:rPr>
        <w:t>د</w:t>
      </w:r>
      <w:r w:rsidRPr="0025250D">
        <w:rPr>
          <w:rFonts w:hint="cs"/>
          <w:rtl/>
        </w:rPr>
        <w:t xml:space="preserve">. </w:t>
      </w:r>
      <w:r w:rsidRPr="0025250D">
        <w:rPr>
          <w:rtl/>
        </w:rPr>
        <w:t xml:space="preserve">پول </w:t>
      </w:r>
      <w:r w:rsidRPr="0025250D">
        <w:rPr>
          <w:rFonts w:hint="cs"/>
          <w:rtl/>
        </w:rPr>
        <w:t>ی</w:t>
      </w:r>
      <w:r w:rsidRPr="0025250D">
        <w:rPr>
          <w:rFonts w:hint="eastAsia"/>
          <w:rtl/>
        </w:rPr>
        <w:t>ا</w:t>
      </w:r>
      <w:r w:rsidRPr="0025250D">
        <w:rPr>
          <w:rtl/>
        </w:rPr>
        <w:t xml:space="preserve"> زندگ</w:t>
      </w:r>
      <w:r w:rsidRPr="0025250D">
        <w:rPr>
          <w:rFonts w:hint="cs"/>
          <w:rtl/>
        </w:rPr>
        <w:t xml:space="preserve">ی، </w:t>
      </w:r>
      <w:r w:rsidRPr="0025250D">
        <w:rPr>
          <w:rtl/>
        </w:rPr>
        <w:t>راب</w:t>
      </w:r>
      <w:r w:rsidRPr="0025250D">
        <w:rPr>
          <w:rFonts w:hint="cs"/>
          <w:rtl/>
        </w:rPr>
        <w:t>ی</w:t>
      </w:r>
      <w:r w:rsidRPr="0025250D">
        <w:rPr>
          <w:rFonts w:hint="eastAsia"/>
          <w:rtl/>
        </w:rPr>
        <w:t>ن</w:t>
      </w:r>
      <w:r w:rsidRPr="0025250D">
        <w:rPr>
          <w:rtl/>
        </w:rPr>
        <w:t xml:space="preserve"> و دوم</w:t>
      </w:r>
      <w:r w:rsidRPr="0025250D">
        <w:rPr>
          <w:rFonts w:hint="cs"/>
          <w:rtl/>
        </w:rPr>
        <w:t>ی</w:t>
      </w:r>
      <w:r w:rsidRPr="0025250D">
        <w:rPr>
          <w:rFonts w:hint="eastAsia"/>
          <w:rtl/>
        </w:rPr>
        <w:t>نگز</w:t>
      </w:r>
      <w:r w:rsidRPr="0025250D">
        <w:rPr>
          <w:vertAlign w:val="superscript"/>
          <w:rtl/>
        </w:rPr>
        <w:footnoteReference w:id="3348"/>
      </w:r>
      <w:r w:rsidRPr="0025250D">
        <w:rPr>
          <w:rFonts w:hint="eastAsia"/>
          <w:rtl/>
        </w:rPr>
        <w:t>،</w:t>
      </w:r>
      <w:r w:rsidRPr="0025250D">
        <w:rPr>
          <w:rtl/>
        </w:rPr>
        <w:t xml:space="preserve"> 1992/2018، برا</w:t>
      </w:r>
      <w:r w:rsidRPr="0025250D">
        <w:rPr>
          <w:rFonts w:hint="cs"/>
          <w:rtl/>
        </w:rPr>
        <w:t>ی</w:t>
      </w:r>
      <w:r w:rsidRPr="0025250D">
        <w:rPr>
          <w:rtl/>
        </w:rPr>
        <w:t xml:space="preserve"> کسان</w:t>
      </w:r>
      <w:r w:rsidRPr="0025250D">
        <w:rPr>
          <w:rFonts w:hint="cs"/>
          <w:rtl/>
        </w:rPr>
        <w:t>ی</w:t>
      </w:r>
      <w:r w:rsidRPr="0025250D">
        <w:rPr>
          <w:rtl/>
        </w:rPr>
        <w:t xml:space="preserve"> که به اندازه کاف</w:t>
      </w:r>
      <w:r w:rsidRPr="0025250D">
        <w:rPr>
          <w:rFonts w:hint="cs"/>
          <w:rtl/>
        </w:rPr>
        <w:t>ی</w:t>
      </w:r>
      <w:r w:rsidRPr="0025250D">
        <w:rPr>
          <w:rtl/>
        </w:rPr>
        <w:t xml:space="preserve"> پس انداز</w:t>
      </w:r>
      <w:r w:rsidR="00EE4B64" w:rsidRPr="0025250D">
        <w:rPr>
          <w:rtl/>
        </w:rPr>
        <w:t xml:space="preserve"> نمی‌</w:t>
      </w:r>
      <w:r w:rsidRPr="0025250D">
        <w:rPr>
          <w:rtl/>
        </w:rPr>
        <w:t>کنند</w:t>
      </w:r>
      <w:r w:rsidRPr="0025250D">
        <w:rPr>
          <w:rFonts w:hint="cs"/>
          <w:rtl/>
        </w:rPr>
        <w:t xml:space="preserve"> ی</w:t>
      </w:r>
      <w:r w:rsidRPr="0025250D">
        <w:rPr>
          <w:rFonts w:hint="eastAsia"/>
          <w:rtl/>
        </w:rPr>
        <w:t>ا</w:t>
      </w:r>
      <w:r w:rsidRPr="0025250D">
        <w:rPr>
          <w:rtl/>
        </w:rPr>
        <w:t xml:space="preserve"> کسان</w:t>
      </w:r>
      <w:r w:rsidRPr="0025250D">
        <w:rPr>
          <w:rFonts w:hint="cs"/>
          <w:rtl/>
        </w:rPr>
        <w:t>ی</w:t>
      </w:r>
      <w:r w:rsidRPr="0025250D">
        <w:rPr>
          <w:rtl/>
        </w:rPr>
        <w:t xml:space="preserve"> که خ</w:t>
      </w:r>
      <w:r w:rsidRPr="0025250D">
        <w:rPr>
          <w:rFonts w:hint="cs"/>
          <w:rtl/>
        </w:rPr>
        <w:t>ی</w:t>
      </w:r>
      <w:r w:rsidRPr="0025250D">
        <w:rPr>
          <w:rFonts w:hint="eastAsia"/>
          <w:rtl/>
        </w:rPr>
        <w:t>ل</w:t>
      </w:r>
      <w:r w:rsidRPr="0025250D">
        <w:rPr>
          <w:rFonts w:hint="cs"/>
          <w:rtl/>
        </w:rPr>
        <w:t>ی</w:t>
      </w:r>
      <w:r w:rsidRPr="0025250D">
        <w:rPr>
          <w:rtl/>
        </w:rPr>
        <w:t xml:space="preserve"> پس انداز م</w:t>
      </w:r>
      <w:r w:rsidRPr="0025250D">
        <w:rPr>
          <w:rFonts w:hint="cs"/>
          <w:rtl/>
        </w:rPr>
        <w:t>ی</w:t>
      </w:r>
      <w:r w:rsidRPr="0025250D">
        <w:rPr>
          <w:rtl/>
        </w:rPr>
        <w:t xml:space="preserve"> کنند و خ</w:t>
      </w:r>
      <w:r w:rsidRPr="0025250D">
        <w:rPr>
          <w:rFonts w:hint="cs"/>
          <w:rtl/>
        </w:rPr>
        <w:t>ی</w:t>
      </w:r>
      <w:r w:rsidRPr="0025250D">
        <w:rPr>
          <w:rFonts w:hint="eastAsia"/>
          <w:rtl/>
        </w:rPr>
        <w:t>ل</w:t>
      </w:r>
      <w:r w:rsidRPr="0025250D">
        <w:rPr>
          <w:rFonts w:hint="cs"/>
          <w:rtl/>
        </w:rPr>
        <w:t>ی</w:t>
      </w:r>
      <w:r w:rsidRPr="0025250D">
        <w:rPr>
          <w:rtl/>
        </w:rPr>
        <w:t xml:space="preserve"> کم زندگ</w:t>
      </w:r>
      <w:r w:rsidRPr="0025250D">
        <w:rPr>
          <w:rFonts w:hint="cs"/>
          <w:rtl/>
        </w:rPr>
        <w:t>ی</w:t>
      </w:r>
      <w:r w:rsidRPr="0025250D">
        <w:rPr>
          <w:rtl/>
        </w:rPr>
        <w:t xml:space="preserve"> م</w:t>
      </w:r>
      <w:r w:rsidRPr="0025250D">
        <w:rPr>
          <w:rFonts w:hint="cs"/>
          <w:rtl/>
        </w:rPr>
        <w:t>ی</w:t>
      </w:r>
      <w:r w:rsidRPr="0025250D">
        <w:rPr>
          <w:rtl/>
        </w:rPr>
        <w:t xml:space="preserve"> کنند</w:t>
      </w:r>
      <w:r w:rsidRPr="0025250D">
        <w:rPr>
          <w:rFonts w:hint="cs"/>
          <w:rtl/>
        </w:rPr>
        <w:t>،</w:t>
      </w:r>
      <w:r w:rsidRPr="0025250D">
        <w:rPr>
          <w:rtl/>
        </w:rPr>
        <w:t xml:space="preserve"> مف</w:t>
      </w:r>
      <w:r w:rsidRPr="0025250D">
        <w:rPr>
          <w:rFonts w:hint="cs"/>
          <w:rtl/>
        </w:rPr>
        <w:t>ی</w:t>
      </w:r>
      <w:r w:rsidRPr="0025250D">
        <w:rPr>
          <w:rFonts w:hint="eastAsia"/>
          <w:rtl/>
        </w:rPr>
        <w:t>د</w:t>
      </w:r>
      <w:r w:rsidRPr="0025250D">
        <w:rPr>
          <w:rtl/>
        </w:rPr>
        <w:t xml:space="preserve"> است. اکثر شهروندان چ</w:t>
      </w:r>
      <w:r w:rsidRPr="0025250D">
        <w:rPr>
          <w:rFonts w:hint="cs"/>
          <w:rtl/>
        </w:rPr>
        <w:t>ی</w:t>
      </w:r>
      <w:r w:rsidRPr="0025250D">
        <w:rPr>
          <w:rFonts w:hint="eastAsia"/>
          <w:rtl/>
        </w:rPr>
        <w:t>ن</w:t>
      </w:r>
      <w:r w:rsidRPr="0025250D">
        <w:rPr>
          <w:rFonts w:hint="cs"/>
          <w:rtl/>
        </w:rPr>
        <w:t>ی</w:t>
      </w:r>
      <w:r w:rsidRPr="0025250D">
        <w:rPr>
          <w:rtl/>
        </w:rPr>
        <w:t xml:space="preserve"> ب</w:t>
      </w:r>
      <w:r w:rsidRPr="0025250D">
        <w:rPr>
          <w:rFonts w:hint="cs"/>
          <w:rtl/>
        </w:rPr>
        <w:t>ی</w:t>
      </w:r>
      <w:r w:rsidRPr="0025250D">
        <w:rPr>
          <w:rFonts w:hint="eastAsia"/>
          <w:rtl/>
        </w:rPr>
        <w:t>ش</w:t>
      </w:r>
      <w:r w:rsidRPr="0025250D">
        <w:rPr>
          <w:rtl/>
        </w:rPr>
        <w:t xml:space="preserve"> از حد پس انداز م</w:t>
      </w:r>
      <w:r w:rsidRPr="0025250D">
        <w:rPr>
          <w:rFonts w:hint="cs"/>
          <w:rtl/>
        </w:rPr>
        <w:t>ی</w:t>
      </w:r>
      <w:r w:rsidRPr="0025250D">
        <w:rPr>
          <w:rtl/>
        </w:rPr>
        <w:t xml:space="preserve"> کنند. اکثر آمر</w:t>
      </w:r>
      <w:r w:rsidRPr="0025250D">
        <w:rPr>
          <w:rFonts w:hint="cs"/>
          <w:rtl/>
        </w:rPr>
        <w:t>ی</w:t>
      </w:r>
      <w:r w:rsidRPr="0025250D">
        <w:rPr>
          <w:rFonts w:hint="eastAsia"/>
          <w:rtl/>
        </w:rPr>
        <w:t>کا</w:t>
      </w:r>
      <w:r w:rsidRPr="0025250D">
        <w:rPr>
          <w:rFonts w:hint="cs"/>
          <w:rtl/>
        </w:rPr>
        <w:t>یی</w:t>
      </w:r>
      <w:r w:rsidRPr="0025250D">
        <w:rPr>
          <w:rtl/>
        </w:rPr>
        <w:t xml:space="preserve"> ها، خ</w:t>
      </w:r>
      <w:r w:rsidRPr="0025250D">
        <w:rPr>
          <w:rFonts w:hint="cs"/>
          <w:rtl/>
        </w:rPr>
        <w:t>ی</w:t>
      </w:r>
      <w:r w:rsidRPr="0025250D">
        <w:rPr>
          <w:rFonts w:hint="eastAsia"/>
          <w:rtl/>
        </w:rPr>
        <w:t>ل</w:t>
      </w:r>
      <w:r w:rsidRPr="0025250D">
        <w:rPr>
          <w:rFonts w:hint="cs"/>
          <w:rtl/>
        </w:rPr>
        <w:t>ی</w:t>
      </w:r>
      <w:r w:rsidRPr="0025250D">
        <w:rPr>
          <w:rtl/>
        </w:rPr>
        <w:t xml:space="preserve"> کم</w:t>
      </w:r>
      <w:r w:rsidRPr="0025250D">
        <w:rPr>
          <w:rFonts w:hint="cs"/>
          <w:rtl/>
        </w:rPr>
        <w:t xml:space="preserve"> پس انداز می کنند</w:t>
      </w:r>
      <w:r w:rsidRPr="0025250D">
        <w:rPr>
          <w:rtl/>
        </w:rPr>
        <w:t>. اگر پس انداز</w:t>
      </w:r>
      <w:r w:rsidR="00EE4B64" w:rsidRPr="0025250D">
        <w:rPr>
          <w:rtl/>
        </w:rPr>
        <w:t xml:space="preserve"> نمی‌</w:t>
      </w:r>
      <w:r w:rsidRPr="0025250D">
        <w:rPr>
          <w:rtl/>
        </w:rPr>
        <w:t>کن</w:t>
      </w:r>
      <w:r w:rsidRPr="0025250D">
        <w:rPr>
          <w:rFonts w:hint="cs"/>
          <w:rtl/>
        </w:rPr>
        <w:t>ی</w:t>
      </w:r>
      <w:r w:rsidRPr="0025250D">
        <w:rPr>
          <w:rFonts w:hint="eastAsia"/>
          <w:rtl/>
        </w:rPr>
        <w:t>د</w:t>
      </w:r>
      <w:r w:rsidRPr="0025250D">
        <w:rPr>
          <w:rtl/>
        </w:rPr>
        <w:t xml:space="preserve"> تا بتوان</w:t>
      </w:r>
      <w:r w:rsidRPr="0025250D">
        <w:rPr>
          <w:rFonts w:hint="cs"/>
          <w:rtl/>
        </w:rPr>
        <w:t>ی</w:t>
      </w:r>
      <w:r w:rsidRPr="0025250D">
        <w:rPr>
          <w:rtl/>
        </w:rPr>
        <w:t xml:space="preserve">د ارزش </w:t>
      </w:r>
      <w:r w:rsidRPr="0025250D">
        <w:rPr>
          <w:rFonts w:hint="cs"/>
          <w:rtl/>
        </w:rPr>
        <w:t xml:space="preserve">هایی برای </w:t>
      </w:r>
      <w:r w:rsidRPr="0025250D">
        <w:rPr>
          <w:rtl/>
        </w:rPr>
        <w:t>آ</w:t>
      </w:r>
      <w:r w:rsidRPr="0025250D">
        <w:rPr>
          <w:rFonts w:hint="cs"/>
          <w:rtl/>
        </w:rPr>
        <w:t>ی</w:t>
      </w:r>
      <w:r w:rsidRPr="0025250D">
        <w:rPr>
          <w:rFonts w:hint="eastAsia"/>
          <w:rtl/>
        </w:rPr>
        <w:t>نده</w:t>
      </w:r>
      <w:r w:rsidRPr="0025250D">
        <w:rPr>
          <w:rtl/>
        </w:rPr>
        <w:t xml:space="preserve"> خلق کن</w:t>
      </w:r>
      <w:r w:rsidRPr="0025250D">
        <w:rPr>
          <w:rFonts w:hint="cs"/>
          <w:rtl/>
        </w:rPr>
        <w:t>ی</w:t>
      </w:r>
      <w:r w:rsidRPr="0025250D">
        <w:rPr>
          <w:rFonts w:hint="eastAsia"/>
          <w:rtl/>
        </w:rPr>
        <w:t>د،</w:t>
      </w:r>
      <w:r w:rsidRPr="0025250D">
        <w:rPr>
          <w:rtl/>
        </w:rPr>
        <w:t xml:space="preserve"> فقط </w:t>
      </w:r>
      <w:r w:rsidRPr="0025250D">
        <w:rPr>
          <w:rFonts w:hint="cs"/>
          <w:rtl/>
        </w:rPr>
        <w:t>ی</w:t>
      </w:r>
      <w:r w:rsidRPr="0025250D">
        <w:rPr>
          <w:rFonts w:hint="eastAsia"/>
          <w:rtl/>
        </w:rPr>
        <w:t>ک</w:t>
      </w:r>
      <w:r w:rsidRPr="0025250D">
        <w:rPr>
          <w:rtl/>
        </w:rPr>
        <w:t xml:space="preserve"> عادت کورکورانه </w:t>
      </w:r>
      <w:r w:rsidRPr="0025250D">
        <w:rPr>
          <w:rFonts w:hint="cs"/>
          <w:rtl/>
        </w:rPr>
        <w:t xml:space="preserve">برای </w:t>
      </w:r>
      <w:r w:rsidRPr="0025250D">
        <w:rPr>
          <w:rtl/>
        </w:rPr>
        <w:t>پس انداز دار</w:t>
      </w:r>
      <w:r w:rsidRPr="0025250D">
        <w:rPr>
          <w:rFonts w:hint="cs"/>
          <w:rtl/>
        </w:rPr>
        <w:t>ی</w:t>
      </w:r>
      <w:r w:rsidRPr="0025250D">
        <w:rPr>
          <w:rFonts w:hint="eastAsia"/>
          <w:rtl/>
        </w:rPr>
        <w:t>د</w:t>
      </w:r>
      <w:r w:rsidRPr="0025250D">
        <w:rPr>
          <w:rFonts w:hint="cs"/>
          <w:rtl/>
        </w:rPr>
        <w:t>.</w:t>
      </w:r>
    </w:p>
    <w:p w14:paraId="7C57CEB4" w14:textId="502A6734" w:rsidR="0009441D" w:rsidRPr="0025250D" w:rsidRDefault="0009441D" w:rsidP="00DC51E6">
      <w:pPr>
        <w:numPr>
          <w:ilvl w:val="0"/>
          <w:numId w:val="78"/>
        </w:numPr>
      </w:pPr>
      <w:r w:rsidRPr="0025250D">
        <w:rPr>
          <w:rtl/>
        </w:rPr>
        <w:t>سرما</w:t>
      </w:r>
      <w:r w:rsidRPr="0025250D">
        <w:rPr>
          <w:rFonts w:hint="cs"/>
          <w:rtl/>
        </w:rPr>
        <w:t>ی</w:t>
      </w:r>
      <w:r w:rsidRPr="0025250D">
        <w:rPr>
          <w:rFonts w:hint="eastAsia"/>
          <w:rtl/>
        </w:rPr>
        <w:t>ه‌گذار</w:t>
      </w:r>
      <w:r w:rsidRPr="0025250D">
        <w:rPr>
          <w:rFonts w:hint="cs"/>
          <w:rtl/>
        </w:rPr>
        <w:t>ی</w:t>
      </w:r>
      <w:r w:rsidRPr="0025250D">
        <w:rPr>
          <w:rtl/>
        </w:rPr>
        <w:t xml:space="preserve">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Fonts w:hint="eastAsia"/>
          <w:rtl/>
        </w:rPr>
        <w:t>،</w:t>
      </w:r>
      <w:r w:rsidRPr="0025250D">
        <w:rPr>
          <w:rtl/>
        </w:rPr>
        <w:t xml:space="preserve"> ج</w:t>
      </w:r>
      <w:r w:rsidRPr="0025250D">
        <w:rPr>
          <w:rFonts w:hint="cs"/>
          <w:rtl/>
        </w:rPr>
        <w:t>ی</w:t>
      </w:r>
      <w:r w:rsidRPr="0025250D">
        <w:rPr>
          <w:rFonts w:hint="eastAsia"/>
          <w:rtl/>
        </w:rPr>
        <w:t>مز</w:t>
      </w:r>
      <w:r w:rsidRPr="0025250D">
        <w:rPr>
          <w:rtl/>
        </w:rPr>
        <w:t xml:space="preserve"> ل</w:t>
      </w:r>
      <w:r w:rsidRPr="0025250D">
        <w:rPr>
          <w:rFonts w:hint="cs"/>
          <w:rtl/>
        </w:rPr>
        <w:t>ی</w:t>
      </w:r>
      <w:r w:rsidRPr="0025250D">
        <w:rPr>
          <w:vertAlign w:val="superscript"/>
          <w:rtl/>
        </w:rPr>
        <w:footnoteReference w:id="3349"/>
      </w:r>
      <w:r w:rsidRPr="0025250D">
        <w:rPr>
          <w:rFonts w:hint="eastAsia"/>
          <w:rtl/>
        </w:rPr>
        <w:t>،</w:t>
      </w:r>
      <w:r w:rsidRPr="0025250D">
        <w:rPr>
          <w:rtl/>
        </w:rPr>
        <w:t xml:space="preserve"> 2021.</w:t>
      </w:r>
      <w:r w:rsidRPr="0025250D">
        <w:rPr>
          <w:rFonts w:hint="cs"/>
          <w:rtl/>
        </w:rPr>
        <w:t xml:space="preserve"> </w:t>
      </w:r>
      <w:r w:rsidRPr="0025250D">
        <w:rPr>
          <w:rtl/>
        </w:rPr>
        <w:t>مقدمه ا</w:t>
      </w:r>
      <w:r w:rsidRPr="0025250D">
        <w:rPr>
          <w:rFonts w:hint="cs"/>
          <w:rtl/>
        </w:rPr>
        <w:t>ی</w:t>
      </w:r>
      <w:r w:rsidRPr="0025250D">
        <w:rPr>
          <w:rtl/>
        </w:rPr>
        <w:t xml:space="preserve"> عال</w:t>
      </w:r>
      <w:r w:rsidRPr="0025250D">
        <w:rPr>
          <w:rFonts w:hint="cs"/>
          <w:rtl/>
        </w:rPr>
        <w:t>ی</w:t>
      </w:r>
      <w:r w:rsidRPr="0025250D">
        <w:rPr>
          <w:rFonts w:hint="eastAsia"/>
          <w:rtl/>
        </w:rPr>
        <w:t>،</w:t>
      </w:r>
      <w:r w:rsidRPr="0025250D">
        <w:rPr>
          <w:rtl/>
        </w:rPr>
        <w:t xml:space="preserve"> توسط </w:t>
      </w:r>
      <w:r w:rsidRPr="0025250D">
        <w:rPr>
          <w:rFonts w:hint="cs"/>
          <w:rtl/>
        </w:rPr>
        <w:t>ی</w:t>
      </w:r>
      <w:r w:rsidRPr="0025250D">
        <w:rPr>
          <w:rFonts w:hint="eastAsia"/>
          <w:rtl/>
        </w:rPr>
        <w:t>ک</w:t>
      </w:r>
      <w:r w:rsidRPr="0025250D">
        <w:rPr>
          <w:rtl/>
        </w:rPr>
        <w:t xml:space="preserve"> </w:t>
      </w:r>
      <w:r w:rsidR="00D92F6E" w:rsidRPr="0025250D">
        <w:rPr>
          <w:rtl/>
        </w:rPr>
        <w:t>آینده‌پژوه</w:t>
      </w:r>
      <w:r w:rsidRPr="0025250D">
        <w:rPr>
          <w:rtl/>
        </w:rPr>
        <w:t xml:space="preserve"> تحص</w:t>
      </w:r>
      <w:r w:rsidRPr="0025250D">
        <w:rPr>
          <w:rFonts w:hint="cs"/>
          <w:rtl/>
        </w:rPr>
        <w:t>ی</w:t>
      </w:r>
      <w:r w:rsidRPr="0025250D">
        <w:rPr>
          <w:rFonts w:hint="eastAsia"/>
          <w:rtl/>
        </w:rPr>
        <w:t>ل</w:t>
      </w:r>
      <w:r w:rsidRPr="0025250D">
        <w:rPr>
          <w:rtl/>
        </w:rPr>
        <w:t xml:space="preserve"> کرده آکادم</w:t>
      </w:r>
      <w:r w:rsidRPr="0025250D">
        <w:rPr>
          <w:rFonts w:hint="cs"/>
          <w:rtl/>
        </w:rPr>
        <w:t>ی</w:t>
      </w:r>
      <w:r w:rsidRPr="0025250D">
        <w:rPr>
          <w:rFonts w:hint="eastAsia"/>
          <w:rtl/>
        </w:rPr>
        <w:t>ک،</w:t>
      </w:r>
      <w:r w:rsidRPr="0025250D">
        <w:rPr>
          <w:rtl/>
        </w:rPr>
        <w:t xml:space="preserve"> </w:t>
      </w:r>
      <w:r w:rsidRPr="0025250D">
        <w:rPr>
          <w:rFonts w:hint="cs"/>
          <w:rtl/>
        </w:rPr>
        <w:t>در مورد</w:t>
      </w:r>
      <w:r w:rsidRPr="0025250D">
        <w:rPr>
          <w:rtl/>
        </w:rPr>
        <w:t xml:space="preserve"> نکات </w:t>
      </w:r>
      <w:r w:rsidR="00F50EB4" w:rsidRPr="0025250D">
        <w:rPr>
          <w:rtl/>
        </w:rPr>
        <w:t>سرمایه‌گذاری</w:t>
      </w:r>
      <w:r w:rsidRPr="0025250D">
        <w:rPr>
          <w:rtl/>
        </w:rPr>
        <w:t xml:space="preserve"> </w:t>
      </w:r>
      <w:r w:rsidR="001A3F0A" w:rsidRPr="0025250D">
        <w:rPr>
          <w:rtl/>
        </w:rPr>
        <w:t>فردی</w:t>
      </w:r>
      <w:r w:rsidRPr="0025250D">
        <w:rPr>
          <w:rtl/>
        </w:rPr>
        <w:t>. به شما نشان م</w:t>
      </w:r>
      <w:r w:rsidRPr="0025250D">
        <w:rPr>
          <w:rFonts w:hint="cs"/>
          <w:rtl/>
        </w:rPr>
        <w:t>ی</w:t>
      </w:r>
      <w:r w:rsidRPr="0025250D">
        <w:rPr>
          <w:rtl/>
        </w:rPr>
        <w:t xml:space="preserve"> دهد که چگونه دانش خود را در مورد روندها، اعداد، </w:t>
      </w:r>
      <w:r w:rsidR="00DC51E6" w:rsidRPr="0025250D">
        <w:rPr>
          <w:rFonts w:hint="cs"/>
          <w:rtl/>
        </w:rPr>
        <w:t>حس‌داد</w:t>
      </w:r>
      <w:r w:rsidRPr="0025250D">
        <w:rPr>
          <w:rtl/>
        </w:rPr>
        <w:t xml:space="preserve"> و الگوها افزا</w:t>
      </w:r>
      <w:r w:rsidRPr="0025250D">
        <w:rPr>
          <w:rFonts w:hint="cs"/>
          <w:rtl/>
        </w:rPr>
        <w:t>ی</w:t>
      </w:r>
      <w:r w:rsidRPr="0025250D">
        <w:rPr>
          <w:rFonts w:hint="eastAsia"/>
          <w:rtl/>
        </w:rPr>
        <w:t>ش</w:t>
      </w:r>
      <w:r w:rsidRPr="0025250D">
        <w:rPr>
          <w:rtl/>
        </w:rPr>
        <w:t xml:space="preserve"> ده</w:t>
      </w:r>
      <w:r w:rsidRPr="0025250D">
        <w:rPr>
          <w:rFonts w:hint="cs"/>
          <w:rtl/>
        </w:rPr>
        <w:t>ی</w:t>
      </w:r>
      <w:r w:rsidRPr="0025250D">
        <w:rPr>
          <w:rFonts w:hint="eastAsia"/>
          <w:rtl/>
        </w:rPr>
        <w:t>د</w:t>
      </w:r>
      <w:r w:rsidRPr="0025250D">
        <w:rPr>
          <w:rtl/>
        </w:rPr>
        <w:t xml:space="preserve"> تا ارزش </w:t>
      </w:r>
      <w:r w:rsidRPr="0025250D">
        <w:rPr>
          <w:rFonts w:hint="cs"/>
          <w:rtl/>
        </w:rPr>
        <w:t>فزاینده ای</w:t>
      </w:r>
      <w:r w:rsidRPr="0025250D">
        <w:rPr>
          <w:rtl/>
        </w:rPr>
        <w:t xml:space="preserve"> در بازار به دست آور</w:t>
      </w:r>
      <w:r w:rsidRPr="0025250D">
        <w:rPr>
          <w:rFonts w:hint="cs"/>
          <w:rtl/>
        </w:rPr>
        <w:t>ی</w:t>
      </w:r>
      <w:r w:rsidRPr="0025250D">
        <w:rPr>
          <w:rFonts w:hint="eastAsia"/>
          <w:rtl/>
        </w:rPr>
        <w:t>د</w:t>
      </w:r>
      <w:r w:rsidRPr="0025250D">
        <w:rPr>
          <w:rtl/>
        </w:rPr>
        <w:t>. ل</w:t>
      </w:r>
      <w:r w:rsidRPr="0025250D">
        <w:rPr>
          <w:rFonts w:hint="cs"/>
          <w:rtl/>
        </w:rPr>
        <w:t>ی</w:t>
      </w:r>
      <w:r w:rsidRPr="0025250D">
        <w:rPr>
          <w:rtl/>
        </w:rPr>
        <w:t xml:space="preserve"> همچن</w:t>
      </w:r>
      <w:r w:rsidRPr="0025250D">
        <w:rPr>
          <w:rFonts w:hint="cs"/>
          <w:rtl/>
        </w:rPr>
        <w:t>ی</w:t>
      </w:r>
      <w:r w:rsidRPr="0025250D">
        <w:rPr>
          <w:rFonts w:hint="eastAsia"/>
          <w:rtl/>
        </w:rPr>
        <w:t>ن</w:t>
      </w:r>
      <w:r w:rsidRPr="0025250D">
        <w:rPr>
          <w:rtl/>
        </w:rPr>
        <w:t xml:space="preserve"> در ساده‌ساز</w:t>
      </w:r>
      <w:r w:rsidRPr="0025250D">
        <w:rPr>
          <w:rFonts w:hint="cs"/>
          <w:rtl/>
        </w:rPr>
        <w:t>ی</w:t>
      </w:r>
      <w:r w:rsidRPr="0025250D">
        <w:rPr>
          <w:rtl/>
        </w:rPr>
        <w:t xml:space="preserve"> و اولو</w:t>
      </w:r>
      <w:r w:rsidRPr="0025250D">
        <w:rPr>
          <w:rFonts w:hint="cs"/>
          <w:rtl/>
        </w:rPr>
        <w:t>ی</w:t>
      </w:r>
      <w:r w:rsidRPr="0025250D">
        <w:rPr>
          <w:rFonts w:hint="eastAsia"/>
          <w:rtl/>
        </w:rPr>
        <w:t>ت‌بند</w:t>
      </w:r>
      <w:r w:rsidRPr="0025250D">
        <w:rPr>
          <w:rFonts w:hint="cs"/>
          <w:rtl/>
        </w:rPr>
        <w:t>ی</w:t>
      </w:r>
      <w:r w:rsidRPr="0025250D">
        <w:rPr>
          <w:rtl/>
        </w:rPr>
        <w:t xml:space="preserve"> فناور</w:t>
      </w:r>
      <w:r w:rsidRPr="0025250D">
        <w:rPr>
          <w:rFonts w:hint="cs"/>
          <w:rtl/>
        </w:rPr>
        <w:t>ی‌</w:t>
      </w:r>
      <w:r w:rsidRPr="0025250D">
        <w:rPr>
          <w:rFonts w:hint="eastAsia"/>
          <w:rtl/>
        </w:rPr>
        <w:t>ها</w:t>
      </w:r>
      <w:r w:rsidRPr="0025250D">
        <w:rPr>
          <w:rFonts w:hint="cs"/>
          <w:rtl/>
        </w:rPr>
        <w:t>ی</w:t>
      </w:r>
      <w:r w:rsidRPr="0025250D">
        <w:rPr>
          <w:rtl/>
        </w:rPr>
        <w:t xml:space="preserve"> پ</w:t>
      </w:r>
      <w:r w:rsidRPr="0025250D">
        <w:rPr>
          <w:rFonts w:hint="cs"/>
          <w:rtl/>
        </w:rPr>
        <w:t>ی</w:t>
      </w:r>
      <w:r w:rsidRPr="0025250D">
        <w:rPr>
          <w:rFonts w:hint="eastAsia"/>
          <w:rtl/>
        </w:rPr>
        <w:t>چ</w:t>
      </w:r>
      <w:r w:rsidRPr="0025250D">
        <w:rPr>
          <w:rFonts w:hint="cs"/>
          <w:rtl/>
        </w:rPr>
        <w:t>ی</w:t>
      </w:r>
      <w:r w:rsidRPr="0025250D">
        <w:rPr>
          <w:rFonts w:hint="eastAsia"/>
          <w:rtl/>
        </w:rPr>
        <w:t>ده</w:t>
      </w:r>
      <w:r w:rsidRPr="0025250D">
        <w:rPr>
          <w:rtl/>
        </w:rPr>
        <w:t xml:space="preserve"> عال</w:t>
      </w:r>
      <w:r w:rsidRPr="0025250D">
        <w:rPr>
          <w:rFonts w:hint="cs"/>
          <w:rtl/>
        </w:rPr>
        <w:t>ی</w:t>
      </w:r>
      <w:r w:rsidRPr="0025250D">
        <w:rPr>
          <w:rtl/>
        </w:rPr>
        <w:t xml:space="preserve"> است. فقط از ا</w:t>
      </w:r>
      <w:r w:rsidRPr="0025250D">
        <w:rPr>
          <w:rFonts w:hint="cs"/>
          <w:rtl/>
        </w:rPr>
        <w:t>ی</w:t>
      </w:r>
      <w:r w:rsidRPr="0025250D">
        <w:rPr>
          <w:rFonts w:hint="eastAsia"/>
          <w:rtl/>
        </w:rPr>
        <w:t>ن</w:t>
      </w:r>
      <w:r w:rsidRPr="0025250D">
        <w:rPr>
          <w:rtl/>
        </w:rPr>
        <w:t xml:space="preserve"> کتاب عال</w:t>
      </w:r>
      <w:r w:rsidRPr="0025250D">
        <w:rPr>
          <w:rFonts w:hint="cs"/>
          <w:rtl/>
        </w:rPr>
        <w:t>ی</w:t>
      </w:r>
      <w:r w:rsidRPr="0025250D">
        <w:rPr>
          <w:rtl/>
        </w:rPr>
        <w:t xml:space="preserve"> برا</w:t>
      </w:r>
      <w:r w:rsidRPr="0025250D">
        <w:rPr>
          <w:rFonts w:hint="cs"/>
          <w:rtl/>
        </w:rPr>
        <w:t>ی</w:t>
      </w:r>
      <w:r w:rsidRPr="0025250D">
        <w:rPr>
          <w:rtl/>
        </w:rPr>
        <w:t xml:space="preserve"> </w:t>
      </w:r>
      <w:r w:rsidR="00F50EB4" w:rsidRPr="0025250D">
        <w:rPr>
          <w:rtl/>
        </w:rPr>
        <w:t>سرمایه‌گذاری</w:t>
      </w:r>
      <w:r w:rsidRPr="0025250D">
        <w:rPr>
          <w:rtl/>
        </w:rPr>
        <w:t xml:space="preserve"> ب</w:t>
      </w:r>
      <w:r w:rsidRPr="0025250D">
        <w:rPr>
          <w:rFonts w:hint="cs"/>
          <w:rtl/>
        </w:rPr>
        <w:t>ی</w:t>
      </w:r>
      <w:r w:rsidRPr="0025250D">
        <w:rPr>
          <w:rFonts w:hint="eastAsia"/>
          <w:rtl/>
        </w:rPr>
        <w:t>ش</w:t>
      </w:r>
      <w:r w:rsidRPr="0025250D">
        <w:rPr>
          <w:rtl/>
        </w:rPr>
        <w:t xml:space="preserve"> از حد در </w:t>
      </w:r>
      <w:r w:rsidR="007A53FD" w:rsidRPr="0025250D">
        <w:rPr>
          <w:rtl/>
        </w:rPr>
        <w:t>زیست‌فناوری</w:t>
      </w:r>
      <w:r w:rsidRPr="0025250D">
        <w:rPr>
          <w:rFonts w:hint="eastAsia"/>
          <w:rtl/>
        </w:rPr>
        <w:t>،</w:t>
      </w:r>
      <w:r w:rsidRPr="0025250D">
        <w:rPr>
          <w:rtl/>
        </w:rPr>
        <w:t xml:space="preserve"> در مقابل فناور</w:t>
      </w:r>
      <w:r w:rsidRPr="0025250D">
        <w:rPr>
          <w:rFonts w:hint="cs"/>
          <w:rtl/>
        </w:rPr>
        <w:t>ی</w:t>
      </w:r>
      <w:r w:rsidRPr="0025250D">
        <w:rPr>
          <w:rtl/>
        </w:rPr>
        <w:t xml:space="preserve"> اطلاعات استفاده نکن</w:t>
      </w:r>
      <w:r w:rsidRPr="0025250D">
        <w:rPr>
          <w:rFonts w:hint="cs"/>
          <w:rtl/>
        </w:rPr>
        <w:t>ی</w:t>
      </w:r>
      <w:r w:rsidRPr="0025250D">
        <w:rPr>
          <w:rFonts w:hint="eastAsia"/>
          <w:rtl/>
        </w:rPr>
        <w:t>د</w:t>
      </w:r>
      <w:r w:rsidRPr="0025250D">
        <w:rPr>
          <w:rtl/>
        </w:rPr>
        <w:t xml:space="preserve">. </w:t>
      </w:r>
      <w:r w:rsidR="00F50EB4" w:rsidRPr="0025250D">
        <w:rPr>
          <w:rtl/>
        </w:rPr>
        <w:t>سرمایه‌گذاری</w:t>
      </w:r>
      <w:r w:rsidRPr="0025250D">
        <w:rPr>
          <w:rtl/>
        </w:rPr>
        <w:t xml:space="preserve"> </w:t>
      </w:r>
      <w:r w:rsidRPr="0025250D">
        <w:t>D&amp;D</w:t>
      </w:r>
      <w:r w:rsidRPr="0025250D">
        <w:rPr>
          <w:rtl/>
        </w:rPr>
        <w:t xml:space="preserve"> را به خاطر بسپار</w:t>
      </w:r>
      <w:r w:rsidRPr="0025250D">
        <w:rPr>
          <w:rFonts w:hint="cs"/>
          <w:rtl/>
        </w:rPr>
        <w:t>ی</w:t>
      </w:r>
      <w:r w:rsidRPr="0025250D">
        <w:rPr>
          <w:rFonts w:hint="eastAsia"/>
          <w:rtl/>
        </w:rPr>
        <w:t>د</w:t>
      </w:r>
      <w:r w:rsidRPr="0025250D">
        <w:rPr>
          <w:rFonts w:hint="cs"/>
          <w:rtl/>
        </w:rPr>
        <w:t>.</w:t>
      </w:r>
    </w:p>
    <w:p w14:paraId="4FA1BB83" w14:textId="43E5CF6A" w:rsidR="0009441D" w:rsidRPr="0025250D" w:rsidRDefault="0009441D" w:rsidP="00492C47">
      <w:pPr>
        <w:numPr>
          <w:ilvl w:val="0"/>
          <w:numId w:val="78"/>
        </w:numPr>
      </w:pPr>
      <w:r w:rsidRPr="0025250D">
        <w:rPr>
          <w:rtl/>
        </w:rPr>
        <w:t>ن</w:t>
      </w:r>
      <w:r w:rsidRPr="0025250D">
        <w:rPr>
          <w:rFonts w:hint="cs"/>
          <w:rtl/>
        </w:rPr>
        <w:t>ی</w:t>
      </w:r>
      <w:r w:rsidRPr="0025250D">
        <w:rPr>
          <w:rFonts w:hint="eastAsia"/>
          <w:rtl/>
        </w:rPr>
        <w:t>مه</w:t>
      </w:r>
      <w:r w:rsidRPr="0025250D">
        <w:rPr>
          <w:rtl/>
        </w:rPr>
        <w:t xml:space="preserve"> خوداگاه: چگونه ذهن ناخودآگاه شما بر رفتار شما </w:t>
      </w:r>
      <w:r w:rsidRPr="0025250D">
        <w:rPr>
          <w:rFonts w:hint="cs"/>
          <w:rtl/>
        </w:rPr>
        <w:t>حکمرانی</w:t>
      </w:r>
      <w:r w:rsidRPr="0025250D">
        <w:rPr>
          <w:rtl/>
        </w:rPr>
        <w:t xml:space="preserve"> م</w:t>
      </w:r>
      <w:r w:rsidRPr="0025250D">
        <w:rPr>
          <w:rFonts w:hint="cs"/>
          <w:rtl/>
        </w:rPr>
        <w:t>ی</w:t>
      </w:r>
      <w:r w:rsidRPr="0025250D">
        <w:rPr>
          <w:rtl/>
        </w:rPr>
        <w:t xml:space="preserve"> کند، لئونارد ملود</w:t>
      </w:r>
      <w:r w:rsidRPr="0025250D">
        <w:rPr>
          <w:rFonts w:hint="cs"/>
          <w:rtl/>
        </w:rPr>
        <w:t>ی</w:t>
      </w:r>
      <w:r w:rsidRPr="0025250D">
        <w:rPr>
          <w:rFonts w:hint="eastAsia"/>
          <w:rtl/>
        </w:rPr>
        <w:t>نو</w:t>
      </w:r>
      <w:r w:rsidRPr="0025250D">
        <w:rPr>
          <w:vertAlign w:val="superscript"/>
          <w:rtl/>
        </w:rPr>
        <w:footnoteReference w:id="3350"/>
      </w:r>
      <w:r w:rsidRPr="0025250D">
        <w:rPr>
          <w:rFonts w:hint="eastAsia"/>
          <w:rtl/>
        </w:rPr>
        <w:t>،</w:t>
      </w:r>
      <w:r w:rsidRPr="0025250D">
        <w:rPr>
          <w:rtl/>
        </w:rPr>
        <w:t xml:space="preserve"> 2013</w:t>
      </w:r>
      <w:r w:rsidRPr="0025250D">
        <w:rPr>
          <w:rFonts w:hint="cs"/>
          <w:rtl/>
        </w:rPr>
        <w:t xml:space="preserve">. </w:t>
      </w:r>
      <w:r w:rsidRPr="0025250D">
        <w:rPr>
          <w:rtl/>
        </w:rPr>
        <w:t>مکمل خوب</w:t>
      </w:r>
      <w:r w:rsidRPr="0025250D">
        <w:rPr>
          <w:rFonts w:hint="cs"/>
          <w:rtl/>
        </w:rPr>
        <w:t>ی</w:t>
      </w:r>
      <w:r w:rsidRPr="0025250D">
        <w:rPr>
          <w:rtl/>
        </w:rPr>
        <w:t xml:space="preserve"> برا</w:t>
      </w:r>
      <w:r w:rsidRPr="0025250D">
        <w:rPr>
          <w:rFonts w:hint="cs"/>
          <w:rtl/>
        </w:rPr>
        <w:t>ی</w:t>
      </w:r>
      <w:r w:rsidRPr="0025250D">
        <w:rPr>
          <w:rtl/>
        </w:rPr>
        <w:t xml:space="preserve"> کار ال</w:t>
      </w:r>
      <w:r w:rsidRPr="0025250D">
        <w:rPr>
          <w:rFonts w:hint="cs"/>
          <w:rtl/>
        </w:rPr>
        <w:t>ی</w:t>
      </w:r>
      <w:r w:rsidRPr="0025250D">
        <w:rPr>
          <w:rFonts w:hint="eastAsia"/>
          <w:rtl/>
        </w:rPr>
        <w:t>س</w:t>
      </w:r>
      <w:r w:rsidRPr="0025250D">
        <w:rPr>
          <w:rtl/>
        </w:rPr>
        <w:t xml:space="preserve"> و مالد است که </w:t>
      </w:r>
      <w:r w:rsidRPr="0025250D">
        <w:rPr>
          <w:rFonts w:hint="cs"/>
          <w:rtl/>
        </w:rPr>
        <w:t xml:space="preserve">پشتوانه </w:t>
      </w:r>
      <w:r w:rsidRPr="0025250D">
        <w:rPr>
          <w:rtl/>
        </w:rPr>
        <w:t>علم</w:t>
      </w:r>
      <w:r w:rsidRPr="0025250D">
        <w:rPr>
          <w:rFonts w:hint="cs"/>
          <w:rtl/>
        </w:rPr>
        <w:t>ی</w:t>
      </w:r>
      <w:r w:rsidRPr="0025250D">
        <w:rPr>
          <w:rtl/>
        </w:rPr>
        <w:t xml:space="preserve"> تفکر ن</w:t>
      </w:r>
      <w:r w:rsidRPr="0025250D">
        <w:rPr>
          <w:rFonts w:hint="cs"/>
          <w:rtl/>
        </w:rPr>
        <w:t>ی</w:t>
      </w:r>
      <w:r w:rsidRPr="0025250D">
        <w:rPr>
          <w:rFonts w:hint="eastAsia"/>
          <w:rtl/>
        </w:rPr>
        <w:t>مه</w:t>
      </w:r>
      <w:r w:rsidRPr="0025250D">
        <w:rPr>
          <w:rtl/>
        </w:rPr>
        <w:t xml:space="preserve"> خوداگاه را ارائه م</w:t>
      </w:r>
      <w:r w:rsidRPr="0025250D">
        <w:rPr>
          <w:rFonts w:hint="cs"/>
          <w:rtl/>
        </w:rPr>
        <w:t>ی</w:t>
      </w:r>
      <w:r w:rsidRPr="0025250D">
        <w:rPr>
          <w:rtl/>
        </w:rPr>
        <w:t xml:space="preserve"> دهد. ملود</w:t>
      </w:r>
      <w:r w:rsidRPr="0025250D">
        <w:rPr>
          <w:rFonts w:hint="cs"/>
          <w:rtl/>
        </w:rPr>
        <w:t>ی</w:t>
      </w:r>
      <w:r w:rsidRPr="0025250D">
        <w:rPr>
          <w:rFonts w:hint="eastAsia"/>
          <w:rtl/>
        </w:rPr>
        <w:t>نو</w:t>
      </w:r>
      <w:r w:rsidRPr="0025250D">
        <w:rPr>
          <w:rFonts w:hint="cs"/>
          <w:rtl/>
        </w:rPr>
        <w:t xml:space="preserve"> ی</w:t>
      </w:r>
      <w:r w:rsidRPr="0025250D">
        <w:rPr>
          <w:rFonts w:hint="eastAsia"/>
          <w:rtl/>
        </w:rPr>
        <w:t>ک</w:t>
      </w:r>
      <w:r w:rsidRPr="0025250D">
        <w:rPr>
          <w:rtl/>
        </w:rPr>
        <w:t xml:space="preserve"> ف</w:t>
      </w:r>
      <w:r w:rsidRPr="0025250D">
        <w:rPr>
          <w:rFonts w:hint="cs"/>
          <w:rtl/>
        </w:rPr>
        <w:t>ی</w:t>
      </w:r>
      <w:r w:rsidRPr="0025250D">
        <w:rPr>
          <w:rFonts w:hint="eastAsia"/>
          <w:rtl/>
        </w:rPr>
        <w:t>ز</w:t>
      </w:r>
      <w:r w:rsidRPr="0025250D">
        <w:rPr>
          <w:rFonts w:hint="cs"/>
          <w:rtl/>
        </w:rPr>
        <w:t>ی</w:t>
      </w:r>
      <w:r w:rsidRPr="0025250D">
        <w:rPr>
          <w:rFonts w:hint="eastAsia"/>
          <w:rtl/>
        </w:rPr>
        <w:t>کدان</w:t>
      </w:r>
      <w:r w:rsidRPr="0025250D">
        <w:rPr>
          <w:rtl/>
        </w:rPr>
        <w:t xml:space="preserve"> و </w:t>
      </w:r>
      <w:r w:rsidRPr="0025250D">
        <w:rPr>
          <w:rFonts w:hint="cs"/>
          <w:rtl/>
        </w:rPr>
        <w:t>ی</w:t>
      </w:r>
      <w:r w:rsidRPr="0025250D">
        <w:rPr>
          <w:rFonts w:hint="eastAsia"/>
          <w:rtl/>
        </w:rPr>
        <w:t>ک</w:t>
      </w:r>
      <w:r w:rsidRPr="0025250D">
        <w:rPr>
          <w:rtl/>
        </w:rPr>
        <w:t xml:space="preserve"> </w:t>
      </w:r>
      <w:r w:rsidRPr="0025250D">
        <w:rPr>
          <w:rFonts w:hint="cs"/>
          <w:rtl/>
        </w:rPr>
        <w:t>منتشر کننده</w:t>
      </w:r>
      <w:r w:rsidRPr="0025250D">
        <w:rPr>
          <w:rtl/>
        </w:rPr>
        <w:t xml:space="preserve"> علم است. ا</w:t>
      </w:r>
      <w:r w:rsidRPr="0025250D">
        <w:rPr>
          <w:rFonts w:hint="cs"/>
          <w:rtl/>
        </w:rPr>
        <w:t>ی</w:t>
      </w:r>
      <w:r w:rsidRPr="0025250D">
        <w:rPr>
          <w:rFonts w:hint="eastAsia"/>
          <w:rtl/>
        </w:rPr>
        <w:t>ن</w:t>
      </w:r>
      <w:r w:rsidRPr="0025250D">
        <w:rPr>
          <w:rtl/>
        </w:rPr>
        <w:t xml:space="preserve"> کتاب را برا</w:t>
      </w:r>
      <w:r w:rsidRPr="0025250D">
        <w:rPr>
          <w:rFonts w:hint="cs"/>
          <w:rtl/>
        </w:rPr>
        <w:t>ی</w:t>
      </w:r>
      <w:r w:rsidRPr="0025250D">
        <w:rPr>
          <w:rtl/>
        </w:rPr>
        <w:t xml:space="preserve"> </w:t>
      </w:r>
      <w:r w:rsidRPr="0025250D">
        <w:rPr>
          <w:rFonts w:hint="cs"/>
          <w:rtl/>
        </w:rPr>
        <w:t xml:space="preserve">آگاهی از </w:t>
      </w:r>
      <w:r w:rsidRPr="0025250D">
        <w:rPr>
          <w:rtl/>
        </w:rPr>
        <w:t>موارد مدرن بخوان</w:t>
      </w:r>
      <w:r w:rsidRPr="0025250D">
        <w:rPr>
          <w:rFonts w:hint="cs"/>
          <w:rtl/>
        </w:rPr>
        <w:t>ی</w:t>
      </w:r>
      <w:r w:rsidRPr="0025250D">
        <w:rPr>
          <w:rFonts w:hint="eastAsia"/>
          <w:rtl/>
        </w:rPr>
        <w:t>د</w:t>
      </w:r>
      <w:r w:rsidRPr="0025250D">
        <w:rPr>
          <w:rtl/>
        </w:rPr>
        <w:t xml:space="preserve"> </w:t>
      </w:r>
      <w:r w:rsidRPr="0025250D">
        <w:rPr>
          <w:rFonts w:hint="cs"/>
          <w:rtl/>
        </w:rPr>
        <w:t>تا</w:t>
      </w:r>
      <w:r w:rsidRPr="0025250D">
        <w:rPr>
          <w:rtl/>
        </w:rPr>
        <w:t xml:space="preserve"> ب</w:t>
      </w:r>
      <w:r w:rsidRPr="0025250D">
        <w:rPr>
          <w:rFonts w:hint="cs"/>
          <w:rtl/>
        </w:rPr>
        <w:t>ی</w:t>
      </w:r>
      <w:r w:rsidRPr="0025250D">
        <w:rPr>
          <w:rFonts w:hint="eastAsia"/>
          <w:rtl/>
        </w:rPr>
        <w:t>شتر</w:t>
      </w:r>
      <w:r w:rsidRPr="0025250D">
        <w:rPr>
          <w:rFonts w:hint="cs"/>
          <w:rtl/>
        </w:rPr>
        <w:t>ی</w:t>
      </w:r>
      <w:r w:rsidRPr="0025250D">
        <w:rPr>
          <w:rFonts w:hint="eastAsia"/>
          <w:rtl/>
        </w:rPr>
        <w:t>ن</w:t>
      </w:r>
      <w:r w:rsidRPr="0025250D">
        <w:rPr>
          <w:rtl/>
        </w:rPr>
        <w:t xml:space="preserve"> توجه را به ضم</w:t>
      </w:r>
      <w:r w:rsidRPr="0025250D">
        <w:rPr>
          <w:rFonts w:hint="cs"/>
          <w:rtl/>
        </w:rPr>
        <w:t>ی</w:t>
      </w:r>
      <w:r w:rsidRPr="0025250D">
        <w:rPr>
          <w:rFonts w:hint="eastAsia"/>
          <w:rtl/>
        </w:rPr>
        <w:t>ر</w:t>
      </w:r>
      <w:r w:rsidRPr="0025250D">
        <w:rPr>
          <w:rtl/>
        </w:rPr>
        <w:t xml:space="preserve"> ناخودآگاه خود </w:t>
      </w:r>
      <w:r w:rsidRPr="0025250D">
        <w:rPr>
          <w:rFonts w:hint="cs"/>
          <w:rtl/>
        </w:rPr>
        <w:t>داشته باشید</w:t>
      </w:r>
      <w:r w:rsidRPr="0025250D">
        <w:rPr>
          <w:rtl/>
        </w:rPr>
        <w:t xml:space="preserve"> که بر 95</w:t>
      </w:r>
      <w:r w:rsidRPr="0025250D">
        <w:rPr>
          <w:rFonts w:cs="Times New Roman" w:hint="cs"/>
          <w:rtl/>
        </w:rPr>
        <w:t>٪</w:t>
      </w:r>
      <w:r w:rsidRPr="0025250D">
        <w:rPr>
          <w:rtl/>
        </w:rPr>
        <w:t xml:space="preserve"> </w:t>
      </w:r>
      <w:r w:rsidRPr="0025250D">
        <w:rPr>
          <w:rFonts w:hint="cs"/>
          <w:rtl/>
        </w:rPr>
        <w:t>احساس</w:t>
      </w:r>
      <w:r w:rsidRPr="0025250D">
        <w:rPr>
          <w:rtl/>
        </w:rPr>
        <w:t xml:space="preserve"> </w:t>
      </w:r>
      <w:r w:rsidRPr="0025250D">
        <w:rPr>
          <w:rFonts w:hint="cs"/>
          <w:rtl/>
        </w:rPr>
        <w:t>و</w:t>
      </w:r>
      <w:r w:rsidRPr="0025250D">
        <w:rPr>
          <w:rtl/>
        </w:rPr>
        <w:t xml:space="preserve"> </w:t>
      </w:r>
      <w:r w:rsidRPr="0025250D">
        <w:rPr>
          <w:rFonts w:hint="cs"/>
          <w:rtl/>
        </w:rPr>
        <w:t>تفکر</w:t>
      </w:r>
      <w:r w:rsidRPr="0025250D">
        <w:rPr>
          <w:rtl/>
        </w:rPr>
        <w:t xml:space="preserve"> </w:t>
      </w:r>
      <w:r w:rsidRPr="0025250D">
        <w:rPr>
          <w:rFonts w:hint="cs"/>
          <w:rtl/>
        </w:rPr>
        <w:t>و</w:t>
      </w:r>
      <w:r w:rsidRPr="0025250D">
        <w:rPr>
          <w:rtl/>
        </w:rPr>
        <w:t xml:space="preserve"> اغلب رفتار شما حاکم اس</w:t>
      </w:r>
      <w:r w:rsidRPr="0025250D">
        <w:rPr>
          <w:rFonts w:hint="eastAsia"/>
          <w:rtl/>
        </w:rPr>
        <w:t>ت</w:t>
      </w:r>
      <w:r w:rsidRPr="0025250D">
        <w:rPr>
          <w:rtl/>
        </w:rPr>
        <w:t>.</w:t>
      </w:r>
    </w:p>
    <w:p w14:paraId="0AA36EA1" w14:textId="54820AD5" w:rsidR="0009441D" w:rsidRPr="0025250D" w:rsidRDefault="0009441D" w:rsidP="00492C47">
      <w:pPr>
        <w:numPr>
          <w:ilvl w:val="0"/>
          <w:numId w:val="78"/>
        </w:numPr>
      </w:pPr>
      <w:r w:rsidRPr="0025250D">
        <w:rPr>
          <w:rtl/>
        </w:rPr>
        <w:t>روان-سا</w:t>
      </w:r>
      <w:r w:rsidRPr="0025250D">
        <w:rPr>
          <w:rFonts w:hint="cs"/>
          <w:rtl/>
        </w:rPr>
        <w:t>ی</w:t>
      </w:r>
      <w:r w:rsidRPr="0025250D">
        <w:rPr>
          <w:rFonts w:hint="eastAsia"/>
          <w:rtl/>
        </w:rPr>
        <w:t>برنت</w:t>
      </w:r>
      <w:r w:rsidRPr="0025250D">
        <w:rPr>
          <w:rFonts w:hint="cs"/>
          <w:rtl/>
        </w:rPr>
        <w:t>ی</w:t>
      </w:r>
      <w:r w:rsidRPr="0025250D">
        <w:rPr>
          <w:rFonts w:hint="eastAsia"/>
          <w:rtl/>
        </w:rPr>
        <w:t>ک</w:t>
      </w:r>
      <w:r w:rsidRPr="0025250D">
        <w:rPr>
          <w:rtl/>
        </w:rPr>
        <w:t xml:space="preserve"> جد</w:t>
      </w:r>
      <w:r w:rsidRPr="0025250D">
        <w:rPr>
          <w:rFonts w:hint="cs"/>
          <w:rtl/>
        </w:rPr>
        <w:t>ی</w:t>
      </w:r>
      <w:r w:rsidRPr="0025250D">
        <w:rPr>
          <w:rFonts w:hint="eastAsia"/>
          <w:rtl/>
        </w:rPr>
        <w:t>د،</w:t>
      </w:r>
      <w:r w:rsidRPr="0025250D">
        <w:rPr>
          <w:rtl/>
        </w:rPr>
        <w:t xml:space="preserve"> ماکسول مالد</w:t>
      </w:r>
      <w:r w:rsidRPr="0025250D">
        <w:rPr>
          <w:vertAlign w:val="superscript"/>
          <w:rtl/>
        </w:rPr>
        <w:footnoteReference w:id="3351"/>
      </w:r>
      <w:r w:rsidRPr="0025250D">
        <w:rPr>
          <w:rtl/>
        </w:rPr>
        <w:t>، 1960/2002</w:t>
      </w:r>
      <w:r w:rsidRPr="0025250D">
        <w:rPr>
          <w:rFonts w:hint="cs"/>
          <w:rtl/>
        </w:rPr>
        <w:t xml:space="preserve">. </w:t>
      </w:r>
      <w:r w:rsidRPr="0025250D">
        <w:rPr>
          <w:rtl/>
        </w:rPr>
        <w:t>ا</w:t>
      </w:r>
      <w:r w:rsidRPr="0025250D">
        <w:rPr>
          <w:rFonts w:hint="cs"/>
          <w:rtl/>
        </w:rPr>
        <w:t>ی</w:t>
      </w:r>
      <w:r w:rsidRPr="0025250D">
        <w:rPr>
          <w:rFonts w:hint="eastAsia"/>
          <w:rtl/>
        </w:rPr>
        <w:t>ن</w:t>
      </w:r>
      <w:r w:rsidRPr="0025250D">
        <w:rPr>
          <w:rtl/>
        </w:rPr>
        <w:t xml:space="preserve"> کتاب 30 م</w:t>
      </w:r>
      <w:r w:rsidRPr="0025250D">
        <w:rPr>
          <w:rFonts w:hint="cs"/>
          <w:rtl/>
        </w:rPr>
        <w:t>ی</w:t>
      </w:r>
      <w:r w:rsidRPr="0025250D">
        <w:rPr>
          <w:rFonts w:hint="eastAsia"/>
          <w:rtl/>
        </w:rPr>
        <w:t>ل</w:t>
      </w:r>
      <w:r w:rsidRPr="0025250D">
        <w:rPr>
          <w:rFonts w:hint="cs"/>
          <w:rtl/>
        </w:rPr>
        <w:t>ی</w:t>
      </w:r>
      <w:r w:rsidRPr="0025250D">
        <w:rPr>
          <w:rFonts w:hint="eastAsia"/>
          <w:rtl/>
        </w:rPr>
        <w:t>ون</w:t>
      </w:r>
      <w:r w:rsidRPr="0025250D">
        <w:rPr>
          <w:rtl/>
        </w:rPr>
        <w:t xml:space="preserve"> نسخه فروخت. ا</w:t>
      </w:r>
      <w:r w:rsidRPr="0025250D">
        <w:rPr>
          <w:rFonts w:hint="cs"/>
          <w:rtl/>
        </w:rPr>
        <w:t>ی</w:t>
      </w:r>
      <w:r w:rsidRPr="0025250D">
        <w:rPr>
          <w:rFonts w:hint="eastAsia"/>
          <w:rtl/>
        </w:rPr>
        <w:t>ن</w:t>
      </w:r>
      <w:r w:rsidRPr="0025250D">
        <w:rPr>
          <w:rtl/>
        </w:rPr>
        <w:t xml:space="preserve"> </w:t>
      </w:r>
      <w:r w:rsidRPr="0025250D">
        <w:rPr>
          <w:rFonts w:hint="cs"/>
          <w:rtl/>
        </w:rPr>
        <w:t>ی</w:t>
      </w:r>
      <w:r w:rsidRPr="0025250D">
        <w:rPr>
          <w:rFonts w:hint="eastAsia"/>
          <w:rtl/>
        </w:rPr>
        <w:t>ک</w:t>
      </w:r>
      <w:r w:rsidRPr="0025250D">
        <w:rPr>
          <w:rFonts w:hint="cs"/>
          <w:rtl/>
        </w:rPr>
        <w:t>ی</w:t>
      </w:r>
      <w:r w:rsidRPr="0025250D">
        <w:rPr>
          <w:rtl/>
        </w:rPr>
        <w:t xml:space="preserve"> از اول</w:t>
      </w:r>
      <w:r w:rsidRPr="0025250D">
        <w:rPr>
          <w:rFonts w:hint="cs"/>
          <w:rtl/>
        </w:rPr>
        <w:t>ی</w:t>
      </w:r>
      <w:r w:rsidRPr="0025250D">
        <w:rPr>
          <w:rFonts w:hint="eastAsia"/>
          <w:rtl/>
        </w:rPr>
        <w:t>ن</w:t>
      </w:r>
      <w:r w:rsidRPr="0025250D">
        <w:rPr>
          <w:rtl/>
        </w:rPr>
        <w:t xml:space="preserve"> </w:t>
      </w:r>
      <w:r w:rsidRPr="0025250D">
        <w:rPr>
          <w:rFonts w:hint="cs"/>
          <w:rtl/>
        </w:rPr>
        <w:t>کتاب هایی</w:t>
      </w:r>
      <w:r w:rsidRPr="0025250D">
        <w:rPr>
          <w:rtl/>
        </w:rPr>
        <w:t xml:space="preserve"> بود که توض</w:t>
      </w:r>
      <w:r w:rsidRPr="0025250D">
        <w:rPr>
          <w:rFonts w:hint="cs"/>
          <w:rtl/>
        </w:rPr>
        <w:t>ی</w:t>
      </w:r>
      <w:r w:rsidRPr="0025250D">
        <w:rPr>
          <w:rFonts w:hint="eastAsia"/>
          <w:rtl/>
        </w:rPr>
        <w:t>ح</w:t>
      </w:r>
      <w:r w:rsidRPr="0025250D">
        <w:rPr>
          <w:rtl/>
        </w:rPr>
        <w:t xml:space="preserve"> داد چگونه </w:t>
      </w:r>
      <w:r w:rsidRPr="0025250D">
        <w:rPr>
          <w:rFonts w:hint="cs"/>
          <w:rtl/>
        </w:rPr>
        <w:t xml:space="preserve">به صورت </w:t>
      </w:r>
      <w:r w:rsidRPr="0025250D">
        <w:rPr>
          <w:rtl/>
        </w:rPr>
        <w:t>ناخودآگاه زندگ</w:t>
      </w:r>
      <w:r w:rsidRPr="0025250D">
        <w:rPr>
          <w:rFonts w:hint="cs"/>
          <w:rtl/>
        </w:rPr>
        <w:t>ی</w:t>
      </w:r>
      <w:r w:rsidRPr="0025250D">
        <w:rPr>
          <w:rtl/>
        </w:rPr>
        <w:t xml:space="preserve"> م</w:t>
      </w:r>
      <w:r w:rsidRPr="0025250D">
        <w:rPr>
          <w:rFonts w:hint="cs"/>
          <w:rtl/>
        </w:rPr>
        <w:t>ی</w:t>
      </w:r>
      <w:r w:rsidRPr="0025250D">
        <w:rPr>
          <w:rtl/>
        </w:rPr>
        <w:t xml:space="preserve"> کن</w:t>
      </w:r>
      <w:r w:rsidRPr="0025250D">
        <w:rPr>
          <w:rFonts w:hint="cs"/>
          <w:rtl/>
        </w:rPr>
        <w:t>ی</w:t>
      </w:r>
      <w:r w:rsidRPr="0025250D">
        <w:rPr>
          <w:rFonts w:hint="eastAsia"/>
          <w:rtl/>
        </w:rPr>
        <w:t>م،</w:t>
      </w:r>
      <w:r w:rsidRPr="0025250D">
        <w:rPr>
          <w:rtl/>
        </w:rPr>
        <w:t xml:space="preserve"> چگونه باورها</w:t>
      </w:r>
      <w:r w:rsidRPr="0025250D">
        <w:rPr>
          <w:rFonts w:hint="cs"/>
          <w:rtl/>
        </w:rPr>
        <w:t>ی</w:t>
      </w:r>
      <w:r w:rsidRPr="0025250D">
        <w:rPr>
          <w:rtl/>
        </w:rPr>
        <w:t xml:space="preserve"> ناخودآگاه ما را عقب م</w:t>
      </w:r>
      <w:r w:rsidRPr="0025250D">
        <w:rPr>
          <w:rFonts w:hint="cs"/>
          <w:rtl/>
        </w:rPr>
        <w:t>ی</w:t>
      </w:r>
      <w:r w:rsidRPr="0025250D">
        <w:rPr>
          <w:rtl/>
        </w:rPr>
        <w:t xml:space="preserve"> اندازند و چگونه با </w:t>
      </w:r>
      <w:r w:rsidR="007118DE" w:rsidRPr="0025250D">
        <w:rPr>
          <w:rtl/>
        </w:rPr>
        <w:t>اولویت‌بندی</w:t>
      </w:r>
      <w:r w:rsidRPr="0025250D">
        <w:rPr>
          <w:rtl/>
        </w:rPr>
        <w:t xml:space="preserve"> و تکرار ساده، م</w:t>
      </w:r>
      <w:r w:rsidRPr="0025250D">
        <w:rPr>
          <w:rFonts w:hint="cs"/>
          <w:rtl/>
        </w:rPr>
        <w:t>ی</w:t>
      </w:r>
      <w:r w:rsidRPr="0025250D">
        <w:rPr>
          <w:rtl/>
        </w:rPr>
        <w:t xml:space="preserve"> توان</w:t>
      </w:r>
      <w:r w:rsidRPr="0025250D">
        <w:rPr>
          <w:rFonts w:hint="cs"/>
          <w:rtl/>
        </w:rPr>
        <w:t>ی</w:t>
      </w:r>
      <w:r w:rsidRPr="0025250D">
        <w:rPr>
          <w:rFonts w:hint="eastAsia"/>
          <w:rtl/>
        </w:rPr>
        <w:t>م</w:t>
      </w:r>
      <w:r w:rsidRPr="0025250D">
        <w:rPr>
          <w:rtl/>
        </w:rPr>
        <w:t xml:space="preserve"> مخرب تر</w:t>
      </w:r>
      <w:r w:rsidRPr="0025250D">
        <w:rPr>
          <w:rFonts w:hint="cs"/>
          <w:rtl/>
        </w:rPr>
        <w:t>ی</w:t>
      </w:r>
      <w:r w:rsidRPr="0025250D">
        <w:rPr>
          <w:rFonts w:hint="eastAsia"/>
          <w:rtl/>
        </w:rPr>
        <w:t>ن</w:t>
      </w:r>
      <w:r w:rsidRPr="0025250D">
        <w:rPr>
          <w:rtl/>
        </w:rPr>
        <w:t xml:space="preserve"> باورها، افکار و احساسات ناخودآگاه خود را دوباره </w:t>
      </w:r>
      <w:r w:rsidR="00B124DE" w:rsidRPr="0025250D">
        <w:rPr>
          <w:rtl/>
        </w:rPr>
        <w:t>برنامه‌ریزی</w:t>
      </w:r>
      <w:r w:rsidRPr="0025250D">
        <w:rPr>
          <w:rtl/>
        </w:rPr>
        <w:t xml:space="preserve"> کن</w:t>
      </w:r>
      <w:r w:rsidRPr="0025250D">
        <w:rPr>
          <w:rFonts w:hint="cs"/>
          <w:rtl/>
        </w:rPr>
        <w:t>ی</w:t>
      </w:r>
      <w:r w:rsidRPr="0025250D">
        <w:rPr>
          <w:rFonts w:hint="eastAsia"/>
          <w:rtl/>
        </w:rPr>
        <w:t>م</w:t>
      </w:r>
      <w:r w:rsidRPr="0025250D">
        <w:rPr>
          <w:rtl/>
        </w:rPr>
        <w:t>.</w:t>
      </w:r>
      <w:r w:rsidRPr="0025250D">
        <w:rPr>
          <w:rFonts w:hint="cs"/>
          <w:rtl/>
        </w:rPr>
        <w:t xml:space="preserve"> </w:t>
      </w:r>
      <w:r w:rsidRPr="0025250D">
        <w:rPr>
          <w:rtl/>
        </w:rPr>
        <w:t>ما اغلب از چ</w:t>
      </w:r>
      <w:r w:rsidRPr="0025250D">
        <w:rPr>
          <w:rFonts w:hint="cs"/>
          <w:rtl/>
        </w:rPr>
        <w:t>ی</w:t>
      </w:r>
      <w:r w:rsidRPr="0025250D">
        <w:rPr>
          <w:rFonts w:hint="eastAsia"/>
          <w:rtl/>
        </w:rPr>
        <w:t>زها</w:t>
      </w:r>
      <w:r w:rsidRPr="0025250D">
        <w:rPr>
          <w:rFonts w:hint="cs"/>
          <w:rtl/>
        </w:rPr>
        <w:t>یی</w:t>
      </w:r>
      <w:r w:rsidRPr="0025250D">
        <w:rPr>
          <w:rtl/>
        </w:rPr>
        <w:t xml:space="preserve"> که باعث ترس </w:t>
      </w:r>
      <w:r w:rsidRPr="0025250D">
        <w:rPr>
          <w:rFonts w:hint="cs"/>
          <w:rtl/>
        </w:rPr>
        <w:t>ی</w:t>
      </w:r>
      <w:r w:rsidRPr="0025250D">
        <w:rPr>
          <w:rFonts w:hint="eastAsia"/>
          <w:rtl/>
        </w:rPr>
        <w:t>ا</w:t>
      </w:r>
      <w:r w:rsidRPr="0025250D">
        <w:rPr>
          <w:rtl/>
        </w:rPr>
        <w:t xml:space="preserve"> ناراحت</w:t>
      </w:r>
      <w:r w:rsidRPr="0025250D">
        <w:rPr>
          <w:rFonts w:hint="cs"/>
          <w:rtl/>
        </w:rPr>
        <w:t>ی</w:t>
      </w:r>
      <w:r w:rsidRPr="0025250D">
        <w:rPr>
          <w:rtl/>
        </w:rPr>
        <w:t xml:space="preserve"> م</w:t>
      </w:r>
      <w:r w:rsidRPr="0025250D">
        <w:rPr>
          <w:rFonts w:hint="cs"/>
          <w:rtl/>
        </w:rPr>
        <w:t>ی‌</w:t>
      </w:r>
      <w:r w:rsidRPr="0025250D">
        <w:rPr>
          <w:rFonts w:hint="eastAsia"/>
          <w:rtl/>
        </w:rPr>
        <w:t>شوند،</w:t>
      </w:r>
      <w:r w:rsidRPr="0025250D">
        <w:rPr>
          <w:rtl/>
        </w:rPr>
        <w:t xml:space="preserve"> اجتناب م</w:t>
      </w:r>
      <w:r w:rsidRPr="0025250D">
        <w:rPr>
          <w:rFonts w:hint="cs"/>
          <w:rtl/>
        </w:rPr>
        <w:t>ی‌</w:t>
      </w:r>
      <w:r w:rsidRPr="0025250D">
        <w:rPr>
          <w:rFonts w:hint="eastAsia"/>
          <w:rtl/>
        </w:rPr>
        <w:t>کن</w:t>
      </w:r>
      <w:r w:rsidRPr="0025250D">
        <w:rPr>
          <w:rFonts w:hint="cs"/>
          <w:rtl/>
        </w:rPr>
        <w:t>ی</w:t>
      </w:r>
      <w:r w:rsidRPr="0025250D">
        <w:rPr>
          <w:rFonts w:hint="eastAsia"/>
          <w:rtl/>
        </w:rPr>
        <w:t>م،</w:t>
      </w:r>
      <w:r w:rsidRPr="0025250D">
        <w:rPr>
          <w:rtl/>
        </w:rPr>
        <w:t xml:space="preserve"> حت</w:t>
      </w:r>
      <w:r w:rsidRPr="0025250D">
        <w:rPr>
          <w:rFonts w:hint="cs"/>
          <w:rtl/>
        </w:rPr>
        <w:t>ی</w:t>
      </w:r>
      <w:r w:rsidRPr="0025250D">
        <w:rPr>
          <w:rtl/>
        </w:rPr>
        <w:t xml:space="preserve"> زمان</w:t>
      </w:r>
      <w:r w:rsidRPr="0025250D">
        <w:rPr>
          <w:rFonts w:hint="cs"/>
          <w:rtl/>
        </w:rPr>
        <w:t>ی</w:t>
      </w:r>
      <w:r w:rsidRPr="0025250D">
        <w:rPr>
          <w:rtl/>
        </w:rPr>
        <w:t xml:space="preserve"> که آنها عوامل کل</w:t>
      </w:r>
      <w:r w:rsidRPr="0025250D">
        <w:rPr>
          <w:rFonts w:hint="cs"/>
          <w:rtl/>
        </w:rPr>
        <w:t>ی</w:t>
      </w:r>
      <w:r w:rsidRPr="0025250D">
        <w:rPr>
          <w:rFonts w:hint="eastAsia"/>
          <w:rtl/>
        </w:rPr>
        <w:t>د</w:t>
      </w:r>
      <w:r w:rsidRPr="0025250D">
        <w:rPr>
          <w:rFonts w:hint="cs"/>
          <w:rtl/>
        </w:rPr>
        <w:t>ی</w:t>
      </w:r>
      <w:r w:rsidRPr="0025250D">
        <w:rPr>
          <w:rtl/>
        </w:rPr>
        <w:t xml:space="preserve"> اهداف ما هستند. تمر</w:t>
      </w:r>
      <w:r w:rsidRPr="0025250D">
        <w:rPr>
          <w:rFonts w:hint="cs"/>
          <w:rtl/>
        </w:rPr>
        <w:t>ی</w:t>
      </w:r>
      <w:r w:rsidRPr="0025250D">
        <w:rPr>
          <w:rFonts w:hint="eastAsia"/>
          <w:rtl/>
        </w:rPr>
        <w:t>نات</w:t>
      </w:r>
      <w:r w:rsidRPr="0025250D">
        <w:rPr>
          <w:rtl/>
        </w:rPr>
        <w:t xml:space="preserve"> ا</w:t>
      </w:r>
      <w:r w:rsidRPr="0025250D">
        <w:rPr>
          <w:rFonts w:hint="cs"/>
          <w:rtl/>
        </w:rPr>
        <w:t>ی</w:t>
      </w:r>
      <w:r w:rsidRPr="0025250D">
        <w:rPr>
          <w:rFonts w:hint="eastAsia"/>
          <w:rtl/>
        </w:rPr>
        <w:t>ن</w:t>
      </w:r>
      <w:r w:rsidRPr="0025250D">
        <w:rPr>
          <w:rtl/>
        </w:rPr>
        <w:t xml:space="preserve"> کتاب را انجام ده</w:t>
      </w:r>
      <w:r w:rsidRPr="0025250D">
        <w:rPr>
          <w:rFonts w:hint="cs"/>
          <w:rtl/>
        </w:rPr>
        <w:t>ی</w:t>
      </w:r>
      <w:r w:rsidRPr="0025250D">
        <w:rPr>
          <w:rFonts w:hint="eastAsia"/>
          <w:rtl/>
        </w:rPr>
        <w:t>د</w:t>
      </w:r>
      <w:r w:rsidRPr="0025250D">
        <w:rPr>
          <w:rtl/>
        </w:rPr>
        <w:t xml:space="preserve"> و کنترل باورها، افکار و احساسات مسدودکننده خود را شروع کن</w:t>
      </w:r>
      <w:r w:rsidRPr="0025250D">
        <w:rPr>
          <w:rFonts w:hint="cs"/>
          <w:rtl/>
        </w:rPr>
        <w:t>ی</w:t>
      </w:r>
      <w:r w:rsidRPr="0025250D">
        <w:rPr>
          <w:rFonts w:hint="eastAsia"/>
          <w:rtl/>
        </w:rPr>
        <w:t>د</w:t>
      </w:r>
      <w:r w:rsidRPr="0025250D">
        <w:rPr>
          <w:rtl/>
        </w:rPr>
        <w:t>.</w:t>
      </w:r>
    </w:p>
    <w:p w14:paraId="3AD7C864" w14:textId="47FAD25D" w:rsidR="0009441D" w:rsidRPr="0025250D" w:rsidRDefault="0009441D" w:rsidP="00492C47">
      <w:pPr>
        <w:numPr>
          <w:ilvl w:val="0"/>
          <w:numId w:val="78"/>
        </w:numPr>
      </w:pPr>
      <w:r w:rsidRPr="0025250D">
        <w:rPr>
          <w:rtl/>
        </w:rPr>
        <w:t>اسطوره عزت نفس، آلبرت ال</w:t>
      </w:r>
      <w:r w:rsidRPr="0025250D">
        <w:rPr>
          <w:rFonts w:hint="cs"/>
          <w:rtl/>
        </w:rPr>
        <w:t>ی</w:t>
      </w:r>
      <w:r w:rsidRPr="0025250D">
        <w:rPr>
          <w:rFonts w:hint="eastAsia"/>
          <w:rtl/>
        </w:rPr>
        <w:t>س</w:t>
      </w:r>
      <w:r w:rsidRPr="0025250D">
        <w:rPr>
          <w:vertAlign w:val="superscript"/>
          <w:rtl/>
        </w:rPr>
        <w:footnoteReference w:id="3352"/>
      </w:r>
      <w:r w:rsidRPr="0025250D">
        <w:rPr>
          <w:rFonts w:hint="eastAsia"/>
          <w:rtl/>
        </w:rPr>
        <w:t>،</w:t>
      </w:r>
      <w:r w:rsidRPr="0025250D">
        <w:rPr>
          <w:rtl/>
        </w:rPr>
        <w:t xml:space="preserve"> 2005. راهنما</w:t>
      </w:r>
      <w:r w:rsidRPr="0025250D">
        <w:rPr>
          <w:rFonts w:hint="cs"/>
          <w:rtl/>
        </w:rPr>
        <w:t>یی</w:t>
      </w:r>
      <w:r w:rsidRPr="0025250D">
        <w:rPr>
          <w:rtl/>
        </w:rPr>
        <w:t xml:space="preserve"> عال</w:t>
      </w:r>
      <w:r w:rsidRPr="0025250D">
        <w:rPr>
          <w:rFonts w:hint="cs"/>
          <w:rtl/>
        </w:rPr>
        <w:t>ی</w:t>
      </w:r>
      <w:r w:rsidRPr="0025250D">
        <w:rPr>
          <w:rtl/>
        </w:rPr>
        <w:t xml:space="preserve"> </w:t>
      </w:r>
      <w:r w:rsidRPr="0025250D">
        <w:rPr>
          <w:rFonts w:hint="cs"/>
          <w:rtl/>
        </w:rPr>
        <w:t>در مورد</w:t>
      </w:r>
      <w:r w:rsidRPr="0025250D">
        <w:rPr>
          <w:rtl/>
        </w:rPr>
        <w:t xml:space="preserve"> ضرورت پذ</w:t>
      </w:r>
      <w:r w:rsidRPr="0025250D">
        <w:rPr>
          <w:rFonts w:hint="cs"/>
          <w:rtl/>
        </w:rPr>
        <w:t>ی</w:t>
      </w:r>
      <w:r w:rsidRPr="0025250D">
        <w:rPr>
          <w:rFonts w:hint="eastAsia"/>
          <w:rtl/>
        </w:rPr>
        <w:t>رش</w:t>
      </w:r>
      <w:r w:rsidRPr="0025250D">
        <w:rPr>
          <w:rtl/>
        </w:rPr>
        <w:t xml:space="preserve"> بدون ق</w:t>
      </w:r>
      <w:r w:rsidRPr="0025250D">
        <w:rPr>
          <w:rFonts w:hint="cs"/>
          <w:rtl/>
        </w:rPr>
        <w:t>ی</w:t>
      </w:r>
      <w:r w:rsidRPr="0025250D">
        <w:rPr>
          <w:rFonts w:hint="eastAsia"/>
          <w:rtl/>
        </w:rPr>
        <w:t>د</w:t>
      </w:r>
      <w:r w:rsidRPr="0025250D">
        <w:rPr>
          <w:rtl/>
        </w:rPr>
        <w:t xml:space="preserve"> و شرط خود</w:t>
      </w:r>
      <w:r w:rsidRPr="0025250D">
        <w:rPr>
          <w:vertAlign w:val="superscript"/>
          <w:rtl/>
        </w:rPr>
        <w:footnoteReference w:id="3353"/>
      </w:r>
      <w:r w:rsidRPr="0025250D">
        <w:rPr>
          <w:rtl/>
        </w:rPr>
        <w:t xml:space="preserve"> و پذ</w:t>
      </w:r>
      <w:r w:rsidRPr="0025250D">
        <w:rPr>
          <w:rFonts w:hint="cs"/>
          <w:rtl/>
        </w:rPr>
        <w:t>ی</w:t>
      </w:r>
      <w:r w:rsidRPr="0025250D">
        <w:rPr>
          <w:rFonts w:hint="eastAsia"/>
          <w:rtl/>
        </w:rPr>
        <w:t>رش</w:t>
      </w:r>
      <w:r w:rsidRPr="0025250D">
        <w:rPr>
          <w:rtl/>
        </w:rPr>
        <w:t xml:space="preserve"> بدون ق</w:t>
      </w:r>
      <w:r w:rsidRPr="0025250D">
        <w:rPr>
          <w:rFonts w:hint="cs"/>
          <w:rtl/>
        </w:rPr>
        <w:t>ی</w:t>
      </w:r>
      <w:r w:rsidRPr="0025250D">
        <w:rPr>
          <w:rFonts w:hint="eastAsia"/>
          <w:rtl/>
        </w:rPr>
        <w:t>د</w:t>
      </w:r>
      <w:r w:rsidRPr="0025250D">
        <w:rPr>
          <w:rtl/>
        </w:rPr>
        <w:t xml:space="preserve"> و شرط د</w:t>
      </w:r>
      <w:r w:rsidRPr="0025250D">
        <w:rPr>
          <w:rFonts w:hint="cs"/>
          <w:rtl/>
        </w:rPr>
        <w:t>ی</w:t>
      </w:r>
      <w:r w:rsidRPr="0025250D">
        <w:rPr>
          <w:rFonts w:hint="eastAsia"/>
          <w:rtl/>
        </w:rPr>
        <w:t>گر</w:t>
      </w:r>
      <w:r w:rsidRPr="0025250D">
        <w:rPr>
          <w:rFonts w:hint="cs"/>
          <w:rtl/>
        </w:rPr>
        <w:t>ان</w:t>
      </w:r>
      <w:r w:rsidRPr="0025250D">
        <w:rPr>
          <w:vertAlign w:val="superscript"/>
          <w:rtl/>
        </w:rPr>
        <w:footnoteReference w:id="3354"/>
      </w:r>
      <w:r w:rsidRPr="0025250D">
        <w:rPr>
          <w:rtl/>
        </w:rPr>
        <w:t xml:space="preserve"> در </w:t>
      </w:r>
      <w:r w:rsidR="00B124DE" w:rsidRPr="0025250D">
        <w:rPr>
          <w:rFonts w:hint="cs"/>
          <w:rtl/>
        </w:rPr>
        <w:t>انطباق‌پذیر</w:t>
      </w:r>
      <w:r w:rsidRPr="0025250D">
        <w:rPr>
          <w:rFonts w:hint="cs"/>
          <w:rtl/>
        </w:rPr>
        <w:t>ی</w:t>
      </w:r>
      <w:r w:rsidRPr="0025250D">
        <w:rPr>
          <w:rtl/>
        </w:rPr>
        <w:t xml:space="preserve"> </w:t>
      </w:r>
      <w:r w:rsidR="001A3F0A" w:rsidRPr="0025250D">
        <w:rPr>
          <w:rtl/>
        </w:rPr>
        <w:t>فردی</w:t>
      </w:r>
      <w:r w:rsidRPr="0025250D">
        <w:rPr>
          <w:rtl/>
        </w:rPr>
        <w:t xml:space="preserve">. </w:t>
      </w:r>
      <w:r w:rsidR="007118DE" w:rsidRPr="0025250D">
        <w:rPr>
          <w:rtl/>
        </w:rPr>
        <w:t>همان‌طور</w:t>
      </w:r>
      <w:r w:rsidRPr="0025250D">
        <w:rPr>
          <w:rtl/>
        </w:rPr>
        <w:t xml:space="preserve"> که ال</w:t>
      </w:r>
      <w:r w:rsidRPr="0025250D">
        <w:rPr>
          <w:rFonts w:hint="cs"/>
          <w:rtl/>
        </w:rPr>
        <w:t>ی</w:t>
      </w:r>
      <w:r w:rsidRPr="0025250D">
        <w:rPr>
          <w:rFonts w:hint="eastAsia"/>
          <w:rtl/>
        </w:rPr>
        <w:t>س</w:t>
      </w:r>
      <w:r w:rsidRPr="0025250D">
        <w:rPr>
          <w:rtl/>
        </w:rPr>
        <w:t xml:space="preserve"> م</w:t>
      </w:r>
      <w:r w:rsidRPr="0025250D">
        <w:rPr>
          <w:rFonts w:hint="cs"/>
          <w:rtl/>
        </w:rPr>
        <w:t>ی</w:t>
      </w:r>
      <w:r w:rsidRPr="0025250D">
        <w:rPr>
          <w:rtl/>
        </w:rPr>
        <w:t xml:space="preserve"> گو</w:t>
      </w:r>
      <w:r w:rsidRPr="0025250D">
        <w:rPr>
          <w:rFonts w:hint="cs"/>
          <w:rtl/>
        </w:rPr>
        <w:t>ی</w:t>
      </w:r>
      <w:r w:rsidRPr="0025250D">
        <w:rPr>
          <w:rFonts w:hint="eastAsia"/>
          <w:rtl/>
        </w:rPr>
        <w:t>د،</w:t>
      </w:r>
      <w:r w:rsidRPr="0025250D">
        <w:rPr>
          <w:rtl/>
        </w:rPr>
        <w:t xml:space="preserve"> ما به عنوان موجودات ف</w:t>
      </w:r>
      <w:r w:rsidRPr="0025250D">
        <w:rPr>
          <w:rFonts w:hint="cs"/>
          <w:rtl/>
        </w:rPr>
        <w:t>ی</w:t>
      </w:r>
      <w:r w:rsidRPr="0025250D">
        <w:rPr>
          <w:rFonts w:hint="eastAsia"/>
          <w:rtl/>
        </w:rPr>
        <w:t>ز</w:t>
      </w:r>
      <w:r w:rsidRPr="0025250D">
        <w:rPr>
          <w:rFonts w:hint="cs"/>
          <w:rtl/>
        </w:rPr>
        <w:t>ی</w:t>
      </w:r>
      <w:r w:rsidRPr="0025250D">
        <w:rPr>
          <w:rFonts w:hint="eastAsia"/>
          <w:rtl/>
        </w:rPr>
        <w:t>ک</w:t>
      </w:r>
      <w:r w:rsidRPr="0025250D">
        <w:rPr>
          <w:rFonts w:hint="cs"/>
          <w:rtl/>
        </w:rPr>
        <w:t>ی</w:t>
      </w:r>
      <w:r w:rsidRPr="0025250D">
        <w:rPr>
          <w:rtl/>
        </w:rPr>
        <w:t xml:space="preserve"> ب</w:t>
      </w:r>
      <w:r w:rsidRPr="0025250D">
        <w:rPr>
          <w:rFonts w:hint="cs"/>
          <w:rtl/>
        </w:rPr>
        <w:t>ی</w:t>
      </w:r>
      <w:r w:rsidRPr="0025250D">
        <w:rPr>
          <w:rFonts w:hint="eastAsia"/>
          <w:rtl/>
        </w:rPr>
        <w:t>ش</w:t>
      </w:r>
      <w:r w:rsidRPr="0025250D">
        <w:rPr>
          <w:rtl/>
        </w:rPr>
        <w:t xml:space="preserve"> از حد پ</w:t>
      </w:r>
      <w:r w:rsidRPr="0025250D">
        <w:rPr>
          <w:rFonts w:hint="cs"/>
          <w:rtl/>
        </w:rPr>
        <w:t>ی</w:t>
      </w:r>
      <w:r w:rsidRPr="0025250D">
        <w:rPr>
          <w:rFonts w:hint="eastAsia"/>
          <w:rtl/>
        </w:rPr>
        <w:t>چ</w:t>
      </w:r>
      <w:r w:rsidRPr="0025250D">
        <w:rPr>
          <w:rFonts w:hint="cs"/>
          <w:rtl/>
        </w:rPr>
        <w:t>ی</w:t>
      </w:r>
      <w:r w:rsidRPr="0025250D">
        <w:rPr>
          <w:rFonts w:hint="eastAsia"/>
          <w:rtl/>
        </w:rPr>
        <w:t>ده</w:t>
      </w:r>
      <w:r w:rsidRPr="0025250D">
        <w:rPr>
          <w:rtl/>
        </w:rPr>
        <w:t xml:space="preserve"> هست</w:t>
      </w:r>
      <w:r w:rsidRPr="0025250D">
        <w:rPr>
          <w:rFonts w:hint="cs"/>
          <w:rtl/>
        </w:rPr>
        <w:t>ی</w:t>
      </w:r>
      <w:r w:rsidRPr="0025250D">
        <w:rPr>
          <w:rFonts w:hint="eastAsia"/>
          <w:rtl/>
        </w:rPr>
        <w:t>م</w:t>
      </w:r>
      <w:r w:rsidRPr="0025250D">
        <w:rPr>
          <w:rtl/>
        </w:rPr>
        <w:t xml:space="preserve"> </w:t>
      </w:r>
      <w:r w:rsidRPr="0025250D">
        <w:rPr>
          <w:rFonts w:hint="cs"/>
          <w:rtl/>
        </w:rPr>
        <w:t>و</w:t>
      </w:r>
      <w:r w:rsidR="00EE4B64" w:rsidRPr="0025250D">
        <w:rPr>
          <w:rtl/>
        </w:rPr>
        <w:t xml:space="preserve"> نمی‌</w:t>
      </w:r>
      <w:r w:rsidRPr="0025250D">
        <w:rPr>
          <w:rtl/>
        </w:rPr>
        <w:t>توان</w:t>
      </w:r>
      <w:r w:rsidRPr="0025250D">
        <w:rPr>
          <w:rFonts w:hint="cs"/>
          <w:rtl/>
        </w:rPr>
        <w:t>ی</w:t>
      </w:r>
      <w:r w:rsidRPr="0025250D">
        <w:rPr>
          <w:rFonts w:hint="eastAsia"/>
          <w:rtl/>
        </w:rPr>
        <w:t>م</w:t>
      </w:r>
      <w:r w:rsidRPr="0025250D">
        <w:rPr>
          <w:rtl/>
        </w:rPr>
        <w:t xml:space="preserve"> خود </w:t>
      </w:r>
      <w:r w:rsidRPr="0025250D">
        <w:rPr>
          <w:rFonts w:hint="cs"/>
          <w:rtl/>
        </w:rPr>
        <w:t>ی</w:t>
      </w:r>
      <w:r w:rsidRPr="0025250D">
        <w:rPr>
          <w:rFonts w:hint="eastAsia"/>
          <w:rtl/>
        </w:rPr>
        <w:t>ا</w:t>
      </w:r>
      <w:r w:rsidRPr="0025250D">
        <w:rPr>
          <w:rtl/>
        </w:rPr>
        <w:t xml:space="preserve"> د</w:t>
      </w:r>
      <w:r w:rsidRPr="0025250D">
        <w:rPr>
          <w:rFonts w:hint="cs"/>
          <w:rtl/>
        </w:rPr>
        <w:t>ی</w:t>
      </w:r>
      <w:r w:rsidRPr="0025250D">
        <w:rPr>
          <w:rFonts w:hint="eastAsia"/>
          <w:rtl/>
        </w:rPr>
        <w:t>گران</w:t>
      </w:r>
      <w:r w:rsidRPr="0025250D">
        <w:rPr>
          <w:rtl/>
        </w:rPr>
        <w:t xml:space="preserve"> را به طور قابل اعتماد ارز</w:t>
      </w:r>
      <w:r w:rsidRPr="0025250D">
        <w:rPr>
          <w:rFonts w:hint="cs"/>
          <w:rtl/>
        </w:rPr>
        <w:t>ی</w:t>
      </w:r>
      <w:r w:rsidRPr="0025250D">
        <w:rPr>
          <w:rFonts w:hint="eastAsia"/>
          <w:rtl/>
        </w:rPr>
        <w:t>اب</w:t>
      </w:r>
      <w:r w:rsidRPr="0025250D">
        <w:rPr>
          <w:rFonts w:hint="cs"/>
          <w:rtl/>
        </w:rPr>
        <w:t>ی</w:t>
      </w:r>
      <w:r w:rsidRPr="0025250D">
        <w:rPr>
          <w:rtl/>
        </w:rPr>
        <w:t xml:space="preserve"> کن</w:t>
      </w:r>
      <w:r w:rsidRPr="0025250D">
        <w:rPr>
          <w:rFonts w:hint="cs"/>
          <w:rtl/>
        </w:rPr>
        <w:t>ی</w:t>
      </w:r>
      <w:r w:rsidRPr="0025250D">
        <w:rPr>
          <w:rFonts w:hint="eastAsia"/>
          <w:rtl/>
        </w:rPr>
        <w:t>م</w:t>
      </w:r>
      <w:r w:rsidRPr="0025250D">
        <w:rPr>
          <w:rFonts w:hint="cs"/>
          <w:rtl/>
        </w:rPr>
        <w:t xml:space="preserve">. </w:t>
      </w:r>
      <w:r w:rsidRPr="0025250D">
        <w:rPr>
          <w:rtl/>
        </w:rPr>
        <w:t>تصورات ناکارآمد از خود و عدم احترام و همدل</w:t>
      </w:r>
      <w:r w:rsidRPr="0025250D">
        <w:rPr>
          <w:rFonts w:hint="cs"/>
          <w:rtl/>
        </w:rPr>
        <w:t>ی</w:t>
      </w:r>
      <w:r w:rsidRPr="0025250D">
        <w:rPr>
          <w:rtl/>
        </w:rPr>
        <w:t xml:space="preserve"> نسبت به د</w:t>
      </w:r>
      <w:r w:rsidRPr="0025250D">
        <w:rPr>
          <w:rFonts w:hint="cs"/>
          <w:rtl/>
        </w:rPr>
        <w:t>ی</w:t>
      </w:r>
      <w:r w:rsidRPr="0025250D">
        <w:rPr>
          <w:rFonts w:hint="eastAsia"/>
          <w:rtl/>
        </w:rPr>
        <w:t>گران،</w:t>
      </w:r>
      <w:r w:rsidRPr="0025250D">
        <w:rPr>
          <w:rtl/>
        </w:rPr>
        <w:t xml:space="preserve"> ناش</w:t>
      </w:r>
      <w:r w:rsidRPr="0025250D">
        <w:rPr>
          <w:rFonts w:hint="cs"/>
          <w:rtl/>
        </w:rPr>
        <w:t>ی</w:t>
      </w:r>
      <w:r w:rsidRPr="0025250D">
        <w:rPr>
          <w:rtl/>
        </w:rPr>
        <w:t xml:space="preserve"> از باورها</w:t>
      </w:r>
      <w:r w:rsidRPr="0025250D">
        <w:rPr>
          <w:rFonts w:hint="cs"/>
          <w:rtl/>
        </w:rPr>
        <w:t>ی</w:t>
      </w:r>
      <w:r w:rsidRPr="0025250D">
        <w:rPr>
          <w:rtl/>
        </w:rPr>
        <w:t xml:space="preserve"> غ</w:t>
      </w:r>
      <w:r w:rsidRPr="0025250D">
        <w:rPr>
          <w:rFonts w:hint="cs"/>
          <w:rtl/>
        </w:rPr>
        <w:t>ی</w:t>
      </w:r>
      <w:r w:rsidRPr="0025250D">
        <w:rPr>
          <w:rFonts w:hint="eastAsia"/>
          <w:rtl/>
        </w:rPr>
        <w:t>رمنطق</w:t>
      </w:r>
      <w:r w:rsidRPr="0025250D">
        <w:rPr>
          <w:rFonts w:hint="cs"/>
          <w:rtl/>
        </w:rPr>
        <w:t>ی</w:t>
      </w:r>
      <w:r w:rsidRPr="0025250D">
        <w:rPr>
          <w:rtl/>
        </w:rPr>
        <w:t xml:space="preserve"> درباره خود قضاوت</w:t>
      </w:r>
      <w:r w:rsidRPr="0025250D">
        <w:rPr>
          <w:rFonts w:hint="cs"/>
          <w:rtl/>
        </w:rPr>
        <w:t>ی</w:t>
      </w:r>
      <w:r w:rsidRPr="0025250D">
        <w:rPr>
          <w:rtl/>
        </w:rPr>
        <w:t xml:space="preserve"> است. آن باورها را حذف کن</w:t>
      </w:r>
      <w:r w:rsidRPr="0025250D">
        <w:rPr>
          <w:rFonts w:hint="cs"/>
          <w:rtl/>
        </w:rPr>
        <w:t>ی</w:t>
      </w:r>
      <w:r w:rsidRPr="0025250D">
        <w:rPr>
          <w:rFonts w:hint="eastAsia"/>
          <w:rtl/>
        </w:rPr>
        <w:t>د</w:t>
      </w:r>
      <w:r w:rsidRPr="0025250D">
        <w:rPr>
          <w:rtl/>
        </w:rPr>
        <w:t xml:space="preserve"> و فقط به افکار و رفتارها</w:t>
      </w:r>
      <w:r w:rsidRPr="0025250D">
        <w:rPr>
          <w:rFonts w:hint="cs"/>
          <w:rtl/>
        </w:rPr>
        <w:t>ی</w:t>
      </w:r>
      <w:r w:rsidRPr="0025250D">
        <w:rPr>
          <w:rtl/>
        </w:rPr>
        <w:t xml:space="preserve"> روزانه خود امت</w:t>
      </w:r>
      <w:r w:rsidRPr="0025250D">
        <w:rPr>
          <w:rFonts w:hint="cs"/>
          <w:rtl/>
        </w:rPr>
        <w:t>ی</w:t>
      </w:r>
      <w:r w:rsidRPr="0025250D">
        <w:rPr>
          <w:rFonts w:hint="eastAsia"/>
          <w:rtl/>
        </w:rPr>
        <w:t>از</w:t>
      </w:r>
      <w:r w:rsidRPr="0025250D">
        <w:rPr>
          <w:rtl/>
        </w:rPr>
        <w:t xml:space="preserve"> ده</w:t>
      </w:r>
      <w:r w:rsidRPr="0025250D">
        <w:rPr>
          <w:rFonts w:hint="cs"/>
          <w:rtl/>
        </w:rPr>
        <w:t>ی</w:t>
      </w:r>
      <w:r w:rsidRPr="0025250D">
        <w:rPr>
          <w:rFonts w:hint="eastAsia"/>
          <w:rtl/>
        </w:rPr>
        <w:t>د،</w:t>
      </w:r>
      <w:r w:rsidRPr="0025250D">
        <w:rPr>
          <w:rtl/>
        </w:rPr>
        <w:t xml:space="preserve"> نه خودتان. راهنما</w:t>
      </w:r>
      <w:r w:rsidRPr="0025250D">
        <w:rPr>
          <w:rFonts w:hint="cs"/>
          <w:rtl/>
        </w:rPr>
        <w:t>ی</w:t>
      </w:r>
      <w:r w:rsidRPr="0025250D">
        <w:rPr>
          <w:rtl/>
        </w:rPr>
        <w:t xml:space="preserve"> کل</w:t>
      </w:r>
      <w:r w:rsidRPr="0025250D">
        <w:rPr>
          <w:rFonts w:hint="cs"/>
          <w:rtl/>
        </w:rPr>
        <w:t>ی</w:t>
      </w:r>
      <w:r w:rsidRPr="0025250D">
        <w:rPr>
          <w:rFonts w:hint="eastAsia"/>
          <w:rtl/>
        </w:rPr>
        <w:t>د</w:t>
      </w:r>
      <w:r w:rsidRPr="0025250D">
        <w:rPr>
          <w:rFonts w:hint="cs"/>
          <w:rtl/>
        </w:rPr>
        <w:t>ی</w:t>
      </w:r>
      <w:r w:rsidRPr="0025250D">
        <w:rPr>
          <w:rtl/>
        </w:rPr>
        <w:t xml:space="preserve"> در مس</w:t>
      </w:r>
      <w:r w:rsidRPr="0025250D">
        <w:rPr>
          <w:rFonts w:hint="cs"/>
          <w:rtl/>
        </w:rPr>
        <w:t>ی</w:t>
      </w:r>
      <w:r w:rsidRPr="0025250D">
        <w:rPr>
          <w:rFonts w:hint="eastAsia"/>
          <w:rtl/>
        </w:rPr>
        <w:t>ر</w:t>
      </w:r>
      <w:r w:rsidRPr="0025250D">
        <w:rPr>
          <w:rtl/>
        </w:rPr>
        <w:t xml:space="preserve"> آزاد</w:t>
      </w:r>
      <w:r w:rsidRPr="0025250D">
        <w:rPr>
          <w:rFonts w:hint="cs"/>
          <w:rtl/>
        </w:rPr>
        <w:t>ی</w:t>
      </w:r>
      <w:r w:rsidRPr="0025250D">
        <w:rPr>
          <w:rtl/>
        </w:rPr>
        <w:t xml:space="preserve"> و </w:t>
      </w:r>
      <w:r w:rsidR="00D92F6E" w:rsidRPr="0025250D">
        <w:rPr>
          <w:rtl/>
        </w:rPr>
        <w:t>آینده‌نگاری</w:t>
      </w:r>
      <w:r w:rsidRPr="0025250D">
        <w:rPr>
          <w:rtl/>
        </w:rPr>
        <w:t xml:space="preserve"> </w:t>
      </w:r>
      <w:r w:rsidR="001A3F0A" w:rsidRPr="0025250D">
        <w:rPr>
          <w:rtl/>
        </w:rPr>
        <w:t>فردی</w:t>
      </w:r>
      <w:r w:rsidRPr="0025250D">
        <w:rPr>
          <w:rtl/>
        </w:rPr>
        <w:t xml:space="preserve"> و ت</w:t>
      </w:r>
      <w:r w:rsidRPr="0025250D">
        <w:rPr>
          <w:rFonts w:hint="cs"/>
          <w:rtl/>
        </w:rPr>
        <w:t>ی</w:t>
      </w:r>
      <w:r w:rsidRPr="0025250D">
        <w:rPr>
          <w:rFonts w:hint="eastAsia"/>
          <w:rtl/>
        </w:rPr>
        <w:t>م</w:t>
      </w:r>
      <w:r w:rsidRPr="0025250D">
        <w:rPr>
          <w:rFonts w:hint="cs"/>
          <w:rtl/>
        </w:rPr>
        <w:t>ی.</w:t>
      </w:r>
    </w:p>
    <w:p w14:paraId="032F7D1F" w14:textId="04934120" w:rsidR="0009441D" w:rsidRPr="0025250D" w:rsidRDefault="0009441D" w:rsidP="00DC51E6">
      <w:pPr>
        <w:numPr>
          <w:ilvl w:val="0"/>
          <w:numId w:val="78"/>
        </w:numPr>
      </w:pPr>
      <w:r w:rsidRPr="0025250D">
        <w:rPr>
          <w:rtl/>
        </w:rPr>
        <w:t>غلبه بر باورها، احساسات و رفتارها</w:t>
      </w:r>
      <w:r w:rsidRPr="0025250D">
        <w:rPr>
          <w:rFonts w:hint="cs"/>
          <w:rtl/>
        </w:rPr>
        <w:t>ی</w:t>
      </w:r>
      <w:r w:rsidRPr="0025250D">
        <w:rPr>
          <w:rtl/>
        </w:rPr>
        <w:t xml:space="preserve"> مخرب، آلبرت ال</w:t>
      </w:r>
      <w:r w:rsidRPr="0025250D">
        <w:rPr>
          <w:rFonts w:hint="cs"/>
          <w:rtl/>
        </w:rPr>
        <w:t>ی</w:t>
      </w:r>
      <w:r w:rsidRPr="0025250D">
        <w:rPr>
          <w:rFonts w:hint="eastAsia"/>
          <w:rtl/>
        </w:rPr>
        <w:t>س</w:t>
      </w:r>
      <w:r w:rsidRPr="0025250D">
        <w:rPr>
          <w:vertAlign w:val="superscript"/>
          <w:rtl/>
        </w:rPr>
        <w:footnoteReference w:id="3355"/>
      </w:r>
      <w:r w:rsidRPr="0025250D">
        <w:rPr>
          <w:rFonts w:hint="eastAsia"/>
          <w:rtl/>
        </w:rPr>
        <w:t>،</w:t>
      </w:r>
      <w:r w:rsidRPr="0025250D">
        <w:rPr>
          <w:rtl/>
        </w:rPr>
        <w:t xml:space="preserve"> 2001</w:t>
      </w:r>
      <w:r w:rsidRPr="0025250D">
        <w:rPr>
          <w:rFonts w:hint="cs"/>
          <w:rtl/>
        </w:rPr>
        <w:t xml:space="preserve">. </w:t>
      </w:r>
      <w:r w:rsidRPr="0025250D">
        <w:rPr>
          <w:rtl/>
        </w:rPr>
        <w:t>مجموعه ا</w:t>
      </w:r>
      <w:r w:rsidRPr="0025250D">
        <w:rPr>
          <w:rFonts w:hint="cs"/>
          <w:rtl/>
        </w:rPr>
        <w:t>ی</w:t>
      </w:r>
      <w:r w:rsidRPr="0025250D">
        <w:rPr>
          <w:rtl/>
        </w:rPr>
        <w:t xml:space="preserve"> از مقالات خالق رفتار درمان</w:t>
      </w:r>
      <w:r w:rsidRPr="0025250D">
        <w:rPr>
          <w:rFonts w:hint="cs"/>
          <w:rtl/>
        </w:rPr>
        <w:t>ی</w:t>
      </w:r>
      <w:r w:rsidRPr="0025250D">
        <w:rPr>
          <w:rtl/>
        </w:rPr>
        <w:t xml:space="preserve"> عقلان</w:t>
      </w:r>
      <w:r w:rsidRPr="0025250D">
        <w:rPr>
          <w:rFonts w:hint="cs"/>
          <w:rtl/>
        </w:rPr>
        <w:t>ی</w:t>
      </w:r>
      <w:r w:rsidRPr="0025250D">
        <w:rPr>
          <w:rtl/>
        </w:rPr>
        <w:t xml:space="preserve">- </w:t>
      </w:r>
      <w:r w:rsidR="00DC51E6" w:rsidRPr="0025250D">
        <w:rPr>
          <w:rFonts w:hint="cs"/>
          <w:rtl/>
        </w:rPr>
        <w:t>هیجانی</w:t>
      </w:r>
      <w:r w:rsidRPr="0025250D">
        <w:rPr>
          <w:vertAlign w:val="superscript"/>
          <w:rtl/>
        </w:rPr>
        <w:footnoteReference w:id="3356"/>
      </w:r>
      <w:r w:rsidRPr="0025250D">
        <w:rPr>
          <w:rFonts w:hint="cs"/>
          <w:rtl/>
        </w:rPr>
        <w:t xml:space="preserve"> </w:t>
      </w:r>
      <w:r w:rsidRPr="0025250D">
        <w:t>(REBT)</w:t>
      </w:r>
      <w:r w:rsidRPr="0025250D">
        <w:rPr>
          <w:rFonts w:hint="cs"/>
          <w:rtl/>
        </w:rPr>
        <w:t xml:space="preserve">. </w:t>
      </w:r>
      <w:r w:rsidRPr="0025250D">
        <w:t>REBT</w:t>
      </w:r>
      <w:r w:rsidRPr="0025250D">
        <w:rPr>
          <w:rtl/>
        </w:rPr>
        <w:t xml:space="preserve"> به شما کمک م</w:t>
      </w:r>
      <w:r w:rsidRPr="0025250D">
        <w:rPr>
          <w:rFonts w:hint="cs"/>
          <w:rtl/>
        </w:rPr>
        <w:t>ی</w:t>
      </w:r>
      <w:r w:rsidRPr="0025250D">
        <w:rPr>
          <w:rtl/>
        </w:rPr>
        <w:t xml:space="preserve"> کند تا احساسات و باورها</w:t>
      </w:r>
      <w:r w:rsidRPr="0025250D">
        <w:rPr>
          <w:rFonts w:hint="cs"/>
          <w:rtl/>
        </w:rPr>
        <w:t>ی</w:t>
      </w:r>
      <w:r w:rsidRPr="0025250D">
        <w:rPr>
          <w:rtl/>
        </w:rPr>
        <w:t xml:space="preserve"> مضر و عمدتاً ناخودآگاه که منجر به انواع رفتارها</w:t>
      </w:r>
      <w:r w:rsidRPr="0025250D">
        <w:rPr>
          <w:rFonts w:hint="cs"/>
          <w:rtl/>
        </w:rPr>
        <w:t>ی</w:t>
      </w:r>
      <w:r w:rsidRPr="0025250D">
        <w:rPr>
          <w:rtl/>
        </w:rPr>
        <w:t xml:space="preserve"> ناسازگار م</w:t>
      </w:r>
      <w:r w:rsidRPr="0025250D">
        <w:rPr>
          <w:rFonts w:hint="cs"/>
          <w:rtl/>
        </w:rPr>
        <w:t>ی</w:t>
      </w:r>
      <w:r w:rsidRPr="0025250D">
        <w:rPr>
          <w:rtl/>
        </w:rPr>
        <w:t xml:space="preserve"> شو</w:t>
      </w:r>
      <w:r w:rsidRPr="0025250D">
        <w:rPr>
          <w:rFonts w:hint="cs"/>
          <w:rtl/>
        </w:rPr>
        <w:t>ن</w:t>
      </w:r>
      <w:r w:rsidRPr="0025250D">
        <w:rPr>
          <w:rtl/>
        </w:rPr>
        <w:t>د</w:t>
      </w:r>
      <w:r w:rsidRPr="0025250D">
        <w:rPr>
          <w:rFonts w:hint="cs"/>
          <w:rtl/>
        </w:rPr>
        <w:t xml:space="preserve"> </w:t>
      </w:r>
      <w:r w:rsidRPr="0025250D">
        <w:rPr>
          <w:rtl/>
        </w:rPr>
        <w:t>را شناسا</w:t>
      </w:r>
      <w:r w:rsidRPr="0025250D">
        <w:rPr>
          <w:rFonts w:hint="cs"/>
          <w:rtl/>
        </w:rPr>
        <w:t>یی</w:t>
      </w:r>
      <w:r w:rsidRPr="0025250D">
        <w:rPr>
          <w:rtl/>
        </w:rPr>
        <w:t xml:space="preserve"> و مجدد</w:t>
      </w:r>
      <w:r w:rsidRPr="0025250D">
        <w:rPr>
          <w:rFonts w:hint="cs"/>
          <w:rtl/>
        </w:rPr>
        <w:t>ا</w:t>
      </w:r>
      <w:r w:rsidRPr="0025250D">
        <w:rPr>
          <w:rtl/>
        </w:rPr>
        <w:t xml:space="preserve"> </w:t>
      </w:r>
      <w:r w:rsidR="00B124DE" w:rsidRPr="0025250D">
        <w:rPr>
          <w:rtl/>
        </w:rPr>
        <w:t>برنامه‌ریزی</w:t>
      </w:r>
      <w:r w:rsidRPr="0025250D">
        <w:rPr>
          <w:rtl/>
        </w:rPr>
        <w:t xml:space="preserve"> کن</w:t>
      </w:r>
      <w:r w:rsidRPr="0025250D">
        <w:rPr>
          <w:rFonts w:hint="cs"/>
          <w:rtl/>
        </w:rPr>
        <w:t>ی</w:t>
      </w:r>
      <w:r w:rsidRPr="0025250D">
        <w:rPr>
          <w:rFonts w:hint="eastAsia"/>
          <w:rtl/>
        </w:rPr>
        <w:t>د</w:t>
      </w:r>
      <w:r w:rsidRPr="0025250D">
        <w:rPr>
          <w:rtl/>
        </w:rPr>
        <w:t>. ما را با روابط پ</w:t>
      </w:r>
      <w:r w:rsidRPr="0025250D">
        <w:rPr>
          <w:rFonts w:hint="cs"/>
          <w:rtl/>
        </w:rPr>
        <w:t>ی</w:t>
      </w:r>
      <w:r w:rsidRPr="0025250D">
        <w:rPr>
          <w:rFonts w:hint="eastAsia"/>
          <w:rtl/>
        </w:rPr>
        <w:t>چ</w:t>
      </w:r>
      <w:r w:rsidRPr="0025250D">
        <w:rPr>
          <w:rFonts w:hint="cs"/>
          <w:rtl/>
        </w:rPr>
        <w:t>ی</w:t>
      </w:r>
      <w:r w:rsidRPr="0025250D">
        <w:rPr>
          <w:rFonts w:hint="eastAsia"/>
          <w:rtl/>
        </w:rPr>
        <w:t>ده</w:t>
      </w:r>
      <w:r w:rsidRPr="0025250D">
        <w:rPr>
          <w:rtl/>
        </w:rPr>
        <w:t xml:space="preserve"> ب</w:t>
      </w:r>
      <w:r w:rsidRPr="0025250D">
        <w:rPr>
          <w:rFonts w:hint="cs"/>
          <w:rtl/>
        </w:rPr>
        <w:t>ی</w:t>
      </w:r>
      <w:r w:rsidRPr="0025250D">
        <w:rPr>
          <w:rFonts w:hint="eastAsia"/>
          <w:rtl/>
        </w:rPr>
        <w:t>ن</w:t>
      </w:r>
      <w:r w:rsidRPr="0025250D">
        <w:rPr>
          <w:rtl/>
        </w:rPr>
        <w:t xml:space="preserve"> ابعاد عاطف</w:t>
      </w:r>
      <w:r w:rsidRPr="0025250D">
        <w:rPr>
          <w:rFonts w:hint="cs"/>
          <w:rtl/>
        </w:rPr>
        <w:t>ی</w:t>
      </w:r>
      <w:r w:rsidRPr="0025250D">
        <w:rPr>
          <w:rFonts w:hint="eastAsia"/>
          <w:rtl/>
        </w:rPr>
        <w:t>،</w:t>
      </w:r>
      <w:r w:rsidRPr="0025250D">
        <w:rPr>
          <w:rtl/>
        </w:rPr>
        <w:t xml:space="preserve"> شناخت</w:t>
      </w:r>
      <w:r w:rsidRPr="0025250D">
        <w:rPr>
          <w:rFonts w:hint="cs"/>
          <w:rtl/>
        </w:rPr>
        <w:t>ی</w:t>
      </w:r>
      <w:r w:rsidRPr="0025250D">
        <w:rPr>
          <w:rtl/>
        </w:rPr>
        <w:t xml:space="preserve"> و رف</w:t>
      </w:r>
      <w:r w:rsidRPr="0025250D">
        <w:rPr>
          <w:rFonts w:hint="eastAsia"/>
          <w:rtl/>
        </w:rPr>
        <w:t>تار</w:t>
      </w:r>
      <w:r w:rsidRPr="0025250D">
        <w:rPr>
          <w:rFonts w:hint="cs"/>
          <w:rtl/>
        </w:rPr>
        <w:t>ی</w:t>
      </w:r>
      <w:r w:rsidRPr="0025250D">
        <w:rPr>
          <w:rtl/>
        </w:rPr>
        <w:t xml:space="preserve"> آشنا م</w:t>
      </w:r>
      <w:r w:rsidRPr="0025250D">
        <w:rPr>
          <w:rFonts w:hint="cs"/>
          <w:rtl/>
        </w:rPr>
        <w:t>ی</w:t>
      </w:r>
      <w:r w:rsidRPr="0025250D">
        <w:rPr>
          <w:rtl/>
        </w:rPr>
        <w:t xml:space="preserve"> کند و به ما قدرت تغ</w:t>
      </w:r>
      <w:r w:rsidRPr="0025250D">
        <w:rPr>
          <w:rFonts w:hint="cs"/>
          <w:rtl/>
        </w:rPr>
        <w:t>یی</w:t>
      </w:r>
      <w:r w:rsidRPr="0025250D">
        <w:rPr>
          <w:rFonts w:hint="eastAsia"/>
          <w:rtl/>
        </w:rPr>
        <w:t>ر</w:t>
      </w:r>
      <w:r w:rsidRPr="0025250D">
        <w:rPr>
          <w:rtl/>
        </w:rPr>
        <w:t xml:space="preserve"> م</w:t>
      </w:r>
      <w:r w:rsidRPr="0025250D">
        <w:rPr>
          <w:rFonts w:hint="cs"/>
          <w:rtl/>
        </w:rPr>
        <w:t>ی</w:t>
      </w:r>
      <w:r w:rsidRPr="0025250D">
        <w:rPr>
          <w:rtl/>
        </w:rPr>
        <w:t xml:space="preserve"> دهد.</w:t>
      </w:r>
    </w:p>
    <w:p w14:paraId="4FDFCB1A" w14:textId="45089030" w:rsidR="0009441D" w:rsidRPr="0025250D" w:rsidRDefault="0009441D" w:rsidP="00492C47">
      <w:pPr>
        <w:numPr>
          <w:ilvl w:val="0"/>
          <w:numId w:val="78"/>
        </w:numPr>
      </w:pPr>
      <w:r w:rsidRPr="0025250D">
        <w:rPr>
          <w:rFonts w:hint="cs"/>
          <w:rtl/>
        </w:rPr>
        <w:t>برجسته</w:t>
      </w:r>
      <w:r w:rsidRPr="0025250D">
        <w:rPr>
          <w:rtl/>
        </w:rPr>
        <w:t>، د</w:t>
      </w:r>
      <w:r w:rsidRPr="0025250D">
        <w:rPr>
          <w:rFonts w:hint="cs"/>
          <w:rtl/>
        </w:rPr>
        <w:t>ی</w:t>
      </w:r>
      <w:r w:rsidRPr="0025250D">
        <w:rPr>
          <w:rFonts w:hint="eastAsia"/>
          <w:rtl/>
        </w:rPr>
        <w:t>اماند</w:t>
      </w:r>
      <w:r w:rsidRPr="0025250D">
        <w:rPr>
          <w:rFonts w:hint="cs"/>
          <w:rtl/>
        </w:rPr>
        <w:t>ی</w:t>
      </w:r>
      <w:r w:rsidRPr="0025250D">
        <w:rPr>
          <w:rFonts w:hint="eastAsia"/>
          <w:rtl/>
        </w:rPr>
        <w:t>س</w:t>
      </w:r>
      <w:r w:rsidRPr="0025250D">
        <w:rPr>
          <w:rtl/>
        </w:rPr>
        <w:t xml:space="preserve"> و کاتلر</w:t>
      </w:r>
      <w:r w:rsidRPr="0025250D">
        <w:rPr>
          <w:vertAlign w:val="superscript"/>
          <w:rtl/>
        </w:rPr>
        <w:footnoteReference w:id="3357"/>
      </w:r>
      <w:r w:rsidRPr="0025250D">
        <w:rPr>
          <w:rtl/>
        </w:rPr>
        <w:t>، 2015. رو</w:t>
      </w:r>
      <w:r w:rsidRPr="0025250D">
        <w:rPr>
          <w:rFonts w:hint="cs"/>
          <w:rtl/>
        </w:rPr>
        <w:t>ی</w:t>
      </w:r>
      <w:r w:rsidRPr="0025250D">
        <w:rPr>
          <w:rFonts w:hint="eastAsia"/>
          <w:rtl/>
        </w:rPr>
        <w:t>کرد</w:t>
      </w:r>
      <w:r w:rsidRPr="0025250D">
        <w:rPr>
          <w:rFonts w:hint="cs"/>
          <w:rtl/>
        </w:rPr>
        <w:t>ی</w:t>
      </w:r>
      <w:r w:rsidRPr="0025250D">
        <w:rPr>
          <w:rtl/>
        </w:rPr>
        <w:t xml:space="preserve"> جهان</w:t>
      </w:r>
      <w:r w:rsidRPr="0025250D">
        <w:rPr>
          <w:rFonts w:hint="cs"/>
          <w:rtl/>
        </w:rPr>
        <w:t>ی</w:t>
      </w:r>
      <w:r w:rsidRPr="0025250D">
        <w:rPr>
          <w:rFonts w:hint="eastAsia"/>
          <w:rtl/>
        </w:rPr>
        <w:t>،</w:t>
      </w:r>
      <w:r w:rsidRPr="0025250D">
        <w:rPr>
          <w:rtl/>
        </w:rPr>
        <w:t xml:space="preserve"> </w:t>
      </w:r>
      <w:r w:rsidRPr="0025250D">
        <w:rPr>
          <w:rFonts w:hint="cs"/>
          <w:rtl/>
        </w:rPr>
        <w:t xml:space="preserve">آگاه از </w:t>
      </w:r>
      <w:r w:rsidRPr="0025250D">
        <w:rPr>
          <w:rtl/>
        </w:rPr>
        <w:t>شتاب‌</w:t>
      </w:r>
      <w:r w:rsidRPr="0025250D">
        <w:rPr>
          <w:rFonts w:hint="cs"/>
          <w:rtl/>
        </w:rPr>
        <w:t xml:space="preserve"> و</w:t>
      </w:r>
      <w:r w:rsidRPr="0025250D">
        <w:rPr>
          <w:rtl/>
        </w:rPr>
        <w:t xml:space="preserve"> نوآور</w:t>
      </w:r>
      <w:r w:rsidRPr="0025250D">
        <w:rPr>
          <w:rFonts w:hint="cs"/>
          <w:rtl/>
        </w:rPr>
        <w:t>انه</w:t>
      </w:r>
      <w:r w:rsidRPr="0025250D">
        <w:rPr>
          <w:rtl/>
        </w:rPr>
        <w:t xml:space="preserve"> و کارآفر</w:t>
      </w:r>
      <w:r w:rsidRPr="0025250D">
        <w:rPr>
          <w:rFonts w:hint="cs"/>
          <w:rtl/>
        </w:rPr>
        <w:t>ی</w:t>
      </w:r>
      <w:r w:rsidRPr="0025250D">
        <w:rPr>
          <w:rFonts w:hint="eastAsia"/>
          <w:rtl/>
        </w:rPr>
        <w:t>ن</w:t>
      </w:r>
      <w:r w:rsidRPr="0025250D">
        <w:rPr>
          <w:rFonts w:hint="cs"/>
          <w:rtl/>
        </w:rPr>
        <w:t>انه</w:t>
      </w:r>
      <w:r w:rsidRPr="0025250D">
        <w:rPr>
          <w:rtl/>
        </w:rPr>
        <w:t xml:space="preserve"> به آ</w:t>
      </w:r>
      <w:r w:rsidRPr="0025250D">
        <w:rPr>
          <w:rFonts w:hint="cs"/>
          <w:rtl/>
        </w:rPr>
        <w:t>ی</w:t>
      </w:r>
      <w:r w:rsidRPr="0025250D">
        <w:rPr>
          <w:rFonts w:hint="eastAsia"/>
          <w:rtl/>
        </w:rPr>
        <w:t>نده‌نگار</w:t>
      </w:r>
      <w:r w:rsidRPr="0025250D">
        <w:rPr>
          <w:rFonts w:hint="cs"/>
          <w:rtl/>
        </w:rPr>
        <w:t>ی</w:t>
      </w:r>
      <w:r w:rsidRPr="0025250D">
        <w:rPr>
          <w:rtl/>
        </w:rPr>
        <w:t>. برا</w:t>
      </w:r>
      <w:r w:rsidRPr="0025250D">
        <w:rPr>
          <w:rFonts w:hint="cs"/>
          <w:rtl/>
        </w:rPr>
        <w:t>ی</w:t>
      </w:r>
      <w:r w:rsidRPr="0025250D">
        <w:rPr>
          <w:rtl/>
        </w:rPr>
        <w:t xml:space="preserve"> </w:t>
      </w:r>
      <w:r w:rsidR="00B56611" w:rsidRPr="0025250D">
        <w:rPr>
          <w:rtl/>
        </w:rPr>
        <w:t>چشم‌انداز</w:t>
      </w:r>
      <w:r w:rsidRPr="0025250D">
        <w:rPr>
          <w:rFonts w:hint="cs"/>
          <w:rtl/>
        </w:rPr>
        <w:t>سازی</w:t>
      </w:r>
      <w:r w:rsidRPr="0025250D">
        <w:rPr>
          <w:rtl/>
        </w:rPr>
        <w:t>، هدف گذار</w:t>
      </w:r>
      <w:r w:rsidRPr="0025250D">
        <w:rPr>
          <w:rFonts w:hint="cs"/>
          <w:rtl/>
        </w:rPr>
        <w:t>ی</w:t>
      </w:r>
      <w:r w:rsidRPr="0025250D">
        <w:rPr>
          <w:rtl/>
        </w:rPr>
        <w:t xml:space="preserve"> و انگ</w:t>
      </w:r>
      <w:r w:rsidRPr="0025250D">
        <w:rPr>
          <w:rFonts w:hint="cs"/>
          <w:rtl/>
        </w:rPr>
        <w:t>ی</w:t>
      </w:r>
      <w:r w:rsidRPr="0025250D">
        <w:rPr>
          <w:rFonts w:hint="eastAsia"/>
          <w:rtl/>
        </w:rPr>
        <w:t>زه</w:t>
      </w:r>
      <w:r w:rsidRPr="0025250D">
        <w:rPr>
          <w:rtl/>
        </w:rPr>
        <w:t xml:space="preserve"> عال</w:t>
      </w:r>
      <w:r w:rsidRPr="0025250D">
        <w:rPr>
          <w:rFonts w:hint="cs"/>
          <w:rtl/>
        </w:rPr>
        <w:t>ی</w:t>
      </w:r>
      <w:r w:rsidRPr="0025250D">
        <w:rPr>
          <w:rtl/>
        </w:rPr>
        <w:t xml:space="preserve"> است. توص</w:t>
      </w:r>
      <w:r w:rsidRPr="0025250D">
        <w:rPr>
          <w:rFonts w:hint="cs"/>
          <w:rtl/>
        </w:rPr>
        <w:t>ی</w:t>
      </w:r>
      <w:r w:rsidRPr="0025250D">
        <w:rPr>
          <w:rFonts w:hint="eastAsia"/>
          <w:rtl/>
        </w:rPr>
        <w:t>ه</w:t>
      </w:r>
      <w:r w:rsidRPr="0025250D">
        <w:rPr>
          <w:rtl/>
        </w:rPr>
        <w:t xml:space="preserve"> ها</w:t>
      </w:r>
      <w:r w:rsidRPr="0025250D">
        <w:rPr>
          <w:rFonts w:hint="cs"/>
          <w:rtl/>
        </w:rPr>
        <w:t>ی</w:t>
      </w:r>
      <w:r w:rsidRPr="0025250D">
        <w:rPr>
          <w:rtl/>
        </w:rPr>
        <w:t xml:space="preserve"> عال</w:t>
      </w:r>
      <w:r w:rsidRPr="0025250D">
        <w:rPr>
          <w:rFonts w:hint="cs"/>
          <w:rtl/>
        </w:rPr>
        <w:t>ی</w:t>
      </w:r>
      <w:r w:rsidRPr="0025250D">
        <w:rPr>
          <w:rtl/>
        </w:rPr>
        <w:t xml:space="preserve"> در مورد استفاده از پلتفرم ها</w:t>
      </w:r>
      <w:r w:rsidRPr="0025250D">
        <w:rPr>
          <w:rFonts w:hint="cs"/>
          <w:rtl/>
        </w:rPr>
        <w:t>ی</w:t>
      </w:r>
      <w:r w:rsidRPr="0025250D">
        <w:rPr>
          <w:rtl/>
        </w:rPr>
        <w:t xml:space="preserve"> جمع</w:t>
      </w:r>
      <w:r w:rsidRPr="0025250D">
        <w:rPr>
          <w:rFonts w:hint="cs"/>
          <w:rtl/>
        </w:rPr>
        <w:t xml:space="preserve">ی ارائه </w:t>
      </w:r>
      <w:r w:rsidR="00726CB4" w:rsidRPr="0025250D">
        <w:rPr>
          <w:rFonts w:hint="cs"/>
          <w:rtl/>
        </w:rPr>
        <w:t>م</w:t>
      </w:r>
      <w:r w:rsidRPr="0025250D">
        <w:rPr>
          <w:rFonts w:hint="cs"/>
          <w:rtl/>
        </w:rPr>
        <w:t>ی</w:t>
      </w:r>
      <w:r w:rsidR="00726CB4" w:rsidRPr="0025250D">
        <w:rPr>
          <w:rFonts w:hint="cs"/>
          <w:rtl/>
        </w:rPr>
        <w:t>‌</w:t>
      </w:r>
      <w:r w:rsidRPr="0025250D">
        <w:rPr>
          <w:rFonts w:hint="cs"/>
          <w:rtl/>
        </w:rPr>
        <w:t>دهد</w:t>
      </w:r>
      <w:r w:rsidRPr="0025250D">
        <w:rPr>
          <w:rtl/>
        </w:rPr>
        <w:t>. همچن</w:t>
      </w:r>
      <w:r w:rsidRPr="0025250D">
        <w:rPr>
          <w:rFonts w:hint="cs"/>
          <w:rtl/>
        </w:rPr>
        <w:t>ی</w:t>
      </w:r>
      <w:r w:rsidRPr="0025250D">
        <w:rPr>
          <w:rFonts w:hint="eastAsia"/>
          <w:rtl/>
        </w:rPr>
        <w:t>ن</w:t>
      </w:r>
      <w:r w:rsidRPr="0025250D">
        <w:rPr>
          <w:rtl/>
        </w:rPr>
        <w:t xml:space="preserve"> </w:t>
      </w:r>
      <w:r w:rsidR="00726CB4" w:rsidRPr="0025250D">
        <w:rPr>
          <w:rFonts w:hint="cs"/>
          <w:rtl/>
        </w:rPr>
        <w:t xml:space="preserve">عبارت </w:t>
      </w:r>
      <w:r w:rsidRPr="0025250D">
        <w:rPr>
          <w:rFonts w:hint="cs"/>
          <w:rtl/>
        </w:rPr>
        <w:t>برجسته ی</w:t>
      </w:r>
      <w:r w:rsidRPr="0025250D">
        <w:rPr>
          <w:rFonts w:hint="eastAsia"/>
          <w:rtl/>
        </w:rPr>
        <w:t>ک</w:t>
      </w:r>
      <w:r w:rsidRPr="0025250D">
        <w:rPr>
          <w:rtl/>
        </w:rPr>
        <w:t xml:space="preserve"> کلمه عال</w:t>
      </w:r>
      <w:r w:rsidRPr="0025250D">
        <w:rPr>
          <w:rFonts w:hint="cs"/>
          <w:rtl/>
        </w:rPr>
        <w:t>ی</w:t>
      </w:r>
      <w:r w:rsidRPr="0025250D">
        <w:rPr>
          <w:rFonts w:hint="eastAsia"/>
          <w:rtl/>
        </w:rPr>
        <w:t>،</w:t>
      </w:r>
      <w:r w:rsidRPr="0025250D">
        <w:rPr>
          <w:rtl/>
        </w:rPr>
        <w:t xml:space="preserve"> کوتاه و واحد برا</w:t>
      </w:r>
      <w:r w:rsidRPr="0025250D">
        <w:rPr>
          <w:rFonts w:hint="cs"/>
          <w:rtl/>
        </w:rPr>
        <w:t>ی</w:t>
      </w:r>
      <w:r w:rsidRPr="0025250D">
        <w:rPr>
          <w:rtl/>
        </w:rPr>
        <w:t xml:space="preserve"> توص</w:t>
      </w:r>
      <w:r w:rsidRPr="0025250D">
        <w:rPr>
          <w:rFonts w:hint="cs"/>
          <w:rtl/>
        </w:rPr>
        <w:t>ی</w:t>
      </w:r>
      <w:r w:rsidRPr="0025250D">
        <w:rPr>
          <w:rFonts w:hint="eastAsia"/>
          <w:rtl/>
        </w:rPr>
        <w:t>ف</w:t>
      </w:r>
      <w:r w:rsidRPr="0025250D">
        <w:rPr>
          <w:rtl/>
        </w:rPr>
        <w:t xml:space="preserve"> ا</w:t>
      </w:r>
      <w:r w:rsidRPr="0025250D">
        <w:rPr>
          <w:rFonts w:hint="cs"/>
          <w:rtl/>
        </w:rPr>
        <w:t>ی</w:t>
      </w:r>
      <w:r w:rsidRPr="0025250D">
        <w:rPr>
          <w:rFonts w:hint="eastAsia"/>
          <w:rtl/>
        </w:rPr>
        <w:t>ن</w:t>
      </w:r>
      <w:r w:rsidRPr="0025250D">
        <w:rPr>
          <w:rFonts w:hint="cs"/>
          <w:rtl/>
        </w:rPr>
        <w:t xml:space="preserve"> </w:t>
      </w:r>
      <w:r w:rsidRPr="0025250D">
        <w:rPr>
          <w:rtl/>
        </w:rPr>
        <w:t xml:space="preserve">است </w:t>
      </w:r>
      <w:r w:rsidRPr="0025250D">
        <w:rPr>
          <w:rFonts w:hint="eastAsia"/>
          <w:rtl/>
        </w:rPr>
        <w:t>که</w:t>
      </w:r>
      <w:r w:rsidRPr="0025250D">
        <w:rPr>
          <w:rtl/>
        </w:rPr>
        <w:t xml:space="preserve"> چگونه با</w:t>
      </w:r>
      <w:r w:rsidRPr="0025250D">
        <w:rPr>
          <w:rFonts w:hint="cs"/>
          <w:rtl/>
        </w:rPr>
        <w:t>ی</w:t>
      </w:r>
      <w:r w:rsidRPr="0025250D">
        <w:rPr>
          <w:rFonts w:hint="eastAsia"/>
          <w:rtl/>
        </w:rPr>
        <w:t>د</w:t>
      </w:r>
      <w:r w:rsidRPr="0025250D">
        <w:rPr>
          <w:rtl/>
        </w:rPr>
        <w:t xml:space="preserve"> زندگ</w:t>
      </w:r>
      <w:r w:rsidRPr="0025250D">
        <w:rPr>
          <w:rFonts w:hint="cs"/>
          <w:rtl/>
        </w:rPr>
        <w:t>ی</w:t>
      </w:r>
      <w:r w:rsidRPr="0025250D">
        <w:rPr>
          <w:rtl/>
        </w:rPr>
        <w:t xml:space="preserve"> خود را انتخاب کن</w:t>
      </w:r>
      <w:r w:rsidRPr="0025250D">
        <w:rPr>
          <w:rFonts w:hint="cs"/>
          <w:rtl/>
        </w:rPr>
        <w:t>ی</w:t>
      </w:r>
      <w:r w:rsidRPr="0025250D">
        <w:rPr>
          <w:rFonts w:hint="eastAsia"/>
          <w:rtl/>
        </w:rPr>
        <w:t>م</w:t>
      </w:r>
      <w:r w:rsidRPr="0025250D">
        <w:rPr>
          <w:rtl/>
        </w:rPr>
        <w:t xml:space="preserve"> تا شانس خود برا</w:t>
      </w:r>
      <w:r w:rsidRPr="0025250D">
        <w:rPr>
          <w:rFonts w:hint="cs"/>
          <w:rtl/>
        </w:rPr>
        <w:t>ی</w:t>
      </w:r>
      <w:r w:rsidRPr="0025250D">
        <w:rPr>
          <w:rtl/>
        </w:rPr>
        <w:t xml:space="preserve"> </w:t>
      </w:r>
      <w:r w:rsidR="00D92F6E" w:rsidRPr="0025250D">
        <w:rPr>
          <w:rtl/>
        </w:rPr>
        <w:t>آینده‌نگاری</w:t>
      </w:r>
      <w:r w:rsidRPr="0025250D">
        <w:rPr>
          <w:rtl/>
        </w:rPr>
        <w:t xml:space="preserve"> و پ</w:t>
      </w:r>
      <w:r w:rsidRPr="0025250D">
        <w:rPr>
          <w:rFonts w:hint="cs"/>
          <w:rtl/>
        </w:rPr>
        <w:t>ی</w:t>
      </w:r>
      <w:r w:rsidRPr="0025250D">
        <w:rPr>
          <w:rFonts w:hint="eastAsia"/>
          <w:rtl/>
        </w:rPr>
        <w:t>شرفت</w:t>
      </w:r>
      <w:r w:rsidRPr="0025250D">
        <w:rPr>
          <w:rtl/>
        </w:rPr>
        <w:t xml:space="preserve"> جمع</w:t>
      </w:r>
      <w:r w:rsidRPr="0025250D">
        <w:rPr>
          <w:rFonts w:hint="cs"/>
          <w:rtl/>
        </w:rPr>
        <w:t>ی</w:t>
      </w:r>
      <w:r w:rsidRPr="0025250D">
        <w:rPr>
          <w:rtl/>
        </w:rPr>
        <w:t xml:space="preserve"> را به حداکثر برسان</w:t>
      </w:r>
      <w:r w:rsidRPr="0025250D">
        <w:rPr>
          <w:rFonts w:hint="cs"/>
          <w:rtl/>
        </w:rPr>
        <w:t>ی</w:t>
      </w:r>
      <w:r w:rsidRPr="0025250D">
        <w:rPr>
          <w:rFonts w:hint="eastAsia"/>
          <w:rtl/>
        </w:rPr>
        <w:t>م</w:t>
      </w:r>
      <w:r w:rsidRPr="0025250D">
        <w:rPr>
          <w:rtl/>
        </w:rPr>
        <w:t>. متواضع، همدل، با اخلاق، کمک کننده، مهربان، شجاع و جسور باش</w:t>
      </w:r>
      <w:r w:rsidRPr="0025250D">
        <w:rPr>
          <w:rFonts w:hint="cs"/>
          <w:rtl/>
        </w:rPr>
        <w:t>ی</w:t>
      </w:r>
      <w:r w:rsidRPr="0025250D">
        <w:rPr>
          <w:rFonts w:hint="eastAsia"/>
          <w:rtl/>
        </w:rPr>
        <w:t>د</w:t>
      </w:r>
      <w:r w:rsidRPr="0025250D">
        <w:rPr>
          <w:rtl/>
        </w:rPr>
        <w:t>!</w:t>
      </w:r>
    </w:p>
    <w:p w14:paraId="577F912B" w14:textId="77777777" w:rsidR="0009441D" w:rsidRPr="0025250D" w:rsidRDefault="0009441D" w:rsidP="0009441D"/>
    <w:p w14:paraId="4FAE96BE" w14:textId="7E357F33" w:rsidR="00537CC8" w:rsidRPr="0025250D" w:rsidRDefault="00537CC8" w:rsidP="0009441D">
      <w:pPr>
        <w:pStyle w:val="Heading3"/>
        <w:rPr>
          <w:rtl/>
        </w:rPr>
      </w:pPr>
      <w:r w:rsidRPr="0025250D">
        <w:rPr>
          <w:rtl/>
        </w:rPr>
        <w:t>کتاب‌های آینده‌</w:t>
      </w:r>
      <w:r w:rsidR="00E26538" w:rsidRPr="0025250D">
        <w:rPr>
          <w:rtl/>
        </w:rPr>
        <w:t>نگار</w:t>
      </w:r>
      <w:r w:rsidRPr="0025250D">
        <w:rPr>
          <w:rtl/>
        </w:rPr>
        <w:t xml:space="preserve">ی </w:t>
      </w:r>
      <w:r w:rsidR="001A3F0A" w:rsidRPr="0025250D">
        <w:rPr>
          <w:rtl/>
        </w:rPr>
        <w:t>فردی</w:t>
      </w:r>
      <w:r w:rsidRPr="0025250D">
        <w:rPr>
          <w:rtl/>
        </w:rPr>
        <w:t xml:space="preserve"> و خانوادگ</w:t>
      </w:r>
      <w:r w:rsidRPr="0025250D">
        <w:rPr>
          <w:rFonts w:hint="cs"/>
          <w:rtl/>
        </w:rPr>
        <w:t>ی</w:t>
      </w:r>
      <w:r w:rsidRPr="0025250D">
        <w:rPr>
          <w:rtl/>
        </w:rPr>
        <w:t xml:space="preserve"> - فهرست</w:t>
      </w:r>
      <w:r w:rsidRPr="0025250D">
        <w:rPr>
          <w:rFonts w:hint="cs"/>
          <w:rtl/>
        </w:rPr>
        <w:t>ی</w:t>
      </w:r>
      <w:r w:rsidRPr="0025250D">
        <w:rPr>
          <w:rtl/>
        </w:rPr>
        <w:t xml:space="preserve"> طولان</w:t>
      </w:r>
      <w:r w:rsidRPr="0025250D">
        <w:rPr>
          <w:rFonts w:hint="cs"/>
          <w:rtl/>
        </w:rPr>
        <w:t>ی</w:t>
      </w:r>
      <w:r w:rsidRPr="0025250D">
        <w:rPr>
          <w:rtl/>
        </w:rPr>
        <w:t xml:space="preserve"> تر</w:t>
      </w:r>
    </w:p>
    <w:p w14:paraId="7B63E711" w14:textId="0062BD7C" w:rsidR="00537CC8" w:rsidRPr="0025250D" w:rsidRDefault="00537CC8" w:rsidP="00537CC8">
      <w:pPr>
        <w:rPr>
          <w:rtl/>
        </w:rPr>
      </w:pPr>
    </w:p>
    <w:p w14:paraId="523A3C76" w14:textId="77777777" w:rsidR="0009441D" w:rsidRPr="0025250D" w:rsidRDefault="0009441D" w:rsidP="00492C47">
      <w:pPr>
        <w:numPr>
          <w:ilvl w:val="0"/>
          <w:numId w:val="79"/>
        </w:numPr>
        <w:rPr>
          <w:rtl/>
        </w:rPr>
      </w:pPr>
      <w:r w:rsidRPr="0025250D">
        <w:rPr>
          <w:rFonts w:hint="cs"/>
          <w:rtl/>
        </w:rPr>
        <w:t>هیولای</w:t>
      </w:r>
      <w:r w:rsidRPr="0025250D">
        <w:rPr>
          <w:rtl/>
        </w:rPr>
        <w:t xml:space="preserve"> درون</w:t>
      </w:r>
      <w:r w:rsidRPr="0025250D">
        <w:rPr>
          <w:rFonts w:hint="cs"/>
          <w:rtl/>
        </w:rPr>
        <w:t>ت</w:t>
      </w:r>
      <w:r w:rsidRPr="0025250D">
        <w:rPr>
          <w:rtl/>
        </w:rPr>
        <w:t xml:space="preserve"> را ب</w:t>
      </w:r>
      <w:r w:rsidRPr="0025250D">
        <w:rPr>
          <w:rFonts w:hint="cs"/>
          <w:rtl/>
        </w:rPr>
        <w:t>ی</w:t>
      </w:r>
      <w:r w:rsidRPr="0025250D">
        <w:rPr>
          <w:rFonts w:hint="eastAsia"/>
          <w:rtl/>
        </w:rPr>
        <w:t>دار</w:t>
      </w:r>
      <w:r w:rsidRPr="0025250D">
        <w:rPr>
          <w:rtl/>
        </w:rPr>
        <w:t xml:space="preserve"> کن، تون</w:t>
      </w:r>
      <w:r w:rsidRPr="0025250D">
        <w:rPr>
          <w:rFonts w:hint="cs"/>
          <w:rtl/>
        </w:rPr>
        <w:t>ی</w:t>
      </w:r>
      <w:r w:rsidRPr="0025250D">
        <w:rPr>
          <w:rtl/>
        </w:rPr>
        <w:t xml:space="preserve"> راب</w:t>
      </w:r>
      <w:r w:rsidRPr="0025250D">
        <w:rPr>
          <w:rFonts w:hint="cs"/>
          <w:rtl/>
        </w:rPr>
        <w:t>ی</w:t>
      </w:r>
      <w:r w:rsidRPr="0025250D">
        <w:rPr>
          <w:rFonts w:hint="eastAsia"/>
          <w:rtl/>
        </w:rPr>
        <w:t>نز</w:t>
      </w:r>
      <w:r w:rsidRPr="0025250D">
        <w:rPr>
          <w:vertAlign w:val="superscript"/>
          <w:rtl/>
        </w:rPr>
        <w:footnoteReference w:id="3358"/>
      </w:r>
      <w:r w:rsidRPr="0025250D">
        <w:rPr>
          <w:rFonts w:hint="eastAsia"/>
          <w:rtl/>
        </w:rPr>
        <w:t>،</w:t>
      </w:r>
      <w:r w:rsidRPr="0025250D">
        <w:rPr>
          <w:rtl/>
        </w:rPr>
        <w:t xml:space="preserve"> 1991/2013</w:t>
      </w:r>
    </w:p>
    <w:p w14:paraId="1F2E621F" w14:textId="77777777" w:rsidR="0009441D" w:rsidRPr="0025250D" w:rsidRDefault="0009441D" w:rsidP="00492C47">
      <w:pPr>
        <w:numPr>
          <w:ilvl w:val="0"/>
          <w:numId w:val="79"/>
        </w:numPr>
        <w:rPr>
          <w:rtl/>
        </w:rPr>
      </w:pPr>
      <w:r w:rsidRPr="0025250D">
        <w:rPr>
          <w:rtl/>
        </w:rPr>
        <w:t>در هر کار</w:t>
      </w:r>
      <w:r w:rsidRPr="0025250D">
        <w:rPr>
          <w:rFonts w:hint="cs"/>
          <w:rtl/>
        </w:rPr>
        <w:t>ی</w:t>
      </w:r>
      <w:r w:rsidRPr="0025250D">
        <w:rPr>
          <w:rtl/>
        </w:rPr>
        <w:t xml:space="preserve"> عال</w:t>
      </w:r>
      <w:r w:rsidRPr="0025250D">
        <w:rPr>
          <w:rFonts w:hint="cs"/>
          <w:rtl/>
        </w:rPr>
        <w:t>ی</w:t>
      </w:r>
      <w:r w:rsidRPr="0025250D">
        <w:rPr>
          <w:rtl/>
        </w:rPr>
        <w:t xml:space="preserve"> باش</w:t>
      </w:r>
      <w:r w:rsidRPr="0025250D">
        <w:rPr>
          <w:rFonts w:hint="cs"/>
          <w:rtl/>
        </w:rPr>
        <w:t>ی</w:t>
      </w:r>
      <w:r w:rsidRPr="0025250D">
        <w:rPr>
          <w:rFonts w:hint="eastAsia"/>
          <w:rtl/>
        </w:rPr>
        <w:t>د،</w:t>
      </w:r>
      <w:r w:rsidRPr="0025250D">
        <w:rPr>
          <w:rtl/>
        </w:rPr>
        <w:t xml:space="preserve"> تون</w:t>
      </w:r>
      <w:r w:rsidRPr="0025250D">
        <w:rPr>
          <w:rFonts w:hint="cs"/>
          <w:rtl/>
        </w:rPr>
        <w:t>ی</w:t>
      </w:r>
      <w:r w:rsidRPr="0025250D">
        <w:rPr>
          <w:rtl/>
        </w:rPr>
        <w:t xml:space="preserve"> شوارد</w:t>
      </w:r>
      <w:r w:rsidRPr="0025250D">
        <w:rPr>
          <w:vertAlign w:val="superscript"/>
          <w:rtl/>
        </w:rPr>
        <w:footnoteReference w:id="3359"/>
      </w:r>
      <w:r w:rsidRPr="0025250D">
        <w:rPr>
          <w:rtl/>
        </w:rPr>
        <w:t>، 2011</w:t>
      </w:r>
    </w:p>
    <w:p w14:paraId="5176FE47" w14:textId="77777777" w:rsidR="0009441D" w:rsidRPr="0025250D" w:rsidRDefault="0009441D" w:rsidP="00492C47">
      <w:pPr>
        <w:numPr>
          <w:ilvl w:val="0"/>
          <w:numId w:val="79"/>
        </w:numPr>
        <w:rPr>
          <w:rtl/>
        </w:rPr>
      </w:pPr>
      <w:r w:rsidRPr="0025250D">
        <w:rPr>
          <w:rFonts w:hint="cs"/>
          <w:rtl/>
        </w:rPr>
        <w:t>برجسته</w:t>
      </w:r>
      <w:r w:rsidRPr="0025250D">
        <w:rPr>
          <w:rtl/>
        </w:rPr>
        <w:t>: چگونه بزرگ شو</w:t>
      </w:r>
      <w:r w:rsidRPr="0025250D">
        <w:rPr>
          <w:rFonts w:hint="cs"/>
          <w:rtl/>
        </w:rPr>
        <w:t>ی</w:t>
      </w:r>
      <w:r w:rsidRPr="0025250D">
        <w:rPr>
          <w:rFonts w:hint="eastAsia"/>
          <w:rtl/>
        </w:rPr>
        <w:t>م،</w:t>
      </w:r>
      <w:r w:rsidRPr="0025250D">
        <w:rPr>
          <w:rtl/>
        </w:rPr>
        <w:t xml:space="preserve"> ثروت بساز</w:t>
      </w:r>
      <w:r w:rsidRPr="0025250D">
        <w:rPr>
          <w:rFonts w:hint="cs"/>
          <w:rtl/>
        </w:rPr>
        <w:t>ی</w:t>
      </w:r>
      <w:r w:rsidRPr="0025250D">
        <w:rPr>
          <w:rFonts w:hint="eastAsia"/>
          <w:rtl/>
        </w:rPr>
        <w:t>م</w:t>
      </w:r>
      <w:r w:rsidRPr="0025250D">
        <w:rPr>
          <w:rtl/>
        </w:rPr>
        <w:t xml:space="preserve"> و بر جهان تأث</w:t>
      </w:r>
      <w:r w:rsidRPr="0025250D">
        <w:rPr>
          <w:rFonts w:hint="cs"/>
          <w:rtl/>
        </w:rPr>
        <w:t>ی</w:t>
      </w:r>
      <w:r w:rsidRPr="0025250D">
        <w:rPr>
          <w:rFonts w:hint="eastAsia"/>
          <w:rtl/>
        </w:rPr>
        <w:t>ر</w:t>
      </w:r>
      <w:r w:rsidRPr="0025250D">
        <w:rPr>
          <w:rtl/>
        </w:rPr>
        <w:t xml:space="preserve"> بگذار</w:t>
      </w:r>
      <w:r w:rsidRPr="0025250D">
        <w:rPr>
          <w:rFonts w:hint="cs"/>
          <w:rtl/>
        </w:rPr>
        <w:t>ی</w:t>
      </w:r>
      <w:r w:rsidRPr="0025250D">
        <w:rPr>
          <w:rFonts w:hint="eastAsia"/>
          <w:rtl/>
        </w:rPr>
        <w:t>م،</w:t>
      </w:r>
      <w:r w:rsidRPr="0025250D">
        <w:rPr>
          <w:rtl/>
        </w:rPr>
        <w:t xml:space="preserve"> د</w:t>
      </w:r>
      <w:r w:rsidRPr="0025250D">
        <w:rPr>
          <w:rFonts w:hint="cs"/>
          <w:rtl/>
        </w:rPr>
        <w:t>ی</w:t>
      </w:r>
      <w:r w:rsidRPr="0025250D">
        <w:rPr>
          <w:rFonts w:hint="eastAsia"/>
          <w:rtl/>
        </w:rPr>
        <w:t>اماند</w:t>
      </w:r>
      <w:r w:rsidRPr="0025250D">
        <w:rPr>
          <w:rFonts w:hint="cs"/>
          <w:rtl/>
        </w:rPr>
        <w:t>ی</w:t>
      </w:r>
      <w:r w:rsidRPr="0025250D">
        <w:rPr>
          <w:rFonts w:hint="eastAsia"/>
          <w:rtl/>
        </w:rPr>
        <w:t>س</w:t>
      </w:r>
      <w:r w:rsidRPr="0025250D">
        <w:rPr>
          <w:rtl/>
        </w:rPr>
        <w:t xml:space="preserve"> و کاتلر</w:t>
      </w:r>
      <w:r w:rsidRPr="0025250D">
        <w:rPr>
          <w:vertAlign w:val="superscript"/>
          <w:rtl/>
        </w:rPr>
        <w:footnoteReference w:id="3360"/>
      </w:r>
      <w:r w:rsidRPr="0025250D">
        <w:rPr>
          <w:rtl/>
        </w:rPr>
        <w:t>، 2015</w:t>
      </w:r>
    </w:p>
    <w:p w14:paraId="5D05BA6A" w14:textId="77777777" w:rsidR="0009441D" w:rsidRPr="0025250D" w:rsidRDefault="0009441D" w:rsidP="00492C47">
      <w:pPr>
        <w:numPr>
          <w:ilvl w:val="0"/>
          <w:numId w:val="79"/>
        </w:numPr>
        <w:rPr>
          <w:rtl/>
        </w:rPr>
      </w:pPr>
      <w:r w:rsidRPr="0025250D">
        <w:rPr>
          <w:rtl/>
        </w:rPr>
        <w:t>ابزارها</w:t>
      </w:r>
      <w:r w:rsidRPr="0025250D">
        <w:rPr>
          <w:rFonts w:hint="cs"/>
          <w:rtl/>
        </w:rPr>
        <w:t>ی</w:t>
      </w:r>
      <w:r w:rsidRPr="0025250D">
        <w:rPr>
          <w:rtl/>
        </w:rPr>
        <w:t xml:space="preserve"> جالب: فهرست</w:t>
      </w:r>
      <w:r w:rsidRPr="0025250D">
        <w:rPr>
          <w:rFonts w:hint="cs"/>
          <w:rtl/>
        </w:rPr>
        <w:t>ی</w:t>
      </w:r>
      <w:r w:rsidRPr="0025250D">
        <w:rPr>
          <w:rtl/>
        </w:rPr>
        <w:t xml:space="preserve"> از </w:t>
      </w:r>
      <w:r w:rsidRPr="0025250D">
        <w:rPr>
          <w:rFonts w:hint="cs"/>
          <w:rtl/>
        </w:rPr>
        <w:t xml:space="preserve">موارد ممکن، </w:t>
      </w:r>
      <w:r w:rsidRPr="0025250D">
        <w:rPr>
          <w:rtl/>
        </w:rPr>
        <w:t>کو</w:t>
      </w:r>
      <w:r w:rsidRPr="0025250D">
        <w:rPr>
          <w:rFonts w:hint="cs"/>
          <w:rtl/>
        </w:rPr>
        <w:t>ی</w:t>
      </w:r>
      <w:r w:rsidRPr="0025250D">
        <w:rPr>
          <w:rFonts w:hint="eastAsia"/>
          <w:rtl/>
        </w:rPr>
        <w:t>ن</w:t>
      </w:r>
      <w:r w:rsidRPr="0025250D">
        <w:rPr>
          <w:rtl/>
        </w:rPr>
        <w:t xml:space="preserve"> کل</w:t>
      </w:r>
      <w:r w:rsidRPr="0025250D">
        <w:rPr>
          <w:rFonts w:hint="cs"/>
          <w:rtl/>
        </w:rPr>
        <w:t>ی</w:t>
      </w:r>
      <w:r w:rsidRPr="0025250D">
        <w:rPr>
          <w:vertAlign w:val="superscript"/>
          <w:rtl/>
        </w:rPr>
        <w:footnoteReference w:id="3361"/>
      </w:r>
      <w:r w:rsidRPr="0025250D">
        <w:rPr>
          <w:rFonts w:hint="eastAsia"/>
          <w:rtl/>
        </w:rPr>
        <w:t>،</w:t>
      </w:r>
      <w:r w:rsidRPr="0025250D">
        <w:rPr>
          <w:rtl/>
        </w:rPr>
        <w:t xml:space="preserve"> 2013</w:t>
      </w:r>
    </w:p>
    <w:p w14:paraId="3FCD5F6E" w14:textId="77777777" w:rsidR="0009441D" w:rsidRPr="0025250D" w:rsidRDefault="0009441D" w:rsidP="00492C47">
      <w:pPr>
        <w:numPr>
          <w:ilvl w:val="0"/>
          <w:numId w:val="79"/>
        </w:numPr>
        <w:rPr>
          <w:rtl/>
        </w:rPr>
      </w:pPr>
      <w:r w:rsidRPr="0025250D">
        <w:rPr>
          <w:rtl/>
        </w:rPr>
        <w:t>مکالمات ح</w:t>
      </w:r>
      <w:r w:rsidRPr="0025250D">
        <w:rPr>
          <w:rFonts w:hint="cs"/>
          <w:rtl/>
        </w:rPr>
        <w:t>ی</w:t>
      </w:r>
      <w:r w:rsidRPr="0025250D">
        <w:rPr>
          <w:rFonts w:hint="eastAsia"/>
          <w:rtl/>
        </w:rPr>
        <w:t>ات</w:t>
      </w:r>
      <w:r w:rsidRPr="0025250D">
        <w:rPr>
          <w:rFonts w:hint="cs"/>
          <w:rtl/>
        </w:rPr>
        <w:t>ی</w:t>
      </w:r>
      <w:r w:rsidRPr="0025250D">
        <w:rPr>
          <w:rtl/>
        </w:rPr>
        <w:t>: ابزارها</w:t>
      </w:r>
      <w:r w:rsidRPr="0025250D">
        <w:rPr>
          <w:rFonts w:hint="cs"/>
          <w:rtl/>
        </w:rPr>
        <w:t>یی</w:t>
      </w:r>
      <w:r w:rsidRPr="0025250D">
        <w:rPr>
          <w:rtl/>
        </w:rPr>
        <w:t xml:space="preserve"> برا</w:t>
      </w:r>
      <w:r w:rsidRPr="0025250D">
        <w:rPr>
          <w:rFonts w:hint="cs"/>
          <w:rtl/>
        </w:rPr>
        <w:t>ی</w:t>
      </w:r>
      <w:r w:rsidRPr="0025250D">
        <w:rPr>
          <w:rtl/>
        </w:rPr>
        <w:t xml:space="preserve"> صحبت وقت</w:t>
      </w:r>
      <w:r w:rsidRPr="0025250D">
        <w:rPr>
          <w:rFonts w:hint="cs"/>
          <w:rtl/>
        </w:rPr>
        <w:t>ی</w:t>
      </w:r>
      <w:r w:rsidRPr="0025250D">
        <w:rPr>
          <w:rtl/>
        </w:rPr>
        <w:t xml:space="preserve"> که ر</w:t>
      </w:r>
      <w:r w:rsidRPr="0025250D">
        <w:rPr>
          <w:rFonts w:hint="cs"/>
          <w:rtl/>
        </w:rPr>
        <w:t>ی</w:t>
      </w:r>
      <w:r w:rsidRPr="0025250D">
        <w:rPr>
          <w:rFonts w:hint="eastAsia"/>
          <w:rtl/>
        </w:rPr>
        <w:t>سک</w:t>
      </w:r>
      <w:r w:rsidRPr="0025250D">
        <w:rPr>
          <w:rtl/>
        </w:rPr>
        <w:t xml:space="preserve"> ز</w:t>
      </w:r>
      <w:r w:rsidRPr="0025250D">
        <w:rPr>
          <w:rFonts w:hint="cs"/>
          <w:rtl/>
        </w:rPr>
        <w:t>ی</w:t>
      </w:r>
      <w:r w:rsidRPr="0025250D">
        <w:rPr>
          <w:rFonts w:hint="eastAsia"/>
          <w:rtl/>
        </w:rPr>
        <w:t>اد</w:t>
      </w:r>
      <w:r w:rsidRPr="0025250D">
        <w:rPr>
          <w:rtl/>
        </w:rPr>
        <w:t xml:space="preserve"> است، ک</w:t>
      </w:r>
      <w:r w:rsidRPr="0025250D">
        <w:rPr>
          <w:rFonts w:hint="cs"/>
          <w:rtl/>
        </w:rPr>
        <w:t>ی</w:t>
      </w:r>
      <w:r w:rsidRPr="0025250D">
        <w:rPr>
          <w:rtl/>
        </w:rPr>
        <w:t xml:space="preserve"> پترسون و همکاران</w:t>
      </w:r>
      <w:r w:rsidRPr="0025250D">
        <w:rPr>
          <w:vertAlign w:val="superscript"/>
          <w:rtl/>
        </w:rPr>
        <w:footnoteReference w:id="3362"/>
      </w:r>
      <w:r w:rsidRPr="0025250D">
        <w:rPr>
          <w:rtl/>
        </w:rPr>
        <w:t>، 2011</w:t>
      </w:r>
    </w:p>
    <w:p w14:paraId="44D2E085" w14:textId="77777777" w:rsidR="0009441D" w:rsidRPr="0025250D" w:rsidRDefault="0009441D" w:rsidP="00492C47">
      <w:pPr>
        <w:numPr>
          <w:ilvl w:val="0"/>
          <w:numId w:val="79"/>
        </w:numPr>
        <w:rPr>
          <w:rtl/>
        </w:rPr>
      </w:pPr>
      <w:r w:rsidRPr="0025250D">
        <w:rPr>
          <w:rtl/>
        </w:rPr>
        <w:t>هوش ه</w:t>
      </w:r>
      <w:r w:rsidRPr="0025250D">
        <w:rPr>
          <w:rFonts w:hint="cs"/>
          <w:rtl/>
        </w:rPr>
        <w:t>ی</w:t>
      </w:r>
      <w:r w:rsidRPr="0025250D">
        <w:rPr>
          <w:rFonts w:hint="eastAsia"/>
          <w:rtl/>
        </w:rPr>
        <w:t>جان</w:t>
      </w:r>
      <w:r w:rsidRPr="0025250D">
        <w:rPr>
          <w:rFonts w:hint="cs"/>
          <w:rtl/>
        </w:rPr>
        <w:t>ی</w:t>
      </w:r>
      <w:r w:rsidRPr="0025250D">
        <w:rPr>
          <w:rtl/>
        </w:rPr>
        <w:t xml:space="preserve"> 2.0، بردبر</w:t>
      </w:r>
      <w:r w:rsidRPr="0025250D">
        <w:rPr>
          <w:rFonts w:hint="cs"/>
          <w:rtl/>
        </w:rPr>
        <w:t>ی</w:t>
      </w:r>
      <w:r w:rsidRPr="0025250D">
        <w:rPr>
          <w:rtl/>
        </w:rPr>
        <w:t xml:space="preserve"> و گر</w:t>
      </w:r>
      <w:r w:rsidRPr="0025250D">
        <w:rPr>
          <w:rFonts w:hint="cs"/>
          <w:rtl/>
        </w:rPr>
        <w:t>ی</w:t>
      </w:r>
      <w:r w:rsidRPr="0025250D">
        <w:rPr>
          <w:rFonts w:hint="eastAsia"/>
          <w:rtl/>
        </w:rPr>
        <w:t>وز</w:t>
      </w:r>
      <w:r w:rsidRPr="0025250D">
        <w:rPr>
          <w:vertAlign w:val="superscript"/>
          <w:rtl/>
        </w:rPr>
        <w:footnoteReference w:id="3363"/>
      </w:r>
      <w:r w:rsidRPr="0025250D">
        <w:rPr>
          <w:rFonts w:hint="eastAsia"/>
          <w:rtl/>
        </w:rPr>
        <w:t>،</w:t>
      </w:r>
      <w:r w:rsidRPr="0025250D">
        <w:rPr>
          <w:rtl/>
        </w:rPr>
        <w:t xml:space="preserve"> 2009</w:t>
      </w:r>
    </w:p>
    <w:p w14:paraId="68FC14D2" w14:textId="77777777" w:rsidR="0009441D" w:rsidRPr="0025250D" w:rsidRDefault="0009441D" w:rsidP="00492C47">
      <w:pPr>
        <w:numPr>
          <w:ilvl w:val="0"/>
          <w:numId w:val="79"/>
        </w:numPr>
        <w:rPr>
          <w:rtl/>
        </w:rPr>
      </w:pPr>
      <w:r w:rsidRPr="0025250D">
        <w:rPr>
          <w:rtl/>
        </w:rPr>
        <w:t>ذات گرا</w:t>
      </w:r>
      <w:r w:rsidRPr="0025250D">
        <w:rPr>
          <w:rFonts w:hint="cs"/>
          <w:rtl/>
        </w:rPr>
        <w:t>یی</w:t>
      </w:r>
      <w:r w:rsidRPr="0025250D">
        <w:rPr>
          <w:rtl/>
        </w:rPr>
        <w:t>: پ</w:t>
      </w:r>
      <w:r w:rsidRPr="0025250D">
        <w:rPr>
          <w:rFonts w:hint="cs"/>
          <w:rtl/>
        </w:rPr>
        <w:t>ی</w:t>
      </w:r>
      <w:r w:rsidRPr="0025250D">
        <w:rPr>
          <w:rFonts w:hint="eastAsia"/>
          <w:rtl/>
        </w:rPr>
        <w:t>گ</w:t>
      </w:r>
      <w:r w:rsidRPr="0025250D">
        <w:rPr>
          <w:rFonts w:hint="cs"/>
          <w:rtl/>
        </w:rPr>
        <w:t>ی</w:t>
      </w:r>
      <w:r w:rsidRPr="0025250D">
        <w:rPr>
          <w:rFonts w:hint="eastAsia"/>
          <w:rtl/>
        </w:rPr>
        <w:t>ر</w:t>
      </w:r>
      <w:r w:rsidRPr="0025250D">
        <w:rPr>
          <w:rFonts w:hint="cs"/>
          <w:rtl/>
        </w:rPr>
        <w:t>ی</w:t>
      </w:r>
      <w:r w:rsidRPr="0025250D">
        <w:rPr>
          <w:rtl/>
        </w:rPr>
        <w:t xml:space="preserve"> منظم کمتر</w:t>
      </w:r>
      <w:r w:rsidRPr="0025250D">
        <w:rPr>
          <w:rFonts w:hint="cs"/>
          <w:rtl/>
        </w:rPr>
        <w:t xml:space="preserve">، </w:t>
      </w:r>
      <w:r w:rsidRPr="0025250D">
        <w:rPr>
          <w:rtl/>
        </w:rPr>
        <w:t>گرگ مک ک</w:t>
      </w:r>
      <w:r w:rsidRPr="0025250D">
        <w:rPr>
          <w:rFonts w:hint="cs"/>
          <w:rtl/>
        </w:rPr>
        <w:t>ی</w:t>
      </w:r>
      <w:r w:rsidRPr="0025250D">
        <w:rPr>
          <w:rFonts w:hint="eastAsia"/>
          <w:rtl/>
        </w:rPr>
        <w:t>ون</w:t>
      </w:r>
      <w:r w:rsidRPr="0025250D">
        <w:rPr>
          <w:vertAlign w:val="superscript"/>
          <w:rtl/>
        </w:rPr>
        <w:footnoteReference w:id="3364"/>
      </w:r>
      <w:r w:rsidRPr="0025250D">
        <w:rPr>
          <w:rFonts w:hint="eastAsia"/>
          <w:rtl/>
        </w:rPr>
        <w:t>،</w:t>
      </w:r>
      <w:r w:rsidRPr="0025250D">
        <w:rPr>
          <w:rtl/>
        </w:rPr>
        <w:t xml:space="preserve"> 2014</w:t>
      </w:r>
    </w:p>
    <w:p w14:paraId="29B7B992" w14:textId="1B8F9C83" w:rsidR="0009441D" w:rsidRPr="0025250D" w:rsidRDefault="00F50EB4" w:rsidP="00492C47">
      <w:pPr>
        <w:numPr>
          <w:ilvl w:val="0"/>
          <w:numId w:val="79"/>
        </w:numPr>
        <w:rPr>
          <w:rtl/>
        </w:rPr>
      </w:pPr>
      <w:r w:rsidRPr="0025250D">
        <w:rPr>
          <w:rtl/>
        </w:rPr>
        <w:t>سرمایه‌گذاری</w:t>
      </w:r>
      <w:r w:rsidR="0009441D" w:rsidRPr="0025250D">
        <w:rPr>
          <w:rtl/>
        </w:rPr>
        <w:t xml:space="preserve"> آینده‌نگاری</w:t>
      </w:r>
      <w:r w:rsidR="0009441D" w:rsidRPr="0025250D">
        <w:rPr>
          <w:rFonts w:hint="eastAsia"/>
          <w:rtl/>
        </w:rPr>
        <w:t>،</w:t>
      </w:r>
      <w:r w:rsidR="0009441D" w:rsidRPr="0025250D">
        <w:rPr>
          <w:rtl/>
        </w:rPr>
        <w:t xml:space="preserve"> ج</w:t>
      </w:r>
      <w:r w:rsidR="0009441D" w:rsidRPr="0025250D">
        <w:rPr>
          <w:rFonts w:hint="cs"/>
          <w:rtl/>
        </w:rPr>
        <w:t>ی</w:t>
      </w:r>
      <w:r w:rsidR="0009441D" w:rsidRPr="0025250D">
        <w:rPr>
          <w:rFonts w:hint="eastAsia"/>
          <w:rtl/>
        </w:rPr>
        <w:t>مز</w:t>
      </w:r>
      <w:r w:rsidR="0009441D" w:rsidRPr="0025250D">
        <w:rPr>
          <w:rtl/>
        </w:rPr>
        <w:t xml:space="preserve"> ل</w:t>
      </w:r>
      <w:r w:rsidR="0009441D" w:rsidRPr="0025250D">
        <w:rPr>
          <w:rFonts w:hint="cs"/>
          <w:rtl/>
        </w:rPr>
        <w:t>ی</w:t>
      </w:r>
      <w:r w:rsidR="0009441D" w:rsidRPr="0025250D">
        <w:rPr>
          <w:vertAlign w:val="superscript"/>
          <w:rtl/>
        </w:rPr>
        <w:footnoteReference w:id="3365"/>
      </w:r>
      <w:r w:rsidR="0009441D" w:rsidRPr="0025250D">
        <w:rPr>
          <w:rFonts w:hint="eastAsia"/>
          <w:rtl/>
        </w:rPr>
        <w:t>،</w:t>
      </w:r>
      <w:r w:rsidR="0009441D" w:rsidRPr="0025250D">
        <w:rPr>
          <w:rtl/>
        </w:rPr>
        <w:t xml:space="preserve"> 2021</w:t>
      </w:r>
    </w:p>
    <w:p w14:paraId="0856E47E" w14:textId="19B3DBF2" w:rsidR="0009441D" w:rsidRPr="0025250D" w:rsidRDefault="0046306A" w:rsidP="00492C47">
      <w:pPr>
        <w:numPr>
          <w:ilvl w:val="0"/>
          <w:numId w:val="79"/>
        </w:numPr>
        <w:rPr>
          <w:rtl/>
        </w:rPr>
      </w:pPr>
      <w:r w:rsidRPr="0025250D">
        <w:rPr>
          <w:rFonts w:hint="cs"/>
          <w:rtl/>
        </w:rPr>
        <w:t>کودکان خود را دریابید</w:t>
      </w:r>
      <w:r w:rsidR="0009441D" w:rsidRPr="0025250D">
        <w:rPr>
          <w:rFonts w:hint="eastAsia"/>
          <w:rtl/>
        </w:rPr>
        <w:t>،</w:t>
      </w:r>
      <w:r w:rsidR="0009441D" w:rsidRPr="0025250D">
        <w:rPr>
          <w:rtl/>
        </w:rPr>
        <w:t xml:space="preserve"> گوردون نوفلد و گابور م</w:t>
      </w:r>
      <w:r w:rsidR="0009441D" w:rsidRPr="0025250D">
        <w:rPr>
          <w:rFonts w:hint="cs"/>
          <w:rtl/>
        </w:rPr>
        <w:t>ی</w:t>
      </w:r>
      <w:r w:rsidR="0009441D" w:rsidRPr="0025250D">
        <w:rPr>
          <w:rFonts w:hint="eastAsia"/>
          <w:rtl/>
        </w:rPr>
        <w:t>ت</w:t>
      </w:r>
      <w:r w:rsidR="0009441D" w:rsidRPr="0025250D">
        <w:rPr>
          <w:vertAlign w:val="superscript"/>
          <w:rtl/>
        </w:rPr>
        <w:footnoteReference w:id="3366"/>
      </w:r>
      <w:r w:rsidR="0009441D" w:rsidRPr="0025250D">
        <w:rPr>
          <w:rFonts w:hint="eastAsia"/>
          <w:rtl/>
        </w:rPr>
        <w:t>،</w:t>
      </w:r>
      <w:r w:rsidR="0009441D" w:rsidRPr="0025250D">
        <w:rPr>
          <w:rtl/>
        </w:rPr>
        <w:t xml:space="preserve"> 2006</w:t>
      </w:r>
    </w:p>
    <w:p w14:paraId="08887012" w14:textId="7D43F9C3" w:rsidR="0009441D" w:rsidRPr="0025250D" w:rsidRDefault="0009441D" w:rsidP="00492C47">
      <w:pPr>
        <w:numPr>
          <w:ilvl w:val="0"/>
          <w:numId w:val="79"/>
        </w:numPr>
        <w:rPr>
          <w:rtl/>
        </w:rPr>
      </w:pPr>
      <w:r w:rsidRPr="0025250D">
        <w:rPr>
          <w:rtl/>
        </w:rPr>
        <w:t>تأث</w:t>
      </w:r>
      <w:r w:rsidRPr="0025250D">
        <w:rPr>
          <w:rFonts w:hint="cs"/>
          <w:rtl/>
        </w:rPr>
        <w:t>ی</w:t>
      </w:r>
      <w:r w:rsidRPr="0025250D">
        <w:rPr>
          <w:rFonts w:hint="eastAsia"/>
          <w:rtl/>
        </w:rPr>
        <w:t>ر</w:t>
      </w:r>
      <w:r w:rsidRPr="0025250D">
        <w:rPr>
          <w:rtl/>
        </w:rPr>
        <w:t>: تغ</w:t>
      </w:r>
      <w:r w:rsidRPr="0025250D">
        <w:rPr>
          <w:rFonts w:hint="cs"/>
          <w:rtl/>
        </w:rPr>
        <w:t>یی</w:t>
      </w:r>
      <w:r w:rsidRPr="0025250D">
        <w:rPr>
          <w:rFonts w:hint="eastAsia"/>
          <w:rtl/>
        </w:rPr>
        <w:t>ر</w:t>
      </w:r>
      <w:r w:rsidRPr="0025250D">
        <w:rPr>
          <w:rtl/>
        </w:rPr>
        <w:t xml:space="preserve"> شکل </w:t>
      </w:r>
      <w:r w:rsidR="00B0171C" w:rsidRPr="0025250D">
        <w:rPr>
          <w:rtl/>
        </w:rPr>
        <w:t xml:space="preserve"> سرمایه‌دار</w:t>
      </w:r>
      <w:r w:rsidRPr="0025250D">
        <w:rPr>
          <w:rFonts w:hint="cs"/>
          <w:rtl/>
        </w:rPr>
        <w:t>ی</w:t>
      </w:r>
      <w:r w:rsidRPr="0025250D">
        <w:rPr>
          <w:rtl/>
        </w:rPr>
        <w:t xml:space="preserve"> برا</w:t>
      </w:r>
      <w:r w:rsidRPr="0025250D">
        <w:rPr>
          <w:rFonts w:hint="cs"/>
          <w:rtl/>
        </w:rPr>
        <w:t>ی</w:t>
      </w:r>
      <w:r w:rsidRPr="0025250D">
        <w:rPr>
          <w:rtl/>
        </w:rPr>
        <w:t xml:space="preserve"> ا</w:t>
      </w:r>
      <w:r w:rsidRPr="0025250D">
        <w:rPr>
          <w:rFonts w:hint="cs"/>
          <w:rtl/>
        </w:rPr>
        <w:t>ی</w:t>
      </w:r>
      <w:r w:rsidRPr="0025250D">
        <w:rPr>
          <w:rFonts w:hint="eastAsia"/>
          <w:rtl/>
        </w:rPr>
        <w:t>جاد</w:t>
      </w:r>
      <w:r w:rsidRPr="0025250D">
        <w:rPr>
          <w:rtl/>
        </w:rPr>
        <w:t xml:space="preserve"> تغ</w:t>
      </w:r>
      <w:r w:rsidRPr="0025250D">
        <w:rPr>
          <w:rFonts w:hint="cs"/>
          <w:rtl/>
        </w:rPr>
        <w:t>یی</w:t>
      </w:r>
      <w:r w:rsidRPr="0025250D">
        <w:rPr>
          <w:rFonts w:hint="eastAsia"/>
          <w:rtl/>
        </w:rPr>
        <w:t>رات</w:t>
      </w:r>
      <w:r w:rsidRPr="0025250D">
        <w:rPr>
          <w:rtl/>
        </w:rPr>
        <w:t xml:space="preserve"> واقع</w:t>
      </w:r>
      <w:r w:rsidRPr="0025250D">
        <w:rPr>
          <w:rFonts w:hint="cs"/>
          <w:rtl/>
        </w:rPr>
        <w:t>ی</w:t>
      </w:r>
      <w:r w:rsidRPr="0025250D">
        <w:rPr>
          <w:vertAlign w:val="superscript"/>
          <w:rtl/>
        </w:rPr>
        <w:footnoteReference w:id="3367"/>
      </w:r>
      <w:r w:rsidRPr="0025250D">
        <w:rPr>
          <w:rFonts w:hint="eastAsia"/>
          <w:rtl/>
        </w:rPr>
        <w:t>،</w:t>
      </w:r>
      <w:r w:rsidRPr="0025250D">
        <w:rPr>
          <w:rtl/>
        </w:rPr>
        <w:t xml:space="preserve"> 2020</w:t>
      </w:r>
    </w:p>
    <w:p w14:paraId="75402226" w14:textId="51F4C85A" w:rsidR="0009441D" w:rsidRPr="0025250D" w:rsidRDefault="0009441D" w:rsidP="00492C47">
      <w:pPr>
        <w:numPr>
          <w:ilvl w:val="0"/>
          <w:numId w:val="79"/>
        </w:numPr>
        <w:rPr>
          <w:rtl/>
        </w:rPr>
      </w:pPr>
      <w:r w:rsidRPr="0025250D">
        <w:rPr>
          <w:rtl/>
        </w:rPr>
        <w:t>تاث</w:t>
      </w:r>
      <w:r w:rsidRPr="0025250D">
        <w:rPr>
          <w:rFonts w:hint="cs"/>
          <w:rtl/>
        </w:rPr>
        <w:t>ی</w:t>
      </w:r>
      <w:r w:rsidRPr="0025250D">
        <w:rPr>
          <w:rFonts w:hint="eastAsia"/>
          <w:rtl/>
        </w:rPr>
        <w:t>ر</w:t>
      </w:r>
      <w:r w:rsidRPr="0025250D">
        <w:rPr>
          <w:rtl/>
        </w:rPr>
        <w:t xml:space="preserve"> ضرور</w:t>
      </w:r>
      <w:r w:rsidRPr="0025250D">
        <w:rPr>
          <w:rFonts w:hint="cs"/>
          <w:rtl/>
        </w:rPr>
        <w:t>ی</w:t>
      </w:r>
      <w:r w:rsidRPr="0025250D">
        <w:rPr>
          <w:rtl/>
        </w:rPr>
        <w:t xml:space="preserve">: </w:t>
      </w:r>
      <w:r w:rsidR="00F50EB4" w:rsidRPr="0025250D">
        <w:rPr>
          <w:rtl/>
        </w:rPr>
        <w:t>سرمایه‌گذاری</w:t>
      </w:r>
      <w:r w:rsidRPr="0025250D">
        <w:rPr>
          <w:rtl/>
        </w:rPr>
        <w:t xml:space="preserve"> برا</w:t>
      </w:r>
      <w:r w:rsidRPr="0025250D">
        <w:rPr>
          <w:rFonts w:hint="cs"/>
          <w:rtl/>
        </w:rPr>
        <w:t>ی</w:t>
      </w:r>
      <w:r w:rsidRPr="0025250D">
        <w:rPr>
          <w:rtl/>
        </w:rPr>
        <w:t xml:space="preserve"> تغ</w:t>
      </w:r>
      <w:r w:rsidRPr="0025250D">
        <w:rPr>
          <w:rFonts w:hint="cs"/>
          <w:rtl/>
        </w:rPr>
        <w:t>یی</w:t>
      </w:r>
      <w:r w:rsidRPr="0025250D">
        <w:rPr>
          <w:rFonts w:hint="eastAsia"/>
          <w:rtl/>
        </w:rPr>
        <w:t>ر</w:t>
      </w:r>
      <w:r w:rsidRPr="0025250D">
        <w:rPr>
          <w:rtl/>
        </w:rPr>
        <w:t xml:space="preserve"> آ</w:t>
      </w:r>
      <w:r w:rsidRPr="0025250D">
        <w:rPr>
          <w:rFonts w:hint="cs"/>
          <w:rtl/>
        </w:rPr>
        <w:t>ی</w:t>
      </w:r>
      <w:r w:rsidRPr="0025250D">
        <w:rPr>
          <w:rFonts w:hint="eastAsia"/>
          <w:rtl/>
        </w:rPr>
        <w:t>نده</w:t>
      </w:r>
      <w:r w:rsidRPr="0025250D">
        <w:rPr>
          <w:rFonts w:hint="cs"/>
          <w:rtl/>
        </w:rPr>
        <w:t xml:space="preserve">، </w:t>
      </w:r>
      <w:r w:rsidRPr="0025250D">
        <w:rPr>
          <w:rtl/>
        </w:rPr>
        <w:t>پاملا را</w:t>
      </w:r>
      <w:r w:rsidRPr="0025250D">
        <w:rPr>
          <w:rFonts w:hint="cs"/>
          <w:rtl/>
        </w:rPr>
        <w:t>ی</w:t>
      </w:r>
      <w:r w:rsidRPr="0025250D">
        <w:rPr>
          <w:rFonts w:hint="eastAsia"/>
          <w:rtl/>
        </w:rPr>
        <w:t>ان</w:t>
      </w:r>
      <w:r w:rsidRPr="0025250D">
        <w:rPr>
          <w:vertAlign w:val="superscript"/>
          <w:rtl/>
        </w:rPr>
        <w:footnoteReference w:id="3368"/>
      </w:r>
      <w:r w:rsidRPr="0025250D">
        <w:rPr>
          <w:rFonts w:hint="eastAsia"/>
          <w:rtl/>
        </w:rPr>
        <w:t>،</w:t>
      </w:r>
      <w:r w:rsidRPr="0025250D">
        <w:rPr>
          <w:rtl/>
        </w:rPr>
        <w:t xml:space="preserve"> 2019</w:t>
      </w:r>
    </w:p>
    <w:p w14:paraId="386B142D" w14:textId="77777777" w:rsidR="0009441D" w:rsidRPr="0025250D" w:rsidRDefault="0009441D" w:rsidP="00492C47">
      <w:pPr>
        <w:numPr>
          <w:ilvl w:val="0"/>
          <w:numId w:val="79"/>
        </w:numPr>
        <w:rPr>
          <w:rtl/>
        </w:rPr>
      </w:pPr>
      <w:r w:rsidRPr="0025250D">
        <w:rPr>
          <w:rtl/>
        </w:rPr>
        <w:t>حواس پرت</w:t>
      </w:r>
      <w:r w:rsidRPr="0025250D">
        <w:rPr>
          <w:rFonts w:hint="cs"/>
          <w:rtl/>
        </w:rPr>
        <w:t>ی</w:t>
      </w:r>
      <w:r w:rsidRPr="0025250D">
        <w:rPr>
          <w:rtl/>
        </w:rPr>
        <w:t>: چگونه توجه خود را کنترل کن</w:t>
      </w:r>
      <w:r w:rsidRPr="0025250D">
        <w:rPr>
          <w:rFonts w:hint="cs"/>
          <w:rtl/>
        </w:rPr>
        <w:t>ی</w:t>
      </w:r>
      <w:r w:rsidRPr="0025250D">
        <w:rPr>
          <w:rFonts w:hint="eastAsia"/>
          <w:rtl/>
        </w:rPr>
        <w:t>م</w:t>
      </w:r>
      <w:r w:rsidRPr="0025250D">
        <w:rPr>
          <w:rtl/>
        </w:rPr>
        <w:t xml:space="preserve"> و زندگ</w:t>
      </w:r>
      <w:r w:rsidRPr="0025250D">
        <w:rPr>
          <w:rFonts w:hint="cs"/>
          <w:rtl/>
        </w:rPr>
        <w:t>ی</w:t>
      </w:r>
      <w:r w:rsidRPr="0025250D">
        <w:rPr>
          <w:rtl/>
        </w:rPr>
        <w:t xml:space="preserve"> خود را انتخاب کن</w:t>
      </w:r>
      <w:r w:rsidRPr="0025250D">
        <w:rPr>
          <w:rFonts w:hint="cs"/>
          <w:rtl/>
        </w:rPr>
        <w:t>ی</w:t>
      </w:r>
      <w:r w:rsidRPr="0025250D">
        <w:rPr>
          <w:rFonts w:hint="eastAsia"/>
          <w:rtl/>
        </w:rPr>
        <w:t>م،</w:t>
      </w:r>
      <w:r w:rsidRPr="0025250D">
        <w:rPr>
          <w:rtl/>
        </w:rPr>
        <w:t xml:space="preserve"> ن</w:t>
      </w:r>
      <w:r w:rsidRPr="0025250D">
        <w:rPr>
          <w:rFonts w:hint="cs"/>
          <w:rtl/>
        </w:rPr>
        <w:t>ی</w:t>
      </w:r>
      <w:r w:rsidRPr="0025250D">
        <w:rPr>
          <w:rFonts w:hint="eastAsia"/>
          <w:rtl/>
        </w:rPr>
        <w:t>ر</w:t>
      </w:r>
      <w:r w:rsidRPr="0025250D">
        <w:rPr>
          <w:rtl/>
        </w:rPr>
        <w:t xml:space="preserve"> ع</w:t>
      </w:r>
      <w:r w:rsidRPr="0025250D">
        <w:rPr>
          <w:rFonts w:hint="cs"/>
          <w:rtl/>
        </w:rPr>
        <w:t>ی</w:t>
      </w:r>
      <w:r w:rsidRPr="0025250D">
        <w:rPr>
          <w:rFonts w:hint="eastAsia"/>
          <w:rtl/>
        </w:rPr>
        <w:t>ال</w:t>
      </w:r>
      <w:r w:rsidRPr="0025250D">
        <w:rPr>
          <w:vertAlign w:val="superscript"/>
          <w:rtl/>
        </w:rPr>
        <w:footnoteReference w:id="3369"/>
      </w:r>
      <w:r w:rsidRPr="0025250D">
        <w:rPr>
          <w:rFonts w:hint="eastAsia"/>
          <w:rtl/>
        </w:rPr>
        <w:t>،</w:t>
      </w:r>
      <w:r w:rsidRPr="0025250D">
        <w:rPr>
          <w:rtl/>
        </w:rPr>
        <w:t xml:space="preserve"> 2019</w:t>
      </w:r>
    </w:p>
    <w:p w14:paraId="7EF1CC4C" w14:textId="625541C6" w:rsidR="0009441D" w:rsidRPr="0025250D" w:rsidRDefault="0009441D" w:rsidP="00492C47">
      <w:pPr>
        <w:numPr>
          <w:ilvl w:val="0"/>
          <w:numId w:val="79"/>
        </w:numPr>
        <w:rPr>
          <w:rtl/>
        </w:rPr>
      </w:pPr>
      <w:r w:rsidRPr="0025250D">
        <w:rPr>
          <w:rtl/>
        </w:rPr>
        <w:t>ا</w:t>
      </w:r>
      <w:r w:rsidRPr="0025250D">
        <w:rPr>
          <w:rFonts w:hint="cs"/>
          <w:rtl/>
        </w:rPr>
        <w:t>ی</w:t>
      </w:r>
      <w:r w:rsidRPr="0025250D">
        <w:rPr>
          <w:rFonts w:hint="eastAsia"/>
          <w:rtl/>
        </w:rPr>
        <w:t>ن</w:t>
      </w:r>
      <w:r w:rsidRPr="0025250D">
        <w:rPr>
          <w:rtl/>
        </w:rPr>
        <w:t xml:space="preserve"> آ</w:t>
      </w:r>
      <w:r w:rsidRPr="0025250D">
        <w:rPr>
          <w:rFonts w:hint="cs"/>
          <w:rtl/>
        </w:rPr>
        <w:t>ی</w:t>
      </w:r>
      <w:r w:rsidRPr="0025250D">
        <w:rPr>
          <w:rFonts w:hint="eastAsia"/>
          <w:rtl/>
        </w:rPr>
        <w:t>نده</w:t>
      </w:r>
      <w:r w:rsidRPr="0025250D">
        <w:rPr>
          <w:rtl/>
        </w:rPr>
        <w:t xml:space="preserve"> شماست... آن را به خوب</w:t>
      </w:r>
      <w:r w:rsidRPr="0025250D">
        <w:rPr>
          <w:rFonts w:hint="cs"/>
          <w:rtl/>
        </w:rPr>
        <w:t>ی</w:t>
      </w:r>
      <w:r w:rsidRPr="0025250D">
        <w:rPr>
          <w:rtl/>
        </w:rPr>
        <w:t xml:space="preserve"> تبد</w:t>
      </w:r>
      <w:r w:rsidRPr="0025250D">
        <w:rPr>
          <w:rFonts w:hint="cs"/>
          <w:rtl/>
        </w:rPr>
        <w:t>ی</w:t>
      </w:r>
      <w:r w:rsidRPr="0025250D">
        <w:rPr>
          <w:rFonts w:hint="eastAsia"/>
          <w:rtl/>
        </w:rPr>
        <w:t>ل</w:t>
      </w:r>
      <w:r w:rsidRPr="0025250D">
        <w:rPr>
          <w:rtl/>
        </w:rPr>
        <w:t xml:space="preserve"> کن</w:t>
      </w:r>
      <w:r w:rsidRPr="0025250D">
        <w:rPr>
          <w:rFonts w:hint="cs"/>
          <w:rtl/>
        </w:rPr>
        <w:t>ی</w:t>
      </w:r>
      <w:r w:rsidRPr="0025250D">
        <w:rPr>
          <w:rFonts w:hint="eastAsia"/>
          <w:rtl/>
        </w:rPr>
        <w:t>د</w:t>
      </w:r>
      <w:r w:rsidR="001C62AD" w:rsidRPr="0025250D">
        <w:rPr>
          <w:rtl/>
        </w:rPr>
        <w:t>!</w:t>
      </w:r>
      <w:r w:rsidRPr="0025250D">
        <w:rPr>
          <w:rtl/>
        </w:rPr>
        <w:t xml:space="preserve"> ورن و</w:t>
      </w:r>
      <w:r w:rsidRPr="0025250D">
        <w:rPr>
          <w:rFonts w:hint="cs"/>
          <w:rtl/>
        </w:rPr>
        <w:t>ی</w:t>
      </w:r>
      <w:r w:rsidRPr="0025250D">
        <w:rPr>
          <w:rFonts w:hint="eastAsia"/>
          <w:rtl/>
        </w:rPr>
        <w:t>ل</w:t>
      </w:r>
      <w:r w:rsidRPr="0025250D">
        <w:rPr>
          <w:rtl/>
        </w:rPr>
        <w:t xml:space="preserve"> را</w:t>
      </w:r>
      <w:r w:rsidRPr="0025250D">
        <w:rPr>
          <w:rFonts w:hint="cs"/>
          <w:rtl/>
        </w:rPr>
        <w:t>ی</w:t>
      </w:r>
      <w:r w:rsidRPr="0025250D">
        <w:rPr>
          <w:rFonts w:hint="eastAsia"/>
          <w:rtl/>
        </w:rPr>
        <w:t>ت</w:t>
      </w:r>
      <w:r w:rsidRPr="0025250D">
        <w:rPr>
          <w:vertAlign w:val="superscript"/>
          <w:rtl/>
        </w:rPr>
        <w:footnoteReference w:id="3370"/>
      </w:r>
      <w:r w:rsidRPr="0025250D">
        <w:rPr>
          <w:rFonts w:hint="eastAsia"/>
          <w:rtl/>
        </w:rPr>
        <w:t>،</w:t>
      </w:r>
      <w:r w:rsidRPr="0025250D">
        <w:rPr>
          <w:rtl/>
        </w:rPr>
        <w:t xml:space="preserve"> 2012</w:t>
      </w:r>
    </w:p>
    <w:p w14:paraId="1D378A87" w14:textId="77777777" w:rsidR="0009441D" w:rsidRPr="0025250D" w:rsidRDefault="0009441D" w:rsidP="00492C47">
      <w:pPr>
        <w:numPr>
          <w:ilvl w:val="0"/>
          <w:numId w:val="79"/>
        </w:numPr>
        <w:rPr>
          <w:rtl/>
        </w:rPr>
      </w:pPr>
      <w:r w:rsidRPr="0025250D">
        <w:rPr>
          <w:rtl/>
        </w:rPr>
        <w:t>زندگ</w:t>
      </w:r>
      <w:r w:rsidRPr="0025250D">
        <w:rPr>
          <w:rFonts w:hint="cs"/>
          <w:rtl/>
        </w:rPr>
        <w:t>ی</w:t>
      </w:r>
      <w:r w:rsidRPr="0025250D">
        <w:rPr>
          <w:rtl/>
        </w:rPr>
        <w:t xml:space="preserve"> در راه 80/20، ر</w:t>
      </w:r>
      <w:r w:rsidRPr="0025250D">
        <w:rPr>
          <w:rFonts w:hint="cs"/>
          <w:rtl/>
        </w:rPr>
        <w:t>ی</w:t>
      </w:r>
      <w:r w:rsidRPr="0025250D">
        <w:rPr>
          <w:rFonts w:hint="eastAsia"/>
          <w:rtl/>
        </w:rPr>
        <w:t>چارد</w:t>
      </w:r>
      <w:r w:rsidRPr="0025250D">
        <w:rPr>
          <w:rtl/>
        </w:rPr>
        <w:t xml:space="preserve"> کخ</w:t>
      </w:r>
      <w:r w:rsidRPr="0025250D">
        <w:rPr>
          <w:vertAlign w:val="superscript"/>
          <w:rtl/>
        </w:rPr>
        <w:footnoteReference w:id="3371"/>
      </w:r>
      <w:r w:rsidRPr="0025250D">
        <w:rPr>
          <w:rtl/>
        </w:rPr>
        <w:t>، 2004.</w:t>
      </w:r>
    </w:p>
    <w:p w14:paraId="76CA2DE3" w14:textId="77777777" w:rsidR="0009441D" w:rsidRPr="0025250D" w:rsidRDefault="0009441D" w:rsidP="00492C47">
      <w:pPr>
        <w:numPr>
          <w:ilvl w:val="0"/>
          <w:numId w:val="79"/>
        </w:numPr>
        <w:rPr>
          <w:rtl/>
        </w:rPr>
      </w:pPr>
      <w:r w:rsidRPr="0025250D">
        <w:rPr>
          <w:rtl/>
        </w:rPr>
        <w:t>ذهن</w:t>
      </w:r>
      <w:r w:rsidRPr="0025250D">
        <w:rPr>
          <w:rFonts w:hint="cs"/>
          <w:rtl/>
        </w:rPr>
        <w:t>ی</w:t>
      </w:r>
      <w:r w:rsidRPr="0025250D">
        <w:rPr>
          <w:rFonts w:hint="eastAsia"/>
          <w:rtl/>
        </w:rPr>
        <w:t>ت</w:t>
      </w:r>
      <w:r w:rsidRPr="0025250D">
        <w:rPr>
          <w:rtl/>
        </w:rPr>
        <w:t>: روانشناس</w:t>
      </w:r>
      <w:r w:rsidRPr="0025250D">
        <w:rPr>
          <w:rFonts w:hint="cs"/>
          <w:rtl/>
        </w:rPr>
        <w:t>ی</w:t>
      </w:r>
      <w:r w:rsidRPr="0025250D">
        <w:rPr>
          <w:rtl/>
        </w:rPr>
        <w:t xml:space="preserve"> موفق</w:t>
      </w:r>
      <w:r w:rsidRPr="0025250D">
        <w:rPr>
          <w:rFonts w:hint="cs"/>
          <w:rtl/>
        </w:rPr>
        <w:t>ی</w:t>
      </w:r>
      <w:r w:rsidRPr="0025250D">
        <w:rPr>
          <w:rFonts w:hint="eastAsia"/>
          <w:rtl/>
        </w:rPr>
        <w:t>ت</w:t>
      </w:r>
      <w:r w:rsidRPr="0025250D">
        <w:rPr>
          <w:rtl/>
        </w:rPr>
        <w:t xml:space="preserve"> جد</w:t>
      </w:r>
      <w:r w:rsidRPr="0025250D">
        <w:rPr>
          <w:rFonts w:hint="cs"/>
          <w:rtl/>
        </w:rPr>
        <w:t>ی</w:t>
      </w:r>
      <w:r w:rsidRPr="0025250D">
        <w:rPr>
          <w:rFonts w:hint="eastAsia"/>
          <w:rtl/>
        </w:rPr>
        <w:t>د،</w:t>
      </w:r>
      <w:r w:rsidRPr="0025250D">
        <w:rPr>
          <w:rtl/>
        </w:rPr>
        <w:t xml:space="preserve"> کارول دوک</w:t>
      </w:r>
      <w:r w:rsidRPr="0025250D">
        <w:rPr>
          <w:vertAlign w:val="superscript"/>
          <w:rtl/>
        </w:rPr>
        <w:footnoteReference w:id="3372"/>
      </w:r>
      <w:r w:rsidRPr="0025250D">
        <w:rPr>
          <w:rtl/>
        </w:rPr>
        <w:t>، 2007.</w:t>
      </w:r>
    </w:p>
    <w:p w14:paraId="454F5D4B" w14:textId="77777777" w:rsidR="0009441D" w:rsidRPr="0025250D" w:rsidRDefault="0009441D" w:rsidP="00492C47">
      <w:pPr>
        <w:numPr>
          <w:ilvl w:val="0"/>
          <w:numId w:val="79"/>
        </w:numPr>
        <w:rPr>
          <w:rtl/>
        </w:rPr>
      </w:pPr>
      <w:r w:rsidRPr="0025250D">
        <w:rPr>
          <w:rtl/>
        </w:rPr>
        <w:t>غلبه بر باورها، احساسات و رفتارها</w:t>
      </w:r>
      <w:r w:rsidRPr="0025250D">
        <w:rPr>
          <w:rFonts w:hint="cs"/>
          <w:rtl/>
        </w:rPr>
        <w:t>ی</w:t>
      </w:r>
      <w:r w:rsidRPr="0025250D">
        <w:rPr>
          <w:rtl/>
        </w:rPr>
        <w:t xml:space="preserve"> مخرب، آلبرت ال</w:t>
      </w:r>
      <w:r w:rsidRPr="0025250D">
        <w:rPr>
          <w:rFonts w:hint="cs"/>
          <w:rtl/>
        </w:rPr>
        <w:t>ی</w:t>
      </w:r>
      <w:r w:rsidRPr="0025250D">
        <w:rPr>
          <w:rFonts w:hint="eastAsia"/>
          <w:rtl/>
        </w:rPr>
        <w:t>س</w:t>
      </w:r>
      <w:r w:rsidRPr="0025250D">
        <w:rPr>
          <w:vertAlign w:val="superscript"/>
          <w:rtl/>
        </w:rPr>
        <w:footnoteReference w:id="3373"/>
      </w:r>
      <w:r w:rsidRPr="0025250D">
        <w:rPr>
          <w:rFonts w:hint="eastAsia"/>
          <w:rtl/>
        </w:rPr>
        <w:t>،</w:t>
      </w:r>
      <w:r w:rsidRPr="0025250D">
        <w:rPr>
          <w:rtl/>
        </w:rPr>
        <w:t xml:space="preserve"> 2001</w:t>
      </w:r>
    </w:p>
    <w:p w14:paraId="10BADB98" w14:textId="77777777" w:rsidR="0009441D" w:rsidRPr="0025250D" w:rsidRDefault="0009441D" w:rsidP="00492C47">
      <w:pPr>
        <w:numPr>
          <w:ilvl w:val="0"/>
          <w:numId w:val="79"/>
        </w:numPr>
        <w:rPr>
          <w:rtl/>
        </w:rPr>
      </w:pPr>
      <w:r w:rsidRPr="0025250D">
        <w:rPr>
          <w:rtl/>
        </w:rPr>
        <w:t>اوج عملکرد، استولبرگ و ماگنس</w:t>
      </w:r>
      <w:r w:rsidRPr="0025250D">
        <w:rPr>
          <w:vertAlign w:val="superscript"/>
          <w:rtl/>
        </w:rPr>
        <w:footnoteReference w:id="3374"/>
      </w:r>
      <w:r w:rsidRPr="0025250D">
        <w:rPr>
          <w:rtl/>
        </w:rPr>
        <w:t>، 2017</w:t>
      </w:r>
    </w:p>
    <w:p w14:paraId="6B87056C" w14:textId="7584BDC2" w:rsidR="0009441D" w:rsidRPr="0025250D" w:rsidRDefault="0009441D" w:rsidP="00492C47">
      <w:pPr>
        <w:numPr>
          <w:ilvl w:val="0"/>
          <w:numId w:val="79"/>
        </w:numPr>
        <w:rPr>
          <w:rtl/>
        </w:rPr>
      </w:pPr>
      <w:r w:rsidRPr="0025250D">
        <w:rPr>
          <w:rtl/>
        </w:rPr>
        <w:t>عقلان</w:t>
      </w:r>
      <w:r w:rsidRPr="0025250D">
        <w:rPr>
          <w:rFonts w:hint="cs"/>
          <w:rtl/>
        </w:rPr>
        <w:t>ی</w:t>
      </w:r>
      <w:r w:rsidRPr="0025250D">
        <w:rPr>
          <w:rFonts w:hint="eastAsia"/>
          <w:rtl/>
        </w:rPr>
        <w:t>ت</w:t>
      </w:r>
      <w:r w:rsidRPr="0025250D">
        <w:rPr>
          <w:rtl/>
        </w:rPr>
        <w:t>: چ</w:t>
      </w:r>
      <w:r w:rsidRPr="0025250D">
        <w:rPr>
          <w:rFonts w:hint="cs"/>
          <w:rtl/>
        </w:rPr>
        <w:t>ی</w:t>
      </w:r>
      <w:r w:rsidRPr="0025250D">
        <w:rPr>
          <w:rFonts w:hint="eastAsia"/>
          <w:rtl/>
        </w:rPr>
        <w:t>ست،</w:t>
      </w:r>
      <w:r w:rsidRPr="0025250D">
        <w:rPr>
          <w:rtl/>
        </w:rPr>
        <w:t xml:space="preserve"> چرا کم</w:t>
      </w:r>
      <w:r w:rsidRPr="0025250D">
        <w:rPr>
          <w:rFonts w:hint="cs"/>
          <w:rtl/>
        </w:rPr>
        <w:t>ی</w:t>
      </w:r>
      <w:r w:rsidRPr="0025250D">
        <w:rPr>
          <w:rFonts w:hint="eastAsia"/>
          <w:rtl/>
        </w:rPr>
        <w:t>اب</w:t>
      </w:r>
      <w:r w:rsidRPr="0025250D">
        <w:rPr>
          <w:rtl/>
        </w:rPr>
        <w:t xml:space="preserve"> به نظر می‌رسد</w:t>
      </w:r>
      <w:r w:rsidR="008D6F97" w:rsidRPr="0025250D">
        <w:rPr>
          <w:rtl/>
        </w:rPr>
        <w:t xml:space="preserve"> </w:t>
      </w:r>
      <w:r w:rsidRPr="0025250D">
        <w:rPr>
          <w:rtl/>
        </w:rPr>
        <w:t>و چرا مهم است، است</w:t>
      </w:r>
      <w:r w:rsidRPr="0025250D">
        <w:rPr>
          <w:rFonts w:hint="cs"/>
          <w:rtl/>
        </w:rPr>
        <w:t>ی</w:t>
      </w:r>
      <w:r w:rsidRPr="0025250D">
        <w:rPr>
          <w:rFonts w:hint="eastAsia"/>
          <w:rtl/>
        </w:rPr>
        <w:t>ون</w:t>
      </w:r>
      <w:r w:rsidRPr="0025250D">
        <w:rPr>
          <w:rtl/>
        </w:rPr>
        <w:t xml:space="preserve"> پ</w:t>
      </w:r>
      <w:r w:rsidRPr="0025250D">
        <w:rPr>
          <w:rFonts w:hint="cs"/>
          <w:rtl/>
        </w:rPr>
        <w:t>ی</w:t>
      </w:r>
      <w:r w:rsidRPr="0025250D">
        <w:rPr>
          <w:rFonts w:hint="eastAsia"/>
          <w:rtl/>
        </w:rPr>
        <w:t>نکر</w:t>
      </w:r>
      <w:r w:rsidRPr="0025250D">
        <w:rPr>
          <w:vertAlign w:val="superscript"/>
          <w:rtl/>
        </w:rPr>
        <w:footnoteReference w:id="3375"/>
      </w:r>
      <w:r w:rsidRPr="0025250D">
        <w:rPr>
          <w:rFonts w:hint="eastAsia"/>
          <w:rtl/>
        </w:rPr>
        <w:t>،</w:t>
      </w:r>
      <w:r w:rsidRPr="0025250D">
        <w:rPr>
          <w:rtl/>
        </w:rPr>
        <w:t xml:space="preserve"> 2021</w:t>
      </w:r>
    </w:p>
    <w:p w14:paraId="35E7EAB5" w14:textId="77777777" w:rsidR="0009441D" w:rsidRPr="0025250D" w:rsidRDefault="0009441D" w:rsidP="00492C47">
      <w:pPr>
        <w:numPr>
          <w:ilvl w:val="0"/>
          <w:numId w:val="79"/>
        </w:numPr>
        <w:rPr>
          <w:rtl/>
        </w:rPr>
      </w:pPr>
      <w:r w:rsidRPr="0025250D">
        <w:rPr>
          <w:rtl/>
        </w:rPr>
        <w:t>خ</w:t>
      </w:r>
      <w:r w:rsidRPr="0025250D">
        <w:rPr>
          <w:rFonts w:hint="cs"/>
          <w:rtl/>
        </w:rPr>
        <w:t>ی</w:t>
      </w:r>
      <w:r w:rsidRPr="0025250D">
        <w:rPr>
          <w:rFonts w:hint="eastAsia"/>
          <w:rtl/>
        </w:rPr>
        <w:t>ل</w:t>
      </w:r>
      <w:r w:rsidRPr="0025250D">
        <w:rPr>
          <w:rFonts w:hint="cs"/>
          <w:rtl/>
        </w:rPr>
        <w:t>ی</w:t>
      </w:r>
      <w:r w:rsidRPr="0025250D">
        <w:rPr>
          <w:rtl/>
        </w:rPr>
        <w:t xml:space="preserve"> خوب است که نمی‌توانند شما را ناد</w:t>
      </w:r>
      <w:r w:rsidRPr="0025250D">
        <w:rPr>
          <w:rFonts w:hint="cs"/>
          <w:rtl/>
        </w:rPr>
        <w:t>ی</w:t>
      </w:r>
      <w:r w:rsidRPr="0025250D">
        <w:rPr>
          <w:rFonts w:hint="eastAsia"/>
          <w:rtl/>
        </w:rPr>
        <w:t>ده</w:t>
      </w:r>
      <w:r w:rsidRPr="0025250D">
        <w:rPr>
          <w:rtl/>
        </w:rPr>
        <w:t xml:space="preserve"> بگ</w:t>
      </w:r>
      <w:r w:rsidRPr="0025250D">
        <w:rPr>
          <w:rFonts w:hint="cs"/>
          <w:rtl/>
        </w:rPr>
        <w:t>ی</w:t>
      </w:r>
      <w:r w:rsidRPr="0025250D">
        <w:rPr>
          <w:rFonts w:hint="eastAsia"/>
          <w:rtl/>
        </w:rPr>
        <w:t>رند</w:t>
      </w:r>
      <w:r w:rsidRPr="0025250D">
        <w:rPr>
          <w:rtl/>
        </w:rPr>
        <w:t xml:space="preserve">: چرا مهارت‌ها </w:t>
      </w:r>
      <w:r w:rsidRPr="0025250D">
        <w:rPr>
          <w:rFonts w:hint="cs"/>
          <w:rtl/>
        </w:rPr>
        <w:t>مهمتر از</w:t>
      </w:r>
      <w:r w:rsidRPr="0025250D">
        <w:rPr>
          <w:rtl/>
        </w:rPr>
        <w:t xml:space="preserve"> اشت</w:t>
      </w:r>
      <w:r w:rsidRPr="0025250D">
        <w:rPr>
          <w:rFonts w:hint="cs"/>
          <w:rtl/>
        </w:rPr>
        <w:t>ی</w:t>
      </w:r>
      <w:r w:rsidRPr="0025250D">
        <w:rPr>
          <w:rFonts w:hint="eastAsia"/>
          <w:rtl/>
        </w:rPr>
        <w:t>اق</w:t>
      </w:r>
      <w:r w:rsidRPr="0025250D">
        <w:rPr>
          <w:rFonts w:hint="cs"/>
          <w:rtl/>
        </w:rPr>
        <w:t xml:space="preserve"> هستند</w:t>
      </w:r>
      <w:r w:rsidRPr="0025250D">
        <w:rPr>
          <w:rFonts w:hint="eastAsia"/>
          <w:rtl/>
        </w:rPr>
        <w:t>،</w:t>
      </w:r>
      <w:r w:rsidRPr="0025250D">
        <w:rPr>
          <w:rtl/>
        </w:rPr>
        <w:t xml:space="preserve"> کال ن</w:t>
      </w:r>
      <w:r w:rsidRPr="0025250D">
        <w:rPr>
          <w:rFonts w:hint="cs"/>
          <w:rtl/>
        </w:rPr>
        <w:t>ی</w:t>
      </w:r>
      <w:r w:rsidRPr="0025250D">
        <w:rPr>
          <w:rFonts w:hint="eastAsia"/>
          <w:rtl/>
        </w:rPr>
        <w:t>وپورت</w:t>
      </w:r>
      <w:r w:rsidRPr="0025250D">
        <w:rPr>
          <w:vertAlign w:val="superscript"/>
          <w:rtl/>
        </w:rPr>
        <w:footnoteReference w:id="3376"/>
      </w:r>
      <w:r w:rsidRPr="0025250D">
        <w:rPr>
          <w:rFonts w:hint="eastAsia"/>
          <w:rtl/>
        </w:rPr>
        <w:t>،</w:t>
      </w:r>
      <w:r w:rsidRPr="0025250D">
        <w:rPr>
          <w:rtl/>
        </w:rPr>
        <w:t xml:space="preserve"> 2012</w:t>
      </w:r>
    </w:p>
    <w:p w14:paraId="1D23FFF1" w14:textId="55292F0B" w:rsidR="0009441D" w:rsidRPr="0025250D" w:rsidRDefault="0009441D" w:rsidP="00492C47">
      <w:pPr>
        <w:numPr>
          <w:ilvl w:val="0"/>
          <w:numId w:val="79"/>
        </w:numPr>
        <w:rPr>
          <w:rtl/>
        </w:rPr>
      </w:pPr>
      <w:r w:rsidRPr="0025250D">
        <w:rPr>
          <w:rtl/>
        </w:rPr>
        <w:t>انتخاب‌های هوشمند: راهنما</w:t>
      </w:r>
      <w:r w:rsidRPr="0025250D">
        <w:rPr>
          <w:rFonts w:hint="cs"/>
          <w:rtl/>
        </w:rPr>
        <w:t>ی</w:t>
      </w:r>
      <w:r w:rsidRPr="0025250D">
        <w:rPr>
          <w:rtl/>
        </w:rPr>
        <w:t xml:space="preserve"> </w:t>
      </w:r>
      <w:r w:rsidR="0008779C" w:rsidRPr="0025250D">
        <w:rPr>
          <w:rtl/>
        </w:rPr>
        <w:t>تصمیم‌گیری</w:t>
      </w:r>
      <w:r w:rsidRPr="0025250D">
        <w:rPr>
          <w:rtl/>
        </w:rPr>
        <w:t xml:space="preserve"> بهتر، جان هاموند و</w:t>
      </w:r>
      <w:r w:rsidRPr="0025250D">
        <w:rPr>
          <w:rFonts w:hint="cs"/>
          <w:rtl/>
        </w:rPr>
        <w:t xml:space="preserve"> همکاران</w:t>
      </w:r>
      <w:r w:rsidRPr="0025250D">
        <w:rPr>
          <w:vertAlign w:val="superscript"/>
          <w:rtl/>
        </w:rPr>
        <w:footnoteReference w:id="3377"/>
      </w:r>
      <w:r w:rsidRPr="0025250D">
        <w:rPr>
          <w:rFonts w:hint="cs"/>
          <w:rtl/>
        </w:rPr>
        <w:t>، 2002</w:t>
      </w:r>
    </w:p>
    <w:p w14:paraId="091E8065" w14:textId="77777777" w:rsidR="0009441D" w:rsidRPr="0025250D" w:rsidRDefault="0009441D" w:rsidP="00492C47">
      <w:pPr>
        <w:numPr>
          <w:ilvl w:val="0"/>
          <w:numId w:val="79"/>
        </w:numPr>
        <w:rPr>
          <w:rtl/>
        </w:rPr>
      </w:pPr>
      <w:r w:rsidRPr="0025250D">
        <w:rPr>
          <w:rtl/>
        </w:rPr>
        <w:t>هوش اجتماع</w:t>
      </w:r>
      <w:r w:rsidRPr="0025250D">
        <w:rPr>
          <w:rFonts w:hint="cs"/>
          <w:rtl/>
        </w:rPr>
        <w:t>ی</w:t>
      </w:r>
      <w:r w:rsidRPr="0025250D">
        <w:rPr>
          <w:rtl/>
        </w:rPr>
        <w:t>: علم جد</w:t>
      </w:r>
      <w:r w:rsidRPr="0025250D">
        <w:rPr>
          <w:rFonts w:hint="cs"/>
          <w:rtl/>
        </w:rPr>
        <w:t>ی</w:t>
      </w:r>
      <w:r w:rsidRPr="0025250D">
        <w:rPr>
          <w:rFonts w:hint="eastAsia"/>
          <w:rtl/>
        </w:rPr>
        <w:t>د</w:t>
      </w:r>
      <w:r w:rsidRPr="0025250D">
        <w:rPr>
          <w:rtl/>
        </w:rPr>
        <w:t xml:space="preserve"> روابط انسان</w:t>
      </w:r>
      <w:r w:rsidRPr="0025250D">
        <w:rPr>
          <w:rFonts w:hint="cs"/>
          <w:rtl/>
        </w:rPr>
        <w:t>ی</w:t>
      </w:r>
      <w:r w:rsidRPr="0025250D">
        <w:rPr>
          <w:rFonts w:hint="eastAsia"/>
          <w:rtl/>
        </w:rPr>
        <w:t>،</w:t>
      </w:r>
      <w:r w:rsidRPr="0025250D">
        <w:rPr>
          <w:rtl/>
        </w:rPr>
        <w:t xml:space="preserve"> دان</w:t>
      </w:r>
      <w:r w:rsidRPr="0025250D">
        <w:rPr>
          <w:rFonts w:hint="cs"/>
          <w:rtl/>
        </w:rPr>
        <w:t>ی</w:t>
      </w:r>
      <w:r w:rsidRPr="0025250D">
        <w:rPr>
          <w:rFonts w:hint="eastAsia"/>
          <w:rtl/>
        </w:rPr>
        <w:t>ل</w:t>
      </w:r>
      <w:r w:rsidRPr="0025250D">
        <w:rPr>
          <w:rtl/>
        </w:rPr>
        <w:t xml:space="preserve"> گولمن</w:t>
      </w:r>
      <w:r w:rsidRPr="0025250D">
        <w:rPr>
          <w:vertAlign w:val="superscript"/>
          <w:rtl/>
        </w:rPr>
        <w:footnoteReference w:id="3378"/>
      </w:r>
      <w:r w:rsidRPr="0025250D">
        <w:rPr>
          <w:rtl/>
        </w:rPr>
        <w:t>، 2007</w:t>
      </w:r>
    </w:p>
    <w:p w14:paraId="72304CE0" w14:textId="77777777" w:rsidR="0009441D" w:rsidRPr="0025250D" w:rsidRDefault="0009441D" w:rsidP="00492C47">
      <w:pPr>
        <w:numPr>
          <w:ilvl w:val="0"/>
          <w:numId w:val="79"/>
        </w:numPr>
        <w:rPr>
          <w:rtl/>
        </w:rPr>
      </w:pPr>
      <w:r w:rsidRPr="0025250D">
        <w:rPr>
          <w:rtl/>
        </w:rPr>
        <w:t>قدم به قدم: چگونه مسئول</w:t>
      </w:r>
      <w:r w:rsidRPr="0025250D">
        <w:rPr>
          <w:rFonts w:hint="cs"/>
          <w:rtl/>
        </w:rPr>
        <w:t>ی</w:t>
      </w:r>
      <w:r w:rsidRPr="0025250D">
        <w:rPr>
          <w:rFonts w:hint="eastAsia"/>
          <w:rtl/>
        </w:rPr>
        <w:t>ت</w:t>
      </w:r>
      <w:r w:rsidRPr="0025250D">
        <w:rPr>
          <w:rtl/>
        </w:rPr>
        <w:t xml:space="preserve"> پذ</w:t>
      </w:r>
      <w:r w:rsidRPr="0025250D">
        <w:rPr>
          <w:rFonts w:hint="cs"/>
          <w:rtl/>
        </w:rPr>
        <w:t>ی</w:t>
      </w:r>
      <w:r w:rsidRPr="0025250D">
        <w:rPr>
          <w:rFonts w:hint="eastAsia"/>
          <w:rtl/>
        </w:rPr>
        <w:t>ر</w:t>
      </w:r>
      <w:r w:rsidRPr="0025250D">
        <w:rPr>
          <w:rFonts w:hint="cs"/>
          <w:rtl/>
        </w:rPr>
        <w:t>ی</w:t>
      </w:r>
      <w:r w:rsidRPr="0025250D">
        <w:rPr>
          <w:rtl/>
        </w:rPr>
        <w:t xml:space="preserve"> همه چ</w:t>
      </w:r>
      <w:r w:rsidRPr="0025250D">
        <w:rPr>
          <w:rFonts w:hint="cs"/>
          <w:rtl/>
        </w:rPr>
        <w:t>ی</w:t>
      </w:r>
      <w:r w:rsidRPr="0025250D">
        <w:rPr>
          <w:rFonts w:hint="eastAsia"/>
          <w:rtl/>
        </w:rPr>
        <w:t>ز</w:t>
      </w:r>
      <w:r w:rsidRPr="0025250D">
        <w:rPr>
          <w:rtl/>
        </w:rPr>
        <w:t xml:space="preserve"> را تغ</w:t>
      </w:r>
      <w:r w:rsidRPr="0025250D">
        <w:rPr>
          <w:rFonts w:hint="cs"/>
          <w:rtl/>
        </w:rPr>
        <w:t>یی</w:t>
      </w:r>
      <w:r w:rsidRPr="0025250D">
        <w:rPr>
          <w:rFonts w:hint="eastAsia"/>
          <w:rtl/>
        </w:rPr>
        <w:t>ر</w:t>
      </w:r>
      <w:r w:rsidRPr="0025250D">
        <w:rPr>
          <w:rtl/>
        </w:rPr>
        <w:t xml:space="preserve"> می‌دهد، و</w:t>
      </w:r>
      <w:r w:rsidRPr="0025250D">
        <w:rPr>
          <w:rFonts w:hint="cs"/>
          <w:rtl/>
        </w:rPr>
        <w:t>ی</w:t>
      </w:r>
      <w:r w:rsidRPr="0025250D">
        <w:rPr>
          <w:rFonts w:hint="eastAsia"/>
          <w:rtl/>
        </w:rPr>
        <w:t>را</w:t>
      </w:r>
      <w:r w:rsidRPr="0025250D">
        <w:rPr>
          <w:rFonts w:hint="cs"/>
          <w:rtl/>
        </w:rPr>
        <w:t>ی</w:t>
      </w:r>
      <w:r w:rsidRPr="0025250D">
        <w:rPr>
          <w:rFonts w:hint="eastAsia"/>
          <w:rtl/>
        </w:rPr>
        <w:t>ش</w:t>
      </w:r>
      <w:r w:rsidRPr="0025250D">
        <w:rPr>
          <w:rtl/>
        </w:rPr>
        <w:t xml:space="preserve"> دوم، جان ا</w:t>
      </w:r>
      <w:r w:rsidRPr="0025250D">
        <w:rPr>
          <w:rFonts w:hint="cs"/>
          <w:rtl/>
        </w:rPr>
        <w:t>ی</w:t>
      </w:r>
      <w:r w:rsidRPr="0025250D">
        <w:rPr>
          <w:rFonts w:hint="eastAsia"/>
          <w:rtl/>
        </w:rPr>
        <w:t>زو</w:t>
      </w:r>
      <w:r w:rsidRPr="0025250D">
        <w:rPr>
          <w:vertAlign w:val="superscript"/>
          <w:rtl/>
        </w:rPr>
        <w:footnoteReference w:id="3379"/>
      </w:r>
      <w:r w:rsidRPr="0025250D">
        <w:rPr>
          <w:rFonts w:hint="eastAsia"/>
          <w:rtl/>
        </w:rPr>
        <w:t>،</w:t>
      </w:r>
      <w:r w:rsidRPr="0025250D">
        <w:rPr>
          <w:rtl/>
        </w:rPr>
        <w:t xml:space="preserve"> 2020</w:t>
      </w:r>
    </w:p>
    <w:p w14:paraId="42021154" w14:textId="77777777" w:rsidR="0009441D" w:rsidRPr="0025250D" w:rsidRDefault="0009441D" w:rsidP="00492C47">
      <w:pPr>
        <w:numPr>
          <w:ilvl w:val="0"/>
          <w:numId w:val="79"/>
        </w:numPr>
        <w:rPr>
          <w:rtl/>
        </w:rPr>
      </w:pPr>
      <w:r w:rsidRPr="0025250D">
        <w:rPr>
          <w:rFonts w:hint="cs"/>
          <w:rtl/>
        </w:rPr>
        <w:t xml:space="preserve">یابنده قدرت 2.0، </w:t>
      </w:r>
      <w:r w:rsidRPr="0025250D">
        <w:rPr>
          <w:rtl/>
        </w:rPr>
        <w:t>تام راث</w:t>
      </w:r>
      <w:r w:rsidRPr="0025250D">
        <w:rPr>
          <w:vertAlign w:val="superscript"/>
          <w:rtl/>
        </w:rPr>
        <w:footnoteReference w:id="3380"/>
      </w:r>
      <w:r w:rsidRPr="0025250D">
        <w:rPr>
          <w:rtl/>
        </w:rPr>
        <w:t>، 2007</w:t>
      </w:r>
    </w:p>
    <w:p w14:paraId="645FA957" w14:textId="77777777" w:rsidR="0009441D" w:rsidRPr="0025250D" w:rsidRDefault="0009441D" w:rsidP="00492C47">
      <w:pPr>
        <w:numPr>
          <w:ilvl w:val="0"/>
          <w:numId w:val="79"/>
        </w:numPr>
        <w:rPr>
          <w:rtl/>
        </w:rPr>
      </w:pPr>
      <w:r w:rsidRPr="0025250D">
        <w:rPr>
          <w:rtl/>
        </w:rPr>
        <w:t>سابل</w:t>
      </w:r>
      <w:r w:rsidRPr="0025250D">
        <w:rPr>
          <w:rFonts w:hint="cs"/>
          <w:rtl/>
        </w:rPr>
        <w:t>ی</w:t>
      </w:r>
      <w:r w:rsidRPr="0025250D">
        <w:rPr>
          <w:rFonts w:hint="eastAsia"/>
          <w:rtl/>
        </w:rPr>
        <w:t>م</w:t>
      </w:r>
      <w:r w:rsidRPr="0025250D">
        <w:rPr>
          <w:rFonts w:hint="cs"/>
          <w:rtl/>
        </w:rPr>
        <w:t>ی</w:t>
      </w:r>
      <w:r w:rsidRPr="0025250D">
        <w:rPr>
          <w:rFonts w:hint="eastAsia"/>
          <w:rtl/>
        </w:rPr>
        <w:t>نال</w:t>
      </w:r>
      <w:r w:rsidRPr="0025250D">
        <w:rPr>
          <w:rtl/>
        </w:rPr>
        <w:t>: چگونه ناخودآگاه شما بر رفتار شما حکومت می‌کند، لئونارد ملود</w:t>
      </w:r>
      <w:r w:rsidRPr="0025250D">
        <w:rPr>
          <w:rFonts w:hint="cs"/>
          <w:rtl/>
        </w:rPr>
        <w:t>ی</w:t>
      </w:r>
      <w:r w:rsidRPr="0025250D">
        <w:rPr>
          <w:rFonts w:hint="eastAsia"/>
          <w:rtl/>
        </w:rPr>
        <w:t>نو</w:t>
      </w:r>
      <w:r w:rsidRPr="0025250D">
        <w:rPr>
          <w:vertAlign w:val="superscript"/>
          <w:rtl/>
        </w:rPr>
        <w:footnoteReference w:id="3381"/>
      </w:r>
      <w:r w:rsidRPr="0025250D">
        <w:rPr>
          <w:rFonts w:hint="eastAsia"/>
          <w:rtl/>
        </w:rPr>
        <w:t>،</w:t>
      </w:r>
      <w:r w:rsidRPr="0025250D">
        <w:rPr>
          <w:rtl/>
        </w:rPr>
        <w:t xml:space="preserve"> 2013</w:t>
      </w:r>
    </w:p>
    <w:p w14:paraId="44F0690A" w14:textId="77777777" w:rsidR="0009441D" w:rsidRPr="0025250D" w:rsidRDefault="0009441D" w:rsidP="00492C47">
      <w:pPr>
        <w:numPr>
          <w:ilvl w:val="0"/>
          <w:numId w:val="79"/>
        </w:numPr>
        <w:rPr>
          <w:rtl/>
        </w:rPr>
      </w:pPr>
      <w:r w:rsidRPr="0025250D">
        <w:rPr>
          <w:rFonts w:hint="cs"/>
          <w:rtl/>
        </w:rPr>
        <w:t>موج سواری بر</w:t>
      </w:r>
      <w:r w:rsidRPr="0025250D">
        <w:rPr>
          <w:rtl/>
        </w:rPr>
        <w:t xml:space="preserve"> سونام</w:t>
      </w:r>
      <w:r w:rsidRPr="0025250D">
        <w:rPr>
          <w:rFonts w:hint="cs"/>
          <w:rtl/>
        </w:rPr>
        <w:t>ی</w:t>
      </w:r>
      <w:r w:rsidRPr="0025250D">
        <w:rPr>
          <w:rtl/>
        </w:rPr>
        <w:t>: مقدمه‌ای بر هوش مصنوع</w:t>
      </w:r>
      <w:r w:rsidRPr="0025250D">
        <w:rPr>
          <w:rFonts w:hint="cs"/>
          <w:rtl/>
        </w:rPr>
        <w:t>ی</w:t>
      </w:r>
      <w:r w:rsidRPr="0025250D">
        <w:rPr>
          <w:rtl/>
        </w:rPr>
        <w:t xml:space="preserve"> و گز</w:t>
      </w:r>
      <w:r w:rsidRPr="0025250D">
        <w:rPr>
          <w:rFonts w:hint="cs"/>
          <w:rtl/>
        </w:rPr>
        <w:t>ی</w:t>
      </w:r>
      <w:r w:rsidRPr="0025250D">
        <w:rPr>
          <w:rFonts w:hint="eastAsia"/>
          <w:rtl/>
        </w:rPr>
        <w:t>نه</w:t>
      </w:r>
      <w:r w:rsidRPr="0025250D">
        <w:rPr>
          <w:rtl/>
        </w:rPr>
        <w:t xml:space="preserve"> ها</w:t>
      </w:r>
      <w:r w:rsidRPr="0025250D">
        <w:rPr>
          <w:rFonts w:hint="cs"/>
          <w:rtl/>
        </w:rPr>
        <w:t>یی</w:t>
      </w:r>
      <w:r w:rsidRPr="0025250D">
        <w:rPr>
          <w:rtl/>
        </w:rPr>
        <w:t xml:space="preserve"> برا</w:t>
      </w:r>
      <w:r w:rsidRPr="0025250D">
        <w:rPr>
          <w:rFonts w:hint="cs"/>
          <w:rtl/>
        </w:rPr>
        <w:t>ی</w:t>
      </w:r>
      <w:r w:rsidRPr="0025250D">
        <w:rPr>
          <w:rtl/>
        </w:rPr>
        <w:t xml:space="preserve"> پاسخگو</w:t>
      </w:r>
      <w:r w:rsidRPr="0025250D">
        <w:rPr>
          <w:rFonts w:hint="cs"/>
          <w:rtl/>
        </w:rPr>
        <w:t>یی</w:t>
      </w:r>
      <w:r w:rsidRPr="0025250D">
        <w:rPr>
          <w:rFonts w:hint="eastAsia"/>
          <w:rtl/>
        </w:rPr>
        <w:t>،</w:t>
      </w:r>
      <w:r w:rsidRPr="0025250D">
        <w:rPr>
          <w:rtl/>
        </w:rPr>
        <w:t xml:space="preserve"> تاد کلس</w:t>
      </w:r>
      <w:r w:rsidRPr="0025250D">
        <w:rPr>
          <w:rFonts w:hint="cs"/>
          <w:rtl/>
        </w:rPr>
        <w:t>ی</w:t>
      </w:r>
      <w:r w:rsidRPr="0025250D">
        <w:rPr>
          <w:vertAlign w:val="superscript"/>
          <w:rtl/>
        </w:rPr>
        <w:footnoteReference w:id="3382"/>
      </w:r>
      <w:r w:rsidRPr="0025250D">
        <w:rPr>
          <w:rFonts w:hint="eastAsia"/>
          <w:rtl/>
        </w:rPr>
        <w:t>،</w:t>
      </w:r>
      <w:r w:rsidRPr="0025250D">
        <w:rPr>
          <w:rtl/>
        </w:rPr>
        <w:t xml:space="preserve"> 2018</w:t>
      </w:r>
    </w:p>
    <w:p w14:paraId="55FA76D4" w14:textId="77777777" w:rsidR="0009441D" w:rsidRPr="0025250D" w:rsidRDefault="0009441D" w:rsidP="00492C47">
      <w:pPr>
        <w:numPr>
          <w:ilvl w:val="0"/>
          <w:numId w:val="79"/>
        </w:numPr>
        <w:rPr>
          <w:rtl/>
        </w:rPr>
      </w:pPr>
      <w:r w:rsidRPr="0025250D">
        <w:rPr>
          <w:rtl/>
        </w:rPr>
        <w:t>آموزش درباره آ</w:t>
      </w:r>
      <w:r w:rsidRPr="0025250D">
        <w:rPr>
          <w:rFonts w:hint="cs"/>
          <w:rtl/>
        </w:rPr>
        <w:t>ی</w:t>
      </w:r>
      <w:r w:rsidRPr="0025250D">
        <w:rPr>
          <w:rFonts w:hint="eastAsia"/>
          <w:rtl/>
        </w:rPr>
        <w:t>نده،</w:t>
      </w:r>
      <w:r w:rsidRPr="0025250D">
        <w:rPr>
          <w:rtl/>
        </w:rPr>
        <w:t xml:space="preserve"> اسقف و ها</w:t>
      </w:r>
      <w:r w:rsidRPr="0025250D">
        <w:rPr>
          <w:rFonts w:hint="cs"/>
          <w:rtl/>
        </w:rPr>
        <w:t>ی</w:t>
      </w:r>
      <w:r w:rsidRPr="0025250D">
        <w:rPr>
          <w:rFonts w:hint="eastAsia"/>
          <w:rtl/>
        </w:rPr>
        <w:t>نز</w:t>
      </w:r>
      <w:r w:rsidRPr="0025250D">
        <w:rPr>
          <w:vertAlign w:val="superscript"/>
          <w:rtl/>
        </w:rPr>
        <w:footnoteReference w:id="3383"/>
      </w:r>
      <w:r w:rsidRPr="0025250D">
        <w:rPr>
          <w:rFonts w:hint="eastAsia"/>
          <w:rtl/>
        </w:rPr>
        <w:t>،</w:t>
      </w:r>
      <w:r w:rsidRPr="0025250D">
        <w:rPr>
          <w:rtl/>
        </w:rPr>
        <w:t xml:space="preserve"> 2012</w:t>
      </w:r>
    </w:p>
    <w:p w14:paraId="04AD86D3" w14:textId="77777777" w:rsidR="0009441D" w:rsidRPr="0025250D" w:rsidRDefault="0009441D" w:rsidP="00492C47">
      <w:pPr>
        <w:numPr>
          <w:ilvl w:val="0"/>
          <w:numId w:val="79"/>
        </w:numPr>
        <w:rPr>
          <w:rtl/>
        </w:rPr>
      </w:pPr>
      <w:r w:rsidRPr="0025250D">
        <w:rPr>
          <w:rtl/>
        </w:rPr>
        <w:t>ز</w:t>
      </w:r>
      <w:r w:rsidRPr="0025250D">
        <w:rPr>
          <w:rFonts w:hint="cs"/>
          <w:rtl/>
        </w:rPr>
        <w:t>ی</w:t>
      </w:r>
      <w:r w:rsidRPr="0025250D">
        <w:rPr>
          <w:rFonts w:hint="eastAsia"/>
          <w:rtl/>
        </w:rPr>
        <w:t>ست</w:t>
      </w:r>
      <w:r w:rsidRPr="0025250D">
        <w:rPr>
          <w:rtl/>
        </w:rPr>
        <w:t xml:space="preserve"> شناس</w:t>
      </w:r>
      <w:r w:rsidRPr="0025250D">
        <w:rPr>
          <w:rFonts w:hint="cs"/>
          <w:rtl/>
        </w:rPr>
        <w:t>ی</w:t>
      </w:r>
      <w:r w:rsidRPr="0025250D">
        <w:rPr>
          <w:rtl/>
        </w:rPr>
        <w:t xml:space="preserve"> باور، و</w:t>
      </w:r>
      <w:r w:rsidRPr="0025250D">
        <w:rPr>
          <w:rFonts w:hint="cs"/>
          <w:rtl/>
        </w:rPr>
        <w:t>ی</w:t>
      </w:r>
      <w:r w:rsidRPr="0025250D">
        <w:rPr>
          <w:rFonts w:hint="eastAsia"/>
          <w:rtl/>
        </w:rPr>
        <w:t>را</w:t>
      </w:r>
      <w:r w:rsidRPr="0025250D">
        <w:rPr>
          <w:rFonts w:hint="cs"/>
          <w:rtl/>
        </w:rPr>
        <w:t>ی</w:t>
      </w:r>
      <w:r w:rsidRPr="0025250D">
        <w:rPr>
          <w:rFonts w:hint="eastAsia"/>
          <w:rtl/>
        </w:rPr>
        <w:t>ش</w:t>
      </w:r>
      <w:r w:rsidRPr="0025250D">
        <w:rPr>
          <w:rtl/>
        </w:rPr>
        <w:t xml:space="preserve"> دوم، بروس ل</w:t>
      </w:r>
      <w:r w:rsidRPr="0025250D">
        <w:rPr>
          <w:rFonts w:hint="cs"/>
          <w:rtl/>
        </w:rPr>
        <w:t>ی</w:t>
      </w:r>
      <w:r w:rsidRPr="0025250D">
        <w:rPr>
          <w:rFonts w:hint="eastAsia"/>
          <w:rtl/>
        </w:rPr>
        <w:t>پتون</w:t>
      </w:r>
      <w:r w:rsidRPr="0025250D">
        <w:rPr>
          <w:vertAlign w:val="superscript"/>
          <w:rtl/>
        </w:rPr>
        <w:footnoteReference w:id="3384"/>
      </w:r>
      <w:r w:rsidRPr="0025250D">
        <w:rPr>
          <w:rFonts w:hint="eastAsia"/>
          <w:rtl/>
        </w:rPr>
        <w:t>،</w:t>
      </w:r>
      <w:r w:rsidRPr="0025250D">
        <w:rPr>
          <w:rtl/>
        </w:rPr>
        <w:t xml:space="preserve"> 2015</w:t>
      </w:r>
    </w:p>
    <w:p w14:paraId="1019FE09" w14:textId="77777777" w:rsidR="0009441D" w:rsidRPr="0025250D" w:rsidRDefault="0009441D" w:rsidP="00492C47">
      <w:pPr>
        <w:numPr>
          <w:ilvl w:val="0"/>
          <w:numId w:val="79"/>
        </w:numPr>
        <w:rPr>
          <w:rtl/>
        </w:rPr>
      </w:pPr>
      <w:r w:rsidRPr="0025250D">
        <w:rPr>
          <w:rtl/>
        </w:rPr>
        <w:t>مورد</w:t>
      </w:r>
      <w:r w:rsidRPr="0025250D">
        <w:rPr>
          <w:rFonts w:hint="cs"/>
          <w:rtl/>
        </w:rPr>
        <w:t>ی</w:t>
      </w:r>
      <w:r w:rsidRPr="0025250D">
        <w:rPr>
          <w:rtl/>
        </w:rPr>
        <w:t xml:space="preserve"> برا</w:t>
      </w:r>
      <w:r w:rsidRPr="0025250D">
        <w:rPr>
          <w:rFonts w:hint="cs"/>
          <w:rtl/>
        </w:rPr>
        <w:t>ی</w:t>
      </w:r>
      <w:r w:rsidRPr="0025250D">
        <w:rPr>
          <w:rtl/>
        </w:rPr>
        <w:t xml:space="preserve"> خوش ب</w:t>
      </w:r>
      <w:r w:rsidRPr="0025250D">
        <w:rPr>
          <w:rFonts w:hint="cs"/>
          <w:rtl/>
        </w:rPr>
        <w:t>ی</w:t>
      </w:r>
      <w:r w:rsidRPr="0025250D">
        <w:rPr>
          <w:rFonts w:hint="eastAsia"/>
          <w:rtl/>
        </w:rPr>
        <w:t>ن</w:t>
      </w:r>
      <w:r w:rsidRPr="0025250D">
        <w:rPr>
          <w:rFonts w:hint="cs"/>
          <w:rtl/>
        </w:rPr>
        <w:t>ی</w:t>
      </w:r>
      <w:r w:rsidRPr="0025250D">
        <w:rPr>
          <w:rtl/>
        </w:rPr>
        <w:t xml:space="preserve"> منطق</w:t>
      </w:r>
      <w:r w:rsidRPr="0025250D">
        <w:rPr>
          <w:rFonts w:hint="cs"/>
          <w:rtl/>
        </w:rPr>
        <w:t>ی</w:t>
      </w:r>
      <w:r w:rsidRPr="0025250D">
        <w:rPr>
          <w:rFonts w:hint="eastAsia"/>
          <w:rtl/>
        </w:rPr>
        <w:t>،</w:t>
      </w:r>
      <w:r w:rsidRPr="0025250D">
        <w:rPr>
          <w:rtl/>
        </w:rPr>
        <w:t xml:space="preserve"> فرانک راب</w:t>
      </w:r>
      <w:r w:rsidRPr="0025250D">
        <w:rPr>
          <w:rFonts w:hint="cs"/>
          <w:rtl/>
        </w:rPr>
        <w:t>ی</w:t>
      </w:r>
      <w:r w:rsidRPr="0025250D">
        <w:rPr>
          <w:rFonts w:hint="eastAsia"/>
          <w:rtl/>
        </w:rPr>
        <w:t>نسون</w:t>
      </w:r>
      <w:r w:rsidRPr="0025250D">
        <w:rPr>
          <w:vertAlign w:val="superscript"/>
          <w:rtl/>
        </w:rPr>
        <w:footnoteReference w:id="3385"/>
      </w:r>
      <w:r w:rsidRPr="0025250D">
        <w:rPr>
          <w:rFonts w:hint="eastAsia"/>
          <w:rtl/>
        </w:rPr>
        <w:t>،</w:t>
      </w:r>
      <w:r w:rsidRPr="0025250D">
        <w:rPr>
          <w:rtl/>
        </w:rPr>
        <w:t xml:space="preserve"> 2009</w:t>
      </w:r>
    </w:p>
    <w:p w14:paraId="50334748" w14:textId="77777777" w:rsidR="0009441D" w:rsidRPr="0025250D" w:rsidRDefault="0009441D" w:rsidP="00492C47">
      <w:pPr>
        <w:numPr>
          <w:ilvl w:val="0"/>
          <w:numId w:val="79"/>
        </w:numPr>
        <w:rPr>
          <w:rtl/>
        </w:rPr>
      </w:pPr>
      <w:r w:rsidRPr="0025250D">
        <w:rPr>
          <w:rtl/>
        </w:rPr>
        <w:t>دن</w:t>
      </w:r>
      <w:r w:rsidRPr="0025250D">
        <w:rPr>
          <w:rFonts w:hint="cs"/>
          <w:rtl/>
        </w:rPr>
        <w:t>ی</w:t>
      </w:r>
      <w:r w:rsidRPr="0025250D">
        <w:rPr>
          <w:rFonts w:hint="eastAsia"/>
          <w:rtl/>
        </w:rPr>
        <w:t>ا</w:t>
      </w:r>
      <w:r w:rsidRPr="0025250D">
        <w:rPr>
          <w:rFonts w:hint="cs"/>
          <w:rtl/>
        </w:rPr>
        <w:t>ی</w:t>
      </w:r>
      <w:r w:rsidRPr="0025250D">
        <w:rPr>
          <w:rtl/>
        </w:rPr>
        <w:t xml:space="preserve"> جن زده: علم به عنوان شمع در تار</w:t>
      </w:r>
      <w:r w:rsidRPr="0025250D">
        <w:rPr>
          <w:rFonts w:hint="cs"/>
          <w:rtl/>
        </w:rPr>
        <w:t>ی</w:t>
      </w:r>
      <w:r w:rsidRPr="0025250D">
        <w:rPr>
          <w:rFonts w:hint="eastAsia"/>
          <w:rtl/>
        </w:rPr>
        <w:t>ک</w:t>
      </w:r>
      <w:r w:rsidRPr="0025250D">
        <w:rPr>
          <w:rFonts w:hint="cs"/>
          <w:rtl/>
        </w:rPr>
        <w:t>ی</w:t>
      </w:r>
      <w:r w:rsidRPr="0025250D">
        <w:rPr>
          <w:rFonts w:hint="eastAsia"/>
          <w:rtl/>
        </w:rPr>
        <w:t>،</w:t>
      </w:r>
      <w:r w:rsidRPr="0025250D">
        <w:rPr>
          <w:rtl/>
        </w:rPr>
        <w:t xml:space="preserve"> کارل س</w:t>
      </w:r>
      <w:r w:rsidRPr="0025250D">
        <w:rPr>
          <w:rFonts w:hint="cs"/>
          <w:rtl/>
        </w:rPr>
        <w:t>ی</w:t>
      </w:r>
      <w:r w:rsidRPr="0025250D">
        <w:rPr>
          <w:rFonts w:hint="eastAsia"/>
          <w:rtl/>
        </w:rPr>
        <w:t>گان</w:t>
      </w:r>
      <w:r w:rsidRPr="0025250D">
        <w:rPr>
          <w:vertAlign w:val="superscript"/>
          <w:rtl/>
        </w:rPr>
        <w:footnoteReference w:id="3386"/>
      </w:r>
      <w:r w:rsidRPr="0025250D">
        <w:rPr>
          <w:rFonts w:hint="eastAsia"/>
          <w:rtl/>
        </w:rPr>
        <w:t>،</w:t>
      </w:r>
      <w:r w:rsidRPr="0025250D">
        <w:rPr>
          <w:rtl/>
        </w:rPr>
        <w:t xml:space="preserve"> 1997</w:t>
      </w:r>
    </w:p>
    <w:p w14:paraId="5A426ED8" w14:textId="77777777" w:rsidR="0009441D" w:rsidRPr="0025250D" w:rsidRDefault="0009441D" w:rsidP="00492C47">
      <w:pPr>
        <w:numPr>
          <w:ilvl w:val="0"/>
          <w:numId w:val="79"/>
        </w:numPr>
        <w:rPr>
          <w:rtl/>
        </w:rPr>
      </w:pPr>
      <w:r w:rsidRPr="0025250D">
        <w:rPr>
          <w:rtl/>
        </w:rPr>
        <w:t>تست مارشمالو: تسلط بر خود کنترل</w:t>
      </w:r>
      <w:r w:rsidRPr="0025250D">
        <w:rPr>
          <w:rFonts w:hint="cs"/>
          <w:rtl/>
        </w:rPr>
        <w:t>ی</w:t>
      </w:r>
      <w:r w:rsidRPr="0025250D">
        <w:rPr>
          <w:rFonts w:hint="eastAsia"/>
          <w:rtl/>
        </w:rPr>
        <w:t>،</w:t>
      </w:r>
      <w:r w:rsidRPr="0025250D">
        <w:rPr>
          <w:rtl/>
        </w:rPr>
        <w:t xml:space="preserve"> والتر م</w:t>
      </w:r>
      <w:r w:rsidRPr="0025250D">
        <w:rPr>
          <w:rFonts w:hint="cs"/>
          <w:rtl/>
        </w:rPr>
        <w:t>ی</w:t>
      </w:r>
      <w:r w:rsidRPr="0025250D">
        <w:rPr>
          <w:rFonts w:hint="eastAsia"/>
          <w:rtl/>
        </w:rPr>
        <w:t>شل</w:t>
      </w:r>
      <w:r w:rsidRPr="0025250D">
        <w:rPr>
          <w:vertAlign w:val="superscript"/>
          <w:rtl/>
        </w:rPr>
        <w:footnoteReference w:id="3387"/>
      </w:r>
      <w:r w:rsidRPr="0025250D">
        <w:rPr>
          <w:rFonts w:hint="eastAsia"/>
          <w:rtl/>
        </w:rPr>
        <w:t>،</w:t>
      </w:r>
      <w:r w:rsidRPr="0025250D">
        <w:rPr>
          <w:rtl/>
        </w:rPr>
        <w:t xml:space="preserve"> 2015</w:t>
      </w:r>
    </w:p>
    <w:p w14:paraId="41A33E91" w14:textId="28ED35CD" w:rsidR="0009441D" w:rsidRPr="0025250D" w:rsidRDefault="0009441D" w:rsidP="00492C47">
      <w:pPr>
        <w:numPr>
          <w:ilvl w:val="0"/>
          <w:numId w:val="79"/>
        </w:numPr>
        <w:rPr>
          <w:rtl/>
        </w:rPr>
      </w:pPr>
      <w:r w:rsidRPr="0025250D">
        <w:rPr>
          <w:rtl/>
        </w:rPr>
        <w:t>راهنما</w:t>
      </w:r>
      <w:r w:rsidRPr="0025250D">
        <w:rPr>
          <w:rFonts w:hint="cs"/>
          <w:rtl/>
        </w:rPr>
        <w:t>ی</w:t>
      </w:r>
      <w:r w:rsidRPr="0025250D">
        <w:rPr>
          <w:rtl/>
        </w:rPr>
        <w:t xml:space="preserve"> </w:t>
      </w:r>
      <w:r w:rsidR="00F50EB4" w:rsidRPr="0025250D">
        <w:rPr>
          <w:rtl/>
        </w:rPr>
        <w:t>سرمایه‌گذاری</w:t>
      </w:r>
      <w:r w:rsidRPr="0025250D">
        <w:rPr>
          <w:rtl/>
        </w:rPr>
        <w:t xml:space="preserve"> احمق </w:t>
      </w:r>
      <w:r w:rsidRPr="0025250D">
        <w:rPr>
          <w:rFonts w:hint="cs"/>
          <w:rtl/>
        </w:rPr>
        <w:t>رنگارنگ</w:t>
      </w:r>
      <w:r w:rsidRPr="0025250D">
        <w:rPr>
          <w:rtl/>
        </w:rPr>
        <w:t>، و</w:t>
      </w:r>
      <w:r w:rsidRPr="0025250D">
        <w:rPr>
          <w:rFonts w:hint="cs"/>
          <w:rtl/>
        </w:rPr>
        <w:t>ی</w:t>
      </w:r>
      <w:r w:rsidRPr="0025250D">
        <w:rPr>
          <w:rFonts w:hint="eastAsia"/>
          <w:rtl/>
        </w:rPr>
        <w:t>را</w:t>
      </w:r>
      <w:r w:rsidRPr="0025250D">
        <w:rPr>
          <w:rFonts w:hint="cs"/>
          <w:rtl/>
        </w:rPr>
        <w:t>ی</w:t>
      </w:r>
      <w:r w:rsidRPr="0025250D">
        <w:rPr>
          <w:rFonts w:hint="eastAsia"/>
          <w:rtl/>
        </w:rPr>
        <w:t>ش</w:t>
      </w:r>
      <w:r w:rsidRPr="0025250D">
        <w:rPr>
          <w:rtl/>
        </w:rPr>
        <w:t xml:space="preserve"> سوم، تام و د</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rtl/>
        </w:rPr>
        <w:t xml:space="preserve"> گاردنر</w:t>
      </w:r>
      <w:r w:rsidRPr="0025250D">
        <w:rPr>
          <w:vertAlign w:val="superscript"/>
          <w:rtl/>
        </w:rPr>
        <w:footnoteReference w:id="3388"/>
      </w:r>
      <w:r w:rsidRPr="0025250D">
        <w:rPr>
          <w:rtl/>
        </w:rPr>
        <w:t>، 2017</w:t>
      </w:r>
    </w:p>
    <w:p w14:paraId="2EA4224F" w14:textId="77777777" w:rsidR="0009441D" w:rsidRPr="0025250D" w:rsidRDefault="0009441D" w:rsidP="00492C47">
      <w:pPr>
        <w:numPr>
          <w:ilvl w:val="0"/>
          <w:numId w:val="79"/>
        </w:numPr>
        <w:rPr>
          <w:rtl/>
        </w:rPr>
      </w:pPr>
      <w:r w:rsidRPr="0025250D">
        <w:rPr>
          <w:rtl/>
        </w:rPr>
        <w:t>قدرت مثبت تفکر منف</w:t>
      </w:r>
      <w:r w:rsidRPr="0025250D">
        <w:rPr>
          <w:rFonts w:hint="cs"/>
          <w:rtl/>
        </w:rPr>
        <w:t>ی</w:t>
      </w:r>
      <w:r w:rsidRPr="0025250D">
        <w:rPr>
          <w:rFonts w:hint="eastAsia"/>
          <w:rtl/>
        </w:rPr>
        <w:t>،</w:t>
      </w:r>
      <w:r w:rsidRPr="0025250D">
        <w:rPr>
          <w:rtl/>
        </w:rPr>
        <w:t xml:space="preserve"> جول</w:t>
      </w:r>
      <w:r w:rsidRPr="0025250D">
        <w:rPr>
          <w:rFonts w:hint="cs"/>
          <w:rtl/>
        </w:rPr>
        <w:t>ی</w:t>
      </w:r>
      <w:r w:rsidRPr="0025250D">
        <w:rPr>
          <w:rtl/>
        </w:rPr>
        <w:t xml:space="preserve"> نورم</w:t>
      </w:r>
      <w:r w:rsidRPr="0025250D">
        <w:rPr>
          <w:vertAlign w:val="superscript"/>
          <w:rtl/>
        </w:rPr>
        <w:footnoteReference w:id="3389"/>
      </w:r>
      <w:r w:rsidRPr="0025250D">
        <w:rPr>
          <w:rtl/>
        </w:rPr>
        <w:t>، 2001</w:t>
      </w:r>
    </w:p>
    <w:p w14:paraId="69C4FE2C" w14:textId="77777777" w:rsidR="0009441D" w:rsidRPr="0025250D" w:rsidRDefault="0009441D" w:rsidP="00492C47">
      <w:pPr>
        <w:numPr>
          <w:ilvl w:val="0"/>
          <w:numId w:val="79"/>
        </w:numPr>
        <w:rPr>
          <w:rtl/>
        </w:rPr>
      </w:pPr>
      <w:r w:rsidRPr="0025250D">
        <w:rPr>
          <w:rtl/>
        </w:rPr>
        <w:t>روانشناس</w:t>
      </w:r>
      <w:r w:rsidRPr="0025250D">
        <w:rPr>
          <w:rFonts w:hint="cs"/>
          <w:rtl/>
        </w:rPr>
        <w:t>ی</w:t>
      </w:r>
      <w:r w:rsidRPr="0025250D">
        <w:rPr>
          <w:rtl/>
        </w:rPr>
        <w:t xml:space="preserve"> پول، مورگان هاوسل</w:t>
      </w:r>
      <w:r w:rsidRPr="0025250D">
        <w:rPr>
          <w:vertAlign w:val="superscript"/>
          <w:rtl/>
        </w:rPr>
        <w:footnoteReference w:id="3390"/>
      </w:r>
      <w:r w:rsidRPr="0025250D">
        <w:rPr>
          <w:rtl/>
        </w:rPr>
        <w:t>، 2020</w:t>
      </w:r>
    </w:p>
    <w:p w14:paraId="4557D725" w14:textId="77777777" w:rsidR="0009441D" w:rsidRPr="0025250D" w:rsidRDefault="0009441D" w:rsidP="00492C47">
      <w:pPr>
        <w:numPr>
          <w:ilvl w:val="0"/>
          <w:numId w:val="79"/>
        </w:numPr>
        <w:rPr>
          <w:rtl/>
        </w:rPr>
      </w:pPr>
      <w:r w:rsidRPr="0025250D">
        <w:rPr>
          <w:rtl/>
        </w:rPr>
        <w:t>اسطوره عزت نفس، آلبرت ال</w:t>
      </w:r>
      <w:r w:rsidRPr="0025250D">
        <w:rPr>
          <w:rFonts w:hint="cs"/>
          <w:rtl/>
        </w:rPr>
        <w:t>ی</w:t>
      </w:r>
      <w:r w:rsidRPr="0025250D">
        <w:rPr>
          <w:rFonts w:hint="eastAsia"/>
          <w:rtl/>
        </w:rPr>
        <w:t>س</w:t>
      </w:r>
      <w:r w:rsidRPr="0025250D">
        <w:rPr>
          <w:vertAlign w:val="superscript"/>
          <w:rtl/>
        </w:rPr>
        <w:footnoteReference w:id="3391"/>
      </w:r>
      <w:r w:rsidRPr="0025250D">
        <w:rPr>
          <w:rFonts w:hint="eastAsia"/>
          <w:rtl/>
        </w:rPr>
        <w:t>،</w:t>
      </w:r>
      <w:r w:rsidRPr="0025250D">
        <w:rPr>
          <w:rtl/>
        </w:rPr>
        <w:t xml:space="preserve"> 2005</w:t>
      </w:r>
    </w:p>
    <w:p w14:paraId="55E57544" w14:textId="77777777" w:rsidR="0009441D" w:rsidRPr="0025250D" w:rsidRDefault="0009441D" w:rsidP="00492C47">
      <w:pPr>
        <w:numPr>
          <w:ilvl w:val="0"/>
          <w:numId w:val="79"/>
        </w:numPr>
        <w:rPr>
          <w:rtl/>
        </w:rPr>
      </w:pPr>
      <w:r w:rsidRPr="0025250D">
        <w:rPr>
          <w:rtl/>
        </w:rPr>
        <w:t>روان-سا</w:t>
      </w:r>
      <w:r w:rsidRPr="0025250D">
        <w:rPr>
          <w:rFonts w:hint="cs"/>
          <w:rtl/>
        </w:rPr>
        <w:t>ی</w:t>
      </w:r>
      <w:r w:rsidRPr="0025250D">
        <w:rPr>
          <w:rFonts w:hint="eastAsia"/>
          <w:rtl/>
        </w:rPr>
        <w:t>برنت</w:t>
      </w:r>
      <w:r w:rsidRPr="0025250D">
        <w:rPr>
          <w:rFonts w:hint="cs"/>
          <w:rtl/>
        </w:rPr>
        <w:t>ی</w:t>
      </w:r>
      <w:r w:rsidRPr="0025250D">
        <w:rPr>
          <w:rFonts w:hint="eastAsia"/>
          <w:rtl/>
        </w:rPr>
        <w:t>ک</w:t>
      </w:r>
      <w:r w:rsidRPr="0025250D">
        <w:rPr>
          <w:rtl/>
        </w:rPr>
        <w:t xml:space="preserve"> جد</w:t>
      </w:r>
      <w:r w:rsidRPr="0025250D">
        <w:rPr>
          <w:rFonts w:hint="cs"/>
          <w:rtl/>
        </w:rPr>
        <w:t>ی</w:t>
      </w:r>
      <w:r w:rsidRPr="0025250D">
        <w:rPr>
          <w:rFonts w:hint="eastAsia"/>
          <w:rtl/>
        </w:rPr>
        <w:t>د،</w:t>
      </w:r>
      <w:r w:rsidRPr="0025250D">
        <w:rPr>
          <w:rtl/>
        </w:rPr>
        <w:t xml:space="preserve"> ماکسول مالد</w:t>
      </w:r>
      <w:r w:rsidRPr="0025250D">
        <w:rPr>
          <w:vertAlign w:val="superscript"/>
          <w:rtl/>
        </w:rPr>
        <w:footnoteReference w:id="3392"/>
      </w:r>
      <w:r w:rsidRPr="0025250D">
        <w:rPr>
          <w:rtl/>
        </w:rPr>
        <w:t>، 1960/2002</w:t>
      </w:r>
    </w:p>
    <w:p w14:paraId="5ED08ED6" w14:textId="77777777" w:rsidR="0009441D" w:rsidRPr="0025250D" w:rsidRDefault="0009441D" w:rsidP="00492C47">
      <w:pPr>
        <w:numPr>
          <w:ilvl w:val="0"/>
          <w:numId w:val="79"/>
        </w:numPr>
        <w:rPr>
          <w:rtl/>
        </w:rPr>
      </w:pPr>
      <w:r w:rsidRPr="0025250D">
        <w:rPr>
          <w:rtl/>
        </w:rPr>
        <w:t>تلسکوپ خوشب</w:t>
      </w:r>
      <w:r w:rsidRPr="0025250D">
        <w:rPr>
          <w:rFonts w:hint="cs"/>
          <w:rtl/>
        </w:rPr>
        <w:t>ی</w:t>
      </w:r>
      <w:r w:rsidRPr="0025250D">
        <w:rPr>
          <w:rFonts w:hint="eastAsia"/>
          <w:rtl/>
        </w:rPr>
        <w:t>ن</w:t>
      </w:r>
      <w:r w:rsidRPr="0025250D">
        <w:rPr>
          <w:rtl/>
        </w:rPr>
        <w:t>: فکر کردن به آ</w:t>
      </w:r>
      <w:r w:rsidRPr="0025250D">
        <w:rPr>
          <w:rFonts w:hint="cs"/>
          <w:rtl/>
        </w:rPr>
        <w:t>ی</w:t>
      </w:r>
      <w:r w:rsidRPr="0025250D">
        <w:rPr>
          <w:rFonts w:hint="eastAsia"/>
          <w:rtl/>
        </w:rPr>
        <w:t>نده</w:t>
      </w:r>
      <w:r w:rsidRPr="0025250D">
        <w:rPr>
          <w:rtl/>
        </w:rPr>
        <w:t xml:space="preserve"> در عصر ب</w:t>
      </w:r>
      <w:r w:rsidRPr="0025250D">
        <w:rPr>
          <w:rFonts w:hint="cs"/>
          <w:rtl/>
        </w:rPr>
        <w:t>ی</w:t>
      </w:r>
      <w:r w:rsidRPr="0025250D">
        <w:rPr>
          <w:rtl/>
        </w:rPr>
        <w:t xml:space="preserve"> پروا، ب</w:t>
      </w:r>
      <w:r w:rsidRPr="0025250D">
        <w:rPr>
          <w:rFonts w:hint="cs"/>
          <w:rtl/>
        </w:rPr>
        <w:t>ی</w:t>
      </w:r>
      <w:r w:rsidRPr="0025250D">
        <w:rPr>
          <w:rFonts w:hint="eastAsia"/>
          <w:rtl/>
        </w:rPr>
        <w:t>نا</w:t>
      </w:r>
      <w:r w:rsidRPr="0025250D">
        <w:rPr>
          <w:rtl/>
        </w:rPr>
        <w:t xml:space="preserve"> ونکاتارامان</w:t>
      </w:r>
      <w:r w:rsidRPr="0025250D">
        <w:rPr>
          <w:vertAlign w:val="superscript"/>
          <w:rtl/>
        </w:rPr>
        <w:footnoteReference w:id="3393"/>
      </w:r>
      <w:r w:rsidRPr="0025250D">
        <w:rPr>
          <w:rtl/>
        </w:rPr>
        <w:t>، 2019</w:t>
      </w:r>
    </w:p>
    <w:p w14:paraId="02049F7B" w14:textId="77777777" w:rsidR="0009441D" w:rsidRPr="0025250D" w:rsidRDefault="0009441D" w:rsidP="00492C47">
      <w:pPr>
        <w:numPr>
          <w:ilvl w:val="0"/>
          <w:numId w:val="79"/>
        </w:numPr>
        <w:rPr>
          <w:rtl/>
        </w:rPr>
      </w:pPr>
      <w:r w:rsidRPr="0025250D">
        <w:rPr>
          <w:rtl/>
        </w:rPr>
        <w:t>ذهن سازمان‌</w:t>
      </w:r>
      <w:r w:rsidRPr="0025250D">
        <w:rPr>
          <w:rFonts w:hint="cs"/>
          <w:rtl/>
        </w:rPr>
        <w:t>ی</w:t>
      </w:r>
      <w:r w:rsidRPr="0025250D">
        <w:rPr>
          <w:rFonts w:hint="eastAsia"/>
          <w:rtl/>
        </w:rPr>
        <w:t>افته</w:t>
      </w:r>
      <w:r w:rsidRPr="0025250D">
        <w:rPr>
          <w:rtl/>
        </w:rPr>
        <w:t>: درست فکر کردن در عصر اضافه بار اطلاعات، دن لو</w:t>
      </w:r>
      <w:r w:rsidRPr="0025250D">
        <w:rPr>
          <w:rFonts w:hint="cs"/>
          <w:rtl/>
        </w:rPr>
        <w:t>ی</w:t>
      </w:r>
      <w:r w:rsidRPr="0025250D">
        <w:rPr>
          <w:rFonts w:hint="eastAsia"/>
          <w:rtl/>
        </w:rPr>
        <w:t>ت</w:t>
      </w:r>
      <w:r w:rsidRPr="0025250D">
        <w:rPr>
          <w:rFonts w:hint="cs"/>
          <w:rtl/>
        </w:rPr>
        <w:t>ی</w:t>
      </w:r>
      <w:r w:rsidRPr="0025250D">
        <w:rPr>
          <w:rFonts w:hint="eastAsia"/>
          <w:rtl/>
        </w:rPr>
        <w:t>ن</w:t>
      </w:r>
      <w:r w:rsidRPr="0025250D">
        <w:rPr>
          <w:vertAlign w:val="superscript"/>
          <w:rtl/>
        </w:rPr>
        <w:footnoteReference w:id="3394"/>
      </w:r>
      <w:r w:rsidRPr="0025250D">
        <w:rPr>
          <w:rFonts w:hint="eastAsia"/>
          <w:rtl/>
        </w:rPr>
        <w:t>،</w:t>
      </w:r>
      <w:r w:rsidRPr="0025250D">
        <w:rPr>
          <w:rtl/>
        </w:rPr>
        <w:t xml:space="preserve"> ۲۰۱۴</w:t>
      </w:r>
    </w:p>
    <w:p w14:paraId="0666EF34" w14:textId="77777777" w:rsidR="0009441D" w:rsidRPr="0025250D" w:rsidRDefault="0009441D" w:rsidP="00492C47">
      <w:pPr>
        <w:numPr>
          <w:ilvl w:val="0"/>
          <w:numId w:val="79"/>
        </w:numPr>
        <w:rPr>
          <w:rtl/>
        </w:rPr>
      </w:pPr>
      <w:r w:rsidRPr="0025250D">
        <w:rPr>
          <w:rtl/>
        </w:rPr>
        <w:t>قدرت بد: چگونه تأث</w:t>
      </w:r>
      <w:r w:rsidRPr="0025250D">
        <w:rPr>
          <w:rFonts w:hint="cs"/>
          <w:rtl/>
        </w:rPr>
        <w:t>ی</w:t>
      </w:r>
      <w:r w:rsidRPr="0025250D">
        <w:rPr>
          <w:rFonts w:hint="eastAsia"/>
          <w:rtl/>
        </w:rPr>
        <w:t>ر</w:t>
      </w:r>
      <w:r w:rsidRPr="0025250D">
        <w:rPr>
          <w:rtl/>
        </w:rPr>
        <w:t xml:space="preserve"> منف</w:t>
      </w:r>
      <w:r w:rsidRPr="0025250D">
        <w:rPr>
          <w:rFonts w:hint="cs"/>
          <w:rtl/>
        </w:rPr>
        <w:t>ی</w:t>
      </w:r>
      <w:r w:rsidRPr="0025250D">
        <w:rPr>
          <w:rtl/>
        </w:rPr>
        <w:t xml:space="preserve"> بر ما حاکم است، ت</w:t>
      </w:r>
      <w:r w:rsidRPr="0025250D">
        <w:rPr>
          <w:rFonts w:hint="cs"/>
          <w:rtl/>
        </w:rPr>
        <w:t>ی</w:t>
      </w:r>
      <w:r w:rsidRPr="0025250D">
        <w:rPr>
          <w:rFonts w:hint="eastAsia"/>
          <w:rtl/>
        </w:rPr>
        <w:t>رن</w:t>
      </w:r>
      <w:r w:rsidRPr="0025250D">
        <w:rPr>
          <w:rFonts w:hint="cs"/>
          <w:rtl/>
        </w:rPr>
        <w:t>ی</w:t>
      </w:r>
      <w:r w:rsidRPr="0025250D">
        <w:rPr>
          <w:rtl/>
        </w:rPr>
        <w:t xml:space="preserve"> و باوما</w:t>
      </w:r>
      <w:r w:rsidRPr="0025250D">
        <w:rPr>
          <w:rFonts w:hint="cs"/>
          <w:rtl/>
        </w:rPr>
        <w:t>ی</w:t>
      </w:r>
      <w:r w:rsidRPr="0025250D">
        <w:rPr>
          <w:rFonts w:hint="eastAsia"/>
          <w:rtl/>
        </w:rPr>
        <w:t>ستر</w:t>
      </w:r>
      <w:r w:rsidRPr="0025250D">
        <w:rPr>
          <w:vertAlign w:val="superscript"/>
          <w:rtl/>
        </w:rPr>
        <w:footnoteReference w:id="3395"/>
      </w:r>
      <w:r w:rsidRPr="0025250D">
        <w:rPr>
          <w:rFonts w:hint="eastAsia"/>
          <w:rtl/>
        </w:rPr>
        <w:t>،</w:t>
      </w:r>
      <w:r w:rsidRPr="0025250D">
        <w:rPr>
          <w:rtl/>
        </w:rPr>
        <w:t xml:space="preserve"> 2019</w:t>
      </w:r>
    </w:p>
    <w:p w14:paraId="35F3563D" w14:textId="77777777" w:rsidR="0009441D" w:rsidRPr="0025250D" w:rsidRDefault="0009441D" w:rsidP="00492C47">
      <w:pPr>
        <w:numPr>
          <w:ilvl w:val="0"/>
          <w:numId w:val="79"/>
        </w:numPr>
        <w:rPr>
          <w:rtl/>
        </w:rPr>
      </w:pPr>
      <w:r w:rsidRPr="0025250D">
        <w:rPr>
          <w:rtl/>
        </w:rPr>
        <w:t>قدرت عادت، چارلز داه</w:t>
      </w:r>
      <w:r w:rsidRPr="0025250D">
        <w:rPr>
          <w:rFonts w:hint="cs"/>
          <w:rtl/>
        </w:rPr>
        <w:t>ی</w:t>
      </w:r>
      <w:r w:rsidRPr="0025250D">
        <w:rPr>
          <w:rFonts w:hint="eastAsia"/>
          <w:rtl/>
        </w:rPr>
        <w:t>گ</w:t>
      </w:r>
      <w:r w:rsidRPr="0025250D">
        <w:rPr>
          <w:vertAlign w:val="superscript"/>
          <w:rtl/>
        </w:rPr>
        <w:footnoteReference w:id="3396"/>
      </w:r>
      <w:r w:rsidRPr="0025250D">
        <w:rPr>
          <w:rFonts w:hint="eastAsia"/>
          <w:rtl/>
        </w:rPr>
        <w:t>،</w:t>
      </w:r>
      <w:r w:rsidRPr="0025250D">
        <w:rPr>
          <w:rtl/>
        </w:rPr>
        <w:t xml:space="preserve"> 2014</w:t>
      </w:r>
    </w:p>
    <w:p w14:paraId="53404368" w14:textId="3B831D91" w:rsidR="0009441D" w:rsidRPr="0025250D" w:rsidRDefault="0009441D" w:rsidP="00492C47">
      <w:pPr>
        <w:numPr>
          <w:ilvl w:val="0"/>
          <w:numId w:val="79"/>
        </w:numPr>
        <w:rPr>
          <w:rtl/>
        </w:rPr>
      </w:pPr>
      <w:r w:rsidRPr="0025250D">
        <w:rPr>
          <w:rtl/>
        </w:rPr>
        <w:t xml:space="preserve">قدرت </w:t>
      </w:r>
      <w:r w:rsidR="00F50EB4" w:rsidRPr="0025250D">
        <w:rPr>
          <w:rtl/>
        </w:rPr>
        <w:t>سرمایه‌گذاری</w:t>
      </w:r>
      <w:r w:rsidRPr="0025250D">
        <w:rPr>
          <w:rtl/>
        </w:rPr>
        <w:t xml:space="preserve"> تأث</w:t>
      </w:r>
      <w:r w:rsidRPr="0025250D">
        <w:rPr>
          <w:rFonts w:hint="cs"/>
          <w:rtl/>
        </w:rPr>
        <w:t>ی</w:t>
      </w:r>
      <w:r w:rsidRPr="0025250D">
        <w:rPr>
          <w:rFonts w:hint="eastAsia"/>
          <w:rtl/>
        </w:rPr>
        <w:t>ر،</w:t>
      </w:r>
      <w:r w:rsidRPr="0025250D">
        <w:rPr>
          <w:rtl/>
        </w:rPr>
        <w:t xml:space="preserve"> رود</w:t>
      </w:r>
      <w:r w:rsidRPr="0025250D">
        <w:rPr>
          <w:rFonts w:hint="cs"/>
          <w:rtl/>
        </w:rPr>
        <w:t>ی</w:t>
      </w:r>
      <w:r w:rsidRPr="0025250D">
        <w:rPr>
          <w:rFonts w:hint="eastAsia"/>
          <w:rtl/>
        </w:rPr>
        <w:t>ن</w:t>
      </w:r>
      <w:r w:rsidRPr="0025250D">
        <w:rPr>
          <w:rtl/>
        </w:rPr>
        <w:t xml:space="preserve"> و براندنبورگ</w:t>
      </w:r>
      <w:r w:rsidRPr="0025250D">
        <w:rPr>
          <w:vertAlign w:val="superscript"/>
          <w:rtl/>
        </w:rPr>
        <w:footnoteReference w:id="3397"/>
      </w:r>
      <w:r w:rsidRPr="0025250D">
        <w:rPr>
          <w:rtl/>
        </w:rPr>
        <w:t>، 2014</w:t>
      </w:r>
    </w:p>
    <w:p w14:paraId="6366D4DB" w14:textId="77777777" w:rsidR="0009441D" w:rsidRPr="0025250D" w:rsidRDefault="0009441D" w:rsidP="00492C47">
      <w:pPr>
        <w:numPr>
          <w:ilvl w:val="0"/>
          <w:numId w:val="79"/>
        </w:numPr>
        <w:rPr>
          <w:rtl/>
        </w:rPr>
      </w:pPr>
      <w:r w:rsidRPr="0025250D">
        <w:rPr>
          <w:rtl/>
        </w:rPr>
        <w:t>ق</w:t>
      </w:r>
      <w:r w:rsidRPr="0025250D">
        <w:rPr>
          <w:rFonts w:hint="cs"/>
          <w:rtl/>
        </w:rPr>
        <w:t>ی</w:t>
      </w:r>
      <w:r w:rsidRPr="0025250D">
        <w:rPr>
          <w:rFonts w:hint="eastAsia"/>
          <w:rtl/>
        </w:rPr>
        <w:t>مت</w:t>
      </w:r>
      <w:r w:rsidRPr="0025250D">
        <w:rPr>
          <w:rtl/>
        </w:rPr>
        <w:t xml:space="preserve"> امت</w:t>
      </w:r>
      <w:r w:rsidRPr="0025250D">
        <w:rPr>
          <w:rFonts w:hint="cs"/>
          <w:rtl/>
        </w:rPr>
        <w:t>ی</w:t>
      </w:r>
      <w:r w:rsidRPr="0025250D">
        <w:rPr>
          <w:rFonts w:hint="eastAsia"/>
          <w:rtl/>
        </w:rPr>
        <w:t>از</w:t>
      </w:r>
      <w:r w:rsidRPr="0025250D">
        <w:rPr>
          <w:rtl/>
        </w:rPr>
        <w:t>: چگونه فشار و مز</w:t>
      </w:r>
      <w:r w:rsidRPr="0025250D">
        <w:rPr>
          <w:rFonts w:hint="cs"/>
          <w:rtl/>
        </w:rPr>
        <w:t>ی</w:t>
      </w:r>
      <w:r w:rsidRPr="0025250D">
        <w:rPr>
          <w:rFonts w:hint="eastAsia"/>
          <w:rtl/>
        </w:rPr>
        <w:t>ت</w:t>
      </w:r>
      <w:r w:rsidRPr="0025250D">
        <w:rPr>
          <w:rtl/>
        </w:rPr>
        <w:t xml:space="preserve"> والد</w:t>
      </w:r>
      <w:r w:rsidRPr="0025250D">
        <w:rPr>
          <w:rFonts w:hint="cs"/>
          <w:rtl/>
        </w:rPr>
        <w:t>ی</w:t>
      </w:r>
      <w:r w:rsidRPr="0025250D">
        <w:rPr>
          <w:rFonts w:hint="eastAsia"/>
          <w:rtl/>
        </w:rPr>
        <w:t>ن</w:t>
      </w:r>
      <w:r w:rsidRPr="0025250D">
        <w:rPr>
          <w:rtl/>
        </w:rPr>
        <w:t xml:space="preserve"> به کودکان آس</w:t>
      </w:r>
      <w:r w:rsidRPr="0025250D">
        <w:rPr>
          <w:rFonts w:hint="cs"/>
          <w:rtl/>
        </w:rPr>
        <w:t>ی</w:t>
      </w:r>
      <w:r w:rsidRPr="0025250D">
        <w:rPr>
          <w:rFonts w:hint="eastAsia"/>
          <w:rtl/>
        </w:rPr>
        <w:t>ب</w:t>
      </w:r>
      <w:r w:rsidRPr="0025250D">
        <w:rPr>
          <w:rtl/>
        </w:rPr>
        <w:t xml:space="preserve"> می‌رساند، مدل</w:t>
      </w:r>
      <w:r w:rsidRPr="0025250D">
        <w:rPr>
          <w:rFonts w:hint="cs"/>
          <w:rtl/>
        </w:rPr>
        <w:t>ی</w:t>
      </w:r>
      <w:r w:rsidRPr="0025250D">
        <w:rPr>
          <w:rFonts w:hint="eastAsia"/>
          <w:rtl/>
        </w:rPr>
        <w:t>ن</w:t>
      </w:r>
      <w:r w:rsidRPr="0025250D">
        <w:rPr>
          <w:rtl/>
        </w:rPr>
        <w:t xml:space="preserve"> لو</w:t>
      </w:r>
      <w:r w:rsidRPr="0025250D">
        <w:rPr>
          <w:rFonts w:hint="cs"/>
          <w:rtl/>
        </w:rPr>
        <w:t>ی</w:t>
      </w:r>
      <w:r w:rsidRPr="0025250D">
        <w:rPr>
          <w:rFonts w:hint="eastAsia"/>
          <w:rtl/>
        </w:rPr>
        <w:t>ن</w:t>
      </w:r>
      <w:r w:rsidRPr="0025250D">
        <w:rPr>
          <w:vertAlign w:val="superscript"/>
          <w:rtl/>
        </w:rPr>
        <w:footnoteReference w:id="3398"/>
      </w:r>
      <w:r w:rsidRPr="0025250D">
        <w:rPr>
          <w:rFonts w:hint="eastAsia"/>
          <w:rtl/>
        </w:rPr>
        <w:t>،</w:t>
      </w:r>
      <w:r w:rsidRPr="0025250D">
        <w:rPr>
          <w:rtl/>
        </w:rPr>
        <w:t xml:space="preserve"> 2008</w:t>
      </w:r>
    </w:p>
    <w:p w14:paraId="7B00BADC" w14:textId="77777777" w:rsidR="0009441D" w:rsidRPr="0025250D" w:rsidRDefault="0009441D" w:rsidP="00492C47">
      <w:pPr>
        <w:numPr>
          <w:ilvl w:val="0"/>
          <w:numId w:val="79"/>
        </w:numPr>
        <w:rPr>
          <w:rtl/>
        </w:rPr>
      </w:pPr>
      <w:r w:rsidRPr="0025250D">
        <w:rPr>
          <w:rtl/>
        </w:rPr>
        <w:t>ذهن بازگشت</w:t>
      </w:r>
      <w:r w:rsidRPr="0025250D">
        <w:rPr>
          <w:rFonts w:hint="cs"/>
          <w:rtl/>
        </w:rPr>
        <w:t>ی</w:t>
      </w:r>
      <w:r w:rsidRPr="0025250D">
        <w:rPr>
          <w:rtl/>
        </w:rPr>
        <w:t>: زبان، اند</w:t>
      </w:r>
      <w:r w:rsidRPr="0025250D">
        <w:rPr>
          <w:rFonts w:hint="cs"/>
          <w:rtl/>
        </w:rPr>
        <w:t>ی</w:t>
      </w:r>
      <w:r w:rsidRPr="0025250D">
        <w:rPr>
          <w:rFonts w:hint="eastAsia"/>
          <w:rtl/>
        </w:rPr>
        <w:t>شه</w:t>
      </w:r>
      <w:r w:rsidRPr="0025250D">
        <w:rPr>
          <w:rtl/>
        </w:rPr>
        <w:t xml:space="preserve"> و تمدن، ما</w:t>
      </w:r>
      <w:r w:rsidRPr="0025250D">
        <w:rPr>
          <w:rFonts w:hint="cs"/>
          <w:rtl/>
        </w:rPr>
        <w:t>ی</w:t>
      </w:r>
      <w:r w:rsidRPr="0025250D">
        <w:rPr>
          <w:rFonts w:hint="eastAsia"/>
          <w:rtl/>
        </w:rPr>
        <w:t>کل</w:t>
      </w:r>
      <w:r w:rsidRPr="0025250D">
        <w:rPr>
          <w:rtl/>
        </w:rPr>
        <w:t xml:space="preserve"> کوربال</w:t>
      </w:r>
      <w:r w:rsidRPr="0025250D">
        <w:rPr>
          <w:rFonts w:hint="cs"/>
          <w:rtl/>
        </w:rPr>
        <w:t>ی</w:t>
      </w:r>
      <w:r w:rsidRPr="0025250D">
        <w:rPr>
          <w:rFonts w:hint="eastAsia"/>
          <w:rtl/>
        </w:rPr>
        <w:t>س</w:t>
      </w:r>
      <w:r w:rsidRPr="0025250D">
        <w:rPr>
          <w:vertAlign w:val="superscript"/>
          <w:rtl/>
        </w:rPr>
        <w:footnoteReference w:id="3399"/>
      </w:r>
      <w:r w:rsidRPr="0025250D">
        <w:rPr>
          <w:rFonts w:hint="eastAsia"/>
          <w:rtl/>
        </w:rPr>
        <w:t>،</w:t>
      </w:r>
      <w:r w:rsidRPr="0025250D">
        <w:rPr>
          <w:rtl/>
        </w:rPr>
        <w:t xml:space="preserve"> 2014</w:t>
      </w:r>
    </w:p>
    <w:p w14:paraId="660D79F0" w14:textId="77777777" w:rsidR="0009441D" w:rsidRPr="0025250D" w:rsidRDefault="0009441D" w:rsidP="00492C47">
      <w:pPr>
        <w:numPr>
          <w:ilvl w:val="0"/>
          <w:numId w:val="79"/>
        </w:numPr>
        <w:rPr>
          <w:rtl/>
        </w:rPr>
      </w:pPr>
      <w:r w:rsidRPr="0025250D">
        <w:rPr>
          <w:rtl/>
        </w:rPr>
        <w:t>علم خودآموز</w:t>
      </w:r>
      <w:r w:rsidRPr="0025250D">
        <w:rPr>
          <w:rFonts w:hint="cs"/>
          <w:rtl/>
        </w:rPr>
        <w:t>ی</w:t>
      </w:r>
      <w:r w:rsidRPr="0025250D">
        <w:rPr>
          <w:rFonts w:hint="eastAsia"/>
          <w:rtl/>
        </w:rPr>
        <w:t>،</w:t>
      </w:r>
      <w:r w:rsidRPr="0025250D">
        <w:rPr>
          <w:rtl/>
        </w:rPr>
        <w:t xml:space="preserve"> پ</w:t>
      </w:r>
      <w:r w:rsidRPr="0025250D">
        <w:rPr>
          <w:rFonts w:hint="cs"/>
          <w:rtl/>
        </w:rPr>
        <w:t>ی</w:t>
      </w:r>
      <w:r w:rsidRPr="0025250D">
        <w:rPr>
          <w:rFonts w:hint="eastAsia"/>
          <w:rtl/>
        </w:rPr>
        <w:t>تر</w:t>
      </w:r>
      <w:r w:rsidRPr="0025250D">
        <w:rPr>
          <w:rtl/>
        </w:rPr>
        <w:t xml:space="preserve"> هال</w:t>
      </w:r>
      <w:r w:rsidRPr="0025250D">
        <w:rPr>
          <w:rFonts w:hint="cs"/>
          <w:rtl/>
        </w:rPr>
        <w:t>ی</w:t>
      </w:r>
      <w:r w:rsidRPr="0025250D">
        <w:rPr>
          <w:rFonts w:hint="eastAsia"/>
          <w:rtl/>
        </w:rPr>
        <w:t>نز</w:t>
      </w:r>
      <w:r w:rsidRPr="0025250D">
        <w:rPr>
          <w:vertAlign w:val="superscript"/>
          <w:rtl/>
        </w:rPr>
        <w:footnoteReference w:id="3400"/>
      </w:r>
      <w:r w:rsidRPr="0025250D">
        <w:rPr>
          <w:rFonts w:hint="eastAsia"/>
          <w:rtl/>
        </w:rPr>
        <w:t>،</w:t>
      </w:r>
      <w:r w:rsidRPr="0025250D">
        <w:rPr>
          <w:rtl/>
        </w:rPr>
        <w:t xml:space="preserve"> 2018</w:t>
      </w:r>
    </w:p>
    <w:p w14:paraId="2E0BDB4F" w14:textId="77777777" w:rsidR="0009441D" w:rsidRPr="0025250D" w:rsidRDefault="0009441D" w:rsidP="00492C47">
      <w:pPr>
        <w:numPr>
          <w:ilvl w:val="0"/>
          <w:numId w:val="79"/>
        </w:numPr>
        <w:rPr>
          <w:rtl/>
        </w:rPr>
      </w:pPr>
      <w:r w:rsidRPr="0025250D">
        <w:rPr>
          <w:rtl/>
        </w:rPr>
        <w:t>هفت عادت افراد بس</w:t>
      </w:r>
      <w:r w:rsidRPr="0025250D">
        <w:rPr>
          <w:rFonts w:hint="cs"/>
          <w:rtl/>
        </w:rPr>
        <w:t>ی</w:t>
      </w:r>
      <w:r w:rsidRPr="0025250D">
        <w:rPr>
          <w:rFonts w:hint="eastAsia"/>
          <w:rtl/>
        </w:rPr>
        <w:t>ار</w:t>
      </w:r>
      <w:r w:rsidRPr="0025250D">
        <w:rPr>
          <w:rtl/>
        </w:rPr>
        <w:t xml:space="preserve"> مؤثر، استفن کاو</w:t>
      </w:r>
      <w:r w:rsidRPr="0025250D">
        <w:rPr>
          <w:rFonts w:hint="cs"/>
          <w:rtl/>
        </w:rPr>
        <w:t>ی</w:t>
      </w:r>
      <w:r w:rsidRPr="0025250D">
        <w:rPr>
          <w:vertAlign w:val="superscript"/>
          <w:rtl/>
        </w:rPr>
        <w:footnoteReference w:id="3401"/>
      </w:r>
      <w:r w:rsidRPr="0025250D">
        <w:rPr>
          <w:rFonts w:hint="eastAsia"/>
          <w:rtl/>
        </w:rPr>
        <w:t>،</w:t>
      </w:r>
      <w:r w:rsidRPr="0025250D">
        <w:rPr>
          <w:rtl/>
        </w:rPr>
        <w:t xml:space="preserve"> 1989/2013</w:t>
      </w:r>
    </w:p>
    <w:p w14:paraId="17E9277D" w14:textId="77777777" w:rsidR="0009441D" w:rsidRPr="0025250D" w:rsidRDefault="0009441D" w:rsidP="00492C47">
      <w:pPr>
        <w:numPr>
          <w:ilvl w:val="0"/>
          <w:numId w:val="79"/>
        </w:numPr>
        <w:rPr>
          <w:rtl/>
        </w:rPr>
      </w:pPr>
      <w:r w:rsidRPr="0025250D">
        <w:rPr>
          <w:rtl/>
        </w:rPr>
        <w:t>شش ستون عزت نفس، ناتان</w:t>
      </w:r>
      <w:r w:rsidRPr="0025250D">
        <w:rPr>
          <w:rFonts w:hint="cs"/>
          <w:rtl/>
        </w:rPr>
        <w:t>ی</w:t>
      </w:r>
      <w:r w:rsidRPr="0025250D">
        <w:rPr>
          <w:rFonts w:hint="eastAsia"/>
          <w:rtl/>
        </w:rPr>
        <w:t>ل</w:t>
      </w:r>
      <w:r w:rsidRPr="0025250D">
        <w:rPr>
          <w:rtl/>
        </w:rPr>
        <w:t xml:space="preserve"> براندن</w:t>
      </w:r>
      <w:r w:rsidRPr="0025250D">
        <w:rPr>
          <w:vertAlign w:val="superscript"/>
          <w:rtl/>
        </w:rPr>
        <w:footnoteReference w:id="3402"/>
      </w:r>
      <w:r w:rsidRPr="0025250D">
        <w:rPr>
          <w:rtl/>
        </w:rPr>
        <w:t>، 1994</w:t>
      </w:r>
    </w:p>
    <w:p w14:paraId="669CAC51" w14:textId="77777777" w:rsidR="0009441D" w:rsidRPr="0025250D" w:rsidRDefault="0009441D" w:rsidP="00492C47">
      <w:pPr>
        <w:numPr>
          <w:ilvl w:val="0"/>
          <w:numId w:val="79"/>
        </w:numPr>
        <w:rPr>
          <w:rtl/>
        </w:rPr>
      </w:pPr>
      <w:r w:rsidRPr="0025250D">
        <w:rPr>
          <w:rtl/>
        </w:rPr>
        <w:t>گلوله برف</w:t>
      </w:r>
      <w:r w:rsidRPr="0025250D">
        <w:rPr>
          <w:rFonts w:hint="cs"/>
          <w:rtl/>
        </w:rPr>
        <w:t>ی</w:t>
      </w:r>
      <w:r w:rsidRPr="0025250D">
        <w:rPr>
          <w:rtl/>
        </w:rPr>
        <w:t>: وارن بافت و تجارت زندگ</w:t>
      </w:r>
      <w:r w:rsidRPr="0025250D">
        <w:rPr>
          <w:rFonts w:hint="cs"/>
          <w:rtl/>
        </w:rPr>
        <w:t>ی</w:t>
      </w:r>
      <w:r w:rsidRPr="0025250D">
        <w:rPr>
          <w:rFonts w:hint="eastAsia"/>
          <w:rtl/>
        </w:rPr>
        <w:t>،</w:t>
      </w:r>
      <w:r w:rsidRPr="0025250D">
        <w:rPr>
          <w:rtl/>
        </w:rPr>
        <w:t xml:space="preserve"> آل</w:t>
      </w:r>
      <w:r w:rsidRPr="0025250D">
        <w:rPr>
          <w:rFonts w:hint="cs"/>
          <w:rtl/>
        </w:rPr>
        <w:t>ی</w:t>
      </w:r>
      <w:r w:rsidRPr="0025250D">
        <w:rPr>
          <w:rFonts w:hint="eastAsia"/>
          <w:rtl/>
        </w:rPr>
        <w:t>س</w:t>
      </w:r>
      <w:r w:rsidRPr="0025250D">
        <w:rPr>
          <w:rtl/>
        </w:rPr>
        <w:t xml:space="preserve"> شرودر</w:t>
      </w:r>
      <w:r w:rsidRPr="0025250D">
        <w:rPr>
          <w:vertAlign w:val="superscript"/>
          <w:rtl/>
        </w:rPr>
        <w:footnoteReference w:id="3403"/>
      </w:r>
      <w:r w:rsidRPr="0025250D">
        <w:rPr>
          <w:rtl/>
        </w:rPr>
        <w:t>، 2009.</w:t>
      </w:r>
    </w:p>
    <w:p w14:paraId="238B8B53" w14:textId="77777777" w:rsidR="0009441D" w:rsidRPr="0025250D" w:rsidRDefault="0009441D" w:rsidP="00492C47">
      <w:pPr>
        <w:numPr>
          <w:ilvl w:val="0"/>
          <w:numId w:val="79"/>
        </w:numPr>
        <w:rPr>
          <w:rtl/>
        </w:rPr>
      </w:pPr>
      <w:r w:rsidRPr="0025250D">
        <w:rPr>
          <w:rtl/>
        </w:rPr>
        <w:t>پنج حسرت برتر مردگان، برون</w:t>
      </w:r>
      <w:r w:rsidRPr="0025250D">
        <w:rPr>
          <w:rFonts w:hint="cs"/>
          <w:rtl/>
        </w:rPr>
        <w:t>ی</w:t>
      </w:r>
      <w:r w:rsidRPr="0025250D">
        <w:rPr>
          <w:rtl/>
        </w:rPr>
        <w:t xml:space="preserve"> ور</w:t>
      </w:r>
      <w:r w:rsidRPr="0025250D">
        <w:rPr>
          <w:vertAlign w:val="superscript"/>
          <w:rtl/>
        </w:rPr>
        <w:footnoteReference w:id="3404"/>
      </w:r>
      <w:r w:rsidRPr="0025250D">
        <w:rPr>
          <w:rtl/>
        </w:rPr>
        <w:t>، 2012</w:t>
      </w:r>
    </w:p>
    <w:p w14:paraId="3B6CB835" w14:textId="77777777" w:rsidR="0009441D" w:rsidRPr="0025250D" w:rsidRDefault="0009441D" w:rsidP="00492C47">
      <w:pPr>
        <w:numPr>
          <w:ilvl w:val="0"/>
          <w:numId w:val="79"/>
        </w:numPr>
        <w:rPr>
          <w:rtl/>
        </w:rPr>
      </w:pPr>
      <w:r w:rsidRPr="0025250D">
        <w:rPr>
          <w:rtl/>
        </w:rPr>
        <w:t>تفکر، سر</w:t>
      </w:r>
      <w:r w:rsidRPr="0025250D">
        <w:rPr>
          <w:rFonts w:hint="cs"/>
          <w:rtl/>
        </w:rPr>
        <w:t>ی</w:t>
      </w:r>
      <w:r w:rsidRPr="0025250D">
        <w:rPr>
          <w:rFonts w:hint="eastAsia"/>
          <w:rtl/>
        </w:rPr>
        <w:t>ع</w:t>
      </w:r>
      <w:r w:rsidRPr="0025250D">
        <w:rPr>
          <w:rtl/>
        </w:rPr>
        <w:t xml:space="preserve"> و آهسته، دان</w:t>
      </w:r>
      <w:r w:rsidRPr="0025250D">
        <w:rPr>
          <w:rFonts w:hint="cs"/>
          <w:rtl/>
        </w:rPr>
        <w:t>ی</w:t>
      </w:r>
      <w:r w:rsidRPr="0025250D">
        <w:rPr>
          <w:rFonts w:hint="eastAsia"/>
          <w:rtl/>
        </w:rPr>
        <w:t>ل</w:t>
      </w:r>
      <w:r w:rsidRPr="0025250D">
        <w:rPr>
          <w:rtl/>
        </w:rPr>
        <w:t xml:space="preserve"> کانمن</w:t>
      </w:r>
      <w:r w:rsidRPr="0025250D">
        <w:rPr>
          <w:vertAlign w:val="superscript"/>
          <w:rtl/>
        </w:rPr>
        <w:footnoteReference w:id="3405"/>
      </w:r>
      <w:r w:rsidRPr="0025250D">
        <w:rPr>
          <w:rtl/>
        </w:rPr>
        <w:t>، 2011</w:t>
      </w:r>
    </w:p>
    <w:p w14:paraId="54E3A6EA" w14:textId="77777777" w:rsidR="0009441D" w:rsidRPr="0025250D" w:rsidRDefault="0009441D" w:rsidP="00492C47">
      <w:pPr>
        <w:numPr>
          <w:ilvl w:val="0"/>
          <w:numId w:val="79"/>
        </w:numPr>
        <w:rPr>
          <w:rtl/>
        </w:rPr>
      </w:pPr>
      <w:r w:rsidRPr="0025250D">
        <w:rPr>
          <w:rtl/>
        </w:rPr>
        <w:t>تفکر پ</w:t>
      </w:r>
      <w:r w:rsidRPr="0025250D">
        <w:rPr>
          <w:rFonts w:hint="cs"/>
          <w:rtl/>
        </w:rPr>
        <w:t>ی</w:t>
      </w:r>
      <w:r w:rsidRPr="0025250D">
        <w:rPr>
          <w:rFonts w:hint="eastAsia"/>
          <w:rtl/>
        </w:rPr>
        <w:t>ش</w:t>
      </w:r>
      <w:r w:rsidRPr="0025250D">
        <w:rPr>
          <w:rtl/>
        </w:rPr>
        <w:t xml:space="preserve"> رو: تفکر انتقاد</w:t>
      </w:r>
      <w:r w:rsidRPr="0025250D">
        <w:rPr>
          <w:rFonts w:hint="cs"/>
          <w:rtl/>
        </w:rPr>
        <w:t>ی</w:t>
      </w:r>
      <w:r w:rsidRPr="0025250D">
        <w:rPr>
          <w:rtl/>
        </w:rPr>
        <w:t xml:space="preserve"> درگ</w:t>
      </w:r>
      <w:r w:rsidRPr="0025250D">
        <w:rPr>
          <w:rFonts w:hint="cs"/>
          <w:rtl/>
        </w:rPr>
        <w:t>ی</w:t>
      </w:r>
      <w:r w:rsidRPr="0025250D">
        <w:rPr>
          <w:rFonts w:hint="eastAsia"/>
          <w:rtl/>
        </w:rPr>
        <w:t>ر،</w:t>
      </w:r>
      <w:r w:rsidRPr="0025250D">
        <w:rPr>
          <w:rtl/>
        </w:rPr>
        <w:t xml:space="preserve"> پل آ. واگنر و همکاران</w:t>
      </w:r>
      <w:r w:rsidRPr="0025250D">
        <w:rPr>
          <w:vertAlign w:val="superscript"/>
          <w:rtl/>
        </w:rPr>
        <w:footnoteReference w:id="3406"/>
      </w:r>
      <w:r w:rsidRPr="0025250D">
        <w:rPr>
          <w:rFonts w:hint="eastAsia"/>
          <w:rtl/>
        </w:rPr>
        <w:t>،</w:t>
      </w:r>
      <w:r w:rsidRPr="0025250D">
        <w:rPr>
          <w:rtl/>
        </w:rPr>
        <w:t xml:space="preserve"> 2018</w:t>
      </w:r>
    </w:p>
    <w:p w14:paraId="3C873ACC" w14:textId="77777777" w:rsidR="0009441D" w:rsidRPr="0025250D" w:rsidRDefault="0009441D" w:rsidP="00492C47">
      <w:pPr>
        <w:numPr>
          <w:ilvl w:val="0"/>
          <w:numId w:val="79"/>
        </w:numPr>
        <w:rPr>
          <w:rtl/>
        </w:rPr>
      </w:pPr>
      <w:r w:rsidRPr="0025250D">
        <w:rPr>
          <w:rtl/>
        </w:rPr>
        <w:t>عادات کوچک: تغ</w:t>
      </w:r>
      <w:r w:rsidRPr="0025250D">
        <w:rPr>
          <w:rFonts w:hint="cs"/>
          <w:rtl/>
        </w:rPr>
        <w:t>یی</w:t>
      </w:r>
      <w:r w:rsidRPr="0025250D">
        <w:rPr>
          <w:rFonts w:hint="eastAsia"/>
          <w:rtl/>
        </w:rPr>
        <w:t>رات</w:t>
      </w:r>
      <w:r w:rsidRPr="0025250D">
        <w:rPr>
          <w:rtl/>
        </w:rPr>
        <w:t xml:space="preserve"> کوچک که همه چ</w:t>
      </w:r>
      <w:r w:rsidRPr="0025250D">
        <w:rPr>
          <w:rFonts w:hint="cs"/>
          <w:rtl/>
        </w:rPr>
        <w:t>ی</w:t>
      </w:r>
      <w:r w:rsidRPr="0025250D">
        <w:rPr>
          <w:rFonts w:hint="eastAsia"/>
          <w:rtl/>
        </w:rPr>
        <w:t>ز</w:t>
      </w:r>
      <w:r w:rsidRPr="0025250D">
        <w:rPr>
          <w:rtl/>
        </w:rPr>
        <w:t xml:space="preserve"> را تغ</w:t>
      </w:r>
      <w:r w:rsidRPr="0025250D">
        <w:rPr>
          <w:rFonts w:hint="cs"/>
          <w:rtl/>
        </w:rPr>
        <w:t>یی</w:t>
      </w:r>
      <w:r w:rsidRPr="0025250D">
        <w:rPr>
          <w:rFonts w:hint="eastAsia"/>
          <w:rtl/>
        </w:rPr>
        <w:t>ر</w:t>
      </w:r>
      <w:r w:rsidRPr="0025250D">
        <w:rPr>
          <w:rtl/>
        </w:rPr>
        <w:t xml:space="preserve"> می‌دهد، ب</w:t>
      </w:r>
      <w:r w:rsidRPr="0025250D">
        <w:rPr>
          <w:rFonts w:hint="cs"/>
          <w:rtl/>
        </w:rPr>
        <w:t>ی</w:t>
      </w:r>
      <w:r w:rsidRPr="0025250D">
        <w:rPr>
          <w:rtl/>
        </w:rPr>
        <w:t xml:space="preserve"> ج</w:t>
      </w:r>
      <w:r w:rsidRPr="0025250D">
        <w:rPr>
          <w:rFonts w:hint="cs"/>
          <w:rtl/>
        </w:rPr>
        <w:t>ی</w:t>
      </w:r>
      <w:r w:rsidRPr="0025250D">
        <w:rPr>
          <w:rtl/>
        </w:rPr>
        <w:t xml:space="preserve"> فاگ</w:t>
      </w:r>
      <w:r w:rsidRPr="0025250D">
        <w:rPr>
          <w:vertAlign w:val="superscript"/>
          <w:rtl/>
        </w:rPr>
        <w:footnoteReference w:id="3407"/>
      </w:r>
      <w:r w:rsidRPr="0025250D">
        <w:rPr>
          <w:rtl/>
        </w:rPr>
        <w:t>، 2019</w:t>
      </w:r>
    </w:p>
    <w:p w14:paraId="2AE76B25" w14:textId="77777777" w:rsidR="0009441D" w:rsidRPr="0025250D" w:rsidRDefault="0009441D" w:rsidP="00492C47">
      <w:pPr>
        <w:numPr>
          <w:ilvl w:val="0"/>
          <w:numId w:val="79"/>
        </w:numPr>
        <w:rPr>
          <w:rtl/>
        </w:rPr>
      </w:pPr>
      <w:r w:rsidRPr="0025250D">
        <w:rPr>
          <w:rFonts w:hint="cs"/>
          <w:rtl/>
        </w:rPr>
        <w:t>گذار</w:t>
      </w:r>
      <w:r w:rsidRPr="0025250D">
        <w:rPr>
          <w:rtl/>
        </w:rPr>
        <w:t xml:space="preserve"> ها: ا</w:t>
      </w:r>
      <w:r w:rsidRPr="0025250D">
        <w:rPr>
          <w:rFonts w:hint="cs"/>
          <w:rtl/>
        </w:rPr>
        <w:t>ی</w:t>
      </w:r>
      <w:r w:rsidRPr="0025250D">
        <w:rPr>
          <w:rFonts w:hint="eastAsia"/>
          <w:rtl/>
        </w:rPr>
        <w:t>جاد</w:t>
      </w:r>
      <w:r w:rsidRPr="0025250D">
        <w:rPr>
          <w:rtl/>
        </w:rPr>
        <w:t xml:space="preserve"> </w:t>
      </w:r>
      <w:r w:rsidRPr="0025250D">
        <w:rPr>
          <w:rFonts w:hint="cs"/>
          <w:rtl/>
        </w:rPr>
        <w:t>معنا برای</w:t>
      </w:r>
      <w:r w:rsidRPr="0025250D">
        <w:rPr>
          <w:rtl/>
        </w:rPr>
        <w:t xml:space="preserve"> تغ</w:t>
      </w:r>
      <w:r w:rsidRPr="0025250D">
        <w:rPr>
          <w:rFonts w:hint="cs"/>
          <w:rtl/>
        </w:rPr>
        <w:t>یی</w:t>
      </w:r>
      <w:r w:rsidRPr="0025250D">
        <w:rPr>
          <w:rFonts w:hint="eastAsia"/>
          <w:rtl/>
        </w:rPr>
        <w:t>رات</w:t>
      </w:r>
      <w:r w:rsidRPr="0025250D">
        <w:rPr>
          <w:rtl/>
        </w:rPr>
        <w:t xml:space="preserve"> زندگ</w:t>
      </w:r>
      <w:r w:rsidRPr="0025250D">
        <w:rPr>
          <w:rFonts w:hint="cs"/>
          <w:rtl/>
        </w:rPr>
        <w:t>ی</w:t>
      </w:r>
      <w:r w:rsidRPr="0025250D">
        <w:rPr>
          <w:rFonts w:hint="eastAsia"/>
          <w:rtl/>
        </w:rPr>
        <w:t>،</w:t>
      </w:r>
      <w:r w:rsidRPr="0025250D">
        <w:rPr>
          <w:rtl/>
        </w:rPr>
        <w:t xml:space="preserve"> و</w:t>
      </w:r>
      <w:r w:rsidRPr="0025250D">
        <w:rPr>
          <w:rFonts w:hint="cs"/>
          <w:rtl/>
        </w:rPr>
        <w:t>ی</w:t>
      </w:r>
      <w:r w:rsidRPr="0025250D">
        <w:rPr>
          <w:rFonts w:hint="eastAsia"/>
          <w:rtl/>
        </w:rPr>
        <w:t>ل</w:t>
      </w:r>
      <w:r w:rsidRPr="0025250D">
        <w:rPr>
          <w:rFonts w:hint="cs"/>
          <w:rtl/>
        </w:rPr>
        <w:t>ی</w:t>
      </w:r>
      <w:r w:rsidRPr="0025250D">
        <w:rPr>
          <w:rFonts w:hint="eastAsia"/>
          <w:rtl/>
        </w:rPr>
        <w:t>ام</w:t>
      </w:r>
      <w:r w:rsidRPr="0025250D">
        <w:rPr>
          <w:rtl/>
        </w:rPr>
        <w:t xml:space="preserve"> بر</w:t>
      </w:r>
      <w:r w:rsidRPr="0025250D">
        <w:rPr>
          <w:rFonts w:hint="cs"/>
          <w:rtl/>
        </w:rPr>
        <w:t>ی</w:t>
      </w:r>
      <w:r w:rsidRPr="0025250D">
        <w:rPr>
          <w:rFonts w:hint="eastAsia"/>
          <w:rtl/>
        </w:rPr>
        <w:t>جز</w:t>
      </w:r>
      <w:r w:rsidRPr="0025250D">
        <w:rPr>
          <w:vertAlign w:val="superscript"/>
          <w:rtl/>
        </w:rPr>
        <w:footnoteReference w:id="3408"/>
      </w:r>
      <w:r w:rsidRPr="0025250D">
        <w:rPr>
          <w:rFonts w:hint="eastAsia"/>
          <w:rtl/>
        </w:rPr>
        <w:t>،</w:t>
      </w:r>
      <w:r w:rsidRPr="0025250D">
        <w:rPr>
          <w:rtl/>
        </w:rPr>
        <w:t xml:space="preserve"> 1980/2019</w:t>
      </w:r>
    </w:p>
    <w:p w14:paraId="0B06256A" w14:textId="77777777" w:rsidR="0009441D" w:rsidRPr="0025250D" w:rsidRDefault="0009441D" w:rsidP="00492C47">
      <w:pPr>
        <w:numPr>
          <w:ilvl w:val="0"/>
          <w:numId w:val="79"/>
        </w:numPr>
        <w:rPr>
          <w:rtl/>
        </w:rPr>
      </w:pPr>
      <w:r w:rsidRPr="0025250D">
        <w:rPr>
          <w:rFonts w:hint="cs"/>
          <w:rtl/>
        </w:rPr>
        <w:t>وایادگیری</w:t>
      </w:r>
      <w:r w:rsidRPr="0025250D">
        <w:rPr>
          <w:rtl/>
        </w:rPr>
        <w:t>: برا</w:t>
      </w:r>
      <w:r w:rsidRPr="0025250D">
        <w:rPr>
          <w:rFonts w:hint="cs"/>
          <w:rtl/>
        </w:rPr>
        <w:t>ی</w:t>
      </w:r>
      <w:r w:rsidRPr="0025250D">
        <w:rPr>
          <w:rtl/>
        </w:rPr>
        <w:t xml:space="preserve"> دست</w:t>
      </w:r>
      <w:r w:rsidRPr="0025250D">
        <w:rPr>
          <w:rFonts w:hint="cs"/>
          <w:rtl/>
        </w:rPr>
        <w:t>ی</w:t>
      </w:r>
      <w:r w:rsidRPr="0025250D">
        <w:rPr>
          <w:rFonts w:hint="eastAsia"/>
          <w:rtl/>
        </w:rPr>
        <w:t>اب</w:t>
      </w:r>
      <w:r w:rsidRPr="0025250D">
        <w:rPr>
          <w:rFonts w:hint="cs"/>
          <w:rtl/>
        </w:rPr>
        <w:t>ی</w:t>
      </w:r>
      <w:r w:rsidRPr="0025250D">
        <w:rPr>
          <w:rtl/>
        </w:rPr>
        <w:t xml:space="preserve"> به نتا</w:t>
      </w:r>
      <w:r w:rsidRPr="0025250D">
        <w:rPr>
          <w:rFonts w:hint="cs"/>
          <w:rtl/>
        </w:rPr>
        <w:t>ی</w:t>
      </w:r>
      <w:r w:rsidRPr="0025250D">
        <w:rPr>
          <w:rFonts w:hint="eastAsia"/>
          <w:rtl/>
        </w:rPr>
        <w:t>ج</w:t>
      </w:r>
      <w:r w:rsidRPr="0025250D">
        <w:rPr>
          <w:rtl/>
        </w:rPr>
        <w:t xml:space="preserve"> فوق العاده، موفق</w:t>
      </w:r>
      <w:r w:rsidRPr="0025250D">
        <w:rPr>
          <w:rFonts w:hint="cs"/>
          <w:rtl/>
        </w:rPr>
        <w:t>ی</w:t>
      </w:r>
      <w:r w:rsidRPr="0025250D">
        <w:rPr>
          <w:rFonts w:hint="eastAsia"/>
          <w:rtl/>
        </w:rPr>
        <w:t>ت</w:t>
      </w:r>
      <w:r w:rsidRPr="0025250D">
        <w:rPr>
          <w:rtl/>
        </w:rPr>
        <w:t>‌های گذشته را رها کن</w:t>
      </w:r>
      <w:r w:rsidRPr="0025250D">
        <w:rPr>
          <w:rFonts w:hint="cs"/>
          <w:rtl/>
        </w:rPr>
        <w:t>ی</w:t>
      </w:r>
      <w:r w:rsidRPr="0025250D">
        <w:rPr>
          <w:rFonts w:hint="eastAsia"/>
          <w:rtl/>
        </w:rPr>
        <w:t>د،</w:t>
      </w:r>
      <w:r w:rsidRPr="0025250D">
        <w:rPr>
          <w:rFonts w:hint="cs"/>
          <w:rtl/>
        </w:rPr>
        <w:t xml:space="preserve"> </w:t>
      </w:r>
      <w:r w:rsidRPr="0025250D">
        <w:rPr>
          <w:rFonts w:hint="eastAsia"/>
          <w:rtl/>
        </w:rPr>
        <w:t>بر</w:t>
      </w:r>
      <w:r w:rsidRPr="0025250D">
        <w:rPr>
          <w:rFonts w:hint="cs"/>
          <w:rtl/>
        </w:rPr>
        <w:t>ی</w:t>
      </w:r>
      <w:r w:rsidRPr="0025250D">
        <w:rPr>
          <w:rtl/>
        </w:rPr>
        <w:t xml:space="preserve"> اور</w:t>
      </w:r>
      <w:r w:rsidRPr="0025250D">
        <w:rPr>
          <w:rFonts w:hint="cs"/>
          <w:rtl/>
        </w:rPr>
        <w:t>ی</w:t>
      </w:r>
      <w:r w:rsidRPr="0025250D">
        <w:rPr>
          <w:rFonts w:hint="eastAsia"/>
          <w:rtl/>
        </w:rPr>
        <w:t>ل</w:t>
      </w:r>
      <w:r w:rsidRPr="0025250D">
        <w:rPr>
          <w:rFonts w:hint="cs"/>
          <w:rtl/>
        </w:rPr>
        <w:t>ی</w:t>
      </w:r>
      <w:r w:rsidRPr="0025250D">
        <w:rPr>
          <w:vertAlign w:val="superscript"/>
          <w:rtl/>
        </w:rPr>
        <w:footnoteReference w:id="3409"/>
      </w:r>
      <w:r w:rsidRPr="0025250D">
        <w:rPr>
          <w:rFonts w:hint="eastAsia"/>
          <w:rtl/>
        </w:rPr>
        <w:t>،</w:t>
      </w:r>
      <w:r w:rsidRPr="0025250D">
        <w:rPr>
          <w:rtl/>
        </w:rPr>
        <w:t xml:space="preserve"> 2018</w:t>
      </w:r>
    </w:p>
    <w:p w14:paraId="05D6051D" w14:textId="77777777" w:rsidR="0009441D" w:rsidRPr="0025250D" w:rsidRDefault="0009441D" w:rsidP="00492C47">
      <w:pPr>
        <w:numPr>
          <w:ilvl w:val="0"/>
          <w:numId w:val="79"/>
        </w:numPr>
        <w:rPr>
          <w:rtl/>
        </w:rPr>
      </w:pPr>
      <w:r w:rsidRPr="0025250D">
        <w:rPr>
          <w:rtl/>
        </w:rPr>
        <w:t xml:space="preserve">قدرت </w:t>
      </w:r>
      <w:r w:rsidRPr="0025250D">
        <w:rPr>
          <w:rFonts w:hint="cs"/>
          <w:rtl/>
        </w:rPr>
        <w:t>مصورسازی</w:t>
      </w:r>
      <w:r w:rsidRPr="0025250D">
        <w:rPr>
          <w:rtl/>
        </w:rPr>
        <w:t>، ب</w:t>
      </w:r>
      <w:r w:rsidRPr="0025250D">
        <w:rPr>
          <w:rFonts w:hint="cs"/>
          <w:rtl/>
        </w:rPr>
        <w:t>ی</w:t>
      </w:r>
      <w:r w:rsidRPr="0025250D">
        <w:rPr>
          <w:rFonts w:hint="eastAsia"/>
          <w:rtl/>
        </w:rPr>
        <w:t>ل</w:t>
      </w:r>
      <w:r w:rsidRPr="0025250D">
        <w:rPr>
          <w:rtl/>
        </w:rPr>
        <w:t xml:space="preserve"> بودر</w:t>
      </w:r>
      <w:r w:rsidRPr="0025250D">
        <w:rPr>
          <w:rFonts w:hint="cs"/>
          <w:rtl/>
        </w:rPr>
        <w:t>ی</w:t>
      </w:r>
      <w:r w:rsidRPr="0025250D">
        <w:rPr>
          <w:vertAlign w:val="superscript"/>
          <w:rtl/>
        </w:rPr>
        <w:footnoteReference w:id="3410"/>
      </w:r>
      <w:r w:rsidRPr="0025250D">
        <w:rPr>
          <w:rFonts w:hint="eastAsia"/>
          <w:rtl/>
        </w:rPr>
        <w:t>،</w:t>
      </w:r>
      <w:r w:rsidRPr="0025250D">
        <w:rPr>
          <w:rtl/>
        </w:rPr>
        <w:t xml:space="preserve"> 2017</w:t>
      </w:r>
    </w:p>
    <w:p w14:paraId="7E8EE673" w14:textId="77777777" w:rsidR="0009441D" w:rsidRPr="0025250D" w:rsidRDefault="0009441D" w:rsidP="00492C47">
      <w:pPr>
        <w:numPr>
          <w:ilvl w:val="0"/>
          <w:numId w:val="79"/>
        </w:numPr>
        <w:rPr>
          <w:rtl/>
        </w:rPr>
      </w:pPr>
      <w:r w:rsidRPr="0025250D">
        <w:rPr>
          <w:rtl/>
        </w:rPr>
        <w:t>چه چ</w:t>
      </w:r>
      <w:r w:rsidRPr="0025250D">
        <w:rPr>
          <w:rFonts w:hint="cs"/>
          <w:rtl/>
        </w:rPr>
        <w:t>ی</w:t>
      </w:r>
      <w:r w:rsidRPr="0025250D">
        <w:rPr>
          <w:rFonts w:hint="eastAsia"/>
          <w:rtl/>
        </w:rPr>
        <w:t>ز</w:t>
      </w:r>
      <w:r w:rsidRPr="0025250D">
        <w:rPr>
          <w:rFonts w:hint="cs"/>
          <w:rtl/>
        </w:rPr>
        <w:t>ی</w:t>
      </w:r>
      <w:r w:rsidRPr="0025250D">
        <w:rPr>
          <w:rtl/>
        </w:rPr>
        <w:t xml:space="preserve"> ما را نمی‌کشد: چگونه رفتن به سمت افراط می‌تواند قدرت تکامل</w:t>
      </w:r>
      <w:r w:rsidRPr="0025250D">
        <w:rPr>
          <w:rFonts w:hint="cs"/>
          <w:rtl/>
        </w:rPr>
        <w:t>ی</w:t>
      </w:r>
      <w:r w:rsidRPr="0025250D">
        <w:rPr>
          <w:rtl/>
        </w:rPr>
        <w:t xml:space="preserve"> ما را تجد</w:t>
      </w:r>
      <w:r w:rsidRPr="0025250D">
        <w:rPr>
          <w:rFonts w:hint="cs"/>
          <w:rtl/>
        </w:rPr>
        <w:t>ی</w:t>
      </w:r>
      <w:r w:rsidRPr="0025250D">
        <w:rPr>
          <w:rFonts w:hint="eastAsia"/>
          <w:rtl/>
        </w:rPr>
        <w:t>د</w:t>
      </w:r>
      <w:r w:rsidRPr="0025250D">
        <w:rPr>
          <w:rtl/>
        </w:rPr>
        <w:t xml:space="preserve"> کند، اسکات کارن</w:t>
      </w:r>
      <w:r w:rsidRPr="0025250D">
        <w:rPr>
          <w:rFonts w:hint="cs"/>
          <w:rtl/>
        </w:rPr>
        <w:t>ی</w:t>
      </w:r>
      <w:r w:rsidRPr="0025250D">
        <w:rPr>
          <w:vertAlign w:val="superscript"/>
          <w:rtl/>
        </w:rPr>
        <w:footnoteReference w:id="3411"/>
      </w:r>
      <w:r w:rsidRPr="0025250D">
        <w:rPr>
          <w:rFonts w:hint="eastAsia"/>
          <w:rtl/>
        </w:rPr>
        <w:t>،</w:t>
      </w:r>
      <w:r w:rsidRPr="0025250D">
        <w:rPr>
          <w:rtl/>
        </w:rPr>
        <w:t xml:space="preserve"> 2017.</w:t>
      </w:r>
    </w:p>
    <w:p w14:paraId="4B2BBD77" w14:textId="5682882F" w:rsidR="0009441D" w:rsidRPr="0025250D" w:rsidRDefault="0009441D" w:rsidP="00492C47">
      <w:pPr>
        <w:numPr>
          <w:ilvl w:val="0"/>
          <w:numId w:val="79"/>
        </w:numPr>
      </w:pPr>
      <w:r w:rsidRPr="0025250D">
        <w:rPr>
          <w:rtl/>
        </w:rPr>
        <w:t xml:space="preserve">آینده‌نگاری: </w:t>
      </w:r>
      <w:r w:rsidRPr="0025250D">
        <w:rPr>
          <w:rFonts w:hint="cs"/>
          <w:rtl/>
        </w:rPr>
        <w:t xml:space="preserve">کاوش </w:t>
      </w:r>
      <w:r w:rsidRPr="0025250D">
        <w:rPr>
          <w:rtl/>
        </w:rPr>
        <w:t>آ</w:t>
      </w:r>
      <w:r w:rsidRPr="0025250D">
        <w:rPr>
          <w:rFonts w:hint="cs"/>
          <w:rtl/>
        </w:rPr>
        <w:t>ی</w:t>
      </w:r>
      <w:r w:rsidRPr="0025250D">
        <w:rPr>
          <w:rFonts w:hint="eastAsia"/>
          <w:rtl/>
        </w:rPr>
        <w:t>نده</w:t>
      </w:r>
      <w:r w:rsidRPr="0025250D">
        <w:rPr>
          <w:rtl/>
        </w:rPr>
        <w:t xml:space="preserve"> </w:t>
      </w:r>
      <w:r w:rsidR="001A3F0A" w:rsidRPr="0025250D">
        <w:rPr>
          <w:rtl/>
        </w:rPr>
        <w:t>فردی</w:t>
      </w:r>
      <w:r w:rsidRPr="0025250D">
        <w:rPr>
          <w:rtl/>
        </w:rPr>
        <w:t xml:space="preserve"> شما، آل</w:t>
      </w:r>
      <w:r w:rsidRPr="0025250D">
        <w:rPr>
          <w:rFonts w:hint="cs"/>
          <w:rtl/>
        </w:rPr>
        <w:t>ی</w:t>
      </w:r>
      <w:r w:rsidRPr="0025250D">
        <w:rPr>
          <w:rFonts w:hint="eastAsia"/>
          <w:rtl/>
        </w:rPr>
        <w:t>دا</w:t>
      </w:r>
      <w:r w:rsidRPr="0025250D">
        <w:rPr>
          <w:rtl/>
        </w:rPr>
        <w:t xml:space="preserve"> درودت و جول</w:t>
      </w:r>
      <w:r w:rsidRPr="0025250D">
        <w:rPr>
          <w:rFonts w:hint="cs"/>
          <w:rtl/>
        </w:rPr>
        <w:t>ی</w:t>
      </w:r>
      <w:r w:rsidRPr="0025250D">
        <w:rPr>
          <w:rFonts w:hint="eastAsia"/>
          <w:rtl/>
        </w:rPr>
        <w:t>ا</w:t>
      </w:r>
      <w:r w:rsidRPr="0025250D">
        <w:rPr>
          <w:rtl/>
        </w:rPr>
        <w:t xml:space="preserve"> وست</w:t>
      </w:r>
      <w:r w:rsidRPr="0025250D">
        <w:rPr>
          <w:vertAlign w:val="superscript"/>
          <w:rtl/>
        </w:rPr>
        <w:footnoteReference w:id="3412"/>
      </w:r>
      <w:r w:rsidRPr="0025250D">
        <w:rPr>
          <w:rtl/>
        </w:rPr>
        <w:t>، 2017.</w:t>
      </w:r>
    </w:p>
    <w:p w14:paraId="670BFEC8" w14:textId="77777777" w:rsidR="0009441D" w:rsidRPr="0025250D" w:rsidRDefault="0009441D" w:rsidP="00537CC8">
      <w:pPr>
        <w:rPr>
          <w:rtl/>
        </w:rPr>
      </w:pPr>
    </w:p>
    <w:p w14:paraId="42A46DDD" w14:textId="77777777" w:rsidR="00537CC8" w:rsidRPr="0025250D" w:rsidRDefault="00537CC8" w:rsidP="00537CC8">
      <w:pPr>
        <w:rPr>
          <w:rtl/>
        </w:rPr>
      </w:pPr>
    </w:p>
    <w:p w14:paraId="39178656" w14:textId="77777777" w:rsidR="00537CC8" w:rsidRPr="0025250D" w:rsidRDefault="00537CC8" w:rsidP="0009441D">
      <w:pPr>
        <w:pStyle w:val="Heading3"/>
        <w:rPr>
          <w:rtl/>
        </w:rPr>
      </w:pPr>
      <w:r w:rsidRPr="0025250D">
        <w:rPr>
          <w:rtl/>
        </w:rPr>
        <w:t>کتاب‌ها</w:t>
      </w:r>
      <w:r w:rsidRPr="0025250D">
        <w:rPr>
          <w:rFonts w:hint="cs"/>
          <w:rtl/>
        </w:rPr>
        <w:t>ی</w:t>
      </w:r>
      <w:r w:rsidRPr="0025250D">
        <w:rPr>
          <w:rtl/>
        </w:rPr>
        <w:t xml:space="preserve">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ت</w:t>
      </w:r>
      <w:r w:rsidRPr="0025250D">
        <w:rPr>
          <w:rFonts w:hint="cs"/>
          <w:rtl/>
        </w:rPr>
        <w:t>ی</w:t>
      </w:r>
      <w:r w:rsidRPr="0025250D">
        <w:rPr>
          <w:rFonts w:hint="eastAsia"/>
          <w:rtl/>
        </w:rPr>
        <w:t>م</w:t>
      </w:r>
      <w:r w:rsidRPr="0025250D">
        <w:rPr>
          <w:rFonts w:hint="cs"/>
          <w:rtl/>
        </w:rPr>
        <w:t>ی</w:t>
      </w:r>
      <w:r w:rsidRPr="0025250D">
        <w:rPr>
          <w:rtl/>
        </w:rPr>
        <w:t xml:space="preserve"> و سازمان</w:t>
      </w:r>
      <w:r w:rsidRPr="0025250D">
        <w:rPr>
          <w:rFonts w:hint="cs"/>
          <w:rtl/>
        </w:rPr>
        <w:t>ی</w:t>
      </w:r>
      <w:r w:rsidRPr="0025250D">
        <w:rPr>
          <w:rtl/>
        </w:rPr>
        <w:t xml:space="preserve"> - فهرست آغاز</w:t>
      </w:r>
      <w:r w:rsidRPr="0025250D">
        <w:rPr>
          <w:rFonts w:hint="cs"/>
          <w:rtl/>
        </w:rPr>
        <w:t>ی</w:t>
      </w:r>
      <w:r w:rsidRPr="0025250D">
        <w:rPr>
          <w:rFonts w:hint="eastAsia"/>
          <w:rtl/>
        </w:rPr>
        <w:t>ن</w:t>
      </w:r>
    </w:p>
    <w:p w14:paraId="09A0CED7" w14:textId="2ED331CA" w:rsidR="00657C72" w:rsidRPr="0025250D" w:rsidRDefault="00657C72" w:rsidP="00537CC8">
      <w:pPr>
        <w:rPr>
          <w:rtl/>
        </w:rPr>
      </w:pPr>
    </w:p>
    <w:p w14:paraId="19C34D26" w14:textId="2C873103" w:rsidR="0037616D" w:rsidRPr="0025250D" w:rsidRDefault="0037616D" w:rsidP="00492C47">
      <w:pPr>
        <w:numPr>
          <w:ilvl w:val="0"/>
          <w:numId w:val="80"/>
        </w:numPr>
      </w:pPr>
      <w:r w:rsidRPr="0025250D">
        <w:rPr>
          <w:rtl/>
        </w:rPr>
        <w:t>زمان رهبر</w:t>
      </w:r>
      <w:r w:rsidRPr="0025250D">
        <w:rPr>
          <w:rFonts w:hint="cs"/>
          <w:rtl/>
        </w:rPr>
        <w:t>ی</w:t>
      </w:r>
      <w:r w:rsidRPr="0025250D">
        <w:rPr>
          <w:rtl/>
        </w:rPr>
        <w:t>: درس ها</w:t>
      </w:r>
      <w:r w:rsidRPr="0025250D">
        <w:rPr>
          <w:rFonts w:hint="cs"/>
          <w:rtl/>
        </w:rPr>
        <w:t>یی</w:t>
      </w:r>
      <w:r w:rsidRPr="0025250D">
        <w:rPr>
          <w:rtl/>
        </w:rPr>
        <w:t xml:space="preserve"> برا</w:t>
      </w:r>
      <w:r w:rsidRPr="0025250D">
        <w:rPr>
          <w:rFonts w:hint="cs"/>
          <w:rtl/>
        </w:rPr>
        <w:t>ی</w:t>
      </w:r>
      <w:r w:rsidRPr="0025250D">
        <w:rPr>
          <w:rtl/>
        </w:rPr>
        <w:t xml:space="preserve"> رهبران امروز، </w:t>
      </w:r>
      <w:r w:rsidRPr="0025250D">
        <w:rPr>
          <w:rFonts w:hint="cs"/>
          <w:rtl/>
        </w:rPr>
        <w:t>ی</w:t>
      </w:r>
      <w:r w:rsidRPr="0025250D">
        <w:rPr>
          <w:rFonts w:hint="eastAsia"/>
          <w:rtl/>
        </w:rPr>
        <w:t>ان</w:t>
      </w:r>
      <w:r w:rsidRPr="0025250D">
        <w:rPr>
          <w:rtl/>
        </w:rPr>
        <w:t xml:space="preserve"> بند</w:t>
      </w:r>
      <w:r w:rsidRPr="0025250D">
        <w:rPr>
          <w:rFonts w:hint="cs"/>
          <w:rtl/>
        </w:rPr>
        <w:t>ی</w:t>
      </w:r>
      <w:r w:rsidRPr="0025250D">
        <w:rPr>
          <w:rFonts w:hint="eastAsia"/>
          <w:rtl/>
        </w:rPr>
        <w:t>کت</w:t>
      </w:r>
      <w:r w:rsidRPr="0025250D">
        <w:rPr>
          <w:rtl/>
        </w:rPr>
        <w:t xml:space="preserve"> است</w:t>
      </w:r>
      <w:r w:rsidRPr="0025250D">
        <w:rPr>
          <w:rFonts w:hint="cs"/>
          <w:rtl/>
        </w:rPr>
        <w:t>ی</w:t>
      </w:r>
      <w:r w:rsidRPr="0025250D">
        <w:rPr>
          <w:rFonts w:hint="eastAsia"/>
          <w:rtl/>
        </w:rPr>
        <w:t>ن</w:t>
      </w:r>
      <w:r w:rsidRPr="0025250D">
        <w:rPr>
          <w:rtl/>
        </w:rPr>
        <w:t xml:space="preserve"> کمپ</w:t>
      </w:r>
      <w:r w:rsidRPr="0025250D">
        <w:rPr>
          <w:vertAlign w:val="superscript"/>
          <w:rtl/>
        </w:rPr>
        <w:footnoteReference w:id="3413"/>
      </w:r>
      <w:r w:rsidRPr="0025250D">
        <w:rPr>
          <w:rtl/>
        </w:rPr>
        <w:t>، 2020</w:t>
      </w:r>
      <w:r w:rsidRPr="0025250D">
        <w:rPr>
          <w:rFonts w:hint="cs"/>
          <w:rtl/>
        </w:rPr>
        <w:t xml:space="preserve">. </w:t>
      </w:r>
      <w:r w:rsidRPr="0025250D">
        <w:rPr>
          <w:rtl/>
        </w:rPr>
        <w:t>مرور</w:t>
      </w:r>
      <w:r w:rsidRPr="0025250D">
        <w:rPr>
          <w:rFonts w:hint="cs"/>
          <w:rtl/>
        </w:rPr>
        <w:t>ی</w:t>
      </w:r>
      <w:r w:rsidRPr="0025250D">
        <w:rPr>
          <w:rtl/>
        </w:rPr>
        <w:t xml:space="preserve"> ز</w:t>
      </w:r>
      <w:r w:rsidRPr="0025250D">
        <w:rPr>
          <w:rFonts w:hint="cs"/>
          <w:rtl/>
        </w:rPr>
        <w:t>ی</w:t>
      </w:r>
      <w:r w:rsidRPr="0025250D">
        <w:rPr>
          <w:rFonts w:hint="eastAsia"/>
          <w:rtl/>
        </w:rPr>
        <w:t>با</w:t>
      </w:r>
      <w:r w:rsidRPr="0025250D">
        <w:rPr>
          <w:rtl/>
        </w:rPr>
        <w:t xml:space="preserve"> و قابل دسترس از سبک ها</w:t>
      </w:r>
      <w:r w:rsidRPr="0025250D">
        <w:rPr>
          <w:rFonts w:hint="cs"/>
          <w:rtl/>
        </w:rPr>
        <w:t>ی</w:t>
      </w:r>
      <w:r w:rsidRPr="0025250D">
        <w:rPr>
          <w:rtl/>
        </w:rPr>
        <w:t xml:space="preserve"> </w:t>
      </w:r>
      <w:r w:rsidR="00B124DE" w:rsidRPr="0025250D">
        <w:rPr>
          <w:rFonts w:hint="cs"/>
          <w:rtl/>
        </w:rPr>
        <w:t>آینده‌اندیش</w:t>
      </w:r>
      <w:r w:rsidRPr="0025250D">
        <w:rPr>
          <w:rFonts w:hint="cs"/>
          <w:rtl/>
        </w:rPr>
        <w:t>ی کلاسیک</w:t>
      </w:r>
      <w:r w:rsidRPr="0025250D">
        <w:rPr>
          <w:rtl/>
        </w:rPr>
        <w:t xml:space="preserve"> رهبران - جوجه ت</w:t>
      </w:r>
      <w:r w:rsidRPr="0025250D">
        <w:rPr>
          <w:rFonts w:hint="cs"/>
          <w:rtl/>
        </w:rPr>
        <w:t>ی</w:t>
      </w:r>
      <w:r w:rsidRPr="0025250D">
        <w:rPr>
          <w:rFonts w:hint="eastAsia"/>
          <w:rtl/>
        </w:rPr>
        <w:t>غ</w:t>
      </w:r>
      <w:r w:rsidRPr="0025250D">
        <w:rPr>
          <w:rFonts w:hint="cs"/>
          <w:rtl/>
        </w:rPr>
        <w:t>ی ها</w:t>
      </w:r>
      <w:r w:rsidRPr="0025250D">
        <w:rPr>
          <w:rFonts w:hint="eastAsia"/>
          <w:rtl/>
        </w:rPr>
        <w:t>،</w:t>
      </w:r>
      <w:r w:rsidRPr="0025250D">
        <w:rPr>
          <w:rtl/>
        </w:rPr>
        <w:t xml:space="preserve"> روباه</w:t>
      </w:r>
      <w:r w:rsidRPr="0025250D">
        <w:rPr>
          <w:rFonts w:hint="cs"/>
          <w:rtl/>
        </w:rPr>
        <w:t xml:space="preserve"> ها</w:t>
      </w:r>
      <w:r w:rsidRPr="0025250D">
        <w:rPr>
          <w:rtl/>
        </w:rPr>
        <w:t xml:space="preserve"> و عقاب</w:t>
      </w:r>
      <w:r w:rsidRPr="0025250D">
        <w:rPr>
          <w:rFonts w:hint="cs"/>
          <w:rtl/>
        </w:rPr>
        <w:t xml:space="preserve"> ها</w:t>
      </w:r>
      <w:r w:rsidRPr="0025250D">
        <w:rPr>
          <w:rtl/>
        </w:rPr>
        <w:t>. ا</w:t>
      </w:r>
      <w:r w:rsidRPr="0025250D">
        <w:rPr>
          <w:rFonts w:hint="cs"/>
          <w:rtl/>
        </w:rPr>
        <w:t>ی</w:t>
      </w:r>
      <w:r w:rsidRPr="0025250D">
        <w:rPr>
          <w:rFonts w:hint="eastAsia"/>
          <w:rtl/>
        </w:rPr>
        <w:t>ن</w:t>
      </w:r>
      <w:r w:rsidRPr="0025250D">
        <w:rPr>
          <w:rtl/>
        </w:rPr>
        <w:t xml:space="preserve"> سه سبک هرم رهبر</w:t>
      </w:r>
      <w:r w:rsidRPr="0025250D">
        <w:rPr>
          <w:rFonts w:hint="cs"/>
          <w:rtl/>
        </w:rPr>
        <w:t>ی</w:t>
      </w:r>
      <w:r w:rsidRPr="0025250D">
        <w:rPr>
          <w:rtl/>
        </w:rPr>
        <w:t xml:space="preserve"> ما هستند. صرف نظر از سبک </w:t>
      </w:r>
      <w:r w:rsidR="00B124DE" w:rsidRPr="0025250D">
        <w:rPr>
          <w:rFonts w:hint="cs"/>
          <w:rtl/>
        </w:rPr>
        <w:t>آینده‌اندیش</w:t>
      </w:r>
      <w:r w:rsidRPr="0025250D">
        <w:rPr>
          <w:rFonts w:hint="cs"/>
          <w:rtl/>
        </w:rPr>
        <w:t>ی</w:t>
      </w:r>
      <w:r w:rsidRPr="0025250D">
        <w:rPr>
          <w:rtl/>
        </w:rPr>
        <w:t xml:space="preserve"> ما، هر </w:t>
      </w:r>
      <w:r w:rsidRPr="0025250D">
        <w:rPr>
          <w:rFonts w:hint="cs"/>
          <w:rtl/>
        </w:rPr>
        <w:t>ی</w:t>
      </w:r>
      <w:r w:rsidRPr="0025250D">
        <w:rPr>
          <w:rFonts w:hint="eastAsia"/>
          <w:rtl/>
        </w:rPr>
        <w:t>ک</w:t>
      </w:r>
      <w:r w:rsidRPr="0025250D">
        <w:rPr>
          <w:rtl/>
        </w:rPr>
        <w:t xml:space="preserve"> از ما م</w:t>
      </w:r>
      <w:r w:rsidRPr="0025250D">
        <w:rPr>
          <w:rFonts w:hint="cs"/>
          <w:rtl/>
        </w:rPr>
        <w:t>ی</w:t>
      </w:r>
      <w:r w:rsidRPr="0025250D">
        <w:rPr>
          <w:rtl/>
        </w:rPr>
        <w:t xml:space="preserve"> توان</w:t>
      </w:r>
      <w:r w:rsidRPr="0025250D">
        <w:rPr>
          <w:rFonts w:hint="cs"/>
          <w:rtl/>
        </w:rPr>
        <w:t>ی</w:t>
      </w:r>
      <w:r w:rsidRPr="0025250D">
        <w:rPr>
          <w:rFonts w:hint="eastAsia"/>
          <w:rtl/>
        </w:rPr>
        <w:t>م</w:t>
      </w:r>
      <w:r w:rsidRPr="0025250D">
        <w:rPr>
          <w:rtl/>
        </w:rPr>
        <w:t xml:space="preserve"> در خود رهبر</w:t>
      </w:r>
      <w:r w:rsidRPr="0025250D">
        <w:rPr>
          <w:rFonts w:hint="cs"/>
          <w:rtl/>
        </w:rPr>
        <w:t>ی</w:t>
      </w:r>
      <w:r w:rsidRPr="0025250D">
        <w:rPr>
          <w:rtl/>
        </w:rPr>
        <w:t xml:space="preserve"> بهتر شو</w:t>
      </w:r>
      <w:r w:rsidRPr="0025250D">
        <w:rPr>
          <w:rFonts w:hint="cs"/>
          <w:rtl/>
        </w:rPr>
        <w:t>ی</w:t>
      </w:r>
      <w:r w:rsidRPr="0025250D">
        <w:rPr>
          <w:rFonts w:hint="eastAsia"/>
          <w:rtl/>
        </w:rPr>
        <w:t>م</w:t>
      </w:r>
      <w:r w:rsidRPr="0025250D">
        <w:rPr>
          <w:rtl/>
        </w:rPr>
        <w:t>.</w:t>
      </w:r>
      <w:r w:rsidRPr="0025250D">
        <w:rPr>
          <w:rFonts w:hint="cs"/>
          <w:rtl/>
        </w:rPr>
        <w:t xml:space="preserve"> </w:t>
      </w:r>
      <w:r w:rsidR="00492C47" w:rsidRPr="0025250D">
        <w:rPr>
          <w:rtl/>
        </w:rPr>
        <w:t>است</w:t>
      </w:r>
      <w:r w:rsidR="00492C47" w:rsidRPr="0025250D">
        <w:rPr>
          <w:rFonts w:hint="cs"/>
          <w:rtl/>
        </w:rPr>
        <w:t>ی</w:t>
      </w:r>
      <w:r w:rsidR="00492C47" w:rsidRPr="0025250D">
        <w:rPr>
          <w:rFonts w:hint="eastAsia"/>
          <w:rtl/>
        </w:rPr>
        <w:t>ن</w:t>
      </w:r>
      <w:r w:rsidR="00492C47" w:rsidRPr="0025250D">
        <w:rPr>
          <w:rtl/>
        </w:rPr>
        <w:t xml:space="preserve"> کمپ</w:t>
      </w:r>
      <w:r w:rsidRPr="0025250D">
        <w:rPr>
          <w:rtl/>
        </w:rPr>
        <w:t xml:space="preserve"> نمونه‌ها</w:t>
      </w:r>
      <w:r w:rsidRPr="0025250D">
        <w:rPr>
          <w:rFonts w:hint="cs"/>
          <w:rtl/>
        </w:rPr>
        <w:t>یی</w:t>
      </w:r>
      <w:r w:rsidRPr="0025250D">
        <w:rPr>
          <w:rtl/>
        </w:rPr>
        <w:t xml:space="preserve"> از رهبران آ</w:t>
      </w:r>
      <w:r w:rsidRPr="0025250D">
        <w:rPr>
          <w:rFonts w:hint="cs"/>
          <w:rtl/>
        </w:rPr>
        <w:t>ی</w:t>
      </w:r>
      <w:r w:rsidRPr="0025250D">
        <w:rPr>
          <w:rFonts w:hint="eastAsia"/>
          <w:rtl/>
        </w:rPr>
        <w:t>نده‌اند</w:t>
      </w:r>
      <w:r w:rsidRPr="0025250D">
        <w:rPr>
          <w:rFonts w:hint="cs"/>
          <w:rtl/>
        </w:rPr>
        <w:t>ی</w:t>
      </w:r>
      <w:r w:rsidRPr="0025250D">
        <w:rPr>
          <w:rFonts w:hint="eastAsia"/>
          <w:rtl/>
        </w:rPr>
        <w:t>ش</w:t>
      </w:r>
      <w:r w:rsidRPr="0025250D">
        <w:rPr>
          <w:rtl/>
        </w:rPr>
        <w:t xml:space="preserve"> نمونه را ارائه م</w:t>
      </w:r>
      <w:r w:rsidRPr="0025250D">
        <w:rPr>
          <w:rFonts w:hint="cs"/>
          <w:rtl/>
        </w:rPr>
        <w:t>ی‌</w:t>
      </w:r>
      <w:r w:rsidRPr="0025250D">
        <w:rPr>
          <w:rFonts w:hint="eastAsia"/>
          <w:rtl/>
        </w:rPr>
        <w:t>دهد</w:t>
      </w:r>
      <w:r w:rsidRPr="0025250D">
        <w:rPr>
          <w:rtl/>
        </w:rPr>
        <w:t xml:space="preserve"> که در هفت دسته سبک رهبر</w:t>
      </w:r>
      <w:r w:rsidRPr="0025250D">
        <w:rPr>
          <w:rFonts w:hint="cs"/>
          <w:rtl/>
        </w:rPr>
        <w:t>ی</w:t>
      </w:r>
      <w:r w:rsidRPr="0025250D">
        <w:rPr>
          <w:rtl/>
        </w:rPr>
        <w:t xml:space="preserve"> سنت</w:t>
      </w:r>
      <w:r w:rsidRPr="0025250D">
        <w:rPr>
          <w:rFonts w:hint="cs"/>
          <w:rtl/>
        </w:rPr>
        <w:t>ی</w:t>
      </w:r>
      <w:r w:rsidRPr="0025250D">
        <w:rPr>
          <w:rtl/>
        </w:rPr>
        <w:t xml:space="preserve"> د</w:t>
      </w:r>
      <w:r w:rsidRPr="0025250D">
        <w:rPr>
          <w:rFonts w:hint="cs"/>
          <w:rtl/>
        </w:rPr>
        <w:t>ی</w:t>
      </w:r>
      <w:r w:rsidRPr="0025250D">
        <w:rPr>
          <w:rFonts w:hint="eastAsia"/>
          <w:rtl/>
        </w:rPr>
        <w:t>گر</w:t>
      </w:r>
      <w:r w:rsidRPr="0025250D">
        <w:rPr>
          <w:rtl/>
        </w:rPr>
        <w:t xml:space="preserve"> طبقه‌بند</w:t>
      </w:r>
      <w:r w:rsidRPr="0025250D">
        <w:rPr>
          <w:rFonts w:hint="cs"/>
          <w:rtl/>
        </w:rPr>
        <w:t>ی</w:t>
      </w:r>
      <w:r w:rsidRPr="0025250D">
        <w:rPr>
          <w:rtl/>
        </w:rPr>
        <w:t xml:space="preserve"> شده‌اند و </w:t>
      </w:r>
      <w:r w:rsidRPr="0025250D">
        <w:rPr>
          <w:rFonts w:hint="cs"/>
          <w:rtl/>
        </w:rPr>
        <w:t>ی</w:t>
      </w:r>
      <w:r w:rsidRPr="0025250D">
        <w:rPr>
          <w:rFonts w:hint="eastAsia"/>
          <w:rtl/>
        </w:rPr>
        <w:t>ک</w:t>
      </w:r>
      <w:r w:rsidRPr="0025250D">
        <w:rPr>
          <w:rtl/>
        </w:rPr>
        <w:t xml:space="preserve"> «ارز</w:t>
      </w:r>
      <w:r w:rsidRPr="0025250D">
        <w:rPr>
          <w:rFonts w:hint="cs"/>
          <w:rtl/>
        </w:rPr>
        <w:t>ی</w:t>
      </w:r>
      <w:r w:rsidRPr="0025250D">
        <w:rPr>
          <w:rFonts w:hint="eastAsia"/>
          <w:rtl/>
        </w:rPr>
        <w:t>اب</w:t>
      </w:r>
      <w:r w:rsidRPr="0025250D">
        <w:rPr>
          <w:rFonts w:hint="cs"/>
          <w:rtl/>
        </w:rPr>
        <w:t>ی</w:t>
      </w:r>
      <w:r w:rsidRPr="0025250D">
        <w:rPr>
          <w:rtl/>
        </w:rPr>
        <w:t xml:space="preserve"> هجفاکس</w:t>
      </w:r>
      <w:r w:rsidRPr="0025250D">
        <w:rPr>
          <w:vertAlign w:val="superscript"/>
          <w:rtl/>
        </w:rPr>
        <w:footnoteReference w:id="3414"/>
      </w:r>
      <w:r w:rsidRPr="0025250D">
        <w:rPr>
          <w:rtl/>
        </w:rPr>
        <w:t>» مختصر برا</w:t>
      </w:r>
      <w:r w:rsidRPr="0025250D">
        <w:rPr>
          <w:rFonts w:hint="cs"/>
          <w:rtl/>
        </w:rPr>
        <w:t>ی</w:t>
      </w:r>
      <w:r w:rsidRPr="0025250D">
        <w:rPr>
          <w:rtl/>
        </w:rPr>
        <w:t xml:space="preserve"> کمک به </w:t>
      </w:r>
      <w:r w:rsidRPr="0025250D">
        <w:rPr>
          <w:rFonts w:hint="cs"/>
          <w:rtl/>
        </w:rPr>
        <w:t>ی</w:t>
      </w:r>
      <w:r w:rsidRPr="0025250D">
        <w:rPr>
          <w:rFonts w:hint="eastAsia"/>
          <w:rtl/>
        </w:rPr>
        <w:t>ادآور</w:t>
      </w:r>
      <w:r w:rsidRPr="0025250D">
        <w:rPr>
          <w:rFonts w:hint="cs"/>
          <w:rtl/>
        </w:rPr>
        <w:t>ی</w:t>
      </w:r>
      <w:r w:rsidRPr="0025250D">
        <w:rPr>
          <w:rtl/>
        </w:rPr>
        <w:t xml:space="preserve"> ا</w:t>
      </w:r>
      <w:r w:rsidRPr="0025250D">
        <w:rPr>
          <w:rFonts w:hint="cs"/>
          <w:rtl/>
        </w:rPr>
        <w:t>ی</w:t>
      </w:r>
      <w:r w:rsidRPr="0025250D">
        <w:rPr>
          <w:rFonts w:hint="eastAsia"/>
          <w:rtl/>
        </w:rPr>
        <w:t>نکه</w:t>
      </w:r>
      <w:r w:rsidRPr="0025250D">
        <w:rPr>
          <w:rtl/>
        </w:rPr>
        <w:t xml:space="preserve"> کدام </w:t>
      </w:r>
      <w:r w:rsidRPr="0025250D">
        <w:rPr>
          <w:rFonts w:hint="cs"/>
          <w:rtl/>
        </w:rPr>
        <w:t>ی</w:t>
      </w:r>
      <w:r w:rsidRPr="0025250D">
        <w:rPr>
          <w:rFonts w:hint="eastAsia"/>
          <w:rtl/>
        </w:rPr>
        <w:t>ک</w:t>
      </w:r>
      <w:r w:rsidRPr="0025250D">
        <w:rPr>
          <w:rtl/>
        </w:rPr>
        <w:t xml:space="preserve"> از ا</w:t>
      </w:r>
      <w:r w:rsidRPr="0025250D">
        <w:rPr>
          <w:rFonts w:hint="cs"/>
          <w:rtl/>
        </w:rPr>
        <w:t>ی</w:t>
      </w:r>
      <w:r w:rsidRPr="0025250D">
        <w:rPr>
          <w:rFonts w:hint="eastAsia"/>
          <w:rtl/>
        </w:rPr>
        <w:t>ن</w:t>
      </w:r>
      <w:r w:rsidRPr="0025250D">
        <w:rPr>
          <w:rtl/>
        </w:rPr>
        <w:t xml:space="preserve"> نوع </w:t>
      </w:r>
      <w:r w:rsidR="00B124DE" w:rsidRPr="0025250D">
        <w:rPr>
          <w:rFonts w:hint="cs"/>
          <w:rtl/>
        </w:rPr>
        <w:t>آینده‌اندیش</w:t>
      </w:r>
      <w:r w:rsidRPr="0025250D">
        <w:rPr>
          <w:rFonts w:hint="cs"/>
          <w:rtl/>
        </w:rPr>
        <w:t>ی</w:t>
      </w:r>
      <w:r w:rsidRPr="0025250D">
        <w:rPr>
          <w:rtl/>
        </w:rPr>
        <w:t xml:space="preserve"> را ترج</w:t>
      </w:r>
      <w:r w:rsidRPr="0025250D">
        <w:rPr>
          <w:rFonts w:hint="cs"/>
          <w:rtl/>
        </w:rPr>
        <w:t>ی</w:t>
      </w:r>
      <w:r w:rsidRPr="0025250D">
        <w:rPr>
          <w:rFonts w:hint="eastAsia"/>
          <w:rtl/>
        </w:rPr>
        <w:t>ح</w:t>
      </w:r>
      <w:r w:rsidRPr="0025250D">
        <w:rPr>
          <w:rtl/>
        </w:rPr>
        <w:t xml:space="preserve"> م</w:t>
      </w:r>
      <w:r w:rsidRPr="0025250D">
        <w:rPr>
          <w:rFonts w:hint="cs"/>
          <w:rtl/>
        </w:rPr>
        <w:t>ی‌</w:t>
      </w:r>
      <w:r w:rsidRPr="0025250D">
        <w:rPr>
          <w:rFonts w:hint="eastAsia"/>
          <w:rtl/>
        </w:rPr>
        <w:t>ده</w:t>
      </w:r>
      <w:r w:rsidRPr="0025250D">
        <w:rPr>
          <w:rFonts w:hint="cs"/>
          <w:rtl/>
        </w:rPr>
        <w:t>ی</w:t>
      </w:r>
      <w:r w:rsidRPr="0025250D">
        <w:rPr>
          <w:rFonts w:hint="eastAsia"/>
          <w:rtl/>
        </w:rPr>
        <w:t>م،</w:t>
      </w:r>
      <w:r w:rsidRPr="0025250D">
        <w:rPr>
          <w:rtl/>
        </w:rPr>
        <w:t xml:space="preserve"> ارائه م</w:t>
      </w:r>
      <w:r w:rsidRPr="0025250D">
        <w:rPr>
          <w:rFonts w:hint="cs"/>
          <w:rtl/>
        </w:rPr>
        <w:t>ی‌</w:t>
      </w:r>
      <w:r w:rsidRPr="0025250D">
        <w:rPr>
          <w:rFonts w:hint="eastAsia"/>
          <w:rtl/>
        </w:rPr>
        <w:t>کند</w:t>
      </w:r>
      <w:r w:rsidRPr="0025250D">
        <w:rPr>
          <w:rtl/>
        </w:rPr>
        <w:t xml:space="preserve">. </w:t>
      </w:r>
      <w:r w:rsidRPr="0025250D">
        <w:rPr>
          <w:rFonts w:hint="cs"/>
          <w:rtl/>
        </w:rPr>
        <w:t xml:space="preserve">این </w:t>
      </w:r>
      <w:r w:rsidRPr="0025250D">
        <w:rPr>
          <w:rtl/>
        </w:rPr>
        <w:t>کتاب تص</w:t>
      </w:r>
      <w:r w:rsidRPr="0025250D">
        <w:rPr>
          <w:rFonts w:hint="eastAsia"/>
          <w:rtl/>
        </w:rPr>
        <w:t>و</w:t>
      </w:r>
      <w:r w:rsidRPr="0025250D">
        <w:rPr>
          <w:rFonts w:hint="cs"/>
          <w:rtl/>
        </w:rPr>
        <w:t>ی</w:t>
      </w:r>
      <w:r w:rsidRPr="0025250D">
        <w:rPr>
          <w:rFonts w:hint="eastAsia"/>
          <w:rtl/>
        </w:rPr>
        <w:t>ر</w:t>
      </w:r>
      <w:r w:rsidRPr="0025250D">
        <w:rPr>
          <w:rtl/>
        </w:rPr>
        <w:t xml:space="preserve"> </w:t>
      </w:r>
      <w:r w:rsidRPr="0025250D">
        <w:rPr>
          <w:rFonts w:hint="cs"/>
          <w:rtl/>
        </w:rPr>
        <w:t>کلان</w:t>
      </w:r>
      <w:r w:rsidRPr="0025250D">
        <w:rPr>
          <w:rtl/>
        </w:rPr>
        <w:t xml:space="preserve"> خوب</w:t>
      </w:r>
      <w:r w:rsidRPr="0025250D">
        <w:rPr>
          <w:rFonts w:hint="cs"/>
          <w:rtl/>
        </w:rPr>
        <w:t>ی</w:t>
      </w:r>
      <w:r w:rsidRPr="0025250D">
        <w:rPr>
          <w:rtl/>
        </w:rPr>
        <w:t xml:space="preserve"> برا</w:t>
      </w:r>
      <w:r w:rsidRPr="0025250D">
        <w:rPr>
          <w:rFonts w:hint="cs"/>
          <w:rtl/>
        </w:rPr>
        <w:t>ی</w:t>
      </w:r>
      <w:r w:rsidRPr="0025250D">
        <w:rPr>
          <w:rtl/>
        </w:rPr>
        <w:t xml:space="preserve"> شروع سفر ما در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رهبر</w:t>
      </w:r>
      <w:r w:rsidRPr="0025250D">
        <w:rPr>
          <w:rFonts w:hint="cs"/>
          <w:rtl/>
        </w:rPr>
        <w:t>ی ارائه می دهد</w:t>
      </w:r>
      <w:r w:rsidRPr="0025250D">
        <w:rPr>
          <w:rtl/>
        </w:rPr>
        <w:t>.</w:t>
      </w:r>
    </w:p>
    <w:p w14:paraId="74735762" w14:textId="23E730D9" w:rsidR="0037616D" w:rsidRPr="0025250D" w:rsidRDefault="0037616D" w:rsidP="00492C47">
      <w:pPr>
        <w:numPr>
          <w:ilvl w:val="0"/>
          <w:numId w:val="80"/>
        </w:numPr>
      </w:pPr>
      <w:r w:rsidRPr="0025250D">
        <w:t>FYI</w:t>
      </w:r>
      <w:r w:rsidRPr="0025250D">
        <w:rPr>
          <w:rtl/>
        </w:rPr>
        <w:t>: برا</w:t>
      </w:r>
      <w:r w:rsidRPr="0025250D">
        <w:rPr>
          <w:rFonts w:hint="cs"/>
          <w:rtl/>
        </w:rPr>
        <w:t>ی</w:t>
      </w:r>
      <w:r w:rsidRPr="0025250D">
        <w:rPr>
          <w:rtl/>
        </w:rPr>
        <w:t xml:space="preserve"> بهبود شما - راهنما</w:t>
      </w:r>
      <w:r w:rsidRPr="0025250D">
        <w:rPr>
          <w:rFonts w:hint="cs"/>
          <w:rtl/>
        </w:rPr>
        <w:t>ی</w:t>
      </w:r>
      <w:r w:rsidRPr="0025250D">
        <w:rPr>
          <w:rtl/>
        </w:rPr>
        <w:t xml:space="preserve"> توسعه رهبر</w:t>
      </w:r>
      <w:r w:rsidRPr="0025250D">
        <w:rPr>
          <w:rFonts w:hint="cs"/>
          <w:rtl/>
        </w:rPr>
        <w:t xml:space="preserve">ی. </w:t>
      </w:r>
      <w:r w:rsidRPr="0025250D">
        <w:rPr>
          <w:rtl/>
        </w:rPr>
        <w:t>کورن فر</w:t>
      </w:r>
      <w:r w:rsidRPr="0025250D">
        <w:rPr>
          <w:rFonts w:hint="cs"/>
          <w:rtl/>
        </w:rPr>
        <w:t>ی</w:t>
      </w:r>
      <w:r w:rsidRPr="0025250D">
        <w:rPr>
          <w:rFonts w:hint="eastAsia"/>
          <w:rtl/>
        </w:rPr>
        <w:t>،</w:t>
      </w:r>
      <w:r w:rsidRPr="0025250D">
        <w:rPr>
          <w:rtl/>
        </w:rPr>
        <w:t xml:space="preserve"> 2017. مدل رهبر</w:t>
      </w:r>
      <w:r w:rsidRPr="0025250D">
        <w:rPr>
          <w:rFonts w:hint="cs"/>
          <w:rtl/>
        </w:rPr>
        <w:t>ی</w:t>
      </w:r>
      <w:r w:rsidRPr="0025250D">
        <w:rPr>
          <w:rtl/>
        </w:rPr>
        <w:t xml:space="preserve"> مبتن</w:t>
      </w:r>
      <w:r w:rsidRPr="0025250D">
        <w:rPr>
          <w:rFonts w:hint="cs"/>
          <w:rtl/>
        </w:rPr>
        <w:t>ی</w:t>
      </w:r>
      <w:r w:rsidRPr="0025250D">
        <w:rPr>
          <w:rtl/>
        </w:rPr>
        <w:t xml:space="preserve"> بر شواهد و چارچوب</w:t>
      </w:r>
      <w:r w:rsidRPr="0025250D">
        <w:rPr>
          <w:rFonts w:hint="cs"/>
          <w:rtl/>
        </w:rPr>
        <w:t>ی</w:t>
      </w:r>
      <w:r w:rsidRPr="0025250D">
        <w:rPr>
          <w:rtl/>
        </w:rPr>
        <w:t xml:space="preserve"> متنوع از س</w:t>
      </w:r>
      <w:r w:rsidRPr="0025250D">
        <w:rPr>
          <w:rFonts w:hint="cs"/>
          <w:rtl/>
        </w:rPr>
        <w:t>ی</w:t>
      </w:r>
      <w:r w:rsidRPr="0025250D">
        <w:rPr>
          <w:rtl/>
        </w:rPr>
        <w:t xml:space="preserve"> و هشت شا</w:t>
      </w:r>
      <w:r w:rsidRPr="0025250D">
        <w:rPr>
          <w:rFonts w:hint="cs"/>
          <w:rtl/>
        </w:rPr>
        <w:t>ی</w:t>
      </w:r>
      <w:r w:rsidRPr="0025250D">
        <w:rPr>
          <w:rFonts w:hint="eastAsia"/>
          <w:rtl/>
        </w:rPr>
        <w:t>ستگ</w:t>
      </w:r>
      <w:r w:rsidRPr="0025250D">
        <w:rPr>
          <w:rFonts w:hint="cs"/>
          <w:rtl/>
        </w:rPr>
        <w:t>ی</w:t>
      </w:r>
      <w:r w:rsidRPr="0025250D">
        <w:rPr>
          <w:rtl/>
        </w:rPr>
        <w:t xml:space="preserve"> برا</w:t>
      </w:r>
      <w:r w:rsidRPr="0025250D">
        <w:rPr>
          <w:rFonts w:hint="cs"/>
          <w:rtl/>
        </w:rPr>
        <w:t>ی</w:t>
      </w:r>
      <w:r w:rsidRPr="0025250D">
        <w:rPr>
          <w:rtl/>
        </w:rPr>
        <w:t xml:space="preserve"> توسعه رهبر</w:t>
      </w:r>
      <w:r w:rsidRPr="0025250D">
        <w:rPr>
          <w:rFonts w:hint="cs"/>
          <w:rtl/>
        </w:rPr>
        <w:t>ی</w:t>
      </w:r>
      <w:r w:rsidRPr="0025250D">
        <w:rPr>
          <w:rtl/>
        </w:rPr>
        <w:t>. شامل مجموعه ا</w:t>
      </w:r>
      <w:r w:rsidRPr="0025250D">
        <w:rPr>
          <w:rFonts w:hint="cs"/>
          <w:rtl/>
        </w:rPr>
        <w:t>ی</w:t>
      </w:r>
      <w:r w:rsidRPr="0025250D">
        <w:rPr>
          <w:rtl/>
        </w:rPr>
        <w:t xml:space="preserve"> عال</w:t>
      </w:r>
      <w:r w:rsidRPr="0025250D">
        <w:rPr>
          <w:rFonts w:hint="cs"/>
          <w:rtl/>
        </w:rPr>
        <w:t>ی</w:t>
      </w:r>
      <w:r w:rsidRPr="0025250D">
        <w:rPr>
          <w:rtl/>
        </w:rPr>
        <w:t xml:space="preserve"> از سوالات و تمر</w:t>
      </w:r>
      <w:r w:rsidRPr="0025250D">
        <w:rPr>
          <w:rFonts w:hint="cs"/>
          <w:rtl/>
        </w:rPr>
        <w:t>ی</w:t>
      </w:r>
      <w:r w:rsidRPr="0025250D">
        <w:rPr>
          <w:rFonts w:hint="eastAsia"/>
          <w:rtl/>
        </w:rPr>
        <w:t>نات</w:t>
      </w:r>
      <w:r w:rsidRPr="0025250D">
        <w:rPr>
          <w:rtl/>
        </w:rPr>
        <w:t xml:space="preserve"> است. </w:t>
      </w:r>
      <w:r w:rsidRPr="0025250D">
        <w:rPr>
          <w:rFonts w:hint="cs"/>
          <w:rtl/>
        </w:rPr>
        <w:t>ی</w:t>
      </w:r>
      <w:r w:rsidRPr="0025250D">
        <w:rPr>
          <w:rFonts w:hint="eastAsia"/>
          <w:rtl/>
        </w:rPr>
        <w:t>افتن</w:t>
      </w:r>
      <w:r w:rsidRPr="0025250D">
        <w:rPr>
          <w:rtl/>
        </w:rPr>
        <w:t xml:space="preserve"> آخر</w:t>
      </w:r>
      <w:r w:rsidRPr="0025250D">
        <w:rPr>
          <w:rFonts w:hint="cs"/>
          <w:rtl/>
        </w:rPr>
        <w:t>ی</w:t>
      </w:r>
      <w:r w:rsidRPr="0025250D">
        <w:rPr>
          <w:rFonts w:hint="eastAsia"/>
          <w:rtl/>
        </w:rPr>
        <w:t>ن</w:t>
      </w:r>
      <w:r w:rsidRPr="0025250D">
        <w:rPr>
          <w:rtl/>
        </w:rPr>
        <w:t xml:space="preserve"> نسخه </w:t>
      </w:r>
      <w:r w:rsidRPr="0025250D">
        <w:t>FYI</w:t>
      </w:r>
      <w:r w:rsidRPr="0025250D">
        <w:rPr>
          <w:rtl/>
        </w:rPr>
        <w:t xml:space="preserve"> سخت است، اما نسخه ها</w:t>
      </w:r>
      <w:r w:rsidRPr="0025250D">
        <w:rPr>
          <w:rFonts w:hint="cs"/>
          <w:rtl/>
        </w:rPr>
        <w:t>ی</w:t>
      </w:r>
      <w:r w:rsidRPr="0025250D">
        <w:rPr>
          <w:rtl/>
        </w:rPr>
        <w:t xml:space="preserve"> قد</w:t>
      </w:r>
      <w:r w:rsidRPr="0025250D">
        <w:rPr>
          <w:rFonts w:hint="cs"/>
          <w:rtl/>
        </w:rPr>
        <w:t>ی</w:t>
      </w:r>
      <w:r w:rsidRPr="0025250D">
        <w:rPr>
          <w:rFonts w:hint="eastAsia"/>
          <w:rtl/>
        </w:rPr>
        <w:t>م</w:t>
      </w:r>
      <w:r w:rsidRPr="0025250D">
        <w:rPr>
          <w:rFonts w:hint="cs"/>
          <w:rtl/>
        </w:rPr>
        <w:t>ی</w:t>
      </w:r>
      <w:r w:rsidRPr="0025250D">
        <w:rPr>
          <w:rtl/>
        </w:rPr>
        <w:t xml:space="preserve"> تر به راحت</w:t>
      </w:r>
      <w:r w:rsidRPr="0025250D">
        <w:rPr>
          <w:rFonts w:hint="cs"/>
          <w:rtl/>
        </w:rPr>
        <w:t>ی</w:t>
      </w:r>
      <w:r w:rsidRPr="0025250D">
        <w:rPr>
          <w:rtl/>
        </w:rPr>
        <w:t xml:space="preserve"> در دسترس هستند. برا</w:t>
      </w:r>
      <w:r w:rsidRPr="0025250D">
        <w:rPr>
          <w:rFonts w:hint="cs"/>
          <w:rtl/>
        </w:rPr>
        <w:t>ی</w:t>
      </w:r>
      <w:r w:rsidRPr="0025250D">
        <w:rPr>
          <w:rtl/>
        </w:rPr>
        <w:t xml:space="preserve"> کسان</w:t>
      </w:r>
      <w:r w:rsidRPr="0025250D">
        <w:rPr>
          <w:rFonts w:hint="cs"/>
          <w:rtl/>
        </w:rPr>
        <w:t>ی</w:t>
      </w:r>
      <w:r w:rsidRPr="0025250D">
        <w:rPr>
          <w:rtl/>
        </w:rPr>
        <w:t xml:space="preserve"> که ما</w:t>
      </w:r>
      <w:r w:rsidRPr="0025250D">
        <w:rPr>
          <w:rFonts w:hint="cs"/>
          <w:rtl/>
        </w:rPr>
        <w:t>ی</w:t>
      </w:r>
      <w:r w:rsidRPr="0025250D">
        <w:rPr>
          <w:rFonts w:hint="eastAsia"/>
          <w:rtl/>
        </w:rPr>
        <w:t>ل</w:t>
      </w:r>
      <w:r w:rsidRPr="0025250D">
        <w:rPr>
          <w:rtl/>
        </w:rPr>
        <w:t xml:space="preserve"> به انجام ار</w:t>
      </w:r>
      <w:r w:rsidRPr="0025250D">
        <w:rPr>
          <w:rFonts w:hint="eastAsia"/>
          <w:rtl/>
        </w:rPr>
        <w:t>ز</w:t>
      </w:r>
      <w:r w:rsidRPr="0025250D">
        <w:rPr>
          <w:rFonts w:hint="cs"/>
          <w:rtl/>
        </w:rPr>
        <w:t>ی</w:t>
      </w:r>
      <w:r w:rsidRPr="0025250D">
        <w:rPr>
          <w:rFonts w:hint="eastAsia"/>
          <w:rtl/>
        </w:rPr>
        <w:t>اب</w:t>
      </w:r>
      <w:r w:rsidRPr="0025250D">
        <w:rPr>
          <w:rFonts w:hint="cs"/>
          <w:rtl/>
        </w:rPr>
        <w:t>ی</w:t>
      </w:r>
      <w:r w:rsidRPr="0025250D">
        <w:rPr>
          <w:rtl/>
        </w:rPr>
        <w:t xml:space="preserve"> ها</w:t>
      </w:r>
      <w:r w:rsidRPr="0025250D">
        <w:rPr>
          <w:rFonts w:hint="cs"/>
          <w:rtl/>
        </w:rPr>
        <w:t>ی</w:t>
      </w:r>
      <w:r w:rsidRPr="0025250D">
        <w:rPr>
          <w:rtl/>
        </w:rPr>
        <w:t xml:space="preserve"> ز</w:t>
      </w:r>
      <w:r w:rsidRPr="0025250D">
        <w:rPr>
          <w:rFonts w:hint="cs"/>
          <w:rtl/>
        </w:rPr>
        <w:t>ی</w:t>
      </w:r>
      <w:r w:rsidRPr="0025250D">
        <w:rPr>
          <w:rFonts w:hint="eastAsia"/>
          <w:rtl/>
        </w:rPr>
        <w:t>اد</w:t>
      </w:r>
      <w:r w:rsidRPr="0025250D">
        <w:rPr>
          <w:rFonts w:hint="cs"/>
          <w:rtl/>
        </w:rPr>
        <w:t>ی</w:t>
      </w:r>
      <w:r w:rsidRPr="0025250D">
        <w:rPr>
          <w:rtl/>
        </w:rPr>
        <w:t xml:space="preserve"> هستند</w:t>
      </w:r>
      <w:r w:rsidRPr="0025250D">
        <w:rPr>
          <w:rFonts w:hint="cs"/>
          <w:rtl/>
        </w:rPr>
        <w:t>،</w:t>
      </w:r>
      <w:r w:rsidRPr="0025250D">
        <w:rPr>
          <w:rtl/>
        </w:rPr>
        <w:t xml:space="preserve"> توص</w:t>
      </w:r>
      <w:r w:rsidRPr="0025250D">
        <w:rPr>
          <w:rFonts w:hint="cs"/>
          <w:rtl/>
        </w:rPr>
        <w:t>ی</w:t>
      </w:r>
      <w:r w:rsidRPr="0025250D">
        <w:rPr>
          <w:rFonts w:hint="eastAsia"/>
          <w:rtl/>
        </w:rPr>
        <w:t>ه</w:t>
      </w:r>
      <w:r w:rsidRPr="0025250D">
        <w:rPr>
          <w:rtl/>
        </w:rPr>
        <w:t xml:space="preserve"> م</w:t>
      </w:r>
      <w:r w:rsidRPr="0025250D">
        <w:rPr>
          <w:rFonts w:hint="cs"/>
          <w:rtl/>
        </w:rPr>
        <w:t>ی</w:t>
      </w:r>
      <w:r w:rsidRPr="0025250D">
        <w:rPr>
          <w:rtl/>
        </w:rPr>
        <w:t xml:space="preserve"> شود.</w:t>
      </w:r>
    </w:p>
    <w:p w14:paraId="07EC4DBB" w14:textId="77777777" w:rsidR="0037616D" w:rsidRPr="0025250D" w:rsidRDefault="0037616D" w:rsidP="00492C47">
      <w:pPr>
        <w:numPr>
          <w:ilvl w:val="0"/>
          <w:numId w:val="80"/>
        </w:numPr>
      </w:pPr>
      <w:r w:rsidRPr="0025250D">
        <w:rPr>
          <w:rtl/>
        </w:rPr>
        <w:t>هوش مشارکت</w:t>
      </w:r>
      <w:r w:rsidRPr="0025250D">
        <w:rPr>
          <w:rFonts w:hint="cs"/>
          <w:rtl/>
        </w:rPr>
        <w:t>ی</w:t>
      </w:r>
      <w:r w:rsidRPr="0025250D">
        <w:rPr>
          <w:rtl/>
        </w:rPr>
        <w:t>: تفکر با افراد</w:t>
      </w:r>
      <w:r w:rsidRPr="0025250D">
        <w:rPr>
          <w:rFonts w:hint="cs"/>
          <w:rtl/>
        </w:rPr>
        <w:t>ی</w:t>
      </w:r>
      <w:r w:rsidRPr="0025250D">
        <w:rPr>
          <w:rtl/>
        </w:rPr>
        <w:t xml:space="preserve"> که متفاوت فکر م</w:t>
      </w:r>
      <w:r w:rsidRPr="0025250D">
        <w:rPr>
          <w:rFonts w:hint="cs"/>
          <w:rtl/>
        </w:rPr>
        <w:t>ی</w:t>
      </w:r>
      <w:r w:rsidRPr="0025250D">
        <w:rPr>
          <w:rtl/>
        </w:rPr>
        <w:t xml:space="preserve"> کنند، داونا مارکووا و آنج</w:t>
      </w:r>
      <w:r w:rsidRPr="0025250D">
        <w:rPr>
          <w:rFonts w:hint="cs"/>
          <w:rtl/>
        </w:rPr>
        <w:t>ی</w:t>
      </w:r>
      <w:r w:rsidRPr="0025250D">
        <w:rPr>
          <w:rtl/>
        </w:rPr>
        <w:t xml:space="preserve"> مک آرتور</w:t>
      </w:r>
      <w:r w:rsidRPr="0025250D">
        <w:rPr>
          <w:vertAlign w:val="superscript"/>
          <w:rtl/>
        </w:rPr>
        <w:footnoteReference w:id="3415"/>
      </w:r>
      <w:r w:rsidRPr="0025250D">
        <w:rPr>
          <w:rtl/>
        </w:rPr>
        <w:t>، 2015. ا</w:t>
      </w:r>
      <w:r w:rsidRPr="0025250D">
        <w:rPr>
          <w:rFonts w:hint="cs"/>
          <w:rtl/>
        </w:rPr>
        <w:t>ی</w:t>
      </w:r>
      <w:r w:rsidRPr="0025250D">
        <w:rPr>
          <w:rFonts w:hint="eastAsia"/>
          <w:rtl/>
        </w:rPr>
        <w:t>ن</w:t>
      </w:r>
      <w:r w:rsidRPr="0025250D">
        <w:rPr>
          <w:rtl/>
        </w:rPr>
        <w:t xml:space="preserve"> کتاب به شما کمک م</w:t>
      </w:r>
      <w:r w:rsidRPr="0025250D">
        <w:rPr>
          <w:rFonts w:hint="cs"/>
          <w:rtl/>
        </w:rPr>
        <w:t>ی</w:t>
      </w:r>
      <w:r w:rsidRPr="0025250D">
        <w:rPr>
          <w:rtl/>
        </w:rPr>
        <w:t xml:space="preserve"> کند فرهنگ</w:t>
      </w:r>
      <w:r w:rsidRPr="0025250D">
        <w:rPr>
          <w:rFonts w:hint="cs"/>
          <w:rtl/>
        </w:rPr>
        <w:t>ی</w:t>
      </w:r>
      <w:r w:rsidRPr="0025250D">
        <w:rPr>
          <w:rtl/>
        </w:rPr>
        <w:t xml:space="preserve"> از افراد</w:t>
      </w:r>
      <w:r w:rsidRPr="0025250D">
        <w:rPr>
          <w:rFonts w:hint="cs"/>
          <w:rtl/>
        </w:rPr>
        <w:t>ی</w:t>
      </w:r>
      <w:r w:rsidRPr="0025250D">
        <w:rPr>
          <w:rtl/>
        </w:rPr>
        <w:t xml:space="preserve"> ا</w:t>
      </w:r>
      <w:r w:rsidRPr="0025250D">
        <w:rPr>
          <w:rFonts w:hint="cs"/>
          <w:rtl/>
        </w:rPr>
        <w:t>ی</w:t>
      </w:r>
      <w:r w:rsidRPr="0025250D">
        <w:rPr>
          <w:rFonts w:hint="eastAsia"/>
          <w:rtl/>
        </w:rPr>
        <w:t>جاد</w:t>
      </w:r>
      <w:r w:rsidRPr="0025250D">
        <w:rPr>
          <w:rtl/>
        </w:rPr>
        <w:t xml:space="preserve"> کن</w:t>
      </w:r>
      <w:r w:rsidRPr="0025250D">
        <w:rPr>
          <w:rFonts w:hint="cs"/>
          <w:rtl/>
        </w:rPr>
        <w:t>ی</w:t>
      </w:r>
      <w:r w:rsidRPr="0025250D">
        <w:rPr>
          <w:rFonts w:hint="eastAsia"/>
          <w:rtl/>
        </w:rPr>
        <w:t>د</w:t>
      </w:r>
      <w:r w:rsidRPr="0025250D">
        <w:rPr>
          <w:rtl/>
        </w:rPr>
        <w:t xml:space="preserve"> که متفاوت فکر م</w:t>
      </w:r>
      <w:r w:rsidRPr="0025250D">
        <w:rPr>
          <w:rFonts w:hint="cs"/>
          <w:rtl/>
        </w:rPr>
        <w:t>ی</w:t>
      </w:r>
      <w:r w:rsidRPr="0025250D">
        <w:rPr>
          <w:rtl/>
        </w:rPr>
        <w:t xml:space="preserve"> کنند، اما م</w:t>
      </w:r>
      <w:r w:rsidRPr="0025250D">
        <w:rPr>
          <w:rFonts w:hint="cs"/>
          <w:rtl/>
        </w:rPr>
        <w:t>ی</w:t>
      </w:r>
      <w:r w:rsidRPr="0025250D">
        <w:rPr>
          <w:rtl/>
        </w:rPr>
        <w:t xml:space="preserve"> توانند با افراد</w:t>
      </w:r>
      <w:r w:rsidRPr="0025250D">
        <w:rPr>
          <w:rFonts w:hint="cs"/>
          <w:rtl/>
        </w:rPr>
        <w:t>ی</w:t>
      </w:r>
      <w:r w:rsidRPr="0025250D">
        <w:rPr>
          <w:rtl/>
        </w:rPr>
        <w:t xml:space="preserve"> که اغلب با آنها مخالف هستند همدل</w:t>
      </w:r>
      <w:r w:rsidRPr="0025250D">
        <w:rPr>
          <w:rFonts w:hint="cs"/>
          <w:rtl/>
        </w:rPr>
        <w:t>ی</w:t>
      </w:r>
      <w:r w:rsidRPr="0025250D">
        <w:rPr>
          <w:rtl/>
        </w:rPr>
        <w:t xml:space="preserve"> کنند و زم</w:t>
      </w:r>
      <w:r w:rsidRPr="0025250D">
        <w:rPr>
          <w:rFonts w:hint="cs"/>
          <w:rtl/>
        </w:rPr>
        <w:t>ی</w:t>
      </w:r>
      <w:r w:rsidRPr="0025250D">
        <w:rPr>
          <w:rFonts w:hint="eastAsia"/>
          <w:rtl/>
        </w:rPr>
        <w:t>نه</w:t>
      </w:r>
      <w:r w:rsidRPr="0025250D">
        <w:rPr>
          <w:rtl/>
        </w:rPr>
        <w:t xml:space="preserve"> ها</w:t>
      </w:r>
      <w:r w:rsidRPr="0025250D">
        <w:rPr>
          <w:rFonts w:hint="cs"/>
          <w:rtl/>
        </w:rPr>
        <w:t>ی</w:t>
      </w:r>
      <w:r w:rsidRPr="0025250D">
        <w:rPr>
          <w:rtl/>
        </w:rPr>
        <w:t xml:space="preserve"> مشترک پ</w:t>
      </w:r>
      <w:r w:rsidRPr="0025250D">
        <w:rPr>
          <w:rFonts w:hint="cs"/>
          <w:rtl/>
        </w:rPr>
        <w:t>ی</w:t>
      </w:r>
      <w:r w:rsidRPr="0025250D">
        <w:rPr>
          <w:rFonts w:hint="eastAsia"/>
          <w:rtl/>
        </w:rPr>
        <w:t>دا</w:t>
      </w:r>
      <w:r w:rsidRPr="0025250D">
        <w:rPr>
          <w:rtl/>
        </w:rPr>
        <w:t xml:space="preserve"> کنند. بهتر</w:t>
      </w:r>
      <w:r w:rsidRPr="0025250D">
        <w:rPr>
          <w:rFonts w:hint="cs"/>
          <w:rtl/>
        </w:rPr>
        <w:t>ی</w:t>
      </w:r>
      <w:r w:rsidRPr="0025250D">
        <w:rPr>
          <w:rFonts w:hint="eastAsia"/>
          <w:rtl/>
        </w:rPr>
        <w:t>ن</w:t>
      </w:r>
      <w:r w:rsidRPr="0025250D">
        <w:rPr>
          <w:rtl/>
        </w:rPr>
        <w:t xml:space="preserve"> ت</w:t>
      </w:r>
      <w:r w:rsidRPr="0025250D">
        <w:rPr>
          <w:rFonts w:hint="cs"/>
          <w:rtl/>
        </w:rPr>
        <w:t>ی</w:t>
      </w:r>
      <w:r w:rsidRPr="0025250D">
        <w:rPr>
          <w:rFonts w:hint="eastAsia"/>
          <w:rtl/>
        </w:rPr>
        <w:t>م</w:t>
      </w:r>
      <w:r w:rsidRPr="0025250D">
        <w:rPr>
          <w:rtl/>
        </w:rPr>
        <w:t xml:space="preserve"> ها با</w:t>
      </w:r>
      <w:r w:rsidRPr="0025250D">
        <w:rPr>
          <w:rFonts w:hint="cs"/>
          <w:rtl/>
        </w:rPr>
        <w:t>ی</w:t>
      </w:r>
      <w:r w:rsidRPr="0025250D">
        <w:rPr>
          <w:rFonts w:hint="eastAsia"/>
          <w:rtl/>
        </w:rPr>
        <w:t>د</w:t>
      </w:r>
      <w:r w:rsidRPr="0025250D">
        <w:rPr>
          <w:rtl/>
        </w:rPr>
        <w:t xml:space="preserve"> از تنوع شناخت</w:t>
      </w:r>
      <w:r w:rsidRPr="0025250D">
        <w:rPr>
          <w:rFonts w:hint="cs"/>
          <w:rtl/>
        </w:rPr>
        <w:t>ی</w:t>
      </w:r>
      <w:r w:rsidRPr="0025250D">
        <w:rPr>
          <w:rFonts w:hint="eastAsia"/>
          <w:rtl/>
        </w:rPr>
        <w:t>،</w:t>
      </w:r>
      <w:r w:rsidRPr="0025250D">
        <w:rPr>
          <w:rtl/>
        </w:rPr>
        <w:t xml:space="preserve"> تجربه و مهارت عم</w:t>
      </w:r>
      <w:r w:rsidRPr="0025250D">
        <w:rPr>
          <w:rFonts w:hint="cs"/>
          <w:rtl/>
        </w:rPr>
        <w:t>ی</w:t>
      </w:r>
      <w:r w:rsidRPr="0025250D">
        <w:rPr>
          <w:rFonts w:hint="eastAsia"/>
          <w:rtl/>
        </w:rPr>
        <w:t>ق</w:t>
      </w:r>
      <w:r w:rsidRPr="0025250D">
        <w:rPr>
          <w:rtl/>
        </w:rPr>
        <w:t xml:space="preserve"> برخوردار باشند.</w:t>
      </w:r>
    </w:p>
    <w:p w14:paraId="0F6EAD9E" w14:textId="7749C8C0" w:rsidR="0037616D" w:rsidRPr="0025250D" w:rsidRDefault="0037616D" w:rsidP="00492C47">
      <w:pPr>
        <w:numPr>
          <w:ilvl w:val="0"/>
          <w:numId w:val="80"/>
        </w:numPr>
      </w:pPr>
      <w:r w:rsidRPr="0025250D">
        <w:t>F.I.R.E</w:t>
      </w:r>
      <w:r w:rsidRPr="0025250D">
        <w:rPr>
          <w:rtl/>
        </w:rPr>
        <w:t>.</w:t>
      </w:r>
      <w:r w:rsidRPr="0025250D">
        <w:rPr>
          <w:rFonts w:hint="cs"/>
          <w:rtl/>
        </w:rPr>
        <w:t xml:space="preserve">: روش ها چقدر سریع، ارزان، محدود و ظریف نوآوری را برمی انگیزانند، </w:t>
      </w:r>
      <w:r w:rsidRPr="0025250D">
        <w:rPr>
          <w:rtl/>
        </w:rPr>
        <w:t>دن وارد</w:t>
      </w:r>
      <w:r w:rsidRPr="0025250D">
        <w:rPr>
          <w:vertAlign w:val="superscript"/>
          <w:rtl/>
        </w:rPr>
        <w:footnoteReference w:id="3416"/>
      </w:r>
      <w:r w:rsidRPr="0025250D">
        <w:rPr>
          <w:rtl/>
        </w:rPr>
        <w:t>، 2014</w:t>
      </w:r>
      <w:r w:rsidRPr="0025250D">
        <w:rPr>
          <w:rFonts w:hint="cs"/>
          <w:rtl/>
        </w:rPr>
        <w:t>. ی</w:t>
      </w:r>
      <w:r w:rsidRPr="0025250D">
        <w:rPr>
          <w:rFonts w:hint="eastAsia"/>
          <w:rtl/>
        </w:rPr>
        <w:t>ک</w:t>
      </w:r>
      <w:r w:rsidRPr="0025250D">
        <w:rPr>
          <w:rtl/>
        </w:rPr>
        <w:t xml:space="preserve"> کتاب عال</w:t>
      </w:r>
      <w:r w:rsidRPr="0025250D">
        <w:rPr>
          <w:rFonts w:hint="cs"/>
          <w:rtl/>
        </w:rPr>
        <w:t>ی</w:t>
      </w:r>
      <w:r w:rsidRPr="0025250D">
        <w:rPr>
          <w:rtl/>
        </w:rPr>
        <w:t xml:space="preserve"> در مورد تفکر طراح</w:t>
      </w:r>
      <w:r w:rsidRPr="0025250D">
        <w:rPr>
          <w:rFonts w:hint="cs"/>
          <w:rtl/>
        </w:rPr>
        <w:t>ی</w:t>
      </w:r>
      <w:r w:rsidRPr="0025250D">
        <w:rPr>
          <w:rtl/>
        </w:rPr>
        <w:t>. نمونه ها</w:t>
      </w:r>
      <w:r w:rsidRPr="0025250D">
        <w:rPr>
          <w:rFonts w:hint="cs"/>
          <w:rtl/>
        </w:rPr>
        <w:t>ی</w:t>
      </w:r>
      <w:r w:rsidRPr="0025250D">
        <w:rPr>
          <w:rtl/>
        </w:rPr>
        <w:t xml:space="preserve"> خوب</w:t>
      </w:r>
      <w:r w:rsidRPr="0025250D">
        <w:rPr>
          <w:rFonts w:hint="cs"/>
          <w:rtl/>
        </w:rPr>
        <w:t>ی</w:t>
      </w:r>
      <w:r w:rsidRPr="0025250D">
        <w:rPr>
          <w:rtl/>
        </w:rPr>
        <w:t xml:space="preserve"> از </w:t>
      </w:r>
      <w:r w:rsidRPr="0025250D">
        <w:rPr>
          <w:rFonts w:hint="cs"/>
          <w:rtl/>
        </w:rPr>
        <w:t xml:space="preserve">صنایع </w:t>
      </w:r>
      <w:r w:rsidRPr="0025250D">
        <w:rPr>
          <w:rtl/>
        </w:rPr>
        <w:t>دفاع</w:t>
      </w:r>
      <w:r w:rsidRPr="0025250D">
        <w:rPr>
          <w:rFonts w:hint="cs"/>
          <w:rtl/>
        </w:rPr>
        <w:t>ی</w:t>
      </w:r>
      <w:r w:rsidRPr="0025250D">
        <w:rPr>
          <w:rtl/>
        </w:rPr>
        <w:t xml:space="preserve"> و سا</w:t>
      </w:r>
      <w:r w:rsidRPr="0025250D">
        <w:rPr>
          <w:rFonts w:hint="cs"/>
          <w:rtl/>
        </w:rPr>
        <w:t>ی</w:t>
      </w:r>
      <w:r w:rsidRPr="0025250D">
        <w:rPr>
          <w:rFonts w:hint="eastAsia"/>
          <w:rtl/>
        </w:rPr>
        <w:t>ر</w:t>
      </w:r>
      <w:r w:rsidRPr="0025250D">
        <w:rPr>
          <w:rtl/>
        </w:rPr>
        <w:t xml:space="preserve"> سازمان ها</w:t>
      </w:r>
      <w:r w:rsidRPr="0025250D">
        <w:rPr>
          <w:rFonts w:hint="cs"/>
          <w:rtl/>
        </w:rPr>
        <w:t>ی</w:t>
      </w:r>
      <w:r w:rsidRPr="0025250D">
        <w:rPr>
          <w:rtl/>
        </w:rPr>
        <w:t xml:space="preserve"> بزرگ ارائه م</w:t>
      </w:r>
      <w:r w:rsidRPr="0025250D">
        <w:rPr>
          <w:rFonts w:hint="cs"/>
          <w:rtl/>
        </w:rPr>
        <w:t>ی</w:t>
      </w:r>
      <w:r w:rsidRPr="0025250D">
        <w:rPr>
          <w:rtl/>
        </w:rPr>
        <w:t xml:space="preserve"> دهد. اگر ت</w:t>
      </w:r>
      <w:r w:rsidRPr="0025250D">
        <w:rPr>
          <w:rFonts w:hint="cs"/>
          <w:rtl/>
        </w:rPr>
        <w:t>ی</w:t>
      </w:r>
      <w:r w:rsidRPr="0025250D">
        <w:rPr>
          <w:rFonts w:hint="eastAsia"/>
          <w:rtl/>
        </w:rPr>
        <w:t>م</w:t>
      </w:r>
      <w:r w:rsidRPr="0025250D">
        <w:rPr>
          <w:rtl/>
        </w:rPr>
        <w:t xml:space="preserve"> طراح</w:t>
      </w:r>
      <w:r w:rsidRPr="0025250D">
        <w:rPr>
          <w:rFonts w:hint="cs"/>
          <w:rtl/>
        </w:rPr>
        <w:t>ی</w:t>
      </w:r>
      <w:r w:rsidRPr="0025250D">
        <w:rPr>
          <w:rtl/>
        </w:rPr>
        <w:t xml:space="preserve"> شما بتواند پروژه ها</w:t>
      </w:r>
      <w:r w:rsidRPr="0025250D">
        <w:rPr>
          <w:rFonts w:hint="cs"/>
          <w:rtl/>
        </w:rPr>
        <w:t>ی</w:t>
      </w:r>
      <w:r w:rsidRPr="0025250D">
        <w:rPr>
          <w:rtl/>
        </w:rPr>
        <w:t xml:space="preserve"> خود را بر نتا</w:t>
      </w:r>
      <w:r w:rsidRPr="0025250D">
        <w:rPr>
          <w:rFonts w:hint="cs"/>
          <w:rtl/>
        </w:rPr>
        <w:t>ی</w:t>
      </w:r>
      <w:r w:rsidRPr="0025250D">
        <w:rPr>
          <w:rFonts w:hint="eastAsia"/>
          <w:rtl/>
        </w:rPr>
        <w:t>ج</w:t>
      </w:r>
      <w:r w:rsidRPr="0025250D">
        <w:rPr>
          <w:rtl/>
        </w:rPr>
        <w:t xml:space="preserve"> </w:t>
      </w:r>
      <w:r w:rsidRPr="0025250D">
        <w:t>FIRE</w:t>
      </w:r>
      <w:r w:rsidRPr="0025250D">
        <w:rPr>
          <w:rtl/>
        </w:rPr>
        <w:t xml:space="preserve"> متمرکز کند، نوآور</w:t>
      </w:r>
      <w:r w:rsidRPr="0025250D">
        <w:rPr>
          <w:rFonts w:hint="cs"/>
          <w:rtl/>
        </w:rPr>
        <w:t>ی</w:t>
      </w:r>
      <w:r w:rsidRPr="0025250D">
        <w:rPr>
          <w:rtl/>
        </w:rPr>
        <w:t xml:space="preserve"> را سر</w:t>
      </w:r>
      <w:r w:rsidRPr="0025250D">
        <w:rPr>
          <w:rFonts w:hint="cs"/>
          <w:rtl/>
        </w:rPr>
        <w:t>ی</w:t>
      </w:r>
      <w:r w:rsidRPr="0025250D">
        <w:rPr>
          <w:rFonts w:hint="eastAsia"/>
          <w:rtl/>
        </w:rPr>
        <w:t>عتر</w:t>
      </w:r>
      <w:r w:rsidRPr="0025250D">
        <w:rPr>
          <w:rtl/>
        </w:rPr>
        <w:t xml:space="preserve"> و بهتر از آنچه ذ</w:t>
      </w:r>
      <w:r w:rsidRPr="0025250D">
        <w:rPr>
          <w:rFonts w:hint="cs"/>
          <w:rtl/>
        </w:rPr>
        <w:t>ی</w:t>
      </w:r>
      <w:r w:rsidRPr="0025250D">
        <w:rPr>
          <w:rFonts w:hint="eastAsia"/>
          <w:rtl/>
        </w:rPr>
        <w:t>نفعان</w:t>
      </w:r>
      <w:r w:rsidRPr="0025250D">
        <w:rPr>
          <w:rtl/>
        </w:rPr>
        <w:t xml:space="preserve"> انتظار دارند</w:t>
      </w:r>
      <w:r w:rsidRPr="0025250D">
        <w:rPr>
          <w:rFonts w:hint="cs"/>
          <w:rtl/>
        </w:rPr>
        <w:t>،</w:t>
      </w:r>
      <w:r w:rsidRPr="0025250D">
        <w:rPr>
          <w:rtl/>
        </w:rPr>
        <w:t xml:space="preserve"> ارائه خواهد کرد. تکم</w:t>
      </w:r>
      <w:r w:rsidRPr="0025250D">
        <w:rPr>
          <w:rFonts w:hint="cs"/>
          <w:rtl/>
        </w:rPr>
        <w:t>ی</w:t>
      </w:r>
      <w:r w:rsidRPr="0025250D">
        <w:rPr>
          <w:rFonts w:hint="eastAsia"/>
          <w:rtl/>
        </w:rPr>
        <w:t>ل</w:t>
      </w:r>
      <w:r w:rsidRPr="0025250D">
        <w:rPr>
          <w:rtl/>
        </w:rPr>
        <w:t xml:space="preserve"> سر</w:t>
      </w:r>
      <w:r w:rsidRPr="0025250D">
        <w:rPr>
          <w:rFonts w:hint="cs"/>
          <w:rtl/>
        </w:rPr>
        <w:t>ی</w:t>
      </w:r>
      <w:r w:rsidRPr="0025250D">
        <w:rPr>
          <w:rFonts w:hint="eastAsia"/>
          <w:rtl/>
        </w:rPr>
        <w:t>ع</w:t>
      </w:r>
      <w:r w:rsidRPr="0025250D">
        <w:rPr>
          <w:rtl/>
        </w:rPr>
        <w:t xml:space="preserve"> پروژه ها</w:t>
      </w:r>
      <w:r w:rsidRPr="0025250D">
        <w:rPr>
          <w:rFonts w:hint="cs"/>
          <w:rtl/>
        </w:rPr>
        <w:t>ی</w:t>
      </w:r>
      <w:r w:rsidRPr="0025250D">
        <w:rPr>
          <w:rtl/>
        </w:rPr>
        <w:t xml:space="preserve"> </w:t>
      </w:r>
      <w:r w:rsidRPr="0025250D">
        <w:t>FIRE</w:t>
      </w:r>
      <w:r w:rsidRPr="0025250D">
        <w:rPr>
          <w:rtl/>
        </w:rPr>
        <w:t xml:space="preserve"> م</w:t>
      </w:r>
      <w:r w:rsidRPr="0025250D">
        <w:rPr>
          <w:rFonts w:hint="cs"/>
          <w:rtl/>
        </w:rPr>
        <w:t>ی</w:t>
      </w:r>
      <w:r w:rsidRPr="0025250D">
        <w:rPr>
          <w:rtl/>
        </w:rPr>
        <w:t xml:space="preserve"> تواند فرهنگ بدب</w:t>
      </w:r>
      <w:r w:rsidRPr="0025250D">
        <w:rPr>
          <w:rFonts w:hint="cs"/>
          <w:rtl/>
        </w:rPr>
        <w:t>ی</w:t>
      </w:r>
      <w:r w:rsidRPr="0025250D">
        <w:rPr>
          <w:rFonts w:hint="eastAsia"/>
          <w:rtl/>
        </w:rPr>
        <w:t>نانه</w:t>
      </w:r>
      <w:r w:rsidRPr="0025250D">
        <w:rPr>
          <w:rtl/>
        </w:rPr>
        <w:t xml:space="preserve"> را تغ</w:t>
      </w:r>
      <w:r w:rsidRPr="0025250D">
        <w:rPr>
          <w:rFonts w:hint="cs"/>
          <w:rtl/>
        </w:rPr>
        <w:t>یی</w:t>
      </w:r>
      <w:r w:rsidRPr="0025250D">
        <w:rPr>
          <w:rFonts w:hint="eastAsia"/>
          <w:rtl/>
        </w:rPr>
        <w:t>ر</w:t>
      </w:r>
      <w:r w:rsidRPr="0025250D">
        <w:rPr>
          <w:rtl/>
        </w:rPr>
        <w:t xml:space="preserve"> دهد و موفق</w:t>
      </w:r>
      <w:r w:rsidRPr="0025250D">
        <w:rPr>
          <w:rFonts w:hint="cs"/>
          <w:rtl/>
        </w:rPr>
        <w:t>ی</w:t>
      </w:r>
      <w:r w:rsidRPr="0025250D">
        <w:rPr>
          <w:rFonts w:hint="eastAsia"/>
          <w:rtl/>
        </w:rPr>
        <w:t>ت</w:t>
      </w:r>
      <w:r w:rsidRPr="0025250D">
        <w:rPr>
          <w:rtl/>
        </w:rPr>
        <w:t xml:space="preserve"> ها</w:t>
      </w:r>
      <w:r w:rsidRPr="0025250D">
        <w:rPr>
          <w:rFonts w:hint="cs"/>
          <w:rtl/>
        </w:rPr>
        <w:t>ی</w:t>
      </w:r>
      <w:r w:rsidRPr="0025250D">
        <w:rPr>
          <w:rtl/>
        </w:rPr>
        <w:t xml:space="preserve"> مکرر را ا</w:t>
      </w:r>
      <w:r w:rsidRPr="0025250D">
        <w:rPr>
          <w:rFonts w:hint="cs"/>
          <w:rtl/>
        </w:rPr>
        <w:t>ی</w:t>
      </w:r>
      <w:r w:rsidRPr="0025250D">
        <w:rPr>
          <w:rFonts w:hint="eastAsia"/>
          <w:rtl/>
        </w:rPr>
        <w:t>جاد</w:t>
      </w:r>
      <w:r w:rsidRPr="0025250D">
        <w:rPr>
          <w:rtl/>
        </w:rPr>
        <w:t xml:space="preserve"> کند.</w:t>
      </w:r>
      <w:r w:rsidRPr="0025250D">
        <w:rPr>
          <w:rFonts w:hint="cs"/>
          <w:rtl/>
        </w:rPr>
        <w:t xml:space="preserve"> </w:t>
      </w:r>
      <w:r w:rsidRPr="0025250D">
        <w:rPr>
          <w:rtl/>
        </w:rPr>
        <w:t>با گذشت زمان، تفکر نوآور</w:t>
      </w:r>
      <w:r w:rsidRPr="0025250D">
        <w:rPr>
          <w:rFonts w:hint="cs"/>
          <w:rtl/>
        </w:rPr>
        <w:t>ی</w:t>
      </w:r>
      <w:r w:rsidRPr="0025250D">
        <w:rPr>
          <w:rtl/>
        </w:rPr>
        <w:t xml:space="preserve"> به طور گسترده‌تر</w:t>
      </w:r>
      <w:r w:rsidRPr="0025250D">
        <w:rPr>
          <w:rFonts w:hint="cs"/>
          <w:rtl/>
        </w:rPr>
        <w:t>ی</w:t>
      </w:r>
      <w:r w:rsidRPr="0025250D">
        <w:rPr>
          <w:rtl/>
        </w:rPr>
        <w:t xml:space="preserve"> پذ</w:t>
      </w:r>
      <w:r w:rsidRPr="0025250D">
        <w:rPr>
          <w:rFonts w:hint="cs"/>
          <w:rtl/>
        </w:rPr>
        <w:t>ی</w:t>
      </w:r>
      <w:r w:rsidRPr="0025250D">
        <w:rPr>
          <w:rFonts w:hint="eastAsia"/>
          <w:rtl/>
        </w:rPr>
        <w:t>رفته</w:t>
      </w:r>
      <w:r w:rsidRPr="0025250D">
        <w:rPr>
          <w:rtl/>
        </w:rPr>
        <w:t xml:space="preserve"> م</w:t>
      </w:r>
      <w:r w:rsidRPr="0025250D">
        <w:rPr>
          <w:rFonts w:hint="cs"/>
          <w:rtl/>
        </w:rPr>
        <w:t>ی‌</w:t>
      </w:r>
      <w:r w:rsidRPr="0025250D">
        <w:rPr>
          <w:rFonts w:hint="eastAsia"/>
          <w:rtl/>
        </w:rPr>
        <w:t>شود</w:t>
      </w:r>
      <w:r w:rsidRPr="0025250D">
        <w:rPr>
          <w:rtl/>
        </w:rPr>
        <w:t xml:space="preserve">. افراد هدف </w:t>
      </w:r>
      <w:r w:rsidRPr="0025250D">
        <w:rPr>
          <w:rFonts w:hint="cs"/>
          <w:rtl/>
        </w:rPr>
        <w:t>بالاتری تعیین می کنند</w:t>
      </w:r>
      <w:r w:rsidRPr="0025250D">
        <w:rPr>
          <w:rFonts w:hint="eastAsia"/>
          <w:rtl/>
        </w:rPr>
        <w:t>،</w:t>
      </w:r>
      <w:r w:rsidRPr="0025250D">
        <w:rPr>
          <w:rtl/>
        </w:rPr>
        <w:t xml:space="preserve"> دورتر نگاه م</w:t>
      </w:r>
      <w:r w:rsidRPr="0025250D">
        <w:rPr>
          <w:rFonts w:hint="cs"/>
          <w:rtl/>
        </w:rPr>
        <w:t>ی</w:t>
      </w:r>
      <w:r w:rsidRPr="0025250D">
        <w:rPr>
          <w:rtl/>
        </w:rPr>
        <w:t xml:space="preserve"> کنند و ما</w:t>
      </w:r>
      <w:r w:rsidRPr="0025250D">
        <w:rPr>
          <w:rFonts w:hint="cs"/>
          <w:rtl/>
        </w:rPr>
        <w:t>ی</w:t>
      </w:r>
      <w:r w:rsidRPr="0025250D">
        <w:rPr>
          <w:rFonts w:hint="eastAsia"/>
          <w:rtl/>
        </w:rPr>
        <w:t>لند</w:t>
      </w:r>
      <w:r w:rsidRPr="0025250D">
        <w:rPr>
          <w:rtl/>
        </w:rPr>
        <w:t xml:space="preserve"> ب</w:t>
      </w:r>
      <w:r w:rsidRPr="0025250D">
        <w:rPr>
          <w:rFonts w:hint="cs"/>
          <w:rtl/>
        </w:rPr>
        <w:t>ی</w:t>
      </w:r>
      <w:r w:rsidRPr="0025250D">
        <w:rPr>
          <w:rFonts w:hint="eastAsia"/>
          <w:rtl/>
        </w:rPr>
        <w:t>شتر</w:t>
      </w:r>
      <w:r w:rsidRPr="0025250D">
        <w:rPr>
          <w:rtl/>
        </w:rPr>
        <w:t xml:space="preserve"> ر</w:t>
      </w:r>
      <w:r w:rsidRPr="0025250D">
        <w:rPr>
          <w:rFonts w:hint="cs"/>
          <w:rtl/>
        </w:rPr>
        <w:t>ی</w:t>
      </w:r>
      <w:r w:rsidRPr="0025250D">
        <w:rPr>
          <w:rFonts w:hint="eastAsia"/>
          <w:rtl/>
        </w:rPr>
        <w:t>سک</w:t>
      </w:r>
      <w:r w:rsidRPr="0025250D">
        <w:rPr>
          <w:rtl/>
        </w:rPr>
        <w:t xml:space="preserve"> کنند.</w:t>
      </w:r>
    </w:p>
    <w:p w14:paraId="24074018" w14:textId="053F9F36" w:rsidR="0037616D" w:rsidRPr="0025250D" w:rsidRDefault="0037616D" w:rsidP="00492C47">
      <w:pPr>
        <w:numPr>
          <w:ilvl w:val="0"/>
          <w:numId w:val="80"/>
        </w:numPr>
      </w:pPr>
      <w:r w:rsidRPr="0025250D">
        <w:rPr>
          <w:rtl/>
        </w:rPr>
        <w:t>د</w:t>
      </w:r>
      <w:r w:rsidRPr="0025250D">
        <w:rPr>
          <w:rFonts w:hint="cs"/>
          <w:rtl/>
        </w:rPr>
        <w:t>ی</w:t>
      </w:r>
      <w:r w:rsidRPr="0025250D">
        <w:rPr>
          <w:rFonts w:hint="eastAsia"/>
          <w:rtl/>
        </w:rPr>
        <w:t>دن</w:t>
      </w:r>
      <w:r w:rsidRPr="0025250D">
        <w:rPr>
          <w:rtl/>
        </w:rPr>
        <w:t xml:space="preserve"> آنچه د</w:t>
      </w:r>
      <w:r w:rsidRPr="0025250D">
        <w:rPr>
          <w:rFonts w:hint="cs"/>
          <w:rtl/>
        </w:rPr>
        <w:t>ی</w:t>
      </w:r>
      <w:r w:rsidRPr="0025250D">
        <w:rPr>
          <w:rFonts w:hint="eastAsia"/>
          <w:rtl/>
        </w:rPr>
        <w:t>گران</w:t>
      </w:r>
      <w:r w:rsidR="00EE4B64" w:rsidRPr="0025250D">
        <w:rPr>
          <w:rtl/>
        </w:rPr>
        <w:t xml:space="preserve"> نمی‌</w:t>
      </w:r>
      <w:r w:rsidRPr="0025250D">
        <w:rPr>
          <w:rFonts w:hint="cs"/>
          <w:rtl/>
        </w:rPr>
        <w:t>بینند</w:t>
      </w:r>
      <w:r w:rsidRPr="0025250D">
        <w:rPr>
          <w:rtl/>
        </w:rPr>
        <w:t>: راه ها</w:t>
      </w:r>
      <w:r w:rsidRPr="0025250D">
        <w:rPr>
          <w:rFonts w:hint="cs"/>
          <w:rtl/>
        </w:rPr>
        <w:t>ی</w:t>
      </w:r>
      <w:r w:rsidRPr="0025250D">
        <w:rPr>
          <w:rtl/>
        </w:rPr>
        <w:t xml:space="preserve"> قابل توجه</w:t>
      </w:r>
      <w:r w:rsidRPr="0025250D">
        <w:rPr>
          <w:rFonts w:hint="cs"/>
          <w:rtl/>
        </w:rPr>
        <w:t>ی که</w:t>
      </w:r>
      <w:r w:rsidRPr="0025250D">
        <w:rPr>
          <w:rtl/>
        </w:rPr>
        <w:t xml:space="preserve"> ما ب</w:t>
      </w:r>
      <w:r w:rsidRPr="0025250D">
        <w:rPr>
          <w:rFonts w:hint="cs"/>
          <w:rtl/>
        </w:rPr>
        <w:t>ی</w:t>
      </w:r>
      <w:r w:rsidRPr="0025250D">
        <w:rPr>
          <w:rFonts w:hint="eastAsia"/>
          <w:rtl/>
        </w:rPr>
        <w:t>نش</w:t>
      </w:r>
      <w:r w:rsidRPr="0025250D">
        <w:rPr>
          <w:rtl/>
        </w:rPr>
        <w:t xml:space="preserve"> </w:t>
      </w:r>
      <w:r w:rsidRPr="0025250D">
        <w:rPr>
          <w:rFonts w:hint="cs"/>
          <w:rtl/>
        </w:rPr>
        <w:t>کسب می کنیم</w:t>
      </w:r>
      <w:r w:rsidRPr="0025250D">
        <w:rPr>
          <w:rFonts w:hint="eastAsia"/>
          <w:rtl/>
        </w:rPr>
        <w:t>،</w:t>
      </w:r>
      <w:r w:rsidRPr="0025250D">
        <w:rPr>
          <w:rtl/>
        </w:rPr>
        <w:t xml:space="preserve"> گر</w:t>
      </w:r>
      <w:r w:rsidRPr="0025250D">
        <w:rPr>
          <w:rFonts w:hint="cs"/>
          <w:rtl/>
        </w:rPr>
        <w:t>ی</w:t>
      </w:r>
      <w:r w:rsidRPr="0025250D">
        <w:rPr>
          <w:rtl/>
        </w:rPr>
        <w:t xml:space="preserve"> کل</w:t>
      </w:r>
      <w:r w:rsidRPr="0025250D">
        <w:rPr>
          <w:rFonts w:hint="cs"/>
          <w:rtl/>
        </w:rPr>
        <w:t>ی</w:t>
      </w:r>
      <w:r w:rsidRPr="0025250D">
        <w:rPr>
          <w:rFonts w:hint="eastAsia"/>
          <w:rtl/>
        </w:rPr>
        <w:t>ن</w:t>
      </w:r>
      <w:r w:rsidRPr="0025250D">
        <w:rPr>
          <w:vertAlign w:val="superscript"/>
          <w:rtl/>
        </w:rPr>
        <w:footnoteReference w:id="3417"/>
      </w:r>
      <w:r w:rsidRPr="0025250D">
        <w:rPr>
          <w:rFonts w:hint="eastAsia"/>
          <w:rtl/>
        </w:rPr>
        <w:t>،</w:t>
      </w:r>
      <w:r w:rsidRPr="0025250D">
        <w:rPr>
          <w:rtl/>
        </w:rPr>
        <w:t xml:space="preserve"> 2015.</w:t>
      </w:r>
      <w:r w:rsidRPr="0025250D">
        <w:rPr>
          <w:rFonts w:hint="cs"/>
          <w:rtl/>
        </w:rPr>
        <w:t xml:space="preserve"> </w:t>
      </w:r>
      <w:r w:rsidRPr="0025250D">
        <w:rPr>
          <w:rtl/>
        </w:rPr>
        <w:t>معرف</w:t>
      </w:r>
      <w:r w:rsidRPr="0025250D">
        <w:rPr>
          <w:rFonts w:hint="cs"/>
          <w:rtl/>
        </w:rPr>
        <w:t>ی</w:t>
      </w:r>
      <w:r w:rsidRPr="0025250D">
        <w:rPr>
          <w:rtl/>
        </w:rPr>
        <w:t xml:space="preserve"> خوب </w:t>
      </w:r>
      <w:r w:rsidRPr="0025250D">
        <w:rPr>
          <w:rFonts w:hint="cs"/>
          <w:rtl/>
        </w:rPr>
        <w:t>شیوه</w:t>
      </w:r>
      <w:r w:rsidRPr="0025250D">
        <w:rPr>
          <w:rtl/>
        </w:rPr>
        <w:t xml:space="preserve"> ها</w:t>
      </w:r>
      <w:r w:rsidRPr="0025250D">
        <w:rPr>
          <w:rFonts w:hint="cs"/>
          <w:rtl/>
        </w:rPr>
        <w:t>یی</w:t>
      </w:r>
      <w:r w:rsidRPr="0025250D">
        <w:rPr>
          <w:rtl/>
        </w:rPr>
        <w:t xml:space="preserve"> که الگوها و آ</w:t>
      </w:r>
      <w:r w:rsidRPr="0025250D">
        <w:rPr>
          <w:rFonts w:hint="cs"/>
          <w:rtl/>
        </w:rPr>
        <w:t>ی</w:t>
      </w:r>
      <w:r w:rsidRPr="0025250D">
        <w:rPr>
          <w:rFonts w:hint="eastAsia"/>
          <w:rtl/>
        </w:rPr>
        <w:t>نده</w:t>
      </w:r>
      <w:r w:rsidRPr="0025250D">
        <w:rPr>
          <w:rtl/>
        </w:rPr>
        <w:t xml:space="preserve"> را م</w:t>
      </w:r>
      <w:r w:rsidRPr="0025250D">
        <w:rPr>
          <w:rFonts w:hint="cs"/>
          <w:rtl/>
        </w:rPr>
        <w:t>ی</w:t>
      </w:r>
      <w:r w:rsidRPr="0025250D">
        <w:rPr>
          <w:rtl/>
        </w:rPr>
        <w:t xml:space="preserve"> ب</w:t>
      </w:r>
      <w:r w:rsidRPr="0025250D">
        <w:rPr>
          <w:rFonts w:hint="cs"/>
          <w:rtl/>
        </w:rPr>
        <w:t>ی</w:t>
      </w:r>
      <w:r w:rsidRPr="0025250D">
        <w:rPr>
          <w:rFonts w:hint="eastAsia"/>
          <w:rtl/>
        </w:rPr>
        <w:t>ن</w:t>
      </w:r>
      <w:r w:rsidRPr="0025250D">
        <w:rPr>
          <w:rFonts w:hint="cs"/>
          <w:rtl/>
        </w:rPr>
        <w:t>ی</w:t>
      </w:r>
      <w:r w:rsidRPr="0025250D">
        <w:rPr>
          <w:rFonts w:hint="eastAsia"/>
          <w:rtl/>
        </w:rPr>
        <w:t>م</w:t>
      </w:r>
      <w:r w:rsidRPr="0025250D">
        <w:rPr>
          <w:rtl/>
        </w:rPr>
        <w:t>. کلا</w:t>
      </w:r>
      <w:r w:rsidRPr="0025250D">
        <w:rPr>
          <w:rFonts w:hint="cs"/>
          <w:rtl/>
        </w:rPr>
        <w:t>ی</w:t>
      </w:r>
      <w:r w:rsidRPr="0025250D">
        <w:rPr>
          <w:rFonts w:hint="eastAsia"/>
          <w:rtl/>
        </w:rPr>
        <w:t>ن</w:t>
      </w:r>
      <w:r w:rsidRPr="0025250D">
        <w:rPr>
          <w:rtl/>
        </w:rPr>
        <w:t xml:space="preserve"> همچن</w:t>
      </w:r>
      <w:r w:rsidRPr="0025250D">
        <w:rPr>
          <w:rFonts w:hint="cs"/>
          <w:rtl/>
        </w:rPr>
        <w:t>ی</w:t>
      </w:r>
      <w:r w:rsidRPr="0025250D">
        <w:rPr>
          <w:rFonts w:hint="eastAsia"/>
          <w:rtl/>
        </w:rPr>
        <w:t>ن</w:t>
      </w:r>
      <w:r w:rsidRPr="0025250D">
        <w:rPr>
          <w:rtl/>
        </w:rPr>
        <w:t xml:space="preserve"> توسعه‌دهنده پروژه</w:t>
      </w:r>
      <w:r w:rsidRPr="0025250D">
        <w:rPr>
          <w:rFonts w:hint="cs"/>
          <w:rtl/>
        </w:rPr>
        <w:t xml:space="preserve"> </w:t>
      </w:r>
      <w:r w:rsidR="00D335B2" w:rsidRPr="0025250D">
        <w:rPr>
          <w:rFonts w:hint="cs"/>
          <w:b/>
          <w:rtl/>
        </w:rPr>
        <w:t>پیش اندیشی شکست</w:t>
      </w:r>
      <w:r w:rsidRPr="0025250D">
        <w:rPr>
          <w:rtl/>
        </w:rPr>
        <w:t xml:space="preserve"> است، </w:t>
      </w:r>
      <w:r w:rsidRPr="0025250D">
        <w:rPr>
          <w:rFonts w:hint="cs"/>
          <w:rtl/>
        </w:rPr>
        <w:t xml:space="preserve">یک </w:t>
      </w:r>
      <w:r w:rsidRPr="0025250D">
        <w:rPr>
          <w:rtl/>
        </w:rPr>
        <w:t xml:space="preserve">روش </w:t>
      </w:r>
      <w:r w:rsidR="00D92F6E" w:rsidRPr="0025250D">
        <w:rPr>
          <w:rFonts w:hint="cs"/>
          <w:rtl/>
        </w:rPr>
        <w:t>آینده‌نگاری</w:t>
      </w:r>
      <w:r w:rsidRPr="0025250D">
        <w:rPr>
          <w:rtl/>
        </w:rPr>
        <w:t xml:space="preserve"> که در آن </w:t>
      </w:r>
      <w:r w:rsidRPr="0025250D">
        <w:rPr>
          <w:rFonts w:hint="cs"/>
          <w:rtl/>
        </w:rPr>
        <w:t>ی</w:t>
      </w:r>
      <w:r w:rsidRPr="0025250D">
        <w:rPr>
          <w:rFonts w:hint="eastAsia"/>
          <w:rtl/>
        </w:rPr>
        <w:t>ک</w:t>
      </w:r>
      <w:r w:rsidRPr="0025250D">
        <w:rPr>
          <w:rtl/>
        </w:rPr>
        <w:t xml:space="preserve"> رهبر پ</w:t>
      </w:r>
      <w:r w:rsidRPr="0025250D">
        <w:rPr>
          <w:rFonts w:hint="cs"/>
          <w:rtl/>
        </w:rPr>
        <w:t>ی</w:t>
      </w:r>
      <w:r w:rsidRPr="0025250D">
        <w:rPr>
          <w:rFonts w:hint="eastAsia"/>
          <w:rtl/>
        </w:rPr>
        <w:t>ش</w:t>
      </w:r>
      <w:r w:rsidRPr="0025250D">
        <w:rPr>
          <w:rtl/>
        </w:rPr>
        <w:t xml:space="preserve"> از شکست واقع</w:t>
      </w:r>
      <w:r w:rsidRPr="0025250D">
        <w:rPr>
          <w:rFonts w:hint="cs"/>
          <w:rtl/>
        </w:rPr>
        <w:t>ی</w:t>
      </w:r>
      <w:r w:rsidRPr="0025250D">
        <w:rPr>
          <w:rtl/>
        </w:rPr>
        <w:t xml:space="preserve"> </w:t>
      </w:r>
      <w:r w:rsidRPr="0025250D">
        <w:rPr>
          <w:rFonts w:hint="cs"/>
          <w:rtl/>
        </w:rPr>
        <w:t>ی</w:t>
      </w:r>
      <w:r w:rsidRPr="0025250D">
        <w:rPr>
          <w:rFonts w:hint="eastAsia"/>
          <w:rtl/>
        </w:rPr>
        <w:t>ک</w:t>
      </w:r>
      <w:r w:rsidRPr="0025250D">
        <w:rPr>
          <w:rtl/>
        </w:rPr>
        <w:t xml:space="preserve"> </w:t>
      </w:r>
      <w:r w:rsidR="00701E03" w:rsidRPr="0025250D">
        <w:rPr>
          <w:rtl/>
        </w:rPr>
        <w:t>راهبرد</w:t>
      </w:r>
      <w:r w:rsidRPr="0025250D">
        <w:rPr>
          <w:rtl/>
        </w:rPr>
        <w:t xml:space="preserve"> </w:t>
      </w:r>
      <w:r w:rsidRPr="0025250D">
        <w:rPr>
          <w:rFonts w:hint="cs"/>
          <w:rtl/>
        </w:rPr>
        <w:t>ی</w:t>
      </w:r>
      <w:r w:rsidRPr="0025250D">
        <w:rPr>
          <w:rFonts w:hint="eastAsia"/>
          <w:rtl/>
        </w:rPr>
        <w:t>ا</w:t>
      </w:r>
      <w:r w:rsidRPr="0025250D">
        <w:rPr>
          <w:rtl/>
        </w:rPr>
        <w:t xml:space="preserve"> سرما</w:t>
      </w:r>
      <w:r w:rsidRPr="0025250D">
        <w:rPr>
          <w:rFonts w:hint="cs"/>
          <w:rtl/>
        </w:rPr>
        <w:t>ی</w:t>
      </w:r>
      <w:r w:rsidRPr="0025250D">
        <w:rPr>
          <w:rFonts w:hint="eastAsia"/>
          <w:rtl/>
        </w:rPr>
        <w:t>ه‌گذار</w:t>
      </w:r>
      <w:r w:rsidRPr="0025250D">
        <w:rPr>
          <w:rFonts w:hint="cs"/>
          <w:rtl/>
        </w:rPr>
        <w:t>ی</w:t>
      </w:r>
      <w:r w:rsidRPr="0025250D">
        <w:rPr>
          <w:rtl/>
        </w:rPr>
        <w:t xml:space="preserve"> پرمخاطب</w:t>
      </w:r>
      <w:r w:rsidRPr="0025250D">
        <w:rPr>
          <w:rFonts w:hint="cs"/>
          <w:rtl/>
        </w:rPr>
        <w:t>،</w:t>
      </w:r>
      <w:r w:rsidRPr="0025250D">
        <w:rPr>
          <w:rtl/>
        </w:rPr>
        <w:t xml:space="preserve"> اعلام م</w:t>
      </w:r>
      <w:r w:rsidRPr="0025250D">
        <w:rPr>
          <w:rFonts w:hint="cs"/>
          <w:rtl/>
        </w:rPr>
        <w:t>ی‌</w:t>
      </w:r>
      <w:r w:rsidRPr="0025250D">
        <w:rPr>
          <w:rFonts w:hint="eastAsia"/>
          <w:rtl/>
        </w:rPr>
        <w:t>کند</w:t>
      </w:r>
      <w:r w:rsidRPr="0025250D">
        <w:rPr>
          <w:rtl/>
        </w:rPr>
        <w:t xml:space="preserve"> که شکست خورده است و ا</w:t>
      </w:r>
      <w:r w:rsidRPr="0025250D">
        <w:rPr>
          <w:rFonts w:hint="eastAsia"/>
          <w:rtl/>
        </w:rPr>
        <w:t>ز</w:t>
      </w:r>
      <w:r w:rsidRPr="0025250D">
        <w:rPr>
          <w:rtl/>
        </w:rPr>
        <w:t xml:space="preserve"> ت</w:t>
      </w:r>
      <w:r w:rsidRPr="0025250D">
        <w:rPr>
          <w:rFonts w:hint="cs"/>
          <w:rtl/>
        </w:rPr>
        <w:t>ی</w:t>
      </w:r>
      <w:r w:rsidRPr="0025250D">
        <w:rPr>
          <w:rFonts w:hint="eastAsia"/>
          <w:rtl/>
        </w:rPr>
        <w:t>م</w:t>
      </w:r>
      <w:r w:rsidRPr="0025250D">
        <w:rPr>
          <w:rtl/>
        </w:rPr>
        <w:t xml:space="preserve"> م</w:t>
      </w:r>
      <w:r w:rsidRPr="0025250D">
        <w:rPr>
          <w:rFonts w:hint="cs"/>
          <w:rtl/>
        </w:rPr>
        <w:t>ی‌</w:t>
      </w:r>
      <w:r w:rsidRPr="0025250D">
        <w:rPr>
          <w:rFonts w:hint="eastAsia"/>
          <w:rtl/>
        </w:rPr>
        <w:t>خواهد</w:t>
      </w:r>
      <w:r w:rsidRPr="0025250D">
        <w:rPr>
          <w:rtl/>
        </w:rPr>
        <w:t xml:space="preserve"> که دل</w:t>
      </w:r>
      <w:r w:rsidRPr="0025250D">
        <w:rPr>
          <w:rFonts w:hint="cs"/>
          <w:rtl/>
        </w:rPr>
        <w:t>ی</w:t>
      </w:r>
      <w:r w:rsidRPr="0025250D">
        <w:rPr>
          <w:rFonts w:hint="eastAsia"/>
          <w:rtl/>
        </w:rPr>
        <w:t>ل</w:t>
      </w:r>
      <w:r w:rsidRPr="0025250D">
        <w:rPr>
          <w:rtl/>
        </w:rPr>
        <w:t xml:space="preserve"> شکست آن را توض</w:t>
      </w:r>
      <w:r w:rsidRPr="0025250D">
        <w:rPr>
          <w:rFonts w:hint="cs"/>
          <w:rtl/>
        </w:rPr>
        <w:t>ی</w:t>
      </w:r>
      <w:r w:rsidRPr="0025250D">
        <w:rPr>
          <w:rFonts w:hint="eastAsia"/>
          <w:rtl/>
        </w:rPr>
        <w:t>ح</w:t>
      </w:r>
      <w:r w:rsidRPr="0025250D">
        <w:rPr>
          <w:rtl/>
        </w:rPr>
        <w:t xml:space="preserve"> دهد.</w:t>
      </w:r>
      <w:r w:rsidRPr="0025250D">
        <w:rPr>
          <w:rFonts w:hint="cs"/>
          <w:rtl/>
        </w:rPr>
        <w:t xml:space="preserve"> </w:t>
      </w:r>
      <w:r w:rsidR="006A0B96" w:rsidRPr="0025250D">
        <w:rPr>
          <w:rFonts w:cs="B Nazanin"/>
          <w:rtl/>
        </w:rPr>
        <w:t>پ</w:t>
      </w:r>
      <w:r w:rsidR="006A0B96" w:rsidRPr="0025250D">
        <w:rPr>
          <w:rFonts w:cs="B Nazanin" w:hint="cs"/>
          <w:rtl/>
        </w:rPr>
        <w:t>ی</w:t>
      </w:r>
      <w:r w:rsidR="006A0B96" w:rsidRPr="0025250D">
        <w:rPr>
          <w:rFonts w:cs="B Nazanin" w:hint="eastAsia"/>
          <w:rtl/>
        </w:rPr>
        <w:t>ش</w:t>
      </w:r>
      <w:r w:rsidR="006A0B96" w:rsidRPr="0025250D">
        <w:rPr>
          <w:rFonts w:cs="B Nazanin"/>
          <w:rtl/>
        </w:rPr>
        <w:t xml:space="preserve"> اند</w:t>
      </w:r>
      <w:r w:rsidR="006A0B96" w:rsidRPr="0025250D">
        <w:rPr>
          <w:rFonts w:cs="B Nazanin" w:hint="cs"/>
          <w:rtl/>
        </w:rPr>
        <w:t>ی</w:t>
      </w:r>
      <w:r w:rsidR="006A0B96" w:rsidRPr="0025250D">
        <w:rPr>
          <w:rFonts w:cs="B Nazanin" w:hint="eastAsia"/>
          <w:rtl/>
        </w:rPr>
        <w:t>ش</w:t>
      </w:r>
      <w:r w:rsidR="006A0B96" w:rsidRPr="0025250D">
        <w:rPr>
          <w:rFonts w:cs="B Nazanin" w:hint="cs"/>
          <w:rtl/>
        </w:rPr>
        <w:t>ی</w:t>
      </w:r>
      <w:r w:rsidR="006A0B96" w:rsidRPr="0025250D">
        <w:rPr>
          <w:rFonts w:cs="B Nazanin"/>
          <w:rtl/>
        </w:rPr>
        <w:t xml:space="preserve"> شکست</w:t>
      </w:r>
      <w:r w:rsidRPr="0025250D">
        <w:rPr>
          <w:rFonts w:hint="cs"/>
          <w:rtl/>
        </w:rPr>
        <w:t xml:space="preserve"> </w:t>
      </w:r>
      <w:r w:rsidRPr="0025250D">
        <w:rPr>
          <w:rtl/>
        </w:rPr>
        <w:t>بدب</w:t>
      </w:r>
      <w:r w:rsidRPr="0025250D">
        <w:rPr>
          <w:rFonts w:hint="cs"/>
          <w:rtl/>
        </w:rPr>
        <w:t>ی</w:t>
      </w:r>
      <w:r w:rsidRPr="0025250D">
        <w:rPr>
          <w:rFonts w:hint="eastAsia"/>
          <w:rtl/>
        </w:rPr>
        <w:t>نان</w:t>
      </w:r>
      <w:r w:rsidRPr="0025250D">
        <w:rPr>
          <w:rtl/>
        </w:rPr>
        <w:t xml:space="preserve"> تدافع</w:t>
      </w:r>
      <w:r w:rsidRPr="0025250D">
        <w:rPr>
          <w:rFonts w:hint="cs"/>
          <w:rtl/>
        </w:rPr>
        <w:t>ی</w:t>
      </w:r>
      <w:r w:rsidRPr="0025250D">
        <w:rPr>
          <w:rtl/>
        </w:rPr>
        <w:t xml:space="preserve"> را قادر م</w:t>
      </w:r>
      <w:r w:rsidRPr="0025250D">
        <w:rPr>
          <w:rFonts w:hint="cs"/>
          <w:rtl/>
        </w:rPr>
        <w:t>ی‌</w:t>
      </w:r>
      <w:r w:rsidRPr="0025250D">
        <w:rPr>
          <w:rFonts w:hint="eastAsia"/>
          <w:rtl/>
        </w:rPr>
        <w:t>سازد</w:t>
      </w:r>
      <w:r w:rsidRPr="0025250D">
        <w:rPr>
          <w:rtl/>
        </w:rPr>
        <w:t xml:space="preserve"> تا عل</w:t>
      </w:r>
      <w:r w:rsidRPr="0025250D">
        <w:rPr>
          <w:rFonts w:hint="cs"/>
          <w:rtl/>
        </w:rPr>
        <w:t>ی</w:t>
      </w:r>
      <w:r w:rsidRPr="0025250D">
        <w:rPr>
          <w:rFonts w:hint="eastAsia"/>
          <w:rtl/>
        </w:rPr>
        <w:t>ه</w:t>
      </w:r>
      <w:r w:rsidRPr="0025250D">
        <w:rPr>
          <w:rtl/>
        </w:rPr>
        <w:t xml:space="preserve"> خوش‌ب</w:t>
      </w:r>
      <w:r w:rsidRPr="0025250D">
        <w:rPr>
          <w:rFonts w:hint="cs"/>
          <w:rtl/>
        </w:rPr>
        <w:t>ی</w:t>
      </w:r>
      <w:r w:rsidRPr="0025250D">
        <w:rPr>
          <w:rFonts w:hint="eastAsia"/>
          <w:rtl/>
        </w:rPr>
        <w:t>ن‌ها</w:t>
      </w:r>
      <w:r w:rsidRPr="0025250D">
        <w:rPr>
          <w:rFonts w:hint="cs"/>
          <w:rtl/>
        </w:rPr>
        <w:t>ی</w:t>
      </w:r>
      <w:r w:rsidRPr="0025250D">
        <w:rPr>
          <w:rtl/>
        </w:rPr>
        <w:t xml:space="preserve"> </w:t>
      </w:r>
      <w:r w:rsidR="00701E03" w:rsidRPr="0025250D">
        <w:rPr>
          <w:rtl/>
        </w:rPr>
        <w:t>راهبردی</w:t>
      </w:r>
      <w:r w:rsidRPr="0025250D">
        <w:rPr>
          <w:rtl/>
        </w:rPr>
        <w:t xml:space="preserve"> صحبت کنند، تفکر گروه</w:t>
      </w:r>
      <w:r w:rsidRPr="0025250D">
        <w:rPr>
          <w:rFonts w:hint="cs"/>
          <w:rtl/>
        </w:rPr>
        <w:t>ی</w:t>
      </w:r>
      <w:r w:rsidRPr="0025250D">
        <w:rPr>
          <w:rtl/>
        </w:rPr>
        <w:t xml:space="preserve"> را حذف </w:t>
      </w:r>
      <w:r w:rsidRPr="0025250D">
        <w:rPr>
          <w:rFonts w:hint="cs"/>
          <w:rtl/>
        </w:rPr>
        <w:t>‌</w:t>
      </w:r>
      <w:r w:rsidRPr="0025250D">
        <w:rPr>
          <w:rFonts w:hint="eastAsia"/>
          <w:rtl/>
        </w:rPr>
        <w:t>کنند</w:t>
      </w:r>
      <w:r w:rsidRPr="0025250D">
        <w:rPr>
          <w:rtl/>
        </w:rPr>
        <w:t xml:space="preserve"> و به باز</w:t>
      </w:r>
      <w:r w:rsidRPr="0025250D">
        <w:rPr>
          <w:rFonts w:hint="cs"/>
          <w:rtl/>
        </w:rPr>
        <w:t>ی</w:t>
      </w:r>
      <w:r w:rsidRPr="0025250D">
        <w:rPr>
          <w:rFonts w:hint="eastAsia"/>
          <w:rtl/>
        </w:rPr>
        <w:t>اب</w:t>
      </w:r>
      <w:r w:rsidRPr="0025250D">
        <w:rPr>
          <w:rFonts w:hint="cs"/>
          <w:rtl/>
        </w:rPr>
        <w:t>ی</w:t>
      </w:r>
      <w:r w:rsidRPr="0025250D">
        <w:rPr>
          <w:rtl/>
        </w:rPr>
        <w:t xml:space="preserve"> تعادل ح</w:t>
      </w:r>
      <w:r w:rsidRPr="0025250D">
        <w:rPr>
          <w:rFonts w:hint="cs"/>
          <w:rtl/>
        </w:rPr>
        <w:t>ی</w:t>
      </w:r>
      <w:r w:rsidRPr="0025250D">
        <w:rPr>
          <w:rFonts w:hint="eastAsia"/>
          <w:rtl/>
        </w:rPr>
        <w:t>ات</w:t>
      </w:r>
      <w:r w:rsidRPr="0025250D">
        <w:rPr>
          <w:rFonts w:hint="cs"/>
          <w:rtl/>
        </w:rPr>
        <w:t>ی</w:t>
      </w:r>
      <w:r w:rsidRPr="0025250D">
        <w:rPr>
          <w:rtl/>
        </w:rPr>
        <w:t xml:space="preserve"> ب</w:t>
      </w:r>
      <w:r w:rsidRPr="0025250D">
        <w:rPr>
          <w:rFonts w:hint="cs"/>
          <w:rtl/>
        </w:rPr>
        <w:t>ی</w:t>
      </w:r>
      <w:r w:rsidRPr="0025250D">
        <w:rPr>
          <w:rFonts w:hint="eastAsia"/>
          <w:rtl/>
        </w:rPr>
        <w:t>ن</w:t>
      </w:r>
      <w:r w:rsidRPr="0025250D">
        <w:rPr>
          <w:rtl/>
        </w:rPr>
        <w:t xml:space="preserve"> آرمان‌ها</w:t>
      </w:r>
      <w:r w:rsidRPr="0025250D">
        <w:rPr>
          <w:rFonts w:hint="cs"/>
          <w:rtl/>
        </w:rPr>
        <w:t>ی</w:t>
      </w:r>
      <w:r w:rsidRPr="0025250D">
        <w:rPr>
          <w:rtl/>
        </w:rPr>
        <w:t xml:space="preserve"> گروه</w:t>
      </w:r>
      <w:r w:rsidRPr="0025250D">
        <w:rPr>
          <w:rFonts w:hint="cs"/>
          <w:rtl/>
        </w:rPr>
        <w:t>ی</w:t>
      </w:r>
      <w:r w:rsidRPr="0025250D">
        <w:rPr>
          <w:rtl/>
        </w:rPr>
        <w:t xml:space="preserve"> (فرصت‌جو</w:t>
      </w:r>
      <w:r w:rsidRPr="0025250D">
        <w:rPr>
          <w:rFonts w:hint="cs"/>
          <w:rtl/>
        </w:rPr>
        <w:t>یی</w:t>
      </w:r>
      <w:r w:rsidRPr="0025250D">
        <w:rPr>
          <w:rtl/>
        </w:rPr>
        <w:t xml:space="preserve"> و مز</w:t>
      </w:r>
      <w:r w:rsidRPr="0025250D">
        <w:rPr>
          <w:rFonts w:hint="cs"/>
          <w:rtl/>
        </w:rPr>
        <w:t>ی</w:t>
      </w:r>
      <w:r w:rsidRPr="0025250D">
        <w:rPr>
          <w:rFonts w:hint="eastAsia"/>
          <w:rtl/>
        </w:rPr>
        <w:t>ت‌</w:t>
      </w:r>
      <w:r w:rsidRPr="0025250D">
        <w:rPr>
          <w:rFonts w:hint="cs"/>
          <w:rtl/>
        </w:rPr>
        <w:t>ی</w:t>
      </w:r>
      <w:r w:rsidRPr="0025250D">
        <w:rPr>
          <w:rFonts w:hint="eastAsia"/>
          <w:rtl/>
        </w:rPr>
        <w:t>اب</w:t>
      </w:r>
      <w:r w:rsidRPr="0025250D">
        <w:rPr>
          <w:rFonts w:hint="cs"/>
          <w:rtl/>
        </w:rPr>
        <w:t>ی</w:t>
      </w:r>
      <w:r w:rsidRPr="0025250D">
        <w:rPr>
          <w:rtl/>
        </w:rPr>
        <w:t>) و احت</w:t>
      </w:r>
      <w:r w:rsidRPr="0025250D">
        <w:rPr>
          <w:rFonts w:hint="cs"/>
          <w:rtl/>
        </w:rPr>
        <w:t>ی</w:t>
      </w:r>
      <w:r w:rsidRPr="0025250D">
        <w:rPr>
          <w:rFonts w:hint="eastAsia"/>
          <w:rtl/>
        </w:rPr>
        <w:t>اط</w:t>
      </w:r>
      <w:r w:rsidRPr="0025250D">
        <w:rPr>
          <w:rtl/>
        </w:rPr>
        <w:t xml:space="preserve">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ر</w:t>
      </w:r>
      <w:r w:rsidRPr="0025250D">
        <w:rPr>
          <w:rFonts w:hint="cs"/>
          <w:rtl/>
        </w:rPr>
        <w:t>ی</w:t>
      </w:r>
      <w:r w:rsidRPr="0025250D">
        <w:rPr>
          <w:rFonts w:hint="eastAsia"/>
          <w:rtl/>
        </w:rPr>
        <w:t>سک</w:t>
      </w:r>
      <w:r w:rsidRPr="0025250D">
        <w:rPr>
          <w:rtl/>
        </w:rPr>
        <w:t xml:space="preserve"> و اختلال) کمک م</w:t>
      </w:r>
      <w:r w:rsidRPr="0025250D">
        <w:rPr>
          <w:rFonts w:hint="cs"/>
          <w:rtl/>
        </w:rPr>
        <w:t>ی‌</w:t>
      </w:r>
      <w:r w:rsidRPr="0025250D">
        <w:rPr>
          <w:rFonts w:hint="eastAsia"/>
          <w:rtl/>
        </w:rPr>
        <w:t>کنند</w:t>
      </w:r>
      <w:r w:rsidRPr="0025250D">
        <w:rPr>
          <w:rtl/>
        </w:rPr>
        <w:t>.</w:t>
      </w:r>
    </w:p>
    <w:p w14:paraId="4532AD50" w14:textId="5D2ABF0D" w:rsidR="0037616D" w:rsidRPr="0025250D" w:rsidRDefault="0037616D" w:rsidP="00492C47">
      <w:pPr>
        <w:numPr>
          <w:ilvl w:val="0"/>
          <w:numId w:val="80"/>
        </w:numPr>
      </w:pPr>
      <w:r w:rsidRPr="0025250D">
        <w:rPr>
          <w:rtl/>
        </w:rPr>
        <w:t>س</w:t>
      </w:r>
      <w:r w:rsidRPr="0025250D">
        <w:rPr>
          <w:rFonts w:hint="cs"/>
          <w:rtl/>
        </w:rPr>
        <w:t>ی</w:t>
      </w:r>
      <w:r w:rsidRPr="0025250D">
        <w:rPr>
          <w:rFonts w:hint="eastAsia"/>
          <w:rtl/>
        </w:rPr>
        <w:t>نف</w:t>
      </w:r>
      <w:r w:rsidRPr="0025250D">
        <w:rPr>
          <w:rFonts w:hint="cs"/>
          <w:rtl/>
        </w:rPr>
        <w:t>ی</w:t>
      </w:r>
      <w:r w:rsidRPr="0025250D">
        <w:rPr>
          <w:rFonts w:hint="eastAsia"/>
          <w:rtl/>
        </w:rPr>
        <w:t>ن</w:t>
      </w:r>
      <w:r w:rsidRPr="0025250D">
        <w:rPr>
          <w:rFonts w:hint="cs"/>
          <w:rtl/>
        </w:rPr>
        <w:t>:</w:t>
      </w:r>
      <w:r w:rsidRPr="0025250D">
        <w:rPr>
          <w:rtl/>
        </w:rPr>
        <w:t xml:space="preserve"> </w:t>
      </w:r>
      <w:r w:rsidR="00B13F65" w:rsidRPr="0025250D">
        <w:rPr>
          <w:rFonts w:hint="cs"/>
          <w:rtl/>
        </w:rPr>
        <w:t>یکپارچه‌سازی</w:t>
      </w:r>
      <w:r w:rsidRPr="0025250D">
        <w:rPr>
          <w:rtl/>
        </w:rPr>
        <w:t xml:space="preserve"> </w:t>
      </w:r>
      <w:r w:rsidRPr="0025250D">
        <w:rPr>
          <w:rFonts w:hint="cs"/>
          <w:rtl/>
        </w:rPr>
        <w:t>معناسازی</w:t>
      </w:r>
      <w:r w:rsidRPr="0025250D">
        <w:rPr>
          <w:rtl/>
        </w:rPr>
        <w:t xml:space="preserve"> </w:t>
      </w:r>
      <w:r w:rsidRPr="0025250D">
        <w:rPr>
          <w:rFonts w:hint="cs"/>
          <w:rtl/>
        </w:rPr>
        <w:t>با</w:t>
      </w:r>
      <w:r w:rsidRPr="0025250D">
        <w:rPr>
          <w:rtl/>
        </w:rPr>
        <w:t xml:space="preserve"> دن</w:t>
      </w:r>
      <w:r w:rsidRPr="0025250D">
        <w:rPr>
          <w:rFonts w:hint="cs"/>
          <w:rtl/>
        </w:rPr>
        <w:t>ی</w:t>
      </w:r>
      <w:r w:rsidRPr="0025250D">
        <w:rPr>
          <w:rFonts w:hint="eastAsia"/>
          <w:rtl/>
        </w:rPr>
        <w:t>ا</w:t>
      </w:r>
      <w:r w:rsidRPr="0025250D">
        <w:rPr>
          <w:rFonts w:hint="cs"/>
          <w:rtl/>
        </w:rPr>
        <w:t>ی</w:t>
      </w:r>
      <w:r w:rsidRPr="0025250D">
        <w:rPr>
          <w:rtl/>
        </w:rPr>
        <w:t xml:space="preserve"> ما</w:t>
      </w:r>
      <w:r w:rsidRPr="0025250D">
        <w:rPr>
          <w:rFonts w:hint="cs"/>
          <w:rtl/>
        </w:rPr>
        <w:t xml:space="preserve">، </w:t>
      </w:r>
      <w:r w:rsidRPr="0025250D">
        <w:rPr>
          <w:rtl/>
        </w:rPr>
        <w:t>د</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rtl/>
        </w:rPr>
        <w:t xml:space="preserve"> اسنودن</w:t>
      </w:r>
      <w:r w:rsidRPr="0025250D">
        <w:rPr>
          <w:vertAlign w:val="superscript"/>
          <w:rtl/>
        </w:rPr>
        <w:footnoteReference w:id="3418"/>
      </w:r>
      <w:r w:rsidRPr="0025250D">
        <w:rPr>
          <w:rtl/>
        </w:rPr>
        <w:t>، 2020</w:t>
      </w:r>
      <w:r w:rsidRPr="0025250D">
        <w:rPr>
          <w:rFonts w:hint="cs"/>
          <w:rtl/>
        </w:rPr>
        <w:t xml:space="preserve">. </w:t>
      </w:r>
      <w:r w:rsidRPr="0025250D">
        <w:rPr>
          <w:rtl/>
        </w:rPr>
        <w:t>س</w:t>
      </w:r>
      <w:r w:rsidRPr="0025250D">
        <w:rPr>
          <w:rFonts w:hint="cs"/>
          <w:rtl/>
        </w:rPr>
        <w:t>ی</w:t>
      </w:r>
      <w:r w:rsidRPr="0025250D">
        <w:rPr>
          <w:rFonts w:hint="eastAsia"/>
          <w:rtl/>
        </w:rPr>
        <w:t>نف</w:t>
      </w:r>
      <w:r w:rsidRPr="0025250D">
        <w:rPr>
          <w:rFonts w:hint="cs"/>
          <w:rtl/>
        </w:rPr>
        <w:t>ی</w:t>
      </w:r>
      <w:r w:rsidRPr="0025250D">
        <w:rPr>
          <w:rFonts w:hint="eastAsia"/>
          <w:rtl/>
        </w:rPr>
        <w:t>ن</w:t>
      </w:r>
      <w:r w:rsidRPr="0025250D">
        <w:rPr>
          <w:rtl/>
        </w:rPr>
        <w:t xml:space="preserve"> که در ب</w:t>
      </w:r>
      <w:r w:rsidRPr="0025250D">
        <w:rPr>
          <w:rFonts w:hint="cs"/>
          <w:rtl/>
        </w:rPr>
        <w:t>ی</w:t>
      </w:r>
      <w:r w:rsidRPr="0025250D">
        <w:rPr>
          <w:rFonts w:hint="eastAsia"/>
          <w:rtl/>
        </w:rPr>
        <w:t>ست</w:t>
      </w:r>
      <w:r w:rsidRPr="0025250D">
        <w:rPr>
          <w:rtl/>
        </w:rPr>
        <w:t xml:space="preserve"> و </w:t>
      </w:r>
      <w:r w:rsidRPr="0025250D">
        <w:rPr>
          <w:rFonts w:hint="cs"/>
          <w:rtl/>
        </w:rPr>
        <w:t>ی</w:t>
      </w:r>
      <w:r w:rsidRPr="0025250D">
        <w:rPr>
          <w:rFonts w:hint="eastAsia"/>
          <w:rtl/>
        </w:rPr>
        <w:t>کم</w:t>
      </w:r>
      <w:r w:rsidRPr="0025250D">
        <w:rPr>
          <w:rFonts w:hint="cs"/>
          <w:rtl/>
        </w:rPr>
        <w:t>ی</w:t>
      </w:r>
      <w:r w:rsidRPr="0025250D">
        <w:rPr>
          <w:rFonts w:hint="eastAsia"/>
          <w:rtl/>
        </w:rPr>
        <w:t>ن</w:t>
      </w:r>
      <w:r w:rsidRPr="0025250D">
        <w:rPr>
          <w:rtl/>
        </w:rPr>
        <w:t xml:space="preserve"> سالگرد تولد چارچوب س</w:t>
      </w:r>
      <w:r w:rsidRPr="0025250D">
        <w:rPr>
          <w:rFonts w:hint="cs"/>
          <w:rtl/>
        </w:rPr>
        <w:t>ی</w:t>
      </w:r>
      <w:r w:rsidRPr="0025250D">
        <w:rPr>
          <w:rFonts w:hint="eastAsia"/>
          <w:rtl/>
        </w:rPr>
        <w:t>نف</w:t>
      </w:r>
      <w:r w:rsidRPr="0025250D">
        <w:rPr>
          <w:rFonts w:hint="cs"/>
          <w:rtl/>
        </w:rPr>
        <w:t>ی</w:t>
      </w:r>
      <w:r w:rsidRPr="0025250D">
        <w:rPr>
          <w:rFonts w:hint="eastAsia"/>
          <w:rtl/>
        </w:rPr>
        <w:t>ن</w:t>
      </w:r>
      <w:r w:rsidRPr="0025250D">
        <w:rPr>
          <w:rtl/>
        </w:rPr>
        <w:t xml:space="preserve"> برا</w:t>
      </w:r>
      <w:r w:rsidRPr="0025250D">
        <w:rPr>
          <w:rFonts w:hint="cs"/>
          <w:rtl/>
        </w:rPr>
        <w:t>ی</w:t>
      </w:r>
      <w:r w:rsidRPr="0025250D">
        <w:rPr>
          <w:rtl/>
        </w:rPr>
        <w:t xml:space="preserve"> هوش و </w:t>
      </w:r>
      <w:r w:rsidR="00D92F6E" w:rsidRPr="0025250D">
        <w:rPr>
          <w:rtl/>
        </w:rPr>
        <w:t>آینده‌نگاری</w:t>
      </w:r>
      <w:r w:rsidRPr="0025250D">
        <w:rPr>
          <w:rtl/>
        </w:rPr>
        <w:t xml:space="preserve"> (</w:t>
      </w:r>
      <w:r w:rsidRPr="0025250D">
        <w:rPr>
          <w:rFonts w:hint="cs"/>
          <w:rtl/>
        </w:rPr>
        <w:t>معنا</w:t>
      </w:r>
      <w:r w:rsidRPr="0025250D">
        <w:rPr>
          <w:rtl/>
        </w:rPr>
        <w:t xml:space="preserve"> ساز</w:t>
      </w:r>
      <w:r w:rsidRPr="0025250D">
        <w:rPr>
          <w:rFonts w:hint="cs"/>
          <w:rtl/>
        </w:rPr>
        <w:t>ی</w:t>
      </w:r>
      <w:r w:rsidRPr="0025250D">
        <w:rPr>
          <w:rtl/>
        </w:rPr>
        <w:t>) منتشر شده است، چهل مشارکت کننده، بس</w:t>
      </w:r>
      <w:r w:rsidRPr="0025250D">
        <w:rPr>
          <w:rFonts w:hint="cs"/>
          <w:rtl/>
        </w:rPr>
        <w:t>ی</w:t>
      </w:r>
      <w:r w:rsidRPr="0025250D">
        <w:rPr>
          <w:rFonts w:hint="eastAsia"/>
          <w:rtl/>
        </w:rPr>
        <w:t>ار</w:t>
      </w:r>
      <w:r w:rsidRPr="0025250D">
        <w:rPr>
          <w:rFonts w:hint="cs"/>
          <w:rtl/>
        </w:rPr>
        <w:t>ی</w:t>
      </w:r>
      <w:r w:rsidRPr="0025250D">
        <w:rPr>
          <w:rtl/>
        </w:rPr>
        <w:t xml:space="preserve"> از افراد درگ</w:t>
      </w:r>
      <w:r w:rsidRPr="0025250D">
        <w:rPr>
          <w:rFonts w:hint="cs"/>
          <w:rtl/>
        </w:rPr>
        <w:t>ی</w:t>
      </w:r>
      <w:r w:rsidRPr="0025250D">
        <w:rPr>
          <w:rFonts w:hint="eastAsia"/>
          <w:rtl/>
        </w:rPr>
        <w:t>ر</w:t>
      </w:r>
      <w:r w:rsidRPr="0025250D">
        <w:rPr>
          <w:rtl/>
        </w:rPr>
        <w:t xml:space="preserve"> در جامعه </w:t>
      </w:r>
      <w:r w:rsidRPr="0025250D">
        <w:rPr>
          <w:rFonts w:hint="cs"/>
          <w:rtl/>
        </w:rPr>
        <w:t>مرزی</w:t>
      </w:r>
      <w:r w:rsidRPr="0025250D">
        <w:rPr>
          <w:rtl/>
        </w:rPr>
        <w:t xml:space="preserve"> شناخت</w:t>
      </w:r>
      <w:r w:rsidRPr="0025250D">
        <w:rPr>
          <w:rFonts w:hint="cs"/>
          <w:rtl/>
        </w:rPr>
        <w:t>ی</w:t>
      </w:r>
      <w:r w:rsidRPr="0025250D">
        <w:rPr>
          <w:rtl/>
        </w:rPr>
        <w:t xml:space="preserve"> اسنودن</w:t>
      </w:r>
      <w:r w:rsidRPr="0025250D">
        <w:rPr>
          <w:vertAlign w:val="superscript"/>
          <w:rtl/>
        </w:rPr>
        <w:footnoteReference w:id="3419"/>
      </w:r>
      <w:r w:rsidRPr="0025250D">
        <w:rPr>
          <w:rFonts w:hint="cs"/>
          <w:rtl/>
        </w:rPr>
        <w:t>،</w:t>
      </w:r>
      <w:r w:rsidRPr="0025250D">
        <w:rPr>
          <w:rtl/>
        </w:rPr>
        <w:t xml:space="preserve"> نظرات خود را در مورد چگونگ</w:t>
      </w:r>
      <w:r w:rsidRPr="0025250D">
        <w:rPr>
          <w:rFonts w:hint="cs"/>
          <w:rtl/>
        </w:rPr>
        <w:t>ی</w:t>
      </w:r>
      <w:r w:rsidRPr="0025250D">
        <w:rPr>
          <w:rtl/>
        </w:rPr>
        <w:t xml:space="preserve"> انجام </w:t>
      </w:r>
      <w:r w:rsidRPr="0025250D">
        <w:rPr>
          <w:rFonts w:hint="cs"/>
          <w:rtl/>
        </w:rPr>
        <w:t>معنا</w:t>
      </w:r>
      <w:r w:rsidRPr="0025250D">
        <w:rPr>
          <w:rtl/>
        </w:rPr>
        <w:t xml:space="preserve"> ساز</w:t>
      </w:r>
      <w:r w:rsidRPr="0025250D">
        <w:rPr>
          <w:rFonts w:hint="cs"/>
          <w:rtl/>
        </w:rPr>
        <w:t>ی</w:t>
      </w:r>
      <w:r w:rsidRPr="0025250D">
        <w:rPr>
          <w:rtl/>
        </w:rPr>
        <w:t xml:space="preserve"> در دن</w:t>
      </w:r>
      <w:r w:rsidRPr="0025250D">
        <w:rPr>
          <w:rFonts w:hint="cs"/>
          <w:rtl/>
        </w:rPr>
        <w:t>ی</w:t>
      </w:r>
      <w:r w:rsidRPr="0025250D">
        <w:rPr>
          <w:rFonts w:hint="eastAsia"/>
          <w:rtl/>
        </w:rPr>
        <w:t>ا</w:t>
      </w:r>
      <w:r w:rsidRPr="0025250D">
        <w:rPr>
          <w:rFonts w:hint="cs"/>
          <w:rtl/>
        </w:rPr>
        <w:t>ی</w:t>
      </w:r>
      <w:r w:rsidRPr="0025250D">
        <w:rPr>
          <w:rtl/>
        </w:rPr>
        <w:t xml:space="preserve"> عدم قطع</w:t>
      </w:r>
      <w:r w:rsidRPr="0025250D">
        <w:rPr>
          <w:rFonts w:hint="cs"/>
          <w:rtl/>
        </w:rPr>
        <w:t>ی</w:t>
      </w:r>
      <w:r w:rsidRPr="0025250D">
        <w:rPr>
          <w:rFonts w:hint="eastAsia"/>
          <w:rtl/>
        </w:rPr>
        <w:t>ت</w:t>
      </w:r>
      <w:r w:rsidRPr="0025250D">
        <w:rPr>
          <w:rtl/>
        </w:rPr>
        <w:t xml:space="preserve"> به اشتراک م</w:t>
      </w:r>
      <w:r w:rsidRPr="0025250D">
        <w:rPr>
          <w:rFonts w:hint="cs"/>
          <w:rtl/>
        </w:rPr>
        <w:t>ی</w:t>
      </w:r>
      <w:r w:rsidRPr="0025250D">
        <w:rPr>
          <w:rtl/>
        </w:rPr>
        <w:t xml:space="preserve"> گذارند.</w:t>
      </w:r>
      <w:r w:rsidRPr="0025250D">
        <w:rPr>
          <w:rFonts w:hint="cs"/>
          <w:rtl/>
        </w:rPr>
        <w:t xml:space="preserve"> </w:t>
      </w:r>
      <w:r w:rsidRPr="0025250D">
        <w:rPr>
          <w:rtl/>
        </w:rPr>
        <w:t>چارچوب س</w:t>
      </w:r>
      <w:r w:rsidRPr="0025250D">
        <w:rPr>
          <w:rFonts w:hint="cs"/>
          <w:rtl/>
        </w:rPr>
        <w:t>ی</w:t>
      </w:r>
      <w:r w:rsidRPr="0025250D">
        <w:rPr>
          <w:rFonts w:hint="eastAsia"/>
          <w:rtl/>
        </w:rPr>
        <w:t>نف</w:t>
      </w:r>
      <w:r w:rsidRPr="0025250D">
        <w:rPr>
          <w:rFonts w:hint="cs"/>
          <w:rtl/>
        </w:rPr>
        <w:t>ی</w:t>
      </w:r>
      <w:r w:rsidRPr="0025250D">
        <w:rPr>
          <w:rFonts w:hint="eastAsia"/>
          <w:rtl/>
        </w:rPr>
        <w:t>ن</w:t>
      </w:r>
      <w:r w:rsidRPr="0025250D">
        <w:rPr>
          <w:rtl/>
        </w:rPr>
        <w:t xml:space="preserve"> </w:t>
      </w:r>
      <w:r w:rsidR="00A20CCB" w:rsidRPr="0025250D">
        <w:rPr>
          <w:rtl/>
        </w:rPr>
        <w:t>جهان‌بینی</w:t>
      </w:r>
      <w:r w:rsidRPr="0025250D">
        <w:rPr>
          <w:rtl/>
        </w:rPr>
        <w:t xml:space="preserve"> </w:t>
      </w:r>
      <w:r w:rsidRPr="0025250D">
        <w:rPr>
          <w:rFonts w:hint="cs"/>
          <w:rtl/>
        </w:rPr>
        <w:t>تکاملی-توسعه ای</w:t>
      </w:r>
      <w:r w:rsidRPr="0025250D">
        <w:rPr>
          <w:rtl/>
        </w:rPr>
        <w:t xml:space="preserve"> را به رسم</w:t>
      </w:r>
      <w:r w:rsidRPr="0025250D">
        <w:rPr>
          <w:rFonts w:hint="cs"/>
          <w:rtl/>
        </w:rPr>
        <w:t>ی</w:t>
      </w:r>
      <w:r w:rsidRPr="0025250D">
        <w:rPr>
          <w:rFonts w:hint="eastAsia"/>
          <w:rtl/>
        </w:rPr>
        <w:t>ت</w:t>
      </w:r>
      <w:r w:rsidR="00EE4B64" w:rsidRPr="0025250D">
        <w:rPr>
          <w:rtl/>
        </w:rPr>
        <w:t xml:space="preserve"> نمی‌</w:t>
      </w:r>
      <w:r w:rsidRPr="0025250D">
        <w:rPr>
          <w:rtl/>
        </w:rPr>
        <w:t>شناسد، بنابرا</w:t>
      </w:r>
      <w:r w:rsidRPr="0025250D">
        <w:rPr>
          <w:rFonts w:hint="cs"/>
          <w:rtl/>
        </w:rPr>
        <w:t>ی</w:t>
      </w:r>
      <w:r w:rsidRPr="0025250D">
        <w:rPr>
          <w:rFonts w:hint="eastAsia"/>
          <w:rtl/>
        </w:rPr>
        <w:t>ن</w:t>
      </w:r>
      <w:r w:rsidRPr="0025250D">
        <w:rPr>
          <w:rtl/>
        </w:rPr>
        <w:t xml:space="preserve"> ماه</w:t>
      </w:r>
      <w:r w:rsidRPr="0025250D">
        <w:rPr>
          <w:rFonts w:hint="cs"/>
          <w:rtl/>
        </w:rPr>
        <w:t>ی</w:t>
      </w:r>
      <w:r w:rsidRPr="0025250D">
        <w:rPr>
          <w:rFonts w:hint="eastAsia"/>
          <w:rtl/>
        </w:rPr>
        <w:t>ت</w:t>
      </w:r>
      <w:r w:rsidRPr="0025250D">
        <w:rPr>
          <w:rtl/>
        </w:rPr>
        <w:t xml:space="preserve"> محدود کننده و قابل </w:t>
      </w:r>
      <w:r w:rsidR="00D92F6E" w:rsidRPr="0025250D">
        <w:rPr>
          <w:rtl/>
        </w:rPr>
        <w:t>پیش‌بین</w:t>
      </w:r>
      <w:r w:rsidRPr="0025250D">
        <w:rPr>
          <w:rFonts w:hint="cs"/>
          <w:rtl/>
        </w:rPr>
        <w:t>ی</w:t>
      </w:r>
      <w:r w:rsidRPr="0025250D">
        <w:rPr>
          <w:rtl/>
        </w:rPr>
        <w:t xml:space="preserve"> فزا</w:t>
      </w:r>
      <w:r w:rsidRPr="0025250D">
        <w:rPr>
          <w:rFonts w:hint="cs"/>
          <w:rtl/>
        </w:rPr>
        <w:t>ی</w:t>
      </w:r>
      <w:r w:rsidRPr="0025250D">
        <w:rPr>
          <w:rFonts w:hint="eastAsia"/>
          <w:rtl/>
        </w:rPr>
        <w:t>نده</w:t>
      </w:r>
      <w:r w:rsidRPr="0025250D">
        <w:rPr>
          <w:rtl/>
        </w:rPr>
        <w:t xml:space="preserve"> فرآ</w:t>
      </w:r>
      <w:r w:rsidRPr="0025250D">
        <w:rPr>
          <w:rFonts w:hint="cs"/>
          <w:rtl/>
        </w:rPr>
        <w:t>ی</w:t>
      </w:r>
      <w:r w:rsidRPr="0025250D">
        <w:rPr>
          <w:rFonts w:hint="eastAsia"/>
          <w:rtl/>
        </w:rPr>
        <w:t>ندها</w:t>
      </w:r>
      <w:r w:rsidRPr="0025250D">
        <w:rPr>
          <w:rFonts w:hint="cs"/>
          <w:rtl/>
        </w:rPr>
        <w:t>ی</w:t>
      </w:r>
      <w:r w:rsidRPr="0025250D">
        <w:rPr>
          <w:rtl/>
        </w:rPr>
        <w:t xml:space="preserve"> توسعه جهان</w:t>
      </w:r>
      <w:r w:rsidRPr="0025250D">
        <w:rPr>
          <w:rFonts w:hint="cs"/>
          <w:rtl/>
        </w:rPr>
        <w:t>ی</w:t>
      </w:r>
      <w:r w:rsidRPr="0025250D">
        <w:rPr>
          <w:rtl/>
        </w:rPr>
        <w:t xml:space="preserve"> را</w:t>
      </w:r>
      <w:r w:rsidR="00EE4B64" w:rsidRPr="0025250D">
        <w:rPr>
          <w:rtl/>
        </w:rPr>
        <w:t xml:space="preserve"> نمی‌</w:t>
      </w:r>
      <w:r w:rsidRPr="0025250D">
        <w:rPr>
          <w:rtl/>
        </w:rPr>
        <w:t>ب</w:t>
      </w:r>
      <w:r w:rsidRPr="0025250D">
        <w:rPr>
          <w:rFonts w:hint="cs"/>
          <w:rtl/>
        </w:rPr>
        <w:t>ی</w:t>
      </w:r>
      <w:r w:rsidRPr="0025250D">
        <w:rPr>
          <w:rFonts w:hint="eastAsia"/>
          <w:rtl/>
        </w:rPr>
        <w:t>ند</w:t>
      </w:r>
      <w:r w:rsidRPr="0025250D">
        <w:rPr>
          <w:rtl/>
        </w:rPr>
        <w:t>. امروزه ب</w:t>
      </w:r>
      <w:r w:rsidRPr="0025250D">
        <w:rPr>
          <w:rFonts w:hint="cs"/>
          <w:rtl/>
        </w:rPr>
        <w:t>ی</w:t>
      </w:r>
      <w:r w:rsidRPr="0025250D">
        <w:rPr>
          <w:rFonts w:hint="eastAsia"/>
          <w:rtl/>
        </w:rPr>
        <w:t>شتر</w:t>
      </w:r>
      <w:r w:rsidRPr="0025250D">
        <w:rPr>
          <w:rtl/>
        </w:rPr>
        <w:t xml:space="preserve"> تفکر پ</w:t>
      </w:r>
      <w:r w:rsidRPr="0025250D">
        <w:rPr>
          <w:rFonts w:hint="cs"/>
          <w:rtl/>
        </w:rPr>
        <w:t>ی</w:t>
      </w:r>
      <w:r w:rsidRPr="0025250D">
        <w:rPr>
          <w:rFonts w:hint="eastAsia"/>
          <w:rtl/>
        </w:rPr>
        <w:t>چ</w:t>
      </w:r>
      <w:r w:rsidRPr="0025250D">
        <w:rPr>
          <w:rFonts w:hint="cs"/>
          <w:rtl/>
        </w:rPr>
        <w:t>ی</w:t>
      </w:r>
      <w:r w:rsidRPr="0025250D">
        <w:rPr>
          <w:rFonts w:hint="eastAsia"/>
          <w:rtl/>
        </w:rPr>
        <w:t>دگ</w:t>
      </w:r>
      <w:r w:rsidRPr="0025250D">
        <w:rPr>
          <w:rFonts w:hint="cs"/>
          <w:rtl/>
        </w:rPr>
        <w:t>ی</w:t>
      </w:r>
      <w:r w:rsidRPr="0025250D">
        <w:rPr>
          <w:rFonts w:hint="eastAsia"/>
          <w:rtl/>
        </w:rPr>
        <w:t>،</w:t>
      </w:r>
      <w:r w:rsidRPr="0025250D">
        <w:rPr>
          <w:rtl/>
        </w:rPr>
        <w:t xml:space="preserve"> تکامل محور است، بنابرا</w:t>
      </w:r>
      <w:r w:rsidRPr="0025250D">
        <w:rPr>
          <w:rFonts w:hint="cs"/>
          <w:rtl/>
        </w:rPr>
        <w:t>ی</w:t>
      </w:r>
      <w:r w:rsidRPr="0025250D">
        <w:rPr>
          <w:rFonts w:hint="eastAsia"/>
          <w:rtl/>
        </w:rPr>
        <w:t>ن</w:t>
      </w:r>
      <w:r w:rsidRPr="0025250D">
        <w:rPr>
          <w:rtl/>
        </w:rPr>
        <w:t xml:space="preserve"> ا</w:t>
      </w:r>
      <w:r w:rsidRPr="0025250D">
        <w:rPr>
          <w:rFonts w:hint="cs"/>
          <w:rtl/>
        </w:rPr>
        <w:t>ی</w:t>
      </w:r>
      <w:r w:rsidRPr="0025250D">
        <w:rPr>
          <w:rFonts w:hint="eastAsia"/>
          <w:rtl/>
        </w:rPr>
        <w:t>ن</w:t>
      </w:r>
      <w:r w:rsidRPr="0025250D">
        <w:rPr>
          <w:rtl/>
        </w:rPr>
        <w:t xml:space="preserve"> </w:t>
      </w:r>
      <w:r w:rsidRPr="0025250D">
        <w:rPr>
          <w:rFonts w:hint="cs"/>
          <w:rtl/>
        </w:rPr>
        <w:t>امر مطابق</w:t>
      </w:r>
      <w:r w:rsidRPr="0025250D">
        <w:rPr>
          <w:rtl/>
        </w:rPr>
        <w:t xml:space="preserve"> انتظار است. با ا</w:t>
      </w:r>
      <w:r w:rsidRPr="0025250D">
        <w:rPr>
          <w:rFonts w:hint="cs"/>
          <w:rtl/>
        </w:rPr>
        <w:t>ی</w:t>
      </w:r>
      <w:r w:rsidRPr="0025250D">
        <w:rPr>
          <w:rFonts w:hint="eastAsia"/>
          <w:rtl/>
        </w:rPr>
        <w:t>ن</w:t>
      </w:r>
      <w:r w:rsidRPr="0025250D">
        <w:rPr>
          <w:rtl/>
        </w:rPr>
        <w:t xml:space="preserve"> وجود، ا</w:t>
      </w:r>
      <w:r w:rsidRPr="0025250D">
        <w:rPr>
          <w:rFonts w:hint="cs"/>
          <w:rtl/>
        </w:rPr>
        <w:t>ی</w:t>
      </w:r>
      <w:r w:rsidRPr="0025250D">
        <w:rPr>
          <w:rFonts w:hint="eastAsia"/>
          <w:rtl/>
        </w:rPr>
        <w:t>ن</w:t>
      </w:r>
      <w:r w:rsidRPr="0025250D">
        <w:rPr>
          <w:rtl/>
        </w:rPr>
        <w:t xml:space="preserve"> </w:t>
      </w:r>
      <w:r w:rsidR="00B13F65" w:rsidRPr="0025250D">
        <w:rPr>
          <w:rtl/>
        </w:rPr>
        <w:t>چارچوب</w:t>
      </w:r>
      <w:r w:rsidRPr="0025250D">
        <w:rPr>
          <w:rtl/>
        </w:rPr>
        <w:t xml:space="preserve"> مقدمه‌ا</w:t>
      </w:r>
      <w:r w:rsidRPr="0025250D">
        <w:rPr>
          <w:rFonts w:hint="cs"/>
          <w:rtl/>
        </w:rPr>
        <w:t>ی</w:t>
      </w:r>
      <w:r w:rsidRPr="0025250D">
        <w:rPr>
          <w:rtl/>
        </w:rPr>
        <w:t xml:space="preserve"> عال</w:t>
      </w:r>
      <w:r w:rsidRPr="0025250D">
        <w:rPr>
          <w:rFonts w:hint="cs"/>
          <w:rtl/>
        </w:rPr>
        <w:t>ی</w:t>
      </w:r>
      <w:r w:rsidRPr="0025250D">
        <w:rPr>
          <w:rtl/>
        </w:rPr>
        <w:t xml:space="preserve"> بر</w:t>
      </w:r>
      <w:r w:rsidRPr="0025250D">
        <w:rPr>
          <w:rFonts w:hint="eastAsia"/>
          <w:rtl/>
        </w:rPr>
        <w:t>ا</w:t>
      </w:r>
      <w:r w:rsidRPr="0025250D">
        <w:rPr>
          <w:rFonts w:hint="cs"/>
          <w:rtl/>
        </w:rPr>
        <w:t>ی</w:t>
      </w:r>
      <w:r w:rsidRPr="0025250D">
        <w:rPr>
          <w:rtl/>
        </w:rPr>
        <w:t xml:space="preserve"> کار</w:t>
      </w:r>
      <w:r w:rsidRPr="0025250D">
        <w:rPr>
          <w:rFonts w:hint="cs"/>
          <w:rtl/>
        </w:rPr>
        <w:t>ی</w:t>
      </w:r>
      <w:r w:rsidRPr="0025250D">
        <w:rPr>
          <w:rtl/>
        </w:rPr>
        <w:t xml:space="preserve"> پ</w:t>
      </w:r>
      <w:r w:rsidRPr="0025250D">
        <w:rPr>
          <w:rFonts w:hint="cs"/>
          <w:rtl/>
        </w:rPr>
        <w:t>ی</w:t>
      </w:r>
      <w:r w:rsidRPr="0025250D">
        <w:rPr>
          <w:rFonts w:hint="eastAsia"/>
          <w:rtl/>
        </w:rPr>
        <w:t>شرو</w:t>
      </w:r>
      <w:r w:rsidRPr="0025250D">
        <w:rPr>
          <w:rtl/>
        </w:rPr>
        <w:t xml:space="preserve"> است که به دنبال ادغام بهتر تفکر </w:t>
      </w:r>
      <w:r w:rsidR="008D6F97" w:rsidRPr="0025250D">
        <w:rPr>
          <w:rtl/>
        </w:rPr>
        <w:t>سامانه‌</w:t>
      </w:r>
      <w:r w:rsidRPr="0025250D">
        <w:rPr>
          <w:rFonts w:hint="eastAsia"/>
          <w:rtl/>
        </w:rPr>
        <w:t>‌ها</w:t>
      </w:r>
      <w:r w:rsidRPr="0025250D">
        <w:rPr>
          <w:rFonts w:hint="cs"/>
          <w:rtl/>
        </w:rPr>
        <w:t>ی</w:t>
      </w:r>
      <w:r w:rsidRPr="0025250D">
        <w:rPr>
          <w:rtl/>
        </w:rPr>
        <w:t xml:space="preserve"> </w:t>
      </w:r>
      <w:r w:rsidR="00B124DE" w:rsidRPr="0025250D">
        <w:rPr>
          <w:rtl/>
        </w:rPr>
        <w:t>انطباق‌پذیر</w:t>
      </w:r>
      <w:r w:rsidRPr="0025250D">
        <w:rPr>
          <w:rtl/>
        </w:rPr>
        <w:t xml:space="preserve"> پ</w:t>
      </w:r>
      <w:r w:rsidRPr="0025250D">
        <w:rPr>
          <w:rFonts w:hint="cs"/>
          <w:rtl/>
        </w:rPr>
        <w:t>ی</w:t>
      </w:r>
      <w:r w:rsidRPr="0025250D">
        <w:rPr>
          <w:rFonts w:hint="eastAsia"/>
          <w:rtl/>
        </w:rPr>
        <w:t>چ</w:t>
      </w:r>
      <w:r w:rsidRPr="0025250D">
        <w:rPr>
          <w:rFonts w:hint="cs"/>
          <w:rtl/>
        </w:rPr>
        <w:t>ی</w:t>
      </w:r>
      <w:r w:rsidRPr="0025250D">
        <w:rPr>
          <w:rFonts w:hint="eastAsia"/>
          <w:rtl/>
        </w:rPr>
        <w:t>ده</w:t>
      </w:r>
      <w:r w:rsidRPr="0025250D">
        <w:rPr>
          <w:rtl/>
        </w:rPr>
        <w:t xml:space="preserve"> در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w:t>
      </w:r>
      <w:r w:rsidR="00701E03" w:rsidRPr="0025250D">
        <w:rPr>
          <w:rtl/>
        </w:rPr>
        <w:t>راهبردی</w:t>
      </w:r>
      <w:r w:rsidRPr="0025250D">
        <w:rPr>
          <w:rtl/>
        </w:rPr>
        <w:t xml:space="preserve"> است.</w:t>
      </w:r>
    </w:p>
    <w:p w14:paraId="442FB2AD" w14:textId="64A7585F" w:rsidR="0037616D" w:rsidRPr="0025250D" w:rsidRDefault="0037616D" w:rsidP="00492C47">
      <w:pPr>
        <w:numPr>
          <w:ilvl w:val="0"/>
          <w:numId w:val="80"/>
        </w:numPr>
      </w:pPr>
      <w:r w:rsidRPr="0025250D">
        <w:rPr>
          <w:rtl/>
        </w:rPr>
        <w:t>فر</w:t>
      </w:r>
      <w:r w:rsidRPr="0025250D">
        <w:rPr>
          <w:rFonts w:hint="cs"/>
          <w:rtl/>
        </w:rPr>
        <w:t>ی</w:t>
      </w:r>
      <w:r w:rsidRPr="0025250D">
        <w:rPr>
          <w:rFonts w:hint="eastAsia"/>
          <w:rtl/>
        </w:rPr>
        <w:t>ب</w:t>
      </w:r>
      <w:r w:rsidRPr="0025250D">
        <w:rPr>
          <w:rtl/>
        </w:rPr>
        <w:t xml:space="preserve"> </w:t>
      </w:r>
      <w:r w:rsidRPr="0025250D">
        <w:rPr>
          <w:rFonts w:hint="cs"/>
          <w:rtl/>
        </w:rPr>
        <w:t xml:space="preserve">خورده توسط </w:t>
      </w:r>
      <w:r w:rsidRPr="0025250D">
        <w:rPr>
          <w:rtl/>
        </w:rPr>
        <w:t>تصادف: نقش پنهان شانس در زندگ</w:t>
      </w:r>
      <w:r w:rsidRPr="0025250D">
        <w:rPr>
          <w:rFonts w:hint="cs"/>
          <w:rtl/>
        </w:rPr>
        <w:t>ی</w:t>
      </w:r>
      <w:r w:rsidRPr="0025250D">
        <w:rPr>
          <w:rtl/>
        </w:rPr>
        <w:t xml:space="preserve"> و بازارها، ن</w:t>
      </w:r>
      <w:r w:rsidRPr="0025250D">
        <w:rPr>
          <w:rFonts w:hint="cs"/>
          <w:rtl/>
        </w:rPr>
        <w:t>ی</w:t>
      </w:r>
      <w:r w:rsidRPr="0025250D">
        <w:rPr>
          <w:rFonts w:hint="eastAsia"/>
          <w:rtl/>
        </w:rPr>
        <w:t>کلاس</w:t>
      </w:r>
      <w:r w:rsidRPr="0025250D">
        <w:rPr>
          <w:rtl/>
        </w:rPr>
        <w:t xml:space="preserve"> طالب</w:t>
      </w:r>
      <w:r w:rsidRPr="0025250D">
        <w:rPr>
          <w:vertAlign w:val="superscript"/>
          <w:rtl/>
        </w:rPr>
        <w:footnoteReference w:id="3420"/>
      </w:r>
      <w:r w:rsidRPr="0025250D">
        <w:rPr>
          <w:rtl/>
        </w:rPr>
        <w:t>، 2005. کار</w:t>
      </w:r>
      <w:r w:rsidRPr="0025250D">
        <w:rPr>
          <w:rFonts w:hint="cs"/>
          <w:rtl/>
        </w:rPr>
        <w:t>ی</w:t>
      </w:r>
      <w:r w:rsidRPr="0025250D">
        <w:rPr>
          <w:rtl/>
        </w:rPr>
        <w:t xml:space="preserve"> عال</w:t>
      </w:r>
      <w:r w:rsidRPr="0025250D">
        <w:rPr>
          <w:rFonts w:hint="cs"/>
          <w:rtl/>
        </w:rPr>
        <w:t>ی</w:t>
      </w:r>
      <w:r w:rsidRPr="0025250D">
        <w:rPr>
          <w:rtl/>
        </w:rPr>
        <w:t xml:space="preserve"> که به ما </w:t>
      </w:r>
      <w:r w:rsidRPr="0025250D">
        <w:rPr>
          <w:rFonts w:hint="cs"/>
          <w:rtl/>
        </w:rPr>
        <w:t>ی</w:t>
      </w:r>
      <w:r w:rsidRPr="0025250D">
        <w:rPr>
          <w:rFonts w:hint="eastAsia"/>
          <w:rtl/>
        </w:rPr>
        <w:t>ادآور</w:t>
      </w:r>
      <w:r w:rsidRPr="0025250D">
        <w:rPr>
          <w:rFonts w:hint="cs"/>
          <w:rtl/>
        </w:rPr>
        <w:t>ی</w:t>
      </w:r>
      <w:r w:rsidRPr="0025250D">
        <w:rPr>
          <w:rtl/>
        </w:rPr>
        <w:t xml:space="preserve"> م</w:t>
      </w:r>
      <w:r w:rsidRPr="0025250D">
        <w:rPr>
          <w:rFonts w:hint="cs"/>
          <w:rtl/>
        </w:rPr>
        <w:t>ی</w:t>
      </w:r>
      <w:r w:rsidRPr="0025250D">
        <w:rPr>
          <w:rtl/>
        </w:rPr>
        <w:t xml:space="preserve"> کند که چقدر برا</w:t>
      </w:r>
      <w:r w:rsidRPr="0025250D">
        <w:rPr>
          <w:rFonts w:hint="cs"/>
          <w:rtl/>
        </w:rPr>
        <w:t>ی</w:t>
      </w:r>
      <w:r w:rsidRPr="0025250D">
        <w:rPr>
          <w:rtl/>
        </w:rPr>
        <w:t xml:space="preserve"> انسان ها که ب</w:t>
      </w:r>
      <w:r w:rsidRPr="0025250D">
        <w:rPr>
          <w:rFonts w:hint="cs"/>
          <w:rtl/>
        </w:rPr>
        <w:t>ی</w:t>
      </w:r>
      <w:r w:rsidRPr="0025250D">
        <w:rPr>
          <w:rFonts w:hint="eastAsia"/>
          <w:rtl/>
        </w:rPr>
        <w:t>ننده</w:t>
      </w:r>
      <w:r w:rsidRPr="0025250D">
        <w:rPr>
          <w:rtl/>
        </w:rPr>
        <w:t xml:space="preserve"> الگو</w:t>
      </w:r>
      <w:r w:rsidRPr="0025250D">
        <w:rPr>
          <w:rFonts w:hint="cs"/>
          <w:rtl/>
        </w:rPr>
        <w:t>ها</w:t>
      </w:r>
      <w:r w:rsidRPr="0025250D">
        <w:rPr>
          <w:rtl/>
        </w:rPr>
        <w:t xml:space="preserve"> و معناساز </w:t>
      </w:r>
      <w:r w:rsidRPr="0025250D">
        <w:rPr>
          <w:rFonts w:hint="cs"/>
          <w:rtl/>
        </w:rPr>
        <w:t xml:space="preserve">هستند، </w:t>
      </w:r>
      <w:r w:rsidRPr="0025250D">
        <w:rPr>
          <w:rtl/>
        </w:rPr>
        <w:t>آسان است</w:t>
      </w:r>
      <w:r w:rsidRPr="0025250D">
        <w:rPr>
          <w:rFonts w:hint="cs"/>
          <w:rtl/>
        </w:rPr>
        <w:t xml:space="preserve"> که</w:t>
      </w:r>
      <w:r w:rsidRPr="0025250D">
        <w:rPr>
          <w:rtl/>
        </w:rPr>
        <w:t xml:space="preserve"> عل</w:t>
      </w:r>
      <w:r w:rsidRPr="0025250D">
        <w:rPr>
          <w:rFonts w:hint="cs"/>
          <w:rtl/>
        </w:rPr>
        <w:t>ی</w:t>
      </w:r>
      <w:r w:rsidRPr="0025250D">
        <w:rPr>
          <w:rFonts w:hint="eastAsia"/>
          <w:rtl/>
        </w:rPr>
        <w:t>ت</w:t>
      </w:r>
      <w:r w:rsidRPr="0025250D">
        <w:rPr>
          <w:rtl/>
        </w:rPr>
        <w:t xml:space="preserve"> را در تصادف بب</w:t>
      </w:r>
      <w:r w:rsidRPr="0025250D">
        <w:rPr>
          <w:rFonts w:hint="cs"/>
          <w:rtl/>
        </w:rPr>
        <w:t>ی</w:t>
      </w:r>
      <w:r w:rsidRPr="0025250D">
        <w:rPr>
          <w:rFonts w:hint="eastAsia"/>
          <w:rtl/>
        </w:rPr>
        <w:t>نند</w:t>
      </w:r>
      <w:r w:rsidRPr="0025250D">
        <w:rPr>
          <w:rtl/>
        </w:rPr>
        <w:t>. توض</w:t>
      </w:r>
      <w:r w:rsidRPr="0025250D">
        <w:rPr>
          <w:rFonts w:hint="cs"/>
          <w:rtl/>
        </w:rPr>
        <w:t>ی</w:t>
      </w:r>
      <w:r w:rsidRPr="0025250D">
        <w:rPr>
          <w:rFonts w:hint="eastAsia"/>
          <w:rtl/>
        </w:rPr>
        <w:t>ح</w:t>
      </w:r>
      <w:r w:rsidRPr="0025250D">
        <w:rPr>
          <w:rtl/>
        </w:rPr>
        <w:t xml:space="preserve"> م</w:t>
      </w:r>
      <w:r w:rsidRPr="0025250D">
        <w:rPr>
          <w:rFonts w:hint="cs"/>
          <w:rtl/>
        </w:rPr>
        <w:t>ی</w:t>
      </w:r>
      <w:r w:rsidRPr="0025250D">
        <w:rPr>
          <w:rtl/>
        </w:rPr>
        <w:t xml:space="preserve"> دهد که چگونه شک، انتقاد، بحث، شواهد جو</w:t>
      </w:r>
      <w:r w:rsidRPr="0025250D">
        <w:rPr>
          <w:rFonts w:hint="cs"/>
          <w:rtl/>
        </w:rPr>
        <w:t>یی</w:t>
      </w:r>
      <w:r w:rsidRPr="0025250D">
        <w:rPr>
          <w:rtl/>
        </w:rPr>
        <w:t xml:space="preserve"> و آزما</w:t>
      </w:r>
      <w:r w:rsidRPr="0025250D">
        <w:rPr>
          <w:rFonts w:hint="cs"/>
          <w:rtl/>
        </w:rPr>
        <w:t>ی</w:t>
      </w:r>
      <w:r w:rsidRPr="0025250D">
        <w:rPr>
          <w:rFonts w:hint="eastAsia"/>
          <w:rtl/>
        </w:rPr>
        <w:t>ش</w:t>
      </w:r>
      <w:r w:rsidRPr="0025250D">
        <w:rPr>
          <w:rtl/>
        </w:rPr>
        <w:t xml:space="preserve"> م</w:t>
      </w:r>
      <w:r w:rsidRPr="0025250D">
        <w:rPr>
          <w:rFonts w:hint="cs"/>
          <w:rtl/>
        </w:rPr>
        <w:t>ی</w:t>
      </w:r>
      <w:r w:rsidRPr="0025250D">
        <w:rPr>
          <w:rtl/>
        </w:rPr>
        <w:t xml:space="preserve"> توان</w:t>
      </w:r>
      <w:r w:rsidRPr="0025250D">
        <w:rPr>
          <w:rFonts w:hint="eastAsia"/>
          <w:rtl/>
        </w:rPr>
        <w:t>د</w:t>
      </w:r>
      <w:r w:rsidRPr="0025250D">
        <w:rPr>
          <w:rtl/>
        </w:rPr>
        <w:t xml:space="preserve"> به ما در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ا</w:t>
      </w:r>
      <w:r w:rsidRPr="0025250D">
        <w:rPr>
          <w:rFonts w:hint="cs"/>
          <w:rtl/>
        </w:rPr>
        <w:t>ی</w:t>
      </w:r>
      <w:r w:rsidRPr="0025250D">
        <w:rPr>
          <w:rFonts w:hint="eastAsia"/>
          <w:rtl/>
        </w:rPr>
        <w:t>ن</w:t>
      </w:r>
      <w:r w:rsidRPr="0025250D">
        <w:rPr>
          <w:rtl/>
        </w:rPr>
        <w:t xml:space="preserve"> سوگ</w:t>
      </w:r>
      <w:r w:rsidRPr="0025250D">
        <w:rPr>
          <w:rFonts w:hint="cs"/>
          <w:rtl/>
        </w:rPr>
        <w:t>ی</w:t>
      </w:r>
      <w:r w:rsidRPr="0025250D">
        <w:rPr>
          <w:rFonts w:hint="eastAsia"/>
          <w:rtl/>
        </w:rPr>
        <w:t>ر</w:t>
      </w:r>
      <w:r w:rsidRPr="0025250D">
        <w:rPr>
          <w:rFonts w:hint="cs"/>
          <w:rtl/>
        </w:rPr>
        <w:t>ی</w:t>
      </w:r>
      <w:r w:rsidRPr="0025250D">
        <w:rPr>
          <w:rtl/>
        </w:rPr>
        <w:t xml:space="preserve"> خطرناک کمک کند.</w:t>
      </w:r>
    </w:p>
    <w:p w14:paraId="74E65DCD" w14:textId="1B8D1037" w:rsidR="0037616D" w:rsidRPr="0025250D" w:rsidRDefault="0037616D" w:rsidP="00492C47">
      <w:pPr>
        <w:numPr>
          <w:ilvl w:val="0"/>
          <w:numId w:val="80"/>
        </w:numPr>
      </w:pPr>
      <w:r w:rsidRPr="0025250D">
        <w:rPr>
          <w:rFonts w:hint="cs"/>
          <w:rtl/>
        </w:rPr>
        <w:t>ی</w:t>
      </w:r>
      <w:r w:rsidRPr="0025250D">
        <w:rPr>
          <w:rFonts w:hint="eastAsia"/>
          <w:rtl/>
        </w:rPr>
        <w:t>ادگ</w:t>
      </w:r>
      <w:r w:rsidRPr="0025250D">
        <w:rPr>
          <w:rFonts w:hint="cs"/>
          <w:rtl/>
        </w:rPr>
        <w:t>ی</w:t>
      </w:r>
      <w:r w:rsidRPr="0025250D">
        <w:rPr>
          <w:rFonts w:hint="eastAsia"/>
          <w:rtl/>
        </w:rPr>
        <w:t>ر</w:t>
      </w:r>
      <w:r w:rsidRPr="0025250D">
        <w:rPr>
          <w:rFonts w:hint="cs"/>
          <w:rtl/>
        </w:rPr>
        <w:t>ی</w:t>
      </w:r>
      <w:r w:rsidRPr="0025250D">
        <w:rPr>
          <w:rtl/>
        </w:rPr>
        <w:t xml:space="preserve"> از آ</w:t>
      </w:r>
      <w:r w:rsidRPr="0025250D">
        <w:rPr>
          <w:rFonts w:hint="cs"/>
          <w:rtl/>
        </w:rPr>
        <w:t>ی</w:t>
      </w:r>
      <w:r w:rsidRPr="0025250D">
        <w:rPr>
          <w:rFonts w:hint="eastAsia"/>
          <w:rtl/>
        </w:rPr>
        <w:t>نده</w:t>
      </w:r>
      <w:r w:rsidRPr="0025250D">
        <w:rPr>
          <w:rtl/>
        </w:rPr>
        <w:t xml:space="preserve">: </w:t>
      </w:r>
      <w:r w:rsidRPr="0025250D">
        <w:rPr>
          <w:rFonts w:hint="cs"/>
          <w:rtl/>
        </w:rPr>
        <w:t>فرانامه های</w:t>
      </w:r>
      <w:r w:rsidRPr="0025250D">
        <w:rPr>
          <w:rtl/>
        </w:rPr>
        <w:t xml:space="preserve"> </w:t>
      </w:r>
      <w:r w:rsidR="00D92F6E" w:rsidRPr="0025250D">
        <w:rPr>
          <w:rtl/>
        </w:rPr>
        <w:t>آینده‌نگاری</w:t>
      </w:r>
      <w:r w:rsidRPr="0025250D">
        <w:rPr>
          <w:rtl/>
        </w:rPr>
        <w:t xml:space="preserve"> رقابت</w:t>
      </w:r>
      <w:r w:rsidRPr="0025250D">
        <w:rPr>
          <w:rFonts w:hint="cs"/>
          <w:rtl/>
        </w:rPr>
        <w:t>ی</w:t>
      </w:r>
      <w:r w:rsidRPr="0025250D">
        <w:rPr>
          <w:rFonts w:hint="eastAsia"/>
          <w:rtl/>
        </w:rPr>
        <w:t>،</w:t>
      </w:r>
      <w:r w:rsidRPr="0025250D">
        <w:rPr>
          <w:rtl/>
        </w:rPr>
        <w:t xml:space="preserve"> ل</w:t>
      </w:r>
      <w:r w:rsidRPr="0025250D">
        <w:rPr>
          <w:rFonts w:hint="cs"/>
          <w:rtl/>
        </w:rPr>
        <w:t>ی</w:t>
      </w:r>
      <w:r w:rsidRPr="0025250D">
        <w:rPr>
          <w:rFonts w:hint="eastAsia"/>
          <w:rtl/>
        </w:rPr>
        <w:t>ام</w:t>
      </w:r>
      <w:r w:rsidRPr="0025250D">
        <w:rPr>
          <w:rtl/>
        </w:rPr>
        <w:t xml:space="preserve"> فاه</w:t>
      </w:r>
      <w:r w:rsidRPr="0025250D">
        <w:rPr>
          <w:rFonts w:hint="cs"/>
          <w:rtl/>
        </w:rPr>
        <w:t>ی</w:t>
      </w:r>
      <w:r w:rsidRPr="0025250D">
        <w:rPr>
          <w:rtl/>
        </w:rPr>
        <w:t xml:space="preserve"> و رابرت راندال</w:t>
      </w:r>
      <w:r w:rsidRPr="0025250D">
        <w:rPr>
          <w:vertAlign w:val="superscript"/>
          <w:rtl/>
        </w:rPr>
        <w:footnoteReference w:id="3421"/>
      </w:r>
      <w:r w:rsidRPr="0025250D">
        <w:rPr>
          <w:rtl/>
        </w:rPr>
        <w:t>، 1997.</w:t>
      </w:r>
      <w:r w:rsidRPr="0025250D">
        <w:rPr>
          <w:rFonts w:hint="cs"/>
          <w:rtl/>
        </w:rPr>
        <w:t xml:space="preserve"> </w:t>
      </w:r>
      <w:r w:rsidRPr="0025250D">
        <w:rPr>
          <w:rtl/>
        </w:rPr>
        <w:t>هنوز راهنما</w:t>
      </w:r>
      <w:r w:rsidRPr="0025250D">
        <w:rPr>
          <w:rFonts w:hint="cs"/>
          <w:rtl/>
        </w:rPr>
        <w:t>ی</w:t>
      </w:r>
      <w:r w:rsidRPr="0025250D">
        <w:rPr>
          <w:rtl/>
        </w:rPr>
        <w:t xml:space="preserve"> مورد علاقه ما </w:t>
      </w:r>
      <w:r w:rsidRPr="0025250D">
        <w:rPr>
          <w:rFonts w:hint="cs"/>
          <w:rtl/>
        </w:rPr>
        <w:t>در زمینه</w:t>
      </w:r>
      <w:r w:rsidRPr="0025250D">
        <w:rPr>
          <w:rtl/>
        </w:rPr>
        <w:t xml:space="preserve"> استفاده از </w:t>
      </w:r>
      <w:r w:rsidRPr="0025250D">
        <w:rPr>
          <w:rFonts w:hint="cs"/>
          <w:rtl/>
        </w:rPr>
        <w:t>فرانامه ها</w:t>
      </w:r>
      <w:r w:rsidRPr="0025250D">
        <w:rPr>
          <w:rtl/>
        </w:rPr>
        <w:t xml:space="preserve"> </w:t>
      </w:r>
      <w:r w:rsidRPr="0025250D">
        <w:rPr>
          <w:rFonts w:hint="cs"/>
          <w:rtl/>
        </w:rPr>
        <w:t>به منظور</w:t>
      </w:r>
      <w:r w:rsidRPr="0025250D">
        <w:rPr>
          <w:rtl/>
        </w:rPr>
        <w:t xml:space="preserve"> کاهش عدم اطم</w:t>
      </w:r>
      <w:r w:rsidRPr="0025250D">
        <w:rPr>
          <w:rFonts w:hint="cs"/>
          <w:rtl/>
        </w:rPr>
        <w:t>ی</w:t>
      </w:r>
      <w:r w:rsidRPr="0025250D">
        <w:rPr>
          <w:rFonts w:hint="eastAsia"/>
          <w:rtl/>
        </w:rPr>
        <w:t>نان،</w:t>
      </w:r>
      <w:r w:rsidRPr="0025250D">
        <w:rPr>
          <w:rtl/>
        </w:rPr>
        <w:t xml:space="preserve"> </w:t>
      </w:r>
      <w:r w:rsidRPr="0025250D">
        <w:rPr>
          <w:rFonts w:hint="cs"/>
          <w:rtl/>
        </w:rPr>
        <w:t>ی</w:t>
      </w:r>
      <w:r w:rsidRPr="0025250D">
        <w:rPr>
          <w:rFonts w:hint="eastAsia"/>
          <w:rtl/>
        </w:rPr>
        <w:t>افتن</w:t>
      </w:r>
      <w:r w:rsidRPr="0025250D">
        <w:rPr>
          <w:rtl/>
        </w:rPr>
        <w:t xml:space="preserve"> فرصت ها و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ر</w:t>
      </w:r>
      <w:r w:rsidRPr="0025250D">
        <w:rPr>
          <w:rFonts w:hint="cs"/>
          <w:rtl/>
        </w:rPr>
        <w:t>ی</w:t>
      </w:r>
      <w:r w:rsidRPr="0025250D">
        <w:rPr>
          <w:rFonts w:hint="eastAsia"/>
          <w:rtl/>
        </w:rPr>
        <w:t>سک</w:t>
      </w:r>
      <w:r w:rsidRPr="0025250D">
        <w:rPr>
          <w:rtl/>
        </w:rPr>
        <w:t xml:space="preserve"> است. ترک</w:t>
      </w:r>
      <w:r w:rsidRPr="0025250D">
        <w:rPr>
          <w:rFonts w:hint="cs"/>
          <w:rtl/>
        </w:rPr>
        <w:t>ی</w:t>
      </w:r>
      <w:r w:rsidRPr="0025250D">
        <w:rPr>
          <w:rFonts w:hint="eastAsia"/>
          <w:rtl/>
        </w:rPr>
        <w:t>ب</w:t>
      </w:r>
      <w:r w:rsidRPr="0025250D">
        <w:rPr>
          <w:rFonts w:hint="cs"/>
          <w:rtl/>
        </w:rPr>
        <w:t>ی</w:t>
      </w:r>
      <w:r w:rsidRPr="0025250D">
        <w:rPr>
          <w:rtl/>
        </w:rPr>
        <w:t xml:space="preserve"> الهام بخش از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غ</w:t>
      </w:r>
      <w:r w:rsidRPr="0025250D">
        <w:rPr>
          <w:rFonts w:hint="cs"/>
          <w:rtl/>
        </w:rPr>
        <w:t>ی</w:t>
      </w:r>
      <w:r w:rsidRPr="0025250D">
        <w:rPr>
          <w:rFonts w:hint="eastAsia"/>
          <w:rtl/>
        </w:rPr>
        <w:t>رقابل</w:t>
      </w:r>
      <w:r w:rsidRPr="0025250D">
        <w:rPr>
          <w:rtl/>
        </w:rPr>
        <w:t xml:space="preserve"> </w:t>
      </w:r>
      <w:r w:rsidR="00D92F6E" w:rsidRPr="0025250D">
        <w:rPr>
          <w:rtl/>
        </w:rPr>
        <w:t>پیش‌بین</w:t>
      </w:r>
      <w:r w:rsidRPr="0025250D">
        <w:rPr>
          <w:rFonts w:hint="cs"/>
          <w:rtl/>
        </w:rPr>
        <w:t>ی</w:t>
      </w:r>
      <w:r w:rsidRPr="0025250D">
        <w:rPr>
          <w:rtl/>
        </w:rPr>
        <w:t xml:space="preserve"> (</w:t>
      </w:r>
      <w:r w:rsidRPr="0025250D">
        <w:rPr>
          <w:rFonts w:hint="cs"/>
          <w:rtl/>
        </w:rPr>
        <w:t>تکاملی</w:t>
      </w:r>
      <w:r w:rsidRPr="0025250D">
        <w:rPr>
          <w:rtl/>
        </w:rPr>
        <w:t xml:space="preserve">) و کشف قابل </w:t>
      </w:r>
      <w:r w:rsidR="00D92F6E" w:rsidRPr="0025250D">
        <w:rPr>
          <w:rtl/>
        </w:rPr>
        <w:t>پیش‌بین</w:t>
      </w:r>
      <w:r w:rsidRPr="0025250D">
        <w:rPr>
          <w:rFonts w:hint="cs"/>
          <w:rtl/>
        </w:rPr>
        <w:t>ی</w:t>
      </w:r>
      <w:r w:rsidRPr="0025250D">
        <w:rPr>
          <w:rtl/>
        </w:rPr>
        <w:t xml:space="preserve"> (</w:t>
      </w:r>
      <w:r w:rsidRPr="0025250D">
        <w:rPr>
          <w:rFonts w:hint="cs"/>
          <w:rtl/>
        </w:rPr>
        <w:t>توسعه ای</w:t>
      </w:r>
      <w:r w:rsidRPr="0025250D">
        <w:rPr>
          <w:rtl/>
        </w:rPr>
        <w:t>).</w:t>
      </w:r>
    </w:p>
    <w:p w14:paraId="44A98233" w14:textId="44871E29" w:rsidR="0037616D" w:rsidRPr="0025250D" w:rsidRDefault="0037616D" w:rsidP="00492C47">
      <w:pPr>
        <w:numPr>
          <w:ilvl w:val="0"/>
          <w:numId w:val="80"/>
        </w:numPr>
      </w:pPr>
      <w:r w:rsidRPr="0025250D">
        <w:rPr>
          <w:rtl/>
        </w:rPr>
        <w:t xml:space="preserve">استفاده از روندها و </w:t>
      </w:r>
      <w:r w:rsidRPr="0025250D">
        <w:rPr>
          <w:rFonts w:hint="cs"/>
          <w:rtl/>
        </w:rPr>
        <w:t>فرانامه ها</w:t>
      </w:r>
      <w:r w:rsidRPr="0025250D">
        <w:rPr>
          <w:rtl/>
        </w:rPr>
        <w:t xml:space="preserve"> به عنوان ابزار</w:t>
      </w:r>
      <w:r w:rsidRPr="0025250D">
        <w:rPr>
          <w:rFonts w:hint="cs"/>
          <w:rtl/>
        </w:rPr>
        <w:t>ی</w:t>
      </w:r>
      <w:r w:rsidRPr="0025250D">
        <w:rPr>
          <w:rtl/>
        </w:rPr>
        <w:t xml:space="preserve"> برا</w:t>
      </w:r>
      <w:r w:rsidRPr="0025250D">
        <w:rPr>
          <w:rFonts w:hint="cs"/>
          <w:rtl/>
        </w:rPr>
        <w:t>ی</w:t>
      </w:r>
      <w:r w:rsidRPr="0025250D">
        <w:rPr>
          <w:rtl/>
        </w:rPr>
        <w:t xml:space="preserve"> توسعه </w:t>
      </w:r>
      <w:r w:rsidR="00701E03" w:rsidRPr="0025250D">
        <w:rPr>
          <w:rtl/>
        </w:rPr>
        <w:t>راهبرد</w:t>
      </w:r>
      <w:r w:rsidRPr="0025250D">
        <w:rPr>
          <w:rFonts w:hint="eastAsia"/>
          <w:rtl/>
        </w:rPr>
        <w:t>،</w:t>
      </w:r>
      <w:r w:rsidRPr="0025250D">
        <w:rPr>
          <w:rtl/>
        </w:rPr>
        <w:t xml:space="preserve"> اولف پ</w:t>
      </w:r>
      <w:r w:rsidRPr="0025250D">
        <w:rPr>
          <w:rFonts w:hint="cs"/>
          <w:rtl/>
        </w:rPr>
        <w:t>ی</w:t>
      </w:r>
      <w:r w:rsidRPr="0025250D">
        <w:rPr>
          <w:rFonts w:hint="eastAsia"/>
          <w:rtl/>
        </w:rPr>
        <w:t>لکان</w:t>
      </w:r>
      <w:r w:rsidRPr="0025250D">
        <w:rPr>
          <w:vertAlign w:val="superscript"/>
          <w:rtl/>
        </w:rPr>
        <w:footnoteReference w:id="3422"/>
      </w:r>
      <w:r w:rsidRPr="0025250D">
        <w:rPr>
          <w:rtl/>
        </w:rPr>
        <w:t>، 2008. آغازگر</w:t>
      </w:r>
      <w:r w:rsidRPr="0025250D">
        <w:rPr>
          <w:rFonts w:hint="cs"/>
          <w:rtl/>
        </w:rPr>
        <w:t>ی</w:t>
      </w:r>
      <w:r w:rsidRPr="0025250D">
        <w:rPr>
          <w:rtl/>
        </w:rPr>
        <w:t xml:space="preserve"> عال</w:t>
      </w:r>
      <w:r w:rsidRPr="0025250D">
        <w:rPr>
          <w:rFonts w:hint="cs"/>
          <w:rtl/>
        </w:rPr>
        <w:t>ی</w:t>
      </w:r>
      <w:r w:rsidRPr="0025250D">
        <w:rPr>
          <w:rtl/>
        </w:rPr>
        <w:t xml:space="preserve"> در مورد دنبال کردن روند</w:t>
      </w:r>
      <w:r w:rsidRPr="0025250D">
        <w:rPr>
          <w:rFonts w:hint="cs"/>
          <w:rtl/>
        </w:rPr>
        <w:t>ها</w:t>
      </w:r>
      <w:r w:rsidRPr="0025250D">
        <w:rPr>
          <w:rtl/>
        </w:rPr>
        <w:t xml:space="preserve">، </w:t>
      </w:r>
      <w:r w:rsidR="00FB6A7E" w:rsidRPr="0025250D">
        <w:rPr>
          <w:rtl/>
        </w:rPr>
        <w:t>پیش‌نگری</w:t>
      </w:r>
      <w:r w:rsidRPr="0025250D">
        <w:rPr>
          <w:rtl/>
        </w:rPr>
        <w:t xml:space="preserve"> نور و استفاده از </w:t>
      </w:r>
      <w:r w:rsidRPr="0025250D">
        <w:rPr>
          <w:rFonts w:hint="cs"/>
          <w:rtl/>
        </w:rPr>
        <w:t>فرانامه</w:t>
      </w:r>
      <w:r w:rsidRPr="0025250D">
        <w:rPr>
          <w:rtl/>
        </w:rPr>
        <w:t xml:space="preserve"> قبل از توسعه </w:t>
      </w:r>
      <w:r w:rsidR="00701E03" w:rsidRPr="0025250D">
        <w:rPr>
          <w:rtl/>
        </w:rPr>
        <w:t>راهبرد</w:t>
      </w:r>
      <w:r w:rsidRPr="0025250D">
        <w:rPr>
          <w:rFonts w:hint="eastAsia"/>
          <w:rtl/>
        </w:rPr>
        <w:t>،</w:t>
      </w:r>
      <w:r w:rsidRPr="0025250D">
        <w:rPr>
          <w:rtl/>
        </w:rPr>
        <w:t xml:space="preserve"> توسط رهبر </w:t>
      </w:r>
      <w:r w:rsidR="00701E03" w:rsidRPr="0025250D">
        <w:rPr>
          <w:rtl/>
        </w:rPr>
        <w:t>راهبرد</w:t>
      </w:r>
      <w:r w:rsidRPr="0025250D">
        <w:rPr>
          <w:rtl/>
        </w:rPr>
        <w:t xml:space="preserve"> شرکت. برا</w:t>
      </w:r>
      <w:r w:rsidRPr="0025250D">
        <w:rPr>
          <w:rFonts w:hint="cs"/>
          <w:rtl/>
        </w:rPr>
        <w:t>ی</w:t>
      </w:r>
      <w:r w:rsidRPr="0025250D">
        <w:rPr>
          <w:rtl/>
        </w:rPr>
        <w:t xml:space="preserve"> هر ت</w:t>
      </w:r>
      <w:r w:rsidRPr="0025250D">
        <w:rPr>
          <w:rFonts w:hint="cs"/>
          <w:rtl/>
        </w:rPr>
        <w:t>ی</w:t>
      </w:r>
      <w:r w:rsidRPr="0025250D">
        <w:rPr>
          <w:rFonts w:hint="eastAsia"/>
          <w:rtl/>
        </w:rPr>
        <w:t>م</w:t>
      </w:r>
      <w:r w:rsidRPr="0025250D">
        <w:rPr>
          <w:rtl/>
        </w:rPr>
        <w:t xml:space="preserve"> </w:t>
      </w:r>
      <w:r w:rsidR="00701E03" w:rsidRPr="0025250D">
        <w:rPr>
          <w:rtl/>
        </w:rPr>
        <w:t>راهبرد</w:t>
      </w:r>
      <w:r w:rsidRPr="0025250D">
        <w:rPr>
          <w:rtl/>
        </w:rPr>
        <w:t xml:space="preserve"> عال</w:t>
      </w:r>
      <w:r w:rsidRPr="0025250D">
        <w:rPr>
          <w:rFonts w:hint="cs"/>
          <w:rtl/>
        </w:rPr>
        <w:t>ی</w:t>
      </w:r>
      <w:r w:rsidRPr="0025250D">
        <w:rPr>
          <w:rtl/>
        </w:rPr>
        <w:t xml:space="preserve"> است.</w:t>
      </w:r>
    </w:p>
    <w:p w14:paraId="35F4BAC4" w14:textId="1831AC87" w:rsidR="0037616D" w:rsidRPr="0025250D" w:rsidRDefault="0037616D" w:rsidP="00492C47">
      <w:pPr>
        <w:numPr>
          <w:ilvl w:val="0"/>
          <w:numId w:val="80"/>
        </w:numPr>
      </w:pPr>
      <w:r w:rsidRPr="0025250D">
        <w:rPr>
          <w:rFonts w:hint="cs"/>
          <w:rtl/>
        </w:rPr>
        <w:t xml:space="preserve"> تجزیه و تحلیل </w:t>
      </w:r>
      <w:r w:rsidR="00D92F6E" w:rsidRPr="0025250D">
        <w:rPr>
          <w:rFonts w:hint="cs"/>
          <w:rtl/>
        </w:rPr>
        <w:t>پیش‌بین</w:t>
      </w:r>
      <w:r w:rsidRPr="0025250D">
        <w:rPr>
          <w:rFonts w:hint="cs"/>
          <w:rtl/>
        </w:rPr>
        <w:t xml:space="preserve">، </w:t>
      </w:r>
      <w:r w:rsidRPr="0025250D">
        <w:rPr>
          <w:rtl/>
        </w:rPr>
        <w:t>ار</w:t>
      </w:r>
      <w:r w:rsidRPr="0025250D">
        <w:rPr>
          <w:rFonts w:hint="cs"/>
          <w:rtl/>
        </w:rPr>
        <w:t>ی</w:t>
      </w:r>
      <w:r w:rsidRPr="0025250D">
        <w:rPr>
          <w:rFonts w:hint="eastAsia"/>
          <w:rtl/>
        </w:rPr>
        <w:t>ک</w:t>
      </w:r>
      <w:r w:rsidRPr="0025250D">
        <w:rPr>
          <w:rtl/>
        </w:rPr>
        <w:t xml:space="preserve"> س</w:t>
      </w:r>
      <w:r w:rsidRPr="0025250D">
        <w:rPr>
          <w:rFonts w:hint="cs"/>
          <w:rtl/>
        </w:rPr>
        <w:t>ی</w:t>
      </w:r>
      <w:r w:rsidRPr="0025250D">
        <w:rPr>
          <w:rFonts w:hint="eastAsia"/>
          <w:rtl/>
        </w:rPr>
        <w:t>گل</w:t>
      </w:r>
      <w:r w:rsidRPr="0025250D">
        <w:rPr>
          <w:vertAlign w:val="superscript"/>
          <w:rtl/>
        </w:rPr>
        <w:footnoteReference w:id="3423"/>
      </w:r>
      <w:r w:rsidRPr="0025250D">
        <w:rPr>
          <w:rFonts w:hint="eastAsia"/>
          <w:rtl/>
        </w:rPr>
        <w:t>،</w:t>
      </w:r>
      <w:r w:rsidRPr="0025250D">
        <w:rPr>
          <w:rtl/>
        </w:rPr>
        <w:t xml:space="preserve"> 2013. مرور</w:t>
      </w:r>
      <w:r w:rsidRPr="0025250D">
        <w:rPr>
          <w:rFonts w:hint="cs"/>
          <w:rtl/>
        </w:rPr>
        <w:t>ی</w:t>
      </w:r>
      <w:r w:rsidRPr="0025250D">
        <w:rPr>
          <w:rtl/>
        </w:rPr>
        <w:t xml:space="preserve"> بر </w:t>
      </w:r>
      <w:r w:rsidRPr="0025250D">
        <w:rPr>
          <w:rFonts w:hint="cs"/>
          <w:rtl/>
        </w:rPr>
        <w:t>ی</w:t>
      </w:r>
      <w:r w:rsidRPr="0025250D">
        <w:rPr>
          <w:rFonts w:hint="eastAsia"/>
          <w:rtl/>
        </w:rPr>
        <w:t>ک</w:t>
      </w:r>
      <w:r w:rsidRPr="0025250D">
        <w:rPr>
          <w:rtl/>
        </w:rPr>
        <w:t xml:space="preserve"> </w:t>
      </w:r>
      <w:r w:rsidRPr="0025250D">
        <w:rPr>
          <w:rFonts w:hint="cs"/>
          <w:rtl/>
        </w:rPr>
        <w:t>جبهه</w:t>
      </w:r>
      <w:r w:rsidRPr="0025250D">
        <w:rPr>
          <w:rtl/>
        </w:rPr>
        <w:t xml:space="preserve"> جد</w:t>
      </w:r>
      <w:r w:rsidRPr="0025250D">
        <w:rPr>
          <w:rFonts w:hint="cs"/>
          <w:rtl/>
        </w:rPr>
        <w:t>ی</w:t>
      </w:r>
      <w:r w:rsidRPr="0025250D">
        <w:rPr>
          <w:rFonts w:hint="eastAsia"/>
          <w:rtl/>
        </w:rPr>
        <w:t>د</w:t>
      </w:r>
      <w:r w:rsidRPr="0025250D">
        <w:rPr>
          <w:rtl/>
        </w:rPr>
        <w:t xml:space="preserve"> </w:t>
      </w:r>
      <w:r w:rsidR="00D92F6E" w:rsidRPr="0025250D">
        <w:rPr>
          <w:rtl/>
        </w:rPr>
        <w:t>آینده‌نگاری</w:t>
      </w:r>
      <w:r w:rsidRPr="0025250D">
        <w:rPr>
          <w:rtl/>
        </w:rPr>
        <w:t>: علم داده، داده کاو</w:t>
      </w:r>
      <w:r w:rsidRPr="0025250D">
        <w:rPr>
          <w:rFonts w:hint="cs"/>
          <w:rtl/>
        </w:rPr>
        <w:t>ی</w:t>
      </w:r>
      <w:r w:rsidRPr="0025250D">
        <w:rPr>
          <w:rFonts w:hint="eastAsia"/>
          <w:rtl/>
        </w:rPr>
        <w:t>،</w:t>
      </w:r>
      <w:r w:rsidRPr="0025250D">
        <w:rPr>
          <w:rtl/>
        </w:rPr>
        <w:t xml:space="preserve"> </w:t>
      </w:r>
      <w:r w:rsidR="00D92F6E" w:rsidRPr="0025250D">
        <w:rPr>
          <w:rtl/>
        </w:rPr>
        <w:t>پیش‌بین</w:t>
      </w:r>
      <w:r w:rsidRPr="0025250D">
        <w:rPr>
          <w:rFonts w:hint="cs"/>
          <w:rtl/>
        </w:rPr>
        <w:t>ی</w:t>
      </w:r>
      <w:r w:rsidRPr="0025250D">
        <w:rPr>
          <w:rtl/>
        </w:rPr>
        <w:t xml:space="preserve"> احتمال</w:t>
      </w:r>
      <w:r w:rsidRPr="0025250D">
        <w:rPr>
          <w:rFonts w:hint="cs"/>
          <w:rtl/>
        </w:rPr>
        <w:t>ی</w:t>
      </w:r>
      <w:r w:rsidRPr="0025250D">
        <w:rPr>
          <w:rtl/>
        </w:rPr>
        <w:t xml:space="preserve"> و </w:t>
      </w:r>
      <w:r w:rsidRPr="0025250D">
        <w:rPr>
          <w:rFonts w:hint="cs"/>
          <w:rtl/>
        </w:rPr>
        <w:t>ی</w:t>
      </w:r>
      <w:r w:rsidRPr="0025250D">
        <w:rPr>
          <w:rFonts w:hint="eastAsia"/>
          <w:rtl/>
        </w:rPr>
        <w:t>ادگ</w:t>
      </w:r>
      <w:r w:rsidRPr="0025250D">
        <w:rPr>
          <w:rFonts w:hint="cs"/>
          <w:rtl/>
        </w:rPr>
        <w:t>ی</w:t>
      </w:r>
      <w:r w:rsidRPr="0025250D">
        <w:rPr>
          <w:rFonts w:hint="eastAsia"/>
          <w:rtl/>
        </w:rPr>
        <w:t>ر</w:t>
      </w:r>
      <w:r w:rsidRPr="0025250D">
        <w:rPr>
          <w:rFonts w:hint="cs"/>
          <w:rtl/>
        </w:rPr>
        <w:t>ی</w:t>
      </w:r>
      <w:r w:rsidRPr="0025250D">
        <w:rPr>
          <w:rtl/>
        </w:rPr>
        <w:t xml:space="preserve"> ماش</w:t>
      </w:r>
      <w:r w:rsidRPr="0025250D">
        <w:rPr>
          <w:rFonts w:hint="cs"/>
          <w:rtl/>
        </w:rPr>
        <w:t>ی</w:t>
      </w:r>
      <w:r w:rsidRPr="0025250D">
        <w:rPr>
          <w:rFonts w:hint="eastAsia"/>
          <w:rtl/>
        </w:rPr>
        <w:t>ن</w:t>
      </w:r>
      <w:r w:rsidRPr="0025250D">
        <w:rPr>
          <w:rtl/>
        </w:rPr>
        <w:t xml:space="preserve">. با هوشمندتر شدن وب و </w:t>
      </w:r>
      <w:r w:rsidRPr="0025250D">
        <w:rPr>
          <w:rFonts w:hint="cs"/>
          <w:rtl/>
        </w:rPr>
        <w:t xml:space="preserve">افزایش </w:t>
      </w:r>
      <w:r w:rsidRPr="0025250D">
        <w:rPr>
          <w:rtl/>
        </w:rPr>
        <w:t>ابزار</w:t>
      </w:r>
      <w:r w:rsidRPr="0025250D">
        <w:rPr>
          <w:rFonts w:hint="cs"/>
          <w:rtl/>
        </w:rPr>
        <w:t>ها</w:t>
      </w:r>
      <w:r w:rsidRPr="0025250D">
        <w:rPr>
          <w:rtl/>
        </w:rPr>
        <w:t>، ا</w:t>
      </w:r>
      <w:r w:rsidRPr="0025250D">
        <w:rPr>
          <w:rFonts w:hint="cs"/>
          <w:rtl/>
        </w:rPr>
        <w:t>ی</w:t>
      </w:r>
      <w:r w:rsidRPr="0025250D">
        <w:rPr>
          <w:rFonts w:hint="eastAsia"/>
          <w:rtl/>
        </w:rPr>
        <w:t>ن</w:t>
      </w:r>
      <w:r w:rsidRPr="0025250D">
        <w:rPr>
          <w:rtl/>
        </w:rPr>
        <w:t xml:space="preserve"> زم</w:t>
      </w:r>
      <w:r w:rsidRPr="0025250D">
        <w:rPr>
          <w:rFonts w:hint="cs"/>
          <w:rtl/>
        </w:rPr>
        <w:t>ی</w:t>
      </w:r>
      <w:r w:rsidRPr="0025250D">
        <w:rPr>
          <w:rFonts w:hint="eastAsia"/>
          <w:rtl/>
        </w:rPr>
        <w:t>نه</w:t>
      </w:r>
      <w:r w:rsidRPr="0025250D">
        <w:rPr>
          <w:rtl/>
        </w:rPr>
        <w:t xml:space="preserve"> ها به سرعت به پ</w:t>
      </w:r>
      <w:r w:rsidRPr="0025250D">
        <w:rPr>
          <w:rFonts w:hint="cs"/>
          <w:rtl/>
        </w:rPr>
        <w:t>ی</w:t>
      </w:r>
      <w:r w:rsidRPr="0025250D">
        <w:rPr>
          <w:rFonts w:hint="eastAsia"/>
          <w:rtl/>
        </w:rPr>
        <w:t>شرفت</w:t>
      </w:r>
      <w:r w:rsidRPr="0025250D">
        <w:rPr>
          <w:rtl/>
        </w:rPr>
        <w:t xml:space="preserve"> خود ادامه خواهند داد. ما آ</w:t>
      </w:r>
      <w:r w:rsidRPr="0025250D">
        <w:rPr>
          <w:rFonts w:hint="cs"/>
          <w:rtl/>
        </w:rPr>
        <w:t>ی</w:t>
      </w:r>
      <w:r w:rsidRPr="0025250D">
        <w:rPr>
          <w:rFonts w:hint="eastAsia"/>
          <w:rtl/>
        </w:rPr>
        <w:t>نده</w:t>
      </w:r>
      <w:r w:rsidRPr="0025250D">
        <w:rPr>
          <w:rtl/>
        </w:rPr>
        <w:t xml:space="preserve"> چهار </w:t>
      </w:r>
      <w:r w:rsidRPr="0025250D">
        <w:t>P</w:t>
      </w:r>
      <w:r w:rsidRPr="0025250D">
        <w:rPr>
          <w:rtl/>
        </w:rPr>
        <w:t xml:space="preserve"> را با وضوح ب</w:t>
      </w:r>
      <w:r w:rsidRPr="0025250D">
        <w:rPr>
          <w:rFonts w:hint="cs"/>
          <w:rtl/>
        </w:rPr>
        <w:t>ی</w:t>
      </w:r>
      <w:r w:rsidRPr="0025250D">
        <w:rPr>
          <w:rFonts w:hint="eastAsia"/>
          <w:rtl/>
        </w:rPr>
        <w:t>شتر</w:t>
      </w:r>
      <w:r w:rsidRPr="0025250D">
        <w:rPr>
          <w:rFonts w:hint="cs"/>
          <w:rtl/>
        </w:rPr>
        <w:t>ی</w:t>
      </w:r>
      <w:r w:rsidRPr="0025250D">
        <w:rPr>
          <w:rtl/>
        </w:rPr>
        <w:t xml:space="preserve"> ترس</w:t>
      </w:r>
      <w:r w:rsidRPr="0025250D">
        <w:rPr>
          <w:rFonts w:hint="cs"/>
          <w:rtl/>
        </w:rPr>
        <w:t>ی</w:t>
      </w:r>
      <w:r w:rsidRPr="0025250D">
        <w:rPr>
          <w:rFonts w:hint="eastAsia"/>
          <w:rtl/>
        </w:rPr>
        <w:t>م</w:t>
      </w:r>
      <w:r w:rsidRPr="0025250D">
        <w:rPr>
          <w:rtl/>
        </w:rPr>
        <w:t xml:space="preserve"> و کم</w:t>
      </w:r>
      <w:r w:rsidRPr="0025250D">
        <w:rPr>
          <w:rFonts w:hint="cs"/>
          <w:rtl/>
        </w:rPr>
        <w:t>ی سازی</w:t>
      </w:r>
      <w:r w:rsidRPr="0025250D">
        <w:rPr>
          <w:rtl/>
        </w:rPr>
        <w:t xml:space="preserve"> خواه</w:t>
      </w:r>
      <w:r w:rsidRPr="0025250D">
        <w:rPr>
          <w:rFonts w:hint="cs"/>
          <w:rtl/>
        </w:rPr>
        <w:t>ی</w:t>
      </w:r>
      <w:r w:rsidRPr="0025250D">
        <w:rPr>
          <w:rFonts w:hint="eastAsia"/>
          <w:rtl/>
        </w:rPr>
        <w:t>م</w:t>
      </w:r>
      <w:r w:rsidRPr="0025250D">
        <w:rPr>
          <w:rtl/>
        </w:rPr>
        <w:t xml:space="preserve"> </w:t>
      </w:r>
      <w:r w:rsidRPr="0025250D">
        <w:rPr>
          <w:rFonts w:hint="cs"/>
          <w:rtl/>
        </w:rPr>
        <w:t>نمود.</w:t>
      </w:r>
    </w:p>
    <w:p w14:paraId="08ADBBB0" w14:textId="43185983" w:rsidR="0037616D" w:rsidRPr="0025250D" w:rsidRDefault="0037616D" w:rsidP="00492C47">
      <w:pPr>
        <w:numPr>
          <w:ilvl w:val="0"/>
          <w:numId w:val="80"/>
        </w:numPr>
      </w:pPr>
      <w:r w:rsidRPr="0025250D">
        <w:rPr>
          <w:rFonts w:hint="cs"/>
          <w:rtl/>
        </w:rPr>
        <w:t xml:space="preserve"> </w:t>
      </w:r>
      <w:r w:rsidRPr="0025250D">
        <w:rPr>
          <w:rtl/>
        </w:rPr>
        <w:t>تفکر در مورد آ</w:t>
      </w:r>
      <w:r w:rsidRPr="0025250D">
        <w:rPr>
          <w:rFonts w:hint="cs"/>
          <w:rtl/>
        </w:rPr>
        <w:t>ی</w:t>
      </w:r>
      <w:r w:rsidRPr="0025250D">
        <w:rPr>
          <w:rFonts w:hint="eastAsia"/>
          <w:rtl/>
        </w:rPr>
        <w:t>نده</w:t>
      </w:r>
      <w:r w:rsidRPr="0025250D">
        <w:rPr>
          <w:rtl/>
        </w:rPr>
        <w:t>: راهنما</w:t>
      </w:r>
      <w:r w:rsidRPr="0025250D">
        <w:rPr>
          <w:rFonts w:hint="cs"/>
          <w:rtl/>
        </w:rPr>
        <w:t>یی</w:t>
      </w:r>
      <w:r w:rsidRPr="0025250D">
        <w:rPr>
          <w:rtl/>
        </w:rPr>
        <w:t xml:space="preserve"> برا</w:t>
      </w:r>
      <w:r w:rsidRPr="0025250D">
        <w:rPr>
          <w:rFonts w:hint="cs"/>
          <w:rtl/>
        </w:rPr>
        <w:t>ی</w:t>
      </w:r>
      <w:r w:rsidRPr="0025250D">
        <w:rPr>
          <w:rtl/>
        </w:rPr>
        <w:t xml:space="preserve"> </w:t>
      </w:r>
      <w:r w:rsidR="00D92F6E" w:rsidRPr="0025250D">
        <w:rPr>
          <w:rtl/>
        </w:rPr>
        <w:t>آینده‌نگاری</w:t>
      </w:r>
      <w:r w:rsidRPr="0025250D">
        <w:rPr>
          <w:rtl/>
        </w:rPr>
        <w:t xml:space="preserve"> </w:t>
      </w:r>
      <w:r w:rsidR="00701E03" w:rsidRPr="0025250D">
        <w:rPr>
          <w:rtl/>
        </w:rPr>
        <w:t>راهبردی</w:t>
      </w:r>
      <w:r w:rsidRPr="0025250D">
        <w:rPr>
          <w:rFonts w:hint="eastAsia"/>
          <w:rtl/>
        </w:rPr>
        <w:t>،</w:t>
      </w:r>
      <w:r w:rsidRPr="0025250D">
        <w:rPr>
          <w:rtl/>
        </w:rPr>
        <w:t xml:space="preserve"> پ</w:t>
      </w:r>
      <w:r w:rsidRPr="0025250D">
        <w:rPr>
          <w:rFonts w:hint="cs"/>
          <w:rtl/>
        </w:rPr>
        <w:t>ی</w:t>
      </w:r>
      <w:r w:rsidRPr="0025250D">
        <w:rPr>
          <w:rFonts w:hint="eastAsia"/>
          <w:rtl/>
        </w:rPr>
        <w:t>تر</w:t>
      </w:r>
      <w:r w:rsidRPr="0025250D">
        <w:rPr>
          <w:rtl/>
        </w:rPr>
        <w:t xml:space="preserve"> ب</w:t>
      </w:r>
      <w:r w:rsidRPr="0025250D">
        <w:rPr>
          <w:rFonts w:hint="cs"/>
          <w:rtl/>
        </w:rPr>
        <w:t>ی</w:t>
      </w:r>
      <w:r w:rsidRPr="0025250D">
        <w:rPr>
          <w:rFonts w:hint="eastAsia"/>
          <w:rtl/>
        </w:rPr>
        <w:t>شاپ</w:t>
      </w:r>
      <w:r w:rsidRPr="0025250D">
        <w:rPr>
          <w:rtl/>
        </w:rPr>
        <w:t xml:space="preserve"> و اند</w:t>
      </w:r>
      <w:r w:rsidRPr="0025250D">
        <w:rPr>
          <w:rFonts w:hint="cs"/>
          <w:rtl/>
        </w:rPr>
        <w:t>ی</w:t>
      </w:r>
      <w:r w:rsidRPr="0025250D">
        <w:rPr>
          <w:rtl/>
        </w:rPr>
        <w:t xml:space="preserve"> ها</w:t>
      </w:r>
      <w:r w:rsidRPr="0025250D">
        <w:rPr>
          <w:rFonts w:hint="cs"/>
          <w:rtl/>
        </w:rPr>
        <w:t>ی</w:t>
      </w:r>
      <w:r w:rsidRPr="0025250D">
        <w:rPr>
          <w:rFonts w:hint="eastAsia"/>
          <w:rtl/>
        </w:rPr>
        <w:t>نز</w:t>
      </w:r>
      <w:r w:rsidRPr="0025250D">
        <w:rPr>
          <w:vertAlign w:val="superscript"/>
          <w:rtl/>
        </w:rPr>
        <w:footnoteReference w:id="3424"/>
      </w:r>
      <w:r w:rsidRPr="0025250D">
        <w:rPr>
          <w:rFonts w:hint="eastAsia"/>
          <w:rtl/>
        </w:rPr>
        <w:t>،</w:t>
      </w:r>
      <w:r w:rsidRPr="0025250D">
        <w:rPr>
          <w:rtl/>
        </w:rPr>
        <w:t xml:space="preserve"> 2007. مرور</w:t>
      </w:r>
      <w:r w:rsidRPr="0025250D">
        <w:rPr>
          <w:rFonts w:hint="cs"/>
          <w:rtl/>
        </w:rPr>
        <w:t>ی</w:t>
      </w:r>
      <w:r w:rsidRPr="0025250D">
        <w:rPr>
          <w:rtl/>
        </w:rPr>
        <w:t xml:space="preserve"> عال</w:t>
      </w:r>
      <w:r w:rsidRPr="0025250D">
        <w:rPr>
          <w:rFonts w:hint="cs"/>
          <w:rtl/>
        </w:rPr>
        <w:t>ی</w:t>
      </w:r>
      <w:r w:rsidRPr="0025250D">
        <w:rPr>
          <w:rtl/>
        </w:rPr>
        <w:t xml:space="preserve"> از شش فعال</w:t>
      </w:r>
      <w:r w:rsidRPr="0025250D">
        <w:rPr>
          <w:rFonts w:hint="cs"/>
          <w:rtl/>
        </w:rPr>
        <w:t>ی</w:t>
      </w:r>
      <w:r w:rsidRPr="0025250D">
        <w:rPr>
          <w:rFonts w:hint="eastAsia"/>
          <w:rtl/>
        </w:rPr>
        <w:t>ت</w:t>
      </w:r>
      <w:r w:rsidRPr="0025250D">
        <w:rPr>
          <w:rtl/>
        </w:rPr>
        <w:t xml:space="preserve"> کل</w:t>
      </w:r>
      <w:r w:rsidRPr="0025250D">
        <w:rPr>
          <w:rFonts w:hint="cs"/>
          <w:rtl/>
        </w:rPr>
        <w:t>ی</w:t>
      </w:r>
      <w:r w:rsidRPr="0025250D">
        <w:rPr>
          <w:rFonts w:hint="eastAsia"/>
          <w:rtl/>
        </w:rPr>
        <w:t>د</w:t>
      </w:r>
      <w:r w:rsidRPr="0025250D">
        <w:rPr>
          <w:rFonts w:hint="cs"/>
          <w:rtl/>
        </w:rPr>
        <w:t>ی</w:t>
      </w:r>
      <w:r w:rsidRPr="0025250D">
        <w:rPr>
          <w:rtl/>
        </w:rPr>
        <w:t xml:space="preserve"> </w:t>
      </w:r>
      <w:r w:rsidR="00D92F6E" w:rsidRPr="0025250D">
        <w:rPr>
          <w:rtl/>
        </w:rPr>
        <w:t>آینده‌نگاری</w:t>
      </w:r>
      <w:r w:rsidRPr="0025250D">
        <w:rPr>
          <w:rtl/>
        </w:rPr>
        <w:t xml:space="preserve"> </w:t>
      </w:r>
      <w:r w:rsidR="00701E03" w:rsidRPr="0025250D">
        <w:rPr>
          <w:rtl/>
        </w:rPr>
        <w:t>راهبردی</w:t>
      </w:r>
      <w:r w:rsidRPr="0025250D">
        <w:rPr>
          <w:rFonts w:hint="eastAsia"/>
          <w:rtl/>
        </w:rPr>
        <w:t>،</w:t>
      </w:r>
      <w:r w:rsidRPr="0025250D">
        <w:rPr>
          <w:rtl/>
        </w:rPr>
        <w:t xml:space="preserve"> با مثال ها</w:t>
      </w:r>
      <w:r w:rsidRPr="0025250D">
        <w:rPr>
          <w:rFonts w:hint="cs"/>
          <w:rtl/>
        </w:rPr>
        <w:t>ی</w:t>
      </w:r>
      <w:r w:rsidRPr="0025250D">
        <w:rPr>
          <w:rtl/>
        </w:rPr>
        <w:t xml:space="preserve"> مختصر از </w:t>
      </w:r>
      <w:r w:rsidRPr="0025250D">
        <w:rPr>
          <w:rFonts w:hint="cs"/>
          <w:rtl/>
        </w:rPr>
        <w:t>موارد عملی</w:t>
      </w:r>
      <w:r w:rsidRPr="0025250D">
        <w:rPr>
          <w:rtl/>
        </w:rPr>
        <w:t xml:space="preserve">. مثال‌ها </w:t>
      </w:r>
      <w:r w:rsidRPr="0025250D">
        <w:rPr>
          <w:rFonts w:hint="cs"/>
          <w:rtl/>
        </w:rPr>
        <w:t>ی</w:t>
      </w:r>
      <w:r w:rsidRPr="0025250D">
        <w:rPr>
          <w:rFonts w:hint="eastAsia"/>
          <w:rtl/>
        </w:rPr>
        <w:t>ک</w:t>
      </w:r>
      <w:r w:rsidRPr="0025250D">
        <w:rPr>
          <w:rtl/>
        </w:rPr>
        <w:t xml:space="preserve"> نگاه کاربرد</w:t>
      </w:r>
      <w:r w:rsidRPr="0025250D">
        <w:rPr>
          <w:rFonts w:hint="cs"/>
          <w:rtl/>
        </w:rPr>
        <w:t>ی</w:t>
      </w:r>
      <w:r w:rsidRPr="0025250D">
        <w:rPr>
          <w:rtl/>
        </w:rPr>
        <w:t xml:space="preserve"> قو</w:t>
      </w:r>
      <w:r w:rsidRPr="0025250D">
        <w:rPr>
          <w:rFonts w:hint="cs"/>
          <w:rtl/>
        </w:rPr>
        <w:t>ی</w:t>
      </w:r>
      <w:r w:rsidRPr="0025250D">
        <w:rPr>
          <w:rtl/>
        </w:rPr>
        <w:t xml:space="preserve"> به وضع</w:t>
      </w:r>
      <w:r w:rsidRPr="0025250D">
        <w:rPr>
          <w:rFonts w:hint="cs"/>
          <w:rtl/>
        </w:rPr>
        <w:t>ی</w:t>
      </w:r>
      <w:r w:rsidRPr="0025250D">
        <w:rPr>
          <w:rFonts w:hint="eastAsia"/>
          <w:rtl/>
        </w:rPr>
        <w:t>ت</w:t>
      </w:r>
      <w:r w:rsidRPr="0025250D">
        <w:rPr>
          <w:rtl/>
        </w:rPr>
        <w:t xml:space="preserve"> فعل</w:t>
      </w:r>
      <w:r w:rsidRPr="0025250D">
        <w:rPr>
          <w:rFonts w:hint="cs"/>
          <w:rtl/>
        </w:rPr>
        <w:t>ی</w:t>
      </w:r>
      <w:r w:rsidRPr="0025250D">
        <w:rPr>
          <w:rtl/>
        </w:rPr>
        <w:t xml:space="preserve"> حوزه ما ارائه م</w:t>
      </w:r>
      <w:r w:rsidRPr="0025250D">
        <w:rPr>
          <w:rFonts w:hint="cs"/>
          <w:rtl/>
        </w:rPr>
        <w:t>ی‌</w:t>
      </w:r>
      <w:r w:rsidRPr="0025250D">
        <w:rPr>
          <w:rFonts w:hint="eastAsia"/>
          <w:rtl/>
        </w:rPr>
        <w:t>دهند</w:t>
      </w:r>
      <w:r w:rsidRPr="0025250D">
        <w:rPr>
          <w:rFonts w:hint="cs"/>
          <w:rtl/>
        </w:rPr>
        <w:t>.</w:t>
      </w:r>
    </w:p>
    <w:p w14:paraId="0C05F12F" w14:textId="0281A249" w:rsidR="0037616D" w:rsidRPr="0025250D" w:rsidRDefault="0037616D" w:rsidP="00492C47">
      <w:pPr>
        <w:numPr>
          <w:ilvl w:val="0"/>
          <w:numId w:val="80"/>
        </w:numPr>
      </w:pPr>
      <w:r w:rsidRPr="0025250D">
        <w:rPr>
          <w:rFonts w:hint="cs"/>
          <w:rtl/>
        </w:rPr>
        <w:t xml:space="preserve"> </w:t>
      </w:r>
      <w:r w:rsidRPr="0025250D">
        <w:rPr>
          <w:rtl/>
        </w:rPr>
        <w:t>تفاوت: چگونه تنوع، گروه‌ها، شرکت‌ها</w:t>
      </w:r>
      <w:r w:rsidRPr="0025250D">
        <w:rPr>
          <w:rFonts w:hint="cs"/>
          <w:rtl/>
        </w:rPr>
        <w:t xml:space="preserve"> و</w:t>
      </w:r>
      <w:r w:rsidRPr="0025250D">
        <w:rPr>
          <w:rtl/>
        </w:rPr>
        <w:t xml:space="preserve"> جوامع بهتر</w:t>
      </w:r>
      <w:r w:rsidRPr="0025250D">
        <w:rPr>
          <w:rFonts w:hint="cs"/>
          <w:rtl/>
        </w:rPr>
        <w:t>ی</w:t>
      </w:r>
      <w:r w:rsidRPr="0025250D">
        <w:rPr>
          <w:rtl/>
        </w:rPr>
        <w:t xml:space="preserve"> ا</w:t>
      </w:r>
      <w:r w:rsidRPr="0025250D">
        <w:rPr>
          <w:rFonts w:hint="cs"/>
          <w:rtl/>
        </w:rPr>
        <w:t>ی</w:t>
      </w:r>
      <w:r w:rsidRPr="0025250D">
        <w:rPr>
          <w:rFonts w:hint="eastAsia"/>
          <w:rtl/>
        </w:rPr>
        <w:t>جاد</w:t>
      </w:r>
      <w:r w:rsidRPr="0025250D">
        <w:rPr>
          <w:rtl/>
        </w:rPr>
        <w:t xml:space="preserve"> م</w:t>
      </w:r>
      <w:r w:rsidRPr="0025250D">
        <w:rPr>
          <w:rFonts w:hint="cs"/>
          <w:rtl/>
        </w:rPr>
        <w:t>ی‌</w:t>
      </w:r>
      <w:r w:rsidRPr="0025250D">
        <w:rPr>
          <w:rFonts w:hint="eastAsia"/>
          <w:rtl/>
        </w:rPr>
        <w:t>کند،</w:t>
      </w:r>
      <w:r w:rsidRPr="0025250D">
        <w:rPr>
          <w:rtl/>
        </w:rPr>
        <w:t xml:space="preserve"> اسکافل پ</w:t>
      </w:r>
      <w:r w:rsidRPr="0025250D">
        <w:rPr>
          <w:rFonts w:hint="cs"/>
          <w:rtl/>
        </w:rPr>
        <w:t>ی</w:t>
      </w:r>
      <w:r w:rsidRPr="0025250D">
        <w:rPr>
          <w:rFonts w:hint="eastAsia"/>
          <w:rtl/>
        </w:rPr>
        <w:t>ج</w:t>
      </w:r>
      <w:r w:rsidRPr="0025250D">
        <w:rPr>
          <w:vertAlign w:val="superscript"/>
          <w:rtl/>
        </w:rPr>
        <w:footnoteReference w:id="3425"/>
      </w:r>
      <w:r w:rsidRPr="0025250D">
        <w:rPr>
          <w:rFonts w:hint="eastAsia"/>
          <w:rtl/>
        </w:rPr>
        <w:t>،</w:t>
      </w:r>
      <w:r w:rsidRPr="0025250D">
        <w:rPr>
          <w:rtl/>
        </w:rPr>
        <w:t xml:space="preserve"> 2008. ا</w:t>
      </w:r>
      <w:r w:rsidRPr="0025250D">
        <w:rPr>
          <w:rFonts w:hint="cs"/>
          <w:rtl/>
        </w:rPr>
        <w:t>ی</w:t>
      </w:r>
      <w:r w:rsidRPr="0025250D">
        <w:rPr>
          <w:rFonts w:hint="eastAsia"/>
          <w:rtl/>
        </w:rPr>
        <w:t>ن</w:t>
      </w:r>
      <w:r w:rsidRPr="0025250D">
        <w:rPr>
          <w:rtl/>
        </w:rPr>
        <w:t xml:space="preserve"> کتاب عال</w:t>
      </w:r>
      <w:r w:rsidRPr="0025250D">
        <w:rPr>
          <w:rFonts w:hint="cs"/>
          <w:rtl/>
        </w:rPr>
        <w:t>ی</w:t>
      </w:r>
      <w:r w:rsidRPr="0025250D">
        <w:rPr>
          <w:rtl/>
        </w:rPr>
        <w:t xml:space="preserve"> داده‌ها</w:t>
      </w:r>
      <w:r w:rsidRPr="0025250D">
        <w:rPr>
          <w:rFonts w:hint="cs"/>
          <w:rtl/>
        </w:rPr>
        <w:t>یی</w:t>
      </w:r>
      <w:r w:rsidRPr="0025250D">
        <w:rPr>
          <w:rtl/>
        </w:rPr>
        <w:t xml:space="preserve"> در مورد ا</w:t>
      </w:r>
      <w:r w:rsidRPr="0025250D">
        <w:rPr>
          <w:rFonts w:hint="cs"/>
          <w:rtl/>
        </w:rPr>
        <w:t>ی</w:t>
      </w:r>
      <w:r w:rsidRPr="0025250D">
        <w:rPr>
          <w:rFonts w:hint="eastAsia"/>
          <w:rtl/>
        </w:rPr>
        <w:t>ن</w:t>
      </w:r>
      <w:r w:rsidR="00726CB4" w:rsidRPr="0025250D">
        <w:rPr>
          <w:rFonts w:hint="cs"/>
          <w:rtl/>
        </w:rPr>
        <w:t xml:space="preserve"> موضوع ارائه می دهد</w:t>
      </w:r>
      <w:r w:rsidR="00726CB4" w:rsidRPr="0025250D">
        <w:rPr>
          <w:rFonts w:hint="eastAsia"/>
          <w:rtl/>
        </w:rPr>
        <w:t xml:space="preserve"> </w:t>
      </w:r>
      <w:r w:rsidRPr="0025250D">
        <w:rPr>
          <w:rFonts w:hint="eastAsia"/>
          <w:rtl/>
        </w:rPr>
        <w:t>که</w:t>
      </w:r>
      <w:r w:rsidRPr="0025250D">
        <w:rPr>
          <w:rtl/>
        </w:rPr>
        <w:t xml:space="preserve"> چرا ت</w:t>
      </w:r>
      <w:r w:rsidRPr="0025250D">
        <w:rPr>
          <w:rFonts w:hint="cs"/>
          <w:rtl/>
        </w:rPr>
        <w:t>ی</w:t>
      </w:r>
      <w:r w:rsidRPr="0025250D">
        <w:rPr>
          <w:rFonts w:hint="eastAsia"/>
          <w:rtl/>
        </w:rPr>
        <w:t>م‌ها،</w:t>
      </w:r>
      <w:r w:rsidRPr="0025250D">
        <w:rPr>
          <w:rtl/>
        </w:rPr>
        <w:t xml:space="preserve"> مدارس، سازمان‌ها و جوامع</w:t>
      </w:r>
      <w:r w:rsidRPr="0025250D">
        <w:rPr>
          <w:rFonts w:hint="cs"/>
          <w:rtl/>
        </w:rPr>
        <w:t>ی که</w:t>
      </w:r>
      <w:r w:rsidRPr="0025250D">
        <w:rPr>
          <w:rtl/>
        </w:rPr>
        <w:t xml:space="preserve"> از نظر شناخت</w:t>
      </w:r>
      <w:r w:rsidRPr="0025250D">
        <w:rPr>
          <w:rFonts w:hint="cs"/>
          <w:rtl/>
        </w:rPr>
        <w:t>ی</w:t>
      </w:r>
      <w:r w:rsidRPr="0025250D">
        <w:rPr>
          <w:rtl/>
        </w:rPr>
        <w:t xml:space="preserve"> متنوع</w:t>
      </w:r>
      <w:r w:rsidRPr="0025250D">
        <w:rPr>
          <w:rFonts w:hint="cs"/>
          <w:rtl/>
        </w:rPr>
        <w:t xml:space="preserve"> هستند</w:t>
      </w:r>
      <w:r w:rsidRPr="0025250D">
        <w:rPr>
          <w:rtl/>
        </w:rPr>
        <w:t xml:space="preserve">، در توسعه </w:t>
      </w:r>
      <w:r w:rsidR="00701E03" w:rsidRPr="0025250D">
        <w:rPr>
          <w:rtl/>
        </w:rPr>
        <w:t>راهبرد</w:t>
      </w:r>
      <w:r w:rsidRPr="0025250D">
        <w:rPr>
          <w:rtl/>
        </w:rPr>
        <w:t xml:space="preserve"> برا</w:t>
      </w:r>
      <w:r w:rsidRPr="0025250D">
        <w:rPr>
          <w:rFonts w:hint="cs"/>
          <w:rtl/>
        </w:rPr>
        <w:t>ی</w:t>
      </w:r>
      <w:r w:rsidRPr="0025250D">
        <w:rPr>
          <w:rtl/>
        </w:rPr>
        <w:t xml:space="preserve"> همه مشکلات پ</w:t>
      </w:r>
      <w:r w:rsidRPr="0025250D">
        <w:rPr>
          <w:rFonts w:hint="cs"/>
          <w:rtl/>
        </w:rPr>
        <w:t>ی</w:t>
      </w:r>
      <w:r w:rsidRPr="0025250D">
        <w:rPr>
          <w:rFonts w:hint="eastAsia"/>
          <w:rtl/>
        </w:rPr>
        <w:t>چ</w:t>
      </w:r>
      <w:r w:rsidRPr="0025250D">
        <w:rPr>
          <w:rFonts w:hint="cs"/>
          <w:rtl/>
        </w:rPr>
        <w:t>ی</w:t>
      </w:r>
      <w:r w:rsidRPr="0025250D">
        <w:rPr>
          <w:rFonts w:hint="eastAsia"/>
          <w:rtl/>
        </w:rPr>
        <w:t>ده</w:t>
      </w:r>
      <w:r w:rsidRPr="0025250D">
        <w:rPr>
          <w:rtl/>
        </w:rPr>
        <w:t xml:space="preserve"> و با ساختار ضع</w:t>
      </w:r>
      <w:r w:rsidRPr="0025250D">
        <w:rPr>
          <w:rFonts w:hint="cs"/>
          <w:rtl/>
        </w:rPr>
        <w:t>ی</w:t>
      </w:r>
      <w:r w:rsidRPr="0025250D">
        <w:rPr>
          <w:rFonts w:hint="eastAsia"/>
          <w:rtl/>
        </w:rPr>
        <w:t>ف</w:t>
      </w:r>
      <w:r w:rsidRPr="0025250D">
        <w:rPr>
          <w:rFonts w:hint="cs"/>
          <w:rtl/>
        </w:rPr>
        <w:t>،</w:t>
      </w:r>
      <w:r w:rsidRPr="0025250D">
        <w:rPr>
          <w:rtl/>
        </w:rPr>
        <w:t xml:space="preserve"> گروه‌ها</w:t>
      </w:r>
      <w:r w:rsidRPr="0025250D">
        <w:rPr>
          <w:rFonts w:hint="cs"/>
          <w:rtl/>
        </w:rPr>
        <w:t>یی که</w:t>
      </w:r>
      <w:r w:rsidRPr="0025250D">
        <w:rPr>
          <w:rtl/>
        </w:rPr>
        <w:t xml:space="preserve"> </w:t>
      </w:r>
      <w:r w:rsidRPr="0025250D">
        <w:rPr>
          <w:rFonts w:hint="cs"/>
          <w:rtl/>
        </w:rPr>
        <w:t>از نظر</w:t>
      </w:r>
      <w:r w:rsidRPr="0025250D">
        <w:rPr>
          <w:rtl/>
        </w:rPr>
        <w:t xml:space="preserve"> شناخت</w:t>
      </w:r>
      <w:r w:rsidRPr="0025250D">
        <w:rPr>
          <w:rFonts w:hint="cs"/>
          <w:rtl/>
        </w:rPr>
        <w:t>ی</w:t>
      </w:r>
      <w:r w:rsidRPr="0025250D">
        <w:rPr>
          <w:rtl/>
        </w:rPr>
        <w:t xml:space="preserve"> </w:t>
      </w:r>
      <w:r w:rsidRPr="0025250D">
        <w:rPr>
          <w:rFonts w:hint="cs"/>
          <w:rtl/>
        </w:rPr>
        <w:t>کمتر تنوع دارند را شکست می دهند،</w:t>
      </w:r>
      <w:r w:rsidRPr="0025250D">
        <w:rPr>
          <w:rtl/>
        </w:rPr>
        <w:t>. ب</w:t>
      </w:r>
      <w:r w:rsidRPr="0025250D">
        <w:rPr>
          <w:rFonts w:hint="cs"/>
          <w:rtl/>
        </w:rPr>
        <w:t>ی</w:t>
      </w:r>
      <w:r w:rsidRPr="0025250D">
        <w:rPr>
          <w:rFonts w:hint="eastAsia"/>
          <w:rtl/>
        </w:rPr>
        <w:t>شتر</w:t>
      </w:r>
      <w:r w:rsidRPr="0025250D">
        <w:rPr>
          <w:rtl/>
        </w:rPr>
        <w:t xml:space="preserve"> مشکلات</w:t>
      </w:r>
      <w:r w:rsidRPr="0025250D">
        <w:rPr>
          <w:rFonts w:hint="cs"/>
          <w:rtl/>
        </w:rPr>
        <w:t>ی</w:t>
      </w:r>
      <w:r w:rsidRPr="0025250D">
        <w:rPr>
          <w:rtl/>
        </w:rPr>
        <w:t xml:space="preserve"> که انسان ها با آن روبرو هستند </w:t>
      </w:r>
      <w:r w:rsidRPr="0025250D">
        <w:rPr>
          <w:rFonts w:hint="eastAsia"/>
          <w:rtl/>
        </w:rPr>
        <w:t>پ</w:t>
      </w:r>
      <w:r w:rsidRPr="0025250D">
        <w:rPr>
          <w:rFonts w:hint="cs"/>
          <w:rtl/>
        </w:rPr>
        <w:t>ی</w:t>
      </w:r>
      <w:r w:rsidRPr="0025250D">
        <w:rPr>
          <w:rFonts w:hint="eastAsia"/>
          <w:rtl/>
        </w:rPr>
        <w:t>چ</w:t>
      </w:r>
      <w:r w:rsidRPr="0025250D">
        <w:rPr>
          <w:rFonts w:hint="cs"/>
          <w:rtl/>
        </w:rPr>
        <w:t>ی</w:t>
      </w:r>
      <w:r w:rsidRPr="0025250D">
        <w:rPr>
          <w:rFonts w:hint="eastAsia"/>
          <w:rtl/>
        </w:rPr>
        <w:t>ده</w:t>
      </w:r>
      <w:r w:rsidRPr="0025250D">
        <w:rPr>
          <w:rFonts w:hint="cs"/>
          <w:rtl/>
        </w:rPr>
        <w:t xml:space="preserve"> هستند</w:t>
      </w:r>
      <w:r w:rsidRPr="0025250D">
        <w:rPr>
          <w:rtl/>
        </w:rPr>
        <w:t xml:space="preserve"> و ساختار ضع</w:t>
      </w:r>
      <w:r w:rsidRPr="0025250D">
        <w:rPr>
          <w:rFonts w:hint="cs"/>
          <w:rtl/>
        </w:rPr>
        <w:t>ی</w:t>
      </w:r>
      <w:r w:rsidRPr="0025250D">
        <w:rPr>
          <w:rFonts w:hint="eastAsia"/>
          <w:rtl/>
        </w:rPr>
        <w:t>ف</w:t>
      </w:r>
      <w:r w:rsidRPr="0025250D">
        <w:rPr>
          <w:rFonts w:hint="cs"/>
          <w:rtl/>
        </w:rPr>
        <w:t>ی</w:t>
      </w:r>
      <w:r w:rsidRPr="0025250D">
        <w:rPr>
          <w:rtl/>
        </w:rPr>
        <w:t xml:space="preserve"> دارند. عقلان</w:t>
      </w:r>
      <w:r w:rsidRPr="0025250D">
        <w:rPr>
          <w:rFonts w:hint="cs"/>
          <w:rtl/>
        </w:rPr>
        <w:t>ی</w:t>
      </w:r>
      <w:r w:rsidRPr="0025250D">
        <w:rPr>
          <w:rFonts w:hint="eastAsia"/>
          <w:rtl/>
        </w:rPr>
        <w:t>ت</w:t>
      </w:r>
      <w:r w:rsidRPr="0025250D">
        <w:rPr>
          <w:rtl/>
        </w:rPr>
        <w:t xml:space="preserve"> و شواهد فقط م</w:t>
      </w:r>
      <w:r w:rsidRPr="0025250D">
        <w:rPr>
          <w:rFonts w:hint="cs"/>
          <w:rtl/>
        </w:rPr>
        <w:t>ی</w:t>
      </w:r>
      <w:r w:rsidRPr="0025250D">
        <w:rPr>
          <w:rtl/>
        </w:rPr>
        <w:t xml:space="preserve"> تواند ما را تا ا</w:t>
      </w:r>
      <w:r w:rsidRPr="0025250D">
        <w:rPr>
          <w:rFonts w:hint="cs"/>
          <w:rtl/>
        </w:rPr>
        <w:t>ی</w:t>
      </w:r>
      <w:r w:rsidRPr="0025250D">
        <w:rPr>
          <w:rFonts w:hint="eastAsia"/>
          <w:rtl/>
        </w:rPr>
        <w:t>ن</w:t>
      </w:r>
      <w:r w:rsidRPr="0025250D">
        <w:rPr>
          <w:rtl/>
        </w:rPr>
        <w:t xml:space="preserve"> جا پ</w:t>
      </w:r>
      <w:r w:rsidRPr="0025250D">
        <w:rPr>
          <w:rFonts w:hint="cs"/>
          <w:rtl/>
        </w:rPr>
        <w:t>ی</w:t>
      </w:r>
      <w:r w:rsidRPr="0025250D">
        <w:rPr>
          <w:rFonts w:hint="eastAsia"/>
          <w:rtl/>
        </w:rPr>
        <w:t>ش</w:t>
      </w:r>
      <w:r w:rsidRPr="0025250D">
        <w:rPr>
          <w:rtl/>
        </w:rPr>
        <w:t xml:space="preserve"> ببرد. ما به تنوع شناخت</w:t>
      </w:r>
      <w:r w:rsidRPr="0025250D">
        <w:rPr>
          <w:rFonts w:hint="cs"/>
          <w:rtl/>
        </w:rPr>
        <w:t>ی</w:t>
      </w:r>
      <w:r w:rsidRPr="0025250D">
        <w:rPr>
          <w:rFonts w:hint="eastAsia"/>
          <w:rtl/>
        </w:rPr>
        <w:t>،</w:t>
      </w:r>
      <w:r w:rsidRPr="0025250D">
        <w:rPr>
          <w:rtl/>
        </w:rPr>
        <w:t xml:space="preserve"> تجربه و مهارت عم</w:t>
      </w:r>
      <w:r w:rsidRPr="0025250D">
        <w:rPr>
          <w:rFonts w:hint="cs"/>
          <w:rtl/>
        </w:rPr>
        <w:t>ی</w:t>
      </w:r>
      <w:r w:rsidRPr="0025250D">
        <w:rPr>
          <w:rFonts w:hint="eastAsia"/>
          <w:rtl/>
        </w:rPr>
        <w:t>ق</w:t>
      </w:r>
      <w:r w:rsidRPr="0025250D">
        <w:rPr>
          <w:rtl/>
        </w:rPr>
        <w:t xml:space="preserve"> ن</w:t>
      </w:r>
      <w:r w:rsidRPr="0025250D">
        <w:rPr>
          <w:rFonts w:hint="cs"/>
          <w:rtl/>
        </w:rPr>
        <w:t>ی</w:t>
      </w:r>
      <w:r w:rsidRPr="0025250D">
        <w:rPr>
          <w:rFonts w:hint="eastAsia"/>
          <w:rtl/>
        </w:rPr>
        <w:t>از</w:t>
      </w:r>
      <w:r w:rsidRPr="0025250D">
        <w:rPr>
          <w:rtl/>
        </w:rPr>
        <w:t xml:space="preserve"> دار</w:t>
      </w:r>
      <w:r w:rsidRPr="0025250D">
        <w:rPr>
          <w:rFonts w:hint="cs"/>
          <w:rtl/>
        </w:rPr>
        <w:t>ی</w:t>
      </w:r>
      <w:r w:rsidRPr="0025250D">
        <w:rPr>
          <w:rFonts w:hint="eastAsia"/>
          <w:rtl/>
        </w:rPr>
        <w:t>م</w:t>
      </w:r>
      <w:r w:rsidRPr="0025250D">
        <w:rPr>
          <w:rtl/>
        </w:rPr>
        <w:t xml:space="preserve"> تا بهتر</w:t>
      </w:r>
      <w:r w:rsidRPr="0025250D">
        <w:rPr>
          <w:rFonts w:hint="cs"/>
          <w:rtl/>
        </w:rPr>
        <w:t>ی</w:t>
      </w:r>
      <w:r w:rsidRPr="0025250D">
        <w:rPr>
          <w:rFonts w:hint="eastAsia"/>
          <w:rtl/>
        </w:rPr>
        <w:t>ن</w:t>
      </w:r>
      <w:r w:rsidRPr="0025250D">
        <w:rPr>
          <w:rtl/>
        </w:rPr>
        <w:t xml:space="preserve"> مس</w:t>
      </w:r>
      <w:r w:rsidRPr="0025250D">
        <w:rPr>
          <w:rFonts w:hint="cs"/>
          <w:rtl/>
        </w:rPr>
        <w:t>ی</w:t>
      </w:r>
      <w:r w:rsidRPr="0025250D">
        <w:rPr>
          <w:rFonts w:hint="eastAsia"/>
          <w:rtl/>
        </w:rPr>
        <w:t>ر</w:t>
      </w:r>
      <w:r w:rsidRPr="0025250D">
        <w:rPr>
          <w:rtl/>
        </w:rPr>
        <w:t xml:space="preserve"> رو به جلو بب</w:t>
      </w:r>
      <w:r w:rsidRPr="0025250D">
        <w:rPr>
          <w:rFonts w:hint="cs"/>
          <w:rtl/>
        </w:rPr>
        <w:t>ی</w:t>
      </w:r>
      <w:r w:rsidRPr="0025250D">
        <w:rPr>
          <w:rFonts w:hint="eastAsia"/>
          <w:rtl/>
        </w:rPr>
        <w:t>ن</w:t>
      </w:r>
      <w:r w:rsidRPr="0025250D">
        <w:rPr>
          <w:rFonts w:hint="cs"/>
          <w:rtl/>
        </w:rPr>
        <w:t>ی</w:t>
      </w:r>
      <w:r w:rsidRPr="0025250D">
        <w:rPr>
          <w:rFonts w:hint="eastAsia"/>
          <w:rtl/>
        </w:rPr>
        <w:t>م</w:t>
      </w:r>
      <w:r w:rsidRPr="0025250D">
        <w:rPr>
          <w:rtl/>
        </w:rPr>
        <w:t>.</w:t>
      </w:r>
      <w:r w:rsidRPr="0025250D">
        <w:rPr>
          <w:rFonts w:hint="cs"/>
          <w:rtl/>
        </w:rPr>
        <w:t xml:space="preserve"> </w:t>
      </w:r>
      <w:r w:rsidRPr="0025250D">
        <w:rPr>
          <w:rtl/>
        </w:rPr>
        <w:t xml:space="preserve">اگر فرهنگ ما همگن باشد </w:t>
      </w:r>
      <w:r w:rsidRPr="0025250D">
        <w:rPr>
          <w:rFonts w:hint="cs"/>
          <w:rtl/>
        </w:rPr>
        <w:t>ی</w:t>
      </w:r>
      <w:r w:rsidRPr="0025250D">
        <w:rPr>
          <w:rFonts w:hint="eastAsia"/>
          <w:rtl/>
        </w:rPr>
        <w:t>ا</w:t>
      </w:r>
      <w:r w:rsidRPr="0025250D">
        <w:rPr>
          <w:rtl/>
        </w:rPr>
        <w:t xml:space="preserve"> اگر در </w:t>
      </w:r>
      <w:r w:rsidRPr="0025250D">
        <w:rPr>
          <w:rFonts w:hint="cs"/>
          <w:rtl/>
        </w:rPr>
        <w:t>ی</w:t>
      </w:r>
      <w:r w:rsidRPr="0025250D">
        <w:rPr>
          <w:rFonts w:hint="eastAsia"/>
          <w:rtl/>
        </w:rPr>
        <w:t>ک</w:t>
      </w:r>
      <w:r w:rsidRPr="0025250D">
        <w:rPr>
          <w:rtl/>
        </w:rPr>
        <w:t xml:space="preserve"> حباب ف</w:t>
      </w:r>
      <w:r w:rsidRPr="0025250D">
        <w:rPr>
          <w:rFonts w:hint="cs"/>
          <w:rtl/>
        </w:rPr>
        <w:t>ی</w:t>
      </w:r>
      <w:r w:rsidRPr="0025250D">
        <w:rPr>
          <w:rFonts w:hint="eastAsia"/>
          <w:rtl/>
        </w:rPr>
        <w:t>لتر</w:t>
      </w:r>
      <w:r w:rsidRPr="0025250D">
        <w:rPr>
          <w:rFonts w:hint="cs"/>
          <w:rtl/>
        </w:rPr>
        <w:t xml:space="preserve"> شده</w:t>
      </w:r>
      <w:r w:rsidRPr="0025250D">
        <w:rPr>
          <w:rtl/>
        </w:rPr>
        <w:t xml:space="preserve"> زندگ</w:t>
      </w:r>
      <w:r w:rsidRPr="0025250D">
        <w:rPr>
          <w:rFonts w:hint="cs"/>
          <w:rtl/>
        </w:rPr>
        <w:t>ی</w:t>
      </w:r>
      <w:r w:rsidRPr="0025250D">
        <w:rPr>
          <w:rtl/>
        </w:rPr>
        <w:t xml:space="preserve"> کن</w:t>
      </w:r>
      <w:r w:rsidRPr="0025250D">
        <w:rPr>
          <w:rFonts w:hint="cs"/>
          <w:rtl/>
        </w:rPr>
        <w:t>ی</w:t>
      </w:r>
      <w:r w:rsidRPr="0025250D">
        <w:rPr>
          <w:rFonts w:hint="eastAsia"/>
          <w:rtl/>
        </w:rPr>
        <w:t>م،</w:t>
      </w:r>
      <w:r w:rsidRPr="0025250D">
        <w:rPr>
          <w:rtl/>
        </w:rPr>
        <w:t xml:space="preserve"> </w:t>
      </w:r>
      <w:r w:rsidRPr="0025250D">
        <w:rPr>
          <w:rFonts w:hint="cs"/>
          <w:rtl/>
        </w:rPr>
        <w:t>از</w:t>
      </w:r>
      <w:r w:rsidRPr="0025250D">
        <w:rPr>
          <w:rtl/>
        </w:rPr>
        <w:t xml:space="preserve"> شبکه ها</w:t>
      </w:r>
      <w:r w:rsidRPr="0025250D">
        <w:rPr>
          <w:rFonts w:hint="cs"/>
          <w:rtl/>
        </w:rPr>
        <w:t>ی</w:t>
      </w:r>
      <w:r w:rsidRPr="0025250D">
        <w:rPr>
          <w:rtl/>
        </w:rPr>
        <w:t xml:space="preserve"> متنوع تر</w:t>
      </w:r>
      <w:r w:rsidRPr="0025250D">
        <w:rPr>
          <w:rFonts w:hint="cs"/>
          <w:rtl/>
        </w:rPr>
        <w:t>ی</w:t>
      </w:r>
      <w:r w:rsidRPr="0025250D">
        <w:rPr>
          <w:rtl/>
        </w:rPr>
        <w:t xml:space="preserve"> </w:t>
      </w:r>
      <w:r w:rsidRPr="0025250D">
        <w:rPr>
          <w:rFonts w:hint="cs"/>
          <w:rtl/>
        </w:rPr>
        <w:t>عقب خواهیم ماند</w:t>
      </w:r>
      <w:r w:rsidRPr="0025250D">
        <w:rPr>
          <w:rtl/>
        </w:rPr>
        <w:t xml:space="preserve">. به </w:t>
      </w:r>
      <w:r w:rsidRPr="0025250D">
        <w:rPr>
          <w:rFonts w:hint="cs"/>
          <w:rtl/>
        </w:rPr>
        <w:t>ی</w:t>
      </w:r>
      <w:r w:rsidRPr="0025250D">
        <w:rPr>
          <w:rFonts w:hint="eastAsia"/>
          <w:rtl/>
        </w:rPr>
        <w:t>اد</w:t>
      </w:r>
      <w:r w:rsidRPr="0025250D">
        <w:rPr>
          <w:rtl/>
        </w:rPr>
        <w:t xml:space="preserve"> داشته باش</w:t>
      </w:r>
      <w:r w:rsidRPr="0025250D">
        <w:rPr>
          <w:rFonts w:hint="cs"/>
          <w:rtl/>
        </w:rPr>
        <w:t>ی</w:t>
      </w:r>
      <w:r w:rsidRPr="0025250D">
        <w:rPr>
          <w:rFonts w:hint="eastAsia"/>
          <w:rtl/>
        </w:rPr>
        <w:t>د</w:t>
      </w:r>
      <w:r w:rsidRPr="0025250D">
        <w:rPr>
          <w:rtl/>
        </w:rPr>
        <w:t xml:space="preserve"> که ه</w:t>
      </w:r>
      <w:r w:rsidRPr="0025250D">
        <w:rPr>
          <w:rFonts w:hint="cs"/>
          <w:rtl/>
        </w:rPr>
        <w:t>ی</w:t>
      </w:r>
      <w:r w:rsidRPr="0025250D">
        <w:rPr>
          <w:rFonts w:hint="eastAsia"/>
          <w:rtl/>
        </w:rPr>
        <w:t>چ</w:t>
      </w:r>
      <w:r w:rsidRPr="0025250D">
        <w:rPr>
          <w:rtl/>
        </w:rPr>
        <w:t xml:space="preserve"> هوش</w:t>
      </w:r>
      <w:r w:rsidRPr="0025250D">
        <w:rPr>
          <w:rFonts w:hint="cs"/>
          <w:rtl/>
        </w:rPr>
        <w:t>ی</w:t>
      </w:r>
      <w:r w:rsidRPr="0025250D">
        <w:rPr>
          <w:rtl/>
        </w:rPr>
        <w:t xml:space="preserve"> هرگز دانا</w:t>
      </w:r>
      <w:r w:rsidRPr="0025250D">
        <w:rPr>
          <w:rFonts w:hint="cs"/>
          <w:rtl/>
        </w:rPr>
        <w:t>ی</w:t>
      </w:r>
      <w:r w:rsidRPr="0025250D">
        <w:rPr>
          <w:rtl/>
        </w:rPr>
        <w:t xml:space="preserve"> کل ن</w:t>
      </w:r>
      <w:r w:rsidRPr="0025250D">
        <w:rPr>
          <w:rFonts w:hint="cs"/>
          <w:rtl/>
        </w:rPr>
        <w:t>ی</w:t>
      </w:r>
      <w:r w:rsidRPr="0025250D">
        <w:rPr>
          <w:rFonts w:hint="eastAsia"/>
          <w:rtl/>
        </w:rPr>
        <w:t>ست</w:t>
      </w:r>
      <w:r w:rsidRPr="0025250D">
        <w:rPr>
          <w:rtl/>
        </w:rPr>
        <w:t>. اندازه‌گ</w:t>
      </w:r>
      <w:r w:rsidRPr="0025250D">
        <w:rPr>
          <w:rFonts w:hint="cs"/>
          <w:rtl/>
        </w:rPr>
        <w:t>ی</w:t>
      </w:r>
      <w:r w:rsidRPr="0025250D">
        <w:rPr>
          <w:rFonts w:hint="eastAsia"/>
          <w:rtl/>
        </w:rPr>
        <w:t>ر</w:t>
      </w:r>
      <w:r w:rsidRPr="0025250D">
        <w:rPr>
          <w:rFonts w:hint="cs"/>
          <w:rtl/>
        </w:rPr>
        <w:t>ی</w:t>
      </w:r>
      <w:r w:rsidRPr="0025250D">
        <w:rPr>
          <w:rFonts w:hint="eastAsia"/>
          <w:rtl/>
        </w:rPr>
        <w:t>،</w:t>
      </w:r>
      <w:r w:rsidRPr="0025250D">
        <w:rPr>
          <w:rtl/>
        </w:rPr>
        <w:t xml:space="preserve"> حفاظت و ارتقا</w:t>
      </w:r>
      <w:r w:rsidRPr="0025250D">
        <w:rPr>
          <w:rFonts w:hint="cs"/>
          <w:rtl/>
        </w:rPr>
        <w:t>ی</w:t>
      </w:r>
      <w:r w:rsidRPr="0025250D">
        <w:rPr>
          <w:rtl/>
        </w:rPr>
        <w:t xml:space="preserve"> تنوع شناخت</w:t>
      </w:r>
      <w:r w:rsidRPr="0025250D">
        <w:rPr>
          <w:rFonts w:hint="cs"/>
          <w:rtl/>
        </w:rPr>
        <w:t>ی</w:t>
      </w:r>
      <w:r w:rsidRPr="0025250D">
        <w:rPr>
          <w:rFonts w:hint="eastAsia"/>
          <w:rtl/>
        </w:rPr>
        <w:t>،</w:t>
      </w:r>
      <w:r w:rsidRPr="0025250D">
        <w:rPr>
          <w:rtl/>
        </w:rPr>
        <w:t xml:space="preserve"> هوش و </w:t>
      </w:r>
      <w:r w:rsidR="00B124DE" w:rsidRPr="0025250D">
        <w:rPr>
          <w:rFonts w:hint="cs"/>
          <w:rtl/>
        </w:rPr>
        <w:t>انطباق‌پذیر</w:t>
      </w:r>
      <w:r w:rsidRPr="0025250D">
        <w:rPr>
          <w:rFonts w:hint="cs"/>
          <w:rtl/>
        </w:rPr>
        <w:t>ی</w:t>
      </w:r>
      <w:r w:rsidRPr="0025250D">
        <w:rPr>
          <w:rtl/>
        </w:rPr>
        <w:t xml:space="preserve"> شبکه را به حداکثر م</w:t>
      </w:r>
      <w:r w:rsidRPr="0025250D">
        <w:rPr>
          <w:rFonts w:hint="cs"/>
          <w:rtl/>
        </w:rPr>
        <w:t>ی‌</w:t>
      </w:r>
      <w:r w:rsidRPr="0025250D">
        <w:rPr>
          <w:rFonts w:hint="eastAsia"/>
          <w:rtl/>
        </w:rPr>
        <w:t>رساند</w:t>
      </w:r>
      <w:r w:rsidRPr="0025250D">
        <w:rPr>
          <w:rtl/>
        </w:rPr>
        <w:t>.</w:t>
      </w:r>
    </w:p>
    <w:p w14:paraId="5B024BEC" w14:textId="63E130DC" w:rsidR="0037616D" w:rsidRPr="0025250D" w:rsidRDefault="0037616D" w:rsidP="00492C47">
      <w:pPr>
        <w:numPr>
          <w:ilvl w:val="0"/>
          <w:numId w:val="80"/>
        </w:numPr>
      </w:pPr>
      <w:r w:rsidRPr="0025250D">
        <w:rPr>
          <w:rFonts w:hint="cs"/>
          <w:rtl/>
        </w:rPr>
        <w:t xml:space="preserve"> </w:t>
      </w:r>
      <w:r w:rsidRPr="0025250D">
        <w:rPr>
          <w:rtl/>
        </w:rPr>
        <w:t>سازمان ا</w:t>
      </w:r>
      <w:r w:rsidRPr="0025250D">
        <w:rPr>
          <w:rFonts w:hint="cs"/>
          <w:rtl/>
        </w:rPr>
        <w:t>ی</w:t>
      </w:r>
      <w:r w:rsidRPr="0025250D">
        <w:rPr>
          <w:rFonts w:hint="eastAsia"/>
          <w:rtl/>
        </w:rPr>
        <w:t>ده</w:t>
      </w:r>
      <w:r w:rsidRPr="0025250D">
        <w:rPr>
          <w:rtl/>
        </w:rPr>
        <w:t xml:space="preserve"> محور: </w:t>
      </w:r>
      <w:r w:rsidRPr="0025250D">
        <w:rPr>
          <w:rFonts w:hint="cs"/>
          <w:rtl/>
        </w:rPr>
        <w:t>رها</w:t>
      </w:r>
      <w:r w:rsidRPr="0025250D">
        <w:rPr>
          <w:rtl/>
        </w:rPr>
        <w:t xml:space="preserve"> کردن قدرت ا</w:t>
      </w:r>
      <w:r w:rsidRPr="0025250D">
        <w:rPr>
          <w:rFonts w:hint="cs"/>
          <w:rtl/>
        </w:rPr>
        <w:t>ی</w:t>
      </w:r>
      <w:r w:rsidRPr="0025250D">
        <w:rPr>
          <w:rFonts w:hint="eastAsia"/>
          <w:rtl/>
        </w:rPr>
        <w:t>ده</w:t>
      </w:r>
      <w:r w:rsidRPr="0025250D">
        <w:rPr>
          <w:rtl/>
        </w:rPr>
        <w:t xml:space="preserve"> ها</w:t>
      </w:r>
      <w:r w:rsidRPr="0025250D">
        <w:rPr>
          <w:rFonts w:hint="cs"/>
          <w:rtl/>
        </w:rPr>
        <w:t>ی</w:t>
      </w:r>
      <w:r w:rsidRPr="0025250D">
        <w:rPr>
          <w:rtl/>
        </w:rPr>
        <w:t xml:space="preserve"> پا</w:t>
      </w:r>
      <w:r w:rsidRPr="0025250D">
        <w:rPr>
          <w:rFonts w:hint="cs"/>
          <w:rtl/>
        </w:rPr>
        <w:t>یی</w:t>
      </w:r>
      <w:r w:rsidRPr="0025250D">
        <w:rPr>
          <w:rFonts w:hint="eastAsia"/>
          <w:rtl/>
        </w:rPr>
        <w:t>ن</w:t>
      </w:r>
      <w:r w:rsidRPr="0025250D">
        <w:rPr>
          <w:rtl/>
        </w:rPr>
        <w:t xml:space="preserve"> به بالا، آلن راب</w:t>
      </w:r>
      <w:r w:rsidRPr="0025250D">
        <w:rPr>
          <w:rFonts w:hint="cs"/>
          <w:rtl/>
        </w:rPr>
        <w:t>ی</w:t>
      </w:r>
      <w:r w:rsidRPr="0025250D">
        <w:rPr>
          <w:rFonts w:hint="eastAsia"/>
          <w:rtl/>
        </w:rPr>
        <w:t>نسون</w:t>
      </w:r>
      <w:r w:rsidRPr="0025250D">
        <w:rPr>
          <w:rtl/>
        </w:rPr>
        <w:t xml:space="preserve"> و د</w:t>
      </w:r>
      <w:r w:rsidRPr="0025250D">
        <w:rPr>
          <w:rFonts w:hint="cs"/>
          <w:rtl/>
        </w:rPr>
        <w:t>ی</w:t>
      </w:r>
      <w:r w:rsidRPr="0025250D">
        <w:rPr>
          <w:rFonts w:hint="eastAsia"/>
          <w:rtl/>
        </w:rPr>
        <w:t>ن</w:t>
      </w:r>
      <w:r w:rsidRPr="0025250D">
        <w:rPr>
          <w:rtl/>
        </w:rPr>
        <w:t xml:space="preserve"> شرودر</w:t>
      </w:r>
      <w:r w:rsidRPr="0025250D">
        <w:rPr>
          <w:vertAlign w:val="superscript"/>
          <w:rtl/>
        </w:rPr>
        <w:footnoteReference w:id="3426"/>
      </w:r>
      <w:r w:rsidRPr="0025250D">
        <w:rPr>
          <w:rtl/>
        </w:rPr>
        <w:t>، 2014</w:t>
      </w:r>
      <w:r w:rsidRPr="0025250D">
        <w:rPr>
          <w:rFonts w:hint="cs"/>
          <w:rtl/>
        </w:rPr>
        <w:t xml:space="preserve">. </w:t>
      </w:r>
      <w:r w:rsidRPr="0025250D">
        <w:rPr>
          <w:rtl/>
        </w:rPr>
        <w:t>مقدمه ا</w:t>
      </w:r>
      <w:r w:rsidRPr="0025250D">
        <w:rPr>
          <w:rFonts w:hint="cs"/>
          <w:rtl/>
        </w:rPr>
        <w:t>ی</w:t>
      </w:r>
      <w:r w:rsidRPr="0025250D">
        <w:rPr>
          <w:rtl/>
        </w:rPr>
        <w:t xml:space="preserve"> عال</w:t>
      </w:r>
      <w:r w:rsidRPr="0025250D">
        <w:rPr>
          <w:rFonts w:hint="cs"/>
          <w:rtl/>
        </w:rPr>
        <w:t>ی</w:t>
      </w:r>
      <w:r w:rsidRPr="0025250D">
        <w:rPr>
          <w:rtl/>
        </w:rPr>
        <w:t xml:space="preserve"> </w:t>
      </w:r>
      <w:r w:rsidRPr="0025250D">
        <w:rPr>
          <w:rFonts w:hint="cs"/>
          <w:rtl/>
        </w:rPr>
        <w:t>در مورد</w:t>
      </w:r>
      <w:r w:rsidRPr="0025250D">
        <w:rPr>
          <w:rtl/>
        </w:rPr>
        <w:t xml:space="preserve"> فرهنگ نوآور</w:t>
      </w:r>
      <w:r w:rsidRPr="0025250D">
        <w:rPr>
          <w:rFonts w:hint="cs"/>
          <w:rtl/>
        </w:rPr>
        <w:t>ی</w:t>
      </w:r>
      <w:r w:rsidRPr="0025250D">
        <w:rPr>
          <w:rtl/>
        </w:rPr>
        <w:t>. به همراه</w:t>
      </w:r>
      <w:r w:rsidRPr="0025250D">
        <w:rPr>
          <w:rFonts w:hint="cs"/>
          <w:rtl/>
        </w:rPr>
        <w:t xml:space="preserve"> طراحی</w:t>
      </w:r>
      <w:r w:rsidRPr="0025250D">
        <w:rPr>
          <w:rtl/>
        </w:rPr>
        <w:t xml:space="preserve"> </w:t>
      </w:r>
      <w:r w:rsidRPr="0025250D">
        <w:t>F.I.R.E</w:t>
      </w:r>
      <w:r w:rsidRPr="0025250D">
        <w:rPr>
          <w:rtl/>
        </w:rPr>
        <w:t>. (به کتاب دن وارد مراجعه کن</w:t>
      </w:r>
      <w:r w:rsidRPr="0025250D">
        <w:rPr>
          <w:rFonts w:hint="cs"/>
          <w:rtl/>
        </w:rPr>
        <w:t>ی</w:t>
      </w:r>
      <w:r w:rsidRPr="0025250D">
        <w:rPr>
          <w:rFonts w:hint="eastAsia"/>
          <w:rtl/>
        </w:rPr>
        <w:t>د</w:t>
      </w:r>
      <w:r w:rsidRPr="0025250D">
        <w:rPr>
          <w:rtl/>
        </w:rPr>
        <w:t>)، ا</w:t>
      </w:r>
      <w:r w:rsidRPr="0025250D">
        <w:rPr>
          <w:rFonts w:hint="cs"/>
          <w:rtl/>
        </w:rPr>
        <w:t>ی</w:t>
      </w:r>
      <w:r w:rsidRPr="0025250D">
        <w:rPr>
          <w:rFonts w:hint="eastAsia"/>
          <w:rtl/>
        </w:rPr>
        <w:t>ن</w:t>
      </w:r>
      <w:r w:rsidRPr="0025250D">
        <w:rPr>
          <w:rtl/>
        </w:rPr>
        <w:t xml:space="preserve"> کتاب م</w:t>
      </w:r>
      <w:r w:rsidRPr="0025250D">
        <w:rPr>
          <w:rFonts w:hint="cs"/>
          <w:rtl/>
        </w:rPr>
        <w:t>ی</w:t>
      </w:r>
      <w:r w:rsidRPr="0025250D">
        <w:rPr>
          <w:rtl/>
        </w:rPr>
        <w:t xml:space="preserve"> تواند به ت</w:t>
      </w:r>
      <w:r w:rsidRPr="0025250D">
        <w:rPr>
          <w:rFonts w:hint="cs"/>
          <w:rtl/>
        </w:rPr>
        <w:t>ی</w:t>
      </w:r>
      <w:r w:rsidRPr="0025250D">
        <w:rPr>
          <w:rFonts w:hint="eastAsia"/>
          <w:rtl/>
        </w:rPr>
        <w:t>م</w:t>
      </w:r>
      <w:r w:rsidRPr="0025250D">
        <w:rPr>
          <w:rtl/>
        </w:rPr>
        <w:t xml:space="preserve"> ها و شرکت ها کمک کند تا بر بدب</w:t>
      </w:r>
      <w:r w:rsidRPr="0025250D">
        <w:rPr>
          <w:rFonts w:hint="cs"/>
          <w:rtl/>
        </w:rPr>
        <w:t>ی</w:t>
      </w:r>
      <w:r w:rsidRPr="0025250D">
        <w:rPr>
          <w:rFonts w:hint="eastAsia"/>
          <w:rtl/>
        </w:rPr>
        <w:t>ن</w:t>
      </w:r>
      <w:r w:rsidRPr="0025250D">
        <w:rPr>
          <w:rFonts w:hint="cs"/>
          <w:rtl/>
        </w:rPr>
        <w:t>ی</w:t>
      </w:r>
      <w:r w:rsidRPr="0025250D">
        <w:rPr>
          <w:rtl/>
        </w:rPr>
        <w:t xml:space="preserve"> و ب</w:t>
      </w:r>
      <w:r w:rsidRPr="0025250D">
        <w:rPr>
          <w:rFonts w:hint="cs"/>
          <w:rtl/>
        </w:rPr>
        <w:t>ی</w:t>
      </w:r>
      <w:r w:rsidRPr="0025250D">
        <w:rPr>
          <w:rtl/>
        </w:rPr>
        <w:t xml:space="preserve"> عمل</w:t>
      </w:r>
      <w:r w:rsidRPr="0025250D">
        <w:rPr>
          <w:rFonts w:hint="cs"/>
          <w:rtl/>
        </w:rPr>
        <w:t>ی</w:t>
      </w:r>
      <w:r w:rsidRPr="0025250D">
        <w:rPr>
          <w:rtl/>
        </w:rPr>
        <w:t xml:space="preserve"> غلبه کنند و پتانس</w:t>
      </w:r>
      <w:r w:rsidRPr="0025250D">
        <w:rPr>
          <w:rFonts w:hint="cs"/>
          <w:rtl/>
        </w:rPr>
        <w:t>ی</w:t>
      </w:r>
      <w:r w:rsidRPr="0025250D">
        <w:rPr>
          <w:rFonts w:hint="eastAsia"/>
          <w:rtl/>
        </w:rPr>
        <w:t>ل</w:t>
      </w:r>
      <w:r w:rsidRPr="0025250D">
        <w:rPr>
          <w:rtl/>
        </w:rPr>
        <w:t xml:space="preserve"> نوآور</w:t>
      </w:r>
      <w:r w:rsidRPr="0025250D">
        <w:rPr>
          <w:rFonts w:hint="cs"/>
          <w:rtl/>
        </w:rPr>
        <w:t>ی</w:t>
      </w:r>
      <w:r w:rsidRPr="0025250D">
        <w:rPr>
          <w:rtl/>
        </w:rPr>
        <w:t xml:space="preserve"> را در اطراف خود بب</w:t>
      </w:r>
      <w:r w:rsidRPr="0025250D">
        <w:rPr>
          <w:rFonts w:hint="cs"/>
          <w:rtl/>
        </w:rPr>
        <w:t>ی</w:t>
      </w:r>
      <w:r w:rsidRPr="0025250D">
        <w:rPr>
          <w:rFonts w:hint="eastAsia"/>
          <w:rtl/>
        </w:rPr>
        <w:t>نند</w:t>
      </w:r>
      <w:r w:rsidRPr="0025250D">
        <w:rPr>
          <w:rtl/>
        </w:rPr>
        <w:t>. ا</w:t>
      </w:r>
      <w:r w:rsidRPr="0025250D">
        <w:rPr>
          <w:rFonts w:hint="cs"/>
          <w:rtl/>
        </w:rPr>
        <w:t>ی</w:t>
      </w:r>
      <w:r w:rsidRPr="0025250D">
        <w:rPr>
          <w:rFonts w:hint="eastAsia"/>
          <w:rtl/>
        </w:rPr>
        <w:t>ده</w:t>
      </w:r>
      <w:r w:rsidRPr="0025250D">
        <w:rPr>
          <w:rtl/>
        </w:rPr>
        <w:t xml:space="preserve"> ها فراوان </w:t>
      </w:r>
      <w:r w:rsidRPr="0025250D">
        <w:rPr>
          <w:rFonts w:hint="cs"/>
          <w:rtl/>
        </w:rPr>
        <w:t>هستند</w:t>
      </w:r>
      <w:r w:rsidRPr="0025250D">
        <w:rPr>
          <w:rtl/>
        </w:rPr>
        <w:t>. ا</w:t>
      </w:r>
      <w:r w:rsidRPr="0025250D">
        <w:rPr>
          <w:rFonts w:hint="cs"/>
          <w:rtl/>
        </w:rPr>
        <w:t>ی</w:t>
      </w:r>
      <w:r w:rsidRPr="0025250D">
        <w:rPr>
          <w:rFonts w:hint="eastAsia"/>
          <w:rtl/>
        </w:rPr>
        <w:t>ده</w:t>
      </w:r>
      <w:r w:rsidRPr="0025250D">
        <w:rPr>
          <w:rtl/>
        </w:rPr>
        <w:t xml:space="preserve"> ها</w:t>
      </w:r>
      <w:r w:rsidRPr="0025250D">
        <w:rPr>
          <w:rFonts w:hint="cs"/>
          <w:rtl/>
        </w:rPr>
        <w:t>ی</w:t>
      </w:r>
      <w:r w:rsidRPr="0025250D">
        <w:rPr>
          <w:rtl/>
        </w:rPr>
        <w:t xml:space="preserve"> عال</w:t>
      </w:r>
      <w:r w:rsidRPr="0025250D">
        <w:rPr>
          <w:rFonts w:hint="cs"/>
          <w:rtl/>
        </w:rPr>
        <w:t>ی</w:t>
      </w:r>
      <w:r w:rsidRPr="0025250D">
        <w:rPr>
          <w:rtl/>
        </w:rPr>
        <w:t xml:space="preserve"> که به </w:t>
      </w:r>
      <w:r w:rsidRPr="0025250D">
        <w:rPr>
          <w:rFonts w:hint="eastAsia"/>
          <w:rtl/>
        </w:rPr>
        <w:t>افراد</w:t>
      </w:r>
      <w:r w:rsidRPr="0025250D">
        <w:rPr>
          <w:rtl/>
        </w:rPr>
        <w:t xml:space="preserve"> مناسب و در زمان مناسب فروخته م</w:t>
      </w:r>
      <w:r w:rsidRPr="0025250D">
        <w:rPr>
          <w:rFonts w:hint="cs"/>
          <w:rtl/>
        </w:rPr>
        <w:t>ی</w:t>
      </w:r>
      <w:r w:rsidRPr="0025250D">
        <w:rPr>
          <w:rtl/>
        </w:rPr>
        <w:t xml:space="preserve"> شوند، نادر هستند</w:t>
      </w:r>
      <w:r w:rsidRPr="0025250D">
        <w:rPr>
          <w:rFonts w:hint="cs"/>
          <w:rtl/>
        </w:rPr>
        <w:t xml:space="preserve">. </w:t>
      </w:r>
      <w:r w:rsidRPr="0025250D">
        <w:rPr>
          <w:rtl/>
        </w:rPr>
        <w:t>ا</w:t>
      </w:r>
      <w:r w:rsidRPr="0025250D">
        <w:rPr>
          <w:rFonts w:hint="cs"/>
          <w:rtl/>
        </w:rPr>
        <w:t>ی</w:t>
      </w:r>
      <w:r w:rsidRPr="0025250D">
        <w:rPr>
          <w:rFonts w:hint="eastAsia"/>
          <w:rtl/>
        </w:rPr>
        <w:t>ن</w:t>
      </w:r>
      <w:r w:rsidRPr="0025250D">
        <w:rPr>
          <w:rtl/>
        </w:rPr>
        <w:t xml:space="preserve"> کتاب به شما کمک م</w:t>
      </w:r>
      <w:r w:rsidRPr="0025250D">
        <w:rPr>
          <w:rFonts w:hint="cs"/>
          <w:rtl/>
        </w:rPr>
        <w:t>ی‌</w:t>
      </w:r>
      <w:r w:rsidRPr="0025250D">
        <w:rPr>
          <w:rFonts w:hint="eastAsia"/>
          <w:rtl/>
        </w:rPr>
        <w:t>کند</w:t>
      </w:r>
      <w:r w:rsidRPr="0025250D">
        <w:rPr>
          <w:rtl/>
        </w:rPr>
        <w:t xml:space="preserve"> تا ارزش درخواست، نقد، اصلاح و آزما</w:t>
      </w:r>
      <w:r w:rsidRPr="0025250D">
        <w:rPr>
          <w:rFonts w:hint="cs"/>
          <w:rtl/>
        </w:rPr>
        <w:t>ی</w:t>
      </w:r>
      <w:r w:rsidRPr="0025250D">
        <w:rPr>
          <w:rFonts w:hint="eastAsia"/>
          <w:rtl/>
        </w:rPr>
        <w:t>ش</w:t>
      </w:r>
      <w:r w:rsidRPr="0025250D">
        <w:rPr>
          <w:rtl/>
        </w:rPr>
        <w:t xml:space="preserve"> ا</w:t>
      </w:r>
      <w:r w:rsidRPr="0025250D">
        <w:rPr>
          <w:rFonts w:hint="cs"/>
          <w:rtl/>
        </w:rPr>
        <w:t>ی</w:t>
      </w:r>
      <w:r w:rsidRPr="0025250D">
        <w:rPr>
          <w:rFonts w:hint="eastAsia"/>
          <w:rtl/>
        </w:rPr>
        <w:t>ده‌ها</w:t>
      </w:r>
      <w:r w:rsidRPr="0025250D">
        <w:rPr>
          <w:rtl/>
        </w:rPr>
        <w:t xml:space="preserve"> را در م</w:t>
      </w:r>
      <w:r w:rsidRPr="0025250D">
        <w:rPr>
          <w:rFonts w:hint="cs"/>
          <w:rtl/>
        </w:rPr>
        <w:t>ی</w:t>
      </w:r>
      <w:r w:rsidRPr="0025250D">
        <w:rPr>
          <w:rFonts w:hint="eastAsia"/>
          <w:rtl/>
        </w:rPr>
        <w:t>ان</w:t>
      </w:r>
      <w:r w:rsidRPr="0025250D">
        <w:rPr>
          <w:rtl/>
        </w:rPr>
        <w:t xml:space="preserve"> همه ذ</w:t>
      </w:r>
      <w:r w:rsidRPr="0025250D">
        <w:rPr>
          <w:rFonts w:hint="cs"/>
          <w:rtl/>
        </w:rPr>
        <w:t>ی</w:t>
      </w:r>
      <w:r w:rsidRPr="0025250D">
        <w:rPr>
          <w:rFonts w:hint="eastAsia"/>
          <w:rtl/>
        </w:rPr>
        <w:t>نفعان</w:t>
      </w:r>
      <w:r w:rsidRPr="0025250D">
        <w:rPr>
          <w:rtl/>
        </w:rPr>
        <w:t xml:space="preserve"> خود بب</w:t>
      </w:r>
      <w:r w:rsidRPr="0025250D">
        <w:rPr>
          <w:rFonts w:hint="cs"/>
          <w:rtl/>
        </w:rPr>
        <w:t>ی</w:t>
      </w:r>
      <w:r w:rsidRPr="0025250D">
        <w:rPr>
          <w:rFonts w:hint="eastAsia"/>
          <w:rtl/>
        </w:rPr>
        <w:t>ن</w:t>
      </w:r>
      <w:r w:rsidRPr="0025250D">
        <w:rPr>
          <w:rFonts w:hint="cs"/>
          <w:rtl/>
        </w:rPr>
        <w:t>ی</w:t>
      </w:r>
      <w:r w:rsidRPr="0025250D">
        <w:rPr>
          <w:rFonts w:hint="eastAsia"/>
          <w:rtl/>
        </w:rPr>
        <w:t>د</w:t>
      </w:r>
      <w:r w:rsidRPr="0025250D">
        <w:rPr>
          <w:rtl/>
        </w:rPr>
        <w:t xml:space="preserve"> تا بهتر</w:t>
      </w:r>
      <w:r w:rsidRPr="0025250D">
        <w:rPr>
          <w:rFonts w:hint="cs"/>
          <w:rtl/>
        </w:rPr>
        <w:t>ی</w:t>
      </w:r>
      <w:r w:rsidRPr="0025250D">
        <w:rPr>
          <w:rFonts w:hint="eastAsia"/>
          <w:rtl/>
        </w:rPr>
        <w:t>ن</w:t>
      </w:r>
      <w:r w:rsidRPr="0025250D">
        <w:rPr>
          <w:rFonts w:hint="cs"/>
          <w:rtl/>
        </w:rPr>
        <w:t xml:space="preserve"> ایده ها</w:t>
      </w:r>
      <w:r w:rsidRPr="0025250D">
        <w:rPr>
          <w:rtl/>
        </w:rPr>
        <w:t xml:space="preserve"> را برا</w:t>
      </w:r>
      <w:r w:rsidRPr="0025250D">
        <w:rPr>
          <w:rFonts w:hint="cs"/>
          <w:rtl/>
        </w:rPr>
        <w:t>ی</w:t>
      </w:r>
      <w:r w:rsidRPr="0025250D">
        <w:rPr>
          <w:rtl/>
        </w:rPr>
        <w:t xml:space="preserve"> زم</w:t>
      </w:r>
      <w:r w:rsidRPr="0025250D">
        <w:rPr>
          <w:rFonts w:hint="cs"/>
          <w:rtl/>
        </w:rPr>
        <w:t>ی</w:t>
      </w:r>
      <w:r w:rsidRPr="0025250D">
        <w:rPr>
          <w:rFonts w:hint="eastAsia"/>
          <w:rtl/>
        </w:rPr>
        <w:t>نه</w:t>
      </w:r>
      <w:r w:rsidRPr="0025250D">
        <w:rPr>
          <w:rtl/>
        </w:rPr>
        <w:t xml:space="preserve"> مناسب ب</w:t>
      </w:r>
      <w:r w:rsidRPr="0025250D">
        <w:rPr>
          <w:rFonts w:hint="cs"/>
          <w:rtl/>
        </w:rPr>
        <w:t>ی</w:t>
      </w:r>
      <w:r w:rsidRPr="0025250D">
        <w:rPr>
          <w:rFonts w:hint="eastAsia"/>
          <w:rtl/>
        </w:rPr>
        <w:t>اب</w:t>
      </w:r>
      <w:r w:rsidRPr="0025250D">
        <w:rPr>
          <w:rFonts w:hint="cs"/>
          <w:rtl/>
        </w:rPr>
        <w:t>ی</w:t>
      </w:r>
      <w:r w:rsidRPr="0025250D">
        <w:rPr>
          <w:rFonts w:hint="eastAsia"/>
          <w:rtl/>
        </w:rPr>
        <w:t>د</w:t>
      </w:r>
      <w:r w:rsidRPr="0025250D">
        <w:rPr>
          <w:rtl/>
        </w:rPr>
        <w:t>. طبق قانون 95/5، مف</w:t>
      </w:r>
      <w:r w:rsidRPr="0025250D">
        <w:rPr>
          <w:rFonts w:hint="cs"/>
          <w:rtl/>
        </w:rPr>
        <w:t>ی</w:t>
      </w:r>
      <w:r w:rsidRPr="0025250D">
        <w:rPr>
          <w:rFonts w:hint="eastAsia"/>
          <w:rtl/>
        </w:rPr>
        <w:t>دتر</w:t>
      </w:r>
      <w:r w:rsidRPr="0025250D">
        <w:rPr>
          <w:rFonts w:hint="cs"/>
          <w:rtl/>
        </w:rPr>
        <w:t>ی</w:t>
      </w:r>
      <w:r w:rsidRPr="0025250D">
        <w:rPr>
          <w:rFonts w:hint="eastAsia"/>
          <w:rtl/>
        </w:rPr>
        <w:t>ن</w:t>
      </w:r>
      <w:r w:rsidRPr="0025250D">
        <w:rPr>
          <w:rtl/>
        </w:rPr>
        <w:t xml:space="preserve"> تغ</w:t>
      </w:r>
      <w:r w:rsidRPr="0025250D">
        <w:rPr>
          <w:rFonts w:hint="cs"/>
          <w:rtl/>
        </w:rPr>
        <w:t>یی</w:t>
      </w:r>
      <w:r w:rsidRPr="0025250D">
        <w:rPr>
          <w:rFonts w:hint="eastAsia"/>
          <w:rtl/>
        </w:rPr>
        <w:t>ر</w:t>
      </w:r>
      <w:r w:rsidRPr="0025250D">
        <w:rPr>
          <w:rtl/>
        </w:rPr>
        <w:t xml:space="preserve"> از پا</w:t>
      </w:r>
      <w:r w:rsidRPr="0025250D">
        <w:rPr>
          <w:rFonts w:hint="cs"/>
          <w:rtl/>
        </w:rPr>
        <w:t>یی</w:t>
      </w:r>
      <w:r w:rsidRPr="0025250D">
        <w:rPr>
          <w:rFonts w:hint="eastAsia"/>
          <w:rtl/>
        </w:rPr>
        <w:t>ن</w:t>
      </w:r>
      <w:r w:rsidRPr="0025250D">
        <w:rPr>
          <w:rtl/>
        </w:rPr>
        <w:t xml:space="preserve"> به بالا است. از ا</w:t>
      </w:r>
      <w:r w:rsidRPr="0025250D">
        <w:rPr>
          <w:rFonts w:hint="cs"/>
          <w:rtl/>
        </w:rPr>
        <w:t>ی</w:t>
      </w:r>
      <w:r w:rsidRPr="0025250D">
        <w:rPr>
          <w:rFonts w:hint="eastAsia"/>
          <w:rtl/>
        </w:rPr>
        <w:t>ن</w:t>
      </w:r>
      <w:r w:rsidRPr="0025250D">
        <w:rPr>
          <w:rtl/>
        </w:rPr>
        <w:t xml:space="preserve"> واقع</w:t>
      </w:r>
      <w:r w:rsidRPr="0025250D">
        <w:rPr>
          <w:rFonts w:hint="cs"/>
          <w:rtl/>
        </w:rPr>
        <w:t>ی</w:t>
      </w:r>
      <w:r w:rsidRPr="0025250D">
        <w:rPr>
          <w:rFonts w:hint="eastAsia"/>
          <w:rtl/>
        </w:rPr>
        <w:t>ت</w:t>
      </w:r>
      <w:r w:rsidRPr="0025250D">
        <w:rPr>
          <w:rtl/>
        </w:rPr>
        <w:t xml:space="preserve"> استفاده کن</w:t>
      </w:r>
      <w:r w:rsidRPr="0025250D">
        <w:rPr>
          <w:rFonts w:hint="cs"/>
          <w:rtl/>
        </w:rPr>
        <w:t>ی</w:t>
      </w:r>
      <w:r w:rsidRPr="0025250D">
        <w:rPr>
          <w:rFonts w:hint="eastAsia"/>
          <w:rtl/>
        </w:rPr>
        <w:t>د</w:t>
      </w:r>
      <w:r w:rsidRPr="0025250D">
        <w:rPr>
          <w:rFonts w:hint="cs"/>
          <w:rtl/>
        </w:rPr>
        <w:t>.</w:t>
      </w:r>
    </w:p>
    <w:p w14:paraId="02279141" w14:textId="0BDF4180" w:rsidR="0037616D" w:rsidRPr="0025250D" w:rsidRDefault="0037616D" w:rsidP="00492C47">
      <w:pPr>
        <w:numPr>
          <w:ilvl w:val="0"/>
          <w:numId w:val="80"/>
        </w:numPr>
      </w:pPr>
      <w:r w:rsidRPr="0025250D">
        <w:rPr>
          <w:rFonts w:hint="cs"/>
          <w:rtl/>
        </w:rPr>
        <w:t xml:space="preserve"> </w:t>
      </w:r>
      <w:r w:rsidR="00701E03" w:rsidRPr="0025250D">
        <w:rPr>
          <w:rtl/>
        </w:rPr>
        <w:t>راهبرد</w:t>
      </w:r>
      <w:r w:rsidRPr="0025250D">
        <w:rPr>
          <w:rtl/>
        </w:rPr>
        <w:t xml:space="preserve"> به موقع: چرخه </w:t>
      </w:r>
      <w:r w:rsidR="00B124DE" w:rsidRPr="0025250D">
        <w:rPr>
          <w:rFonts w:hint="cs"/>
          <w:rtl/>
        </w:rPr>
        <w:t>کسب‌و‌کار</w:t>
      </w:r>
      <w:r w:rsidRPr="0025250D">
        <w:rPr>
          <w:rtl/>
        </w:rPr>
        <w:t xml:space="preserve"> به عنوان مز</w:t>
      </w:r>
      <w:r w:rsidRPr="0025250D">
        <w:rPr>
          <w:rFonts w:hint="cs"/>
          <w:rtl/>
        </w:rPr>
        <w:t>ی</w:t>
      </w:r>
      <w:r w:rsidRPr="0025250D">
        <w:rPr>
          <w:rFonts w:hint="eastAsia"/>
          <w:rtl/>
        </w:rPr>
        <w:t>ت</w:t>
      </w:r>
      <w:r w:rsidRPr="0025250D">
        <w:rPr>
          <w:rtl/>
        </w:rPr>
        <w:t xml:space="preserve"> رقابت</w:t>
      </w:r>
      <w:r w:rsidRPr="0025250D">
        <w:rPr>
          <w:rFonts w:hint="cs"/>
          <w:rtl/>
        </w:rPr>
        <w:t>ی</w:t>
      </w:r>
      <w:r w:rsidRPr="0025250D">
        <w:rPr>
          <w:rFonts w:hint="eastAsia"/>
          <w:rtl/>
        </w:rPr>
        <w:t>،</w:t>
      </w:r>
      <w:r w:rsidRPr="0025250D">
        <w:rPr>
          <w:rtl/>
        </w:rPr>
        <w:t xml:space="preserve"> پ</w:t>
      </w:r>
      <w:r w:rsidRPr="0025250D">
        <w:rPr>
          <w:rFonts w:hint="cs"/>
          <w:rtl/>
        </w:rPr>
        <w:t>ی</w:t>
      </w:r>
      <w:r w:rsidRPr="0025250D">
        <w:rPr>
          <w:rFonts w:hint="eastAsia"/>
          <w:rtl/>
        </w:rPr>
        <w:t>تر</w:t>
      </w:r>
      <w:r w:rsidRPr="0025250D">
        <w:rPr>
          <w:rtl/>
        </w:rPr>
        <w:t xml:space="preserve"> ناوارو</w:t>
      </w:r>
      <w:r w:rsidRPr="0025250D">
        <w:rPr>
          <w:vertAlign w:val="superscript"/>
          <w:rtl/>
        </w:rPr>
        <w:footnoteReference w:id="3427"/>
      </w:r>
      <w:r w:rsidRPr="0025250D">
        <w:rPr>
          <w:rtl/>
        </w:rPr>
        <w:t>، 2006</w:t>
      </w:r>
      <w:r w:rsidRPr="0025250D">
        <w:rPr>
          <w:rFonts w:hint="cs"/>
          <w:rtl/>
        </w:rPr>
        <w:t xml:space="preserve">. </w:t>
      </w:r>
      <w:r w:rsidRPr="0025250D">
        <w:rPr>
          <w:rtl/>
        </w:rPr>
        <w:t>مقدمه ا</w:t>
      </w:r>
      <w:r w:rsidRPr="0025250D">
        <w:rPr>
          <w:rFonts w:hint="cs"/>
          <w:rtl/>
        </w:rPr>
        <w:t>ی</w:t>
      </w:r>
      <w:r w:rsidRPr="0025250D">
        <w:rPr>
          <w:rtl/>
        </w:rPr>
        <w:t xml:space="preserve"> مناسب برا</w:t>
      </w:r>
      <w:r w:rsidRPr="0025250D">
        <w:rPr>
          <w:rFonts w:hint="cs"/>
          <w:rtl/>
        </w:rPr>
        <w:t>ی</w:t>
      </w:r>
      <w:r w:rsidRPr="0025250D">
        <w:rPr>
          <w:rtl/>
        </w:rPr>
        <w:t xml:space="preserve"> </w:t>
      </w:r>
      <w:r w:rsidR="00D92F6E" w:rsidRPr="0025250D">
        <w:rPr>
          <w:rtl/>
        </w:rPr>
        <w:t>پیش‌بین</w:t>
      </w:r>
      <w:r w:rsidRPr="0025250D">
        <w:rPr>
          <w:rFonts w:hint="cs"/>
          <w:rtl/>
        </w:rPr>
        <w:t>ی</w:t>
      </w:r>
      <w:r w:rsidRPr="0025250D">
        <w:rPr>
          <w:rFonts w:hint="eastAsia"/>
          <w:rtl/>
        </w:rPr>
        <w:t>،</w:t>
      </w:r>
      <w:r w:rsidRPr="0025250D">
        <w:rPr>
          <w:rtl/>
        </w:rPr>
        <w:t xml:space="preserve"> </w:t>
      </w:r>
      <w:r w:rsidR="00B124DE" w:rsidRPr="0025250D">
        <w:rPr>
          <w:rtl/>
        </w:rPr>
        <w:t>برنامه‌ریزی</w:t>
      </w:r>
      <w:r w:rsidRPr="0025250D">
        <w:rPr>
          <w:rtl/>
        </w:rPr>
        <w:t xml:space="preserve"> و اقدام ضد چرخه ا</w:t>
      </w:r>
      <w:r w:rsidRPr="0025250D">
        <w:rPr>
          <w:rFonts w:hint="cs"/>
          <w:rtl/>
        </w:rPr>
        <w:t>ی</w:t>
      </w:r>
      <w:r w:rsidRPr="0025250D">
        <w:rPr>
          <w:rtl/>
        </w:rPr>
        <w:t>. برا</w:t>
      </w:r>
      <w:r w:rsidRPr="0025250D">
        <w:rPr>
          <w:rFonts w:hint="cs"/>
          <w:rtl/>
        </w:rPr>
        <w:t>ی</w:t>
      </w:r>
      <w:r w:rsidRPr="0025250D">
        <w:rPr>
          <w:rtl/>
        </w:rPr>
        <w:t xml:space="preserve"> سازمان ها</w:t>
      </w:r>
      <w:r w:rsidRPr="0025250D">
        <w:rPr>
          <w:rFonts w:hint="cs"/>
          <w:rtl/>
        </w:rPr>
        <w:t>یی</w:t>
      </w:r>
      <w:r w:rsidRPr="0025250D">
        <w:rPr>
          <w:rtl/>
        </w:rPr>
        <w:t xml:space="preserve"> که چرخه </w:t>
      </w:r>
      <w:r w:rsidR="00B124DE" w:rsidRPr="0025250D">
        <w:rPr>
          <w:rtl/>
        </w:rPr>
        <w:t>کسب‌و‌کار</w:t>
      </w:r>
      <w:r w:rsidRPr="0025250D">
        <w:rPr>
          <w:rtl/>
        </w:rPr>
        <w:t xml:space="preserve"> را م</w:t>
      </w:r>
      <w:r w:rsidRPr="0025250D">
        <w:rPr>
          <w:rFonts w:hint="cs"/>
          <w:rtl/>
        </w:rPr>
        <w:t>ی</w:t>
      </w:r>
      <w:r w:rsidRPr="0025250D">
        <w:rPr>
          <w:rtl/>
        </w:rPr>
        <w:t xml:space="preserve"> ب</w:t>
      </w:r>
      <w:r w:rsidRPr="0025250D">
        <w:rPr>
          <w:rFonts w:hint="cs"/>
          <w:rtl/>
        </w:rPr>
        <w:t>ی</w:t>
      </w:r>
      <w:r w:rsidRPr="0025250D">
        <w:rPr>
          <w:rFonts w:hint="eastAsia"/>
          <w:rtl/>
        </w:rPr>
        <w:t>نند</w:t>
      </w:r>
      <w:r w:rsidRPr="0025250D">
        <w:rPr>
          <w:rtl/>
        </w:rPr>
        <w:t xml:space="preserve"> و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م</w:t>
      </w:r>
      <w:r w:rsidRPr="0025250D">
        <w:rPr>
          <w:rFonts w:hint="cs"/>
          <w:rtl/>
        </w:rPr>
        <w:t>ی</w:t>
      </w:r>
      <w:r w:rsidRPr="0025250D">
        <w:rPr>
          <w:rtl/>
        </w:rPr>
        <w:t xml:space="preserve"> کنند، م</w:t>
      </w:r>
      <w:r w:rsidRPr="0025250D">
        <w:rPr>
          <w:rFonts w:hint="cs"/>
          <w:rtl/>
        </w:rPr>
        <w:t>ی</w:t>
      </w:r>
      <w:r w:rsidRPr="0025250D">
        <w:rPr>
          <w:rtl/>
        </w:rPr>
        <w:t xml:space="preserve"> تواند مز</w:t>
      </w:r>
      <w:r w:rsidRPr="0025250D">
        <w:rPr>
          <w:rFonts w:hint="cs"/>
          <w:rtl/>
        </w:rPr>
        <w:t>ی</w:t>
      </w:r>
      <w:r w:rsidRPr="0025250D">
        <w:rPr>
          <w:rFonts w:hint="eastAsia"/>
          <w:rtl/>
        </w:rPr>
        <w:t>ت</w:t>
      </w:r>
      <w:r w:rsidRPr="0025250D">
        <w:rPr>
          <w:rtl/>
        </w:rPr>
        <w:t xml:space="preserve"> ها</w:t>
      </w:r>
      <w:r w:rsidRPr="0025250D">
        <w:rPr>
          <w:rFonts w:hint="cs"/>
          <w:rtl/>
        </w:rPr>
        <w:t>ی</w:t>
      </w:r>
      <w:r w:rsidRPr="0025250D">
        <w:rPr>
          <w:rtl/>
        </w:rPr>
        <w:t xml:space="preserve"> رقابت</w:t>
      </w:r>
      <w:r w:rsidRPr="0025250D">
        <w:rPr>
          <w:rFonts w:hint="cs"/>
          <w:rtl/>
        </w:rPr>
        <w:t>ی</w:t>
      </w:r>
      <w:r w:rsidRPr="0025250D">
        <w:rPr>
          <w:rtl/>
        </w:rPr>
        <w:t xml:space="preserve"> بزرگ</w:t>
      </w:r>
      <w:r w:rsidRPr="0025250D">
        <w:rPr>
          <w:rFonts w:hint="cs"/>
          <w:rtl/>
        </w:rPr>
        <w:t>ی</w:t>
      </w:r>
      <w:r w:rsidRPr="0025250D">
        <w:rPr>
          <w:rtl/>
        </w:rPr>
        <w:t xml:space="preserve"> داشته باشد. برا</w:t>
      </w:r>
      <w:r w:rsidRPr="0025250D">
        <w:rPr>
          <w:rFonts w:hint="cs"/>
          <w:rtl/>
        </w:rPr>
        <w:t>ی</w:t>
      </w:r>
      <w:r w:rsidRPr="0025250D">
        <w:rPr>
          <w:rtl/>
        </w:rPr>
        <w:t xml:space="preserve"> انجام ا</w:t>
      </w:r>
      <w:r w:rsidRPr="0025250D">
        <w:rPr>
          <w:rFonts w:hint="cs"/>
          <w:rtl/>
        </w:rPr>
        <w:t>ی</w:t>
      </w:r>
      <w:r w:rsidRPr="0025250D">
        <w:rPr>
          <w:rFonts w:hint="eastAsia"/>
          <w:rtl/>
        </w:rPr>
        <w:t>ن</w:t>
      </w:r>
      <w:r w:rsidRPr="0025250D">
        <w:rPr>
          <w:rtl/>
        </w:rPr>
        <w:t xml:space="preserve"> کار، آنها با</w:t>
      </w:r>
      <w:r w:rsidRPr="0025250D">
        <w:rPr>
          <w:rFonts w:hint="cs"/>
          <w:rtl/>
        </w:rPr>
        <w:t>ی</w:t>
      </w:r>
      <w:r w:rsidRPr="0025250D">
        <w:rPr>
          <w:rFonts w:hint="eastAsia"/>
          <w:rtl/>
        </w:rPr>
        <w:t>د</w:t>
      </w:r>
      <w:r w:rsidRPr="0025250D">
        <w:rPr>
          <w:rtl/>
        </w:rPr>
        <w:t xml:space="preserve"> به طور دوره ا</w:t>
      </w:r>
      <w:r w:rsidRPr="0025250D">
        <w:rPr>
          <w:rFonts w:hint="cs"/>
          <w:rtl/>
        </w:rPr>
        <w:t>ی</w:t>
      </w:r>
      <w:r w:rsidRPr="0025250D">
        <w:rPr>
          <w:rtl/>
        </w:rPr>
        <w:t xml:space="preserve"> </w:t>
      </w:r>
      <w:r w:rsidRPr="0025250D">
        <w:rPr>
          <w:rFonts w:hint="cs"/>
          <w:rtl/>
        </w:rPr>
        <w:t>ی</w:t>
      </w:r>
      <w:r w:rsidRPr="0025250D">
        <w:rPr>
          <w:rFonts w:hint="eastAsia"/>
          <w:rtl/>
        </w:rPr>
        <w:t>ک</w:t>
      </w:r>
      <w:r w:rsidRPr="0025250D">
        <w:rPr>
          <w:rtl/>
        </w:rPr>
        <w:t xml:space="preserve"> د</w:t>
      </w:r>
      <w:r w:rsidRPr="0025250D">
        <w:rPr>
          <w:rFonts w:hint="cs"/>
          <w:rtl/>
        </w:rPr>
        <w:t>ی</w:t>
      </w:r>
      <w:r w:rsidRPr="0025250D">
        <w:rPr>
          <w:rFonts w:hint="eastAsia"/>
          <w:rtl/>
        </w:rPr>
        <w:t>دگاه</w:t>
      </w:r>
      <w:r w:rsidRPr="0025250D">
        <w:rPr>
          <w:rtl/>
        </w:rPr>
        <w:t xml:space="preserve"> م</w:t>
      </w:r>
      <w:r w:rsidRPr="0025250D">
        <w:rPr>
          <w:rFonts w:hint="cs"/>
          <w:rtl/>
        </w:rPr>
        <w:t>ی</w:t>
      </w:r>
      <w:r w:rsidRPr="0025250D">
        <w:rPr>
          <w:rFonts w:hint="eastAsia"/>
          <w:rtl/>
        </w:rPr>
        <w:t>ان</w:t>
      </w:r>
      <w:r w:rsidRPr="0025250D">
        <w:rPr>
          <w:rtl/>
        </w:rPr>
        <w:t xml:space="preserve"> مدت و بلند مدت داشته باشند. ا</w:t>
      </w:r>
      <w:r w:rsidRPr="0025250D">
        <w:rPr>
          <w:rFonts w:hint="cs"/>
          <w:rtl/>
        </w:rPr>
        <w:t>ی</w:t>
      </w:r>
      <w:r w:rsidRPr="0025250D">
        <w:rPr>
          <w:rFonts w:hint="eastAsia"/>
          <w:rtl/>
        </w:rPr>
        <w:t>ن</w:t>
      </w:r>
      <w:r w:rsidRPr="0025250D">
        <w:rPr>
          <w:rtl/>
        </w:rPr>
        <w:t xml:space="preserve"> همان ناوارو است که مشاور تجار</w:t>
      </w:r>
      <w:r w:rsidRPr="0025250D">
        <w:rPr>
          <w:rFonts w:hint="cs"/>
          <w:rtl/>
        </w:rPr>
        <w:t>ی</w:t>
      </w:r>
      <w:r w:rsidRPr="0025250D">
        <w:rPr>
          <w:rtl/>
        </w:rPr>
        <w:t xml:space="preserve"> انزواطلب دونالد ترامپ رئ</w:t>
      </w:r>
      <w:r w:rsidRPr="0025250D">
        <w:rPr>
          <w:rFonts w:hint="cs"/>
          <w:rtl/>
        </w:rPr>
        <w:t>ی</w:t>
      </w:r>
      <w:r w:rsidRPr="0025250D">
        <w:rPr>
          <w:rFonts w:hint="eastAsia"/>
          <w:rtl/>
        </w:rPr>
        <w:t>س</w:t>
      </w:r>
      <w:r w:rsidRPr="0025250D">
        <w:rPr>
          <w:rtl/>
        </w:rPr>
        <w:t xml:space="preserve"> جمهور آمر</w:t>
      </w:r>
      <w:r w:rsidRPr="0025250D">
        <w:rPr>
          <w:rFonts w:hint="cs"/>
          <w:rtl/>
        </w:rPr>
        <w:t>ی</w:t>
      </w:r>
      <w:r w:rsidRPr="0025250D">
        <w:rPr>
          <w:rFonts w:hint="eastAsia"/>
          <w:rtl/>
        </w:rPr>
        <w:t>کا</w:t>
      </w:r>
      <w:r w:rsidRPr="0025250D">
        <w:rPr>
          <w:rtl/>
        </w:rPr>
        <w:t xml:space="preserve"> بود. س</w:t>
      </w:r>
      <w:r w:rsidRPr="0025250D">
        <w:rPr>
          <w:rFonts w:hint="cs"/>
          <w:rtl/>
        </w:rPr>
        <w:t>ی</w:t>
      </w:r>
      <w:r w:rsidRPr="0025250D">
        <w:rPr>
          <w:rFonts w:hint="eastAsia"/>
          <w:rtl/>
        </w:rPr>
        <w:t>است</w:t>
      </w:r>
      <w:r w:rsidRPr="0025250D">
        <w:rPr>
          <w:rtl/>
        </w:rPr>
        <w:t xml:space="preserve"> بوم</w:t>
      </w:r>
      <w:r w:rsidRPr="0025250D">
        <w:rPr>
          <w:rFonts w:hint="cs"/>
          <w:rtl/>
        </w:rPr>
        <w:t>ی</w:t>
      </w:r>
      <w:r w:rsidRPr="0025250D">
        <w:rPr>
          <w:rtl/>
        </w:rPr>
        <w:t xml:space="preserve"> گرا</w:t>
      </w:r>
      <w:r w:rsidRPr="0025250D">
        <w:rPr>
          <w:rFonts w:hint="cs"/>
          <w:rtl/>
        </w:rPr>
        <w:t>ی</w:t>
      </w:r>
      <w:r w:rsidRPr="0025250D">
        <w:rPr>
          <w:rtl/>
        </w:rPr>
        <w:t xml:space="preserve"> ناوارو را ناد</w:t>
      </w:r>
      <w:r w:rsidRPr="0025250D">
        <w:rPr>
          <w:rFonts w:hint="cs"/>
          <w:rtl/>
        </w:rPr>
        <w:t>ی</w:t>
      </w:r>
      <w:r w:rsidRPr="0025250D">
        <w:rPr>
          <w:rFonts w:hint="eastAsia"/>
          <w:rtl/>
        </w:rPr>
        <w:t>ده</w:t>
      </w:r>
      <w:r w:rsidRPr="0025250D">
        <w:rPr>
          <w:rtl/>
        </w:rPr>
        <w:t xml:space="preserve"> بگ</w:t>
      </w:r>
      <w:r w:rsidRPr="0025250D">
        <w:rPr>
          <w:rFonts w:hint="cs"/>
          <w:rtl/>
        </w:rPr>
        <w:t>ی</w:t>
      </w:r>
      <w:r w:rsidRPr="0025250D">
        <w:rPr>
          <w:rFonts w:hint="eastAsia"/>
          <w:rtl/>
        </w:rPr>
        <w:t>ر</w:t>
      </w:r>
      <w:r w:rsidRPr="0025250D">
        <w:rPr>
          <w:rFonts w:hint="cs"/>
          <w:rtl/>
        </w:rPr>
        <w:t>ی</w:t>
      </w:r>
      <w:r w:rsidRPr="0025250D">
        <w:rPr>
          <w:rFonts w:hint="eastAsia"/>
          <w:rtl/>
        </w:rPr>
        <w:t>د</w:t>
      </w:r>
      <w:r w:rsidRPr="0025250D">
        <w:rPr>
          <w:rtl/>
        </w:rPr>
        <w:t xml:space="preserve"> و از او در مورد ا</w:t>
      </w:r>
      <w:r w:rsidRPr="0025250D">
        <w:rPr>
          <w:rFonts w:hint="cs"/>
          <w:rtl/>
        </w:rPr>
        <w:t>ی</w:t>
      </w:r>
      <w:r w:rsidRPr="0025250D">
        <w:rPr>
          <w:rFonts w:hint="eastAsia"/>
          <w:rtl/>
        </w:rPr>
        <w:t>ن</w:t>
      </w:r>
      <w:r w:rsidRPr="0025250D">
        <w:rPr>
          <w:rtl/>
        </w:rPr>
        <w:t xml:space="preserve"> موضوع ب</w:t>
      </w:r>
      <w:r w:rsidRPr="0025250D">
        <w:rPr>
          <w:rFonts w:hint="cs"/>
          <w:rtl/>
        </w:rPr>
        <w:t>ی</w:t>
      </w:r>
      <w:r w:rsidRPr="0025250D">
        <w:rPr>
          <w:rFonts w:hint="eastAsia"/>
          <w:rtl/>
        </w:rPr>
        <w:t>اموز</w:t>
      </w:r>
      <w:r w:rsidRPr="0025250D">
        <w:rPr>
          <w:rFonts w:hint="cs"/>
          <w:rtl/>
        </w:rPr>
        <w:t>ی</w:t>
      </w:r>
      <w:r w:rsidRPr="0025250D">
        <w:rPr>
          <w:rFonts w:hint="eastAsia"/>
          <w:rtl/>
        </w:rPr>
        <w:t>د</w:t>
      </w:r>
      <w:r w:rsidRPr="0025250D">
        <w:rPr>
          <w:rtl/>
        </w:rPr>
        <w:t>.</w:t>
      </w:r>
    </w:p>
    <w:p w14:paraId="42FC0909" w14:textId="30B56282" w:rsidR="0037616D" w:rsidRPr="0025250D" w:rsidRDefault="0037616D" w:rsidP="00492C47">
      <w:pPr>
        <w:numPr>
          <w:ilvl w:val="0"/>
          <w:numId w:val="80"/>
        </w:numPr>
      </w:pPr>
      <w:r w:rsidRPr="0025250D">
        <w:rPr>
          <w:rFonts w:hint="cs"/>
          <w:rtl/>
        </w:rPr>
        <w:t xml:space="preserve"> </w:t>
      </w:r>
      <w:r w:rsidRPr="0025250D">
        <w:rPr>
          <w:rtl/>
        </w:rPr>
        <w:t>تار</w:t>
      </w:r>
      <w:r w:rsidRPr="0025250D">
        <w:rPr>
          <w:rFonts w:hint="cs"/>
          <w:rtl/>
        </w:rPr>
        <w:t>ی</w:t>
      </w:r>
      <w:r w:rsidRPr="0025250D">
        <w:rPr>
          <w:rFonts w:hint="eastAsia"/>
          <w:rtl/>
        </w:rPr>
        <w:t>خ</w:t>
      </w:r>
      <w:r w:rsidRPr="0025250D">
        <w:rPr>
          <w:rtl/>
        </w:rPr>
        <w:t xml:space="preserve"> مجاز</w:t>
      </w:r>
      <w:r w:rsidRPr="0025250D">
        <w:rPr>
          <w:rFonts w:hint="cs"/>
          <w:rtl/>
        </w:rPr>
        <w:t>ی</w:t>
      </w:r>
      <w:r w:rsidRPr="0025250D">
        <w:rPr>
          <w:rtl/>
        </w:rPr>
        <w:t xml:space="preserve">: </w:t>
      </w:r>
      <w:r w:rsidRPr="0025250D">
        <w:rPr>
          <w:rFonts w:hint="cs"/>
          <w:rtl/>
        </w:rPr>
        <w:t>بدیل</w:t>
      </w:r>
      <w:r w:rsidRPr="0025250D">
        <w:rPr>
          <w:rtl/>
        </w:rPr>
        <w:t xml:space="preserve"> ها و موارد </w:t>
      </w:r>
      <w:r w:rsidRPr="0025250D">
        <w:rPr>
          <w:rFonts w:hint="cs"/>
          <w:rtl/>
        </w:rPr>
        <w:t>خلاف واقع</w:t>
      </w:r>
      <w:r w:rsidRPr="0025250D">
        <w:rPr>
          <w:rtl/>
        </w:rPr>
        <w:t>، نا</w:t>
      </w:r>
      <w:r w:rsidRPr="0025250D">
        <w:rPr>
          <w:rFonts w:hint="cs"/>
          <w:rtl/>
        </w:rPr>
        <w:t>ی</w:t>
      </w:r>
      <w:r w:rsidRPr="0025250D">
        <w:rPr>
          <w:rFonts w:hint="eastAsia"/>
          <w:rtl/>
        </w:rPr>
        <w:t>ل</w:t>
      </w:r>
      <w:r w:rsidRPr="0025250D">
        <w:rPr>
          <w:rtl/>
        </w:rPr>
        <w:t xml:space="preserve"> فرگوسن</w:t>
      </w:r>
      <w:r w:rsidRPr="0025250D">
        <w:rPr>
          <w:vertAlign w:val="superscript"/>
          <w:rtl/>
        </w:rPr>
        <w:footnoteReference w:id="3428"/>
      </w:r>
      <w:r w:rsidRPr="0025250D">
        <w:rPr>
          <w:rtl/>
        </w:rPr>
        <w:t>، 2000</w:t>
      </w:r>
      <w:r w:rsidRPr="0025250D">
        <w:rPr>
          <w:rFonts w:hint="cs"/>
          <w:rtl/>
        </w:rPr>
        <w:t xml:space="preserve">. </w:t>
      </w:r>
      <w:r w:rsidRPr="0025250D">
        <w:rPr>
          <w:rtl/>
        </w:rPr>
        <w:t xml:space="preserve">مقدمه خوب، توسط </w:t>
      </w:r>
      <w:r w:rsidRPr="0025250D">
        <w:rPr>
          <w:rFonts w:hint="cs"/>
          <w:rtl/>
        </w:rPr>
        <w:t>ی</w:t>
      </w:r>
      <w:r w:rsidRPr="0025250D">
        <w:rPr>
          <w:rFonts w:hint="eastAsia"/>
          <w:rtl/>
        </w:rPr>
        <w:t>ک</w:t>
      </w:r>
      <w:r w:rsidRPr="0025250D">
        <w:rPr>
          <w:rtl/>
        </w:rPr>
        <w:t xml:space="preserve"> مورخ برجسته، برا</w:t>
      </w:r>
      <w:r w:rsidRPr="0025250D">
        <w:rPr>
          <w:rFonts w:hint="cs"/>
          <w:rtl/>
        </w:rPr>
        <w:t>ی</w:t>
      </w:r>
      <w:r w:rsidRPr="0025250D">
        <w:rPr>
          <w:rtl/>
        </w:rPr>
        <w:t xml:space="preserve"> تفکر </w:t>
      </w:r>
      <w:r w:rsidRPr="0025250D">
        <w:rPr>
          <w:rFonts w:hint="cs"/>
          <w:rtl/>
        </w:rPr>
        <w:t xml:space="preserve">در </w:t>
      </w:r>
      <w:r w:rsidR="00E3750D" w:rsidRPr="0025250D">
        <w:rPr>
          <w:rFonts w:hint="cs"/>
          <w:rtl/>
        </w:rPr>
        <w:t xml:space="preserve">خصوص </w:t>
      </w:r>
      <w:r w:rsidRPr="0025250D">
        <w:rPr>
          <w:rFonts w:hint="cs"/>
          <w:rtl/>
        </w:rPr>
        <w:t xml:space="preserve">موارد </w:t>
      </w:r>
      <w:r w:rsidRPr="0025250D">
        <w:rPr>
          <w:rtl/>
        </w:rPr>
        <w:t>خلاف واقع در مورد تار</w:t>
      </w:r>
      <w:r w:rsidRPr="0025250D">
        <w:rPr>
          <w:rFonts w:hint="cs"/>
          <w:rtl/>
        </w:rPr>
        <w:t>ی</w:t>
      </w:r>
      <w:r w:rsidRPr="0025250D">
        <w:rPr>
          <w:rFonts w:hint="eastAsia"/>
          <w:rtl/>
        </w:rPr>
        <w:t>خ</w:t>
      </w:r>
      <w:r w:rsidRPr="0025250D">
        <w:rPr>
          <w:rtl/>
        </w:rPr>
        <w:t xml:space="preserve"> هر </w:t>
      </w:r>
      <w:r w:rsidR="008D6F97" w:rsidRPr="0025250D">
        <w:rPr>
          <w:rtl/>
        </w:rPr>
        <w:t>سامانه‌</w:t>
      </w:r>
      <w:r w:rsidRPr="0025250D">
        <w:rPr>
          <w:rtl/>
        </w:rPr>
        <w:t xml:space="preserve"> (جامعه، سازمان، ت</w:t>
      </w:r>
      <w:r w:rsidRPr="0025250D">
        <w:rPr>
          <w:rFonts w:hint="cs"/>
          <w:rtl/>
        </w:rPr>
        <w:t>ی</w:t>
      </w:r>
      <w:r w:rsidRPr="0025250D">
        <w:rPr>
          <w:rFonts w:hint="eastAsia"/>
          <w:rtl/>
        </w:rPr>
        <w:t>م</w:t>
      </w:r>
      <w:r w:rsidRPr="0025250D">
        <w:rPr>
          <w:rtl/>
        </w:rPr>
        <w:t xml:space="preserve">). موارد خلاف واقع را به عنوان </w:t>
      </w:r>
      <w:r w:rsidRPr="0025250D">
        <w:rPr>
          <w:rFonts w:hint="cs"/>
          <w:rtl/>
        </w:rPr>
        <w:t>ی</w:t>
      </w:r>
      <w:r w:rsidRPr="0025250D">
        <w:rPr>
          <w:rFonts w:hint="eastAsia"/>
          <w:rtl/>
        </w:rPr>
        <w:t>ک</w:t>
      </w:r>
      <w:r w:rsidRPr="0025250D">
        <w:rPr>
          <w:rtl/>
        </w:rPr>
        <w:t xml:space="preserve"> </w:t>
      </w:r>
      <w:r w:rsidR="00D92F6E" w:rsidRPr="0025250D">
        <w:rPr>
          <w:rtl/>
        </w:rPr>
        <w:t>آینده‌نگاری</w:t>
      </w:r>
      <w:r w:rsidRPr="0025250D">
        <w:rPr>
          <w:rtl/>
        </w:rPr>
        <w:t xml:space="preserve"> عم</w:t>
      </w:r>
      <w:r w:rsidRPr="0025250D">
        <w:rPr>
          <w:rFonts w:hint="cs"/>
          <w:rtl/>
        </w:rPr>
        <w:t>ی</w:t>
      </w:r>
      <w:r w:rsidRPr="0025250D">
        <w:rPr>
          <w:rFonts w:hint="eastAsia"/>
          <w:rtl/>
        </w:rPr>
        <w:t>ق،</w:t>
      </w:r>
      <w:r w:rsidRPr="0025250D">
        <w:rPr>
          <w:rtl/>
        </w:rPr>
        <w:t xml:space="preserve"> شکل</w:t>
      </w:r>
      <w:r w:rsidRPr="0025250D">
        <w:rPr>
          <w:rFonts w:hint="cs"/>
          <w:rtl/>
        </w:rPr>
        <w:t>ی</w:t>
      </w:r>
      <w:r w:rsidRPr="0025250D">
        <w:rPr>
          <w:rtl/>
        </w:rPr>
        <w:t xml:space="preserve"> از </w:t>
      </w:r>
      <w:r w:rsidRPr="0025250D">
        <w:rPr>
          <w:rFonts w:hint="cs"/>
          <w:rtl/>
        </w:rPr>
        <w:t>ی</w:t>
      </w:r>
      <w:r w:rsidRPr="0025250D">
        <w:rPr>
          <w:rFonts w:hint="eastAsia"/>
          <w:rtl/>
        </w:rPr>
        <w:t>ادگ</w:t>
      </w:r>
      <w:r w:rsidRPr="0025250D">
        <w:rPr>
          <w:rFonts w:hint="cs"/>
          <w:rtl/>
        </w:rPr>
        <w:t>ی</w:t>
      </w:r>
      <w:r w:rsidRPr="0025250D">
        <w:rPr>
          <w:rFonts w:hint="eastAsia"/>
          <w:rtl/>
        </w:rPr>
        <w:t>ر</w:t>
      </w:r>
      <w:r w:rsidRPr="0025250D">
        <w:rPr>
          <w:rFonts w:hint="cs"/>
          <w:rtl/>
        </w:rPr>
        <w:t>ی</w:t>
      </w:r>
      <w:r w:rsidRPr="0025250D">
        <w:rPr>
          <w:rtl/>
        </w:rPr>
        <w:t xml:space="preserve"> که آمادگ</w:t>
      </w:r>
      <w:r w:rsidRPr="0025250D">
        <w:rPr>
          <w:rFonts w:hint="cs"/>
          <w:rtl/>
        </w:rPr>
        <w:t>ی</w:t>
      </w:r>
      <w:r w:rsidRPr="0025250D">
        <w:rPr>
          <w:rtl/>
        </w:rPr>
        <w:t xml:space="preserve"> عال</w:t>
      </w:r>
      <w:r w:rsidRPr="0025250D">
        <w:rPr>
          <w:rFonts w:hint="cs"/>
          <w:rtl/>
        </w:rPr>
        <w:t>ی</w:t>
      </w:r>
      <w:r w:rsidRPr="0025250D">
        <w:rPr>
          <w:rtl/>
        </w:rPr>
        <w:t xml:space="preserve"> برا</w:t>
      </w:r>
      <w:r w:rsidRPr="0025250D">
        <w:rPr>
          <w:rFonts w:hint="cs"/>
          <w:rtl/>
        </w:rPr>
        <w:t>ی</w:t>
      </w:r>
      <w:r w:rsidRPr="0025250D">
        <w:rPr>
          <w:rtl/>
        </w:rPr>
        <w:t xml:space="preserve"> </w:t>
      </w:r>
      <w:r w:rsidR="00D92F6E" w:rsidRPr="0025250D">
        <w:rPr>
          <w:rtl/>
        </w:rPr>
        <w:t>آینده‌نگاری</w:t>
      </w:r>
      <w:r w:rsidRPr="0025250D">
        <w:rPr>
          <w:rtl/>
        </w:rPr>
        <w:t xml:space="preserve"> م</w:t>
      </w:r>
      <w:r w:rsidRPr="0025250D">
        <w:rPr>
          <w:rFonts w:hint="cs"/>
          <w:rtl/>
        </w:rPr>
        <w:t>ی</w:t>
      </w:r>
      <w:r w:rsidRPr="0025250D">
        <w:rPr>
          <w:rFonts w:hint="eastAsia"/>
          <w:rtl/>
        </w:rPr>
        <w:t>ان</w:t>
      </w:r>
      <w:r w:rsidRPr="0025250D">
        <w:rPr>
          <w:rtl/>
        </w:rPr>
        <w:t xml:space="preserve"> مدت و بلند مدت</w:t>
      </w:r>
      <w:r w:rsidRPr="0025250D">
        <w:rPr>
          <w:rFonts w:hint="cs"/>
          <w:rtl/>
        </w:rPr>
        <w:t xml:space="preserve"> فراهم می کند، </w:t>
      </w:r>
      <w:r w:rsidRPr="0025250D">
        <w:rPr>
          <w:rtl/>
        </w:rPr>
        <w:t>در نظر بگ</w:t>
      </w:r>
      <w:r w:rsidRPr="0025250D">
        <w:rPr>
          <w:rFonts w:hint="cs"/>
          <w:rtl/>
        </w:rPr>
        <w:t>ی</w:t>
      </w:r>
      <w:r w:rsidRPr="0025250D">
        <w:rPr>
          <w:rFonts w:hint="eastAsia"/>
          <w:rtl/>
        </w:rPr>
        <w:t>ر</w:t>
      </w:r>
      <w:r w:rsidRPr="0025250D">
        <w:rPr>
          <w:rFonts w:hint="cs"/>
          <w:rtl/>
        </w:rPr>
        <w:t>ی</w:t>
      </w:r>
      <w:r w:rsidRPr="0025250D">
        <w:rPr>
          <w:rFonts w:hint="eastAsia"/>
          <w:rtl/>
        </w:rPr>
        <w:t>د</w:t>
      </w:r>
      <w:r w:rsidRPr="0025250D">
        <w:rPr>
          <w:rtl/>
        </w:rPr>
        <w:t>. زمان</w:t>
      </w:r>
      <w:r w:rsidRPr="0025250D">
        <w:rPr>
          <w:rFonts w:hint="cs"/>
          <w:rtl/>
        </w:rPr>
        <w:t>ی</w:t>
      </w:r>
      <w:r w:rsidRPr="0025250D">
        <w:rPr>
          <w:rtl/>
        </w:rPr>
        <w:t xml:space="preserve"> وجود دارد که نشخوار فکر</w:t>
      </w:r>
      <w:r w:rsidRPr="0025250D">
        <w:rPr>
          <w:rFonts w:hint="cs"/>
          <w:rtl/>
        </w:rPr>
        <w:t>ی</w:t>
      </w:r>
      <w:r w:rsidRPr="0025250D">
        <w:rPr>
          <w:rtl/>
        </w:rPr>
        <w:t xml:space="preserve"> به نت</w:t>
      </w:r>
      <w:r w:rsidRPr="0025250D">
        <w:rPr>
          <w:rFonts w:hint="cs"/>
          <w:rtl/>
        </w:rPr>
        <w:t>ی</w:t>
      </w:r>
      <w:r w:rsidRPr="0025250D">
        <w:rPr>
          <w:rFonts w:hint="eastAsia"/>
          <w:rtl/>
        </w:rPr>
        <w:t>جه</w:t>
      </w:r>
      <w:r w:rsidRPr="0025250D">
        <w:rPr>
          <w:rtl/>
        </w:rPr>
        <w:t xml:space="preserve"> معکوس تبد</w:t>
      </w:r>
      <w:r w:rsidRPr="0025250D">
        <w:rPr>
          <w:rFonts w:hint="cs"/>
          <w:rtl/>
        </w:rPr>
        <w:t>ی</w:t>
      </w:r>
      <w:r w:rsidRPr="0025250D">
        <w:rPr>
          <w:rFonts w:hint="eastAsia"/>
          <w:rtl/>
        </w:rPr>
        <w:t>ل</w:t>
      </w:r>
      <w:r w:rsidRPr="0025250D">
        <w:rPr>
          <w:rtl/>
        </w:rPr>
        <w:t xml:space="preserve"> م</w:t>
      </w:r>
      <w:r w:rsidRPr="0025250D">
        <w:rPr>
          <w:rFonts w:hint="cs"/>
          <w:rtl/>
        </w:rPr>
        <w:t>ی</w:t>
      </w:r>
      <w:r w:rsidRPr="0025250D">
        <w:rPr>
          <w:rtl/>
        </w:rPr>
        <w:t xml:space="preserve"> شود، اما د</w:t>
      </w:r>
      <w:r w:rsidRPr="0025250D">
        <w:rPr>
          <w:rFonts w:hint="cs"/>
          <w:rtl/>
        </w:rPr>
        <w:t>ی</w:t>
      </w:r>
      <w:r w:rsidRPr="0025250D">
        <w:rPr>
          <w:rFonts w:hint="eastAsia"/>
          <w:rtl/>
        </w:rPr>
        <w:t>دن</w:t>
      </w:r>
      <w:r w:rsidRPr="0025250D">
        <w:rPr>
          <w:rtl/>
        </w:rPr>
        <w:t xml:space="preserve"> فرصت ها</w:t>
      </w:r>
      <w:r w:rsidRPr="0025250D">
        <w:rPr>
          <w:rFonts w:hint="cs"/>
          <w:rtl/>
        </w:rPr>
        <w:t>ی</w:t>
      </w:r>
      <w:r w:rsidRPr="0025250D">
        <w:rPr>
          <w:rtl/>
        </w:rPr>
        <w:t xml:space="preserve"> پ</w:t>
      </w:r>
      <w:r w:rsidRPr="0025250D">
        <w:rPr>
          <w:rFonts w:hint="cs"/>
          <w:rtl/>
        </w:rPr>
        <w:t>ی</w:t>
      </w:r>
      <w:r w:rsidRPr="0025250D">
        <w:rPr>
          <w:rFonts w:hint="eastAsia"/>
          <w:rtl/>
        </w:rPr>
        <w:t>شرفت</w:t>
      </w:r>
      <w:r w:rsidRPr="0025250D">
        <w:rPr>
          <w:rtl/>
        </w:rPr>
        <w:t xml:space="preserve"> از دست رفته (چگونه م</w:t>
      </w:r>
      <w:r w:rsidRPr="0025250D">
        <w:rPr>
          <w:rFonts w:hint="cs"/>
          <w:rtl/>
        </w:rPr>
        <w:t>ی</w:t>
      </w:r>
      <w:r w:rsidRPr="0025250D">
        <w:rPr>
          <w:rtl/>
        </w:rPr>
        <w:t xml:space="preserve"> توانست</w:t>
      </w:r>
      <w:r w:rsidRPr="0025250D">
        <w:rPr>
          <w:rFonts w:hint="cs"/>
          <w:rtl/>
        </w:rPr>
        <w:t>ی</w:t>
      </w:r>
      <w:r w:rsidRPr="0025250D">
        <w:rPr>
          <w:rFonts w:hint="eastAsia"/>
          <w:rtl/>
        </w:rPr>
        <w:t>م</w:t>
      </w:r>
      <w:r w:rsidRPr="0025250D">
        <w:rPr>
          <w:rtl/>
        </w:rPr>
        <w:t xml:space="preserve"> کارها را بهتر انجام ده</w:t>
      </w:r>
      <w:r w:rsidRPr="0025250D">
        <w:rPr>
          <w:rFonts w:hint="cs"/>
          <w:rtl/>
        </w:rPr>
        <w:t>ی</w:t>
      </w:r>
      <w:r w:rsidRPr="0025250D">
        <w:rPr>
          <w:rFonts w:hint="eastAsia"/>
          <w:rtl/>
        </w:rPr>
        <w:t>م</w:t>
      </w:r>
      <w:r w:rsidRPr="0025250D">
        <w:rPr>
          <w:rtl/>
        </w:rPr>
        <w:t>) م</w:t>
      </w:r>
      <w:r w:rsidRPr="0025250D">
        <w:rPr>
          <w:rFonts w:hint="cs"/>
          <w:rtl/>
        </w:rPr>
        <w:t>ی</w:t>
      </w:r>
      <w:r w:rsidRPr="0025250D">
        <w:rPr>
          <w:rtl/>
        </w:rPr>
        <w:t xml:space="preserve"> تواند بس</w:t>
      </w:r>
      <w:r w:rsidRPr="0025250D">
        <w:rPr>
          <w:rFonts w:hint="cs"/>
          <w:rtl/>
        </w:rPr>
        <w:t>ی</w:t>
      </w:r>
      <w:r w:rsidRPr="0025250D">
        <w:rPr>
          <w:rFonts w:hint="eastAsia"/>
          <w:rtl/>
        </w:rPr>
        <w:t>ار</w:t>
      </w:r>
      <w:r w:rsidRPr="0025250D">
        <w:rPr>
          <w:rtl/>
        </w:rPr>
        <w:t xml:space="preserve"> سازنده باشد. </w:t>
      </w:r>
      <w:r w:rsidR="007118DE" w:rsidRPr="0025250D">
        <w:rPr>
          <w:rtl/>
        </w:rPr>
        <w:t>همان‌طور</w:t>
      </w:r>
      <w:r w:rsidRPr="0025250D">
        <w:rPr>
          <w:rtl/>
        </w:rPr>
        <w:t xml:space="preserve"> که ضرب المثل قد</w:t>
      </w:r>
      <w:r w:rsidRPr="0025250D">
        <w:rPr>
          <w:rFonts w:hint="cs"/>
          <w:rtl/>
        </w:rPr>
        <w:t>ی</w:t>
      </w:r>
      <w:r w:rsidRPr="0025250D">
        <w:rPr>
          <w:rFonts w:hint="eastAsia"/>
          <w:rtl/>
        </w:rPr>
        <w:t>م</w:t>
      </w:r>
      <w:r w:rsidRPr="0025250D">
        <w:rPr>
          <w:rFonts w:hint="cs"/>
          <w:rtl/>
        </w:rPr>
        <w:t>ی</w:t>
      </w:r>
      <w:r w:rsidRPr="0025250D">
        <w:rPr>
          <w:rtl/>
        </w:rPr>
        <w:t xml:space="preserve"> ادعا م</w:t>
      </w:r>
      <w:r w:rsidRPr="0025250D">
        <w:rPr>
          <w:rFonts w:hint="cs"/>
          <w:rtl/>
        </w:rPr>
        <w:t>ی</w:t>
      </w:r>
      <w:r w:rsidRPr="0025250D">
        <w:rPr>
          <w:rtl/>
        </w:rPr>
        <w:t xml:space="preserve"> کند، </w:t>
      </w:r>
      <w:r w:rsidRPr="0025250D">
        <w:rPr>
          <w:rFonts w:hint="cs"/>
          <w:rtl/>
        </w:rPr>
        <w:t>گذشته نگاری</w:t>
      </w:r>
      <w:r w:rsidRPr="0025250D">
        <w:rPr>
          <w:rtl/>
        </w:rPr>
        <w:t xml:space="preserve"> هرگز 20/20 ن</w:t>
      </w:r>
      <w:r w:rsidRPr="0025250D">
        <w:rPr>
          <w:rFonts w:hint="cs"/>
          <w:rtl/>
        </w:rPr>
        <w:t>ی</w:t>
      </w:r>
      <w:r w:rsidRPr="0025250D">
        <w:rPr>
          <w:rFonts w:hint="eastAsia"/>
          <w:rtl/>
        </w:rPr>
        <w:t>ست</w:t>
      </w:r>
      <w:r w:rsidR="008D6F97" w:rsidRPr="0025250D">
        <w:rPr>
          <w:rtl/>
        </w:rPr>
        <w:t xml:space="preserve">؛ </w:t>
      </w:r>
      <w:r w:rsidRPr="0025250D">
        <w:rPr>
          <w:rtl/>
        </w:rPr>
        <w:t>اما اگر با دقت از آن استفاده کن</w:t>
      </w:r>
      <w:r w:rsidRPr="0025250D">
        <w:rPr>
          <w:rFonts w:hint="cs"/>
          <w:rtl/>
        </w:rPr>
        <w:t>ی</w:t>
      </w:r>
      <w:r w:rsidRPr="0025250D">
        <w:rPr>
          <w:rFonts w:hint="eastAsia"/>
          <w:rtl/>
        </w:rPr>
        <w:t>م،</w:t>
      </w:r>
      <w:r w:rsidRPr="0025250D">
        <w:rPr>
          <w:rtl/>
        </w:rPr>
        <w:t xml:space="preserve"> م</w:t>
      </w:r>
      <w:r w:rsidRPr="0025250D">
        <w:rPr>
          <w:rFonts w:hint="cs"/>
          <w:rtl/>
        </w:rPr>
        <w:t>ی‌</w:t>
      </w:r>
      <w:r w:rsidRPr="0025250D">
        <w:rPr>
          <w:rFonts w:hint="eastAsia"/>
          <w:rtl/>
        </w:rPr>
        <w:t>توان</w:t>
      </w:r>
      <w:r w:rsidRPr="0025250D">
        <w:rPr>
          <w:rFonts w:hint="cs"/>
          <w:rtl/>
        </w:rPr>
        <w:t>ی</w:t>
      </w:r>
      <w:r w:rsidRPr="0025250D">
        <w:rPr>
          <w:rFonts w:hint="eastAsia"/>
          <w:rtl/>
        </w:rPr>
        <w:t>م</w:t>
      </w:r>
      <w:r w:rsidRPr="0025250D">
        <w:rPr>
          <w:rtl/>
        </w:rPr>
        <w:t xml:space="preserve"> پتانس</w:t>
      </w:r>
      <w:r w:rsidRPr="0025250D">
        <w:rPr>
          <w:rFonts w:hint="cs"/>
          <w:rtl/>
        </w:rPr>
        <w:t>ی</w:t>
      </w:r>
      <w:r w:rsidRPr="0025250D">
        <w:rPr>
          <w:rFonts w:hint="eastAsia"/>
          <w:rtl/>
        </w:rPr>
        <w:t>ل‌ها</w:t>
      </w:r>
      <w:r w:rsidRPr="0025250D">
        <w:rPr>
          <w:rFonts w:hint="cs"/>
          <w:rtl/>
        </w:rPr>
        <w:t>ی</w:t>
      </w:r>
      <w:r w:rsidRPr="0025250D">
        <w:rPr>
          <w:rtl/>
        </w:rPr>
        <w:t xml:space="preserve"> تکامل</w:t>
      </w:r>
      <w:r w:rsidRPr="0025250D">
        <w:rPr>
          <w:rFonts w:hint="cs"/>
          <w:rtl/>
        </w:rPr>
        <w:t>ی</w:t>
      </w:r>
      <w:r w:rsidRPr="0025250D">
        <w:rPr>
          <w:rtl/>
        </w:rPr>
        <w:t xml:space="preserve"> و </w:t>
      </w:r>
      <w:r w:rsidRPr="0025250D">
        <w:rPr>
          <w:rFonts w:hint="cs"/>
          <w:rtl/>
        </w:rPr>
        <w:t>توسعه ای</w:t>
      </w:r>
      <w:r w:rsidRPr="0025250D">
        <w:rPr>
          <w:rtl/>
        </w:rPr>
        <w:t xml:space="preserve"> امروز را بهتر پ</w:t>
      </w:r>
      <w:r w:rsidRPr="0025250D">
        <w:rPr>
          <w:rFonts w:hint="cs"/>
          <w:rtl/>
        </w:rPr>
        <w:t>ی</w:t>
      </w:r>
      <w:r w:rsidRPr="0025250D">
        <w:rPr>
          <w:rFonts w:hint="eastAsia"/>
          <w:rtl/>
        </w:rPr>
        <w:t>ش‌ب</w:t>
      </w:r>
      <w:r w:rsidRPr="0025250D">
        <w:rPr>
          <w:rFonts w:hint="cs"/>
          <w:rtl/>
        </w:rPr>
        <w:t>ی</w:t>
      </w:r>
      <w:r w:rsidRPr="0025250D">
        <w:rPr>
          <w:rFonts w:hint="eastAsia"/>
          <w:rtl/>
        </w:rPr>
        <w:t>ن</w:t>
      </w:r>
      <w:r w:rsidRPr="0025250D">
        <w:rPr>
          <w:rFonts w:hint="cs"/>
          <w:rtl/>
        </w:rPr>
        <w:t>ی</w:t>
      </w:r>
      <w:r w:rsidRPr="0025250D">
        <w:rPr>
          <w:rtl/>
        </w:rPr>
        <w:t xml:space="preserve"> کن</w:t>
      </w:r>
      <w:r w:rsidRPr="0025250D">
        <w:rPr>
          <w:rFonts w:hint="cs"/>
          <w:rtl/>
        </w:rPr>
        <w:t>ی</w:t>
      </w:r>
      <w:r w:rsidRPr="0025250D">
        <w:rPr>
          <w:rFonts w:hint="eastAsia"/>
          <w:rtl/>
        </w:rPr>
        <w:t>م</w:t>
      </w:r>
      <w:r w:rsidRPr="0025250D">
        <w:rPr>
          <w:rFonts w:hint="cs"/>
          <w:rtl/>
        </w:rPr>
        <w:t>.</w:t>
      </w:r>
    </w:p>
    <w:p w14:paraId="59F36E5E" w14:textId="24467296" w:rsidR="0037616D" w:rsidRPr="0025250D" w:rsidRDefault="0037616D" w:rsidP="00492C47">
      <w:pPr>
        <w:numPr>
          <w:ilvl w:val="0"/>
          <w:numId w:val="80"/>
        </w:numPr>
      </w:pPr>
      <w:r w:rsidRPr="0025250D">
        <w:rPr>
          <w:rFonts w:hint="cs"/>
          <w:rtl/>
        </w:rPr>
        <w:t xml:space="preserve"> </w:t>
      </w:r>
      <w:r w:rsidRPr="0025250D">
        <w:rPr>
          <w:rtl/>
        </w:rPr>
        <w:t>اشتباه: چرا کارشناسان مدام ما را شکست م</w:t>
      </w:r>
      <w:r w:rsidRPr="0025250D">
        <w:rPr>
          <w:rFonts w:hint="cs"/>
          <w:rtl/>
        </w:rPr>
        <w:t>ی</w:t>
      </w:r>
      <w:r w:rsidRPr="0025250D">
        <w:rPr>
          <w:rtl/>
        </w:rPr>
        <w:t xml:space="preserve"> دهند و چه زمان</w:t>
      </w:r>
      <w:r w:rsidRPr="0025250D">
        <w:rPr>
          <w:rFonts w:hint="cs"/>
          <w:rtl/>
        </w:rPr>
        <w:t>ی</w:t>
      </w:r>
      <w:r w:rsidRPr="0025250D">
        <w:rPr>
          <w:rtl/>
        </w:rPr>
        <w:t xml:space="preserve"> به آنها اعتماد نکن</w:t>
      </w:r>
      <w:r w:rsidRPr="0025250D">
        <w:rPr>
          <w:rFonts w:hint="cs"/>
          <w:rtl/>
        </w:rPr>
        <w:t>ی</w:t>
      </w:r>
      <w:r w:rsidRPr="0025250D">
        <w:rPr>
          <w:rFonts w:hint="eastAsia"/>
          <w:rtl/>
        </w:rPr>
        <w:t>م،</w:t>
      </w:r>
      <w:r w:rsidRPr="0025250D">
        <w:rPr>
          <w:rtl/>
        </w:rPr>
        <w:t xml:space="preserve"> د</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rtl/>
        </w:rPr>
        <w:t xml:space="preserve"> فر</w:t>
      </w:r>
      <w:r w:rsidRPr="0025250D">
        <w:rPr>
          <w:rFonts w:hint="cs"/>
          <w:rtl/>
        </w:rPr>
        <w:t>ی</w:t>
      </w:r>
      <w:r w:rsidRPr="0025250D">
        <w:rPr>
          <w:rFonts w:hint="eastAsia"/>
          <w:rtl/>
        </w:rPr>
        <w:t>دمن</w:t>
      </w:r>
      <w:r w:rsidRPr="0025250D">
        <w:rPr>
          <w:vertAlign w:val="superscript"/>
          <w:rtl/>
        </w:rPr>
        <w:footnoteReference w:id="3429"/>
      </w:r>
      <w:r w:rsidRPr="0025250D">
        <w:rPr>
          <w:rFonts w:hint="eastAsia"/>
          <w:rtl/>
        </w:rPr>
        <w:t>،</w:t>
      </w:r>
      <w:r w:rsidRPr="0025250D">
        <w:rPr>
          <w:rtl/>
        </w:rPr>
        <w:t xml:space="preserve"> 2010.</w:t>
      </w:r>
      <w:r w:rsidRPr="0025250D">
        <w:rPr>
          <w:rFonts w:hint="cs"/>
          <w:rtl/>
        </w:rPr>
        <w:t xml:space="preserve"> </w:t>
      </w:r>
      <w:r w:rsidRPr="0025250D">
        <w:rPr>
          <w:rtl/>
        </w:rPr>
        <w:t>توص</w:t>
      </w:r>
      <w:r w:rsidRPr="0025250D">
        <w:rPr>
          <w:rFonts w:hint="cs"/>
          <w:rtl/>
        </w:rPr>
        <w:t>ی</w:t>
      </w:r>
      <w:r w:rsidRPr="0025250D">
        <w:rPr>
          <w:rFonts w:hint="eastAsia"/>
          <w:rtl/>
        </w:rPr>
        <w:t>ه</w:t>
      </w:r>
      <w:r w:rsidRPr="0025250D">
        <w:rPr>
          <w:rtl/>
        </w:rPr>
        <w:t xml:space="preserve"> خوب</w:t>
      </w:r>
      <w:r w:rsidRPr="0025250D">
        <w:rPr>
          <w:rFonts w:hint="cs"/>
          <w:rtl/>
        </w:rPr>
        <w:t>ی</w:t>
      </w:r>
      <w:r w:rsidRPr="0025250D">
        <w:rPr>
          <w:rtl/>
        </w:rPr>
        <w:t xml:space="preserve"> برا</w:t>
      </w:r>
      <w:r w:rsidRPr="0025250D">
        <w:rPr>
          <w:rFonts w:hint="cs"/>
          <w:rtl/>
        </w:rPr>
        <w:t>ی</w:t>
      </w:r>
      <w:r w:rsidRPr="0025250D">
        <w:rPr>
          <w:rtl/>
        </w:rPr>
        <w:t xml:space="preserve"> مقابله با </w:t>
      </w:r>
      <w:r w:rsidR="001C62AD" w:rsidRPr="0025250D">
        <w:rPr>
          <w:rtl/>
        </w:rPr>
        <w:t>«</w:t>
      </w:r>
      <w:r w:rsidRPr="0025250D">
        <w:rPr>
          <w:rtl/>
        </w:rPr>
        <w:t>سوگ</w:t>
      </w:r>
      <w:r w:rsidRPr="0025250D">
        <w:rPr>
          <w:rFonts w:hint="cs"/>
          <w:rtl/>
        </w:rPr>
        <w:t>ی</w:t>
      </w:r>
      <w:r w:rsidRPr="0025250D">
        <w:rPr>
          <w:rFonts w:hint="eastAsia"/>
          <w:rtl/>
        </w:rPr>
        <w:t>ر</w:t>
      </w:r>
      <w:r w:rsidRPr="0025250D">
        <w:rPr>
          <w:rFonts w:hint="cs"/>
          <w:rtl/>
        </w:rPr>
        <w:t>ی</w:t>
      </w:r>
      <w:r w:rsidRPr="0025250D">
        <w:rPr>
          <w:rtl/>
        </w:rPr>
        <w:t xml:space="preserve"> تخصص</w:t>
      </w:r>
      <w:r w:rsidRPr="0025250D">
        <w:rPr>
          <w:rFonts w:hint="cs"/>
          <w:rtl/>
        </w:rPr>
        <w:t>ی</w:t>
      </w:r>
      <w:r w:rsidR="001C62AD" w:rsidRPr="0025250D">
        <w:rPr>
          <w:rtl/>
        </w:rPr>
        <w:t>»</w:t>
      </w:r>
      <w:r w:rsidRPr="0025250D">
        <w:rPr>
          <w:rtl/>
        </w:rPr>
        <w:t xml:space="preserve"> ما، </w:t>
      </w:r>
      <w:r w:rsidRPr="0025250D">
        <w:rPr>
          <w:rFonts w:hint="cs"/>
          <w:rtl/>
        </w:rPr>
        <w:t>هنگامی</w:t>
      </w:r>
      <w:r w:rsidRPr="0025250D">
        <w:rPr>
          <w:rtl/>
        </w:rPr>
        <w:t xml:space="preserve"> که ما به جا</w:t>
      </w:r>
      <w:r w:rsidRPr="0025250D">
        <w:rPr>
          <w:rFonts w:hint="cs"/>
          <w:rtl/>
        </w:rPr>
        <w:t>ی</w:t>
      </w:r>
      <w:r w:rsidRPr="0025250D">
        <w:rPr>
          <w:rtl/>
        </w:rPr>
        <w:t xml:space="preserve"> توسعه شهود و </w:t>
      </w:r>
      <w:r w:rsidR="00D92F6E" w:rsidRPr="0025250D">
        <w:rPr>
          <w:rtl/>
        </w:rPr>
        <w:t>آینده‌نگاری</w:t>
      </w:r>
      <w:r w:rsidRPr="0025250D">
        <w:rPr>
          <w:rtl/>
        </w:rPr>
        <w:t xml:space="preserve"> خود، به </w:t>
      </w:r>
      <w:r w:rsidRPr="0025250D">
        <w:t>HIPPO</w:t>
      </w:r>
      <w:r w:rsidRPr="0025250D">
        <w:rPr>
          <w:rtl/>
        </w:rPr>
        <w:t xml:space="preserve"> (پردرآمدتر</w:t>
      </w:r>
      <w:r w:rsidRPr="0025250D">
        <w:rPr>
          <w:rFonts w:hint="cs"/>
          <w:rtl/>
        </w:rPr>
        <w:t>ی</w:t>
      </w:r>
      <w:r w:rsidRPr="0025250D">
        <w:rPr>
          <w:rFonts w:hint="eastAsia"/>
          <w:rtl/>
        </w:rPr>
        <w:t>ن</w:t>
      </w:r>
      <w:r w:rsidRPr="0025250D">
        <w:rPr>
          <w:rtl/>
        </w:rPr>
        <w:t xml:space="preserve"> فرد در سازمان) </w:t>
      </w:r>
      <w:r w:rsidRPr="0025250D">
        <w:rPr>
          <w:rFonts w:hint="cs"/>
          <w:rtl/>
        </w:rPr>
        <w:t>تسلیم</w:t>
      </w:r>
      <w:r w:rsidRPr="0025250D">
        <w:rPr>
          <w:rtl/>
        </w:rPr>
        <w:t xml:space="preserve"> م</w:t>
      </w:r>
      <w:r w:rsidRPr="0025250D">
        <w:rPr>
          <w:rFonts w:hint="cs"/>
          <w:rtl/>
        </w:rPr>
        <w:t>ی</w:t>
      </w:r>
      <w:r w:rsidRPr="0025250D">
        <w:rPr>
          <w:rtl/>
        </w:rPr>
        <w:t xml:space="preserve"> شو</w:t>
      </w:r>
      <w:r w:rsidRPr="0025250D">
        <w:rPr>
          <w:rFonts w:hint="cs"/>
          <w:rtl/>
        </w:rPr>
        <w:t>ی</w:t>
      </w:r>
      <w:r w:rsidRPr="0025250D">
        <w:rPr>
          <w:rFonts w:hint="eastAsia"/>
          <w:rtl/>
        </w:rPr>
        <w:t>م</w:t>
      </w:r>
      <w:r w:rsidRPr="0025250D">
        <w:rPr>
          <w:rtl/>
        </w:rPr>
        <w:t xml:space="preserve">. </w:t>
      </w:r>
      <w:r w:rsidR="007118DE" w:rsidRPr="0025250D">
        <w:rPr>
          <w:rtl/>
        </w:rPr>
        <w:t>همان‌طور</w:t>
      </w:r>
      <w:r w:rsidRPr="0025250D">
        <w:rPr>
          <w:rtl/>
        </w:rPr>
        <w:t xml:space="preserve"> که </w:t>
      </w:r>
      <w:r w:rsidRPr="0025250D">
        <w:rPr>
          <w:rFonts w:hint="cs"/>
          <w:rtl/>
        </w:rPr>
        <w:t xml:space="preserve">ابر </w:t>
      </w:r>
      <w:r w:rsidR="00FB6A7E" w:rsidRPr="0025250D">
        <w:rPr>
          <w:rFonts w:hint="cs"/>
          <w:rtl/>
        </w:rPr>
        <w:t>پیش‌نگری</w:t>
      </w:r>
      <w:r w:rsidRPr="0025250D">
        <w:rPr>
          <w:vertAlign w:val="superscript"/>
          <w:rtl/>
        </w:rPr>
        <w:footnoteReference w:id="3430"/>
      </w:r>
      <w:r w:rsidRPr="0025250D">
        <w:rPr>
          <w:rtl/>
        </w:rPr>
        <w:t xml:space="preserve"> نشان م</w:t>
      </w:r>
      <w:r w:rsidRPr="0025250D">
        <w:rPr>
          <w:rFonts w:hint="cs"/>
          <w:rtl/>
        </w:rPr>
        <w:t>ی</w:t>
      </w:r>
      <w:r w:rsidRPr="0025250D">
        <w:rPr>
          <w:rtl/>
        </w:rPr>
        <w:t xml:space="preserve"> دهد، جمع</w:t>
      </w:r>
      <w:r w:rsidRPr="0025250D">
        <w:rPr>
          <w:rFonts w:hint="cs"/>
          <w:rtl/>
        </w:rPr>
        <w:t>ی</w:t>
      </w:r>
      <w:r w:rsidRPr="0025250D">
        <w:rPr>
          <w:rFonts w:hint="eastAsia"/>
          <w:rtl/>
        </w:rPr>
        <w:t>ت</w:t>
      </w:r>
      <w:r w:rsidRPr="0025250D">
        <w:rPr>
          <w:rtl/>
        </w:rPr>
        <w:t xml:space="preserve"> </w:t>
      </w:r>
      <w:r w:rsidRPr="0025250D">
        <w:rPr>
          <w:rFonts w:hint="cs"/>
          <w:rtl/>
        </w:rPr>
        <w:t>دارای تنوعی</w:t>
      </w:r>
      <w:r w:rsidRPr="0025250D">
        <w:rPr>
          <w:rtl/>
        </w:rPr>
        <w:t xml:space="preserve"> که برا</w:t>
      </w:r>
      <w:r w:rsidRPr="0025250D">
        <w:rPr>
          <w:rFonts w:hint="cs"/>
          <w:rtl/>
        </w:rPr>
        <w:t>ی</w:t>
      </w:r>
      <w:r w:rsidRPr="0025250D">
        <w:rPr>
          <w:rtl/>
        </w:rPr>
        <w:t xml:space="preserve"> اجتناب از </w:t>
      </w:r>
      <w:r w:rsidRPr="0025250D">
        <w:rPr>
          <w:rFonts w:hint="cs"/>
          <w:rtl/>
        </w:rPr>
        <w:t>سوگیری</w:t>
      </w:r>
      <w:r w:rsidRPr="0025250D">
        <w:rPr>
          <w:rtl/>
        </w:rPr>
        <w:t xml:space="preserve"> آموزش د</w:t>
      </w:r>
      <w:r w:rsidRPr="0025250D">
        <w:rPr>
          <w:rFonts w:hint="cs"/>
          <w:rtl/>
        </w:rPr>
        <w:t>ی</w:t>
      </w:r>
      <w:r w:rsidRPr="0025250D">
        <w:rPr>
          <w:rFonts w:hint="eastAsia"/>
          <w:rtl/>
        </w:rPr>
        <w:t>ده</w:t>
      </w:r>
      <w:r w:rsidRPr="0025250D">
        <w:rPr>
          <w:rtl/>
        </w:rPr>
        <w:t xml:space="preserve"> </w:t>
      </w:r>
      <w:r w:rsidRPr="0025250D">
        <w:rPr>
          <w:rFonts w:hint="cs"/>
          <w:rtl/>
        </w:rPr>
        <w:t>است</w:t>
      </w:r>
      <w:r w:rsidRPr="0025250D">
        <w:rPr>
          <w:rtl/>
        </w:rPr>
        <w:t>، در ب</w:t>
      </w:r>
      <w:r w:rsidRPr="0025250D">
        <w:rPr>
          <w:rFonts w:hint="cs"/>
          <w:rtl/>
        </w:rPr>
        <w:t>ی</w:t>
      </w:r>
      <w:r w:rsidRPr="0025250D">
        <w:rPr>
          <w:rFonts w:hint="eastAsia"/>
          <w:rtl/>
        </w:rPr>
        <w:t>شتر</w:t>
      </w:r>
      <w:r w:rsidRPr="0025250D">
        <w:rPr>
          <w:rtl/>
        </w:rPr>
        <w:t xml:space="preserve"> مواقع از </w:t>
      </w:r>
      <w:r w:rsidRPr="0025250D">
        <w:rPr>
          <w:rFonts w:hint="cs"/>
          <w:rtl/>
        </w:rPr>
        <w:t>خبرگان</w:t>
      </w:r>
      <w:r w:rsidRPr="0025250D">
        <w:rPr>
          <w:rtl/>
        </w:rPr>
        <w:t xml:space="preserve"> پ</w:t>
      </w:r>
      <w:r w:rsidRPr="0025250D">
        <w:rPr>
          <w:rFonts w:hint="cs"/>
          <w:rtl/>
        </w:rPr>
        <w:t>ی</w:t>
      </w:r>
      <w:r w:rsidRPr="0025250D">
        <w:rPr>
          <w:rFonts w:hint="eastAsia"/>
          <w:rtl/>
        </w:rPr>
        <w:t>ش</w:t>
      </w:r>
      <w:r w:rsidRPr="0025250D">
        <w:rPr>
          <w:rFonts w:hint="cs"/>
          <w:rtl/>
        </w:rPr>
        <w:t>ی</w:t>
      </w:r>
      <w:r w:rsidRPr="0025250D">
        <w:rPr>
          <w:rtl/>
        </w:rPr>
        <w:t xml:space="preserve"> م</w:t>
      </w:r>
      <w:r w:rsidRPr="0025250D">
        <w:rPr>
          <w:rFonts w:hint="cs"/>
          <w:rtl/>
        </w:rPr>
        <w:t>ی</w:t>
      </w:r>
      <w:r w:rsidRPr="0025250D">
        <w:rPr>
          <w:rtl/>
        </w:rPr>
        <w:t xml:space="preserve"> گ</w:t>
      </w:r>
      <w:r w:rsidRPr="0025250D">
        <w:rPr>
          <w:rFonts w:hint="cs"/>
          <w:rtl/>
        </w:rPr>
        <w:t>ی</w:t>
      </w:r>
      <w:r w:rsidRPr="0025250D">
        <w:rPr>
          <w:rFonts w:hint="eastAsia"/>
          <w:rtl/>
        </w:rPr>
        <w:t>رد</w:t>
      </w:r>
      <w:r w:rsidRPr="0025250D">
        <w:rPr>
          <w:rtl/>
        </w:rPr>
        <w:t>.</w:t>
      </w:r>
      <w:r w:rsidRPr="0025250D">
        <w:rPr>
          <w:rFonts w:hint="cs"/>
          <w:rtl/>
        </w:rPr>
        <w:t xml:space="preserve"> خبرگان</w:t>
      </w:r>
      <w:r w:rsidRPr="0025250D">
        <w:rPr>
          <w:rtl/>
        </w:rPr>
        <w:t xml:space="preserve"> اغلب م</w:t>
      </w:r>
      <w:r w:rsidRPr="0025250D">
        <w:rPr>
          <w:rFonts w:hint="cs"/>
          <w:rtl/>
        </w:rPr>
        <w:t>ی‌</w:t>
      </w:r>
      <w:r w:rsidRPr="0025250D">
        <w:rPr>
          <w:rFonts w:hint="eastAsia"/>
          <w:rtl/>
        </w:rPr>
        <w:t>توانند</w:t>
      </w:r>
      <w:r w:rsidRPr="0025250D">
        <w:rPr>
          <w:rtl/>
        </w:rPr>
        <w:t xml:space="preserve"> در زم</w:t>
      </w:r>
      <w:r w:rsidRPr="0025250D">
        <w:rPr>
          <w:rFonts w:hint="cs"/>
          <w:rtl/>
        </w:rPr>
        <w:t>ی</w:t>
      </w:r>
      <w:r w:rsidRPr="0025250D">
        <w:rPr>
          <w:rFonts w:hint="eastAsia"/>
          <w:rtl/>
        </w:rPr>
        <w:t>نه</w:t>
      </w:r>
      <w:r w:rsidRPr="0025250D">
        <w:rPr>
          <w:rtl/>
        </w:rPr>
        <w:t xml:space="preserve"> تار</w:t>
      </w:r>
      <w:r w:rsidRPr="0025250D">
        <w:rPr>
          <w:rFonts w:hint="cs"/>
          <w:rtl/>
        </w:rPr>
        <w:t>ی</w:t>
      </w:r>
      <w:r w:rsidRPr="0025250D">
        <w:rPr>
          <w:rFonts w:hint="eastAsia"/>
          <w:rtl/>
        </w:rPr>
        <w:t>خ،</w:t>
      </w:r>
      <w:r w:rsidRPr="0025250D">
        <w:rPr>
          <w:rtl/>
        </w:rPr>
        <w:t xml:space="preserve"> شواهد و اطلاعات به ما کمک کنند، اما </w:t>
      </w:r>
      <w:r w:rsidR="00E3750D" w:rsidRPr="0025250D">
        <w:rPr>
          <w:rFonts w:hint="cs"/>
          <w:rtl/>
        </w:rPr>
        <w:t>ممکن است</w:t>
      </w:r>
      <w:r w:rsidRPr="0025250D">
        <w:rPr>
          <w:rtl/>
        </w:rPr>
        <w:t xml:space="preserve"> جانبدارانه </w:t>
      </w:r>
      <w:r w:rsidRPr="0025250D">
        <w:rPr>
          <w:rFonts w:hint="cs"/>
          <w:rtl/>
        </w:rPr>
        <w:t>عمل کنند</w:t>
      </w:r>
      <w:r w:rsidRPr="0025250D">
        <w:rPr>
          <w:rtl/>
        </w:rPr>
        <w:t xml:space="preserve"> و در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Fonts w:hint="eastAsia"/>
          <w:rtl/>
        </w:rPr>
        <w:t>،</w:t>
      </w:r>
      <w:r w:rsidRPr="0025250D">
        <w:rPr>
          <w:rtl/>
        </w:rPr>
        <w:t xml:space="preserve"> از جمله </w:t>
      </w:r>
      <w:r w:rsidRPr="0025250D">
        <w:rPr>
          <w:rFonts w:hint="cs"/>
          <w:rtl/>
        </w:rPr>
        <w:t>ی</w:t>
      </w:r>
      <w:r w:rsidRPr="0025250D">
        <w:rPr>
          <w:rFonts w:hint="eastAsia"/>
          <w:rtl/>
        </w:rPr>
        <w:t>افتن</w:t>
      </w:r>
      <w:r w:rsidRPr="0025250D">
        <w:rPr>
          <w:rtl/>
        </w:rPr>
        <w:t xml:space="preserve"> راه‌حل‌ها</w:t>
      </w:r>
      <w:r w:rsidRPr="0025250D">
        <w:rPr>
          <w:rFonts w:hint="cs"/>
          <w:rtl/>
        </w:rPr>
        <w:t>ی</w:t>
      </w:r>
      <w:r w:rsidRPr="0025250D">
        <w:rPr>
          <w:rtl/>
        </w:rPr>
        <w:t xml:space="preserve"> ترج</w:t>
      </w:r>
      <w:r w:rsidRPr="0025250D">
        <w:rPr>
          <w:rFonts w:hint="cs"/>
          <w:rtl/>
        </w:rPr>
        <w:t>ی</w:t>
      </w:r>
      <w:r w:rsidRPr="0025250D">
        <w:rPr>
          <w:rFonts w:hint="eastAsia"/>
          <w:rtl/>
        </w:rPr>
        <w:t>ح</w:t>
      </w:r>
      <w:r w:rsidRPr="0025250D">
        <w:rPr>
          <w:rFonts w:hint="cs"/>
          <w:rtl/>
        </w:rPr>
        <w:t>ی</w:t>
      </w:r>
      <w:r w:rsidRPr="0025250D">
        <w:rPr>
          <w:rtl/>
        </w:rPr>
        <w:t xml:space="preserve"> برا</w:t>
      </w:r>
      <w:r w:rsidRPr="0025250D">
        <w:rPr>
          <w:rFonts w:hint="cs"/>
          <w:rtl/>
        </w:rPr>
        <w:t>ی</w:t>
      </w:r>
      <w:r w:rsidRPr="0025250D">
        <w:rPr>
          <w:rtl/>
        </w:rPr>
        <w:t xml:space="preserve"> گروه، کمتر مف</w:t>
      </w:r>
      <w:r w:rsidRPr="0025250D">
        <w:rPr>
          <w:rFonts w:hint="cs"/>
          <w:rtl/>
        </w:rPr>
        <w:t>ی</w:t>
      </w:r>
      <w:r w:rsidRPr="0025250D">
        <w:rPr>
          <w:rFonts w:hint="eastAsia"/>
          <w:rtl/>
        </w:rPr>
        <w:t>د</w:t>
      </w:r>
      <w:r w:rsidRPr="0025250D">
        <w:rPr>
          <w:rtl/>
        </w:rPr>
        <w:t xml:space="preserve"> باشند.</w:t>
      </w:r>
    </w:p>
    <w:p w14:paraId="6ADE03A8" w14:textId="667BB570" w:rsidR="0037616D" w:rsidRPr="0025250D" w:rsidRDefault="0037616D" w:rsidP="00492C47">
      <w:pPr>
        <w:numPr>
          <w:ilvl w:val="0"/>
          <w:numId w:val="80"/>
        </w:numPr>
      </w:pPr>
      <w:r w:rsidRPr="0025250D">
        <w:rPr>
          <w:rFonts w:hint="cs"/>
          <w:rtl/>
        </w:rPr>
        <w:t xml:space="preserve"> </w:t>
      </w:r>
      <w:r w:rsidRPr="0025250D">
        <w:rPr>
          <w:rtl/>
        </w:rPr>
        <w:t>راه ها و قدرت عشق، پ</w:t>
      </w:r>
      <w:r w:rsidRPr="0025250D">
        <w:rPr>
          <w:rFonts w:hint="cs"/>
          <w:rtl/>
        </w:rPr>
        <w:t>ی</w:t>
      </w:r>
      <w:r w:rsidRPr="0025250D">
        <w:rPr>
          <w:rFonts w:hint="eastAsia"/>
          <w:rtl/>
        </w:rPr>
        <w:t>ت</w:t>
      </w:r>
      <w:r w:rsidRPr="0025250D">
        <w:rPr>
          <w:rFonts w:hint="cs"/>
          <w:rtl/>
        </w:rPr>
        <w:t>ی</w:t>
      </w:r>
      <w:r w:rsidRPr="0025250D">
        <w:rPr>
          <w:rFonts w:hint="eastAsia"/>
          <w:rtl/>
        </w:rPr>
        <w:t>ر</w:t>
      </w:r>
      <w:r w:rsidRPr="0025250D">
        <w:rPr>
          <w:rFonts w:hint="cs"/>
          <w:rtl/>
        </w:rPr>
        <w:t>ی</w:t>
      </w:r>
      <w:r w:rsidRPr="0025250D">
        <w:rPr>
          <w:rFonts w:hint="eastAsia"/>
          <w:rtl/>
        </w:rPr>
        <w:t>م</w:t>
      </w:r>
      <w:r w:rsidRPr="0025250D">
        <w:rPr>
          <w:rtl/>
        </w:rPr>
        <w:t xml:space="preserve"> سوروک</w:t>
      </w:r>
      <w:r w:rsidRPr="0025250D">
        <w:rPr>
          <w:rFonts w:hint="cs"/>
          <w:rtl/>
        </w:rPr>
        <w:t>ی</w:t>
      </w:r>
      <w:r w:rsidRPr="0025250D">
        <w:rPr>
          <w:rFonts w:hint="eastAsia"/>
          <w:rtl/>
        </w:rPr>
        <w:t>ن</w:t>
      </w:r>
      <w:r w:rsidRPr="0025250D">
        <w:rPr>
          <w:vertAlign w:val="superscript"/>
          <w:rtl/>
        </w:rPr>
        <w:footnoteReference w:id="3431"/>
      </w:r>
      <w:r w:rsidRPr="0025250D">
        <w:rPr>
          <w:rFonts w:hint="eastAsia"/>
          <w:rtl/>
        </w:rPr>
        <w:t>،</w:t>
      </w:r>
      <w:r w:rsidRPr="0025250D">
        <w:rPr>
          <w:rtl/>
        </w:rPr>
        <w:t xml:space="preserve"> 1954. مطالعه شگفت انگ</w:t>
      </w:r>
      <w:r w:rsidRPr="0025250D">
        <w:rPr>
          <w:rFonts w:hint="cs"/>
          <w:rtl/>
        </w:rPr>
        <w:t>ی</w:t>
      </w:r>
      <w:r w:rsidRPr="0025250D">
        <w:rPr>
          <w:rFonts w:hint="eastAsia"/>
          <w:rtl/>
        </w:rPr>
        <w:t>ز</w:t>
      </w:r>
      <w:r w:rsidRPr="0025250D">
        <w:rPr>
          <w:rFonts w:hint="cs"/>
          <w:rtl/>
        </w:rPr>
        <w:t>ی</w:t>
      </w:r>
      <w:r w:rsidRPr="0025250D">
        <w:rPr>
          <w:rtl/>
        </w:rPr>
        <w:t xml:space="preserve"> از اشکال عال</w:t>
      </w:r>
      <w:r w:rsidRPr="0025250D">
        <w:rPr>
          <w:rFonts w:hint="cs"/>
          <w:rtl/>
        </w:rPr>
        <w:t>ی</w:t>
      </w:r>
      <w:r w:rsidRPr="0025250D">
        <w:rPr>
          <w:rtl/>
        </w:rPr>
        <w:t xml:space="preserve"> و </w:t>
      </w:r>
      <w:r w:rsidRPr="0025250D">
        <w:rPr>
          <w:rFonts w:hint="cs"/>
          <w:rtl/>
        </w:rPr>
        <w:t>پست</w:t>
      </w:r>
      <w:r w:rsidRPr="0025250D">
        <w:rPr>
          <w:rtl/>
        </w:rPr>
        <w:t xml:space="preserve"> عشق، علل و آثار آن و اهم</w:t>
      </w:r>
      <w:r w:rsidRPr="0025250D">
        <w:rPr>
          <w:rFonts w:hint="cs"/>
          <w:rtl/>
        </w:rPr>
        <w:t>ی</w:t>
      </w:r>
      <w:r w:rsidRPr="0025250D">
        <w:rPr>
          <w:rFonts w:hint="eastAsia"/>
          <w:rtl/>
        </w:rPr>
        <w:t>ت</w:t>
      </w:r>
      <w:r w:rsidRPr="0025250D">
        <w:rPr>
          <w:rtl/>
        </w:rPr>
        <w:t xml:space="preserve"> آن به عنوان </w:t>
      </w:r>
      <w:r w:rsidRPr="0025250D">
        <w:rPr>
          <w:rFonts w:hint="cs"/>
          <w:rtl/>
        </w:rPr>
        <w:t>ی</w:t>
      </w:r>
      <w:r w:rsidRPr="0025250D">
        <w:rPr>
          <w:rFonts w:hint="eastAsia"/>
          <w:rtl/>
        </w:rPr>
        <w:t>ک</w:t>
      </w:r>
      <w:r w:rsidRPr="0025250D">
        <w:rPr>
          <w:rtl/>
        </w:rPr>
        <w:t xml:space="preserve"> فرآ</w:t>
      </w:r>
      <w:r w:rsidRPr="0025250D">
        <w:rPr>
          <w:rFonts w:hint="cs"/>
          <w:rtl/>
        </w:rPr>
        <w:t>ی</w:t>
      </w:r>
      <w:r w:rsidRPr="0025250D">
        <w:rPr>
          <w:rFonts w:hint="eastAsia"/>
          <w:rtl/>
        </w:rPr>
        <w:t>ند</w:t>
      </w:r>
      <w:r w:rsidRPr="0025250D">
        <w:rPr>
          <w:rtl/>
        </w:rPr>
        <w:t xml:space="preserve"> تمدن</w:t>
      </w:r>
      <w:r w:rsidRPr="0025250D">
        <w:rPr>
          <w:rFonts w:hint="cs"/>
          <w:rtl/>
        </w:rPr>
        <w:t xml:space="preserve"> ساز</w:t>
      </w:r>
      <w:r w:rsidRPr="0025250D">
        <w:rPr>
          <w:rtl/>
        </w:rPr>
        <w:t>. اول</w:t>
      </w:r>
      <w:r w:rsidRPr="0025250D">
        <w:rPr>
          <w:rFonts w:hint="cs"/>
          <w:rtl/>
        </w:rPr>
        <w:t>ی</w:t>
      </w:r>
      <w:r w:rsidRPr="0025250D">
        <w:rPr>
          <w:rFonts w:hint="eastAsia"/>
          <w:rtl/>
        </w:rPr>
        <w:t>ن</w:t>
      </w:r>
      <w:r w:rsidRPr="0025250D">
        <w:rPr>
          <w:rtl/>
        </w:rPr>
        <w:t xml:space="preserve"> مطالعه عم</w:t>
      </w:r>
      <w:r w:rsidRPr="0025250D">
        <w:rPr>
          <w:rFonts w:hint="cs"/>
          <w:rtl/>
        </w:rPr>
        <w:t>ی</w:t>
      </w:r>
      <w:r w:rsidRPr="0025250D">
        <w:rPr>
          <w:rFonts w:hint="eastAsia"/>
          <w:rtl/>
        </w:rPr>
        <w:t>ق</w:t>
      </w:r>
      <w:r w:rsidRPr="0025250D">
        <w:rPr>
          <w:rtl/>
        </w:rPr>
        <w:t xml:space="preserve"> تار</w:t>
      </w:r>
      <w:r w:rsidRPr="0025250D">
        <w:rPr>
          <w:rFonts w:hint="cs"/>
          <w:rtl/>
        </w:rPr>
        <w:t>ی</w:t>
      </w:r>
      <w:r w:rsidRPr="0025250D">
        <w:rPr>
          <w:rFonts w:hint="eastAsia"/>
          <w:rtl/>
        </w:rPr>
        <w:t>خ</w:t>
      </w:r>
      <w:r w:rsidRPr="0025250D">
        <w:rPr>
          <w:rFonts w:hint="cs"/>
          <w:rtl/>
        </w:rPr>
        <w:t>ی</w:t>
      </w:r>
      <w:r w:rsidRPr="0025250D">
        <w:rPr>
          <w:rtl/>
        </w:rPr>
        <w:t xml:space="preserve"> عشق، توسط بن</w:t>
      </w:r>
      <w:r w:rsidRPr="0025250D">
        <w:rPr>
          <w:rFonts w:hint="cs"/>
          <w:rtl/>
        </w:rPr>
        <w:t>ی</w:t>
      </w:r>
      <w:r w:rsidRPr="0025250D">
        <w:rPr>
          <w:rFonts w:hint="eastAsia"/>
          <w:rtl/>
        </w:rPr>
        <w:t>انگذار</w:t>
      </w:r>
      <w:r w:rsidRPr="0025250D">
        <w:rPr>
          <w:rtl/>
        </w:rPr>
        <w:t xml:space="preserve"> بخش </w:t>
      </w:r>
      <w:r w:rsidR="00B124DE" w:rsidRPr="0025250D">
        <w:rPr>
          <w:rtl/>
        </w:rPr>
        <w:t>جامعه‌شناسی</w:t>
      </w:r>
      <w:r w:rsidRPr="0025250D">
        <w:rPr>
          <w:rtl/>
        </w:rPr>
        <w:t xml:space="preserve"> در هاروارد</w:t>
      </w:r>
      <w:r w:rsidRPr="0025250D">
        <w:rPr>
          <w:rFonts w:hint="cs"/>
          <w:rtl/>
        </w:rPr>
        <w:t xml:space="preserve">. </w:t>
      </w:r>
      <w:r w:rsidRPr="0025250D">
        <w:rPr>
          <w:rtl/>
        </w:rPr>
        <w:t>تا آنجا که ما م</w:t>
      </w:r>
      <w:r w:rsidRPr="0025250D">
        <w:rPr>
          <w:rFonts w:hint="cs"/>
          <w:rtl/>
        </w:rPr>
        <w:t>ی</w:t>
      </w:r>
      <w:r w:rsidRPr="0025250D">
        <w:rPr>
          <w:rtl/>
        </w:rPr>
        <w:t xml:space="preserve"> دان</w:t>
      </w:r>
      <w:r w:rsidRPr="0025250D">
        <w:rPr>
          <w:rFonts w:hint="cs"/>
          <w:rtl/>
        </w:rPr>
        <w:t>ی</w:t>
      </w:r>
      <w:r w:rsidRPr="0025250D">
        <w:rPr>
          <w:rFonts w:hint="eastAsia"/>
          <w:rtl/>
        </w:rPr>
        <w:t>م،</w:t>
      </w:r>
      <w:r w:rsidRPr="0025250D">
        <w:rPr>
          <w:rtl/>
        </w:rPr>
        <w:t xml:space="preserve"> هنوز مطالعه بهتر</w:t>
      </w:r>
      <w:r w:rsidRPr="0025250D">
        <w:rPr>
          <w:rFonts w:hint="cs"/>
          <w:rtl/>
        </w:rPr>
        <w:t>ی</w:t>
      </w:r>
      <w:r w:rsidRPr="0025250D">
        <w:rPr>
          <w:rtl/>
        </w:rPr>
        <w:t xml:space="preserve"> در مورد قدرت عشق از آن زمان انجام نشده است. </w:t>
      </w:r>
      <w:r w:rsidRPr="0025250D">
        <w:rPr>
          <w:rFonts w:hint="cs"/>
          <w:rtl/>
        </w:rPr>
        <w:t>یک منبع</w:t>
      </w:r>
      <w:r w:rsidRPr="0025250D">
        <w:rPr>
          <w:rtl/>
        </w:rPr>
        <w:t xml:space="preserve"> فوق العاده برا</w:t>
      </w:r>
      <w:r w:rsidRPr="0025250D">
        <w:rPr>
          <w:rFonts w:hint="cs"/>
          <w:rtl/>
        </w:rPr>
        <w:t>ی</w:t>
      </w:r>
      <w:r w:rsidRPr="0025250D">
        <w:rPr>
          <w:rtl/>
        </w:rPr>
        <w:t xml:space="preserve"> هر رهبر ت</w:t>
      </w:r>
      <w:r w:rsidRPr="0025250D">
        <w:rPr>
          <w:rFonts w:hint="cs"/>
          <w:rtl/>
        </w:rPr>
        <w:t>ی</w:t>
      </w:r>
      <w:r w:rsidRPr="0025250D">
        <w:rPr>
          <w:rFonts w:hint="eastAsia"/>
          <w:rtl/>
        </w:rPr>
        <w:t>م</w:t>
      </w:r>
      <w:r w:rsidRPr="0025250D">
        <w:rPr>
          <w:rFonts w:hint="cs"/>
          <w:rtl/>
        </w:rPr>
        <w:t>ی</w:t>
      </w:r>
      <w:r w:rsidRPr="0025250D">
        <w:rPr>
          <w:rtl/>
        </w:rPr>
        <w:t xml:space="preserve"> که به دنبال بهبود عشق، تعلق و احترام، در خود و در ت</w:t>
      </w:r>
      <w:r w:rsidRPr="0025250D">
        <w:rPr>
          <w:rFonts w:hint="cs"/>
          <w:rtl/>
        </w:rPr>
        <w:t>ی</w:t>
      </w:r>
      <w:r w:rsidRPr="0025250D">
        <w:rPr>
          <w:rFonts w:hint="eastAsia"/>
          <w:rtl/>
        </w:rPr>
        <w:t>م</w:t>
      </w:r>
      <w:r w:rsidRPr="0025250D">
        <w:rPr>
          <w:rtl/>
        </w:rPr>
        <w:t xml:space="preserve"> خود است.</w:t>
      </w:r>
    </w:p>
    <w:p w14:paraId="7729CDA6" w14:textId="77777777" w:rsidR="0037616D" w:rsidRPr="0025250D" w:rsidRDefault="0037616D" w:rsidP="00537CC8">
      <w:pPr>
        <w:rPr>
          <w:rtl/>
        </w:rPr>
      </w:pPr>
    </w:p>
    <w:p w14:paraId="56895CEB" w14:textId="71920398" w:rsidR="00537CC8" w:rsidRPr="0025250D" w:rsidRDefault="00537CC8" w:rsidP="0037616D">
      <w:pPr>
        <w:pStyle w:val="Heading3"/>
        <w:rPr>
          <w:rtl/>
        </w:rPr>
      </w:pPr>
      <w:r w:rsidRPr="0025250D">
        <w:rPr>
          <w:rtl/>
        </w:rPr>
        <w:t>کتاب‌ها</w:t>
      </w:r>
      <w:r w:rsidRPr="0025250D">
        <w:rPr>
          <w:rFonts w:hint="cs"/>
          <w:rtl/>
        </w:rPr>
        <w:t>ی</w:t>
      </w:r>
      <w:r w:rsidRPr="0025250D">
        <w:rPr>
          <w:rtl/>
        </w:rPr>
        <w:t xml:space="preserve"> آ</w:t>
      </w:r>
      <w:r w:rsidRPr="0025250D">
        <w:rPr>
          <w:rFonts w:hint="cs"/>
          <w:rtl/>
        </w:rPr>
        <w:t>ی</w:t>
      </w:r>
      <w:r w:rsidRPr="0025250D">
        <w:rPr>
          <w:rFonts w:hint="eastAsia"/>
          <w:rtl/>
        </w:rPr>
        <w:t>نده‌</w:t>
      </w:r>
      <w:r w:rsidR="00E26538" w:rsidRPr="0025250D">
        <w:rPr>
          <w:rFonts w:hint="eastAsia"/>
          <w:rtl/>
        </w:rPr>
        <w:t>نگار</w:t>
      </w:r>
      <w:r w:rsidRPr="0025250D">
        <w:rPr>
          <w:rFonts w:hint="cs"/>
          <w:rtl/>
        </w:rPr>
        <w:t>ی</w:t>
      </w:r>
      <w:r w:rsidRPr="0025250D">
        <w:rPr>
          <w:rtl/>
        </w:rPr>
        <w:t xml:space="preserve"> ت</w:t>
      </w:r>
      <w:r w:rsidRPr="0025250D">
        <w:rPr>
          <w:rFonts w:hint="cs"/>
          <w:rtl/>
        </w:rPr>
        <w:t>ی</w:t>
      </w:r>
      <w:r w:rsidRPr="0025250D">
        <w:rPr>
          <w:rFonts w:hint="eastAsia"/>
          <w:rtl/>
        </w:rPr>
        <w:t>م</w:t>
      </w:r>
      <w:r w:rsidRPr="0025250D">
        <w:rPr>
          <w:rFonts w:hint="cs"/>
          <w:rtl/>
        </w:rPr>
        <w:t>ی</w:t>
      </w:r>
      <w:r w:rsidRPr="0025250D">
        <w:rPr>
          <w:rtl/>
        </w:rPr>
        <w:t xml:space="preserve"> و سازمان</w:t>
      </w:r>
      <w:r w:rsidRPr="0025250D">
        <w:rPr>
          <w:rFonts w:hint="cs"/>
          <w:rtl/>
        </w:rPr>
        <w:t>ی</w:t>
      </w:r>
      <w:r w:rsidRPr="0025250D">
        <w:rPr>
          <w:rtl/>
        </w:rPr>
        <w:t xml:space="preserve"> - فهرست</w:t>
      </w:r>
      <w:r w:rsidRPr="0025250D">
        <w:rPr>
          <w:rFonts w:hint="cs"/>
          <w:rtl/>
        </w:rPr>
        <w:t>ی</w:t>
      </w:r>
      <w:r w:rsidRPr="0025250D">
        <w:rPr>
          <w:rtl/>
        </w:rPr>
        <w:t xml:space="preserve"> طولان</w:t>
      </w:r>
      <w:r w:rsidRPr="0025250D">
        <w:rPr>
          <w:rFonts w:hint="cs"/>
          <w:rtl/>
        </w:rPr>
        <w:t>ی‌</w:t>
      </w:r>
      <w:r w:rsidRPr="0025250D">
        <w:rPr>
          <w:rFonts w:hint="eastAsia"/>
          <w:rtl/>
        </w:rPr>
        <w:t>تر</w:t>
      </w:r>
    </w:p>
    <w:p w14:paraId="6F54B167" w14:textId="3B48CF96" w:rsidR="00537CC8" w:rsidRPr="0025250D" w:rsidRDefault="00537CC8" w:rsidP="00537CC8">
      <w:pPr>
        <w:rPr>
          <w:rtl/>
        </w:rPr>
      </w:pPr>
    </w:p>
    <w:p w14:paraId="2952BACE" w14:textId="77777777" w:rsidR="0037616D" w:rsidRPr="0025250D" w:rsidRDefault="0037616D" w:rsidP="00492C47">
      <w:pPr>
        <w:numPr>
          <w:ilvl w:val="0"/>
          <w:numId w:val="81"/>
        </w:numPr>
        <w:rPr>
          <w:rtl/>
        </w:rPr>
      </w:pPr>
      <w:r w:rsidRPr="0025250D">
        <w:rPr>
          <w:rtl/>
        </w:rPr>
        <w:t>4 گام به سو</w:t>
      </w:r>
      <w:r w:rsidRPr="0025250D">
        <w:rPr>
          <w:rFonts w:hint="cs"/>
          <w:rtl/>
        </w:rPr>
        <w:t>ی</w:t>
      </w:r>
      <w:r w:rsidRPr="0025250D">
        <w:rPr>
          <w:rtl/>
        </w:rPr>
        <w:t xml:space="preserve"> آ</w:t>
      </w:r>
      <w:r w:rsidRPr="0025250D">
        <w:rPr>
          <w:rFonts w:hint="cs"/>
          <w:rtl/>
        </w:rPr>
        <w:t>ی</w:t>
      </w:r>
      <w:r w:rsidRPr="0025250D">
        <w:rPr>
          <w:rFonts w:hint="eastAsia"/>
          <w:rtl/>
        </w:rPr>
        <w:t>نده</w:t>
      </w:r>
      <w:r w:rsidRPr="0025250D">
        <w:rPr>
          <w:rtl/>
        </w:rPr>
        <w:t>: راهنما</w:t>
      </w:r>
      <w:r w:rsidRPr="0025250D">
        <w:rPr>
          <w:rFonts w:hint="cs"/>
          <w:rtl/>
        </w:rPr>
        <w:t>ی</w:t>
      </w:r>
      <w:r w:rsidRPr="0025250D">
        <w:rPr>
          <w:rtl/>
        </w:rPr>
        <w:t xml:space="preserve"> سر</w:t>
      </w:r>
      <w:r w:rsidRPr="0025250D">
        <w:rPr>
          <w:rFonts w:hint="cs"/>
          <w:rtl/>
        </w:rPr>
        <w:t>ی</w:t>
      </w:r>
      <w:r w:rsidRPr="0025250D">
        <w:rPr>
          <w:rFonts w:hint="eastAsia"/>
          <w:rtl/>
        </w:rPr>
        <w:t>ع</w:t>
      </w:r>
      <w:r w:rsidRPr="0025250D">
        <w:rPr>
          <w:rtl/>
        </w:rPr>
        <w:t xml:space="preserve"> و تم</w:t>
      </w:r>
      <w:r w:rsidRPr="0025250D">
        <w:rPr>
          <w:rFonts w:hint="cs"/>
          <w:rtl/>
        </w:rPr>
        <w:t>ی</w:t>
      </w:r>
      <w:r w:rsidRPr="0025250D">
        <w:rPr>
          <w:rFonts w:hint="eastAsia"/>
          <w:rtl/>
        </w:rPr>
        <w:t>ز</w:t>
      </w:r>
      <w:r w:rsidRPr="0025250D">
        <w:rPr>
          <w:rtl/>
        </w:rPr>
        <w:t xml:space="preserve"> برا</w:t>
      </w:r>
      <w:r w:rsidRPr="0025250D">
        <w:rPr>
          <w:rFonts w:hint="cs"/>
          <w:rtl/>
        </w:rPr>
        <w:t>ی</w:t>
      </w:r>
      <w:r w:rsidRPr="0025250D">
        <w:rPr>
          <w:rtl/>
        </w:rPr>
        <w:t xml:space="preserve"> ا</w:t>
      </w:r>
      <w:r w:rsidRPr="0025250D">
        <w:rPr>
          <w:rFonts w:hint="cs"/>
          <w:rtl/>
        </w:rPr>
        <w:t>ی</w:t>
      </w:r>
      <w:r w:rsidRPr="0025250D">
        <w:rPr>
          <w:rFonts w:hint="eastAsia"/>
          <w:rtl/>
        </w:rPr>
        <w:t>جاد</w:t>
      </w:r>
      <w:r w:rsidRPr="0025250D">
        <w:rPr>
          <w:rtl/>
        </w:rPr>
        <w:t xml:space="preserve"> آینده‌نگاری</w:t>
      </w:r>
      <w:r w:rsidRPr="0025250D">
        <w:rPr>
          <w:rFonts w:hint="eastAsia"/>
          <w:rtl/>
        </w:rPr>
        <w:t>،</w:t>
      </w:r>
      <w:r w:rsidRPr="0025250D">
        <w:rPr>
          <w:rtl/>
        </w:rPr>
        <w:t xml:space="preserve"> ر</w:t>
      </w:r>
      <w:r w:rsidRPr="0025250D">
        <w:rPr>
          <w:rFonts w:hint="cs"/>
          <w:rtl/>
        </w:rPr>
        <w:t>ی</w:t>
      </w:r>
      <w:r w:rsidRPr="0025250D">
        <w:rPr>
          <w:rFonts w:hint="eastAsia"/>
          <w:rtl/>
        </w:rPr>
        <w:t>چارد</w:t>
      </w:r>
      <w:r w:rsidRPr="0025250D">
        <w:rPr>
          <w:rtl/>
        </w:rPr>
        <w:t xml:space="preserve"> لوم</w:t>
      </w:r>
      <w:r w:rsidRPr="0025250D">
        <w:rPr>
          <w:vertAlign w:val="superscript"/>
          <w:rtl/>
        </w:rPr>
        <w:footnoteReference w:id="3432"/>
      </w:r>
      <w:r w:rsidRPr="0025250D">
        <w:rPr>
          <w:rtl/>
        </w:rPr>
        <w:t>، 2016</w:t>
      </w:r>
    </w:p>
    <w:p w14:paraId="65D54B6C" w14:textId="3D631B3E" w:rsidR="0037616D" w:rsidRPr="0025250D" w:rsidRDefault="0037616D" w:rsidP="00492C47">
      <w:pPr>
        <w:numPr>
          <w:ilvl w:val="0"/>
          <w:numId w:val="81"/>
        </w:numPr>
        <w:rPr>
          <w:rtl/>
        </w:rPr>
      </w:pPr>
      <w:r w:rsidRPr="0025250D">
        <w:rPr>
          <w:rtl/>
        </w:rPr>
        <w:t>آینده‌نگاری 20/20: ا</w:t>
      </w:r>
      <w:r w:rsidRPr="0025250D">
        <w:rPr>
          <w:rFonts w:hint="cs"/>
          <w:rtl/>
        </w:rPr>
        <w:t>ی</w:t>
      </w:r>
      <w:r w:rsidRPr="0025250D">
        <w:rPr>
          <w:rFonts w:hint="eastAsia"/>
          <w:rtl/>
        </w:rPr>
        <w:t>جاد</w:t>
      </w:r>
      <w:r w:rsidRPr="0025250D">
        <w:rPr>
          <w:rtl/>
        </w:rPr>
        <w:t xml:space="preserve"> </w:t>
      </w:r>
      <w:r w:rsidR="00701E03" w:rsidRPr="0025250D">
        <w:rPr>
          <w:rtl/>
        </w:rPr>
        <w:t>راهبرد</w:t>
      </w:r>
      <w:r w:rsidRPr="0025250D">
        <w:rPr>
          <w:rtl/>
        </w:rPr>
        <w:t xml:space="preserve"> در دن</w:t>
      </w:r>
      <w:r w:rsidRPr="0025250D">
        <w:rPr>
          <w:rFonts w:hint="cs"/>
          <w:rtl/>
        </w:rPr>
        <w:t>ی</w:t>
      </w:r>
      <w:r w:rsidRPr="0025250D">
        <w:rPr>
          <w:rFonts w:hint="eastAsia"/>
          <w:rtl/>
        </w:rPr>
        <w:t>ا</w:t>
      </w:r>
      <w:r w:rsidRPr="0025250D">
        <w:rPr>
          <w:rFonts w:hint="cs"/>
          <w:rtl/>
        </w:rPr>
        <w:t>ی</w:t>
      </w:r>
      <w:r w:rsidRPr="0025250D">
        <w:rPr>
          <w:rtl/>
        </w:rPr>
        <w:t xml:space="preserve"> نامشخص، ه</w:t>
      </w:r>
      <w:r w:rsidRPr="0025250D">
        <w:rPr>
          <w:rFonts w:hint="cs"/>
          <w:rtl/>
        </w:rPr>
        <w:t>ی</w:t>
      </w:r>
      <w:r w:rsidRPr="0025250D">
        <w:rPr>
          <w:rFonts w:hint="eastAsia"/>
          <w:rtl/>
        </w:rPr>
        <w:t>و</w:t>
      </w:r>
      <w:r w:rsidRPr="0025250D">
        <w:rPr>
          <w:rtl/>
        </w:rPr>
        <w:t xml:space="preserve"> کورتن</w:t>
      </w:r>
      <w:r w:rsidRPr="0025250D">
        <w:rPr>
          <w:rFonts w:hint="cs"/>
          <w:rtl/>
        </w:rPr>
        <w:t>ی</w:t>
      </w:r>
      <w:r w:rsidRPr="0025250D">
        <w:rPr>
          <w:vertAlign w:val="superscript"/>
          <w:rtl/>
        </w:rPr>
        <w:footnoteReference w:id="3433"/>
      </w:r>
      <w:r w:rsidRPr="0025250D">
        <w:rPr>
          <w:rFonts w:hint="eastAsia"/>
          <w:rtl/>
        </w:rPr>
        <w:t>،</w:t>
      </w:r>
      <w:r w:rsidRPr="0025250D">
        <w:rPr>
          <w:rtl/>
        </w:rPr>
        <w:t xml:space="preserve"> 2001</w:t>
      </w:r>
    </w:p>
    <w:p w14:paraId="42BB5F3A" w14:textId="77777777" w:rsidR="0037616D" w:rsidRPr="0025250D" w:rsidRDefault="0037616D" w:rsidP="00492C47">
      <w:pPr>
        <w:numPr>
          <w:ilvl w:val="0"/>
          <w:numId w:val="81"/>
        </w:numPr>
        <w:rPr>
          <w:rtl/>
        </w:rPr>
      </w:pPr>
      <w:r w:rsidRPr="0025250D">
        <w:rPr>
          <w:rtl/>
        </w:rPr>
        <w:t>راهنما</w:t>
      </w:r>
      <w:r w:rsidRPr="0025250D">
        <w:rPr>
          <w:rFonts w:hint="cs"/>
          <w:rtl/>
        </w:rPr>
        <w:t>ی</w:t>
      </w:r>
      <w:r w:rsidRPr="0025250D">
        <w:rPr>
          <w:rtl/>
        </w:rPr>
        <w:t xml:space="preserve"> م</w:t>
      </w:r>
      <w:r w:rsidRPr="0025250D">
        <w:rPr>
          <w:rFonts w:hint="cs"/>
          <w:rtl/>
        </w:rPr>
        <w:t>ی</w:t>
      </w:r>
      <w:r w:rsidRPr="0025250D">
        <w:rPr>
          <w:rFonts w:hint="eastAsia"/>
          <w:rtl/>
        </w:rPr>
        <w:t>دان</w:t>
      </w:r>
      <w:r w:rsidRPr="0025250D">
        <w:rPr>
          <w:rFonts w:hint="cs"/>
          <w:rtl/>
        </w:rPr>
        <w:t>ی</w:t>
      </w:r>
      <w:r w:rsidRPr="0025250D">
        <w:rPr>
          <w:rtl/>
        </w:rPr>
        <w:t xml:space="preserve"> برا</w:t>
      </w:r>
      <w:r w:rsidRPr="0025250D">
        <w:rPr>
          <w:rFonts w:hint="cs"/>
          <w:rtl/>
        </w:rPr>
        <w:t>ی</w:t>
      </w:r>
      <w:r w:rsidRPr="0025250D">
        <w:rPr>
          <w:rtl/>
        </w:rPr>
        <w:t xml:space="preserve"> دروغ‌ها (و آمار)، دان</w:t>
      </w:r>
      <w:r w:rsidRPr="0025250D">
        <w:rPr>
          <w:rFonts w:hint="cs"/>
          <w:rtl/>
        </w:rPr>
        <w:t>ی</w:t>
      </w:r>
      <w:r w:rsidRPr="0025250D">
        <w:rPr>
          <w:rFonts w:hint="eastAsia"/>
          <w:rtl/>
        </w:rPr>
        <w:t>ل</w:t>
      </w:r>
      <w:r w:rsidRPr="0025250D">
        <w:rPr>
          <w:rtl/>
        </w:rPr>
        <w:t xml:space="preserve"> لو</w:t>
      </w:r>
      <w:r w:rsidRPr="0025250D">
        <w:rPr>
          <w:rFonts w:hint="cs"/>
          <w:rtl/>
        </w:rPr>
        <w:t>ی</w:t>
      </w:r>
      <w:r w:rsidRPr="0025250D">
        <w:rPr>
          <w:rFonts w:hint="eastAsia"/>
          <w:rtl/>
        </w:rPr>
        <w:t>ت</w:t>
      </w:r>
      <w:r w:rsidRPr="0025250D">
        <w:rPr>
          <w:rFonts w:hint="cs"/>
          <w:rtl/>
        </w:rPr>
        <w:t>ی</w:t>
      </w:r>
      <w:r w:rsidRPr="0025250D">
        <w:rPr>
          <w:rFonts w:hint="eastAsia"/>
          <w:rtl/>
        </w:rPr>
        <w:t>ن</w:t>
      </w:r>
      <w:r w:rsidRPr="0025250D">
        <w:rPr>
          <w:vertAlign w:val="superscript"/>
          <w:rtl/>
        </w:rPr>
        <w:footnoteReference w:id="3434"/>
      </w:r>
      <w:r w:rsidRPr="0025250D">
        <w:rPr>
          <w:rFonts w:hint="eastAsia"/>
          <w:rtl/>
        </w:rPr>
        <w:t>،</w:t>
      </w:r>
      <w:r w:rsidRPr="0025250D">
        <w:rPr>
          <w:rtl/>
        </w:rPr>
        <w:t xml:space="preserve"> 2016</w:t>
      </w:r>
    </w:p>
    <w:p w14:paraId="29410A9D" w14:textId="77777777" w:rsidR="0037616D" w:rsidRPr="0025250D" w:rsidRDefault="0037616D" w:rsidP="00492C47">
      <w:pPr>
        <w:numPr>
          <w:ilvl w:val="0"/>
          <w:numId w:val="81"/>
        </w:numPr>
        <w:rPr>
          <w:rtl/>
        </w:rPr>
      </w:pPr>
      <w:r w:rsidRPr="0025250D">
        <w:rPr>
          <w:rFonts w:hint="cs"/>
          <w:rtl/>
        </w:rPr>
        <w:t xml:space="preserve">در مقابل خدایان: داستان جالب توجه ریسک، </w:t>
      </w:r>
      <w:r w:rsidRPr="0025250D">
        <w:rPr>
          <w:rtl/>
        </w:rPr>
        <w:t>پ</w:t>
      </w:r>
      <w:r w:rsidRPr="0025250D">
        <w:rPr>
          <w:rFonts w:hint="cs"/>
          <w:rtl/>
        </w:rPr>
        <w:t>ی</w:t>
      </w:r>
      <w:r w:rsidRPr="0025250D">
        <w:rPr>
          <w:rFonts w:hint="eastAsia"/>
          <w:rtl/>
        </w:rPr>
        <w:t>تر</w:t>
      </w:r>
      <w:r w:rsidRPr="0025250D">
        <w:rPr>
          <w:rtl/>
        </w:rPr>
        <w:t xml:space="preserve"> برنشتا</w:t>
      </w:r>
      <w:r w:rsidRPr="0025250D">
        <w:rPr>
          <w:rFonts w:hint="cs"/>
          <w:rtl/>
        </w:rPr>
        <w:t>ی</w:t>
      </w:r>
      <w:r w:rsidRPr="0025250D">
        <w:rPr>
          <w:rFonts w:hint="eastAsia"/>
          <w:rtl/>
        </w:rPr>
        <w:t>ن</w:t>
      </w:r>
      <w:r w:rsidRPr="0025250D">
        <w:rPr>
          <w:vertAlign w:val="superscript"/>
          <w:rtl/>
        </w:rPr>
        <w:footnoteReference w:id="3435"/>
      </w:r>
      <w:r w:rsidRPr="0025250D">
        <w:rPr>
          <w:rFonts w:hint="eastAsia"/>
          <w:rtl/>
        </w:rPr>
        <w:t>،</w:t>
      </w:r>
      <w:r w:rsidRPr="0025250D">
        <w:rPr>
          <w:rtl/>
        </w:rPr>
        <w:t xml:space="preserve"> 1998</w:t>
      </w:r>
    </w:p>
    <w:p w14:paraId="3F40FB02" w14:textId="77777777" w:rsidR="0037616D" w:rsidRPr="0025250D" w:rsidRDefault="0037616D" w:rsidP="00492C47">
      <w:pPr>
        <w:numPr>
          <w:ilvl w:val="0"/>
          <w:numId w:val="81"/>
        </w:numPr>
        <w:rPr>
          <w:rtl/>
        </w:rPr>
      </w:pPr>
      <w:r w:rsidRPr="0025250D">
        <w:rPr>
          <w:rtl/>
        </w:rPr>
        <w:t>بهتر</w:t>
      </w:r>
      <w:r w:rsidRPr="0025250D">
        <w:rPr>
          <w:rFonts w:hint="cs"/>
          <w:rtl/>
        </w:rPr>
        <w:t>ی</w:t>
      </w:r>
      <w:r w:rsidRPr="0025250D">
        <w:rPr>
          <w:rFonts w:hint="eastAsia"/>
          <w:rtl/>
        </w:rPr>
        <w:t>ن</w:t>
      </w:r>
      <w:r w:rsidRPr="0025250D">
        <w:rPr>
          <w:rtl/>
        </w:rPr>
        <w:t xml:space="preserve"> طرح‌ها: استبداد پ</w:t>
      </w:r>
      <w:r w:rsidRPr="0025250D">
        <w:rPr>
          <w:rFonts w:hint="cs"/>
          <w:rtl/>
        </w:rPr>
        <w:t>ی</w:t>
      </w:r>
      <w:r w:rsidRPr="0025250D">
        <w:rPr>
          <w:rFonts w:hint="eastAsia"/>
          <w:rtl/>
        </w:rPr>
        <w:t>امدها</w:t>
      </w:r>
      <w:r w:rsidRPr="0025250D">
        <w:rPr>
          <w:rFonts w:hint="cs"/>
          <w:rtl/>
        </w:rPr>
        <w:t>ی</w:t>
      </w:r>
      <w:r w:rsidRPr="0025250D">
        <w:rPr>
          <w:rtl/>
        </w:rPr>
        <w:t xml:space="preserve"> ناخواسته، و</w:t>
      </w:r>
      <w:r w:rsidRPr="0025250D">
        <w:rPr>
          <w:rFonts w:hint="cs"/>
          <w:rtl/>
        </w:rPr>
        <w:t>ی</w:t>
      </w:r>
      <w:r w:rsidRPr="0025250D">
        <w:rPr>
          <w:rFonts w:hint="eastAsia"/>
          <w:rtl/>
        </w:rPr>
        <w:t>ل</w:t>
      </w:r>
      <w:r w:rsidRPr="0025250D">
        <w:rPr>
          <w:rFonts w:hint="cs"/>
          <w:rtl/>
        </w:rPr>
        <w:t>ی</w:t>
      </w:r>
      <w:r w:rsidRPr="0025250D">
        <w:rPr>
          <w:rFonts w:hint="eastAsia"/>
          <w:rtl/>
        </w:rPr>
        <w:t>ام</w:t>
      </w:r>
      <w:r w:rsidRPr="0025250D">
        <w:rPr>
          <w:rtl/>
        </w:rPr>
        <w:t xml:space="preserve"> شردن</w:t>
      </w:r>
      <w:r w:rsidRPr="0025250D">
        <w:rPr>
          <w:vertAlign w:val="superscript"/>
          <w:rtl/>
        </w:rPr>
        <w:footnoteReference w:id="3436"/>
      </w:r>
      <w:r w:rsidRPr="0025250D">
        <w:rPr>
          <w:rtl/>
        </w:rPr>
        <w:t>، 2011</w:t>
      </w:r>
    </w:p>
    <w:p w14:paraId="3AEA4AA0" w14:textId="77777777" w:rsidR="0037616D" w:rsidRPr="0025250D" w:rsidRDefault="0037616D" w:rsidP="00492C47">
      <w:pPr>
        <w:numPr>
          <w:ilvl w:val="0"/>
          <w:numId w:val="81"/>
        </w:numPr>
        <w:rPr>
          <w:rtl/>
        </w:rPr>
      </w:pPr>
      <w:r w:rsidRPr="0025250D">
        <w:rPr>
          <w:rtl/>
        </w:rPr>
        <w:t>درس‌های م</w:t>
      </w:r>
      <w:r w:rsidRPr="0025250D">
        <w:rPr>
          <w:rFonts w:hint="cs"/>
          <w:rtl/>
        </w:rPr>
        <w:t>ی</w:t>
      </w:r>
      <w:r w:rsidRPr="0025250D">
        <w:rPr>
          <w:rFonts w:hint="eastAsia"/>
          <w:rtl/>
        </w:rPr>
        <w:t>ل</w:t>
      </w:r>
      <w:r w:rsidRPr="0025250D">
        <w:rPr>
          <w:rFonts w:hint="cs"/>
          <w:rtl/>
        </w:rPr>
        <w:t>ی</w:t>
      </w:r>
      <w:r w:rsidRPr="0025250D">
        <w:rPr>
          <w:rFonts w:hint="eastAsia"/>
          <w:rtl/>
        </w:rPr>
        <w:t>ارد</w:t>
      </w:r>
      <w:r w:rsidRPr="0025250D">
        <w:rPr>
          <w:rtl/>
        </w:rPr>
        <w:t xml:space="preserve"> دلار</w:t>
      </w:r>
      <w:r w:rsidRPr="0025250D">
        <w:rPr>
          <w:rFonts w:hint="cs"/>
          <w:rtl/>
        </w:rPr>
        <w:t>ی</w:t>
      </w:r>
      <w:r w:rsidRPr="0025250D">
        <w:rPr>
          <w:rtl/>
        </w:rPr>
        <w:t>: از شکست‌های ب</w:t>
      </w:r>
      <w:r w:rsidRPr="0025250D">
        <w:rPr>
          <w:rFonts w:hint="cs"/>
          <w:rtl/>
        </w:rPr>
        <w:t>ی</w:t>
      </w:r>
      <w:r w:rsidRPr="0025250D">
        <w:rPr>
          <w:rFonts w:hint="eastAsia"/>
          <w:rtl/>
        </w:rPr>
        <w:t>ز</w:t>
      </w:r>
      <w:r w:rsidRPr="0025250D">
        <w:rPr>
          <w:rtl/>
        </w:rPr>
        <w:t xml:space="preserve"> در 25 سال گذشته ب</w:t>
      </w:r>
      <w:r w:rsidRPr="0025250D">
        <w:rPr>
          <w:rFonts w:hint="cs"/>
          <w:rtl/>
        </w:rPr>
        <w:t>ی</w:t>
      </w:r>
      <w:r w:rsidRPr="0025250D">
        <w:rPr>
          <w:rFonts w:hint="eastAsia"/>
          <w:rtl/>
        </w:rPr>
        <w:t>اموز</w:t>
      </w:r>
      <w:r w:rsidRPr="0025250D">
        <w:rPr>
          <w:rFonts w:hint="cs"/>
          <w:rtl/>
        </w:rPr>
        <w:t>ی</w:t>
      </w:r>
      <w:r w:rsidRPr="0025250D">
        <w:rPr>
          <w:rFonts w:hint="eastAsia"/>
          <w:rtl/>
        </w:rPr>
        <w:t>د،</w:t>
      </w:r>
      <w:r w:rsidRPr="0025250D">
        <w:rPr>
          <w:rtl/>
        </w:rPr>
        <w:t xml:space="preserve"> پل کارول</w:t>
      </w:r>
      <w:r w:rsidRPr="0025250D">
        <w:rPr>
          <w:vertAlign w:val="superscript"/>
          <w:rtl/>
        </w:rPr>
        <w:footnoteReference w:id="3437"/>
      </w:r>
      <w:r w:rsidRPr="0025250D">
        <w:rPr>
          <w:rtl/>
        </w:rPr>
        <w:t>، 2009</w:t>
      </w:r>
    </w:p>
    <w:p w14:paraId="493DC03B" w14:textId="3AB0B153" w:rsidR="0037616D" w:rsidRPr="0025250D" w:rsidRDefault="00701E03" w:rsidP="00492C47">
      <w:pPr>
        <w:numPr>
          <w:ilvl w:val="0"/>
          <w:numId w:val="81"/>
        </w:numPr>
        <w:rPr>
          <w:rtl/>
        </w:rPr>
      </w:pPr>
      <w:r w:rsidRPr="0025250D">
        <w:rPr>
          <w:rtl/>
        </w:rPr>
        <w:t>راهبرد</w:t>
      </w:r>
      <w:r w:rsidR="0037616D" w:rsidRPr="0025250D">
        <w:rPr>
          <w:rtl/>
        </w:rPr>
        <w:t xml:space="preserve"> اق</w:t>
      </w:r>
      <w:r w:rsidR="0037616D" w:rsidRPr="0025250D">
        <w:rPr>
          <w:rFonts w:hint="cs"/>
          <w:rtl/>
        </w:rPr>
        <w:t>ی</w:t>
      </w:r>
      <w:r w:rsidR="0037616D" w:rsidRPr="0025250D">
        <w:rPr>
          <w:rFonts w:hint="eastAsia"/>
          <w:rtl/>
        </w:rPr>
        <w:t>انوس</w:t>
      </w:r>
      <w:r w:rsidR="0037616D" w:rsidRPr="0025250D">
        <w:rPr>
          <w:rtl/>
        </w:rPr>
        <w:t xml:space="preserve"> آب</w:t>
      </w:r>
      <w:r w:rsidR="0037616D" w:rsidRPr="0025250D">
        <w:rPr>
          <w:rFonts w:hint="cs"/>
          <w:rtl/>
        </w:rPr>
        <w:t>ی</w:t>
      </w:r>
      <w:r w:rsidR="0037616D" w:rsidRPr="0025250D">
        <w:rPr>
          <w:rFonts w:hint="eastAsia"/>
          <w:rtl/>
        </w:rPr>
        <w:t>،</w:t>
      </w:r>
      <w:r w:rsidR="0037616D" w:rsidRPr="0025250D">
        <w:rPr>
          <w:rtl/>
        </w:rPr>
        <w:t xml:space="preserve"> ک</w:t>
      </w:r>
      <w:r w:rsidR="0037616D" w:rsidRPr="0025250D">
        <w:rPr>
          <w:rFonts w:hint="cs"/>
          <w:rtl/>
        </w:rPr>
        <w:t>ی</w:t>
      </w:r>
      <w:r w:rsidR="0037616D" w:rsidRPr="0025250D">
        <w:rPr>
          <w:rFonts w:hint="eastAsia"/>
          <w:rtl/>
        </w:rPr>
        <w:t>م</w:t>
      </w:r>
      <w:r w:rsidR="0037616D" w:rsidRPr="0025250D">
        <w:rPr>
          <w:rtl/>
        </w:rPr>
        <w:t xml:space="preserve"> و موبورن</w:t>
      </w:r>
      <w:r w:rsidR="0037616D" w:rsidRPr="0025250D">
        <w:rPr>
          <w:vertAlign w:val="superscript"/>
          <w:rtl/>
        </w:rPr>
        <w:footnoteReference w:id="3438"/>
      </w:r>
      <w:r w:rsidR="0037616D" w:rsidRPr="0025250D">
        <w:rPr>
          <w:rtl/>
        </w:rPr>
        <w:t>، 2015</w:t>
      </w:r>
    </w:p>
    <w:p w14:paraId="610464AF" w14:textId="77777777" w:rsidR="0037616D" w:rsidRPr="0025250D" w:rsidRDefault="0037616D" w:rsidP="00492C47">
      <w:pPr>
        <w:numPr>
          <w:ilvl w:val="0"/>
          <w:numId w:val="81"/>
        </w:numPr>
        <w:rPr>
          <w:rtl/>
        </w:rPr>
      </w:pPr>
      <w:r w:rsidRPr="0025250D">
        <w:rPr>
          <w:rtl/>
        </w:rPr>
        <w:t>هوش مشارکت</w:t>
      </w:r>
      <w:r w:rsidRPr="0025250D">
        <w:rPr>
          <w:rFonts w:hint="cs"/>
          <w:rtl/>
        </w:rPr>
        <w:t>ی</w:t>
      </w:r>
      <w:r w:rsidRPr="0025250D">
        <w:rPr>
          <w:rtl/>
        </w:rPr>
        <w:t>: تفکر با افراد</w:t>
      </w:r>
      <w:r w:rsidRPr="0025250D">
        <w:rPr>
          <w:rFonts w:hint="cs"/>
          <w:rtl/>
        </w:rPr>
        <w:t>ی</w:t>
      </w:r>
      <w:r w:rsidRPr="0025250D">
        <w:rPr>
          <w:rtl/>
        </w:rPr>
        <w:t xml:space="preserve"> که متفاوت فکر می‌کنند، مارکوا و مک آرتور</w:t>
      </w:r>
      <w:r w:rsidRPr="0025250D">
        <w:rPr>
          <w:vertAlign w:val="superscript"/>
          <w:rtl/>
        </w:rPr>
        <w:footnoteReference w:id="3439"/>
      </w:r>
      <w:r w:rsidRPr="0025250D">
        <w:rPr>
          <w:rtl/>
        </w:rPr>
        <w:t>، 2015</w:t>
      </w:r>
    </w:p>
    <w:p w14:paraId="009771D5" w14:textId="77777777" w:rsidR="0037616D" w:rsidRPr="0025250D" w:rsidRDefault="0037616D" w:rsidP="00492C47">
      <w:pPr>
        <w:numPr>
          <w:ilvl w:val="0"/>
          <w:numId w:val="81"/>
        </w:numPr>
        <w:rPr>
          <w:rtl/>
        </w:rPr>
      </w:pPr>
      <w:r w:rsidRPr="0025250D">
        <w:rPr>
          <w:rtl/>
        </w:rPr>
        <w:t>رقابت برا</w:t>
      </w:r>
      <w:r w:rsidRPr="0025250D">
        <w:rPr>
          <w:rFonts w:hint="cs"/>
          <w:rtl/>
        </w:rPr>
        <w:t>ی</w:t>
      </w:r>
      <w:r w:rsidRPr="0025250D">
        <w:rPr>
          <w:rtl/>
        </w:rPr>
        <w:t xml:space="preserve"> آ</w:t>
      </w:r>
      <w:r w:rsidRPr="0025250D">
        <w:rPr>
          <w:rFonts w:hint="cs"/>
          <w:rtl/>
        </w:rPr>
        <w:t>ی</w:t>
      </w:r>
      <w:r w:rsidRPr="0025250D">
        <w:rPr>
          <w:rFonts w:hint="eastAsia"/>
          <w:rtl/>
        </w:rPr>
        <w:t>نده،</w:t>
      </w:r>
      <w:r w:rsidRPr="0025250D">
        <w:rPr>
          <w:rtl/>
        </w:rPr>
        <w:t xml:space="preserve"> همل و پراهالاد</w:t>
      </w:r>
      <w:r w:rsidRPr="0025250D">
        <w:rPr>
          <w:vertAlign w:val="superscript"/>
          <w:rtl/>
        </w:rPr>
        <w:footnoteReference w:id="3440"/>
      </w:r>
      <w:r w:rsidRPr="0025250D">
        <w:rPr>
          <w:rtl/>
        </w:rPr>
        <w:t>، 1996</w:t>
      </w:r>
    </w:p>
    <w:p w14:paraId="4CF6AD34" w14:textId="77777777" w:rsidR="0037616D" w:rsidRPr="0025250D" w:rsidRDefault="0037616D" w:rsidP="00492C47">
      <w:pPr>
        <w:numPr>
          <w:ilvl w:val="0"/>
          <w:numId w:val="81"/>
        </w:numPr>
        <w:rPr>
          <w:rtl/>
        </w:rPr>
      </w:pPr>
      <w:r w:rsidRPr="0025250D">
        <w:rPr>
          <w:rFonts w:hint="cs"/>
          <w:rtl/>
        </w:rPr>
        <w:t xml:space="preserve">تعارض‌های </w:t>
      </w:r>
      <w:r w:rsidRPr="0025250D">
        <w:rPr>
          <w:rtl/>
        </w:rPr>
        <w:t>سازنده: از تشد</w:t>
      </w:r>
      <w:r w:rsidRPr="0025250D">
        <w:rPr>
          <w:rFonts w:hint="cs"/>
          <w:rtl/>
        </w:rPr>
        <w:t>ی</w:t>
      </w:r>
      <w:r w:rsidRPr="0025250D">
        <w:rPr>
          <w:rFonts w:hint="eastAsia"/>
          <w:rtl/>
        </w:rPr>
        <w:t>د</w:t>
      </w:r>
      <w:r w:rsidRPr="0025250D">
        <w:rPr>
          <w:rtl/>
        </w:rPr>
        <w:t xml:space="preserve"> تا حل و فصل، و</w:t>
      </w:r>
      <w:r w:rsidRPr="0025250D">
        <w:rPr>
          <w:rFonts w:hint="cs"/>
          <w:rtl/>
        </w:rPr>
        <w:t>ی</w:t>
      </w:r>
      <w:r w:rsidRPr="0025250D">
        <w:rPr>
          <w:rFonts w:hint="eastAsia"/>
          <w:rtl/>
        </w:rPr>
        <w:t>را</w:t>
      </w:r>
      <w:r w:rsidRPr="0025250D">
        <w:rPr>
          <w:rFonts w:hint="cs"/>
          <w:rtl/>
        </w:rPr>
        <w:t>ی</w:t>
      </w:r>
      <w:r w:rsidRPr="0025250D">
        <w:rPr>
          <w:rFonts w:hint="eastAsia"/>
          <w:rtl/>
        </w:rPr>
        <w:t>ش</w:t>
      </w:r>
      <w:r w:rsidRPr="0025250D">
        <w:rPr>
          <w:rtl/>
        </w:rPr>
        <w:t xml:space="preserve"> پنجم، کر</w:t>
      </w:r>
      <w:r w:rsidRPr="0025250D">
        <w:rPr>
          <w:rFonts w:hint="cs"/>
          <w:rtl/>
        </w:rPr>
        <w:t>ی</w:t>
      </w:r>
      <w:r w:rsidRPr="0025250D">
        <w:rPr>
          <w:rFonts w:hint="eastAsia"/>
          <w:rtl/>
        </w:rPr>
        <w:t>سبرگ</w:t>
      </w:r>
      <w:r w:rsidRPr="0025250D">
        <w:rPr>
          <w:rtl/>
        </w:rPr>
        <w:t xml:space="preserve"> و د</w:t>
      </w:r>
      <w:r w:rsidRPr="0025250D">
        <w:rPr>
          <w:rFonts w:hint="cs"/>
          <w:rtl/>
        </w:rPr>
        <w:t>ی</w:t>
      </w:r>
      <w:r w:rsidRPr="0025250D">
        <w:rPr>
          <w:rFonts w:hint="eastAsia"/>
          <w:rtl/>
        </w:rPr>
        <w:t>تون</w:t>
      </w:r>
      <w:r w:rsidRPr="0025250D">
        <w:rPr>
          <w:vertAlign w:val="superscript"/>
          <w:rtl/>
        </w:rPr>
        <w:footnoteReference w:id="3441"/>
      </w:r>
      <w:r w:rsidRPr="0025250D">
        <w:rPr>
          <w:rFonts w:hint="eastAsia"/>
          <w:rtl/>
        </w:rPr>
        <w:t>،</w:t>
      </w:r>
      <w:r w:rsidRPr="0025250D">
        <w:rPr>
          <w:rtl/>
        </w:rPr>
        <w:t xml:space="preserve"> 2016</w:t>
      </w:r>
    </w:p>
    <w:p w14:paraId="2E5F7FE8" w14:textId="0E49B490" w:rsidR="0037616D" w:rsidRPr="0025250D" w:rsidRDefault="0037616D" w:rsidP="00492C47">
      <w:pPr>
        <w:numPr>
          <w:ilvl w:val="0"/>
          <w:numId w:val="81"/>
        </w:numPr>
        <w:rPr>
          <w:rtl/>
        </w:rPr>
      </w:pPr>
      <w:r w:rsidRPr="0025250D">
        <w:rPr>
          <w:rtl/>
        </w:rPr>
        <w:t>آینده‌نگاری شرکت</w:t>
      </w:r>
      <w:r w:rsidRPr="0025250D">
        <w:rPr>
          <w:rFonts w:hint="cs"/>
          <w:rtl/>
        </w:rPr>
        <w:t>ی</w:t>
      </w:r>
      <w:r w:rsidRPr="0025250D">
        <w:rPr>
          <w:rtl/>
        </w:rPr>
        <w:t>: مدل بلوغ برا</w:t>
      </w:r>
      <w:r w:rsidRPr="0025250D">
        <w:rPr>
          <w:rFonts w:hint="cs"/>
          <w:rtl/>
        </w:rPr>
        <w:t>ی</w:t>
      </w:r>
      <w:r w:rsidRPr="0025250D">
        <w:rPr>
          <w:rtl/>
        </w:rPr>
        <w:t xml:space="preserve"> </w:t>
      </w:r>
      <w:r w:rsidR="00CF59DF" w:rsidRPr="0025250D">
        <w:rPr>
          <w:rtl/>
        </w:rPr>
        <w:t>جهت‌گیری</w:t>
      </w:r>
      <w:r w:rsidRPr="0025250D">
        <w:rPr>
          <w:rtl/>
        </w:rPr>
        <w:t xml:space="preserve"> آ</w:t>
      </w:r>
      <w:r w:rsidRPr="0025250D">
        <w:rPr>
          <w:rFonts w:hint="cs"/>
          <w:rtl/>
        </w:rPr>
        <w:t>ی</w:t>
      </w:r>
      <w:r w:rsidRPr="0025250D">
        <w:rPr>
          <w:rFonts w:hint="eastAsia"/>
          <w:rtl/>
        </w:rPr>
        <w:t>نده،</w:t>
      </w:r>
      <w:r w:rsidRPr="0025250D">
        <w:rPr>
          <w:rtl/>
        </w:rPr>
        <w:t xml:space="preserve"> رنه روربک</w:t>
      </w:r>
      <w:r w:rsidRPr="0025250D">
        <w:rPr>
          <w:vertAlign w:val="superscript"/>
          <w:rtl/>
        </w:rPr>
        <w:footnoteReference w:id="3442"/>
      </w:r>
      <w:r w:rsidRPr="0025250D">
        <w:rPr>
          <w:rtl/>
        </w:rPr>
        <w:t>، 2010</w:t>
      </w:r>
    </w:p>
    <w:p w14:paraId="20BAA852" w14:textId="77777777" w:rsidR="0037616D" w:rsidRPr="0025250D" w:rsidRDefault="0037616D" w:rsidP="00492C47">
      <w:pPr>
        <w:numPr>
          <w:ilvl w:val="0"/>
          <w:numId w:val="81"/>
        </w:numPr>
        <w:rPr>
          <w:rtl/>
        </w:rPr>
      </w:pPr>
      <w:r w:rsidRPr="0025250D">
        <w:rPr>
          <w:rtl/>
        </w:rPr>
        <w:t>فرهنگ‌ها و سازمان ها: نرم افزار ذهن، و</w:t>
      </w:r>
      <w:r w:rsidRPr="0025250D">
        <w:rPr>
          <w:rFonts w:hint="cs"/>
          <w:rtl/>
        </w:rPr>
        <w:t>ی</w:t>
      </w:r>
      <w:r w:rsidRPr="0025250D">
        <w:rPr>
          <w:rFonts w:hint="eastAsia"/>
          <w:rtl/>
        </w:rPr>
        <w:t>را</w:t>
      </w:r>
      <w:r w:rsidRPr="0025250D">
        <w:rPr>
          <w:rFonts w:hint="cs"/>
          <w:rtl/>
        </w:rPr>
        <w:t>ی</w:t>
      </w:r>
      <w:r w:rsidRPr="0025250D">
        <w:rPr>
          <w:rFonts w:hint="eastAsia"/>
          <w:rtl/>
        </w:rPr>
        <w:t>ش</w:t>
      </w:r>
      <w:r w:rsidRPr="0025250D">
        <w:rPr>
          <w:rtl/>
        </w:rPr>
        <w:t xml:space="preserve"> سوم، گ</w:t>
      </w:r>
      <w:r w:rsidRPr="0025250D">
        <w:rPr>
          <w:rFonts w:hint="cs"/>
          <w:rtl/>
        </w:rPr>
        <w:t>ی</w:t>
      </w:r>
      <w:r w:rsidRPr="0025250D">
        <w:rPr>
          <w:rFonts w:hint="eastAsia"/>
          <w:rtl/>
        </w:rPr>
        <w:t>رت</w:t>
      </w:r>
      <w:r w:rsidRPr="0025250D">
        <w:rPr>
          <w:rtl/>
        </w:rPr>
        <w:t xml:space="preserve"> هافستد و همکاران</w:t>
      </w:r>
      <w:r w:rsidRPr="0025250D">
        <w:rPr>
          <w:vertAlign w:val="superscript"/>
          <w:rtl/>
        </w:rPr>
        <w:footnoteReference w:id="3443"/>
      </w:r>
      <w:r w:rsidRPr="0025250D">
        <w:rPr>
          <w:rtl/>
        </w:rPr>
        <w:t>، 2010</w:t>
      </w:r>
    </w:p>
    <w:p w14:paraId="33D81EBE" w14:textId="6C35EB50" w:rsidR="0037616D" w:rsidRPr="0025250D" w:rsidRDefault="0037616D" w:rsidP="00492C47">
      <w:pPr>
        <w:numPr>
          <w:ilvl w:val="0"/>
          <w:numId w:val="81"/>
        </w:numPr>
        <w:rPr>
          <w:rtl/>
        </w:rPr>
      </w:pPr>
      <w:r w:rsidRPr="0025250D">
        <w:rPr>
          <w:rtl/>
        </w:rPr>
        <w:t xml:space="preserve">چرخه ها: علم </w:t>
      </w:r>
      <w:r w:rsidR="00D92F6E" w:rsidRPr="0025250D">
        <w:rPr>
          <w:rtl/>
        </w:rPr>
        <w:t>پیش‌بین</w:t>
      </w:r>
      <w:r w:rsidRPr="0025250D">
        <w:rPr>
          <w:rFonts w:hint="cs"/>
          <w:rtl/>
        </w:rPr>
        <w:t>ی</w:t>
      </w:r>
      <w:r w:rsidRPr="0025250D">
        <w:rPr>
          <w:rFonts w:hint="eastAsia"/>
          <w:rtl/>
        </w:rPr>
        <w:t>،</w:t>
      </w:r>
      <w:r w:rsidRPr="0025250D">
        <w:rPr>
          <w:rtl/>
        </w:rPr>
        <w:t xml:space="preserve"> د</w:t>
      </w:r>
      <w:r w:rsidRPr="0025250D">
        <w:rPr>
          <w:rFonts w:hint="cs"/>
          <w:rtl/>
        </w:rPr>
        <w:t>ی</w:t>
      </w:r>
      <w:r w:rsidRPr="0025250D">
        <w:rPr>
          <w:rFonts w:hint="eastAsia"/>
          <w:rtl/>
        </w:rPr>
        <w:t>و</w:t>
      </w:r>
      <w:r w:rsidRPr="0025250D">
        <w:rPr>
          <w:rFonts w:hint="cs"/>
          <w:rtl/>
        </w:rPr>
        <w:t>یی</w:t>
      </w:r>
      <w:r w:rsidRPr="0025250D">
        <w:rPr>
          <w:rtl/>
        </w:rPr>
        <w:t xml:space="preserve"> و داک</w:t>
      </w:r>
      <w:r w:rsidRPr="0025250D">
        <w:rPr>
          <w:rFonts w:hint="cs"/>
          <w:rtl/>
        </w:rPr>
        <w:t>ی</w:t>
      </w:r>
      <w:r w:rsidRPr="0025250D">
        <w:rPr>
          <w:rFonts w:hint="eastAsia"/>
          <w:rtl/>
        </w:rPr>
        <w:t>ن</w:t>
      </w:r>
      <w:r w:rsidRPr="0025250D">
        <w:rPr>
          <w:vertAlign w:val="superscript"/>
          <w:rtl/>
        </w:rPr>
        <w:footnoteReference w:id="3444"/>
      </w:r>
      <w:r w:rsidRPr="0025250D">
        <w:rPr>
          <w:rFonts w:hint="eastAsia"/>
          <w:rtl/>
        </w:rPr>
        <w:t>،</w:t>
      </w:r>
      <w:r w:rsidRPr="0025250D">
        <w:rPr>
          <w:rtl/>
        </w:rPr>
        <w:t xml:space="preserve"> 1947/2011</w:t>
      </w:r>
    </w:p>
    <w:p w14:paraId="05202768" w14:textId="77777777" w:rsidR="0037616D" w:rsidRPr="0025250D" w:rsidRDefault="0037616D" w:rsidP="00492C47">
      <w:pPr>
        <w:numPr>
          <w:ilvl w:val="0"/>
          <w:numId w:val="81"/>
        </w:numPr>
        <w:rPr>
          <w:rtl/>
        </w:rPr>
      </w:pPr>
      <w:r w:rsidRPr="0025250D">
        <w:rPr>
          <w:rtl/>
        </w:rPr>
        <w:t>س</w:t>
      </w:r>
      <w:r w:rsidRPr="0025250D">
        <w:rPr>
          <w:rFonts w:hint="cs"/>
          <w:rtl/>
        </w:rPr>
        <w:t>ی</w:t>
      </w:r>
      <w:r w:rsidRPr="0025250D">
        <w:rPr>
          <w:rFonts w:hint="eastAsia"/>
          <w:rtl/>
        </w:rPr>
        <w:t>نف</w:t>
      </w:r>
      <w:r w:rsidRPr="0025250D">
        <w:rPr>
          <w:rFonts w:hint="cs"/>
          <w:rtl/>
        </w:rPr>
        <w:t>ی</w:t>
      </w:r>
      <w:r w:rsidRPr="0025250D">
        <w:rPr>
          <w:rFonts w:hint="eastAsia"/>
          <w:rtl/>
        </w:rPr>
        <w:t>ن</w:t>
      </w:r>
      <w:r w:rsidRPr="0025250D">
        <w:rPr>
          <w:rtl/>
        </w:rPr>
        <w:t>: ا</w:t>
      </w:r>
      <w:r w:rsidRPr="0025250D">
        <w:rPr>
          <w:rFonts w:hint="cs"/>
          <w:rtl/>
        </w:rPr>
        <w:t>ی</w:t>
      </w:r>
      <w:r w:rsidRPr="0025250D">
        <w:rPr>
          <w:rFonts w:hint="eastAsia"/>
          <w:rtl/>
        </w:rPr>
        <w:t>جاد</w:t>
      </w:r>
      <w:r w:rsidRPr="0025250D">
        <w:rPr>
          <w:rtl/>
        </w:rPr>
        <w:t xml:space="preserve"> حس در دن</w:t>
      </w:r>
      <w:r w:rsidRPr="0025250D">
        <w:rPr>
          <w:rFonts w:hint="cs"/>
          <w:rtl/>
        </w:rPr>
        <w:t>ی</w:t>
      </w:r>
      <w:r w:rsidRPr="0025250D">
        <w:rPr>
          <w:rFonts w:hint="eastAsia"/>
          <w:rtl/>
        </w:rPr>
        <w:t>ا</w:t>
      </w:r>
      <w:r w:rsidRPr="0025250D">
        <w:rPr>
          <w:rFonts w:hint="cs"/>
          <w:rtl/>
        </w:rPr>
        <w:t>ی</w:t>
      </w:r>
      <w:r w:rsidRPr="0025250D">
        <w:rPr>
          <w:rtl/>
        </w:rPr>
        <w:t xml:space="preserve"> پ</w:t>
      </w:r>
      <w:r w:rsidRPr="0025250D">
        <w:rPr>
          <w:rFonts w:hint="cs"/>
          <w:rtl/>
        </w:rPr>
        <w:t>ی</w:t>
      </w:r>
      <w:r w:rsidRPr="0025250D">
        <w:rPr>
          <w:rFonts w:hint="eastAsia"/>
          <w:rtl/>
        </w:rPr>
        <w:t>چ</w:t>
      </w:r>
      <w:r w:rsidRPr="0025250D">
        <w:rPr>
          <w:rFonts w:hint="cs"/>
          <w:rtl/>
        </w:rPr>
        <w:t>ی</w:t>
      </w:r>
      <w:r w:rsidRPr="0025250D">
        <w:rPr>
          <w:rFonts w:hint="eastAsia"/>
          <w:rtl/>
        </w:rPr>
        <w:t>ده</w:t>
      </w:r>
      <w:r w:rsidRPr="0025250D">
        <w:rPr>
          <w:rFonts w:hint="cs"/>
          <w:rtl/>
        </w:rPr>
        <w:t xml:space="preserve"> </w:t>
      </w:r>
      <w:r w:rsidRPr="0025250D">
        <w:rPr>
          <w:rtl/>
        </w:rPr>
        <w:t>د</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rtl/>
        </w:rPr>
        <w:t xml:space="preserve"> اسنودن</w:t>
      </w:r>
      <w:r w:rsidRPr="0025250D">
        <w:rPr>
          <w:vertAlign w:val="superscript"/>
          <w:rtl/>
        </w:rPr>
        <w:footnoteReference w:id="3445"/>
      </w:r>
      <w:r w:rsidRPr="0025250D">
        <w:rPr>
          <w:rtl/>
        </w:rPr>
        <w:t>، 2020</w:t>
      </w:r>
    </w:p>
    <w:p w14:paraId="3D948617" w14:textId="77777777" w:rsidR="0037616D" w:rsidRPr="0025250D" w:rsidRDefault="0037616D" w:rsidP="00492C47">
      <w:pPr>
        <w:numPr>
          <w:ilvl w:val="0"/>
          <w:numId w:val="81"/>
        </w:numPr>
        <w:rPr>
          <w:rtl/>
        </w:rPr>
      </w:pPr>
      <w:r w:rsidRPr="0025250D">
        <w:rPr>
          <w:rtl/>
        </w:rPr>
        <w:t>نقاط داده: تجسم به معنا</w:t>
      </w:r>
      <w:r w:rsidRPr="0025250D">
        <w:rPr>
          <w:rFonts w:hint="cs"/>
          <w:rtl/>
        </w:rPr>
        <w:t>ی</w:t>
      </w:r>
      <w:r w:rsidRPr="0025250D">
        <w:rPr>
          <w:rtl/>
        </w:rPr>
        <w:t xml:space="preserve"> چ</w:t>
      </w:r>
      <w:r w:rsidRPr="0025250D">
        <w:rPr>
          <w:rFonts w:hint="cs"/>
          <w:rtl/>
        </w:rPr>
        <w:t>ی</w:t>
      </w:r>
      <w:r w:rsidRPr="0025250D">
        <w:rPr>
          <w:rFonts w:hint="eastAsia"/>
          <w:rtl/>
        </w:rPr>
        <w:t>ز</w:t>
      </w:r>
      <w:r w:rsidRPr="0025250D">
        <w:rPr>
          <w:rFonts w:hint="cs"/>
          <w:rtl/>
        </w:rPr>
        <w:t>ی</w:t>
      </w:r>
      <w:r w:rsidRPr="0025250D">
        <w:rPr>
          <w:rFonts w:hint="eastAsia"/>
          <w:rtl/>
        </w:rPr>
        <w:t>،</w:t>
      </w:r>
      <w:r w:rsidRPr="0025250D">
        <w:rPr>
          <w:rtl/>
        </w:rPr>
        <w:t xml:space="preserve"> ناتان </w:t>
      </w:r>
      <w:r w:rsidRPr="0025250D">
        <w:rPr>
          <w:rFonts w:hint="cs"/>
          <w:rtl/>
        </w:rPr>
        <w:t>ی</w:t>
      </w:r>
      <w:r w:rsidRPr="0025250D">
        <w:rPr>
          <w:rFonts w:hint="eastAsia"/>
          <w:rtl/>
        </w:rPr>
        <w:t>او</w:t>
      </w:r>
      <w:r w:rsidRPr="0025250D">
        <w:rPr>
          <w:vertAlign w:val="superscript"/>
          <w:rtl/>
        </w:rPr>
        <w:footnoteReference w:id="3446"/>
      </w:r>
      <w:r w:rsidRPr="0025250D">
        <w:rPr>
          <w:rFonts w:hint="eastAsia"/>
          <w:rtl/>
        </w:rPr>
        <w:t>،</w:t>
      </w:r>
      <w:r w:rsidRPr="0025250D">
        <w:rPr>
          <w:rtl/>
        </w:rPr>
        <w:t xml:space="preserve"> 2013</w:t>
      </w:r>
    </w:p>
    <w:p w14:paraId="05E8FADF" w14:textId="129683FF" w:rsidR="0037616D" w:rsidRPr="0025250D" w:rsidRDefault="0037616D" w:rsidP="00492C47">
      <w:pPr>
        <w:numPr>
          <w:ilvl w:val="0"/>
          <w:numId w:val="81"/>
        </w:numPr>
        <w:rPr>
          <w:rtl/>
        </w:rPr>
      </w:pPr>
      <w:r w:rsidRPr="0025250D">
        <w:rPr>
          <w:rtl/>
        </w:rPr>
        <w:t>طراح</w:t>
      </w:r>
      <w:r w:rsidRPr="0025250D">
        <w:rPr>
          <w:rFonts w:hint="cs"/>
          <w:rtl/>
        </w:rPr>
        <w:t>ی</w:t>
      </w:r>
      <w:r w:rsidRPr="0025250D">
        <w:rPr>
          <w:rtl/>
        </w:rPr>
        <w:t xml:space="preserve"> </w:t>
      </w:r>
      <w:r w:rsidRPr="0025250D">
        <w:rPr>
          <w:rFonts w:hint="cs"/>
          <w:rtl/>
        </w:rPr>
        <w:t>چگونگی تفکر</w:t>
      </w:r>
      <w:r w:rsidRPr="0025250D">
        <w:rPr>
          <w:rtl/>
        </w:rPr>
        <w:t xml:space="preserve"> مردم، جان ول</w:t>
      </w:r>
      <w:r w:rsidRPr="0025250D">
        <w:rPr>
          <w:rFonts w:hint="cs"/>
          <w:rtl/>
        </w:rPr>
        <w:t>ی</w:t>
      </w:r>
      <w:r w:rsidRPr="0025250D">
        <w:rPr>
          <w:rFonts w:hint="eastAsia"/>
          <w:rtl/>
        </w:rPr>
        <w:t>ن</w:t>
      </w:r>
      <w:r w:rsidRPr="0025250D">
        <w:rPr>
          <w:vertAlign w:val="superscript"/>
          <w:rtl/>
        </w:rPr>
        <w:footnoteReference w:id="3447"/>
      </w:r>
      <w:r w:rsidRPr="0025250D">
        <w:rPr>
          <w:rFonts w:hint="eastAsia"/>
          <w:rtl/>
        </w:rPr>
        <w:t>،</w:t>
      </w:r>
      <w:r w:rsidRPr="0025250D">
        <w:rPr>
          <w:rtl/>
        </w:rPr>
        <w:t xml:space="preserve"> 2019</w:t>
      </w:r>
    </w:p>
    <w:p w14:paraId="55ED00AC" w14:textId="77777777" w:rsidR="0037616D" w:rsidRPr="0025250D" w:rsidRDefault="0037616D" w:rsidP="00492C47">
      <w:pPr>
        <w:numPr>
          <w:ilvl w:val="0"/>
          <w:numId w:val="81"/>
        </w:numPr>
        <w:rPr>
          <w:rtl/>
        </w:rPr>
      </w:pPr>
      <w:r w:rsidRPr="0025250D">
        <w:rPr>
          <w:rtl/>
        </w:rPr>
        <w:t>انتشار نوآور</w:t>
      </w:r>
      <w:r w:rsidRPr="0025250D">
        <w:rPr>
          <w:rFonts w:hint="cs"/>
          <w:rtl/>
        </w:rPr>
        <w:t>ی</w:t>
      </w:r>
      <w:r w:rsidRPr="0025250D">
        <w:rPr>
          <w:rtl/>
        </w:rPr>
        <w:t xml:space="preserve"> ها، و</w:t>
      </w:r>
      <w:r w:rsidRPr="0025250D">
        <w:rPr>
          <w:rFonts w:hint="cs"/>
          <w:rtl/>
        </w:rPr>
        <w:t>ی</w:t>
      </w:r>
      <w:r w:rsidRPr="0025250D">
        <w:rPr>
          <w:rFonts w:hint="eastAsia"/>
          <w:rtl/>
        </w:rPr>
        <w:t>را</w:t>
      </w:r>
      <w:r w:rsidRPr="0025250D">
        <w:rPr>
          <w:rFonts w:hint="cs"/>
          <w:rtl/>
        </w:rPr>
        <w:t>ی</w:t>
      </w:r>
      <w:r w:rsidRPr="0025250D">
        <w:rPr>
          <w:rFonts w:hint="eastAsia"/>
          <w:rtl/>
        </w:rPr>
        <w:t>ش</w:t>
      </w:r>
      <w:r w:rsidRPr="0025250D">
        <w:rPr>
          <w:rtl/>
        </w:rPr>
        <w:t xml:space="preserve"> پنجم، اورت راجرز</w:t>
      </w:r>
      <w:r w:rsidRPr="0025250D">
        <w:rPr>
          <w:vertAlign w:val="superscript"/>
          <w:rtl/>
        </w:rPr>
        <w:footnoteReference w:id="3448"/>
      </w:r>
      <w:r w:rsidRPr="0025250D">
        <w:rPr>
          <w:rtl/>
        </w:rPr>
        <w:t>، 2003</w:t>
      </w:r>
    </w:p>
    <w:p w14:paraId="003FA127" w14:textId="4A3EA458" w:rsidR="0037616D" w:rsidRPr="0025250D" w:rsidRDefault="00701E03" w:rsidP="00492C47">
      <w:pPr>
        <w:numPr>
          <w:ilvl w:val="0"/>
          <w:numId w:val="81"/>
        </w:numPr>
        <w:rPr>
          <w:rtl/>
        </w:rPr>
      </w:pPr>
      <w:r w:rsidRPr="0025250D">
        <w:rPr>
          <w:rtl/>
        </w:rPr>
        <w:t>راهبرد</w:t>
      </w:r>
      <w:r w:rsidR="0037616D" w:rsidRPr="0025250D">
        <w:rPr>
          <w:rtl/>
        </w:rPr>
        <w:t xml:space="preserve"> لبه، لوئ</w:t>
      </w:r>
      <w:r w:rsidR="0037616D" w:rsidRPr="0025250D">
        <w:rPr>
          <w:rFonts w:hint="cs"/>
          <w:rtl/>
        </w:rPr>
        <w:t>ی</w:t>
      </w:r>
      <w:r w:rsidR="0037616D" w:rsidRPr="0025250D">
        <w:rPr>
          <w:rFonts w:hint="eastAsia"/>
          <w:rtl/>
        </w:rPr>
        <w:t>س</w:t>
      </w:r>
      <w:r w:rsidR="0037616D" w:rsidRPr="0025250D">
        <w:rPr>
          <w:rtl/>
        </w:rPr>
        <w:t xml:space="preserve"> و مک‌کون</w:t>
      </w:r>
      <w:r w:rsidR="0037616D" w:rsidRPr="0025250D">
        <w:rPr>
          <w:vertAlign w:val="superscript"/>
          <w:rtl/>
        </w:rPr>
        <w:footnoteReference w:id="3449"/>
      </w:r>
      <w:r w:rsidR="0037616D" w:rsidRPr="0025250D">
        <w:rPr>
          <w:rtl/>
        </w:rPr>
        <w:t>، 2016</w:t>
      </w:r>
    </w:p>
    <w:p w14:paraId="24160067" w14:textId="725375E8" w:rsidR="0037616D" w:rsidRPr="0025250D" w:rsidRDefault="0037616D" w:rsidP="00492C47">
      <w:pPr>
        <w:numPr>
          <w:ilvl w:val="0"/>
          <w:numId w:val="81"/>
        </w:numPr>
        <w:rPr>
          <w:rtl/>
        </w:rPr>
      </w:pPr>
      <w:r w:rsidRPr="0025250D">
        <w:rPr>
          <w:rtl/>
        </w:rPr>
        <w:t>قضاوت س</w:t>
      </w:r>
      <w:r w:rsidRPr="0025250D">
        <w:rPr>
          <w:rFonts w:hint="cs"/>
          <w:rtl/>
        </w:rPr>
        <w:t>ی</w:t>
      </w:r>
      <w:r w:rsidRPr="0025250D">
        <w:rPr>
          <w:rFonts w:hint="eastAsia"/>
          <w:rtl/>
        </w:rPr>
        <w:t>اس</w:t>
      </w:r>
      <w:r w:rsidRPr="0025250D">
        <w:rPr>
          <w:rFonts w:hint="cs"/>
          <w:rtl/>
        </w:rPr>
        <w:t>ی</w:t>
      </w:r>
      <w:r w:rsidRPr="0025250D">
        <w:rPr>
          <w:rtl/>
        </w:rPr>
        <w:t xml:space="preserve"> کارشناس</w:t>
      </w:r>
      <w:r w:rsidRPr="0025250D">
        <w:rPr>
          <w:rFonts w:hint="cs"/>
          <w:rtl/>
        </w:rPr>
        <w:t>ی</w:t>
      </w:r>
      <w:r w:rsidRPr="0025250D">
        <w:rPr>
          <w:rtl/>
        </w:rPr>
        <w:t>: چقدر خوب است؟ چگونه می‌توان</w:t>
      </w:r>
      <w:r w:rsidRPr="0025250D">
        <w:rPr>
          <w:rFonts w:hint="cs"/>
          <w:rtl/>
        </w:rPr>
        <w:t>ی</w:t>
      </w:r>
      <w:r w:rsidRPr="0025250D">
        <w:rPr>
          <w:rFonts w:hint="eastAsia"/>
          <w:rtl/>
        </w:rPr>
        <w:t>م</w:t>
      </w:r>
      <w:r w:rsidRPr="0025250D">
        <w:rPr>
          <w:rtl/>
        </w:rPr>
        <w:t xml:space="preserve"> بدان</w:t>
      </w:r>
      <w:r w:rsidRPr="0025250D">
        <w:rPr>
          <w:rFonts w:hint="cs"/>
          <w:rtl/>
        </w:rPr>
        <w:t>ی</w:t>
      </w:r>
      <w:r w:rsidRPr="0025250D">
        <w:rPr>
          <w:rFonts w:hint="eastAsia"/>
          <w:rtl/>
        </w:rPr>
        <w:t>م</w:t>
      </w:r>
      <w:r w:rsidR="001C62AD" w:rsidRPr="0025250D">
        <w:rPr>
          <w:rtl/>
        </w:rPr>
        <w:t>؟</w:t>
      </w:r>
      <w:r w:rsidRPr="0025250D">
        <w:rPr>
          <w:rtl/>
        </w:rPr>
        <w:t xml:space="preserve"> ف</w:t>
      </w:r>
      <w:r w:rsidRPr="0025250D">
        <w:rPr>
          <w:rFonts w:hint="cs"/>
          <w:rtl/>
        </w:rPr>
        <w:t>ی</w:t>
      </w:r>
      <w:r w:rsidRPr="0025250D">
        <w:rPr>
          <w:rFonts w:hint="eastAsia"/>
          <w:rtl/>
        </w:rPr>
        <w:t>ل</w:t>
      </w:r>
      <w:r w:rsidRPr="0025250D">
        <w:rPr>
          <w:rFonts w:hint="cs"/>
          <w:rtl/>
        </w:rPr>
        <w:t>ی</w:t>
      </w:r>
      <w:r w:rsidRPr="0025250D">
        <w:rPr>
          <w:rFonts w:hint="eastAsia"/>
          <w:rtl/>
        </w:rPr>
        <w:t>پ</w:t>
      </w:r>
      <w:r w:rsidRPr="0025250D">
        <w:rPr>
          <w:rtl/>
        </w:rPr>
        <w:t xml:space="preserve"> تتلاک</w:t>
      </w:r>
      <w:r w:rsidRPr="0025250D">
        <w:rPr>
          <w:vertAlign w:val="superscript"/>
          <w:rtl/>
        </w:rPr>
        <w:footnoteReference w:id="3450"/>
      </w:r>
      <w:r w:rsidRPr="0025250D">
        <w:rPr>
          <w:rtl/>
        </w:rPr>
        <w:t>، 2006.</w:t>
      </w:r>
    </w:p>
    <w:p w14:paraId="7B1A41D6" w14:textId="3A8E4501" w:rsidR="0037616D" w:rsidRPr="0025250D" w:rsidRDefault="0037616D" w:rsidP="00492C47">
      <w:pPr>
        <w:numPr>
          <w:ilvl w:val="0"/>
          <w:numId w:val="81"/>
        </w:numPr>
        <w:rPr>
          <w:rtl/>
        </w:rPr>
      </w:pPr>
      <w:r w:rsidRPr="0025250D">
        <w:rPr>
          <w:rtl/>
        </w:rPr>
        <w:t>شبکه پا</w:t>
      </w:r>
      <w:r w:rsidRPr="0025250D">
        <w:rPr>
          <w:rFonts w:hint="cs"/>
          <w:rtl/>
        </w:rPr>
        <w:t>ی</w:t>
      </w:r>
      <w:r w:rsidRPr="0025250D">
        <w:rPr>
          <w:rFonts w:hint="eastAsia"/>
          <w:rtl/>
        </w:rPr>
        <w:t>ش</w:t>
      </w:r>
      <w:r w:rsidRPr="0025250D">
        <w:rPr>
          <w:rtl/>
        </w:rPr>
        <w:t xml:space="preserve"> آینده‌نگاری اروپا - گزارش نها</w:t>
      </w:r>
      <w:r w:rsidRPr="0025250D">
        <w:rPr>
          <w:rFonts w:hint="cs"/>
          <w:rtl/>
        </w:rPr>
        <w:t>یی</w:t>
      </w:r>
      <w:r w:rsidRPr="0025250D">
        <w:rPr>
          <w:rFonts w:hint="eastAsia"/>
          <w:rtl/>
        </w:rPr>
        <w:t>،</w:t>
      </w:r>
      <w:r w:rsidRPr="0025250D">
        <w:rPr>
          <w:rtl/>
        </w:rPr>
        <w:t xml:space="preserve"> </w:t>
      </w:r>
      <w:r w:rsidRPr="0025250D">
        <w:t>PDF</w:t>
      </w:r>
      <w:r w:rsidRPr="0025250D">
        <w:rPr>
          <w:rtl/>
        </w:rPr>
        <w:t>، مور</w:t>
      </w:r>
      <w:r w:rsidRPr="0025250D">
        <w:rPr>
          <w:rFonts w:hint="cs"/>
          <w:rtl/>
        </w:rPr>
        <w:t>ی</w:t>
      </w:r>
      <w:r w:rsidRPr="0025250D">
        <w:rPr>
          <w:rFonts w:hint="eastAsia"/>
          <w:rtl/>
        </w:rPr>
        <w:t>تز</w:t>
      </w:r>
      <w:r w:rsidRPr="0025250D">
        <w:rPr>
          <w:rtl/>
        </w:rPr>
        <w:t xml:space="preserve"> باتر و همکاران</w:t>
      </w:r>
      <w:r w:rsidRPr="0025250D">
        <w:rPr>
          <w:vertAlign w:val="superscript"/>
          <w:rtl/>
        </w:rPr>
        <w:footnoteReference w:id="3451"/>
      </w:r>
      <w:r w:rsidRPr="0025250D">
        <w:rPr>
          <w:rtl/>
        </w:rPr>
        <w:t>، 2009</w:t>
      </w:r>
    </w:p>
    <w:p w14:paraId="395CB5D7" w14:textId="77777777" w:rsidR="0037616D" w:rsidRPr="0025250D" w:rsidRDefault="0037616D" w:rsidP="00492C47">
      <w:pPr>
        <w:numPr>
          <w:ilvl w:val="0"/>
          <w:numId w:val="81"/>
        </w:numPr>
        <w:rPr>
          <w:rtl/>
        </w:rPr>
      </w:pPr>
      <w:r w:rsidRPr="0025250D">
        <w:t>F.I.R.E</w:t>
      </w:r>
      <w:r w:rsidRPr="0025250D">
        <w:rPr>
          <w:rtl/>
        </w:rPr>
        <w:t>.: طراح</w:t>
      </w:r>
      <w:r w:rsidRPr="0025250D">
        <w:rPr>
          <w:rFonts w:hint="cs"/>
          <w:rtl/>
        </w:rPr>
        <w:t>ی</w:t>
      </w:r>
      <w:r w:rsidRPr="0025250D">
        <w:rPr>
          <w:rtl/>
        </w:rPr>
        <w:t xml:space="preserve"> سر</w:t>
      </w:r>
      <w:r w:rsidRPr="0025250D">
        <w:rPr>
          <w:rFonts w:hint="cs"/>
          <w:rtl/>
        </w:rPr>
        <w:t>ی</w:t>
      </w:r>
      <w:r w:rsidRPr="0025250D">
        <w:rPr>
          <w:rFonts w:hint="eastAsia"/>
          <w:rtl/>
        </w:rPr>
        <w:t>ع،</w:t>
      </w:r>
      <w:r w:rsidRPr="0025250D">
        <w:rPr>
          <w:rtl/>
        </w:rPr>
        <w:t xml:space="preserve"> </w:t>
      </w:r>
      <w:r w:rsidRPr="0025250D">
        <w:rPr>
          <w:rFonts w:hint="cs"/>
          <w:rtl/>
        </w:rPr>
        <w:t>کم هزینه</w:t>
      </w:r>
      <w:r w:rsidRPr="0025250D">
        <w:rPr>
          <w:rtl/>
        </w:rPr>
        <w:t>، محدود و ز</w:t>
      </w:r>
      <w:r w:rsidRPr="0025250D">
        <w:rPr>
          <w:rFonts w:hint="cs"/>
          <w:rtl/>
        </w:rPr>
        <w:t>ی</w:t>
      </w:r>
      <w:r w:rsidRPr="0025250D">
        <w:rPr>
          <w:rFonts w:hint="eastAsia"/>
          <w:rtl/>
        </w:rPr>
        <w:t>با</w:t>
      </w:r>
      <w:r w:rsidRPr="0025250D">
        <w:rPr>
          <w:rtl/>
        </w:rPr>
        <w:t xml:space="preserve"> برا</w:t>
      </w:r>
      <w:r w:rsidRPr="0025250D">
        <w:rPr>
          <w:rFonts w:hint="cs"/>
          <w:rtl/>
        </w:rPr>
        <w:t>ی</w:t>
      </w:r>
      <w:r w:rsidRPr="0025250D">
        <w:rPr>
          <w:rtl/>
        </w:rPr>
        <w:t xml:space="preserve"> نوآور</w:t>
      </w:r>
      <w:r w:rsidRPr="0025250D">
        <w:rPr>
          <w:rFonts w:hint="cs"/>
          <w:rtl/>
        </w:rPr>
        <w:t>ی</w:t>
      </w:r>
      <w:r w:rsidRPr="0025250D">
        <w:rPr>
          <w:rFonts w:hint="eastAsia"/>
          <w:rtl/>
        </w:rPr>
        <w:t>،</w:t>
      </w:r>
      <w:r w:rsidRPr="0025250D">
        <w:rPr>
          <w:rtl/>
        </w:rPr>
        <w:t xml:space="preserve"> دن وارد</w:t>
      </w:r>
      <w:r w:rsidRPr="0025250D">
        <w:rPr>
          <w:vertAlign w:val="superscript"/>
          <w:rtl/>
        </w:rPr>
        <w:footnoteReference w:id="3452"/>
      </w:r>
      <w:r w:rsidRPr="0025250D">
        <w:rPr>
          <w:rtl/>
        </w:rPr>
        <w:t>، 2014</w:t>
      </w:r>
    </w:p>
    <w:p w14:paraId="34B8BFC4" w14:textId="6C7C2B9A" w:rsidR="0037616D" w:rsidRPr="0025250D" w:rsidRDefault="0037616D" w:rsidP="00492C47">
      <w:pPr>
        <w:numPr>
          <w:ilvl w:val="0"/>
          <w:numId w:val="81"/>
        </w:numPr>
        <w:rPr>
          <w:rtl/>
        </w:rPr>
      </w:pPr>
      <w:r w:rsidRPr="0025250D">
        <w:rPr>
          <w:rtl/>
        </w:rPr>
        <w:t>عوامل</w:t>
      </w:r>
      <w:r w:rsidRPr="0025250D">
        <w:rPr>
          <w:rFonts w:hint="cs"/>
          <w:rtl/>
        </w:rPr>
        <w:t>ی</w:t>
      </w:r>
      <w:r w:rsidRPr="0025250D">
        <w:rPr>
          <w:rtl/>
        </w:rPr>
        <w:t xml:space="preserve"> برا</w:t>
      </w:r>
      <w:r w:rsidRPr="0025250D">
        <w:rPr>
          <w:rFonts w:hint="cs"/>
          <w:rtl/>
        </w:rPr>
        <w:t>ی</w:t>
      </w:r>
      <w:r w:rsidRPr="0025250D">
        <w:rPr>
          <w:rtl/>
        </w:rPr>
        <w:t xml:space="preserve"> </w:t>
      </w:r>
      <w:r w:rsidR="00D92F6E" w:rsidRPr="0025250D">
        <w:rPr>
          <w:rtl/>
        </w:rPr>
        <w:t>آینده‌پژوه</w:t>
      </w:r>
      <w:r w:rsidRPr="0025250D">
        <w:rPr>
          <w:rFonts w:hint="cs"/>
          <w:rtl/>
        </w:rPr>
        <w:t>ی</w:t>
      </w:r>
      <w:r w:rsidRPr="0025250D">
        <w:rPr>
          <w:rtl/>
        </w:rPr>
        <w:t xml:space="preserve"> موفق در </w:t>
      </w:r>
      <w:r w:rsidR="0008779C" w:rsidRPr="0025250D">
        <w:rPr>
          <w:rtl/>
        </w:rPr>
        <w:t>تصمیم‌گیری</w:t>
      </w:r>
      <w:r w:rsidRPr="0025250D">
        <w:rPr>
          <w:rFonts w:hint="eastAsia"/>
          <w:rtl/>
        </w:rPr>
        <w:t>،</w:t>
      </w:r>
      <w:r w:rsidRPr="0025250D">
        <w:rPr>
          <w:rtl/>
        </w:rPr>
        <w:t xml:space="preserve"> گلن و گوردون</w:t>
      </w:r>
      <w:r w:rsidRPr="0025250D">
        <w:rPr>
          <w:vertAlign w:val="superscript"/>
          <w:rtl/>
        </w:rPr>
        <w:footnoteReference w:id="3453"/>
      </w:r>
      <w:r w:rsidRPr="0025250D">
        <w:rPr>
          <w:rtl/>
        </w:rPr>
        <w:t>، 1999</w:t>
      </w:r>
    </w:p>
    <w:p w14:paraId="2EA180B2" w14:textId="77777777" w:rsidR="0037616D" w:rsidRPr="0025250D" w:rsidRDefault="0037616D" w:rsidP="00492C47">
      <w:pPr>
        <w:numPr>
          <w:ilvl w:val="0"/>
          <w:numId w:val="81"/>
        </w:numPr>
        <w:rPr>
          <w:rtl/>
        </w:rPr>
      </w:pPr>
      <w:r w:rsidRPr="0025250D">
        <w:rPr>
          <w:rtl/>
        </w:rPr>
        <w:t>آ</w:t>
      </w:r>
      <w:r w:rsidRPr="0025250D">
        <w:rPr>
          <w:rFonts w:hint="cs"/>
          <w:rtl/>
        </w:rPr>
        <w:t>ی</w:t>
      </w:r>
      <w:r w:rsidRPr="0025250D">
        <w:rPr>
          <w:rFonts w:hint="eastAsia"/>
          <w:rtl/>
        </w:rPr>
        <w:t>نده‌نگار</w:t>
      </w:r>
      <w:r w:rsidRPr="0025250D">
        <w:rPr>
          <w:rFonts w:hint="cs"/>
          <w:rtl/>
        </w:rPr>
        <w:t>ی</w:t>
      </w:r>
      <w:r w:rsidRPr="0025250D">
        <w:rPr>
          <w:rtl/>
        </w:rPr>
        <w:t xml:space="preserve"> فلش، دان</w:t>
      </w:r>
      <w:r w:rsidRPr="0025250D">
        <w:rPr>
          <w:rFonts w:hint="cs"/>
          <w:rtl/>
        </w:rPr>
        <w:t>ی</w:t>
      </w:r>
      <w:r w:rsidRPr="0025250D">
        <w:rPr>
          <w:rFonts w:hint="eastAsia"/>
          <w:rtl/>
        </w:rPr>
        <w:t>ل</w:t>
      </w:r>
      <w:r w:rsidRPr="0025250D">
        <w:rPr>
          <w:rtl/>
        </w:rPr>
        <w:t xml:space="preserve"> بوروس</w:t>
      </w:r>
      <w:r w:rsidRPr="0025250D">
        <w:rPr>
          <w:vertAlign w:val="superscript"/>
          <w:rtl/>
        </w:rPr>
        <w:footnoteReference w:id="3454"/>
      </w:r>
      <w:r w:rsidRPr="0025250D">
        <w:rPr>
          <w:rtl/>
        </w:rPr>
        <w:t>، 2011</w:t>
      </w:r>
    </w:p>
    <w:p w14:paraId="04D2F2E0" w14:textId="77777777" w:rsidR="0037616D" w:rsidRPr="0025250D" w:rsidRDefault="0037616D" w:rsidP="00492C47">
      <w:pPr>
        <w:numPr>
          <w:ilvl w:val="0"/>
          <w:numId w:val="81"/>
        </w:numPr>
        <w:rPr>
          <w:rtl/>
        </w:rPr>
      </w:pPr>
      <w:r w:rsidRPr="0025250D">
        <w:rPr>
          <w:rtl/>
        </w:rPr>
        <w:t>فر</w:t>
      </w:r>
      <w:r w:rsidRPr="0025250D">
        <w:rPr>
          <w:rFonts w:hint="cs"/>
          <w:rtl/>
        </w:rPr>
        <w:t>ی</w:t>
      </w:r>
      <w:r w:rsidRPr="0025250D">
        <w:rPr>
          <w:rFonts w:hint="eastAsia"/>
          <w:rtl/>
        </w:rPr>
        <w:t>ب</w:t>
      </w:r>
      <w:r w:rsidRPr="0025250D">
        <w:rPr>
          <w:rtl/>
        </w:rPr>
        <w:t xml:space="preserve"> خورده توسط تصادف: نقش شانس در زندگ</w:t>
      </w:r>
      <w:r w:rsidRPr="0025250D">
        <w:rPr>
          <w:rFonts w:hint="cs"/>
          <w:rtl/>
        </w:rPr>
        <w:t>ی</w:t>
      </w:r>
      <w:r w:rsidRPr="0025250D">
        <w:rPr>
          <w:rtl/>
        </w:rPr>
        <w:t xml:space="preserve"> و بازارها، ن</w:t>
      </w:r>
      <w:r w:rsidRPr="0025250D">
        <w:rPr>
          <w:rFonts w:hint="cs"/>
          <w:rtl/>
        </w:rPr>
        <w:t>ی</w:t>
      </w:r>
      <w:r w:rsidRPr="0025250D">
        <w:rPr>
          <w:rFonts w:hint="eastAsia"/>
          <w:rtl/>
        </w:rPr>
        <w:t>کلاس</w:t>
      </w:r>
      <w:r w:rsidRPr="0025250D">
        <w:rPr>
          <w:rtl/>
        </w:rPr>
        <w:t xml:space="preserve"> طالب</w:t>
      </w:r>
      <w:r w:rsidRPr="0025250D">
        <w:rPr>
          <w:vertAlign w:val="superscript"/>
          <w:rtl/>
        </w:rPr>
        <w:footnoteReference w:id="3455"/>
      </w:r>
      <w:r w:rsidRPr="0025250D">
        <w:rPr>
          <w:rtl/>
        </w:rPr>
        <w:t>، 2005</w:t>
      </w:r>
    </w:p>
    <w:p w14:paraId="2BBC366C" w14:textId="77777777" w:rsidR="0037616D" w:rsidRPr="0025250D" w:rsidRDefault="0037616D" w:rsidP="00492C47">
      <w:pPr>
        <w:numPr>
          <w:ilvl w:val="0"/>
          <w:numId w:val="81"/>
        </w:numPr>
        <w:rPr>
          <w:rtl/>
        </w:rPr>
      </w:pPr>
      <w:r w:rsidRPr="0025250D">
        <w:t>FYI</w:t>
      </w:r>
      <w:r w:rsidRPr="0025250D">
        <w:rPr>
          <w:rtl/>
        </w:rPr>
        <w:t>: برا</w:t>
      </w:r>
      <w:r w:rsidRPr="0025250D">
        <w:rPr>
          <w:rFonts w:hint="cs"/>
          <w:rtl/>
        </w:rPr>
        <w:t>ی</w:t>
      </w:r>
      <w:r w:rsidRPr="0025250D">
        <w:rPr>
          <w:rtl/>
        </w:rPr>
        <w:t xml:space="preserve"> پ</w:t>
      </w:r>
      <w:r w:rsidRPr="0025250D">
        <w:rPr>
          <w:rFonts w:hint="cs"/>
          <w:rtl/>
        </w:rPr>
        <w:t>ی</w:t>
      </w:r>
      <w:r w:rsidRPr="0025250D">
        <w:rPr>
          <w:rFonts w:hint="eastAsia"/>
          <w:rtl/>
        </w:rPr>
        <w:t>شرفت</w:t>
      </w:r>
      <w:r w:rsidRPr="0025250D">
        <w:rPr>
          <w:rtl/>
        </w:rPr>
        <w:t xml:space="preserve"> شما - </w:t>
      </w:r>
      <w:r w:rsidRPr="0025250D">
        <w:rPr>
          <w:rFonts w:hint="cs"/>
          <w:rtl/>
        </w:rPr>
        <w:t>ی</w:t>
      </w:r>
      <w:r w:rsidRPr="0025250D">
        <w:rPr>
          <w:rFonts w:hint="eastAsia"/>
          <w:rtl/>
        </w:rPr>
        <w:t>ک</w:t>
      </w:r>
      <w:r w:rsidRPr="0025250D">
        <w:rPr>
          <w:rtl/>
        </w:rPr>
        <w:t xml:space="preserve"> </w:t>
      </w:r>
      <w:r w:rsidRPr="0025250D">
        <w:rPr>
          <w:rFonts w:hint="cs"/>
          <w:rtl/>
        </w:rPr>
        <w:t>راهنمای توسعه</w:t>
      </w:r>
      <w:r w:rsidRPr="0025250D">
        <w:rPr>
          <w:rtl/>
        </w:rPr>
        <w:t xml:space="preserve"> رهبر</w:t>
      </w:r>
      <w:r w:rsidRPr="0025250D">
        <w:rPr>
          <w:rFonts w:hint="cs"/>
          <w:rtl/>
        </w:rPr>
        <w:t>ی</w:t>
      </w:r>
      <w:r w:rsidRPr="0025250D">
        <w:rPr>
          <w:rtl/>
        </w:rPr>
        <w:t>، و</w:t>
      </w:r>
      <w:r w:rsidRPr="0025250D">
        <w:rPr>
          <w:rFonts w:hint="cs"/>
          <w:rtl/>
        </w:rPr>
        <w:t>ی</w:t>
      </w:r>
      <w:r w:rsidRPr="0025250D">
        <w:rPr>
          <w:rFonts w:hint="eastAsia"/>
          <w:rtl/>
        </w:rPr>
        <w:t>را</w:t>
      </w:r>
      <w:r w:rsidRPr="0025250D">
        <w:rPr>
          <w:rFonts w:hint="cs"/>
          <w:rtl/>
        </w:rPr>
        <w:t>ی</w:t>
      </w:r>
      <w:r w:rsidRPr="0025250D">
        <w:rPr>
          <w:rFonts w:hint="eastAsia"/>
          <w:rtl/>
        </w:rPr>
        <w:t>ش</w:t>
      </w:r>
      <w:r w:rsidRPr="0025250D">
        <w:rPr>
          <w:rtl/>
        </w:rPr>
        <w:t xml:space="preserve"> ششم، کورن فر</w:t>
      </w:r>
      <w:r w:rsidRPr="0025250D">
        <w:rPr>
          <w:rFonts w:hint="cs"/>
          <w:rtl/>
        </w:rPr>
        <w:t>ی</w:t>
      </w:r>
      <w:r w:rsidRPr="0025250D">
        <w:rPr>
          <w:vertAlign w:val="superscript"/>
          <w:rtl/>
        </w:rPr>
        <w:footnoteReference w:id="3456"/>
      </w:r>
      <w:r w:rsidRPr="0025250D">
        <w:rPr>
          <w:rFonts w:hint="eastAsia"/>
          <w:rtl/>
        </w:rPr>
        <w:t>،</w:t>
      </w:r>
      <w:r w:rsidRPr="0025250D">
        <w:rPr>
          <w:rtl/>
        </w:rPr>
        <w:t xml:space="preserve"> 2017</w:t>
      </w:r>
    </w:p>
    <w:p w14:paraId="6E8085CD" w14:textId="0703EB8D" w:rsidR="0037616D" w:rsidRPr="0025250D" w:rsidRDefault="00FB6A7E" w:rsidP="00492C47">
      <w:pPr>
        <w:numPr>
          <w:ilvl w:val="0"/>
          <w:numId w:val="81"/>
        </w:numPr>
        <w:rPr>
          <w:rtl/>
        </w:rPr>
      </w:pPr>
      <w:r w:rsidRPr="0025250D">
        <w:rPr>
          <w:rtl/>
        </w:rPr>
        <w:t>پیش‌نگری</w:t>
      </w:r>
      <w:r w:rsidR="0037616D" w:rsidRPr="0025250D">
        <w:rPr>
          <w:rtl/>
        </w:rPr>
        <w:t>: ارز</w:t>
      </w:r>
      <w:r w:rsidR="0037616D" w:rsidRPr="0025250D">
        <w:rPr>
          <w:rFonts w:hint="cs"/>
          <w:rtl/>
        </w:rPr>
        <w:t>ی</w:t>
      </w:r>
      <w:r w:rsidR="0037616D" w:rsidRPr="0025250D">
        <w:rPr>
          <w:rFonts w:hint="eastAsia"/>
          <w:rtl/>
        </w:rPr>
        <w:t>اب</w:t>
      </w:r>
      <w:r w:rsidR="0037616D" w:rsidRPr="0025250D">
        <w:rPr>
          <w:rFonts w:hint="cs"/>
          <w:rtl/>
        </w:rPr>
        <w:t>ی</w:t>
      </w:r>
      <w:r w:rsidR="0037616D" w:rsidRPr="0025250D">
        <w:rPr>
          <w:rtl/>
        </w:rPr>
        <w:t xml:space="preserve"> برا</w:t>
      </w:r>
      <w:r w:rsidR="0037616D" w:rsidRPr="0025250D">
        <w:rPr>
          <w:rFonts w:hint="cs"/>
          <w:rtl/>
        </w:rPr>
        <w:t>ی</w:t>
      </w:r>
      <w:r w:rsidR="0037616D" w:rsidRPr="0025250D">
        <w:rPr>
          <w:rtl/>
        </w:rPr>
        <w:t xml:space="preserve"> س</w:t>
      </w:r>
      <w:r w:rsidR="0037616D" w:rsidRPr="0025250D">
        <w:rPr>
          <w:rFonts w:hint="cs"/>
          <w:rtl/>
        </w:rPr>
        <w:t>ی</w:t>
      </w:r>
      <w:r w:rsidR="0037616D" w:rsidRPr="0025250D">
        <w:rPr>
          <w:rFonts w:hint="eastAsia"/>
          <w:rtl/>
        </w:rPr>
        <w:t>است</w:t>
      </w:r>
      <w:r w:rsidR="0037616D" w:rsidRPr="0025250D">
        <w:rPr>
          <w:rtl/>
        </w:rPr>
        <w:t xml:space="preserve"> گذاران و برنامه ر</w:t>
      </w:r>
      <w:r w:rsidR="0037616D" w:rsidRPr="0025250D">
        <w:rPr>
          <w:rFonts w:hint="cs"/>
          <w:rtl/>
        </w:rPr>
        <w:t>ی</w:t>
      </w:r>
      <w:r w:rsidR="0037616D" w:rsidRPr="0025250D">
        <w:rPr>
          <w:rFonts w:hint="eastAsia"/>
          <w:rtl/>
        </w:rPr>
        <w:t>زان،</w:t>
      </w:r>
      <w:r w:rsidR="0037616D" w:rsidRPr="0025250D">
        <w:rPr>
          <w:rtl/>
        </w:rPr>
        <w:t xml:space="preserve"> و</w:t>
      </w:r>
      <w:r w:rsidR="0037616D" w:rsidRPr="0025250D">
        <w:rPr>
          <w:rFonts w:hint="cs"/>
          <w:rtl/>
        </w:rPr>
        <w:t>ی</w:t>
      </w:r>
      <w:r w:rsidR="0037616D" w:rsidRPr="0025250D">
        <w:rPr>
          <w:rFonts w:hint="eastAsia"/>
          <w:rtl/>
        </w:rPr>
        <w:t>ل</w:t>
      </w:r>
      <w:r w:rsidR="0037616D" w:rsidRPr="0025250D">
        <w:rPr>
          <w:rFonts w:hint="cs"/>
          <w:rtl/>
        </w:rPr>
        <w:t>ی</w:t>
      </w:r>
      <w:r w:rsidR="0037616D" w:rsidRPr="0025250D">
        <w:rPr>
          <w:rFonts w:hint="eastAsia"/>
          <w:rtl/>
        </w:rPr>
        <w:t>ام</w:t>
      </w:r>
      <w:r w:rsidR="0037616D" w:rsidRPr="0025250D">
        <w:rPr>
          <w:rtl/>
        </w:rPr>
        <w:t xml:space="preserve"> اشر</w:t>
      </w:r>
      <w:r w:rsidR="0037616D" w:rsidRPr="0025250D">
        <w:rPr>
          <w:vertAlign w:val="superscript"/>
          <w:rtl/>
        </w:rPr>
        <w:footnoteReference w:id="3457"/>
      </w:r>
      <w:r w:rsidR="0037616D" w:rsidRPr="0025250D">
        <w:rPr>
          <w:rtl/>
        </w:rPr>
        <w:t>، 1979</w:t>
      </w:r>
    </w:p>
    <w:p w14:paraId="539A0EFE" w14:textId="39A13300" w:rsidR="0037616D" w:rsidRPr="0025250D" w:rsidRDefault="00FB6A7E" w:rsidP="00492C47">
      <w:pPr>
        <w:numPr>
          <w:ilvl w:val="0"/>
          <w:numId w:val="81"/>
        </w:numPr>
        <w:rPr>
          <w:rtl/>
        </w:rPr>
      </w:pPr>
      <w:r w:rsidRPr="0025250D">
        <w:rPr>
          <w:rtl/>
        </w:rPr>
        <w:t>پیش‌نگری</w:t>
      </w:r>
      <w:r w:rsidR="0037616D" w:rsidRPr="0025250D">
        <w:rPr>
          <w:rtl/>
        </w:rPr>
        <w:t xml:space="preserve"> و مد</w:t>
      </w:r>
      <w:r w:rsidR="0037616D" w:rsidRPr="0025250D">
        <w:rPr>
          <w:rFonts w:hint="cs"/>
          <w:rtl/>
        </w:rPr>
        <w:t>ی</w:t>
      </w:r>
      <w:r w:rsidR="0037616D" w:rsidRPr="0025250D">
        <w:rPr>
          <w:rFonts w:hint="eastAsia"/>
          <w:rtl/>
        </w:rPr>
        <w:t>ر</w:t>
      </w:r>
      <w:r w:rsidR="0037616D" w:rsidRPr="0025250D">
        <w:rPr>
          <w:rFonts w:hint="cs"/>
          <w:rtl/>
        </w:rPr>
        <w:t>ی</w:t>
      </w:r>
      <w:r w:rsidR="0037616D" w:rsidRPr="0025250D">
        <w:rPr>
          <w:rFonts w:hint="eastAsia"/>
          <w:rtl/>
        </w:rPr>
        <w:t>ت</w:t>
      </w:r>
      <w:r w:rsidR="0037616D" w:rsidRPr="0025250D">
        <w:rPr>
          <w:rtl/>
        </w:rPr>
        <w:t xml:space="preserve"> فناور</w:t>
      </w:r>
      <w:r w:rsidR="0037616D" w:rsidRPr="0025250D">
        <w:rPr>
          <w:rFonts w:hint="cs"/>
          <w:rtl/>
        </w:rPr>
        <w:t>ی</w:t>
      </w:r>
      <w:r w:rsidR="0037616D" w:rsidRPr="0025250D">
        <w:rPr>
          <w:rFonts w:hint="eastAsia"/>
          <w:rtl/>
        </w:rPr>
        <w:t>،</w:t>
      </w:r>
      <w:r w:rsidR="0037616D" w:rsidRPr="0025250D">
        <w:rPr>
          <w:rtl/>
        </w:rPr>
        <w:t xml:space="preserve"> و</w:t>
      </w:r>
      <w:r w:rsidR="0037616D" w:rsidRPr="0025250D">
        <w:rPr>
          <w:rFonts w:hint="cs"/>
          <w:rtl/>
        </w:rPr>
        <w:t>ی</w:t>
      </w:r>
      <w:r w:rsidR="0037616D" w:rsidRPr="0025250D">
        <w:rPr>
          <w:rFonts w:hint="eastAsia"/>
          <w:rtl/>
        </w:rPr>
        <w:t>را</w:t>
      </w:r>
      <w:r w:rsidR="0037616D" w:rsidRPr="0025250D">
        <w:rPr>
          <w:rFonts w:hint="cs"/>
          <w:rtl/>
        </w:rPr>
        <w:t>ی</w:t>
      </w:r>
      <w:r w:rsidR="0037616D" w:rsidRPr="0025250D">
        <w:rPr>
          <w:rFonts w:hint="eastAsia"/>
          <w:rtl/>
        </w:rPr>
        <w:t>ش</w:t>
      </w:r>
      <w:r w:rsidR="0037616D" w:rsidRPr="0025250D">
        <w:rPr>
          <w:rtl/>
        </w:rPr>
        <w:t xml:space="preserve"> دوم، آلن پورتر و همکاران</w:t>
      </w:r>
      <w:r w:rsidR="0037616D" w:rsidRPr="0025250D">
        <w:rPr>
          <w:vertAlign w:val="superscript"/>
          <w:rtl/>
        </w:rPr>
        <w:footnoteReference w:id="3458"/>
      </w:r>
      <w:r w:rsidR="0037616D" w:rsidRPr="0025250D">
        <w:rPr>
          <w:rtl/>
        </w:rPr>
        <w:t>، 2011</w:t>
      </w:r>
    </w:p>
    <w:p w14:paraId="583E1A7C" w14:textId="77777777" w:rsidR="0037616D" w:rsidRPr="0025250D" w:rsidRDefault="0037616D" w:rsidP="00492C47">
      <w:pPr>
        <w:numPr>
          <w:ilvl w:val="0"/>
          <w:numId w:val="81"/>
        </w:numPr>
        <w:rPr>
          <w:rtl/>
        </w:rPr>
      </w:pPr>
      <w:r w:rsidRPr="0025250D">
        <w:rPr>
          <w:rtl/>
        </w:rPr>
        <w:t>آینده‌نگاری و نوآور</w:t>
      </w:r>
      <w:r w:rsidRPr="0025250D">
        <w:rPr>
          <w:rFonts w:hint="cs"/>
          <w:rtl/>
        </w:rPr>
        <w:t>ی</w:t>
      </w:r>
      <w:r w:rsidRPr="0025250D">
        <w:rPr>
          <w:rtl/>
        </w:rPr>
        <w:t>: چگونه شرکت‌ها با آ</w:t>
      </w:r>
      <w:r w:rsidRPr="0025250D">
        <w:rPr>
          <w:rFonts w:hint="cs"/>
          <w:rtl/>
        </w:rPr>
        <w:t>ی</w:t>
      </w:r>
      <w:r w:rsidRPr="0025250D">
        <w:rPr>
          <w:rFonts w:hint="eastAsia"/>
          <w:rtl/>
        </w:rPr>
        <w:t>نده</w:t>
      </w:r>
      <w:r w:rsidRPr="0025250D">
        <w:rPr>
          <w:rtl/>
        </w:rPr>
        <w:t xml:space="preserve"> کنار می‌آ</w:t>
      </w:r>
      <w:r w:rsidRPr="0025250D">
        <w:rPr>
          <w:rFonts w:hint="cs"/>
          <w:rtl/>
        </w:rPr>
        <w:t>ی</w:t>
      </w:r>
      <w:r w:rsidRPr="0025250D">
        <w:rPr>
          <w:rFonts w:hint="eastAsia"/>
          <w:rtl/>
        </w:rPr>
        <w:t>ند،</w:t>
      </w:r>
      <w:r w:rsidRPr="0025250D">
        <w:rPr>
          <w:rtl/>
        </w:rPr>
        <w:t xml:space="preserve"> ال</w:t>
      </w:r>
      <w:r w:rsidRPr="0025250D">
        <w:rPr>
          <w:rFonts w:hint="cs"/>
          <w:rtl/>
        </w:rPr>
        <w:t>ی</w:t>
      </w:r>
      <w:r w:rsidRPr="0025250D">
        <w:rPr>
          <w:rFonts w:hint="eastAsia"/>
          <w:rtl/>
        </w:rPr>
        <w:t>نا</w:t>
      </w:r>
      <w:r w:rsidRPr="0025250D">
        <w:rPr>
          <w:rtl/>
        </w:rPr>
        <w:t xml:space="preserve"> ه</w:t>
      </w:r>
      <w:r w:rsidRPr="0025250D">
        <w:rPr>
          <w:rFonts w:hint="cs"/>
          <w:rtl/>
        </w:rPr>
        <w:t>ی</w:t>
      </w:r>
      <w:r w:rsidRPr="0025250D">
        <w:rPr>
          <w:rFonts w:hint="eastAsia"/>
          <w:rtl/>
        </w:rPr>
        <w:t>لتونن</w:t>
      </w:r>
      <w:r w:rsidRPr="0025250D">
        <w:rPr>
          <w:vertAlign w:val="superscript"/>
          <w:rtl/>
        </w:rPr>
        <w:footnoteReference w:id="3459"/>
      </w:r>
      <w:r w:rsidRPr="0025250D">
        <w:rPr>
          <w:rFonts w:hint="eastAsia"/>
          <w:rtl/>
        </w:rPr>
        <w:t>،</w:t>
      </w:r>
      <w:r w:rsidRPr="0025250D">
        <w:rPr>
          <w:rtl/>
        </w:rPr>
        <w:t xml:space="preserve"> 2013.</w:t>
      </w:r>
    </w:p>
    <w:p w14:paraId="618AFCAF" w14:textId="3528F7AB" w:rsidR="0037616D" w:rsidRPr="0025250D" w:rsidRDefault="0037616D" w:rsidP="00492C47">
      <w:pPr>
        <w:numPr>
          <w:ilvl w:val="0"/>
          <w:numId w:val="81"/>
        </w:numPr>
        <w:rPr>
          <w:rtl/>
        </w:rPr>
      </w:pPr>
      <w:r w:rsidRPr="0025250D">
        <w:rPr>
          <w:rtl/>
        </w:rPr>
        <w:t xml:space="preserve">آینده‌نگاری و </w:t>
      </w:r>
      <w:r w:rsidR="00701E03" w:rsidRPr="0025250D">
        <w:rPr>
          <w:rtl/>
        </w:rPr>
        <w:t>راهبرد</w:t>
      </w:r>
      <w:r w:rsidRPr="0025250D">
        <w:rPr>
          <w:rtl/>
        </w:rPr>
        <w:t xml:space="preserve"> در منطقه آس</w:t>
      </w:r>
      <w:r w:rsidRPr="0025250D">
        <w:rPr>
          <w:rFonts w:hint="cs"/>
          <w:rtl/>
        </w:rPr>
        <w:t>ی</w:t>
      </w:r>
      <w:r w:rsidRPr="0025250D">
        <w:rPr>
          <w:rFonts w:hint="eastAsia"/>
          <w:rtl/>
        </w:rPr>
        <w:t>ا</w:t>
      </w:r>
      <w:r w:rsidRPr="0025250D">
        <w:rPr>
          <w:rtl/>
        </w:rPr>
        <w:t xml:space="preserve"> و اق</w:t>
      </w:r>
      <w:r w:rsidRPr="0025250D">
        <w:rPr>
          <w:rFonts w:hint="cs"/>
          <w:rtl/>
        </w:rPr>
        <w:t>ی</w:t>
      </w:r>
      <w:r w:rsidRPr="0025250D">
        <w:rPr>
          <w:rFonts w:hint="eastAsia"/>
          <w:rtl/>
        </w:rPr>
        <w:t>انوس</w:t>
      </w:r>
      <w:r w:rsidRPr="0025250D">
        <w:rPr>
          <w:rFonts w:hint="cs"/>
          <w:rtl/>
        </w:rPr>
        <w:t>ی</w:t>
      </w:r>
      <w:r w:rsidRPr="0025250D">
        <w:rPr>
          <w:rFonts w:hint="eastAsia"/>
          <w:rtl/>
        </w:rPr>
        <w:t>ه،</w:t>
      </w:r>
      <w:r w:rsidRPr="0025250D">
        <w:rPr>
          <w:rtl/>
        </w:rPr>
        <w:t xml:space="preserve"> واندرلان و </w:t>
      </w:r>
      <w:r w:rsidRPr="0025250D">
        <w:rPr>
          <w:rFonts w:hint="cs"/>
          <w:rtl/>
        </w:rPr>
        <w:t>ی</w:t>
      </w:r>
      <w:r w:rsidRPr="0025250D">
        <w:rPr>
          <w:rFonts w:hint="eastAsia"/>
          <w:rtl/>
        </w:rPr>
        <w:t>اپ</w:t>
      </w:r>
      <w:r w:rsidRPr="0025250D">
        <w:rPr>
          <w:vertAlign w:val="superscript"/>
          <w:rtl/>
        </w:rPr>
        <w:footnoteReference w:id="3460"/>
      </w:r>
      <w:r w:rsidRPr="0025250D">
        <w:rPr>
          <w:rFonts w:hint="eastAsia"/>
          <w:rtl/>
        </w:rPr>
        <w:t>،</w:t>
      </w:r>
      <w:r w:rsidRPr="0025250D">
        <w:rPr>
          <w:rtl/>
        </w:rPr>
        <w:t xml:space="preserve"> 2016</w:t>
      </w:r>
    </w:p>
    <w:p w14:paraId="2C0CA629" w14:textId="2E45B6A9" w:rsidR="0037616D" w:rsidRPr="0025250D" w:rsidRDefault="0037616D" w:rsidP="00492C47">
      <w:pPr>
        <w:numPr>
          <w:ilvl w:val="0"/>
          <w:numId w:val="81"/>
        </w:numPr>
        <w:rPr>
          <w:rtl/>
        </w:rPr>
      </w:pPr>
      <w:r w:rsidRPr="0025250D">
        <w:rPr>
          <w:rtl/>
        </w:rPr>
        <w:t>مبان</w:t>
      </w:r>
      <w:r w:rsidRPr="0025250D">
        <w:rPr>
          <w:rFonts w:hint="cs"/>
          <w:rtl/>
        </w:rPr>
        <w:t>ی</w:t>
      </w:r>
      <w:r w:rsidRPr="0025250D">
        <w:rPr>
          <w:rtl/>
        </w:rPr>
        <w:t xml:space="preserve"> </w:t>
      </w:r>
      <w:r w:rsidRPr="0025250D">
        <w:rPr>
          <w:rFonts w:hint="cs"/>
          <w:rtl/>
        </w:rPr>
        <w:t>آینده</w:t>
      </w:r>
      <w:r w:rsidR="00E3750D" w:rsidRPr="0025250D">
        <w:rPr>
          <w:rFonts w:hint="cs"/>
          <w:rtl/>
        </w:rPr>
        <w:t>‌</w:t>
      </w:r>
      <w:r w:rsidRPr="0025250D">
        <w:rPr>
          <w:rFonts w:hint="cs"/>
          <w:rtl/>
        </w:rPr>
        <w:t>پ</w:t>
      </w:r>
      <w:r w:rsidR="00E3750D" w:rsidRPr="0025250D">
        <w:rPr>
          <w:rFonts w:hint="cs"/>
          <w:rtl/>
        </w:rPr>
        <w:t>ژ</w:t>
      </w:r>
      <w:r w:rsidRPr="0025250D">
        <w:rPr>
          <w:rFonts w:hint="cs"/>
          <w:rtl/>
        </w:rPr>
        <w:t>وهی</w:t>
      </w:r>
      <w:r w:rsidRPr="0025250D">
        <w:rPr>
          <w:rFonts w:hint="eastAsia"/>
          <w:rtl/>
        </w:rPr>
        <w:t>،</w:t>
      </w:r>
      <w:r w:rsidRPr="0025250D">
        <w:rPr>
          <w:rtl/>
        </w:rPr>
        <w:t xml:space="preserve"> جلد 1-2، وندل بل</w:t>
      </w:r>
      <w:r w:rsidRPr="0025250D">
        <w:rPr>
          <w:vertAlign w:val="superscript"/>
          <w:rtl/>
        </w:rPr>
        <w:footnoteReference w:id="3461"/>
      </w:r>
      <w:r w:rsidRPr="0025250D">
        <w:rPr>
          <w:rtl/>
        </w:rPr>
        <w:t>، 2004</w:t>
      </w:r>
    </w:p>
    <w:p w14:paraId="7C4F2B89" w14:textId="55B62B84" w:rsidR="0037616D" w:rsidRPr="0025250D" w:rsidRDefault="0037616D" w:rsidP="00492C47">
      <w:pPr>
        <w:numPr>
          <w:ilvl w:val="0"/>
          <w:numId w:val="81"/>
        </w:numPr>
        <w:rPr>
          <w:rtl/>
        </w:rPr>
      </w:pPr>
      <w:r w:rsidRPr="0025250D">
        <w:rPr>
          <w:rtl/>
        </w:rPr>
        <w:t>را</w:t>
      </w:r>
      <w:r w:rsidRPr="0025250D">
        <w:rPr>
          <w:rFonts w:hint="cs"/>
          <w:rtl/>
        </w:rPr>
        <w:t>ی</w:t>
      </w:r>
      <w:r w:rsidRPr="0025250D">
        <w:rPr>
          <w:rFonts w:hint="eastAsia"/>
          <w:rtl/>
        </w:rPr>
        <w:t>گان</w:t>
      </w:r>
      <w:r w:rsidRPr="0025250D">
        <w:rPr>
          <w:rtl/>
        </w:rPr>
        <w:t xml:space="preserve">: چگونه </w:t>
      </w:r>
      <w:r w:rsidR="00B124DE" w:rsidRPr="0025250D">
        <w:rPr>
          <w:rtl/>
        </w:rPr>
        <w:t>کسب‌و‌کار</w:t>
      </w:r>
      <w:r w:rsidRPr="0025250D">
        <w:rPr>
          <w:rtl/>
        </w:rPr>
        <w:t xml:space="preserve">ها با </w:t>
      </w:r>
      <w:r w:rsidRPr="0025250D">
        <w:rPr>
          <w:rFonts w:hint="cs"/>
          <w:rtl/>
        </w:rPr>
        <w:t>اهدای</w:t>
      </w:r>
      <w:r w:rsidRPr="0025250D">
        <w:rPr>
          <w:rtl/>
        </w:rPr>
        <w:t xml:space="preserve"> برخ</w:t>
      </w:r>
      <w:r w:rsidRPr="0025250D">
        <w:rPr>
          <w:rFonts w:hint="cs"/>
          <w:rtl/>
        </w:rPr>
        <w:t>ی</w:t>
      </w:r>
      <w:r w:rsidRPr="0025250D">
        <w:rPr>
          <w:rtl/>
        </w:rPr>
        <w:t xml:space="preserve"> چ</w:t>
      </w:r>
      <w:r w:rsidRPr="0025250D">
        <w:rPr>
          <w:rFonts w:hint="cs"/>
          <w:rtl/>
        </w:rPr>
        <w:t>ی</w:t>
      </w:r>
      <w:r w:rsidRPr="0025250D">
        <w:rPr>
          <w:rFonts w:hint="eastAsia"/>
          <w:rtl/>
        </w:rPr>
        <w:t>زها</w:t>
      </w:r>
      <w:r w:rsidRPr="0025250D">
        <w:rPr>
          <w:rtl/>
        </w:rPr>
        <w:t xml:space="preserve"> سود می‌برند، کر</w:t>
      </w:r>
      <w:r w:rsidRPr="0025250D">
        <w:rPr>
          <w:rFonts w:hint="cs"/>
          <w:rtl/>
        </w:rPr>
        <w:t>ی</w:t>
      </w:r>
      <w:r w:rsidRPr="0025250D">
        <w:rPr>
          <w:rFonts w:hint="eastAsia"/>
          <w:rtl/>
        </w:rPr>
        <w:t>س</w:t>
      </w:r>
      <w:r w:rsidRPr="0025250D">
        <w:rPr>
          <w:rtl/>
        </w:rPr>
        <w:t xml:space="preserve"> اندرسون</w:t>
      </w:r>
      <w:r w:rsidRPr="0025250D">
        <w:rPr>
          <w:vertAlign w:val="superscript"/>
          <w:rtl/>
        </w:rPr>
        <w:footnoteReference w:id="3462"/>
      </w:r>
      <w:r w:rsidRPr="0025250D">
        <w:rPr>
          <w:rtl/>
        </w:rPr>
        <w:t>، 2010</w:t>
      </w:r>
    </w:p>
    <w:p w14:paraId="04463344" w14:textId="1C5AD579" w:rsidR="0037616D" w:rsidRPr="0025250D" w:rsidRDefault="0037616D" w:rsidP="00492C47">
      <w:pPr>
        <w:numPr>
          <w:ilvl w:val="0"/>
          <w:numId w:val="81"/>
        </w:numPr>
        <w:rPr>
          <w:rtl/>
        </w:rPr>
      </w:pPr>
      <w:r w:rsidRPr="0025250D">
        <w:rPr>
          <w:rtl/>
        </w:rPr>
        <w:t>آ</w:t>
      </w:r>
      <w:r w:rsidRPr="0025250D">
        <w:rPr>
          <w:rFonts w:hint="cs"/>
          <w:rtl/>
        </w:rPr>
        <w:t>ی</w:t>
      </w:r>
      <w:r w:rsidRPr="0025250D">
        <w:rPr>
          <w:rFonts w:hint="eastAsia"/>
          <w:rtl/>
        </w:rPr>
        <w:t>نده</w:t>
      </w:r>
      <w:r w:rsidR="00E3750D" w:rsidRPr="0025250D">
        <w:rPr>
          <w:rFonts w:hint="cs"/>
          <w:rtl/>
        </w:rPr>
        <w:t xml:space="preserve"> </w:t>
      </w:r>
      <w:r w:rsidR="00E3750D" w:rsidRPr="0025250D">
        <w:rPr>
          <w:rtl/>
        </w:rPr>
        <w:t>آماده</w:t>
      </w:r>
      <w:r w:rsidRPr="0025250D">
        <w:rPr>
          <w:rtl/>
        </w:rPr>
        <w:t xml:space="preserve">: چگونه بر </w:t>
      </w:r>
      <w:r w:rsidR="00D92F6E" w:rsidRPr="0025250D">
        <w:rPr>
          <w:rtl/>
        </w:rPr>
        <w:t>پیش‌بین</w:t>
      </w:r>
      <w:r w:rsidRPr="0025250D">
        <w:rPr>
          <w:rFonts w:hint="cs"/>
          <w:rtl/>
        </w:rPr>
        <w:t>ی</w:t>
      </w:r>
      <w:r w:rsidRPr="0025250D">
        <w:rPr>
          <w:rtl/>
        </w:rPr>
        <w:t xml:space="preserve"> </w:t>
      </w:r>
      <w:r w:rsidR="00B124DE" w:rsidRPr="0025250D">
        <w:rPr>
          <w:rtl/>
        </w:rPr>
        <w:t>کسب‌و‌کار</w:t>
      </w:r>
      <w:r w:rsidRPr="0025250D">
        <w:rPr>
          <w:rtl/>
        </w:rPr>
        <w:t xml:space="preserve"> مسلط شو</w:t>
      </w:r>
      <w:r w:rsidRPr="0025250D">
        <w:rPr>
          <w:rFonts w:hint="cs"/>
          <w:rtl/>
        </w:rPr>
        <w:t>ی</w:t>
      </w:r>
      <w:r w:rsidRPr="0025250D">
        <w:rPr>
          <w:rFonts w:hint="eastAsia"/>
          <w:rtl/>
        </w:rPr>
        <w:t>م</w:t>
      </w:r>
      <w:r w:rsidRPr="0025250D">
        <w:rPr>
          <w:rFonts w:hint="cs"/>
          <w:rtl/>
        </w:rPr>
        <w:t xml:space="preserve">، </w:t>
      </w:r>
      <w:r w:rsidRPr="0025250D">
        <w:rPr>
          <w:rtl/>
        </w:rPr>
        <w:t>مورل</w:t>
      </w:r>
      <w:r w:rsidRPr="0025250D">
        <w:rPr>
          <w:rFonts w:hint="cs"/>
          <w:rtl/>
        </w:rPr>
        <w:t>ی</w:t>
      </w:r>
      <w:r w:rsidRPr="0025250D">
        <w:rPr>
          <w:rFonts w:hint="eastAsia"/>
          <w:rtl/>
        </w:rPr>
        <w:t>ج</w:t>
      </w:r>
      <w:r w:rsidRPr="0025250D">
        <w:rPr>
          <w:rtl/>
        </w:rPr>
        <w:t xml:space="preserve"> و باز</w:t>
      </w:r>
      <w:r w:rsidRPr="0025250D">
        <w:rPr>
          <w:rFonts w:hint="cs"/>
          <w:rtl/>
        </w:rPr>
        <w:t>ی</w:t>
      </w:r>
      <w:r w:rsidRPr="0025250D">
        <w:rPr>
          <w:rFonts w:hint="eastAsia"/>
          <w:rtl/>
        </w:rPr>
        <w:t>کن</w:t>
      </w:r>
      <w:r w:rsidRPr="0025250D">
        <w:rPr>
          <w:vertAlign w:val="superscript"/>
          <w:rtl/>
        </w:rPr>
        <w:footnoteReference w:id="3463"/>
      </w:r>
      <w:r w:rsidRPr="0025250D">
        <w:rPr>
          <w:rFonts w:hint="eastAsia"/>
          <w:rtl/>
        </w:rPr>
        <w:t>،</w:t>
      </w:r>
      <w:r w:rsidRPr="0025250D">
        <w:rPr>
          <w:rtl/>
        </w:rPr>
        <w:t xml:space="preserve"> 2010</w:t>
      </w:r>
    </w:p>
    <w:p w14:paraId="14295AFF" w14:textId="77777777" w:rsidR="0037616D" w:rsidRPr="0025250D" w:rsidRDefault="0037616D" w:rsidP="00492C47">
      <w:pPr>
        <w:numPr>
          <w:ilvl w:val="0"/>
          <w:numId w:val="81"/>
        </w:numPr>
        <w:rPr>
          <w:rtl/>
        </w:rPr>
      </w:pPr>
      <w:r w:rsidRPr="0025250D">
        <w:rPr>
          <w:rFonts w:hint="cs"/>
          <w:rtl/>
        </w:rPr>
        <w:t xml:space="preserve">با </w:t>
      </w:r>
      <w:r w:rsidRPr="0025250D">
        <w:rPr>
          <w:rtl/>
        </w:rPr>
        <w:t>هوش آ</w:t>
      </w:r>
      <w:r w:rsidRPr="0025250D">
        <w:rPr>
          <w:rFonts w:hint="cs"/>
          <w:rtl/>
        </w:rPr>
        <w:t>ی</w:t>
      </w:r>
      <w:r w:rsidRPr="0025250D">
        <w:rPr>
          <w:rFonts w:hint="eastAsia"/>
          <w:rtl/>
        </w:rPr>
        <w:t>نده</w:t>
      </w:r>
      <w:r w:rsidRPr="0025250D">
        <w:rPr>
          <w:rtl/>
        </w:rPr>
        <w:t>: ک</w:t>
      </w:r>
      <w:r w:rsidRPr="0025250D">
        <w:rPr>
          <w:rFonts w:hint="cs"/>
          <w:rtl/>
        </w:rPr>
        <w:t>ی</w:t>
      </w:r>
      <w:r w:rsidRPr="0025250D">
        <w:rPr>
          <w:rFonts w:hint="eastAsia"/>
          <w:rtl/>
        </w:rPr>
        <w:t>ف</w:t>
      </w:r>
      <w:r w:rsidRPr="0025250D">
        <w:rPr>
          <w:rFonts w:hint="cs"/>
          <w:rtl/>
        </w:rPr>
        <w:t>ی</w:t>
      </w:r>
      <w:r w:rsidRPr="0025250D">
        <w:rPr>
          <w:rFonts w:hint="eastAsia"/>
          <w:rtl/>
        </w:rPr>
        <w:t>ت</w:t>
      </w:r>
      <w:r w:rsidRPr="0025250D">
        <w:rPr>
          <w:rtl/>
        </w:rPr>
        <w:t xml:space="preserve"> در آینده‌نگاری</w:t>
      </w:r>
      <w:r w:rsidRPr="0025250D">
        <w:rPr>
          <w:rFonts w:hint="cs"/>
          <w:rtl/>
        </w:rPr>
        <w:t xml:space="preserve">، </w:t>
      </w:r>
      <w:r w:rsidRPr="0025250D">
        <w:rPr>
          <w:rtl/>
        </w:rPr>
        <w:t>آدام گوردون</w:t>
      </w:r>
      <w:r w:rsidRPr="0025250D">
        <w:rPr>
          <w:vertAlign w:val="superscript"/>
          <w:rtl/>
        </w:rPr>
        <w:footnoteReference w:id="3464"/>
      </w:r>
      <w:r w:rsidRPr="0025250D">
        <w:rPr>
          <w:rtl/>
        </w:rPr>
        <w:t>، 2008</w:t>
      </w:r>
    </w:p>
    <w:p w14:paraId="1194B152" w14:textId="018F7E32" w:rsidR="0037616D" w:rsidRPr="0025250D" w:rsidRDefault="00D92F6E" w:rsidP="00492C47">
      <w:pPr>
        <w:numPr>
          <w:ilvl w:val="0"/>
          <w:numId w:val="81"/>
        </w:numPr>
        <w:rPr>
          <w:rtl/>
        </w:rPr>
      </w:pPr>
      <w:r w:rsidRPr="0025250D">
        <w:rPr>
          <w:rtl/>
        </w:rPr>
        <w:t>آینده‌پژوه</w:t>
      </w:r>
      <w:r w:rsidR="0037616D" w:rsidRPr="0025250D">
        <w:rPr>
          <w:rFonts w:hint="cs"/>
          <w:rtl/>
        </w:rPr>
        <w:t>ی</w:t>
      </w:r>
      <w:r w:rsidR="0037616D" w:rsidRPr="0025250D">
        <w:rPr>
          <w:rtl/>
        </w:rPr>
        <w:t xml:space="preserve"> و فرآ</w:t>
      </w:r>
      <w:r w:rsidR="0037616D" w:rsidRPr="0025250D">
        <w:rPr>
          <w:rFonts w:hint="cs"/>
          <w:rtl/>
        </w:rPr>
        <w:t>ی</w:t>
      </w:r>
      <w:r w:rsidR="0037616D" w:rsidRPr="0025250D">
        <w:rPr>
          <w:rFonts w:hint="eastAsia"/>
          <w:rtl/>
        </w:rPr>
        <w:t>ند</w:t>
      </w:r>
      <w:r w:rsidR="0037616D" w:rsidRPr="0025250D">
        <w:rPr>
          <w:rtl/>
        </w:rPr>
        <w:t xml:space="preserve"> </w:t>
      </w:r>
      <w:r w:rsidR="00B124DE" w:rsidRPr="0025250D">
        <w:rPr>
          <w:rtl/>
        </w:rPr>
        <w:t>برنامه‌ریزی</w:t>
      </w:r>
      <w:r w:rsidR="0037616D" w:rsidRPr="0025250D">
        <w:rPr>
          <w:rtl/>
        </w:rPr>
        <w:t xml:space="preserve"> </w:t>
      </w:r>
      <w:r w:rsidR="00701E03" w:rsidRPr="0025250D">
        <w:rPr>
          <w:rtl/>
        </w:rPr>
        <w:t>راهبردی</w:t>
      </w:r>
      <w:r w:rsidR="0037616D" w:rsidRPr="0025250D">
        <w:rPr>
          <w:rFonts w:hint="eastAsia"/>
          <w:rtl/>
        </w:rPr>
        <w:t>،</w:t>
      </w:r>
      <w:r w:rsidR="0037616D" w:rsidRPr="0025250D">
        <w:rPr>
          <w:rtl/>
        </w:rPr>
        <w:t xml:space="preserve"> ج</w:t>
      </w:r>
      <w:r w:rsidR="0037616D" w:rsidRPr="0025250D">
        <w:rPr>
          <w:rFonts w:hint="cs"/>
          <w:rtl/>
        </w:rPr>
        <w:t>ی</w:t>
      </w:r>
      <w:r w:rsidR="0037616D" w:rsidRPr="0025250D">
        <w:rPr>
          <w:rFonts w:hint="eastAsia"/>
          <w:rtl/>
        </w:rPr>
        <w:t>مز</w:t>
      </w:r>
      <w:r w:rsidR="0037616D" w:rsidRPr="0025250D">
        <w:rPr>
          <w:rtl/>
        </w:rPr>
        <w:t xml:space="preserve"> مور</w:t>
      </w:r>
      <w:r w:rsidR="0037616D" w:rsidRPr="0025250D">
        <w:rPr>
          <w:rFonts w:hint="cs"/>
          <w:rtl/>
        </w:rPr>
        <w:t>ی</w:t>
      </w:r>
      <w:r w:rsidR="0037616D" w:rsidRPr="0025250D">
        <w:rPr>
          <w:rFonts w:hint="eastAsia"/>
          <w:rtl/>
        </w:rPr>
        <w:t>سون</w:t>
      </w:r>
      <w:r w:rsidR="0037616D" w:rsidRPr="0025250D">
        <w:rPr>
          <w:rtl/>
        </w:rPr>
        <w:t xml:space="preserve"> و همکاران</w:t>
      </w:r>
      <w:r w:rsidR="0037616D" w:rsidRPr="0025250D">
        <w:rPr>
          <w:vertAlign w:val="superscript"/>
          <w:rtl/>
        </w:rPr>
        <w:footnoteReference w:id="3465"/>
      </w:r>
      <w:r w:rsidR="0037616D" w:rsidRPr="0025250D">
        <w:rPr>
          <w:rtl/>
        </w:rPr>
        <w:t>، 1984</w:t>
      </w:r>
    </w:p>
    <w:p w14:paraId="1063519C" w14:textId="77777777" w:rsidR="0037616D" w:rsidRPr="0025250D" w:rsidRDefault="0037616D" w:rsidP="00492C47">
      <w:pPr>
        <w:numPr>
          <w:ilvl w:val="0"/>
          <w:numId w:val="81"/>
        </w:numPr>
        <w:rPr>
          <w:rtl/>
        </w:rPr>
      </w:pPr>
      <w:r w:rsidRPr="0025250D">
        <w:rPr>
          <w:rtl/>
        </w:rPr>
        <w:t>روش تحق</w:t>
      </w:r>
      <w:r w:rsidRPr="0025250D">
        <w:rPr>
          <w:rFonts w:hint="cs"/>
          <w:rtl/>
        </w:rPr>
        <w:t>ی</w:t>
      </w:r>
      <w:r w:rsidRPr="0025250D">
        <w:rPr>
          <w:rFonts w:hint="eastAsia"/>
          <w:rtl/>
        </w:rPr>
        <w:t>ق</w:t>
      </w:r>
      <w:r w:rsidRPr="0025250D">
        <w:rPr>
          <w:rtl/>
        </w:rPr>
        <w:t xml:space="preserve"> آ</w:t>
      </w:r>
      <w:r w:rsidRPr="0025250D">
        <w:rPr>
          <w:rFonts w:hint="cs"/>
          <w:rtl/>
        </w:rPr>
        <w:t>ی</w:t>
      </w:r>
      <w:r w:rsidRPr="0025250D">
        <w:rPr>
          <w:rFonts w:hint="eastAsia"/>
          <w:rtl/>
        </w:rPr>
        <w:t>نده</w:t>
      </w:r>
      <w:r w:rsidRPr="0025250D">
        <w:rPr>
          <w:rtl/>
        </w:rPr>
        <w:t xml:space="preserve"> 3.0، جر</w:t>
      </w:r>
      <w:r w:rsidRPr="0025250D">
        <w:rPr>
          <w:rFonts w:hint="cs"/>
          <w:rtl/>
        </w:rPr>
        <w:t>ی</w:t>
      </w:r>
      <w:r w:rsidRPr="0025250D">
        <w:rPr>
          <w:rtl/>
        </w:rPr>
        <w:t xml:space="preserve"> گلن و تد گوردون، م</w:t>
      </w:r>
      <w:r w:rsidRPr="0025250D">
        <w:rPr>
          <w:rFonts w:hint="cs"/>
          <w:rtl/>
        </w:rPr>
        <w:t>ی</w:t>
      </w:r>
      <w:r w:rsidRPr="0025250D">
        <w:rPr>
          <w:rFonts w:hint="eastAsia"/>
          <w:rtl/>
        </w:rPr>
        <w:t>لن</w:t>
      </w:r>
      <w:r w:rsidRPr="0025250D">
        <w:rPr>
          <w:rtl/>
        </w:rPr>
        <w:t>. پروژه</w:t>
      </w:r>
      <w:r w:rsidRPr="0025250D">
        <w:rPr>
          <w:vertAlign w:val="superscript"/>
          <w:rtl/>
        </w:rPr>
        <w:footnoteReference w:id="3466"/>
      </w:r>
      <w:r w:rsidRPr="0025250D">
        <w:rPr>
          <w:rtl/>
        </w:rPr>
        <w:t>، 2009</w:t>
      </w:r>
    </w:p>
    <w:p w14:paraId="4D3E97B3" w14:textId="77777777" w:rsidR="0037616D" w:rsidRPr="0025250D" w:rsidRDefault="0037616D" w:rsidP="00492C47">
      <w:pPr>
        <w:numPr>
          <w:ilvl w:val="0"/>
          <w:numId w:val="81"/>
        </w:numPr>
        <w:rPr>
          <w:rtl/>
        </w:rPr>
      </w:pPr>
      <w:r w:rsidRPr="0025250D">
        <w:rPr>
          <w:rtl/>
        </w:rPr>
        <w:t>گروه‌اند</w:t>
      </w:r>
      <w:r w:rsidRPr="0025250D">
        <w:rPr>
          <w:rFonts w:hint="cs"/>
          <w:rtl/>
        </w:rPr>
        <w:t>ی</w:t>
      </w:r>
      <w:r w:rsidRPr="0025250D">
        <w:rPr>
          <w:rFonts w:hint="eastAsia"/>
          <w:rtl/>
        </w:rPr>
        <w:t>ش</w:t>
      </w:r>
      <w:r w:rsidRPr="0025250D">
        <w:rPr>
          <w:rFonts w:hint="cs"/>
          <w:rtl/>
        </w:rPr>
        <w:t>ی</w:t>
      </w:r>
      <w:r w:rsidRPr="0025250D">
        <w:rPr>
          <w:rtl/>
        </w:rPr>
        <w:t>: مطالعات روان‌شناخت</w:t>
      </w:r>
      <w:r w:rsidRPr="0025250D">
        <w:rPr>
          <w:rFonts w:hint="cs"/>
          <w:rtl/>
        </w:rPr>
        <w:t>ی</w:t>
      </w:r>
      <w:r w:rsidRPr="0025250D">
        <w:rPr>
          <w:rtl/>
        </w:rPr>
        <w:t xml:space="preserve"> تصم</w:t>
      </w:r>
      <w:r w:rsidRPr="0025250D">
        <w:rPr>
          <w:rFonts w:hint="cs"/>
          <w:rtl/>
        </w:rPr>
        <w:t>ی</w:t>
      </w:r>
      <w:r w:rsidRPr="0025250D">
        <w:rPr>
          <w:rFonts w:hint="eastAsia"/>
          <w:rtl/>
        </w:rPr>
        <w:t>م‌ها</w:t>
      </w:r>
      <w:r w:rsidRPr="0025250D">
        <w:rPr>
          <w:rFonts w:hint="cs"/>
          <w:rtl/>
        </w:rPr>
        <w:t>ی</w:t>
      </w:r>
      <w:r w:rsidRPr="0025250D">
        <w:rPr>
          <w:rtl/>
        </w:rPr>
        <w:t xml:space="preserve"> س</w:t>
      </w:r>
      <w:r w:rsidRPr="0025250D">
        <w:rPr>
          <w:rFonts w:hint="cs"/>
          <w:rtl/>
        </w:rPr>
        <w:t>ی</w:t>
      </w:r>
      <w:r w:rsidRPr="0025250D">
        <w:rPr>
          <w:rFonts w:hint="eastAsia"/>
          <w:rtl/>
        </w:rPr>
        <w:t>است‌گذار</w:t>
      </w:r>
      <w:r w:rsidRPr="0025250D">
        <w:rPr>
          <w:rFonts w:hint="cs"/>
          <w:rtl/>
        </w:rPr>
        <w:t>ی</w:t>
      </w:r>
      <w:r w:rsidRPr="0025250D">
        <w:rPr>
          <w:rtl/>
        </w:rPr>
        <w:t xml:space="preserve"> و شکست‌ها، ا</w:t>
      </w:r>
      <w:r w:rsidRPr="0025250D">
        <w:rPr>
          <w:rFonts w:hint="cs"/>
          <w:rtl/>
        </w:rPr>
        <w:t>ی</w:t>
      </w:r>
      <w:r w:rsidRPr="0025250D">
        <w:rPr>
          <w:rFonts w:hint="eastAsia"/>
          <w:rtl/>
        </w:rPr>
        <w:t>رو</w:t>
      </w:r>
      <w:r w:rsidRPr="0025250D">
        <w:rPr>
          <w:rFonts w:hint="cs"/>
          <w:rtl/>
        </w:rPr>
        <w:t>ی</w:t>
      </w:r>
      <w:r w:rsidRPr="0025250D">
        <w:rPr>
          <w:rFonts w:hint="eastAsia"/>
          <w:rtl/>
        </w:rPr>
        <w:t>نگ</w:t>
      </w:r>
      <w:r w:rsidRPr="0025250D">
        <w:rPr>
          <w:rtl/>
        </w:rPr>
        <w:t xml:space="preserve"> جان</w:t>
      </w:r>
      <w:r w:rsidRPr="0025250D">
        <w:rPr>
          <w:rFonts w:hint="cs"/>
          <w:rtl/>
        </w:rPr>
        <w:t>ی</w:t>
      </w:r>
      <w:r w:rsidRPr="0025250D">
        <w:rPr>
          <w:rFonts w:hint="eastAsia"/>
          <w:rtl/>
        </w:rPr>
        <w:t>س</w:t>
      </w:r>
      <w:r w:rsidRPr="0025250D">
        <w:rPr>
          <w:vertAlign w:val="superscript"/>
          <w:rtl/>
        </w:rPr>
        <w:footnoteReference w:id="3467"/>
      </w:r>
      <w:r w:rsidRPr="0025250D">
        <w:rPr>
          <w:rFonts w:hint="eastAsia"/>
          <w:rtl/>
        </w:rPr>
        <w:t>،</w:t>
      </w:r>
      <w:r w:rsidRPr="0025250D">
        <w:rPr>
          <w:rtl/>
        </w:rPr>
        <w:t xml:space="preserve"> 1982</w:t>
      </w:r>
    </w:p>
    <w:p w14:paraId="754E998C" w14:textId="7473FDE3" w:rsidR="0037616D" w:rsidRPr="0025250D" w:rsidRDefault="0037616D" w:rsidP="00492C47">
      <w:pPr>
        <w:numPr>
          <w:ilvl w:val="0"/>
          <w:numId w:val="81"/>
        </w:numPr>
        <w:rPr>
          <w:rtl/>
        </w:rPr>
      </w:pPr>
      <w:r w:rsidRPr="0025250D">
        <w:rPr>
          <w:rtl/>
        </w:rPr>
        <w:t>کتاب راهنما</w:t>
      </w:r>
      <w:r w:rsidRPr="0025250D">
        <w:rPr>
          <w:rFonts w:hint="cs"/>
          <w:rtl/>
        </w:rPr>
        <w:t>ی</w:t>
      </w:r>
      <w:r w:rsidRPr="0025250D">
        <w:rPr>
          <w:rtl/>
        </w:rPr>
        <w:t xml:space="preserve"> </w:t>
      </w:r>
      <w:r w:rsidR="00D92F6E" w:rsidRPr="0025250D">
        <w:rPr>
          <w:rtl/>
        </w:rPr>
        <w:t>آینده‌پژوه</w:t>
      </w:r>
      <w:r w:rsidRPr="0025250D">
        <w:rPr>
          <w:rFonts w:hint="cs"/>
          <w:rtl/>
        </w:rPr>
        <w:t>ی</w:t>
      </w:r>
      <w:r w:rsidRPr="0025250D">
        <w:rPr>
          <w:rFonts w:hint="eastAsia"/>
          <w:rtl/>
        </w:rPr>
        <w:t>،</w:t>
      </w:r>
      <w:r w:rsidRPr="0025250D">
        <w:rPr>
          <w:rtl/>
        </w:rPr>
        <w:t xml:space="preserve"> ج</w:t>
      </w:r>
      <w:r w:rsidRPr="0025250D">
        <w:rPr>
          <w:rFonts w:hint="cs"/>
          <w:rtl/>
        </w:rPr>
        <w:t>ی</w:t>
      </w:r>
      <w:r w:rsidRPr="0025250D">
        <w:rPr>
          <w:rFonts w:hint="eastAsia"/>
          <w:rtl/>
        </w:rPr>
        <w:t>ب</w:t>
      </w:r>
      <w:r w:rsidRPr="0025250D">
        <w:rPr>
          <w:rtl/>
        </w:rPr>
        <w:t xml:space="preserve"> فاولز</w:t>
      </w:r>
      <w:r w:rsidRPr="0025250D">
        <w:rPr>
          <w:vertAlign w:val="superscript"/>
          <w:rtl/>
        </w:rPr>
        <w:footnoteReference w:id="3468"/>
      </w:r>
      <w:r w:rsidRPr="0025250D">
        <w:rPr>
          <w:rFonts w:hint="eastAsia"/>
          <w:rtl/>
        </w:rPr>
        <w:t>،</w:t>
      </w:r>
      <w:r w:rsidRPr="0025250D">
        <w:rPr>
          <w:rtl/>
        </w:rPr>
        <w:t xml:space="preserve"> 1978</w:t>
      </w:r>
    </w:p>
    <w:p w14:paraId="636582CC" w14:textId="77777777" w:rsidR="0037616D" w:rsidRPr="0025250D" w:rsidRDefault="0037616D" w:rsidP="00492C47">
      <w:pPr>
        <w:numPr>
          <w:ilvl w:val="0"/>
          <w:numId w:val="81"/>
        </w:numPr>
        <w:rPr>
          <w:rtl/>
        </w:rPr>
      </w:pPr>
      <w:r w:rsidRPr="0025250D">
        <w:rPr>
          <w:rFonts w:hint="cs"/>
          <w:rtl/>
        </w:rPr>
        <w:t>گذشته نگاری</w:t>
      </w:r>
      <w:r w:rsidRPr="0025250D">
        <w:rPr>
          <w:rtl/>
        </w:rPr>
        <w:t>: وعده و خطر نگاه به عقب، مارک فر</w:t>
      </w:r>
      <w:r w:rsidRPr="0025250D">
        <w:rPr>
          <w:rFonts w:hint="cs"/>
          <w:rtl/>
        </w:rPr>
        <w:t>ی</w:t>
      </w:r>
      <w:r w:rsidRPr="0025250D">
        <w:rPr>
          <w:rFonts w:hint="eastAsia"/>
          <w:rtl/>
        </w:rPr>
        <w:t>من</w:t>
      </w:r>
      <w:r w:rsidRPr="0025250D">
        <w:rPr>
          <w:vertAlign w:val="superscript"/>
          <w:rtl/>
        </w:rPr>
        <w:footnoteReference w:id="3469"/>
      </w:r>
      <w:r w:rsidRPr="0025250D">
        <w:rPr>
          <w:rFonts w:hint="eastAsia"/>
          <w:rtl/>
        </w:rPr>
        <w:t>،</w:t>
      </w:r>
      <w:r w:rsidRPr="0025250D">
        <w:rPr>
          <w:rtl/>
        </w:rPr>
        <w:t xml:space="preserve"> 2009</w:t>
      </w:r>
    </w:p>
    <w:p w14:paraId="4857BE86" w14:textId="77777777" w:rsidR="0037616D" w:rsidRPr="0025250D" w:rsidRDefault="0037616D" w:rsidP="00492C47">
      <w:pPr>
        <w:numPr>
          <w:ilvl w:val="0"/>
          <w:numId w:val="81"/>
        </w:numPr>
        <w:rPr>
          <w:rtl/>
        </w:rPr>
      </w:pPr>
      <w:r w:rsidRPr="0025250D">
        <w:rPr>
          <w:rtl/>
        </w:rPr>
        <w:t xml:space="preserve">چگونه: چرا </w:t>
      </w:r>
      <w:r w:rsidRPr="0025250D">
        <w:rPr>
          <w:rFonts w:hint="cs"/>
          <w:rtl/>
        </w:rPr>
        <w:t>چگونگی</w:t>
      </w:r>
      <w:r w:rsidRPr="0025250D">
        <w:rPr>
          <w:rtl/>
        </w:rPr>
        <w:t xml:space="preserve"> </w:t>
      </w:r>
      <w:r w:rsidRPr="0025250D">
        <w:rPr>
          <w:rFonts w:hint="cs"/>
          <w:rtl/>
        </w:rPr>
        <w:t xml:space="preserve">انجام </w:t>
      </w:r>
      <w:r w:rsidRPr="0025250D">
        <w:rPr>
          <w:rtl/>
        </w:rPr>
        <w:t>هر کار</w:t>
      </w:r>
      <w:r w:rsidRPr="0025250D">
        <w:rPr>
          <w:rFonts w:hint="cs"/>
          <w:rtl/>
        </w:rPr>
        <w:t>ی</w:t>
      </w:r>
      <w:r w:rsidRPr="0025250D">
        <w:rPr>
          <w:rtl/>
        </w:rPr>
        <w:t xml:space="preserve"> </w:t>
      </w:r>
      <w:r w:rsidRPr="0025250D">
        <w:rPr>
          <w:rFonts w:hint="cs"/>
          <w:rtl/>
        </w:rPr>
        <w:t>ی</w:t>
      </w:r>
      <w:r w:rsidRPr="0025250D">
        <w:rPr>
          <w:rFonts w:hint="eastAsia"/>
          <w:rtl/>
        </w:rPr>
        <w:t>عن</w:t>
      </w:r>
      <w:r w:rsidRPr="0025250D">
        <w:rPr>
          <w:rFonts w:hint="cs"/>
          <w:rtl/>
        </w:rPr>
        <w:t>ی</w:t>
      </w:r>
      <w:r w:rsidRPr="0025250D">
        <w:rPr>
          <w:rtl/>
        </w:rPr>
        <w:t xml:space="preserve"> همه چ</w:t>
      </w:r>
      <w:r w:rsidRPr="0025250D">
        <w:rPr>
          <w:rFonts w:hint="cs"/>
          <w:rtl/>
        </w:rPr>
        <w:t>ی</w:t>
      </w:r>
      <w:r w:rsidRPr="0025250D">
        <w:rPr>
          <w:rFonts w:hint="eastAsia"/>
          <w:rtl/>
        </w:rPr>
        <w:t>ز،</w:t>
      </w:r>
      <w:r w:rsidRPr="0025250D">
        <w:rPr>
          <w:rtl/>
        </w:rPr>
        <w:t xml:space="preserve"> داو س</w:t>
      </w:r>
      <w:r w:rsidRPr="0025250D">
        <w:rPr>
          <w:rFonts w:hint="cs"/>
          <w:rtl/>
        </w:rPr>
        <w:t>ی</w:t>
      </w:r>
      <w:r w:rsidRPr="0025250D">
        <w:rPr>
          <w:rFonts w:hint="eastAsia"/>
          <w:rtl/>
        </w:rPr>
        <w:t>دمن</w:t>
      </w:r>
      <w:r w:rsidRPr="0025250D">
        <w:rPr>
          <w:vertAlign w:val="superscript"/>
          <w:rtl/>
        </w:rPr>
        <w:footnoteReference w:id="3470"/>
      </w:r>
      <w:r w:rsidRPr="0025250D">
        <w:rPr>
          <w:rFonts w:hint="eastAsia"/>
          <w:rtl/>
        </w:rPr>
        <w:t>،</w:t>
      </w:r>
      <w:r w:rsidRPr="0025250D">
        <w:rPr>
          <w:rtl/>
        </w:rPr>
        <w:t xml:space="preserve"> 2011</w:t>
      </w:r>
    </w:p>
    <w:p w14:paraId="69350287" w14:textId="77777777" w:rsidR="0037616D" w:rsidRPr="0025250D" w:rsidRDefault="0037616D" w:rsidP="00492C47">
      <w:pPr>
        <w:numPr>
          <w:ilvl w:val="0"/>
          <w:numId w:val="81"/>
        </w:numPr>
        <w:rPr>
          <w:rtl/>
        </w:rPr>
      </w:pPr>
      <w:r w:rsidRPr="0025250D">
        <w:rPr>
          <w:rtl/>
        </w:rPr>
        <w:t>چگونه با آمار دروغ بگو</w:t>
      </w:r>
      <w:r w:rsidRPr="0025250D">
        <w:rPr>
          <w:rFonts w:hint="cs"/>
          <w:rtl/>
        </w:rPr>
        <w:t>یی</w:t>
      </w:r>
      <w:r w:rsidRPr="0025250D">
        <w:rPr>
          <w:rFonts w:hint="eastAsia"/>
          <w:rtl/>
        </w:rPr>
        <w:t>م،</w:t>
      </w:r>
      <w:r w:rsidRPr="0025250D">
        <w:rPr>
          <w:rtl/>
        </w:rPr>
        <w:t xml:space="preserve"> دارل هاف</w:t>
      </w:r>
      <w:r w:rsidRPr="0025250D">
        <w:rPr>
          <w:vertAlign w:val="superscript"/>
          <w:rtl/>
        </w:rPr>
        <w:footnoteReference w:id="3471"/>
      </w:r>
      <w:r w:rsidRPr="0025250D">
        <w:rPr>
          <w:rtl/>
        </w:rPr>
        <w:t>، 1993</w:t>
      </w:r>
    </w:p>
    <w:p w14:paraId="31AEEBCE" w14:textId="498D1D4C" w:rsidR="0037616D" w:rsidRPr="0025250D" w:rsidRDefault="0037616D" w:rsidP="00492C47">
      <w:pPr>
        <w:numPr>
          <w:ilvl w:val="0"/>
          <w:numId w:val="81"/>
        </w:numPr>
        <w:rPr>
          <w:rtl/>
        </w:rPr>
      </w:pPr>
      <w:r w:rsidRPr="0025250D">
        <w:rPr>
          <w:rtl/>
        </w:rPr>
        <w:t>چگونه هر چ</w:t>
      </w:r>
      <w:r w:rsidRPr="0025250D">
        <w:rPr>
          <w:rFonts w:hint="cs"/>
          <w:rtl/>
        </w:rPr>
        <w:t>ی</w:t>
      </w:r>
      <w:r w:rsidRPr="0025250D">
        <w:rPr>
          <w:rFonts w:hint="eastAsia"/>
          <w:rtl/>
        </w:rPr>
        <w:t>ز</w:t>
      </w:r>
      <w:r w:rsidRPr="0025250D">
        <w:rPr>
          <w:rFonts w:hint="cs"/>
          <w:rtl/>
        </w:rPr>
        <w:t>ی</w:t>
      </w:r>
      <w:r w:rsidRPr="0025250D">
        <w:rPr>
          <w:rtl/>
        </w:rPr>
        <w:t xml:space="preserve"> را اندازه گ</w:t>
      </w:r>
      <w:r w:rsidRPr="0025250D">
        <w:rPr>
          <w:rFonts w:hint="cs"/>
          <w:rtl/>
        </w:rPr>
        <w:t>ی</w:t>
      </w:r>
      <w:r w:rsidRPr="0025250D">
        <w:rPr>
          <w:rFonts w:hint="eastAsia"/>
          <w:rtl/>
        </w:rPr>
        <w:t>ر</w:t>
      </w:r>
      <w:r w:rsidRPr="0025250D">
        <w:rPr>
          <w:rFonts w:hint="cs"/>
          <w:rtl/>
        </w:rPr>
        <w:t>ی</w:t>
      </w:r>
      <w:r w:rsidRPr="0025250D">
        <w:rPr>
          <w:rtl/>
        </w:rPr>
        <w:t xml:space="preserve"> کن</w:t>
      </w:r>
      <w:r w:rsidRPr="0025250D">
        <w:rPr>
          <w:rFonts w:hint="cs"/>
          <w:rtl/>
        </w:rPr>
        <w:t>ی</w:t>
      </w:r>
      <w:r w:rsidRPr="0025250D">
        <w:rPr>
          <w:rFonts w:hint="eastAsia"/>
          <w:rtl/>
        </w:rPr>
        <w:t>م</w:t>
      </w:r>
      <w:r w:rsidRPr="0025250D">
        <w:rPr>
          <w:rtl/>
        </w:rPr>
        <w:t>: ارزش گذار</w:t>
      </w:r>
      <w:r w:rsidRPr="0025250D">
        <w:rPr>
          <w:rFonts w:hint="cs"/>
          <w:rtl/>
        </w:rPr>
        <w:t>ی</w:t>
      </w:r>
      <w:r w:rsidRPr="0025250D">
        <w:rPr>
          <w:rtl/>
        </w:rPr>
        <w:t xml:space="preserve"> دارا</w:t>
      </w:r>
      <w:r w:rsidRPr="0025250D">
        <w:rPr>
          <w:rFonts w:hint="cs"/>
          <w:rtl/>
        </w:rPr>
        <w:t>یی</w:t>
      </w:r>
      <w:r w:rsidRPr="0025250D">
        <w:rPr>
          <w:rtl/>
        </w:rPr>
        <w:t xml:space="preserve">‌های نامشهود در </w:t>
      </w:r>
      <w:r w:rsidR="00B124DE" w:rsidRPr="0025250D">
        <w:rPr>
          <w:rFonts w:hint="cs"/>
          <w:rtl/>
        </w:rPr>
        <w:t>کسب‌و‌کار</w:t>
      </w:r>
      <w:r w:rsidRPr="0025250D">
        <w:rPr>
          <w:rtl/>
        </w:rPr>
        <w:t>، داگلاس هابارد</w:t>
      </w:r>
      <w:r w:rsidRPr="0025250D">
        <w:rPr>
          <w:vertAlign w:val="superscript"/>
          <w:rtl/>
        </w:rPr>
        <w:footnoteReference w:id="3472"/>
      </w:r>
      <w:r w:rsidRPr="0025250D">
        <w:rPr>
          <w:rtl/>
        </w:rPr>
        <w:t>، 2014</w:t>
      </w:r>
    </w:p>
    <w:p w14:paraId="1E9913DB" w14:textId="77777777" w:rsidR="0037616D" w:rsidRPr="0025250D" w:rsidRDefault="0037616D" w:rsidP="00492C47">
      <w:pPr>
        <w:numPr>
          <w:ilvl w:val="0"/>
          <w:numId w:val="81"/>
        </w:numPr>
        <w:rPr>
          <w:rtl/>
        </w:rPr>
      </w:pPr>
      <w:r w:rsidRPr="0025250D">
        <w:rPr>
          <w:rtl/>
        </w:rPr>
        <w:t>جودو نوآور</w:t>
      </w:r>
      <w:r w:rsidRPr="0025250D">
        <w:rPr>
          <w:rFonts w:hint="cs"/>
          <w:rtl/>
        </w:rPr>
        <w:t>ی</w:t>
      </w:r>
      <w:r w:rsidRPr="0025250D">
        <w:rPr>
          <w:rtl/>
        </w:rPr>
        <w:t>: خلع سلاح موانع در مس</w:t>
      </w:r>
      <w:r w:rsidRPr="0025250D">
        <w:rPr>
          <w:rFonts w:hint="cs"/>
          <w:rtl/>
        </w:rPr>
        <w:t>ی</w:t>
      </w:r>
      <w:r w:rsidRPr="0025250D">
        <w:rPr>
          <w:rFonts w:hint="eastAsia"/>
          <w:rtl/>
        </w:rPr>
        <w:t>ر</w:t>
      </w:r>
      <w:r w:rsidRPr="0025250D">
        <w:rPr>
          <w:rtl/>
        </w:rPr>
        <w:t xml:space="preserve"> خلاق</w:t>
      </w:r>
      <w:r w:rsidRPr="0025250D">
        <w:rPr>
          <w:rFonts w:hint="cs"/>
          <w:rtl/>
        </w:rPr>
        <w:t>ی</w:t>
      </w:r>
      <w:r w:rsidRPr="0025250D">
        <w:rPr>
          <w:rFonts w:hint="eastAsia"/>
          <w:rtl/>
        </w:rPr>
        <w:t>ت،</w:t>
      </w:r>
      <w:r w:rsidRPr="0025250D">
        <w:rPr>
          <w:rtl/>
        </w:rPr>
        <w:t xml:space="preserve"> ن</w:t>
      </w:r>
      <w:r w:rsidRPr="0025250D">
        <w:rPr>
          <w:rFonts w:hint="cs"/>
          <w:rtl/>
        </w:rPr>
        <w:t>ی</w:t>
      </w:r>
      <w:r w:rsidRPr="0025250D">
        <w:rPr>
          <w:rFonts w:hint="eastAsia"/>
          <w:rtl/>
        </w:rPr>
        <w:t>ل</w:t>
      </w:r>
      <w:r w:rsidRPr="0025250D">
        <w:rPr>
          <w:rtl/>
        </w:rPr>
        <w:t xml:space="preserve"> تورنبر</w:t>
      </w:r>
      <w:r w:rsidRPr="0025250D">
        <w:rPr>
          <w:rFonts w:hint="cs"/>
          <w:rtl/>
        </w:rPr>
        <w:t>ی</w:t>
      </w:r>
      <w:r w:rsidRPr="0025250D">
        <w:rPr>
          <w:vertAlign w:val="superscript"/>
          <w:rtl/>
        </w:rPr>
        <w:footnoteReference w:id="3473"/>
      </w:r>
      <w:r w:rsidRPr="0025250D">
        <w:rPr>
          <w:rFonts w:hint="eastAsia"/>
          <w:rtl/>
        </w:rPr>
        <w:t>،</w:t>
      </w:r>
      <w:r w:rsidRPr="0025250D">
        <w:rPr>
          <w:rtl/>
        </w:rPr>
        <w:t xml:space="preserve"> 2014</w:t>
      </w:r>
    </w:p>
    <w:p w14:paraId="719B801D" w14:textId="77777777" w:rsidR="0037616D" w:rsidRPr="0025250D" w:rsidRDefault="0037616D" w:rsidP="00492C47">
      <w:pPr>
        <w:numPr>
          <w:ilvl w:val="0"/>
          <w:numId w:val="81"/>
        </w:numPr>
        <w:rPr>
          <w:rtl/>
        </w:rPr>
      </w:pPr>
      <w:r w:rsidRPr="0025250D">
        <w:rPr>
          <w:rtl/>
        </w:rPr>
        <w:t>مسابقات نوآور</w:t>
      </w:r>
      <w:r w:rsidRPr="0025250D">
        <w:rPr>
          <w:rFonts w:hint="cs"/>
          <w:rtl/>
        </w:rPr>
        <w:t>ی</w:t>
      </w:r>
      <w:r w:rsidRPr="0025250D">
        <w:rPr>
          <w:rtl/>
        </w:rPr>
        <w:t xml:space="preserve">: </w:t>
      </w:r>
      <w:r w:rsidRPr="0025250D">
        <w:rPr>
          <w:rFonts w:hint="cs"/>
          <w:rtl/>
        </w:rPr>
        <w:t>ی</w:t>
      </w:r>
      <w:r w:rsidRPr="0025250D">
        <w:rPr>
          <w:rFonts w:hint="eastAsia"/>
          <w:rtl/>
        </w:rPr>
        <w:t>افتن</w:t>
      </w:r>
      <w:r w:rsidRPr="0025250D">
        <w:rPr>
          <w:rtl/>
        </w:rPr>
        <w:t xml:space="preserve"> فرصت‌های استثنا</w:t>
      </w:r>
      <w:r w:rsidRPr="0025250D">
        <w:rPr>
          <w:rFonts w:hint="cs"/>
          <w:rtl/>
        </w:rPr>
        <w:t>یی</w:t>
      </w:r>
      <w:r w:rsidRPr="0025250D">
        <w:rPr>
          <w:rFonts w:hint="eastAsia"/>
          <w:rtl/>
        </w:rPr>
        <w:t>،</w:t>
      </w:r>
      <w:r w:rsidRPr="0025250D">
        <w:rPr>
          <w:rtl/>
        </w:rPr>
        <w:t xml:space="preserve"> ترو</w:t>
      </w:r>
      <w:r w:rsidRPr="0025250D">
        <w:rPr>
          <w:rFonts w:hint="cs"/>
          <w:rtl/>
        </w:rPr>
        <w:t>ی</w:t>
      </w:r>
      <w:r w:rsidRPr="0025250D">
        <w:rPr>
          <w:rFonts w:hint="eastAsia"/>
          <w:rtl/>
        </w:rPr>
        <w:t>ش</w:t>
      </w:r>
      <w:r w:rsidRPr="0025250D">
        <w:rPr>
          <w:rtl/>
        </w:rPr>
        <w:t xml:space="preserve"> و اولر</w:t>
      </w:r>
      <w:r w:rsidRPr="0025250D">
        <w:rPr>
          <w:rFonts w:hint="cs"/>
          <w:rtl/>
        </w:rPr>
        <w:t>ی</w:t>
      </w:r>
      <w:r w:rsidRPr="0025250D">
        <w:rPr>
          <w:rFonts w:hint="eastAsia"/>
          <w:rtl/>
        </w:rPr>
        <w:t>ش</w:t>
      </w:r>
      <w:r w:rsidRPr="0025250D">
        <w:rPr>
          <w:vertAlign w:val="superscript"/>
          <w:rtl/>
        </w:rPr>
        <w:footnoteReference w:id="3474"/>
      </w:r>
      <w:r w:rsidRPr="0025250D">
        <w:rPr>
          <w:rFonts w:hint="eastAsia"/>
          <w:rtl/>
        </w:rPr>
        <w:t>،</w:t>
      </w:r>
      <w:r w:rsidRPr="0025250D">
        <w:rPr>
          <w:rtl/>
        </w:rPr>
        <w:t xml:space="preserve"> 2009</w:t>
      </w:r>
    </w:p>
    <w:p w14:paraId="758EC447" w14:textId="77777777" w:rsidR="0037616D" w:rsidRPr="0025250D" w:rsidRDefault="0037616D" w:rsidP="00492C47">
      <w:pPr>
        <w:numPr>
          <w:ilvl w:val="0"/>
          <w:numId w:val="81"/>
        </w:numPr>
        <w:rPr>
          <w:rtl/>
        </w:rPr>
      </w:pPr>
      <w:r w:rsidRPr="0025250D">
        <w:rPr>
          <w:rtl/>
        </w:rPr>
        <w:t>ب</w:t>
      </w:r>
      <w:r w:rsidRPr="0025250D">
        <w:rPr>
          <w:rFonts w:hint="cs"/>
          <w:rtl/>
        </w:rPr>
        <w:t>ی</w:t>
      </w:r>
      <w:r w:rsidRPr="0025250D">
        <w:rPr>
          <w:rFonts w:hint="eastAsia"/>
          <w:rtl/>
        </w:rPr>
        <w:t>نش</w:t>
      </w:r>
      <w:r w:rsidRPr="0025250D">
        <w:rPr>
          <w:rtl/>
        </w:rPr>
        <w:t xml:space="preserve"> در نوآور</w:t>
      </w:r>
      <w:r w:rsidRPr="0025250D">
        <w:rPr>
          <w:rFonts w:hint="cs"/>
          <w:rtl/>
        </w:rPr>
        <w:t>ی</w:t>
      </w:r>
      <w:r w:rsidRPr="0025250D">
        <w:rPr>
          <w:rtl/>
        </w:rPr>
        <w:t>: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با استفاده از قوان</w:t>
      </w:r>
      <w:r w:rsidRPr="0025250D">
        <w:rPr>
          <w:rFonts w:hint="cs"/>
          <w:rtl/>
        </w:rPr>
        <w:t>ی</w:t>
      </w:r>
      <w:r w:rsidRPr="0025250D">
        <w:rPr>
          <w:rFonts w:hint="eastAsia"/>
          <w:rtl/>
        </w:rPr>
        <w:t>ن</w:t>
      </w:r>
      <w:r w:rsidRPr="0025250D">
        <w:rPr>
          <w:rtl/>
        </w:rPr>
        <w:t xml:space="preserve"> نوآور</w:t>
      </w:r>
      <w:r w:rsidRPr="0025250D">
        <w:rPr>
          <w:rFonts w:hint="cs"/>
          <w:rtl/>
        </w:rPr>
        <w:t>ی</w:t>
      </w:r>
      <w:r w:rsidRPr="0025250D">
        <w:rPr>
          <w:rFonts w:hint="eastAsia"/>
          <w:rtl/>
        </w:rPr>
        <w:t>،</w:t>
      </w:r>
      <w:r w:rsidRPr="0025250D">
        <w:rPr>
          <w:rtl/>
        </w:rPr>
        <w:t xml:space="preserve"> </w:t>
      </w:r>
      <w:r w:rsidRPr="0025250D">
        <w:rPr>
          <w:rFonts w:hint="cs"/>
          <w:rtl/>
        </w:rPr>
        <w:t>ی</w:t>
      </w:r>
      <w:r w:rsidRPr="0025250D">
        <w:rPr>
          <w:rFonts w:hint="eastAsia"/>
          <w:rtl/>
        </w:rPr>
        <w:t>ان</w:t>
      </w:r>
      <w:r w:rsidRPr="0025250D">
        <w:rPr>
          <w:rtl/>
        </w:rPr>
        <w:t xml:space="preserve"> ورلوپ</w:t>
      </w:r>
      <w:r w:rsidRPr="0025250D">
        <w:rPr>
          <w:vertAlign w:val="superscript"/>
          <w:rtl/>
        </w:rPr>
        <w:footnoteReference w:id="3475"/>
      </w:r>
      <w:r w:rsidRPr="0025250D">
        <w:rPr>
          <w:rtl/>
        </w:rPr>
        <w:t>، 2004</w:t>
      </w:r>
    </w:p>
    <w:p w14:paraId="010CDFCB" w14:textId="1EF52705" w:rsidR="0037616D" w:rsidRPr="0025250D" w:rsidRDefault="0037616D" w:rsidP="00492C47">
      <w:pPr>
        <w:numPr>
          <w:ilvl w:val="0"/>
          <w:numId w:val="81"/>
        </w:numPr>
        <w:rPr>
          <w:rtl/>
        </w:rPr>
      </w:pPr>
      <w:r w:rsidRPr="0025250D">
        <w:rPr>
          <w:rtl/>
        </w:rPr>
        <w:t>آشنا</w:t>
      </w:r>
      <w:r w:rsidRPr="0025250D">
        <w:rPr>
          <w:rFonts w:hint="cs"/>
          <w:rtl/>
        </w:rPr>
        <w:t>یی</w:t>
      </w:r>
      <w:r w:rsidRPr="0025250D">
        <w:rPr>
          <w:rtl/>
        </w:rPr>
        <w:t xml:space="preserve"> با علم و فناور</w:t>
      </w:r>
      <w:r w:rsidRPr="0025250D">
        <w:rPr>
          <w:rFonts w:hint="cs"/>
          <w:rtl/>
        </w:rPr>
        <w:t>ی</w:t>
      </w:r>
      <w:r w:rsidRPr="0025250D">
        <w:rPr>
          <w:rtl/>
        </w:rPr>
        <w:t>: هوش فن</w:t>
      </w:r>
      <w:r w:rsidRPr="0025250D">
        <w:rPr>
          <w:rFonts w:hint="cs"/>
          <w:rtl/>
        </w:rPr>
        <w:t>ی</w:t>
      </w:r>
      <w:r w:rsidRPr="0025250D">
        <w:rPr>
          <w:rtl/>
        </w:rPr>
        <w:t xml:space="preserve"> برا</w:t>
      </w:r>
      <w:r w:rsidRPr="0025250D">
        <w:rPr>
          <w:rFonts w:hint="cs"/>
          <w:rtl/>
        </w:rPr>
        <w:t>ی</w:t>
      </w:r>
      <w:r w:rsidRPr="0025250D">
        <w:rPr>
          <w:rtl/>
        </w:rPr>
        <w:t xml:space="preserve"> </w:t>
      </w:r>
      <w:r w:rsidR="00B124DE" w:rsidRPr="0025250D">
        <w:rPr>
          <w:rFonts w:hint="cs"/>
          <w:rtl/>
        </w:rPr>
        <w:t>کسب‌و‌کار</w:t>
      </w:r>
      <w:r w:rsidRPr="0025250D">
        <w:rPr>
          <w:rtl/>
        </w:rPr>
        <w:t>، اشتون و کلاوانز</w:t>
      </w:r>
      <w:r w:rsidRPr="0025250D">
        <w:rPr>
          <w:vertAlign w:val="superscript"/>
          <w:rtl/>
        </w:rPr>
        <w:footnoteReference w:id="3476"/>
      </w:r>
      <w:r w:rsidRPr="0025250D">
        <w:rPr>
          <w:rtl/>
        </w:rPr>
        <w:t>، 1997</w:t>
      </w:r>
    </w:p>
    <w:p w14:paraId="65F215EE" w14:textId="77777777" w:rsidR="0037616D" w:rsidRPr="0025250D" w:rsidRDefault="0037616D" w:rsidP="00492C47">
      <w:pPr>
        <w:numPr>
          <w:ilvl w:val="0"/>
          <w:numId w:val="81"/>
        </w:numPr>
        <w:rPr>
          <w:rtl/>
        </w:rPr>
      </w:pPr>
      <w:r w:rsidRPr="0025250D">
        <w:rPr>
          <w:rtl/>
        </w:rPr>
        <w:t>تغ</w:t>
      </w:r>
      <w:r w:rsidRPr="0025250D">
        <w:rPr>
          <w:rFonts w:hint="cs"/>
          <w:rtl/>
        </w:rPr>
        <w:t>یی</w:t>
      </w:r>
      <w:r w:rsidRPr="0025250D">
        <w:rPr>
          <w:rFonts w:hint="eastAsia"/>
          <w:rtl/>
        </w:rPr>
        <w:t>ر</w:t>
      </w:r>
      <w:r w:rsidRPr="0025250D">
        <w:rPr>
          <w:rtl/>
        </w:rPr>
        <w:t xml:space="preserve"> پ</w:t>
      </w:r>
      <w:r w:rsidRPr="0025250D">
        <w:rPr>
          <w:rFonts w:hint="cs"/>
          <w:rtl/>
        </w:rPr>
        <w:t>ی</w:t>
      </w:r>
      <w:r w:rsidRPr="0025250D">
        <w:rPr>
          <w:rFonts w:hint="eastAsia"/>
          <w:rtl/>
        </w:rPr>
        <w:t>شرو،</w:t>
      </w:r>
      <w:r w:rsidRPr="0025250D">
        <w:rPr>
          <w:rtl/>
        </w:rPr>
        <w:t xml:space="preserve"> جان کوتر</w:t>
      </w:r>
      <w:r w:rsidRPr="0025250D">
        <w:rPr>
          <w:vertAlign w:val="superscript"/>
          <w:rtl/>
        </w:rPr>
        <w:footnoteReference w:id="3477"/>
      </w:r>
      <w:r w:rsidRPr="0025250D">
        <w:rPr>
          <w:rtl/>
        </w:rPr>
        <w:t>، 2012</w:t>
      </w:r>
    </w:p>
    <w:p w14:paraId="13404B98" w14:textId="77777777" w:rsidR="0037616D" w:rsidRPr="0025250D" w:rsidRDefault="0037616D" w:rsidP="00492C47">
      <w:pPr>
        <w:numPr>
          <w:ilvl w:val="0"/>
          <w:numId w:val="81"/>
        </w:numPr>
        <w:rPr>
          <w:rtl/>
        </w:rPr>
      </w:pPr>
      <w:r w:rsidRPr="0025250D">
        <w:rPr>
          <w:rtl/>
        </w:rPr>
        <w:t>پ</w:t>
      </w:r>
      <w:r w:rsidRPr="0025250D">
        <w:rPr>
          <w:rFonts w:hint="cs"/>
          <w:rtl/>
        </w:rPr>
        <w:t>ی</w:t>
      </w:r>
      <w:r w:rsidRPr="0025250D">
        <w:rPr>
          <w:rFonts w:hint="eastAsia"/>
          <w:rtl/>
        </w:rPr>
        <w:t>شرو</w:t>
      </w:r>
      <w:r w:rsidRPr="0025250D">
        <w:rPr>
          <w:rtl/>
        </w:rPr>
        <w:t xml:space="preserve"> د</w:t>
      </w:r>
      <w:r w:rsidRPr="0025250D">
        <w:rPr>
          <w:rFonts w:hint="cs"/>
          <w:rtl/>
        </w:rPr>
        <w:t>ی</w:t>
      </w:r>
      <w:r w:rsidRPr="0025250D">
        <w:rPr>
          <w:rFonts w:hint="eastAsia"/>
          <w:rtl/>
        </w:rPr>
        <w:t>ج</w:t>
      </w:r>
      <w:r w:rsidRPr="0025250D">
        <w:rPr>
          <w:rFonts w:hint="cs"/>
          <w:rtl/>
        </w:rPr>
        <w:t>ی</w:t>
      </w:r>
      <w:r w:rsidRPr="0025250D">
        <w:rPr>
          <w:rFonts w:hint="eastAsia"/>
          <w:rtl/>
        </w:rPr>
        <w:t>تال</w:t>
      </w:r>
      <w:r w:rsidRPr="0025250D">
        <w:rPr>
          <w:rtl/>
        </w:rPr>
        <w:t>: تبد</w:t>
      </w:r>
      <w:r w:rsidRPr="0025250D">
        <w:rPr>
          <w:rFonts w:hint="cs"/>
          <w:rtl/>
        </w:rPr>
        <w:t>ی</w:t>
      </w:r>
      <w:r w:rsidRPr="0025250D">
        <w:rPr>
          <w:rFonts w:hint="eastAsia"/>
          <w:rtl/>
        </w:rPr>
        <w:t>ل</w:t>
      </w:r>
      <w:r w:rsidRPr="0025250D">
        <w:rPr>
          <w:rtl/>
        </w:rPr>
        <w:t xml:space="preserve"> فناور</w:t>
      </w:r>
      <w:r w:rsidRPr="0025250D">
        <w:rPr>
          <w:rFonts w:hint="cs"/>
          <w:rtl/>
        </w:rPr>
        <w:t>ی</w:t>
      </w:r>
      <w:r w:rsidRPr="0025250D">
        <w:rPr>
          <w:rtl/>
        </w:rPr>
        <w:t xml:space="preserve"> به تحول ب</w:t>
      </w:r>
      <w:r w:rsidRPr="0025250D">
        <w:rPr>
          <w:rFonts w:hint="cs"/>
          <w:rtl/>
        </w:rPr>
        <w:t>ی</w:t>
      </w:r>
      <w:r w:rsidRPr="0025250D">
        <w:rPr>
          <w:rFonts w:hint="eastAsia"/>
          <w:rtl/>
        </w:rPr>
        <w:t>ز</w:t>
      </w:r>
      <w:r w:rsidRPr="0025250D">
        <w:rPr>
          <w:rFonts w:hint="cs"/>
          <w:rtl/>
        </w:rPr>
        <w:t xml:space="preserve">، </w:t>
      </w:r>
      <w:r w:rsidRPr="0025250D">
        <w:rPr>
          <w:rtl/>
        </w:rPr>
        <w:t>وسترمن و بونت، 2014</w:t>
      </w:r>
    </w:p>
    <w:p w14:paraId="24A0B606" w14:textId="0B547578" w:rsidR="0037616D" w:rsidRPr="0025250D" w:rsidRDefault="0037616D" w:rsidP="00492C47">
      <w:pPr>
        <w:numPr>
          <w:ilvl w:val="0"/>
          <w:numId w:val="81"/>
        </w:numPr>
        <w:rPr>
          <w:rtl/>
        </w:rPr>
      </w:pPr>
      <w:r w:rsidRPr="0025250D">
        <w:rPr>
          <w:rFonts w:hint="cs"/>
          <w:rtl/>
        </w:rPr>
        <w:t>ی</w:t>
      </w:r>
      <w:r w:rsidRPr="0025250D">
        <w:rPr>
          <w:rFonts w:hint="eastAsia"/>
          <w:rtl/>
        </w:rPr>
        <w:t>ادگ</w:t>
      </w:r>
      <w:r w:rsidRPr="0025250D">
        <w:rPr>
          <w:rFonts w:hint="cs"/>
          <w:rtl/>
        </w:rPr>
        <w:t>ی</w:t>
      </w:r>
      <w:r w:rsidRPr="0025250D">
        <w:rPr>
          <w:rFonts w:hint="eastAsia"/>
          <w:rtl/>
        </w:rPr>
        <w:t>ر</w:t>
      </w:r>
      <w:r w:rsidRPr="0025250D">
        <w:rPr>
          <w:rFonts w:hint="cs"/>
          <w:rtl/>
        </w:rPr>
        <w:t>ی</w:t>
      </w:r>
      <w:r w:rsidRPr="0025250D">
        <w:rPr>
          <w:rtl/>
        </w:rPr>
        <w:t xml:space="preserve"> از آ</w:t>
      </w:r>
      <w:r w:rsidRPr="0025250D">
        <w:rPr>
          <w:rFonts w:hint="cs"/>
          <w:rtl/>
        </w:rPr>
        <w:t>ی</w:t>
      </w:r>
      <w:r w:rsidRPr="0025250D">
        <w:rPr>
          <w:rFonts w:hint="eastAsia"/>
          <w:rtl/>
        </w:rPr>
        <w:t>نده</w:t>
      </w:r>
      <w:r w:rsidRPr="0025250D">
        <w:rPr>
          <w:rtl/>
        </w:rPr>
        <w:t xml:space="preserve">: </w:t>
      </w:r>
      <w:r w:rsidR="00362EF3" w:rsidRPr="0025250D">
        <w:rPr>
          <w:rtl/>
        </w:rPr>
        <w:t>فرانامه‌های</w:t>
      </w:r>
      <w:r w:rsidRPr="0025250D">
        <w:rPr>
          <w:rtl/>
        </w:rPr>
        <w:t xml:space="preserve"> آینده‌نگاری رقابت</w:t>
      </w:r>
      <w:r w:rsidRPr="0025250D">
        <w:rPr>
          <w:rFonts w:hint="cs"/>
          <w:rtl/>
        </w:rPr>
        <w:t>ی</w:t>
      </w:r>
      <w:r w:rsidRPr="0025250D">
        <w:rPr>
          <w:rFonts w:hint="eastAsia"/>
          <w:rtl/>
        </w:rPr>
        <w:t>،</w:t>
      </w:r>
      <w:r w:rsidRPr="0025250D">
        <w:rPr>
          <w:rtl/>
        </w:rPr>
        <w:t xml:space="preserve"> فاه</w:t>
      </w:r>
      <w:r w:rsidRPr="0025250D">
        <w:rPr>
          <w:rFonts w:hint="cs"/>
          <w:rtl/>
        </w:rPr>
        <w:t>ی</w:t>
      </w:r>
      <w:r w:rsidRPr="0025250D">
        <w:rPr>
          <w:rtl/>
        </w:rPr>
        <w:t xml:space="preserve"> و رندال</w:t>
      </w:r>
      <w:r w:rsidRPr="0025250D">
        <w:rPr>
          <w:vertAlign w:val="superscript"/>
          <w:rtl/>
        </w:rPr>
        <w:footnoteReference w:id="3478"/>
      </w:r>
      <w:r w:rsidRPr="0025250D">
        <w:rPr>
          <w:rtl/>
        </w:rPr>
        <w:t>، 1997</w:t>
      </w:r>
    </w:p>
    <w:p w14:paraId="4473D9AC" w14:textId="77777777" w:rsidR="0037616D" w:rsidRPr="0025250D" w:rsidRDefault="0037616D" w:rsidP="00492C47">
      <w:pPr>
        <w:numPr>
          <w:ilvl w:val="0"/>
          <w:numId w:val="81"/>
        </w:numPr>
        <w:rPr>
          <w:rtl/>
        </w:rPr>
      </w:pPr>
      <w:r w:rsidRPr="0025250D">
        <w:rPr>
          <w:rFonts w:hint="cs"/>
          <w:rtl/>
        </w:rPr>
        <w:t>یادگیری</w:t>
      </w:r>
      <w:r w:rsidRPr="0025250D">
        <w:rPr>
          <w:rtl/>
        </w:rPr>
        <w:t xml:space="preserve"> از اختاپوس: استفاده از طب</w:t>
      </w:r>
      <w:r w:rsidRPr="0025250D">
        <w:rPr>
          <w:rFonts w:hint="cs"/>
          <w:rtl/>
        </w:rPr>
        <w:t>ی</w:t>
      </w:r>
      <w:r w:rsidRPr="0025250D">
        <w:rPr>
          <w:rFonts w:hint="eastAsia"/>
          <w:rtl/>
        </w:rPr>
        <w:t>عت</w:t>
      </w:r>
      <w:r w:rsidRPr="0025250D">
        <w:rPr>
          <w:rtl/>
        </w:rPr>
        <w:t xml:space="preserve"> برا</w:t>
      </w:r>
      <w:r w:rsidRPr="0025250D">
        <w:rPr>
          <w:rFonts w:hint="cs"/>
          <w:rtl/>
        </w:rPr>
        <w:t>ی</w:t>
      </w:r>
      <w:r w:rsidRPr="0025250D">
        <w:rPr>
          <w:rtl/>
        </w:rPr>
        <w:t xml:space="preserve"> مبارزه با ترور، فاجعه، ب</w:t>
      </w:r>
      <w:r w:rsidRPr="0025250D">
        <w:rPr>
          <w:rFonts w:hint="cs"/>
          <w:rtl/>
        </w:rPr>
        <w:t>ی</w:t>
      </w:r>
      <w:r w:rsidRPr="0025250D">
        <w:rPr>
          <w:rFonts w:hint="eastAsia"/>
          <w:rtl/>
        </w:rPr>
        <w:t>مار</w:t>
      </w:r>
      <w:r w:rsidRPr="0025250D">
        <w:rPr>
          <w:rFonts w:hint="cs"/>
          <w:rtl/>
        </w:rPr>
        <w:t>ی</w:t>
      </w:r>
      <w:r w:rsidRPr="0025250D">
        <w:rPr>
          <w:rFonts w:hint="eastAsia"/>
          <w:rtl/>
        </w:rPr>
        <w:t>،</w:t>
      </w:r>
      <w:r w:rsidRPr="0025250D">
        <w:rPr>
          <w:rtl/>
        </w:rPr>
        <w:t xml:space="preserve"> ساگار</w:t>
      </w:r>
      <w:r w:rsidRPr="0025250D">
        <w:rPr>
          <w:rFonts w:hint="cs"/>
          <w:rtl/>
        </w:rPr>
        <w:t>ی</w:t>
      </w:r>
      <w:r w:rsidRPr="0025250D">
        <w:rPr>
          <w:rFonts w:hint="eastAsia"/>
          <w:rtl/>
        </w:rPr>
        <w:t>ن</w:t>
      </w:r>
      <w:r w:rsidRPr="0025250D">
        <w:rPr>
          <w:vertAlign w:val="superscript"/>
          <w:rtl/>
        </w:rPr>
        <w:footnoteReference w:id="3479"/>
      </w:r>
      <w:r w:rsidRPr="0025250D">
        <w:rPr>
          <w:rFonts w:hint="eastAsia"/>
          <w:rtl/>
        </w:rPr>
        <w:t>،</w:t>
      </w:r>
      <w:r w:rsidRPr="0025250D">
        <w:rPr>
          <w:rtl/>
        </w:rPr>
        <w:t xml:space="preserve"> 2012.</w:t>
      </w:r>
    </w:p>
    <w:p w14:paraId="2B727EFE" w14:textId="233AECD4" w:rsidR="0037616D" w:rsidRPr="0025250D" w:rsidRDefault="00FB6A7E" w:rsidP="00492C47">
      <w:pPr>
        <w:numPr>
          <w:ilvl w:val="0"/>
          <w:numId w:val="81"/>
        </w:numPr>
        <w:rPr>
          <w:rtl/>
        </w:rPr>
      </w:pPr>
      <w:r w:rsidRPr="0025250D">
        <w:rPr>
          <w:rtl/>
        </w:rPr>
        <w:t>پیش‌نگری</w:t>
      </w:r>
      <w:r w:rsidR="0037616D" w:rsidRPr="0025250D">
        <w:rPr>
          <w:rtl/>
        </w:rPr>
        <w:t xml:space="preserve"> دوربرد، اسکات آرمسترانگ</w:t>
      </w:r>
      <w:r w:rsidR="0037616D" w:rsidRPr="0025250D">
        <w:rPr>
          <w:vertAlign w:val="superscript"/>
          <w:rtl/>
        </w:rPr>
        <w:footnoteReference w:id="3480"/>
      </w:r>
      <w:r w:rsidR="0037616D" w:rsidRPr="0025250D">
        <w:rPr>
          <w:rtl/>
        </w:rPr>
        <w:t>، 1985</w:t>
      </w:r>
    </w:p>
    <w:p w14:paraId="627E9224" w14:textId="1BC4A803" w:rsidR="0037616D" w:rsidRPr="0025250D" w:rsidRDefault="00B124DE" w:rsidP="00492C47">
      <w:pPr>
        <w:numPr>
          <w:ilvl w:val="0"/>
          <w:numId w:val="81"/>
        </w:numPr>
        <w:rPr>
          <w:rtl/>
        </w:rPr>
      </w:pPr>
      <w:r w:rsidRPr="0025250D">
        <w:rPr>
          <w:rtl/>
        </w:rPr>
        <w:t>برنامه‌ریزی</w:t>
      </w:r>
      <w:r w:rsidR="0037616D" w:rsidRPr="0025250D">
        <w:rPr>
          <w:rtl/>
        </w:rPr>
        <w:t xml:space="preserve"> بلند مدت برا</w:t>
      </w:r>
      <w:r w:rsidR="0037616D" w:rsidRPr="0025250D">
        <w:rPr>
          <w:rFonts w:hint="cs"/>
          <w:rtl/>
        </w:rPr>
        <w:t>ی</w:t>
      </w:r>
      <w:r w:rsidR="0037616D" w:rsidRPr="0025250D">
        <w:rPr>
          <w:rtl/>
        </w:rPr>
        <w:t xml:space="preserve"> مد</w:t>
      </w:r>
      <w:r w:rsidR="0037616D" w:rsidRPr="0025250D">
        <w:rPr>
          <w:rFonts w:hint="cs"/>
          <w:rtl/>
        </w:rPr>
        <w:t>ی</w:t>
      </w:r>
      <w:r w:rsidR="0037616D" w:rsidRPr="0025250D">
        <w:rPr>
          <w:rFonts w:hint="eastAsia"/>
          <w:rtl/>
        </w:rPr>
        <w:t>ر</w:t>
      </w:r>
      <w:r w:rsidR="0037616D" w:rsidRPr="0025250D">
        <w:rPr>
          <w:rFonts w:hint="cs"/>
          <w:rtl/>
        </w:rPr>
        <w:t>ی</w:t>
      </w:r>
      <w:r w:rsidR="0037616D" w:rsidRPr="0025250D">
        <w:rPr>
          <w:rFonts w:hint="eastAsia"/>
          <w:rtl/>
        </w:rPr>
        <w:t>ت،</w:t>
      </w:r>
      <w:r w:rsidR="0037616D" w:rsidRPr="0025250D">
        <w:rPr>
          <w:rtl/>
        </w:rPr>
        <w:t xml:space="preserve"> و</w:t>
      </w:r>
      <w:r w:rsidR="0037616D" w:rsidRPr="0025250D">
        <w:rPr>
          <w:rFonts w:hint="cs"/>
          <w:rtl/>
        </w:rPr>
        <w:t>ی</w:t>
      </w:r>
      <w:r w:rsidR="0037616D" w:rsidRPr="0025250D">
        <w:rPr>
          <w:rFonts w:hint="eastAsia"/>
          <w:rtl/>
        </w:rPr>
        <w:t>را</w:t>
      </w:r>
      <w:r w:rsidR="0037616D" w:rsidRPr="0025250D">
        <w:rPr>
          <w:rFonts w:hint="cs"/>
          <w:rtl/>
        </w:rPr>
        <w:t>ی</w:t>
      </w:r>
      <w:r w:rsidR="0037616D" w:rsidRPr="0025250D">
        <w:rPr>
          <w:rFonts w:hint="eastAsia"/>
          <w:rtl/>
        </w:rPr>
        <w:t>ش</w:t>
      </w:r>
      <w:r w:rsidR="0037616D" w:rsidRPr="0025250D">
        <w:rPr>
          <w:rtl/>
        </w:rPr>
        <w:t xml:space="preserve"> سوم، د</w:t>
      </w:r>
      <w:r w:rsidR="0037616D" w:rsidRPr="0025250D">
        <w:rPr>
          <w:rFonts w:hint="cs"/>
          <w:rtl/>
        </w:rPr>
        <w:t>ی</w:t>
      </w:r>
      <w:r w:rsidR="0037616D" w:rsidRPr="0025250D">
        <w:rPr>
          <w:rFonts w:hint="eastAsia"/>
          <w:rtl/>
        </w:rPr>
        <w:t>و</w:t>
      </w:r>
      <w:r w:rsidR="0037616D" w:rsidRPr="0025250D">
        <w:rPr>
          <w:rFonts w:hint="cs"/>
          <w:rtl/>
        </w:rPr>
        <w:t>ی</w:t>
      </w:r>
      <w:r w:rsidR="0037616D" w:rsidRPr="0025250D">
        <w:rPr>
          <w:rFonts w:hint="eastAsia"/>
          <w:rtl/>
        </w:rPr>
        <w:t>د</w:t>
      </w:r>
      <w:r w:rsidR="0037616D" w:rsidRPr="0025250D">
        <w:rPr>
          <w:rtl/>
        </w:rPr>
        <w:t xml:space="preserve"> </w:t>
      </w:r>
      <w:r w:rsidR="0037616D" w:rsidRPr="0025250D">
        <w:rPr>
          <w:rFonts w:hint="cs"/>
          <w:rtl/>
        </w:rPr>
        <w:t>ی</w:t>
      </w:r>
      <w:r w:rsidR="0037616D" w:rsidRPr="0025250D">
        <w:rPr>
          <w:rFonts w:hint="eastAsia"/>
          <w:rtl/>
        </w:rPr>
        <w:t>و</w:t>
      </w:r>
      <w:r w:rsidR="0037616D" w:rsidRPr="0025250D">
        <w:rPr>
          <w:rFonts w:hint="cs"/>
          <w:rtl/>
        </w:rPr>
        <w:t>ی</w:t>
      </w:r>
      <w:r w:rsidR="0037616D" w:rsidRPr="0025250D">
        <w:rPr>
          <w:rFonts w:hint="eastAsia"/>
          <w:rtl/>
        </w:rPr>
        <w:t>نگ</w:t>
      </w:r>
      <w:r w:rsidR="0037616D" w:rsidRPr="0025250D">
        <w:rPr>
          <w:vertAlign w:val="superscript"/>
          <w:rtl/>
        </w:rPr>
        <w:footnoteReference w:id="3481"/>
      </w:r>
      <w:r w:rsidR="0037616D" w:rsidRPr="0025250D">
        <w:rPr>
          <w:rFonts w:hint="eastAsia"/>
          <w:rtl/>
        </w:rPr>
        <w:t>،</w:t>
      </w:r>
      <w:r w:rsidR="0037616D" w:rsidRPr="0025250D">
        <w:rPr>
          <w:rtl/>
        </w:rPr>
        <w:t xml:space="preserve"> 1972</w:t>
      </w:r>
    </w:p>
    <w:p w14:paraId="2CB94DF0" w14:textId="77777777" w:rsidR="0037616D" w:rsidRPr="0025250D" w:rsidRDefault="0037616D" w:rsidP="00492C47">
      <w:pPr>
        <w:numPr>
          <w:ilvl w:val="0"/>
          <w:numId w:val="81"/>
        </w:numPr>
        <w:rPr>
          <w:rtl/>
        </w:rPr>
      </w:pPr>
      <w:r w:rsidRPr="0025250D">
        <w:rPr>
          <w:rtl/>
        </w:rPr>
        <w:t>نگاه به آ</w:t>
      </w:r>
      <w:r w:rsidRPr="0025250D">
        <w:rPr>
          <w:rFonts w:hint="cs"/>
          <w:rtl/>
        </w:rPr>
        <w:t>ی</w:t>
      </w:r>
      <w:r w:rsidRPr="0025250D">
        <w:rPr>
          <w:rFonts w:hint="eastAsia"/>
          <w:rtl/>
        </w:rPr>
        <w:t>نده</w:t>
      </w:r>
      <w:r w:rsidRPr="0025250D">
        <w:rPr>
          <w:rtl/>
        </w:rPr>
        <w:t>: راهنما</w:t>
      </w:r>
      <w:r w:rsidRPr="0025250D">
        <w:rPr>
          <w:rFonts w:hint="cs"/>
          <w:rtl/>
        </w:rPr>
        <w:t>ی</w:t>
      </w:r>
      <w:r w:rsidRPr="0025250D">
        <w:rPr>
          <w:rtl/>
        </w:rPr>
        <w:t xml:space="preserve"> تحق</w:t>
      </w:r>
      <w:r w:rsidRPr="0025250D">
        <w:rPr>
          <w:rFonts w:hint="cs"/>
          <w:rtl/>
        </w:rPr>
        <w:t>ی</w:t>
      </w:r>
      <w:r w:rsidRPr="0025250D">
        <w:rPr>
          <w:rFonts w:hint="eastAsia"/>
          <w:rtl/>
        </w:rPr>
        <w:t>قات</w:t>
      </w:r>
      <w:r w:rsidRPr="0025250D">
        <w:rPr>
          <w:rtl/>
        </w:rPr>
        <w:t xml:space="preserve"> آ</w:t>
      </w:r>
      <w:r w:rsidRPr="0025250D">
        <w:rPr>
          <w:rFonts w:hint="cs"/>
          <w:rtl/>
        </w:rPr>
        <w:t>ی</w:t>
      </w:r>
      <w:r w:rsidRPr="0025250D">
        <w:rPr>
          <w:rFonts w:hint="eastAsia"/>
          <w:rtl/>
        </w:rPr>
        <w:t>نده،</w:t>
      </w:r>
      <w:r w:rsidRPr="0025250D">
        <w:rPr>
          <w:rtl/>
        </w:rPr>
        <w:t xml:space="preserve"> اولاف هلمر</w:t>
      </w:r>
      <w:r w:rsidRPr="0025250D">
        <w:rPr>
          <w:vertAlign w:val="superscript"/>
          <w:rtl/>
        </w:rPr>
        <w:footnoteReference w:id="3482"/>
      </w:r>
      <w:r w:rsidRPr="0025250D">
        <w:rPr>
          <w:rtl/>
        </w:rPr>
        <w:t>، 1983.</w:t>
      </w:r>
    </w:p>
    <w:p w14:paraId="5BEFC860" w14:textId="23BE60AE" w:rsidR="0037616D" w:rsidRPr="0025250D" w:rsidRDefault="0037616D" w:rsidP="00492C47">
      <w:pPr>
        <w:numPr>
          <w:ilvl w:val="0"/>
          <w:numId w:val="81"/>
        </w:numPr>
        <w:rPr>
          <w:rtl/>
        </w:rPr>
      </w:pPr>
      <w:r w:rsidRPr="0025250D">
        <w:rPr>
          <w:rtl/>
        </w:rPr>
        <w:t>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تغ</w:t>
      </w:r>
      <w:r w:rsidRPr="0025250D">
        <w:rPr>
          <w:rFonts w:hint="cs"/>
          <w:rtl/>
        </w:rPr>
        <w:t>یی</w:t>
      </w:r>
      <w:r w:rsidRPr="0025250D">
        <w:rPr>
          <w:rFonts w:hint="eastAsia"/>
          <w:rtl/>
        </w:rPr>
        <w:t>رات</w:t>
      </w:r>
      <w:r w:rsidRPr="0025250D">
        <w:rPr>
          <w:rtl/>
        </w:rPr>
        <w:t xml:space="preserve"> </w:t>
      </w:r>
      <w:r w:rsidR="007A53FD" w:rsidRPr="0025250D">
        <w:rPr>
          <w:rtl/>
        </w:rPr>
        <w:t>فناورانه</w:t>
      </w:r>
      <w:r w:rsidRPr="0025250D">
        <w:rPr>
          <w:rFonts w:hint="eastAsia"/>
          <w:rtl/>
        </w:rPr>
        <w:t>،</w:t>
      </w:r>
      <w:r w:rsidRPr="0025250D">
        <w:rPr>
          <w:rtl/>
        </w:rPr>
        <w:t xml:space="preserve"> ارنست فرانکل</w:t>
      </w:r>
      <w:r w:rsidRPr="0025250D">
        <w:rPr>
          <w:vertAlign w:val="superscript"/>
          <w:rtl/>
        </w:rPr>
        <w:footnoteReference w:id="3483"/>
      </w:r>
      <w:r w:rsidRPr="0025250D">
        <w:rPr>
          <w:rtl/>
        </w:rPr>
        <w:t>، 1990</w:t>
      </w:r>
    </w:p>
    <w:p w14:paraId="18E70310" w14:textId="77777777" w:rsidR="0037616D" w:rsidRPr="0025250D" w:rsidRDefault="0037616D" w:rsidP="00492C47">
      <w:pPr>
        <w:numPr>
          <w:ilvl w:val="0"/>
          <w:numId w:val="81"/>
        </w:numPr>
        <w:rPr>
          <w:rtl/>
        </w:rPr>
      </w:pPr>
      <w:r w:rsidRPr="0025250D">
        <w:rPr>
          <w:rtl/>
        </w:rPr>
        <w:t>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پو</w:t>
      </w:r>
      <w:r w:rsidRPr="0025250D">
        <w:rPr>
          <w:rFonts w:hint="cs"/>
          <w:rtl/>
        </w:rPr>
        <w:t>ی</w:t>
      </w:r>
      <w:r w:rsidRPr="0025250D">
        <w:rPr>
          <w:rFonts w:hint="eastAsia"/>
          <w:rtl/>
        </w:rPr>
        <w:t>ا</w:t>
      </w:r>
      <w:r w:rsidRPr="0025250D">
        <w:rPr>
          <w:rFonts w:hint="cs"/>
          <w:rtl/>
        </w:rPr>
        <w:t>یی</w:t>
      </w:r>
      <w:r w:rsidRPr="0025250D">
        <w:rPr>
          <w:rtl/>
        </w:rPr>
        <w:t xml:space="preserve"> تغ</w:t>
      </w:r>
      <w:r w:rsidRPr="0025250D">
        <w:rPr>
          <w:rFonts w:hint="cs"/>
          <w:rtl/>
        </w:rPr>
        <w:t>یی</w:t>
      </w:r>
      <w:r w:rsidRPr="0025250D">
        <w:rPr>
          <w:rFonts w:hint="eastAsia"/>
          <w:rtl/>
        </w:rPr>
        <w:t>ر،</w:t>
      </w:r>
      <w:r w:rsidRPr="0025250D">
        <w:rPr>
          <w:rtl/>
        </w:rPr>
        <w:t xml:space="preserve"> جر</w:t>
      </w:r>
      <w:r w:rsidRPr="0025250D">
        <w:rPr>
          <w:rFonts w:hint="cs"/>
          <w:rtl/>
        </w:rPr>
        <w:t>ی</w:t>
      </w:r>
      <w:r w:rsidRPr="0025250D">
        <w:rPr>
          <w:rtl/>
        </w:rPr>
        <w:t xml:space="preserve"> جل</w:t>
      </w:r>
      <w:r w:rsidRPr="0025250D">
        <w:rPr>
          <w:rFonts w:hint="cs"/>
          <w:rtl/>
        </w:rPr>
        <w:t>ی</w:t>
      </w:r>
      <w:r w:rsidRPr="0025250D">
        <w:rPr>
          <w:rFonts w:hint="eastAsia"/>
          <w:rtl/>
        </w:rPr>
        <w:t>سون</w:t>
      </w:r>
      <w:r w:rsidRPr="0025250D">
        <w:rPr>
          <w:vertAlign w:val="superscript"/>
          <w:rtl/>
        </w:rPr>
        <w:footnoteReference w:id="3484"/>
      </w:r>
      <w:r w:rsidRPr="0025250D">
        <w:rPr>
          <w:rFonts w:hint="eastAsia"/>
          <w:rtl/>
        </w:rPr>
        <w:t>،</w:t>
      </w:r>
      <w:r w:rsidRPr="0025250D">
        <w:rPr>
          <w:rtl/>
        </w:rPr>
        <w:t xml:space="preserve"> 2006</w:t>
      </w:r>
    </w:p>
    <w:p w14:paraId="716D3DC6" w14:textId="77777777" w:rsidR="0037616D" w:rsidRPr="0025250D" w:rsidRDefault="0037616D" w:rsidP="00492C47">
      <w:pPr>
        <w:numPr>
          <w:ilvl w:val="0"/>
          <w:numId w:val="81"/>
        </w:numPr>
        <w:rPr>
          <w:rtl/>
        </w:rPr>
      </w:pPr>
      <w:r w:rsidRPr="0025250D">
        <w:rPr>
          <w:rFonts w:hint="cs"/>
          <w:rtl/>
        </w:rPr>
        <w:t xml:space="preserve">اندازه گیری آن چه اهمیت دارد: چگونه گوگل، بونو و بنیاد گیتس از </w:t>
      </w:r>
      <w:r w:rsidRPr="0025250D">
        <w:t>OKR</w:t>
      </w:r>
      <w:r w:rsidRPr="0025250D">
        <w:rPr>
          <w:rFonts w:hint="cs"/>
          <w:rtl/>
        </w:rPr>
        <w:t xml:space="preserve">ها استفاده می‌کنند، </w:t>
      </w:r>
      <w:r w:rsidRPr="0025250D">
        <w:rPr>
          <w:rtl/>
        </w:rPr>
        <w:t>جان دوئر</w:t>
      </w:r>
      <w:r w:rsidRPr="0025250D">
        <w:rPr>
          <w:vertAlign w:val="superscript"/>
          <w:rtl/>
        </w:rPr>
        <w:footnoteReference w:id="3485"/>
      </w:r>
      <w:r w:rsidRPr="0025250D">
        <w:rPr>
          <w:rtl/>
        </w:rPr>
        <w:t>، 2018</w:t>
      </w:r>
    </w:p>
    <w:p w14:paraId="06E7C148" w14:textId="3D6BACB2" w:rsidR="0037616D" w:rsidRPr="0025250D" w:rsidRDefault="0037616D" w:rsidP="00492C47">
      <w:pPr>
        <w:numPr>
          <w:ilvl w:val="0"/>
          <w:numId w:val="81"/>
        </w:numPr>
        <w:rPr>
          <w:rtl/>
        </w:rPr>
      </w:pPr>
      <w:r w:rsidRPr="0025250D">
        <w:rPr>
          <w:rtl/>
        </w:rPr>
        <w:t>د</w:t>
      </w:r>
      <w:r w:rsidRPr="0025250D">
        <w:rPr>
          <w:rFonts w:hint="cs"/>
          <w:rtl/>
        </w:rPr>
        <w:t>ی</w:t>
      </w:r>
      <w:r w:rsidRPr="0025250D">
        <w:rPr>
          <w:rFonts w:hint="eastAsia"/>
          <w:rtl/>
        </w:rPr>
        <w:t>دگاه</w:t>
      </w:r>
      <w:r w:rsidRPr="0025250D">
        <w:rPr>
          <w:rtl/>
        </w:rPr>
        <w:t>‌های چندگانه برا</w:t>
      </w:r>
      <w:r w:rsidRPr="0025250D">
        <w:rPr>
          <w:rFonts w:hint="cs"/>
          <w:rtl/>
        </w:rPr>
        <w:t>ی</w:t>
      </w:r>
      <w:r w:rsidRPr="0025250D">
        <w:rPr>
          <w:rtl/>
        </w:rPr>
        <w:t xml:space="preserve"> </w:t>
      </w:r>
      <w:r w:rsidR="0008779C" w:rsidRPr="0025250D">
        <w:rPr>
          <w:rtl/>
        </w:rPr>
        <w:t>تصمیم‌گیری</w:t>
      </w:r>
      <w:r w:rsidRPr="0025250D">
        <w:rPr>
          <w:rFonts w:hint="eastAsia"/>
          <w:rtl/>
        </w:rPr>
        <w:t>،</w:t>
      </w:r>
      <w:r w:rsidRPr="0025250D">
        <w:rPr>
          <w:rtl/>
        </w:rPr>
        <w:t xml:space="preserve"> هارولد ل</w:t>
      </w:r>
      <w:r w:rsidRPr="0025250D">
        <w:rPr>
          <w:rFonts w:hint="cs"/>
          <w:rtl/>
        </w:rPr>
        <w:t>ی</w:t>
      </w:r>
      <w:r w:rsidRPr="0025250D">
        <w:rPr>
          <w:rFonts w:hint="eastAsia"/>
          <w:rtl/>
        </w:rPr>
        <w:t>ن</w:t>
      </w:r>
      <w:r w:rsidRPr="0025250D">
        <w:rPr>
          <w:rtl/>
        </w:rPr>
        <w:t xml:space="preserve"> استون</w:t>
      </w:r>
      <w:r w:rsidRPr="0025250D">
        <w:rPr>
          <w:vertAlign w:val="superscript"/>
          <w:rtl/>
        </w:rPr>
        <w:footnoteReference w:id="3486"/>
      </w:r>
      <w:r w:rsidRPr="0025250D">
        <w:rPr>
          <w:rtl/>
        </w:rPr>
        <w:t>، 1984</w:t>
      </w:r>
    </w:p>
    <w:p w14:paraId="03EE8D73" w14:textId="3095C11F" w:rsidR="0037616D" w:rsidRPr="0025250D" w:rsidRDefault="0037616D" w:rsidP="00492C47">
      <w:pPr>
        <w:numPr>
          <w:ilvl w:val="0"/>
          <w:numId w:val="81"/>
        </w:numPr>
        <w:rPr>
          <w:rtl/>
        </w:rPr>
      </w:pPr>
      <w:r w:rsidRPr="0025250D">
        <w:rPr>
          <w:rtl/>
        </w:rPr>
        <w:t xml:space="preserve">آمار </w:t>
      </w:r>
      <w:r w:rsidRPr="0025250D">
        <w:rPr>
          <w:rFonts w:hint="cs"/>
          <w:rtl/>
        </w:rPr>
        <w:t>خالص</w:t>
      </w:r>
      <w:r w:rsidRPr="0025250D">
        <w:rPr>
          <w:rtl/>
        </w:rPr>
        <w:t xml:space="preserve">: حذف </w:t>
      </w:r>
      <w:r w:rsidR="00E3750D" w:rsidRPr="0025250D">
        <w:rPr>
          <w:rFonts w:hint="cs"/>
          <w:rtl/>
        </w:rPr>
        <w:t>وحشت</w:t>
      </w:r>
      <w:r w:rsidRPr="0025250D">
        <w:rPr>
          <w:rtl/>
        </w:rPr>
        <w:t xml:space="preserve"> از داده ها، چارلز و</w:t>
      </w:r>
      <w:r w:rsidRPr="0025250D">
        <w:rPr>
          <w:rFonts w:hint="cs"/>
          <w:rtl/>
        </w:rPr>
        <w:t>ی</w:t>
      </w:r>
      <w:r w:rsidRPr="0025250D">
        <w:rPr>
          <w:rFonts w:hint="eastAsia"/>
          <w:rtl/>
        </w:rPr>
        <w:t>لان</w:t>
      </w:r>
      <w:r w:rsidRPr="0025250D">
        <w:rPr>
          <w:vertAlign w:val="superscript"/>
          <w:rtl/>
        </w:rPr>
        <w:footnoteReference w:id="3487"/>
      </w:r>
      <w:r w:rsidRPr="0025250D">
        <w:rPr>
          <w:rFonts w:hint="eastAsia"/>
          <w:rtl/>
        </w:rPr>
        <w:t>،</w:t>
      </w:r>
      <w:r w:rsidRPr="0025250D">
        <w:rPr>
          <w:rtl/>
        </w:rPr>
        <w:t xml:space="preserve"> 2014</w:t>
      </w:r>
    </w:p>
    <w:p w14:paraId="71B52148" w14:textId="77777777" w:rsidR="0037616D" w:rsidRPr="0025250D" w:rsidRDefault="0037616D" w:rsidP="00492C47">
      <w:pPr>
        <w:numPr>
          <w:ilvl w:val="0"/>
          <w:numId w:val="81"/>
        </w:numPr>
        <w:rPr>
          <w:rtl/>
        </w:rPr>
      </w:pPr>
      <w:r w:rsidRPr="0025250D">
        <w:rPr>
          <w:rtl/>
        </w:rPr>
        <w:t>امن</w:t>
      </w:r>
      <w:r w:rsidRPr="0025250D">
        <w:rPr>
          <w:rFonts w:hint="cs"/>
          <w:rtl/>
        </w:rPr>
        <w:t>ی</w:t>
      </w:r>
      <w:r w:rsidRPr="0025250D">
        <w:rPr>
          <w:rFonts w:hint="eastAsia"/>
          <w:rtl/>
        </w:rPr>
        <w:t>ت</w:t>
      </w:r>
      <w:r w:rsidRPr="0025250D">
        <w:rPr>
          <w:rtl/>
        </w:rPr>
        <w:t xml:space="preserve"> طب</w:t>
      </w:r>
      <w:r w:rsidRPr="0025250D">
        <w:rPr>
          <w:rFonts w:hint="cs"/>
          <w:rtl/>
        </w:rPr>
        <w:t>ی</w:t>
      </w:r>
      <w:r w:rsidRPr="0025250D">
        <w:rPr>
          <w:rFonts w:hint="eastAsia"/>
          <w:rtl/>
        </w:rPr>
        <w:t>ع</w:t>
      </w:r>
      <w:r w:rsidRPr="0025250D">
        <w:rPr>
          <w:rFonts w:hint="cs"/>
          <w:rtl/>
        </w:rPr>
        <w:t>ی</w:t>
      </w:r>
      <w:r w:rsidRPr="0025250D">
        <w:rPr>
          <w:rtl/>
        </w:rPr>
        <w:t>: رو</w:t>
      </w:r>
      <w:r w:rsidRPr="0025250D">
        <w:rPr>
          <w:rFonts w:hint="cs"/>
          <w:rtl/>
        </w:rPr>
        <w:t>ی</w:t>
      </w:r>
      <w:r w:rsidRPr="0025250D">
        <w:rPr>
          <w:rFonts w:hint="eastAsia"/>
          <w:rtl/>
        </w:rPr>
        <w:t>کرد</w:t>
      </w:r>
      <w:r w:rsidRPr="0025250D">
        <w:rPr>
          <w:rtl/>
        </w:rPr>
        <w:t xml:space="preserve"> دارو</w:t>
      </w:r>
      <w:r w:rsidRPr="0025250D">
        <w:rPr>
          <w:rFonts w:hint="cs"/>
          <w:rtl/>
        </w:rPr>
        <w:t>ی</w:t>
      </w:r>
      <w:r w:rsidRPr="0025250D">
        <w:rPr>
          <w:rFonts w:hint="eastAsia"/>
          <w:rtl/>
        </w:rPr>
        <w:t>ن</w:t>
      </w:r>
      <w:r w:rsidRPr="0025250D">
        <w:rPr>
          <w:rFonts w:hint="cs"/>
          <w:rtl/>
        </w:rPr>
        <w:t>ی</w:t>
      </w:r>
      <w:r w:rsidRPr="0025250D">
        <w:rPr>
          <w:rtl/>
        </w:rPr>
        <w:t xml:space="preserve"> به دن</w:t>
      </w:r>
      <w:r w:rsidRPr="0025250D">
        <w:rPr>
          <w:rFonts w:hint="cs"/>
          <w:rtl/>
        </w:rPr>
        <w:t>ی</w:t>
      </w:r>
      <w:r w:rsidRPr="0025250D">
        <w:rPr>
          <w:rFonts w:hint="eastAsia"/>
          <w:rtl/>
        </w:rPr>
        <w:t>ا</w:t>
      </w:r>
      <w:r w:rsidRPr="0025250D">
        <w:rPr>
          <w:rFonts w:hint="cs"/>
          <w:rtl/>
        </w:rPr>
        <w:t>ی</w:t>
      </w:r>
      <w:r w:rsidRPr="0025250D">
        <w:rPr>
          <w:rtl/>
        </w:rPr>
        <w:t xml:space="preserve"> خطرناک، ساگار</w:t>
      </w:r>
      <w:r w:rsidRPr="0025250D">
        <w:rPr>
          <w:rFonts w:hint="cs"/>
          <w:rtl/>
        </w:rPr>
        <w:t>ی</w:t>
      </w:r>
      <w:r w:rsidRPr="0025250D">
        <w:rPr>
          <w:rFonts w:hint="eastAsia"/>
          <w:rtl/>
        </w:rPr>
        <w:t>ن</w:t>
      </w:r>
      <w:r w:rsidRPr="0025250D">
        <w:rPr>
          <w:rtl/>
        </w:rPr>
        <w:t xml:space="preserve"> و ت</w:t>
      </w:r>
      <w:r w:rsidRPr="0025250D">
        <w:rPr>
          <w:rFonts w:hint="cs"/>
          <w:rtl/>
        </w:rPr>
        <w:t>ی</w:t>
      </w:r>
      <w:r w:rsidRPr="0025250D">
        <w:rPr>
          <w:rFonts w:hint="eastAsia"/>
          <w:rtl/>
        </w:rPr>
        <w:t>لور</w:t>
      </w:r>
      <w:r w:rsidRPr="0025250D">
        <w:rPr>
          <w:vertAlign w:val="superscript"/>
          <w:rtl/>
        </w:rPr>
        <w:footnoteReference w:id="3488"/>
      </w:r>
      <w:r w:rsidRPr="0025250D">
        <w:rPr>
          <w:rFonts w:hint="eastAsia"/>
          <w:rtl/>
        </w:rPr>
        <w:t>،</w:t>
      </w:r>
      <w:r w:rsidRPr="0025250D">
        <w:rPr>
          <w:rtl/>
        </w:rPr>
        <w:t xml:space="preserve"> 2008</w:t>
      </w:r>
    </w:p>
    <w:p w14:paraId="4CCAC350" w14:textId="77777777" w:rsidR="0037616D" w:rsidRPr="0025250D" w:rsidRDefault="0037616D" w:rsidP="00492C47">
      <w:pPr>
        <w:numPr>
          <w:ilvl w:val="0"/>
          <w:numId w:val="81"/>
        </w:numPr>
        <w:rPr>
          <w:rtl/>
        </w:rPr>
      </w:pPr>
      <w:r w:rsidRPr="0025250D">
        <w:rPr>
          <w:rFonts w:hint="cs"/>
          <w:rtl/>
        </w:rPr>
        <w:t>مقدمه‌ای بر آمار</w:t>
      </w:r>
      <w:r w:rsidRPr="0025250D">
        <w:rPr>
          <w:rtl/>
        </w:rPr>
        <w:t>، و</w:t>
      </w:r>
      <w:r w:rsidRPr="0025250D">
        <w:rPr>
          <w:rFonts w:hint="cs"/>
          <w:rtl/>
        </w:rPr>
        <w:t>ی</w:t>
      </w:r>
      <w:r w:rsidRPr="0025250D">
        <w:rPr>
          <w:rFonts w:hint="eastAsia"/>
          <w:rtl/>
        </w:rPr>
        <w:t>را</w:t>
      </w:r>
      <w:r w:rsidRPr="0025250D">
        <w:rPr>
          <w:rFonts w:hint="cs"/>
          <w:rtl/>
        </w:rPr>
        <w:t>ی</w:t>
      </w:r>
      <w:r w:rsidRPr="0025250D">
        <w:rPr>
          <w:rFonts w:hint="eastAsia"/>
          <w:rtl/>
        </w:rPr>
        <w:t>ش</w:t>
      </w:r>
      <w:r w:rsidRPr="0025250D">
        <w:rPr>
          <w:rtl/>
        </w:rPr>
        <w:t xml:space="preserve"> دوم، د</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rtl/>
        </w:rPr>
        <w:t xml:space="preserve"> د</w:t>
      </w:r>
      <w:r w:rsidRPr="0025250D">
        <w:rPr>
          <w:rFonts w:hint="cs"/>
          <w:rtl/>
        </w:rPr>
        <w:t>ی</w:t>
      </w:r>
      <w:r w:rsidRPr="0025250D">
        <w:rPr>
          <w:rFonts w:hint="eastAsia"/>
          <w:rtl/>
        </w:rPr>
        <w:t>ز</w:t>
      </w:r>
      <w:r w:rsidRPr="0025250D">
        <w:rPr>
          <w:vertAlign w:val="superscript"/>
          <w:rtl/>
        </w:rPr>
        <w:footnoteReference w:id="3489"/>
      </w:r>
      <w:r w:rsidRPr="0025250D">
        <w:rPr>
          <w:rFonts w:hint="eastAsia"/>
          <w:rtl/>
        </w:rPr>
        <w:t>،</w:t>
      </w:r>
      <w:r w:rsidRPr="0025250D">
        <w:rPr>
          <w:rtl/>
        </w:rPr>
        <w:t xml:space="preserve"> 2012</w:t>
      </w:r>
    </w:p>
    <w:p w14:paraId="19B3AD28" w14:textId="1853D011" w:rsidR="0037616D" w:rsidRPr="0025250D" w:rsidRDefault="0037616D" w:rsidP="00492C47">
      <w:pPr>
        <w:numPr>
          <w:ilvl w:val="0"/>
          <w:numId w:val="81"/>
        </w:numPr>
        <w:rPr>
          <w:rtl/>
        </w:rPr>
      </w:pPr>
      <w:r w:rsidRPr="0025250D">
        <w:rPr>
          <w:rFonts w:hint="cs"/>
          <w:rtl/>
        </w:rPr>
        <w:t>پیشگوها</w:t>
      </w:r>
      <w:r w:rsidRPr="0025250D">
        <w:rPr>
          <w:rtl/>
        </w:rPr>
        <w:t>: چگونه بازارها</w:t>
      </w:r>
      <w:r w:rsidRPr="0025250D">
        <w:rPr>
          <w:rFonts w:hint="cs"/>
          <w:rtl/>
        </w:rPr>
        <w:t>ی</w:t>
      </w:r>
      <w:r w:rsidRPr="0025250D">
        <w:rPr>
          <w:rtl/>
        </w:rPr>
        <w:t xml:space="preserve"> پ</w:t>
      </w:r>
      <w:r w:rsidRPr="0025250D">
        <w:rPr>
          <w:rFonts w:hint="cs"/>
          <w:rtl/>
        </w:rPr>
        <w:t>ی</w:t>
      </w:r>
      <w:r w:rsidRPr="0025250D">
        <w:rPr>
          <w:rFonts w:hint="eastAsia"/>
          <w:rtl/>
        </w:rPr>
        <w:t>ش‌ب</w:t>
      </w:r>
      <w:r w:rsidRPr="0025250D">
        <w:rPr>
          <w:rFonts w:hint="cs"/>
          <w:rtl/>
        </w:rPr>
        <w:t>ی</w:t>
      </w:r>
      <w:r w:rsidRPr="0025250D">
        <w:rPr>
          <w:rFonts w:hint="eastAsia"/>
          <w:rtl/>
        </w:rPr>
        <w:t>ن</w:t>
      </w:r>
      <w:r w:rsidRPr="0025250D">
        <w:rPr>
          <w:rFonts w:hint="cs"/>
          <w:rtl/>
        </w:rPr>
        <w:t>ی</w:t>
      </w:r>
      <w:r w:rsidRPr="0025250D">
        <w:rPr>
          <w:rtl/>
        </w:rPr>
        <w:t xml:space="preserve"> کارمندان را به </w:t>
      </w:r>
      <w:r w:rsidR="00B56611" w:rsidRPr="0025250D">
        <w:rPr>
          <w:rFonts w:hint="cs"/>
          <w:rtl/>
        </w:rPr>
        <w:t>چشم‌انداز</w:t>
      </w:r>
      <w:r w:rsidRPr="0025250D">
        <w:rPr>
          <w:rFonts w:hint="cs"/>
          <w:rtl/>
        </w:rPr>
        <w:t>گرایان</w:t>
      </w:r>
      <w:r w:rsidRPr="0025250D">
        <w:rPr>
          <w:rtl/>
        </w:rPr>
        <w:t xml:space="preserve"> تبد</w:t>
      </w:r>
      <w:r w:rsidRPr="0025250D">
        <w:rPr>
          <w:rFonts w:hint="cs"/>
          <w:rtl/>
        </w:rPr>
        <w:t>ی</w:t>
      </w:r>
      <w:r w:rsidRPr="0025250D">
        <w:rPr>
          <w:rFonts w:hint="eastAsia"/>
          <w:rtl/>
        </w:rPr>
        <w:t>ل</w:t>
      </w:r>
      <w:r w:rsidRPr="0025250D">
        <w:rPr>
          <w:rtl/>
        </w:rPr>
        <w:t xml:space="preserve"> م</w:t>
      </w:r>
      <w:r w:rsidRPr="0025250D">
        <w:rPr>
          <w:rFonts w:hint="cs"/>
          <w:rtl/>
        </w:rPr>
        <w:t>ی‌</w:t>
      </w:r>
      <w:r w:rsidRPr="0025250D">
        <w:rPr>
          <w:rFonts w:hint="eastAsia"/>
          <w:rtl/>
        </w:rPr>
        <w:t>کنند،</w:t>
      </w:r>
      <w:r w:rsidRPr="0025250D">
        <w:rPr>
          <w:rFonts w:hint="cs"/>
          <w:rtl/>
        </w:rPr>
        <w:t xml:space="preserve"> </w:t>
      </w:r>
      <w:r w:rsidRPr="0025250D">
        <w:rPr>
          <w:rFonts w:hint="eastAsia"/>
          <w:rtl/>
        </w:rPr>
        <w:t>دان</w:t>
      </w:r>
      <w:r w:rsidRPr="0025250D">
        <w:rPr>
          <w:rtl/>
        </w:rPr>
        <w:t xml:space="preserve"> تامپسون</w:t>
      </w:r>
      <w:r w:rsidRPr="0025250D">
        <w:rPr>
          <w:vertAlign w:val="superscript"/>
          <w:rtl/>
        </w:rPr>
        <w:footnoteReference w:id="3490"/>
      </w:r>
      <w:r w:rsidRPr="0025250D">
        <w:rPr>
          <w:rtl/>
        </w:rPr>
        <w:t>، 2012</w:t>
      </w:r>
    </w:p>
    <w:p w14:paraId="1D0689E3" w14:textId="77777777" w:rsidR="0037616D" w:rsidRPr="0025250D" w:rsidRDefault="0037616D" w:rsidP="00492C47">
      <w:pPr>
        <w:numPr>
          <w:ilvl w:val="0"/>
          <w:numId w:val="81"/>
        </w:numPr>
        <w:rPr>
          <w:rtl/>
        </w:rPr>
      </w:pPr>
      <w:r w:rsidRPr="0025250D">
        <w:rPr>
          <w:rtl/>
        </w:rPr>
        <w:t>آ</w:t>
      </w:r>
      <w:r w:rsidRPr="0025250D">
        <w:rPr>
          <w:rFonts w:hint="cs"/>
          <w:rtl/>
        </w:rPr>
        <w:t>ی</w:t>
      </w:r>
      <w:r w:rsidRPr="0025250D">
        <w:rPr>
          <w:rFonts w:hint="eastAsia"/>
          <w:rtl/>
        </w:rPr>
        <w:t>نده</w:t>
      </w:r>
      <w:r w:rsidRPr="0025250D">
        <w:rPr>
          <w:rtl/>
        </w:rPr>
        <w:t xml:space="preserve"> مشترک ما (گزارش برونتلند)، گرو بروندلند</w:t>
      </w:r>
      <w:r w:rsidRPr="0025250D">
        <w:rPr>
          <w:vertAlign w:val="superscript"/>
          <w:rtl/>
        </w:rPr>
        <w:footnoteReference w:id="3491"/>
      </w:r>
      <w:r w:rsidRPr="0025250D">
        <w:rPr>
          <w:rtl/>
        </w:rPr>
        <w:t>، 1987</w:t>
      </w:r>
    </w:p>
    <w:p w14:paraId="1EE47F57" w14:textId="77777777" w:rsidR="0037616D" w:rsidRPr="0025250D" w:rsidRDefault="0037616D" w:rsidP="00492C47">
      <w:pPr>
        <w:numPr>
          <w:ilvl w:val="0"/>
          <w:numId w:val="81"/>
        </w:numPr>
        <w:rPr>
          <w:rtl/>
        </w:rPr>
      </w:pPr>
      <w:r w:rsidRPr="0025250D">
        <w:rPr>
          <w:rtl/>
        </w:rPr>
        <w:t>د</w:t>
      </w:r>
      <w:r w:rsidRPr="0025250D">
        <w:rPr>
          <w:rFonts w:hint="cs"/>
          <w:rtl/>
        </w:rPr>
        <w:t>ی</w:t>
      </w:r>
      <w:r w:rsidRPr="0025250D">
        <w:rPr>
          <w:rFonts w:hint="eastAsia"/>
          <w:rtl/>
        </w:rPr>
        <w:t>د</w:t>
      </w:r>
      <w:r w:rsidRPr="0025250D">
        <w:rPr>
          <w:rtl/>
        </w:rPr>
        <w:t xml:space="preserve"> </w:t>
      </w:r>
      <w:r w:rsidRPr="0025250D">
        <w:rPr>
          <w:rFonts w:hint="cs"/>
          <w:rtl/>
        </w:rPr>
        <w:t>پیرامونی</w:t>
      </w:r>
      <w:r w:rsidRPr="0025250D">
        <w:rPr>
          <w:rtl/>
        </w:rPr>
        <w:t>: تشخ</w:t>
      </w:r>
      <w:r w:rsidRPr="0025250D">
        <w:rPr>
          <w:rFonts w:hint="cs"/>
          <w:rtl/>
        </w:rPr>
        <w:t>ی</w:t>
      </w:r>
      <w:r w:rsidRPr="0025250D">
        <w:rPr>
          <w:rFonts w:hint="eastAsia"/>
          <w:rtl/>
        </w:rPr>
        <w:t>ص</w:t>
      </w:r>
      <w:r w:rsidRPr="0025250D">
        <w:rPr>
          <w:rtl/>
        </w:rPr>
        <w:t xml:space="preserve"> </w:t>
      </w:r>
      <w:r w:rsidRPr="0025250D">
        <w:rPr>
          <w:rFonts w:hint="cs"/>
          <w:rtl/>
        </w:rPr>
        <w:t xml:space="preserve">نشانک‌های </w:t>
      </w:r>
      <w:r w:rsidRPr="0025250D">
        <w:rPr>
          <w:rtl/>
        </w:rPr>
        <w:t>ضع</w:t>
      </w:r>
      <w:r w:rsidRPr="0025250D">
        <w:rPr>
          <w:rFonts w:hint="cs"/>
          <w:rtl/>
        </w:rPr>
        <w:t>ی</w:t>
      </w:r>
      <w:r w:rsidRPr="0025250D">
        <w:rPr>
          <w:rFonts w:hint="eastAsia"/>
          <w:rtl/>
        </w:rPr>
        <w:t>ف</w:t>
      </w:r>
      <w:r w:rsidRPr="0025250D">
        <w:rPr>
          <w:rtl/>
        </w:rPr>
        <w:t xml:space="preserve"> برا</w:t>
      </w:r>
      <w:r w:rsidRPr="0025250D">
        <w:rPr>
          <w:rFonts w:hint="cs"/>
          <w:rtl/>
        </w:rPr>
        <w:t>ی</w:t>
      </w:r>
      <w:r w:rsidRPr="0025250D">
        <w:rPr>
          <w:rtl/>
        </w:rPr>
        <w:t xml:space="preserve"> شرکت شما ح</w:t>
      </w:r>
      <w:r w:rsidRPr="0025250D">
        <w:rPr>
          <w:rFonts w:hint="cs"/>
          <w:rtl/>
        </w:rPr>
        <w:t>ی</w:t>
      </w:r>
      <w:r w:rsidRPr="0025250D">
        <w:rPr>
          <w:rFonts w:hint="eastAsia"/>
          <w:rtl/>
        </w:rPr>
        <w:t>ات</w:t>
      </w:r>
      <w:r w:rsidRPr="0025250D">
        <w:rPr>
          <w:rFonts w:hint="cs"/>
          <w:rtl/>
        </w:rPr>
        <w:t>ی</w:t>
      </w:r>
      <w:r w:rsidRPr="0025250D">
        <w:rPr>
          <w:rtl/>
        </w:rPr>
        <w:t xml:space="preserve"> است، د</w:t>
      </w:r>
      <w:r w:rsidRPr="0025250D">
        <w:rPr>
          <w:rFonts w:hint="cs"/>
          <w:rtl/>
        </w:rPr>
        <w:t>ی</w:t>
      </w:r>
      <w:r w:rsidRPr="0025250D">
        <w:rPr>
          <w:rtl/>
        </w:rPr>
        <w:t xml:space="preserve"> و شوم</w:t>
      </w:r>
      <w:r w:rsidRPr="0025250D">
        <w:rPr>
          <w:rFonts w:hint="cs"/>
          <w:rtl/>
        </w:rPr>
        <w:t>ی</w:t>
      </w:r>
      <w:r w:rsidRPr="0025250D">
        <w:rPr>
          <w:rFonts w:hint="eastAsia"/>
          <w:rtl/>
        </w:rPr>
        <w:t>کر</w:t>
      </w:r>
      <w:r w:rsidRPr="0025250D">
        <w:rPr>
          <w:vertAlign w:val="superscript"/>
          <w:rtl/>
        </w:rPr>
        <w:footnoteReference w:id="3492"/>
      </w:r>
      <w:r w:rsidRPr="0025250D">
        <w:rPr>
          <w:rFonts w:hint="eastAsia"/>
          <w:rtl/>
        </w:rPr>
        <w:t>،</w:t>
      </w:r>
      <w:r w:rsidRPr="0025250D">
        <w:rPr>
          <w:rtl/>
        </w:rPr>
        <w:t xml:space="preserve"> 2006</w:t>
      </w:r>
    </w:p>
    <w:p w14:paraId="3EF5F716" w14:textId="22F03E84" w:rsidR="0037616D" w:rsidRPr="0025250D" w:rsidRDefault="00D92F6E" w:rsidP="00492C47">
      <w:pPr>
        <w:numPr>
          <w:ilvl w:val="0"/>
          <w:numId w:val="81"/>
        </w:numPr>
        <w:rPr>
          <w:rtl/>
        </w:rPr>
      </w:pPr>
      <w:r w:rsidRPr="0025250D">
        <w:rPr>
          <w:rtl/>
        </w:rPr>
        <w:t>پیش‌بین</w:t>
      </w:r>
      <w:r w:rsidR="0037616D" w:rsidRPr="0025250D">
        <w:rPr>
          <w:rFonts w:hint="cs"/>
          <w:rtl/>
        </w:rPr>
        <w:t>ی،</w:t>
      </w:r>
      <w:r w:rsidR="0037616D" w:rsidRPr="0025250D">
        <w:rPr>
          <w:rtl/>
        </w:rPr>
        <w:t xml:space="preserve"> تد مود</w:t>
      </w:r>
      <w:r w:rsidR="0037616D" w:rsidRPr="0025250D">
        <w:rPr>
          <w:rFonts w:hint="cs"/>
          <w:rtl/>
        </w:rPr>
        <w:t>ی</w:t>
      </w:r>
      <w:r w:rsidR="0037616D" w:rsidRPr="0025250D">
        <w:rPr>
          <w:rFonts w:hint="eastAsia"/>
          <w:rtl/>
        </w:rPr>
        <w:t>س</w:t>
      </w:r>
      <w:r w:rsidR="0037616D" w:rsidRPr="0025250D">
        <w:rPr>
          <w:vertAlign w:val="superscript"/>
          <w:rtl/>
        </w:rPr>
        <w:footnoteReference w:id="3493"/>
      </w:r>
      <w:r w:rsidR="0037616D" w:rsidRPr="0025250D">
        <w:rPr>
          <w:rFonts w:hint="eastAsia"/>
          <w:rtl/>
        </w:rPr>
        <w:t>،</w:t>
      </w:r>
      <w:r w:rsidR="0037616D" w:rsidRPr="0025250D">
        <w:rPr>
          <w:rtl/>
        </w:rPr>
        <w:t xml:space="preserve"> 1992</w:t>
      </w:r>
    </w:p>
    <w:p w14:paraId="7D14CF98" w14:textId="5BB16FA9" w:rsidR="0037616D" w:rsidRPr="0025250D" w:rsidRDefault="00D92F6E" w:rsidP="00492C47">
      <w:pPr>
        <w:numPr>
          <w:ilvl w:val="0"/>
          <w:numId w:val="81"/>
        </w:numPr>
        <w:rPr>
          <w:rtl/>
        </w:rPr>
      </w:pPr>
      <w:r w:rsidRPr="0025250D">
        <w:rPr>
          <w:rtl/>
        </w:rPr>
        <w:t>پیش‌بین</w:t>
      </w:r>
      <w:r w:rsidR="0037616D" w:rsidRPr="0025250D">
        <w:rPr>
          <w:rFonts w:hint="cs"/>
          <w:rtl/>
        </w:rPr>
        <w:t>ی</w:t>
      </w:r>
      <w:r w:rsidR="0037616D" w:rsidRPr="0025250D">
        <w:rPr>
          <w:rtl/>
        </w:rPr>
        <w:t xml:space="preserve"> ها: ده سال بعد، تد مود</w:t>
      </w:r>
      <w:r w:rsidR="0037616D" w:rsidRPr="0025250D">
        <w:rPr>
          <w:rFonts w:hint="cs"/>
          <w:rtl/>
        </w:rPr>
        <w:t>ی</w:t>
      </w:r>
      <w:r w:rsidR="0037616D" w:rsidRPr="0025250D">
        <w:rPr>
          <w:rFonts w:hint="eastAsia"/>
          <w:rtl/>
        </w:rPr>
        <w:t>س</w:t>
      </w:r>
      <w:r w:rsidR="0037616D" w:rsidRPr="0025250D">
        <w:rPr>
          <w:vertAlign w:val="superscript"/>
          <w:rtl/>
        </w:rPr>
        <w:footnoteReference w:id="3494"/>
      </w:r>
      <w:r w:rsidR="0037616D" w:rsidRPr="0025250D">
        <w:rPr>
          <w:rFonts w:hint="eastAsia"/>
          <w:rtl/>
        </w:rPr>
        <w:t>،</w:t>
      </w:r>
      <w:r w:rsidR="0037616D" w:rsidRPr="0025250D">
        <w:rPr>
          <w:rtl/>
        </w:rPr>
        <w:t xml:space="preserve"> 2002</w:t>
      </w:r>
    </w:p>
    <w:p w14:paraId="226CFACC" w14:textId="70F0CEF3" w:rsidR="0037616D" w:rsidRPr="0025250D" w:rsidRDefault="0037616D" w:rsidP="00492C47">
      <w:pPr>
        <w:numPr>
          <w:ilvl w:val="0"/>
          <w:numId w:val="81"/>
        </w:numPr>
        <w:rPr>
          <w:rtl/>
        </w:rPr>
      </w:pPr>
      <w:r w:rsidRPr="0025250D">
        <w:rPr>
          <w:rtl/>
        </w:rPr>
        <w:t>تجز</w:t>
      </w:r>
      <w:r w:rsidRPr="0025250D">
        <w:rPr>
          <w:rFonts w:hint="cs"/>
          <w:rtl/>
        </w:rPr>
        <w:t>ی</w:t>
      </w:r>
      <w:r w:rsidRPr="0025250D">
        <w:rPr>
          <w:rFonts w:hint="eastAsia"/>
          <w:rtl/>
        </w:rPr>
        <w:t>ه</w:t>
      </w:r>
      <w:r w:rsidRPr="0025250D">
        <w:rPr>
          <w:rtl/>
        </w:rPr>
        <w:t xml:space="preserve"> و تحل</w:t>
      </w:r>
      <w:r w:rsidRPr="0025250D">
        <w:rPr>
          <w:rFonts w:hint="cs"/>
          <w:rtl/>
        </w:rPr>
        <w:t>ی</w:t>
      </w:r>
      <w:r w:rsidRPr="0025250D">
        <w:rPr>
          <w:rFonts w:hint="eastAsia"/>
          <w:rtl/>
        </w:rPr>
        <w:t>ل</w:t>
      </w:r>
      <w:r w:rsidRPr="0025250D">
        <w:rPr>
          <w:rtl/>
        </w:rPr>
        <w:t xml:space="preserve"> </w:t>
      </w:r>
      <w:r w:rsidR="00D92F6E" w:rsidRPr="0025250D">
        <w:rPr>
          <w:rtl/>
        </w:rPr>
        <w:t>پیش‌بین</w:t>
      </w:r>
      <w:r w:rsidRPr="0025250D">
        <w:rPr>
          <w:rFonts w:hint="eastAsia"/>
          <w:rtl/>
        </w:rPr>
        <w:t>،</w:t>
      </w:r>
      <w:r w:rsidRPr="0025250D">
        <w:rPr>
          <w:rtl/>
        </w:rPr>
        <w:t xml:space="preserve"> ار</w:t>
      </w:r>
      <w:r w:rsidRPr="0025250D">
        <w:rPr>
          <w:rFonts w:hint="cs"/>
          <w:rtl/>
        </w:rPr>
        <w:t>ی</w:t>
      </w:r>
      <w:r w:rsidRPr="0025250D">
        <w:rPr>
          <w:rFonts w:hint="eastAsia"/>
          <w:rtl/>
        </w:rPr>
        <w:t>ک</w:t>
      </w:r>
      <w:r w:rsidRPr="0025250D">
        <w:rPr>
          <w:rtl/>
        </w:rPr>
        <w:t xml:space="preserve"> س</w:t>
      </w:r>
      <w:r w:rsidRPr="0025250D">
        <w:rPr>
          <w:rFonts w:hint="cs"/>
          <w:rtl/>
        </w:rPr>
        <w:t>ی</w:t>
      </w:r>
      <w:r w:rsidRPr="0025250D">
        <w:rPr>
          <w:rFonts w:hint="eastAsia"/>
          <w:rtl/>
        </w:rPr>
        <w:t>گل</w:t>
      </w:r>
      <w:r w:rsidRPr="0025250D">
        <w:rPr>
          <w:vertAlign w:val="superscript"/>
          <w:rtl/>
        </w:rPr>
        <w:footnoteReference w:id="3495"/>
      </w:r>
      <w:r w:rsidRPr="0025250D">
        <w:rPr>
          <w:rFonts w:hint="eastAsia"/>
          <w:rtl/>
        </w:rPr>
        <w:t>،</w:t>
      </w:r>
      <w:r w:rsidRPr="0025250D">
        <w:rPr>
          <w:rtl/>
        </w:rPr>
        <w:t xml:space="preserve"> 2013</w:t>
      </w:r>
    </w:p>
    <w:p w14:paraId="49DE3242" w14:textId="522C10B8" w:rsidR="0037616D" w:rsidRPr="0025250D" w:rsidRDefault="0037616D" w:rsidP="00492C47">
      <w:pPr>
        <w:numPr>
          <w:ilvl w:val="0"/>
          <w:numId w:val="81"/>
        </w:numPr>
        <w:rPr>
          <w:rtl/>
        </w:rPr>
      </w:pPr>
      <w:r w:rsidRPr="0025250D">
        <w:rPr>
          <w:rtl/>
        </w:rPr>
        <w:t xml:space="preserve">اصول </w:t>
      </w:r>
      <w:r w:rsidR="00FB6A7E" w:rsidRPr="0025250D">
        <w:rPr>
          <w:rtl/>
        </w:rPr>
        <w:t>پیش‌نگری</w:t>
      </w:r>
      <w:r w:rsidRPr="0025250D">
        <w:rPr>
          <w:rFonts w:hint="eastAsia"/>
          <w:rtl/>
        </w:rPr>
        <w:t>،</w:t>
      </w:r>
      <w:r w:rsidRPr="0025250D">
        <w:rPr>
          <w:rtl/>
        </w:rPr>
        <w:t xml:space="preserve"> اسکات آرمسترانگ</w:t>
      </w:r>
      <w:r w:rsidRPr="0025250D">
        <w:rPr>
          <w:vertAlign w:val="superscript"/>
          <w:rtl/>
        </w:rPr>
        <w:footnoteReference w:id="3496"/>
      </w:r>
      <w:r w:rsidRPr="0025250D">
        <w:rPr>
          <w:rFonts w:hint="eastAsia"/>
          <w:rtl/>
        </w:rPr>
        <w:t>،</w:t>
      </w:r>
      <w:r w:rsidRPr="0025250D">
        <w:rPr>
          <w:rtl/>
        </w:rPr>
        <w:t xml:space="preserve"> 2001</w:t>
      </w:r>
    </w:p>
    <w:p w14:paraId="6C3AF91F" w14:textId="77777777" w:rsidR="0037616D" w:rsidRPr="0025250D" w:rsidRDefault="0037616D" w:rsidP="00492C47">
      <w:pPr>
        <w:numPr>
          <w:ilvl w:val="0"/>
          <w:numId w:val="81"/>
        </w:numPr>
        <w:rPr>
          <w:rtl/>
        </w:rPr>
      </w:pPr>
      <w:r w:rsidRPr="0025250D">
        <w:rPr>
          <w:rtl/>
        </w:rPr>
        <w:t>سود بردن از عدم قطع</w:t>
      </w:r>
      <w:r w:rsidRPr="0025250D">
        <w:rPr>
          <w:rFonts w:hint="cs"/>
          <w:rtl/>
        </w:rPr>
        <w:t>ی</w:t>
      </w:r>
      <w:r w:rsidRPr="0025250D">
        <w:rPr>
          <w:rFonts w:hint="eastAsia"/>
          <w:rtl/>
        </w:rPr>
        <w:t>ت،</w:t>
      </w:r>
      <w:r w:rsidRPr="0025250D">
        <w:rPr>
          <w:rtl/>
        </w:rPr>
        <w:t xml:space="preserve"> پل شوم</w:t>
      </w:r>
      <w:r w:rsidRPr="0025250D">
        <w:rPr>
          <w:rFonts w:hint="cs"/>
          <w:rtl/>
        </w:rPr>
        <w:t>ی</w:t>
      </w:r>
      <w:r w:rsidRPr="0025250D">
        <w:rPr>
          <w:rFonts w:hint="eastAsia"/>
          <w:rtl/>
        </w:rPr>
        <w:t>کر</w:t>
      </w:r>
      <w:r w:rsidRPr="0025250D">
        <w:rPr>
          <w:vertAlign w:val="superscript"/>
          <w:rtl/>
        </w:rPr>
        <w:footnoteReference w:id="3497"/>
      </w:r>
      <w:r w:rsidRPr="0025250D">
        <w:rPr>
          <w:rFonts w:hint="eastAsia"/>
          <w:rtl/>
        </w:rPr>
        <w:t>،</w:t>
      </w:r>
      <w:r w:rsidRPr="0025250D">
        <w:rPr>
          <w:rtl/>
        </w:rPr>
        <w:t xml:space="preserve"> 2002</w:t>
      </w:r>
    </w:p>
    <w:p w14:paraId="2D7410BA" w14:textId="7EAE99AD" w:rsidR="0037616D" w:rsidRPr="0025250D" w:rsidRDefault="0037616D" w:rsidP="00492C47">
      <w:pPr>
        <w:numPr>
          <w:ilvl w:val="0"/>
          <w:numId w:val="81"/>
        </w:numPr>
        <w:rPr>
          <w:rtl/>
        </w:rPr>
      </w:pPr>
      <w:r w:rsidRPr="0025250D">
        <w:rPr>
          <w:rtl/>
        </w:rPr>
        <w:t>آماده برا</w:t>
      </w:r>
      <w:r w:rsidRPr="0025250D">
        <w:rPr>
          <w:rFonts w:hint="cs"/>
          <w:rtl/>
        </w:rPr>
        <w:t>ی</w:t>
      </w:r>
      <w:r w:rsidRPr="0025250D">
        <w:rPr>
          <w:rtl/>
        </w:rPr>
        <w:t xml:space="preserve"> هر چ</w:t>
      </w:r>
      <w:r w:rsidRPr="0025250D">
        <w:rPr>
          <w:rFonts w:hint="cs"/>
          <w:rtl/>
        </w:rPr>
        <w:t>ی</w:t>
      </w:r>
      <w:r w:rsidRPr="0025250D">
        <w:rPr>
          <w:rFonts w:hint="eastAsia"/>
          <w:rtl/>
        </w:rPr>
        <w:t>ز</w:t>
      </w:r>
      <w:r w:rsidRPr="0025250D">
        <w:rPr>
          <w:rFonts w:hint="cs"/>
          <w:rtl/>
        </w:rPr>
        <w:t>ی</w:t>
      </w:r>
      <w:r w:rsidRPr="0025250D">
        <w:rPr>
          <w:rtl/>
        </w:rPr>
        <w:t>: طراح</w:t>
      </w:r>
      <w:r w:rsidRPr="0025250D">
        <w:rPr>
          <w:rFonts w:hint="cs"/>
          <w:rtl/>
        </w:rPr>
        <w:t>ی</w:t>
      </w:r>
      <w:r w:rsidRPr="0025250D">
        <w:rPr>
          <w:rtl/>
        </w:rPr>
        <w:t xml:space="preserve"> </w:t>
      </w:r>
      <w:r w:rsidR="0008779C" w:rsidRPr="0025250D">
        <w:rPr>
          <w:rFonts w:hint="cs"/>
          <w:rtl/>
        </w:rPr>
        <w:t>تاب‌آور</w:t>
      </w:r>
      <w:r w:rsidRPr="0025250D">
        <w:rPr>
          <w:rFonts w:hint="cs"/>
          <w:rtl/>
        </w:rPr>
        <w:t>ی</w:t>
      </w:r>
      <w:r w:rsidRPr="0025250D">
        <w:rPr>
          <w:rtl/>
        </w:rPr>
        <w:t xml:space="preserve"> برا</w:t>
      </w:r>
      <w:r w:rsidRPr="0025250D">
        <w:rPr>
          <w:rFonts w:hint="cs"/>
          <w:rtl/>
        </w:rPr>
        <w:t>ی</w:t>
      </w:r>
      <w:r w:rsidRPr="0025250D">
        <w:rPr>
          <w:rtl/>
        </w:rPr>
        <w:t xml:space="preserve"> جهان در حال تغ</w:t>
      </w:r>
      <w:r w:rsidRPr="0025250D">
        <w:rPr>
          <w:rFonts w:hint="cs"/>
          <w:rtl/>
        </w:rPr>
        <w:t>یی</w:t>
      </w:r>
      <w:r w:rsidRPr="0025250D">
        <w:rPr>
          <w:rFonts w:hint="eastAsia"/>
          <w:rtl/>
        </w:rPr>
        <w:t>ر،</w:t>
      </w:r>
      <w:r w:rsidRPr="0025250D">
        <w:rPr>
          <w:rtl/>
        </w:rPr>
        <w:t xml:space="preserve"> تون</w:t>
      </w:r>
      <w:r w:rsidRPr="0025250D">
        <w:rPr>
          <w:rFonts w:hint="cs"/>
          <w:rtl/>
        </w:rPr>
        <w:t>ی</w:t>
      </w:r>
      <w:r w:rsidRPr="0025250D">
        <w:rPr>
          <w:rtl/>
        </w:rPr>
        <w:t xml:space="preserve"> هاجسون</w:t>
      </w:r>
      <w:r w:rsidRPr="0025250D">
        <w:rPr>
          <w:vertAlign w:val="superscript"/>
          <w:rtl/>
        </w:rPr>
        <w:footnoteReference w:id="3498"/>
      </w:r>
      <w:r w:rsidRPr="0025250D">
        <w:rPr>
          <w:rtl/>
        </w:rPr>
        <w:t>، 2012.</w:t>
      </w:r>
    </w:p>
    <w:p w14:paraId="58B269CA" w14:textId="77777777" w:rsidR="0037616D" w:rsidRPr="0025250D" w:rsidRDefault="0037616D" w:rsidP="00492C47">
      <w:pPr>
        <w:numPr>
          <w:ilvl w:val="0"/>
          <w:numId w:val="81"/>
        </w:numPr>
        <w:rPr>
          <w:rtl/>
        </w:rPr>
      </w:pPr>
      <w:r w:rsidRPr="0025250D">
        <w:rPr>
          <w:rtl/>
        </w:rPr>
        <w:t>شورش</w:t>
      </w:r>
      <w:r w:rsidRPr="0025250D">
        <w:rPr>
          <w:rFonts w:hint="cs"/>
          <w:rtl/>
        </w:rPr>
        <w:t>ی</w:t>
      </w:r>
      <w:r w:rsidRPr="0025250D">
        <w:rPr>
          <w:rFonts w:hint="eastAsia"/>
          <w:rtl/>
        </w:rPr>
        <w:t>ان</w:t>
      </w:r>
      <w:r w:rsidRPr="0025250D">
        <w:rPr>
          <w:rtl/>
        </w:rPr>
        <w:t xml:space="preserve"> در کار: کتابچه راهنما</w:t>
      </w:r>
      <w:r w:rsidRPr="0025250D">
        <w:rPr>
          <w:rFonts w:hint="cs"/>
          <w:rtl/>
        </w:rPr>
        <w:t>ی</w:t>
      </w:r>
      <w:r w:rsidRPr="0025250D">
        <w:rPr>
          <w:rtl/>
        </w:rPr>
        <w:t xml:space="preserve"> تغ</w:t>
      </w:r>
      <w:r w:rsidRPr="0025250D">
        <w:rPr>
          <w:rFonts w:hint="cs"/>
          <w:rtl/>
        </w:rPr>
        <w:t>یی</w:t>
      </w:r>
      <w:r w:rsidRPr="0025250D">
        <w:rPr>
          <w:rFonts w:hint="eastAsia"/>
          <w:rtl/>
        </w:rPr>
        <w:t>ر</w:t>
      </w:r>
      <w:r w:rsidRPr="0025250D">
        <w:rPr>
          <w:rtl/>
        </w:rPr>
        <w:t xml:space="preserve"> پ</w:t>
      </w:r>
      <w:r w:rsidRPr="0025250D">
        <w:rPr>
          <w:rFonts w:hint="cs"/>
          <w:rtl/>
        </w:rPr>
        <w:t>ی</w:t>
      </w:r>
      <w:r w:rsidRPr="0025250D">
        <w:rPr>
          <w:rFonts w:hint="eastAsia"/>
          <w:rtl/>
        </w:rPr>
        <w:t>شرو</w:t>
      </w:r>
      <w:r w:rsidRPr="0025250D">
        <w:rPr>
          <w:rtl/>
        </w:rPr>
        <w:t xml:space="preserve"> از درون</w:t>
      </w:r>
      <w:r w:rsidRPr="0025250D">
        <w:rPr>
          <w:rFonts w:hint="cs"/>
          <w:rtl/>
        </w:rPr>
        <w:t xml:space="preserve">، </w:t>
      </w:r>
      <w:r w:rsidRPr="0025250D">
        <w:rPr>
          <w:rtl/>
        </w:rPr>
        <w:t>کل</w:t>
      </w:r>
      <w:r w:rsidRPr="0025250D">
        <w:rPr>
          <w:rFonts w:hint="cs"/>
          <w:rtl/>
        </w:rPr>
        <w:t>ی</w:t>
      </w:r>
      <w:r w:rsidRPr="0025250D">
        <w:rPr>
          <w:rtl/>
        </w:rPr>
        <w:t xml:space="preserve"> و مد</w:t>
      </w:r>
      <w:r w:rsidRPr="0025250D">
        <w:rPr>
          <w:rFonts w:hint="cs"/>
          <w:rtl/>
        </w:rPr>
        <w:t>ی</w:t>
      </w:r>
      <w:r w:rsidRPr="0025250D">
        <w:rPr>
          <w:rFonts w:hint="eastAsia"/>
          <w:rtl/>
        </w:rPr>
        <w:t>نه</w:t>
      </w:r>
      <w:r w:rsidRPr="0025250D">
        <w:rPr>
          <w:vertAlign w:val="superscript"/>
          <w:rtl/>
        </w:rPr>
        <w:footnoteReference w:id="3499"/>
      </w:r>
      <w:r w:rsidRPr="0025250D">
        <w:rPr>
          <w:rFonts w:hint="eastAsia"/>
          <w:rtl/>
        </w:rPr>
        <w:t>،</w:t>
      </w:r>
      <w:r w:rsidRPr="0025250D">
        <w:rPr>
          <w:rtl/>
        </w:rPr>
        <w:t xml:space="preserve"> 2014</w:t>
      </w:r>
    </w:p>
    <w:p w14:paraId="4F914964" w14:textId="77777777" w:rsidR="0037616D" w:rsidRPr="0025250D" w:rsidRDefault="0037616D" w:rsidP="00492C47">
      <w:pPr>
        <w:numPr>
          <w:ilvl w:val="0"/>
          <w:numId w:val="81"/>
        </w:numPr>
        <w:rPr>
          <w:rtl/>
        </w:rPr>
      </w:pPr>
      <w:r w:rsidRPr="0025250D">
        <w:rPr>
          <w:rtl/>
        </w:rPr>
        <w:t>پ</w:t>
      </w:r>
      <w:r w:rsidRPr="0025250D">
        <w:rPr>
          <w:rFonts w:hint="cs"/>
          <w:rtl/>
        </w:rPr>
        <w:t>ی</w:t>
      </w:r>
      <w:r w:rsidRPr="0025250D">
        <w:rPr>
          <w:rFonts w:hint="eastAsia"/>
          <w:rtl/>
        </w:rPr>
        <w:t>شرفت‌ها</w:t>
      </w:r>
      <w:r w:rsidRPr="0025250D">
        <w:rPr>
          <w:rFonts w:hint="cs"/>
          <w:rtl/>
        </w:rPr>
        <w:t>ی</w:t>
      </w:r>
      <w:r w:rsidRPr="0025250D">
        <w:rPr>
          <w:rtl/>
        </w:rPr>
        <w:t xml:space="preserve"> اخ</w:t>
      </w:r>
      <w:r w:rsidRPr="0025250D">
        <w:rPr>
          <w:rFonts w:hint="cs"/>
          <w:rtl/>
        </w:rPr>
        <w:t>ی</w:t>
      </w:r>
      <w:r w:rsidRPr="0025250D">
        <w:rPr>
          <w:rFonts w:hint="eastAsia"/>
          <w:rtl/>
        </w:rPr>
        <w:t>ر</w:t>
      </w:r>
      <w:r w:rsidRPr="0025250D">
        <w:rPr>
          <w:rtl/>
        </w:rPr>
        <w:t xml:space="preserve"> در روش‌ها</w:t>
      </w:r>
      <w:r w:rsidRPr="0025250D">
        <w:rPr>
          <w:rFonts w:hint="cs"/>
          <w:rtl/>
        </w:rPr>
        <w:t>ی</w:t>
      </w:r>
      <w:r w:rsidRPr="0025250D">
        <w:rPr>
          <w:rtl/>
        </w:rPr>
        <w:t xml:space="preserve"> آ</w:t>
      </w:r>
      <w:r w:rsidRPr="0025250D">
        <w:rPr>
          <w:rFonts w:hint="cs"/>
          <w:rtl/>
        </w:rPr>
        <w:t>ی</w:t>
      </w:r>
      <w:r w:rsidRPr="0025250D">
        <w:rPr>
          <w:rFonts w:hint="eastAsia"/>
          <w:rtl/>
        </w:rPr>
        <w:t>نده‌نگار</w:t>
      </w:r>
      <w:r w:rsidRPr="0025250D">
        <w:rPr>
          <w:rFonts w:hint="cs"/>
          <w:rtl/>
        </w:rPr>
        <w:t>ی</w:t>
      </w:r>
      <w:r w:rsidRPr="0025250D">
        <w:rPr>
          <w:rFonts w:hint="eastAsia"/>
          <w:rtl/>
        </w:rPr>
        <w:t>،</w:t>
      </w:r>
      <w:r w:rsidRPr="0025250D">
        <w:rPr>
          <w:rtl/>
        </w:rPr>
        <w:t xml:space="preserve"> ج</w:t>
      </w:r>
      <w:r w:rsidRPr="0025250D">
        <w:rPr>
          <w:rFonts w:hint="cs"/>
          <w:rtl/>
        </w:rPr>
        <w:t>ی</w:t>
      </w:r>
      <w:r w:rsidRPr="0025250D">
        <w:rPr>
          <w:rFonts w:hint="eastAsia"/>
          <w:rtl/>
        </w:rPr>
        <w:t>ود</w:t>
      </w:r>
      <w:r w:rsidRPr="0025250D">
        <w:rPr>
          <w:rFonts w:hint="cs"/>
          <w:rtl/>
        </w:rPr>
        <w:t>ی</w:t>
      </w:r>
      <w:r w:rsidRPr="0025250D">
        <w:rPr>
          <w:rtl/>
        </w:rPr>
        <w:t xml:space="preserve"> و ساپ</w:t>
      </w:r>
      <w:r w:rsidRPr="0025250D">
        <w:rPr>
          <w:rFonts w:hint="cs"/>
          <w:rtl/>
        </w:rPr>
        <w:t>ی</w:t>
      </w:r>
      <w:r w:rsidRPr="0025250D">
        <w:rPr>
          <w:rFonts w:hint="eastAsia"/>
          <w:rtl/>
        </w:rPr>
        <w:t>و</w:t>
      </w:r>
      <w:r w:rsidRPr="0025250D">
        <w:rPr>
          <w:vertAlign w:val="superscript"/>
          <w:rtl/>
        </w:rPr>
        <w:footnoteReference w:id="3500"/>
      </w:r>
      <w:r w:rsidRPr="0025250D">
        <w:rPr>
          <w:rFonts w:hint="eastAsia"/>
          <w:rtl/>
        </w:rPr>
        <w:t>،</w:t>
      </w:r>
      <w:r w:rsidRPr="0025250D">
        <w:rPr>
          <w:rtl/>
        </w:rPr>
        <w:t xml:space="preserve"> 2013</w:t>
      </w:r>
    </w:p>
    <w:p w14:paraId="13B96775" w14:textId="77777777" w:rsidR="0037616D" w:rsidRPr="0025250D" w:rsidRDefault="0037616D" w:rsidP="00492C47">
      <w:pPr>
        <w:numPr>
          <w:ilvl w:val="0"/>
          <w:numId w:val="81"/>
        </w:numPr>
        <w:rPr>
          <w:rtl/>
        </w:rPr>
      </w:pPr>
      <w:r w:rsidRPr="0025250D">
        <w:rPr>
          <w:rtl/>
        </w:rPr>
        <w:t>انقلاب کار از راه دور: موفق</w:t>
      </w:r>
      <w:r w:rsidRPr="0025250D">
        <w:rPr>
          <w:rFonts w:hint="cs"/>
          <w:rtl/>
        </w:rPr>
        <w:t>ی</w:t>
      </w:r>
      <w:r w:rsidRPr="0025250D">
        <w:rPr>
          <w:rFonts w:hint="eastAsia"/>
          <w:rtl/>
        </w:rPr>
        <w:t>ت</w:t>
      </w:r>
      <w:r w:rsidRPr="0025250D">
        <w:rPr>
          <w:rtl/>
        </w:rPr>
        <w:t xml:space="preserve"> از هر </w:t>
      </w:r>
      <w:r w:rsidRPr="0025250D">
        <w:rPr>
          <w:rFonts w:hint="cs"/>
          <w:rtl/>
        </w:rPr>
        <w:t>طرف</w:t>
      </w:r>
      <w:r w:rsidRPr="0025250D">
        <w:rPr>
          <w:rtl/>
        </w:rPr>
        <w:t>، تدال ن</w:t>
      </w:r>
      <w:r w:rsidRPr="0025250D">
        <w:rPr>
          <w:rFonts w:hint="cs"/>
          <w:rtl/>
        </w:rPr>
        <w:t>ی</w:t>
      </w:r>
      <w:r w:rsidRPr="0025250D">
        <w:rPr>
          <w:rFonts w:hint="eastAsia"/>
          <w:rtl/>
        </w:rPr>
        <w:t>ل</w:t>
      </w:r>
      <w:r w:rsidRPr="0025250D">
        <w:rPr>
          <w:rFonts w:hint="cs"/>
          <w:rtl/>
        </w:rPr>
        <w:t>ی</w:t>
      </w:r>
      <w:r w:rsidRPr="0025250D">
        <w:rPr>
          <w:vertAlign w:val="superscript"/>
          <w:rtl/>
        </w:rPr>
        <w:footnoteReference w:id="3501"/>
      </w:r>
      <w:r w:rsidRPr="0025250D">
        <w:rPr>
          <w:rFonts w:hint="eastAsia"/>
          <w:rtl/>
        </w:rPr>
        <w:t>،</w:t>
      </w:r>
      <w:r w:rsidRPr="0025250D">
        <w:rPr>
          <w:rtl/>
        </w:rPr>
        <w:t xml:space="preserve"> 2021</w:t>
      </w:r>
    </w:p>
    <w:p w14:paraId="4AC2BD15" w14:textId="77777777" w:rsidR="0037616D" w:rsidRPr="0025250D" w:rsidRDefault="0037616D" w:rsidP="00492C47">
      <w:pPr>
        <w:numPr>
          <w:ilvl w:val="0"/>
          <w:numId w:val="81"/>
        </w:numPr>
        <w:rPr>
          <w:rtl/>
        </w:rPr>
      </w:pPr>
      <w:r w:rsidRPr="0025250D">
        <w:rPr>
          <w:rtl/>
        </w:rPr>
        <w:t>اختراع مجدد سازمان ها، فردر</w:t>
      </w:r>
      <w:r w:rsidRPr="0025250D">
        <w:rPr>
          <w:rFonts w:hint="cs"/>
          <w:rtl/>
        </w:rPr>
        <w:t>ی</w:t>
      </w:r>
      <w:r w:rsidRPr="0025250D">
        <w:rPr>
          <w:rFonts w:hint="eastAsia"/>
          <w:rtl/>
        </w:rPr>
        <w:t>ک</w:t>
      </w:r>
      <w:r w:rsidRPr="0025250D">
        <w:rPr>
          <w:rtl/>
        </w:rPr>
        <w:t xml:space="preserve"> لالوکس</w:t>
      </w:r>
      <w:r w:rsidRPr="0025250D">
        <w:rPr>
          <w:vertAlign w:val="superscript"/>
          <w:rtl/>
        </w:rPr>
        <w:footnoteReference w:id="3502"/>
      </w:r>
      <w:r w:rsidRPr="0025250D">
        <w:rPr>
          <w:rtl/>
        </w:rPr>
        <w:t>، 2014</w:t>
      </w:r>
    </w:p>
    <w:p w14:paraId="2BDCB6B5" w14:textId="44AB3BA0" w:rsidR="0037616D" w:rsidRPr="0025250D" w:rsidRDefault="0008779C" w:rsidP="00492C47">
      <w:pPr>
        <w:numPr>
          <w:ilvl w:val="0"/>
          <w:numId w:val="81"/>
        </w:numPr>
        <w:rPr>
          <w:rtl/>
        </w:rPr>
      </w:pPr>
      <w:r w:rsidRPr="0025250D">
        <w:rPr>
          <w:rtl/>
        </w:rPr>
        <w:t>تاب‌آور</w:t>
      </w:r>
      <w:r w:rsidR="0037616D" w:rsidRPr="0025250D">
        <w:rPr>
          <w:rFonts w:hint="cs"/>
          <w:rtl/>
        </w:rPr>
        <w:t>ی</w:t>
      </w:r>
      <w:r w:rsidR="0037616D" w:rsidRPr="0025250D">
        <w:rPr>
          <w:rtl/>
        </w:rPr>
        <w:t xml:space="preserve">: چرا </w:t>
      </w:r>
      <w:r w:rsidR="0037616D" w:rsidRPr="0025250D">
        <w:rPr>
          <w:rFonts w:hint="cs"/>
          <w:rtl/>
        </w:rPr>
        <w:t>همه چیز</w:t>
      </w:r>
      <w:r w:rsidR="0037616D" w:rsidRPr="0025250D">
        <w:rPr>
          <w:rtl/>
        </w:rPr>
        <w:t xml:space="preserve"> به عقب باز می‌گردد، اندرو زول</w:t>
      </w:r>
      <w:r w:rsidR="0037616D" w:rsidRPr="0025250D">
        <w:rPr>
          <w:rFonts w:hint="cs"/>
          <w:rtl/>
        </w:rPr>
        <w:t>ی</w:t>
      </w:r>
      <w:r w:rsidR="0037616D" w:rsidRPr="0025250D">
        <w:rPr>
          <w:rtl/>
        </w:rPr>
        <w:t xml:space="preserve"> و آن مار</w:t>
      </w:r>
      <w:r w:rsidR="0037616D" w:rsidRPr="0025250D">
        <w:rPr>
          <w:rFonts w:hint="cs"/>
          <w:rtl/>
        </w:rPr>
        <w:t>ی</w:t>
      </w:r>
      <w:r w:rsidR="0037616D" w:rsidRPr="0025250D">
        <w:rPr>
          <w:rtl/>
        </w:rPr>
        <w:t xml:space="preserve"> ه</w:t>
      </w:r>
      <w:r w:rsidR="0037616D" w:rsidRPr="0025250D">
        <w:rPr>
          <w:rFonts w:hint="cs"/>
          <w:rtl/>
        </w:rPr>
        <w:t>ی</w:t>
      </w:r>
      <w:r w:rsidR="0037616D" w:rsidRPr="0025250D">
        <w:rPr>
          <w:rFonts w:hint="eastAsia"/>
          <w:rtl/>
        </w:rPr>
        <w:t>ل</w:t>
      </w:r>
      <w:r w:rsidR="0037616D" w:rsidRPr="0025250D">
        <w:rPr>
          <w:rFonts w:hint="cs"/>
          <w:rtl/>
        </w:rPr>
        <w:t>ی</w:t>
      </w:r>
      <w:r w:rsidR="0037616D" w:rsidRPr="0025250D">
        <w:rPr>
          <w:vertAlign w:val="superscript"/>
          <w:rtl/>
        </w:rPr>
        <w:footnoteReference w:id="3503"/>
      </w:r>
      <w:r w:rsidR="0037616D" w:rsidRPr="0025250D">
        <w:rPr>
          <w:rFonts w:hint="eastAsia"/>
          <w:rtl/>
        </w:rPr>
        <w:t>،</w:t>
      </w:r>
      <w:r w:rsidR="0037616D" w:rsidRPr="0025250D">
        <w:rPr>
          <w:rtl/>
        </w:rPr>
        <w:t xml:space="preserve"> 2013</w:t>
      </w:r>
    </w:p>
    <w:p w14:paraId="4D59FCB1" w14:textId="77777777" w:rsidR="0037616D" w:rsidRPr="0025250D" w:rsidRDefault="0037616D" w:rsidP="00492C47">
      <w:pPr>
        <w:numPr>
          <w:ilvl w:val="0"/>
          <w:numId w:val="81"/>
        </w:numPr>
        <w:rPr>
          <w:rtl/>
        </w:rPr>
      </w:pPr>
      <w:r w:rsidRPr="0025250D">
        <w:rPr>
          <w:rtl/>
        </w:rPr>
        <w:t>افزا</w:t>
      </w:r>
      <w:r w:rsidRPr="0025250D">
        <w:rPr>
          <w:rFonts w:hint="cs"/>
          <w:rtl/>
        </w:rPr>
        <w:t>ی</w:t>
      </w:r>
      <w:r w:rsidRPr="0025250D">
        <w:rPr>
          <w:rFonts w:hint="eastAsia"/>
          <w:rtl/>
        </w:rPr>
        <w:t>ش</w:t>
      </w:r>
      <w:r w:rsidRPr="0025250D">
        <w:rPr>
          <w:rtl/>
        </w:rPr>
        <w:t xml:space="preserve"> مق</w:t>
      </w:r>
      <w:r w:rsidRPr="0025250D">
        <w:rPr>
          <w:rFonts w:hint="cs"/>
          <w:rtl/>
        </w:rPr>
        <w:t>ی</w:t>
      </w:r>
      <w:r w:rsidRPr="0025250D">
        <w:rPr>
          <w:rFonts w:hint="eastAsia"/>
          <w:rtl/>
        </w:rPr>
        <w:t>اس</w:t>
      </w:r>
      <w:r w:rsidRPr="0025250D">
        <w:rPr>
          <w:rtl/>
        </w:rPr>
        <w:t>: تسلط بر عادات راکفلر 2.0، ورن هارن</w:t>
      </w:r>
      <w:r w:rsidRPr="0025250D">
        <w:rPr>
          <w:rFonts w:hint="cs"/>
          <w:rtl/>
        </w:rPr>
        <w:t>ی</w:t>
      </w:r>
      <w:r w:rsidRPr="0025250D">
        <w:rPr>
          <w:rFonts w:hint="eastAsia"/>
          <w:rtl/>
        </w:rPr>
        <w:t>ش</w:t>
      </w:r>
      <w:r w:rsidRPr="0025250D">
        <w:rPr>
          <w:vertAlign w:val="superscript"/>
          <w:rtl/>
        </w:rPr>
        <w:footnoteReference w:id="3504"/>
      </w:r>
      <w:r w:rsidRPr="0025250D">
        <w:rPr>
          <w:rFonts w:hint="eastAsia"/>
          <w:rtl/>
        </w:rPr>
        <w:t>،</w:t>
      </w:r>
      <w:r w:rsidRPr="0025250D">
        <w:rPr>
          <w:rtl/>
        </w:rPr>
        <w:t xml:space="preserve"> 2014</w:t>
      </w:r>
    </w:p>
    <w:p w14:paraId="10400252" w14:textId="3C3611B9" w:rsidR="0037616D" w:rsidRPr="0025250D" w:rsidRDefault="00B124DE" w:rsidP="00492C47">
      <w:pPr>
        <w:numPr>
          <w:ilvl w:val="0"/>
          <w:numId w:val="81"/>
        </w:numPr>
        <w:rPr>
          <w:rtl/>
        </w:rPr>
      </w:pPr>
      <w:r w:rsidRPr="0025250D">
        <w:rPr>
          <w:rtl/>
        </w:rPr>
        <w:t>برنامه‌ریزی</w:t>
      </w:r>
      <w:r w:rsidR="0037616D" w:rsidRPr="0025250D">
        <w:rPr>
          <w:rtl/>
        </w:rPr>
        <w:t xml:space="preserve"> </w:t>
      </w:r>
      <w:r w:rsidR="007A53FD" w:rsidRPr="0025250D">
        <w:rPr>
          <w:rtl/>
        </w:rPr>
        <w:t>فرانامه</w:t>
      </w:r>
      <w:r w:rsidR="0037616D" w:rsidRPr="0025250D">
        <w:rPr>
          <w:rtl/>
        </w:rPr>
        <w:t xml:space="preserve"> در سازمان ها، توماس چرماک</w:t>
      </w:r>
      <w:r w:rsidR="0037616D" w:rsidRPr="0025250D">
        <w:rPr>
          <w:vertAlign w:val="superscript"/>
          <w:rtl/>
        </w:rPr>
        <w:footnoteReference w:id="3505"/>
      </w:r>
      <w:r w:rsidR="0037616D" w:rsidRPr="0025250D">
        <w:rPr>
          <w:rtl/>
        </w:rPr>
        <w:t>، 2011</w:t>
      </w:r>
    </w:p>
    <w:p w14:paraId="02A5CC79" w14:textId="5C4E38AC" w:rsidR="0037616D" w:rsidRPr="0025250D" w:rsidRDefault="00B124DE" w:rsidP="00492C47">
      <w:pPr>
        <w:numPr>
          <w:ilvl w:val="0"/>
          <w:numId w:val="81"/>
        </w:numPr>
        <w:rPr>
          <w:rtl/>
        </w:rPr>
      </w:pPr>
      <w:r w:rsidRPr="0025250D">
        <w:rPr>
          <w:rtl/>
        </w:rPr>
        <w:t>برنامه‌ریزی</w:t>
      </w:r>
      <w:r w:rsidR="0037616D" w:rsidRPr="0025250D">
        <w:rPr>
          <w:rtl/>
        </w:rPr>
        <w:t xml:space="preserve"> </w:t>
      </w:r>
      <w:r w:rsidR="007A53FD" w:rsidRPr="0025250D">
        <w:rPr>
          <w:rtl/>
        </w:rPr>
        <w:t>فرانامه</w:t>
      </w:r>
      <w:r w:rsidR="0037616D" w:rsidRPr="0025250D">
        <w:rPr>
          <w:rtl/>
        </w:rPr>
        <w:t>: راهنما</w:t>
      </w:r>
      <w:r w:rsidR="0037616D" w:rsidRPr="0025250D">
        <w:rPr>
          <w:rFonts w:hint="cs"/>
          <w:rtl/>
        </w:rPr>
        <w:t>ی</w:t>
      </w:r>
      <w:r w:rsidR="0037616D" w:rsidRPr="0025250D">
        <w:rPr>
          <w:rtl/>
        </w:rPr>
        <w:t xml:space="preserve"> م</w:t>
      </w:r>
      <w:r w:rsidR="0037616D" w:rsidRPr="0025250D">
        <w:rPr>
          <w:rFonts w:hint="cs"/>
          <w:rtl/>
        </w:rPr>
        <w:t>ی</w:t>
      </w:r>
      <w:r w:rsidR="0037616D" w:rsidRPr="0025250D">
        <w:rPr>
          <w:rFonts w:hint="eastAsia"/>
          <w:rtl/>
        </w:rPr>
        <w:t>دان</w:t>
      </w:r>
      <w:r w:rsidR="0037616D" w:rsidRPr="0025250D">
        <w:rPr>
          <w:rFonts w:hint="cs"/>
          <w:rtl/>
        </w:rPr>
        <w:t>ی</w:t>
      </w:r>
      <w:r w:rsidR="0037616D" w:rsidRPr="0025250D">
        <w:rPr>
          <w:rtl/>
        </w:rPr>
        <w:t xml:space="preserve"> برا</w:t>
      </w:r>
      <w:r w:rsidR="0037616D" w:rsidRPr="0025250D">
        <w:rPr>
          <w:rFonts w:hint="cs"/>
          <w:rtl/>
        </w:rPr>
        <w:t>ی</w:t>
      </w:r>
      <w:r w:rsidR="0037616D" w:rsidRPr="0025250D">
        <w:rPr>
          <w:rtl/>
        </w:rPr>
        <w:t xml:space="preserve"> آ</w:t>
      </w:r>
      <w:r w:rsidR="0037616D" w:rsidRPr="0025250D">
        <w:rPr>
          <w:rFonts w:hint="cs"/>
          <w:rtl/>
        </w:rPr>
        <w:t>ی</w:t>
      </w:r>
      <w:r w:rsidR="0037616D" w:rsidRPr="0025250D">
        <w:rPr>
          <w:rFonts w:hint="eastAsia"/>
          <w:rtl/>
        </w:rPr>
        <w:t>نده،</w:t>
      </w:r>
      <w:r w:rsidR="0037616D" w:rsidRPr="0025250D">
        <w:rPr>
          <w:rtl/>
        </w:rPr>
        <w:t xml:space="preserve"> وود</w:t>
      </w:r>
      <w:r w:rsidR="0037616D" w:rsidRPr="0025250D">
        <w:rPr>
          <w:rFonts w:hint="cs"/>
          <w:rtl/>
        </w:rPr>
        <w:t>ی</w:t>
      </w:r>
      <w:r w:rsidR="0037616D" w:rsidRPr="0025250D">
        <w:rPr>
          <w:rtl/>
        </w:rPr>
        <w:t xml:space="preserve"> و</w:t>
      </w:r>
      <w:r w:rsidR="0037616D" w:rsidRPr="0025250D">
        <w:rPr>
          <w:rFonts w:hint="cs"/>
          <w:rtl/>
        </w:rPr>
        <w:t>ی</w:t>
      </w:r>
      <w:r w:rsidR="0037616D" w:rsidRPr="0025250D">
        <w:rPr>
          <w:rFonts w:hint="eastAsia"/>
          <w:rtl/>
        </w:rPr>
        <w:t>د</w:t>
      </w:r>
      <w:r w:rsidR="0037616D" w:rsidRPr="0025250D">
        <w:rPr>
          <w:vertAlign w:val="superscript"/>
          <w:rtl/>
        </w:rPr>
        <w:footnoteReference w:id="3506"/>
      </w:r>
      <w:r w:rsidR="0037616D" w:rsidRPr="0025250D">
        <w:rPr>
          <w:rFonts w:hint="eastAsia"/>
          <w:rtl/>
        </w:rPr>
        <w:t>،</w:t>
      </w:r>
      <w:r w:rsidR="0037616D" w:rsidRPr="0025250D">
        <w:rPr>
          <w:rtl/>
        </w:rPr>
        <w:t xml:space="preserve"> 2012</w:t>
      </w:r>
    </w:p>
    <w:p w14:paraId="2DA1F8C7" w14:textId="06F2A7AF" w:rsidR="0037616D" w:rsidRPr="0025250D" w:rsidRDefault="007A53FD" w:rsidP="00492C47">
      <w:pPr>
        <w:numPr>
          <w:ilvl w:val="0"/>
          <w:numId w:val="81"/>
        </w:numPr>
        <w:rPr>
          <w:rtl/>
        </w:rPr>
      </w:pPr>
      <w:r w:rsidRPr="0025250D">
        <w:rPr>
          <w:rtl/>
        </w:rPr>
        <w:t>فرانامه</w:t>
      </w:r>
      <w:r w:rsidR="0037616D" w:rsidRPr="0025250D">
        <w:rPr>
          <w:rFonts w:hint="eastAsia"/>
          <w:rtl/>
        </w:rPr>
        <w:t>ها</w:t>
      </w:r>
      <w:r w:rsidR="0037616D" w:rsidRPr="0025250D">
        <w:rPr>
          <w:rtl/>
        </w:rPr>
        <w:t>: هنر گفتگو</w:t>
      </w:r>
      <w:r w:rsidR="0037616D" w:rsidRPr="0025250D">
        <w:rPr>
          <w:rFonts w:hint="cs"/>
          <w:rtl/>
        </w:rPr>
        <w:t>ی</w:t>
      </w:r>
      <w:r w:rsidR="0037616D" w:rsidRPr="0025250D">
        <w:rPr>
          <w:rtl/>
        </w:rPr>
        <w:t xml:space="preserve"> </w:t>
      </w:r>
      <w:r w:rsidR="00701E03" w:rsidRPr="0025250D">
        <w:rPr>
          <w:rtl/>
        </w:rPr>
        <w:t>راهبردی</w:t>
      </w:r>
      <w:r w:rsidR="0037616D" w:rsidRPr="0025250D">
        <w:rPr>
          <w:rFonts w:hint="eastAsia"/>
          <w:rtl/>
        </w:rPr>
        <w:t>،</w:t>
      </w:r>
      <w:r w:rsidR="0037616D" w:rsidRPr="0025250D">
        <w:rPr>
          <w:rtl/>
        </w:rPr>
        <w:t xml:space="preserve"> ک</w:t>
      </w:r>
      <w:r w:rsidR="0037616D" w:rsidRPr="0025250D">
        <w:rPr>
          <w:rFonts w:hint="cs"/>
          <w:rtl/>
        </w:rPr>
        <w:t>ی</w:t>
      </w:r>
      <w:r w:rsidR="0037616D" w:rsidRPr="0025250D">
        <w:rPr>
          <w:rFonts w:hint="eastAsia"/>
          <w:rtl/>
        </w:rPr>
        <w:t>س</w:t>
      </w:r>
      <w:r w:rsidR="0037616D" w:rsidRPr="0025250D">
        <w:rPr>
          <w:rtl/>
        </w:rPr>
        <w:t xml:space="preserve"> ون در ها</w:t>
      </w:r>
      <w:r w:rsidR="0037616D" w:rsidRPr="0025250D">
        <w:rPr>
          <w:rFonts w:hint="cs"/>
          <w:rtl/>
        </w:rPr>
        <w:t>ی</w:t>
      </w:r>
      <w:r w:rsidR="0037616D" w:rsidRPr="0025250D">
        <w:rPr>
          <w:rFonts w:hint="eastAsia"/>
          <w:rtl/>
        </w:rPr>
        <w:t>دن</w:t>
      </w:r>
      <w:r w:rsidR="0037616D" w:rsidRPr="0025250D">
        <w:rPr>
          <w:vertAlign w:val="superscript"/>
          <w:rtl/>
        </w:rPr>
        <w:footnoteReference w:id="3507"/>
      </w:r>
      <w:r w:rsidR="0037616D" w:rsidRPr="0025250D">
        <w:rPr>
          <w:rFonts w:hint="eastAsia"/>
          <w:rtl/>
        </w:rPr>
        <w:t>،</w:t>
      </w:r>
      <w:r w:rsidR="0037616D" w:rsidRPr="0025250D">
        <w:rPr>
          <w:rtl/>
        </w:rPr>
        <w:t xml:space="preserve"> 2005</w:t>
      </w:r>
    </w:p>
    <w:p w14:paraId="39D1B453" w14:textId="77777777" w:rsidR="0037616D" w:rsidRPr="0025250D" w:rsidRDefault="0037616D" w:rsidP="00492C47">
      <w:pPr>
        <w:numPr>
          <w:ilvl w:val="0"/>
          <w:numId w:val="81"/>
        </w:numPr>
        <w:rPr>
          <w:rtl/>
        </w:rPr>
      </w:pPr>
      <w:r w:rsidRPr="0025250D">
        <w:rPr>
          <w:rtl/>
        </w:rPr>
        <w:t>د</w:t>
      </w:r>
      <w:r w:rsidRPr="0025250D">
        <w:rPr>
          <w:rFonts w:hint="cs"/>
          <w:rtl/>
        </w:rPr>
        <w:t>ی</w:t>
      </w:r>
      <w:r w:rsidRPr="0025250D">
        <w:rPr>
          <w:rFonts w:hint="eastAsia"/>
          <w:rtl/>
        </w:rPr>
        <w:t>دن</w:t>
      </w:r>
      <w:r w:rsidRPr="0025250D">
        <w:rPr>
          <w:rtl/>
        </w:rPr>
        <w:t xml:space="preserve"> آنچه د</w:t>
      </w:r>
      <w:r w:rsidRPr="0025250D">
        <w:rPr>
          <w:rFonts w:hint="cs"/>
          <w:rtl/>
        </w:rPr>
        <w:t>ی</w:t>
      </w:r>
      <w:r w:rsidRPr="0025250D">
        <w:rPr>
          <w:rFonts w:hint="eastAsia"/>
          <w:rtl/>
        </w:rPr>
        <w:t>گران</w:t>
      </w:r>
      <w:r w:rsidRPr="0025250D">
        <w:rPr>
          <w:rtl/>
        </w:rPr>
        <w:t xml:space="preserve"> انجام نمی‌دهند: </w:t>
      </w:r>
      <w:r w:rsidRPr="0025250D">
        <w:rPr>
          <w:rFonts w:hint="cs"/>
          <w:rtl/>
        </w:rPr>
        <w:t>شیوه</w:t>
      </w:r>
      <w:r w:rsidRPr="0025250D">
        <w:rPr>
          <w:rtl/>
        </w:rPr>
        <w:t xml:space="preserve"> ها</w:t>
      </w:r>
      <w:r w:rsidRPr="0025250D">
        <w:rPr>
          <w:rFonts w:hint="cs"/>
          <w:rtl/>
        </w:rPr>
        <w:t xml:space="preserve">یی که </w:t>
      </w:r>
      <w:r w:rsidRPr="0025250D">
        <w:rPr>
          <w:rtl/>
        </w:rPr>
        <w:t>ما ب</w:t>
      </w:r>
      <w:r w:rsidRPr="0025250D">
        <w:rPr>
          <w:rFonts w:hint="cs"/>
          <w:rtl/>
        </w:rPr>
        <w:t>ی</w:t>
      </w:r>
      <w:r w:rsidRPr="0025250D">
        <w:rPr>
          <w:rFonts w:hint="eastAsia"/>
          <w:rtl/>
        </w:rPr>
        <w:t>نش</w:t>
      </w:r>
      <w:r w:rsidRPr="0025250D">
        <w:rPr>
          <w:rtl/>
        </w:rPr>
        <w:t xml:space="preserve"> به دست می‌آور</w:t>
      </w:r>
      <w:r w:rsidRPr="0025250D">
        <w:rPr>
          <w:rFonts w:hint="cs"/>
          <w:rtl/>
        </w:rPr>
        <w:t>ی</w:t>
      </w:r>
      <w:r w:rsidRPr="0025250D">
        <w:rPr>
          <w:rFonts w:hint="eastAsia"/>
          <w:rtl/>
        </w:rPr>
        <w:t>م،</w:t>
      </w:r>
      <w:r w:rsidRPr="0025250D">
        <w:rPr>
          <w:rtl/>
        </w:rPr>
        <w:t xml:space="preserve"> گر</w:t>
      </w:r>
      <w:r w:rsidRPr="0025250D">
        <w:rPr>
          <w:rFonts w:hint="cs"/>
          <w:rtl/>
        </w:rPr>
        <w:t>ی</w:t>
      </w:r>
      <w:r w:rsidRPr="0025250D">
        <w:rPr>
          <w:rtl/>
        </w:rPr>
        <w:t xml:space="preserve"> کل</w:t>
      </w:r>
      <w:r w:rsidRPr="0025250D">
        <w:rPr>
          <w:rFonts w:hint="cs"/>
          <w:rtl/>
        </w:rPr>
        <w:t>ی</w:t>
      </w:r>
      <w:r w:rsidRPr="0025250D">
        <w:rPr>
          <w:rFonts w:hint="eastAsia"/>
          <w:rtl/>
        </w:rPr>
        <w:t>ن</w:t>
      </w:r>
      <w:r w:rsidRPr="0025250D">
        <w:rPr>
          <w:vertAlign w:val="superscript"/>
          <w:rtl/>
        </w:rPr>
        <w:footnoteReference w:id="3508"/>
      </w:r>
      <w:r w:rsidRPr="0025250D">
        <w:rPr>
          <w:rFonts w:hint="eastAsia"/>
          <w:rtl/>
        </w:rPr>
        <w:t>،</w:t>
      </w:r>
      <w:r w:rsidRPr="0025250D">
        <w:rPr>
          <w:rtl/>
        </w:rPr>
        <w:t xml:space="preserve"> 2015</w:t>
      </w:r>
    </w:p>
    <w:p w14:paraId="3CFFB051" w14:textId="77777777" w:rsidR="0037616D" w:rsidRPr="0025250D" w:rsidRDefault="0037616D" w:rsidP="00492C47">
      <w:pPr>
        <w:numPr>
          <w:ilvl w:val="0"/>
          <w:numId w:val="81"/>
        </w:numPr>
        <w:rPr>
          <w:rtl/>
        </w:rPr>
      </w:pPr>
      <w:r w:rsidRPr="0025250D">
        <w:rPr>
          <w:rtl/>
        </w:rPr>
        <w:t>رهبر</w:t>
      </w:r>
      <w:r w:rsidRPr="0025250D">
        <w:rPr>
          <w:rFonts w:hint="cs"/>
          <w:rtl/>
        </w:rPr>
        <w:t>ی</w:t>
      </w:r>
      <w:r w:rsidRPr="0025250D">
        <w:rPr>
          <w:rtl/>
        </w:rPr>
        <w:t xml:space="preserve"> خدمتگزار، رابرت گر</w:t>
      </w:r>
      <w:r w:rsidRPr="0025250D">
        <w:rPr>
          <w:rFonts w:hint="cs"/>
          <w:rtl/>
        </w:rPr>
        <w:t>ی</w:t>
      </w:r>
      <w:r w:rsidRPr="0025250D">
        <w:rPr>
          <w:rFonts w:hint="eastAsia"/>
          <w:rtl/>
        </w:rPr>
        <w:t>ن</w:t>
      </w:r>
      <w:r w:rsidRPr="0025250D">
        <w:rPr>
          <w:rtl/>
        </w:rPr>
        <w:t xml:space="preserve"> ل</w:t>
      </w:r>
      <w:r w:rsidRPr="0025250D">
        <w:rPr>
          <w:rFonts w:hint="cs"/>
          <w:rtl/>
        </w:rPr>
        <w:t>ی</w:t>
      </w:r>
      <w:r w:rsidRPr="0025250D">
        <w:rPr>
          <w:rFonts w:hint="eastAsia"/>
          <w:rtl/>
        </w:rPr>
        <w:t>ف</w:t>
      </w:r>
      <w:r w:rsidRPr="0025250D">
        <w:rPr>
          <w:vertAlign w:val="superscript"/>
          <w:rtl/>
        </w:rPr>
        <w:footnoteReference w:id="3509"/>
      </w:r>
      <w:r w:rsidRPr="0025250D">
        <w:rPr>
          <w:rFonts w:hint="eastAsia"/>
          <w:rtl/>
        </w:rPr>
        <w:t>،</w:t>
      </w:r>
      <w:r w:rsidRPr="0025250D">
        <w:rPr>
          <w:rtl/>
        </w:rPr>
        <w:t xml:space="preserve"> 2002</w:t>
      </w:r>
    </w:p>
    <w:p w14:paraId="381BD6F0" w14:textId="34E3192B" w:rsidR="0037616D" w:rsidRPr="0025250D" w:rsidRDefault="00362EF3" w:rsidP="00492C47">
      <w:pPr>
        <w:numPr>
          <w:ilvl w:val="0"/>
          <w:numId w:val="81"/>
        </w:numPr>
        <w:rPr>
          <w:rtl/>
        </w:rPr>
      </w:pPr>
      <w:r w:rsidRPr="0025250D">
        <w:rPr>
          <w:rtl/>
        </w:rPr>
        <w:t>فرانامه‌های</w:t>
      </w:r>
      <w:r w:rsidR="0037616D" w:rsidRPr="0025250D">
        <w:rPr>
          <w:rtl/>
        </w:rPr>
        <w:t xml:space="preserve"> جهان</w:t>
      </w:r>
      <w:r w:rsidR="0037616D" w:rsidRPr="0025250D">
        <w:rPr>
          <w:rFonts w:hint="cs"/>
          <w:rtl/>
        </w:rPr>
        <w:t>ی</w:t>
      </w:r>
      <w:r w:rsidR="0037616D" w:rsidRPr="0025250D">
        <w:rPr>
          <w:rtl/>
        </w:rPr>
        <w:t xml:space="preserve"> شل تا سال 2025، گروه </w:t>
      </w:r>
      <w:r w:rsidRPr="0025250D">
        <w:rPr>
          <w:rtl/>
        </w:rPr>
        <w:t>فرانامه‌های</w:t>
      </w:r>
      <w:r w:rsidR="0037616D" w:rsidRPr="0025250D">
        <w:rPr>
          <w:rtl/>
        </w:rPr>
        <w:t xml:space="preserve"> رو</w:t>
      </w:r>
      <w:r w:rsidR="0037616D" w:rsidRPr="0025250D">
        <w:rPr>
          <w:rFonts w:hint="cs"/>
          <w:rtl/>
        </w:rPr>
        <w:t>ی</w:t>
      </w:r>
      <w:r w:rsidR="0037616D" w:rsidRPr="0025250D">
        <w:rPr>
          <w:rFonts w:hint="eastAsia"/>
          <w:rtl/>
        </w:rPr>
        <w:t>ال</w:t>
      </w:r>
      <w:r w:rsidR="0037616D" w:rsidRPr="0025250D">
        <w:rPr>
          <w:rtl/>
        </w:rPr>
        <w:t xml:space="preserve"> داچ شل</w:t>
      </w:r>
      <w:r w:rsidR="0037616D" w:rsidRPr="0025250D">
        <w:rPr>
          <w:vertAlign w:val="superscript"/>
          <w:rtl/>
        </w:rPr>
        <w:footnoteReference w:id="3510"/>
      </w:r>
      <w:r w:rsidR="0037616D" w:rsidRPr="0025250D">
        <w:rPr>
          <w:rtl/>
        </w:rPr>
        <w:t>، 2005</w:t>
      </w:r>
    </w:p>
    <w:p w14:paraId="1F1181EB" w14:textId="4F3119DA" w:rsidR="0037616D" w:rsidRPr="0025250D" w:rsidRDefault="0037616D" w:rsidP="00492C47">
      <w:pPr>
        <w:numPr>
          <w:ilvl w:val="0"/>
          <w:numId w:val="81"/>
        </w:numPr>
        <w:rPr>
          <w:rtl/>
        </w:rPr>
      </w:pPr>
      <w:r w:rsidRPr="0025250D">
        <w:rPr>
          <w:rtl/>
        </w:rPr>
        <w:t xml:space="preserve">آینده‌نگاری </w:t>
      </w:r>
      <w:r w:rsidR="00701E03" w:rsidRPr="0025250D">
        <w:rPr>
          <w:rtl/>
        </w:rPr>
        <w:t>راهبردی</w:t>
      </w:r>
      <w:r w:rsidRPr="0025250D">
        <w:rPr>
          <w:rtl/>
        </w:rPr>
        <w:t>: نگاه</w:t>
      </w:r>
      <w:r w:rsidRPr="0025250D">
        <w:rPr>
          <w:rFonts w:hint="cs"/>
          <w:rtl/>
        </w:rPr>
        <w:t>ی</w:t>
      </w:r>
      <w:r w:rsidRPr="0025250D">
        <w:rPr>
          <w:rtl/>
        </w:rPr>
        <w:t xml:space="preserve"> نو به </w:t>
      </w:r>
      <w:r w:rsidR="007A53FD" w:rsidRPr="0025250D">
        <w:rPr>
          <w:rtl/>
        </w:rPr>
        <w:t>فرانامه</w:t>
      </w:r>
      <w:r w:rsidRPr="0025250D">
        <w:rPr>
          <w:rFonts w:hint="eastAsia"/>
          <w:rtl/>
        </w:rPr>
        <w:t>ها،</w:t>
      </w:r>
      <w:r w:rsidRPr="0025250D">
        <w:rPr>
          <w:rtl/>
        </w:rPr>
        <w:t xml:space="preserve"> آلفرد مارکوس</w:t>
      </w:r>
      <w:r w:rsidRPr="0025250D">
        <w:rPr>
          <w:vertAlign w:val="superscript"/>
          <w:rtl/>
        </w:rPr>
        <w:footnoteReference w:id="3511"/>
      </w:r>
      <w:r w:rsidRPr="0025250D">
        <w:rPr>
          <w:rtl/>
        </w:rPr>
        <w:t>، 2009.</w:t>
      </w:r>
    </w:p>
    <w:p w14:paraId="7DB1C7D8" w14:textId="78A9AC35" w:rsidR="0037616D" w:rsidRPr="0025250D" w:rsidRDefault="0037616D" w:rsidP="00492C47">
      <w:pPr>
        <w:numPr>
          <w:ilvl w:val="0"/>
          <w:numId w:val="81"/>
        </w:numPr>
        <w:rPr>
          <w:rtl/>
        </w:rPr>
      </w:pPr>
      <w:r w:rsidRPr="0025250D">
        <w:rPr>
          <w:rtl/>
        </w:rPr>
        <w:t xml:space="preserve">آینده‌نگاری </w:t>
      </w:r>
      <w:r w:rsidR="00701E03" w:rsidRPr="0025250D">
        <w:rPr>
          <w:rtl/>
        </w:rPr>
        <w:t>راهبردی</w:t>
      </w:r>
      <w:r w:rsidRPr="0025250D">
        <w:rPr>
          <w:rtl/>
        </w:rPr>
        <w:t>: تسر</w:t>
      </w:r>
      <w:r w:rsidRPr="0025250D">
        <w:rPr>
          <w:rFonts w:hint="cs"/>
          <w:rtl/>
        </w:rPr>
        <w:t>ی</w:t>
      </w:r>
      <w:r w:rsidRPr="0025250D">
        <w:rPr>
          <w:rFonts w:hint="eastAsia"/>
          <w:rtl/>
        </w:rPr>
        <w:t>ع</w:t>
      </w:r>
      <w:r w:rsidRPr="0025250D">
        <w:rPr>
          <w:rtl/>
        </w:rPr>
        <w:t xml:space="preserve"> تغ</w:t>
      </w:r>
      <w:r w:rsidRPr="0025250D">
        <w:rPr>
          <w:rFonts w:hint="cs"/>
          <w:rtl/>
        </w:rPr>
        <w:t>یی</w:t>
      </w:r>
      <w:r w:rsidRPr="0025250D">
        <w:rPr>
          <w:rFonts w:hint="eastAsia"/>
          <w:rtl/>
        </w:rPr>
        <w:t>رات</w:t>
      </w:r>
      <w:r w:rsidRPr="0025250D">
        <w:rPr>
          <w:rtl/>
        </w:rPr>
        <w:t xml:space="preserve"> </w:t>
      </w:r>
      <w:r w:rsidR="007A53FD" w:rsidRPr="0025250D">
        <w:rPr>
          <w:rtl/>
        </w:rPr>
        <w:t>فناورانه</w:t>
      </w:r>
      <w:r w:rsidRPr="0025250D">
        <w:rPr>
          <w:rFonts w:hint="eastAsia"/>
          <w:rtl/>
        </w:rPr>
        <w:t>،</w:t>
      </w:r>
      <w:r w:rsidRPr="0025250D">
        <w:rPr>
          <w:rtl/>
        </w:rPr>
        <w:t xml:space="preserve"> سارا چ</w:t>
      </w:r>
      <w:r w:rsidRPr="0025250D">
        <w:rPr>
          <w:rFonts w:hint="cs"/>
          <w:rtl/>
        </w:rPr>
        <w:t>ی</w:t>
      </w:r>
      <w:r w:rsidRPr="0025250D">
        <w:rPr>
          <w:vertAlign w:val="superscript"/>
          <w:rtl/>
        </w:rPr>
        <w:footnoteReference w:id="3512"/>
      </w:r>
      <w:r w:rsidRPr="0025250D">
        <w:rPr>
          <w:rFonts w:hint="eastAsia"/>
          <w:rtl/>
        </w:rPr>
        <w:t>،</w:t>
      </w:r>
      <w:r w:rsidRPr="0025250D">
        <w:rPr>
          <w:rtl/>
        </w:rPr>
        <w:t xml:space="preserve"> 2020</w:t>
      </w:r>
    </w:p>
    <w:p w14:paraId="284CA181" w14:textId="1A9E047C" w:rsidR="0037616D" w:rsidRPr="0025250D" w:rsidRDefault="0037616D" w:rsidP="00492C47">
      <w:pPr>
        <w:numPr>
          <w:ilvl w:val="0"/>
          <w:numId w:val="81"/>
        </w:numPr>
        <w:rPr>
          <w:rtl/>
        </w:rPr>
      </w:pPr>
      <w:r w:rsidRPr="0025250D">
        <w:rPr>
          <w:rtl/>
        </w:rPr>
        <w:t xml:space="preserve">آینده‌نگاری </w:t>
      </w:r>
      <w:r w:rsidR="00701E03" w:rsidRPr="0025250D">
        <w:rPr>
          <w:rtl/>
        </w:rPr>
        <w:t>راهبردی</w:t>
      </w:r>
      <w:r w:rsidRPr="0025250D">
        <w:rPr>
          <w:rtl/>
        </w:rPr>
        <w:t xml:space="preserve"> برا</w:t>
      </w:r>
      <w:r w:rsidRPr="0025250D">
        <w:rPr>
          <w:rFonts w:hint="cs"/>
          <w:rtl/>
        </w:rPr>
        <w:t>ی</w:t>
      </w:r>
      <w:r w:rsidRPr="0025250D">
        <w:rPr>
          <w:rtl/>
        </w:rPr>
        <w:t xml:space="preserve"> توسعه شرکت</w:t>
      </w:r>
      <w:r w:rsidRPr="0025250D">
        <w:rPr>
          <w:rFonts w:hint="cs"/>
          <w:rtl/>
        </w:rPr>
        <w:t>ی</w:t>
      </w:r>
      <w:r w:rsidRPr="0025250D">
        <w:rPr>
          <w:rtl/>
        </w:rPr>
        <w:t xml:space="preserve"> و منطقه ا</w:t>
      </w:r>
      <w:r w:rsidRPr="0025250D">
        <w:rPr>
          <w:rFonts w:hint="cs"/>
          <w:rtl/>
        </w:rPr>
        <w:t>ی</w:t>
      </w:r>
      <w:r w:rsidRPr="0025250D">
        <w:rPr>
          <w:rFonts w:hint="eastAsia"/>
          <w:rtl/>
        </w:rPr>
        <w:t>،</w:t>
      </w:r>
      <w:r w:rsidRPr="0025250D">
        <w:rPr>
          <w:rtl/>
        </w:rPr>
        <w:t xml:space="preserve"> گودت و دورنس</w:t>
      </w:r>
      <w:r w:rsidRPr="0025250D">
        <w:rPr>
          <w:vertAlign w:val="superscript"/>
          <w:rtl/>
        </w:rPr>
        <w:footnoteReference w:id="3513"/>
      </w:r>
      <w:r w:rsidRPr="0025250D">
        <w:rPr>
          <w:rtl/>
        </w:rPr>
        <w:t>، 2011</w:t>
      </w:r>
    </w:p>
    <w:p w14:paraId="1EDCAB68" w14:textId="5F33FF92" w:rsidR="0037616D" w:rsidRPr="0025250D" w:rsidRDefault="0037616D" w:rsidP="00492C47">
      <w:pPr>
        <w:numPr>
          <w:ilvl w:val="0"/>
          <w:numId w:val="81"/>
        </w:numPr>
        <w:rPr>
          <w:rtl/>
        </w:rPr>
      </w:pPr>
      <w:r w:rsidRPr="0025250D">
        <w:rPr>
          <w:rtl/>
        </w:rPr>
        <w:t>نورها</w:t>
      </w:r>
      <w:r w:rsidRPr="0025250D">
        <w:rPr>
          <w:rFonts w:hint="cs"/>
          <w:rtl/>
        </w:rPr>
        <w:t>ی</w:t>
      </w:r>
      <w:r w:rsidRPr="0025250D">
        <w:rPr>
          <w:rtl/>
        </w:rPr>
        <w:t xml:space="preserve"> خ</w:t>
      </w:r>
      <w:r w:rsidRPr="0025250D">
        <w:rPr>
          <w:rFonts w:hint="cs"/>
          <w:rtl/>
        </w:rPr>
        <w:t>ی</w:t>
      </w:r>
      <w:r w:rsidRPr="0025250D">
        <w:rPr>
          <w:rFonts w:hint="eastAsia"/>
          <w:rtl/>
        </w:rPr>
        <w:t>ابان</w:t>
      </w:r>
      <w:r w:rsidRPr="0025250D">
        <w:rPr>
          <w:rtl/>
        </w:rPr>
        <w:t xml:space="preserve"> و سا</w:t>
      </w:r>
      <w:r w:rsidRPr="0025250D">
        <w:rPr>
          <w:rFonts w:hint="cs"/>
          <w:rtl/>
        </w:rPr>
        <w:t>ی</w:t>
      </w:r>
      <w:r w:rsidRPr="0025250D">
        <w:rPr>
          <w:rFonts w:hint="eastAsia"/>
          <w:rtl/>
        </w:rPr>
        <w:t>ه</w:t>
      </w:r>
      <w:r w:rsidRPr="0025250D">
        <w:rPr>
          <w:rtl/>
        </w:rPr>
        <w:t xml:space="preserve"> ها: </w:t>
      </w:r>
      <w:r w:rsidRPr="0025250D">
        <w:rPr>
          <w:rFonts w:hint="cs"/>
          <w:rtl/>
        </w:rPr>
        <w:t>ی</w:t>
      </w:r>
      <w:r w:rsidRPr="0025250D">
        <w:rPr>
          <w:rFonts w:hint="eastAsia"/>
          <w:rtl/>
        </w:rPr>
        <w:t>افتن</w:t>
      </w:r>
      <w:r w:rsidRPr="0025250D">
        <w:rPr>
          <w:rtl/>
        </w:rPr>
        <w:t xml:space="preserve"> کل</w:t>
      </w:r>
      <w:r w:rsidRPr="0025250D">
        <w:rPr>
          <w:rFonts w:hint="cs"/>
          <w:rtl/>
        </w:rPr>
        <w:t>ی</w:t>
      </w:r>
      <w:r w:rsidRPr="0025250D">
        <w:rPr>
          <w:rFonts w:hint="eastAsia"/>
          <w:rtl/>
        </w:rPr>
        <w:t>دها</w:t>
      </w:r>
      <w:r w:rsidRPr="0025250D">
        <w:rPr>
          <w:rFonts w:hint="cs"/>
          <w:rtl/>
        </w:rPr>
        <w:t>یی</w:t>
      </w:r>
      <w:r w:rsidRPr="0025250D">
        <w:rPr>
          <w:rtl/>
        </w:rPr>
        <w:t xml:space="preserve"> برا</w:t>
      </w:r>
      <w:r w:rsidRPr="0025250D">
        <w:rPr>
          <w:rFonts w:hint="cs"/>
          <w:rtl/>
        </w:rPr>
        <w:t>ی</w:t>
      </w:r>
      <w:r w:rsidRPr="0025250D">
        <w:rPr>
          <w:rtl/>
        </w:rPr>
        <w:t xml:space="preserve"> </w:t>
      </w:r>
      <w:r w:rsidR="0008779C" w:rsidRPr="0025250D">
        <w:rPr>
          <w:rtl/>
        </w:rPr>
        <w:t>تصمیم‌گیری</w:t>
      </w:r>
      <w:r w:rsidRPr="0025250D">
        <w:rPr>
          <w:rtl/>
        </w:rPr>
        <w:t xml:space="preserve"> </w:t>
      </w:r>
      <w:r w:rsidR="00B124DE" w:rsidRPr="0025250D">
        <w:rPr>
          <w:rtl/>
        </w:rPr>
        <w:t>انطباق‌پذیر</w:t>
      </w:r>
      <w:r w:rsidRPr="0025250D">
        <w:rPr>
          <w:rFonts w:hint="eastAsia"/>
          <w:rtl/>
        </w:rPr>
        <w:t>،</w:t>
      </w:r>
      <w:r w:rsidRPr="0025250D">
        <w:rPr>
          <w:rtl/>
        </w:rPr>
        <w:t xml:space="preserve"> گر</w:t>
      </w:r>
      <w:r w:rsidRPr="0025250D">
        <w:rPr>
          <w:rFonts w:hint="cs"/>
          <w:rtl/>
        </w:rPr>
        <w:t>ی</w:t>
      </w:r>
      <w:r w:rsidRPr="0025250D">
        <w:rPr>
          <w:rtl/>
        </w:rPr>
        <w:t xml:space="preserve"> کل</w:t>
      </w:r>
      <w:r w:rsidRPr="0025250D">
        <w:rPr>
          <w:rFonts w:hint="cs"/>
          <w:rtl/>
        </w:rPr>
        <w:t>ی</w:t>
      </w:r>
      <w:r w:rsidRPr="0025250D">
        <w:rPr>
          <w:rFonts w:hint="eastAsia"/>
          <w:rtl/>
        </w:rPr>
        <w:t>ن</w:t>
      </w:r>
      <w:r w:rsidRPr="0025250D">
        <w:rPr>
          <w:vertAlign w:val="superscript"/>
          <w:rtl/>
        </w:rPr>
        <w:footnoteReference w:id="3514"/>
      </w:r>
      <w:r w:rsidRPr="0025250D">
        <w:rPr>
          <w:rFonts w:hint="eastAsia"/>
          <w:rtl/>
        </w:rPr>
        <w:t>،</w:t>
      </w:r>
      <w:r w:rsidRPr="0025250D">
        <w:rPr>
          <w:rtl/>
        </w:rPr>
        <w:t xml:space="preserve"> 2011</w:t>
      </w:r>
    </w:p>
    <w:p w14:paraId="12A86A95" w14:textId="77777777" w:rsidR="0037616D" w:rsidRPr="0025250D" w:rsidRDefault="0037616D" w:rsidP="00492C47">
      <w:pPr>
        <w:numPr>
          <w:ilvl w:val="0"/>
          <w:numId w:val="81"/>
        </w:numPr>
        <w:rPr>
          <w:rtl/>
        </w:rPr>
      </w:pPr>
      <w:r w:rsidRPr="0025250D">
        <w:rPr>
          <w:rtl/>
        </w:rPr>
        <w:t>رهبر</w:t>
      </w:r>
      <w:r w:rsidRPr="0025250D">
        <w:rPr>
          <w:rFonts w:hint="cs"/>
          <w:rtl/>
        </w:rPr>
        <w:t>ی</w:t>
      </w:r>
      <w:r w:rsidRPr="0025250D">
        <w:rPr>
          <w:rtl/>
        </w:rPr>
        <w:t xml:space="preserve"> مبتن</w:t>
      </w:r>
      <w:r w:rsidRPr="0025250D">
        <w:rPr>
          <w:rFonts w:hint="cs"/>
          <w:rtl/>
        </w:rPr>
        <w:t>ی</w:t>
      </w:r>
      <w:r w:rsidRPr="0025250D">
        <w:rPr>
          <w:rtl/>
        </w:rPr>
        <w:t xml:space="preserve"> بر نقاط قوت، تام راث و بر</w:t>
      </w:r>
      <w:r w:rsidRPr="0025250D">
        <w:rPr>
          <w:rFonts w:hint="cs"/>
          <w:rtl/>
        </w:rPr>
        <w:t>ی</w:t>
      </w:r>
      <w:r w:rsidRPr="0025250D">
        <w:rPr>
          <w:rtl/>
        </w:rPr>
        <w:t xml:space="preserve"> کانچ</w:t>
      </w:r>
      <w:r w:rsidRPr="0025250D">
        <w:rPr>
          <w:rFonts w:hint="cs"/>
          <w:rtl/>
        </w:rPr>
        <w:t>ی</w:t>
      </w:r>
      <w:r w:rsidRPr="0025250D">
        <w:rPr>
          <w:vertAlign w:val="superscript"/>
          <w:rtl/>
        </w:rPr>
        <w:footnoteReference w:id="3515"/>
      </w:r>
      <w:r w:rsidRPr="0025250D">
        <w:rPr>
          <w:rFonts w:hint="eastAsia"/>
          <w:rtl/>
        </w:rPr>
        <w:t>،</w:t>
      </w:r>
      <w:r w:rsidRPr="0025250D">
        <w:rPr>
          <w:rtl/>
        </w:rPr>
        <w:t xml:space="preserve"> 2009</w:t>
      </w:r>
    </w:p>
    <w:p w14:paraId="620D99A3" w14:textId="5D173211" w:rsidR="0037616D" w:rsidRPr="0025250D" w:rsidRDefault="0037616D" w:rsidP="00492C47">
      <w:pPr>
        <w:numPr>
          <w:ilvl w:val="0"/>
          <w:numId w:val="81"/>
        </w:numPr>
        <w:rPr>
          <w:rtl/>
        </w:rPr>
      </w:pPr>
      <w:r w:rsidRPr="0025250D">
        <w:rPr>
          <w:rtl/>
        </w:rPr>
        <w:t xml:space="preserve">ابر </w:t>
      </w:r>
      <w:r w:rsidR="00D92F6E" w:rsidRPr="0025250D">
        <w:rPr>
          <w:rtl/>
        </w:rPr>
        <w:t>پیش‌بین</w:t>
      </w:r>
      <w:r w:rsidRPr="0025250D">
        <w:rPr>
          <w:rFonts w:hint="cs"/>
          <w:rtl/>
        </w:rPr>
        <w:t>ی</w:t>
      </w:r>
      <w:r w:rsidRPr="0025250D">
        <w:rPr>
          <w:rtl/>
        </w:rPr>
        <w:t xml:space="preserve">: هنر و علم </w:t>
      </w:r>
      <w:r w:rsidR="00D92F6E" w:rsidRPr="0025250D">
        <w:rPr>
          <w:rtl/>
        </w:rPr>
        <w:t>پیش‌بین</w:t>
      </w:r>
      <w:r w:rsidRPr="0025250D">
        <w:rPr>
          <w:rFonts w:hint="cs"/>
          <w:rtl/>
        </w:rPr>
        <w:t>ی</w:t>
      </w:r>
      <w:r w:rsidRPr="0025250D">
        <w:rPr>
          <w:rFonts w:hint="eastAsia"/>
          <w:rtl/>
        </w:rPr>
        <w:t>،</w:t>
      </w:r>
      <w:r w:rsidRPr="0025250D">
        <w:rPr>
          <w:rtl/>
        </w:rPr>
        <w:t xml:space="preserve"> ف</w:t>
      </w:r>
      <w:r w:rsidRPr="0025250D">
        <w:rPr>
          <w:rFonts w:hint="cs"/>
          <w:rtl/>
        </w:rPr>
        <w:t>ی</w:t>
      </w:r>
      <w:r w:rsidRPr="0025250D">
        <w:rPr>
          <w:rFonts w:hint="eastAsia"/>
          <w:rtl/>
        </w:rPr>
        <w:t>ل</w:t>
      </w:r>
      <w:r w:rsidRPr="0025250D">
        <w:rPr>
          <w:rFonts w:hint="cs"/>
          <w:rtl/>
        </w:rPr>
        <w:t>ی</w:t>
      </w:r>
      <w:r w:rsidRPr="0025250D">
        <w:rPr>
          <w:rFonts w:hint="eastAsia"/>
          <w:rtl/>
        </w:rPr>
        <w:t>پ</w:t>
      </w:r>
      <w:r w:rsidRPr="0025250D">
        <w:rPr>
          <w:rtl/>
        </w:rPr>
        <w:t xml:space="preserve"> تتلاک و دن گاردنر</w:t>
      </w:r>
      <w:r w:rsidRPr="0025250D">
        <w:rPr>
          <w:vertAlign w:val="superscript"/>
          <w:rtl/>
        </w:rPr>
        <w:footnoteReference w:id="3516"/>
      </w:r>
      <w:r w:rsidRPr="0025250D">
        <w:rPr>
          <w:rtl/>
        </w:rPr>
        <w:t>، 2015</w:t>
      </w:r>
    </w:p>
    <w:p w14:paraId="3ECBF54E" w14:textId="7BB67261" w:rsidR="0037616D" w:rsidRPr="0025250D" w:rsidRDefault="0037616D" w:rsidP="00492C47">
      <w:pPr>
        <w:numPr>
          <w:ilvl w:val="0"/>
          <w:numId w:val="81"/>
        </w:numPr>
        <w:rPr>
          <w:rtl/>
        </w:rPr>
      </w:pPr>
      <w:r w:rsidRPr="0025250D">
        <w:rPr>
          <w:rtl/>
        </w:rPr>
        <w:t xml:space="preserve">تفکر </w:t>
      </w:r>
      <w:r w:rsidR="008D6F97" w:rsidRPr="0025250D">
        <w:rPr>
          <w:rtl/>
        </w:rPr>
        <w:t>سامانه‌ای</w:t>
      </w:r>
      <w:r w:rsidRPr="0025250D">
        <w:rPr>
          <w:rtl/>
        </w:rPr>
        <w:t xml:space="preserve"> برا</w:t>
      </w:r>
      <w:r w:rsidRPr="0025250D">
        <w:rPr>
          <w:rFonts w:hint="cs"/>
          <w:rtl/>
        </w:rPr>
        <w:t>ی</w:t>
      </w:r>
      <w:r w:rsidRPr="0025250D">
        <w:rPr>
          <w:rtl/>
        </w:rPr>
        <w:t xml:space="preserve"> مد</w:t>
      </w:r>
      <w:r w:rsidRPr="0025250D">
        <w:rPr>
          <w:rFonts w:hint="cs"/>
          <w:rtl/>
        </w:rPr>
        <w:t>ی</w:t>
      </w:r>
      <w:r w:rsidRPr="0025250D">
        <w:rPr>
          <w:rFonts w:hint="eastAsia"/>
          <w:rtl/>
        </w:rPr>
        <w:t>ران</w:t>
      </w:r>
      <w:r w:rsidRPr="0025250D">
        <w:rPr>
          <w:rtl/>
        </w:rPr>
        <w:t xml:space="preserve"> کنجکاو، اکوف و اد</w:t>
      </w:r>
      <w:r w:rsidRPr="0025250D">
        <w:rPr>
          <w:rFonts w:hint="cs"/>
          <w:rtl/>
        </w:rPr>
        <w:t>ی</w:t>
      </w:r>
      <w:r w:rsidRPr="0025250D">
        <w:rPr>
          <w:rFonts w:hint="eastAsia"/>
          <w:rtl/>
        </w:rPr>
        <w:t>سون</w:t>
      </w:r>
      <w:r w:rsidRPr="0025250D">
        <w:rPr>
          <w:vertAlign w:val="superscript"/>
          <w:rtl/>
        </w:rPr>
        <w:footnoteReference w:id="3517"/>
      </w:r>
      <w:r w:rsidRPr="0025250D">
        <w:rPr>
          <w:rFonts w:hint="eastAsia"/>
          <w:rtl/>
        </w:rPr>
        <w:t>،</w:t>
      </w:r>
      <w:r w:rsidRPr="0025250D">
        <w:rPr>
          <w:rtl/>
        </w:rPr>
        <w:t xml:space="preserve"> 2010.</w:t>
      </w:r>
    </w:p>
    <w:p w14:paraId="318E8B2D" w14:textId="77777777" w:rsidR="0037616D" w:rsidRPr="0025250D" w:rsidRDefault="0037616D" w:rsidP="00492C47">
      <w:pPr>
        <w:numPr>
          <w:ilvl w:val="0"/>
          <w:numId w:val="81"/>
        </w:numPr>
        <w:rPr>
          <w:rtl/>
        </w:rPr>
      </w:pPr>
      <w:r w:rsidRPr="0025250D">
        <w:rPr>
          <w:rtl/>
        </w:rPr>
        <w:t>آموزش درباره آ</w:t>
      </w:r>
      <w:r w:rsidRPr="0025250D">
        <w:rPr>
          <w:rFonts w:hint="cs"/>
          <w:rtl/>
        </w:rPr>
        <w:t>ی</w:t>
      </w:r>
      <w:r w:rsidRPr="0025250D">
        <w:rPr>
          <w:rFonts w:hint="eastAsia"/>
          <w:rtl/>
        </w:rPr>
        <w:t>نده،</w:t>
      </w:r>
      <w:r w:rsidRPr="0025250D">
        <w:rPr>
          <w:rtl/>
        </w:rPr>
        <w:t xml:space="preserve"> پ</w:t>
      </w:r>
      <w:r w:rsidRPr="0025250D">
        <w:rPr>
          <w:rFonts w:hint="cs"/>
          <w:rtl/>
        </w:rPr>
        <w:t>ی</w:t>
      </w:r>
      <w:r w:rsidRPr="0025250D">
        <w:rPr>
          <w:rFonts w:hint="eastAsia"/>
          <w:rtl/>
        </w:rPr>
        <w:t>تر</w:t>
      </w:r>
      <w:r w:rsidRPr="0025250D">
        <w:rPr>
          <w:rtl/>
        </w:rPr>
        <w:t xml:space="preserve"> ب</w:t>
      </w:r>
      <w:r w:rsidRPr="0025250D">
        <w:rPr>
          <w:rFonts w:hint="cs"/>
          <w:rtl/>
        </w:rPr>
        <w:t>ی</w:t>
      </w:r>
      <w:r w:rsidRPr="0025250D">
        <w:rPr>
          <w:rFonts w:hint="eastAsia"/>
          <w:rtl/>
        </w:rPr>
        <w:t>شاپ</w:t>
      </w:r>
      <w:r w:rsidRPr="0025250D">
        <w:rPr>
          <w:rtl/>
        </w:rPr>
        <w:t xml:space="preserve"> و اند</w:t>
      </w:r>
      <w:r w:rsidRPr="0025250D">
        <w:rPr>
          <w:rFonts w:hint="cs"/>
          <w:rtl/>
        </w:rPr>
        <w:t>ی</w:t>
      </w:r>
      <w:r w:rsidRPr="0025250D">
        <w:rPr>
          <w:rtl/>
        </w:rPr>
        <w:t xml:space="preserve"> ها</w:t>
      </w:r>
      <w:r w:rsidRPr="0025250D">
        <w:rPr>
          <w:rFonts w:hint="cs"/>
          <w:rtl/>
        </w:rPr>
        <w:t>ی</w:t>
      </w:r>
      <w:r w:rsidRPr="0025250D">
        <w:rPr>
          <w:rFonts w:hint="eastAsia"/>
          <w:rtl/>
        </w:rPr>
        <w:t>نز</w:t>
      </w:r>
      <w:r w:rsidRPr="0025250D">
        <w:rPr>
          <w:vertAlign w:val="superscript"/>
          <w:rtl/>
        </w:rPr>
        <w:footnoteReference w:id="3518"/>
      </w:r>
      <w:r w:rsidRPr="0025250D">
        <w:rPr>
          <w:rFonts w:hint="eastAsia"/>
          <w:rtl/>
        </w:rPr>
        <w:t>،</w:t>
      </w:r>
      <w:r w:rsidRPr="0025250D">
        <w:rPr>
          <w:rtl/>
        </w:rPr>
        <w:t xml:space="preserve"> 2012</w:t>
      </w:r>
    </w:p>
    <w:p w14:paraId="447E0F05" w14:textId="77777777" w:rsidR="0037616D" w:rsidRPr="0025250D" w:rsidRDefault="0037616D" w:rsidP="00492C47">
      <w:pPr>
        <w:numPr>
          <w:ilvl w:val="0"/>
          <w:numId w:val="81"/>
        </w:numPr>
        <w:rPr>
          <w:rtl/>
        </w:rPr>
      </w:pPr>
      <w:r w:rsidRPr="0025250D">
        <w:rPr>
          <w:rtl/>
        </w:rPr>
        <w:t>فناور</w:t>
      </w:r>
      <w:r w:rsidRPr="0025250D">
        <w:rPr>
          <w:rFonts w:hint="cs"/>
          <w:rtl/>
        </w:rPr>
        <w:t>ی</w:t>
      </w:r>
      <w:r w:rsidRPr="0025250D">
        <w:rPr>
          <w:rtl/>
        </w:rPr>
        <w:t xml:space="preserve"> و آ</w:t>
      </w:r>
      <w:r w:rsidRPr="0025250D">
        <w:rPr>
          <w:rFonts w:hint="cs"/>
          <w:rtl/>
        </w:rPr>
        <w:t>ی</w:t>
      </w:r>
      <w:r w:rsidRPr="0025250D">
        <w:rPr>
          <w:rFonts w:hint="eastAsia"/>
          <w:rtl/>
        </w:rPr>
        <w:t>نده</w:t>
      </w:r>
      <w:r w:rsidRPr="0025250D">
        <w:rPr>
          <w:rtl/>
        </w:rPr>
        <w:t>: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تغ</w:t>
      </w:r>
      <w:r w:rsidRPr="0025250D">
        <w:rPr>
          <w:rFonts w:hint="cs"/>
          <w:rtl/>
        </w:rPr>
        <w:t>یی</w:t>
      </w:r>
      <w:r w:rsidRPr="0025250D">
        <w:rPr>
          <w:rFonts w:hint="eastAsia"/>
          <w:rtl/>
        </w:rPr>
        <w:t>ر</w:t>
      </w:r>
      <w:r w:rsidRPr="0025250D">
        <w:rPr>
          <w:rtl/>
        </w:rPr>
        <w:t xml:space="preserve"> و نوآور</w:t>
      </w:r>
      <w:r w:rsidRPr="0025250D">
        <w:rPr>
          <w:rFonts w:hint="cs"/>
          <w:rtl/>
        </w:rPr>
        <w:t>ی</w:t>
      </w:r>
      <w:r w:rsidRPr="0025250D">
        <w:rPr>
          <w:rFonts w:hint="eastAsia"/>
          <w:rtl/>
        </w:rPr>
        <w:t>،</w:t>
      </w:r>
      <w:r w:rsidRPr="0025250D">
        <w:rPr>
          <w:rtl/>
        </w:rPr>
        <w:t xml:space="preserve"> پ</w:t>
      </w:r>
      <w:r w:rsidRPr="0025250D">
        <w:rPr>
          <w:rFonts w:hint="cs"/>
          <w:rtl/>
        </w:rPr>
        <w:t>ی</w:t>
      </w:r>
      <w:r w:rsidRPr="0025250D">
        <w:rPr>
          <w:rFonts w:hint="eastAsia"/>
          <w:rtl/>
        </w:rPr>
        <w:t>تر</w:t>
      </w:r>
      <w:r w:rsidRPr="0025250D">
        <w:rPr>
          <w:rtl/>
        </w:rPr>
        <w:t xml:space="preserve"> فون استاکلبرگ</w:t>
      </w:r>
      <w:r w:rsidRPr="0025250D">
        <w:rPr>
          <w:vertAlign w:val="superscript"/>
          <w:rtl/>
        </w:rPr>
        <w:footnoteReference w:id="3519"/>
      </w:r>
      <w:r w:rsidRPr="0025250D">
        <w:rPr>
          <w:rtl/>
        </w:rPr>
        <w:t>، 2014</w:t>
      </w:r>
    </w:p>
    <w:p w14:paraId="33130C35" w14:textId="77777777" w:rsidR="0037616D" w:rsidRPr="0025250D" w:rsidRDefault="0037616D" w:rsidP="00492C47">
      <w:pPr>
        <w:numPr>
          <w:ilvl w:val="0"/>
          <w:numId w:val="81"/>
        </w:numPr>
        <w:rPr>
          <w:rtl/>
        </w:rPr>
      </w:pPr>
      <w:r w:rsidRPr="0025250D">
        <w:rPr>
          <w:rtl/>
        </w:rPr>
        <w:t>مد</w:t>
      </w:r>
      <w:r w:rsidRPr="0025250D">
        <w:rPr>
          <w:rFonts w:hint="cs"/>
          <w:rtl/>
        </w:rPr>
        <w:t>ی</w:t>
      </w:r>
      <w:r w:rsidRPr="0025250D">
        <w:rPr>
          <w:rFonts w:hint="eastAsia"/>
          <w:rtl/>
        </w:rPr>
        <w:t>ر</w:t>
      </w:r>
      <w:r w:rsidRPr="0025250D">
        <w:rPr>
          <w:rtl/>
        </w:rPr>
        <w:t xml:space="preserve"> 80/20: راز کمتر کار کردن و دست</w:t>
      </w:r>
      <w:r w:rsidRPr="0025250D">
        <w:rPr>
          <w:rFonts w:hint="cs"/>
          <w:rtl/>
        </w:rPr>
        <w:t>ی</w:t>
      </w:r>
      <w:r w:rsidRPr="0025250D">
        <w:rPr>
          <w:rFonts w:hint="eastAsia"/>
          <w:rtl/>
        </w:rPr>
        <w:t>اب</w:t>
      </w:r>
      <w:r w:rsidRPr="0025250D">
        <w:rPr>
          <w:rFonts w:hint="cs"/>
          <w:rtl/>
        </w:rPr>
        <w:t>ی</w:t>
      </w:r>
      <w:r w:rsidRPr="0025250D">
        <w:rPr>
          <w:rtl/>
        </w:rPr>
        <w:t xml:space="preserve"> به ب</w:t>
      </w:r>
      <w:r w:rsidRPr="0025250D">
        <w:rPr>
          <w:rFonts w:hint="cs"/>
          <w:rtl/>
        </w:rPr>
        <w:t>ی</w:t>
      </w:r>
      <w:r w:rsidRPr="0025250D">
        <w:rPr>
          <w:rFonts w:hint="eastAsia"/>
          <w:rtl/>
        </w:rPr>
        <w:t>شتر،</w:t>
      </w:r>
      <w:r w:rsidRPr="0025250D">
        <w:rPr>
          <w:rtl/>
        </w:rPr>
        <w:t xml:space="preserve"> ر</w:t>
      </w:r>
      <w:r w:rsidRPr="0025250D">
        <w:rPr>
          <w:rFonts w:hint="cs"/>
          <w:rtl/>
        </w:rPr>
        <w:t>ی</w:t>
      </w:r>
      <w:r w:rsidRPr="0025250D">
        <w:rPr>
          <w:rFonts w:hint="eastAsia"/>
          <w:rtl/>
        </w:rPr>
        <w:t>چارد</w:t>
      </w:r>
      <w:r w:rsidRPr="0025250D">
        <w:rPr>
          <w:rtl/>
        </w:rPr>
        <w:t xml:space="preserve"> کخ</w:t>
      </w:r>
      <w:r w:rsidRPr="0025250D">
        <w:rPr>
          <w:vertAlign w:val="superscript"/>
          <w:rtl/>
        </w:rPr>
        <w:footnoteReference w:id="3520"/>
      </w:r>
      <w:r w:rsidRPr="0025250D">
        <w:rPr>
          <w:rtl/>
        </w:rPr>
        <w:t>، 2013</w:t>
      </w:r>
    </w:p>
    <w:p w14:paraId="7CC81B7A" w14:textId="77777777" w:rsidR="0037616D" w:rsidRPr="0025250D" w:rsidRDefault="0037616D" w:rsidP="00492C47">
      <w:pPr>
        <w:numPr>
          <w:ilvl w:val="0"/>
          <w:numId w:val="81"/>
        </w:numPr>
        <w:rPr>
          <w:rtl/>
        </w:rPr>
      </w:pPr>
      <w:r w:rsidRPr="0025250D">
        <w:rPr>
          <w:rtl/>
        </w:rPr>
        <w:t>اصل 80/20: راز دست</w:t>
      </w:r>
      <w:r w:rsidRPr="0025250D">
        <w:rPr>
          <w:rFonts w:hint="cs"/>
          <w:rtl/>
        </w:rPr>
        <w:t>ی</w:t>
      </w:r>
      <w:r w:rsidRPr="0025250D">
        <w:rPr>
          <w:rFonts w:hint="eastAsia"/>
          <w:rtl/>
        </w:rPr>
        <w:t>اب</w:t>
      </w:r>
      <w:r w:rsidRPr="0025250D">
        <w:rPr>
          <w:rFonts w:hint="cs"/>
          <w:rtl/>
        </w:rPr>
        <w:t>ی</w:t>
      </w:r>
      <w:r w:rsidRPr="0025250D">
        <w:rPr>
          <w:rtl/>
        </w:rPr>
        <w:t xml:space="preserve"> به ب</w:t>
      </w:r>
      <w:r w:rsidRPr="0025250D">
        <w:rPr>
          <w:rFonts w:hint="cs"/>
          <w:rtl/>
        </w:rPr>
        <w:t>ی</w:t>
      </w:r>
      <w:r w:rsidRPr="0025250D">
        <w:rPr>
          <w:rFonts w:hint="eastAsia"/>
          <w:rtl/>
        </w:rPr>
        <w:t>شتر</w:t>
      </w:r>
      <w:r w:rsidRPr="0025250D">
        <w:rPr>
          <w:rtl/>
        </w:rPr>
        <w:t xml:space="preserve"> با کمتر، ر</w:t>
      </w:r>
      <w:r w:rsidRPr="0025250D">
        <w:rPr>
          <w:rFonts w:hint="cs"/>
          <w:rtl/>
        </w:rPr>
        <w:t>ی</w:t>
      </w:r>
      <w:r w:rsidRPr="0025250D">
        <w:rPr>
          <w:rFonts w:hint="eastAsia"/>
          <w:rtl/>
        </w:rPr>
        <w:t>چارد</w:t>
      </w:r>
      <w:r w:rsidRPr="0025250D">
        <w:rPr>
          <w:rtl/>
        </w:rPr>
        <w:t xml:space="preserve"> کخ</w:t>
      </w:r>
      <w:r w:rsidRPr="0025250D">
        <w:rPr>
          <w:vertAlign w:val="superscript"/>
          <w:rtl/>
        </w:rPr>
        <w:footnoteReference w:id="3521"/>
      </w:r>
      <w:r w:rsidRPr="0025250D">
        <w:rPr>
          <w:rtl/>
        </w:rPr>
        <w:t>، 1999</w:t>
      </w:r>
    </w:p>
    <w:p w14:paraId="23D30970" w14:textId="77777777" w:rsidR="0037616D" w:rsidRPr="0025250D" w:rsidRDefault="0037616D" w:rsidP="00492C47">
      <w:pPr>
        <w:numPr>
          <w:ilvl w:val="0"/>
          <w:numId w:val="81"/>
        </w:numPr>
        <w:rPr>
          <w:rtl/>
        </w:rPr>
      </w:pPr>
      <w:r w:rsidRPr="0025250D">
        <w:rPr>
          <w:rtl/>
        </w:rPr>
        <w:t>هنر حدس و گمان، برتراند دو ژوونل</w:t>
      </w:r>
      <w:r w:rsidRPr="0025250D">
        <w:rPr>
          <w:vertAlign w:val="superscript"/>
          <w:rtl/>
        </w:rPr>
        <w:footnoteReference w:id="3522"/>
      </w:r>
      <w:r w:rsidRPr="0025250D">
        <w:rPr>
          <w:rtl/>
        </w:rPr>
        <w:t>، 1967</w:t>
      </w:r>
    </w:p>
    <w:p w14:paraId="721DD9BD" w14:textId="354FDD88" w:rsidR="0037616D" w:rsidRPr="0025250D" w:rsidRDefault="0037616D" w:rsidP="00492C47">
      <w:pPr>
        <w:numPr>
          <w:ilvl w:val="0"/>
          <w:numId w:val="81"/>
        </w:numPr>
        <w:rPr>
          <w:rtl/>
        </w:rPr>
      </w:pPr>
      <w:r w:rsidRPr="0025250D">
        <w:rPr>
          <w:rtl/>
        </w:rPr>
        <w:t xml:space="preserve">هنر نگاه </w:t>
      </w:r>
      <w:r w:rsidRPr="0025250D">
        <w:rPr>
          <w:rFonts w:hint="cs"/>
          <w:rtl/>
        </w:rPr>
        <w:t>دوربرد</w:t>
      </w:r>
      <w:r w:rsidRPr="0025250D">
        <w:rPr>
          <w:rtl/>
        </w:rPr>
        <w:t xml:space="preserve">: </w:t>
      </w:r>
      <w:r w:rsidR="00B124DE" w:rsidRPr="0025250D">
        <w:rPr>
          <w:rtl/>
        </w:rPr>
        <w:t>برنامه‌ریزی</w:t>
      </w:r>
      <w:r w:rsidRPr="0025250D">
        <w:rPr>
          <w:rtl/>
        </w:rPr>
        <w:t xml:space="preserve"> برا</w:t>
      </w:r>
      <w:r w:rsidRPr="0025250D">
        <w:rPr>
          <w:rFonts w:hint="cs"/>
          <w:rtl/>
        </w:rPr>
        <w:t>ی</w:t>
      </w:r>
      <w:r w:rsidRPr="0025250D">
        <w:rPr>
          <w:rtl/>
        </w:rPr>
        <w:t xml:space="preserve"> آ</w:t>
      </w:r>
      <w:r w:rsidRPr="0025250D">
        <w:rPr>
          <w:rFonts w:hint="cs"/>
          <w:rtl/>
        </w:rPr>
        <w:t>ی</w:t>
      </w:r>
      <w:r w:rsidRPr="0025250D">
        <w:rPr>
          <w:rFonts w:hint="eastAsia"/>
          <w:rtl/>
        </w:rPr>
        <w:t>نده</w:t>
      </w:r>
      <w:r w:rsidRPr="0025250D">
        <w:rPr>
          <w:rtl/>
        </w:rPr>
        <w:t xml:space="preserve"> در دن</w:t>
      </w:r>
      <w:r w:rsidRPr="0025250D">
        <w:rPr>
          <w:rFonts w:hint="cs"/>
          <w:rtl/>
        </w:rPr>
        <w:t>ی</w:t>
      </w:r>
      <w:r w:rsidRPr="0025250D">
        <w:rPr>
          <w:rFonts w:hint="eastAsia"/>
          <w:rtl/>
        </w:rPr>
        <w:t>ا</w:t>
      </w:r>
      <w:r w:rsidRPr="0025250D">
        <w:rPr>
          <w:rFonts w:hint="cs"/>
          <w:rtl/>
        </w:rPr>
        <w:t>ی</w:t>
      </w:r>
      <w:r w:rsidRPr="0025250D">
        <w:rPr>
          <w:rtl/>
        </w:rPr>
        <w:t xml:space="preserve"> نامشخص، پ</w:t>
      </w:r>
      <w:r w:rsidRPr="0025250D">
        <w:rPr>
          <w:rFonts w:hint="cs"/>
          <w:rtl/>
        </w:rPr>
        <w:t>ی</w:t>
      </w:r>
      <w:r w:rsidRPr="0025250D">
        <w:rPr>
          <w:rFonts w:hint="eastAsia"/>
          <w:rtl/>
        </w:rPr>
        <w:t>تر</w:t>
      </w:r>
      <w:r w:rsidRPr="0025250D">
        <w:rPr>
          <w:rtl/>
        </w:rPr>
        <w:t xml:space="preserve"> شوارد</w:t>
      </w:r>
      <w:r w:rsidRPr="0025250D">
        <w:rPr>
          <w:vertAlign w:val="superscript"/>
          <w:rtl/>
        </w:rPr>
        <w:footnoteReference w:id="3523"/>
      </w:r>
      <w:r w:rsidRPr="0025250D">
        <w:rPr>
          <w:rtl/>
        </w:rPr>
        <w:t>، 1996</w:t>
      </w:r>
    </w:p>
    <w:p w14:paraId="7E370F82" w14:textId="536A73E2" w:rsidR="0037616D" w:rsidRPr="0025250D" w:rsidRDefault="00FB6A7E" w:rsidP="00492C47">
      <w:pPr>
        <w:numPr>
          <w:ilvl w:val="0"/>
          <w:numId w:val="81"/>
        </w:numPr>
        <w:rPr>
          <w:rtl/>
        </w:rPr>
      </w:pPr>
      <w:r w:rsidRPr="0025250D">
        <w:rPr>
          <w:rtl/>
        </w:rPr>
        <w:t>پیش‌نگری</w:t>
      </w:r>
      <w:r w:rsidR="0037616D" w:rsidRPr="0025250D">
        <w:rPr>
          <w:rtl/>
        </w:rPr>
        <w:t xml:space="preserve"> </w:t>
      </w:r>
      <w:r w:rsidR="00B124DE" w:rsidRPr="0025250D">
        <w:rPr>
          <w:rtl/>
        </w:rPr>
        <w:t>کسب‌و‌کار</w:t>
      </w:r>
      <w:r w:rsidR="0037616D" w:rsidRPr="0025250D">
        <w:rPr>
          <w:rtl/>
        </w:rPr>
        <w:t>، ما</w:t>
      </w:r>
      <w:r w:rsidR="0037616D" w:rsidRPr="0025250D">
        <w:rPr>
          <w:rFonts w:hint="cs"/>
          <w:rtl/>
        </w:rPr>
        <w:t>ی</w:t>
      </w:r>
      <w:r w:rsidR="0037616D" w:rsidRPr="0025250D">
        <w:rPr>
          <w:rFonts w:hint="eastAsia"/>
          <w:rtl/>
        </w:rPr>
        <w:t>کل</w:t>
      </w:r>
      <w:r w:rsidR="0037616D" w:rsidRPr="0025250D">
        <w:rPr>
          <w:rtl/>
        </w:rPr>
        <w:t xml:space="preserve"> گ</w:t>
      </w:r>
      <w:r w:rsidR="0037616D" w:rsidRPr="0025250D">
        <w:rPr>
          <w:rFonts w:hint="cs"/>
          <w:rtl/>
        </w:rPr>
        <w:t>ی</w:t>
      </w:r>
      <w:r w:rsidR="0037616D" w:rsidRPr="0025250D">
        <w:rPr>
          <w:rFonts w:hint="eastAsia"/>
          <w:rtl/>
        </w:rPr>
        <w:t>ل</w:t>
      </w:r>
      <w:r w:rsidR="0037616D" w:rsidRPr="0025250D">
        <w:rPr>
          <w:rFonts w:hint="cs"/>
          <w:rtl/>
        </w:rPr>
        <w:t>ی</w:t>
      </w:r>
      <w:r w:rsidR="0037616D" w:rsidRPr="0025250D">
        <w:rPr>
          <w:rFonts w:hint="eastAsia"/>
          <w:rtl/>
        </w:rPr>
        <w:t>لند</w:t>
      </w:r>
      <w:r w:rsidR="0037616D" w:rsidRPr="0025250D">
        <w:rPr>
          <w:vertAlign w:val="superscript"/>
          <w:rtl/>
        </w:rPr>
        <w:footnoteReference w:id="3524"/>
      </w:r>
      <w:r w:rsidR="0037616D" w:rsidRPr="0025250D">
        <w:rPr>
          <w:rFonts w:hint="eastAsia"/>
          <w:rtl/>
        </w:rPr>
        <w:t>،</w:t>
      </w:r>
      <w:r w:rsidR="0037616D" w:rsidRPr="0025250D">
        <w:rPr>
          <w:rtl/>
        </w:rPr>
        <w:t xml:space="preserve"> 2010</w:t>
      </w:r>
    </w:p>
    <w:p w14:paraId="215AE524" w14:textId="77777777" w:rsidR="0037616D" w:rsidRPr="0025250D" w:rsidRDefault="0037616D" w:rsidP="00492C47">
      <w:pPr>
        <w:numPr>
          <w:ilvl w:val="0"/>
          <w:numId w:val="81"/>
        </w:numPr>
        <w:rPr>
          <w:rtl/>
        </w:rPr>
      </w:pPr>
      <w:r w:rsidRPr="0025250D">
        <w:rPr>
          <w:rtl/>
        </w:rPr>
        <w:t>تفاوت: چگونه تنوع گروه ها، شرکت ها، جوامع بهتر</w:t>
      </w:r>
      <w:r w:rsidRPr="0025250D">
        <w:rPr>
          <w:rFonts w:hint="cs"/>
          <w:rtl/>
        </w:rPr>
        <w:t>ی</w:t>
      </w:r>
      <w:r w:rsidRPr="0025250D">
        <w:rPr>
          <w:rtl/>
        </w:rPr>
        <w:t xml:space="preserve"> را ا</w:t>
      </w:r>
      <w:r w:rsidRPr="0025250D">
        <w:rPr>
          <w:rFonts w:hint="cs"/>
          <w:rtl/>
        </w:rPr>
        <w:t>ی</w:t>
      </w:r>
      <w:r w:rsidRPr="0025250D">
        <w:rPr>
          <w:rFonts w:hint="eastAsia"/>
          <w:rtl/>
        </w:rPr>
        <w:t>جاد</w:t>
      </w:r>
      <w:r w:rsidRPr="0025250D">
        <w:rPr>
          <w:rtl/>
        </w:rPr>
        <w:t xml:space="preserve"> می‌کند، اسکات پ</w:t>
      </w:r>
      <w:r w:rsidRPr="0025250D">
        <w:rPr>
          <w:rFonts w:hint="cs"/>
          <w:rtl/>
        </w:rPr>
        <w:t>ی</w:t>
      </w:r>
      <w:r w:rsidRPr="0025250D">
        <w:rPr>
          <w:rFonts w:hint="eastAsia"/>
          <w:rtl/>
        </w:rPr>
        <w:t>ج</w:t>
      </w:r>
      <w:r w:rsidRPr="0025250D">
        <w:rPr>
          <w:vertAlign w:val="superscript"/>
          <w:rtl/>
        </w:rPr>
        <w:footnoteReference w:id="3525"/>
      </w:r>
      <w:r w:rsidRPr="0025250D">
        <w:rPr>
          <w:rFonts w:hint="eastAsia"/>
          <w:rtl/>
        </w:rPr>
        <w:t>،</w:t>
      </w:r>
      <w:r w:rsidRPr="0025250D">
        <w:rPr>
          <w:rtl/>
        </w:rPr>
        <w:t xml:space="preserve"> 2008.</w:t>
      </w:r>
    </w:p>
    <w:p w14:paraId="371553BF" w14:textId="77777777" w:rsidR="0037616D" w:rsidRPr="0025250D" w:rsidRDefault="0037616D" w:rsidP="00492C47">
      <w:pPr>
        <w:numPr>
          <w:ilvl w:val="0"/>
          <w:numId w:val="81"/>
        </w:numPr>
        <w:rPr>
          <w:rtl/>
        </w:rPr>
      </w:pPr>
      <w:r w:rsidRPr="0025250D">
        <w:rPr>
          <w:rtl/>
        </w:rPr>
        <w:t>مز</w:t>
      </w:r>
      <w:r w:rsidRPr="0025250D">
        <w:rPr>
          <w:rFonts w:hint="cs"/>
          <w:rtl/>
        </w:rPr>
        <w:t>ی</w:t>
      </w:r>
      <w:r w:rsidRPr="0025250D">
        <w:rPr>
          <w:rFonts w:hint="eastAsia"/>
          <w:rtl/>
        </w:rPr>
        <w:t>ت</w:t>
      </w:r>
      <w:r w:rsidRPr="0025250D">
        <w:rPr>
          <w:rtl/>
        </w:rPr>
        <w:t xml:space="preserve"> تجربه کارمند: محل کار، ابزار و فرهنگ، جاکوب مورگان</w:t>
      </w:r>
      <w:r w:rsidRPr="0025250D">
        <w:rPr>
          <w:vertAlign w:val="superscript"/>
          <w:rtl/>
        </w:rPr>
        <w:footnoteReference w:id="3526"/>
      </w:r>
      <w:r w:rsidRPr="0025250D">
        <w:rPr>
          <w:rtl/>
        </w:rPr>
        <w:t>، 2017</w:t>
      </w:r>
    </w:p>
    <w:p w14:paraId="483A8CAB" w14:textId="4FF28178" w:rsidR="0037616D" w:rsidRPr="0025250D" w:rsidRDefault="0037616D" w:rsidP="00492C47">
      <w:pPr>
        <w:numPr>
          <w:ilvl w:val="0"/>
          <w:numId w:val="81"/>
        </w:numPr>
        <w:rPr>
          <w:rtl/>
        </w:rPr>
      </w:pPr>
      <w:r w:rsidRPr="0025250D">
        <w:rPr>
          <w:rtl/>
        </w:rPr>
        <w:t xml:space="preserve">جوهر </w:t>
      </w:r>
      <w:r w:rsidR="007A53FD" w:rsidRPr="0025250D">
        <w:rPr>
          <w:rtl/>
        </w:rPr>
        <w:t>فرانامه</w:t>
      </w:r>
      <w:r w:rsidRPr="0025250D">
        <w:rPr>
          <w:rFonts w:hint="eastAsia"/>
          <w:rtl/>
        </w:rPr>
        <w:t>ها</w:t>
      </w:r>
      <w:r w:rsidRPr="0025250D">
        <w:rPr>
          <w:rtl/>
        </w:rPr>
        <w:t xml:space="preserve">: </w:t>
      </w:r>
      <w:r w:rsidRPr="0025250D">
        <w:rPr>
          <w:rFonts w:hint="cs"/>
          <w:rtl/>
        </w:rPr>
        <w:t>ی</w:t>
      </w:r>
      <w:r w:rsidRPr="0025250D">
        <w:rPr>
          <w:rFonts w:hint="eastAsia"/>
          <w:rtl/>
        </w:rPr>
        <w:t>ادگ</w:t>
      </w:r>
      <w:r w:rsidRPr="0025250D">
        <w:rPr>
          <w:rFonts w:hint="cs"/>
          <w:rtl/>
        </w:rPr>
        <w:t>ی</w:t>
      </w:r>
      <w:r w:rsidRPr="0025250D">
        <w:rPr>
          <w:rFonts w:hint="eastAsia"/>
          <w:rtl/>
        </w:rPr>
        <w:t>ر</w:t>
      </w:r>
      <w:r w:rsidRPr="0025250D">
        <w:rPr>
          <w:rFonts w:hint="cs"/>
          <w:rtl/>
        </w:rPr>
        <w:t>ی</w:t>
      </w:r>
      <w:r w:rsidRPr="0025250D">
        <w:rPr>
          <w:rtl/>
        </w:rPr>
        <w:t xml:space="preserve"> از تجربه شل، و</w:t>
      </w:r>
      <w:r w:rsidRPr="0025250D">
        <w:rPr>
          <w:rFonts w:hint="cs"/>
          <w:rtl/>
        </w:rPr>
        <w:t>ی</w:t>
      </w:r>
      <w:r w:rsidRPr="0025250D">
        <w:rPr>
          <w:rFonts w:hint="eastAsia"/>
          <w:rtl/>
        </w:rPr>
        <w:t>لک</w:t>
      </w:r>
      <w:r w:rsidRPr="0025250D">
        <w:rPr>
          <w:rFonts w:hint="cs"/>
          <w:rtl/>
        </w:rPr>
        <w:t>ی</w:t>
      </w:r>
      <w:r w:rsidRPr="0025250D">
        <w:rPr>
          <w:rFonts w:hint="eastAsia"/>
          <w:rtl/>
        </w:rPr>
        <w:t>نسون</w:t>
      </w:r>
      <w:r w:rsidRPr="0025250D">
        <w:rPr>
          <w:rtl/>
        </w:rPr>
        <w:t xml:space="preserve"> و کوپرز</w:t>
      </w:r>
      <w:r w:rsidRPr="0025250D">
        <w:rPr>
          <w:vertAlign w:val="superscript"/>
          <w:rtl/>
        </w:rPr>
        <w:footnoteReference w:id="3527"/>
      </w:r>
      <w:r w:rsidRPr="0025250D">
        <w:rPr>
          <w:rtl/>
        </w:rPr>
        <w:t>، 2014</w:t>
      </w:r>
    </w:p>
    <w:p w14:paraId="09336480" w14:textId="29AB3EE2" w:rsidR="0037616D" w:rsidRPr="0025250D" w:rsidRDefault="0037616D" w:rsidP="00492C47">
      <w:pPr>
        <w:numPr>
          <w:ilvl w:val="0"/>
          <w:numId w:val="81"/>
        </w:numPr>
        <w:rPr>
          <w:rtl/>
        </w:rPr>
      </w:pPr>
      <w:r w:rsidRPr="0025250D">
        <w:rPr>
          <w:rtl/>
        </w:rPr>
        <w:t xml:space="preserve">تکامل آینده‌نگاری </w:t>
      </w:r>
      <w:r w:rsidR="00701E03" w:rsidRPr="0025250D">
        <w:rPr>
          <w:rtl/>
        </w:rPr>
        <w:t>راهبردی</w:t>
      </w:r>
      <w:r w:rsidRPr="0025250D">
        <w:rPr>
          <w:rtl/>
        </w:rPr>
        <w:t xml:space="preserve"> در س</w:t>
      </w:r>
      <w:r w:rsidRPr="0025250D">
        <w:rPr>
          <w:rFonts w:hint="cs"/>
          <w:rtl/>
        </w:rPr>
        <w:t>ی</w:t>
      </w:r>
      <w:r w:rsidRPr="0025250D">
        <w:rPr>
          <w:rFonts w:hint="eastAsia"/>
          <w:rtl/>
        </w:rPr>
        <w:t>است</w:t>
      </w:r>
      <w:r w:rsidRPr="0025250D">
        <w:rPr>
          <w:rtl/>
        </w:rPr>
        <w:t xml:space="preserve"> گذار</w:t>
      </w:r>
      <w:r w:rsidRPr="0025250D">
        <w:rPr>
          <w:rFonts w:hint="cs"/>
          <w:rtl/>
        </w:rPr>
        <w:t>ی</w:t>
      </w:r>
      <w:r w:rsidRPr="0025250D">
        <w:rPr>
          <w:rtl/>
        </w:rPr>
        <w:t xml:space="preserve"> عموم</w:t>
      </w:r>
      <w:r w:rsidRPr="0025250D">
        <w:rPr>
          <w:rFonts w:hint="cs"/>
          <w:rtl/>
        </w:rPr>
        <w:t>ی</w:t>
      </w:r>
      <w:r w:rsidRPr="0025250D">
        <w:rPr>
          <w:rFonts w:hint="eastAsia"/>
          <w:rtl/>
        </w:rPr>
        <w:t>،</w:t>
      </w:r>
      <w:r w:rsidRPr="0025250D">
        <w:rPr>
          <w:rtl/>
        </w:rPr>
        <w:t xml:space="preserve"> تومو کوسا</w:t>
      </w:r>
      <w:r w:rsidRPr="0025250D">
        <w:rPr>
          <w:vertAlign w:val="superscript"/>
          <w:rtl/>
        </w:rPr>
        <w:footnoteReference w:id="3528"/>
      </w:r>
      <w:r w:rsidRPr="0025250D">
        <w:rPr>
          <w:rtl/>
        </w:rPr>
        <w:t>، 2012</w:t>
      </w:r>
    </w:p>
    <w:p w14:paraId="13A336F4" w14:textId="77777777" w:rsidR="0037616D" w:rsidRPr="0025250D" w:rsidRDefault="0037616D" w:rsidP="00492C47">
      <w:pPr>
        <w:numPr>
          <w:ilvl w:val="0"/>
          <w:numId w:val="81"/>
        </w:numPr>
        <w:rPr>
          <w:rtl/>
        </w:rPr>
      </w:pPr>
      <w:r w:rsidRPr="0025250D">
        <w:rPr>
          <w:rtl/>
        </w:rPr>
        <w:t>شکست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ر</w:t>
      </w:r>
      <w:r w:rsidRPr="0025250D">
        <w:rPr>
          <w:rFonts w:hint="cs"/>
          <w:rtl/>
        </w:rPr>
        <w:t>ی</w:t>
      </w:r>
      <w:r w:rsidRPr="0025250D">
        <w:rPr>
          <w:rFonts w:hint="eastAsia"/>
          <w:rtl/>
        </w:rPr>
        <w:t>سک</w:t>
      </w:r>
      <w:r w:rsidRPr="0025250D">
        <w:rPr>
          <w:rtl/>
        </w:rPr>
        <w:t xml:space="preserve">: چرا </w:t>
      </w:r>
      <w:r w:rsidRPr="0025250D">
        <w:rPr>
          <w:rFonts w:hint="cs"/>
          <w:rtl/>
        </w:rPr>
        <w:t>شکست خورده است</w:t>
      </w:r>
      <w:r w:rsidRPr="0025250D">
        <w:rPr>
          <w:rtl/>
        </w:rPr>
        <w:t xml:space="preserve"> و چگونه آن را </w:t>
      </w:r>
      <w:r w:rsidRPr="0025250D">
        <w:rPr>
          <w:rFonts w:hint="cs"/>
          <w:rtl/>
        </w:rPr>
        <w:t>اصلاح</w:t>
      </w:r>
      <w:r w:rsidRPr="0025250D">
        <w:rPr>
          <w:rtl/>
        </w:rPr>
        <w:t xml:space="preserve"> کن</w:t>
      </w:r>
      <w:r w:rsidRPr="0025250D">
        <w:rPr>
          <w:rFonts w:hint="cs"/>
          <w:rtl/>
        </w:rPr>
        <w:t>ی</w:t>
      </w:r>
      <w:r w:rsidRPr="0025250D">
        <w:rPr>
          <w:rFonts w:hint="eastAsia"/>
          <w:rtl/>
        </w:rPr>
        <w:t>م،</w:t>
      </w:r>
      <w:r w:rsidRPr="0025250D">
        <w:rPr>
          <w:rtl/>
        </w:rPr>
        <w:t xml:space="preserve"> داگ هابارد</w:t>
      </w:r>
      <w:r w:rsidRPr="0025250D">
        <w:rPr>
          <w:vertAlign w:val="superscript"/>
          <w:rtl/>
        </w:rPr>
        <w:footnoteReference w:id="3529"/>
      </w:r>
      <w:r w:rsidRPr="0025250D">
        <w:rPr>
          <w:rtl/>
        </w:rPr>
        <w:t>، 2009</w:t>
      </w:r>
    </w:p>
    <w:p w14:paraId="777FE7CF" w14:textId="77777777" w:rsidR="0037616D" w:rsidRPr="0025250D" w:rsidRDefault="0037616D" w:rsidP="00492C47">
      <w:pPr>
        <w:numPr>
          <w:ilvl w:val="0"/>
          <w:numId w:val="81"/>
        </w:numPr>
        <w:rPr>
          <w:rtl/>
        </w:rPr>
      </w:pPr>
      <w:r w:rsidRPr="0025250D">
        <w:rPr>
          <w:rtl/>
        </w:rPr>
        <w:t xml:space="preserve">پنج اختلال در </w:t>
      </w:r>
      <w:r w:rsidRPr="0025250D">
        <w:rPr>
          <w:rFonts w:hint="cs"/>
          <w:rtl/>
        </w:rPr>
        <w:t>ی</w:t>
      </w:r>
      <w:r w:rsidRPr="0025250D">
        <w:rPr>
          <w:rFonts w:hint="eastAsia"/>
          <w:rtl/>
        </w:rPr>
        <w:t>ک</w:t>
      </w:r>
      <w:r w:rsidRPr="0025250D">
        <w:rPr>
          <w:rtl/>
        </w:rPr>
        <w:t xml:space="preserve"> ت</w:t>
      </w:r>
      <w:r w:rsidRPr="0025250D">
        <w:rPr>
          <w:rFonts w:hint="cs"/>
          <w:rtl/>
        </w:rPr>
        <w:t>ی</w:t>
      </w:r>
      <w:r w:rsidRPr="0025250D">
        <w:rPr>
          <w:rFonts w:hint="eastAsia"/>
          <w:rtl/>
        </w:rPr>
        <w:t>م،</w:t>
      </w:r>
      <w:r w:rsidRPr="0025250D">
        <w:rPr>
          <w:rtl/>
        </w:rPr>
        <w:t xml:space="preserve"> پاتر</w:t>
      </w:r>
      <w:r w:rsidRPr="0025250D">
        <w:rPr>
          <w:rFonts w:hint="cs"/>
          <w:rtl/>
        </w:rPr>
        <w:t>ی</w:t>
      </w:r>
      <w:r w:rsidRPr="0025250D">
        <w:rPr>
          <w:rFonts w:hint="eastAsia"/>
          <w:rtl/>
        </w:rPr>
        <w:t>ک</w:t>
      </w:r>
      <w:r w:rsidRPr="0025250D">
        <w:rPr>
          <w:rtl/>
        </w:rPr>
        <w:t xml:space="preserve"> لنس</w:t>
      </w:r>
      <w:r w:rsidRPr="0025250D">
        <w:rPr>
          <w:rFonts w:hint="cs"/>
          <w:rtl/>
        </w:rPr>
        <w:t>ی</w:t>
      </w:r>
      <w:r w:rsidRPr="0025250D">
        <w:rPr>
          <w:rFonts w:hint="eastAsia"/>
          <w:rtl/>
        </w:rPr>
        <w:t>ون</w:t>
      </w:r>
      <w:r w:rsidRPr="0025250D">
        <w:rPr>
          <w:rFonts w:hint="cs"/>
          <w:rtl/>
        </w:rPr>
        <w:t>ی</w:t>
      </w:r>
      <w:r w:rsidRPr="0025250D">
        <w:rPr>
          <w:vertAlign w:val="superscript"/>
          <w:rtl/>
        </w:rPr>
        <w:footnoteReference w:id="3530"/>
      </w:r>
      <w:r w:rsidRPr="0025250D">
        <w:rPr>
          <w:rFonts w:hint="eastAsia"/>
          <w:rtl/>
        </w:rPr>
        <w:t>،</w:t>
      </w:r>
      <w:r w:rsidRPr="0025250D">
        <w:rPr>
          <w:rtl/>
        </w:rPr>
        <w:t xml:space="preserve"> 2002</w:t>
      </w:r>
    </w:p>
    <w:p w14:paraId="00ECE0BF" w14:textId="77777777" w:rsidR="0037616D" w:rsidRPr="0025250D" w:rsidRDefault="0037616D" w:rsidP="00492C47">
      <w:pPr>
        <w:numPr>
          <w:ilvl w:val="0"/>
          <w:numId w:val="81"/>
        </w:numPr>
        <w:rPr>
          <w:rtl/>
        </w:rPr>
      </w:pPr>
      <w:r w:rsidRPr="0025250D">
        <w:rPr>
          <w:rtl/>
        </w:rPr>
        <w:t>پنج ع</w:t>
      </w:r>
      <w:r w:rsidRPr="0025250D">
        <w:rPr>
          <w:rFonts w:hint="cs"/>
          <w:rtl/>
        </w:rPr>
        <w:t>ی</w:t>
      </w:r>
      <w:r w:rsidRPr="0025250D">
        <w:rPr>
          <w:rFonts w:hint="eastAsia"/>
          <w:rtl/>
        </w:rPr>
        <w:t>نک</w:t>
      </w:r>
      <w:r w:rsidRPr="0025250D">
        <w:rPr>
          <w:rtl/>
        </w:rPr>
        <w:t xml:space="preserve"> آ</w:t>
      </w:r>
      <w:r w:rsidRPr="0025250D">
        <w:rPr>
          <w:rFonts w:hint="cs"/>
          <w:rtl/>
        </w:rPr>
        <w:t>ی</w:t>
      </w:r>
      <w:r w:rsidRPr="0025250D">
        <w:rPr>
          <w:rFonts w:hint="eastAsia"/>
          <w:rtl/>
        </w:rPr>
        <w:t>نده،</w:t>
      </w:r>
      <w:r w:rsidRPr="0025250D">
        <w:rPr>
          <w:rtl/>
        </w:rPr>
        <w:t xml:space="preserve"> پرو م</w:t>
      </w:r>
      <w:r w:rsidRPr="0025250D">
        <w:rPr>
          <w:rFonts w:hint="cs"/>
          <w:rtl/>
        </w:rPr>
        <w:t>ی</w:t>
      </w:r>
      <w:r w:rsidRPr="0025250D">
        <w:rPr>
          <w:rFonts w:hint="eastAsia"/>
          <w:rtl/>
        </w:rPr>
        <w:t>س</w:t>
      </w:r>
      <w:r w:rsidRPr="0025250D">
        <w:rPr>
          <w:rFonts w:hint="cs"/>
          <w:rtl/>
        </w:rPr>
        <w:t>ی</w:t>
      </w:r>
      <w:r w:rsidRPr="0025250D">
        <w:rPr>
          <w:rFonts w:hint="eastAsia"/>
          <w:rtl/>
        </w:rPr>
        <w:t>چ</w:t>
      </w:r>
      <w:r w:rsidRPr="0025250D">
        <w:rPr>
          <w:vertAlign w:val="superscript"/>
          <w:rtl/>
        </w:rPr>
        <w:footnoteReference w:id="3531"/>
      </w:r>
      <w:r w:rsidRPr="0025250D">
        <w:rPr>
          <w:rFonts w:hint="eastAsia"/>
          <w:rtl/>
        </w:rPr>
        <w:t>،</w:t>
      </w:r>
      <w:r w:rsidRPr="0025250D">
        <w:rPr>
          <w:rtl/>
        </w:rPr>
        <w:t xml:space="preserve"> 2010</w:t>
      </w:r>
    </w:p>
    <w:p w14:paraId="1A76AC45" w14:textId="4025C164" w:rsidR="0037616D" w:rsidRPr="0025250D" w:rsidRDefault="0037616D" w:rsidP="00492C47">
      <w:pPr>
        <w:numPr>
          <w:ilvl w:val="0"/>
          <w:numId w:val="81"/>
        </w:numPr>
        <w:rPr>
          <w:rtl/>
        </w:rPr>
      </w:pPr>
      <w:r w:rsidRPr="0025250D">
        <w:rPr>
          <w:rtl/>
        </w:rPr>
        <w:t xml:space="preserve">فروشندگان </w:t>
      </w:r>
      <w:r w:rsidRPr="0025250D">
        <w:rPr>
          <w:rFonts w:hint="cs"/>
          <w:rtl/>
        </w:rPr>
        <w:t xml:space="preserve">بخت و اقبال: خرید و فروش </w:t>
      </w:r>
      <w:r w:rsidR="00D92F6E" w:rsidRPr="0025250D">
        <w:rPr>
          <w:rFonts w:hint="cs"/>
          <w:rtl/>
        </w:rPr>
        <w:t>پیش‌بین</w:t>
      </w:r>
      <w:r w:rsidRPr="0025250D">
        <w:rPr>
          <w:rFonts w:hint="cs"/>
          <w:rtl/>
        </w:rPr>
        <w:t xml:space="preserve">ی ها، </w:t>
      </w:r>
      <w:r w:rsidRPr="0025250D">
        <w:rPr>
          <w:rtl/>
        </w:rPr>
        <w:t>و</w:t>
      </w:r>
      <w:r w:rsidRPr="0025250D">
        <w:rPr>
          <w:rFonts w:hint="cs"/>
          <w:rtl/>
        </w:rPr>
        <w:t>ی</w:t>
      </w:r>
      <w:r w:rsidRPr="0025250D">
        <w:rPr>
          <w:rFonts w:hint="eastAsia"/>
          <w:rtl/>
        </w:rPr>
        <w:t>ل</w:t>
      </w:r>
      <w:r w:rsidRPr="0025250D">
        <w:rPr>
          <w:rFonts w:hint="cs"/>
          <w:rtl/>
        </w:rPr>
        <w:t>ی</w:t>
      </w:r>
      <w:r w:rsidRPr="0025250D">
        <w:rPr>
          <w:rFonts w:hint="eastAsia"/>
          <w:rtl/>
        </w:rPr>
        <w:t>ام</w:t>
      </w:r>
      <w:r w:rsidRPr="0025250D">
        <w:rPr>
          <w:rtl/>
        </w:rPr>
        <w:t xml:space="preserve"> شردن</w:t>
      </w:r>
      <w:r w:rsidRPr="0025250D">
        <w:rPr>
          <w:vertAlign w:val="superscript"/>
          <w:rtl/>
        </w:rPr>
        <w:footnoteReference w:id="3532"/>
      </w:r>
      <w:r w:rsidRPr="0025250D">
        <w:rPr>
          <w:rtl/>
        </w:rPr>
        <w:t>، 1997</w:t>
      </w:r>
    </w:p>
    <w:p w14:paraId="55BBA556" w14:textId="77777777" w:rsidR="0037616D" w:rsidRPr="0025250D" w:rsidRDefault="0037616D" w:rsidP="00492C47">
      <w:pPr>
        <w:numPr>
          <w:ilvl w:val="0"/>
          <w:numId w:val="81"/>
        </w:numPr>
        <w:rPr>
          <w:rtl/>
        </w:rPr>
      </w:pPr>
      <w:r w:rsidRPr="0025250D">
        <w:rPr>
          <w:rtl/>
        </w:rPr>
        <w:t>آ</w:t>
      </w:r>
      <w:r w:rsidRPr="0025250D">
        <w:rPr>
          <w:rFonts w:hint="cs"/>
          <w:rtl/>
        </w:rPr>
        <w:t>ی</w:t>
      </w:r>
      <w:r w:rsidRPr="0025250D">
        <w:rPr>
          <w:rFonts w:hint="eastAsia"/>
          <w:rtl/>
        </w:rPr>
        <w:t>نده</w:t>
      </w:r>
      <w:r w:rsidRPr="0025250D">
        <w:rPr>
          <w:rtl/>
        </w:rPr>
        <w:t xml:space="preserve">: </w:t>
      </w:r>
      <w:r w:rsidRPr="0025250D">
        <w:rPr>
          <w:rFonts w:hint="cs"/>
          <w:rtl/>
        </w:rPr>
        <w:t>ی</w:t>
      </w:r>
      <w:r w:rsidRPr="0025250D">
        <w:rPr>
          <w:rFonts w:hint="eastAsia"/>
          <w:rtl/>
        </w:rPr>
        <w:t>ک</w:t>
      </w:r>
      <w:r w:rsidRPr="0025250D">
        <w:rPr>
          <w:rtl/>
        </w:rPr>
        <w:t xml:space="preserve"> مقدمه بس</w:t>
      </w:r>
      <w:r w:rsidRPr="0025250D">
        <w:rPr>
          <w:rFonts w:hint="cs"/>
          <w:rtl/>
        </w:rPr>
        <w:t>ی</w:t>
      </w:r>
      <w:r w:rsidRPr="0025250D">
        <w:rPr>
          <w:rFonts w:hint="eastAsia"/>
          <w:rtl/>
        </w:rPr>
        <w:t>ار</w:t>
      </w:r>
      <w:r w:rsidRPr="0025250D">
        <w:rPr>
          <w:rtl/>
        </w:rPr>
        <w:t xml:space="preserve"> کوتاه، جن</w:t>
      </w:r>
      <w:r w:rsidRPr="0025250D">
        <w:rPr>
          <w:rFonts w:hint="cs"/>
          <w:rtl/>
        </w:rPr>
        <w:t>ی</w:t>
      </w:r>
      <w:r w:rsidRPr="0025250D">
        <w:rPr>
          <w:rFonts w:hint="eastAsia"/>
          <w:rtl/>
        </w:rPr>
        <w:t>فر</w:t>
      </w:r>
      <w:r w:rsidRPr="0025250D">
        <w:rPr>
          <w:rtl/>
        </w:rPr>
        <w:t xml:space="preserve"> گ</w:t>
      </w:r>
      <w:r w:rsidRPr="0025250D">
        <w:rPr>
          <w:rFonts w:hint="cs"/>
          <w:rtl/>
        </w:rPr>
        <w:t>ی</w:t>
      </w:r>
      <w:r w:rsidRPr="0025250D">
        <w:rPr>
          <w:rFonts w:hint="eastAsia"/>
          <w:rtl/>
        </w:rPr>
        <w:t>دل</w:t>
      </w:r>
      <w:r w:rsidRPr="0025250D">
        <w:rPr>
          <w:rFonts w:hint="cs"/>
          <w:rtl/>
        </w:rPr>
        <w:t>ی</w:t>
      </w:r>
      <w:r w:rsidRPr="0025250D">
        <w:rPr>
          <w:vertAlign w:val="superscript"/>
          <w:rtl/>
        </w:rPr>
        <w:footnoteReference w:id="3533"/>
      </w:r>
      <w:r w:rsidRPr="0025250D">
        <w:rPr>
          <w:rFonts w:hint="eastAsia"/>
          <w:rtl/>
        </w:rPr>
        <w:t>،</w:t>
      </w:r>
      <w:r w:rsidRPr="0025250D">
        <w:rPr>
          <w:rtl/>
        </w:rPr>
        <w:t xml:space="preserve"> 2018</w:t>
      </w:r>
    </w:p>
    <w:p w14:paraId="1AC2CA85" w14:textId="4D8C6CB0" w:rsidR="0037616D" w:rsidRPr="0025250D" w:rsidRDefault="0037616D" w:rsidP="00492C47">
      <w:pPr>
        <w:numPr>
          <w:ilvl w:val="0"/>
          <w:numId w:val="81"/>
        </w:numPr>
        <w:rPr>
          <w:rtl/>
        </w:rPr>
      </w:pPr>
      <w:r w:rsidRPr="0025250D">
        <w:rPr>
          <w:rtl/>
        </w:rPr>
        <w:t>باز</w:t>
      </w:r>
      <w:r w:rsidRPr="0025250D">
        <w:rPr>
          <w:rFonts w:hint="cs"/>
          <w:rtl/>
        </w:rPr>
        <w:t>ی</w:t>
      </w:r>
      <w:r w:rsidRPr="0025250D">
        <w:rPr>
          <w:rtl/>
        </w:rPr>
        <w:t xml:space="preserve"> بزرگ </w:t>
      </w:r>
      <w:r w:rsidR="00B124DE" w:rsidRPr="0025250D">
        <w:rPr>
          <w:rFonts w:hint="cs"/>
          <w:rtl/>
        </w:rPr>
        <w:t>کسب‌و‌کار</w:t>
      </w:r>
      <w:r w:rsidRPr="0025250D">
        <w:rPr>
          <w:rtl/>
        </w:rPr>
        <w:t>، جک استک</w:t>
      </w:r>
      <w:r w:rsidRPr="0025250D">
        <w:rPr>
          <w:vertAlign w:val="superscript"/>
          <w:rtl/>
        </w:rPr>
        <w:footnoteReference w:id="3534"/>
      </w:r>
      <w:r w:rsidRPr="0025250D">
        <w:rPr>
          <w:rtl/>
        </w:rPr>
        <w:t>، 2013</w:t>
      </w:r>
    </w:p>
    <w:p w14:paraId="3DE00C42" w14:textId="58BCAD58" w:rsidR="0037616D" w:rsidRPr="0025250D" w:rsidRDefault="0037616D" w:rsidP="00492C47">
      <w:pPr>
        <w:numPr>
          <w:ilvl w:val="0"/>
          <w:numId w:val="81"/>
        </w:numPr>
        <w:rPr>
          <w:rtl/>
        </w:rPr>
      </w:pPr>
      <w:r w:rsidRPr="0025250D">
        <w:rPr>
          <w:rtl/>
        </w:rPr>
        <w:t>کتاب راهنما</w:t>
      </w:r>
      <w:r w:rsidRPr="0025250D">
        <w:rPr>
          <w:rFonts w:hint="cs"/>
          <w:rtl/>
        </w:rPr>
        <w:t>ی</w:t>
      </w:r>
      <w:r w:rsidRPr="0025250D">
        <w:rPr>
          <w:rtl/>
        </w:rPr>
        <w:t xml:space="preserve"> </w:t>
      </w:r>
      <w:r w:rsidR="00923DDB" w:rsidRPr="0025250D">
        <w:rPr>
          <w:rFonts w:hint="cs"/>
          <w:rtl/>
        </w:rPr>
        <w:t>پیش‌انگاری</w:t>
      </w:r>
      <w:r w:rsidRPr="0025250D">
        <w:rPr>
          <w:rtl/>
        </w:rPr>
        <w:t>، رابرت پول</w:t>
      </w:r>
      <w:r w:rsidRPr="0025250D">
        <w:rPr>
          <w:rFonts w:hint="cs"/>
          <w:rtl/>
        </w:rPr>
        <w:t>ی</w:t>
      </w:r>
      <w:r w:rsidRPr="0025250D">
        <w:rPr>
          <w:vertAlign w:val="superscript"/>
          <w:rtl/>
        </w:rPr>
        <w:footnoteReference w:id="3535"/>
      </w:r>
      <w:r w:rsidRPr="0025250D">
        <w:rPr>
          <w:rtl/>
        </w:rPr>
        <w:t>، 2019</w:t>
      </w:r>
    </w:p>
    <w:p w14:paraId="574325CE" w14:textId="77777777" w:rsidR="0037616D" w:rsidRPr="0025250D" w:rsidRDefault="0037616D" w:rsidP="00492C47">
      <w:pPr>
        <w:numPr>
          <w:ilvl w:val="0"/>
          <w:numId w:val="81"/>
        </w:numPr>
        <w:rPr>
          <w:rtl/>
        </w:rPr>
      </w:pPr>
      <w:r w:rsidRPr="0025250D">
        <w:rPr>
          <w:rtl/>
        </w:rPr>
        <w:t>سازمان ا</w:t>
      </w:r>
      <w:r w:rsidRPr="0025250D">
        <w:rPr>
          <w:rFonts w:hint="cs"/>
          <w:rtl/>
        </w:rPr>
        <w:t>ی</w:t>
      </w:r>
      <w:r w:rsidRPr="0025250D">
        <w:rPr>
          <w:rFonts w:hint="eastAsia"/>
          <w:rtl/>
        </w:rPr>
        <w:t>ده</w:t>
      </w:r>
      <w:r w:rsidRPr="0025250D">
        <w:rPr>
          <w:rtl/>
        </w:rPr>
        <w:t xml:space="preserve"> محور: استفاده از قدرت ا</w:t>
      </w:r>
      <w:r w:rsidRPr="0025250D">
        <w:rPr>
          <w:rFonts w:hint="cs"/>
          <w:rtl/>
        </w:rPr>
        <w:t>ی</w:t>
      </w:r>
      <w:r w:rsidRPr="0025250D">
        <w:rPr>
          <w:rFonts w:hint="eastAsia"/>
          <w:rtl/>
        </w:rPr>
        <w:t>ده</w:t>
      </w:r>
      <w:r w:rsidRPr="0025250D">
        <w:rPr>
          <w:rtl/>
        </w:rPr>
        <w:t>‌های پا</w:t>
      </w:r>
      <w:r w:rsidRPr="0025250D">
        <w:rPr>
          <w:rFonts w:hint="cs"/>
          <w:rtl/>
        </w:rPr>
        <w:t>یی</w:t>
      </w:r>
      <w:r w:rsidRPr="0025250D">
        <w:rPr>
          <w:rFonts w:hint="eastAsia"/>
          <w:rtl/>
        </w:rPr>
        <w:t>ن</w:t>
      </w:r>
      <w:r w:rsidRPr="0025250D">
        <w:rPr>
          <w:rtl/>
        </w:rPr>
        <w:t xml:space="preserve"> به بالا، راب</w:t>
      </w:r>
      <w:r w:rsidRPr="0025250D">
        <w:rPr>
          <w:rFonts w:hint="cs"/>
          <w:rtl/>
        </w:rPr>
        <w:t>ی</w:t>
      </w:r>
      <w:r w:rsidRPr="0025250D">
        <w:rPr>
          <w:rFonts w:hint="eastAsia"/>
          <w:rtl/>
        </w:rPr>
        <w:t>نسون</w:t>
      </w:r>
      <w:r w:rsidRPr="0025250D">
        <w:rPr>
          <w:rtl/>
        </w:rPr>
        <w:t xml:space="preserve"> و شرودر</w:t>
      </w:r>
      <w:r w:rsidRPr="0025250D">
        <w:rPr>
          <w:vertAlign w:val="superscript"/>
          <w:rtl/>
        </w:rPr>
        <w:footnoteReference w:id="3536"/>
      </w:r>
      <w:r w:rsidRPr="0025250D">
        <w:rPr>
          <w:rtl/>
        </w:rPr>
        <w:t>، 2014</w:t>
      </w:r>
    </w:p>
    <w:p w14:paraId="460E23E8" w14:textId="77777777" w:rsidR="0037616D" w:rsidRPr="0025250D" w:rsidRDefault="0037616D" w:rsidP="00492C47">
      <w:pPr>
        <w:numPr>
          <w:ilvl w:val="0"/>
          <w:numId w:val="81"/>
        </w:numPr>
        <w:rPr>
          <w:rtl/>
        </w:rPr>
      </w:pPr>
      <w:r w:rsidRPr="0025250D">
        <w:rPr>
          <w:rtl/>
        </w:rPr>
        <w:t>تصو</w:t>
      </w:r>
      <w:r w:rsidRPr="0025250D">
        <w:rPr>
          <w:rFonts w:hint="cs"/>
          <w:rtl/>
        </w:rPr>
        <w:t>ی</w:t>
      </w:r>
      <w:r w:rsidRPr="0025250D">
        <w:rPr>
          <w:rFonts w:hint="eastAsia"/>
          <w:rtl/>
        </w:rPr>
        <w:t>ر</w:t>
      </w:r>
      <w:r w:rsidRPr="0025250D">
        <w:rPr>
          <w:rtl/>
        </w:rPr>
        <w:t xml:space="preserve"> آ</w:t>
      </w:r>
      <w:r w:rsidRPr="0025250D">
        <w:rPr>
          <w:rFonts w:hint="cs"/>
          <w:rtl/>
        </w:rPr>
        <w:t>ی</w:t>
      </w:r>
      <w:r w:rsidRPr="0025250D">
        <w:rPr>
          <w:rFonts w:hint="eastAsia"/>
          <w:rtl/>
        </w:rPr>
        <w:t>نده،</w:t>
      </w:r>
      <w:r w:rsidRPr="0025250D">
        <w:rPr>
          <w:rtl/>
        </w:rPr>
        <w:t xml:space="preserve"> فرد پولاک</w:t>
      </w:r>
      <w:r w:rsidRPr="0025250D">
        <w:rPr>
          <w:vertAlign w:val="superscript"/>
          <w:rtl/>
        </w:rPr>
        <w:footnoteReference w:id="3537"/>
      </w:r>
      <w:r w:rsidRPr="0025250D">
        <w:rPr>
          <w:rtl/>
        </w:rPr>
        <w:t>، 1973</w:t>
      </w:r>
    </w:p>
    <w:p w14:paraId="27844D7B" w14:textId="77777777" w:rsidR="0037616D" w:rsidRPr="0025250D" w:rsidRDefault="0037616D" w:rsidP="00492C47">
      <w:pPr>
        <w:numPr>
          <w:ilvl w:val="0"/>
          <w:numId w:val="81"/>
        </w:numPr>
        <w:rPr>
          <w:rtl/>
        </w:rPr>
      </w:pPr>
      <w:r w:rsidRPr="0025250D">
        <w:rPr>
          <w:rtl/>
        </w:rPr>
        <w:t>معضل مبتکر، کل</w:t>
      </w:r>
      <w:r w:rsidRPr="0025250D">
        <w:rPr>
          <w:rFonts w:hint="cs"/>
          <w:rtl/>
        </w:rPr>
        <w:t>ی</w:t>
      </w:r>
      <w:r w:rsidRPr="0025250D">
        <w:rPr>
          <w:rFonts w:hint="eastAsia"/>
          <w:rtl/>
        </w:rPr>
        <w:t>تون</w:t>
      </w:r>
      <w:r w:rsidRPr="0025250D">
        <w:rPr>
          <w:rtl/>
        </w:rPr>
        <w:t xml:space="preserve"> کر</w:t>
      </w:r>
      <w:r w:rsidRPr="0025250D">
        <w:rPr>
          <w:rFonts w:hint="cs"/>
          <w:rtl/>
        </w:rPr>
        <w:t>ی</w:t>
      </w:r>
      <w:r w:rsidRPr="0025250D">
        <w:rPr>
          <w:rFonts w:hint="eastAsia"/>
          <w:rtl/>
        </w:rPr>
        <w:t>ستنسن</w:t>
      </w:r>
      <w:r w:rsidRPr="0025250D">
        <w:rPr>
          <w:vertAlign w:val="superscript"/>
          <w:rtl/>
        </w:rPr>
        <w:footnoteReference w:id="3538"/>
      </w:r>
      <w:r w:rsidRPr="0025250D">
        <w:rPr>
          <w:rFonts w:hint="eastAsia"/>
          <w:rtl/>
        </w:rPr>
        <w:t>،</w:t>
      </w:r>
      <w:r w:rsidRPr="0025250D">
        <w:rPr>
          <w:rtl/>
        </w:rPr>
        <w:t xml:space="preserve"> 2011</w:t>
      </w:r>
    </w:p>
    <w:p w14:paraId="199D2521" w14:textId="77777777" w:rsidR="0037616D" w:rsidRPr="0025250D" w:rsidRDefault="0037616D" w:rsidP="00492C47">
      <w:pPr>
        <w:numPr>
          <w:ilvl w:val="0"/>
          <w:numId w:val="81"/>
        </w:numPr>
        <w:rPr>
          <w:rtl/>
        </w:rPr>
      </w:pPr>
      <w:r w:rsidRPr="0025250D">
        <w:rPr>
          <w:rtl/>
        </w:rPr>
        <w:t>هدف: بهبود مستمر و نظر</w:t>
      </w:r>
      <w:r w:rsidRPr="0025250D">
        <w:rPr>
          <w:rFonts w:hint="cs"/>
          <w:rtl/>
        </w:rPr>
        <w:t>ی</w:t>
      </w:r>
      <w:r w:rsidRPr="0025250D">
        <w:rPr>
          <w:rFonts w:hint="eastAsia"/>
          <w:rtl/>
        </w:rPr>
        <w:t>ه</w:t>
      </w:r>
      <w:r w:rsidRPr="0025250D">
        <w:rPr>
          <w:rtl/>
        </w:rPr>
        <w:t xml:space="preserve"> محدود</w:t>
      </w:r>
      <w:r w:rsidRPr="0025250D">
        <w:rPr>
          <w:rFonts w:hint="cs"/>
          <w:rtl/>
        </w:rPr>
        <w:t>ی</w:t>
      </w:r>
      <w:r w:rsidRPr="0025250D">
        <w:rPr>
          <w:rFonts w:hint="eastAsia"/>
          <w:rtl/>
        </w:rPr>
        <w:t>ت</w:t>
      </w:r>
      <w:r w:rsidRPr="0025250D">
        <w:rPr>
          <w:rtl/>
        </w:rPr>
        <w:t xml:space="preserve"> ها، ال</w:t>
      </w:r>
      <w:r w:rsidRPr="0025250D">
        <w:rPr>
          <w:rFonts w:hint="cs"/>
          <w:rtl/>
        </w:rPr>
        <w:t>ی</w:t>
      </w:r>
      <w:r w:rsidRPr="0025250D">
        <w:rPr>
          <w:rFonts w:hint="eastAsia"/>
          <w:rtl/>
        </w:rPr>
        <w:t>اهو</w:t>
      </w:r>
      <w:r w:rsidRPr="0025250D">
        <w:rPr>
          <w:rtl/>
        </w:rPr>
        <w:t xml:space="preserve"> گلدرات</w:t>
      </w:r>
      <w:r w:rsidRPr="0025250D">
        <w:rPr>
          <w:vertAlign w:val="superscript"/>
          <w:rtl/>
        </w:rPr>
        <w:footnoteReference w:id="3539"/>
      </w:r>
      <w:r w:rsidRPr="0025250D">
        <w:rPr>
          <w:rtl/>
        </w:rPr>
        <w:t>، 2014</w:t>
      </w:r>
    </w:p>
    <w:p w14:paraId="3CA6145E" w14:textId="494BCF44" w:rsidR="0037616D" w:rsidRPr="0025250D" w:rsidRDefault="0037616D" w:rsidP="00492C47">
      <w:pPr>
        <w:numPr>
          <w:ilvl w:val="0"/>
          <w:numId w:val="81"/>
        </w:numPr>
        <w:rPr>
          <w:rtl/>
        </w:rPr>
      </w:pPr>
      <w:r w:rsidRPr="0025250D">
        <w:rPr>
          <w:rtl/>
        </w:rPr>
        <w:t>پا</w:t>
      </w:r>
      <w:r w:rsidRPr="0025250D">
        <w:rPr>
          <w:rFonts w:hint="cs"/>
          <w:rtl/>
        </w:rPr>
        <w:t>ی</w:t>
      </w:r>
      <w:r w:rsidRPr="0025250D">
        <w:rPr>
          <w:rFonts w:hint="eastAsia"/>
          <w:rtl/>
        </w:rPr>
        <w:t>گاه</w:t>
      </w:r>
      <w:r w:rsidRPr="0025250D">
        <w:rPr>
          <w:rtl/>
        </w:rPr>
        <w:t xml:space="preserve"> دانش </w:t>
      </w:r>
      <w:r w:rsidR="00D92F6E" w:rsidRPr="0025250D">
        <w:rPr>
          <w:rtl/>
        </w:rPr>
        <w:t>آینده‌پژوه</w:t>
      </w:r>
      <w:r w:rsidRPr="0025250D">
        <w:rPr>
          <w:rFonts w:hint="cs"/>
          <w:rtl/>
        </w:rPr>
        <w:t>ی</w:t>
      </w:r>
      <w:r w:rsidRPr="0025250D">
        <w:rPr>
          <w:rFonts w:hint="eastAsia"/>
          <w:rtl/>
        </w:rPr>
        <w:t>،</w:t>
      </w:r>
      <w:r w:rsidRPr="0025250D">
        <w:rPr>
          <w:rtl/>
        </w:rPr>
        <w:t xml:space="preserve"> ر</w:t>
      </w:r>
      <w:r w:rsidRPr="0025250D">
        <w:rPr>
          <w:rFonts w:hint="cs"/>
          <w:rtl/>
        </w:rPr>
        <w:t>ی</w:t>
      </w:r>
      <w:r w:rsidRPr="0025250D">
        <w:rPr>
          <w:rFonts w:hint="eastAsia"/>
          <w:rtl/>
        </w:rPr>
        <w:t>چارد</w:t>
      </w:r>
      <w:r w:rsidRPr="0025250D">
        <w:rPr>
          <w:rtl/>
        </w:rPr>
        <w:t xml:space="preserve"> اسلاتر</w:t>
      </w:r>
      <w:r w:rsidRPr="0025250D">
        <w:rPr>
          <w:vertAlign w:val="superscript"/>
          <w:rtl/>
        </w:rPr>
        <w:footnoteReference w:id="3540"/>
      </w:r>
      <w:r w:rsidRPr="0025250D">
        <w:rPr>
          <w:rtl/>
        </w:rPr>
        <w:t>، 1996</w:t>
      </w:r>
    </w:p>
    <w:p w14:paraId="4A682886" w14:textId="77777777" w:rsidR="0037616D" w:rsidRPr="0025250D" w:rsidRDefault="0037616D" w:rsidP="00492C47">
      <w:pPr>
        <w:numPr>
          <w:ilvl w:val="0"/>
          <w:numId w:val="81"/>
        </w:numPr>
        <w:rPr>
          <w:rtl/>
        </w:rPr>
      </w:pPr>
      <w:r w:rsidRPr="0025250D">
        <w:rPr>
          <w:rtl/>
        </w:rPr>
        <w:t>استارتاپ ناب: نوآور</w:t>
      </w:r>
      <w:r w:rsidRPr="0025250D">
        <w:rPr>
          <w:rFonts w:hint="cs"/>
          <w:rtl/>
        </w:rPr>
        <w:t>ی</w:t>
      </w:r>
      <w:r w:rsidRPr="0025250D">
        <w:rPr>
          <w:rtl/>
        </w:rPr>
        <w:t xml:space="preserve"> مستمر برا</w:t>
      </w:r>
      <w:r w:rsidRPr="0025250D">
        <w:rPr>
          <w:rFonts w:hint="cs"/>
          <w:rtl/>
        </w:rPr>
        <w:t>ی</w:t>
      </w:r>
      <w:r w:rsidRPr="0025250D">
        <w:rPr>
          <w:rtl/>
        </w:rPr>
        <w:t xml:space="preserve"> موفق</w:t>
      </w:r>
      <w:r w:rsidRPr="0025250D">
        <w:rPr>
          <w:rFonts w:hint="cs"/>
          <w:rtl/>
        </w:rPr>
        <w:t>ی</w:t>
      </w:r>
      <w:r w:rsidRPr="0025250D">
        <w:rPr>
          <w:rFonts w:hint="eastAsia"/>
          <w:rtl/>
        </w:rPr>
        <w:t>ت،</w:t>
      </w:r>
      <w:r w:rsidRPr="0025250D">
        <w:rPr>
          <w:rtl/>
        </w:rPr>
        <w:t xml:space="preserve"> ار</w:t>
      </w:r>
      <w:r w:rsidRPr="0025250D">
        <w:rPr>
          <w:rFonts w:hint="cs"/>
          <w:rtl/>
        </w:rPr>
        <w:t>ی</w:t>
      </w:r>
      <w:r w:rsidRPr="0025250D">
        <w:rPr>
          <w:rFonts w:hint="eastAsia"/>
          <w:rtl/>
        </w:rPr>
        <w:t>ک</w:t>
      </w:r>
      <w:r w:rsidRPr="0025250D">
        <w:rPr>
          <w:rtl/>
        </w:rPr>
        <w:t xml:space="preserve"> ر</w:t>
      </w:r>
      <w:r w:rsidRPr="0025250D">
        <w:rPr>
          <w:rFonts w:hint="cs"/>
          <w:rtl/>
        </w:rPr>
        <w:t>ی</w:t>
      </w:r>
      <w:r w:rsidRPr="0025250D">
        <w:rPr>
          <w:rFonts w:hint="eastAsia"/>
          <w:rtl/>
        </w:rPr>
        <w:t>س</w:t>
      </w:r>
      <w:r w:rsidRPr="0025250D">
        <w:rPr>
          <w:vertAlign w:val="superscript"/>
          <w:rtl/>
        </w:rPr>
        <w:footnoteReference w:id="3541"/>
      </w:r>
      <w:r w:rsidRPr="0025250D">
        <w:rPr>
          <w:rFonts w:hint="eastAsia"/>
          <w:rtl/>
        </w:rPr>
        <w:t>،</w:t>
      </w:r>
      <w:r w:rsidRPr="0025250D">
        <w:rPr>
          <w:rtl/>
        </w:rPr>
        <w:t xml:space="preserve"> 2011</w:t>
      </w:r>
    </w:p>
    <w:p w14:paraId="18E7765F" w14:textId="713C6355" w:rsidR="0037616D" w:rsidRPr="0025250D" w:rsidRDefault="0037616D" w:rsidP="00492C47">
      <w:pPr>
        <w:numPr>
          <w:ilvl w:val="0"/>
          <w:numId w:val="81"/>
        </w:numPr>
        <w:rPr>
          <w:rtl/>
        </w:rPr>
      </w:pPr>
      <w:r w:rsidRPr="0025250D">
        <w:rPr>
          <w:rtl/>
        </w:rPr>
        <w:t xml:space="preserve">اربابان </w:t>
      </w:r>
      <w:r w:rsidR="00701E03" w:rsidRPr="0025250D">
        <w:rPr>
          <w:rtl/>
        </w:rPr>
        <w:t>راهبرد</w:t>
      </w:r>
      <w:r w:rsidRPr="0025250D">
        <w:rPr>
          <w:rtl/>
        </w:rPr>
        <w:t>: تار</w:t>
      </w:r>
      <w:r w:rsidRPr="0025250D">
        <w:rPr>
          <w:rFonts w:hint="cs"/>
          <w:rtl/>
        </w:rPr>
        <w:t>ی</w:t>
      </w:r>
      <w:r w:rsidRPr="0025250D">
        <w:rPr>
          <w:rFonts w:hint="eastAsia"/>
          <w:rtl/>
        </w:rPr>
        <w:t>خ</w:t>
      </w:r>
      <w:r w:rsidRPr="0025250D">
        <w:rPr>
          <w:rtl/>
        </w:rPr>
        <w:t xml:space="preserve"> فکر</w:t>
      </w:r>
      <w:r w:rsidRPr="0025250D">
        <w:rPr>
          <w:rFonts w:hint="cs"/>
          <w:rtl/>
        </w:rPr>
        <w:t>ی</w:t>
      </w:r>
      <w:r w:rsidRPr="0025250D">
        <w:rPr>
          <w:rtl/>
        </w:rPr>
        <w:t xml:space="preserve"> دن</w:t>
      </w:r>
      <w:r w:rsidRPr="0025250D">
        <w:rPr>
          <w:rFonts w:hint="cs"/>
          <w:rtl/>
        </w:rPr>
        <w:t>ی</w:t>
      </w:r>
      <w:r w:rsidRPr="0025250D">
        <w:rPr>
          <w:rFonts w:hint="eastAsia"/>
          <w:rtl/>
        </w:rPr>
        <w:t>ا</w:t>
      </w:r>
      <w:r w:rsidRPr="0025250D">
        <w:rPr>
          <w:rFonts w:hint="cs"/>
          <w:rtl/>
        </w:rPr>
        <w:t>ی</w:t>
      </w:r>
      <w:r w:rsidRPr="0025250D">
        <w:rPr>
          <w:rtl/>
        </w:rPr>
        <w:t xml:space="preserve"> شرکت ها، والتر ک</w:t>
      </w:r>
      <w:r w:rsidRPr="0025250D">
        <w:rPr>
          <w:rFonts w:hint="cs"/>
          <w:rtl/>
        </w:rPr>
        <w:t>ی</w:t>
      </w:r>
      <w:r w:rsidRPr="0025250D">
        <w:rPr>
          <w:rFonts w:hint="eastAsia"/>
          <w:rtl/>
        </w:rPr>
        <w:t>شل</w:t>
      </w:r>
      <w:r w:rsidRPr="0025250D">
        <w:rPr>
          <w:vertAlign w:val="superscript"/>
          <w:rtl/>
        </w:rPr>
        <w:footnoteReference w:id="3542"/>
      </w:r>
      <w:r w:rsidRPr="0025250D">
        <w:rPr>
          <w:rFonts w:hint="eastAsia"/>
          <w:rtl/>
        </w:rPr>
        <w:t>،</w:t>
      </w:r>
      <w:r w:rsidRPr="0025250D">
        <w:rPr>
          <w:rtl/>
        </w:rPr>
        <w:t xml:space="preserve"> 2010</w:t>
      </w:r>
    </w:p>
    <w:p w14:paraId="02B4DE40" w14:textId="77777777" w:rsidR="0037616D" w:rsidRPr="0025250D" w:rsidRDefault="0037616D" w:rsidP="00492C47">
      <w:pPr>
        <w:numPr>
          <w:ilvl w:val="0"/>
          <w:numId w:val="81"/>
        </w:numPr>
        <w:rPr>
          <w:rtl/>
        </w:rPr>
      </w:pPr>
      <w:r w:rsidRPr="0025250D">
        <w:rPr>
          <w:rtl/>
        </w:rPr>
        <w:t>د</w:t>
      </w:r>
      <w:r w:rsidRPr="0025250D">
        <w:rPr>
          <w:rFonts w:hint="cs"/>
          <w:rtl/>
        </w:rPr>
        <w:t>نباله</w:t>
      </w:r>
      <w:r w:rsidRPr="0025250D">
        <w:rPr>
          <w:rtl/>
        </w:rPr>
        <w:t xml:space="preserve"> بلند، کر</w:t>
      </w:r>
      <w:r w:rsidRPr="0025250D">
        <w:rPr>
          <w:rFonts w:hint="cs"/>
          <w:rtl/>
        </w:rPr>
        <w:t>ی</w:t>
      </w:r>
      <w:r w:rsidRPr="0025250D">
        <w:rPr>
          <w:rFonts w:hint="eastAsia"/>
          <w:rtl/>
        </w:rPr>
        <w:t>س</w:t>
      </w:r>
      <w:r w:rsidRPr="0025250D">
        <w:rPr>
          <w:rtl/>
        </w:rPr>
        <w:t xml:space="preserve"> اندرسون</w:t>
      </w:r>
      <w:r w:rsidRPr="0025250D">
        <w:rPr>
          <w:vertAlign w:val="superscript"/>
          <w:rtl/>
        </w:rPr>
        <w:footnoteReference w:id="3543"/>
      </w:r>
      <w:r w:rsidRPr="0025250D">
        <w:rPr>
          <w:rtl/>
        </w:rPr>
        <w:t>، 2008</w:t>
      </w:r>
    </w:p>
    <w:p w14:paraId="6FBEF884" w14:textId="77777777" w:rsidR="0037616D" w:rsidRPr="0025250D" w:rsidRDefault="0037616D" w:rsidP="00492C47">
      <w:pPr>
        <w:numPr>
          <w:ilvl w:val="0"/>
          <w:numId w:val="81"/>
        </w:numPr>
        <w:rPr>
          <w:rtl/>
        </w:rPr>
      </w:pPr>
      <w:r w:rsidRPr="0025250D">
        <w:rPr>
          <w:rtl/>
        </w:rPr>
        <w:t>متفکر مدل</w:t>
      </w:r>
      <w:r w:rsidRPr="0025250D">
        <w:rPr>
          <w:rFonts w:hint="cs"/>
          <w:rtl/>
        </w:rPr>
        <w:t xml:space="preserve"> محور</w:t>
      </w:r>
      <w:r w:rsidRPr="0025250D">
        <w:rPr>
          <w:rtl/>
        </w:rPr>
        <w:t>، اسکات پ</w:t>
      </w:r>
      <w:r w:rsidRPr="0025250D">
        <w:rPr>
          <w:rFonts w:hint="cs"/>
          <w:rtl/>
        </w:rPr>
        <w:t>ی</w:t>
      </w:r>
      <w:r w:rsidRPr="0025250D">
        <w:rPr>
          <w:rFonts w:hint="eastAsia"/>
          <w:rtl/>
        </w:rPr>
        <w:t>ج</w:t>
      </w:r>
      <w:r w:rsidRPr="0025250D">
        <w:rPr>
          <w:vertAlign w:val="superscript"/>
          <w:rtl/>
        </w:rPr>
        <w:footnoteReference w:id="3544"/>
      </w:r>
      <w:r w:rsidRPr="0025250D">
        <w:rPr>
          <w:rFonts w:hint="eastAsia"/>
          <w:rtl/>
        </w:rPr>
        <w:t>،</w:t>
      </w:r>
      <w:r w:rsidRPr="0025250D">
        <w:rPr>
          <w:rtl/>
        </w:rPr>
        <w:t xml:space="preserve"> 2018</w:t>
      </w:r>
    </w:p>
    <w:p w14:paraId="0C50D3CC" w14:textId="77777777" w:rsidR="0037616D" w:rsidRPr="0025250D" w:rsidRDefault="0037616D" w:rsidP="00492C47">
      <w:pPr>
        <w:numPr>
          <w:ilvl w:val="0"/>
          <w:numId w:val="81"/>
        </w:numPr>
        <w:rPr>
          <w:rtl/>
        </w:rPr>
      </w:pPr>
      <w:r w:rsidRPr="0025250D">
        <w:rPr>
          <w:rtl/>
        </w:rPr>
        <w:t>ماه</w:t>
      </w:r>
      <w:r w:rsidRPr="0025250D">
        <w:rPr>
          <w:rFonts w:hint="cs"/>
          <w:rtl/>
        </w:rPr>
        <w:t>ی</w:t>
      </w:r>
      <w:r w:rsidRPr="0025250D">
        <w:rPr>
          <w:rFonts w:hint="eastAsia"/>
          <w:rtl/>
        </w:rPr>
        <w:t>ت</w:t>
      </w:r>
      <w:r w:rsidRPr="0025250D">
        <w:rPr>
          <w:rtl/>
        </w:rPr>
        <w:t xml:space="preserve"> تغ</w:t>
      </w:r>
      <w:r w:rsidRPr="0025250D">
        <w:rPr>
          <w:rFonts w:hint="cs"/>
          <w:rtl/>
        </w:rPr>
        <w:t>یی</w:t>
      </w:r>
      <w:r w:rsidRPr="0025250D">
        <w:rPr>
          <w:rFonts w:hint="eastAsia"/>
          <w:rtl/>
        </w:rPr>
        <w:t>ر</w:t>
      </w:r>
      <w:r w:rsidRPr="0025250D">
        <w:rPr>
          <w:rtl/>
        </w:rPr>
        <w:t xml:space="preserve"> و قانون پ</w:t>
      </w:r>
      <w:r w:rsidRPr="0025250D">
        <w:rPr>
          <w:rFonts w:hint="cs"/>
          <w:rtl/>
        </w:rPr>
        <w:t>ی</w:t>
      </w:r>
      <w:r w:rsidRPr="0025250D">
        <w:rPr>
          <w:rFonts w:hint="eastAsia"/>
          <w:rtl/>
        </w:rPr>
        <w:t>امدها</w:t>
      </w:r>
      <w:r w:rsidRPr="0025250D">
        <w:rPr>
          <w:rFonts w:hint="cs"/>
          <w:rtl/>
        </w:rPr>
        <w:t>ی</w:t>
      </w:r>
      <w:r w:rsidRPr="0025250D">
        <w:rPr>
          <w:rtl/>
        </w:rPr>
        <w:t xml:space="preserve"> ناخواسته، جان منسف</w:t>
      </w:r>
      <w:r w:rsidRPr="0025250D">
        <w:rPr>
          <w:rFonts w:hint="cs"/>
          <w:rtl/>
        </w:rPr>
        <w:t>ی</w:t>
      </w:r>
      <w:r w:rsidRPr="0025250D">
        <w:rPr>
          <w:rFonts w:hint="eastAsia"/>
          <w:rtl/>
        </w:rPr>
        <w:t>لد</w:t>
      </w:r>
      <w:r w:rsidRPr="0025250D">
        <w:rPr>
          <w:vertAlign w:val="superscript"/>
          <w:rtl/>
        </w:rPr>
        <w:footnoteReference w:id="3545"/>
      </w:r>
      <w:r w:rsidRPr="0025250D">
        <w:rPr>
          <w:rFonts w:hint="eastAsia"/>
          <w:rtl/>
        </w:rPr>
        <w:t>،</w:t>
      </w:r>
      <w:r w:rsidRPr="0025250D">
        <w:rPr>
          <w:rtl/>
        </w:rPr>
        <w:t xml:space="preserve"> 2010</w:t>
      </w:r>
    </w:p>
    <w:p w14:paraId="13D9FC9F" w14:textId="77777777" w:rsidR="0037616D" w:rsidRPr="0025250D" w:rsidRDefault="0037616D" w:rsidP="00492C47">
      <w:pPr>
        <w:numPr>
          <w:ilvl w:val="0"/>
          <w:numId w:val="81"/>
        </w:numPr>
        <w:rPr>
          <w:rtl/>
        </w:rPr>
      </w:pPr>
      <w:r w:rsidRPr="0025250D">
        <w:rPr>
          <w:rFonts w:hint="cs"/>
          <w:rtl/>
        </w:rPr>
        <w:t>ماهیت</w:t>
      </w:r>
      <w:r w:rsidRPr="0025250D">
        <w:rPr>
          <w:rtl/>
        </w:rPr>
        <w:t xml:space="preserve"> آ</w:t>
      </w:r>
      <w:r w:rsidRPr="0025250D">
        <w:rPr>
          <w:rFonts w:hint="cs"/>
          <w:rtl/>
        </w:rPr>
        <w:t>ی</w:t>
      </w:r>
      <w:r w:rsidRPr="0025250D">
        <w:rPr>
          <w:rFonts w:hint="eastAsia"/>
          <w:rtl/>
        </w:rPr>
        <w:t>نده،</w:t>
      </w:r>
      <w:r w:rsidRPr="0025250D">
        <w:rPr>
          <w:rtl/>
        </w:rPr>
        <w:t xml:space="preserve"> مار</w:t>
      </w:r>
      <w:r w:rsidRPr="0025250D">
        <w:rPr>
          <w:rFonts w:hint="cs"/>
          <w:rtl/>
        </w:rPr>
        <w:t>ی</w:t>
      </w:r>
      <w:r w:rsidRPr="0025250D">
        <w:rPr>
          <w:rFonts w:hint="eastAsia"/>
          <w:rtl/>
        </w:rPr>
        <w:t>نا</w:t>
      </w:r>
      <w:r w:rsidRPr="0025250D">
        <w:rPr>
          <w:rtl/>
        </w:rPr>
        <w:t xml:space="preserve"> گورب</w:t>
      </w:r>
      <w:r w:rsidRPr="0025250D">
        <w:rPr>
          <w:rFonts w:hint="cs"/>
          <w:rtl/>
        </w:rPr>
        <w:t>ی</w:t>
      </w:r>
      <w:r w:rsidRPr="0025250D">
        <w:rPr>
          <w:rFonts w:hint="eastAsia"/>
          <w:rtl/>
        </w:rPr>
        <w:t>س</w:t>
      </w:r>
      <w:r w:rsidRPr="0025250D">
        <w:rPr>
          <w:vertAlign w:val="superscript"/>
          <w:rtl/>
        </w:rPr>
        <w:footnoteReference w:id="3546"/>
      </w:r>
      <w:r w:rsidRPr="0025250D">
        <w:rPr>
          <w:rFonts w:hint="eastAsia"/>
          <w:rtl/>
        </w:rPr>
        <w:t>،</w:t>
      </w:r>
      <w:r w:rsidRPr="0025250D">
        <w:rPr>
          <w:rtl/>
        </w:rPr>
        <w:t xml:space="preserve"> 2013</w:t>
      </w:r>
    </w:p>
    <w:p w14:paraId="2CBD2C7D" w14:textId="77777777" w:rsidR="0037616D" w:rsidRPr="0025250D" w:rsidRDefault="0037616D" w:rsidP="00492C47">
      <w:pPr>
        <w:numPr>
          <w:ilvl w:val="0"/>
          <w:numId w:val="81"/>
        </w:numPr>
        <w:rPr>
          <w:rtl/>
        </w:rPr>
      </w:pPr>
      <w:r w:rsidRPr="0025250D">
        <w:rPr>
          <w:rtl/>
        </w:rPr>
        <w:t>اپل</w:t>
      </w:r>
      <w:r w:rsidRPr="0025250D">
        <w:rPr>
          <w:rFonts w:hint="cs"/>
          <w:rtl/>
        </w:rPr>
        <w:t>ی</w:t>
      </w:r>
      <w:r w:rsidRPr="0025250D">
        <w:rPr>
          <w:rFonts w:hint="eastAsia"/>
          <w:rtl/>
        </w:rPr>
        <w:t>ک</w:t>
      </w:r>
      <w:r w:rsidRPr="0025250D">
        <w:rPr>
          <w:rFonts w:hint="cs"/>
          <w:rtl/>
        </w:rPr>
        <w:t>ی</w:t>
      </w:r>
      <w:r w:rsidRPr="0025250D">
        <w:rPr>
          <w:rFonts w:hint="eastAsia"/>
          <w:rtl/>
        </w:rPr>
        <w:t>شن‌ها</w:t>
      </w:r>
      <w:r w:rsidRPr="0025250D">
        <w:rPr>
          <w:rFonts w:hint="cs"/>
          <w:rtl/>
        </w:rPr>
        <w:t>ی</w:t>
      </w:r>
      <w:r w:rsidRPr="0025250D">
        <w:rPr>
          <w:rtl/>
        </w:rPr>
        <w:t xml:space="preserve"> جد</w:t>
      </w:r>
      <w:r w:rsidRPr="0025250D">
        <w:rPr>
          <w:rFonts w:hint="cs"/>
          <w:rtl/>
        </w:rPr>
        <w:t>ی</w:t>
      </w:r>
      <w:r w:rsidRPr="0025250D">
        <w:rPr>
          <w:rFonts w:hint="eastAsia"/>
          <w:rtl/>
        </w:rPr>
        <w:t>د</w:t>
      </w:r>
      <w:r w:rsidRPr="0025250D">
        <w:rPr>
          <w:rtl/>
        </w:rPr>
        <w:t>: چگونه شرکت‌ها</w:t>
      </w:r>
      <w:r w:rsidRPr="0025250D">
        <w:rPr>
          <w:rFonts w:hint="cs"/>
          <w:rtl/>
        </w:rPr>
        <w:t>ی</w:t>
      </w:r>
      <w:r w:rsidRPr="0025250D">
        <w:rPr>
          <w:rtl/>
        </w:rPr>
        <w:t xml:space="preserve"> بزرگ م</w:t>
      </w:r>
      <w:r w:rsidRPr="0025250D">
        <w:rPr>
          <w:rFonts w:hint="cs"/>
          <w:rtl/>
        </w:rPr>
        <w:t>ی‌</w:t>
      </w:r>
      <w:r w:rsidRPr="0025250D">
        <w:rPr>
          <w:rFonts w:hint="eastAsia"/>
          <w:rtl/>
        </w:rPr>
        <w:t>توانند</w:t>
      </w:r>
      <w:r w:rsidRPr="0025250D">
        <w:rPr>
          <w:rtl/>
        </w:rPr>
        <w:t xml:space="preserve"> </w:t>
      </w:r>
      <w:r w:rsidRPr="0025250D">
        <w:rPr>
          <w:rFonts w:hint="cs"/>
          <w:rtl/>
        </w:rPr>
        <w:t xml:space="preserve">از </w:t>
      </w:r>
      <w:r w:rsidRPr="0025250D">
        <w:rPr>
          <w:rtl/>
        </w:rPr>
        <w:t xml:space="preserve">استارت‌آپ‌ها </w:t>
      </w:r>
      <w:r w:rsidRPr="0025250D">
        <w:rPr>
          <w:rFonts w:hint="cs"/>
          <w:rtl/>
        </w:rPr>
        <w:t>در</w:t>
      </w:r>
      <w:r w:rsidRPr="0025250D">
        <w:rPr>
          <w:rtl/>
        </w:rPr>
        <w:t xml:space="preserve"> نوآور</w:t>
      </w:r>
      <w:r w:rsidRPr="0025250D">
        <w:rPr>
          <w:rFonts w:hint="cs"/>
          <w:rtl/>
        </w:rPr>
        <w:t>ی</w:t>
      </w:r>
      <w:r w:rsidRPr="0025250D">
        <w:rPr>
          <w:rtl/>
        </w:rPr>
        <w:t xml:space="preserve"> </w:t>
      </w:r>
      <w:r w:rsidRPr="0025250D">
        <w:rPr>
          <w:rFonts w:hint="cs"/>
          <w:rtl/>
        </w:rPr>
        <w:t>پیشی بگیرند</w:t>
      </w:r>
      <w:r w:rsidRPr="0025250D">
        <w:rPr>
          <w:rtl/>
        </w:rPr>
        <w:t xml:space="preserve">، </w:t>
      </w:r>
      <w:r w:rsidRPr="0025250D">
        <w:rPr>
          <w:rFonts w:hint="cs"/>
          <w:rtl/>
        </w:rPr>
        <w:t>موی و کرول</w:t>
      </w:r>
      <w:r w:rsidRPr="0025250D">
        <w:rPr>
          <w:vertAlign w:val="superscript"/>
          <w:rtl/>
        </w:rPr>
        <w:footnoteReference w:id="3547"/>
      </w:r>
      <w:r w:rsidRPr="0025250D">
        <w:rPr>
          <w:rtl/>
        </w:rPr>
        <w:t>، 2013</w:t>
      </w:r>
    </w:p>
    <w:p w14:paraId="7060913F" w14:textId="77777777" w:rsidR="0037616D" w:rsidRPr="0025250D" w:rsidRDefault="0037616D" w:rsidP="00492C47">
      <w:pPr>
        <w:numPr>
          <w:ilvl w:val="0"/>
          <w:numId w:val="81"/>
        </w:numPr>
        <w:rPr>
          <w:rtl/>
        </w:rPr>
      </w:pPr>
      <w:r w:rsidRPr="0025250D">
        <w:rPr>
          <w:rtl/>
        </w:rPr>
        <w:t>الگو</w:t>
      </w:r>
      <w:r w:rsidRPr="0025250D">
        <w:rPr>
          <w:rFonts w:hint="cs"/>
          <w:rtl/>
        </w:rPr>
        <w:t>ی</w:t>
      </w:r>
      <w:r w:rsidRPr="0025250D">
        <w:rPr>
          <w:rtl/>
        </w:rPr>
        <w:t xml:space="preserve"> انتظار: 1644-2001، کلارک</w:t>
      </w:r>
      <w:r w:rsidRPr="0025250D">
        <w:rPr>
          <w:vertAlign w:val="superscript"/>
          <w:rtl/>
        </w:rPr>
        <w:footnoteReference w:id="3548"/>
      </w:r>
      <w:r w:rsidRPr="0025250D">
        <w:rPr>
          <w:rtl/>
        </w:rPr>
        <w:t>، 1979</w:t>
      </w:r>
    </w:p>
    <w:p w14:paraId="43B115EC" w14:textId="32EEACDD" w:rsidR="0037616D" w:rsidRPr="0025250D" w:rsidRDefault="0037616D" w:rsidP="00492C47">
      <w:pPr>
        <w:numPr>
          <w:ilvl w:val="0"/>
          <w:numId w:val="81"/>
        </w:numPr>
        <w:rPr>
          <w:rtl/>
        </w:rPr>
      </w:pPr>
      <w:r w:rsidRPr="0025250D">
        <w:rPr>
          <w:rtl/>
        </w:rPr>
        <w:t>قدرت تغ</w:t>
      </w:r>
      <w:r w:rsidRPr="0025250D">
        <w:rPr>
          <w:rFonts w:hint="cs"/>
          <w:rtl/>
        </w:rPr>
        <w:t>یی</w:t>
      </w:r>
      <w:r w:rsidRPr="0025250D">
        <w:rPr>
          <w:rFonts w:hint="eastAsia"/>
          <w:rtl/>
        </w:rPr>
        <w:t>ر</w:t>
      </w:r>
      <w:r w:rsidRPr="0025250D">
        <w:rPr>
          <w:rtl/>
        </w:rPr>
        <w:t xml:space="preserve"> جهان: هنر </w:t>
      </w:r>
      <w:r w:rsidR="00FB6A7E" w:rsidRPr="0025250D">
        <w:rPr>
          <w:rtl/>
        </w:rPr>
        <w:t>پیش‌نگری</w:t>
      </w:r>
      <w:r w:rsidRPr="0025250D">
        <w:rPr>
          <w:rFonts w:hint="eastAsia"/>
          <w:rtl/>
        </w:rPr>
        <w:t>،</w:t>
      </w:r>
      <w:r w:rsidRPr="0025250D">
        <w:rPr>
          <w:rtl/>
        </w:rPr>
        <w:t xml:space="preserve"> گراهام مول</w:t>
      </w:r>
      <w:r w:rsidRPr="0025250D">
        <w:rPr>
          <w:rFonts w:hint="cs"/>
          <w:rtl/>
        </w:rPr>
        <w:t>ی</w:t>
      </w:r>
      <w:r w:rsidRPr="0025250D">
        <w:rPr>
          <w:rFonts w:hint="eastAsia"/>
          <w:rtl/>
        </w:rPr>
        <w:t>تور</w:t>
      </w:r>
      <w:r w:rsidRPr="0025250D">
        <w:rPr>
          <w:vertAlign w:val="superscript"/>
          <w:rtl/>
        </w:rPr>
        <w:footnoteReference w:id="3549"/>
      </w:r>
      <w:r w:rsidRPr="0025250D">
        <w:rPr>
          <w:rFonts w:hint="eastAsia"/>
          <w:rtl/>
        </w:rPr>
        <w:t>،</w:t>
      </w:r>
      <w:r w:rsidRPr="0025250D">
        <w:rPr>
          <w:rtl/>
        </w:rPr>
        <w:t xml:space="preserve"> 2004</w:t>
      </w:r>
    </w:p>
    <w:p w14:paraId="7BA2D845" w14:textId="4FD98407" w:rsidR="0037616D" w:rsidRPr="0025250D" w:rsidRDefault="0037616D" w:rsidP="00492C47">
      <w:pPr>
        <w:numPr>
          <w:ilvl w:val="0"/>
          <w:numId w:val="81"/>
        </w:numPr>
        <w:rPr>
          <w:rtl/>
        </w:rPr>
      </w:pPr>
      <w:r w:rsidRPr="0025250D">
        <w:rPr>
          <w:rFonts w:hint="cs"/>
          <w:rtl/>
        </w:rPr>
        <w:t xml:space="preserve">بازی </w:t>
      </w:r>
      <w:r w:rsidR="00D92F6E" w:rsidRPr="0025250D">
        <w:rPr>
          <w:rFonts w:hint="cs"/>
          <w:rtl/>
        </w:rPr>
        <w:t>پیش‌بین</w:t>
      </w:r>
      <w:r w:rsidRPr="0025250D">
        <w:rPr>
          <w:rFonts w:hint="cs"/>
          <w:rtl/>
        </w:rPr>
        <w:t xml:space="preserve">ی، </w:t>
      </w:r>
      <w:r w:rsidRPr="0025250D">
        <w:rPr>
          <w:rtl/>
        </w:rPr>
        <w:t>بروس بوئنو د مسک</w:t>
      </w:r>
      <w:r w:rsidRPr="0025250D">
        <w:rPr>
          <w:rFonts w:hint="cs"/>
          <w:rtl/>
        </w:rPr>
        <w:t>ی</w:t>
      </w:r>
      <w:r w:rsidRPr="0025250D">
        <w:rPr>
          <w:rFonts w:hint="eastAsia"/>
          <w:rtl/>
        </w:rPr>
        <w:t>تا</w:t>
      </w:r>
      <w:r w:rsidRPr="0025250D">
        <w:rPr>
          <w:vertAlign w:val="superscript"/>
          <w:rtl/>
        </w:rPr>
        <w:footnoteReference w:id="3550"/>
      </w:r>
      <w:r w:rsidRPr="0025250D">
        <w:rPr>
          <w:rFonts w:hint="eastAsia"/>
          <w:rtl/>
        </w:rPr>
        <w:t>،</w:t>
      </w:r>
      <w:r w:rsidRPr="0025250D">
        <w:rPr>
          <w:rtl/>
        </w:rPr>
        <w:t xml:space="preserve"> 2009</w:t>
      </w:r>
    </w:p>
    <w:p w14:paraId="314FD198" w14:textId="45A23B17" w:rsidR="0037616D" w:rsidRPr="0025250D" w:rsidRDefault="0037616D" w:rsidP="00492C47">
      <w:pPr>
        <w:numPr>
          <w:ilvl w:val="0"/>
          <w:numId w:val="81"/>
        </w:numPr>
        <w:rPr>
          <w:rtl/>
        </w:rPr>
      </w:pPr>
      <w:r w:rsidRPr="0025250D">
        <w:rPr>
          <w:rFonts w:hint="cs"/>
          <w:rtl/>
        </w:rPr>
        <w:t>به دنبال</w:t>
      </w:r>
      <w:r w:rsidRPr="0025250D">
        <w:rPr>
          <w:rtl/>
        </w:rPr>
        <w:t xml:space="preserve"> سرنوشت: تار</w:t>
      </w:r>
      <w:r w:rsidRPr="0025250D">
        <w:rPr>
          <w:rFonts w:hint="cs"/>
          <w:rtl/>
        </w:rPr>
        <w:t>ی</w:t>
      </w:r>
      <w:r w:rsidRPr="0025250D">
        <w:rPr>
          <w:rFonts w:hint="eastAsia"/>
          <w:rtl/>
        </w:rPr>
        <w:t>خچه</w:t>
      </w:r>
      <w:r w:rsidRPr="0025250D">
        <w:rPr>
          <w:rtl/>
        </w:rPr>
        <w:t xml:space="preserve"> </w:t>
      </w:r>
      <w:r w:rsidR="00D92F6E" w:rsidRPr="0025250D">
        <w:rPr>
          <w:rtl/>
        </w:rPr>
        <w:t>پیش‌بین</w:t>
      </w:r>
      <w:r w:rsidRPr="0025250D">
        <w:rPr>
          <w:rFonts w:hint="cs"/>
          <w:rtl/>
        </w:rPr>
        <w:t>ی</w:t>
      </w:r>
      <w:r w:rsidRPr="0025250D">
        <w:rPr>
          <w:rFonts w:hint="eastAsia"/>
          <w:rtl/>
        </w:rPr>
        <w:t>،</w:t>
      </w:r>
      <w:r w:rsidRPr="0025250D">
        <w:rPr>
          <w:rtl/>
        </w:rPr>
        <w:t xml:space="preserve"> پل هالپرن</w:t>
      </w:r>
      <w:r w:rsidRPr="0025250D">
        <w:rPr>
          <w:vertAlign w:val="superscript"/>
          <w:rtl/>
        </w:rPr>
        <w:footnoteReference w:id="3551"/>
      </w:r>
      <w:r w:rsidRPr="0025250D">
        <w:rPr>
          <w:rtl/>
        </w:rPr>
        <w:t>، 2000.</w:t>
      </w:r>
    </w:p>
    <w:p w14:paraId="5E2877E1" w14:textId="77777777" w:rsidR="0037616D" w:rsidRPr="0025250D" w:rsidRDefault="0037616D" w:rsidP="00492C47">
      <w:pPr>
        <w:numPr>
          <w:ilvl w:val="0"/>
          <w:numId w:val="81"/>
        </w:numPr>
        <w:rPr>
          <w:rtl/>
        </w:rPr>
      </w:pPr>
      <w:r w:rsidRPr="0025250D">
        <w:rPr>
          <w:rtl/>
        </w:rPr>
        <w:t>راهنما</w:t>
      </w:r>
      <w:r w:rsidRPr="0025250D">
        <w:rPr>
          <w:rFonts w:hint="cs"/>
          <w:rtl/>
        </w:rPr>
        <w:t>ی</w:t>
      </w:r>
      <w:r w:rsidRPr="0025250D">
        <w:rPr>
          <w:rtl/>
        </w:rPr>
        <w:t xml:space="preserve"> </w:t>
      </w:r>
      <w:r w:rsidRPr="0025250D">
        <w:rPr>
          <w:rFonts w:hint="cs"/>
          <w:rtl/>
        </w:rPr>
        <w:t>خام</w:t>
      </w:r>
      <w:r w:rsidRPr="0025250D">
        <w:rPr>
          <w:rtl/>
        </w:rPr>
        <w:t xml:space="preserve"> برا</w:t>
      </w:r>
      <w:r w:rsidRPr="0025250D">
        <w:rPr>
          <w:rFonts w:hint="cs"/>
          <w:rtl/>
        </w:rPr>
        <w:t>ی</w:t>
      </w:r>
      <w:r w:rsidRPr="0025250D">
        <w:rPr>
          <w:rtl/>
        </w:rPr>
        <w:t xml:space="preserve"> آ</w:t>
      </w:r>
      <w:r w:rsidRPr="0025250D">
        <w:rPr>
          <w:rFonts w:hint="cs"/>
          <w:rtl/>
        </w:rPr>
        <w:t>ی</w:t>
      </w:r>
      <w:r w:rsidRPr="0025250D">
        <w:rPr>
          <w:rFonts w:hint="eastAsia"/>
          <w:rtl/>
        </w:rPr>
        <w:t>نده،</w:t>
      </w:r>
      <w:r w:rsidRPr="0025250D">
        <w:rPr>
          <w:rtl/>
        </w:rPr>
        <w:t xml:space="preserve"> جان تورن</w:t>
      </w:r>
      <w:r w:rsidRPr="0025250D">
        <w:rPr>
          <w:rFonts w:hint="cs"/>
          <w:rtl/>
        </w:rPr>
        <w:t>ی</w:t>
      </w:r>
      <w:r w:rsidRPr="0025250D">
        <w:rPr>
          <w:vertAlign w:val="superscript"/>
          <w:rtl/>
        </w:rPr>
        <w:footnoteReference w:id="3552"/>
      </w:r>
      <w:r w:rsidRPr="0025250D">
        <w:rPr>
          <w:rFonts w:hint="eastAsia"/>
          <w:rtl/>
        </w:rPr>
        <w:t>،</w:t>
      </w:r>
      <w:r w:rsidRPr="0025250D">
        <w:rPr>
          <w:rtl/>
        </w:rPr>
        <w:t xml:space="preserve"> 2010</w:t>
      </w:r>
    </w:p>
    <w:p w14:paraId="518BCD67" w14:textId="77777777" w:rsidR="0037616D" w:rsidRPr="0025250D" w:rsidRDefault="0037616D" w:rsidP="00492C47">
      <w:pPr>
        <w:numPr>
          <w:ilvl w:val="0"/>
          <w:numId w:val="81"/>
        </w:numPr>
        <w:rPr>
          <w:rtl/>
        </w:rPr>
      </w:pPr>
      <w:r w:rsidRPr="0025250D">
        <w:rPr>
          <w:rtl/>
        </w:rPr>
        <w:t>س</w:t>
      </w:r>
      <w:r w:rsidRPr="0025250D">
        <w:rPr>
          <w:rFonts w:hint="cs"/>
          <w:rtl/>
        </w:rPr>
        <w:t>ی</w:t>
      </w:r>
      <w:r w:rsidRPr="0025250D">
        <w:rPr>
          <w:rFonts w:hint="eastAsia"/>
          <w:rtl/>
        </w:rPr>
        <w:t>گنال</w:t>
      </w:r>
      <w:r w:rsidRPr="0025250D">
        <w:rPr>
          <w:rtl/>
        </w:rPr>
        <w:t xml:space="preserve"> و نو</w:t>
      </w:r>
      <w:r w:rsidRPr="0025250D">
        <w:rPr>
          <w:rFonts w:hint="cs"/>
          <w:rtl/>
        </w:rPr>
        <w:t>ی</w:t>
      </w:r>
      <w:r w:rsidRPr="0025250D">
        <w:rPr>
          <w:rFonts w:hint="eastAsia"/>
          <w:rtl/>
        </w:rPr>
        <w:t>ز</w:t>
      </w:r>
      <w:r w:rsidRPr="0025250D">
        <w:rPr>
          <w:rtl/>
        </w:rPr>
        <w:t>: چرا اکثر پ</w:t>
      </w:r>
      <w:r w:rsidRPr="0025250D">
        <w:rPr>
          <w:rFonts w:hint="cs"/>
          <w:rtl/>
        </w:rPr>
        <w:t>ی</w:t>
      </w:r>
      <w:r w:rsidRPr="0025250D">
        <w:rPr>
          <w:rFonts w:hint="eastAsia"/>
          <w:rtl/>
        </w:rPr>
        <w:t>ش‌ب</w:t>
      </w:r>
      <w:r w:rsidRPr="0025250D">
        <w:rPr>
          <w:rFonts w:hint="cs"/>
          <w:rtl/>
        </w:rPr>
        <w:t>ی</w:t>
      </w:r>
      <w:r w:rsidRPr="0025250D">
        <w:rPr>
          <w:rFonts w:hint="eastAsia"/>
          <w:rtl/>
        </w:rPr>
        <w:t>ن</w:t>
      </w:r>
      <w:r w:rsidRPr="0025250D">
        <w:rPr>
          <w:rFonts w:hint="cs"/>
          <w:rtl/>
        </w:rPr>
        <w:t>ی‌</w:t>
      </w:r>
      <w:r w:rsidRPr="0025250D">
        <w:rPr>
          <w:rFonts w:hint="eastAsia"/>
          <w:rtl/>
        </w:rPr>
        <w:t>ها</w:t>
      </w:r>
      <w:r w:rsidRPr="0025250D">
        <w:rPr>
          <w:rtl/>
        </w:rPr>
        <w:t xml:space="preserve"> شکست م</w:t>
      </w:r>
      <w:r w:rsidRPr="0025250D">
        <w:rPr>
          <w:rFonts w:hint="cs"/>
          <w:rtl/>
        </w:rPr>
        <w:t>ی‌</w:t>
      </w:r>
      <w:r w:rsidRPr="0025250D">
        <w:rPr>
          <w:rFonts w:hint="eastAsia"/>
          <w:rtl/>
        </w:rPr>
        <w:t>خورند،</w:t>
      </w:r>
      <w:r w:rsidRPr="0025250D">
        <w:rPr>
          <w:rtl/>
        </w:rPr>
        <w:t xml:space="preserve"> اما برخ</w:t>
      </w:r>
      <w:r w:rsidRPr="0025250D">
        <w:rPr>
          <w:rFonts w:hint="cs"/>
          <w:rtl/>
        </w:rPr>
        <w:t>ی</w:t>
      </w:r>
      <w:r w:rsidRPr="0025250D">
        <w:rPr>
          <w:rtl/>
        </w:rPr>
        <w:t xml:space="preserve"> </w:t>
      </w:r>
      <w:r w:rsidRPr="0025250D">
        <w:rPr>
          <w:rFonts w:hint="cs"/>
          <w:rtl/>
        </w:rPr>
        <w:t>موفق می‌شوند</w:t>
      </w:r>
      <w:r w:rsidRPr="0025250D">
        <w:rPr>
          <w:rFonts w:hint="eastAsia"/>
          <w:rtl/>
        </w:rPr>
        <w:t>،</w:t>
      </w:r>
      <w:r w:rsidRPr="0025250D">
        <w:rPr>
          <w:rtl/>
        </w:rPr>
        <w:t xml:space="preserve"> ن</w:t>
      </w:r>
      <w:r w:rsidRPr="0025250D">
        <w:rPr>
          <w:rFonts w:hint="cs"/>
          <w:rtl/>
        </w:rPr>
        <w:t>ی</w:t>
      </w:r>
      <w:r w:rsidRPr="0025250D">
        <w:rPr>
          <w:rFonts w:hint="eastAsia"/>
          <w:rtl/>
        </w:rPr>
        <w:t>ت</w:t>
      </w:r>
      <w:r w:rsidRPr="0025250D">
        <w:rPr>
          <w:rtl/>
        </w:rPr>
        <w:t xml:space="preserve"> س</w:t>
      </w:r>
      <w:r w:rsidRPr="0025250D">
        <w:rPr>
          <w:rFonts w:hint="cs"/>
          <w:rtl/>
        </w:rPr>
        <w:t>ی</w:t>
      </w:r>
      <w:r w:rsidRPr="0025250D">
        <w:rPr>
          <w:rFonts w:hint="eastAsia"/>
          <w:rtl/>
        </w:rPr>
        <w:t>لور</w:t>
      </w:r>
      <w:r w:rsidRPr="0025250D">
        <w:rPr>
          <w:vertAlign w:val="superscript"/>
          <w:rtl/>
        </w:rPr>
        <w:footnoteReference w:id="3553"/>
      </w:r>
      <w:r w:rsidRPr="0025250D">
        <w:rPr>
          <w:rFonts w:hint="eastAsia"/>
          <w:rtl/>
        </w:rPr>
        <w:t>،</w:t>
      </w:r>
      <w:r w:rsidRPr="0025250D">
        <w:rPr>
          <w:rtl/>
        </w:rPr>
        <w:t xml:space="preserve"> 2012</w:t>
      </w:r>
    </w:p>
    <w:p w14:paraId="7B53BA03" w14:textId="15204EAF" w:rsidR="0037616D" w:rsidRPr="0025250D" w:rsidRDefault="0037616D" w:rsidP="00492C47">
      <w:pPr>
        <w:numPr>
          <w:ilvl w:val="0"/>
          <w:numId w:val="81"/>
        </w:numPr>
        <w:rPr>
          <w:rtl/>
        </w:rPr>
      </w:pPr>
      <w:r w:rsidRPr="0025250D">
        <w:rPr>
          <w:rtl/>
        </w:rPr>
        <w:t>حس ششم: تسر</w:t>
      </w:r>
      <w:r w:rsidRPr="0025250D">
        <w:rPr>
          <w:rFonts w:hint="cs"/>
          <w:rtl/>
        </w:rPr>
        <w:t>ی</w:t>
      </w:r>
      <w:r w:rsidRPr="0025250D">
        <w:rPr>
          <w:rFonts w:hint="eastAsia"/>
          <w:rtl/>
        </w:rPr>
        <w:t>ع</w:t>
      </w:r>
      <w:r w:rsidRPr="0025250D">
        <w:rPr>
          <w:rtl/>
        </w:rPr>
        <w:t xml:space="preserve"> </w:t>
      </w:r>
      <w:r w:rsidRPr="0025250D">
        <w:rPr>
          <w:rFonts w:hint="cs"/>
          <w:rtl/>
        </w:rPr>
        <w:t>ی</w:t>
      </w:r>
      <w:r w:rsidRPr="0025250D">
        <w:rPr>
          <w:rFonts w:hint="eastAsia"/>
          <w:rtl/>
        </w:rPr>
        <w:t>ادگ</w:t>
      </w:r>
      <w:r w:rsidRPr="0025250D">
        <w:rPr>
          <w:rFonts w:hint="cs"/>
          <w:rtl/>
        </w:rPr>
        <w:t>ی</w:t>
      </w:r>
      <w:r w:rsidRPr="0025250D">
        <w:rPr>
          <w:rFonts w:hint="eastAsia"/>
          <w:rtl/>
        </w:rPr>
        <w:t>ر</w:t>
      </w:r>
      <w:r w:rsidRPr="0025250D">
        <w:rPr>
          <w:rFonts w:hint="cs"/>
          <w:rtl/>
        </w:rPr>
        <w:t>ی</w:t>
      </w:r>
      <w:r w:rsidRPr="0025250D">
        <w:rPr>
          <w:rtl/>
        </w:rPr>
        <w:t xml:space="preserve"> </w:t>
      </w:r>
      <w:r w:rsidRPr="0025250D">
        <w:rPr>
          <w:rFonts w:hint="cs"/>
          <w:rtl/>
        </w:rPr>
        <w:t>سازمانی</w:t>
      </w:r>
      <w:r w:rsidRPr="0025250D">
        <w:rPr>
          <w:rtl/>
        </w:rPr>
        <w:t xml:space="preserve"> با </w:t>
      </w:r>
      <w:r w:rsidR="007A53FD" w:rsidRPr="0025250D">
        <w:rPr>
          <w:rtl/>
        </w:rPr>
        <w:t>فرانامه</w:t>
      </w:r>
      <w:r w:rsidRPr="0025250D">
        <w:rPr>
          <w:rFonts w:hint="eastAsia"/>
          <w:rtl/>
        </w:rPr>
        <w:t>ها،</w:t>
      </w:r>
      <w:r w:rsidRPr="0025250D">
        <w:rPr>
          <w:rtl/>
        </w:rPr>
        <w:t xml:space="preserve"> ک</w:t>
      </w:r>
      <w:r w:rsidRPr="0025250D">
        <w:rPr>
          <w:rFonts w:hint="cs"/>
          <w:rtl/>
        </w:rPr>
        <w:t>ی</w:t>
      </w:r>
      <w:r w:rsidRPr="0025250D">
        <w:rPr>
          <w:rFonts w:hint="eastAsia"/>
          <w:rtl/>
        </w:rPr>
        <w:t>س</w:t>
      </w:r>
      <w:r w:rsidRPr="0025250D">
        <w:rPr>
          <w:rtl/>
        </w:rPr>
        <w:t xml:space="preserve"> ون در ها</w:t>
      </w:r>
      <w:r w:rsidRPr="0025250D">
        <w:rPr>
          <w:rFonts w:hint="cs"/>
          <w:rtl/>
        </w:rPr>
        <w:t>ی</w:t>
      </w:r>
      <w:r w:rsidRPr="0025250D">
        <w:rPr>
          <w:rFonts w:hint="eastAsia"/>
          <w:rtl/>
        </w:rPr>
        <w:t>دن</w:t>
      </w:r>
      <w:r w:rsidRPr="0025250D">
        <w:rPr>
          <w:vertAlign w:val="superscript"/>
          <w:rtl/>
        </w:rPr>
        <w:footnoteReference w:id="3554"/>
      </w:r>
      <w:r w:rsidRPr="0025250D">
        <w:rPr>
          <w:rFonts w:hint="eastAsia"/>
          <w:rtl/>
        </w:rPr>
        <w:t>،</w:t>
      </w:r>
      <w:r w:rsidRPr="0025250D">
        <w:rPr>
          <w:rtl/>
        </w:rPr>
        <w:t xml:space="preserve"> 2002</w:t>
      </w:r>
    </w:p>
    <w:p w14:paraId="5613FDE0" w14:textId="77777777" w:rsidR="0037616D" w:rsidRPr="0025250D" w:rsidRDefault="0037616D" w:rsidP="00492C47">
      <w:pPr>
        <w:numPr>
          <w:ilvl w:val="0"/>
          <w:numId w:val="81"/>
        </w:numPr>
        <w:rPr>
          <w:rtl/>
        </w:rPr>
      </w:pPr>
      <w:r w:rsidRPr="0025250D">
        <w:rPr>
          <w:rtl/>
        </w:rPr>
        <w:t>ستاره در</w:t>
      </w:r>
      <w:r w:rsidRPr="0025250D">
        <w:rPr>
          <w:rFonts w:hint="cs"/>
          <w:rtl/>
        </w:rPr>
        <w:t>ی</w:t>
      </w:r>
      <w:r w:rsidRPr="0025250D">
        <w:rPr>
          <w:rFonts w:hint="eastAsia"/>
          <w:rtl/>
        </w:rPr>
        <w:t>ا</w:t>
      </w:r>
      <w:r w:rsidRPr="0025250D">
        <w:rPr>
          <w:rFonts w:hint="cs"/>
          <w:rtl/>
        </w:rPr>
        <w:t>یی</w:t>
      </w:r>
      <w:r w:rsidRPr="0025250D">
        <w:rPr>
          <w:rtl/>
        </w:rPr>
        <w:t xml:space="preserve"> و عنکبوت، برافمن و بکستروم</w:t>
      </w:r>
      <w:r w:rsidRPr="0025250D">
        <w:rPr>
          <w:vertAlign w:val="superscript"/>
          <w:rtl/>
        </w:rPr>
        <w:footnoteReference w:id="3555"/>
      </w:r>
      <w:r w:rsidRPr="0025250D">
        <w:rPr>
          <w:rtl/>
        </w:rPr>
        <w:t>، 2008</w:t>
      </w:r>
    </w:p>
    <w:p w14:paraId="57FF4CB8" w14:textId="77777777" w:rsidR="0037616D" w:rsidRPr="0025250D" w:rsidRDefault="0037616D" w:rsidP="00492C47">
      <w:pPr>
        <w:numPr>
          <w:ilvl w:val="0"/>
          <w:numId w:val="81"/>
        </w:numPr>
        <w:rPr>
          <w:rtl/>
        </w:rPr>
      </w:pPr>
      <w:r w:rsidRPr="0025250D">
        <w:rPr>
          <w:rtl/>
        </w:rPr>
        <w:t>ذهن نامحدود: تفکر غ</w:t>
      </w:r>
      <w:r w:rsidRPr="0025250D">
        <w:rPr>
          <w:rFonts w:hint="cs"/>
          <w:rtl/>
        </w:rPr>
        <w:t>ی</w:t>
      </w:r>
      <w:r w:rsidRPr="0025250D">
        <w:rPr>
          <w:rFonts w:hint="eastAsia"/>
          <w:rtl/>
        </w:rPr>
        <w:t>ر</w:t>
      </w:r>
      <w:r w:rsidRPr="0025250D">
        <w:rPr>
          <w:rtl/>
        </w:rPr>
        <w:t xml:space="preserve"> سنت</w:t>
      </w:r>
      <w:r w:rsidRPr="0025250D">
        <w:rPr>
          <w:rFonts w:hint="cs"/>
          <w:rtl/>
        </w:rPr>
        <w:t>ی</w:t>
      </w:r>
      <w:r w:rsidRPr="0025250D">
        <w:rPr>
          <w:rtl/>
        </w:rPr>
        <w:t xml:space="preserve"> ب</w:t>
      </w:r>
      <w:r w:rsidRPr="0025250D">
        <w:rPr>
          <w:rFonts w:hint="cs"/>
          <w:rtl/>
        </w:rPr>
        <w:t>ی</w:t>
      </w:r>
      <w:r w:rsidRPr="0025250D">
        <w:rPr>
          <w:rFonts w:hint="eastAsia"/>
          <w:rtl/>
        </w:rPr>
        <w:t>ز،</w:t>
      </w:r>
      <w:r w:rsidRPr="0025250D">
        <w:rPr>
          <w:rtl/>
        </w:rPr>
        <w:t xml:space="preserve"> ا</w:t>
      </w:r>
      <w:r w:rsidRPr="0025250D">
        <w:rPr>
          <w:rFonts w:hint="cs"/>
          <w:rtl/>
        </w:rPr>
        <w:t>ی</w:t>
      </w:r>
      <w:r w:rsidRPr="0025250D">
        <w:rPr>
          <w:rFonts w:hint="eastAsia"/>
          <w:rtl/>
        </w:rPr>
        <w:t>ان</w:t>
      </w:r>
      <w:r w:rsidRPr="0025250D">
        <w:rPr>
          <w:rtl/>
        </w:rPr>
        <w:t xml:space="preserve"> م</w:t>
      </w:r>
      <w:r w:rsidRPr="0025250D">
        <w:rPr>
          <w:rFonts w:hint="cs"/>
          <w:rtl/>
        </w:rPr>
        <w:t>ی</w:t>
      </w:r>
      <w:r w:rsidRPr="0025250D">
        <w:rPr>
          <w:rFonts w:hint="eastAsia"/>
          <w:rtl/>
        </w:rPr>
        <w:t>تروف</w:t>
      </w:r>
      <w:r w:rsidRPr="0025250D">
        <w:rPr>
          <w:rtl/>
        </w:rPr>
        <w:t xml:space="preserve"> و هال ل</w:t>
      </w:r>
      <w:r w:rsidRPr="0025250D">
        <w:rPr>
          <w:rFonts w:hint="cs"/>
          <w:rtl/>
        </w:rPr>
        <w:t>ی</w:t>
      </w:r>
      <w:r w:rsidRPr="0025250D">
        <w:rPr>
          <w:rFonts w:hint="eastAsia"/>
          <w:rtl/>
        </w:rPr>
        <w:t>ن</w:t>
      </w:r>
      <w:r w:rsidRPr="0025250D">
        <w:rPr>
          <w:rtl/>
        </w:rPr>
        <w:t xml:space="preserve"> استون</w:t>
      </w:r>
      <w:r w:rsidRPr="0025250D">
        <w:rPr>
          <w:vertAlign w:val="superscript"/>
          <w:rtl/>
        </w:rPr>
        <w:footnoteReference w:id="3556"/>
      </w:r>
      <w:r w:rsidRPr="0025250D">
        <w:rPr>
          <w:rtl/>
        </w:rPr>
        <w:t>، 1995</w:t>
      </w:r>
    </w:p>
    <w:p w14:paraId="782F2095" w14:textId="77777777" w:rsidR="0037616D" w:rsidRPr="0025250D" w:rsidRDefault="0037616D" w:rsidP="00492C47">
      <w:pPr>
        <w:numPr>
          <w:ilvl w:val="0"/>
          <w:numId w:val="81"/>
        </w:numPr>
        <w:rPr>
          <w:rtl/>
        </w:rPr>
      </w:pPr>
      <w:r w:rsidRPr="0025250D">
        <w:rPr>
          <w:rtl/>
        </w:rPr>
        <w:t>راه‌ها و قدرت عشق، پ</w:t>
      </w:r>
      <w:r w:rsidRPr="0025250D">
        <w:rPr>
          <w:rFonts w:hint="cs"/>
          <w:rtl/>
        </w:rPr>
        <w:t>ی</w:t>
      </w:r>
      <w:r w:rsidRPr="0025250D">
        <w:rPr>
          <w:rFonts w:hint="eastAsia"/>
          <w:rtl/>
        </w:rPr>
        <w:t>ت</w:t>
      </w:r>
      <w:r w:rsidRPr="0025250D">
        <w:rPr>
          <w:rFonts w:hint="cs"/>
          <w:rtl/>
        </w:rPr>
        <w:t>ی</w:t>
      </w:r>
      <w:r w:rsidRPr="0025250D">
        <w:rPr>
          <w:rFonts w:hint="eastAsia"/>
          <w:rtl/>
        </w:rPr>
        <w:t>ر</w:t>
      </w:r>
      <w:r w:rsidRPr="0025250D">
        <w:rPr>
          <w:rFonts w:hint="cs"/>
          <w:rtl/>
        </w:rPr>
        <w:t>ی</w:t>
      </w:r>
      <w:r w:rsidRPr="0025250D">
        <w:rPr>
          <w:rFonts w:hint="eastAsia"/>
          <w:rtl/>
        </w:rPr>
        <w:t>م</w:t>
      </w:r>
      <w:r w:rsidRPr="0025250D">
        <w:rPr>
          <w:rtl/>
        </w:rPr>
        <w:t xml:space="preserve"> سوروک</w:t>
      </w:r>
      <w:r w:rsidRPr="0025250D">
        <w:rPr>
          <w:rFonts w:hint="cs"/>
          <w:rtl/>
        </w:rPr>
        <w:t>ی</w:t>
      </w:r>
      <w:r w:rsidRPr="0025250D">
        <w:rPr>
          <w:rFonts w:hint="eastAsia"/>
          <w:rtl/>
        </w:rPr>
        <w:t>ن</w:t>
      </w:r>
      <w:r w:rsidRPr="0025250D">
        <w:rPr>
          <w:vertAlign w:val="superscript"/>
          <w:rtl/>
        </w:rPr>
        <w:footnoteReference w:id="3557"/>
      </w:r>
      <w:r w:rsidRPr="0025250D">
        <w:rPr>
          <w:rFonts w:hint="eastAsia"/>
          <w:rtl/>
        </w:rPr>
        <w:t>،</w:t>
      </w:r>
      <w:r w:rsidRPr="0025250D">
        <w:rPr>
          <w:rtl/>
        </w:rPr>
        <w:t xml:space="preserve"> 1954</w:t>
      </w:r>
    </w:p>
    <w:p w14:paraId="4301E9FE" w14:textId="1D3AFAEF" w:rsidR="0037616D" w:rsidRPr="0025250D" w:rsidRDefault="00701E03" w:rsidP="00492C47">
      <w:pPr>
        <w:numPr>
          <w:ilvl w:val="0"/>
          <w:numId w:val="81"/>
        </w:numPr>
        <w:rPr>
          <w:rtl/>
        </w:rPr>
      </w:pPr>
      <w:r w:rsidRPr="0025250D">
        <w:rPr>
          <w:rtl/>
        </w:rPr>
        <w:t>راهبرد</w:t>
      </w:r>
      <w:r w:rsidR="0037616D" w:rsidRPr="0025250D">
        <w:rPr>
          <w:rtl/>
        </w:rPr>
        <w:t xml:space="preserve"> به موقع: چرخه ب</w:t>
      </w:r>
      <w:r w:rsidR="0037616D" w:rsidRPr="0025250D">
        <w:rPr>
          <w:rFonts w:hint="cs"/>
          <w:rtl/>
        </w:rPr>
        <w:t>ی</w:t>
      </w:r>
      <w:r w:rsidR="0037616D" w:rsidRPr="0025250D">
        <w:rPr>
          <w:rFonts w:hint="eastAsia"/>
          <w:rtl/>
        </w:rPr>
        <w:t>ز</w:t>
      </w:r>
      <w:r w:rsidR="0037616D" w:rsidRPr="0025250D">
        <w:rPr>
          <w:rtl/>
        </w:rPr>
        <w:t xml:space="preserve"> به عنوان مز</w:t>
      </w:r>
      <w:r w:rsidR="0037616D" w:rsidRPr="0025250D">
        <w:rPr>
          <w:rFonts w:hint="cs"/>
          <w:rtl/>
        </w:rPr>
        <w:t>ی</w:t>
      </w:r>
      <w:r w:rsidR="0037616D" w:rsidRPr="0025250D">
        <w:rPr>
          <w:rFonts w:hint="eastAsia"/>
          <w:rtl/>
        </w:rPr>
        <w:t>ت</w:t>
      </w:r>
      <w:r w:rsidR="0037616D" w:rsidRPr="0025250D">
        <w:rPr>
          <w:rtl/>
        </w:rPr>
        <w:t xml:space="preserve"> رقابت</w:t>
      </w:r>
      <w:r w:rsidR="0037616D" w:rsidRPr="0025250D">
        <w:rPr>
          <w:rFonts w:hint="cs"/>
          <w:rtl/>
        </w:rPr>
        <w:t>ی</w:t>
      </w:r>
      <w:r w:rsidR="0037616D" w:rsidRPr="0025250D">
        <w:rPr>
          <w:rFonts w:hint="eastAsia"/>
          <w:rtl/>
        </w:rPr>
        <w:t>،</w:t>
      </w:r>
      <w:r w:rsidR="0037616D" w:rsidRPr="0025250D">
        <w:rPr>
          <w:rtl/>
        </w:rPr>
        <w:t xml:space="preserve"> پ</w:t>
      </w:r>
      <w:r w:rsidR="0037616D" w:rsidRPr="0025250D">
        <w:rPr>
          <w:rFonts w:hint="cs"/>
          <w:rtl/>
        </w:rPr>
        <w:t>ی</w:t>
      </w:r>
      <w:r w:rsidR="0037616D" w:rsidRPr="0025250D">
        <w:rPr>
          <w:rFonts w:hint="eastAsia"/>
          <w:rtl/>
        </w:rPr>
        <w:t>تر</w:t>
      </w:r>
      <w:r w:rsidR="0037616D" w:rsidRPr="0025250D">
        <w:rPr>
          <w:rtl/>
        </w:rPr>
        <w:t xml:space="preserve"> ناوارو</w:t>
      </w:r>
      <w:r w:rsidR="0037616D" w:rsidRPr="0025250D">
        <w:rPr>
          <w:vertAlign w:val="superscript"/>
          <w:rtl/>
        </w:rPr>
        <w:footnoteReference w:id="3558"/>
      </w:r>
      <w:r w:rsidR="0037616D" w:rsidRPr="0025250D">
        <w:rPr>
          <w:rtl/>
        </w:rPr>
        <w:t>، 2006</w:t>
      </w:r>
    </w:p>
    <w:p w14:paraId="3B7A8479" w14:textId="77777777" w:rsidR="0037616D" w:rsidRPr="0025250D" w:rsidRDefault="0037616D" w:rsidP="00492C47">
      <w:pPr>
        <w:numPr>
          <w:ilvl w:val="0"/>
          <w:numId w:val="81"/>
        </w:numPr>
        <w:rPr>
          <w:rtl/>
        </w:rPr>
      </w:pPr>
      <w:r w:rsidRPr="0025250D">
        <w:rPr>
          <w:rtl/>
        </w:rPr>
        <w:t>نظر</w:t>
      </w:r>
      <w:r w:rsidRPr="0025250D">
        <w:rPr>
          <w:rFonts w:hint="cs"/>
          <w:rtl/>
        </w:rPr>
        <w:t>ی</w:t>
      </w:r>
      <w:r w:rsidRPr="0025250D">
        <w:rPr>
          <w:rFonts w:hint="eastAsia"/>
          <w:rtl/>
        </w:rPr>
        <w:t>ه</w:t>
      </w:r>
      <w:r w:rsidRPr="0025250D">
        <w:rPr>
          <w:rtl/>
        </w:rPr>
        <w:t xml:space="preserve"> محدود</w:t>
      </w:r>
      <w:r w:rsidRPr="0025250D">
        <w:rPr>
          <w:rFonts w:hint="cs"/>
          <w:rtl/>
        </w:rPr>
        <w:t>ی</w:t>
      </w:r>
      <w:r w:rsidRPr="0025250D">
        <w:rPr>
          <w:rFonts w:hint="eastAsia"/>
          <w:rtl/>
        </w:rPr>
        <w:t>ت</w:t>
      </w:r>
      <w:r w:rsidRPr="0025250D">
        <w:rPr>
          <w:rtl/>
        </w:rPr>
        <w:t xml:space="preserve"> ها، ال</w:t>
      </w:r>
      <w:r w:rsidRPr="0025250D">
        <w:rPr>
          <w:rFonts w:hint="cs"/>
          <w:rtl/>
        </w:rPr>
        <w:t>ی</w:t>
      </w:r>
      <w:r w:rsidRPr="0025250D">
        <w:rPr>
          <w:rFonts w:hint="eastAsia"/>
          <w:rtl/>
        </w:rPr>
        <w:t>اهو</w:t>
      </w:r>
      <w:r w:rsidRPr="0025250D">
        <w:rPr>
          <w:rtl/>
        </w:rPr>
        <w:t xml:space="preserve"> گلدرات</w:t>
      </w:r>
      <w:r w:rsidRPr="0025250D">
        <w:rPr>
          <w:vertAlign w:val="superscript"/>
          <w:rtl/>
        </w:rPr>
        <w:footnoteReference w:id="3559"/>
      </w:r>
      <w:r w:rsidRPr="0025250D">
        <w:rPr>
          <w:rtl/>
        </w:rPr>
        <w:t>، 1999</w:t>
      </w:r>
    </w:p>
    <w:p w14:paraId="6638EF92" w14:textId="34228F74" w:rsidR="0037616D" w:rsidRPr="0025250D" w:rsidRDefault="0037616D" w:rsidP="00492C47">
      <w:pPr>
        <w:numPr>
          <w:ilvl w:val="0"/>
          <w:numId w:val="81"/>
        </w:numPr>
        <w:rPr>
          <w:rtl/>
        </w:rPr>
      </w:pPr>
      <w:r w:rsidRPr="0025250D">
        <w:rPr>
          <w:rtl/>
        </w:rPr>
        <w:t xml:space="preserve">مثل </w:t>
      </w:r>
      <w:r w:rsidRPr="0025250D">
        <w:rPr>
          <w:rFonts w:hint="cs"/>
          <w:rtl/>
        </w:rPr>
        <w:t>ی</w:t>
      </w:r>
      <w:r w:rsidRPr="0025250D">
        <w:rPr>
          <w:rFonts w:hint="eastAsia"/>
          <w:rtl/>
        </w:rPr>
        <w:t>ک</w:t>
      </w:r>
      <w:r w:rsidRPr="0025250D">
        <w:rPr>
          <w:rtl/>
        </w:rPr>
        <w:t xml:space="preserve"> </w:t>
      </w:r>
      <w:r w:rsidR="00D30084" w:rsidRPr="0025250D">
        <w:rPr>
          <w:rtl/>
        </w:rPr>
        <w:t>آینده‌نگار</w:t>
      </w:r>
      <w:r w:rsidRPr="0025250D">
        <w:rPr>
          <w:rtl/>
        </w:rPr>
        <w:t xml:space="preserve"> فکر کن، س</w:t>
      </w:r>
      <w:r w:rsidRPr="0025250D">
        <w:rPr>
          <w:rFonts w:hint="cs"/>
          <w:rtl/>
        </w:rPr>
        <w:t>ی</w:t>
      </w:r>
      <w:r w:rsidRPr="0025250D">
        <w:rPr>
          <w:rFonts w:hint="eastAsia"/>
          <w:rtl/>
        </w:rPr>
        <w:t>س</w:t>
      </w:r>
      <w:r w:rsidRPr="0025250D">
        <w:rPr>
          <w:rFonts w:hint="cs"/>
          <w:rtl/>
        </w:rPr>
        <w:t>ی</w:t>
      </w:r>
      <w:r w:rsidRPr="0025250D">
        <w:rPr>
          <w:rFonts w:hint="eastAsia"/>
          <w:rtl/>
        </w:rPr>
        <w:t>ل</w:t>
      </w:r>
      <w:r w:rsidRPr="0025250D">
        <w:rPr>
          <w:rFonts w:hint="cs"/>
          <w:rtl/>
        </w:rPr>
        <w:t>ی</w:t>
      </w:r>
      <w:r w:rsidRPr="0025250D">
        <w:rPr>
          <w:rtl/>
        </w:rPr>
        <w:t xml:space="preserve"> سامرز</w:t>
      </w:r>
      <w:r w:rsidRPr="0025250D">
        <w:rPr>
          <w:vertAlign w:val="superscript"/>
          <w:rtl/>
        </w:rPr>
        <w:footnoteReference w:id="3560"/>
      </w:r>
      <w:r w:rsidRPr="0025250D">
        <w:rPr>
          <w:rtl/>
        </w:rPr>
        <w:t>، 2012</w:t>
      </w:r>
    </w:p>
    <w:p w14:paraId="314B972C" w14:textId="4C264AEB" w:rsidR="0037616D" w:rsidRPr="0025250D" w:rsidRDefault="0037616D" w:rsidP="00492C47">
      <w:pPr>
        <w:numPr>
          <w:ilvl w:val="0"/>
          <w:numId w:val="81"/>
        </w:numPr>
        <w:rPr>
          <w:rtl/>
        </w:rPr>
      </w:pPr>
      <w:r w:rsidRPr="0025250D">
        <w:rPr>
          <w:rtl/>
        </w:rPr>
        <w:t>تفکر در مورد آ</w:t>
      </w:r>
      <w:r w:rsidRPr="0025250D">
        <w:rPr>
          <w:rFonts w:hint="cs"/>
          <w:rtl/>
        </w:rPr>
        <w:t>ی</w:t>
      </w:r>
      <w:r w:rsidRPr="0025250D">
        <w:rPr>
          <w:rFonts w:hint="eastAsia"/>
          <w:rtl/>
        </w:rPr>
        <w:t>نده</w:t>
      </w:r>
      <w:r w:rsidRPr="0025250D">
        <w:rPr>
          <w:rtl/>
        </w:rPr>
        <w:t>: رهنمودها</w:t>
      </w:r>
      <w:r w:rsidRPr="0025250D">
        <w:rPr>
          <w:rFonts w:hint="cs"/>
          <w:rtl/>
        </w:rPr>
        <w:t>یی</w:t>
      </w:r>
      <w:r w:rsidRPr="0025250D">
        <w:rPr>
          <w:rtl/>
        </w:rPr>
        <w:t xml:space="preserve"> برا</w:t>
      </w:r>
      <w:r w:rsidRPr="0025250D">
        <w:rPr>
          <w:rFonts w:hint="cs"/>
          <w:rtl/>
        </w:rPr>
        <w:t>ی</w:t>
      </w:r>
      <w:r w:rsidRPr="0025250D">
        <w:rPr>
          <w:rtl/>
        </w:rPr>
        <w:t xml:space="preserve"> آینده‌نگاری </w:t>
      </w:r>
      <w:r w:rsidR="00701E03" w:rsidRPr="0025250D">
        <w:rPr>
          <w:rtl/>
        </w:rPr>
        <w:t>راهبردی</w:t>
      </w:r>
      <w:r w:rsidRPr="0025250D">
        <w:rPr>
          <w:rFonts w:hint="eastAsia"/>
          <w:rtl/>
        </w:rPr>
        <w:t>،</w:t>
      </w:r>
      <w:r w:rsidRPr="0025250D">
        <w:rPr>
          <w:rtl/>
        </w:rPr>
        <w:t xml:space="preserve"> ب</w:t>
      </w:r>
      <w:r w:rsidRPr="0025250D">
        <w:rPr>
          <w:rFonts w:hint="cs"/>
          <w:rtl/>
        </w:rPr>
        <w:t>ی</w:t>
      </w:r>
      <w:r w:rsidRPr="0025250D">
        <w:rPr>
          <w:rFonts w:hint="eastAsia"/>
          <w:rtl/>
        </w:rPr>
        <w:t>شاپ</w:t>
      </w:r>
      <w:r w:rsidRPr="0025250D">
        <w:rPr>
          <w:rtl/>
        </w:rPr>
        <w:t xml:space="preserve"> و ها</w:t>
      </w:r>
      <w:r w:rsidRPr="0025250D">
        <w:rPr>
          <w:rFonts w:hint="cs"/>
          <w:rtl/>
        </w:rPr>
        <w:t>ی</w:t>
      </w:r>
      <w:r w:rsidRPr="0025250D">
        <w:rPr>
          <w:rFonts w:hint="eastAsia"/>
          <w:rtl/>
        </w:rPr>
        <w:t>نز</w:t>
      </w:r>
      <w:r w:rsidRPr="0025250D">
        <w:rPr>
          <w:vertAlign w:val="superscript"/>
          <w:rtl/>
        </w:rPr>
        <w:footnoteReference w:id="3561"/>
      </w:r>
      <w:r w:rsidRPr="0025250D">
        <w:rPr>
          <w:rFonts w:hint="eastAsia"/>
          <w:rtl/>
        </w:rPr>
        <w:t>،</w:t>
      </w:r>
      <w:r w:rsidRPr="0025250D">
        <w:rPr>
          <w:rtl/>
        </w:rPr>
        <w:t xml:space="preserve"> 2007</w:t>
      </w:r>
    </w:p>
    <w:p w14:paraId="3BF33260" w14:textId="64318EFC" w:rsidR="0037616D" w:rsidRPr="0025250D" w:rsidRDefault="0037616D" w:rsidP="00492C47">
      <w:pPr>
        <w:numPr>
          <w:ilvl w:val="0"/>
          <w:numId w:val="81"/>
        </w:numPr>
        <w:rPr>
          <w:rtl/>
        </w:rPr>
      </w:pPr>
      <w:r w:rsidRPr="0025250D">
        <w:rPr>
          <w:rtl/>
        </w:rPr>
        <w:t xml:space="preserve">تفکر در </w:t>
      </w:r>
      <w:r w:rsidR="008D6F97" w:rsidRPr="0025250D">
        <w:rPr>
          <w:rtl/>
        </w:rPr>
        <w:t>سامانه‌</w:t>
      </w:r>
      <w:r w:rsidRPr="0025250D">
        <w:rPr>
          <w:rtl/>
        </w:rPr>
        <w:t xml:space="preserve"> ها: </w:t>
      </w:r>
      <w:r w:rsidRPr="0025250D">
        <w:rPr>
          <w:rFonts w:hint="cs"/>
          <w:rtl/>
        </w:rPr>
        <w:t>ی</w:t>
      </w:r>
      <w:r w:rsidRPr="0025250D">
        <w:rPr>
          <w:rFonts w:hint="eastAsia"/>
          <w:rtl/>
        </w:rPr>
        <w:t>ک</w:t>
      </w:r>
      <w:r w:rsidRPr="0025250D">
        <w:rPr>
          <w:rtl/>
        </w:rPr>
        <w:t xml:space="preserve"> آغازگر، دونلا م</w:t>
      </w:r>
      <w:r w:rsidRPr="0025250D">
        <w:rPr>
          <w:rFonts w:hint="cs"/>
          <w:rtl/>
        </w:rPr>
        <w:t>ی</w:t>
      </w:r>
      <w:r w:rsidRPr="0025250D">
        <w:rPr>
          <w:rFonts w:hint="eastAsia"/>
          <w:rtl/>
        </w:rPr>
        <w:t>دوز</w:t>
      </w:r>
      <w:r w:rsidRPr="0025250D">
        <w:rPr>
          <w:vertAlign w:val="superscript"/>
          <w:rtl/>
        </w:rPr>
        <w:footnoteReference w:id="3562"/>
      </w:r>
      <w:r w:rsidRPr="0025250D">
        <w:rPr>
          <w:rFonts w:hint="eastAsia"/>
          <w:rtl/>
        </w:rPr>
        <w:t>،</w:t>
      </w:r>
      <w:r w:rsidRPr="0025250D">
        <w:rPr>
          <w:rtl/>
        </w:rPr>
        <w:t xml:space="preserve"> 2008.</w:t>
      </w:r>
    </w:p>
    <w:p w14:paraId="7BE059F9" w14:textId="77777777" w:rsidR="0037616D" w:rsidRPr="0025250D" w:rsidRDefault="0037616D" w:rsidP="00492C47">
      <w:pPr>
        <w:numPr>
          <w:ilvl w:val="0"/>
          <w:numId w:val="81"/>
        </w:numPr>
        <w:rPr>
          <w:rtl/>
        </w:rPr>
      </w:pPr>
      <w:r w:rsidRPr="0025250D">
        <w:rPr>
          <w:rtl/>
        </w:rPr>
        <w:t>اند</w:t>
      </w:r>
      <w:r w:rsidRPr="0025250D">
        <w:rPr>
          <w:rFonts w:hint="cs"/>
          <w:rtl/>
        </w:rPr>
        <w:t>ی</w:t>
      </w:r>
      <w:r w:rsidRPr="0025250D">
        <w:rPr>
          <w:rFonts w:hint="eastAsia"/>
          <w:rtl/>
        </w:rPr>
        <w:t>شه</w:t>
      </w:r>
      <w:r w:rsidRPr="0025250D">
        <w:rPr>
          <w:rtl/>
        </w:rPr>
        <w:t xml:space="preserve"> و دانش: مقدمه‌ای بر تفکر انتقاد</w:t>
      </w:r>
      <w:r w:rsidRPr="0025250D">
        <w:rPr>
          <w:rFonts w:hint="cs"/>
          <w:rtl/>
        </w:rPr>
        <w:t>ی</w:t>
      </w:r>
      <w:r w:rsidRPr="0025250D">
        <w:rPr>
          <w:rFonts w:hint="eastAsia"/>
          <w:rtl/>
        </w:rPr>
        <w:t>،</w:t>
      </w:r>
      <w:r w:rsidRPr="0025250D">
        <w:rPr>
          <w:rtl/>
        </w:rPr>
        <w:t xml:space="preserve"> و</w:t>
      </w:r>
      <w:r w:rsidRPr="0025250D">
        <w:rPr>
          <w:rFonts w:hint="cs"/>
          <w:rtl/>
        </w:rPr>
        <w:t>ی</w:t>
      </w:r>
      <w:r w:rsidRPr="0025250D">
        <w:rPr>
          <w:rFonts w:hint="eastAsia"/>
          <w:rtl/>
        </w:rPr>
        <w:t>را</w:t>
      </w:r>
      <w:r w:rsidRPr="0025250D">
        <w:rPr>
          <w:rFonts w:hint="cs"/>
          <w:rtl/>
        </w:rPr>
        <w:t>ی</w:t>
      </w:r>
      <w:r w:rsidRPr="0025250D">
        <w:rPr>
          <w:rFonts w:hint="eastAsia"/>
          <w:rtl/>
        </w:rPr>
        <w:t>ش</w:t>
      </w:r>
      <w:r w:rsidRPr="0025250D">
        <w:rPr>
          <w:rtl/>
        </w:rPr>
        <w:t xml:space="preserve"> پنجم، دا</w:t>
      </w:r>
      <w:r w:rsidRPr="0025250D">
        <w:rPr>
          <w:rFonts w:hint="cs"/>
          <w:rtl/>
        </w:rPr>
        <w:t>ی</w:t>
      </w:r>
      <w:r w:rsidRPr="0025250D">
        <w:rPr>
          <w:rFonts w:hint="eastAsia"/>
          <w:rtl/>
        </w:rPr>
        <w:t>ان</w:t>
      </w:r>
      <w:r w:rsidRPr="0025250D">
        <w:rPr>
          <w:rtl/>
        </w:rPr>
        <w:t xml:space="preserve"> اف. هالپرن</w:t>
      </w:r>
      <w:r w:rsidRPr="0025250D">
        <w:rPr>
          <w:vertAlign w:val="superscript"/>
          <w:rtl/>
        </w:rPr>
        <w:footnoteReference w:id="3563"/>
      </w:r>
      <w:r w:rsidRPr="0025250D">
        <w:rPr>
          <w:rtl/>
        </w:rPr>
        <w:t>، 2013</w:t>
      </w:r>
    </w:p>
    <w:p w14:paraId="68E8A223" w14:textId="77777777" w:rsidR="0037616D" w:rsidRPr="0025250D" w:rsidRDefault="0037616D" w:rsidP="00492C47">
      <w:pPr>
        <w:numPr>
          <w:ilvl w:val="0"/>
          <w:numId w:val="81"/>
        </w:numPr>
        <w:rPr>
          <w:rtl/>
        </w:rPr>
      </w:pPr>
      <w:r w:rsidRPr="0025250D">
        <w:rPr>
          <w:rtl/>
        </w:rPr>
        <w:t>رونق پذ</w:t>
      </w:r>
      <w:r w:rsidRPr="0025250D">
        <w:rPr>
          <w:rFonts w:hint="cs"/>
          <w:rtl/>
        </w:rPr>
        <w:t>ی</w:t>
      </w:r>
      <w:r w:rsidRPr="0025250D">
        <w:rPr>
          <w:rFonts w:hint="eastAsia"/>
          <w:rtl/>
        </w:rPr>
        <w:t>ر</w:t>
      </w:r>
      <w:r w:rsidRPr="0025250D">
        <w:rPr>
          <w:rFonts w:hint="cs"/>
          <w:rtl/>
        </w:rPr>
        <w:t>ی</w:t>
      </w:r>
      <w:r w:rsidRPr="0025250D">
        <w:rPr>
          <w:rtl/>
        </w:rPr>
        <w:t xml:space="preserve">: </w:t>
      </w:r>
      <w:r w:rsidRPr="0025250D">
        <w:rPr>
          <w:rFonts w:hint="cs"/>
          <w:rtl/>
        </w:rPr>
        <w:t>حرکت به سمت</w:t>
      </w:r>
      <w:r w:rsidRPr="0025250D">
        <w:rPr>
          <w:rtl/>
        </w:rPr>
        <w:t xml:space="preserve"> دن</w:t>
      </w:r>
      <w:r w:rsidRPr="0025250D">
        <w:rPr>
          <w:rFonts w:hint="cs"/>
          <w:rtl/>
        </w:rPr>
        <w:t>ی</w:t>
      </w:r>
      <w:r w:rsidRPr="0025250D">
        <w:rPr>
          <w:rFonts w:hint="eastAsia"/>
          <w:rtl/>
        </w:rPr>
        <w:t>ا</w:t>
      </w:r>
      <w:r w:rsidRPr="0025250D">
        <w:rPr>
          <w:rFonts w:hint="cs"/>
          <w:rtl/>
        </w:rPr>
        <w:t>یی</w:t>
      </w:r>
      <w:r w:rsidRPr="0025250D">
        <w:rPr>
          <w:rtl/>
        </w:rPr>
        <w:t xml:space="preserve"> که کار می‌کند، ژان ام راسل</w:t>
      </w:r>
      <w:r w:rsidRPr="0025250D">
        <w:rPr>
          <w:vertAlign w:val="superscript"/>
          <w:rtl/>
        </w:rPr>
        <w:footnoteReference w:id="3564"/>
      </w:r>
      <w:r w:rsidRPr="0025250D">
        <w:rPr>
          <w:rtl/>
        </w:rPr>
        <w:t>، 2013</w:t>
      </w:r>
    </w:p>
    <w:p w14:paraId="3FA0FC25" w14:textId="77777777" w:rsidR="0037616D" w:rsidRPr="0025250D" w:rsidRDefault="0037616D" w:rsidP="00492C47">
      <w:pPr>
        <w:numPr>
          <w:ilvl w:val="0"/>
          <w:numId w:val="81"/>
        </w:numPr>
        <w:rPr>
          <w:rtl/>
        </w:rPr>
      </w:pPr>
      <w:r w:rsidRPr="0025250D">
        <w:rPr>
          <w:rtl/>
        </w:rPr>
        <w:t>زمان</w:t>
      </w:r>
      <w:r w:rsidRPr="0025250D">
        <w:rPr>
          <w:rFonts w:hint="cs"/>
          <w:rtl/>
        </w:rPr>
        <w:t>ی برای</w:t>
      </w:r>
      <w:r w:rsidRPr="0025250D">
        <w:rPr>
          <w:rtl/>
        </w:rPr>
        <w:t xml:space="preserve"> رهبر</w:t>
      </w:r>
      <w:r w:rsidRPr="0025250D">
        <w:rPr>
          <w:rFonts w:hint="cs"/>
          <w:rtl/>
        </w:rPr>
        <w:t>ی</w:t>
      </w:r>
      <w:r w:rsidRPr="0025250D">
        <w:rPr>
          <w:rtl/>
        </w:rPr>
        <w:t>: درس ها</w:t>
      </w:r>
      <w:r w:rsidRPr="0025250D">
        <w:rPr>
          <w:rFonts w:hint="cs"/>
          <w:rtl/>
        </w:rPr>
        <w:t>یی</w:t>
      </w:r>
      <w:r w:rsidRPr="0025250D">
        <w:rPr>
          <w:rtl/>
        </w:rPr>
        <w:t xml:space="preserve"> برا</w:t>
      </w:r>
      <w:r w:rsidRPr="0025250D">
        <w:rPr>
          <w:rFonts w:hint="cs"/>
          <w:rtl/>
        </w:rPr>
        <w:t>ی</w:t>
      </w:r>
      <w:r w:rsidRPr="0025250D">
        <w:rPr>
          <w:rtl/>
        </w:rPr>
        <w:t xml:space="preserve"> رهبران امروز، </w:t>
      </w:r>
      <w:r w:rsidRPr="0025250D">
        <w:rPr>
          <w:rFonts w:hint="cs"/>
          <w:rtl/>
        </w:rPr>
        <w:t>ی</w:t>
      </w:r>
      <w:r w:rsidRPr="0025250D">
        <w:rPr>
          <w:rFonts w:hint="eastAsia"/>
          <w:rtl/>
        </w:rPr>
        <w:t>ان</w:t>
      </w:r>
      <w:r w:rsidRPr="0025250D">
        <w:rPr>
          <w:rtl/>
        </w:rPr>
        <w:t xml:space="preserve"> بند</w:t>
      </w:r>
      <w:r w:rsidRPr="0025250D">
        <w:rPr>
          <w:rFonts w:hint="cs"/>
          <w:rtl/>
        </w:rPr>
        <w:t>ی</w:t>
      </w:r>
      <w:r w:rsidRPr="0025250D">
        <w:rPr>
          <w:rFonts w:hint="eastAsia"/>
          <w:rtl/>
        </w:rPr>
        <w:t>کت</w:t>
      </w:r>
      <w:r w:rsidRPr="0025250D">
        <w:rPr>
          <w:rtl/>
        </w:rPr>
        <w:t xml:space="preserve"> است</w:t>
      </w:r>
      <w:r w:rsidRPr="0025250D">
        <w:rPr>
          <w:rFonts w:hint="cs"/>
          <w:rtl/>
        </w:rPr>
        <w:t>ی</w:t>
      </w:r>
      <w:r w:rsidRPr="0025250D">
        <w:rPr>
          <w:rFonts w:hint="eastAsia"/>
          <w:rtl/>
        </w:rPr>
        <w:t>ن</w:t>
      </w:r>
      <w:r w:rsidRPr="0025250D">
        <w:rPr>
          <w:rtl/>
        </w:rPr>
        <w:t xml:space="preserve"> کمپ</w:t>
      </w:r>
      <w:r w:rsidRPr="0025250D">
        <w:rPr>
          <w:vertAlign w:val="superscript"/>
          <w:rtl/>
        </w:rPr>
        <w:footnoteReference w:id="3565"/>
      </w:r>
      <w:r w:rsidRPr="0025250D">
        <w:rPr>
          <w:rtl/>
        </w:rPr>
        <w:t>، 2020</w:t>
      </w:r>
    </w:p>
    <w:p w14:paraId="1DF5F2B5" w14:textId="4C1514CF" w:rsidR="0037616D" w:rsidRPr="0025250D" w:rsidRDefault="0037616D" w:rsidP="00492C47">
      <w:pPr>
        <w:numPr>
          <w:ilvl w:val="0"/>
          <w:numId w:val="81"/>
        </w:numPr>
        <w:rPr>
          <w:rtl/>
        </w:rPr>
      </w:pPr>
      <w:r w:rsidRPr="0025250D">
        <w:rPr>
          <w:rtl/>
        </w:rPr>
        <w:t>راهنما</w:t>
      </w:r>
      <w:r w:rsidRPr="0025250D">
        <w:rPr>
          <w:rFonts w:hint="cs"/>
          <w:rtl/>
        </w:rPr>
        <w:t>ی</w:t>
      </w:r>
      <w:r w:rsidRPr="0025250D">
        <w:rPr>
          <w:rtl/>
        </w:rPr>
        <w:t xml:space="preserve"> آ</w:t>
      </w:r>
      <w:r w:rsidRPr="0025250D">
        <w:rPr>
          <w:rFonts w:hint="cs"/>
          <w:rtl/>
        </w:rPr>
        <w:t>ی</w:t>
      </w:r>
      <w:r w:rsidRPr="0025250D">
        <w:rPr>
          <w:rFonts w:hint="eastAsia"/>
          <w:rtl/>
        </w:rPr>
        <w:t>نده‌نگار</w:t>
      </w:r>
      <w:r w:rsidRPr="0025250D">
        <w:rPr>
          <w:rFonts w:hint="cs"/>
          <w:rtl/>
        </w:rPr>
        <w:t>ی</w:t>
      </w:r>
      <w:r w:rsidRPr="0025250D">
        <w:rPr>
          <w:rtl/>
        </w:rPr>
        <w:t xml:space="preserve"> فناور</w:t>
      </w:r>
      <w:r w:rsidRPr="0025250D">
        <w:rPr>
          <w:rFonts w:hint="cs"/>
          <w:rtl/>
        </w:rPr>
        <w:t>ی</w:t>
      </w:r>
      <w:r w:rsidRPr="0025250D">
        <w:rPr>
          <w:rtl/>
        </w:rPr>
        <w:t xml:space="preserve"> </w:t>
      </w:r>
      <w:r w:rsidR="00E3750D" w:rsidRPr="0025250D">
        <w:rPr>
          <w:rFonts w:hint="cs"/>
          <w:rtl/>
        </w:rPr>
        <w:t>یونیدو</w:t>
      </w:r>
      <w:r w:rsidRPr="0025250D">
        <w:rPr>
          <w:rtl/>
        </w:rPr>
        <w:t>، جلد 1، روش‌ها</w:t>
      </w:r>
      <w:r w:rsidR="008D6F97" w:rsidRPr="0025250D">
        <w:rPr>
          <w:rtl/>
        </w:rPr>
        <w:t>؛ و</w:t>
      </w:r>
      <w:r w:rsidRPr="0025250D">
        <w:rPr>
          <w:rtl/>
        </w:rPr>
        <w:t xml:space="preserve"> جلد 2، مثالها، </w:t>
      </w:r>
      <w:r w:rsidR="00E3750D" w:rsidRPr="0025250D">
        <w:rPr>
          <w:rFonts w:hint="cs"/>
          <w:rtl/>
        </w:rPr>
        <w:t>یونیدو</w:t>
      </w:r>
      <w:r w:rsidRPr="0025250D">
        <w:rPr>
          <w:vertAlign w:val="superscript"/>
          <w:rtl/>
        </w:rPr>
        <w:footnoteReference w:id="3566"/>
      </w:r>
      <w:r w:rsidRPr="0025250D">
        <w:rPr>
          <w:rtl/>
        </w:rPr>
        <w:t>، 2005.</w:t>
      </w:r>
    </w:p>
    <w:p w14:paraId="7F6CC65E" w14:textId="6071059C" w:rsidR="0037616D" w:rsidRPr="0025250D" w:rsidRDefault="0037616D" w:rsidP="00492C47">
      <w:pPr>
        <w:numPr>
          <w:ilvl w:val="0"/>
          <w:numId w:val="81"/>
        </w:numPr>
        <w:rPr>
          <w:rtl/>
        </w:rPr>
      </w:pPr>
      <w:r w:rsidRPr="0025250D">
        <w:rPr>
          <w:rtl/>
        </w:rPr>
        <w:t xml:space="preserve">استفاده از روندها و </w:t>
      </w:r>
      <w:r w:rsidR="007A53FD" w:rsidRPr="0025250D">
        <w:rPr>
          <w:rtl/>
        </w:rPr>
        <w:t>فرانامه</w:t>
      </w:r>
      <w:r w:rsidRPr="0025250D">
        <w:rPr>
          <w:rFonts w:hint="eastAsia"/>
          <w:rtl/>
        </w:rPr>
        <w:t>ها</w:t>
      </w:r>
      <w:r w:rsidRPr="0025250D">
        <w:rPr>
          <w:rtl/>
        </w:rPr>
        <w:t xml:space="preserve"> به عنوان ابزار</w:t>
      </w:r>
      <w:r w:rsidRPr="0025250D">
        <w:rPr>
          <w:rFonts w:hint="cs"/>
          <w:rtl/>
        </w:rPr>
        <w:t>ی</w:t>
      </w:r>
      <w:r w:rsidRPr="0025250D">
        <w:rPr>
          <w:rtl/>
        </w:rPr>
        <w:t xml:space="preserve"> برا</w:t>
      </w:r>
      <w:r w:rsidRPr="0025250D">
        <w:rPr>
          <w:rFonts w:hint="cs"/>
          <w:rtl/>
        </w:rPr>
        <w:t>ی</w:t>
      </w:r>
      <w:r w:rsidRPr="0025250D">
        <w:rPr>
          <w:rtl/>
        </w:rPr>
        <w:t xml:space="preserve"> توسعه </w:t>
      </w:r>
      <w:r w:rsidR="00701E03" w:rsidRPr="0025250D">
        <w:rPr>
          <w:rtl/>
        </w:rPr>
        <w:t>راهبرد</w:t>
      </w:r>
      <w:r w:rsidRPr="0025250D">
        <w:rPr>
          <w:rFonts w:hint="eastAsia"/>
          <w:rtl/>
        </w:rPr>
        <w:t>،</w:t>
      </w:r>
      <w:r w:rsidRPr="0025250D">
        <w:rPr>
          <w:rtl/>
        </w:rPr>
        <w:t xml:space="preserve"> اولف پ</w:t>
      </w:r>
      <w:r w:rsidRPr="0025250D">
        <w:rPr>
          <w:rFonts w:hint="cs"/>
          <w:rtl/>
        </w:rPr>
        <w:t>ی</w:t>
      </w:r>
      <w:r w:rsidRPr="0025250D">
        <w:rPr>
          <w:rFonts w:hint="eastAsia"/>
          <w:rtl/>
        </w:rPr>
        <w:t>لکان</w:t>
      </w:r>
      <w:r w:rsidRPr="0025250D">
        <w:rPr>
          <w:vertAlign w:val="superscript"/>
          <w:rtl/>
        </w:rPr>
        <w:footnoteReference w:id="3567"/>
      </w:r>
      <w:r w:rsidRPr="0025250D">
        <w:rPr>
          <w:rFonts w:hint="eastAsia"/>
          <w:rtl/>
        </w:rPr>
        <w:t>،</w:t>
      </w:r>
      <w:r w:rsidRPr="0025250D">
        <w:rPr>
          <w:rtl/>
        </w:rPr>
        <w:t xml:space="preserve"> 2008</w:t>
      </w:r>
    </w:p>
    <w:p w14:paraId="0B030255" w14:textId="5C84F58E" w:rsidR="0037616D" w:rsidRPr="0025250D" w:rsidRDefault="00B56611" w:rsidP="00492C47">
      <w:pPr>
        <w:numPr>
          <w:ilvl w:val="0"/>
          <w:numId w:val="81"/>
        </w:numPr>
        <w:rPr>
          <w:rtl/>
        </w:rPr>
      </w:pPr>
      <w:r w:rsidRPr="0025250D">
        <w:rPr>
          <w:rtl/>
        </w:rPr>
        <w:t>چشم‌انداز</w:t>
      </w:r>
      <w:r w:rsidR="0037616D" w:rsidRPr="0025250D">
        <w:rPr>
          <w:rFonts w:hint="cs"/>
          <w:rtl/>
        </w:rPr>
        <w:t>سازی</w:t>
      </w:r>
      <w:r w:rsidR="0037616D" w:rsidRPr="0025250D">
        <w:rPr>
          <w:rtl/>
        </w:rPr>
        <w:t>، لوس</w:t>
      </w:r>
      <w:r w:rsidR="0037616D" w:rsidRPr="0025250D">
        <w:rPr>
          <w:rFonts w:hint="cs"/>
          <w:rtl/>
        </w:rPr>
        <w:t>ی</w:t>
      </w:r>
      <w:r w:rsidR="0037616D" w:rsidRPr="0025250D">
        <w:rPr>
          <w:rFonts w:hint="eastAsia"/>
          <w:rtl/>
        </w:rPr>
        <w:t>ا</w:t>
      </w:r>
      <w:r w:rsidR="0037616D" w:rsidRPr="0025250D">
        <w:rPr>
          <w:rtl/>
        </w:rPr>
        <w:t xml:space="preserve"> کاپاک</w:t>
      </w:r>
      <w:r w:rsidR="0037616D" w:rsidRPr="0025250D">
        <w:rPr>
          <w:rFonts w:hint="cs"/>
          <w:rtl/>
        </w:rPr>
        <w:t>ی</w:t>
      </w:r>
      <w:r w:rsidR="0037616D" w:rsidRPr="0025250D">
        <w:rPr>
          <w:rFonts w:hint="eastAsia"/>
          <w:rtl/>
        </w:rPr>
        <w:t>ونه</w:t>
      </w:r>
      <w:r w:rsidR="0037616D" w:rsidRPr="0025250D">
        <w:rPr>
          <w:vertAlign w:val="superscript"/>
          <w:rtl/>
        </w:rPr>
        <w:footnoteReference w:id="3568"/>
      </w:r>
      <w:r w:rsidR="0037616D" w:rsidRPr="0025250D">
        <w:rPr>
          <w:rFonts w:hint="eastAsia"/>
          <w:rtl/>
        </w:rPr>
        <w:t>،</w:t>
      </w:r>
      <w:r w:rsidR="0037616D" w:rsidRPr="0025250D">
        <w:rPr>
          <w:rtl/>
        </w:rPr>
        <w:t xml:space="preserve"> 2000</w:t>
      </w:r>
    </w:p>
    <w:p w14:paraId="0D7D25DD" w14:textId="77777777" w:rsidR="0037616D" w:rsidRPr="0025250D" w:rsidRDefault="0037616D" w:rsidP="00492C47">
      <w:pPr>
        <w:numPr>
          <w:ilvl w:val="0"/>
          <w:numId w:val="81"/>
        </w:numPr>
        <w:rPr>
          <w:rtl/>
        </w:rPr>
      </w:pPr>
      <w:r w:rsidRPr="0025250D">
        <w:rPr>
          <w:rtl/>
        </w:rPr>
        <w:t>ا</w:t>
      </w:r>
      <w:r w:rsidRPr="0025250D">
        <w:rPr>
          <w:rFonts w:hint="cs"/>
          <w:rtl/>
        </w:rPr>
        <w:t>ی</w:t>
      </w:r>
      <w:r w:rsidRPr="0025250D">
        <w:rPr>
          <w:rFonts w:hint="eastAsia"/>
          <w:rtl/>
        </w:rPr>
        <w:t>ن</w:t>
      </w:r>
      <w:r w:rsidRPr="0025250D">
        <w:rPr>
          <w:rtl/>
        </w:rPr>
        <w:t xml:space="preserve"> را تجسم کن</w:t>
      </w:r>
      <w:r w:rsidRPr="0025250D">
        <w:rPr>
          <w:rFonts w:hint="cs"/>
          <w:rtl/>
        </w:rPr>
        <w:t>ی</w:t>
      </w:r>
      <w:r w:rsidRPr="0025250D">
        <w:rPr>
          <w:rFonts w:hint="eastAsia"/>
          <w:rtl/>
        </w:rPr>
        <w:t>د</w:t>
      </w:r>
      <w:r w:rsidRPr="0025250D">
        <w:rPr>
          <w:rtl/>
        </w:rPr>
        <w:t>: راهنما</w:t>
      </w:r>
      <w:r w:rsidRPr="0025250D">
        <w:rPr>
          <w:rFonts w:hint="cs"/>
          <w:rtl/>
        </w:rPr>
        <w:t>ی</w:t>
      </w:r>
      <w:r w:rsidRPr="0025250D">
        <w:rPr>
          <w:rtl/>
        </w:rPr>
        <w:t xml:space="preserve"> طراح</w:t>
      </w:r>
      <w:r w:rsidRPr="0025250D">
        <w:rPr>
          <w:rFonts w:hint="cs"/>
          <w:rtl/>
        </w:rPr>
        <w:t>ی</w:t>
      </w:r>
      <w:r w:rsidRPr="0025250D">
        <w:rPr>
          <w:rFonts w:hint="eastAsia"/>
          <w:rtl/>
        </w:rPr>
        <w:t>،</w:t>
      </w:r>
      <w:r w:rsidRPr="0025250D">
        <w:rPr>
          <w:rtl/>
        </w:rPr>
        <w:t xml:space="preserve"> تجسم و آمار</w:t>
      </w:r>
      <w:r w:rsidRPr="0025250D">
        <w:rPr>
          <w:rFonts w:hint="cs"/>
          <w:rtl/>
        </w:rPr>
        <w:t xml:space="preserve">، </w:t>
      </w:r>
      <w:r w:rsidRPr="0025250D">
        <w:rPr>
          <w:rtl/>
        </w:rPr>
        <w:t xml:space="preserve">ناتان </w:t>
      </w:r>
      <w:r w:rsidRPr="0025250D">
        <w:rPr>
          <w:rFonts w:hint="cs"/>
          <w:rtl/>
        </w:rPr>
        <w:t>ی</w:t>
      </w:r>
      <w:r w:rsidRPr="0025250D">
        <w:rPr>
          <w:rFonts w:hint="eastAsia"/>
          <w:rtl/>
        </w:rPr>
        <w:t>او</w:t>
      </w:r>
      <w:r w:rsidRPr="0025250D">
        <w:rPr>
          <w:vertAlign w:val="superscript"/>
          <w:rtl/>
        </w:rPr>
        <w:footnoteReference w:id="3569"/>
      </w:r>
      <w:r w:rsidRPr="0025250D">
        <w:rPr>
          <w:rFonts w:hint="eastAsia"/>
          <w:rtl/>
        </w:rPr>
        <w:t>،</w:t>
      </w:r>
      <w:r w:rsidRPr="0025250D">
        <w:rPr>
          <w:rtl/>
        </w:rPr>
        <w:t xml:space="preserve"> 2011.</w:t>
      </w:r>
    </w:p>
    <w:p w14:paraId="15223E7E" w14:textId="77777777" w:rsidR="0037616D" w:rsidRPr="0025250D" w:rsidRDefault="0037616D" w:rsidP="00492C47">
      <w:pPr>
        <w:numPr>
          <w:ilvl w:val="0"/>
          <w:numId w:val="81"/>
        </w:numPr>
        <w:rPr>
          <w:rtl/>
        </w:rPr>
      </w:pPr>
      <w:r w:rsidRPr="0025250D">
        <w:rPr>
          <w:rFonts w:hint="cs"/>
          <w:rtl/>
        </w:rPr>
        <w:t xml:space="preserve">بازی جنگی برای رهبران، </w:t>
      </w:r>
      <w:r w:rsidRPr="0025250D">
        <w:rPr>
          <w:rtl/>
        </w:rPr>
        <w:t>هرمان و فراست</w:t>
      </w:r>
      <w:r w:rsidRPr="0025250D">
        <w:rPr>
          <w:vertAlign w:val="superscript"/>
          <w:rtl/>
        </w:rPr>
        <w:footnoteReference w:id="3570"/>
      </w:r>
      <w:r w:rsidRPr="0025250D">
        <w:rPr>
          <w:rtl/>
        </w:rPr>
        <w:t>، 2008</w:t>
      </w:r>
    </w:p>
    <w:p w14:paraId="5DC42BE2" w14:textId="77777777" w:rsidR="0037616D" w:rsidRPr="0025250D" w:rsidRDefault="0037616D" w:rsidP="00492C47">
      <w:pPr>
        <w:numPr>
          <w:ilvl w:val="0"/>
          <w:numId w:val="81"/>
        </w:numPr>
        <w:rPr>
          <w:rtl/>
        </w:rPr>
      </w:pPr>
      <w:r w:rsidRPr="0025250D">
        <w:rPr>
          <w:rtl/>
        </w:rPr>
        <w:t xml:space="preserve">هشدارها: </w:t>
      </w:r>
      <w:r w:rsidRPr="0025250D">
        <w:rPr>
          <w:rFonts w:hint="cs"/>
          <w:rtl/>
        </w:rPr>
        <w:t>ی</w:t>
      </w:r>
      <w:r w:rsidRPr="0025250D">
        <w:rPr>
          <w:rFonts w:hint="eastAsia"/>
          <w:rtl/>
        </w:rPr>
        <w:t>افتن</w:t>
      </w:r>
      <w:r w:rsidRPr="0025250D">
        <w:rPr>
          <w:rtl/>
        </w:rPr>
        <w:t xml:space="preserve"> کاساندرا برا</w:t>
      </w:r>
      <w:r w:rsidRPr="0025250D">
        <w:rPr>
          <w:rFonts w:hint="cs"/>
          <w:rtl/>
        </w:rPr>
        <w:t>ی</w:t>
      </w:r>
      <w:r w:rsidRPr="0025250D">
        <w:rPr>
          <w:rtl/>
        </w:rPr>
        <w:t xml:space="preserve"> توقف فجا</w:t>
      </w:r>
      <w:r w:rsidRPr="0025250D">
        <w:rPr>
          <w:rFonts w:hint="cs"/>
          <w:rtl/>
        </w:rPr>
        <w:t>ی</w:t>
      </w:r>
      <w:r w:rsidRPr="0025250D">
        <w:rPr>
          <w:rFonts w:hint="eastAsia"/>
          <w:rtl/>
        </w:rPr>
        <w:t>ع،</w:t>
      </w:r>
      <w:r w:rsidRPr="0025250D">
        <w:rPr>
          <w:rtl/>
        </w:rPr>
        <w:t xml:space="preserve"> ر</w:t>
      </w:r>
      <w:r w:rsidRPr="0025250D">
        <w:rPr>
          <w:rFonts w:hint="cs"/>
          <w:rtl/>
        </w:rPr>
        <w:t>ی</w:t>
      </w:r>
      <w:r w:rsidRPr="0025250D">
        <w:rPr>
          <w:rFonts w:hint="eastAsia"/>
          <w:rtl/>
        </w:rPr>
        <w:t>چارد</w:t>
      </w:r>
      <w:r w:rsidRPr="0025250D">
        <w:rPr>
          <w:rtl/>
        </w:rPr>
        <w:t xml:space="preserve"> کلارک و آرپ</w:t>
      </w:r>
      <w:r w:rsidRPr="0025250D">
        <w:rPr>
          <w:rFonts w:hint="cs"/>
          <w:rtl/>
        </w:rPr>
        <w:t>ی</w:t>
      </w:r>
      <w:r w:rsidRPr="0025250D">
        <w:rPr>
          <w:rtl/>
        </w:rPr>
        <w:t xml:space="preserve"> اد</w:t>
      </w:r>
      <w:r w:rsidRPr="0025250D">
        <w:rPr>
          <w:rFonts w:hint="cs"/>
          <w:rtl/>
        </w:rPr>
        <w:t>ی</w:t>
      </w:r>
      <w:r w:rsidRPr="0025250D">
        <w:rPr>
          <w:vertAlign w:val="superscript"/>
          <w:rtl/>
        </w:rPr>
        <w:footnoteReference w:id="3571"/>
      </w:r>
      <w:r w:rsidRPr="0025250D">
        <w:rPr>
          <w:rFonts w:hint="eastAsia"/>
          <w:rtl/>
        </w:rPr>
        <w:t>،</w:t>
      </w:r>
      <w:r w:rsidRPr="0025250D">
        <w:rPr>
          <w:rtl/>
        </w:rPr>
        <w:t xml:space="preserve"> 2017.</w:t>
      </w:r>
    </w:p>
    <w:p w14:paraId="49D45B36" w14:textId="5989F409" w:rsidR="0037616D" w:rsidRPr="0025250D" w:rsidRDefault="0037616D" w:rsidP="00492C47">
      <w:pPr>
        <w:numPr>
          <w:ilvl w:val="0"/>
          <w:numId w:val="81"/>
        </w:numPr>
        <w:rPr>
          <w:rtl/>
        </w:rPr>
      </w:pPr>
      <w:r w:rsidRPr="0025250D">
        <w:rPr>
          <w:rFonts w:hint="cs"/>
          <w:rtl/>
        </w:rPr>
        <w:t>عاقل</w:t>
      </w:r>
      <w:r w:rsidRPr="0025250D">
        <w:rPr>
          <w:rtl/>
        </w:rPr>
        <w:t xml:space="preserve"> قبل از رو</w:t>
      </w:r>
      <w:r w:rsidRPr="0025250D">
        <w:rPr>
          <w:rFonts w:hint="cs"/>
          <w:rtl/>
        </w:rPr>
        <w:t>ی</w:t>
      </w:r>
      <w:r w:rsidRPr="0025250D">
        <w:rPr>
          <w:rFonts w:hint="eastAsia"/>
          <w:rtl/>
        </w:rPr>
        <w:t>داد</w:t>
      </w:r>
      <w:r w:rsidRPr="0025250D">
        <w:rPr>
          <w:rtl/>
        </w:rPr>
        <w:t>: 20/25 سال شورا</w:t>
      </w:r>
      <w:r w:rsidRPr="0025250D">
        <w:rPr>
          <w:rFonts w:hint="cs"/>
          <w:rtl/>
        </w:rPr>
        <w:t>ی</w:t>
      </w:r>
      <w:r w:rsidRPr="0025250D">
        <w:rPr>
          <w:rtl/>
        </w:rPr>
        <w:t xml:space="preserve"> علم</w:t>
      </w:r>
      <w:r w:rsidRPr="0025250D">
        <w:rPr>
          <w:rFonts w:hint="cs"/>
          <w:rtl/>
        </w:rPr>
        <w:t>ی</w:t>
      </w:r>
      <w:r w:rsidRPr="0025250D">
        <w:rPr>
          <w:rtl/>
        </w:rPr>
        <w:t xml:space="preserve"> برا</w:t>
      </w:r>
      <w:r w:rsidRPr="0025250D">
        <w:rPr>
          <w:rFonts w:hint="cs"/>
          <w:rtl/>
        </w:rPr>
        <w:t>ی</w:t>
      </w:r>
      <w:r w:rsidRPr="0025250D">
        <w:rPr>
          <w:rtl/>
        </w:rPr>
        <w:t xml:space="preserve"> س</w:t>
      </w:r>
      <w:r w:rsidRPr="0025250D">
        <w:rPr>
          <w:rFonts w:hint="cs"/>
          <w:rtl/>
        </w:rPr>
        <w:t>ی</w:t>
      </w:r>
      <w:r w:rsidRPr="0025250D">
        <w:rPr>
          <w:rFonts w:hint="eastAsia"/>
          <w:rtl/>
        </w:rPr>
        <w:t>است</w:t>
      </w:r>
      <w:r w:rsidRPr="0025250D">
        <w:rPr>
          <w:rtl/>
        </w:rPr>
        <w:t xml:space="preserve"> دولت،</w:t>
      </w:r>
      <w:r w:rsidRPr="0025250D">
        <w:rPr>
          <w:rFonts w:hint="cs"/>
          <w:rtl/>
        </w:rPr>
        <w:t xml:space="preserve"> </w:t>
      </w:r>
      <w:r w:rsidRPr="0025250D">
        <w:t>WRR</w:t>
      </w:r>
      <w:r w:rsidRPr="0025250D">
        <w:rPr>
          <w:vertAlign w:val="superscript"/>
          <w:rtl/>
        </w:rPr>
        <w:footnoteReference w:id="3572"/>
      </w:r>
      <w:r w:rsidRPr="0025250D">
        <w:rPr>
          <w:rtl/>
        </w:rPr>
        <w:t>، 1997.</w:t>
      </w:r>
    </w:p>
    <w:p w14:paraId="72BC05D9" w14:textId="77777777" w:rsidR="0037616D" w:rsidRPr="0025250D" w:rsidRDefault="0037616D" w:rsidP="00492C47">
      <w:pPr>
        <w:numPr>
          <w:ilvl w:val="0"/>
          <w:numId w:val="81"/>
        </w:numPr>
        <w:rPr>
          <w:rtl/>
        </w:rPr>
      </w:pPr>
      <w:r w:rsidRPr="0025250D">
        <w:rPr>
          <w:rtl/>
        </w:rPr>
        <w:t>قوان</w:t>
      </w:r>
      <w:r w:rsidRPr="0025250D">
        <w:rPr>
          <w:rFonts w:hint="cs"/>
          <w:rtl/>
        </w:rPr>
        <w:t>ی</w:t>
      </w:r>
      <w:r w:rsidRPr="0025250D">
        <w:rPr>
          <w:rFonts w:hint="eastAsia"/>
          <w:rtl/>
        </w:rPr>
        <w:t>ن</w:t>
      </w:r>
      <w:r w:rsidRPr="0025250D">
        <w:rPr>
          <w:rtl/>
        </w:rPr>
        <w:t xml:space="preserve"> کار!: ب</w:t>
      </w:r>
      <w:r w:rsidRPr="0025250D">
        <w:rPr>
          <w:rFonts w:hint="cs"/>
          <w:rtl/>
        </w:rPr>
        <w:t>ی</w:t>
      </w:r>
      <w:r w:rsidRPr="0025250D">
        <w:rPr>
          <w:rFonts w:hint="eastAsia"/>
          <w:rtl/>
        </w:rPr>
        <w:t>نش</w:t>
      </w:r>
      <w:r w:rsidRPr="0025250D">
        <w:rPr>
          <w:rtl/>
        </w:rPr>
        <w:t xml:space="preserve"> از </w:t>
      </w:r>
      <w:r w:rsidRPr="0025250D">
        <w:rPr>
          <w:rFonts w:hint="cs"/>
          <w:rtl/>
        </w:rPr>
        <w:t>گوگل</w:t>
      </w:r>
      <w:r w:rsidRPr="0025250D">
        <w:rPr>
          <w:rtl/>
        </w:rPr>
        <w:t xml:space="preserve"> برا</w:t>
      </w:r>
      <w:r w:rsidRPr="0025250D">
        <w:rPr>
          <w:rFonts w:hint="cs"/>
          <w:rtl/>
        </w:rPr>
        <w:t>ی</w:t>
      </w:r>
      <w:r w:rsidRPr="0025250D">
        <w:rPr>
          <w:rtl/>
        </w:rPr>
        <w:t xml:space="preserve"> تغ</w:t>
      </w:r>
      <w:r w:rsidRPr="0025250D">
        <w:rPr>
          <w:rFonts w:hint="cs"/>
          <w:rtl/>
        </w:rPr>
        <w:t>یی</w:t>
      </w:r>
      <w:r w:rsidRPr="0025250D">
        <w:rPr>
          <w:rFonts w:hint="eastAsia"/>
          <w:rtl/>
        </w:rPr>
        <w:t>ر</w:t>
      </w:r>
      <w:r w:rsidRPr="0025250D">
        <w:rPr>
          <w:rtl/>
        </w:rPr>
        <w:t xml:space="preserve"> نحوه رهبر</w:t>
      </w:r>
      <w:r w:rsidRPr="0025250D">
        <w:rPr>
          <w:rFonts w:hint="cs"/>
          <w:rtl/>
        </w:rPr>
        <w:t>ی</w:t>
      </w:r>
      <w:r w:rsidRPr="0025250D">
        <w:rPr>
          <w:rFonts w:hint="eastAsia"/>
          <w:rtl/>
        </w:rPr>
        <w:t>،</w:t>
      </w:r>
      <w:r w:rsidRPr="0025250D">
        <w:rPr>
          <w:rtl/>
        </w:rPr>
        <w:t xml:space="preserve"> لازلو باک</w:t>
      </w:r>
      <w:r w:rsidRPr="0025250D">
        <w:rPr>
          <w:vertAlign w:val="superscript"/>
          <w:rtl/>
        </w:rPr>
        <w:footnoteReference w:id="3573"/>
      </w:r>
      <w:r w:rsidRPr="0025250D">
        <w:rPr>
          <w:rtl/>
        </w:rPr>
        <w:t>، 2015</w:t>
      </w:r>
    </w:p>
    <w:p w14:paraId="323950DE" w14:textId="77777777" w:rsidR="0037616D" w:rsidRPr="0025250D" w:rsidRDefault="0037616D" w:rsidP="00492C47">
      <w:pPr>
        <w:numPr>
          <w:ilvl w:val="0"/>
          <w:numId w:val="81"/>
        </w:numPr>
      </w:pPr>
      <w:r w:rsidRPr="0025250D">
        <w:rPr>
          <w:rtl/>
        </w:rPr>
        <w:t>اشتباه: چرا کارشناسان ما را شکست می‌دهند و چه زمان</w:t>
      </w:r>
      <w:r w:rsidRPr="0025250D">
        <w:rPr>
          <w:rFonts w:hint="cs"/>
          <w:rtl/>
        </w:rPr>
        <w:t>ی</w:t>
      </w:r>
      <w:r w:rsidRPr="0025250D">
        <w:rPr>
          <w:rtl/>
        </w:rPr>
        <w:t xml:space="preserve"> به آن‌ها اعتماد نکن</w:t>
      </w:r>
      <w:r w:rsidRPr="0025250D">
        <w:rPr>
          <w:rFonts w:hint="cs"/>
          <w:rtl/>
        </w:rPr>
        <w:t>ی</w:t>
      </w:r>
      <w:r w:rsidRPr="0025250D">
        <w:rPr>
          <w:rFonts w:hint="eastAsia"/>
          <w:rtl/>
        </w:rPr>
        <w:t>م،</w:t>
      </w:r>
      <w:r w:rsidRPr="0025250D">
        <w:rPr>
          <w:rtl/>
        </w:rPr>
        <w:t xml:space="preserve"> د</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rtl/>
        </w:rPr>
        <w:t xml:space="preserve"> فر</w:t>
      </w:r>
      <w:r w:rsidRPr="0025250D">
        <w:rPr>
          <w:rFonts w:hint="cs"/>
          <w:rtl/>
        </w:rPr>
        <w:t>ی</w:t>
      </w:r>
      <w:r w:rsidRPr="0025250D">
        <w:rPr>
          <w:rFonts w:hint="eastAsia"/>
          <w:rtl/>
        </w:rPr>
        <w:t>دمن</w:t>
      </w:r>
      <w:r w:rsidRPr="0025250D">
        <w:rPr>
          <w:vertAlign w:val="superscript"/>
          <w:rtl/>
        </w:rPr>
        <w:footnoteReference w:id="3574"/>
      </w:r>
      <w:r w:rsidRPr="0025250D">
        <w:rPr>
          <w:rFonts w:hint="eastAsia"/>
          <w:rtl/>
        </w:rPr>
        <w:t>،</w:t>
      </w:r>
      <w:r w:rsidRPr="0025250D">
        <w:rPr>
          <w:rtl/>
        </w:rPr>
        <w:t xml:space="preserve"> 2010.</w:t>
      </w:r>
    </w:p>
    <w:p w14:paraId="0CBF140D" w14:textId="79984AAA" w:rsidR="00A23314" w:rsidRPr="0025250D" w:rsidRDefault="00A23314" w:rsidP="00A23314">
      <w:pPr>
        <w:rPr>
          <w:rtl/>
        </w:rPr>
      </w:pPr>
      <w:r w:rsidRPr="0025250D">
        <w:rPr>
          <w:rtl/>
        </w:rPr>
        <w:t>ا</w:t>
      </w:r>
      <w:r w:rsidRPr="0025250D">
        <w:rPr>
          <w:rFonts w:hint="cs"/>
          <w:rtl/>
        </w:rPr>
        <w:t>ی</w:t>
      </w:r>
      <w:r w:rsidRPr="0025250D">
        <w:rPr>
          <w:rFonts w:hint="eastAsia"/>
          <w:rtl/>
        </w:rPr>
        <w:t>ن</w:t>
      </w:r>
      <w:r w:rsidRPr="0025250D">
        <w:rPr>
          <w:rtl/>
        </w:rPr>
        <w:t xml:space="preserve"> </w:t>
      </w:r>
      <w:r w:rsidRPr="0025250D">
        <w:rPr>
          <w:rFonts w:hint="cs"/>
          <w:rtl/>
        </w:rPr>
        <w:t>ی</w:t>
      </w:r>
      <w:r w:rsidRPr="0025250D">
        <w:rPr>
          <w:rFonts w:hint="eastAsia"/>
          <w:rtl/>
        </w:rPr>
        <w:t>ک</w:t>
      </w:r>
      <w:r w:rsidRPr="0025250D">
        <w:rPr>
          <w:rtl/>
        </w:rPr>
        <w:t xml:space="preserve"> ل</w:t>
      </w:r>
      <w:r w:rsidRPr="0025250D">
        <w:rPr>
          <w:rFonts w:hint="cs"/>
          <w:rtl/>
        </w:rPr>
        <w:t>ی</w:t>
      </w:r>
      <w:r w:rsidRPr="0025250D">
        <w:rPr>
          <w:rFonts w:hint="eastAsia"/>
          <w:rtl/>
        </w:rPr>
        <w:t>ست</w:t>
      </w:r>
      <w:r w:rsidRPr="0025250D">
        <w:rPr>
          <w:rtl/>
        </w:rPr>
        <w:t xml:space="preserve"> طولان</w:t>
      </w:r>
      <w:r w:rsidRPr="0025250D">
        <w:rPr>
          <w:rFonts w:hint="cs"/>
          <w:rtl/>
        </w:rPr>
        <w:t>ی</w:t>
      </w:r>
      <w:r w:rsidRPr="0025250D">
        <w:rPr>
          <w:rtl/>
        </w:rPr>
        <w:t xml:space="preserve"> است، اما حوزه ما غن</w:t>
      </w:r>
      <w:r w:rsidRPr="0025250D">
        <w:rPr>
          <w:rFonts w:hint="cs"/>
          <w:rtl/>
        </w:rPr>
        <w:t>ی</w:t>
      </w:r>
      <w:r w:rsidRPr="0025250D">
        <w:rPr>
          <w:rtl/>
        </w:rPr>
        <w:t xml:space="preserve"> است و </w:t>
      </w:r>
      <w:r w:rsidR="0008779C" w:rsidRPr="0025250D">
        <w:rPr>
          <w:rFonts w:hint="cs"/>
          <w:rtl/>
        </w:rPr>
        <w:t>غنی‌تر</w:t>
      </w:r>
      <w:r w:rsidRPr="0025250D">
        <w:rPr>
          <w:rFonts w:hint="cs"/>
          <w:rtl/>
        </w:rPr>
        <w:t xml:space="preserve"> نیز</w:t>
      </w:r>
      <w:r w:rsidRPr="0025250D">
        <w:rPr>
          <w:rtl/>
        </w:rPr>
        <w:t xml:space="preserve"> م</w:t>
      </w:r>
      <w:r w:rsidRPr="0025250D">
        <w:rPr>
          <w:rFonts w:hint="cs"/>
          <w:rtl/>
        </w:rPr>
        <w:t>ی</w:t>
      </w:r>
      <w:r w:rsidRPr="0025250D">
        <w:rPr>
          <w:rtl/>
        </w:rPr>
        <w:t xml:space="preserve"> شود. توص</w:t>
      </w:r>
      <w:r w:rsidRPr="0025250D">
        <w:rPr>
          <w:rFonts w:hint="cs"/>
          <w:rtl/>
        </w:rPr>
        <w:t>ی</w:t>
      </w:r>
      <w:r w:rsidRPr="0025250D">
        <w:rPr>
          <w:rFonts w:hint="eastAsia"/>
          <w:rtl/>
        </w:rPr>
        <w:t>ه</w:t>
      </w:r>
      <w:r w:rsidRPr="0025250D">
        <w:rPr>
          <w:rtl/>
        </w:rPr>
        <w:t xml:space="preserve"> م</w:t>
      </w:r>
      <w:r w:rsidRPr="0025250D">
        <w:rPr>
          <w:rFonts w:hint="cs"/>
          <w:rtl/>
        </w:rPr>
        <w:t>ی‌</w:t>
      </w:r>
      <w:r w:rsidRPr="0025250D">
        <w:rPr>
          <w:rFonts w:hint="eastAsia"/>
          <w:rtl/>
        </w:rPr>
        <w:t>کن</w:t>
      </w:r>
      <w:r w:rsidRPr="0025250D">
        <w:rPr>
          <w:rFonts w:hint="cs"/>
          <w:rtl/>
        </w:rPr>
        <w:t>ی</w:t>
      </w:r>
      <w:r w:rsidRPr="0025250D">
        <w:rPr>
          <w:rFonts w:hint="eastAsia"/>
          <w:rtl/>
        </w:rPr>
        <w:t>م</w:t>
      </w:r>
      <w:r w:rsidRPr="0025250D">
        <w:rPr>
          <w:rtl/>
        </w:rPr>
        <w:t xml:space="preserve"> </w:t>
      </w:r>
      <w:r w:rsidRPr="0025250D">
        <w:rPr>
          <w:rFonts w:hint="cs"/>
          <w:rtl/>
        </w:rPr>
        <w:t>ی</w:t>
      </w:r>
      <w:r w:rsidRPr="0025250D">
        <w:rPr>
          <w:rFonts w:hint="eastAsia"/>
          <w:rtl/>
        </w:rPr>
        <w:t>ک</w:t>
      </w:r>
      <w:r w:rsidRPr="0025250D">
        <w:rPr>
          <w:rFonts w:hint="cs"/>
          <w:rtl/>
        </w:rPr>
        <w:t>ی</w:t>
      </w:r>
      <w:r w:rsidRPr="0025250D">
        <w:rPr>
          <w:rtl/>
        </w:rPr>
        <w:t xml:space="preserve"> از ا</w:t>
      </w:r>
      <w:r w:rsidRPr="0025250D">
        <w:rPr>
          <w:rFonts w:hint="cs"/>
          <w:rtl/>
        </w:rPr>
        <w:t>ی</w:t>
      </w:r>
      <w:r w:rsidRPr="0025250D">
        <w:rPr>
          <w:rFonts w:hint="eastAsia"/>
          <w:rtl/>
        </w:rPr>
        <w:t>ن</w:t>
      </w:r>
      <w:r w:rsidRPr="0025250D">
        <w:rPr>
          <w:rtl/>
        </w:rPr>
        <w:t xml:space="preserve"> کتاب‌ها</w:t>
      </w:r>
      <w:r w:rsidRPr="0025250D">
        <w:rPr>
          <w:rFonts w:hint="cs"/>
          <w:rtl/>
        </w:rPr>
        <w:t>ی</w:t>
      </w:r>
      <w:r w:rsidRPr="0025250D">
        <w:rPr>
          <w:rtl/>
        </w:rPr>
        <w:t xml:space="preserve"> خوب را که عنوان آن برا</w:t>
      </w:r>
      <w:r w:rsidRPr="0025250D">
        <w:rPr>
          <w:rFonts w:hint="cs"/>
          <w:rtl/>
        </w:rPr>
        <w:t>ی</w:t>
      </w:r>
      <w:r w:rsidRPr="0025250D">
        <w:rPr>
          <w:rFonts w:hint="eastAsia"/>
          <w:rtl/>
        </w:rPr>
        <w:t>تان</w:t>
      </w:r>
      <w:r w:rsidRPr="0025250D">
        <w:rPr>
          <w:rtl/>
        </w:rPr>
        <w:t xml:space="preserve"> جالب است انتخاب کن</w:t>
      </w:r>
      <w:r w:rsidRPr="0025250D">
        <w:rPr>
          <w:rFonts w:hint="cs"/>
          <w:rtl/>
        </w:rPr>
        <w:t>ی</w:t>
      </w:r>
      <w:r w:rsidRPr="0025250D">
        <w:rPr>
          <w:rFonts w:hint="eastAsia"/>
          <w:rtl/>
        </w:rPr>
        <w:t>د</w:t>
      </w:r>
      <w:r w:rsidRPr="0025250D">
        <w:rPr>
          <w:rtl/>
        </w:rPr>
        <w:t xml:space="preserve"> و آن را در آمازون </w:t>
      </w:r>
      <w:r w:rsidRPr="0025250D">
        <w:rPr>
          <w:rFonts w:hint="cs"/>
          <w:rtl/>
        </w:rPr>
        <w:t>ی</w:t>
      </w:r>
      <w:r w:rsidRPr="0025250D">
        <w:rPr>
          <w:rFonts w:hint="eastAsia"/>
          <w:rtl/>
        </w:rPr>
        <w:t>ا</w:t>
      </w:r>
      <w:r w:rsidRPr="0025250D">
        <w:rPr>
          <w:rtl/>
        </w:rPr>
        <w:t xml:space="preserve"> جاها</w:t>
      </w:r>
      <w:r w:rsidRPr="0025250D">
        <w:rPr>
          <w:rFonts w:hint="cs"/>
          <w:rtl/>
        </w:rPr>
        <w:t>ی</w:t>
      </w:r>
      <w:r w:rsidRPr="0025250D">
        <w:rPr>
          <w:rtl/>
        </w:rPr>
        <w:t xml:space="preserve"> د</w:t>
      </w:r>
      <w:r w:rsidRPr="0025250D">
        <w:rPr>
          <w:rFonts w:hint="cs"/>
          <w:rtl/>
        </w:rPr>
        <w:t>ی</w:t>
      </w:r>
      <w:r w:rsidRPr="0025250D">
        <w:rPr>
          <w:rFonts w:hint="eastAsia"/>
          <w:rtl/>
        </w:rPr>
        <w:t>گر</w:t>
      </w:r>
      <w:r w:rsidRPr="0025250D">
        <w:rPr>
          <w:rtl/>
        </w:rPr>
        <w:t xml:space="preserve"> بررس</w:t>
      </w:r>
      <w:r w:rsidRPr="0025250D">
        <w:rPr>
          <w:rFonts w:hint="cs"/>
          <w:rtl/>
        </w:rPr>
        <w:t>ی</w:t>
      </w:r>
      <w:r w:rsidRPr="0025250D">
        <w:rPr>
          <w:rtl/>
        </w:rPr>
        <w:t xml:space="preserve"> کن</w:t>
      </w:r>
      <w:r w:rsidRPr="0025250D">
        <w:rPr>
          <w:rFonts w:hint="cs"/>
          <w:rtl/>
        </w:rPr>
        <w:t>ی</w:t>
      </w:r>
      <w:r w:rsidRPr="0025250D">
        <w:rPr>
          <w:rFonts w:hint="eastAsia"/>
          <w:rtl/>
        </w:rPr>
        <w:t>د</w:t>
      </w:r>
      <w:r w:rsidRPr="0025250D">
        <w:rPr>
          <w:rtl/>
        </w:rPr>
        <w:t xml:space="preserve">. سپس 30، 60 </w:t>
      </w:r>
      <w:r w:rsidRPr="0025250D">
        <w:rPr>
          <w:rFonts w:hint="cs"/>
          <w:rtl/>
        </w:rPr>
        <w:t>ی</w:t>
      </w:r>
      <w:r w:rsidRPr="0025250D">
        <w:rPr>
          <w:rFonts w:hint="eastAsia"/>
          <w:rtl/>
        </w:rPr>
        <w:t>ا</w:t>
      </w:r>
      <w:r w:rsidRPr="0025250D">
        <w:rPr>
          <w:rtl/>
        </w:rPr>
        <w:t xml:space="preserve"> 90 دق</w:t>
      </w:r>
      <w:r w:rsidRPr="0025250D">
        <w:rPr>
          <w:rFonts w:hint="cs"/>
          <w:rtl/>
        </w:rPr>
        <w:t>ی</w:t>
      </w:r>
      <w:r w:rsidRPr="0025250D">
        <w:rPr>
          <w:rFonts w:hint="eastAsia"/>
          <w:rtl/>
        </w:rPr>
        <w:t>قه</w:t>
      </w:r>
      <w:r w:rsidRPr="0025250D">
        <w:rPr>
          <w:rtl/>
        </w:rPr>
        <w:t xml:space="preserve"> از وقت گران</w:t>
      </w:r>
      <w:r w:rsidRPr="0025250D">
        <w:rPr>
          <w:rFonts w:hint="cs"/>
          <w:rtl/>
        </w:rPr>
        <w:t xml:space="preserve"> </w:t>
      </w:r>
      <w:r w:rsidRPr="0025250D">
        <w:rPr>
          <w:rtl/>
        </w:rPr>
        <w:t>بها</w:t>
      </w:r>
      <w:r w:rsidRPr="0025250D">
        <w:rPr>
          <w:rFonts w:hint="cs"/>
          <w:rtl/>
        </w:rPr>
        <w:t>ی</w:t>
      </w:r>
      <w:r w:rsidRPr="0025250D">
        <w:rPr>
          <w:rtl/>
        </w:rPr>
        <w:t xml:space="preserve"> خود را با استفاده از نکات م</w:t>
      </w:r>
      <w:r w:rsidRPr="0025250D">
        <w:rPr>
          <w:rFonts w:hint="eastAsia"/>
          <w:rtl/>
        </w:rPr>
        <w:t>ا</w:t>
      </w:r>
      <w:r w:rsidRPr="0025250D">
        <w:rPr>
          <w:rtl/>
        </w:rPr>
        <w:t xml:space="preserve"> در مورد </w:t>
      </w:r>
      <w:r w:rsidRPr="0025250D">
        <w:rPr>
          <w:rFonts w:hint="cs"/>
          <w:rtl/>
        </w:rPr>
        <w:t>مطالعه</w:t>
      </w:r>
      <w:r w:rsidRPr="0025250D">
        <w:rPr>
          <w:rtl/>
        </w:rPr>
        <w:t xml:space="preserve"> </w:t>
      </w:r>
      <w:r w:rsidRPr="0025250D">
        <w:rPr>
          <w:rFonts w:hint="cs"/>
          <w:rtl/>
        </w:rPr>
        <w:t>اسپرینت</w:t>
      </w:r>
      <w:r w:rsidRPr="0025250D">
        <w:rPr>
          <w:rtl/>
        </w:rPr>
        <w:t xml:space="preserve"> در فصل 5 به آن اختصاص ده</w:t>
      </w:r>
      <w:r w:rsidRPr="0025250D">
        <w:rPr>
          <w:rFonts w:hint="cs"/>
          <w:rtl/>
        </w:rPr>
        <w:t>ی</w:t>
      </w:r>
      <w:r w:rsidRPr="0025250D">
        <w:rPr>
          <w:rFonts w:hint="eastAsia"/>
          <w:rtl/>
        </w:rPr>
        <w:t>د</w:t>
      </w:r>
      <w:r w:rsidRPr="0025250D">
        <w:rPr>
          <w:rtl/>
        </w:rPr>
        <w:t>.</w:t>
      </w:r>
      <w:r w:rsidRPr="0025250D">
        <w:rPr>
          <w:rFonts w:hint="cs"/>
          <w:rtl/>
        </w:rPr>
        <w:t xml:space="preserve"> نظرات</w:t>
      </w:r>
      <w:r w:rsidRPr="0025250D">
        <w:rPr>
          <w:rtl/>
        </w:rPr>
        <w:t xml:space="preserve"> شخص</w:t>
      </w:r>
      <w:r w:rsidRPr="0025250D">
        <w:rPr>
          <w:rFonts w:hint="cs"/>
          <w:rtl/>
        </w:rPr>
        <w:t>ی</w:t>
      </w:r>
      <w:r w:rsidRPr="0025250D">
        <w:rPr>
          <w:rtl/>
        </w:rPr>
        <w:t xml:space="preserve"> خود را در صفحات اول کتاب بنو</w:t>
      </w:r>
      <w:r w:rsidRPr="0025250D">
        <w:rPr>
          <w:rFonts w:hint="cs"/>
          <w:rtl/>
        </w:rPr>
        <w:t>ی</w:t>
      </w:r>
      <w:r w:rsidRPr="0025250D">
        <w:rPr>
          <w:rFonts w:hint="eastAsia"/>
          <w:rtl/>
        </w:rPr>
        <w:t>س</w:t>
      </w:r>
      <w:r w:rsidRPr="0025250D">
        <w:rPr>
          <w:rFonts w:hint="cs"/>
          <w:rtl/>
        </w:rPr>
        <w:t>ی</w:t>
      </w:r>
      <w:r w:rsidRPr="0025250D">
        <w:rPr>
          <w:rFonts w:hint="eastAsia"/>
          <w:rtl/>
        </w:rPr>
        <w:t>د</w:t>
      </w:r>
      <w:r w:rsidRPr="0025250D">
        <w:rPr>
          <w:rtl/>
        </w:rPr>
        <w:t>. سپس به سراغ کتاب عال</w:t>
      </w:r>
      <w:r w:rsidRPr="0025250D">
        <w:rPr>
          <w:rFonts w:hint="cs"/>
          <w:rtl/>
        </w:rPr>
        <w:t>ی</w:t>
      </w:r>
      <w:r w:rsidRPr="0025250D">
        <w:rPr>
          <w:rtl/>
        </w:rPr>
        <w:t xml:space="preserve"> بعد</w:t>
      </w:r>
      <w:r w:rsidRPr="0025250D">
        <w:rPr>
          <w:rFonts w:hint="cs"/>
          <w:rtl/>
        </w:rPr>
        <w:t>ی</w:t>
      </w:r>
      <w:r w:rsidRPr="0025250D">
        <w:rPr>
          <w:rtl/>
        </w:rPr>
        <w:t xml:space="preserve"> برو</w:t>
      </w:r>
      <w:r w:rsidRPr="0025250D">
        <w:rPr>
          <w:rFonts w:hint="cs"/>
          <w:rtl/>
        </w:rPr>
        <w:t>ی</w:t>
      </w:r>
      <w:r w:rsidRPr="0025250D">
        <w:rPr>
          <w:rFonts w:hint="eastAsia"/>
          <w:rtl/>
        </w:rPr>
        <w:t>د</w:t>
      </w:r>
      <w:r w:rsidRPr="0025250D">
        <w:rPr>
          <w:rtl/>
        </w:rPr>
        <w:t xml:space="preserve">. نگران کامل بودن </w:t>
      </w:r>
      <w:r w:rsidRPr="0025250D">
        <w:rPr>
          <w:rFonts w:hint="cs"/>
          <w:rtl/>
        </w:rPr>
        <w:t>ی</w:t>
      </w:r>
      <w:r w:rsidRPr="0025250D">
        <w:rPr>
          <w:rFonts w:hint="eastAsia"/>
          <w:rtl/>
        </w:rPr>
        <w:t>ا</w:t>
      </w:r>
      <w:r w:rsidRPr="0025250D">
        <w:rPr>
          <w:rtl/>
        </w:rPr>
        <w:t xml:space="preserve"> «تمام کردن» ه</w:t>
      </w:r>
      <w:r w:rsidRPr="0025250D">
        <w:rPr>
          <w:rFonts w:hint="cs"/>
          <w:rtl/>
        </w:rPr>
        <w:t>ی</w:t>
      </w:r>
      <w:r w:rsidRPr="0025250D">
        <w:rPr>
          <w:rFonts w:hint="eastAsia"/>
          <w:rtl/>
        </w:rPr>
        <w:t>چ</w:t>
      </w:r>
      <w:r w:rsidRPr="0025250D">
        <w:rPr>
          <w:rtl/>
        </w:rPr>
        <w:t xml:space="preserve"> کتاب</w:t>
      </w:r>
      <w:r w:rsidRPr="0025250D">
        <w:rPr>
          <w:rFonts w:hint="cs"/>
          <w:rtl/>
        </w:rPr>
        <w:t>ی</w:t>
      </w:r>
      <w:r w:rsidRPr="0025250D">
        <w:rPr>
          <w:rtl/>
        </w:rPr>
        <w:t xml:space="preserve"> نباش</w:t>
      </w:r>
      <w:r w:rsidRPr="0025250D">
        <w:rPr>
          <w:rFonts w:hint="cs"/>
          <w:rtl/>
        </w:rPr>
        <w:t>ی</w:t>
      </w:r>
      <w:r w:rsidRPr="0025250D">
        <w:rPr>
          <w:rFonts w:hint="eastAsia"/>
          <w:rtl/>
        </w:rPr>
        <w:t>د</w:t>
      </w:r>
      <w:r w:rsidRPr="0025250D">
        <w:rPr>
          <w:rtl/>
        </w:rPr>
        <w:t xml:space="preserve">. در عوض بر روند خواندن و </w:t>
      </w:r>
      <w:r w:rsidRPr="0025250D">
        <w:rPr>
          <w:rFonts w:hint="cs"/>
          <w:rtl/>
        </w:rPr>
        <w:t>ی</w:t>
      </w:r>
      <w:r w:rsidRPr="0025250D">
        <w:rPr>
          <w:rFonts w:hint="eastAsia"/>
          <w:rtl/>
        </w:rPr>
        <w:t>ادگ</w:t>
      </w:r>
      <w:r w:rsidRPr="0025250D">
        <w:rPr>
          <w:rFonts w:hint="cs"/>
          <w:rtl/>
        </w:rPr>
        <w:t>ی</w:t>
      </w:r>
      <w:r w:rsidRPr="0025250D">
        <w:rPr>
          <w:rFonts w:hint="eastAsia"/>
          <w:rtl/>
        </w:rPr>
        <w:t>ر</w:t>
      </w:r>
      <w:r w:rsidRPr="0025250D">
        <w:rPr>
          <w:rFonts w:hint="cs"/>
          <w:rtl/>
        </w:rPr>
        <w:t>ی</w:t>
      </w:r>
      <w:r w:rsidRPr="0025250D">
        <w:rPr>
          <w:rtl/>
        </w:rPr>
        <w:t xml:space="preserve"> خود تمرکز کن</w:t>
      </w:r>
      <w:r w:rsidRPr="0025250D">
        <w:rPr>
          <w:rFonts w:hint="cs"/>
          <w:rtl/>
        </w:rPr>
        <w:t>ی</w:t>
      </w:r>
      <w:r w:rsidRPr="0025250D">
        <w:rPr>
          <w:rFonts w:hint="eastAsia"/>
          <w:rtl/>
        </w:rPr>
        <w:t>د</w:t>
      </w:r>
      <w:r w:rsidRPr="0025250D">
        <w:rPr>
          <w:rtl/>
        </w:rPr>
        <w:t xml:space="preserve">. خواندن </w:t>
      </w:r>
      <w:r w:rsidRPr="0025250D">
        <w:rPr>
          <w:rFonts w:hint="cs"/>
          <w:rtl/>
        </w:rPr>
        <w:t>ی</w:t>
      </w:r>
      <w:r w:rsidRPr="0025250D">
        <w:rPr>
          <w:rFonts w:hint="eastAsia"/>
          <w:rtl/>
        </w:rPr>
        <w:t>ک</w:t>
      </w:r>
      <w:r w:rsidRPr="0025250D">
        <w:rPr>
          <w:rtl/>
        </w:rPr>
        <w:t xml:space="preserve"> کتاب در هفته </w:t>
      </w:r>
      <w:r w:rsidRPr="0025250D">
        <w:rPr>
          <w:rFonts w:hint="cs"/>
          <w:rtl/>
        </w:rPr>
        <w:t>ی</w:t>
      </w:r>
      <w:r w:rsidRPr="0025250D">
        <w:rPr>
          <w:rFonts w:hint="eastAsia"/>
          <w:rtl/>
        </w:rPr>
        <w:t>ک</w:t>
      </w:r>
      <w:r w:rsidRPr="0025250D">
        <w:rPr>
          <w:rtl/>
        </w:rPr>
        <w:t xml:space="preserve"> هدف بزرگ است. به عقب برگرد</w:t>
      </w:r>
      <w:r w:rsidRPr="0025250D">
        <w:rPr>
          <w:rFonts w:hint="cs"/>
          <w:rtl/>
        </w:rPr>
        <w:t>ی</w:t>
      </w:r>
      <w:r w:rsidRPr="0025250D">
        <w:rPr>
          <w:rFonts w:hint="eastAsia"/>
          <w:rtl/>
        </w:rPr>
        <w:t>د</w:t>
      </w:r>
      <w:r w:rsidRPr="0025250D">
        <w:rPr>
          <w:rtl/>
        </w:rPr>
        <w:t xml:space="preserve"> و فقط آن ز</w:t>
      </w:r>
      <w:r w:rsidRPr="0025250D">
        <w:rPr>
          <w:rFonts w:hint="cs"/>
          <w:rtl/>
        </w:rPr>
        <w:t>ی</w:t>
      </w:r>
      <w:r w:rsidRPr="0025250D">
        <w:rPr>
          <w:rFonts w:hint="eastAsia"/>
          <w:rtl/>
        </w:rPr>
        <w:t>رمجموعه</w:t>
      </w:r>
      <w:r w:rsidRPr="0025250D">
        <w:rPr>
          <w:rtl/>
        </w:rPr>
        <w:t xml:space="preserve"> کوچک</w:t>
      </w:r>
      <w:r w:rsidRPr="0025250D">
        <w:rPr>
          <w:rFonts w:hint="cs"/>
          <w:rtl/>
        </w:rPr>
        <w:t>ی</w:t>
      </w:r>
      <w:r w:rsidRPr="0025250D">
        <w:rPr>
          <w:rtl/>
        </w:rPr>
        <w:t xml:space="preserve"> </w:t>
      </w:r>
      <w:r w:rsidRPr="0025250D">
        <w:rPr>
          <w:rFonts w:hint="eastAsia"/>
          <w:rtl/>
        </w:rPr>
        <w:t>از</w:t>
      </w:r>
      <w:r w:rsidRPr="0025250D">
        <w:rPr>
          <w:rtl/>
        </w:rPr>
        <w:t xml:space="preserve"> کتاب ها را آهسته بخوان</w:t>
      </w:r>
      <w:r w:rsidRPr="0025250D">
        <w:rPr>
          <w:rFonts w:hint="cs"/>
          <w:rtl/>
        </w:rPr>
        <w:t>ی</w:t>
      </w:r>
      <w:r w:rsidRPr="0025250D">
        <w:rPr>
          <w:rFonts w:hint="eastAsia"/>
          <w:rtl/>
        </w:rPr>
        <w:t>د</w:t>
      </w:r>
      <w:r w:rsidRPr="0025250D">
        <w:rPr>
          <w:rtl/>
        </w:rPr>
        <w:t xml:space="preserve"> که همچنان به تفکر شما </w:t>
      </w:r>
      <w:r w:rsidRPr="0025250D">
        <w:rPr>
          <w:rFonts w:hint="cs"/>
          <w:rtl/>
        </w:rPr>
        <w:t>خطور می کنند.</w:t>
      </w:r>
    </w:p>
    <w:p w14:paraId="1970FC2F" w14:textId="7A6276DA" w:rsidR="00A23314" w:rsidRPr="0025250D" w:rsidRDefault="00A23314" w:rsidP="00A23314">
      <w:pPr>
        <w:rPr>
          <w:rtl/>
        </w:rPr>
      </w:pPr>
      <w:r w:rsidRPr="0025250D">
        <w:rPr>
          <w:rtl/>
        </w:rPr>
        <w:t>زمان‌بند</w:t>
      </w:r>
      <w:r w:rsidRPr="0025250D">
        <w:rPr>
          <w:rFonts w:hint="cs"/>
          <w:rtl/>
        </w:rPr>
        <w:t>ی</w:t>
      </w:r>
      <w:r w:rsidRPr="0025250D">
        <w:rPr>
          <w:rtl/>
        </w:rPr>
        <w:t xml:space="preserve"> هفتگ</w:t>
      </w:r>
      <w:r w:rsidRPr="0025250D">
        <w:rPr>
          <w:rFonts w:hint="cs"/>
          <w:rtl/>
        </w:rPr>
        <w:t>ی</w:t>
      </w:r>
      <w:r w:rsidRPr="0025250D">
        <w:rPr>
          <w:rtl/>
        </w:rPr>
        <w:t xml:space="preserve"> (</w:t>
      </w:r>
      <w:r w:rsidRPr="0025250D">
        <w:rPr>
          <w:rFonts w:hint="cs"/>
          <w:rtl/>
        </w:rPr>
        <w:t>ی</w:t>
      </w:r>
      <w:r w:rsidRPr="0025250D">
        <w:rPr>
          <w:rFonts w:hint="eastAsia"/>
          <w:rtl/>
        </w:rPr>
        <w:t>ا</w:t>
      </w:r>
      <w:r w:rsidRPr="0025250D">
        <w:rPr>
          <w:rtl/>
        </w:rPr>
        <w:t xml:space="preserve"> روزانه؟) برا</w:t>
      </w:r>
      <w:r w:rsidRPr="0025250D">
        <w:rPr>
          <w:rFonts w:hint="cs"/>
          <w:rtl/>
        </w:rPr>
        <w:t>ی</w:t>
      </w:r>
      <w:r w:rsidRPr="0025250D">
        <w:rPr>
          <w:rtl/>
        </w:rPr>
        <w:t xml:space="preserve"> مطالعه‌</w:t>
      </w:r>
      <w:r w:rsidRPr="0025250D">
        <w:rPr>
          <w:rFonts w:hint="cs"/>
          <w:rtl/>
        </w:rPr>
        <w:t>ی</w:t>
      </w:r>
      <w:r w:rsidRPr="0025250D">
        <w:rPr>
          <w:rtl/>
        </w:rPr>
        <w:t xml:space="preserve"> </w:t>
      </w:r>
      <w:r w:rsidRPr="0025250D">
        <w:rPr>
          <w:rFonts w:hint="cs"/>
          <w:rtl/>
        </w:rPr>
        <w:t>اسپرینت</w:t>
      </w:r>
      <w:r w:rsidRPr="0025250D">
        <w:rPr>
          <w:rtl/>
        </w:rPr>
        <w:t xml:space="preserve"> و پا</w:t>
      </w:r>
      <w:r w:rsidRPr="0025250D">
        <w:rPr>
          <w:rFonts w:hint="cs"/>
          <w:rtl/>
        </w:rPr>
        <w:t>ی</w:t>
      </w:r>
      <w:r w:rsidRPr="0025250D">
        <w:rPr>
          <w:rFonts w:hint="eastAsia"/>
          <w:rtl/>
        </w:rPr>
        <w:t>بند</w:t>
      </w:r>
      <w:r w:rsidRPr="0025250D">
        <w:rPr>
          <w:rFonts w:hint="cs"/>
          <w:rtl/>
        </w:rPr>
        <w:t>ی</w:t>
      </w:r>
      <w:r w:rsidRPr="0025250D">
        <w:rPr>
          <w:rtl/>
        </w:rPr>
        <w:t xml:space="preserve"> به برنامه‌تان، به خودتان نشان م</w:t>
      </w:r>
      <w:r w:rsidRPr="0025250D">
        <w:rPr>
          <w:rFonts w:hint="cs"/>
          <w:rtl/>
        </w:rPr>
        <w:t>ی‌</w:t>
      </w:r>
      <w:r w:rsidRPr="0025250D">
        <w:rPr>
          <w:rFonts w:hint="eastAsia"/>
          <w:rtl/>
        </w:rPr>
        <w:t>دهد</w:t>
      </w:r>
      <w:r w:rsidRPr="0025250D">
        <w:rPr>
          <w:rtl/>
        </w:rPr>
        <w:t xml:space="preserve"> که آن را جد</w:t>
      </w:r>
      <w:r w:rsidRPr="0025250D">
        <w:rPr>
          <w:rFonts w:hint="cs"/>
          <w:rtl/>
        </w:rPr>
        <w:t>ی</w:t>
      </w:r>
      <w:r w:rsidRPr="0025250D">
        <w:rPr>
          <w:rtl/>
        </w:rPr>
        <w:t xml:space="preserve"> م</w:t>
      </w:r>
      <w:r w:rsidRPr="0025250D">
        <w:rPr>
          <w:rFonts w:hint="cs"/>
          <w:rtl/>
        </w:rPr>
        <w:t>ی‌</w:t>
      </w:r>
      <w:r w:rsidRPr="0025250D">
        <w:rPr>
          <w:rFonts w:hint="eastAsia"/>
          <w:rtl/>
        </w:rPr>
        <w:t>گ</w:t>
      </w:r>
      <w:r w:rsidRPr="0025250D">
        <w:rPr>
          <w:rFonts w:hint="cs"/>
          <w:rtl/>
        </w:rPr>
        <w:t>ی</w:t>
      </w:r>
      <w:r w:rsidRPr="0025250D">
        <w:rPr>
          <w:rFonts w:hint="eastAsia"/>
          <w:rtl/>
        </w:rPr>
        <w:t>ر</w:t>
      </w:r>
      <w:r w:rsidRPr="0025250D">
        <w:rPr>
          <w:rFonts w:hint="cs"/>
          <w:rtl/>
        </w:rPr>
        <w:t>ی</w:t>
      </w:r>
      <w:r w:rsidRPr="0025250D">
        <w:rPr>
          <w:rFonts w:hint="eastAsia"/>
          <w:rtl/>
        </w:rPr>
        <w:t>د</w:t>
      </w:r>
      <w:r w:rsidRPr="0025250D">
        <w:rPr>
          <w:rtl/>
        </w:rPr>
        <w:t xml:space="preserve">. </w:t>
      </w:r>
      <w:r w:rsidR="007118DE" w:rsidRPr="0025250D">
        <w:rPr>
          <w:rtl/>
        </w:rPr>
        <w:t>همان‌طور</w:t>
      </w:r>
      <w:r w:rsidRPr="0025250D">
        <w:rPr>
          <w:rtl/>
        </w:rPr>
        <w:t xml:space="preserve"> که تمر</w:t>
      </w:r>
      <w:r w:rsidRPr="0025250D">
        <w:rPr>
          <w:rFonts w:hint="cs"/>
          <w:rtl/>
        </w:rPr>
        <w:t>ی</w:t>
      </w:r>
      <w:r w:rsidRPr="0025250D">
        <w:rPr>
          <w:rFonts w:hint="eastAsia"/>
          <w:rtl/>
        </w:rPr>
        <w:t>نات</w:t>
      </w:r>
      <w:r w:rsidRPr="0025250D">
        <w:rPr>
          <w:rtl/>
        </w:rPr>
        <w:t xml:space="preserve"> ا</w:t>
      </w:r>
      <w:r w:rsidRPr="0025250D">
        <w:rPr>
          <w:rFonts w:hint="cs"/>
          <w:rtl/>
        </w:rPr>
        <w:t>ی</w:t>
      </w:r>
      <w:r w:rsidRPr="0025250D">
        <w:rPr>
          <w:rFonts w:hint="eastAsia"/>
          <w:rtl/>
        </w:rPr>
        <w:t>نتروال</w:t>
      </w:r>
      <w:r w:rsidRPr="0025250D">
        <w:rPr>
          <w:rtl/>
        </w:rPr>
        <w:t xml:space="preserve"> سرعت، قدرت و استقامت شما را بهبود م</w:t>
      </w:r>
      <w:r w:rsidRPr="0025250D">
        <w:rPr>
          <w:rFonts w:hint="cs"/>
          <w:rtl/>
        </w:rPr>
        <w:t>ی</w:t>
      </w:r>
      <w:r w:rsidRPr="0025250D">
        <w:rPr>
          <w:rtl/>
        </w:rPr>
        <w:t xml:space="preserve"> بخشد، </w:t>
      </w:r>
      <w:r w:rsidRPr="0025250D">
        <w:rPr>
          <w:rFonts w:hint="cs"/>
          <w:rtl/>
        </w:rPr>
        <w:t>مطالعه اسپرینت</w:t>
      </w:r>
      <w:r w:rsidRPr="0025250D">
        <w:rPr>
          <w:rtl/>
        </w:rPr>
        <w:t xml:space="preserve"> کتاب ها</w:t>
      </w:r>
      <w:r w:rsidRPr="0025250D">
        <w:rPr>
          <w:rFonts w:hint="cs"/>
          <w:rtl/>
        </w:rPr>
        <w:t>ی</w:t>
      </w:r>
      <w:r w:rsidRPr="0025250D">
        <w:rPr>
          <w:rtl/>
        </w:rPr>
        <w:t xml:space="preserve"> متنوع </w:t>
      </w:r>
      <w:r w:rsidRPr="0025250D">
        <w:rPr>
          <w:rFonts w:hint="cs"/>
          <w:rtl/>
        </w:rPr>
        <w:t>ی</w:t>
      </w:r>
      <w:r w:rsidRPr="0025250D">
        <w:rPr>
          <w:rFonts w:hint="eastAsia"/>
          <w:rtl/>
        </w:rPr>
        <w:t>ادگ</w:t>
      </w:r>
      <w:r w:rsidRPr="0025250D">
        <w:rPr>
          <w:rFonts w:hint="cs"/>
          <w:rtl/>
        </w:rPr>
        <w:t>ی</w:t>
      </w:r>
      <w:r w:rsidRPr="0025250D">
        <w:rPr>
          <w:rFonts w:hint="eastAsia"/>
          <w:rtl/>
        </w:rPr>
        <w:t>ر</w:t>
      </w:r>
      <w:r w:rsidRPr="0025250D">
        <w:rPr>
          <w:rFonts w:hint="cs"/>
          <w:rtl/>
        </w:rPr>
        <w:t>ی</w:t>
      </w:r>
      <w:r w:rsidRPr="0025250D">
        <w:rPr>
          <w:rtl/>
        </w:rPr>
        <w:t xml:space="preserve"> شما و ک</w:t>
      </w:r>
      <w:r w:rsidRPr="0025250D">
        <w:rPr>
          <w:rFonts w:hint="cs"/>
          <w:rtl/>
        </w:rPr>
        <w:t>ی</w:t>
      </w:r>
      <w:r w:rsidRPr="0025250D">
        <w:rPr>
          <w:rFonts w:hint="eastAsia"/>
          <w:rtl/>
        </w:rPr>
        <w:t>ف</w:t>
      </w:r>
      <w:r w:rsidRPr="0025250D">
        <w:rPr>
          <w:rFonts w:hint="cs"/>
          <w:rtl/>
        </w:rPr>
        <w:t>ی</w:t>
      </w:r>
      <w:r w:rsidRPr="0025250D">
        <w:rPr>
          <w:rFonts w:hint="eastAsia"/>
          <w:rtl/>
        </w:rPr>
        <w:t>ت</w:t>
      </w:r>
      <w:r w:rsidRPr="0025250D">
        <w:rPr>
          <w:rtl/>
        </w:rPr>
        <w:t xml:space="preserve"> </w:t>
      </w:r>
      <w:r w:rsidR="00D92F6E" w:rsidRPr="0025250D">
        <w:rPr>
          <w:rtl/>
        </w:rPr>
        <w:t>آینده‌نگاری</w:t>
      </w:r>
      <w:r w:rsidRPr="0025250D">
        <w:rPr>
          <w:rtl/>
        </w:rPr>
        <w:t xml:space="preserve"> شما ر</w:t>
      </w:r>
      <w:r w:rsidRPr="0025250D">
        <w:rPr>
          <w:rFonts w:hint="eastAsia"/>
          <w:rtl/>
        </w:rPr>
        <w:t>ا</w:t>
      </w:r>
      <w:r w:rsidRPr="0025250D">
        <w:rPr>
          <w:rtl/>
        </w:rPr>
        <w:t xml:space="preserve"> بس</w:t>
      </w:r>
      <w:r w:rsidRPr="0025250D">
        <w:rPr>
          <w:rFonts w:hint="cs"/>
          <w:rtl/>
        </w:rPr>
        <w:t>ی</w:t>
      </w:r>
      <w:r w:rsidRPr="0025250D">
        <w:rPr>
          <w:rFonts w:hint="eastAsia"/>
          <w:rtl/>
        </w:rPr>
        <w:t>ار</w:t>
      </w:r>
      <w:r w:rsidRPr="0025250D">
        <w:rPr>
          <w:rtl/>
        </w:rPr>
        <w:t xml:space="preserve"> بهبود م</w:t>
      </w:r>
      <w:r w:rsidRPr="0025250D">
        <w:rPr>
          <w:rFonts w:hint="cs"/>
          <w:rtl/>
        </w:rPr>
        <w:t>ی</w:t>
      </w:r>
      <w:r w:rsidRPr="0025250D">
        <w:rPr>
          <w:rtl/>
        </w:rPr>
        <w:t xml:space="preserve"> بخشد.</w:t>
      </w:r>
      <w:r w:rsidRPr="0025250D">
        <w:rPr>
          <w:rFonts w:hint="cs"/>
          <w:rtl/>
        </w:rPr>
        <w:t xml:space="preserve"> </w:t>
      </w:r>
      <w:r w:rsidRPr="0025250D">
        <w:rPr>
          <w:rtl/>
        </w:rPr>
        <w:t xml:space="preserve">اگر </w:t>
      </w:r>
      <w:r w:rsidRPr="0025250D">
        <w:rPr>
          <w:rFonts w:hint="cs"/>
          <w:rtl/>
        </w:rPr>
        <w:t xml:space="preserve">مطالعه اسپرینت برخی </w:t>
      </w:r>
      <w:r w:rsidRPr="0025250D">
        <w:rPr>
          <w:rtl/>
        </w:rPr>
        <w:t>کتاب‌ها برا</w:t>
      </w:r>
      <w:r w:rsidRPr="0025250D">
        <w:rPr>
          <w:rFonts w:hint="cs"/>
          <w:rtl/>
        </w:rPr>
        <w:t>ی</w:t>
      </w:r>
      <w:r w:rsidRPr="0025250D">
        <w:rPr>
          <w:rFonts w:hint="eastAsia"/>
          <w:rtl/>
        </w:rPr>
        <w:t>تان</w:t>
      </w:r>
      <w:r w:rsidRPr="0025250D">
        <w:rPr>
          <w:rtl/>
        </w:rPr>
        <w:t xml:space="preserve"> سخت </w:t>
      </w:r>
      <w:r w:rsidRPr="0025250D">
        <w:rPr>
          <w:rFonts w:hint="cs"/>
          <w:rtl/>
        </w:rPr>
        <w:t>است</w:t>
      </w:r>
      <w:r w:rsidRPr="0025250D">
        <w:rPr>
          <w:rFonts w:hint="eastAsia"/>
          <w:rtl/>
        </w:rPr>
        <w:t>،</w:t>
      </w:r>
      <w:r w:rsidRPr="0025250D">
        <w:rPr>
          <w:rtl/>
        </w:rPr>
        <w:t xml:space="preserve"> همه چ</w:t>
      </w:r>
      <w:r w:rsidRPr="0025250D">
        <w:rPr>
          <w:rFonts w:hint="cs"/>
          <w:rtl/>
        </w:rPr>
        <w:t>ی</w:t>
      </w:r>
      <w:r w:rsidRPr="0025250D">
        <w:rPr>
          <w:rFonts w:hint="eastAsia"/>
          <w:rtl/>
        </w:rPr>
        <w:t>ز</w:t>
      </w:r>
      <w:r w:rsidRPr="0025250D">
        <w:rPr>
          <w:rFonts w:hint="cs"/>
          <w:rtl/>
        </w:rPr>
        <w:t xml:space="preserve"> دیگر</w:t>
      </w:r>
      <w:r w:rsidRPr="0025250D">
        <w:rPr>
          <w:rtl/>
        </w:rPr>
        <w:t xml:space="preserve"> آسان‌تر م</w:t>
      </w:r>
      <w:r w:rsidRPr="0025250D">
        <w:rPr>
          <w:rFonts w:hint="cs"/>
          <w:rtl/>
        </w:rPr>
        <w:t>ی‌</w:t>
      </w:r>
      <w:r w:rsidRPr="0025250D">
        <w:rPr>
          <w:rFonts w:hint="eastAsia"/>
          <w:rtl/>
        </w:rPr>
        <w:t>شود</w:t>
      </w:r>
      <w:r w:rsidRPr="0025250D">
        <w:rPr>
          <w:rtl/>
        </w:rPr>
        <w:t>. پس از مدت</w:t>
      </w:r>
      <w:r w:rsidRPr="0025250D">
        <w:rPr>
          <w:rFonts w:hint="cs"/>
          <w:rtl/>
        </w:rPr>
        <w:t>ی</w:t>
      </w:r>
      <w:r w:rsidRPr="0025250D">
        <w:rPr>
          <w:rtl/>
        </w:rPr>
        <w:t xml:space="preserve"> که به سرعت مطالعه کرد</w:t>
      </w:r>
      <w:r w:rsidRPr="0025250D">
        <w:rPr>
          <w:rFonts w:hint="cs"/>
          <w:rtl/>
        </w:rPr>
        <w:t>ی</w:t>
      </w:r>
      <w:r w:rsidRPr="0025250D">
        <w:rPr>
          <w:rFonts w:hint="eastAsia"/>
          <w:rtl/>
        </w:rPr>
        <w:t>د،</w:t>
      </w:r>
      <w:r w:rsidRPr="0025250D">
        <w:rPr>
          <w:rtl/>
        </w:rPr>
        <w:t xml:space="preserve"> افزا</w:t>
      </w:r>
      <w:r w:rsidRPr="0025250D">
        <w:rPr>
          <w:rFonts w:hint="cs"/>
          <w:rtl/>
        </w:rPr>
        <w:t>ی</w:t>
      </w:r>
      <w:r w:rsidRPr="0025250D">
        <w:rPr>
          <w:rFonts w:hint="eastAsia"/>
          <w:rtl/>
        </w:rPr>
        <w:t>ش</w:t>
      </w:r>
      <w:r w:rsidRPr="0025250D">
        <w:rPr>
          <w:rtl/>
        </w:rPr>
        <w:t xml:space="preserve"> تعداد مجلات، </w:t>
      </w:r>
      <w:r w:rsidRPr="0025250D">
        <w:rPr>
          <w:rFonts w:hint="cs"/>
          <w:rtl/>
        </w:rPr>
        <w:t>نشریات</w:t>
      </w:r>
      <w:r w:rsidRPr="0025250D">
        <w:rPr>
          <w:rtl/>
        </w:rPr>
        <w:t xml:space="preserve">، گزارش‌ها، مقالات و </w:t>
      </w:r>
      <w:r w:rsidRPr="0025250D">
        <w:rPr>
          <w:rFonts w:hint="cs"/>
          <w:rtl/>
        </w:rPr>
        <w:t xml:space="preserve">دیگر موارد مطالعه شده </w:t>
      </w:r>
      <w:r w:rsidRPr="0025250D">
        <w:rPr>
          <w:rtl/>
        </w:rPr>
        <w:t>بس</w:t>
      </w:r>
      <w:r w:rsidRPr="0025250D">
        <w:rPr>
          <w:rFonts w:hint="cs"/>
          <w:rtl/>
        </w:rPr>
        <w:t>ی</w:t>
      </w:r>
      <w:r w:rsidRPr="0025250D">
        <w:rPr>
          <w:rFonts w:hint="eastAsia"/>
          <w:rtl/>
        </w:rPr>
        <w:t>ار</w:t>
      </w:r>
      <w:r w:rsidRPr="0025250D">
        <w:rPr>
          <w:rtl/>
        </w:rPr>
        <w:t xml:space="preserve"> آسان </w:t>
      </w:r>
      <w:r w:rsidRPr="0025250D">
        <w:rPr>
          <w:rFonts w:hint="cs"/>
          <w:rtl/>
        </w:rPr>
        <w:t>خواهد بود.</w:t>
      </w:r>
    </w:p>
    <w:p w14:paraId="6779C050" w14:textId="6352E9D2" w:rsidR="00537CC8" w:rsidRPr="0025250D" w:rsidRDefault="00537CC8" w:rsidP="00A6676A">
      <w:pPr>
        <w:pStyle w:val="Heading2"/>
        <w:rPr>
          <w:rtl/>
        </w:rPr>
      </w:pPr>
      <w:bookmarkStart w:id="91" w:name="_Toc127831355"/>
      <w:r w:rsidRPr="0025250D">
        <w:rPr>
          <w:rFonts w:hint="cs"/>
          <w:rtl/>
        </w:rPr>
        <w:t>نشریات</w:t>
      </w:r>
      <w:r w:rsidRPr="0025250D">
        <w:rPr>
          <w:rtl/>
        </w:rPr>
        <w:t xml:space="preserve"> آینده‌</w:t>
      </w:r>
      <w:r w:rsidR="00E26538" w:rsidRPr="0025250D">
        <w:rPr>
          <w:rtl/>
        </w:rPr>
        <w:t>نگار</w:t>
      </w:r>
      <w:r w:rsidRPr="0025250D">
        <w:rPr>
          <w:rtl/>
        </w:rPr>
        <w:t xml:space="preserve">ی </w:t>
      </w:r>
      <w:r w:rsidR="00701E03" w:rsidRPr="0025250D">
        <w:rPr>
          <w:rtl/>
        </w:rPr>
        <w:t>راهبردی</w:t>
      </w:r>
      <w:bookmarkEnd w:id="91"/>
    </w:p>
    <w:p w14:paraId="54CFA9C0" w14:textId="556B302C" w:rsidR="00A23314" w:rsidRPr="0025250D" w:rsidRDefault="00A23314" w:rsidP="00A23314">
      <w:pPr>
        <w:rPr>
          <w:rtl/>
        </w:rPr>
      </w:pPr>
      <w:r w:rsidRPr="0025250D">
        <w:rPr>
          <w:rtl/>
        </w:rPr>
        <w:t>اول</w:t>
      </w:r>
      <w:r w:rsidRPr="0025250D">
        <w:rPr>
          <w:rFonts w:hint="cs"/>
          <w:rtl/>
        </w:rPr>
        <w:t>ی</w:t>
      </w:r>
      <w:r w:rsidRPr="0025250D">
        <w:rPr>
          <w:rFonts w:hint="eastAsia"/>
          <w:rtl/>
        </w:rPr>
        <w:t>ن</w:t>
      </w:r>
      <w:r w:rsidRPr="0025250D">
        <w:rPr>
          <w:rtl/>
        </w:rPr>
        <w:t xml:space="preserve"> </w:t>
      </w:r>
      <w:r w:rsidRPr="0025250D">
        <w:rPr>
          <w:rFonts w:hint="cs"/>
          <w:rtl/>
        </w:rPr>
        <w:t>نشریات</w:t>
      </w:r>
      <w:r w:rsidRPr="0025250D">
        <w:rPr>
          <w:rtl/>
        </w:rPr>
        <w:t xml:space="preserve"> تخصص</w:t>
      </w:r>
      <w:r w:rsidRPr="0025250D">
        <w:rPr>
          <w:rFonts w:hint="cs"/>
          <w:rtl/>
        </w:rPr>
        <w:t>ی</w:t>
      </w:r>
      <w:r w:rsidRPr="0025250D">
        <w:rPr>
          <w:rtl/>
        </w:rPr>
        <w:t xml:space="preserve"> آ</w:t>
      </w:r>
      <w:r w:rsidRPr="0025250D">
        <w:rPr>
          <w:rFonts w:hint="cs"/>
          <w:rtl/>
        </w:rPr>
        <w:t>ی</w:t>
      </w:r>
      <w:r w:rsidRPr="0025250D">
        <w:rPr>
          <w:rFonts w:hint="eastAsia"/>
          <w:rtl/>
        </w:rPr>
        <w:t>نده‌نگار</w:t>
      </w:r>
      <w:r w:rsidRPr="0025250D">
        <w:rPr>
          <w:rFonts w:hint="cs"/>
          <w:rtl/>
        </w:rPr>
        <w:t>ی</w:t>
      </w:r>
      <w:r w:rsidRPr="0025250D">
        <w:rPr>
          <w:rtl/>
        </w:rPr>
        <w:t xml:space="preserve"> در دهه 1970 </w:t>
      </w:r>
      <w:r w:rsidRPr="0025250D">
        <w:rPr>
          <w:rFonts w:hint="cs"/>
          <w:rtl/>
        </w:rPr>
        <w:t xml:space="preserve">و </w:t>
      </w:r>
      <w:r w:rsidRPr="0025250D">
        <w:rPr>
          <w:rtl/>
        </w:rPr>
        <w:t>در آخر</w:t>
      </w:r>
      <w:r w:rsidRPr="0025250D">
        <w:rPr>
          <w:rFonts w:hint="cs"/>
          <w:rtl/>
        </w:rPr>
        <w:t>ی</w:t>
      </w:r>
      <w:r w:rsidRPr="0025250D">
        <w:rPr>
          <w:rFonts w:hint="eastAsia"/>
          <w:rtl/>
        </w:rPr>
        <w:t>ن</w:t>
      </w:r>
      <w:r w:rsidRPr="0025250D">
        <w:rPr>
          <w:rtl/>
        </w:rPr>
        <w:t xml:space="preserve"> بهار آ</w:t>
      </w:r>
      <w:r w:rsidRPr="0025250D">
        <w:rPr>
          <w:rFonts w:hint="cs"/>
          <w:rtl/>
        </w:rPr>
        <w:t>ی</w:t>
      </w:r>
      <w:r w:rsidRPr="0025250D">
        <w:rPr>
          <w:rFonts w:hint="eastAsia"/>
          <w:rtl/>
        </w:rPr>
        <w:t>نده‌نگر</w:t>
      </w:r>
      <w:r w:rsidRPr="0025250D">
        <w:rPr>
          <w:rFonts w:hint="cs"/>
          <w:rtl/>
        </w:rPr>
        <w:t>ی</w:t>
      </w:r>
      <w:r w:rsidRPr="0025250D">
        <w:rPr>
          <w:rtl/>
        </w:rPr>
        <w:t xml:space="preserve"> </w:t>
      </w:r>
      <w:r w:rsidRPr="0025250D">
        <w:rPr>
          <w:rFonts w:hint="cs"/>
          <w:rtl/>
        </w:rPr>
        <w:t>منتشر شدند</w:t>
      </w:r>
      <w:r w:rsidRPr="0025250D">
        <w:rPr>
          <w:rtl/>
        </w:rPr>
        <w:t>، اما ضر</w:t>
      </w:r>
      <w:r w:rsidRPr="0025250D">
        <w:rPr>
          <w:rFonts w:hint="cs"/>
          <w:rtl/>
        </w:rPr>
        <w:t>ی</w:t>
      </w:r>
      <w:r w:rsidRPr="0025250D">
        <w:rPr>
          <w:rFonts w:hint="eastAsia"/>
          <w:rtl/>
        </w:rPr>
        <w:t>ب</w:t>
      </w:r>
      <w:r w:rsidRPr="0025250D">
        <w:rPr>
          <w:rtl/>
        </w:rPr>
        <w:t xml:space="preserve"> تأث</w:t>
      </w:r>
      <w:r w:rsidRPr="0025250D">
        <w:rPr>
          <w:rFonts w:hint="cs"/>
          <w:rtl/>
        </w:rPr>
        <w:t>ی</w:t>
      </w:r>
      <w:r w:rsidRPr="0025250D">
        <w:rPr>
          <w:rFonts w:hint="eastAsia"/>
          <w:rtl/>
        </w:rPr>
        <w:t>ر</w:t>
      </w:r>
      <w:r w:rsidRPr="0025250D">
        <w:rPr>
          <w:rtl/>
        </w:rPr>
        <w:t xml:space="preserve"> آنها و استفاده و پشت</w:t>
      </w:r>
      <w:r w:rsidRPr="0025250D">
        <w:rPr>
          <w:rFonts w:hint="cs"/>
          <w:rtl/>
        </w:rPr>
        <w:t>ی</w:t>
      </w:r>
      <w:r w:rsidRPr="0025250D">
        <w:rPr>
          <w:rFonts w:hint="eastAsia"/>
          <w:rtl/>
        </w:rPr>
        <w:t>بان</w:t>
      </w:r>
      <w:r w:rsidRPr="0025250D">
        <w:rPr>
          <w:rFonts w:hint="cs"/>
          <w:rtl/>
        </w:rPr>
        <w:t>ی</w:t>
      </w:r>
      <w:r w:rsidRPr="0025250D">
        <w:rPr>
          <w:rtl/>
        </w:rPr>
        <w:t xml:space="preserve"> آنها در برنامه‌ها و انجمن‌ها</w:t>
      </w:r>
      <w:r w:rsidRPr="0025250D">
        <w:rPr>
          <w:rFonts w:hint="cs"/>
          <w:rtl/>
        </w:rPr>
        <w:t>ی</w:t>
      </w:r>
      <w:r w:rsidRPr="0025250D">
        <w:rPr>
          <w:rtl/>
        </w:rPr>
        <w:t xml:space="preserve"> آموزش</w:t>
      </w:r>
      <w:r w:rsidRPr="0025250D">
        <w:rPr>
          <w:rFonts w:hint="cs"/>
          <w:rtl/>
        </w:rPr>
        <w:t>ی</w:t>
      </w:r>
      <w:r w:rsidRPr="0025250D">
        <w:rPr>
          <w:rtl/>
        </w:rPr>
        <w:t xml:space="preserve"> آ</w:t>
      </w:r>
      <w:r w:rsidRPr="0025250D">
        <w:rPr>
          <w:rFonts w:hint="cs"/>
          <w:rtl/>
        </w:rPr>
        <w:t>ی</w:t>
      </w:r>
      <w:r w:rsidRPr="0025250D">
        <w:rPr>
          <w:rFonts w:hint="eastAsia"/>
          <w:rtl/>
        </w:rPr>
        <w:t>نده‌نگار</w:t>
      </w:r>
      <w:r w:rsidRPr="0025250D">
        <w:rPr>
          <w:rFonts w:hint="cs"/>
          <w:rtl/>
        </w:rPr>
        <w:t>ی</w:t>
      </w:r>
      <w:r w:rsidRPr="0025250D">
        <w:rPr>
          <w:rtl/>
        </w:rPr>
        <w:t xml:space="preserve"> ما، م</w:t>
      </w:r>
      <w:r w:rsidRPr="0025250D">
        <w:rPr>
          <w:rFonts w:hint="cs"/>
          <w:rtl/>
        </w:rPr>
        <w:t>ی‌</w:t>
      </w:r>
      <w:r w:rsidRPr="0025250D">
        <w:rPr>
          <w:rFonts w:hint="eastAsia"/>
          <w:rtl/>
        </w:rPr>
        <w:t>تواند</w:t>
      </w:r>
      <w:r w:rsidRPr="0025250D">
        <w:rPr>
          <w:rtl/>
        </w:rPr>
        <w:t xml:space="preserve"> بس</w:t>
      </w:r>
      <w:r w:rsidRPr="0025250D">
        <w:rPr>
          <w:rFonts w:hint="cs"/>
          <w:rtl/>
        </w:rPr>
        <w:t>ی</w:t>
      </w:r>
      <w:r w:rsidRPr="0025250D">
        <w:rPr>
          <w:rFonts w:hint="eastAsia"/>
          <w:rtl/>
        </w:rPr>
        <w:t>ار</w:t>
      </w:r>
      <w:r w:rsidRPr="0025250D">
        <w:rPr>
          <w:rtl/>
        </w:rPr>
        <w:t xml:space="preserve"> بهبود </w:t>
      </w:r>
      <w:r w:rsidRPr="0025250D">
        <w:rPr>
          <w:rFonts w:hint="cs"/>
          <w:rtl/>
        </w:rPr>
        <w:t>ی</w:t>
      </w:r>
      <w:r w:rsidRPr="0025250D">
        <w:rPr>
          <w:rFonts w:hint="eastAsia"/>
          <w:rtl/>
        </w:rPr>
        <w:t>ابد</w:t>
      </w:r>
      <w:r w:rsidRPr="0025250D">
        <w:rPr>
          <w:rtl/>
        </w:rPr>
        <w:t>. در ا</w:t>
      </w:r>
      <w:r w:rsidRPr="0025250D">
        <w:rPr>
          <w:rFonts w:hint="cs"/>
          <w:rtl/>
        </w:rPr>
        <w:t>ی</w:t>
      </w:r>
      <w:r w:rsidRPr="0025250D">
        <w:rPr>
          <w:rFonts w:hint="eastAsia"/>
          <w:rtl/>
        </w:rPr>
        <w:t>نجا</w:t>
      </w:r>
      <w:r w:rsidRPr="0025250D">
        <w:rPr>
          <w:rtl/>
        </w:rPr>
        <w:t xml:space="preserve"> برخ</w:t>
      </w:r>
      <w:r w:rsidRPr="0025250D">
        <w:rPr>
          <w:rFonts w:hint="cs"/>
          <w:rtl/>
        </w:rPr>
        <w:t>ی</w:t>
      </w:r>
      <w:r w:rsidRPr="0025250D">
        <w:rPr>
          <w:rtl/>
        </w:rPr>
        <w:t xml:space="preserve"> از بهتر</w:t>
      </w:r>
      <w:r w:rsidRPr="0025250D">
        <w:rPr>
          <w:rFonts w:hint="cs"/>
          <w:rtl/>
        </w:rPr>
        <w:t>ی</w:t>
      </w:r>
      <w:r w:rsidRPr="0025250D">
        <w:rPr>
          <w:rFonts w:hint="eastAsia"/>
          <w:rtl/>
        </w:rPr>
        <w:t>ن</w:t>
      </w:r>
      <w:r w:rsidRPr="0025250D">
        <w:rPr>
          <w:rFonts w:hint="cs"/>
          <w:rtl/>
        </w:rPr>
        <w:t xml:space="preserve"> موارد</w:t>
      </w:r>
      <w:r w:rsidRPr="0025250D">
        <w:rPr>
          <w:rtl/>
        </w:rPr>
        <w:t xml:space="preserve"> در حال حاضر آو</w:t>
      </w:r>
      <w:r w:rsidRPr="0025250D">
        <w:rPr>
          <w:rFonts w:hint="eastAsia"/>
          <w:rtl/>
        </w:rPr>
        <w:t>رده</w:t>
      </w:r>
      <w:r w:rsidRPr="0025250D">
        <w:rPr>
          <w:rtl/>
        </w:rPr>
        <w:t xml:space="preserve"> شده است</w:t>
      </w:r>
      <w:r w:rsidRPr="0025250D">
        <w:rPr>
          <w:rFonts w:hint="cs"/>
          <w:rtl/>
        </w:rPr>
        <w:t>.</w:t>
      </w:r>
    </w:p>
    <w:tbl>
      <w:tblPr>
        <w:tblStyle w:val="TableGrid"/>
        <w:bidiVisual/>
        <w:tblW w:w="0" w:type="auto"/>
        <w:tblLook w:val="04A0" w:firstRow="1" w:lastRow="0" w:firstColumn="1" w:lastColumn="0" w:noHBand="0" w:noVBand="1"/>
      </w:tblPr>
      <w:tblGrid>
        <w:gridCol w:w="1699"/>
        <w:gridCol w:w="5661"/>
      </w:tblGrid>
      <w:tr w:rsidR="00537CC8" w:rsidRPr="0025250D" w14:paraId="78469587" w14:textId="77777777" w:rsidTr="00A23314">
        <w:tc>
          <w:tcPr>
            <w:tcW w:w="1699" w:type="dxa"/>
            <w:vAlign w:val="center"/>
          </w:tcPr>
          <w:p w14:paraId="44D3A30A" w14:textId="5F75E6C0" w:rsidR="00537CC8" w:rsidRPr="0025250D" w:rsidRDefault="00F015E3" w:rsidP="00A23314">
            <w:pPr>
              <w:bidi/>
              <w:spacing w:after="160"/>
              <w:jc w:val="center"/>
            </w:pPr>
            <w:r w:rsidRPr="0025250D">
              <w:rPr>
                <w:rFonts w:hint="cs"/>
                <w:rtl/>
              </w:rPr>
              <w:t>ناشر</w:t>
            </w:r>
          </w:p>
        </w:tc>
        <w:tc>
          <w:tcPr>
            <w:tcW w:w="5661" w:type="dxa"/>
            <w:vAlign w:val="center"/>
          </w:tcPr>
          <w:p w14:paraId="062298A5" w14:textId="15321A67" w:rsidR="00537CC8" w:rsidRPr="0025250D" w:rsidRDefault="00A23314" w:rsidP="00A23314">
            <w:pPr>
              <w:bidi/>
              <w:spacing w:after="160"/>
              <w:jc w:val="center"/>
            </w:pPr>
            <w:r w:rsidRPr="0025250D">
              <w:rPr>
                <w:rFonts w:hint="cs"/>
                <w:rtl/>
              </w:rPr>
              <w:t>مشریه</w:t>
            </w:r>
          </w:p>
        </w:tc>
      </w:tr>
      <w:tr w:rsidR="00537CC8" w:rsidRPr="0025250D" w14:paraId="00CE6373" w14:textId="77777777" w:rsidTr="00A23314">
        <w:tc>
          <w:tcPr>
            <w:tcW w:w="1699" w:type="dxa"/>
            <w:vAlign w:val="center"/>
          </w:tcPr>
          <w:p w14:paraId="46E366F6" w14:textId="77777777" w:rsidR="00537CC8" w:rsidRPr="0025250D" w:rsidRDefault="00537CC8" w:rsidP="00A23314">
            <w:pPr>
              <w:bidi/>
              <w:spacing w:after="160"/>
              <w:jc w:val="center"/>
              <w:rPr>
                <w:rtl/>
              </w:rPr>
            </w:pPr>
            <w:r w:rsidRPr="0025250D">
              <w:t>Emerald</w:t>
            </w:r>
          </w:p>
        </w:tc>
        <w:tc>
          <w:tcPr>
            <w:tcW w:w="5661" w:type="dxa"/>
            <w:vAlign w:val="center"/>
          </w:tcPr>
          <w:p w14:paraId="1CF1BC38" w14:textId="77777777" w:rsidR="00537CC8" w:rsidRPr="0025250D" w:rsidRDefault="007A207F" w:rsidP="00A23314">
            <w:pPr>
              <w:bidi/>
              <w:spacing w:after="160"/>
              <w:jc w:val="center"/>
              <w:rPr>
                <w:rtl/>
              </w:rPr>
            </w:pPr>
            <w:hyperlink r:id="rId559">
              <w:r w:rsidR="00537CC8" w:rsidRPr="0025250D">
                <w:rPr>
                  <w:rStyle w:val="Hyperlink"/>
                  <w:i/>
                  <w:color w:val="auto"/>
                  <w:u w:val="none"/>
                </w:rPr>
                <w:t>Foresight: The Journal of Futures Studies, Strat. Thinking, Policy</w:t>
              </w:r>
            </w:hyperlink>
          </w:p>
        </w:tc>
      </w:tr>
      <w:tr w:rsidR="00537CC8" w:rsidRPr="0025250D" w14:paraId="25C9B931" w14:textId="77777777" w:rsidTr="00A23314">
        <w:tc>
          <w:tcPr>
            <w:tcW w:w="1699" w:type="dxa"/>
            <w:vAlign w:val="center"/>
          </w:tcPr>
          <w:p w14:paraId="08C9E19C" w14:textId="77777777" w:rsidR="00537CC8" w:rsidRPr="0025250D" w:rsidRDefault="00537CC8" w:rsidP="00A23314">
            <w:pPr>
              <w:bidi/>
              <w:spacing w:after="160"/>
              <w:jc w:val="center"/>
              <w:rPr>
                <w:rtl/>
              </w:rPr>
            </w:pPr>
            <w:r w:rsidRPr="0025250D">
              <w:t>IIF</w:t>
            </w:r>
          </w:p>
        </w:tc>
        <w:tc>
          <w:tcPr>
            <w:tcW w:w="5661" w:type="dxa"/>
            <w:vAlign w:val="center"/>
          </w:tcPr>
          <w:p w14:paraId="43E0E54E" w14:textId="77777777" w:rsidR="00537CC8" w:rsidRPr="0025250D" w:rsidRDefault="00537CC8" w:rsidP="00A23314">
            <w:pPr>
              <w:bidi/>
              <w:spacing w:after="160"/>
              <w:jc w:val="center"/>
              <w:rPr>
                <w:rtl/>
              </w:rPr>
            </w:pPr>
            <w:r w:rsidRPr="0025250D">
              <w:t>Foresight: The International Journal of Applied Forecasting</w:t>
            </w:r>
          </w:p>
        </w:tc>
      </w:tr>
      <w:tr w:rsidR="00537CC8" w:rsidRPr="0025250D" w14:paraId="2F2CF30D" w14:textId="77777777" w:rsidTr="00A23314">
        <w:tc>
          <w:tcPr>
            <w:tcW w:w="1699" w:type="dxa"/>
            <w:vAlign w:val="center"/>
          </w:tcPr>
          <w:p w14:paraId="46D2527C" w14:textId="77777777" w:rsidR="00537CC8" w:rsidRPr="0025250D" w:rsidRDefault="00537CC8" w:rsidP="00A23314">
            <w:pPr>
              <w:bidi/>
              <w:spacing w:after="160"/>
              <w:jc w:val="center"/>
              <w:rPr>
                <w:rtl/>
              </w:rPr>
            </w:pPr>
            <w:r w:rsidRPr="0025250D">
              <w:t>Elsevier</w:t>
            </w:r>
          </w:p>
        </w:tc>
        <w:tc>
          <w:tcPr>
            <w:tcW w:w="5661" w:type="dxa"/>
            <w:vAlign w:val="center"/>
          </w:tcPr>
          <w:p w14:paraId="0DB3360B" w14:textId="77777777" w:rsidR="00537CC8" w:rsidRPr="0025250D" w:rsidRDefault="00537CC8" w:rsidP="00A23314">
            <w:pPr>
              <w:bidi/>
              <w:spacing w:after="160"/>
              <w:jc w:val="center"/>
              <w:rPr>
                <w:rtl/>
              </w:rPr>
            </w:pPr>
            <w:r w:rsidRPr="0025250D">
              <w:t>Futures: The Journal of Forecasting, Planning, and Policy</w:t>
            </w:r>
          </w:p>
        </w:tc>
      </w:tr>
      <w:tr w:rsidR="00537CC8" w:rsidRPr="0025250D" w14:paraId="45891D00" w14:textId="77777777" w:rsidTr="00A23314">
        <w:tc>
          <w:tcPr>
            <w:tcW w:w="1699" w:type="dxa"/>
            <w:vAlign w:val="center"/>
          </w:tcPr>
          <w:p w14:paraId="6A751642" w14:textId="77777777" w:rsidR="00537CC8" w:rsidRPr="0025250D" w:rsidRDefault="00537CC8" w:rsidP="00A23314">
            <w:pPr>
              <w:bidi/>
              <w:spacing w:after="160"/>
              <w:jc w:val="center"/>
              <w:rPr>
                <w:rtl/>
              </w:rPr>
            </w:pPr>
            <w:r w:rsidRPr="0025250D">
              <w:t>Wiley</w:t>
            </w:r>
          </w:p>
        </w:tc>
        <w:tc>
          <w:tcPr>
            <w:tcW w:w="5661" w:type="dxa"/>
            <w:vAlign w:val="center"/>
          </w:tcPr>
          <w:p w14:paraId="28E3C855" w14:textId="77777777" w:rsidR="00537CC8" w:rsidRPr="0025250D" w:rsidRDefault="00537CC8" w:rsidP="00A23314">
            <w:pPr>
              <w:bidi/>
              <w:spacing w:after="160"/>
              <w:jc w:val="center"/>
              <w:rPr>
                <w:rtl/>
              </w:rPr>
            </w:pPr>
            <w:r w:rsidRPr="0025250D">
              <w:t>Futures and Foresight Science</w:t>
            </w:r>
          </w:p>
        </w:tc>
      </w:tr>
      <w:tr w:rsidR="00537CC8" w:rsidRPr="0025250D" w14:paraId="705E39F2" w14:textId="77777777" w:rsidTr="00A23314">
        <w:tc>
          <w:tcPr>
            <w:tcW w:w="1699" w:type="dxa"/>
            <w:vAlign w:val="center"/>
          </w:tcPr>
          <w:p w14:paraId="382A64B7" w14:textId="77777777" w:rsidR="00537CC8" w:rsidRPr="0025250D" w:rsidRDefault="00537CC8" w:rsidP="00A23314">
            <w:pPr>
              <w:bidi/>
              <w:spacing w:after="160"/>
              <w:jc w:val="center"/>
              <w:rPr>
                <w:rtl/>
              </w:rPr>
            </w:pPr>
            <w:r w:rsidRPr="0025250D">
              <w:t>Taylor &amp; Francis</w:t>
            </w:r>
          </w:p>
        </w:tc>
        <w:tc>
          <w:tcPr>
            <w:tcW w:w="5661" w:type="dxa"/>
            <w:vAlign w:val="center"/>
          </w:tcPr>
          <w:p w14:paraId="4D66808B" w14:textId="77777777" w:rsidR="00537CC8" w:rsidRPr="0025250D" w:rsidRDefault="00537CC8" w:rsidP="00A23314">
            <w:pPr>
              <w:bidi/>
              <w:spacing w:after="160"/>
              <w:jc w:val="center"/>
              <w:rPr>
                <w:rtl/>
              </w:rPr>
            </w:pPr>
            <w:r w:rsidRPr="0025250D">
              <w:t>Innovation: European Journal of Social Science Research</w:t>
            </w:r>
          </w:p>
        </w:tc>
      </w:tr>
      <w:tr w:rsidR="00537CC8" w:rsidRPr="0025250D" w14:paraId="5450C294" w14:textId="77777777" w:rsidTr="00A23314">
        <w:tc>
          <w:tcPr>
            <w:tcW w:w="1699" w:type="dxa"/>
            <w:vAlign w:val="center"/>
          </w:tcPr>
          <w:p w14:paraId="69E1F6DE" w14:textId="77777777" w:rsidR="00537CC8" w:rsidRPr="0025250D" w:rsidRDefault="00537CC8" w:rsidP="00A23314">
            <w:pPr>
              <w:bidi/>
              <w:spacing w:after="160"/>
              <w:jc w:val="center"/>
              <w:rPr>
                <w:rtl/>
              </w:rPr>
            </w:pPr>
            <w:r w:rsidRPr="0025250D">
              <w:t>Elsevier</w:t>
            </w:r>
          </w:p>
        </w:tc>
        <w:tc>
          <w:tcPr>
            <w:tcW w:w="5661" w:type="dxa"/>
            <w:vAlign w:val="center"/>
          </w:tcPr>
          <w:p w14:paraId="1CC88987" w14:textId="77777777" w:rsidR="00537CC8" w:rsidRPr="0025250D" w:rsidRDefault="00537CC8" w:rsidP="00A23314">
            <w:pPr>
              <w:bidi/>
              <w:spacing w:after="160"/>
              <w:jc w:val="center"/>
              <w:rPr>
                <w:rtl/>
              </w:rPr>
            </w:pPr>
            <w:r w:rsidRPr="0025250D">
              <w:t>International Journal of Forecasting</w:t>
            </w:r>
          </w:p>
        </w:tc>
      </w:tr>
      <w:tr w:rsidR="00537CC8" w:rsidRPr="0025250D" w14:paraId="518A9DF4" w14:textId="77777777" w:rsidTr="00A23314">
        <w:tc>
          <w:tcPr>
            <w:tcW w:w="1699" w:type="dxa"/>
            <w:vAlign w:val="center"/>
          </w:tcPr>
          <w:p w14:paraId="39458CFF" w14:textId="77777777" w:rsidR="00537CC8" w:rsidRPr="0025250D" w:rsidRDefault="00537CC8" w:rsidP="00A23314">
            <w:pPr>
              <w:bidi/>
              <w:spacing w:after="160"/>
              <w:jc w:val="center"/>
              <w:rPr>
                <w:rtl/>
              </w:rPr>
            </w:pPr>
            <w:r w:rsidRPr="0025250D">
              <w:t>Inderscience</w:t>
            </w:r>
          </w:p>
        </w:tc>
        <w:tc>
          <w:tcPr>
            <w:tcW w:w="5661" w:type="dxa"/>
            <w:vAlign w:val="center"/>
          </w:tcPr>
          <w:p w14:paraId="3C3ED553" w14:textId="77777777" w:rsidR="00537CC8" w:rsidRPr="0025250D" w:rsidRDefault="00537CC8" w:rsidP="00A23314">
            <w:pPr>
              <w:bidi/>
              <w:spacing w:after="160"/>
              <w:jc w:val="center"/>
              <w:rPr>
                <w:rtl/>
              </w:rPr>
            </w:pPr>
            <w:r w:rsidRPr="0025250D">
              <w:t>International Journal of Foresight and Innovation Policy</w:t>
            </w:r>
          </w:p>
        </w:tc>
      </w:tr>
      <w:tr w:rsidR="00537CC8" w:rsidRPr="0025250D" w14:paraId="5CF47F47" w14:textId="77777777" w:rsidTr="00A23314">
        <w:tc>
          <w:tcPr>
            <w:tcW w:w="1699" w:type="dxa"/>
            <w:vAlign w:val="center"/>
          </w:tcPr>
          <w:p w14:paraId="4DDA7A73" w14:textId="77777777" w:rsidR="00537CC8" w:rsidRPr="0025250D" w:rsidRDefault="00537CC8" w:rsidP="00A23314">
            <w:pPr>
              <w:bidi/>
              <w:spacing w:after="160"/>
              <w:jc w:val="center"/>
              <w:rPr>
                <w:rtl/>
              </w:rPr>
            </w:pPr>
            <w:r w:rsidRPr="0025250D">
              <w:t>Inderscience</w:t>
            </w:r>
          </w:p>
        </w:tc>
        <w:tc>
          <w:tcPr>
            <w:tcW w:w="5661" w:type="dxa"/>
            <w:vAlign w:val="center"/>
          </w:tcPr>
          <w:p w14:paraId="51985B54" w14:textId="77777777" w:rsidR="00537CC8" w:rsidRPr="0025250D" w:rsidRDefault="00537CC8" w:rsidP="00A23314">
            <w:pPr>
              <w:bidi/>
              <w:spacing w:after="160"/>
              <w:jc w:val="center"/>
              <w:rPr>
                <w:rtl/>
              </w:rPr>
            </w:pPr>
            <w:r w:rsidRPr="0025250D">
              <w:t>International Journal of Innovation and Sustainable Dev</w:t>
            </w:r>
          </w:p>
        </w:tc>
      </w:tr>
      <w:tr w:rsidR="00537CC8" w:rsidRPr="0025250D" w14:paraId="6327802C" w14:textId="77777777" w:rsidTr="00A23314">
        <w:tc>
          <w:tcPr>
            <w:tcW w:w="1699" w:type="dxa"/>
            <w:vAlign w:val="center"/>
          </w:tcPr>
          <w:p w14:paraId="2AC3B7DD" w14:textId="77777777" w:rsidR="00537CC8" w:rsidRPr="0025250D" w:rsidRDefault="00537CC8" w:rsidP="00A23314">
            <w:pPr>
              <w:bidi/>
              <w:spacing w:after="160"/>
              <w:jc w:val="center"/>
            </w:pPr>
            <w:r w:rsidRPr="0025250D">
              <w:t>World Scientiﬁc</w:t>
            </w:r>
          </w:p>
        </w:tc>
        <w:tc>
          <w:tcPr>
            <w:tcW w:w="5661" w:type="dxa"/>
            <w:vAlign w:val="center"/>
          </w:tcPr>
          <w:p w14:paraId="3171506F" w14:textId="77777777" w:rsidR="00537CC8" w:rsidRPr="0025250D" w:rsidRDefault="00537CC8" w:rsidP="00A23314">
            <w:pPr>
              <w:bidi/>
              <w:spacing w:after="160"/>
              <w:jc w:val="center"/>
            </w:pPr>
            <w:r w:rsidRPr="0025250D">
              <w:t>International Journal of Innovation Management</w:t>
            </w:r>
          </w:p>
        </w:tc>
      </w:tr>
      <w:tr w:rsidR="00537CC8" w:rsidRPr="0025250D" w14:paraId="1A5FA80E" w14:textId="77777777" w:rsidTr="00A23314">
        <w:tc>
          <w:tcPr>
            <w:tcW w:w="1699" w:type="dxa"/>
            <w:vAlign w:val="center"/>
          </w:tcPr>
          <w:p w14:paraId="7D6D0D9E" w14:textId="77777777" w:rsidR="00537CC8" w:rsidRPr="0025250D" w:rsidRDefault="00537CC8" w:rsidP="00A23314">
            <w:pPr>
              <w:bidi/>
              <w:spacing w:after="160"/>
              <w:jc w:val="center"/>
            </w:pPr>
            <w:r w:rsidRPr="0025250D">
              <w:t>IBF</w:t>
            </w:r>
          </w:p>
        </w:tc>
        <w:tc>
          <w:tcPr>
            <w:tcW w:w="5661" w:type="dxa"/>
            <w:vAlign w:val="center"/>
          </w:tcPr>
          <w:p w14:paraId="5BB06D58" w14:textId="77777777" w:rsidR="00537CC8" w:rsidRPr="0025250D" w:rsidRDefault="00537CC8" w:rsidP="00A23314">
            <w:pPr>
              <w:bidi/>
              <w:spacing w:after="160"/>
              <w:jc w:val="center"/>
            </w:pPr>
            <w:r w:rsidRPr="0025250D">
              <w:t>Journal of Business Forecasting</w:t>
            </w:r>
          </w:p>
        </w:tc>
      </w:tr>
      <w:tr w:rsidR="00537CC8" w:rsidRPr="0025250D" w14:paraId="5CB80FD6" w14:textId="77777777" w:rsidTr="00A23314">
        <w:tc>
          <w:tcPr>
            <w:tcW w:w="1699" w:type="dxa"/>
            <w:vAlign w:val="center"/>
          </w:tcPr>
          <w:p w14:paraId="62BEE7D1" w14:textId="77777777" w:rsidR="00537CC8" w:rsidRPr="0025250D" w:rsidRDefault="00537CC8" w:rsidP="00A23314">
            <w:pPr>
              <w:bidi/>
              <w:spacing w:after="160"/>
              <w:jc w:val="center"/>
            </w:pPr>
            <w:r w:rsidRPr="0025250D">
              <w:t>WTA</w:t>
            </w:r>
          </w:p>
        </w:tc>
        <w:tc>
          <w:tcPr>
            <w:tcW w:w="5661" w:type="dxa"/>
            <w:vAlign w:val="center"/>
          </w:tcPr>
          <w:p w14:paraId="50D028BF" w14:textId="77777777" w:rsidR="00537CC8" w:rsidRPr="0025250D" w:rsidRDefault="00537CC8" w:rsidP="00A23314">
            <w:pPr>
              <w:bidi/>
              <w:spacing w:after="160"/>
              <w:jc w:val="center"/>
            </w:pPr>
            <w:r w:rsidRPr="0025250D">
              <w:t>Journal of Evolution and Technology</w:t>
            </w:r>
          </w:p>
        </w:tc>
      </w:tr>
      <w:tr w:rsidR="00537CC8" w:rsidRPr="0025250D" w14:paraId="24A9A946" w14:textId="77777777" w:rsidTr="00A23314">
        <w:tc>
          <w:tcPr>
            <w:tcW w:w="1699" w:type="dxa"/>
            <w:vAlign w:val="center"/>
          </w:tcPr>
          <w:p w14:paraId="1C446687" w14:textId="77777777" w:rsidR="00537CC8" w:rsidRPr="0025250D" w:rsidRDefault="00537CC8" w:rsidP="00A23314">
            <w:pPr>
              <w:bidi/>
              <w:spacing w:after="160"/>
              <w:jc w:val="center"/>
            </w:pPr>
            <w:r w:rsidRPr="0025250D">
              <w:t>Wiley</w:t>
            </w:r>
          </w:p>
        </w:tc>
        <w:tc>
          <w:tcPr>
            <w:tcW w:w="5661" w:type="dxa"/>
            <w:vAlign w:val="center"/>
          </w:tcPr>
          <w:p w14:paraId="071DFE19" w14:textId="77777777" w:rsidR="00537CC8" w:rsidRPr="0025250D" w:rsidRDefault="00537CC8" w:rsidP="00A23314">
            <w:pPr>
              <w:bidi/>
              <w:spacing w:after="160"/>
              <w:jc w:val="center"/>
            </w:pPr>
            <w:r w:rsidRPr="0025250D">
              <w:t>Journal of Forecasting</w:t>
            </w:r>
          </w:p>
        </w:tc>
      </w:tr>
      <w:tr w:rsidR="00537CC8" w:rsidRPr="0025250D" w14:paraId="56BAA507" w14:textId="77777777" w:rsidTr="00A23314">
        <w:tc>
          <w:tcPr>
            <w:tcW w:w="1699" w:type="dxa"/>
            <w:vAlign w:val="center"/>
          </w:tcPr>
          <w:p w14:paraId="1BCFB202" w14:textId="77777777" w:rsidR="00537CC8" w:rsidRPr="0025250D" w:rsidRDefault="00537CC8" w:rsidP="00A23314">
            <w:pPr>
              <w:bidi/>
              <w:spacing w:after="160"/>
              <w:jc w:val="center"/>
            </w:pPr>
            <w:r w:rsidRPr="0025250D">
              <w:t>Tamkang U</w:t>
            </w:r>
          </w:p>
        </w:tc>
        <w:tc>
          <w:tcPr>
            <w:tcW w:w="5661" w:type="dxa"/>
            <w:vAlign w:val="center"/>
          </w:tcPr>
          <w:p w14:paraId="09ECA676" w14:textId="77777777" w:rsidR="00537CC8" w:rsidRPr="0025250D" w:rsidRDefault="00537CC8" w:rsidP="00A23314">
            <w:pPr>
              <w:bidi/>
              <w:spacing w:after="160"/>
              <w:jc w:val="center"/>
            </w:pPr>
            <w:r w:rsidRPr="0025250D">
              <w:t>Journal of Futures Studies</w:t>
            </w:r>
          </w:p>
        </w:tc>
      </w:tr>
      <w:tr w:rsidR="00537CC8" w:rsidRPr="0025250D" w14:paraId="681C1EB3" w14:textId="77777777" w:rsidTr="00A23314">
        <w:tc>
          <w:tcPr>
            <w:tcW w:w="1699" w:type="dxa"/>
            <w:vAlign w:val="center"/>
          </w:tcPr>
          <w:p w14:paraId="5159E52B" w14:textId="77777777" w:rsidR="00537CC8" w:rsidRPr="0025250D" w:rsidRDefault="00537CC8" w:rsidP="00A23314">
            <w:pPr>
              <w:bidi/>
              <w:spacing w:after="160"/>
              <w:jc w:val="center"/>
            </w:pPr>
            <w:r w:rsidRPr="0025250D">
              <w:t>Emerald</w:t>
            </w:r>
          </w:p>
        </w:tc>
        <w:tc>
          <w:tcPr>
            <w:tcW w:w="5661" w:type="dxa"/>
            <w:vAlign w:val="center"/>
          </w:tcPr>
          <w:p w14:paraId="00B9847B" w14:textId="77777777" w:rsidR="00537CC8" w:rsidRPr="0025250D" w:rsidRDefault="00537CC8" w:rsidP="00A23314">
            <w:pPr>
              <w:bidi/>
              <w:spacing w:after="160"/>
              <w:jc w:val="center"/>
            </w:pPr>
            <w:r w:rsidRPr="0025250D">
              <w:t>Journal of Organizational Change Management</w:t>
            </w:r>
          </w:p>
        </w:tc>
      </w:tr>
      <w:tr w:rsidR="00537CC8" w:rsidRPr="0025250D" w14:paraId="798835BA" w14:textId="77777777" w:rsidTr="00A23314">
        <w:tc>
          <w:tcPr>
            <w:tcW w:w="1699" w:type="dxa"/>
            <w:vAlign w:val="center"/>
          </w:tcPr>
          <w:p w14:paraId="19D2A5D4" w14:textId="77777777" w:rsidR="00537CC8" w:rsidRPr="0025250D" w:rsidRDefault="00537CC8" w:rsidP="00A23314">
            <w:pPr>
              <w:bidi/>
              <w:spacing w:after="160"/>
              <w:jc w:val="center"/>
            </w:pPr>
            <w:r w:rsidRPr="0025250D">
              <w:t>Maney</w:t>
            </w:r>
          </w:p>
        </w:tc>
        <w:tc>
          <w:tcPr>
            <w:tcW w:w="5661" w:type="dxa"/>
            <w:vAlign w:val="center"/>
          </w:tcPr>
          <w:p w14:paraId="41306B11" w14:textId="77777777" w:rsidR="00537CC8" w:rsidRPr="0025250D" w:rsidRDefault="00537CC8" w:rsidP="00A23314">
            <w:pPr>
              <w:bidi/>
              <w:spacing w:after="160"/>
              <w:jc w:val="center"/>
            </w:pPr>
            <w:r w:rsidRPr="0025250D">
              <w:t>Journal of Organizational Transformation and Social Change</w:t>
            </w:r>
          </w:p>
        </w:tc>
      </w:tr>
      <w:tr w:rsidR="00537CC8" w:rsidRPr="0025250D" w14:paraId="1D438B22" w14:textId="77777777" w:rsidTr="00A23314">
        <w:tc>
          <w:tcPr>
            <w:tcW w:w="1699" w:type="dxa"/>
            <w:vAlign w:val="center"/>
          </w:tcPr>
          <w:p w14:paraId="79821681" w14:textId="77777777" w:rsidR="00537CC8" w:rsidRPr="0025250D" w:rsidRDefault="00537CC8" w:rsidP="00A23314">
            <w:pPr>
              <w:bidi/>
              <w:spacing w:after="160"/>
              <w:jc w:val="center"/>
            </w:pPr>
            <w:r w:rsidRPr="0025250D">
              <w:t>APA</w:t>
            </w:r>
          </w:p>
        </w:tc>
        <w:tc>
          <w:tcPr>
            <w:tcW w:w="5661" w:type="dxa"/>
            <w:vAlign w:val="center"/>
          </w:tcPr>
          <w:p w14:paraId="0EA64F79" w14:textId="77777777" w:rsidR="00537CC8" w:rsidRPr="0025250D" w:rsidRDefault="00537CC8" w:rsidP="00A23314">
            <w:pPr>
              <w:bidi/>
              <w:spacing w:after="160"/>
              <w:jc w:val="center"/>
            </w:pPr>
            <w:r w:rsidRPr="0025250D">
              <w:t>Journal of the American Planning Association</w:t>
            </w:r>
          </w:p>
        </w:tc>
      </w:tr>
      <w:tr w:rsidR="00537CC8" w:rsidRPr="0025250D" w14:paraId="494DE511" w14:textId="77777777" w:rsidTr="00A23314">
        <w:tc>
          <w:tcPr>
            <w:tcW w:w="1699" w:type="dxa"/>
            <w:vAlign w:val="center"/>
          </w:tcPr>
          <w:p w14:paraId="433D5757" w14:textId="77777777" w:rsidR="00537CC8" w:rsidRPr="0025250D" w:rsidRDefault="00537CC8" w:rsidP="00A23314">
            <w:pPr>
              <w:bidi/>
              <w:spacing w:after="160"/>
              <w:jc w:val="center"/>
            </w:pPr>
            <w:r w:rsidRPr="0025250D">
              <w:t>U Buckingham Press</w:t>
            </w:r>
          </w:p>
        </w:tc>
        <w:tc>
          <w:tcPr>
            <w:tcW w:w="5661" w:type="dxa"/>
            <w:vAlign w:val="center"/>
          </w:tcPr>
          <w:p w14:paraId="234C8318" w14:textId="77777777" w:rsidR="00537CC8" w:rsidRPr="0025250D" w:rsidRDefault="00537CC8" w:rsidP="00A23314">
            <w:pPr>
              <w:bidi/>
              <w:spacing w:after="160"/>
              <w:jc w:val="center"/>
            </w:pPr>
            <w:r w:rsidRPr="0025250D">
              <w:t>Journal of Prediction Markets</w:t>
            </w:r>
          </w:p>
        </w:tc>
      </w:tr>
      <w:tr w:rsidR="00537CC8" w:rsidRPr="0025250D" w14:paraId="0ADB90A6" w14:textId="77777777" w:rsidTr="00A23314">
        <w:tc>
          <w:tcPr>
            <w:tcW w:w="1699" w:type="dxa"/>
            <w:vAlign w:val="center"/>
          </w:tcPr>
          <w:p w14:paraId="4C59A39A" w14:textId="77777777" w:rsidR="00537CC8" w:rsidRPr="0025250D" w:rsidRDefault="00537CC8" w:rsidP="00A23314">
            <w:pPr>
              <w:bidi/>
              <w:spacing w:after="160"/>
              <w:jc w:val="center"/>
            </w:pPr>
            <w:r w:rsidRPr="0025250D">
              <w:t>Elsevier</w:t>
            </w:r>
          </w:p>
        </w:tc>
        <w:tc>
          <w:tcPr>
            <w:tcW w:w="5661" w:type="dxa"/>
            <w:vAlign w:val="center"/>
          </w:tcPr>
          <w:p w14:paraId="25E63066" w14:textId="77777777" w:rsidR="00537CC8" w:rsidRPr="0025250D" w:rsidRDefault="00537CC8" w:rsidP="00A23314">
            <w:pPr>
              <w:bidi/>
              <w:spacing w:after="160"/>
              <w:jc w:val="center"/>
            </w:pPr>
            <w:r w:rsidRPr="0025250D">
              <w:t>Long Range Planning</w:t>
            </w:r>
          </w:p>
        </w:tc>
      </w:tr>
      <w:tr w:rsidR="00537CC8" w:rsidRPr="0025250D" w14:paraId="03079BFE" w14:textId="77777777" w:rsidTr="00A23314">
        <w:tc>
          <w:tcPr>
            <w:tcW w:w="1699" w:type="dxa"/>
            <w:vAlign w:val="center"/>
          </w:tcPr>
          <w:p w14:paraId="2448F0BF" w14:textId="77777777" w:rsidR="00537CC8" w:rsidRPr="0025250D" w:rsidRDefault="00537CC8" w:rsidP="00A23314">
            <w:pPr>
              <w:bidi/>
              <w:spacing w:after="160"/>
              <w:jc w:val="center"/>
            </w:pPr>
            <w:r w:rsidRPr="0025250D">
              <w:t>Elsevier</w:t>
            </w:r>
          </w:p>
        </w:tc>
        <w:tc>
          <w:tcPr>
            <w:tcW w:w="5661" w:type="dxa"/>
            <w:vAlign w:val="center"/>
          </w:tcPr>
          <w:p w14:paraId="1D488AF5" w14:textId="77777777" w:rsidR="00537CC8" w:rsidRPr="0025250D" w:rsidRDefault="00537CC8" w:rsidP="00A23314">
            <w:pPr>
              <w:bidi/>
              <w:spacing w:after="160"/>
              <w:jc w:val="center"/>
            </w:pPr>
            <w:r w:rsidRPr="0025250D">
              <w:t>Technological Forecasting and Social Change</w:t>
            </w:r>
          </w:p>
        </w:tc>
      </w:tr>
      <w:tr w:rsidR="00537CC8" w:rsidRPr="0025250D" w14:paraId="032902FB" w14:textId="77777777" w:rsidTr="00A23314">
        <w:tc>
          <w:tcPr>
            <w:tcW w:w="1699" w:type="dxa"/>
            <w:vAlign w:val="center"/>
          </w:tcPr>
          <w:p w14:paraId="55F82195" w14:textId="77777777" w:rsidR="00537CC8" w:rsidRPr="0025250D" w:rsidRDefault="00537CC8" w:rsidP="00A23314">
            <w:pPr>
              <w:bidi/>
              <w:spacing w:after="160"/>
              <w:jc w:val="center"/>
            </w:pPr>
            <w:r w:rsidRPr="0025250D">
              <w:t>WFS</w:t>
            </w:r>
          </w:p>
        </w:tc>
        <w:tc>
          <w:tcPr>
            <w:tcW w:w="5661" w:type="dxa"/>
            <w:vAlign w:val="center"/>
          </w:tcPr>
          <w:p w14:paraId="2B2D47D2" w14:textId="77777777" w:rsidR="00537CC8" w:rsidRPr="0025250D" w:rsidRDefault="00537CC8" w:rsidP="00A23314">
            <w:pPr>
              <w:bidi/>
              <w:spacing w:after="160"/>
              <w:jc w:val="center"/>
            </w:pPr>
            <w:r w:rsidRPr="0025250D">
              <w:t>World Future Review</w:t>
            </w:r>
          </w:p>
        </w:tc>
      </w:tr>
      <w:tr w:rsidR="00537CC8" w:rsidRPr="0025250D" w14:paraId="13E6557C" w14:textId="77777777" w:rsidTr="00A23314">
        <w:tc>
          <w:tcPr>
            <w:tcW w:w="1699" w:type="dxa"/>
            <w:vAlign w:val="center"/>
          </w:tcPr>
          <w:p w14:paraId="576419CB" w14:textId="77777777" w:rsidR="00537CC8" w:rsidRPr="0025250D" w:rsidRDefault="00537CC8" w:rsidP="00A23314">
            <w:pPr>
              <w:bidi/>
              <w:spacing w:after="160"/>
              <w:jc w:val="center"/>
            </w:pPr>
            <w:r w:rsidRPr="0025250D">
              <w:t>Taylor &amp; Francis</w:t>
            </w:r>
          </w:p>
        </w:tc>
        <w:tc>
          <w:tcPr>
            <w:tcW w:w="5661" w:type="dxa"/>
            <w:vAlign w:val="center"/>
          </w:tcPr>
          <w:p w14:paraId="363E6CF2" w14:textId="77777777" w:rsidR="00537CC8" w:rsidRPr="0025250D" w:rsidRDefault="00537CC8" w:rsidP="00A23314">
            <w:pPr>
              <w:bidi/>
              <w:spacing w:after="160"/>
              <w:jc w:val="center"/>
            </w:pPr>
            <w:r w:rsidRPr="0025250D">
              <w:t>World Futures: The Journal of General Evolution</w:t>
            </w:r>
          </w:p>
        </w:tc>
      </w:tr>
    </w:tbl>
    <w:p w14:paraId="066A3A29" w14:textId="77777777" w:rsidR="00537CC8" w:rsidRPr="0025250D" w:rsidRDefault="00537CC8" w:rsidP="00537CC8">
      <w:pPr>
        <w:rPr>
          <w:rtl/>
        </w:rPr>
      </w:pPr>
    </w:p>
    <w:p w14:paraId="3445EEA4" w14:textId="1B01D5CC" w:rsidR="00537CC8" w:rsidRPr="0025250D" w:rsidRDefault="00537CC8" w:rsidP="00A6676A">
      <w:pPr>
        <w:pStyle w:val="Heading2"/>
        <w:rPr>
          <w:rtl/>
        </w:rPr>
      </w:pPr>
      <w:bookmarkStart w:id="92" w:name="_Toc127831356"/>
      <w:r w:rsidRPr="0025250D">
        <w:rPr>
          <w:rtl/>
        </w:rPr>
        <w:t>مجلات آینده‌</w:t>
      </w:r>
      <w:r w:rsidR="00E26538" w:rsidRPr="0025250D">
        <w:rPr>
          <w:rtl/>
        </w:rPr>
        <w:t>نگار</w:t>
      </w:r>
      <w:r w:rsidRPr="0025250D">
        <w:rPr>
          <w:rtl/>
        </w:rPr>
        <w:t xml:space="preserve">ی </w:t>
      </w:r>
      <w:r w:rsidR="00701E03" w:rsidRPr="0025250D">
        <w:rPr>
          <w:rtl/>
        </w:rPr>
        <w:t>راهبردی</w:t>
      </w:r>
      <w:bookmarkEnd w:id="92"/>
    </w:p>
    <w:p w14:paraId="59819A07" w14:textId="516CCA85" w:rsidR="00A23314" w:rsidRPr="0025250D" w:rsidRDefault="00A23314" w:rsidP="00A23314">
      <w:pPr>
        <w:rPr>
          <w:rtl/>
        </w:rPr>
      </w:pPr>
      <w:r w:rsidRPr="0025250D">
        <w:rPr>
          <w:rtl/>
        </w:rPr>
        <w:t>موارد ز</w:t>
      </w:r>
      <w:r w:rsidRPr="0025250D">
        <w:rPr>
          <w:rFonts w:hint="cs"/>
          <w:rtl/>
        </w:rPr>
        <w:t>ی</w:t>
      </w:r>
      <w:r w:rsidRPr="0025250D">
        <w:rPr>
          <w:rFonts w:hint="eastAsia"/>
          <w:rtl/>
        </w:rPr>
        <w:t>ر</w:t>
      </w:r>
      <w:r w:rsidRPr="0025250D">
        <w:rPr>
          <w:rtl/>
        </w:rPr>
        <w:t xml:space="preserve"> </w:t>
      </w:r>
      <w:r w:rsidRPr="0025250D">
        <w:rPr>
          <w:rFonts w:hint="cs"/>
          <w:rtl/>
        </w:rPr>
        <w:t>مجلات</w:t>
      </w:r>
      <w:r w:rsidRPr="0025250D">
        <w:rPr>
          <w:rtl/>
        </w:rPr>
        <w:t xml:space="preserve"> آ</w:t>
      </w:r>
      <w:r w:rsidRPr="0025250D">
        <w:rPr>
          <w:rFonts w:hint="cs"/>
          <w:rtl/>
        </w:rPr>
        <w:t>ی</w:t>
      </w:r>
      <w:r w:rsidRPr="0025250D">
        <w:rPr>
          <w:rFonts w:hint="eastAsia"/>
          <w:rtl/>
        </w:rPr>
        <w:t>نده‌نگار</w:t>
      </w:r>
      <w:r w:rsidRPr="0025250D">
        <w:rPr>
          <w:rFonts w:hint="cs"/>
          <w:rtl/>
        </w:rPr>
        <w:t>ی</w:t>
      </w:r>
      <w:r w:rsidRPr="0025250D">
        <w:rPr>
          <w:rtl/>
        </w:rPr>
        <w:t xml:space="preserve"> جهان</w:t>
      </w:r>
      <w:r w:rsidRPr="0025250D">
        <w:rPr>
          <w:rFonts w:hint="cs"/>
          <w:rtl/>
        </w:rPr>
        <w:t>ی</w:t>
      </w:r>
      <w:r w:rsidRPr="0025250D">
        <w:rPr>
          <w:rtl/>
        </w:rPr>
        <w:t xml:space="preserve"> و سازمان</w:t>
      </w:r>
      <w:r w:rsidRPr="0025250D">
        <w:rPr>
          <w:rFonts w:hint="cs"/>
          <w:rtl/>
        </w:rPr>
        <w:t>ی</w:t>
      </w:r>
      <w:r w:rsidRPr="0025250D">
        <w:rPr>
          <w:rFonts w:hint="eastAsia"/>
          <w:rtl/>
        </w:rPr>
        <w:t>،</w:t>
      </w:r>
      <w:r w:rsidRPr="0025250D">
        <w:rPr>
          <w:rtl/>
        </w:rPr>
        <w:t xml:space="preserve"> در بخش‌ها و تخصص‌ها</w:t>
      </w:r>
      <w:r w:rsidRPr="0025250D">
        <w:rPr>
          <w:rFonts w:hint="cs"/>
          <w:rtl/>
        </w:rPr>
        <w:t>ی</w:t>
      </w:r>
      <w:r w:rsidRPr="0025250D">
        <w:rPr>
          <w:rtl/>
        </w:rPr>
        <w:t xml:space="preserve"> مختلف</w:t>
      </w:r>
      <w:r w:rsidRPr="0025250D">
        <w:rPr>
          <w:rFonts w:hint="cs"/>
          <w:rtl/>
        </w:rPr>
        <w:t xml:space="preserve"> هستند که</w:t>
      </w:r>
      <w:r w:rsidRPr="0025250D">
        <w:rPr>
          <w:rtl/>
        </w:rPr>
        <w:t xml:space="preserve"> </w:t>
      </w:r>
      <w:r w:rsidRPr="0025250D">
        <w:rPr>
          <w:rFonts w:hint="cs"/>
          <w:rtl/>
        </w:rPr>
        <w:t>شایسته تقدیر هستند</w:t>
      </w:r>
      <w:r w:rsidRPr="0025250D">
        <w:rPr>
          <w:rtl/>
        </w:rPr>
        <w:t xml:space="preserve">. </w:t>
      </w:r>
      <w:r w:rsidRPr="0025250D">
        <w:rPr>
          <w:rFonts w:hint="cs"/>
          <w:rtl/>
        </w:rPr>
        <w:t>تمرکز</w:t>
      </w:r>
      <w:r w:rsidRPr="0025250D">
        <w:rPr>
          <w:rtl/>
        </w:rPr>
        <w:t xml:space="preserve"> ا</w:t>
      </w:r>
      <w:r w:rsidRPr="0025250D">
        <w:rPr>
          <w:rFonts w:hint="cs"/>
          <w:rtl/>
        </w:rPr>
        <w:t>ی</w:t>
      </w:r>
      <w:r w:rsidRPr="0025250D">
        <w:rPr>
          <w:rFonts w:hint="eastAsia"/>
          <w:rtl/>
        </w:rPr>
        <w:t>ن</w:t>
      </w:r>
      <w:r w:rsidRPr="0025250D">
        <w:rPr>
          <w:rtl/>
        </w:rPr>
        <w:t xml:space="preserve"> فهرست </w:t>
      </w:r>
      <w:r w:rsidRPr="0025250D">
        <w:rPr>
          <w:rFonts w:hint="cs"/>
          <w:rtl/>
        </w:rPr>
        <w:t>بر</w:t>
      </w:r>
      <w:r w:rsidRPr="0025250D">
        <w:rPr>
          <w:rtl/>
        </w:rPr>
        <w:t xml:space="preserve"> رو</w:t>
      </w:r>
      <w:r w:rsidRPr="0025250D">
        <w:rPr>
          <w:rFonts w:hint="cs"/>
          <w:rtl/>
        </w:rPr>
        <w:t>ی</w:t>
      </w:r>
      <w:r w:rsidRPr="0025250D">
        <w:rPr>
          <w:rtl/>
        </w:rPr>
        <w:t xml:space="preserve">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w:t>
      </w:r>
      <w:r w:rsidR="00701E03" w:rsidRPr="0025250D">
        <w:rPr>
          <w:rtl/>
        </w:rPr>
        <w:t>راهبردی</w:t>
      </w:r>
      <w:r w:rsidRPr="0025250D">
        <w:rPr>
          <w:rtl/>
        </w:rPr>
        <w:t xml:space="preserve"> با </w:t>
      </w:r>
      <w:r w:rsidRPr="0025250D">
        <w:rPr>
          <w:rFonts w:hint="cs"/>
          <w:rtl/>
        </w:rPr>
        <w:t>کاربرد</w:t>
      </w:r>
      <w:r w:rsidRPr="0025250D">
        <w:rPr>
          <w:rtl/>
        </w:rPr>
        <w:t xml:space="preserve"> </w:t>
      </w:r>
      <w:r w:rsidR="00B124DE" w:rsidRPr="0025250D">
        <w:rPr>
          <w:rFonts w:hint="cs"/>
          <w:rtl/>
        </w:rPr>
        <w:t>کسب‌و‌کار</w:t>
      </w:r>
      <w:r w:rsidRPr="0025250D">
        <w:rPr>
          <w:rtl/>
        </w:rPr>
        <w:t xml:space="preserve"> و سازمان</w:t>
      </w:r>
      <w:r w:rsidRPr="0025250D">
        <w:rPr>
          <w:rFonts w:hint="cs"/>
          <w:rtl/>
        </w:rPr>
        <w:t>ی</w:t>
      </w:r>
      <w:r w:rsidRPr="0025250D">
        <w:rPr>
          <w:rtl/>
        </w:rPr>
        <w:t xml:space="preserve"> </w:t>
      </w:r>
      <w:r w:rsidRPr="0025250D">
        <w:rPr>
          <w:rFonts w:hint="cs"/>
          <w:rtl/>
        </w:rPr>
        <w:t>می باشد</w:t>
      </w:r>
      <w:r w:rsidRPr="0025250D">
        <w:rPr>
          <w:rtl/>
        </w:rPr>
        <w:t>. ما همچن</w:t>
      </w:r>
      <w:r w:rsidRPr="0025250D">
        <w:rPr>
          <w:rFonts w:hint="cs"/>
          <w:rtl/>
        </w:rPr>
        <w:t>ی</w:t>
      </w:r>
      <w:r w:rsidRPr="0025250D">
        <w:rPr>
          <w:rFonts w:hint="eastAsia"/>
          <w:rtl/>
        </w:rPr>
        <w:t>ن</w:t>
      </w:r>
      <w:r w:rsidRPr="0025250D">
        <w:rPr>
          <w:rtl/>
        </w:rPr>
        <w:t xml:space="preserve"> چند مجله که سابقه </w:t>
      </w:r>
      <w:r w:rsidRPr="0025250D">
        <w:rPr>
          <w:rFonts w:hint="cs"/>
          <w:rtl/>
        </w:rPr>
        <w:t>پرداختن</w:t>
      </w:r>
      <w:r w:rsidRPr="0025250D">
        <w:rPr>
          <w:rtl/>
        </w:rPr>
        <w:t xml:space="preserve"> به موضوعات </w:t>
      </w:r>
      <w:r w:rsidR="00D92F6E" w:rsidRPr="0025250D">
        <w:rPr>
          <w:rtl/>
        </w:rPr>
        <w:t>آینده‌نگاری</w:t>
      </w:r>
      <w:r w:rsidRPr="0025250D">
        <w:rPr>
          <w:rtl/>
        </w:rPr>
        <w:t xml:space="preserve"> دار</w:t>
      </w:r>
      <w:r w:rsidRPr="0025250D">
        <w:rPr>
          <w:rFonts w:hint="eastAsia"/>
          <w:rtl/>
        </w:rPr>
        <w:t>ند</w:t>
      </w:r>
      <w:r w:rsidRPr="0025250D">
        <w:rPr>
          <w:rFonts w:hint="cs"/>
          <w:rtl/>
        </w:rPr>
        <w:t xml:space="preserve"> </w:t>
      </w:r>
      <w:r w:rsidRPr="0025250D">
        <w:rPr>
          <w:rtl/>
        </w:rPr>
        <w:t>را ترک</w:t>
      </w:r>
      <w:r w:rsidRPr="0025250D">
        <w:rPr>
          <w:rFonts w:hint="cs"/>
          <w:rtl/>
        </w:rPr>
        <w:t>ی</w:t>
      </w:r>
      <w:r w:rsidRPr="0025250D">
        <w:rPr>
          <w:rFonts w:hint="eastAsia"/>
          <w:rtl/>
        </w:rPr>
        <w:t>ب</w:t>
      </w:r>
      <w:r w:rsidRPr="0025250D">
        <w:rPr>
          <w:rtl/>
        </w:rPr>
        <w:t xml:space="preserve"> </w:t>
      </w:r>
      <w:r w:rsidR="00950293" w:rsidRPr="0025250D">
        <w:rPr>
          <w:rtl/>
        </w:rPr>
        <w:t>کرده‌ایم</w:t>
      </w:r>
      <w:r w:rsidRPr="0025250D">
        <w:rPr>
          <w:rtl/>
        </w:rPr>
        <w:t>. برا</w:t>
      </w:r>
      <w:r w:rsidRPr="0025250D">
        <w:rPr>
          <w:rFonts w:hint="cs"/>
          <w:rtl/>
        </w:rPr>
        <w:t>ی</w:t>
      </w:r>
      <w:r w:rsidRPr="0025250D">
        <w:rPr>
          <w:rtl/>
        </w:rPr>
        <w:t xml:space="preserve"> بهبود آگاه</w:t>
      </w:r>
      <w:r w:rsidRPr="0025250D">
        <w:rPr>
          <w:rFonts w:hint="cs"/>
          <w:rtl/>
        </w:rPr>
        <w:t>ی از</w:t>
      </w:r>
      <w:r w:rsidRPr="0025250D">
        <w:rPr>
          <w:rtl/>
        </w:rPr>
        <w:t xml:space="preserve"> شتاب، تأک</w:t>
      </w:r>
      <w:r w:rsidRPr="0025250D">
        <w:rPr>
          <w:rFonts w:hint="cs"/>
          <w:rtl/>
        </w:rPr>
        <w:t>ی</w:t>
      </w:r>
      <w:r w:rsidRPr="0025250D">
        <w:rPr>
          <w:rFonts w:hint="eastAsia"/>
          <w:rtl/>
        </w:rPr>
        <w:t>د</w:t>
      </w:r>
      <w:r w:rsidRPr="0025250D">
        <w:rPr>
          <w:rtl/>
        </w:rPr>
        <w:t xml:space="preserve"> ملا</w:t>
      </w:r>
      <w:r w:rsidRPr="0025250D">
        <w:rPr>
          <w:rFonts w:hint="cs"/>
          <w:rtl/>
        </w:rPr>
        <w:t>ی</w:t>
      </w:r>
      <w:r w:rsidRPr="0025250D">
        <w:rPr>
          <w:rFonts w:hint="eastAsia"/>
          <w:rtl/>
        </w:rPr>
        <w:t>م</w:t>
      </w:r>
      <w:r w:rsidRPr="0025250D">
        <w:rPr>
          <w:rFonts w:hint="cs"/>
          <w:rtl/>
        </w:rPr>
        <w:t>ی</w:t>
      </w:r>
      <w:r w:rsidRPr="0025250D">
        <w:rPr>
          <w:rtl/>
        </w:rPr>
        <w:t xml:space="preserve"> بر آ</w:t>
      </w:r>
      <w:r w:rsidRPr="0025250D">
        <w:rPr>
          <w:rFonts w:hint="cs"/>
          <w:rtl/>
        </w:rPr>
        <w:t>ی</w:t>
      </w:r>
      <w:r w:rsidRPr="0025250D">
        <w:rPr>
          <w:rFonts w:hint="eastAsia"/>
          <w:rtl/>
        </w:rPr>
        <w:t>نده‌نگار</w:t>
      </w:r>
      <w:r w:rsidRPr="0025250D">
        <w:rPr>
          <w:rFonts w:hint="cs"/>
          <w:rtl/>
        </w:rPr>
        <w:t>ی</w:t>
      </w:r>
      <w:r w:rsidRPr="0025250D">
        <w:rPr>
          <w:rtl/>
        </w:rPr>
        <w:t xml:space="preserve"> فناور</w:t>
      </w:r>
      <w:r w:rsidRPr="0025250D">
        <w:rPr>
          <w:rFonts w:hint="cs"/>
          <w:rtl/>
        </w:rPr>
        <w:t>ی</w:t>
      </w:r>
      <w:r w:rsidRPr="0025250D">
        <w:rPr>
          <w:rtl/>
        </w:rPr>
        <w:t xml:space="preserve"> ن</w:t>
      </w:r>
      <w:r w:rsidRPr="0025250D">
        <w:rPr>
          <w:rFonts w:hint="cs"/>
          <w:rtl/>
        </w:rPr>
        <w:t>ی</w:t>
      </w:r>
      <w:r w:rsidRPr="0025250D">
        <w:rPr>
          <w:rFonts w:hint="eastAsia"/>
          <w:rtl/>
        </w:rPr>
        <w:t>ز</w:t>
      </w:r>
      <w:r w:rsidRPr="0025250D">
        <w:rPr>
          <w:rtl/>
        </w:rPr>
        <w:t xml:space="preserve"> وجود دارد.</w:t>
      </w:r>
    </w:p>
    <w:p w14:paraId="1E6122A0" w14:textId="5FCC22A9" w:rsidR="00A23314" w:rsidRPr="0025250D" w:rsidRDefault="00A23314" w:rsidP="00A23314">
      <w:pPr>
        <w:rPr>
          <w:rtl/>
        </w:rPr>
      </w:pPr>
      <w:r w:rsidRPr="0025250D">
        <w:rPr>
          <w:rtl/>
        </w:rPr>
        <w:t>به نظر ما اکونوم</w:t>
      </w:r>
      <w:r w:rsidRPr="0025250D">
        <w:rPr>
          <w:rFonts w:hint="cs"/>
          <w:rtl/>
        </w:rPr>
        <w:t>ی</w:t>
      </w:r>
      <w:r w:rsidRPr="0025250D">
        <w:rPr>
          <w:rFonts w:hint="eastAsia"/>
          <w:rtl/>
        </w:rPr>
        <w:t>ست</w:t>
      </w:r>
      <w:r w:rsidRPr="0025250D">
        <w:rPr>
          <w:rtl/>
        </w:rPr>
        <w:t xml:space="preserve"> بهتر</w:t>
      </w:r>
      <w:r w:rsidRPr="0025250D">
        <w:rPr>
          <w:rFonts w:hint="cs"/>
          <w:rtl/>
        </w:rPr>
        <w:t>ی</w:t>
      </w:r>
      <w:r w:rsidRPr="0025250D">
        <w:rPr>
          <w:rFonts w:hint="eastAsia"/>
          <w:rtl/>
        </w:rPr>
        <w:t>ن</w:t>
      </w:r>
      <w:r w:rsidRPr="0025250D">
        <w:rPr>
          <w:rtl/>
        </w:rPr>
        <w:t xml:space="preserve"> هفته نامه </w:t>
      </w:r>
      <w:r w:rsidR="00D92F6E" w:rsidRPr="0025250D">
        <w:rPr>
          <w:rtl/>
        </w:rPr>
        <w:t>آینده‌نگاری</w:t>
      </w:r>
      <w:r w:rsidRPr="0025250D">
        <w:rPr>
          <w:rtl/>
        </w:rPr>
        <w:t xml:space="preserve"> عموم</w:t>
      </w:r>
      <w:r w:rsidRPr="0025250D">
        <w:rPr>
          <w:rFonts w:hint="cs"/>
          <w:rtl/>
        </w:rPr>
        <w:t>ی</w:t>
      </w:r>
      <w:r w:rsidRPr="0025250D">
        <w:rPr>
          <w:rtl/>
        </w:rPr>
        <w:t xml:space="preserve"> و جهان</w:t>
      </w:r>
      <w:r w:rsidRPr="0025250D">
        <w:rPr>
          <w:rFonts w:hint="cs"/>
          <w:rtl/>
        </w:rPr>
        <w:t>ی</w:t>
      </w:r>
      <w:r w:rsidRPr="0025250D">
        <w:rPr>
          <w:rtl/>
        </w:rPr>
        <w:t xml:space="preserve"> در حال حاضر رو</w:t>
      </w:r>
      <w:r w:rsidRPr="0025250D">
        <w:rPr>
          <w:rFonts w:hint="cs"/>
          <w:rtl/>
        </w:rPr>
        <w:t>ی</w:t>
      </w:r>
      <w:r w:rsidRPr="0025250D">
        <w:rPr>
          <w:rtl/>
        </w:rPr>
        <w:t xml:space="preserve"> کره زم</w:t>
      </w:r>
      <w:r w:rsidRPr="0025250D">
        <w:rPr>
          <w:rFonts w:hint="cs"/>
          <w:rtl/>
        </w:rPr>
        <w:t>ی</w:t>
      </w:r>
      <w:r w:rsidRPr="0025250D">
        <w:rPr>
          <w:rFonts w:hint="eastAsia"/>
          <w:rtl/>
        </w:rPr>
        <w:t>ن</w:t>
      </w:r>
      <w:r w:rsidRPr="0025250D">
        <w:rPr>
          <w:rtl/>
        </w:rPr>
        <w:t xml:space="preserve"> است. س</w:t>
      </w:r>
      <w:r w:rsidRPr="0025250D">
        <w:rPr>
          <w:rFonts w:hint="cs"/>
          <w:rtl/>
        </w:rPr>
        <w:t>ی</w:t>
      </w:r>
      <w:r w:rsidRPr="0025250D">
        <w:rPr>
          <w:rFonts w:hint="eastAsia"/>
          <w:rtl/>
        </w:rPr>
        <w:t>است‌ها</w:t>
      </w:r>
      <w:r w:rsidRPr="0025250D">
        <w:rPr>
          <w:rFonts w:hint="cs"/>
          <w:rtl/>
        </w:rPr>
        <w:t>ی</w:t>
      </w:r>
      <w:r w:rsidRPr="0025250D">
        <w:rPr>
          <w:rtl/>
        </w:rPr>
        <w:t xml:space="preserve"> اکونوم</w:t>
      </w:r>
      <w:r w:rsidRPr="0025250D">
        <w:rPr>
          <w:rFonts w:hint="cs"/>
          <w:rtl/>
        </w:rPr>
        <w:t>ی</w:t>
      </w:r>
      <w:r w:rsidRPr="0025250D">
        <w:rPr>
          <w:rFonts w:hint="eastAsia"/>
          <w:rtl/>
        </w:rPr>
        <w:t>ست</w:t>
      </w:r>
      <w:r w:rsidRPr="0025250D">
        <w:rPr>
          <w:rtl/>
        </w:rPr>
        <w:t xml:space="preserve"> معمولاً از نظر اجتماع</w:t>
      </w:r>
      <w:r w:rsidRPr="0025250D">
        <w:rPr>
          <w:rFonts w:hint="cs"/>
          <w:rtl/>
        </w:rPr>
        <w:t>ی</w:t>
      </w:r>
      <w:r w:rsidRPr="0025250D">
        <w:rPr>
          <w:rtl/>
        </w:rPr>
        <w:t xml:space="preserve"> ل</w:t>
      </w:r>
      <w:r w:rsidRPr="0025250D">
        <w:rPr>
          <w:rFonts w:hint="cs"/>
          <w:rtl/>
        </w:rPr>
        <w:t>ی</w:t>
      </w:r>
      <w:r w:rsidRPr="0025250D">
        <w:rPr>
          <w:rFonts w:hint="eastAsia"/>
          <w:rtl/>
        </w:rPr>
        <w:t>برال،</w:t>
      </w:r>
      <w:r w:rsidRPr="0025250D">
        <w:rPr>
          <w:rtl/>
        </w:rPr>
        <w:t xml:space="preserve"> از نظر مال</w:t>
      </w:r>
      <w:r w:rsidRPr="0025250D">
        <w:rPr>
          <w:rFonts w:hint="cs"/>
          <w:rtl/>
        </w:rPr>
        <w:t>ی</w:t>
      </w:r>
      <w:r w:rsidRPr="0025250D">
        <w:rPr>
          <w:rtl/>
        </w:rPr>
        <w:t xml:space="preserve"> محافظه‌کار و در گزارش‌ده</w:t>
      </w:r>
      <w:r w:rsidRPr="0025250D">
        <w:rPr>
          <w:rFonts w:hint="cs"/>
          <w:rtl/>
        </w:rPr>
        <w:t>ی</w:t>
      </w:r>
      <w:r w:rsidRPr="0025250D">
        <w:rPr>
          <w:rtl/>
        </w:rPr>
        <w:t xml:space="preserve"> بس</w:t>
      </w:r>
      <w:r w:rsidRPr="0025250D">
        <w:rPr>
          <w:rFonts w:hint="cs"/>
          <w:rtl/>
        </w:rPr>
        <w:t>ی</w:t>
      </w:r>
      <w:r w:rsidRPr="0025250D">
        <w:rPr>
          <w:rFonts w:hint="eastAsia"/>
          <w:rtl/>
        </w:rPr>
        <w:t>ار</w:t>
      </w:r>
      <w:r w:rsidRPr="0025250D">
        <w:rPr>
          <w:rtl/>
        </w:rPr>
        <w:t xml:space="preserve"> مبتن</w:t>
      </w:r>
      <w:r w:rsidRPr="0025250D">
        <w:rPr>
          <w:rFonts w:hint="cs"/>
          <w:rtl/>
        </w:rPr>
        <w:t>ی</w:t>
      </w:r>
      <w:r w:rsidRPr="0025250D">
        <w:rPr>
          <w:rtl/>
        </w:rPr>
        <w:t xml:space="preserve"> بر شواهد هستند.</w:t>
      </w:r>
      <w:r w:rsidR="00F015E3" w:rsidRPr="0025250D">
        <w:rPr>
          <w:rFonts w:hint="cs"/>
          <w:rtl/>
        </w:rPr>
        <w:t xml:space="preserve"> ی</w:t>
      </w:r>
      <w:r w:rsidR="00F015E3" w:rsidRPr="0025250D">
        <w:rPr>
          <w:rFonts w:hint="eastAsia"/>
          <w:rtl/>
        </w:rPr>
        <w:t>ک</w:t>
      </w:r>
      <w:r w:rsidR="00F015E3" w:rsidRPr="0025250D">
        <w:rPr>
          <w:rtl/>
        </w:rPr>
        <w:t xml:space="preserve"> اشتراک آزما</w:t>
      </w:r>
      <w:r w:rsidR="00F015E3" w:rsidRPr="0025250D">
        <w:rPr>
          <w:rFonts w:hint="cs"/>
          <w:rtl/>
        </w:rPr>
        <w:t>ی</w:t>
      </w:r>
      <w:r w:rsidR="00F015E3" w:rsidRPr="0025250D">
        <w:rPr>
          <w:rFonts w:hint="eastAsia"/>
          <w:rtl/>
        </w:rPr>
        <w:t>ش</w:t>
      </w:r>
      <w:r w:rsidR="00F015E3" w:rsidRPr="0025250D">
        <w:rPr>
          <w:rFonts w:hint="cs"/>
          <w:rtl/>
        </w:rPr>
        <w:t>ی</w:t>
      </w:r>
      <w:r w:rsidR="00F015E3" w:rsidRPr="0025250D">
        <w:rPr>
          <w:rtl/>
        </w:rPr>
        <w:t xml:space="preserve"> را در نظر بگ</w:t>
      </w:r>
      <w:r w:rsidR="00F015E3" w:rsidRPr="0025250D">
        <w:rPr>
          <w:rFonts w:hint="cs"/>
          <w:rtl/>
        </w:rPr>
        <w:t>ی</w:t>
      </w:r>
      <w:r w:rsidR="00F015E3" w:rsidRPr="0025250D">
        <w:rPr>
          <w:rFonts w:hint="eastAsia"/>
          <w:rtl/>
        </w:rPr>
        <w:t>ر</w:t>
      </w:r>
      <w:r w:rsidR="00F015E3" w:rsidRPr="0025250D">
        <w:rPr>
          <w:rFonts w:hint="cs"/>
          <w:rtl/>
        </w:rPr>
        <w:t>ی</w:t>
      </w:r>
      <w:r w:rsidR="00F015E3" w:rsidRPr="0025250D">
        <w:rPr>
          <w:rFonts w:hint="eastAsia"/>
          <w:rtl/>
        </w:rPr>
        <w:t>د</w:t>
      </w:r>
      <w:r w:rsidR="00F015E3" w:rsidRPr="0025250D">
        <w:rPr>
          <w:rtl/>
        </w:rPr>
        <w:t xml:space="preserve"> و فقط دو ساعت، </w:t>
      </w:r>
      <w:r w:rsidR="00F015E3" w:rsidRPr="0025250D">
        <w:rPr>
          <w:rFonts w:hint="cs"/>
          <w:rtl/>
        </w:rPr>
        <w:t>ی</w:t>
      </w:r>
      <w:r w:rsidR="00F015E3" w:rsidRPr="0025250D">
        <w:rPr>
          <w:rFonts w:hint="eastAsia"/>
          <w:rtl/>
        </w:rPr>
        <w:t>ک</w:t>
      </w:r>
      <w:r w:rsidR="00F015E3" w:rsidRPr="0025250D">
        <w:rPr>
          <w:rtl/>
        </w:rPr>
        <w:t xml:space="preserve"> شب در هفته، تمام عناو</w:t>
      </w:r>
      <w:r w:rsidR="00F015E3" w:rsidRPr="0025250D">
        <w:rPr>
          <w:rFonts w:hint="cs"/>
          <w:rtl/>
        </w:rPr>
        <w:t>ی</w:t>
      </w:r>
      <w:r w:rsidR="00F015E3" w:rsidRPr="0025250D">
        <w:rPr>
          <w:rFonts w:hint="eastAsia"/>
          <w:rtl/>
        </w:rPr>
        <w:t>ن</w:t>
      </w:r>
      <w:r w:rsidR="00F015E3" w:rsidRPr="0025250D">
        <w:rPr>
          <w:rtl/>
        </w:rPr>
        <w:t xml:space="preserve"> را مرور کن</w:t>
      </w:r>
      <w:r w:rsidR="00F015E3" w:rsidRPr="0025250D">
        <w:rPr>
          <w:rFonts w:hint="cs"/>
          <w:rtl/>
        </w:rPr>
        <w:t>ی</w:t>
      </w:r>
      <w:r w:rsidR="00F015E3" w:rsidRPr="0025250D">
        <w:rPr>
          <w:rtl/>
        </w:rPr>
        <w:t>د، سپس مقاله مورد علاقه خود را (توئ</w:t>
      </w:r>
      <w:r w:rsidR="00F015E3" w:rsidRPr="0025250D">
        <w:rPr>
          <w:rFonts w:hint="cs"/>
          <w:rtl/>
        </w:rPr>
        <w:t>ی</w:t>
      </w:r>
      <w:r w:rsidR="00F015E3" w:rsidRPr="0025250D">
        <w:rPr>
          <w:rFonts w:hint="eastAsia"/>
          <w:rtl/>
        </w:rPr>
        <w:t>تر،</w:t>
      </w:r>
      <w:r w:rsidR="00F015E3" w:rsidRPr="0025250D">
        <w:rPr>
          <w:rtl/>
        </w:rPr>
        <w:t xml:space="preserve"> </w:t>
      </w:r>
      <w:r w:rsidR="00F015E3" w:rsidRPr="0025250D">
        <w:t>LI</w:t>
      </w:r>
      <w:r w:rsidR="00F015E3" w:rsidRPr="0025250D">
        <w:rPr>
          <w:rtl/>
        </w:rPr>
        <w:t xml:space="preserve">، </w:t>
      </w:r>
      <w:r w:rsidR="00F015E3" w:rsidRPr="0025250D">
        <w:t>FB</w:t>
      </w:r>
      <w:r w:rsidR="00F015E3" w:rsidRPr="0025250D">
        <w:rPr>
          <w:rtl/>
        </w:rPr>
        <w:t xml:space="preserve">، </w:t>
      </w:r>
      <w:r w:rsidR="00F015E3" w:rsidRPr="0025250D">
        <w:t>Reddit</w:t>
      </w:r>
      <w:r w:rsidR="00F015E3" w:rsidRPr="0025250D">
        <w:rPr>
          <w:rtl/>
        </w:rPr>
        <w:t>، هر چ</w:t>
      </w:r>
      <w:r w:rsidR="00F015E3" w:rsidRPr="0025250D">
        <w:rPr>
          <w:rFonts w:hint="cs"/>
          <w:rtl/>
        </w:rPr>
        <w:t>ی</w:t>
      </w:r>
      <w:r w:rsidR="00F015E3" w:rsidRPr="0025250D">
        <w:rPr>
          <w:rFonts w:hint="eastAsia"/>
          <w:rtl/>
        </w:rPr>
        <w:t>ز</w:t>
      </w:r>
      <w:r w:rsidR="00F015E3" w:rsidRPr="0025250D">
        <w:rPr>
          <w:rtl/>
        </w:rPr>
        <w:t xml:space="preserve"> د</w:t>
      </w:r>
      <w:r w:rsidR="00F015E3" w:rsidRPr="0025250D">
        <w:rPr>
          <w:rFonts w:hint="cs"/>
          <w:rtl/>
        </w:rPr>
        <w:t>ی</w:t>
      </w:r>
      <w:r w:rsidR="00F015E3" w:rsidRPr="0025250D">
        <w:rPr>
          <w:rFonts w:hint="eastAsia"/>
          <w:rtl/>
        </w:rPr>
        <w:t>گر</w:t>
      </w:r>
      <w:r w:rsidR="00F015E3" w:rsidRPr="0025250D">
        <w:rPr>
          <w:rFonts w:hint="cs"/>
          <w:rtl/>
        </w:rPr>
        <w:t>ی</w:t>
      </w:r>
      <w:r w:rsidR="001C62AD" w:rsidRPr="0025250D">
        <w:rPr>
          <w:rtl/>
        </w:rPr>
        <w:t>) به</w:t>
      </w:r>
      <w:r w:rsidR="00F015E3" w:rsidRPr="0025250D">
        <w:rPr>
          <w:rFonts w:hint="cs"/>
          <w:rtl/>
        </w:rPr>
        <w:t xml:space="preserve"> روش مطالعه اسپرینت مطالعه کنید و</w:t>
      </w:r>
      <w:r w:rsidR="00F015E3" w:rsidRPr="0025250D">
        <w:rPr>
          <w:rtl/>
        </w:rPr>
        <w:t xml:space="preserve"> به اشتراک بگذار</w:t>
      </w:r>
      <w:r w:rsidR="00F015E3" w:rsidRPr="0025250D">
        <w:rPr>
          <w:rFonts w:hint="cs"/>
          <w:rtl/>
        </w:rPr>
        <w:t>ی</w:t>
      </w:r>
      <w:r w:rsidR="00F015E3" w:rsidRPr="0025250D">
        <w:rPr>
          <w:rFonts w:hint="eastAsia"/>
          <w:rtl/>
        </w:rPr>
        <w:t>د</w:t>
      </w:r>
      <w:r w:rsidR="00F015E3" w:rsidRPr="0025250D">
        <w:rPr>
          <w:rFonts w:hint="cs"/>
          <w:rtl/>
        </w:rPr>
        <w:t>.</w:t>
      </w:r>
      <w:r w:rsidR="00F015E3" w:rsidRPr="0025250D">
        <w:rPr>
          <w:rtl/>
        </w:rPr>
        <w:t xml:space="preserve"> م</w:t>
      </w:r>
      <w:r w:rsidR="00F015E3" w:rsidRPr="0025250D">
        <w:rPr>
          <w:rFonts w:hint="cs"/>
          <w:rtl/>
        </w:rPr>
        <w:t>ی‌</w:t>
      </w:r>
      <w:r w:rsidR="00F015E3" w:rsidRPr="0025250D">
        <w:rPr>
          <w:rFonts w:hint="eastAsia"/>
          <w:rtl/>
        </w:rPr>
        <w:t>توان</w:t>
      </w:r>
      <w:r w:rsidR="00F015E3" w:rsidRPr="0025250D">
        <w:rPr>
          <w:rFonts w:hint="cs"/>
          <w:rtl/>
        </w:rPr>
        <w:t>ی</w:t>
      </w:r>
      <w:r w:rsidR="00F015E3" w:rsidRPr="0025250D">
        <w:rPr>
          <w:rFonts w:hint="eastAsia"/>
          <w:rtl/>
        </w:rPr>
        <w:t>د</w:t>
      </w:r>
      <w:r w:rsidR="00F015E3" w:rsidRPr="0025250D">
        <w:rPr>
          <w:rtl/>
        </w:rPr>
        <w:t xml:space="preserve"> </w:t>
      </w:r>
      <w:r w:rsidR="00F015E3" w:rsidRPr="0025250D">
        <w:rPr>
          <w:rFonts w:hint="cs"/>
          <w:rtl/>
        </w:rPr>
        <w:t>ی</w:t>
      </w:r>
      <w:r w:rsidR="00F015E3" w:rsidRPr="0025250D">
        <w:rPr>
          <w:rFonts w:hint="eastAsia"/>
          <w:rtl/>
        </w:rPr>
        <w:t>ک</w:t>
      </w:r>
      <w:r w:rsidR="00F015E3" w:rsidRPr="0025250D">
        <w:rPr>
          <w:rtl/>
        </w:rPr>
        <w:t xml:space="preserve"> خواننده، متفکر، سخنران و نو</w:t>
      </w:r>
      <w:r w:rsidR="00F015E3" w:rsidRPr="0025250D">
        <w:rPr>
          <w:rFonts w:hint="cs"/>
          <w:rtl/>
        </w:rPr>
        <w:t>ی</w:t>
      </w:r>
      <w:r w:rsidR="00F015E3" w:rsidRPr="0025250D">
        <w:rPr>
          <w:rFonts w:hint="eastAsia"/>
          <w:rtl/>
        </w:rPr>
        <w:t>سنده</w:t>
      </w:r>
      <w:r w:rsidR="00F015E3" w:rsidRPr="0025250D">
        <w:rPr>
          <w:rtl/>
        </w:rPr>
        <w:t xml:space="preserve"> باش</w:t>
      </w:r>
      <w:r w:rsidR="00F015E3" w:rsidRPr="0025250D">
        <w:rPr>
          <w:rFonts w:hint="cs"/>
          <w:rtl/>
        </w:rPr>
        <w:t>ی</w:t>
      </w:r>
      <w:r w:rsidR="00F015E3" w:rsidRPr="0025250D">
        <w:rPr>
          <w:rFonts w:hint="eastAsia"/>
          <w:rtl/>
        </w:rPr>
        <w:t>د</w:t>
      </w:r>
      <w:r w:rsidR="00F015E3" w:rsidRPr="0025250D">
        <w:rPr>
          <w:rtl/>
        </w:rPr>
        <w:t>.</w:t>
      </w:r>
      <w:r w:rsidR="00F015E3" w:rsidRPr="0025250D">
        <w:rPr>
          <w:rFonts w:hint="cs"/>
          <w:rtl/>
        </w:rPr>
        <w:t xml:space="preserve"> </w:t>
      </w:r>
      <w:r w:rsidR="00F015E3" w:rsidRPr="0025250D">
        <w:rPr>
          <w:rtl/>
        </w:rPr>
        <w:t>آنها همچن</w:t>
      </w:r>
      <w:r w:rsidR="00F015E3" w:rsidRPr="0025250D">
        <w:rPr>
          <w:rFonts w:hint="cs"/>
          <w:rtl/>
        </w:rPr>
        <w:t>ی</w:t>
      </w:r>
      <w:r w:rsidR="00F015E3" w:rsidRPr="0025250D">
        <w:rPr>
          <w:rFonts w:hint="eastAsia"/>
          <w:rtl/>
        </w:rPr>
        <w:t>ن</w:t>
      </w:r>
      <w:r w:rsidR="00F015E3" w:rsidRPr="0025250D">
        <w:rPr>
          <w:rtl/>
        </w:rPr>
        <w:t xml:space="preserve"> </w:t>
      </w:r>
      <w:r w:rsidR="00F015E3" w:rsidRPr="0025250D">
        <w:rPr>
          <w:rFonts w:hint="cs"/>
          <w:rtl/>
        </w:rPr>
        <w:t>ی</w:t>
      </w:r>
      <w:r w:rsidR="00F015E3" w:rsidRPr="0025250D">
        <w:rPr>
          <w:rFonts w:hint="eastAsia"/>
          <w:rtl/>
        </w:rPr>
        <w:t>ک</w:t>
      </w:r>
      <w:r w:rsidR="00F015E3" w:rsidRPr="0025250D">
        <w:rPr>
          <w:rtl/>
        </w:rPr>
        <w:t xml:space="preserve"> نسخه صوت</w:t>
      </w:r>
      <w:r w:rsidR="00F015E3" w:rsidRPr="0025250D">
        <w:rPr>
          <w:rFonts w:hint="cs"/>
          <w:rtl/>
        </w:rPr>
        <w:t>ی</w:t>
      </w:r>
      <w:r w:rsidR="00F015E3" w:rsidRPr="0025250D">
        <w:rPr>
          <w:rtl/>
        </w:rPr>
        <w:t xml:space="preserve"> از مجله چاپ</w:t>
      </w:r>
      <w:r w:rsidR="00F015E3" w:rsidRPr="0025250D">
        <w:rPr>
          <w:rFonts w:hint="cs"/>
          <w:rtl/>
        </w:rPr>
        <w:t>ی</w:t>
      </w:r>
      <w:r w:rsidR="00F015E3" w:rsidRPr="0025250D">
        <w:rPr>
          <w:rtl/>
        </w:rPr>
        <w:t xml:space="preserve"> خود را (را</w:t>
      </w:r>
      <w:r w:rsidR="00F015E3" w:rsidRPr="0025250D">
        <w:rPr>
          <w:rFonts w:hint="cs"/>
          <w:rtl/>
        </w:rPr>
        <w:t>ی</w:t>
      </w:r>
      <w:r w:rsidR="00F015E3" w:rsidRPr="0025250D">
        <w:rPr>
          <w:rFonts w:hint="eastAsia"/>
          <w:rtl/>
        </w:rPr>
        <w:t>گان</w:t>
      </w:r>
      <w:r w:rsidR="00F015E3" w:rsidRPr="0025250D">
        <w:rPr>
          <w:rtl/>
        </w:rPr>
        <w:t xml:space="preserve"> با اشتراک) ارائه م</w:t>
      </w:r>
      <w:r w:rsidR="00F015E3" w:rsidRPr="0025250D">
        <w:rPr>
          <w:rFonts w:hint="cs"/>
          <w:rtl/>
        </w:rPr>
        <w:t>ی</w:t>
      </w:r>
      <w:r w:rsidR="00F015E3" w:rsidRPr="0025250D">
        <w:rPr>
          <w:rtl/>
        </w:rPr>
        <w:t xml:space="preserve"> دهند که برا</w:t>
      </w:r>
      <w:r w:rsidR="00F015E3" w:rsidRPr="0025250D">
        <w:rPr>
          <w:rFonts w:hint="cs"/>
          <w:rtl/>
        </w:rPr>
        <w:t>ی</w:t>
      </w:r>
      <w:r w:rsidR="00F015E3" w:rsidRPr="0025250D">
        <w:rPr>
          <w:rtl/>
        </w:rPr>
        <w:t xml:space="preserve"> </w:t>
      </w:r>
      <w:r w:rsidR="00F015E3" w:rsidRPr="0025250D">
        <w:rPr>
          <w:rFonts w:hint="cs"/>
          <w:rtl/>
        </w:rPr>
        <w:t xml:space="preserve">گوش دادن هنگام </w:t>
      </w:r>
      <w:r w:rsidR="00F015E3" w:rsidRPr="0025250D">
        <w:rPr>
          <w:rtl/>
        </w:rPr>
        <w:t>رفت و آمد، ورزش و انجام چند کار</w:t>
      </w:r>
      <w:r w:rsidR="00F015E3" w:rsidRPr="0025250D">
        <w:rPr>
          <w:rFonts w:hint="cs"/>
          <w:rtl/>
        </w:rPr>
        <w:t xml:space="preserve"> به صورت همزمان</w:t>
      </w:r>
      <w:r w:rsidR="00F015E3" w:rsidRPr="0025250D">
        <w:rPr>
          <w:rtl/>
        </w:rPr>
        <w:t xml:space="preserve"> عال</w:t>
      </w:r>
      <w:r w:rsidR="00F015E3" w:rsidRPr="0025250D">
        <w:rPr>
          <w:rFonts w:hint="cs"/>
          <w:rtl/>
        </w:rPr>
        <w:t>ی</w:t>
      </w:r>
      <w:r w:rsidR="00F015E3" w:rsidRPr="0025250D">
        <w:rPr>
          <w:rtl/>
        </w:rPr>
        <w:t xml:space="preserve"> است</w:t>
      </w:r>
      <w:r w:rsidR="00F015E3" w:rsidRPr="0025250D">
        <w:rPr>
          <w:rFonts w:hint="cs"/>
          <w:rtl/>
        </w:rPr>
        <w:t>.</w:t>
      </w:r>
    </w:p>
    <w:p w14:paraId="4D859B6D" w14:textId="7220F7BF" w:rsidR="00F015E3" w:rsidRPr="0025250D" w:rsidRDefault="00F015E3" w:rsidP="00A23314">
      <w:pPr>
        <w:rPr>
          <w:rtl/>
        </w:rPr>
      </w:pPr>
      <w:r w:rsidRPr="0025250D">
        <w:rPr>
          <w:rtl/>
        </w:rPr>
        <w:t>در ا</w:t>
      </w:r>
      <w:r w:rsidRPr="0025250D">
        <w:rPr>
          <w:rFonts w:hint="cs"/>
          <w:rtl/>
        </w:rPr>
        <w:t>ی</w:t>
      </w:r>
      <w:r w:rsidRPr="0025250D">
        <w:rPr>
          <w:rFonts w:hint="eastAsia"/>
          <w:rtl/>
        </w:rPr>
        <w:t>نجا</w:t>
      </w:r>
      <w:r w:rsidRPr="0025250D">
        <w:rPr>
          <w:rtl/>
        </w:rPr>
        <w:t xml:space="preserve"> مجموعه ا</w:t>
      </w:r>
      <w:r w:rsidRPr="0025250D">
        <w:rPr>
          <w:rFonts w:hint="cs"/>
          <w:rtl/>
        </w:rPr>
        <w:t>ی</w:t>
      </w:r>
      <w:r w:rsidRPr="0025250D">
        <w:rPr>
          <w:rtl/>
        </w:rPr>
        <w:t xml:space="preserve"> از مجلات </w:t>
      </w:r>
      <w:r w:rsidR="00D92F6E" w:rsidRPr="0025250D">
        <w:rPr>
          <w:rtl/>
        </w:rPr>
        <w:t>آینده‌نگاری</w:t>
      </w:r>
      <w:r w:rsidRPr="0025250D">
        <w:rPr>
          <w:rtl/>
        </w:rPr>
        <w:t xml:space="preserve"> </w:t>
      </w:r>
      <w:r w:rsidR="00701E03" w:rsidRPr="0025250D">
        <w:rPr>
          <w:rtl/>
        </w:rPr>
        <w:t>راهبردی</w:t>
      </w:r>
      <w:r w:rsidRPr="0025250D">
        <w:rPr>
          <w:rtl/>
        </w:rPr>
        <w:t xml:space="preserve"> با ک</w:t>
      </w:r>
      <w:r w:rsidRPr="0025250D">
        <w:rPr>
          <w:rFonts w:hint="cs"/>
          <w:rtl/>
        </w:rPr>
        <w:t>ی</w:t>
      </w:r>
      <w:r w:rsidRPr="0025250D">
        <w:rPr>
          <w:rFonts w:hint="eastAsia"/>
          <w:rtl/>
        </w:rPr>
        <w:t>ف</w:t>
      </w:r>
      <w:r w:rsidRPr="0025250D">
        <w:rPr>
          <w:rFonts w:hint="cs"/>
          <w:rtl/>
        </w:rPr>
        <w:t>ی</w:t>
      </w:r>
      <w:r w:rsidRPr="0025250D">
        <w:rPr>
          <w:rFonts w:hint="eastAsia"/>
          <w:rtl/>
        </w:rPr>
        <w:t>ت</w:t>
      </w:r>
      <w:r w:rsidRPr="0025250D">
        <w:rPr>
          <w:rtl/>
        </w:rPr>
        <w:t xml:space="preserve"> بالا به ترت</w:t>
      </w:r>
      <w:r w:rsidRPr="0025250D">
        <w:rPr>
          <w:rFonts w:hint="cs"/>
          <w:rtl/>
        </w:rPr>
        <w:t>ی</w:t>
      </w:r>
      <w:r w:rsidRPr="0025250D">
        <w:rPr>
          <w:rFonts w:hint="eastAsia"/>
          <w:rtl/>
        </w:rPr>
        <w:t>ب</w:t>
      </w:r>
      <w:r w:rsidRPr="0025250D">
        <w:rPr>
          <w:rtl/>
        </w:rPr>
        <w:t xml:space="preserve"> </w:t>
      </w:r>
      <w:r w:rsidRPr="0025250D">
        <w:rPr>
          <w:rFonts w:hint="cs"/>
          <w:rtl/>
        </w:rPr>
        <w:t>ا</w:t>
      </w:r>
      <w:r w:rsidRPr="0025250D">
        <w:rPr>
          <w:rtl/>
        </w:rPr>
        <w:t>لف</w:t>
      </w:r>
      <w:r w:rsidRPr="0025250D">
        <w:rPr>
          <w:rFonts w:hint="cs"/>
          <w:rtl/>
        </w:rPr>
        <w:t>ب</w:t>
      </w:r>
      <w:r w:rsidRPr="0025250D">
        <w:rPr>
          <w:rtl/>
        </w:rPr>
        <w:t>ا آورده شده است</w:t>
      </w:r>
      <w:r w:rsidRPr="0025250D">
        <w:rPr>
          <w:rFonts w:hint="cs"/>
          <w:rtl/>
        </w:rPr>
        <w:t>:</w:t>
      </w:r>
    </w:p>
    <w:tbl>
      <w:tblPr>
        <w:tblStyle w:val="TableGrid"/>
        <w:bidiVisual/>
        <w:tblW w:w="0" w:type="auto"/>
        <w:tblLook w:val="04A0" w:firstRow="1" w:lastRow="0" w:firstColumn="1" w:lastColumn="0" w:noHBand="0" w:noVBand="1"/>
      </w:tblPr>
      <w:tblGrid>
        <w:gridCol w:w="1982"/>
        <w:gridCol w:w="5378"/>
      </w:tblGrid>
      <w:tr w:rsidR="00537CC8" w:rsidRPr="0025250D" w14:paraId="56EFE329" w14:textId="77777777" w:rsidTr="00F015E3">
        <w:tc>
          <w:tcPr>
            <w:tcW w:w="1982" w:type="dxa"/>
            <w:vAlign w:val="center"/>
          </w:tcPr>
          <w:p w14:paraId="79E0E8CF" w14:textId="631D7B2D" w:rsidR="00537CC8" w:rsidRPr="0025250D" w:rsidRDefault="00F015E3" w:rsidP="00F015E3">
            <w:pPr>
              <w:bidi/>
              <w:spacing w:after="160"/>
              <w:jc w:val="center"/>
              <w:rPr>
                <w:rtl/>
              </w:rPr>
            </w:pPr>
            <w:r w:rsidRPr="0025250D">
              <w:rPr>
                <w:rFonts w:hint="cs"/>
                <w:rtl/>
              </w:rPr>
              <w:t>ناشر</w:t>
            </w:r>
          </w:p>
        </w:tc>
        <w:tc>
          <w:tcPr>
            <w:tcW w:w="5378" w:type="dxa"/>
            <w:vAlign w:val="center"/>
          </w:tcPr>
          <w:p w14:paraId="4450483B" w14:textId="0517038A" w:rsidR="00537CC8" w:rsidRPr="0025250D" w:rsidRDefault="00F015E3" w:rsidP="00F015E3">
            <w:pPr>
              <w:bidi/>
              <w:spacing w:after="160"/>
              <w:jc w:val="center"/>
              <w:rPr>
                <w:rtl/>
              </w:rPr>
            </w:pPr>
            <w:r w:rsidRPr="0025250D">
              <w:rPr>
                <w:rFonts w:hint="cs"/>
                <w:rtl/>
              </w:rPr>
              <w:t>مجله</w:t>
            </w:r>
          </w:p>
        </w:tc>
      </w:tr>
      <w:tr w:rsidR="00537CC8" w:rsidRPr="0025250D" w14:paraId="7AA684BB" w14:textId="77777777" w:rsidTr="00F015E3">
        <w:tc>
          <w:tcPr>
            <w:tcW w:w="1982" w:type="dxa"/>
            <w:vAlign w:val="center"/>
          </w:tcPr>
          <w:p w14:paraId="4BEA9308" w14:textId="77777777" w:rsidR="00537CC8" w:rsidRPr="0025250D" w:rsidRDefault="00537CC8" w:rsidP="00F015E3">
            <w:pPr>
              <w:bidi/>
              <w:spacing w:after="160"/>
              <w:jc w:val="center"/>
              <w:rPr>
                <w:rtl/>
              </w:rPr>
            </w:pPr>
            <w:r w:rsidRPr="0025250D">
              <w:t>Bloomberg</w:t>
            </w:r>
          </w:p>
        </w:tc>
        <w:tc>
          <w:tcPr>
            <w:tcW w:w="5378" w:type="dxa"/>
            <w:vAlign w:val="center"/>
          </w:tcPr>
          <w:p w14:paraId="01176C68" w14:textId="77777777" w:rsidR="00537CC8" w:rsidRPr="0025250D" w:rsidRDefault="00537CC8" w:rsidP="00F015E3">
            <w:pPr>
              <w:bidi/>
              <w:spacing w:after="160"/>
              <w:jc w:val="center"/>
              <w:rPr>
                <w:rtl/>
              </w:rPr>
            </w:pPr>
            <w:r w:rsidRPr="0025250D">
              <w:t>Bloomberg BusinessWeek</w:t>
            </w:r>
          </w:p>
        </w:tc>
      </w:tr>
      <w:tr w:rsidR="00537CC8" w:rsidRPr="0025250D" w14:paraId="2B96C06D" w14:textId="77777777" w:rsidTr="00F015E3">
        <w:tc>
          <w:tcPr>
            <w:tcW w:w="1982" w:type="dxa"/>
            <w:vAlign w:val="center"/>
          </w:tcPr>
          <w:p w14:paraId="613EE78E" w14:textId="77777777" w:rsidR="00537CC8" w:rsidRPr="0025250D" w:rsidRDefault="00537CC8" w:rsidP="00F015E3">
            <w:pPr>
              <w:bidi/>
              <w:spacing w:after="160"/>
              <w:jc w:val="center"/>
              <w:rPr>
                <w:rtl/>
              </w:rPr>
            </w:pPr>
            <w:r w:rsidRPr="0025250D">
              <w:t>Business Ethics</w:t>
            </w:r>
          </w:p>
        </w:tc>
        <w:tc>
          <w:tcPr>
            <w:tcW w:w="5378" w:type="dxa"/>
            <w:vAlign w:val="center"/>
          </w:tcPr>
          <w:p w14:paraId="45460E13" w14:textId="77777777" w:rsidR="00537CC8" w:rsidRPr="0025250D" w:rsidRDefault="00537CC8" w:rsidP="00F015E3">
            <w:pPr>
              <w:bidi/>
              <w:spacing w:after="160"/>
              <w:jc w:val="center"/>
              <w:rPr>
                <w:rtl/>
              </w:rPr>
            </w:pPr>
            <w:r w:rsidRPr="0025250D">
              <w:t>Business Ethics</w:t>
            </w:r>
          </w:p>
        </w:tc>
      </w:tr>
      <w:tr w:rsidR="00537CC8" w:rsidRPr="0025250D" w14:paraId="6B76D0CD" w14:textId="77777777" w:rsidTr="00F015E3">
        <w:tc>
          <w:tcPr>
            <w:tcW w:w="1982" w:type="dxa"/>
            <w:vAlign w:val="center"/>
          </w:tcPr>
          <w:p w14:paraId="5160E10D" w14:textId="77777777" w:rsidR="00537CC8" w:rsidRPr="0025250D" w:rsidRDefault="00537CC8" w:rsidP="00F015E3">
            <w:pPr>
              <w:bidi/>
              <w:spacing w:after="160"/>
              <w:jc w:val="center"/>
              <w:rPr>
                <w:rtl/>
              </w:rPr>
            </w:pPr>
            <w:r w:rsidRPr="0025250D">
              <w:t>CLO Media</w:t>
            </w:r>
          </w:p>
        </w:tc>
        <w:tc>
          <w:tcPr>
            <w:tcW w:w="5378" w:type="dxa"/>
            <w:vAlign w:val="center"/>
          </w:tcPr>
          <w:p w14:paraId="0CA68632" w14:textId="77777777" w:rsidR="00537CC8" w:rsidRPr="0025250D" w:rsidRDefault="00537CC8" w:rsidP="00F015E3">
            <w:pPr>
              <w:bidi/>
              <w:spacing w:after="160"/>
              <w:jc w:val="center"/>
              <w:rPr>
                <w:rtl/>
              </w:rPr>
            </w:pPr>
            <w:r w:rsidRPr="0025250D">
              <w:t>Chief Learning Oﬃcer</w:t>
            </w:r>
          </w:p>
        </w:tc>
      </w:tr>
      <w:tr w:rsidR="00537CC8" w:rsidRPr="0025250D" w14:paraId="455DB1A8" w14:textId="77777777" w:rsidTr="00F015E3">
        <w:tc>
          <w:tcPr>
            <w:tcW w:w="1982" w:type="dxa"/>
            <w:vAlign w:val="center"/>
          </w:tcPr>
          <w:p w14:paraId="483541DB" w14:textId="77777777" w:rsidR="00537CC8" w:rsidRPr="0025250D" w:rsidRDefault="00537CC8" w:rsidP="00F015E3">
            <w:pPr>
              <w:bidi/>
              <w:spacing w:after="160"/>
              <w:jc w:val="center"/>
              <w:rPr>
                <w:rtl/>
              </w:rPr>
            </w:pPr>
            <w:r w:rsidRPr="0025250D">
              <w:t>IDG</w:t>
            </w:r>
          </w:p>
        </w:tc>
        <w:tc>
          <w:tcPr>
            <w:tcW w:w="5378" w:type="dxa"/>
            <w:vAlign w:val="center"/>
          </w:tcPr>
          <w:p w14:paraId="3E2C524A" w14:textId="77777777" w:rsidR="00537CC8" w:rsidRPr="0025250D" w:rsidRDefault="00537CC8" w:rsidP="00F015E3">
            <w:pPr>
              <w:bidi/>
              <w:spacing w:after="160"/>
              <w:jc w:val="center"/>
              <w:rPr>
                <w:rtl/>
              </w:rPr>
            </w:pPr>
            <w:r w:rsidRPr="0025250D">
              <w:t>CIO (Chief Information Oﬃcer)</w:t>
            </w:r>
          </w:p>
        </w:tc>
      </w:tr>
      <w:tr w:rsidR="00537CC8" w:rsidRPr="0025250D" w14:paraId="6E4B80AD" w14:textId="77777777" w:rsidTr="00F015E3">
        <w:tc>
          <w:tcPr>
            <w:tcW w:w="1982" w:type="dxa"/>
            <w:vAlign w:val="center"/>
          </w:tcPr>
          <w:p w14:paraId="36754C87" w14:textId="77777777" w:rsidR="00537CC8" w:rsidRPr="0025250D" w:rsidRDefault="00537CC8" w:rsidP="00F015E3">
            <w:pPr>
              <w:bidi/>
              <w:spacing w:after="160"/>
              <w:jc w:val="center"/>
              <w:rPr>
                <w:rtl/>
              </w:rPr>
            </w:pPr>
            <w:r w:rsidRPr="0025250D">
              <w:t>SCIP</w:t>
            </w:r>
          </w:p>
        </w:tc>
        <w:tc>
          <w:tcPr>
            <w:tcW w:w="5378" w:type="dxa"/>
            <w:vAlign w:val="center"/>
          </w:tcPr>
          <w:p w14:paraId="4D05B05B" w14:textId="77777777" w:rsidR="00537CC8" w:rsidRPr="0025250D" w:rsidRDefault="00537CC8" w:rsidP="00F015E3">
            <w:pPr>
              <w:bidi/>
              <w:spacing w:after="160"/>
              <w:jc w:val="center"/>
              <w:rPr>
                <w:rtl/>
              </w:rPr>
            </w:pPr>
            <w:r w:rsidRPr="0025250D">
              <w:t>Competitive Intelligence</w:t>
            </w:r>
          </w:p>
        </w:tc>
      </w:tr>
      <w:tr w:rsidR="00537CC8" w:rsidRPr="0025250D" w14:paraId="5B04815D" w14:textId="77777777" w:rsidTr="00F015E3">
        <w:tc>
          <w:tcPr>
            <w:tcW w:w="1982" w:type="dxa"/>
            <w:vAlign w:val="center"/>
          </w:tcPr>
          <w:p w14:paraId="61946315" w14:textId="77777777" w:rsidR="00537CC8" w:rsidRPr="0025250D" w:rsidRDefault="00537CC8" w:rsidP="00F015E3">
            <w:pPr>
              <w:bidi/>
              <w:spacing w:after="160"/>
              <w:jc w:val="center"/>
              <w:rPr>
                <w:rtl/>
              </w:rPr>
            </w:pPr>
            <w:r w:rsidRPr="0025250D">
              <w:t>AAA</w:t>
            </w:r>
          </w:p>
        </w:tc>
        <w:tc>
          <w:tcPr>
            <w:tcW w:w="5378" w:type="dxa"/>
            <w:vAlign w:val="center"/>
          </w:tcPr>
          <w:p w14:paraId="14AA0EBF" w14:textId="77777777" w:rsidR="00537CC8" w:rsidRPr="0025250D" w:rsidRDefault="00537CC8" w:rsidP="00F015E3">
            <w:pPr>
              <w:bidi/>
              <w:spacing w:after="160"/>
              <w:jc w:val="center"/>
              <w:rPr>
                <w:rtl/>
              </w:rPr>
            </w:pPr>
            <w:r w:rsidRPr="0025250D">
              <w:t>Contingencies</w:t>
            </w:r>
          </w:p>
        </w:tc>
      </w:tr>
      <w:tr w:rsidR="00537CC8" w:rsidRPr="0025250D" w14:paraId="0FD16239" w14:textId="77777777" w:rsidTr="00F015E3">
        <w:tc>
          <w:tcPr>
            <w:tcW w:w="1982" w:type="dxa"/>
            <w:vAlign w:val="center"/>
          </w:tcPr>
          <w:p w14:paraId="56E3ADAB" w14:textId="77777777" w:rsidR="00537CC8" w:rsidRPr="0025250D" w:rsidRDefault="00537CC8" w:rsidP="00F015E3">
            <w:pPr>
              <w:bidi/>
              <w:spacing w:after="160"/>
              <w:jc w:val="center"/>
              <w:rPr>
                <w:rtl/>
              </w:rPr>
            </w:pPr>
            <w:r w:rsidRPr="0025250D">
              <w:t>Forbes</w:t>
            </w:r>
          </w:p>
        </w:tc>
        <w:tc>
          <w:tcPr>
            <w:tcW w:w="5378" w:type="dxa"/>
            <w:vAlign w:val="center"/>
          </w:tcPr>
          <w:p w14:paraId="778A4DA3" w14:textId="77777777" w:rsidR="00537CC8" w:rsidRPr="0025250D" w:rsidRDefault="00537CC8" w:rsidP="00F015E3">
            <w:pPr>
              <w:bidi/>
              <w:spacing w:after="160"/>
              <w:jc w:val="center"/>
              <w:rPr>
                <w:rtl/>
              </w:rPr>
            </w:pPr>
            <w:r w:rsidRPr="0025250D">
              <w:t>Forbes</w:t>
            </w:r>
          </w:p>
        </w:tc>
      </w:tr>
      <w:tr w:rsidR="00537CC8" w:rsidRPr="0025250D" w14:paraId="610DB260" w14:textId="77777777" w:rsidTr="00F015E3">
        <w:tc>
          <w:tcPr>
            <w:tcW w:w="1982" w:type="dxa"/>
            <w:vAlign w:val="center"/>
          </w:tcPr>
          <w:p w14:paraId="6EB1EFDC" w14:textId="77777777" w:rsidR="00537CC8" w:rsidRPr="0025250D" w:rsidRDefault="00537CC8" w:rsidP="00F015E3">
            <w:pPr>
              <w:bidi/>
              <w:spacing w:after="160"/>
              <w:jc w:val="center"/>
            </w:pPr>
            <w:r w:rsidRPr="0025250D">
              <w:t>Harvard U</w:t>
            </w:r>
          </w:p>
        </w:tc>
        <w:tc>
          <w:tcPr>
            <w:tcW w:w="5378" w:type="dxa"/>
            <w:vAlign w:val="center"/>
          </w:tcPr>
          <w:p w14:paraId="3B4BABE1" w14:textId="77777777" w:rsidR="00537CC8" w:rsidRPr="0025250D" w:rsidRDefault="00537CC8" w:rsidP="00F015E3">
            <w:pPr>
              <w:bidi/>
              <w:spacing w:after="160"/>
              <w:jc w:val="center"/>
            </w:pPr>
            <w:r w:rsidRPr="0025250D">
              <w:t>Harvard Business Review</w:t>
            </w:r>
          </w:p>
        </w:tc>
      </w:tr>
      <w:tr w:rsidR="00537CC8" w:rsidRPr="0025250D" w14:paraId="3688D35C" w14:textId="77777777" w:rsidTr="00F015E3">
        <w:tc>
          <w:tcPr>
            <w:tcW w:w="1982" w:type="dxa"/>
            <w:vAlign w:val="center"/>
          </w:tcPr>
          <w:p w14:paraId="6580EC55" w14:textId="77777777" w:rsidR="00537CC8" w:rsidRPr="0025250D" w:rsidRDefault="00537CC8" w:rsidP="00F015E3">
            <w:pPr>
              <w:bidi/>
              <w:spacing w:after="160"/>
              <w:jc w:val="center"/>
            </w:pPr>
            <w:r w:rsidRPr="0025250D">
              <w:t>IEEE</w:t>
            </w:r>
          </w:p>
        </w:tc>
        <w:tc>
          <w:tcPr>
            <w:tcW w:w="5378" w:type="dxa"/>
            <w:vAlign w:val="center"/>
          </w:tcPr>
          <w:p w14:paraId="1DF76275" w14:textId="77777777" w:rsidR="00537CC8" w:rsidRPr="0025250D" w:rsidRDefault="00537CC8" w:rsidP="00F015E3">
            <w:pPr>
              <w:bidi/>
              <w:spacing w:after="160"/>
              <w:jc w:val="center"/>
            </w:pPr>
            <w:r w:rsidRPr="0025250D">
              <w:t>IEEE Spectrum</w:t>
            </w:r>
          </w:p>
        </w:tc>
      </w:tr>
      <w:tr w:rsidR="00537CC8" w:rsidRPr="0025250D" w14:paraId="7C778A67" w14:textId="77777777" w:rsidTr="00F015E3">
        <w:tc>
          <w:tcPr>
            <w:tcW w:w="1982" w:type="dxa"/>
            <w:vAlign w:val="center"/>
          </w:tcPr>
          <w:p w14:paraId="3A213462" w14:textId="77777777" w:rsidR="00537CC8" w:rsidRPr="0025250D" w:rsidRDefault="00537CC8" w:rsidP="00F015E3">
            <w:pPr>
              <w:bidi/>
              <w:spacing w:after="160"/>
              <w:jc w:val="center"/>
            </w:pPr>
            <w:r w:rsidRPr="0025250D">
              <w:t>Mansueto</w:t>
            </w:r>
          </w:p>
        </w:tc>
        <w:tc>
          <w:tcPr>
            <w:tcW w:w="5378" w:type="dxa"/>
            <w:vAlign w:val="center"/>
          </w:tcPr>
          <w:p w14:paraId="26E363C7" w14:textId="77777777" w:rsidR="00537CC8" w:rsidRPr="0025250D" w:rsidRDefault="00537CC8" w:rsidP="00F015E3">
            <w:pPr>
              <w:bidi/>
              <w:spacing w:after="160"/>
              <w:jc w:val="center"/>
            </w:pPr>
            <w:r w:rsidRPr="0025250D">
              <w:t>Inc</w:t>
            </w:r>
          </w:p>
        </w:tc>
      </w:tr>
      <w:tr w:rsidR="00537CC8" w:rsidRPr="0025250D" w14:paraId="089C985B" w14:textId="77777777" w:rsidTr="00F015E3">
        <w:tc>
          <w:tcPr>
            <w:tcW w:w="1982" w:type="dxa"/>
            <w:vAlign w:val="center"/>
          </w:tcPr>
          <w:p w14:paraId="11058BB4" w14:textId="77777777" w:rsidR="00537CC8" w:rsidRPr="0025250D" w:rsidRDefault="00537CC8" w:rsidP="00F015E3">
            <w:pPr>
              <w:bidi/>
              <w:spacing w:after="160"/>
              <w:jc w:val="center"/>
            </w:pPr>
            <w:r w:rsidRPr="0025250D">
              <w:t>UBM Tech</w:t>
            </w:r>
          </w:p>
        </w:tc>
        <w:tc>
          <w:tcPr>
            <w:tcW w:w="5378" w:type="dxa"/>
            <w:vAlign w:val="center"/>
          </w:tcPr>
          <w:p w14:paraId="1CCD3CA7" w14:textId="77777777" w:rsidR="00537CC8" w:rsidRPr="0025250D" w:rsidRDefault="00537CC8" w:rsidP="00F015E3">
            <w:pPr>
              <w:bidi/>
              <w:spacing w:after="160"/>
              <w:jc w:val="center"/>
            </w:pPr>
            <w:r w:rsidRPr="0025250D">
              <w:t>Information Week</w:t>
            </w:r>
          </w:p>
        </w:tc>
      </w:tr>
      <w:tr w:rsidR="00537CC8" w:rsidRPr="0025250D" w14:paraId="37F7E399" w14:textId="77777777" w:rsidTr="00F015E3">
        <w:tc>
          <w:tcPr>
            <w:tcW w:w="1982" w:type="dxa"/>
            <w:vAlign w:val="center"/>
          </w:tcPr>
          <w:p w14:paraId="7A8D8BAF" w14:textId="77777777" w:rsidR="00537CC8" w:rsidRPr="0025250D" w:rsidRDefault="00537CC8" w:rsidP="00F015E3">
            <w:pPr>
              <w:bidi/>
              <w:spacing w:after="160"/>
              <w:jc w:val="center"/>
            </w:pPr>
            <w:r w:rsidRPr="0025250D">
              <w:t>Information Today</w:t>
            </w:r>
          </w:p>
        </w:tc>
        <w:tc>
          <w:tcPr>
            <w:tcW w:w="5378" w:type="dxa"/>
            <w:vAlign w:val="center"/>
          </w:tcPr>
          <w:p w14:paraId="2334B45C" w14:textId="77777777" w:rsidR="00537CC8" w:rsidRPr="0025250D" w:rsidRDefault="00537CC8" w:rsidP="00F015E3">
            <w:pPr>
              <w:bidi/>
              <w:spacing w:after="160"/>
              <w:jc w:val="center"/>
            </w:pPr>
            <w:r w:rsidRPr="0025250D">
              <w:t>KM World</w:t>
            </w:r>
          </w:p>
        </w:tc>
      </w:tr>
      <w:tr w:rsidR="00537CC8" w:rsidRPr="0025250D" w14:paraId="32059765" w14:textId="77777777" w:rsidTr="00F015E3">
        <w:tc>
          <w:tcPr>
            <w:tcW w:w="1982" w:type="dxa"/>
            <w:vAlign w:val="center"/>
          </w:tcPr>
          <w:p w14:paraId="3BE32492" w14:textId="77777777" w:rsidR="00537CC8" w:rsidRPr="0025250D" w:rsidRDefault="00537CC8" w:rsidP="00F015E3">
            <w:pPr>
              <w:bidi/>
              <w:spacing w:after="160"/>
              <w:jc w:val="center"/>
            </w:pPr>
            <w:r w:rsidRPr="0025250D">
              <w:t>McKinsey</w:t>
            </w:r>
          </w:p>
        </w:tc>
        <w:tc>
          <w:tcPr>
            <w:tcW w:w="5378" w:type="dxa"/>
            <w:vAlign w:val="center"/>
          </w:tcPr>
          <w:p w14:paraId="13FED387" w14:textId="77777777" w:rsidR="00537CC8" w:rsidRPr="0025250D" w:rsidRDefault="00537CC8" w:rsidP="00F015E3">
            <w:pPr>
              <w:bidi/>
              <w:spacing w:after="160"/>
              <w:jc w:val="center"/>
            </w:pPr>
            <w:r w:rsidRPr="0025250D">
              <w:t>McKinsey Quarterly</w:t>
            </w:r>
          </w:p>
        </w:tc>
      </w:tr>
      <w:tr w:rsidR="00537CC8" w:rsidRPr="0025250D" w14:paraId="782BE444" w14:textId="77777777" w:rsidTr="00F015E3">
        <w:tc>
          <w:tcPr>
            <w:tcW w:w="1982" w:type="dxa"/>
            <w:vAlign w:val="center"/>
          </w:tcPr>
          <w:p w14:paraId="1B8DBDC2" w14:textId="77777777" w:rsidR="00537CC8" w:rsidRPr="0025250D" w:rsidRDefault="00537CC8" w:rsidP="00F015E3">
            <w:pPr>
              <w:bidi/>
              <w:spacing w:after="160"/>
              <w:jc w:val="center"/>
            </w:pPr>
            <w:r w:rsidRPr="0025250D">
              <w:t>Reed</w:t>
            </w:r>
          </w:p>
        </w:tc>
        <w:tc>
          <w:tcPr>
            <w:tcW w:w="5378" w:type="dxa"/>
            <w:vAlign w:val="center"/>
          </w:tcPr>
          <w:p w14:paraId="27B57A91" w14:textId="77777777" w:rsidR="00537CC8" w:rsidRPr="0025250D" w:rsidRDefault="00537CC8" w:rsidP="00F015E3">
            <w:pPr>
              <w:bidi/>
              <w:spacing w:after="160"/>
              <w:jc w:val="center"/>
            </w:pPr>
            <w:r w:rsidRPr="0025250D">
              <w:t>New Scientist</w:t>
            </w:r>
          </w:p>
        </w:tc>
      </w:tr>
      <w:tr w:rsidR="00537CC8" w:rsidRPr="0025250D" w14:paraId="46FA7618" w14:textId="77777777" w:rsidTr="00F015E3">
        <w:tc>
          <w:tcPr>
            <w:tcW w:w="1982" w:type="dxa"/>
            <w:vAlign w:val="center"/>
          </w:tcPr>
          <w:p w14:paraId="46E0EB81" w14:textId="77777777" w:rsidR="00537CC8" w:rsidRPr="0025250D" w:rsidRDefault="00537CC8" w:rsidP="00F015E3">
            <w:pPr>
              <w:bidi/>
              <w:spacing w:after="160"/>
              <w:jc w:val="center"/>
            </w:pPr>
            <w:r w:rsidRPr="0025250D">
              <w:t>INFORMS</w:t>
            </w:r>
          </w:p>
        </w:tc>
        <w:tc>
          <w:tcPr>
            <w:tcW w:w="5378" w:type="dxa"/>
            <w:vAlign w:val="center"/>
          </w:tcPr>
          <w:p w14:paraId="3DB795CC" w14:textId="77777777" w:rsidR="00537CC8" w:rsidRPr="0025250D" w:rsidRDefault="00537CC8" w:rsidP="00F015E3">
            <w:pPr>
              <w:bidi/>
              <w:spacing w:after="160"/>
              <w:jc w:val="center"/>
            </w:pPr>
            <w:r w:rsidRPr="0025250D">
              <w:t>OR/MS Today</w:t>
            </w:r>
          </w:p>
        </w:tc>
      </w:tr>
      <w:tr w:rsidR="00537CC8" w:rsidRPr="0025250D" w14:paraId="198D4681" w14:textId="77777777" w:rsidTr="00F015E3">
        <w:tc>
          <w:tcPr>
            <w:tcW w:w="1982" w:type="dxa"/>
            <w:vAlign w:val="center"/>
          </w:tcPr>
          <w:p w14:paraId="11915F66" w14:textId="77777777" w:rsidR="00537CC8" w:rsidRPr="0025250D" w:rsidRDefault="00537CC8" w:rsidP="00F015E3">
            <w:pPr>
              <w:bidi/>
              <w:spacing w:after="160"/>
              <w:jc w:val="center"/>
            </w:pPr>
            <w:r w:rsidRPr="0025250D">
              <w:t>APA</w:t>
            </w:r>
          </w:p>
        </w:tc>
        <w:tc>
          <w:tcPr>
            <w:tcW w:w="5378" w:type="dxa"/>
            <w:vAlign w:val="center"/>
          </w:tcPr>
          <w:p w14:paraId="11057605" w14:textId="77777777" w:rsidR="00537CC8" w:rsidRPr="0025250D" w:rsidRDefault="00537CC8" w:rsidP="00F015E3">
            <w:pPr>
              <w:bidi/>
              <w:spacing w:after="160"/>
              <w:jc w:val="center"/>
            </w:pPr>
            <w:r w:rsidRPr="0025250D">
              <w:t>Planning</w:t>
            </w:r>
          </w:p>
        </w:tc>
      </w:tr>
      <w:tr w:rsidR="00537CC8" w:rsidRPr="0025250D" w14:paraId="67564CDD" w14:textId="77777777" w:rsidTr="00F015E3">
        <w:tc>
          <w:tcPr>
            <w:tcW w:w="1982" w:type="dxa"/>
            <w:vAlign w:val="center"/>
          </w:tcPr>
          <w:p w14:paraId="5BD68E8A" w14:textId="77777777" w:rsidR="00537CC8" w:rsidRPr="0025250D" w:rsidRDefault="00537CC8" w:rsidP="00F015E3">
            <w:pPr>
              <w:bidi/>
              <w:spacing w:after="160"/>
              <w:jc w:val="center"/>
            </w:pPr>
            <w:r w:rsidRPr="0025250D">
              <w:t>Bonnier</w:t>
            </w:r>
          </w:p>
        </w:tc>
        <w:tc>
          <w:tcPr>
            <w:tcW w:w="5378" w:type="dxa"/>
            <w:vAlign w:val="center"/>
          </w:tcPr>
          <w:p w14:paraId="51272F81" w14:textId="77777777" w:rsidR="00537CC8" w:rsidRPr="0025250D" w:rsidRDefault="00537CC8" w:rsidP="00F015E3">
            <w:pPr>
              <w:bidi/>
              <w:spacing w:after="160"/>
              <w:jc w:val="center"/>
            </w:pPr>
            <w:r w:rsidRPr="0025250D">
              <w:t>Popular Science</w:t>
            </w:r>
          </w:p>
        </w:tc>
      </w:tr>
      <w:tr w:rsidR="00537CC8" w:rsidRPr="0025250D" w14:paraId="40F7D27A" w14:textId="77777777" w:rsidTr="00F015E3">
        <w:tc>
          <w:tcPr>
            <w:tcW w:w="1982" w:type="dxa"/>
            <w:vAlign w:val="center"/>
          </w:tcPr>
          <w:p w14:paraId="74CFB4CA" w14:textId="77777777" w:rsidR="00537CC8" w:rsidRPr="0025250D" w:rsidRDefault="00537CC8" w:rsidP="00F015E3">
            <w:pPr>
              <w:bidi/>
              <w:spacing w:after="160"/>
              <w:jc w:val="center"/>
            </w:pPr>
            <w:r w:rsidRPr="0025250D">
              <w:t>Prospect</w:t>
            </w:r>
          </w:p>
        </w:tc>
        <w:tc>
          <w:tcPr>
            <w:tcW w:w="5378" w:type="dxa"/>
            <w:vAlign w:val="center"/>
          </w:tcPr>
          <w:p w14:paraId="5F57A8E9" w14:textId="77777777" w:rsidR="00537CC8" w:rsidRPr="0025250D" w:rsidRDefault="00537CC8" w:rsidP="00F015E3">
            <w:pPr>
              <w:bidi/>
              <w:spacing w:after="160"/>
              <w:jc w:val="center"/>
            </w:pPr>
            <w:r w:rsidRPr="0025250D">
              <w:t>Prospect</w:t>
            </w:r>
          </w:p>
        </w:tc>
      </w:tr>
      <w:tr w:rsidR="00537CC8" w:rsidRPr="0025250D" w14:paraId="14D22A52" w14:textId="77777777" w:rsidTr="00F015E3">
        <w:tc>
          <w:tcPr>
            <w:tcW w:w="1982" w:type="dxa"/>
            <w:vAlign w:val="center"/>
          </w:tcPr>
          <w:p w14:paraId="7E52785F" w14:textId="77777777" w:rsidR="00537CC8" w:rsidRPr="0025250D" w:rsidRDefault="00537CC8" w:rsidP="00F015E3">
            <w:pPr>
              <w:bidi/>
              <w:spacing w:after="160"/>
              <w:jc w:val="center"/>
            </w:pPr>
            <w:r w:rsidRPr="0025250D">
              <w:t>IRI</w:t>
            </w:r>
          </w:p>
        </w:tc>
        <w:tc>
          <w:tcPr>
            <w:tcW w:w="5378" w:type="dxa"/>
            <w:vAlign w:val="center"/>
          </w:tcPr>
          <w:p w14:paraId="3CE0BD7D" w14:textId="77777777" w:rsidR="00537CC8" w:rsidRPr="0025250D" w:rsidRDefault="00537CC8" w:rsidP="00F015E3">
            <w:pPr>
              <w:bidi/>
              <w:spacing w:after="160"/>
              <w:jc w:val="center"/>
            </w:pPr>
            <w:r w:rsidRPr="0025250D">
              <w:t>Research Technology Management</w:t>
            </w:r>
          </w:p>
        </w:tc>
      </w:tr>
      <w:tr w:rsidR="00537CC8" w:rsidRPr="0025250D" w14:paraId="605F1CEA" w14:textId="77777777" w:rsidTr="00F015E3">
        <w:tc>
          <w:tcPr>
            <w:tcW w:w="1982" w:type="dxa"/>
            <w:vAlign w:val="center"/>
          </w:tcPr>
          <w:p w14:paraId="5DAE5152" w14:textId="77777777" w:rsidR="00537CC8" w:rsidRPr="0025250D" w:rsidRDefault="00537CC8" w:rsidP="00F015E3">
            <w:pPr>
              <w:bidi/>
              <w:spacing w:after="160"/>
              <w:jc w:val="center"/>
            </w:pPr>
            <w:r w:rsidRPr="0025250D">
              <w:t>RIMS</w:t>
            </w:r>
          </w:p>
        </w:tc>
        <w:tc>
          <w:tcPr>
            <w:tcW w:w="5378" w:type="dxa"/>
            <w:vAlign w:val="center"/>
          </w:tcPr>
          <w:p w14:paraId="0372A636" w14:textId="77777777" w:rsidR="00537CC8" w:rsidRPr="0025250D" w:rsidRDefault="00537CC8" w:rsidP="00F015E3">
            <w:pPr>
              <w:bidi/>
              <w:spacing w:after="160"/>
              <w:jc w:val="center"/>
            </w:pPr>
            <w:r w:rsidRPr="0025250D">
              <w:t>Risk Management</w:t>
            </w:r>
          </w:p>
        </w:tc>
      </w:tr>
      <w:tr w:rsidR="00537CC8" w:rsidRPr="0025250D" w14:paraId="7A9F7368" w14:textId="77777777" w:rsidTr="00F015E3">
        <w:tc>
          <w:tcPr>
            <w:tcW w:w="1982" w:type="dxa"/>
            <w:vAlign w:val="center"/>
          </w:tcPr>
          <w:p w14:paraId="3BE518CC" w14:textId="77777777" w:rsidR="00537CC8" w:rsidRPr="0025250D" w:rsidRDefault="00537CC8" w:rsidP="00F015E3">
            <w:pPr>
              <w:bidi/>
              <w:spacing w:after="160"/>
              <w:jc w:val="center"/>
            </w:pPr>
            <w:r w:rsidRPr="0025250D">
              <w:t>SS&amp;P</w:t>
            </w:r>
          </w:p>
        </w:tc>
        <w:tc>
          <w:tcPr>
            <w:tcW w:w="5378" w:type="dxa"/>
            <w:vAlign w:val="center"/>
          </w:tcPr>
          <w:p w14:paraId="5EF51124" w14:textId="77777777" w:rsidR="00537CC8" w:rsidRPr="0025250D" w:rsidRDefault="00537CC8" w:rsidP="00F015E3">
            <w:pPr>
              <w:bidi/>
              <w:spacing w:after="160"/>
              <w:jc w:val="center"/>
            </w:pPr>
            <w:r w:rsidRPr="0025250D">
              <w:t>Science News</w:t>
            </w:r>
          </w:p>
        </w:tc>
      </w:tr>
      <w:tr w:rsidR="00537CC8" w:rsidRPr="0025250D" w14:paraId="08200336" w14:textId="77777777" w:rsidTr="00F015E3">
        <w:tc>
          <w:tcPr>
            <w:tcW w:w="1982" w:type="dxa"/>
            <w:vAlign w:val="center"/>
          </w:tcPr>
          <w:p w14:paraId="521B5B1C" w14:textId="77777777" w:rsidR="00537CC8" w:rsidRPr="0025250D" w:rsidRDefault="00537CC8" w:rsidP="00F015E3">
            <w:pPr>
              <w:bidi/>
              <w:spacing w:after="160"/>
              <w:jc w:val="center"/>
            </w:pPr>
            <w:r w:rsidRPr="0025250D">
              <w:t>Nature</w:t>
            </w:r>
          </w:p>
        </w:tc>
        <w:tc>
          <w:tcPr>
            <w:tcW w:w="5378" w:type="dxa"/>
            <w:vAlign w:val="center"/>
          </w:tcPr>
          <w:p w14:paraId="7E832499" w14:textId="77777777" w:rsidR="00537CC8" w:rsidRPr="0025250D" w:rsidRDefault="00537CC8" w:rsidP="00F015E3">
            <w:pPr>
              <w:bidi/>
              <w:spacing w:after="160"/>
              <w:jc w:val="center"/>
            </w:pPr>
            <w:r w:rsidRPr="0025250D">
              <w:t>Scientiﬁc American</w:t>
            </w:r>
          </w:p>
        </w:tc>
      </w:tr>
      <w:tr w:rsidR="00537CC8" w:rsidRPr="0025250D" w14:paraId="0014142A" w14:textId="77777777" w:rsidTr="00F015E3">
        <w:tc>
          <w:tcPr>
            <w:tcW w:w="1982" w:type="dxa"/>
            <w:vAlign w:val="center"/>
          </w:tcPr>
          <w:p w14:paraId="4F27EB62" w14:textId="77777777" w:rsidR="00537CC8" w:rsidRPr="0025250D" w:rsidRDefault="00537CC8" w:rsidP="00F015E3">
            <w:pPr>
              <w:bidi/>
              <w:spacing w:after="160"/>
              <w:jc w:val="center"/>
            </w:pPr>
            <w:r w:rsidRPr="0025250D">
              <w:t>BoozAllen</w:t>
            </w:r>
          </w:p>
        </w:tc>
        <w:tc>
          <w:tcPr>
            <w:tcW w:w="5378" w:type="dxa"/>
            <w:vAlign w:val="center"/>
          </w:tcPr>
          <w:p w14:paraId="497DF45B" w14:textId="77777777" w:rsidR="00537CC8" w:rsidRPr="0025250D" w:rsidRDefault="00537CC8" w:rsidP="00F015E3">
            <w:pPr>
              <w:bidi/>
              <w:spacing w:after="160"/>
              <w:jc w:val="center"/>
            </w:pPr>
            <w:r w:rsidRPr="0025250D">
              <w:t>Strategy + Business</w:t>
            </w:r>
          </w:p>
        </w:tc>
      </w:tr>
      <w:tr w:rsidR="00537CC8" w:rsidRPr="0025250D" w14:paraId="452A5B42" w14:textId="77777777" w:rsidTr="00F015E3">
        <w:tc>
          <w:tcPr>
            <w:tcW w:w="1982" w:type="dxa"/>
            <w:vAlign w:val="center"/>
          </w:tcPr>
          <w:p w14:paraId="1D563F37" w14:textId="77777777" w:rsidR="00537CC8" w:rsidRPr="0025250D" w:rsidRDefault="00537CC8" w:rsidP="00F015E3">
            <w:pPr>
              <w:bidi/>
              <w:spacing w:after="160"/>
              <w:jc w:val="center"/>
            </w:pPr>
            <w:r w:rsidRPr="0025250D">
              <w:t>Taylor &amp; Francis</w:t>
            </w:r>
          </w:p>
        </w:tc>
        <w:tc>
          <w:tcPr>
            <w:tcW w:w="5378" w:type="dxa"/>
            <w:vAlign w:val="center"/>
          </w:tcPr>
          <w:p w14:paraId="10C3DE0D" w14:textId="77777777" w:rsidR="00537CC8" w:rsidRPr="0025250D" w:rsidRDefault="00537CC8" w:rsidP="00F015E3">
            <w:pPr>
              <w:bidi/>
              <w:spacing w:after="160"/>
              <w:jc w:val="center"/>
            </w:pPr>
            <w:r w:rsidRPr="0025250D">
              <w:t>Technology Analysis &amp; Strategic Management</w:t>
            </w:r>
          </w:p>
        </w:tc>
      </w:tr>
      <w:tr w:rsidR="00537CC8" w:rsidRPr="0025250D" w14:paraId="047C895B" w14:textId="77777777" w:rsidTr="00F015E3">
        <w:tc>
          <w:tcPr>
            <w:tcW w:w="1982" w:type="dxa"/>
            <w:vAlign w:val="center"/>
          </w:tcPr>
          <w:p w14:paraId="04FBD835" w14:textId="77777777" w:rsidR="00537CC8" w:rsidRPr="0025250D" w:rsidRDefault="00537CC8" w:rsidP="00F015E3">
            <w:pPr>
              <w:bidi/>
              <w:spacing w:after="160"/>
              <w:jc w:val="center"/>
            </w:pPr>
            <w:r w:rsidRPr="0025250D">
              <w:t>MIT</w:t>
            </w:r>
          </w:p>
        </w:tc>
        <w:tc>
          <w:tcPr>
            <w:tcW w:w="5378" w:type="dxa"/>
            <w:vAlign w:val="center"/>
          </w:tcPr>
          <w:p w14:paraId="4CA22BF1" w14:textId="77777777" w:rsidR="00537CC8" w:rsidRPr="0025250D" w:rsidRDefault="00537CC8" w:rsidP="00F015E3">
            <w:pPr>
              <w:bidi/>
              <w:spacing w:after="160"/>
              <w:jc w:val="center"/>
            </w:pPr>
            <w:r w:rsidRPr="0025250D">
              <w:t>Technology Review</w:t>
            </w:r>
          </w:p>
        </w:tc>
      </w:tr>
      <w:tr w:rsidR="00537CC8" w:rsidRPr="0025250D" w14:paraId="28A7C846" w14:textId="77777777" w:rsidTr="00F015E3">
        <w:tc>
          <w:tcPr>
            <w:tcW w:w="1982" w:type="dxa"/>
            <w:vAlign w:val="center"/>
          </w:tcPr>
          <w:p w14:paraId="38AE2281" w14:textId="77777777" w:rsidR="00537CC8" w:rsidRPr="0025250D" w:rsidRDefault="00537CC8" w:rsidP="00F015E3">
            <w:pPr>
              <w:bidi/>
              <w:spacing w:after="160"/>
              <w:jc w:val="center"/>
            </w:pPr>
            <w:r w:rsidRPr="0025250D">
              <w:t>Hayley Romer</w:t>
            </w:r>
          </w:p>
        </w:tc>
        <w:tc>
          <w:tcPr>
            <w:tcW w:w="5378" w:type="dxa"/>
            <w:vAlign w:val="center"/>
          </w:tcPr>
          <w:p w14:paraId="0B6E7C6B" w14:textId="77777777" w:rsidR="00537CC8" w:rsidRPr="0025250D" w:rsidRDefault="00537CC8" w:rsidP="00F015E3">
            <w:pPr>
              <w:bidi/>
              <w:spacing w:after="160"/>
              <w:jc w:val="center"/>
            </w:pPr>
            <w:r w:rsidRPr="0025250D">
              <w:t>The Atlantic</w:t>
            </w:r>
          </w:p>
        </w:tc>
      </w:tr>
      <w:tr w:rsidR="00537CC8" w:rsidRPr="0025250D" w14:paraId="00085D24" w14:textId="77777777" w:rsidTr="00F015E3">
        <w:tc>
          <w:tcPr>
            <w:tcW w:w="1982" w:type="dxa"/>
            <w:vAlign w:val="center"/>
          </w:tcPr>
          <w:p w14:paraId="47BAF022" w14:textId="77777777" w:rsidR="00537CC8" w:rsidRPr="0025250D" w:rsidRDefault="00537CC8" w:rsidP="00F015E3">
            <w:pPr>
              <w:bidi/>
              <w:spacing w:after="160"/>
              <w:jc w:val="center"/>
            </w:pPr>
            <w:r w:rsidRPr="0025250D">
              <w:t>Economist</w:t>
            </w:r>
          </w:p>
        </w:tc>
        <w:tc>
          <w:tcPr>
            <w:tcW w:w="5378" w:type="dxa"/>
            <w:vAlign w:val="center"/>
          </w:tcPr>
          <w:p w14:paraId="699B25DC" w14:textId="77777777" w:rsidR="00537CC8" w:rsidRPr="0025250D" w:rsidRDefault="00537CC8" w:rsidP="00F015E3">
            <w:pPr>
              <w:bidi/>
              <w:spacing w:after="160"/>
              <w:jc w:val="center"/>
            </w:pPr>
            <w:r w:rsidRPr="0025250D">
              <w:t>The Economist</w:t>
            </w:r>
          </w:p>
        </w:tc>
      </w:tr>
      <w:tr w:rsidR="00537CC8" w:rsidRPr="0025250D" w14:paraId="7E26366A" w14:textId="77777777" w:rsidTr="00F015E3">
        <w:tc>
          <w:tcPr>
            <w:tcW w:w="1982" w:type="dxa"/>
            <w:vAlign w:val="center"/>
          </w:tcPr>
          <w:p w14:paraId="5BE9D6FD" w14:textId="77777777" w:rsidR="00537CC8" w:rsidRPr="0025250D" w:rsidRDefault="00537CC8" w:rsidP="00F015E3">
            <w:pPr>
              <w:bidi/>
              <w:spacing w:after="160"/>
              <w:jc w:val="center"/>
            </w:pPr>
            <w:r w:rsidRPr="0025250D">
              <w:t>WFS</w:t>
            </w:r>
          </w:p>
        </w:tc>
        <w:tc>
          <w:tcPr>
            <w:tcW w:w="5378" w:type="dxa"/>
            <w:vAlign w:val="center"/>
          </w:tcPr>
          <w:p w14:paraId="34E9887F" w14:textId="77777777" w:rsidR="00537CC8" w:rsidRPr="0025250D" w:rsidRDefault="00537CC8" w:rsidP="00F015E3">
            <w:pPr>
              <w:bidi/>
              <w:spacing w:after="160"/>
              <w:jc w:val="center"/>
            </w:pPr>
            <w:r w:rsidRPr="0025250D">
              <w:t>The Futurist</w:t>
            </w:r>
          </w:p>
        </w:tc>
      </w:tr>
      <w:tr w:rsidR="00537CC8" w:rsidRPr="0025250D" w14:paraId="0AFB186F" w14:textId="77777777" w:rsidTr="00F015E3">
        <w:tc>
          <w:tcPr>
            <w:tcW w:w="1982" w:type="dxa"/>
            <w:vAlign w:val="center"/>
          </w:tcPr>
          <w:p w14:paraId="1B028F40" w14:textId="77777777" w:rsidR="00537CC8" w:rsidRPr="0025250D" w:rsidRDefault="00537CC8" w:rsidP="00F015E3">
            <w:pPr>
              <w:bidi/>
              <w:spacing w:after="160"/>
              <w:jc w:val="center"/>
            </w:pPr>
            <w:r w:rsidRPr="0025250D">
              <w:t>Globalist</w:t>
            </w:r>
          </w:p>
        </w:tc>
        <w:tc>
          <w:tcPr>
            <w:tcW w:w="5378" w:type="dxa"/>
            <w:vAlign w:val="center"/>
          </w:tcPr>
          <w:p w14:paraId="4C3E3EC6" w14:textId="77777777" w:rsidR="00537CC8" w:rsidRPr="0025250D" w:rsidRDefault="00537CC8" w:rsidP="00F015E3">
            <w:pPr>
              <w:bidi/>
              <w:spacing w:after="160"/>
              <w:jc w:val="center"/>
            </w:pPr>
            <w:r w:rsidRPr="0025250D">
              <w:t>The Globalist</w:t>
            </w:r>
          </w:p>
        </w:tc>
      </w:tr>
      <w:tr w:rsidR="00537CC8" w:rsidRPr="0025250D" w14:paraId="4B0650B7" w14:textId="77777777" w:rsidTr="00F015E3">
        <w:tc>
          <w:tcPr>
            <w:tcW w:w="1982" w:type="dxa"/>
            <w:vAlign w:val="center"/>
          </w:tcPr>
          <w:p w14:paraId="5DE52061" w14:textId="77777777" w:rsidR="00537CC8" w:rsidRPr="0025250D" w:rsidRDefault="00537CC8" w:rsidP="00F015E3">
            <w:pPr>
              <w:bidi/>
              <w:spacing w:after="160"/>
              <w:jc w:val="center"/>
            </w:pPr>
            <w:r w:rsidRPr="0025250D">
              <w:t>IPC Media</w:t>
            </w:r>
          </w:p>
        </w:tc>
        <w:tc>
          <w:tcPr>
            <w:tcW w:w="5378" w:type="dxa"/>
            <w:vAlign w:val="center"/>
          </w:tcPr>
          <w:p w14:paraId="3A182313" w14:textId="77777777" w:rsidR="00537CC8" w:rsidRPr="0025250D" w:rsidRDefault="00537CC8" w:rsidP="00F015E3">
            <w:pPr>
              <w:bidi/>
              <w:spacing w:after="160"/>
              <w:jc w:val="center"/>
            </w:pPr>
            <w:r w:rsidRPr="0025250D">
              <w:t>Wallpaper</w:t>
            </w:r>
          </w:p>
        </w:tc>
      </w:tr>
      <w:tr w:rsidR="00537CC8" w:rsidRPr="0025250D" w14:paraId="11F31897" w14:textId="77777777" w:rsidTr="00F015E3">
        <w:tc>
          <w:tcPr>
            <w:tcW w:w="1982" w:type="dxa"/>
            <w:vAlign w:val="center"/>
          </w:tcPr>
          <w:p w14:paraId="4C535AE4" w14:textId="77777777" w:rsidR="00537CC8" w:rsidRPr="0025250D" w:rsidRDefault="00537CC8" w:rsidP="00F015E3">
            <w:pPr>
              <w:bidi/>
              <w:spacing w:after="160"/>
              <w:jc w:val="center"/>
            </w:pPr>
            <w:r w:rsidRPr="0025250D">
              <w:t>Conde Nast</w:t>
            </w:r>
          </w:p>
        </w:tc>
        <w:tc>
          <w:tcPr>
            <w:tcW w:w="5378" w:type="dxa"/>
            <w:vAlign w:val="center"/>
          </w:tcPr>
          <w:p w14:paraId="34D2B193" w14:textId="77777777" w:rsidR="00537CC8" w:rsidRPr="0025250D" w:rsidRDefault="00537CC8" w:rsidP="00F015E3">
            <w:pPr>
              <w:bidi/>
              <w:spacing w:after="160"/>
              <w:jc w:val="center"/>
            </w:pPr>
            <w:r w:rsidRPr="0025250D">
              <w:t>Wired</w:t>
            </w:r>
          </w:p>
        </w:tc>
      </w:tr>
    </w:tbl>
    <w:p w14:paraId="36031792" w14:textId="77777777" w:rsidR="00537CC8" w:rsidRPr="0025250D" w:rsidRDefault="00537CC8" w:rsidP="00537CC8"/>
    <w:p w14:paraId="2FAC1727" w14:textId="77777777" w:rsidR="00537CC8" w:rsidRPr="0025250D" w:rsidRDefault="00537CC8" w:rsidP="00537CC8"/>
    <w:p w14:paraId="5AA4DFAD" w14:textId="2973D468" w:rsidR="00537CC8" w:rsidRPr="0025250D" w:rsidRDefault="00537CC8" w:rsidP="00A6676A">
      <w:pPr>
        <w:pStyle w:val="Heading2"/>
        <w:rPr>
          <w:rtl/>
        </w:rPr>
      </w:pPr>
      <w:bookmarkStart w:id="93" w:name="_Toc127831357"/>
      <w:r w:rsidRPr="0025250D">
        <w:rPr>
          <w:rtl/>
        </w:rPr>
        <w:t>صدا و پادکست - مقدمه‌ای بر آینده‌</w:t>
      </w:r>
      <w:r w:rsidR="00E26538" w:rsidRPr="0025250D">
        <w:rPr>
          <w:rtl/>
        </w:rPr>
        <w:t>نگار</w:t>
      </w:r>
      <w:r w:rsidRPr="0025250D">
        <w:rPr>
          <w:rtl/>
        </w:rPr>
        <w:t>ی</w:t>
      </w:r>
      <w:bookmarkEnd w:id="93"/>
    </w:p>
    <w:p w14:paraId="5BA8525A" w14:textId="355AA8F4" w:rsidR="00A6676A" w:rsidRPr="0025250D" w:rsidRDefault="00A6676A" w:rsidP="00A6676A">
      <w:pPr>
        <w:rPr>
          <w:rtl/>
        </w:rPr>
      </w:pPr>
      <w:r w:rsidRPr="0025250D">
        <w:rPr>
          <w:rtl/>
        </w:rPr>
        <w:t>ما فهرست ها</w:t>
      </w:r>
      <w:r w:rsidRPr="0025250D">
        <w:rPr>
          <w:rFonts w:hint="cs"/>
          <w:rtl/>
        </w:rPr>
        <w:t>ی</w:t>
      </w:r>
      <w:r w:rsidRPr="0025250D">
        <w:rPr>
          <w:rtl/>
        </w:rPr>
        <w:t xml:space="preserve"> طولان</w:t>
      </w:r>
      <w:r w:rsidRPr="0025250D">
        <w:rPr>
          <w:rFonts w:hint="cs"/>
          <w:rtl/>
        </w:rPr>
        <w:t>ی</w:t>
      </w:r>
      <w:r w:rsidRPr="0025250D">
        <w:rPr>
          <w:rtl/>
        </w:rPr>
        <w:t xml:space="preserve"> از کتاب ها را ارائه </w:t>
      </w:r>
      <w:r w:rsidR="00950293" w:rsidRPr="0025250D">
        <w:rPr>
          <w:rtl/>
        </w:rPr>
        <w:t>کرده‌ایم</w:t>
      </w:r>
      <w:r w:rsidRPr="0025250D">
        <w:rPr>
          <w:rFonts w:hint="eastAsia"/>
          <w:rtl/>
        </w:rPr>
        <w:t>،</w:t>
      </w:r>
      <w:r w:rsidRPr="0025250D">
        <w:rPr>
          <w:rtl/>
        </w:rPr>
        <w:t xml:space="preserve"> اما </w:t>
      </w:r>
      <w:r w:rsidRPr="0025250D">
        <w:rPr>
          <w:rFonts w:hint="cs"/>
          <w:rtl/>
        </w:rPr>
        <w:t>هنگام</w:t>
      </w:r>
      <w:r w:rsidRPr="0025250D">
        <w:rPr>
          <w:rtl/>
        </w:rPr>
        <w:t xml:space="preserve"> ورزش </w:t>
      </w:r>
      <w:r w:rsidRPr="0025250D">
        <w:rPr>
          <w:rFonts w:hint="cs"/>
          <w:rtl/>
        </w:rPr>
        <w:t>ی</w:t>
      </w:r>
      <w:r w:rsidRPr="0025250D">
        <w:rPr>
          <w:rFonts w:hint="eastAsia"/>
          <w:rtl/>
        </w:rPr>
        <w:t>ا</w:t>
      </w:r>
      <w:r w:rsidRPr="0025250D">
        <w:rPr>
          <w:rtl/>
        </w:rPr>
        <w:t xml:space="preserve"> رانندگ</w:t>
      </w:r>
      <w:r w:rsidRPr="0025250D">
        <w:rPr>
          <w:rFonts w:hint="cs"/>
          <w:rtl/>
        </w:rPr>
        <w:t>ی</w:t>
      </w:r>
      <w:r w:rsidRPr="0025250D">
        <w:rPr>
          <w:rFonts w:hint="eastAsia"/>
          <w:rtl/>
        </w:rPr>
        <w:t>،</w:t>
      </w:r>
      <w:r w:rsidRPr="0025250D">
        <w:rPr>
          <w:rtl/>
        </w:rPr>
        <w:t xml:space="preserve"> ممکن است </w:t>
      </w:r>
      <w:r w:rsidRPr="0025250D">
        <w:rPr>
          <w:rFonts w:hint="cs"/>
          <w:rtl/>
        </w:rPr>
        <w:t>کتاب های صوتی</w:t>
      </w:r>
      <w:r w:rsidRPr="0025250D">
        <w:rPr>
          <w:rtl/>
        </w:rPr>
        <w:t xml:space="preserve"> را ترج</w:t>
      </w:r>
      <w:r w:rsidRPr="0025250D">
        <w:rPr>
          <w:rFonts w:hint="cs"/>
          <w:rtl/>
        </w:rPr>
        <w:t>ی</w:t>
      </w:r>
      <w:r w:rsidRPr="0025250D">
        <w:rPr>
          <w:rFonts w:hint="eastAsia"/>
          <w:rtl/>
        </w:rPr>
        <w:t>ح</w:t>
      </w:r>
      <w:r w:rsidRPr="0025250D">
        <w:rPr>
          <w:rtl/>
        </w:rPr>
        <w:t xml:space="preserve"> ده</w:t>
      </w:r>
      <w:r w:rsidRPr="0025250D">
        <w:rPr>
          <w:rFonts w:hint="cs"/>
          <w:rtl/>
        </w:rPr>
        <w:t>ی</w:t>
      </w:r>
      <w:r w:rsidRPr="0025250D">
        <w:rPr>
          <w:rFonts w:hint="eastAsia"/>
          <w:rtl/>
        </w:rPr>
        <w:t>د</w:t>
      </w:r>
      <w:r w:rsidRPr="0025250D">
        <w:rPr>
          <w:rtl/>
        </w:rPr>
        <w:t>. فعلاً و</w:t>
      </w:r>
      <w:r w:rsidRPr="0025250D">
        <w:rPr>
          <w:rFonts w:hint="cs"/>
          <w:rtl/>
        </w:rPr>
        <w:t>ی</w:t>
      </w:r>
      <w:r w:rsidRPr="0025250D">
        <w:rPr>
          <w:rFonts w:hint="eastAsia"/>
          <w:rtl/>
        </w:rPr>
        <w:t>د</w:t>
      </w:r>
      <w:r w:rsidRPr="0025250D">
        <w:rPr>
          <w:rFonts w:hint="cs"/>
          <w:rtl/>
        </w:rPr>
        <w:t>ی</w:t>
      </w:r>
      <w:r w:rsidRPr="0025250D">
        <w:rPr>
          <w:rFonts w:hint="eastAsia"/>
          <w:rtl/>
        </w:rPr>
        <w:t>و</w:t>
      </w:r>
      <w:r w:rsidRPr="0025250D">
        <w:rPr>
          <w:rtl/>
        </w:rPr>
        <w:t xml:space="preserve"> را کنار م</w:t>
      </w:r>
      <w:r w:rsidRPr="0025250D">
        <w:rPr>
          <w:rFonts w:hint="cs"/>
          <w:rtl/>
        </w:rPr>
        <w:t>ی</w:t>
      </w:r>
      <w:r w:rsidRPr="0025250D">
        <w:rPr>
          <w:rtl/>
        </w:rPr>
        <w:t xml:space="preserve"> گذار</w:t>
      </w:r>
      <w:r w:rsidRPr="0025250D">
        <w:rPr>
          <w:rFonts w:hint="cs"/>
          <w:rtl/>
        </w:rPr>
        <w:t>ی</w:t>
      </w:r>
      <w:r w:rsidRPr="0025250D">
        <w:rPr>
          <w:rFonts w:hint="eastAsia"/>
          <w:rtl/>
        </w:rPr>
        <w:t>م</w:t>
      </w:r>
      <w:r w:rsidRPr="0025250D">
        <w:rPr>
          <w:rtl/>
        </w:rPr>
        <w:t>. جستجو</w:t>
      </w:r>
      <w:r w:rsidRPr="0025250D">
        <w:rPr>
          <w:rFonts w:hint="cs"/>
          <w:rtl/>
        </w:rPr>
        <w:t>گر</w:t>
      </w:r>
      <w:r w:rsidRPr="0025250D">
        <w:rPr>
          <w:rtl/>
        </w:rPr>
        <w:t xml:space="preserve"> </w:t>
      </w:r>
      <w:r w:rsidRPr="0025250D">
        <w:rPr>
          <w:rFonts w:hint="cs"/>
          <w:rtl/>
        </w:rPr>
        <w:t>ی</w:t>
      </w:r>
      <w:r w:rsidRPr="0025250D">
        <w:rPr>
          <w:rFonts w:hint="eastAsia"/>
          <w:rtl/>
        </w:rPr>
        <w:t>وت</w:t>
      </w:r>
      <w:r w:rsidRPr="0025250D">
        <w:rPr>
          <w:rFonts w:hint="cs"/>
          <w:rtl/>
        </w:rPr>
        <w:t>ی</w:t>
      </w:r>
      <w:r w:rsidRPr="0025250D">
        <w:rPr>
          <w:rFonts w:hint="eastAsia"/>
          <w:rtl/>
        </w:rPr>
        <w:t>وب</w:t>
      </w:r>
      <w:r w:rsidRPr="0025250D">
        <w:rPr>
          <w:rtl/>
        </w:rPr>
        <w:t xml:space="preserve"> به طور معقول</w:t>
      </w:r>
      <w:r w:rsidRPr="0025250D">
        <w:rPr>
          <w:rFonts w:hint="cs"/>
          <w:rtl/>
        </w:rPr>
        <w:t>ی</w:t>
      </w:r>
      <w:r w:rsidRPr="0025250D">
        <w:rPr>
          <w:rtl/>
        </w:rPr>
        <w:t xml:space="preserve"> </w:t>
      </w:r>
      <w:r w:rsidRPr="0025250D">
        <w:rPr>
          <w:rFonts w:hint="cs"/>
          <w:rtl/>
        </w:rPr>
        <w:t>در حال بهبود است</w:t>
      </w:r>
      <w:r w:rsidRPr="0025250D">
        <w:rPr>
          <w:rtl/>
        </w:rPr>
        <w:t>، اما هوش مصنوع</w:t>
      </w:r>
      <w:r w:rsidRPr="0025250D">
        <w:rPr>
          <w:rFonts w:hint="cs"/>
          <w:rtl/>
        </w:rPr>
        <w:t>ی</w:t>
      </w:r>
      <w:r w:rsidRPr="0025250D">
        <w:rPr>
          <w:rtl/>
        </w:rPr>
        <w:t xml:space="preserve"> آن هنوز </w:t>
      </w:r>
      <w:r w:rsidRPr="0025250D">
        <w:rPr>
          <w:rFonts w:hint="cs"/>
          <w:rtl/>
        </w:rPr>
        <w:t>نیازمند بهبود است</w:t>
      </w:r>
      <w:r w:rsidRPr="0025250D">
        <w:rPr>
          <w:rtl/>
        </w:rPr>
        <w:t xml:space="preserve"> و کنتر</w:t>
      </w:r>
      <w:r w:rsidRPr="0025250D">
        <w:rPr>
          <w:rFonts w:hint="eastAsia"/>
          <w:rtl/>
        </w:rPr>
        <w:t>ل</w:t>
      </w:r>
      <w:r w:rsidRPr="0025250D">
        <w:rPr>
          <w:rtl/>
        </w:rPr>
        <w:t xml:space="preserve"> بس</w:t>
      </w:r>
      <w:r w:rsidRPr="0025250D">
        <w:rPr>
          <w:rFonts w:hint="cs"/>
          <w:rtl/>
        </w:rPr>
        <w:t>ی</w:t>
      </w:r>
      <w:r w:rsidRPr="0025250D">
        <w:rPr>
          <w:rFonts w:hint="eastAsia"/>
          <w:rtl/>
        </w:rPr>
        <w:t>ار</w:t>
      </w:r>
      <w:r w:rsidRPr="0025250D">
        <w:rPr>
          <w:rtl/>
        </w:rPr>
        <w:t xml:space="preserve"> کم</w:t>
      </w:r>
      <w:r w:rsidRPr="0025250D">
        <w:rPr>
          <w:rFonts w:hint="cs"/>
          <w:rtl/>
        </w:rPr>
        <w:t>ی</w:t>
      </w:r>
      <w:r w:rsidRPr="0025250D">
        <w:rPr>
          <w:rtl/>
        </w:rPr>
        <w:t xml:space="preserve"> در اخت</w:t>
      </w:r>
      <w:r w:rsidRPr="0025250D">
        <w:rPr>
          <w:rFonts w:hint="cs"/>
          <w:rtl/>
        </w:rPr>
        <w:t>ی</w:t>
      </w:r>
      <w:r w:rsidRPr="0025250D">
        <w:rPr>
          <w:rFonts w:hint="eastAsia"/>
          <w:rtl/>
        </w:rPr>
        <w:t>ار</w:t>
      </w:r>
      <w:r w:rsidRPr="0025250D">
        <w:rPr>
          <w:rtl/>
        </w:rPr>
        <w:t xml:space="preserve"> کاربران قرار م</w:t>
      </w:r>
      <w:r w:rsidRPr="0025250D">
        <w:rPr>
          <w:rFonts w:hint="cs"/>
          <w:rtl/>
        </w:rPr>
        <w:t>ی</w:t>
      </w:r>
      <w:r w:rsidRPr="0025250D">
        <w:rPr>
          <w:rtl/>
        </w:rPr>
        <w:t xml:space="preserve"> دهد. جهان به </w:t>
      </w:r>
      <w:r w:rsidRPr="0025250D">
        <w:rPr>
          <w:rFonts w:hint="cs"/>
          <w:rtl/>
        </w:rPr>
        <w:t>ی</w:t>
      </w:r>
      <w:r w:rsidRPr="0025250D">
        <w:rPr>
          <w:rFonts w:hint="eastAsia"/>
          <w:rtl/>
        </w:rPr>
        <w:t>ک</w:t>
      </w:r>
      <w:r w:rsidRPr="0025250D">
        <w:rPr>
          <w:rtl/>
        </w:rPr>
        <w:t xml:space="preserve"> پلتفرم </w:t>
      </w:r>
      <w:r w:rsidRPr="0025250D">
        <w:rPr>
          <w:rFonts w:hint="cs"/>
          <w:rtl/>
        </w:rPr>
        <w:t>ی</w:t>
      </w:r>
      <w:r w:rsidRPr="0025250D">
        <w:rPr>
          <w:rFonts w:hint="eastAsia"/>
          <w:rtl/>
        </w:rPr>
        <w:t>ادگ</w:t>
      </w:r>
      <w:r w:rsidRPr="0025250D">
        <w:rPr>
          <w:rFonts w:hint="cs"/>
          <w:rtl/>
        </w:rPr>
        <w:t>ی</w:t>
      </w:r>
      <w:r w:rsidRPr="0025250D">
        <w:rPr>
          <w:rFonts w:hint="eastAsia"/>
          <w:rtl/>
        </w:rPr>
        <w:t>ر</w:t>
      </w:r>
      <w:r w:rsidRPr="0025250D">
        <w:rPr>
          <w:rFonts w:hint="cs"/>
          <w:rtl/>
        </w:rPr>
        <w:t>ی</w:t>
      </w:r>
      <w:r w:rsidRPr="0025250D">
        <w:rPr>
          <w:rtl/>
        </w:rPr>
        <w:t xml:space="preserve"> و</w:t>
      </w:r>
      <w:r w:rsidRPr="0025250D">
        <w:rPr>
          <w:rFonts w:hint="cs"/>
          <w:rtl/>
        </w:rPr>
        <w:t>ی</w:t>
      </w:r>
      <w:r w:rsidRPr="0025250D">
        <w:rPr>
          <w:rFonts w:hint="eastAsia"/>
          <w:rtl/>
        </w:rPr>
        <w:t>د</w:t>
      </w:r>
      <w:r w:rsidRPr="0025250D">
        <w:rPr>
          <w:rFonts w:hint="cs"/>
          <w:rtl/>
        </w:rPr>
        <w:t>ی</w:t>
      </w:r>
      <w:r w:rsidRPr="0025250D">
        <w:rPr>
          <w:rFonts w:hint="eastAsia"/>
          <w:rtl/>
        </w:rPr>
        <w:t>و</w:t>
      </w:r>
      <w:r w:rsidRPr="0025250D">
        <w:rPr>
          <w:rFonts w:hint="cs"/>
          <w:rtl/>
        </w:rPr>
        <w:t>یی</w:t>
      </w:r>
      <w:r w:rsidRPr="0025250D">
        <w:rPr>
          <w:rtl/>
        </w:rPr>
        <w:t xml:space="preserve"> غالب بهتر ن</w:t>
      </w:r>
      <w:r w:rsidRPr="0025250D">
        <w:rPr>
          <w:rFonts w:hint="cs"/>
          <w:rtl/>
        </w:rPr>
        <w:t>ی</w:t>
      </w:r>
      <w:r w:rsidRPr="0025250D">
        <w:rPr>
          <w:rFonts w:hint="eastAsia"/>
          <w:rtl/>
        </w:rPr>
        <w:t>از</w:t>
      </w:r>
      <w:r w:rsidRPr="0025250D">
        <w:rPr>
          <w:rtl/>
        </w:rPr>
        <w:t xml:space="preserve"> دارد.</w:t>
      </w:r>
    </w:p>
    <w:p w14:paraId="6952F658" w14:textId="606009B4" w:rsidR="00A6676A" w:rsidRPr="0025250D" w:rsidRDefault="00A6676A" w:rsidP="00A6676A">
      <w:pPr>
        <w:rPr>
          <w:rtl/>
        </w:rPr>
      </w:pPr>
      <w:r w:rsidRPr="0025250D">
        <w:rPr>
          <w:rtl/>
        </w:rPr>
        <w:t>برا</w:t>
      </w:r>
      <w:r w:rsidRPr="0025250D">
        <w:rPr>
          <w:rFonts w:hint="cs"/>
          <w:rtl/>
        </w:rPr>
        <w:t>ی</w:t>
      </w:r>
      <w:r w:rsidRPr="0025250D">
        <w:rPr>
          <w:rtl/>
        </w:rPr>
        <w:t xml:space="preserve"> </w:t>
      </w:r>
      <w:r w:rsidRPr="0025250D">
        <w:rPr>
          <w:rFonts w:hint="cs"/>
          <w:rtl/>
        </w:rPr>
        <w:t>کتاب های صوتی</w:t>
      </w:r>
      <w:r w:rsidRPr="0025250D">
        <w:rPr>
          <w:rtl/>
        </w:rPr>
        <w:t>،</w:t>
      </w:r>
      <w:r w:rsidRPr="0025250D">
        <w:rPr>
          <w:rFonts w:hint="cs"/>
          <w:rtl/>
        </w:rPr>
        <w:t xml:space="preserve"> آدیبل</w:t>
      </w:r>
      <w:r w:rsidRPr="0025250D">
        <w:rPr>
          <w:rStyle w:val="FootnoteReference"/>
          <w:rtl/>
        </w:rPr>
        <w:footnoteReference w:id="3575"/>
      </w:r>
      <w:r w:rsidRPr="0025250D">
        <w:rPr>
          <w:rtl/>
        </w:rPr>
        <w:t xml:space="preserve"> آمازون</w:t>
      </w:r>
      <w:r w:rsidR="008D6F97" w:rsidRPr="0025250D">
        <w:rPr>
          <w:rtl/>
        </w:rPr>
        <w:t xml:space="preserve"> </w:t>
      </w:r>
      <w:r w:rsidRPr="0025250D">
        <w:rPr>
          <w:rtl/>
        </w:rPr>
        <w:t>و برا</w:t>
      </w:r>
      <w:r w:rsidRPr="0025250D">
        <w:rPr>
          <w:rFonts w:hint="cs"/>
          <w:rtl/>
        </w:rPr>
        <w:t>ی</w:t>
      </w:r>
      <w:r w:rsidRPr="0025250D">
        <w:rPr>
          <w:rtl/>
        </w:rPr>
        <w:t xml:space="preserve"> پادکست‌ها، </w:t>
      </w:r>
      <w:r w:rsidRPr="0025250D">
        <w:rPr>
          <w:rFonts w:hint="cs"/>
          <w:rtl/>
        </w:rPr>
        <w:t>اسپاتیفای</w:t>
      </w:r>
      <w:r w:rsidRPr="0025250D">
        <w:rPr>
          <w:rStyle w:val="FootnoteReference"/>
          <w:rtl/>
        </w:rPr>
        <w:footnoteReference w:id="3576"/>
      </w:r>
      <w:r w:rsidRPr="0025250D">
        <w:rPr>
          <w:rtl/>
        </w:rPr>
        <w:t xml:space="preserve"> (پلتفرم مورد علاقه امروز ما، به دل</w:t>
      </w:r>
      <w:r w:rsidRPr="0025250D">
        <w:rPr>
          <w:rFonts w:hint="cs"/>
          <w:rtl/>
        </w:rPr>
        <w:t>ی</w:t>
      </w:r>
      <w:r w:rsidRPr="0025250D">
        <w:rPr>
          <w:rFonts w:hint="eastAsia"/>
          <w:rtl/>
        </w:rPr>
        <w:t>ل</w:t>
      </w:r>
      <w:r w:rsidRPr="0025250D">
        <w:rPr>
          <w:rtl/>
        </w:rPr>
        <w:t xml:space="preserve"> هوش مصنوع</w:t>
      </w:r>
      <w:r w:rsidRPr="0025250D">
        <w:rPr>
          <w:rFonts w:hint="cs"/>
          <w:rtl/>
        </w:rPr>
        <w:t>ی</w:t>
      </w:r>
      <w:r w:rsidRPr="0025250D">
        <w:rPr>
          <w:rtl/>
        </w:rPr>
        <w:t xml:space="preserve"> برتر و تعهد مال</w:t>
      </w:r>
      <w:r w:rsidRPr="0025250D">
        <w:rPr>
          <w:rFonts w:hint="cs"/>
          <w:rtl/>
        </w:rPr>
        <w:t>ی</w:t>
      </w:r>
      <w:r w:rsidRPr="0025250D">
        <w:rPr>
          <w:rtl/>
        </w:rPr>
        <w:t xml:space="preserve"> پ</w:t>
      </w:r>
      <w:r w:rsidRPr="0025250D">
        <w:rPr>
          <w:rFonts w:hint="cs"/>
          <w:rtl/>
        </w:rPr>
        <w:t>ی</w:t>
      </w:r>
      <w:r w:rsidRPr="0025250D">
        <w:rPr>
          <w:rFonts w:hint="eastAsia"/>
          <w:rtl/>
        </w:rPr>
        <w:t>شرو</w:t>
      </w:r>
      <w:r w:rsidRPr="0025250D">
        <w:rPr>
          <w:rtl/>
        </w:rPr>
        <w:t xml:space="preserve"> آن‌ها به محتوا</w:t>
      </w:r>
      <w:r w:rsidRPr="0025250D">
        <w:rPr>
          <w:rFonts w:hint="cs"/>
          <w:rtl/>
        </w:rPr>
        <w:t>ی</w:t>
      </w:r>
      <w:r w:rsidRPr="0025250D">
        <w:rPr>
          <w:rtl/>
        </w:rPr>
        <w:t xml:space="preserve"> پادکست، </w:t>
      </w:r>
      <w:r w:rsidRPr="0025250D">
        <w:rPr>
          <w:rFonts w:hint="cs"/>
          <w:rtl/>
        </w:rPr>
        <w:t>ی</w:t>
      </w:r>
      <w:r w:rsidRPr="0025250D">
        <w:rPr>
          <w:rFonts w:hint="eastAsia"/>
          <w:rtl/>
        </w:rPr>
        <w:t>ک</w:t>
      </w:r>
      <w:r w:rsidRPr="0025250D">
        <w:rPr>
          <w:rtl/>
        </w:rPr>
        <w:t xml:space="preserve"> فرم عال</w:t>
      </w:r>
      <w:r w:rsidRPr="0025250D">
        <w:rPr>
          <w:rFonts w:hint="cs"/>
          <w:rtl/>
        </w:rPr>
        <w:t>ی</w:t>
      </w:r>
      <w:r w:rsidRPr="0025250D">
        <w:rPr>
          <w:rtl/>
        </w:rPr>
        <w:t xml:space="preserve"> صوت</w:t>
      </w:r>
      <w:r w:rsidRPr="0025250D">
        <w:rPr>
          <w:rFonts w:hint="cs"/>
          <w:rtl/>
        </w:rPr>
        <w:t>ی</w:t>
      </w:r>
      <w:r w:rsidRPr="0025250D">
        <w:rPr>
          <w:rtl/>
        </w:rPr>
        <w:t xml:space="preserve"> خاص)، </w:t>
      </w:r>
      <w:r w:rsidRPr="0025250D">
        <w:rPr>
          <w:rFonts w:hint="cs"/>
          <w:rtl/>
        </w:rPr>
        <w:t>آی تونز</w:t>
      </w:r>
      <w:r w:rsidRPr="0025250D">
        <w:rPr>
          <w:rStyle w:val="FootnoteReference"/>
          <w:rtl/>
        </w:rPr>
        <w:footnoteReference w:id="3577"/>
      </w:r>
      <w:r w:rsidRPr="0025250D">
        <w:rPr>
          <w:rtl/>
        </w:rPr>
        <w:t xml:space="preserve"> و سا</w:t>
      </w:r>
      <w:r w:rsidRPr="0025250D">
        <w:rPr>
          <w:rFonts w:hint="cs"/>
          <w:rtl/>
        </w:rPr>
        <w:t>ی</w:t>
      </w:r>
      <w:r w:rsidRPr="0025250D">
        <w:rPr>
          <w:rFonts w:hint="eastAsia"/>
          <w:rtl/>
        </w:rPr>
        <w:t>ر</w:t>
      </w:r>
      <w:r w:rsidRPr="0025250D">
        <w:rPr>
          <w:rtl/>
        </w:rPr>
        <w:t xml:space="preserve"> پلتفرم‌ها را امتحان کن</w:t>
      </w:r>
      <w:r w:rsidRPr="0025250D">
        <w:rPr>
          <w:rFonts w:hint="cs"/>
          <w:rtl/>
        </w:rPr>
        <w:t>ی</w:t>
      </w:r>
      <w:r w:rsidRPr="0025250D">
        <w:rPr>
          <w:rFonts w:hint="eastAsia"/>
          <w:rtl/>
        </w:rPr>
        <w:t>د</w:t>
      </w:r>
      <w:r w:rsidRPr="0025250D">
        <w:rPr>
          <w:rtl/>
        </w:rPr>
        <w:t>.</w:t>
      </w:r>
      <w:r w:rsidR="00824185" w:rsidRPr="0025250D">
        <w:rPr>
          <w:rFonts w:hint="cs"/>
          <w:rtl/>
        </w:rPr>
        <w:t xml:space="preserve"> </w:t>
      </w:r>
      <w:r w:rsidR="00824185" w:rsidRPr="0025250D">
        <w:rPr>
          <w:rtl/>
        </w:rPr>
        <w:t>پادکست ها</w:t>
      </w:r>
      <w:r w:rsidR="00824185" w:rsidRPr="0025250D">
        <w:rPr>
          <w:rFonts w:hint="cs"/>
          <w:rtl/>
        </w:rPr>
        <w:t>ی</w:t>
      </w:r>
      <w:r w:rsidR="00824185" w:rsidRPr="0025250D">
        <w:rPr>
          <w:rtl/>
        </w:rPr>
        <w:t xml:space="preserve"> جد</w:t>
      </w:r>
      <w:r w:rsidR="00824185" w:rsidRPr="0025250D">
        <w:rPr>
          <w:rFonts w:hint="cs"/>
          <w:rtl/>
        </w:rPr>
        <w:t>ی</w:t>
      </w:r>
      <w:r w:rsidR="00824185" w:rsidRPr="0025250D">
        <w:rPr>
          <w:rFonts w:hint="eastAsia"/>
          <w:rtl/>
        </w:rPr>
        <w:t>د</w:t>
      </w:r>
      <w:r w:rsidR="00824185" w:rsidRPr="0025250D">
        <w:rPr>
          <w:rFonts w:hint="cs"/>
          <w:rtl/>
        </w:rPr>
        <w:t>ی</w:t>
      </w:r>
      <w:r w:rsidR="00824185" w:rsidRPr="0025250D">
        <w:rPr>
          <w:rtl/>
        </w:rPr>
        <w:t xml:space="preserve"> هر روز در حال ظهور هستند، ز</w:t>
      </w:r>
      <w:r w:rsidR="00824185" w:rsidRPr="0025250D">
        <w:rPr>
          <w:rFonts w:hint="cs"/>
          <w:rtl/>
        </w:rPr>
        <w:t>ی</w:t>
      </w:r>
      <w:r w:rsidR="00824185" w:rsidRPr="0025250D">
        <w:rPr>
          <w:rFonts w:hint="eastAsia"/>
          <w:rtl/>
        </w:rPr>
        <w:t>را</w:t>
      </w:r>
      <w:r w:rsidR="00824185" w:rsidRPr="0025250D">
        <w:rPr>
          <w:rtl/>
        </w:rPr>
        <w:t xml:space="preserve"> شروع آن ها بس</w:t>
      </w:r>
      <w:r w:rsidR="00824185" w:rsidRPr="0025250D">
        <w:rPr>
          <w:rFonts w:hint="cs"/>
          <w:rtl/>
        </w:rPr>
        <w:t>ی</w:t>
      </w:r>
      <w:r w:rsidR="00824185" w:rsidRPr="0025250D">
        <w:rPr>
          <w:rFonts w:hint="eastAsia"/>
          <w:rtl/>
        </w:rPr>
        <w:t>ار</w:t>
      </w:r>
      <w:r w:rsidR="00824185" w:rsidRPr="0025250D">
        <w:rPr>
          <w:rtl/>
        </w:rPr>
        <w:t xml:space="preserve"> آسان است و پادکست ها</w:t>
      </w:r>
      <w:r w:rsidR="00824185" w:rsidRPr="0025250D">
        <w:rPr>
          <w:rFonts w:hint="cs"/>
          <w:rtl/>
        </w:rPr>
        <w:t>ی</w:t>
      </w:r>
      <w:r w:rsidR="00824185" w:rsidRPr="0025250D">
        <w:rPr>
          <w:rtl/>
        </w:rPr>
        <w:t xml:space="preserve"> محبوب تر به سرعت صدها هزار شنونده را جذب م</w:t>
      </w:r>
      <w:r w:rsidR="00824185" w:rsidRPr="0025250D">
        <w:rPr>
          <w:rFonts w:hint="cs"/>
          <w:rtl/>
        </w:rPr>
        <w:t>ی</w:t>
      </w:r>
      <w:r w:rsidR="00824185" w:rsidRPr="0025250D">
        <w:rPr>
          <w:rtl/>
        </w:rPr>
        <w:t xml:space="preserve"> کنند. </w:t>
      </w:r>
      <w:r w:rsidR="00824185" w:rsidRPr="0025250D">
        <w:rPr>
          <w:rFonts w:hint="cs"/>
          <w:rtl/>
        </w:rPr>
        <w:t xml:space="preserve">عبارت </w:t>
      </w:r>
      <w:r w:rsidR="00824185" w:rsidRPr="0025250D">
        <w:rPr>
          <w:rtl/>
        </w:rPr>
        <w:t>«آ</w:t>
      </w:r>
      <w:r w:rsidR="00824185" w:rsidRPr="0025250D">
        <w:rPr>
          <w:rFonts w:hint="cs"/>
          <w:rtl/>
        </w:rPr>
        <w:t>ی</w:t>
      </w:r>
      <w:r w:rsidR="00824185" w:rsidRPr="0025250D">
        <w:rPr>
          <w:rFonts w:hint="eastAsia"/>
          <w:rtl/>
        </w:rPr>
        <w:t>نده»</w:t>
      </w:r>
      <w:r w:rsidR="00824185" w:rsidRPr="0025250D">
        <w:rPr>
          <w:rtl/>
        </w:rPr>
        <w:t xml:space="preserve"> را جست‌وجو کن</w:t>
      </w:r>
      <w:r w:rsidR="00824185" w:rsidRPr="0025250D">
        <w:rPr>
          <w:rFonts w:hint="cs"/>
          <w:rtl/>
        </w:rPr>
        <w:t>ی</w:t>
      </w:r>
      <w:r w:rsidR="00824185" w:rsidRPr="0025250D">
        <w:rPr>
          <w:rFonts w:hint="eastAsia"/>
          <w:rtl/>
        </w:rPr>
        <w:t>د</w:t>
      </w:r>
      <w:r w:rsidR="00824185" w:rsidRPr="0025250D">
        <w:rPr>
          <w:rtl/>
        </w:rPr>
        <w:t xml:space="preserve"> و ده‌ها مجموعه پادکست در مورد آ</w:t>
      </w:r>
      <w:r w:rsidR="00824185" w:rsidRPr="0025250D">
        <w:rPr>
          <w:rFonts w:hint="cs"/>
          <w:rtl/>
        </w:rPr>
        <w:t>ی</w:t>
      </w:r>
      <w:r w:rsidR="00824185" w:rsidRPr="0025250D">
        <w:rPr>
          <w:rFonts w:hint="eastAsia"/>
          <w:rtl/>
        </w:rPr>
        <w:t>نده</w:t>
      </w:r>
      <w:r w:rsidR="00824185" w:rsidRPr="0025250D">
        <w:rPr>
          <w:rtl/>
        </w:rPr>
        <w:t xml:space="preserve"> بانکدار</w:t>
      </w:r>
      <w:r w:rsidR="00824185" w:rsidRPr="0025250D">
        <w:rPr>
          <w:rFonts w:hint="cs"/>
          <w:rtl/>
        </w:rPr>
        <w:t>ی</w:t>
      </w:r>
      <w:r w:rsidR="00824185" w:rsidRPr="0025250D">
        <w:rPr>
          <w:rFonts w:hint="eastAsia"/>
          <w:rtl/>
        </w:rPr>
        <w:t>،</w:t>
      </w:r>
      <w:r w:rsidR="00824185" w:rsidRPr="0025250D">
        <w:rPr>
          <w:rtl/>
        </w:rPr>
        <w:t xml:space="preserve"> تول</w:t>
      </w:r>
      <w:r w:rsidR="00824185" w:rsidRPr="0025250D">
        <w:rPr>
          <w:rFonts w:hint="cs"/>
          <w:rtl/>
        </w:rPr>
        <w:t>ی</w:t>
      </w:r>
      <w:r w:rsidR="00824185" w:rsidRPr="0025250D">
        <w:rPr>
          <w:rFonts w:hint="eastAsia"/>
          <w:rtl/>
        </w:rPr>
        <w:t>د،</w:t>
      </w:r>
      <w:r w:rsidR="00824185" w:rsidRPr="0025250D">
        <w:rPr>
          <w:rtl/>
        </w:rPr>
        <w:t xml:space="preserve"> کشاورز</w:t>
      </w:r>
      <w:r w:rsidR="00824185" w:rsidRPr="0025250D">
        <w:rPr>
          <w:rFonts w:hint="cs"/>
          <w:rtl/>
        </w:rPr>
        <w:t>ی</w:t>
      </w:r>
      <w:r w:rsidR="00824185" w:rsidRPr="0025250D">
        <w:rPr>
          <w:rFonts w:hint="eastAsia"/>
          <w:rtl/>
        </w:rPr>
        <w:t>،</w:t>
      </w:r>
      <w:r w:rsidR="00824185" w:rsidRPr="0025250D">
        <w:rPr>
          <w:rtl/>
        </w:rPr>
        <w:t xml:space="preserve"> پا</w:t>
      </w:r>
      <w:r w:rsidR="00824185" w:rsidRPr="0025250D">
        <w:rPr>
          <w:rFonts w:hint="cs"/>
          <w:rtl/>
        </w:rPr>
        <w:t>ی</w:t>
      </w:r>
      <w:r w:rsidR="00824185" w:rsidRPr="0025250D">
        <w:rPr>
          <w:rFonts w:hint="eastAsia"/>
          <w:rtl/>
        </w:rPr>
        <w:t>دار</w:t>
      </w:r>
      <w:r w:rsidR="00824185" w:rsidRPr="0025250D">
        <w:rPr>
          <w:rFonts w:hint="cs"/>
          <w:rtl/>
        </w:rPr>
        <w:t>ی</w:t>
      </w:r>
      <w:r w:rsidR="00824185" w:rsidRPr="0025250D">
        <w:rPr>
          <w:rFonts w:hint="eastAsia"/>
          <w:rtl/>
        </w:rPr>
        <w:t>،</w:t>
      </w:r>
      <w:r w:rsidR="00824185" w:rsidRPr="0025250D">
        <w:rPr>
          <w:rtl/>
        </w:rPr>
        <w:t xml:space="preserve"> استخدام، تبل</w:t>
      </w:r>
      <w:r w:rsidR="00824185" w:rsidRPr="0025250D">
        <w:rPr>
          <w:rFonts w:hint="cs"/>
          <w:rtl/>
        </w:rPr>
        <w:t>ی</w:t>
      </w:r>
      <w:r w:rsidR="00824185" w:rsidRPr="0025250D">
        <w:rPr>
          <w:rFonts w:hint="eastAsia"/>
          <w:rtl/>
        </w:rPr>
        <w:t>غات</w:t>
      </w:r>
      <w:r w:rsidR="00824185" w:rsidRPr="0025250D">
        <w:rPr>
          <w:rtl/>
        </w:rPr>
        <w:t xml:space="preserve"> پ</w:t>
      </w:r>
      <w:r w:rsidR="00824185" w:rsidRPr="0025250D">
        <w:rPr>
          <w:rFonts w:hint="cs"/>
          <w:rtl/>
        </w:rPr>
        <w:t>ی</w:t>
      </w:r>
      <w:r w:rsidR="00824185" w:rsidRPr="0025250D">
        <w:rPr>
          <w:rFonts w:hint="eastAsia"/>
          <w:rtl/>
        </w:rPr>
        <w:t>دا</w:t>
      </w:r>
      <w:r w:rsidR="00824185" w:rsidRPr="0025250D">
        <w:rPr>
          <w:rtl/>
        </w:rPr>
        <w:t xml:space="preserve"> خوا</w:t>
      </w:r>
      <w:r w:rsidR="00824185" w:rsidRPr="0025250D">
        <w:rPr>
          <w:rFonts w:hint="eastAsia"/>
          <w:rtl/>
        </w:rPr>
        <w:t>ه</w:t>
      </w:r>
      <w:r w:rsidR="00824185" w:rsidRPr="0025250D">
        <w:rPr>
          <w:rFonts w:hint="cs"/>
          <w:rtl/>
        </w:rPr>
        <w:t>ی</w:t>
      </w:r>
      <w:r w:rsidR="00824185" w:rsidRPr="0025250D">
        <w:rPr>
          <w:rFonts w:hint="eastAsia"/>
          <w:rtl/>
        </w:rPr>
        <w:t>د</w:t>
      </w:r>
      <w:r w:rsidR="00824185" w:rsidRPr="0025250D">
        <w:rPr>
          <w:rtl/>
        </w:rPr>
        <w:t xml:space="preserve"> کرد. ک</w:t>
      </w:r>
      <w:r w:rsidR="00824185" w:rsidRPr="0025250D">
        <w:rPr>
          <w:rFonts w:hint="cs"/>
          <w:rtl/>
        </w:rPr>
        <w:t>ی</w:t>
      </w:r>
      <w:r w:rsidR="00824185" w:rsidRPr="0025250D">
        <w:rPr>
          <w:rFonts w:hint="eastAsia"/>
          <w:rtl/>
        </w:rPr>
        <w:t>ف</w:t>
      </w:r>
      <w:r w:rsidR="00824185" w:rsidRPr="0025250D">
        <w:rPr>
          <w:rFonts w:hint="cs"/>
          <w:rtl/>
        </w:rPr>
        <w:t>ی</w:t>
      </w:r>
      <w:r w:rsidR="00824185" w:rsidRPr="0025250D">
        <w:rPr>
          <w:rFonts w:hint="eastAsia"/>
          <w:rtl/>
        </w:rPr>
        <w:t>ت</w:t>
      </w:r>
      <w:r w:rsidR="00824185" w:rsidRPr="0025250D">
        <w:rPr>
          <w:rtl/>
        </w:rPr>
        <w:t xml:space="preserve"> آنها بس</w:t>
      </w:r>
      <w:r w:rsidR="00824185" w:rsidRPr="0025250D">
        <w:rPr>
          <w:rFonts w:hint="cs"/>
          <w:rtl/>
        </w:rPr>
        <w:t>ی</w:t>
      </w:r>
      <w:r w:rsidR="00824185" w:rsidRPr="0025250D">
        <w:rPr>
          <w:rFonts w:hint="eastAsia"/>
          <w:rtl/>
        </w:rPr>
        <w:t>ار</w:t>
      </w:r>
      <w:r w:rsidR="00824185" w:rsidRPr="0025250D">
        <w:rPr>
          <w:rtl/>
        </w:rPr>
        <w:t xml:space="preserve"> متفاوت است.</w:t>
      </w:r>
    </w:p>
    <w:p w14:paraId="08297CCE" w14:textId="20F270D3" w:rsidR="00824185" w:rsidRPr="0025250D" w:rsidRDefault="00824185" w:rsidP="00A6676A">
      <w:r w:rsidRPr="0025250D">
        <w:rPr>
          <w:rtl/>
        </w:rPr>
        <w:t>اجازه ده</w:t>
      </w:r>
      <w:r w:rsidRPr="0025250D">
        <w:rPr>
          <w:rFonts w:hint="cs"/>
          <w:rtl/>
        </w:rPr>
        <w:t>ی</w:t>
      </w:r>
      <w:r w:rsidRPr="0025250D">
        <w:rPr>
          <w:rFonts w:hint="eastAsia"/>
          <w:rtl/>
        </w:rPr>
        <w:t>د</w:t>
      </w:r>
      <w:r w:rsidRPr="0025250D">
        <w:rPr>
          <w:rtl/>
        </w:rPr>
        <w:t xml:space="preserve"> چند پادکست جالب را برا</w:t>
      </w:r>
      <w:r w:rsidRPr="0025250D">
        <w:rPr>
          <w:rFonts w:hint="cs"/>
          <w:rtl/>
        </w:rPr>
        <w:t>ی</w:t>
      </w:r>
      <w:r w:rsidRPr="0025250D">
        <w:rPr>
          <w:rtl/>
        </w:rPr>
        <w:t xml:space="preserve"> شروع توص</w:t>
      </w:r>
      <w:r w:rsidRPr="0025250D">
        <w:rPr>
          <w:rFonts w:hint="cs"/>
          <w:rtl/>
        </w:rPr>
        <w:t>ی</w:t>
      </w:r>
      <w:r w:rsidRPr="0025250D">
        <w:rPr>
          <w:rFonts w:hint="eastAsia"/>
          <w:rtl/>
        </w:rPr>
        <w:t>ه</w:t>
      </w:r>
      <w:r w:rsidRPr="0025250D">
        <w:rPr>
          <w:rtl/>
        </w:rPr>
        <w:t xml:space="preserve"> کن</w:t>
      </w:r>
      <w:r w:rsidRPr="0025250D">
        <w:rPr>
          <w:rFonts w:hint="cs"/>
          <w:rtl/>
        </w:rPr>
        <w:t>ی</w:t>
      </w:r>
      <w:r w:rsidRPr="0025250D">
        <w:rPr>
          <w:rFonts w:hint="eastAsia"/>
          <w:rtl/>
        </w:rPr>
        <w:t>م</w:t>
      </w:r>
    </w:p>
    <w:tbl>
      <w:tblPr>
        <w:tblStyle w:val="TableGrid"/>
        <w:bidiVisual/>
        <w:tblW w:w="0" w:type="auto"/>
        <w:tblLook w:val="04A0" w:firstRow="1" w:lastRow="0" w:firstColumn="1" w:lastColumn="0" w:noHBand="0" w:noVBand="1"/>
      </w:tblPr>
      <w:tblGrid>
        <w:gridCol w:w="4508"/>
        <w:gridCol w:w="4508"/>
      </w:tblGrid>
      <w:tr w:rsidR="00824185" w:rsidRPr="0025250D" w14:paraId="2CB574CE" w14:textId="77777777" w:rsidTr="00824185">
        <w:tc>
          <w:tcPr>
            <w:tcW w:w="4508" w:type="dxa"/>
            <w:vAlign w:val="center"/>
          </w:tcPr>
          <w:p w14:paraId="19C96E25" w14:textId="43A4B118" w:rsidR="00824185" w:rsidRPr="0025250D" w:rsidRDefault="00824185" w:rsidP="00824185">
            <w:pPr>
              <w:jc w:val="center"/>
              <w:rPr>
                <w:rtl/>
              </w:rPr>
            </w:pPr>
            <w:r w:rsidRPr="0025250D">
              <w:rPr>
                <w:rFonts w:hint="cs"/>
                <w:rtl/>
              </w:rPr>
              <w:t>مجری</w:t>
            </w:r>
          </w:p>
        </w:tc>
        <w:tc>
          <w:tcPr>
            <w:tcW w:w="4508" w:type="dxa"/>
            <w:vAlign w:val="center"/>
          </w:tcPr>
          <w:p w14:paraId="5F93306B" w14:textId="1F31420A" w:rsidR="00824185" w:rsidRPr="0025250D" w:rsidRDefault="00824185" w:rsidP="00824185">
            <w:pPr>
              <w:jc w:val="center"/>
            </w:pPr>
            <w:r w:rsidRPr="0025250D">
              <w:rPr>
                <w:rFonts w:hint="cs"/>
                <w:rtl/>
              </w:rPr>
              <w:t>پادکست</w:t>
            </w:r>
          </w:p>
        </w:tc>
      </w:tr>
      <w:tr w:rsidR="00537CC8" w:rsidRPr="0025250D" w14:paraId="0B02B781" w14:textId="77777777" w:rsidTr="00824185">
        <w:tc>
          <w:tcPr>
            <w:tcW w:w="4508" w:type="dxa"/>
            <w:vAlign w:val="center"/>
          </w:tcPr>
          <w:p w14:paraId="0225C498" w14:textId="77777777" w:rsidR="00537CC8" w:rsidRPr="0025250D" w:rsidRDefault="00537CC8" w:rsidP="00824185">
            <w:pPr>
              <w:bidi/>
              <w:spacing w:after="160"/>
              <w:jc w:val="center"/>
              <w:rPr>
                <w:rtl/>
              </w:rPr>
            </w:pPr>
            <w:r w:rsidRPr="0025250D">
              <w:rPr>
                <w:rtl/>
              </w:rPr>
              <w:t>بن گ</w:t>
            </w:r>
            <w:r w:rsidRPr="0025250D">
              <w:rPr>
                <w:rFonts w:hint="cs"/>
                <w:rtl/>
              </w:rPr>
              <w:t>ی</w:t>
            </w:r>
            <w:r w:rsidRPr="0025250D">
              <w:rPr>
                <w:rFonts w:hint="eastAsia"/>
                <w:rtl/>
              </w:rPr>
              <w:t>لبرت</w:t>
            </w:r>
            <w:r w:rsidRPr="0025250D">
              <w:rPr>
                <w:rtl/>
              </w:rPr>
              <w:t xml:space="preserve"> و د</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rtl/>
              </w:rPr>
              <w:t xml:space="preserve"> روزنتال</w:t>
            </w:r>
            <w:r w:rsidRPr="0025250D">
              <w:rPr>
                <w:vertAlign w:val="superscript"/>
                <w:rtl/>
              </w:rPr>
              <w:footnoteReference w:id="3578"/>
            </w:r>
          </w:p>
        </w:tc>
        <w:tc>
          <w:tcPr>
            <w:tcW w:w="4508" w:type="dxa"/>
            <w:vAlign w:val="center"/>
          </w:tcPr>
          <w:p w14:paraId="7DF3BF66" w14:textId="77777777" w:rsidR="00537CC8" w:rsidRPr="0025250D" w:rsidRDefault="00537CC8" w:rsidP="00824185">
            <w:pPr>
              <w:bidi/>
              <w:spacing w:after="160"/>
              <w:jc w:val="center"/>
              <w:rPr>
                <w:rtl/>
              </w:rPr>
            </w:pPr>
            <w:r w:rsidRPr="0025250D">
              <w:t>Acquired</w:t>
            </w:r>
          </w:p>
        </w:tc>
      </w:tr>
      <w:tr w:rsidR="00537CC8" w:rsidRPr="0025250D" w14:paraId="635C23BD" w14:textId="77777777" w:rsidTr="00824185">
        <w:tc>
          <w:tcPr>
            <w:tcW w:w="4508" w:type="dxa"/>
            <w:vAlign w:val="center"/>
          </w:tcPr>
          <w:p w14:paraId="02467542" w14:textId="77777777" w:rsidR="00537CC8" w:rsidRPr="0025250D" w:rsidRDefault="00537CC8" w:rsidP="00824185">
            <w:pPr>
              <w:bidi/>
              <w:spacing w:after="160"/>
              <w:jc w:val="center"/>
              <w:rPr>
                <w:rtl/>
              </w:rPr>
            </w:pPr>
            <w:r w:rsidRPr="0025250D">
              <w:rPr>
                <w:rFonts w:hint="cs"/>
                <w:rtl/>
              </w:rPr>
              <w:t xml:space="preserve">چامات پالیهاپتیا، </w:t>
            </w:r>
            <w:r w:rsidRPr="0025250D">
              <w:rPr>
                <w:rtl/>
              </w:rPr>
              <w:t>ج</w:t>
            </w:r>
            <w:r w:rsidRPr="0025250D">
              <w:rPr>
                <w:rFonts w:hint="cs"/>
                <w:rtl/>
              </w:rPr>
              <w:t>ی</w:t>
            </w:r>
            <w:r w:rsidRPr="0025250D">
              <w:rPr>
                <w:rFonts w:hint="eastAsia"/>
                <w:rtl/>
              </w:rPr>
              <w:t>سون</w:t>
            </w:r>
            <w:r w:rsidRPr="0025250D">
              <w:rPr>
                <w:rtl/>
              </w:rPr>
              <w:t xml:space="preserve"> کالاکان</w:t>
            </w:r>
            <w:r w:rsidRPr="0025250D">
              <w:rPr>
                <w:rFonts w:hint="cs"/>
                <w:rtl/>
              </w:rPr>
              <w:t>ی</w:t>
            </w:r>
            <w:r w:rsidRPr="0025250D">
              <w:rPr>
                <w:rFonts w:hint="eastAsia"/>
                <w:rtl/>
              </w:rPr>
              <w:t>س،</w:t>
            </w:r>
            <w:r w:rsidRPr="0025250D">
              <w:rPr>
                <w:rtl/>
              </w:rPr>
              <w:t xml:space="preserve"> د</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rtl/>
              </w:rPr>
              <w:t xml:space="preserve"> ساکس و د</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rtl/>
              </w:rPr>
              <w:t xml:space="preserve"> فر</w:t>
            </w:r>
            <w:r w:rsidRPr="0025250D">
              <w:rPr>
                <w:rFonts w:hint="cs"/>
                <w:rtl/>
              </w:rPr>
              <w:t>ی</w:t>
            </w:r>
            <w:r w:rsidRPr="0025250D">
              <w:rPr>
                <w:rFonts w:hint="eastAsia"/>
                <w:rtl/>
              </w:rPr>
              <w:t>دبرگ</w:t>
            </w:r>
            <w:r w:rsidRPr="0025250D">
              <w:rPr>
                <w:vertAlign w:val="superscript"/>
                <w:rtl/>
              </w:rPr>
              <w:footnoteReference w:id="3579"/>
            </w:r>
          </w:p>
        </w:tc>
        <w:tc>
          <w:tcPr>
            <w:tcW w:w="4508" w:type="dxa"/>
            <w:vAlign w:val="center"/>
          </w:tcPr>
          <w:p w14:paraId="640D0A97" w14:textId="77777777" w:rsidR="00537CC8" w:rsidRPr="0025250D" w:rsidRDefault="00537CC8" w:rsidP="00824185">
            <w:pPr>
              <w:bidi/>
              <w:spacing w:after="160"/>
              <w:jc w:val="center"/>
              <w:rPr>
                <w:rtl/>
              </w:rPr>
            </w:pPr>
            <w:r w:rsidRPr="0025250D">
              <w:t>All-In Podcast</w:t>
            </w:r>
          </w:p>
        </w:tc>
      </w:tr>
      <w:tr w:rsidR="00537CC8" w:rsidRPr="0025250D" w14:paraId="30914A92" w14:textId="77777777" w:rsidTr="00824185">
        <w:tc>
          <w:tcPr>
            <w:tcW w:w="4508" w:type="dxa"/>
            <w:vAlign w:val="center"/>
          </w:tcPr>
          <w:p w14:paraId="60D3F52E" w14:textId="77777777" w:rsidR="00537CC8" w:rsidRPr="0025250D" w:rsidRDefault="00537CC8" w:rsidP="00824185">
            <w:pPr>
              <w:bidi/>
              <w:spacing w:after="160"/>
              <w:jc w:val="center"/>
              <w:rPr>
                <w:rtl/>
              </w:rPr>
            </w:pPr>
            <w:r w:rsidRPr="0025250D">
              <w:rPr>
                <w:rtl/>
              </w:rPr>
              <w:t>داکس شپرد و مون</w:t>
            </w:r>
            <w:r w:rsidRPr="0025250D">
              <w:rPr>
                <w:rFonts w:hint="cs"/>
                <w:rtl/>
              </w:rPr>
              <w:t>ی</w:t>
            </w:r>
            <w:r w:rsidRPr="0025250D">
              <w:rPr>
                <w:rFonts w:hint="eastAsia"/>
                <w:rtl/>
              </w:rPr>
              <w:t>کا</w:t>
            </w:r>
            <w:r w:rsidRPr="0025250D">
              <w:rPr>
                <w:rtl/>
              </w:rPr>
              <w:t xml:space="preserve"> پدمن</w:t>
            </w:r>
            <w:r w:rsidRPr="0025250D">
              <w:rPr>
                <w:vertAlign w:val="superscript"/>
                <w:rtl/>
              </w:rPr>
              <w:footnoteReference w:id="3580"/>
            </w:r>
          </w:p>
        </w:tc>
        <w:tc>
          <w:tcPr>
            <w:tcW w:w="4508" w:type="dxa"/>
            <w:vAlign w:val="center"/>
          </w:tcPr>
          <w:p w14:paraId="3E71D8A7" w14:textId="77777777" w:rsidR="00537CC8" w:rsidRPr="0025250D" w:rsidRDefault="00537CC8" w:rsidP="00824185">
            <w:pPr>
              <w:bidi/>
              <w:spacing w:after="160"/>
              <w:jc w:val="center"/>
              <w:rPr>
                <w:rtl/>
              </w:rPr>
            </w:pPr>
            <w:r w:rsidRPr="0025250D">
              <w:t>Armchair Expert</w:t>
            </w:r>
          </w:p>
        </w:tc>
      </w:tr>
      <w:tr w:rsidR="00537CC8" w:rsidRPr="0025250D" w14:paraId="7BDD406C" w14:textId="77777777" w:rsidTr="00824185">
        <w:tc>
          <w:tcPr>
            <w:tcW w:w="4508" w:type="dxa"/>
            <w:vAlign w:val="center"/>
          </w:tcPr>
          <w:p w14:paraId="50E69CF4" w14:textId="77777777" w:rsidR="00537CC8" w:rsidRPr="0025250D" w:rsidRDefault="00537CC8" w:rsidP="00824185">
            <w:pPr>
              <w:bidi/>
              <w:spacing w:after="160"/>
              <w:jc w:val="center"/>
              <w:rPr>
                <w:rtl/>
              </w:rPr>
            </w:pPr>
            <w:r w:rsidRPr="0025250D">
              <w:rPr>
                <w:rtl/>
              </w:rPr>
              <w:t>دن</w:t>
            </w:r>
            <w:r w:rsidRPr="0025250D">
              <w:rPr>
                <w:rFonts w:hint="cs"/>
                <w:rtl/>
              </w:rPr>
              <w:t>ی</w:t>
            </w:r>
            <w:r w:rsidRPr="0025250D">
              <w:rPr>
                <w:rtl/>
              </w:rPr>
              <w:t xml:space="preserve"> فورتسون</w:t>
            </w:r>
            <w:r w:rsidRPr="0025250D">
              <w:rPr>
                <w:vertAlign w:val="superscript"/>
                <w:rtl/>
              </w:rPr>
              <w:footnoteReference w:id="3581"/>
            </w:r>
          </w:p>
        </w:tc>
        <w:tc>
          <w:tcPr>
            <w:tcW w:w="4508" w:type="dxa"/>
            <w:vAlign w:val="center"/>
          </w:tcPr>
          <w:p w14:paraId="3A201548" w14:textId="77777777" w:rsidR="00537CC8" w:rsidRPr="0025250D" w:rsidRDefault="007A207F" w:rsidP="00824185">
            <w:pPr>
              <w:bidi/>
              <w:spacing w:after="160"/>
              <w:jc w:val="center"/>
              <w:rPr>
                <w:rtl/>
              </w:rPr>
            </w:pPr>
            <w:hyperlink r:id="rId560">
              <w:r w:rsidR="00537CC8" w:rsidRPr="0025250D">
                <w:rPr>
                  <w:rStyle w:val="Hyperlink"/>
                  <w:color w:val="auto"/>
                  <w:u w:val="none"/>
                </w:rPr>
                <w:t>Danny in the Valley</w:t>
              </w:r>
            </w:hyperlink>
          </w:p>
        </w:tc>
      </w:tr>
      <w:tr w:rsidR="00537CC8" w:rsidRPr="0025250D" w14:paraId="28679029" w14:textId="77777777" w:rsidTr="00824185">
        <w:tc>
          <w:tcPr>
            <w:tcW w:w="4508" w:type="dxa"/>
            <w:vAlign w:val="center"/>
          </w:tcPr>
          <w:p w14:paraId="71FD6432" w14:textId="77777777" w:rsidR="00537CC8" w:rsidRPr="0025250D" w:rsidRDefault="00537CC8" w:rsidP="00824185">
            <w:pPr>
              <w:bidi/>
              <w:spacing w:after="160"/>
              <w:jc w:val="center"/>
              <w:rPr>
                <w:rtl/>
              </w:rPr>
            </w:pPr>
            <w:r w:rsidRPr="0025250D">
              <w:rPr>
                <w:rtl/>
              </w:rPr>
              <w:t>کال ن</w:t>
            </w:r>
            <w:r w:rsidRPr="0025250D">
              <w:rPr>
                <w:rFonts w:hint="cs"/>
                <w:rtl/>
              </w:rPr>
              <w:t>ی</w:t>
            </w:r>
            <w:r w:rsidRPr="0025250D">
              <w:rPr>
                <w:rFonts w:hint="eastAsia"/>
                <w:rtl/>
              </w:rPr>
              <w:t>وپورت</w:t>
            </w:r>
            <w:r w:rsidRPr="0025250D">
              <w:rPr>
                <w:vertAlign w:val="superscript"/>
                <w:rtl/>
              </w:rPr>
              <w:footnoteReference w:id="3582"/>
            </w:r>
          </w:p>
        </w:tc>
        <w:tc>
          <w:tcPr>
            <w:tcW w:w="4508" w:type="dxa"/>
            <w:vAlign w:val="center"/>
          </w:tcPr>
          <w:p w14:paraId="20F9C0D6" w14:textId="77777777" w:rsidR="00537CC8" w:rsidRPr="0025250D" w:rsidRDefault="007A207F" w:rsidP="00824185">
            <w:pPr>
              <w:bidi/>
              <w:spacing w:after="160"/>
              <w:jc w:val="center"/>
              <w:rPr>
                <w:rtl/>
              </w:rPr>
            </w:pPr>
            <w:hyperlink r:id="rId561">
              <w:r w:rsidR="00537CC8" w:rsidRPr="0025250D">
                <w:rPr>
                  <w:rStyle w:val="Hyperlink"/>
                  <w:color w:val="auto"/>
                  <w:u w:val="none"/>
                </w:rPr>
                <w:t>Deep Questions (Productivity and Technology)</w:t>
              </w:r>
            </w:hyperlink>
          </w:p>
        </w:tc>
      </w:tr>
      <w:tr w:rsidR="00537CC8" w:rsidRPr="0025250D" w14:paraId="4EF4534C" w14:textId="77777777" w:rsidTr="00824185">
        <w:tc>
          <w:tcPr>
            <w:tcW w:w="4508" w:type="dxa"/>
            <w:vAlign w:val="center"/>
          </w:tcPr>
          <w:p w14:paraId="28123423" w14:textId="5D4A8B27" w:rsidR="00537CC8" w:rsidRPr="0025250D" w:rsidRDefault="00537CC8" w:rsidP="00824185">
            <w:pPr>
              <w:bidi/>
              <w:spacing w:after="160"/>
              <w:jc w:val="center"/>
              <w:rPr>
                <w:rtl/>
              </w:rPr>
            </w:pPr>
            <w:r w:rsidRPr="0025250D">
              <w:rPr>
                <w:rtl/>
              </w:rPr>
              <w:t>عظ</w:t>
            </w:r>
            <w:r w:rsidRPr="0025250D">
              <w:rPr>
                <w:rFonts w:hint="cs"/>
                <w:rtl/>
              </w:rPr>
              <w:t>ی</w:t>
            </w:r>
            <w:r w:rsidRPr="0025250D">
              <w:rPr>
                <w:rFonts w:hint="eastAsia"/>
                <w:rtl/>
              </w:rPr>
              <w:t>م</w:t>
            </w:r>
            <w:r w:rsidRPr="0025250D">
              <w:rPr>
                <w:rtl/>
              </w:rPr>
              <w:t xml:space="preserve"> ازهر، </w:t>
            </w:r>
            <w:r w:rsidRPr="0025250D">
              <w:t>HBR</w:t>
            </w:r>
            <w:r w:rsidRPr="0025250D">
              <w:rPr>
                <w:vertAlign w:val="superscript"/>
                <w:rtl/>
              </w:rPr>
              <w:footnoteReference w:id="3583"/>
            </w:r>
          </w:p>
        </w:tc>
        <w:tc>
          <w:tcPr>
            <w:tcW w:w="4508" w:type="dxa"/>
            <w:vAlign w:val="center"/>
          </w:tcPr>
          <w:p w14:paraId="5D66E1E1" w14:textId="77777777" w:rsidR="00537CC8" w:rsidRPr="0025250D" w:rsidRDefault="007A207F" w:rsidP="00824185">
            <w:pPr>
              <w:bidi/>
              <w:spacing w:after="160"/>
              <w:jc w:val="center"/>
              <w:rPr>
                <w:rtl/>
              </w:rPr>
            </w:pPr>
            <w:hyperlink r:id="rId562">
              <w:r w:rsidR="00537CC8" w:rsidRPr="0025250D">
                <w:rPr>
                  <w:rStyle w:val="Hyperlink"/>
                  <w:color w:val="auto"/>
                  <w:u w:val="none"/>
                </w:rPr>
                <w:t>Exponential View</w:t>
              </w:r>
            </w:hyperlink>
          </w:p>
        </w:tc>
      </w:tr>
      <w:tr w:rsidR="00537CC8" w:rsidRPr="0025250D" w14:paraId="421A2144" w14:textId="77777777" w:rsidTr="00824185">
        <w:tc>
          <w:tcPr>
            <w:tcW w:w="4508" w:type="dxa"/>
            <w:vAlign w:val="center"/>
          </w:tcPr>
          <w:p w14:paraId="0E2C6D4B" w14:textId="77777777" w:rsidR="00537CC8" w:rsidRPr="0025250D" w:rsidRDefault="00537CC8" w:rsidP="00824185">
            <w:pPr>
              <w:bidi/>
              <w:spacing w:after="160"/>
              <w:jc w:val="center"/>
              <w:rPr>
                <w:rtl/>
              </w:rPr>
            </w:pPr>
            <w:r w:rsidRPr="0025250D">
              <w:rPr>
                <w:rtl/>
              </w:rPr>
              <w:t>دن سال</w:t>
            </w:r>
            <w:r w:rsidRPr="0025250D">
              <w:rPr>
                <w:rFonts w:hint="cs"/>
                <w:rtl/>
              </w:rPr>
              <w:t>ی</w:t>
            </w:r>
            <w:r w:rsidRPr="0025250D">
              <w:rPr>
                <w:rFonts w:hint="eastAsia"/>
                <w:rtl/>
              </w:rPr>
              <w:t>وان</w:t>
            </w:r>
            <w:r w:rsidRPr="0025250D">
              <w:rPr>
                <w:rtl/>
              </w:rPr>
              <w:t xml:space="preserve"> و پ</w:t>
            </w:r>
            <w:r w:rsidRPr="0025250D">
              <w:rPr>
                <w:rFonts w:hint="cs"/>
                <w:rtl/>
              </w:rPr>
              <w:t>ی</w:t>
            </w:r>
            <w:r w:rsidRPr="0025250D">
              <w:rPr>
                <w:rFonts w:hint="eastAsia"/>
                <w:rtl/>
              </w:rPr>
              <w:t>تر</w:t>
            </w:r>
            <w:r w:rsidRPr="0025250D">
              <w:rPr>
                <w:rtl/>
              </w:rPr>
              <w:t xml:space="preserve"> د</w:t>
            </w:r>
            <w:r w:rsidRPr="0025250D">
              <w:rPr>
                <w:rFonts w:hint="cs"/>
                <w:rtl/>
              </w:rPr>
              <w:t>ی</w:t>
            </w:r>
            <w:r w:rsidRPr="0025250D">
              <w:rPr>
                <w:rFonts w:hint="eastAsia"/>
                <w:rtl/>
              </w:rPr>
              <w:t>اماند</w:t>
            </w:r>
            <w:r w:rsidRPr="0025250D">
              <w:rPr>
                <w:rFonts w:hint="cs"/>
                <w:rtl/>
              </w:rPr>
              <w:t>ی</w:t>
            </w:r>
            <w:r w:rsidRPr="0025250D">
              <w:rPr>
                <w:rFonts w:hint="eastAsia"/>
                <w:rtl/>
              </w:rPr>
              <w:t>س</w:t>
            </w:r>
            <w:r w:rsidRPr="0025250D">
              <w:rPr>
                <w:vertAlign w:val="superscript"/>
                <w:rtl/>
              </w:rPr>
              <w:footnoteReference w:id="3584"/>
            </w:r>
          </w:p>
        </w:tc>
        <w:tc>
          <w:tcPr>
            <w:tcW w:w="4508" w:type="dxa"/>
            <w:vAlign w:val="center"/>
          </w:tcPr>
          <w:p w14:paraId="59699230" w14:textId="77777777" w:rsidR="00537CC8" w:rsidRPr="0025250D" w:rsidRDefault="00537CC8" w:rsidP="00824185">
            <w:pPr>
              <w:bidi/>
              <w:spacing w:after="160"/>
              <w:jc w:val="center"/>
              <w:rPr>
                <w:rtl/>
              </w:rPr>
            </w:pPr>
            <w:r w:rsidRPr="0025250D">
              <w:t>Exponential Wisdom</w:t>
            </w:r>
          </w:p>
        </w:tc>
      </w:tr>
      <w:tr w:rsidR="00537CC8" w:rsidRPr="0025250D" w14:paraId="6E863E80" w14:textId="77777777" w:rsidTr="00824185">
        <w:tc>
          <w:tcPr>
            <w:tcW w:w="4508" w:type="dxa"/>
            <w:vAlign w:val="center"/>
          </w:tcPr>
          <w:p w14:paraId="7F7B01C5" w14:textId="77777777" w:rsidR="00537CC8" w:rsidRPr="0025250D" w:rsidRDefault="00537CC8" w:rsidP="00824185">
            <w:pPr>
              <w:bidi/>
              <w:spacing w:after="160"/>
              <w:jc w:val="center"/>
              <w:rPr>
                <w:rtl/>
              </w:rPr>
            </w:pPr>
            <w:r w:rsidRPr="0025250D">
              <w:rPr>
                <w:rtl/>
              </w:rPr>
              <w:t>روندا پاتر</w:t>
            </w:r>
            <w:r w:rsidRPr="0025250D">
              <w:rPr>
                <w:rFonts w:hint="cs"/>
                <w:rtl/>
              </w:rPr>
              <w:t>ی</w:t>
            </w:r>
            <w:r w:rsidRPr="0025250D">
              <w:rPr>
                <w:rFonts w:hint="eastAsia"/>
                <w:rtl/>
              </w:rPr>
              <w:t>ک</w:t>
            </w:r>
            <w:r w:rsidRPr="0025250D">
              <w:rPr>
                <w:vertAlign w:val="superscript"/>
                <w:rtl/>
              </w:rPr>
              <w:footnoteReference w:id="3585"/>
            </w:r>
          </w:p>
        </w:tc>
        <w:tc>
          <w:tcPr>
            <w:tcW w:w="4508" w:type="dxa"/>
            <w:vAlign w:val="center"/>
          </w:tcPr>
          <w:p w14:paraId="2CFFDB21" w14:textId="77777777" w:rsidR="00537CC8" w:rsidRPr="0025250D" w:rsidRDefault="00537CC8" w:rsidP="00824185">
            <w:pPr>
              <w:bidi/>
              <w:spacing w:after="160"/>
              <w:jc w:val="center"/>
              <w:rPr>
                <w:rtl/>
              </w:rPr>
            </w:pPr>
            <w:r w:rsidRPr="0025250D">
              <w:t>Found My Fitness</w:t>
            </w:r>
          </w:p>
        </w:tc>
      </w:tr>
      <w:tr w:rsidR="00537CC8" w:rsidRPr="0025250D" w14:paraId="63D03518" w14:textId="77777777" w:rsidTr="00824185">
        <w:tc>
          <w:tcPr>
            <w:tcW w:w="4508" w:type="dxa"/>
            <w:vAlign w:val="center"/>
          </w:tcPr>
          <w:p w14:paraId="2F18B993" w14:textId="77777777" w:rsidR="00537CC8" w:rsidRPr="0025250D" w:rsidRDefault="00537CC8" w:rsidP="00824185">
            <w:pPr>
              <w:bidi/>
              <w:spacing w:after="160"/>
              <w:jc w:val="center"/>
              <w:rPr>
                <w:rtl/>
              </w:rPr>
            </w:pPr>
            <w:r w:rsidRPr="0025250D">
              <w:rPr>
                <w:rtl/>
              </w:rPr>
              <w:t>را</w:t>
            </w:r>
            <w:r w:rsidRPr="0025250D">
              <w:rPr>
                <w:rFonts w:hint="cs"/>
                <w:rtl/>
              </w:rPr>
              <w:t>ی</w:t>
            </w:r>
            <w:r w:rsidRPr="0025250D">
              <w:rPr>
                <w:rFonts w:hint="eastAsia"/>
                <w:rtl/>
              </w:rPr>
              <w:t>ان</w:t>
            </w:r>
            <w:r w:rsidRPr="0025250D">
              <w:rPr>
                <w:rtl/>
              </w:rPr>
              <w:t xml:space="preserve"> اوش</w:t>
            </w:r>
            <w:r w:rsidRPr="0025250D">
              <w:rPr>
                <w:rFonts w:hint="cs"/>
                <w:rtl/>
              </w:rPr>
              <w:t>ی</w:t>
            </w:r>
            <w:r w:rsidRPr="0025250D">
              <w:rPr>
                <w:vertAlign w:val="superscript"/>
                <w:rtl/>
              </w:rPr>
              <w:footnoteReference w:id="3586"/>
            </w:r>
          </w:p>
        </w:tc>
        <w:tc>
          <w:tcPr>
            <w:tcW w:w="4508" w:type="dxa"/>
            <w:vAlign w:val="center"/>
          </w:tcPr>
          <w:p w14:paraId="629406A8" w14:textId="77777777" w:rsidR="00537CC8" w:rsidRPr="0025250D" w:rsidRDefault="007A207F" w:rsidP="00824185">
            <w:pPr>
              <w:bidi/>
              <w:spacing w:after="160"/>
              <w:jc w:val="center"/>
              <w:rPr>
                <w:rtl/>
              </w:rPr>
            </w:pPr>
            <w:hyperlink r:id="rId563">
              <w:r w:rsidR="00537CC8" w:rsidRPr="0025250D">
                <w:rPr>
                  <w:rStyle w:val="Hyperlink"/>
                  <w:color w:val="auto"/>
                  <w:u w:val="none"/>
                </w:rPr>
                <w:t>Future Grind</w:t>
              </w:r>
            </w:hyperlink>
          </w:p>
        </w:tc>
      </w:tr>
      <w:tr w:rsidR="00537CC8" w:rsidRPr="0025250D" w14:paraId="043E6C91" w14:textId="77777777" w:rsidTr="00824185">
        <w:tc>
          <w:tcPr>
            <w:tcW w:w="4508" w:type="dxa"/>
            <w:vAlign w:val="center"/>
          </w:tcPr>
          <w:p w14:paraId="4591C04C" w14:textId="77777777" w:rsidR="00537CC8" w:rsidRPr="0025250D" w:rsidRDefault="00537CC8" w:rsidP="00824185">
            <w:pPr>
              <w:bidi/>
              <w:spacing w:after="160"/>
              <w:jc w:val="center"/>
              <w:rPr>
                <w:rtl/>
              </w:rPr>
            </w:pPr>
            <w:r w:rsidRPr="0025250D">
              <w:rPr>
                <w:rFonts w:hint="cs"/>
                <w:rtl/>
              </w:rPr>
              <w:t>برایان کیو</w:t>
            </w:r>
            <w:r w:rsidRPr="0025250D">
              <w:rPr>
                <w:vertAlign w:val="superscript"/>
                <w:rtl/>
              </w:rPr>
              <w:footnoteReference w:id="3587"/>
            </w:r>
          </w:p>
        </w:tc>
        <w:tc>
          <w:tcPr>
            <w:tcW w:w="4508" w:type="dxa"/>
            <w:vAlign w:val="center"/>
          </w:tcPr>
          <w:p w14:paraId="038AF0A4" w14:textId="77777777" w:rsidR="00537CC8" w:rsidRPr="0025250D" w:rsidRDefault="00537CC8" w:rsidP="00824185">
            <w:pPr>
              <w:bidi/>
              <w:spacing w:after="160"/>
              <w:jc w:val="center"/>
              <w:rPr>
                <w:rtl/>
              </w:rPr>
            </w:pPr>
            <w:r w:rsidRPr="0025250D">
              <w:t>Future Meets Law</w:t>
            </w:r>
          </w:p>
        </w:tc>
      </w:tr>
      <w:tr w:rsidR="00537CC8" w:rsidRPr="0025250D" w14:paraId="3336A27D" w14:textId="77777777" w:rsidTr="00824185">
        <w:tc>
          <w:tcPr>
            <w:tcW w:w="4508" w:type="dxa"/>
            <w:vAlign w:val="center"/>
          </w:tcPr>
          <w:p w14:paraId="69D7B7DC" w14:textId="77777777" w:rsidR="00537CC8" w:rsidRPr="0025250D" w:rsidRDefault="00537CC8" w:rsidP="00824185">
            <w:pPr>
              <w:bidi/>
              <w:spacing w:after="160"/>
              <w:jc w:val="center"/>
              <w:rPr>
                <w:rtl/>
              </w:rPr>
            </w:pPr>
            <w:r w:rsidRPr="0025250D">
              <w:rPr>
                <w:rtl/>
              </w:rPr>
              <w:t>ربکا م</w:t>
            </w:r>
            <w:r w:rsidRPr="0025250D">
              <w:rPr>
                <w:rFonts w:hint="cs"/>
                <w:rtl/>
              </w:rPr>
              <w:t>ی</w:t>
            </w:r>
            <w:r w:rsidRPr="0025250D">
              <w:rPr>
                <w:rFonts w:hint="eastAsia"/>
                <w:rtl/>
              </w:rPr>
              <w:t>جات،</w:t>
            </w:r>
            <w:r w:rsidRPr="0025250D">
              <w:rPr>
                <w:rtl/>
              </w:rPr>
              <w:t xml:space="preserve"> پ</w:t>
            </w:r>
            <w:r w:rsidRPr="0025250D">
              <w:rPr>
                <w:rFonts w:hint="cs"/>
                <w:rtl/>
              </w:rPr>
              <w:t>ی</w:t>
            </w:r>
            <w:r w:rsidRPr="0025250D">
              <w:rPr>
                <w:rFonts w:hint="eastAsia"/>
                <w:rtl/>
              </w:rPr>
              <w:t>تر</w:t>
            </w:r>
            <w:r w:rsidRPr="0025250D">
              <w:rPr>
                <w:rtl/>
              </w:rPr>
              <w:t xml:space="preserve"> ه</w:t>
            </w:r>
            <w:r w:rsidRPr="0025250D">
              <w:rPr>
                <w:rFonts w:hint="cs"/>
                <w:rtl/>
              </w:rPr>
              <w:t>ی</w:t>
            </w:r>
            <w:r w:rsidRPr="0025250D">
              <w:rPr>
                <w:rFonts w:hint="eastAsia"/>
                <w:rtl/>
              </w:rPr>
              <w:t>ورد،</w:t>
            </w:r>
            <w:r w:rsidRPr="0025250D">
              <w:rPr>
                <w:rtl/>
              </w:rPr>
              <w:t xml:space="preserve"> چهار نفر د</w:t>
            </w:r>
            <w:r w:rsidRPr="0025250D">
              <w:rPr>
                <w:rFonts w:hint="cs"/>
                <w:rtl/>
              </w:rPr>
              <w:t>ی</w:t>
            </w:r>
            <w:r w:rsidRPr="0025250D">
              <w:rPr>
                <w:rFonts w:hint="eastAsia"/>
                <w:rtl/>
              </w:rPr>
              <w:t>گر</w:t>
            </w:r>
            <w:r w:rsidRPr="0025250D">
              <w:rPr>
                <w:vertAlign w:val="superscript"/>
                <w:rtl/>
              </w:rPr>
              <w:footnoteReference w:id="3588"/>
            </w:r>
          </w:p>
        </w:tc>
        <w:tc>
          <w:tcPr>
            <w:tcW w:w="4508" w:type="dxa"/>
            <w:vAlign w:val="center"/>
          </w:tcPr>
          <w:p w14:paraId="13B5742D" w14:textId="77777777" w:rsidR="00537CC8" w:rsidRPr="0025250D" w:rsidRDefault="007A207F" w:rsidP="00824185">
            <w:pPr>
              <w:bidi/>
              <w:spacing w:after="160"/>
              <w:jc w:val="center"/>
              <w:rPr>
                <w:rtl/>
              </w:rPr>
            </w:pPr>
            <w:hyperlink r:id="rId564">
              <w:r w:rsidR="00537CC8" w:rsidRPr="0025250D">
                <w:rPr>
                  <w:rStyle w:val="Hyperlink"/>
                  <w:color w:val="auto"/>
                  <w:u w:val="none"/>
                </w:rPr>
                <w:t>Futurepod</w:t>
              </w:r>
            </w:hyperlink>
          </w:p>
        </w:tc>
      </w:tr>
      <w:tr w:rsidR="00537CC8" w:rsidRPr="0025250D" w14:paraId="0994F2FE" w14:textId="77777777" w:rsidTr="00824185">
        <w:tc>
          <w:tcPr>
            <w:tcW w:w="4508" w:type="dxa"/>
            <w:vAlign w:val="center"/>
          </w:tcPr>
          <w:p w14:paraId="52045B78" w14:textId="77777777" w:rsidR="00537CC8" w:rsidRPr="0025250D" w:rsidRDefault="00537CC8" w:rsidP="00824185">
            <w:pPr>
              <w:bidi/>
              <w:spacing w:after="160"/>
              <w:jc w:val="center"/>
              <w:rPr>
                <w:rtl/>
              </w:rPr>
            </w:pPr>
            <w:r w:rsidRPr="0025250D">
              <w:rPr>
                <w:rtl/>
              </w:rPr>
              <w:t>سام هر</w:t>
            </w:r>
            <w:r w:rsidRPr="0025250D">
              <w:rPr>
                <w:rFonts w:hint="cs"/>
                <w:rtl/>
              </w:rPr>
              <w:t>ی</w:t>
            </w:r>
            <w:r w:rsidRPr="0025250D">
              <w:rPr>
                <w:rFonts w:hint="eastAsia"/>
                <w:rtl/>
              </w:rPr>
              <w:t>س</w:t>
            </w:r>
            <w:r w:rsidRPr="0025250D">
              <w:rPr>
                <w:vertAlign w:val="superscript"/>
                <w:rtl/>
              </w:rPr>
              <w:footnoteReference w:id="3589"/>
            </w:r>
          </w:p>
        </w:tc>
        <w:tc>
          <w:tcPr>
            <w:tcW w:w="4508" w:type="dxa"/>
            <w:vAlign w:val="center"/>
          </w:tcPr>
          <w:p w14:paraId="0C35DE11" w14:textId="77777777" w:rsidR="00537CC8" w:rsidRPr="0025250D" w:rsidRDefault="007A207F" w:rsidP="00824185">
            <w:pPr>
              <w:bidi/>
              <w:spacing w:after="160"/>
              <w:jc w:val="center"/>
              <w:rPr>
                <w:rtl/>
              </w:rPr>
            </w:pPr>
            <w:hyperlink r:id="rId565">
              <w:r w:rsidR="00537CC8" w:rsidRPr="0025250D">
                <w:rPr>
                  <w:rStyle w:val="Hyperlink"/>
                  <w:color w:val="auto"/>
                  <w:u w:val="none"/>
                </w:rPr>
                <w:t>Making Sense</w:t>
              </w:r>
            </w:hyperlink>
          </w:p>
        </w:tc>
      </w:tr>
      <w:tr w:rsidR="00537CC8" w:rsidRPr="0025250D" w14:paraId="4134F3F4" w14:textId="77777777" w:rsidTr="00824185">
        <w:tc>
          <w:tcPr>
            <w:tcW w:w="4508" w:type="dxa"/>
            <w:vAlign w:val="center"/>
          </w:tcPr>
          <w:p w14:paraId="323AB252" w14:textId="77777777" w:rsidR="00537CC8" w:rsidRPr="0025250D" w:rsidRDefault="00537CC8" w:rsidP="00824185">
            <w:pPr>
              <w:bidi/>
              <w:spacing w:after="160"/>
              <w:jc w:val="center"/>
              <w:rPr>
                <w:rtl/>
              </w:rPr>
            </w:pPr>
            <w:r w:rsidRPr="0025250D">
              <w:rPr>
                <w:rtl/>
              </w:rPr>
              <w:t>آگوست بردل</w:t>
            </w:r>
            <w:r w:rsidRPr="0025250D">
              <w:rPr>
                <w:rFonts w:hint="cs"/>
                <w:rtl/>
              </w:rPr>
              <w:t>ی</w:t>
            </w:r>
            <w:r w:rsidRPr="0025250D">
              <w:rPr>
                <w:vertAlign w:val="superscript"/>
                <w:rtl/>
              </w:rPr>
              <w:footnoteReference w:id="3590"/>
            </w:r>
          </w:p>
        </w:tc>
        <w:tc>
          <w:tcPr>
            <w:tcW w:w="4508" w:type="dxa"/>
            <w:vAlign w:val="center"/>
          </w:tcPr>
          <w:p w14:paraId="10D7C889" w14:textId="77777777" w:rsidR="00537CC8" w:rsidRPr="0025250D" w:rsidRDefault="007A207F" w:rsidP="00824185">
            <w:pPr>
              <w:bidi/>
              <w:spacing w:after="160"/>
              <w:jc w:val="center"/>
              <w:rPr>
                <w:rtl/>
              </w:rPr>
            </w:pPr>
            <w:hyperlink r:id="rId566">
              <w:r w:rsidR="00537CC8" w:rsidRPr="0025250D">
                <w:rPr>
                  <w:rStyle w:val="Hyperlink"/>
                  <w:color w:val="auto"/>
                  <w:u w:val="none"/>
                </w:rPr>
                <w:t>Mind &amp; Machines</w:t>
              </w:r>
            </w:hyperlink>
          </w:p>
        </w:tc>
      </w:tr>
      <w:tr w:rsidR="00537CC8" w:rsidRPr="0025250D" w14:paraId="0E25C10D" w14:textId="77777777" w:rsidTr="00824185">
        <w:tc>
          <w:tcPr>
            <w:tcW w:w="4508" w:type="dxa"/>
            <w:vAlign w:val="center"/>
          </w:tcPr>
          <w:p w14:paraId="277FBCB9" w14:textId="77777777" w:rsidR="00537CC8" w:rsidRPr="0025250D" w:rsidRDefault="00537CC8" w:rsidP="00824185">
            <w:pPr>
              <w:bidi/>
              <w:spacing w:after="160"/>
              <w:jc w:val="center"/>
              <w:rPr>
                <w:rtl/>
              </w:rPr>
            </w:pPr>
            <w:r w:rsidRPr="0025250D">
              <w:rPr>
                <w:rtl/>
              </w:rPr>
              <w:t>کر</w:t>
            </w:r>
            <w:r w:rsidRPr="0025250D">
              <w:rPr>
                <w:rFonts w:hint="cs"/>
                <w:rtl/>
              </w:rPr>
              <w:t>ی</w:t>
            </w:r>
            <w:r w:rsidRPr="0025250D">
              <w:rPr>
                <w:rFonts w:hint="eastAsia"/>
                <w:rtl/>
              </w:rPr>
              <w:t>س</w:t>
            </w:r>
            <w:r w:rsidRPr="0025250D">
              <w:rPr>
                <w:rtl/>
              </w:rPr>
              <w:t xml:space="preserve"> ه</w:t>
            </w:r>
            <w:r w:rsidRPr="0025250D">
              <w:rPr>
                <w:rFonts w:hint="cs"/>
                <w:rtl/>
              </w:rPr>
              <w:t>ی</w:t>
            </w:r>
            <w:r w:rsidRPr="0025250D">
              <w:rPr>
                <w:rFonts w:hint="eastAsia"/>
                <w:rtl/>
              </w:rPr>
              <w:t>ل</w:t>
            </w:r>
            <w:r w:rsidRPr="0025250D">
              <w:rPr>
                <w:vertAlign w:val="superscript"/>
                <w:rtl/>
              </w:rPr>
              <w:footnoteReference w:id="3591"/>
            </w:r>
          </w:p>
        </w:tc>
        <w:tc>
          <w:tcPr>
            <w:tcW w:w="4508" w:type="dxa"/>
            <w:vAlign w:val="center"/>
          </w:tcPr>
          <w:p w14:paraId="6A77B9F4" w14:textId="77777777" w:rsidR="00537CC8" w:rsidRPr="0025250D" w:rsidRDefault="007A207F" w:rsidP="00824185">
            <w:pPr>
              <w:bidi/>
              <w:spacing w:after="160"/>
              <w:jc w:val="center"/>
              <w:rPr>
                <w:rtl/>
              </w:rPr>
            </w:pPr>
            <w:hyperlink r:id="rId567">
              <w:r w:rsidR="00537CC8" w:rsidRPr="0025250D">
                <w:rPr>
                  <w:rStyle w:val="Hyperlink"/>
                  <w:color w:val="auto"/>
                  <w:u w:val="none"/>
                </w:rPr>
                <w:t>Motley Fool Money</w:t>
              </w:r>
            </w:hyperlink>
          </w:p>
        </w:tc>
      </w:tr>
      <w:tr w:rsidR="00537CC8" w:rsidRPr="0025250D" w14:paraId="7D6ECBD7" w14:textId="77777777" w:rsidTr="00824185">
        <w:tc>
          <w:tcPr>
            <w:tcW w:w="4508" w:type="dxa"/>
            <w:vAlign w:val="center"/>
          </w:tcPr>
          <w:p w14:paraId="596BC96B" w14:textId="77777777" w:rsidR="00537CC8" w:rsidRPr="0025250D" w:rsidRDefault="00537CC8" w:rsidP="00824185">
            <w:pPr>
              <w:bidi/>
              <w:spacing w:after="160"/>
              <w:jc w:val="center"/>
              <w:rPr>
                <w:rtl/>
              </w:rPr>
            </w:pPr>
            <w:r w:rsidRPr="0025250D">
              <w:rPr>
                <w:rtl/>
              </w:rPr>
              <w:t>اندرو وا</w:t>
            </w:r>
            <w:r w:rsidRPr="0025250D">
              <w:rPr>
                <w:rFonts w:hint="cs"/>
                <w:rtl/>
              </w:rPr>
              <w:t>ی</w:t>
            </w:r>
            <w:r w:rsidRPr="0025250D">
              <w:rPr>
                <w:rFonts w:hint="eastAsia"/>
                <w:rtl/>
              </w:rPr>
              <w:t>نر</w:t>
            </w:r>
            <w:r w:rsidRPr="0025250D">
              <w:rPr>
                <w:rFonts w:hint="cs"/>
                <w:rtl/>
              </w:rPr>
              <w:t>ی</w:t>
            </w:r>
            <w:r w:rsidRPr="0025250D">
              <w:rPr>
                <w:rFonts w:hint="eastAsia"/>
                <w:rtl/>
              </w:rPr>
              <w:t>چ</w:t>
            </w:r>
            <w:r w:rsidRPr="0025250D">
              <w:rPr>
                <w:vertAlign w:val="superscript"/>
                <w:rtl/>
              </w:rPr>
              <w:footnoteReference w:id="3592"/>
            </w:r>
          </w:p>
        </w:tc>
        <w:tc>
          <w:tcPr>
            <w:tcW w:w="4508" w:type="dxa"/>
            <w:vAlign w:val="center"/>
          </w:tcPr>
          <w:p w14:paraId="171AE278" w14:textId="77777777" w:rsidR="00537CC8" w:rsidRPr="0025250D" w:rsidRDefault="007A207F" w:rsidP="00824185">
            <w:pPr>
              <w:bidi/>
              <w:spacing w:after="160"/>
              <w:jc w:val="center"/>
              <w:rPr>
                <w:rtl/>
              </w:rPr>
            </w:pPr>
            <w:hyperlink r:id="rId568">
              <w:r w:rsidR="00537CC8" w:rsidRPr="0025250D">
                <w:rPr>
                  <w:rStyle w:val="Hyperlink"/>
                  <w:color w:val="auto"/>
                  <w:u w:val="none"/>
                </w:rPr>
                <w:t>Predicting Our Future</w:t>
              </w:r>
            </w:hyperlink>
          </w:p>
        </w:tc>
      </w:tr>
      <w:tr w:rsidR="00537CC8" w:rsidRPr="0025250D" w14:paraId="624DB053" w14:textId="77777777" w:rsidTr="00824185">
        <w:tc>
          <w:tcPr>
            <w:tcW w:w="4508" w:type="dxa"/>
            <w:vAlign w:val="center"/>
          </w:tcPr>
          <w:p w14:paraId="1E8EE46E" w14:textId="77777777" w:rsidR="00537CC8" w:rsidRPr="0025250D" w:rsidRDefault="00537CC8" w:rsidP="00824185">
            <w:pPr>
              <w:bidi/>
              <w:spacing w:after="160"/>
              <w:jc w:val="center"/>
              <w:rPr>
                <w:rtl/>
              </w:rPr>
            </w:pPr>
            <w:r w:rsidRPr="0025250D">
              <w:rPr>
                <w:rtl/>
              </w:rPr>
              <w:t>استورا انسو</w:t>
            </w:r>
            <w:r w:rsidRPr="0025250D">
              <w:rPr>
                <w:vertAlign w:val="superscript"/>
                <w:rtl/>
              </w:rPr>
              <w:footnoteReference w:id="3593"/>
            </w:r>
          </w:p>
        </w:tc>
        <w:tc>
          <w:tcPr>
            <w:tcW w:w="4508" w:type="dxa"/>
            <w:vAlign w:val="center"/>
          </w:tcPr>
          <w:p w14:paraId="6ADE0409" w14:textId="77777777" w:rsidR="00537CC8" w:rsidRPr="0025250D" w:rsidRDefault="007A207F" w:rsidP="00824185">
            <w:pPr>
              <w:bidi/>
              <w:spacing w:after="160"/>
              <w:jc w:val="center"/>
              <w:rPr>
                <w:rtl/>
              </w:rPr>
            </w:pPr>
            <w:hyperlink r:id="rId569">
              <w:r w:rsidR="00537CC8" w:rsidRPr="0025250D">
                <w:rPr>
                  <w:rStyle w:val="Hyperlink"/>
                  <w:color w:val="auto"/>
                  <w:u w:val="none"/>
                </w:rPr>
                <w:t>Renewable Future</w:t>
              </w:r>
            </w:hyperlink>
          </w:p>
        </w:tc>
      </w:tr>
      <w:tr w:rsidR="00537CC8" w:rsidRPr="0025250D" w14:paraId="6A8ABBDE" w14:textId="77777777" w:rsidTr="00824185">
        <w:tc>
          <w:tcPr>
            <w:tcW w:w="4508" w:type="dxa"/>
            <w:vAlign w:val="center"/>
          </w:tcPr>
          <w:p w14:paraId="59723F16" w14:textId="77777777" w:rsidR="00537CC8" w:rsidRPr="0025250D" w:rsidRDefault="00537CC8" w:rsidP="00824185">
            <w:pPr>
              <w:bidi/>
              <w:spacing w:after="160"/>
              <w:jc w:val="center"/>
              <w:rPr>
                <w:rtl/>
              </w:rPr>
            </w:pPr>
            <w:r w:rsidRPr="0025250D">
              <w:rPr>
                <w:rtl/>
              </w:rPr>
              <w:t>استوارت برند و بن</w:t>
            </w:r>
            <w:r w:rsidRPr="0025250D">
              <w:rPr>
                <w:rFonts w:hint="cs"/>
                <w:rtl/>
              </w:rPr>
              <w:t>ی</w:t>
            </w:r>
            <w:r w:rsidRPr="0025250D">
              <w:rPr>
                <w:rFonts w:hint="eastAsia"/>
                <w:rtl/>
              </w:rPr>
              <w:t>اد</w:t>
            </w:r>
            <w:r w:rsidRPr="0025250D">
              <w:rPr>
                <w:rtl/>
              </w:rPr>
              <w:t xml:space="preserve"> لانگ نو</w:t>
            </w:r>
            <w:r w:rsidRPr="0025250D">
              <w:rPr>
                <w:vertAlign w:val="superscript"/>
                <w:rtl/>
              </w:rPr>
              <w:footnoteReference w:id="3594"/>
            </w:r>
          </w:p>
        </w:tc>
        <w:tc>
          <w:tcPr>
            <w:tcW w:w="4508" w:type="dxa"/>
            <w:vAlign w:val="center"/>
          </w:tcPr>
          <w:p w14:paraId="0EEB0E28" w14:textId="77777777" w:rsidR="00537CC8" w:rsidRPr="0025250D" w:rsidRDefault="007A207F" w:rsidP="00824185">
            <w:pPr>
              <w:bidi/>
              <w:spacing w:after="160"/>
              <w:jc w:val="center"/>
              <w:rPr>
                <w:rtl/>
              </w:rPr>
            </w:pPr>
            <w:hyperlink r:id="rId570">
              <w:r w:rsidR="00537CC8" w:rsidRPr="0025250D">
                <w:rPr>
                  <w:rStyle w:val="Hyperlink"/>
                  <w:color w:val="auto"/>
                  <w:u w:val="none"/>
                </w:rPr>
                <w:t>Long Now Podcast</w:t>
              </w:r>
            </w:hyperlink>
          </w:p>
        </w:tc>
      </w:tr>
      <w:tr w:rsidR="00537CC8" w:rsidRPr="0025250D" w14:paraId="327FF2CB" w14:textId="77777777" w:rsidTr="00824185">
        <w:tc>
          <w:tcPr>
            <w:tcW w:w="4508" w:type="dxa"/>
            <w:vAlign w:val="center"/>
          </w:tcPr>
          <w:p w14:paraId="67561B59" w14:textId="75ED41DA" w:rsidR="00537CC8" w:rsidRPr="0025250D" w:rsidRDefault="00537CC8" w:rsidP="00824185">
            <w:pPr>
              <w:bidi/>
              <w:spacing w:after="160"/>
              <w:jc w:val="center"/>
              <w:rPr>
                <w:rtl/>
              </w:rPr>
            </w:pPr>
            <w:r w:rsidRPr="0025250D">
              <w:rPr>
                <w:rtl/>
              </w:rPr>
              <w:t>د</w:t>
            </w:r>
            <w:r w:rsidRPr="0025250D">
              <w:rPr>
                <w:rFonts w:hint="cs"/>
                <w:rtl/>
              </w:rPr>
              <w:t>ی</w:t>
            </w:r>
            <w:r w:rsidRPr="0025250D">
              <w:rPr>
                <w:rFonts w:hint="eastAsia"/>
                <w:rtl/>
              </w:rPr>
              <w:t>و</w:t>
            </w:r>
            <w:r w:rsidRPr="0025250D">
              <w:rPr>
                <w:rFonts w:hint="cs"/>
                <w:rtl/>
              </w:rPr>
              <w:t>ی</w:t>
            </w:r>
            <w:r w:rsidRPr="0025250D">
              <w:rPr>
                <w:rFonts w:hint="eastAsia"/>
                <w:rtl/>
              </w:rPr>
              <w:t>د</w:t>
            </w:r>
            <w:r w:rsidRPr="0025250D">
              <w:rPr>
                <w:rtl/>
              </w:rPr>
              <w:t xml:space="preserve"> گاردنر، رئ</w:t>
            </w:r>
            <w:r w:rsidRPr="0025250D">
              <w:rPr>
                <w:rFonts w:hint="cs"/>
                <w:rtl/>
              </w:rPr>
              <w:t>ی</w:t>
            </w:r>
            <w:r w:rsidRPr="0025250D">
              <w:rPr>
                <w:rFonts w:hint="eastAsia"/>
                <w:rtl/>
              </w:rPr>
              <w:t>س</w:t>
            </w:r>
            <w:r w:rsidRPr="0025250D">
              <w:rPr>
                <w:rtl/>
              </w:rPr>
              <w:t xml:space="preserve"> مشترک، </w:t>
            </w:r>
            <w:r w:rsidR="00824185" w:rsidRPr="0025250D">
              <w:rPr>
                <w:rFonts w:hint="cs"/>
                <w:rtl/>
              </w:rPr>
              <w:t>ماتلی فول</w:t>
            </w:r>
          </w:p>
        </w:tc>
        <w:tc>
          <w:tcPr>
            <w:tcW w:w="4508" w:type="dxa"/>
            <w:vAlign w:val="center"/>
          </w:tcPr>
          <w:p w14:paraId="6D640E27" w14:textId="77777777" w:rsidR="00537CC8" w:rsidRPr="0025250D" w:rsidRDefault="007A207F" w:rsidP="00824185">
            <w:pPr>
              <w:bidi/>
              <w:spacing w:after="160"/>
              <w:jc w:val="center"/>
              <w:rPr>
                <w:iCs/>
                <w:rtl/>
              </w:rPr>
            </w:pPr>
            <w:hyperlink r:id="rId571">
              <w:r w:rsidR="00537CC8" w:rsidRPr="0025250D">
                <w:rPr>
                  <w:rStyle w:val="Hyperlink"/>
                  <w:iCs/>
                  <w:color w:val="auto"/>
                  <w:u w:val="none"/>
                </w:rPr>
                <w:t>Rule Breaker Investing</w:t>
              </w:r>
            </w:hyperlink>
          </w:p>
        </w:tc>
      </w:tr>
      <w:tr w:rsidR="00537CC8" w:rsidRPr="0025250D" w14:paraId="50576B59" w14:textId="77777777" w:rsidTr="00824185">
        <w:tc>
          <w:tcPr>
            <w:tcW w:w="4508" w:type="dxa"/>
            <w:vAlign w:val="center"/>
          </w:tcPr>
          <w:p w14:paraId="71921CB3" w14:textId="77777777" w:rsidR="00537CC8" w:rsidRPr="0025250D" w:rsidRDefault="00537CC8" w:rsidP="00824185">
            <w:pPr>
              <w:bidi/>
              <w:spacing w:after="160"/>
              <w:jc w:val="center"/>
              <w:rPr>
                <w:rtl/>
              </w:rPr>
            </w:pPr>
            <w:r w:rsidRPr="0025250D">
              <w:rPr>
                <w:rtl/>
              </w:rPr>
              <w:t>بن</w:t>
            </w:r>
            <w:r w:rsidRPr="0025250D">
              <w:rPr>
                <w:rFonts w:hint="cs"/>
                <w:rtl/>
              </w:rPr>
              <w:t>ی</w:t>
            </w:r>
            <w:r w:rsidRPr="0025250D">
              <w:rPr>
                <w:rFonts w:hint="eastAsia"/>
                <w:rtl/>
              </w:rPr>
              <w:t>اد</w:t>
            </w:r>
            <w:r w:rsidRPr="0025250D">
              <w:rPr>
                <w:rtl/>
              </w:rPr>
              <w:t xml:space="preserve"> </w:t>
            </w:r>
            <w:r w:rsidRPr="0025250D">
              <w:rPr>
                <w:rFonts w:hint="cs"/>
                <w:rtl/>
              </w:rPr>
              <w:t>لانگ ناو</w:t>
            </w:r>
            <w:r w:rsidRPr="0025250D">
              <w:rPr>
                <w:vertAlign w:val="superscript"/>
                <w:rtl/>
              </w:rPr>
              <w:footnoteReference w:id="3595"/>
            </w:r>
          </w:p>
        </w:tc>
        <w:tc>
          <w:tcPr>
            <w:tcW w:w="4508" w:type="dxa"/>
            <w:vAlign w:val="center"/>
          </w:tcPr>
          <w:p w14:paraId="0D63FFC2" w14:textId="77777777" w:rsidR="00537CC8" w:rsidRPr="0025250D" w:rsidRDefault="007A207F" w:rsidP="00824185">
            <w:pPr>
              <w:bidi/>
              <w:spacing w:after="160"/>
              <w:jc w:val="center"/>
              <w:rPr>
                <w:iCs/>
                <w:rtl/>
              </w:rPr>
            </w:pPr>
            <w:hyperlink r:id="rId572">
              <w:r w:rsidR="00537CC8" w:rsidRPr="0025250D">
                <w:rPr>
                  <w:rStyle w:val="Hyperlink"/>
                  <w:iCs/>
                  <w:color w:val="auto"/>
                  <w:u w:val="none"/>
                </w:rPr>
                <w:t>Seminars About Long-Term Thinking (SALT)</w:t>
              </w:r>
            </w:hyperlink>
          </w:p>
        </w:tc>
      </w:tr>
      <w:tr w:rsidR="00537CC8" w:rsidRPr="0025250D" w14:paraId="0C86EEDC" w14:textId="77777777" w:rsidTr="00824185">
        <w:tc>
          <w:tcPr>
            <w:tcW w:w="4508" w:type="dxa"/>
            <w:vAlign w:val="center"/>
          </w:tcPr>
          <w:p w14:paraId="44BE262D" w14:textId="77777777" w:rsidR="00537CC8" w:rsidRPr="0025250D" w:rsidRDefault="00537CC8" w:rsidP="00824185">
            <w:pPr>
              <w:bidi/>
              <w:spacing w:after="160"/>
              <w:jc w:val="center"/>
              <w:rPr>
                <w:rtl/>
              </w:rPr>
            </w:pPr>
            <w:r w:rsidRPr="0025250D">
              <w:rPr>
                <w:rtl/>
              </w:rPr>
              <w:t>مت وارد</w:t>
            </w:r>
            <w:r w:rsidRPr="0025250D">
              <w:rPr>
                <w:vertAlign w:val="superscript"/>
                <w:rtl/>
              </w:rPr>
              <w:footnoteReference w:id="3596"/>
            </w:r>
          </w:p>
        </w:tc>
        <w:tc>
          <w:tcPr>
            <w:tcW w:w="4508" w:type="dxa"/>
            <w:vAlign w:val="center"/>
          </w:tcPr>
          <w:p w14:paraId="4DCB54F4" w14:textId="77777777" w:rsidR="00537CC8" w:rsidRPr="0025250D" w:rsidRDefault="007A207F" w:rsidP="00824185">
            <w:pPr>
              <w:bidi/>
              <w:spacing w:after="160"/>
              <w:jc w:val="center"/>
              <w:rPr>
                <w:iCs/>
                <w:rtl/>
              </w:rPr>
            </w:pPr>
            <w:hyperlink r:id="rId573">
              <w:r w:rsidR="00537CC8" w:rsidRPr="0025250D">
                <w:rPr>
                  <w:rStyle w:val="Hyperlink"/>
                  <w:iCs/>
                  <w:color w:val="auto"/>
                  <w:u w:val="none"/>
                </w:rPr>
                <w:t>The Disruptors</w:t>
              </w:r>
            </w:hyperlink>
            <w:r w:rsidR="00537CC8" w:rsidRPr="0025250D">
              <w:rPr>
                <w:iCs/>
              </w:rPr>
              <w:t xml:space="preserve"> (Entrepreneurship)</w:t>
            </w:r>
          </w:p>
        </w:tc>
      </w:tr>
      <w:tr w:rsidR="00537CC8" w:rsidRPr="0025250D" w14:paraId="62FE8D04" w14:textId="77777777" w:rsidTr="00824185">
        <w:tc>
          <w:tcPr>
            <w:tcW w:w="4508" w:type="dxa"/>
            <w:vAlign w:val="center"/>
          </w:tcPr>
          <w:p w14:paraId="2F8615B6" w14:textId="77777777" w:rsidR="00537CC8" w:rsidRPr="0025250D" w:rsidRDefault="00537CC8" w:rsidP="00824185">
            <w:pPr>
              <w:bidi/>
              <w:spacing w:after="160"/>
              <w:jc w:val="center"/>
              <w:rPr>
                <w:rtl/>
              </w:rPr>
            </w:pPr>
            <w:r w:rsidRPr="0025250D">
              <w:rPr>
                <w:rtl/>
              </w:rPr>
              <w:t>تون</w:t>
            </w:r>
            <w:r w:rsidRPr="0025250D">
              <w:rPr>
                <w:rFonts w:hint="cs"/>
                <w:rtl/>
              </w:rPr>
              <w:t>ی</w:t>
            </w:r>
            <w:r w:rsidRPr="0025250D">
              <w:rPr>
                <w:rtl/>
              </w:rPr>
              <w:t xml:space="preserve"> راب</w:t>
            </w:r>
            <w:r w:rsidRPr="0025250D">
              <w:rPr>
                <w:rFonts w:hint="cs"/>
                <w:rtl/>
              </w:rPr>
              <w:t>ی</w:t>
            </w:r>
            <w:r w:rsidRPr="0025250D">
              <w:rPr>
                <w:rFonts w:hint="eastAsia"/>
                <w:rtl/>
              </w:rPr>
              <w:t>نز</w:t>
            </w:r>
            <w:r w:rsidRPr="0025250D">
              <w:rPr>
                <w:vertAlign w:val="superscript"/>
                <w:rtl/>
              </w:rPr>
              <w:footnoteReference w:id="3597"/>
            </w:r>
          </w:p>
        </w:tc>
        <w:tc>
          <w:tcPr>
            <w:tcW w:w="4508" w:type="dxa"/>
            <w:vAlign w:val="center"/>
          </w:tcPr>
          <w:p w14:paraId="45FBABE7" w14:textId="77777777" w:rsidR="00537CC8" w:rsidRPr="0025250D" w:rsidRDefault="00537CC8" w:rsidP="00824185">
            <w:pPr>
              <w:bidi/>
              <w:spacing w:after="160"/>
              <w:jc w:val="center"/>
              <w:rPr>
                <w:iCs/>
                <w:rtl/>
              </w:rPr>
            </w:pPr>
            <w:r w:rsidRPr="0025250D">
              <w:rPr>
                <w:iCs/>
              </w:rPr>
              <w:t>The Edge (Personal Eﬀectiveness)</w:t>
            </w:r>
          </w:p>
        </w:tc>
      </w:tr>
      <w:tr w:rsidR="00537CC8" w:rsidRPr="0025250D" w14:paraId="58130307" w14:textId="77777777" w:rsidTr="00824185">
        <w:tc>
          <w:tcPr>
            <w:tcW w:w="4508" w:type="dxa"/>
            <w:vAlign w:val="center"/>
          </w:tcPr>
          <w:p w14:paraId="5A74B2F6" w14:textId="77777777" w:rsidR="00537CC8" w:rsidRPr="0025250D" w:rsidRDefault="00537CC8" w:rsidP="00824185">
            <w:pPr>
              <w:bidi/>
              <w:spacing w:after="160"/>
              <w:jc w:val="center"/>
              <w:rPr>
                <w:rtl/>
              </w:rPr>
            </w:pPr>
            <w:r w:rsidRPr="0025250D">
              <w:rPr>
                <w:rtl/>
              </w:rPr>
              <w:t>کر</w:t>
            </w:r>
            <w:r w:rsidRPr="0025250D">
              <w:rPr>
                <w:rFonts w:hint="cs"/>
                <w:rtl/>
              </w:rPr>
              <w:t>ی</w:t>
            </w:r>
            <w:r w:rsidRPr="0025250D">
              <w:rPr>
                <w:rFonts w:hint="eastAsia"/>
                <w:rtl/>
              </w:rPr>
              <w:t>س</w:t>
            </w:r>
            <w:r w:rsidRPr="0025250D">
              <w:rPr>
                <w:rtl/>
              </w:rPr>
              <w:t xml:space="preserve"> دو</w:t>
            </w:r>
            <w:r w:rsidRPr="0025250D">
              <w:rPr>
                <w:vertAlign w:val="superscript"/>
                <w:rtl/>
              </w:rPr>
              <w:footnoteReference w:id="3598"/>
            </w:r>
          </w:p>
        </w:tc>
        <w:tc>
          <w:tcPr>
            <w:tcW w:w="4508" w:type="dxa"/>
            <w:vAlign w:val="center"/>
          </w:tcPr>
          <w:p w14:paraId="4A025F68" w14:textId="77777777" w:rsidR="00537CC8" w:rsidRPr="0025250D" w:rsidRDefault="00537CC8" w:rsidP="00824185">
            <w:pPr>
              <w:bidi/>
              <w:spacing w:after="160"/>
              <w:jc w:val="center"/>
              <w:rPr>
                <w:iCs/>
                <w:rtl/>
              </w:rPr>
            </w:pPr>
            <w:r w:rsidRPr="0025250D">
              <w:rPr>
                <w:iCs/>
              </w:rPr>
              <w:t>The Futur</w:t>
            </w:r>
          </w:p>
        </w:tc>
      </w:tr>
      <w:tr w:rsidR="00537CC8" w:rsidRPr="0025250D" w14:paraId="1B6DCD1D" w14:textId="77777777" w:rsidTr="00824185">
        <w:tc>
          <w:tcPr>
            <w:tcW w:w="4508" w:type="dxa"/>
            <w:vAlign w:val="center"/>
          </w:tcPr>
          <w:p w14:paraId="6C68131C" w14:textId="77777777" w:rsidR="00537CC8" w:rsidRPr="0025250D" w:rsidRDefault="00537CC8" w:rsidP="00824185">
            <w:pPr>
              <w:bidi/>
              <w:spacing w:after="160"/>
              <w:jc w:val="center"/>
              <w:rPr>
                <w:rtl/>
              </w:rPr>
            </w:pPr>
            <w:r w:rsidRPr="0025250D">
              <w:rPr>
                <w:rtl/>
              </w:rPr>
              <w:t>روزنامه وال استر</w:t>
            </w:r>
            <w:r w:rsidRPr="0025250D">
              <w:rPr>
                <w:rFonts w:hint="cs"/>
                <w:rtl/>
              </w:rPr>
              <w:t>ی</w:t>
            </w:r>
            <w:r w:rsidRPr="0025250D">
              <w:rPr>
                <w:rFonts w:hint="eastAsia"/>
                <w:rtl/>
              </w:rPr>
              <w:t>ت</w:t>
            </w:r>
          </w:p>
        </w:tc>
        <w:tc>
          <w:tcPr>
            <w:tcW w:w="4508" w:type="dxa"/>
            <w:vAlign w:val="center"/>
          </w:tcPr>
          <w:p w14:paraId="6FB204C4" w14:textId="77777777" w:rsidR="00537CC8" w:rsidRPr="0025250D" w:rsidRDefault="00537CC8" w:rsidP="00824185">
            <w:pPr>
              <w:bidi/>
              <w:spacing w:after="160"/>
              <w:jc w:val="center"/>
              <w:rPr>
                <w:iCs/>
                <w:rtl/>
              </w:rPr>
            </w:pPr>
            <w:r w:rsidRPr="0025250D">
              <w:rPr>
                <w:iCs/>
              </w:rPr>
              <w:t>The Future of Everything</w:t>
            </w:r>
          </w:p>
        </w:tc>
      </w:tr>
      <w:tr w:rsidR="00537CC8" w:rsidRPr="0025250D" w14:paraId="246FB57E" w14:textId="77777777" w:rsidTr="00824185">
        <w:tc>
          <w:tcPr>
            <w:tcW w:w="4508" w:type="dxa"/>
            <w:vAlign w:val="center"/>
          </w:tcPr>
          <w:p w14:paraId="5E629964" w14:textId="77777777" w:rsidR="00537CC8" w:rsidRPr="0025250D" w:rsidRDefault="00537CC8" w:rsidP="00824185">
            <w:pPr>
              <w:bidi/>
              <w:spacing w:after="160"/>
              <w:jc w:val="center"/>
              <w:rPr>
                <w:rtl/>
              </w:rPr>
            </w:pPr>
            <w:r w:rsidRPr="0025250D">
              <w:rPr>
                <w:rtl/>
              </w:rPr>
              <w:t>ج</w:t>
            </w:r>
            <w:r w:rsidRPr="0025250D">
              <w:rPr>
                <w:rFonts w:hint="cs"/>
                <w:rtl/>
              </w:rPr>
              <w:t>ی</w:t>
            </w:r>
            <w:r w:rsidRPr="0025250D">
              <w:rPr>
                <w:rFonts w:hint="eastAsia"/>
                <w:rtl/>
              </w:rPr>
              <w:t>کوب</w:t>
            </w:r>
            <w:r w:rsidRPr="0025250D">
              <w:rPr>
                <w:rtl/>
              </w:rPr>
              <w:t xml:space="preserve"> مورگان</w:t>
            </w:r>
            <w:r w:rsidRPr="0025250D">
              <w:rPr>
                <w:vertAlign w:val="superscript"/>
                <w:rtl/>
              </w:rPr>
              <w:footnoteReference w:id="3599"/>
            </w:r>
          </w:p>
        </w:tc>
        <w:tc>
          <w:tcPr>
            <w:tcW w:w="4508" w:type="dxa"/>
            <w:vAlign w:val="center"/>
          </w:tcPr>
          <w:p w14:paraId="07A37297" w14:textId="77777777" w:rsidR="00537CC8" w:rsidRPr="0025250D" w:rsidRDefault="00537CC8" w:rsidP="00824185">
            <w:pPr>
              <w:bidi/>
              <w:spacing w:after="160"/>
              <w:jc w:val="center"/>
              <w:rPr>
                <w:iCs/>
                <w:rtl/>
              </w:rPr>
            </w:pPr>
            <w:r w:rsidRPr="0025250D">
              <w:rPr>
                <w:iCs/>
              </w:rPr>
              <w:t>The Future of Work</w:t>
            </w:r>
          </w:p>
        </w:tc>
      </w:tr>
      <w:tr w:rsidR="00537CC8" w:rsidRPr="0025250D" w14:paraId="2FF06369" w14:textId="77777777" w:rsidTr="00824185">
        <w:tc>
          <w:tcPr>
            <w:tcW w:w="4508" w:type="dxa"/>
            <w:vAlign w:val="center"/>
          </w:tcPr>
          <w:p w14:paraId="6C9263CF" w14:textId="77777777" w:rsidR="00537CC8" w:rsidRPr="0025250D" w:rsidRDefault="00537CC8" w:rsidP="00824185">
            <w:pPr>
              <w:bidi/>
              <w:spacing w:after="160"/>
              <w:jc w:val="center"/>
              <w:rPr>
                <w:rtl/>
              </w:rPr>
            </w:pPr>
            <w:r w:rsidRPr="0025250D">
              <w:rPr>
                <w:rFonts w:hint="cs"/>
                <w:rtl/>
              </w:rPr>
              <w:t>ریچ رول</w:t>
            </w:r>
            <w:r w:rsidRPr="0025250D">
              <w:rPr>
                <w:vertAlign w:val="superscript"/>
                <w:rtl/>
              </w:rPr>
              <w:footnoteReference w:id="3600"/>
            </w:r>
          </w:p>
        </w:tc>
        <w:tc>
          <w:tcPr>
            <w:tcW w:w="4508" w:type="dxa"/>
            <w:vAlign w:val="center"/>
          </w:tcPr>
          <w:p w14:paraId="470BEF84" w14:textId="77777777" w:rsidR="00537CC8" w:rsidRPr="0025250D" w:rsidRDefault="00537CC8" w:rsidP="00824185">
            <w:pPr>
              <w:bidi/>
              <w:spacing w:after="160"/>
              <w:jc w:val="center"/>
              <w:rPr>
                <w:iCs/>
                <w:rtl/>
              </w:rPr>
            </w:pPr>
            <w:r w:rsidRPr="0025250D">
              <w:rPr>
                <w:iCs/>
              </w:rPr>
              <w:t>The Rich Roll Podcast (Personal &amp; Professional Dev.)</w:t>
            </w:r>
          </w:p>
        </w:tc>
      </w:tr>
      <w:tr w:rsidR="00537CC8" w:rsidRPr="0025250D" w14:paraId="6B466C85" w14:textId="77777777" w:rsidTr="00824185">
        <w:tc>
          <w:tcPr>
            <w:tcW w:w="4508" w:type="dxa"/>
            <w:vAlign w:val="center"/>
          </w:tcPr>
          <w:p w14:paraId="34227F6C" w14:textId="77777777" w:rsidR="00537CC8" w:rsidRPr="0025250D" w:rsidRDefault="00537CC8" w:rsidP="00824185">
            <w:pPr>
              <w:bidi/>
              <w:spacing w:after="160"/>
              <w:jc w:val="center"/>
              <w:rPr>
                <w:rtl/>
              </w:rPr>
            </w:pPr>
            <w:r w:rsidRPr="0025250D">
              <w:rPr>
                <w:rtl/>
              </w:rPr>
              <w:t>ت</w:t>
            </w:r>
            <w:r w:rsidRPr="0025250D">
              <w:rPr>
                <w:rFonts w:hint="cs"/>
                <w:rtl/>
              </w:rPr>
              <w:t>ی</w:t>
            </w:r>
            <w:r w:rsidRPr="0025250D">
              <w:rPr>
                <w:rFonts w:hint="eastAsia"/>
                <w:rtl/>
              </w:rPr>
              <w:t>م</w:t>
            </w:r>
            <w:r w:rsidRPr="0025250D">
              <w:rPr>
                <w:rtl/>
              </w:rPr>
              <w:t xml:space="preserve"> فر</w:t>
            </w:r>
            <w:r w:rsidRPr="0025250D">
              <w:rPr>
                <w:rFonts w:hint="cs"/>
                <w:rtl/>
              </w:rPr>
              <w:t>ی</w:t>
            </w:r>
            <w:r w:rsidRPr="0025250D">
              <w:rPr>
                <w:rFonts w:hint="eastAsia"/>
                <w:rtl/>
              </w:rPr>
              <w:t>س</w:t>
            </w:r>
            <w:r w:rsidRPr="0025250D">
              <w:rPr>
                <w:vertAlign w:val="superscript"/>
                <w:rtl/>
              </w:rPr>
              <w:footnoteReference w:id="3601"/>
            </w:r>
          </w:p>
        </w:tc>
        <w:tc>
          <w:tcPr>
            <w:tcW w:w="4508" w:type="dxa"/>
            <w:vAlign w:val="center"/>
          </w:tcPr>
          <w:p w14:paraId="2A7F28A1" w14:textId="77777777" w:rsidR="00537CC8" w:rsidRPr="0025250D" w:rsidRDefault="00537CC8" w:rsidP="00824185">
            <w:pPr>
              <w:bidi/>
              <w:spacing w:after="160"/>
              <w:jc w:val="center"/>
              <w:rPr>
                <w:iCs/>
                <w:rtl/>
              </w:rPr>
            </w:pPr>
            <w:r w:rsidRPr="0025250D">
              <w:rPr>
                <w:iCs/>
              </w:rPr>
              <w:t>The Tim Ferriss Show (Life Hacking)</w:t>
            </w:r>
          </w:p>
        </w:tc>
      </w:tr>
    </w:tbl>
    <w:p w14:paraId="07BE27D3" w14:textId="77777777" w:rsidR="00537CC8" w:rsidRPr="0025250D" w:rsidRDefault="00537CC8" w:rsidP="00537CC8">
      <w:pPr>
        <w:rPr>
          <w:rtl/>
        </w:rPr>
      </w:pPr>
    </w:p>
    <w:p w14:paraId="250A86B9" w14:textId="524F3AF0" w:rsidR="00537CC8" w:rsidRPr="0025250D" w:rsidRDefault="00537CC8" w:rsidP="00824185">
      <w:pPr>
        <w:pStyle w:val="Heading2"/>
        <w:rPr>
          <w:rtl/>
        </w:rPr>
      </w:pPr>
      <w:bookmarkStart w:id="94" w:name="_Toc127831358"/>
      <w:r w:rsidRPr="0025250D">
        <w:rPr>
          <w:rtl/>
        </w:rPr>
        <w:t>وب‌سا</w:t>
      </w:r>
      <w:r w:rsidRPr="0025250D">
        <w:rPr>
          <w:rFonts w:hint="cs"/>
          <w:rtl/>
        </w:rPr>
        <w:t>ی</w:t>
      </w:r>
      <w:r w:rsidRPr="0025250D">
        <w:rPr>
          <w:rFonts w:hint="eastAsia"/>
          <w:rtl/>
        </w:rPr>
        <w:t>ت‌ها</w:t>
      </w:r>
      <w:r w:rsidRPr="0025250D">
        <w:rPr>
          <w:rtl/>
        </w:rPr>
        <w:t xml:space="preserve"> و خبرنامه‌ها</w:t>
      </w:r>
      <w:r w:rsidRPr="0025250D">
        <w:rPr>
          <w:rFonts w:hint="cs"/>
          <w:rtl/>
        </w:rPr>
        <w:t>ی</w:t>
      </w:r>
      <w:r w:rsidRPr="0025250D">
        <w:rPr>
          <w:rtl/>
        </w:rPr>
        <w:t xml:space="preserve">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و </w:t>
      </w:r>
      <w:r w:rsidR="00D92F6E" w:rsidRPr="0025250D">
        <w:rPr>
          <w:rFonts w:hint="cs"/>
          <w:rtl/>
        </w:rPr>
        <w:t>آینده‌پژوه</w:t>
      </w:r>
      <w:r w:rsidRPr="0025250D">
        <w:rPr>
          <w:rFonts w:hint="cs"/>
          <w:rtl/>
        </w:rPr>
        <w:t>ی</w:t>
      </w:r>
      <w:bookmarkEnd w:id="94"/>
    </w:p>
    <w:p w14:paraId="6F1A6B93" w14:textId="55C41683" w:rsidR="00B01135" w:rsidRPr="0025250D" w:rsidRDefault="00B01135" w:rsidP="00B01135">
      <w:pPr>
        <w:rPr>
          <w:rtl/>
        </w:rPr>
      </w:pPr>
      <w:r w:rsidRPr="0025250D">
        <w:rPr>
          <w:rtl/>
        </w:rPr>
        <w:t>از آنجا</w:t>
      </w:r>
      <w:r w:rsidRPr="0025250D">
        <w:rPr>
          <w:rFonts w:hint="cs"/>
          <w:rtl/>
        </w:rPr>
        <w:t>یی</w:t>
      </w:r>
      <w:r w:rsidRPr="0025250D">
        <w:rPr>
          <w:rtl/>
        </w:rPr>
        <w:t xml:space="preserve"> که آ</w:t>
      </w:r>
      <w:r w:rsidRPr="0025250D">
        <w:rPr>
          <w:rFonts w:hint="cs"/>
          <w:rtl/>
        </w:rPr>
        <w:t>ی</w:t>
      </w:r>
      <w:r w:rsidRPr="0025250D">
        <w:rPr>
          <w:rFonts w:hint="eastAsia"/>
          <w:rtl/>
        </w:rPr>
        <w:t>نده</w:t>
      </w:r>
      <w:r w:rsidRPr="0025250D">
        <w:rPr>
          <w:rtl/>
        </w:rPr>
        <w:t xml:space="preserve"> چهار افق، شش حوزه، ب</w:t>
      </w:r>
      <w:r w:rsidRPr="0025250D">
        <w:rPr>
          <w:rFonts w:hint="cs"/>
          <w:rtl/>
        </w:rPr>
        <w:t>ی</w:t>
      </w:r>
      <w:r w:rsidRPr="0025250D">
        <w:rPr>
          <w:rFonts w:hint="eastAsia"/>
          <w:rtl/>
        </w:rPr>
        <w:t>ست</w:t>
      </w:r>
      <w:r w:rsidRPr="0025250D">
        <w:rPr>
          <w:rtl/>
        </w:rPr>
        <w:t xml:space="preserve"> تخصص و موضوعات و روش‌ها</w:t>
      </w:r>
      <w:r w:rsidRPr="0025250D">
        <w:rPr>
          <w:rFonts w:hint="cs"/>
          <w:rtl/>
        </w:rPr>
        <w:t>ی</w:t>
      </w:r>
      <w:r w:rsidRPr="0025250D">
        <w:rPr>
          <w:rtl/>
        </w:rPr>
        <w:t xml:space="preserve"> ب</w:t>
      </w:r>
      <w:r w:rsidRPr="0025250D">
        <w:rPr>
          <w:rFonts w:hint="cs"/>
          <w:rtl/>
        </w:rPr>
        <w:t>ی‌</w:t>
      </w:r>
      <w:r w:rsidRPr="0025250D">
        <w:rPr>
          <w:rFonts w:hint="eastAsia"/>
          <w:rtl/>
        </w:rPr>
        <w:t>شمار</w:t>
      </w:r>
      <w:r w:rsidRPr="0025250D">
        <w:rPr>
          <w:rFonts w:hint="cs"/>
          <w:rtl/>
        </w:rPr>
        <w:t>ی</w:t>
      </w:r>
      <w:r w:rsidRPr="0025250D">
        <w:rPr>
          <w:rtl/>
        </w:rPr>
        <w:t xml:space="preserve"> را در بر م</w:t>
      </w:r>
      <w:r w:rsidRPr="0025250D">
        <w:rPr>
          <w:rFonts w:hint="cs"/>
          <w:rtl/>
        </w:rPr>
        <w:t>ی‌</w:t>
      </w:r>
      <w:r w:rsidRPr="0025250D">
        <w:rPr>
          <w:rFonts w:hint="eastAsia"/>
          <w:rtl/>
        </w:rPr>
        <w:t>گ</w:t>
      </w:r>
      <w:r w:rsidRPr="0025250D">
        <w:rPr>
          <w:rFonts w:hint="cs"/>
          <w:rtl/>
        </w:rPr>
        <w:t>ی</w:t>
      </w:r>
      <w:r w:rsidRPr="0025250D">
        <w:rPr>
          <w:rFonts w:hint="eastAsia"/>
          <w:rtl/>
        </w:rPr>
        <w:t>رد،</w:t>
      </w:r>
      <w:r w:rsidRPr="0025250D">
        <w:rPr>
          <w:rtl/>
        </w:rPr>
        <w:t xml:space="preserve"> در حال حاضر وب‌سا</w:t>
      </w:r>
      <w:r w:rsidRPr="0025250D">
        <w:rPr>
          <w:rFonts w:hint="cs"/>
          <w:rtl/>
        </w:rPr>
        <w:t>ی</w:t>
      </w:r>
      <w:r w:rsidRPr="0025250D">
        <w:rPr>
          <w:rFonts w:hint="eastAsia"/>
          <w:rtl/>
        </w:rPr>
        <w:t>ت‌ها</w:t>
      </w:r>
      <w:r w:rsidRPr="0025250D">
        <w:rPr>
          <w:rFonts w:hint="cs"/>
          <w:rtl/>
        </w:rPr>
        <w:t>ی</w:t>
      </w:r>
      <w:r w:rsidRPr="0025250D">
        <w:rPr>
          <w:rtl/>
        </w:rPr>
        <w:t xml:space="preserve"> آموزنده ز</w:t>
      </w:r>
      <w:r w:rsidRPr="0025250D">
        <w:rPr>
          <w:rFonts w:hint="cs"/>
          <w:rtl/>
        </w:rPr>
        <w:t>ی</w:t>
      </w:r>
      <w:r w:rsidRPr="0025250D">
        <w:rPr>
          <w:rFonts w:hint="eastAsia"/>
          <w:rtl/>
        </w:rPr>
        <w:t>اد</w:t>
      </w:r>
      <w:r w:rsidRPr="0025250D">
        <w:rPr>
          <w:rFonts w:hint="cs"/>
          <w:rtl/>
        </w:rPr>
        <w:t>ی</w:t>
      </w:r>
      <w:r w:rsidRPr="0025250D">
        <w:rPr>
          <w:rtl/>
        </w:rPr>
        <w:t xml:space="preserve"> وجود دار</w:t>
      </w:r>
      <w:r w:rsidRPr="0025250D">
        <w:rPr>
          <w:rFonts w:hint="cs"/>
          <w:rtl/>
        </w:rPr>
        <w:t>ن</w:t>
      </w:r>
      <w:r w:rsidRPr="0025250D">
        <w:rPr>
          <w:rtl/>
        </w:rPr>
        <w:t xml:space="preserve">د که </w:t>
      </w:r>
      <w:r w:rsidRPr="0025250D">
        <w:rPr>
          <w:rFonts w:hint="cs"/>
          <w:rtl/>
        </w:rPr>
        <w:t>می ت</w:t>
      </w:r>
      <w:r w:rsidRPr="0025250D">
        <w:rPr>
          <w:rtl/>
        </w:rPr>
        <w:t>وان</w:t>
      </w:r>
      <w:r w:rsidRPr="0025250D">
        <w:rPr>
          <w:rFonts w:hint="cs"/>
          <w:rtl/>
        </w:rPr>
        <w:t>ی</w:t>
      </w:r>
      <w:r w:rsidRPr="0025250D">
        <w:rPr>
          <w:rFonts w:hint="eastAsia"/>
          <w:rtl/>
        </w:rPr>
        <w:t>م</w:t>
      </w:r>
      <w:r w:rsidRPr="0025250D">
        <w:rPr>
          <w:rtl/>
        </w:rPr>
        <w:t xml:space="preserve"> </w:t>
      </w:r>
      <w:r w:rsidRPr="0025250D">
        <w:rPr>
          <w:rFonts w:hint="cs"/>
          <w:rtl/>
        </w:rPr>
        <w:t xml:space="preserve">یک </w:t>
      </w:r>
      <w:r w:rsidRPr="0025250D">
        <w:rPr>
          <w:rtl/>
        </w:rPr>
        <w:t>فهرست پ</w:t>
      </w:r>
      <w:r w:rsidRPr="0025250D">
        <w:rPr>
          <w:rFonts w:hint="cs"/>
          <w:rtl/>
        </w:rPr>
        <w:t>ی</w:t>
      </w:r>
      <w:r w:rsidRPr="0025250D">
        <w:rPr>
          <w:rFonts w:hint="eastAsia"/>
          <w:rtl/>
        </w:rPr>
        <w:t>شنهاد</w:t>
      </w:r>
      <w:r w:rsidRPr="0025250D">
        <w:rPr>
          <w:rFonts w:hint="cs"/>
          <w:rtl/>
        </w:rPr>
        <w:t>ی</w:t>
      </w:r>
      <w:r w:rsidR="00E3750D" w:rsidRPr="0025250D">
        <w:rPr>
          <w:rFonts w:hint="cs"/>
          <w:rtl/>
        </w:rPr>
        <w:t xml:space="preserve"> از آن‌ها</w:t>
      </w:r>
      <w:r w:rsidRPr="0025250D">
        <w:rPr>
          <w:rtl/>
        </w:rPr>
        <w:t xml:space="preserve"> ته</w:t>
      </w:r>
      <w:r w:rsidRPr="0025250D">
        <w:rPr>
          <w:rFonts w:hint="cs"/>
          <w:rtl/>
        </w:rPr>
        <w:t>ی</w:t>
      </w:r>
      <w:r w:rsidRPr="0025250D">
        <w:rPr>
          <w:rFonts w:hint="eastAsia"/>
          <w:rtl/>
        </w:rPr>
        <w:t>ه</w:t>
      </w:r>
      <w:r w:rsidRPr="0025250D">
        <w:rPr>
          <w:rtl/>
        </w:rPr>
        <w:t xml:space="preserve"> کن</w:t>
      </w:r>
      <w:r w:rsidRPr="0025250D">
        <w:rPr>
          <w:rFonts w:hint="cs"/>
          <w:rtl/>
        </w:rPr>
        <w:t>ی</w:t>
      </w:r>
      <w:r w:rsidRPr="0025250D">
        <w:rPr>
          <w:rFonts w:hint="eastAsia"/>
          <w:rtl/>
        </w:rPr>
        <w:t>م</w:t>
      </w:r>
      <w:r w:rsidRPr="0025250D">
        <w:rPr>
          <w:rtl/>
        </w:rPr>
        <w:t>. توص</w:t>
      </w:r>
      <w:r w:rsidRPr="0025250D">
        <w:rPr>
          <w:rFonts w:hint="cs"/>
          <w:rtl/>
        </w:rPr>
        <w:t>ی</w:t>
      </w:r>
      <w:r w:rsidRPr="0025250D">
        <w:rPr>
          <w:rFonts w:hint="eastAsia"/>
          <w:rtl/>
        </w:rPr>
        <w:t>ه</w:t>
      </w:r>
      <w:r w:rsidRPr="0025250D">
        <w:rPr>
          <w:rtl/>
        </w:rPr>
        <w:t xml:space="preserve"> م</w:t>
      </w:r>
      <w:r w:rsidRPr="0025250D">
        <w:rPr>
          <w:rFonts w:hint="cs"/>
          <w:rtl/>
        </w:rPr>
        <w:t>ی‌</w:t>
      </w:r>
      <w:r w:rsidRPr="0025250D">
        <w:rPr>
          <w:rFonts w:hint="eastAsia"/>
          <w:rtl/>
        </w:rPr>
        <w:t>کن</w:t>
      </w:r>
      <w:r w:rsidRPr="0025250D">
        <w:rPr>
          <w:rFonts w:hint="cs"/>
          <w:rtl/>
        </w:rPr>
        <w:t>ی</w:t>
      </w:r>
      <w:r w:rsidRPr="0025250D">
        <w:rPr>
          <w:rFonts w:hint="eastAsia"/>
          <w:rtl/>
        </w:rPr>
        <w:t>م</w:t>
      </w:r>
      <w:r w:rsidRPr="0025250D">
        <w:rPr>
          <w:rtl/>
        </w:rPr>
        <w:t xml:space="preserve"> برا</w:t>
      </w:r>
      <w:r w:rsidRPr="0025250D">
        <w:rPr>
          <w:rFonts w:hint="cs"/>
          <w:rtl/>
        </w:rPr>
        <w:t>ی</w:t>
      </w:r>
      <w:r w:rsidRPr="0025250D">
        <w:rPr>
          <w:rtl/>
        </w:rPr>
        <w:t xml:space="preserve"> </w:t>
      </w:r>
      <w:r w:rsidRPr="0025250D">
        <w:rPr>
          <w:rFonts w:hint="cs"/>
          <w:rtl/>
        </w:rPr>
        <w:t>ی</w:t>
      </w:r>
      <w:r w:rsidRPr="0025250D">
        <w:rPr>
          <w:rFonts w:hint="eastAsia"/>
          <w:rtl/>
        </w:rPr>
        <w:t>افتن</w:t>
      </w:r>
      <w:r w:rsidRPr="0025250D">
        <w:rPr>
          <w:rtl/>
        </w:rPr>
        <w:t xml:space="preserve"> وبلاگ‌ها، مقالات، خبرنامه‌ها، و</w:t>
      </w:r>
      <w:r w:rsidRPr="0025250D">
        <w:rPr>
          <w:rFonts w:hint="cs"/>
          <w:rtl/>
        </w:rPr>
        <w:t>ی</w:t>
      </w:r>
      <w:r w:rsidRPr="0025250D">
        <w:rPr>
          <w:rFonts w:hint="eastAsia"/>
          <w:rtl/>
        </w:rPr>
        <w:t>دئوها،</w:t>
      </w:r>
      <w:r w:rsidRPr="0025250D">
        <w:rPr>
          <w:rtl/>
        </w:rPr>
        <w:t xml:space="preserve"> کنفرانس‌ها و سا</w:t>
      </w:r>
      <w:r w:rsidRPr="0025250D">
        <w:rPr>
          <w:rFonts w:hint="cs"/>
          <w:rtl/>
        </w:rPr>
        <w:t>ی</w:t>
      </w:r>
      <w:r w:rsidRPr="0025250D">
        <w:rPr>
          <w:rFonts w:hint="eastAsia"/>
          <w:rtl/>
        </w:rPr>
        <w:t>ر</w:t>
      </w:r>
      <w:r w:rsidRPr="0025250D">
        <w:rPr>
          <w:rtl/>
        </w:rPr>
        <w:t xml:space="preserve"> رسانه‌ها</w:t>
      </w:r>
      <w:r w:rsidRPr="0025250D">
        <w:rPr>
          <w:rFonts w:hint="cs"/>
          <w:rtl/>
        </w:rPr>
        <w:t>یی</w:t>
      </w:r>
      <w:r w:rsidRPr="0025250D">
        <w:rPr>
          <w:rtl/>
        </w:rPr>
        <w:t xml:space="preserve"> که ممکن است در آموزش آ</w:t>
      </w:r>
      <w:r w:rsidRPr="0025250D">
        <w:rPr>
          <w:rFonts w:hint="cs"/>
          <w:rtl/>
        </w:rPr>
        <w:t>ی</w:t>
      </w:r>
      <w:r w:rsidRPr="0025250D">
        <w:rPr>
          <w:rFonts w:hint="eastAsia"/>
          <w:rtl/>
        </w:rPr>
        <w:t>نده‌نگار</w:t>
      </w:r>
      <w:r w:rsidRPr="0025250D">
        <w:rPr>
          <w:rFonts w:hint="cs"/>
          <w:rtl/>
        </w:rPr>
        <w:t>ی</w:t>
      </w:r>
      <w:r w:rsidRPr="0025250D">
        <w:rPr>
          <w:rtl/>
        </w:rPr>
        <w:t xml:space="preserve"> </w:t>
      </w:r>
      <w:r w:rsidR="001A3F0A" w:rsidRPr="0025250D">
        <w:rPr>
          <w:rtl/>
        </w:rPr>
        <w:t>فردی</w:t>
      </w:r>
      <w:r w:rsidRPr="0025250D">
        <w:rPr>
          <w:rtl/>
        </w:rPr>
        <w:t xml:space="preserve"> و </w:t>
      </w:r>
      <w:r w:rsidRPr="0025250D">
        <w:rPr>
          <w:rFonts w:hint="cs"/>
          <w:rtl/>
        </w:rPr>
        <w:t>تخصصی</w:t>
      </w:r>
      <w:r w:rsidRPr="0025250D">
        <w:rPr>
          <w:rtl/>
        </w:rPr>
        <w:t xml:space="preserve"> به شما کمک کنند، به </w:t>
      </w:r>
      <w:r w:rsidRPr="0025250D">
        <w:rPr>
          <w:rFonts w:hint="cs"/>
          <w:rtl/>
        </w:rPr>
        <w:t>ی</w:t>
      </w:r>
      <w:r w:rsidRPr="0025250D">
        <w:rPr>
          <w:rFonts w:hint="eastAsia"/>
          <w:rtl/>
        </w:rPr>
        <w:t>ک</w:t>
      </w:r>
      <w:r w:rsidRPr="0025250D">
        <w:rPr>
          <w:rFonts w:hint="cs"/>
          <w:rtl/>
        </w:rPr>
        <w:t>ی</w:t>
      </w:r>
      <w:r w:rsidRPr="0025250D">
        <w:rPr>
          <w:rtl/>
        </w:rPr>
        <w:t xml:space="preserve"> از فهرست‌ها</w:t>
      </w:r>
      <w:r w:rsidRPr="0025250D">
        <w:rPr>
          <w:rFonts w:hint="cs"/>
          <w:rtl/>
        </w:rPr>
        <w:t>ی</w:t>
      </w:r>
      <w:r w:rsidRPr="0025250D">
        <w:rPr>
          <w:rtl/>
        </w:rPr>
        <w:t xml:space="preserve"> وب‌سا</w:t>
      </w:r>
      <w:r w:rsidRPr="0025250D">
        <w:rPr>
          <w:rFonts w:hint="cs"/>
          <w:rtl/>
        </w:rPr>
        <w:t>ی</w:t>
      </w:r>
      <w:r w:rsidRPr="0025250D">
        <w:rPr>
          <w:rFonts w:hint="eastAsia"/>
          <w:rtl/>
        </w:rPr>
        <w:t>ت‌ها</w:t>
      </w:r>
      <w:r w:rsidRPr="0025250D">
        <w:rPr>
          <w:rFonts w:hint="cs"/>
          <w:rtl/>
        </w:rPr>
        <w:t>ی</w:t>
      </w:r>
      <w:r w:rsidRPr="0025250D">
        <w:rPr>
          <w:rtl/>
        </w:rPr>
        <w:t xml:space="preserve"> آ</w:t>
      </w:r>
      <w:r w:rsidRPr="0025250D">
        <w:rPr>
          <w:rFonts w:hint="cs"/>
          <w:rtl/>
        </w:rPr>
        <w:t>ی</w:t>
      </w:r>
      <w:r w:rsidRPr="0025250D">
        <w:rPr>
          <w:rFonts w:hint="eastAsia"/>
          <w:rtl/>
        </w:rPr>
        <w:t>نده‌نگار</w:t>
      </w:r>
      <w:r w:rsidRPr="0025250D">
        <w:rPr>
          <w:rFonts w:hint="cs"/>
          <w:rtl/>
        </w:rPr>
        <w:t>ی</w:t>
      </w:r>
      <w:r w:rsidRPr="0025250D">
        <w:rPr>
          <w:rtl/>
        </w:rPr>
        <w:t xml:space="preserve"> ز</w:t>
      </w:r>
      <w:r w:rsidRPr="0025250D">
        <w:rPr>
          <w:rFonts w:hint="cs"/>
          <w:rtl/>
        </w:rPr>
        <w:t>ی</w:t>
      </w:r>
      <w:r w:rsidRPr="0025250D">
        <w:rPr>
          <w:rFonts w:hint="eastAsia"/>
          <w:rtl/>
        </w:rPr>
        <w:t>ر</w:t>
      </w:r>
      <w:r w:rsidRPr="0025250D">
        <w:rPr>
          <w:rtl/>
        </w:rPr>
        <w:t xml:space="preserve"> نگاه کن</w:t>
      </w:r>
      <w:r w:rsidRPr="0025250D">
        <w:rPr>
          <w:rFonts w:hint="cs"/>
          <w:rtl/>
        </w:rPr>
        <w:t>ی</w:t>
      </w:r>
      <w:r w:rsidRPr="0025250D">
        <w:rPr>
          <w:rFonts w:hint="eastAsia"/>
          <w:rtl/>
        </w:rPr>
        <w:t>د</w:t>
      </w:r>
      <w:r w:rsidRPr="0025250D">
        <w:rPr>
          <w:rtl/>
        </w:rPr>
        <w:t>.</w:t>
      </w:r>
    </w:p>
    <w:p w14:paraId="5CE34914" w14:textId="639DDCDD" w:rsidR="00B01135" w:rsidRPr="0025250D" w:rsidRDefault="00B01135" w:rsidP="00B01135">
      <w:pPr>
        <w:rPr>
          <w:rtl/>
        </w:rPr>
      </w:pPr>
      <w:r w:rsidRPr="0025250D">
        <w:rPr>
          <w:rtl/>
        </w:rPr>
        <w:t>در ز</w:t>
      </w:r>
      <w:r w:rsidRPr="0025250D">
        <w:rPr>
          <w:rFonts w:hint="cs"/>
          <w:rtl/>
        </w:rPr>
        <w:t>ی</w:t>
      </w:r>
      <w:r w:rsidRPr="0025250D">
        <w:rPr>
          <w:rFonts w:hint="eastAsia"/>
          <w:rtl/>
        </w:rPr>
        <w:t>ر</w:t>
      </w:r>
      <w:r w:rsidRPr="0025250D">
        <w:rPr>
          <w:rtl/>
        </w:rPr>
        <w:t xml:space="preserve"> برخ</w:t>
      </w:r>
      <w:r w:rsidRPr="0025250D">
        <w:rPr>
          <w:rFonts w:hint="cs"/>
          <w:rtl/>
        </w:rPr>
        <w:t>ی</w:t>
      </w:r>
      <w:r w:rsidRPr="0025250D">
        <w:rPr>
          <w:rtl/>
        </w:rPr>
        <w:t xml:space="preserve"> از ل</w:t>
      </w:r>
      <w:r w:rsidRPr="0025250D">
        <w:rPr>
          <w:rFonts w:hint="cs"/>
          <w:rtl/>
        </w:rPr>
        <w:t>ی</w:t>
      </w:r>
      <w:r w:rsidRPr="0025250D">
        <w:rPr>
          <w:rFonts w:hint="eastAsia"/>
          <w:rtl/>
        </w:rPr>
        <w:t>ست</w:t>
      </w:r>
      <w:r w:rsidRPr="0025250D">
        <w:rPr>
          <w:rtl/>
        </w:rPr>
        <w:t xml:space="preserve"> ها</w:t>
      </w:r>
      <w:r w:rsidRPr="0025250D">
        <w:rPr>
          <w:rFonts w:hint="cs"/>
          <w:rtl/>
        </w:rPr>
        <w:t>ی</w:t>
      </w:r>
      <w:r w:rsidRPr="0025250D">
        <w:rPr>
          <w:rtl/>
        </w:rPr>
        <w:t xml:space="preserve"> آغاز</w:t>
      </w:r>
      <w:r w:rsidRPr="0025250D">
        <w:rPr>
          <w:rFonts w:hint="cs"/>
          <w:rtl/>
        </w:rPr>
        <w:t>ی</w:t>
      </w:r>
      <w:r w:rsidRPr="0025250D">
        <w:rPr>
          <w:rFonts w:hint="eastAsia"/>
          <w:rtl/>
        </w:rPr>
        <w:t>ن</w:t>
      </w:r>
      <w:r w:rsidRPr="0025250D">
        <w:rPr>
          <w:rtl/>
        </w:rPr>
        <w:t xml:space="preserve"> آورده شده است</w:t>
      </w:r>
      <w:r w:rsidRPr="0025250D">
        <w:rPr>
          <w:rFonts w:hint="cs"/>
          <w:rtl/>
        </w:rPr>
        <w:t>:</w:t>
      </w:r>
    </w:p>
    <w:p w14:paraId="1FDF1C1C" w14:textId="77777777" w:rsidR="00537CC8" w:rsidRPr="0025250D" w:rsidRDefault="00537CC8" w:rsidP="00537CC8">
      <w:pPr>
        <w:rPr>
          <w:rtl/>
        </w:rPr>
      </w:pPr>
    </w:p>
    <w:tbl>
      <w:tblPr>
        <w:tblStyle w:val="TableGrid"/>
        <w:bidiVisual/>
        <w:tblW w:w="0" w:type="auto"/>
        <w:tblLook w:val="04A0" w:firstRow="1" w:lastRow="0" w:firstColumn="1" w:lastColumn="0" w:noHBand="0" w:noVBand="1"/>
      </w:tblPr>
      <w:tblGrid>
        <w:gridCol w:w="2831"/>
        <w:gridCol w:w="4529"/>
      </w:tblGrid>
      <w:tr w:rsidR="00537CC8" w:rsidRPr="0025250D" w14:paraId="33486CDF" w14:textId="77777777" w:rsidTr="00B01135">
        <w:tc>
          <w:tcPr>
            <w:tcW w:w="2831" w:type="dxa"/>
            <w:vAlign w:val="center"/>
          </w:tcPr>
          <w:p w14:paraId="4D461ACA" w14:textId="2761961A" w:rsidR="00537CC8" w:rsidRPr="0025250D" w:rsidRDefault="00B01135" w:rsidP="00B01135">
            <w:pPr>
              <w:spacing w:after="160"/>
              <w:jc w:val="center"/>
              <w:rPr>
                <w:rtl/>
              </w:rPr>
            </w:pPr>
            <w:r w:rsidRPr="0025250D">
              <w:rPr>
                <w:rFonts w:hint="cs"/>
                <w:rtl/>
              </w:rPr>
              <w:t>وبسایت</w:t>
            </w:r>
          </w:p>
        </w:tc>
        <w:tc>
          <w:tcPr>
            <w:tcW w:w="4529" w:type="dxa"/>
            <w:vAlign w:val="center"/>
          </w:tcPr>
          <w:p w14:paraId="157E8F34" w14:textId="6B6DF4D7" w:rsidR="00537CC8" w:rsidRPr="0025250D" w:rsidRDefault="00B01135" w:rsidP="00B01135">
            <w:pPr>
              <w:spacing w:after="160"/>
              <w:jc w:val="center"/>
              <w:rPr>
                <w:rtl/>
              </w:rPr>
            </w:pPr>
            <w:r w:rsidRPr="0025250D">
              <w:rPr>
                <w:rFonts w:hint="cs"/>
                <w:rtl/>
              </w:rPr>
              <w:t>خبرنامه</w:t>
            </w:r>
          </w:p>
        </w:tc>
      </w:tr>
      <w:tr w:rsidR="00537CC8" w:rsidRPr="0025250D" w14:paraId="01C01659" w14:textId="77777777" w:rsidTr="00B01135">
        <w:tc>
          <w:tcPr>
            <w:tcW w:w="2831" w:type="dxa"/>
            <w:vAlign w:val="center"/>
          </w:tcPr>
          <w:p w14:paraId="7C857C94" w14:textId="77777777" w:rsidR="00537CC8" w:rsidRPr="0025250D" w:rsidRDefault="00537CC8" w:rsidP="00B01135">
            <w:pPr>
              <w:spacing w:after="160"/>
              <w:jc w:val="center"/>
              <w:rPr>
                <w:rtl/>
              </w:rPr>
            </w:pPr>
            <w:r w:rsidRPr="0025250D">
              <w:t>GlobalForesight.org</w:t>
            </w:r>
          </w:p>
        </w:tc>
        <w:tc>
          <w:tcPr>
            <w:tcW w:w="4529" w:type="dxa"/>
            <w:vAlign w:val="center"/>
          </w:tcPr>
          <w:p w14:paraId="2809243E" w14:textId="77777777" w:rsidR="00537CC8" w:rsidRPr="0025250D" w:rsidRDefault="00537CC8" w:rsidP="00B01135">
            <w:pPr>
              <w:spacing w:after="160"/>
              <w:jc w:val="center"/>
              <w:rPr>
                <w:rtl/>
              </w:rPr>
            </w:pPr>
            <w:r w:rsidRPr="0025250D">
              <w:t>Foresight Media</w:t>
            </w:r>
          </w:p>
        </w:tc>
      </w:tr>
      <w:tr w:rsidR="00537CC8" w:rsidRPr="0025250D" w14:paraId="0247D85E" w14:textId="77777777" w:rsidTr="00B01135">
        <w:tc>
          <w:tcPr>
            <w:tcW w:w="2831" w:type="dxa"/>
            <w:vAlign w:val="center"/>
          </w:tcPr>
          <w:p w14:paraId="4126142C" w14:textId="77777777" w:rsidR="00537CC8" w:rsidRPr="0025250D" w:rsidRDefault="00537CC8" w:rsidP="00B01135">
            <w:pPr>
              <w:spacing w:after="160"/>
              <w:jc w:val="center"/>
              <w:rPr>
                <w:rtl/>
              </w:rPr>
            </w:pPr>
            <w:r w:rsidRPr="0025250D">
              <w:t>ForesightGuide.com</w:t>
            </w:r>
          </w:p>
        </w:tc>
        <w:tc>
          <w:tcPr>
            <w:tcW w:w="4529" w:type="dxa"/>
            <w:vAlign w:val="center"/>
          </w:tcPr>
          <w:p w14:paraId="6CE0AC88" w14:textId="77777777" w:rsidR="00537CC8" w:rsidRPr="0025250D" w:rsidRDefault="00537CC8" w:rsidP="00B01135">
            <w:pPr>
              <w:spacing w:after="160"/>
              <w:jc w:val="center"/>
              <w:rPr>
                <w:rtl/>
              </w:rPr>
            </w:pPr>
            <w:r w:rsidRPr="0025250D">
              <w:t>Great Foresight Media</w:t>
            </w:r>
          </w:p>
        </w:tc>
      </w:tr>
      <w:tr w:rsidR="00537CC8" w:rsidRPr="0025250D" w14:paraId="05B3025A" w14:textId="77777777" w:rsidTr="00B01135">
        <w:tc>
          <w:tcPr>
            <w:tcW w:w="2831" w:type="dxa"/>
            <w:vAlign w:val="center"/>
          </w:tcPr>
          <w:p w14:paraId="19444479" w14:textId="77777777" w:rsidR="00537CC8" w:rsidRPr="0025250D" w:rsidRDefault="00537CC8" w:rsidP="00B01135">
            <w:pPr>
              <w:spacing w:after="160"/>
              <w:jc w:val="center"/>
              <w:rPr>
                <w:rtl/>
              </w:rPr>
            </w:pPr>
            <w:r w:rsidRPr="0025250D">
              <w:t>Reddit.com/r/Futurology</w:t>
            </w:r>
          </w:p>
        </w:tc>
        <w:tc>
          <w:tcPr>
            <w:tcW w:w="4529" w:type="dxa"/>
            <w:vAlign w:val="center"/>
          </w:tcPr>
          <w:p w14:paraId="6B03A3E2" w14:textId="77777777" w:rsidR="00537CC8" w:rsidRPr="0025250D" w:rsidRDefault="00537CC8" w:rsidP="00B01135">
            <w:pPr>
              <w:spacing w:after="160"/>
              <w:jc w:val="center"/>
              <w:rPr>
                <w:rtl/>
              </w:rPr>
            </w:pPr>
            <w:r w:rsidRPr="0025250D">
              <w:t>Futurology Resources Wiki</w:t>
            </w:r>
          </w:p>
        </w:tc>
      </w:tr>
      <w:tr w:rsidR="00537CC8" w:rsidRPr="0025250D" w14:paraId="2CBD269B" w14:textId="77777777" w:rsidTr="00B01135">
        <w:tc>
          <w:tcPr>
            <w:tcW w:w="2831" w:type="dxa"/>
            <w:vAlign w:val="center"/>
          </w:tcPr>
          <w:p w14:paraId="3F6DE3E1" w14:textId="77777777" w:rsidR="00537CC8" w:rsidRPr="0025250D" w:rsidRDefault="00537CC8" w:rsidP="00B01135">
            <w:pPr>
              <w:spacing w:after="160"/>
              <w:jc w:val="center"/>
              <w:rPr>
                <w:rtl/>
              </w:rPr>
            </w:pPr>
            <w:r w:rsidRPr="0025250D">
              <w:t>Quora.com</w:t>
            </w:r>
          </w:p>
        </w:tc>
        <w:tc>
          <w:tcPr>
            <w:tcW w:w="4529" w:type="dxa"/>
            <w:vAlign w:val="center"/>
          </w:tcPr>
          <w:p w14:paraId="75CBF684" w14:textId="77777777" w:rsidR="00537CC8" w:rsidRPr="0025250D" w:rsidRDefault="00537CC8" w:rsidP="00B01135">
            <w:pPr>
              <w:spacing w:after="160"/>
              <w:jc w:val="center"/>
              <w:rPr>
                <w:rtl/>
              </w:rPr>
            </w:pPr>
            <w:r w:rsidRPr="0025250D">
              <w:t>What are the Best Futurist Websites and Blogs</w:t>
            </w:r>
            <w:r w:rsidRPr="0025250D">
              <w:rPr>
                <w:rtl/>
              </w:rPr>
              <w:t>?</w:t>
            </w:r>
          </w:p>
        </w:tc>
      </w:tr>
      <w:tr w:rsidR="00537CC8" w:rsidRPr="0025250D" w14:paraId="50B6857D" w14:textId="77777777" w:rsidTr="00B01135">
        <w:tc>
          <w:tcPr>
            <w:tcW w:w="2831" w:type="dxa"/>
            <w:vAlign w:val="center"/>
          </w:tcPr>
          <w:p w14:paraId="6F7EDD80" w14:textId="77777777" w:rsidR="00537CC8" w:rsidRPr="0025250D" w:rsidRDefault="00537CC8" w:rsidP="00B01135">
            <w:pPr>
              <w:spacing w:after="160"/>
              <w:jc w:val="center"/>
              <w:rPr>
                <w:rtl/>
              </w:rPr>
            </w:pPr>
            <w:r w:rsidRPr="0025250D">
              <w:t>Amazon.com</w:t>
            </w:r>
          </w:p>
        </w:tc>
        <w:tc>
          <w:tcPr>
            <w:tcW w:w="4529" w:type="dxa"/>
            <w:vAlign w:val="center"/>
          </w:tcPr>
          <w:p w14:paraId="7104657E" w14:textId="77777777" w:rsidR="00537CC8" w:rsidRPr="0025250D" w:rsidRDefault="00537CC8" w:rsidP="00B01135">
            <w:pPr>
              <w:spacing w:after="160"/>
              <w:jc w:val="center"/>
              <w:rPr>
                <w:rtl/>
              </w:rPr>
            </w:pPr>
            <w:r w:rsidRPr="0025250D">
              <w:t>Bestsellers in Futurology</w:t>
            </w:r>
          </w:p>
        </w:tc>
      </w:tr>
      <w:tr w:rsidR="00537CC8" w:rsidRPr="0025250D" w14:paraId="053D6FE1" w14:textId="77777777" w:rsidTr="00B01135">
        <w:tc>
          <w:tcPr>
            <w:tcW w:w="2831" w:type="dxa"/>
            <w:vAlign w:val="center"/>
          </w:tcPr>
          <w:p w14:paraId="052BE9DA" w14:textId="77777777" w:rsidR="00537CC8" w:rsidRPr="0025250D" w:rsidRDefault="00537CC8" w:rsidP="00B01135">
            <w:pPr>
              <w:spacing w:after="160"/>
              <w:jc w:val="center"/>
              <w:rPr>
                <w:rtl/>
              </w:rPr>
            </w:pPr>
            <w:r w:rsidRPr="0025250D">
              <w:t>Feedspot.com</w:t>
            </w:r>
          </w:p>
        </w:tc>
        <w:tc>
          <w:tcPr>
            <w:tcW w:w="4529" w:type="dxa"/>
            <w:vAlign w:val="center"/>
          </w:tcPr>
          <w:p w14:paraId="00B6F0B8" w14:textId="77777777" w:rsidR="00537CC8" w:rsidRPr="0025250D" w:rsidRDefault="00537CC8" w:rsidP="00B01135">
            <w:pPr>
              <w:spacing w:after="160"/>
              <w:jc w:val="center"/>
              <w:rPr>
                <w:rtl/>
              </w:rPr>
            </w:pPr>
            <w:r w:rsidRPr="0025250D">
              <w:t>Top 50 Futurism Blogs and Websites in 2020</w:t>
            </w:r>
          </w:p>
        </w:tc>
      </w:tr>
      <w:tr w:rsidR="00537CC8" w:rsidRPr="0025250D" w14:paraId="387CB7E8" w14:textId="77777777" w:rsidTr="00B01135">
        <w:tc>
          <w:tcPr>
            <w:tcW w:w="2831" w:type="dxa"/>
            <w:vAlign w:val="center"/>
          </w:tcPr>
          <w:p w14:paraId="20F9C496" w14:textId="77777777" w:rsidR="00537CC8" w:rsidRPr="0025250D" w:rsidRDefault="00537CC8" w:rsidP="00B01135">
            <w:pPr>
              <w:spacing w:after="160"/>
              <w:jc w:val="center"/>
              <w:rPr>
                <w:rtl/>
              </w:rPr>
            </w:pPr>
            <w:r w:rsidRPr="0025250D">
              <w:t>RossDawson.com</w:t>
            </w:r>
          </w:p>
        </w:tc>
        <w:tc>
          <w:tcPr>
            <w:tcW w:w="4529" w:type="dxa"/>
            <w:vAlign w:val="center"/>
          </w:tcPr>
          <w:p w14:paraId="28F77628" w14:textId="77777777" w:rsidR="00537CC8" w:rsidRPr="0025250D" w:rsidRDefault="00537CC8" w:rsidP="00B01135">
            <w:pPr>
              <w:spacing w:after="160"/>
              <w:jc w:val="center"/>
              <w:rPr>
                <w:rtl/>
              </w:rPr>
            </w:pPr>
            <w:r w:rsidRPr="0025250D">
              <w:t>250 Most Inﬂuential Futurists (Personal Websites)</w:t>
            </w:r>
          </w:p>
        </w:tc>
      </w:tr>
    </w:tbl>
    <w:p w14:paraId="23A81989" w14:textId="74E8BE19" w:rsidR="00537CC8" w:rsidRPr="0025250D" w:rsidRDefault="00537CC8" w:rsidP="00537CC8">
      <w:pPr>
        <w:rPr>
          <w:rtl/>
        </w:rPr>
      </w:pPr>
    </w:p>
    <w:p w14:paraId="1FD1A957" w14:textId="5E75DA0B" w:rsidR="00B01135" w:rsidRPr="0025250D" w:rsidRDefault="00B01135" w:rsidP="00537CC8">
      <w:pPr>
        <w:rPr>
          <w:rtl/>
        </w:rPr>
      </w:pPr>
      <w:r w:rsidRPr="0025250D">
        <w:rPr>
          <w:rtl/>
        </w:rPr>
        <w:t>چند خبرنامه عال</w:t>
      </w:r>
      <w:r w:rsidRPr="0025250D">
        <w:rPr>
          <w:rFonts w:hint="cs"/>
          <w:rtl/>
        </w:rPr>
        <w:t>ی</w:t>
      </w:r>
      <w:r w:rsidRPr="0025250D">
        <w:rPr>
          <w:rtl/>
        </w:rPr>
        <w:t xml:space="preserve"> </w:t>
      </w:r>
      <w:r w:rsidR="00D92F6E" w:rsidRPr="0025250D">
        <w:rPr>
          <w:rtl/>
        </w:rPr>
        <w:t>آینده‌نگاری</w:t>
      </w:r>
      <w:r w:rsidRPr="0025250D">
        <w:rPr>
          <w:rtl/>
        </w:rPr>
        <w:t xml:space="preserve"> را</w:t>
      </w:r>
      <w:r w:rsidRPr="0025250D">
        <w:rPr>
          <w:rFonts w:hint="cs"/>
          <w:rtl/>
        </w:rPr>
        <w:t>ی</w:t>
      </w:r>
      <w:r w:rsidRPr="0025250D">
        <w:rPr>
          <w:rFonts w:hint="eastAsia"/>
          <w:rtl/>
        </w:rPr>
        <w:t>گان،</w:t>
      </w:r>
      <w:r w:rsidRPr="0025250D">
        <w:rPr>
          <w:rtl/>
        </w:rPr>
        <w:t xml:space="preserve"> در حوزه ها</w:t>
      </w:r>
      <w:r w:rsidRPr="0025250D">
        <w:rPr>
          <w:rFonts w:hint="cs"/>
          <w:rtl/>
        </w:rPr>
        <w:t>ی</w:t>
      </w:r>
      <w:r w:rsidRPr="0025250D">
        <w:rPr>
          <w:rtl/>
        </w:rPr>
        <w:t xml:space="preserve"> مختلف (</w:t>
      </w:r>
      <w:r w:rsidRPr="0025250D">
        <w:rPr>
          <w:rFonts w:hint="cs"/>
          <w:rtl/>
        </w:rPr>
        <w:t xml:space="preserve">به </w:t>
      </w:r>
      <w:r w:rsidRPr="0025250D">
        <w:rPr>
          <w:rtl/>
        </w:rPr>
        <w:t>ترت</w:t>
      </w:r>
      <w:r w:rsidRPr="0025250D">
        <w:rPr>
          <w:rFonts w:hint="cs"/>
          <w:rtl/>
        </w:rPr>
        <w:t>ی</w:t>
      </w:r>
      <w:r w:rsidRPr="0025250D">
        <w:rPr>
          <w:rFonts w:hint="eastAsia"/>
          <w:rtl/>
        </w:rPr>
        <w:t>ب</w:t>
      </w:r>
      <w:r w:rsidRPr="0025250D">
        <w:rPr>
          <w:rtl/>
        </w:rPr>
        <w:t xml:space="preserve"> </w:t>
      </w:r>
      <w:r w:rsidRPr="0025250D">
        <w:rPr>
          <w:rFonts w:hint="cs"/>
          <w:rtl/>
        </w:rPr>
        <w:t>الفبا</w:t>
      </w:r>
      <w:r w:rsidRPr="0025250D">
        <w:rPr>
          <w:rtl/>
        </w:rPr>
        <w:t>):</w:t>
      </w:r>
    </w:p>
    <w:tbl>
      <w:tblPr>
        <w:tblStyle w:val="TableGrid"/>
        <w:bidiVisual/>
        <w:tblW w:w="0" w:type="auto"/>
        <w:tblLook w:val="04A0" w:firstRow="1" w:lastRow="0" w:firstColumn="1" w:lastColumn="0" w:noHBand="0" w:noVBand="1"/>
      </w:tblPr>
      <w:tblGrid>
        <w:gridCol w:w="4957"/>
        <w:gridCol w:w="2403"/>
      </w:tblGrid>
      <w:tr w:rsidR="00B01135" w:rsidRPr="0025250D" w14:paraId="41B96F65" w14:textId="77777777" w:rsidTr="00B01135">
        <w:tc>
          <w:tcPr>
            <w:tcW w:w="4957" w:type="dxa"/>
            <w:vAlign w:val="center"/>
          </w:tcPr>
          <w:p w14:paraId="4BA04F4E" w14:textId="04FB3B4B" w:rsidR="00B01135" w:rsidRPr="0025250D" w:rsidRDefault="00B01135" w:rsidP="00B01135">
            <w:pPr>
              <w:jc w:val="center"/>
              <w:rPr>
                <w:rtl/>
              </w:rPr>
            </w:pPr>
            <w:r w:rsidRPr="0025250D">
              <w:t>Azeem Azhar</w:t>
            </w:r>
          </w:p>
        </w:tc>
        <w:tc>
          <w:tcPr>
            <w:tcW w:w="2403" w:type="dxa"/>
            <w:vAlign w:val="center"/>
          </w:tcPr>
          <w:p w14:paraId="600F3036" w14:textId="4B9FCAC0" w:rsidR="00B01135" w:rsidRPr="0025250D" w:rsidRDefault="00B01135" w:rsidP="00B01135">
            <w:pPr>
              <w:jc w:val="center"/>
              <w:rPr>
                <w:rtl/>
              </w:rPr>
            </w:pPr>
            <w:r w:rsidRPr="0025250D">
              <w:t>Exponential View</w:t>
            </w:r>
          </w:p>
        </w:tc>
      </w:tr>
      <w:tr w:rsidR="00B01135" w:rsidRPr="0025250D" w14:paraId="27D0D09B" w14:textId="77777777" w:rsidTr="00B01135">
        <w:tc>
          <w:tcPr>
            <w:tcW w:w="4957" w:type="dxa"/>
            <w:vAlign w:val="center"/>
          </w:tcPr>
          <w:p w14:paraId="01F33F20" w14:textId="2C0A7237" w:rsidR="00B01135" w:rsidRPr="0025250D" w:rsidRDefault="00B01135" w:rsidP="00B01135">
            <w:pPr>
              <w:jc w:val="center"/>
              <w:rPr>
                <w:rtl/>
              </w:rPr>
            </w:pPr>
            <w:r w:rsidRPr="0025250D">
              <w:t>Timothy Mack, Past President, World Future Society</w:t>
            </w:r>
          </w:p>
        </w:tc>
        <w:tc>
          <w:tcPr>
            <w:tcW w:w="2403" w:type="dxa"/>
            <w:vAlign w:val="center"/>
          </w:tcPr>
          <w:p w14:paraId="6BC96266" w14:textId="008BA1A4" w:rsidR="00B01135" w:rsidRPr="0025250D" w:rsidRDefault="00B01135" w:rsidP="00B01135">
            <w:pPr>
              <w:jc w:val="center"/>
              <w:rPr>
                <w:rtl/>
              </w:rPr>
            </w:pPr>
            <w:r w:rsidRPr="0025250D">
              <w:t>Foresight Signals</w:t>
            </w:r>
          </w:p>
        </w:tc>
      </w:tr>
      <w:tr w:rsidR="00B01135" w:rsidRPr="0025250D" w14:paraId="2DB09FBA" w14:textId="77777777" w:rsidTr="00B01135">
        <w:tc>
          <w:tcPr>
            <w:tcW w:w="4957" w:type="dxa"/>
            <w:vAlign w:val="center"/>
          </w:tcPr>
          <w:p w14:paraId="10DF83EF" w14:textId="6763BAAE" w:rsidR="00B01135" w:rsidRPr="0025250D" w:rsidRDefault="00B01135" w:rsidP="00B01135">
            <w:pPr>
              <w:jc w:val="center"/>
              <w:rPr>
                <w:rtl/>
              </w:rPr>
            </w:pPr>
            <w:r w:rsidRPr="0025250D">
              <w:t>Nir Eyal, Behavioral Design</w:t>
            </w:r>
          </w:p>
        </w:tc>
        <w:tc>
          <w:tcPr>
            <w:tcW w:w="2403" w:type="dxa"/>
            <w:vAlign w:val="center"/>
          </w:tcPr>
          <w:p w14:paraId="69D50F16" w14:textId="698F267E" w:rsidR="00B01135" w:rsidRPr="0025250D" w:rsidRDefault="00B01135" w:rsidP="00B01135">
            <w:pPr>
              <w:jc w:val="center"/>
              <w:rPr>
                <w:rtl/>
              </w:rPr>
            </w:pPr>
            <w:r w:rsidRPr="0025250D">
              <w:t>Nir and Far</w:t>
            </w:r>
          </w:p>
        </w:tc>
      </w:tr>
      <w:tr w:rsidR="00B01135" w:rsidRPr="0025250D" w14:paraId="26EB24B5" w14:textId="77777777" w:rsidTr="00B01135">
        <w:tc>
          <w:tcPr>
            <w:tcW w:w="4957" w:type="dxa"/>
            <w:vAlign w:val="center"/>
          </w:tcPr>
          <w:p w14:paraId="48F380D4" w14:textId="1DA91DF6" w:rsidR="00B01135" w:rsidRPr="0025250D" w:rsidRDefault="00B01135" w:rsidP="00B01135">
            <w:pPr>
              <w:jc w:val="center"/>
            </w:pPr>
            <w:r w:rsidRPr="0025250D">
              <w:t>Quard Writers</w:t>
            </w:r>
          </w:p>
        </w:tc>
        <w:tc>
          <w:tcPr>
            <w:tcW w:w="2403" w:type="dxa"/>
            <w:vAlign w:val="center"/>
          </w:tcPr>
          <w:p w14:paraId="40A2217A" w14:textId="214F6267" w:rsidR="00B01135" w:rsidRPr="0025250D" w:rsidRDefault="00B01135" w:rsidP="00B01135">
            <w:pPr>
              <w:jc w:val="center"/>
            </w:pPr>
            <w:r w:rsidRPr="0025250D">
              <w:t>Weekly Obsession</w:t>
            </w:r>
          </w:p>
        </w:tc>
      </w:tr>
    </w:tbl>
    <w:p w14:paraId="6A8F3BB1" w14:textId="77777777" w:rsidR="00B01135" w:rsidRPr="0025250D" w:rsidRDefault="00B01135" w:rsidP="00537CC8">
      <w:pPr>
        <w:rPr>
          <w:rtl/>
        </w:rPr>
      </w:pPr>
    </w:p>
    <w:p w14:paraId="02E85B44" w14:textId="33C7D914" w:rsidR="00537CC8" w:rsidRPr="0025250D" w:rsidRDefault="00537CC8" w:rsidP="00B01135">
      <w:pPr>
        <w:pStyle w:val="Heading2"/>
        <w:rPr>
          <w:rtl/>
        </w:rPr>
      </w:pPr>
      <w:bookmarkStart w:id="95" w:name="_Toc127831359"/>
      <w:r w:rsidRPr="0025250D">
        <w:rPr>
          <w:rtl/>
        </w:rPr>
        <w:t>انجمن‌های تخصص</w:t>
      </w:r>
      <w:r w:rsidRPr="0025250D">
        <w:rPr>
          <w:rFonts w:hint="cs"/>
          <w:rtl/>
        </w:rPr>
        <w:t>ی</w:t>
      </w:r>
      <w:r w:rsidRPr="0025250D">
        <w:rPr>
          <w:rtl/>
        </w:rPr>
        <w:t xml:space="preserve"> آینده‌نگاری</w:t>
      </w:r>
      <w:bookmarkEnd w:id="95"/>
    </w:p>
    <w:p w14:paraId="14DFA784" w14:textId="09E3BF83" w:rsidR="00B01135" w:rsidRPr="0025250D" w:rsidRDefault="00B01135" w:rsidP="00473FD8">
      <w:pPr>
        <w:rPr>
          <w:rtl/>
        </w:rPr>
      </w:pPr>
      <w:r w:rsidRPr="0025250D">
        <w:rPr>
          <w:rtl/>
        </w:rPr>
        <w:t>ب</w:t>
      </w:r>
      <w:r w:rsidRPr="0025250D">
        <w:rPr>
          <w:rFonts w:hint="cs"/>
          <w:rtl/>
        </w:rPr>
        <w:t>ی</w:t>
      </w:r>
      <w:r w:rsidRPr="0025250D">
        <w:rPr>
          <w:rFonts w:hint="eastAsia"/>
          <w:rtl/>
        </w:rPr>
        <w:t>ست</w:t>
      </w:r>
      <w:r w:rsidRPr="0025250D">
        <w:rPr>
          <w:rtl/>
        </w:rPr>
        <w:t xml:space="preserve"> گروه تخصص</w:t>
      </w:r>
      <w:r w:rsidRPr="0025250D">
        <w:rPr>
          <w:rFonts w:hint="cs"/>
          <w:rtl/>
        </w:rPr>
        <w:t xml:space="preserve"> مورد نیاز برای</w:t>
      </w:r>
      <w:r w:rsidRPr="0025250D">
        <w:rPr>
          <w:rtl/>
        </w:rPr>
        <w:t xml:space="preserve"> </w:t>
      </w:r>
      <w:r w:rsidR="00D92F6E" w:rsidRPr="0025250D">
        <w:rPr>
          <w:rtl/>
        </w:rPr>
        <w:t>آینده‌نگاری</w:t>
      </w:r>
      <w:r w:rsidRPr="0025250D">
        <w:rPr>
          <w:rtl/>
        </w:rPr>
        <w:t xml:space="preserve"> </w:t>
      </w:r>
      <w:r w:rsidR="00701E03" w:rsidRPr="0025250D">
        <w:rPr>
          <w:rtl/>
        </w:rPr>
        <w:t>راهبردی</w:t>
      </w:r>
      <w:r w:rsidRPr="0025250D">
        <w:rPr>
          <w:rtl/>
        </w:rPr>
        <w:t xml:space="preserve"> معرف</w:t>
      </w:r>
      <w:r w:rsidRPr="0025250D">
        <w:rPr>
          <w:rFonts w:hint="cs"/>
          <w:rtl/>
        </w:rPr>
        <w:t>ی</w:t>
      </w:r>
      <w:r w:rsidRPr="0025250D">
        <w:rPr>
          <w:rtl/>
        </w:rPr>
        <w:t xml:space="preserve"> شده در فصل 2 را به </w:t>
      </w:r>
      <w:r w:rsidRPr="0025250D">
        <w:rPr>
          <w:rFonts w:hint="cs"/>
          <w:rtl/>
        </w:rPr>
        <w:t>ی</w:t>
      </w:r>
      <w:r w:rsidRPr="0025250D">
        <w:rPr>
          <w:rFonts w:hint="eastAsia"/>
          <w:rtl/>
        </w:rPr>
        <w:t>اد</w:t>
      </w:r>
      <w:r w:rsidRPr="0025250D">
        <w:rPr>
          <w:rtl/>
        </w:rPr>
        <w:t xml:space="preserve"> ب</w:t>
      </w:r>
      <w:r w:rsidRPr="0025250D">
        <w:rPr>
          <w:rFonts w:hint="cs"/>
          <w:rtl/>
        </w:rPr>
        <w:t>ی</w:t>
      </w:r>
      <w:r w:rsidRPr="0025250D">
        <w:rPr>
          <w:rFonts w:hint="eastAsia"/>
          <w:rtl/>
        </w:rPr>
        <w:t>اور</w:t>
      </w:r>
      <w:r w:rsidRPr="0025250D">
        <w:rPr>
          <w:rFonts w:hint="cs"/>
          <w:rtl/>
        </w:rPr>
        <w:t>ی</w:t>
      </w:r>
      <w:r w:rsidRPr="0025250D">
        <w:rPr>
          <w:rFonts w:hint="eastAsia"/>
          <w:rtl/>
        </w:rPr>
        <w:t>د</w:t>
      </w:r>
      <w:r w:rsidRPr="0025250D">
        <w:rPr>
          <w:rtl/>
        </w:rPr>
        <w:t>. توص</w:t>
      </w:r>
      <w:r w:rsidRPr="0025250D">
        <w:rPr>
          <w:rFonts w:hint="cs"/>
          <w:rtl/>
        </w:rPr>
        <w:t>ی</w:t>
      </w:r>
      <w:r w:rsidRPr="0025250D">
        <w:rPr>
          <w:rFonts w:hint="eastAsia"/>
          <w:rtl/>
        </w:rPr>
        <w:t>ه</w:t>
      </w:r>
      <w:r w:rsidRPr="0025250D">
        <w:rPr>
          <w:rtl/>
        </w:rPr>
        <w:t xml:space="preserve"> م</w:t>
      </w:r>
      <w:r w:rsidRPr="0025250D">
        <w:rPr>
          <w:rFonts w:hint="cs"/>
          <w:rtl/>
        </w:rPr>
        <w:t>ی</w:t>
      </w:r>
      <w:r w:rsidRPr="0025250D">
        <w:rPr>
          <w:rtl/>
        </w:rPr>
        <w:t xml:space="preserve"> کن</w:t>
      </w:r>
      <w:r w:rsidRPr="0025250D">
        <w:rPr>
          <w:rFonts w:hint="cs"/>
          <w:rtl/>
        </w:rPr>
        <w:t>ی</w:t>
      </w:r>
      <w:r w:rsidRPr="0025250D">
        <w:rPr>
          <w:rFonts w:hint="eastAsia"/>
          <w:rtl/>
        </w:rPr>
        <w:t>م</w:t>
      </w:r>
      <w:r w:rsidRPr="0025250D">
        <w:rPr>
          <w:rtl/>
        </w:rPr>
        <w:t xml:space="preserve"> حداقل به </w:t>
      </w:r>
      <w:r w:rsidRPr="0025250D">
        <w:rPr>
          <w:rFonts w:hint="cs"/>
          <w:rtl/>
        </w:rPr>
        <w:t>ی</w:t>
      </w:r>
      <w:r w:rsidRPr="0025250D">
        <w:rPr>
          <w:rFonts w:hint="eastAsia"/>
          <w:rtl/>
        </w:rPr>
        <w:t>ک</w:t>
      </w:r>
      <w:r w:rsidRPr="0025250D">
        <w:rPr>
          <w:rFonts w:hint="cs"/>
          <w:rtl/>
        </w:rPr>
        <w:t>ی</w:t>
      </w:r>
      <w:r w:rsidRPr="0025250D">
        <w:rPr>
          <w:rtl/>
        </w:rPr>
        <w:t xml:space="preserve"> از ا</w:t>
      </w:r>
      <w:r w:rsidRPr="0025250D">
        <w:rPr>
          <w:rFonts w:hint="cs"/>
          <w:rtl/>
        </w:rPr>
        <w:t>ی</w:t>
      </w:r>
      <w:r w:rsidRPr="0025250D">
        <w:rPr>
          <w:rFonts w:hint="eastAsia"/>
          <w:rtl/>
        </w:rPr>
        <w:t>ن</w:t>
      </w:r>
      <w:r w:rsidRPr="0025250D">
        <w:rPr>
          <w:rtl/>
        </w:rPr>
        <w:t xml:space="preserve"> جوامع بپ</w:t>
      </w:r>
      <w:r w:rsidRPr="0025250D">
        <w:rPr>
          <w:rFonts w:hint="cs"/>
          <w:rtl/>
        </w:rPr>
        <w:t>ی</w:t>
      </w:r>
      <w:r w:rsidRPr="0025250D">
        <w:rPr>
          <w:rFonts w:hint="eastAsia"/>
          <w:rtl/>
        </w:rPr>
        <w:t>وند</w:t>
      </w:r>
      <w:r w:rsidRPr="0025250D">
        <w:rPr>
          <w:rFonts w:hint="cs"/>
          <w:rtl/>
        </w:rPr>
        <w:t>ی</w:t>
      </w:r>
      <w:r w:rsidRPr="0025250D">
        <w:rPr>
          <w:rFonts w:hint="eastAsia"/>
          <w:rtl/>
        </w:rPr>
        <w:t>د</w:t>
      </w:r>
      <w:r w:rsidRPr="0025250D">
        <w:rPr>
          <w:rtl/>
        </w:rPr>
        <w:t xml:space="preserve"> و در روش ها</w:t>
      </w:r>
      <w:r w:rsidRPr="0025250D">
        <w:rPr>
          <w:rFonts w:hint="cs"/>
          <w:rtl/>
        </w:rPr>
        <w:t>ی</w:t>
      </w:r>
      <w:r w:rsidRPr="0025250D">
        <w:rPr>
          <w:rtl/>
        </w:rPr>
        <w:t xml:space="preserve"> اساس</w:t>
      </w:r>
      <w:r w:rsidRPr="0025250D">
        <w:rPr>
          <w:rFonts w:hint="cs"/>
          <w:rtl/>
        </w:rPr>
        <w:t>ی</w:t>
      </w:r>
      <w:r w:rsidRPr="0025250D">
        <w:rPr>
          <w:rtl/>
        </w:rPr>
        <w:t xml:space="preserve"> آنها</w:t>
      </w:r>
      <w:r w:rsidRPr="0025250D">
        <w:rPr>
          <w:rFonts w:hint="eastAsia"/>
          <w:rtl/>
        </w:rPr>
        <w:t>،</w:t>
      </w:r>
      <w:r w:rsidRPr="0025250D">
        <w:rPr>
          <w:rtl/>
        </w:rPr>
        <w:t xml:space="preserve"> به عنوان گام اول</w:t>
      </w:r>
      <w:r w:rsidRPr="0025250D">
        <w:rPr>
          <w:rFonts w:hint="cs"/>
          <w:rtl/>
        </w:rPr>
        <w:t>ی</w:t>
      </w:r>
      <w:r w:rsidRPr="0025250D">
        <w:rPr>
          <w:rFonts w:hint="eastAsia"/>
          <w:rtl/>
        </w:rPr>
        <w:t>ه</w:t>
      </w:r>
      <w:r w:rsidRPr="0025250D">
        <w:rPr>
          <w:rtl/>
        </w:rPr>
        <w:t xml:space="preserve"> مهم در سفر </w:t>
      </w:r>
      <w:r w:rsidR="00D92F6E" w:rsidRPr="0025250D">
        <w:rPr>
          <w:rtl/>
        </w:rPr>
        <w:t>آینده‌نگاری</w:t>
      </w:r>
      <w:r w:rsidRPr="0025250D">
        <w:rPr>
          <w:rtl/>
        </w:rPr>
        <w:t xml:space="preserve"> </w:t>
      </w:r>
      <w:r w:rsidR="00473FD8" w:rsidRPr="0025250D">
        <w:rPr>
          <w:rFonts w:hint="cs"/>
          <w:rtl/>
        </w:rPr>
        <w:t>تخصصی</w:t>
      </w:r>
      <w:r w:rsidRPr="0025250D">
        <w:rPr>
          <w:rtl/>
        </w:rPr>
        <w:t xml:space="preserve"> خود</w:t>
      </w:r>
      <w:r w:rsidR="00473FD8" w:rsidRPr="0025250D">
        <w:rPr>
          <w:rFonts w:hint="cs"/>
          <w:rtl/>
        </w:rPr>
        <w:t xml:space="preserve">، </w:t>
      </w:r>
      <w:r w:rsidR="00473FD8" w:rsidRPr="0025250D">
        <w:rPr>
          <w:rtl/>
        </w:rPr>
        <w:t xml:space="preserve">مهارت </w:t>
      </w:r>
      <w:r w:rsidR="00473FD8" w:rsidRPr="0025250D">
        <w:rPr>
          <w:rFonts w:hint="cs"/>
          <w:rtl/>
        </w:rPr>
        <w:t>پیدا کنید</w:t>
      </w:r>
      <w:r w:rsidRPr="0025250D">
        <w:rPr>
          <w:rtl/>
        </w:rPr>
        <w:t>.</w:t>
      </w:r>
    </w:p>
    <w:tbl>
      <w:tblPr>
        <w:tblStyle w:val="TableGrid"/>
        <w:bidiVisual/>
        <w:tblW w:w="0" w:type="auto"/>
        <w:tblLook w:val="04A0" w:firstRow="1" w:lastRow="0" w:firstColumn="1" w:lastColumn="0" w:noHBand="0" w:noVBand="1"/>
      </w:tblPr>
      <w:tblGrid>
        <w:gridCol w:w="2405"/>
        <w:gridCol w:w="4955"/>
      </w:tblGrid>
      <w:tr w:rsidR="00537CC8" w:rsidRPr="0025250D" w14:paraId="602729A3" w14:textId="77777777" w:rsidTr="0020750C">
        <w:tc>
          <w:tcPr>
            <w:tcW w:w="2405" w:type="dxa"/>
            <w:vAlign w:val="center"/>
          </w:tcPr>
          <w:p w14:paraId="2701DF8D" w14:textId="711A2B1E" w:rsidR="00537CC8" w:rsidRPr="0025250D" w:rsidRDefault="000B2B34" w:rsidP="0020750C">
            <w:pPr>
              <w:bidi/>
              <w:spacing w:after="160"/>
              <w:jc w:val="center"/>
              <w:rPr>
                <w:rtl/>
              </w:rPr>
            </w:pPr>
            <w:r w:rsidRPr="0025250D">
              <w:rPr>
                <w:rFonts w:hint="cs"/>
                <w:rtl/>
              </w:rPr>
              <w:t>تخصص</w:t>
            </w:r>
          </w:p>
        </w:tc>
        <w:tc>
          <w:tcPr>
            <w:tcW w:w="4955" w:type="dxa"/>
            <w:vAlign w:val="center"/>
          </w:tcPr>
          <w:p w14:paraId="0DE9DF46" w14:textId="43AFDDC0" w:rsidR="00537CC8" w:rsidRPr="0025250D" w:rsidRDefault="000B2B34" w:rsidP="0020750C">
            <w:pPr>
              <w:bidi/>
              <w:spacing w:after="160"/>
              <w:jc w:val="center"/>
              <w:rPr>
                <w:rtl/>
              </w:rPr>
            </w:pPr>
            <w:r w:rsidRPr="0025250D">
              <w:rPr>
                <w:rFonts w:hint="cs"/>
                <w:rtl/>
              </w:rPr>
              <w:t>موسسه</w:t>
            </w:r>
          </w:p>
        </w:tc>
      </w:tr>
      <w:tr w:rsidR="0020750C" w:rsidRPr="0025250D" w14:paraId="3BDF935A" w14:textId="77777777" w:rsidTr="0020750C">
        <w:tc>
          <w:tcPr>
            <w:tcW w:w="2405" w:type="dxa"/>
            <w:vMerge w:val="restart"/>
            <w:vAlign w:val="center"/>
          </w:tcPr>
          <w:p w14:paraId="59754EAB" w14:textId="77777777" w:rsidR="0020750C" w:rsidRPr="0025250D" w:rsidRDefault="0020750C" w:rsidP="0020750C">
            <w:pPr>
              <w:bidi/>
              <w:spacing w:after="160"/>
              <w:jc w:val="center"/>
              <w:rPr>
                <w:rtl/>
              </w:rPr>
            </w:pPr>
            <w:r w:rsidRPr="0025250D">
              <w:rPr>
                <w:rtl/>
              </w:rPr>
              <w:t>حسابدار</w:t>
            </w:r>
            <w:r w:rsidRPr="0025250D">
              <w:rPr>
                <w:rFonts w:hint="cs"/>
                <w:rtl/>
              </w:rPr>
              <w:t>ی</w:t>
            </w:r>
            <w:r w:rsidRPr="0025250D">
              <w:rPr>
                <w:rtl/>
              </w:rPr>
              <w:t xml:space="preserve"> و دارا</w:t>
            </w:r>
            <w:r w:rsidRPr="0025250D">
              <w:rPr>
                <w:rFonts w:hint="cs"/>
                <w:rtl/>
              </w:rPr>
              <w:t>یی</w:t>
            </w:r>
            <w:r w:rsidRPr="0025250D">
              <w:rPr>
                <w:rtl/>
              </w:rPr>
              <w:t>‌های نامشهود</w:t>
            </w:r>
          </w:p>
        </w:tc>
        <w:tc>
          <w:tcPr>
            <w:tcW w:w="4955" w:type="dxa"/>
            <w:vAlign w:val="center"/>
          </w:tcPr>
          <w:p w14:paraId="0457EB03" w14:textId="77777777" w:rsidR="0020750C" w:rsidRPr="0025250D" w:rsidRDefault="0020750C" w:rsidP="0020750C">
            <w:pPr>
              <w:bidi/>
              <w:spacing w:after="160"/>
              <w:jc w:val="center"/>
              <w:rPr>
                <w:rtl/>
              </w:rPr>
            </w:pPr>
            <w:r w:rsidRPr="0025250D">
              <w:t>Institute of Management Accountants (IMA)</w:t>
            </w:r>
          </w:p>
        </w:tc>
      </w:tr>
      <w:tr w:rsidR="0020750C" w:rsidRPr="0025250D" w14:paraId="6340C4BD" w14:textId="77777777" w:rsidTr="0020750C">
        <w:tc>
          <w:tcPr>
            <w:tcW w:w="2405" w:type="dxa"/>
            <w:vMerge/>
            <w:vAlign w:val="center"/>
          </w:tcPr>
          <w:p w14:paraId="0B24C58E" w14:textId="77777777" w:rsidR="0020750C" w:rsidRPr="0025250D" w:rsidRDefault="0020750C" w:rsidP="0020750C">
            <w:pPr>
              <w:bidi/>
              <w:spacing w:after="160"/>
              <w:jc w:val="center"/>
              <w:rPr>
                <w:rtl/>
              </w:rPr>
            </w:pPr>
          </w:p>
        </w:tc>
        <w:tc>
          <w:tcPr>
            <w:tcW w:w="4955" w:type="dxa"/>
            <w:vAlign w:val="center"/>
          </w:tcPr>
          <w:p w14:paraId="1CBB949B" w14:textId="77777777" w:rsidR="0020750C" w:rsidRPr="0025250D" w:rsidRDefault="0020750C" w:rsidP="0020750C">
            <w:pPr>
              <w:bidi/>
              <w:spacing w:after="160"/>
              <w:jc w:val="center"/>
              <w:rPr>
                <w:rtl/>
              </w:rPr>
            </w:pPr>
            <w:r w:rsidRPr="0025250D">
              <w:t>The National Customer Service Association (NCSA)</w:t>
            </w:r>
          </w:p>
        </w:tc>
      </w:tr>
      <w:tr w:rsidR="0020750C" w:rsidRPr="0025250D" w14:paraId="086BFFD4" w14:textId="77777777" w:rsidTr="0020750C">
        <w:tc>
          <w:tcPr>
            <w:tcW w:w="2405" w:type="dxa"/>
            <w:vMerge w:val="restart"/>
            <w:vAlign w:val="center"/>
          </w:tcPr>
          <w:p w14:paraId="46C87CF9" w14:textId="5EA0924E" w:rsidR="0020750C" w:rsidRPr="0025250D" w:rsidRDefault="0020750C" w:rsidP="0020750C">
            <w:pPr>
              <w:bidi/>
              <w:spacing w:after="160"/>
              <w:jc w:val="center"/>
              <w:rPr>
                <w:rtl/>
              </w:rPr>
            </w:pPr>
            <w:r w:rsidRPr="0025250D">
              <w:rPr>
                <w:rFonts w:hint="cs"/>
                <w:rtl/>
              </w:rPr>
              <w:t>بدیل</w:t>
            </w:r>
            <w:r w:rsidRPr="0025250D">
              <w:rPr>
                <w:rtl/>
              </w:rPr>
              <w:t xml:space="preserve">‌ها و </w:t>
            </w:r>
            <w:r w:rsidR="007A53FD" w:rsidRPr="0025250D">
              <w:rPr>
                <w:rtl/>
              </w:rPr>
              <w:t>فرانامه</w:t>
            </w:r>
            <w:r w:rsidR="00E3750D" w:rsidRPr="0025250D">
              <w:rPr>
                <w:rFonts w:hint="cs"/>
                <w:rtl/>
              </w:rPr>
              <w:t>‌</w:t>
            </w:r>
            <w:r w:rsidRPr="0025250D">
              <w:rPr>
                <w:rFonts w:hint="eastAsia"/>
                <w:rtl/>
              </w:rPr>
              <w:t>ها</w:t>
            </w:r>
          </w:p>
        </w:tc>
        <w:tc>
          <w:tcPr>
            <w:tcW w:w="4955" w:type="dxa"/>
            <w:vAlign w:val="center"/>
          </w:tcPr>
          <w:p w14:paraId="146F2F08" w14:textId="77777777" w:rsidR="0020750C" w:rsidRPr="0025250D" w:rsidRDefault="0020750C" w:rsidP="0020750C">
            <w:pPr>
              <w:bidi/>
              <w:spacing w:after="160"/>
              <w:jc w:val="center"/>
              <w:rPr>
                <w:rtl/>
              </w:rPr>
            </w:pPr>
            <w:r w:rsidRPr="0025250D">
              <w:t>Association of Professional Futurists (APF)</w:t>
            </w:r>
          </w:p>
        </w:tc>
      </w:tr>
      <w:tr w:rsidR="0020750C" w:rsidRPr="0025250D" w14:paraId="1A869BF4" w14:textId="77777777" w:rsidTr="0020750C">
        <w:tc>
          <w:tcPr>
            <w:tcW w:w="2405" w:type="dxa"/>
            <w:vMerge/>
            <w:vAlign w:val="center"/>
          </w:tcPr>
          <w:p w14:paraId="32422B27" w14:textId="77777777" w:rsidR="0020750C" w:rsidRPr="0025250D" w:rsidRDefault="0020750C" w:rsidP="0020750C">
            <w:pPr>
              <w:bidi/>
              <w:spacing w:after="160"/>
              <w:jc w:val="center"/>
              <w:rPr>
                <w:rtl/>
              </w:rPr>
            </w:pPr>
          </w:p>
        </w:tc>
        <w:tc>
          <w:tcPr>
            <w:tcW w:w="4955" w:type="dxa"/>
            <w:vAlign w:val="center"/>
          </w:tcPr>
          <w:p w14:paraId="2F7E476B" w14:textId="77777777" w:rsidR="0020750C" w:rsidRPr="0025250D" w:rsidRDefault="0020750C" w:rsidP="0020750C">
            <w:pPr>
              <w:bidi/>
              <w:spacing w:after="160"/>
              <w:jc w:val="center"/>
              <w:rPr>
                <w:rtl/>
              </w:rPr>
            </w:pPr>
            <w:r w:rsidRPr="0025250D">
              <w:t>Oxford Scenarios Programme and Alumni Network</w:t>
            </w:r>
          </w:p>
        </w:tc>
      </w:tr>
      <w:tr w:rsidR="0020750C" w:rsidRPr="0025250D" w14:paraId="39E0901A" w14:textId="77777777" w:rsidTr="0020750C">
        <w:tc>
          <w:tcPr>
            <w:tcW w:w="2405" w:type="dxa"/>
            <w:vMerge w:val="restart"/>
            <w:vAlign w:val="center"/>
          </w:tcPr>
          <w:p w14:paraId="3919AF71" w14:textId="77777777" w:rsidR="0020750C" w:rsidRPr="0025250D" w:rsidRDefault="0020750C" w:rsidP="0020750C">
            <w:pPr>
              <w:bidi/>
              <w:spacing w:after="160"/>
              <w:jc w:val="center"/>
              <w:rPr>
                <w:rtl/>
              </w:rPr>
            </w:pPr>
            <w:r w:rsidRPr="0025250D">
              <w:rPr>
                <w:rtl/>
              </w:rPr>
              <w:t>تجز</w:t>
            </w:r>
            <w:r w:rsidRPr="0025250D">
              <w:rPr>
                <w:rFonts w:hint="cs"/>
                <w:rtl/>
              </w:rPr>
              <w:t>ی</w:t>
            </w:r>
            <w:r w:rsidRPr="0025250D">
              <w:rPr>
                <w:rFonts w:hint="eastAsia"/>
                <w:rtl/>
              </w:rPr>
              <w:t>ه</w:t>
            </w:r>
            <w:r w:rsidRPr="0025250D">
              <w:rPr>
                <w:rtl/>
              </w:rPr>
              <w:t xml:space="preserve"> و تحل</w:t>
            </w:r>
            <w:r w:rsidRPr="0025250D">
              <w:rPr>
                <w:rFonts w:hint="cs"/>
                <w:rtl/>
              </w:rPr>
              <w:t>ی</w:t>
            </w:r>
            <w:r w:rsidRPr="0025250D">
              <w:rPr>
                <w:rFonts w:hint="eastAsia"/>
                <w:rtl/>
              </w:rPr>
              <w:t>ل</w:t>
            </w:r>
            <w:r w:rsidRPr="0025250D">
              <w:rPr>
                <w:rtl/>
              </w:rPr>
              <w:t xml:space="preserve"> و پشت</w:t>
            </w:r>
            <w:r w:rsidRPr="0025250D">
              <w:rPr>
                <w:rFonts w:hint="cs"/>
                <w:rtl/>
              </w:rPr>
              <w:t>ی</w:t>
            </w:r>
            <w:r w:rsidRPr="0025250D">
              <w:rPr>
                <w:rFonts w:hint="eastAsia"/>
                <w:rtl/>
              </w:rPr>
              <w:t>بان</w:t>
            </w:r>
            <w:r w:rsidRPr="0025250D">
              <w:rPr>
                <w:rFonts w:hint="cs"/>
                <w:rtl/>
              </w:rPr>
              <w:t>ی</w:t>
            </w:r>
            <w:r w:rsidRPr="0025250D">
              <w:rPr>
                <w:rtl/>
              </w:rPr>
              <w:t xml:space="preserve"> تصم</w:t>
            </w:r>
            <w:r w:rsidRPr="0025250D">
              <w:rPr>
                <w:rFonts w:hint="cs"/>
                <w:rtl/>
              </w:rPr>
              <w:t>ی</w:t>
            </w:r>
            <w:r w:rsidRPr="0025250D">
              <w:rPr>
                <w:rFonts w:hint="eastAsia"/>
                <w:rtl/>
              </w:rPr>
              <w:t>م</w:t>
            </w:r>
          </w:p>
        </w:tc>
        <w:tc>
          <w:tcPr>
            <w:tcW w:w="4955" w:type="dxa"/>
            <w:vAlign w:val="center"/>
          </w:tcPr>
          <w:p w14:paraId="296C46B0" w14:textId="77777777" w:rsidR="0020750C" w:rsidRPr="0025250D" w:rsidRDefault="0020750C" w:rsidP="0020750C">
            <w:pPr>
              <w:bidi/>
              <w:spacing w:after="160"/>
              <w:jc w:val="center"/>
              <w:rPr>
                <w:rtl/>
              </w:rPr>
            </w:pPr>
            <w:r w:rsidRPr="0025250D">
              <w:t>Institute for Operations Research and the Mgmt Sciences (INFORMS)</w:t>
            </w:r>
          </w:p>
        </w:tc>
      </w:tr>
      <w:tr w:rsidR="0020750C" w:rsidRPr="0025250D" w14:paraId="0575FA7E" w14:textId="77777777" w:rsidTr="0020750C">
        <w:tc>
          <w:tcPr>
            <w:tcW w:w="2405" w:type="dxa"/>
            <w:vMerge/>
            <w:vAlign w:val="center"/>
          </w:tcPr>
          <w:p w14:paraId="7704F7D4" w14:textId="77777777" w:rsidR="0020750C" w:rsidRPr="0025250D" w:rsidRDefault="0020750C" w:rsidP="0020750C">
            <w:pPr>
              <w:bidi/>
              <w:spacing w:after="160"/>
              <w:jc w:val="center"/>
              <w:rPr>
                <w:rtl/>
              </w:rPr>
            </w:pPr>
          </w:p>
        </w:tc>
        <w:tc>
          <w:tcPr>
            <w:tcW w:w="4955" w:type="dxa"/>
            <w:vAlign w:val="center"/>
          </w:tcPr>
          <w:p w14:paraId="14A47DAC" w14:textId="77777777" w:rsidR="0020750C" w:rsidRPr="0025250D" w:rsidRDefault="0020750C" w:rsidP="0020750C">
            <w:pPr>
              <w:bidi/>
              <w:spacing w:after="160"/>
              <w:jc w:val="center"/>
              <w:rPr>
                <w:rtl/>
              </w:rPr>
            </w:pPr>
            <w:r w:rsidRPr="0025250D">
              <w:t>European Working Group on Decision Support Systems (EWG-DSS)</w:t>
            </w:r>
          </w:p>
        </w:tc>
      </w:tr>
      <w:tr w:rsidR="0020750C" w:rsidRPr="0025250D" w14:paraId="2F273A13" w14:textId="77777777" w:rsidTr="0020750C">
        <w:tc>
          <w:tcPr>
            <w:tcW w:w="2405" w:type="dxa"/>
            <w:vMerge w:val="restart"/>
            <w:vAlign w:val="center"/>
          </w:tcPr>
          <w:p w14:paraId="1A17606F" w14:textId="77777777" w:rsidR="0020750C" w:rsidRPr="0025250D" w:rsidRDefault="0020750C" w:rsidP="0020750C">
            <w:pPr>
              <w:bidi/>
              <w:spacing w:after="160"/>
              <w:jc w:val="center"/>
              <w:rPr>
                <w:rtl/>
              </w:rPr>
            </w:pPr>
            <w:r w:rsidRPr="0025250D">
              <w:rPr>
                <w:rtl/>
              </w:rPr>
              <w:t>حسابرس</w:t>
            </w:r>
            <w:r w:rsidRPr="0025250D">
              <w:rPr>
                <w:rFonts w:hint="cs"/>
                <w:rtl/>
              </w:rPr>
              <w:t>ی</w:t>
            </w:r>
            <w:r w:rsidRPr="0025250D">
              <w:rPr>
                <w:rtl/>
              </w:rPr>
              <w:t xml:space="preserve"> و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تغ</w:t>
            </w:r>
            <w:r w:rsidRPr="0025250D">
              <w:rPr>
                <w:rFonts w:hint="cs"/>
                <w:rtl/>
              </w:rPr>
              <w:t>یی</w:t>
            </w:r>
            <w:r w:rsidRPr="0025250D">
              <w:rPr>
                <w:rFonts w:hint="eastAsia"/>
                <w:rtl/>
              </w:rPr>
              <w:t>ر</w:t>
            </w:r>
          </w:p>
        </w:tc>
        <w:tc>
          <w:tcPr>
            <w:tcW w:w="4955" w:type="dxa"/>
            <w:vAlign w:val="center"/>
          </w:tcPr>
          <w:p w14:paraId="0DDB3FB2" w14:textId="77777777" w:rsidR="0020750C" w:rsidRPr="0025250D" w:rsidRDefault="0020750C" w:rsidP="0020750C">
            <w:pPr>
              <w:bidi/>
              <w:spacing w:after="160"/>
              <w:jc w:val="center"/>
              <w:rPr>
                <w:rtl/>
              </w:rPr>
            </w:pPr>
            <w:r w:rsidRPr="0025250D">
              <w:t>Institute of Internal Auditors (IIA)</w:t>
            </w:r>
          </w:p>
        </w:tc>
      </w:tr>
      <w:tr w:rsidR="0020750C" w:rsidRPr="0025250D" w14:paraId="65FFC2C4" w14:textId="77777777" w:rsidTr="0020750C">
        <w:tc>
          <w:tcPr>
            <w:tcW w:w="2405" w:type="dxa"/>
            <w:vMerge/>
            <w:vAlign w:val="center"/>
          </w:tcPr>
          <w:p w14:paraId="0EEBBD67" w14:textId="77777777" w:rsidR="0020750C" w:rsidRPr="0025250D" w:rsidRDefault="0020750C" w:rsidP="0020750C">
            <w:pPr>
              <w:bidi/>
              <w:spacing w:after="160"/>
              <w:jc w:val="center"/>
              <w:rPr>
                <w:rtl/>
              </w:rPr>
            </w:pPr>
          </w:p>
        </w:tc>
        <w:tc>
          <w:tcPr>
            <w:tcW w:w="4955" w:type="dxa"/>
            <w:vAlign w:val="center"/>
          </w:tcPr>
          <w:p w14:paraId="04CDCB60" w14:textId="77777777" w:rsidR="0020750C" w:rsidRPr="0025250D" w:rsidRDefault="0020750C" w:rsidP="0020750C">
            <w:pPr>
              <w:bidi/>
              <w:spacing w:after="160"/>
              <w:jc w:val="center"/>
              <w:rPr>
                <w:rtl/>
              </w:rPr>
            </w:pPr>
            <w:r w:rsidRPr="0025250D">
              <w:t>Association of Change Management Professionals (ACMP)</w:t>
            </w:r>
          </w:p>
        </w:tc>
      </w:tr>
      <w:tr w:rsidR="0020750C" w:rsidRPr="0025250D" w14:paraId="121B0413" w14:textId="77777777" w:rsidTr="0020750C">
        <w:tc>
          <w:tcPr>
            <w:tcW w:w="2405" w:type="dxa"/>
            <w:vMerge w:val="restart"/>
            <w:vAlign w:val="center"/>
          </w:tcPr>
          <w:p w14:paraId="1FDFCF71" w14:textId="77777777" w:rsidR="0020750C" w:rsidRPr="0025250D" w:rsidRDefault="0020750C" w:rsidP="0020750C">
            <w:pPr>
              <w:bidi/>
              <w:spacing w:after="160"/>
              <w:jc w:val="center"/>
              <w:rPr>
                <w:rtl/>
              </w:rPr>
            </w:pPr>
            <w:r w:rsidRPr="0025250D">
              <w:rPr>
                <w:rFonts w:hint="cs"/>
                <w:rtl/>
              </w:rPr>
              <w:t>محک زنی</w:t>
            </w:r>
            <w:r w:rsidRPr="0025250D">
              <w:rPr>
                <w:rtl/>
              </w:rPr>
              <w:t xml:space="preserve"> و ک</w:t>
            </w:r>
            <w:r w:rsidRPr="0025250D">
              <w:rPr>
                <w:rFonts w:hint="cs"/>
                <w:rtl/>
              </w:rPr>
              <w:t>ی</w:t>
            </w:r>
            <w:r w:rsidRPr="0025250D">
              <w:rPr>
                <w:rFonts w:hint="eastAsia"/>
                <w:rtl/>
              </w:rPr>
              <w:t>ف</w:t>
            </w:r>
            <w:r w:rsidRPr="0025250D">
              <w:rPr>
                <w:rFonts w:hint="cs"/>
                <w:rtl/>
              </w:rPr>
              <w:t>ی</w:t>
            </w:r>
            <w:r w:rsidRPr="0025250D">
              <w:rPr>
                <w:rFonts w:hint="eastAsia"/>
                <w:rtl/>
              </w:rPr>
              <w:t>ت</w:t>
            </w:r>
          </w:p>
        </w:tc>
        <w:tc>
          <w:tcPr>
            <w:tcW w:w="4955" w:type="dxa"/>
            <w:vAlign w:val="center"/>
          </w:tcPr>
          <w:p w14:paraId="6825EDA7" w14:textId="77777777" w:rsidR="0020750C" w:rsidRPr="0025250D" w:rsidRDefault="0020750C" w:rsidP="0020750C">
            <w:pPr>
              <w:bidi/>
              <w:spacing w:after="160"/>
              <w:jc w:val="center"/>
              <w:rPr>
                <w:rtl/>
              </w:rPr>
            </w:pPr>
            <w:r w:rsidRPr="0025250D">
              <w:t>The Benchmarking Network (BN)</w:t>
            </w:r>
          </w:p>
        </w:tc>
      </w:tr>
      <w:tr w:rsidR="0020750C" w:rsidRPr="0025250D" w14:paraId="52CFD7BA" w14:textId="77777777" w:rsidTr="0020750C">
        <w:tc>
          <w:tcPr>
            <w:tcW w:w="2405" w:type="dxa"/>
            <w:vMerge/>
            <w:vAlign w:val="center"/>
          </w:tcPr>
          <w:p w14:paraId="31780FAA" w14:textId="77777777" w:rsidR="0020750C" w:rsidRPr="0025250D" w:rsidRDefault="0020750C" w:rsidP="0020750C">
            <w:pPr>
              <w:bidi/>
              <w:spacing w:after="160"/>
              <w:jc w:val="center"/>
              <w:rPr>
                <w:rtl/>
              </w:rPr>
            </w:pPr>
          </w:p>
        </w:tc>
        <w:tc>
          <w:tcPr>
            <w:tcW w:w="4955" w:type="dxa"/>
            <w:vAlign w:val="center"/>
          </w:tcPr>
          <w:p w14:paraId="65FDC087" w14:textId="77777777" w:rsidR="0020750C" w:rsidRPr="0025250D" w:rsidRDefault="0020750C" w:rsidP="0020750C">
            <w:pPr>
              <w:bidi/>
              <w:spacing w:after="160"/>
              <w:jc w:val="center"/>
              <w:rPr>
                <w:rtl/>
              </w:rPr>
            </w:pPr>
            <w:r w:rsidRPr="0025250D">
              <w:t>The Balanced Scorecard Institute (BSI)</w:t>
            </w:r>
          </w:p>
        </w:tc>
      </w:tr>
      <w:tr w:rsidR="0020750C" w:rsidRPr="0025250D" w14:paraId="5E26DBB8" w14:textId="77777777" w:rsidTr="0020750C">
        <w:tc>
          <w:tcPr>
            <w:tcW w:w="2405" w:type="dxa"/>
            <w:vMerge/>
            <w:vAlign w:val="center"/>
          </w:tcPr>
          <w:p w14:paraId="0A93EEDD" w14:textId="77777777" w:rsidR="0020750C" w:rsidRPr="0025250D" w:rsidRDefault="0020750C" w:rsidP="0020750C">
            <w:pPr>
              <w:bidi/>
              <w:spacing w:after="160"/>
              <w:jc w:val="center"/>
              <w:rPr>
                <w:rtl/>
              </w:rPr>
            </w:pPr>
          </w:p>
        </w:tc>
        <w:tc>
          <w:tcPr>
            <w:tcW w:w="4955" w:type="dxa"/>
            <w:vAlign w:val="center"/>
          </w:tcPr>
          <w:p w14:paraId="683F442A" w14:textId="77777777" w:rsidR="0020750C" w:rsidRPr="0025250D" w:rsidRDefault="0020750C" w:rsidP="0020750C">
            <w:pPr>
              <w:bidi/>
              <w:spacing w:after="160"/>
              <w:jc w:val="center"/>
              <w:rPr>
                <w:rtl/>
              </w:rPr>
            </w:pPr>
            <w:r w:rsidRPr="0025250D">
              <w:t>American Society for Quality (ASQ)</w:t>
            </w:r>
          </w:p>
        </w:tc>
      </w:tr>
      <w:tr w:rsidR="0020750C" w:rsidRPr="0025250D" w14:paraId="1594F830" w14:textId="77777777" w:rsidTr="0020750C">
        <w:tc>
          <w:tcPr>
            <w:tcW w:w="2405" w:type="dxa"/>
            <w:vMerge w:val="restart"/>
            <w:vAlign w:val="center"/>
          </w:tcPr>
          <w:p w14:paraId="13C8013B" w14:textId="77777777" w:rsidR="0020750C" w:rsidRPr="0025250D" w:rsidRDefault="0020750C" w:rsidP="0020750C">
            <w:pPr>
              <w:bidi/>
              <w:spacing w:after="160"/>
              <w:jc w:val="center"/>
              <w:rPr>
                <w:rtl/>
              </w:rPr>
            </w:pPr>
            <w:r w:rsidRPr="0025250D">
              <w:rPr>
                <w:rtl/>
              </w:rPr>
              <w:t xml:space="preserve">علم داده و </w:t>
            </w:r>
            <w:r w:rsidRPr="0025250D">
              <w:rPr>
                <w:rFonts w:hint="cs"/>
                <w:rtl/>
              </w:rPr>
              <w:t>ی</w:t>
            </w:r>
            <w:r w:rsidRPr="0025250D">
              <w:rPr>
                <w:rFonts w:hint="eastAsia"/>
                <w:rtl/>
              </w:rPr>
              <w:t>ادگ</w:t>
            </w:r>
            <w:r w:rsidRPr="0025250D">
              <w:rPr>
                <w:rFonts w:hint="cs"/>
                <w:rtl/>
              </w:rPr>
              <w:t>ی</w:t>
            </w:r>
            <w:r w:rsidRPr="0025250D">
              <w:rPr>
                <w:rFonts w:hint="eastAsia"/>
                <w:rtl/>
              </w:rPr>
              <w:t>ر</w:t>
            </w:r>
            <w:r w:rsidRPr="0025250D">
              <w:rPr>
                <w:rFonts w:hint="cs"/>
                <w:rtl/>
              </w:rPr>
              <w:t>ی</w:t>
            </w:r>
            <w:r w:rsidRPr="0025250D">
              <w:rPr>
                <w:rtl/>
              </w:rPr>
              <w:t xml:space="preserve"> ماش</w:t>
            </w:r>
            <w:r w:rsidRPr="0025250D">
              <w:rPr>
                <w:rFonts w:hint="cs"/>
                <w:rtl/>
              </w:rPr>
              <w:t>ی</w:t>
            </w:r>
            <w:r w:rsidRPr="0025250D">
              <w:rPr>
                <w:rFonts w:hint="eastAsia"/>
                <w:rtl/>
              </w:rPr>
              <w:t>ن</w:t>
            </w:r>
          </w:p>
        </w:tc>
        <w:tc>
          <w:tcPr>
            <w:tcW w:w="4955" w:type="dxa"/>
            <w:vAlign w:val="center"/>
          </w:tcPr>
          <w:p w14:paraId="7AE3F0AC" w14:textId="77777777" w:rsidR="0020750C" w:rsidRPr="0025250D" w:rsidRDefault="0020750C" w:rsidP="0020750C">
            <w:pPr>
              <w:bidi/>
              <w:spacing w:after="160"/>
              <w:jc w:val="center"/>
              <w:rPr>
                <w:rtl/>
              </w:rPr>
            </w:pPr>
            <w:r w:rsidRPr="0025250D">
              <w:t>Open Data Science Community (OSDC)</w:t>
            </w:r>
          </w:p>
        </w:tc>
      </w:tr>
      <w:tr w:rsidR="0020750C" w:rsidRPr="0025250D" w14:paraId="661C3AFB" w14:textId="77777777" w:rsidTr="0020750C">
        <w:tc>
          <w:tcPr>
            <w:tcW w:w="2405" w:type="dxa"/>
            <w:vMerge/>
            <w:vAlign w:val="center"/>
          </w:tcPr>
          <w:p w14:paraId="0F020D1A" w14:textId="77777777" w:rsidR="0020750C" w:rsidRPr="0025250D" w:rsidRDefault="0020750C" w:rsidP="0020750C">
            <w:pPr>
              <w:bidi/>
              <w:spacing w:after="160"/>
              <w:jc w:val="center"/>
              <w:rPr>
                <w:rtl/>
              </w:rPr>
            </w:pPr>
          </w:p>
        </w:tc>
        <w:tc>
          <w:tcPr>
            <w:tcW w:w="4955" w:type="dxa"/>
            <w:vAlign w:val="center"/>
          </w:tcPr>
          <w:p w14:paraId="5CBD52BE" w14:textId="77777777" w:rsidR="0020750C" w:rsidRPr="0025250D" w:rsidRDefault="0020750C" w:rsidP="0020750C">
            <w:pPr>
              <w:bidi/>
              <w:spacing w:after="160"/>
              <w:jc w:val="center"/>
              <w:rPr>
                <w:rtl/>
              </w:rPr>
            </w:pPr>
            <w:r w:rsidRPr="0025250D">
              <w:t>Kaggle Learning (Data Science Certiﬁcates and Competition Platform)</w:t>
            </w:r>
          </w:p>
        </w:tc>
      </w:tr>
      <w:tr w:rsidR="0020750C" w:rsidRPr="0025250D" w14:paraId="1F43656E" w14:textId="77777777" w:rsidTr="0020750C">
        <w:tc>
          <w:tcPr>
            <w:tcW w:w="2405" w:type="dxa"/>
            <w:vMerge/>
            <w:vAlign w:val="center"/>
          </w:tcPr>
          <w:p w14:paraId="640FA7F7" w14:textId="77777777" w:rsidR="0020750C" w:rsidRPr="0025250D" w:rsidRDefault="0020750C" w:rsidP="0020750C">
            <w:pPr>
              <w:bidi/>
              <w:spacing w:after="160"/>
              <w:jc w:val="center"/>
              <w:rPr>
                <w:rtl/>
              </w:rPr>
            </w:pPr>
          </w:p>
        </w:tc>
        <w:tc>
          <w:tcPr>
            <w:tcW w:w="4955" w:type="dxa"/>
            <w:vAlign w:val="center"/>
          </w:tcPr>
          <w:p w14:paraId="47ABA771" w14:textId="77777777" w:rsidR="0020750C" w:rsidRPr="0025250D" w:rsidRDefault="0020750C" w:rsidP="0020750C">
            <w:pPr>
              <w:bidi/>
              <w:spacing w:after="160"/>
              <w:jc w:val="center"/>
              <w:rPr>
                <w:rtl/>
              </w:rPr>
            </w:pPr>
            <w:r w:rsidRPr="0025250D">
              <w:t>Digital Analytics Association (DAA)</w:t>
            </w:r>
          </w:p>
        </w:tc>
      </w:tr>
      <w:tr w:rsidR="0020750C" w:rsidRPr="0025250D" w14:paraId="5D6C27EB" w14:textId="77777777" w:rsidTr="0020750C">
        <w:tc>
          <w:tcPr>
            <w:tcW w:w="2405" w:type="dxa"/>
            <w:vMerge w:val="restart"/>
            <w:vAlign w:val="center"/>
          </w:tcPr>
          <w:p w14:paraId="7796FC75" w14:textId="77777777" w:rsidR="0020750C" w:rsidRPr="0025250D" w:rsidRDefault="0020750C" w:rsidP="0020750C">
            <w:pPr>
              <w:bidi/>
              <w:spacing w:after="160"/>
              <w:jc w:val="center"/>
              <w:rPr>
                <w:rtl/>
              </w:rPr>
            </w:pPr>
            <w:r w:rsidRPr="0025250D">
              <w:rPr>
                <w:rtl/>
              </w:rPr>
              <w:t>کارآفر</w:t>
            </w:r>
            <w:r w:rsidRPr="0025250D">
              <w:rPr>
                <w:rFonts w:hint="cs"/>
                <w:rtl/>
              </w:rPr>
              <w:t>ی</w:t>
            </w:r>
            <w:r w:rsidRPr="0025250D">
              <w:rPr>
                <w:rFonts w:hint="eastAsia"/>
                <w:rtl/>
              </w:rPr>
              <w:t>ن</w:t>
            </w:r>
            <w:r w:rsidRPr="0025250D">
              <w:rPr>
                <w:rFonts w:hint="cs"/>
                <w:rtl/>
              </w:rPr>
              <w:t>ی</w:t>
            </w:r>
            <w:r w:rsidRPr="0025250D">
              <w:rPr>
                <w:rtl/>
              </w:rPr>
              <w:t xml:space="preserve"> و </w:t>
            </w:r>
            <w:r w:rsidRPr="0025250D">
              <w:rPr>
                <w:rFonts w:hint="cs"/>
                <w:rtl/>
              </w:rPr>
              <w:t>کارآفرینی سازمانی</w:t>
            </w:r>
          </w:p>
        </w:tc>
        <w:tc>
          <w:tcPr>
            <w:tcW w:w="4955" w:type="dxa"/>
            <w:vAlign w:val="center"/>
          </w:tcPr>
          <w:p w14:paraId="766009FD" w14:textId="77777777" w:rsidR="0020750C" w:rsidRPr="0025250D" w:rsidRDefault="0020750C" w:rsidP="0020750C">
            <w:pPr>
              <w:bidi/>
              <w:spacing w:after="160"/>
              <w:jc w:val="center"/>
              <w:rPr>
                <w:rtl/>
              </w:rPr>
            </w:pPr>
            <w:r w:rsidRPr="0025250D">
              <w:t>Founder Institute (FI)</w:t>
            </w:r>
          </w:p>
        </w:tc>
      </w:tr>
      <w:tr w:rsidR="0020750C" w:rsidRPr="0025250D" w14:paraId="10A82598" w14:textId="77777777" w:rsidTr="0020750C">
        <w:tc>
          <w:tcPr>
            <w:tcW w:w="2405" w:type="dxa"/>
            <w:vMerge/>
            <w:vAlign w:val="center"/>
          </w:tcPr>
          <w:p w14:paraId="194449B3" w14:textId="77777777" w:rsidR="0020750C" w:rsidRPr="0025250D" w:rsidRDefault="0020750C" w:rsidP="0020750C">
            <w:pPr>
              <w:bidi/>
              <w:spacing w:after="160"/>
              <w:jc w:val="center"/>
              <w:rPr>
                <w:rtl/>
              </w:rPr>
            </w:pPr>
          </w:p>
        </w:tc>
        <w:tc>
          <w:tcPr>
            <w:tcW w:w="4955" w:type="dxa"/>
            <w:vAlign w:val="center"/>
          </w:tcPr>
          <w:p w14:paraId="6BCC1E02" w14:textId="77777777" w:rsidR="0020750C" w:rsidRPr="0025250D" w:rsidRDefault="0020750C" w:rsidP="0020750C">
            <w:pPr>
              <w:bidi/>
              <w:spacing w:after="160"/>
              <w:jc w:val="center"/>
              <w:rPr>
                <w:rtl/>
              </w:rPr>
            </w:pPr>
            <w:r w:rsidRPr="0025250D">
              <w:t>Lean Startup Circles</w:t>
            </w:r>
          </w:p>
        </w:tc>
      </w:tr>
      <w:tr w:rsidR="0020750C" w:rsidRPr="0025250D" w14:paraId="56A0D00C" w14:textId="77777777" w:rsidTr="0020750C">
        <w:tc>
          <w:tcPr>
            <w:tcW w:w="2405" w:type="dxa"/>
            <w:vMerge/>
            <w:vAlign w:val="center"/>
          </w:tcPr>
          <w:p w14:paraId="1DB6FD3B" w14:textId="77777777" w:rsidR="0020750C" w:rsidRPr="0025250D" w:rsidRDefault="0020750C" w:rsidP="0020750C">
            <w:pPr>
              <w:bidi/>
              <w:spacing w:after="160"/>
              <w:jc w:val="center"/>
              <w:rPr>
                <w:rtl/>
              </w:rPr>
            </w:pPr>
          </w:p>
        </w:tc>
        <w:tc>
          <w:tcPr>
            <w:tcW w:w="4955" w:type="dxa"/>
            <w:vAlign w:val="center"/>
          </w:tcPr>
          <w:p w14:paraId="101D7F14" w14:textId="77777777" w:rsidR="0020750C" w:rsidRPr="0025250D" w:rsidRDefault="0020750C" w:rsidP="0020750C">
            <w:pPr>
              <w:bidi/>
              <w:spacing w:after="160"/>
              <w:jc w:val="center"/>
              <w:rPr>
                <w:rtl/>
              </w:rPr>
            </w:pPr>
            <w:r w:rsidRPr="0025250D">
              <w:t>The Intrapreneurship Conference</w:t>
            </w:r>
          </w:p>
        </w:tc>
      </w:tr>
      <w:tr w:rsidR="0020750C" w:rsidRPr="0025250D" w14:paraId="474008FA" w14:textId="77777777" w:rsidTr="0020750C">
        <w:tc>
          <w:tcPr>
            <w:tcW w:w="2405" w:type="dxa"/>
            <w:vMerge w:val="restart"/>
            <w:vAlign w:val="center"/>
          </w:tcPr>
          <w:p w14:paraId="725A3585" w14:textId="77777777" w:rsidR="0020750C" w:rsidRPr="0025250D" w:rsidRDefault="0020750C" w:rsidP="0020750C">
            <w:pPr>
              <w:bidi/>
              <w:spacing w:after="160"/>
              <w:jc w:val="center"/>
              <w:rPr>
                <w:rtl/>
              </w:rPr>
            </w:pPr>
            <w:r w:rsidRPr="0025250D">
              <w:rPr>
                <w:rFonts w:hint="cs"/>
                <w:rtl/>
              </w:rPr>
              <w:t>تسهیل و بازی</w:t>
            </w:r>
          </w:p>
        </w:tc>
        <w:tc>
          <w:tcPr>
            <w:tcW w:w="4955" w:type="dxa"/>
            <w:vAlign w:val="center"/>
          </w:tcPr>
          <w:p w14:paraId="09C4355E" w14:textId="77777777" w:rsidR="0020750C" w:rsidRPr="0025250D" w:rsidRDefault="0020750C" w:rsidP="0020750C">
            <w:pPr>
              <w:bidi/>
              <w:spacing w:after="160"/>
              <w:jc w:val="center"/>
              <w:rPr>
                <w:rtl/>
              </w:rPr>
            </w:pPr>
            <w:r w:rsidRPr="0025250D">
              <w:t>International Association of Facilitators (IAF)</w:t>
            </w:r>
          </w:p>
        </w:tc>
      </w:tr>
      <w:tr w:rsidR="0020750C" w:rsidRPr="0025250D" w14:paraId="3C0B8C57" w14:textId="77777777" w:rsidTr="0020750C">
        <w:tc>
          <w:tcPr>
            <w:tcW w:w="2405" w:type="dxa"/>
            <w:vMerge/>
            <w:vAlign w:val="center"/>
          </w:tcPr>
          <w:p w14:paraId="7EA530A3" w14:textId="77777777" w:rsidR="0020750C" w:rsidRPr="0025250D" w:rsidRDefault="0020750C" w:rsidP="0020750C">
            <w:pPr>
              <w:bidi/>
              <w:spacing w:after="160"/>
              <w:jc w:val="center"/>
              <w:rPr>
                <w:rtl/>
              </w:rPr>
            </w:pPr>
          </w:p>
        </w:tc>
        <w:tc>
          <w:tcPr>
            <w:tcW w:w="4955" w:type="dxa"/>
            <w:vAlign w:val="center"/>
          </w:tcPr>
          <w:p w14:paraId="2247EAE8" w14:textId="77777777" w:rsidR="0020750C" w:rsidRPr="0025250D" w:rsidRDefault="0020750C" w:rsidP="0020750C">
            <w:pPr>
              <w:bidi/>
              <w:spacing w:after="160"/>
              <w:jc w:val="center"/>
              <w:rPr>
                <w:rtl/>
              </w:rPr>
            </w:pPr>
            <w:r w:rsidRPr="0025250D">
              <w:t>North American Simulation and Gaming Association (NASAGA)</w:t>
            </w:r>
          </w:p>
        </w:tc>
      </w:tr>
      <w:tr w:rsidR="0020750C" w:rsidRPr="0025250D" w14:paraId="1E59DEAD" w14:textId="77777777" w:rsidTr="0020750C">
        <w:tc>
          <w:tcPr>
            <w:tcW w:w="2405" w:type="dxa"/>
            <w:vMerge w:val="restart"/>
            <w:vAlign w:val="center"/>
          </w:tcPr>
          <w:p w14:paraId="2213B914" w14:textId="536BC781" w:rsidR="0020750C" w:rsidRPr="0025250D" w:rsidRDefault="00FB6A7E" w:rsidP="0020750C">
            <w:pPr>
              <w:bidi/>
              <w:spacing w:after="160"/>
              <w:jc w:val="center"/>
              <w:rPr>
                <w:rtl/>
              </w:rPr>
            </w:pPr>
            <w:r w:rsidRPr="0025250D">
              <w:rPr>
                <w:rtl/>
              </w:rPr>
              <w:t>پیش‌نگری</w:t>
            </w:r>
            <w:r w:rsidR="0020750C" w:rsidRPr="0025250D">
              <w:rPr>
                <w:rtl/>
              </w:rPr>
              <w:t xml:space="preserve"> و </w:t>
            </w:r>
            <w:r w:rsidR="00D92F6E" w:rsidRPr="0025250D">
              <w:rPr>
                <w:rtl/>
              </w:rPr>
              <w:t>پیش‌بین</w:t>
            </w:r>
            <w:r w:rsidR="0020750C" w:rsidRPr="0025250D">
              <w:rPr>
                <w:rFonts w:hint="cs"/>
                <w:rtl/>
              </w:rPr>
              <w:t>ی</w:t>
            </w:r>
          </w:p>
        </w:tc>
        <w:tc>
          <w:tcPr>
            <w:tcW w:w="4955" w:type="dxa"/>
            <w:vAlign w:val="center"/>
          </w:tcPr>
          <w:p w14:paraId="69AFF514" w14:textId="77777777" w:rsidR="0020750C" w:rsidRPr="0025250D" w:rsidRDefault="0020750C" w:rsidP="0020750C">
            <w:pPr>
              <w:bidi/>
              <w:spacing w:after="160"/>
              <w:jc w:val="center"/>
              <w:rPr>
                <w:rtl/>
              </w:rPr>
            </w:pPr>
            <w:r w:rsidRPr="0025250D">
              <w:t>International Institute of Forecasters (IIF)</w:t>
            </w:r>
          </w:p>
        </w:tc>
      </w:tr>
      <w:tr w:rsidR="0020750C" w:rsidRPr="0025250D" w14:paraId="71C3B2A5" w14:textId="77777777" w:rsidTr="0020750C">
        <w:tc>
          <w:tcPr>
            <w:tcW w:w="2405" w:type="dxa"/>
            <w:vMerge/>
            <w:vAlign w:val="center"/>
          </w:tcPr>
          <w:p w14:paraId="78C06797" w14:textId="77777777" w:rsidR="0020750C" w:rsidRPr="0025250D" w:rsidRDefault="0020750C" w:rsidP="0020750C">
            <w:pPr>
              <w:bidi/>
              <w:spacing w:after="160"/>
              <w:jc w:val="center"/>
              <w:rPr>
                <w:rtl/>
              </w:rPr>
            </w:pPr>
          </w:p>
        </w:tc>
        <w:tc>
          <w:tcPr>
            <w:tcW w:w="4955" w:type="dxa"/>
            <w:vAlign w:val="center"/>
          </w:tcPr>
          <w:p w14:paraId="0852F668" w14:textId="77777777" w:rsidR="0020750C" w:rsidRPr="0025250D" w:rsidRDefault="0020750C" w:rsidP="0020750C">
            <w:pPr>
              <w:bidi/>
              <w:spacing w:after="160"/>
              <w:jc w:val="center"/>
              <w:rPr>
                <w:rtl/>
              </w:rPr>
            </w:pPr>
            <w:r w:rsidRPr="0025250D">
              <w:t>Prediction Markets</w:t>
            </w:r>
          </w:p>
        </w:tc>
      </w:tr>
      <w:tr w:rsidR="0020750C" w:rsidRPr="0025250D" w14:paraId="52666E86" w14:textId="77777777" w:rsidTr="0020750C">
        <w:tc>
          <w:tcPr>
            <w:tcW w:w="2405" w:type="dxa"/>
            <w:vMerge w:val="restart"/>
            <w:vAlign w:val="center"/>
          </w:tcPr>
          <w:p w14:paraId="7BA94CFD" w14:textId="77777777" w:rsidR="0020750C" w:rsidRPr="0025250D" w:rsidRDefault="0020750C" w:rsidP="0020750C">
            <w:pPr>
              <w:bidi/>
              <w:spacing w:after="160"/>
              <w:jc w:val="center"/>
              <w:rPr>
                <w:rtl/>
              </w:rPr>
            </w:pPr>
            <w:r w:rsidRPr="0025250D">
              <w:rPr>
                <w:rtl/>
              </w:rPr>
              <w:t>منابع انسان</w:t>
            </w:r>
            <w:r w:rsidRPr="0025250D">
              <w:rPr>
                <w:rFonts w:hint="cs"/>
                <w:rtl/>
              </w:rPr>
              <w:t>ی</w:t>
            </w:r>
            <w:r w:rsidRPr="0025250D">
              <w:rPr>
                <w:rtl/>
              </w:rPr>
              <w:t xml:space="preserve"> و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عملکرد</w:t>
            </w:r>
          </w:p>
        </w:tc>
        <w:tc>
          <w:tcPr>
            <w:tcW w:w="4955" w:type="dxa"/>
            <w:vAlign w:val="center"/>
          </w:tcPr>
          <w:p w14:paraId="28FB793A" w14:textId="77777777" w:rsidR="0020750C" w:rsidRPr="0025250D" w:rsidRDefault="0020750C" w:rsidP="0020750C">
            <w:pPr>
              <w:bidi/>
              <w:spacing w:after="160"/>
              <w:jc w:val="center"/>
              <w:rPr>
                <w:rtl/>
              </w:rPr>
            </w:pPr>
            <w:r w:rsidRPr="0025250D">
              <w:t>Society for Human Resource Mgmt (SHRM)</w:t>
            </w:r>
          </w:p>
        </w:tc>
      </w:tr>
      <w:tr w:rsidR="0020750C" w:rsidRPr="0025250D" w14:paraId="61FE141B" w14:textId="77777777" w:rsidTr="0020750C">
        <w:tc>
          <w:tcPr>
            <w:tcW w:w="2405" w:type="dxa"/>
            <w:vMerge/>
            <w:vAlign w:val="center"/>
          </w:tcPr>
          <w:p w14:paraId="3EAAFD52" w14:textId="77777777" w:rsidR="0020750C" w:rsidRPr="0025250D" w:rsidRDefault="0020750C" w:rsidP="0020750C">
            <w:pPr>
              <w:bidi/>
              <w:spacing w:after="160"/>
              <w:jc w:val="center"/>
              <w:rPr>
                <w:rtl/>
              </w:rPr>
            </w:pPr>
          </w:p>
        </w:tc>
        <w:tc>
          <w:tcPr>
            <w:tcW w:w="4955" w:type="dxa"/>
            <w:vAlign w:val="center"/>
          </w:tcPr>
          <w:p w14:paraId="40C5092F" w14:textId="77777777" w:rsidR="0020750C" w:rsidRPr="0025250D" w:rsidRDefault="0020750C" w:rsidP="0020750C">
            <w:pPr>
              <w:bidi/>
              <w:spacing w:after="160"/>
              <w:jc w:val="center"/>
              <w:rPr>
                <w:rtl/>
              </w:rPr>
            </w:pPr>
            <w:r w:rsidRPr="0025250D">
              <w:t>The KPI Institute (KPII)</w:t>
            </w:r>
          </w:p>
        </w:tc>
      </w:tr>
      <w:tr w:rsidR="0020750C" w:rsidRPr="0025250D" w14:paraId="1501B251" w14:textId="77777777" w:rsidTr="0020750C">
        <w:tc>
          <w:tcPr>
            <w:tcW w:w="2405" w:type="dxa"/>
            <w:vMerge w:val="restart"/>
            <w:vAlign w:val="center"/>
          </w:tcPr>
          <w:p w14:paraId="6B564D50" w14:textId="77777777" w:rsidR="0020750C" w:rsidRPr="0025250D" w:rsidRDefault="0020750C" w:rsidP="0020750C">
            <w:pPr>
              <w:bidi/>
              <w:spacing w:after="160"/>
              <w:jc w:val="center"/>
              <w:rPr>
                <w:rtl/>
              </w:rPr>
            </w:pPr>
            <w:r w:rsidRPr="0025250D">
              <w:rPr>
                <w:rFonts w:hint="cs"/>
                <w:rtl/>
              </w:rPr>
              <w:t>طراحی و ایده پردازی</w:t>
            </w:r>
          </w:p>
        </w:tc>
        <w:tc>
          <w:tcPr>
            <w:tcW w:w="4955" w:type="dxa"/>
            <w:vAlign w:val="center"/>
          </w:tcPr>
          <w:p w14:paraId="68E0D96A" w14:textId="77777777" w:rsidR="0020750C" w:rsidRPr="0025250D" w:rsidRDefault="007A207F" w:rsidP="0020750C">
            <w:pPr>
              <w:bidi/>
              <w:spacing w:after="160"/>
              <w:jc w:val="center"/>
              <w:rPr>
                <w:rtl/>
              </w:rPr>
            </w:pPr>
            <w:hyperlink r:id="rId574">
              <w:r w:rsidR="0020750C" w:rsidRPr="0025250D">
                <w:rPr>
                  <w:rStyle w:val="Hyperlink"/>
                  <w:color w:val="auto"/>
                  <w:u w:val="none"/>
                </w:rPr>
                <w:t>IDEO U</w:t>
              </w:r>
            </w:hyperlink>
          </w:p>
        </w:tc>
      </w:tr>
      <w:tr w:rsidR="0020750C" w:rsidRPr="0025250D" w14:paraId="1C4773A2" w14:textId="77777777" w:rsidTr="0020750C">
        <w:tc>
          <w:tcPr>
            <w:tcW w:w="2405" w:type="dxa"/>
            <w:vMerge/>
            <w:vAlign w:val="center"/>
          </w:tcPr>
          <w:p w14:paraId="7D229C19" w14:textId="77777777" w:rsidR="0020750C" w:rsidRPr="0025250D" w:rsidRDefault="0020750C" w:rsidP="0020750C">
            <w:pPr>
              <w:bidi/>
              <w:spacing w:after="160"/>
              <w:jc w:val="center"/>
              <w:rPr>
                <w:rtl/>
              </w:rPr>
            </w:pPr>
          </w:p>
        </w:tc>
        <w:tc>
          <w:tcPr>
            <w:tcW w:w="4955" w:type="dxa"/>
            <w:vAlign w:val="center"/>
          </w:tcPr>
          <w:p w14:paraId="33CB60A5" w14:textId="77777777" w:rsidR="0020750C" w:rsidRPr="0025250D" w:rsidRDefault="0020750C" w:rsidP="0020750C">
            <w:pPr>
              <w:bidi/>
              <w:spacing w:after="160"/>
              <w:jc w:val="center"/>
              <w:rPr>
                <w:rtl/>
              </w:rPr>
            </w:pPr>
            <w:r w:rsidRPr="0025250D">
              <w:t>American Creativity Association (ACA)</w:t>
            </w:r>
          </w:p>
        </w:tc>
      </w:tr>
      <w:tr w:rsidR="0020750C" w:rsidRPr="0025250D" w14:paraId="7D461E2C" w14:textId="77777777" w:rsidTr="0020750C">
        <w:tc>
          <w:tcPr>
            <w:tcW w:w="2405" w:type="dxa"/>
            <w:vMerge/>
            <w:vAlign w:val="center"/>
          </w:tcPr>
          <w:p w14:paraId="7C2BD195" w14:textId="77777777" w:rsidR="0020750C" w:rsidRPr="0025250D" w:rsidRDefault="0020750C" w:rsidP="0020750C">
            <w:pPr>
              <w:bidi/>
              <w:spacing w:after="160"/>
              <w:jc w:val="center"/>
              <w:rPr>
                <w:rtl/>
              </w:rPr>
            </w:pPr>
          </w:p>
        </w:tc>
        <w:tc>
          <w:tcPr>
            <w:tcW w:w="4955" w:type="dxa"/>
            <w:vAlign w:val="center"/>
          </w:tcPr>
          <w:p w14:paraId="38144920" w14:textId="77777777" w:rsidR="0020750C" w:rsidRPr="0025250D" w:rsidRDefault="0020750C" w:rsidP="0020750C">
            <w:pPr>
              <w:bidi/>
              <w:spacing w:after="160"/>
              <w:jc w:val="center"/>
              <w:rPr>
                <w:rtl/>
              </w:rPr>
            </w:pPr>
            <w:r w:rsidRPr="0025250D">
              <w:t>AIGA: The Professional Association for Design (AIGA)</w:t>
            </w:r>
          </w:p>
        </w:tc>
      </w:tr>
      <w:tr w:rsidR="0020750C" w:rsidRPr="0025250D" w14:paraId="10F0666A" w14:textId="77777777" w:rsidTr="0020750C">
        <w:tc>
          <w:tcPr>
            <w:tcW w:w="2405" w:type="dxa"/>
            <w:vMerge w:val="restart"/>
            <w:vAlign w:val="center"/>
          </w:tcPr>
          <w:p w14:paraId="06007E1E" w14:textId="77777777" w:rsidR="0020750C" w:rsidRPr="0025250D" w:rsidRDefault="0020750C" w:rsidP="0020750C">
            <w:pPr>
              <w:bidi/>
              <w:spacing w:after="160"/>
              <w:jc w:val="center"/>
              <w:rPr>
                <w:rtl/>
              </w:rPr>
            </w:pPr>
            <w:r w:rsidRPr="0025250D">
              <w:rPr>
                <w:rtl/>
              </w:rPr>
              <w:t>نوآور</w:t>
            </w:r>
            <w:r w:rsidRPr="0025250D">
              <w:rPr>
                <w:rFonts w:hint="cs"/>
                <w:rtl/>
              </w:rPr>
              <w:t>ی</w:t>
            </w:r>
            <w:r w:rsidRPr="0025250D">
              <w:rPr>
                <w:rtl/>
              </w:rPr>
              <w:t xml:space="preserve"> و تحق</w:t>
            </w:r>
            <w:r w:rsidRPr="0025250D">
              <w:rPr>
                <w:rFonts w:hint="cs"/>
                <w:rtl/>
              </w:rPr>
              <w:t>ی</w:t>
            </w:r>
            <w:r w:rsidRPr="0025250D">
              <w:rPr>
                <w:rFonts w:hint="eastAsia"/>
                <w:rtl/>
              </w:rPr>
              <w:t>ق</w:t>
            </w:r>
            <w:r w:rsidRPr="0025250D">
              <w:rPr>
                <w:rtl/>
              </w:rPr>
              <w:t xml:space="preserve"> و توسعه</w:t>
            </w:r>
          </w:p>
        </w:tc>
        <w:tc>
          <w:tcPr>
            <w:tcW w:w="4955" w:type="dxa"/>
            <w:vAlign w:val="center"/>
          </w:tcPr>
          <w:p w14:paraId="5BF2E963" w14:textId="77777777" w:rsidR="0020750C" w:rsidRPr="0025250D" w:rsidRDefault="0020750C" w:rsidP="0020750C">
            <w:pPr>
              <w:bidi/>
              <w:spacing w:after="160"/>
              <w:jc w:val="center"/>
              <w:rPr>
                <w:rtl/>
              </w:rPr>
            </w:pPr>
            <w:r w:rsidRPr="0025250D">
              <w:t>International Society of Professional Innovation Mgmt (ISPIM)</w:t>
            </w:r>
          </w:p>
        </w:tc>
      </w:tr>
      <w:tr w:rsidR="0020750C" w:rsidRPr="0025250D" w14:paraId="01F77347" w14:textId="77777777" w:rsidTr="0020750C">
        <w:tc>
          <w:tcPr>
            <w:tcW w:w="2405" w:type="dxa"/>
            <w:vMerge/>
            <w:vAlign w:val="center"/>
          </w:tcPr>
          <w:p w14:paraId="7195B61D" w14:textId="77777777" w:rsidR="0020750C" w:rsidRPr="0025250D" w:rsidRDefault="0020750C" w:rsidP="0020750C">
            <w:pPr>
              <w:bidi/>
              <w:spacing w:after="160"/>
              <w:jc w:val="center"/>
              <w:rPr>
                <w:rtl/>
              </w:rPr>
            </w:pPr>
          </w:p>
        </w:tc>
        <w:tc>
          <w:tcPr>
            <w:tcW w:w="4955" w:type="dxa"/>
            <w:vAlign w:val="center"/>
          </w:tcPr>
          <w:p w14:paraId="17786CED" w14:textId="77777777" w:rsidR="0020750C" w:rsidRPr="0025250D" w:rsidRDefault="0020750C" w:rsidP="0020750C">
            <w:pPr>
              <w:bidi/>
              <w:spacing w:after="160"/>
              <w:jc w:val="center"/>
              <w:rPr>
                <w:rtl/>
              </w:rPr>
            </w:pPr>
            <w:r w:rsidRPr="0025250D">
              <w:t>Research and Development Management Association (RADMA)</w:t>
            </w:r>
          </w:p>
        </w:tc>
      </w:tr>
      <w:tr w:rsidR="0020750C" w:rsidRPr="0025250D" w14:paraId="4B452BA7" w14:textId="77777777" w:rsidTr="0020750C">
        <w:tc>
          <w:tcPr>
            <w:tcW w:w="2405" w:type="dxa"/>
            <w:vMerge w:val="restart"/>
            <w:vAlign w:val="center"/>
          </w:tcPr>
          <w:p w14:paraId="0D0E2098" w14:textId="5F35BDE2" w:rsidR="0020750C" w:rsidRPr="0025250D" w:rsidRDefault="0020750C" w:rsidP="0020750C">
            <w:pPr>
              <w:bidi/>
              <w:spacing w:after="160"/>
              <w:jc w:val="center"/>
              <w:rPr>
                <w:rtl/>
              </w:rPr>
            </w:pPr>
            <w:r w:rsidRPr="0025250D">
              <w:rPr>
                <w:rFonts w:hint="cs"/>
                <w:rtl/>
              </w:rPr>
              <w:t>اطلاعات و مدیریت</w:t>
            </w:r>
          </w:p>
        </w:tc>
        <w:tc>
          <w:tcPr>
            <w:tcW w:w="4955" w:type="dxa"/>
            <w:vAlign w:val="center"/>
          </w:tcPr>
          <w:p w14:paraId="72052ABB" w14:textId="77777777" w:rsidR="0020750C" w:rsidRPr="0025250D" w:rsidRDefault="0020750C" w:rsidP="0020750C">
            <w:pPr>
              <w:bidi/>
              <w:spacing w:after="160"/>
              <w:jc w:val="center"/>
              <w:rPr>
                <w:rtl/>
              </w:rPr>
            </w:pPr>
            <w:r w:rsidRPr="0025250D">
              <w:t>Collective Intelligence Academic Community (CIAC)</w:t>
            </w:r>
          </w:p>
        </w:tc>
      </w:tr>
      <w:tr w:rsidR="0020750C" w:rsidRPr="0025250D" w14:paraId="16F76764" w14:textId="77777777" w:rsidTr="0020750C">
        <w:tc>
          <w:tcPr>
            <w:tcW w:w="2405" w:type="dxa"/>
            <w:vMerge/>
            <w:vAlign w:val="center"/>
          </w:tcPr>
          <w:p w14:paraId="37A88D98" w14:textId="77777777" w:rsidR="0020750C" w:rsidRPr="0025250D" w:rsidRDefault="0020750C" w:rsidP="0020750C">
            <w:pPr>
              <w:bidi/>
              <w:spacing w:after="160"/>
              <w:jc w:val="center"/>
              <w:rPr>
                <w:rtl/>
              </w:rPr>
            </w:pPr>
          </w:p>
        </w:tc>
        <w:tc>
          <w:tcPr>
            <w:tcW w:w="4955" w:type="dxa"/>
            <w:vAlign w:val="center"/>
          </w:tcPr>
          <w:p w14:paraId="584CD795" w14:textId="77777777" w:rsidR="0020750C" w:rsidRPr="0025250D" w:rsidRDefault="0020750C" w:rsidP="0020750C">
            <w:pPr>
              <w:bidi/>
              <w:spacing w:after="160"/>
              <w:jc w:val="center"/>
              <w:rPr>
                <w:rtl/>
              </w:rPr>
            </w:pPr>
            <w:r w:rsidRPr="0025250D">
              <w:t>Strategic and Competitive Intelligence Professionals (SCIP)</w:t>
            </w:r>
          </w:p>
        </w:tc>
      </w:tr>
      <w:tr w:rsidR="0020750C" w:rsidRPr="0025250D" w14:paraId="79729AC4" w14:textId="77777777" w:rsidTr="0020750C">
        <w:tc>
          <w:tcPr>
            <w:tcW w:w="2405" w:type="dxa"/>
            <w:vMerge/>
            <w:vAlign w:val="center"/>
          </w:tcPr>
          <w:p w14:paraId="2C462F43" w14:textId="77777777" w:rsidR="0020750C" w:rsidRPr="0025250D" w:rsidRDefault="0020750C" w:rsidP="0020750C">
            <w:pPr>
              <w:bidi/>
              <w:spacing w:after="160"/>
              <w:jc w:val="center"/>
              <w:rPr>
                <w:rtl/>
              </w:rPr>
            </w:pPr>
          </w:p>
        </w:tc>
        <w:tc>
          <w:tcPr>
            <w:tcW w:w="4955" w:type="dxa"/>
            <w:vAlign w:val="center"/>
          </w:tcPr>
          <w:p w14:paraId="1B8FDF34" w14:textId="77777777" w:rsidR="0020750C" w:rsidRPr="0025250D" w:rsidRDefault="0020750C" w:rsidP="0020750C">
            <w:pPr>
              <w:bidi/>
              <w:spacing w:after="160"/>
              <w:jc w:val="center"/>
              <w:rPr>
                <w:rtl/>
              </w:rPr>
            </w:pPr>
            <w:r w:rsidRPr="0025250D">
              <w:t>The Knowledge Management Professional Society (KMPro)</w:t>
            </w:r>
          </w:p>
        </w:tc>
      </w:tr>
      <w:tr w:rsidR="0020750C" w:rsidRPr="0025250D" w14:paraId="1106470C" w14:textId="77777777" w:rsidTr="0020750C">
        <w:tc>
          <w:tcPr>
            <w:tcW w:w="2405" w:type="dxa"/>
            <w:vMerge w:val="restart"/>
            <w:vAlign w:val="center"/>
          </w:tcPr>
          <w:p w14:paraId="3CA838FB" w14:textId="42705DB6" w:rsidR="0020750C" w:rsidRPr="0025250D" w:rsidRDefault="00F50EB4" w:rsidP="0020750C">
            <w:pPr>
              <w:bidi/>
              <w:spacing w:after="160"/>
              <w:jc w:val="center"/>
              <w:rPr>
                <w:rtl/>
              </w:rPr>
            </w:pPr>
            <w:r w:rsidRPr="0025250D">
              <w:rPr>
                <w:rtl/>
              </w:rPr>
              <w:t>سرمایه‌گذاری</w:t>
            </w:r>
            <w:r w:rsidR="0020750C" w:rsidRPr="0025250D">
              <w:rPr>
                <w:rtl/>
              </w:rPr>
              <w:t xml:space="preserve"> و امور مال</w:t>
            </w:r>
            <w:r w:rsidR="0020750C" w:rsidRPr="0025250D">
              <w:rPr>
                <w:rFonts w:hint="cs"/>
                <w:rtl/>
              </w:rPr>
              <w:t>ی</w:t>
            </w:r>
          </w:p>
        </w:tc>
        <w:tc>
          <w:tcPr>
            <w:tcW w:w="4955" w:type="dxa"/>
            <w:vAlign w:val="center"/>
          </w:tcPr>
          <w:p w14:paraId="1C9EBEB1" w14:textId="77777777" w:rsidR="0020750C" w:rsidRPr="0025250D" w:rsidRDefault="0020750C" w:rsidP="0020750C">
            <w:pPr>
              <w:bidi/>
              <w:spacing w:after="160"/>
              <w:jc w:val="center"/>
            </w:pPr>
            <w:r w:rsidRPr="0025250D">
              <w:t>CFA Institute (CFAI)</w:t>
            </w:r>
          </w:p>
        </w:tc>
      </w:tr>
      <w:tr w:rsidR="0020750C" w:rsidRPr="0025250D" w14:paraId="320F5628" w14:textId="77777777" w:rsidTr="0020750C">
        <w:tc>
          <w:tcPr>
            <w:tcW w:w="2405" w:type="dxa"/>
            <w:vMerge/>
            <w:vAlign w:val="center"/>
          </w:tcPr>
          <w:p w14:paraId="38E05A6C" w14:textId="77777777" w:rsidR="0020750C" w:rsidRPr="0025250D" w:rsidRDefault="0020750C" w:rsidP="0020750C">
            <w:pPr>
              <w:bidi/>
              <w:spacing w:after="160"/>
              <w:jc w:val="center"/>
              <w:rPr>
                <w:rtl/>
              </w:rPr>
            </w:pPr>
          </w:p>
        </w:tc>
        <w:tc>
          <w:tcPr>
            <w:tcW w:w="4955" w:type="dxa"/>
            <w:vAlign w:val="center"/>
          </w:tcPr>
          <w:p w14:paraId="11F9AA84" w14:textId="77777777" w:rsidR="0020750C" w:rsidRPr="0025250D" w:rsidRDefault="0020750C" w:rsidP="0020750C">
            <w:pPr>
              <w:bidi/>
              <w:spacing w:after="160"/>
              <w:jc w:val="center"/>
            </w:pPr>
            <w:r w:rsidRPr="0025250D">
              <w:t>American Association of Individual Investors (AAII)</w:t>
            </w:r>
          </w:p>
        </w:tc>
      </w:tr>
      <w:tr w:rsidR="0020750C" w:rsidRPr="0025250D" w14:paraId="4280C1A9" w14:textId="77777777" w:rsidTr="0020750C">
        <w:tc>
          <w:tcPr>
            <w:tcW w:w="2405" w:type="dxa"/>
            <w:vMerge/>
            <w:vAlign w:val="center"/>
          </w:tcPr>
          <w:p w14:paraId="11690BF5" w14:textId="77777777" w:rsidR="0020750C" w:rsidRPr="0025250D" w:rsidRDefault="0020750C" w:rsidP="0020750C">
            <w:pPr>
              <w:bidi/>
              <w:spacing w:after="160"/>
              <w:jc w:val="center"/>
              <w:rPr>
                <w:rtl/>
              </w:rPr>
            </w:pPr>
          </w:p>
        </w:tc>
        <w:tc>
          <w:tcPr>
            <w:tcW w:w="4955" w:type="dxa"/>
            <w:vAlign w:val="center"/>
          </w:tcPr>
          <w:p w14:paraId="05FC7E2A" w14:textId="77777777" w:rsidR="0020750C" w:rsidRPr="0025250D" w:rsidRDefault="0020750C" w:rsidP="0020750C">
            <w:pPr>
              <w:bidi/>
              <w:spacing w:after="160"/>
              <w:jc w:val="center"/>
            </w:pPr>
            <w:r w:rsidRPr="0025250D">
              <w:t>The National Venture Capital Association (NVCA)</w:t>
            </w:r>
          </w:p>
        </w:tc>
      </w:tr>
      <w:tr w:rsidR="0020750C" w:rsidRPr="0025250D" w14:paraId="2C1F1AF6" w14:textId="77777777" w:rsidTr="0020750C">
        <w:tc>
          <w:tcPr>
            <w:tcW w:w="2405" w:type="dxa"/>
            <w:vMerge w:val="restart"/>
            <w:vAlign w:val="center"/>
          </w:tcPr>
          <w:p w14:paraId="60925745" w14:textId="77777777" w:rsidR="0020750C" w:rsidRPr="0025250D" w:rsidRDefault="0020750C" w:rsidP="0020750C">
            <w:pPr>
              <w:bidi/>
              <w:spacing w:after="160"/>
              <w:jc w:val="center"/>
              <w:rPr>
                <w:rtl/>
              </w:rPr>
            </w:pPr>
            <w:r w:rsidRPr="0025250D">
              <w:rPr>
                <w:rtl/>
              </w:rPr>
              <w:t>قانون و امن</w:t>
            </w:r>
            <w:r w:rsidRPr="0025250D">
              <w:rPr>
                <w:rFonts w:hint="cs"/>
                <w:rtl/>
              </w:rPr>
              <w:t>ی</w:t>
            </w:r>
            <w:r w:rsidRPr="0025250D">
              <w:rPr>
                <w:rFonts w:hint="eastAsia"/>
                <w:rtl/>
              </w:rPr>
              <w:t>ت</w:t>
            </w:r>
          </w:p>
        </w:tc>
        <w:tc>
          <w:tcPr>
            <w:tcW w:w="4955" w:type="dxa"/>
            <w:vAlign w:val="center"/>
          </w:tcPr>
          <w:p w14:paraId="692ADAF7" w14:textId="77777777" w:rsidR="0020750C" w:rsidRPr="0025250D" w:rsidRDefault="0020750C" w:rsidP="0020750C">
            <w:pPr>
              <w:bidi/>
              <w:spacing w:after="160"/>
              <w:jc w:val="center"/>
            </w:pPr>
            <w:r w:rsidRPr="0025250D">
              <w:t>American Bar Association (ABA)</w:t>
            </w:r>
          </w:p>
        </w:tc>
      </w:tr>
      <w:tr w:rsidR="0020750C" w:rsidRPr="0025250D" w14:paraId="19983846" w14:textId="77777777" w:rsidTr="0020750C">
        <w:tc>
          <w:tcPr>
            <w:tcW w:w="2405" w:type="dxa"/>
            <w:vMerge/>
            <w:vAlign w:val="center"/>
          </w:tcPr>
          <w:p w14:paraId="405A120E" w14:textId="77777777" w:rsidR="0020750C" w:rsidRPr="0025250D" w:rsidRDefault="0020750C" w:rsidP="0020750C">
            <w:pPr>
              <w:bidi/>
              <w:spacing w:after="160"/>
              <w:jc w:val="center"/>
              <w:rPr>
                <w:rtl/>
              </w:rPr>
            </w:pPr>
          </w:p>
        </w:tc>
        <w:tc>
          <w:tcPr>
            <w:tcW w:w="4955" w:type="dxa"/>
            <w:vAlign w:val="center"/>
          </w:tcPr>
          <w:p w14:paraId="5A736FE3" w14:textId="77777777" w:rsidR="0020750C" w:rsidRPr="0025250D" w:rsidRDefault="0020750C" w:rsidP="0020750C">
            <w:pPr>
              <w:bidi/>
              <w:spacing w:after="160"/>
              <w:jc w:val="center"/>
            </w:pPr>
            <w:r w:rsidRPr="0025250D">
              <w:t>Security Industry Association (SIA)</w:t>
            </w:r>
          </w:p>
        </w:tc>
      </w:tr>
      <w:tr w:rsidR="0020750C" w:rsidRPr="0025250D" w14:paraId="3AAE4522" w14:textId="77777777" w:rsidTr="0020750C">
        <w:tc>
          <w:tcPr>
            <w:tcW w:w="2405" w:type="dxa"/>
            <w:vMerge/>
            <w:vAlign w:val="center"/>
          </w:tcPr>
          <w:p w14:paraId="7FB3A2FA" w14:textId="77777777" w:rsidR="0020750C" w:rsidRPr="0025250D" w:rsidRDefault="0020750C" w:rsidP="0020750C">
            <w:pPr>
              <w:bidi/>
              <w:spacing w:after="160"/>
              <w:jc w:val="center"/>
              <w:rPr>
                <w:rtl/>
              </w:rPr>
            </w:pPr>
          </w:p>
        </w:tc>
        <w:tc>
          <w:tcPr>
            <w:tcW w:w="4955" w:type="dxa"/>
            <w:vAlign w:val="center"/>
          </w:tcPr>
          <w:p w14:paraId="298050F3" w14:textId="77777777" w:rsidR="0020750C" w:rsidRPr="0025250D" w:rsidRDefault="0020750C" w:rsidP="0020750C">
            <w:pPr>
              <w:bidi/>
              <w:spacing w:after="160"/>
              <w:jc w:val="center"/>
            </w:pPr>
            <w:r w:rsidRPr="0025250D">
              <w:t>DEF CON</w:t>
            </w:r>
          </w:p>
        </w:tc>
      </w:tr>
      <w:tr w:rsidR="00537CC8" w:rsidRPr="0025250D" w14:paraId="5667A7A2" w14:textId="77777777" w:rsidTr="0020750C">
        <w:tc>
          <w:tcPr>
            <w:tcW w:w="2405" w:type="dxa"/>
            <w:vAlign w:val="center"/>
          </w:tcPr>
          <w:p w14:paraId="4A9EEE6F" w14:textId="77777777" w:rsidR="00537CC8" w:rsidRPr="0025250D" w:rsidRDefault="00537CC8" w:rsidP="0020750C">
            <w:pPr>
              <w:bidi/>
              <w:spacing w:after="160"/>
              <w:jc w:val="center"/>
              <w:rPr>
                <w:rtl/>
              </w:rPr>
            </w:pPr>
            <w:r w:rsidRPr="0025250D">
              <w:rPr>
                <w:rFonts w:hint="cs"/>
                <w:rtl/>
              </w:rPr>
              <w:t>ی</w:t>
            </w:r>
            <w:r w:rsidRPr="0025250D">
              <w:rPr>
                <w:rFonts w:hint="eastAsia"/>
                <w:rtl/>
              </w:rPr>
              <w:t>ادگ</w:t>
            </w:r>
            <w:r w:rsidRPr="0025250D">
              <w:rPr>
                <w:rFonts w:hint="cs"/>
                <w:rtl/>
              </w:rPr>
              <w:t>ی</w:t>
            </w:r>
            <w:r w:rsidRPr="0025250D">
              <w:rPr>
                <w:rFonts w:hint="eastAsia"/>
                <w:rtl/>
              </w:rPr>
              <w:t>ر</w:t>
            </w:r>
            <w:r w:rsidRPr="0025250D">
              <w:rPr>
                <w:rFonts w:hint="cs"/>
                <w:rtl/>
              </w:rPr>
              <w:t>ی</w:t>
            </w:r>
            <w:r w:rsidRPr="0025250D">
              <w:rPr>
                <w:rtl/>
              </w:rPr>
              <w:t xml:space="preserve"> و توسعه</w:t>
            </w:r>
          </w:p>
        </w:tc>
        <w:tc>
          <w:tcPr>
            <w:tcW w:w="4955" w:type="dxa"/>
            <w:vAlign w:val="center"/>
          </w:tcPr>
          <w:p w14:paraId="4E2E044C" w14:textId="77777777" w:rsidR="00537CC8" w:rsidRPr="0025250D" w:rsidRDefault="00537CC8" w:rsidP="0020750C">
            <w:pPr>
              <w:bidi/>
              <w:spacing w:after="160"/>
              <w:jc w:val="center"/>
            </w:pPr>
            <w:r w:rsidRPr="0025250D">
              <w:t>Association for Talent Development (ATD)</w:t>
            </w:r>
          </w:p>
        </w:tc>
      </w:tr>
      <w:tr w:rsidR="0020750C" w:rsidRPr="0025250D" w14:paraId="7E918048" w14:textId="77777777" w:rsidTr="0020750C">
        <w:tc>
          <w:tcPr>
            <w:tcW w:w="2405" w:type="dxa"/>
            <w:vMerge w:val="restart"/>
            <w:vAlign w:val="center"/>
          </w:tcPr>
          <w:p w14:paraId="6196CB64" w14:textId="77777777" w:rsidR="0020750C" w:rsidRPr="0025250D" w:rsidRDefault="0020750C" w:rsidP="0020750C">
            <w:pPr>
              <w:bidi/>
              <w:spacing w:after="160"/>
              <w:jc w:val="center"/>
              <w:rPr>
                <w:rtl/>
              </w:rPr>
            </w:pPr>
            <w:r w:rsidRPr="0025250D">
              <w:rPr>
                <w:rtl/>
              </w:rPr>
              <w:t>بازار</w:t>
            </w:r>
            <w:r w:rsidRPr="0025250D">
              <w:rPr>
                <w:rFonts w:hint="cs"/>
                <w:rtl/>
              </w:rPr>
              <w:t>ی</w:t>
            </w:r>
            <w:r w:rsidRPr="0025250D">
              <w:rPr>
                <w:rFonts w:hint="eastAsia"/>
                <w:rtl/>
              </w:rPr>
              <w:t>اب</w:t>
            </w:r>
            <w:r w:rsidRPr="0025250D">
              <w:rPr>
                <w:rFonts w:hint="cs"/>
                <w:rtl/>
              </w:rPr>
              <w:t>ی</w:t>
            </w:r>
            <w:r w:rsidRPr="0025250D">
              <w:rPr>
                <w:rtl/>
              </w:rPr>
              <w:t xml:space="preserve"> و فروش</w:t>
            </w:r>
          </w:p>
        </w:tc>
        <w:tc>
          <w:tcPr>
            <w:tcW w:w="4955" w:type="dxa"/>
            <w:vAlign w:val="center"/>
          </w:tcPr>
          <w:p w14:paraId="7105977D" w14:textId="77777777" w:rsidR="0020750C" w:rsidRPr="0025250D" w:rsidRDefault="0020750C" w:rsidP="0020750C">
            <w:pPr>
              <w:bidi/>
              <w:spacing w:after="160"/>
              <w:jc w:val="center"/>
            </w:pPr>
            <w:r w:rsidRPr="0025250D">
              <w:t>American Marketing Association (AMA)</w:t>
            </w:r>
          </w:p>
        </w:tc>
      </w:tr>
      <w:tr w:rsidR="0020750C" w:rsidRPr="0025250D" w14:paraId="238AC201" w14:textId="77777777" w:rsidTr="0020750C">
        <w:tc>
          <w:tcPr>
            <w:tcW w:w="2405" w:type="dxa"/>
            <w:vMerge/>
            <w:vAlign w:val="center"/>
          </w:tcPr>
          <w:p w14:paraId="2EF33D53" w14:textId="77777777" w:rsidR="0020750C" w:rsidRPr="0025250D" w:rsidRDefault="0020750C" w:rsidP="0020750C">
            <w:pPr>
              <w:bidi/>
              <w:spacing w:after="160"/>
              <w:jc w:val="center"/>
              <w:rPr>
                <w:rtl/>
              </w:rPr>
            </w:pPr>
          </w:p>
        </w:tc>
        <w:tc>
          <w:tcPr>
            <w:tcW w:w="4955" w:type="dxa"/>
            <w:vAlign w:val="center"/>
          </w:tcPr>
          <w:p w14:paraId="448453AC" w14:textId="77777777" w:rsidR="0020750C" w:rsidRPr="0025250D" w:rsidRDefault="0020750C" w:rsidP="0020750C">
            <w:pPr>
              <w:bidi/>
              <w:spacing w:after="160"/>
              <w:jc w:val="center"/>
            </w:pPr>
            <w:r w:rsidRPr="0025250D">
              <w:t>National Association of Sales Professionals (NASP)</w:t>
            </w:r>
          </w:p>
        </w:tc>
      </w:tr>
      <w:tr w:rsidR="0020750C" w:rsidRPr="0025250D" w14:paraId="36DAB9D3" w14:textId="77777777" w:rsidTr="0020750C">
        <w:tc>
          <w:tcPr>
            <w:tcW w:w="2405" w:type="dxa"/>
            <w:vMerge w:val="restart"/>
            <w:vAlign w:val="center"/>
          </w:tcPr>
          <w:p w14:paraId="1D417602" w14:textId="77777777" w:rsidR="0020750C" w:rsidRPr="0025250D" w:rsidRDefault="0020750C" w:rsidP="0020750C">
            <w:pPr>
              <w:bidi/>
              <w:spacing w:after="160"/>
              <w:jc w:val="center"/>
              <w:rPr>
                <w:rtl/>
              </w:rPr>
            </w:pPr>
            <w:r w:rsidRPr="0025250D">
              <w:rPr>
                <w:rtl/>
              </w:rPr>
              <w:t>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و رهبر</w:t>
            </w:r>
            <w:r w:rsidRPr="0025250D">
              <w:rPr>
                <w:rFonts w:hint="cs"/>
                <w:rtl/>
              </w:rPr>
              <w:t>ی</w:t>
            </w:r>
          </w:p>
        </w:tc>
        <w:tc>
          <w:tcPr>
            <w:tcW w:w="4955" w:type="dxa"/>
            <w:vAlign w:val="center"/>
          </w:tcPr>
          <w:p w14:paraId="7358F5CD" w14:textId="77777777" w:rsidR="0020750C" w:rsidRPr="0025250D" w:rsidRDefault="0020750C" w:rsidP="0020750C">
            <w:pPr>
              <w:bidi/>
              <w:spacing w:after="160"/>
              <w:jc w:val="center"/>
            </w:pPr>
            <w:r w:rsidRPr="0025250D">
              <w:t>American Management Association (AMA)</w:t>
            </w:r>
          </w:p>
        </w:tc>
      </w:tr>
      <w:tr w:rsidR="0020750C" w:rsidRPr="0025250D" w14:paraId="63F80E46" w14:textId="77777777" w:rsidTr="0020750C">
        <w:tc>
          <w:tcPr>
            <w:tcW w:w="2405" w:type="dxa"/>
            <w:vMerge/>
            <w:vAlign w:val="center"/>
          </w:tcPr>
          <w:p w14:paraId="0017B357" w14:textId="77777777" w:rsidR="0020750C" w:rsidRPr="0025250D" w:rsidRDefault="0020750C" w:rsidP="0020750C">
            <w:pPr>
              <w:bidi/>
              <w:spacing w:after="160"/>
              <w:jc w:val="center"/>
              <w:rPr>
                <w:rtl/>
              </w:rPr>
            </w:pPr>
          </w:p>
        </w:tc>
        <w:tc>
          <w:tcPr>
            <w:tcW w:w="4955" w:type="dxa"/>
            <w:vAlign w:val="center"/>
          </w:tcPr>
          <w:p w14:paraId="2847C25C" w14:textId="77777777" w:rsidR="0020750C" w:rsidRPr="0025250D" w:rsidRDefault="0020750C" w:rsidP="0020750C">
            <w:pPr>
              <w:bidi/>
              <w:spacing w:after="160"/>
              <w:jc w:val="center"/>
            </w:pPr>
            <w:r w:rsidRPr="0025250D">
              <w:t>Project Management Institute (PMI)</w:t>
            </w:r>
          </w:p>
        </w:tc>
      </w:tr>
      <w:tr w:rsidR="0020750C" w:rsidRPr="0025250D" w14:paraId="358BC575" w14:textId="77777777" w:rsidTr="0020750C">
        <w:tc>
          <w:tcPr>
            <w:tcW w:w="2405" w:type="dxa"/>
            <w:vMerge/>
            <w:vAlign w:val="center"/>
          </w:tcPr>
          <w:p w14:paraId="3E488C84" w14:textId="77777777" w:rsidR="0020750C" w:rsidRPr="0025250D" w:rsidRDefault="0020750C" w:rsidP="0020750C">
            <w:pPr>
              <w:bidi/>
              <w:spacing w:after="160"/>
              <w:jc w:val="center"/>
              <w:rPr>
                <w:rtl/>
              </w:rPr>
            </w:pPr>
          </w:p>
        </w:tc>
        <w:tc>
          <w:tcPr>
            <w:tcW w:w="4955" w:type="dxa"/>
            <w:vAlign w:val="center"/>
          </w:tcPr>
          <w:p w14:paraId="00436BD0" w14:textId="77777777" w:rsidR="0020750C" w:rsidRPr="0025250D" w:rsidRDefault="0020750C" w:rsidP="0020750C">
            <w:pPr>
              <w:bidi/>
              <w:spacing w:after="160"/>
              <w:jc w:val="center"/>
            </w:pPr>
            <w:r w:rsidRPr="0025250D">
              <w:t>PMP Certiﬁcation</w:t>
            </w:r>
          </w:p>
        </w:tc>
      </w:tr>
      <w:tr w:rsidR="0020750C" w:rsidRPr="0025250D" w14:paraId="7148AD09" w14:textId="77777777" w:rsidTr="0020750C">
        <w:tc>
          <w:tcPr>
            <w:tcW w:w="2405" w:type="dxa"/>
            <w:vMerge/>
            <w:vAlign w:val="center"/>
          </w:tcPr>
          <w:p w14:paraId="4E22EA81" w14:textId="77777777" w:rsidR="0020750C" w:rsidRPr="0025250D" w:rsidRDefault="0020750C" w:rsidP="0020750C">
            <w:pPr>
              <w:bidi/>
              <w:spacing w:after="160"/>
              <w:jc w:val="center"/>
              <w:rPr>
                <w:rtl/>
              </w:rPr>
            </w:pPr>
          </w:p>
        </w:tc>
        <w:tc>
          <w:tcPr>
            <w:tcW w:w="4955" w:type="dxa"/>
            <w:vAlign w:val="center"/>
          </w:tcPr>
          <w:p w14:paraId="2C8B264A" w14:textId="77777777" w:rsidR="0020750C" w:rsidRPr="0025250D" w:rsidRDefault="0020750C" w:rsidP="0020750C">
            <w:pPr>
              <w:bidi/>
              <w:spacing w:after="160"/>
              <w:jc w:val="center"/>
            </w:pPr>
            <w:r w:rsidRPr="0025250D">
              <w:t>International Leadership Association (ILA)</w:t>
            </w:r>
          </w:p>
        </w:tc>
      </w:tr>
      <w:tr w:rsidR="0020750C" w:rsidRPr="0025250D" w14:paraId="35C04D1A" w14:textId="77777777" w:rsidTr="0020750C">
        <w:tc>
          <w:tcPr>
            <w:tcW w:w="2405" w:type="dxa"/>
            <w:vMerge w:val="restart"/>
            <w:vAlign w:val="center"/>
          </w:tcPr>
          <w:p w14:paraId="0C232F67" w14:textId="77777777" w:rsidR="0020750C" w:rsidRPr="0025250D" w:rsidRDefault="0020750C" w:rsidP="0020750C">
            <w:pPr>
              <w:bidi/>
              <w:spacing w:after="160"/>
              <w:jc w:val="center"/>
              <w:rPr>
                <w:rtl/>
              </w:rPr>
            </w:pPr>
            <w:r w:rsidRPr="0025250D">
              <w:rPr>
                <w:rtl/>
              </w:rPr>
              <w:t>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ر</w:t>
            </w:r>
            <w:r w:rsidRPr="0025250D">
              <w:rPr>
                <w:rFonts w:hint="cs"/>
                <w:rtl/>
              </w:rPr>
              <w:t>ی</w:t>
            </w:r>
            <w:r w:rsidRPr="0025250D">
              <w:rPr>
                <w:rFonts w:hint="eastAsia"/>
                <w:rtl/>
              </w:rPr>
              <w:t>سک</w:t>
            </w:r>
            <w:r w:rsidRPr="0025250D">
              <w:rPr>
                <w:rtl/>
              </w:rPr>
              <w:t xml:space="preserve"> و ب</w:t>
            </w:r>
            <w:r w:rsidRPr="0025250D">
              <w:rPr>
                <w:rFonts w:hint="cs"/>
                <w:rtl/>
              </w:rPr>
              <w:t>ی</w:t>
            </w:r>
            <w:r w:rsidRPr="0025250D">
              <w:rPr>
                <w:rFonts w:hint="eastAsia"/>
                <w:rtl/>
              </w:rPr>
              <w:t>مه</w:t>
            </w:r>
          </w:p>
        </w:tc>
        <w:tc>
          <w:tcPr>
            <w:tcW w:w="4955" w:type="dxa"/>
            <w:vAlign w:val="center"/>
          </w:tcPr>
          <w:p w14:paraId="3CDE4315" w14:textId="77777777" w:rsidR="0020750C" w:rsidRPr="0025250D" w:rsidRDefault="0020750C" w:rsidP="0020750C">
            <w:pPr>
              <w:bidi/>
              <w:spacing w:after="160"/>
              <w:jc w:val="center"/>
            </w:pPr>
            <w:r w:rsidRPr="0025250D">
              <w:t>Risk Management Society (RIMS)</w:t>
            </w:r>
          </w:p>
        </w:tc>
      </w:tr>
      <w:tr w:rsidR="0020750C" w:rsidRPr="0025250D" w14:paraId="6F218298" w14:textId="77777777" w:rsidTr="0020750C">
        <w:tc>
          <w:tcPr>
            <w:tcW w:w="2405" w:type="dxa"/>
            <w:vMerge/>
            <w:vAlign w:val="center"/>
          </w:tcPr>
          <w:p w14:paraId="2D5ABB6F" w14:textId="77777777" w:rsidR="0020750C" w:rsidRPr="0025250D" w:rsidRDefault="0020750C" w:rsidP="0020750C">
            <w:pPr>
              <w:bidi/>
              <w:spacing w:after="160"/>
              <w:jc w:val="center"/>
              <w:rPr>
                <w:rtl/>
              </w:rPr>
            </w:pPr>
          </w:p>
        </w:tc>
        <w:tc>
          <w:tcPr>
            <w:tcW w:w="4955" w:type="dxa"/>
            <w:vAlign w:val="center"/>
          </w:tcPr>
          <w:p w14:paraId="0CD554C3" w14:textId="77777777" w:rsidR="0020750C" w:rsidRPr="0025250D" w:rsidRDefault="0020750C" w:rsidP="0020750C">
            <w:pPr>
              <w:bidi/>
              <w:spacing w:after="160"/>
              <w:jc w:val="center"/>
            </w:pPr>
            <w:r w:rsidRPr="0025250D">
              <w:t>American Insurance Association (AIA)</w:t>
            </w:r>
          </w:p>
        </w:tc>
      </w:tr>
      <w:tr w:rsidR="0020750C" w:rsidRPr="0025250D" w14:paraId="2518E67A" w14:textId="77777777" w:rsidTr="0020750C">
        <w:tc>
          <w:tcPr>
            <w:tcW w:w="2405" w:type="dxa"/>
            <w:vMerge/>
            <w:vAlign w:val="center"/>
          </w:tcPr>
          <w:p w14:paraId="739C058A" w14:textId="77777777" w:rsidR="0020750C" w:rsidRPr="0025250D" w:rsidRDefault="0020750C" w:rsidP="0020750C">
            <w:pPr>
              <w:bidi/>
              <w:spacing w:after="160"/>
              <w:jc w:val="center"/>
              <w:rPr>
                <w:rtl/>
              </w:rPr>
            </w:pPr>
          </w:p>
        </w:tc>
        <w:tc>
          <w:tcPr>
            <w:tcW w:w="4955" w:type="dxa"/>
            <w:vAlign w:val="center"/>
          </w:tcPr>
          <w:p w14:paraId="438D76F1" w14:textId="77777777" w:rsidR="0020750C" w:rsidRPr="0025250D" w:rsidRDefault="0020750C" w:rsidP="0020750C">
            <w:pPr>
              <w:bidi/>
              <w:spacing w:after="160"/>
              <w:jc w:val="center"/>
            </w:pPr>
            <w:r w:rsidRPr="0025250D">
              <w:t>NAIFA</w:t>
            </w:r>
          </w:p>
        </w:tc>
      </w:tr>
      <w:tr w:rsidR="0020750C" w:rsidRPr="0025250D" w14:paraId="77C2F4C8" w14:textId="77777777" w:rsidTr="0020750C">
        <w:tc>
          <w:tcPr>
            <w:tcW w:w="2405" w:type="dxa"/>
            <w:vMerge w:val="restart"/>
            <w:vAlign w:val="center"/>
          </w:tcPr>
          <w:p w14:paraId="474E9183" w14:textId="15F402A9" w:rsidR="0020750C" w:rsidRPr="0025250D" w:rsidRDefault="00B56611" w:rsidP="0020750C">
            <w:pPr>
              <w:bidi/>
              <w:spacing w:after="160"/>
              <w:jc w:val="center"/>
              <w:rPr>
                <w:rtl/>
              </w:rPr>
            </w:pPr>
            <w:r w:rsidRPr="0025250D">
              <w:rPr>
                <w:rtl/>
              </w:rPr>
              <w:t>چشم‌انداز</w:t>
            </w:r>
            <w:r w:rsidR="0020750C" w:rsidRPr="0025250D">
              <w:rPr>
                <w:rtl/>
              </w:rPr>
              <w:t xml:space="preserve"> / اهداف / </w:t>
            </w:r>
            <w:r w:rsidR="00701E03" w:rsidRPr="0025250D">
              <w:rPr>
                <w:rtl/>
              </w:rPr>
              <w:t>راهبرد</w:t>
            </w:r>
            <w:r w:rsidR="0020750C" w:rsidRPr="0025250D">
              <w:rPr>
                <w:rtl/>
              </w:rPr>
              <w:t xml:space="preserve"> و </w:t>
            </w:r>
            <w:r w:rsidR="00B124DE" w:rsidRPr="0025250D">
              <w:rPr>
                <w:rtl/>
              </w:rPr>
              <w:t>برنامه‌ریزی</w:t>
            </w:r>
          </w:p>
        </w:tc>
        <w:tc>
          <w:tcPr>
            <w:tcW w:w="4955" w:type="dxa"/>
            <w:vAlign w:val="center"/>
          </w:tcPr>
          <w:p w14:paraId="2C313B76" w14:textId="77777777" w:rsidR="0020750C" w:rsidRPr="0025250D" w:rsidRDefault="0020750C" w:rsidP="0020750C">
            <w:pPr>
              <w:bidi/>
              <w:spacing w:after="160"/>
              <w:jc w:val="center"/>
            </w:pPr>
            <w:r w:rsidRPr="0025250D">
              <w:t>Association for Strategic Planning (ASP)</w:t>
            </w:r>
          </w:p>
        </w:tc>
      </w:tr>
      <w:tr w:rsidR="0020750C" w:rsidRPr="0025250D" w14:paraId="2413221A" w14:textId="77777777" w:rsidTr="0020750C">
        <w:tc>
          <w:tcPr>
            <w:tcW w:w="2405" w:type="dxa"/>
            <w:vMerge/>
            <w:vAlign w:val="center"/>
          </w:tcPr>
          <w:p w14:paraId="0D359179" w14:textId="77777777" w:rsidR="0020750C" w:rsidRPr="0025250D" w:rsidRDefault="0020750C" w:rsidP="0020750C">
            <w:pPr>
              <w:bidi/>
              <w:spacing w:after="160"/>
              <w:jc w:val="center"/>
              <w:rPr>
                <w:rtl/>
              </w:rPr>
            </w:pPr>
          </w:p>
        </w:tc>
        <w:tc>
          <w:tcPr>
            <w:tcW w:w="4955" w:type="dxa"/>
            <w:vAlign w:val="center"/>
          </w:tcPr>
          <w:p w14:paraId="5B1A8953" w14:textId="77777777" w:rsidR="0020750C" w:rsidRPr="0025250D" w:rsidRDefault="0020750C" w:rsidP="0020750C">
            <w:pPr>
              <w:bidi/>
              <w:spacing w:after="160"/>
              <w:jc w:val="center"/>
            </w:pPr>
            <w:r w:rsidRPr="0025250D">
              <w:t>American Planning Association (APA)</w:t>
            </w:r>
          </w:p>
        </w:tc>
      </w:tr>
      <w:tr w:rsidR="0020750C" w:rsidRPr="0025250D" w14:paraId="7AA0DA43" w14:textId="77777777" w:rsidTr="0020750C">
        <w:tc>
          <w:tcPr>
            <w:tcW w:w="2405" w:type="dxa"/>
            <w:vMerge/>
            <w:vAlign w:val="center"/>
          </w:tcPr>
          <w:p w14:paraId="0D0FF6F8" w14:textId="77777777" w:rsidR="0020750C" w:rsidRPr="0025250D" w:rsidRDefault="0020750C" w:rsidP="0020750C">
            <w:pPr>
              <w:bidi/>
              <w:spacing w:after="160"/>
              <w:jc w:val="center"/>
              <w:rPr>
                <w:rtl/>
              </w:rPr>
            </w:pPr>
          </w:p>
        </w:tc>
        <w:tc>
          <w:tcPr>
            <w:tcW w:w="4955" w:type="dxa"/>
            <w:vAlign w:val="center"/>
          </w:tcPr>
          <w:p w14:paraId="3882526C" w14:textId="77777777" w:rsidR="0020750C" w:rsidRPr="0025250D" w:rsidRDefault="0020750C" w:rsidP="0020750C">
            <w:pPr>
              <w:bidi/>
              <w:spacing w:after="160"/>
              <w:jc w:val="center"/>
            </w:pPr>
            <w:r w:rsidRPr="0025250D">
              <w:t>American Institute of Certiﬁed Planners</w:t>
            </w:r>
          </w:p>
        </w:tc>
      </w:tr>
    </w:tbl>
    <w:p w14:paraId="07E2452A" w14:textId="77777777" w:rsidR="00537CC8" w:rsidRPr="0025250D" w:rsidRDefault="00537CC8" w:rsidP="00537CC8">
      <w:pPr>
        <w:rPr>
          <w:rtl/>
        </w:rPr>
      </w:pPr>
    </w:p>
    <w:p w14:paraId="7F4ADD69" w14:textId="1539D91C" w:rsidR="00537CC8" w:rsidRPr="0025250D" w:rsidRDefault="000B2B34" w:rsidP="000B2B34">
      <w:pPr>
        <w:pStyle w:val="Heading2"/>
        <w:rPr>
          <w:rtl/>
        </w:rPr>
      </w:pPr>
      <w:bookmarkStart w:id="96" w:name="_Toc127831360"/>
      <w:r w:rsidRPr="0025250D">
        <w:rPr>
          <w:rFonts w:hint="cs"/>
          <w:rtl/>
        </w:rPr>
        <w:t>ج</w:t>
      </w:r>
      <w:r w:rsidR="00537CC8" w:rsidRPr="0025250D">
        <w:rPr>
          <w:rtl/>
        </w:rPr>
        <w:t>وامع عمل</w:t>
      </w:r>
      <w:r w:rsidR="00537CC8" w:rsidRPr="0025250D">
        <w:rPr>
          <w:rFonts w:hint="cs"/>
          <w:rtl/>
        </w:rPr>
        <w:t>ی</w:t>
      </w:r>
      <w:r w:rsidR="00537CC8" w:rsidRPr="0025250D">
        <w:rPr>
          <w:rtl/>
        </w:rPr>
        <w:t xml:space="preserve"> </w:t>
      </w:r>
      <w:r w:rsidR="00D92F6E" w:rsidRPr="0025250D">
        <w:rPr>
          <w:rtl/>
        </w:rPr>
        <w:t>پیش‌بین</w:t>
      </w:r>
      <w:r w:rsidR="00537CC8" w:rsidRPr="0025250D">
        <w:rPr>
          <w:rFonts w:hint="cs"/>
          <w:rtl/>
        </w:rPr>
        <w:t>ی</w:t>
      </w:r>
      <w:r w:rsidR="00537CC8" w:rsidRPr="0025250D">
        <w:rPr>
          <w:rtl/>
        </w:rPr>
        <w:t xml:space="preserve"> جامع</w:t>
      </w:r>
      <w:bookmarkEnd w:id="96"/>
    </w:p>
    <w:p w14:paraId="43982F46" w14:textId="6371266B" w:rsidR="000B2B34" w:rsidRPr="0025250D" w:rsidRDefault="0020750C" w:rsidP="000B2B34">
      <w:pPr>
        <w:rPr>
          <w:rtl/>
        </w:rPr>
      </w:pPr>
      <w:r w:rsidRPr="0025250D">
        <w:rPr>
          <w:rtl/>
        </w:rPr>
        <w:t>در ز</w:t>
      </w:r>
      <w:r w:rsidRPr="0025250D">
        <w:rPr>
          <w:rFonts w:hint="cs"/>
          <w:rtl/>
        </w:rPr>
        <w:t>ی</w:t>
      </w:r>
      <w:r w:rsidRPr="0025250D">
        <w:rPr>
          <w:rFonts w:hint="eastAsia"/>
          <w:rtl/>
        </w:rPr>
        <w:t>ر</w:t>
      </w:r>
      <w:r w:rsidRPr="0025250D">
        <w:rPr>
          <w:rtl/>
        </w:rPr>
        <w:t xml:space="preserve"> فهرست منتخب</w:t>
      </w:r>
      <w:r w:rsidRPr="0025250D">
        <w:rPr>
          <w:rFonts w:hint="cs"/>
          <w:rtl/>
        </w:rPr>
        <w:t>ی</w:t>
      </w:r>
      <w:r w:rsidRPr="0025250D">
        <w:rPr>
          <w:rtl/>
        </w:rPr>
        <w:t xml:space="preserve"> از جوامع عمل</w:t>
      </w:r>
      <w:r w:rsidRPr="0025250D">
        <w:rPr>
          <w:rFonts w:hint="cs"/>
          <w:rtl/>
        </w:rPr>
        <w:t>ی</w:t>
      </w:r>
      <w:r w:rsidRPr="0025250D">
        <w:rPr>
          <w:rtl/>
        </w:rPr>
        <w:t xml:space="preserve"> پ</w:t>
      </w:r>
      <w:r w:rsidRPr="0025250D">
        <w:rPr>
          <w:rFonts w:hint="cs"/>
          <w:rtl/>
        </w:rPr>
        <w:t>ی</w:t>
      </w:r>
      <w:r w:rsidRPr="0025250D">
        <w:rPr>
          <w:rFonts w:hint="eastAsia"/>
          <w:rtl/>
        </w:rPr>
        <w:t>ش‌ب</w:t>
      </w:r>
      <w:r w:rsidRPr="0025250D">
        <w:rPr>
          <w:rFonts w:hint="cs"/>
          <w:rtl/>
        </w:rPr>
        <w:t>ی</w:t>
      </w:r>
      <w:r w:rsidRPr="0025250D">
        <w:rPr>
          <w:rFonts w:hint="eastAsia"/>
          <w:rtl/>
        </w:rPr>
        <w:t>ن</w:t>
      </w:r>
      <w:r w:rsidRPr="0025250D">
        <w:rPr>
          <w:rFonts w:hint="cs"/>
          <w:rtl/>
        </w:rPr>
        <w:t>ی</w:t>
      </w:r>
      <w:r w:rsidRPr="0025250D">
        <w:rPr>
          <w:rtl/>
        </w:rPr>
        <w:t xml:space="preserve"> جامع در حوزه در حال ظهور </w:t>
      </w:r>
      <w:r w:rsidR="00E3750D" w:rsidRPr="0025250D">
        <w:rPr>
          <w:rFonts w:hint="cs"/>
          <w:rtl/>
        </w:rPr>
        <w:t>آینده‌نگاری</w:t>
      </w:r>
      <w:r w:rsidRPr="0025250D">
        <w:rPr>
          <w:rtl/>
        </w:rPr>
        <w:t xml:space="preserve"> آمده است. ما ابتدا ا</w:t>
      </w:r>
      <w:r w:rsidRPr="0025250D">
        <w:rPr>
          <w:rFonts w:hint="cs"/>
          <w:rtl/>
        </w:rPr>
        <w:t>ی</w:t>
      </w:r>
      <w:r w:rsidRPr="0025250D">
        <w:rPr>
          <w:rFonts w:hint="eastAsia"/>
          <w:rtl/>
        </w:rPr>
        <w:t>ن</w:t>
      </w:r>
      <w:r w:rsidRPr="0025250D">
        <w:rPr>
          <w:rtl/>
        </w:rPr>
        <w:t xml:space="preserve"> فهرست را همراه با تفس</w:t>
      </w:r>
      <w:r w:rsidRPr="0025250D">
        <w:rPr>
          <w:rFonts w:hint="cs"/>
          <w:rtl/>
        </w:rPr>
        <w:t>ی</w:t>
      </w:r>
      <w:r w:rsidRPr="0025250D">
        <w:rPr>
          <w:rFonts w:hint="eastAsia"/>
          <w:rtl/>
        </w:rPr>
        <w:t>ر</w:t>
      </w:r>
      <w:r w:rsidRPr="0025250D">
        <w:rPr>
          <w:rtl/>
        </w:rPr>
        <w:t xml:space="preserve"> در فصل 2 ارائه کرد</w:t>
      </w:r>
      <w:r w:rsidRPr="0025250D">
        <w:rPr>
          <w:rFonts w:hint="cs"/>
          <w:rtl/>
        </w:rPr>
        <w:t>ی</w:t>
      </w:r>
      <w:r w:rsidRPr="0025250D">
        <w:rPr>
          <w:rFonts w:hint="eastAsia"/>
          <w:rtl/>
        </w:rPr>
        <w:t>م</w:t>
      </w:r>
      <w:r w:rsidRPr="0025250D">
        <w:rPr>
          <w:rtl/>
        </w:rPr>
        <w:t>.</w:t>
      </w:r>
      <w:r w:rsidRPr="0025250D">
        <w:rPr>
          <w:rFonts w:hint="cs"/>
          <w:rtl/>
        </w:rPr>
        <w:t xml:space="preserve"> </w:t>
      </w:r>
      <w:r w:rsidRPr="0025250D">
        <w:rPr>
          <w:rtl/>
        </w:rPr>
        <w:t>ما ا</w:t>
      </w:r>
      <w:r w:rsidRPr="0025250D">
        <w:rPr>
          <w:rFonts w:hint="cs"/>
          <w:rtl/>
        </w:rPr>
        <w:t>ی</w:t>
      </w:r>
      <w:r w:rsidRPr="0025250D">
        <w:rPr>
          <w:rFonts w:hint="eastAsia"/>
          <w:rtl/>
        </w:rPr>
        <w:t>ن</w:t>
      </w:r>
      <w:r w:rsidRPr="0025250D">
        <w:rPr>
          <w:rtl/>
        </w:rPr>
        <w:t xml:space="preserve"> ل</w:t>
      </w:r>
      <w:r w:rsidRPr="0025250D">
        <w:rPr>
          <w:rFonts w:hint="cs"/>
          <w:rtl/>
        </w:rPr>
        <w:t>ی</w:t>
      </w:r>
      <w:r w:rsidRPr="0025250D">
        <w:rPr>
          <w:rFonts w:hint="eastAsia"/>
          <w:rtl/>
        </w:rPr>
        <w:t>ست</w:t>
      </w:r>
      <w:r w:rsidRPr="0025250D">
        <w:rPr>
          <w:rtl/>
        </w:rPr>
        <w:t xml:space="preserve"> را در ا</w:t>
      </w:r>
      <w:r w:rsidRPr="0025250D">
        <w:rPr>
          <w:rFonts w:hint="cs"/>
          <w:rtl/>
        </w:rPr>
        <w:t>ی</w:t>
      </w:r>
      <w:r w:rsidRPr="0025250D">
        <w:rPr>
          <w:rFonts w:hint="eastAsia"/>
          <w:rtl/>
        </w:rPr>
        <w:t>نجا،</w:t>
      </w:r>
      <w:r w:rsidRPr="0025250D">
        <w:rPr>
          <w:rtl/>
        </w:rPr>
        <w:t xml:space="preserve"> بدون ه</w:t>
      </w:r>
      <w:r w:rsidRPr="0025250D">
        <w:rPr>
          <w:rFonts w:hint="cs"/>
          <w:rtl/>
        </w:rPr>
        <w:t>ی</w:t>
      </w:r>
      <w:r w:rsidRPr="0025250D">
        <w:rPr>
          <w:rFonts w:hint="eastAsia"/>
          <w:rtl/>
        </w:rPr>
        <w:t>چ</w:t>
      </w:r>
      <w:r w:rsidRPr="0025250D">
        <w:rPr>
          <w:rtl/>
        </w:rPr>
        <w:t xml:space="preserve"> توض</w:t>
      </w:r>
      <w:r w:rsidRPr="0025250D">
        <w:rPr>
          <w:rFonts w:hint="cs"/>
          <w:rtl/>
        </w:rPr>
        <w:t>ی</w:t>
      </w:r>
      <w:r w:rsidRPr="0025250D">
        <w:rPr>
          <w:rFonts w:hint="eastAsia"/>
          <w:rtl/>
        </w:rPr>
        <w:t>ح</w:t>
      </w:r>
      <w:r w:rsidRPr="0025250D">
        <w:rPr>
          <w:rFonts w:hint="cs"/>
          <w:rtl/>
        </w:rPr>
        <w:t>ی</w:t>
      </w:r>
      <w:r w:rsidRPr="0025250D">
        <w:rPr>
          <w:rFonts w:hint="eastAsia"/>
          <w:rtl/>
        </w:rPr>
        <w:t>،</w:t>
      </w:r>
      <w:r w:rsidRPr="0025250D">
        <w:rPr>
          <w:rtl/>
        </w:rPr>
        <w:t xml:space="preserve"> تکرار م</w:t>
      </w:r>
      <w:r w:rsidRPr="0025250D">
        <w:rPr>
          <w:rFonts w:hint="cs"/>
          <w:rtl/>
        </w:rPr>
        <w:t>ی</w:t>
      </w:r>
      <w:r w:rsidRPr="0025250D">
        <w:rPr>
          <w:rtl/>
        </w:rPr>
        <w:t xml:space="preserve"> کن</w:t>
      </w:r>
      <w:r w:rsidRPr="0025250D">
        <w:rPr>
          <w:rFonts w:hint="cs"/>
          <w:rtl/>
        </w:rPr>
        <w:t>ی</w:t>
      </w:r>
      <w:r w:rsidRPr="0025250D">
        <w:rPr>
          <w:rFonts w:hint="eastAsia"/>
          <w:rtl/>
        </w:rPr>
        <w:t>م،</w:t>
      </w:r>
      <w:r w:rsidRPr="0025250D">
        <w:rPr>
          <w:rtl/>
        </w:rPr>
        <w:t xml:space="preserve"> ز</w:t>
      </w:r>
      <w:r w:rsidRPr="0025250D">
        <w:rPr>
          <w:rFonts w:hint="cs"/>
          <w:rtl/>
        </w:rPr>
        <w:t>ی</w:t>
      </w:r>
      <w:r w:rsidRPr="0025250D">
        <w:rPr>
          <w:rFonts w:hint="eastAsia"/>
          <w:rtl/>
        </w:rPr>
        <w:t>را</w:t>
      </w:r>
      <w:r w:rsidRPr="0025250D">
        <w:rPr>
          <w:rtl/>
        </w:rPr>
        <w:t xml:space="preserve"> فکر م</w:t>
      </w:r>
      <w:r w:rsidRPr="0025250D">
        <w:rPr>
          <w:rFonts w:hint="cs"/>
          <w:rtl/>
        </w:rPr>
        <w:t>ی</w:t>
      </w:r>
      <w:r w:rsidRPr="0025250D">
        <w:rPr>
          <w:rtl/>
        </w:rPr>
        <w:t xml:space="preserve"> کن</w:t>
      </w:r>
      <w:r w:rsidRPr="0025250D">
        <w:rPr>
          <w:rFonts w:hint="cs"/>
          <w:rtl/>
        </w:rPr>
        <w:t>ی</w:t>
      </w:r>
      <w:r w:rsidRPr="0025250D">
        <w:rPr>
          <w:rFonts w:hint="eastAsia"/>
          <w:rtl/>
        </w:rPr>
        <w:t>م</w:t>
      </w:r>
      <w:r w:rsidRPr="0025250D">
        <w:rPr>
          <w:rtl/>
        </w:rPr>
        <w:t xml:space="preserve"> جوامع</w:t>
      </w:r>
      <w:r w:rsidRPr="0025250D">
        <w:rPr>
          <w:rFonts w:hint="cs"/>
          <w:rtl/>
        </w:rPr>
        <w:t>ی</w:t>
      </w:r>
      <w:r w:rsidRPr="0025250D">
        <w:rPr>
          <w:rtl/>
        </w:rPr>
        <w:t xml:space="preserve"> مانند ا</w:t>
      </w:r>
      <w:r w:rsidRPr="0025250D">
        <w:rPr>
          <w:rFonts w:hint="cs"/>
          <w:rtl/>
        </w:rPr>
        <w:t>ی</w:t>
      </w:r>
      <w:r w:rsidRPr="0025250D">
        <w:rPr>
          <w:rFonts w:hint="eastAsia"/>
          <w:rtl/>
        </w:rPr>
        <w:t>ن</w:t>
      </w:r>
      <w:r w:rsidRPr="0025250D">
        <w:rPr>
          <w:rFonts w:hint="cs"/>
          <w:rtl/>
        </w:rPr>
        <w:t xml:space="preserve"> موارد</w:t>
      </w:r>
      <w:r w:rsidRPr="0025250D">
        <w:rPr>
          <w:rtl/>
        </w:rPr>
        <w:t xml:space="preserve"> مستحق مشارکت و حما</w:t>
      </w:r>
      <w:r w:rsidRPr="0025250D">
        <w:rPr>
          <w:rFonts w:hint="cs"/>
          <w:rtl/>
        </w:rPr>
        <w:t>ی</w:t>
      </w:r>
      <w:r w:rsidRPr="0025250D">
        <w:rPr>
          <w:rFonts w:hint="eastAsia"/>
          <w:rtl/>
        </w:rPr>
        <w:t>ت</w:t>
      </w:r>
      <w:r w:rsidRPr="0025250D">
        <w:rPr>
          <w:rtl/>
        </w:rPr>
        <w:t xml:space="preserve"> شما هستند. از نظر ما کمک به آنها </w:t>
      </w:r>
      <w:r w:rsidRPr="0025250D">
        <w:rPr>
          <w:rFonts w:hint="cs"/>
          <w:rtl/>
        </w:rPr>
        <w:t>ی</w:t>
      </w:r>
      <w:r w:rsidRPr="0025250D">
        <w:rPr>
          <w:rFonts w:hint="eastAsia"/>
          <w:rtl/>
        </w:rPr>
        <w:t>ک</w:t>
      </w:r>
      <w:r w:rsidRPr="0025250D">
        <w:rPr>
          <w:rFonts w:hint="cs"/>
          <w:rtl/>
        </w:rPr>
        <w:t>ی</w:t>
      </w:r>
      <w:r w:rsidRPr="0025250D">
        <w:rPr>
          <w:rtl/>
        </w:rPr>
        <w:t xml:space="preserve"> از راه‌ها</w:t>
      </w:r>
      <w:r w:rsidRPr="0025250D">
        <w:rPr>
          <w:rFonts w:hint="cs"/>
          <w:rtl/>
        </w:rPr>
        <w:t>ی</w:t>
      </w:r>
      <w:r w:rsidRPr="0025250D">
        <w:rPr>
          <w:rtl/>
        </w:rPr>
        <w:t xml:space="preserve"> مف</w:t>
      </w:r>
      <w:r w:rsidRPr="0025250D">
        <w:rPr>
          <w:rFonts w:hint="cs"/>
          <w:rtl/>
        </w:rPr>
        <w:t>ی</w:t>
      </w:r>
      <w:r w:rsidRPr="0025250D">
        <w:rPr>
          <w:rFonts w:hint="eastAsia"/>
          <w:rtl/>
        </w:rPr>
        <w:t>د</w:t>
      </w:r>
      <w:r w:rsidRPr="0025250D">
        <w:rPr>
          <w:rtl/>
        </w:rPr>
        <w:t xml:space="preserve"> برا</w:t>
      </w:r>
      <w:r w:rsidRPr="0025250D">
        <w:rPr>
          <w:rFonts w:hint="cs"/>
          <w:rtl/>
        </w:rPr>
        <w:t>ی</w:t>
      </w:r>
      <w:r w:rsidRPr="0025250D">
        <w:rPr>
          <w:rtl/>
        </w:rPr>
        <w:t xml:space="preserve"> کمک به توسعه حوزه ما است</w:t>
      </w:r>
      <w:r w:rsidRPr="0025250D">
        <w:rPr>
          <w:rFonts w:hint="cs"/>
          <w:rtl/>
        </w:rPr>
        <w:t>.</w:t>
      </w:r>
    </w:p>
    <w:p w14:paraId="6EDBDEB8" w14:textId="4028ABCB" w:rsidR="0020750C" w:rsidRPr="0025250D" w:rsidRDefault="0020750C" w:rsidP="0020750C">
      <w:pPr>
        <w:rPr>
          <w:rtl/>
        </w:rPr>
      </w:pPr>
      <w:r w:rsidRPr="0025250D">
        <w:rPr>
          <w:rtl/>
        </w:rPr>
        <w:t>تعداد کم</w:t>
      </w:r>
      <w:r w:rsidRPr="0025250D">
        <w:rPr>
          <w:rFonts w:hint="cs"/>
          <w:rtl/>
        </w:rPr>
        <w:t>ی</w:t>
      </w:r>
      <w:r w:rsidRPr="0025250D">
        <w:rPr>
          <w:rtl/>
        </w:rPr>
        <w:t xml:space="preserve"> از </w:t>
      </w:r>
      <w:r w:rsidRPr="0025250D">
        <w:rPr>
          <w:rFonts w:hint="cs"/>
          <w:rtl/>
        </w:rPr>
        <w:t>این موارد</w:t>
      </w:r>
      <w:r w:rsidRPr="0025250D">
        <w:rPr>
          <w:rFonts w:hint="eastAsia"/>
          <w:rtl/>
        </w:rPr>
        <w:t>،</w:t>
      </w:r>
      <w:r w:rsidRPr="0025250D">
        <w:rPr>
          <w:rtl/>
        </w:rPr>
        <w:t xml:space="preserve"> مانند </w:t>
      </w:r>
      <w:r w:rsidRPr="0025250D">
        <w:t>APF</w:t>
      </w:r>
      <w:r w:rsidRPr="0025250D">
        <w:rPr>
          <w:rtl/>
        </w:rPr>
        <w:t xml:space="preserve"> انجمن ها</w:t>
      </w:r>
      <w:r w:rsidRPr="0025250D">
        <w:rPr>
          <w:rFonts w:hint="cs"/>
          <w:rtl/>
        </w:rPr>
        <w:t>ی</w:t>
      </w:r>
      <w:r w:rsidRPr="0025250D">
        <w:rPr>
          <w:rtl/>
        </w:rPr>
        <w:t xml:space="preserve"> </w:t>
      </w:r>
      <w:r w:rsidRPr="0025250D">
        <w:rPr>
          <w:rFonts w:hint="cs"/>
          <w:rtl/>
        </w:rPr>
        <w:t xml:space="preserve">تخصصی </w:t>
      </w:r>
      <w:r w:rsidRPr="0025250D">
        <w:rPr>
          <w:rtl/>
        </w:rPr>
        <w:t>ن</w:t>
      </w:r>
      <w:r w:rsidRPr="0025250D">
        <w:rPr>
          <w:rFonts w:hint="cs"/>
          <w:rtl/>
        </w:rPr>
        <w:t>ی</w:t>
      </w:r>
      <w:r w:rsidRPr="0025250D">
        <w:rPr>
          <w:rFonts w:hint="eastAsia"/>
          <w:rtl/>
        </w:rPr>
        <w:t>ز</w:t>
      </w:r>
      <w:r w:rsidRPr="0025250D">
        <w:rPr>
          <w:rtl/>
        </w:rPr>
        <w:t xml:space="preserve"> هستند، اما اکثر آنها در حال حاضر </w:t>
      </w:r>
      <w:r w:rsidRPr="0025250D">
        <w:rPr>
          <w:rFonts w:hint="cs"/>
          <w:rtl/>
        </w:rPr>
        <w:t xml:space="preserve">انجمن تخصصی </w:t>
      </w:r>
      <w:r w:rsidRPr="0025250D">
        <w:rPr>
          <w:rtl/>
        </w:rPr>
        <w:t>ن</w:t>
      </w:r>
      <w:r w:rsidRPr="0025250D">
        <w:rPr>
          <w:rFonts w:hint="cs"/>
          <w:rtl/>
        </w:rPr>
        <w:t>ی</w:t>
      </w:r>
      <w:r w:rsidRPr="0025250D">
        <w:rPr>
          <w:rFonts w:hint="eastAsia"/>
          <w:rtl/>
        </w:rPr>
        <w:t>ستند</w:t>
      </w:r>
      <w:r w:rsidRPr="0025250D">
        <w:rPr>
          <w:rtl/>
        </w:rPr>
        <w:t>. هر جامعه تما</w:t>
      </w:r>
      <w:r w:rsidRPr="0025250D">
        <w:rPr>
          <w:rFonts w:hint="cs"/>
          <w:rtl/>
        </w:rPr>
        <w:t>ی</w:t>
      </w:r>
      <w:r w:rsidRPr="0025250D">
        <w:rPr>
          <w:rFonts w:hint="eastAsia"/>
          <w:rtl/>
        </w:rPr>
        <w:t>ل</w:t>
      </w:r>
      <w:r w:rsidRPr="0025250D">
        <w:rPr>
          <w:rtl/>
        </w:rPr>
        <w:t xml:space="preserve"> دارد بر جنبه ها</w:t>
      </w:r>
      <w:r w:rsidRPr="0025250D">
        <w:rPr>
          <w:rFonts w:hint="cs"/>
          <w:rtl/>
        </w:rPr>
        <w:t>ی</w:t>
      </w:r>
      <w:r w:rsidRPr="0025250D">
        <w:rPr>
          <w:rtl/>
        </w:rPr>
        <w:t xml:space="preserve"> مختلف شش دامنه تمرکز کند، اما </w:t>
      </w:r>
      <w:r w:rsidRPr="0025250D">
        <w:rPr>
          <w:rFonts w:hint="cs"/>
          <w:rtl/>
        </w:rPr>
        <w:t>همه</w:t>
      </w:r>
      <w:r w:rsidRPr="0025250D">
        <w:rPr>
          <w:rtl/>
        </w:rPr>
        <w:t xml:space="preserve"> به دنبال جامع</w:t>
      </w:r>
      <w:r w:rsidRPr="0025250D">
        <w:rPr>
          <w:rFonts w:hint="cs"/>
          <w:rtl/>
        </w:rPr>
        <w:t>ی</w:t>
      </w:r>
      <w:r w:rsidRPr="0025250D">
        <w:rPr>
          <w:rFonts w:hint="eastAsia"/>
          <w:rtl/>
        </w:rPr>
        <w:t>ت</w:t>
      </w:r>
      <w:r w:rsidRPr="0025250D">
        <w:rPr>
          <w:rtl/>
        </w:rPr>
        <w:t xml:space="preserve"> ن</w:t>
      </w:r>
      <w:r w:rsidRPr="0025250D">
        <w:rPr>
          <w:rFonts w:hint="cs"/>
          <w:rtl/>
        </w:rPr>
        <w:t>ی</w:t>
      </w:r>
      <w:r w:rsidRPr="0025250D">
        <w:rPr>
          <w:rFonts w:hint="eastAsia"/>
          <w:rtl/>
        </w:rPr>
        <w:t>ز</w:t>
      </w:r>
      <w:r w:rsidRPr="0025250D">
        <w:rPr>
          <w:rtl/>
        </w:rPr>
        <w:t xml:space="preserve"> هستند. همه </w:t>
      </w:r>
      <w:r w:rsidRPr="0025250D">
        <w:rPr>
          <w:rFonts w:hint="cs"/>
          <w:rtl/>
        </w:rPr>
        <w:t xml:space="preserve">دارای </w:t>
      </w:r>
      <w:r w:rsidR="00A20CCB" w:rsidRPr="0025250D">
        <w:rPr>
          <w:rtl/>
        </w:rPr>
        <w:t>جهان‌بینی</w:t>
      </w:r>
      <w:r w:rsidRPr="0025250D">
        <w:rPr>
          <w:rtl/>
        </w:rPr>
        <w:t xml:space="preserve"> ها</w:t>
      </w:r>
      <w:r w:rsidRPr="0025250D">
        <w:rPr>
          <w:rFonts w:hint="cs"/>
          <w:rtl/>
        </w:rPr>
        <w:t>ی</w:t>
      </w:r>
      <w:r w:rsidRPr="0025250D">
        <w:rPr>
          <w:rtl/>
        </w:rPr>
        <w:t xml:space="preserve"> خاص و باک</w:t>
      </w:r>
      <w:r w:rsidRPr="0025250D">
        <w:rPr>
          <w:rFonts w:hint="cs"/>
          <w:rtl/>
        </w:rPr>
        <w:t>ی</w:t>
      </w:r>
      <w:r w:rsidRPr="0025250D">
        <w:rPr>
          <w:rFonts w:hint="eastAsia"/>
          <w:rtl/>
        </w:rPr>
        <w:t>ف</w:t>
      </w:r>
      <w:r w:rsidRPr="0025250D">
        <w:rPr>
          <w:rFonts w:hint="cs"/>
          <w:rtl/>
        </w:rPr>
        <w:t>ی</w:t>
      </w:r>
      <w:r w:rsidRPr="0025250D">
        <w:rPr>
          <w:rFonts w:hint="eastAsia"/>
          <w:rtl/>
        </w:rPr>
        <w:t>ت</w:t>
      </w:r>
      <w:r w:rsidRPr="0025250D">
        <w:rPr>
          <w:rFonts w:hint="cs"/>
          <w:rtl/>
        </w:rPr>
        <w:t>ی</w:t>
      </w:r>
      <w:r w:rsidRPr="0025250D">
        <w:rPr>
          <w:rtl/>
        </w:rPr>
        <w:t xml:space="preserve"> هستند و به هم</w:t>
      </w:r>
      <w:r w:rsidRPr="0025250D">
        <w:rPr>
          <w:rFonts w:hint="cs"/>
          <w:rtl/>
        </w:rPr>
        <w:t>ی</w:t>
      </w:r>
      <w:r w:rsidRPr="0025250D">
        <w:rPr>
          <w:rFonts w:hint="eastAsia"/>
          <w:rtl/>
        </w:rPr>
        <w:t>ن</w:t>
      </w:r>
      <w:r w:rsidRPr="0025250D">
        <w:rPr>
          <w:rtl/>
        </w:rPr>
        <w:t xml:space="preserve"> دل</w:t>
      </w:r>
      <w:r w:rsidRPr="0025250D">
        <w:rPr>
          <w:rFonts w:hint="cs"/>
          <w:rtl/>
        </w:rPr>
        <w:t>ی</w:t>
      </w:r>
      <w:r w:rsidRPr="0025250D">
        <w:rPr>
          <w:rFonts w:hint="eastAsia"/>
          <w:rtl/>
        </w:rPr>
        <w:t>ل</w:t>
      </w:r>
      <w:r w:rsidRPr="0025250D">
        <w:rPr>
          <w:rtl/>
        </w:rPr>
        <w:t xml:space="preserve"> در ا</w:t>
      </w:r>
      <w:r w:rsidRPr="0025250D">
        <w:rPr>
          <w:rFonts w:hint="cs"/>
          <w:rtl/>
        </w:rPr>
        <w:t>ی</w:t>
      </w:r>
      <w:r w:rsidRPr="0025250D">
        <w:rPr>
          <w:rFonts w:hint="eastAsia"/>
          <w:rtl/>
        </w:rPr>
        <w:t>ن</w:t>
      </w:r>
      <w:r w:rsidRPr="0025250D">
        <w:rPr>
          <w:rtl/>
        </w:rPr>
        <w:t xml:space="preserve"> ل</w:t>
      </w:r>
      <w:r w:rsidRPr="0025250D">
        <w:rPr>
          <w:rFonts w:hint="cs"/>
          <w:rtl/>
        </w:rPr>
        <w:t>ی</w:t>
      </w:r>
      <w:r w:rsidRPr="0025250D">
        <w:rPr>
          <w:rFonts w:hint="eastAsia"/>
          <w:rtl/>
        </w:rPr>
        <w:t>ست</w:t>
      </w:r>
      <w:r w:rsidRPr="0025250D">
        <w:rPr>
          <w:rtl/>
        </w:rPr>
        <w:t xml:space="preserve"> قرار دارند. شرکت در هر </w:t>
      </w:r>
      <w:r w:rsidRPr="0025250D">
        <w:rPr>
          <w:rFonts w:hint="cs"/>
          <w:rtl/>
        </w:rPr>
        <w:t>ی</w:t>
      </w:r>
      <w:r w:rsidRPr="0025250D">
        <w:rPr>
          <w:rFonts w:hint="eastAsia"/>
          <w:rtl/>
        </w:rPr>
        <w:t>ک</w:t>
      </w:r>
      <w:r w:rsidRPr="0025250D">
        <w:rPr>
          <w:rtl/>
        </w:rPr>
        <w:t xml:space="preserve"> از ا</w:t>
      </w:r>
      <w:r w:rsidRPr="0025250D">
        <w:rPr>
          <w:rFonts w:hint="cs"/>
          <w:rtl/>
        </w:rPr>
        <w:t>ی</w:t>
      </w:r>
      <w:r w:rsidRPr="0025250D">
        <w:rPr>
          <w:rFonts w:hint="eastAsia"/>
          <w:rtl/>
        </w:rPr>
        <w:t>ن</w:t>
      </w:r>
      <w:r w:rsidRPr="0025250D">
        <w:rPr>
          <w:rFonts w:hint="cs"/>
          <w:rtl/>
        </w:rPr>
        <w:t xml:space="preserve"> موارد</w:t>
      </w:r>
      <w:r w:rsidRPr="0025250D">
        <w:rPr>
          <w:rtl/>
        </w:rPr>
        <w:t xml:space="preserve"> شما را در معرض ط</w:t>
      </w:r>
      <w:r w:rsidRPr="0025250D">
        <w:rPr>
          <w:rFonts w:hint="cs"/>
          <w:rtl/>
        </w:rPr>
        <w:t>ی</w:t>
      </w:r>
      <w:r w:rsidRPr="0025250D">
        <w:rPr>
          <w:rFonts w:hint="eastAsia"/>
          <w:rtl/>
        </w:rPr>
        <w:t>ف</w:t>
      </w:r>
      <w:r w:rsidRPr="0025250D">
        <w:rPr>
          <w:rtl/>
        </w:rPr>
        <w:t xml:space="preserve"> وس</w:t>
      </w:r>
      <w:r w:rsidRPr="0025250D">
        <w:rPr>
          <w:rFonts w:hint="cs"/>
          <w:rtl/>
        </w:rPr>
        <w:t>ی</w:t>
      </w:r>
      <w:r w:rsidRPr="0025250D">
        <w:rPr>
          <w:rFonts w:hint="eastAsia"/>
          <w:rtl/>
        </w:rPr>
        <w:t>ع</w:t>
      </w:r>
      <w:r w:rsidRPr="0025250D">
        <w:rPr>
          <w:rFonts w:hint="cs"/>
          <w:rtl/>
        </w:rPr>
        <w:t>ی</w:t>
      </w:r>
      <w:r w:rsidRPr="0025250D">
        <w:rPr>
          <w:rtl/>
        </w:rPr>
        <w:t xml:space="preserve"> از روش ها و گز</w:t>
      </w:r>
      <w:r w:rsidRPr="0025250D">
        <w:rPr>
          <w:rFonts w:hint="cs"/>
          <w:rtl/>
        </w:rPr>
        <w:t>ی</w:t>
      </w:r>
      <w:r w:rsidRPr="0025250D">
        <w:rPr>
          <w:rFonts w:hint="eastAsia"/>
          <w:rtl/>
        </w:rPr>
        <w:t>نه</w:t>
      </w:r>
      <w:r w:rsidRPr="0025250D">
        <w:rPr>
          <w:rtl/>
        </w:rPr>
        <w:t xml:space="preserve"> ها در </w:t>
      </w:r>
      <w:r w:rsidRPr="0025250D">
        <w:rPr>
          <w:rFonts w:hint="cs"/>
          <w:rtl/>
        </w:rPr>
        <w:t>اجرای</w:t>
      </w:r>
      <w:r w:rsidRPr="0025250D">
        <w:rPr>
          <w:rtl/>
        </w:rPr>
        <w:t xml:space="preserve"> </w:t>
      </w:r>
      <w:r w:rsidR="00D92F6E" w:rsidRPr="0025250D">
        <w:rPr>
          <w:rtl/>
        </w:rPr>
        <w:t>آینده‌نگاری</w:t>
      </w:r>
      <w:r w:rsidRPr="0025250D">
        <w:rPr>
          <w:rtl/>
        </w:rPr>
        <w:t xml:space="preserve"> قرار م</w:t>
      </w:r>
      <w:r w:rsidRPr="0025250D">
        <w:rPr>
          <w:rFonts w:hint="cs"/>
          <w:rtl/>
        </w:rPr>
        <w:t>ی</w:t>
      </w:r>
      <w:r w:rsidRPr="0025250D">
        <w:rPr>
          <w:rtl/>
        </w:rPr>
        <w:t xml:space="preserve"> دهد.</w:t>
      </w:r>
    </w:p>
    <w:p w14:paraId="2CC5CAFE" w14:textId="0E280CA8" w:rsidR="0020750C" w:rsidRPr="0025250D" w:rsidRDefault="0020750C" w:rsidP="0020750C">
      <w:pPr>
        <w:rPr>
          <w:rtl/>
        </w:rPr>
      </w:pPr>
      <w:r w:rsidRPr="0025250D">
        <w:rPr>
          <w:rtl/>
        </w:rPr>
        <w:t>در حال حاضر هر کدام مزا</w:t>
      </w:r>
      <w:r w:rsidRPr="0025250D">
        <w:rPr>
          <w:rFonts w:hint="cs"/>
          <w:rtl/>
        </w:rPr>
        <w:t>ی</w:t>
      </w:r>
      <w:r w:rsidRPr="0025250D">
        <w:rPr>
          <w:rFonts w:hint="eastAsia"/>
          <w:rtl/>
        </w:rPr>
        <w:t>ا</w:t>
      </w:r>
      <w:r w:rsidRPr="0025250D">
        <w:rPr>
          <w:rtl/>
        </w:rPr>
        <w:t xml:space="preserve"> و کاست</w:t>
      </w:r>
      <w:r w:rsidRPr="0025250D">
        <w:rPr>
          <w:rFonts w:hint="cs"/>
          <w:rtl/>
        </w:rPr>
        <w:t>ی</w:t>
      </w:r>
      <w:r w:rsidRPr="0025250D">
        <w:rPr>
          <w:rtl/>
        </w:rPr>
        <w:t xml:space="preserve"> ها</w:t>
      </w:r>
      <w:r w:rsidRPr="0025250D">
        <w:rPr>
          <w:rFonts w:hint="cs"/>
          <w:rtl/>
        </w:rPr>
        <w:t>یی</w:t>
      </w:r>
      <w:r w:rsidRPr="0025250D">
        <w:rPr>
          <w:rtl/>
        </w:rPr>
        <w:t xml:space="preserve"> دارند، اما همه در </w:t>
      </w:r>
      <w:r w:rsidR="006D03B2" w:rsidRPr="0025250D">
        <w:rPr>
          <w:rFonts w:hint="cs"/>
          <w:rtl/>
        </w:rPr>
        <w:t xml:space="preserve">این </w:t>
      </w:r>
      <w:r w:rsidRPr="0025250D">
        <w:rPr>
          <w:rtl/>
        </w:rPr>
        <w:t>زم</w:t>
      </w:r>
      <w:r w:rsidRPr="0025250D">
        <w:rPr>
          <w:rFonts w:hint="cs"/>
          <w:rtl/>
        </w:rPr>
        <w:t>ی</w:t>
      </w:r>
      <w:r w:rsidRPr="0025250D">
        <w:rPr>
          <w:rFonts w:hint="eastAsia"/>
          <w:rtl/>
        </w:rPr>
        <w:t>نه</w:t>
      </w:r>
      <w:r w:rsidRPr="0025250D">
        <w:rPr>
          <w:rtl/>
        </w:rPr>
        <w:t xml:space="preserve"> </w:t>
      </w:r>
      <w:r w:rsidRPr="0025250D">
        <w:rPr>
          <w:rFonts w:hint="cs"/>
          <w:rtl/>
        </w:rPr>
        <w:t xml:space="preserve">به خوبی </w:t>
      </w:r>
      <w:r w:rsidRPr="0025250D">
        <w:rPr>
          <w:rtl/>
        </w:rPr>
        <w:t xml:space="preserve">کار </w:t>
      </w:r>
      <w:r w:rsidRPr="0025250D">
        <w:rPr>
          <w:rFonts w:hint="cs"/>
          <w:rtl/>
        </w:rPr>
        <w:t>می کنند</w:t>
      </w:r>
      <w:r w:rsidRPr="0025250D">
        <w:rPr>
          <w:rtl/>
        </w:rPr>
        <w:t>. همه ا</w:t>
      </w:r>
      <w:r w:rsidRPr="0025250D">
        <w:rPr>
          <w:rFonts w:hint="cs"/>
          <w:rtl/>
        </w:rPr>
        <w:t>ی</w:t>
      </w:r>
      <w:r w:rsidRPr="0025250D">
        <w:rPr>
          <w:rFonts w:hint="eastAsia"/>
          <w:rtl/>
        </w:rPr>
        <w:t>ن</w:t>
      </w:r>
      <w:r w:rsidRPr="0025250D">
        <w:rPr>
          <w:rtl/>
        </w:rPr>
        <w:t xml:space="preserve"> انجمن‌ها خبرنامه، پادکست، گروه‌ها</w:t>
      </w:r>
      <w:r w:rsidRPr="0025250D">
        <w:rPr>
          <w:rFonts w:hint="cs"/>
          <w:rtl/>
        </w:rPr>
        <w:t>ی</w:t>
      </w:r>
      <w:r w:rsidRPr="0025250D">
        <w:rPr>
          <w:rtl/>
        </w:rPr>
        <w:t xml:space="preserve"> گفتگو </w:t>
      </w:r>
      <w:r w:rsidRPr="0025250D">
        <w:rPr>
          <w:rFonts w:hint="cs"/>
          <w:rtl/>
        </w:rPr>
        <w:t>ی</w:t>
      </w:r>
      <w:r w:rsidRPr="0025250D">
        <w:rPr>
          <w:rFonts w:hint="eastAsia"/>
          <w:rtl/>
        </w:rPr>
        <w:t>ا</w:t>
      </w:r>
      <w:r w:rsidRPr="0025250D">
        <w:rPr>
          <w:rtl/>
        </w:rPr>
        <w:t xml:space="preserve"> سا</w:t>
      </w:r>
      <w:r w:rsidRPr="0025250D">
        <w:rPr>
          <w:rFonts w:hint="cs"/>
          <w:rtl/>
        </w:rPr>
        <w:t>ی</w:t>
      </w:r>
      <w:r w:rsidRPr="0025250D">
        <w:rPr>
          <w:rFonts w:hint="eastAsia"/>
          <w:rtl/>
        </w:rPr>
        <w:t>ر</w:t>
      </w:r>
      <w:r w:rsidRPr="0025250D">
        <w:rPr>
          <w:rtl/>
        </w:rPr>
        <w:t xml:space="preserve"> خروج</w:t>
      </w:r>
      <w:r w:rsidRPr="0025250D">
        <w:rPr>
          <w:rFonts w:hint="cs"/>
          <w:rtl/>
        </w:rPr>
        <w:t>ی‌</w:t>
      </w:r>
      <w:r w:rsidRPr="0025250D">
        <w:rPr>
          <w:rFonts w:hint="eastAsia"/>
          <w:rtl/>
        </w:rPr>
        <w:t>ها</w:t>
      </w:r>
      <w:r w:rsidRPr="0025250D">
        <w:rPr>
          <w:rFonts w:hint="cs"/>
          <w:rtl/>
        </w:rPr>
        <w:t>ی</w:t>
      </w:r>
      <w:r w:rsidRPr="0025250D">
        <w:rPr>
          <w:rtl/>
        </w:rPr>
        <w:t xml:space="preserve"> را</w:t>
      </w:r>
      <w:r w:rsidRPr="0025250D">
        <w:rPr>
          <w:rFonts w:hint="cs"/>
          <w:rtl/>
        </w:rPr>
        <w:t>ی</w:t>
      </w:r>
      <w:r w:rsidRPr="0025250D">
        <w:rPr>
          <w:rFonts w:hint="eastAsia"/>
          <w:rtl/>
        </w:rPr>
        <w:t>گان</w:t>
      </w:r>
      <w:r w:rsidR="006D03B2" w:rsidRPr="0025250D">
        <w:rPr>
          <w:rFonts w:hint="cs"/>
          <w:rtl/>
        </w:rPr>
        <w:t>ی</w:t>
      </w:r>
      <w:r w:rsidRPr="0025250D">
        <w:rPr>
          <w:rtl/>
        </w:rPr>
        <w:t xml:space="preserve"> دارند که م</w:t>
      </w:r>
      <w:r w:rsidRPr="0025250D">
        <w:rPr>
          <w:rFonts w:hint="cs"/>
          <w:rtl/>
        </w:rPr>
        <w:t>ی‌</w:t>
      </w:r>
      <w:r w:rsidRPr="0025250D">
        <w:rPr>
          <w:rFonts w:hint="eastAsia"/>
          <w:rtl/>
        </w:rPr>
        <w:t>توان</w:t>
      </w:r>
      <w:r w:rsidRPr="0025250D">
        <w:rPr>
          <w:rFonts w:hint="cs"/>
          <w:rtl/>
        </w:rPr>
        <w:t>ن</w:t>
      </w:r>
      <w:r w:rsidRPr="0025250D">
        <w:rPr>
          <w:rFonts w:hint="eastAsia"/>
          <w:rtl/>
        </w:rPr>
        <w:t>د</w:t>
      </w:r>
      <w:r w:rsidRPr="0025250D">
        <w:rPr>
          <w:rtl/>
        </w:rPr>
        <w:t xml:space="preserve"> به شما کمک کن</w:t>
      </w:r>
      <w:r w:rsidR="006D03B2" w:rsidRPr="0025250D">
        <w:rPr>
          <w:rFonts w:hint="cs"/>
          <w:rtl/>
        </w:rPr>
        <w:t>ن</w:t>
      </w:r>
      <w:r w:rsidRPr="0025250D">
        <w:rPr>
          <w:rtl/>
        </w:rPr>
        <w:t>د تصم</w:t>
      </w:r>
      <w:r w:rsidRPr="0025250D">
        <w:rPr>
          <w:rFonts w:hint="cs"/>
          <w:rtl/>
        </w:rPr>
        <w:t>ی</w:t>
      </w:r>
      <w:r w:rsidRPr="0025250D">
        <w:rPr>
          <w:rFonts w:hint="eastAsia"/>
          <w:rtl/>
        </w:rPr>
        <w:t>م</w:t>
      </w:r>
      <w:r w:rsidRPr="0025250D">
        <w:rPr>
          <w:rtl/>
        </w:rPr>
        <w:t xml:space="preserve"> بگ</w:t>
      </w:r>
      <w:r w:rsidRPr="0025250D">
        <w:rPr>
          <w:rFonts w:hint="cs"/>
          <w:rtl/>
        </w:rPr>
        <w:t>ی</w:t>
      </w:r>
      <w:r w:rsidRPr="0025250D">
        <w:rPr>
          <w:rFonts w:hint="eastAsia"/>
          <w:rtl/>
        </w:rPr>
        <w:t>ر</w:t>
      </w:r>
      <w:r w:rsidRPr="0025250D">
        <w:rPr>
          <w:rFonts w:hint="cs"/>
          <w:rtl/>
        </w:rPr>
        <w:t>ی</w:t>
      </w:r>
      <w:r w:rsidRPr="0025250D">
        <w:rPr>
          <w:rFonts w:hint="eastAsia"/>
          <w:rtl/>
        </w:rPr>
        <w:t>د</w:t>
      </w:r>
      <w:r w:rsidRPr="0025250D">
        <w:rPr>
          <w:rtl/>
        </w:rPr>
        <w:t xml:space="preserve"> که آ</w:t>
      </w:r>
      <w:r w:rsidRPr="0025250D">
        <w:rPr>
          <w:rFonts w:hint="cs"/>
          <w:rtl/>
        </w:rPr>
        <w:t>ی</w:t>
      </w:r>
      <w:r w:rsidRPr="0025250D">
        <w:rPr>
          <w:rFonts w:hint="eastAsia"/>
          <w:rtl/>
        </w:rPr>
        <w:t>ا</w:t>
      </w:r>
      <w:r w:rsidRPr="0025250D">
        <w:rPr>
          <w:rtl/>
        </w:rPr>
        <w:t xml:space="preserve"> م</w:t>
      </w:r>
      <w:r w:rsidRPr="0025250D">
        <w:rPr>
          <w:rFonts w:hint="cs"/>
          <w:rtl/>
        </w:rPr>
        <w:t>ی‌</w:t>
      </w:r>
      <w:r w:rsidRPr="0025250D">
        <w:rPr>
          <w:rFonts w:hint="eastAsia"/>
          <w:rtl/>
        </w:rPr>
        <w:t>خواه</w:t>
      </w:r>
      <w:r w:rsidRPr="0025250D">
        <w:rPr>
          <w:rFonts w:hint="cs"/>
          <w:rtl/>
        </w:rPr>
        <w:t>ی</w:t>
      </w:r>
      <w:r w:rsidRPr="0025250D">
        <w:rPr>
          <w:rFonts w:hint="eastAsia"/>
          <w:rtl/>
        </w:rPr>
        <w:t>د</w:t>
      </w:r>
      <w:r w:rsidRPr="0025250D">
        <w:rPr>
          <w:rtl/>
        </w:rPr>
        <w:t xml:space="preserve"> ب</w:t>
      </w:r>
      <w:r w:rsidRPr="0025250D">
        <w:rPr>
          <w:rFonts w:hint="cs"/>
          <w:rtl/>
        </w:rPr>
        <w:t>ی</w:t>
      </w:r>
      <w:r w:rsidRPr="0025250D">
        <w:rPr>
          <w:rFonts w:hint="eastAsia"/>
          <w:rtl/>
        </w:rPr>
        <w:t>شتر</w:t>
      </w:r>
      <w:r w:rsidRPr="0025250D">
        <w:rPr>
          <w:rtl/>
        </w:rPr>
        <w:t xml:space="preserve"> با آنها درگ</w:t>
      </w:r>
      <w:r w:rsidRPr="0025250D">
        <w:rPr>
          <w:rFonts w:hint="cs"/>
          <w:rtl/>
        </w:rPr>
        <w:t>ی</w:t>
      </w:r>
      <w:r w:rsidRPr="0025250D">
        <w:rPr>
          <w:rFonts w:hint="eastAsia"/>
          <w:rtl/>
        </w:rPr>
        <w:t>ر</w:t>
      </w:r>
      <w:r w:rsidRPr="0025250D">
        <w:rPr>
          <w:rtl/>
        </w:rPr>
        <w:t xml:space="preserve"> شو</w:t>
      </w:r>
      <w:r w:rsidRPr="0025250D">
        <w:rPr>
          <w:rFonts w:hint="cs"/>
          <w:rtl/>
        </w:rPr>
        <w:t>ی</w:t>
      </w:r>
      <w:r w:rsidRPr="0025250D">
        <w:rPr>
          <w:rFonts w:hint="eastAsia"/>
          <w:rtl/>
        </w:rPr>
        <w:t>د</w:t>
      </w:r>
      <w:r w:rsidRPr="0025250D">
        <w:rPr>
          <w:rtl/>
        </w:rPr>
        <w:t xml:space="preserve"> </w:t>
      </w:r>
      <w:r w:rsidRPr="0025250D">
        <w:rPr>
          <w:rFonts w:hint="cs"/>
          <w:rtl/>
        </w:rPr>
        <w:t>ی</w:t>
      </w:r>
      <w:r w:rsidRPr="0025250D">
        <w:rPr>
          <w:rFonts w:hint="eastAsia"/>
          <w:rtl/>
        </w:rPr>
        <w:t>ا</w:t>
      </w:r>
      <w:r w:rsidRPr="0025250D">
        <w:rPr>
          <w:rtl/>
        </w:rPr>
        <w:t xml:space="preserve"> خ</w:t>
      </w:r>
      <w:r w:rsidRPr="0025250D">
        <w:rPr>
          <w:rFonts w:hint="cs"/>
          <w:rtl/>
        </w:rPr>
        <w:t>ی</w:t>
      </w:r>
      <w:r w:rsidRPr="0025250D">
        <w:rPr>
          <w:rFonts w:hint="eastAsia"/>
          <w:rtl/>
        </w:rPr>
        <w:t>ر</w:t>
      </w:r>
      <w:r w:rsidRPr="0025250D">
        <w:rPr>
          <w:rtl/>
        </w:rPr>
        <w:t xml:space="preserve">. </w:t>
      </w:r>
      <w:r w:rsidRPr="0025250D">
        <w:rPr>
          <w:rFonts w:hint="cs"/>
          <w:rtl/>
        </w:rPr>
        <w:t xml:space="preserve">هرکدام </w:t>
      </w:r>
      <w:r w:rsidRPr="0025250D">
        <w:rPr>
          <w:rtl/>
        </w:rPr>
        <w:t>موقع</w:t>
      </w:r>
      <w:r w:rsidRPr="0025250D">
        <w:rPr>
          <w:rFonts w:hint="cs"/>
          <w:rtl/>
        </w:rPr>
        <w:t>ی</w:t>
      </w:r>
      <w:r w:rsidRPr="0025250D">
        <w:rPr>
          <w:rFonts w:hint="eastAsia"/>
          <w:rtl/>
        </w:rPr>
        <w:t>ت</w:t>
      </w:r>
      <w:r w:rsidRPr="0025250D">
        <w:rPr>
          <w:rtl/>
        </w:rPr>
        <w:t xml:space="preserve"> ها</w:t>
      </w:r>
      <w:r w:rsidRPr="0025250D">
        <w:rPr>
          <w:rFonts w:hint="cs"/>
          <w:rtl/>
        </w:rPr>
        <w:t>ی</w:t>
      </w:r>
      <w:r w:rsidRPr="0025250D">
        <w:rPr>
          <w:rtl/>
        </w:rPr>
        <w:t xml:space="preserve"> داوطلبانه</w:t>
      </w:r>
      <w:r w:rsidRPr="0025250D">
        <w:rPr>
          <w:rFonts w:hint="cs"/>
          <w:rtl/>
        </w:rPr>
        <w:t xml:space="preserve"> ای</w:t>
      </w:r>
      <w:r w:rsidRPr="0025250D">
        <w:rPr>
          <w:rtl/>
        </w:rPr>
        <w:t xml:space="preserve"> ن</w:t>
      </w:r>
      <w:r w:rsidRPr="0025250D">
        <w:rPr>
          <w:rFonts w:hint="cs"/>
          <w:rtl/>
        </w:rPr>
        <w:t>ی</w:t>
      </w:r>
      <w:r w:rsidRPr="0025250D">
        <w:rPr>
          <w:rFonts w:hint="eastAsia"/>
          <w:rtl/>
        </w:rPr>
        <w:t>ز</w:t>
      </w:r>
      <w:r w:rsidRPr="0025250D">
        <w:rPr>
          <w:rtl/>
        </w:rPr>
        <w:t xml:space="preserve"> </w:t>
      </w:r>
      <w:r w:rsidRPr="0025250D">
        <w:rPr>
          <w:rFonts w:hint="cs"/>
          <w:rtl/>
        </w:rPr>
        <w:t>دارند</w:t>
      </w:r>
      <w:r w:rsidRPr="0025250D">
        <w:rPr>
          <w:rtl/>
        </w:rPr>
        <w:t>. هرچه ب</w:t>
      </w:r>
      <w:r w:rsidRPr="0025250D">
        <w:rPr>
          <w:rFonts w:hint="cs"/>
          <w:rtl/>
        </w:rPr>
        <w:t>ی</w:t>
      </w:r>
      <w:r w:rsidRPr="0025250D">
        <w:rPr>
          <w:rFonts w:hint="eastAsia"/>
          <w:rtl/>
        </w:rPr>
        <w:t>شتر</w:t>
      </w:r>
      <w:r w:rsidRPr="0025250D">
        <w:rPr>
          <w:rtl/>
        </w:rPr>
        <w:t xml:space="preserve"> در هر </w:t>
      </w:r>
      <w:r w:rsidRPr="0025250D">
        <w:rPr>
          <w:rFonts w:hint="cs"/>
          <w:rtl/>
        </w:rPr>
        <w:t>ی</w:t>
      </w:r>
      <w:r w:rsidRPr="0025250D">
        <w:rPr>
          <w:rFonts w:hint="eastAsia"/>
          <w:rtl/>
        </w:rPr>
        <w:t>ک</w:t>
      </w:r>
      <w:r w:rsidRPr="0025250D">
        <w:rPr>
          <w:rtl/>
        </w:rPr>
        <w:t xml:space="preserve"> از آنها شرکت کن</w:t>
      </w:r>
      <w:r w:rsidRPr="0025250D">
        <w:rPr>
          <w:rFonts w:hint="cs"/>
          <w:rtl/>
        </w:rPr>
        <w:t>ی</w:t>
      </w:r>
      <w:r w:rsidRPr="0025250D">
        <w:rPr>
          <w:rFonts w:hint="eastAsia"/>
          <w:rtl/>
        </w:rPr>
        <w:t>د،</w:t>
      </w:r>
      <w:r w:rsidRPr="0025250D">
        <w:rPr>
          <w:rtl/>
        </w:rPr>
        <w:t xml:space="preserve"> </w:t>
      </w:r>
      <w:r w:rsidRPr="0025250D">
        <w:rPr>
          <w:rFonts w:hint="cs"/>
          <w:rtl/>
        </w:rPr>
        <w:t>برای کارراهه</w:t>
      </w:r>
      <w:r w:rsidRPr="0025250D">
        <w:rPr>
          <w:rtl/>
        </w:rPr>
        <w:t xml:space="preserve">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شما مف</w:t>
      </w:r>
      <w:r w:rsidRPr="0025250D">
        <w:rPr>
          <w:rFonts w:hint="cs"/>
          <w:rtl/>
        </w:rPr>
        <w:t>ی</w:t>
      </w:r>
      <w:r w:rsidRPr="0025250D">
        <w:rPr>
          <w:rFonts w:hint="eastAsia"/>
          <w:rtl/>
        </w:rPr>
        <w:t>دتر</w:t>
      </w:r>
      <w:r w:rsidRPr="0025250D">
        <w:rPr>
          <w:rtl/>
        </w:rPr>
        <w:t xml:space="preserve"> خواهد بود</w:t>
      </w:r>
      <w:r w:rsidR="006D03B2" w:rsidRPr="0025250D">
        <w:rPr>
          <w:rFonts w:hint="cs"/>
          <w:rtl/>
        </w:rPr>
        <w:t>.</w:t>
      </w:r>
    </w:p>
    <w:tbl>
      <w:tblPr>
        <w:tblStyle w:val="TableGrid"/>
        <w:bidiVisual/>
        <w:tblW w:w="0" w:type="auto"/>
        <w:tblLook w:val="04A0" w:firstRow="1" w:lastRow="0" w:firstColumn="1" w:lastColumn="0" w:noHBand="0" w:noVBand="1"/>
      </w:tblPr>
      <w:tblGrid>
        <w:gridCol w:w="3621"/>
        <w:gridCol w:w="3739"/>
      </w:tblGrid>
      <w:tr w:rsidR="00537CC8" w:rsidRPr="0025250D" w14:paraId="6F8B7D5E" w14:textId="77777777" w:rsidTr="00D335B2">
        <w:tc>
          <w:tcPr>
            <w:tcW w:w="3621" w:type="dxa"/>
          </w:tcPr>
          <w:p w14:paraId="7877D23C" w14:textId="77777777" w:rsidR="00537CC8" w:rsidRPr="0025250D" w:rsidRDefault="00537CC8" w:rsidP="00D335B2">
            <w:pPr>
              <w:bidi/>
              <w:spacing w:after="160"/>
              <w:jc w:val="center"/>
              <w:rPr>
                <w:rtl/>
              </w:rPr>
            </w:pPr>
            <w:r w:rsidRPr="0025250D">
              <w:t>APF</w:t>
            </w:r>
          </w:p>
        </w:tc>
        <w:tc>
          <w:tcPr>
            <w:tcW w:w="3739" w:type="dxa"/>
          </w:tcPr>
          <w:p w14:paraId="27C945E7" w14:textId="77777777" w:rsidR="00537CC8" w:rsidRPr="0025250D" w:rsidRDefault="00537CC8" w:rsidP="00D335B2">
            <w:pPr>
              <w:bidi/>
              <w:spacing w:after="160"/>
              <w:jc w:val="center"/>
              <w:rPr>
                <w:rtl/>
              </w:rPr>
            </w:pPr>
            <w:r w:rsidRPr="0025250D">
              <w:t>Association of Professional Futurists</w:t>
            </w:r>
          </w:p>
        </w:tc>
      </w:tr>
      <w:tr w:rsidR="00537CC8" w:rsidRPr="0025250D" w14:paraId="615A984F" w14:textId="77777777" w:rsidTr="00D335B2">
        <w:tc>
          <w:tcPr>
            <w:tcW w:w="3621" w:type="dxa"/>
          </w:tcPr>
          <w:p w14:paraId="55555FCE" w14:textId="77777777" w:rsidR="00537CC8" w:rsidRPr="0025250D" w:rsidRDefault="00537CC8" w:rsidP="00D335B2">
            <w:pPr>
              <w:bidi/>
              <w:spacing w:after="160"/>
              <w:jc w:val="center"/>
              <w:rPr>
                <w:rtl/>
              </w:rPr>
            </w:pPr>
            <w:r w:rsidRPr="0025250D">
              <w:t>4U</w:t>
            </w:r>
          </w:p>
        </w:tc>
        <w:tc>
          <w:tcPr>
            <w:tcW w:w="3739" w:type="dxa"/>
          </w:tcPr>
          <w:p w14:paraId="474947F7" w14:textId="77777777" w:rsidR="00537CC8" w:rsidRPr="0025250D" w:rsidRDefault="007A207F" w:rsidP="00D335B2">
            <w:pPr>
              <w:bidi/>
              <w:spacing w:after="160"/>
              <w:jc w:val="center"/>
              <w:rPr>
                <w:rtl/>
              </w:rPr>
            </w:pPr>
            <w:hyperlink r:id="rId575">
              <w:r w:rsidR="00537CC8" w:rsidRPr="0025250D">
                <w:rPr>
                  <w:rStyle w:val="Hyperlink"/>
                  <w:color w:val="auto"/>
                  <w:u w:val="none"/>
                </w:rPr>
                <w:t xml:space="preserve">Foresight University </w:t>
              </w:r>
            </w:hyperlink>
          </w:p>
        </w:tc>
      </w:tr>
      <w:tr w:rsidR="00537CC8" w:rsidRPr="0025250D" w14:paraId="0D4A9A74" w14:textId="77777777" w:rsidTr="00D335B2">
        <w:tc>
          <w:tcPr>
            <w:tcW w:w="3621" w:type="dxa"/>
          </w:tcPr>
          <w:p w14:paraId="6B91F6C6" w14:textId="77777777" w:rsidR="00537CC8" w:rsidRPr="0025250D" w:rsidRDefault="00537CC8" w:rsidP="00D335B2">
            <w:pPr>
              <w:bidi/>
              <w:spacing w:after="160"/>
              <w:jc w:val="center"/>
              <w:rPr>
                <w:rtl/>
              </w:rPr>
            </w:pPr>
            <w:r w:rsidRPr="0025250D">
              <w:t>TMP</w:t>
            </w:r>
          </w:p>
        </w:tc>
        <w:tc>
          <w:tcPr>
            <w:tcW w:w="3739" w:type="dxa"/>
          </w:tcPr>
          <w:p w14:paraId="59B4EF3B" w14:textId="77777777" w:rsidR="00537CC8" w:rsidRPr="0025250D" w:rsidRDefault="00537CC8" w:rsidP="00D335B2">
            <w:pPr>
              <w:bidi/>
              <w:spacing w:after="160"/>
              <w:jc w:val="center"/>
              <w:rPr>
                <w:rtl/>
              </w:rPr>
            </w:pPr>
            <w:r w:rsidRPr="0025250D">
              <w:t>The Millennium Project</w:t>
            </w:r>
          </w:p>
        </w:tc>
      </w:tr>
      <w:tr w:rsidR="00537CC8" w:rsidRPr="0025250D" w14:paraId="6DE73CFC" w14:textId="77777777" w:rsidTr="00D335B2">
        <w:tc>
          <w:tcPr>
            <w:tcW w:w="3621" w:type="dxa"/>
          </w:tcPr>
          <w:p w14:paraId="02141CD3" w14:textId="77777777" w:rsidR="00537CC8" w:rsidRPr="0025250D" w:rsidRDefault="00537CC8" w:rsidP="00D335B2">
            <w:pPr>
              <w:bidi/>
              <w:spacing w:after="160"/>
              <w:jc w:val="center"/>
              <w:rPr>
                <w:rtl/>
              </w:rPr>
            </w:pPr>
            <w:r w:rsidRPr="0025250D">
              <w:t>LNF</w:t>
            </w:r>
          </w:p>
        </w:tc>
        <w:tc>
          <w:tcPr>
            <w:tcW w:w="3739" w:type="dxa"/>
          </w:tcPr>
          <w:p w14:paraId="58A28578" w14:textId="77777777" w:rsidR="00537CC8" w:rsidRPr="0025250D" w:rsidRDefault="007A207F" w:rsidP="00D335B2">
            <w:pPr>
              <w:bidi/>
              <w:spacing w:after="160"/>
              <w:jc w:val="center"/>
              <w:rPr>
                <w:rtl/>
              </w:rPr>
            </w:pPr>
            <w:hyperlink r:id="rId576">
              <w:r w:rsidR="00537CC8" w:rsidRPr="0025250D">
                <w:rPr>
                  <w:rStyle w:val="Hyperlink"/>
                  <w:color w:val="auto"/>
                  <w:u w:val="none"/>
                </w:rPr>
                <w:t>Long Now Foundation</w:t>
              </w:r>
            </w:hyperlink>
          </w:p>
        </w:tc>
      </w:tr>
      <w:tr w:rsidR="00537CC8" w:rsidRPr="0025250D" w14:paraId="1265BCFB" w14:textId="77777777" w:rsidTr="00D335B2">
        <w:tc>
          <w:tcPr>
            <w:tcW w:w="3621" w:type="dxa"/>
          </w:tcPr>
          <w:p w14:paraId="5B1B9212" w14:textId="77777777" w:rsidR="00537CC8" w:rsidRPr="0025250D" w:rsidRDefault="00537CC8" w:rsidP="00D335B2">
            <w:pPr>
              <w:bidi/>
              <w:spacing w:after="160"/>
              <w:jc w:val="center"/>
              <w:rPr>
                <w:rtl/>
              </w:rPr>
            </w:pPr>
            <w:r w:rsidRPr="0025250D">
              <w:t>SU</w:t>
            </w:r>
          </w:p>
        </w:tc>
        <w:tc>
          <w:tcPr>
            <w:tcW w:w="3739" w:type="dxa"/>
          </w:tcPr>
          <w:p w14:paraId="4BBFA690" w14:textId="77777777" w:rsidR="00537CC8" w:rsidRPr="0025250D" w:rsidRDefault="007A207F" w:rsidP="00D335B2">
            <w:pPr>
              <w:bidi/>
              <w:spacing w:after="160"/>
              <w:jc w:val="center"/>
              <w:rPr>
                <w:rtl/>
              </w:rPr>
            </w:pPr>
            <w:hyperlink r:id="rId577">
              <w:r w:rsidR="00537CC8" w:rsidRPr="0025250D">
                <w:rPr>
                  <w:rStyle w:val="Hyperlink"/>
                  <w:color w:val="auto"/>
                  <w:u w:val="none"/>
                </w:rPr>
                <w:t>Singularity University</w:t>
              </w:r>
            </w:hyperlink>
          </w:p>
        </w:tc>
      </w:tr>
      <w:tr w:rsidR="00537CC8" w:rsidRPr="0025250D" w14:paraId="3994D298" w14:textId="77777777" w:rsidTr="00D335B2">
        <w:tc>
          <w:tcPr>
            <w:tcW w:w="3621" w:type="dxa"/>
          </w:tcPr>
          <w:p w14:paraId="640F946A" w14:textId="77777777" w:rsidR="00537CC8" w:rsidRPr="0025250D" w:rsidRDefault="00537CC8" w:rsidP="00D335B2">
            <w:pPr>
              <w:bidi/>
              <w:spacing w:after="160"/>
              <w:jc w:val="center"/>
              <w:rPr>
                <w:rtl/>
              </w:rPr>
            </w:pPr>
            <w:r w:rsidRPr="0025250D">
              <w:t>OEO</w:t>
            </w:r>
          </w:p>
        </w:tc>
        <w:tc>
          <w:tcPr>
            <w:tcW w:w="3739" w:type="dxa"/>
          </w:tcPr>
          <w:p w14:paraId="44BD9F4B" w14:textId="77777777" w:rsidR="00537CC8" w:rsidRPr="0025250D" w:rsidRDefault="007A207F" w:rsidP="00D335B2">
            <w:pPr>
              <w:bidi/>
              <w:spacing w:after="160"/>
              <w:jc w:val="center"/>
              <w:rPr>
                <w:rtl/>
              </w:rPr>
            </w:pPr>
            <w:hyperlink r:id="rId578">
              <w:r w:rsidR="00537CC8" w:rsidRPr="0025250D">
                <w:rPr>
                  <w:rStyle w:val="Hyperlink"/>
                  <w:color w:val="auto"/>
                  <w:u w:val="none"/>
                </w:rPr>
                <w:t>Open ExO</w:t>
              </w:r>
            </w:hyperlink>
          </w:p>
        </w:tc>
      </w:tr>
      <w:tr w:rsidR="00537CC8" w:rsidRPr="0025250D" w14:paraId="3EC959C1" w14:textId="77777777" w:rsidTr="00D335B2">
        <w:tc>
          <w:tcPr>
            <w:tcW w:w="3621" w:type="dxa"/>
          </w:tcPr>
          <w:p w14:paraId="1D5FDC99" w14:textId="77777777" w:rsidR="00537CC8" w:rsidRPr="0025250D" w:rsidRDefault="00537CC8" w:rsidP="00D335B2">
            <w:pPr>
              <w:bidi/>
              <w:spacing w:after="160"/>
              <w:jc w:val="center"/>
              <w:rPr>
                <w:rtl/>
              </w:rPr>
            </w:pPr>
            <w:r w:rsidRPr="0025250D">
              <w:t>GJO</w:t>
            </w:r>
          </w:p>
        </w:tc>
        <w:tc>
          <w:tcPr>
            <w:tcW w:w="3739" w:type="dxa"/>
          </w:tcPr>
          <w:p w14:paraId="019EA916" w14:textId="77777777" w:rsidR="00537CC8" w:rsidRPr="0025250D" w:rsidRDefault="007A207F" w:rsidP="00D335B2">
            <w:pPr>
              <w:bidi/>
              <w:spacing w:after="160"/>
              <w:jc w:val="center"/>
              <w:rPr>
                <w:rtl/>
              </w:rPr>
            </w:pPr>
            <w:hyperlink r:id="rId579">
              <w:r w:rsidR="00537CC8" w:rsidRPr="0025250D">
                <w:rPr>
                  <w:rStyle w:val="Hyperlink"/>
                  <w:color w:val="auto"/>
                  <w:u w:val="none"/>
                </w:rPr>
                <w:t>Good Judgment Open</w:t>
              </w:r>
            </w:hyperlink>
          </w:p>
        </w:tc>
      </w:tr>
      <w:tr w:rsidR="00537CC8" w:rsidRPr="0025250D" w14:paraId="7F98F128" w14:textId="77777777" w:rsidTr="00D335B2">
        <w:tc>
          <w:tcPr>
            <w:tcW w:w="3621" w:type="dxa"/>
          </w:tcPr>
          <w:p w14:paraId="4D8513C3" w14:textId="77777777" w:rsidR="00537CC8" w:rsidRPr="0025250D" w:rsidRDefault="00537CC8" w:rsidP="00D335B2">
            <w:pPr>
              <w:bidi/>
              <w:spacing w:after="160"/>
              <w:jc w:val="center"/>
            </w:pPr>
            <w:r w:rsidRPr="0025250D">
              <w:t>WFS</w:t>
            </w:r>
          </w:p>
        </w:tc>
        <w:tc>
          <w:tcPr>
            <w:tcW w:w="3739" w:type="dxa"/>
          </w:tcPr>
          <w:p w14:paraId="0553EC32" w14:textId="77777777" w:rsidR="00537CC8" w:rsidRPr="0025250D" w:rsidRDefault="007A207F" w:rsidP="00D335B2">
            <w:pPr>
              <w:bidi/>
              <w:spacing w:after="160"/>
              <w:jc w:val="center"/>
            </w:pPr>
            <w:hyperlink r:id="rId580">
              <w:r w:rsidR="00537CC8" w:rsidRPr="0025250D">
                <w:rPr>
                  <w:rStyle w:val="Hyperlink"/>
                  <w:color w:val="auto"/>
                  <w:u w:val="none"/>
                </w:rPr>
                <w:t xml:space="preserve">World Future Society </w:t>
              </w:r>
            </w:hyperlink>
          </w:p>
        </w:tc>
      </w:tr>
      <w:tr w:rsidR="00537CC8" w:rsidRPr="0025250D" w14:paraId="77039933" w14:textId="77777777" w:rsidTr="00D335B2">
        <w:tc>
          <w:tcPr>
            <w:tcW w:w="3621" w:type="dxa"/>
          </w:tcPr>
          <w:p w14:paraId="2968982C" w14:textId="77777777" w:rsidR="00537CC8" w:rsidRPr="0025250D" w:rsidRDefault="00537CC8" w:rsidP="00D335B2">
            <w:pPr>
              <w:bidi/>
              <w:spacing w:after="160"/>
              <w:jc w:val="center"/>
            </w:pPr>
            <w:r w:rsidRPr="0025250D">
              <w:t>WFSF</w:t>
            </w:r>
          </w:p>
        </w:tc>
        <w:tc>
          <w:tcPr>
            <w:tcW w:w="3739" w:type="dxa"/>
          </w:tcPr>
          <w:p w14:paraId="2CA2A794" w14:textId="77777777" w:rsidR="00537CC8" w:rsidRPr="0025250D" w:rsidRDefault="00537CC8" w:rsidP="00D335B2">
            <w:pPr>
              <w:bidi/>
              <w:spacing w:after="160"/>
              <w:jc w:val="center"/>
            </w:pPr>
            <w:r w:rsidRPr="0025250D">
              <w:t>World Futures Studies Federation</w:t>
            </w:r>
          </w:p>
        </w:tc>
      </w:tr>
      <w:tr w:rsidR="00537CC8" w:rsidRPr="0025250D" w14:paraId="287E7BC3" w14:textId="77777777" w:rsidTr="00D335B2">
        <w:tc>
          <w:tcPr>
            <w:tcW w:w="3621" w:type="dxa"/>
          </w:tcPr>
          <w:p w14:paraId="601941D2" w14:textId="77777777" w:rsidR="00537CC8" w:rsidRPr="0025250D" w:rsidRDefault="00537CC8" w:rsidP="00D335B2">
            <w:pPr>
              <w:bidi/>
              <w:spacing w:after="160"/>
              <w:jc w:val="center"/>
            </w:pPr>
            <w:r w:rsidRPr="0025250D">
              <w:t>IFF</w:t>
            </w:r>
          </w:p>
        </w:tc>
        <w:tc>
          <w:tcPr>
            <w:tcW w:w="3739" w:type="dxa"/>
          </w:tcPr>
          <w:p w14:paraId="43FEFEB7" w14:textId="77777777" w:rsidR="00537CC8" w:rsidRPr="0025250D" w:rsidRDefault="00537CC8" w:rsidP="00D335B2">
            <w:pPr>
              <w:bidi/>
              <w:spacing w:after="160"/>
              <w:jc w:val="center"/>
            </w:pPr>
            <w:r w:rsidRPr="0025250D">
              <w:t>International Futures Forum</w:t>
            </w:r>
          </w:p>
        </w:tc>
      </w:tr>
    </w:tbl>
    <w:p w14:paraId="175EB40B" w14:textId="61D604A0" w:rsidR="00537CC8" w:rsidRPr="0025250D" w:rsidRDefault="00537CC8" w:rsidP="00537CC8">
      <w:pPr>
        <w:rPr>
          <w:rtl/>
        </w:rPr>
      </w:pPr>
    </w:p>
    <w:p w14:paraId="6A7C5FA4" w14:textId="682E5041" w:rsidR="006D03B2" w:rsidRPr="0025250D" w:rsidRDefault="006D03B2" w:rsidP="00537CC8">
      <w:pPr>
        <w:rPr>
          <w:rtl/>
        </w:rPr>
      </w:pPr>
      <w:r w:rsidRPr="0025250D">
        <w:rPr>
          <w:rtl/>
        </w:rPr>
        <w:t>تعداد</w:t>
      </w:r>
      <w:r w:rsidRPr="0025250D">
        <w:rPr>
          <w:rFonts w:hint="cs"/>
          <w:rtl/>
        </w:rPr>
        <w:t>ی</w:t>
      </w:r>
      <w:r w:rsidRPr="0025250D">
        <w:rPr>
          <w:rtl/>
        </w:rPr>
        <w:t xml:space="preserve"> از پلتفرم‌ها</w:t>
      </w:r>
      <w:r w:rsidRPr="0025250D">
        <w:rPr>
          <w:rFonts w:hint="cs"/>
          <w:rtl/>
        </w:rPr>
        <w:t>ی</w:t>
      </w:r>
      <w:r w:rsidRPr="0025250D">
        <w:rPr>
          <w:rtl/>
        </w:rPr>
        <w:t xml:space="preserve"> </w:t>
      </w:r>
      <w:r w:rsidR="00D92F6E" w:rsidRPr="0025250D">
        <w:rPr>
          <w:rFonts w:hint="cs"/>
          <w:b/>
          <w:bCs/>
          <w:rtl/>
        </w:rPr>
        <w:t>آینده‌نگاری</w:t>
      </w:r>
      <w:r w:rsidRPr="0025250D">
        <w:rPr>
          <w:rtl/>
        </w:rPr>
        <w:t xml:space="preserve"> </w:t>
      </w:r>
      <w:r w:rsidRPr="0025250D">
        <w:rPr>
          <w:rFonts w:hint="cs"/>
          <w:rtl/>
        </w:rPr>
        <w:t>مبتنی بر همکاری</w:t>
      </w:r>
      <w:r w:rsidRPr="0025250D">
        <w:rPr>
          <w:rFonts w:hint="eastAsia"/>
          <w:rtl/>
        </w:rPr>
        <w:t>،</w:t>
      </w:r>
      <w:r w:rsidRPr="0025250D">
        <w:rPr>
          <w:rtl/>
        </w:rPr>
        <w:t xml:space="preserve"> از جمله </w:t>
      </w:r>
      <w:r w:rsidR="00B124DE" w:rsidRPr="0025250D">
        <w:rPr>
          <w:rFonts w:hint="cs"/>
          <w:rtl/>
        </w:rPr>
        <w:t>شکل‌دهی</w:t>
      </w:r>
      <w:r w:rsidRPr="0025250D">
        <w:rPr>
          <w:rFonts w:hint="cs"/>
          <w:rtl/>
        </w:rPr>
        <w:t xml:space="preserve"> فردا</w:t>
      </w:r>
      <w:r w:rsidRPr="0025250D">
        <w:rPr>
          <w:rtl/>
        </w:rPr>
        <w:t xml:space="preserve"> و </w:t>
      </w:r>
      <w:r w:rsidRPr="0025250D">
        <w:rPr>
          <w:rFonts w:hint="cs"/>
          <w:rtl/>
        </w:rPr>
        <w:t>ویکی استرات</w:t>
      </w:r>
      <w:r w:rsidRPr="0025250D">
        <w:rPr>
          <w:rtl/>
        </w:rPr>
        <w:t xml:space="preserve"> ن</w:t>
      </w:r>
      <w:r w:rsidRPr="0025250D">
        <w:rPr>
          <w:rFonts w:hint="cs"/>
          <w:rtl/>
        </w:rPr>
        <w:t>ی</w:t>
      </w:r>
      <w:r w:rsidRPr="0025250D">
        <w:rPr>
          <w:rFonts w:hint="eastAsia"/>
          <w:rtl/>
        </w:rPr>
        <w:t>ز</w:t>
      </w:r>
      <w:r w:rsidRPr="0025250D">
        <w:rPr>
          <w:rtl/>
        </w:rPr>
        <w:t xml:space="preserve"> شا</w:t>
      </w:r>
      <w:r w:rsidRPr="0025250D">
        <w:rPr>
          <w:rFonts w:hint="cs"/>
          <w:rtl/>
        </w:rPr>
        <w:t>ی</w:t>
      </w:r>
      <w:r w:rsidRPr="0025250D">
        <w:rPr>
          <w:rFonts w:hint="eastAsia"/>
          <w:rtl/>
        </w:rPr>
        <w:t>سته</w:t>
      </w:r>
      <w:r w:rsidRPr="0025250D">
        <w:rPr>
          <w:rtl/>
        </w:rPr>
        <w:t xml:space="preserve"> </w:t>
      </w:r>
      <w:r w:rsidRPr="0025250D">
        <w:rPr>
          <w:rFonts w:hint="cs"/>
          <w:rtl/>
        </w:rPr>
        <w:t>تقدیر هستند</w:t>
      </w:r>
      <w:r w:rsidRPr="0025250D">
        <w:rPr>
          <w:rtl/>
        </w:rPr>
        <w:t>. پلتفرم‌ها</w:t>
      </w:r>
      <w:r w:rsidRPr="0025250D">
        <w:rPr>
          <w:rFonts w:hint="cs"/>
          <w:rtl/>
        </w:rPr>
        <w:t>ی</w:t>
      </w:r>
      <w:r w:rsidRPr="0025250D">
        <w:rPr>
          <w:rtl/>
        </w:rPr>
        <w:t xml:space="preserve"> آنها م</w:t>
      </w:r>
      <w:r w:rsidRPr="0025250D">
        <w:rPr>
          <w:rFonts w:hint="cs"/>
          <w:rtl/>
        </w:rPr>
        <w:t>ی‌</w:t>
      </w:r>
      <w:r w:rsidRPr="0025250D">
        <w:rPr>
          <w:rFonts w:hint="eastAsia"/>
          <w:rtl/>
        </w:rPr>
        <w:t>تواند</w:t>
      </w:r>
      <w:r w:rsidRPr="0025250D">
        <w:rPr>
          <w:rtl/>
        </w:rPr>
        <w:t xml:space="preserve"> مکان‌ها</w:t>
      </w:r>
      <w:r w:rsidRPr="0025250D">
        <w:rPr>
          <w:rFonts w:hint="cs"/>
          <w:rtl/>
        </w:rPr>
        <w:t>یی</w:t>
      </w:r>
      <w:r w:rsidRPr="0025250D">
        <w:rPr>
          <w:rtl/>
        </w:rPr>
        <w:t xml:space="preserve"> عال</w:t>
      </w:r>
      <w:r w:rsidRPr="0025250D">
        <w:rPr>
          <w:rFonts w:hint="cs"/>
          <w:rtl/>
        </w:rPr>
        <w:t>ی</w:t>
      </w:r>
      <w:r w:rsidRPr="0025250D">
        <w:rPr>
          <w:rtl/>
        </w:rPr>
        <w:t xml:space="preserve"> برا</w:t>
      </w:r>
      <w:r w:rsidRPr="0025250D">
        <w:rPr>
          <w:rFonts w:hint="cs"/>
          <w:rtl/>
        </w:rPr>
        <w:t>ی</w:t>
      </w:r>
      <w:r w:rsidRPr="0025250D">
        <w:rPr>
          <w:rtl/>
        </w:rPr>
        <w:t xml:space="preserve"> تمر</w:t>
      </w:r>
      <w:r w:rsidRPr="0025250D">
        <w:rPr>
          <w:rFonts w:hint="cs"/>
          <w:rtl/>
        </w:rPr>
        <w:t>ی</w:t>
      </w:r>
      <w:r w:rsidRPr="0025250D">
        <w:rPr>
          <w:rFonts w:hint="eastAsia"/>
          <w:rtl/>
        </w:rPr>
        <w:t>ن</w:t>
      </w:r>
      <w:r w:rsidRPr="0025250D">
        <w:rPr>
          <w:rtl/>
        </w:rPr>
        <w:t xml:space="preserve">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در محل کار و توسعه </w:t>
      </w:r>
      <w:r w:rsidRPr="0025250D">
        <w:rPr>
          <w:rFonts w:hint="cs"/>
          <w:rtl/>
        </w:rPr>
        <w:t>تخصصی</w:t>
      </w:r>
      <w:r w:rsidRPr="0025250D">
        <w:rPr>
          <w:rtl/>
        </w:rPr>
        <w:t xml:space="preserve"> باشد</w:t>
      </w:r>
      <w:r w:rsidRPr="0025250D">
        <w:rPr>
          <w:rFonts w:hint="cs"/>
          <w:rtl/>
        </w:rPr>
        <w:t>.</w:t>
      </w:r>
    </w:p>
    <w:p w14:paraId="572298CD" w14:textId="0BF5F411" w:rsidR="006D03B2" w:rsidRPr="0025250D" w:rsidRDefault="006D03B2" w:rsidP="00537CC8">
      <w:pPr>
        <w:rPr>
          <w:rtl/>
        </w:rPr>
      </w:pPr>
      <w:r w:rsidRPr="0025250D">
        <w:rPr>
          <w:rtl/>
        </w:rPr>
        <w:t>آ</w:t>
      </w:r>
      <w:r w:rsidRPr="0025250D">
        <w:rPr>
          <w:rFonts w:hint="cs"/>
          <w:rtl/>
        </w:rPr>
        <w:t>ی</w:t>
      </w:r>
      <w:r w:rsidRPr="0025250D">
        <w:rPr>
          <w:rFonts w:hint="eastAsia"/>
          <w:rtl/>
        </w:rPr>
        <w:t>ا</w:t>
      </w:r>
      <w:r w:rsidRPr="0025250D">
        <w:rPr>
          <w:rtl/>
        </w:rPr>
        <w:t xml:space="preserve"> جوامع پ</w:t>
      </w:r>
      <w:r w:rsidRPr="0025250D">
        <w:rPr>
          <w:rFonts w:hint="cs"/>
          <w:rtl/>
        </w:rPr>
        <w:t>ی</w:t>
      </w:r>
      <w:r w:rsidRPr="0025250D">
        <w:rPr>
          <w:rFonts w:hint="eastAsia"/>
          <w:rtl/>
        </w:rPr>
        <w:t>شرو</w:t>
      </w:r>
      <w:r w:rsidRPr="0025250D">
        <w:rPr>
          <w:rtl/>
        </w:rPr>
        <w:t xml:space="preserve"> د</w:t>
      </w:r>
      <w:r w:rsidRPr="0025250D">
        <w:rPr>
          <w:rFonts w:hint="cs"/>
          <w:rtl/>
        </w:rPr>
        <w:t>ی</w:t>
      </w:r>
      <w:r w:rsidRPr="0025250D">
        <w:rPr>
          <w:rFonts w:hint="eastAsia"/>
          <w:rtl/>
        </w:rPr>
        <w:t>گر</w:t>
      </w:r>
      <w:r w:rsidRPr="0025250D">
        <w:rPr>
          <w:rFonts w:hint="cs"/>
          <w:rtl/>
        </w:rPr>
        <w:t>ی</w:t>
      </w:r>
      <w:r w:rsidRPr="0025250D">
        <w:rPr>
          <w:rtl/>
        </w:rPr>
        <w:t xml:space="preserve"> را م</w:t>
      </w:r>
      <w:r w:rsidRPr="0025250D">
        <w:rPr>
          <w:rFonts w:hint="cs"/>
          <w:rtl/>
        </w:rPr>
        <w:t>ی</w:t>
      </w:r>
      <w:r w:rsidRPr="0025250D">
        <w:rPr>
          <w:rtl/>
        </w:rPr>
        <w:t xml:space="preserve"> شناس</w:t>
      </w:r>
      <w:r w:rsidRPr="0025250D">
        <w:rPr>
          <w:rFonts w:hint="cs"/>
          <w:rtl/>
        </w:rPr>
        <w:t>ی</w:t>
      </w:r>
      <w:r w:rsidRPr="0025250D">
        <w:rPr>
          <w:rFonts w:hint="eastAsia"/>
          <w:rtl/>
        </w:rPr>
        <w:t>د</w:t>
      </w:r>
      <w:r w:rsidRPr="0025250D">
        <w:rPr>
          <w:rtl/>
        </w:rPr>
        <w:t xml:space="preserve"> که </w:t>
      </w:r>
      <w:r w:rsidR="00D92F6E" w:rsidRPr="0025250D">
        <w:rPr>
          <w:rtl/>
        </w:rPr>
        <w:t>آینده‌نگاری</w:t>
      </w:r>
      <w:r w:rsidRPr="0025250D">
        <w:rPr>
          <w:rtl/>
        </w:rPr>
        <w:t xml:space="preserve"> جامع را در سراسر جهان بهبود م</w:t>
      </w:r>
      <w:r w:rsidRPr="0025250D">
        <w:rPr>
          <w:rFonts w:hint="cs"/>
          <w:rtl/>
        </w:rPr>
        <w:t>ی</w:t>
      </w:r>
      <w:r w:rsidRPr="0025250D">
        <w:rPr>
          <w:rtl/>
        </w:rPr>
        <w:t xml:space="preserve"> بخشند؟ به ما اطلاع ده</w:t>
      </w:r>
      <w:r w:rsidRPr="0025250D">
        <w:rPr>
          <w:rFonts w:hint="cs"/>
          <w:rtl/>
        </w:rPr>
        <w:t>ی</w:t>
      </w:r>
      <w:r w:rsidRPr="0025250D">
        <w:rPr>
          <w:rFonts w:hint="eastAsia"/>
          <w:rtl/>
        </w:rPr>
        <w:t>د،</w:t>
      </w:r>
      <w:r w:rsidRPr="0025250D">
        <w:rPr>
          <w:rtl/>
        </w:rPr>
        <w:t xml:space="preserve"> ما دوست دار</w:t>
      </w:r>
      <w:r w:rsidRPr="0025250D">
        <w:rPr>
          <w:rFonts w:hint="cs"/>
          <w:rtl/>
        </w:rPr>
        <w:t>ی</w:t>
      </w:r>
      <w:r w:rsidRPr="0025250D">
        <w:rPr>
          <w:rFonts w:hint="eastAsia"/>
          <w:rtl/>
        </w:rPr>
        <w:t>م</w:t>
      </w:r>
      <w:r w:rsidRPr="0025250D">
        <w:rPr>
          <w:rtl/>
        </w:rPr>
        <w:t xml:space="preserve"> بعداً ا</w:t>
      </w:r>
      <w:r w:rsidRPr="0025250D">
        <w:rPr>
          <w:rFonts w:hint="cs"/>
          <w:rtl/>
        </w:rPr>
        <w:t>ی</w:t>
      </w:r>
      <w:r w:rsidRPr="0025250D">
        <w:rPr>
          <w:rFonts w:hint="eastAsia"/>
          <w:rtl/>
        </w:rPr>
        <w:t>ن</w:t>
      </w:r>
      <w:r w:rsidRPr="0025250D">
        <w:rPr>
          <w:rFonts w:hint="cs"/>
          <w:rtl/>
        </w:rPr>
        <w:t xml:space="preserve"> موارد</w:t>
      </w:r>
      <w:r w:rsidRPr="0025250D">
        <w:rPr>
          <w:rtl/>
        </w:rPr>
        <w:t xml:space="preserve"> را به ل</w:t>
      </w:r>
      <w:r w:rsidRPr="0025250D">
        <w:rPr>
          <w:rFonts w:hint="cs"/>
          <w:rtl/>
        </w:rPr>
        <w:t>ی</w:t>
      </w:r>
      <w:r w:rsidRPr="0025250D">
        <w:rPr>
          <w:rFonts w:hint="eastAsia"/>
          <w:rtl/>
        </w:rPr>
        <w:t>ست</w:t>
      </w:r>
      <w:r w:rsidRPr="0025250D">
        <w:rPr>
          <w:rtl/>
        </w:rPr>
        <w:t xml:space="preserve"> ب</w:t>
      </w:r>
      <w:r w:rsidRPr="0025250D">
        <w:rPr>
          <w:rFonts w:hint="cs"/>
          <w:rtl/>
        </w:rPr>
        <w:t>ی</w:t>
      </w:r>
      <w:r w:rsidRPr="0025250D">
        <w:rPr>
          <w:rFonts w:hint="eastAsia"/>
          <w:rtl/>
        </w:rPr>
        <w:t>ست</w:t>
      </w:r>
      <w:r w:rsidRPr="0025250D">
        <w:rPr>
          <w:rtl/>
        </w:rPr>
        <w:t xml:space="preserve"> </w:t>
      </w:r>
      <w:r w:rsidRPr="0025250D">
        <w:rPr>
          <w:rFonts w:hint="cs"/>
          <w:rtl/>
        </w:rPr>
        <w:t xml:space="preserve">مورد </w:t>
      </w:r>
      <w:r w:rsidRPr="0025250D">
        <w:rPr>
          <w:rtl/>
        </w:rPr>
        <w:t>برتر تبد</w:t>
      </w:r>
      <w:r w:rsidRPr="0025250D">
        <w:rPr>
          <w:rFonts w:hint="cs"/>
          <w:rtl/>
        </w:rPr>
        <w:t>ی</w:t>
      </w:r>
      <w:r w:rsidRPr="0025250D">
        <w:rPr>
          <w:rFonts w:hint="eastAsia"/>
          <w:rtl/>
        </w:rPr>
        <w:t>ل</w:t>
      </w:r>
      <w:r w:rsidRPr="0025250D">
        <w:rPr>
          <w:rtl/>
        </w:rPr>
        <w:t xml:space="preserve"> کن</w:t>
      </w:r>
      <w:r w:rsidRPr="0025250D">
        <w:rPr>
          <w:rFonts w:hint="cs"/>
          <w:rtl/>
        </w:rPr>
        <w:t>ی</w:t>
      </w:r>
      <w:r w:rsidRPr="0025250D">
        <w:rPr>
          <w:rFonts w:hint="eastAsia"/>
          <w:rtl/>
        </w:rPr>
        <w:t>م</w:t>
      </w:r>
      <w:r w:rsidRPr="0025250D">
        <w:rPr>
          <w:rtl/>
        </w:rPr>
        <w:t>.</w:t>
      </w:r>
    </w:p>
    <w:p w14:paraId="72622D17" w14:textId="594DE4B8" w:rsidR="006D03B2" w:rsidRPr="0025250D" w:rsidRDefault="006D03B2" w:rsidP="00537CC8">
      <w:pPr>
        <w:rPr>
          <w:rtl/>
        </w:rPr>
      </w:pPr>
      <w:r w:rsidRPr="0025250D">
        <w:rPr>
          <w:rtl/>
        </w:rPr>
        <w:t>با تشکر از شما برا</w:t>
      </w:r>
      <w:r w:rsidRPr="0025250D">
        <w:rPr>
          <w:rFonts w:hint="cs"/>
          <w:rtl/>
        </w:rPr>
        <w:t>ی</w:t>
      </w:r>
      <w:r w:rsidRPr="0025250D">
        <w:rPr>
          <w:rtl/>
        </w:rPr>
        <w:t xml:space="preserve"> </w:t>
      </w:r>
      <w:r w:rsidRPr="0025250D">
        <w:rPr>
          <w:rFonts w:hint="cs"/>
          <w:rtl/>
        </w:rPr>
        <w:t>مطالعه</w:t>
      </w:r>
    </w:p>
    <w:p w14:paraId="1C4C3D3D" w14:textId="1A6FB71F" w:rsidR="006D03B2" w:rsidRPr="0025250D" w:rsidRDefault="006D03B2" w:rsidP="006D03B2">
      <w:pPr>
        <w:rPr>
          <w:rtl/>
        </w:rPr>
      </w:pPr>
      <w:r w:rsidRPr="0025250D">
        <w:rPr>
          <w:rtl/>
        </w:rPr>
        <w:t>ما برا</w:t>
      </w:r>
      <w:r w:rsidRPr="0025250D">
        <w:rPr>
          <w:rFonts w:hint="cs"/>
          <w:rtl/>
        </w:rPr>
        <w:t>ی</w:t>
      </w:r>
      <w:r w:rsidRPr="0025250D">
        <w:rPr>
          <w:rtl/>
        </w:rPr>
        <w:t xml:space="preserve"> شما زندگ</w:t>
      </w:r>
      <w:r w:rsidRPr="0025250D">
        <w:rPr>
          <w:rFonts w:hint="cs"/>
          <w:rtl/>
        </w:rPr>
        <w:t>ی ای</w:t>
      </w:r>
      <w:r w:rsidRPr="0025250D">
        <w:rPr>
          <w:rtl/>
        </w:rPr>
        <w:t xml:space="preserve"> خوب، با مقصدها</w:t>
      </w:r>
      <w:r w:rsidRPr="0025250D">
        <w:rPr>
          <w:rFonts w:hint="cs"/>
          <w:rtl/>
        </w:rPr>
        <w:t>ی</w:t>
      </w:r>
      <w:r w:rsidRPr="0025250D">
        <w:rPr>
          <w:rtl/>
        </w:rPr>
        <w:t xml:space="preserve"> صادقانه و سفرها</w:t>
      </w:r>
      <w:r w:rsidRPr="0025250D">
        <w:rPr>
          <w:rFonts w:hint="cs"/>
          <w:rtl/>
        </w:rPr>
        <w:t>ی</w:t>
      </w:r>
      <w:r w:rsidRPr="0025250D">
        <w:rPr>
          <w:rtl/>
        </w:rPr>
        <w:t xml:space="preserve"> ز</w:t>
      </w:r>
      <w:r w:rsidRPr="0025250D">
        <w:rPr>
          <w:rFonts w:hint="cs"/>
          <w:rtl/>
        </w:rPr>
        <w:t>ی</w:t>
      </w:r>
      <w:r w:rsidRPr="0025250D">
        <w:rPr>
          <w:rFonts w:hint="eastAsia"/>
          <w:rtl/>
        </w:rPr>
        <w:t>با</w:t>
      </w:r>
      <w:r w:rsidRPr="0025250D">
        <w:rPr>
          <w:rtl/>
        </w:rPr>
        <w:t xml:space="preserve"> آرزو</w:t>
      </w:r>
      <w:r w:rsidRPr="0025250D">
        <w:rPr>
          <w:rFonts w:hint="cs"/>
          <w:rtl/>
        </w:rPr>
        <w:t>ی</w:t>
      </w:r>
      <w:r w:rsidRPr="0025250D">
        <w:rPr>
          <w:rtl/>
        </w:rPr>
        <w:t xml:space="preserve"> دار</w:t>
      </w:r>
      <w:r w:rsidRPr="0025250D">
        <w:rPr>
          <w:rFonts w:hint="cs"/>
          <w:rtl/>
        </w:rPr>
        <w:t>ی</w:t>
      </w:r>
      <w:r w:rsidRPr="0025250D">
        <w:rPr>
          <w:rFonts w:hint="eastAsia"/>
          <w:rtl/>
        </w:rPr>
        <w:t>م</w:t>
      </w:r>
      <w:r w:rsidRPr="0025250D">
        <w:rPr>
          <w:rtl/>
        </w:rPr>
        <w:t>.</w:t>
      </w:r>
    </w:p>
    <w:p w14:paraId="4AD0F202" w14:textId="06E29837" w:rsidR="006D03B2" w:rsidRPr="0025250D" w:rsidRDefault="006D03B2" w:rsidP="006D03B2">
      <w:pPr>
        <w:rPr>
          <w:rtl/>
        </w:rPr>
      </w:pPr>
    </w:p>
    <w:p w14:paraId="3DF61813" w14:textId="3B76435D" w:rsidR="006D03B2" w:rsidRPr="0025250D" w:rsidRDefault="006D03B2" w:rsidP="006D03B2">
      <w:pPr>
        <w:pStyle w:val="Heading1"/>
        <w:rPr>
          <w:szCs w:val="28"/>
          <w:rtl/>
        </w:rPr>
      </w:pPr>
      <w:bookmarkStart w:id="97" w:name="_Toc127831361"/>
      <w:r w:rsidRPr="0025250D">
        <w:rPr>
          <w:szCs w:val="28"/>
          <w:rtl/>
        </w:rPr>
        <w:t>درباره</w:t>
      </w:r>
      <w:r w:rsidR="00D335B2" w:rsidRPr="0025250D">
        <w:rPr>
          <w:rFonts w:hint="cs"/>
          <w:szCs w:val="28"/>
          <w:rtl/>
        </w:rPr>
        <w:t xml:space="preserve"> ما</w:t>
      </w:r>
      <w:r w:rsidRPr="0025250D">
        <w:rPr>
          <w:szCs w:val="28"/>
          <w:rtl/>
        </w:rPr>
        <w:t xml:space="preserve"> و </w:t>
      </w:r>
      <w:r w:rsidRPr="0025250D">
        <w:rPr>
          <w:rFonts w:hint="cs"/>
          <w:szCs w:val="28"/>
          <w:rtl/>
        </w:rPr>
        <w:t>زندگی نامه</w:t>
      </w:r>
      <w:r w:rsidR="00A07BC9" w:rsidRPr="0025250D">
        <w:rPr>
          <w:rFonts w:hint="cs"/>
          <w:szCs w:val="28"/>
          <w:rtl/>
        </w:rPr>
        <w:t>‌</w:t>
      </w:r>
      <w:r w:rsidRPr="0025250D">
        <w:rPr>
          <w:rFonts w:hint="cs"/>
          <w:szCs w:val="28"/>
          <w:rtl/>
        </w:rPr>
        <w:t>ها</w:t>
      </w:r>
      <w:bookmarkEnd w:id="97"/>
    </w:p>
    <w:p w14:paraId="7654E09B" w14:textId="77777777" w:rsidR="006D03B2" w:rsidRPr="0025250D" w:rsidRDefault="006D03B2" w:rsidP="006D03B2">
      <w:pPr>
        <w:rPr>
          <w:rtl/>
        </w:rPr>
      </w:pPr>
    </w:p>
    <w:p w14:paraId="07DE3CE1" w14:textId="77777777" w:rsidR="006D03B2" w:rsidRPr="0025250D" w:rsidRDefault="006D03B2" w:rsidP="006D03B2">
      <w:pPr>
        <w:rPr>
          <w:rtl/>
        </w:rPr>
      </w:pPr>
    </w:p>
    <w:p w14:paraId="33F68043" w14:textId="36EB9F1E" w:rsidR="006D03B2" w:rsidRPr="0025250D" w:rsidRDefault="006D03B2" w:rsidP="006D03B2">
      <w:pPr>
        <w:pStyle w:val="Heading2"/>
        <w:rPr>
          <w:rtl/>
        </w:rPr>
      </w:pPr>
      <w:bookmarkStart w:id="98" w:name="_Toc127831362"/>
      <w:r w:rsidRPr="0025250D">
        <w:rPr>
          <w:rtl/>
        </w:rPr>
        <w:t xml:space="preserve">دانشگاه </w:t>
      </w:r>
      <w:r w:rsidR="00D92F6E" w:rsidRPr="0025250D">
        <w:rPr>
          <w:rtl/>
        </w:rPr>
        <w:t>آینده‌نگاری</w:t>
      </w:r>
      <w:r w:rsidRPr="0025250D">
        <w:rPr>
          <w:rtl/>
        </w:rPr>
        <w:t xml:space="preserve"> چ</w:t>
      </w:r>
      <w:r w:rsidRPr="0025250D">
        <w:rPr>
          <w:rFonts w:hint="cs"/>
          <w:rtl/>
        </w:rPr>
        <w:t>ی</w:t>
      </w:r>
      <w:r w:rsidRPr="0025250D">
        <w:rPr>
          <w:rFonts w:hint="eastAsia"/>
          <w:rtl/>
        </w:rPr>
        <w:t>ست؟</w:t>
      </w:r>
      <w:bookmarkEnd w:id="98"/>
    </w:p>
    <w:p w14:paraId="6101FD25" w14:textId="10A1F1AB" w:rsidR="006D03B2" w:rsidRPr="0025250D" w:rsidRDefault="001411D3" w:rsidP="001411D3">
      <w:pPr>
        <w:rPr>
          <w:rtl/>
        </w:rPr>
      </w:pPr>
      <w:r w:rsidRPr="0025250D">
        <w:rPr>
          <w:rtl/>
        </w:rPr>
        <w:t>دانشگاه آ</w:t>
      </w:r>
      <w:r w:rsidRPr="0025250D">
        <w:rPr>
          <w:rFonts w:hint="cs"/>
          <w:rtl/>
        </w:rPr>
        <w:t>ی</w:t>
      </w:r>
      <w:r w:rsidRPr="0025250D">
        <w:rPr>
          <w:rFonts w:hint="eastAsia"/>
          <w:rtl/>
        </w:rPr>
        <w:t>نده‌نگر</w:t>
      </w:r>
      <w:r w:rsidRPr="0025250D">
        <w:rPr>
          <w:rFonts w:hint="cs"/>
          <w:rtl/>
        </w:rPr>
        <w:t>ی</w:t>
      </w:r>
      <w:r w:rsidRPr="0025250D">
        <w:rPr>
          <w:rtl/>
        </w:rPr>
        <w:t xml:space="preserve"> (</w:t>
      </w:r>
      <w:r w:rsidRPr="0025250D">
        <w:t>4U</w:t>
      </w:r>
      <w:r w:rsidRPr="0025250D">
        <w:rPr>
          <w:rtl/>
        </w:rPr>
        <w:t>) بخش رسانه و آموزش بن</w:t>
      </w:r>
      <w:r w:rsidRPr="0025250D">
        <w:rPr>
          <w:rFonts w:hint="cs"/>
          <w:rtl/>
        </w:rPr>
        <w:t>ی</w:t>
      </w:r>
      <w:r w:rsidRPr="0025250D">
        <w:rPr>
          <w:rFonts w:hint="eastAsia"/>
          <w:rtl/>
        </w:rPr>
        <w:t>اد</w:t>
      </w:r>
      <w:r w:rsidRPr="0025250D">
        <w:rPr>
          <w:rtl/>
        </w:rPr>
        <w:t xml:space="preserve"> مطالعات </w:t>
      </w:r>
      <w:r w:rsidR="007B3B35" w:rsidRPr="0025250D">
        <w:rPr>
          <w:rtl/>
        </w:rPr>
        <w:t>شتاب‌گیر</w:t>
      </w:r>
      <w:r w:rsidRPr="0025250D">
        <w:rPr>
          <w:rFonts w:hint="cs"/>
          <w:rtl/>
        </w:rPr>
        <w:t>نده</w:t>
      </w:r>
      <w:r w:rsidRPr="0025250D">
        <w:rPr>
          <w:rtl/>
        </w:rPr>
        <w:t xml:space="preserve"> (</w:t>
      </w:r>
      <w:r w:rsidRPr="0025250D">
        <w:t>ASF</w:t>
      </w:r>
      <w:r w:rsidRPr="0025250D">
        <w:rPr>
          <w:rtl/>
        </w:rPr>
        <w:t xml:space="preserve">)، </w:t>
      </w:r>
      <w:r w:rsidRPr="0025250D">
        <w:rPr>
          <w:rFonts w:hint="cs"/>
          <w:rtl/>
        </w:rPr>
        <w:t>ی</w:t>
      </w:r>
      <w:r w:rsidRPr="0025250D">
        <w:rPr>
          <w:rFonts w:hint="eastAsia"/>
          <w:rtl/>
        </w:rPr>
        <w:t>ک</w:t>
      </w:r>
      <w:r w:rsidRPr="0025250D">
        <w:rPr>
          <w:rtl/>
        </w:rPr>
        <w:t xml:space="preserve"> سازمان غ</w:t>
      </w:r>
      <w:r w:rsidRPr="0025250D">
        <w:rPr>
          <w:rFonts w:hint="cs"/>
          <w:rtl/>
        </w:rPr>
        <w:t>ی</w:t>
      </w:r>
      <w:r w:rsidRPr="0025250D">
        <w:rPr>
          <w:rFonts w:hint="eastAsia"/>
          <w:rtl/>
        </w:rPr>
        <w:t>رانتفاع</w:t>
      </w:r>
      <w:r w:rsidRPr="0025250D">
        <w:rPr>
          <w:rFonts w:hint="cs"/>
          <w:rtl/>
        </w:rPr>
        <w:t>ی</w:t>
      </w:r>
      <w:r w:rsidRPr="0025250D">
        <w:rPr>
          <w:rtl/>
        </w:rPr>
        <w:t xml:space="preserve"> 501</w:t>
      </w:r>
      <w:r w:rsidRPr="0025250D">
        <w:t>c3</w:t>
      </w:r>
      <w:r w:rsidRPr="0025250D">
        <w:rPr>
          <w:rtl/>
        </w:rPr>
        <w:t xml:space="preserve"> است که برا</w:t>
      </w:r>
      <w:r w:rsidRPr="0025250D">
        <w:rPr>
          <w:rFonts w:hint="cs"/>
          <w:rtl/>
        </w:rPr>
        <w:t>ی</w:t>
      </w:r>
      <w:r w:rsidRPr="0025250D">
        <w:rPr>
          <w:rtl/>
        </w:rPr>
        <w:t xml:space="preserve"> بهبود مطالعه و مد</w:t>
      </w:r>
      <w:r w:rsidRPr="0025250D">
        <w:rPr>
          <w:rFonts w:hint="cs"/>
          <w:rtl/>
        </w:rPr>
        <w:t>ی</w:t>
      </w:r>
      <w:r w:rsidRPr="0025250D">
        <w:rPr>
          <w:rFonts w:hint="eastAsia"/>
          <w:rtl/>
        </w:rPr>
        <w:t>ر</w:t>
      </w:r>
      <w:r w:rsidRPr="0025250D">
        <w:rPr>
          <w:rFonts w:hint="cs"/>
          <w:rtl/>
        </w:rPr>
        <w:t>ی</w:t>
      </w:r>
      <w:r w:rsidRPr="0025250D">
        <w:rPr>
          <w:rFonts w:hint="eastAsia"/>
          <w:rtl/>
        </w:rPr>
        <w:t>ت</w:t>
      </w:r>
      <w:r w:rsidRPr="0025250D">
        <w:rPr>
          <w:rtl/>
        </w:rPr>
        <w:t xml:space="preserve"> تغ</w:t>
      </w:r>
      <w:r w:rsidRPr="0025250D">
        <w:rPr>
          <w:rFonts w:hint="cs"/>
          <w:rtl/>
        </w:rPr>
        <w:t>یی</w:t>
      </w:r>
      <w:r w:rsidRPr="0025250D">
        <w:rPr>
          <w:rFonts w:hint="eastAsia"/>
          <w:rtl/>
        </w:rPr>
        <w:t>رات</w:t>
      </w:r>
      <w:r w:rsidRPr="0025250D">
        <w:rPr>
          <w:rtl/>
        </w:rPr>
        <w:t xml:space="preserve"> اجتماع</w:t>
      </w:r>
      <w:r w:rsidRPr="0025250D">
        <w:rPr>
          <w:rFonts w:hint="cs"/>
          <w:rtl/>
        </w:rPr>
        <w:t>ی</w:t>
      </w:r>
      <w:r w:rsidRPr="0025250D">
        <w:rPr>
          <w:rtl/>
        </w:rPr>
        <w:t xml:space="preserve"> </w:t>
      </w:r>
      <w:r w:rsidR="007B3B35" w:rsidRPr="0025250D">
        <w:rPr>
          <w:rFonts w:hint="cs"/>
          <w:rtl/>
        </w:rPr>
        <w:t>شتاب‌گیر</w:t>
      </w:r>
      <w:r w:rsidRPr="0025250D">
        <w:rPr>
          <w:rFonts w:hint="cs"/>
          <w:rtl/>
        </w:rPr>
        <w:t>نده</w:t>
      </w:r>
      <w:r w:rsidRPr="0025250D">
        <w:rPr>
          <w:rtl/>
        </w:rPr>
        <w:t xml:space="preserve"> تأس</w:t>
      </w:r>
      <w:r w:rsidRPr="0025250D">
        <w:rPr>
          <w:rFonts w:hint="cs"/>
          <w:rtl/>
        </w:rPr>
        <w:t>ی</w:t>
      </w:r>
      <w:r w:rsidRPr="0025250D">
        <w:rPr>
          <w:rFonts w:hint="eastAsia"/>
          <w:rtl/>
        </w:rPr>
        <w:t>س</w:t>
      </w:r>
      <w:r w:rsidRPr="0025250D">
        <w:rPr>
          <w:rtl/>
        </w:rPr>
        <w:t xml:space="preserve"> شده است. ا</w:t>
      </w:r>
      <w:r w:rsidRPr="0025250D">
        <w:rPr>
          <w:rFonts w:hint="cs"/>
          <w:rtl/>
        </w:rPr>
        <w:t>ی</w:t>
      </w:r>
      <w:r w:rsidRPr="0025250D">
        <w:rPr>
          <w:rFonts w:hint="eastAsia"/>
          <w:rtl/>
        </w:rPr>
        <w:t>ن</w:t>
      </w:r>
      <w:r w:rsidRPr="0025250D">
        <w:rPr>
          <w:rtl/>
        </w:rPr>
        <w:t xml:space="preserve"> </w:t>
      </w:r>
      <w:r w:rsidRPr="0025250D">
        <w:rPr>
          <w:rFonts w:hint="cs"/>
          <w:rtl/>
        </w:rPr>
        <w:t>ی</w:t>
      </w:r>
      <w:r w:rsidRPr="0025250D">
        <w:rPr>
          <w:rFonts w:hint="eastAsia"/>
          <w:rtl/>
        </w:rPr>
        <w:t>ک</w:t>
      </w:r>
      <w:r w:rsidRPr="0025250D">
        <w:rPr>
          <w:rtl/>
        </w:rPr>
        <w:t xml:space="preserve"> جامعه </w:t>
      </w:r>
      <w:r w:rsidRPr="0025250D">
        <w:rPr>
          <w:rFonts w:hint="cs"/>
          <w:rtl/>
        </w:rPr>
        <w:t>ی</w:t>
      </w:r>
      <w:r w:rsidRPr="0025250D">
        <w:rPr>
          <w:rFonts w:hint="eastAsia"/>
          <w:rtl/>
        </w:rPr>
        <w:t>ادگ</w:t>
      </w:r>
      <w:r w:rsidRPr="0025250D">
        <w:rPr>
          <w:rFonts w:hint="cs"/>
          <w:rtl/>
        </w:rPr>
        <w:t>ی</w:t>
      </w:r>
      <w:r w:rsidRPr="0025250D">
        <w:rPr>
          <w:rFonts w:hint="eastAsia"/>
          <w:rtl/>
        </w:rPr>
        <w:t>ر</w:t>
      </w:r>
      <w:r w:rsidRPr="0025250D">
        <w:rPr>
          <w:rFonts w:hint="cs"/>
          <w:rtl/>
        </w:rPr>
        <w:t>ی</w:t>
      </w:r>
      <w:r w:rsidRPr="0025250D">
        <w:rPr>
          <w:rtl/>
        </w:rPr>
        <w:t xml:space="preserve"> و توسعه است که توسط مرب</w:t>
      </w:r>
      <w:r w:rsidRPr="0025250D">
        <w:rPr>
          <w:rFonts w:hint="cs"/>
          <w:rtl/>
        </w:rPr>
        <w:t>ی</w:t>
      </w:r>
      <w:r w:rsidRPr="0025250D">
        <w:rPr>
          <w:rFonts w:hint="eastAsia"/>
          <w:rtl/>
        </w:rPr>
        <w:t>ان</w:t>
      </w:r>
      <w:r w:rsidRPr="0025250D">
        <w:rPr>
          <w:rtl/>
        </w:rPr>
        <w:t xml:space="preserve"> </w:t>
      </w:r>
      <w:r w:rsidR="00D30084" w:rsidRPr="0025250D">
        <w:rPr>
          <w:rtl/>
        </w:rPr>
        <w:t>آینده‌نگار</w:t>
      </w:r>
      <w:r w:rsidRPr="0025250D">
        <w:rPr>
          <w:rtl/>
        </w:rPr>
        <w:t xml:space="preserve"> آموزش د</w:t>
      </w:r>
      <w:r w:rsidRPr="0025250D">
        <w:rPr>
          <w:rFonts w:hint="cs"/>
          <w:rtl/>
        </w:rPr>
        <w:t>ی</w:t>
      </w:r>
      <w:r w:rsidRPr="0025250D">
        <w:rPr>
          <w:rFonts w:hint="eastAsia"/>
          <w:rtl/>
        </w:rPr>
        <w:t>ده</w:t>
      </w:r>
      <w:r w:rsidRPr="0025250D">
        <w:rPr>
          <w:rtl/>
        </w:rPr>
        <w:t xml:space="preserve"> آکادم</w:t>
      </w:r>
      <w:r w:rsidRPr="0025250D">
        <w:rPr>
          <w:rFonts w:hint="cs"/>
          <w:rtl/>
        </w:rPr>
        <w:t>ی</w:t>
      </w:r>
      <w:r w:rsidRPr="0025250D">
        <w:rPr>
          <w:rFonts w:hint="eastAsia"/>
          <w:rtl/>
        </w:rPr>
        <w:t>ک،</w:t>
      </w:r>
      <w:r w:rsidRPr="0025250D">
        <w:rPr>
          <w:rtl/>
        </w:rPr>
        <w:t xml:space="preserve"> متخصصا</w:t>
      </w:r>
      <w:r w:rsidRPr="0025250D">
        <w:rPr>
          <w:rFonts w:hint="eastAsia"/>
          <w:rtl/>
        </w:rPr>
        <w:t>ن،</w:t>
      </w:r>
      <w:r w:rsidRPr="0025250D">
        <w:rPr>
          <w:rtl/>
        </w:rPr>
        <w:t xml:space="preserve"> کارآفر</w:t>
      </w:r>
      <w:r w:rsidRPr="0025250D">
        <w:rPr>
          <w:rFonts w:hint="cs"/>
          <w:rtl/>
        </w:rPr>
        <w:t>ی</w:t>
      </w:r>
      <w:r w:rsidRPr="0025250D">
        <w:rPr>
          <w:rFonts w:hint="eastAsia"/>
          <w:rtl/>
        </w:rPr>
        <w:t>نان،</w:t>
      </w:r>
      <w:r w:rsidRPr="0025250D">
        <w:rPr>
          <w:rtl/>
        </w:rPr>
        <w:t xml:space="preserve"> فناوران، مرب</w:t>
      </w:r>
      <w:r w:rsidRPr="0025250D">
        <w:rPr>
          <w:rFonts w:hint="cs"/>
          <w:rtl/>
        </w:rPr>
        <w:t>ی</w:t>
      </w:r>
      <w:r w:rsidRPr="0025250D">
        <w:rPr>
          <w:rFonts w:hint="eastAsia"/>
          <w:rtl/>
        </w:rPr>
        <w:t>ان</w:t>
      </w:r>
      <w:r w:rsidRPr="0025250D">
        <w:rPr>
          <w:rtl/>
        </w:rPr>
        <w:t xml:space="preserve"> و خلاقان اداره م</w:t>
      </w:r>
      <w:r w:rsidRPr="0025250D">
        <w:rPr>
          <w:rFonts w:hint="cs"/>
          <w:rtl/>
        </w:rPr>
        <w:t>ی</w:t>
      </w:r>
      <w:r w:rsidRPr="0025250D">
        <w:rPr>
          <w:rtl/>
        </w:rPr>
        <w:t xml:space="preserve"> شود.</w:t>
      </w:r>
    </w:p>
    <w:p w14:paraId="272DD96C" w14:textId="28EA0BCE" w:rsidR="00537CC8" w:rsidRPr="0025250D" w:rsidRDefault="00A857B2" w:rsidP="00A857B2">
      <w:pPr>
        <w:jc w:val="center"/>
        <w:rPr>
          <w:rtl/>
        </w:rPr>
      </w:pPr>
      <w:r w:rsidRPr="0025250D">
        <w:rPr>
          <w:noProof/>
          <w:lang w:bidi="ar-SA"/>
        </w:rPr>
        <w:drawing>
          <wp:inline distT="0" distB="0" distL="0" distR="0" wp14:anchorId="2F56D714" wp14:editId="6586738A">
            <wp:extent cx="2477069" cy="980506"/>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extLst>
                        <a:ext uri="{BEBA8EAE-BF5A-486C-A8C5-ECC9F3942E4B}">
                          <a14:imgProps xmlns:a14="http://schemas.microsoft.com/office/drawing/2010/main">
                            <a14:imgLayer r:embed="rId582">
                              <a14:imgEffect>
                                <a14:saturation sat="0"/>
                              </a14:imgEffect>
                            </a14:imgLayer>
                          </a14:imgProps>
                        </a:ext>
                      </a:extLst>
                    </a:blip>
                    <a:stretch>
                      <a:fillRect/>
                    </a:stretch>
                  </pic:blipFill>
                  <pic:spPr>
                    <a:xfrm>
                      <a:off x="0" y="0"/>
                      <a:ext cx="2501296" cy="990096"/>
                    </a:xfrm>
                    <a:prstGeom prst="rect">
                      <a:avLst/>
                    </a:prstGeom>
                  </pic:spPr>
                </pic:pic>
              </a:graphicData>
            </a:graphic>
          </wp:inline>
        </w:drawing>
      </w:r>
    </w:p>
    <w:p w14:paraId="35D3B1FB" w14:textId="04C51D6C" w:rsidR="00A857B2" w:rsidRPr="0025250D" w:rsidRDefault="00A857B2" w:rsidP="00A857B2">
      <w:pPr>
        <w:rPr>
          <w:rtl/>
        </w:rPr>
      </w:pPr>
      <w:r w:rsidRPr="0025250D">
        <w:rPr>
          <w:rtl/>
        </w:rPr>
        <w:t>اولو</w:t>
      </w:r>
      <w:r w:rsidRPr="0025250D">
        <w:rPr>
          <w:rFonts w:hint="cs"/>
          <w:rtl/>
        </w:rPr>
        <w:t>ی</w:t>
      </w:r>
      <w:r w:rsidRPr="0025250D">
        <w:rPr>
          <w:rFonts w:hint="eastAsia"/>
          <w:rtl/>
        </w:rPr>
        <w:t>ت</w:t>
      </w:r>
      <w:r w:rsidRPr="0025250D">
        <w:rPr>
          <w:rtl/>
        </w:rPr>
        <w:t xml:space="preserve"> </w:t>
      </w:r>
      <w:r w:rsidRPr="0025250D">
        <w:t>4U</w:t>
      </w:r>
      <w:r w:rsidRPr="0025250D">
        <w:rPr>
          <w:rtl/>
        </w:rPr>
        <w:t xml:space="preserve"> آموزش آ</w:t>
      </w:r>
      <w:r w:rsidRPr="0025250D">
        <w:rPr>
          <w:rFonts w:hint="cs"/>
          <w:rtl/>
        </w:rPr>
        <w:t>ی</w:t>
      </w:r>
      <w:r w:rsidRPr="0025250D">
        <w:rPr>
          <w:rFonts w:hint="eastAsia"/>
          <w:rtl/>
        </w:rPr>
        <w:t>نده‌نگار</w:t>
      </w:r>
      <w:r w:rsidRPr="0025250D">
        <w:rPr>
          <w:rFonts w:hint="cs"/>
          <w:rtl/>
        </w:rPr>
        <w:t>ی</w:t>
      </w:r>
      <w:r w:rsidRPr="0025250D">
        <w:rPr>
          <w:rtl/>
        </w:rPr>
        <w:t xml:space="preserve"> جامع است که بر مد</w:t>
      </w:r>
      <w:r w:rsidRPr="0025250D">
        <w:rPr>
          <w:rFonts w:hint="cs"/>
          <w:rtl/>
        </w:rPr>
        <w:t>ی</w:t>
      </w:r>
      <w:r w:rsidRPr="0025250D">
        <w:rPr>
          <w:rFonts w:hint="eastAsia"/>
          <w:rtl/>
        </w:rPr>
        <w:t>ران،</w:t>
      </w:r>
      <w:r w:rsidRPr="0025250D">
        <w:rPr>
          <w:rtl/>
        </w:rPr>
        <w:t xml:space="preserve"> </w:t>
      </w:r>
      <w:r w:rsidR="00923DDB" w:rsidRPr="0025250D">
        <w:rPr>
          <w:rtl/>
        </w:rPr>
        <w:t>دانشجویان</w:t>
      </w:r>
      <w:r w:rsidRPr="0025250D">
        <w:rPr>
          <w:rtl/>
        </w:rPr>
        <w:t xml:space="preserve"> و ت</w:t>
      </w:r>
      <w:r w:rsidRPr="0025250D">
        <w:rPr>
          <w:rFonts w:hint="cs"/>
          <w:rtl/>
        </w:rPr>
        <w:t>ی</w:t>
      </w:r>
      <w:r w:rsidRPr="0025250D">
        <w:rPr>
          <w:rFonts w:hint="eastAsia"/>
          <w:rtl/>
        </w:rPr>
        <w:t>م‌ها</w:t>
      </w:r>
      <w:r w:rsidRPr="0025250D">
        <w:rPr>
          <w:rtl/>
        </w:rPr>
        <w:t xml:space="preserve"> متمرکز است. علاوه بر راهنما و سا</w:t>
      </w:r>
      <w:r w:rsidRPr="0025250D">
        <w:rPr>
          <w:rFonts w:hint="cs"/>
          <w:rtl/>
        </w:rPr>
        <w:t>ی</w:t>
      </w:r>
      <w:r w:rsidRPr="0025250D">
        <w:rPr>
          <w:rFonts w:hint="eastAsia"/>
          <w:rtl/>
        </w:rPr>
        <w:t>ر</w:t>
      </w:r>
      <w:r w:rsidRPr="0025250D">
        <w:rPr>
          <w:rtl/>
        </w:rPr>
        <w:t xml:space="preserve"> نشر</w:t>
      </w:r>
      <w:r w:rsidRPr="0025250D">
        <w:rPr>
          <w:rFonts w:hint="cs"/>
          <w:rtl/>
        </w:rPr>
        <w:t>ی</w:t>
      </w:r>
      <w:r w:rsidRPr="0025250D">
        <w:rPr>
          <w:rFonts w:hint="eastAsia"/>
          <w:rtl/>
        </w:rPr>
        <w:t>ات،</w:t>
      </w:r>
      <w:r w:rsidRPr="0025250D">
        <w:rPr>
          <w:rtl/>
        </w:rPr>
        <w:t xml:space="preserve"> دوره‌ها</w:t>
      </w:r>
      <w:r w:rsidRPr="0025250D">
        <w:rPr>
          <w:rFonts w:hint="cs"/>
          <w:rtl/>
        </w:rPr>
        <w:t>ی</w:t>
      </w:r>
      <w:r w:rsidRPr="0025250D">
        <w:rPr>
          <w:rtl/>
        </w:rPr>
        <w:t xml:space="preserve"> آنلا</w:t>
      </w:r>
      <w:r w:rsidRPr="0025250D">
        <w:rPr>
          <w:rFonts w:hint="cs"/>
          <w:rtl/>
        </w:rPr>
        <w:t>ی</w:t>
      </w:r>
      <w:r w:rsidRPr="0025250D">
        <w:rPr>
          <w:rFonts w:hint="eastAsia"/>
          <w:rtl/>
        </w:rPr>
        <w:t>ن</w:t>
      </w:r>
      <w:r w:rsidRPr="0025250D">
        <w:rPr>
          <w:rtl/>
        </w:rPr>
        <w:t xml:space="preserve"> دوره‌ا</w:t>
      </w:r>
      <w:r w:rsidRPr="0025250D">
        <w:rPr>
          <w:rFonts w:hint="cs"/>
          <w:rtl/>
        </w:rPr>
        <w:t>ی</w:t>
      </w:r>
      <w:r w:rsidRPr="0025250D">
        <w:rPr>
          <w:rtl/>
        </w:rPr>
        <w:t xml:space="preserve"> ارائه م</w:t>
      </w:r>
      <w:r w:rsidRPr="0025250D">
        <w:rPr>
          <w:rFonts w:hint="cs"/>
          <w:rtl/>
        </w:rPr>
        <w:t>ی‌</w:t>
      </w:r>
      <w:r w:rsidRPr="0025250D">
        <w:rPr>
          <w:rFonts w:hint="eastAsia"/>
          <w:rtl/>
        </w:rPr>
        <w:t>ده</w:t>
      </w:r>
      <w:r w:rsidRPr="0025250D">
        <w:rPr>
          <w:rFonts w:hint="cs"/>
          <w:rtl/>
        </w:rPr>
        <w:t>ی</w:t>
      </w:r>
      <w:r w:rsidRPr="0025250D">
        <w:rPr>
          <w:rFonts w:hint="eastAsia"/>
          <w:rtl/>
        </w:rPr>
        <w:t>م،</w:t>
      </w:r>
      <w:r w:rsidRPr="0025250D">
        <w:rPr>
          <w:rtl/>
        </w:rPr>
        <w:t xml:space="preserve"> به مردم کمک م</w:t>
      </w:r>
      <w:r w:rsidRPr="0025250D">
        <w:rPr>
          <w:rFonts w:hint="cs"/>
          <w:rtl/>
        </w:rPr>
        <w:t>ی‌</w:t>
      </w:r>
      <w:r w:rsidRPr="0025250D">
        <w:rPr>
          <w:rFonts w:hint="eastAsia"/>
          <w:rtl/>
        </w:rPr>
        <w:t>کن</w:t>
      </w:r>
      <w:r w:rsidRPr="0025250D">
        <w:rPr>
          <w:rFonts w:hint="cs"/>
          <w:rtl/>
        </w:rPr>
        <w:t>ی</w:t>
      </w:r>
      <w:r w:rsidRPr="0025250D">
        <w:rPr>
          <w:rFonts w:hint="eastAsia"/>
          <w:rtl/>
        </w:rPr>
        <w:t>م</w:t>
      </w:r>
      <w:r w:rsidRPr="0025250D">
        <w:rPr>
          <w:rtl/>
        </w:rPr>
        <w:t xml:space="preserve"> تا انجمن‌ها</w:t>
      </w:r>
      <w:r w:rsidRPr="0025250D">
        <w:rPr>
          <w:rFonts w:hint="cs"/>
          <w:rtl/>
        </w:rPr>
        <w:t>ی</w:t>
      </w:r>
      <w:r w:rsidRPr="0025250D">
        <w:rPr>
          <w:rtl/>
        </w:rPr>
        <w:t xml:space="preserve"> بحث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محل</w:t>
      </w:r>
      <w:r w:rsidRPr="0025250D">
        <w:rPr>
          <w:rFonts w:hint="cs"/>
          <w:rtl/>
        </w:rPr>
        <w:t>ی</w:t>
      </w:r>
      <w:r w:rsidRPr="0025250D">
        <w:rPr>
          <w:rtl/>
        </w:rPr>
        <w:t xml:space="preserve"> به نام </w:t>
      </w:r>
      <w:r w:rsidRPr="0025250D">
        <w:rPr>
          <w:rFonts w:hint="cs"/>
          <w:rtl/>
        </w:rPr>
        <w:t>سالن های آینده</w:t>
      </w:r>
      <w:r w:rsidRPr="0025250D">
        <w:rPr>
          <w:rStyle w:val="FootnoteReference"/>
          <w:rtl/>
        </w:rPr>
        <w:footnoteReference w:id="3602"/>
      </w:r>
      <w:r w:rsidRPr="0025250D">
        <w:rPr>
          <w:rtl/>
        </w:rPr>
        <w:t xml:space="preserve"> را راه‌انداز</w:t>
      </w:r>
      <w:r w:rsidRPr="0025250D">
        <w:rPr>
          <w:rFonts w:hint="cs"/>
          <w:rtl/>
        </w:rPr>
        <w:t>ی</w:t>
      </w:r>
      <w:r w:rsidRPr="0025250D">
        <w:rPr>
          <w:rtl/>
        </w:rPr>
        <w:t xml:space="preserve"> کنند و دور</w:t>
      </w:r>
      <w:r w:rsidRPr="0025250D">
        <w:rPr>
          <w:rFonts w:hint="eastAsia"/>
          <w:rtl/>
        </w:rPr>
        <w:t>ه‌ها</w:t>
      </w:r>
      <w:r w:rsidRPr="0025250D">
        <w:rPr>
          <w:rFonts w:hint="cs"/>
          <w:rtl/>
        </w:rPr>
        <w:t>ی</w:t>
      </w:r>
      <w:r w:rsidRPr="0025250D">
        <w:rPr>
          <w:rtl/>
        </w:rPr>
        <w:t xml:space="preserve">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و هدف‌گذار</w:t>
      </w:r>
      <w:r w:rsidRPr="0025250D">
        <w:rPr>
          <w:rFonts w:hint="cs"/>
          <w:rtl/>
        </w:rPr>
        <w:t>ی</w:t>
      </w:r>
      <w:r w:rsidRPr="0025250D">
        <w:rPr>
          <w:rtl/>
        </w:rPr>
        <w:t xml:space="preserve"> </w:t>
      </w:r>
      <w:r w:rsidR="001A3F0A" w:rsidRPr="0025250D">
        <w:rPr>
          <w:rtl/>
        </w:rPr>
        <w:t>فردی</w:t>
      </w:r>
      <w:r w:rsidRPr="0025250D">
        <w:rPr>
          <w:rtl/>
        </w:rPr>
        <w:t xml:space="preserve"> به نام </w:t>
      </w:r>
      <w:r w:rsidRPr="0025250D">
        <w:rPr>
          <w:rFonts w:hint="cs"/>
          <w:rtl/>
        </w:rPr>
        <w:t>هم جوشی</w:t>
      </w:r>
      <w:r w:rsidRPr="0025250D">
        <w:rPr>
          <w:rStyle w:val="FootnoteReference"/>
          <w:rtl/>
        </w:rPr>
        <w:footnoteReference w:id="3603"/>
      </w:r>
      <w:r w:rsidRPr="0025250D">
        <w:rPr>
          <w:rtl/>
        </w:rPr>
        <w:t xml:space="preserve"> را اجرا م</w:t>
      </w:r>
      <w:r w:rsidRPr="0025250D">
        <w:rPr>
          <w:rFonts w:hint="cs"/>
          <w:rtl/>
        </w:rPr>
        <w:t>ی‌</w:t>
      </w:r>
      <w:r w:rsidRPr="0025250D">
        <w:rPr>
          <w:rFonts w:hint="eastAsia"/>
          <w:rtl/>
        </w:rPr>
        <w:t>کن</w:t>
      </w:r>
      <w:r w:rsidRPr="0025250D">
        <w:rPr>
          <w:rFonts w:hint="cs"/>
          <w:rtl/>
        </w:rPr>
        <w:t>ی</w:t>
      </w:r>
      <w:r w:rsidRPr="0025250D">
        <w:rPr>
          <w:rFonts w:hint="eastAsia"/>
          <w:rtl/>
        </w:rPr>
        <w:t>م</w:t>
      </w:r>
      <w:r w:rsidRPr="0025250D">
        <w:rPr>
          <w:rtl/>
        </w:rPr>
        <w:t>. برا</w:t>
      </w:r>
      <w:r w:rsidRPr="0025250D">
        <w:rPr>
          <w:rFonts w:hint="cs"/>
          <w:rtl/>
        </w:rPr>
        <w:t>ی</w:t>
      </w:r>
      <w:r w:rsidRPr="0025250D">
        <w:rPr>
          <w:rtl/>
        </w:rPr>
        <w:t xml:space="preserve"> انتشارات، دوره ها و رو</w:t>
      </w:r>
      <w:r w:rsidRPr="0025250D">
        <w:rPr>
          <w:rFonts w:hint="cs"/>
          <w:rtl/>
        </w:rPr>
        <w:t>ی</w:t>
      </w:r>
      <w:r w:rsidRPr="0025250D">
        <w:rPr>
          <w:rFonts w:hint="eastAsia"/>
          <w:rtl/>
        </w:rPr>
        <w:t>دادها</w:t>
      </w:r>
      <w:r w:rsidRPr="0025250D">
        <w:rPr>
          <w:rFonts w:hint="cs"/>
          <w:rtl/>
        </w:rPr>
        <w:t>ی</w:t>
      </w:r>
      <w:r w:rsidRPr="0025250D">
        <w:rPr>
          <w:rtl/>
        </w:rPr>
        <w:t xml:space="preserve"> ما به وب سا</w:t>
      </w:r>
      <w:r w:rsidRPr="0025250D">
        <w:rPr>
          <w:rFonts w:hint="cs"/>
          <w:rtl/>
        </w:rPr>
        <w:t>ی</w:t>
      </w:r>
      <w:r w:rsidRPr="0025250D">
        <w:rPr>
          <w:rFonts w:hint="eastAsia"/>
          <w:rtl/>
        </w:rPr>
        <w:t>ت</w:t>
      </w:r>
      <w:r w:rsidRPr="0025250D">
        <w:rPr>
          <w:rtl/>
        </w:rPr>
        <w:t xml:space="preserve"> ما مراجعه کن</w:t>
      </w:r>
      <w:r w:rsidRPr="0025250D">
        <w:rPr>
          <w:rFonts w:hint="cs"/>
          <w:rtl/>
        </w:rPr>
        <w:t>ی</w:t>
      </w:r>
      <w:r w:rsidRPr="0025250D">
        <w:rPr>
          <w:rFonts w:hint="eastAsia"/>
          <w:rtl/>
        </w:rPr>
        <w:t>د</w:t>
      </w:r>
      <w:r w:rsidRPr="0025250D">
        <w:rPr>
          <w:rFonts w:hint="cs"/>
          <w:rtl/>
        </w:rPr>
        <w:t xml:space="preserve">. </w:t>
      </w:r>
      <w:r w:rsidRPr="0025250D">
        <w:rPr>
          <w:rtl/>
        </w:rPr>
        <w:t xml:space="preserve">اگر شما </w:t>
      </w:r>
      <w:r w:rsidRPr="0025250D">
        <w:rPr>
          <w:rFonts w:hint="cs"/>
          <w:rtl/>
        </w:rPr>
        <w:t>ی</w:t>
      </w:r>
      <w:r w:rsidRPr="0025250D">
        <w:rPr>
          <w:rFonts w:hint="eastAsia"/>
          <w:rtl/>
        </w:rPr>
        <w:t>ک</w:t>
      </w:r>
      <w:r w:rsidRPr="0025250D">
        <w:rPr>
          <w:rtl/>
        </w:rPr>
        <w:t xml:space="preserve"> سخنران </w:t>
      </w:r>
      <w:r w:rsidRPr="0025250D">
        <w:rPr>
          <w:rFonts w:hint="cs"/>
          <w:rtl/>
        </w:rPr>
        <w:t xml:space="preserve">در زمینه </w:t>
      </w:r>
      <w:r w:rsidR="00D92F6E" w:rsidRPr="0025250D">
        <w:rPr>
          <w:rtl/>
        </w:rPr>
        <w:t>آینده‌نگاری</w:t>
      </w:r>
      <w:r w:rsidRPr="0025250D">
        <w:rPr>
          <w:rtl/>
        </w:rPr>
        <w:t>، دانشجو، خلاق، مبتکر، کارآفر</w:t>
      </w:r>
      <w:r w:rsidRPr="0025250D">
        <w:rPr>
          <w:rFonts w:hint="cs"/>
          <w:rtl/>
        </w:rPr>
        <w:t>ی</w:t>
      </w:r>
      <w:r w:rsidRPr="0025250D">
        <w:rPr>
          <w:rFonts w:hint="eastAsia"/>
          <w:rtl/>
        </w:rPr>
        <w:t>ن،</w:t>
      </w:r>
      <w:r w:rsidRPr="0025250D">
        <w:rPr>
          <w:rtl/>
        </w:rPr>
        <w:t xml:space="preserve"> </w:t>
      </w:r>
      <w:r w:rsidR="00D92F6E" w:rsidRPr="0025250D">
        <w:rPr>
          <w:rtl/>
        </w:rPr>
        <w:t>پیش‌بین</w:t>
      </w:r>
      <w:r w:rsidRPr="0025250D">
        <w:rPr>
          <w:rFonts w:hint="cs"/>
          <w:rtl/>
        </w:rPr>
        <w:t>ی</w:t>
      </w:r>
      <w:r w:rsidRPr="0025250D">
        <w:rPr>
          <w:rtl/>
        </w:rPr>
        <w:t xml:space="preserve"> کننده، محقق، مشاور </w:t>
      </w:r>
      <w:r w:rsidRPr="0025250D">
        <w:rPr>
          <w:rFonts w:hint="cs"/>
          <w:rtl/>
        </w:rPr>
        <w:t>ی</w:t>
      </w:r>
      <w:r w:rsidRPr="0025250D">
        <w:rPr>
          <w:rFonts w:hint="eastAsia"/>
          <w:rtl/>
        </w:rPr>
        <w:t>ا</w:t>
      </w:r>
      <w:r w:rsidRPr="0025250D">
        <w:rPr>
          <w:rtl/>
        </w:rPr>
        <w:t xml:space="preserve"> رهبر سازمان خود هست</w:t>
      </w:r>
      <w:r w:rsidRPr="0025250D">
        <w:rPr>
          <w:rFonts w:hint="cs"/>
          <w:rtl/>
        </w:rPr>
        <w:t>ی</w:t>
      </w:r>
      <w:r w:rsidRPr="0025250D">
        <w:rPr>
          <w:rFonts w:hint="eastAsia"/>
          <w:rtl/>
        </w:rPr>
        <w:t>د،</w:t>
      </w:r>
      <w:r w:rsidRPr="0025250D">
        <w:rPr>
          <w:rtl/>
        </w:rPr>
        <w:t xml:space="preserve"> مخاطب ما هست</w:t>
      </w:r>
      <w:r w:rsidRPr="0025250D">
        <w:rPr>
          <w:rFonts w:hint="cs"/>
          <w:rtl/>
        </w:rPr>
        <w:t>ی</w:t>
      </w:r>
      <w:r w:rsidRPr="0025250D">
        <w:rPr>
          <w:rFonts w:hint="eastAsia"/>
          <w:rtl/>
        </w:rPr>
        <w:t>د</w:t>
      </w:r>
      <w:r w:rsidRPr="0025250D">
        <w:rPr>
          <w:rtl/>
        </w:rPr>
        <w:t>. تا ا</w:t>
      </w:r>
      <w:r w:rsidRPr="0025250D">
        <w:rPr>
          <w:rFonts w:hint="cs"/>
          <w:rtl/>
        </w:rPr>
        <w:t>ی</w:t>
      </w:r>
      <w:r w:rsidRPr="0025250D">
        <w:rPr>
          <w:rFonts w:hint="eastAsia"/>
          <w:rtl/>
        </w:rPr>
        <w:t>نجا</w:t>
      </w:r>
      <w:r w:rsidRPr="0025250D">
        <w:rPr>
          <w:rFonts w:hint="cs"/>
          <w:rtl/>
        </w:rPr>
        <w:t>ی</w:t>
      </w:r>
      <w:r w:rsidRPr="0025250D">
        <w:rPr>
          <w:rtl/>
        </w:rPr>
        <w:t xml:space="preserve"> کار، ام</w:t>
      </w:r>
      <w:r w:rsidRPr="0025250D">
        <w:rPr>
          <w:rFonts w:hint="cs"/>
          <w:rtl/>
        </w:rPr>
        <w:t>ی</w:t>
      </w:r>
      <w:r w:rsidRPr="0025250D">
        <w:rPr>
          <w:rFonts w:hint="eastAsia"/>
          <w:rtl/>
        </w:rPr>
        <w:t>دوار</w:t>
      </w:r>
      <w:r w:rsidRPr="0025250D">
        <w:rPr>
          <w:rFonts w:hint="cs"/>
          <w:rtl/>
        </w:rPr>
        <w:t>ی</w:t>
      </w:r>
      <w:r w:rsidRPr="0025250D">
        <w:rPr>
          <w:rFonts w:hint="eastAsia"/>
          <w:rtl/>
        </w:rPr>
        <w:t>م</w:t>
      </w:r>
      <w:r w:rsidRPr="0025250D">
        <w:rPr>
          <w:rtl/>
        </w:rPr>
        <w:t xml:space="preserve"> که </w:t>
      </w:r>
      <w:r w:rsidRPr="0025250D">
        <w:rPr>
          <w:rFonts w:hint="cs"/>
          <w:rtl/>
        </w:rPr>
        <w:t>این</w:t>
      </w:r>
      <w:r w:rsidR="008D6F97" w:rsidRPr="0025250D">
        <w:rPr>
          <w:rtl/>
        </w:rPr>
        <w:t xml:space="preserve"> </w:t>
      </w:r>
      <w:r w:rsidRPr="0025250D">
        <w:rPr>
          <w:rtl/>
        </w:rPr>
        <w:t>راهنما در سفرتان مف</w:t>
      </w:r>
      <w:r w:rsidRPr="0025250D">
        <w:rPr>
          <w:rFonts w:hint="cs"/>
          <w:rtl/>
        </w:rPr>
        <w:t>ی</w:t>
      </w:r>
      <w:r w:rsidRPr="0025250D">
        <w:rPr>
          <w:rFonts w:hint="eastAsia"/>
          <w:rtl/>
        </w:rPr>
        <w:t>د</w:t>
      </w:r>
      <w:r w:rsidRPr="0025250D">
        <w:rPr>
          <w:rtl/>
        </w:rPr>
        <w:t xml:space="preserve"> بوده باشد.</w:t>
      </w:r>
    </w:p>
    <w:p w14:paraId="04F8D9EC" w14:textId="59CCE5C2" w:rsidR="00A857B2" w:rsidRPr="0025250D" w:rsidRDefault="00A857B2" w:rsidP="00A857B2">
      <w:pPr>
        <w:rPr>
          <w:rtl/>
        </w:rPr>
      </w:pPr>
    </w:p>
    <w:p w14:paraId="24973811" w14:textId="2B72E298" w:rsidR="00A857B2" w:rsidRPr="0025250D" w:rsidRDefault="00A857B2" w:rsidP="00A857B2">
      <w:pPr>
        <w:pStyle w:val="Heading2"/>
        <w:rPr>
          <w:rtl/>
        </w:rPr>
      </w:pPr>
      <w:bookmarkStart w:id="99" w:name="_Toc127831363"/>
      <w:r w:rsidRPr="0025250D">
        <w:t>ASF</w:t>
      </w:r>
      <w:r w:rsidRPr="0025250D">
        <w:rPr>
          <w:rtl/>
        </w:rPr>
        <w:t xml:space="preserve"> چ</w:t>
      </w:r>
      <w:r w:rsidRPr="0025250D">
        <w:rPr>
          <w:rFonts w:hint="cs"/>
          <w:rtl/>
        </w:rPr>
        <w:t>ی</w:t>
      </w:r>
      <w:r w:rsidRPr="0025250D">
        <w:rPr>
          <w:rFonts w:hint="eastAsia"/>
          <w:rtl/>
        </w:rPr>
        <w:t>ست؟</w:t>
      </w:r>
      <w:bookmarkEnd w:id="99"/>
    </w:p>
    <w:p w14:paraId="716BAC5E" w14:textId="3BD3127E" w:rsidR="00A857B2" w:rsidRPr="0025250D" w:rsidRDefault="00A857B2" w:rsidP="00A857B2">
      <w:pPr>
        <w:rPr>
          <w:rtl/>
        </w:rPr>
      </w:pPr>
      <w:r w:rsidRPr="0025250D">
        <w:rPr>
          <w:rtl/>
        </w:rPr>
        <w:t>بن</w:t>
      </w:r>
      <w:r w:rsidRPr="0025250D">
        <w:rPr>
          <w:rFonts w:hint="cs"/>
          <w:rtl/>
        </w:rPr>
        <w:t>ی</w:t>
      </w:r>
      <w:r w:rsidRPr="0025250D">
        <w:rPr>
          <w:rFonts w:hint="eastAsia"/>
          <w:rtl/>
        </w:rPr>
        <w:t>اد</w:t>
      </w:r>
      <w:r w:rsidRPr="0025250D">
        <w:rPr>
          <w:rtl/>
        </w:rPr>
        <w:t xml:space="preserve"> مطالعات شتاب</w:t>
      </w:r>
      <w:r w:rsidRPr="0025250D">
        <w:rPr>
          <w:rFonts w:hint="cs"/>
          <w:rtl/>
        </w:rPr>
        <w:t xml:space="preserve"> </w:t>
      </w:r>
      <w:r w:rsidRPr="0025250D">
        <w:rPr>
          <w:rtl/>
        </w:rPr>
        <w:t>(</w:t>
      </w:r>
      <w:r w:rsidRPr="0025250D">
        <w:t>ASF</w:t>
      </w:r>
      <w:r w:rsidRPr="0025250D">
        <w:rPr>
          <w:rtl/>
        </w:rPr>
        <w:t>) توسط جان اسمارت، رج</w:t>
      </w:r>
      <w:r w:rsidRPr="0025250D">
        <w:rPr>
          <w:rFonts w:hint="cs"/>
          <w:rtl/>
        </w:rPr>
        <w:t>ی</w:t>
      </w:r>
      <w:r w:rsidRPr="0025250D">
        <w:rPr>
          <w:rFonts w:hint="eastAsia"/>
          <w:rtl/>
        </w:rPr>
        <w:t>نا</w:t>
      </w:r>
      <w:r w:rsidRPr="0025250D">
        <w:rPr>
          <w:rtl/>
        </w:rPr>
        <w:t xml:space="preserve"> پنک</w:t>
      </w:r>
      <w:r w:rsidRPr="0025250D">
        <w:rPr>
          <w:rFonts w:hint="cs"/>
          <w:rtl/>
        </w:rPr>
        <w:t>ی</w:t>
      </w:r>
      <w:r w:rsidRPr="0025250D">
        <w:rPr>
          <w:rFonts w:hint="eastAsia"/>
          <w:rtl/>
        </w:rPr>
        <w:t>ک</w:t>
      </w:r>
      <w:r w:rsidRPr="0025250D">
        <w:rPr>
          <w:rtl/>
        </w:rPr>
        <w:t xml:space="preserve"> و تا</w:t>
      </w:r>
      <w:r w:rsidRPr="0025250D">
        <w:rPr>
          <w:rFonts w:hint="cs"/>
          <w:rtl/>
        </w:rPr>
        <w:t>ی</w:t>
      </w:r>
      <w:r w:rsidRPr="0025250D">
        <w:rPr>
          <w:rFonts w:hint="eastAsia"/>
          <w:rtl/>
        </w:rPr>
        <w:t>لر</w:t>
      </w:r>
      <w:r w:rsidRPr="0025250D">
        <w:rPr>
          <w:rtl/>
        </w:rPr>
        <w:t xml:space="preserve"> امرسون در سال 2003 برا</w:t>
      </w:r>
      <w:r w:rsidRPr="0025250D">
        <w:rPr>
          <w:rFonts w:hint="cs"/>
          <w:rtl/>
        </w:rPr>
        <w:t>ی</w:t>
      </w:r>
      <w:r w:rsidRPr="0025250D">
        <w:rPr>
          <w:rtl/>
        </w:rPr>
        <w:t xml:space="preserve"> ترو</w:t>
      </w:r>
      <w:r w:rsidRPr="0025250D">
        <w:rPr>
          <w:rFonts w:hint="cs"/>
          <w:rtl/>
        </w:rPr>
        <w:t>ی</w:t>
      </w:r>
      <w:r w:rsidRPr="0025250D">
        <w:rPr>
          <w:rFonts w:hint="eastAsia"/>
          <w:rtl/>
        </w:rPr>
        <w:t>ج</w:t>
      </w:r>
      <w:r w:rsidRPr="0025250D">
        <w:rPr>
          <w:rtl/>
        </w:rPr>
        <w:t xml:space="preserve"> مطالعه فرآ</w:t>
      </w:r>
      <w:r w:rsidRPr="0025250D">
        <w:rPr>
          <w:rFonts w:hint="cs"/>
          <w:rtl/>
        </w:rPr>
        <w:t>ی</w:t>
      </w:r>
      <w:r w:rsidRPr="0025250D">
        <w:rPr>
          <w:rFonts w:hint="eastAsia"/>
          <w:rtl/>
        </w:rPr>
        <w:t>ندها</w:t>
      </w:r>
      <w:r w:rsidRPr="0025250D">
        <w:rPr>
          <w:rFonts w:hint="cs"/>
          <w:rtl/>
        </w:rPr>
        <w:t>ی</w:t>
      </w:r>
      <w:r w:rsidRPr="0025250D">
        <w:rPr>
          <w:rtl/>
        </w:rPr>
        <w:t xml:space="preserve"> تغ</w:t>
      </w:r>
      <w:r w:rsidRPr="0025250D">
        <w:rPr>
          <w:rFonts w:hint="cs"/>
          <w:rtl/>
        </w:rPr>
        <w:t>یی</w:t>
      </w:r>
      <w:r w:rsidRPr="0025250D">
        <w:rPr>
          <w:rFonts w:hint="eastAsia"/>
          <w:rtl/>
        </w:rPr>
        <w:t>ر</w:t>
      </w:r>
      <w:r w:rsidRPr="0025250D">
        <w:rPr>
          <w:rtl/>
        </w:rPr>
        <w:t xml:space="preserve"> نما</w:t>
      </w:r>
      <w:r w:rsidRPr="0025250D">
        <w:rPr>
          <w:rFonts w:hint="cs"/>
          <w:rtl/>
        </w:rPr>
        <w:t>یی</w:t>
      </w:r>
      <w:r w:rsidRPr="0025250D">
        <w:rPr>
          <w:rtl/>
        </w:rPr>
        <w:t xml:space="preserve"> در </w:t>
      </w:r>
      <w:r w:rsidR="008D6F97" w:rsidRPr="0025250D">
        <w:rPr>
          <w:rtl/>
        </w:rPr>
        <w:t>سامانه‌</w:t>
      </w:r>
      <w:r w:rsidRPr="0025250D">
        <w:rPr>
          <w:rtl/>
        </w:rPr>
        <w:t xml:space="preserve"> ها</w:t>
      </w:r>
      <w:r w:rsidRPr="0025250D">
        <w:rPr>
          <w:rFonts w:hint="cs"/>
          <w:rtl/>
        </w:rPr>
        <w:t>ی</w:t>
      </w:r>
      <w:r w:rsidRPr="0025250D">
        <w:rPr>
          <w:rtl/>
        </w:rPr>
        <w:t xml:space="preserve"> زنده، جامعه و جهان تاس</w:t>
      </w:r>
      <w:r w:rsidRPr="0025250D">
        <w:rPr>
          <w:rFonts w:hint="cs"/>
          <w:rtl/>
        </w:rPr>
        <w:t>ی</w:t>
      </w:r>
      <w:r w:rsidRPr="0025250D">
        <w:rPr>
          <w:rFonts w:hint="eastAsia"/>
          <w:rtl/>
        </w:rPr>
        <w:t>س</w:t>
      </w:r>
      <w:r w:rsidRPr="0025250D">
        <w:rPr>
          <w:rtl/>
        </w:rPr>
        <w:t xml:space="preserve"> شد.</w:t>
      </w:r>
      <w:r w:rsidRPr="0025250D">
        <w:rPr>
          <w:rFonts w:hint="cs"/>
          <w:rtl/>
        </w:rPr>
        <w:t xml:space="preserve"> </w:t>
      </w:r>
      <w:r w:rsidRPr="0025250D">
        <w:rPr>
          <w:rtl/>
        </w:rPr>
        <w:t>از جنبه آکادم</w:t>
      </w:r>
      <w:r w:rsidRPr="0025250D">
        <w:rPr>
          <w:rFonts w:hint="cs"/>
          <w:rtl/>
        </w:rPr>
        <w:t>ی</w:t>
      </w:r>
      <w:r w:rsidRPr="0025250D">
        <w:rPr>
          <w:rFonts w:hint="eastAsia"/>
          <w:rtl/>
        </w:rPr>
        <w:t>ک،</w:t>
      </w:r>
      <w:r w:rsidRPr="0025250D">
        <w:rPr>
          <w:rtl/>
        </w:rPr>
        <w:t xml:space="preserve"> جامعه تحق</w:t>
      </w:r>
      <w:r w:rsidRPr="0025250D">
        <w:rPr>
          <w:rFonts w:hint="cs"/>
          <w:rtl/>
        </w:rPr>
        <w:t>ی</w:t>
      </w:r>
      <w:r w:rsidRPr="0025250D">
        <w:rPr>
          <w:rFonts w:hint="eastAsia"/>
          <w:rtl/>
        </w:rPr>
        <w:t>قات</w:t>
      </w:r>
      <w:r w:rsidRPr="0025250D">
        <w:rPr>
          <w:rFonts w:hint="cs"/>
          <w:rtl/>
        </w:rPr>
        <w:t>ی</w:t>
      </w:r>
      <w:r w:rsidRPr="0025250D">
        <w:rPr>
          <w:rtl/>
        </w:rPr>
        <w:t xml:space="preserve"> ب</w:t>
      </w:r>
      <w:r w:rsidRPr="0025250D">
        <w:rPr>
          <w:rFonts w:hint="cs"/>
          <w:rtl/>
        </w:rPr>
        <w:t>ی</w:t>
      </w:r>
      <w:r w:rsidRPr="0025250D">
        <w:rPr>
          <w:rFonts w:hint="eastAsia"/>
          <w:rtl/>
        </w:rPr>
        <w:t>ن‌الملل</w:t>
      </w:r>
      <w:r w:rsidRPr="0025250D">
        <w:rPr>
          <w:rFonts w:hint="cs"/>
          <w:rtl/>
        </w:rPr>
        <w:t>ی</w:t>
      </w:r>
      <w:r w:rsidRPr="0025250D">
        <w:rPr>
          <w:rtl/>
        </w:rPr>
        <w:t xml:space="preserve"> </w:t>
      </w:r>
      <w:r w:rsidRPr="0025250D">
        <w:rPr>
          <w:rFonts w:hint="cs"/>
          <w:rtl/>
        </w:rPr>
        <w:t>جهان تکاملی-توسعه ای</w:t>
      </w:r>
      <w:r w:rsidRPr="0025250D">
        <w:rPr>
          <w:rStyle w:val="FootnoteReference"/>
          <w:rtl/>
        </w:rPr>
        <w:footnoteReference w:id="3604"/>
      </w:r>
      <w:r w:rsidRPr="0025250D">
        <w:rPr>
          <w:rtl/>
        </w:rPr>
        <w:t xml:space="preserve"> را در پار</w:t>
      </w:r>
      <w:r w:rsidRPr="0025250D">
        <w:rPr>
          <w:rFonts w:hint="cs"/>
          <w:rtl/>
        </w:rPr>
        <w:t>ی</w:t>
      </w:r>
      <w:r w:rsidRPr="0025250D">
        <w:rPr>
          <w:rFonts w:hint="eastAsia"/>
          <w:rtl/>
        </w:rPr>
        <w:t>س</w:t>
      </w:r>
      <w:r w:rsidRPr="0025250D">
        <w:rPr>
          <w:rtl/>
        </w:rPr>
        <w:t xml:space="preserve"> در سال 2008 تأس</w:t>
      </w:r>
      <w:r w:rsidRPr="0025250D">
        <w:rPr>
          <w:rFonts w:hint="cs"/>
          <w:rtl/>
        </w:rPr>
        <w:t>ی</w:t>
      </w:r>
      <w:r w:rsidRPr="0025250D">
        <w:rPr>
          <w:rFonts w:hint="eastAsia"/>
          <w:rtl/>
        </w:rPr>
        <w:t>س</w:t>
      </w:r>
      <w:r w:rsidRPr="0025250D">
        <w:rPr>
          <w:rtl/>
        </w:rPr>
        <w:t xml:space="preserve"> کرد</w:t>
      </w:r>
      <w:r w:rsidRPr="0025250D">
        <w:rPr>
          <w:rFonts w:hint="cs"/>
          <w:rtl/>
        </w:rPr>
        <w:t>ی</w:t>
      </w:r>
      <w:r w:rsidRPr="0025250D">
        <w:rPr>
          <w:rFonts w:hint="eastAsia"/>
          <w:rtl/>
        </w:rPr>
        <w:t>م</w:t>
      </w:r>
      <w:r w:rsidRPr="0025250D">
        <w:rPr>
          <w:rtl/>
        </w:rPr>
        <w:t xml:space="preserve">. </w:t>
      </w:r>
      <w:r w:rsidRPr="0025250D">
        <w:rPr>
          <w:rFonts w:hint="cs"/>
          <w:rtl/>
        </w:rPr>
        <w:t>ی</w:t>
      </w:r>
      <w:r w:rsidRPr="0025250D">
        <w:rPr>
          <w:rFonts w:hint="eastAsia"/>
          <w:rtl/>
        </w:rPr>
        <w:t>ک</w:t>
      </w:r>
      <w:r w:rsidRPr="0025250D">
        <w:rPr>
          <w:rtl/>
        </w:rPr>
        <w:t xml:space="preserve"> </w:t>
      </w:r>
      <w:r w:rsidR="002F75DA" w:rsidRPr="0025250D">
        <w:rPr>
          <w:rFonts w:hint="cs"/>
          <w:rtl/>
        </w:rPr>
        <w:t>کتاب</w:t>
      </w:r>
      <w:r w:rsidRPr="0025250D">
        <w:rPr>
          <w:rtl/>
        </w:rPr>
        <w:t xml:space="preserve"> آکادم</w:t>
      </w:r>
      <w:r w:rsidRPr="0025250D">
        <w:rPr>
          <w:rFonts w:hint="cs"/>
          <w:rtl/>
        </w:rPr>
        <w:t>ی</w:t>
      </w:r>
      <w:r w:rsidRPr="0025250D">
        <w:rPr>
          <w:rFonts w:hint="eastAsia"/>
          <w:rtl/>
        </w:rPr>
        <w:t>ک</w:t>
      </w:r>
      <w:r w:rsidRPr="0025250D">
        <w:rPr>
          <w:rtl/>
        </w:rPr>
        <w:t xml:space="preserve"> در مورد فرآ</w:t>
      </w:r>
      <w:r w:rsidRPr="0025250D">
        <w:rPr>
          <w:rFonts w:hint="cs"/>
          <w:rtl/>
        </w:rPr>
        <w:t>ی</w:t>
      </w:r>
      <w:r w:rsidRPr="0025250D">
        <w:rPr>
          <w:rFonts w:hint="eastAsia"/>
          <w:rtl/>
        </w:rPr>
        <w:t>ندها</w:t>
      </w:r>
      <w:r w:rsidRPr="0025250D">
        <w:rPr>
          <w:rFonts w:hint="cs"/>
          <w:rtl/>
        </w:rPr>
        <w:t>ی</w:t>
      </w:r>
      <w:r w:rsidRPr="0025250D">
        <w:rPr>
          <w:rtl/>
        </w:rPr>
        <w:t xml:space="preserve"> تکامل</w:t>
      </w:r>
      <w:r w:rsidRPr="0025250D">
        <w:rPr>
          <w:rFonts w:hint="cs"/>
          <w:rtl/>
        </w:rPr>
        <w:t>ی</w:t>
      </w:r>
      <w:r w:rsidRPr="0025250D">
        <w:rPr>
          <w:rtl/>
        </w:rPr>
        <w:t xml:space="preserve"> و </w:t>
      </w:r>
      <w:r w:rsidR="002F75DA" w:rsidRPr="0025250D">
        <w:rPr>
          <w:rFonts w:hint="cs"/>
          <w:rtl/>
        </w:rPr>
        <w:t>توسعه ای</w:t>
      </w:r>
      <w:r w:rsidRPr="0025250D">
        <w:rPr>
          <w:rtl/>
        </w:rPr>
        <w:t xml:space="preserve"> چند مق</w:t>
      </w:r>
      <w:r w:rsidRPr="0025250D">
        <w:rPr>
          <w:rFonts w:hint="cs"/>
          <w:rtl/>
        </w:rPr>
        <w:t>ی</w:t>
      </w:r>
      <w:r w:rsidRPr="0025250D">
        <w:rPr>
          <w:rFonts w:hint="eastAsia"/>
          <w:rtl/>
        </w:rPr>
        <w:t>اس</w:t>
      </w:r>
      <w:r w:rsidRPr="0025250D">
        <w:rPr>
          <w:rFonts w:hint="cs"/>
          <w:rtl/>
        </w:rPr>
        <w:t>ی</w:t>
      </w:r>
      <w:r w:rsidRPr="0025250D">
        <w:rPr>
          <w:rFonts w:hint="eastAsia"/>
          <w:rtl/>
        </w:rPr>
        <w:t>،</w:t>
      </w:r>
      <w:r w:rsidRPr="0025250D">
        <w:rPr>
          <w:rtl/>
        </w:rPr>
        <w:t xml:space="preserve"> تکامل، توسعه و پ</w:t>
      </w:r>
      <w:r w:rsidRPr="0025250D">
        <w:rPr>
          <w:rFonts w:hint="cs"/>
          <w:rtl/>
        </w:rPr>
        <w:t>ی</w:t>
      </w:r>
      <w:r w:rsidRPr="0025250D">
        <w:rPr>
          <w:rFonts w:hint="eastAsia"/>
          <w:rtl/>
        </w:rPr>
        <w:t>چ</w:t>
      </w:r>
      <w:r w:rsidRPr="0025250D">
        <w:rPr>
          <w:rFonts w:hint="cs"/>
          <w:rtl/>
        </w:rPr>
        <w:t>ی</w:t>
      </w:r>
      <w:r w:rsidRPr="0025250D">
        <w:rPr>
          <w:rFonts w:hint="eastAsia"/>
          <w:rtl/>
        </w:rPr>
        <w:t>دگ</w:t>
      </w:r>
      <w:r w:rsidRPr="0025250D">
        <w:rPr>
          <w:rFonts w:hint="cs"/>
          <w:rtl/>
        </w:rPr>
        <w:t>ی</w:t>
      </w:r>
      <w:r w:rsidRPr="0025250D">
        <w:rPr>
          <w:rtl/>
        </w:rPr>
        <w:t xml:space="preserve"> در سال 2019 منتشر </w:t>
      </w:r>
      <w:r w:rsidR="002F75DA" w:rsidRPr="0025250D">
        <w:rPr>
          <w:rFonts w:hint="cs"/>
          <w:rtl/>
        </w:rPr>
        <w:t>نمودیم</w:t>
      </w:r>
      <w:r w:rsidRPr="0025250D">
        <w:rPr>
          <w:rtl/>
        </w:rPr>
        <w:t>.</w:t>
      </w:r>
      <w:r w:rsidR="002F75DA" w:rsidRPr="0025250D">
        <w:rPr>
          <w:rFonts w:hint="cs"/>
          <w:rtl/>
        </w:rPr>
        <w:t xml:space="preserve"> </w:t>
      </w:r>
      <w:r w:rsidR="002F75DA" w:rsidRPr="0025250D">
        <w:rPr>
          <w:rtl/>
        </w:rPr>
        <w:t>مفتخر</w:t>
      </w:r>
      <w:r w:rsidR="002F75DA" w:rsidRPr="0025250D">
        <w:rPr>
          <w:rFonts w:hint="cs"/>
          <w:rtl/>
        </w:rPr>
        <w:t>ی</w:t>
      </w:r>
      <w:r w:rsidR="002F75DA" w:rsidRPr="0025250D">
        <w:rPr>
          <w:rFonts w:hint="eastAsia"/>
          <w:rtl/>
        </w:rPr>
        <w:t>م</w:t>
      </w:r>
      <w:r w:rsidR="002F75DA" w:rsidRPr="0025250D">
        <w:rPr>
          <w:rtl/>
        </w:rPr>
        <w:t xml:space="preserve"> که شبکه کوچک</w:t>
      </w:r>
      <w:r w:rsidR="002F75DA" w:rsidRPr="0025250D">
        <w:rPr>
          <w:rFonts w:hint="cs"/>
          <w:rtl/>
        </w:rPr>
        <w:t>ی</w:t>
      </w:r>
      <w:r w:rsidR="002F75DA" w:rsidRPr="0025250D">
        <w:rPr>
          <w:rtl/>
        </w:rPr>
        <w:t xml:space="preserve"> از محققان ا</w:t>
      </w:r>
      <w:r w:rsidR="002F75DA" w:rsidRPr="0025250D">
        <w:rPr>
          <w:rFonts w:hint="cs"/>
          <w:rtl/>
        </w:rPr>
        <w:t>ی</w:t>
      </w:r>
      <w:r w:rsidR="002F75DA" w:rsidRPr="0025250D">
        <w:rPr>
          <w:rFonts w:hint="eastAsia"/>
          <w:rtl/>
        </w:rPr>
        <w:t>جاد</w:t>
      </w:r>
      <w:r w:rsidR="002F75DA" w:rsidRPr="0025250D">
        <w:rPr>
          <w:rtl/>
        </w:rPr>
        <w:t xml:space="preserve"> کرده‌ا</w:t>
      </w:r>
      <w:r w:rsidR="002F75DA" w:rsidRPr="0025250D">
        <w:rPr>
          <w:rFonts w:hint="cs"/>
          <w:rtl/>
        </w:rPr>
        <w:t>ی</w:t>
      </w:r>
      <w:r w:rsidR="002F75DA" w:rsidRPr="0025250D">
        <w:rPr>
          <w:rFonts w:hint="eastAsia"/>
          <w:rtl/>
        </w:rPr>
        <w:t>م</w:t>
      </w:r>
      <w:r w:rsidR="002F75DA" w:rsidRPr="0025250D">
        <w:rPr>
          <w:rtl/>
        </w:rPr>
        <w:t xml:space="preserve"> که فکر م</w:t>
      </w:r>
      <w:r w:rsidR="002F75DA" w:rsidRPr="0025250D">
        <w:rPr>
          <w:rFonts w:hint="cs"/>
          <w:rtl/>
        </w:rPr>
        <w:t>ی‌</w:t>
      </w:r>
      <w:r w:rsidR="002F75DA" w:rsidRPr="0025250D">
        <w:rPr>
          <w:rFonts w:hint="eastAsia"/>
          <w:rtl/>
        </w:rPr>
        <w:t>کنند</w:t>
      </w:r>
      <w:r w:rsidR="002F75DA" w:rsidRPr="0025250D">
        <w:rPr>
          <w:rtl/>
        </w:rPr>
        <w:t xml:space="preserve"> </w:t>
      </w:r>
      <w:r w:rsidR="00B56611" w:rsidRPr="0025250D">
        <w:rPr>
          <w:rFonts w:hint="cs"/>
          <w:rtl/>
        </w:rPr>
        <w:t>شتاب‌گیری</w:t>
      </w:r>
      <w:r w:rsidR="002F75DA" w:rsidRPr="0025250D">
        <w:rPr>
          <w:rtl/>
        </w:rPr>
        <w:t xml:space="preserve"> تغ</w:t>
      </w:r>
      <w:r w:rsidR="002F75DA" w:rsidRPr="0025250D">
        <w:rPr>
          <w:rFonts w:hint="cs"/>
          <w:rtl/>
        </w:rPr>
        <w:t>یی</w:t>
      </w:r>
      <w:r w:rsidR="002F75DA" w:rsidRPr="0025250D">
        <w:rPr>
          <w:rFonts w:hint="eastAsia"/>
          <w:rtl/>
        </w:rPr>
        <w:t>ر</w:t>
      </w:r>
      <w:r w:rsidR="002F75DA" w:rsidRPr="0025250D">
        <w:rPr>
          <w:rtl/>
        </w:rPr>
        <w:t xml:space="preserve"> </w:t>
      </w:r>
      <w:r w:rsidR="002F75DA" w:rsidRPr="0025250D">
        <w:rPr>
          <w:rFonts w:hint="cs"/>
          <w:rtl/>
        </w:rPr>
        <w:t>ی</w:t>
      </w:r>
      <w:r w:rsidR="002F75DA" w:rsidRPr="0025250D">
        <w:rPr>
          <w:rFonts w:hint="eastAsia"/>
          <w:rtl/>
        </w:rPr>
        <w:t>ک</w:t>
      </w:r>
      <w:r w:rsidR="002F75DA" w:rsidRPr="0025250D">
        <w:rPr>
          <w:rtl/>
        </w:rPr>
        <w:t xml:space="preserve"> فرآ</w:t>
      </w:r>
      <w:r w:rsidR="002F75DA" w:rsidRPr="0025250D">
        <w:rPr>
          <w:rFonts w:hint="cs"/>
          <w:rtl/>
        </w:rPr>
        <w:t>ی</w:t>
      </w:r>
      <w:r w:rsidR="002F75DA" w:rsidRPr="0025250D">
        <w:rPr>
          <w:rFonts w:hint="eastAsia"/>
          <w:rtl/>
        </w:rPr>
        <w:t>ند</w:t>
      </w:r>
      <w:r w:rsidR="002F75DA" w:rsidRPr="0025250D">
        <w:rPr>
          <w:rtl/>
        </w:rPr>
        <w:t xml:space="preserve"> تکامل</w:t>
      </w:r>
      <w:r w:rsidR="002F75DA" w:rsidRPr="0025250D">
        <w:rPr>
          <w:rFonts w:hint="cs"/>
          <w:rtl/>
        </w:rPr>
        <w:t>ی</w:t>
      </w:r>
      <w:r w:rsidR="002F75DA" w:rsidRPr="0025250D">
        <w:rPr>
          <w:rtl/>
        </w:rPr>
        <w:t xml:space="preserve"> جهان</w:t>
      </w:r>
      <w:r w:rsidR="002F75DA" w:rsidRPr="0025250D">
        <w:rPr>
          <w:rFonts w:hint="cs"/>
          <w:rtl/>
        </w:rPr>
        <w:t>ی</w:t>
      </w:r>
      <w:r w:rsidR="002F75DA" w:rsidRPr="0025250D">
        <w:rPr>
          <w:rtl/>
        </w:rPr>
        <w:t xml:space="preserve"> است که گونه‌ها</w:t>
      </w:r>
      <w:r w:rsidR="002F75DA" w:rsidRPr="0025250D">
        <w:rPr>
          <w:rFonts w:hint="cs"/>
          <w:rtl/>
        </w:rPr>
        <w:t>ی</w:t>
      </w:r>
      <w:r w:rsidR="002F75DA" w:rsidRPr="0025250D">
        <w:rPr>
          <w:rtl/>
        </w:rPr>
        <w:t xml:space="preserve"> ما هنوز تا حد ز</w:t>
      </w:r>
      <w:r w:rsidR="002F75DA" w:rsidRPr="0025250D">
        <w:rPr>
          <w:rFonts w:hint="cs"/>
          <w:rtl/>
        </w:rPr>
        <w:t>ی</w:t>
      </w:r>
      <w:r w:rsidR="002F75DA" w:rsidRPr="0025250D">
        <w:rPr>
          <w:rFonts w:hint="eastAsia"/>
          <w:rtl/>
        </w:rPr>
        <w:t>اد</w:t>
      </w:r>
      <w:r w:rsidR="002F75DA" w:rsidRPr="0025250D">
        <w:rPr>
          <w:rFonts w:hint="cs"/>
          <w:rtl/>
        </w:rPr>
        <w:t>ی</w:t>
      </w:r>
      <w:r w:rsidR="002F75DA" w:rsidRPr="0025250D">
        <w:rPr>
          <w:rtl/>
        </w:rPr>
        <w:t xml:space="preserve"> آن را ناد</w:t>
      </w:r>
      <w:r w:rsidR="002F75DA" w:rsidRPr="0025250D">
        <w:rPr>
          <w:rFonts w:hint="cs"/>
          <w:rtl/>
        </w:rPr>
        <w:t>ی</w:t>
      </w:r>
      <w:r w:rsidR="002F75DA" w:rsidRPr="0025250D">
        <w:rPr>
          <w:rFonts w:hint="eastAsia"/>
          <w:rtl/>
        </w:rPr>
        <w:t>ده</w:t>
      </w:r>
      <w:r w:rsidR="002F75DA" w:rsidRPr="0025250D">
        <w:rPr>
          <w:rtl/>
        </w:rPr>
        <w:t xml:space="preserve"> م</w:t>
      </w:r>
      <w:r w:rsidR="002F75DA" w:rsidRPr="0025250D">
        <w:rPr>
          <w:rFonts w:hint="cs"/>
          <w:rtl/>
        </w:rPr>
        <w:t>ی‌</w:t>
      </w:r>
      <w:r w:rsidR="002F75DA" w:rsidRPr="0025250D">
        <w:rPr>
          <w:rFonts w:hint="eastAsia"/>
          <w:rtl/>
        </w:rPr>
        <w:t>گ</w:t>
      </w:r>
      <w:r w:rsidR="002F75DA" w:rsidRPr="0025250D">
        <w:rPr>
          <w:rFonts w:hint="cs"/>
          <w:rtl/>
        </w:rPr>
        <w:t>ی</w:t>
      </w:r>
      <w:r w:rsidR="002F75DA" w:rsidRPr="0025250D">
        <w:rPr>
          <w:rFonts w:hint="eastAsia"/>
          <w:rtl/>
        </w:rPr>
        <w:t>رند</w:t>
      </w:r>
      <w:r w:rsidR="002F75DA" w:rsidRPr="0025250D">
        <w:rPr>
          <w:rtl/>
        </w:rPr>
        <w:t xml:space="preserve"> و ا</w:t>
      </w:r>
      <w:r w:rsidR="002F75DA" w:rsidRPr="0025250D">
        <w:rPr>
          <w:rFonts w:hint="cs"/>
          <w:rtl/>
        </w:rPr>
        <w:t>ی</w:t>
      </w:r>
      <w:r w:rsidR="002F75DA" w:rsidRPr="0025250D">
        <w:rPr>
          <w:rFonts w:hint="eastAsia"/>
          <w:rtl/>
        </w:rPr>
        <w:t>ن</w:t>
      </w:r>
      <w:r w:rsidR="002F75DA" w:rsidRPr="0025250D">
        <w:rPr>
          <w:rtl/>
        </w:rPr>
        <w:t xml:space="preserve"> به ضرر ماست. ما را باور</w:t>
      </w:r>
      <w:r w:rsidR="00EE4B64" w:rsidRPr="0025250D">
        <w:rPr>
          <w:rtl/>
        </w:rPr>
        <w:t xml:space="preserve"> نمی‌</w:t>
      </w:r>
      <w:r w:rsidR="002F75DA" w:rsidRPr="0025250D">
        <w:rPr>
          <w:rtl/>
        </w:rPr>
        <w:t>کن</w:t>
      </w:r>
      <w:r w:rsidR="002F75DA" w:rsidRPr="0025250D">
        <w:rPr>
          <w:rFonts w:hint="cs"/>
          <w:rtl/>
        </w:rPr>
        <w:t>ی</w:t>
      </w:r>
      <w:r w:rsidR="002F75DA" w:rsidRPr="0025250D">
        <w:rPr>
          <w:rFonts w:hint="eastAsia"/>
          <w:rtl/>
        </w:rPr>
        <w:t>د؟</w:t>
      </w:r>
      <w:r w:rsidR="002F75DA" w:rsidRPr="0025250D">
        <w:rPr>
          <w:rtl/>
        </w:rPr>
        <w:t xml:space="preserve"> به تقو</w:t>
      </w:r>
      <w:r w:rsidR="002F75DA" w:rsidRPr="0025250D">
        <w:rPr>
          <w:rFonts w:hint="cs"/>
          <w:rtl/>
        </w:rPr>
        <w:t>ی</w:t>
      </w:r>
      <w:r w:rsidR="002F75DA" w:rsidRPr="0025250D">
        <w:rPr>
          <w:rFonts w:hint="eastAsia"/>
          <w:rtl/>
        </w:rPr>
        <w:t>م</w:t>
      </w:r>
      <w:r w:rsidR="002F75DA" w:rsidRPr="0025250D">
        <w:rPr>
          <w:rtl/>
        </w:rPr>
        <w:t xml:space="preserve"> پ</w:t>
      </w:r>
      <w:r w:rsidR="002F75DA" w:rsidRPr="0025250D">
        <w:rPr>
          <w:rFonts w:hint="cs"/>
          <w:rtl/>
        </w:rPr>
        <w:t>ی</w:t>
      </w:r>
      <w:r w:rsidR="002F75DA" w:rsidRPr="0025250D">
        <w:rPr>
          <w:rFonts w:hint="eastAsia"/>
          <w:rtl/>
        </w:rPr>
        <w:t>چ</w:t>
      </w:r>
      <w:r w:rsidR="002F75DA" w:rsidRPr="0025250D">
        <w:rPr>
          <w:rFonts w:hint="cs"/>
          <w:rtl/>
        </w:rPr>
        <w:t>ی</w:t>
      </w:r>
      <w:r w:rsidR="002F75DA" w:rsidRPr="0025250D">
        <w:rPr>
          <w:rFonts w:hint="eastAsia"/>
          <w:rtl/>
        </w:rPr>
        <w:t>دگ</w:t>
      </w:r>
      <w:r w:rsidR="002F75DA" w:rsidRPr="0025250D">
        <w:rPr>
          <w:rFonts w:hint="cs"/>
          <w:rtl/>
        </w:rPr>
        <w:t>ی</w:t>
      </w:r>
      <w:r w:rsidR="002F75DA" w:rsidRPr="0025250D">
        <w:rPr>
          <w:rtl/>
        </w:rPr>
        <w:t xml:space="preserve"> ک</w:t>
      </w:r>
      <w:r w:rsidR="002F75DA" w:rsidRPr="0025250D">
        <w:rPr>
          <w:rFonts w:hint="cs"/>
          <w:rtl/>
        </w:rPr>
        <w:t>ی</w:t>
      </w:r>
      <w:r w:rsidR="002F75DA" w:rsidRPr="0025250D">
        <w:rPr>
          <w:rFonts w:hint="eastAsia"/>
          <w:rtl/>
        </w:rPr>
        <w:t>هان</w:t>
      </w:r>
      <w:r w:rsidR="002F75DA" w:rsidRPr="0025250D">
        <w:rPr>
          <w:rFonts w:hint="cs"/>
          <w:rtl/>
        </w:rPr>
        <w:t>ی</w:t>
      </w:r>
      <w:r w:rsidR="002F75DA" w:rsidRPr="0025250D">
        <w:rPr>
          <w:rtl/>
        </w:rPr>
        <w:t xml:space="preserve"> کارل ساگان خوب نگاه </w:t>
      </w:r>
      <w:r w:rsidR="002F75DA" w:rsidRPr="0025250D">
        <w:rPr>
          <w:rFonts w:hint="eastAsia"/>
          <w:rtl/>
        </w:rPr>
        <w:t>کن</w:t>
      </w:r>
      <w:r w:rsidR="002F75DA" w:rsidRPr="0025250D">
        <w:rPr>
          <w:rFonts w:hint="cs"/>
          <w:rtl/>
        </w:rPr>
        <w:t>ی</w:t>
      </w:r>
      <w:r w:rsidR="002F75DA" w:rsidRPr="0025250D">
        <w:rPr>
          <w:rFonts w:hint="eastAsia"/>
          <w:rtl/>
        </w:rPr>
        <w:t>د</w:t>
      </w:r>
      <w:r w:rsidR="002F75DA" w:rsidRPr="0025250D">
        <w:rPr>
          <w:rtl/>
        </w:rPr>
        <w:t xml:space="preserve"> و خودتان قضاوت کن</w:t>
      </w:r>
      <w:r w:rsidR="002F75DA" w:rsidRPr="0025250D">
        <w:rPr>
          <w:rFonts w:hint="cs"/>
          <w:rtl/>
        </w:rPr>
        <w:t>ی</w:t>
      </w:r>
      <w:r w:rsidR="002F75DA" w:rsidRPr="0025250D">
        <w:rPr>
          <w:rFonts w:hint="eastAsia"/>
          <w:rtl/>
        </w:rPr>
        <w:t>د</w:t>
      </w:r>
      <w:r w:rsidR="002F75DA" w:rsidRPr="0025250D">
        <w:rPr>
          <w:rtl/>
        </w:rPr>
        <w:t>.</w:t>
      </w:r>
    </w:p>
    <w:p w14:paraId="1C30131D" w14:textId="388B635F" w:rsidR="002F75DA" w:rsidRPr="0025250D" w:rsidRDefault="002F75DA" w:rsidP="002F75DA">
      <w:pPr>
        <w:jc w:val="center"/>
        <w:rPr>
          <w:rtl/>
        </w:rPr>
      </w:pPr>
      <w:r w:rsidRPr="0025250D">
        <w:rPr>
          <w:noProof/>
          <w:lang w:bidi="ar-SA"/>
        </w:rPr>
        <w:drawing>
          <wp:inline distT="0" distB="0" distL="0" distR="0" wp14:anchorId="5670178A" wp14:editId="430326EB">
            <wp:extent cx="971550" cy="1971675"/>
            <wp:effectExtent l="0" t="0" r="0" b="952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extLst>
                        <a:ext uri="{BEBA8EAE-BF5A-486C-A8C5-ECC9F3942E4B}">
                          <a14:imgProps xmlns:a14="http://schemas.microsoft.com/office/drawing/2010/main">
                            <a14:imgLayer r:embed="rId584">
                              <a14:imgEffect>
                                <a14:saturation sat="0"/>
                              </a14:imgEffect>
                            </a14:imgLayer>
                          </a14:imgProps>
                        </a:ext>
                      </a:extLst>
                    </a:blip>
                    <a:stretch>
                      <a:fillRect/>
                    </a:stretch>
                  </pic:blipFill>
                  <pic:spPr>
                    <a:xfrm>
                      <a:off x="0" y="0"/>
                      <a:ext cx="971550" cy="1971675"/>
                    </a:xfrm>
                    <a:prstGeom prst="rect">
                      <a:avLst/>
                    </a:prstGeom>
                  </pic:spPr>
                </pic:pic>
              </a:graphicData>
            </a:graphic>
          </wp:inline>
        </w:drawing>
      </w:r>
    </w:p>
    <w:p w14:paraId="24FACC64" w14:textId="2B79453D" w:rsidR="00537CC8" w:rsidRPr="0025250D" w:rsidRDefault="002F75DA" w:rsidP="002F75DA">
      <w:pPr>
        <w:rPr>
          <w:rtl/>
        </w:rPr>
      </w:pPr>
      <w:r w:rsidRPr="0025250D">
        <w:rPr>
          <w:rtl/>
        </w:rPr>
        <w:t>از جنبه آ</w:t>
      </w:r>
      <w:r w:rsidRPr="0025250D">
        <w:rPr>
          <w:rFonts w:hint="cs"/>
          <w:rtl/>
        </w:rPr>
        <w:t>ی</w:t>
      </w:r>
      <w:r w:rsidRPr="0025250D">
        <w:rPr>
          <w:rFonts w:hint="eastAsia"/>
          <w:rtl/>
        </w:rPr>
        <w:t>نده‌نگار</w:t>
      </w:r>
      <w:r w:rsidRPr="0025250D">
        <w:rPr>
          <w:rFonts w:hint="cs"/>
          <w:rtl/>
        </w:rPr>
        <w:t>ی</w:t>
      </w:r>
      <w:r w:rsidRPr="0025250D">
        <w:rPr>
          <w:rFonts w:hint="eastAsia"/>
          <w:rtl/>
        </w:rPr>
        <w:t>،</w:t>
      </w:r>
      <w:r w:rsidRPr="0025250D">
        <w:rPr>
          <w:rtl/>
        </w:rPr>
        <w:t xml:space="preserve"> در آنچه در سال 2015 به دانشگاه آ</w:t>
      </w:r>
      <w:r w:rsidRPr="0025250D">
        <w:rPr>
          <w:rFonts w:hint="cs"/>
          <w:rtl/>
        </w:rPr>
        <w:t>ی</w:t>
      </w:r>
      <w:r w:rsidRPr="0025250D">
        <w:rPr>
          <w:rFonts w:hint="eastAsia"/>
          <w:rtl/>
        </w:rPr>
        <w:t>نده‌نگر</w:t>
      </w:r>
      <w:r w:rsidRPr="0025250D">
        <w:rPr>
          <w:rFonts w:hint="cs"/>
          <w:rtl/>
        </w:rPr>
        <w:t>ی</w:t>
      </w:r>
      <w:r w:rsidRPr="0025250D">
        <w:rPr>
          <w:rtl/>
        </w:rPr>
        <w:t xml:space="preserve"> تبد</w:t>
      </w:r>
      <w:r w:rsidRPr="0025250D">
        <w:rPr>
          <w:rFonts w:hint="cs"/>
          <w:rtl/>
        </w:rPr>
        <w:t>ی</w:t>
      </w:r>
      <w:r w:rsidRPr="0025250D">
        <w:rPr>
          <w:rFonts w:hint="eastAsia"/>
          <w:rtl/>
        </w:rPr>
        <w:t>ل</w:t>
      </w:r>
      <w:r w:rsidRPr="0025250D">
        <w:rPr>
          <w:rtl/>
        </w:rPr>
        <w:t xml:space="preserve"> شد، سه کنفرانس معروف در مورد </w:t>
      </w:r>
      <w:r w:rsidR="00B56611" w:rsidRPr="0025250D">
        <w:rPr>
          <w:rFonts w:hint="cs"/>
          <w:rtl/>
        </w:rPr>
        <w:t>شتاب‌گیری</w:t>
      </w:r>
      <w:r w:rsidRPr="0025250D">
        <w:rPr>
          <w:rtl/>
        </w:rPr>
        <w:t xml:space="preserve"> تغ</w:t>
      </w:r>
      <w:r w:rsidRPr="0025250D">
        <w:rPr>
          <w:rFonts w:hint="cs"/>
          <w:rtl/>
        </w:rPr>
        <w:t>یی</w:t>
      </w:r>
      <w:r w:rsidRPr="0025250D">
        <w:rPr>
          <w:rFonts w:hint="eastAsia"/>
          <w:rtl/>
        </w:rPr>
        <w:t>رات</w:t>
      </w:r>
      <w:r w:rsidRPr="0025250D">
        <w:rPr>
          <w:rtl/>
        </w:rPr>
        <w:t xml:space="preserve"> در استنفورد در سال‌ها</w:t>
      </w:r>
      <w:r w:rsidRPr="0025250D">
        <w:rPr>
          <w:rFonts w:hint="cs"/>
          <w:rtl/>
        </w:rPr>
        <w:t>ی</w:t>
      </w:r>
      <w:r w:rsidRPr="0025250D">
        <w:rPr>
          <w:rtl/>
        </w:rPr>
        <w:t xml:space="preserve"> 2003-2005 برگزار کرد</w:t>
      </w:r>
      <w:r w:rsidRPr="0025250D">
        <w:rPr>
          <w:rFonts w:hint="cs"/>
          <w:rtl/>
        </w:rPr>
        <w:t>ی</w:t>
      </w:r>
      <w:r w:rsidRPr="0025250D">
        <w:rPr>
          <w:rFonts w:hint="eastAsia"/>
          <w:rtl/>
        </w:rPr>
        <w:t>م</w:t>
      </w:r>
      <w:r w:rsidRPr="0025250D">
        <w:rPr>
          <w:rtl/>
        </w:rPr>
        <w:t xml:space="preserve"> که در آن افراد برجسته‌ا</w:t>
      </w:r>
      <w:r w:rsidRPr="0025250D">
        <w:rPr>
          <w:rFonts w:hint="cs"/>
          <w:rtl/>
        </w:rPr>
        <w:t>ی</w:t>
      </w:r>
      <w:r w:rsidRPr="0025250D">
        <w:rPr>
          <w:rtl/>
        </w:rPr>
        <w:t xml:space="preserve"> مانند داگ انگلبارت، ت</w:t>
      </w:r>
      <w:r w:rsidRPr="0025250D">
        <w:rPr>
          <w:rFonts w:hint="cs"/>
          <w:rtl/>
        </w:rPr>
        <w:t>ی</w:t>
      </w:r>
      <w:r w:rsidRPr="0025250D">
        <w:rPr>
          <w:rFonts w:hint="eastAsia"/>
          <w:rtl/>
        </w:rPr>
        <w:t>م</w:t>
      </w:r>
      <w:r w:rsidRPr="0025250D">
        <w:rPr>
          <w:rtl/>
        </w:rPr>
        <w:t xml:space="preserve"> اور</w:t>
      </w:r>
      <w:r w:rsidRPr="0025250D">
        <w:rPr>
          <w:rFonts w:hint="cs"/>
          <w:rtl/>
        </w:rPr>
        <w:t>ی</w:t>
      </w:r>
      <w:r w:rsidRPr="0025250D">
        <w:rPr>
          <w:rFonts w:hint="eastAsia"/>
          <w:rtl/>
        </w:rPr>
        <w:t>ل</w:t>
      </w:r>
      <w:r w:rsidRPr="0025250D">
        <w:rPr>
          <w:rFonts w:hint="cs"/>
          <w:rtl/>
        </w:rPr>
        <w:t>ی</w:t>
      </w:r>
      <w:r w:rsidRPr="0025250D">
        <w:rPr>
          <w:rFonts w:hint="eastAsia"/>
          <w:rtl/>
        </w:rPr>
        <w:t>،</w:t>
      </w:r>
      <w:r w:rsidRPr="0025250D">
        <w:rPr>
          <w:rtl/>
        </w:rPr>
        <w:t xml:space="preserve"> کر</w:t>
      </w:r>
      <w:r w:rsidRPr="0025250D">
        <w:rPr>
          <w:rFonts w:hint="cs"/>
          <w:rtl/>
        </w:rPr>
        <w:t>ی</w:t>
      </w:r>
      <w:r w:rsidRPr="0025250D">
        <w:rPr>
          <w:rFonts w:hint="eastAsia"/>
          <w:rtl/>
        </w:rPr>
        <w:t>ست</w:t>
      </w:r>
      <w:r w:rsidRPr="0025250D">
        <w:rPr>
          <w:rFonts w:hint="cs"/>
          <w:rtl/>
        </w:rPr>
        <w:t>ی</w:t>
      </w:r>
      <w:r w:rsidRPr="0025250D">
        <w:rPr>
          <w:rFonts w:hint="eastAsia"/>
          <w:rtl/>
        </w:rPr>
        <w:t>ن</w:t>
      </w:r>
      <w:r w:rsidRPr="0025250D">
        <w:rPr>
          <w:rtl/>
        </w:rPr>
        <w:t xml:space="preserve"> پترسون، سرگ</w:t>
      </w:r>
      <w:r w:rsidRPr="0025250D">
        <w:rPr>
          <w:rFonts w:hint="cs"/>
          <w:rtl/>
        </w:rPr>
        <w:t>ی</w:t>
      </w:r>
      <w:r w:rsidRPr="0025250D">
        <w:rPr>
          <w:rtl/>
        </w:rPr>
        <w:t xml:space="preserve"> و لر</w:t>
      </w:r>
      <w:r w:rsidRPr="0025250D">
        <w:rPr>
          <w:rFonts w:hint="cs"/>
          <w:rtl/>
        </w:rPr>
        <w:t>ی</w:t>
      </w:r>
      <w:r w:rsidRPr="0025250D">
        <w:rPr>
          <w:rtl/>
        </w:rPr>
        <w:t xml:space="preserve"> بر</w:t>
      </w:r>
      <w:r w:rsidRPr="0025250D">
        <w:rPr>
          <w:rFonts w:hint="cs"/>
          <w:rtl/>
        </w:rPr>
        <w:t>ی</w:t>
      </w:r>
      <w:r w:rsidRPr="0025250D">
        <w:rPr>
          <w:rFonts w:hint="eastAsia"/>
          <w:rtl/>
        </w:rPr>
        <w:t>ن،</w:t>
      </w:r>
      <w:r w:rsidRPr="0025250D">
        <w:rPr>
          <w:rtl/>
        </w:rPr>
        <w:t xml:space="preserve"> ر</w:t>
      </w:r>
      <w:r w:rsidRPr="0025250D">
        <w:rPr>
          <w:rFonts w:hint="cs"/>
          <w:rtl/>
        </w:rPr>
        <w:t>ی</w:t>
      </w:r>
      <w:r w:rsidRPr="0025250D">
        <w:rPr>
          <w:rtl/>
        </w:rPr>
        <w:t xml:space="preserve"> کورزو</w:t>
      </w:r>
      <w:r w:rsidRPr="0025250D">
        <w:rPr>
          <w:rFonts w:hint="cs"/>
          <w:rtl/>
        </w:rPr>
        <w:t>ی</w:t>
      </w:r>
      <w:r w:rsidRPr="0025250D">
        <w:rPr>
          <w:rFonts w:hint="eastAsia"/>
          <w:rtl/>
        </w:rPr>
        <w:t>ل</w:t>
      </w:r>
      <w:r w:rsidRPr="0025250D">
        <w:rPr>
          <w:rtl/>
        </w:rPr>
        <w:t xml:space="preserve"> هلن گر</w:t>
      </w:r>
      <w:r w:rsidRPr="0025250D">
        <w:rPr>
          <w:rFonts w:hint="cs"/>
          <w:rtl/>
        </w:rPr>
        <w:t>ی</w:t>
      </w:r>
      <w:r w:rsidRPr="0025250D">
        <w:rPr>
          <w:rFonts w:hint="eastAsia"/>
          <w:rtl/>
        </w:rPr>
        <w:t>نر،</w:t>
      </w:r>
      <w:r w:rsidRPr="0025250D">
        <w:rPr>
          <w:rtl/>
        </w:rPr>
        <w:t xml:space="preserve"> جارون لان</w:t>
      </w:r>
      <w:r w:rsidRPr="0025250D">
        <w:rPr>
          <w:rFonts w:hint="cs"/>
          <w:rtl/>
        </w:rPr>
        <w:t>ی</w:t>
      </w:r>
      <w:r w:rsidRPr="0025250D">
        <w:rPr>
          <w:rFonts w:hint="eastAsia"/>
          <w:rtl/>
        </w:rPr>
        <w:t>ر،</w:t>
      </w:r>
      <w:r w:rsidRPr="0025250D">
        <w:rPr>
          <w:rtl/>
        </w:rPr>
        <w:t xml:space="preserve"> ف</w:t>
      </w:r>
      <w:r w:rsidRPr="0025250D">
        <w:rPr>
          <w:rFonts w:hint="cs"/>
          <w:rtl/>
        </w:rPr>
        <w:t>ی</w:t>
      </w:r>
      <w:r w:rsidRPr="0025250D">
        <w:rPr>
          <w:rFonts w:hint="eastAsia"/>
          <w:rtl/>
        </w:rPr>
        <w:t>ل</w:t>
      </w:r>
      <w:r w:rsidRPr="0025250D">
        <w:rPr>
          <w:rFonts w:hint="cs"/>
          <w:rtl/>
        </w:rPr>
        <w:t>ی</w:t>
      </w:r>
      <w:r w:rsidRPr="0025250D">
        <w:rPr>
          <w:rFonts w:hint="eastAsia"/>
          <w:rtl/>
        </w:rPr>
        <w:t>پ</w:t>
      </w:r>
      <w:r w:rsidRPr="0025250D">
        <w:rPr>
          <w:rtl/>
        </w:rPr>
        <w:t xml:space="preserve"> روزد</w:t>
      </w:r>
      <w:r w:rsidRPr="0025250D">
        <w:rPr>
          <w:rFonts w:hint="cs"/>
          <w:rtl/>
        </w:rPr>
        <w:t>ی</w:t>
      </w:r>
      <w:r w:rsidRPr="0025250D">
        <w:rPr>
          <w:rFonts w:hint="eastAsia"/>
          <w:rtl/>
        </w:rPr>
        <w:t>ل</w:t>
      </w:r>
      <w:r w:rsidRPr="0025250D">
        <w:rPr>
          <w:rtl/>
        </w:rPr>
        <w:t xml:space="preserve"> و بس</w:t>
      </w:r>
      <w:r w:rsidRPr="0025250D">
        <w:rPr>
          <w:rFonts w:hint="cs"/>
          <w:rtl/>
        </w:rPr>
        <w:t>ی</w:t>
      </w:r>
      <w:r w:rsidRPr="0025250D">
        <w:rPr>
          <w:rFonts w:hint="eastAsia"/>
          <w:rtl/>
        </w:rPr>
        <w:t>ار</w:t>
      </w:r>
      <w:r w:rsidRPr="0025250D">
        <w:rPr>
          <w:rFonts w:hint="cs"/>
          <w:rtl/>
        </w:rPr>
        <w:t>ی</w:t>
      </w:r>
      <w:r w:rsidRPr="0025250D">
        <w:rPr>
          <w:rtl/>
        </w:rPr>
        <w:t xml:space="preserve"> د</w:t>
      </w:r>
      <w:r w:rsidRPr="0025250D">
        <w:rPr>
          <w:rFonts w:hint="cs"/>
          <w:rtl/>
        </w:rPr>
        <w:t>ی</w:t>
      </w:r>
      <w:r w:rsidRPr="0025250D">
        <w:rPr>
          <w:rFonts w:hint="eastAsia"/>
          <w:rtl/>
        </w:rPr>
        <w:t>گر</w:t>
      </w:r>
      <w:r w:rsidRPr="0025250D">
        <w:rPr>
          <w:rtl/>
        </w:rPr>
        <w:t xml:space="preserve"> درباره چگونگ</w:t>
      </w:r>
      <w:r w:rsidRPr="0025250D">
        <w:rPr>
          <w:rFonts w:hint="cs"/>
          <w:rtl/>
        </w:rPr>
        <w:t>ی</w:t>
      </w:r>
      <w:r w:rsidRPr="0025250D">
        <w:rPr>
          <w:rtl/>
        </w:rPr>
        <w:t xml:space="preserve"> انسان</w:t>
      </w:r>
      <w:r w:rsidRPr="0025250D">
        <w:rPr>
          <w:rFonts w:hint="cs"/>
          <w:rtl/>
        </w:rPr>
        <w:t>ی</w:t>
      </w:r>
      <w:r w:rsidRPr="0025250D">
        <w:rPr>
          <w:rtl/>
        </w:rPr>
        <w:t xml:space="preserve"> </w:t>
      </w:r>
      <w:r w:rsidRPr="0025250D">
        <w:rPr>
          <w:rFonts w:hint="cs"/>
          <w:rtl/>
        </w:rPr>
        <w:t>سازی</w:t>
      </w:r>
      <w:r w:rsidRPr="0025250D">
        <w:rPr>
          <w:rtl/>
        </w:rPr>
        <w:t xml:space="preserve"> تغ</w:t>
      </w:r>
      <w:r w:rsidRPr="0025250D">
        <w:rPr>
          <w:rFonts w:hint="cs"/>
          <w:rtl/>
        </w:rPr>
        <w:t>یی</w:t>
      </w:r>
      <w:r w:rsidRPr="0025250D">
        <w:rPr>
          <w:rFonts w:hint="eastAsia"/>
          <w:rtl/>
        </w:rPr>
        <w:t>رات</w:t>
      </w:r>
      <w:r w:rsidRPr="0025250D">
        <w:rPr>
          <w:rtl/>
        </w:rPr>
        <w:t xml:space="preserve"> </w:t>
      </w:r>
      <w:r w:rsidR="007B3B35" w:rsidRPr="0025250D">
        <w:rPr>
          <w:rtl/>
        </w:rPr>
        <w:t>شتاب‌گیر</w:t>
      </w:r>
      <w:r w:rsidRPr="0025250D">
        <w:rPr>
          <w:rFonts w:hint="cs"/>
          <w:rtl/>
        </w:rPr>
        <w:t>نده</w:t>
      </w:r>
      <w:r w:rsidRPr="0025250D">
        <w:rPr>
          <w:rtl/>
        </w:rPr>
        <w:t xml:space="preserve"> بحث کردند.</w:t>
      </w:r>
      <w:r w:rsidRPr="0025250D">
        <w:rPr>
          <w:rFonts w:hint="cs"/>
          <w:rtl/>
        </w:rPr>
        <w:t xml:space="preserve"> </w:t>
      </w:r>
      <w:r w:rsidRPr="0025250D">
        <w:rPr>
          <w:rtl/>
        </w:rPr>
        <w:t xml:space="preserve">ما مطالعه </w:t>
      </w:r>
      <w:r w:rsidRPr="0025250D">
        <w:rPr>
          <w:rFonts w:hint="cs"/>
          <w:rtl/>
        </w:rPr>
        <w:t>ره‌نگاشت</w:t>
      </w:r>
      <w:r w:rsidRPr="0025250D">
        <w:rPr>
          <w:rtl/>
        </w:rPr>
        <w:t xml:space="preserve"> </w:t>
      </w:r>
      <w:r w:rsidRPr="0025250D">
        <w:rPr>
          <w:rFonts w:hint="cs"/>
          <w:rtl/>
        </w:rPr>
        <w:t>متاورس</w:t>
      </w:r>
      <w:r w:rsidRPr="0025250D">
        <w:rPr>
          <w:rStyle w:val="FootnoteReference"/>
          <w:rtl/>
        </w:rPr>
        <w:footnoteReference w:id="3605"/>
      </w:r>
      <w:r w:rsidRPr="0025250D">
        <w:rPr>
          <w:rtl/>
        </w:rPr>
        <w:t xml:space="preserve"> را در سال 2007 نوشت</w:t>
      </w:r>
      <w:r w:rsidRPr="0025250D">
        <w:rPr>
          <w:rFonts w:hint="cs"/>
          <w:rtl/>
        </w:rPr>
        <w:t>ی</w:t>
      </w:r>
      <w:r w:rsidRPr="0025250D">
        <w:rPr>
          <w:rFonts w:hint="eastAsia"/>
          <w:rtl/>
        </w:rPr>
        <w:t>م</w:t>
      </w:r>
      <w:r w:rsidRPr="0025250D">
        <w:rPr>
          <w:rtl/>
        </w:rPr>
        <w:t xml:space="preserve">. ما </w:t>
      </w:r>
      <w:r w:rsidRPr="0025250D">
        <w:t>FERN</w:t>
      </w:r>
      <w:r w:rsidRPr="0025250D">
        <w:rPr>
          <w:rtl/>
        </w:rPr>
        <w:t xml:space="preserve"> را </w:t>
      </w:r>
      <w:r w:rsidRPr="0025250D">
        <w:rPr>
          <w:rFonts w:hint="cs"/>
          <w:rtl/>
        </w:rPr>
        <w:t>که</w:t>
      </w:r>
      <w:r w:rsidRPr="0025250D">
        <w:rPr>
          <w:rtl/>
        </w:rPr>
        <w:t xml:space="preserve"> پل</w:t>
      </w:r>
      <w:r w:rsidRPr="0025250D">
        <w:rPr>
          <w:rFonts w:hint="cs"/>
          <w:rtl/>
        </w:rPr>
        <w:t>ی</w:t>
      </w:r>
      <w:r w:rsidRPr="0025250D">
        <w:rPr>
          <w:rtl/>
        </w:rPr>
        <w:t xml:space="preserve"> را</w:t>
      </w:r>
      <w:r w:rsidRPr="0025250D">
        <w:rPr>
          <w:rFonts w:hint="cs"/>
          <w:rtl/>
        </w:rPr>
        <w:t>ی</w:t>
      </w:r>
      <w:r w:rsidRPr="0025250D">
        <w:rPr>
          <w:rFonts w:hint="eastAsia"/>
          <w:rtl/>
        </w:rPr>
        <w:t>گان</w:t>
      </w:r>
      <w:r w:rsidRPr="0025250D">
        <w:rPr>
          <w:rtl/>
        </w:rPr>
        <w:t xml:space="preserve"> به دن</w:t>
      </w:r>
      <w:r w:rsidRPr="0025250D">
        <w:rPr>
          <w:rFonts w:hint="cs"/>
          <w:rtl/>
        </w:rPr>
        <w:t>ی</w:t>
      </w:r>
      <w:r w:rsidRPr="0025250D">
        <w:rPr>
          <w:rFonts w:hint="eastAsia"/>
          <w:rtl/>
        </w:rPr>
        <w:t>ا</w:t>
      </w:r>
      <w:r w:rsidRPr="0025250D">
        <w:rPr>
          <w:rFonts w:hint="cs"/>
          <w:rtl/>
        </w:rPr>
        <w:t>ی</w:t>
      </w:r>
      <w:r w:rsidRPr="0025250D">
        <w:rPr>
          <w:rtl/>
        </w:rPr>
        <w:t xml:space="preserve"> آ</w:t>
      </w:r>
      <w:r w:rsidRPr="0025250D">
        <w:rPr>
          <w:rFonts w:hint="cs"/>
          <w:rtl/>
        </w:rPr>
        <w:t>ی</w:t>
      </w:r>
      <w:r w:rsidRPr="0025250D">
        <w:rPr>
          <w:rFonts w:hint="eastAsia"/>
          <w:rtl/>
        </w:rPr>
        <w:t>نده‌نگار</w:t>
      </w:r>
      <w:r w:rsidRPr="0025250D">
        <w:rPr>
          <w:rFonts w:hint="cs"/>
          <w:rtl/>
        </w:rPr>
        <w:t>ی</w:t>
      </w:r>
      <w:r w:rsidRPr="0025250D">
        <w:rPr>
          <w:rtl/>
        </w:rPr>
        <w:t xml:space="preserve"> </w:t>
      </w:r>
      <w:r w:rsidRPr="0025250D">
        <w:rPr>
          <w:rFonts w:hint="cs"/>
          <w:rtl/>
        </w:rPr>
        <w:t>تخصصی است</w:t>
      </w:r>
      <w:r w:rsidRPr="0025250D">
        <w:rPr>
          <w:rtl/>
        </w:rPr>
        <w:t xml:space="preserve"> در سال 2010</w:t>
      </w:r>
      <w:r w:rsidRPr="0025250D">
        <w:rPr>
          <w:rFonts w:hint="cs"/>
          <w:rtl/>
        </w:rPr>
        <w:t xml:space="preserve"> </w:t>
      </w:r>
      <w:r w:rsidRPr="0025250D">
        <w:rPr>
          <w:rtl/>
        </w:rPr>
        <w:t>ا</w:t>
      </w:r>
      <w:r w:rsidRPr="0025250D">
        <w:rPr>
          <w:rFonts w:hint="cs"/>
          <w:rtl/>
        </w:rPr>
        <w:t>ی</w:t>
      </w:r>
      <w:r w:rsidRPr="0025250D">
        <w:rPr>
          <w:rFonts w:hint="eastAsia"/>
          <w:rtl/>
        </w:rPr>
        <w:t>جاد</w:t>
      </w:r>
      <w:r w:rsidRPr="0025250D">
        <w:rPr>
          <w:rtl/>
        </w:rPr>
        <w:t xml:space="preserve"> کرد</w:t>
      </w:r>
      <w:r w:rsidRPr="0025250D">
        <w:rPr>
          <w:rFonts w:hint="cs"/>
          <w:rtl/>
        </w:rPr>
        <w:t>ی</w:t>
      </w:r>
      <w:r w:rsidRPr="0025250D">
        <w:rPr>
          <w:rFonts w:hint="eastAsia"/>
          <w:rtl/>
        </w:rPr>
        <w:t>م</w:t>
      </w:r>
      <w:r w:rsidRPr="0025250D">
        <w:rPr>
          <w:rtl/>
        </w:rPr>
        <w:t xml:space="preserve"> و کنفرانس آ</w:t>
      </w:r>
      <w:r w:rsidRPr="0025250D">
        <w:rPr>
          <w:rFonts w:hint="cs"/>
          <w:rtl/>
        </w:rPr>
        <w:t>ی</w:t>
      </w:r>
      <w:r w:rsidRPr="0025250D">
        <w:rPr>
          <w:rFonts w:hint="eastAsia"/>
          <w:rtl/>
        </w:rPr>
        <w:t>نده‌نگار</w:t>
      </w:r>
      <w:r w:rsidRPr="0025250D">
        <w:rPr>
          <w:rFonts w:hint="cs"/>
          <w:rtl/>
        </w:rPr>
        <w:t>ی</w:t>
      </w:r>
      <w:r w:rsidRPr="0025250D">
        <w:rPr>
          <w:rtl/>
        </w:rPr>
        <w:t xml:space="preserve"> مشاغل آ</w:t>
      </w:r>
      <w:r w:rsidRPr="0025250D">
        <w:rPr>
          <w:rFonts w:hint="cs"/>
          <w:rtl/>
        </w:rPr>
        <w:t>ی</w:t>
      </w:r>
      <w:r w:rsidRPr="0025250D">
        <w:rPr>
          <w:rFonts w:hint="eastAsia"/>
          <w:rtl/>
        </w:rPr>
        <w:t>نده‌نگار</w:t>
      </w:r>
      <w:r w:rsidRPr="0025250D">
        <w:rPr>
          <w:rFonts w:hint="cs"/>
          <w:rtl/>
        </w:rPr>
        <w:t>ی</w:t>
      </w:r>
      <w:r w:rsidRPr="0025250D">
        <w:rPr>
          <w:rtl/>
        </w:rPr>
        <w:t xml:space="preserve"> را در واشنگتن د</w:t>
      </w:r>
      <w:r w:rsidRPr="0025250D">
        <w:rPr>
          <w:rFonts w:hint="cs"/>
          <w:rtl/>
        </w:rPr>
        <w:t>ی</w:t>
      </w:r>
      <w:r w:rsidRPr="0025250D">
        <w:rPr>
          <w:rtl/>
        </w:rPr>
        <w:t xml:space="preserve"> س</w:t>
      </w:r>
      <w:r w:rsidRPr="0025250D">
        <w:rPr>
          <w:rFonts w:hint="cs"/>
          <w:rtl/>
        </w:rPr>
        <w:t>ی</w:t>
      </w:r>
      <w:r w:rsidRPr="0025250D">
        <w:rPr>
          <w:rtl/>
        </w:rPr>
        <w:t xml:space="preserve"> در سال 2013 برگزار کرد</w:t>
      </w:r>
      <w:r w:rsidRPr="0025250D">
        <w:rPr>
          <w:rFonts w:hint="cs"/>
          <w:rtl/>
        </w:rPr>
        <w:t>ی</w:t>
      </w:r>
      <w:r w:rsidRPr="0025250D">
        <w:rPr>
          <w:rFonts w:hint="eastAsia"/>
          <w:rtl/>
        </w:rPr>
        <w:t>م</w:t>
      </w:r>
      <w:r w:rsidRPr="0025250D">
        <w:rPr>
          <w:rtl/>
        </w:rPr>
        <w:t>. نسخه آلفا</w:t>
      </w:r>
      <w:r w:rsidRPr="0025250D">
        <w:rPr>
          <w:rFonts w:hint="cs"/>
          <w:rtl/>
        </w:rPr>
        <w:t>ی</w:t>
      </w:r>
      <w:r w:rsidRPr="0025250D">
        <w:rPr>
          <w:rtl/>
        </w:rPr>
        <w:t xml:space="preserve"> </w:t>
      </w:r>
      <w:r w:rsidRPr="0025250D">
        <w:rPr>
          <w:rFonts w:hint="cs"/>
          <w:rtl/>
        </w:rPr>
        <w:t xml:space="preserve">این </w:t>
      </w:r>
      <w:r w:rsidRPr="0025250D">
        <w:rPr>
          <w:rtl/>
        </w:rPr>
        <w:t>راهنما را به‌صورت آنلا</w:t>
      </w:r>
      <w:r w:rsidRPr="0025250D">
        <w:rPr>
          <w:rFonts w:hint="cs"/>
          <w:rtl/>
        </w:rPr>
        <w:t>ی</w:t>
      </w:r>
      <w:r w:rsidRPr="0025250D">
        <w:rPr>
          <w:rFonts w:hint="eastAsia"/>
          <w:rtl/>
        </w:rPr>
        <w:t>ن</w:t>
      </w:r>
      <w:r w:rsidRPr="0025250D">
        <w:rPr>
          <w:rtl/>
        </w:rPr>
        <w:t xml:space="preserve"> در س</w:t>
      </w:r>
      <w:r w:rsidRPr="0025250D">
        <w:rPr>
          <w:rFonts w:hint="eastAsia"/>
          <w:rtl/>
        </w:rPr>
        <w:t>ال</w:t>
      </w:r>
      <w:r w:rsidRPr="0025250D">
        <w:rPr>
          <w:rtl/>
        </w:rPr>
        <w:t xml:space="preserve"> 2014</w:t>
      </w:r>
      <w:r w:rsidRPr="0025250D">
        <w:rPr>
          <w:rFonts w:hint="cs"/>
          <w:rtl/>
        </w:rPr>
        <w:t xml:space="preserve"> در</w:t>
      </w:r>
      <w:r w:rsidRPr="0025250D">
        <w:rPr>
          <w:rtl/>
        </w:rPr>
        <w:t xml:space="preserve"> </w:t>
      </w:r>
      <w:r w:rsidRPr="0025250D">
        <w:t>ForesightGuide.com</w:t>
      </w:r>
      <w:r w:rsidRPr="0025250D">
        <w:rPr>
          <w:rFonts w:hint="cs"/>
          <w:rtl/>
        </w:rPr>
        <w:t xml:space="preserve"> عرضه</w:t>
      </w:r>
      <w:r w:rsidRPr="0025250D">
        <w:rPr>
          <w:rtl/>
        </w:rPr>
        <w:t xml:space="preserve"> </w:t>
      </w:r>
      <w:r w:rsidRPr="0025250D">
        <w:rPr>
          <w:rFonts w:hint="cs"/>
          <w:rtl/>
        </w:rPr>
        <w:t>نمودیم</w:t>
      </w:r>
      <w:r w:rsidRPr="0025250D">
        <w:rPr>
          <w:rtl/>
        </w:rPr>
        <w:t>. در سال 2015 شروع به نوشتن اول</w:t>
      </w:r>
      <w:r w:rsidRPr="0025250D">
        <w:rPr>
          <w:rFonts w:hint="cs"/>
          <w:rtl/>
        </w:rPr>
        <w:t>ی</w:t>
      </w:r>
      <w:r w:rsidRPr="0025250D">
        <w:rPr>
          <w:rFonts w:hint="eastAsia"/>
          <w:rtl/>
        </w:rPr>
        <w:t>ن</w:t>
      </w:r>
      <w:r w:rsidRPr="0025250D">
        <w:rPr>
          <w:rtl/>
        </w:rPr>
        <w:t xml:space="preserve"> نسخه چاپ</w:t>
      </w:r>
      <w:r w:rsidRPr="0025250D">
        <w:rPr>
          <w:rFonts w:hint="cs"/>
          <w:rtl/>
        </w:rPr>
        <w:t>ی</w:t>
      </w:r>
      <w:r w:rsidRPr="0025250D">
        <w:rPr>
          <w:rtl/>
        </w:rPr>
        <w:t xml:space="preserve"> (ا</w:t>
      </w:r>
      <w:r w:rsidRPr="0025250D">
        <w:rPr>
          <w:rFonts w:hint="cs"/>
          <w:rtl/>
        </w:rPr>
        <w:t>ی</w:t>
      </w:r>
      <w:r w:rsidRPr="0025250D">
        <w:rPr>
          <w:rFonts w:hint="eastAsia"/>
          <w:rtl/>
        </w:rPr>
        <w:t>ن</w:t>
      </w:r>
      <w:r w:rsidRPr="0025250D">
        <w:rPr>
          <w:rtl/>
        </w:rPr>
        <w:t xml:space="preserve"> نسخه) </w:t>
      </w:r>
      <w:r w:rsidRPr="0025250D">
        <w:rPr>
          <w:rFonts w:hint="cs"/>
          <w:rtl/>
        </w:rPr>
        <w:t>نمودیم</w:t>
      </w:r>
      <w:r w:rsidRPr="0025250D">
        <w:rPr>
          <w:rtl/>
        </w:rPr>
        <w:t>.</w:t>
      </w:r>
    </w:p>
    <w:p w14:paraId="0133610C" w14:textId="2EF1523E" w:rsidR="002F75DA" w:rsidRPr="0025250D" w:rsidRDefault="002F75DA" w:rsidP="002F75DA">
      <w:pPr>
        <w:rPr>
          <w:rtl/>
        </w:rPr>
      </w:pPr>
      <w:r w:rsidRPr="0025250D">
        <w:rPr>
          <w:rtl/>
        </w:rPr>
        <w:t xml:space="preserve">در سال 2021، </w:t>
      </w:r>
      <w:r w:rsidRPr="0025250D">
        <w:t>ASF</w:t>
      </w:r>
      <w:r w:rsidRPr="0025250D">
        <w:rPr>
          <w:rtl/>
        </w:rPr>
        <w:t xml:space="preserve"> نام ما را به بن</w:t>
      </w:r>
      <w:r w:rsidRPr="0025250D">
        <w:rPr>
          <w:rFonts w:hint="cs"/>
          <w:rtl/>
        </w:rPr>
        <w:t>ی</w:t>
      </w:r>
      <w:r w:rsidRPr="0025250D">
        <w:rPr>
          <w:rFonts w:hint="eastAsia"/>
          <w:rtl/>
        </w:rPr>
        <w:t>اد</w:t>
      </w:r>
      <w:r w:rsidRPr="0025250D">
        <w:rPr>
          <w:rtl/>
        </w:rPr>
        <w:t xml:space="preserve"> ف</w:t>
      </w:r>
      <w:r w:rsidRPr="0025250D">
        <w:rPr>
          <w:rFonts w:hint="cs"/>
          <w:rtl/>
        </w:rPr>
        <w:t>ی</w:t>
      </w:r>
      <w:r w:rsidRPr="0025250D">
        <w:rPr>
          <w:rFonts w:hint="eastAsia"/>
          <w:rtl/>
        </w:rPr>
        <w:t>وچر</w:t>
      </w:r>
      <w:r w:rsidRPr="0025250D">
        <w:rPr>
          <w:rtl/>
        </w:rPr>
        <w:t>مد</w:t>
      </w:r>
      <w:r w:rsidRPr="0025250D">
        <w:rPr>
          <w:rFonts w:hint="cs"/>
          <w:rtl/>
        </w:rPr>
        <w:t>ی</w:t>
      </w:r>
      <w:r w:rsidRPr="0025250D">
        <w:rPr>
          <w:rFonts w:hint="eastAsia"/>
          <w:rtl/>
        </w:rPr>
        <w:t>ا</w:t>
      </w:r>
      <w:r w:rsidRPr="0025250D">
        <w:rPr>
          <w:rtl/>
        </w:rPr>
        <w:t xml:space="preserve"> تغ</w:t>
      </w:r>
      <w:r w:rsidRPr="0025250D">
        <w:rPr>
          <w:rFonts w:hint="cs"/>
          <w:rtl/>
        </w:rPr>
        <w:t>یی</w:t>
      </w:r>
      <w:r w:rsidRPr="0025250D">
        <w:rPr>
          <w:rFonts w:hint="eastAsia"/>
          <w:rtl/>
        </w:rPr>
        <w:t>ر</w:t>
      </w:r>
      <w:r w:rsidRPr="0025250D">
        <w:rPr>
          <w:rtl/>
        </w:rPr>
        <w:t xml:space="preserve"> </w:t>
      </w:r>
      <w:r w:rsidRPr="0025250D">
        <w:rPr>
          <w:rFonts w:hint="cs"/>
          <w:rtl/>
        </w:rPr>
        <w:t>داد</w:t>
      </w:r>
      <w:r w:rsidRPr="0025250D">
        <w:rPr>
          <w:rtl/>
        </w:rPr>
        <w:t xml:space="preserve"> و </w:t>
      </w:r>
      <w:r w:rsidRPr="0025250D">
        <w:rPr>
          <w:rFonts w:hint="cs"/>
          <w:rtl/>
        </w:rPr>
        <w:t>فیوچرپدیا</w:t>
      </w:r>
      <w:r w:rsidRPr="0025250D">
        <w:rPr>
          <w:rtl/>
        </w:rPr>
        <w:t xml:space="preserve"> </w:t>
      </w:r>
      <w:r w:rsidRPr="0025250D">
        <w:rPr>
          <w:rFonts w:hint="cs"/>
          <w:rtl/>
        </w:rPr>
        <w:t>که</w:t>
      </w:r>
      <w:r w:rsidRPr="0025250D">
        <w:rPr>
          <w:rtl/>
        </w:rPr>
        <w:t xml:space="preserve"> </w:t>
      </w:r>
      <w:r w:rsidRPr="0025250D">
        <w:rPr>
          <w:rFonts w:hint="cs"/>
          <w:rtl/>
        </w:rPr>
        <w:t xml:space="preserve">یک </w:t>
      </w:r>
      <w:r w:rsidRPr="0025250D">
        <w:rPr>
          <w:rtl/>
        </w:rPr>
        <w:t>و</w:t>
      </w:r>
      <w:r w:rsidRPr="0025250D">
        <w:rPr>
          <w:rFonts w:hint="cs"/>
          <w:rtl/>
        </w:rPr>
        <w:t>ی</w:t>
      </w:r>
      <w:r w:rsidRPr="0025250D">
        <w:rPr>
          <w:rFonts w:hint="eastAsia"/>
          <w:rtl/>
        </w:rPr>
        <w:t>ک</w:t>
      </w:r>
      <w:r w:rsidRPr="0025250D">
        <w:rPr>
          <w:rFonts w:hint="cs"/>
          <w:rtl/>
        </w:rPr>
        <w:t>ی‌</w:t>
      </w:r>
      <w:r w:rsidRPr="0025250D">
        <w:rPr>
          <w:rFonts w:hint="eastAsia"/>
          <w:rtl/>
        </w:rPr>
        <w:t>پد</w:t>
      </w:r>
      <w:r w:rsidRPr="0025250D">
        <w:rPr>
          <w:rFonts w:hint="cs"/>
          <w:rtl/>
        </w:rPr>
        <w:t>ی</w:t>
      </w:r>
      <w:r w:rsidRPr="0025250D">
        <w:rPr>
          <w:rFonts w:hint="eastAsia"/>
          <w:rtl/>
        </w:rPr>
        <w:t>ا</w:t>
      </w:r>
      <w:r w:rsidRPr="0025250D">
        <w:rPr>
          <w:rtl/>
        </w:rPr>
        <w:t xml:space="preserve"> برا</w:t>
      </w:r>
      <w:r w:rsidRPr="0025250D">
        <w:rPr>
          <w:rFonts w:hint="cs"/>
          <w:rtl/>
        </w:rPr>
        <w:t>ی</w:t>
      </w:r>
      <w:r w:rsidRPr="0025250D">
        <w:rPr>
          <w:rtl/>
        </w:rPr>
        <w:t xml:space="preserve"> چشم‌اندازها</w:t>
      </w:r>
      <w:r w:rsidRPr="0025250D">
        <w:rPr>
          <w:rFonts w:hint="cs"/>
          <w:rtl/>
        </w:rPr>
        <w:t>،</w:t>
      </w:r>
      <w:r w:rsidR="008D6F97" w:rsidRPr="0025250D">
        <w:rPr>
          <w:rtl/>
        </w:rPr>
        <w:t xml:space="preserve"> </w:t>
      </w:r>
      <w:r w:rsidRPr="0025250D">
        <w:rPr>
          <w:rtl/>
        </w:rPr>
        <w:t xml:space="preserve">مدل‌ها، روش‌ها، </w:t>
      </w:r>
      <w:r w:rsidRPr="0025250D">
        <w:rPr>
          <w:rFonts w:hint="cs"/>
          <w:rtl/>
        </w:rPr>
        <w:t>فرانامه ها</w:t>
      </w:r>
      <w:r w:rsidRPr="0025250D">
        <w:rPr>
          <w:rFonts w:hint="eastAsia"/>
          <w:rtl/>
        </w:rPr>
        <w:t>،</w:t>
      </w:r>
      <w:r w:rsidRPr="0025250D">
        <w:rPr>
          <w:rtl/>
        </w:rPr>
        <w:t xml:space="preserve"> موضوعات و ا</w:t>
      </w:r>
      <w:r w:rsidRPr="0025250D">
        <w:rPr>
          <w:rFonts w:hint="cs"/>
          <w:rtl/>
        </w:rPr>
        <w:t>ی</w:t>
      </w:r>
      <w:r w:rsidRPr="0025250D">
        <w:rPr>
          <w:rFonts w:hint="eastAsia"/>
          <w:rtl/>
        </w:rPr>
        <w:t>ده‌ها</w:t>
      </w:r>
      <w:r w:rsidRPr="0025250D">
        <w:rPr>
          <w:rFonts w:hint="cs"/>
          <w:rtl/>
        </w:rPr>
        <w:t xml:space="preserve">ی </w:t>
      </w:r>
      <w:r w:rsidRPr="0025250D">
        <w:rPr>
          <w:rtl/>
        </w:rPr>
        <w:t>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 است</w:t>
      </w:r>
      <w:r w:rsidRPr="0025250D">
        <w:rPr>
          <w:rtl/>
        </w:rPr>
        <w:t xml:space="preserve"> را</w:t>
      </w:r>
      <w:r w:rsidRPr="0025250D">
        <w:rPr>
          <w:rFonts w:hint="cs"/>
          <w:rtl/>
        </w:rPr>
        <w:t xml:space="preserve"> </w:t>
      </w:r>
      <w:r w:rsidR="00923DDB" w:rsidRPr="0025250D">
        <w:rPr>
          <w:rFonts w:hint="cs"/>
          <w:rtl/>
        </w:rPr>
        <w:t>راه‌اندازی</w:t>
      </w:r>
      <w:r w:rsidRPr="0025250D">
        <w:rPr>
          <w:rFonts w:hint="cs"/>
          <w:rtl/>
        </w:rPr>
        <w:t xml:space="preserve"> کرد</w:t>
      </w:r>
      <w:r w:rsidRPr="0025250D">
        <w:rPr>
          <w:rtl/>
        </w:rPr>
        <w:t>. اگر م</w:t>
      </w:r>
      <w:r w:rsidRPr="0025250D">
        <w:rPr>
          <w:rFonts w:hint="cs"/>
          <w:rtl/>
        </w:rPr>
        <w:t>ی‌</w:t>
      </w:r>
      <w:r w:rsidRPr="0025250D">
        <w:rPr>
          <w:rFonts w:hint="eastAsia"/>
          <w:rtl/>
        </w:rPr>
        <w:t>خواه</w:t>
      </w:r>
      <w:r w:rsidRPr="0025250D">
        <w:rPr>
          <w:rFonts w:hint="cs"/>
          <w:rtl/>
        </w:rPr>
        <w:t>ی</w:t>
      </w:r>
      <w:r w:rsidRPr="0025250D">
        <w:rPr>
          <w:rFonts w:hint="eastAsia"/>
          <w:rtl/>
        </w:rPr>
        <w:t>د</w:t>
      </w:r>
      <w:r w:rsidRPr="0025250D">
        <w:rPr>
          <w:rtl/>
        </w:rPr>
        <w:t xml:space="preserve"> به ا</w:t>
      </w:r>
      <w:r w:rsidRPr="0025250D">
        <w:rPr>
          <w:rFonts w:hint="cs"/>
          <w:rtl/>
        </w:rPr>
        <w:t>ی</w:t>
      </w:r>
      <w:r w:rsidRPr="0025250D">
        <w:rPr>
          <w:rFonts w:hint="eastAsia"/>
          <w:rtl/>
        </w:rPr>
        <w:t>جاد</w:t>
      </w:r>
      <w:r w:rsidRPr="0025250D">
        <w:rPr>
          <w:rtl/>
        </w:rPr>
        <w:t xml:space="preserve"> بهتر</w:t>
      </w:r>
      <w:r w:rsidRPr="0025250D">
        <w:rPr>
          <w:rFonts w:hint="cs"/>
          <w:rtl/>
        </w:rPr>
        <w:t>ی</w:t>
      </w:r>
      <w:r w:rsidRPr="0025250D">
        <w:rPr>
          <w:rFonts w:hint="eastAsia"/>
          <w:rtl/>
        </w:rPr>
        <w:t>ن</w:t>
      </w:r>
      <w:r w:rsidRPr="0025250D">
        <w:rPr>
          <w:rtl/>
        </w:rPr>
        <w:t xml:space="preserve"> دا</w:t>
      </w:r>
      <w:r w:rsidRPr="0025250D">
        <w:rPr>
          <w:rFonts w:hint="cs"/>
          <w:rtl/>
        </w:rPr>
        <w:t>ی</w:t>
      </w:r>
      <w:r w:rsidRPr="0025250D">
        <w:rPr>
          <w:rFonts w:hint="eastAsia"/>
          <w:rtl/>
        </w:rPr>
        <w:t>ره‌المعارف</w:t>
      </w:r>
      <w:r w:rsidRPr="0025250D">
        <w:rPr>
          <w:rtl/>
        </w:rPr>
        <w:t xml:space="preserve"> آنلا</w:t>
      </w:r>
      <w:r w:rsidRPr="0025250D">
        <w:rPr>
          <w:rFonts w:hint="cs"/>
          <w:rtl/>
        </w:rPr>
        <w:t>ی</w:t>
      </w:r>
      <w:r w:rsidRPr="0025250D">
        <w:rPr>
          <w:rFonts w:hint="eastAsia"/>
          <w:rtl/>
        </w:rPr>
        <w:t>ن</w:t>
      </w:r>
      <w:r w:rsidRPr="0025250D">
        <w:rPr>
          <w:rtl/>
        </w:rPr>
        <w:t xml:space="preserve"> جهان </w:t>
      </w:r>
      <w:r w:rsidR="00F643BE" w:rsidRPr="0025250D">
        <w:rPr>
          <w:rFonts w:hint="cs"/>
          <w:rtl/>
        </w:rPr>
        <w:t>در</w:t>
      </w:r>
      <w:r w:rsidRPr="0025250D">
        <w:rPr>
          <w:rtl/>
        </w:rPr>
        <w:t xml:space="preserve"> موضوعات آ</w:t>
      </w:r>
      <w:r w:rsidRPr="0025250D">
        <w:rPr>
          <w:rFonts w:hint="cs"/>
          <w:rtl/>
        </w:rPr>
        <w:t>ی</w:t>
      </w:r>
      <w:r w:rsidRPr="0025250D">
        <w:rPr>
          <w:rFonts w:hint="eastAsia"/>
          <w:rtl/>
        </w:rPr>
        <w:t>نده‌نگار</w:t>
      </w:r>
      <w:r w:rsidRPr="0025250D">
        <w:rPr>
          <w:rFonts w:hint="cs"/>
          <w:rtl/>
        </w:rPr>
        <w:t>ی</w:t>
      </w:r>
      <w:r w:rsidRPr="0025250D">
        <w:rPr>
          <w:rtl/>
        </w:rPr>
        <w:t xml:space="preserve"> و </w:t>
      </w:r>
      <w:r w:rsidR="00D92F6E" w:rsidRPr="0025250D">
        <w:rPr>
          <w:rFonts w:hint="cs"/>
          <w:rtl/>
        </w:rPr>
        <w:t>آینده‌پژوه</w:t>
      </w:r>
      <w:r w:rsidR="00F643BE" w:rsidRPr="0025250D">
        <w:rPr>
          <w:rFonts w:hint="cs"/>
          <w:rtl/>
        </w:rPr>
        <w:t>ی</w:t>
      </w:r>
      <w:r w:rsidRPr="0025250D">
        <w:rPr>
          <w:rFonts w:hint="eastAsia"/>
          <w:rtl/>
        </w:rPr>
        <w:t>،</w:t>
      </w:r>
      <w:r w:rsidRPr="0025250D">
        <w:rPr>
          <w:rtl/>
        </w:rPr>
        <w:t xml:space="preserve"> منبع</w:t>
      </w:r>
      <w:r w:rsidRPr="0025250D">
        <w:rPr>
          <w:rFonts w:hint="cs"/>
          <w:rtl/>
        </w:rPr>
        <w:t>ی</w:t>
      </w:r>
      <w:r w:rsidRPr="0025250D">
        <w:rPr>
          <w:rtl/>
        </w:rPr>
        <w:t xml:space="preserve"> را</w:t>
      </w:r>
      <w:r w:rsidRPr="0025250D">
        <w:rPr>
          <w:rFonts w:hint="cs"/>
          <w:rtl/>
        </w:rPr>
        <w:t>ی</w:t>
      </w:r>
      <w:r w:rsidRPr="0025250D">
        <w:rPr>
          <w:rFonts w:hint="eastAsia"/>
          <w:rtl/>
        </w:rPr>
        <w:t>گان</w:t>
      </w:r>
      <w:r w:rsidRPr="0025250D">
        <w:rPr>
          <w:rtl/>
        </w:rPr>
        <w:t xml:space="preserve"> برا</w:t>
      </w:r>
      <w:r w:rsidRPr="0025250D">
        <w:rPr>
          <w:rFonts w:hint="cs"/>
          <w:rtl/>
        </w:rPr>
        <w:t>ی</w:t>
      </w:r>
      <w:r w:rsidRPr="0025250D">
        <w:rPr>
          <w:rtl/>
        </w:rPr>
        <w:t xml:space="preserve"> بهبود آ</w:t>
      </w:r>
      <w:r w:rsidRPr="0025250D">
        <w:rPr>
          <w:rFonts w:hint="cs"/>
          <w:rtl/>
        </w:rPr>
        <w:t>ی</w:t>
      </w:r>
      <w:r w:rsidRPr="0025250D">
        <w:rPr>
          <w:rFonts w:hint="eastAsia"/>
          <w:rtl/>
        </w:rPr>
        <w:t>نده‌نگار</w:t>
      </w:r>
      <w:r w:rsidRPr="0025250D">
        <w:rPr>
          <w:rFonts w:hint="cs"/>
          <w:rtl/>
        </w:rPr>
        <w:t>ی</w:t>
      </w:r>
      <w:r w:rsidRPr="0025250D">
        <w:rPr>
          <w:rtl/>
        </w:rPr>
        <w:t xml:space="preserve"> جامع</w:t>
      </w:r>
      <w:r w:rsidR="00F643BE" w:rsidRPr="0025250D">
        <w:rPr>
          <w:rFonts w:hint="cs"/>
          <w:rtl/>
        </w:rPr>
        <w:t>،</w:t>
      </w:r>
      <w:r w:rsidRPr="0025250D">
        <w:rPr>
          <w:rtl/>
        </w:rPr>
        <w:t xml:space="preserve"> کمک کن</w:t>
      </w:r>
      <w:r w:rsidRPr="0025250D">
        <w:rPr>
          <w:rFonts w:hint="cs"/>
          <w:rtl/>
        </w:rPr>
        <w:t>ی</w:t>
      </w:r>
      <w:r w:rsidRPr="0025250D">
        <w:rPr>
          <w:rFonts w:hint="eastAsia"/>
          <w:rtl/>
        </w:rPr>
        <w:t>د،</w:t>
      </w:r>
      <w:r w:rsidRPr="0025250D">
        <w:rPr>
          <w:rtl/>
        </w:rPr>
        <w:t xml:space="preserve"> لطفاً به ما در </w:t>
      </w:r>
      <w:r w:rsidRPr="0025250D">
        <w:t>Futurepedia.org</w:t>
      </w:r>
      <w:r w:rsidRPr="0025250D">
        <w:rPr>
          <w:rtl/>
        </w:rPr>
        <w:t xml:space="preserve"> بپ</w:t>
      </w:r>
      <w:r w:rsidRPr="0025250D">
        <w:rPr>
          <w:rFonts w:hint="cs"/>
          <w:rtl/>
        </w:rPr>
        <w:t>ی</w:t>
      </w:r>
      <w:r w:rsidRPr="0025250D">
        <w:rPr>
          <w:rFonts w:hint="eastAsia"/>
          <w:rtl/>
        </w:rPr>
        <w:t>وند</w:t>
      </w:r>
      <w:r w:rsidRPr="0025250D">
        <w:rPr>
          <w:rFonts w:hint="cs"/>
          <w:rtl/>
        </w:rPr>
        <w:t>ی</w:t>
      </w:r>
      <w:r w:rsidRPr="0025250D">
        <w:rPr>
          <w:rFonts w:hint="eastAsia"/>
          <w:rtl/>
        </w:rPr>
        <w:t>د</w:t>
      </w:r>
      <w:r w:rsidRPr="0025250D">
        <w:rPr>
          <w:rtl/>
        </w:rPr>
        <w:t>. ب</w:t>
      </w:r>
      <w:r w:rsidRPr="0025250D">
        <w:rPr>
          <w:rFonts w:hint="cs"/>
          <w:rtl/>
        </w:rPr>
        <w:t>ی</w:t>
      </w:r>
      <w:r w:rsidRPr="0025250D">
        <w:rPr>
          <w:rFonts w:hint="eastAsia"/>
          <w:rtl/>
        </w:rPr>
        <w:t>ا</w:t>
      </w:r>
      <w:r w:rsidRPr="0025250D">
        <w:rPr>
          <w:rFonts w:hint="cs"/>
          <w:rtl/>
        </w:rPr>
        <w:t>یی</w:t>
      </w:r>
      <w:r w:rsidRPr="0025250D">
        <w:rPr>
          <w:rFonts w:hint="eastAsia"/>
          <w:rtl/>
        </w:rPr>
        <w:t>د</w:t>
      </w:r>
      <w:r w:rsidRPr="0025250D">
        <w:rPr>
          <w:rtl/>
        </w:rPr>
        <w:t xml:space="preserve"> هم </w:t>
      </w:r>
      <w:r w:rsidR="00B56611" w:rsidRPr="0025250D">
        <w:rPr>
          <w:rtl/>
        </w:rPr>
        <w:t>چشم‌انداز</w:t>
      </w:r>
      <w:r w:rsidRPr="0025250D">
        <w:rPr>
          <w:rtl/>
        </w:rPr>
        <w:t xml:space="preserve"> بدون محدود</w:t>
      </w:r>
      <w:r w:rsidRPr="0025250D">
        <w:rPr>
          <w:rFonts w:hint="cs"/>
          <w:rtl/>
        </w:rPr>
        <w:t>ی</w:t>
      </w:r>
      <w:r w:rsidRPr="0025250D">
        <w:rPr>
          <w:rFonts w:hint="eastAsia"/>
          <w:rtl/>
        </w:rPr>
        <w:t>ت</w:t>
      </w:r>
      <w:r w:rsidRPr="0025250D">
        <w:rPr>
          <w:rtl/>
        </w:rPr>
        <w:t xml:space="preserve"> و هم چالش ها</w:t>
      </w:r>
      <w:r w:rsidRPr="0025250D">
        <w:rPr>
          <w:rFonts w:hint="cs"/>
          <w:rtl/>
        </w:rPr>
        <w:t>ی</w:t>
      </w:r>
      <w:r w:rsidRPr="0025250D">
        <w:rPr>
          <w:rtl/>
        </w:rPr>
        <w:t xml:space="preserve"> پ</w:t>
      </w:r>
      <w:r w:rsidRPr="0025250D">
        <w:rPr>
          <w:rFonts w:hint="cs"/>
          <w:rtl/>
        </w:rPr>
        <w:t>ی</w:t>
      </w:r>
      <w:r w:rsidRPr="0025250D">
        <w:rPr>
          <w:rFonts w:hint="eastAsia"/>
          <w:rtl/>
        </w:rPr>
        <w:t>ش</w:t>
      </w:r>
      <w:r w:rsidRPr="0025250D">
        <w:rPr>
          <w:rtl/>
        </w:rPr>
        <w:t xml:space="preserve"> رو را بررس</w:t>
      </w:r>
      <w:r w:rsidRPr="0025250D">
        <w:rPr>
          <w:rFonts w:hint="cs"/>
          <w:rtl/>
        </w:rPr>
        <w:t>ی</w:t>
      </w:r>
      <w:r w:rsidRPr="0025250D">
        <w:rPr>
          <w:rtl/>
        </w:rPr>
        <w:t xml:space="preserve"> کن</w:t>
      </w:r>
      <w:r w:rsidRPr="0025250D">
        <w:rPr>
          <w:rFonts w:hint="cs"/>
          <w:rtl/>
        </w:rPr>
        <w:t>ی</w:t>
      </w:r>
      <w:r w:rsidRPr="0025250D">
        <w:rPr>
          <w:rFonts w:hint="eastAsia"/>
          <w:rtl/>
        </w:rPr>
        <w:t>م</w:t>
      </w:r>
      <w:r w:rsidR="00F643BE" w:rsidRPr="0025250D">
        <w:rPr>
          <w:rFonts w:hint="cs"/>
          <w:rtl/>
        </w:rPr>
        <w:t>.</w:t>
      </w:r>
    </w:p>
    <w:p w14:paraId="54B226A6" w14:textId="76AAA09F" w:rsidR="00EF1FA0" w:rsidRPr="0025250D" w:rsidRDefault="00EF1FA0" w:rsidP="00EF1FA0">
      <w:pPr>
        <w:pStyle w:val="Heading2"/>
        <w:rPr>
          <w:rtl/>
        </w:rPr>
      </w:pPr>
      <w:bookmarkStart w:id="100" w:name="_Toc127831364"/>
      <w:r w:rsidRPr="0025250D">
        <w:rPr>
          <w:rFonts w:hint="cs"/>
          <w:rtl/>
        </w:rPr>
        <w:t>زندگینامه نویسندگان</w:t>
      </w:r>
      <w:bookmarkEnd w:id="100"/>
    </w:p>
    <w:p w14:paraId="3B03C6AE" w14:textId="12FBD1BC" w:rsidR="00EF1FA0" w:rsidRPr="0025250D" w:rsidRDefault="00EF1FA0" w:rsidP="00EF1FA0">
      <w:pPr>
        <w:rPr>
          <w:b/>
          <w:bCs/>
          <w:rtl/>
        </w:rPr>
      </w:pPr>
      <w:r w:rsidRPr="0025250D">
        <w:rPr>
          <w:b/>
          <w:bCs/>
          <w:rtl/>
        </w:rPr>
        <w:t>نو</w:t>
      </w:r>
      <w:r w:rsidRPr="0025250D">
        <w:rPr>
          <w:rFonts w:hint="cs"/>
          <w:b/>
          <w:bCs/>
          <w:rtl/>
        </w:rPr>
        <w:t>ی</w:t>
      </w:r>
      <w:r w:rsidRPr="0025250D">
        <w:rPr>
          <w:rFonts w:hint="eastAsia"/>
          <w:b/>
          <w:bCs/>
          <w:rtl/>
        </w:rPr>
        <w:t>سنده</w:t>
      </w:r>
      <w:r w:rsidRPr="0025250D">
        <w:rPr>
          <w:b/>
          <w:bCs/>
          <w:rtl/>
        </w:rPr>
        <w:t xml:space="preserve"> اصل</w:t>
      </w:r>
      <w:r w:rsidRPr="0025250D">
        <w:rPr>
          <w:rFonts w:hint="cs"/>
          <w:b/>
          <w:bCs/>
          <w:rtl/>
        </w:rPr>
        <w:t>ی:</w:t>
      </w:r>
    </w:p>
    <w:p w14:paraId="0AE0F025" w14:textId="19D7AEA8" w:rsidR="00EF1FA0" w:rsidRPr="0025250D" w:rsidRDefault="00EF1FA0" w:rsidP="0044590A">
      <w:pPr>
        <w:rPr>
          <w:rtl/>
        </w:rPr>
      </w:pPr>
      <w:r w:rsidRPr="0025250D">
        <w:rPr>
          <w:rtl/>
        </w:rPr>
        <w:t xml:space="preserve">جان اسمارت </w:t>
      </w:r>
      <w:r w:rsidR="0044590A" w:rsidRPr="0025250D">
        <w:rPr>
          <w:rFonts w:hint="cs"/>
          <w:rtl/>
        </w:rPr>
        <w:t>رئیس</w:t>
      </w:r>
      <w:r w:rsidRPr="0025250D">
        <w:rPr>
          <w:rtl/>
        </w:rPr>
        <w:t xml:space="preserve"> دانشگاه </w:t>
      </w:r>
      <w:r w:rsidR="00D92F6E" w:rsidRPr="0025250D">
        <w:rPr>
          <w:rFonts w:hint="cs"/>
          <w:rtl/>
        </w:rPr>
        <w:t>آینده‌نگاری</w:t>
      </w:r>
      <w:r w:rsidRPr="0025250D">
        <w:rPr>
          <w:rtl/>
        </w:rPr>
        <w:t xml:space="preserve"> (آن آربور، </w:t>
      </w:r>
      <w:r w:rsidRPr="0025250D">
        <w:t>MI</w:t>
      </w:r>
      <w:r w:rsidRPr="0025250D">
        <w:rPr>
          <w:rtl/>
        </w:rPr>
        <w:t xml:space="preserve"> و سن خوزه، کال</w:t>
      </w:r>
      <w:r w:rsidRPr="0025250D">
        <w:rPr>
          <w:rFonts w:hint="cs"/>
          <w:rtl/>
        </w:rPr>
        <w:t>ی</w:t>
      </w:r>
      <w:r w:rsidRPr="0025250D">
        <w:rPr>
          <w:rFonts w:hint="eastAsia"/>
          <w:rtl/>
        </w:rPr>
        <w:t>فرن</w:t>
      </w:r>
      <w:r w:rsidRPr="0025250D">
        <w:rPr>
          <w:rFonts w:hint="cs"/>
          <w:rtl/>
        </w:rPr>
        <w:t>ی</w:t>
      </w:r>
      <w:r w:rsidRPr="0025250D">
        <w:rPr>
          <w:rFonts w:hint="eastAsia"/>
          <w:rtl/>
        </w:rPr>
        <w:t>ا</w:t>
      </w:r>
      <w:r w:rsidRPr="0025250D">
        <w:rPr>
          <w:rtl/>
        </w:rPr>
        <w:t>)، رئ</w:t>
      </w:r>
      <w:r w:rsidRPr="0025250D">
        <w:rPr>
          <w:rFonts w:hint="cs"/>
          <w:rtl/>
        </w:rPr>
        <w:t>ی</w:t>
      </w:r>
      <w:r w:rsidRPr="0025250D">
        <w:rPr>
          <w:rFonts w:hint="eastAsia"/>
          <w:rtl/>
        </w:rPr>
        <w:t>س</w:t>
      </w:r>
      <w:r w:rsidRPr="0025250D">
        <w:rPr>
          <w:rtl/>
        </w:rPr>
        <w:t xml:space="preserve"> بن</w:t>
      </w:r>
      <w:r w:rsidRPr="0025250D">
        <w:rPr>
          <w:rFonts w:hint="cs"/>
          <w:rtl/>
        </w:rPr>
        <w:t>ی</w:t>
      </w:r>
      <w:r w:rsidRPr="0025250D">
        <w:rPr>
          <w:rFonts w:hint="eastAsia"/>
          <w:rtl/>
        </w:rPr>
        <w:t>اد</w:t>
      </w:r>
      <w:r w:rsidRPr="0025250D">
        <w:rPr>
          <w:rtl/>
        </w:rPr>
        <w:t xml:space="preserve"> مطالعات شتاب و مد</w:t>
      </w:r>
      <w:r w:rsidRPr="0025250D">
        <w:rPr>
          <w:rFonts w:hint="cs"/>
          <w:rtl/>
        </w:rPr>
        <w:t>ی</w:t>
      </w:r>
      <w:r w:rsidRPr="0025250D">
        <w:rPr>
          <w:rFonts w:hint="eastAsia"/>
          <w:rtl/>
        </w:rPr>
        <w:t>ر</w:t>
      </w:r>
      <w:r w:rsidRPr="0025250D">
        <w:rPr>
          <w:rtl/>
        </w:rPr>
        <w:t xml:space="preserve"> جامعه تحق</w:t>
      </w:r>
      <w:r w:rsidRPr="0025250D">
        <w:rPr>
          <w:rFonts w:hint="cs"/>
          <w:rtl/>
        </w:rPr>
        <w:t>ی</w:t>
      </w:r>
      <w:r w:rsidRPr="0025250D">
        <w:rPr>
          <w:rFonts w:hint="eastAsia"/>
          <w:rtl/>
        </w:rPr>
        <w:t>قات</w:t>
      </w:r>
      <w:r w:rsidRPr="0025250D">
        <w:rPr>
          <w:rFonts w:hint="cs"/>
          <w:rtl/>
        </w:rPr>
        <w:t>ی</w:t>
      </w:r>
      <w:r w:rsidRPr="0025250D">
        <w:rPr>
          <w:rtl/>
        </w:rPr>
        <w:t xml:space="preserve"> </w:t>
      </w:r>
      <w:r w:rsidR="008D6F97" w:rsidRPr="0025250D">
        <w:rPr>
          <w:rtl/>
        </w:rPr>
        <w:t>سامانه‌</w:t>
      </w:r>
      <w:r w:rsidRPr="0025250D">
        <w:rPr>
          <w:rFonts w:hint="eastAsia"/>
          <w:rtl/>
        </w:rPr>
        <w:t>‌ها</w:t>
      </w:r>
      <w:r w:rsidRPr="0025250D">
        <w:rPr>
          <w:rFonts w:hint="cs"/>
          <w:rtl/>
        </w:rPr>
        <w:t>ی</w:t>
      </w:r>
      <w:r w:rsidRPr="0025250D">
        <w:rPr>
          <w:rtl/>
        </w:rPr>
        <w:t xml:space="preserve"> پ</w:t>
      </w:r>
      <w:r w:rsidRPr="0025250D">
        <w:rPr>
          <w:rFonts w:hint="cs"/>
          <w:rtl/>
        </w:rPr>
        <w:t>ی</w:t>
      </w:r>
      <w:r w:rsidRPr="0025250D">
        <w:rPr>
          <w:rFonts w:hint="eastAsia"/>
          <w:rtl/>
        </w:rPr>
        <w:t>چ</w:t>
      </w:r>
      <w:r w:rsidRPr="0025250D">
        <w:rPr>
          <w:rFonts w:hint="cs"/>
          <w:rtl/>
        </w:rPr>
        <w:t>ی</w:t>
      </w:r>
      <w:r w:rsidRPr="0025250D">
        <w:rPr>
          <w:rFonts w:hint="eastAsia"/>
          <w:rtl/>
        </w:rPr>
        <w:t>ده</w:t>
      </w:r>
      <w:r w:rsidRPr="0025250D">
        <w:rPr>
          <w:rtl/>
        </w:rPr>
        <w:t xml:space="preserve"> </w:t>
      </w:r>
      <w:r w:rsidRPr="0025250D">
        <w:rPr>
          <w:rFonts w:hint="cs"/>
          <w:rtl/>
        </w:rPr>
        <w:t>جهان تکاملی-توسعه ای</w:t>
      </w:r>
      <w:r w:rsidRPr="0025250D">
        <w:rPr>
          <w:rtl/>
        </w:rPr>
        <w:t xml:space="preserve"> است. علا</w:t>
      </w:r>
      <w:r w:rsidRPr="0025250D">
        <w:rPr>
          <w:rFonts w:hint="cs"/>
          <w:rtl/>
        </w:rPr>
        <w:t>ی</w:t>
      </w:r>
      <w:r w:rsidRPr="0025250D">
        <w:rPr>
          <w:rFonts w:hint="eastAsia"/>
          <w:rtl/>
        </w:rPr>
        <w:t>ق</w:t>
      </w:r>
      <w:r w:rsidRPr="0025250D">
        <w:rPr>
          <w:rtl/>
        </w:rPr>
        <w:t xml:space="preserve"> او شامل </w:t>
      </w:r>
      <w:r w:rsidR="00D92F6E" w:rsidRPr="0025250D">
        <w:rPr>
          <w:rtl/>
        </w:rPr>
        <w:t>آینده‌نگاری</w:t>
      </w:r>
      <w:r w:rsidRPr="0025250D">
        <w:rPr>
          <w:rFonts w:hint="eastAsia"/>
          <w:rtl/>
        </w:rPr>
        <w:t>،</w:t>
      </w:r>
      <w:r w:rsidRPr="0025250D">
        <w:rPr>
          <w:rtl/>
        </w:rPr>
        <w:t xml:space="preserve"> تغ</w:t>
      </w:r>
      <w:r w:rsidRPr="0025250D">
        <w:rPr>
          <w:rFonts w:hint="cs"/>
          <w:rtl/>
        </w:rPr>
        <w:t>یی</w:t>
      </w:r>
      <w:r w:rsidRPr="0025250D">
        <w:rPr>
          <w:rFonts w:hint="eastAsia"/>
          <w:rtl/>
        </w:rPr>
        <w:t>رات</w:t>
      </w:r>
      <w:r w:rsidRPr="0025250D">
        <w:rPr>
          <w:rFonts w:hint="cs"/>
          <w:rtl/>
        </w:rPr>
        <w:t xml:space="preserve"> </w:t>
      </w:r>
      <w:r w:rsidR="007B3B35" w:rsidRPr="0025250D">
        <w:rPr>
          <w:rFonts w:hint="cs"/>
          <w:rtl/>
        </w:rPr>
        <w:t>شتاب‌گیر</w:t>
      </w:r>
      <w:r w:rsidRPr="0025250D">
        <w:rPr>
          <w:rFonts w:hint="cs"/>
          <w:rtl/>
        </w:rPr>
        <w:t>نده</w:t>
      </w:r>
      <w:r w:rsidRPr="0025250D">
        <w:rPr>
          <w:rFonts w:hint="eastAsia"/>
          <w:rtl/>
        </w:rPr>
        <w:t>،</w:t>
      </w:r>
      <w:r w:rsidRPr="0025250D">
        <w:rPr>
          <w:rtl/>
        </w:rPr>
        <w:t xml:space="preserve"> علوم ز</w:t>
      </w:r>
      <w:r w:rsidRPr="0025250D">
        <w:rPr>
          <w:rFonts w:hint="cs"/>
          <w:rtl/>
        </w:rPr>
        <w:t>ی</w:t>
      </w:r>
      <w:r w:rsidRPr="0025250D">
        <w:rPr>
          <w:rFonts w:hint="eastAsia"/>
          <w:rtl/>
        </w:rPr>
        <w:t>ست</w:t>
      </w:r>
      <w:r w:rsidRPr="0025250D">
        <w:rPr>
          <w:rFonts w:hint="cs"/>
          <w:rtl/>
        </w:rPr>
        <w:t>ی</w:t>
      </w:r>
      <w:r w:rsidRPr="0025250D">
        <w:rPr>
          <w:rFonts w:hint="eastAsia"/>
          <w:rtl/>
        </w:rPr>
        <w:t>،</w:t>
      </w:r>
      <w:r w:rsidRPr="0025250D">
        <w:rPr>
          <w:rtl/>
        </w:rPr>
        <w:t xml:space="preserve"> </w:t>
      </w:r>
      <w:r w:rsidR="008D6F97" w:rsidRPr="0025250D">
        <w:rPr>
          <w:rtl/>
        </w:rPr>
        <w:t>سامانه‌</w:t>
      </w:r>
      <w:r w:rsidRPr="0025250D">
        <w:rPr>
          <w:rtl/>
        </w:rPr>
        <w:t xml:space="preserve"> ها</w:t>
      </w:r>
      <w:r w:rsidRPr="0025250D">
        <w:rPr>
          <w:rFonts w:hint="cs"/>
          <w:rtl/>
        </w:rPr>
        <w:t>ی</w:t>
      </w:r>
      <w:r w:rsidRPr="0025250D">
        <w:rPr>
          <w:rtl/>
        </w:rPr>
        <w:t xml:space="preserve"> پ</w:t>
      </w:r>
      <w:r w:rsidRPr="0025250D">
        <w:rPr>
          <w:rFonts w:hint="cs"/>
          <w:rtl/>
        </w:rPr>
        <w:t>ی</w:t>
      </w:r>
      <w:r w:rsidRPr="0025250D">
        <w:rPr>
          <w:rFonts w:hint="eastAsia"/>
          <w:rtl/>
        </w:rPr>
        <w:t>چ</w:t>
      </w:r>
      <w:r w:rsidRPr="0025250D">
        <w:rPr>
          <w:rFonts w:hint="cs"/>
          <w:rtl/>
        </w:rPr>
        <w:t>ی</w:t>
      </w:r>
      <w:r w:rsidRPr="0025250D">
        <w:rPr>
          <w:rFonts w:hint="eastAsia"/>
          <w:rtl/>
        </w:rPr>
        <w:t>ده،</w:t>
      </w:r>
      <w:r w:rsidRPr="0025250D">
        <w:rPr>
          <w:rtl/>
        </w:rPr>
        <w:t xml:space="preserve"> مطالعات فناور</w:t>
      </w:r>
      <w:r w:rsidRPr="0025250D">
        <w:rPr>
          <w:rFonts w:hint="cs"/>
          <w:rtl/>
        </w:rPr>
        <w:t>ی</w:t>
      </w:r>
      <w:r w:rsidRPr="0025250D">
        <w:rPr>
          <w:rFonts w:hint="eastAsia"/>
          <w:rtl/>
        </w:rPr>
        <w:t>،</w:t>
      </w:r>
      <w:r w:rsidRPr="0025250D">
        <w:rPr>
          <w:rtl/>
        </w:rPr>
        <w:t xml:space="preserve"> کارآفر</w:t>
      </w:r>
      <w:r w:rsidRPr="0025250D">
        <w:rPr>
          <w:rFonts w:hint="cs"/>
          <w:rtl/>
        </w:rPr>
        <w:t>ی</w:t>
      </w:r>
      <w:r w:rsidRPr="0025250D">
        <w:rPr>
          <w:rFonts w:hint="eastAsia"/>
          <w:rtl/>
        </w:rPr>
        <w:t>ن</w:t>
      </w:r>
      <w:r w:rsidRPr="0025250D">
        <w:rPr>
          <w:rFonts w:hint="cs"/>
          <w:rtl/>
        </w:rPr>
        <w:t>ی</w:t>
      </w:r>
      <w:r w:rsidRPr="0025250D">
        <w:rPr>
          <w:rtl/>
        </w:rPr>
        <w:t xml:space="preserve"> و آ</w:t>
      </w:r>
      <w:r w:rsidRPr="0025250D">
        <w:rPr>
          <w:rFonts w:hint="cs"/>
          <w:rtl/>
        </w:rPr>
        <w:t>ی</w:t>
      </w:r>
      <w:r w:rsidRPr="0025250D">
        <w:rPr>
          <w:rFonts w:hint="eastAsia"/>
          <w:rtl/>
        </w:rPr>
        <w:t>نده</w:t>
      </w:r>
      <w:r w:rsidRPr="0025250D">
        <w:rPr>
          <w:rFonts w:hint="cs"/>
          <w:rtl/>
        </w:rPr>
        <w:t xml:space="preserve"> های</w:t>
      </w:r>
      <w:r w:rsidRPr="0025250D">
        <w:rPr>
          <w:rtl/>
        </w:rPr>
        <w:t xml:space="preserve"> جهان است.</w:t>
      </w:r>
      <w:r w:rsidRPr="0025250D">
        <w:rPr>
          <w:rFonts w:hint="cs"/>
          <w:rtl/>
        </w:rPr>
        <w:t xml:space="preserve"> </w:t>
      </w:r>
      <w:r w:rsidRPr="0025250D">
        <w:rPr>
          <w:rtl/>
        </w:rPr>
        <w:t>برا</w:t>
      </w:r>
      <w:r w:rsidRPr="0025250D">
        <w:rPr>
          <w:rFonts w:hint="cs"/>
          <w:rtl/>
        </w:rPr>
        <w:t>ی</w:t>
      </w:r>
      <w:r w:rsidRPr="0025250D">
        <w:rPr>
          <w:rtl/>
        </w:rPr>
        <w:t xml:space="preserve"> اول</w:t>
      </w:r>
      <w:r w:rsidRPr="0025250D">
        <w:rPr>
          <w:rFonts w:hint="cs"/>
          <w:rtl/>
        </w:rPr>
        <w:t>ی</w:t>
      </w:r>
      <w:r w:rsidRPr="0025250D">
        <w:rPr>
          <w:rFonts w:hint="eastAsia"/>
          <w:rtl/>
        </w:rPr>
        <w:t>ن</w:t>
      </w:r>
      <w:r w:rsidRPr="0025250D">
        <w:rPr>
          <w:rtl/>
        </w:rPr>
        <w:t xml:space="preserve"> بار در </w:t>
      </w:r>
      <w:r w:rsidRPr="0025250D">
        <w:rPr>
          <w:rFonts w:hint="cs"/>
          <w:rtl/>
        </w:rPr>
        <w:t>اکسلریشن واچ</w:t>
      </w:r>
      <w:r w:rsidRPr="0025250D">
        <w:rPr>
          <w:rStyle w:val="FootnoteReference"/>
          <w:rtl/>
        </w:rPr>
        <w:footnoteReference w:id="3606"/>
      </w:r>
      <w:r w:rsidRPr="0025250D">
        <w:rPr>
          <w:rtl/>
        </w:rPr>
        <w:t xml:space="preserve"> در سال 1999 در مورد تغ</w:t>
      </w:r>
      <w:r w:rsidRPr="0025250D">
        <w:rPr>
          <w:rFonts w:hint="cs"/>
          <w:rtl/>
        </w:rPr>
        <w:t>یی</w:t>
      </w:r>
      <w:r w:rsidRPr="0025250D">
        <w:rPr>
          <w:rFonts w:hint="eastAsia"/>
          <w:rtl/>
        </w:rPr>
        <w:t>رات</w:t>
      </w:r>
      <w:r w:rsidRPr="0025250D">
        <w:rPr>
          <w:rtl/>
        </w:rPr>
        <w:t xml:space="preserve"> </w:t>
      </w:r>
      <w:r w:rsidR="007B3B35" w:rsidRPr="0025250D">
        <w:rPr>
          <w:rtl/>
        </w:rPr>
        <w:t>شتاب‌گیر</w:t>
      </w:r>
      <w:r w:rsidRPr="0025250D">
        <w:rPr>
          <w:rFonts w:hint="cs"/>
          <w:rtl/>
        </w:rPr>
        <w:t>نده</w:t>
      </w:r>
      <w:r w:rsidRPr="0025250D">
        <w:rPr>
          <w:rtl/>
        </w:rPr>
        <w:t xml:space="preserve"> نوشت</w:t>
      </w:r>
      <w:r w:rsidRPr="0025250D">
        <w:rPr>
          <w:rFonts w:hint="cs"/>
          <w:rtl/>
        </w:rPr>
        <w:t>.</w:t>
      </w:r>
      <w:r w:rsidRPr="0025250D">
        <w:rPr>
          <w:rtl/>
        </w:rPr>
        <w:t xml:space="preserve"> او نو</w:t>
      </w:r>
      <w:r w:rsidRPr="0025250D">
        <w:rPr>
          <w:rFonts w:hint="cs"/>
          <w:rtl/>
        </w:rPr>
        <w:t>ی</w:t>
      </w:r>
      <w:r w:rsidRPr="0025250D">
        <w:rPr>
          <w:rFonts w:hint="eastAsia"/>
          <w:rtl/>
        </w:rPr>
        <w:t>سنده</w:t>
      </w:r>
      <w:r w:rsidRPr="0025250D">
        <w:rPr>
          <w:rtl/>
        </w:rPr>
        <w:t xml:space="preserve"> فرض</w:t>
      </w:r>
      <w:r w:rsidRPr="0025250D">
        <w:rPr>
          <w:rFonts w:hint="cs"/>
          <w:rtl/>
        </w:rPr>
        <w:t>ی</w:t>
      </w:r>
      <w:r w:rsidRPr="0025250D">
        <w:rPr>
          <w:rFonts w:hint="eastAsia"/>
          <w:rtl/>
        </w:rPr>
        <w:t>ه</w:t>
      </w:r>
      <w:r w:rsidRPr="0025250D">
        <w:rPr>
          <w:rtl/>
        </w:rPr>
        <w:t xml:space="preserve"> </w:t>
      </w:r>
      <w:r w:rsidR="009653C5" w:rsidRPr="0025250D">
        <w:rPr>
          <w:rFonts w:hint="cs"/>
          <w:rtl/>
        </w:rPr>
        <w:t>استیلا</w:t>
      </w:r>
      <w:r w:rsidRPr="0025250D">
        <w:rPr>
          <w:rStyle w:val="FootnoteReference"/>
          <w:rtl/>
        </w:rPr>
        <w:footnoteReference w:id="3607"/>
      </w:r>
      <w:r w:rsidRPr="0025250D">
        <w:rPr>
          <w:rtl/>
        </w:rPr>
        <w:t xml:space="preserve"> است</w:t>
      </w:r>
      <w:r w:rsidR="00356414" w:rsidRPr="0025250D">
        <w:rPr>
          <w:rFonts w:hint="cs"/>
          <w:rtl/>
        </w:rPr>
        <w:t>؛</w:t>
      </w:r>
      <w:r w:rsidRPr="0025250D">
        <w:rPr>
          <w:rtl/>
        </w:rPr>
        <w:t xml:space="preserve"> ا</w:t>
      </w:r>
      <w:r w:rsidRPr="0025250D">
        <w:rPr>
          <w:rFonts w:hint="cs"/>
          <w:rtl/>
        </w:rPr>
        <w:t>ی</w:t>
      </w:r>
      <w:r w:rsidRPr="0025250D">
        <w:rPr>
          <w:rFonts w:hint="eastAsia"/>
          <w:rtl/>
        </w:rPr>
        <w:t>ن</w:t>
      </w:r>
      <w:r w:rsidRPr="0025250D">
        <w:rPr>
          <w:rtl/>
        </w:rPr>
        <w:t xml:space="preserve"> </w:t>
      </w:r>
      <w:r w:rsidR="00D92F6E" w:rsidRPr="0025250D">
        <w:rPr>
          <w:rtl/>
        </w:rPr>
        <w:t>پیش‌بین</w:t>
      </w:r>
      <w:r w:rsidRPr="0025250D">
        <w:rPr>
          <w:rFonts w:hint="cs"/>
          <w:rtl/>
        </w:rPr>
        <w:t>ی</w:t>
      </w:r>
      <w:r w:rsidRPr="0025250D">
        <w:rPr>
          <w:rtl/>
        </w:rPr>
        <w:t xml:space="preserve"> که </w:t>
      </w:r>
      <w:r w:rsidR="008D6F97" w:rsidRPr="0025250D">
        <w:rPr>
          <w:rtl/>
        </w:rPr>
        <w:t>سامانه‌</w:t>
      </w:r>
      <w:r w:rsidRPr="0025250D">
        <w:rPr>
          <w:rtl/>
        </w:rPr>
        <w:t xml:space="preserve"> ها</w:t>
      </w:r>
      <w:r w:rsidRPr="0025250D">
        <w:rPr>
          <w:rFonts w:hint="cs"/>
          <w:rtl/>
        </w:rPr>
        <w:t>ی</w:t>
      </w:r>
      <w:r w:rsidRPr="0025250D">
        <w:rPr>
          <w:rtl/>
        </w:rPr>
        <w:t xml:space="preserve"> پ</w:t>
      </w:r>
      <w:r w:rsidRPr="0025250D">
        <w:rPr>
          <w:rFonts w:hint="cs"/>
          <w:rtl/>
        </w:rPr>
        <w:t>ی</w:t>
      </w:r>
      <w:r w:rsidRPr="0025250D">
        <w:rPr>
          <w:rFonts w:hint="eastAsia"/>
          <w:rtl/>
        </w:rPr>
        <w:t>چ</w:t>
      </w:r>
      <w:r w:rsidRPr="0025250D">
        <w:rPr>
          <w:rFonts w:hint="cs"/>
          <w:rtl/>
        </w:rPr>
        <w:t>ی</w:t>
      </w:r>
      <w:r w:rsidRPr="0025250D">
        <w:rPr>
          <w:rFonts w:hint="eastAsia"/>
          <w:rtl/>
        </w:rPr>
        <w:t>ده</w:t>
      </w:r>
      <w:r w:rsidRPr="0025250D">
        <w:rPr>
          <w:rtl/>
        </w:rPr>
        <w:t xml:space="preserve"> پ</w:t>
      </w:r>
      <w:r w:rsidRPr="0025250D">
        <w:rPr>
          <w:rFonts w:hint="cs"/>
          <w:rtl/>
        </w:rPr>
        <w:t>ی</w:t>
      </w:r>
      <w:r w:rsidRPr="0025250D">
        <w:rPr>
          <w:rFonts w:hint="eastAsia"/>
          <w:rtl/>
        </w:rPr>
        <w:t>شرو،</w:t>
      </w:r>
      <w:r w:rsidRPr="0025250D">
        <w:rPr>
          <w:rtl/>
        </w:rPr>
        <w:t xml:space="preserve"> به دل</w:t>
      </w:r>
      <w:r w:rsidRPr="0025250D">
        <w:rPr>
          <w:rFonts w:hint="cs"/>
          <w:rtl/>
        </w:rPr>
        <w:t>ی</w:t>
      </w:r>
      <w:r w:rsidRPr="0025250D">
        <w:rPr>
          <w:rFonts w:hint="eastAsia"/>
          <w:rtl/>
        </w:rPr>
        <w:t>ل</w:t>
      </w:r>
      <w:r w:rsidRPr="0025250D">
        <w:rPr>
          <w:rtl/>
        </w:rPr>
        <w:t xml:space="preserve"> ماه</w:t>
      </w:r>
      <w:r w:rsidRPr="0025250D">
        <w:rPr>
          <w:rFonts w:hint="cs"/>
          <w:rtl/>
        </w:rPr>
        <w:t>ی</w:t>
      </w:r>
      <w:r w:rsidRPr="0025250D">
        <w:rPr>
          <w:rFonts w:hint="eastAsia"/>
          <w:rtl/>
        </w:rPr>
        <w:t>ت</w:t>
      </w:r>
      <w:r w:rsidRPr="0025250D">
        <w:rPr>
          <w:rtl/>
        </w:rPr>
        <w:t xml:space="preserve"> </w:t>
      </w:r>
      <w:r w:rsidR="00B124DE" w:rsidRPr="0025250D">
        <w:rPr>
          <w:rFonts w:hint="cs"/>
          <w:rtl/>
        </w:rPr>
        <w:t>انطباق‌پذیر</w:t>
      </w:r>
      <w:r w:rsidRPr="0025250D">
        <w:rPr>
          <w:rFonts w:hint="cs"/>
          <w:rtl/>
        </w:rPr>
        <w:t>ی</w:t>
      </w:r>
      <w:r w:rsidRPr="0025250D">
        <w:rPr>
          <w:rFonts w:hint="eastAsia"/>
          <w:rtl/>
        </w:rPr>
        <w:t>،</w:t>
      </w:r>
      <w:r w:rsidRPr="0025250D">
        <w:rPr>
          <w:rtl/>
        </w:rPr>
        <w:t xml:space="preserve"> محدود م</w:t>
      </w:r>
      <w:r w:rsidRPr="0025250D">
        <w:rPr>
          <w:rFonts w:hint="cs"/>
          <w:rtl/>
        </w:rPr>
        <w:t>ی</w:t>
      </w:r>
      <w:r w:rsidRPr="0025250D">
        <w:rPr>
          <w:rtl/>
        </w:rPr>
        <w:t xml:space="preserve"> شوند تا </w:t>
      </w:r>
      <w:r w:rsidR="00D92F6E" w:rsidRPr="0025250D">
        <w:rPr>
          <w:rtl/>
        </w:rPr>
        <w:t>آینده‌نگاری</w:t>
      </w:r>
      <w:r w:rsidRPr="0025250D">
        <w:rPr>
          <w:rtl/>
        </w:rPr>
        <w:t xml:space="preserve"> و کنش خود را </w:t>
      </w:r>
      <w:r w:rsidR="007118DE" w:rsidRPr="0025250D">
        <w:rPr>
          <w:rtl/>
        </w:rPr>
        <w:t>همان‌طور</w:t>
      </w:r>
      <w:r w:rsidR="00356414" w:rsidRPr="0025250D">
        <w:rPr>
          <w:rtl/>
        </w:rPr>
        <w:t xml:space="preserve"> که توسعه م</w:t>
      </w:r>
      <w:r w:rsidR="00356414" w:rsidRPr="0025250D">
        <w:rPr>
          <w:rFonts w:hint="cs"/>
          <w:rtl/>
        </w:rPr>
        <w:t>ی</w:t>
      </w:r>
      <w:r w:rsidR="00356414" w:rsidRPr="0025250D">
        <w:rPr>
          <w:rtl/>
        </w:rPr>
        <w:t xml:space="preserve"> </w:t>
      </w:r>
      <w:r w:rsidR="00356414" w:rsidRPr="0025250D">
        <w:rPr>
          <w:rFonts w:hint="cs"/>
          <w:rtl/>
        </w:rPr>
        <w:t>ی</w:t>
      </w:r>
      <w:r w:rsidR="00356414" w:rsidRPr="0025250D">
        <w:rPr>
          <w:rFonts w:hint="eastAsia"/>
          <w:rtl/>
        </w:rPr>
        <w:t>ابند</w:t>
      </w:r>
      <w:r w:rsidR="00356414" w:rsidRPr="0025250D">
        <w:rPr>
          <w:rFonts w:hint="cs"/>
          <w:rtl/>
        </w:rPr>
        <w:t>،</w:t>
      </w:r>
      <w:r w:rsidR="00356414" w:rsidRPr="0025250D">
        <w:rPr>
          <w:rtl/>
        </w:rPr>
        <w:t xml:space="preserve"> </w:t>
      </w:r>
      <w:r w:rsidRPr="0025250D">
        <w:rPr>
          <w:rtl/>
        </w:rPr>
        <w:t>به طور فزا</w:t>
      </w:r>
      <w:r w:rsidRPr="0025250D">
        <w:rPr>
          <w:rFonts w:hint="cs"/>
          <w:rtl/>
        </w:rPr>
        <w:t>ی</w:t>
      </w:r>
      <w:r w:rsidRPr="0025250D">
        <w:rPr>
          <w:rFonts w:hint="eastAsia"/>
          <w:rtl/>
        </w:rPr>
        <w:t>نده</w:t>
      </w:r>
      <w:r w:rsidRPr="0025250D">
        <w:rPr>
          <w:rtl/>
        </w:rPr>
        <w:t xml:space="preserve"> ا</w:t>
      </w:r>
      <w:r w:rsidRPr="0025250D">
        <w:rPr>
          <w:rFonts w:hint="cs"/>
          <w:rtl/>
        </w:rPr>
        <w:t>ی</w:t>
      </w:r>
      <w:r w:rsidRPr="0025250D">
        <w:rPr>
          <w:rtl/>
        </w:rPr>
        <w:t xml:space="preserve"> به فضا</w:t>
      </w:r>
      <w:r w:rsidRPr="0025250D">
        <w:rPr>
          <w:rFonts w:hint="cs"/>
          <w:rtl/>
        </w:rPr>
        <w:t>ی</w:t>
      </w:r>
      <w:r w:rsidRPr="0025250D">
        <w:rPr>
          <w:rtl/>
        </w:rPr>
        <w:t xml:space="preserve"> درون</w:t>
      </w:r>
      <w:r w:rsidRPr="0025250D">
        <w:rPr>
          <w:rFonts w:hint="cs"/>
          <w:rtl/>
        </w:rPr>
        <w:t>ی</w:t>
      </w:r>
      <w:r w:rsidRPr="0025250D">
        <w:rPr>
          <w:rtl/>
        </w:rPr>
        <w:t xml:space="preserve"> هدا</w:t>
      </w:r>
      <w:r w:rsidRPr="0025250D">
        <w:rPr>
          <w:rFonts w:hint="cs"/>
          <w:rtl/>
        </w:rPr>
        <w:t>ی</w:t>
      </w:r>
      <w:r w:rsidRPr="0025250D">
        <w:rPr>
          <w:rFonts w:hint="eastAsia"/>
          <w:rtl/>
        </w:rPr>
        <w:t>ت</w:t>
      </w:r>
      <w:r w:rsidRPr="0025250D">
        <w:rPr>
          <w:rtl/>
        </w:rPr>
        <w:t xml:space="preserve"> کنند (چگال تر، کوچک تر و دامنه ها</w:t>
      </w:r>
      <w:r w:rsidRPr="0025250D">
        <w:rPr>
          <w:rFonts w:hint="cs"/>
          <w:rtl/>
        </w:rPr>
        <w:t>ی</w:t>
      </w:r>
      <w:r w:rsidRPr="0025250D">
        <w:rPr>
          <w:rtl/>
        </w:rPr>
        <w:t xml:space="preserve"> مبتن</w:t>
      </w:r>
      <w:r w:rsidRPr="0025250D">
        <w:rPr>
          <w:rFonts w:hint="cs"/>
          <w:rtl/>
        </w:rPr>
        <w:t>ی</w:t>
      </w:r>
      <w:r w:rsidRPr="0025250D">
        <w:rPr>
          <w:rtl/>
        </w:rPr>
        <w:t xml:space="preserve"> بر شب</w:t>
      </w:r>
      <w:r w:rsidRPr="0025250D">
        <w:rPr>
          <w:rFonts w:hint="cs"/>
          <w:rtl/>
        </w:rPr>
        <w:t>ی</w:t>
      </w:r>
      <w:r w:rsidRPr="0025250D">
        <w:rPr>
          <w:rFonts w:hint="eastAsia"/>
          <w:rtl/>
        </w:rPr>
        <w:t>ه</w:t>
      </w:r>
      <w:r w:rsidRPr="0025250D">
        <w:rPr>
          <w:rtl/>
        </w:rPr>
        <w:t xml:space="preserve"> ساز</w:t>
      </w:r>
      <w:r w:rsidRPr="0025250D">
        <w:rPr>
          <w:rFonts w:hint="cs"/>
          <w:rtl/>
        </w:rPr>
        <w:t>ی</w:t>
      </w:r>
      <w:r w:rsidRPr="0025250D">
        <w:rPr>
          <w:rtl/>
        </w:rPr>
        <w:t xml:space="preserve"> ب</w:t>
      </w:r>
      <w:r w:rsidRPr="0025250D">
        <w:rPr>
          <w:rFonts w:hint="cs"/>
          <w:rtl/>
        </w:rPr>
        <w:t>ی</w:t>
      </w:r>
      <w:r w:rsidRPr="0025250D">
        <w:rPr>
          <w:rFonts w:hint="eastAsia"/>
          <w:rtl/>
        </w:rPr>
        <w:t>شتر</w:t>
      </w:r>
      <w:r w:rsidRPr="0025250D">
        <w:rPr>
          <w:rtl/>
        </w:rPr>
        <w:t>).</w:t>
      </w:r>
      <w:r w:rsidR="00356414" w:rsidRPr="0025250D">
        <w:rPr>
          <w:rFonts w:hint="cs"/>
          <w:rtl/>
        </w:rPr>
        <w:t xml:space="preserve"> </w:t>
      </w:r>
      <w:r w:rsidR="00356414" w:rsidRPr="0025250D">
        <w:rPr>
          <w:rtl/>
        </w:rPr>
        <w:t>او دارا</w:t>
      </w:r>
      <w:r w:rsidR="00356414" w:rsidRPr="0025250D">
        <w:rPr>
          <w:rFonts w:hint="cs"/>
          <w:rtl/>
        </w:rPr>
        <w:t>ی</w:t>
      </w:r>
      <w:r w:rsidR="00356414" w:rsidRPr="0025250D">
        <w:rPr>
          <w:rtl/>
        </w:rPr>
        <w:t xml:space="preserve"> مدرک </w:t>
      </w:r>
      <w:r w:rsidR="00356414" w:rsidRPr="0025250D">
        <w:rPr>
          <w:rFonts w:hint="cs"/>
          <w:rtl/>
        </w:rPr>
        <w:t>کارشناسی</w:t>
      </w:r>
      <w:r w:rsidR="00356414" w:rsidRPr="0025250D">
        <w:rPr>
          <w:rtl/>
        </w:rPr>
        <w:t xml:space="preserve"> در مد</w:t>
      </w:r>
      <w:r w:rsidR="00356414" w:rsidRPr="0025250D">
        <w:rPr>
          <w:rFonts w:hint="cs"/>
          <w:rtl/>
        </w:rPr>
        <w:t>ی</w:t>
      </w:r>
      <w:r w:rsidR="00356414" w:rsidRPr="0025250D">
        <w:rPr>
          <w:rFonts w:hint="eastAsia"/>
          <w:rtl/>
        </w:rPr>
        <w:t>ر</w:t>
      </w:r>
      <w:r w:rsidR="00356414" w:rsidRPr="0025250D">
        <w:rPr>
          <w:rFonts w:hint="cs"/>
          <w:rtl/>
        </w:rPr>
        <w:t>ی</w:t>
      </w:r>
      <w:r w:rsidR="00356414" w:rsidRPr="0025250D">
        <w:rPr>
          <w:rFonts w:hint="eastAsia"/>
          <w:rtl/>
        </w:rPr>
        <w:t>ت</w:t>
      </w:r>
      <w:r w:rsidR="00356414" w:rsidRPr="0025250D">
        <w:rPr>
          <w:rtl/>
        </w:rPr>
        <w:t xml:space="preserve"> بازرگان</w:t>
      </w:r>
      <w:r w:rsidR="00356414" w:rsidRPr="0025250D">
        <w:rPr>
          <w:rFonts w:hint="cs"/>
          <w:rtl/>
        </w:rPr>
        <w:t>ی</w:t>
      </w:r>
      <w:r w:rsidR="00356414" w:rsidRPr="0025250D">
        <w:rPr>
          <w:rtl/>
        </w:rPr>
        <w:t xml:space="preserve"> از </w:t>
      </w:r>
      <w:r w:rsidR="00356414" w:rsidRPr="0025250D">
        <w:rPr>
          <w:rFonts w:hint="cs"/>
          <w:rtl/>
        </w:rPr>
        <w:t>دانشگاه</w:t>
      </w:r>
      <w:r w:rsidR="00356414" w:rsidRPr="0025250D">
        <w:rPr>
          <w:rtl/>
        </w:rPr>
        <w:t xml:space="preserve"> برکل</w:t>
      </w:r>
      <w:r w:rsidR="00356414" w:rsidRPr="0025250D">
        <w:rPr>
          <w:rFonts w:hint="cs"/>
          <w:rtl/>
        </w:rPr>
        <w:t>ی</w:t>
      </w:r>
      <w:r w:rsidR="00356414" w:rsidRPr="0025250D">
        <w:rPr>
          <w:rStyle w:val="FootnoteReference"/>
          <w:rtl/>
        </w:rPr>
        <w:footnoteReference w:id="3608"/>
      </w:r>
      <w:r w:rsidR="00356414" w:rsidRPr="0025250D">
        <w:rPr>
          <w:rFonts w:hint="eastAsia"/>
          <w:rtl/>
        </w:rPr>
        <w:t>،</w:t>
      </w:r>
      <w:r w:rsidR="00356414" w:rsidRPr="0025250D">
        <w:rPr>
          <w:rtl/>
        </w:rPr>
        <w:t xml:space="preserve"> سه سال دوره پس از </w:t>
      </w:r>
      <w:r w:rsidR="00356414" w:rsidRPr="0025250D">
        <w:rPr>
          <w:rFonts w:hint="cs"/>
          <w:rtl/>
        </w:rPr>
        <w:t>کارشناسی</w:t>
      </w:r>
      <w:r w:rsidR="00356414" w:rsidRPr="0025250D">
        <w:rPr>
          <w:rtl/>
        </w:rPr>
        <w:t xml:space="preserve"> در علوم ز</w:t>
      </w:r>
      <w:r w:rsidR="00356414" w:rsidRPr="0025250D">
        <w:rPr>
          <w:rFonts w:hint="cs"/>
          <w:rtl/>
        </w:rPr>
        <w:t>ی</w:t>
      </w:r>
      <w:r w:rsidR="00356414" w:rsidRPr="0025250D">
        <w:rPr>
          <w:rFonts w:hint="eastAsia"/>
          <w:rtl/>
        </w:rPr>
        <w:t>ست</w:t>
      </w:r>
      <w:r w:rsidR="00356414" w:rsidRPr="0025250D">
        <w:rPr>
          <w:rFonts w:hint="cs"/>
          <w:rtl/>
        </w:rPr>
        <w:t>ی</w:t>
      </w:r>
      <w:r w:rsidR="00356414" w:rsidRPr="0025250D">
        <w:rPr>
          <w:rtl/>
        </w:rPr>
        <w:t xml:space="preserve"> در </w:t>
      </w:r>
      <w:r w:rsidR="00356414" w:rsidRPr="0025250D">
        <w:rPr>
          <w:rFonts w:hint="cs"/>
          <w:rtl/>
        </w:rPr>
        <w:t>دانشگاه</w:t>
      </w:r>
      <w:r w:rsidR="00356414" w:rsidRPr="0025250D">
        <w:rPr>
          <w:rtl/>
        </w:rPr>
        <w:t xml:space="preserve"> سن د</w:t>
      </w:r>
      <w:r w:rsidR="00356414" w:rsidRPr="0025250D">
        <w:rPr>
          <w:rFonts w:hint="cs"/>
          <w:rtl/>
        </w:rPr>
        <w:t>ی</w:t>
      </w:r>
      <w:r w:rsidR="00356414" w:rsidRPr="0025250D">
        <w:rPr>
          <w:rFonts w:hint="eastAsia"/>
          <w:rtl/>
        </w:rPr>
        <w:t>گو</w:t>
      </w:r>
      <w:r w:rsidR="00356414" w:rsidRPr="0025250D">
        <w:rPr>
          <w:rFonts w:hint="cs"/>
          <w:rtl/>
        </w:rPr>
        <w:t xml:space="preserve"> و مدرک معادل کارشناسی ارشد </w:t>
      </w:r>
      <w:r w:rsidR="00356414" w:rsidRPr="0025250D">
        <w:rPr>
          <w:rtl/>
        </w:rPr>
        <w:t>(</w:t>
      </w:r>
      <w:r w:rsidR="00356414" w:rsidRPr="0025250D">
        <w:t>M.S. I</w:t>
      </w:r>
      <w:r w:rsidR="00356414" w:rsidRPr="0025250D">
        <w:rPr>
          <w:rtl/>
        </w:rPr>
        <w:t xml:space="preserve"> و </w:t>
      </w:r>
      <w:r w:rsidR="00356414" w:rsidRPr="0025250D">
        <w:t>II</w:t>
      </w:r>
      <w:r w:rsidR="00356414" w:rsidRPr="0025250D">
        <w:rPr>
          <w:rtl/>
        </w:rPr>
        <w:t xml:space="preserve"> و </w:t>
      </w:r>
      <w:r w:rsidR="00356414" w:rsidRPr="0025250D">
        <w:t>USMLE-I</w:t>
      </w:r>
      <w:r w:rsidR="00356414" w:rsidRPr="0025250D">
        <w:rPr>
          <w:rtl/>
        </w:rPr>
        <w:t>) در ف</w:t>
      </w:r>
      <w:r w:rsidR="00356414" w:rsidRPr="0025250D">
        <w:rPr>
          <w:rFonts w:hint="cs"/>
          <w:rtl/>
        </w:rPr>
        <w:t>ی</w:t>
      </w:r>
      <w:r w:rsidR="00356414" w:rsidRPr="0025250D">
        <w:rPr>
          <w:rFonts w:hint="eastAsia"/>
          <w:rtl/>
        </w:rPr>
        <w:t>ز</w:t>
      </w:r>
      <w:r w:rsidR="00356414" w:rsidRPr="0025250D">
        <w:rPr>
          <w:rFonts w:hint="cs"/>
          <w:rtl/>
        </w:rPr>
        <w:t>ی</w:t>
      </w:r>
      <w:r w:rsidR="00356414" w:rsidRPr="0025250D">
        <w:rPr>
          <w:rFonts w:hint="eastAsia"/>
          <w:rtl/>
        </w:rPr>
        <w:t>ولوژ</w:t>
      </w:r>
      <w:r w:rsidR="00356414" w:rsidRPr="0025250D">
        <w:rPr>
          <w:rFonts w:hint="cs"/>
          <w:rtl/>
        </w:rPr>
        <w:t>ی</w:t>
      </w:r>
      <w:r w:rsidR="00356414" w:rsidRPr="0025250D">
        <w:rPr>
          <w:rtl/>
        </w:rPr>
        <w:t xml:space="preserve"> و پزشک</w:t>
      </w:r>
      <w:r w:rsidR="00356414" w:rsidRPr="0025250D">
        <w:rPr>
          <w:rFonts w:hint="cs"/>
          <w:rtl/>
        </w:rPr>
        <w:t>ی</w:t>
      </w:r>
      <w:r w:rsidR="00356414" w:rsidRPr="0025250D">
        <w:rPr>
          <w:rtl/>
        </w:rPr>
        <w:t xml:space="preserve"> در</w:t>
      </w:r>
      <w:r w:rsidR="00B714DC" w:rsidRPr="0025250D">
        <w:rPr>
          <w:rFonts w:hint="cs"/>
          <w:rtl/>
        </w:rPr>
        <w:t xml:space="preserve"> دانشکده پزشکی</w:t>
      </w:r>
      <w:r w:rsidR="00356414" w:rsidRPr="0025250D">
        <w:rPr>
          <w:rtl/>
        </w:rPr>
        <w:t xml:space="preserve"> </w:t>
      </w:r>
      <w:r w:rsidR="00356414" w:rsidRPr="0025250D">
        <w:t>U.C.S.D</w:t>
      </w:r>
      <w:r w:rsidR="00356414" w:rsidRPr="0025250D">
        <w:rPr>
          <w:rFonts w:hint="cs"/>
          <w:rtl/>
        </w:rPr>
        <w:t xml:space="preserve"> </w:t>
      </w:r>
      <w:r w:rsidR="00B714DC" w:rsidRPr="0025250D">
        <w:rPr>
          <w:rFonts w:hint="cs"/>
          <w:rtl/>
        </w:rPr>
        <w:t xml:space="preserve">و مدرک کارشناسی ارشد در مطالعات آینده از دانشگاه هیوستون (2007) </w:t>
      </w:r>
      <w:r w:rsidR="00356414" w:rsidRPr="0025250D">
        <w:rPr>
          <w:rFonts w:hint="cs"/>
          <w:rtl/>
        </w:rPr>
        <w:t>است</w:t>
      </w:r>
      <w:r w:rsidR="00356414" w:rsidRPr="0025250D">
        <w:rPr>
          <w:rtl/>
        </w:rPr>
        <w:t>.</w:t>
      </w:r>
      <w:r w:rsidR="00B714DC" w:rsidRPr="0025250D">
        <w:rPr>
          <w:rFonts w:hint="cs"/>
          <w:rtl/>
        </w:rPr>
        <w:t xml:space="preserve"> </w:t>
      </w:r>
      <w:r w:rsidR="00B714DC" w:rsidRPr="0025250D">
        <w:rPr>
          <w:rtl/>
        </w:rPr>
        <w:t xml:space="preserve">او </w:t>
      </w:r>
      <w:r w:rsidR="00B714DC" w:rsidRPr="0025250D">
        <w:rPr>
          <w:rFonts w:hint="cs"/>
          <w:rtl/>
        </w:rPr>
        <w:t>ی</w:t>
      </w:r>
      <w:r w:rsidR="00B714DC" w:rsidRPr="0025250D">
        <w:rPr>
          <w:rFonts w:hint="eastAsia"/>
          <w:rtl/>
        </w:rPr>
        <w:t>ک</w:t>
      </w:r>
      <w:r w:rsidR="00B714DC" w:rsidRPr="0025250D">
        <w:rPr>
          <w:rFonts w:hint="cs"/>
          <w:rtl/>
        </w:rPr>
        <w:t>ی</w:t>
      </w:r>
      <w:r w:rsidR="00B714DC" w:rsidRPr="0025250D">
        <w:rPr>
          <w:rtl/>
        </w:rPr>
        <w:t xml:space="preserve"> از بن</w:t>
      </w:r>
      <w:r w:rsidR="00B714DC" w:rsidRPr="0025250D">
        <w:rPr>
          <w:rFonts w:hint="cs"/>
          <w:rtl/>
        </w:rPr>
        <w:t>ی</w:t>
      </w:r>
      <w:r w:rsidR="00B714DC" w:rsidRPr="0025250D">
        <w:rPr>
          <w:rFonts w:hint="eastAsia"/>
          <w:rtl/>
        </w:rPr>
        <w:t>انگذاران</w:t>
      </w:r>
      <w:r w:rsidR="00B714DC" w:rsidRPr="0025250D">
        <w:rPr>
          <w:rtl/>
        </w:rPr>
        <w:t xml:space="preserve"> و مد</w:t>
      </w:r>
      <w:r w:rsidR="00B714DC" w:rsidRPr="0025250D">
        <w:rPr>
          <w:rFonts w:hint="cs"/>
          <w:rtl/>
        </w:rPr>
        <w:t>ی</w:t>
      </w:r>
      <w:r w:rsidR="00B714DC" w:rsidRPr="0025250D">
        <w:rPr>
          <w:rFonts w:hint="eastAsia"/>
          <w:rtl/>
        </w:rPr>
        <w:t>ر</w:t>
      </w:r>
      <w:r w:rsidR="00B714DC" w:rsidRPr="0025250D">
        <w:rPr>
          <w:rtl/>
        </w:rPr>
        <w:t xml:space="preserve"> عامل قبل</w:t>
      </w:r>
      <w:r w:rsidR="00B714DC" w:rsidRPr="0025250D">
        <w:rPr>
          <w:rFonts w:hint="cs"/>
          <w:rtl/>
        </w:rPr>
        <w:t>ی</w:t>
      </w:r>
      <w:r w:rsidR="00B714DC" w:rsidRPr="0025250D">
        <w:rPr>
          <w:rtl/>
        </w:rPr>
        <w:t xml:space="preserve"> </w:t>
      </w:r>
      <w:r w:rsidR="00B714DC" w:rsidRPr="0025250D">
        <w:rPr>
          <w:rFonts w:hint="cs"/>
          <w:rtl/>
        </w:rPr>
        <w:t>هایپرلرنینگ</w:t>
      </w:r>
      <w:r w:rsidR="00B714DC" w:rsidRPr="0025250D">
        <w:rPr>
          <w:rStyle w:val="FootnoteReference"/>
          <w:rtl/>
        </w:rPr>
        <w:footnoteReference w:id="3609"/>
      </w:r>
      <w:r w:rsidR="00B714DC" w:rsidRPr="0025250D">
        <w:rPr>
          <w:rtl/>
        </w:rPr>
        <w:t xml:space="preserve">، </w:t>
      </w:r>
      <w:r w:rsidR="00B714DC" w:rsidRPr="0025250D">
        <w:rPr>
          <w:rFonts w:hint="cs"/>
          <w:rtl/>
        </w:rPr>
        <w:t>ی</w:t>
      </w:r>
      <w:r w:rsidR="00B714DC" w:rsidRPr="0025250D">
        <w:rPr>
          <w:rFonts w:hint="eastAsia"/>
          <w:rtl/>
        </w:rPr>
        <w:t>ک</w:t>
      </w:r>
      <w:r w:rsidR="00B714DC" w:rsidRPr="0025250D">
        <w:rPr>
          <w:rtl/>
        </w:rPr>
        <w:t xml:space="preserve"> شرکت آموزش</w:t>
      </w:r>
      <w:r w:rsidR="00B714DC" w:rsidRPr="0025250D">
        <w:rPr>
          <w:rFonts w:hint="cs"/>
          <w:rtl/>
        </w:rPr>
        <w:t>ی</w:t>
      </w:r>
      <w:r w:rsidR="00B714DC" w:rsidRPr="0025250D">
        <w:rPr>
          <w:rtl/>
        </w:rPr>
        <w:t xml:space="preserve"> در چند شهر و آزمون آمادگ</w:t>
      </w:r>
      <w:r w:rsidR="00B714DC" w:rsidRPr="0025250D">
        <w:rPr>
          <w:rFonts w:hint="cs"/>
          <w:rtl/>
        </w:rPr>
        <w:t>ی</w:t>
      </w:r>
      <w:r w:rsidR="00B714DC" w:rsidRPr="0025250D">
        <w:rPr>
          <w:rtl/>
        </w:rPr>
        <w:t xml:space="preserve"> </w:t>
      </w:r>
      <w:r w:rsidR="00B714DC" w:rsidRPr="0025250D">
        <w:rPr>
          <w:rFonts w:hint="cs"/>
          <w:rtl/>
        </w:rPr>
        <w:t>است</w:t>
      </w:r>
      <w:r w:rsidR="00B714DC" w:rsidRPr="0025250D">
        <w:rPr>
          <w:rtl/>
        </w:rPr>
        <w:t xml:space="preserve"> که در سال 1996 به </w:t>
      </w:r>
      <w:r w:rsidR="00B714DC" w:rsidRPr="0025250D">
        <w:rPr>
          <w:rFonts w:hint="cs"/>
          <w:rtl/>
        </w:rPr>
        <w:t>پرینستون ریوو</w:t>
      </w:r>
      <w:r w:rsidR="00B714DC" w:rsidRPr="0025250D">
        <w:rPr>
          <w:rStyle w:val="FootnoteReference"/>
          <w:rtl/>
        </w:rPr>
        <w:footnoteReference w:id="3610"/>
      </w:r>
      <w:r w:rsidR="00B714DC" w:rsidRPr="0025250D">
        <w:rPr>
          <w:rtl/>
        </w:rPr>
        <w:t xml:space="preserve"> فروخته ش</w:t>
      </w:r>
      <w:r w:rsidR="00B714DC" w:rsidRPr="0025250D">
        <w:rPr>
          <w:rFonts w:hint="cs"/>
          <w:rtl/>
        </w:rPr>
        <w:t xml:space="preserve">د. </w:t>
      </w:r>
      <w:r w:rsidR="00B714DC" w:rsidRPr="0025250D">
        <w:rPr>
          <w:rtl/>
        </w:rPr>
        <w:t>او کارگاه‌ها</w:t>
      </w:r>
      <w:r w:rsidR="00B714DC" w:rsidRPr="0025250D">
        <w:rPr>
          <w:rFonts w:hint="cs"/>
          <w:rtl/>
        </w:rPr>
        <w:t>ی</w:t>
      </w:r>
      <w:r w:rsidR="00B714DC" w:rsidRPr="0025250D">
        <w:rPr>
          <w:rtl/>
        </w:rPr>
        <w:t xml:space="preserve"> آ</w:t>
      </w:r>
      <w:r w:rsidR="00B714DC" w:rsidRPr="0025250D">
        <w:rPr>
          <w:rFonts w:hint="cs"/>
          <w:rtl/>
        </w:rPr>
        <w:t>ی</w:t>
      </w:r>
      <w:r w:rsidR="00B714DC" w:rsidRPr="0025250D">
        <w:rPr>
          <w:rFonts w:hint="eastAsia"/>
          <w:rtl/>
        </w:rPr>
        <w:t>نده‌نگار</w:t>
      </w:r>
      <w:r w:rsidR="00B714DC" w:rsidRPr="0025250D">
        <w:rPr>
          <w:rFonts w:hint="cs"/>
          <w:rtl/>
        </w:rPr>
        <w:t>ی</w:t>
      </w:r>
      <w:r w:rsidR="00B714DC" w:rsidRPr="0025250D">
        <w:rPr>
          <w:rtl/>
        </w:rPr>
        <w:t xml:space="preserve"> </w:t>
      </w:r>
      <w:r w:rsidR="001A3F0A" w:rsidRPr="0025250D">
        <w:rPr>
          <w:rtl/>
        </w:rPr>
        <w:t>فردی</w:t>
      </w:r>
      <w:r w:rsidR="00B714DC" w:rsidRPr="0025250D">
        <w:rPr>
          <w:rtl/>
        </w:rPr>
        <w:t xml:space="preserve"> و ت</w:t>
      </w:r>
      <w:r w:rsidR="00B714DC" w:rsidRPr="0025250D">
        <w:rPr>
          <w:rFonts w:hint="cs"/>
          <w:rtl/>
        </w:rPr>
        <w:t>ی</w:t>
      </w:r>
      <w:r w:rsidR="00B714DC" w:rsidRPr="0025250D">
        <w:rPr>
          <w:rFonts w:hint="eastAsia"/>
          <w:rtl/>
        </w:rPr>
        <w:t>م</w:t>
      </w:r>
      <w:r w:rsidR="00B714DC" w:rsidRPr="0025250D">
        <w:rPr>
          <w:rFonts w:hint="cs"/>
          <w:rtl/>
        </w:rPr>
        <w:t>ی</w:t>
      </w:r>
      <w:r w:rsidR="00B714DC" w:rsidRPr="0025250D">
        <w:rPr>
          <w:rtl/>
        </w:rPr>
        <w:t xml:space="preserve"> را اجرا م</w:t>
      </w:r>
      <w:r w:rsidR="00B714DC" w:rsidRPr="0025250D">
        <w:rPr>
          <w:rFonts w:hint="cs"/>
          <w:rtl/>
        </w:rPr>
        <w:t>ی‌</w:t>
      </w:r>
      <w:r w:rsidR="00B714DC" w:rsidRPr="0025250D">
        <w:rPr>
          <w:rFonts w:hint="eastAsia"/>
          <w:rtl/>
        </w:rPr>
        <w:t>کند</w:t>
      </w:r>
      <w:r w:rsidR="00B714DC" w:rsidRPr="0025250D">
        <w:rPr>
          <w:rtl/>
        </w:rPr>
        <w:t xml:space="preserve"> و در مورد آ</w:t>
      </w:r>
      <w:r w:rsidR="00B714DC" w:rsidRPr="0025250D">
        <w:rPr>
          <w:rFonts w:hint="cs"/>
          <w:rtl/>
        </w:rPr>
        <w:t>ی</w:t>
      </w:r>
      <w:r w:rsidR="00B714DC" w:rsidRPr="0025250D">
        <w:rPr>
          <w:rFonts w:hint="eastAsia"/>
          <w:rtl/>
        </w:rPr>
        <w:t>نده‌نگار</w:t>
      </w:r>
      <w:r w:rsidR="00B714DC" w:rsidRPr="0025250D">
        <w:rPr>
          <w:rFonts w:hint="cs"/>
          <w:rtl/>
        </w:rPr>
        <w:t>ی</w:t>
      </w:r>
      <w:r w:rsidR="00B714DC" w:rsidRPr="0025250D">
        <w:rPr>
          <w:rtl/>
        </w:rPr>
        <w:t xml:space="preserve"> </w:t>
      </w:r>
      <w:r w:rsidR="00701E03" w:rsidRPr="0025250D">
        <w:rPr>
          <w:rtl/>
        </w:rPr>
        <w:t>راهبردی</w:t>
      </w:r>
      <w:r w:rsidR="00B714DC" w:rsidRPr="0025250D">
        <w:rPr>
          <w:rtl/>
        </w:rPr>
        <w:t xml:space="preserve"> و </w:t>
      </w:r>
      <w:r w:rsidR="002F3C14" w:rsidRPr="0025250D">
        <w:rPr>
          <w:rtl/>
        </w:rPr>
        <w:t>انطباقی</w:t>
      </w:r>
      <w:r w:rsidR="00B714DC" w:rsidRPr="0025250D">
        <w:rPr>
          <w:rtl/>
        </w:rPr>
        <w:t xml:space="preserve"> با مشتر</w:t>
      </w:r>
      <w:r w:rsidR="00B714DC" w:rsidRPr="0025250D">
        <w:rPr>
          <w:rFonts w:hint="cs"/>
          <w:rtl/>
        </w:rPr>
        <w:t>ی</w:t>
      </w:r>
      <w:r w:rsidR="00B714DC" w:rsidRPr="0025250D">
        <w:rPr>
          <w:rFonts w:hint="eastAsia"/>
          <w:rtl/>
        </w:rPr>
        <w:t>ان</w:t>
      </w:r>
      <w:r w:rsidR="00B714DC" w:rsidRPr="0025250D">
        <w:rPr>
          <w:rtl/>
        </w:rPr>
        <w:t xml:space="preserve"> صنعت</w:t>
      </w:r>
      <w:r w:rsidR="00B714DC" w:rsidRPr="0025250D">
        <w:rPr>
          <w:rFonts w:hint="cs"/>
          <w:rtl/>
        </w:rPr>
        <w:t>ی</w:t>
      </w:r>
      <w:r w:rsidR="00B714DC" w:rsidRPr="0025250D">
        <w:rPr>
          <w:rtl/>
        </w:rPr>
        <w:t>، دولت</w:t>
      </w:r>
      <w:r w:rsidR="00B714DC" w:rsidRPr="0025250D">
        <w:rPr>
          <w:rFonts w:hint="cs"/>
          <w:rtl/>
        </w:rPr>
        <w:t>ی</w:t>
      </w:r>
      <w:r w:rsidR="00B714DC" w:rsidRPr="0025250D">
        <w:rPr>
          <w:rtl/>
        </w:rPr>
        <w:t xml:space="preserve"> و </w:t>
      </w:r>
      <w:r w:rsidR="00B714DC" w:rsidRPr="0025250D">
        <w:rPr>
          <w:rFonts w:hint="cs"/>
          <w:rtl/>
        </w:rPr>
        <w:t xml:space="preserve">صنایع </w:t>
      </w:r>
      <w:r w:rsidR="00B714DC" w:rsidRPr="0025250D">
        <w:rPr>
          <w:rtl/>
        </w:rPr>
        <w:t>دفاع</w:t>
      </w:r>
      <w:r w:rsidR="00B714DC" w:rsidRPr="0025250D">
        <w:rPr>
          <w:rFonts w:hint="cs"/>
          <w:rtl/>
        </w:rPr>
        <w:t>ی</w:t>
      </w:r>
      <w:r w:rsidR="00B714DC" w:rsidRPr="0025250D">
        <w:rPr>
          <w:rtl/>
        </w:rPr>
        <w:t xml:space="preserve"> سخنران</w:t>
      </w:r>
      <w:r w:rsidR="00B714DC" w:rsidRPr="0025250D">
        <w:rPr>
          <w:rFonts w:hint="cs"/>
          <w:rtl/>
        </w:rPr>
        <w:t>ی</w:t>
      </w:r>
      <w:r w:rsidR="00B714DC" w:rsidRPr="0025250D">
        <w:rPr>
          <w:rtl/>
        </w:rPr>
        <w:t xml:space="preserve"> و مشاوره م</w:t>
      </w:r>
      <w:r w:rsidR="00B714DC" w:rsidRPr="0025250D">
        <w:rPr>
          <w:rFonts w:hint="cs"/>
          <w:rtl/>
        </w:rPr>
        <w:t>ی‌</w:t>
      </w:r>
      <w:r w:rsidR="00B714DC" w:rsidRPr="0025250D">
        <w:rPr>
          <w:rFonts w:hint="eastAsia"/>
          <w:rtl/>
        </w:rPr>
        <w:t>کند</w:t>
      </w:r>
      <w:r w:rsidR="00B714DC" w:rsidRPr="0025250D">
        <w:rPr>
          <w:rtl/>
        </w:rPr>
        <w:t>. وب‌سا</w:t>
      </w:r>
      <w:r w:rsidR="00B714DC" w:rsidRPr="0025250D">
        <w:rPr>
          <w:rFonts w:hint="cs"/>
          <w:rtl/>
        </w:rPr>
        <w:t>ی</w:t>
      </w:r>
      <w:r w:rsidR="00B714DC" w:rsidRPr="0025250D">
        <w:rPr>
          <w:rFonts w:hint="eastAsia"/>
          <w:rtl/>
        </w:rPr>
        <w:t>ت</w:t>
      </w:r>
      <w:r w:rsidR="00B714DC" w:rsidRPr="0025250D">
        <w:rPr>
          <w:rtl/>
        </w:rPr>
        <w:t xml:space="preserve"> او </w:t>
      </w:r>
      <w:r w:rsidR="00B714DC" w:rsidRPr="0025250D">
        <w:t>johnmsmart.com</w:t>
      </w:r>
      <w:r w:rsidR="00B714DC" w:rsidRPr="0025250D">
        <w:rPr>
          <w:rtl/>
        </w:rPr>
        <w:t xml:space="preserve"> است و م</w:t>
      </w:r>
      <w:r w:rsidR="00B714DC" w:rsidRPr="0025250D">
        <w:rPr>
          <w:rFonts w:hint="cs"/>
          <w:rtl/>
        </w:rPr>
        <w:t>ی‌</w:t>
      </w:r>
      <w:r w:rsidR="00B714DC" w:rsidRPr="0025250D">
        <w:rPr>
          <w:rFonts w:hint="eastAsia"/>
          <w:rtl/>
        </w:rPr>
        <w:t>توان</w:t>
      </w:r>
      <w:r w:rsidR="00B714DC" w:rsidRPr="0025250D">
        <w:rPr>
          <w:rFonts w:hint="cs"/>
          <w:rtl/>
        </w:rPr>
        <w:t>ی</w:t>
      </w:r>
      <w:r w:rsidR="00B714DC" w:rsidRPr="0025250D">
        <w:rPr>
          <w:rFonts w:hint="eastAsia"/>
          <w:rtl/>
        </w:rPr>
        <w:t>د</w:t>
      </w:r>
      <w:r w:rsidR="00B714DC" w:rsidRPr="0025250D">
        <w:rPr>
          <w:rtl/>
        </w:rPr>
        <w:t xml:space="preserve"> </w:t>
      </w:r>
      <w:r w:rsidR="00B714DC" w:rsidRPr="0025250D">
        <w:rPr>
          <w:rFonts w:hint="cs"/>
          <w:rtl/>
        </w:rPr>
        <w:t>از طریق</w:t>
      </w:r>
      <w:r w:rsidR="00B714DC" w:rsidRPr="0025250D">
        <w:rPr>
          <w:rtl/>
        </w:rPr>
        <w:t xml:space="preserve"> آدرس </w:t>
      </w:r>
      <w:r w:rsidR="00B714DC" w:rsidRPr="0025250D">
        <w:t>john@foresightu.com</w:t>
      </w:r>
      <w:r w:rsidR="00B714DC" w:rsidRPr="0025250D">
        <w:rPr>
          <w:rtl/>
        </w:rPr>
        <w:t xml:space="preserve"> </w:t>
      </w:r>
      <w:r w:rsidR="00B714DC" w:rsidRPr="0025250D">
        <w:rPr>
          <w:rFonts w:hint="cs"/>
          <w:rtl/>
        </w:rPr>
        <w:t xml:space="preserve">به </w:t>
      </w:r>
      <w:r w:rsidR="00E3750D" w:rsidRPr="0025250D">
        <w:rPr>
          <w:rFonts w:hint="cs"/>
          <w:rtl/>
        </w:rPr>
        <w:t xml:space="preserve">او </w:t>
      </w:r>
      <w:r w:rsidR="00B714DC" w:rsidRPr="0025250D">
        <w:rPr>
          <w:rtl/>
        </w:rPr>
        <w:t>دسترس</w:t>
      </w:r>
      <w:r w:rsidR="00B714DC" w:rsidRPr="0025250D">
        <w:rPr>
          <w:rFonts w:hint="cs"/>
          <w:rtl/>
        </w:rPr>
        <w:t>ی</w:t>
      </w:r>
      <w:r w:rsidR="00B714DC" w:rsidRPr="0025250D">
        <w:rPr>
          <w:rtl/>
        </w:rPr>
        <w:t xml:space="preserve"> داشته باش</w:t>
      </w:r>
      <w:r w:rsidR="00B714DC" w:rsidRPr="0025250D">
        <w:rPr>
          <w:rFonts w:hint="cs"/>
          <w:rtl/>
        </w:rPr>
        <w:t>ی</w:t>
      </w:r>
      <w:r w:rsidR="00B714DC" w:rsidRPr="0025250D">
        <w:rPr>
          <w:rFonts w:hint="eastAsia"/>
          <w:rtl/>
        </w:rPr>
        <w:t>د</w:t>
      </w:r>
      <w:r w:rsidR="00B714DC" w:rsidRPr="0025250D">
        <w:rPr>
          <w:rFonts w:hint="cs"/>
          <w:rtl/>
        </w:rPr>
        <w:t>.</w:t>
      </w:r>
    </w:p>
    <w:p w14:paraId="4F471118" w14:textId="5399EAAF" w:rsidR="00B714DC" w:rsidRPr="0025250D" w:rsidRDefault="00B714DC" w:rsidP="00B714DC">
      <w:pPr>
        <w:jc w:val="center"/>
        <w:rPr>
          <w:rtl/>
        </w:rPr>
      </w:pPr>
      <w:r w:rsidRPr="0025250D">
        <w:rPr>
          <w:noProof/>
          <w:lang w:bidi="ar-SA"/>
        </w:rPr>
        <w:drawing>
          <wp:inline distT="0" distB="0" distL="0" distR="0" wp14:anchorId="2F9FB438" wp14:editId="6AF8E0EE">
            <wp:extent cx="1628775" cy="1371600"/>
            <wp:effectExtent l="0" t="0" r="9525"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extLst>
                        <a:ext uri="{BEBA8EAE-BF5A-486C-A8C5-ECC9F3942E4B}">
                          <a14:imgProps xmlns:a14="http://schemas.microsoft.com/office/drawing/2010/main">
                            <a14:imgLayer r:embed="rId586">
                              <a14:imgEffect>
                                <a14:saturation sat="0"/>
                              </a14:imgEffect>
                            </a14:imgLayer>
                          </a14:imgProps>
                        </a:ext>
                      </a:extLst>
                    </a:blip>
                    <a:stretch>
                      <a:fillRect/>
                    </a:stretch>
                  </pic:blipFill>
                  <pic:spPr>
                    <a:xfrm>
                      <a:off x="0" y="0"/>
                      <a:ext cx="1628775" cy="1371600"/>
                    </a:xfrm>
                    <a:prstGeom prst="rect">
                      <a:avLst/>
                    </a:prstGeom>
                  </pic:spPr>
                </pic:pic>
              </a:graphicData>
            </a:graphic>
          </wp:inline>
        </w:drawing>
      </w:r>
    </w:p>
    <w:p w14:paraId="52CD1A35" w14:textId="4A275958" w:rsidR="00B714DC" w:rsidRPr="0025250D" w:rsidRDefault="00B714DC" w:rsidP="00B714DC">
      <w:pPr>
        <w:rPr>
          <w:b/>
          <w:bCs/>
          <w:rtl/>
        </w:rPr>
      </w:pPr>
      <w:r w:rsidRPr="0025250D">
        <w:rPr>
          <w:rFonts w:hint="cs"/>
          <w:b/>
          <w:bCs/>
          <w:rtl/>
        </w:rPr>
        <w:t>نویسندگان مشارکت کننده:</w:t>
      </w:r>
    </w:p>
    <w:p w14:paraId="6EA67E83" w14:textId="1B56D4DD" w:rsidR="00B714DC" w:rsidRPr="0025250D" w:rsidRDefault="00B714DC" w:rsidP="00B714DC">
      <w:pPr>
        <w:rPr>
          <w:rtl/>
        </w:rPr>
      </w:pPr>
      <w:r w:rsidRPr="0025250D">
        <w:rPr>
          <w:rtl/>
        </w:rPr>
        <w:t>سوزان فانت، رئ</w:t>
      </w:r>
      <w:r w:rsidRPr="0025250D">
        <w:rPr>
          <w:rFonts w:hint="cs"/>
          <w:rtl/>
        </w:rPr>
        <w:t>ی</w:t>
      </w:r>
      <w:r w:rsidRPr="0025250D">
        <w:rPr>
          <w:rFonts w:hint="eastAsia"/>
          <w:rtl/>
        </w:rPr>
        <w:t>س</w:t>
      </w:r>
      <w:r w:rsidRPr="0025250D">
        <w:rPr>
          <w:rtl/>
        </w:rPr>
        <w:t xml:space="preserve"> شرکت</w:t>
      </w:r>
      <w:r w:rsidRPr="0025250D">
        <w:rPr>
          <w:rFonts w:hint="cs"/>
          <w:rtl/>
        </w:rPr>
        <w:t xml:space="preserve"> کاسل استند</w:t>
      </w:r>
      <w:r w:rsidRPr="0025250D">
        <w:rPr>
          <w:rtl/>
        </w:rPr>
        <w:t xml:space="preserve"> </w:t>
      </w:r>
      <w:r w:rsidRPr="0025250D">
        <w:t>LLC</w:t>
      </w:r>
      <w:r w:rsidRPr="0025250D">
        <w:rPr>
          <w:rStyle w:val="FootnoteReference"/>
          <w:rtl/>
        </w:rPr>
        <w:footnoteReference w:id="3611"/>
      </w:r>
      <w:r w:rsidRPr="0025250D">
        <w:rPr>
          <w:rtl/>
        </w:rPr>
        <w:t xml:space="preserve"> (ب</w:t>
      </w:r>
      <w:r w:rsidRPr="0025250D">
        <w:rPr>
          <w:rFonts w:hint="cs"/>
          <w:rtl/>
        </w:rPr>
        <w:t>ی</w:t>
      </w:r>
      <w:r w:rsidRPr="0025250D">
        <w:rPr>
          <w:rFonts w:hint="eastAsia"/>
          <w:rtl/>
        </w:rPr>
        <w:t>رمنگام،</w:t>
      </w:r>
      <w:r w:rsidRPr="0025250D">
        <w:rPr>
          <w:rtl/>
        </w:rPr>
        <w:t xml:space="preserve"> </w:t>
      </w:r>
      <w:r w:rsidRPr="0025250D">
        <w:t>AL</w:t>
      </w:r>
      <w:r w:rsidRPr="0025250D">
        <w:rPr>
          <w:rtl/>
        </w:rPr>
        <w:t xml:space="preserve">)، </w:t>
      </w:r>
      <w:r w:rsidRPr="0025250D">
        <w:rPr>
          <w:rFonts w:hint="cs"/>
          <w:rtl/>
        </w:rPr>
        <w:t>ی</w:t>
      </w:r>
      <w:r w:rsidRPr="0025250D">
        <w:rPr>
          <w:rFonts w:hint="eastAsia"/>
          <w:rtl/>
        </w:rPr>
        <w:t>ک</w:t>
      </w:r>
      <w:r w:rsidRPr="0025250D">
        <w:rPr>
          <w:rtl/>
        </w:rPr>
        <w:t xml:space="preserve"> شرکت رهبر</w:t>
      </w:r>
      <w:r w:rsidRPr="0025250D">
        <w:rPr>
          <w:rFonts w:hint="cs"/>
          <w:rtl/>
        </w:rPr>
        <w:t>ی</w:t>
      </w:r>
      <w:r w:rsidRPr="0025250D">
        <w:rPr>
          <w:rtl/>
        </w:rPr>
        <w:t xml:space="preserve"> </w:t>
      </w:r>
      <w:r w:rsidR="00B124DE" w:rsidRPr="0025250D">
        <w:rPr>
          <w:rFonts w:hint="cs"/>
          <w:rtl/>
        </w:rPr>
        <w:t>کسب‌و‌کار</w:t>
      </w:r>
      <w:r w:rsidRPr="0025250D">
        <w:rPr>
          <w:rtl/>
        </w:rPr>
        <w:t xml:space="preserve"> و </w:t>
      </w:r>
      <w:r w:rsidR="00701E03" w:rsidRPr="0025250D">
        <w:rPr>
          <w:rtl/>
        </w:rPr>
        <w:t>راهبرد</w:t>
      </w:r>
      <w:r w:rsidRPr="0025250D">
        <w:rPr>
          <w:rtl/>
        </w:rPr>
        <w:t xml:space="preserve"> بازار</w:t>
      </w:r>
      <w:r w:rsidRPr="0025250D">
        <w:rPr>
          <w:rFonts w:hint="cs"/>
          <w:rtl/>
        </w:rPr>
        <w:t>ی</w:t>
      </w:r>
      <w:r w:rsidRPr="0025250D">
        <w:rPr>
          <w:rFonts w:hint="eastAsia"/>
          <w:rtl/>
        </w:rPr>
        <w:t>اب</w:t>
      </w:r>
      <w:r w:rsidRPr="0025250D">
        <w:rPr>
          <w:rFonts w:hint="cs"/>
          <w:rtl/>
        </w:rPr>
        <w:t>ی</w:t>
      </w:r>
      <w:r w:rsidRPr="0025250D">
        <w:rPr>
          <w:rtl/>
        </w:rPr>
        <w:t xml:space="preserve"> است. او قبلا در </w:t>
      </w:r>
      <w:r w:rsidRPr="0025250D">
        <w:rPr>
          <w:rFonts w:hint="cs"/>
          <w:rtl/>
        </w:rPr>
        <w:t>دانشگاه</w:t>
      </w:r>
      <w:r w:rsidRPr="0025250D">
        <w:rPr>
          <w:rtl/>
        </w:rPr>
        <w:t xml:space="preserve"> آلاباما، کارشناس</w:t>
      </w:r>
      <w:r w:rsidRPr="0025250D">
        <w:rPr>
          <w:rFonts w:hint="cs"/>
          <w:rtl/>
        </w:rPr>
        <w:t>ی</w:t>
      </w:r>
      <w:r w:rsidRPr="0025250D">
        <w:rPr>
          <w:rtl/>
        </w:rPr>
        <w:t xml:space="preserve"> ارشد بازار</w:t>
      </w:r>
      <w:r w:rsidRPr="0025250D">
        <w:rPr>
          <w:rFonts w:hint="cs"/>
          <w:rtl/>
        </w:rPr>
        <w:t>ی</w:t>
      </w:r>
      <w:r w:rsidRPr="0025250D">
        <w:rPr>
          <w:rFonts w:hint="eastAsia"/>
          <w:rtl/>
        </w:rPr>
        <w:t>اب</w:t>
      </w:r>
      <w:r w:rsidRPr="0025250D">
        <w:rPr>
          <w:rFonts w:hint="cs"/>
          <w:rtl/>
        </w:rPr>
        <w:t>ی</w:t>
      </w:r>
      <w:r w:rsidRPr="0025250D">
        <w:rPr>
          <w:rtl/>
        </w:rPr>
        <w:t xml:space="preserve"> </w:t>
      </w:r>
      <w:r w:rsidRPr="0025250D">
        <w:rPr>
          <w:rFonts w:hint="cs"/>
          <w:rtl/>
        </w:rPr>
        <w:t>با</w:t>
      </w:r>
      <w:r w:rsidRPr="0025250D">
        <w:rPr>
          <w:rtl/>
        </w:rPr>
        <w:t xml:space="preserve"> تمرکز </w:t>
      </w:r>
      <w:r w:rsidRPr="0025250D">
        <w:rPr>
          <w:rFonts w:hint="cs"/>
          <w:rtl/>
        </w:rPr>
        <w:t xml:space="preserve">بر </w:t>
      </w:r>
      <w:r w:rsidRPr="0025250D">
        <w:rPr>
          <w:rtl/>
        </w:rPr>
        <w:t>رسانه ها</w:t>
      </w:r>
      <w:r w:rsidRPr="0025250D">
        <w:rPr>
          <w:rFonts w:hint="cs"/>
          <w:rtl/>
        </w:rPr>
        <w:t>ی</w:t>
      </w:r>
      <w:r w:rsidRPr="0025250D">
        <w:rPr>
          <w:rtl/>
        </w:rPr>
        <w:t xml:space="preserve"> د</w:t>
      </w:r>
      <w:r w:rsidRPr="0025250D">
        <w:rPr>
          <w:rFonts w:hint="cs"/>
          <w:rtl/>
        </w:rPr>
        <w:t>ی</w:t>
      </w:r>
      <w:r w:rsidRPr="0025250D">
        <w:rPr>
          <w:rFonts w:hint="eastAsia"/>
          <w:rtl/>
        </w:rPr>
        <w:t>ج</w:t>
      </w:r>
      <w:r w:rsidRPr="0025250D">
        <w:rPr>
          <w:rFonts w:hint="cs"/>
          <w:rtl/>
        </w:rPr>
        <w:t>ی</w:t>
      </w:r>
      <w:r w:rsidRPr="0025250D">
        <w:rPr>
          <w:rFonts w:hint="eastAsia"/>
          <w:rtl/>
        </w:rPr>
        <w:t>تال</w:t>
      </w:r>
      <w:r w:rsidRPr="0025250D">
        <w:rPr>
          <w:rtl/>
        </w:rPr>
        <w:t xml:space="preserve"> و اجتماع</w:t>
      </w:r>
      <w:r w:rsidRPr="0025250D">
        <w:rPr>
          <w:rFonts w:hint="cs"/>
          <w:rtl/>
        </w:rPr>
        <w:t>ی</w:t>
      </w:r>
      <w:r w:rsidRPr="0025250D">
        <w:rPr>
          <w:rtl/>
        </w:rPr>
        <w:t xml:space="preserve"> را برا</w:t>
      </w:r>
      <w:r w:rsidRPr="0025250D">
        <w:rPr>
          <w:rFonts w:hint="cs"/>
          <w:rtl/>
        </w:rPr>
        <w:t>ی</w:t>
      </w:r>
      <w:r w:rsidRPr="0025250D">
        <w:rPr>
          <w:rtl/>
        </w:rPr>
        <w:t xml:space="preserve"> کارشناس</w:t>
      </w:r>
      <w:r w:rsidRPr="0025250D">
        <w:rPr>
          <w:rFonts w:hint="cs"/>
          <w:rtl/>
        </w:rPr>
        <w:t>ی</w:t>
      </w:r>
      <w:r w:rsidRPr="0025250D">
        <w:rPr>
          <w:rtl/>
        </w:rPr>
        <w:t xml:space="preserve"> ارشد بازار</w:t>
      </w:r>
      <w:r w:rsidRPr="0025250D">
        <w:rPr>
          <w:rFonts w:hint="cs"/>
          <w:rtl/>
        </w:rPr>
        <w:t>ی</w:t>
      </w:r>
      <w:r w:rsidRPr="0025250D">
        <w:rPr>
          <w:rFonts w:hint="eastAsia"/>
          <w:rtl/>
        </w:rPr>
        <w:t>اب</w:t>
      </w:r>
      <w:r w:rsidRPr="0025250D">
        <w:rPr>
          <w:rFonts w:hint="cs"/>
          <w:rtl/>
        </w:rPr>
        <w:t>ی</w:t>
      </w:r>
      <w:r w:rsidRPr="0025250D">
        <w:rPr>
          <w:rtl/>
        </w:rPr>
        <w:t xml:space="preserve"> ا</w:t>
      </w:r>
      <w:r w:rsidRPr="0025250D">
        <w:rPr>
          <w:rFonts w:hint="cs"/>
          <w:rtl/>
        </w:rPr>
        <w:t>ی</w:t>
      </w:r>
      <w:r w:rsidRPr="0025250D">
        <w:rPr>
          <w:rFonts w:hint="eastAsia"/>
          <w:rtl/>
        </w:rPr>
        <w:t>جاد</w:t>
      </w:r>
      <w:r w:rsidRPr="0025250D">
        <w:rPr>
          <w:rtl/>
        </w:rPr>
        <w:t xml:space="preserve"> کرد.</w:t>
      </w:r>
      <w:r w:rsidRPr="0025250D">
        <w:rPr>
          <w:rFonts w:hint="cs"/>
          <w:rtl/>
        </w:rPr>
        <w:t xml:space="preserve"> </w:t>
      </w:r>
      <w:r w:rsidRPr="0025250D">
        <w:rPr>
          <w:rtl/>
        </w:rPr>
        <w:t xml:space="preserve">سوزان در حال حاضر در حال اتمام </w:t>
      </w:r>
      <w:r w:rsidRPr="0025250D">
        <w:rPr>
          <w:rFonts w:hint="cs"/>
          <w:rtl/>
        </w:rPr>
        <w:t>دکترای خود</w:t>
      </w:r>
      <w:r w:rsidRPr="0025250D">
        <w:rPr>
          <w:rtl/>
        </w:rPr>
        <w:t xml:space="preserve"> در تغ</w:t>
      </w:r>
      <w:r w:rsidRPr="0025250D">
        <w:rPr>
          <w:rFonts w:hint="cs"/>
          <w:rtl/>
        </w:rPr>
        <w:t>یی</w:t>
      </w:r>
      <w:r w:rsidRPr="0025250D">
        <w:rPr>
          <w:rFonts w:hint="eastAsia"/>
          <w:rtl/>
        </w:rPr>
        <w:t>ر</w:t>
      </w:r>
      <w:r w:rsidRPr="0025250D">
        <w:rPr>
          <w:rtl/>
        </w:rPr>
        <w:t xml:space="preserve"> سازمان</w:t>
      </w:r>
      <w:r w:rsidRPr="0025250D">
        <w:rPr>
          <w:rFonts w:hint="cs"/>
          <w:rtl/>
        </w:rPr>
        <w:t>ی</w:t>
      </w:r>
      <w:r w:rsidRPr="0025250D">
        <w:rPr>
          <w:rtl/>
        </w:rPr>
        <w:t xml:space="preserve"> و رهبر</w:t>
      </w:r>
      <w:r w:rsidRPr="0025250D">
        <w:rPr>
          <w:rFonts w:hint="cs"/>
          <w:rtl/>
        </w:rPr>
        <w:t>ی</w:t>
      </w:r>
      <w:r w:rsidRPr="0025250D">
        <w:rPr>
          <w:rtl/>
        </w:rPr>
        <w:t xml:space="preserve"> در دانشگاه کال</w:t>
      </w:r>
      <w:r w:rsidRPr="0025250D">
        <w:rPr>
          <w:rFonts w:hint="cs"/>
          <w:rtl/>
        </w:rPr>
        <w:t>ی</w:t>
      </w:r>
      <w:r w:rsidRPr="0025250D">
        <w:rPr>
          <w:rFonts w:hint="eastAsia"/>
          <w:rtl/>
        </w:rPr>
        <w:t>فرن</w:t>
      </w:r>
      <w:r w:rsidRPr="0025250D">
        <w:rPr>
          <w:rFonts w:hint="cs"/>
          <w:rtl/>
        </w:rPr>
        <w:t>ی</w:t>
      </w:r>
      <w:r w:rsidRPr="0025250D">
        <w:rPr>
          <w:rFonts w:hint="eastAsia"/>
          <w:rtl/>
        </w:rPr>
        <w:t>ا</w:t>
      </w:r>
      <w:r w:rsidRPr="0025250D">
        <w:rPr>
          <w:rFonts w:hint="cs"/>
          <w:rtl/>
        </w:rPr>
        <w:t>ی</w:t>
      </w:r>
      <w:r w:rsidRPr="0025250D">
        <w:rPr>
          <w:rtl/>
        </w:rPr>
        <w:t xml:space="preserve"> جنوب</w:t>
      </w:r>
      <w:r w:rsidRPr="0025250D">
        <w:rPr>
          <w:rFonts w:hint="cs"/>
          <w:rtl/>
        </w:rPr>
        <w:t xml:space="preserve">ی </w:t>
      </w:r>
      <w:r w:rsidRPr="0025250D">
        <w:rPr>
          <w:rtl/>
        </w:rPr>
        <w:t>است. او مد</w:t>
      </w:r>
      <w:r w:rsidRPr="0025250D">
        <w:rPr>
          <w:rFonts w:hint="cs"/>
          <w:rtl/>
        </w:rPr>
        <w:t>ی</w:t>
      </w:r>
      <w:r w:rsidRPr="0025250D">
        <w:rPr>
          <w:rFonts w:hint="eastAsia"/>
          <w:rtl/>
        </w:rPr>
        <w:t>ر</w:t>
      </w:r>
      <w:r w:rsidRPr="0025250D">
        <w:rPr>
          <w:rtl/>
        </w:rPr>
        <w:t xml:space="preserve"> اجرا</w:t>
      </w:r>
      <w:r w:rsidRPr="0025250D">
        <w:rPr>
          <w:rFonts w:hint="cs"/>
          <w:rtl/>
        </w:rPr>
        <w:t>یی</w:t>
      </w:r>
      <w:r w:rsidRPr="0025250D">
        <w:rPr>
          <w:rtl/>
        </w:rPr>
        <w:t xml:space="preserve"> شبکه آموزش و تحق</w:t>
      </w:r>
      <w:r w:rsidRPr="0025250D">
        <w:rPr>
          <w:rFonts w:hint="cs"/>
          <w:rtl/>
        </w:rPr>
        <w:t>ی</w:t>
      </w:r>
      <w:r w:rsidRPr="0025250D">
        <w:rPr>
          <w:rFonts w:hint="eastAsia"/>
          <w:rtl/>
        </w:rPr>
        <w:t>قات</w:t>
      </w:r>
      <w:r w:rsidRPr="0025250D">
        <w:rPr>
          <w:rtl/>
        </w:rPr>
        <w:t xml:space="preserve"> آ</w:t>
      </w:r>
      <w:r w:rsidRPr="0025250D">
        <w:rPr>
          <w:rFonts w:hint="cs"/>
          <w:rtl/>
        </w:rPr>
        <w:t>ی</w:t>
      </w:r>
      <w:r w:rsidRPr="0025250D">
        <w:rPr>
          <w:rFonts w:hint="eastAsia"/>
          <w:rtl/>
        </w:rPr>
        <w:t>نده‌نگار</w:t>
      </w:r>
      <w:r w:rsidRPr="0025250D">
        <w:rPr>
          <w:rFonts w:hint="cs"/>
          <w:rtl/>
        </w:rPr>
        <w:t>ی</w:t>
      </w:r>
      <w:r w:rsidRPr="0025250D">
        <w:rPr>
          <w:rtl/>
        </w:rPr>
        <w:t xml:space="preserve"> (</w:t>
      </w:r>
      <w:r w:rsidRPr="0025250D">
        <w:t>FERN</w:t>
      </w:r>
      <w:r w:rsidRPr="0025250D">
        <w:rPr>
          <w:rtl/>
        </w:rPr>
        <w:t>) است. علا</w:t>
      </w:r>
      <w:r w:rsidRPr="0025250D">
        <w:rPr>
          <w:rFonts w:hint="cs"/>
          <w:rtl/>
        </w:rPr>
        <w:t>ی</w:t>
      </w:r>
      <w:r w:rsidRPr="0025250D">
        <w:rPr>
          <w:rFonts w:hint="eastAsia"/>
          <w:rtl/>
        </w:rPr>
        <w:t>ق</w:t>
      </w:r>
      <w:r w:rsidRPr="0025250D">
        <w:rPr>
          <w:rtl/>
        </w:rPr>
        <w:t xml:space="preserve"> او شامل رهبر</w:t>
      </w:r>
      <w:r w:rsidRPr="0025250D">
        <w:rPr>
          <w:rFonts w:hint="cs"/>
          <w:rtl/>
        </w:rPr>
        <w:t>ی</w:t>
      </w:r>
      <w:r w:rsidRPr="0025250D">
        <w:rPr>
          <w:rFonts w:hint="eastAsia"/>
          <w:rtl/>
        </w:rPr>
        <w:t>،</w:t>
      </w:r>
      <w:r w:rsidRPr="0025250D">
        <w:rPr>
          <w:rtl/>
        </w:rPr>
        <w:t xml:space="preserve"> </w:t>
      </w:r>
      <w:r w:rsidR="00D92F6E" w:rsidRPr="0025250D">
        <w:rPr>
          <w:rtl/>
        </w:rPr>
        <w:t>آینده‌نگاری</w:t>
      </w:r>
      <w:r w:rsidRPr="0025250D">
        <w:rPr>
          <w:rFonts w:hint="eastAsia"/>
          <w:rtl/>
        </w:rPr>
        <w:t>،</w:t>
      </w:r>
      <w:r w:rsidRPr="0025250D">
        <w:rPr>
          <w:rtl/>
        </w:rPr>
        <w:t xml:space="preserve"> نوآور</w:t>
      </w:r>
      <w:r w:rsidRPr="0025250D">
        <w:rPr>
          <w:rFonts w:hint="cs"/>
          <w:rtl/>
        </w:rPr>
        <w:t>ی</w:t>
      </w:r>
      <w:r w:rsidRPr="0025250D">
        <w:rPr>
          <w:rFonts w:hint="eastAsia"/>
          <w:rtl/>
        </w:rPr>
        <w:t>،</w:t>
      </w:r>
      <w:r w:rsidRPr="0025250D">
        <w:rPr>
          <w:rtl/>
        </w:rPr>
        <w:t xml:space="preserve"> آموزش، علم عملکرد، توسعه </w:t>
      </w:r>
      <w:r w:rsidR="00B124DE" w:rsidRPr="0025250D">
        <w:rPr>
          <w:rtl/>
        </w:rPr>
        <w:t>کسب‌و‌کار</w:t>
      </w:r>
      <w:r w:rsidRPr="0025250D">
        <w:rPr>
          <w:rtl/>
        </w:rPr>
        <w:t>، جوامع آنلا</w:t>
      </w:r>
      <w:r w:rsidRPr="0025250D">
        <w:rPr>
          <w:rFonts w:hint="cs"/>
          <w:rtl/>
        </w:rPr>
        <w:t>ی</w:t>
      </w:r>
      <w:r w:rsidRPr="0025250D">
        <w:rPr>
          <w:rFonts w:hint="eastAsia"/>
          <w:rtl/>
        </w:rPr>
        <w:t>ن</w:t>
      </w:r>
      <w:r w:rsidRPr="0025250D">
        <w:rPr>
          <w:rtl/>
        </w:rPr>
        <w:t xml:space="preserve"> و استفاده ا</w:t>
      </w:r>
      <w:r w:rsidRPr="0025250D">
        <w:rPr>
          <w:rFonts w:hint="eastAsia"/>
          <w:rtl/>
        </w:rPr>
        <w:t>ز</w:t>
      </w:r>
      <w:r w:rsidRPr="0025250D">
        <w:rPr>
          <w:rtl/>
        </w:rPr>
        <w:t xml:space="preserve"> شبکه ها</w:t>
      </w:r>
      <w:r w:rsidRPr="0025250D">
        <w:rPr>
          <w:rFonts w:hint="cs"/>
          <w:rtl/>
        </w:rPr>
        <w:t>ی</w:t>
      </w:r>
      <w:r w:rsidRPr="0025250D">
        <w:rPr>
          <w:rtl/>
        </w:rPr>
        <w:t xml:space="preserve"> باز برا</w:t>
      </w:r>
      <w:r w:rsidRPr="0025250D">
        <w:rPr>
          <w:rFonts w:hint="cs"/>
          <w:rtl/>
        </w:rPr>
        <w:t>ی</w:t>
      </w:r>
      <w:r w:rsidRPr="0025250D">
        <w:rPr>
          <w:rtl/>
        </w:rPr>
        <w:t xml:space="preserve"> انجام وظا</w:t>
      </w:r>
      <w:r w:rsidRPr="0025250D">
        <w:rPr>
          <w:rFonts w:hint="cs"/>
          <w:rtl/>
        </w:rPr>
        <w:t>ی</w:t>
      </w:r>
      <w:r w:rsidRPr="0025250D">
        <w:rPr>
          <w:rFonts w:hint="eastAsia"/>
          <w:rtl/>
        </w:rPr>
        <w:t>ف</w:t>
      </w:r>
      <w:r w:rsidRPr="0025250D">
        <w:rPr>
          <w:rtl/>
        </w:rPr>
        <w:t xml:space="preserve"> بزرگ است.</w:t>
      </w:r>
    </w:p>
    <w:p w14:paraId="44ABE4A5" w14:textId="5BA23319" w:rsidR="00B714DC" w:rsidRPr="0025250D" w:rsidRDefault="00B714DC" w:rsidP="00B714DC">
      <w:pPr>
        <w:rPr>
          <w:rtl/>
        </w:rPr>
      </w:pPr>
      <w:r w:rsidRPr="0025250D">
        <w:rPr>
          <w:rtl/>
        </w:rPr>
        <w:t>م</w:t>
      </w:r>
      <w:r w:rsidRPr="0025250D">
        <w:rPr>
          <w:rFonts w:hint="cs"/>
          <w:rtl/>
        </w:rPr>
        <w:t>ی</w:t>
      </w:r>
      <w:r w:rsidRPr="0025250D">
        <w:rPr>
          <w:rtl/>
        </w:rPr>
        <w:t xml:space="preserve"> توان با او </w:t>
      </w:r>
      <w:r w:rsidRPr="0025250D">
        <w:rPr>
          <w:rFonts w:hint="cs"/>
          <w:rtl/>
        </w:rPr>
        <w:t>از طریق</w:t>
      </w:r>
      <w:r w:rsidRPr="0025250D">
        <w:rPr>
          <w:rtl/>
        </w:rPr>
        <w:t xml:space="preserve"> </w:t>
      </w:r>
      <w:r w:rsidRPr="0025250D">
        <w:t>susanchesleyfant@gmail.com</w:t>
      </w:r>
      <w:r w:rsidRPr="0025250D">
        <w:rPr>
          <w:rtl/>
        </w:rPr>
        <w:t xml:space="preserve"> تماس گرفت.</w:t>
      </w:r>
    </w:p>
    <w:p w14:paraId="788F1DBF" w14:textId="4AB85EA8" w:rsidR="00B714DC" w:rsidRPr="0025250D" w:rsidRDefault="00B714DC" w:rsidP="00B714DC">
      <w:pPr>
        <w:jc w:val="center"/>
        <w:rPr>
          <w:rtl/>
        </w:rPr>
      </w:pPr>
      <w:r w:rsidRPr="0025250D">
        <w:rPr>
          <w:noProof/>
          <w:lang w:bidi="ar-SA"/>
        </w:rPr>
        <w:drawing>
          <wp:inline distT="0" distB="0" distL="0" distR="0" wp14:anchorId="12C99C3F" wp14:editId="68DA0950">
            <wp:extent cx="1628775" cy="1619250"/>
            <wp:effectExtent l="0" t="0" r="9525"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extLst>
                        <a:ext uri="{BEBA8EAE-BF5A-486C-A8C5-ECC9F3942E4B}">
                          <a14:imgProps xmlns:a14="http://schemas.microsoft.com/office/drawing/2010/main">
                            <a14:imgLayer r:embed="rId588">
                              <a14:imgEffect>
                                <a14:saturation sat="0"/>
                              </a14:imgEffect>
                            </a14:imgLayer>
                          </a14:imgProps>
                        </a:ext>
                      </a:extLst>
                    </a:blip>
                    <a:stretch>
                      <a:fillRect/>
                    </a:stretch>
                  </pic:blipFill>
                  <pic:spPr>
                    <a:xfrm>
                      <a:off x="0" y="0"/>
                      <a:ext cx="1628775" cy="1619250"/>
                    </a:xfrm>
                    <a:prstGeom prst="rect">
                      <a:avLst/>
                    </a:prstGeom>
                  </pic:spPr>
                </pic:pic>
              </a:graphicData>
            </a:graphic>
          </wp:inline>
        </w:drawing>
      </w:r>
    </w:p>
    <w:p w14:paraId="1E141DD0" w14:textId="43625256" w:rsidR="00B714DC" w:rsidRPr="0025250D" w:rsidRDefault="00F14D44" w:rsidP="00F14D44">
      <w:pPr>
        <w:rPr>
          <w:rtl/>
        </w:rPr>
      </w:pPr>
      <w:r w:rsidRPr="0025250D">
        <w:rPr>
          <w:rtl/>
        </w:rPr>
        <w:t>تا</w:t>
      </w:r>
      <w:r w:rsidRPr="0025250D">
        <w:rPr>
          <w:rFonts w:hint="cs"/>
          <w:rtl/>
        </w:rPr>
        <w:t>ی</w:t>
      </w:r>
      <w:r w:rsidRPr="0025250D">
        <w:rPr>
          <w:rFonts w:hint="eastAsia"/>
          <w:rtl/>
        </w:rPr>
        <w:t>لر</w:t>
      </w:r>
      <w:r w:rsidRPr="0025250D">
        <w:rPr>
          <w:rtl/>
        </w:rPr>
        <w:t xml:space="preserve"> مونگان رئ</w:t>
      </w:r>
      <w:r w:rsidRPr="0025250D">
        <w:rPr>
          <w:rFonts w:hint="cs"/>
          <w:rtl/>
        </w:rPr>
        <w:t>ی</w:t>
      </w:r>
      <w:r w:rsidRPr="0025250D">
        <w:rPr>
          <w:rFonts w:hint="eastAsia"/>
          <w:rtl/>
        </w:rPr>
        <w:t>س</w:t>
      </w:r>
      <w:r w:rsidRPr="0025250D">
        <w:rPr>
          <w:rtl/>
        </w:rPr>
        <w:t xml:space="preserve"> </w:t>
      </w:r>
      <w:r w:rsidRPr="0025250D">
        <w:t>HA:KU</w:t>
      </w:r>
      <w:r w:rsidR="008D6F97" w:rsidRPr="0025250D">
        <w:t xml:space="preserve"> </w:t>
      </w:r>
      <w:r w:rsidRPr="0025250D">
        <w:rPr>
          <w:rFonts w:hint="cs"/>
          <w:rtl/>
        </w:rPr>
        <w:t>گلوبال</w:t>
      </w:r>
      <w:r w:rsidRPr="0025250D">
        <w:rPr>
          <w:rStyle w:val="FootnoteReference"/>
          <w:rtl/>
        </w:rPr>
        <w:footnoteReference w:id="3612"/>
      </w:r>
      <w:r w:rsidRPr="0025250D">
        <w:rPr>
          <w:rFonts w:hint="cs"/>
          <w:rtl/>
        </w:rPr>
        <w:t xml:space="preserve"> </w:t>
      </w:r>
      <w:r w:rsidRPr="0025250D">
        <w:rPr>
          <w:rtl/>
        </w:rPr>
        <w:t>(هونولولو</w:t>
      </w:r>
      <w:r w:rsidRPr="0025250D">
        <w:rPr>
          <w:rStyle w:val="FootnoteReference"/>
          <w:rtl/>
        </w:rPr>
        <w:footnoteReference w:id="3613"/>
      </w:r>
      <w:r w:rsidRPr="0025250D">
        <w:rPr>
          <w:rtl/>
        </w:rPr>
        <w:t xml:space="preserve">، </w:t>
      </w:r>
      <w:r w:rsidRPr="0025250D">
        <w:t>HI</w:t>
      </w:r>
      <w:r w:rsidRPr="0025250D">
        <w:rPr>
          <w:rtl/>
        </w:rPr>
        <w:t xml:space="preserve"> و سانتا مون</w:t>
      </w:r>
      <w:r w:rsidRPr="0025250D">
        <w:rPr>
          <w:rFonts w:hint="cs"/>
          <w:rtl/>
        </w:rPr>
        <w:t>ی</w:t>
      </w:r>
      <w:r w:rsidRPr="0025250D">
        <w:rPr>
          <w:rFonts w:hint="eastAsia"/>
          <w:rtl/>
        </w:rPr>
        <w:t>کا،</w:t>
      </w:r>
      <w:r w:rsidRPr="0025250D">
        <w:rPr>
          <w:rtl/>
        </w:rPr>
        <w:t xml:space="preserve"> کال</w:t>
      </w:r>
      <w:r w:rsidRPr="0025250D">
        <w:rPr>
          <w:rFonts w:hint="cs"/>
          <w:rtl/>
        </w:rPr>
        <w:t>ی</w:t>
      </w:r>
      <w:r w:rsidRPr="0025250D">
        <w:rPr>
          <w:rFonts w:hint="eastAsia"/>
          <w:rtl/>
        </w:rPr>
        <w:t>فرن</w:t>
      </w:r>
      <w:r w:rsidRPr="0025250D">
        <w:rPr>
          <w:rFonts w:hint="cs"/>
          <w:rtl/>
        </w:rPr>
        <w:t>ی</w:t>
      </w:r>
      <w:r w:rsidRPr="0025250D">
        <w:rPr>
          <w:rFonts w:hint="eastAsia"/>
          <w:rtl/>
        </w:rPr>
        <w:t>ا</w:t>
      </w:r>
      <w:r w:rsidRPr="0025250D">
        <w:rPr>
          <w:rtl/>
        </w:rPr>
        <w:t xml:space="preserve">)، </w:t>
      </w:r>
      <w:r w:rsidRPr="0025250D">
        <w:rPr>
          <w:rFonts w:hint="cs"/>
          <w:rtl/>
        </w:rPr>
        <w:t>ی</w:t>
      </w:r>
      <w:r w:rsidRPr="0025250D">
        <w:rPr>
          <w:rFonts w:hint="eastAsia"/>
          <w:rtl/>
        </w:rPr>
        <w:t>ک</w:t>
      </w:r>
      <w:r w:rsidRPr="0025250D">
        <w:rPr>
          <w:rtl/>
        </w:rPr>
        <w:t xml:space="preserve"> مشاور آ</w:t>
      </w:r>
      <w:r w:rsidRPr="0025250D">
        <w:rPr>
          <w:rFonts w:hint="cs"/>
          <w:rtl/>
        </w:rPr>
        <w:t>ی</w:t>
      </w:r>
      <w:r w:rsidRPr="0025250D">
        <w:rPr>
          <w:rFonts w:hint="eastAsia"/>
          <w:rtl/>
        </w:rPr>
        <w:t>نده‌نگار</w:t>
      </w:r>
      <w:r w:rsidRPr="0025250D">
        <w:rPr>
          <w:rFonts w:hint="cs"/>
          <w:rtl/>
        </w:rPr>
        <w:t>ی</w:t>
      </w:r>
      <w:r w:rsidRPr="0025250D">
        <w:rPr>
          <w:rFonts w:hint="eastAsia"/>
          <w:rtl/>
        </w:rPr>
        <w:t>،</w:t>
      </w:r>
      <w:r w:rsidRPr="0025250D">
        <w:rPr>
          <w:rtl/>
        </w:rPr>
        <w:t xml:space="preserve"> </w:t>
      </w:r>
      <w:r w:rsidR="00701E03" w:rsidRPr="0025250D">
        <w:rPr>
          <w:rtl/>
        </w:rPr>
        <w:t>راهبرد</w:t>
      </w:r>
      <w:r w:rsidRPr="0025250D">
        <w:rPr>
          <w:rtl/>
        </w:rPr>
        <w:t xml:space="preserve"> و نوآور</w:t>
      </w:r>
      <w:r w:rsidRPr="0025250D">
        <w:rPr>
          <w:rFonts w:hint="cs"/>
          <w:rtl/>
        </w:rPr>
        <w:t>ی</w:t>
      </w:r>
      <w:r w:rsidRPr="0025250D">
        <w:rPr>
          <w:rtl/>
        </w:rPr>
        <w:t xml:space="preserve"> است. ت</w:t>
      </w:r>
      <w:r w:rsidRPr="0025250D">
        <w:rPr>
          <w:rFonts w:hint="cs"/>
          <w:rtl/>
        </w:rPr>
        <w:t>ی</w:t>
      </w:r>
      <w:r w:rsidRPr="0025250D">
        <w:rPr>
          <w:rFonts w:hint="eastAsia"/>
          <w:rtl/>
        </w:rPr>
        <w:t>م</w:t>
      </w:r>
      <w:r w:rsidRPr="0025250D">
        <w:rPr>
          <w:rtl/>
        </w:rPr>
        <w:t xml:space="preserve"> او در بهبود </w:t>
      </w:r>
      <w:r w:rsidR="00D92F6E" w:rsidRPr="0025250D">
        <w:rPr>
          <w:rtl/>
        </w:rPr>
        <w:t>آینده‌نگاری</w:t>
      </w:r>
      <w:r w:rsidRPr="0025250D">
        <w:rPr>
          <w:rtl/>
        </w:rPr>
        <w:t xml:space="preserve"> و رهبر</w:t>
      </w:r>
      <w:r w:rsidRPr="0025250D">
        <w:rPr>
          <w:rFonts w:hint="cs"/>
          <w:rtl/>
        </w:rPr>
        <w:t>ی</w:t>
      </w:r>
      <w:r w:rsidRPr="0025250D">
        <w:rPr>
          <w:rtl/>
        </w:rPr>
        <w:t xml:space="preserve"> </w:t>
      </w:r>
      <w:r w:rsidRPr="0025250D">
        <w:rPr>
          <w:rFonts w:hint="cs"/>
          <w:rtl/>
        </w:rPr>
        <w:t>اطلاعات</w:t>
      </w:r>
      <w:r w:rsidRPr="0025250D">
        <w:rPr>
          <w:rtl/>
        </w:rPr>
        <w:t xml:space="preserve"> با ب</w:t>
      </w:r>
      <w:r w:rsidRPr="0025250D">
        <w:rPr>
          <w:rFonts w:hint="cs"/>
          <w:rtl/>
        </w:rPr>
        <w:t>ی</w:t>
      </w:r>
      <w:r w:rsidRPr="0025250D">
        <w:rPr>
          <w:rFonts w:hint="eastAsia"/>
          <w:rtl/>
        </w:rPr>
        <w:t>نش</w:t>
      </w:r>
      <w:r w:rsidRPr="0025250D">
        <w:rPr>
          <w:rtl/>
        </w:rPr>
        <w:t xml:space="preserve"> ها</w:t>
      </w:r>
      <w:r w:rsidRPr="0025250D">
        <w:rPr>
          <w:rFonts w:hint="cs"/>
          <w:rtl/>
        </w:rPr>
        <w:t>ی</w:t>
      </w:r>
      <w:r w:rsidRPr="0025250D">
        <w:rPr>
          <w:rtl/>
        </w:rPr>
        <w:t xml:space="preserve"> </w:t>
      </w:r>
      <w:r w:rsidRPr="0025250D">
        <w:rPr>
          <w:rFonts w:hint="cs"/>
          <w:rtl/>
        </w:rPr>
        <w:t>آزمون</w:t>
      </w:r>
      <w:r w:rsidRPr="0025250D">
        <w:rPr>
          <w:rtl/>
        </w:rPr>
        <w:t xml:space="preserve"> شده </w:t>
      </w:r>
      <w:r w:rsidRPr="0025250D">
        <w:rPr>
          <w:rFonts w:hint="cs"/>
          <w:rtl/>
        </w:rPr>
        <w:t xml:space="preserve">در زمینه </w:t>
      </w:r>
      <w:r w:rsidRPr="0025250D">
        <w:rPr>
          <w:rtl/>
        </w:rPr>
        <w:t>جر</w:t>
      </w:r>
      <w:r w:rsidRPr="0025250D">
        <w:rPr>
          <w:rFonts w:hint="cs"/>
          <w:rtl/>
        </w:rPr>
        <w:t>ی</w:t>
      </w:r>
      <w:r w:rsidRPr="0025250D">
        <w:rPr>
          <w:rFonts w:hint="eastAsia"/>
          <w:rtl/>
        </w:rPr>
        <w:t>ان</w:t>
      </w:r>
      <w:r w:rsidRPr="0025250D">
        <w:rPr>
          <w:rtl/>
        </w:rPr>
        <w:t xml:space="preserve"> کار از علوم اعصاب، علوم اجتماع</w:t>
      </w:r>
      <w:r w:rsidRPr="0025250D">
        <w:rPr>
          <w:rFonts w:hint="cs"/>
          <w:rtl/>
        </w:rPr>
        <w:t>ی</w:t>
      </w:r>
      <w:r w:rsidRPr="0025250D">
        <w:rPr>
          <w:rtl/>
        </w:rPr>
        <w:t xml:space="preserve"> شناخت</w:t>
      </w:r>
      <w:r w:rsidRPr="0025250D">
        <w:rPr>
          <w:rFonts w:hint="cs"/>
          <w:rtl/>
        </w:rPr>
        <w:t>ی</w:t>
      </w:r>
      <w:r w:rsidRPr="0025250D">
        <w:rPr>
          <w:rFonts w:hint="eastAsia"/>
          <w:rtl/>
        </w:rPr>
        <w:t>،</w:t>
      </w:r>
      <w:r w:rsidRPr="0025250D">
        <w:rPr>
          <w:rtl/>
        </w:rPr>
        <w:t xml:space="preserve"> هوش ه</w:t>
      </w:r>
      <w:r w:rsidRPr="0025250D">
        <w:rPr>
          <w:rFonts w:hint="cs"/>
          <w:rtl/>
        </w:rPr>
        <w:t>ی</w:t>
      </w:r>
      <w:r w:rsidRPr="0025250D">
        <w:rPr>
          <w:rFonts w:hint="eastAsia"/>
          <w:rtl/>
        </w:rPr>
        <w:t>جان</w:t>
      </w:r>
      <w:r w:rsidRPr="0025250D">
        <w:rPr>
          <w:rFonts w:hint="cs"/>
          <w:rtl/>
        </w:rPr>
        <w:t>ی</w:t>
      </w:r>
      <w:r w:rsidRPr="0025250D">
        <w:rPr>
          <w:rtl/>
        </w:rPr>
        <w:t xml:space="preserve"> و همکار</w:t>
      </w:r>
      <w:r w:rsidRPr="0025250D">
        <w:rPr>
          <w:rFonts w:hint="cs"/>
          <w:rtl/>
        </w:rPr>
        <w:t>ی</w:t>
      </w:r>
      <w:r w:rsidRPr="0025250D">
        <w:rPr>
          <w:rtl/>
        </w:rPr>
        <w:t xml:space="preserve"> با عملکرد </w:t>
      </w:r>
      <w:r w:rsidRPr="0025250D">
        <w:rPr>
          <w:rFonts w:hint="eastAsia"/>
          <w:rtl/>
        </w:rPr>
        <w:t>بالا</w:t>
      </w:r>
      <w:r w:rsidRPr="0025250D">
        <w:rPr>
          <w:rtl/>
        </w:rPr>
        <w:t xml:space="preserve"> متخصص است. م</w:t>
      </w:r>
      <w:r w:rsidRPr="0025250D">
        <w:rPr>
          <w:rFonts w:hint="cs"/>
          <w:rtl/>
        </w:rPr>
        <w:t>ی</w:t>
      </w:r>
      <w:r w:rsidRPr="0025250D">
        <w:rPr>
          <w:rtl/>
        </w:rPr>
        <w:t xml:space="preserve"> توان با او </w:t>
      </w:r>
      <w:r w:rsidR="00382A28" w:rsidRPr="0025250D">
        <w:rPr>
          <w:rFonts w:hint="cs"/>
          <w:rtl/>
        </w:rPr>
        <w:t>از طریق</w:t>
      </w:r>
      <w:r w:rsidRPr="0025250D">
        <w:rPr>
          <w:rtl/>
        </w:rPr>
        <w:t xml:space="preserve"> </w:t>
      </w:r>
      <w:r w:rsidRPr="0025250D">
        <w:t>tyler@tylermongan.com</w:t>
      </w:r>
      <w:r w:rsidRPr="0025250D">
        <w:rPr>
          <w:rtl/>
        </w:rPr>
        <w:t xml:space="preserve"> تماس گرفت</w:t>
      </w:r>
      <w:r w:rsidR="00382A28" w:rsidRPr="0025250D">
        <w:rPr>
          <w:rFonts w:hint="cs"/>
          <w:rtl/>
        </w:rPr>
        <w:t>.</w:t>
      </w:r>
    </w:p>
    <w:p w14:paraId="389948CE" w14:textId="004D4E95" w:rsidR="00382A28" w:rsidRPr="0025250D" w:rsidRDefault="00382A28" w:rsidP="00382A28">
      <w:pPr>
        <w:jc w:val="center"/>
        <w:rPr>
          <w:rtl/>
        </w:rPr>
      </w:pPr>
      <w:r w:rsidRPr="0025250D">
        <w:rPr>
          <w:noProof/>
          <w:lang w:bidi="ar-SA"/>
        </w:rPr>
        <w:drawing>
          <wp:inline distT="0" distB="0" distL="0" distR="0" wp14:anchorId="41C31F48" wp14:editId="0FA42FD6">
            <wp:extent cx="1628775" cy="1581150"/>
            <wp:effectExtent l="0" t="0" r="9525"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extLst>
                        <a:ext uri="{BEBA8EAE-BF5A-486C-A8C5-ECC9F3942E4B}">
                          <a14:imgProps xmlns:a14="http://schemas.microsoft.com/office/drawing/2010/main">
                            <a14:imgLayer r:embed="rId590">
                              <a14:imgEffect>
                                <a14:saturation sat="0"/>
                              </a14:imgEffect>
                            </a14:imgLayer>
                          </a14:imgProps>
                        </a:ext>
                      </a:extLst>
                    </a:blip>
                    <a:stretch>
                      <a:fillRect/>
                    </a:stretch>
                  </pic:blipFill>
                  <pic:spPr>
                    <a:xfrm>
                      <a:off x="0" y="0"/>
                      <a:ext cx="1628775" cy="1581150"/>
                    </a:xfrm>
                    <a:prstGeom prst="rect">
                      <a:avLst/>
                    </a:prstGeom>
                  </pic:spPr>
                </pic:pic>
              </a:graphicData>
            </a:graphic>
          </wp:inline>
        </w:drawing>
      </w:r>
    </w:p>
    <w:p w14:paraId="30CC6D57" w14:textId="71A448C4" w:rsidR="00382A28" w:rsidRPr="0025250D" w:rsidRDefault="00382A28" w:rsidP="00382A28">
      <w:pPr>
        <w:rPr>
          <w:rtl/>
        </w:rPr>
      </w:pPr>
      <w:r w:rsidRPr="0025250D">
        <w:rPr>
          <w:rtl/>
        </w:rPr>
        <w:t>ناکول گوپتا دانشجو</w:t>
      </w:r>
      <w:r w:rsidRPr="0025250D">
        <w:rPr>
          <w:rFonts w:hint="cs"/>
          <w:rtl/>
        </w:rPr>
        <w:t>ی</w:t>
      </w:r>
      <w:r w:rsidRPr="0025250D">
        <w:rPr>
          <w:rtl/>
        </w:rPr>
        <w:t xml:space="preserve"> کارشناس</w:t>
      </w:r>
      <w:r w:rsidRPr="0025250D">
        <w:rPr>
          <w:rFonts w:hint="cs"/>
          <w:rtl/>
        </w:rPr>
        <w:t>ی</w:t>
      </w:r>
      <w:r w:rsidRPr="0025250D">
        <w:rPr>
          <w:rtl/>
        </w:rPr>
        <w:t xml:space="preserve"> ارشد در دانشگاه کال</w:t>
      </w:r>
      <w:r w:rsidRPr="0025250D">
        <w:rPr>
          <w:rFonts w:hint="cs"/>
          <w:rtl/>
        </w:rPr>
        <w:t>ی</w:t>
      </w:r>
      <w:r w:rsidRPr="0025250D">
        <w:rPr>
          <w:rFonts w:hint="eastAsia"/>
          <w:rtl/>
        </w:rPr>
        <w:t>فرن</w:t>
      </w:r>
      <w:r w:rsidRPr="0025250D">
        <w:rPr>
          <w:rFonts w:hint="cs"/>
          <w:rtl/>
        </w:rPr>
        <w:t>ی</w:t>
      </w:r>
      <w:r w:rsidRPr="0025250D">
        <w:rPr>
          <w:rFonts w:hint="eastAsia"/>
          <w:rtl/>
        </w:rPr>
        <w:t>ا</w:t>
      </w:r>
      <w:r w:rsidRPr="0025250D">
        <w:rPr>
          <w:rFonts w:hint="cs"/>
          <w:rtl/>
        </w:rPr>
        <w:t>ی</w:t>
      </w:r>
      <w:r w:rsidRPr="0025250D">
        <w:rPr>
          <w:rtl/>
        </w:rPr>
        <w:t xml:space="preserve"> جنوب</w:t>
      </w:r>
      <w:r w:rsidRPr="0025250D">
        <w:rPr>
          <w:rFonts w:hint="cs"/>
          <w:rtl/>
        </w:rPr>
        <w:t>ی</w:t>
      </w:r>
      <w:r w:rsidRPr="0025250D">
        <w:rPr>
          <w:rtl/>
        </w:rPr>
        <w:t xml:space="preserve"> (لس آنجلس، کال</w:t>
      </w:r>
      <w:r w:rsidRPr="0025250D">
        <w:rPr>
          <w:rFonts w:hint="cs"/>
          <w:rtl/>
        </w:rPr>
        <w:t>ی</w:t>
      </w:r>
      <w:r w:rsidRPr="0025250D">
        <w:rPr>
          <w:rFonts w:hint="eastAsia"/>
          <w:rtl/>
        </w:rPr>
        <w:t>فرن</w:t>
      </w:r>
      <w:r w:rsidRPr="0025250D">
        <w:rPr>
          <w:rFonts w:hint="cs"/>
          <w:rtl/>
        </w:rPr>
        <w:t>ی</w:t>
      </w:r>
      <w:r w:rsidRPr="0025250D">
        <w:rPr>
          <w:rFonts w:hint="eastAsia"/>
          <w:rtl/>
        </w:rPr>
        <w:t>ا</w:t>
      </w:r>
      <w:r w:rsidRPr="0025250D">
        <w:rPr>
          <w:rtl/>
        </w:rPr>
        <w:t>) است که مدرک کارشناس</w:t>
      </w:r>
      <w:r w:rsidRPr="0025250D">
        <w:rPr>
          <w:rFonts w:hint="cs"/>
          <w:rtl/>
        </w:rPr>
        <w:t>ی</w:t>
      </w:r>
      <w:r w:rsidRPr="0025250D">
        <w:rPr>
          <w:rtl/>
        </w:rPr>
        <w:t xml:space="preserve"> ارشد خود را در رشته علوم کامپ</w:t>
      </w:r>
      <w:r w:rsidRPr="0025250D">
        <w:rPr>
          <w:rFonts w:hint="cs"/>
          <w:rtl/>
        </w:rPr>
        <w:t>ی</w:t>
      </w:r>
      <w:r w:rsidRPr="0025250D">
        <w:rPr>
          <w:rFonts w:hint="eastAsia"/>
          <w:rtl/>
        </w:rPr>
        <w:t>وتر</w:t>
      </w:r>
      <w:r w:rsidRPr="0025250D">
        <w:rPr>
          <w:rtl/>
        </w:rPr>
        <w:t xml:space="preserve"> در</w:t>
      </w:r>
      <w:r w:rsidRPr="0025250D">
        <w:rPr>
          <w:rFonts w:hint="cs"/>
          <w:rtl/>
        </w:rPr>
        <w:t>ی</w:t>
      </w:r>
      <w:r w:rsidRPr="0025250D">
        <w:rPr>
          <w:rFonts w:hint="eastAsia"/>
          <w:rtl/>
        </w:rPr>
        <w:t>افت</w:t>
      </w:r>
      <w:r w:rsidRPr="0025250D">
        <w:rPr>
          <w:rtl/>
        </w:rPr>
        <w:t xml:space="preserve"> م</w:t>
      </w:r>
      <w:r w:rsidRPr="0025250D">
        <w:rPr>
          <w:rFonts w:hint="cs"/>
          <w:rtl/>
        </w:rPr>
        <w:t>ی</w:t>
      </w:r>
      <w:r w:rsidRPr="0025250D">
        <w:rPr>
          <w:rtl/>
        </w:rPr>
        <w:t xml:space="preserve"> کند. او اخ</w:t>
      </w:r>
      <w:r w:rsidRPr="0025250D">
        <w:rPr>
          <w:rFonts w:hint="cs"/>
          <w:rtl/>
        </w:rPr>
        <w:t>ی</w:t>
      </w:r>
      <w:r w:rsidRPr="0025250D">
        <w:rPr>
          <w:rFonts w:hint="eastAsia"/>
          <w:rtl/>
        </w:rPr>
        <w:t>راً</w:t>
      </w:r>
      <w:r w:rsidRPr="0025250D">
        <w:rPr>
          <w:rtl/>
        </w:rPr>
        <w:t xml:space="preserve"> از دانشگاه کال</w:t>
      </w:r>
      <w:r w:rsidRPr="0025250D">
        <w:rPr>
          <w:rFonts w:hint="cs"/>
          <w:rtl/>
        </w:rPr>
        <w:t>ی</w:t>
      </w:r>
      <w:r w:rsidRPr="0025250D">
        <w:rPr>
          <w:rFonts w:hint="eastAsia"/>
          <w:rtl/>
        </w:rPr>
        <w:t>فرن</w:t>
      </w:r>
      <w:r w:rsidRPr="0025250D">
        <w:rPr>
          <w:rFonts w:hint="cs"/>
          <w:rtl/>
        </w:rPr>
        <w:t>ی</w:t>
      </w:r>
      <w:r w:rsidRPr="0025250D">
        <w:rPr>
          <w:rFonts w:hint="eastAsia"/>
          <w:rtl/>
        </w:rPr>
        <w:t>ا</w:t>
      </w:r>
      <w:r w:rsidRPr="0025250D">
        <w:rPr>
          <w:rtl/>
        </w:rPr>
        <w:t xml:space="preserve"> در لس آنجلس با مدرک ل</w:t>
      </w:r>
      <w:r w:rsidRPr="0025250D">
        <w:rPr>
          <w:rFonts w:hint="cs"/>
          <w:rtl/>
        </w:rPr>
        <w:t>ی</w:t>
      </w:r>
      <w:r w:rsidRPr="0025250D">
        <w:rPr>
          <w:rFonts w:hint="eastAsia"/>
          <w:rtl/>
        </w:rPr>
        <w:t>سانس</w:t>
      </w:r>
      <w:r w:rsidRPr="0025250D">
        <w:rPr>
          <w:rtl/>
        </w:rPr>
        <w:t xml:space="preserve"> ف</w:t>
      </w:r>
      <w:r w:rsidRPr="0025250D">
        <w:rPr>
          <w:rFonts w:hint="cs"/>
          <w:rtl/>
        </w:rPr>
        <w:t>ی</w:t>
      </w:r>
      <w:r w:rsidRPr="0025250D">
        <w:rPr>
          <w:rFonts w:hint="eastAsia"/>
          <w:rtl/>
        </w:rPr>
        <w:t>ز</w:t>
      </w:r>
      <w:r w:rsidRPr="0025250D">
        <w:rPr>
          <w:rFonts w:hint="cs"/>
          <w:rtl/>
        </w:rPr>
        <w:t>ی</w:t>
      </w:r>
      <w:r w:rsidRPr="0025250D">
        <w:rPr>
          <w:rFonts w:hint="eastAsia"/>
          <w:rtl/>
        </w:rPr>
        <w:t>ک</w:t>
      </w:r>
      <w:r w:rsidRPr="0025250D">
        <w:rPr>
          <w:rtl/>
        </w:rPr>
        <w:t xml:space="preserve"> فارغ التحص</w:t>
      </w:r>
      <w:r w:rsidRPr="0025250D">
        <w:rPr>
          <w:rFonts w:hint="cs"/>
          <w:rtl/>
        </w:rPr>
        <w:t>ی</w:t>
      </w:r>
      <w:r w:rsidRPr="0025250D">
        <w:rPr>
          <w:rFonts w:hint="eastAsia"/>
          <w:rtl/>
        </w:rPr>
        <w:t>ل</w:t>
      </w:r>
      <w:r w:rsidRPr="0025250D">
        <w:rPr>
          <w:rtl/>
        </w:rPr>
        <w:t xml:space="preserve"> شده است. علا</w:t>
      </w:r>
      <w:r w:rsidRPr="0025250D">
        <w:rPr>
          <w:rFonts w:hint="cs"/>
          <w:rtl/>
        </w:rPr>
        <w:t>ی</w:t>
      </w:r>
      <w:r w:rsidRPr="0025250D">
        <w:rPr>
          <w:rFonts w:hint="eastAsia"/>
          <w:rtl/>
        </w:rPr>
        <w:t>ق</w:t>
      </w:r>
      <w:r w:rsidRPr="0025250D">
        <w:rPr>
          <w:rtl/>
        </w:rPr>
        <w:t xml:space="preserve"> او شامل </w:t>
      </w:r>
      <w:r w:rsidR="00D92F6E" w:rsidRPr="0025250D">
        <w:rPr>
          <w:rtl/>
        </w:rPr>
        <w:t>آینده‌نگاری</w:t>
      </w:r>
      <w:r w:rsidRPr="0025250D">
        <w:rPr>
          <w:rtl/>
        </w:rPr>
        <w:t xml:space="preserve"> جامع، مطالعات فناور</w:t>
      </w:r>
      <w:r w:rsidRPr="0025250D">
        <w:rPr>
          <w:rFonts w:hint="cs"/>
          <w:rtl/>
        </w:rPr>
        <w:t>ی</w:t>
      </w:r>
      <w:r w:rsidRPr="0025250D">
        <w:rPr>
          <w:rFonts w:hint="eastAsia"/>
          <w:rtl/>
        </w:rPr>
        <w:t>،</w:t>
      </w:r>
      <w:r w:rsidRPr="0025250D">
        <w:rPr>
          <w:rtl/>
        </w:rPr>
        <w:t xml:space="preserve"> توسعه نرم افزار، </w:t>
      </w:r>
      <w:r w:rsidRPr="0025250D">
        <w:rPr>
          <w:rFonts w:hint="cs"/>
          <w:rtl/>
        </w:rPr>
        <w:t>ی</w:t>
      </w:r>
      <w:r w:rsidRPr="0025250D">
        <w:rPr>
          <w:rFonts w:hint="eastAsia"/>
          <w:rtl/>
        </w:rPr>
        <w:t>ادگ</w:t>
      </w:r>
      <w:r w:rsidRPr="0025250D">
        <w:rPr>
          <w:rFonts w:hint="cs"/>
          <w:rtl/>
        </w:rPr>
        <w:t>ی</w:t>
      </w:r>
      <w:r w:rsidRPr="0025250D">
        <w:rPr>
          <w:rFonts w:hint="eastAsia"/>
          <w:rtl/>
        </w:rPr>
        <w:t>ر</w:t>
      </w:r>
      <w:r w:rsidRPr="0025250D">
        <w:rPr>
          <w:rFonts w:hint="cs"/>
          <w:rtl/>
        </w:rPr>
        <w:t>ی</w:t>
      </w:r>
      <w:r w:rsidRPr="0025250D">
        <w:rPr>
          <w:rtl/>
        </w:rPr>
        <w:t xml:space="preserve"> ماش</w:t>
      </w:r>
      <w:r w:rsidRPr="0025250D">
        <w:rPr>
          <w:rFonts w:hint="cs"/>
          <w:rtl/>
        </w:rPr>
        <w:t>ی</w:t>
      </w:r>
      <w:r w:rsidRPr="0025250D">
        <w:rPr>
          <w:rFonts w:hint="eastAsia"/>
          <w:rtl/>
        </w:rPr>
        <w:t>ن،</w:t>
      </w:r>
      <w:r w:rsidRPr="0025250D">
        <w:rPr>
          <w:rtl/>
        </w:rPr>
        <w:t xml:space="preserve"> باز</w:t>
      </w:r>
      <w:r w:rsidRPr="0025250D">
        <w:rPr>
          <w:rFonts w:hint="cs"/>
          <w:rtl/>
        </w:rPr>
        <w:t>ی</w:t>
      </w:r>
      <w:r w:rsidRPr="0025250D">
        <w:rPr>
          <w:rtl/>
        </w:rPr>
        <w:t xml:space="preserve"> ها</w:t>
      </w:r>
      <w:r w:rsidRPr="0025250D">
        <w:rPr>
          <w:rFonts w:hint="cs"/>
          <w:rtl/>
        </w:rPr>
        <w:t>ی</w:t>
      </w:r>
      <w:r w:rsidRPr="0025250D">
        <w:rPr>
          <w:rtl/>
        </w:rPr>
        <w:t xml:space="preserve"> ابر</w:t>
      </w:r>
      <w:r w:rsidRPr="0025250D">
        <w:rPr>
          <w:rFonts w:hint="cs"/>
          <w:rtl/>
        </w:rPr>
        <w:t>ی</w:t>
      </w:r>
      <w:r w:rsidRPr="0025250D">
        <w:rPr>
          <w:rtl/>
        </w:rPr>
        <w:t xml:space="preserve"> و پلتفرم ها</w:t>
      </w:r>
      <w:r w:rsidRPr="0025250D">
        <w:rPr>
          <w:rFonts w:hint="cs"/>
          <w:rtl/>
        </w:rPr>
        <w:t>ی</w:t>
      </w:r>
      <w:r w:rsidRPr="0025250D">
        <w:rPr>
          <w:rtl/>
        </w:rPr>
        <w:t xml:space="preserve"> شب</w:t>
      </w:r>
      <w:r w:rsidRPr="0025250D">
        <w:rPr>
          <w:rFonts w:hint="cs"/>
          <w:rtl/>
        </w:rPr>
        <w:t>ی</w:t>
      </w:r>
      <w:r w:rsidRPr="0025250D">
        <w:rPr>
          <w:rFonts w:hint="eastAsia"/>
          <w:rtl/>
        </w:rPr>
        <w:t>ه</w:t>
      </w:r>
      <w:r w:rsidRPr="0025250D">
        <w:rPr>
          <w:rtl/>
        </w:rPr>
        <w:t xml:space="preserve"> ساز</w:t>
      </w:r>
      <w:r w:rsidRPr="0025250D">
        <w:rPr>
          <w:rFonts w:hint="cs"/>
          <w:rtl/>
        </w:rPr>
        <w:t>ی</w:t>
      </w:r>
      <w:r w:rsidRPr="0025250D">
        <w:rPr>
          <w:rtl/>
        </w:rPr>
        <w:t xml:space="preserve"> سازمان</w:t>
      </w:r>
      <w:r w:rsidRPr="0025250D">
        <w:rPr>
          <w:rFonts w:hint="cs"/>
          <w:rtl/>
        </w:rPr>
        <w:t>ی</w:t>
      </w:r>
      <w:r w:rsidRPr="0025250D">
        <w:rPr>
          <w:rtl/>
        </w:rPr>
        <w:t xml:space="preserve"> است. م</w:t>
      </w:r>
      <w:r w:rsidRPr="0025250D">
        <w:rPr>
          <w:rFonts w:hint="cs"/>
          <w:rtl/>
        </w:rPr>
        <w:t>ی</w:t>
      </w:r>
      <w:r w:rsidRPr="0025250D">
        <w:rPr>
          <w:rtl/>
        </w:rPr>
        <w:t xml:space="preserve"> توان با او </w:t>
      </w:r>
      <w:r w:rsidRPr="0025250D">
        <w:rPr>
          <w:rFonts w:hint="cs"/>
          <w:rtl/>
        </w:rPr>
        <w:t>از طریق</w:t>
      </w:r>
      <w:r w:rsidRPr="0025250D">
        <w:rPr>
          <w:rtl/>
        </w:rPr>
        <w:t xml:space="preserve"> </w:t>
      </w:r>
      <w:r w:rsidRPr="0025250D">
        <w:t>nakulgup@usc.edu</w:t>
      </w:r>
      <w:r w:rsidRPr="0025250D">
        <w:rPr>
          <w:rtl/>
        </w:rPr>
        <w:t xml:space="preserve"> تماس گرفت</w:t>
      </w:r>
      <w:r w:rsidRPr="0025250D">
        <w:rPr>
          <w:rFonts w:hint="cs"/>
          <w:rtl/>
        </w:rPr>
        <w:t>.</w:t>
      </w:r>
    </w:p>
    <w:p w14:paraId="765CA23D" w14:textId="6226EA91" w:rsidR="00382A28" w:rsidRPr="0025250D" w:rsidRDefault="00382A28" w:rsidP="00382A28">
      <w:pPr>
        <w:jc w:val="center"/>
        <w:rPr>
          <w:rtl/>
        </w:rPr>
      </w:pPr>
      <w:r w:rsidRPr="0025250D">
        <w:rPr>
          <w:noProof/>
          <w:lang w:bidi="ar-SA"/>
        </w:rPr>
        <w:drawing>
          <wp:inline distT="0" distB="0" distL="0" distR="0" wp14:anchorId="7159A876" wp14:editId="28CBDC31">
            <wp:extent cx="1619250" cy="1657350"/>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extLst>
                        <a:ext uri="{BEBA8EAE-BF5A-486C-A8C5-ECC9F3942E4B}">
                          <a14:imgProps xmlns:a14="http://schemas.microsoft.com/office/drawing/2010/main">
                            <a14:imgLayer r:embed="rId592">
                              <a14:imgEffect>
                                <a14:saturation sat="0"/>
                              </a14:imgEffect>
                            </a14:imgLayer>
                          </a14:imgProps>
                        </a:ext>
                      </a:extLst>
                    </a:blip>
                    <a:stretch>
                      <a:fillRect/>
                    </a:stretch>
                  </pic:blipFill>
                  <pic:spPr>
                    <a:xfrm>
                      <a:off x="0" y="0"/>
                      <a:ext cx="1619250" cy="1657350"/>
                    </a:xfrm>
                    <a:prstGeom prst="rect">
                      <a:avLst/>
                    </a:prstGeom>
                  </pic:spPr>
                </pic:pic>
              </a:graphicData>
            </a:graphic>
          </wp:inline>
        </w:drawing>
      </w:r>
    </w:p>
    <w:p w14:paraId="0A019997" w14:textId="7B109CF2" w:rsidR="00382A28" w:rsidRPr="0025250D" w:rsidRDefault="00382A28" w:rsidP="00382A28">
      <w:pPr>
        <w:rPr>
          <w:rtl/>
        </w:rPr>
      </w:pPr>
      <w:r w:rsidRPr="0025250D">
        <w:rPr>
          <w:rtl/>
        </w:rPr>
        <w:t>جاشوا د</w:t>
      </w:r>
      <w:r w:rsidRPr="0025250D">
        <w:rPr>
          <w:rFonts w:hint="cs"/>
          <w:rtl/>
        </w:rPr>
        <w:t>ی</w:t>
      </w:r>
      <w:r w:rsidRPr="0025250D">
        <w:rPr>
          <w:rFonts w:hint="eastAsia"/>
          <w:rtl/>
        </w:rPr>
        <w:t>و</w:t>
      </w:r>
      <w:r w:rsidRPr="0025250D">
        <w:rPr>
          <w:rFonts w:hint="cs"/>
          <w:rtl/>
        </w:rPr>
        <w:t>ی</w:t>
      </w:r>
      <w:r w:rsidRPr="0025250D">
        <w:rPr>
          <w:rFonts w:hint="eastAsia"/>
          <w:rtl/>
        </w:rPr>
        <w:t>س</w:t>
      </w:r>
      <w:r w:rsidRPr="0025250D">
        <w:rPr>
          <w:rtl/>
        </w:rPr>
        <w:t xml:space="preserve"> </w:t>
      </w:r>
      <w:r w:rsidRPr="0025250D">
        <w:rPr>
          <w:rFonts w:hint="cs"/>
          <w:rtl/>
        </w:rPr>
        <w:t>ی</w:t>
      </w:r>
      <w:r w:rsidRPr="0025250D">
        <w:rPr>
          <w:rFonts w:hint="eastAsia"/>
          <w:rtl/>
        </w:rPr>
        <w:t>ک</w:t>
      </w:r>
      <w:r w:rsidRPr="0025250D">
        <w:rPr>
          <w:rtl/>
        </w:rPr>
        <w:t xml:space="preserve"> نما</w:t>
      </w:r>
      <w:r w:rsidRPr="0025250D">
        <w:rPr>
          <w:rFonts w:hint="cs"/>
          <w:rtl/>
        </w:rPr>
        <w:t>ی</w:t>
      </w:r>
      <w:r w:rsidRPr="0025250D">
        <w:rPr>
          <w:rFonts w:hint="eastAsia"/>
          <w:rtl/>
        </w:rPr>
        <w:t>نده</w:t>
      </w:r>
      <w:r w:rsidRPr="0025250D">
        <w:rPr>
          <w:rtl/>
        </w:rPr>
        <w:t xml:space="preserve"> در شرکت ب</w:t>
      </w:r>
      <w:r w:rsidRPr="0025250D">
        <w:rPr>
          <w:rFonts w:hint="cs"/>
          <w:rtl/>
        </w:rPr>
        <w:t>ی</w:t>
      </w:r>
      <w:r w:rsidRPr="0025250D">
        <w:rPr>
          <w:rFonts w:hint="eastAsia"/>
          <w:rtl/>
        </w:rPr>
        <w:t>مه</w:t>
      </w:r>
      <w:r w:rsidRPr="0025250D">
        <w:rPr>
          <w:rtl/>
        </w:rPr>
        <w:t xml:space="preserve"> </w:t>
      </w:r>
      <w:r w:rsidRPr="0025250D">
        <w:rPr>
          <w:rFonts w:hint="cs"/>
          <w:rtl/>
        </w:rPr>
        <w:t>عمر</w:t>
      </w:r>
      <w:r w:rsidRPr="0025250D">
        <w:rPr>
          <w:rtl/>
        </w:rPr>
        <w:t xml:space="preserve"> ن</w:t>
      </w:r>
      <w:r w:rsidRPr="0025250D">
        <w:rPr>
          <w:rFonts w:hint="cs"/>
          <w:rtl/>
        </w:rPr>
        <w:t>ی</w:t>
      </w:r>
      <w:r w:rsidRPr="0025250D">
        <w:rPr>
          <w:rFonts w:hint="eastAsia"/>
          <w:rtl/>
        </w:rPr>
        <w:t>و</w:t>
      </w:r>
      <w:r w:rsidRPr="0025250D">
        <w:rPr>
          <w:rFonts w:hint="cs"/>
          <w:rtl/>
        </w:rPr>
        <w:t>ی</w:t>
      </w:r>
      <w:r w:rsidRPr="0025250D">
        <w:rPr>
          <w:rFonts w:hint="eastAsia"/>
          <w:rtl/>
        </w:rPr>
        <w:t>ورک</w:t>
      </w:r>
      <w:r w:rsidRPr="0025250D">
        <w:rPr>
          <w:rtl/>
        </w:rPr>
        <w:t xml:space="preserve"> (س</w:t>
      </w:r>
      <w:r w:rsidRPr="0025250D">
        <w:rPr>
          <w:rFonts w:hint="cs"/>
          <w:rtl/>
        </w:rPr>
        <w:t>ی</w:t>
      </w:r>
      <w:r w:rsidRPr="0025250D">
        <w:rPr>
          <w:rFonts w:hint="eastAsia"/>
          <w:rtl/>
        </w:rPr>
        <w:t>گنال</w:t>
      </w:r>
      <w:r w:rsidRPr="0025250D">
        <w:rPr>
          <w:rtl/>
        </w:rPr>
        <w:t xml:space="preserve"> مانت</w:t>
      </w:r>
      <w:r w:rsidRPr="0025250D">
        <w:rPr>
          <w:rFonts w:hint="cs"/>
          <w:rtl/>
        </w:rPr>
        <w:t>ی</w:t>
      </w:r>
      <w:r w:rsidRPr="0025250D">
        <w:rPr>
          <w:rFonts w:hint="eastAsia"/>
          <w:rtl/>
        </w:rPr>
        <w:t>ن</w:t>
      </w:r>
      <w:r w:rsidRPr="0025250D">
        <w:rPr>
          <w:rStyle w:val="FootnoteReference"/>
          <w:rtl/>
        </w:rPr>
        <w:footnoteReference w:id="3614"/>
      </w:r>
      <w:r w:rsidRPr="0025250D">
        <w:rPr>
          <w:rFonts w:hint="eastAsia"/>
          <w:rtl/>
        </w:rPr>
        <w:t>،</w:t>
      </w:r>
      <w:r w:rsidRPr="0025250D">
        <w:rPr>
          <w:rtl/>
        </w:rPr>
        <w:t xml:space="preserve"> </w:t>
      </w:r>
      <w:r w:rsidRPr="0025250D">
        <w:t>TN</w:t>
      </w:r>
      <w:r w:rsidRPr="0025250D">
        <w:rPr>
          <w:rtl/>
        </w:rPr>
        <w:t xml:space="preserve">) و </w:t>
      </w:r>
      <w:r w:rsidRPr="0025250D">
        <w:rPr>
          <w:rFonts w:hint="cs"/>
          <w:rtl/>
        </w:rPr>
        <w:t>ی</w:t>
      </w:r>
      <w:r w:rsidRPr="0025250D">
        <w:rPr>
          <w:rFonts w:hint="eastAsia"/>
          <w:rtl/>
        </w:rPr>
        <w:t>ک</w:t>
      </w:r>
      <w:r w:rsidRPr="0025250D">
        <w:rPr>
          <w:rtl/>
        </w:rPr>
        <w:t xml:space="preserve"> تحل</w:t>
      </w:r>
      <w:r w:rsidRPr="0025250D">
        <w:rPr>
          <w:rFonts w:hint="cs"/>
          <w:rtl/>
        </w:rPr>
        <w:t>ی</w:t>
      </w:r>
      <w:r w:rsidRPr="0025250D">
        <w:rPr>
          <w:rFonts w:hint="eastAsia"/>
          <w:rtl/>
        </w:rPr>
        <w:t>لگر</w:t>
      </w:r>
      <w:r w:rsidRPr="0025250D">
        <w:rPr>
          <w:rtl/>
        </w:rPr>
        <w:t xml:space="preserve"> در </w:t>
      </w:r>
      <w:r w:rsidRPr="0025250D">
        <w:rPr>
          <w:rFonts w:hint="cs"/>
          <w:rtl/>
        </w:rPr>
        <w:t>آپریو اینسایت</w:t>
      </w:r>
      <w:r w:rsidRPr="0025250D">
        <w:rPr>
          <w:rStyle w:val="FootnoteReference"/>
          <w:rtl/>
        </w:rPr>
        <w:footnoteReference w:id="3615"/>
      </w:r>
      <w:r w:rsidRPr="0025250D">
        <w:rPr>
          <w:rtl/>
        </w:rPr>
        <w:t xml:space="preserve"> (دالاس، تگزاس) است، جا</w:t>
      </w:r>
      <w:r w:rsidRPr="0025250D">
        <w:rPr>
          <w:rFonts w:hint="cs"/>
          <w:rtl/>
        </w:rPr>
        <w:t>یی</w:t>
      </w:r>
      <w:r w:rsidRPr="0025250D">
        <w:rPr>
          <w:rtl/>
        </w:rPr>
        <w:t xml:space="preserve"> که او قابل</w:t>
      </w:r>
      <w:r w:rsidRPr="0025250D">
        <w:rPr>
          <w:rFonts w:hint="cs"/>
          <w:rtl/>
        </w:rPr>
        <w:t>ی</w:t>
      </w:r>
      <w:r w:rsidRPr="0025250D">
        <w:rPr>
          <w:rFonts w:hint="eastAsia"/>
          <w:rtl/>
        </w:rPr>
        <w:t>ت‌ها</w:t>
      </w:r>
      <w:r w:rsidRPr="0025250D">
        <w:rPr>
          <w:rFonts w:hint="cs"/>
          <w:rtl/>
        </w:rPr>
        <w:t>ی</w:t>
      </w:r>
      <w:r w:rsidRPr="0025250D">
        <w:rPr>
          <w:rtl/>
        </w:rPr>
        <w:t xml:space="preserve">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tl/>
        </w:rPr>
        <w:t xml:space="preserve"> سازمان</w:t>
      </w:r>
      <w:r w:rsidRPr="0025250D">
        <w:rPr>
          <w:rFonts w:hint="cs"/>
          <w:rtl/>
        </w:rPr>
        <w:t>ی</w:t>
      </w:r>
      <w:r w:rsidRPr="0025250D">
        <w:rPr>
          <w:rtl/>
        </w:rPr>
        <w:t xml:space="preserve"> را ارز</w:t>
      </w:r>
      <w:r w:rsidRPr="0025250D">
        <w:rPr>
          <w:rFonts w:hint="cs"/>
          <w:rtl/>
        </w:rPr>
        <w:t>ی</w:t>
      </w:r>
      <w:r w:rsidRPr="0025250D">
        <w:rPr>
          <w:rFonts w:hint="eastAsia"/>
          <w:rtl/>
        </w:rPr>
        <w:t>اب</w:t>
      </w:r>
      <w:r w:rsidRPr="0025250D">
        <w:rPr>
          <w:rFonts w:hint="cs"/>
          <w:rtl/>
        </w:rPr>
        <w:t>ی</w:t>
      </w:r>
      <w:r w:rsidRPr="0025250D">
        <w:rPr>
          <w:rtl/>
        </w:rPr>
        <w:t xml:space="preserve"> م</w:t>
      </w:r>
      <w:r w:rsidRPr="0025250D">
        <w:rPr>
          <w:rFonts w:hint="cs"/>
          <w:rtl/>
        </w:rPr>
        <w:t>ی‌</w:t>
      </w:r>
      <w:r w:rsidRPr="0025250D">
        <w:rPr>
          <w:rFonts w:hint="eastAsia"/>
          <w:rtl/>
        </w:rPr>
        <w:t>کند،</w:t>
      </w:r>
      <w:r w:rsidRPr="0025250D">
        <w:rPr>
          <w:rtl/>
        </w:rPr>
        <w:t xml:space="preserve"> برنامه‌ر</w:t>
      </w:r>
      <w:r w:rsidRPr="0025250D">
        <w:rPr>
          <w:rFonts w:hint="cs"/>
          <w:rtl/>
        </w:rPr>
        <w:t>ی</w:t>
      </w:r>
      <w:r w:rsidRPr="0025250D">
        <w:rPr>
          <w:rFonts w:hint="eastAsia"/>
          <w:rtl/>
        </w:rPr>
        <w:t>ز</w:t>
      </w:r>
      <w:r w:rsidRPr="0025250D">
        <w:rPr>
          <w:rFonts w:hint="cs"/>
          <w:rtl/>
        </w:rPr>
        <w:t>ی</w:t>
      </w:r>
      <w:r w:rsidRPr="0025250D">
        <w:rPr>
          <w:rtl/>
        </w:rPr>
        <w:t xml:space="preserve"> </w:t>
      </w:r>
      <w:r w:rsidRPr="0025250D">
        <w:rPr>
          <w:rFonts w:hint="cs"/>
          <w:rtl/>
        </w:rPr>
        <w:t>فرانامه</w:t>
      </w:r>
      <w:r w:rsidRPr="0025250D">
        <w:rPr>
          <w:rFonts w:hint="eastAsia"/>
          <w:rtl/>
        </w:rPr>
        <w:t>،</w:t>
      </w:r>
      <w:r w:rsidRPr="0025250D">
        <w:rPr>
          <w:rtl/>
        </w:rPr>
        <w:t xml:space="preserve"> گزارش‌ها</w:t>
      </w:r>
      <w:r w:rsidRPr="0025250D">
        <w:rPr>
          <w:rFonts w:hint="cs"/>
          <w:rtl/>
        </w:rPr>
        <w:t>ی</w:t>
      </w:r>
      <w:r w:rsidRPr="0025250D">
        <w:rPr>
          <w:rtl/>
        </w:rPr>
        <w:t xml:space="preserve"> تحق</w:t>
      </w:r>
      <w:r w:rsidRPr="0025250D">
        <w:rPr>
          <w:rFonts w:hint="cs"/>
          <w:rtl/>
        </w:rPr>
        <w:t>ی</w:t>
      </w:r>
      <w:r w:rsidRPr="0025250D">
        <w:rPr>
          <w:rFonts w:hint="eastAsia"/>
          <w:rtl/>
        </w:rPr>
        <w:t>قات</w:t>
      </w:r>
      <w:r w:rsidRPr="0025250D">
        <w:rPr>
          <w:rFonts w:hint="cs"/>
          <w:rtl/>
        </w:rPr>
        <w:t>ی</w:t>
      </w:r>
      <w:r w:rsidRPr="0025250D">
        <w:rPr>
          <w:rtl/>
        </w:rPr>
        <w:t xml:space="preserve"> آ</w:t>
      </w:r>
      <w:r w:rsidRPr="0025250D">
        <w:rPr>
          <w:rFonts w:hint="cs"/>
          <w:rtl/>
        </w:rPr>
        <w:t>ی</w:t>
      </w:r>
      <w:r w:rsidRPr="0025250D">
        <w:rPr>
          <w:rFonts w:hint="eastAsia"/>
          <w:rtl/>
        </w:rPr>
        <w:t>نده‌نگار</w:t>
      </w:r>
      <w:r w:rsidRPr="0025250D">
        <w:rPr>
          <w:rFonts w:hint="cs"/>
          <w:rtl/>
        </w:rPr>
        <w:t>ی</w:t>
      </w:r>
      <w:r w:rsidRPr="0025250D">
        <w:rPr>
          <w:rtl/>
        </w:rPr>
        <w:t xml:space="preserve"> و ظرف</w:t>
      </w:r>
      <w:r w:rsidRPr="0025250D">
        <w:rPr>
          <w:rFonts w:hint="cs"/>
          <w:rtl/>
        </w:rPr>
        <w:t>ی</w:t>
      </w:r>
      <w:r w:rsidRPr="0025250D">
        <w:rPr>
          <w:rFonts w:hint="eastAsia"/>
          <w:rtl/>
        </w:rPr>
        <w:t>ت‌ساز</w:t>
      </w:r>
      <w:r w:rsidRPr="0025250D">
        <w:rPr>
          <w:rFonts w:hint="cs"/>
          <w:rtl/>
        </w:rPr>
        <w:t>ی</w:t>
      </w:r>
      <w:r w:rsidRPr="0025250D">
        <w:rPr>
          <w:rtl/>
        </w:rPr>
        <w:t xml:space="preserve"> آ</w:t>
      </w:r>
      <w:r w:rsidRPr="0025250D">
        <w:rPr>
          <w:rFonts w:hint="cs"/>
          <w:rtl/>
        </w:rPr>
        <w:t>ی</w:t>
      </w:r>
      <w:r w:rsidRPr="0025250D">
        <w:rPr>
          <w:rFonts w:hint="eastAsia"/>
          <w:rtl/>
        </w:rPr>
        <w:t>نده‌نگار</w:t>
      </w:r>
      <w:r w:rsidRPr="0025250D">
        <w:rPr>
          <w:rFonts w:hint="cs"/>
          <w:rtl/>
        </w:rPr>
        <w:t>ی</w:t>
      </w:r>
      <w:r w:rsidRPr="0025250D">
        <w:rPr>
          <w:rtl/>
        </w:rPr>
        <w:t xml:space="preserve"> را انجام م</w:t>
      </w:r>
      <w:r w:rsidRPr="0025250D">
        <w:rPr>
          <w:rFonts w:hint="cs"/>
          <w:rtl/>
        </w:rPr>
        <w:t>ی‌</w:t>
      </w:r>
      <w:r w:rsidRPr="0025250D">
        <w:rPr>
          <w:rFonts w:hint="eastAsia"/>
          <w:rtl/>
        </w:rPr>
        <w:t>دهد</w:t>
      </w:r>
      <w:r w:rsidRPr="0025250D">
        <w:rPr>
          <w:rtl/>
        </w:rPr>
        <w:t>. او دارا</w:t>
      </w:r>
      <w:r w:rsidRPr="0025250D">
        <w:rPr>
          <w:rFonts w:hint="cs"/>
          <w:rtl/>
        </w:rPr>
        <w:t>ی</w:t>
      </w:r>
      <w:r w:rsidRPr="0025250D">
        <w:rPr>
          <w:rtl/>
        </w:rPr>
        <w:t xml:space="preserve"> مدرک کارشناس</w:t>
      </w:r>
      <w:r w:rsidRPr="0025250D">
        <w:rPr>
          <w:rFonts w:hint="cs"/>
          <w:rtl/>
        </w:rPr>
        <w:t>ی</w:t>
      </w:r>
      <w:r w:rsidRPr="0025250D">
        <w:rPr>
          <w:rtl/>
        </w:rPr>
        <w:t xml:space="preserve"> ارشد در </w:t>
      </w:r>
      <w:r w:rsidR="00D92F6E" w:rsidRPr="0025250D">
        <w:rPr>
          <w:rtl/>
        </w:rPr>
        <w:t>آینده‌نگاری</w:t>
      </w:r>
      <w:r w:rsidRPr="0025250D">
        <w:rPr>
          <w:rtl/>
        </w:rPr>
        <w:t xml:space="preserve"> </w:t>
      </w:r>
      <w:r w:rsidR="00701E03" w:rsidRPr="0025250D">
        <w:rPr>
          <w:rtl/>
        </w:rPr>
        <w:t>راهبردی</w:t>
      </w:r>
      <w:r w:rsidRPr="0025250D">
        <w:rPr>
          <w:rtl/>
        </w:rPr>
        <w:t xml:space="preserve"> از دانشگاه ر</w:t>
      </w:r>
      <w:r w:rsidRPr="0025250D">
        <w:rPr>
          <w:rFonts w:hint="cs"/>
          <w:rtl/>
        </w:rPr>
        <w:t>ی</w:t>
      </w:r>
      <w:r w:rsidRPr="0025250D">
        <w:rPr>
          <w:rFonts w:hint="eastAsia"/>
          <w:rtl/>
        </w:rPr>
        <w:t>جنت</w:t>
      </w:r>
      <w:r w:rsidRPr="0025250D">
        <w:rPr>
          <w:rtl/>
        </w:rPr>
        <w:t xml:space="preserve"> است. م</w:t>
      </w:r>
      <w:r w:rsidRPr="0025250D">
        <w:rPr>
          <w:rFonts w:hint="cs"/>
          <w:rtl/>
        </w:rPr>
        <w:t>ی</w:t>
      </w:r>
      <w:r w:rsidRPr="0025250D">
        <w:rPr>
          <w:rtl/>
        </w:rPr>
        <w:t xml:space="preserve"> توان با او </w:t>
      </w:r>
      <w:r w:rsidRPr="0025250D">
        <w:rPr>
          <w:rFonts w:hint="cs"/>
          <w:rtl/>
        </w:rPr>
        <w:t>از طریق</w:t>
      </w:r>
      <w:r w:rsidRPr="0025250D">
        <w:rPr>
          <w:rtl/>
        </w:rPr>
        <w:t xml:space="preserve"> </w:t>
      </w:r>
      <w:r w:rsidRPr="0025250D">
        <w:t>jmldavis@gmail.com</w:t>
      </w:r>
      <w:r w:rsidRPr="0025250D">
        <w:rPr>
          <w:rtl/>
        </w:rPr>
        <w:t xml:space="preserve"> تماس گرفت</w:t>
      </w:r>
      <w:r w:rsidRPr="0025250D">
        <w:rPr>
          <w:rFonts w:hint="cs"/>
          <w:rtl/>
        </w:rPr>
        <w:t>.</w:t>
      </w:r>
    </w:p>
    <w:p w14:paraId="21F9BC97" w14:textId="4AE05058" w:rsidR="009E525E" w:rsidRPr="0025250D" w:rsidRDefault="009E525E" w:rsidP="009E525E">
      <w:pPr>
        <w:jc w:val="center"/>
        <w:rPr>
          <w:rtl/>
        </w:rPr>
      </w:pPr>
      <w:r w:rsidRPr="0025250D">
        <w:rPr>
          <w:noProof/>
          <w:lang w:bidi="ar-SA"/>
        </w:rPr>
        <w:drawing>
          <wp:inline distT="0" distB="0" distL="0" distR="0" wp14:anchorId="30AC08D2" wp14:editId="2FCB072A">
            <wp:extent cx="1657350" cy="1628775"/>
            <wp:effectExtent l="0" t="0" r="0" b="952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extLst>
                        <a:ext uri="{BEBA8EAE-BF5A-486C-A8C5-ECC9F3942E4B}">
                          <a14:imgProps xmlns:a14="http://schemas.microsoft.com/office/drawing/2010/main">
                            <a14:imgLayer r:embed="rId594">
                              <a14:imgEffect>
                                <a14:saturation sat="0"/>
                              </a14:imgEffect>
                            </a14:imgLayer>
                          </a14:imgProps>
                        </a:ext>
                      </a:extLst>
                    </a:blip>
                    <a:stretch>
                      <a:fillRect/>
                    </a:stretch>
                  </pic:blipFill>
                  <pic:spPr>
                    <a:xfrm>
                      <a:off x="0" y="0"/>
                      <a:ext cx="1657350" cy="1628775"/>
                    </a:xfrm>
                    <a:prstGeom prst="rect">
                      <a:avLst/>
                    </a:prstGeom>
                  </pic:spPr>
                </pic:pic>
              </a:graphicData>
            </a:graphic>
          </wp:inline>
        </w:drawing>
      </w:r>
    </w:p>
    <w:p w14:paraId="1A772ECA" w14:textId="0900FD05" w:rsidR="009E525E" w:rsidRPr="0025250D" w:rsidRDefault="009E525E" w:rsidP="009E525E">
      <w:pPr>
        <w:rPr>
          <w:rtl/>
        </w:rPr>
      </w:pPr>
      <w:r w:rsidRPr="0025250D">
        <w:rPr>
          <w:rtl/>
        </w:rPr>
        <w:t>الکس سلک</w:t>
      </w:r>
      <w:r w:rsidRPr="0025250D">
        <w:rPr>
          <w:rFonts w:hint="cs"/>
          <w:rtl/>
        </w:rPr>
        <w:t>ی</w:t>
      </w:r>
      <w:r w:rsidRPr="0025250D">
        <w:rPr>
          <w:rFonts w:hint="eastAsia"/>
          <w:rtl/>
        </w:rPr>
        <w:t>ن</w:t>
      </w:r>
      <w:r w:rsidRPr="0025250D">
        <w:rPr>
          <w:rtl/>
        </w:rPr>
        <w:t xml:space="preserve"> ف</w:t>
      </w:r>
      <w:r w:rsidRPr="0025250D">
        <w:rPr>
          <w:rFonts w:hint="cs"/>
          <w:rtl/>
        </w:rPr>
        <w:t>ی</w:t>
      </w:r>
      <w:r w:rsidRPr="0025250D">
        <w:rPr>
          <w:rFonts w:hint="eastAsia"/>
          <w:rtl/>
        </w:rPr>
        <w:t>لسوف</w:t>
      </w:r>
      <w:r w:rsidRPr="0025250D">
        <w:rPr>
          <w:rtl/>
        </w:rPr>
        <w:t xml:space="preserve"> آ</w:t>
      </w:r>
      <w:r w:rsidRPr="0025250D">
        <w:rPr>
          <w:rFonts w:hint="cs"/>
          <w:rtl/>
        </w:rPr>
        <w:t>ی</w:t>
      </w:r>
      <w:r w:rsidRPr="0025250D">
        <w:rPr>
          <w:rFonts w:hint="eastAsia"/>
          <w:rtl/>
        </w:rPr>
        <w:t>نده‌نگ</w:t>
      </w:r>
      <w:r w:rsidRPr="0025250D">
        <w:rPr>
          <w:rFonts w:hint="cs"/>
          <w:rtl/>
        </w:rPr>
        <w:t>ا</w:t>
      </w:r>
      <w:r w:rsidRPr="0025250D">
        <w:rPr>
          <w:rFonts w:hint="eastAsia"/>
          <w:rtl/>
        </w:rPr>
        <w:t>ر</w:t>
      </w:r>
      <w:r w:rsidRPr="0025250D">
        <w:rPr>
          <w:rFonts w:hint="cs"/>
          <w:rtl/>
        </w:rPr>
        <w:t>ی</w:t>
      </w:r>
      <w:r w:rsidRPr="0025250D">
        <w:rPr>
          <w:rFonts w:hint="eastAsia"/>
          <w:rtl/>
        </w:rPr>
        <w:t>،</w:t>
      </w:r>
      <w:r w:rsidRPr="0025250D">
        <w:rPr>
          <w:rtl/>
        </w:rPr>
        <w:t xml:space="preserve"> ژئوپل</w:t>
      </w:r>
      <w:r w:rsidRPr="0025250D">
        <w:rPr>
          <w:rFonts w:hint="cs"/>
          <w:rtl/>
        </w:rPr>
        <w:t>ی</w:t>
      </w:r>
      <w:r w:rsidRPr="0025250D">
        <w:rPr>
          <w:rFonts w:hint="eastAsia"/>
          <w:rtl/>
        </w:rPr>
        <w:t>ت</w:t>
      </w:r>
      <w:r w:rsidRPr="0025250D">
        <w:rPr>
          <w:rFonts w:hint="cs"/>
          <w:rtl/>
        </w:rPr>
        <w:t>ی</w:t>
      </w:r>
      <w:r w:rsidRPr="0025250D">
        <w:rPr>
          <w:rFonts w:hint="eastAsia"/>
          <w:rtl/>
        </w:rPr>
        <w:t>ک</w:t>
      </w:r>
      <w:r w:rsidRPr="0025250D">
        <w:rPr>
          <w:rtl/>
        </w:rPr>
        <w:t xml:space="preserve"> و </w:t>
      </w:r>
      <w:r w:rsidR="008D6F97" w:rsidRPr="0025250D">
        <w:rPr>
          <w:rtl/>
        </w:rPr>
        <w:t>سامانه‌</w:t>
      </w:r>
      <w:r w:rsidRPr="0025250D">
        <w:rPr>
          <w:rFonts w:hint="eastAsia"/>
          <w:rtl/>
        </w:rPr>
        <w:t>‌ها</w:t>
      </w:r>
      <w:r w:rsidRPr="0025250D">
        <w:rPr>
          <w:rFonts w:hint="cs"/>
          <w:rtl/>
        </w:rPr>
        <w:t>ی</w:t>
      </w:r>
      <w:r w:rsidRPr="0025250D">
        <w:rPr>
          <w:rtl/>
        </w:rPr>
        <w:t xml:space="preserve"> پ</w:t>
      </w:r>
      <w:r w:rsidRPr="0025250D">
        <w:rPr>
          <w:rFonts w:hint="cs"/>
          <w:rtl/>
        </w:rPr>
        <w:t>ی</w:t>
      </w:r>
      <w:r w:rsidRPr="0025250D">
        <w:rPr>
          <w:rFonts w:hint="eastAsia"/>
          <w:rtl/>
        </w:rPr>
        <w:t>چ</w:t>
      </w:r>
      <w:r w:rsidRPr="0025250D">
        <w:rPr>
          <w:rFonts w:hint="cs"/>
          <w:rtl/>
        </w:rPr>
        <w:t>ی</w:t>
      </w:r>
      <w:r w:rsidRPr="0025250D">
        <w:rPr>
          <w:rFonts w:hint="eastAsia"/>
          <w:rtl/>
        </w:rPr>
        <w:t>ده</w:t>
      </w:r>
      <w:r w:rsidRPr="0025250D">
        <w:rPr>
          <w:rtl/>
        </w:rPr>
        <w:t xml:space="preserve"> (تورنتو، کانادا) است. او </w:t>
      </w:r>
      <w:r w:rsidRPr="0025250D">
        <w:rPr>
          <w:rFonts w:hint="cs"/>
          <w:rtl/>
        </w:rPr>
        <w:t>نویسنده همکار</w:t>
      </w:r>
      <w:r w:rsidRPr="0025250D">
        <w:rPr>
          <w:rtl/>
        </w:rPr>
        <w:t xml:space="preserve"> برا</w:t>
      </w:r>
      <w:r w:rsidRPr="0025250D">
        <w:rPr>
          <w:rFonts w:hint="cs"/>
          <w:rtl/>
        </w:rPr>
        <w:t>ی</w:t>
      </w:r>
      <w:r w:rsidRPr="0025250D">
        <w:rPr>
          <w:rFonts w:hint="eastAsia"/>
          <w:rtl/>
        </w:rPr>
        <w:t>ان</w:t>
      </w:r>
      <w:r w:rsidRPr="0025250D">
        <w:rPr>
          <w:rtl/>
        </w:rPr>
        <w:t xml:space="preserve"> وا</w:t>
      </w:r>
      <w:r w:rsidRPr="0025250D">
        <w:rPr>
          <w:rFonts w:hint="cs"/>
          <w:rtl/>
        </w:rPr>
        <w:t>ی</w:t>
      </w:r>
      <w:r w:rsidRPr="0025250D">
        <w:rPr>
          <w:rFonts w:hint="eastAsia"/>
          <w:rtl/>
        </w:rPr>
        <w:t>کس،</w:t>
      </w:r>
      <w:r w:rsidRPr="0025250D">
        <w:rPr>
          <w:rtl/>
        </w:rPr>
        <w:t xml:space="preserve"> </w:t>
      </w:r>
      <w:r w:rsidRPr="0025250D">
        <w:rPr>
          <w:rFonts w:hint="cs"/>
          <w:rtl/>
        </w:rPr>
        <w:t>در</w:t>
      </w:r>
      <w:r w:rsidRPr="0025250D">
        <w:rPr>
          <w:rtl/>
        </w:rPr>
        <w:t xml:space="preserve"> چ</w:t>
      </w:r>
      <w:r w:rsidRPr="0025250D">
        <w:rPr>
          <w:rFonts w:hint="cs"/>
          <w:rtl/>
        </w:rPr>
        <w:t>ی</w:t>
      </w:r>
      <w:r w:rsidRPr="0025250D">
        <w:rPr>
          <w:rFonts w:hint="eastAsia"/>
          <w:rtl/>
        </w:rPr>
        <w:t>ن</w:t>
      </w:r>
      <w:r w:rsidRPr="0025250D">
        <w:rPr>
          <w:rtl/>
        </w:rPr>
        <w:t xml:space="preserve">: کشف مجدد </w:t>
      </w:r>
      <w:r w:rsidRPr="0025250D">
        <w:rPr>
          <w:rFonts w:hint="cs"/>
          <w:rtl/>
        </w:rPr>
        <w:t>ی</w:t>
      </w:r>
      <w:r w:rsidRPr="0025250D">
        <w:rPr>
          <w:rFonts w:hint="eastAsia"/>
          <w:rtl/>
        </w:rPr>
        <w:t>ک</w:t>
      </w:r>
      <w:r w:rsidRPr="0025250D">
        <w:rPr>
          <w:rtl/>
        </w:rPr>
        <w:t xml:space="preserve"> </w:t>
      </w:r>
      <w:r w:rsidRPr="0025250D">
        <w:rPr>
          <w:rFonts w:hint="cs"/>
          <w:rtl/>
        </w:rPr>
        <w:t>هیولا</w:t>
      </w:r>
      <w:r w:rsidRPr="0025250D">
        <w:rPr>
          <w:rtl/>
        </w:rPr>
        <w:t>، 2017، است. او دارا</w:t>
      </w:r>
      <w:r w:rsidRPr="0025250D">
        <w:rPr>
          <w:rFonts w:hint="cs"/>
          <w:rtl/>
        </w:rPr>
        <w:t>ی</w:t>
      </w:r>
      <w:r w:rsidRPr="0025250D">
        <w:rPr>
          <w:rtl/>
        </w:rPr>
        <w:t xml:space="preserve"> مدرک کارشناس</w:t>
      </w:r>
      <w:r w:rsidRPr="0025250D">
        <w:rPr>
          <w:rFonts w:hint="cs"/>
          <w:rtl/>
        </w:rPr>
        <w:t>ی</w:t>
      </w:r>
      <w:r w:rsidRPr="0025250D">
        <w:rPr>
          <w:rtl/>
        </w:rPr>
        <w:t xml:space="preserve"> ارشد در آ</w:t>
      </w:r>
      <w:r w:rsidRPr="0025250D">
        <w:rPr>
          <w:rFonts w:hint="cs"/>
          <w:rtl/>
        </w:rPr>
        <w:t>ی</w:t>
      </w:r>
      <w:r w:rsidRPr="0025250D">
        <w:rPr>
          <w:rFonts w:hint="eastAsia"/>
          <w:rtl/>
        </w:rPr>
        <w:t>نده‌نگ</w:t>
      </w:r>
      <w:r w:rsidR="006A738F" w:rsidRPr="0025250D">
        <w:rPr>
          <w:rFonts w:hint="cs"/>
          <w:rtl/>
        </w:rPr>
        <w:t>ا</w:t>
      </w:r>
      <w:r w:rsidRPr="0025250D">
        <w:rPr>
          <w:rFonts w:hint="eastAsia"/>
          <w:rtl/>
        </w:rPr>
        <w:t>ر</w:t>
      </w:r>
      <w:r w:rsidRPr="0025250D">
        <w:rPr>
          <w:rFonts w:hint="cs"/>
          <w:rtl/>
        </w:rPr>
        <w:t>ی</w:t>
      </w:r>
      <w:r w:rsidRPr="0025250D">
        <w:rPr>
          <w:rtl/>
        </w:rPr>
        <w:t xml:space="preserve"> و نوآور</w:t>
      </w:r>
      <w:r w:rsidRPr="0025250D">
        <w:rPr>
          <w:rFonts w:hint="cs"/>
          <w:rtl/>
        </w:rPr>
        <w:t>ی</w:t>
      </w:r>
      <w:r w:rsidRPr="0025250D">
        <w:rPr>
          <w:rtl/>
        </w:rPr>
        <w:t xml:space="preserve"> </w:t>
      </w:r>
      <w:r w:rsidR="00701E03" w:rsidRPr="0025250D">
        <w:rPr>
          <w:rtl/>
        </w:rPr>
        <w:t>راهبردی</w:t>
      </w:r>
      <w:r w:rsidRPr="0025250D">
        <w:rPr>
          <w:rtl/>
        </w:rPr>
        <w:t xml:space="preserve"> از دانشگاه </w:t>
      </w:r>
      <w:r w:rsidRPr="0025250D">
        <w:t>OCAD</w:t>
      </w:r>
      <w:r w:rsidRPr="0025250D">
        <w:rPr>
          <w:rtl/>
        </w:rPr>
        <w:t xml:space="preserve"> است.</w:t>
      </w:r>
      <w:r w:rsidR="006A738F" w:rsidRPr="0025250D">
        <w:rPr>
          <w:rFonts w:hint="cs"/>
          <w:rtl/>
        </w:rPr>
        <w:t xml:space="preserve"> </w:t>
      </w:r>
      <w:r w:rsidR="006A738F" w:rsidRPr="0025250D">
        <w:rPr>
          <w:rtl/>
        </w:rPr>
        <w:t>علا</w:t>
      </w:r>
      <w:r w:rsidR="006A738F" w:rsidRPr="0025250D">
        <w:rPr>
          <w:rFonts w:hint="cs"/>
          <w:rtl/>
        </w:rPr>
        <w:t>ی</w:t>
      </w:r>
      <w:r w:rsidR="006A738F" w:rsidRPr="0025250D">
        <w:rPr>
          <w:rFonts w:hint="eastAsia"/>
          <w:rtl/>
        </w:rPr>
        <w:t>ق</w:t>
      </w:r>
      <w:r w:rsidR="006A738F" w:rsidRPr="0025250D">
        <w:rPr>
          <w:rtl/>
        </w:rPr>
        <w:t xml:space="preserve"> او شامل </w:t>
      </w:r>
      <w:r w:rsidR="00D92F6E" w:rsidRPr="0025250D">
        <w:rPr>
          <w:rtl/>
        </w:rPr>
        <w:t>آینده‌نگاری</w:t>
      </w:r>
      <w:r w:rsidR="006A738F" w:rsidRPr="0025250D">
        <w:rPr>
          <w:rtl/>
        </w:rPr>
        <w:t xml:space="preserve"> </w:t>
      </w:r>
      <w:r w:rsidR="00701E03" w:rsidRPr="0025250D">
        <w:rPr>
          <w:rtl/>
        </w:rPr>
        <w:t>راهبردی</w:t>
      </w:r>
      <w:r w:rsidR="006A738F" w:rsidRPr="0025250D">
        <w:rPr>
          <w:rFonts w:hint="eastAsia"/>
          <w:rtl/>
        </w:rPr>
        <w:t>،</w:t>
      </w:r>
      <w:r w:rsidR="006A738F" w:rsidRPr="0025250D">
        <w:rPr>
          <w:rtl/>
        </w:rPr>
        <w:t xml:space="preserve"> نوآور</w:t>
      </w:r>
      <w:r w:rsidR="006A738F" w:rsidRPr="0025250D">
        <w:rPr>
          <w:rFonts w:hint="cs"/>
          <w:rtl/>
        </w:rPr>
        <w:t>ی</w:t>
      </w:r>
      <w:r w:rsidR="006A738F" w:rsidRPr="0025250D">
        <w:rPr>
          <w:rFonts w:hint="eastAsia"/>
          <w:rtl/>
        </w:rPr>
        <w:t>،</w:t>
      </w:r>
      <w:r w:rsidR="006A738F" w:rsidRPr="0025250D">
        <w:rPr>
          <w:rtl/>
        </w:rPr>
        <w:t xml:space="preserve"> آموزش عال</w:t>
      </w:r>
      <w:r w:rsidR="006A738F" w:rsidRPr="0025250D">
        <w:rPr>
          <w:rFonts w:hint="cs"/>
          <w:rtl/>
        </w:rPr>
        <w:t>ی</w:t>
      </w:r>
      <w:r w:rsidR="006A738F" w:rsidRPr="0025250D">
        <w:rPr>
          <w:rFonts w:hint="eastAsia"/>
          <w:rtl/>
        </w:rPr>
        <w:t>،</w:t>
      </w:r>
      <w:r w:rsidR="006A738F" w:rsidRPr="0025250D">
        <w:rPr>
          <w:rtl/>
        </w:rPr>
        <w:t xml:space="preserve"> و</w:t>
      </w:r>
      <w:r w:rsidR="006A738F" w:rsidRPr="0025250D">
        <w:rPr>
          <w:rFonts w:hint="cs"/>
          <w:rtl/>
        </w:rPr>
        <w:t>ی</w:t>
      </w:r>
      <w:r w:rsidR="006A738F" w:rsidRPr="0025250D">
        <w:rPr>
          <w:rFonts w:hint="eastAsia"/>
          <w:rtl/>
        </w:rPr>
        <w:t>را</w:t>
      </w:r>
      <w:r w:rsidR="006A738F" w:rsidRPr="0025250D">
        <w:rPr>
          <w:rFonts w:hint="cs"/>
          <w:rtl/>
        </w:rPr>
        <w:t>ی</w:t>
      </w:r>
      <w:r w:rsidR="006A738F" w:rsidRPr="0025250D">
        <w:rPr>
          <w:rFonts w:hint="eastAsia"/>
          <w:rtl/>
        </w:rPr>
        <w:t>ش</w:t>
      </w:r>
      <w:r w:rsidR="006A738F" w:rsidRPr="0025250D">
        <w:rPr>
          <w:rtl/>
        </w:rPr>
        <w:t xml:space="preserve"> فن</w:t>
      </w:r>
      <w:r w:rsidR="006A738F" w:rsidRPr="0025250D">
        <w:rPr>
          <w:rFonts w:hint="cs"/>
          <w:rtl/>
        </w:rPr>
        <w:t>ی</w:t>
      </w:r>
      <w:r w:rsidR="006A738F" w:rsidRPr="0025250D">
        <w:rPr>
          <w:rFonts w:hint="eastAsia"/>
          <w:rtl/>
        </w:rPr>
        <w:t>،</w:t>
      </w:r>
      <w:r w:rsidR="006A738F" w:rsidRPr="0025250D">
        <w:rPr>
          <w:rtl/>
        </w:rPr>
        <w:t xml:space="preserve"> نوشتن و </w:t>
      </w:r>
      <w:r w:rsidR="00D92F6E" w:rsidRPr="0025250D">
        <w:rPr>
          <w:rtl/>
        </w:rPr>
        <w:t>پیش‌بین</w:t>
      </w:r>
      <w:r w:rsidR="006A738F" w:rsidRPr="0025250D">
        <w:rPr>
          <w:rFonts w:hint="cs"/>
          <w:rtl/>
        </w:rPr>
        <w:t>ی</w:t>
      </w:r>
      <w:r w:rsidR="006A738F" w:rsidRPr="0025250D">
        <w:rPr>
          <w:rtl/>
        </w:rPr>
        <w:t xml:space="preserve"> است. م</w:t>
      </w:r>
      <w:r w:rsidR="006A738F" w:rsidRPr="0025250D">
        <w:rPr>
          <w:rFonts w:hint="cs"/>
          <w:rtl/>
        </w:rPr>
        <w:t>ی</w:t>
      </w:r>
      <w:r w:rsidR="006A738F" w:rsidRPr="0025250D">
        <w:rPr>
          <w:rtl/>
        </w:rPr>
        <w:t xml:space="preserve"> توان با او </w:t>
      </w:r>
      <w:r w:rsidR="00EC4706" w:rsidRPr="0025250D">
        <w:rPr>
          <w:rFonts w:hint="cs"/>
          <w:rtl/>
        </w:rPr>
        <w:t>از طریق</w:t>
      </w:r>
      <w:r w:rsidR="006A738F" w:rsidRPr="0025250D">
        <w:rPr>
          <w:rtl/>
        </w:rPr>
        <w:t xml:space="preserve"> </w:t>
      </w:r>
      <w:r w:rsidR="006A738F" w:rsidRPr="0025250D">
        <w:t>alexselkin2001@gmail.com</w:t>
      </w:r>
      <w:r w:rsidR="006A738F" w:rsidRPr="0025250D">
        <w:rPr>
          <w:rtl/>
        </w:rPr>
        <w:t xml:space="preserve"> تماس گرفت</w:t>
      </w:r>
      <w:r w:rsidR="00EC4706" w:rsidRPr="0025250D">
        <w:rPr>
          <w:rFonts w:hint="cs"/>
          <w:rtl/>
        </w:rPr>
        <w:t>.</w:t>
      </w:r>
    </w:p>
    <w:p w14:paraId="019516F4" w14:textId="54EF916A" w:rsidR="00EC4706" w:rsidRPr="0025250D" w:rsidRDefault="00EC4706" w:rsidP="004F2D1E">
      <w:pPr>
        <w:jc w:val="center"/>
        <w:rPr>
          <w:rtl/>
        </w:rPr>
      </w:pPr>
      <w:r w:rsidRPr="0025250D">
        <w:rPr>
          <w:noProof/>
          <w:lang w:bidi="ar-SA"/>
        </w:rPr>
        <w:drawing>
          <wp:inline distT="0" distB="0" distL="0" distR="0" wp14:anchorId="2A93C765" wp14:editId="1ADE950D">
            <wp:extent cx="1628775" cy="1549021"/>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5" cstate="screen">
                      <a:extLst>
                        <a:ext uri="{BEBA8EAE-BF5A-486C-A8C5-ECC9F3942E4B}">
                          <a14:imgProps xmlns:a14="http://schemas.microsoft.com/office/drawing/2010/main">
                            <a14:imgLayer r:embed="rId596">
                              <a14:imgEffect>
                                <a14:saturation sat="0"/>
                              </a14:imgEffect>
                            </a14:imgLayer>
                          </a14:imgProps>
                        </a:ext>
                        <a:ext uri="{28A0092B-C50C-407E-A947-70E740481C1C}">
                          <a14:useLocalDpi xmlns:a14="http://schemas.microsoft.com/office/drawing/2010/main"/>
                        </a:ext>
                      </a:extLst>
                    </a:blip>
                    <a:srcRect/>
                    <a:stretch/>
                  </pic:blipFill>
                  <pic:spPr bwMode="auto">
                    <a:xfrm>
                      <a:off x="0" y="0"/>
                      <a:ext cx="1628775" cy="1549021"/>
                    </a:xfrm>
                    <a:prstGeom prst="rect">
                      <a:avLst/>
                    </a:prstGeom>
                    <a:ln>
                      <a:noFill/>
                    </a:ln>
                    <a:extLst>
                      <a:ext uri="{53640926-AAD7-44D8-BBD7-CCE9431645EC}">
                        <a14:shadowObscured xmlns:a14="http://schemas.microsoft.com/office/drawing/2010/main"/>
                      </a:ext>
                    </a:extLst>
                  </pic:spPr>
                </pic:pic>
              </a:graphicData>
            </a:graphic>
          </wp:inline>
        </w:drawing>
      </w:r>
    </w:p>
    <w:p w14:paraId="6559F62C" w14:textId="77777777" w:rsidR="00EC4706" w:rsidRPr="0025250D" w:rsidRDefault="00EC4706" w:rsidP="009E525E">
      <w:pPr>
        <w:rPr>
          <w:rtl/>
        </w:rPr>
      </w:pPr>
    </w:p>
    <w:p w14:paraId="05AA6275" w14:textId="74F751AC" w:rsidR="00EC4706" w:rsidRPr="0025250D" w:rsidRDefault="00EC4706" w:rsidP="009E525E">
      <w:pPr>
        <w:rPr>
          <w:b/>
          <w:bCs/>
          <w:rtl/>
        </w:rPr>
      </w:pPr>
      <w:r w:rsidRPr="0025250D">
        <w:rPr>
          <w:rFonts w:hint="cs"/>
          <w:b/>
          <w:bCs/>
          <w:rtl/>
        </w:rPr>
        <w:t>ویراستاران مشارکت کننده:</w:t>
      </w:r>
    </w:p>
    <w:p w14:paraId="3390D82C" w14:textId="7E09A21F" w:rsidR="00EC4706" w:rsidRPr="0025250D" w:rsidRDefault="00EC4706" w:rsidP="00EC4706">
      <w:pPr>
        <w:rPr>
          <w:rtl/>
        </w:rPr>
      </w:pPr>
      <w:r w:rsidRPr="0025250D">
        <w:rPr>
          <w:rtl/>
        </w:rPr>
        <w:t>ژان ل</w:t>
      </w:r>
      <w:r w:rsidRPr="0025250D">
        <w:rPr>
          <w:rFonts w:hint="cs"/>
          <w:rtl/>
        </w:rPr>
        <w:t>ی</w:t>
      </w:r>
      <w:r w:rsidRPr="0025250D">
        <w:rPr>
          <w:rtl/>
        </w:rPr>
        <w:t xml:space="preserve"> مد</w:t>
      </w:r>
      <w:r w:rsidRPr="0025250D">
        <w:rPr>
          <w:rFonts w:hint="cs"/>
          <w:rtl/>
        </w:rPr>
        <w:t>ی</w:t>
      </w:r>
      <w:r w:rsidRPr="0025250D">
        <w:rPr>
          <w:rFonts w:hint="eastAsia"/>
          <w:rtl/>
        </w:rPr>
        <w:t>ر</w:t>
      </w:r>
      <w:r w:rsidRPr="0025250D">
        <w:rPr>
          <w:rtl/>
        </w:rPr>
        <w:t xml:space="preserve"> تحق</w:t>
      </w:r>
      <w:r w:rsidRPr="0025250D">
        <w:rPr>
          <w:rFonts w:hint="cs"/>
          <w:rtl/>
        </w:rPr>
        <w:t>ی</w:t>
      </w:r>
      <w:r w:rsidRPr="0025250D">
        <w:rPr>
          <w:rFonts w:hint="eastAsia"/>
          <w:rtl/>
        </w:rPr>
        <w:t>قات</w:t>
      </w:r>
      <w:r w:rsidRPr="0025250D">
        <w:rPr>
          <w:rtl/>
        </w:rPr>
        <w:t xml:space="preserve"> و اطلاعات در انجمن </w:t>
      </w:r>
      <w:r w:rsidRPr="0025250D">
        <w:rPr>
          <w:rFonts w:hint="cs"/>
          <w:rtl/>
        </w:rPr>
        <w:t xml:space="preserve">آینده </w:t>
      </w:r>
      <w:r w:rsidRPr="0025250D">
        <w:rPr>
          <w:rtl/>
        </w:rPr>
        <w:t>جهان</w:t>
      </w:r>
      <w:r w:rsidRPr="0025250D">
        <w:rPr>
          <w:rFonts w:hint="cs"/>
          <w:rtl/>
        </w:rPr>
        <w:t>ی</w:t>
      </w:r>
      <w:r w:rsidRPr="0025250D">
        <w:rPr>
          <w:rtl/>
        </w:rPr>
        <w:t xml:space="preserve"> و رئ</w:t>
      </w:r>
      <w:r w:rsidRPr="0025250D">
        <w:rPr>
          <w:rFonts w:hint="cs"/>
          <w:rtl/>
        </w:rPr>
        <w:t>ی</w:t>
      </w:r>
      <w:r w:rsidRPr="0025250D">
        <w:rPr>
          <w:rFonts w:hint="eastAsia"/>
          <w:rtl/>
        </w:rPr>
        <w:t>س</w:t>
      </w:r>
      <w:r w:rsidRPr="0025250D">
        <w:rPr>
          <w:rtl/>
        </w:rPr>
        <w:t xml:space="preserve"> دفتر </w:t>
      </w:r>
      <w:r w:rsidRPr="0025250D">
        <w:t>WFS</w:t>
      </w:r>
      <w:r w:rsidRPr="0025250D">
        <w:rPr>
          <w:rtl/>
        </w:rPr>
        <w:t xml:space="preserve"> اروپا (لندن، بر</w:t>
      </w:r>
      <w:r w:rsidRPr="0025250D">
        <w:rPr>
          <w:rFonts w:hint="cs"/>
          <w:rtl/>
        </w:rPr>
        <w:t>ی</w:t>
      </w:r>
      <w:r w:rsidRPr="0025250D">
        <w:rPr>
          <w:rFonts w:hint="eastAsia"/>
          <w:rtl/>
        </w:rPr>
        <w:t>تان</w:t>
      </w:r>
      <w:r w:rsidRPr="0025250D">
        <w:rPr>
          <w:rFonts w:hint="cs"/>
          <w:rtl/>
        </w:rPr>
        <w:t>ی</w:t>
      </w:r>
      <w:r w:rsidRPr="0025250D">
        <w:rPr>
          <w:rFonts w:hint="eastAsia"/>
          <w:rtl/>
        </w:rPr>
        <w:t>ا</w:t>
      </w:r>
      <w:r w:rsidRPr="0025250D">
        <w:rPr>
          <w:rtl/>
        </w:rPr>
        <w:t>) است. او همچن</w:t>
      </w:r>
      <w:r w:rsidRPr="0025250D">
        <w:rPr>
          <w:rFonts w:hint="cs"/>
          <w:rtl/>
        </w:rPr>
        <w:t>ی</w:t>
      </w:r>
      <w:r w:rsidRPr="0025250D">
        <w:rPr>
          <w:rFonts w:hint="eastAsia"/>
          <w:rtl/>
        </w:rPr>
        <w:t>ن</w:t>
      </w:r>
      <w:r w:rsidRPr="0025250D">
        <w:rPr>
          <w:rtl/>
        </w:rPr>
        <w:t xml:space="preserve"> </w:t>
      </w:r>
      <w:r w:rsidRPr="0025250D">
        <w:rPr>
          <w:rFonts w:hint="cs"/>
          <w:rtl/>
        </w:rPr>
        <w:t>ی</w:t>
      </w:r>
      <w:r w:rsidRPr="0025250D">
        <w:rPr>
          <w:rFonts w:hint="eastAsia"/>
          <w:rtl/>
        </w:rPr>
        <w:t>ک</w:t>
      </w:r>
      <w:r w:rsidRPr="0025250D">
        <w:rPr>
          <w:rtl/>
        </w:rPr>
        <w:t xml:space="preserve"> محقق ارشد در موسسه گوتل</w:t>
      </w:r>
      <w:r w:rsidRPr="0025250D">
        <w:rPr>
          <w:rFonts w:hint="cs"/>
          <w:rtl/>
        </w:rPr>
        <w:t>ی</w:t>
      </w:r>
      <w:r w:rsidRPr="0025250D">
        <w:rPr>
          <w:rFonts w:hint="eastAsia"/>
          <w:rtl/>
        </w:rPr>
        <w:t>ب</w:t>
      </w:r>
      <w:r w:rsidRPr="0025250D">
        <w:rPr>
          <w:rtl/>
        </w:rPr>
        <w:t xml:space="preserve"> دوتوا</w:t>
      </w:r>
      <w:r w:rsidRPr="0025250D">
        <w:rPr>
          <w:rFonts w:hint="cs"/>
          <w:rtl/>
        </w:rPr>
        <w:t>ی</w:t>
      </w:r>
      <w:r w:rsidRPr="0025250D">
        <w:rPr>
          <w:rFonts w:hint="eastAsia"/>
          <w:rtl/>
        </w:rPr>
        <w:t>لر</w:t>
      </w:r>
      <w:r w:rsidRPr="0025250D">
        <w:rPr>
          <w:rStyle w:val="FootnoteReference"/>
          <w:rtl/>
        </w:rPr>
        <w:footnoteReference w:id="3616"/>
      </w:r>
      <w:r w:rsidRPr="0025250D">
        <w:rPr>
          <w:rtl/>
        </w:rPr>
        <w:t xml:space="preserve"> است که بر رهبران فکر</w:t>
      </w:r>
      <w:r w:rsidRPr="0025250D">
        <w:rPr>
          <w:rFonts w:hint="cs"/>
          <w:rtl/>
        </w:rPr>
        <w:t>ی</w:t>
      </w:r>
      <w:r w:rsidRPr="0025250D">
        <w:rPr>
          <w:rFonts w:hint="eastAsia"/>
          <w:rtl/>
        </w:rPr>
        <w:t>،</w:t>
      </w:r>
      <w:r w:rsidRPr="0025250D">
        <w:rPr>
          <w:rtl/>
        </w:rPr>
        <w:t xml:space="preserve"> </w:t>
      </w:r>
      <w:r w:rsidR="00D92F6E" w:rsidRPr="0025250D">
        <w:rPr>
          <w:rtl/>
        </w:rPr>
        <w:t>آینده‌نگاری</w:t>
      </w:r>
      <w:r w:rsidRPr="0025250D">
        <w:rPr>
          <w:rtl/>
        </w:rPr>
        <w:t xml:space="preserve"> </w:t>
      </w:r>
      <w:r w:rsidR="00701E03" w:rsidRPr="0025250D">
        <w:rPr>
          <w:rtl/>
        </w:rPr>
        <w:t>راهبردی</w:t>
      </w:r>
      <w:r w:rsidRPr="0025250D">
        <w:rPr>
          <w:rtl/>
        </w:rPr>
        <w:t xml:space="preserve"> و آ</w:t>
      </w:r>
      <w:r w:rsidRPr="0025250D">
        <w:rPr>
          <w:rFonts w:hint="cs"/>
          <w:rtl/>
        </w:rPr>
        <w:t>ی</w:t>
      </w:r>
      <w:r w:rsidRPr="0025250D">
        <w:rPr>
          <w:rFonts w:hint="eastAsia"/>
          <w:rtl/>
        </w:rPr>
        <w:t>نده</w:t>
      </w:r>
      <w:r w:rsidRPr="0025250D">
        <w:rPr>
          <w:rtl/>
        </w:rPr>
        <w:t xml:space="preserve"> جهان</w:t>
      </w:r>
      <w:r w:rsidRPr="0025250D">
        <w:rPr>
          <w:rFonts w:hint="cs"/>
          <w:rtl/>
        </w:rPr>
        <w:t>ی</w:t>
      </w:r>
      <w:r w:rsidRPr="0025250D">
        <w:rPr>
          <w:rtl/>
        </w:rPr>
        <w:t xml:space="preserve"> شدن، قدرت و شبکه ها تمرکز دارد. ژان مدرک دکترا در ارتباطات سازمان</w:t>
      </w:r>
      <w:r w:rsidRPr="0025250D">
        <w:rPr>
          <w:rFonts w:hint="cs"/>
          <w:rtl/>
        </w:rPr>
        <w:t>ی</w:t>
      </w:r>
      <w:r w:rsidRPr="0025250D">
        <w:rPr>
          <w:rtl/>
        </w:rPr>
        <w:t xml:space="preserve"> از دانشگاه کال</w:t>
      </w:r>
      <w:r w:rsidRPr="0025250D">
        <w:rPr>
          <w:rFonts w:hint="cs"/>
          <w:rtl/>
        </w:rPr>
        <w:t>ی</w:t>
      </w:r>
      <w:r w:rsidRPr="0025250D">
        <w:rPr>
          <w:rFonts w:hint="eastAsia"/>
          <w:rtl/>
        </w:rPr>
        <w:t>فرن</w:t>
      </w:r>
      <w:r w:rsidRPr="0025250D">
        <w:rPr>
          <w:rFonts w:hint="cs"/>
          <w:rtl/>
        </w:rPr>
        <w:t>ی</w:t>
      </w:r>
      <w:r w:rsidRPr="0025250D">
        <w:rPr>
          <w:rFonts w:hint="eastAsia"/>
          <w:rtl/>
        </w:rPr>
        <w:t>ا</w:t>
      </w:r>
      <w:r w:rsidRPr="0025250D">
        <w:rPr>
          <w:rFonts w:hint="cs"/>
          <w:rtl/>
        </w:rPr>
        <w:t>ی</w:t>
      </w:r>
      <w:r w:rsidRPr="0025250D">
        <w:rPr>
          <w:rtl/>
        </w:rPr>
        <w:t xml:space="preserve"> جنوب</w:t>
      </w:r>
      <w:r w:rsidRPr="0025250D">
        <w:rPr>
          <w:rFonts w:hint="cs"/>
          <w:rtl/>
        </w:rPr>
        <w:t xml:space="preserve">ی </w:t>
      </w:r>
      <w:r w:rsidRPr="0025250D">
        <w:rPr>
          <w:rtl/>
        </w:rPr>
        <w:t>دارد. م</w:t>
      </w:r>
      <w:r w:rsidRPr="0025250D">
        <w:rPr>
          <w:rFonts w:hint="cs"/>
          <w:rtl/>
        </w:rPr>
        <w:t>ی</w:t>
      </w:r>
      <w:r w:rsidRPr="0025250D">
        <w:rPr>
          <w:rtl/>
        </w:rPr>
        <w:t xml:space="preserve"> توان با او </w:t>
      </w:r>
      <w:r w:rsidRPr="0025250D">
        <w:rPr>
          <w:rFonts w:hint="cs"/>
          <w:rtl/>
        </w:rPr>
        <w:t>از طریق</w:t>
      </w:r>
      <w:r w:rsidRPr="0025250D">
        <w:rPr>
          <w:rtl/>
        </w:rPr>
        <w:t xml:space="preserve"> </w:t>
      </w:r>
      <w:r w:rsidRPr="0025250D">
        <w:t>zhan@alum.mit.edu</w:t>
      </w:r>
      <w:r w:rsidRPr="0025250D">
        <w:rPr>
          <w:rtl/>
        </w:rPr>
        <w:t xml:space="preserve"> تماس گرفت</w:t>
      </w:r>
      <w:r w:rsidRPr="0025250D">
        <w:rPr>
          <w:rFonts w:hint="cs"/>
          <w:rtl/>
        </w:rPr>
        <w:t>.</w:t>
      </w:r>
    </w:p>
    <w:p w14:paraId="4DCF7291" w14:textId="110FED1C" w:rsidR="00EC4706" w:rsidRPr="0025250D" w:rsidRDefault="00EC4706" w:rsidP="004F2D1E">
      <w:pPr>
        <w:jc w:val="center"/>
        <w:rPr>
          <w:rtl/>
        </w:rPr>
      </w:pPr>
      <w:r w:rsidRPr="0025250D">
        <w:rPr>
          <w:noProof/>
          <w:lang w:bidi="ar-SA"/>
        </w:rPr>
        <w:drawing>
          <wp:inline distT="0" distB="0" distL="0" distR="0" wp14:anchorId="5B7FAE4B" wp14:editId="6808CF70">
            <wp:extent cx="1619250" cy="1343025"/>
            <wp:effectExtent l="0" t="0" r="0" b="952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a:extLst>
                        <a:ext uri="{BEBA8EAE-BF5A-486C-A8C5-ECC9F3942E4B}">
                          <a14:imgProps xmlns:a14="http://schemas.microsoft.com/office/drawing/2010/main">
                            <a14:imgLayer r:embed="rId598">
                              <a14:imgEffect>
                                <a14:saturation sat="0"/>
                              </a14:imgEffect>
                            </a14:imgLayer>
                          </a14:imgProps>
                        </a:ext>
                      </a:extLst>
                    </a:blip>
                    <a:stretch>
                      <a:fillRect/>
                    </a:stretch>
                  </pic:blipFill>
                  <pic:spPr>
                    <a:xfrm>
                      <a:off x="0" y="0"/>
                      <a:ext cx="1619250" cy="1343025"/>
                    </a:xfrm>
                    <a:prstGeom prst="rect">
                      <a:avLst/>
                    </a:prstGeom>
                  </pic:spPr>
                </pic:pic>
              </a:graphicData>
            </a:graphic>
          </wp:inline>
        </w:drawing>
      </w:r>
    </w:p>
    <w:p w14:paraId="2B07F79B" w14:textId="19B465B4" w:rsidR="00EC4706" w:rsidRPr="0025250D" w:rsidRDefault="00EC4706" w:rsidP="00EC4706">
      <w:pPr>
        <w:rPr>
          <w:rtl/>
        </w:rPr>
      </w:pPr>
      <w:r w:rsidRPr="0025250D">
        <w:rPr>
          <w:rtl/>
        </w:rPr>
        <w:t>آنا ل</w:t>
      </w:r>
      <w:r w:rsidRPr="0025250D">
        <w:rPr>
          <w:rFonts w:hint="cs"/>
          <w:rtl/>
        </w:rPr>
        <w:t>ی</w:t>
      </w:r>
      <w:r w:rsidRPr="0025250D">
        <w:rPr>
          <w:rFonts w:hint="eastAsia"/>
          <w:rtl/>
        </w:rPr>
        <w:t>نا</w:t>
      </w:r>
      <w:r w:rsidRPr="0025250D">
        <w:rPr>
          <w:rtl/>
        </w:rPr>
        <w:t xml:space="preserve"> پس</w:t>
      </w:r>
      <w:r w:rsidRPr="0025250D">
        <w:rPr>
          <w:rFonts w:hint="cs"/>
          <w:rtl/>
        </w:rPr>
        <w:t>ی</w:t>
      </w:r>
      <w:r w:rsidRPr="0025250D">
        <w:rPr>
          <w:rFonts w:hint="eastAsia"/>
          <w:rtl/>
        </w:rPr>
        <w:t>چ</w:t>
      </w:r>
      <w:r w:rsidRPr="0025250D">
        <w:rPr>
          <w:rStyle w:val="FootnoteReference"/>
          <w:rtl/>
        </w:rPr>
        <w:footnoteReference w:id="3617"/>
      </w:r>
      <w:r w:rsidRPr="0025250D">
        <w:rPr>
          <w:rtl/>
        </w:rPr>
        <w:t xml:space="preserve"> </w:t>
      </w:r>
      <w:r w:rsidRPr="0025250D">
        <w:rPr>
          <w:rFonts w:hint="cs"/>
          <w:rtl/>
        </w:rPr>
        <w:t>ی</w:t>
      </w:r>
      <w:r w:rsidRPr="0025250D">
        <w:rPr>
          <w:rFonts w:hint="eastAsia"/>
          <w:rtl/>
        </w:rPr>
        <w:t>ک</w:t>
      </w:r>
      <w:r w:rsidRPr="0025250D">
        <w:rPr>
          <w:rtl/>
        </w:rPr>
        <w:t xml:space="preserve"> محقق آ</w:t>
      </w:r>
      <w:r w:rsidRPr="0025250D">
        <w:rPr>
          <w:rFonts w:hint="cs"/>
          <w:rtl/>
        </w:rPr>
        <w:t>ی</w:t>
      </w:r>
      <w:r w:rsidRPr="0025250D">
        <w:rPr>
          <w:rFonts w:hint="eastAsia"/>
          <w:rtl/>
        </w:rPr>
        <w:t>نده‌نگار</w:t>
      </w:r>
      <w:r w:rsidRPr="0025250D">
        <w:rPr>
          <w:rFonts w:hint="cs"/>
          <w:rtl/>
        </w:rPr>
        <w:t>ی</w:t>
      </w:r>
      <w:r w:rsidRPr="0025250D">
        <w:rPr>
          <w:rtl/>
        </w:rPr>
        <w:t xml:space="preserve"> در </w:t>
      </w:r>
      <w:r w:rsidRPr="0025250D">
        <w:rPr>
          <w:rFonts w:hint="cs"/>
          <w:rtl/>
        </w:rPr>
        <w:t>دریم بروکر</w:t>
      </w:r>
      <w:r w:rsidRPr="0025250D">
        <w:rPr>
          <w:rStyle w:val="FootnoteReference"/>
          <w:rtl/>
        </w:rPr>
        <w:footnoteReference w:id="3618"/>
      </w:r>
      <w:r w:rsidRPr="0025250D">
        <w:rPr>
          <w:rtl/>
        </w:rPr>
        <w:t xml:space="preserve"> (هلس</w:t>
      </w:r>
      <w:r w:rsidRPr="0025250D">
        <w:rPr>
          <w:rFonts w:hint="cs"/>
          <w:rtl/>
        </w:rPr>
        <w:t>ی</w:t>
      </w:r>
      <w:r w:rsidRPr="0025250D">
        <w:rPr>
          <w:rFonts w:hint="eastAsia"/>
          <w:rtl/>
        </w:rPr>
        <w:t>نک</w:t>
      </w:r>
      <w:r w:rsidRPr="0025250D">
        <w:rPr>
          <w:rFonts w:hint="cs"/>
          <w:rtl/>
        </w:rPr>
        <w:t>ی</w:t>
      </w:r>
      <w:r w:rsidRPr="0025250D">
        <w:rPr>
          <w:rFonts w:hint="eastAsia"/>
          <w:rtl/>
        </w:rPr>
        <w:t>،</w:t>
      </w:r>
      <w:r w:rsidRPr="0025250D">
        <w:rPr>
          <w:rtl/>
        </w:rPr>
        <w:t xml:space="preserve"> فنلاند) است که در آنجا بر فرآ</w:t>
      </w:r>
      <w:r w:rsidRPr="0025250D">
        <w:rPr>
          <w:rFonts w:hint="cs"/>
          <w:rtl/>
        </w:rPr>
        <w:t>ی</w:t>
      </w:r>
      <w:r w:rsidRPr="0025250D">
        <w:rPr>
          <w:rFonts w:hint="eastAsia"/>
          <w:rtl/>
        </w:rPr>
        <w:t>ند</w:t>
      </w:r>
      <w:r w:rsidRPr="0025250D">
        <w:rPr>
          <w:rtl/>
        </w:rPr>
        <w:t xml:space="preserve"> نوآور</w:t>
      </w:r>
      <w:r w:rsidRPr="0025250D">
        <w:rPr>
          <w:rFonts w:hint="cs"/>
          <w:rtl/>
        </w:rPr>
        <w:t>ی</w:t>
      </w:r>
      <w:r w:rsidRPr="0025250D">
        <w:rPr>
          <w:rtl/>
        </w:rPr>
        <w:t xml:space="preserve"> و ظرف</w:t>
      </w:r>
      <w:r w:rsidRPr="0025250D">
        <w:rPr>
          <w:rFonts w:hint="cs"/>
          <w:rtl/>
        </w:rPr>
        <w:t>ی</w:t>
      </w:r>
      <w:r w:rsidRPr="0025250D">
        <w:rPr>
          <w:rFonts w:hint="eastAsia"/>
          <w:rtl/>
        </w:rPr>
        <w:t>ت‌ساز</w:t>
      </w:r>
      <w:r w:rsidRPr="0025250D">
        <w:rPr>
          <w:rFonts w:hint="cs"/>
          <w:rtl/>
        </w:rPr>
        <w:t>ی</w:t>
      </w:r>
      <w:r w:rsidRPr="0025250D">
        <w:rPr>
          <w:rtl/>
        </w:rPr>
        <w:t xml:space="preserve"> تمرکز دارد و</w:t>
      </w:r>
      <w:r w:rsidRPr="0025250D">
        <w:rPr>
          <w:rFonts w:hint="cs"/>
          <w:rtl/>
        </w:rPr>
        <w:t xml:space="preserve"> در حال طی کردن دوره</w:t>
      </w:r>
      <w:r w:rsidRPr="0025250D">
        <w:rPr>
          <w:rtl/>
        </w:rPr>
        <w:t xml:space="preserve"> دکترا</w:t>
      </w:r>
      <w:r w:rsidRPr="0025250D">
        <w:rPr>
          <w:rFonts w:hint="cs"/>
          <w:rtl/>
        </w:rPr>
        <w:t>ی</w:t>
      </w:r>
      <w:r w:rsidRPr="0025250D">
        <w:rPr>
          <w:rtl/>
        </w:rPr>
        <w:t xml:space="preserve"> خود </w:t>
      </w:r>
      <w:r w:rsidRPr="0025250D">
        <w:rPr>
          <w:rFonts w:hint="cs"/>
          <w:rtl/>
        </w:rPr>
        <w:t>است</w:t>
      </w:r>
      <w:r w:rsidRPr="0025250D">
        <w:rPr>
          <w:rtl/>
        </w:rPr>
        <w:t xml:space="preserve">. </w:t>
      </w:r>
      <w:r w:rsidRPr="0025250D">
        <w:rPr>
          <w:rFonts w:hint="cs"/>
          <w:rtl/>
        </w:rPr>
        <w:t xml:space="preserve">او </w:t>
      </w:r>
      <w:r w:rsidRPr="0025250D">
        <w:rPr>
          <w:rtl/>
        </w:rPr>
        <w:t>دانشجو</w:t>
      </w:r>
      <w:r w:rsidRPr="0025250D">
        <w:rPr>
          <w:rFonts w:hint="cs"/>
          <w:rtl/>
        </w:rPr>
        <w:t>ی</w:t>
      </w:r>
      <w:r w:rsidRPr="0025250D">
        <w:rPr>
          <w:rtl/>
        </w:rPr>
        <w:t xml:space="preserve"> دانشگاه آلتو</w:t>
      </w:r>
      <w:r w:rsidRPr="0025250D">
        <w:rPr>
          <w:rFonts w:hint="cs"/>
          <w:rtl/>
        </w:rPr>
        <w:t xml:space="preserve"> و</w:t>
      </w:r>
      <w:r w:rsidRPr="0025250D">
        <w:rPr>
          <w:rtl/>
        </w:rPr>
        <w:t xml:space="preserve"> پا</w:t>
      </w:r>
      <w:r w:rsidRPr="0025250D">
        <w:rPr>
          <w:rFonts w:hint="cs"/>
          <w:rtl/>
        </w:rPr>
        <w:t>ی</w:t>
      </w:r>
      <w:r w:rsidRPr="0025250D">
        <w:rPr>
          <w:rFonts w:hint="eastAsia"/>
          <w:rtl/>
        </w:rPr>
        <w:t>ان</w:t>
      </w:r>
      <w:r w:rsidRPr="0025250D">
        <w:rPr>
          <w:rtl/>
        </w:rPr>
        <w:t xml:space="preserve"> نامه او در</w:t>
      </w:r>
      <w:r w:rsidRPr="0025250D">
        <w:rPr>
          <w:rFonts w:hint="cs"/>
          <w:rtl/>
        </w:rPr>
        <w:t xml:space="preserve"> مورد</w:t>
      </w:r>
      <w:r w:rsidRPr="0025250D">
        <w:rPr>
          <w:rtl/>
        </w:rPr>
        <w:t xml:space="preserve"> تلاق</w:t>
      </w:r>
      <w:r w:rsidRPr="0025250D">
        <w:rPr>
          <w:rFonts w:hint="cs"/>
          <w:rtl/>
        </w:rPr>
        <w:t>ی</w:t>
      </w:r>
      <w:r w:rsidRPr="0025250D">
        <w:rPr>
          <w:rtl/>
        </w:rPr>
        <w:t xml:space="preserve"> </w:t>
      </w:r>
      <w:r w:rsidR="00CF59DF" w:rsidRPr="0025250D">
        <w:rPr>
          <w:rtl/>
        </w:rPr>
        <w:t>جهت‌گیری</w:t>
      </w:r>
      <w:r w:rsidRPr="0025250D">
        <w:rPr>
          <w:rtl/>
        </w:rPr>
        <w:t xml:space="preserve"> و ظرف</w:t>
      </w:r>
      <w:r w:rsidRPr="0025250D">
        <w:rPr>
          <w:rFonts w:hint="cs"/>
          <w:rtl/>
        </w:rPr>
        <w:t>ی</w:t>
      </w:r>
      <w:r w:rsidRPr="0025250D">
        <w:rPr>
          <w:rFonts w:hint="eastAsia"/>
          <w:rtl/>
        </w:rPr>
        <w:t>ت</w:t>
      </w:r>
      <w:r w:rsidRPr="0025250D">
        <w:rPr>
          <w:rtl/>
        </w:rPr>
        <w:t xml:space="preserve"> </w:t>
      </w:r>
      <w:r w:rsidR="00D92F6E" w:rsidRPr="0025250D">
        <w:rPr>
          <w:rtl/>
        </w:rPr>
        <w:t>آینده‌نگاری</w:t>
      </w:r>
      <w:r w:rsidRPr="0025250D">
        <w:rPr>
          <w:rtl/>
        </w:rPr>
        <w:t xml:space="preserve"> شرکت</w:t>
      </w:r>
      <w:r w:rsidRPr="0025250D">
        <w:rPr>
          <w:rFonts w:hint="cs"/>
          <w:rtl/>
        </w:rPr>
        <w:t>ی</w:t>
      </w:r>
      <w:r w:rsidRPr="0025250D">
        <w:rPr>
          <w:rFonts w:hint="eastAsia"/>
          <w:rtl/>
        </w:rPr>
        <w:t>،</w:t>
      </w:r>
      <w:r w:rsidRPr="0025250D">
        <w:rPr>
          <w:rtl/>
        </w:rPr>
        <w:t xml:space="preserve"> </w:t>
      </w:r>
      <w:r w:rsidR="00D92F6E" w:rsidRPr="0025250D">
        <w:rPr>
          <w:rtl/>
        </w:rPr>
        <w:t>آینده‌نگاری</w:t>
      </w:r>
      <w:r w:rsidRPr="0025250D">
        <w:rPr>
          <w:rtl/>
        </w:rPr>
        <w:t xml:space="preserve"> </w:t>
      </w:r>
      <w:r w:rsidR="00701E03" w:rsidRPr="0025250D">
        <w:rPr>
          <w:rtl/>
        </w:rPr>
        <w:t>راهبردی</w:t>
      </w:r>
      <w:r w:rsidRPr="0025250D">
        <w:rPr>
          <w:rtl/>
        </w:rPr>
        <w:t xml:space="preserve"> و هوش فناور</w:t>
      </w:r>
      <w:r w:rsidRPr="0025250D">
        <w:rPr>
          <w:rFonts w:hint="cs"/>
          <w:rtl/>
        </w:rPr>
        <w:t>ی</w:t>
      </w:r>
      <w:r w:rsidRPr="0025250D">
        <w:rPr>
          <w:rtl/>
        </w:rPr>
        <w:t xml:space="preserve"> است. علا</w:t>
      </w:r>
      <w:r w:rsidRPr="0025250D">
        <w:rPr>
          <w:rFonts w:hint="cs"/>
          <w:rtl/>
        </w:rPr>
        <w:t>ی</w:t>
      </w:r>
      <w:r w:rsidRPr="0025250D">
        <w:rPr>
          <w:rFonts w:hint="eastAsia"/>
          <w:rtl/>
        </w:rPr>
        <w:t>ق</w:t>
      </w:r>
      <w:r w:rsidRPr="0025250D">
        <w:rPr>
          <w:rtl/>
        </w:rPr>
        <w:t xml:space="preserve"> او شامل نوآور</w:t>
      </w:r>
      <w:r w:rsidRPr="0025250D">
        <w:rPr>
          <w:rFonts w:hint="cs"/>
          <w:rtl/>
        </w:rPr>
        <w:t>ی</w:t>
      </w:r>
      <w:r w:rsidRPr="0025250D">
        <w:rPr>
          <w:rtl/>
        </w:rPr>
        <w:t xml:space="preserve"> </w:t>
      </w:r>
      <w:r w:rsidR="00701E03" w:rsidRPr="0025250D">
        <w:rPr>
          <w:rtl/>
        </w:rPr>
        <w:t>راهبردی</w:t>
      </w:r>
      <w:r w:rsidRPr="0025250D">
        <w:rPr>
          <w:rFonts w:hint="eastAsia"/>
          <w:rtl/>
        </w:rPr>
        <w:t>،</w:t>
      </w:r>
      <w:r w:rsidRPr="0025250D">
        <w:rPr>
          <w:rtl/>
        </w:rPr>
        <w:t xml:space="preserve"> </w:t>
      </w:r>
      <w:r w:rsidR="00D92F6E" w:rsidRPr="0025250D">
        <w:rPr>
          <w:rtl/>
        </w:rPr>
        <w:t>آینده‌نگاری</w:t>
      </w:r>
      <w:r w:rsidRPr="0025250D">
        <w:rPr>
          <w:rFonts w:hint="eastAsia"/>
          <w:rtl/>
        </w:rPr>
        <w:t>،</w:t>
      </w:r>
      <w:r w:rsidRPr="0025250D">
        <w:rPr>
          <w:rtl/>
        </w:rPr>
        <w:t xml:space="preserve"> تحق</w:t>
      </w:r>
      <w:r w:rsidRPr="0025250D">
        <w:rPr>
          <w:rFonts w:hint="cs"/>
          <w:rtl/>
        </w:rPr>
        <w:t>ی</w:t>
      </w:r>
      <w:r w:rsidRPr="0025250D">
        <w:rPr>
          <w:rFonts w:hint="eastAsia"/>
          <w:rtl/>
        </w:rPr>
        <w:t>قات</w:t>
      </w:r>
      <w:r w:rsidRPr="0025250D">
        <w:rPr>
          <w:rtl/>
        </w:rPr>
        <w:t xml:space="preserve"> بازار و طراح</w:t>
      </w:r>
      <w:r w:rsidRPr="0025250D">
        <w:rPr>
          <w:rFonts w:hint="cs"/>
          <w:rtl/>
        </w:rPr>
        <w:t>ی</w:t>
      </w:r>
      <w:r w:rsidRPr="0025250D">
        <w:rPr>
          <w:rtl/>
        </w:rPr>
        <w:t xml:space="preserve"> است. م</w:t>
      </w:r>
      <w:r w:rsidRPr="0025250D">
        <w:rPr>
          <w:rFonts w:hint="cs"/>
          <w:rtl/>
        </w:rPr>
        <w:t>ی</w:t>
      </w:r>
      <w:r w:rsidRPr="0025250D">
        <w:rPr>
          <w:rtl/>
        </w:rPr>
        <w:t xml:space="preserve"> توان با او </w:t>
      </w:r>
      <w:r w:rsidRPr="0025250D">
        <w:rPr>
          <w:rFonts w:hint="cs"/>
          <w:rtl/>
        </w:rPr>
        <w:t>از طریق</w:t>
      </w:r>
      <w:r w:rsidRPr="0025250D">
        <w:rPr>
          <w:rtl/>
        </w:rPr>
        <w:t xml:space="preserve"> </w:t>
      </w:r>
      <w:r w:rsidRPr="0025250D">
        <w:t>avasamo@gmail.com</w:t>
      </w:r>
      <w:r w:rsidRPr="0025250D">
        <w:rPr>
          <w:rtl/>
        </w:rPr>
        <w:t xml:space="preserve"> تماس گرفت</w:t>
      </w:r>
      <w:r w:rsidRPr="0025250D">
        <w:rPr>
          <w:rFonts w:hint="cs"/>
          <w:rtl/>
        </w:rPr>
        <w:t>.</w:t>
      </w:r>
    </w:p>
    <w:p w14:paraId="71DC3A72" w14:textId="4645691D" w:rsidR="00EC4706" w:rsidRPr="0025250D" w:rsidRDefault="00EC4706" w:rsidP="004F2D1E">
      <w:pPr>
        <w:jc w:val="center"/>
        <w:rPr>
          <w:rtl/>
        </w:rPr>
      </w:pPr>
      <w:r w:rsidRPr="0025250D">
        <w:rPr>
          <w:noProof/>
          <w:lang w:bidi="ar-SA"/>
        </w:rPr>
        <w:drawing>
          <wp:inline distT="0" distB="0" distL="0" distR="0" wp14:anchorId="5CAE5FE5" wp14:editId="350AF2F9">
            <wp:extent cx="1619250" cy="1609725"/>
            <wp:effectExtent l="0" t="0" r="0" b="952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extLst>
                        <a:ext uri="{BEBA8EAE-BF5A-486C-A8C5-ECC9F3942E4B}">
                          <a14:imgProps xmlns:a14="http://schemas.microsoft.com/office/drawing/2010/main">
                            <a14:imgLayer r:embed="rId600">
                              <a14:imgEffect>
                                <a14:saturation sat="0"/>
                              </a14:imgEffect>
                            </a14:imgLayer>
                          </a14:imgProps>
                        </a:ext>
                      </a:extLst>
                    </a:blip>
                    <a:stretch>
                      <a:fillRect/>
                    </a:stretch>
                  </pic:blipFill>
                  <pic:spPr>
                    <a:xfrm>
                      <a:off x="0" y="0"/>
                      <a:ext cx="1619250" cy="1609725"/>
                    </a:xfrm>
                    <a:prstGeom prst="rect">
                      <a:avLst/>
                    </a:prstGeom>
                  </pic:spPr>
                </pic:pic>
              </a:graphicData>
            </a:graphic>
          </wp:inline>
        </w:drawing>
      </w:r>
    </w:p>
    <w:p w14:paraId="715909F9" w14:textId="29C4B3B7" w:rsidR="00B714DC" w:rsidRPr="0025250D" w:rsidRDefault="00EC4706" w:rsidP="00EC4706">
      <w:pPr>
        <w:rPr>
          <w:rtl/>
        </w:rPr>
      </w:pPr>
      <w:r w:rsidRPr="0025250D">
        <w:rPr>
          <w:rtl/>
        </w:rPr>
        <w:t>کو</w:t>
      </w:r>
      <w:r w:rsidRPr="0025250D">
        <w:rPr>
          <w:rFonts w:hint="cs"/>
          <w:rtl/>
        </w:rPr>
        <w:t>ی</w:t>
      </w:r>
      <w:r w:rsidRPr="0025250D">
        <w:rPr>
          <w:rFonts w:hint="eastAsia"/>
          <w:rtl/>
        </w:rPr>
        <w:t>ن</w:t>
      </w:r>
      <w:r w:rsidRPr="0025250D">
        <w:rPr>
          <w:rtl/>
        </w:rPr>
        <w:t xml:space="preserve"> راسل مد</w:t>
      </w:r>
      <w:r w:rsidRPr="0025250D">
        <w:rPr>
          <w:rFonts w:hint="cs"/>
          <w:rtl/>
        </w:rPr>
        <w:t>ی</w:t>
      </w:r>
      <w:r w:rsidRPr="0025250D">
        <w:rPr>
          <w:rFonts w:hint="eastAsia"/>
          <w:rtl/>
        </w:rPr>
        <w:t>ر</w:t>
      </w:r>
      <w:r w:rsidRPr="0025250D">
        <w:rPr>
          <w:rtl/>
        </w:rPr>
        <w:t xml:space="preserve"> خلاق در </w:t>
      </w:r>
      <w:r w:rsidRPr="0025250D">
        <w:rPr>
          <w:rFonts w:hint="cs"/>
          <w:rtl/>
        </w:rPr>
        <w:t>کاسمیک پرسپکتیو</w:t>
      </w:r>
      <w:r w:rsidRPr="0025250D">
        <w:rPr>
          <w:rStyle w:val="FootnoteReference"/>
          <w:rtl/>
        </w:rPr>
        <w:footnoteReference w:id="3619"/>
      </w:r>
      <w:r w:rsidRPr="0025250D">
        <w:rPr>
          <w:rFonts w:hint="cs"/>
          <w:rtl/>
        </w:rPr>
        <w:t xml:space="preserve"> </w:t>
      </w:r>
      <w:r w:rsidRPr="0025250D">
        <w:rPr>
          <w:rtl/>
        </w:rPr>
        <w:t>(ک</w:t>
      </w:r>
      <w:r w:rsidRPr="0025250D">
        <w:rPr>
          <w:rFonts w:hint="cs"/>
          <w:rtl/>
        </w:rPr>
        <w:t>ی</w:t>
      </w:r>
      <w:r w:rsidRPr="0025250D">
        <w:rPr>
          <w:rFonts w:hint="eastAsia"/>
          <w:rtl/>
        </w:rPr>
        <w:t>پ</w:t>
      </w:r>
      <w:r w:rsidRPr="0025250D">
        <w:rPr>
          <w:rtl/>
        </w:rPr>
        <w:t xml:space="preserve"> کاناورال، فلور</w:t>
      </w:r>
      <w:r w:rsidRPr="0025250D">
        <w:rPr>
          <w:rFonts w:hint="cs"/>
          <w:rtl/>
        </w:rPr>
        <w:t>ی</w:t>
      </w:r>
      <w:r w:rsidRPr="0025250D">
        <w:rPr>
          <w:rFonts w:hint="eastAsia"/>
          <w:rtl/>
        </w:rPr>
        <w:t>دا</w:t>
      </w:r>
      <w:r w:rsidRPr="0025250D">
        <w:rPr>
          <w:rtl/>
        </w:rPr>
        <w:t>)، مد</w:t>
      </w:r>
      <w:r w:rsidRPr="0025250D">
        <w:rPr>
          <w:rFonts w:hint="cs"/>
          <w:rtl/>
        </w:rPr>
        <w:t>ی</w:t>
      </w:r>
      <w:r w:rsidRPr="0025250D">
        <w:rPr>
          <w:rFonts w:hint="eastAsia"/>
          <w:rtl/>
        </w:rPr>
        <w:t>ر</w:t>
      </w:r>
      <w:r w:rsidRPr="0025250D">
        <w:rPr>
          <w:rtl/>
        </w:rPr>
        <w:t xml:space="preserve"> ارشد طراح</w:t>
      </w:r>
      <w:r w:rsidRPr="0025250D">
        <w:rPr>
          <w:rFonts w:hint="cs"/>
          <w:rtl/>
        </w:rPr>
        <w:t>ی</w:t>
      </w:r>
      <w:r w:rsidRPr="0025250D">
        <w:rPr>
          <w:rtl/>
        </w:rPr>
        <w:t xml:space="preserve"> دانشگاه </w:t>
      </w:r>
      <w:r w:rsidR="00D92F6E" w:rsidRPr="0025250D">
        <w:rPr>
          <w:rFonts w:hint="cs"/>
          <w:rtl/>
        </w:rPr>
        <w:t>آینده‌نگاری</w:t>
      </w:r>
      <w:r w:rsidRPr="0025250D">
        <w:rPr>
          <w:rtl/>
        </w:rPr>
        <w:t xml:space="preserve"> و نابغه خلاق </w:t>
      </w:r>
      <w:r w:rsidRPr="0025250D">
        <w:t>ForesightGuide.com</w:t>
      </w:r>
      <w:r w:rsidRPr="0025250D">
        <w:rPr>
          <w:rtl/>
        </w:rPr>
        <w:t xml:space="preserve"> است. او </w:t>
      </w:r>
      <w:r w:rsidRPr="0025250D">
        <w:rPr>
          <w:rFonts w:hint="cs"/>
          <w:rtl/>
        </w:rPr>
        <w:t>ی</w:t>
      </w:r>
      <w:r w:rsidRPr="0025250D">
        <w:rPr>
          <w:rFonts w:hint="eastAsia"/>
          <w:rtl/>
        </w:rPr>
        <w:t>ک</w:t>
      </w:r>
      <w:r w:rsidRPr="0025250D">
        <w:rPr>
          <w:rtl/>
        </w:rPr>
        <w:t xml:space="preserve"> پدر، </w:t>
      </w:r>
      <w:r w:rsidR="00D92F6E" w:rsidRPr="0025250D">
        <w:rPr>
          <w:rtl/>
        </w:rPr>
        <w:t>آینده‌پژوه</w:t>
      </w:r>
      <w:r w:rsidRPr="0025250D">
        <w:rPr>
          <w:rtl/>
        </w:rPr>
        <w:t>، طراح د</w:t>
      </w:r>
      <w:r w:rsidRPr="0025250D">
        <w:rPr>
          <w:rFonts w:hint="cs"/>
          <w:rtl/>
        </w:rPr>
        <w:t>ی</w:t>
      </w:r>
      <w:r w:rsidRPr="0025250D">
        <w:rPr>
          <w:rFonts w:hint="eastAsia"/>
          <w:rtl/>
        </w:rPr>
        <w:t>ج</w:t>
      </w:r>
      <w:r w:rsidRPr="0025250D">
        <w:rPr>
          <w:rFonts w:hint="cs"/>
          <w:rtl/>
        </w:rPr>
        <w:t>ی</w:t>
      </w:r>
      <w:r w:rsidRPr="0025250D">
        <w:rPr>
          <w:rFonts w:hint="eastAsia"/>
          <w:rtl/>
        </w:rPr>
        <w:t>تال</w:t>
      </w:r>
      <w:r w:rsidRPr="0025250D">
        <w:rPr>
          <w:rtl/>
        </w:rPr>
        <w:t xml:space="preserve"> و سخنران اصل</w:t>
      </w:r>
      <w:r w:rsidRPr="0025250D">
        <w:rPr>
          <w:rFonts w:hint="cs"/>
          <w:rtl/>
        </w:rPr>
        <w:t>ی</w:t>
      </w:r>
      <w:r w:rsidRPr="0025250D">
        <w:rPr>
          <w:rtl/>
        </w:rPr>
        <w:t xml:space="preserve"> است. علا</w:t>
      </w:r>
      <w:r w:rsidRPr="0025250D">
        <w:rPr>
          <w:rFonts w:hint="cs"/>
          <w:rtl/>
        </w:rPr>
        <w:t>ی</w:t>
      </w:r>
      <w:r w:rsidRPr="0025250D">
        <w:rPr>
          <w:rFonts w:hint="eastAsia"/>
          <w:rtl/>
        </w:rPr>
        <w:t>ق</w:t>
      </w:r>
      <w:r w:rsidRPr="0025250D">
        <w:rPr>
          <w:rtl/>
        </w:rPr>
        <w:t xml:space="preserve"> او شامل فلسفه، </w:t>
      </w:r>
      <w:r w:rsidR="00D92F6E" w:rsidRPr="0025250D">
        <w:rPr>
          <w:rtl/>
        </w:rPr>
        <w:t>آینده‌پژوه</w:t>
      </w:r>
      <w:r w:rsidRPr="0025250D">
        <w:rPr>
          <w:rFonts w:hint="cs"/>
          <w:rtl/>
        </w:rPr>
        <w:t>ی</w:t>
      </w:r>
      <w:r w:rsidRPr="0025250D">
        <w:rPr>
          <w:rFonts w:hint="eastAsia"/>
          <w:rtl/>
        </w:rPr>
        <w:t>،</w:t>
      </w:r>
      <w:r w:rsidRPr="0025250D">
        <w:rPr>
          <w:rtl/>
        </w:rPr>
        <w:t xml:space="preserve"> تحق</w:t>
      </w:r>
      <w:r w:rsidRPr="0025250D">
        <w:rPr>
          <w:rFonts w:hint="cs"/>
          <w:rtl/>
        </w:rPr>
        <w:t>ی</w:t>
      </w:r>
      <w:r w:rsidRPr="0025250D">
        <w:rPr>
          <w:rFonts w:hint="eastAsia"/>
          <w:rtl/>
        </w:rPr>
        <w:t>ق،</w:t>
      </w:r>
      <w:r w:rsidRPr="0025250D">
        <w:rPr>
          <w:rtl/>
        </w:rPr>
        <w:t xml:space="preserve"> طراح</w:t>
      </w:r>
      <w:r w:rsidRPr="0025250D">
        <w:rPr>
          <w:rFonts w:hint="cs"/>
          <w:rtl/>
        </w:rPr>
        <w:t>ی</w:t>
      </w:r>
      <w:r w:rsidRPr="0025250D">
        <w:rPr>
          <w:rtl/>
        </w:rPr>
        <w:t xml:space="preserve"> و د</w:t>
      </w:r>
      <w:r w:rsidRPr="0025250D">
        <w:rPr>
          <w:rFonts w:hint="cs"/>
          <w:rtl/>
        </w:rPr>
        <w:t>ی</w:t>
      </w:r>
      <w:r w:rsidRPr="0025250D">
        <w:rPr>
          <w:rFonts w:hint="eastAsia"/>
          <w:rtl/>
        </w:rPr>
        <w:t>دگاه</w:t>
      </w:r>
      <w:r w:rsidRPr="0025250D">
        <w:rPr>
          <w:rtl/>
        </w:rPr>
        <w:t xml:space="preserve"> ها</w:t>
      </w:r>
      <w:r w:rsidRPr="0025250D">
        <w:rPr>
          <w:rFonts w:hint="cs"/>
          <w:rtl/>
        </w:rPr>
        <w:t>ی</w:t>
      </w:r>
      <w:r w:rsidRPr="0025250D">
        <w:rPr>
          <w:rtl/>
        </w:rPr>
        <w:t xml:space="preserve"> مثب</w:t>
      </w:r>
      <w:r w:rsidRPr="0025250D">
        <w:rPr>
          <w:rFonts w:hint="eastAsia"/>
          <w:rtl/>
        </w:rPr>
        <w:t>ت</w:t>
      </w:r>
      <w:r w:rsidRPr="0025250D">
        <w:rPr>
          <w:rtl/>
        </w:rPr>
        <w:t xml:space="preserve"> برا</w:t>
      </w:r>
      <w:r w:rsidRPr="0025250D">
        <w:rPr>
          <w:rFonts w:hint="cs"/>
          <w:rtl/>
        </w:rPr>
        <w:t>ی</w:t>
      </w:r>
      <w:r w:rsidRPr="0025250D">
        <w:rPr>
          <w:rtl/>
        </w:rPr>
        <w:t xml:space="preserve"> آ</w:t>
      </w:r>
      <w:r w:rsidRPr="0025250D">
        <w:rPr>
          <w:rFonts w:hint="cs"/>
          <w:rtl/>
        </w:rPr>
        <w:t>ی</w:t>
      </w:r>
      <w:r w:rsidRPr="0025250D">
        <w:rPr>
          <w:rFonts w:hint="eastAsia"/>
          <w:rtl/>
        </w:rPr>
        <w:t>نده</w:t>
      </w:r>
      <w:r w:rsidRPr="0025250D">
        <w:rPr>
          <w:rtl/>
        </w:rPr>
        <w:t xml:space="preserve"> بشر</w:t>
      </w:r>
      <w:r w:rsidRPr="0025250D">
        <w:rPr>
          <w:rFonts w:hint="cs"/>
          <w:rtl/>
        </w:rPr>
        <w:t>ی</w:t>
      </w:r>
      <w:r w:rsidRPr="0025250D">
        <w:rPr>
          <w:rFonts w:hint="eastAsia"/>
          <w:rtl/>
        </w:rPr>
        <w:t>ت</w:t>
      </w:r>
      <w:r w:rsidRPr="0025250D">
        <w:rPr>
          <w:rtl/>
        </w:rPr>
        <w:t xml:space="preserve"> است. م</w:t>
      </w:r>
      <w:r w:rsidRPr="0025250D">
        <w:rPr>
          <w:rFonts w:hint="cs"/>
          <w:rtl/>
        </w:rPr>
        <w:t>ی</w:t>
      </w:r>
      <w:r w:rsidRPr="0025250D">
        <w:rPr>
          <w:rtl/>
        </w:rPr>
        <w:t xml:space="preserve"> توان با او </w:t>
      </w:r>
      <w:r w:rsidR="006A4E21" w:rsidRPr="0025250D">
        <w:rPr>
          <w:rFonts w:hint="cs"/>
          <w:rtl/>
        </w:rPr>
        <w:t>از طریق</w:t>
      </w:r>
      <w:r w:rsidRPr="0025250D">
        <w:rPr>
          <w:rtl/>
        </w:rPr>
        <w:t xml:space="preserve"> </w:t>
      </w:r>
      <w:r w:rsidRPr="0025250D">
        <w:t>kevinrussell@gmail.com</w:t>
      </w:r>
      <w:r w:rsidRPr="0025250D">
        <w:rPr>
          <w:rtl/>
        </w:rPr>
        <w:t xml:space="preserve"> تماس گرفت</w:t>
      </w:r>
      <w:r w:rsidR="006A4E21" w:rsidRPr="0025250D">
        <w:rPr>
          <w:rFonts w:hint="cs"/>
          <w:rtl/>
        </w:rPr>
        <w:t>.</w:t>
      </w:r>
    </w:p>
    <w:p w14:paraId="3CDE8EDA" w14:textId="1BD6D873" w:rsidR="004A148E" w:rsidRPr="0025250D" w:rsidRDefault="004A148E" w:rsidP="004F2D1E">
      <w:pPr>
        <w:jc w:val="center"/>
        <w:rPr>
          <w:rtl/>
        </w:rPr>
      </w:pPr>
      <w:r w:rsidRPr="0025250D">
        <w:rPr>
          <w:noProof/>
          <w:lang w:bidi="ar-SA"/>
        </w:rPr>
        <w:drawing>
          <wp:inline distT="0" distB="0" distL="0" distR="0" wp14:anchorId="1C3A6276" wp14:editId="00181AE5">
            <wp:extent cx="1628775" cy="1628775"/>
            <wp:effectExtent l="0" t="0" r="9525" b="952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extLst>
                        <a:ext uri="{BEBA8EAE-BF5A-486C-A8C5-ECC9F3942E4B}">
                          <a14:imgProps xmlns:a14="http://schemas.microsoft.com/office/drawing/2010/main">
                            <a14:imgLayer r:embed="rId602">
                              <a14:imgEffect>
                                <a14:saturation sat="0"/>
                              </a14:imgEffect>
                            </a14:imgLayer>
                          </a14:imgProps>
                        </a:ext>
                      </a:extLst>
                    </a:blip>
                    <a:stretch>
                      <a:fillRect/>
                    </a:stretch>
                  </pic:blipFill>
                  <pic:spPr>
                    <a:xfrm>
                      <a:off x="0" y="0"/>
                      <a:ext cx="1628775" cy="1628775"/>
                    </a:xfrm>
                    <a:prstGeom prst="rect">
                      <a:avLst/>
                    </a:prstGeom>
                  </pic:spPr>
                </pic:pic>
              </a:graphicData>
            </a:graphic>
          </wp:inline>
        </w:drawing>
      </w:r>
    </w:p>
    <w:p w14:paraId="5D7A559D" w14:textId="05F6EF9D" w:rsidR="00B714DC" w:rsidRPr="0025250D" w:rsidRDefault="00B714DC" w:rsidP="00B714DC">
      <w:pPr>
        <w:rPr>
          <w:rtl/>
        </w:rPr>
      </w:pPr>
    </w:p>
    <w:p w14:paraId="6D531454" w14:textId="273FC07F" w:rsidR="00725A99" w:rsidRPr="0025250D" w:rsidRDefault="00725A99" w:rsidP="00B714DC">
      <w:pPr>
        <w:rPr>
          <w:rtl/>
        </w:rPr>
      </w:pPr>
    </w:p>
    <w:p w14:paraId="42DBC3F9" w14:textId="77777777" w:rsidR="00725A99" w:rsidRPr="0025250D" w:rsidRDefault="00725A99" w:rsidP="00B714DC">
      <w:pPr>
        <w:rPr>
          <w:rtl/>
        </w:rPr>
        <w:sectPr w:rsidR="00725A99" w:rsidRPr="0025250D" w:rsidSect="00C12260">
          <w:footnotePr>
            <w:numRestart w:val="eachPage"/>
          </w:footnotePr>
          <w:pgSz w:w="11906" w:h="16838"/>
          <w:pgMar w:top="1418" w:right="1418" w:bottom="1418" w:left="1418" w:header="720" w:footer="720" w:gutter="0"/>
          <w:cols w:space="720"/>
          <w:bidi/>
          <w:rtlGutter/>
          <w:docGrid w:linePitch="360"/>
        </w:sectPr>
      </w:pPr>
    </w:p>
    <w:p w14:paraId="53C883DB" w14:textId="32A0F244" w:rsidR="00725A99" w:rsidRPr="0025250D" w:rsidRDefault="00725A99" w:rsidP="00725A99">
      <w:pPr>
        <w:jc w:val="center"/>
        <w:rPr>
          <w:b/>
          <w:bCs/>
          <w:rtl/>
        </w:rPr>
      </w:pPr>
      <w:r w:rsidRPr="0025250D">
        <w:rPr>
          <w:rFonts w:hint="cs"/>
          <w:b/>
          <w:bCs/>
          <w:rtl/>
        </w:rPr>
        <w:t>واژگان تخصصی</w:t>
      </w:r>
    </w:p>
    <w:tbl>
      <w:tblPr>
        <w:tblStyle w:val="TableGrid"/>
        <w:bidiVisual/>
        <w:tblW w:w="0" w:type="auto"/>
        <w:tblInd w:w="5" w:type="dxa"/>
        <w:tblLook w:val="04A0" w:firstRow="1" w:lastRow="0" w:firstColumn="1" w:lastColumn="0" w:noHBand="0" w:noVBand="1"/>
      </w:tblPr>
      <w:tblGrid>
        <w:gridCol w:w="4530"/>
        <w:gridCol w:w="4530"/>
      </w:tblGrid>
      <w:tr w:rsidR="00C51390" w:rsidRPr="0025250D" w14:paraId="0E8D6B77" w14:textId="77777777" w:rsidTr="007660E3">
        <w:tc>
          <w:tcPr>
            <w:tcW w:w="9060" w:type="dxa"/>
            <w:gridSpan w:val="2"/>
            <w:tcBorders>
              <w:top w:val="nil"/>
              <w:left w:val="nil"/>
              <w:bottom w:val="nil"/>
              <w:right w:val="nil"/>
            </w:tcBorders>
            <w:shd w:val="clear" w:color="auto" w:fill="auto"/>
            <w:vAlign w:val="bottom"/>
          </w:tcPr>
          <w:p w14:paraId="2EC9CB6A" w14:textId="37BB1A3C" w:rsidR="00C51390" w:rsidRPr="0025250D" w:rsidRDefault="00C51390" w:rsidP="00C51390">
            <w:pPr>
              <w:jc w:val="center"/>
              <w:rPr>
                <w:rFonts w:cs="Times New Roman"/>
                <w:b/>
                <w:bCs/>
                <w:color w:val="000000"/>
                <w:szCs w:val="20"/>
              </w:rPr>
            </w:pPr>
            <w:r w:rsidRPr="0025250D">
              <w:rPr>
                <w:rFonts w:cs="Times New Roman"/>
                <w:b/>
                <w:bCs/>
                <w:color w:val="000000"/>
                <w:sz w:val="28"/>
                <w:szCs w:val="28"/>
              </w:rPr>
              <w:t>A</w:t>
            </w:r>
          </w:p>
        </w:tc>
      </w:tr>
      <w:tr w:rsidR="00725A99" w:rsidRPr="0025250D" w14:paraId="04DA131F" w14:textId="77777777" w:rsidTr="00725A99">
        <w:tc>
          <w:tcPr>
            <w:tcW w:w="4530" w:type="dxa"/>
            <w:tcBorders>
              <w:top w:val="nil"/>
              <w:left w:val="nil"/>
              <w:bottom w:val="nil"/>
              <w:right w:val="nil"/>
            </w:tcBorders>
            <w:shd w:val="clear" w:color="auto" w:fill="auto"/>
            <w:vAlign w:val="bottom"/>
          </w:tcPr>
          <w:p w14:paraId="27D37665" w14:textId="53022CE1" w:rsidR="00725A99" w:rsidRPr="0025250D" w:rsidRDefault="00725A99" w:rsidP="00C51390">
            <w:pPr>
              <w:bidi/>
              <w:rPr>
                <w:rtl/>
              </w:rPr>
            </w:pPr>
            <w:r w:rsidRPr="0025250D">
              <w:rPr>
                <w:rFonts w:ascii="Calibri" w:hAnsi="Calibri"/>
                <w:color w:val="000000"/>
                <w:sz w:val="22"/>
                <w:rtl/>
              </w:rPr>
              <w:t>انطباقی</w:t>
            </w:r>
          </w:p>
        </w:tc>
        <w:tc>
          <w:tcPr>
            <w:tcW w:w="4530" w:type="dxa"/>
            <w:tcBorders>
              <w:top w:val="nil"/>
              <w:left w:val="nil"/>
              <w:bottom w:val="nil"/>
              <w:right w:val="nil"/>
            </w:tcBorders>
            <w:shd w:val="clear" w:color="auto" w:fill="auto"/>
            <w:vAlign w:val="bottom"/>
          </w:tcPr>
          <w:p w14:paraId="7671BFDA" w14:textId="55CB6DB4" w:rsidR="00725A99" w:rsidRPr="0025250D" w:rsidRDefault="00725A99" w:rsidP="00725A99">
            <w:pPr>
              <w:rPr>
                <w:rFonts w:cs="Times New Roman"/>
                <w:rtl/>
              </w:rPr>
            </w:pPr>
            <w:r w:rsidRPr="0025250D">
              <w:rPr>
                <w:rFonts w:cs="Times New Roman"/>
                <w:color w:val="000000"/>
                <w:szCs w:val="20"/>
              </w:rPr>
              <w:t>Adaptive foresight</w:t>
            </w:r>
          </w:p>
        </w:tc>
      </w:tr>
      <w:tr w:rsidR="00725A99" w:rsidRPr="0025250D" w14:paraId="1C15C427" w14:textId="77777777" w:rsidTr="00725A99">
        <w:tc>
          <w:tcPr>
            <w:tcW w:w="4530" w:type="dxa"/>
            <w:tcBorders>
              <w:top w:val="nil"/>
              <w:left w:val="nil"/>
              <w:bottom w:val="nil"/>
              <w:right w:val="nil"/>
            </w:tcBorders>
            <w:shd w:val="clear" w:color="auto" w:fill="auto"/>
            <w:vAlign w:val="bottom"/>
          </w:tcPr>
          <w:p w14:paraId="3D1C48BB" w14:textId="158085F0" w:rsidR="00725A99" w:rsidRPr="0025250D" w:rsidRDefault="00725A99" w:rsidP="00C51390">
            <w:pPr>
              <w:bidi/>
              <w:rPr>
                <w:rtl/>
              </w:rPr>
            </w:pPr>
            <w:r w:rsidRPr="0025250D">
              <w:rPr>
                <w:rFonts w:ascii="Calibri" w:hAnsi="Calibri" w:hint="cs"/>
                <w:color w:val="000000"/>
                <w:sz w:val="22"/>
                <w:rtl/>
              </w:rPr>
              <w:t>تفکر تعدیلی</w:t>
            </w:r>
          </w:p>
        </w:tc>
        <w:tc>
          <w:tcPr>
            <w:tcW w:w="4530" w:type="dxa"/>
            <w:tcBorders>
              <w:top w:val="nil"/>
              <w:left w:val="nil"/>
              <w:bottom w:val="nil"/>
              <w:right w:val="nil"/>
            </w:tcBorders>
            <w:shd w:val="clear" w:color="auto" w:fill="auto"/>
            <w:vAlign w:val="bottom"/>
          </w:tcPr>
          <w:p w14:paraId="011EF7D1" w14:textId="783C767E" w:rsidR="00725A99" w:rsidRPr="0025250D" w:rsidRDefault="00725A99" w:rsidP="00725A99">
            <w:pPr>
              <w:rPr>
                <w:rFonts w:cs="Times New Roman"/>
                <w:rtl/>
              </w:rPr>
            </w:pPr>
            <w:r w:rsidRPr="0025250D">
              <w:rPr>
                <w:rFonts w:cs="Times New Roman"/>
                <w:color w:val="000000"/>
                <w:szCs w:val="20"/>
              </w:rPr>
              <w:t>Adjustment thinking</w:t>
            </w:r>
          </w:p>
        </w:tc>
      </w:tr>
      <w:tr w:rsidR="00725A99" w:rsidRPr="0025250D" w14:paraId="70705BE5" w14:textId="77777777" w:rsidTr="00725A99">
        <w:tc>
          <w:tcPr>
            <w:tcW w:w="4530" w:type="dxa"/>
            <w:tcBorders>
              <w:top w:val="nil"/>
              <w:left w:val="nil"/>
              <w:bottom w:val="nil"/>
              <w:right w:val="nil"/>
            </w:tcBorders>
            <w:shd w:val="clear" w:color="auto" w:fill="auto"/>
            <w:vAlign w:val="bottom"/>
          </w:tcPr>
          <w:p w14:paraId="0A12BAA1" w14:textId="7E9F05A0" w:rsidR="00725A99" w:rsidRPr="0025250D" w:rsidRDefault="00725A99" w:rsidP="00C51390">
            <w:pPr>
              <w:bidi/>
              <w:rPr>
                <w:rtl/>
              </w:rPr>
            </w:pPr>
            <w:r w:rsidRPr="0025250D">
              <w:rPr>
                <w:rFonts w:ascii="Calibri" w:hAnsi="Calibri" w:hint="cs"/>
                <w:color w:val="000000"/>
                <w:sz w:val="22"/>
                <w:rtl/>
              </w:rPr>
              <w:t>بدیل</w:t>
            </w:r>
          </w:p>
        </w:tc>
        <w:tc>
          <w:tcPr>
            <w:tcW w:w="4530" w:type="dxa"/>
            <w:tcBorders>
              <w:top w:val="nil"/>
              <w:left w:val="nil"/>
              <w:bottom w:val="nil"/>
              <w:right w:val="nil"/>
            </w:tcBorders>
            <w:shd w:val="clear" w:color="auto" w:fill="auto"/>
            <w:vAlign w:val="bottom"/>
          </w:tcPr>
          <w:p w14:paraId="0B8E62C8" w14:textId="429AB363" w:rsidR="00725A99" w:rsidRPr="0025250D" w:rsidRDefault="00725A99" w:rsidP="00725A99">
            <w:pPr>
              <w:rPr>
                <w:rFonts w:cs="Times New Roman"/>
                <w:rtl/>
              </w:rPr>
            </w:pPr>
            <w:r w:rsidRPr="0025250D">
              <w:rPr>
                <w:rFonts w:cs="Times New Roman"/>
                <w:color w:val="000000"/>
                <w:szCs w:val="20"/>
              </w:rPr>
              <w:t>Alternative</w:t>
            </w:r>
          </w:p>
        </w:tc>
      </w:tr>
      <w:tr w:rsidR="00725A99" w:rsidRPr="0025250D" w14:paraId="234C7CFA" w14:textId="77777777" w:rsidTr="00725A99">
        <w:tc>
          <w:tcPr>
            <w:tcW w:w="4530" w:type="dxa"/>
            <w:tcBorders>
              <w:top w:val="nil"/>
              <w:left w:val="nil"/>
              <w:bottom w:val="nil"/>
              <w:right w:val="nil"/>
            </w:tcBorders>
            <w:shd w:val="clear" w:color="auto" w:fill="auto"/>
            <w:vAlign w:val="bottom"/>
          </w:tcPr>
          <w:p w14:paraId="21826275" w14:textId="35A7C93B" w:rsidR="00725A99" w:rsidRPr="0025250D" w:rsidRDefault="00725A99" w:rsidP="00C51390">
            <w:pPr>
              <w:bidi/>
              <w:rPr>
                <w:rtl/>
              </w:rPr>
            </w:pPr>
            <w:r w:rsidRPr="0025250D">
              <w:rPr>
                <w:rFonts w:ascii="Calibri" w:hAnsi="Calibri" w:hint="cs"/>
                <w:color w:val="000000"/>
                <w:sz w:val="22"/>
                <w:rtl/>
              </w:rPr>
              <w:t>آینده ورزی بدیل</w:t>
            </w:r>
          </w:p>
        </w:tc>
        <w:tc>
          <w:tcPr>
            <w:tcW w:w="4530" w:type="dxa"/>
            <w:tcBorders>
              <w:top w:val="nil"/>
              <w:left w:val="nil"/>
              <w:bottom w:val="nil"/>
              <w:right w:val="nil"/>
            </w:tcBorders>
            <w:shd w:val="clear" w:color="auto" w:fill="auto"/>
            <w:vAlign w:val="bottom"/>
          </w:tcPr>
          <w:p w14:paraId="2207E0EC" w14:textId="43E0C14B" w:rsidR="00725A99" w:rsidRPr="0025250D" w:rsidRDefault="00725A99" w:rsidP="00725A99">
            <w:pPr>
              <w:rPr>
                <w:rFonts w:cs="Times New Roman"/>
                <w:rtl/>
              </w:rPr>
            </w:pPr>
            <w:r w:rsidRPr="0025250D">
              <w:rPr>
                <w:rFonts w:cs="Times New Roman"/>
                <w:color w:val="000000"/>
                <w:szCs w:val="20"/>
              </w:rPr>
              <w:t>Alternative Futuring</w:t>
            </w:r>
          </w:p>
        </w:tc>
      </w:tr>
      <w:tr w:rsidR="00725A99" w:rsidRPr="0025250D" w14:paraId="1C6CD17E" w14:textId="77777777" w:rsidTr="00725A99">
        <w:tc>
          <w:tcPr>
            <w:tcW w:w="4530" w:type="dxa"/>
            <w:tcBorders>
              <w:top w:val="nil"/>
              <w:left w:val="nil"/>
              <w:bottom w:val="nil"/>
              <w:right w:val="nil"/>
            </w:tcBorders>
            <w:shd w:val="clear" w:color="auto" w:fill="auto"/>
            <w:vAlign w:val="bottom"/>
          </w:tcPr>
          <w:p w14:paraId="486341FC" w14:textId="00DFAAE3" w:rsidR="00725A99" w:rsidRPr="0025250D" w:rsidRDefault="00725A99" w:rsidP="00C51390">
            <w:pPr>
              <w:bidi/>
              <w:rPr>
                <w:rtl/>
              </w:rPr>
            </w:pPr>
            <w:r w:rsidRPr="0025250D">
              <w:rPr>
                <w:rFonts w:ascii="Calibri" w:hAnsi="Calibri" w:hint="cs"/>
                <w:color w:val="000000"/>
                <w:sz w:val="22"/>
                <w:rtl/>
              </w:rPr>
              <w:t>پیشایند</w:t>
            </w:r>
          </w:p>
        </w:tc>
        <w:tc>
          <w:tcPr>
            <w:tcW w:w="4530" w:type="dxa"/>
            <w:tcBorders>
              <w:top w:val="nil"/>
              <w:left w:val="nil"/>
              <w:bottom w:val="nil"/>
              <w:right w:val="nil"/>
            </w:tcBorders>
            <w:shd w:val="clear" w:color="auto" w:fill="auto"/>
            <w:vAlign w:val="bottom"/>
          </w:tcPr>
          <w:p w14:paraId="22E73F1C" w14:textId="20643C68" w:rsidR="00725A99" w:rsidRPr="0025250D" w:rsidRDefault="00725A99" w:rsidP="00725A99">
            <w:pPr>
              <w:rPr>
                <w:rFonts w:cs="Times New Roman"/>
                <w:rtl/>
              </w:rPr>
            </w:pPr>
            <w:r w:rsidRPr="0025250D">
              <w:rPr>
                <w:rFonts w:cs="Times New Roman"/>
                <w:color w:val="000000"/>
                <w:szCs w:val="20"/>
              </w:rPr>
              <w:t>Antecedent</w:t>
            </w:r>
          </w:p>
        </w:tc>
      </w:tr>
      <w:tr w:rsidR="00725A99" w:rsidRPr="0025250D" w14:paraId="0F0DCEC6" w14:textId="77777777" w:rsidTr="00725A99">
        <w:tc>
          <w:tcPr>
            <w:tcW w:w="4530" w:type="dxa"/>
            <w:tcBorders>
              <w:top w:val="nil"/>
              <w:left w:val="nil"/>
              <w:bottom w:val="nil"/>
              <w:right w:val="nil"/>
            </w:tcBorders>
            <w:shd w:val="clear" w:color="auto" w:fill="auto"/>
            <w:vAlign w:val="bottom"/>
          </w:tcPr>
          <w:p w14:paraId="15AD8AB8" w14:textId="1FAB80C3" w:rsidR="00725A99" w:rsidRPr="0025250D" w:rsidRDefault="00725A99" w:rsidP="00C51390">
            <w:pPr>
              <w:bidi/>
              <w:rPr>
                <w:rtl/>
              </w:rPr>
            </w:pPr>
            <w:r w:rsidRPr="0025250D">
              <w:rPr>
                <w:rFonts w:ascii="Calibri" w:hAnsi="Calibri"/>
                <w:color w:val="000000"/>
                <w:sz w:val="22"/>
                <w:rtl/>
              </w:rPr>
              <w:t>پیش انگاری</w:t>
            </w:r>
          </w:p>
        </w:tc>
        <w:tc>
          <w:tcPr>
            <w:tcW w:w="4530" w:type="dxa"/>
            <w:tcBorders>
              <w:top w:val="nil"/>
              <w:left w:val="nil"/>
              <w:bottom w:val="nil"/>
              <w:right w:val="nil"/>
            </w:tcBorders>
            <w:shd w:val="clear" w:color="auto" w:fill="auto"/>
            <w:vAlign w:val="bottom"/>
          </w:tcPr>
          <w:p w14:paraId="3DAF744F" w14:textId="406E134F" w:rsidR="00725A99" w:rsidRPr="0025250D" w:rsidRDefault="00725A99" w:rsidP="00725A99">
            <w:pPr>
              <w:rPr>
                <w:rFonts w:cs="Times New Roman"/>
                <w:rtl/>
              </w:rPr>
            </w:pPr>
            <w:r w:rsidRPr="0025250D">
              <w:rPr>
                <w:rFonts w:cs="Times New Roman"/>
                <w:color w:val="000000"/>
                <w:szCs w:val="20"/>
              </w:rPr>
              <w:t>Anticipate</w:t>
            </w:r>
          </w:p>
        </w:tc>
      </w:tr>
      <w:tr w:rsidR="00725A99" w:rsidRPr="0025250D" w14:paraId="174812AF" w14:textId="77777777" w:rsidTr="00725A99">
        <w:tc>
          <w:tcPr>
            <w:tcW w:w="4530" w:type="dxa"/>
            <w:tcBorders>
              <w:top w:val="nil"/>
              <w:left w:val="nil"/>
              <w:bottom w:val="nil"/>
              <w:right w:val="nil"/>
            </w:tcBorders>
            <w:shd w:val="clear" w:color="auto" w:fill="auto"/>
            <w:vAlign w:val="bottom"/>
          </w:tcPr>
          <w:p w14:paraId="1FC22DC4" w14:textId="11777875" w:rsidR="00725A99" w:rsidRPr="0025250D" w:rsidRDefault="00725A99" w:rsidP="00C51390">
            <w:pPr>
              <w:bidi/>
              <w:rPr>
                <w:rtl/>
              </w:rPr>
            </w:pPr>
            <w:r w:rsidRPr="0025250D">
              <w:rPr>
                <w:rFonts w:ascii="Calibri" w:hAnsi="Calibri" w:hint="cs"/>
                <w:color w:val="000000"/>
                <w:sz w:val="22"/>
                <w:rtl/>
              </w:rPr>
              <w:t>سوگیری ضد پیش‌بینی</w:t>
            </w:r>
          </w:p>
        </w:tc>
        <w:tc>
          <w:tcPr>
            <w:tcW w:w="4530" w:type="dxa"/>
            <w:tcBorders>
              <w:top w:val="nil"/>
              <w:left w:val="nil"/>
              <w:bottom w:val="nil"/>
              <w:right w:val="nil"/>
            </w:tcBorders>
            <w:shd w:val="clear" w:color="auto" w:fill="auto"/>
            <w:vAlign w:val="bottom"/>
          </w:tcPr>
          <w:p w14:paraId="776275A4" w14:textId="59E79A02" w:rsidR="00725A99" w:rsidRPr="0025250D" w:rsidRDefault="00725A99" w:rsidP="00725A99">
            <w:pPr>
              <w:rPr>
                <w:rFonts w:cs="Times New Roman"/>
                <w:rtl/>
              </w:rPr>
            </w:pPr>
            <w:r w:rsidRPr="0025250D">
              <w:rPr>
                <w:rFonts w:cs="Times New Roman"/>
                <w:color w:val="000000"/>
                <w:szCs w:val="20"/>
              </w:rPr>
              <w:t>Antiprediction bias</w:t>
            </w:r>
          </w:p>
        </w:tc>
      </w:tr>
      <w:tr w:rsidR="00725A99" w:rsidRPr="0025250D" w14:paraId="2D9787B9" w14:textId="77777777" w:rsidTr="00725A99">
        <w:tc>
          <w:tcPr>
            <w:tcW w:w="4530" w:type="dxa"/>
            <w:tcBorders>
              <w:top w:val="nil"/>
              <w:left w:val="nil"/>
              <w:bottom w:val="nil"/>
              <w:right w:val="nil"/>
            </w:tcBorders>
            <w:shd w:val="clear" w:color="auto" w:fill="auto"/>
            <w:vAlign w:val="bottom"/>
          </w:tcPr>
          <w:p w14:paraId="43019206" w14:textId="2F54E7A6" w:rsidR="00725A99" w:rsidRPr="0025250D" w:rsidRDefault="00725A99" w:rsidP="00C51390">
            <w:pPr>
              <w:bidi/>
              <w:rPr>
                <w:rtl/>
              </w:rPr>
            </w:pPr>
            <w:r w:rsidRPr="0025250D">
              <w:rPr>
                <w:rFonts w:ascii="Calibri" w:hAnsi="Calibri" w:hint="cs"/>
                <w:color w:val="000000"/>
                <w:sz w:val="22"/>
                <w:rtl/>
              </w:rPr>
              <w:t>استدلال‌نگاشت</w:t>
            </w:r>
          </w:p>
        </w:tc>
        <w:tc>
          <w:tcPr>
            <w:tcW w:w="4530" w:type="dxa"/>
            <w:tcBorders>
              <w:top w:val="nil"/>
              <w:left w:val="nil"/>
              <w:bottom w:val="nil"/>
              <w:right w:val="nil"/>
            </w:tcBorders>
            <w:shd w:val="clear" w:color="auto" w:fill="auto"/>
            <w:vAlign w:val="bottom"/>
          </w:tcPr>
          <w:p w14:paraId="2E4BD0D7" w14:textId="250C368A" w:rsidR="00725A99" w:rsidRPr="0025250D" w:rsidRDefault="00725A99" w:rsidP="00725A99">
            <w:pPr>
              <w:rPr>
                <w:rFonts w:cs="Times New Roman"/>
                <w:rtl/>
              </w:rPr>
            </w:pPr>
            <w:r w:rsidRPr="0025250D">
              <w:rPr>
                <w:rFonts w:cs="Times New Roman"/>
                <w:color w:val="000000"/>
                <w:szCs w:val="20"/>
              </w:rPr>
              <w:t>Argument Mapping</w:t>
            </w:r>
          </w:p>
        </w:tc>
      </w:tr>
      <w:tr w:rsidR="00725A99" w:rsidRPr="0025250D" w14:paraId="00C8CE5D" w14:textId="77777777" w:rsidTr="00725A99">
        <w:tc>
          <w:tcPr>
            <w:tcW w:w="4530" w:type="dxa"/>
            <w:tcBorders>
              <w:top w:val="nil"/>
              <w:left w:val="nil"/>
              <w:bottom w:val="nil"/>
              <w:right w:val="nil"/>
            </w:tcBorders>
            <w:shd w:val="clear" w:color="auto" w:fill="auto"/>
            <w:vAlign w:val="bottom"/>
          </w:tcPr>
          <w:p w14:paraId="293E7FDA" w14:textId="6747A3E8" w:rsidR="00725A99" w:rsidRPr="0025250D" w:rsidRDefault="00725A99" w:rsidP="00C51390">
            <w:pPr>
              <w:bidi/>
              <w:rPr>
                <w:rtl/>
              </w:rPr>
            </w:pPr>
            <w:r w:rsidRPr="0025250D">
              <w:rPr>
                <w:rFonts w:ascii="Calibri" w:hAnsi="Calibri" w:hint="cs"/>
                <w:color w:val="000000"/>
                <w:sz w:val="22"/>
                <w:rtl/>
              </w:rPr>
              <w:t>تفکر آرمانی</w:t>
            </w:r>
          </w:p>
        </w:tc>
        <w:tc>
          <w:tcPr>
            <w:tcW w:w="4530" w:type="dxa"/>
            <w:tcBorders>
              <w:top w:val="nil"/>
              <w:left w:val="nil"/>
              <w:bottom w:val="nil"/>
              <w:right w:val="nil"/>
            </w:tcBorders>
            <w:shd w:val="clear" w:color="auto" w:fill="auto"/>
            <w:vAlign w:val="bottom"/>
          </w:tcPr>
          <w:p w14:paraId="5DBB9826" w14:textId="6095109E" w:rsidR="00725A99" w:rsidRPr="0025250D" w:rsidRDefault="00725A99" w:rsidP="00725A99">
            <w:pPr>
              <w:rPr>
                <w:rFonts w:cs="Times New Roman"/>
                <w:rtl/>
              </w:rPr>
            </w:pPr>
            <w:r w:rsidRPr="0025250D">
              <w:rPr>
                <w:rFonts w:cs="Times New Roman"/>
                <w:color w:val="000000"/>
                <w:szCs w:val="20"/>
              </w:rPr>
              <w:t>Aspirational thinking</w:t>
            </w:r>
          </w:p>
        </w:tc>
      </w:tr>
      <w:tr w:rsidR="00725A99" w:rsidRPr="0025250D" w14:paraId="0791CE53" w14:textId="77777777" w:rsidTr="00725A99">
        <w:tc>
          <w:tcPr>
            <w:tcW w:w="4530" w:type="dxa"/>
            <w:tcBorders>
              <w:top w:val="nil"/>
              <w:left w:val="nil"/>
              <w:bottom w:val="nil"/>
              <w:right w:val="nil"/>
            </w:tcBorders>
            <w:shd w:val="clear" w:color="auto" w:fill="auto"/>
            <w:vAlign w:val="bottom"/>
          </w:tcPr>
          <w:p w14:paraId="32A1701F" w14:textId="4267E03F" w:rsidR="00725A99" w:rsidRPr="0025250D" w:rsidRDefault="00725A99" w:rsidP="00C51390">
            <w:pPr>
              <w:bidi/>
              <w:rPr>
                <w:rtl/>
              </w:rPr>
            </w:pPr>
            <w:r w:rsidRPr="0025250D">
              <w:rPr>
                <w:rFonts w:ascii="Calibri" w:hAnsi="Calibri"/>
                <w:color w:val="000000"/>
                <w:sz w:val="22"/>
                <w:rtl/>
              </w:rPr>
              <w:t>خودنوگر</w:t>
            </w:r>
          </w:p>
        </w:tc>
        <w:tc>
          <w:tcPr>
            <w:tcW w:w="4530" w:type="dxa"/>
            <w:tcBorders>
              <w:top w:val="nil"/>
              <w:left w:val="nil"/>
              <w:bottom w:val="nil"/>
              <w:right w:val="nil"/>
            </w:tcBorders>
            <w:shd w:val="clear" w:color="auto" w:fill="auto"/>
            <w:vAlign w:val="bottom"/>
          </w:tcPr>
          <w:p w14:paraId="765720CA" w14:textId="51AB57FC" w:rsidR="00725A99" w:rsidRPr="0025250D" w:rsidRDefault="00725A99" w:rsidP="00725A99">
            <w:pPr>
              <w:rPr>
                <w:rFonts w:cs="Times New Roman"/>
                <w:rtl/>
              </w:rPr>
            </w:pPr>
            <w:r w:rsidRPr="0025250D">
              <w:rPr>
                <w:rFonts w:cs="Times New Roman"/>
                <w:color w:val="000000"/>
                <w:szCs w:val="20"/>
              </w:rPr>
              <w:t>Autopoetic</w:t>
            </w:r>
          </w:p>
        </w:tc>
      </w:tr>
      <w:tr w:rsidR="00C51390" w:rsidRPr="0025250D" w14:paraId="1CD90B08" w14:textId="77777777" w:rsidTr="00725A99">
        <w:tc>
          <w:tcPr>
            <w:tcW w:w="4530" w:type="dxa"/>
            <w:tcBorders>
              <w:top w:val="nil"/>
              <w:left w:val="nil"/>
              <w:bottom w:val="nil"/>
              <w:right w:val="nil"/>
            </w:tcBorders>
            <w:shd w:val="clear" w:color="auto" w:fill="auto"/>
            <w:vAlign w:val="bottom"/>
          </w:tcPr>
          <w:p w14:paraId="417CB7A7" w14:textId="77777777" w:rsidR="00C51390" w:rsidRPr="0025250D" w:rsidRDefault="00C51390" w:rsidP="00C51390">
            <w:pPr>
              <w:rPr>
                <w:rFonts w:ascii="Calibri" w:hAnsi="Calibri"/>
                <w:color w:val="000000"/>
                <w:sz w:val="22"/>
                <w:rtl/>
              </w:rPr>
            </w:pPr>
          </w:p>
        </w:tc>
        <w:tc>
          <w:tcPr>
            <w:tcW w:w="4530" w:type="dxa"/>
            <w:tcBorders>
              <w:top w:val="nil"/>
              <w:left w:val="nil"/>
              <w:bottom w:val="nil"/>
              <w:right w:val="nil"/>
            </w:tcBorders>
            <w:shd w:val="clear" w:color="auto" w:fill="auto"/>
            <w:vAlign w:val="bottom"/>
          </w:tcPr>
          <w:p w14:paraId="689E52BD" w14:textId="77777777" w:rsidR="00C51390" w:rsidRPr="0025250D" w:rsidRDefault="00C51390" w:rsidP="00725A99">
            <w:pPr>
              <w:rPr>
                <w:rFonts w:cs="Times New Roman"/>
                <w:color w:val="000000"/>
                <w:szCs w:val="20"/>
              </w:rPr>
            </w:pPr>
          </w:p>
        </w:tc>
      </w:tr>
      <w:tr w:rsidR="00C51390" w:rsidRPr="0025250D" w14:paraId="061587FD" w14:textId="77777777" w:rsidTr="000A2501">
        <w:tc>
          <w:tcPr>
            <w:tcW w:w="9060" w:type="dxa"/>
            <w:gridSpan w:val="2"/>
            <w:tcBorders>
              <w:top w:val="nil"/>
              <w:left w:val="nil"/>
              <w:bottom w:val="nil"/>
              <w:right w:val="nil"/>
            </w:tcBorders>
            <w:shd w:val="clear" w:color="auto" w:fill="auto"/>
            <w:vAlign w:val="bottom"/>
          </w:tcPr>
          <w:p w14:paraId="38FE126C" w14:textId="4994DBBD" w:rsidR="00C51390" w:rsidRPr="0025250D" w:rsidRDefault="00C51390" w:rsidP="00C51390">
            <w:pPr>
              <w:jc w:val="center"/>
              <w:rPr>
                <w:rFonts w:cs="Times New Roman"/>
                <w:b/>
                <w:bCs/>
                <w:color w:val="000000"/>
                <w:szCs w:val="20"/>
              </w:rPr>
            </w:pPr>
            <w:r w:rsidRPr="0025250D">
              <w:rPr>
                <w:rFonts w:cs="Times New Roman"/>
                <w:b/>
                <w:bCs/>
                <w:color w:val="000000"/>
                <w:sz w:val="28"/>
                <w:szCs w:val="28"/>
              </w:rPr>
              <w:t>B</w:t>
            </w:r>
          </w:p>
        </w:tc>
      </w:tr>
      <w:tr w:rsidR="00725A99" w:rsidRPr="0025250D" w14:paraId="1F603F8F" w14:textId="77777777" w:rsidTr="00725A99">
        <w:tc>
          <w:tcPr>
            <w:tcW w:w="4530" w:type="dxa"/>
            <w:tcBorders>
              <w:top w:val="nil"/>
              <w:left w:val="nil"/>
              <w:bottom w:val="nil"/>
              <w:right w:val="nil"/>
            </w:tcBorders>
            <w:shd w:val="clear" w:color="auto" w:fill="auto"/>
            <w:vAlign w:val="bottom"/>
          </w:tcPr>
          <w:p w14:paraId="7FA4F56E" w14:textId="2612B4B1" w:rsidR="00725A99" w:rsidRPr="0025250D" w:rsidRDefault="00725A99" w:rsidP="00C51390">
            <w:pPr>
              <w:bidi/>
              <w:rPr>
                <w:rtl/>
              </w:rPr>
            </w:pPr>
            <w:r w:rsidRPr="0025250D">
              <w:rPr>
                <w:rFonts w:ascii="Calibri" w:hAnsi="Calibri" w:hint="cs"/>
                <w:color w:val="000000"/>
                <w:sz w:val="22"/>
                <w:rtl/>
              </w:rPr>
              <w:t>پس‌نگری</w:t>
            </w:r>
          </w:p>
        </w:tc>
        <w:tc>
          <w:tcPr>
            <w:tcW w:w="4530" w:type="dxa"/>
            <w:tcBorders>
              <w:top w:val="nil"/>
              <w:left w:val="nil"/>
              <w:bottom w:val="nil"/>
              <w:right w:val="nil"/>
            </w:tcBorders>
            <w:shd w:val="clear" w:color="auto" w:fill="auto"/>
            <w:vAlign w:val="bottom"/>
          </w:tcPr>
          <w:p w14:paraId="76686E66" w14:textId="355B4F8A" w:rsidR="00725A99" w:rsidRPr="0025250D" w:rsidRDefault="00725A99" w:rsidP="00725A99">
            <w:pPr>
              <w:rPr>
                <w:rFonts w:cs="Times New Roman"/>
                <w:rtl/>
              </w:rPr>
            </w:pPr>
            <w:r w:rsidRPr="0025250D">
              <w:rPr>
                <w:rFonts w:cs="Times New Roman"/>
                <w:color w:val="000000"/>
                <w:szCs w:val="20"/>
              </w:rPr>
              <w:t>Backcast</w:t>
            </w:r>
          </w:p>
        </w:tc>
      </w:tr>
      <w:tr w:rsidR="00725A99" w:rsidRPr="0025250D" w14:paraId="5B57B297" w14:textId="77777777" w:rsidTr="00725A99">
        <w:tc>
          <w:tcPr>
            <w:tcW w:w="4530" w:type="dxa"/>
            <w:tcBorders>
              <w:top w:val="nil"/>
              <w:left w:val="nil"/>
              <w:bottom w:val="nil"/>
              <w:right w:val="nil"/>
            </w:tcBorders>
            <w:shd w:val="clear" w:color="auto" w:fill="auto"/>
            <w:vAlign w:val="bottom"/>
          </w:tcPr>
          <w:p w14:paraId="4A731835" w14:textId="36AAC20B" w:rsidR="00725A99" w:rsidRPr="0025250D" w:rsidRDefault="00725A99" w:rsidP="00C51390">
            <w:pPr>
              <w:bidi/>
              <w:rPr>
                <w:rtl/>
              </w:rPr>
            </w:pPr>
            <w:r w:rsidRPr="0025250D">
              <w:rPr>
                <w:rFonts w:ascii="Calibri" w:hAnsi="Calibri" w:hint="cs"/>
                <w:color w:val="000000"/>
                <w:sz w:val="22"/>
                <w:rtl/>
              </w:rPr>
              <w:t>نگاه روبه عقب</w:t>
            </w:r>
          </w:p>
        </w:tc>
        <w:tc>
          <w:tcPr>
            <w:tcW w:w="4530" w:type="dxa"/>
            <w:tcBorders>
              <w:top w:val="nil"/>
              <w:left w:val="nil"/>
              <w:bottom w:val="nil"/>
              <w:right w:val="nil"/>
            </w:tcBorders>
            <w:shd w:val="clear" w:color="auto" w:fill="auto"/>
            <w:vAlign w:val="bottom"/>
          </w:tcPr>
          <w:p w14:paraId="3C747921" w14:textId="0B0737AE" w:rsidR="00725A99" w:rsidRPr="0025250D" w:rsidRDefault="00725A99" w:rsidP="00725A99">
            <w:pPr>
              <w:rPr>
                <w:rFonts w:cs="Times New Roman"/>
                <w:rtl/>
              </w:rPr>
            </w:pPr>
            <w:r w:rsidRPr="0025250D">
              <w:rPr>
                <w:rFonts w:cs="Times New Roman"/>
                <w:color w:val="000000"/>
                <w:szCs w:val="20"/>
              </w:rPr>
              <w:t>Backward-looking</w:t>
            </w:r>
          </w:p>
        </w:tc>
      </w:tr>
      <w:tr w:rsidR="00725A99" w:rsidRPr="0025250D" w14:paraId="19A21938" w14:textId="77777777" w:rsidTr="00725A99">
        <w:tc>
          <w:tcPr>
            <w:tcW w:w="4530" w:type="dxa"/>
            <w:tcBorders>
              <w:top w:val="nil"/>
              <w:left w:val="nil"/>
              <w:bottom w:val="nil"/>
              <w:right w:val="nil"/>
            </w:tcBorders>
            <w:shd w:val="clear" w:color="auto" w:fill="auto"/>
            <w:vAlign w:val="bottom"/>
          </w:tcPr>
          <w:p w14:paraId="4E6B2F42" w14:textId="4FE2EE5F" w:rsidR="00725A99" w:rsidRPr="0025250D" w:rsidRDefault="00725A99" w:rsidP="00C51390">
            <w:pPr>
              <w:bidi/>
              <w:rPr>
                <w:rtl/>
              </w:rPr>
            </w:pPr>
            <w:r w:rsidRPr="0025250D">
              <w:rPr>
                <w:rFonts w:ascii="Calibri" w:hAnsi="Calibri" w:hint="cs"/>
                <w:color w:val="000000"/>
                <w:sz w:val="22"/>
                <w:rtl/>
              </w:rPr>
              <w:t>آینده ورزی خط پایه</w:t>
            </w:r>
          </w:p>
        </w:tc>
        <w:tc>
          <w:tcPr>
            <w:tcW w:w="4530" w:type="dxa"/>
            <w:tcBorders>
              <w:top w:val="nil"/>
              <w:left w:val="nil"/>
              <w:bottom w:val="nil"/>
              <w:right w:val="nil"/>
            </w:tcBorders>
            <w:shd w:val="clear" w:color="auto" w:fill="auto"/>
            <w:vAlign w:val="bottom"/>
          </w:tcPr>
          <w:p w14:paraId="0100E01B" w14:textId="2EEFB9D2" w:rsidR="00725A99" w:rsidRPr="0025250D" w:rsidRDefault="00725A99" w:rsidP="00725A99">
            <w:pPr>
              <w:rPr>
                <w:rFonts w:cs="Times New Roman"/>
                <w:rtl/>
              </w:rPr>
            </w:pPr>
            <w:r w:rsidRPr="0025250D">
              <w:rPr>
                <w:rFonts w:cs="Times New Roman"/>
                <w:color w:val="000000"/>
                <w:szCs w:val="20"/>
              </w:rPr>
              <w:t>Baseline Futuring</w:t>
            </w:r>
          </w:p>
        </w:tc>
      </w:tr>
      <w:tr w:rsidR="00725A99" w:rsidRPr="0025250D" w14:paraId="2A87BBCA" w14:textId="77777777" w:rsidTr="00725A99">
        <w:tc>
          <w:tcPr>
            <w:tcW w:w="4530" w:type="dxa"/>
            <w:tcBorders>
              <w:top w:val="nil"/>
              <w:left w:val="nil"/>
              <w:bottom w:val="nil"/>
              <w:right w:val="nil"/>
            </w:tcBorders>
            <w:shd w:val="clear" w:color="auto" w:fill="auto"/>
            <w:vAlign w:val="bottom"/>
          </w:tcPr>
          <w:p w14:paraId="7AAE2FAA" w14:textId="4FDF8C33" w:rsidR="00725A99" w:rsidRPr="0025250D" w:rsidRDefault="00725A99" w:rsidP="00C51390">
            <w:pPr>
              <w:bidi/>
              <w:rPr>
                <w:rtl/>
              </w:rPr>
            </w:pPr>
            <w:r w:rsidRPr="0025250D">
              <w:rPr>
                <w:rFonts w:ascii="Calibri" w:hAnsi="Calibri"/>
                <w:color w:val="000000"/>
                <w:sz w:val="22"/>
                <w:rtl/>
              </w:rPr>
              <w:t>آینده نگاری تصویر کلان</w:t>
            </w:r>
          </w:p>
        </w:tc>
        <w:tc>
          <w:tcPr>
            <w:tcW w:w="4530" w:type="dxa"/>
            <w:tcBorders>
              <w:top w:val="nil"/>
              <w:left w:val="nil"/>
              <w:bottom w:val="nil"/>
              <w:right w:val="nil"/>
            </w:tcBorders>
            <w:shd w:val="clear" w:color="auto" w:fill="auto"/>
            <w:vAlign w:val="bottom"/>
          </w:tcPr>
          <w:p w14:paraId="07678C8D" w14:textId="3DB87C30" w:rsidR="00725A99" w:rsidRPr="0025250D" w:rsidRDefault="00725A99" w:rsidP="00725A99">
            <w:pPr>
              <w:rPr>
                <w:rFonts w:cs="Times New Roman"/>
                <w:rtl/>
              </w:rPr>
            </w:pPr>
            <w:r w:rsidRPr="0025250D">
              <w:rPr>
                <w:rFonts w:cs="Times New Roman"/>
                <w:color w:val="000000"/>
                <w:szCs w:val="20"/>
              </w:rPr>
              <w:t>Big Picture Foresight</w:t>
            </w:r>
          </w:p>
        </w:tc>
      </w:tr>
      <w:tr w:rsidR="00C51390" w:rsidRPr="0025250D" w14:paraId="6FB1C5DE" w14:textId="77777777" w:rsidTr="00725A99">
        <w:tc>
          <w:tcPr>
            <w:tcW w:w="4530" w:type="dxa"/>
            <w:tcBorders>
              <w:top w:val="nil"/>
              <w:left w:val="nil"/>
              <w:bottom w:val="nil"/>
              <w:right w:val="nil"/>
            </w:tcBorders>
            <w:shd w:val="clear" w:color="auto" w:fill="auto"/>
            <w:vAlign w:val="bottom"/>
          </w:tcPr>
          <w:p w14:paraId="1A2BE3A9" w14:textId="77777777" w:rsidR="00C51390" w:rsidRPr="0025250D" w:rsidRDefault="00C51390" w:rsidP="00C51390">
            <w:pPr>
              <w:rPr>
                <w:rFonts w:ascii="Calibri" w:hAnsi="Calibri"/>
                <w:color w:val="000000"/>
                <w:sz w:val="22"/>
                <w:rtl/>
              </w:rPr>
            </w:pPr>
          </w:p>
        </w:tc>
        <w:tc>
          <w:tcPr>
            <w:tcW w:w="4530" w:type="dxa"/>
            <w:tcBorders>
              <w:top w:val="nil"/>
              <w:left w:val="nil"/>
              <w:bottom w:val="nil"/>
              <w:right w:val="nil"/>
            </w:tcBorders>
            <w:shd w:val="clear" w:color="auto" w:fill="auto"/>
            <w:vAlign w:val="bottom"/>
          </w:tcPr>
          <w:p w14:paraId="20C9904E" w14:textId="77777777" w:rsidR="00C51390" w:rsidRPr="0025250D" w:rsidRDefault="00C51390" w:rsidP="00725A99">
            <w:pPr>
              <w:rPr>
                <w:rFonts w:cs="Times New Roman"/>
                <w:color w:val="000000"/>
                <w:szCs w:val="20"/>
              </w:rPr>
            </w:pPr>
          </w:p>
        </w:tc>
      </w:tr>
      <w:tr w:rsidR="00C51390" w:rsidRPr="0025250D" w14:paraId="77DD7938" w14:textId="77777777" w:rsidTr="005F1BD7">
        <w:tc>
          <w:tcPr>
            <w:tcW w:w="9060" w:type="dxa"/>
            <w:gridSpan w:val="2"/>
            <w:tcBorders>
              <w:top w:val="nil"/>
              <w:left w:val="nil"/>
              <w:bottom w:val="nil"/>
              <w:right w:val="nil"/>
            </w:tcBorders>
            <w:shd w:val="clear" w:color="auto" w:fill="auto"/>
            <w:vAlign w:val="bottom"/>
          </w:tcPr>
          <w:p w14:paraId="5D71F554" w14:textId="50B47BA1" w:rsidR="00C51390" w:rsidRPr="0025250D" w:rsidRDefault="00C51390" w:rsidP="00C51390">
            <w:pPr>
              <w:jc w:val="center"/>
              <w:rPr>
                <w:rFonts w:cs="Times New Roman"/>
                <w:b/>
                <w:bCs/>
                <w:color w:val="000000"/>
                <w:szCs w:val="20"/>
              </w:rPr>
            </w:pPr>
            <w:r w:rsidRPr="0025250D">
              <w:rPr>
                <w:rFonts w:cs="Times New Roman"/>
                <w:b/>
                <w:bCs/>
                <w:color w:val="000000"/>
                <w:sz w:val="28"/>
                <w:szCs w:val="28"/>
              </w:rPr>
              <w:t>C</w:t>
            </w:r>
          </w:p>
        </w:tc>
      </w:tr>
      <w:tr w:rsidR="00725A99" w:rsidRPr="0025250D" w14:paraId="1C86E51C" w14:textId="77777777" w:rsidTr="00725A99">
        <w:tc>
          <w:tcPr>
            <w:tcW w:w="4530" w:type="dxa"/>
            <w:tcBorders>
              <w:top w:val="nil"/>
              <w:left w:val="nil"/>
              <w:bottom w:val="nil"/>
              <w:right w:val="nil"/>
            </w:tcBorders>
            <w:shd w:val="clear" w:color="auto" w:fill="auto"/>
            <w:vAlign w:val="bottom"/>
          </w:tcPr>
          <w:p w14:paraId="343C018F" w14:textId="4E126AA0" w:rsidR="00725A99" w:rsidRPr="0025250D" w:rsidRDefault="00725A99" w:rsidP="00C51390">
            <w:pPr>
              <w:bidi/>
              <w:rPr>
                <w:rtl/>
              </w:rPr>
            </w:pPr>
            <w:r w:rsidRPr="0025250D">
              <w:rPr>
                <w:rFonts w:ascii="Calibri" w:hAnsi="Calibri" w:hint="cs"/>
                <w:color w:val="000000"/>
                <w:sz w:val="22"/>
                <w:rtl/>
              </w:rPr>
              <w:t>آشوبناک</w:t>
            </w:r>
          </w:p>
        </w:tc>
        <w:tc>
          <w:tcPr>
            <w:tcW w:w="4530" w:type="dxa"/>
            <w:tcBorders>
              <w:top w:val="nil"/>
              <w:left w:val="nil"/>
              <w:bottom w:val="nil"/>
              <w:right w:val="nil"/>
            </w:tcBorders>
            <w:shd w:val="clear" w:color="auto" w:fill="auto"/>
            <w:vAlign w:val="bottom"/>
          </w:tcPr>
          <w:p w14:paraId="7D14A83B" w14:textId="6981218A" w:rsidR="00725A99" w:rsidRPr="0025250D" w:rsidRDefault="00725A99" w:rsidP="00725A99">
            <w:pPr>
              <w:rPr>
                <w:rFonts w:cs="Times New Roman"/>
                <w:rtl/>
              </w:rPr>
            </w:pPr>
            <w:r w:rsidRPr="0025250D">
              <w:rPr>
                <w:rFonts w:cs="Times New Roman"/>
                <w:color w:val="000000"/>
                <w:szCs w:val="20"/>
              </w:rPr>
              <w:t>Chaotic</w:t>
            </w:r>
          </w:p>
        </w:tc>
      </w:tr>
      <w:tr w:rsidR="00725A99" w:rsidRPr="0025250D" w14:paraId="2BA2D0BD" w14:textId="77777777" w:rsidTr="00725A99">
        <w:tc>
          <w:tcPr>
            <w:tcW w:w="4530" w:type="dxa"/>
            <w:tcBorders>
              <w:top w:val="nil"/>
              <w:left w:val="nil"/>
              <w:bottom w:val="nil"/>
              <w:right w:val="nil"/>
            </w:tcBorders>
            <w:shd w:val="clear" w:color="auto" w:fill="auto"/>
            <w:vAlign w:val="bottom"/>
          </w:tcPr>
          <w:p w14:paraId="7E101871" w14:textId="33915DC2" w:rsidR="00725A99" w:rsidRPr="0025250D" w:rsidRDefault="00725A99" w:rsidP="00C51390">
            <w:pPr>
              <w:bidi/>
              <w:rPr>
                <w:rtl/>
              </w:rPr>
            </w:pPr>
            <w:r w:rsidRPr="0025250D">
              <w:rPr>
                <w:rFonts w:ascii="Calibri" w:hAnsi="Calibri" w:hint="cs"/>
                <w:color w:val="000000"/>
                <w:sz w:val="22"/>
                <w:rtl/>
              </w:rPr>
              <w:t>یادگیری هم‌گروهی</w:t>
            </w:r>
          </w:p>
        </w:tc>
        <w:tc>
          <w:tcPr>
            <w:tcW w:w="4530" w:type="dxa"/>
            <w:tcBorders>
              <w:top w:val="nil"/>
              <w:left w:val="nil"/>
              <w:bottom w:val="nil"/>
              <w:right w:val="nil"/>
            </w:tcBorders>
            <w:shd w:val="clear" w:color="auto" w:fill="auto"/>
            <w:vAlign w:val="bottom"/>
          </w:tcPr>
          <w:p w14:paraId="4A86ACDF" w14:textId="19F09EC0" w:rsidR="00725A99" w:rsidRPr="0025250D" w:rsidRDefault="00725A99" w:rsidP="00725A99">
            <w:pPr>
              <w:rPr>
                <w:rFonts w:cs="Times New Roman"/>
                <w:rtl/>
              </w:rPr>
            </w:pPr>
            <w:r w:rsidRPr="0025250D">
              <w:rPr>
                <w:rFonts w:cs="Times New Roman"/>
                <w:color w:val="000000"/>
                <w:szCs w:val="20"/>
              </w:rPr>
              <w:t>cohort learning</w:t>
            </w:r>
          </w:p>
        </w:tc>
      </w:tr>
      <w:tr w:rsidR="00725A99" w:rsidRPr="0025250D" w14:paraId="3DE5BAD8" w14:textId="77777777" w:rsidTr="00725A99">
        <w:tc>
          <w:tcPr>
            <w:tcW w:w="4530" w:type="dxa"/>
            <w:tcBorders>
              <w:top w:val="nil"/>
              <w:left w:val="nil"/>
              <w:bottom w:val="nil"/>
              <w:right w:val="nil"/>
            </w:tcBorders>
            <w:shd w:val="clear" w:color="auto" w:fill="auto"/>
            <w:vAlign w:val="bottom"/>
          </w:tcPr>
          <w:p w14:paraId="202EA174" w14:textId="6AC6A8F3" w:rsidR="00725A99" w:rsidRPr="0025250D" w:rsidRDefault="00725A99" w:rsidP="00C51390">
            <w:pPr>
              <w:bidi/>
              <w:rPr>
                <w:rtl/>
              </w:rPr>
            </w:pPr>
            <w:r w:rsidRPr="0025250D">
              <w:rPr>
                <w:rFonts w:ascii="Calibri" w:hAnsi="Calibri" w:hint="cs"/>
                <w:color w:val="000000"/>
                <w:sz w:val="22"/>
                <w:rtl/>
              </w:rPr>
              <w:t>سامانۀ پیچیدۀ انطباقی</w:t>
            </w:r>
          </w:p>
        </w:tc>
        <w:tc>
          <w:tcPr>
            <w:tcW w:w="4530" w:type="dxa"/>
            <w:tcBorders>
              <w:top w:val="nil"/>
              <w:left w:val="nil"/>
              <w:bottom w:val="nil"/>
              <w:right w:val="nil"/>
            </w:tcBorders>
            <w:shd w:val="clear" w:color="auto" w:fill="auto"/>
            <w:vAlign w:val="bottom"/>
          </w:tcPr>
          <w:p w14:paraId="37F49ADC" w14:textId="3F06E9A4" w:rsidR="00725A99" w:rsidRPr="0025250D" w:rsidRDefault="00725A99" w:rsidP="00725A99">
            <w:pPr>
              <w:rPr>
                <w:rFonts w:cs="Times New Roman"/>
                <w:rtl/>
              </w:rPr>
            </w:pPr>
            <w:r w:rsidRPr="0025250D">
              <w:rPr>
                <w:rFonts w:cs="Times New Roman"/>
                <w:color w:val="000000"/>
                <w:szCs w:val="20"/>
              </w:rPr>
              <w:t>Complex adaptive system</w:t>
            </w:r>
          </w:p>
        </w:tc>
      </w:tr>
      <w:tr w:rsidR="00725A99" w:rsidRPr="0025250D" w14:paraId="01DA1E49" w14:textId="77777777" w:rsidTr="00725A99">
        <w:tc>
          <w:tcPr>
            <w:tcW w:w="4530" w:type="dxa"/>
            <w:tcBorders>
              <w:top w:val="nil"/>
              <w:left w:val="nil"/>
              <w:bottom w:val="nil"/>
              <w:right w:val="nil"/>
            </w:tcBorders>
            <w:shd w:val="clear" w:color="auto" w:fill="auto"/>
            <w:vAlign w:val="bottom"/>
          </w:tcPr>
          <w:p w14:paraId="313DD0E7" w14:textId="624C6B6F" w:rsidR="00725A99" w:rsidRPr="0025250D" w:rsidRDefault="00725A99" w:rsidP="00C51390">
            <w:pPr>
              <w:bidi/>
              <w:rPr>
                <w:rtl/>
              </w:rPr>
            </w:pPr>
            <w:r w:rsidRPr="0025250D">
              <w:rPr>
                <w:rFonts w:ascii="Calibri" w:hAnsi="Calibri" w:hint="cs"/>
                <w:color w:val="000000"/>
                <w:sz w:val="22"/>
                <w:rtl/>
              </w:rPr>
              <w:t>مخروط باورپذیری</w:t>
            </w:r>
          </w:p>
        </w:tc>
        <w:tc>
          <w:tcPr>
            <w:tcW w:w="4530" w:type="dxa"/>
            <w:tcBorders>
              <w:top w:val="nil"/>
              <w:left w:val="nil"/>
              <w:bottom w:val="nil"/>
              <w:right w:val="nil"/>
            </w:tcBorders>
            <w:shd w:val="clear" w:color="auto" w:fill="auto"/>
            <w:vAlign w:val="bottom"/>
          </w:tcPr>
          <w:p w14:paraId="2B83FEFE" w14:textId="073E13C5" w:rsidR="00725A99" w:rsidRPr="0025250D" w:rsidRDefault="00725A99" w:rsidP="00725A99">
            <w:pPr>
              <w:rPr>
                <w:rFonts w:cs="Times New Roman"/>
                <w:rtl/>
              </w:rPr>
            </w:pPr>
            <w:r w:rsidRPr="0025250D">
              <w:rPr>
                <w:rFonts w:cs="Times New Roman"/>
                <w:color w:val="000000"/>
                <w:szCs w:val="20"/>
              </w:rPr>
              <w:t>Cone of plausibility</w:t>
            </w:r>
          </w:p>
        </w:tc>
      </w:tr>
      <w:tr w:rsidR="00725A99" w:rsidRPr="0025250D" w14:paraId="47FB5AE9" w14:textId="77777777" w:rsidTr="00725A99">
        <w:tc>
          <w:tcPr>
            <w:tcW w:w="4530" w:type="dxa"/>
            <w:tcBorders>
              <w:top w:val="nil"/>
              <w:left w:val="nil"/>
              <w:bottom w:val="nil"/>
              <w:right w:val="nil"/>
            </w:tcBorders>
            <w:shd w:val="clear" w:color="auto" w:fill="auto"/>
            <w:vAlign w:val="bottom"/>
          </w:tcPr>
          <w:p w14:paraId="27C878FD" w14:textId="28C27697" w:rsidR="00725A99" w:rsidRPr="0025250D" w:rsidRDefault="00725A99" w:rsidP="00C51390">
            <w:pPr>
              <w:bidi/>
              <w:rPr>
                <w:rtl/>
              </w:rPr>
            </w:pPr>
            <w:r w:rsidRPr="0025250D">
              <w:rPr>
                <w:rFonts w:ascii="Calibri" w:hAnsi="Calibri" w:hint="cs"/>
                <w:color w:val="000000"/>
                <w:sz w:val="22"/>
                <w:rtl/>
              </w:rPr>
              <w:t>گمانه‌زنی</w:t>
            </w:r>
          </w:p>
        </w:tc>
        <w:tc>
          <w:tcPr>
            <w:tcW w:w="4530" w:type="dxa"/>
            <w:tcBorders>
              <w:top w:val="nil"/>
              <w:left w:val="nil"/>
              <w:bottom w:val="nil"/>
              <w:right w:val="nil"/>
            </w:tcBorders>
            <w:shd w:val="clear" w:color="auto" w:fill="auto"/>
            <w:vAlign w:val="bottom"/>
          </w:tcPr>
          <w:p w14:paraId="50D64AAB" w14:textId="73892236" w:rsidR="00725A99" w:rsidRPr="0025250D" w:rsidRDefault="00725A99" w:rsidP="00725A99">
            <w:pPr>
              <w:rPr>
                <w:rFonts w:cs="Times New Roman"/>
                <w:rtl/>
              </w:rPr>
            </w:pPr>
            <w:r w:rsidRPr="0025250D">
              <w:rPr>
                <w:rFonts w:cs="Times New Roman"/>
                <w:color w:val="000000"/>
                <w:szCs w:val="20"/>
              </w:rPr>
              <w:t>Conjecturing</w:t>
            </w:r>
          </w:p>
        </w:tc>
      </w:tr>
      <w:tr w:rsidR="00725A99" w:rsidRPr="0025250D" w14:paraId="4383D491" w14:textId="77777777" w:rsidTr="00725A99">
        <w:tc>
          <w:tcPr>
            <w:tcW w:w="4530" w:type="dxa"/>
            <w:tcBorders>
              <w:top w:val="nil"/>
              <w:left w:val="nil"/>
              <w:bottom w:val="nil"/>
              <w:right w:val="nil"/>
            </w:tcBorders>
            <w:shd w:val="clear" w:color="auto" w:fill="auto"/>
            <w:vAlign w:val="bottom"/>
          </w:tcPr>
          <w:p w14:paraId="10DB7FDA" w14:textId="474C3C99" w:rsidR="00725A99" w:rsidRPr="0025250D" w:rsidRDefault="00725A99" w:rsidP="00C51390">
            <w:pPr>
              <w:bidi/>
              <w:rPr>
                <w:rtl/>
              </w:rPr>
            </w:pPr>
            <w:r w:rsidRPr="0025250D">
              <w:rPr>
                <w:rFonts w:ascii="Calibri" w:hAnsi="Calibri" w:hint="cs"/>
                <w:color w:val="000000"/>
                <w:sz w:val="22"/>
                <w:rtl/>
              </w:rPr>
              <w:t>مقید کننده</w:t>
            </w:r>
          </w:p>
        </w:tc>
        <w:tc>
          <w:tcPr>
            <w:tcW w:w="4530" w:type="dxa"/>
            <w:tcBorders>
              <w:top w:val="nil"/>
              <w:left w:val="nil"/>
              <w:bottom w:val="nil"/>
              <w:right w:val="nil"/>
            </w:tcBorders>
            <w:shd w:val="clear" w:color="auto" w:fill="auto"/>
            <w:vAlign w:val="bottom"/>
          </w:tcPr>
          <w:p w14:paraId="4FC4948D" w14:textId="6EF273EA" w:rsidR="00725A99" w:rsidRPr="0025250D" w:rsidRDefault="00725A99" w:rsidP="00725A99">
            <w:pPr>
              <w:rPr>
                <w:rFonts w:cs="Times New Roman"/>
                <w:rtl/>
              </w:rPr>
            </w:pPr>
            <w:r w:rsidRPr="0025250D">
              <w:rPr>
                <w:rFonts w:cs="Times New Roman"/>
                <w:color w:val="000000"/>
                <w:szCs w:val="20"/>
              </w:rPr>
              <w:t>Constraining</w:t>
            </w:r>
          </w:p>
        </w:tc>
      </w:tr>
      <w:tr w:rsidR="00725A99" w:rsidRPr="0025250D" w14:paraId="01C2611C" w14:textId="77777777" w:rsidTr="00725A99">
        <w:tc>
          <w:tcPr>
            <w:tcW w:w="4530" w:type="dxa"/>
            <w:tcBorders>
              <w:top w:val="nil"/>
              <w:left w:val="nil"/>
              <w:bottom w:val="nil"/>
              <w:right w:val="nil"/>
            </w:tcBorders>
            <w:shd w:val="clear" w:color="auto" w:fill="auto"/>
            <w:vAlign w:val="bottom"/>
          </w:tcPr>
          <w:p w14:paraId="337E955E" w14:textId="52BD86D5" w:rsidR="00725A99" w:rsidRPr="0025250D" w:rsidRDefault="00725A99" w:rsidP="00C51390">
            <w:pPr>
              <w:bidi/>
              <w:rPr>
                <w:rtl/>
              </w:rPr>
            </w:pPr>
            <w:r w:rsidRPr="0025250D">
              <w:rPr>
                <w:rFonts w:ascii="Calibri" w:hAnsi="Calibri" w:hint="cs"/>
                <w:color w:val="000000"/>
                <w:sz w:val="22"/>
                <w:rtl/>
              </w:rPr>
              <w:t>پیشایندی</w:t>
            </w:r>
          </w:p>
        </w:tc>
        <w:tc>
          <w:tcPr>
            <w:tcW w:w="4530" w:type="dxa"/>
            <w:tcBorders>
              <w:top w:val="nil"/>
              <w:left w:val="nil"/>
              <w:bottom w:val="nil"/>
              <w:right w:val="nil"/>
            </w:tcBorders>
            <w:shd w:val="clear" w:color="auto" w:fill="auto"/>
            <w:vAlign w:val="bottom"/>
          </w:tcPr>
          <w:p w14:paraId="1A35170F" w14:textId="6655D36A" w:rsidR="00725A99" w:rsidRPr="0025250D" w:rsidRDefault="00725A99" w:rsidP="00725A99">
            <w:pPr>
              <w:rPr>
                <w:rFonts w:cs="Times New Roman"/>
                <w:rtl/>
              </w:rPr>
            </w:pPr>
            <w:r w:rsidRPr="0025250D">
              <w:rPr>
                <w:rFonts w:cs="Times New Roman"/>
                <w:color w:val="000000"/>
                <w:szCs w:val="20"/>
              </w:rPr>
              <w:t>Contingency</w:t>
            </w:r>
          </w:p>
        </w:tc>
      </w:tr>
      <w:tr w:rsidR="00725A99" w:rsidRPr="0025250D" w14:paraId="4E813424" w14:textId="77777777" w:rsidTr="00725A99">
        <w:tc>
          <w:tcPr>
            <w:tcW w:w="4530" w:type="dxa"/>
            <w:tcBorders>
              <w:top w:val="nil"/>
              <w:left w:val="nil"/>
              <w:bottom w:val="nil"/>
              <w:right w:val="nil"/>
            </w:tcBorders>
            <w:shd w:val="clear" w:color="auto" w:fill="auto"/>
            <w:vAlign w:val="bottom"/>
          </w:tcPr>
          <w:p w14:paraId="19142DAA" w14:textId="4BEA7DA2" w:rsidR="00725A99" w:rsidRPr="0025250D" w:rsidRDefault="00725A99" w:rsidP="00C51390">
            <w:pPr>
              <w:bidi/>
              <w:rPr>
                <w:rtl/>
              </w:rPr>
            </w:pPr>
            <w:r w:rsidRPr="0025250D">
              <w:rPr>
                <w:rFonts w:ascii="Calibri" w:hAnsi="Calibri" w:hint="cs"/>
                <w:color w:val="000000"/>
                <w:sz w:val="22"/>
                <w:rtl/>
              </w:rPr>
              <w:t>تفکر همگرا</w:t>
            </w:r>
          </w:p>
        </w:tc>
        <w:tc>
          <w:tcPr>
            <w:tcW w:w="4530" w:type="dxa"/>
            <w:tcBorders>
              <w:top w:val="nil"/>
              <w:left w:val="nil"/>
              <w:bottom w:val="nil"/>
              <w:right w:val="nil"/>
            </w:tcBorders>
            <w:shd w:val="clear" w:color="auto" w:fill="auto"/>
            <w:vAlign w:val="bottom"/>
          </w:tcPr>
          <w:p w14:paraId="362898F8" w14:textId="059C69A5" w:rsidR="00725A99" w:rsidRPr="0025250D" w:rsidRDefault="00725A99" w:rsidP="00725A99">
            <w:pPr>
              <w:rPr>
                <w:rFonts w:cs="Times New Roman"/>
                <w:rtl/>
              </w:rPr>
            </w:pPr>
            <w:r w:rsidRPr="0025250D">
              <w:rPr>
                <w:rFonts w:cs="Times New Roman"/>
                <w:color w:val="000000"/>
                <w:szCs w:val="20"/>
              </w:rPr>
              <w:t>Convergent thinking</w:t>
            </w:r>
          </w:p>
        </w:tc>
      </w:tr>
      <w:tr w:rsidR="00725A99" w:rsidRPr="0025250D" w14:paraId="18828A2F" w14:textId="77777777" w:rsidTr="00725A99">
        <w:tc>
          <w:tcPr>
            <w:tcW w:w="4530" w:type="dxa"/>
            <w:tcBorders>
              <w:top w:val="nil"/>
              <w:left w:val="nil"/>
              <w:bottom w:val="nil"/>
              <w:right w:val="nil"/>
            </w:tcBorders>
            <w:shd w:val="clear" w:color="auto" w:fill="auto"/>
            <w:vAlign w:val="bottom"/>
          </w:tcPr>
          <w:p w14:paraId="4DBA1EF2" w14:textId="7DE28B09" w:rsidR="00725A99" w:rsidRPr="0025250D" w:rsidRDefault="00725A99" w:rsidP="00C51390">
            <w:pPr>
              <w:bidi/>
              <w:rPr>
                <w:rtl/>
              </w:rPr>
            </w:pPr>
            <w:r w:rsidRPr="0025250D">
              <w:rPr>
                <w:rFonts w:ascii="Calibri" w:hAnsi="Calibri" w:hint="cs"/>
                <w:color w:val="000000"/>
                <w:sz w:val="22"/>
                <w:rtl/>
              </w:rPr>
              <w:t>هم‌رقابتی</w:t>
            </w:r>
          </w:p>
        </w:tc>
        <w:tc>
          <w:tcPr>
            <w:tcW w:w="4530" w:type="dxa"/>
            <w:tcBorders>
              <w:top w:val="nil"/>
              <w:left w:val="nil"/>
              <w:bottom w:val="nil"/>
              <w:right w:val="nil"/>
            </w:tcBorders>
            <w:shd w:val="clear" w:color="auto" w:fill="auto"/>
            <w:vAlign w:val="bottom"/>
          </w:tcPr>
          <w:p w14:paraId="784209E5" w14:textId="5C8D9424" w:rsidR="00725A99" w:rsidRPr="0025250D" w:rsidRDefault="00725A99" w:rsidP="00725A99">
            <w:pPr>
              <w:rPr>
                <w:rFonts w:cs="Times New Roman"/>
                <w:rtl/>
              </w:rPr>
            </w:pPr>
            <w:r w:rsidRPr="0025250D">
              <w:rPr>
                <w:rFonts w:cs="Times New Roman"/>
                <w:color w:val="000000"/>
                <w:szCs w:val="20"/>
              </w:rPr>
              <w:t>Coopetition</w:t>
            </w:r>
          </w:p>
        </w:tc>
      </w:tr>
      <w:tr w:rsidR="00725A99" w:rsidRPr="0025250D" w14:paraId="6DE10285" w14:textId="77777777" w:rsidTr="00725A99">
        <w:tc>
          <w:tcPr>
            <w:tcW w:w="4530" w:type="dxa"/>
            <w:tcBorders>
              <w:top w:val="nil"/>
              <w:left w:val="nil"/>
              <w:bottom w:val="nil"/>
              <w:right w:val="nil"/>
            </w:tcBorders>
            <w:shd w:val="clear" w:color="auto" w:fill="auto"/>
            <w:vAlign w:val="bottom"/>
          </w:tcPr>
          <w:p w14:paraId="62FBE771" w14:textId="76FCDAA4" w:rsidR="00725A99" w:rsidRPr="0025250D" w:rsidRDefault="00725A99" w:rsidP="00C51390">
            <w:pPr>
              <w:bidi/>
              <w:rPr>
                <w:rtl/>
              </w:rPr>
            </w:pPr>
            <w:r w:rsidRPr="0025250D">
              <w:rPr>
                <w:rFonts w:ascii="Calibri" w:hAnsi="Calibri" w:hint="cs"/>
                <w:color w:val="000000"/>
                <w:sz w:val="22"/>
                <w:rtl/>
              </w:rPr>
              <w:t>خلاف‌آمدی</w:t>
            </w:r>
          </w:p>
        </w:tc>
        <w:tc>
          <w:tcPr>
            <w:tcW w:w="4530" w:type="dxa"/>
            <w:tcBorders>
              <w:top w:val="nil"/>
              <w:left w:val="nil"/>
              <w:bottom w:val="nil"/>
              <w:right w:val="nil"/>
            </w:tcBorders>
            <w:shd w:val="clear" w:color="auto" w:fill="auto"/>
            <w:vAlign w:val="bottom"/>
          </w:tcPr>
          <w:p w14:paraId="74EAC6FE" w14:textId="3E790192" w:rsidR="00725A99" w:rsidRPr="0025250D" w:rsidRDefault="00725A99" w:rsidP="00725A99">
            <w:pPr>
              <w:rPr>
                <w:rFonts w:cs="Times New Roman"/>
                <w:rtl/>
              </w:rPr>
            </w:pPr>
            <w:r w:rsidRPr="0025250D">
              <w:rPr>
                <w:rFonts w:cs="Times New Roman"/>
                <w:color w:val="000000"/>
                <w:szCs w:val="20"/>
              </w:rPr>
              <w:t>Counterfactuals</w:t>
            </w:r>
          </w:p>
        </w:tc>
      </w:tr>
      <w:tr w:rsidR="00725A99" w:rsidRPr="0025250D" w14:paraId="5951B8C4" w14:textId="77777777" w:rsidTr="00725A99">
        <w:tc>
          <w:tcPr>
            <w:tcW w:w="4530" w:type="dxa"/>
            <w:tcBorders>
              <w:top w:val="nil"/>
              <w:left w:val="nil"/>
              <w:bottom w:val="nil"/>
              <w:right w:val="nil"/>
            </w:tcBorders>
            <w:shd w:val="clear" w:color="auto" w:fill="auto"/>
            <w:vAlign w:val="bottom"/>
          </w:tcPr>
          <w:p w14:paraId="6C2A9915" w14:textId="5D5CC7E1" w:rsidR="00725A99" w:rsidRPr="0025250D" w:rsidRDefault="00725A99" w:rsidP="00C51390">
            <w:pPr>
              <w:bidi/>
              <w:rPr>
                <w:rtl/>
              </w:rPr>
            </w:pPr>
            <w:r w:rsidRPr="0025250D">
              <w:rPr>
                <w:rFonts w:ascii="Calibri" w:hAnsi="Calibri" w:hint="cs"/>
                <w:color w:val="000000"/>
                <w:sz w:val="22"/>
                <w:rtl/>
              </w:rPr>
              <w:t xml:space="preserve">جمع‌سپاری </w:t>
            </w:r>
          </w:p>
        </w:tc>
        <w:tc>
          <w:tcPr>
            <w:tcW w:w="4530" w:type="dxa"/>
            <w:tcBorders>
              <w:top w:val="nil"/>
              <w:left w:val="nil"/>
              <w:bottom w:val="nil"/>
              <w:right w:val="nil"/>
            </w:tcBorders>
            <w:shd w:val="clear" w:color="auto" w:fill="auto"/>
            <w:vAlign w:val="bottom"/>
          </w:tcPr>
          <w:p w14:paraId="393FA2B4" w14:textId="433E055F" w:rsidR="00725A99" w:rsidRPr="0025250D" w:rsidRDefault="00725A99" w:rsidP="00725A99">
            <w:pPr>
              <w:rPr>
                <w:rFonts w:cs="Times New Roman"/>
                <w:rtl/>
              </w:rPr>
            </w:pPr>
            <w:r w:rsidRPr="0025250D">
              <w:rPr>
                <w:rFonts w:cs="Times New Roman"/>
                <w:color w:val="000000"/>
                <w:szCs w:val="20"/>
              </w:rPr>
              <w:t>Crowdsourced</w:t>
            </w:r>
          </w:p>
        </w:tc>
      </w:tr>
      <w:tr w:rsidR="00C51390" w:rsidRPr="0025250D" w14:paraId="4084919B" w14:textId="77777777" w:rsidTr="00725A99">
        <w:tc>
          <w:tcPr>
            <w:tcW w:w="4530" w:type="dxa"/>
            <w:tcBorders>
              <w:top w:val="nil"/>
              <w:left w:val="nil"/>
              <w:bottom w:val="nil"/>
              <w:right w:val="nil"/>
            </w:tcBorders>
            <w:shd w:val="clear" w:color="auto" w:fill="auto"/>
            <w:vAlign w:val="bottom"/>
          </w:tcPr>
          <w:p w14:paraId="0EC5D796" w14:textId="77777777" w:rsidR="00C51390" w:rsidRPr="0025250D" w:rsidRDefault="00C51390" w:rsidP="00C51390">
            <w:pPr>
              <w:rPr>
                <w:rFonts w:ascii="Calibri" w:hAnsi="Calibri"/>
                <w:color w:val="000000"/>
                <w:sz w:val="22"/>
                <w:rtl/>
              </w:rPr>
            </w:pPr>
          </w:p>
        </w:tc>
        <w:tc>
          <w:tcPr>
            <w:tcW w:w="4530" w:type="dxa"/>
            <w:tcBorders>
              <w:top w:val="nil"/>
              <w:left w:val="nil"/>
              <w:bottom w:val="nil"/>
              <w:right w:val="nil"/>
            </w:tcBorders>
            <w:shd w:val="clear" w:color="auto" w:fill="auto"/>
            <w:vAlign w:val="bottom"/>
          </w:tcPr>
          <w:p w14:paraId="56EC40F3" w14:textId="77777777" w:rsidR="00C51390" w:rsidRPr="0025250D" w:rsidRDefault="00C51390" w:rsidP="00725A99">
            <w:pPr>
              <w:rPr>
                <w:rFonts w:cs="Times New Roman"/>
                <w:color w:val="000000"/>
                <w:szCs w:val="20"/>
              </w:rPr>
            </w:pPr>
          </w:p>
        </w:tc>
      </w:tr>
      <w:tr w:rsidR="00C51390" w:rsidRPr="0025250D" w14:paraId="3B5B57F0" w14:textId="77777777" w:rsidTr="009A059A">
        <w:tc>
          <w:tcPr>
            <w:tcW w:w="9060" w:type="dxa"/>
            <w:gridSpan w:val="2"/>
            <w:tcBorders>
              <w:top w:val="nil"/>
              <w:left w:val="nil"/>
              <w:bottom w:val="nil"/>
              <w:right w:val="nil"/>
            </w:tcBorders>
            <w:shd w:val="clear" w:color="auto" w:fill="auto"/>
            <w:vAlign w:val="bottom"/>
          </w:tcPr>
          <w:p w14:paraId="2983AB9C" w14:textId="10508A41" w:rsidR="00C51390" w:rsidRPr="0025250D" w:rsidRDefault="00C51390" w:rsidP="00C51390">
            <w:pPr>
              <w:jc w:val="center"/>
              <w:rPr>
                <w:rFonts w:cs="Times New Roman"/>
                <w:b/>
                <w:bCs/>
                <w:color w:val="000000"/>
                <w:szCs w:val="20"/>
              </w:rPr>
            </w:pPr>
            <w:r w:rsidRPr="0025250D">
              <w:rPr>
                <w:rFonts w:cs="Times New Roman"/>
                <w:b/>
                <w:bCs/>
                <w:color w:val="000000"/>
                <w:sz w:val="28"/>
                <w:szCs w:val="28"/>
              </w:rPr>
              <w:t>D</w:t>
            </w:r>
          </w:p>
        </w:tc>
      </w:tr>
      <w:tr w:rsidR="00725A99" w:rsidRPr="0025250D" w14:paraId="6BA4F4FA" w14:textId="77777777" w:rsidTr="00725A99">
        <w:tc>
          <w:tcPr>
            <w:tcW w:w="4530" w:type="dxa"/>
            <w:tcBorders>
              <w:top w:val="nil"/>
              <w:left w:val="nil"/>
              <w:bottom w:val="nil"/>
              <w:right w:val="nil"/>
            </w:tcBorders>
            <w:shd w:val="clear" w:color="auto" w:fill="auto"/>
            <w:vAlign w:val="bottom"/>
          </w:tcPr>
          <w:p w14:paraId="2F2A2E31" w14:textId="4B6CD7C8" w:rsidR="00725A99" w:rsidRPr="0025250D" w:rsidRDefault="00725A99" w:rsidP="00C51390">
            <w:pPr>
              <w:bidi/>
              <w:rPr>
                <w:rtl/>
              </w:rPr>
            </w:pPr>
            <w:r w:rsidRPr="0025250D">
              <w:rPr>
                <w:rFonts w:ascii="Calibri" w:hAnsi="Calibri" w:hint="cs"/>
                <w:color w:val="000000"/>
                <w:sz w:val="22"/>
                <w:rtl/>
              </w:rPr>
              <w:t>آینده‌نگاری دفاعی</w:t>
            </w:r>
          </w:p>
        </w:tc>
        <w:tc>
          <w:tcPr>
            <w:tcW w:w="4530" w:type="dxa"/>
            <w:tcBorders>
              <w:top w:val="nil"/>
              <w:left w:val="nil"/>
              <w:bottom w:val="nil"/>
              <w:right w:val="nil"/>
            </w:tcBorders>
            <w:shd w:val="clear" w:color="auto" w:fill="auto"/>
            <w:vAlign w:val="bottom"/>
          </w:tcPr>
          <w:p w14:paraId="003AD25D" w14:textId="3D60E45B" w:rsidR="00725A99" w:rsidRPr="0025250D" w:rsidRDefault="00725A99" w:rsidP="00725A99">
            <w:pPr>
              <w:rPr>
                <w:rFonts w:cs="Times New Roman"/>
                <w:rtl/>
              </w:rPr>
            </w:pPr>
            <w:r w:rsidRPr="0025250D">
              <w:rPr>
                <w:rFonts w:cs="Times New Roman"/>
                <w:color w:val="000000"/>
                <w:szCs w:val="20"/>
              </w:rPr>
              <w:t>Defense foresight</w:t>
            </w:r>
          </w:p>
        </w:tc>
      </w:tr>
      <w:tr w:rsidR="00725A99" w:rsidRPr="0025250D" w14:paraId="51DA41D5" w14:textId="77777777" w:rsidTr="00725A99">
        <w:tc>
          <w:tcPr>
            <w:tcW w:w="4530" w:type="dxa"/>
            <w:tcBorders>
              <w:top w:val="nil"/>
              <w:left w:val="nil"/>
              <w:bottom w:val="nil"/>
              <w:right w:val="nil"/>
            </w:tcBorders>
            <w:shd w:val="clear" w:color="auto" w:fill="auto"/>
            <w:vAlign w:val="bottom"/>
          </w:tcPr>
          <w:p w14:paraId="325707B2" w14:textId="299EF3B7" w:rsidR="00725A99" w:rsidRPr="0025250D" w:rsidRDefault="00725A99" w:rsidP="00C51390">
            <w:pPr>
              <w:bidi/>
              <w:rPr>
                <w:rtl/>
              </w:rPr>
            </w:pPr>
            <w:r w:rsidRPr="0025250D">
              <w:rPr>
                <w:rFonts w:ascii="Calibri" w:hAnsi="Calibri" w:hint="cs"/>
                <w:color w:val="000000"/>
                <w:sz w:val="22"/>
                <w:rtl/>
              </w:rPr>
              <w:t>بدبینی تدافعی</w:t>
            </w:r>
          </w:p>
        </w:tc>
        <w:tc>
          <w:tcPr>
            <w:tcW w:w="4530" w:type="dxa"/>
            <w:tcBorders>
              <w:top w:val="nil"/>
              <w:left w:val="nil"/>
              <w:bottom w:val="nil"/>
              <w:right w:val="nil"/>
            </w:tcBorders>
            <w:shd w:val="clear" w:color="auto" w:fill="auto"/>
            <w:vAlign w:val="bottom"/>
          </w:tcPr>
          <w:p w14:paraId="4FCEF6AE" w14:textId="49253E8A" w:rsidR="00725A99" w:rsidRPr="0025250D" w:rsidRDefault="00725A99" w:rsidP="00725A99">
            <w:pPr>
              <w:rPr>
                <w:rFonts w:cs="Times New Roman"/>
                <w:rtl/>
              </w:rPr>
            </w:pPr>
            <w:r w:rsidRPr="0025250D">
              <w:rPr>
                <w:rFonts w:cs="Times New Roman"/>
                <w:color w:val="000000"/>
                <w:szCs w:val="20"/>
              </w:rPr>
              <w:t>Defensive pessimism</w:t>
            </w:r>
          </w:p>
        </w:tc>
      </w:tr>
      <w:tr w:rsidR="00725A99" w:rsidRPr="0025250D" w14:paraId="5C1F51EA" w14:textId="77777777" w:rsidTr="00725A99">
        <w:tc>
          <w:tcPr>
            <w:tcW w:w="4530" w:type="dxa"/>
            <w:tcBorders>
              <w:top w:val="nil"/>
              <w:left w:val="nil"/>
              <w:bottom w:val="nil"/>
              <w:right w:val="nil"/>
            </w:tcBorders>
            <w:shd w:val="clear" w:color="auto" w:fill="auto"/>
            <w:vAlign w:val="bottom"/>
          </w:tcPr>
          <w:p w14:paraId="3D1C734D" w14:textId="51F88813" w:rsidR="00725A99" w:rsidRPr="0025250D" w:rsidRDefault="00725A99" w:rsidP="00C51390">
            <w:pPr>
              <w:bidi/>
              <w:rPr>
                <w:rtl/>
              </w:rPr>
            </w:pPr>
            <w:r w:rsidRPr="0025250D">
              <w:rPr>
                <w:rFonts w:ascii="Calibri" w:hAnsi="Calibri"/>
                <w:color w:val="000000"/>
                <w:sz w:val="22"/>
                <w:rtl/>
              </w:rPr>
              <w:t>تفکر سنجیده</w:t>
            </w:r>
          </w:p>
        </w:tc>
        <w:tc>
          <w:tcPr>
            <w:tcW w:w="4530" w:type="dxa"/>
            <w:tcBorders>
              <w:top w:val="nil"/>
              <w:left w:val="nil"/>
              <w:bottom w:val="nil"/>
              <w:right w:val="nil"/>
            </w:tcBorders>
            <w:shd w:val="clear" w:color="auto" w:fill="auto"/>
            <w:vAlign w:val="bottom"/>
          </w:tcPr>
          <w:p w14:paraId="07803288" w14:textId="34DD18EA" w:rsidR="00725A99" w:rsidRPr="0025250D" w:rsidRDefault="00725A99" w:rsidP="00725A99">
            <w:pPr>
              <w:rPr>
                <w:rFonts w:cs="Times New Roman"/>
                <w:rtl/>
              </w:rPr>
            </w:pPr>
            <w:r w:rsidRPr="0025250D">
              <w:rPr>
                <w:rFonts w:cs="Times New Roman"/>
                <w:color w:val="000000"/>
                <w:szCs w:val="20"/>
              </w:rPr>
              <w:t>Deliberation thinking</w:t>
            </w:r>
          </w:p>
        </w:tc>
      </w:tr>
      <w:tr w:rsidR="00725A99" w:rsidRPr="0025250D" w14:paraId="3DE79984" w14:textId="77777777" w:rsidTr="00725A99">
        <w:tc>
          <w:tcPr>
            <w:tcW w:w="4530" w:type="dxa"/>
            <w:tcBorders>
              <w:top w:val="nil"/>
              <w:left w:val="nil"/>
              <w:bottom w:val="nil"/>
              <w:right w:val="nil"/>
            </w:tcBorders>
            <w:shd w:val="clear" w:color="auto" w:fill="auto"/>
            <w:vAlign w:val="bottom"/>
          </w:tcPr>
          <w:p w14:paraId="389654ED" w14:textId="46891D83" w:rsidR="00725A99" w:rsidRPr="0025250D" w:rsidRDefault="00725A99" w:rsidP="00C51390">
            <w:pPr>
              <w:bidi/>
              <w:rPr>
                <w:rtl/>
              </w:rPr>
            </w:pPr>
            <w:r w:rsidRPr="0025250D">
              <w:rPr>
                <w:rFonts w:ascii="Calibri" w:hAnsi="Calibri" w:hint="cs"/>
                <w:color w:val="000000"/>
                <w:sz w:val="22"/>
                <w:rtl/>
              </w:rPr>
              <w:t>مادی‌زدایی</w:t>
            </w:r>
          </w:p>
        </w:tc>
        <w:tc>
          <w:tcPr>
            <w:tcW w:w="4530" w:type="dxa"/>
            <w:tcBorders>
              <w:top w:val="nil"/>
              <w:left w:val="nil"/>
              <w:bottom w:val="nil"/>
              <w:right w:val="nil"/>
            </w:tcBorders>
            <w:shd w:val="clear" w:color="auto" w:fill="auto"/>
            <w:vAlign w:val="bottom"/>
          </w:tcPr>
          <w:p w14:paraId="7A44D68B" w14:textId="21118840" w:rsidR="00725A99" w:rsidRPr="0025250D" w:rsidRDefault="00725A99" w:rsidP="00725A99">
            <w:pPr>
              <w:rPr>
                <w:rFonts w:cs="Times New Roman"/>
                <w:rtl/>
              </w:rPr>
            </w:pPr>
            <w:r w:rsidRPr="0025250D">
              <w:rPr>
                <w:rFonts w:cs="Times New Roman"/>
                <w:color w:val="000000"/>
                <w:szCs w:val="20"/>
              </w:rPr>
              <w:t>Dematerialization</w:t>
            </w:r>
          </w:p>
        </w:tc>
      </w:tr>
      <w:tr w:rsidR="00725A99" w:rsidRPr="0025250D" w14:paraId="4C85477B" w14:textId="77777777" w:rsidTr="00725A99">
        <w:tc>
          <w:tcPr>
            <w:tcW w:w="4530" w:type="dxa"/>
            <w:tcBorders>
              <w:top w:val="nil"/>
              <w:left w:val="nil"/>
              <w:bottom w:val="nil"/>
              <w:right w:val="nil"/>
            </w:tcBorders>
            <w:shd w:val="clear" w:color="auto" w:fill="auto"/>
            <w:vAlign w:val="bottom"/>
          </w:tcPr>
          <w:p w14:paraId="78F94314" w14:textId="153E17EA" w:rsidR="00725A99" w:rsidRPr="0025250D" w:rsidRDefault="00725A99" w:rsidP="00C51390">
            <w:pPr>
              <w:bidi/>
              <w:rPr>
                <w:rtl/>
              </w:rPr>
            </w:pPr>
            <w:r w:rsidRPr="0025250D">
              <w:rPr>
                <w:rFonts w:ascii="Calibri" w:hAnsi="Calibri" w:hint="cs"/>
                <w:color w:val="000000"/>
                <w:sz w:val="22"/>
                <w:rtl/>
              </w:rPr>
              <w:t>متراکم سازی</w:t>
            </w:r>
          </w:p>
        </w:tc>
        <w:tc>
          <w:tcPr>
            <w:tcW w:w="4530" w:type="dxa"/>
            <w:tcBorders>
              <w:top w:val="nil"/>
              <w:left w:val="nil"/>
              <w:bottom w:val="nil"/>
              <w:right w:val="nil"/>
            </w:tcBorders>
            <w:shd w:val="clear" w:color="auto" w:fill="auto"/>
            <w:vAlign w:val="bottom"/>
          </w:tcPr>
          <w:p w14:paraId="0D8F4636" w14:textId="38A4BE6A" w:rsidR="00725A99" w:rsidRPr="0025250D" w:rsidRDefault="00725A99" w:rsidP="00725A99">
            <w:pPr>
              <w:rPr>
                <w:rFonts w:cs="Times New Roman"/>
                <w:rtl/>
              </w:rPr>
            </w:pPr>
            <w:r w:rsidRPr="0025250D">
              <w:rPr>
                <w:rFonts w:cs="Times New Roman"/>
                <w:color w:val="000000"/>
                <w:szCs w:val="20"/>
              </w:rPr>
              <w:t>Densiﬁcation</w:t>
            </w:r>
          </w:p>
        </w:tc>
      </w:tr>
      <w:tr w:rsidR="00725A99" w:rsidRPr="0025250D" w14:paraId="11664001" w14:textId="77777777" w:rsidTr="00725A99">
        <w:tc>
          <w:tcPr>
            <w:tcW w:w="4530" w:type="dxa"/>
            <w:tcBorders>
              <w:top w:val="nil"/>
              <w:left w:val="nil"/>
              <w:bottom w:val="nil"/>
              <w:right w:val="nil"/>
            </w:tcBorders>
            <w:shd w:val="clear" w:color="auto" w:fill="auto"/>
            <w:vAlign w:val="bottom"/>
          </w:tcPr>
          <w:p w14:paraId="30140690" w14:textId="0A282003" w:rsidR="00725A99" w:rsidRPr="0025250D" w:rsidRDefault="00725A99" w:rsidP="00C51390">
            <w:pPr>
              <w:bidi/>
              <w:rPr>
                <w:rtl/>
              </w:rPr>
            </w:pPr>
            <w:r w:rsidRPr="0025250D">
              <w:rPr>
                <w:rFonts w:ascii="Calibri" w:hAnsi="Calibri" w:hint="cs"/>
                <w:color w:val="000000"/>
                <w:sz w:val="22"/>
                <w:rtl/>
              </w:rPr>
              <w:t>وابسته</w:t>
            </w:r>
          </w:p>
        </w:tc>
        <w:tc>
          <w:tcPr>
            <w:tcW w:w="4530" w:type="dxa"/>
            <w:tcBorders>
              <w:top w:val="nil"/>
              <w:left w:val="nil"/>
              <w:bottom w:val="nil"/>
              <w:right w:val="nil"/>
            </w:tcBorders>
            <w:shd w:val="clear" w:color="auto" w:fill="auto"/>
            <w:vAlign w:val="bottom"/>
          </w:tcPr>
          <w:p w14:paraId="0B4C83BA" w14:textId="2329C712" w:rsidR="00725A99" w:rsidRPr="0025250D" w:rsidRDefault="00725A99" w:rsidP="00725A99">
            <w:pPr>
              <w:rPr>
                <w:rFonts w:cs="Times New Roman"/>
                <w:rtl/>
              </w:rPr>
            </w:pPr>
            <w:r w:rsidRPr="0025250D">
              <w:rPr>
                <w:rFonts w:cs="Times New Roman"/>
                <w:color w:val="000000"/>
                <w:szCs w:val="20"/>
              </w:rPr>
              <w:t>Dependen</w:t>
            </w:r>
          </w:p>
        </w:tc>
      </w:tr>
      <w:tr w:rsidR="00725A99" w:rsidRPr="0025250D" w14:paraId="7C41393E" w14:textId="77777777" w:rsidTr="00725A99">
        <w:tc>
          <w:tcPr>
            <w:tcW w:w="4530" w:type="dxa"/>
            <w:tcBorders>
              <w:top w:val="nil"/>
              <w:left w:val="nil"/>
              <w:bottom w:val="nil"/>
              <w:right w:val="nil"/>
            </w:tcBorders>
            <w:shd w:val="clear" w:color="auto" w:fill="auto"/>
            <w:vAlign w:val="bottom"/>
          </w:tcPr>
          <w:p w14:paraId="1AB21A24" w14:textId="4060C8D0" w:rsidR="00725A99" w:rsidRPr="0025250D" w:rsidRDefault="00725A99" w:rsidP="00C51390">
            <w:pPr>
              <w:bidi/>
              <w:rPr>
                <w:rtl/>
              </w:rPr>
            </w:pPr>
            <w:r w:rsidRPr="0025250D">
              <w:rPr>
                <w:rFonts w:ascii="Calibri" w:hAnsi="Calibri" w:hint="cs"/>
                <w:color w:val="000000"/>
                <w:sz w:val="22"/>
                <w:rtl/>
              </w:rPr>
              <w:t>آینده‌نگاری دیجیتال</w:t>
            </w:r>
          </w:p>
        </w:tc>
        <w:tc>
          <w:tcPr>
            <w:tcW w:w="4530" w:type="dxa"/>
            <w:tcBorders>
              <w:top w:val="nil"/>
              <w:left w:val="nil"/>
              <w:bottom w:val="nil"/>
              <w:right w:val="nil"/>
            </w:tcBorders>
            <w:shd w:val="clear" w:color="auto" w:fill="auto"/>
            <w:vAlign w:val="bottom"/>
          </w:tcPr>
          <w:p w14:paraId="3DA19E43" w14:textId="14C6B9DC" w:rsidR="00725A99" w:rsidRPr="0025250D" w:rsidRDefault="00725A99" w:rsidP="00725A99">
            <w:pPr>
              <w:rPr>
                <w:rFonts w:cs="Times New Roman"/>
                <w:rtl/>
              </w:rPr>
            </w:pPr>
            <w:r w:rsidRPr="0025250D">
              <w:rPr>
                <w:rFonts w:cs="Times New Roman"/>
                <w:color w:val="000000"/>
                <w:szCs w:val="20"/>
              </w:rPr>
              <w:t>Digital foresight</w:t>
            </w:r>
          </w:p>
        </w:tc>
      </w:tr>
      <w:tr w:rsidR="00725A99" w:rsidRPr="0025250D" w14:paraId="27F2D0C0" w14:textId="77777777" w:rsidTr="00725A99">
        <w:tc>
          <w:tcPr>
            <w:tcW w:w="4530" w:type="dxa"/>
            <w:tcBorders>
              <w:top w:val="nil"/>
              <w:left w:val="nil"/>
              <w:bottom w:val="nil"/>
              <w:right w:val="nil"/>
            </w:tcBorders>
            <w:shd w:val="clear" w:color="auto" w:fill="auto"/>
            <w:vAlign w:val="bottom"/>
          </w:tcPr>
          <w:p w14:paraId="6D3DF59C" w14:textId="5C04B677" w:rsidR="00725A99" w:rsidRPr="0025250D" w:rsidRDefault="00725A99" w:rsidP="00C51390">
            <w:pPr>
              <w:bidi/>
              <w:rPr>
                <w:rtl/>
              </w:rPr>
            </w:pPr>
            <w:r w:rsidRPr="0025250D">
              <w:rPr>
                <w:rFonts w:ascii="Calibri" w:hAnsi="Calibri" w:hint="cs"/>
                <w:color w:val="000000"/>
                <w:sz w:val="22"/>
                <w:rtl/>
              </w:rPr>
              <w:t>ابر نواختر دیجیتالی</w:t>
            </w:r>
          </w:p>
        </w:tc>
        <w:tc>
          <w:tcPr>
            <w:tcW w:w="4530" w:type="dxa"/>
            <w:tcBorders>
              <w:top w:val="nil"/>
              <w:left w:val="nil"/>
              <w:bottom w:val="nil"/>
              <w:right w:val="nil"/>
            </w:tcBorders>
            <w:shd w:val="clear" w:color="auto" w:fill="auto"/>
            <w:vAlign w:val="bottom"/>
          </w:tcPr>
          <w:p w14:paraId="7D0445B3" w14:textId="26D4E8DE" w:rsidR="00725A99" w:rsidRPr="0025250D" w:rsidRDefault="00725A99" w:rsidP="00725A99">
            <w:pPr>
              <w:rPr>
                <w:rFonts w:cs="Times New Roman"/>
                <w:rtl/>
              </w:rPr>
            </w:pPr>
            <w:r w:rsidRPr="0025250D">
              <w:rPr>
                <w:rFonts w:cs="Times New Roman"/>
                <w:color w:val="000000"/>
                <w:szCs w:val="20"/>
              </w:rPr>
              <w:t>Digital Supernova</w:t>
            </w:r>
          </w:p>
        </w:tc>
      </w:tr>
      <w:tr w:rsidR="00725A99" w:rsidRPr="0025250D" w14:paraId="559FBDEC" w14:textId="77777777" w:rsidTr="00725A99">
        <w:tc>
          <w:tcPr>
            <w:tcW w:w="4530" w:type="dxa"/>
            <w:tcBorders>
              <w:top w:val="nil"/>
              <w:left w:val="nil"/>
              <w:bottom w:val="nil"/>
              <w:right w:val="nil"/>
            </w:tcBorders>
            <w:shd w:val="clear" w:color="auto" w:fill="auto"/>
            <w:vAlign w:val="bottom"/>
          </w:tcPr>
          <w:p w14:paraId="293F1ECF" w14:textId="3BD8EA71" w:rsidR="00725A99" w:rsidRPr="0025250D" w:rsidRDefault="00725A99" w:rsidP="00C51390">
            <w:pPr>
              <w:bidi/>
              <w:rPr>
                <w:rtl/>
              </w:rPr>
            </w:pPr>
            <w:r w:rsidRPr="0025250D">
              <w:rPr>
                <w:rFonts w:ascii="Calibri" w:hAnsi="Calibri"/>
                <w:color w:val="000000"/>
                <w:sz w:val="22"/>
                <w:rtl/>
              </w:rPr>
              <w:t>بنیان‌افکنی‌ها</w:t>
            </w:r>
          </w:p>
        </w:tc>
        <w:tc>
          <w:tcPr>
            <w:tcW w:w="4530" w:type="dxa"/>
            <w:tcBorders>
              <w:top w:val="nil"/>
              <w:left w:val="nil"/>
              <w:bottom w:val="nil"/>
              <w:right w:val="nil"/>
            </w:tcBorders>
            <w:shd w:val="clear" w:color="auto" w:fill="auto"/>
            <w:vAlign w:val="bottom"/>
          </w:tcPr>
          <w:p w14:paraId="758DA27E" w14:textId="00B6DF18" w:rsidR="00725A99" w:rsidRPr="0025250D" w:rsidRDefault="00C51390" w:rsidP="00725A99">
            <w:pPr>
              <w:rPr>
                <w:rFonts w:cs="Times New Roman"/>
                <w:rtl/>
              </w:rPr>
            </w:pPr>
            <w:r w:rsidRPr="0025250D">
              <w:rPr>
                <w:rFonts w:cs="Times New Roman"/>
                <w:color w:val="000000"/>
                <w:szCs w:val="20"/>
              </w:rPr>
              <w:t>D</w:t>
            </w:r>
            <w:r w:rsidR="00725A99" w:rsidRPr="0025250D">
              <w:rPr>
                <w:rFonts w:cs="Times New Roman"/>
                <w:color w:val="000000"/>
                <w:szCs w:val="20"/>
              </w:rPr>
              <w:t>isruptions</w:t>
            </w:r>
          </w:p>
        </w:tc>
      </w:tr>
      <w:tr w:rsidR="00725A99" w:rsidRPr="0025250D" w14:paraId="383BC6A5" w14:textId="77777777" w:rsidTr="00725A99">
        <w:tc>
          <w:tcPr>
            <w:tcW w:w="4530" w:type="dxa"/>
            <w:tcBorders>
              <w:top w:val="nil"/>
              <w:left w:val="nil"/>
              <w:bottom w:val="nil"/>
              <w:right w:val="nil"/>
            </w:tcBorders>
            <w:shd w:val="clear" w:color="auto" w:fill="auto"/>
            <w:vAlign w:val="bottom"/>
          </w:tcPr>
          <w:p w14:paraId="6C45F434" w14:textId="0BA6CA85" w:rsidR="00725A99" w:rsidRPr="0025250D" w:rsidRDefault="00725A99" w:rsidP="00C51390">
            <w:pPr>
              <w:bidi/>
              <w:rPr>
                <w:rtl/>
              </w:rPr>
            </w:pPr>
            <w:r w:rsidRPr="0025250D">
              <w:rPr>
                <w:rFonts w:ascii="Calibri" w:hAnsi="Calibri" w:hint="cs"/>
                <w:color w:val="000000"/>
                <w:sz w:val="22"/>
                <w:rtl/>
              </w:rPr>
              <w:t>تفکر واگرا</w:t>
            </w:r>
          </w:p>
        </w:tc>
        <w:tc>
          <w:tcPr>
            <w:tcW w:w="4530" w:type="dxa"/>
            <w:tcBorders>
              <w:top w:val="nil"/>
              <w:left w:val="nil"/>
              <w:bottom w:val="nil"/>
              <w:right w:val="nil"/>
            </w:tcBorders>
            <w:shd w:val="clear" w:color="auto" w:fill="auto"/>
            <w:vAlign w:val="bottom"/>
          </w:tcPr>
          <w:p w14:paraId="52B65731" w14:textId="13D2C89C" w:rsidR="00725A99" w:rsidRPr="0025250D" w:rsidRDefault="00725A99" w:rsidP="00725A99">
            <w:pPr>
              <w:rPr>
                <w:rFonts w:cs="Times New Roman"/>
                <w:rtl/>
              </w:rPr>
            </w:pPr>
            <w:r w:rsidRPr="0025250D">
              <w:rPr>
                <w:rFonts w:cs="Times New Roman"/>
                <w:color w:val="000000"/>
                <w:szCs w:val="20"/>
              </w:rPr>
              <w:t>Divergent thinking</w:t>
            </w:r>
          </w:p>
        </w:tc>
      </w:tr>
      <w:tr w:rsidR="00725A99" w:rsidRPr="0025250D" w14:paraId="7A8B4A94" w14:textId="77777777" w:rsidTr="00725A99">
        <w:tc>
          <w:tcPr>
            <w:tcW w:w="4530" w:type="dxa"/>
            <w:tcBorders>
              <w:top w:val="nil"/>
              <w:left w:val="nil"/>
              <w:bottom w:val="nil"/>
              <w:right w:val="nil"/>
            </w:tcBorders>
            <w:shd w:val="clear" w:color="auto" w:fill="auto"/>
            <w:vAlign w:val="bottom"/>
          </w:tcPr>
          <w:p w14:paraId="68408B98" w14:textId="18B3FF26" w:rsidR="00725A99" w:rsidRPr="0025250D" w:rsidRDefault="00725A99" w:rsidP="00C51390">
            <w:pPr>
              <w:bidi/>
              <w:rPr>
                <w:rtl/>
              </w:rPr>
            </w:pPr>
            <w:r w:rsidRPr="0025250D">
              <w:rPr>
                <w:rFonts w:ascii="Calibri" w:hAnsi="Calibri" w:hint="cs"/>
                <w:color w:val="000000"/>
                <w:sz w:val="22"/>
                <w:rtl/>
              </w:rPr>
              <w:t>ویران‌شهری</w:t>
            </w:r>
          </w:p>
        </w:tc>
        <w:tc>
          <w:tcPr>
            <w:tcW w:w="4530" w:type="dxa"/>
            <w:tcBorders>
              <w:top w:val="nil"/>
              <w:left w:val="nil"/>
              <w:bottom w:val="nil"/>
              <w:right w:val="nil"/>
            </w:tcBorders>
            <w:shd w:val="clear" w:color="auto" w:fill="auto"/>
            <w:vAlign w:val="bottom"/>
          </w:tcPr>
          <w:p w14:paraId="0F383664" w14:textId="1866B482" w:rsidR="00725A99" w:rsidRPr="0025250D" w:rsidRDefault="00725A99" w:rsidP="00725A99">
            <w:pPr>
              <w:rPr>
                <w:rFonts w:cs="Times New Roman"/>
                <w:rtl/>
              </w:rPr>
            </w:pPr>
            <w:r w:rsidRPr="0025250D">
              <w:rPr>
                <w:rFonts w:cs="Times New Roman"/>
                <w:color w:val="000000"/>
                <w:szCs w:val="20"/>
              </w:rPr>
              <w:t>Dystopian</w:t>
            </w:r>
          </w:p>
        </w:tc>
      </w:tr>
      <w:tr w:rsidR="00C51390" w:rsidRPr="0025250D" w14:paraId="3460EB98" w14:textId="77777777" w:rsidTr="00725A99">
        <w:tc>
          <w:tcPr>
            <w:tcW w:w="4530" w:type="dxa"/>
            <w:tcBorders>
              <w:top w:val="nil"/>
              <w:left w:val="nil"/>
              <w:bottom w:val="nil"/>
              <w:right w:val="nil"/>
            </w:tcBorders>
            <w:shd w:val="clear" w:color="auto" w:fill="auto"/>
            <w:vAlign w:val="bottom"/>
          </w:tcPr>
          <w:p w14:paraId="06856D2A" w14:textId="77777777" w:rsidR="00C51390" w:rsidRPr="0025250D" w:rsidRDefault="00C51390" w:rsidP="00C51390">
            <w:pPr>
              <w:rPr>
                <w:rFonts w:ascii="Calibri" w:hAnsi="Calibri"/>
                <w:color w:val="000000"/>
                <w:sz w:val="22"/>
                <w:rtl/>
              </w:rPr>
            </w:pPr>
          </w:p>
        </w:tc>
        <w:tc>
          <w:tcPr>
            <w:tcW w:w="4530" w:type="dxa"/>
            <w:tcBorders>
              <w:top w:val="nil"/>
              <w:left w:val="nil"/>
              <w:bottom w:val="nil"/>
              <w:right w:val="nil"/>
            </w:tcBorders>
            <w:shd w:val="clear" w:color="auto" w:fill="auto"/>
            <w:vAlign w:val="bottom"/>
          </w:tcPr>
          <w:p w14:paraId="47B98CF2" w14:textId="77777777" w:rsidR="00C51390" w:rsidRPr="0025250D" w:rsidRDefault="00C51390" w:rsidP="00725A99">
            <w:pPr>
              <w:rPr>
                <w:rFonts w:cs="Times New Roman"/>
                <w:color w:val="000000"/>
                <w:szCs w:val="20"/>
              </w:rPr>
            </w:pPr>
          </w:p>
        </w:tc>
      </w:tr>
      <w:tr w:rsidR="00C51390" w:rsidRPr="0025250D" w14:paraId="613B835D" w14:textId="77777777" w:rsidTr="00456187">
        <w:tc>
          <w:tcPr>
            <w:tcW w:w="9060" w:type="dxa"/>
            <w:gridSpan w:val="2"/>
            <w:tcBorders>
              <w:top w:val="nil"/>
              <w:left w:val="nil"/>
              <w:bottom w:val="nil"/>
              <w:right w:val="nil"/>
            </w:tcBorders>
            <w:shd w:val="clear" w:color="auto" w:fill="auto"/>
            <w:vAlign w:val="bottom"/>
          </w:tcPr>
          <w:p w14:paraId="33DDDB86" w14:textId="3630F794" w:rsidR="00C51390" w:rsidRPr="0025250D" w:rsidRDefault="00C51390" w:rsidP="00C51390">
            <w:pPr>
              <w:jc w:val="center"/>
              <w:rPr>
                <w:rFonts w:cs="Times New Roman"/>
                <w:b/>
                <w:bCs/>
                <w:color w:val="000000"/>
                <w:szCs w:val="20"/>
              </w:rPr>
            </w:pPr>
            <w:r w:rsidRPr="0025250D">
              <w:rPr>
                <w:rFonts w:cs="Times New Roman"/>
                <w:b/>
                <w:bCs/>
                <w:color w:val="000000"/>
                <w:sz w:val="28"/>
                <w:szCs w:val="28"/>
              </w:rPr>
              <w:t>E</w:t>
            </w:r>
          </w:p>
        </w:tc>
      </w:tr>
      <w:tr w:rsidR="00725A99" w:rsidRPr="0025250D" w14:paraId="4AAA17C6" w14:textId="77777777" w:rsidTr="00725A99">
        <w:tc>
          <w:tcPr>
            <w:tcW w:w="4530" w:type="dxa"/>
            <w:tcBorders>
              <w:top w:val="nil"/>
              <w:left w:val="nil"/>
              <w:bottom w:val="nil"/>
              <w:right w:val="nil"/>
            </w:tcBorders>
            <w:shd w:val="clear" w:color="auto" w:fill="auto"/>
            <w:vAlign w:val="bottom"/>
          </w:tcPr>
          <w:p w14:paraId="4CB90F11" w14:textId="4C501C70" w:rsidR="00725A99" w:rsidRPr="0025250D" w:rsidRDefault="00725A99" w:rsidP="00C51390">
            <w:pPr>
              <w:bidi/>
              <w:rPr>
                <w:rtl/>
              </w:rPr>
            </w:pPr>
            <w:r w:rsidRPr="0025250D">
              <w:rPr>
                <w:rFonts w:ascii="Calibri" w:hAnsi="Calibri" w:hint="cs"/>
                <w:color w:val="000000"/>
                <w:sz w:val="22"/>
                <w:rtl/>
              </w:rPr>
              <w:t>آینده‌نگاری تحصیلی</w:t>
            </w:r>
          </w:p>
        </w:tc>
        <w:tc>
          <w:tcPr>
            <w:tcW w:w="4530" w:type="dxa"/>
            <w:tcBorders>
              <w:top w:val="nil"/>
              <w:left w:val="nil"/>
              <w:bottom w:val="nil"/>
              <w:right w:val="nil"/>
            </w:tcBorders>
            <w:shd w:val="clear" w:color="auto" w:fill="auto"/>
            <w:vAlign w:val="bottom"/>
          </w:tcPr>
          <w:p w14:paraId="7283F064" w14:textId="37279CAB" w:rsidR="00725A99" w:rsidRPr="0025250D" w:rsidRDefault="00725A99" w:rsidP="00725A99">
            <w:pPr>
              <w:rPr>
                <w:rFonts w:cs="Times New Roman"/>
                <w:rtl/>
              </w:rPr>
            </w:pPr>
            <w:r w:rsidRPr="0025250D">
              <w:rPr>
                <w:rFonts w:cs="Times New Roman"/>
                <w:color w:val="000000"/>
                <w:szCs w:val="20"/>
              </w:rPr>
              <w:t>Education foresight</w:t>
            </w:r>
          </w:p>
        </w:tc>
      </w:tr>
      <w:tr w:rsidR="00725A99" w:rsidRPr="0025250D" w14:paraId="1D5C6606" w14:textId="77777777" w:rsidTr="00725A99">
        <w:tc>
          <w:tcPr>
            <w:tcW w:w="4530" w:type="dxa"/>
            <w:tcBorders>
              <w:top w:val="nil"/>
              <w:left w:val="nil"/>
              <w:bottom w:val="nil"/>
              <w:right w:val="nil"/>
            </w:tcBorders>
            <w:shd w:val="clear" w:color="auto" w:fill="auto"/>
            <w:vAlign w:val="bottom"/>
          </w:tcPr>
          <w:p w14:paraId="7A5EF30C" w14:textId="385FC10A" w:rsidR="00725A99" w:rsidRPr="0025250D" w:rsidRDefault="00725A99" w:rsidP="00C51390">
            <w:pPr>
              <w:bidi/>
              <w:rPr>
                <w:rtl/>
              </w:rPr>
            </w:pPr>
            <w:r w:rsidRPr="0025250D">
              <w:rPr>
                <w:rFonts w:ascii="Calibri" w:hAnsi="Calibri" w:hint="cs"/>
                <w:color w:val="000000"/>
                <w:sz w:val="22"/>
                <w:rtl/>
              </w:rPr>
              <w:t>هیجانات</w:t>
            </w:r>
          </w:p>
        </w:tc>
        <w:tc>
          <w:tcPr>
            <w:tcW w:w="4530" w:type="dxa"/>
            <w:tcBorders>
              <w:top w:val="nil"/>
              <w:left w:val="nil"/>
              <w:bottom w:val="nil"/>
              <w:right w:val="nil"/>
            </w:tcBorders>
            <w:shd w:val="clear" w:color="auto" w:fill="auto"/>
            <w:vAlign w:val="bottom"/>
          </w:tcPr>
          <w:p w14:paraId="279F17AF" w14:textId="05B223DE" w:rsidR="00725A99" w:rsidRPr="0025250D" w:rsidRDefault="00725A99" w:rsidP="00725A99">
            <w:pPr>
              <w:rPr>
                <w:rFonts w:cs="Times New Roman"/>
                <w:rtl/>
              </w:rPr>
            </w:pPr>
            <w:r w:rsidRPr="0025250D">
              <w:rPr>
                <w:rFonts w:cs="Times New Roman"/>
                <w:color w:val="000000"/>
                <w:szCs w:val="20"/>
              </w:rPr>
              <w:t>Emotions</w:t>
            </w:r>
          </w:p>
        </w:tc>
      </w:tr>
      <w:tr w:rsidR="00725A99" w:rsidRPr="0025250D" w14:paraId="27391D0A" w14:textId="77777777" w:rsidTr="00725A99">
        <w:tc>
          <w:tcPr>
            <w:tcW w:w="4530" w:type="dxa"/>
            <w:tcBorders>
              <w:top w:val="nil"/>
              <w:left w:val="nil"/>
              <w:bottom w:val="nil"/>
              <w:right w:val="nil"/>
            </w:tcBorders>
            <w:shd w:val="clear" w:color="auto" w:fill="auto"/>
            <w:vAlign w:val="bottom"/>
          </w:tcPr>
          <w:p w14:paraId="7CC2B8A9" w14:textId="4C7D79FE" w:rsidR="00725A99" w:rsidRPr="0025250D" w:rsidRDefault="00725A99" w:rsidP="00C51390">
            <w:pPr>
              <w:bidi/>
              <w:rPr>
                <w:rtl/>
              </w:rPr>
            </w:pPr>
            <w:r w:rsidRPr="0025250D">
              <w:rPr>
                <w:rFonts w:ascii="Calibri" w:hAnsi="Calibri" w:hint="cs"/>
                <w:color w:val="000000"/>
                <w:sz w:val="22"/>
                <w:rtl/>
              </w:rPr>
              <w:t>آینده‌نگاری مهندسی</w:t>
            </w:r>
          </w:p>
        </w:tc>
        <w:tc>
          <w:tcPr>
            <w:tcW w:w="4530" w:type="dxa"/>
            <w:tcBorders>
              <w:top w:val="nil"/>
              <w:left w:val="nil"/>
              <w:bottom w:val="nil"/>
              <w:right w:val="nil"/>
            </w:tcBorders>
            <w:shd w:val="clear" w:color="auto" w:fill="auto"/>
            <w:vAlign w:val="bottom"/>
          </w:tcPr>
          <w:p w14:paraId="55332C58" w14:textId="1E16A3AA" w:rsidR="00725A99" w:rsidRPr="0025250D" w:rsidRDefault="00725A99" w:rsidP="00725A99">
            <w:pPr>
              <w:rPr>
                <w:rFonts w:cs="Times New Roman"/>
                <w:rtl/>
              </w:rPr>
            </w:pPr>
            <w:r w:rsidRPr="0025250D">
              <w:rPr>
                <w:rFonts w:cs="Times New Roman"/>
                <w:color w:val="000000"/>
                <w:szCs w:val="20"/>
              </w:rPr>
              <w:t>Engineering foresight</w:t>
            </w:r>
          </w:p>
        </w:tc>
      </w:tr>
      <w:tr w:rsidR="00725A99" w:rsidRPr="0025250D" w14:paraId="22DA2F81" w14:textId="77777777" w:rsidTr="00725A99">
        <w:tc>
          <w:tcPr>
            <w:tcW w:w="4530" w:type="dxa"/>
            <w:tcBorders>
              <w:top w:val="nil"/>
              <w:left w:val="nil"/>
              <w:bottom w:val="nil"/>
              <w:right w:val="nil"/>
            </w:tcBorders>
            <w:shd w:val="clear" w:color="auto" w:fill="auto"/>
            <w:vAlign w:val="bottom"/>
          </w:tcPr>
          <w:p w14:paraId="551BBFC7" w14:textId="04BDEB8E" w:rsidR="00725A99" w:rsidRPr="0025250D" w:rsidRDefault="00725A99" w:rsidP="00C51390">
            <w:pPr>
              <w:bidi/>
              <w:rPr>
                <w:rtl/>
              </w:rPr>
            </w:pPr>
            <w:r w:rsidRPr="0025250D">
              <w:rPr>
                <w:rFonts w:ascii="Calibri" w:hAnsi="Calibri" w:hint="cs"/>
                <w:color w:val="000000"/>
                <w:sz w:val="22"/>
                <w:rtl/>
              </w:rPr>
              <w:t>انتروپی</w:t>
            </w:r>
          </w:p>
        </w:tc>
        <w:tc>
          <w:tcPr>
            <w:tcW w:w="4530" w:type="dxa"/>
            <w:tcBorders>
              <w:top w:val="nil"/>
              <w:left w:val="nil"/>
              <w:bottom w:val="nil"/>
              <w:right w:val="nil"/>
            </w:tcBorders>
            <w:shd w:val="clear" w:color="auto" w:fill="auto"/>
            <w:vAlign w:val="bottom"/>
          </w:tcPr>
          <w:p w14:paraId="24992982" w14:textId="65916415" w:rsidR="00725A99" w:rsidRPr="0025250D" w:rsidRDefault="00725A99" w:rsidP="00725A99">
            <w:pPr>
              <w:rPr>
                <w:rFonts w:cs="Times New Roman"/>
                <w:rtl/>
              </w:rPr>
            </w:pPr>
            <w:r w:rsidRPr="0025250D">
              <w:rPr>
                <w:rFonts w:cs="Times New Roman"/>
                <w:color w:val="000000"/>
                <w:szCs w:val="20"/>
              </w:rPr>
              <w:t>Entropy</w:t>
            </w:r>
          </w:p>
        </w:tc>
      </w:tr>
      <w:tr w:rsidR="00725A99" w:rsidRPr="0025250D" w14:paraId="58C87957" w14:textId="77777777" w:rsidTr="00725A99">
        <w:tc>
          <w:tcPr>
            <w:tcW w:w="4530" w:type="dxa"/>
            <w:tcBorders>
              <w:top w:val="nil"/>
              <w:left w:val="nil"/>
              <w:bottom w:val="nil"/>
              <w:right w:val="nil"/>
            </w:tcBorders>
            <w:shd w:val="clear" w:color="auto" w:fill="auto"/>
            <w:vAlign w:val="bottom"/>
          </w:tcPr>
          <w:p w14:paraId="275D2216" w14:textId="050257BE" w:rsidR="00725A99" w:rsidRPr="0025250D" w:rsidRDefault="00725A99" w:rsidP="00C51390">
            <w:pPr>
              <w:bidi/>
              <w:rPr>
                <w:rtl/>
              </w:rPr>
            </w:pPr>
            <w:r w:rsidRPr="0025250D">
              <w:rPr>
                <w:rFonts w:ascii="Calibri" w:hAnsi="Calibri" w:hint="cs"/>
                <w:color w:val="000000"/>
                <w:sz w:val="22"/>
                <w:rtl/>
              </w:rPr>
              <w:t>پویش محیطی</w:t>
            </w:r>
          </w:p>
        </w:tc>
        <w:tc>
          <w:tcPr>
            <w:tcW w:w="4530" w:type="dxa"/>
            <w:tcBorders>
              <w:top w:val="nil"/>
              <w:left w:val="nil"/>
              <w:bottom w:val="nil"/>
              <w:right w:val="nil"/>
            </w:tcBorders>
            <w:shd w:val="clear" w:color="auto" w:fill="auto"/>
            <w:vAlign w:val="bottom"/>
          </w:tcPr>
          <w:p w14:paraId="3AF15EA3" w14:textId="15B963BB" w:rsidR="00725A99" w:rsidRPr="0025250D" w:rsidRDefault="00725A99" w:rsidP="00725A99">
            <w:pPr>
              <w:rPr>
                <w:rFonts w:cs="Times New Roman"/>
                <w:rtl/>
              </w:rPr>
            </w:pPr>
            <w:r w:rsidRPr="0025250D">
              <w:rPr>
                <w:rFonts w:cs="Times New Roman"/>
                <w:color w:val="000000"/>
                <w:szCs w:val="20"/>
              </w:rPr>
              <w:t>Environmental Scanning</w:t>
            </w:r>
          </w:p>
        </w:tc>
      </w:tr>
      <w:tr w:rsidR="00725A99" w:rsidRPr="0025250D" w14:paraId="4EB7AE20" w14:textId="77777777" w:rsidTr="00725A99">
        <w:tc>
          <w:tcPr>
            <w:tcW w:w="4530" w:type="dxa"/>
            <w:tcBorders>
              <w:top w:val="nil"/>
              <w:left w:val="nil"/>
              <w:bottom w:val="nil"/>
              <w:right w:val="nil"/>
            </w:tcBorders>
            <w:shd w:val="clear" w:color="auto" w:fill="auto"/>
            <w:vAlign w:val="bottom"/>
          </w:tcPr>
          <w:p w14:paraId="1DE3EE8D" w14:textId="45ECCD7E" w:rsidR="00725A99" w:rsidRPr="0025250D" w:rsidRDefault="00725A99" w:rsidP="00C51390">
            <w:pPr>
              <w:bidi/>
              <w:rPr>
                <w:rtl/>
              </w:rPr>
            </w:pPr>
            <w:r w:rsidRPr="0025250D">
              <w:rPr>
                <w:rFonts w:ascii="Calibri" w:hAnsi="Calibri" w:hint="cs"/>
                <w:color w:val="000000"/>
                <w:sz w:val="22"/>
                <w:rtl/>
              </w:rPr>
              <w:t>آینده‌نگاری تکاملی-توسعه‌ای</w:t>
            </w:r>
          </w:p>
        </w:tc>
        <w:tc>
          <w:tcPr>
            <w:tcW w:w="4530" w:type="dxa"/>
            <w:tcBorders>
              <w:top w:val="nil"/>
              <w:left w:val="nil"/>
              <w:bottom w:val="nil"/>
              <w:right w:val="nil"/>
            </w:tcBorders>
            <w:shd w:val="clear" w:color="auto" w:fill="auto"/>
            <w:vAlign w:val="bottom"/>
          </w:tcPr>
          <w:p w14:paraId="4C4358EF" w14:textId="0433B835" w:rsidR="00725A99" w:rsidRPr="0025250D" w:rsidRDefault="00725A99" w:rsidP="00725A99">
            <w:pPr>
              <w:rPr>
                <w:rFonts w:cs="Times New Roman"/>
                <w:rtl/>
              </w:rPr>
            </w:pPr>
            <w:r w:rsidRPr="0025250D">
              <w:rPr>
                <w:rFonts w:cs="Times New Roman"/>
                <w:color w:val="000000"/>
                <w:szCs w:val="20"/>
              </w:rPr>
              <w:t>Evo-Devo Foresight</w:t>
            </w:r>
          </w:p>
        </w:tc>
      </w:tr>
      <w:tr w:rsidR="00725A99" w:rsidRPr="0025250D" w14:paraId="59922818" w14:textId="77777777" w:rsidTr="00725A99">
        <w:tc>
          <w:tcPr>
            <w:tcW w:w="4530" w:type="dxa"/>
            <w:tcBorders>
              <w:top w:val="nil"/>
              <w:left w:val="nil"/>
              <w:bottom w:val="nil"/>
              <w:right w:val="nil"/>
            </w:tcBorders>
            <w:shd w:val="clear" w:color="auto" w:fill="auto"/>
            <w:vAlign w:val="bottom"/>
          </w:tcPr>
          <w:p w14:paraId="779FF1A4" w14:textId="289440D4" w:rsidR="00725A99" w:rsidRPr="0025250D" w:rsidRDefault="00725A99" w:rsidP="00C51390">
            <w:pPr>
              <w:bidi/>
              <w:rPr>
                <w:rtl/>
              </w:rPr>
            </w:pPr>
            <w:r w:rsidRPr="0025250D">
              <w:rPr>
                <w:rFonts w:ascii="Calibri" w:hAnsi="Calibri" w:hint="cs"/>
                <w:color w:val="000000"/>
                <w:sz w:val="22"/>
                <w:rtl/>
              </w:rPr>
              <w:t>آینده‌نگاری اکتشافی</w:t>
            </w:r>
          </w:p>
        </w:tc>
        <w:tc>
          <w:tcPr>
            <w:tcW w:w="4530" w:type="dxa"/>
            <w:tcBorders>
              <w:top w:val="nil"/>
              <w:left w:val="nil"/>
              <w:bottom w:val="nil"/>
              <w:right w:val="nil"/>
            </w:tcBorders>
            <w:shd w:val="clear" w:color="auto" w:fill="auto"/>
            <w:vAlign w:val="bottom"/>
          </w:tcPr>
          <w:p w14:paraId="4E060F9F" w14:textId="4F2E705E" w:rsidR="00725A99" w:rsidRPr="0025250D" w:rsidRDefault="00725A99" w:rsidP="00725A99">
            <w:pPr>
              <w:rPr>
                <w:rFonts w:cs="Times New Roman"/>
                <w:rtl/>
              </w:rPr>
            </w:pPr>
            <w:r w:rsidRPr="0025250D">
              <w:rPr>
                <w:rFonts w:cs="Times New Roman"/>
                <w:color w:val="000000"/>
                <w:szCs w:val="20"/>
              </w:rPr>
              <w:t>Exploration foresight</w:t>
            </w:r>
          </w:p>
        </w:tc>
      </w:tr>
      <w:tr w:rsidR="00725A99" w:rsidRPr="0025250D" w14:paraId="203D82E3" w14:textId="77777777" w:rsidTr="00725A99">
        <w:tc>
          <w:tcPr>
            <w:tcW w:w="4530" w:type="dxa"/>
            <w:tcBorders>
              <w:top w:val="nil"/>
              <w:left w:val="nil"/>
              <w:bottom w:val="nil"/>
              <w:right w:val="nil"/>
            </w:tcBorders>
            <w:shd w:val="clear" w:color="auto" w:fill="auto"/>
            <w:vAlign w:val="bottom"/>
          </w:tcPr>
          <w:p w14:paraId="5718F8AF" w14:textId="5A87C7A0" w:rsidR="00725A99" w:rsidRPr="0025250D" w:rsidRDefault="00725A99" w:rsidP="00C51390">
            <w:pPr>
              <w:bidi/>
              <w:rPr>
                <w:rtl/>
              </w:rPr>
            </w:pPr>
            <w:r w:rsidRPr="0025250D">
              <w:rPr>
                <w:rFonts w:ascii="Calibri" w:hAnsi="Calibri"/>
                <w:color w:val="000000"/>
                <w:sz w:val="22"/>
                <w:rtl/>
              </w:rPr>
              <w:t>آینده نگاری نمایی</w:t>
            </w:r>
          </w:p>
        </w:tc>
        <w:tc>
          <w:tcPr>
            <w:tcW w:w="4530" w:type="dxa"/>
            <w:tcBorders>
              <w:top w:val="nil"/>
              <w:left w:val="nil"/>
              <w:bottom w:val="nil"/>
              <w:right w:val="nil"/>
            </w:tcBorders>
            <w:shd w:val="clear" w:color="auto" w:fill="auto"/>
            <w:vAlign w:val="bottom"/>
          </w:tcPr>
          <w:p w14:paraId="740934DA" w14:textId="439998F2" w:rsidR="00725A99" w:rsidRPr="0025250D" w:rsidRDefault="00725A99" w:rsidP="00725A99">
            <w:pPr>
              <w:rPr>
                <w:rFonts w:cs="Times New Roman"/>
                <w:rtl/>
              </w:rPr>
            </w:pPr>
            <w:r w:rsidRPr="0025250D">
              <w:rPr>
                <w:rFonts w:cs="Times New Roman"/>
                <w:color w:val="000000"/>
                <w:szCs w:val="20"/>
              </w:rPr>
              <w:t>Exponential Foresight</w:t>
            </w:r>
          </w:p>
        </w:tc>
      </w:tr>
      <w:tr w:rsidR="00725A99" w:rsidRPr="0025250D" w14:paraId="61B266E1" w14:textId="77777777" w:rsidTr="00725A99">
        <w:tc>
          <w:tcPr>
            <w:tcW w:w="4530" w:type="dxa"/>
            <w:tcBorders>
              <w:top w:val="nil"/>
              <w:left w:val="nil"/>
              <w:bottom w:val="nil"/>
              <w:right w:val="nil"/>
            </w:tcBorders>
            <w:shd w:val="clear" w:color="auto" w:fill="auto"/>
            <w:vAlign w:val="bottom"/>
          </w:tcPr>
          <w:p w14:paraId="72D30352" w14:textId="26023153" w:rsidR="00725A99" w:rsidRPr="0025250D" w:rsidRDefault="00725A99" w:rsidP="00C51390">
            <w:pPr>
              <w:bidi/>
              <w:rPr>
                <w:rtl/>
              </w:rPr>
            </w:pPr>
            <w:r w:rsidRPr="0025250D">
              <w:rPr>
                <w:rFonts w:ascii="Calibri" w:hAnsi="Calibri" w:hint="cs"/>
                <w:color w:val="000000"/>
                <w:sz w:val="22"/>
                <w:rtl/>
              </w:rPr>
              <w:t>برون نگری</w:t>
            </w:r>
          </w:p>
        </w:tc>
        <w:tc>
          <w:tcPr>
            <w:tcW w:w="4530" w:type="dxa"/>
            <w:tcBorders>
              <w:top w:val="nil"/>
              <w:left w:val="nil"/>
              <w:bottom w:val="nil"/>
              <w:right w:val="nil"/>
            </w:tcBorders>
            <w:shd w:val="clear" w:color="auto" w:fill="auto"/>
            <w:vAlign w:val="bottom"/>
          </w:tcPr>
          <w:p w14:paraId="24335E39" w14:textId="768D4ABC" w:rsidR="00725A99" w:rsidRPr="0025250D" w:rsidRDefault="00725A99" w:rsidP="00725A99">
            <w:pPr>
              <w:rPr>
                <w:rFonts w:cs="Times New Roman"/>
                <w:rtl/>
              </w:rPr>
            </w:pPr>
            <w:r w:rsidRPr="0025250D">
              <w:rPr>
                <w:rFonts w:cs="Times New Roman"/>
                <w:color w:val="000000"/>
                <w:szCs w:val="20"/>
              </w:rPr>
              <w:t>Extrospection</w:t>
            </w:r>
          </w:p>
        </w:tc>
      </w:tr>
      <w:tr w:rsidR="00C51390" w:rsidRPr="0025250D" w14:paraId="5B803B8E" w14:textId="77777777" w:rsidTr="00725A99">
        <w:tc>
          <w:tcPr>
            <w:tcW w:w="4530" w:type="dxa"/>
            <w:tcBorders>
              <w:top w:val="nil"/>
              <w:left w:val="nil"/>
              <w:bottom w:val="nil"/>
              <w:right w:val="nil"/>
            </w:tcBorders>
            <w:shd w:val="clear" w:color="auto" w:fill="auto"/>
            <w:vAlign w:val="bottom"/>
          </w:tcPr>
          <w:p w14:paraId="37F5A453" w14:textId="77777777" w:rsidR="00C51390" w:rsidRPr="0025250D" w:rsidRDefault="00C51390" w:rsidP="00C51390">
            <w:pPr>
              <w:rPr>
                <w:rFonts w:ascii="Calibri" w:hAnsi="Calibri"/>
                <w:color w:val="000000"/>
                <w:sz w:val="22"/>
                <w:rtl/>
              </w:rPr>
            </w:pPr>
          </w:p>
        </w:tc>
        <w:tc>
          <w:tcPr>
            <w:tcW w:w="4530" w:type="dxa"/>
            <w:tcBorders>
              <w:top w:val="nil"/>
              <w:left w:val="nil"/>
              <w:bottom w:val="nil"/>
              <w:right w:val="nil"/>
            </w:tcBorders>
            <w:shd w:val="clear" w:color="auto" w:fill="auto"/>
            <w:vAlign w:val="bottom"/>
          </w:tcPr>
          <w:p w14:paraId="65ADE6E8" w14:textId="77777777" w:rsidR="00C51390" w:rsidRPr="0025250D" w:rsidRDefault="00C51390" w:rsidP="00725A99">
            <w:pPr>
              <w:rPr>
                <w:rFonts w:cs="Times New Roman"/>
                <w:color w:val="000000"/>
                <w:szCs w:val="20"/>
              </w:rPr>
            </w:pPr>
          </w:p>
        </w:tc>
      </w:tr>
      <w:tr w:rsidR="00C51390" w:rsidRPr="0025250D" w14:paraId="51C7686E" w14:textId="77777777" w:rsidTr="00673459">
        <w:tc>
          <w:tcPr>
            <w:tcW w:w="9060" w:type="dxa"/>
            <w:gridSpan w:val="2"/>
            <w:tcBorders>
              <w:top w:val="nil"/>
              <w:left w:val="nil"/>
              <w:bottom w:val="nil"/>
              <w:right w:val="nil"/>
            </w:tcBorders>
            <w:shd w:val="clear" w:color="auto" w:fill="auto"/>
            <w:vAlign w:val="bottom"/>
          </w:tcPr>
          <w:p w14:paraId="36861B05" w14:textId="74D06FD0" w:rsidR="00C51390" w:rsidRPr="0025250D" w:rsidRDefault="00C51390" w:rsidP="00C51390">
            <w:pPr>
              <w:jc w:val="center"/>
              <w:rPr>
                <w:rFonts w:cs="Times New Roman"/>
                <w:b/>
                <w:bCs/>
                <w:color w:val="000000"/>
                <w:szCs w:val="20"/>
              </w:rPr>
            </w:pPr>
            <w:r w:rsidRPr="0025250D">
              <w:rPr>
                <w:rFonts w:cs="Times New Roman"/>
                <w:b/>
                <w:bCs/>
                <w:color w:val="000000"/>
                <w:sz w:val="28"/>
                <w:szCs w:val="28"/>
              </w:rPr>
              <w:t>F</w:t>
            </w:r>
          </w:p>
        </w:tc>
      </w:tr>
      <w:tr w:rsidR="00725A99" w:rsidRPr="0025250D" w14:paraId="5A662FD1" w14:textId="77777777" w:rsidTr="00725A99">
        <w:tc>
          <w:tcPr>
            <w:tcW w:w="4530" w:type="dxa"/>
            <w:tcBorders>
              <w:top w:val="nil"/>
              <w:left w:val="nil"/>
              <w:bottom w:val="nil"/>
              <w:right w:val="nil"/>
            </w:tcBorders>
            <w:shd w:val="clear" w:color="auto" w:fill="auto"/>
            <w:vAlign w:val="bottom"/>
          </w:tcPr>
          <w:p w14:paraId="1421AC18" w14:textId="3D2AFBB8" w:rsidR="00725A99" w:rsidRPr="0025250D" w:rsidRDefault="00725A99" w:rsidP="00C51390">
            <w:pPr>
              <w:bidi/>
              <w:rPr>
                <w:rtl/>
              </w:rPr>
            </w:pPr>
            <w:r w:rsidRPr="0025250D">
              <w:rPr>
                <w:rFonts w:ascii="Calibri" w:hAnsi="Calibri" w:hint="cs"/>
                <w:color w:val="000000"/>
                <w:sz w:val="22"/>
                <w:rtl/>
              </w:rPr>
              <w:t>آینده‌نگاری شجاعانه</w:t>
            </w:r>
          </w:p>
        </w:tc>
        <w:tc>
          <w:tcPr>
            <w:tcW w:w="4530" w:type="dxa"/>
            <w:tcBorders>
              <w:top w:val="nil"/>
              <w:left w:val="nil"/>
              <w:bottom w:val="nil"/>
              <w:right w:val="nil"/>
            </w:tcBorders>
            <w:shd w:val="clear" w:color="auto" w:fill="auto"/>
            <w:vAlign w:val="bottom"/>
          </w:tcPr>
          <w:p w14:paraId="6AD3CCD6" w14:textId="257911CC" w:rsidR="00725A99" w:rsidRPr="0025250D" w:rsidRDefault="00725A99" w:rsidP="00725A99">
            <w:pPr>
              <w:rPr>
                <w:rFonts w:cs="Times New Roman"/>
                <w:rtl/>
              </w:rPr>
            </w:pPr>
            <w:r w:rsidRPr="0025250D">
              <w:rPr>
                <w:rFonts w:cs="Times New Roman"/>
                <w:color w:val="000000"/>
                <w:szCs w:val="20"/>
              </w:rPr>
              <w:t>Fearless foresight</w:t>
            </w:r>
          </w:p>
        </w:tc>
      </w:tr>
      <w:tr w:rsidR="00725A99" w:rsidRPr="0025250D" w14:paraId="76FB0665" w14:textId="77777777" w:rsidTr="00725A99">
        <w:tc>
          <w:tcPr>
            <w:tcW w:w="4530" w:type="dxa"/>
            <w:tcBorders>
              <w:top w:val="nil"/>
              <w:left w:val="nil"/>
              <w:bottom w:val="nil"/>
              <w:right w:val="nil"/>
            </w:tcBorders>
            <w:shd w:val="clear" w:color="auto" w:fill="auto"/>
            <w:vAlign w:val="bottom"/>
          </w:tcPr>
          <w:p w14:paraId="1D454B5B" w14:textId="35078F05" w:rsidR="00725A99" w:rsidRPr="0025250D" w:rsidRDefault="00725A99" w:rsidP="00C51390">
            <w:pPr>
              <w:bidi/>
              <w:rPr>
                <w:rtl/>
              </w:rPr>
            </w:pPr>
            <w:r w:rsidRPr="0025250D">
              <w:rPr>
                <w:rFonts w:ascii="Calibri" w:hAnsi="Calibri" w:hint="cs"/>
                <w:color w:val="000000"/>
                <w:sz w:val="22"/>
                <w:rtl/>
              </w:rPr>
              <w:t>فراپایی</w:t>
            </w:r>
          </w:p>
        </w:tc>
        <w:tc>
          <w:tcPr>
            <w:tcW w:w="4530" w:type="dxa"/>
            <w:tcBorders>
              <w:top w:val="nil"/>
              <w:left w:val="nil"/>
              <w:bottom w:val="nil"/>
              <w:right w:val="nil"/>
            </w:tcBorders>
            <w:shd w:val="clear" w:color="auto" w:fill="auto"/>
            <w:vAlign w:val="bottom"/>
          </w:tcPr>
          <w:p w14:paraId="0668A127" w14:textId="30AC908F" w:rsidR="00725A99" w:rsidRPr="0025250D" w:rsidRDefault="00725A99" w:rsidP="00725A99">
            <w:pPr>
              <w:rPr>
                <w:rFonts w:cs="Times New Roman"/>
                <w:rtl/>
              </w:rPr>
            </w:pPr>
            <w:r w:rsidRPr="0025250D">
              <w:rPr>
                <w:rFonts w:cs="Times New Roman"/>
                <w:color w:val="000000"/>
                <w:szCs w:val="20"/>
              </w:rPr>
              <w:t>Foresee</w:t>
            </w:r>
          </w:p>
        </w:tc>
      </w:tr>
      <w:tr w:rsidR="00725A99" w:rsidRPr="0025250D" w14:paraId="40E2E8BD" w14:textId="77777777" w:rsidTr="00725A99">
        <w:tc>
          <w:tcPr>
            <w:tcW w:w="4530" w:type="dxa"/>
            <w:tcBorders>
              <w:top w:val="nil"/>
              <w:left w:val="nil"/>
              <w:bottom w:val="nil"/>
              <w:right w:val="nil"/>
            </w:tcBorders>
            <w:shd w:val="clear" w:color="auto" w:fill="auto"/>
            <w:vAlign w:val="bottom"/>
          </w:tcPr>
          <w:p w14:paraId="1731377F" w14:textId="7E069019" w:rsidR="00725A99" w:rsidRPr="0025250D" w:rsidRDefault="00725A99" w:rsidP="00C51390">
            <w:pPr>
              <w:bidi/>
              <w:rPr>
                <w:rtl/>
              </w:rPr>
            </w:pPr>
            <w:r w:rsidRPr="0025250D">
              <w:rPr>
                <w:rFonts w:ascii="Calibri" w:hAnsi="Calibri"/>
                <w:color w:val="000000"/>
                <w:sz w:val="22"/>
                <w:rtl/>
              </w:rPr>
              <w:t>آینده نگاری</w:t>
            </w:r>
          </w:p>
        </w:tc>
        <w:tc>
          <w:tcPr>
            <w:tcW w:w="4530" w:type="dxa"/>
            <w:tcBorders>
              <w:top w:val="nil"/>
              <w:left w:val="nil"/>
              <w:bottom w:val="nil"/>
              <w:right w:val="nil"/>
            </w:tcBorders>
            <w:shd w:val="clear" w:color="auto" w:fill="auto"/>
            <w:vAlign w:val="bottom"/>
          </w:tcPr>
          <w:p w14:paraId="562ABEB4" w14:textId="6732826E" w:rsidR="00725A99" w:rsidRPr="0025250D" w:rsidRDefault="00725A99" w:rsidP="00725A99">
            <w:pPr>
              <w:rPr>
                <w:rFonts w:cs="Times New Roman"/>
                <w:rtl/>
              </w:rPr>
            </w:pPr>
            <w:r w:rsidRPr="0025250D">
              <w:rPr>
                <w:rFonts w:cs="Times New Roman"/>
                <w:color w:val="000000"/>
                <w:szCs w:val="20"/>
              </w:rPr>
              <w:t>foresight</w:t>
            </w:r>
          </w:p>
        </w:tc>
      </w:tr>
      <w:tr w:rsidR="00725A99" w:rsidRPr="0025250D" w14:paraId="4EA76BB9" w14:textId="77777777" w:rsidTr="00725A99">
        <w:tc>
          <w:tcPr>
            <w:tcW w:w="4530" w:type="dxa"/>
            <w:tcBorders>
              <w:top w:val="nil"/>
              <w:left w:val="nil"/>
              <w:bottom w:val="nil"/>
              <w:right w:val="nil"/>
            </w:tcBorders>
            <w:shd w:val="clear" w:color="auto" w:fill="auto"/>
            <w:vAlign w:val="bottom"/>
          </w:tcPr>
          <w:p w14:paraId="5C078355" w14:textId="5CD314C1" w:rsidR="00725A99" w:rsidRPr="0025250D" w:rsidRDefault="00725A99" w:rsidP="00C51390">
            <w:pPr>
              <w:bidi/>
              <w:rPr>
                <w:rtl/>
              </w:rPr>
            </w:pPr>
            <w:r w:rsidRPr="0025250D">
              <w:rPr>
                <w:rFonts w:ascii="Calibri" w:hAnsi="Calibri" w:hint="cs"/>
                <w:color w:val="000000"/>
                <w:sz w:val="22"/>
                <w:rtl/>
              </w:rPr>
              <w:t>ساعت شنی آینده‌نگاری</w:t>
            </w:r>
          </w:p>
        </w:tc>
        <w:tc>
          <w:tcPr>
            <w:tcW w:w="4530" w:type="dxa"/>
            <w:tcBorders>
              <w:top w:val="nil"/>
              <w:left w:val="nil"/>
              <w:bottom w:val="nil"/>
              <w:right w:val="nil"/>
            </w:tcBorders>
            <w:shd w:val="clear" w:color="auto" w:fill="auto"/>
            <w:vAlign w:val="bottom"/>
          </w:tcPr>
          <w:p w14:paraId="27464A91" w14:textId="17C2B6EA" w:rsidR="00725A99" w:rsidRPr="0025250D" w:rsidRDefault="00725A99" w:rsidP="00725A99">
            <w:pPr>
              <w:rPr>
                <w:rFonts w:cs="Times New Roman"/>
                <w:rtl/>
              </w:rPr>
            </w:pPr>
            <w:r w:rsidRPr="0025250D">
              <w:rPr>
                <w:rFonts w:cs="Times New Roman"/>
                <w:color w:val="000000"/>
                <w:szCs w:val="20"/>
              </w:rPr>
              <w:t>Foresight Hourglass</w:t>
            </w:r>
          </w:p>
        </w:tc>
      </w:tr>
      <w:tr w:rsidR="00725A99" w:rsidRPr="0025250D" w14:paraId="37E88EFB" w14:textId="77777777" w:rsidTr="00725A99">
        <w:tc>
          <w:tcPr>
            <w:tcW w:w="4530" w:type="dxa"/>
            <w:tcBorders>
              <w:top w:val="nil"/>
              <w:left w:val="nil"/>
              <w:bottom w:val="nil"/>
              <w:right w:val="nil"/>
            </w:tcBorders>
            <w:shd w:val="clear" w:color="auto" w:fill="auto"/>
            <w:vAlign w:val="bottom"/>
          </w:tcPr>
          <w:p w14:paraId="07DC8A40" w14:textId="28D00BC1" w:rsidR="00725A99" w:rsidRPr="0025250D" w:rsidRDefault="00725A99" w:rsidP="00C51390">
            <w:pPr>
              <w:bidi/>
              <w:rPr>
                <w:rtl/>
              </w:rPr>
            </w:pPr>
            <w:r w:rsidRPr="0025250D">
              <w:rPr>
                <w:rFonts w:ascii="Calibri" w:hAnsi="Calibri" w:hint="cs"/>
                <w:color w:val="000000"/>
                <w:sz w:val="22"/>
                <w:rtl/>
              </w:rPr>
              <w:t>آینده‌نگار</w:t>
            </w:r>
          </w:p>
        </w:tc>
        <w:tc>
          <w:tcPr>
            <w:tcW w:w="4530" w:type="dxa"/>
            <w:tcBorders>
              <w:top w:val="nil"/>
              <w:left w:val="nil"/>
              <w:bottom w:val="nil"/>
              <w:right w:val="nil"/>
            </w:tcBorders>
            <w:shd w:val="clear" w:color="auto" w:fill="auto"/>
            <w:vAlign w:val="bottom"/>
          </w:tcPr>
          <w:p w14:paraId="32B07E43" w14:textId="23EFF9A3" w:rsidR="00725A99" w:rsidRPr="0025250D" w:rsidRDefault="00725A99" w:rsidP="00725A99">
            <w:pPr>
              <w:rPr>
                <w:rFonts w:cs="Times New Roman"/>
                <w:rtl/>
              </w:rPr>
            </w:pPr>
            <w:r w:rsidRPr="0025250D">
              <w:rPr>
                <w:rFonts w:cs="Times New Roman"/>
                <w:color w:val="000000"/>
                <w:szCs w:val="20"/>
              </w:rPr>
              <w:t>Foresighter</w:t>
            </w:r>
          </w:p>
        </w:tc>
      </w:tr>
      <w:tr w:rsidR="00725A99" w:rsidRPr="0025250D" w14:paraId="7160C50B" w14:textId="77777777" w:rsidTr="00725A99">
        <w:tc>
          <w:tcPr>
            <w:tcW w:w="4530" w:type="dxa"/>
            <w:tcBorders>
              <w:top w:val="nil"/>
              <w:left w:val="nil"/>
              <w:bottom w:val="nil"/>
              <w:right w:val="nil"/>
            </w:tcBorders>
            <w:shd w:val="clear" w:color="auto" w:fill="auto"/>
            <w:vAlign w:val="bottom"/>
          </w:tcPr>
          <w:p w14:paraId="6FC20753" w14:textId="505FA435" w:rsidR="00725A99" w:rsidRPr="0025250D" w:rsidRDefault="00725A99" w:rsidP="00C51390">
            <w:pPr>
              <w:bidi/>
              <w:rPr>
                <w:rtl/>
              </w:rPr>
            </w:pPr>
            <w:r w:rsidRPr="0025250D">
              <w:rPr>
                <w:rFonts w:ascii="Calibri" w:hAnsi="Calibri" w:hint="cs"/>
                <w:color w:val="000000"/>
                <w:sz w:val="22"/>
                <w:rtl/>
              </w:rPr>
              <w:t>سوگیری آزادی</w:t>
            </w:r>
          </w:p>
        </w:tc>
        <w:tc>
          <w:tcPr>
            <w:tcW w:w="4530" w:type="dxa"/>
            <w:tcBorders>
              <w:top w:val="nil"/>
              <w:left w:val="nil"/>
              <w:bottom w:val="nil"/>
              <w:right w:val="nil"/>
            </w:tcBorders>
            <w:shd w:val="clear" w:color="auto" w:fill="auto"/>
            <w:vAlign w:val="bottom"/>
          </w:tcPr>
          <w:p w14:paraId="019FFAAF" w14:textId="4848B8C2" w:rsidR="00725A99" w:rsidRPr="0025250D" w:rsidRDefault="00725A99" w:rsidP="00725A99">
            <w:pPr>
              <w:rPr>
                <w:rFonts w:cs="Times New Roman"/>
                <w:rtl/>
              </w:rPr>
            </w:pPr>
            <w:r w:rsidRPr="0025250D">
              <w:rPr>
                <w:rFonts w:cs="Times New Roman"/>
                <w:color w:val="000000"/>
                <w:szCs w:val="20"/>
              </w:rPr>
              <w:t>Freedom Bias</w:t>
            </w:r>
          </w:p>
        </w:tc>
      </w:tr>
      <w:tr w:rsidR="00725A99" w:rsidRPr="0025250D" w14:paraId="3F9DDB29" w14:textId="77777777" w:rsidTr="00725A99">
        <w:tc>
          <w:tcPr>
            <w:tcW w:w="4530" w:type="dxa"/>
            <w:tcBorders>
              <w:top w:val="nil"/>
              <w:left w:val="nil"/>
              <w:bottom w:val="nil"/>
              <w:right w:val="nil"/>
            </w:tcBorders>
            <w:shd w:val="clear" w:color="auto" w:fill="auto"/>
            <w:vAlign w:val="bottom"/>
          </w:tcPr>
          <w:p w14:paraId="28741D0D" w14:textId="002B6ED5" w:rsidR="00725A99" w:rsidRPr="0025250D" w:rsidRDefault="00725A99" w:rsidP="00C51390">
            <w:pPr>
              <w:bidi/>
              <w:rPr>
                <w:rtl/>
              </w:rPr>
            </w:pPr>
            <w:r w:rsidRPr="0025250D">
              <w:rPr>
                <w:rFonts w:ascii="Calibri" w:hAnsi="Calibri"/>
                <w:color w:val="000000"/>
                <w:sz w:val="22"/>
                <w:rtl/>
              </w:rPr>
              <w:t>آینده نگاری طیف کامل</w:t>
            </w:r>
          </w:p>
        </w:tc>
        <w:tc>
          <w:tcPr>
            <w:tcW w:w="4530" w:type="dxa"/>
            <w:tcBorders>
              <w:top w:val="nil"/>
              <w:left w:val="nil"/>
              <w:bottom w:val="nil"/>
              <w:right w:val="nil"/>
            </w:tcBorders>
            <w:shd w:val="clear" w:color="auto" w:fill="auto"/>
            <w:vAlign w:val="bottom"/>
          </w:tcPr>
          <w:p w14:paraId="098B49E0" w14:textId="73689491" w:rsidR="00725A99" w:rsidRPr="0025250D" w:rsidRDefault="00C51390" w:rsidP="00725A99">
            <w:pPr>
              <w:rPr>
                <w:rFonts w:cs="Times New Roman"/>
                <w:rtl/>
              </w:rPr>
            </w:pPr>
            <w:r w:rsidRPr="0025250D">
              <w:rPr>
                <w:rFonts w:cs="Times New Roman"/>
                <w:color w:val="000000"/>
                <w:szCs w:val="20"/>
              </w:rPr>
              <w:t>F</w:t>
            </w:r>
            <w:r w:rsidR="00725A99" w:rsidRPr="0025250D">
              <w:rPr>
                <w:rFonts w:cs="Times New Roman"/>
                <w:color w:val="000000"/>
                <w:szCs w:val="20"/>
              </w:rPr>
              <w:t>ull- spectrum foresight</w:t>
            </w:r>
          </w:p>
        </w:tc>
      </w:tr>
      <w:tr w:rsidR="00725A99" w:rsidRPr="0025250D" w14:paraId="6A7EDBB2" w14:textId="77777777" w:rsidTr="00725A99">
        <w:tc>
          <w:tcPr>
            <w:tcW w:w="4530" w:type="dxa"/>
            <w:tcBorders>
              <w:top w:val="nil"/>
              <w:left w:val="nil"/>
              <w:bottom w:val="nil"/>
              <w:right w:val="nil"/>
            </w:tcBorders>
            <w:shd w:val="clear" w:color="auto" w:fill="auto"/>
            <w:vAlign w:val="bottom"/>
          </w:tcPr>
          <w:p w14:paraId="25ED83FF" w14:textId="1D47923C" w:rsidR="00725A99" w:rsidRPr="0025250D" w:rsidRDefault="00725A99" w:rsidP="00C51390">
            <w:pPr>
              <w:bidi/>
              <w:rPr>
                <w:rtl/>
              </w:rPr>
            </w:pPr>
            <w:r w:rsidRPr="0025250D">
              <w:rPr>
                <w:rFonts w:ascii="Calibri" w:hAnsi="Calibri"/>
                <w:color w:val="000000"/>
                <w:sz w:val="22"/>
                <w:rtl/>
              </w:rPr>
              <w:t>آینده پژوهی</w:t>
            </w:r>
          </w:p>
        </w:tc>
        <w:tc>
          <w:tcPr>
            <w:tcW w:w="4530" w:type="dxa"/>
            <w:tcBorders>
              <w:top w:val="nil"/>
              <w:left w:val="nil"/>
              <w:bottom w:val="nil"/>
              <w:right w:val="nil"/>
            </w:tcBorders>
            <w:shd w:val="clear" w:color="auto" w:fill="auto"/>
            <w:vAlign w:val="bottom"/>
          </w:tcPr>
          <w:p w14:paraId="23ED87C8" w14:textId="6A1E56AD" w:rsidR="00725A99" w:rsidRPr="0025250D" w:rsidRDefault="00725A99" w:rsidP="00725A99">
            <w:pPr>
              <w:rPr>
                <w:rFonts w:cs="Times New Roman"/>
                <w:rtl/>
              </w:rPr>
            </w:pPr>
            <w:r w:rsidRPr="0025250D">
              <w:rPr>
                <w:rFonts w:cs="Times New Roman"/>
                <w:color w:val="000000"/>
                <w:szCs w:val="20"/>
              </w:rPr>
              <w:t>Futures</w:t>
            </w:r>
          </w:p>
        </w:tc>
      </w:tr>
      <w:tr w:rsidR="00725A99" w:rsidRPr="0025250D" w14:paraId="3C384237" w14:textId="77777777" w:rsidTr="00725A99">
        <w:tc>
          <w:tcPr>
            <w:tcW w:w="4530" w:type="dxa"/>
            <w:tcBorders>
              <w:top w:val="nil"/>
              <w:left w:val="nil"/>
              <w:bottom w:val="nil"/>
              <w:right w:val="nil"/>
            </w:tcBorders>
            <w:shd w:val="clear" w:color="auto" w:fill="auto"/>
            <w:vAlign w:val="bottom"/>
          </w:tcPr>
          <w:p w14:paraId="1FBF25EA" w14:textId="5DC1CBC2" w:rsidR="00725A99" w:rsidRPr="0025250D" w:rsidRDefault="00725A99" w:rsidP="00C51390">
            <w:pPr>
              <w:bidi/>
              <w:rPr>
                <w:rtl/>
              </w:rPr>
            </w:pPr>
            <w:r w:rsidRPr="0025250D">
              <w:rPr>
                <w:rFonts w:ascii="Calibri" w:hAnsi="Calibri" w:hint="cs"/>
                <w:color w:val="000000"/>
                <w:sz w:val="22"/>
                <w:rtl/>
              </w:rPr>
              <w:t>مخروط آینده</w:t>
            </w:r>
          </w:p>
        </w:tc>
        <w:tc>
          <w:tcPr>
            <w:tcW w:w="4530" w:type="dxa"/>
            <w:tcBorders>
              <w:top w:val="nil"/>
              <w:left w:val="nil"/>
              <w:bottom w:val="nil"/>
              <w:right w:val="nil"/>
            </w:tcBorders>
            <w:shd w:val="clear" w:color="auto" w:fill="auto"/>
            <w:vAlign w:val="bottom"/>
          </w:tcPr>
          <w:p w14:paraId="031E4B38" w14:textId="28F00EF4" w:rsidR="00725A99" w:rsidRPr="0025250D" w:rsidRDefault="00725A99" w:rsidP="00725A99">
            <w:pPr>
              <w:rPr>
                <w:rFonts w:cs="Times New Roman"/>
                <w:rtl/>
              </w:rPr>
            </w:pPr>
            <w:r w:rsidRPr="0025250D">
              <w:rPr>
                <w:rFonts w:cs="Times New Roman"/>
                <w:color w:val="000000"/>
                <w:szCs w:val="20"/>
              </w:rPr>
              <w:t>Futures Cone</w:t>
            </w:r>
          </w:p>
        </w:tc>
      </w:tr>
      <w:tr w:rsidR="00725A99" w:rsidRPr="0025250D" w14:paraId="66A94E3C" w14:textId="77777777" w:rsidTr="00725A99">
        <w:tc>
          <w:tcPr>
            <w:tcW w:w="4530" w:type="dxa"/>
            <w:tcBorders>
              <w:top w:val="nil"/>
              <w:left w:val="nil"/>
              <w:bottom w:val="nil"/>
              <w:right w:val="nil"/>
            </w:tcBorders>
            <w:shd w:val="clear" w:color="auto" w:fill="auto"/>
            <w:vAlign w:val="bottom"/>
          </w:tcPr>
          <w:p w14:paraId="55510B87" w14:textId="6EB2B009" w:rsidR="00725A99" w:rsidRPr="0025250D" w:rsidRDefault="00725A99" w:rsidP="00C51390">
            <w:pPr>
              <w:bidi/>
              <w:rPr>
                <w:rtl/>
              </w:rPr>
            </w:pPr>
            <w:r w:rsidRPr="0025250D">
              <w:rPr>
                <w:rFonts w:ascii="Calibri" w:hAnsi="Calibri" w:hint="cs"/>
                <w:color w:val="000000"/>
                <w:sz w:val="22"/>
                <w:rtl/>
              </w:rPr>
              <w:t>آینده‌پژوهی</w:t>
            </w:r>
          </w:p>
        </w:tc>
        <w:tc>
          <w:tcPr>
            <w:tcW w:w="4530" w:type="dxa"/>
            <w:tcBorders>
              <w:top w:val="nil"/>
              <w:left w:val="nil"/>
              <w:bottom w:val="nil"/>
              <w:right w:val="nil"/>
            </w:tcBorders>
            <w:shd w:val="clear" w:color="auto" w:fill="auto"/>
            <w:vAlign w:val="bottom"/>
          </w:tcPr>
          <w:p w14:paraId="213418D4" w14:textId="1C7A73E5" w:rsidR="00725A99" w:rsidRPr="0025250D" w:rsidRDefault="00725A99" w:rsidP="00725A99">
            <w:pPr>
              <w:rPr>
                <w:rFonts w:cs="Times New Roman"/>
                <w:rtl/>
              </w:rPr>
            </w:pPr>
            <w:r w:rsidRPr="0025250D">
              <w:rPr>
                <w:rFonts w:cs="Times New Roman"/>
                <w:color w:val="000000"/>
                <w:szCs w:val="20"/>
              </w:rPr>
              <w:t>Futures Studies</w:t>
            </w:r>
          </w:p>
        </w:tc>
      </w:tr>
      <w:tr w:rsidR="00725A99" w:rsidRPr="0025250D" w14:paraId="028FFE90" w14:textId="77777777" w:rsidTr="00725A99">
        <w:tc>
          <w:tcPr>
            <w:tcW w:w="4530" w:type="dxa"/>
            <w:tcBorders>
              <w:top w:val="nil"/>
              <w:left w:val="nil"/>
              <w:bottom w:val="nil"/>
              <w:right w:val="nil"/>
            </w:tcBorders>
            <w:shd w:val="clear" w:color="auto" w:fill="auto"/>
            <w:vAlign w:val="bottom"/>
          </w:tcPr>
          <w:p w14:paraId="082B501B" w14:textId="58182BF3" w:rsidR="00725A99" w:rsidRPr="0025250D" w:rsidRDefault="00725A99" w:rsidP="00C51390">
            <w:pPr>
              <w:bidi/>
              <w:rPr>
                <w:rtl/>
              </w:rPr>
            </w:pPr>
            <w:r w:rsidRPr="0025250D">
              <w:rPr>
                <w:rFonts w:ascii="Calibri" w:hAnsi="Calibri"/>
                <w:color w:val="000000"/>
                <w:sz w:val="22"/>
                <w:rtl/>
              </w:rPr>
              <w:t>آینده اندیشی</w:t>
            </w:r>
          </w:p>
        </w:tc>
        <w:tc>
          <w:tcPr>
            <w:tcW w:w="4530" w:type="dxa"/>
            <w:tcBorders>
              <w:top w:val="nil"/>
              <w:left w:val="nil"/>
              <w:bottom w:val="nil"/>
              <w:right w:val="nil"/>
            </w:tcBorders>
            <w:shd w:val="clear" w:color="auto" w:fill="auto"/>
            <w:vAlign w:val="bottom"/>
          </w:tcPr>
          <w:p w14:paraId="00ACDC67" w14:textId="20BCD616" w:rsidR="00725A99" w:rsidRPr="0025250D" w:rsidRDefault="00725A99" w:rsidP="00725A99">
            <w:pPr>
              <w:rPr>
                <w:rFonts w:cs="Times New Roman"/>
                <w:rtl/>
              </w:rPr>
            </w:pPr>
            <w:r w:rsidRPr="0025250D">
              <w:rPr>
                <w:rFonts w:cs="Times New Roman"/>
                <w:color w:val="000000"/>
                <w:szCs w:val="20"/>
              </w:rPr>
              <w:t>Futures thinking</w:t>
            </w:r>
          </w:p>
        </w:tc>
      </w:tr>
      <w:tr w:rsidR="00725A99" w:rsidRPr="0025250D" w14:paraId="241C470E" w14:textId="77777777" w:rsidTr="00725A99">
        <w:tc>
          <w:tcPr>
            <w:tcW w:w="4530" w:type="dxa"/>
            <w:tcBorders>
              <w:top w:val="nil"/>
              <w:left w:val="nil"/>
              <w:bottom w:val="nil"/>
              <w:right w:val="nil"/>
            </w:tcBorders>
            <w:shd w:val="clear" w:color="auto" w:fill="auto"/>
            <w:vAlign w:val="bottom"/>
          </w:tcPr>
          <w:p w14:paraId="6925950E" w14:textId="325AEBA9" w:rsidR="00725A99" w:rsidRPr="0025250D" w:rsidRDefault="00725A99" w:rsidP="00C51390">
            <w:pPr>
              <w:bidi/>
              <w:rPr>
                <w:rtl/>
              </w:rPr>
            </w:pPr>
            <w:r w:rsidRPr="0025250D">
              <w:rPr>
                <w:rFonts w:ascii="Calibri" w:hAnsi="Calibri" w:hint="cs"/>
                <w:color w:val="000000"/>
                <w:sz w:val="22"/>
                <w:rtl/>
              </w:rPr>
              <w:t>چرخ‌های آینده</w:t>
            </w:r>
          </w:p>
        </w:tc>
        <w:tc>
          <w:tcPr>
            <w:tcW w:w="4530" w:type="dxa"/>
            <w:tcBorders>
              <w:top w:val="nil"/>
              <w:left w:val="nil"/>
              <w:bottom w:val="nil"/>
              <w:right w:val="nil"/>
            </w:tcBorders>
            <w:shd w:val="clear" w:color="auto" w:fill="auto"/>
            <w:vAlign w:val="bottom"/>
          </w:tcPr>
          <w:p w14:paraId="61D42F02" w14:textId="076DBED2" w:rsidR="00725A99" w:rsidRPr="0025250D" w:rsidRDefault="00725A99" w:rsidP="00725A99">
            <w:pPr>
              <w:rPr>
                <w:rFonts w:cs="Times New Roman"/>
                <w:rtl/>
              </w:rPr>
            </w:pPr>
            <w:r w:rsidRPr="0025250D">
              <w:rPr>
                <w:rFonts w:cs="Times New Roman"/>
                <w:color w:val="000000"/>
                <w:szCs w:val="20"/>
              </w:rPr>
              <w:t>Futures Wheels</w:t>
            </w:r>
          </w:p>
        </w:tc>
      </w:tr>
      <w:tr w:rsidR="00725A99" w:rsidRPr="0025250D" w14:paraId="27DF0802" w14:textId="77777777" w:rsidTr="00725A99">
        <w:tc>
          <w:tcPr>
            <w:tcW w:w="4530" w:type="dxa"/>
            <w:tcBorders>
              <w:top w:val="nil"/>
              <w:left w:val="nil"/>
              <w:bottom w:val="nil"/>
              <w:right w:val="nil"/>
            </w:tcBorders>
            <w:shd w:val="clear" w:color="auto" w:fill="auto"/>
            <w:vAlign w:val="bottom"/>
          </w:tcPr>
          <w:p w14:paraId="6BDEAA11" w14:textId="650F78D3" w:rsidR="00725A99" w:rsidRPr="0025250D" w:rsidRDefault="00725A99" w:rsidP="00C51390">
            <w:pPr>
              <w:bidi/>
              <w:rPr>
                <w:rtl/>
              </w:rPr>
            </w:pPr>
            <w:r w:rsidRPr="0025250D">
              <w:rPr>
                <w:rFonts w:ascii="Calibri" w:hAnsi="Calibri" w:hint="cs"/>
                <w:color w:val="000000"/>
                <w:sz w:val="22"/>
                <w:rtl/>
              </w:rPr>
              <w:t>آینده‌ورزی</w:t>
            </w:r>
          </w:p>
        </w:tc>
        <w:tc>
          <w:tcPr>
            <w:tcW w:w="4530" w:type="dxa"/>
            <w:tcBorders>
              <w:top w:val="nil"/>
              <w:left w:val="nil"/>
              <w:bottom w:val="nil"/>
              <w:right w:val="nil"/>
            </w:tcBorders>
            <w:shd w:val="clear" w:color="auto" w:fill="auto"/>
            <w:vAlign w:val="bottom"/>
          </w:tcPr>
          <w:p w14:paraId="582F410A" w14:textId="183E33F1" w:rsidR="00725A99" w:rsidRPr="0025250D" w:rsidRDefault="00725A99" w:rsidP="00725A99">
            <w:pPr>
              <w:rPr>
                <w:rFonts w:cs="Times New Roman"/>
                <w:rtl/>
              </w:rPr>
            </w:pPr>
            <w:r w:rsidRPr="0025250D">
              <w:rPr>
                <w:rFonts w:cs="Times New Roman"/>
                <w:color w:val="000000"/>
                <w:szCs w:val="20"/>
              </w:rPr>
              <w:t>Futuring</w:t>
            </w:r>
          </w:p>
        </w:tc>
      </w:tr>
      <w:tr w:rsidR="00725A99" w:rsidRPr="0025250D" w14:paraId="2392E36A" w14:textId="77777777" w:rsidTr="00725A99">
        <w:tc>
          <w:tcPr>
            <w:tcW w:w="4530" w:type="dxa"/>
            <w:tcBorders>
              <w:top w:val="nil"/>
              <w:left w:val="nil"/>
              <w:bottom w:val="nil"/>
              <w:right w:val="nil"/>
            </w:tcBorders>
            <w:shd w:val="clear" w:color="auto" w:fill="auto"/>
            <w:vAlign w:val="bottom"/>
          </w:tcPr>
          <w:p w14:paraId="3242F35E" w14:textId="1D9B2CF7" w:rsidR="00725A99" w:rsidRPr="0025250D" w:rsidRDefault="00725A99" w:rsidP="00C51390">
            <w:pPr>
              <w:bidi/>
              <w:rPr>
                <w:rtl/>
              </w:rPr>
            </w:pPr>
            <w:r w:rsidRPr="0025250D">
              <w:rPr>
                <w:rFonts w:ascii="Calibri" w:hAnsi="Calibri" w:hint="cs"/>
                <w:color w:val="000000"/>
                <w:sz w:val="22"/>
                <w:rtl/>
              </w:rPr>
              <w:t>آینده‌گرایی</w:t>
            </w:r>
          </w:p>
        </w:tc>
        <w:tc>
          <w:tcPr>
            <w:tcW w:w="4530" w:type="dxa"/>
            <w:tcBorders>
              <w:top w:val="nil"/>
              <w:left w:val="nil"/>
              <w:bottom w:val="nil"/>
              <w:right w:val="nil"/>
            </w:tcBorders>
            <w:shd w:val="clear" w:color="auto" w:fill="auto"/>
            <w:vAlign w:val="bottom"/>
          </w:tcPr>
          <w:p w14:paraId="4D7F314B" w14:textId="255B5A20" w:rsidR="00725A99" w:rsidRPr="0025250D" w:rsidRDefault="00725A99" w:rsidP="00725A99">
            <w:pPr>
              <w:rPr>
                <w:rFonts w:cs="Times New Roman"/>
                <w:rtl/>
              </w:rPr>
            </w:pPr>
            <w:r w:rsidRPr="0025250D">
              <w:rPr>
                <w:rFonts w:cs="Times New Roman"/>
                <w:color w:val="000000"/>
                <w:szCs w:val="20"/>
              </w:rPr>
              <w:t>Futurism</w:t>
            </w:r>
          </w:p>
        </w:tc>
      </w:tr>
      <w:tr w:rsidR="00725A99" w:rsidRPr="0025250D" w14:paraId="32B00E35" w14:textId="77777777" w:rsidTr="00725A99">
        <w:tc>
          <w:tcPr>
            <w:tcW w:w="4530" w:type="dxa"/>
            <w:tcBorders>
              <w:top w:val="nil"/>
              <w:left w:val="nil"/>
              <w:bottom w:val="nil"/>
              <w:right w:val="nil"/>
            </w:tcBorders>
            <w:shd w:val="clear" w:color="auto" w:fill="auto"/>
            <w:vAlign w:val="bottom"/>
          </w:tcPr>
          <w:p w14:paraId="552B12D4" w14:textId="6518D24D" w:rsidR="00725A99" w:rsidRPr="0025250D" w:rsidRDefault="00725A99" w:rsidP="00C51390">
            <w:pPr>
              <w:bidi/>
              <w:rPr>
                <w:rtl/>
              </w:rPr>
            </w:pPr>
            <w:r w:rsidRPr="0025250D">
              <w:rPr>
                <w:rFonts w:ascii="Calibri" w:hAnsi="Calibri" w:hint="cs"/>
                <w:color w:val="000000"/>
                <w:sz w:val="22"/>
                <w:rtl/>
              </w:rPr>
              <w:t>آینده‌پژوه (آینده گرا)</w:t>
            </w:r>
          </w:p>
        </w:tc>
        <w:tc>
          <w:tcPr>
            <w:tcW w:w="4530" w:type="dxa"/>
            <w:tcBorders>
              <w:top w:val="nil"/>
              <w:left w:val="nil"/>
              <w:bottom w:val="nil"/>
              <w:right w:val="nil"/>
            </w:tcBorders>
            <w:shd w:val="clear" w:color="auto" w:fill="auto"/>
            <w:vAlign w:val="bottom"/>
          </w:tcPr>
          <w:p w14:paraId="707E2721" w14:textId="3C9D5298" w:rsidR="00725A99" w:rsidRPr="0025250D" w:rsidRDefault="00725A99" w:rsidP="00725A99">
            <w:pPr>
              <w:rPr>
                <w:rFonts w:cs="Times New Roman"/>
                <w:rtl/>
              </w:rPr>
            </w:pPr>
            <w:r w:rsidRPr="0025250D">
              <w:rPr>
                <w:rFonts w:cs="Times New Roman"/>
                <w:color w:val="000000"/>
                <w:szCs w:val="20"/>
              </w:rPr>
              <w:t>Futurist</w:t>
            </w:r>
          </w:p>
        </w:tc>
      </w:tr>
      <w:tr w:rsidR="00725A99" w:rsidRPr="0025250D" w14:paraId="2076D6E6" w14:textId="77777777" w:rsidTr="00725A99">
        <w:tc>
          <w:tcPr>
            <w:tcW w:w="4530" w:type="dxa"/>
            <w:tcBorders>
              <w:top w:val="nil"/>
              <w:left w:val="nil"/>
              <w:bottom w:val="nil"/>
              <w:right w:val="nil"/>
            </w:tcBorders>
            <w:shd w:val="clear" w:color="auto" w:fill="auto"/>
            <w:vAlign w:val="bottom"/>
          </w:tcPr>
          <w:p w14:paraId="271DCC6A" w14:textId="0448B442" w:rsidR="00725A99" w:rsidRPr="0025250D" w:rsidRDefault="00725A99" w:rsidP="00C51390">
            <w:pPr>
              <w:bidi/>
              <w:rPr>
                <w:rtl/>
              </w:rPr>
            </w:pPr>
            <w:r w:rsidRPr="0025250D">
              <w:rPr>
                <w:rFonts w:ascii="Calibri" w:hAnsi="Calibri"/>
                <w:color w:val="000000"/>
                <w:sz w:val="22"/>
                <w:rtl/>
              </w:rPr>
              <w:t>آینده شناس</w:t>
            </w:r>
          </w:p>
        </w:tc>
        <w:tc>
          <w:tcPr>
            <w:tcW w:w="4530" w:type="dxa"/>
            <w:tcBorders>
              <w:top w:val="nil"/>
              <w:left w:val="nil"/>
              <w:bottom w:val="nil"/>
              <w:right w:val="nil"/>
            </w:tcBorders>
            <w:shd w:val="clear" w:color="auto" w:fill="auto"/>
            <w:vAlign w:val="bottom"/>
          </w:tcPr>
          <w:p w14:paraId="3D37CB16" w14:textId="58D47D02" w:rsidR="00725A99" w:rsidRPr="0025250D" w:rsidRDefault="00C51390" w:rsidP="00725A99">
            <w:pPr>
              <w:rPr>
                <w:rFonts w:cs="Times New Roman"/>
                <w:rtl/>
              </w:rPr>
            </w:pPr>
            <w:r w:rsidRPr="0025250D">
              <w:rPr>
                <w:rFonts w:cs="Times New Roman"/>
                <w:color w:val="000000"/>
                <w:szCs w:val="20"/>
              </w:rPr>
              <w:t>F</w:t>
            </w:r>
            <w:r w:rsidR="00725A99" w:rsidRPr="0025250D">
              <w:rPr>
                <w:rFonts w:cs="Times New Roman"/>
                <w:color w:val="000000"/>
                <w:szCs w:val="20"/>
              </w:rPr>
              <w:t>uturologist</w:t>
            </w:r>
          </w:p>
        </w:tc>
      </w:tr>
      <w:tr w:rsidR="00725A99" w:rsidRPr="0025250D" w14:paraId="0D62D60D" w14:textId="77777777" w:rsidTr="00725A99">
        <w:tc>
          <w:tcPr>
            <w:tcW w:w="4530" w:type="dxa"/>
            <w:tcBorders>
              <w:top w:val="nil"/>
              <w:left w:val="nil"/>
              <w:bottom w:val="nil"/>
              <w:right w:val="nil"/>
            </w:tcBorders>
            <w:shd w:val="clear" w:color="auto" w:fill="auto"/>
            <w:vAlign w:val="bottom"/>
          </w:tcPr>
          <w:p w14:paraId="0A1EE91C" w14:textId="74380B1C" w:rsidR="00725A99" w:rsidRPr="0025250D" w:rsidRDefault="00725A99" w:rsidP="00C51390">
            <w:pPr>
              <w:bidi/>
              <w:rPr>
                <w:rtl/>
              </w:rPr>
            </w:pPr>
            <w:r w:rsidRPr="0025250D">
              <w:rPr>
                <w:rFonts w:ascii="Calibri" w:hAnsi="Calibri" w:hint="cs"/>
                <w:color w:val="000000"/>
                <w:sz w:val="22"/>
                <w:rtl/>
              </w:rPr>
              <w:t>آینده‌شناسی</w:t>
            </w:r>
          </w:p>
        </w:tc>
        <w:tc>
          <w:tcPr>
            <w:tcW w:w="4530" w:type="dxa"/>
            <w:tcBorders>
              <w:top w:val="nil"/>
              <w:left w:val="nil"/>
              <w:bottom w:val="nil"/>
              <w:right w:val="nil"/>
            </w:tcBorders>
            <w:shd w:val="clear" w:color="auto" w:fill="auto"/>
            <w:vAlign w:val="bottom"/>
          </w:tcPr>
          <w:p w14:paraId="5EE18972" w14:textId="2BD9316A" w:rsidR="00725A99" w:rsidRPr="0025250D" w:rsidRDefault="00725A99" w:rsidP="00725A99">
            <w:pPr>
              <w:rPr>
                <w:rFonts w:cs="Times New Roman"/>
                <w:rtl/>
              </w:rPr>
            </w:pPr>
            <w:r w:rsidRPr="0025250D">
              <w:rPr>
                <w:rFonts w:cs="Times New Roman"/>
                <w:color w:val="000000"/>
                <w:szCs w:val="20"/>
              </w:rPr>
              <w:t>Futurology</w:t>
            </w:r>
          </w:p>
        </w:tc>
      </w:tr>
      <w:tr w:rsidR="00C51390" w:rsidRPr="0025250D" w14:paraId="2457B2A6" w14:textId="77777777" w:rsidTr="00725A99">
        <w:tc>
          <w:tcPr>
            <w:tcW w:w="4530" w:type="dxa"/>
            <w:tcBorders>
              <w:top w:val="nil"/>
              <w:left w:val="nil"/>
              <w:bottom w:val="nil"/>
              <w:right w:val="nil"/>
            </w:tcBorders>
            <w:shd w:val="clear" w:color="auto" w:fill="auto"/>
            <w:vAlign w:val="bottom"/>
          </w:tcPr>
          <w:p w14:paraId="482499C8" w14:textId="77777777" w:rsidR="00C51390" w:rsidRPr="0025250D" w:rsidRDefault="00C51390" w:rsidP="00C51390">
            <w:pPr>
              <w:rPr>
                <w:rFonts w:ascii="Calibri" w:hAnsi="Calibri"/>
                <w:color w:val="000000"/>
                <w:sz w:val="22"/>
                <w:rtl/>
              </w:rPr>
            </w:pPr>
          </w:p>
        </w:tc>
        <w:tc>
          <w:tcPr>
            <w:tcW w:w="4530" w:type="dxa"/>
            <w:tcBorders>
              <w:top w:val="nil"/>
              <w:left w:val="nil"/>
              <w:bottom w:val="nil"/>
              <w:right w:val="nil"/>
            </w:tcBorders>
            <w:shd w:val="clear" w:color="auto" w:fill="auto"/>
            <w:vAlign w:val="bottom"/>
          </w:tcPr>
          <w:p w14:paraId="3F2C5F7A" w14:textId="77777777" w:rsidR="00C51390" w:rsidRPr="0025250D" w:rsidRDefault="00C51390" w:rsidP="00725A99">
            <w:pPr>
              <w:rPr>
                <w:rFonts w:cs="Times New Roman"/>
                <w:color w:val="000000"/>
                <w:szCs w:val="20"/>
              </w:rPr>
            </w:pPr>
          </w:p>
        </w:tc>
      </w:tr>
      <w:tr w:rsidR="00C51390" w:rsidRPr="0025250D" w14:paraId="728F031E" w14:textId="77777777" w:rsidTr="00193451">
        <w:tc>
          <w:tcPr>
            <w:tcW w:w="9060" w:type="dxa"/>
            <w:gridSpan w:val="2"/>
            <w:tcBorders>
              <w:top w:val="nil"/>
              <w:left w:val="nil"/>
              <w:bottom w:val="nil"/>
              <w:right w:val="nil"/>
            </w:tcBorders>
            <w:shd w:val="clear" w:color="auto" w:fill="auto"/>
            <w:vAlign w:val="bottom"/>
          </w:tcPr>
          <w:p w14:paraId="4A0D1297" w14:textId="576142DA" w:rsidR="00C51390" w:rsidRPr="0025250D" w:rsidRDefault="00C51390" w:rsidP="00C51390">
            <w:pPr>
              <w:jc w:val="center"/>
              <w:rPr>
                <w:rFonts w:cs="Times New Roman"/>
                <w:b/>
                <w:bCs/>
                <w:color w:val="000000"/>
                <w:szCs w:val="20"/>
              </w:rPr>
            </w:pPr>
            <w:r w:rsidRPr="0025250D">
              <w:rPr>
                <w:rFonts w:cs="Times New Roman"/>
                <w:b/>
                <w:bCs/>
                <w:color w:val="000000"/>
                <w:sz w:val="28"/>
                <w:szCs w:val="28"/>
              </w:rPr>
              <w:t>G</w:t>
            </w:r>
          </w:p>
        </w:tc>
      </w:tr>
      <w:tr w:rsidR="00725A99" w:rsidRPr="0025250D" w14:paraId="22F1D452" w14:textId="77777777" w:rsidTr="00725A99">
        <w:tc>
          <w:tcPr>
            <w:tcW w:w="4530" w:type="dxa"/>
            <w:tcBorders>
              <w:top w:val="nil"/>
              <w:left w:val="nil"/>
              <w:bottom w:val="nil"/>
              <w:right w:val="nil"/>
            </w:tcBorders>
            <w:shd w:val="clear" w:color="auto" w:fill="auto"/>
            <w:vAlign w:val="bottom"/>
          </w:tcPr>
          <w:p w14:paraId="23BA58F6" w14:textId="250F27C9" w:rsidR="00725A99" w:rsidRPr="0025250D" w:rsidRDefault="00725A99" w:rsidP="00C51390">
            <w:pPr>
              <w:bidi/>
              <w:rPr>
                <w:rtl/>
              </w:rPr>
            </w:pPr>
            <w:r w:rsidRPr="0025250D">
              <w:rPr>
                <w:rFonts w:ascii="Calibri" w:hAnsi="Calibri" w:hint="cs"/>
                <w:color w:val="000000"/>
                <w:sz w:val="22"/>
                <w:rtl/>
              </w:rPr>
              <w:t>آینده‌نگاری نبوغ‌آمیز</w:t>
            </w:r>
          </w:p>
        </w:tc>
        <w:tc>
          <w:tcPr>
            <w:tcW w:w="4530" w:type="dxa"/>
            <w:tcBorders>
              <w:top w:val="nil"/>
              <w:left w:val="nil"/>
              <w:bottom w:val="nil"/>
              <w:right w:val="nil"/>
            </w:tcBorders>
            <w:shd w:val="clear" w:color="auto" w:fill="auto"/>
            <w:vAlign w:val="bottom"/>
          </w:tcPr>
          <w:p w14:paraId="3EF39D99" w14:textId="46498BBF" w:rsidR="00725A99" w:rsidRPr="0025250D" w:rsidRDefault="00725A99" w:rsidP="00725A99">
            <w:pPr>
              <w:rPr>
                <w:rFonts w:cs="Times New Roman"/>
                <w:rtl/>
              </w:rPr>
            </w:pPr>
            <w:r w:rsidRPr="0025250D">
              <w:rPr>
                <w:rFonts w:cs="Times New Roman"/>
                <w:color w:val="000000"/>
                <w:szCs w:val="20"/>
              </w:rPr>
              <w:t>Genius Foresight</w:t>
            </w:r>
          </w:p>
        </w:tc>
      </w:tr>
      <w:tr w:rsidR="00C51390" w:rsidRPr="0025250D" w14:paraId="4EA77370" w14:textId="77777777" w:rsidTr="00725A99">
        <w:tc>
          <w:tcPr>
            <w:tcW w:w="4530" w:type="dxa"/>
            <w:tcBorders>
              <w:top w:val="nil"/>
              <w:left w:val="nil"/>
              <w:bottom w:val="nil"/>
              <w:right w:val="nil"/>
            </w:tcBorders>
            <w:shd w:val="clear" w:color="auto" w:fill="auto"/>
            <w:vAlign w:val="bottom"/>
          </w:tcPr>
          <w:p w14:paraId="19B111AE" w14:textId="77777777" w:rsidR="00C51390" w:rsidRPr="0025250D" w:rsidRDefault="00C51390" w:rsidP="00C51390">
            <w:pPr>
              <w:rPr>
                <w:rFonts w:ascii="Calibri" w:hAnsi="Calibri"/>
                <w:color w:val="000000"/>
                <w:sz w:val="22"/>
                <w:rtl/>
              </w:rPr>
            </w:pPr>
          </w:p>
        </w:tc>
        <w:tc>
          <w:tcPr>
            <w:tcW w:w="4530" w:type="dxa"/>
            <w:tcBorders>
              <w:top w:val="nil"/>
              <w:left w:val="nil"/>
              <w:bottom w:val="nil"/>
              <w:right w:val="nil"/>
            </w:tcBorders>
            <w:shd w:val="clear" w:color="auto" w:fill="auto"/>
            <w:vAlign w:val="bottom"/>
          </w:tcPr>
          <w:p w14:paraId="38FFF6AF" w14:textId="77777777" w:rsidR="00C51390" w:rsidRPr="0025250D" w:rsidRDefault="00C51390" w:rsidP="00725A99">
            <w:pPr>
              <w:rPr>
                <w:rFonts w:cs="Times New Roman"/>
                <w:color w:val="000000"/>
                <w:szCs w:val="20"/>
              </w:rPr>
            </w:pPr>
          </w:p>
        </w:tc>
      </w:tr>
      <w:tr w:rsidR="00C51390" w:rsidRPr="0025250D" w14:paraId="487EDAC3" w14:textId="77777777" w:rsidTr="00716401">
        <w:tc>
          <w:tcPr>
            <w:tcW w:w="9060" w:type="dxa"/>
            <w:gridSpan w:val="2"/>
            <w:tcBorders>
              <w:top w:val="nil"/>
              <w:left w:val="nil"/>
              <w:bottom w:val="nil"/>
              <w:right w:val="nil"/>
            </w:tcBorders>
            <w:shd w:val="clear" w:color="auto" w:fill="auto"/>
            <w:vAlign w:val="bottom"/>
          </w:tcPr>
          <w:p w14:paraId="3AE04333" w14:textId="4A8A7363" w:rsidR="00C51390" w:rsidRPr="0025250D" w:rsidRDefault="00C51390" w:rsidP="00C51390">
            <w:pPr>
              <w:jc w:val="center"/>
              <w:rPr>
                <w:rFonts w:cs="Times New Roman"/>
                <w:b/>
                <w:bCs/>
                <w:color w:val="000000"/>
                <w:szCs w:val="20"/>
              </w:rPr>
            </w:pPr>
            <w:r w:rsidRPr="0025250D">
              <w:rPr>
                <w:rFonts w:cs="Times New Roman"/>
                <w:b/>
                <w:bCs/>
                <w:color w:val="000000"/>
                <w:sz w:val="28"/>
                <w:szCs w:val="28"/>
              </w:rPr>
              <w:t>H</w:t>
            </w:r>
          </w:p>
        </w:tc>
      </w:tr>
      <w:tr w:rsidR="00725A99" w:rsidRPr="0025250D" w14:paraId="743EF840" w14:textId="77777777" w:rsidTr="00725A99">
        <w:tc>
          <w:tcPr>
            <w:tcW w:w="4530" w:type="dxa"/>
            <w:tcBorders>
              <w:top w:val="nil"/>
              <w:left w:val="nil"/>
              <w:bottom w:val="nil"/>
              <w:right w:val="nil"/>
            </w:tcBorders>
            <w:shd w:val="clear" w:color="auto" w:fill="auto"/>
            <w:vAlign w:val="bottom"/>
          </w:tcPr>
          <w:p w14:paraId="326B0A2F" w14:textId="5176122D" w:rsidR="00725A99" w:rsidRPr="0025250D" w:rsidRDefault="00725A99" w:rsidP="00C51390">
            <w:pPr>
              <w:bidi/>
              <w:rPr>
                <w:rtl/>
              </w:rPr>
            </w:pPr>
            <w:r w:rsidRPr="0025250D">
              <w:rPr>
                <w:rFonts w:ascii="Calibri" w:hAnsi="Calibri" w:hint="cs"/>
                <w:color w:val="000000"/>
                <w:sz w:val="22"/>
                <w:rtl/>
              </w:rPr>
              <w:t>گذشته‌نگاری</w:t>
            </w:r>
          </w:p>
        </w:tc>
        <w:tc>
          <w:tcPr>
            <w:tcW w:w="4530" w:type="dxa"/>
            <w:tcBorders>
              <w:top w:val="nil"/>
              <w:left w:val="nil"/>
              <w:bottom w:val="nil"/>
              <w:right w:val="nil"/>
            </w:tcBorders>
            <w:shd w:val="clear" w:color="auto" w:fill="auto"/>
            <w:vAlign w:val="bottom"/>
          </w:tcPr>
          <w:p w14:paraId="4F726FFC" w14:textId="0E82E8DE" w:rsidR="00725A99" w:rsidRPr="0025250D" w:rsidRDefault="00725A99" w:rsidP="00725A99">
            <w:pPr>
              <w:rPr>
                <w:rFonts w:cs="Times New Roman"/>
                <w:rtl/>
              </w:rPr>
            </w:pPr>
            <w:r w:rsidRPr="0025250D">
              <w:rPr>
                <w:rFonts w:cs="Times New Roman"/>
                <w:color w:val="000000"/>
                <w:szCs w:val="20"/>
              </w:rPr>
              <w:t>Hindsight</w:t>
            </w:r>
          </w:p>
        </w:tc>
      </w:tr>
      <w:tr w:rsidR="00725A99" w:rsidRPr="0025250D" w14:paraId="671E0AB1" w14:textId="77777777" w:rsidTr="00725A99">
        <w:tc>
          <w:tcPr>
            <w:tcW w:w="4530" w:type="dxa"/>
            <w:tcBorders>
              <w:top w:val="nil"/>
              <w:left w:val="nil"/>
              <w:bottom w:val="nil"/>
              <w:right w:val="nil"/>
            </w:tcBorders>
            <w:shd w:val="clear" w:color="auto" w:fill="auto"/>
            <w:vAlign w:val="bottom"/>
          </w:tcPr>
          <w:p w14:paraId="2EC6AA0F" w14:textId="39A41F1E" w:rsidR="00725A99" w:rsidRPr="0025250D" w:rsidRDefault="00725A99" w:rsidP="00C51390">
            <w:pPr>
              <w:bidi/>
              <w:rPr>
                <w:rtl/>
              </w:rPr>
            </w:pPr>
            <w:r w:rsidRPr="0025250D">
              <w:rPr>
                <w:rFonts w:ascii="Calibri" w:hAnsi="Calibri" w:hint="cs"/>
                <w:color w:val="000000"/>
                <w:sz w:val="22"/>
                <w:rtl/>
              </w:rPr>
              <w:t>افق‌پویی</w:t>
            </w:r>
          </w:p>
        </w:tc>
        <w:tc>
          <w:tcPr>
            <w:tcW w:w="4530" w:type="dxa"/>
            <w:tcBorders>
              <w:top w:val="nil"/>
              <w:left w:val="nil"/>
              <w:bottom w:val="nil"/>
              <w:right w:val="nil"/>
            </w:tcBorders>
            <w:shd w:val="clear" w:color="auto" w:fill="auto"/>
            <w:vAlign w:val="bottom"/>
          </w:tcPr>
          <w:p w14:paraId="1676D034" w14:textId="4F2C5541" w:rsidR="00725A99" w:rsidRPr="0025250D" w:rsidRDefault="00725A99" w:rsidP="00725A99">
            <w:pPr>
              <w:rPr>
                <w:rFonts w:cs="Times New Roman"/>
                <w:rtl/>
              </w:rPr>
            </w:pPr>
            <w:r w:rsidRPr="0025250D">
              <w:rPr>
                <w:rFonts w:cs="Times New Roman"/>
                <w:color w:val="000000"/>
                <w:szCs w:val="20"/>
              </w:rPr>
              <w:t>Horizon scanning</w:t>
            </w:r>
          </w:p>
        </w:tc>
      </w:tr>
      <w:tr w:rsidR="00725A99" w:rsidRPr="0025250D" w14:paraId="72DB997F" w14:textId="77777777" w:rsidTr="00725A99">
        <w:tc>
          <w:tcPr>
            <w:tcW w:w="4530" w:type="dxa"/>
            <w:tcBorders>
              <w:top w:val="nil"/>
              <w:left w:val="nil"/>
              <w:bottom w:val="nil"/>
              <w:right w:val="nil"/>
            </w:tcBorders>
            <w:shd w:val="clear" w:color="auto" w:fill="auto"/>
            <w:vAlign w:val="bottom"/>
          </w:tcPr>
          <w:p w14:paraId="068D2429" w14:textId="684A8269" w:rsidR="00725A99" w:rsidRPr="0025250D" w:rsidRDefault="00725A99" w:rsidP="00C51390">
            <w:pPr>
              <w:bidi/>
              <w:rPr>
                <w:rtl/>
              </w:rPr>
            </w:pPr>
            <w:r w:rsidRPr="0025250D">
              <w:rPr>
                <w:rFonts w:ascii="Calibri" w:hAnsi="Calibri" w:hint="cs"/>
                <w:color w:val="000000"/>
                <w:sz w:val="22"/>
                <w:rtl/>
              </w:rPr>
              <w:t>آینده‌نگاری بشر دوستانه</w:t>
            </w:r>
          </w:p>
        </w:tc>
        <w:tc>
          <w:tcPr>
            <w:tcW w:w="4530" w:type="dxa"/>
            <w:tcBorders>
              <w:top w:val="nil"/>
              <w:left w:val="nil"/>
              <w:bottom w:val="nil"/>
              <w:right w:val="nil"/>
            </w:tcBorders>
            <w:shd w:val="clear" w:color="auto" w:fill="auto"/>
            <w:vAlign w:val="bottom"/>
          </w:tcPr>
          <w:p w14:paraId="6FB0F609" w14:textId="72CF78D3" w:rsidR="00725A99" w:rsidRPr="0025250D" w:rsidRDefault="00725A99" w:rsidP="00725A99">
            <w:pPr>
              <w:rPr>
                <w:rFonts w:cs="Times New Roman"/>
                <w:rtl/>
              </w:rPr>
            </w:pPr>
            <w:r w:rsidRPr="0025250D">
              <w:rPr>
                <w:rFonts w:cs="Times New Roman"/>
                <w:color w:val="000000"/>
                <w:szCs w:val="20"/>
              </w:rPr>
              <w:t>Humanitarian foresight</w:t>
            </w:r>
          </w:p>
        </w:tc>
      </w:tr>
      <w:tr w:rsidR="00C51390" w:rsidRPr="0025250D" w14:paraId="6A9E5084" w14:textId="77777777" w:rsidTr="00725A99">
        <w:tc>
          <w:tcPr>
            <w:tcW w:w="4530" w:type="dxa"/>
            <w:tcBorders>
              <w:top w:val="nil"/>
              <w:left w:val="nil"/>
              <w:bottom w:val="nil"/>
              <w:right w:val="nil"/>
            </w:tcBorders>
            <w:shd w:val="clear" w:color="auto" w:fill="auto"/>
            <w:vAlign w:val="bottom"/>
          </w:tcPr>
          <w:p w14:paraId="25187505" w14:textId="77777777" w:rsidR="00C51390" w:rsidRPr="0025250D" w:rsidRDefault="00C51390" w:rsidP="00C51390">
            <w:pPr>
              <w:rPr>
                <w:rFonts w:ascii="Calibri" w:hAnsi="Calibri"/>
                <w:color w:val="000000"/>
                <w:sz w:val="22"/>
                <w:rtl/>
              </w:rPr>
            </w:pPr>
          </w:p>
        </w:tc>
        <w:tc>
          <w:tcPr>
            <w:tcW w:w="4530" w:type="dxa"/>
            <w:tcBorders>
              <w:top w:val="nil"/>
              <w:left w:val="nil"/>
              <w:bottom w:val="nil"/>
              <w:right w:val="nil"/>
            </w:tcBorders>
            <w:shd w:val="clear" w:color="auto" w:fill="auto"/>
            <w:vAlign w:val="bottom"/>
          </w:tcPr>
          <w:p w14:paraId="364E0839" w14:textId="77777777" w:rsidR="00C51390" w:rsidRPr="0025250D" w:rsidRDefault="00C51390" w:rsidP="00725A99">
            <w:pPr>
              <w:rPr>
                <w:rFonts w:cs="Times New Roman"/>
                <w:color w:val="000000"/>
                <w:szCs w:val="20"/>
              </w:rPr>
            </w:pPr>
          </w:p>
        </w:tc>
      </w:tr>
      <w:tr w:rsidR="00C51390" w:rsidRPr="0025250D" w14:paraId="62737CA7" w14:textId="77777777" w:rsidTr="00C16269">
        <w:tc>
          <w:tcPr>
            <w:tcW w:w="9060" w:type="dxa"/>
            <w:gridSpan w:val="2"/>
            <w:tcBorders>
              <w:top w:val="nil"/>
              <w:left w:val="nil"/>
              <w:bottom w:val="nil"/>
              <w:right w:val="nil"/>
            </w:tcBorders>
            <w:shd w:val="clear" w:color="auto" w:fill="auto"/>
            <w:vAlign w:val="bottom"/>
          </w:tcPr>
          <w:p w14:paraId="3329B78D" w14:textId="05284EFD" w:rsidR="00C51390" w:rsidRPr="0025250D" w:rsidRDefault="00C51390" w:rsidP="00C51390">
            <w:pPr>
              <w:jc w:val="center"/>
              <w:rPr>
                <w:rFonts w:cs="Times New Roman"/>
                <w:b/>
                <w:bCs/>
                <w:color w:val="000000"/>
                <w:szCs w:val="20"/>
              </w:rPr>
            </w:pPr>
            <w:r w:rsidRPr="0025250D">
              <w:rPr>
                <w:rFonts w:cs="Times New Roman"/>
                <w:b/>
                <w:bCs/>
                <w:color w:val="000000"/>
                <w:sz w:val="28"/>
                <w:szCs w:val="28"/>
              </w:rPr>
              <w:t>I</w:t>
            </w:r>
          </w:p>
        </w:tc>
      </w:tr>
      <w:tr w:rsidR="00725A99" w:rsidRPr="0025250D" w14:paraId="679551B1" w14:textId="77777777" w:rsidTr="00725A99">
        <w:tc>
          <w:tcPr>
            <w:tcW w:w="4530" w:type="dxa"/>
            <w:tcBorders>
              <w:top w:val="nil"/>
              <w:left w:val="nil"/>
              <w:bottom w:val="nil"/>
              <w:right w:val="nil"/>
            </w:tcBorders>
            <w:shd w:val="clear" w:color="auto" w:fill="auto"/>
            <w:vAlign w:val="bottom"/>
          </w:tcPr>
          <w:p w14:paraId="6D9CA26F" w14:textId="0D79DF0C" w:rsidR="00725A99" w:rsidRPr="0025250D" w:rsidRDefault="00725A99" w:rsidP="00C51390">
            <w:pPr>
              <w:bidi/>
              <w:rPr>
                <w:rtl/>
              </w:rPr>
            </w:pPr>
            <w:r w:rsidRPr="0025250D">
              <w:rPr>
                <w:rFonts w:ascii="Calibri" w:hAnsi="Calibri" w:hint="cs"/>
                <w:color w:val="000000"/>
                <w:sz w:val="22"/>
                <w:rtl/>
              </w:rPr>
              <w:t>آینده‌نگاری نوآوری</w:t>
            </w:r>
          </w:p>
        </w:tc>
        <w:tc>
          <w:tcPr>
            <w:tcW w:w="4530" w:type="dxa"/>
            <w:tcBorders>
              <w:top w:val="nil"/>
              <w:left w:val="nil"/>
              <w:bottom w:val="nil"/>
              <w:right w:val="nil"/>
            </w:tcBorders>
            <w:shd w:val="clear" w:color="auto" w:fill="auto"/>
            <w:vAlign w:val="bottom"/>
          </w:tcPr>
          <w:p w14:paraId="2D105B8F" w14:textId="1C5B2B2B" w:rsidR="00725A99" w:rsidRPr="0025250D" w:rsidRDefault="00725A99" w:rsidP="00725A99">
            <w:pPr>
              <w:rPr>
                <w:rFonts w:cs="Times New Roman"/>
                <w:rtl/>
              </w:rPr>
            </w:pPr>
            <w:r w:rsidRPr="0025250D">
              <w:rPr>
                <w:rFonts w:cs="Times New Roman"/>
                <w:color w:val="000000"/>
                <w:szCs w:val="20"/>
              </w:rPr>
              <w:t>Innovation foresight</w:t>
            </w:r>
          </w:p>
        </w:tc>
      </w:tr>
      <w:tr w:rsidR="00725A99" w:rsidRPr="0025250D" w14:paraId="281E6FC2" w14:textId="77777777" w:rsidTr="00725A99">
        <w:tc>
          <w:tcPr>
            <w:tcW w:w="4530" w:type="dxa"/>
            <w:tcBorders>
              <w:top w:val="nil"/>
              <w:left w:val="nil"/>
              <w:bottom w:val="nil"/>
              <w:right w:val="nil"/>
            </w:tcBorders>
            <w:shd w:val="clear" w:color="auto" w:fill="auto"/>
            <w:vAlign w:val="bottom"/>
          </w:tcPr>
          <w:p w14:paraId="666BDDD9" w14:textId="176E8E3A" w:rsidR="00725A99" w:rsidRPr="0025250D" w:rsidRDefault="00725A99" w:rsidP="00C51390">
            <w:pPr>
              <w:bidi/>
              <w:rPr>
                <w:rtl/>
              </w:rPr>
            </w:pPr>
            <w:r w:rsidRPr="0025250D">
              <w:rPr>
                <w:rFonts w:ascii="Calibri" w:hAnsi="Calibri" w:hint="cs"/>
                <w:color w:val="000000"/>
                <w:sz w:val="22"/>
                <w:rtl/>
              </w:rPr>
              <w:t>درون نگری</w:t>
            </w:r>
          </w:p>
        </w:tc>
        <w:tc>
          <w:tcPr>
            <w:tcW w:w="4530" w:type="dxa"/>
            <w:tcBorders>
              <w:top w:val="nil"/>
              <w:left w:val="nil"/>
              <w:bottom w:val="nil"/>
              <w:right w:val="nil"/>
            </w:tcBorders>
            <w:shd w:val="clear" w:color="auto" w:fill="auto"/>
            <w:vAlign w:val="bottom"/>
          </w:tcPr>
          <w:p w14:paraId="532AB2E9" w14:textId="7093D57A" w:rsidR="00725A99" w:rsidRPr="0025250D" w:rsidRDefault="00725A99" w:rsidP="00725A99">
            <w:pPr>
              <w:rPr>
                <w:rFonts w:cs="Times New Roman"/>
                <w:rtl/>
              </w:rPr>
            </w:pPr>
            <w:r w:rsidRPr="0025250D">
              <w:rPr>
                <w:rFonts w:cs="Times New Roman"/>
                <w:color w:val="000000"/>
                <w:szCs w:val="20"/>
              </w:rPr>
              <w:t>Introspection</w:t>
            </w:r>
          </w:p>
        </w:tc>
      </w:tr>
      <w:tr w:rsidR="00725A99" w:rsidRPr="0025250D" w14:paraId="7D5B9777" w14:textId="77777777" w:rsidTr="00725A99">
        <w:tc>
          <w:tcPr>
            <w:tcW w:w="4530" w:type="dxa"/>
            <w:tcBorders>
              <w:top w:val="nil"/>
              <w:left w:val="nil"/>
              <w:bottom w:val="nil"/>
              <w:right w:val="nil"/>
            </w:tcBorders>
            <w:shd w:val="clear" w:color="auto" w:fill="auto"/>
            <w:vAlign w:val="bottom"/>
          </w:tcPr>
          <w:p w14:paraId="32B23A85" w14:textId="075309C3" w:rsidR="00725A99" w:rsidRPr="0025250D" w:rsidRDefault="00725A99" w:rsidP="00C51390">
            <w:pPr>
              <w:bidi/>
              <w:rPr>
                <w:rtl/>
              </w:rPr>
            </w:pPr>
            <w:r w:rsidRPr="0025250D">
              <w:rPr>
                <w:rFonts w:ascii="Calibri" w:hAnsi="Calibri"/>
                <w:color w:val="000000"/>
                <w:sz w:val="22"/>
                <w:rtl/>
              </w:rPr>
              <w:t>تفکر شهودی</w:t>
            </w:r>
          </w:p>
        </w:tc>
        <w:tc>
          <w:tcPr>
            <w:tcW w:w="4530" w:type="dxa"/>
            <w:tcBorders>
              <w:top w:val="nil"/>
              <w:left w:val="nil"/>
              <w:bottom w:val="nil"/>
              <w:right w:val="nil"/>
            </w:tcBorders>
            <w:shd w:val="clear" w:color="auto" w:fill="auto"/>
            <w:vAlign w:val="bottom"/>
          </w:tcPr>
          <w:p w14:paraId="7A7BE05F" w14:textId="7271A6BF" w:rsidR="00725A99" w:rsidRPr="0025250D" w:rsidRDefault="00725A99" w:rsidP="00725A99">
            <w:pPr>
              <w:rPr>
                <w:rFonts w:cs="Times New Roman"/>
                <w:rtl/>
              </w:rPr>
            </w:pPr>
            <w:r w:rsidRPr="0025250D">
              <w:rPr>
                <w:rFonts w:cs="Times New Roman"/>
                <w:color w:val="000000"/>
                <w:szCs w:val="20"/>
              </w:rPr>
              <w:t>Intuition thinking</w:t>
            </w:r>
          </w:p>
        </w:tc>
      </w:tr>
      <w:tr w:rsidR="00725A99" w:rsidRPr="0025250D" w14:paraId="21A69EBF" w14:textId="77777777" w:rsidTr="00725A99">
        <w:tc>
          <w:tcPr>
            <w:tcW w:w="4530" w:type="dxa"/>
            <w:tcBorders>
              <w:top w:val="nil"/>
              <w:left w:val="nil"/>
              <w:bottom w:val="nil"/>
              <w:right w:val="nil"/>
            </w:tcBorders>
            <w:shd w:val="clear" w:color="auto" w:fill="auto"/>
            <w:vAlign w:val="bottom"/>
          </w:tcPr>
          <w:p w14:paraId="3DCEB348" w14:textId="17AA2448" w:rsidR="00725A99" w:rsidRPr="0025250D" w:rsidRDefault="00725A99" w:rsidP="00C51390">
            <w:pPr>
              <w:bidi/>
              <w:rPr>
                <w:rtl/>
              </w:rPr>
            </w:pPr>
            <w:r w:rsidRPr="0025250D">
              <w:rPr>
                <w:rFonts w:ascii="Calibri" w:hAnsi="Calibri" w:hint="cs"/>
                <w:color w:val="000000"/>
                <w:sz w:val="22"/>
                <w:rtl/>
              </w:rPr>
              <w:t>تفکر جستجوگر</w:t>
            </w:r>
          </w:p>
        </w:tc>
        <w:tc>
          <w:tcPr>
            <w:tcW w:w="4530" w:type="dxa"/>
            <w:tcBorders>
              <w:top w:val="nil"/>
              <w:left w:val="nil"/>
              <w:bottom w:val="nil"/>
              <w:right w:val="nil"/>
            </w:tcBorders>
            <w:shd w:val="clear" w:color="auto" w:fill="auto"/>
            <w:vAlign w:val="bottom"/>
          </w:tcPr>
          <w:p w14:paraId="3DC09F28" w14:textId="0D16F04A" w:rsidR="00725A99" w:rsidRPr="0025250D" w:rsidRDefault="00725A99" w:rsidP="00725A99">
            <w:pPr>
              <w:rPr>
                <w:rFonts w:cs="Times New Roman"/>
                <w:rtl/>
              </w:rPr>
            </w:pPr>
            <w:r w:rsidRPr="0025250D">
              <w:rPr>
                <w:rFonts w:cs="Times New Roman"/>
                <w:color w:val="000000"/>
                <w:szCs w:val="20"/>
              </w:rPr>
              <w:t>Investigative thinking</w:t>
            </w:r>
          </w:p>
        </w:tc>
      </w:tr>
      <w:tr w:rsidR="00C51390" w:rsidRPr="0025250D" w14:paraId="7EFB0195" w14:textId="77777777" w:rsidTr="00725A99">
        <w:tc>
          <w:tcPr>
            <w:tcW w:w="4530" w:type="dxa"/>
            <w:tcBorders>
              <w:top w:val="nil"/>
              <w:left w:val="nil"/>
              <w:bottom w:val="nil"/>
              <w:right w:val="nil"/>
            </w:tcBorders>
            <w:shd w:val="clear" w:color="auto" w:fill="auto"/>
            <w:vAlign w:val="bottom"/>
          </w:tcPr>
          <w:p w14:paraId="28169BC2" w14:textId="77777777" w:rsidR="00C51390" w:rsidRPr="0025250D" w:rsidRDefault="00C51390" w:rsidP="00C51390">
            <w:pPr>
              <w:rPr>
                <w:rFonts w:ascii="Calibri" w:hAnsi="Calibri"/>
                <w:color w:val="000000"/>
                <w:sz w:val="22"/>
                <w:rtl/>
              </w:rPr>
            </w:pPr>
          </w:p>
        </w:tc>
        <w:tc>
          <w:tcPr>
            <w:tcW w:w="4530" w:type="dxa"/>
            <w:tcBorders>
              <w:top w:val="nil"/>
              <w:left w:val="nil"/>
              <w:bottom w:val="nil"/>
              <w:right w:val="nil"/>
            </w:tcBorders>
            <w:shd w:val="clear" w:color="auto" w:fill="auto"/>
            <w:vAlign w:val="bottom"/>
          </w:tcPr>
          <w:p w14:paraId="06622A3C" w14:textId="77777777" w:rsidR="00C51390" w:rsidRPr="0025250D" w:rsidRDefault="00C51390" w:rsidP="00725A99">
            <w:pPr>
              <w:rPr>
                <w:rFonts w:cs="Times New Roman"/>
                <w:color w:val="000000"/>
                <w:szCs w:val="20"/>
              </w:rPr>
            </w:pPr>
          </w:p>
        </w:tc>
      </w:tr>
      <w:tr w:rsidR="00C51390" w:rsidRPr="0025250D" w14:paraId="4BCC19E7" w14:textId="77777777" w:rsidTr="00C55C8E">
        <w:tc>
          <w:tcPr>
            <w:tcW w:w="9060" w:type="dxa"/>
            <w:gridSpan w:val="2"/>
            <w:tcBorders>
              <w:top w:val="nil"/>
              <w:left w:val="nil"/>
              <w:bottom w:val="nil"/>
              <w:right w:val="nil"/>
            </w:tcBorders>
            <w:shd w:val="clear" w:color="auto" w:fill="auto"/>
            <w:vAlign w:val="bottom"/>
          </w:tcPr>
          <w:p w14:paraId="3F200E29" w14:textId="068DB368" w:rsidR="00C51390" w:rsidRPr="0025250D" w:rsidRDefault="00C51390" w:rsidP="00C51390">
            <w:pPr>
              <w:jc w:val="center"/>
              <w:rPr>
                <w:rFonts w:cs="Times New Roman"/>
                <w:b/>
                <w:bCs/>
                <w:color w:val="000000"/>
                <w:szCs w:val="20"/>
              </w:rPr>
            </w:pPr>
            <w:r w:rsidRPr="0025250D">
              <w:rPr>
                <w:rFonts w:cs="Times New Roman"/>
                <w:b/>
                <w:bCs/>
                <w:color w:val="000000"/>
                <w:sz w:val="28"/>
                <w:szCs w:val="28"/>
              </w:rPr>
              <w:t>L</w:t>
            </w:r>
          </w:p>
        </w:tc>
      </w:tr>
      <w:tr w:rsidR="00725A99" w:rsidRPr="0025250D" w14:paraId="3F879595" w14:textId="77777777" w:rsidTr="00725A99">
        <w:tc>
          <w:tcPr>
            <w:tcW w:w="4530" w:type="dxa"/>
            <w:tcBorders>
              <w:top w:val="nil"/>
              <w:left w:val="nil"/>
              <w:bottom w:val="nil"/>
              <w:right w:val="nil"/>
            </w:tcBorders>
            <w:shd w:val="clear" w:color="auto" w:fill="auto"/>
            <w:vAlign w:val="bottom"/>
          </w:tcPr>
          <w:p w14:paraId="1024B75E" w14:textId="753E9899" w:rsidR="00725A99" w:rsidRPr="0025250D" w:rsidRDefault="00725A99" w:rsidP="00C51390">
            <w:pPr>
              <w:bidi/>
              <w:rPr>
                <w:rtl/>
              </w:rPr>
            </w:pPr>
            <w:r w:rsidRPr="0025250D">
              <w:rPr>
                <w:rFonts w:ascii="Calibri" w:hAnsi="Calibri" w:hint="cs"/>
                <w:color w:val="000000"/>
                <w:sz w:val="22"/>
                <w:rtl/>
              </w:rPr>
              <w:t>احتمال وقوع</w:t>
            </w:r>
          </w:p>
        </w:tc>
        <w:tc>
          <w:tcPr>
            <w:tcW w:w="4530" w:type="dxa"/>
            <w:tcBorders>
              <w:top w:val="nil"/>
              <w:left w:val="nil"/>
              <w:bottom w:val="nil"/>
              <w:right w:val="nil"/>
            </w:tcBorders>
            <w:shd w:val="clear" w:color="auto" w:fill="auto"/>
            <w:vAlign w:val="bottom"/>
          </w:tcPr>
          <w:p w14:paraId="6B9B4A8B" w14:textId="440D06F2" w:rsidR="00725A99" w:rsidRPr="0025250D" w:rsidRDefault="00725A99" w:rsidP="00725A99">
            <w:pPr>
              <w:rPr>
                <w:rFonts w:cs="Times New Roman"/>
                <w:rtl/>
              </w:rPr>
            </w:pPr>
            <w:r w:rsidRPr="0025250D">
              <w:rPr>
                <w:rFonts w:cs="Times New Roman"/>
                <w:color w:val="000000"/>
                <w:szCs w:val="20"/>
              </w:rPr>
              <w:t>Likelihood</w:t>
            </w:r>
          </w:p>
        </w:tc>
      </w:tr>
      <w:tr w:rsidR="00C51390" w:rsidRPr="0025250D" w14:paraId="1C6A1361" w14:textId="77777777" w:rsidTr="00725A99">
        <w:tc>
          <w:tcPr>
            <w:tcW w:w="4530" w:type="dxa"/>
            <w:tcBorders>
              <w:top w:val="nil"/>
              <w:left w:val="nil"/>
              <w:bottom w:val="nil"/>
              <w:right w:val="nil"/>
            </w:tcBorders>
            <w:shd w:val="clear" w:color="auto" w:fill="auto"/>
            <w:vAlign w:val="bottom"/>
          </w:tcPr>
          <w:p w14:paraId="0BE2216B" w14:textId="77777777" w:rsidR="00C51390" w:rsidRPr="0025250D" w:rsidRDefault="00C51390" w:rsidP="00C51390">
            <w:pPr>
              <w:rPr>
                <w:rFonts w:ascii="Calibri" w:hAnsi="Calibri"/>
                <w:color w:val="000000"/>
                <w:sz w:val="22"/>
                <w:rtl/>
              </w:rPr>
            </w:pPr>
          </w:p>
        </w:tc>
        <w:tc>
          <w:tcPr>
            <w:tcW w:w="4530" w:type="dxa"/>
            <w:tcBorders>
              <w:top w:val="nil"/>
              <w:left w:val="nil"/>
              <w:bottom w:val="nil"/>
              <w:right w:val="nil"/>
            </w:tcBorders>
            <w:shd w:val="clear" w:color="auto" w:fill="auto"/>
            <w:vAlign w:val="bottom"/>
          </w:tcPr>
          <w:p w14:paraId="7D28AC61" w14:textId="77777777" w:rsidR="00C51390" w:rsidRPr="0025250D" w:rsidRDefault="00C51390" w:rsidP="00725A99">
            <w:pPr>
              <w:rPr>
                <w:rFonts w:cs="Times New Roman"/>
                <w:color w:val="000000"/>
                <w:szCs w:val="20"/>
              </w:rPr>
            </w:pPr>
          </w:p>
        </w:tc>
      </w:tr>
      <w:tr w:rsidR="00C51390" w:rsidRPr="0025250D" w14:paraId="0C3D6E97" w14:textId="77777777" w:rsidTr="006E589B">
        <w:tc>
          <w:tcPr>
            <w:tcW w:w="9060" w:type="dxa"/>
            <w:gridSpan w:val="2"/>
            <w:tcBorders>
              <w:top w:val="nil"/>
              <w:left w:val="nil"/>
              <w:bottom w:val="nil"/>
              <w:right w:val="nil"/>
            </w:tcBorders>
            <w:shd w:val="clear" w:color="auto" w:fill="auto"/>
            <w:vAlign w:val="bottom"/>
          </w:tcPr>
          <w:p w14:paraId="4DDC01CA" w14:textId="28C41CB2" w:rsidR="00C51390" w:rsidRPr="0025250D" w:rsidRDefault="00C51390" w:rsidP="00C51390">
            <w:pPr>
              <w:jc w:val="center"/>
              <w:rPr>
                <w:rFonts w:cs="Times New Roman"/>
                <w:b/>
                <w:bCs/>
                <w:color w:val="000000"/>
                <w:szCs w:val="20"/>
              </w:rPr>
            </w:pPr>
            <w:r w:rsidRPr="0025250D">
              <w:rPr>
                <w:rFonts w:cs="Times New Roman"/>
                <w:b/>
                <w:bCs/>
                <w:color w:val="000000"/>
                <w:sz w:val="28"/>
                <w:szCs w:val="28"/>
              </w:rPr>
              <w:t>M</w:t>
            </w:r>
          </w:p>
        </w:tc>
      </w:tr>
      <w:tr w:rsidR="00725A99" w:rsidRPr="0025250D" w14:paraId="509C955D" w14:textId="77777777" w:rsidTr="00725A99">
        <w:tc>
          <w:tcPr>
            <w:tcW w:w="4530" w:type="dxa"/>
            <w:tcBorders>
              <w:top w:val="nil"/>
              <w:left w:val="nil"/>
              <w:bottom w:val="nil"/>
              <w:right w:val="nil"/>
            </w:tcBorders>
            <w:shd w:val="clear" w:color="auto" w:fill="auto"/>
            <w:vAlign w:val="bottom"/>
          </w:tcPr>
          <w:p w14:paraId="4F823BEF" w14:textId="7D71197E" w:rsidR="00725A99" w:rsidRPr="0025250D" w:rsidRDefault="00725A99" w:rsidP="00C51390">
            <w:pPr>
              <w:bidi/>
              <w:rPr>
                <w:rtl/>
              </w:rPr>
            </w:pPr>
            <w:r w:rsidRPr="0025250D">
              <w:rPr>
                <w:rFonts w:ascii="Calibri" w:hAnsi="Calibri" w:hint="cs"/>
                <w:color w:val="000000"/>
                <w:sz w:val="22"/>
                <w:rtl/>
              </w:rPr>
              <w:t>تفکر بازاری</w:t>
            </w:r>
          </w:p>
        </w:tc>
        <w:tc>
          <w:tcPr>
            <w:tcW w:w="4530" w:type="dxa"/>
            <w:tcBorders>
              <w:top w:val="nil"/>
              <w:left w:val="nil"/>
              <w:bottom w:val="nil"/>
              <w:right w:val="nil"/>
            </w:tcBorders>
            <w:shd w:val="clear" w:color="auto" w:fill="auto"/>
            <w:vAlign w:val="bottom"/>
          </w:tcPr>
          <w:p w14:paraId="5242329D" w14:textId="3C48E287" w:rsidR="00725A99" w:rsidRPr="0025250D" w:rsidRDefault="00C51390" w:rsidP="00725A99">
            <w:pPr>
              <w:rPr>
                <w:rFonts w:cs="Times New Roman"/>
                <w:rtl/>
              </w:rPr>
            </w:pPr>
            <w:r w:rsidRPr="0025250D">
              <w:rPr>
                <w:rFonts w:cs="Times New Roman"/>
                <w:color w:val="000000"/>
                <w:szCs w:val="20"/>
              </w:rPr>
              <w:t>M</w:t>
            </w:r>
            <w:r w:rsidR="00725A99" w:rsidRPr="0025250D">
              <w:rPr>
                <w:rFonts w:cs="Times New Roman"/>
                <w:color w:val="000000"/>
                <w:szCs w:val="20"/>
              </w:rPr>
              <w:t>arket thinking</w:t>
            </w:r>
          </w:p>
        </w:tc>
      </w:tr>
      <w:tr w:rsidR="00725A99" w:rsidRPr="0025250D" w14:paraId="7A16CE5C" w14:textId="77777777" w:rsidTr="00725A99">
        <w:tc>
          <w:tcPr>
            <w:tcW w:w="4530" w:type="dxa"/>
            <w:tcBorders>
              <w:top w:val="nil"/>
              <w:left w:val="nil"/>
              <w:bottom w:val="nil"/>
              <w:right w:val="nil"/>
            </w:tcBorders>
            <w:shd w:val="clear" w:color="auto" w:fill="auto"/>
            <w:vAlign w:val="bottom"/>
          </w:tcPr>
          <w:p w14:paraId="221AF2F2" w14:textId="76EBF6F9" w:rsidR="00725A99" w:rsidRPr="0025250D" w:rsidRDefault="00725A99" w:rsidP="00C51390">
            <w:pPr>
              <w:bidi/>
              <w:rPr>
                <w:rtl/>
              </w:rPr>
            </w:pPr>
            <w:r w:rsidRPr="0025250D">
              <w:rPr>
                <w:rFonts w:ascii="Calibri" w:hAnsi="Calibri" w:hint="cs"/>
                <w:color w:val="000000"/>
                <w:sz w:val="22"/>
                <w:rtl/>
              </w:rPr>
              <w:t>آینده‌نگاری رسانه‌ای</w:t>
            </w:r>
          </w:p>
        </w:tc>
        <w:tc>
          <w:tcPr>
            <w:tcW w:w="4530" w:type="dxa"/>
            <w:tcBorders>
              <w:top w:val="nil"/>
              <w:left w:val="nil"/>
              <w:bottom w:val="nil"/>
              <w:right w:val="nil"/>
            </w:tcBorders>
            <w:shd w:val="clear" w:color="auto" w:fill="auto"/>
            <w:vAlign w:val="bottom"/>
          </w:tcPr>
          <w:p w14:paraId="7EE6DF70" w14:textId="4DB488BD" w:rsidR="00725A99" w:rsidRPr="0025250D" w:rsidRDefault="00725A99" w:rsidP="00725A99">
            <w:pPr>
              <w:rPr>
                <w:rFonts w:cs="Times New Roman"/>
                <w:rtl/>
              </w:rPr>
            </w:pPr>
            <w:r w:rsidRPr="0025250D">
              <w:rPr>
                <w:rFonts w:cs="Times New Roman"/>
                <w:color w:val="000000"/>
                <w:szCs w:val="20"/>
              </w:rPr>
              <w:t>Media foresight</w:t>
            </w:r>
          </w:p>
        </w:tc>
      </w:tr>
      <w:tr w:rsidR="00725A99" w:rsidRPr="0025250D" w14:paraId="31AE8D9E" w14:textId="77777777" w:rsidTr="00725A99">
        <w:tc>
          <w:tcPr>
            <w:tcW w:w="4530" w:type="dxa"/>
            <w:tcBorders>
              <w:top w:val="nil"/>
              <w:left w:val="nil"/>
              <w:bottom w:val="nil"/>
              <w:right w:val="nil"/>
            </w:tcBorders>
            <w:shd w:val="clear" w:color="auto" w:fill="auto"/>
            <w:vAlign w:val="bottom"/>
          </w:tcPr>
          <w:p w14:paraId="57F7973B" w14:textId="556EA691" w:rsidR="00725A99" w:rsidRPr="0025250D" w:rsidRDefault="00725A99" w:rsidP="00C51390">
            <w:pPr>
              <w:bidi/>
              <w:rPr>
                <w:rtl/>
              </w:rPr>
            </w:pPr>
            <w:r w:rsidRPr="0025250D">
              <w:rPr>
                <w:rFonts w:ascii="Calibri" w:hAnsi="Calibri" w:hint="cs"/>
                <w:color w:val="000000"/>
                <w:sz w:val="22"/>
                <w:rtl/>
              </w:rPr>
              <w:t>کلان روند</w:t>
            </w:r>
          </w:p>
        </w:tc>
        <w:tc>
          <w:tcPr>
            <w:tcW w:w="4530" w:type="dxa"/>
            <w:tcBorders>
              <w:top w:val="nil"/>
              <w:left w:val="nil"/>
              <w:bottom w:val="nil"/>
              <w:right w:val="nil"/>
            </w:tcBorders>
            <w:shd w:val="clear" w:color="auto" w:fill="auto"/>
            <w:vAlign w:val="bottom"/>
          </w:tcPr>
          <w:p w14:paraId="50719D5B" w14:textId="21EEA177" w:rsidR="00725A99" w:rsidRPr="0025250D" w:rsidRDefault="00725A99" w:rsidP="00725A99">
            <w:pPr>
              <w:rPr>
                <w:rFonts w:cs="Times New Roman"/>
                <w:rtl/>
              </w:rPr>
            </w:pPr>
            <w:r w:rsidRPr="0025250D">
              <w:rPr>
                <w:rFonts w:cs="Times New Roman"/>
                <w:color w:val="000000"/>
                <w:szCs w:val="20"/>
              </w:rPr>
              <w:t>Megatrend</w:t>
            </w:r>
          </w:p>
        </w:tc>
      </w:tr>
      <w:tr w:rsidR="00725A99" w:rsidRPr="0025250D" w14:paraId="1F77CDFB" w14:textId="77777777" w:rsidTr="00725A99">
        <w:tc>
          <w:tcPr>
            <w:tcW w:w="4530" w:type="dxa"/>
            <w:tcBorders>
              <w:top w:val="nil"/>
              <w:left w:val="nil"/>
              <w:bottom w:val="nil"/>
              <w:right w:val="nil"/>
            </w:tcBorders>
            <w:shd w:val="clear" w:color="auto" w:fill="auto"/>
            <w:vAlign w:val="bottom"/>
          </w:tcPr>
          <w:p w14:paraId="107BACE9" w14:textId="10F8E91D" w:rsidR="00725A99" w:rsidRPr="0025250D" w:rsidRDefault="00725A99" w:rsidP="00C51390">
            <w:pPr>
              <w:bidi/>
              <w:rPr>
                <w:rtl/>
              </w:rPr>
            </w:pPr>
            <w:r w:rsidRPr="0025250D">
              <w:rPr>
                <w:rFonts w:ascii="Calibri" w:hAnsi="Calibri" w:hint="cs"/>
                <w:color w:val="000000"/>
                <w:sz w:val="22"/>
                <w:rtl/>
              </w:rPr>
              <w:t>فرضیه ذهن آگاهی</w:t>
            </w:r>
          </w:p>
        </w:tc>
        <w:tc>
          <w:tcPr>
            <w:tcW w:w="4530" w:type="dxa"/>
            <w:tcBorders>
              <w:top w:val="nil"/>
              <w:left w:val="nil"/>
              <w:bottom w:val="nil"/>
              <w:right w:val="nil"/>
            </w:tcBorders>
            <w:shd w:val="clear" w:color="auto" w:fill="auto"/>
            <w:vAlign w:val="bottom"/>
          </w:tcPr>
          <w:p w14:paraId="73A51732" w14:textId="5AB50DCC" w:rsidR="00725A99" w:rsidRPr="0025250D" w:rsidRDefault="00725A99" w:rsidP="00725A99">
            <w:pPr>
              <w:rPr>
                <w:rFonts w:cs="Times New Roman"/>
                <w:rtl/>
              </w:rPr>
            </w:pPr>
            <w:r w:rsidRPr="0025250D">
              <w:rPr>
                <w:rFonts w:cs="Times New Roman"/>
                <w:color w:val="000000"/>
                <w:szCs w:val="20"/>
              </w:rPr>
              <w:t>Mindfulness Hypothesis</w:t>
            </w:r>
          </w:p>
        </w:tc>
      </w:tr>
      <w:tr w:rsidR="00725A99" w:rsidRPr="0025250D" w14:paraId="1EC6B582" w14:textId="77777777" w:rsidTr="00725A99">
        <w:tc>
          <w:tcPr>
            <w:tcW w:w="4530" w:type="dxa"/>
            <w:tcBorders>
              <w:top w:val="nil"/>
              <w:left w:val="nil"/>
              <w:bottom w:val="nil"/>
              <w:right w:val="nil"/>
            </w:tcBorders>
            <w:shd w:val="clear" w:color="auto" w:fill="auto"/>
            <w:vAlign w:val="bottom"/>
          </w:tcPr>
          <w:p w14:paraId="5225D08D" w14:textId="3813A83F" w:rsidR="00725A99" w:rsidRPr="0025250D" w:rsidRDefault="00725A99" w:rsidP="00C51390">
            <w:pPr>
              <w:bidi/>
              <w:rPr>
                <w:rtl/>
              </w:rPr>
            </w:pPr>
            <w:r w:rsidRPr="0025250D">
              <w:rPr>
                <w:rFonts w:ascii="Calibri" w:hAnsi="Calibri" w:hint="cs"/>
                <w:color w:val="000000"/>
                <w:sz w:val="22"/>
                <w:rtl/>
              </w:rPr>
              <w:t>سوگیری مأموریت</w:t>
            </w:r>
          </w:p>
        </w:tc>
        <w:tc>
          <w:tcPr>
            <w:tcW w:w="4530" w:type="dxa"/>
            <w:tcBorders>
              <w:top w:val="nil"/>
              <w:left w:val="nil"/>
              <w:bottom w:val="nil"/>
              <w:right w:val="nil"/>
            </w:tcBorders>
            <w:shd w:val="clear" w:color="auto" w:fill="auto"/>
            <w:vAlign w:val="bottom"/>
          </w:tcPr>
          <w:p w14:paraId="0FBE9E2C" w14:textId="6EDF3475" w:rsidR="00725A99" w:rsidRPr="0025250D" w:rsidRDefault="00725A99" w:rsidP="00725A99">
            <w:pPr>
              <w:rPr>
                <w:rFonts w:cs="Times New Roman"/>
                <w:rtl/>
              </w:rPr>
            </w:pPr>
            <w:r w:rsidRPr="0025250D">
              <w:rPr>
                <w:rFonts w:cs="Times New Roman"/>
                <w:color w:val="000000"/>
                <w:szCs w:val="20"/>
              </w:rPr>
              <w:t>Mission bias</w:t>
            </w:r>
          </w:p>
        </w:tc>
      </w:tr>
      <w:tr w:rsidR="00C51390" w:rsidRPr="0025250D" w14:paraId="34AC0514" w14:textId="77777777" w:rsidTr="00725A99">
        <w:tc>
          <w:tcPr>
            <w:tcW w:w="4530" w:type="dxa"/>
            <w:tcBorders>
              <w:top w:val="nil"/>
              <w:left w:val="nil"/>
              <w:bottom w:val="nil"/>
              <w:right w:val="nil"/>
            </w:tcBorders>
            <w:shd w:val="clear" w:color="auto" w:fill="auto"/>
            <w:vAlign w:val="bottom"/>
          </w:tcPr>
          <w:p w14:paraId="488C40CD" w14:textId="77777777" w:rsidR="00C51390" w:rsidRPr="0025250D" w:rsidRDefault="00C51390" w:rsidP="00C51390">
            <w:pPr>
              <w:rPr>
                <w:rFonts w:ascii="Calibri" w:hAnsi="Calibri"/>
                <w:color w:val="000000"/>
                <w:sz w:val="22"/>
                <w:rtl/>
              </w:rPr>
            </w:pPr>
          </w:p>
        </w:tc>
        <w:tc>
          <w:tcPr>
            <w:tcW w:w="4530" w:type="dxa"/>
            <w:tcBorders>
              <w:top w:val="nil"/>
              <w:left w:val="nil"/>
              <w:bottom w:val="nil"/>
              <w:right w:val="nil"/>
            </w:tcBorders>
            <w:shd w:val="clear" w:color="auto" w:fill="auto"/>
            <w:vAlign w:val="bottom"/>
          </w:tcPr>
          <w:p w14:paraId="479EDDB3" w14:textId="77777777" w:rsidR="00C51390" w:rsidRPr="0025250D" w:rsidRDefault="00C51390" w:rsidP="00725A99">
            <w:pPr>
              <w:rPr>
                <w:rFonts w:cs="Times New Roman"/>
                <w:color w:val="000000"/>
                <w:szCs w:val="20"/>
              </w:rPr>
            </w:pPr>
          </w:p>
        </w:tc>
      </w:tr>
      <w:tr w:rsidR="00C51390" w:rsidRPr="0025250D" w14:paraId="4D18A989" w14:textId="77777777" w:rsidTr="00460B43">
        <w:tc>
          <w:tcPr>
            <w:tcW w:w="9060" w:type="dxa"/>
            <w:gridSpan w:val="2"/>
            <w:tcBorders>
              <w:top w:val="nil"/>
              <w:left w:val="nil"/>
              <w:bottom w:val="nil"/>
              <w:right w:val="nil"/>
            </w:tcBorders>
            <w:shd w:val="clear" w:color="auto" w:fill="auto"/>
            <w:vAlign w:val="bottom"/>
          </w:tcPr>
          <w:p w14:paraId="0CEF22D9" w14:textId="3767EB8C" w:rsidR="00C51390" w:rsidRPr="0025250D" w:rsidRDefault="00C51390" w:rsidP="00C51390">
            <w:pPr>
              <w:jc w:val="center"/>
              <w:rPr>
                <w:rFonts w:cs="Times New Roman"/>
                <w:b/>
                <w:bCs/>
                <w:color w:val="000000"/>
                <w:szCs w:val="20"/>
              </w:rPr>
            </w:pPr>
            <w:r w:rsidRPr="0025250D">
              <w:rPr>
                <w:rFonts w:cs="Times New Roman"/>
                <w:b/>
                <w:bCs/>
                <w:color w:val="000000"/>
                <w:sz w:val="28"/>
                <w:szCs w:val="28"/>
              </w:rPr>
              <w:t>N</w:t>
            </w:r>
          </w:p>
        </w:tc>
      </w:tr>
      <w:tr w:rsidR="00725A99" w:rsidRPr="0025250D" w14:paraId="290DCDDB" w14:textId="77777777" w:rsidTr="00725A99">
        <w:tc>
          <w:tcPr>
            <w:tcW w:w="4530" w:type="dxa"/>
            <w:tcBorders>
              <w:top w:val="nil"/>
              <w:left w:val="nil"/>
              <w:bottom w:val="nil"/>
              <w:right w:val="nil"/>
            </w:tcBorders>
            <w:shd w:val="clear" w:color="auto" w:fill="auto"/>
            <w:vAlign w:val="bottom"/>
          </w:tcPr>
          <w:p w14:paraId="482E068E" w14:textId="652A40E4" w:rsidR="00725A99" w:rsidRPr="0025250D" w:rsidRDefault="00725A99" w:rsidP="00C51390">
            <w:pPr>
              <w:bidi/>
              <w:rPr>
                <w:rtl/>
              </w:rPr>
            </w:pPr>
            <w:r w:rsidRPr="0025250D">
              <w:rPr>
                <w:rFonts w:ascii="Calibri" w:hAnsi="Calibri" w:hint="cs"/>
                <w:color w:val="000000"/>
                <w:sz w:val="22"/>
                <w:rtl/>
              </w:rPr>
              <w:t>برنامه‌ریزی غیرحس‌دادی</w:t>
            </w:r>
          </w:p>
        </w:tc>
        <w:tc>
          <w:tcPr>
            <w:tcW w:w="4530" w:type="dxa"/>
            <w:tcBorders>
              <w:top w:val="nil"/>
              <w:left w:val="nil"/>
              <w:bottom w:val="nil"/>
              <w:right w:val="nil"/>
            </w:tcBorders>
            <w:shd w:val="clear" w:color="auto" w:fill="auto"/>
            <w:vAlign w:val="bottom"/>
          </w:tcPr>
          <w:p w14:paraId="28BE569F" w14:textId="03EC552F" w:rsidR="00725A99" w:rsidRPr="0025250D" w:rsidRDefault="00725A99" w:rsidP="00725A99">
            <w:pPr>
              <w:rPr>
                <w:rFonts w:cs="Times New Roman"/>
                <w:rtl/>
              </w:rPr>
            </w:pPr>
            <w:r w:rsidRPr="0025250D">
              <w:rPr>
                <w:rFonts w:cs="Times New Roman"/>
                <w:color w:val="000000"/>
                <w:szCs w:val="20"/>
              </w:rPr>
              <w:t>Non-sentiment planning</w:t>
            </w:r>
          </w:p>
        </w:tc>
      </w:tr>
      <w:tr w:rsidR="00725A99" w:rsidRPr="0025250D" w14:paraId="4E18C51C" w14:textId="77777777" w:rsidTr="00725A99">
        <w:tc>
          <w:tcPr>
            <w:tcW w:w="4530" w:type="dxa"/>
            <w:tcBorders>
              <w:top w:val="nil"/>
              <w:left w:val="nil"/>
              <w:bottom w:val="nil"/>
              <w:right w:val="nil"/>
            </w:tcBorders>
            <w:shd w:val="clear" w:color="auto" w:fill="auto"/>
            <w:vAlign w:val="bottom"/>
          </w:tcPr>
          <w:p w14:paraId="119F17F6" w14:textId="21085A06" w:rsidR="00725A99" w:rsidRPr="0025250D" w:rsidRDefault="00725A99" w:rsidP="00C51390">
            <w:pPr>
              <w:bidi/>
              <w:rPr>
                <w:rtl/>
              </w:rPr>
            </w:pPr>
            <w:r w:rsidRPr="0025250D">
              <w:rPr>
                <w:rFonts w:ascii="Calibri" w:hAnsi="Calibri" w:hint="cs"/>
                <w:color w:val="000000"/>
                <w:sz w:val="22"/>
                <w:rtl/>
              </w:rPr>
              <w:t xml:space="preserve">آینده‌نگاری هنجاری </w:t>
            </w:r>
          </w:p>
        </w:tc>
        <w:tc>
          <w:tcPr>
            <w:tcW w:w="4530" w:type="dxa"/>
            <w:tcBorders>
              <w:top w:val="nil"/>
              <w:left w:val="nil"/>
              <w:bottom w:val="nil"/>
              <w:right w:val="nil"/>
            </w:tcBorders>
            <w:shd w:val="clear" w:color="auto" w:fill="auto"/>
            <w:vAlign w:val="bottom"/>
          </w:tcPr>
          <w:p w14:paraId="1F670432" w14:textId="3F58FA02" w:rsidR="00725A99" w:rsidRPr="0025250D" w:rsidRDefault="00C51390" w:rsidP="00725A99">
            <w:pPr>
              <w:rPr>
                <w:rFonts w:cs="Times New Roman"/>
                <w:rtl/>
              </w:rPr>
            </w:pPr>
            <w:r w:rsidRPr="0025250D">
              <w:rPr>
                <w:rFonts w:cs="Times New Roman"/>
                <w:color w:val="000000"/>
                <w:szCs w:val="20"/>
              </w:rPr>
              <w:t>N</w:t>
            </w:r>
            <w:r w:rsidR="00725A99" w:rsidRPr="0025250D">
              <w:rPr>
                <w:rFonts w:cs="Times New Roman"/>
                <w:color w:val="000000"/>
                <w:szCs w:val="20"/>
              </w:rPr>
              <w:t>ormative foresight</w:t>
            </w:r>
          </w:p>
        </w:tc>
      </w:tr>
      <w:tr w:rsidR="00C51390" w:rsidRPr="0025250D" w14:paraId="7595F51F" w14:textId="77777777" w:rsidTr="00725A99">
        <w:tc>
          <w:tcPr>
            <w:tcW w:w="4530" w:type="dxa"/>
            <w:tcBorders>
              <w:top w:val="nil"/>
              <w:left w:val="nil"/>
              <w:bottom w:val="nil"/>
              <w:right w:val="nil"/>
            </w:tcBorders>
            <w:shd w:val="clear" w:color="auto" w:fill="auto"/>
            <w:vAlign w:val="bottom"/>
          </w:tcPr>
          <w:p w14:paraId="75147123" w14:textId="77777777" w:rsidR="00C51390" w:rsidRPr="0025250D" w:rsidRDefault="00C51390" w:rsidP="00C51390">
            <w:pPr>
              <w:rPr>
                <w:rFonts w:ascii="Calibri" w:hAnsi="Calibri"/>
                <w:color w:val="000000"/>
                <w:sz w:val="22"/>
                <w:rtl/>
              </w:rPr>
            </w:pPr>
          </w:p>
        </w:tc>
        <w:tc>
          <w:tcPr>
            <w:tcW w:w="4530" w:type="dxa"/>
            <w:tcBorders>
              <w:top w:val="nil"/>
              <w:left w:val="nil"/>
              <w:bottom w:val="nil"/>
              <w:right w:val="nil"/>
            </w:tcBorders>
            <w:shd w:val="clear" w:color="auto" w:fill="auto"/>
            <w:vAlign w:val="bottom"/>
          </w:tcPr>
          <w:p w14:paraId="2C4531D8" w14:textId="77777777" w:rsidR="00C51390" w:rsidRPr="0025250D" w:rsidRDefault="00C51390" w:rsidP="00725A99">
            <w:pPr>
              <w:rPr>
                <w:rFonts w:cs="Times New Roman"/>
                <w:color w:val="000000"/>
                <w:szCs w:val="20"/>
              </w:rPr>
            </w:pPr>
          </w:p>
        </w:tc>
      </w:tr>
      <w:tr w:rsidR="00C51390" w:rsidRPr="0025250D" w14:paraId="00270FC3" w14:textId="77777777" w:rsidTr="00625E7A">
        <w:tc>
          <w:tcPr>
            <w:tcW w:w="9060" w:type="dxa"/>
            <w:gridSpan w:val="2"/>
            <w:tcBorders>
              <w:top w:val="nil"/>
              <w:left w:val="nil"/>
              <w:bottom w:val="nil"/>
              <w:right w:val="nil"/>
            </w:tcBorders>
            <w:shd w:val="clear" w:color="auto" w:fill="auto"/>
            <w:vAlign w:val="bottom"/>
          </w:tcPr>
          <w:p w14:paraId="7A288945" w14:textId="4E15DA63" w:rsidR="00C51390" w:rsidRPr="0025250D" w:rsidRDefault="00C51390" w:rsidP="00C51390">
            <w:pPr>
              <w:jc w:val="center"/>
              <w:rPr>
                <w:rFonts w:cs="Times New Roman"/>
                <w:b/>
                <w:bCs/>
                <w:color w:val="000000"/>
                <w:szCs w:val="20"/>
              </w:rPr>
            </w:pPr>
            <w:r w:rsidRPr="0025250D">
              <w:rPr>
                <w:rFonts w:cs="Times New Roman"/>
                <w:b/>
                <w:bCs/>
                <w:color w:val="000000"/>
                <w:sz w:val="28"/>
                <w:szCs w:val="28"/>
              </w:rPr>
              <w:t>O</w:t>
            </w:r>
          </w:p>
        </w:tc>
      </w:tr>
      <w:tr w:rsidR="00725A99" w:rsidRPr="0025250D" w14:paraId="3D702CF7" w14:textId="77777777" w:rsidTr="00725A99">
        <w:tc>
          <w:tcPr>
            <w:tcW w:w="4530" w:type="dxa"/>
            <w:tcBorders>
              <w:top w:val="nil"/>
              <w:left w:val="nil"/>
              <w:bottom w:val="nil"/>
              <w:right w:val="nil"/>
            </w:tcBorders>
            <w:shd w:val="clear" w:color="auto" w:fill="auto"/>
            <w:vAlign w:val="bottom"/>
          </w:tcPr>
          <w:p w14:paraId="274E9FEF" w14:textId="587260EF" w:rsidR="00725A99" w:rsidRPr="0025250D" w:rsidRDefault="00725A99" w:rsidP="00C51390">
            <w:pPr>
              <w:bidi/>
              <w:rPr>
                <w:rtl/>
              </w:rPr>
            </w:pPr>
            <w:r w:rsidRPr="0025250D">
              <w:rPr>
                <w:rFonts w:ascii="Calibri" w:hAnsi="Calibri" w:hint="cs"/>
                <w:color w:val="000000"/>
                <w:sz w:val="22"/>
                <w:rtl/>
              </w:rPr>
              <w:t>تفکر مخالف</w:t>
            </w:r>
          </w:p>
        </w:tc>
        <w:tc>
          <w:tcPr>
            <w:tcW w:w="4530" w:type="dxa"/>
            <w:tcBorders>
              <w:top w:val="nil"/>
              <w:left w:val="nil"/>
              <w:bottom w:val="nil"/>
              <w:right w:val="nil"/>
            </w:tcBorders>
            <w:shd w:val="clear" w:color="auto" w:fill="auto"/>
            <w:vAlign w:val="bottom"/>
          </w:tcPr>
          <w:p w14:paraId="0E5A68B9" w14:textId="58678630" w:rsidR="00725A99" w:rsidRPr="0025250D" w:rsidRDefault="00725A99" w:rsidP="00725A99">
            <w:pPr>
              <w:rPr>
                <w:rFonts w:cs="Times New Roman"/>
                <w:rtl/>
              </w:rPr>
            </w:pPr>
            <w:r w:rsidRPr="0025250D">
              <w:rPr>
                <w:rFonts w:cs="Times New Roman"/>
                <w:color w:val="000000"/>
                <w:szCs w:val="20"/>
              </w:rPr>
              <w:t>Oppositional thinking</w:t>
            </w:r>
          </w:p>
        </w:tc>
      </w:tr>
      <w:tr w:rsidR="00C51390" w:rsidRPr="0025250D" w14:paraId="70539283" w14:textId="77777777" w:rsidTr="00725A99">
        <w:tc>
          <w:tcPr>
            <w:tcW w:w="4530" w:type="dxa"/>
            <w:tcBorders>
              <w:top w:val="nil"/>
              <w:left w:val="nil"/>
              <w:bottom w:val="nil"/>
              <w:right w:val="nil"/>
            </w:tcBorders>
            <w:shd w:val="clear" w:color="auto" w:fill="auto"/>
            <w:vAlign w:val="bottom"/>
          </w:tcPr>
          <w:p w14:paraId="471D6D79" w14:textId="77777777" w:rsidR="00C51390" w:rsidRPr="0025250D" w:rsidRDefault="00C51390" w:rsidP="00C51390">
            <w:pPr>
              <w:rPr>
                <w:rFonts w:ascii="Calibri" w:hAnsi="Calibri"/>
                <w:color w:val="000000"/>
                <w:sz w:val="22"/>
                <w:rtl/>
              </w:rPr>
            </w:pPr>
          </w:p>
        </w:tc>
        <w:tc>
          <w:tcPr>
            <w:tcW w:w="4530" w:type="dxa"/>
            <w:tcBorders>
              <w:top w:val="nil"/>
              <w:left w:val="nil"/>
              <w:bottom w:val="nil"/>
              <w:right w:val="nil"/>
            </w:tcBorders>
            <w:shd w:val="clear" w:color="auto" w:fill="auto"/>
            <w:vAlign w:val="bottom"/>
          </w:tcPr>
          <w:p w14:paraId="4EFD8E94" w14:textId="77777777" w:rsidR="00C51390" w:rsidRPr="0025250D" w:rsidRDefault="00C51390" w:rsidP="00725A99">
            <w:pPr>
              <w:rPr>
                <w:rFonts w:cs="Times New Roman"/>
                <w:color w:val="000000"/>
                <w:szCs w:val="20"/>
              </w:rPr>
            </w:pPr>
          </w:p>
        </w:tc>
      </w:tr>
      <w:tr w:rsidR="00C51390" w:rsidRPr="0025250D" w14:paraId="6856A3C0" w14:textId="77777777" w:rsidTr="00600538">
        <w:tc>
          <w:tcPr>
            <w:tcW w:w="9060" w:type="dxa"/>
            <w:gridSpan w:val="2"/>
            <w:tcBorders>
              <w:top w:val="nil"/>
              <w:left w:val="nil"/>
              <w:bottom w:val="nil"/>
              <w:right w:val="nil"/>
            </w:tcBorders>
            <w:shd w:val="clear" w:color="auto" w:fill="auto"/>
            <w:vAlign w:val="bottom"/>
          </w:tcPr>
          <w:p w14:paraId="0971A86A" w14:textId="504A5118" w:rsidR="00C51390" w:rsidRPr="0025250D" w:rsidRDefault="00C51390" w:rsidP="00C51390">
            <w:pPr>
              <w:jc w:val="center"/>
              <w:rPr>
                <w:rFonts w:cs="Times New Roman"/>
                <w:b/>
                <w:bCs/>
                <w:color w:val="000000"/>
                <w:szCs w:val="20"/>
              </w:rPr>
            </w:pPr>
            <w:r w:rsidRPr="0025250D">
              <w:rPr>
                <w:rFonts w:cs="Times New Roman"/>
                <w:b/>
                <w:bCs/>
                <w:color w:val="000000"/>
                <w:sz w:val="28"/>
                <w:szCs w:val="28"/>
              </w:rPr>
              <w:t>P</w:t>
            </w:r>
          </w:p>
        </w:tc>
      </w:tr>
      <w:tr w:rsidR="00725A99" w:rsidRPr="0025250D" w14:paraId="7F0FB621" w14:textId="77777777" w:rsidTr="00725A99">
        <w:tc>
          <w:tcPr>
            <w:tcW w:w="4530" w:type="dxa"/>
            <w:tcBorders>
              <w:top w:val="nil"/>
              <w:left w:val="nil"/>
              <w:bottom w:val="nil"/>
              <w:right w:val="nil"/>
            </w:tcBorders>
            <w:shd w:val="clear" w:color="auto" w:fill="auto"/>
            <w:vAlign w:val="bottom"/>
          </w:tcPr>
          <w:p w14:paraId="1379DC92" w14:textId="36FD98FA" w:rsidR="00725A99" w:rsidRPr="0025250D" w:rsidRDefault="00725A99" w:rsidP="00C51390">
            <w:pPr>
              <w:bidi/>
              <w:rPr>
                <w:rtl/>
              </w:rPr>
            </w:pPr>
            <w:r w:rsidRPr="0025250D">
              <w:rPr>
                <w:rFonts w:ascii="Calibri" w:hAnsi="Calibri" w:hint="cs"/>
                <w:color w:val="000000"/>
                <w:sz w:val="22"/>
                <w:rtl/>
              </w:rPr>
              <w:t>رهبری مردم گرا</w:t>
            </w:r>
          </w:p>
        </w:tc>
        <w:tc>
          <w:tcPr>
            <w:tcW w:w="4530" w:type="dxa"/>
            <w:tcBorders>
              <w:top w:val="nil"/>
              <w:left w:val="nil"/>
              <w:bottom w:val="nil"/>
              <w:right w:val="nil"/>
            </w:tcBorders>
            <w:shd w:val="clear" w:color="auto" w:fill="auto"/>
            <w:vAlign w:val="bottom"/>
          </w:tcPr>
          <w:p w14:paraId="450F828A" w14:textId="1693CD5C" w:rsidR="00725A99" w:rsidRPr="0025250D" w:rsidRDefault="00725A99" w:rsidP="00725A99">
            <w:pPr>
              <w:rPr>
                <w:rFonts w:cs="Times New Roman"/>
                <w:rtl/>
              </w:rPr>
            </w:pPr>
            <w:r w:rsidRPr="0025250D">
              <w:rPr>
                <w:rFonts w:cs="Times New Roman"/>
                <w:color w:val="000000"/>
                <w:szCs w:val="20"/>
              </w:rPr>
              <w:t>People Leadership</w:t>
            </w:r>
          </w:p>
        </w:tc>
      </w:tr>
      <w:tr w:rsidR="00725A99" w:rsidRPr="0025250D" w14:paraId="24280D6E" w14:textId="77777777" w:rsidTr="00725A99">
        <w:tc>
          <w:tcPr>
            <w:tcW w:w="4530" w:type="dxa"/>
            <w:tcBorders>
              <w:top w:val="nil"/>
              <w:left w:val="nil"/>
              <w:bottom w:val="nil"/>
              <w:right w:val="nil"/>
            </w:tcBorders>
            <w:shd w:val="clear" w:color="auto" w:fill="auto"/>
            <w:vAlign w:val="bottom"/>
          </w:tcPr>
          <w:p w14:paraId="18CB1391" w14:textId="39E274BB" w:rsidR="00725A99" w:rsidRPr="0025250D" w:rsidRDefault="00725A99" w:rsidP="00C51390">
            <w:pPr>
              <w:bidi/>
              <w:rPr>
                <w:rtl/>
              </w:rPr>
            </w:pPr>
            <w:r w:rsidRPr="0025250D">
              <w:rPr>
                <w:rFonts w:ascii="Calibri" w:hAnsi="Calibri" w:hint="cs"/>
                <w:color w:val="000000"/>
                <w:sz w:val="22"/>
                <w:rtl/>
              </w:rPr>
              <w:t>رهبری فرد گرا</w:t>
            </w:r>
          </w:p>
        </w:tc>
        <w:tc>
          <w:tcPr>
            <w:tcW w:w="4530" w:type="dxa"/>
            <w:tcBorders>
              <w:top w:val="nil"/>
              <w:left w:val="nil"/>
              <w:bottom w:val="nil"/>
              <w:right w:val="nil"/>
            </w:tcBorders>
            <w:shd w:val="clear" w:color="auto" w:fill="auto"/>
            <w:vAlign w:val="bottom"/>
          </w:tcPr>
          <w:p w14:paraId="41BA53A7" w14:textId="3F3A07CE" w:rsidR="00725A99" w:rsidRPr="0025250D" w:rsidRDefault="00725A99" w:rsidP="00725A99">
            <w:pPr>
              <w:rPr>
                <w:rFonts w:cs="Times New Roman"/>
                <w:rtl/>
              </w:rPr>
            </w:pPr>
            <w:r w:rsidRPr="0025250D">
              <w:rPr>
                <w:rFonts w:cs="Times New Roman"/>
                <w:color w:val="000000"/>
                <w:szCs w:val="20"/>
              </w:rPr>
              <w:t>Personal Leadership</w:t>
            </w:r>
          </w:p>
        </w:tc>
      </w:tr>
      <w:tr w:rsidR="00725A99" w:rsidRPr="0025250D" w14:paraId="1D85B129" w14:textId="77777777" w:rsidTr="00725A99">
        <w:tc>
          <w:tcPr>
            <w:tcW w:w="4530" w:type="dxa"/>
            <w:tcBorders>
              <w:top w:val="nil"/>
              <w:left w:val="nil"/>
              <w:bottom w:val="nil"/>
              <w:right w:val="nil"/>
            </w:tcBorders>
            <w:shd w:val="clear" w:color="auto" w:fill="auto"/>
            <w:vAlign w:val="bottom"/>
          </w:tcPr>
          <w:p w14:paraId="2F97EDAF" w14:textId="3FA4EF78" w:rsidR="00725A99" w:rsidRPr="0025250D" w:rsidRDefault="00725A99" w:rsidP="00C51390">
            <w:pPr>
              <w:bidi/>
              <w:rPr>
                <w:rtl/>
              </w:rPr>
            </w:pPr>
            <w:r w:rsidRPr="0025250D">
              <w:rPr>
                <w:rFonts w:ascii="Calibri" w:hAnsi="Calibri" w:hint="cs"/>
                <w:color w:val="000000"/>
                <w:sz w:val="22"/>
                <w:rtl/>
              </w:rPr>
              <w:t>باورپذیری</w:t>
            </w:r>
          </w:p>
        </w:tc>
        <w:tc>
          <w:tcPr>
            <w:tcW w:w="4530" w:type="dxa"/>
            <w:tcBorders>
              <w:top w:val="nil"/>
              <w:left w:val="nil"/>
              <w:bottom w:val="nil"/>
              <w:right w:val="nil"/>
            </w:tcBorders>
            <w:shd w:val="clear" w:color="auto" w:fill="auto"/>
            <w:vAlign w:val="bottom"/>
          </w:tcPr>
          <w:p w14:paraId="7286194E" w14:textId="304A4B52" w:rsidR="00725A99" w:rsidRPr="0025250D" w:rsidRDefault="00725A99" w:rsidP="00725A99">
            <w:pPr>
              <w:rPr>
                <w:rFonts w:cs="Times New Roman"/>
                <w:rtl/>
              </w:rPr>
            </w:pPr>
            <w:r w:rsidRPr="0025250D">
              <w:rPr>
                <w:rFonts w:cs="Times New Roman"/>
                <w:color w:val="000000"/>
                <w:szCs w:val="20"/>
              </w:rPr>
              <w:t>Plausible</w:t>
            </w:r>
          </w:p>
        </w:tc>
      </w:tr>
      <w:tr w:rsidR="00725A99" w:rsidRPr="0025250D" w14:paraId="220D1A09" w14:textId="77777777" w:rsidTr="00725A99">
        <w:tc>
          <w:tcPr>
            <w:tcW w:w="4530" w:type="dxa"/>
            <w:tcBorders>
              <w:top w:val="nil"/>
              <w:left w:val="nil"/>
              <w:bottom w:val="nil"/>
              <w:right w:val="nil"/>
            </w:tcBorders>
            <w:shd w:val="clear" w:color="auto" w:fill="auto"/>
            <w:vAlign w:val="bottom"/>
          </w:tcPr>
          <w:p w14:paraId="2CEA340F" w14:textId="358397A6" w:rsidR="00725A99" w:rsidRPr="0025250D" w:rsidRDefault="00725A99" w:rsidP="00C51390">
            <w:pPr>
              <w:bidi/>
              <w:rPr>
                <w:rtl/>
              </w:rPr>
            </w:pPr>
            <w:r w:rsidRPr="0025250D">
              <w:rPr>
                <w:rFonts w:ascii="Calibri" w:hAnsi="Calibri" w:hint="cs"/>
                <w:color w:val="000000"/>
                <w:sz w:val="22"/>
                <w:rtl/>
              </w:rPr>
              <w:t>آینده‌نگاری سیاسی</w:t>
            </w:r>
          </w:p>
        </w:tc>
        <w:tc>
          <w:tcPr>
            <w:tcW w:w="4530" w:type="dxa"/>
            <w:tcBorders>
              <w:top w:val="nil"/>
              <w:left w:val="nil"/>
              <w:bottom w:val="nil"/>
              <w:right w:val="nil"/>
            </w:tcBorders>
            <w:shd w:val="clear" w:color="auto" w:fill="auto"/>
            <w:vAlign w:val="bottom"/>
          </w:tcPr>
          <w:p w14:paraId="2FDBE5D6" w14:textId="2D384854" w:rsidR="00725A99" w:rsidRPr="0025250D" w:rsidRDefault="00725A99" w:rsidP="00725A99">
            <w:pPr>
              <w:rPr>
                <w:rFonts w:cs="Times New Roman"/>
                <w:rtl/>
              </w:rPr>
            </w:pPr>
            <w:r w:rsidRPr="0025250D">
              <w:rPr>
                <w:rFonts w:cs="Times New Roman"/>
                <w:color w:val="000000"/>
                <w:szCs w:val="20"/>
              </w:rPr>
              <w:t>Political foresight</w:t>
            </w:r>
          </w:p>
        </w:tc>
      </w:tr>
      <w:tr w:rsidR="00725A99" w:rsidRPr="0025250D" w14:paraId="596F8BB1" w14:textId="77777777" w:rsidTr="00725A99">
        <w:tc>
          <w:tcPr>
            <w:tcW w:w="4530" w:type="dxa"/>
            <w:tcBorders>
              <w:top w:val="nil"/>
              <w:left w:val="nil"/>
              <w:bottom w:val="nil"/>
              <w:right w:val="nil"/>
            </w:tcBorders>
            <w:shd w:val="clear" w:color="auto" w:fill="auto"/>
            <w:vAlign w:val="bottom"/>
          </w:tcPr>
          <w:p w14:paraId="6BAC9632" w14:textId="145D98F8" w:rsidR="00725A99" w:rsidRPr="0025250D" w:rsidRDefault="00725A99" w:rsidP="00C51390">
            <w:pPr>
              <w:bidi/>
              <w:rPr>
                <w:rtl/>
              </w:rPr>
            </w:pPr>
            <w:r w:rsidRPr="0025250D">
              <w:rPr>
                <w:rFonts w:ascii="Calibri" w:hAnsi="Calibri" w:hint="cs"/>
                <w:color w:val="000000"/>
                <w:sz w:val="22"/>
                <w:rtl/>
              </w:rPr>
              <w:t>مجموع مثبت</w:t>
            </w:r>
          </w:p>
        </w:tc>
        <w:tc>
          <w:tcPr>
            <w:tcW w:w="4530" w:type="dxa"/>
            <w:tcBorders>
              <w:top w:val="nil"/>
              <w:left w:val="nil"/>
              <w:bottom w:val="nil"/>
              <w:right w:val="nil"/>
            </w:tcBorders>
            <w:shd w:val="clear" w:color="auto" w:fill="auto"/>
            <w:vAlign w:val="bottom"/>
          </w:tcPr>
          <w:p w14:paraId="570AEE94" w14:textId="633B998D" w:rsidR="00725A99" w:rsidRPr="0025250D" w:rsidRDefault="00725A99" w:rsidP="00725A99">
            <w:pPr>
              <w:rPr>
                <w:rFonts w:cs="Times New Roman"/>
                <w:rtl/>
              </w:rPr>
            </w:pPr>
            <w:r w:rsidRPr="0025250D">
              <w:rPr>
                <w:rFonts w:cs="Times New Roman"/>
                <w:color w:val="000000"/>
                <w:szCs w:val="20"/>
              </w:rPr>
              <w:t>Positive-sum</w:t>
            </w:r>
          </w:p>
        </w:tc>
      </w:tr>
      <w:tr w:rsidR="00725A99" w:rsidRPr="0025250D" w14:paraId="6647ADBF" w14:textId="77777777" w:rsidTr="00725A99">
        <w:tc>
          <w:tcPr>
            <w:tcW w:w="4530" w:type="dxa"/>
            <w:tcBorders>
              <w:top w:val="nil"/>
              <w:left w:val="nil"/>
              <w:bottom w:val="nil"/>
              <w:right w:val="nil"/>
            </w:tcBorders>
            <w:shd w:val="clear" w:color="auto" w:fill="auto"/>
            <w:vAlign w:val="bottom"/>
          </w:tcPr>
          <w:p w14:paraId="274EDCAB" w14:textId="65C21784" w:rsidR="00725A99" w:rsidRPr="0025250D" w:rsidRDefault="00725A99" w:rsidP="00C51390">
            <w:pPr>
              <w:bidi/>
              <w:rPr>
                <w:rtl/>
              </w:rPr>
            </w:pPr>
            <w:r w:rsidRPr="0025250D">
              <w:rPr>
                <w:rFonts w:ascii="Calibri" w:hAnsi="Calibri" w:hint="cs"/>
                <w:color w:val="000000"/>
                <w:sz w:val="22"/>
                <w:rtl/>
              </w:rPr>
              <w:t>تفکر در مورد موارد ممکن</w:t>
            </w:r>
          </w:p>
        </w:tc>
        <w:tc>
          <w:tcPr>
            <w:tcW w:w="4530" w:type="dxa"/>
            <w:tcBorders>
              <w:top w:val="nil"/>
              <w:left w:val="nil"/>
              <w:bottom w:val="nil"/>
              <w:right w:val="nil"/>
            </w:tcBorders>
            <w:shd w:val="clear" w:color="auto" w:fill="auto"/>
            <w:vAlign w:val="bottom"/>
          </w:tcPr>
          <w:p w14:paraId="17745E05" w14:textId="007EAAAA" w:rsidR="00725A99" w:rsidRPr="0025250D" w:rsidRDefault="00725A99" w:rsidP="00725A99">
            <w:pPr>
              <w:rPr>
                <w:rFonts w:cs="Times New Roman"/>
                <w:rtl/>
              </w:rPr>
            </w:pPr>
            <w:r w:rsidRPr="0025250D">
              <w:rPr>
                <w:rFonts w:cs="Times New Roman"/>
                <w:color w:val="000000"/>
                <w:szCs w:val="20"/>
              </w:rPr>
              <w:t>Possibility thinking</w:t>
            </w:r>
          </w:p>
        </w:tc>
      </w:tr>
      <w:tr w:rsidR="00725A99" w:rsidRPr="0025250D" w14:paraId="2688596C" w14:textId="77777777" w:rsidTr="00725A99">
        <w:tc>
          <w:tcPr>
            <w:tcW w:w="4530" w:type="dxa"/>
            <w:tcBorders>
              <w:top w:val="nil"/>
              <w:left w:val="nil"/>
              <w:bottom w:val="nil"/>
              <w:right w:val="nil"/>
            </w:tcBorders>
            <w:shd w:val="clear" w:color="auto" w:fill="auto"/>
            <w:vAlign w:val="bottom"/>
          </w:tcPr>
          <w:p w14:paraId="66E1609C" w14:textId="620D1059" w:rsidR="00725A99" w:rsidRPr="0025250D" w:rsidRDefault="00725A99" w:rsidP="00C51390">
            <w:pPr>
              <w:bidi/>
              <w:rPr>
                <w:rtl/>
              </w:rPr>
            </w:pPr>
            <w:r w:rsidRPr="0025250D">
              <w:rPr>
                <w:rFonts w:ascii="Calibri" w:hAnsi="Calibri" w:hint="cs"/>
                <w:color w:val="000000"/>
                <w:sz w:val="22"/>
                <w:rtl/>
              </w:rPr>
              <w:t>آینده‌های ممکن</w:t>
            </w:r>
          </w:p>
        </w:tc>
        <w:tc>
          <w:tcPr>
            <w:tcW w:w="4530" w:type="dxa"/>
            <w:tcBorders>
              <w:top w:val="nil"/>
              <w:left w:val="nil"/>
              <w:bottom w:val="nil"/>
              <w:right w:val="nil"/>
            </w:tcBorders>
            <w:shd w:val="clear" w:color="auto" w:fill="auto"/>
            <w:vAlign w:val="bottom"/>
          </w:tcPr>
          <w:p w14:paraId="6F4433E9" w14:textId="1665F994" w:rsidR="00725A99" w:rsidRPr="0025250D" w:rsidRDefault="00725A99" w:rsidP="00725A99">
            <w:pPr>
              <w:rPr>
                <w:rFonts w:cs="Times New Roman"/>
                <w:rtl/>
              </w:rPr>
            </w:pPr>
            <w:r w:rsidRPr="0025250D">
              <w:rPr>
                <w:rFonts w:cs="Times New Roman"/>
                <w:color w:val="000000"/>
                <w:szCs w:val="20"/>
              </w:rPr>
              <w:t>Possible Futures</w:t>
            </w:r>
          </w:p>
        </w:tc>
      </w:tr>
      <w:tr w:rsidR="00725A99" w:rsidRPr="0025250D" w14:paraId="6CBC44A0" w14:textId="77777777" w:rsidTr="00725A99">
        <w:tc>
          <w:tcPr>
            <w:tcW w:w="4530" w:type="dxa"/>
            <w:tcBorders>
              <w:top w:val="nil"/>
              <w:left w:val="nil"/>
              <w:bottom w:val="nil"/>
              <w:right w:val="nil"/>
            </w:tcBorders>
            <w:shd w:val="clear" w:color="auto" w:fill="auto"/>
            <w:vAlign w:val="bottom"/>
          </w:tcPr>
          <w:p w14:paraId="57DB4DBD" w14:textId="2A3907AA" w:rsidR="00725A99" w:rsidRPr="0025250D" w:rsidRDefault="00725A99" w:rsidP="00C51390">
            <w:pPr>
              <w:bidi/>
              <w:rPr>
                <w:rtl/>
              </w:rPr>
            </w:pPr>
            <w:r w:rsidRPr="0025250D">
              <w:rPr>
                <w:rFonts w:ascii="Calibri" w:hAnsi="Calibri" w:hint="cs"/>
                <w:color w:val="000000"/>
                <w:sz w:val="22"/>
                <w:rtl/>
              </w:rPr>
              <w:t>تقابل پیش‌بین</w:t>
            </w:r>
          </w:p>
        </w:tc>
        <w:tc>
          <w:tcPr>
            <w:tcW w:w="4530" w:type="dxa"/>
            <w:tcBorders>
              <w:top w:val="nil"/>
              <w:left w:val="nil"/>
              <w:bottom w:val="nil"/>
              <w:right w:val="nil"/>
            </w:tcBorders>
            <w:shd w:val="clear" w:color="auto" w:fill="auto"/>
            <w:vAlign w:val="bottom"/>
          </w:tcPr>
          <w:p w14:paraId="13422CC5" w14:textId="6124509F" w:rsidR="00725A99" w:rsidRPr="0025250D" w:rsidRDefault="00725A99" w:rsidP="00725A99">
            <w:pPr>
              <w:rPr>
                <w:rFonts w:cs="Times New Roman"/>
                <w:rtl/>
              </w:rPr>
            </w:pPr>
            <w:r w:rsidRPr="0025250D">
              <w:rPr>
                <w:rFonts w:cs="Times New Roman"/>
                <w:color w:val="000000"/>
                <w:szCs w:val="20"/>
              </w:rPr>
              <w:t>Predictive contrasting</w:t>
            </w:r>
          </w:p>
        </w:tc>
      </w:tr>
      <w:tr w:rsidR="00725A99" w:rsidRPr="0025250D" w14:paraId="6962C6BB" w14:textId="77777777" w:rsidTr="00725A99">
        <w:tc>
          <w:tcPr>
            <w:tcW w:w="4530" w:type="dxa"/>
            <w:tcBorders>
              <w:top w:val="nil"/>
              <w:left w:val="nil"/>
              <w:bottom w:val="nil"/>
              <w:right w:val="nil"/>
            </w:tcBorders>
            <w:shd w:val="clear" w:color="auto" w:fill="auto"/>
            <w:vAlign w:val="bottom"/>
          </w:tcPr>
          <w:p w14:paraId="0DA19DC6" w14:textId="68E7DCB9" w:rsidR="00725A99" w:rsidRPr="0025250D" w:rsidRDefault="00725A99" w:rsidP="00C51390">
            <w:pPr>
              <w:bidi/>
              <w:rPr>
                <w:rtl/>
              </w:rPr>
            </w:pPr>
            <w:r w:rsidRPr="0025250D">
              <w:rPr>
                <w:rFonts w:ascii="Calibri" w:hAnsi="Calibri"/>
                <w:color w:val="000000"/>
                <w:sz w:val="22"/>
                <w:rtl/>
              </w:rPr>
              <w:t>مرجح</w:t>
            </w:r>
          </w:p>
        </w:tc>
        <w:tc>
          <w:tcPr>
            <w:tcW w:w="4530" w:type="dxa"/>
            <w:tcBorders>
              <w:top w:val="nil"/>
              <w:left w:val="nil"/>
              <w:bottom w:val="nil"/>
              <w:right w:val="nil"/>
            </w:tcBorders>
            <w:shd w:val="clear" w:color="auto" w:fill="auto"/>
            <w:vAlign w:val="bottom"/>
          </w:tcPr>
          <w:p w14:paraId="0C2E5AEC" w14:textId="4935CF65" w:rsidR="00725A99" w:rsidRPr="0025250D" w:rsidRDefault="00725A99" w:rsidP="00725A99">
            <w:pPr>
              <w:rPr>
                <w:rFonts w:cs="Times New Roman"/>
                <w:rtl/>
              </w:rPr>
            </w:pPr>
            <w:r w:rsidRPr="0025250D">
              <w:rPr>
                <w:rFonts w:cs="Times New Roman"/>
                <w:color w:val="000000"/>
                <w:szCs w:val="20"/>
              </w:rPr>
              <w:t xml:space="preserve">Preferable </w:t>
            </w:r>
          </w:p>
        </w:tc>
      </w:tr>
      <w:tr w:rsidR="00725A99" w:rsidRPr="0025250D" w14:paraId="1621F530" w14:textId="77777777" w:rsidTr="00725A99">
        <w:tc>
          <w:tcPr>
            <w:tcW w:w="4530" w:type="dxa"/>
            <w:tcBorders>
              <w:top w:val="nil"/>
              <w:left w:val="nil"/>
              <w:bottom w:val="nil"/>
              <w:right w:val="nil"/>
            </w:tcBorders>
            <w:shd w:val="clear" w:color="auto" w:fill="auto"/>
            <w:vAlign w:val="bottom"/>
          </w:tcPr>
          <w:p w14:paraId="0D6EDA37" w14:textId="220B887D" w:rsidR="00725A99" w:rsidRPr="0025250D" w:rsidRDefault="00725A99" w:rsidP="00C51390">
            <w:pPr>
              <w:bidi/>
              <w:rPr>
                <w:rtl/>
              </w:rPr>
            </w:pPr>
            <w:r w:rsidRPr="0025250D">
              <w:rPr>
                <w:rFonts w:ascii="Calibri" w:hAnsi="Calibri" w:hint="cs"/>
                <w:color w:val="000000"/>
                <w:sz w:val="22"/>
                <w:rtl/>
              </w:rPr>
              <w:t>تفکر در مورد موارد مرجح و قابل اجتناب</w:t>
            </w:r>
          </w:p>
        </w:tc>
        <w:tc>
          <w:tcPr>
            <w:tcW w:w="4530" w:type="dxa"/>
            <w:tcBorders>
              <w:top w:val="nil"/>
              <w:left w:val="nil"/>
              <w:bottom w:val="nil"/>
              <w:right w:val="nil"/>
            </w:tcBorders>
            <w:shd w:val="clear" w:color="auto" w:fill="auto"/>
            <w:vAlign w:val="bottom"/>
          </w:tcPr>
          <w:p w14:paraId="70B62121" w14:textId="30623FF1" w:rsidR="00725A99" w:rsidRPr="0025250D" w:rsidRDefault="00725A99" w:rsidP="00725A99">
            <w:pPr>
              <w:rPr>
                <w:rFonts w:cs="Times New Roman"/>
                <w:rtl/>
              </w:rPr>
            </w:pPr>
            <w:r w:rsidRPr="0025250D">
              <w:rPr>
                <w:rFonts w:cs="Times New Roman"/>
                <w:color w:val="000000"/>
                <w:szCs w:val="20"/>
              </w:rPr>
              <w:t>Preference &amp; Prevention thinking</w:t>
            </w:r>
          </w:p>
        </w:tc>
      </w:tr>
      <w:tr w:rsidR="00725A99" w:rsidRPr="0025250D" w14:paraId="2F37A9AC" w14:textId="77777777" w:rsidTr="00725A99">
        <w:tc>
          <w:tcPr>
            <w:tcW w:w="4530" w:type="dxa"/>
            <w:tcBorders>
              <w:top w:val="nil"/>
              <w:left w:val="nil"/>
              <w:bottom w:val="nil"/>
              <w:right w:val="nil"/>
            </w:tcBorders>
            <w:shd w:val="clear" w:color="auto" w:fill="auto"/>
            <w:vAlign w:val="bottom"/>
          </w:tcPr>
          <w:p w14:paraId="2FC7F234" w14:textId="2F7FF0BD" w:rsidR="00725A99" w:rsidRPr="0025250D" w:rsidRDefault="00725A99" w:rsidP="00C51390">
            <w:pPr>
              <w:bidi/>
              <w:rPr>
                <w:rtl/>
              </w:rPr>
            </w:pPr>
            <w:r w:rsidRPr="0025250D">
              <w:rPr>
                <w:rFonts w:ascii="Calibri" w:hAnsi="Calibri" w:hint="cs"/>
                <w:color w:val="000000"/>
                <w:sz w:val="22"/>
                <w:rtl/>
              </w:rPr>
              <w:t>آینده‌های مرجح</w:t>
            </w:r>
          </w:p>
        </w:tc>
        <w:tc>
          <w:tcPr>
            <w:tcW w:w="4530" w:type="dxa"/>
            <w:tcBorders>
              <w:top w:val="nil"/>
              <w:left w:val="nil"/>
              <w:bottom w:val="nil"/>
              <w:right w:val="nil"/>
            </w:tcBorders>
            <w:shd w:val="clear" w:color="auto" w:fill="auto"/>
            <w:vAlign w:val="bottom"/>
          </w:tcPr>
          <w:p w14:paraId="24A37E79" w14:textId="443BC9C1" w:rsidR="00725A99" w:rsidRPr="0025250D" w:rsidRDefault="00725A99" w:rsidP="00725A99">
            <w:pPr>
              <w:rPr>
                <w:rFonts w:cs="Times New Roman"/>
                <w:rtl/>
              </w:rPr>
            </w:pPr>
            <w:r w:rsidRPr="0025250D">
              <w:rPr>
                <w:rFonts w:cs="Times New Roman"/>
                <w:color w:val="000000"/>
                <w:szCs w:val="20"/>
              </w:rPr>
              <w:t>Preferred Futures</w:t>
            </w:r>
          </w:p>
        </w:tc>
      </w:tr>
      <w:tr w:rsidR="00725A99" w:rsidRPr="0025250D" w14:paraId="76D2834A" w14:textId="77777777" w:rsidTr="00725A99">
        <w:tc>
          <w:tcPr>
            <w:tcW w:w="4530" w:type="dxa"/>
            <w:tcBorders>
              <w:top w:val="nil"/>
              <w:left w:val="nil"/>
              <w:bottom w:val="nil"/>
              <w:right w:val="nil"/>
            </w:tcBorders>
            <w:shd w:val="clear" w:color="auto" w:fill="auto"/>
            <w:vAlign w:val="bottom"/>
          </w:tcPr>
          <w:p w14:paraId="0574EA6E" w14:textId="5A434785" w:rsidR="00725A99" w:rsidRPr="0025250D" w:rsidRDefault="00725A99" w:rsidP="00C51390">
            <w:pPr>
              <w:bidi/>
              <w:rPr>
                <w:rtl/>
              </w:rPr>
            </w:pPr>
            <w:r w:rsidRPr="0025250D">
              <w:rPr>
                <w:rFonts w:ascii="Calibri" w:hAnsi="Calibri" w:hint="cs"/>
                <w:color w:val="000000"/>
                <w:sz w:val="22"/>
                <w:rtl/>
              </w:rPr>
              <w:t>آینده‌های نامعقول</w:t>
            </w:r>
          </w:p>
        </w:tc>
        <w:tc>
          <w:tcPr>
            <w:tcW w:w="4530" w:type="dxa"/>
            <w:tcBorders>
              <w:top w:val="nil"/>
              <w:left w:val="nil"/>
              <w:bottom w:val="nil"/>
              <w:right w:val="nil"/>
            </w:tcBorders>
            <w:shd w:val="clear" w:color="auto" w:fill="auto"/>
            <w:vAlign w:val="bottom"/>
          </w:tcPr>
          <w:p w14:paraId="71522140" w14:textId="44B7DCB6" w:rsidR="00725A99" w:rsidRPr="0025250D" w:rsidRDefault="00725A99" w:rsidP="00725A99">
            <w:pPr>
              <w:rPr>
                <w:rFonts w:cs="Times New Roman"/>
                <w:rtl/>
              </w:rPr>
            </w:pPr>
            <w:r w:rsidRPr="0025250D">
              <w:rPr>
                <w:rFonts w:cs="Times New Roman"/>
                <w:color w:val="000000"/>
                <w:szCs w:val="20"/>
              </w:rPr>
              <w:t>Preposterous Futures</w:t>
            </w:r>
          </w:p>
        </w:tc>
      </w:tr>
      <w:tr w:rsidR="00725A99" w:rsidRPr="0025250D" w14:paraId="612CB715" w14:textId="77777777" w:rsidTr="00725A99">
        <w:tc>
          <w:tcPr>
            <w:tcW w:w="4530" w:type="dxa"/>
            <w:tcBorders>
              <w:top w:val="nil"/>
              <w:left w:val="nil"/>
              <w:bottom w:val="nil"/>
              <w:right w:val="nil"/>
            </w:tcBorders>
            <w:shd w:val="clear" w:color="auto" w:fill="auto"/>
            <w:vAlign w:val="bottom"/>
          </w:tcPr>
          <w:p w14:paraId="0503B595" w14:textId="621B9062" w:rsidR="00725A99" w:rsidRPr="0025250D" w:rsidRDefault="00725A99" w:rsidP="00C51390">
            <w:pPr>
              <w:bidi/>
              <w:rPr>
                <w:rtl/>
              </w:rPr>
            </w:pPr>
            <w:r w:rsidRPr="0025250D">
              <w:rPr>
                <w:rFonts w:ascii="Calibri" w:hAnsi="Calibri" w:hint="cs"/>
                <w:color w:val="000000"/>
                <w:sz w:val="22"/>
                <w:rtl/>
              </w:rPr>
              <w:t>حال گرا</w:t>
            </w:r>
          </w:p>
        </w:tc>
        <w:tc>
          <w:tcPr>
            <w:tcW w:w="4530" w:type="dxa"/>
            <w:tcBorders>
              <w:top w:val="nil"/>
              <w:left w:val="nil"/>
              <w:bottom w:val="nil"/>
              <w:right w:val="nil"/>
            </w:tcBorders>
            <w:shd w:val="clear" w:color="auto" w:fill="auto"/>
            <w:vAlign w:val="bottom"/>
          </w:tcPr>
          <w:p w14:paraId="7A59C6CE" w14:textId="5C9B05A9" w:rsidR="00725A99" w:rsidRPr="0025250D" w:rsidRDefault="00725A99" w:rsidP="00725A99">
            <w:pPr>
              <w:rPr>
                <w:rFonts w:cs="Times New Roman"/>
                <w:rtl/>
              </w:rPr>
            </w:pPr>
            <w:r w:rsidRPr="0025250D">
              <w:rPr>
                <w:rFonts w:cs="Times New Roman"/>
                <w:color w:val="000000"/>
                <w:szCs w:val="20"/>
              </w:rPr>
              <w:t>Presentist</w:t>
            </w:r>
          </w:p>
        </w:tc>
      </w:tr>
      <w:tr w:rsidR="00725A99" w:rsidRPr="0025250D" w14:paraId="49B0152A" w14:textId="77777777" w:rsidTr="00725A99">
        <w:tc>
          <w:tcPr>
            <w:tcW w:w="4530" w:type="dxa"/>
            <w:tcBorders>
              <w:top w:val="nil"/>
              <w:left w:val="nil"/>
              <w:bottom w:val="nil"/>
              <w:right w:val="nil"/>
            </w:tcBorders>
            <w:shd w:val="clear" w:color="auto" w:fill="auto"/>
            <w:vAlign w:val="bottom"/>
          </w:tcPr>
          <w:p w14:paraId="0B78905A" w14:textId="567EDBFD" w:rsidR="00725A99" w:rsidRPr="0025250D" w:rsidRDefault="00725A99" w:rsidP="00C51390">
            <w:pPr>
              <w:bidi/>
              <w:rPr>
                <w:rtl/>
              </w:rPr>
            </w:pPr>
            <w:r w:rsidRPr="0025250D">
              <w:rPr>
                <w:rFonts w:ascii="Calibri" w:hAnsi="Calibri" w:hint="cs"/>
                <w:color w:val="000000"/>
                <w:sz w:val="22"/>
                <w:rtl/>
              </w:rPr>
              <w:t>پیش تصویر سازی</w:t>
            </w:r>
          </w:p>
        </w:tc>
        <w:tc>
          <w:tcPr>
            <w:tcW w:w="4530" w:type="dxa"/>
            <w:tcBorders>
              <w:top w:val="nil"/>
              <w:left w:val="nil"/>
              <w:bottom w:val="nil"/>
              <w:right w:val="nil"/>
            </w:tcBorders>
            <w:shd w:val="clear" w:color="auto" w:fill="auto"/>
            <w:vAlign w:val="bottom"/>
          </w:tcPr>
          <w:p w14:paraId="2B467981" w14:textId="4235128A" w:rsidR="00725A99" w:rsidRPr="0025250D" w:rsidRDefault="00725A99" w:rsidP="00725A99">
            <w:pPr>
              <w:rPr>
                <w:rFonts w:cs="Times New Roman"/>
                <w:rtl/>
              </w:rPr>
            </w:pPr>
            <w:r w:rsidRPr="0025250D">
              <w:rPr>
                <w:rFonts w:cs="Times New Roman"/>
                <w:color w:val="000000"/>
                <w:szCs w:val="20"/>
              </w:rPr>
              <w:t>Previsualizing</w:t>
            </w:r>
          </w:p>
        </w:tc>
      </w:tr>
      <w:tr w:rsidR="00725A99" w:rsidRPr="0025250D" w14:paraId="4009C6C8" w14:textId="77777777" w:rsidTr="00725A99">
        <w:tc>
          <w:tcPr>
            <w:tcW w:w="4530" w:type="dxa"/>
            <w:tcBorders>
              <w:top w:val="nil"/>
              <w:left w:val="nil"/>
              <w:bottom w:val="nil"/>
              <w:right w:val="nil"/>
            </w:tcBorders>
            <w:shd w:val="clear" w:color="auto" w:fill="auto"/>
            <w:vAlign w:val="bottom"/>
          </w:tcPr>
          <w:p w14:paraId="0328DB28" w14:textId="5BCA5153" w:rsidR="00725A99" w:rsidRPr="0025250D" w:rsidRDefault="00725A99" w:rsidP="00C51390">
            <w:pPr>
              <w:bidi/>
              <w:rPr>
                <w:rtl/>
              </w:rPr>
            </w:pPr>
            <w:r w:rsidRPr="0025250D">
              <w:rPr>
                <w:rFonts w:ascii="Calibri" w:hAnsi="Calibri" w:hint="cs"/>
                <w:color w:val="000000"/>
                <w:sz w:val="22"/>
                <w:rtl/>
              </w:rPr>
              <w:t>تفکر در مورد موارد احتمالی</w:t>
            </w:r>
          </w:p>
        </w:tc>
        <w:tc>
          <w:tcPr>
            <w:tcW w:w="4530" w:type="dxa"/>
            <w:tcBorders>
              <w:top w:val="nil"/>
              <w:left w:val="nil"/>
              <w:bottom w:val="nil"/>
              <w:right w:val="nil"/>
            </w:tcBorders>
            <w:shd w:val="clear" w:color="auto" w:fill="auto"/>
            <w:vAlign w:val="bottom"/>
          </w:tcPr>
          <w:p w14:paraId="516C3A6A" w14:textId="0915126D" w:rsidR="00725A99" w:rsidRPr="0025250D" w:rsidRDefault="00725A99" w:rsidP="00725A99">
            <w:pPr>
              <w:rPr>
                <w:rFonts w:cs="Times New Roman"/>
                <w:rtl/>
              </w:rPr>
            </w:pPr>
            <w:r w:rsidRPr="0025250D">
              <w:rPr>
                <w:rFonts w:cs="Times New Roman"/>
                <w:color w:val="000000"/>
                <w:szCs w:val="20"/>
              </w:rPr>
              <w:t>Probability thinking</w:t>
            </w:r>
          </w:p>
        </w:tc>
      </w:tr>
      <w:tr w:rsidR="00725A99" w:rsidRPr="0025250D" w14:paraId="7044234A" w14:textId="77777777" w:rsidTr="00725A99">
        <w:tc>
          <w:tcPr>
            <w:tcW w:w="4530" w:type="dxa"/>
            <w:tcBorders>
              <w:top w:val="nil"/>
              <w:left w:val="nil"/>
              <w:bottom w:val="nil"/>
              <w:right w:val="nil"/>
            </w:tcBorders>
            <w:shd w:val="clear" w:color="auto" w:fill="auto"/>
            <w:vAlign w:val="bottom"/>
          </w:tcPr>
          <w:p w14:paraId="521BC211" w14:textId="7B9EC3E0" w:rsidR="00725A99" w:rsidRPr="0025250D" w:rsidRDefault="00725A99" w:rsidP="00C51390">
            <w:pPr>
              <w:bidi/>
              <w:rPr>
                <w:rtl/>
              </w:rPr>
            </w:pPr>
            <w:r w:rsidRPr="0025250D">
              <w:rPr>
                <w:rFonts w:ascii="Calibri" w:hAnsi="Calibri" w:hint="cs"/>
                <w:color w:val="000000"/>
                <w:sz w:val="22"/>
                <w:rtl/>
              </w:rPr>
              <w:t>آینده‌های محتمل</w:t>
            </w:r>
          </w:p>
        </w:tc>
        <w:tc>
          <w:tcPr>
            <w:tcW w:w="4530" w:type="dxa"/>
            <w:tcBorders>
              <w:top w:val="nil"/>
              <w:left w:val="nil"/>
              <w:bottom w:val="nil"/>
              <w:right w:val="nil"/>
            </w:tcBorders>
            <w:shd w:val="clear" w:color="auto" w:fill="auto"/>
            <w:vAlign w:val="bottom"/>
          </w:tcPr>
          <w:p w14:paraId="0DF0F719" w14:textId="08708E5B" w:rsidR="00725A99" w:rsidRPr="0025250D" w:rsidRDefault="00725A99" w:rsidP="00725A99">
            <w:pPr>
              <w:rPr>
                <w:rFonts w:cs="Times New Roman"/>
                <w:rtl/>
              </w:rPr>
            </w:pPr>
            <w:r w:rsidRPr="0025250D">
              <w:rPr>
                <w:rFonts w:cs="Times New Roman"/>
                <w:color w:val="000000"/>
                <w:szCs w:val="20"/>
              </w:rPr>
              <w:t>Probable Futures</w:t>
            </w:r>
          </w:p>
        </w:tc>
      </w:tr>
      <w:tr w:rsidR="00725A99" w:rsidRPr="0025250D" w14:paraId="4822CB7C" w14:textId="77777777" w:rsidTr="00725A99">
        <w:tc>
          <w:tcPr>
            <w:tcW w:w="4530" w:type="dxa"/>
            <w:tcBorders>
              <w:top w:val="nil"/>
              <w:left w:val="nil"/>
              <w:bottom w:val="nil"/>
              <w:right w:val="nil"/>
            </w:tcBorders>
            <w:shd w:val="clear" w:color="auto" w:fill="auto"/>
            <w:vAlign w:val="bottom"/>
          </w:tcPr>
          <w:p w14:paraId="010ACA58" w14:textId="14CD69B4" w:rsidR="00725A99" w:rsidRPr="0025250D" w:rsidRDefault="00725A99" w:rsidP="00C51390">
            <w:pPr>
              <w:bidi/>
              <w:rPr>
                <w:rtl/>
              </w:rPr>
            </w:pPr>
            <w:r w:rsidRPr="0025250D">
              <w:rPr>
                <w:rFonts w:ascii="Calibri" w:hAnsi="Calibri" w:hint="cs"/>
                <w:color w:val="000000"/>
                <w:sz w:val="22"/>
                <w:rtl/>
              </w:rPr>
              <w:t>تفکر محصولی</w:t>
            </w:r>
          </w:p>
        </w:tc>
        <w:tc>
          <w:tcPr>
            <w:tcW w:w="4530" w:type="dxa"/>
            <w:tcBorders>
              <w:top w:val="nil"/>
              <w:left w:val="nil"/>
              <w:bottom w:val="nil"/>
              <w:right w:val="nil"/>
            </w:tcBorders>
            <w:shd w:val="clear" w:color="auto" w:fill="auto"/>
            <w:vAlign w:val="bottom"/>
          </w:tcPr>
          <w:p w14:paraId="16013A35" w14:textId="6111F9B8" w:rsidR="00725A99" w:rsidRPr="0025250D" w:rsidRDefault="00725A99" w:rsidP="00725A99">
            <w:pPr>
              <w:rPr>
                <w:rFonts w:cs="Times New Roman"/>
                <w:rtl/>
              </w:rPr>
            </w:pPr>
            <w:r w:rsidRPr="0025250D">
              <w:rPr>
                <w:rFonts w:cs="Times New Roman"/>
                <w:color w:val="000000"/>
                <w:szCs w:val="20"/>
              </w:rPr>
              <w:t>Product thinking</w:t>
            </w:r>
          </w:p>
        </w:tc>
      </w:tr>
      <w:tr w:rsidR="00725A99" w:rsidRPr="0025250D" w14:paraId="6E8A9BB8" w14:textId="77777777" w:rsidTr="00725A99">
        <w:tc>
          <w:tcPr>
            <w:tcW w:w="4530" w:type="dxa"/>
            <w:tcBorders>
              <w:top w:val="nil"/>
              <w:left w:val="nil"/>
              <w:bottom w:val="nil"/>
              <w:right w:val="nil"/>
            </w:tcBorders>
            <w:shd w:val="clear" w:color="auto" w:fill="auto"/>
            <w:vAlign w:val="bottom"/>
          </w:tcPr>
          <w:p w14:paraId="79E53D48" w14:textId="275CE5A6" w:rsidR="00725A99" w:rsidRPr="0025250D" w:rsidRDefault="00725A99" w:rsidP="00C51390">
            <w:pPr>
              <w:bidi/>
              <w:rPr>
                <w:rtl/>
              </w:rPr>
            </w:pPr>
            <w:r w:rsidRPr="0025250D">
              <w:rPr>
                <w:rFonts w:ascii="Calibri" w:hAnsi="Calibri" w:hint="cs"/>
                <w:color w:val="000000"/>
                <w:sz w:val="22"/>
                <w:rtl/>
              </w:rPr>
              <w:t>تخصصی سازی آینده‌نگاری</w:t>
            </w:r>
          </w:p>
        </w:tc>
        <w:tc>
          <w:tcPr>
            <w:tcW w:w="4530" w:type="dxa"/>
            <w:tcBorders>
              <w:top w:val="nil"/>
              <w:left w:val="nil"/>
              <w:bottom w:val="nil"/>
              <w:right w:val="nil"/>
            </w:tcBorders>
            <w:shd w:val="clear" w:color="auto" w:fill="auto"/>
            <w:vAlign w:val="bottom"/>
          </w:tcPr>
          <w:p w14:paraId="6A6CE498" w14:textId="09A5FEAF" w:rsidR="00725A99" w:rsidRPr="0025250D" w:rsidRDefault="00725A99" w:rsidP="00725A99">
            <w:pPr>
              <w:rPr>
                <w:rFonts w:cs="Times New Roman"/>
                <w:rtl/>
              </w:rPr>
            </w:pPr>
            <w:r w:rsidRPr="0025250D">
              <w:rPr>
                <w:rFonts w:cs="Times New Roman"/>
                <w:color w:val="000000"/>
                <w:szCs w:val="20"/>
              </w:rPr>
              <w:t>Professionalizing Foresight</w:t>
            </w:r>
          </w:p>
        </w:tc>
      </w:tr>
      <w:tr w:rsidR="00725A99" w:rsidRPr="0025250D" w14:paraId="7F89A542" w14:textId="77777777" w:rsidTr="00725A99">
        <w:tc>
          <w:tcPr>
            <w:tcW w:w="4530" w:type="dxa"/>
            <w:tcBorders>
              <w:top w:val="nil"/>
              <w:left w:val="nil"/>
              <w:bottom w:val="nil"/>
              <w:right w:val="nil"/>
            </w:tcBorders>
            <w:shd w:val="clear" w:color="auto" w:fill="auto"/>
            <w:vAlign w:val="bottom"/>
          </w:tcPr>
          <w:p w14:paraId="5684CF63" w14:textId="31E2E12E" w:rsidR="00725A99" w:rsidRPr="0025250D" w:rsidRDefault="00725A99" w:rsidP="00C51390">
            <w:pPr>
              <w:bidi/>
              <w:rPr>
                <w:rtl/>
              </w:rPr>
            </w:pPr>
            <w:r w:rsidRPr="0025250D">
              <w:rPr>
                <w:rFonts w:ascii="Calibri" w:hAnsi="Calibri" w:hint="cs"/>
                <w:color w:val="000000"/>
                <w:sz w:val="22"/>
                <w:rtl/>
              </w:rPr>
              <w:t>پیش رونده</w:t>
            </w:r>
          </w:p>
        </w:tc>
        <w:tc>
          <w:tcPr>
            <w:tcW w:w="4530" w:type="dxa"/>
            <w:tcBorders>
              <w:top w:val="nil"/>
              <w:left w:val="nil"/>
              <w:bottom w:val="nil"/>
              <w:right w:val="nil"/>
            </w:tcBorders>
            <w:shd w:val="clear" w:color="auto" w:fill="auto"/>
            <w:vAlign w:val="bottom"/>
          </w:tcPr>
          <w:p w14:paraId="4014F862" w14:textId="40283632" w:rsidR="00725A99" w:rsidRPr="0025250D" w:rsidRDefault="00725A99" w:rsidP="00725A99">
            <w:pPr>
              <w:rPr>
                <w:rFonts w:cs="Times New Roman"/>
                <w:rtl/>
              </w:rPr>
            </w:pPr>
            <w:r w:rsidRPr="0025250D">
              <w:rPr>
                <w:rFonts w:cs="Times New Roman"/>
                <w:color w:val="000000"/>
                <w:szCs w:val="20"/>
              </w:rPr>
              <w:t>Progressive</w:t>
            </w:r>
          </w:p>
        </w:tc>
      </w:tr>
      <w:tr w:rsidR="00725A99" w:rsidRPr="0025250D" w14:paraId="5E578504" w14:textId="77777777" w:rsidTr="00725A99">
        <w:tc>
          <w:tcPr>
            <w:tcW w:w="4530" w:type="dxa"/>
            <w:tcBorders>
              <w:top w:val="nil"/>
              <w:left w:val="nil"/>
              <w:bottom w:val="nil"/>
              <w:right w:val="nil"/>
            </w:tcBorders>
            <w:shd w:val="clear" w:color="auto" w:fill="auto"/>
            <w:vAlign w:val="bottom"/>
          </w:tcPr>
          <w:p w14:paraId="5E95D720" w14:textId="67E56D50" w:rsidR="00725A99" w:rsidRPr="0025250D" w:rsidRDefault="00725A99" w:rsidP="00C51390">
            <w:pPr>
              <w:bidi/>
              <w:rPr>
                <w:rtl/>
              </w:rPr>
            </w:pPr>
            <w:r w:rsidRPr="0025250D">
              <w:rPr>
                <w:rFonts w:ascii="Calibri" w:hAnsi="Calibri"/>
                <w:color w:val="000000"/>
                <w:sz w:val="22"/>
                <w:rtl/>
              </w:rPr>
              <w:t>پیش نمایی</w:t>
            </w:r>
          </w:p>
        </w:tc>
        <w:tc>
          <w:tcPr>
            <w:tcW w:w="4530" w:type="dxa"/>
            <w:tcBorders>
              <w:top w:val="nil"/>
              <w:left w:val="nil"/>
              <w:bottom w:val="nil"/>
              <w:right w:val="nil"/>
            </w:tcBorders>
            <w:shd w:val="clear" w:color="auto" w:fill="auto"/>
            <w:vAlign w:val="bottom"/>
          </w:tcPr>
          <w:p w14:paraId="356AD419" w14:textId="2AAB7D51" w:rsidR="00725A99" w:rsidRPr="0025250D" w:rsidRDefault="00C51390" w:rsidP="00725A99">
            <w:pPr>
              <w:rPr>
                <w:rFonts w:cs="Times New Roman"/>
                <w:rtl/>
              </w:rPr>
            </w:pPr>
            <w:r w:rsidRPr="0025250D">
              <w:rPr>
                <w:rFonts w:cs="Times New Roman"/>
                <w:color w:val="000000"/>
                <w:szCs w:val="20"/>
              </w:rPr>
              <w:t>P</w:t>
            </w:r>
            <w:r w:rsidR="00725A99" w:rsidRPr="0025250D">
              <w:rPr>
                <w:rFonts w:cs="Times New Roman"/>
                <w:color w:val="000000"/>
                <w:szCs w:val="20"/>
              </w:rPr>
              <w:t>rojection</w:t>
            </w:r>
          </w:p>
        </w:tc>
      </w:tr>
      <w:tr w:rsidR="00725A99" w:rsidRPr="0025250D" w14:paraId="6AE7BB86" w14:textId="77777777" w:rsidTr="00725A99">
        <w:tc>
          <w:tcPr>
            <w:tcW w:w="4530" w:type="dxa"/>
            <w:tcBorders>
              <w:top w:val="nil"/>
              <w:left w:val="nil"/>
              <w:bottom w:val="nil"/>
              <w:right w:val="nil"/>
            </w:tcBorders>
            <w:shd w:val="clear" w:color="auto" w:fill="auto"/>
            <w:vAlign w:val="bottom"/>
          </w:tcPr>
          <w:p w14:paraId="5E96E4A9" w14:textId="679F7A77" w:rsidR="00725A99" w:rsidRPr="0025250D" w:rsidRDefault="00725A99" w:rsidP="00C51390">
            <w:pPr>
              <w:bidi/>
              <w:rPr>
                <w:rtl/>
              </w:rPr>
            </w:pPr>
            <w:r w:rsidRPr="0025250D">
              <w:rPr>
                <w:rFonts w:ascii="Calibri" w:hAnsi="Calibri" w:hint="cs"/>
                <w:color w:val="000000"/>
                <w:sz w:val="22"/>
                <w:rtl/>
              </w:rPr>
              <w:t>آینده‌نگر</w:t>
            </w:r>
          </w:p>
        </w:tc>
        <w:tc>
          <w:tcPr>
            <w:tcW w:w="4530" w:type="dxa"/>
            <w:tcBorders>
              <w:top w:val="nil"/>
              <w:left w:val="nil"/>
              <w:bottom w:val="nil"/>
              <w:right w:val="nil"/>
            </w:tcBorders>
            <w:shd w:val="clear" w:color="auto" w:fill="auto"/>
            <w:vAlign w:val="bottom"/>
          </w:tcPr>
          <w:p w14:paraId="5DCF0B0C" w14:textId="047C74D9" w:rsidR="00725A99" w:rsidRPr="0025250D" w:rsidRDefault="00C51390" w:rsidP="00725A99">
            <w:pPr>
              <w:rPr>
                <w:rFonts w:cs="Times New Roman"/>
                <w:rtl/>
              </w:rPr>
            </w:pPr>
            <w:r w:rsidRPr="0025250D">
              <w:rPr>
                <w:rFonts w:cs="Times New Roman"/>
                <w:color w:val="000000"/>
                <w:szCs w:val="20"/>
              </w:rPr>
              <w:t>P</w:t>
            </w:r>
            <w:r w:rsidR="00725A99" w:rsidRPr="0025250D">
              <w:rPr>
                <w:rFonts w:cs="Times New Roman"/>
                <w:color w:val="000000"/>
                <w:szCs w:val="20"/>
              </w:rPr>
              <w:t xml:space="preserve">rospective </w:t>
            </w:r>
          </w:p>
        </w:tc>
      </w:tr>
      <w:tr w:rsidR="00725A99" w:rsidRPr="0025250D" w14:paraId="49A1AA05" w14:textId="77777777" w:rsidTr="00725A99">
        <w:tc>
          <w:tcPr>
            <w:tcW w:w="4530" w:type="dxa"/>
            <w:tcBorders>
              <w:top w:val="nil"/>
              <w:left w:val="nil"/>
              <w:bottom w:val="nil"/>
              <w:right w:val="nil"/>
            </w:tcBorders>
            <w:shd w:val="clear" w:color="auto" w:fill="auto"/>
            <w:vAlign w:val="bottom"/>
          </w:tcPr>
          <w:p w14:paraId="571200A9" w14:textId="6C2A105A" w:rsidR="00725A99" w:rsidRPr="0025250D" w:rsidRDefault="00725A99" w:rsidP="00C51390">
            <w:pPr>
              <w:bidi/>
              <w:rPr>
                <w:rtl/>
              </w:rPr>
            </w:pPr>
            <w:r w:rsidRPr="0025250D">
              <w:rPr>
                <w:rFonts w:ascii="Calibri" w:hAnsi="Calibri" w:hint="cs"/>
                <w:color w:val="000000"/>
                <w:sz w:val="22"/>
                <w:rtl/>
              </w:rPr>
              <w:t>مغز آینده‌نگر</w:t>
            </w:r>
          </w:p>
        </w:tc>
        <w:tc>
          <w:tcPr>
            <w:tcW w:w="4530" w:type="dxa"/>
            <w:tcBorders>
              <w:top w:val="nil"/>
              <w:left w:val="nil"/>
              <w:bottom w:val="nil"/>
              <w:right w:val="nil"/>
            </w:tcBorders>
            <w:shd w:val="clear" w:color="auto" w:fill="auto"/>
            <w:vAlign w:val="bottom"/>
          </w:tcPr>
          <w:p w14:paraId="68B02C55" w14:textId="39148B5F" w:rsidR="00725A99" w:rsidRPr="0025250D" w:rsidRDefault="00725A99" w:rsidP="00725A99">
            <w:pPr>
              <w:rPr>
                <w:rFonts w:cs="Times New Roman"/>
                <w:rtl/>
              </w:rPr>
            </w:pPr>
            <w:r w:rsidRPr="0025250D">
              <w:rPr>
                <w:rFonts w:cs="Times New Roman"/>
                <w:color w:val="000000"/>
                <w:szCs w:val="20"/>
              </w:rPr>
              <w:t>Prospective Brain</w:t>
            </w:r>
          </w:p>
        </w:tc>
      </w:tr>
      <w:tr w:rsidR="00725A99" w:rsidRPr="0025250D" w14:paraId="10524842" w14:textId="77777777" w:rsidTr="00725A99">
        <w:tc>
          <w:tcPr>
            <w:tcW w:w="4530" w:type="dxa"/>
            <w:tcBorders>
              <w:top w:val="nil"/>
              <w:left w:val="nil"/>
              <w:bottom w:val="nil"/>
              <w:right w:val="nil"/>
            </w:tcBorders>
            <w:shd w:val="clear" w:color="auto" w:fill="auto"/>
            <w:vAlign w:val="bottom"/>
          </w:tcPr>
          <w:p w14:paraId="5A04664B" w14:textId="24C246D5" w:rsidR="00725A99" w:rsidRPr="0025250D" w:rsidRDefault="00725A99" w:rsidP="00C51390">
            <w:pPr>
              <w:bidi/>
              <w:rPr>
                <w:rtl/>
              </w:rPr>
            </w:pPr>
            <w:r w:rsidRPr="0025250D">
              <w:rPr>
                <w:rFonts w:ascii="Calibri" w:hAnsi="Calibri" w:hint="cs"/>
                <w:color w:val="000000"/>
                <w:sz w:val="22"/>
                <w:rtl/>
              </w:rPr>
              <w:t>راستین‌شهرها</w:t>
            </w:r>
          </w:p>
        </w:tc>
        <w:tc>
          <w:tcPr>
            <w:tcW w:w="4530" w:type="dxa"/>
            <w:tcBorders>
              <w:top w:val="nil"/>
              <w:left w:val="nil"/>
              <w:bottom w:val="nil"/>
              <w:right w:val="nil"/>
            </w:tcBorders>
            <w:shd w:val="clear" w:color="auto" w:fill="auto"/>
            <w:vAlign w:val="bottom"/>
          </w:tcPr>
          <w:p w14:paraId="75D53B56" w14:textId="64338CCF" w:rsidR="00725A99" w:rsidRPr="0025250D" w:rsidRDefault="00725A99" w:rsidP="00725A99">
            <w:pPr>
              <w:rPr>
                <w:rFonts w:cs="Times New Roman"/>
                <w:rtl/>
              </w:rPr>
            </w:pPr>
            <w:r w:rsidRPr="0025250D">
              <w:rPr>
                <w:rFonts w:cs="Times New Roman"/>
                <w:color w:val="000000"/>
                <w:szCs w:val="20"/>
              </w:rPr>
              <w:t>Protopias</w:t>
            </w:r>
          </w:p>
        </w:tc>
      </w:tr>
      <w:tr w:rsidR="00725A99" w:rsidRPr="0025250D" w14:paraId="71E3B623" w14:textId="77777777" w:rsidTr="00725A99">
        <w:tc>
          <w:tcPr>
            <w:tcW w:w="4530" w:type="dxa"/>
            <w:tcBorders>
              <w:top w:val="nil"/>
              <w:left w:val="nil"/>
              <w:bottom w:val="nil"/>
              <w:right w:val="nil"/>
            </w:tcBorders>
            <w:shd w:val="clear" w:color="auto" w:fill="auto"/>
            <w:vAlign w:val="bottom"/>
          </w:tcPr>
          <w:p w14:paraId="3FAAC2C0" w14:textId="4C240FDA" w:rsidR="00725A99" w:rsidRPr="0025250D" w:rsidRDefault="00725A99" w:rsidP="00C51390">
            <w:pPr>
              <w:bidi/>
              <w:rPr>
                <w:rtl/>
              </w:rPr>
            </w:pPr>
            <w:r w:rsidRPr="0025250D">
              <w:rPr>
                <w:rFonts w:ascii="Calibri" w:hAnsi="Calibri" w:hint="cs"/>
                <w:color w:val="000000"/>
                <w:sz w:val="22"/>
                <w:rtl/>
              </w:rPr>
              <w:t>آینده‌نگاری سلامت عمومی</w:t>
            </w:r>
          </w:p>
        </w:tc>
        <w:tc>
          <w:tcPr>
            <w:tcW w:w="4530" w:type="dxa"/>
            <w:tcBorders>
              <w:top w:val="nil"/>
              <w:left w:val="nil"/>
              <w:bottom w:val="nil"/>
              <w:right w:val="nil"/>
            </w:tcBorders>
            <w:shd w:val="clear" w:color="auto" w:fill="auto"/>
            <w:vAlign w:val="bottom"/>
          </w:tcPr>
          <w:p w14:paraId="14FE1120" w14:textId="28ADBE1D" w:rsidR="00725A99" w:rsidRPr="0025250D" w:rsidRDefault="00725A99" w:rsidP="00725A99">
            <w:pPr>
              <w:rPr>
                <w:rFonts w:cs="Times New Roman"/>
                <w:rtl/>
              </w:rPr>
            </w:pPr>
            <w:r w:rsidRPr="0025250D">
              <w:rPr>
                <w:rFonts w:cs="Times New Roman"/>
                <w:color w:val="000000"/>
                <w:szCs w:val="20"/>
              </w:rPr>
              <w:t>Public health foresight</w:t>
            </w:r>
          </w:p>
        </w:tc>
      </w:tr>
      <w:tr w:rsidR="00725A99" w:rsidRPr="0025250D" w14:paraId="3973E348" w14:textId="77777777" w:rsidTr="00725A99">
        <w:tc>
          <w:tcPr>
            <w:tcW w:w="4530" w:type="dxa"/>
            <w:tcBorders>
              <w:top w:val="nil"/>
              <w:left w:val="nil"/>
              <w:bottom w:val="nil"/>
              <w:right w:val="nil"/>
            </w:tcBorders>
            <w:shd w:val="clear" w:color="auto" w:fill="auto"/>
            <w:vAlign w:val="bottom"/>
          </w:tcPr>
          <w:p w14:paraId="47CF61CA" w14:textId="1E80FA0F" w:rsidR="00725A99" w:rsidRPr="0025250D" w:rsidRDefault="00725A99" w:rsidP="00C51390">
            <w:pPr>
              <w:bidi/>
              <w:rPr>
                <w:rtl/>
              </w:rPr>
            </w:pPr>
            <w:r w:rsidRPr="0025250D">
              <w:rPr>
                <w:rFonts w:ascii="Calibri" w:hAnsi="Calibri" w:hint="cs"/>
                <w:color w:val="000000"/>
                <w:sz w:val="22"/>
                <w:rtl/>
              </w:rPr>
              <w:t>رسالت</w:t>
            </w:r>
          </w:p>
        </w:tc>
        <w:tc>
          <w:tcPr>
            <w:tcW w:w="4530" w:type="dxa"/>
            <w:tcBorders>
              <w:top w:val="nil"/>
              <w:left w:val="nil"/>
              <w:bottom w:val="nil"/>
              <w:right w:val="nil"/>
            </w:tcBorders>
            <w:shd w:val="clear" w:color="auto" w:fill="auto"/>
            <w:vAlign w:val="bottom"/>
          </w:tcPr>
          <w:p w14:paraId="79E74CA2" w14:textId="2C631B01" w:rsidR="00725A99" w:rsidRPr="0025250D" w:rsidRDefault="00725A99" w:rsidP="00725A99">
            <w:pPr>
              <w:rPr>
                <w:rFonts w:cs="Times New Roman"/>
                <w:rtl/>
              </w:rPr>
            </w:pPr>
            <w:r w:rsidRPr="0025250D">
              <w:rPr>
                <w:rFonts w:cs="Times New Roman"/>
                <w:color w:val="000000"/>
                <w:szCs w:val="20"/>
              </w:rPr>
              <w:t>Purpose</w:t>
            </w:r>
          </w:p>
        </w:tc>
      </w:tr>
      <w:tr w:rsidR="00C51390" w:rsidRPr="0025250D" w14:paraId="3A279954" w14:textId="77777777" w:rsidTr="00725A99">
        <w:tc>
          <w:tcPr>
            <w:tcW w:w="4530" w:type="dxa"/>
            <w:tcBorders>
              <w:top w:val="nil"/>
              <w:left w:val="nil"/>
              <w:bottom w:val="nil"/>
              <w:right w:val="nil"/>
            </w:tcBorders>
            <w:shd w:val="clear" w:color="auto" w:fill="auto"/>
            <w:vAlign w:val="bottom"/>
          </w:tcPr>
          <w:p w14:paraId="1182EA29" w14:textId="77777777" w:rsidR="00C51390" w:rsidRPr="0025250D" w:rsidRDefault="00C51390" w:rsidP="00C51390">
            <w:pPr>
              <w:rPr>
                <w:rFonts w:ascii="Calibri" w:hAnsi="Calibri"/>
                <w:color w:val="000000"/>
                <w:sz w:val="22"/>
                <w:rtl/>
              </w:rPr>
            </w:pPr>
          </w:p>
        </w:tc>
        <w:tc>
          <w:tcPr>
            <w:tcW w:w="4530" w:type="dxa"/>
            <w:tcBorders>
              <w:top w:val="nil"/>
              <w:left w:val="nil"/>
              <w:bottom w:val="nil"/>
              <w:right w:val="nil"/>
            </w:tcBorders>
            <w:shd w:val="clear" w:color="auto" w:fill="auto"/>
            <w:vAlign w:val="bottom"/>
          </w:tcPr>
          <w:p w14:paraId="665DDE57" w14:textId="77777777" w:rsidR="00C51390" w:rsidRPr="0025250D" w:rsidRDefault="00C51390" w:rsidP="00725A99">
            <w:pPr>
              <w:rPr>
                <w:rFonts w:cs="Times New Roman"/>
                <w:color w:val="000000"/>
                <w:szCs w:val="20"/>
              </w:rPr>
            </w:pPr>
          </w:p>
        </w:tc>
      </w:tr>
      <w:tr w:rsidR="00C51390" w:rsidRPr="0025250D" w14:paraId="0F1153B6" w14:textId="77777777" w:rsidTr="00A975BC">
        <w:tc>
          <w:tcPr>
            <w:tcW w:w="9060" w:type="dxa"/>
            <w:gridSpan w:val="2"/>
            <w:tcBorders>
              <w:top w:val="nil"/>
              <w:left w:val="nil"/>
              <w:bottom w:val="nil"/>
              <w:right w:val="nil"/>
            </w:tcBorders>
            <w:shd w:val="clear" w:color="auto" w:fill="auto"/>
            <w:vAlign w:val="bottom"/>
          </w:tcPr>
          <w:p w14:paraId="175ABCFF" w14:textId="6574E38C" w:rsidR="00C51390" w:rsidRPr="0025250D" w:rsidRDefault="00C51390" w:rsidP="00C51390">
            <w:pPr>
              <w:jc w:val="center"/>
              <w:rPr>
                <w:rFonts w:cs="Times New Roman"/>
                <w:b/>
                <w:bCs/>
                <w:color w:val="000000"/>
                <w:szCs w:val="20"/>
              </w:rPr>
            </w:pPr>
            <w:r w:rsidRPr="0025250D">
              <w:rPr>
                <w:rFonts w:cs="Times New Roman"/>
                <w:b/>
                <w:bCs/>
                <w:color w:val="000000"/>
                <w:sz w:val="28"/>
                <w:szCs w:val="28"/>
              </w:rPr>
              <w:t>R</w:t>
            </w:r>
          </w:p>
        </w:tc>
      </w:tr>
      <w:tr w:rsidR="00725A99" w:rsidRPr="0025250D" w14:paraId="31CF5F44" w14:textId="77777777" w:rsidTr="00725A99">
        <w:tc>
          <w:tcPr>
            <w:tcW w:w="4530" w:type="dxa"/>
            <w:tcBorders>
              <w:top w:val="nil"/>
              <w:left w:val="nil"/>
              <w:bottom w:val="nil"/>
              <w:right w:val="nil"/>
            </w:tcBorders>
            <w:shd w:val="clear" w:color="auto" w:fill="auto"/>
            <w:vAlign w:val="bottom"/>
          </w:tcPr>
          <w:p w14:paraId="2DE30185" w14:textId="5505DF73" w:rsidR="00725A99" w:rsidRPr="0025250D" w:rsidRDefault="00725A99" w:rsidP="00C51390">
            <w:pPr>
              <w:bidi/>
              <w:rPr>
                <w:rtl/>
              </w:rPr>
            </w:pPr>
            <w:r w:rsidRPr="0025250D">
              <w:rPr>
                <w:rFonts w:ascii="Calibri" w:hAnsi="Calibri" w:hint="cs"/>
                <w:color w:val="000000"/>
                <w:sz w:val="22"/>
                <w:rtl/>
              </w:rPr>
              <w:t>واقع‌گرایی</w:t>
            </w:r>
          </w:p>
        </w:tc>
        <w:tc>
          <w:tcPr>
            <w:tcW w:w="4530" w:type="dxa"/>
            <w:tcBorders>
              <w:top w:val="nil"/>
              <w:left w:val="nil"/>
              <w:bottom w:val="nil"/>
              <w:right w:val="nil"/>
            </w:tcBorders>
            <w:shd w:val="clear" w:color="auto" w:fill="auto"/>
            <w:vAlign w:val="bottom"/>
          </w:tcPr>
          <w:p w14:paraId="78BE2647" w14:textId="710FBF3D" w:rsidR="00725A99" w:rsidRPr="0025250D" w:rsidRDefault="00725A99" w:rsidP="00725A99">
            <w:pPr>
              <w:rPr>
                <w:rFonts w:cs="Times New Roman"/>
                <w:rtl/>
              </w:rPr>
            </w:pPr>
            <w:r w:rsidRPr="0025250D">
              <w:rPr>
                <w:rFonts w:cs="Times New Roman"/>
                <w:color w:val="000000"/>
                <w:szCs w:val="20"/>
              </w:rPr>
              <w:t>Realism</w:t>
            </w:r>
          </w:p>
        </w:tc>
      </w:tr>
      <w:tr w:rsidR="00725A99" w:rsidRPr="0025250D" w14:paraId="7F36C4C7" w14:textId="77777777" w:rsidTr="00725A99">
        <w:tc>
          <w:tcPr>
            <w:tcW w:w="4530" w:type="dxa"/>
            <w:tcBorders>
              <w:top w:val="nil"/>
              <w:left w:val="nil"/>
              <w:bottom w:val="nil"/>
              <w:right w:val="nil"/>
            </w:tcBorders>
            <w:shd w:val="clear" w:color="auto" w:fill="auto"/>
            <w:vAlign w:val="bottom"/>
          </w:tcPr>
          <w:p w14:paraId="7B8675B6" w14:textId="5D5A1BFD" w:rsidR="00725A99" w:rsidRPr="0025250D" w:rsidRDefault="00725A99" w:rsidP="00C51390">
            <w:pPr>
              <w:bidi/>
              <w:rPr>
                <w:rtl/>
              </w:rPr>
            </w:pPr>
            <w:r w:rsidRPr="0025250D">
              <w:rPr>
                <w:rFonts w:ascii="Calibri" w:hAnsi="Calibri" w:hint="cs"/>
                <w:color w:val="000000"/>
                <w:sz w:val="22"/>
                <w:rtl/>
              </w:rPr>
              <w:t>واپس‌روی</w:t>
            </w:r>
          </w:p>
        </w:tc>
        <w:tc>
          <w:tcPr>
            <w:tcW w:w="4530" w:type="dxa"/>
            <w:tcBorders>
              <w:top w:val="nil"/>
              <w:left w:val="nil"/>
              <w:bottom w:val="nil"/>
              <w:right w:val="nil"/>
            </w:tcBorders>
            <w:shd w:val="clear" w:color="auto" w:fill="auto"/>
            <w:vAlign w:val="bottom"/>
          </w:tcPr>
          <w:p w14:paraId="705EC84A" w14:textId="04288B1D" w:rsidR="00725A99" w:rsidRPr="0025250D" w:rsidRDefault="00725A99" w:rsidP="00725A99">
            <w:pPr>
              <w:rPr>
                <w:rFonts w:cs="Times New Roman"/>
                <w:rtl/>
              </w:rPr>
            </w:pPr>
            <w:r w:rsidRPr="0025250D">
              <w:rPr>
                <w:rFonts w:cs="Times New Roman"/>
                <w:color w:val="000000"/>
                <w:szCs w:val="20"/>
              </w:rPr>
              <w:t>Regression</w:t>
            </w:r>
          </w:p>
        </w:tc>
      </w:tr>
      <w:tr w:rsidR="00725A99" w:rsidRPr="0025250D" w14:paraId="079B4048" w14:textId="77777777" w:rsidTr="00725A99">
        <w:tc>
          <w:tcPr>
            <w:tcW w:w="4530" w:type="dxa"/>
            <w:tcBorders>
              <w:top w:val="nil"/>
              <w:left w:val="nil"/>
              <w:bottom w:val="nil"/>
              <w:right w:val="nil"/>
            </w:tcBorders>
            <w:shd w:val="clear" w:color="auto" w:fill="auto"/>
            <w:vAlign w:val="bottom"/>
          </w:tcPr>
          <w:p w14:paraId="7327F6E8" w14:textId="64F09140" w:rsidR="00725A99" w:rsidRPr="0025250D" w:rsidRDefault="00725A99" w:rsidP="00C51390">
            <w:pPr>
              <w:bidi/>
              <w:rPr>
                <w:rtl/>
              </w:rPr>
            </w:pPr>
            <w:r w:rsidRPr="0025250D">
              <w:rPr>
                <w:rFonts w:ascii="Calibri" w:hAnsi="Calibri" w:hint="cs"/>
                <w:color w:val="000000"/>
                <w:sz w:val="22"/>
                <w:rtl/>
              </w:rPr>
              <w:t>واپس‌رو</w:t>
            </w:r>
          </w:p>
        </w:tc>
        <w:tc>
          <w:tcPr>
            <w:tcW w:w="4530" w:type="dxa"/>
            <w:tcBorders>
              <w:top w:val="nil"/>
              <w:left w:val="nil"/>
              <w:bottom w:val="nil"/>
              <w:right w:val="nil"/>
            </w:tcBorders>
            <w:shd w:val="clear" w:color="auto" w:fill="auto"/>
            <w:vAlign w:val="bottom"/>
          </w:tcPr>
          <w:p w14:paraId="5F3822C8" w14:textId="226D8611" w:rsidR="00725A99" w:rsidRPr="0025250D" w:rsidRDefault="00725A99" w:rsidP="00725A99">
            <w:pPr>
              <w:rPr>
                <w:rFonts w:cs="Times New Roman"/>
                <w:rtl/>
              </w:rPr>
            </w:pPr>
            <w:r w:rsidRPr="0025250D">
              <w:rPr>
                <w:rFonts w:cs="Times New Roman"/>
                <w:color w:val="000000"/>
                <w:szCs w:val="20"/>
              </w:rPr>
              <w:t>Regressive</w:t>
            </w:r>
          </w:p>
        </w:tc>
      </w:tr>
      <w:tr w:rsidR="00725A99" w:rsidRPr="0025250D" w14:paraId="3E58079D" w14:textId="77777777" w:rsidTr="00725A99">
        <w:tc>
          <w:tcPr>
            <w:tcW w:w="4530" w:type="dxa"/>
            <w:tcBorders>
              <w:top w:val="nil"/>
              <w:left w:val="nil"/>
              <w:bottom w:val="nil"/>
              <w:right w:val="nil"/>
            </w:tcBorders>
            <w:shd w:val="clear" w:color="auto" w:fill="auto"/>
            <w:vAlign w:val="bottom"/>
          </w:tcPr>
          <w:p w14:paraId="69FDB3AA" w14:textId="7C012401" w:rsidR="00725A99" w:rsidRPr="0025250D" w:rsidRDefault="00725A99" w:rsidP="00C51390">
            <w:pPr>
              <w:bidi/>
              <w:rPr>
                <w:rtl/>
              </w:rPr>
            </w:pPr>
            <w:r w:rsidRPr="0025250D">
              <w:rPr>
                <w:rFonts w:ascii="Calibri" w:hAnsi="Calibri" w:hint="cs"/>
                <w:color w:val="000000"/>
                <w:sz w:val="22"/>
                <w:rtl/>
              </w:rPr>
              <w:t>همتاسازی</w:t>
            </w:r>
          </w:p>
        </w:tc>
        <w:tc>
          <w:tcPr>
            <w:tcW w:w="4530" w:type="dxa"/>
            <w:tcBorders>
              <w:top w:val="nil"/>
              <w:left w:val="nil"/>
              <w:bottom w:val="nil"/>
              <w:right w:val="nil"/>
            </w:tcBorders>
            <w:shd w:val="clear" w:color="auto" w:fill="auto"/>
            <w:vAlign w:val="bottom"/>
          </w:tcPr>
          <w:p w14:paraId="44E272B9" w14:textId="5EBD0C4C" w:rsidR="00725A99" w:rsidRPr="0025250D" w:rsidRDefault="00725A99" w:rsidP="00725A99">
            <w:pPr>
              <w:rPr>
                <w:rFonts w:cs="Times New Roman"/>
                <w:rtl/>
              </w:rPr>
            </w:pPr>
            <w:r w:rsidRPr="0025250D">
              <w:rPr>
                <w:rFonts w:cs="Times New Roman"/>
                <w:color w:val="000000"/>
                <w:szCs w:val="20"/>
              </w:rPr>
              <w:t>Replicate</w:t>
            </w:r>
          </w:p>
        </w:tc>
      </w:tr>
      <w:tr w:rsidR="00725A99" w:rsidRPr="0025250D" w14:paraId="3D82B96D" w14:textId="77777777" w:rsidTr="00725A99">
        <w:tc>
          <w:tcPr>
            <w:tcW w:w="4530" w:type="dxa"/>
            <w:tcBorders>
              <w:top w:val="nil"/>
              <w:left w:val="nil"/>
              <w:bottom w:val="nil"/>
              <w:right w:val="nil"/>
            </w:tcBorders>
            <w:shd w:val="clear" w:color="auto" w:fill="auto"/>
            <w:vAlign w:val="bottom"/>
          </w:tcPr>
          <w:p w14:paraId="5228D4CC" w14:textId="52CF3FCF" w:rsidR="00725A99" w:rsidRPr="0025250D" w:rsidRDefault="00725A99" w:rsidP="00C51390">
            <w:pPr>
              <w:bidi/>
              <w:rPr>
                <w:rtl/>
              </w:rPr>
            </w:pPr>
            <w:r w:rsidRPr="0025250D">
              <w:rPr>
                <w:rFonts w:ascii="Calibri" w:hAnsi="Calibri" w:hint="cs"/>
                <w:color w:val="000000"/>
                <w:sz w:val="22"/>
                <w:rtl/>
              </w:rPr>
              <w:t>رهبری نتیجه گرا</w:t>
            </w:r>
          </w:p>
        </w:tc>
        <w:tc>
          <w:tcPr>
            <w:tcW w:w="4530" w:type="dxa"/>
            <w:tcBorders>
              <w:top w:val="nil"/>
              <w:left w:val="nil"/>
              <w:bottom w:val="nil"/>
              <w:right w:val="nil"/>
            </w:tcBorders>
            <w:shd w:val="clear" w:color="auto" w:fill="auto"/>
            <w:vAlign w:val="bottom"/>
          </w:tcPr>
          <w:p w14:paraId="037869E2" w14:textId="158D9C73" w:rsidR="00725A99" w:rsidRPr="0025250D" w:rsidRDefault="00725A99" w:rsidP="00725A99">
            <w:pPr>
              <w:rPr>
                <w:rFonts w:cs="Times New Roman"/>
                <w:rtl/>
              </w:rPr>
            </w:pPr>
            <w:r w:rsidRPr="0025250D">
              <w:rPr>
                <w:rFonts w:cs="Times New Roman"/>
                <w:color w:val="000000"/>
                <w:szCs w:val="20"/>
              </w:rPr>
              <w:t>Results Leadership</w:t>
            </w:r>
          </w:p>
        </w:tc>
      </w:tr>
      <w:tr w:rsidR="00725A99" w:rsidRPr="0025250D" w14:paraId="11AE5433" w14:textId="77777777" w:rsidTr="00725A99">
        <w:tc>
          <w:tcPr>
            <w:tcW w:w="4530" w:type="dxa"/>
            <w:tcBorders>
              <w:top w:val="nil"/>
              <w:left w:val="nil"/>
              <w:bottom w:val="nil"/>
              <w:right w:val="nil"/>
            </w:tcBorders>
            <w:shd w:val="clear" w:color="auto" w:fill="auto"/>
            <w:vAlign w:val="bottom"/>
          </w:tcPr>
          <w:p w14:paraId="5B105886" w14:textId="73CFD55E" w:rsidR="00725A99" w:rsidRPr="0025250D" w:rsidRDefault="00725A99" w:rsidP="00C51390">
            <w:pPr>
              <w:bidi/>
              <w:rPr>
                <w:rtl/>
              </w:rPr>
            </w:pPr>
            <w:r w:rsidRPr="0025250D">
              <w:rPr>
                <w:rFonts w:ascii="Calibri" w:hAnsi="Calibri" w:hint="cs"/>
                <w:color w:val="000000"/>
                <w:sz w:val="22"/>
                <w:rtl/>
              </w:rPr>
              <w:t>پس‌آینده‌گرایی</w:t>
            </w:r>
          </w:p>
        </w:tc>
        <w:tc>
          <w:tcPr>
            <w:tcW w:w="4530" w:type="dxa"/>
            <w:tcBorders>
              <w:top w:val="nil"/>
              <w:left w:val="nil"/>
              <w:bottom w:val="nil"/>
              <w:right w:val="nil"/>
            </w:tcBorders>
            <w:shd w:val="clear" w:color="auto" w:fill="auto"/>
            <w:vAlign w:val="bottom"/>
          </w:tcPr>
          <w:p w14:paraId="1D20E2ED" w14:textId="74B79D46" w:rsidR="00725A99" w:rsidRPr="0025250D" w:rsidRDefault="00725A99" w:rsidP="00725A99">
            <w:pPr>
              <w:rPr>
                <w:rFonts w:cs="Times New Roman"/>
                <w:rtl/>
              </w:rPr>
            </w:pPr>
            <w:r w:rsidRPr="0025250D">
              <w:rPr>
                <w:rFonts w:cs="Times New Roman"/>
                <w:color w:val="000000"/>
                <w:szCs w:val="20"/>
              </w:rPr>
              <w:t>Retrofuturism</w:t>
            </w:r>
          </w:p>
        </w:tc>
      </w:tr>
      <w:tr w:rsidR="00725A99" w:rsidRPr="0025250D" w14:paraId="71E7A291" w14:textId="77777777" w:rsidTr="00725A99">
        <w:tc>
          <w:tcPr>
            <w:tcW w:w="4530" w:type="dxa"/>
            <w:tcBorders>
              <w:top w:val="nil"/>
              <w:left w:val="nil"/>
              <w:bottom w:val="nil"/>
              <w:right w:val="nil"/>
            </w:tcBorders>
            <w:shd w:val="clear" w:color="auto" w:fill="auto"/>
            <w:vAlign w:val="bottom"/>
          </w:tcPr>
          <w:p w14:paraId="67E0E18C" w14:textId="073969F1" w:rsidR="00725A99" w:rsidRPr="0025250D" w:rsidRDefault="00725A99" w:rsidP="00C51390">
            <w:pPr>
              <w:bidi/>
              <w:rPr>
                <w:rtl/>
              </w:rPr>
            </w:pPr>
            <w:r w:rsidRPr="0025250D">
              <w:rPr>
                <w:rFonts w:ascii="Calibri" w:hAnsi="Calibri" w:hint="cs"/>
                <w:color w:val="000000"/>
                <w:sz w:val="22"/>
                <w:rtl/>
              </w:rPr>
              <w:t>گذشته نگری</w:t>
            </w:r>
          </w:p>
        </w:tc>
        <w:tc>
          <w:tcPr>
            <w:tcW w:w="4530" w:type="dxa"/>
            <w:tcBorders>
              <w:top w:val="nil"/>
              <w:left w:val="nil"/>
              <w:bottom w:val="nil"/>
              <w:right w:val="nil"/>
            </w:tcBorders>
            <w:shd w:val="clear" w:color="auto" w:fill="auto"/>
            <w:vAlign w:val="bottom"/>
          </w:tcPr>
          <w:p w14:paraId="39399A77" w14:textId="43197ACB" w:rsidR="00725A99" w:rsidRPr="0025250D" w:rsidRDefault="00725A99" w:rsidP="00725A99">
            <w:pPr>
              <w:rPr>
                <w:rFonts w:cs="Times New Roman"/>
                <w:rtl/>
              </w:rPr>
            </w:pPr>
            <w:r w:rsidRPr="0025250D">
              <w:rPr>
                <w:rFonts w:cs="Times New Roman"/>
                <w:color w:val="000000"/>
                <w:szCs w:val="20"/>
              </w:rPr>
              <w:t>Retrospecting</w:t>
            </w:r>
          </w:p>
        </w:tc>
      </w:tr>
      <w:tr w:rsidR="00725A99" w:rsidRPr="0025250D" w14:paraId="615B74BF" w14:textId="77777777" w:rsidTr="00725A99">
        <w:tc>
          <w:tcPr>
            <w:tcW w:w="4530" w:type="dxa"/>
            <w:tcBorders>
              <w:top w:val="nil"/>
              <w:left w:val="nil"/>
              <w:bottom w:val="nil"/>
              <w:right w:val="nil"/>
            </w:tcBorders>
            <w:shd w:val="clear" w:color="auto" w:fill="auto"/>
            <w:vAlign w:val="bottom"/>
          </w:tcPr>
          <w:p w14:paraId="5E547E9F" w14:textId="40A20084" w:rsidR="00725A99" w:rsidRPr="0025250D" w:rsidRDefault="00725A99" w:rsidP="00C51390">
            <w:pPr>
              <w:bidi/>
              <w:rPr>
                <w:rtl/>
              </w:rPr>
            </w:pPr>
            <w:r w:rsidRPr="0025250D">
              <w:rPr>
                <w:rFonts w:ascii="Calibri" w:hAnsi="Calibri" w:hint="cs"/>
                <w:color w:val="000000"/>
                <w:sz w:val="22"/>
                <w:rtl/>
              </w:rPr>
              <w:t>تقابل معکوس</w:t>
            </w:r>
          </w:p>
        </w:tc>
        <w:tc>
          <w:tcPr>
            <w:tcW w:w="4530" w:type="dxa"/>
            <w:tcBorders>
              <w:top w:val="nil"/>
              <w:left w:val="nil"/>
              <w:bottom w:val="nil"/>
              <w:right w:val="nil"/>
            </w:tcBorders>
            <w:shd w:val="clear" w:color="auto" w:fill="auto"/>
            <w:vAlign w:val="bottom"/>
          </w:tcPr>
          <w:p w14:paraId="6A8A93F8" w14:textId="43889B08" w:rsidR="00725A99" w:rsidRPr="0025250D" w:rsidRDefault="00725A99" w:rsidP="00725A99">
            <w:pPr>
              <w:rPr>
                <w:rFonts w:cs="Times New Roman"/>
                <w:rtl/>
              </w:rPr>
            </w:pPr>
            <w:r w:rsidRPr="0025250D">
              <w:rPr>
                <w:rFonts w:cs="Times New Roman"/>
                <w:color w:val="000000"/>
                <w:szCs w:val="20"/>
              </w:rPr>
              <w:t>Reverse contrasting</w:t>
            </w:r>
          </w:p>
        </w:tc>
      </w:tr>
      <w:tr w:rsidR="00725A99" w:rsidRPr="0025250D" w14:paraId="2F8B14D5" w14:textId="77777777" w:rsidTr="00725A99">
        <w:tc>
          <w:tcPr>
            <w:tcW w:w="4530" w:type="dxa"/>
            <w:tcBorders>
              <w:top w:val="nil"/>
              <w:left w:val="nil"/>
              <w:bottom w:val="nil"/>
              <w:right w:val="nil"/>
            </w:tcBorders>
            <w:shd w:val="clear" w:color="auto" w:fill="auto"/>
            <w:vAlign w:val="bottom"/>
          </w:tcPr>
          <w:p w14:paraId="0C9AB38F" w14:textId="21FAAA1D" w:rsidR="00725A99" w:rsidRPr="0025250D" w:rsidRDefault="00725A99" w:rsidP="00C51390">
            <w:pPr>
              <w:bidi/>
              <w:rPr>
                <w:rtl/>
              </w:rPr>
            </w:pPr>
            <w:r w:rsidRPr="0025250D">
              <w:rPr>
                <w:rFonts w:ascii="Calibri" w:hAnsi="Calibri" w:hint="cs"/>
                <w:color w:val="000000"/>
                <w:sz w:val="22"/>
                <w:rtl/>
              </w:rPr>
              <w:t>ره‌نگاشت</w:t>
            </w:r>
          </w:p>
        </w:tc>
        <w:tc>
          <w:tcPr>
            <w:tcW w:w="4530" w:type="dxa"/>
            <w:tcBorders>
              <w:top w:val="nil"/>
              <w:left w:val="nil"/>
              <w:bottom w:val="nil"/>
              <w:right w:val="nil"/>
            </w:tcBorders>
            <w:shd w:val="clear" w:color="auto" w:fill="auto"/>
            <w:vAlign w:val="bottom"/>
          </w:tcPr>
          <w:p w14:paraId="25E72534" w14:textId="6AB06136" w:rsidR="00725A99" w:rsidRPr="0025250D" w:rsidRDefault="00725A99" w:rsidP="00725A99">
            <w:pPr>
              <w:rPr>
                <w:rFonts w:cs="Times New Roman"/>
                <w:rtl/>
              </w:rPr>
            </w:pPr>
            <w:r w:rsidRPr="0025250D">
              <w:rPr>
                <w:rFonts w:cs="Times New Roman"/>
                <w:color w:val="000000"/>
                <w:szCs w:val="20"/>
              </w:rPr>
              <w:t>Roadmapping</w:t>
            </w:r>
          </w:p>
        </w:tc>
      </w:tr>
      <w:tr w:rsidR="00C51390" w:rsidRPr="0025250D" w14:paraId="4E8A75C4" w14:textId="77777777" w:rsidTr="00725A99">
        <w:tc>
          <w:tcPr>
            <w:tcW w:w="4530" w:type="dxa"/>
            <w:tcBorders>
              <w:top w:val="nil"/>
              <w:left w:val="nil"/>
              <w:bottom w:val="nil"/>
              <w:right w:val="nil"/>
            </w:tcBorders>
            <w:shd w:val="clear" w:color="auto" w:fill="auto"/>
            <w:vAlign w:val="bottom"/>
          </w:tcPr>
          <w:p w14:paraId="2070B243" w14:textId="77777777" w:rsidR="00C51390" w:rsidRPr="0025250D" w:rsidRDefault="00C51390" w:rsidP="00C51390">
            <w:pPr>
              <w:rPr>
                <w:rFonts w:ascii="Calibri" w:hAnsi="Calibri"/>
                <w:color w:val="000000"/>
                <w:sz w:val="22"/>
                <w:rtl/>
              </w:rPr>
            </w:pPr>
          </w:p>
        </w:tc>
        <w:tc>
          <w:tcPr>
            <w:tcW w:w="4530" w:type="dxa"/>
            <w:tcBorders>
              <w:top w:val="nil"/>
              <w:left w:val="nil"/>
              <w:bottom w:val="nil"/>
              <w:right w:val="nil"/>
            </w:tcBorders>
            <w:shd w:val="clear" w:color="auto" w:fill="auto"/>
            <w:vAlign w:val="bottom"/>
          </w:tcPr>
          <w:p w14:paraId="1E737634" w14:textId="77777777" w:rsidR="00C51390" w:rsidRPr="0025250D" w:rsidRDefault="00C51390" w:rsidP="00725A99">
            <w:pPr>
              <w:rPr>
                <w:rFonts w:cs="Times New Roman"/>
                <w:color w:val="000000"/>
                <w:szCs w:val="20"/>
              </w:rPr>
            </w:pPr>
          </w:p>
        </w:tc>
      </w:tr>
      <w:tr w:rsidR="00C51390" w:rsidRPr="0025250D" w14:paraId="3499F92F" w14:textId="77777777" w:rsidTr="00822668">
        <w:tc>
          <w:tcPr>
            <w:tcW w:w="9060" w:type="dxa"/>
            <w:gridSpan w:val="2"/>
            <w:tcBorders>
              <w:top w:val="nil"/>
              <w:left w:val="nil"/>
              <w:bottom w:val="nil"/>
              <w:right w:val="nil"/>
            </w:tcBorders>
            <w:shd w:val="clear" w:color="auto" w:fill="auto"/>
            <w:vAlign w:val="bottom"/>
          </w:tcPr>
          <w:p w14:paraId="3C30BB9B" w14:textId="7684F340" w:rsidR="00C51390" w:rsidRPr="0025250D" w:rsidRDefault="00C51390" w:rsidP="00C51390">
            <w:pPr>
              <w:jc w:val="center"/>
              <w:rPr>
                <w:rFonts w:cs="Times New Roman"/>
                <w:b/>
                <w:bCs/>
                <w:color w:val="000000"/>
                <w:szCs w:val="20"/>
              </w:rPr>
            </w:pPr>
            <w:r w:rsidRPr="0025250D">
              <w:rPr>
                <w:rFonts w:cs="Times New Roman"/>
                <w:b/>
                <w:bCs/>
                <w:color w:val="000000"/>
                <w:sz w:val="28"/>
                <w:szCs w:val="28"/>
              </w:rPr>
              <w:t>S</w:t>
            </w:r>
          </w:p>
        </w:tc>
      </w:tr>
      <w:tr w:rsidR="00725A99" w:rsidRPr="0025250D" w14:paraId="726BFDD1" w14:textId="77777777" w:rsidTr="00725A99">
        <w:tc>
          <w:tcPr>
            <w:tcW w:w="4530" w:type="dxa"/>
            <w:tcBorders>
              <w:top w:val="nil"/>
              <w:left w:val="nil"/>
              <w:bottom w:val="nil"/>
              <w:right w:val="nil"/>
            </w:tcBorders>
            <w:shd w:val="clear" w:color="auto" w:fill="auto"/>
            <w:vAlign w:val="bottom"/>
          </w:tcPr>
          <w:p w14:paraId="05AAFA29" w14:textId="285CCC11" w:rsidR="00725A99" w:rsidRPr="0025250D" w:rsidRDefault="00725A99" w:rsidP="00C51390">
            <w:pPr>
              <w:bidi/>
              <w:rPr>
                <w:rtl/>
              </w:rPr>
            </w:pPr>
            <w:r w:rsidRPr="0025250D">
              <w:rPr>
                <w:rFonts w:ascii="Calibri" w:hAnsi="Calibri" w:hint="cs"/>
                <w:color w:val="000000"/>
                <w:sz w:val="22"/>
                <w:rtl/>
              </w:rPr>
              <w:t>فرانامه</w:t>
            </w:r>
          </w:p>
        </w:tc>
        <w:tc>
          <w:tcPr>
            <w:tcW w:w="4530" w:type="dxa"/>
            <w:tcBorders>
              <w:top w:val="nil"/>
              <w:left w:val="nil"/>
              <w:bottom w:val="nil"/>
              <w:right w:val="nil"/>
            </w:tcBorders>
            <w:shd w:val="clear" w:color="auto" w:fill="auto"/>
            <w:vAlign w:val="bottom"/>
          </w:tcPr>
          <w:p w14:paraId="0B4BB503" w14:textId="0B8E569F" w:rsidR="00725A99" w:rsidRPr="0025250D" w:rsidRDefault="00725A99" w:rsidP="00725A99">
            <w:pPr>
              <w:rPr>
                <w:rFonts w:cs="Times New Roman"/>
                <w:rtl/>
              </w:rPr>
            </w:pPr>
            <w:r w:rsidRPr="0025250D">
              <w:rPr>
                <w:rFonts w:cs="Times New Roman"/>
                <w:color w:val="000000"/>
                <w:szCs w:val="20"/>
              </w:rPr>
              <w:t>Scenario</w:t>
            </w:r>
          </w:p>
        </w:tc>
      </w:tr>
      <w:tr w:rsidR="00725A99" w:rsidRPr="0025250D" w14:paraId="5B40F586" w14:textId="77777777" w:rsidTr="00725A99">
        <w:tc>
          <w:tcPr>
            <w:tcW w:w="4530" w:type="dxa"/>
            <w:tcBorders>
              <w:top w:val="nil"/>
              <w:left w:val="nil"/>
              <w:bottom w:val="nil"/>
              <w:right w:val="nil"/>
            </w:tcBorders>
            <w:shd w:val="clear" w:color="auto" w:fill="auto"/>
            <w:vAlign w:val="bottom"/>
          </w:tcPr>
          <w:p w14:paraId="33F530F0" w14:textId="0B0D5E21" w:rsidR="00725A99" w:rsidRPr="0025250D" w:rsidRDefault="00725A99" w:rsidP="00C51390">
            <w:pPr>
              <w:bidi/>
              <w:rPr>
                <w:rtl/>
              </w:rPr>
            </w:pPr>
            <w:r w:rsidRPr="0025250D">
              <w:rPr>
                <w:rFonts w:ascii="Calibri" w:hAnsi="Calibri" w:hint="cs"/>
                <w:color w:val="000000"/>
                <w:sz w:val="22"/>
                <w:rtl/>
              </w:rPr>
              <w:t>یادگیری فرانامه‌ای</w:t>
            </w:r>
          </w:p>
        </w:tc>
        <w:tc>
          <w:tcPr>
            <w:tcW w:w="4530" w:type="dxa"/>
            <w:tcBorders>
              <w:top w:val="nil"/>
              <w:left w:val="nil"/>
              <w:bottom w:val="nil"/>
              <w:right w:val="nil"/>
            </w:tcBorders>
            <w:shd w:val="clear" w:color="auto" w:fill="auto"/>
            <w:vAlign w:val="bottom"/>
          </w:tcPr>
          <w:p w14:paraId="60634452" w14:textId="6E9DCADB" w:rsidR="00725A99" w:rsidRPr="0025250D" w:rsidRDefault="00725A99" w:rsidP="00725A99">
            <w:pPr>
              <w:rPr>
                <w:rFonts w:cs="Times New Roman"/>
                <w:rtl/>
              </w:rPr>
            </w:pPr>
            <w:r w:rsidRPr="0025250D">
              <w:rPr>
                <w:rFonts w:cs="Times New Roman"/>
                <w:color w:val="000000"/>
                <w:szCs w:val="20"/>
              </w:rPr>
              <w:t>Scenario Learning</w:t>
            </w:r>
          </w:p>
        </w:tc>
      </w:tr>
      <w:tr w:rsidR="00725A99" w:rsidRPr="0025250D" w14:paraId="308B3AA6" w14:textId="77777777" w:rsidTr="00725A99">
        <w:tc>
          <w:tcPr>
            <w:tcW w:w="4530" w:type="dxa"/>
            <w:tcBorders>
              <w:top w:val="nil"/>
              <w:left w:val="nil"/>
              <w:bottom w:val="nil"/>
              <w:right w:val="nil"/>
            </w:tcBorders>
            <w:shd w:val="clear" w:color="auto" w:fill="auto"/>
            <w:vAlign w:val="bottom"/>
          </w:tcPr>
          <w:p w14:paraId="6617F98F" w14:textId="1AE0C313" w:rsidR="00725A99" w:rsidRPr="0025250D" w:rsidRDefault="00725A99" w:rsidP="00C51390">
            <w:pPr>
              <w:bidi/>
              <w:rPr>
                <w:rtl/>
              </w:rPr>
            </w:pPr>
            <w:r w:rsidRPr="0025250D">
              <w:rPr>
                <w:rFonts w:ascii="Calibri" w:hAnsi="Calibri" w:hint="cs"/>
                <w:color w:val="000000"/>
                <w:sz w:val="22"/>
                <w:rtl/>
              </w:rPr>
              <w:t xml:space="preserve">محدوده </w:t>
            </w:r>
          </w:p>
        </w:tc>
        <w:tc>
          <w:tcPr>
            <w:tcW w:w="4530" w:type="dxa"/>
            <w:tcBorders>
              <w:top w:val="nil"/>
              <w:left w:val="nil"/>
              <w:bottom w:val="nil"/>
              <w:right w:val="nil"/>
            </w:tcBorders>
            <w:shd w:val="clear" w:color="auto" w:fill="auto"/>
            <w:vAlign w:val="bottom"/>
          </w:tcPr>
          <w:p w14:paraId="40CDC1A9" w14:textId="23D91041" w:rsidR="00725A99" w:rsidRPr="0025250D" w:rsidRDefault="00C51390" w:rsidP="00725A99">
            <w:pPr>
              <w:rPr>
                <w:rFonts w:cs="Times New Roman"/>
                <w:rtl/>
              </w:rPr>
            </w:pPr>
            <w:r w:rsidRPr="0025250D">
              <w:rPr>
                <w:rFonts w:cs="Times New Roman"/>
                <w:color w:val="000000"/>
                <w:szCs w:val="20"/>
              </w:rPr>
              <w:t>S</w:t>
            </w:r>
            <w:r w:rsidR="00725A99" w:rsidRPr="0025250D">
              <w:rPr>
                <w:rFonts w:cs="Times New Roman"/>
                <w:color w:val="000000"/>
                <w:szCs w:val="20"/>
              </w:rPr>
              <w:t>cope</w:t>
            </w:r>
          </w:p>
        </w:tc>
      </w:tr>
      <w:tr w:rsidR="00725A99" w:rsidRPr="0025250D" w14:paraId="6C576498" w14:textId="77777777" w:rsidTr="00725A99">
        <w:tc>
          <w:tcPr>
            <w:tcW w:w="4530" w:type="dxa"/>
            <w:tcBorders>
              <w:top w:val="nil"/>
              <w:left w:val="nil"/>
              <w:bottom w:val="nil"/>
              <w:right w:val="nil"/>
            </w:tcBorders>
            <w:shd w:val="clear" w:color="auto" w:fill="auto"/>
            <w:vAlign w:val="bottom"/>
          </w:tcPr>
          <w:p w14:paraId="6855CC5E" w14:textId="3BA87463" w:rsidR="00725A99" w:rsidRPr="0025250D" w:rsidRDefault="00725A99" w:rsidP="00C51390">
            <w:pPr>
              <w:bidi/>
              <w:rPr>
                <w:rtl/>
              </w:rPr>
            </w:pPr>
            <w:r w:rsidRPr="0025250D">
              <w:rPr>
                <w:rFonts w:ascii="Calibri" w:hAnsi="Calibri" w:hint="cs"/>
                <w:color w:val="000000"/>
                <w:sz w:val="22"/>
                <w:rtl/>
              </w:rPr>
              <w:t>آینده‌نگاری سکولار</w:t>
            </w:r>
          </w:p>
        </w:tc>
        <w:tc>
          <w:tcPr>
            <w:tcW w:w="4530" w:type="dxa"/>
            <w:tcBorders>
              <w:top w:val="nil"/>
              <w:left w:val="nil"/>
              <w:bottom w:val="nil"/>
              <w:right w:val="nil"/>
            </w:tcBorders>
            <w:shd w:val="clear" w:color="auto" w:fill="auto"/>
            <w:vAlign w:val="bottom"/>
          </w:tcPr>
          <w:p w14:paraId="3E8E18BA" w14:textId="527678A4" w:rsidR="00725A99" w:rsidRPr="0025250D" w:rsidRDefault="00725A99" w:rsidP="00725A99">
            <w:pPr>
              <w:rPr>
                <w:rFonts w:cs="Times New Roman"/>
                <w:rtl/>
              </w:rPr>
            </w:pPr>
            <w:r w:rsidRPr="0025250D">
              <w:rPr>
                <w:rFonts w:cs="Times New Roman"/>
                <w:color w:val="000000"/>
                <w:szCs w:val="20"/>
              </w:rPr>
              <w:t>Secular foresight</w:t>
            </w:r>
          </w:p>
        </w:tc>
      </w:tr>
      <w:tr w:rsidR="00725A99" w:rsidRPr="0025250D" w14:paraId="7610C7EC" w14:textId="77777777" w:rsidTr="00725A99">
        <w:tc>
          <w:tcPr>
            <w:tcW w:w="4530" w:type="dxa"/>
            <w:tcBorders>
              <w:top w:val="nil"/>
              <w:left w:val="nil"/>
              <w:bottom w:val="nil"/>
              <w:right w:val="nil"/>
            </w:tcBorders>
            <w:shd w:val="clear" w:color="auto" w:fill="auto"/>
            <w:vAlign w:val="bottom"/>
          </w:tcPr>
          <w:p w14:paraId="6FBB10EE" w14:textId="4885D48E" w:rsidR="00725A99" w:rsidRPr="0025250D" w:rsidRDefault="00725A99" w:rsidP="00C51390">
            <w:pPr>
              <w:bidi/>
              <w:rPr>
                <w:rtl/>
              </w:rPr>
            </w:pPr>
            <w:r w:rsidRPr="0025250D">
              <w:rPr>
                <w:rFonts w:ascii="Calibri" w:hAnsi="Calibri" w:hint="cs"/>
                <w:color w:val="000000"/>
                <w:sz w:val="22"/>
                <w:rtl/>
              </w:rPr>
              <w:t>پیشگویی‌های خود شکست دهنده</w:t>
            </w:r>
          </w:p>
        </w:tc>
        <w:tc>
          <w:tcPr>
            <w:tcW w:w="4530" w:type="dxa"/>
            <w:tcBorders>
              <w:top w:val="nil"/>
              <w:left w:val="nil"/>
              <w:bottom w:val="nil"/>
              <w:right w:val="nil"/>
            </w:tcBorders>
            <w:shd w:val="clear" w:color="auto" w:fill="auto"/>
            <w:vAlign w:val="bottom"/>
          </w:tcPr>
          <w:p w14:paraId="76856215" w14:textId="25FF1CDF" w:rsidR="00725A99" w:rsidRPr="0025250D" w:rsidRDefault="00725A99" w:rsidP="00725A99">
            <w:pPr>
              <w:rPr>
                <w:rFonts w:cs="Times New Roman"/>
                <w:rtl/>
              </w:rPr>
            </w:pPr>
            <w:r w:rsidRPr="0025250D">
              <w:rPr>
                <w:rFonts w:cs="Times New Roman"/>
                <w:color w:val="000000"/>
                <w:szCs w:val="20"/>
              </w:rPr>
              <w:t>Self-Defeating Prophecies</w:t>
            </w:r>
          </w:p>
        </w:tc>
      </w:tr>
      <w:tr w:rsidR="00725A99" w:rsidRPr="0025250D" w14:paraId="2569827F" w14:textId="77777777" w:rsidTr="00725A99">
        <w:tc>
          <w:tcPr>
            <w:tcW w:w="4530" w:type="dxa"/>
            <w:tcBorders>
              <w:top w:val="nil"/>
              <w:left w:val="nil"/>
              <w:bottom w:val="nil"/>
              <w:right w:val="nil"/>
            </w:tcBorders>
            <w:shd w:val="clear" w:color="auto" w:fill="auto"/>
            <w:vAlign w:val="bottom"/>
          </w:tcPr>
          <w:p w14:paraId="7CD29228" w14:textId="51381637" w:rsidR="00725A99" w:rsidRPr="0025250D" w:rsidRDefault="00725A99" w:rsidP="00C51390">
            <w:pPr>
              <w:bidi/>
              <w:rPr>
                <w:rtl/>
              </w:rPr>
            </w:pPr>
            <w:r w:rsidRPr="0025250D">
              <w:rPr>
                <w:rFonts w:ascii="Calibri" w:hAnsi="Calibri" w:hint="cs"/>
                <w:color w:val="000000"/>
                <w:sz w:val="22"/>
                <w:rtl/>
              </w:rPr>
              <w:t>پیشگویی‌های خودشکوفا</w:t>
            </w:r>
          </w:p>
        </w:tc>
        <w:tc>
          <w:tcPr>
            <w:tcW w:w="4530" w:type="dxa"/>
            <w:tcBorders>
              <w:top w:val="nil"/>
              <w:left w:val="nil"/>
              <w:bottom w:val="nil"/>
              <w:right w:val="nil"/>
            </w:tcBorders>
            <w:shd w:val="clear" w:color="auto" w:fill="auto"/>
            <w:vAlign w:val="bottom"/>
          </w:tcPr>
          <w:p w14:paraId="353DF840" w14:textId="47036310" w:rsidR="00725A99" w:rsidRPr="0025250D" w:rsidRDefault="00725A99" w:rsidP="00725A99">
            <w:pPr>
              <w:rPr>
                <w:rFonts w:cs="Times New Roman"/>
                <w:rtl/>
              </w:rPr>
            </w:pPr>
            <w:r w:rsidRPr="0025250D">
              <w:rPr>
                <w:rFonts w:cs="Times New Roman"/>
                <w:color w:val="000000"/>
                <w:szCs w:val="20"/>
              </w:rPr>
              <w:t>Self-fulfilling Prophecies</w:t>
            </w:r>
          </w:p>
        </w:tc>
      </w:tr>
      <w:tr w:rsidR="00725A99" w:rsidRPr="0025250D" w14:paraId="74104F34" w14:textId="77777777" w:rsidTr="00725A99">
        <w:tc>
          <w:tcPr>
            <w:tcW w:w="4530" w:type="dxa"/>
            <w:tcBorders>
              <w:top w:val="nil"/>
              <w:left w:val="nil"/>
              <w:bottom w:val="nil"/>
              <w:right w:val="nil"/>
            </w:tcBorders>
            <w:shd w:val="clear" w:color="auto" w:fill="auto"/>
            <w:vAlign w:val="bottom"/>
          </w:tcPr>
          <w:p w14:paraId="5BC01468" w14:textId="6FB91285" w:rsidR="00725A99" w:rsidRPr="0025250D" w:rsidRDefault="00725A99" w:rsidP="00C51390">
            <w:pPr>
              <w:bidi/>
              <w:rPr>
                <w:rtl/>
              </w:rPr>
            </w:pPr>
            <w:r w:rsidRPr="0025250D">
              <w:rPr>
                <w:rFonts w:ascii="Calibri" w:hAnsi="Calibri" w:hint="cs"/>
                <w:color w:val="000000"/>
                <w:sz w:val="22"/>
                <w:rtl/>
              </w:rPr>
              <w:t>پیشگویی‌های خود بهبوددهنده</w:t>
            </w:r>
          </w:p>
        </w:tc>
        <w:tc>
          <w:tcPr>
            <w:tcW w:w="4530" w:type="dxa"/>
            <w:tcBorders>
              <w:top w:val="nil"/>
              <w:left w:val="nil"/>
              <w:bottom w:val="nil"/>
              <w:right w:val="nil"/>
            </w:tcBorders>
            <w:shd w:val="clear" w:color="auto" w:fill="auto"/>
            <w:vAlign w:val="bottom"/>
          </w:tcPr>
          <w:p w14:paraId="72DBC48D" w14:textId="67FC44A9" w:rsidR="00725A99" w:rsidRPr="0025250D" w:rsidRDefault="00725A99" w:rsidP="00725A99">
            <w:pPr>
              <w:rPr>
                <w:rFonts w:cs="Times New Roman"/>
                <w:rtl/>
              </w:rPr>
            </w:pPr>
            <w:r w:rsidRPr="0025250D">
              <w:rPr>
                <w:rFonts w:cs="Times New Roman"/>
                <w:color w:val="000000"/>
                <w:szCs w:val="20"/>
              </w:rPr>
              <w:t>Self-Improving Prophecies</w:t>
            </w:r>
          </w:p>
        </w:tc>
      </w:tr>
      <w:tr w:rsidR="00725A99" w:rsidRPr="0025250D" w14:paraId="5057EDC5" w14:textId="77777777" w:rsidTr="00725A99">
        <w:tc>
          <w:tcPr>
            <w:tcW w:w="4530" w:type="dxa"/>
            <w:tcBorders>
              <w:top w:val="nil"/>
              <w:left w:val="nil"/>
              <w:bottom w:val="nil"/>
              <w:right w:val="nil"/>
            </w:tcBorders>
            <w:shd w:val="clear" w:color="auto" w:fill="auto"/>
            <w:vAlign w:val="bottom"/>
          </w:tcPr>
          <w:p w14:paraId="30BB7301" w14:textId="2A0870A7" w:rsidR="00725A99" w:rsidRPr="0025250D" w:rsidRDefault="00725A99" w:rsidP="00C51390">
            <w:pPr>
              <w:bidi/>
              <w:rPr>
                <w:rtl/>
              </w:rPr>
            </w:pPr>
            <w:r w:rsidRPr="0025250D">
              <w:rPr>
                <w:rFonts w:ascii="Calibri" w:hAnsi="Calibri"/>
                <w:color w:val="000000"/>
                <w:sz w:val="22"/>
                <w:rtl/>
              </w:rPr>
              <w:t>خودرهبران</w:t>
            </w:r>
          </w:p>
        </w:tc>
        <w:tc>
          <w:tcPr>
            <w:tcW w:w="4530" w:type="dxa"/>
            <w:tcBorders>
              <w:top w:val="nil"/>
              <w:left w:val="nil"/>
              <w:bottom w:val="nil"/>
              <w:right w:val="nil"/>
            </w:tcBorders>
            <w:shd w:val="clear" w:color="auto" w:fill="auto"/>
            <w:vAlign w:val="bottom"/>
          </w:tcPr>
          <w:p w14:paraId="2237C39C" w14:textId="1F8546A6" w:rsidR="00725A99" w:rsidRPr="0025250D" w:rsidRDefault="00C51390" w:rsidP="00725A99">
            <w:pPr>
              <w:rPr>
                <w:rFonts w:cs="Times New Roman"/>
                <w:rtl/>
              </w:rPr>
            </w:pPr>
            <w:r w:rsidRPr="0025250D">
              <w:rPr>
                <w:rFonts w:cs="Times New Roman"/>
                <w:color w:val="000000"/>
                <w:szCs w:val="20"/>
              </w:rPr>
              <w:t>S</w:t>
            </w:r>
            <w:r w:rsidR="00725A99" w:rsidRPr="0025250D">
              <w:rPr>
                <w:rFonts w:cs="Times New Roman"/>
                <w:color w:val="000000"/>
                <w:szCs w:val="20"/>
              </w:rPr>
              <w:t>elf-leaders</w:t>
            </w:r>
          </w:p>
        </w:tc>
      </w:tr>
      <w:tr w:rsidR="00725A99" w:rsidRPr="0025250D" w14:paraId="235B7A71" w14:textId="77777777" w:rsidTr="00725A99">
        <w:tc>
          <w:tcPr>
            <w:tcW w:w="4530" w:type="dxa"/>
            <w:tcBorders>
              <w:top w:val="nil"/>
              <w:left w:val="nil"/>
              <w:bottom w:val="nil"/>
              <w:right w:val="nil"/>
            </w:tcBorders>
            <w:shd w:val="clear" w:color="auto" w:fill="auto"/>
            <w:vAlign w:val="bottom"/>
          </w:tcPr>
          <w:p w14:paraId="58497DF3" w14:textId="20D685B8" w:rsidR="00725A99" w:rsidRPr="0025250D" w:rsidRDefault="00725A99" w:rsidP="00C51390">
            <w:pPr>
              <w:bidi/>
              <w:rPr>
                <w:rtl/>
              </w:rPr>
            </w:pPr>
            <w:r w:rsidRPr="0025250D">
              <w:rPr>
                <w:rFonts w:ascii="Calibri" w:hAnsi="Calibri" w:hint="cs"/>
                <w:color w:val="000000"/>
                <w:sz w:val="22"/>
                <w:rtl/>
              </w:rPr>
              <w:t>پیشگویی‌های خود بازدارنده</w:t>
            </w:r>
          </w:p>
        </w:tc>
        <w:tc>
          <w:tcPr>
            <w:tcW w:w="4530" w:type="dxa"/>
            <w:tcBorders>
              <w:top w:val="nil"/>
              <w:left w:val="nil"/>
              <w:bottom w:val="nil"/>
              <w:right w:val="nil"/>
            </w:tcBorders>
            <w:shd w:val="clear" w:color="auto" w:fill="auto"/>
            <w:vAlign w:val="bottom"/>
          </w:tcPr>
          <w:p w14:paraId="1671B5E3" w14:textId="463D1A8D" w:rsidR="00725A99" w:rsidRPr="0025250D" w:rsidRDefault="00725A99" w:rsidP="00725A99">
            <w:pPr>
              <w:rPr>
                <w:rFonts w:cs="Times New Roman"/>
                <w:rtl/>
              </w:rPr>
            </w:pPr>
            <w:r w:rsidRPr="0025250D">
              <w:rPr>
                <w:rFonts w:cs="Times New Roman"/>
                <w:color w:val="000000"/>
                <w:szCs w:val="20"/>
              </w:rPr>
              <w:t>Self-Preventing Prophecies</w:t>
            </w:r>
          </w:p>
        </w:tc>
      </w:tr>
      <w:tr w:rsidR="00725A99" w:rsidRPr="0025250D" w14:paraId="3A0C245D" w14:textId="77777777" w:rsidTr="00725A99">
        <w:tc>
          <w:tcPr>
            <w:tcW w:w="4530" w:type="dxa"/>
            <w:tcBorders>
              <w:top w:val="nil"/>
              <w:left w:val="nil"/>
              <w:bottom w:val="nil"/>
              <w:right w:val="nil"/>
            </w:tcBorders>
            <w:shd w:val="clear" w:color="auto" w:fill="auto"/>
            <w:vAlign w:val="bottom"/>
          </w:tcPr>
          <w:p w14:paraId="077504A4" w14:textId="60D4AF85" w:rsidR="00725A99" w:rsidRPr="0025250D" w:rsidRDefault="00725A99" w:rsidP="00C51390">
            <w:pPr>
              <w:bidi/>
              <w:rPr>
                <w:rtl/>
              </w:rPr>
            </w:pPr>
            <w:r w:rsidRPr="0025250D">
              <w:rPr>
                <w:rFonts w:ascii="Calibri" w:hAnsi="Calibri"/>
                <w:color w:val="000000"/>
                <w:sz w:val="22"/>
                <w:rtl/>
              </w:rPr>
              <w:t>حس داد</w:t>
            </w:r>
          </w:p>
        </w:tc>
        <w:tc>
          <w:tcPr>
            <w:tcW w:w="4530" w:type="dxa"/>
            <w:tcBorders>
              <w:top w:val="nil"/>
              <w:left w:val="nil"/>
              <w:bottom w:val="nil"/>
              <w:right w:val="nil"/>
            </w:tcBorders>
            <w:shd w:val="clear" w:color="auto" w:fill="auto"/>
            <w:vAlign w:val="bottom"/>
          </w:tcPr>
          <w:p w14:paraId="2F3FB4E9" w14:textId="31305AC8" w:rsidR="00725A99" w:rsidRPr="0025250D" w:rsidRDefault="00725A99" w:rsidP="00725A99">
            <w:pPr>
              <w:rPr>
                <w:rFonts w:cs="Times New Roman"/>
                <w:rtl/>
              </w:rPr>
            </w:pPr>
            <w:r w:rsidRPr="0025250D">
              <w:rPr>
                <w:rFonts w:cs="Times New Roman"/>
                <w:color w:val="000000"/>
                <w:szCs w:val="20"/>
              </w:rPr>
              <w:t>Sentiment</w:t>
            </w:r>
          </w:p>
        </w:tc>
      </w:tr>
      <w:tr w:rsidR="00725A99" w:rsidRPr="0025250D" w14:paraId="70D9AB04" w14:textId="77777777" w:rsidTr="00725A99">
        <w:tc>
          <w:tcPr>
            <w:tcW w:w="4530" w:type="dxa"/>
            <w:tcBorders>
              <w:top w:val="nil"/>
              <w:left w:val="nil"/>
              <w:bottom w:val="nil"/>
              <w:right w:val="nil"/>
            </w:tcBorders>
            <w:shd w:val="clear" w:color="auto" w:fill="auto"/>
            <w:vAlign w:val="bottom"/>
          </w:tcPr>
          <w:p w14:paraId="7EDBD5D4" w14:textId="5A5E6CB0" w:rsidR="00725A99" w:rsidRPr="0025250D" w:rsidRDefault="00725A99" w:rsidP="00C51390">
            <w:pPr>
              <w:bidi/>
              <w:rPr>
                <w:rtl/>
              </w:rPr>
            </w:pPr>
            <w:r w:rsidRPr="0025250D">
              <w:rPr>
                <w:rFonts w:ascii="Calibri" w:hAnsi="Calibri" w:hint="cs"/>
                <w:color w:val="000000"/>
                <w:sz w:val="22"/>
                <w:rtl/>
              </w:rPr>
              <w:t>تقابل حس‌داد</w:t>
            </w:r>
          </w:p>
        </w:tc>
        <w:tc>
          <w:tcPr>
            <w:tcW w:w="4530" w:type="dxa"/>
            <w:tcBorders>
              <w:top w:val="nil"/>
              <w:left w:val="nil"/>
              <w:bottom w:val="nil"/>
              <w:right w:val="nil"/>
            </w:tcBorders>
            <w:shd w:val="clear" w:color="auto" w:fill="auto"/>
            <w:vAlign w:val="bottom"/>
          </w:tcPr>
          <w:p w14:paraId="52A7223F" w14:textId="2717700B" w:rsidR="00725A99" w:rsidRPr="0025250D" w:rsidRDefault="00725A99" w:rsidP="00725A99">
            <w:pPr>
              <w:rPr>
                <w:rFonts w:cs="Times New Roman"/>
                <w:rtl/>
              </w:rPr>
            </w:pPr>
            <w:r w:rsidRPr="0025250D">
              <w:rPr>
                <w:rFonts w:cs="Times New Roman"/>
                <w:color w:val="000000"/>
                <w:szCs w:val="20"/>
              </w:rPr>
              <w:t>Sentiment contrasting</w:t>
            </w:r>
          </w:p>
        </w:tc>
      </w:tr>
      <w:tr w:rsidR="00725A99" w:rsidRPr="0025250D" w14:paraId="257CD402" w14:textId="77777777" w:rsidTr="00725A99">
        <w:tc>
          <w:tcPr>
            <w:tcW w:w="4530" w:type="dxa"/>
            <w:tcBorders>
              <w:top w:val="nil"/>
              <w:left w:val="nil"/>
              <w:bottom w:val="nil"/>
              <w:right w:val="nil"/>
            </w:tcBorders>
            <w:shd w:val="clear" w:color="auto" w:fill="auto"/>
            <w:vAlign w:val="bottom"/>
          </w:tcPr>
          <w:p w14:paraId="6982BA60" w14:textId="737C80F0" w:rsidR="00725A99" w:rsidRPr="0025250D" w:rsidRDefault="00725A99" w:rsidP="00C51390">
            <w:pPr>
              <w:bidi/>
              <w:rPr>
                <w:rtl/>
              </w:rPr>
            </w:pPr>
            <w:r w:rsidRPr="0025250D">
              <w:rPr>
                <w:rFonts w:ascii="Calibri" w:hAnsi="Calibri" w:hint="cs"/>
                <w:color w:val="000000"/>
                <w:sz w:val="22"/>
                <w:rtl/>
              </w:rPr>
              <w:t>چابک‌بین</w:t>
            </w:r>
          </w:p>
        </w:tc>
        <w:tc>
          <w:tcPr>
            <w:tcW w:w="4530" w:type="dxa"/>
            <w:tcBorders>
              <w:top w:val="nil"/>
              <w:left w:val="nil"/>
              <w:bottom w:val="nil"/>
              <w:right w:val="nil"/>
            </w:tcBorders>
            <w:shd w:val="clear" w:color="auto" w:fill="auto"/>
            <w:vAlign w:val="bottom"/>
          </w:tcPr>
          <w:p w14:paraId="5734F3E1" w14:textId="4932111D" w:rsidR="00725A99" w:rsidRPr="0025250D" w:rsidRDefault="00725A99" w:rsidP="00725A99">
            <w:pPr>
              <w:rPr>
                <w:rFonts w:cs="Times New Roman"/>
                <w:rtl/>
              </w:rPr>
            </w:pPr>
            <w:r w:rsidRPr="0025250D">
              <w:rPr>
                <w:rFonts w:cs="Times New Roman"/>
                <w:color w:val="000000"/>
                <w:szCs w:val="20"/>
              </w:rPr>
              <w:t>Sentinel</w:t>
            </w:r>
          </w:p>
        </w:tc>
      </w:tr>
      <w:tr w:rsidR="00725A99" w:rsidRPr="0025250D" w14:paraId="439DFA1F" w14:textId="77777777" w:rsidTr="00725A99">
        <w:tc>
          <w:tcPr>
            <w:tcW w:w="4530" w:type="dxa"/>
            <w:tcBorders>
              <w:top w:val="nil"/>
              <w:left w:val="nil"/>
              <w:bottom w:val="nil"/>
              <w:right w:val="nil"/>
            </w:tcBorders>
            <w:shd w:val="clear" w:color="auto" w:fill="auto"/>
            <w:vAlign w:val="bottom"/>
          </w:tcPr>
          <w:p w14:paraId="40DE1F54" w14:textId="0A6B71B3" w:rsidR="00725A99" w:rsidRPr="0025250D" w:rsidRDefault="00725A99" w:rsidP="00C51390">
            <w:pPr>
              <w:bidi/>
              <w:rPr>
                <w:rtl/>
              </w:rPr>
            </w:pPr>
            <w:r w:rsidRPr="0025250D">
              <w:rPr>
                <w:rFonts w:ascii="Calibri" w:hAnsi="Calibri" w:hint="cs"/>
                <w:color w:val="000000"/>
                <w:sz w:val="22"/>
                <w:rtl/>
              </w:rPr>
              <w:t>مرکز تکینگی</w:t>
            </w:r>
          </w:p>
        </w:tc>
        <w:tc>
          <w:tcPr>
            <w:tcW w:w="4530" w:type="dxa"/>
            <w:tcBorders>
              <w:top w:val="nil"/>
              <w:left w:val="nil"/>
              <w:bottom w:val="nil"/>
              <w:right w:val="nil"/>
            </w:tcBorders>
            <w:shd w:val="clear" w:color="auto" w:fill="auto"/>
            <w:vAlign w:val="bottom"/>
          </w:tcPr>
          <w:p w14:paraId="2464A1C0" w14:textId="20C76B71" w:rsidR="00725A99" w:rsidRPr="0025250D" w:rsidRDefault="00725A99" w:rsidP="00725A99">
            <w:pPr>
              <w:rPr>
                <w:rFonts w:cs="Times New Roman"/>
                <w:rtl/>
              </w:rPr>
            </w:pPr>
            <w:r w:rsidRPr="0025250D">
              <w:rPr>
                <w:rFonts w:cs="Times New Roman"/>
                <w:color w:val="000000"/>
                <w:szCs w:val="20"/>
              </w:rPr>
              <w:t>Singularity Hub</w:t>
            </w:r>
          </w:p>
        </w:tc>
      </w:tr>
      <w:tr w:rsidR="00725A99" w:rsidRPr="0025250D" w14:paraId="65EEA546" w14:textId="77777777" w:rsidTr="00725A99">
        <w:tc>
          <w:tcPr>
            <w:tcW w:w="4530" w:type="dxa"/>
            <w:tcBorders>
              <w:top w:val="nil"/>
              <w:left w:val="nil"/>
              <w:bottom w:val="nil"/>
              <w:right w:val="nil"/>
            </w:tcBorders>
            <w:shd w:val="clear" w:color="auto" w:fill="auto"/>
            <w:vAlign w:val="bottom"/>
          </w:tcPr>
          <w:p w14:paraId="1E915A05" w14:textId="56F592E7" w:rsidR="00725A99" w:rsidRPr="0025250D" w:rsidRDefault="00725A99" w:rsidP="00C51390">
            <w:pPr>
              <w:bidi/>
              <w:rPr>
                <w:rtl/>
              </w:rPr>
            </w:pPr>
            <w:r w:rsidRPr="0025250D">
              <w:rPr>
                <w:rFonts w:ascii="Calibri" w:hAnsi="Calibri" w:hint="cs"/>
                <w:color w:val="000000"/>
                <w:sz w:val="22"/>
                <w:rtl/>
              </w:rPr>
              <w:t>ادبیات گمانه‌زن</w:t>
            </w:r>
          </w:p>
        </w:tc>
        <w:tc>
          <w:tcPr>
            <w:tcW w:w="4530" w:type="dxa"/>
            <w:tcBorders>
              <w:top w:val="nil"/>
              <w:left w:val="nil"/>
              <w:bottom w:val="nil"/>
              <w:right w:val="nil"/>
            </w:tcBorders>
            <w:shd w:val="clear" w:color="auto" w:fill="auto"/>
            <w:vAlign w:val="bottom"/>
          </w:tcPr>
          <w:p w14:paraId="493734BA" w14:textId="1D7182BA" w:rsidR="00725A99" w:rsidRPr="0025250D" w:rsidRDefault="00725A99" w:rsidP="00725A99">
            <w:pPr>
              <w:rPr>
                <w:rFonts w:cs="Times New Roman"/>
                <w:rtl/>
              </w:rPr>
            </w:pPr>
            <w:r w:rsidRPr="0025250D">
              <w:rPr>
                <w:rFonts w:cs="Times New Roman"/>
                <w:color w:val="000000"/>
                <w:szCs w:val="20"/>
              </w:rPr>
              <w:t>Speculative Literature</w:t>
            </w:r>
          </w:p>
        </w:tc>
      </w:tr>
      <w:tr w:rsidR="00725A99" w:rsidRPr="0025250D" w14:paraId="42A83BF1" w14:textId="77777777" w:rsidTr="00725A99">
        <w:tc>
          <w:tcPr>
            <w:tcW w:w="4530" w:type="dxa"/>
            <w:tcBorders>
              <w:top w:val="nil"/>
              <w:left w:val="nil"/>
              <w:bottom w:val="nil"/>
              <w:right w:val="nil"/>
            </w:tcBorders>
            <w:shd w:val="clear" w:color="auto" w:fill="auto"/>
            <w:vAlign w:val="bottom"/>
          </w:tcPr>
          <w:p w14:paraId="0F47693E" w14:textId="26118E92" w:rsidR="00725A99" w:rsidRPr="0025250D" w:rsidRDefault="00725A99" w:rsidP="00C51390">
            <w:pPr>
              <w:bidi/>
              <w:rPr>
                <w:rtl/>
              </w:rPr>
            </w:pPr>
            <w:r w:rsidRPr="0025250D">
              <w:rPr>
                <w:rFonts w:ascii="Calibri" w:hAnsi="Calibri" w:hint="cs"/>
                <w:color w:val="000000"/>
                <w:sz w:val="22"/>
                <w:rtl/>
              </w:rPr>
              <w:t>مطالعه اسپرینت</w:t>
            </w:r>
          </w:p>
        </w:tc>
        <w:tc>
          <w:tcPr>
            <w:tcW w:w="4530" w:type="dxa"/>
            <w:tcBorders>
              <w:top w:val="nil"/>
              <w:left w:val="nil"/>
              <w:bottom w:val="nil"/>
              <w:right w:val="nil"/>
            </w:tcBorders>
            <w:shd w:val="clear" w:color="auto" w:fill="auto"/>
            <w:vAlign w:val="bottom"/>
          </w:tcPr>
          <w:p w14:paraId="419D17D6" w14:textId="26B0E7A6" w:rsidR="00725A99" w:rsidRPr="0025250D" w:rsidRDefault="00725A99" w:rsidP="00725A99">
            <w:pPr>
              <w:rPr>
                <w:rFonts w:cs="Times New Roman"/>
                <w:rtl/>
              </w:rPr>
            </w:pPr>
            <w:r w:rsidRPr="0025250D">
              <w:rPr>
                <w:rFonts w:cs="Times New Roman"/>
                <w:color w:val="000000"/>
                <w:szCs w:val="20"/>
              </w:rPr>
              <w:t>Sprint reading</w:t>
            </w:r>
          </w:p>
        </w:tc>
      </w:tr>
      <w:tr w:rsidR="00725A99" w:rsidRPr="0025250D" w14:paraId="6F1587B7" w14:textId="77777777" w:rsidTr="00725A99">
        <w:tc>
          <w:tcPr>
            <w:tcW w:w="4530" w:type="dxa"/>
            <w:tcBorders>
              <w:top w:val="nil"/>
              <w:left w:val="nil"/>
              <w:bottom w:val="nil"/>
              <w:right w:val="nil"/>
            </w:tcBorders>
            <w:shd w:val="clear" w:color="auto" w:fill="auto"/>
            <w:vAlign w:val="bottom"/>
          </w:tcPr>
          <w:p w14:paraId="4B10662A" w14:textId="0A974B0A" w:rsidR="00725A99" w:rsidRPr="0025250D" w:rsidRDefault="00725A99" w:rsidP="00C51390">
            <w:pPr>
              <w:bidi/>
              <w:rPr>
                <w:rtl/>
              </w:rPr>
            </w:pPr>
            <w:r w:rsidRPr="0025250D">
              <w:rPr>
                <w:rFonts w:ascii="Calibri" w:hAnsi="Calibri" w:hint="cs"/>
                <w:color w:val="000000"/>
                <w:sz w:val="22"/>
                <w:rtl/>
              </w:rPr>
              <w:t>آینده‌نگاری راهبردی</w:t>
            </w:r>
          </w:p>
        </w:tc>
        <w:tc>
          <w:tcPr>
            <w:tcW w:w="4530" w:type="dxa"/>
            <w:tcBorders>
              <w:top w:val="nil"/>
              <w:left w:val="nil"/>
              <w:bottom w:val="nil"/>
              <w:right w:val="nil"/>
            </w:tcBorders>
            <w:shd w:val="clear" w:color="auto" w:fill="auto"/>
            <w:vAlign w:val="bottom"/>
          </w:tcPr>
          <w:p w14:paraId="4F2C3C63" w14:textId="6BB3891E" w:rsidR="00725A99" w:rsidRPr="0025250D" w:rsidRDefault="00725A99" w:rsidP="00725A99">
            <w:pPr>
              <w:rPr>
                <w:rFonts w:cs="Times New Roman"/>
                <w:rtl/>
              </w:rPr>
            </w:pPr>
            <w:r w:rsidRPr="0025250D">
              <w:rPr>
                <w:rFonts w:cs="Times New Roman"/>
                <w:color w:val="000000"/>
                <w:szCs w:val="20"/>
              </w:rPr>
              <w:t>Strategic Foresight</w:t>
            </w:r>
          </w:p>
        </w:tc>
      </w:tr>
      <w:tr w:rsidR="00725A99" w:rsidRPr="0025250D" w14:paraId="098446BD" w14:textId="77777777" w:rsidTr="00725A99">
        <w:tc>
          <w:tcPr>
            <w:tcW w:w="4530" w:type="dxa"/>
            <w:tcBorders>
              <w:top w:val="nil"/>
              <w:left w:val="nil"/>
              <w:bottom w:val="nil"/>
              <w:right w:val="nil"/>
            </w:tcBorders>
            <w:shd w:val="clear" w:color="auto" w:fill="auto"/>
            <w:vAlign w:val="bottom"/>
          </w:tcPr>
          <w:p w14:paraId="28046AF2" w14:textId="6926637F" w:rsidR="00725A99" w:rsidRPr="0025250D" w:rsidRDefault="00725A99" w:rsidP="00C51390">
            <w:pPr>
              <w:bidi/>
              <w:rPr>
                <w:rtl/>
              </w:rPr>
            </w:pPr>
            <w:r w:rsidRPr="0025250D">
              <w:rPr>
                <w:rFonts w:ascii="Calibri" w:hAnsi="Calibri" w:hint="cs"/>
                <w:color w:val="000000"/>
                <w:sz w:val="22"/>
                <w:rtl/>
              </w:rPr>
              <w:t>خوش بینی راهبردی</w:t>
            </w:r>
          </w:p>
        </w:tc>
        <w:tc>
          <w:tcPr>
            <w:tcW w:w="4530" w:type="dxa"/>
            <w:tcBorders>
              <w:top w:val="nil"/>
              <w:left w:val="nil"/>
              <w:bottom w:val="nil"/>
              <w:right w:val="nil"/>
            </w:tcBorders>
            <w:shd w:val="clear" w:color="auto" w:fill="auto"/>
            <w:vAlign w:val="bottom"/>
          </w:tcPr>
          <w:p w14:paraId="4C879C4E" w14:textId="61A03E7B" w:rsidR="00725A99" w:rsidRPr="0025250D" w:rsidRDefault="00725A99" w:rsidP="00725A99">
            <w:pPr>
              <w:rPr>
                <w:rFonts w:cs="Times New Roman"/>
                <w:rtl/>
              </w:rPr>
            </w:pPr>
            <w:r w:rsidRPr="0025250D">
              <w:rPr>
                <w:rFonts w:cs="Times New Roman"/>
                <w:color w:val="000000"/>
                <w:szCs w:val="20"/>
              </w:rPr>
              <w:t>Strategic optimism</w:t>
            </w:r>
          </w:p>
        </w:tc>
      </w:tr>
      <w:tr w:rsidR="00725A99" w:rsidRPr="0025250D" w14:paraId="6C0DAF4A" w14:textId="77777777" w:rsidTr="00725A99">
        <w:tc>
          <w:tcPr>
            <w:tcW w:w="4530" w:type="dxa"/>
            <w:tcBorders>
              <w:top w:val="nil"/>
              <w:left w:val="nil"/>
              <w:bottom w:val="nil"/>
              <w:right w:val="nil"/>
            </w:tcBorders>
            <w:shd w:val="clear" w:color="auto" w:fill="auto"/>
            <w:vAlign w:val="bottom"/>
          </w:tcPr>
          <w:p w14:paraId="329A7171" w14:textId="00C3E711" w:rsidR="00725A99" w:rsidRPr="0025250D" w:rsidRDefault="00725A99" w:rsidP="00C51390">
            <w:pPr>
              <w:bidi/>
              <w:rPr>
                <w:rtl/>
              </w:rPr>
            </w:pPr>
            <w:r w:rsidRPr="0025250D">
              <w:rPr>
                <w:rFonts w:ascii="Calibri" w:hAnsi="Calibri" w:hint="cs"/>
                <w:color w:val="000000"/>
                <w:sz w:val="22"/>
                <w:rtl/>
              </w:rPr>
              <w:t>راهبرد پرداز</w:t>
            </w:r>
          </w:p>
        </w:tc>
        <w:tc>
          <w:tcPr>
            <w:tcW w:w="4530" w:type="dxa"/>
            <w:tcBorders>
              <w:top w:val="nil"/>
              <w:left w:val="nil"/>
              <w:bottom w:val="nil"/>
              <w:right w:val="nil"/>
            </w:tcBorders>
            <w:shd w:val="clear" w:color="auto" w:fill="auto"/>
            <w:vAlign w:val="bottom"/>
          </w:tcPr>
          <w:p w14:paraId="69FEB90A" w14:textId="5B89D4D1" w:rsidR="00725A99" w:rsidRPr="0025250D" w:rsidRDefault="00725A99" w:rsidP="00725A99">
            <w:pPr>
              <w:rPr>
                <w:rFonts w:cs="Times New Roman"/>
                <w:rtl/>
              </w:rPr>
            </w:pPr>
            <w:r w:rsidRPr="0025250D">
              <w:rPr>
                <w:rFonts w:cs="Times New Roman"/>
                <w:color w:val="000000"/>
                <w:szCs w:val="20"/>
              </w:rPr>
              <w:t>Strategizer</w:t>
            </w:r>
          </w:p>
        </w:tc>
      </w:tr>
      <w:tr w:rsidR="00725A99" w:rsidRPr="0025250D" w14:paraId="480BC4C6" w14:textId="77777777" w:rsidTr="00725A99">
        <w:tc>
          <w:tcPr>
            <w:tcW w:w="4530" w:type="dxa"/>
            <w:tcBorders>
              <w:top w:val="nil"/>
              <w:left w:val="nil"/>
              <w:bottom w:val="nil"/>
              <w:right w:val="nil"/>
            </w:tcBorders>
            <w:shd w:val="clear" w:color="auto" w:fill="auto"/>
            <w:vAlign w:val="bottom"/>
          </w:tcPr>
          <w:p w14:paraId="640A90FB" w14:textId="7684282D" w:rsidR="00725A99" w:rsidRPr="0025250D" w:rsidRDefault="00725A99" w:rsidP="00C51390">
            <w:pPr>
              <w:bidi/>
              <w:rPr>
                <w:rtl/>
              </w:rPr>
            </w:pPr>
            <w:r w:rsidRPr="0025250D">
              <w:rPr>
                <w:rFonts w:ascii="Calibri" w:hAnsi="Calibri" w:hint="cs"/>
                <w:color w:val="000000"/>
                <w:sz w:val="22"/>
                <w:rtl/>
              </w:rPr>
              <w:t>فراپیش‌نگری</w:t>
            </w:r>
          </w:p>
        </w:tc>
        <w:tc>
          <w:tcPr>
            <w:tcW w:w="4530" w:type="dxa"/>
            <w:tcBorders>
              <w:top w:val="nil"/>
              <w:left w:val="nil"/>
              <w:bottom w:val="nil"/>
              <w:right w:val="nil"/>
            </w:tcBorders>
            <w:shd w:val="clear" w:color="auto" w:fill="auto"/>
            <w:vAlign w:val="bottom"/>
          </w:tcPr>
          <w:p w14:paraId="0468EAFE" w14:textId="51B6317D" w:rsidR="00725A99" w:rsidRPr="0025250D" w:rsidRDefault="00725A99" w:rsidP="00725A99">
            <w:pPr>
              <w:rPr>
                <w:rFonts w:cs="Times New Roman"/>
                <w:rtl/>
              </w:rPr>
            </w:pPr>
            <w:r w:rsidRPr="0025250D">
              <w:rPr>
                <w:rFonts w:cs="Times New Roman"/>
                <w:color w:val="000000"/>
                <w:szCs w:val="20"/>
              </w:rPr>
              <w:t>Superforecasting</w:t>
            </w:r>
          </w:p>
        </w:tc>
      </w:tr>
      <w:tr w:rsidR="00C51390" w:rsidRPr="0025250D" w14:paraId="23213301" w14:textId="77777777" w:rsidTr="00725A99">
        <w:tc>
          <w:tcPr>
            <w:tcW w:w="4530" w:type="dxa"/>
            <w:tcBorders>
              <w:top w:val="nil"/>
              <w:left w:val="nil"/>
              <w:bottom w:val="nil"/>
              <w:right w:val="nil"/>
            </w:tcBorders>
            <w:shd w:val="clear" w:color="auto" w:fill="auto"/>
            <w:vAlign w:val="bottom"/>
          </w:tcPr>
          <w:p w14:paraId="5B6652C0" w14:textId="77777777" w:rsidR="00C51390" w:rsidRPr="0025250D" w:rsidRDefault="00C51390" w:rsidP="00C51390">
            <w:pPr>
              <w:rPr>
                <w:rFonts w:ascii="Calibri" w:hAnsi="Calibri"/>
                <w:color w:val="000000"/>
                <w:sz w:val="22"/>
                <w:rtl/>
              </w:rPr>
            </w:pPr>
          </w:p>
        </w:tc>
        <w:tc>
          <w:tcPr>
            <w:tcW w:w="4530" w:type="dxa"/>
            <w:tcBorders>
              <w:top w:val="nil"/>
              <w:left w:val="nil"/>
              <w:bottom w:val="nil"/>
              <w:right w:val="nil"/>
            </w:tcBorders>
            <w:shd w:val="clear" w:color="auto" w:fill="auto"/>
            <w:vAlign w:val="bottom"/>
          </w:tcPr>
          <w:p w14:paraId="7F816C35" w14:textId="77777777" w:rsidR="00C51390" w:rsidRPr="0025250D" w:rsidRDefault="00C51390" w:rsidP="00725A99">
            <w:pPr>
              <w:rPr>
                <w:rFonts w:cs="Times New Roman"/>
                <w:color w:val="000000"/>
                <w:szCs w:val="20"/>
              </w:rPr>
            </w:pPr>
          </w:p>
        </w:tc>
      </w:tr>
      <w:tr w:rsidR="00C51390" w:rsidRPr="0025250D" w14:paraId="4F2E04A3" w14:textId="77777777" w:rsidTr="002A6537">
        <w:tc>
          <w:tcPr>
            <w:tcW w:w="9060" w:type="dxa"/>
            <w:gridSpan w:val="2"/>
            <w:tcBorders>
              <w:top w:val="nil"/>
              <w:left w:val="nil"/>
              <w:bottom w:val="nil"/>
              <w:right w:val="nil"/>
            </w:tcBorders>
            <w:shd w:val="clear" w:color="auto" w:fill="auto"/>
            <w:vAlign w:val="bottom"/>
          </w:tcPr>
          <w:p w14:paraId="769F0FCC" w14:textId="3C0A69AD" w:rsidR="00C51390" w:rsidRPr="0025250D" w:rsidRDefault="00C51390" w:rsidP="00C51390">
            <w:pPr>
              <w:jc w:val="center"/>
              <w:rPr>
                <w:rFonts w:cs="Times New Roman"/>
                <w:b/>
                <w:bCs/>
                <w:color w:val="000000"/>
                <w:szCs w:val="20"/>
              </w:rPr>
            </w:pPr>
            <w:r w:rsidRPr="0025250D">
              <w:rPr>
                <w:rFonts w:cs="Times New Roman"/>
                <w:b/>
                <w:bCs/>
                <w:color w:val="000000"/>
                <w:sz w:val="28"/>
                <w:szCs w:val="28"/>
              </w:rPr>
              <w:t>T</w:t>
            </w:r>
          </w:p>
        </w:tc>
      </w:tr>
      <w:tr w:rsidR="00725A99" w:rsidRPr="0025250D" w14:paraId="434605B7" w14:textId="77777777" w:rsidTr="00725A99">
        <w:tc>
          <w:tcPr>
            <w:tcW w:w="4530" w:type="dxa"/>
            <w:tcBorders>
              <w:top w:val="nil"/>
              <w:left w:val="nil"/>
              <w:bottom w:val="nil"/>
              <w:right w:val="nil"/>
            </w:tcBorders>
            <w:shd w:val="clear" w:color="auto" w:fill="auto"/>
            <w:vAlign w:val="bottom"/>
          </w:tcPr>
          <w:p w14:paraId="0688CA1B" w14:textId="47063E9C" w:rsidR="00725A99" w:rsidRPr="0025250D" w:rsidRDefault="00725A99" w:rsidP="00C51390">
            <w:pPr>
              <w:bidi/>
              <w:rPr>
                <w:rtl/>
              </w:rPr>
            </w:pPr>
            <w:r w:rsidRPr="0025250D">
              <w:rPr>
                <w:rFonts w:ascii="Calibri" w:hAnsi="Calibri" w:hint="cs"/>
                <w:color w:val="000000"/>
                <w:sz w:val="22"/>
                <w:rtl/>
              </w:rPr>
              <w:t>تفکر تیمی</w:t>
            </w:r>
          </w:p>
        </w:tc>
        <w:tc>
          <w:tcPr>
            <w:tcW w:w="4530" w:type="dxa"/>
            <w:tcBorders>
              <w:top w:val="nil"/>
              <w:left w:val="nil"/>
              <w:bottom w:val="nil"/>
              <w:right w:val="nil"/>
            </w:tcBorders>
            <w:shd w:val="clear" w:color="auto" w:fill="auto"/>
            <w:vAlign w:val="bottom"/>
          </w:tcPr>
          <w:p w14:paraId="48BE300C" w14:textId="211ECF6A" w:rsidR="00725A99" w:rsidRPr="0025250D" w:rsidRDefault="00C51390" w:rsidP="00725A99">
            <w:pPr>
              <w:rPr>
                <w:rFonts w:cs="Times New Roman"/>
                <w:rtl/>
              </w:rPr>
            </w:pPr>
            <w:r w:rsidRPr="0025250D">
              <w:rPr>
                <w:rFonts w:cs="Times New Roman"/>
                <w:color w:val="000000"/>
                <w:szCs w:val="20"/>
              </w:rPr>
              <w:t>T</w:t>
            </w:r>
            <w:r w:rsidR="00725A99" w:rsidRPr="0025250D">
              <w:rPr>
                <w:rFonts w:cs="Times New Roman"/>
                <w:color w:val="000000"/>
                <w:szCs w:val="20"/>
              </w:rPr>
              <w:t>eam thinking</w:t>
            </w:r>
          </w:p>
        </w:tc>
      </w:tr>
      <w:tr w:rsidR="00725A99" w:rsidRPr="0025250D" w14:paraId="42579610" w14:textId="77777777" w:rsidTr="00725A99">
        <w:tc>
          <w:tcPr>
            <w:tcW w:w="4530" w:type="dxa"/>
            <w:tcBorders>
              <w:top w:val="nil"/>
              <w:left w:val="nil"/>
              <w:bottom w:val="nil"/>
              <w:right w:val="nil"/>
            </w:tcBorders>
            <w:shd w:val="clear" w:color="auto" w:fill="auto"/>
            <w:vAlign w:val="bottom"/>
          </w:tcPr>
          <w:p w14:paraId="705610A6" w14:textId="559CBA37" w:rsidR="00725A99" w:rsidRPr="0025250D" w:rsidRDefault="00725A99" w:rsidP="00C51390">
            <w:pPr>
              <w:bidi/>
              <w:rPr>
                <w:rtl/>
              </w:rPr>
            </w:pPr>
            <w:r w:rsidRPr="0025250D">
              <w:rPr>
                <w:rFonts w:ascii="Calibri" w:hAnsi="Calibri" w:hint="cs"/>
                <w:color w:val="000000"/>
                <w:sz w:val="22"/>
                <w:rtl/>
              </w:rPr>
              <w:t>تکینگی فناورانه</w:t>
            </w:r>
          </w:p>
        </w:tc>
        <w:tc>
          <w:tcPr>
            <w:tcW w:w="4530" w:type="dxa"/>
            <w:tcBorders>
              <w:top w:val="nil"/>
              <w:left w:val="nil"/>
              <w:bottom w:val="nil"/>
              <w:right w:val="nil"/>
            </w:tcBorders>
            <w:shd w:val="clear" w:color="auto" w:fill="auto"/>
            <w:vAlign w:val="bottom"/>
          </w:tcPr>
          <w:p w14:paraId="30C9A1F9" w14:textId="5EB34540" w:rsidR="00725A99" w:rsidRPr="0025250D" w:rsidRDefault="00725A99" w:rsidP="00725A99">
            <w:pPr>
              <w:rPr>
                <w:rFonts w:cs="Times New Roman"/>
                <w:rtl/>
              </w:rPr>
            </w:pPr>
            <w:r w:rsidRPr="0025250D">
              <w:rPr>
                <w:rFonts w:cs="Times New Roman"/>
                <w:color w:val="000000"/>
                <w:szCs w:val="20"/>
              </w:rPr>
              <w:t>Technological singularity</w:t>
            </w:r>
          </w:p>
        </w:tc>
      </w:tr>
      <w:tr w:rsidR="00725A99" w:rsidRPr="0025250D" w14:paraId="19AAD173" w14:textId="77777777" w:rsidTr="00725A99">
        <w:tc>
          <w:tcPr>
            <w:tcW w:w="4530" w:type="dxa"/>
            <w:tcBorders>
              <w:top w:val="nil"/>
              <w:left w:val="nil"/>
              <w:bottom w:val="nil"/>
              <w:right w:val="nil"/>
            </w:tcBorders>
            <w:shd w:val="clear" w:color="auto" w:fill="auto"/>
            <w:vAlign w:val="bottom"/>
          </w:tcPr>
          <w:p w14:paraId="3524BE07" w14:textId="78A0BE1F" w:rsidR="00725A99" w:rsidRPr="0025250D" w:rsidRDefault="00725A99" w:rsidP="00C51390">
            <w:pPr>
              <w:bidi/>
              <w:rPr>
                <w:rtl/>
              </w:rPr>
            </w:pPr>
            <w:r w:rsidRPr="0025250D">
              <w:rPr>
                <w:rFonts w:ascii="Calibri" w:hAnsi="Calibri" w:hint="cs"/>
                <w:color w:val="000000"/>
                <w:sz w:val="22"/>
                <w:rtl/>
              </w:rPr>
              <w:t>رهبری تفکرگرا</w:t>
            </w:r>
          </w:p>
        </w:tc>
        <w:tc>
          <w:tcPr>
            <w:tcW w:w="4530" w:type="dxa"/>
            <w:tcBorders>
              <w:top w:val="nil"/>
              <w:left w:val="nil"/>
              <w:bottom w:val="nil"/>
              <w:right w:val="nil"/>
            </w:tcBorders>
            <w:shd w:val="clear" w:color="auto" w:fill="auto"/>
            <w:vAlign w:val="bottom"/>
          </w:tcPr>
          <w:p w14:paraId="5D9AE0B1" w14:textId="1E747F18" w:rsidR="00725A99" w:rsidRPr="0025250D" w:rsidRDefault="00725A99" w:rsidP="00725A99">
            <w:pPr>
              <w:rPr>
                <w:rFonts w:cs="Times New Roman"/>
                <w:rtl/>
              </w:rPr>
            </w:pPr>
            <w:r w:rsidRPr="0025250D">
              <w:rPr>
                <w:rFonts w:cs="Times New Roman"/>
                <w:color w:val="000000"/>
                <w:szCs w:val="20"/>
              </w:rPr>
              <w:t>Thought Leadership</w:t>
            </w:r>
          </w:p>
        </w:tc>
      </w:tr>
      <w:tr w:rsidR="00725A99" w:rsidRPr="0025250D" w14:paraId="44277B24" w14:textId="77777777" w:rsidTr="00725A99">
        <w:tc>
          <w:tcPr>
            <w:tcW w:w="4530" w:type="dxa"/>
            <w:tcBorders>
              <w:top w:val="nil"/>
              <w:left w:val="nil"/>
              <w:bottom w:val="nil"/>
              <w:right w:val="nil"/>
            </w:tcBorders>
            <w:shd w:val="clear" w:color="auto" w:fill="auto"/>
            <w:vAlign w:val="bottom"/>
          </w:tcPr>
          <w:p w14:paraId="4931F8E0" w14:textId="49AAABEA" w:rsidR="00725A99" w:rsidRPr="0025250D" w:rsidRDefault="00725A99" w:rsidP="00C51390">
            <w:pPr>
              <w:bidi/>
              <w:rPr>
                <w:rtl/>
              </w:rPr>
            </w:pPr>
            <w:r w:rsidRPr="0025250D">
              <w:rPr>
                <w:rFonts w:ascii="Calibri" w:hAnsi="Calibri"/>
                <w:color w:val="000000"/>
                <w:sz w:val="22"/>
                <w:rtl/>
              </w:rPr>
              <w:t>فرضیه استیلا</w:t>
            </w:r>
          </w:p>
        </w:tc>
        <w:tc>
          <w:tcPr>
            <w:tcW w:w="4530" w:type="dxa"/>
            <w:tcBorders>
              <w:top w:val="nil"/>
              <w:left w:val="nil"/>
              <w:bottom w:val="nil"/>
              <w:right w:val="nil"/>
            </w:tcBorders>
            <w:shd w:val="clear" w:color="auto" w:fill="auto"/>
            <w:vAlign w:val="bottom"/>
          </w:tcPr>
          <w:p w14:paraId="1D2589E3" w14:textId="763C8333" w:rsidR="00725A99" w:rsidRPr="0025250D" w:rsidRDefault="00725A99" w:rsidP="00725A99">
            <w:pPr>
              <w:rPr>
                <w:rFonts w:cs="Times New Roman"/>
                <w:rtl/>
              </w:rPr>
            </w:pPr>
            <w:r w:rsidRPr="0025250D">
              <w:rPr>
                <w:rFonts w:cs="Times New Roman"/>
                <w:color w:val="000000"/>
                <w:szCs w:val="20"/>
              </w:rPr>
              <w:t>Transcension Hypothesis</w:t>
            </w:r>
          </w:p>
        </w:tc>
      </w:tr>
      <w:tr w:rsidR="00725A99" w:rsidRPr="0025250D" w14:paraId="7C0A6F70" w14:textId="77777777" w:rsidTr="00725A99">
        <w:tc>
          <w:tcPr>
            <w:tcW w:w="4530" w:type="dxa"/>
            <w:tcBorders>
              <w:top w:val="nil"/>
              <w:left w:val="nil"/>
              <w:bottom w:val="nil"/>
              <w:right w:val="nil"/>
            </w:tcBorders>
            <w:shd w:val="clear" w:color="auto" w:fill="auto"/>
            <w:vAlign w:val="bottom"/>
          </w:tcPr>
          <w:p w14:paraId="39ABFE54" w14:textId="33920534" w:rsidR="00725A99" w:rsidRPr="0025250D" w:rsidRDefault="00725A99" w:rsidP="00C51390">
            <w:pPr>
              <w:bidi/>
              <w:rPr>
                <w:rtl/>
              </w:rPr>
            </w:pPr>
            <w:r w:rsidRPr="0025250D">
              <w:rPr>
                <w:rFonts w:ascii="Calibri" w:hAnsi="Calibri" w:hint="cs"/>
                <w:color w:val="000000"/>
                <w:sz w:val="22"/>
                <w:rtl/>
              </w:rPr>
              <w:t>انتقالی</w:t>
            </w:r>
          </w:p>
        </w:tc>
        <w:tc>
          <w:tcPr>
            <w:tcW w:w="4530" w:type="dxa"/>
            <w:tcBorders>
              <w:top w:val="nil"/>
              <w:left w:val="nil"/>
              <w:bottom w:val="nil"/>
              <w:right w:val="nil"/>
            </w:tcBorders>
            <w:shd w:val="clear" w:color="auto" w:fill="auto"/>
            <w:vAlign w:val="bottom"/>
          </w:tcPr>
          <w:p w14:paraId="1648A5B9" w14:textId="0A82204F" w:rsidR="00725A99" w:rsidRPr="0025250D" w:rsidRDefault="00725A99" w:rsidP="00725A99">
            <w:pPr>
              <w:rPr>
                <w:rFonts w:cs="Times New Roman"/>
                <w:rtl/>
              </w:rPr>
            </w:pPr>
            <w:r w:rsidRPr="0025250D">
              <w:rPr>
                <w:rFonts w:cs="Times New Roman"/>
                <w:color w:val="000000"/>
                <w:szCs w:val="20"/>
              </w:rPr>
              <w:t>Translational</w:t>
            </w:r>
          </w:p>
        </w:tc>
      </w:tr>
      <w:tr w:rsidR="00725A99" w:rsidRPr="0025250D" w14:paraId="5477E7F2" w14:textId="77777777" w:rsidTr="00725A99">
        <w:tc>
          <w:tcPr>
            <w:tcW w:w="4530" w:type="dxa"/>
            <w:tcBorders>
              <w:top w:val="nil"/>
              <w:left w:val="nil"/>
              <w:bottom w:val="nil"/>
              <w:right w:val="nil"/>
            </w:tcBorders>
            <w:shd w:val="clear" w:color="auto" w:fill="auto"/>
            <w:vAlign w:val="bottom"/>
          </w:tcPr>
          <w:p w14:paraId="37621599" w14:textId="03DE6387" w:rsidR="00725A99" w:rsidRPr="0025250D" w:rsidRDefault="00725A99" w:rsidP="00C51390">
            <w:pPr>
              <w:bidi/>
              <w:rPr>
                <w:rtl/>
              </w:rPr>
            </w:pPr>
            <w:r w:rsidRPr="0025250D">
              <w:rPr>
                <w:rFonts w:ascii="Calibri" w:hAnsi="Calibri" w:hint="cs"/>
                <w:color w:val="000000"/>
                <w:sz w:val="22"/>
                <w:rtl/>
              </w:rPr>
              <w:t>بازگرد</w:t>
            </w:r>
          </w:p>
        </w:tc>
        <w:tc>
          <w:tcPr>
            <w:tcW w:w="4530" w:type="dxa"/>
            <w:tcBorders>
              <w:top w:val="nil"/>
              <w:left w:val="nil"/>
              <w:bottom w:val="nil"/>
              <w:right w:val="nil"/>
            </w:tcBorders>
            <w:shd w:val="clear" w:color="auto" w:fill="auto"/>
            <w:vAlign w:val="bottom"/>
          </w:tcPr>
          <w:p w14:paraId="48E35670" w14:textId="3D1E3604" w:rsidR="00725A99" w:rsidRPr="0025250D" w:rsidRDefault="00725A99" w:rsidP="00725A99">
            <w:pPr>
              <w:rPr>
                <w:rFonts w:cs="Times New Roman"/>
                <w:rtl/>
              </w:rPr>
            </w:pPr>
            <w:r w:rsidRPr="0025250D">
              <w:rPr>
                <w:rFonts w:cs="Times New Roman"/>
                <w:color w:val="000000"/>
                <w:szCs w:val="20"/>
              </w:rPr>
              <w:t>Turnaround</w:t>
            </w:r>
          </w:p>
        </w:tc>
      </w:tr>
      <w:tr w:rsidR="00C51390" w:rsidRPr="0025250D" w14:paraId="56F6B8F8" w14:textId="77777777" w:rsidTr="00725A99">
        <w:tc>
          <w:tcPr>
            <w:tcW w:w="4530" w:type="dxa"/>
            <w:tcBorders>
              <w:top w:val="nil"/>
              <w:left w:val="nil"/>
              <w:bottom w:val="nil"/>
              <w:right w:val="nil"/>
            </w:tcBorders>
            <w:shd w:val="clear" w:color="auto" w:fill="auto"/>
            <w:vAlign w:val="bottom"/>
          </w:tcPr>
          <w:p w14:paraId="64E6F4A5" w14:textId="77777777" w:rsidR="00C51390" w:rsidRPr="0025250D" w:rsidRDefault="00C51390" w:rsidP="00C51390">
            <w:pPr>
              <w:rPr>
                <w:rFonts w:ascii="Calibri" w:hAnsi="Calibri"/>
                <w:color w:val="000000"/>
                <w:sz w:val="22"/>
                <w:rtl/>
              </w:rPr>
            </w:pPr>
          </w:p>
        </w:tc>
        <w:tc>
          <w:tcPr>
            <w:tcW w:w="4530" w:type="dxa"/>
            <w:tcBorders>
              <w:top w:val="nil"/>
              <w:left w:val="nil"/>
              <w:bottom w:val="nil"/>
              <w:right w:val="nil"/>
            </w:tcBorders>
            <w:shd w:val="clear" w:color="auto" w:fill="auto"/>
            <w:vAlign w:val="bottom"/>
          </w:tcPr>
          <w:p w14:paraId="0B44517C" w14:textId="77777777" w:rsidR="00C51390" w:rsidRPr="0025250D" w:rsidRDefault="00C51390" w:rsidP="00725A99">
            <w:pPr>
              <w:rPr>
                <w:rFonts w:cs="Times New Roman"/>
                <w:color w:val="000000"/>
                <w:szCs w:val="20"/>
              </w:rPr>
            </w:pPr>
          </w:p>
        </w:tc>
      </w:tr>
      <w:tr w:rsidR="00C51390" w:rsidRPr="0025250D" w14:paraId="76846FC1" w14:textId="77777777" w:rsidTr="00B74CB5">
        <w:tc>
          <w:tcPr>
            <w:tcW w:w="9060" w:type="dxa"/>
            <w:gridSpan w:val="2"/>
            <w:tcBorders>
              <w:top w:val="nil"/>
              <w:left w:val="nil"/>
              <w:bottom w:val="nil"/>
              <w:right w:val="nil"/>
            </w:tcBorders>
            <w:shd w:val="clear" w:color="auto" w:fill="auto"/>
            <w:vAlign w:val="bottom"/>
          </w:tcPr>
          <w:p w14:paraId="176E1E13" w14:textId="1D5409D8" w:rsidR="00C51390" w:rsidRPr="0025250D" w:rsidRDefault="00C51390" w:rsidP="00C51390">
            <w:pPr>
              <w:jc w:val="center"/>
              <w:rPr>
                <w:rFonts w:cs="Times New Roman"/>
                <w:b/>
                <w:bCs/>
                <w:color w:val="000000"/>
                <w:szCs w:val="20"/>
              </w:rPr>
            </w:pPr>
            <w:r w:rsidRPr="0025250D">
              <w:rPr>
                <w:rFonts w:cs="Times New Roman"/>
                <w:b/>
                <w:bCs/>
                <w:color w:val="000000"/>
                <w:sz w:val="28"/>
                <w:szCs w:val="28"/>
              </w:rPr>
              <w:t>U</w:t>
            </w:r>
          </w:p>
        </w:tc>
      </w:tr>
      <w:tr w:rsidR="00725A99" w:rsidRPr="0025250D" w14:paraId="4DB61A4F" w14:textId="77777777" w:rsidTr="00725A99">
        <w:tc>
          <w:tcPr>
            <w:tcW w:w="4530" w:type="dxa"/>
            <w:tcBorders>
              <w:top w:val="nil"/>
              <w:left w:val="nil"/>
              <w:bottom w:val="nil"/>
              <w:right w:val="nil"/>
            </w:tcBorders>
            <w:shd w:val="clear" w:color="auto" w:fill="auto"/>
            <w:vAlign w:val="bottom"/>
          </w:tcPr>
          <w:p w14:paraId="1709FFEA" w14:textId="059CD809" w:rsidR="00725A99" w:rsidRPr="0025250D" w:rsidRDefault="00725A99" w:rsidP="00C51390">
            <w:pPr>
              <w:bidi/>
              <w:rPr>
                <w:rtl/>
              </w:rPr>
            </w:pPr>
            <w:r w:rsidRPr="0025250D">
              <w:rPr>
                <w:rFonts w:ascii="Calibri" w:hAnsi="Calibri"/>
                <w:color w:val="000000"/>
                <w:sz w:val="22"/>
                <w:rtl/>
              </w:rPr>
              <w:t>فراگیر</w:t>
            </w:r>
          </w:p>
        </w:tc>
        <w:tc>
          <w:tcPr>
            <w:tcW w:w="4530" w:type="dxa"/>
            <w:tcBorders>
              <w:top w:val="nil"/>
              <w:left w:val="nil"/>
              <w:bottom w:val="nil"/>
              <w:right w:val="nil"/>
            </w:tcBorders>
            <w:shd w:val="clear" w:color="auto" w:fill="auto"/>
            <w:vAlign w:val="bottom"/>
          </w:tcPr>
          <w:p w14:paraId="75AB750B" w14:textId="4B0AFD96" w:rsidR="00725A99" w:rsidRPr="0025250D" w:rsidRDefault="00725A99" w:rsidP="00725A99">
            <w:pPr>
              <w:rPr>
                <w:rFonts w:cs="Times New Roman"/>
                <w:rtl/>
              </w:rPr>
            </w:pPr>
            <w:r w:rsidRPr="0025250D">
              <w:rPr>
                <w:rFonts w:cs="Times New Roman"/>
                <w:color w:val="000000"/>
                <w:szCs w:val="20"/>
              </w:rPr>
              <w:t>Universal</w:t>
            </w:r>
          </w:p>
        </w:tc>
      </w:tr>
      <w:tr w:rsidR="00725A99" w:rsidRPr="0025250D" w14:paraId="13655E9D" w14:textId="77777777" w:rsidTr="00725A99">
        <w:tc>
          <w:tcPr>
            <w:tcW w:w="4530" w:type="dxa"/>
            <w:tcBorders>
              <w:top w:val="nil"/>
              <w:left w:val="nil"/>
              <w:bottom w:val="nil"/>
              <w:right w:val="nil"/>
            </w:tcBorders>
            <w:shd w:val="clear" w:color="auto" w:fill="auto"/>
            <w:vAlign w:val="bottom"/>
          </w:tcPr>
          <w:p w14:paraId="5E1C3784" w14:textId="6D188844" w:rsidR="00725A99" w:rsidRPr="0025250D" w:rsidRDefault="00725A99" w:rsidP="00C51390">
            <w:pPr>
              <w:bidi/>
              <w:rPr>
                <w:rtl/>
              </w:rPr>
            </w:pPr>
            <w:r w:rsidRPr="0025250D">
              <w:rPr>
                <w:rFonts w:ascii="Calibri" w:hAnsi="Calibri" w:hint="cs"/>
                <w:color w:val="000000"/>
                <w:sz w:val="22"/>
                <w:rtl/>
              </w:rPr>
              <w:t>وایادگیری</w:t>
            </w:r>
          </w:p>
        </w:tc>
        <w:tc>
          <w:tcPr>
            <w:tcW w:w="4530" w:type="dxa"/>
            <w:tcBorders>
              <w:top w:val="nil"/>
              <w:left w:val="nil"/>
              <w:bottom w:val="nil"/>
              <w:right w:val="nil"/>
            </w:tcBorders>
            <w:shd w:val="clear" w:color="auto" w:fill="auto"/>
            <w:vAlign w:val="bottom"/>
          </w:tcPr>
          <w:p w14:paraId="7B8AB597" w14:textId="7FAF3DED" w:rsidR="00725A99" w:rsidRPr="0025250D" w:rsidRDefault="00725A99" w:rsidP="00725A99">
            <w:pPr>
              <w:rPr>
                <w:rFonts w:cs="Times New Roman"/>
                <w:rtl/>
              </w:rPr>
            </w:pPr>
            <w:r w:rsidRPr="0025250D">
              <w:rPr>
                <w:rFonts w:cs="Times New Roman"/>
                <w:color w:val="000000"/>
                <w:szCs w:val="20"/>
              </w:rPr>
              <w:t>Unlearning</w:t>
            </w:r>
          </w:p>
        </w:tc>
      </w:tr>
      <w:tr w:rsidR="00725A99" w:rsidRPr="0025250D" w14:paraId="48B0DE75" w14:textId="77777777" w:rsidTr="00725A99">
        <w:tc>
          <w:tcPr>
            <w:tcW w:w="4530" w:type="dxa"/>
            <w:tcBorders>
              <w:top w:val="nil"/>
              <w:left w:val="nil"/>
              <w:bottom w:val="nil"/>
              <w:right w:val="nil"/>
            </w:tcBorders>
            <w:shd w:val="clear" w:color="auto" w:fill="auto"/>
            <w:vAlign w:val="bottom"/>
          </w:tcPr>
          <w:p w14:paraId="32EB7125" w14:textId="61307EFB" w:rsidR="00725A99" w:rsidRPr="0025250D" w:rsidRDefault="00725A99" w:rsidP="00C51390">
            <w:pPr>
              <w:bidi/>
              <w:rPr>
                <w:rtl/>
              </w:rPr>
            </w:pPr>
            <w:r w:rsidRPr="0025250D">
              <w:rPr>
                <w:rFonts w:ascii="Calibri" w:hAnsi="Calibri" w:hint="cs"/>
                <w:color w:val="000000"/>
                <w:sz w:val="22"/>
                <w:rtl/>
              </w:rPr>
              <w:t>آرمان‌شهرگرایی</w:t>
            </w:r>
          </w:p>
        </w:tc>
        <w:tc>
          <w:tcPr>
            <w:tcW w:w="4530" w:type="dxa"/>
            <w:tcBorders>
              <w:top w:val="nil"/>
              <w:left w:val="nil"/>
              <w:bottom w:val="nil"/>
              <w:right w:val="nil"/>
            </w:tcBorders>
            <w:shd w:val="clear" w:color="auto" w:fill="auto"/>
            <w:vAlign w:val="bottom"/>
          </w:tcPr>
          <w:p w14:paraId="0D60768E" w14:textId="00E7B685" w:rsidR="00725A99" w:rsidRPr="0025250D" w:rsidRDefault="00725A99" w:rsidP="00725A99">
            <w:pPr>
              <w:rPr>
                <w:rFonts w:cs="Times New Roman"/>
                <w:rtl/>
              </w:rPr>
            </w:pPr>
            <w:r w:rsidRPr="0025250D">
              <w:rPr>
                <w:rFonts w:cs="Times New Roman"/>
                <w:color w:val="000000"/>
                <w:szCs w:val="20"/>
              </w:rPr>
              <w:t>Utopianism</w:t>
            </w:r>
          </w:p>
        </w:tc>
      </w:tr>
      <w:tr w:rsidR="00C51390" w:rsidRPr="0025250D" w14:paraId="56383F5B" w14:textId="77777777" w:rsidTr="00725A99">
        <w:tc>
          <w:tcPr>
            <w:tcW w:w="4530" w:type="dxa"/>
            <w:tcBorders>
              <w:top w:val="nil"/>
              <w:left w:val="nil"/>
              <w:bottom w:val="nil"/>
              <w:right w:val="nil"/>
            </w:tcBorders>
            <w:shd w:val="clear" w:color="auto" w:fill="auto"/>
            <w:vAlign w:val="bottom"/>
          </w:tcPr>
          <w:p w14:paraId="7EA62844" w14:textId="77777777" w:rsidR="00C51390" w:rsidRPr="0025250D" w:rsidRDefault="00C51390" w:rsidP="00C51390">
            <w:pPr>
              <w:rPr>
                <w:rFonts w:ascii="Calibri" w:hAnsi="Calibri"/>
                <w:color w:val="000000"/>
                <w:sz w:val="22"/>
                <w:rtl/>
              </w:rPr>
            </w:pPr>
          </w:p>
        </w:tc>
        <w:tc>
          <w:tcPr>
            <w:tcW w:w="4530" w:type="dxa"/>
            <w:tcBorders>
              <w:top w:val="nil"/>
              <w:left w:val="nil"/>
              <w:bottom w:val="nil"/>
              <w:right w:val="nil"/>
            </w:tcBorders>
            <w:shd w:val="clear" w:color="auto" w:fill="auto"/>
            <w:vAlign w:val="bottom"/>
          </w:tcPr>
          <w:p w14:paraId="4763AEDD" w14:textId="77777777" w:rsidR="00C51390" w:rsidRPr="0025250D" w:rsidRDefault="00C51390" w:rsidP="00725A99">
            <w:pPr>
              <w:rPr>
                <w:rFonts w:cs="Times New Roman"/>
                <w:color w:val="000000"/>
                <w:szCs w:val="20"/>
              </w:rPr>
            </w:pPr>
          </w:p>
        </w:tc>
      </w:tr>
      <w:tr w:rsidR="00C51390" w:rsidRPr="0025250D" w14:paraId="76DE451C" w14:textId="77777777" w:rsidTr="007402D6">
        <w:tc>
          <w:tcPr>
            <w:tcW w:w="9060" w:type="dxa"/>
            <w:gridSpan w:val="2"/>
            <w:tcBorders>
              <w:top w:val="nil"/>
              <w:left w:val="nil"/>
              <w:bottom w:val="nil"/>
              <w:right w:val="nil"/>
            </w:tcBorders>
            <w:shd w:val="clear" w:color="auto" w:fill="auto"/>
            <w:vAlign w:val="bottom"/>
          </w:tcPr>
          <w:p w14:paraId="674255B1" w14:textId="7F37DE31" w:rsidR="00C51390" w:rsidRPr="0025250D" w:rsidRDefault="00C51390" w:rsidP="00C51390">
            <w:pPr>
              <w:jc w:val="center"/>
              <w:rPr>
                <w:rFonts w:cs="Times New Roman"/>
                <w:b/>
                <w:bCs/>
                <w:color w:val="000000"/>
                <w:szCs w:val="20"/>
              </w:rPr>
            </w:pPr>
            <w:r w:rsidRPr="0025250D">
              <w:rPr>
                <w:rFonts w:cs="Times New Roman"/>
                <w:b/>
                <w:bCs/>
                <w:color w:val="000000"/>
                <w:sz w:val="28"/>
                <w:szCs w:val="28"/>
              </w:rPr>
              <w:t>V</w:t>
            </w:r>
          </w:p>
        </w:tc>
      </w:tr>
      <w:tr w:rsidR="00725A99" w:rsidRPr="0025250D" w14:paraId="00DC8784" w14:textId="77777777" w:rsidTr="00725A99">
        <w:tc>
          <w:tcPr>
            <w:tcW w:w="4530" w:type="dxa"/>
            <w:tcBorders>
              <w:top w:val="nil"/>
              <w:left w:val="nil"/>
              <w:bottom w:val="nil"/>
              <w:right w:val="nil"/>
            </w:tcBorders>
            <w:shd w:val="clear" w:color="auto" w:fill="auto"/>
            <w:vAlign w:val="bottom"/>
          </w:tcPr>
          <w:p w14:paraId="4453032C" w14:textId="1C843AC7" w:rsidR="00725A99" w:rsidRPr="0025250D" w:rsidRDefault="00725A99" w:rsidP="00C51390">
            <w:pPr>
              <w:bidi/>
              <w:rPr>
                <w:rtl/>
              </w:rPr>
            </w:pPr>
            <w:r w:rsidRPr="0025250D">
              <w:rPr>
                <w:rFonts w:ascii="Calibri" w:hAnsi="Calibri" w:hint="cs"/>
                <w:color w:val="000000"/>
                <w:sz w:val="22"/>
                <w:rtl/>
              </w:rPr>
              <w:t>چشم‌اندازگرا</w:t>
            </w:r>
          </w:p>
        </w:tc>
        <w:tc>
          <w:tcPr>
            <w:tcW w:w="4530" w:type="dxa"/>
            <w:tcBorders>
              <w:top w:val="nil"/>
              <w:left w:val="nil"/>
              <w:bottom w:val="nil"/>
              <w:right w:val="nil"/>
            </w:tcBorders>
            <w:shd w:val="clear" w:color="auto" w:fill="auto"/>
            <w:vAlign w:val="bottom"/>
          </w:tcPr>
          <w:p w14:paraId="3FAD9290" w14:textId="5451C4E3" w:rsidR="00725A99" w:rsidRPr="0025250D" w:rsidRDefault="00725A99" w:rsidP="00725A99">
            <w:pPr>
              <w:rPr>
                <w:rFonts w:cs="Times New Roman"/>
                <w:rtl/>
              </w:rPr>
            </w:pPr>
            <w:r w:rsidRPr="0025250D">
              <w:rPr>
                <w:rFonts w:cs="Times New Roman"/>
                <w:color w:val="000000"/>
                <w:szCs w:val="20"/>
              </w:rPr>
              <w:t xml:space="preserve">Visionary </w:t>
            </w:r>
          </w:p>
        </w:tc>
      </w:tr>
      <w:tr w:rsidR="00725A99" w:rsidRPr="0025250D" w14:paraId="189B516F" w14:textId="77777777" w:rsidTr="00725A99">
        <w:tc>
          <w:tcPr>
            <w:tcW w:w="4530" w:type="dxa"/>
            <w:tcBorders>
              <w:top w:val="nil"/>
              <w:left w:val="nil"/>
              <w:bottom w:val="nil"/>
              <w:right w:val="nil"/>
            </w:tcBorders>
            <w:shd w:val="clear" w:color="auto" w:fill="auto"/>
            <w:vAlign w:val="bottom"/>
          </w:tcPr>
          <w:p w14:paraId="27478754" w14:textId="17CFA4BC" w:rsidR="00725A99" w:rsidRPr="0025250D" w:rsidRDefault="00725A99" w:rsidP="00C51390">
            <w:pPr>
              <w:bidi/>
              <w:rPr>
                <w:rtl/>
              </w:rPr>
            </w:pPr>
            <w:r w:rsidRPr="0025250D">
              <w:rPr>
                <w:rFonts w:ascii="Calibri" w:hAnsi="Calibri" w:hint="cs"/>
                <w:color w:val="000000"/>
                <w:sz w:val="22"/>
                <w:rtl/>
              </w:rPr>
              <w:t>چشم‌اندازسازی</w:t>
            </w:r>
          </w:p>
        </w:tc>
        <w:tc>
          <w:tcPr>
            <w:tcW w:w="4530" w:type="dxa"/>
            <w:tcBorders>
              <w:top w:val="nil"/>
              <w:left w:val="nil"/>
              <w:bottom w:val="nil"/>
              <w:right w:val="nil"/>
            </w:tcBorders>
            <w:shd w:val="clear" w:color="auto" w:fill="auto"/>
            <w:vAlign w:val="bottom"/>
          </w:tcPr>
          <w:p w14:paraId="7E1F7A14" w14:textId="5FFB17A0" w:rsidR="00725A99" w:rsidRPr="0025250D" w:rsidRDefault="00725A99" w:rsidP="00725A99">
            <w:pPr>
              <w:rPr>
                <w:rFonts w:cs="Times New Roman"/>
                <w:rtl/>
              </w:rPr>
            </w:pPr>
            <w:r w:rsidRPr="0025250D">
              <w:rPr>
                <w:rFonts w:cs="Times New Roman"/>
                <w:color w:val="000000"/>
                <w:szCs w:val="20"/>
              </w:rPr>
              <w:t xml:space="preserve">Visioning </w:t>
            </w:r>
          </w:p>
        </w:tc>
      </w:tr>
      <w:tr w:rsidR="00C51390" w:rsidRPr="0025250D" w14:paraId="0BE4DD95" w14:textId="77777777" w:rsidTr="00725A99">
        <w:tc>
          <w:tcPr>
            <w:tcW w:w="4530" w:type="dxa"/>
            <w:tcBorders>
              <w:top w:val="nil"/>
              <w:left w:val="nil"/>
              <w:bottom w:val="nil"/>
              <w:right w:val="nil"/>
            </w:tcBorders>
            <w:shd w:val="clear" w:color="auto" w:fill="auto"/>
            <w:vAlign w:val="bottom"/>
          </w:tcPr>
          <w:p w14:paraId="5AE41BEB" w14:textId="77777777" w:rsidR="00C51390" w:rsidRPr="0025250D" w:rsidRDefault="00C51390" w:rsidP="00C51390">
            <w:pPr>
              <w:rPr>
                <w:rFonts w:ascii="Calibri" w:hAnsi="Calibri"/>
                <w:color w:val="000000"/>
                <w:sz w:val="22"/>
                <w:rtl/>
              </w:rPr>
            </w:pPr>
          </w:p>
        </w:tc>
        <w:tc>
          <w:tcPr>
            <w:tcW w:w="4530" w:type="dxa"/>
            <w:tcBorders>
              <w:top w:val="nil"/>
              <w:left w:val="nil"/>
              <w:bottom w:val="nil"/>
              <w:right w:val="nil"/>
            </w:tcBorders>
            <w:shd w:val="clear" w:color="auto" w:fill="auto"/>
            <w:vAlign w:val="bottom"/>
          </w:tcPr>
          <w:p w14:paraId="7C0FF988" w14:textId="77777777" w:rsidR="00C51390" w:rsidRPr="0025250D" w:rsidRDefault="00C51390" w:rsidP="00725A99">
            <w:pPr>
              <w:rPr>
                <w:rFonts w:cs="Times New Roman"/>
                <w:color w:val="000000"/>
                <w:szCs w:val="20"/>
              </w:rPr>
            </w:pPr>
          </w:p>
        </w:tc>
      </w:tr>
      <w:tr w:rsidR="00C51390" w:rsidRPr="0025250D" w14:paraId="34FF81BA" w14:textId="77777777" w:rsidTr="00D979A3">
        <w:tc>
          <w:tcPr>
            <w:tcW w:w="9060" w:type="dxa"/>
            <w:gridSpan w:val="2"/>
            <w:tcBorders>
              <w:top w:val="nil"/>
              <w:left w:val="nil"/>
              <w:bottom w:val="nil"/>
              <w:right w:val="nil"/>
            </w:tcBorders>
            <w:shd w:val="clear" w:color="auto" w:fill="auto"/>
            <w:vAlign w:val="bottom"/>
          </w:tcPr>
          <w:p w14:paraId="126E8560" w14:textId="70120ADE" w:rsidR="00C51390" w:rsidRPr="0025250D" w:rsidRDefault="00C51390" w:rsidP="00C51390">
            <w:pPr>
              <w:jc w:val="center"/>
              <w:rPr>
                <w:rFonts w:cs="Times New Roman"/>
                <w:b/>
                <w:bCs/>
                <w:color w:val="000000"/>
                <w:szCs w:val="20"/>
              </w:rPr>
            </w:pPr>
            <w:r w:rsidRPr="0025250D">
              <w:rPr>
                <w:rFonts w:cs="Times New Roman"/>
                <w:b/>
                <w:bCs/>
                <w:color w:val="000000"/>
                <w:sz w:val="28"/>
                <w:szCs w:val="28"/>
              </w:rPr>
              <w:t>W</w:t>
            </w:r>
          </w:p>
        </w:tc>
      </w:tr>
      <w:tr w:rsidR="00725A99" w:rsidRPr="0025250D" w14:paraId="528709AD" w14:textId="77777777" w:rsidTr="00725A99">
        <w:tc>
          <w:tcPr>
            <w:tcW w:w="4530" w:type="dxa"/>
            <w:tcBorders>
              <w:top w:val="nil"/>
              <w:left w:val="nil"/>
              <w:bottom w:val="nil"/>
              <w:right w:val="nil"/>
            </w:tcBorders>
            <w:shd w:val="clear" w:color="auto" w:fill="auto"/>
            <w:vAlign w:val="bottom"/>
          </w:tcPr>
          <w:p w14:paraId="198FCA72" w14:textId="13EF7BDE" w:rsidR="00725A99" w:rsidRPr="0025250D" w:rsidRDefault="00725A99" w:rsidP="00C51390">
            <w:pPr>
              <w:bidi/>
              <w:rPr>
                <w:rtl/>
              </w:rPr>
            </w:pPr>
            <w:r w:rsidRPr="0025250D">
              <w:rPr>
                <w:rFonts w:ascii="Calibri" w:hAnsi="Calibri" w:hint="cs"/>
                <w:color w:val="000000"/>
                <w:sz w:val="22"/>
                <w:rtl/>
              </w:rPr>
              <w:t>نشانک‌های ضیف</w:t>
            </w:r>
          </w:p>
        </w:tc>
        <w:tc>
          <w:tcPr>
            <w:tcW w:w="4530" w:type="dxa"/>
            <w:tcBorders>
              <w:top w:val="nil"/>
              <w:left w:val="nil"/>
              <w:bottom w:val="nil"/>
              <w:right w:val="nil"/>
            </w:tcBorders>
            <w:shd w:val="clear" w:color="auto" w:fill="auto"/>
            <w:vAlign w:val="bottom"/>
          </w:tcPr>
          <w:p w14:paraId="3C5636F4" w14:textId="3EC62E4A" w:rsidR="00725A99" w:rsidRPr="0025250D" w:rsidRDefault="00725A99" w:rsidP="00725A99">
            <w:pPr>
              <w:rPr>
                <w:rFonts w:cs="Times New Roman"/>
                <w:rtl/>
              </w:rPr>
            </w:pPr>
            <w:r w:rsidRPr="0025250D">
              <w:rPr>
                <w:rFonts w:cs="Times New Roman"/>
                <w:color w:val="000000"/>
                <w:szCs w:val="20"/>
              </w:rPr>
              <w:t>Weak Signals</w:t>
            </w:r>
          </w:p>
        </w:tc>
      </w:tr>
      <w:tr w:rsidR="00725A99" w:rsidRPr="0025250D" w14:paraId="6796813F" w14:textId="77777777" w:rsidTr="00725A99">
        <w:tc>
          <w:tcPr>
            <w:tcW w:w="4530" w:type="dxa"/>
            <w:tcBorders>
              <w:top w:val="nil"/>
              <w:left w:val="nil"/>
              <w:bottom w:val="nil"/>
              <w:right w:val="nil"/>
            </w:tcBorders>
            <w:shd w:val="clear" w:color="auto" w:fill="auto"/>
            <w:vAlign w:val="bottom"/>
          </w:tcPr>
          <w:p w14:paraId="218B264A" w14:textId="656FB6A2" w:rsidR="00725A99" w:rsidRPr="0025250D" w:rsidRDefault="00725A99" w:rsidP="00C51390">
            <w:pPr>
              <w:bidi/>
              <w:rPr>
                <w:rtl/>
              </w:rPr>
            </w:pPr>
            <w:r w:rsidRPr="0025250D">
              <w:rPr>
                <w:rFonts w:ascii="Calibri" w:hAnsi="Calibri" w:hint="cs"/>
                <w:color w:val="000000"/>
                <w:sz w:val="22"/>
                <w:rtl/>
              </w:rPr>
              <w:t xml:space="preserve">تخم مرغ شانسی </w:t>
            </w:r>
          </w:p>
        </w:tc>
        <w:tc>
          <w:tcPr>
            <w:tcW w:w="4530" w:type="dxa"/>
            <w:tcBorders>
              <w:top w:val="nil"/>
              <w:left w:val="nil"/>
              <w:bottom w:val="nil"/>
              <w:right w:val="nil"/>
            </w:tcBorders>
            <w:shd w:val="clear" w:color="auto" w:fill="auto"/>
            <w:vAlign w:val="bottom"/>
          </w:tcPr>
          <w:p w14:paraId="7248A2B2" w14:textId="53EAAC91" w:rsidR="00725A99" w:rsidRPr="0025250D" w:rsidRDefault="00725A99" w:rsidP="00725A99">
            <w:pPr>
              <w:rPr>
                <w:rFonts w:cs="Times New Roman"/>
                <w:rtl/>
              </w:rPr>
            </w:pPr>
            <w:r w:rsidRPr="0025250D">
              <w:rPr>
                <w:rFonts w:cs="Times New Roman"/>
                <w:color w:val="000000"/>
                <w:szCs w:val="20"/>
              </w:rPr>
              <w:t>Weeble</w:t>
            </w:r>
          </w:p>
        </w:tc>
      </w:tr>
      <w:tr w:rsidR="00725A99" w:rsidRPr="0025250D" w14:paraId="0F19CEBB" w14:textId="77777777" w:rsidTr="00725A99">
        <w:tc>
          <w:tcPr>
            <w:tcW w:w="4530" w:type="dxa"/>
            <w:tcBorders>
              <w:top w:val="nil"/>
              <w:left w:val="nil"/>
              <w:bottom w:val="nil"/>
              <w:right w:val="nil"/>
            </w:tcBorders>
            <w:shd w:val="clear" w:color="auto" w:fill="auto"/>
            <w:vAlign w:val="bottom"/>
          </w:tcPr>
          <w:p w14:paraId="13E92E06" w14:textId="09BE4D88" w:rsidR="00725A99" w:rsidRPr="0025250D" w:rsidRDefault="00725A99" w:rsidP="00C51390">
            <w:pPr>
              <w:bidi/>
              <w:rPr>
                <w:rtl/>
              </w:rPr>
            </w:pPr>
            <w:r w:rsidRPr="0025250D">
              <w:rPr>
                <w:rFonts w:ascii="Calibri" w:hAnsi="Calibri"/>
                <w:color w:val="000000"/>
                <w:sz w:val="22"/>
                <w:rtl/>
              </w:rPr>
              <w:t>شگفتی ساز</w:t>
            </w:r>
          </w:p>
        </w:tc>
        <w:tc>
          <w:tcPr>
            <w:tcW w:w="4530" w:type="dxa"/>
            <w:tcBorders>
              <w:top w:val="nil"/>
              <w:left w:val="nil"/>
              <w:bottom w:val="nil"/>
              <w:right w:val="nil"/>
            </w:tcBorders>
            <w:shd w:val="clear" w:color="auto" w:fill="auto"/>
            <w:vAlign w:val="bottom"/>
          </w:tcPr>
          <w:p w14:paraId="73975160" w14:textId="00A1BE0E" w:rsidR="00725A99" w:rsidRPr="0025250D" w:rsidRDefault="00C51390" w:rsidP="00725A99">
            <w:pPr>
              <w:rPr>
                <w:rFonts w:cs="Times New Roman"/>
                <w:rtl/>
              </w:rPr>
            </w:pPr>
            <w:r w:rsidRPr="0025250D">
              <w:rPr>
                <w:rFonts w:cs="Times New Roman"/>
                <w:color w:val="000000"/>
                <w:szCs w:val="20"/>
              </w:rPr>
              <w:t>W</w:t>
            </w:r>
            <w:r w:rsidR="00725A99" w:rsidRPr="0025250D">
              <w:rPr>
                <w:rFonts w:cs="Times New Roman"/>
                <w:color w:val="000000"/>
                <w:szCs w:val="20"/>
              </w:rPr>
              <w:t>ild card</w:t>
            </w:r>
          </w:p>
        </w:tc>
      </w:tr>
      <w:tr w:rsidR="00C51390" w:rsidRPr="0025250D" w14:paraId="386B7BFE" w14:textId="77777777" w:rsidTr="00725A99">
        <w:tc>
          <w:tcPr>
            <w:tcW w:w="4530" w:type="dxa"/>
            <w:tcBorders>
              <w:top w:val="nil"/>
              <w:left w:val="nil"/>
              <w:bottom w:val="nil"/>
              <w:right w:val="nil"/>
            </w:tcBorders>
            <w:shd w:val="clear" w:color="auto" w:fill="auto"/>
            <w:vAlign w:val="bottom"/>
          </w:tcPr>
          <w:p w14:paraId="237CC5DC" w14:textId="77777777" w:rsidR="00C51390" w:rsidRPr="0025250D" w:rsidRDefault="00C51390" w:rsidP="00C51390">
            <w:pPr>
              <w:rPr>
                <w:rFonts w:ascii="Calibri" w:hAnsi="Calibri"/>
                <w:color w:val="000000"/>
                <w:sz w:val="22"/>
                <w:rtl/>
              </w:rPr>
            </w:pPr>
          </w:p>
        </w:tc>
        <w:tc>
          <w:tcPr>
            <w:tcW w:w="4530" w:type="dxa"/>
            <w:tcBorders>
              <w:top w:val="nil"/>
              <w:left w:val="nil"/>
              <w:bottom w:val="nil"/>
              <w:right w:val="nil"/>
            </w:tcBorders>
            <w:shd w:val="clear" w:color="auto" w:fill="auto"/>
            <w:vAlign w:val="bottom"/>
          </w:tcPr>
          <w:p w14:paraId="04BF429F" w14:textId="77777777" w:rsidR="00C51390" w:rsidRPr="0025250D" w:rsidRDefault="00C51390" w:rsidP="00725A99">
            <w:pPr>
              <w:rPr>
                <w:rFonts w:cs="Times New Roman"/>
                <w:color w:val="000000"/>
                <w:szCs w:val="20"/>
              </w:rPr>
            </w:pPr>
          </w:p>
        </w:tc>
      </w:tr>
      <w:tr w:rsidR="00C51390" w:rsidRPr="0025250D" w14:paraId="1450DAC5" w14:textId="77777777" w:rsidTr="00B91F79">
        <w:tc>
          <w:tcPr>
            <w:tcW w:w="9060" w:type="dxa"/>
            <w:gridSpan w:val="2"/>
            <w:tcBorders>
              <w:top w:val="nil"/>
              <w:left w:val="nil"/>
              <w:bottom w:val="nil"/>
              <w:right w:val="nil"/>
            </w:tcBorders>
            <w:shd w:val="clear" w:color="auto" w:fill="auto"/>
            <w:vAlign w:val="bottom"/>
          </w:tcPr>
          <w:p w14:paraId="1F3D78D2" w14:textId="24C33697" w:rsidR="00C51390" w:rsidRPr="0025250D" w:rsidRDefault="00C51390" w:rsidP="00C51390">
            <w:pPr>
              <w:jc w:val="center"/>
              <w:rPr>
                <w:rFonts w:cs="Times New Roman"/>
                <w:b/>
                <w:bCs/>
                <w:color w:val="000000"/>
                <w:szCs w:val="20"/>
              </w:rPr>
            </w:pPr>
            <w:r w:rsidRPr="0025250D">
              <w:rPr>
                <w:rFonts w:cs="Times New Roman"/>
                <w:b/>
                <w:bCs/>
                <w:color w:val="000000"/>
                <w:sz w:val="28"/>
                <w:szCs w:val="28"/>
              </w:rPr>
              <w:t>Z</w:t>
            </w:r>
          </w:p>
        </w:tc>
      </w:tr>
      <w:tr w:rsidR="00725A99" w14:paraId="6FA2B23B" w14:textId="77777777" w:rsidTr="00725A99">
        <w:tc>
          <w:tcPr>
            <w:tcW w:w="4530" w:type="dxa"/>
            <w:tcBorders>
              <w:top w:val="nil"/>
              <w:left w:val="nil"/>
              <w:bottom w:val="nil"/>
              <w:right w:val="nil"/>
            </w:tcBorders>
            <w:shd w:val="clear" w:color="auto" w:fill="auto"/>
            <w:vAlign w:val="bottom"/>
          </w:tcPr>
          <w:p w14:paraId="6C1CA357" w14:textId="64B1045D" w:rsidR="00725A99" w:rsidRPr="0025250D" w:rsidRDefault="00725A99" w:rsidP="00C51390">
            <w:pPr>
              <w:bidi/>
              <w:rPr>
                <w:rtl/>
              </w:rPr>
            </w:pPr>
            <w:r w:rsidRPr="0025250D">
              <w:rPr>
                <w:rFonts w:ascii="Calibri" w:hAnsi="Calibri" w:hint="cs"/>
                <w:color w:val="000000"/>
                <w:sz w:val="22"/>
                <w:rtl/>
              </w:rPr>
              <w:t>مجموع صفر</w:t>
            </w:r>
          </w:p>
        </w:tc>
        <w:tc>
          <w:tcPr>
            <w:tcW w:w="4530" w:type="dxa"/>
            <w:tcBorders>
              <w:top w:val="nil"/>
              <w:left w:val="nil"/>
              <w:bottom w:val="nil"/>
              <w:right w:val="nil"/>
            </w:tcBorders>
            <w:shd w:val="clear" w:color="auto" w:fill="auto"/>
            <w:vAlign w:val="bottom"/>
          </w:tcPr>
          <w:p w14:paraId="21B31E6B" w14:textId="10A34C9A" w:rsidR="00725A99" w:rsidRPr="00C51390" w:rsidRDefault="00725A99" w:rsidP="00725A99">
            <w:pPr>
              <w:rPr>
                <w:rFonts w:cs="Times New Roman"/>
                <w:rtl/>
              </w:rPr>
            </w:pPr>
            <w:r w:rsidRPr="0025250D">
              <w:rPr>
                <w:rFonts w:cs="Times New Roman"/>
                <w:color w:val="000000"/>
                <w:szCs w:val="20"/>
              </w:rPr>
              <w:t>Zero-sum</w:t>
            </w:r>
          </w:p>
        </w:tc>
      </w:tr>
    </w:tbl>
    <w:p w14:paraId="26647110" w14:textId="77777777" w:rsidR="00725A99" w:rsidRPr="00EF1FA0" w:rsidRDefault="00725A99" w:rsidP="00B714DC">
      <w:pPr>
        <w:rPr>
          <w:rtl/>
        </w:rPr>
      </w:pPr>
    </w:p>
    <w:p w14:paraId="447FEF18" w14:textId="77777777" w:rsidR="00537CC8" w:rsidRPr="00537CC8" w:rsidRDefault="00537CC8" w:rsidP="00537CC8"/>
    <w:p w14:paraId="53106F71" w14:textId="77777777" w:rsidR="00537CC8" w:rsidRPr="00537CC8" w:rsidRDefault="00537CC8" w:rsidP="00537CC8">
      <w:pPr>
        <w:rPr>
          <w:rtl/>
        </w:rPr>
      </w:pPr>
    </w:p>
    <w:p w14:paraId="38902389" w14:textId="77777777" w:rsidR="00537CC8" w:rsidRPr="00537CC8" w:rsidRDefault="00537CC8" w:rsidP="00537CC8">
      <w:pPr>
        <w:rPr>
          <w:rtl/>
        </w:rPr>
      </w:pPr>
    </w:p>
    <w:p w14:paraId="0CAFFE50" w14:textId="77777777" w:rsidR="00537CC8" w:rsidRPr="00537CC8" w:rsidRDefault="00537CC8" w:rsidP="00537CC8">
      <w:pPr>
        <w:rPr>
          <w:rtl/>
        </w:rPr>
      </w:pPr>
    </w:p>
    <w:p w14:paraId="56BBF7BC" w14:textId="77777777" w:rsidR="00537CC8" w:rsidRPr="00537CC8" w:rsidRDefault="00537CC8" w:rsidP="00537CC8">
      <w:pPr>
        <w:rPr>
          <w:rtl/>
        </w:rPr>
      </w:pPr>
    </w:p>
    <w:p w14:paraId="041BDBBD" w14:textId="77777777" w:rsidR="00537CC8" w:rsidRPr="00537CC8" w:rsidRDefault="00537CC8" w:rsidP="00537CC8">
      <w:pPr>
        <w:rPr>
          <w:rtl/>
        </w:rPr>
      </w:pPr>
    </w:p>
    <w:p w14:paraId="3BC99F7A" w14:textId="77777777" w:rsidR="00537CC8" w:rsidRPr="00537CC8" w:rsidRDefault="00537CC8" w:rsidP="00537CC8">
      <w:pPr>
        <w:rPr>
          <w:rtl/>
        </w:rPr>
      </w:pPr>
    </w:p>
    <w:p w14:paraId="40F7DF8A" w14:textId="77777777" w:rsidR="00537CC8" w:rsidRPr="00537CC8" w:rsidRDefault="00537CC8" w:rsidP="00537CC8">
      <w:pPr>
        <w:rPr>
          <w:rtl/>
        </w:rPr>
      </w:pPr>
    </w:p>
    <w:p w14:paraId="00479145" w14:textId="77777777" w:rsidR="00537CC8" w:rsidRPr="00537CC8" w:rsidRDefault="00537CC8" w:rsidP="00537CC8">
      <w:pPr>
        <w:rPr>
          <w:rtl/>
        </w:rPr>
      </w:pPr>
    </w:p>
    <w:p w14:paraId="05C4CD8F" w14:textId="239C8371" w:rsidR="00715CE3" w:rsidRPr="00B219EF" w:rsidRDefault="00715CE3"/>
    <w:sectPr w:rsidR="00715CE3" w:rsidRPr="00B219EF" w:rsidSect="00C12260">
      <w:footnotePr>
        <w:numRestart w:val="eachPage"/>
      </w:footnotePr>
      <w:pgSz w:w="11906" w:h="16838"/>
      <w:pgMar w:top="1418" w:right="1418" w:bottom="1418" w:left="1418" w:header="720" w:footer="720" w:gutter="0"/>
      <w:cols w:space="720"/>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5D1B394" w14:textId="77777777" w:rsidR="007A207F" w:rsidRDefault="007A207F" w:rsidP="00B219EF">
      <w:pPr>
        <w:spacing w:after="0"/>
      </w:pPr>
      <w:r>
        <w:separator/>
      </w:r>
    </w:p>
  </w:endnote>
  <w:endnote w:type="continuationSeparator" w:id="0">
    <w:p w14:paraId="245BDF8B" w14:textId="77777777" w:rsidR="007A207F" w:rsidRDefault="007A207F" w:rsidP="00B219E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B Nazanin">
    <w:panose1 w:val="00000400000000000000"/>
    <w:charset w:val="B2"/>
    <w:family w:val="auto"/>
    <w:pitch w:val="variable"/>
    <w:sig w:usb0="00002000" w:usb1="80000000" w:usb2="00000008" w:usb3="00000000" w:csb0="00000040" w:csb1="00000000"/>
  </w:font>
  <w:font w:name="Arial">
    <w:panose1 w:val="020B0604020202020204"/>
    <w:charset w:val="00"/>
    <w:family w:val="swiss"/>
    <w:pitch w:val="variable"/>
    <w:sig w:usb0="E0002EFF" w:usb1="C000785B" w:usb2="00000009" w:usb3="00000000" w:csb0="000001FF" w:csb1="00000000"/>
  </w:font>
  <w:font w:name="B Zar">
    <w:panose1 w:val="00000400000000000000"/>
    <w:charset w:val="B2"/>
    <w:family w:val="auto"/>
    <w:pitch w:val="variable"/>
    <w:sig w:usb0="00002001" w:usb1="80000000" w:usb2="00000008" w:usb3="00000000" w:csb0="00000040" w:csb1="00000000"/>
  </w:font>
  <w:font w:name="Times New Roman Bold">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Sabon LT Std">
    <w:altName w:val="Times New Roman"/>
    <w:panose1 w:val="00000000000000000000"/>
    <w:charset w:val="00"/>
    <w:family w:val="roman"/>
    <w:notTrueType/>
    <w:pitch w:val="default"/>
    <w:sig w:usb0="00000003" w:usb1="00000000" w:usb2="00000000" w:usb3="00000000" w:csb0="00000001" w:csb1="00000000"/>
  </w:font>
  <w:font w:name="Bliss">
    <w:altName w:val="Arial"/>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Palatino Linotype">
    <w:panose1 w:val="02040502050505030304"/>
    <w:charset w:val="00"/>
    <w:family w:val="roman"/>
    <w:pitch w:val="variable"/>
    <w:sig w:usb0="E0000287" w:usb1="4000001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37B1D6B" w14:textId="77777777" w:rsidR="007A207F" w:rsidRDefault="007A207F" w:rsidP="00B219EF">
      <w:pPr>
        <w:spacing w:after="0"/>
      </w:pPr>
      <w:r>
        <w:separator/>
      </w:r>
    </w:p>
  </w:footnote>
  <w:footnote w:type="continuationSeparator" w:id="0">
    <w:p w14:paraId="63C8D9D1" w14:textId="77777777" w:rsidR="007A207F" w:rsidRDefault="007A207F" w:rsidP="00B219EF">
      <w:pPr>
        <w:spacing w:after="0"/>
      </w:pPr>
      <w:r>
        <w:continuationSeparator/>
      </w:r>
    </w:p>
  </w:footnote>
  <w:footnote w:id="1">
    <w:p w14:paraId="46D14395" w14:textId="77777777" w:rsidR="00B47FF5" w:rsidRDefault="00B47FF5" w:rsidP="00B219EF">
      <w:pPr>
        <w:pStyle w:val="FootnoteText"/>
      </w:pPr>
      <w:r>
        <w:rPr>
          <w:rStyle w:val="FootnoteReference"/>
        </w:rPr>
        <w:footnoteRef/>
      </w:r>
      <w:r>
        <w:rPr>
          <w:rtl/>
        </w:rPr>
        <w:t xml:space="preserve"> </w:t>
      </w:r>
      <w:r w:rsidRPr="00FC1170">
        <w:t>Sir Ernest Shackleton</w:t>
      </w:r>
    </w:p>
  </w:footnote>
  <w:footnote w:id="2">
    <w:p w14:paraId="651A8591" w14:textId="77777777" w:rsidR="00B47FF5" w:rsidRDefault="00B47FF5" w:rsidP="00B219EF">
      <w:pPr>
        <w:pStyle w:val="FootnoteText"/>
      </w:pPr>
      <w:r>
        <w:rPr>
          <w:rStyle w:val="FootnoteReference"/>
        </w:rPr>
        <w:footnoteRef/>
      </w:r>
      <w:r>
        <w:rPr>
          <w:rtl/>
        </w:rPr>
        <w:t xml:space="preserve"> </w:t>
      </w:r>
      <w:r w:rsidRPr="00FC1170">
        <w:t>Trans-Antarctic Expedition</w:t>
      </w:r>
    </w:p>
  </w:footnote>
  <w:footnote w:id="3">
    <w:p w14:paraId="4582EEBB" w14:textId="77777777" w:rsidR="00B47FF5" w:rsidRDefault="00B47FF5" w:rsidP="00B219EF">
      <w:pPr>
        <w:pStyle w:val="FootnoteText"/>
      </w:pPr>
      <w:r>
        <w:rPr>
          <w:rStyle w:val="FootnoteReference"/>
        </w:rPr>
        <w:footnoteRef/>
      </w:r>
      <w:r>
        <w:rPr>
          <w:rtl/>
        </w:rPr>
        <w:t xml:space="preserve"> </w:t>
      </w:r>
      <w:r w:rsidRPr="00FC1170">
        <w:t>Elephant Island</w:t>
      </w:r>
    </w:p>
  </w:footnote>
  <w:footnote w:id="4">
    <w:p w14:paraId="4B0D5AB8" w14:textId="77777777" w:rsidR="00B47FF5" w:rsidRDefault="00B47FF5" w:rsidP="00B219EF">
      <w:pPr>
        <w:pStyle w:val="FootnoteText"/>
      </w:pPr>
      <w:r>
        <w:rPr>
          <w:rStyle w:val="FootnoteReference"/>
        </w:rPr>
        <w:footnoteRef/>
      </w:r>
      <w:r>
        <w:rPr>
          <w:rtl/>
        </w:rPr>
        <w:t xml:space="preserve"> </w:t>
      </w:r>
      <w:r w:rsidRPr="00D60D77">
        <w:t>The Foresight Guide</w:t>
      </w:r>
    </w:p>
  </w:footnote>
  <w:footnote w:id="5">
    <w:p w14:paraId="556888F8" w14:textId="6CA27895" w:rsidR="00740D66" w:rsidRDefault="00740D66">
      <w:pPr>
        <w:pStyle w:val="FootnoteText"/>
      </w:pPr>
      <w:r>
        <w:rPr>
          <w:rStyle w:val="FootnoteReference"/>
        </w:rPr>
        <w:footnoteRef/>
      </w:r>
      <w:r>
        <w:t xml:space="preserve"> Foresight </w:t>
      </w:r>
    </w:p>
  </w:footnote>
  <w:footnote w:id="6">
    <w:p w14:paraId="22638512" w14:textId="4D5A06B1" w:rsidR="0008287D" w:rsidRDefault="0008287D">
      <w:pPr>
        <w:pStyle w:val="FootnoteText"/>
      </w:pPr>
      <w:r>
        <w:rPr>
          <w:rStyle w:val="FootnoteReference"/>
        </w:rPr>
        <w:footnoteRef/>
      </w:r>
      <w:r>
        <w:t xml:space="preserve"> Adaptive foresight </w:t>
      </w:r>
    </w:p>
  </w:footnote>
  <w:footnote w:id="7">
    <w:p w14:paraId="7D0A6941" w14:textId="57B00D5F" w:rsidR="0008287D" w:rsidRDefault="0008287D">
      <w:pPr>
        <w:pStyle w:val="FootnoteText"/>
        <w:rPr>
          <w:rtl/>
        </w:rPr>
      </w:pPr>
      <w:r>
        <w:rPr>
          <w:rStyle w:val="FootnoteReference"/>
        </w:rPr>
        <w:footnoteRef/>
      </w:r>
      <w:r>
        <w:t xml:space="preserve"> Anticipate </w:t>
      </w:r>
    </w:p>
  </w:footnote>
  <w:footnote w:id="8">
    <w:p w14:paraId="5A5E1611" w14:textId="77777777" w:rsidR="00B47FF5" w:rsidRDefault="00B47FF5" w:rsidP="00B219EF">
      <w:pPr>
        <w:pStyle w:val="FootnoteText"/>
      </w:pPr>
      <w:r>
        <w:rPr>
          <w:rStyle w:val="FootnoteReference"/>
        </w:rPr>
        <w:footnoteRef/>
      </w:r>
      <w:r>
        <w:rPr>
          <w:rtl/>
        </w:rPr>
        <w:t xml:space="preserve"> </w:t>
      </w:r>
      <w:r w:rsidRPr="00D60D77">
        <w:t>Jay Gary</w:t>
      </w:r>
    </w:p>
  </w:footnote>
  <w:footnote w:id="9">
    <w:p w14:paraId="6681601E" w14:textId="77777777" w:rsidR="00B47FF5" w:rsidRDefault="00B47FF5" w:rsidP="00B219EF">
      <w:pPr>
        <w:pStyle w:val="FootnoteText"/>
      </w:pPr>
      <w:r>
        <w:rPr>
          <w:rStyle w:val="FootnoteReference"/>
        </w:rPr>
        <w:footnoteRef/>
      </w:r>
      <w:r>
        <w:rPr>
          <w:rtl/>
        </w:rPr>
        <w:t xml:space="preserve"> </w:t>
      </w:r>
      <w:r w:rsidRPr="00D60D77">
        <w:t>Association of Professional Futurists</w:t>
      </w:r>
    </w:p>
  </w:footnote>
  <w:footnote w:id="10">
    <w:p w14:paraId="02900E7D" w14:textId="42F7D8F8" w:rsidR="0008287D" w:rsidRDefault="0008287D">
      <w:pPr>
        <w:pStyle w:val="FootnoteText"/>
      </w:pPr>
      <w:r>
        <w:rPr>
          <w:rStyle w:val="FootnoteReference"/>
        </w:rPr>
        <w:footnoteRef/>
      </w:r>
      <w:r>
        <w:t xml:space="preserve"> </w:t>
      </w:r>
      <w:r w:rsidRPr="0008287D">
        <w:t>Self-leaders</w:t>
      </w:r>
      <w:r>
        <w:t xml:space="preserve"> </w:t>
      </w:r>
    </w:p>
  </w:footnote>
  <w:footnote w:id="11">
    <w:p w14:paraId="0C5145DA" w14:textId="6201CF9D" w:rsidR="00B47FF5" w:rsidRDefault="00B47FF5" w:rsidP="00B219EF">
      <w:pPr>
        <w:pStyle w:val="FootnoteText"/>
      </w:pPr>
      <w:r>
        <w:rPr>
          <w:rStyle w:val="FootnoteReference"/>
        </w:rPr>
        <w:footnoteRef/>
      </w:r>
      <w:r>
        <w:rPr>
          <w:rtl/>
        </w:rPr>
        <w:t xml:space="preserve"> </w:t>
      </w:r>
      <w:r w:rsidRPr="00D60D77">
        <w:t>Personal foresight</w:t>
      </w:r>
    </w:p>
  </w:footnote>
  <w:footnote w:id="12">
    <w:p w14:paraId="24F185B4" w14:textId="1C647631" w:rsidR="00B47FF5" w:rsidRDefault="00B47FF5" w:rsidP="00B219EF">
      <w:pPr>
        <w:pStyle w:val="FootnoteText"/>
      </w:pPr>
      <w:r>
        <w:rPr>
          <w:rStyle w:val="FootnoteReference"/>
        </w:rPr>
        <w:footnoteRef/>
      </w:r>
      <w:r>
        <w:rPr>
          <w:rtl/>
        </w:rPr>
        <w:t xml:space="preserve"> </w:t>
      </w:r>
      <w:r w:rsidRPr="00D60D77">
        <w:t>Departmental foresight</w:t>
      </w:r>
    </w:p>
  </w:footnote>
  <w:footnote w:id="13">
    <w:p w14:paraId="11166458" w14:textId="53D6A4CC" w:rsidR="0008287D" w:rsidRDefault="0008287D">
      <w:pPr>
        <w:pStyle w:val="FootnoteText"/>
        <w:rPr>
          <w:rtl/>
        </w:rPr>
      </w:pPr>
      <w:r>
        <w:rPr>
          <w:rStyle w:val="FootnoteReference"/>
        </w:rPr>
        <w:footnoteRef/>
      </w:r>
      <w:r>
        <w:t xml:space="preserve"> </w:t>
      </w:r>
      <w:r w:rsidRPr="0008287D">
        <w:t>Big Picture Foresight</w:t>
      </w:r>
    </w:p>
  </w:footnote>
  <w:footnote w:id="14">
    <w:p w14:paraId="60A30522" w14:textId="6A81A027" w:rsidR="00B47FF5" w:rsidRDefault="00B47FF5" w:rsidP="00B219EF">
      <w:pPr>
        <w:pStyle w:val="FootnoteText"/>
      </w:pPr>
      <w:r>
        <w:rPr>
          <w:rStyle w:val="FootnoteReference"/>
        </w:rPr>
        <w:footnoteRef/>
      </w:r>
      <w:r>
        <w:rPr>
          <w:rtl/>
        </w:rPr>
        <w:t xml:space="preserve"> </w:t>
      </w:r>
      <w:r w:rsidRPr="00FA0733">
        <w:t>Futures thinking</w:t>
      </w:r>
    </w:p>
  </w:footnote>
  <w:footnote w:id="15">
    <w:p w14:paraId="6908D2C6" w14:textId="6E467910" w:rsidR="00B47FF5" w:rsidRDefault="00B47FF5" w:rsidP="00B219EF">
      <w:pPr>
        <w:pStyle w:val="FootnoteText"/>
      </w:pPr>
      <w:r>
        <w:rPr>
          <w:rStyle w:val="FootnoteReference"/>
        </w:rPr>
        <w:footnoteRef/>
      </w:r>
      <w:r>
        <w:rPr>
          <w:rtl/>
        </w:rPr>
        <w:t xml:space="preserve"> </w:t>
      </w:r>
      <w:r w:rsidRPr="00FA0733">
        <w:t>Universal</w:t>
      </w:r>
    </w:p>
  </w:footnote>
  <w:footnote w:id="16">
    <w:p w14:paraId="128AE593" w14:textId="77777777" w:rsidR="00B47FF5" w:rsidRDefault="00B47FF5" w:rsidP="00B219EF">
      <w:pPr>
        <w:pStyle w:val="FootnoteText"/>
      </w:pPr>
      <w:r>
        <w:rPr>
          <w:rStyle w:val="FootnoteReference"/>
        </w:rPr>
        <w:footnoteRef/>
      </w:r>
      <w:r>
        <w:rPr>
          <w:rtl/>
        </w:rPr>
        <w:t xml:space="preserve"> </w:t>
      </w:r>
      <w:r w:rsidRPr="00FA0733">
        <w:t>Futures</w:t>
      </w:r>
    </w:p>
  </w:footnote>
  <w:footnote w:id="17">
    <w:p w14:paraId="26BD95ED" w14:textId="31EA0716" w:rsidR="0008287D" w:rsidRDefault="0008287D">
      <w:pPr>
        <w:pStyle w:val="FootnoteText"/>
        <w:rPr>
          <w:rtl/>
        </w:rPr>
      </w:pPr>
      <w:r>
        <w:rPr>
          <w:rStyle w:val="FootnoteReference"/>
        </w:rPr>
        <w:footnoteRef/>
      </w:r>
      <w:r>
        <w:t xml:space="preserve"> </w:t>
      </w:r>
      <w:r w:rsidRPr="0008287D">
        <w:t>Comprehensive</w:t>
      </w:r>
      <w:r>
        <w:t xml:space="preserve"> </w:t>
      </w:r>
    </w:p>
  </w:footnote>
  <w:footnote w:id="18">
    <w:p w14:paraId="43A94CC2" w14:textId="6CA3652F" w:rsidR="0008287D" w:rsidRDefault="0008287D">
      <w:pPr>
        <w:pStyle w:val="FootnoteText"/>
      </w:pPr>
      <w:r>
        <w:rPr>
          <w:rStyle w:val="FootnoteReference"/>
        </w:rPr>
        <w:footnoteRef/>
      </w:r>
      <w:r>
        <w:t xml:space="preserve"> </w:t>
      </w:r>
      <w:r w:rsidRPr="0008287D">
        <w:t>full- spectrum</w:t>
      </w:r>
    </w:p>
  </w:footnote>
  <w:footnote w:id="19">
    <w:p w14:paraId="450A3844" w14:textId="6D83BB5B" w:rsidR="00B47FF5" w:rsidRDefault="00B47FF5">
      <w:pPr>
        <w:pStyle w:val="FootnoteText"/>
      </w:pPr>
      <w:r>
        <w:rPr>
          <w:rStyle w:val="FootnoteReference"/>
        </w:rPr>
        <w:footnoteRef/>
      </w:r>
      <w:r>
        <w:t xml:space="preserve"> Sentiments</w:t>
      </w:r>
    </w:p>
  </w:footnote>
  <w:footnote w:id="20">
    <w:p w14:paraId="7596049A" w14:textId="77777777" w:rsidR="00B47FF5" w:rsidRDefault="00B47FF5" w:rsidP="00B219EF">
      <w:pPr>
        <w:pStyle w:val="FootnoteText"/>
      </w:pPr>
      <w:r>
        <w:rPr>
          <w:rStyle w:val="FootnoteReference"/>
        </w:rPr>
        <w:footnoteRef/>
      </w:r>
      <w:r>
        <w:rPr>
          <w:rtl/>
        </w:rPr>
        <w:t xml:space="preserve"> </w:t>
      </w:r>
      <w:r w:rsidRPr="00FA0733">
        <w:t>Foresight University</w:t>
      </w:r>
    </w:p>
  </w:footnote>
  <w:footnote w:id="21">
    <w:p w14:paraId="173B7DBC" w14:textId="77777777" w:rsidR="00B47FF5" w:rsidRDefault="00B47FF5" w:rsidP="00B219EF">
      <w:pPr>
        <w:pStyle w:val="FootnoteText"/>
      </w:pPr>
      <w:r>
        <w:rPr>
          <w:rStyle w:val="FootnoteReference"/>
        </w:rPr>
        <w:footnoteRef/>
      </w:r>
      <w:r>
        <w:rPr>
          <w:rtl/>
        </w:rPr>
        <w:t xml:space="preserve"> </w:t>
      </w:r>
      <w:r w:rsidRPr="00FA0733">
        <w:t>Acceleration Studies Foundation</w:t>
      </w:r>
    </w:p>
  </w:footnote>
  <w:footnote w:id="22">
    <w:p w14:paraId="60535D74" w14:textId="77777777" w:rsidR="00B47FF5" w:rsidRDefault="00B47FF5" w:rsidP="00B219EF">
      <w:pPr>
        <w:pStyle w:val="FootnoteText"/>
      </w:pPr>
      <w:r>
        <w:rPr>
          <w:rStyle w:val="FootnoteReference"/>
        </w:rPr>
        <w:footnoteRef/>
      </w:r>
      <w:r>
        <w:rPr>
          <w:rtl/>
        </w:rPr>
        <w:t xml:space="preserve"> </w:t>
      </w:r>
      <w:r w:rsidRPr="00FA0733">
        <w:t>Foresight Education and Research Network</w:t>
      </w:r>
    </w:p>
  </w:footnote>
  <w:footnote w:id="23">
    <w:p w14:paraId="793501E8" w14:textId="77777777" w:rsidR="00B47FF5" w:rsidRDefault="00B47FF5" w:rsidP="00B219EF">
      <w:pPr>
        <w:pStyle w:val="FootnoteText"/>
      </w:pPr>
      <w:r>
        <w:rPr>
          <w:rStyle w:val="FootnoteReference"/>
        </w:rPr>
        <w:footnoteRef/>
      </w:r>
      <w:r>
        <w:rPr>
          <w:rtl/>
        </w:rPr>
        <w:t xml:space="preserve"> </w:t>
      </w:r>
      <w:r w:rsidRPr="00FA0733">
        <w:t>Futuremedia Foundation</w:t>
      </w:r>
    </w:p>
  </w:footnote>
  <w:footnote w:id="24">
    <w:p w14:paraId="01970829" w14:textId="71B778B5" w:rsidR="00B47FF5" w:rsidRDefault="00B47FF5" w:rsidP="00B219EF">
      <w:pPr>
        <w:pStyle w:val="FootnoteText"/>
      </w:pPr>
      <w:r>
        <w:rPr>
          <w:rStyle w:val="FootnoteReference"/>
        </w:rPr>
        <w:footnoteRef/>
      </w:r>
      <w:r>
        <w:rPr>
          <w:rtl/>
        </w:rPr>
        <w:t xml:space="preserve"> </w:t>
      </w:r>
      <w:r w:rsidRPr="0002075E">
        <w:t>Wiki</w:t>
      </w:r>
    </w:p>
  </w:footnote>
  <w:footnote w:id="25">
    <w:p w14:paraId="1A20CF82" w14:textId="77777777" w:rsidR="00B47FF5" w:rsidRDefault="00B47FF5" w:rsidP="00B219EF">
      <w:pPr>
        <w:pStyle w:val="FootnoteText"/>
      </w:pPr>
      <w:r>
        <w:rPr>
          <w:rStyle w:val="FootnoteReference"/>
        </w:rPr>
        <w:footnoteRef/>
      </w:r>
      <w:r>
        <w:rPr>
          <w:rtl/>
        </w:rPr>
        <w:t xml:space="preserve"> </w:t>
      </w:r>
      <w:r w:rsidRPr="0026408F">
        <w:t>Creative Commons</w:t>
      </w:r>
    </w:p>
  </w:footnote>
  <w:footnote w:id="26">
    <w:p w14:paraId="77C5740F" w14:textId="77777777" w:rsidR="00B47FF5" w:rsidRDefault="00B47FF5" w:rsidP="00B219EF">
      <w:pPr>
        <w:pStyle w:val="FootnoteText"/>
      </w:pPr>
      <w:r>
        <w:rPr>
          <w:rStyle w:val="FootnoteReference"/>
        </w:rPr>
        <w:footnoteRef/>
      </w:r>
      <w:r>
        <w:rPr>
          <w:rtl/>
        </w:rPr>
        <w:t xml:space="preserve"> </w:t>
      </w:r>
      <w:r w:rsidRPr="00466CBC">
        <w:t>Exponential Foresight</w:t>
      </w:r>
    </w:p>
  </w:footnote>
  <w:footnote w:id="27">
    <w:p w14:paraId="0A2ACCC5" w14:textId="1CDC4AF9" w:rsidR="00B47FF5" w:rsidRDefault="00B47FF5">
      <w:pPr>
        <w:pStyle w:val="FootnoteText"/>
      </w:pPr>
      <w:r>
        <w:rPr>
          <w:rStyle w:val="FootnoteReference"/>
        </w:rPr>
        <w:footnoteRef/>
      </w:r>
      <w:r>
        <w:t xml:space="preserve"> Systems theory</w:t>
      </w:r>
    </w:p>
  </w:footnote>
  <w:footnote w:id="28">
    <w:p w14:paraId="52C58F69" w14:textId="05BF661F" w:rsidR="00F82713" w:rsidRDefault="00F82713">
      <w:pPr>
        <w:pStyle w:val="FootnoteText"/>
        <w:rPr>
          <w:rtl/>
        </w:rPr>
      </w:pPr>
      <w:r>
        <w:rPr>
          <w:rStyle w:val="FootnoteReference"/>
        </w:rPr>
        <w:footnoteRef/>
      </w:r>
      <w:r>
        <w:t xml:space="preserve"> Preferable </w:t>
      </w:r>
    </w:p>
  </w:footnote>
  <w:footnote w:id="29">
    <w:p w14:paraId="6D0253E0" w14:textId="269EB243" w:rsidR="00B47FF5" w:rsidRDefault="00B47FF5" w:rsidP="00B219EF">
      <w:pPr>
        <w:pStyle w:val="FootnoteText"/>
      </w:pPr>
      <w:r>
        <w:rPr>
          <w:rStyle w:val="FootnoteReference"/>
        </w:rPr>
        <w:footnoteRef/>
      </w:r>
      <w:r>
        <w:rPr>
          <w:rtl/>
        </w:rPr>
        <w:t xml:space="preserve"> </w:t>
      </w:r>
      <w:r w:rsidRPr="00466CBC">
        <w:t>Densiﬁcation</w:t>
      </w:r>
    </w:p>
  </w:footnote>
  <w:footnote w:id="30">
    <w:p w14:paraId="0D58BAAE" w14:textId="31298D95" w:rsidR="00B47FF5" w:rsidRDefault="00B47FF5" w:rsidP="00B219EF">
      <w:pPr>
        <w:pStyle w:val="FootnoteText"/>
      </w:pPr>
      <w:r>
        <w:rPr>
          <w:rStyle w:val="FootnoteReference"/>
        </w:rPr>
        <w:footnoteRef/>
      </w:r>
      <w:r>
        <w:rPr>
          <w:rtl/>
        </w:rPr>
        <w:t xml:space="preserve"> </w:t>
      </w:r>
      <w:r w:rsidRPr="00466CBC">
        <w:t>Dematerialization</w:t>
      </w:r>
    </w:p>
  </w:footnote>
  <w:footnote w:id="31">
    <w:p w14:paraId="448D39DE" w14:textId="7D05C3D1" w:rsidR="00B47FF5" w:rsidRDefault="00B47FF5" w:rsidP="0044590A">
      <w:pPr>
        <w:pStyle w:val="FootnoteText"/>
      </w:pPr>
      <w:r>
        <w:rPr>
          <w:rStyle w:val="FootnoteReference"/>
        </w:rPr>
        <w:footnoteRef/>
      </w:r>
      <w:r>
        <w:rPr>
          <w:rtl/>
        </w:rPr>
        <w:t xml:space="preserve"> </w:t>
      </w:r>
      <w:r>
        <w:t>Advantages, disruptions, opportunities, and risks (ADOR)</w:t>
      </w:r>
    </w:p>
  </w:footnote>
  <w:footnote w:id="32">
    <w:p w14:paraId="7AE531E2" w14:textId="13DA0E17" w:rsidR="00B47FF5" w:rsidRDefault="00B47FF5" w:rsidP="00B219EF">
      <w:pPr>
        <w:pStyle w:val="FootnoteText"/>
      </w:pPr>
      <w:r>
        <w:rPr>
          <w:rStyle w:val="FootnoteReference"/>
        </w:rPr>
        <w:footnoteRef/>
      </w:r>
      <w:r>
        <w:rPr>
          <w:rtl/>
        </w:rPr>
        <w:t xml:space="preserve"> </w:t>
      </w:r>
      <w:r w:rsidRPr="00DE7C08">
        <w:t>Global Commonality</w:t>
      </w:r>
    </w:p>
  </w:footnote>
  <w:footnote w:id="33">
    <w:p w14:paraId="45B7A60F" w14:textId="59E24E3F" w:rsidR="00B47FF5" w:rsidRDefault="00B47FF5" w:rsidP="00B219EF">
      <w:pPr>
        <w:pStyle w:val="FootnoteText"/>
      </w:pPr>
      <w:r>
        <w:rPr>
          <w:rStyle w:val="FootnoteReference"/>
        </w:rPr>
        <w:footnoteRef/>
      </w:r>
      <w:r>
        <w:rPr>
          <w:rtl/>
        </w:rPr>
        <w:t xml:space="preserve"> </w:t>
      </w:r>
      <w:r w:rsidRPr="00B219EF">
        <w:rPr>
          <w:bCs/>
        </w:rPr>
        <w:t>Normative</w:t>
      </w:r>
    </w:p>
  </w:footnote>
  <w:footnote w:id="34">
    <w:p w14:paraId="2394B5B6" w14:textId="1889A187" w:rsidR="00E723FA" w:rsidRDefault="00E723FA">
      <w:pPr>
        <w:pStyle w:val="FootnoteText"/>
        <w:rPr>
          <w:rtl/>
        </w:rPr>
      </w:pPr>
      <w:r>
        <w:rPr>
          <w:rStyle w:val="FootnoteReference"/>
        </w:rPr>
        <w:footnoteRef/>
      </w:r>
      <w:r>
        <w:t xml:space="preserve"> </w:t>
      </w:r>
      <w:r w:rsidRPr="00E723FA">
        <w:t>Replicating</w:t>
      </w:r>
      <w:r>
        <w:t xml:space="preserve"> </w:t>
      </w:r>
    </w:p>
  </w:footnote>
  <w:footnote w:id="35">
    <w:p w14:paraId="316A6A23" w14:textId="1E317B51" w:rsidR="00B47FF5" w:rsidRDefault="00B47FF5" w:rsidP="00B219EF">
      <w:pPr>
        <w:pStyle w:val="FootnoteText"/>
      </w:pPr>
      <w:r>
        <w:rPr>
          <w:rStyle w:val="FootnoteReference"/>
        </w:rPr>
        <w:footnoteRef/>
      </w:r>
      <w:r>
        <w:rPr>
          <w:rtl/>
        </w:rPr>
        <w:t xml:space="preserve"> </w:t>
      </w:r>
      <w:r w:rsidRPr="00DC5678">
        <w:t>Autopoetic</w:t>
      </w:r>
    </w:p>
  </w:footnote>
  <w:footnote w:id="36">
    <w:p w14:paraId="5A768EA4" w14:textId="25BE53CA" w:rsidR="00B47FF5" w:rsidRDefault="00B47FF5" w:rsidP="00B219EF">
      <w:pPr>
        <w:pStyle w:val="FootnoteText"/>
      </w:pPr>
      <w:r>
        <w:rPr>
          <w:rStyle w:val="FootnoteReference"/>
        </w:rPr>
        <w:footnoteRef/>
      </w:r>
      <w:r>
        <w:rPr>
          <w:rtl/>
        </w:rPr>
        <w:t xml:space="preserve"> </w:t>
      </w:r>
      <w:r w:rsidRPr="00D3525D">
        <w:t>Biomimicry</w:t>
      </w:r>
    </w:p>
  </w:footnote>
  <w:footnote w:id="37">
    <w:p w14:paraId="114AFFD3" w14:textId="6F5B350E" w:rsidR="00B47FF5" w:rsidRDefault="00B47FF5" w:rsidP="00B219EF">
      <w:pPr>
        <w:pStyle w:val="FootnoteText"/>
      </w:pPr>
      <w:r>
        <w:rPr>
          <w:rStyle w:val="FootnoteReference"/>
        </w:rPr>
        <w:footnoteRef/>
      </w:r>
      <w:r>
        <w:rPr>
          <w:rtl/>
        </w:rPr>
        <w:t xml:space="preserve"> </w:t>
      </w:r>
      <w:r w:rsidRPr="0016472D">
        <w:t>Sprint Reading</w:t>
      </w:r>
    </w:p>
  </w:footnote>
  <w:footnote w:id="38">
    <w:p w14:paraId="0544F7C1" w14:textId="79CBBFDF" w:rsidR="00B47FF5" w:rsidRDefault="00B47FF5" w:rsidP="00B219EF">
      <w:pPr>
        <w:pStyle w:val="FootnoteText"/>
      </w:pPr>
      <w:r>
        <w:rPr>
          <w:rStyle w:val="FootnoteReference"/>
        </w:rPr>
        <w:footnoteRef/>
      </w:r>
      <w:r>
        <w:rPr>
          <w:rtl/>
        </w:rPr>
        <w:t xml:space="preserve"> </w:t>
      </w:r>
      <w:r w:rsidRPr="00F835FC">
        <w:t>Fantasy</w:t>
      </w:r>
    </w:p>
  </w:footnote>
  <w:footnote w:id="39">
    <w:p w14:paraId="41E16022" w14:textId="6D6DFEB0" w:rsidR="00B47FF5" w:rsidRDefault="00B47FF5" w:rsidP="00B219EF">
      <w:pPr>
        <w:pStyle w:val="FootnoteText"/>
      </w:pPr>
      <w:r>
        <w:rPr>
          <w:rStyle w:val="FootnoteReference"/>
        </w:rPr>
        <w:footnoteRef/>
      </w:r>
      <w:r>
        <w:rPr>
          <w:rtl/>
        </w:rPr>
        <w:t xml:space="preserve"> </w:t>
      </w:r>
      <w:r w:rsidRPr="00F835FC">
        <w:t>Noise</w:t>
      </w:r>
    </w:p>
  </w:footnote>
  <w:footnote w:id="40">
    <w:p w14:paraId="7E31DAF4" w14:textId="6F4F49C1" w:rsidR="00B47FF5" w:rsidRDefault="00B47FF5" w:rsidP="00B219EF">
      <w:pPr>
        <w:pStyle w:val="FootnoteText"/>
      </w:pPr>
      <w:r>
        <w:rPr>
          <w:rStyle w:val="FootnoteReference"/>
        </w:rPr>
        <w:footnoteRef/>
      </w:r>
      <w:r>
        <w:rPr>
          <w:rtl/>
        </w:rPr>
        <w:t xml:space="preserve"> </w:t>
      </w:r>
      <w:r w:rsidRPr="00F835FC">
        <w:t>Hype</w:t>
      </w:r>
    </w:p>
  </w:footnote>
  <w:footnote w:id="41">
    <w:p w14:paraId="59A9C457" w14:textId="17502473" w:rsidR="00B47FF5" w:rsidRDefault="00B47FF5" w:rsidP="00B219EF">
      <w:pPr>
        <w:pStyle w:val="FootnoteText"/>
      </w:pPr>
      <w:r>
        <w:rPr>
          <w:rStyle w:val="FootnoteReference"/>
        </w:rPr>
        <w:footnoteRef/>
      </w:r>
      <w:r>
        <w:rPr>
          <w:rtl/>
        </w:rPr>
        <w:t xml:space="preserve"> </w:t>
      </w:r>
      <w:r w:rsidRPr="00F835FC">
        <w:t>Moflo</w:t>
      </w:r>
    </w:p>
  </w:footnote>
  <w:footnote w:id="42">
    <w:p w14:paraId="60DE27A1" w14:textId="77777777" w:rsidR="00B47FF5" w:rsidRDefault="00B47FF5" w:rsidP="00B219EF">
      <w:pPr>
        <w:pStyle w:val="FootnoteText"/>
      </w:pPr>
      <w:r>
        <w:rPr>
          <w:rStyle w:val="FootnoteReference"/>
        </w:rPr>
        <w:footnoteRef/>
      </w:r>
      <w:r>
        <w:rPr>
          <w:rtl/>
        </w:rPr>
        <w:t xml:space="preserve"> </w:t>
      </w:r>
      <w:r w:rsidRPr="001A1A31">
        <w:t>Teilhard de Chardin</w:t>
      </w:r>
    </w:p>
  </w:footnote>
  <w:footnote w:id="43">
    <w:p w14:paraId="614E34D1" w14:textId="6AADCCF1" w:rsidR="00B47FF5" w:rsidRDefault="00B47FF5" w:rsidP="0020732A">
      <w:pPr>
        <w:pStyle w:val="FootnoteText"/>
      </w:pPr>
      <w:r>
        <w:rPr>
          <w:rStyle w:val="FootnoteReference"/>
        </w:rPr>
        <w:footnoteRef/>
      </w:r>
      <w:r>
        <w:rPr>
          <w:rtl/>
        </w:rPr>
        <w:t xml:space="preserve"> </w:t>
      </w:r>
      <w:r>
        <w:t>Trait</w:t>
      </w:r>
    </w:p>
  </w:footnote>
  <w:footnote w:id="44">
    <w:p w14:paraId="104D2D97" w14:textId="0ABFA58A" w:rsidR="00B47FF5" w:rsidRDefault="00B47FF5" w:rsidP="0020732A">
      <w:pPr>
        <w:pStyle w:val="FootnoteText"/>
      </w:pPr>
      <w:r>
        <w:rPr>
          <w:rStyle w:val="FootnoteReference"/>
        </w:rPr>
        <w:footnoteRef/>
      </w:r>
      <w:r>
        <w:rPr>
          <w:rtl/>
        </w:rPr>
        <w:t xml:space="preserve"> </w:t>
      </w:r>
      <w:r>
        <w:t>Predictive Processing Model</w:t>
      </w:r>
    </w:p>
  </w:footnote>
  <w:footnote w:id="45">
    <w:p w14:paraId="7BDAB066" w14:textId="7632B6F7" w:rsidR="00B47FF5" w:rsidRDefault="00B47FF5" w:rsidP="0020732A">
      <w:pPr>
        <w:pStyle w:val="FootnoteText"/>
      </w:pPr>
      <w:r>
        <w:rPr>
          <w:rStyle w:val="FootnoteReference"/>
        </w:rPr>
        <w:footnoteRef/>
      </w:r>
      <w:r>
        <w:rPr>
          <w:rtl/>
        </w:rPr>
        <w:t xml:space="preserve"> </w:t>
      </w:r>
      <w:r>
        <w:t>Forebrain</w:t>
      </w:r>
    </w:p>
  </w:footnote>
  <w:footnote w:id="46">
    <w:p w14:paraId="0FAE4240" w14:textId="70AC2331" w:rsidR="00B47FF5" w:rsidRDefault="00B47FF5" w:rsidP="0020732A">
      <w:pPr>
        <w:pStyle w:val="FootnoteText"/>
      </w:pPr>
      <w:r>
        <w:rPr>
          <w:rStyle w:val="FootnoteReference"/>
        </w:rPr>
        <w:footnoteRef/>
      </w:r>
      <w:r>
        <w:rPr>
          <w:rtl/>
        </w:rPr>
        <w:t xml:space="preserve"> </w:t>
      </w:r>
      <w:r>
        <w:t>Predict</w:t>
      </w:r>
    </w:p>
  </w:footnote>
  <w:footnote w:id="47">
    <w:p w14:paraId="2B305B35" w14:textId="1BC541A2" w:rsidR="00B47FF5" w:rsidRDefault="00B47FF5" w:rsidP="0020732A">
      <w:pPr>
        <w:pStyle w:val="FootnoteText"/>
      </w:pPr>
      <w:r>
        <w:rPr>
          <w:rStyle w:val="FootnoteReference"/>
        </w:rPr>
        <w:footnoteRef/>
      </w:r>
      <w:r>
        <w:rPr>
          <w:rtl/>
        </w:rPr>
        <w:t xml:space="preserve"> </w:t>
      </w:r>
      <w:r>
        <w:t>Adaptiveness</w:t>
      </w:r>
    </w:p>
  </w:footnote>
  <w:footnote w:id="48">
    <w:p w14:paraId="7927BE71" w14:textId="65D13D09" w:rsidR="00B47FF5" w:rsidRDefault="00B47FF5" w:rsidP="0020732A">
      <w:pPr>
        <w:pStyle w:val="FootnoteText"/>
      </w:pPr>
      <w:r>
        <w:rPr>
          <w:rStyle w:val="FootnoteReference"/>
        </w:rPr>
        <w:footnoteRef/>
      </w:r>
      <w:r>
        <w:rPr>
          <w:rtl/>
        </w:rPr>
        <w:t xml:space="preserve"> </w:t>
      </w:r>
      <w:r>
        <w:t>Australopithecus</w:t>
      </w:r>
    </w:p>
  </w:footnote>
  <w:footnote w:id="49">
    <w:p w14:paraId="04C1EC1E" w14:textId="7AD81BED" w:rsidR="00B47FF5" w:rsidRDefault="00B47FF5" w:rsidP="0020732A">
      <w:pPr>
        <w:pStyle w:val="FootnoteText"/>
      </w:pPr>
      <w:r>
        <w:rPr>
          <w:rStyle w:val="FootnoteReference"/>
        </w:rPr>
        <w:footnoteRef/>
      </w:r>
      <w:r>
        <w:rPr>
          <w:rtl/>
        </w:rPr>
        <w:t xml:space="preserve"> </w:t>
      </w:r>
      <w:r>
        <w:t>Manual Dexterity</w:t>
      </w:r>
    </w:p>
  </w:footnote>
  <w:footnote w:id="50">
    <w:p w14:paraId="1E8BE024" w14:textId="50BC2773" w:rsidR="00B47FF5" w:rsidRDefault="00B47FF5" w:rsidP="0020732A">
      <w:pPr>
        <w:pStyle w:val="FootnoteText"/>
      </w:pPr>
      <w:r>
        <w:rPr>
          <w:rStyle w:val="FootnoteReference"/>
        </w:rPr>
        <w:footnoteRef/>
      </w:r>
      <w:r>
        <w:rPr>
          <w:rtl/>
        </w:rPr>
        <w:t xml:space="preserve"> </w:t>
      </w:r>
      <w:r w:rsidRPr="002F0779">
        <w:t>Olduavi Gorge</w:t>
      </w:r>
    </w:p>
  </w:footnote>
  <w:footnote w:id="51">
    <w:p w14:paraId="7722831E" w14:textId="4FDB7469" w:rsidR="00B47FF5" w:rsidRDefault="00B47FF5" w:rsidP="0020732A">
      <w:pPr>
        <w:pStyle w:val="FootnoteText"/>
      </w:pPr>
      <w:r>
        <w:rPr>
          <w:rStyle w:val="FootnoteReference"/>
        </w:rPr>
        <w:footnoteRef/>
      </w:r>
      <w:r>
        <w:rPr>
          <w:rtl/>
        </w:rPr>
        <w:t xml:space="preserve"> </w:t>
      </w:r>
      <w:r>
        <w:t>Transitional</w:t>
      </w:r>
    </w:p>
  </w:footnote>
  <w:footnote w:id="52">
    <w:p w14:paraId="020CFF07" w14:textId="74FE3D3A" w:rsidR="00B47FF5" w:rsidRDefault="00B47FF5" w:rsidP="0020732A">
      <w:pPr>
        <w:pStyle w:val="FootnoteText"/>
      </w:pPr>
      <w:r>
        <w:rPr>
          <w:rStyle w:val="FootnoteReference"/>
        </w:rPr>
        <w:footnoteRef/>
      </w:r>
      <w:r>
        <w:rPr>
          <w:rtl/>
        </w:rPr>
        <w:t xml:space="preserve"> </w:t>
      </w:r>
      <w:r>
        <w:t>Pre-Human</w:t>
      </w:r>
    </w:p>
  </w:footnote>
  <w:footnote w:id="53">
    <w:p w14:paraId="47A05D06" w14:textId="3AA0AFDE" w:rsidR="00B47FF5" w:rsidRDefault="00B47FF5" w:rsidP="0020732A">
      <w:pPr>
        <w:pStyle w:val="FootnoteText"/>
      </w:pPr>
      <w:r>
        <w:rPr>
          <w:rStyle w:val="FootnoteReference"/>
        </w:rPr>
        <w:footnoteRef/>
      </w:r>
      <w:r>
        <w:rPr>
          <w:rtl/>
        </w:rPr>
        <w:t xml:space="preserve"> </w:t>
      </w:r>
      <w:r w:rsidRPr="002F0779">
        <w:t>Homo Habilis</w:t>
      </w:r>
    </w:p>
  </w:footnote>
  <w:footnote w:id="54">
    <w:p w14:paraId="6E1D92D6" w14:textId="0AC29BD7" w:rsidR="00B47FF5" w:rsidRDefault="00B47FF5" w:rsidP="0020732A">
      <w:pPr>
        <w:pStyle w:val="FootnoteText"/>
      </w:pPr>
      <w:r>
        <w:rPr>
          <w:rStyle w:val="FootnoteReference"/>
        </w:rPr>
        <w:footnoteRef/>
      </w:r>
      <w:r>
        <w:rPr>
          <w:rtl/>
        </w:rPr>
        <w:t xml:space="preserve"> </w:t>
      </w:r>
      <w:r w:rsidRPr="002F0779">
        <w:t>Oldowan</w:t>
      </w:r>
    </w:p>
  </w:footnote>
  <w:footnote w:id="55">
    <w:p w14:paraId="7F96FC8C" w14:textId="28120524" w:rsidR="00B47FF5" w:rsidRDefault="00B47FF5" w:rsidP="0020732A">
      <w:pPr>
        <w:pStyle w:val="FootnoteText"/>
      </w:pPr>
      <w:r>
        <w:rPr>
          <w:rStyle w:val="FootnoteReference"/>
        </w:rPr>
        <w:footnoteRef/>
      </w:r>
      <w:r>
        <w:rPr>
          <w:rtl/>
        </w:rPr>
        <w:t xml:space="preserve"> </w:t>
      </w:r>
      <w:r>
        <w:t>Bilateralism</w:t>
      </w:r>
    </w:p>
  </w:footnote>
  <w:footnote w:id="56">
    <w:p w14:paraId="5E637AC6" w14:textId="22E192CE" w:rsidR="00B47FF5" w:rsidRDefault="00B47FF5" w:rsidP="0020732A">
      <w:pPr>
        <w:pStyle w:val="FootnoteText"/>
        <w:rPr>
          <w:rtl/>
        </w:rPr>
      </w:pPr>
      <w:r>
        <w:rPr>
          <w:rStyle w:val="FootnoteReference"/>
        </w:rPr>
        <w:footnoteRef/>
      </w:r>
      <w:r>
        <w:rPr>
          <w:rtl/>
        </w:rPr>
        <w:t xml:space="preserve"> </w:t>
      </w:r>
      <w:r>
        <w:t>Futurist</w:t>
      </w:r>
    </w:p>
  </w:footnote>
  <w:footnote w:id="57">
    <w:p w14:paraId="2969D7C5" w14:textId="50A2FF81" w:rsidR="00B47FF5" w:rsidRDefault="00B47FF5" w:rsidP="0020732A">
      <w:pPr>
        <w:pStyle w:val="FootnoteText"/>
      </w:pPr>
      <w:r>
        <w:rPr>
          <w:rStyle w:val="FootnoteReference"/>
        </w:rPr>
        <w:footnoteRef/>
      </w:r>
      <w:r>
        <w:rPr>
          <w:rtl/>
        </w:rPr>
        <w:t xml:space="preserve"> </w:t>
      </w:r>
      <w:r w:rsidRPr="002F0779">
        <w:t>Buckminster Fuller</w:t>
      </w:r>
    </w:p>
  </w:footnote>
  <w:footnote w:id="58">
    <w:p w14:paraId="5C87723D" w14:textId="22B34608" w:rsidR="00B47FF5" w:rsidRDefault="00B47FF5" w:rsidP="0020732A">
      <w:pPr>
        <w:pStyle w:val="FootnoteText"/>
      </w:pPr>
      <w:r>
        <w:rPr>
          <w:rStyle w:val="FootnoteReference"/>
        </w:rPr>
        <w:footnoteRef/>
      </w:r>
      <w:r>
        <w:rPr>
          <w:rtl/>
        </w:rPr>
        <w:t xml:space="preserve"> </w:t>
      </w:r>
      <w:r>
        <w:t>Nouns</w:t>
      </w:r>
    </w:p>
  </w:footnote>
  <w:footnote w:id="59">
    <w:p w14:paraId="5336678C" w14:textId="56201E37" w:rsidR="00B47FF5" w:rsidRDefault="00B47FF5" w:rsidP="0020732A">
      <w:pPr>
        <w:pStyle w:val="FootnoteText"/>
      </w:pPr>
      <w:r>
        <w:rPr>
          <w:rStyle w:val="FootnoteReference"/>
        </w:rPr>
        <w:footnoteRef/>
      </w:r>
      <w:r>
        <w:rPr>
          <w:rtl/>
        </w:rPr>
        <w:t xml:space="preserve"> </w:t>
      </w:r>
      <w:r>
        <w:t>Verbs</w:t>
      </w:r>
    </w:p>
  </w:footnote>
  <w:footnote w:id="60">
    <w:p w14:paraId="692F5A72" w14:textId="4DC20EC0" w:rsidR="00B47FF5" w:rsidRDefault="00B47FF5" w:rsidP="0020732A">
      <w:pPr>
        <w:pStyle w:val="FootnoteText"/>
      </w:pPr>
      <w:r>
        <w:rPr>
          <w:rStyle w:val="FootnoteReference"/>
        </w:rPr>
        <w:footnoteRef/>
      </w:r>
      <w:r>
        <w:rPr>
          <w:rtl/>
        </w:rPr>
        <w:t xml:space="preserve"> </w:t>
      </w:r>
      <w:r>
        <w:t>Coopetition</w:t>
      </w:r>
    </w:p>
  </w:footnote>
  <w:footnote w:id="61">
    <w:p w14:paraId="58ADB987" w14:textId="6A0AF979" w:rsidR="00B47FF5" w:rsidRDefault="00B47FF5" w:rsidP="0020732A">
      <w:pPr>
        <w:pStyle w:val="FootnoteText"/>
      </w:pPr>
      <w:r>
        <w:rPr>
          <w:rStyle w:val="FootnoteReference"/>
        </w:rPr>
        <w:footnoteRef/>
      </w:r>
      <w:r>
        <w:rPr>
          <w:rtl/>
        </w:rPr>
        <w:t xml:space="preserve"> </w:t>
      </w:r>
      <w:r w:rsidRPr="002F0779">
        <w:t>David Goodhart</w:t>
      </w:r>
    </w:p>
  </w:footnote>
  <w:footnote w:id="62">
    <w:p w14:paraId="1BB36263" w14:textId="37795639" w:rsidR="00B47FF5" w:rsidRDefault="00B47FF5" w:rsidP="0020732A">
      <w:pPr>
        <w:pStyle w:val="FootnoteText"/>
      </w:pPr>
      <w:r>
        <w:rPr>
          <w:rStyle w:val="FootnoteReference"/>
        </w:rPr>
        <w:footnoteRef/>
      </w:r>
      <w:r>
        <w:rPr>
          <w:rtl/>
        </w:rPr>
        <w:t xml:space="preserve"> </w:t>
      </w:r>
      <w:r>
        <w:t>Social Activism</w:t>
      </w:r>
    </w:p>
  </w:footnote>
  <w:footnote w:id="63">
    <w:p w14:paraId="4BD22A7C" w14:textId="6AACF019" w:rsidR="00B47FF5" w:rsidRDefault="00B47FF5" w:rsidP="0020732A">
      <w:pPr>
        <w:pStyle w:val="FootnoteText"/>
      </w:pPr>
      <w:r>
        <w:rPr>
          <w:rStyle w:val="FootnoteReference"/>
        </w:rPr>
        <w:footnoteRef/>
      </w:r>
      <w:r>
        <w:rPr>
          <w:rtl/>
        </w:rPr>
        <w:t xml:space="preserve"> </w:t>
      </w:r>
      <w:r>
        <w:t>Head Hand Heart</w:t>
      </w:r>
    </w:p>
  </w:footnote>
  <w:footnote w:id="64">
    <w:p w14:paraId="58B4AB91" w14:textId="6B239954" w:rsidR="00B47FF5" w:rsidRDefault="00B47FF5" w:rsidP="0020732A">
      <w:pPr>
        <w:pStyle w:val="FootnoteText"/>
      </w:pPr>
      <w:r>
        <w:rPr>
          <w:rStyle w:val="FootnoteReference"/>
        </w:rPr>
        <w:footnoteRef/>
      </w:r>
      <w:r>
        <w:rPr>
          <w:rtl/>
        </w:rPr>
        <w:t xml:space="preserve"> </w:t>
      </w:r>
      <w:r w:rsidRPr="0086122A">
        <w:t>Prosociality</w:t>
      </w:r>
    </w:p>
  </w:footnote>
  <w:footnote w:id="65">
    <w:p w14:paraId="2626AF52" w14:textId="4A52E99D" w:rsidR="00B47FF5" w:rsidRDefault="00B47FF5" w:rsidP="0020732A">
      <w:pPr>
        <w:pStyle w:val="FootnoteText"/>
      </w:pPr>
      <w:r>
        <w:rPr>
          <w:rStyle w:val="FootnoteReference"/>
        </w:rPr>
        <w:footnoteRef/>
      </w:r>
      <w:r>
        <w:rPr>
          <w:rtl/>
        </w:rPr>
        <w:t xml:space="preserve"> </w:t>
      </w:r>
      <w:r>
        <w:t>Astrobiologists</w:t>
      </w:r>
    </w:p>
  </w:footnote>
  <w:footnote w:id="66">
    <w:p w14:paraId="3520A7DE" w14:textId="44562479" w:rsidR="00B47FF5" w:rsidRDefault="00B47FF5" w:rsidP="0020732A">
      <w:pPr>
        <w:pStyle w:val="FootnoteText"/>
      </w:pPr>
      <w:r>
        <w:rPr>
          <w:rStyle w:val="FootnoteReference"/>
        </w:rPr>
        <w:footnoteRef/>
      </w:r>
      <w:r>
        <w:rPr>
          <w:rtl/>
        </w:rPr>
        <w:t xml:space="preserve"> </w:t>
      </w:r>
      <w:r>
        <w:t>Book 2</w:t>
      </w:r>
    </w:p>
  </w:footnote>
  <w:footnote w:id="67">
    <w:p w14:paraId="06435488" w14:textId="28C58F3A" w:rsidR="00B47FF5" w:rsidRDefault="00B47FF5" w:rsidP="000B3C5C">
      <w:pPr>
        <w:pStyle w:val="FootnoteText"/>
        <w:rPr>
          <w:rtl/>
        </w:rPr>
      </w:pPr>
      <w:r>
        <w:rPr>
          <w:rStyle w:val="FootnoteReference"/>
        </w:rPr>
        <w:footnoteRef/>
      </w:r>
      <w:r>
        <w:t xml:space="preserve"> </w:t>
      </w:r>
      <w:r w:rsidRPr="000B3C5C">
        <w:t>Transcension Hypothesis</w:t>
      </w:r>
    </w:p>
  </w:footnote>
  <w:footnote w:id="68">
    <w:p w14:paraId="40D4C9A3" w14:textId="2F1BB443" w:rsidR="00B47FF5" w:rsidRDefault="00B47FF5" w:rsidP="0020732A">
      <w:pPr>
        <w:pStyle w:val="FootnoteText"/>
      </w:pPr>
      <w:r>
        <w:rPr>
          <w:rStyle w:val="FootnoteReference"/>
        </w:rPr>
        <w:footnoteRef/>
      </w:r>
      <w:r>
        <w:rPr>
          <w:rtl/>
        </w:rPr>
        <w:t xml:space="preserve"> </w:t>
      </w:r>
      <w:r w:rsidRPr="002F0779">
        <w:t>Daniel Schacter</w:t>
      </w:r>
    </w:p>
  </w:footnote>
  <w:footnote w:id="69">
    <w:p w14:paraId="3E4851D3" w14:textId="14C6FF8D" w:rsidR="00B47FF5" w:rsidRDefault="00B47FF5" w:rsidP="0020732A">
      <w:pPr>
        <w:pStyle w:val="FootnoteText"/>
      </w:pPr>
      <w:r>
        <w:rPr>
          <w:rStyle w:val="FootnoteReference"/>
        </w:rPr>
        <w:footnoteRef/>
      </w:r>
      <w:r>
        <w:rPr>
          <w:rtl/>
        </w:rPr>
        <w:t xml:space="preserve"> </w:t>
      </w:r>
      <w:r w:rsidRPr="00856A5C">
        <w:t>Prospective Brain</w:t>
      </w:r>
    </w:p>
  </w:footnote>
  <w:footnote w:id="70">
    <w:p w14:paraId="7777DCCC" w14:textId="7728C2AC" w:rsidR="00B47FF5" w:rsidRDefault="00B47FF5" w:rsidP="0020732A">
      <w:pPr>
        <w:pStyle w:val="FootnoteText"/>
      </w:pPr>
      <w:r>
        <w:rPr>
          <w:rStyle w:val="FootnoteReference"/>
        </w:rPr>
        <w:footnoteRef/>
      </w:r>
      <w:r>
        <w:rPr>
          <w:rtl/>
        </w:rPr>
        <w:t xml:space="preserve"> </w:t>
      </w:r>
      <w:r w:rsidRPr="002F0779">
        <w:t>Martin Seligman</w:t>
      </w:r>
    </w:p>
  </w:footnote>
  <w:footnote w:id="71">
    <w:p w14:paraId="4C5E7372" w14:textId="1ABF3596" w:rsidR="00B47FF5" w:rsidRDefault="00B47FF5" w:rsidP="0020732A">
      <w:pPr>
        <w:pStyle w:val="FootnoteText"/>
      </w:pPr>
      <w:r>
        <w:rPr>
          <w:rStyle w:val="FootnoteReference"/>
        </w:rPr>
        <w:footnoteRef/>
      </w:r>
      <w:r>
        <w:rPr>
          <w:rtl/>
        </w:rPr>
        <w:t xml:space="preserve"> </w:t>
      </w:r>
      <w:r w:rsidRPr="004E4DC8">
        <w:t>Homo Prospectus</w:t>
      </w:r>
    </w:p>
  </w:footnote>
  <w:footnote w:id="72">
    <w:p w14:paraId="5E7FC7A3" w14:textId="6589EA85" w:rsidR="00B47FF5" w:rsidRDefault="00B47FF5" w:rsidP="0020732A">
      <w:pPr>
        <w:pStyle w:val="FootnoteText"/>
      </w:pPr>
      <w:r>
        <w:rPr>
          <w:rStyle w:val="FootnoteReference"/>
        </w:rPr>
        <w:footnoteRef/>
      </w:r>
      <w:r>
        <w:rPr>
          <w:rtl/>
        </w:rPr>
        <w:t xml:space="preserve"> </w:t>
      </w:r>
      <w:r w:rsidRPr="004E4DC8">
        <w:t>Sapiens</w:t>
      </w:r>
    </w:p>
  </w:footnote>
  <w:footnote w:id="73">
    <w:p w14:paraId="51B40FD2" w14:textId="7BD3FE36" w:rsidR="00A936B3" w:rsidRDefault="00A936B3">
      <w:pPr>
        <w:pStyle w:val="FootnoteText"/>
        <w:rPr>
          <w:rtl/>
        </w:rPr>
      </w:pPr>
      <w:r>
        <w:rPr>
          <w:rStyle w:val="FootnoteReference"/>
        </w:rPr>
        <w:footnoteRef/>
      </w:r>
      <w:r>
        <w:t xml:space="preserve"> </w:t>
      </w:r>
      <w:r w:rsidRPr="00A936B3">
        <w:t>prospect</w:t>
      </w:r>
    </w:p>
  </w:footnote>
  <w:footnote w:id="74">
    <w:p w14:paraId="671A8F48" w14:textId="7A4DB1CC" w:rsidR="00B47FF5" w:rsidRDefault="00B47FF5" w:rsidP="0020732A">
      <w:pPr>
        <w:pStyle w:val="FootnoteText"/>
      </w:pPr>
      <w:r>
        <w:rPr>
          <w:rStyle w:val="FootnoteReference"/>
        </w:rPr>
        <w:footnoteRef/>
      </w:r>
      <w:r>
        <w:rPr>
          <w:rtl/>
        </w:rPr>
        <w:t xml:space="preserve"> </w:t>
      </w:r>
      <w:r>
        <w:t>Emotions</w:t>
      </w:r>
    </w:p>
  </w:footnote>
  <w:footnote w:id="75">
    <w:p w14:paraId="00F7998C" w14:textId="605A736F" w:rsidR="00B47FF5" w:rsidRDefault="00B47FF5" w:rsidP="0020732A">
      <w:pPr>
        <w:pStyle w:val="FootnoteText"/>
      </w:pPr>
      <w:r>
        <w:rPr>
          <w:rStyle w:val="FootnoteReference"/>
        </w:rPr>
        <w:footnoteRef/>
      </w:r>
      <w:r>
        <w:rPr>
          <w:rtl/>
        </w:rPr>
        <w:t xml:space="preserve"> </w:t>
      </w:r>
      <w:r>
        <w:t>Evolutionary Biology</w:t>
      </w:r>
    </w:p>
  </w:footnote>
  <w:footnote w:id="76">
    <w:p w14:paraId="35CA41EA" w14:textId="10AF0D56" w:rsidR="00B47FF5" w:rsidRDefault="00B47FF5" w:rsidP="0020732A">
      <w:pPr>
        <w:pStyle w:val="FootnoteText"/>
      </w:pPr>
      <w:r>
        <w:rPr>
          <w:rStyle w:val="FootnoteReference"/>
        </w:rPr>
        <w:footnoteRef/>
      </w:r>
      <w:r>
        <w:rPr>
          <w:rtl/>
        </w:rPr>
        <w:t xml:space="preserve"> </w:t>
      </w:r>
      <w:r>
        <w:t>Active Inference</w:t>
      </w:r>
    </w:p>
  </w:footnote>
  <w:footnote w:id="77">
    <w:p w14:paraId="2B4F6E60" w14:textId="4BB055C3" w:rsidR="00B47FF5" w:rsidRDefault="00B47FF5" w:rsidP="0020732A">
      <w:pPr>
        <w:pStyle w:val="FootnoteText"/>
      </w:pPr>
      <w:r>
        <w:rPr>
          <w:rStyle w:val="FootnoteReference"/>
        </w:rPr>
        <w:footnoteRef/>
      </w:r>
      <w:r>
        <w:rPr>
          <w:rtl/>
        </w:rPr>
        <w:t xml:space="preserve"> </w:t>
      </w:r>
      <w:r w:rsidRPr="007F4F16">
        <w:t>Bayesian</w:t>
      </w:r>
    </w:p>
  </w:footnote>
  <w:footnote w:id="78">
    <w:p w14:paraId="214A18F1" w14:textId="3F074F1E" w:rsidR="00B47FF5" w:rsidRDefault="00B47FF5" w:rsidP="0020732A">
      <w:pPr>
        <w:pStyle w:val="FootnoteText"/>
      </w:pPr>
      <w:r>
        <w:rPr>
          <w:rStyle w:val="FootnoteReference"/>
        </w:rPr>
        <w:footnoteRef/>
      </w:r>
      <w:r>
        <w:rPr>
          <w:rtl/>
        </w:rPr>
        <w:t xml:space="preserve"> </w:t>
      </w:r>
      <w:r>
        <w:t>Predictive Processing</w:t>
      </w:r>
    </w:p>
  </w:footnote>
  <w:footnote w:id="79">
    <w:p w14:paraId="32AB94A4" w14:textId="0996CC6F" w:rsidR="00B47FF5" w:rsidRDefault="00B47FF5" w:rsidP="0020732A">
      <w:pPr>
        <w:pStyle w:val="FootnoteText"/>
      </w:pPr>
      <w:r>
        <w:rPr>
          <w:rStyle w:val="FootnoteReference"/>
        </w:rPr>
        <w:footnoteRef/>
      </w:r>
      <w:r>
        <w:rPr>
          <w:rtl/>
        </w:rPr>
        <w:t xml:space="preserve"> </w:t>
      </w:r>
      <w:r w:rsidRPr="004E4DC8">
        <w:t>Surfing Uncertainty: Prediction Action And The Embodied Mind</w:t>
      </w:r>
    </w:p>
  </w:footnote>
  <w:footnote w:id="80">
    <w:p w14:paraId="7B722F2A" w14:textId="5F3CF99A" w:rsidR="00B47FF5" w:rsidRDefault="00B47FF5" w:rsidP="0020732A">
      <w:pPr>
        <w:pStyle w:val="FootnoteText"/>
      </w:pPr>
      <w:r>
        <w:rPr>
          <w:rStyle w:val="FootnoteReference"/>
        </w:rPr>
        <w:footnoteRef/>
      </w:r>
      <w:r>
        <w:rPr>
          <w:rtl/>
        </w:rPr>
        <w:t xml:space="preserve"> </w:t>
      </w:r>
      <w:r w:rsidRPr="004E4DC8">
        <w:t>Andy Clark</w:t>
      </w:r>
    </w:p>
  </w:footnote>
  <w:footnote w:id="81">
    <w:p w14:paraId="7CD1F4DF" w14:textId="3E4190AF" w:rsidR="00E40225" w:rsidRDefault="00E40225">
      <w:pPr>
        <w:pStyle w:val="FootnoteText"/>
      </w:pPr>
      <w:r>
        <w:rPr>
          <w:rStyle w:val="FootnoteReference"/>
        </w:rPr>
        <w:footnoteRef/>
      </w:r>
      <w:r>
        <w:t xml:space="preserve"> </w:t>
      </w:r>
      <w:r w:rsidRPr="00E40225">
        <w:t>Prophecies</w:t>
      </w:r>
      <w:r>
        <w:t xml:space="preserve"> </w:t>
      </w:r>
    </w:p>
  </w:footnote>
  <w:footnote w:id="82">
    <w:p w14:paraId="66886B6C" w14:textId="5E48889F" w:rsidR="00B47FF5" w:rsidRDefault="00B47FF5" w:rsidP="0020732A">
      <w:pPr>
        <w:pStyle w:val="FootnoteText"/>
      </w:pPr>
      <w:r>
        <w:rPr>
          <w:rStyle w:val="FootnoteReference"/>
        </w:rPr>
        <w:footnoteRef/>
      </w:r>
      <w:r>
        <w:rPr>
          <w:rtl/>
        </w:rPr>
        <w:t xml:space="preserve"> </w:t>
      </w:r>
      <w:r w:rsidRPr="007F4F16">
        <w:t>Self-fulfilling Prophecies</w:t>
      </w:r>
    </w:p>
  </w:footnote>
  <w:footnote w:id="83">
    <w:p w14:paraId="1A8DF02B" w14:textId="428533AA" w:rsidR="00B47FF5" w:rsidRDefault="00B47FF5" w:rsidP="0020732A">
      <w:pPr>
        <w:pStyle w:val="FootnoteText"/>
      </w:pPr>
      <w:r>
        <w:rPr>
          <w:rStyle w:val="FootnoteReference"/>
        </w:rPr>
        <w:footnoteRef/>
      </w:r>
      <w:r>
        <w:rPr>
          <w:rtl/>
        </w:rPr>
        <w:t xml:space="preserve"> </w:t>
      </w:r>
      <w:r w:rsidRPr="00267D49">
        <w:t>Self-Improving Prophecies</w:t>
      </w:r>
    </w:p>
  </w:footnote>
  <w:footnote w:id="84">
    <w:p w14:paraId="5243649B" w14:textId="1FF687CC" w:rsidR="00B47FF5" w:rsidRDefault="00B47FF5" w:rsidP="0020732A">
      <w:pPr>
        <w:pStyle w:val="FootnoteText"/>
      </w:pPr>
      <w:r>
        <w:rPr>
          <w:rStyle w:val="FootnoteReference"/>
        </w:rPr>
        <w:footnoteRef/>
      </w:r>
      <w:r>
        <w:rPr>
          <w:rtl/>
        </w:rPr>
        <w:t xml:space="preserve"> </w:t>
      </w:r>
      <w:r w:rsidRPr="00DB08C3">
        <w:t>Self-Preventing Prophecies</w:t>
      </w:r>
    </w:p>
  </w:footnote>
  <w:footnote w:id="85">
    <w:p w14:paraId="7E7776FB" w14:textId="0122D711" w:rsidR="00B47FF5" w:rsidRDefault="00B47FF5" w:rsidP="0020732A">
      <w:pPr>
        <w:pStyle w:val="FootnoteText"/>
      </w:pPr>
      <w:r>
        <w:rPr>
          <w:rStyle w:val="FootnoteReference"/>
        </w:rPr>
        <w:footnoteRef/>
      </w:r>
      <w:r>
        <w:rPr>
          <w:rtl/>
        </w:rPr>
        <w:t xml:space="preserve"> </w:t>
      </w:r>
      <w:r w:rsidRPr="00DB08C3">
        <w:t>Self-Defeating Prophecies</w:t>
      </w:r>
    </w:p>
  </w:footnote>
  <w:footnote w:id="86">
    <w:p w14:paraId="02F6A813" w14:textId="69FCF6D8" w:rsidR="00E40225" w:rsidRDefault="00E40225">
      <w:pPr>
        <w:pStyle w:val="FootnoteText"/>
        <w:rPr>
          <w:rtl/>
        </w:rPr>
      </w:pPr>
      <w:r>
        <w:rPr>
          <w:rStyle w:val="FootnoteReference"/>
        </w:rPr>
        <w:footnoteRef/>
      </w:r>
      <w:r>
        <w:t xml:space="preserve"> </w:t>
      </w:r>
      <w:r w:rsidRPr="00E40225">
        <w:t>Strategist</w:t>
      </w:r>
    </w:p>
  </w:footnote>
  <w:footnote w:id="87">
    <w:p w14:paraId="481C71DF" w14:textId="77777777" w:rsidR="00B47FF5" w:rsidRDefault="00B47FF5" w:rsidP="0020732A">
      <w:pPr>
        <w:pStyle w:val="FootnoteText"/>
      </w:pPr>
      <w:r>
        <w:rPr>
          <w:rStyle w:val="FootnoteReference"/>
        </w:rPr>
        <w:footnoteRef/>
      </w:r>
      <w:r>
        <w:rPr>
          <w:rtl/>
        </w:rPr>
        <w:t xml:space="preserve"> </w:t>
      </w:r>
      <w:r w:rsidRPr="004E4DC8">
        <w:t>Joe Coates</w:t>
      </w:r>
    </w:p>
  </w:footnote>
  <w:footnote w:id="88">
    <w:p w14:paraId="06494711" w14:textId="77777777" w:rsidR="00B47FF5" w:rsidRDefault="00B47FF5" w:rsidP="0020732A">
      <w:pPr>
        <w:pStyle w:val="FootnoteText"/>
      </w:pPr>
      <w:r>
        <w:rPr>
          <w:rStyle w:val="FootnoteReference"/>
        </w:rPr>
        <w:footnoteRef/>
      </w:r>
      <w:r>
        <w:rPr>
          <w:rtl/>
        </w:rPr>
        <w:t xml:space="preserve"> </w:t>
      </w:r>
      <w:r w:rsidRPr="004E4DC8">
        <w:t>John</w:t>
      </w:r>
    </w:p>
  </w:footnote>
  <w:footnote w:id="89">
    <w:p w14:paraId="4437FC7D" w14:textId="37D7D916" w:rsidR="00B47FF5" w:rsidRDefault="00B47FF5" w:rsidP="0020732A">
      <w:pPr>
        <w:pStyle w:val="FootnoteText"/>
      </w:pPr>
      <w:r>
        <w:rPr>
          <w:rStyle w:val="FootnoteReference"/>
        </w:rPr>
        <w:footnoteRef/>
      </w:r>
      <w:r>
        <w:rPr>
          <w:rtl/>
        </w:rPr>
        <w:t xml:space="preserve"> </w:t>
      </w:r>
      <w:r>
        <w:t>Client</w:t>
      </w:r>
    </w:p>
  </w:footnote>
  <w:footnote w:id="90">
    <w:p w14:paraId="32DE32C9" w14:textId="77777777" w:rsidR="00B47FF5" w:rsidRDefault="00B47FF5" w:rsidP="0020732A">
      <w:pPr>
        <w:pStyle w:val="FootnoteText"/>
      </w:pPr>
      <w:r>
        <w:rPr>
          <w:rStyle w:val="FootnoteReference"/>
        </w:rPr>
        <w:footnoteRef/>
      </w:r>
      <w:r>
        <w:rPr>
          <w:rtl/>
        </w:rPr>
        <w:t xml:space="preserve"> </w:t>
      </w:r>
      <w:r w:rsidRPr="004E4DC8">
        <w:t>Eric Garland</w:t>
      </w:r>
    </w:p>
  </w:footnote>
  <w:footnote w:id="91">
    <w:p w14:paraId="114F07AA" w14:textId="22294D6B" w:rsidR="00B47FF5" w:rsidRDefault="00B47FF5" w:rsidP="0020732A">
      <w:pPr>
        <w:pStyle w:val="FootnoteText"/>
      </w:pPr>
      <w:r>
        <w:rPr>
          <w:rStyle w:val="FootnoteReference"/>
        </w:rPr>
        <w:footnoteRef/>
      </w:r>
      <w:r>
        <w:rPr>
          <w:rtl/>
        </w:rPr>
        <w:t xml:space="preserve"> </w:t>
      </w:r>
      <w:r w:rsidRPr="004A0F39">
        <w:t>Elegy</w:t>
      </w:r>
    </w:p>
  </w:footnote>
  <w:footnote w:id="92">
    <w:p w14:paraId="1FE5B28B" w14:textId="7A68FFD6" w:rsidR="00B47FF5" w:rsidRDefault="00B47FF5" w:rsidP="0020732A">
      <w:pPr>
        <w:pStyle w:val="FootnoteText"/>
      </w:pPr>
      <w:r>
        <w:rPr>
          <w:rStyle w:val="FootnoteReference"/>
        </w:rPr>
        <w:footnoteRef/>
      </w:r>
      <w:r>
        <w:rPr>
          <w:rtl/>
        </w:rPr>
        <w:t xml:space="preserve"> </w:t>
      </w:r>
      <w:r>
        <w:t>Futurology</w:t>
      </w:r>
    </w:p>
  </w:footnote>
  <w:footnote w:id="93">
    <w:p w14:paraId="49FF314C" w14:textId="0D64B2AE" w:rsidR="00B47FF5" w:rsidRDefault="00B47FF5" w:rsidP="0020732A">
      <w:pPr>
        <w:pStyle w:val="FootnoteText"/>
      </w:pPr>
      <w:r>
        <w:rPr>
          <w:rStyle w:val="FootnoteReference"/>
        </w:rPr>
        <w:footnoteRef/>
      </w:r>
      <w:r>
        <w:rPr>
          <w:rtl/>
        </w:rPr>
        <w:t xml:space="preserve"> </w:t>
      </w:r>
      <w:r w:rsidRPr="005E6288">
        <w:t>Futures Studies</w:t>
      </w:r>
    </w:p>
  </w:footnote>
  <w:footnote w:id="94">
    <w:p w14:paraId="5E13104B" w14:textId="653A292A" w:rsidR="00B47FF5" w:rsidRDefault="00B47FF5" w:rsidP="0020732A">
      <w:pPr>
        <w:pStyle w:val="FootnoteText"/>
      </w:pPr>
      <w:r>
        <w:rPr>
          <w:rStyle w:val="FootnoteReference"/>
        </w:rPr>
        <w:footnoteRef/>
      </w:r>
      <w:r>
        <w:rPr>
          <w:rtl/>
        </w:rPr>
        <w:t xml:space="preserve"> </w:t>
      </w:r>
      <w:r>
        <w:t>Futurism</w:t>
      </w:r>
    </w:p>
  </w:footnote>
  <w:footnote w:id="95">
    <w:p w14:paraId="1C64E55D" w14:textId="4E66053B" w:rsidR="00B47FF5" w:rsidRDefault="00B47FF5" w:rsidP="0020732A">
      <w:pPr>
        <w:pStyle w:val="FootnoteText"/>
      </w:pPr>
      <w:r>
        <w:rPr>
          <w:rStyle w:val="FootnoteReference"/>
        </w:rPr>
        <w:footnoteRef/>
      </w:r>
      <w:r>
        <w:rPr>
          <w:rtl/>
        </w:rPr>
        <w:t xml:space="preserve"> </w:t>
      </w:r>
      <w:r w:rsidRPr="004A0F39">
        <w:t>Futuring</w:t>
      </w:r>
    </w:p>
  </w:footnote>
  <w:footnote w:id="96">
    <w:p w14:paraId="65BFEBA3" w14:textId="460C5477" w:rsidR="00B47FF5" w:rsidRDefault="00B47FF5" w:rsidP="0020732A">
      <w:pPr>
        <w:pStyle w:val="FootnoteText"/>
      </w:pPr>
      <w:r>
        <w:rPr>
          <w:rStyle w:val="FootnoteReference"/>
        </w:rPr>
        <w:footnoteRef/>
      </w:r>
      <w:r>
        <w:rPr>
          <w:rtl/>
        </w:rPr>
        <w:t xml:space="preserve"> </w:t>
      </w:r>
      <w:r w:rsidRPr="00256E8A">
        <w:t>Political Propaganda</w:t>
      </w:r>
    </w:p>
  </w:footnote>
  <w:footnote w:id="97">
    <w:p w14:paraId="0EBFB7AA" w14:textId="495CA5A6" w:rsidR="00B47FF5" w:rsidRDefault="00B47FF5" w:rsidP="0020732A">
      <w:pPr>
        <w:pStyle w:val="FootnoteText"/>
      </w:pPr>
      <w:r>
        <w:rPr>
          <w:rStyle w:val="FootnoteReference"/>
        </w:rPr>
        <w:footnoteRef/>
      </w:r>
      <w:r>
        <w:rPr>
          <w:rtl/>
        </w:rPr>
        <w:t xml:space="preserve"> </w:t>
      </w:r>
      <w:r w:rsidRPr="0032221B">
        <w:t>Prophecy Of Neferti</w:t>
      </w:r>
    </w:p>
  </w:footnote>
  <w:footnote w:id="98">
    <w:p w14:paraId="6BF5BA5D" w14:textId="00B8BD4F" w:rsidR="00B47FF5" w:rsidRDefault="00B47FF5" w:rsidP="0020732A">
      <w:pPr>
        <w:pStyle w:val="FootnoteText"/>
      </w:pPr>
      <w:r>
        <w:rPr>
          <w:rStyle w:val="FootnoteReference"/>
        </w:rPr>
        <w:footnoteRef/>
      </w:r>
      <w:r>
        <w:rPr>
          <w:rtl/>
        </w:rPr>
        <w:t xml:space="preserve"> </w:t>
      </w:r>
      <w:r w:rsidRPr="007B788A">
        <w:t xml:space="preserve">Delphic Oracle </w:t>
      </w:r>
      <w:r>
        <w:t>o</w:t>
      </w:r>
      <w:r w:rsidRPr="007B788A">
        <w:t>f Apollo</w:t>
      </w:r>
    </w:p>
  </w:footnote>
  <w:footnote w:id="99">
    <w:p w14:paraId="4CFB782C" w14:textId="258BD5DE" w:rsidR="00B47FF5" w:rsidRDefault="00B47FF5" w:rsidP="0020732A">
      <w:pPr>
        <w:pStyle w:val="FootnoteText"/>
      </w:pPr>
      <w:r>
        <w:rPr>
          <w:rStyle w:val="FootnoteReference"/>
        </w:rPr>
        <w:footnoteRef/>
      </w:r>
      <w:r>
        <w:rPr>
          <w:rtl/>
        </w:rPr>
        <w:t xml:space="preserve"> </w:t>
      </w:r>
      <w:r>
        <w:t>Etruscon</w:t>
      </w:r>
    </w:p>
  </w:footnote>
  <w:footnote w:id="100">
    <w:p w14:paraId="663E0986" w14:textId="792EF402" w:rsidR="00B47FF5" w:rsidRDefault="00B47FF5" w:rsidP="0020732A">
      <w:pPr>
        <w:pStyle w:val="FootnoteText"/>
      </w:pPr>
      <w:r>
        <w:rPr>
          <w:rStyle w:val="FootnoteReference"/>
        </w:rPr>
        <w:footnoteRef/>
      </w:r>
      <w:r>
        <w:rPr>
          <w:rtl/>
        </w:rPr>
        <w:t xml:space="preserve"> </w:t>
      </w:r>
      <w:r w:rsidRPr="00651EBC">
        <w:t>Utopianism</w:t>
      </w:r>
    </w:p>
  </w:footnote>
  <w:footnote w:id="101">
    <w:p w14:paraId="750035D7" w14:textId="40EA9344" w:rsidR="00B47FF5" w:rsidRDefault="00B47FF5" w:rsidP="0020732A">
      <w:pPr>
        <w:pStyle w:val="FootnoteText"/>
      </w:pPr>
      <w:r>
        <w:rPr>
          <w:rStyle w:val="FootnoteReference"/>
        </w:rPr>
        <w:footnoteRef/>
      </w:r>
      <w:r>
        <w:rPr>
          <w:rtl/>
        </w:rPr>
        <w:t xml:space="preserve"> </w:t>
      </w:r>
      <w:r>
        <w:t>Utopian Foresight</w:t>
      </w:r>
    </w:p>
  </w:footnote>
  <w:footnote w:id="102">
    <w:p w14:paraId="241E62FB" w14:textId="2F74ACE8" w:rsidR="00B47FF5" w:rsidRDefault="00B47FF5" w:rsidP="0020732A">
      <w:pPr>
        <w:pStyle w:val="FootnoteText"/>
      </w:pPr>
      <w:r>
        <w:rPr>
          <w:rStyle w:val="FootnoteReference"/>
        </w:rPr>
        <w:footnoteRef/>
      </w:r>
      <w:r>
        <w:rPr>
          <w:rtl/>
        </w:rPr>
        <w:t xml:space="preserve"> </w:t>
      </w:r>
      <w:r w:rsidRPr="00651EBC">
        <w:t>The Republic</w:t>
      </w:r>
    </w:p>
  </w:footnote>
  <w:footnote w:id="103">
    <w:p w14:paraId="3CC803FC" w14:textId="42C2C9F8" w:rsidR="00B47FF5" w:rsidRDefault="00B47FF5" w:rsidP="0020732A">
      <w:pPr>
        <w:pStyle w:val="FootnoteText"/>
      </w:pPr>
      <w:r>
        <w:rPr>
          <w:rStyle w:val="FootnoteReference"/>
        </w:rPr>
        <w:footnoteRef/>
      </w:r>
      <w:r>
        <w:rPr>
          <w:rtl/>
        </w:rPr>
        <w:t xml:space="preserve"> </w:t>
      </w:r>
      <w:r w:rsidRPr="007B788A">
        <w:t>Utopia</w:t>
      </w:r>
    </w:p>
  </w:footnote>
  <w:footnote w:id="104">
    <w:p w14:paraId="604DBB5A" w14:textId="173420BE" w:rsidR="00B47FF5" w:rsidRDefault="00B47FF5" w:rsidP="0020732A">
      <w:pPr>
        <w:pStyle w:val="FootnoteText"/>
      </w:pPr>
      <w:r>
        <w:rPr>
          <w:rStyle w:val="FootnoteReference"/>
        </w:rPr>
        <w:footnoteRef/>
      </w:r>
      <w:r>
        <w:rPr>
          <w:rtl/>
        </w:rPr>
        <w:t xml:space="preserve"> </w:t>
      </w:r>
      <w:r w:rsidRPr="0032221B">
        <w:t>Thomas More</w:t>
      </w:r>
    </w:p>
  </w:footnote>
  <w:footnote w:id="105">
    <w:p w14:paraId="21195F9D" w14:textId="2BD63D65" w:rsidR="00B47FF5" w:rsidRDefault="00B47FF5" w:rsidP="0020732A">
      <w:pPr>
        <w:pStyle w:val="FootnoteText"/>
      </w:pPr>
      <w:r>
        <w:rPr>
          <w:rStyle w:val="FootnoteReference"/>
        </w:rPr>
        <w:footnoteRef/>
      </w:r>
      <w:r>
        <w:rPr>
          <w:rtl/>
        </w:rPr>
        <w:t xml:space="preserve"> </w:t>
      </w:r>
      <w:r w:rsidRPr="0032221B">
        <w:t>Mao Zedong</w:t>
      </w:r>
    </w:p>
  </w:footnote>
  <w:footnote w:id="106">
    <w:p w14:paraId="6575BD6F" w14:textId="319FCA5C" w:rsidR="00B47FF5" w:rsidRDefault="00B47FF5" w:rsidP="0020732A">
      <w:pPr>
        <w:pStyle w:val="FootnoteText"/>
      </w:pPr>
      <w:r>
        <w:rPr>
          <w:rStyle w:val="FootnoteReference"/>
        </w:rPr>
        <w:footnoteRef/>
      </w:r>
      <w:r>
        <w:rPr>
          <w:rtl/>
        </w:rPr>
        <w:t xml:space="preserve"> </w:t>
      </w:r>
      <w:r>
        <w:t>Secular foresight</w:t>
      </w:r>
    </w:p>
  </w:footnote>
  <w:footnote w:id="107">
    <w:p w14:paraId="70F13C63" w14:textId="0B517B3E" w:rsidR="00B47FF5" w:rsidRDefault="00B47FF5" w:rsidP="0020732A">
      <w:pPr>
        <w:pStyle w:val="FootnoteText"/>
      </w:pPr>
      <w:r>
        <w:rPr>
          <w:rStyle w:val="FootnoteReference"/>
        </w:rPr>
        <w:footnoteRef/>
      </w:r>
      <w:r>
        <w:rPr>
          <w:rtl/>
        </w:rPr>
        <w:t xml:space="preserve"> </w:t>
      </w:r>
      <w:r w:rsidRPr="00670440">
        <w:t>Intuition</w:t>
      </w:r>
    </w:p>
  </w:footnote>
  <w:footnote w:id="108">
    <w:p w14:paraId="71A6A5D6" w14:textId="0467379C" w:rsidR="00B47FF5" w:rsidRDefault="00B47FF5" w:rsidP="0020732A">
      <w:pPr>
        <w:pStyle w:val="FootnoteText"/>
        <w:rPr>
          <w:rtl/>
        </w:rPr>
      </w:pPr>
      <w:r>
        <w:rPr>
          <w:rStyle w:val="FootnoteReference"/>
        </w:rPr>
        <w:footnoteRef/>
      </w:r>
      <w:r>
        <w:rPr>
          <w:rtl/>
        </w:rPr>
        <w:t xml:space="preserve"> </w:t>
      </w:r>
      <w:r>
        <w:t>Reason</w:t>
      </w:r>
    </w:p>
  </w:footnote>
  <w:footnote w:id="109">
    <w:p w14:paraId="2134F6F5" w14:textId="2932FB5D" w:rsidR="00B47FF5" w:rsidRDefault="00B47FF5" w:rsidP="0020732A">
      <w:pPr>
        <w:pStyle w:val="FootnoteText"/>
      </w:pPr>
      <w:r>
        <w:rPr>
          <w:rStyle w:val="FootnoteReference"/>
        </w:rPr>
        <w:footnoteRef/>
      </w:r>
      <w:r>
        <w:rPr>
          <w:rtl/>
        </w:rPr>
        <w:t xml:space="preserve"> </w:t>
      </w:r>
      <w:r w:rsidRPr="0087148B">
        <w:t>Strategic Foresight</w:t>
      </w:r>
    </w:p>
  </w:footnote>
  <w:footnote w:id="110">
    <w:p w14:paraId="07F2E45B" w14:textId="75462607" w:rsidR="00B47FF5" w:rsidRDefault="00B47FF5" w:rsidP="0020732A">
      <w:pPr>
        <w:pStyle w:val="FootnoteText"/>
      </w:pPr>
      <w:r>
        <w:rPr>
          <w:rStyle w:val="FootnoteReference"/>
        </w:rPr>
        <w:footnoteRef/>
      </w:r>
      <w:r>
        <w:rPr>
          <w:rtl/>
        </w:rPr>
        <w:t xml:space="preserve"> </w:t>
      </w:r>
      <w:r>
        <w:t>Environmental Scanning</w:t>
      </w:r>
    </w:p>
  </w:footnote>
  <w:footnote w:id="111">
    <w:p w14:paraId="0C2F3840" w14:textId="57801C62" w:rsidR="00B47FF5" w:rsidRDefault="00B47FF5" w:rsidP="0020732A">
      <w:pPr>
        <w:pStyle w:val="FootnoteText"/>
      </w:pPr>
      <w:r>
        <w:rPr>
          <w:rStyle w:val="FootnoteReference"/>
        </w:rPr>
        <w:footnoteRef/>
      </w:r>
      <w:r>
        <w:rPr>
          <w:rtl/>
        </w:rPr>
        <w:t xml:space="preserve"> </w:t>
      </w:r>
      <w:r>
        <w:t>Argument Mapping</w:t>
      </w:r>
    </w:p>
  </w:footnote>
  <w:footnote w:id="112">
    <w:p w14:paraId="3D8F5D14" w14:textId="009870E1" w:rsidR="00B47FF5" w:rsidRDefault="00B47FF5">
      <w:pPr>
        <w:pStyle w:val="FootnoteText"/>
      </w:pPr>
      <w:r>
        <w:rPr>
          <w:rStyle w:val="FootnoteReference"/>
        </w:rPr>
        <w:footnoteRef/>
      </w:r>
      <w:r>
        <w:t xml:space="preserve"> Scenarios</w:t>
      </w:r>
    </w:p>
  </w:footnote>
  <w:footnote w:id="113">
    <w:p w14:paraId="5EF73BAC" w14:textId="01C9534F" w:rsidR="0015494E" w:rsidRDefault="0015494E">
      <w:pPr>
        <w:pStyle w:val="FootnoteText"/>
      </w:pPr>
      <w:r>
        <w:rPr>
          <w:rStyle w:val="FootnoteReference"/>
        </w:rPr>
        <w:footnoteRef/>
      </w:r>
      <w:r>
        <w:t xml:space="preserve"> Visioning </w:t>
      </w:r>
    </w:p>
  </w:footnote>
  <w:footnote w:id="114">
    <w:p w14:paraId="0A8DA3C7" w14:textId="065FCFA9" w:rsidR="00B47FF5" w:rsidRDefault="00B47FF5" w:rsidP="0020732A">
      <w:pPr>
        <w:pStyle w:val="FootnoteText"/>
      </w:pPr>
      <w:r>
        <w:rPr>
          <w:rStyle w:val="FootnoteReference"/>
        </w:rPr>
        <w:footnoteRef/>
      </w:r>
      <w:r>
        <w:rPr>
          <w:rtl/>
        </w:rPr>
        <w:t xml:space="preserve"> </w:t>
      </w:r>
      <w:r>
        <w:t>Future Thinking</w:t>
      </w:r>
    </w:p>
  </w:footnote>
  <w:footnote w:id="115">
    <w:p w14:paraId="76D0C96E" w14:textId="49904176" w:rsidR="00B47FF5" w:rsidRDefault="00B47FF5" w:rsidP="0020732A">
      <w:pPr>
        <w:pStyle w:val="FootnoteText"/>
      </w:pPr>
      <w:r>
        <w:rPr>
          <w:rStyle w:val="FootnoteReference"/>
        </w:rPr>
        <w:footnoteRef/>
      </w:r>
      <w:r>
        <w:rPr>
          <w:rtl/>
        </w:rPr>
        <w:t xml:space="preserve"> </w:t>
      </w:r>
      <w:r w:rsidRPr="000411F6">
        <w:t>Antecedents</w:t>
      </w:r>
    </w:p>
  </w:footnote>
  <w:footnote w:id="116">
    <w:p w14:paraId="42CC6D62" w14:textId="38FD69DE" w:rsidR="00B47FF5" w:rsidRDefault="00B47FF5" w:rsidP="0020732A">
      <w:pPr>
        <w:pStyle w:val="FootnoteText"/>
        <w:rPr>
          <w:rtl/>
        </w:rPr>
      </w:pPr>
      <w:r>
        <w:rPr>
          <w:rStyle w:val="FootnoteReference"/>
        </w:rPr>
        <w:footnoteRef/>
      </w:r>
      <w:r>
        <w:rPr>
          <w:rtl/>
        </w:rPr>
        <w:t xml:space="preserve"> </w:t>
      </w:r>
      <w:r w:rsidRPr="000411F6">
        <w:t>Dependent</w:t>
      </w:r>
      <w:r>
        <w:t>s</w:t>
      </w:r>
    </w:p>
  </w:footnote>
  <w:footnote w:id="117">
    <w:p w14:paraId="378D1C26" w14:textId="011E5516" w:rsidR="00B47FF5" w:rsidRPr="00B9608B" w:rsidRDefault="00B47FF5" w:rsidP="0020732A">
      <w:pPr>
        <w:pStyle w:val="FootnoteText"/>
      </w:pPr>
      <w:r>
        <w:rPr>
          <w:rStyle w:val="FootnoteReference"/>
        </w:rPr>
        <w:footnoteRef/>
      </w:r>
      <w:r>
        <w:rPr>
          <w:rtl/>
        </w:rPr>
        <w:t xml:space="preserve"> </w:t>
      </w:r>
      <w:r w:rsidRPr="00B9608B">
        <w:t>Prescriptive</w:t>
      </w:r>
    </w:p>
  </w:footnote>
  <w:footnote w:id="118">
    <w:p w14:paraId="3B7DA596" w14:textId="7DA84C4D" w:rsidR="00B47FF5" w:rsidRDefault="00B47FF5" w:rsidP="0020732A">
      <w:pPr>
        <w:pStyle w:val="FootnoteText"/>
      </w:pPr>
      <w:r>
        <w:rPr>
          <w:rStyle w:val="FootnoteReference"/>
        </w:rPr>
        <w:footnoteRef/>
      </w:r>
      <w:r>
        <w:rPr>
          <w:rtl/>
        </w:rPr>
        <w:t xml:space="preserve"> </w:t>
      </w:r>
      <w:r>
        <w:t>Adaptive Foresight</w:t>
      </w:r>
    </w:p>
  </w:footnote>
  <w:footnote w:id="119">
    <w:p w14:paraId="5E4645C7" w14:textId="351F3B89" w:rsidR="00B47FF5" w:rsidRDefault="00B47FF5" w:rsidP="0020732A">
      <w:pPr>
        <w:pStyle w:val="FootnoteText"/>
      </w:pPr>
      <w:r>
        <w:rPr>
          <w:rStyle w:val="FootnoteReference"/>
        </w:rPr>
        <w:footnoteRef/>
      </w:r>
      <w:r>
        <w:rPr>
          <w:rtl/>
        </w:rPr>
        <w:t xml:space="preserve"> </w:t>
      </w:r>
      <w:r w:rsidRPr="00B9608B">
        <w:t>Progress</w:t>
      </w:r>
    </w:p>
  </w:footnote>
  <w:footnote w:id="120">
    <w:p w14:paraId="48EFDEC6" w14:textId="3348E7A6" w:rsidR="00B47FF5" w:rsidRDefault="00B47FF5" w:rsidP="0020732A">
      <w:pPr>
        <w:pStyle w:val="FootnoteText"/>
      </w:pPr>
      <w:r>
        <w:rPr>
          <w:rStyle w:val="FootnoteReference"/>
        </w:rPr>
        <w:footnoteRef/>
      </w:r>
      <w:r>
        <w:rPr>
          <w:rtl/>
        </w:rPr>
        <w:t xml:space="preserve"> </w:t>
      </w:r>
      <w:r w:rsidRPr="00B9608B">
        <w:t>Improve</w:t>
      </w:r>
    </w:p>
  </w:footnote>
  <w:footnote w:id="121">
    <w:p w14:paraId="354238F5" w14:textId="7DAD5655" w:rsidR="00B47FF5" w:rsidRDefault="00B47FF5" w:rsidP="0020732A">
      <w:pPr>
        <w:pStyle w:val="FootnoteText"/>
      </w:pPr>
      <w:r>
        <w:rPr>
          <w:rStyle w:val="FootnoteReference"/>
        </w:rPr>
        <w:footnoteRef/>
      </w:r>
      <w:r>
        <w:rPr>
          <w:rtl/>
        </w:rPr>
        <w:t xml:space="preserve"> </w:t>
      </w:r>
      <w:r w:rsidRPr="00092BD7">
        <w:t>Advance</w:t>
      </w:r>
    </w:p>
  </w:footnote>
  <w:footnote w:id="122">
    <w:p w14:paraId="488FDF7A" w14:textId="1195EE6A" w:rsidR="00B47FF5" w:rsidRDefault="00B47FF5" w:rsidP="0020732A">
      <w:pPr>
        <w:pStyle w:val="FootnoteText"/>
      </w:pPr>
      <w:r>
        <w:rPr>
          <w:rStyle w:val="FootnoteReference"/>
        </w:rPr>
        <w:footnoteRef/>
      </w:r>
      <w:r>
        <w:rPr>
          <w:rtl/>
        </w:rPr>
        <w:t xml:space="preserve"> </w:t>
      </w:r>
      <w:r>
        <w:t>Normative</w:t>
      </w:r>
    </w:p>
  </w:footnote>
  <w:footnote w:id="123">
    <w:p w14:paraId="527D284E" w14:textId="2B3E104C" w:rsidR="00B47FF5" w:rsidRDefault="00B47FF5" w:rsidP="0020732A">
      <w:pPr>
        <w:pStyle w:val="FootnoteText"/>
      </w:pPr>
      <w:r>
        <w:rPr>
          <w:rStyle w:val="FootnoteReference"/>
        </w:rPr>
        <w:footnoteRef/>
      </w:r>
      <w:r>
        <w:rPr>
          <w:rtl/>
        </w:rPr>
        <w:t xml:space="preserve"> </w:t>
      </w:r>
      <w:r>
        <w:t xml:space="preserve">Evo-Devo </w:t>
      </w:r>
      <w:r w:rsidRPr="00092BD7">
        <w:t>Foresight</w:t>
      </w:r>
    </w:p>
  </w:footnote>
  <w:footnote w:id="124">
    <w:p w14:paraId="26802223" w14:textId="411D4B1B" w:rsidR="00B47FF5" w:rsidRDefault="00B47FF5" w:rsidP="0020732A">
      <w:pPr>
        <w:pStyle w:val="FootnoteText"/>
      </w:pPr>
      <w:r>
        <w:rPr>
          <w:rStyle w:val="FootnoteReference"/>
        </w:rPr>
        <w:footnoteRef/>
      </w:r>
      <w:r>
        <w:rPr>
          <w:rtl/>
        </w:rPr>
        <w:t xml:space="preserve"> </w:t>
      </w:r>
      <w:r>
        <w:t>Speculative</w:t>
      </w:r>
    </w:p>
  </w:footnote>
  <w:footnote w:id="125">
    <w:p w14:paraId="1CAA5E7A" w14:textId="26D10F8C" w:rsidR="00B47FF5" w:rsidRDefault="00B47FF5" w:rsidP="0020732A">
      <w:pPr>
        <w:pStyle w:val="FootnoteText"/>
      </w:pPr>
      <w:r>
        <w:rPr>
          <w:rStyle w:val="FootnoteReference"/>
        </w:rPr>
        <w:footnoteRef/>
      </w:r>
      <w:r>
        <w:rPr>
          <w:rtl/>
        </w:rPr>
        <w:t xml:space="preserve"> </w:t>
      </w:r>
      <w:r>
        <w:t>Intrinsic Values</w:t>
      </w:r>
    </w:p>
  </w:footnote>
  <w:footnote w:id="126">
    <w:p w14:paraId="4EF725EB" w14:textId="7EC573D6" w:rsidR="00B47FF5" w:rsidRDefault="00B47FF5" w:rsidP="0020732A">
      <w:pPr>
        <w:pStyle w:val="FootnoteText"/>
      </w:pPr>
      <w:r>
        <w:rPr>
          <w:rStyle w:val="FootnoteReference"/>
        </w:rPr>
        <w:footnoteRef/>
      </w:r>
      <w:r>
        <w:rPr>
          <w:rtl/>
        </w:rPr>
        <w:t xml:space="preserve"> </w:t>
      </w:r>
      <w:r>
        <w:t>Surviving</w:t>
      </w:r>
    </w:p>
  </w:footnote>
  <w:footnote w:id="127">
    <w:p w14:paraId="7A7679AA" w14:textId="43B773AF" w:rsidR="00B47FF5" w:rsidRDefault="00B47FF5" w:rsidP="0020732A">
      <w:pPr>
        <w:pStyle w:val="FootnoteText"/>
      </w:pPr>
      <w:r>
        <w:rPr>
          <w:rStyle w:val="FootnoteReference"/>
        </w:rPr>
        <w:footnoteRef/>
      </w:r>
      <w:r>
        <w:rPr>
          <w:rtl/>
        </w:rPr>
        <w:t xml:space="preserve"> </w:t>
      </w:r>
      <w:r>
        <w:t>Thriving</w:t>
      </w:r>
    </w:p>
  </w:footnote>
  <w:footnote w:id="128">
    <w:p w14:paraId="2E267209" w14:textId="2BA6B67A" w:rsidR="00B47FF5" w:rsidRDefault="00B47FF5" w:rsidP="0020732A">
      <w:pPr>
        <w:pStyle w:val="FootnoteText"/>
      </w:pPr>
      <w:r>
        <w:rPr>
          <w:rStyle w:val="FootnoteReference"/>
        </w:rPr>
        <w:footnoteRef/>
      </w:r>
      <w:r>
        <w:rPr>
          <w:rtl/>
        </w:rPr>
        <w:t xml:space="preserve"> </w:t>
      </w:r>
      <w:r>
        <w:t>Tradeoff</w:t>
      </w:r>
    </w:p>
  </w:footnote>
  <w:footnote w:id="129">
    <w:p w14:paraId="13F17FBD" w14:textId="35F3D61F" w:rsidR="00B47FF5" w:rsidRDefault="00B47FF5" w:rsidP="0020732A">
      <w:pPr>
        <w:pStyle w:val="FootnoteText"/>
      </w:pPr>
      <w:r>
        <w:rPr>
          <w:rStyle w:val="FootnoteReference"/>
        </w:rPr>
        <w:footnoteRef/>
      </w:r>
      <w:r>
        <w:rPr>
          <w:rtl/>
        </w:rPr>
        <w:t xml:space="preserve"> </w:t>
      </w:r>
      <w:r>
        <w:t>Selective Environment</w:t>
      </w:r>
    </w:p>
  </w:footnote>
  <w:footnote w:id="130">
    <w:p w14:paraId="32BE3F8A" w14:textId="15DC12EE" w:rsidR="00B47FF5" w:rsidRDefault="00B47FF5" w:rsidP="0020732A">
      <w:pPr>
        <w:pStyle w:val="FootnoteText"/>
      </w:pPr>
      <w:r>
        <w:rPr>
          <w:rStyle w:val="FootnoteReference"/>
        </w:rPr>
        <w:footnoteRef/>
      </w:r>
      <w:r>
        <w:rPr>
          <w:rtl/>
        </w:rPr>
        <w:t xml:space="preserve"> </w:t>
      </w:r>
      <w:r>
        <w:t>Global</w:t>
      </w:r>
    </w:p>
  </w:footnote>
  <w:footnote w:id="131">
    <w:p w14:paraId="47986EB8" w14:textId="3AD2B1CA" w:rsidR="00B47FF5" w:rsidRDefault="00B47FF5" w:rsidP="0020732A">
      <w:pPr>
        <w:pStyle w:val="FootnoteText"/>
      </w:pPr>
      <w:r>
        <w:rPr>
          <w:rStyle w:val="FootnoteReference"/>
        </w:rPr>
        <w:footnoteRef/>
      </w:r>
      <w:r>
        <w:rPr>
          <w:rtl/>
        </w:rPr>
        <w:t xml:space="preserve"> </w:t>
      </w:r>
      <w:r w:rsidRPr="0032221B">
        <w:t>Universal</w:t>
      </w:r>
    </w:p>
  </w:footnote>
  <w:footnote w:id="132">
    <w:p w14:paraId="3DDC5DAA" w14:textId="2D004689" w:rsidR="00B47FF5" w:rsidRDefault="00B47FF5" w:rsidP="0020732A">
      <w:pPr>
        <w:pStyle w:val="FootnoteText"/>
      </w:pPr>
      <w:r>
        <w:rPr>
          <w:rStyle w:val="FootnoteReference"/>
        </w:rPr>
        <w:footnoteRef/>
      </w:r>
      <w:r>
        <w:rPr>
          <w:rtl/>
        </w:rPr>
        <w:t xml:space="preserve"> </w:t>
      </w:r>
      <w:r w:rsidRPr="0032221B">
        <w:t>Andy Hines</w:t>
      </w:r>
    </w:p>
  </w:footnote>
  <w:footnote w:id="133">
    <w:p w14:paraId="4A020DE9" w14:textId="28C11CB2" w:rsidR="00B47FF5" w:rsidRDefault="00B47FF5" w:rsidP="0020732A">
      <w:pPr>
        <w:pStyle w:val="FootnoteText"/>
      </w:pPr>
      <w:r>
        <w:rPr>
          <w:rStyle w:val="FootnoteReference"/>
        </w:rPr>
        <w:footnoteRef/>
      </w:r>
      <w:r>
        <w:rPr>
          <w:rtl/>
        </w:rPr>
        <w:t xml:space="preserve"> </w:t>
      </w:r>
      <w:r w:rsidRPr="0032221B">
        <w:t>Jeff Gold</w:t>
      </w:r>
    </w:p>
  </w:footnote>
  <w:footnote w:id="134">
    <w:p w14:paraId="241FEBFF" w14:textId="40756B1A" w:rsidR="002F3C14" w:rsidRDefault="002F3C14">
      <w:pPr>
        <w:pStyle w:val="FootnoteText"/>
        <w:rPr>
          <w:rtl/>
        </w:rPr>
      </w:pPr>
      <w:r>
        <w:rPr>
          <w:rStyle w:val="FootnoteReference"/>
        </w:rPr>
        <w:footnoteRef/>
      </w:r>
      <w:r>
        <w:t xml:space="preserve"> </w:t>
      </w:r>
      <w:r w:rsidRPr="002F3C14">
        <w:t>Professionalizing Foresight</w:t>
      </w:r>
    </w:p>
  </w:footnote>
  <w:footnote w:id="135">
    <w:p w14:paraId="4BDC849A" w14:textId="4B7CD29B" w:rsidR="00B47FF5" w:rsidRDefault="00B47FF5" w:rsidP="0020732A">
      <w:pPr>
        <w:pStyle w:val="FootnoteText"/>
      </w:pPr>
      <w:r>
        <w:rPr>
          <w:rStyle w:val="FootnoteReference"/>
        </w:rPr>
        <w:footnoteRef/>
      </w:r>
      <w:r>
        <w:rPr>
          <w:rtl/>
        </w:rPr>
        <w:t xml:space="preserve"> </w:t>
      </w:r>
      <w:r w:rsidRPr="0032221B">
        <w:t>J. Futures Studies</w:t>
      </w:r>
    </w:p>
  </w:footnote>
  <w:footnote w:id="136">
    <w:p w14:paraId="65D7E36E" w14:textId="6A817CE0" w:rsidR="00B47FF5" w:rsidRDefault="00B47FF5" w:rsidP="0020732A">
      <w:pPr>
        <w:pStyle w:val="FootnoteText"/>
      </w:pPr>
      <w:r>
        <w:rPr>
          <w:rStyle w:val="FootnoteReference"/>
        </w:rPr>
        <w:footnoteRef/>
      </w:r>
      <w:r>
        <w:rPr>
          <w:rtl/>
        </w:rPr>
        <w:t xml:space="preserve"> </w:t>
      </w:r>
      <w:r w:rsidRPr="0032221B">
        <w:t>The Economist</w:t>
      </w:r>
    </w:p>
  </w:footnote>
  <w:footnote w:id="137">
    <w:p w14:paraId="263CEAD9" w14:textId="77777777" w:rsidR="00B47FF5" w:rsidRDefault="00B47FF5" w:rsidP="0020732A">
      <w:pPr>
        <w:pStyle w:val="FootnoteText"/>
      </w:pPr>
      <w:r>
        <w:rPr>
          <w:rStyle w:val="FootnoteReference"/>
        </w:rPr>
        <w:footnoteRef/>
      </w:r>
      <w:r>
        <w:rPr>
          <w:rtl/>
        </w:rPr>
        <w:t xml:space="preserve"> </w:t>
      </w:r>
      <w:r w:rsidRPr="0032221B">
        <w:t>Peter Bishop</w:t>
      </w:r>
    </w:p>
  </w:footnote>
  <w:footnote w:id="138">
    <w:p w14:paraId="0A0A524A" w14:textId="77777777" w:rsidR="00B47FF5" w:rsidRDefault="00B47FF5" w:rsidP="0020732A">
      <w:pPr>
        <w:pStyle w:val="FootnoteText"/>
      </w:pPr>
      <w:r>
        <w:rPr>
          <w:rStyle w:val="FootnoteReference"/>
        </w:rPr>
        <w:footnoteRef/>
      </w:r>
      <w:r>
        <w:rPr>
          <w:rtl/>
        </w:rPr>
        <w:t xml:space="preserve"> </w:t>
      </w:r>
      <w:r w:rsidRPr="0032221B">
        <w:t>U. Houston</w:t>
      </w:r>
    </w:p>
  </w:footnote>
  <w:footnote w:id="139">
    <w:p w14:paraId="490390FD" w14:textId="1B9FC3EE" w:rsidR="00B47FF5" w:rsidRDefault="00B47FF5" w:rsidP="0020732A">
      <w:pPr>
        <w:pStyle w:val="FootnoteText"/>
      </w:pPr>
      <w:r>
        <w:rPr>
          <w:rStyle w:val="FootnoteReference"/>
        </w:rPr>
        <w:footnoteRef/>
      </w:r>
      <w:r>
        <w:rPr>
          <w:rtl/>
        </w:rPr>
        <w:t xml:space="preserve"> </w:t>
      </w:r>
      <w:r>
        <w:t>Leo Tolstoy</w:t>
      </w:r>
    </w:p>
  </w:footnote>
  <w:footnote w:id="140">
    <w:p w14:paraId="28DE04EA" w14:textId="4C47D238" w:rsidR="00B47FF5" w:rsidRDefault="00B47FF5" w:rsidP="0020732A">
      <w:pPr>
        <w:pStyle w:val="FootnoteText"/>
      </w:pPr>
      <w:r>
        <w:rPr>
          <w:rStyle w:val="FootnoteReference"/>
        </w:rPr>
        <w:footnoteRef/>
      </w:r>
      <w:r>
        <w:rPr>
          <w:rtl/>
        </w:rPr>
        <w:t xml:space="preserve"> </w:t>
      </w:r>
      <w:r>
        <w:t>Anna Karenina</w:t>
      </w:r>
    </w:p>
  </w:footnote>
  <w:footnote w:id="141">
    <w:p w14:paraId="686F5807" w14:textId="309E4E0F" w:rsidR="00B47FF5" w:rsidRDefault="00B47FF5" w:rsidP="0020732A">
      <w:pPr>
        <w:pStyle w:val="FootnoteText"/>
      </w:pPr>
      <w:r>
        <w:rPr>
          <w:rStyle w:val="FootnoteReference"/>
        </w:rPr>
        <w:footnoteRef/>
      </w:r>
      <w:r>
        <w:rPr>
          <w:rtl/>
        </w:rPr>
        <w:t xml:space="preserve"> </w:t>
      </w:r>
      <w:r>
        <w:t>Purpose</w:t>
      </w:r>
    </w:p>
  </w:footnote>
  <w:footnote w:id="142">
    <w:p w14:paraId="1290E847" w14:textId="6998CDA8" w:rsidR="00B47FF5" w:rsidRDefault="00B47FF5" w:rsidP="0020732A">
      <w:pPr>
        <w:pStyle w:val="FootnoteText"/>
      </w:pPr>
      <w:r>
        <w:rPr>
          <w:rStyle w:val="FootnoteReference"/>
        </w:rPr>
        <w:footnoteRef/>
      </w:r>
      <w:r>
        <w:rPr>
          <w:rtl/>
        </w:rPr>
        <w:t xml:space="preserve"> </w:t>
      </w:r>
      <w:r w:rsidRPr="006B5850">
        <w:t>Advance</w:t>
      </w:r>
    </w:p>
  </w:footnote>
  <w:footnote w:id="143">
    <w:p w14:paraId="5C2B9633" w14:textId="627F6132" w:rsidR="00B47FF5" w:rsidRDefault="00B47FF5" w:rsidP="0020732A">
      <w:pPr>
        <w:pStyle w:val="FootnoteText"/>
      </w:pPr>
      <w:r>
        <w:rPr>
          <w:rStyle w:val="FootnoteReference"/>
        </w:rPr>
        <w:footnoteRef/>
      </w:r>
      <w:r>
        <w:rPr>
          <w:rtl/>
        </w:rPr>
        <w:t xml:space="preserve"> </w:t>
      </w:r>
      <w:r>
        <w:t>Replicate</w:t>
      </w:r>
    </w:p>
  </w:footnote>
  <w:footnote w:id="144">
    <w:p w14:paraId="0F2E1B64" w14:textId="3B739BBC" w:rsidR="00B47FF5" w:rsidRDefault="00B47FF5" w:rsidP="0020732A">
      <w:pPr>
        <w:pStyle w:val="FootnoteText"/>
      </w:pPr>
      <w:r>
        <w:rPr>
          <w:rStyle w:val="FootnoteReference"/>
        </w:rPr>
        <w:footnoteRef/>
      </w:r>
      <w:r>
        <w:rPr>
          <w:rtl/>
        </w:rPr>
        <w:t xml:space="preserve"> </w:t>
      </w:r>
      <w:r w:rsidRPr="006B5850">
        <w:t>Omniscient</w:t>
      </w:r>
    </w:p>
  </w:footnote>
  <w:footnote w:id="145">
    <w:p w14:paraId="76DD7E47" w14:textId="3C786CBB" w:rsidR="00B47FF5" w:rsidRDefault="00B47FF5" w:rsidP="0020732A">
      <w:pPr>
        <w:pStyle w:val="FootnoteText"/>
      </w:pPr>
      <w:r>
        <w:rPr>
          <w:rStyle w:val="FootnoteReference"/>
        </w:rPr>
        <w:footnoteRef/>
      </w:r>
      <w:r>
        <w:rPr>
          <w:rtl/>
        </w:rPr>
        <w:t xml:space="preserve"> </w:t>
      </w:r>
      <w:r>
        <w:t>Happy</w:t>
      </w:r>
    </w:p>
  </w:footnote>
  <w:footnote w:id="146">
    <w:p w14:paraId="2A42576A" w14:textId="01188496" w:rsidR="00B47FF5" w:rsidRDefault="00B47FF5" w:rsidP="0020732A">
      <w:pPr>
        <w:pStyle w:val="FootnoteText"/>
      </w:pPr>
      <w:r>
        <w:rPr>
          <w:rStyle w:val="FootnoteReference"/>
        </w:rPr>
        <w:footnoteRef/>
      </w:r>
      <w:r>
        <w:rPr>
          <w:rtl/>
        </w:rPr>
        <w:t xml:space="preserve"> </w:t>
      </w:r>
      <w:r>
        <w:t>Problematic Roles</w:t>
      </w:r>
    </w:p>
  </w:footnote>
  <w:footnote w:id="147">
    <w:p w14:paraId="4E204D75" w14:textId="233DE30B" w:rsidR="00B47FF5" w:rsidRDefault="00B47FF5" w:rsidP="0020732A">
      <w:pPr>
        <w:pStyle w:val="FootnoteText"/>
      </w:pPr>
      <w:r>
        <w:rPr>
          <w:rStyle w:val="FootnoteReference"/>
        </w:rPr>
        <w:footnoteRef/>
      </w:r>
      <w:r>
        <w:rPr>
          <w:rtl/>
        </w:rPr>
        <w:t xml:space="preserve"> </w:t>
      </w:r>
      <w:r>
        <w:t>Maladaptive</w:t>
      </w:r>
    </w:p>
  </w:footnote>
  <w:footnote w:id="148">
    <w:p w14:paraId="48485413" w14:textId="4B1C83A8" w:rsidR="00B47FF5" w:rsidRDefault="00B47FF5" w:rsidP="0020732A">
      <w:pPr>
        <w:pStyle w:val="FootnoteText"/>
      </w:pPr>
      <w:r>
        <w:rPr>
          <w:rStyle w:val="FootnoteReference"/>
        </w:rPr>
        <w:footnoteRef/>
      </w:r>
      <w:r>
        <w:rPr>
          <w:rtl/>
        </w:rPr>
        <w:t xml:space="preserve"> </w:t>
      </w:r>
      <w:r>
        <w:t>Foresight Pyramid</w:t>
      </w:r>
    </w:p>
  </w:footnote>
  <w:footnote w:id="149">
    <w:p w14:paraId="19CE3D30" w14:textId="6142870A" w:rsidR="00B47FF5" w:rsidRDefault="00B47FF5" w:rsidP="0020732A">
      <w:pPr>
        <w:pStyle w:val="FootnoteText"/>
      </w:pPr>
      <w:r>
        <w:rPr>
          <w:rStyle w:val="FootnoteReference"/>
        </w:rPr>
        <w:footnoteRef/>
      </w:r>
      <w:r>
        <w:rPr>
          <w:rtl/>
        </w:rPr>
        <w:t xml:space="preserve"> </w:t>
      </w:r>
      <w:r>
        <w:t>Map</w:t>
      </w:r>
    </w:p>
  </w:footnote>
  <w:footnote w:id="150">
    <w:p w14:paraId="180E1D93" w14:textId="498B4CEA" w:rsidR="00B47FF5" w:rsidRDefault="00B47FF5" w:rsidP="0020732A">
      <w:pPr>
        <w:pStyle w:val="FootnoteText"/>
      </w:pPr>
      <w:r>
        <w:rPr>
          <w:rStyle w:val="FootnoteReference"/>
        </w:rPr>
        <w:footnoteRef/>
      </w:r>
      <w:r>
        <w:rPr>
          <w:rtl/>
        </w:rPr>
        <w:t xml:space="preserve"> </w:t>
      </w:r>
      <w:r w:rsidRPr="00067BE1">
        <w:t>Scope</w:t>
      </w:r>
    </w:p>
  </w:footnote>
  <w:footnote w:id="151">
    <w:p w14:paraId="709160A6" w14:textId="630DF604" w:rsidR="00B47FF5" w:rsidRDefault="00B47FF5" w:rsidP="0020732A">
      <w:pPr>
        <w:pStyle w:val="FootnoteText"/>
      </w:pPr>
      <w:r>
        <w:rPr>
          <w:rStyle w:val="FootnoteReference"/>
        </w:rPr>
        <w:footnoteRef/>
      </w:r>
      <w:r>
        <w:rPr>
          <w:rtl/>
        </w:rPr>
        <w:t xml:space="preserve"> </w:t>
      </w:r>
      <w:r>
        <w:t>Introduction To Foresight</w:t>
      </w:r>
    </w:p>
  </w:footnote>
  <w:footnote w:id="152">
    <w:p w14:paraId="1435AEC1" w14:textId="12218A30" w:rsidR="00B47FF5" w:rsidRDefault="00B47FF5" w:rsidP="0020732A">
      <w:pPr>
        <w:pStyle w:val="FootnoteText"/>
      </w:pPr>
      <w:r>
        <w:rPr>
          <w:rStyle w:val="FootnoteReference"/>
        </w:rPr>
        <w:footnoteRef/>
      </w:r>
      <w:r>
        <w:rPr>
          <w:rtl/>
        </w:rPr>
        <w:t xml:space="preserve"> </w:t>
      </w:r>
      <w:r>
        <w:t>Big Picture Foresight</w:t>
      </w:r>
    </w:p>
  </w:footnote>
  <w:footnote w:id="153">
    <w:p w14:paraId="6A7DCBB2" w14:textId="5CD4B585" w:rsidR="00B47FF5" w:rsidRDefault="00B47FF5" w:rsidP="0020732A">
      <w:pPr>
        <w:pStyle w:val="FootnoteText"/>
      </w:pPr>
      <w:r>
        <w:rPr>
          <w:rStyle w:val="FootnoteReference"/>
        </w:rPr>
        <w:footnoteRef/>
      </w:r>
      <w:r>
        <w:rPr>
          <w:rtl/>
        </w:rPr>
        <w:t xml:space="preserve"> </w:t>
      </w:r>
      <w:r w:rsidRPr="00ED087E">
        <w:t>What-Ifing</w:t>
      </w:r>
    </w:p>
  </w:footnote>
  <w:footnote w:id="154">
    <w:p w14:paraId="76FC6498" w14:textId="4DC6F8C0" w:rsidR="00B47FF5" w:rsidRDefault="00B47FF5" w:rsidP="0020732A">
      <w:pPr>
        <w:pStyle w:val="FootnoteText"/>
      </w:pPr>
      <w:r>
        <w:rPr>
          <w:rStyle w:val="FootnoteReference"/>
        </w:rPr>
        <w:footnoteRef/>
      </w:r>
      <w:r>
        <w:rPr>
          <w:rtl/>
        </w:rPr>
        <w:t xml:space="preserve"> </w:t>
      </w:r>
      <w:r>
        <w:t>Emotional Intelligence</w:t>
      </w:r>
    </w:p>
  </w:footnote>
  <w:footnote w:id="155">
    <w:p w14:paraId="4BAC21DD" w14:textId="273815FE" w:rsidR="00B47FF5" w:rsidRDefault="00B47FF5" w:rsidP="0020732A">
      <w:pPr>
        <w:pStyle w:val="FootnoteText"/>
      </w:pPr>
      <w:r>
        <w:rPr>
          <w:rStyle w:val="FootnoteReference"/>
        </w:rPr>
        <w:footnoteRef/>
      </w:r>
      <w:r>
        <w:rPr>
          <w:rtl/>
        </w:rPr>
        <w:t xml:space="preserve"> </w:t>
      </w:r>
      <w:r>
        <w:t>Superpower</w:t>
      </w:r>
    </w:p>
  </w:footnote>
  <w:footnote w:id="156">
    <w:p w14:paraId="259C04DC" w14:textId="6599CE73" w:rsidR="00B47FF5" w:rsidRDefault="00B47FF5" w:rsidP="0020732A">
      <w:pPr>
        <w:pStyle w:val="FootnoteText"/>
      </w:pPr>
      <w:r>
        <w:rPr>
          <w:rStyle w:val="FootnoteReference"/>
        </w:rPr>
        <w:footnoteRef/>
      </w:r>
      <w:r>
        <w:rPr>
          <w:rtl/>
        </w:rPr>
        <w:t xml:space="preserve"> </w:t>
      </w:r>
      <w:r>
        <w:t>Context</w:t>
      </w:r>
    </w:p>
  </w:footnote>
  <w:footnote w:id="157">
    <w:p w14:paraId="6D734323" w14:textId="765B60C4" w:rsidR="00B47FF5" w:rsidRDefault="00B47FF5" w:rsidP="0020732A">
      <w:pPr>
        <w:pStyle w:val="FootnoteText"/>
      </w:pPr>
      <w:r>
        <w:rPr>
          <w:rStyle w:val="FootnoteReference"/>
        </w:rPr>
        <w:footnoteRef/>
      </w:r>
      <w:r>
        <w:rPr>
          <w:rtl/>
        </w:rPr>
        <w:t xml:space="preserve"> </w:t>
      </w:r>
      <w:r>
        <w:t>Preferred Futures</w:t>
      </w:r>
    </w:p>
  </w:footnote>
  <w:footnote w:id="158">
    <w:p w14:paraId="79E38009" w14:textId="47A0C5DF" w:rsidR="00B47FF5" w:rsidRDefault="00B47FF5" w:rsidP="0020732A">
      <w:pPr>
        <w:pStyle w:val="FootnoteText"/>
      </w:pPr>
      <w:r>
        <w:rPr>
          <w:rStyle w:val="FootnoteReference"/>
        </w:rPr>
        <w:footnoteRef/>
      </w:r>
      <w:r>
        <w:rPr>
          <w:rtl/>
        </w:rPr>
        <w:t xml:space="preserve"> </w:t>
      </w:r>
      <w:r>
        <w:t>Possible Futures</w:t>
      </w:r>
    </w:p>
  </w:footnote>
  <w:footnote w:id="159">
    <w:p w14:paraId="27B3CFE2" w14:textId="447D69D2" w:rsidR="00B47FF5" w:rsidRDefault="00B47FF5" w:rsidP="0020732A">
      <w:pPr>
        <w:pStyle w:val="FootnoteText"/>
      </w:pPr>
      <w:r>
        <w:rPr>
          <w:rStyle w:val="FootnoteReference"/>
        </w:rPr>
        <w:footnoteRef/>
      </w:r>
      <w:r>
        <w:rPr>
          <w:rtl/>
        </w:rPr>
        <w:t xml:space="preserve"> </w:t>
      </w:r>
      <w:r w:rsidRPr="00454D47">
        <w:t>Probable Futures</w:t>
      </w:r>
    </w:p>
  </w:footnote>
  <w:footnote w:id="160">
    <w:p w14:paraId="383AD942" w14:textId="78E7DA86" w:rsidR="00B47FF5" w:rsidRDefault="00B47FF5" w:rsidP="0020732A">
      <w:pPr>
        <w:pStyle w:val="FootnoteText"/>
      </w:pPr>
      <w:r>
        <w:rPr>
          <w:rStyle w:val="FootnoteReference"/>
        </w:rPr>
        <w:footnoteRef/>
      </w:r>
      <w:r>
        <w:rPr>
          <w:rtl/>
        </w:rPr>
        <w:t xml:space="preserve"> </w:t>
      </w:r>
      <w:r>
        <w:t>Natural Philosophy</w:t>
      </w:r>
    </w:p>
  </w:footnote>
  <w:footnote w:id="161">
    <w:p w14:paraId="44AD8FBE" w14:textId="1D32F45A" w:rsidR="00B47FF5" w:rsidRDefault="00B47FF5" w:rsidP="0020732A">
      <w:pPr>
        <w:pStyle w:val="FootnoteText"/>
      </w:pPr>
      <w:r>
        <w:rPr>
          <w:rStyle w:val="FootnoteReference"/>
        </w:rPr>
        <w:footnoteRef/>
      </w:r>
      <w:r>
        <w:rPr>
          <w:rtl/>
        </w:rPr>
        <w:t xml:space="preserve"> </w:t>
      </w:r>
      <w:r>
        <w:t>Possibility Thinking</w:t>
      </w:r>
    </w:p>
  </w:footnote>
  <w:footnote w:id="162">
    <w:p w14:paraId="517052E6" w14:textId="72D2F47E" w:rsidR="00B47FF5" w:rsidRDefault="00B47FF5" w:rsidP="0020732A">
      <w:pPr>
        <w:pStyle w:val="FootnoteText"/>
      </w:pPr>
      <w:r>
        <w:rPr>
          <w:rStyle w:val="FootnoteReference"/>
        </w:rPr>
        <w:footnoteRef/>
      </w:r>
      <w:r>
        <w:rPr>
          <w:rtl/>
        </w:rPr>
        <w:t xml:space="preserve"> </w:t>
      </w:r>
      <w:r>
        <w:t>Comprehensive</w:t>
      </w:r>
    </w:p>
  </w:footnote>
  <w:footnote w:id="163">
    <w:p w14:paraId="5D292A74" w14:textId="201E3A29" w:rsidR="00B47FF5" w:rsidRDefault="00B47FF5" w:rsidP="0020732A">
      <w:pPr>
        <w:pStyle w:val="FootnoteText"/>
      </w:pPr>
      <w:r>
        <w:rPr>
          <w:rStyle w:val="FootnoteReference"/>
        </w:rPr>
        <w:footnoteRef/>
      </w:r>
      <w:r>
        <w:rPr>
          <w:rtl/>
        </w:rPr>
        <w:t xml:space="preserve"> </w:t>
      </w:r>
      <w:r>
        <w:t>Full-spectrum</w:t>
      </w:r>
    </w:p>
  </w:footnote>
  <w:footnote w:id="164">
    <w:p w14:paraId="0F4E895F" w14:textId="77777777" w:rsidR="00B47FF5" w:rsidRDefault="00B47FF5" w:rsidP="0020732A">
      <w:pPr>
        <w:pStyle w:val="FootnoteText"/>
      </w:pPr>
      <w:r>
        <w:rPr>
          <w:rStyle w:val="FootnoteReference"/>
        </w:rPr>
        <w:footnoteRef/>
      </w:r>
      <w:r>
        <w:rPr>
          <w:rtl/>
        </w:rPr>
        <w:t xml:space="preserve"> </w:t>
      </w:r>
      <w:r w:rsidRPr="0032221B">
        <w:t>Bob Johansen</w:t>
      </w:r>
    </w:p>
  </w:footnote>
  <w:footnote w:id="165">
    <w:p w14:paraId="52F8C432" w14:textId="77777777" w:rsidR="00B47FF5" w:rsidRDefault="00B47FF5" w:rsidP="0020732A">
      <w:pPr>
        <w:pStyle w:val="FootnoteText"/>
      </w:pPr>
      <w:r>
        <w:rPr>
          <w:rStyle w:val="FootnoteReference"/>
        </w:rPr>
        <w:footnoteRef/>
      </w:r>
      <w:r>
        <w:rPr>
          <w:rtl/>
        </w:rPr>
        <w:t xml:space="preserve"> </w:t>
      </w:r>
      <w:r w:rsidRPr="00454D47">
        <w:t>Full-Spectrum Thinking</w:t>
      </w:r>
    </w:p>
  </w:footnote>
  <w:footnote w:id="166">
    <w:p w14:paraId="2C8BA555" w14:textId="7C1FA1F0" w:rsidR="00B47FF5" w:rsidRDefault="00B47FF5" w:rsidP="0020732A">
      <w:pPr>
        <w:pStyle w:val="FootnoteText"/>
      </w:pPr>
      <w:r>
        <w:rPr>
          <w:rStyle w:val="FootnoteReference"/>
        </w:rPr>
        <w:footnoteRef/>
      </w:r>
      <w:r>
        <w:rPr>
          <w:rtl/>
        </w:rPr>
        <w:t xml:space="preserve"> </w:t>
      </w:r>
      <w:r>
        <w:t>Chaotic</w:t>
      </w:r>
    </w:p>
  </w:footnote>
  <w:footnote w:id="167">
    <w:p w14:paraId="04526854" w14:textId="62A9D37B" w:rsidR="00B47FF5" w:rsidRDefault="00B47FF5" w:rsidP="0020732A">
      <w:pPr>
        <w:pStyle w:val="FootnoteText"/>
      </w:pPr>
      <w:r>
        <w:rPr>
          <w:rStyle w:val="FootnoteReference"/>
        </w:rPr>
        <w:footnoteRef/>
      </w:r>
      <w:r>
        <w:rPr>
          <w:rtl/>
        </w:rPr>
        <w:t xml:space="preserve"> </w:t>
      </w:r>
      <w:r>
        <w:t>C</w:t>
      </w:r>
      <w:r w:rsidRPr="007233EC">
        <w:t>omplex adaptive system</w:t>
      </w:r>
    </w:p>
  </w:footnote>
  <w:footnote w:id="168">
    <w:p w14:paraId="687905B3" w14:textId="6539D7DE" w:rsidR="00B47FF5" w:rsidRDefault="00B47FF5" w:rsidP="0020732A">
      <w:pPr>
        <w:pStyle w:val="FootnoteText"/>
      </w:pPr>
      <w:r>
        <w:rPr>
          <w:rStyle w:val="FootnoteReference"/>
        </w:rPr>
        <w:footnoteRef/>
      </w:r>
      <w:r>
        <w:rPr>
          <w:rtl/>
        </w:rPr>
        <w:t xml:space="preserve"> </w:t>
      </w:r>
      <w:r>
        <w:t>Democratization</w:t>
      </w:r>
    </w:p>
  </w:footnote>
  <w:footnote w:id="169">
    <w:p w14:paraId="05DCA429" w14:textId="2B0B5BF6" w:rsidR="00B47FF5" w:rsidRDefault="00B47FF5" w:rsidP="0020732A">
      <w:pPr>
        <w:pStyle w:val="FootnoteText"/>
      </w:pPr>
      <w:r>
        <w:rPr>
          <w:rStyle w:val="FootnoteReference"/>
        </w:rPr>
        <w:footnoteRef/>
      </w:r>
      <w:r>
        <w:rPr>
          <w:rtl/>
        </w:rPr>
        <w:t xml:space="preserve"> </w:t>
      </w:r>
      <w:r>
        <w:t>Backcast</w:t>
      </w:r>
    </w:p>
  </w:footnote>
  <w:footnote w:id="170">
    <w:p w14:paraId="7C925D3B" w14:textId="5F387072" w:rsidR="00B47FF5" w:rsidRDefault="00B47FF5" w:rsidP="0020732A">
      <w:pPr>
        <w:pStyle w:val="FootnoteText"/>
      </w:pPr>
      <w:r>
        <w:rPr>
          <w:rStyle w:val="FootnoteReference"/>
        </w:rPr>
        <w:footnoteRef/>
      </w:r>
      <w:r>
        <w:rPr>
          <w:rtl/>
        </w:rPr>
        <w:t xml:space="preserve"> </w:t>
      </w:r>
      <w:r>
        <w:t>C</w:t>
      </w:r>
      <w:r w:rsidRPr="008C7C43">
        <w:t>reation</w:t>
      </w:r>
    </w:p>
  </w:footnote>
  <w:footnote w:id="171">
    <w:p w14:paraId="160FA44F" w14:textId="682AA759" w:rsidR="00B47FF5" w:rsidRDefault="00B47FF5" w:rsidP="005B006C">
      <w:pPr>
        <w:pStyle w:val="FootnoteText"/>
      </w:pPr>
      <w:r>
        <w:rPr>
          <w:rStyle w:val="FootnoteReference"/>
        </w:rPr>
        <w:footnoteRef/>
      </w:r>
      <w:r>
        <w:rPr>
          <w:rtl/>
        </w:rPr>
        <w:t xml:space="preserve"> </w:t>
      </w:r>
      <w:r>
        <w:t>Practitioner</w:t>
      </w:r>
    </w:p>
  </w:footnote>
  <w:footnote w:id="172">
    <w:p w14:paraId="711F388C" w14:textId="33DEC92F" w:rsidR="00B47FF5" w:rsidRDefault="00B47FF5" w:rsidP="0020732A">
      <w:pPr>
        <w:pStyle w:val="FootnoteText"/>
      </w:pPr>
      <w:r>
        <w:rPr>
          <w:rStyle w:val="FootnoteReference"/>
        </w:rPr>
        <w:footnoteRef/>
      </w:r>
      <w:r>
        <w:rPr>
          <w:rtl/>
        </w:rPr>
        <w:t xml:space="preserve"> </w:t>
      </w:r>
      <w:r>
        <w:t>F</w:t>
      </w:r>
      <w:r w:rsidRPr="0035642A">
        <w:t>uturist</w:t>
      </w:r>
    </w:p>
  </w:footnote>
  <w:footnote w:id="173">
    <w:p w14:paraId="55C9487F" w14:textId="77777777" w:rsidR="00B47FF5" w:rsidRDefault="00B47FF5" w:rsidP="0020732A">
      <w:pPr>
        <w:pStyle w:val="FootnoteText"/>
      </w:pPr>
      <w:r>
        <w:rPr>
          <w:rStyle w:val="FootnoteReference"/>
        </w:rPr>
        <w:footnoteRef/>
      </w:r>
      <w:r>
        <w:rPr>
          <w:rtl/>
        </w:rPr>
        <w:t xml:space="preserve"> </w:t>
      </w:r>
      <w:r w:rsidRPr="003345B0">
        <w:t>Foresighter</w:t>
      </w:r>
    </w:p>
  </w:footnote>
  <w:footnote w:id="174">
    <w:p w14:paraId="25EF10DF" w14:textId="77777777" w:rsidR="00B47FF5" w:rsidRDefault="00B47FF5" w:rsidP="0020732A">
      <w:pPr>
        <w:pStyle w:val="FootnoteText"/>
      </w:pPr>
      <w:r>
        <w:rPr>
          <w:rStyle w:val="FootnoteReference"/>
        </w:rPr>
        <w:footnoteRef/>
      </w:r>
      <w:r>
        <w:rPr>
          <w:rtl/>
        </w:rPr>
        <w:t xml:space="preserve"> </w:t>
      </w:r>
      <w:r w:rsidRPr="0032221B">
        <w:t>Andy Hines</w:t>
      </w:r>
    </w:p>
  </w:footnote>
  <w:footnote w:id="175">
    <w:p w14:paraId="5F670198" w14:textId="77777777" w:rsidR="00B47FF5" w:rsidRDefault="00B47FF5" w:rsidP="0020732A">
      <w:pPr>
        <w:pStyle w:val="FootnoteText"/>
      </w:pPr>
      <w:r>
        <w:rPr>
          <w:rStyle w:val="FootnoteReference"/>
        </w:rPr>
        <w:footnoteRef/>
      </w:r>
      <w:r>
        <w:rPr>
          <w:rtl/>
        </w:rPr>
        <w:t xml:space="preserve"> </w:t>
      </w:r>
      <w:r w:rsidRPr="0032221B">
        <w:t>John Smart</w:t>
      </w:r>
    </w:p>
  </w:footnote>
  <w:footnote w:id="176">
    <w:p w14:paraId="0DB5021B" w14:textId="77777777" w:rsidR="00B47FF5" w:rsidRDefault="00B47FF5" w:rsidP="0020732A">
      <w:pPr>
        <w:pStyle w:val="FootnoteText"/>
      </w:pPr>
      <w:r>
        <w:rPr>
          <w:rStyle w:val="FootnoteReference"/>
        </w:rPr>
        <w:footnoteRef/>
      </w:r>
      <w:r>
        <w:rPr>
          <w:rtl/>
        </w:rPr>
        <w:t xml:space="preserve"> </w:t>
      </w:r>
      <w:r>
        <w:t>Story-driven</w:t>
      </w:r>
    </w:p>
  </w:footnote>
  <w:footnote w:id="177">
    <w:p w14:paraId="741E9022" w14:textId="13F01015" w:rsidR="00B47FF5" w:rsidRDefault="00B47FF5" w:rsidP="0020732A">
      <w:pPr>
        <w:pStyle w:val="FootnoteText"/>
      </w:pPr>
      <w:r>
        <w:rPr>
          <w:rStyle w:val="FootnoteReference"/>
        </w:rPr>
        <w:footnoteRef/>
      </w:r>
      <w:r>
        <w:rPr>
          <w:rtl/>
        </w:rPr>
        <w:t xml:space="preserve"> </w:t>
      </w:r>
      <w:r>
        <w:t>Generalist</w:t>
      </w:r>
    </w:p>
  </w:footnote>
  <w:footnote w:id="178">
    <w:p w14:paraId="538C6FBF" w14:textId="417E2F99" w:rsidR="00B47FF5" w:rsidRDefault="00B47FF5" w:rsidP="0020732A">
      <w:pPr>
        <w:pStyle w:val="FootnoteText"/>
      </w:pPr>
      <w:r>
        <w:rPr>
          <w:rStyle w:val="FootnoteReference"/>
        </w:rPr>
        <w:footnoteRef/>
      </w:r>
      <w:r>
        <w:rPr>
          <w:rtl/>
        </w:rPr>
        <w:t xml:space="preserve"> </w:t>
      </w:r>
      <w:r>
        <w:t>A</w:t>
      </w:r>
      <w:r w:rsidRPr="003345B0">
        <w:t>necdotal experience</w:t>
      </w:r>
    </w:p>
  </w:footnote>
  <w:footnote w:id="179">
    <w:p w14:paraId="4DA7D4EB" w14:textId="19723D2A" w:rsidR="00B47FF5" w:rsidRDefault="00B47FF5" w:rsidP="0020732A">
      <w:pPr>
        <w:pStyle w:val="FootnoteText"/>
      </w:pPr>
      <w:r>
        <w:rPr>
          <w:rStyle w:val="FootnoteReference"/>
        </w:rPr>
        <w:footnoteRef/>
      </w:r>
      <w:r>
        <w:rPr>
          <w:rtl/>
        </w:rPr>
        <w:t xml:space="preserve"> </w:t>
      </w:r>
      <w:r>
        <w:t>Officer</w:t>
      </w:r>
    </w:p>
  </w:footnote>
  <w:footnote w:id="180">
    <w:p w14:paraId="3AA00FBE" w14:textId="462AF1DD" w:rsidR="00B47FF5" w:rsidRDefault="00B47FF5" w:rsidP="0020732A">
      <w:pPr>
        <w:pStyle w:val="FootnoteText"/>
      </w:pPr>
      <w:r>
        <w:rPr>
          <w:rStyle w:val="FootnoteReference"/>
        </w:rPr>
        <w:footnoteRef/>
      </w:r>
      <w:r>
        <w:rPr>
          <w:rtl/>
        </w:rPr>
        <w:t xml:space="preserve"> </w:t>
      </w:r>
      <w:r>
        <w:t>Insurer</w:t>
      </w:r>
    </w:p>
  </w:footnote>
  <w:footnote w:id="181">
    <w:p w14:paraId="2988B3BB" w14:textId="22AACDE5" w:rsidR="00B47FF5" w:rsidRDefault="00B47FF5" w:rsidP="0020732A">
      <w:pPr>
        <w:pStyle w:val="FootnoteText"/>
      </w:pPr>
      <w:r>
        <w:rPr>
          <w:rStyle w:val="FootnoteReference"/>
        </w:rPr>
        <w:footnoteRef/>
      </w:r>
      <w:r>
        <w:rPr>
          <w:rtl/>
        </w:rPr>
        <w:t xml:space="preserve"> </w:t>
      </w:r>
      <w:r>
        <w:t>Treasurer</w:t>
      </w:r>
    </w:p>
  </w:footnote>
  <w:footnote w:id="182">
    <w:p w14:paraId="7C63E040" w14:textId="5282B012" w:rsidR="00B47FF5" w:rsidRDefault="00B47FF5" w:rsidP="0020732A">
      <w:pPr>
        <w:pStyle w:val="FootnoteText"/>
      </w:pPr>
      <w:r>
        <w:rPr>
          <w:rStyle w:val="FootnoteReference"/>
        </w:rPr>
        <w:footnoteRef/>
      </w:r>
      <w:r>
        <w:rPr>
          <w:rtl/>
        </w:rPr>
        <w:t xml:space="preserve"> </w:t>
      </w:r>
      <w:r>
        <w:t>Aspirational thinking</w:t>
      </w:r>
    </w:p>
  </w:footnote>
  <w:footnote w:id="183">
    <w:p w14:paraId="53EC7FEC" w14:textId="528ABA09" w:rsidR="009B16C9" w:rsidRDefault="009B16C9">
      <w:pPr>
        <w:pStyle w:val="FootnoteText"/>
        <w:rPr>
          <w:rtl/>
        </w:rPr>
      </w:pPr>
      <w:r>
        <w:rPr>
          <w:rStyle w:val="FootnoteReference"/>
        </w:rPr>
        <w:footnoteRef/>
      </w:r>
      <w:r>
        <w:t xml:space="preserve"> </w:t>
      </w:r>
      <w:r w:rsidRPr="009B16C9">
        <w:t>Futurologist</w:t>
      </w:r>
      <w:r>
        <w:t xml:space="preserve"> </w:t>
      </w:r>
    </w:p>
  </w:footnote>
  <w:footnote w:id="184">
    <w:p w14:paraId="1E9EF6DB" w14:textId="303379BF" w:rsidR="00B47FF5" w:rsidRDefault="00B47FF5" w:rsidP="0020732A">
      <w:pPr>
        <w:pStyle w:val="FootnoteText"/>
      </w:pPr>
      <w:r>
        <w:rPr>
          <w:rStyle w:val="FootnoteReference"/>
        </w:rPr>
        <w:footnoteRef/>
      </w:r>
      <w:r>
        <w:rPr>
          <w:rtl/>
        </w:rPr>
        <w:t xml:space="preserve"> </w:t>
      </w:r>
      <w:r>
        <w:t>A</w:t>
      </w:r>
      <w:r w:rsidRPr="00D66B87">
        <w:t>nalyst</w:t>
      </w:r>
    </w:p>
  </w:footnote>
  <w:footnote w:id="185">
    <w:p w14:paraId="5370EFEC" w14:textId="36BB02D6" w:rsidR="00B47FF5" w:rsidRDefault="00B47FF5" w:rsidP="0020732A">
      <w:pPr>
        <w:pStyle w:val="FootnoteText"/>
      </w:pPr>
      <w:r>
        <w:rPr>
          <w:rStyle w:val="FootnoteReference"/>
        </w:rPr>
        <w:footnoteRef/>
      </w:r>
      <w:r>
        <w:rPr>
          <w:rtl/>
        </w:rPr>
        <w:t xml:space="preserve"> </w:t>
      </w:r>
      <w:r>
        <w:t>Trend-based</w:t>
      </w:r>
    </w:p>
  </w:footnote>
  <w:footnote w:id="186">
    <w:p w14:paraId="2EB10BB3" w14:textId="67E9ECED" w:rsidR="00B47FF5" w:rsidRDefault="00B47FF5" w:rsidP="0020732A">
      <w:pPr>
        <w:pStyle w:val="FootnoteText"/>
      </w:pPr>
      <w:r>
        <w:rPr>
          <w:rStyle w:val="FootnoteReference"/>
        </w:rPr>
        <w:footnoteRef/>
      </w:r>
      <w:r>
        <w:rPr>
          <w:rtl/>
        </w:rPr>
        <w:t xml:space="preserve"> </w:t>
      </w:r>
      <w:r>
        <w:t>Designer</w:t>
      </w:r>
    </w:p>
  </w:footnote>
  <w:footnote w:id="187">
    <w:p w14:paraId="591A9922" w14:textId="130ECE98" w:rsidR="00B47FF5" w:rsidRDefault="00B47FF5" w:rsidP="0020732A">
      <w:pPr>
        <w:pStyle w:val="FootnoteText"/>
      </w:pPr>
      <w:r>
        <w:rPr>
          <w:rStyle w:val="FootnoteReference"/>
        </w:rPr>
        <w:footnoteRef/>
      </w:r>
      <w:r>
        <w:rPr>
          <w:rtl/>
        </w:rPr>
        <w:t xml:space="preserve"> </w:t>
      </w:r>
      <w:r>
        <w:t>Facilitation</w:t>
      </w:r>
    </w:p>
  </w:footnote>
  <w:footnote w:id="188">
    <w:p w14:paraId="6C7195A6" w14:textId="428A85F9" w:rsidR="00B47FF5" w:rsidRDefault="00B47FF5" w:rsidP="0020732A">
      <w:pPr>
        <w:pStyle w:val="FootnoteText"/>
      </w:pPr>
      <w:r>
        <w:rPr>
          <w:rStyle w:val="FootnoteReference"/>
        </w:rPr>
        <w:footnoteRef/>
      </w:r>
      <w:r>
        <w:rPr>
          <w:rtl/>
        </w:rPr>
        <w:t xml:space="preserve"> </w:t>
      </w:r>
      <w:r w:rsidRPr="00F714A0">
        <w:t>The Hedgehog and</w:t>
      </w:r>
      <w:r>
        <w:t xml:space="preserve"> </w:t>
      </w:r>
      <w:r w:rsidRPr="00BD6B7F">
        <w:t>the Fox</w:t>
      </w:r>
    </w:p>
  </w:footnote>
  <w:footnote w:id="189">
    <w:p w14:paraId="5C86FB83" w14:textId="77777777" w:rsidR="00B47FF5" w:rsidRDefault="00B47FF5" w:rsidP="0020732A">
      <w:pPr>
        <w:pStyle w:val="FootnoteText"/>
      </w:pPr>
      <w:r>
        <w:rPr>
          <w:rStyle w:val="FootnoteReference"/>
        </w:rPr>
        <w:footnoteRef/>
      </w:r>
      <w:r>
        <w:rPr>
          <w:rtl/>
        </w:rPr>
        <w:t xml:space="preserve"> </w:t>
      </w:r>
      <w:r w:rsidRPr="008B2A20">
        <w:t>Isaiah Berlin</w:t>
      </w:r>
    </w:p>
  </w:footnote>
  <w:footnote w:id="190">
    <w:p w14:paraId="416BB452" w14:textId="77777777" w:rsidR="00B47FF5" w:rsidRDefault="00B47FF5" w:rsidP="0020732A">
      <w:pPr>
        <w:pStyle w:val="FootnoteText"/>
      </w:pPr>
      <w:r>
        <w:rPr>
          <w:rStyle w:val="FootnoteReference"/>
        </w:rPr>
        <w:footnoteRef/>
      </w:r>
      <w:r>
        <w:rPr>
          <w:rtl/>
        </w:rPr>
        <w:t xml:space="preserve"> </w:t>
      </w:r>
      <w:r w:rsidRPr="008B2A20">
        <w:t>David Guest</w:t>
      </w:r>
    </w:p>
  </w:footnote>
  <w:footnote w:id="191">
    <w:p w14:paraId="5BF17E8F" w14:textId="36FF0EE1" w:rsidR="00B47FF5" w:rsidRDefault="00B47FF5" w:rsidP="0020732A">
      <w:pPr>
        <w:pStyle w:val="FootnoteText"/>
      </w:pPr>
      <w:r>
        <w:rPr>
          <w:rStyle w:val="FootnoteReference"/>
        </w:rPr>
        <w:footnoteRef/>
      </w:r>
      <w:r>
        <w:rPr>
          <w:rtl/>
        </w:rPr>
        <w:t xml:space="preserve"> </w:t>
      </w:r>
      <w:r>
        <w:t>S</w:t>
      </w:r>
      <w:r w:rsidRPr="00FC03AD">
        <w:t>hield-and-sword shaped</w:t>
      </w:r>
    </w:p>
  </w:footnote>
  <w:footnote w:id="192">
    <w:p w14:paraId="5A912CCF" w14:textId="5E3E93D4" w:rsidR="00B47FF5" w:rsidRDefault="00B47FF5" w:rsidP="0020732A">
      <w:pPr>
        <w:pStyle w:val="FootnoteText"/>
      </w:pPr>
      <w:r>
        <w:rPr>
          <w:rStyle w:val="FootnoteReference"/>
        </w:rPr>
        <w:footnoteRef/>
      </w:r>
      <w:r>
        <w:rPr>
          <w:rtl/>
        </w:rPr>
        <w:t xml:space="preserve"> </w:t>
      </w:r>
      <w:r>
        <w:t>Star-shaped</w:t>
      </w:r>
    </w:p>
  </w:footnote>
  <w:footnote w:id="193">
    <w:p w14:paraId="0E70DA84" w14:textId="30E255F8" w:rsidR="00B47FF5" w:rsidRDefault="00B47FF5" w:rsidP="0020732A">
      <w:pPr>
        <w:pStyle w:val="FootnoteText"/>
      </w:pPr>
      <w:r>
        <w:rPr>
          <w:rStyle w:val="FootnoteReference"/>
        </w:rPr>
        <w:footnoteRef/>
      </w:r>
      <w:r>
        <w:rPr>
          <w:rtl/>
        </w:rPr>
        <w:t xml:space="preserve"> </w:t>
      </w:r>
      <w:r>
        <w:t>P</w:t>
      </w:r>
      <w:r w:rsidRPr="00D452F5">
        <w:t>olymath</w:t>
      </w:r>
    </w:p>
  </w:footnote>
  <w:footnote w:id="194">
    <w:p w14:paraId="1A7BC136" w14:textId="77777777" w:rsidR="00B47FF5" w:rsidRDefault="00B47FF5" w:rsidP="0020732A">
      <w:pPr>
        <w:pStyle w:val="FootnoteText"/>
      </w:pPr>
      <w:r>
        <w:rPr>
          <w:rStyle w:val="FootnoteReference"/>
        </w:rPr>
        <w:footnoteRef/>
      </w:r>
      <w:r>
        <w:rPr>
          <w:rtl/>
        </w:rPr>
        <w:t xml:space="preserve"> </w:t>
      </w:r>
      <w:r>
        <w:t>Renaissance people</w:t>
      </w:r>
    </w:p>
  </w:footnote>
  <w:footnote w:id="195">
    <w:p w14:paraId="18B0047E" w14:textId="4B58181F" w:rsidR="00B47FF5" w:rsidRDefault="00B47FF5" w:rsidP="005B006C">
      <w:pPr>
        <w:pStyle w:val="FootnoteText"/>
      </w:pPr>
      <w:r>
        <w:rPr>
          <w:rStyle w:val="FootnoteReference"/>
        </w:rPr>
        <w:footnoteRef/>
      </w:r>
      <w:r>
        <w:rPr>
          <w:rtl/>
        </w:rPr>
        <w:t xml:space="preserve"> </w:t>
      </w:r>
      <w:r>
        <w:t>A</w:t>
      </w:r>
      <w:r w:rsidRPr="00D452F5">
        <w:t>utodidact</w:t>
      </w:r>
    </w:p>
  </w:footnote>
  <w:footnote w:id="196">
    <w:p w14:paraId="33A92161" w14:textId="77777777" w:rsidR="00B47FF5" w:rsidRDefault="00B47FF5" w:rsidP="0020732A">
      <w:pPr>
        <w:pStyle w:val="FootnoteText"/>
      </w:pPr>
      <w:r>
        <w:rPr>
          <w:rStyle w:val="FootnoteReference"/>
        </w:rPr>
        <w:footnoteRef/>
      </w:r>
      <w:r>
        <w:rPr>
          <w:rtl/>
        </w:rPr>
        <w:t xml:space="preserve"> </w:t>
      </w:r>
      <w:r w:rsidRPr="008B2A20">
        <w:t>Robert Heinlein</w:t>
      </w:r>
    </w:p>
  </w:footnote>
  <w:footnote w:id="197">
    <w:p w14:paraId="7A724447" w14:textId="304576AA" w:rsidR="00B47FF5" w:rsidRDefault="00B47FF5" w:rsidP="0020732A">
      <w:pPr>
        <w:pStyle w:val="FootnoteText"/>
      </w:pPr>
      <w:r>
        <w:rPr>
          <w:rStyle w:val="FootnoteReference"/>
        </w:rPr>
        <w:footnoteRef/>
      </w:r>
      <w:r>
        <w:rPr>
          <w:rtl/>
        </w:rPr>
        <w:t xml:space="preserve"> </w:t>
      </w:r>
      <w:r>
        <w:t>General</w:t>
      </w:r>
    </w:p>
  </w:footnote>
  <w:footnote w:id="198">
    <w:p w14:paraId="01778FDE" w14:textId="6ED84CF6" w:rsidR="00582E8D" w:rsidRDefault="00582E8D">
      <w:pPr>
        <w:pStyle w:val="FootnoteText"/>
      </w:pPr>
      <w:r>
        <w:rPr>
          <w:rStyle w:val="FootnoteReference"/>
        </w:rPr>
        <w:footnoteRef/>
      </w:r>
      <w:r>
        <w:t xml:space="preserve"> Visionary </w:t>
      </w:r>
    </w:p>
  </w:footnote>
  <w:footnote w:id="199">
    <w:p w14:paraId="0CB240EC" w14:textId="5AB19BE4" w:rsidR="00B47FF5" w:rsidRDefault="00B47FF5" w:rsidP="0020732A">
      <w:pPr>
        <w:pStyle w:val="FootnoteText"/>
      </w:pPr>
      <w:r>
        <w:rPr>
          <w:rStyle w:val="FootnoteReference"/>
        </w:rPr>
        <w:footnoteRef/>
      </w:r>
      <w:r>
        <w:rPr>
          <w:rtl/>
        </w:rPr>
        <w:t xml:space="preserve"> </w:t>
      </w:r>
      <w:r>
        <w:t>I</w:t>
      </w:r>
      <w:r w:rsidRPr="00FF4FB6">
        <w:t>maginative futurists</w:t>
      </w:r>
    </w:p>
  </w:footnote>
  <w:footnote w:id="200">
    <w:p w14:paraId="2D714B38" w14:textId="625FC410" w:rsidR="00B47FF5" w:rsidRDefault="00B47FF5" w:rsidP="0020732A">
      <w:pPr>
        <w:pStyle w:val="FootnoteText"/>
      </w:pPr>
      <w:r>
        <w:rPr>
          <w:rStyle w:val="FootnoteReference"/>
        </w:rPr>
        <w:footnoteRef/>
      </w:r>
      <w:r>
        <w:rPr>
          <w:rtl/>
        </w:rPr>
        <w:t xml:space="preserve"> </w:t>
      </w:r>
      <w:r>
        <w:t>U</w:t>
      </w:r>
      <w:r w:rsidRPr="00FF4FB6">
        <w:t>topian</w:t>
      </w:r>
    </w:p>
  </w:footnote>
  <w:footnote w:id="201">
    <w:p w14:paraId="6E5F60A2" w14:textId="031C2394" w:rsidR="00B47FF5" w:rsidRDefault="00B47FF5" w:rsidP="0020732A">
      <w:pPr>
        <w:pStyle w:val="FootnoteText"/>
      </w:pPr>
      <w:r>
        <w:rPr>
          <w:rStyle w:val="FootnoteReference"/>
        </w:rPr>
        <w:footnoteRef/>
      </w:r>
      <w:r>
        <w:rPr>
          <w:rtl/>
        </w:rPr>
        <w:t xml:space="preserve"> </w:t>
      </w:r>
      <w:r>
        <w:t>D</w:t>
      </w:r>
      <w:r w:rsidRPr="00FF4FB6">
        <w:t>ystopian</w:t>
      </w:r>
    </w:p>
  </w:footnote>
  <w:footnote w:id="202">
    <w:p w14:paraId="5C0B1705" w14:textId="41522950" w:rsidR="00B47FF5" w:rsidRDefault="00B47FF5" w:rsidP="0020732A">
      <w:pPr>
        <w:pStyle w:val="FootnoteText"/>
      </w:pPr>
      <w:r>
        <w:rPr>
          <w:rStyle w:val="FootnoteReference"/>
        </w:rPr>
        <w:footnoteRef/>
      </w:r>
      <w:r>
        <w:rPr>
          <w:rtl/>
        </w:rPr>
        <w:t xml:space="preserve"> </w:t>
      </w:r>
      <w:r>
        <w:t>P</w:t>
      </w:r>
      <w:r w:rsidRPr="002D2E08">
        <w:t>reconventional</w:t>
      </w:r>
    </w:p>
  </w:footnote>
  <w:footnote w:id="203">
    <w:p w14:paraId="307EF182" w14:textId="77777777" w:rsidR="00B47FF5" w:rsidRDefault="00B47FF5" w:rsidP="0020732A">
      <w:pPr>
        <w:pStyle w:val="FootnoteText"/>
      </w:pPr>
      <w:r>
        <w:rPr>
          <w:rStyle w:val="FootnoteReference"/>
        </w:rPr>
        <w:footnoteRef/>
      </w:r>
      <w:r>
        <w:rPr>
          <w:rtl/>
        </w:rPr>
        <w:t xml:space="preserve"> </w:t>
      </w:r>
      <w:r w:rsidRPr="008B2A20">
        <w:t>Peter Hayward</w:t>
      </w:r>
    </w:p>
  </w:footnote>
  <w:footnote w:id="204">
    <w:p w14:paraId="1103E823" w14:textId="77777777" w:rsidR="00B47FF5" w:rsidRDefault="00B47FF5" w:rsidP="0020732A">
      <w:pPr>
        <w:pStyle w:val="FootnoteText"/>
      </w:pPr>
      <w:r>
        <w:rPr>
          <w:rStyle w:val="FootnoteReference"/>
        </w:rPr>
        <w:footnoteRef/>
      </w:r>
      <w:r>
        <w:rPr>
          <w:rtl/>
        </w:rPr>
        <w:t xml:space="preserve"> </w:t>
      </w:r>
      <w:r>
        <w:t>Specific</w:t>
      </w:r>
    </w:p>
  </w:footnote>
  <w:footnote w:id="205">
    <w:p w14:paraId="5DED4D5F" w14:textId="77777777" w:rsidR="00B47FF5" w:rsidRDefault="00B47FF5" w:rsidP="0020732A">
      <w:pPr>
        <w:pStyle w:val="FootnoteText"/>
      </w:pPr>
      <w:r>
        <w:rPr>
          <w:rStyle w:val="FootnoteReference"/>
        </w:rPr>
        <w:footnoteRef/>
      </w:r>
      <w:r>
        <w:rPr>
          <w:rtl/>
        </w:rPr>
        <w:t xml:space="preserve"> </w:t>
      </w:r>
      <w:r>
        <w:t>Measurable</w:t>
      </w:r>
    </w:p>
  </w:footnote>
  <w:footnote w:id="206">
    <w:p w14:paraId="73BE1A5D" w14:textId="77777777" w:rsidR="00B47FF5" w:rsidRDefault="00B47FF5" w:rsidP="0020732A">
      <w:pPr>
        <w:pStyle w:val="FootnoteText"/>
      </w:pPr>
      <w:r>
        <w:rPr>
          <w:rStyle w:val="FootnoteReference"/>
        </w:rPr>
        <w:footnoteRef/>
      </w:r>
      <w:r>
        <w:rPr>
          <w:rtl/>
        </w:rPr>
        <w:t xml:space="preserve"> </w:t>
      </w:r>
      <w:r>
        <w:t>Achievable</w:t>
      </w:r>
    </w:p>
  </w:footnote>
  <w:footnote w:id="207">
    <w:p w14:paraId="5F064E5B" w14:textId="77777777" w:rsidR="00B47FF5" w:rsidRDefault="00B47FF5" w:rsidP="0020732A">
      <w:pPr>
        <w:pStyle w:val="FootnoteText"/>
      </w:pPr>
      <w:r>
        <w:rPr>
          <w:rStyle w:val="FootnoteReference"/>
        </w:rPr>
        <w:footnoteRef/>
      </w:r>
      <w:r>
        <w:rPr>
          <w:rtl/>
        </w:rPr>
        <w:t xml:space="preserve"> </w:t>
      </w:r>
      <w:r>
        <w:t>Relevant</w:t>
      </w:r>
    </w:p>
  </w:footnote>
  <w:footnote w:id="208">
    <w:p w14:paraId="0FF8DA8B" w14:textId="77777777" w:rsidR="00B47FF5" w:rsidRDefault="00B47FF5" w:rsidP="0020732A">
      <w:pPr>
        <w:pStyle w:val="FootnoteText"/>
      </w:pPr>
      <w:r>
        <w:rPr>
          <w:rStyle w:val="FootnoteReference"/>
        </w:rPr>
        <w:footnoteRef/>
      </w:r>
      <w:r>
        <w:rPr>
          <w:rtl/>
        </w:rPr>
        <w:t xml:space="preserve"> </w:t>
      </w:r>
      <w:r>
        <w:t>Time-bound</w:t>
      </w:r>
    </w:p>
  </w:footnote>
  <w:footnote w:id="209">
    <w:p w14:paraId="58E4C609" w14:textId="4B1F4A26" w:rsidR="00B47FF5" w:rsidRDefault="00B47FF5" w:rsidP="0020732A">
      <w:pPr>
        <w:pStyle w:val="FootnoteText"/>
      </w:pPr>
      <w:r>
        <w:rPr>
          <w:rStyle w:val="FootnoteReference"/>
        </w:rPr>
        <w:footnoteRef/>
      </w:r>
      <w:r>
        <w:rPr>
          <w:rtl/>
        </w:rPr>
        <w:t xml:space="preserve"> </w:t>
      </w:r>
      <w:r>
        <w:t>Self-description</w:t>
      </w:r>
    </w:p>
  </w:footnote>
  <w:footnote w:id="210">
    <w:p w14:paraId="5B8E224E" w14:textId="7DB1395C" w:rsidR="00B47FF5" w:rsidRDefault="00B47FF5" w:rsidP="005B006C">
      <w:pPr>
        <w:pStyle w:val="FootnoteText"/>
      </w:pPr>
      <w:r>
        <w:rPr>
          <w:rStyle w:val="FootnoteReference"/>
        </w:rPr>
        <w:footnoteRef/>
      </w:r>
      <w:r>
        <w:rPr>
          <w:rtl/>
        </w:rPr>
        <w:t xml:space="preserve"> </w:t>
      </w:r>
      <w:r>
        <w:t>White space</w:t>
      </w:r>
    </w:p>
  </w:footnote>
  <w:footnote w:id="211">
    <w:p w14:paraId="76C6FEC5" w14:textId="77777777" w:rsidR="00B47FF5" w:rsidRDefault="00B47FF5" w:rsidP="0020732A">
      <w:pPr>
        <w:pStyle w:val="FootnoteText"/>
      </w:pPr>
      <w:r>
        <w:rPr>
          <w:rStyle w:val="FootnoteReference"/>
        </w:rPr>
        <w:footnoteRef/>
      </w:r>
      <w:r>
        <w:rPr>
          <w:rtl/>
        </w:rPr>
        <w:t xml:space="preserve"> </w:t>
      </w:r>
      <w:r w:rsidRPr="0040406F">
        <w:t>Blue Ocean Strategy</w:t>
      </w:r>
    </w:p>
  </w:footnote>
  <w:footnote w:id="212">
    <w:p w14:paraId="4B28D61C" w14:textId="77777777" w:rsidR="00B47FF5" w:rsidRDefault="00B47FF5" w:rsidP="0020732A">
      <w:pPr>
        <w:pStyle w:val="FootnoteText"/>
      </w:pPr>
      <w:r>
        <w:rPr>
          <w:rStyle w:val="FootnoteReference"/>
        </w:rPr>
        <w:footnoteRef/>
      </w:r>
      <w:r>
        <w:rPr>
          <w:rtl/>
        </w:rPr>
        <w:t xml:space="preserve"> </w:t>
      </w:r>
      <w:r w:rsidRPr="000411F6">
        <w:t>Kim</w:t>
      </w:r>
    </w:p>
  </w:footnote>
  <w:footnote w:id="213">
    <w:p w14:paraId="78AAC477" w14:textId="77777777" w:rsidR="00B47FF5" w:rsidRDefault="00B47FF5" w:rsidP="0020732A">
      <w:pPr>
        <w:pStyle w:val="FootnoteText"/>
      </w:pPr>
      <w:r>
        <w:rPr>
          <w:rStyle w:val="FootnoteReference"/>
        </w:rPr>
        <w:footnoteRef/>
      </w:r>
      <w:r>
        <w:rPr>
          <w:rtl/>
        </w:rPr>
        <w:t xml:space="preserve"> </w:t>
      </w:r>
      <w:r w:rsidRPr="000411F6">
        <w:t>Mauborgne</w:t>
      </w:r>
    </w:p>
  </w:footnote>
  <w:footnote w:id="214">
    <w:p w14:paraId="4A3FF055" w14:textId="77777777" w:rsidR="00B47FF5" w:rsidRDefault="00B47FF5" w:rsidP="0020732A">
      <w:pPr>
        <w:pStyle w:val="FootnoteText"/>
      </w:pPr>
      <w:r>
        <w:rPr>
          <w:rStyle w:val="FootnoteReference"/>
        </w:rPr>
        <w:footnoteRef/>
      </w:r>
      <w:r>
        <w:rPr>
          <w:rtl/>
        </w:rPr>
        <w:t xml:space="preserve"> </w:t>
      </w:r>
      <w:r>
        <w:t>Before</w:t>
      </w:r>
    </w:p>
  </w:footnote>
  <w:footnote w:id="215">
    <w:p w14:paraId="11F3C453" w14:textId="77777777" w:rsidR="00B47FF5" w:rsidRDefault="00B47FF5" w:rsidP="0020732A">
      <w:pPr>
        <w:pStyle w:val="FootnoteText"/>
      </w:pPr>
      <w:r>
        <w:rPr>
          <w:rStyle w:val="FootnoteReference"/>
        </w:rPr>
        <w:footnoteRef/>
      </w:r>
      <w:r>
        <w:rPr>
          <w:rtl/>
        </w:rPr>
        <w:t xml:space="preserve"> </w:t>
      </w:r>
      <w:r w:rsidRPr="0040406F">
        <w:t>Hindsight</w:t>
      </w:r>
    </w:p>
  </w:footnote>
  <w:footnote w:id="216">
    <w:p w14:paraId="4FBF56A7" w14:textId="77777777" w:rsidR="00B47FF5" w:rsidRDefault="00B47FF5" w:rsidP="0020732A">
      <w:pPr>
        <w:pStyle w:val="FootnoteText"/>
      </w:pPr>
      <w:r>
        <w:rPr>
          <w:rStyle w:val="FootnoteReference"/>
        </w:rPr>
        <w:footnoteRef/>
      </w:r>
      <w:r>
        <w:rPr>
          <w:rtl/>
        </w:rPr>
        <w:t xml:space="preserve"> </w:t>
      </w:r>
      <w:r>
        <w:t>Now</w:t>
      </w:r>
    </w:p>
  </w:footnote>
  <w:footnote w:id="217">
    <w:p w14:paraId="7A6C2ED7" w14:textId="77777777" w:rsidR="00B47FF5" w:rsidRDefault="00B47FF5" w:rsidP="0020732A">
      <w:pPr>
        <w:pStyle w:val="FootnoteText"/>
      </w:pPr>
      <w:r>
        <w:rPr>
          <w:rStyle w:val="FootnoteReference"/>
        </w:rPr>
        <w:footnoteRef/>
      </w:r>
      <w:r>
        <w:rPr>
          <w:rtl/>
        </w:rPr>
        <w:t xml:space="preserve"> </w:t>
      </w:r>
      <w:r>
        <w:t>Introspection</w:t>
      </w:r>
    </w:p>
  </w:footnote>
  <w:footnote w:id="218">
    <w:p w14:paraId="234DD6B5" w14:textId="79E28976" w:rsidR="00B47FF5" w:rsidRDefault="00B47FF5" w:rsidP="005B006C">
      <w:pPr>
        <w:pStyle w:val="FootnoteText"/>
      </w:pPr>
      <w:r>
        <w:rPr>
          <w:rStyle w:val="FootnoteReference"/>
        </w:rPr>
        <w:footnoteRef/>
      </w:r>
      <w:r>
        <w:rPr>
          <w:rtl/>
        </w:rPr>
        <w:t xml:space="preserve"> </w:t>
      </w:r>
      <w:r>
        <w:t>Extrospection</w:t>
      </w:r>
    </w:p>
  </w:footnote>
  <w:footnote w:id="219">
    <w:p w14:paraId="7C32A71B" w14:textId="77777777" w:rsidR="00B47FF5" w:rsidRDefault="00B47FF5" w:rsidP="0020732A">
      <w:pPr>
        <w:pStyle w:val="FootnoteText"/>
      </w:pPr>
      <w:r>
        <w:rPr>
          <w:rStyle w:val="FootnoteReference"/>
        </w:rPr>
        <w:footnoteRef/>
      </w:r>
      <w:r>
        <w:rPr>
          <w:rtl/>
        </w:rPr>
        <w:t xml:space="preserve"> </w:t>
      </w:r>
      <w:r>
        <w:t>Next</w:t>
      </w:r>
    </w:p>
  </w:footnote>
  <w:footnote w:id="220">
    <w:p w14:paraId="3E41B058" w14:textId="2A295FC5" w:rsidR="00B47FF5" w:rsidRDefault="00B47FF5" w:rsidP="005B006C">
      <w:pPr>
        <w:pStyle w:val="FootnoteText"/>
      </w:pPr>
      <w:r>
        <w:rPr>
          <w:rStyle w:val="FootnoteReference"/>
        </w:rPr>
        <w:footnoteRef/>
      </w:r>
      <w:r>
        <w:rPr>
          <w:rtl/>
        </w:rPr>
        <w:t xml:space="preserve"> </w:t>
      </w:r>
      <w:r>
        <w:t>Preventable futures</w:t>
      </w:r>
    </w:p>
  </w:footnote>
  <w:footnote w:id="221">
    <w:p w14:paraId="7916EB6B" w14:textId="104BDA8B" w:rsidR="00B47FF5" w:rsidRDefault="00B47FF5" w:rsidP="0020732A">
      <w:pPr>
        <w:pStyle w:val="FootnoteText"/>
      </w:pPr>
      <w:r>
        <w:rPr>
          <w:rStyle w:val="FootnoteReference"/>
        </w:rPr>
        <w:footnoteRef/>
      </w:r>
      <w:r>
        <w:t xml:space="preserve"> Foresight Hourglass</w:t>
      </w:r>
    </w:p>
  </w:footnote>
  <w:footnote w:id="222">
    <w:p w14:paraId="7F5264B3" w14:textId="732F294C" w:rsidR="00B47FF5" w:rsidRDefault="00B47FF5" w:rsidP="0020732A">
      <w:pPr>
        <w:pStyle w:val="FootnoteText"/>
      </w:pPr>
      <w:r>
        <w:rPr>
          <w:rStyle w:val="FootnoteReference"/>
        </w:rPr>
        <w:footnoteRef/>
      </w:r>
      <w:r>
        <w:rPr>
          <w:rtl/>
        </w:rPr>
        <w:t xml:space="preserve"> </w:t>
      </w:r>
      <w:r>
        <w:t>MCGuiness institute</w:t>
      </w:r>
    </w:p>
  </w:footnote>
  <w:footnote w:id="223">
    <w:p w14:paraId="16EE188C" w14:textId="63B9224E" w:rsidR="00B47FF5" w:rsidRDefault="00B47FF5" w:rsidP="005B006C">
      <w:pPr>
        <w:pStyle w:val="FootnoteText"/>
      </w:pPr>
      <w:r>
        <w:rPr>
          <w:rStyle w:val="FootnoteReference"/>
        </w:rPr>
        <w:footnoteRef/>
      </w:r>
      <w:r>
        <w:rPr>
          <w:rtl/>
        </w:rPr>
        <w:t xml:space="preserve"> </w:t>
      </w:r>
      <w:r>
        <w:t>Adjectives</w:t>
      </w:r>
    </w:p>
  </w:footnote>
  <w:footnote w:id="224">
    <w:p w14:paraId="47306D87" w14:textId="77777777" w:rsidR="00B47FF5" w:rsidRDefault="00B47FF5" w:rsidP="0020732A">
      <w:pPr>
        <w:pStyle w:val="FootnoteText"/>
      </w:pPr>
      <w:r>
        <w:rPr>
          <w:rStyle w:val="FootnoteReference"/>
        </w:rPr>
        <w:footnoteRef/>
      </w:r>
      <w:r>
        <w:rPr>
          <w:rtl/>
        </w:rPr>
        <w:t xml:space="preserve"> </w:t>
      </w:r>
      <w:r w:rsidRPr="000411F6">
        <w:t>MindTime</w:t>
      </w:r>
    </w:p>
  </w:footnote>
  <w:footnote w:id="225">
    <w:p w14:paraId="27E6B680" w14:textId="77777777" w:rsidR="00B47FF5" w:rsidRDefault="00B47FF5" w:rsidP="0020732A">
      <w:pPr>
        <w:pStyle w:val="FootnoteText"/>
      </w:pPr>
      <w:r>
        <w:rPr>
          <w:rStyle w:val="FootnoteReference"/>
        </w:rPr>
        <w:footnoteRef/>
      </w:r>
      <w:r>
        <w:rPr>
          <w:rtl/>
        </w:rPr>
        <w:t xml:space="preserve"> </w:t>
      </w:r>
      <w:r>
        <w:t>You</w:t>
      </w:r>
    </w:p>
  </w:footnote>
  <w:footnote w:id="226">
    <w:p w14:paraId="58F419E6" w14:textId="73EBD61B" w:rsidR="00B47FF5" w:rsidRDefault="00B47FF5" w:rsidP="005B006C">
      <w:pPr>
        <w:pStyle w:val="FootnoteText"/>
      </w:pPr>
      <w:r>
        <w:rPr>
          <w:rStyle w:val="FootnoteReference"/>
        </w:rPr>
        <w:footnoteRef/>
      </w:r>
      <w:r>
        <w:rPr>
          <w:rtl/>
        </w:rPr>
        <w:t xml:space="preserve"> </w:t>
      </w:r>
      <w:r>
        <w:t>Self-leaders</w:t>
      </w:r>
    </w:p>
  </w:footnote>
  <w:footnote w:id="227">
    <w:p w14:paraId="27927EBF" w14:textId="42581076" w:rsidR="00B47FF5" w:rsidRDefault="00B47FF5" w:rsidP="005B006C">
      <w:pPr>
        <w:pStyle w:val="FootnoteText"/>
      </w:pPr>
      <w:r>
        <w:rPr>
          <w:rStyle w:val="FootnoteReference"/>
        </w:rPr>
        <w:footnoteRef/>
      </w:r>
      <w:r>
        <w:rPr>
          <w:rtl/>
        </w:rPr>
        <w:t xml:space="preserve"> </w:t>
      </w:r>
      <w:r>
        <w:t>Strategizer</w:t>
      </w:r>
    </w:p>
  </w:footnote>
  <w:footnote w:id="228">
    <w:p w14:paraId="3A153855" w14:textId="680C2619" w:rsidR="00B47FF5" w:rsidRDefault="00B47FF5" w:rsidP="0020732A">
      <w:pPr>
        <w:pStyle w:val="FootnoteText"/>
      </w:pPr>
      <w:r>
        <w:rPr>
          <w:rStyle w:val="FootnoteReference"/>
        </w:rPr>
        <w:footnoteRef/>
      </w:r>
      <w:r>
        <w:t xml:space="preserve"> </w:t>
      </w:r>
      <w:r w:rsidRPr="005B006C">
        <w:t>Deloi</w:t>
      </w:r>
      <w:r>
        <w:t>tte</w:t>
      </w:r>
    </w:p>
  </w:footnote>
  <w:footnote w:id="229">
    <w:p w14:paraId="5B1EF1A4" w14:textId="77777777" w:rsidR="00B47FF5" w:rsidRDefault="00B47FF5" w:rsidP="0020732A">
      <w:pPr>
        <w:pStyle w:val="FootnoteText"/>
      </w:pPr>
      <w:r>
        <w:rPr>
          <w:rStyle w:val="FootnoteReference"/>
        </w:rPr>
        <w:footnoteRef/>
      </w:r>
      <w:r>
        <w:rPr>
          <w:rtl/>
        </w:rPr>
        <w:t xml:space="preserve"> </w:t>
      </w:r>
      <w:r>
        <w:t>The Four Ps</w:t>
      </w:r>
    </w:p>
  </w:footnote>
  <w:footnote w:id="230">
    <w:p w14:paraId="4D28F579" w14:textId="77777777" w:rsidR="00B47FF5" w:rsidRDefault="00B47FF5" w:rsidP="0020732A">
      <w:pPr>
        <w:pStyle w:val="FootnoteText"/>
      </w:pPr>
      <w:r>
        <w:rPr>
          <w:rStyle w:val="FootnoteReference"/>
        </w:rPr>
        <w:footnoteRef/>
      </w:r>
      <w:r>
        <w:rPr>
          <w:rtl/>
        </w:rPr>
        <w:t xml:space="preserve"> </w:t>
      </w:r>
      <w:r w:rsidRPr="004A1A9F">
        <w:t>Guardians</w:t>
      </w:r>
    </w:p>
  </w:footnote>
  <w:footnote w:id="231">
    <w:p w14:paraId="375DF514" w14:textId="77777777" w:rsidR="00B47FF5" w:rsidRDefault="00B47FF5" w:rsidP="0020732A">
      <w:pPr>
        <w:pStyle w:val="FootnoteText"/>
      </w:pPr>
      <w:r>
        <w:rPr>
          <w:rStyle w:val="FootnoteReference"/>
        </w:rPr>
        <w:footnoteRef/>
      </w:r>
      <w:r>
        <w:rPr>
          <w:rtl/>
        </w:rPr>
        <w:t xml:space="preserve"> </w:t>
      </w:r>
      <w:r w:rsidRPr="004A1A9F">
        <w:t>Drivers</w:t>
      </w:r>
    </w:p>
  </w:footnote>
  <w:footnote w:id="232">
    <w:p w14:paraId="2A8FDD1A" w14:textId="77777777" w:rsidR="00B47FF5" w:rsidRDefault="00B47FF5" w:rsidP="0020732A">
      <w:pPr>
        <w:pStyle w:val="FootnoteText"/>
      </w:pPr>
      <w:r>
        <w:rPr>
          <w:rStyle w:val="FootnoteReference"/>
        </w:rPr>
        <w:footnoteRef/>
      </w:r>
      <w:r>
        <w:rPr>
          <w:rtl/>
        </w:rPr>
        <w:t xml:space="preserve"> </w:t>
      </w:r>
      <w:r w:rsidRPr="004A1A9F">
        <w:t>Pioneers</w:t>
      </w:r>
    </w:p>
  </w:footnote>
  <w:footnote w:id="233">
    <w:p w14:paraId="6C220A4E" w14:textId="6C8CE451" w:rsidR="00B47FF5" w:rsidRDefault="00B47FF5" w:rsidP="005B006C">
      <w:pPr>
        <w:pStyle w:val="FootnoteText"/>
      </w:pPr>
      <w:r>
        <w:rPr>
          <w:rStyle w:val="FootnoteReference"/>
        </w:rPr>
        <w:footnoteRef/>
      </w:r>
      <w:r>
        <w:rPr>
          <w:rtl/>
        </w:rPr>
        <w:t xml:space="preserve"> </w:t>
      </w:r>
      <w:r>
        <w:t>Blended</w:t>
      </w:r>
    </w:p>
  </w:footnote>
  <w:footnote w:id="234">
    <w:p w14:paraId="70F246B2" w14:textId="77777777" w:rsidR="00B47FF5" w:rsidRDefault="00B47FF5" w:rsidP="0020732A">
      <w:pPr>
        <w:pStyle w:val="FootnoteText"/>
      </w:pPr>
      <w:r>
        <w:rPr>
          <w:rStyle w:val="FootnoteReference"/>
        </w:rPr>
        <w:footnoteRef/>
      </w:r>
      <w:r>
        <w:rPr>
          <w:rtl/>
        </w:rPr>
        <w:t xml:space="preserve"> </w:t>
      </w:r>
      <w:r w:rsidRPr="004A1A9F">
        <w:t>Integerators</w:t>
      </w:r>
    </w:p>
  </w:footnote>
  <w:footnote w:id="235">
    <w:p w14:paraId="198F1E51" w14:textId="77777777" w:rsidR="00B47FF5" w:rsidRDefault="00B47FF5" w:rsidP="0020732A">
      <w:pPr>
        <w:pStyle w:val="FootnoteText"/>
      </w:pPr>
      <w:r>
        <w:rPr>
          <w:rStyle w:val="FootnoteReference"/>
        </w:rPr>
        <w:footnoteRef/>
      </w:r>
      <w:r>
        <w:rPr>
          <w:rtl/>
        </w:rPr>
        <w:t xml:space="preserve"> </w:t>
      </w:r>
      <w:r w:rsidRPr="00E91B3A">
        <w:t>Highest Paid Persons in the organization</w:t>
      </w:r>
    </w:p>
  </w:footnote>
  <w:footnote w:id="236">
    <w:p w14:paraId="228AC273" w14:textId="77777777" w:rsidR="00B47FF5" w:rsidRDefault="00B47FF5" w:rsidP="0020732A">
      <w:pPr>
        <w:pStyle w:val="FootnoteText"/>
      </w:pPr>
      <w:r>
        <w:rPr>
          <w:rStyle w:val="FootnoteReference"/>
        </w:rPr>
        <w:footnoteRef/>
      </w:r>
      <w:r>
        <w:rPr>
          <w:rtl/>
        </w:rPr>
        <w:t xml:space="preserve"> </w:t>
      </w:r>
      <w:r w:rsidRPr="000411F6">
        <w:t>Business Chemistry: Creating Powerful Work Relationships</w:t>
      </w:r>
    </w:p>
  </w:footnote>
  <w:footnote w:id="237">
    <w:p w14:paraId="40527205" w14:textId="77777777" w:rsidR="00B47FF5" w:rsidRDefault="00B47FF5" w:rsidP="0020732A">
      <w:pPr>
        <w:pStyle w:val="FootnoteText"/>
      </w:pPr>
      <w:r>
        <w:rPr>
          <w:rStyle w:val="FootnoteReference"/>
        </w:rPr>
        <w:footnoteRef/>
      </w:r>
      <w:r>
        <w:rPr>
          <w:rtl/>
        </w:rPr>
        <w:t xml:space="preserve"> </w:t>
      </w:r>
      <w:r w:rsidRPr="000411F6">
        <w:t>Christfort</w:t>
      </w:r>
    </w:p>
  </w:footnote>
  <w:footnote w:id="238">
    <w:p w14:paraId="35ED0528" w14:textId="77777777" w:rsidR="00B47FF5" w:rsidRDefault="00B47FF5" w:rsidP="0020732A">
      <w:pPr>
        <w:pStyle w:val="FootnoteText"/>
      </w:pPr>
      <w:r>
        <w:rPr>
          <w:rStyle w:val="FootnoteReference"/>
        </w:rPr>
        <w:footnoteRef/>
      </w:r>
      <w:r>
        <w:rPr>
          <w:rtl/>
        </w:rPr>
        <w:t xml:space="preserve"> </w:t>
      </w:r>
      <w:r w:rsidRPr="000411F6">
        <w:t>Vickberg</w:t>
      </w:r>
    </w:p>
  </w:footnote>
  <w:footnote w:id="239">
    <w:p w14:paraId="60EB931D" w14:textId="048665A0" w:rsidR="00B47FF5" w:rsidRDefault="00B47FF5" w:rsidP="005B006C">
      <w:pPr>
        <w:pStyle w:val="FootnoteText"/>
      </w:pPr>
      <w:r>
        <w:rPr>
          <w:rStyle w:val="FootnoteReference"/>
        </w:rPr>
        <w:footnoteRef/>
      </w:r>
      <w:r>
        <w:rPr>
          <w:rtl/>
        </w:rPr>
        <w:t xml:space="preserve"> </w:t>
      </w:r>
      <w:r>
        <w:t>P</w:t>
      </w:r>
      <w:r w:rsidRPr="00EA173C">
        <w:t>erception-action</w:t>
      </w:r>
    </w:p>
  </w:footnote>
  <w:footnote w:id="240">
    <w:p w14:paraId="4877B998" w14:textId="77777777" w:rsidR="00B47FF5" w:rsidRDefault="00B47FF5" w:rsidP="0020732A">
      <w:pPr>
        <w:pStyle w:val="FootnoteText"/>
      </w:pPr>
      <w:r>
        <w:rPr>
          <w:rStyle w:val="FootnoteReference"/>
        </w:rPr>
        <w:footnoteRef/>
      </w:r>
      <w:r>
        <w:rPr>
          <w:rtl/>
        </w:rPr>
        <w:t xml:space="preserve"> </w:t>
      </w:r>
      <w:r>
        <w:t>Perceive, Decide, Act, and get Feedback</w:t>
      </w:r>
    </w:p>
  </w:footnote>
  <w:footnote w:id="241">
    <w:p w14:paraId="3417D1F0" w14:textId="77777777" w:rsidR="00B47FF5" w:rsidRDefault="00B47FF5" w:rsidP="0020732A">
      <w:pPr>
        <w:pStyle w:val="FootnoteText"/>
      </w:pPr>
      <w:r>
        <w:rPr>
          <w:rStyle w:val="FootnoteReference"/>
        </w:rPr>
        <w:footnoteRef/>
      </w:r>
      <w:r>
        <w:rPr>
          <w:rtl/>
        </w:rPr>
        <w:t xml:space="preserve"> </w:t>
      </w:r>
      <w:r>
        <w:t>Reviewing</w:t>
      </w:r>
    </w:p>
  </w:footnote>
  <w:footnote w:id="242">
    <w:p w14:paraId="10DDB63D" w14:textId="77777777" w:rsidR="00B47FF5" w:rsidRDefault="00B47FF5" w:rsidP="0020732A">
      <w:pPr>
        <w:pStyle w:val="FootnoteText"/>
      </w:pPr>
      <w:r>
        <w:rPr>
          <w:rStyle w:val="FootnoteReference"/>
        </w:rPr>
        <w:footnoteRef/>
      </w:r>
      <w:r>
        <w:rPr>
          <w:rtl/>
        </w:rPr>
        <w:t xml:space="preserve"> </w:t>
      </w:r>
      <w:r>
        <w:t>Do Loop</w:t>
      </w:r>
    </w:p>
  </w:footnote>
  <w:footnote w:id="243">
    <w:p w14:paraId="24A4F1AB" w14:textId="77777777" w:rsidR="00B47FF5" w:rsidRDefault="00B47FF5" w:rsidP="0020732A">
      <w:pPr>
        <w:pStyle w:val="FootnoteText"/>
      </w:pPr>
      <w:r>
        <w:rPr>
          <w:rStyle w:val="FootnoteReference"/>
        </w:rPr>
        <w:footnoteRef/>
      </w:r>
      <w:r>
        <w:rPr>
          <w:rtl/>
        </w:rPr>
        <w:t xml:space="preserve"> </w:t>
      </w:r>
      <w:r w:rsidRPr="00FF4DFD">
        <w:t>Gallup</w:t>
      </w:r>
    </w:p>
  </w:footnote>
  <w:footnote w:id="244">
    <w:p w14:paraId="66D7E6BD" w14:textId="77777777" w:rsidR="00B47FF5" w:rsidRDefault="00B47FF5" w:rsidP="0020732A">
      <w:pPr>
        <w:pStyle w:val="FootnoteText"/>
      </w:pPr>
      <w:r>
        <w:rPr>
          <w:rStyle w:val="FootnoteReference"/>
        </w:rPr>
        <w:footnoteRef/>
      </w:r>
      <w:r>
        <w:rPr>
          <w:rtl/>
        </w:rPr>
        <w:t xml:space="preserve"> </w:t>
      </w:r>
      <w:r>
        <w:t>Execution</w:t>
      </w:r>
    </w:p>
  </w:footnote>
  <w:footnote w:id="245">
    <w:p w14:paraId="03BBD4A7" w14:textId="77777777" w:rsidR="00B47FF5" w:rsidRDefault="00B47FF5" w:rsidP="0020732A">
      <w:pPr>
        <w:pStyle w:val="FootnoteText"/>
      </w:pPr>
      <w:r>
        <w:rPr>
          <w:rStyle w:val="FootnoteReference"/>
        </w:rPr>
        <w:footnoteRef/>
      </w:r>
      <w:r>
        <w:rPr>
          <w:rtl/>
        </w:rPr>
        <w:t xml:space="preserve"> </w:t>
      </w:r>
      <w:r>
        <w:t>Influence</w:t>
      </w:r>
    </w:p>
  </w:footnote>
  <w:footnote w:id="246">
    <w:p w14:paraId="0B42A77D" w14:textId="503CB19B" w:rsidR="00B47FF5" w:rsidRDefault="00B47FF5" w:rsidP="005B006C">
      <w:pPr>
        <w:pStyle w:val="FootnoteText"/>
      </w:pPr>
      <w:r>
        <w:rPr>
          <w:rStyle w:val="FootnoteReference"/>
        </w:rPr>
        <w:footnoteRef/>
      </w:r>
      <w:r>
        <w:t xml:space="preserve"> F</w:t>
      </w:r>
      <w:r w:rsidRPr="005B006C">
        <w:t>oresee</w:t>
      </w:r>
    </w:p>
  </w:footnote>
  <w:footnote w:id="247">
    <w:p w14:paraId="57D9C509" w14:textId="77777777" w:rsidR="00B47FF5" w:rsidRPr="00E67453" w:rsidRDefault="00B47FF5" w:rsidP="0020732A">
      <w:pPr>
        <w:pStyle w:val="FootnoteText"/>
      </w:pPr>
      <w:r>
        <w:rPr>
          <w:rStyle w:val="FootnoteReference"/>
        </w:rPr>
        <w:footnoteRef/>
      </w:r>
      <w:r>
        <w:rPr>
          <w:rtl/>
        </w:rPr>
        <w:t xml:space="preserve"> </w:t>
      </w:r>
      <w:r w:rsidRPr="00E67453">
        <w:t>Predictive Processing Loop</w:t>
      </w:r>
    </w:p>
  </w:footnote>
  <w:footnote w:id="248">
    <w:p w14:paraId="5868D737" w14:textId="77777777" w:rsidR="00B47FF5" w:rsidRDefault="00B47FF5" w:rsidP="0020732A">
      <w:pPr>
        <w:pStyle w:val="FootnoteText"/>
      </w:pPr>
      <w:r>
        <w:rPr>
          <w:rStyle w:val="FootnoteReference"/>
        </w:rPr>
        <w:footnoteRef/>
      </w:r>
      <w:r>
        <w:rPr>
          <w:rtl/>
        </w:rPr>
        <w:t xml:space="preserve"> </w:t>
      </w:r>
      <w:r w:rsidRPr="00761008">
        <w:t>Rao</w:t>
      </w:r>
    </w:p>
  </w:footnote>
  <w:footnote w:id="249">
    <w:p w14:paraId="491536DE" w14:textId="77777777" w:rsidR="00B47FF5" w:rsidRDefault="00B47FF5" w:rsidP="0020732A">
      <w:pPr>
        <w:pStyle w:val="FootnoteText"/>
      </w:pPr>
      <w:r>
        <w:rPr>
          <w:rStyle w:val="FootnoteReference"/>
        </w:rPr>
        <w:footnoteRef/>
      </w:r>
      <w:r>
        <w:rPr>
          <w:rtl/>
        </w:rPr>
        <w:t xml:space="preserve"> </w:t>
      </w:r>
      <w:r w:rsidRPr="00761008">
        <w:t>Ballard</w:t>
      </w:r>
    </w:p>
  </w:footnote>
  <w:footnote w:id="250">
    <w:p w14:paraId="4DE6ACFA" w14:textId="77777777" w:rsidR="00B47FF5" w:rsidRDefault="00B47FF5" w:rsidP="0020732A">
      <w:pPr>
        <w:pStyle w:val="FootnoteText"/>
      </w:pPr>
      <w:r>
        <w:rPr>
          <w:rStyle w:val="FootnoteReference"/>
        </w:rPr>
        <w:footnoteRef/>
      </w:r>
      <w:r>
        <w:rPr>
          <w:rtl/>
        </w:rPr>
        <w:t xml:space="preserve"> </w:t>
      </w:r>
      <w:r>
        <w:t>Sense</w:t>
      </w:r>
    </w:p>
  </w:footnote>
  <w:footnote w:id="251">
    <w:p w14:paraId="2586D3DB" w14:textId="3111EE1D" w:rsidR="00B47FF5" w:rsidRDefault="00B47FF5" w:rsidP="005B006C">
      <w:pPr>
        <w:pStyle w:val="FootnoteText"/>
      </w:pPr>
      <w:r>
        <w:rPr>
          <w:rStyle w:val="FootnoteReference"/>
        </w:rPr>
        <w:footnoteRef/>
      </w:r>
      <w:r>
        <w:rPr>
          <w:rtl/>
        </w:rPr>
        <w:t xml:space="preserve"> </w:t>
      </w:r>
      <w:r>
        <w:t>D</w:t>
      </w:r>
      <w:r w:rsidRPr="003D3C35">
        <w:t>eep machine learning</w:t>
      </w:r>
    </w:p>
  </w:footnote>
  <w:footnote w:id="252">
    <w:p w14:paraId="407A34A7" w14:textId="77777777" w:rsidR="00B47FF5" w:rsidRDefault="00B47FF5" w:rsidP="0020732A">
      <w:pPr>
        <w:pStyle w:val="FootnoteText"/>
      </w:pPr>
      <w:r>
        <w:rPr>
          <w:rStyle w:val="FootnoteReference"/>
        </w:rPr>
        <w:footnoteRef/>
      </w:r>
      <w:r>
        <w:rPr>
          <w:rtl/>
        </w:rPr>
        <w:t xml:space="preserve"> </w:t>
      </w:r>
      <w:r w:rsidRPr="00761008">
        <w:t>John Boyd</w:t>
      </w:r>
    </w:p>
  </w:footnote>
  <w:footnote w:id="253">
    <w:p w14:paraId="2B42B812" w14:textId="77777777" w:rsidR="00B47FF5" w:rsidRDefault="00B47FF5" w:rsidP="0020732A">
      <w:pPr>
        <w:pStyle w:val="FootnoteText"/>
      </w:pPr>
      <w:r>
        <w:rPr>
          <w:rStyle w:val="FootnoteReference"/>
        </w:rPr>
        <w:footnoteRef/>
      </w:r>
      <w:r>
        <w:rPr>
          <w:rtl/>
        </w:rPr>
        <w:t xml:space="preserve"> </w:t>
      </w:r>
      <w:r w:rsidRPr="003D3C35">
        <w:t>Orient</w:t>
      </w:r>
    </w:p>
  </w:footnote>
  <w:footnote w:id="254">
    <w:p w14:paraId="399C565E" w14:textId="77777777" w:rsidR="00B47FF5" w:rsidRDefault="00B47FF5" w:rsidP="0020732A">
      <w:pPr>
        <w:pStyle w:val="FootnoteText"/>
      </w:pPr>
      <w:r>
        <w:rPr>
          <w:rStyle w:val="FootnoteReference"/>
        </w:rPr>
        <w:footnoteRef/>
      </w:r>
      <w:r>
        <w:rPr>
          <w:rtl/>
        </w:rPr>
        <w:t xml:space="preserve"> </w:t>
      </w:r>
      <w:r w:rsidRPr="003D3C35">
        <w:t>Workflow Management Loop</w:t>
      </w:r>
    </w:p>
  </w:footnote>
  <w:footnote w:id="255">
    <w:p w14:paraId="3DAA2718" w14:textId="77777777" w:rsidR="00B47FF5" w:rsidRDefault="00B47FF5" w:rsidP="0020732A">
      <w:pPr>
        <w:pStyle w:val="FootnoteText"/>
      </w:pPr>
      <w:r>
        <w:rPr>
          <w:rStyle w:val="FootnoteReference"/>
        </w:rPr>
        <w:footnoteRef/>
      </w:r>
      <w:r>
        <w:rPr>
          <w:rtl/>
        </w:rPr>
        <w:t xml:space="preserve"> </w:t>
      </w:r>
      <w:r w:rsidRPr="00761008">
        <w:t>David Allen</w:t>
      </w:r>
    </w:p>
  </w:footnote>
  <w:footnote w:id="256">
    <w:p w14:paraId="43AAA07B" w14:textId="77777777" w:rsidR="00B47FF5" w:rsidRDefault="00B47FF5" w:rsidP="0020732A">
      <w:pPr>
        <w:pStyle w:val="FootnoteText"/>
      </w:pPr>
      <w:r>
        <w:rPr>
          <w:rStyle w:val="FootnoteReference"/>
        </w:rPr>
        <w:footnoteRef/>
      </w:r>
      <w:r>
        <w:rPr>
          <w:rtl/>
        </w:rPr>
        <w:t xml:space="preserve"> </w:t>
      </w:r>
      <w:r w:rsidRPr="00761008">
        <w:t>David Kolb</w:t>
      </w:r>
    </w:p>
  </w:footnote>
  <w:footnote w:id="257">
    <w:p w14:paraId="03DB6395" w14:textId="52094E22" w:rsidR="00B47FF5" w:rsidRDefault="00B47FF5" w:rsidP="005B006C">
      <w:pPr>
        <w:pStyle w:val="FootnoteText"/>
      </w:pPr>
      <w:r>
        <w:rPr>
          <w:rStyle w:val="FootnoteReference"/>
        </w:rPr>
        <w:footnoteRef/>
      </w:r>
      <w:r>
        <w:rPr>
          <w:rtl/>
        </w:rPr>
        <w:t xml:space="preserve"> </w:t>
      </w:r>
      <w:r>
        <w:t>R</w:t>
      </w:r>
      <w:r w:rsidRPr="004B37E1">
        <w:t>eflect</w:t>
      </w:r>
    </w:p>
  </w:footnote>
  <w:footnote w:id="258">
    <w:p w14:paraId="1287F6E4" w14:textId="77777777" w:rsidR="00B47FF5" w:rsidRDefault="00B47FF5" w:rsidP="0020732A">
      <w:pPr>
        <w:pStyle w:val="FootnoteText"/>
      </w:pPr>
      <w:r>
        <w:rPr>
          <w:rStyle w:val="FootnoteReference"/>
        </w:rPr>
        <w:footnoteRef/>
      </w:r>
      <w:r>
        <w:rPr>
          <w:rtl/>
        </w:rPr>
        <w:t xml:space="preserve"> </w:t>
      </w:r>
      <w:r w:rsidRPr="00761008">
        <w:t>Clear</w:t>
      </w:r>
    </w:p>
  </w:footnote>
  <w:footnote w:id="259">
    <w:p w14:paraId="05173F4E" w14:textId="77777777" w:rsidR="00B47FF5" w:rsidRDefault="00B47FF5" w:rsidP="0020732A">
      <w:pPr>
        <w:pStyle w:val="FootnoteText"/>
      </w:pPr>
      <w:r>
        <w:rPr>
          <w:rStyle w:val="FootnoteReference"/>
        </w:rPr>
        <w:footnoteRef/>
      </w:r>
      <w:r>
        <w:rPr>
          <w:rtl/>
        </w:rPr>
        <w:t xml:space="preserve"> </w:t>
      </w:r>
      <w:r w:rsidRPr="00761008">
        <w:t>Duhigg</w:t>
      </w:r>
    </w:p>
  </w:footnote>
  <w:footnote w:id="260">
    <w:p w14:paraId="67E448D5" w14:textId="238C7F02" w:rsidR="00B47FF5" w:rsidRDefault="00B47FF5" w:rsidP="005B006C">
      <w:pPr>
        <w:pStyle w:val="FootnoteText"/>
      </w:pPr>
      <w:r>
        <w:rPr>
          <w:rStyle w:val="FootnoteReference"/>
        </w:rPr>
        <w:footnoteRef/>
      </w:r>
      <w:r>
        <w:rPr>
          <w:rtl/>
        </w:rPr>
        <w:t xml:space="preserve"> </w:t>
      </w:r>
      <w:r>
        <w:t>C</w:t>
      </w:r>
      <w:r w:rsidRPr="004B37E1">
        <w:t>raving</w:t>
      </w:r>
    </w:p>
  </w:footnote>
  <w:footnote w:id="261">
    <w:p w14:paraId="3BCB07BE" w14:textId="232B445A" w:rsidR="00B47FF5" w:rsidRDefault="00B47FF5" w:rsidP="0020732A">
      <w:pPr>
        <w:pStyle w:val="FootnoteText"/>
      </w:pPr>
      <w:r>
        <w:rPr>
          <w:rStyle w:val="FootnoteReference"/>
        </w:rPr>
        <w:footnoteRef/>
      </w:r>
      <w:r>
        <w:t xml:space="preserve"> </w:t>
      </w:r>
      <w:r w:rsidRPr="005B006C">
        <w:t>Eric Ericsson</w:t>
      </w:r>
    </w:p>
  </w:footnote>
  <w:footnote w:id="262">
    <w:p w14:paraId="76F4E13B" w14:textId="77777777" w:rsidR="00B47FF5" w:rsidRPr="004B37E1" w:rsidRDefault="00B47FF5" w:rsidP="0020732A">
      <w:pPr>
        <w:pStyle w:val="FootnoteText"/>
      </w:pPr>
      <w:r>
        <w:rPr>
          <w:rStyle w:val="FootnoteReference"/>
        </w:rPr>
        <w:footnoteRef/>
      </w:r>
      <w:r>
        <w:rPr>
          <w:rtl/>
        </w:rPr>
        <w:t xml:space="preserve"> </w:t>
      </w:r>
      <w:r w:rsidRPr="004B37E1">
        <w:t>Lean</w:t>
      </w:r>
    </w:p>
  </w:footnote>
  <w:footnote w:id="263">
    <w:p w14:paraId="2B719324" w14:textId="77777777" w:rsidR="00B47FF5" w:rsidRDefault="00B47FF5" w:rsidP="0020732A">
      <w:pPr>
        <w:pStyle w:val="FootnoteText"/>
      </w:pPr>
      <w:r>
        <w:rPr>
          <w:rStyle w:val="FootnoteReference"/>
        </w:rPr>
        <w:footnoteRef/>
      </w:r>
      <w:r>
        <w:rPr>
          <w:rtl/>
        </w:rPr>
        <w:t xml:space="preserve"> </w:t>
      </w:r>
      <w:r w:rsidRPr="00761008">
        <w:t>Eric Ries</w:t>
      </w:r>
    </w:p>
  </w:footnote>
  <w:footnote w:id="264">
    <w:p w14:paraId="3F26858C" w14:textId="77777777" w:rsidR="00B47FF5" w:rsidRDefault="00B47FF5" w:rsidP="0020732A">
      <w:pPr>
        <w:pStyle w:val="FootnoteText"/>
      </w:pPr>
      <w:r>
        <w:rPr>
          <w:rStyle w:val="FootnoteReference"/>
        </w:rPr>
        <w:footnoteRef/>
      </w:r>
      <w:r>
        <w:rPr>
          <w:rtl/>
        </w:rPr>
        <w:t xml:space="preserve"> </w:t>
      </w:r>
      <w:r w:rsidRPr="00761008">
        <w:t>Herbert Simon</w:t>
      </w:r>
    </w:p>
  </w:footnote>
  <w:footnote w:id="265">
    <w:p w14:paraId="43DE31E9" w14:textId="77777777" w:rsidR="00B47FF5" w:rsidRDefault="00B47FF5" w:rsidP="0020732A">
      <w:pPr>
        <w:pStyle w:val="FootnoteText"/>
      </w:pPr>
      <w:r>
        <w:rPr>
          <w:rStyle w:val="FootnoteReference"/>
        </w:rPr>
        <w:footnoteRef/>
      </w:r>
      <w:r>
        <w:rPr>
          <w:rtl/>
        </w:rPr>
        <w:t xml:space="preserve"> </w:t>
      </w:r>
      <w:r w:rsidRPr="004B37E1">
        <w:t>Agile</w:t>
      </w:r>
    </w:p>
  </w:footnote>
  <w:footnote w:id="266">
    <w:p w14:paraId="3E2DA09F" w14:textId="77777777" w:rsidR="00B47FF5" w:rsidRDefault="00B47FF5" w:rsidP="0020732A">
      <w:pPr>
        <w:pStyle w:val="FootnoteText"/>
      </w:pPr>
      <w:r>
        <w:rPr>
          <w:rStyle w:val="FootnoteReference"/>
        </w:rPr>
        <w:footnoteRef/>
      </w:r>
      <w:r>
        <w:rPr>
          <w:rtl/>
        </w:rPr>
        <w:t xml:space="preserve"> </w:t>
      </w:r>
      <w:r w:rsidRPr="00761008">
        <w:t>Kent Beck</w:t>
      </w:r>
    </w:p>
  </w:footnote>
  <w:footnote w:id="267">
    <w:p w14:paraId="7777B998" w14:textId="43EB5084" w:rsidR="00B47FF5" w:rsidRDefault="00B47FF5" w:rsidP="005B006C">
      <w:pPr>
        <w:pStyle w:val="FootnoteText"/>
      </w:pPr>
      <w:r>
        <w:rPr>
          <w:rStyle w:val="FootnoteReference"/>
        </w:rPr>
        <w:footnoteRef/>
      </w:r>
      <w:r>
        <w:rPr>
          <w:rtl/>
        </w:rPr>
        <w:t xml:space="preserve"> </w:t>
      </w:r>
      <w:r>
        <w:t>S</w:t>
      </w:r>
      <w:r w:rsidRPr="00761008">
        <w:t>crum</w:t>
      </w:r>
    </w:p>
  </w:footnote>
  <w:footnote w:id="268">
    <w:p w14:paraId="4717E126" w14:textId="77777777" w:rsidR="00B47FF5" w:rsidRPr="004B37E1" w:rsidRDefault="00B47FF5" w:rsidP="0020732A">
      <w:pPr>
        <w:pStyle w:val="FootnoteText"/>
      </w:pPr>
      <w:r>
        <w:rPr>
          <w:rStyle w:val="FootnoteReference"/>
        </w:rPr>
        <w:footnoteRef/>
      </w:r>
      <w:r>
        <w:rPr>
          <w:rtl/>
        </w:rPr>
        <w:t xml:space="preserve"> </w:t>
      </w:r>
      <w:r w:rsidRPr="004B37E1">
        <w:t>Kanban</w:t>
      </w:r>
    </w:p>
  </w:footnote>
  <w:footnote w:id="269">
    <w:p w14:paraId="7A253C0D" w14:textId="0B087292" w:rsidR="00B47FF5" w:rsidRDefault="00B47FF5" w:rsidP="005B006C">
      <w:pPr>
        <w:pStyle w:val="FootnoteText"/>
      </w:pPr>
      <w:r>
        <w:rPr>
          <w:rStyle w:val="FootnoteReference"/>
        </w:rPr>
        <w:footnoteRef/>
      </w:r>
      <w:r>
        <w:rPr>
          <w:rtl/>
        </w:rPr>
        <w:t xml:space="preserve"> </w:t>
      </w:r>
      <w:r>
        <w:t>L</w:t>
      </w:r>
      <w:r w:rsidRPr="004B37E1">
        <w:t>ean production</w:t>
      </w:r>
    </w:p>
  </w:footnote>
  <w:footnote w:id="270">
    <w:p w14:paraId="017DC958" w14:textId="77777777" w:rsidR="00B47FF5" w:rsidRDefault="00B47FF5" w:rsidP="0020732A">
      <w:pPr>
        <w:pStyle w:val="FootnoteText"/>
      </w:pPr>
      <w:r>
        <w:rPr>
          <w:rStyle w:val="FootnoteReference"/>
        </w:rPr>
        <w:footnoteRef/>
      </w:r>
      <w:r>
        <w:rPr>
          <w:rtl/>
        </w:rPr>
        <w:t xml:space="preserve"> </w:t>
      </w:r>
      <w:r w:rsidRPr="00761008">
        <w:t>Edwards Deming</w:t>
      </w:r>
    </w:p>
  </w:footnote>
  <w:footnote w:id="271">
    <w:p w14:paraId="51A1E9F1" w14:textId="0B0C8FCB" w:rsidR="00B47FF5" w:rsidRDefault="00B47FF5" w:rsidP="005B006C">
      <w:pPr>
        <w:pStyle w:val="FootnoteText"/>
      </w:pPr>
      <w:r>
        <w:rPr>
          <w:rStyle w:val="FootnoteReference"/>
        </w:rPr>
        <w:footnoteRef/>
      </w:r>
      <w:r>
        <w:rPr>
          <w:rtl/>
        </w:rPr>
        <w:t xml:space="preserve"> </w:t>
      </w:r>
      <w:r>
        <w:t>Minimum viable set</w:t>
      </w:r>
    </w:p>
  </w:footnote>
  <w:footnote w:id="272">
    <w:p w14:paraId="4B98AC80" w14:textId="77777777" w:rsidR="00B47FF5" w:rsidRDefault="00B47FF5" w:rsidP="0020732A">
      <w:pPr>
        <w:pStyle w:val="FootnoteText"/>
      </w:pPr>
      <w:r>
        <w:rPr>
          <w:rStyle w:val="FootnoteReference"/>
        </w:rPr>
        <w:footnoteRef/>
      </w:r>
      <w:r>
        <w:rPr>
          <w:rtl/>
        </w:rPr>
        <w:t xml:space="preserve"> </w:t>
      </w:r>
      <w:r w:rsidRPr="00761008">
        <w:t>Benjamin Libet</w:t>
      </w:r>
    </w:p>
  </w:footnote>
  <w:footnote w:id="273">
    <w:p w14:paraId="3B1E89A9" w14:textId="77777777" w:rsidR="00B47FF5" w:rsidRDefault="00B47FF5" w:rsidP="0020732A">
      <w:pPr>
        <w:pStyle w:val="FootnoteText"/>
      </w:pPr>
      <w:r>
        <w:rPr>
          <w:rStyle w:val="FootnoteReference"/>
        </w:rPr>
        <w:footnoteRef/>
      </w:r>
      <w:r>
        <w:rPr>
          <w:rtl/>
        </w:rPr>
        <w:t xml:space="preserve"> </w:t>
      </w:r>
      <w:r>
        <w:t>Power Law</w:t>
      </w:r>
    </w:p>
  </w:footnote>
  <w:footnote w:id="274">
    <w:p w14:paraId="1D93E619" w14:textId="062D2AD6" w:rsidR="00B47FF5" w:rsidRDefault="00B47FF5" w:rsidP="005B006C">
      <w:pPr>
        <w:pStyle w:val="FootnoteText"/>
      </w:pPr>
      <w:r>
        <w:rPr>
          <w:rStyle w:val="FootnoteReference"/>
        </w:rPr>
        <w:footnoteRef/>
      </w:r>
      <w:r>
        <w:rPr>
          <w:rtl/>
        </w:rPr>
        <w:t xml:space="preserve"> </w:t>
      </w:r>
      <w:r>
        <w:t>Today’s foresight</w:t>
      </w:r>
    </w:p>
  </w:footnote>
  <w:footnote w:id="275">
    <w:p w14:paraId="4DEF0E6B" w14:textId="3811D815" w:rsidR="00B47FF5" w:rsidRDefault="00B47FF5" w:rsidP="005B006C">
      <w:pPr>
        <w:pStyle w:val="FootnoteText"/>
      </w:pPr>
      <w:r>
        <w:rPr>
          <w:rStyle w:val="FootnoteReference"/>
        </w:rPr>
        <w:footnoteRef/>
      </w:r>
      <w:r>
        <w:rPr>
          <w:rtl/>
        </w:rPr>
        <w:t xml:space="preserve"> </w:t>
      </w:r>
      <w:r>
        <w:t>P</w:t>
      </w:r>
      <w:r w:rsidRPr="00844EC9">
        <w:t>resentist</w:t>
      </w:r>
    </w:p>
  </w:footnote>
  <w:footnote w:id="276">
    <w:p w14:paraId="670907B2" w14:textId="27BC455E" w:rsidR="00B47FF5" w:rsidRDefault="00B47FF5" w:rsidP="005B006C">
      <w:pPr>
        <w:pStyle w:val="FootnoteText"/>
      </w:pPr>
      <w:r>
        <w:rPr>
          <w:rStyle w:val="FootnoteReference"/>
        </w:rPr>
        <w:footnoteRef/>
      </w:r>
      <w:r>
        <w:rPr>
          <w:rtl/>
        </w:rPr>
        <w:t xml:space="preserve"> </w:t>
      </w:r>
      <w:r>
        <w:t>P</w:t>
      </w:r>
      <w:r w:rsidRPr="00FD2E61">
        <w:t>revisualizing</w:t>
      </w:r>
    </w:p>
  </w:footnote>
  <w:footnote w:id="277">
    <w:p w14:paraId="607915EC" w14:textId="77777777" w:rsidR="00B47FF5" w:rsidRDefault="00B47FF5" w:rsidP="0020732A">
      <w:pPr>
        <w:pStyle w:val="FootnoteText"/>
      </w:pPr>
      <w:r>
        <w:rPr>
          <w:rStyle w:val="FootnoteReference"/>
        </w:rPr>
        <w:footnoteRef/>
      </w:r>
      <w:r>
        <w:rPr>
          <w:rtl/>
        </w:rPr>
        <w:t xml:space="preserve"> </w:t>
      </w:r>
      <w:r w:rsidRPr="00761008">
        <w:t>Alvin Toffler</w:t>
      </w:r>
    </w:p>
  </w:footnote>
  <w:footnote w:id="278">
    <w:p w14:paraId="204AEBE8" w14:textId="239E5674" w:rsidR="00B47FF5" w:rsidRDefault="00B47FF5" w:rsidP="0020732A">
      <w:pPr>
        <w:pStyle w:val="FootnoteText"/>
      </w:pPr>
      <w:r>
        <w:rPr>
          <w:rStyle w:val="FootnoteReference"/>
        </w:rPr>
        <w:footnoteRef/>
      </w:r>
      <w:r>
        <w:rPr>
          <w:rtl/>
        </w:rPr>
        <w:t xml:space="preserve"> </w:t>
      </w:r>
      <w:r>
        <w:t>Future Shock</w:t>
      </w:r>
    </w:p>
  </w:footnote>
  <w:footnote w:id="279">
    <w:p w14:paraId="7548EFB5" w14:textId="1B61D353" w:rsidR="00B47FF5" w:rsidRDefault="00B47FF5" w:rsidP="005B006C">
      <w:pPr>
        <w:pStyle w:val="FootnoteText"/>
      </w:pPr>
      <w:r>
        <w:rPr>
          <w:rStyle w:val="FootnoteReference"/>
        </w:rPr>
        <w:footnoteRef/>
      </w:r>
      <w:r>
        <w:rPr>
          <w:rtl/>
        </w:rPr>
        <w:t xml:space="preserve"> </w:t>
      </w:r>
      <w:r>
        <w:t>N</w:t>
      </w:r>
      <w:r w:rsidRPr="00147BFE">
        <w:t>onprofit</w:t>
      </w:r>
    </w:p>
  </w:footnote>
  <w:footnote w:id="280">
    <w:p w14:paraId="0A20D716" w14:textId="77777777" w:rsidR="00B47FF5" w:rsidRDefault="00B47FF5" w:rsidP="0020732A">
      <w:pPr>
        <w:pStyle w:val="FootnoteText"/>
      </w:pPr>
      <w:r>
        <w:rPr>
          <w:rStyle w:val="FootnoteReference"/>
        </w:rPr>
        <w:footnoteRef/>
      </w:r>
      <w:r>
        <w:rPr>
          <w:rtl/>
        </w:rPr>
        <w:t xml:space="preserve"> </w:t>
      </w:r>
      <w:r w:rsidRPr="00CD5322">
        <w:t>Acceleration Studies</w:t>
      </w:r>
      <w:r>
        <w:t xml:space="preserve"> </w:t>
      </w:r>
      <w:r w:rsidRPr="00CD5322">
        <w:t>Foundation</w:t>
      </w:r>
    </w:p>
  </w:footnote>
  <w:footnote w:id="281">
    <w:p w14:paraId="28E822DD" w14:textId="77777777" w:rsidR="00B47FF5" w:rsidRDefault="00B47FF5" w:rsidP="0020732A">
      <w:pPr>
        <w:pStyle w:val="FootnoteText"/>
      </w:pPr>
      <w:r>
        <w:rPr>
          <w:rStyle w:val="FootnoteReference"/>
        </w:rPr>
        <w:footnoteRef/>
      </w:r>
      <w:r>
        <w:rPr>
          <w:rtl/>
        </w:rPr>
        <w:t xml:space="preserve"> </w:t>
      </w:r>
      <w:r w:rsidRPr="00761008">
        <w:t>Carl Sagan</w:t>
      </w:r>
    </w:p>
  </w:footnote>
  <w:footnote w:id="282">
    <w:p w14:paraId="6C8E30C7" w14:textId="77777777" w:rsidR="00B47FF5" w:rsidRDefault="00B47FF5" w:rsidP="0020732A">
      <w:pPr>
        <w:pStyle w:val="FootnoteText"/>
      </w:pPr>
      <w:r>
        <w:rPr>
          <w:rStyle w:val="FootnoteReference"/>
        </w:rPr>
        <w:footnoteRef/>
      </w:r>
      <w:r>
        <w:rPr>
          <w:rtl/>
        </w:rPr>
        <w:t xml:space="preserve"> </w:t>
      </w:r>
      <w:r w:rsidRPr="00CD5322">
        <w:t>Dragons of Eden</w:t>
      </w:r>
    </w:p>
  </w:footnote>
  <w:footnote w:id="283">
    <w:p w14:paraId="25F240D9" w14:textId="77777777" w:rsidR="00B47FF5" w:rsidRDefault="00B47FF5" w:rsidP="0020732A">
      <w:pPr>
        <w:pStyle w:val="FootnoteText"/>
      </w:pPr>
      <w:r>
        <w:rPr>
          <w:rStyle w:val="FootnoteReference"/>
        </w:rPr>
        <w:footnoteRef/>
      </w:r>
      <w:r>
        <w:rPr>
          <w:rtl/>
        </w:rPr>
        <w:t xml:space="preserve"> </w:t>
      </w:r>
      <w:r w:rsidRPr="00761008">
        <w:t>Cosmos</w:t>
      </w:r>
    </w:p>
  </w:footnote>
  <w:footnote w:id="284">
    <w:p w14:paraId="59AE96BA" w14:textId="55B7C105" w:rsidR="00B47FF5" w:rsidRDefault="00B47FF5" w:rsidP="005B006C">
      <w:pPr>
        <w:pStyle w:val="FootnoteText"/>
      </w:pPr>
      <w:r>
        <w:rPr>
          <w:rStyle w:val="FootnoteReference"/>
        </w:rPr>
        <w:footnoteRef/>
      </w:r>
      <w:r>
        <w:rPr>
          <w:rtl/>
        </w:rPr>
        <w:t xml:space="preserve"> </w:t>
      </w:r>
      <w:r>
        <w:t>D</w:t>
      </w:r>
      <w:r w:rsidRPr="00935F10">
        <w:t>ematerialization</w:t>
      </w:r>
    </w:p>
  </w:footnote>
  <w:footnote w:id="285">
    <w:p w14:paraId="19D94BDE" w14:textId="77777777" w:rsidR="00B47FF5" w:rsidRDefault="00B47FF5" w:rsidP="0020732A">
      <w:pPr>
        <w:pStyle w:val="FootnoteText"/>
      </w:pPr>
      <w:r>
        <w:rPr>
          <w:rStyle w:val="FootnoteReference"/>
        </w:rPr>
        <w:footnoteRef/>
      </w:r>
      <w:r>
        <w:rPr>
          <w:rtl/>
        </w:rPr>
        <w:t xml:space="preserve"> </w:t>
      </w:r>
      <w:r w:rsidRPr="00257B92">
        <w:t>Roy Amara</w:t>
      </w:r>
    </w:p>
  </w:footnote>
  <w:footnote w:id="286">
    <w:p w14:paraId="40404583" w14:textId="77777777" w:rsidR="00B47FF5" w:rsidRDefault="00B47FF5" w:rsidP="0020732A">
      <w:pPr>
        <w:pStyle w:val="FootnoteText"/>
      </w:pPr>
      <w:r>
        <w:rPr>
          <w:rStyle w:val="FootnoteReference"/>
        </w:rPr>
        <w:footnoteRef/>
      </w:r>
      <w:r>
        <w:rPr>
          <w:rtl/>
        </w:rPr>
        <w:t xml:space="preserve"> </w:t>
      </w:r>
      <w:r>
        <w:t>Institute for the Future</w:t>
      </w:r>
    </w:p>
  </w:footnote>
  <w:footnote w:id="287">
    <w:p w14:paraId="7CB77F77" w14:textId="77777777" w:rsidR="00B47FF5" w:rsidRDefault="00B47FF5" w:rsidP="0020732A">
      <w:pPr>
        <w:pStyle w:val="FootnoteText"/>
      </w:pPr>
      <w:r>
        <w:rPr>
          <w:rStyle w:val="FootnoteReference"/>
        </w:rPr>
        <w:footnoteRef/>
      </w:r>
      <w:r>
        <w:rPr>
          <w:rtl/>
        </w:rPr>
        <w:t xml:space="preserve"> </w:t>
      </w:r>
      <w:r w:rsidRPr="00257B92">
        <w:t>The Futurist</w:t>
      </w:r>
    </w:p>
  </w:footnote>
  <w:footnote w:id="288">
    <w:p w14:paraId="26A1E002" w14:textId="77777777" w:rsidR="00B47FF5" w:rsidRDefault="00B47FF5" w:rsidP="0020732A">
      <w:pPr>
        <w:pStyle w:val="FootnoteText"/>
      </w:pPr>
      <w:r>
        <w:rPr>
          <w:rStyle w:val="FootnoteReference"/>
        </w:rPr>
        <w:footnoteRef/>
      </w:r>
      <w:r>
        <w:rPr>
          <w:rtl/>
        </w:rPr>
        <w:t xml:space="preserve"> </w:t>
      </w:r>
      <w:r>
        <w:t>World Future Society</w:t>
      </w:r>
    </w:p>
  </w:footnote>
  <w:footnote w:id="289">
    <w:p w14:paraId="2B1B763C" w14:textId="77777777" w:rsidR="00B47FF5" w:rsidRDefault="00B47FF5" w:rsidP="0020732A">
      <w:pPr>
        <w:pStyle w:val="FootnoteText"/>
      </w:pPr>
      <w:r>
        <w:rPr>
          <w:rStyle w:val="FootnoteReference"/>
        </w:rPr>
        <w:footnoteRef/>
      </w:r>
      <w:r>
        <w:rPr>
          <w:rtl/>
        </w:rPr>
        <w:t xml:space="preserve"> </w:t>
      </w:r>
      <w:r w:rsidRPr="00917F34">
        <w:t>The futures field: searching for definitions and boundaries</w:t>
      </w:r>
    </w:p>
  </w:footnote>
  <w:footnote w:id="290">
    <w:p w14:paraId="5793968A" w14:textId="77777777" w:rsidR="00B47FF5" w:rsidRDefault="00B47FF5" w:rsidP="0020732A">
      <w:pPr>
        <w:pStyle w:val="FootnoteText"/>
      </w:pPr>
      <w:r>
        <w:rPr>
          <w:rStyle w:val="FootnoteReference"/>
        </w:rPr>
        <w:footnoteRef/>
      </w:r>
      <w:r>
        <w:rPr>
          <w:rtl/>
        </w:rPr>
        <w:t xml:space="preserve"> </w:t>
      </w:r>
      <w:r w:rsidRPr="00917F34">
        <w:t>Isaac Newton</w:t>
      </w:r>
    </w:p>
  </w:footnote>
  <w:footnote w:id="291">
    <w:p w14:paraId="5403158E" w14:textId="6A1456C0" w:rsidR="00B47FF5" w:rsidRDefault="00B47FF5" w:rsidP="005B006C">
      <w:pPr>
        <w:pStyle w:val="FootnoteText"/>
      </w:pPr>
      <w:r>
        <w:rPr>
          <w:rStyle w:val="FootnoteReference"/>
        </w:rPr>
        <w:footnoteRef/>
      </w:r>
      <w:r>
        <w:rPr>
          <w:rtl/>
        </w:rPr>
        <w:t xml:space="preserve"> </w:t>
      </w:r>
      <w:r>
        <w:t>Near-world model</w:t>
      </w:r>
    </w:p>
  </w:footnote>
  <w:footnote w:id="292">
    <w:p w14:paraId="155ED83B" w14:textId="24567636" w:rsidR="00B47FF5" w:rsidRDefault="00B47FF5" w:rsidP="005B006C">
      <w:pPr>
        <w:pStyle w:val="FootnoteText"/>
      </w:pPr>
      <w:r>
        <w:rPr>
          <w:rStyle w:val="FootnoteReference"/>
        </w:rPr>
        <w:footnoteRef/>
      </w:r>
      <w:r>
        <w:rPr>
          <w:rtl/>
        </w:rPr>
        <w:t xml:space="preserve"> </w:t>
      </w:r>
      <w:r>
        <w:t>A</w:t>
      </w:r>
      <w:r w:rsidRPr="00720065">
        <w:t>voidance</w:t>
      </w:r>
    </w:p>
  </w:footnote>
  <w:footnote w:id="293">
    <w:p w14:paraId="729A1BA2" w14:textId="711C743B" w:rsidR="00B47FF5" w:rsidRPr="00720065" w:rsidRDefault="00B47FF5" w:rsidP="005B006C">
      <w:pPr>
        <w:pStyle w:val="FootnoteText"/>
      </w:pPr>
      <w:r>
        <w:rPr>
          <w:rStyle w:val="FootnoteReference"/>
        </w:rPr>
        <w:footnoteRef/>
      </w:r>
      <w:r>
        <w:rPr>
          <w:rtl/>
        </w:rPr>
        <w:t xml:space="preserve"> </w:t>
      </w:r>
      <w:r>
        <w:t>A</w:t>
      </w:r>
      <w:r w:rsidRPr="00720065">
        <w:t>ttraction</w:t>
      </w:r>
    </w:p>
  </w:footnote>
  <w:footnote w:id="294">
    <w:p w14:paraId="1D230BA4" w14:textId="09B213BA" w:rsidR="00B47FF5" w:rsidRDefault="00B47FF5" w:rsidP="005B006C">
      <w:pPr>
        <w:pStyle w:val="FootnoteText"/>
      </w:pPr>
      <w:r>
        <w:rPr>
          <w:rStyle w:val="FootnoteReference"/>
        </w:rPr>
        <w:footnoteRef/>
      </w:r>
      <w:r>
        <w:rPr>
          <w:rtl/>
        </w:rPr>
        <w:t xml:space="preserve"> </w:t>
      </w:r>
      <w:r>
        <w:t>S</w:t>
      </w:r>
      <w:r w:rsidRPr="00720065">
        <w:t>entience</w:t>
      </w:r>
    </w:p>
  </w:footnote>
  <w:footnote w:id="295">
    <w:p w14:paraId="64825ABB" w14:textId="7655F856" w:rsidR="00B47FF5" w:rsidRDefault="00B47FF5" w:rsidP="005B006C">
      <w:pPr>
        <w:pStyle w:val="FootnoteText"/>
      </w:pPr>
      <w:r>
        <w:rPr>
          <w:rStyle w:val="FootnoteReference"/>
        </w:rPr>
        <w:footnoteRef/>
      </w:r>
      <w:r>
        <w:rPr>
          <w:rtl/>
        </w:rPr>
        <w:t xml:space="preserve"> </w:t>
      </w:r>
      <w:r>
        <w:t>P</w:t>
      </w:r>
      <w:r w:rsidRPr="006967DE">
        <w:t>rescientific</w:t>
      </w:r>
    </w:p>
  </w:footnote>
  <w:footnote w:id="296">
    <w:p w14:paraId="77DFB510" w14:textId="3156DE33" w:rsidR="00B47FF5" w:rsidRDefault="00B47FF5" w:rsidP="005B006C">
      <w:pPr>
        <w:pStyle w:val="FootnoteText"/>
      </w:pPr>
      <w:r>
        <w:rPr>
          <w:rStyle w:val="FootnoteReference"/>
        </w:rPr>
        <w:footnoteRef/>
      </w:r>
      <w:r>
        <w:rPr>
          <w:rtl/>
        </w:rPr>
        <w:t xml:space="preserve"> </w:t>
      </w:r>
      <w:r>
        <w:t>Negative sentiment</w:t>
      </w:r>
    </w:p>
  </w:footnote>
  <w:footnote w:id="297">
    <w:p w14:paraId="5C320DB0" w14:textId="7ABD39F3" w:rsidR="00B47FF5" w:rsidRDefault="00B47FF5" w:rsidP="005B006C">
      <w:pPr>
        <w:pStyle w:val="FootnoteText"/>
      </w:pPr>
      <w:r>
        <w:rPr>
          <w:rStyle w:val="FootnoteReference"/>
        </w:rPr>
        <w:footnoteRef/>
      </w:r>
      <w:r>
        <w:rPr>
          <w:rtl/>
        </w:rPr>
        <w:t xml:space="preserve"> </w:t>
      </w:r>
      <w:r>
        <w:t>Necessity</w:t>
      </w:r>
    </w:p>
  </w:footnote>
  <w:footnote w:id="298">
    <w:p w14:paraId="074401EA" w14:textId="6A924223" w:rsidR="00B47FF5" w:rsidRDefault="00B47FF5" w:rsidP="005B006C">
      <w:pPr>
        <w:pStyle w:val="FootnoteText"/>
      </w:pPr>
      <w:r>
        <w:rPr>
          <w:rStyle w:val="FootnoteReference"/>
        </w:rPr>
        <w:footnoteRef/>
      </w:r>
      <w:r>
        <w:rPr>
          <w:rtl/>
        </w:rPr>
        <w:t xml:space="preserve"> </w:t>
      </w:r>
      <w:r>
        <w:t>Convergent thinking</w:t>
      </w:r>
    </w:p>
  </w:footnote>
  <w:footnote w:id="299">
    <w:p w14:paraId="570A33D7" w14:textId="06617CED" w:rsidR="00B47FF5" w:rsidRDefault="00B47FF5" w:rsidP="005B006C">
      <w:pPr>
        <w:pStyle w:val="FootnoteText"/>
      </w:pPr>
      <w:r>
        <w:rPr>
          <w:rStyle w:val="FootnoteReference"/>
        </w:rPr>
        <w:footnoteRef/>
      </w:r>
      <w:r>
        <w:rPr>
          <w:rtl/>
        </w:rPr>
        <w:t xml:space="preserve"> </w:t>
      </w:r>
      <w:r>
        <w:t>U</w:t>
      </w:r>
      <w:r w:rsidRPr="00257B92">
        <w:t>niversality-generating</w:t>
      </w:r>
    </w:p>
  </w:footnote>
  <w:footnote w:id="300">
    <w:p w14:paraId="3D73A409" w14:textId="5D63CFB5" w:rsidR="00B47FF5" w:rsidRDefault="00B47FF5" w:rsidP="0020732A">
      <w:pPr>
        <w:pStyle w:val="FootnoteText"/>
      </w:pPr>
      <w:r>
        <w:rPr>
          <w:rStyle w:val="FootnoteReference"/>
        </w:rPr>
        <w:footnoteRef/>
      </w:r>
      <w:r>
        <w:rPr>
          <w:rtl/>
        </w:rPr>
        <w:t xml:space="preserve"> </w:t>
      </w:r>
      <w:r>
        <w:t>T</w:t>
      </w:r>
      <w:r w:rsidRPr="001D768B">
        <w:t>hermodynamics</w:t>
      </w:r>
    </w:p>
  </w:footnote>
  <w:footnote w:id="301">
    <w:p w14:paraId="1868BA73" w14:textId="6AAB9E49" w:rsidR="00B47FF5" w:rsidRDefault="00B47FF5" w:rsidP="0020732A">
      <w:pPr>
        <w:pStyle w:val="FootnoteText"/>
      </w:pPr>
      <w:r>
        <w:rPr>
          <w:rStyle w:val="FootnoteReference"/>
        </w:rPr>
        <w:footnoteRef/>
      </w:r>
      <w:r>
        <w:rPr>
          <w:rtl/>
        </w:rPr>
        <w:t xml:space="preserve"> </w:t>
      </w:r>
      <w:r>
        <w:t>Democracy</w:t>
      </w:r>
    </w:p>
  </w:footnote>
  <w:footnote w:id="302">
    <w:p w14:paraId="04C584B4" w14:textId="52D7D74E" w:rsidR="00B47FF5" w:rsidRDefault="00B47FF5" w:rsidP="005B006C">
      <w:pPr>
        <w:pStyle w:val="FootnoteText"/>
      </w:pPr>
      <w:r>
        <w:rPr>
          <w:rStyle w:val="FootnoteReference"/>
        </w:rPr>
        <w:footnoteRef/>
      </w:r>
      <w:r>
        <w:rPr>
          <w:rtl/>
        </w:rPr>
        <w:t xml:space="preserve"> </w:t>
      </w:r>
      <w:r>
        <w:t>Autocracy</w:t>
      </w:r>
    </w:p>
  </w:footnote>
  <w:footnote w:id="303">
    <w:p w14:paraId="2880A656" w14:textId="68D9FC6B" w:rsidR="00B47FF5" w:rsidRDefault="00B47FF5" w:rsidP="005B006C">
      <w:pPr>
        <w:pStyle w:val="FootnoteText"/>
      </w:pPr>
      <w:r>
        <w:rPr>
          <w:rStyle w:val="FootnoteReference"/>
        </w:rPr>
        <w:footnoteRef/>
      </w:r>
      <w:r>
        <w:rPr>
          <w:rtl/>
        </w:rPr>
        <w:t xml:space="preserve"> </w:t>
      </w:r>
      <w:r>
        <w:t>A</w:t>
      </w:r>
      <w:r w:rsidRPr="002E67F3">
        <w:t>lternative futures</w:t>
      </w:r>
    </w:p>
  </w:footnote>
  <w:footnote w:id="304">
    <w:p w14:paraId="6A7A0CE1" w14:textId="07C646DE" w:rsidR="00B47FF5" w:rsidRDefault="00B47FF5" w:rsidP="005B006C">
      <w:pPr>
        <w:pStyle w:val="FootnoteText"/>
      </w:pPr>
      <w:r>
        <w:rPr>
          <w:rStyle w:val="FootnoteReference"/>
        </w:rPr>
        <w:footnoteRef/>
      </w:r>
      <w:r>
        <w:rPr>
          <w:rtl/>
        </w:rPr>
        <w:t xml:space="preserve"> </w:t>
      </w:r>
      <w:r>
        <w:t>Chance</w:t>
      </w:r>
    </w:p>
  </w:footnote>
  <w:footnote w:id="305">
    <w:p w14:paraId="674CF332" w14:textId="01F2E231" w:rsidR="00B47FF5" w:rsidRDefault="00B47FF5" w:rsidP="005B006C">
      <w:pPr>
        <w:pStyle w:val="FootnoteText"/>
      </w:pPr>
      <w:r>
        <w:rPr>
          <w:rStyle w:val="FootnoteReference"/>
        </w:rPr>
        <w:footnoteRef/>
      </w:r>
      <w:r>
        <w:rPr>
          <w:rtl/>
        </w:rPr>
        <w:t xml:space="preserve"> </w:t>
      </w:r>
      <w:r>
        <w:t>C</w:t>
      </w:r>
      <w:r w:rsidRPr="002E67F3">
        <w:t>haos</w:t>
      </w:r>
    </w:p>
  </w:footnote>
  <w:footnote w:id="306">
    <w:p w14:paraId="0E1AAEBE" w14:textId="77777777" w:rsidR="00B47FF5" w:rsidRDefault="00B47FF5" w:rsidP="0020732A">
      <w:pPr>
        <w:pStyle w:val="FootnoteText"/>
      </w:pPr>
      <w:r>
        <w:rPr>
          <w:rStyle w:val="FootnoteReference"/>
        </w:rPr>
        <w:footnoteRef/>
      </w:r>
      <w:r>
        <w:rPr>
          <w:rtl/>
        </w:rPr>
        <w:t xml:space="preserve"> </w:t>
      </w:r>
      <w:r>
        <w:t>Tree of life</w:t>
      </w:r>
    </w:p>
  </w:footnote>
  <w:footnote w:id="307">
    <w:p w14:paraId="30AE5FE1" w14:textId="6191C656" w:rsidR="00B47FF5" w:rsidRDefault="00B47FF5" w:rsidP="005B006C">
      <w:pPr>
        <w:pStyle w:val="FootnoteText"/>
      </w:pPr>
      <w:r>
        <w:rPr>
          <w:rStyle w:val="FootnoteReference"/>
        </w:rPr>
        <w:footnoteRef/>
      </w:r>
      <w:r>
        <w:rPr>
          <w:rtl/>
        </w:rPr>
        <w:t xml:space="preserve"> </w:t>
      </w:r>
      <w:r>
        <w:t>Planetary</w:t>
      </w:r>
    </w:p>
  </w:footnote>
  <w:footnote w:id="308">
    <w:p w14:paraId="2CA0FEB3" w14:textId="3CDD367D" w:rsidR="00B47FF5" w:rsidRDefault="00B47FF5" w:rsidP="005B006C">
      <w:pPr>
        <w:pStyle w:val="FootnoteText"/>
      </w:pPr>
      <w:r>
        <w:rPr>
          <w:rStyle w:val="FootnoteReference"/>
        </w:rPr>
        <w:footnoteRef/>
      </w:r>
      <w:r>
        <w:rPr>
          <w:rtl/>
        </w:rPr>
        <w:t xml:space="preserve"> </w:t>
      </w:r>
      <w:r>
        <w:t>Evolutionary experiment</w:t>
      </w:r>
    </w:p>
  </w:footnote>
  <w:footnote w:id="309">
    <w:p w14:paraId="3757E934" w14:textId="75E0734A" w:rsidR="00B47FF5" w:rsidRDefault="00B47FF5" w:rsidP="005B006C">
      <w:pPr>
        <w:pStyle w:val="FootnoteText"/>
      </w:pPr>
      <w:r>
        <w:rPr>
          <w:rStyle w:val="FootnoteReference"/>
        </w:rPr>
        <w:footnoteRef/>
      </w:r>
      <w:r>
        <w:rPr>
          <w:rtl/>
        </w:rPr>
        <w:t xml:space="preserve"> </w:t>
      </w:r>
      <w:r>
        <w:t>Contingency</w:t>
      </w:r>
    </w:p>
  </w:footnote>
  <w:footnote w:id="310">
    <w:p w14:paraId="429A3101" w14:textId="1513E70D" w:rsidR="00B47FF5" w:rsidRDefault="00B47FF5" w:rsidP="005B006C">
      <w:pPr>
        <w:pStyle w:val="FootnoteText"/>
      </w:pPr>
      <w:r>
        <w:rPr>
          <w:rStyle w:val="FootnoteReference"/>
        </w:rPr>
        <w:footnoteRef/>
      </w:r>
      <w:r>
        <w:rPr>
          <w:rtl/>
        </w:rPr>
        <w:t xml:space="preserve"> </w:t>
      </w:r>
      <w:r>
        <w:t>Know</w:t>
      </w:r>
    </w:p>
  </w:footnote>
  <w:footnote w:id="311">
    <w:p w14:paraId="3056C749" w14:textId="336CC0BE" w:rsidR="00B47FF5" w:rsidRDefault="00B47FF5" w:rsidP="005B006C">
      <w:pPr>
        <w:pStyle w:val="FootnoteText"/>
      </w:pPr>
      <w:r>
        <w:rPr>
          <w:rStyle w:val="FootnoteReference"/>
        </w:rPr>
        <w:footnoteRef/>
      </w:r>
      <w:r>
        <w:rPr>
          <w:rtl/>
        </w:rPr>
        <w:t xml:space="preserve"> </w:t>
      </w:r>
      <w:r>
        <w:t>Developmental priority</w:t>
      </w:r>
    </w:p>
  </w:footnote>
  <w:footnote w:id="312">
    <w:p w14:paraId="0C27FFC8" w14:textId="0531DD74" w:rsidR="00B47FF5" w:rsidRDefault="00B47FF5" w:rsidP="005B006C">
      <w:pPr>
        <w:pStyle w:val="FootnoteText"/>
      </w:pPr>
      <w:r>
        <w:rPr>
          <w:rStyle w:val="FootnoteReference"/>
        </w:rPr>
        <w:footnoteRef/>
      </w:r>
      <w:r>
        <w:rPr>
          <w:rtl/>
        </w:rPr>
        <w:t xml:space="preserve"> </w:t>
      </w:r>
      <w:r>
        <w:t>Create</w:t>
      </w:r>
    </w:p>
  </w:footnote>
  <w:footnote w:id="313">
    <w:p w14:paraId="758C6156" w14:textId="32DEAC50" w:rsidR="00B47FF5" w:rsidRDefault="00B47FF5" w:rsidP="005B006C">
      <w:pPr>
        <w:pStyle w:val="FootnoteText"/>
      </w:pPr>
      <w:r>
        <w:rPr>
          <w:rStyle w:val="FootnoteReference"/>
        </w:rPr>
        <w:footnoteRef/>
      </w:r>
      <w:r>
        <w:rPr>
          <w:rtl/>
        </w:rPr>
        <w:t xml:space="preserve"> </w:t>
      </w:r>
      <w:r>
        <w:t>Evolutionary priority</w:t>
      </w:r>
    </w:p>
  </w:footnote>
  <w:footnote w:id="314">
    <w:p w14:paraId="257F1D99" w14:textId="4CCFF955" w:rsidR="00B47FF5" w:rsidRDefault="00B47FF5" w:rsidP="005B006C">
      <w:pPr>
        <w:pStyle w:val="FootnoteText"/>
      </w:pPr>
      <w:r>
        <w:rPr>
          <w:rStyle w:val="FootnoteReference"/>
        </w:rPr>
        <w:footnoteRef/>
      </w:r>
      <w:r>
        <w:rPr>
          <w:rtl/>
        </w:rPr>
        <w:t xml:space="preserve"> </w:t>
      </w:r>
      <w:r>
        <w:t>V</w:t>
      </w:r>
      <w:r w:rsidRPr="00DC6933">
        <w:t>isioning</w:t>
      </w:r>
    </w:p>
  </w:footnote>
  <w:footnote w:id="315">
    <w:p w14:paraId="189F4C14" w14:textId="5F89F284" w:rsidR="00B47FF5" w:rsidRDefault="00B47FF5" w:rsidP="005B006C">
      <w:pPr>
        <w:pStyle w:val="FootnoteText"/>
      </w:pPr>
      <w:r>
        <w:rPr>
          <w:rStyle w:val="FootnoteReference"/>
        </w:rPr>
        <w:footnoteRef/>
      </w:r>
      <w:r>
        <w:rPr>
          <w:rtl/>
        </w:rPr>
        <w:t xml:space="preserve"> </w:t>
      </w:r>
      <w:r>
        <w:t>Normative</w:t>
      </w:r>
    </w:p>
  </w:footnote>
  <w:footnote w:id="316">
    <w:p w14:paraId="32365869" w14:textId="3979DEAC" w:rsidR="00B47FF5" w:rsidRDefault="00B47FF5" w:rsidP="005B006C">
      <w:pPr>
        <w:pStyle w:val="FootnoteText"/>
      </w:pPr>
      <w:r>
        <w:rPr>
          <w:rStyle w:val="FootnoteReference"/>
        </w:rPr>
        <w:footnoteRef/>
      </w:r>
      <w:r>
        <w:rPr>
          <w:rtl/>
        </w:rPr>
        <w:t xml:space="preserve"> </w:t>
      </w:r>
      <w:r>
        <w:t>Tentative model</w:t>
      </w:r>
    </w:p>
  </w:footnote>
  <w:footnote w:id="317">
    <w:p w14:paraId="69EA7003" w14:textId="71149D33" w:rsidR="00B47FF5" w:rsidRDefault="00B47FF5" w:rsidP="005B006C">
      <w:pPr>
        <w:pStyle w:val="FootnoteText"/>
      </w:pPr>
      <w:r>
        <w:rPr>
          <w:rStyle w:val="FootnoteReference"/>
        </w:rPr>
        <w:footnoteRef/>
      </w:r>
      <w:r>
        <w:rPr>
          <w:rtl/>
        </w:rPr>
        <w:t xml:space="preserve"> </w:t>
      </w:r>
      <w:r>
        <w:t>U</w:t>
      </w:r>
      <w:r w:rsidRPr="00C05A82">
        <w:t>tilitarianism</w:t>
      </w:r>
    </w:p>
  </w:footnote>
  <w:footnote w:id="318">
    <w:p w14:paraId="61D801F3" w14:textId="2355907F" w:rsidR="00B47FF5" w:rsidRDefault="00B47FF5" w:rsidP="005B006C">
      <w:pPr>
        <w:pStyle w:val="FootnoteText"/>
      </w:pPr>
      <w:r>
        <w:rPr>
          <w:rStyle w:val="FootnoteReference"/>
        </w:rPr>
        <w:footnoteRef/>
      </w:r>
      <w:r>
        <w:rPr>
          <w:rtl/>
        </w:rPr>
        <w:t xml:space="preserve"> </w:t>
      </w:r>
      <w:r>
        <w:t>Universal complexity model</w:t>
      </w:r>
    </w:p>
  </w:footnote>
  <w:footnote w:id="319">
    <w:p w14:paraId="36CF9F78" w14:textId="77777777" w:rsidR="00B47FF5" w:rsidRDefault="00B47FF5" w:rsidP="0020732A">
      <w:pPr>
        <w:pStyle w:val="FootnoteText"/>
      </w:pPr>
      <w:r>
        <w:rPr>
          <w:rStyle w:val="FootnoteReference"/>
        </w:rPr>
        <w:footnoteRef/>
      </w:r>
      <w:r>
        <w:rPr>
          <w:rtl/>
        </w:rPr>
        <w:t xml:space="preserve"> </w:t>
      </w:r>
      <w:r>
        <w:t>Actor-Function-Goal</w:t>
      </w:r>
    </w:p>
  </w:footnote>
  <w:footnote w:id="320">
    <w:p w14:paraId="5625906A" w14:textId="08581044" w:rsidR="00B47FF5" w:rsidRDefault="00B47FF5" w:rsidP="005B006C">
      <w:pPr>
        <w:pStyle w:val="FootnoteText"/>
      </w:pPr>
      <w:r>
        <w:rPr>
          <w:rStyle w:val="FootnoteReference"/>
        </w:rPr>
        <w:footnoteRef/>
      </w:r>
      <w:r>
        <w:rPr>
          <w:rtl/>
        </w:rPr>
        <w:t xml:space="preserve"> </w:t>
      </w:r>
      <w:r>
        <w:t>Self-sustaining complex adaptive systems</w:t>
      </w:r>
    </w:p>
  </w:footnote>
  <w:footnote w:id="321">
    <w:p w14:paraId="7A2219D5" w14:textId="5A7BAB82" w:rsidR="00B47FF5" w:rsidRDefault="00B47FF5" w:rsidP="005B006C">
      <w:pPr>
        <w:pStyle w:val="FootnoteText"/>
      </w:pPr>
      <w:r>
        <w:rPr>
          <w:rStyle w:val="FootnoteReference"/>
        </w:rPr>
        <w:footnoteRef/>
      </w:r>
      <w:r>
        <w:rPr>
          <w:rtl/>
        </w:rPr>
        <w:t xml:space="preserve"> </w:t>
      </w:r>
      <w:r>
        <w:t>D</w:t>
      </w:r>
      <w:r w:rsidRPr="00A40227">
        <w:t>iscreteness</w:t>
      </w:r>
    </w:p>
  </w:footnote>
  <w:footnote w:id="322">
    <w:p w14:paraId="0945ECBB" w14:textId="336AB7D1" w:rsidR="00B47FF5" w:rsidRDefault="00B47FF5" w:rsidP="005B006C">
      <w:pPr>
        <w:pStyle w:val="FootnoteText"/>
      </w:pPr>
      <w:r>
        <w:rPr>
          <w:rStyle w:val="FootnoteReference"/>
        </w:rPr>
        <w:footnoteRef/>
      </w:r>
      <w:r>
        <w:rPr>
          <w:rtl/>
        </w:rPr>
        <w:t xml:space="preserve"> </w:t>
      </w:r>
      <w:r>
        <w:t>Collectiveness</w:t>
      </w:r>
    </w:p>
  </w:footnote>
  <w:footnote w:id="323">
    <w:p w14:paraId="5A976838" w14:textId="77777777" w:rsidR="00B47FF5" w:rsidRDefault="00B47FF5" w:rsidP="0020732A">
      <w:pPr>
        <w:pStyle w:val="FootnoteText"/>
      </w:pPr>
      <w:r>
        <w:rPr>
          <w:rStyle w:val="FootnoteReference"/>
        </w:rPr>
        <w:footnoteRef/>
      </w:r>
      <w:r>
        <w:rPr>
          <w:rtl/>
        </w:rPr>
        <w:t xml:space="preserve"> </w:t>
      </w:r>
      <w:r>
        <w:t>Variation</w:t>
      </w:r>
    </w:p>
  </w:footnote>
  <w:footnote w:id="324">
    <w:p w14:paraId="7D862593" w14:textId="77777777" w:rsidR="00B47FF5" w:rsidRDefault="00B47FF5" w:rsidP="0020732A">
      <w:pPr>
        <w:pStyle w:val="FootnoteText"/>
      </w:pPr>
      <w:r>
        <w:rPr>
          <w:rStyle w:val="FootnoteReference"/>
        </w:rPr>
        <w:footnoteRef/>
      </w:r>
      <w:r>
        <w:rPr>
          <w:rtl/>
        </w:rPr>
        <w:t xml:space="preserve"> </w:t>
      </w:r>
      <w:r>
        <w:t>Replication</w:t>
      </w:r>
    </w:p>
  </w:footnote>
  <w:footnote w:id="325">
    <w:p w14:paraId="1E5C7490" w14:textId="77777777" w:rsidR="00B47FF5" w:rsidRDefault="00B47FF5" w:rsidP="0020732A">
      <w:pPr>
        <w:pStyle w:val="FootnoteText"/>
      </w:pPr>
      <w:r>
        <w:rPr>
          <w:rStyle w:val="FootnoteReference"/>
        </w:rPr>
        <w:footnoteRef/>
      </w:r>
      <w:r>
        <w:rPr>
          <w:rtl/>
        </w:rPr>
        <w:t xml:space="preserve"> </w:t>
      </w:r>
      <w:r>
        <w:t xml:space="preserve">Variation, </w:t>
      </w:r>
      <w:r w:rsidRPr="006711BA">
        <w:t>Convergence, Replication, Inheritance, and Selection</w:t>
      </w:r>
    </w:p>
  </w:footnote>
  <w:footnote w:id="326">
    <w:p w14:paraId="5BF06B0A" w14:textId="39EC99D5" w:rsidR="00B47FF5" w:rsidRDefault="00B47FF5" w:rsidP="005B006C">
      <w:pPr>
        <w:pStyle w:val="FootnoteText"/>
      </w:pPr>
      <w:r>
        <w:rPr>
          <w:rStyle w:val="FootnoteReference"/>
        </w:rPr>
        <w:footnoteRef/>
      </w:r>
      <w:r>
        <w:rPr>
          <w:rtl/>
        </w:rPr>
        <w:t xml:space="preserve"> </w:t>
      </w:r>
      <w:r>
        <w:t>E</w:t>
      </w:r>
      <w:r w:rsidRPr="003F0AC1">
        <w:t>cology</w:t>
      </w:r>
    </w:p>
  </w:footnote>
  <w:footnote w:id="327">
    <w:p w14:paraId="31473759" w14:textId="6D27D555" w:rsidR="00B47FF5" w:rsidRDefault="00B47FF5" w:rsidP="005B006C">
      <w:pPr>
        <w:pStyle w:val="FootnoteText"/>
      </w:pPr>
      <w:r>
        <w:rPr>
          <w:rStyle w:val="FootnoteReference"/>
        </w:rPr>
        <w:footnoteRef/>
      </w:r>
      <w:r>
        <w:rPr>
          <w:rtl/>
        </w:rPr>
        <w:t xml:space="preserve"> </w:t>
      </w:r>
      <w:r>
        <w:t>Evolutionary possibilities</w:t>
      </w:r>
    </w:p>
  </w:footnote>
  <w:footnote w:id="328">
    <w:p w14:paraId="14232D92" w14:textId="4D4C79F5" w:rsidR="00B47FF5" w:rsidRDefault="00B47FF5" w:rsidP="005B006C">
      <w:pPr>
        <w:pStyle w:val="FootnoteText"/>
      </w:pPr>
      <w:r>
        <w:rPr>
          <w:rStyle w:val="FootnoteReference"/>
        </w:rPr>
        <w:footnoteRef/>
      </w:r>
      <w:r>
        <w:rPr>
          <w:rtl/>
        </w:rPr>
        <w:t xml:space="preserve"> </w:t>
      </w:r>
      <w:r>
        <w:t>Developmental probabilities</w:t>
      </w:r>
    </w:p>
  </w:footnote>
  <w:footnote w:id="329">
    <w:p w14:paraId="24980485" w14:textId="47868344" w:rsidR="00B47FF5" w:rsidRDefault="00B47FF5" w:rsidP="005B006C">
      <w:pPr>
        <w:pStyle w:val="FootnoteText"/>
      </w:pPr>
      <w:r>
        <w:rPr>
          <w:rStyle w:val="FootnoteReference"/>
        </w:rPr>
        <w:footnoteRef/>
      </w:r>
      <w:r>
        <w:rPr>
          <w:rtl/>
        </w:rPr>
        <w:t xml:space="preserve"> </w:t>
      </w:r>
      <w:r>
        <w:t>Bridge</w:t>
      </w:r>
    </w:p>
  </w:footnote>
  <w:footnote w:id="330">
    <w:p w14:paraId="76F22AEB" w14:textId="134FF7A9" w:rsidR="00B47FF5" w:rsidRDefault="00B47FF5" w:rsidP="005B006C">
      <w:pPr>
        <w:pStyle w:val="FootnoteText"/>
      </w:pPr>
      <w:r>
        <w:rPr>
          <w:rStyle w:val="FootnoteReference"/>
        </w:rPr>
        <w:footnoteRef/>
      </w:r>
      <w:r>
        <w:rPr>
          <w:rtl/>
        </w:rPr>
        <w:t xml:space="preserve"> </w:t>
      </w:r>
      <w:r>
        <w:t>Active inference</w:t>
      </w:r>
    </w:p>
  </w:footnote>
  <w:footnote w:id="331">
    <w:p w14:paraId="27042D6E" w14:textId="77777777" w:rsidR="00B47FF5" w:rsidRDefault="00B47FF5" w:rsidP="0020732A">
      <w:pPr>
        <w:pStyle w:val="FootnoteText"/>
      </w:pPr>
      <w:r>
        <w:rPr>
          <w:rStyle w:val="FootnoteReference"/>
        </w:rPr>
        <w:footnoteRef/>
      </w:r>
      <w:r>
        <w:rPr>
          <w:rtl/>
        </w:rPr>
        <w:t xml:space="preserve"> </w:t>
      </w:r>
      <w:r>
        <w:t>Bottom up</w:t>
      </w:r>
    </w:p>
  </w:footnote>
  <w:footnote w:id="332">
    <w:p w14:paraId="664F99BE" w14:textId="50097E75" w:rsidR="00B47FF5" w:rsidRDefault="00B47FF5" w:rsidP="00A23C60">
      <w:pPr>
        <w:pStyle w:val="FootnoteText"/>
      </w:pPr>
      <w:r>
        <w:rPr>
          <w:rStyle w:val="FootnoteReference"/>
        </w:rPr>
        <w:footnoteRef/>
      </w:r>
      <w:r>
        <w:rPr>
          <w:rtl/>
        </w:rPr>
        <w:t xml:space="preserve"> </w:t>
      </w:r>
      <w:r>
        <w:t>Top down</w:t>
      </w:r>
    </w:p>
  </w:footnote>
  <w:footnote w:id="333">
    <w:p w14:paraId="16CA047D" w14:textId="77777777" w:rsidR="00B47FF5" w:rsidRDefault="00B47FF5" w:rsidP="0020732A">
      <w:pPr>
        <w:pStyle w:val="FootnoteText"/>
      </w:pPr>
      <w:r>
        <w:rPr>
          <w:rStyle w:val="FootnoteReference"/>
        </w:rPr>
        <w:footnoteRef/>
      </w:r>
      <w:r>
        <w:rPr>
          <w:rtl/>
        </w:rPr>
        <w:t xml:space="preserve"> </w:t>
      </w:r>
      <w:r w:rsidRPr="00CA67C0">
        <w:t>Bayesian</w:t>
      </w:r>
    </w:p>
  </w:footnote>
  <w:footnote w:id="334">
    <w:p w14:paraId="5F1AE98E" w14:textId="52ADEF33" w:rsidR="00B47FF5" w:rsidRDefault="00B47FF5" w:rsidP="00A23C60">
      <w:pPr>
        <w:pStyle w:val="FootnoteText"/>
      </w:pPr>
      <w:r>
        <w:rPr>
          <w:rStyle w:val="FootnoteReference"/>
        </w:rPr>
        <w:footnoteRef/>
      </w:r>
      <w:r>
        <w:rPr>
          <w:rtl/>
        </w:rPr>
        <w:t xml:space="preserve"> </w:t>
      </w:r>
      <w:r>
        <w:t>Synchronize</w:t>
      </w:r>
    </w:p>
  </w:footnote>
  <w:footnote w:id="335">
    <w:p w14:paraId="267EC4A1" w14:textId="77777777" w:rsidR="00B47FF5" w:rsidRDefault="00B47FF5" w:rsidP="0020732A">
      <w:pPr>
        <w:pStyle w:val="FootnoteText"/>
      </w:pPr>
      <w:r>
        <w:rPr>
          <w:rStyle w:val="FootnoteReference"/>
        </w:rPr>
        <w:footnoteRef/>
      </w:r>
      <w:r>
        <w:rPr>
          <w:rtl/>
        </w:rPr>
        <w:t xml:space="preserve"> </w:t>
      </w:r>
      <w:r w:rsidRPr="00CA67C0">
        <w:t>Coopetition</w:t>
      </w:r>
    </w:p>
  </w:footnote>
  <w:footnote w:id="336">
    <w:p w14:paraId="684A185F" w14:textId="24C24C9A" w:rsidR="00B47FF5" w:rsidRDefault="00B47FF5" w:rsidP="00A23C60">
      <w:pPr>
        <w:pStyle w:val="FootnoteText"/>
      </w:pPr>
      <w:r>
        <w:rPr>
          <w:rStyle w:val="FootnoteReference"/>
        </w:rPr>
        <w:footnoteRef/>
      </w:r>
      <w:r>
        <w:rPr>
          <w:rtl/>
        </w:rPr>
        <w:t xml:space="preserve"> </w:t>
      </w:r>
      <w:r>
        <w:t>Self-selection</w:t>
      </w:r>
    </w:p>
  </w:footnote>
  <w:footnote w:id="337">
    <w:p w14:paraId="7D95E414" w14:textId="77777777" w:rsidR="00B47FF5" w:rsidRDefault="00B47FF5" w:rsidP="0020732A">
      <w:pPr>
        <w:pStyle w:val="FootnoteText"/>
      </w:pPr>
      <w:r>
        <w:rPr>
          <w:rStyle w:val="FootnoteReference"/>
        </w:rPr>
        <w:footnoteRef/>
      </w:r>
      <w:r>
        <w:rPr>
          <w:rtl/>
        </w:rPr>
        <w:t xml:space="preserve"> </w:t>
      </w:r>
      <w:r>
        <w:t>True</w:t>
      </w:r>
    </w:p>
  </w:footnote>
  <w:footnote w:id="338">
    <w:p w14:paraId="7A5BBEDC" w14:textId="77777777" w:rsidR="00B47FF5" w:rsidRDefault="00B47FF5" w:rsidP="0020732A">
      <w:pPr>
        <w:pStyle w:val="FootnoteText"/>
      </w:pPr>
      <w:r>
        <w:rPr>
          <w:rStyle w:val="FootnoteReference"/>
        </w:rPr>
        <w:footnoteRef/>
      </w:r>
      <w:r>
        <w:rPr>
          <w:rtl/>
        </w:rPr>
        <w:t xml:space="preserve"> </w:t>
      </w:r>
      <w:r w:rsidRPr="00FE3C37">
        <w:t>Democritus</w:t>
      </w:r>
    </w:p>
  </w:footnote>
  <w:footnote w:id="339">
    <w:p w14:paraId="2CB5F7D5" w14:textId="4CA8915E" w:rsidR="00B47FF5" w:rsidRDefault="00B47FF5" w:rsidP="00A23C60">
      <w:pPr>
        <w:pStyle w:val="FootnoteText"/>
      </w:pPr>
      <w:r>
        <w:rPr>
          <w:rStyle w:val="FootnoteReference"/>
        </w:rPr>
        <w:footnoteRef/>
      </w:r>
      <w:r>
        <w:rPr>
          <w:rtl/>
        </w:rPr>
        <w:t xml:space="preserve"> </w:t>
      </w:r>
      <w:r>
        <w:t>V</w:t>
      </w:r>
      <w:r w:rsidRPr="00FE3C37">
        <w:t>alues</w:t>
      </w:r>
    </w:p>
  </w:footnote>
  <w:footnote w:id="340">
    <w:p w14:paraId="5BF16E3C" w14:textId="77777777" w:rsidR="00B47FF5" w:rsidRDefault="00B47FF5" w:rsidP="0020732A">
      <w:pPr>
        <w:pStyle w:val="FootnoteText"/>
      </w:pPr>
      <w:r>
        <w:rPr>
          <w:rStyle w:val="FootnoteReference"/>
        </w:rPr>
        <w:footnoteRef/>
      </w:r>
      <w:r>
        <w:rPr>
          <w:rtl/>
        </w:rPr>
        <w:t xml:space="preserve"> </w:t>
      </w:r>
      <w:r w:rsidRPr="000106AD">
        <w:t>Bhagavad Gita</w:t>
      </w:r>
    </w:p>
  </w:footnote>
  <w:footnote w:id="341">
    <w:p w14:paraId="581ED50D" w14:textId="77777777" w:rsidR="00B47FF5" w:rsidRDefault="00B47FF5" w:rsidP="0020732A">
      <w:pPr>
        <w:pStyle w:val="FootnoteText"/>
      </w:pPr>
      <w:r>
        <w:rPr>
          <w:rStyle w:val="FootnoteReference"/>
        </w:rPr>
        <w:footnoteRef/>
      </w:r>
      <w:r>
        <w:rPr>
          <w:rtl/>
        </w:rPr>
        <w:t xml:space="preserve"> </w:t>
      </w:r>
      <w:r w:rsidRPr="00FE3C37">
        <w:t>Plato</w:t>
      </w:r>
    </w:p>
  </w:footnote>
  <w:footnote w:id="342">
    <w:p w14:paraId="31E04B16" w14:textId="77777777" w:rsidR="00B47FF5" w:rsidRDefault="00B47FF5" w:rsidP="0020732A">
      <w:pPr>
        <w:pStyle w:val="FootnoteText"/>
      </w:pPr>
      <w:r>
        <w:rPr>
          <w:rStyle w:val="FootnoteReference"/>
        </w:rPr>
        <w:footnoteRef/>
      </w:r>
      <w:r>
        <w:rPr>
          <w:rtl/>
        </w:rPr>
        <w:t xml:space="preserve"> </w:t>
      </w:r>
      <w:r w:rsidRPr="00FE3C37">
        <w:t>Aristotle</w:t>
      </w:r>
    </w:p>
  </w:footnote>
  <w:footnote w:id="343">
    <w:p w14:paraId="04AD4C09" w14:textId="731FF1D9" w:rsidR="00B47FF5" w:rsidRDefault="00B47FF5" w:rsidP="00DC45B9">
      <w:pPr>
        <w:pStyle w:val="FootnoteText"/>
      </w:pPr>
      <w:r>
        <w:rPr>
          <w:rStyle w:val="FootnoteReference"/>
        </w:rPr>
        <w:footnoteRef/>
      </w:r>
      <w:r>
        <w:rPr>
          <w:rtl/>
        </w:rPr>
        <w:t xml:space="preserve"> </w:t>
      </w:r>
      <w:r>
        <w:t>T</w:t>
      </w:r>
      <w:r w:rsidRPr="00FE3C37">
        <w:t>ranscendentals</w:t>
      </w:r>
    </w:p>
  </w:footnote>
  <w:footnote w:id="344">
    <w:p w14:paraId="074A9BDD" w14:textId="019394D6" w:rsidR="00B47FF5" w:rsidRDefault="00B47FF5" w:rsidP="00DC45B9">
      <w:pPr>
        <w:pStyle w:val="FootnoteText"/>
      </w:pPr>
      <w:r>
        <w:rPr>
          <w:rStyle w:val="FootnoteReference"/>
        </w:rPr>
        <w:footnoteRef/>
      </w:r>
      <w:r>
        <w:rPr>
          <w:rtl/>
        </w:rPr>
        <w:t xml:space="preserve"> </w:t>
      </w:r>
      <w:r>
        <w:t>Theoretical</w:t>
      </w:r>
    </w:p>
  </w:footnote>
  <w:footnote w:id="345">
    <w:p w14:paraId="544A0F4D" w14:textId="3A66F5CA" w:rsidR="00B47FF5" w:rsidRDefault="00B47FF5" w:rsidP="00DC45B9">
      <w:pPr>
        <w:pStyle w:val="FootnoteText"/>
      </w:pPr>
      <w:r>
        <w:rPr>
          <w:rStyle w:val="FootnoteReference"/>
        </w:rPr>
        <w:footnoteRef/>
      </w:r>
      <w:r>
        <w:rPr>
          <w:rtl/>
        </w:rPr>
        <w:t xml:space="preserve"> </w:t>
      </w:r>
      <w:r>
        <w:t>Productive</w:t>
      </w:r>
    </w:p>
  </w:footnote>
  <w:footnote w:id="346">
    <w:p w14:paraId="3839E8A5" w14:textId="06550BD6" w:rsidR="00B47FF5" w:rsidRDefault="00B47FF5" w:rsidP="00DC45B9">
      <w:pPr>
        <w:pStyle w:val="FootnoteText"/>
      </w:pPr>
      <w:r>
        <w:rPr>
          <w:rStyle w:val="FootnoteReference"/>
        </w:rPr>
        <w:footnoteRef/>
      </w:r>
      <w:r>
        <w:rPr>
          <w:rtl/>
        </w:rPr>
        <w:t xml:space="preserve"> </w:t>
      </w:r>
      <w:r>
        <w:t>Practical</w:t>
      </w:r>
    </w:p>
  </w:footnote>
  <w:footnote w:id="347">
    <w:p w14:paraId="209EDC75" w14:textId="77777777" w:rsidR="00B47FF5" w:rsidRDefault="00B47FF5" w:rsidP="0020732A">
      <w:pPr>
        <w:pStyle w:val="FootnoteText"/>
      </w:pPr>
      <w:r>
        <w:rPr>
          <w:rStyle w:val="FootnoteReference"/>
        </w:rPr>
        <w:footnoteRef/>
      </w:r>
      <w:r>
        <w:rPr>
          <w:rtl/>
        </w:rPr>
        <w:t xml:space="preserve"> </w:t>
      </w:r>
      <w:r>
        <w:t>Values Pyramid</w:t>
      </w:r>
    </w:p>
  </w:footnote>
  <w:footnote w:id="348">
    <w:p w14:paraId="097C382B" w14:textId="16CBE666" w:rsidR="00B47FF5" w:rsidRDefault="00B47FF5" w:rsidP="00DC45B9">
      <w:pPr>
        <w:pStyle w:val="FootnoteText"/>
      </w:pPr>
      <w:r>
        <w:rPr>
          <w:rStyle w:val="FootnoteReference"/>
        </w:rPr>
        <w:footnoteRef/>
      </w:r>
      <w:r>
        <w:rPr>
          <w:rtl/>
        </w:rPr>
        <w:t xml:space="preserve"> </w:t>
      </w:r>
      <w:r>
        <w:t>Testatement</w:t>
      </w:r>
    </w:p>
  </w:footnote>
  <w:footnote w:id="349">
    <w:p w14:paraId="7D837DEB" w14:textId="77777777" w:rsidR="00B47FF5" w:rsidRDefault="00B47FF5" w:rsidP="0020732A">
      <w:pPr>
        <w:pStyle w:val="FootnoteText"/>
      </w:pPr>
      <w:r>
        <w:rPr>
          <w:rStyle w:val="FootnoteReference"/>
        </w:rPr>
        <w:footnoteRef/>
      </w:r>
      <w:r>
        <w:rPr>
          <w:rtl/>
        </w:rPr>
        <w:t xml:space="preserve"> </w:t>
      </w:r>
      <w:r>
        <w:t>Probability foresight</w:t>
      </w:r>
    </w:p>
  </w:footnote>
  <w:footnote w:id="350">
    <w:p w14:paraId="38829855" w14:textId="77777777" w:rsidR="00B47FF5" w:rsidRDefault="00B47FF5" w:rsidP="0020732A">
      <w:pPr>
        <w:pStyle w:val="FootnoteText"/>
      </w:pPr>
      <w:r>
        <w:rPr>
          <w:rStyle w:val="FootnoteReference"/>
        </w:rPr>
        <w:footnoteRef/>
      </w:r>
      <w:r>
        <w:rPr>
          <w:rtl/>
        </w:rPr>
        <w:t xml:space="preserve"> </w:t>
      </w:r>
      <w:r>
        <w:t>Truth</w:t>
      </w:r>
    </w:p>
  </w:footnote>
  <w:footnote w:id="351">
    <w:p w14:paraId="051AC761" w14:textId="77777777" w:rsidR="00B47FF5" w:rsidRDefault="00B47FF5" w:rsidP="0020732A">
      <w:pPr>
        <w:pStyle w:val="FootnoteText"/>
      </w:pPr>
      <w:r>
        <w:rPr>
          <w:rStyle w:val="FootnoteReference"/>
        </w:rPr>
        <w:footnoteRef/>
      </w:r>
      <w:r>
        <w:rPr>
          <w:rtl/>
        </w:rPr>
        <w:t xml:space="preserve"> </w:t>
      </w:r>
      <w:r>
        <w:t>Possibility foresight</w:t>
      </w:r>
    </w:p>
  </w:footnote>
  <w:footnote w:id="352">
    <w:p w14:paraId="6F5F8730" w14:textId="77777777" w:rsidR="00B47FF5" w:rsidRDefault="00B47FF5" w:rsidP="0020732A">
      <w:pPr>
        <w:pStyle w:val="FootnoteText"/>
      </w:pPr>
      <w:r>
        <w:rPr>
          <w:rStyle w:val="FootnoteReference"/>
        </w:rPr>
        <w:footnoteRef/>
      </w:r>
      <w:r>
        <w:rPr>
          <w:rtl/>
        </w:rPr>
        <w:t xml:space="preserve"> </w:t>
      </w:r>
      <w:r w:rsidRPr="00E06069">
        <w:t>Kirton Adaption-Innovation (KAI) inventory</w:t>
      </w:r>
    </w:p>
  </w:footnote>
  <w:footnote w:id="353">
    <w:p w14:paraId="3ED22A0F" w14:textId="77777777" w:rsidR="00B47FF5" w:rsidRDefault="00B47FF5" w:rsidP="0020732A">
      <w:pPr>
        <w:pStyle w:val="FootnoteText"/>
      </w:pPr>
      <w:r>
        <w:rPr>
          <w:rStyle w:val="FootnoteReference"/>
        </w:rPr>
        <w:footnoteRef/>
      </w:r>
      <w:r>
        <w:rPr>
          <w:rtl/>
        </w:rPr>
        <w:t xml:space="preserve"> </w:t>
      </w:r>
      <w:r w:rsidRPr="00257B92">
        <w:t>Michael Kirton</w:t>
      </w:r>
    </w:p>
  </w:footnote>
  <w:footnote w:id="354">
    <w:p w14:paraId="1FA45166" w14:textId="247C9660" w:rsidR="00B47FF5" w:rsidRDefault="00B47FF5" w:rsidP="00DC45B9">
      <w:pPr>
        <w:pStyle w:val="FootnoteText"/>
      </w:pPr>
      <w:r>
        <w:rPr>
          <w:rStyle w:val="FootnoteReference"/>
        </w:rPr>
        <w:footnoteRef/>
      </w:r>
      <w:r>
        <w:rPr>
          <w:rtl/>
        </w:rPr>
        <w:t xml:space="preserve"> </w:t>
      </w:r>
      <w:r>
        <w:t>B</w:t>
      </w:r>
      <w:r w:rsidRPr="00FD5990">
        <w:t>ridgers</w:t>
      </w:r>
    </w:p>
  </w:footnote>
  <w:footnote w:id="355">
    <w:p w14:paraId="7DD3889F" w14:textId="04210E3C" w:rsidR="00B47FF5" w:rsidRDefault="00B47FF5" w:rsidP="00DC45B9">
      <w:pPr>
        <w:pStyle w:val="FootnoteText"/>
      </w:pPr>
      <w:r>
        <w:rPr>
          <w:rStyle w:val="FootnoteReference"/>
        </w:rPr>
        <w:footnoteRef/>
      </w:r>
      <w:r>
        <w:rPr>
          <w:rtl/>
        </w:rPr>
        <w:t xml:space="preserve"> </w:t>
      </w:r>
      <w:r>
        <w:t>A</w:t>
      </w:r>
      <w:r w:rsidRPr="00FD5990">
        <w:t>daptors</w:t>
      </w:r>
    </w:p>
  </w:footnote>
  <w:footnote w:id="356">
    <w:p w14:paraId="372D4269" w14:textId="3EF377D9" w:rsidR="00B47FF5" w:rsidRDefault="00B47FF5" w:rsidP="00DC45B9">
      <w:pPr>
        <w:pStyle w:val="FootnoteText"/>
      </w:pPr>
      <w:r>
        <w:rPr>
          <w:rStyle w:val="FootnoteReference"/>
        </w:rPr>
        <w:footnoteRef/>
      </w:r>
      <w:r>
        <w:rPr>
          <w:rtl/>
        </w:rPr>
        <w:t xml:space="preserve"> </w:t>
      </w:r>
      <w:r>
        <w:t>P</w:t>
      </w:r>
      <w:r w:rsidRPr="00FD5990">
        <w:t>rotectors</w:t>
      </w:r>
    </w:p>
  </w:footnote>
  <w:footnote w:id="357">
    <w:p w14:paraId="5E59795B" w14:textId="77777777" w:rsidR="00B47FF5" w:rsidRDefault="00B47FF5" w:rsidP="0020732A">
      <w:pPr>
        <w:pStyle w:val="FootnoteText"/>
      </w:pPr>
      <w:r>
        <w:rPr>
          <w:rStyle w:val="FootnoteReference"/>
        </w:rPr>
        <w:footnoteRef/>
      </w:r>
      <w:r>
        <w:rPr>
          <w:rtl/>
        </w:rPr>
        <w:t xml:space="preserve"> </w:t>
      </w:r>
      <w:r>
        <w:t>Truth</w:t>
      </w:r>
    </w:p>
  </w:footnote>
  <w:footnote w:id="358">
    <w:p w14:paraId="29916F47" w14:textId="29D8D856" w:rsidR="00B47FF5" w:rsidRDefault="00B47FF5" w:rsidP="00DC45B9">
      <w:pPr>
        <w:pStyle w:val="FootnoteText"/>
      </w:pPr>
      <w:r>
        <w:rPr>
          <w:rStyle w:val="FootnoteReference"/>
        </w:rPr>
        <w:footnoteRef/>
      </w:r>
      <w:r>
        <w:rPr>
          <w:rtl/>
        </w:rPr>
        <w:t xml:space="preserve"> </w:t>
      </w:r>
      <w:r>
        <w:t>Embody</w:t>
      </w:r>
    </w:p>
  </w:footnote>
  <w:footnote w:id="359">
    <w:p w14:paraId="4B66BAC1" w14:textId="5D5FB8C3" w:rsidR="00B47FF5" w:rsidRDefault="00B47FF5" w:rsidP="00DC45B9">
      <w:pPr>
        <w:pStyle w:val="FootnoteText"/>
      </w:pPr>
      <w:r>
        <w:rPr>
          <w:rStyle w:val="FootnoteReference"/>
        </w:rPr>
        <w:footnoteRef/>
      </w:r>
      <w:r>
        <w:rPr>
          <w:rtl/>
        </w:rPr>
        <w:t xml:space="preserve"> </w:t>
      </w:r>
      <w:r>
        <w:t>Maladaptive</w:t>
      </w:r>
    </w:p>
  </w:footnote>
  <w:footnote w:id="360">
    <w:p w14:paraId="3F174E49" w14:textId="7AD5E9FC" w:rsidR="00B47FF5" w:rsidRDefault="00B47FF5" w:rsidP="00DC45B9">
      <w:pPr>
        <w:pStyle w:val="FootnoteText"/>
      </w:pPr>
      <w:r>
        <w:rPr>
          <w:rStyle w:val="FootnoteReference"/>
        </w:rPr>
        <w:footnoteRef/>
      </w:r>
      <w:r>
        <w:rPr>
          <w:rtl/>
        </w:rPr>
        <w:t xml:space="preserve"> </w:t>
      </w:r>
      <w:r>
        <w:t>O</w:t>
      </w:r>
      <w:r w:rsidRPr="00257B92">
        <w:t>verarching</w:t>
      </w:r>
    </w:p>
  </w:footnote>
  <w:footnote w:id="361">
    <w:p w14:paraId="7C232DFE" w14:textId="39073C35" w:rsidR="00B47FF5" w:rsidRDefault="00B47FF5" w:rsidP="00DC45B9">
      <w:pPr>
        <w:pStyle w:val="FootnoteText"/>
      </w:pPr>
      <w:r>
        <w:rPr>
          <w:rStyle w:val="FootnoteReference"/>
        </w:rPr>
        <w:footnoteRef/>
      </w:r>
      <w:r>
        <w:rPr>
          <w:rtl/>
        </w:rPr>
        <w:t xml:space="preserve"> </w:t>
      </w:r>
      <w:r>
        <w:t>Self-declared</w:t>
      </w:r>
    </w:p>
  </w:footnote>
  <w:footnote w:id="362">
    <w:p w14:paraId="6CA8638E" w14:textId="69D70418" w:rsidR="00B47FF5" w:rsidRDefault="00B47FF5" w:rsidP="00DC45B9">
      <w:pPr>
        <w:pStyle w:val="FootnoteText"/>
      </w:pPr>
      <w:r>
        <w:rPr>
          <w:rStyle w:val="FootnoteReference"/>
        </w:rPr>
        <w:footnoteRef/>
      </w:r>
      <w:r>
        <w:rPr>
          <w:rtl/>
        </w:rPr>
        <w:t xml:space="preserve"> </w:t>
      </w:r>
      <w:r>
        <w:t>Conformist</w:t>
      </w:r>
    </w:p>
  </w:footnote>
  <w:footnote w:id="363">
    <w:p w14:paraId="13002936" w14:textId="77777777" w:rsidR="00B47FF5" w:rsidRDefault="00B47FF5" w:rsidP="0020732A">
      <w:pPr>
        <w:pStyle w:val="FootnoteText"/>
      </w:pPr>
      <w:r>
        <w:rPr>
          <w:rStyle w:val="FootnoteReference"/>
        </w:rPr>
        <w:footnoteRef/>
      </w:r>
      <w:r>
        <w:rPr>
          <w:rtl/>
        </w:rPr>
        <w:t xml:space="preserve"> </w:t>
      </w:r>
      <w:r>
        <w:t>Eagle</w:t>
      </w:r>
    </w:p>
  </w:footnote>
  <w:footnote w:id="364">
    <w:p w14:paraId="0839C261" w14:textId="3A0F1119" w:rsidR="00B47FF5" w:rsidRDefault="00B47FF5" w:rsidP="00DC45B9">
      <w:pPr>
        <w:pStyle w:val="FootnoteText"/>
      </w:pPr>
      <w:r>
        <w:rPr>
          <w:rStyle w:val="FootnoteReference"/>
        </w:rPr>
        <w:footnoteRef/>
      </w:r>
      <w:r>
        <w:rPr>
          <w:rtl/>
        </w:rPr>
        <w:t xml:space="preserve"> </w:t>
      </w:r>
      <w:r>
        <w:t>P</w:t>
      </w:r>
      <w:r w:rsidRPr="00FD6448">
        <w:t>resentist</w:t>
      </w:r>
    </w:p>
  </w:footnote>
  <w:footnote w:id="365">
    <w:p w14:paraId="2AE2BAD6" w14:textId="498AD307" w:rsidR="00B47FF5" w:rsidRDefault="00B47FF5" w:rsidP="00DC45B9">
      <w:pPr>
        <w:pStyle w:val="FootnoteText"/>
      </w:pPr>
      <w:r>
        <w:rPr>
          <w:rStyle w:val="FootnoteReference"/>
        </w:rPr>
        <w:footnoteRef/>
      </w:r>
      <w:r>
        <w:rPr>
          <w:rtl/>
        </w:rPr>
        <w:t xml:space="preserve"> </w:t>
      </w:r>
      <w:r>
        <w:t>F</w:t>
      </w:r>
      <w:r w:rsidRPr="00FD6448">
        <w:t>uturist</w:t>
      </w:r>
    </w:p>
  </w:footnote>
  <w:footnote w:id="366">
    <w:p w14:paraId="5726750A" w14:textId="77777777" w:rsidR="00B47FF5" w:rsidRDefault="00B47FF5" w:rsidP="0020732A">
      <w:pPr>
        <w:pStyle w:val="FootnoteText"/>
      </w:pPr>
      <w:r>
        <w:rPr>
          <w:rStyle w:val="FootnoteReference"/>
        </w:rPr>
        <w:footnoteRef/>
      </w:r>
      <w:r>
        <w:rPr>
          <w:rtl/>
        </w:rPr>
        <w:t xml:space="preserve"> </w:t>
      </w:r>
      <w:r w:rsidRPr="00257B92">
        <w:t>Patricia Lustig</w:t>
      </w:r>
    </w:p>
  </w:footnote>
  <w:footnote w:id="367">
    <w:p w14:paraId="7964DD8A" w14:textId="77777777" w:rsidR="00B47FF5" w:rsidRDefault="00B47FF5" w:rsidP="0020732A">
      <w:pPr>
        <w:pStyle w:val="FootnoteText"/>
      </w:pPr>
      <w:r>
        <w:rPr>
          <w:rStyle w:val="FootnoteReference"/>
        </w:rPr>
        <w:footnoteRef/>
      </w:r>
      <w:r>
        <w:rPr>
          <w:rtl/>
        </w:rPr>
        <w:t xml:space="preserve"> </w:t>
      </w:r>
      <w:r w:rsidRPr="00103945">
        <w:t>Time to Lead: Lessons for Today’s Leaders</w:t>
      </w:r>
    </w:p>
  </w:footnote>
  <w:footnote w:id="368">
    <w:p w14:paraId="2D940054" w14:textId="77777777" w:rsidR="00B47FF5" w:rsidRDefault="00B47FF5" w:rsidP="0020732A">
      <w:pPr>
        <w:pStyle w:val="FootnoteText"/>
      </w:pPr>
      <w:r>
        <w:rPr>
          <w:rStyle w:val="FootnoteReference"/>
        </w:rPr>
        <w:footnoteRef/>
      </w:r>
      <w:r>
        <w:rPr>
          <w:rtl/>
        </w:rPr>
        <w:t xml:space="preserve"> </w:t>
      </w:r>
      <w:r w:rsidRPr="00257B92">
        <w:t>Steenkamp</w:t>
      </w:r>
    </w:p>
  </w:footnote>
  <w:footnote w:id="369">
    <w:p w14:paraId="21DD6079" w14:textId="77777777" w:rsidR="00B47FF5" w:rsidRDefault="00B47FF5" w:rsidP="0020732A">
      <w:pPr>
        <w:pStyle w:val="FootnoteText"/>
      </w:pPr>
      <w:r>
        <w:rPr>
          <w:rStyle w:val="FootnoteReference"/>
        </w:rPr>
        <w:footnoteRef/>
      </w:r>
      <w:r>
        <w:rPr>
          <w:rtl/>
        </w:rPr>
        <w:t xml:space="preserve"> </w:t>
      </w:r>
      <w:r w:rsidRPr="00257B92">
        <w:t>Jan-Benedict</w:t>
      </w:r>
    </w:p>
  </w:footnote>
  <w:footnote w:id="370">
    <w:p w14:paraId="44CAC026" w14:textId="2AB91BC1" w:rsidR="00B47FF5" w:rsidRDefault="00B47FF5" w:rsidP="00DC45B9">
      <w:pPr>
        <w:pStyle w:val="FootnoteText"/>
      </w:pPr>
      <w:r>
        <w:rPr>
          <w:rStyle w:val="FootnoteReference"/>
        </w:rPr>
        <w:footnoteRef/>
      </w:r>
      <w:r>
        <w:rPr>
          <w:rtl/>
        </w:rPr>
        <w:t xml:space="preserve"> </w:t>
      </w:r>
      <w:r>
        <w:t>Directive</w:t>
      </w:r>
    </w:p>
  </w:footnote>
  <w:footnote w:id="371">
    <w:p w14:paraId="313A4281" w14:textId="03D03E1D" w:rsidR="00B47FF5" w:rsidRDefault="00B47FF5" w:rsidP="00DC45B9">
      <w:pPr>
        <w:pStyle w:val="FootnoteText"/>
      </w:pPr>
      <w:r>
        <w:rPr>
          <w:rStyle w:val="FootnoteReference"/>
        </w:rPr>
        <w:footnoteRef/>
      </w:r>
      <w:r>
        <w:rPr>
          <w:rtl/>
        </w:rPr>
        <w:t xml:space="preserve"> </w:t>
      </w:r>
      <w:r>
        <w:t>Disruptive</w:t>
      </w:r>
    </w:p>
  </w:footnote>
  <w:footnote w:id="372">
    <w:p w14:paraId="23161A65" w14:textId="74E31F0E" w:rsidR="00B47FF5" w:rsidRDefault="00B47FF5" w:rsidP="00DC45B9">
      <w:pPr>
        <w:pStyle w:val="FootnoteText"/>
      </w:pPr>
      <w:r>
        <w:rPr>
          <w:rStyle w:val="FootnoteReference"/>
        </w:rPr>
        <w:footnoteRef/>
      </w:r>
      <w:r>
        <w:rPr>
          <w:rtl/>
        </w:rPr>
        <w:t xml:space="preserve"> </w:t>
      </w:r>
      <w:r>
        <w:t>Character</w:t>
      </w:r>
    </w:p>
  </w:footnote>
  <w:footnote w:id="373">
    <w:p w14:paraId="21FF4BC4" w14:textId="3FC2F42F" w:rsidR="00B47FF5" w:rsidRDefault="00B47FF5" w:rsidP="00DC45B9">
      <w:pPr>
        <w:pStyle w:val="FootnoteText"/>
      </w:pPr>
      <w:r>
        <w:rPr>
          <w:rStyle w:val="FootnoteReference"/>
        </w:rPr>
        <w:footnoteRef/>
      </w:r>
      <w:r>
        <w:rPr>
          <w:rtl/>
        </w:rPr>
        <w:t xml:space="preserve"> </w:t>
      </w:r>
      <w:r>
        <w:t>Servant</w:t>
      </w:r>
    </w:p>
  </w:footnote>
  <w:footnote w:id="374">
    <w:p w14:paraId="5A0A6516" w14:textId="71A7D175" w:rsidR="00B47FF5" w:rsidRDefault="00B47FF5" w:rsidP="00DC45B9">
      <w:pPr>
        <w:pStyle w:val="FootnoteText"/>
      </w:pPr>
      <w:r>
        <w:rPr>
          <w:rStyle w:val="FootnoteReference"/>
        </w:rPr>
        <w:footnoteRef/>
      </w:r>
      <w:r>
        <w:rPr>
          <w:rtl/>
        </w:rPr>
        <w:t xml:space="preserve"> </w:t>
      </w:r>
      <w:r>
        <w:t>Charismatic</w:t>
      </w:r>
    </w:p>
  </w:footnote>
  <w:footnote w:id="375">
    <w:p w14:paraId="5BD4D063" w14:textId="0EBBCFB7" w:rsidR="00B47FF5" w:rsidRDefault="00B47FF5" w:rsidP="00DC45B9">
      <w:pPr>
        <w:pStyle w:val="FootnoteText"/>
      </w:pPr>
      <w:r>
        <w:rPr>
          <w:rStyle w:val="FootnoteReference"/>
        </w:rPr>
        <w:footnoteRef/>
      </w:r>
      <w:r>
        <w:rPr>
          <w:rtl/>
        </w:rPr>
        <w:t xml:space="preserve"> </w:t>
      </w:r>
      <w:r>
        <w:t>K</w:t>
      </w:r>
      <w:r w:rsidRPr="00103945">
        <w:t>eep their “heads in the sand</w:t>
      </w:r>
    </w:p>
  </w:footnote>
  <w:footnote w:id="376">
    <w:p w14:paraId="0E4B462D" w14:textId="161D8465" w:rsidR="00B47FF5" w:rsidRDefault="00B47FF5" w:rsidP="00DC45B9">
      <w:pPr>
        <w:pStyle w:val="FootnoteText"/>
      </w:pPr>
      <w:r>
        <w:rPr>
          <w:rStyle w:val="FootnoteReference"/>
        </w:rPr>
        <w:footnoteRef/>
      </w:r>
      <w:r>
        <w:rPr>
          <w:rtl/>
        </w:rPr>
        <w:t xml:space="preserve"> </w:t>
      </w:r>
      <w:r>
        <w:t>H</w:t>
      </w:r>
      <w:r w:rsidRPr="00103945">
        <w:t>apless</w:t>
      </w:r>
    </w:p>
  </w:footnote>
  <w:footnote w:id="377">
    <w:p w14:paraId="78CFE883" w14:textId="3DA2569B" w:rsidR="00B47FF5" w:rsidRDefault="00B47FF5" w:rsidP="00DC45B9">
      <w:pPr>
        <w:pStyle w:val="FootnoteText"/>
      </w:pPr>
      <w:r>
        <w:rPr>
          <w:rStyle w:val="FootnoteReference"/>
        </w:rPr>
        <w:footnoteRef/>
      </w:r>
      <w:r>
        <w:rPr>
          <w:rtl/>
        </w:rPr>
        <w:t xml:space="preserve"> </w:t>
      </w:r>
      <w:r>
        <w:t>Reactive</w:t>
      </w:r>
    </w:p>
  </w:footnote>
  <w:footnote w:id="378">
    <w:p w14:paraId="5B17E452" w14:textId="77777777" w:rsidR="00B47FF5" w:rsidRDefault="00B47FF5" w:rsidP="0020732A">
      <w:pPr>
        <w:pStyle w:val="FootnoteText"/>
      </w:pPr>
      <w:r>
        <w:rPr>
          <w:rStyle w:val="FootnoteReference"/>
        </w:rPr>
        <w:footnoteRef/>
      </w:r>
      <w:r>
        <w:rPr>
          <w:rtl/>
        </w:rPr>
        <w:t xml:space="preserve"> </w:t>
      </w:r>
      <w:r>
        <w:t>Hedgefox Assessment</w:t>
      </w:r>
    </w:p>
  </w:footnote>
  <w:footnote w:id="379">
    <w:p w14:paraId="3E9F0C02" w14:textId="3B4CDFA4" w:rsidR="00B47FF5" w:rsidRDefault="00B47FF5" w:rsidP="00DC45B9">
      <w:pPr>
        <w:pStyle w:val="FootnoteText"/>
      </w:pPr>
      <w:r>
        <w:rPr>
          <w:rStyle w:val="FootnoteReference"/>
        </w:rPr>
        <w:footnoteRef/>
      </w:r>
      <w:r>
        <w:rPr>
          <w:rtl/>
        </w:rPr>
        <w:t xml:space="preserve"> </w:t>
      </w:r>
      <w:r>
        <w:t>Plausible</w:t>
      </w:r>
    </w:p>
  </w:footnote>
  <w:footnote w:id="380">
    <w:p w14:paraId="769C89FB" w14:textId="77777777" w:rsidR="00B47FF5" w:rsidRDefault="00B47FF5" w:rsidP="0020732A">
      <w:pPr>
        <w:pStyle w:val="FootnoteText"/>
      </w:pPr>
      <w:r>
        <w:rPr>
          <w:rStyle w:val="FootnoteReference"/>
        </w:rPr>
        <w:footnoteRef/>
      </w:r>
      <w:r>
        <w:rPr>
          <w:rtl/>
        </w:rPr>
        <w:t xml:space="preserve"> </w:t>
      </w:r>
      <w:r>
        <w:t>Modern Foresight Pyramid</w:t>
      </w:r>
    </w:p>
  </w:footnote>
  <w:footnote w:id="381">
    <w:p w14:paraId="678610F8" w14:textId="77777777" w:rsidR="00B47FF5" w:rsidRDefault="00B47FF5" w:rsidP="0020732A">
      <w:pPr>
        <w:pStyle w:val="FootnoteText"/>
      </w:pPr>
      <w:r>
        <w:rPr>
          <w:rStyle w:val="FootnoteReference"/>
        </w:rPr>
        <w:footnoteRef/>
      </w:r>
      <w:r>
        <w:rPr>
          <w:rtl/>
        </w:rPr>
        <w:t xml:space="preserve"> </w:t>
      </w:r>
      <w:r w:rsidRPr="00257B92">
        <w:t>Korn Ferry</w:t>
      </w:r>
    </w:p>
  </w:footnote>
  <w:footnote w:id="382">
    <w:p w14:paraId="1D45F474" w14:textId="77777777" w:rsidR="00B47FF5" w:rsidRDefault="00B47FF5" w:rsidP="0020732A">
      <w:pPr>
        <w:pStyle w:val="FootnoteText"/>
      </w:pPr>
      <w:r>
        <w:rPr>
          <w:rStyle w:val="FootnoteReference"/>
        </w:rPr>
        <w:footnoteRef/>
      </w:r>
      <w:r>
        <w:rPr>
          <w:rtl/>
        </w:rPr>
        <w:t xml:space="preserve"> </w:t>
      </w:r>
      <w:r w:rsidRPr="001D401A">
        <w:t>Thought Leadership</w:t>
      </w:r>
    </w:p>
  </w:footnote>
  <w:footnote w:id="383">
    <w:p w14:paraId="1FBFD15F" w14:textId="77777777" w:rsidR="00B47FF5" w:rsidRDefault="00B47FF5" w:rsidP="0020732A">
      <w:pPr>
        <w:pStyle w:val="FootnoteText"/>
      </w:pPr>
      <w:r>
        <w:rPr>
          <w:rStyle w:val="FootnoteReference"/>
        </w:rPr>
        <w:footnoteRef/>
      </w:r>
      <w:r>
        <w:rPr>
          <w:rtl/>
        </w:rPr>
        <w:t xml:space="preserve"> </w:t>
      </w:r>
      <w:r>
        <w:t>Results Leadership</w:t>
      </w:r>
    </w:p>
  </w:footnote>
  <w:footnote w:id="384">
    <w:p w14:paraId="1CCFEB14" w14:textId="77777777" w:rsidR="00B47FF5" w:rsidRDefault="00B47FF5" w:rsidP="0020732A">
      <w:pPr>
        <w:pStyle w:val="FootnoteText"/>
      </w:pPr>
      <w:r>
        <w:rPr>
          <w:rStyle w:val="FootnoteReference"/>
        </w:rPr>
        <w:footnoteRef/>
      </w:r>
      <w:r>
        <w:rPr>
          <w:rtl/>
        </w:rPr>
        <w:t xml:space="preserve"> </w:t>
      </w:r>
      <w:r>
        <w:t>People Leadership</w:t>
      </w:r>
    </w:p>
  </w:footnote>
  <w:footnote w:id="385">
    <w:p w14:paraId="6F7A0F44" w14:textId="77777777" w:rsidR="00B47FF5" w:rsidRDefault="00B47FF5" w:rsidP="0020732A">
      <w:pPr>
        <w:pStyle w:val="FootnoteText"/>
      </w:pPr>
      <w:r>
        <w:rPr>
          <w:rStyle w:val="FootnoteReference"/>
        </w:rPr>
        <w:footnoteRef/>
      </w:r>
      <w:r>
        <w:rPr>
          <w:rtl/>
        </w:rPr>
        <w:t xml:space="preserve"> </w:t>
      </w:r>
      <w:r>
        <w:t>Personal Leadership</w:t>
      </w:r>
    </w:p>
  </w:footnote>
  <w:footnote w:id="386">
    <w:p w14:paraId="38A89BF7" w14:textId="77777777" w:rsidR="00B47FF5" w:rsidRDefault="00B47FF5" w:rsidP="0020732A">
      <w:pPr>
        <w:pStyle w:val="FootnoteText"/>
      </w:pPr>
      <w:r>
        <w:rPr>
          <w:rStyle w:val="FootnoteReference"/>
        </w:rPr>
        <w:footnoteRef/>
      </w:r>
      <w:r>
        <w:rPr>
          <w:rtl/>
        </w:rPr>
        <w:t xml:space="preserve"> </w:t>
      </w:r>
      <w:r w:rsidRPr="001D401A">
        <w:t>Emotional intelligence</w:t>
      </w:r>
    </w:p>
  </w:footnote>
  <w:footnote w:id="387">
    <w:p w14:paraId="37741ABD" w14:textId="77777777" w:rsidR="00B47FF5" w:rsidRDefault="00B47FF5" w:rsidP="0020732A">
      <w:pPr>
        <w:pStyle w:val="FootnoteText"/>
      </w:pPr>
      <w:r>
        <w:rPr>
          <w:rStyle w:val="FootnoteReference"/>
        </w:rPr>
        <w:footnoteRef/>
      </w:r>
      <w:r>
        <w:rPr>
          <w:rtl/>
        </w:rPr>
        <w:t xml:space="preserve"> </w:t>
      </w:r>
      <w:r w:rsidRPr="00257B92">
        <w:t>David Snowden</w:t>
      </w:r>
    </w:p>
  </w:footnote>
  <w:footnote w:id="388">
    <w:p w14:paraId="7C328D7D" w14:textId="77777777" w:rsidR="00B47FF5" w:rsidRDefault="00B47FF5" w:rsidP="0020732A">
      <w:pPr>
        <w:pStyle w:val="FootnoteText"/>
      </w:pPr>
      <w:r>
        <w:rPr>
          <w:rStyle w:val="FootnoteReference"/>
        </w:rPr>
        <w:footnoteRef/>
      </w:r>
      <w:r>
        <w:rPr>
          <w:rtl/>
        </w:rPr>
        <w:t xml:space="preserve"> </w:t>
      </w:r>
      <w:r w:rsidRPr="001D401A">
        <w:t>Cynefin sensemaking framework</w:t>
      </w:r>
    </w:p>
  </w:footnote>
  <w:footnote w:id="389">
    <w:p w14:paraId="3A6AE388" w14:textId="77777777" w:rsidR="00B47FF5" w:rsidRDefault="00B47FF5" w:rsidP="0020732A">
      <w:pPr>
        <w:pStyle w:val="FootnoteText"/>
      </w:pPr>
      <w:r>
        <w:rPr>
          <w:rStyle w:val="FootnoteReference"/>
        </w:rPr>
        <w:footnoteRef/>
      </w:r>
      <w:r>
        <w:rPr>
          <w:rtl/>
        </w:rPr>
        <w:t xml:space="preserve"> </w:t>
      </w:r>
      <w:r>
        <w:t>Coordinators</w:t>
      </w:r>
    </w:p>
  </w:footnote>
  <w:footnote w:id="390">
    <w:p w14:paraId="31A79A45" w14:textId="77777777" w:rsidR="00B47FF5" w:rsidRPr="00D2042B" w:rsidRDefault="00B47FF5" w:rsidP="0020732A">
      <w:pPr>
        <w:pStyle w:val="FootnoteText"/>
      </w:pPr>
      <w:r>
        <w:rPr>
          <w:rStyle w:val="FootnoteReference"/>
        </w:rPr>
        <w:footnoteRef/>
      </w:r>
      <w:r>
        <w:rPr>
          <w:rtl/>
        </w:rPr>
        <w:t xml:space="preserve"> </w:t>
      </w:r>
      <w:r>
        <w:t>Pareto principle</w:t>
      </w:r>
    </w:p>
  </w:footnote>
  <w:footnote w:id="391">
    <w:p w14:paraId="05D615F2" w14:textId="2FDAE12D" w:rsidR="00B47FF5" w:rsidRDefault="00B47FF5" w:rsidP="00DC45B9">
      <w:pPr>
        <w:pStyle w:val="FootnoteText"/>
      </w:pPr>
      <w:r>
        <w:rPr>
          <w:rStyle w:val="FootnoteReference"/>
        </w:rPr>
        <w:footnoteRef/>
      </w:r>
      <w:r>
        <w:rPr>
          <w:rtl/>
        </w:rPr>
        <w:t xml:space="preserve"> </w:t>
      </w:r>
      <w:r>
        <w:t>Power law</w:t>
      </w:r>
    </w:p>
  </w:footnote>
  <w:footnote w:id="392">
    <w:p w14:paraId="0114A655" w14:textId="6055CB2A" w:rsidR="00B47FF5" w:rsidRDefault="00B47FF5" w:rsidP="00DC45B9">
      <w:pPr>
        <w:pStyle w:val="FootnoteText"/>
      </w:pPr>
      <w:r>
        <w:rPr>
          <w:rStyle w:val="FootnoteReference"/>
        </w:rPr>
        <w:footnoteRef/>
      </w:r>
      <w:r>
        <w:rPr>
          <w:rtl/>
        </w:rPr>
        <w:t xml:space="preserve"> </w:t>
      </w:r>
      <w:r>
        <w:t>Contested</w:t>
      </w:r>
    </w:p>
  </w:footnote>
  <w:footnote w:id="393">
    <w:p w14:paraId="103DADF3" w14:textId="3A36C84E" w:rsidR="00B47FF5" w:rsidRDefault="00B47FF5" w:rsidP="00DC45B9">
      <w:pPr>
        <w:pStyle w:val="FootnoteText"/>
      </w:pPr>
      <w:r>
        <w:rPr>
          <w:rStyle w:val="FootnoteReference"/>
        </w:rPr>
        <w:footnoteRef/>
      </w:r>
      <w:r>
        <w:rPr>
          <w:rtl/>
        </w:rPr>
        <w:t xml:space="preserve"> </w:t>
      </w:r>
      <w:r>
        <w:t>Urbanization</w:t>
      </w:r>
    </w:p>
  </w:footnote>
  <w:footnote w:id="394">
    <w:p w14:paraId="2946F70E" w14:textId="727024B2" w:rsidR="00B47FF5" w:rsidRDefault="00B47FF5" w:rsidP="00DC45B9">
      <w:pPr>
        <w:pStyle w:val="FootnoteText"/>
      </w:pPr>
      <w:r>
        <w:rPr>
          <w:rStyle w:val="FootnoteReference"/>
        </w:rPr>
        <w:footnoteRef/>
      </w:r>
      <w:r>
        <w:rPr>
          <w:rtl/>
        </w:rPr>
        <w:t xml:space="preserve"> </w:t>
      </w:r>
      <w:r>
        <w:t>Leading</w:t>
      </w:r>
    </w:p>
  </w:footnote>
  <w:footnote w:id="395">
    <w:p w14:paraId="2280A6C5" w14:textId="5983FBA4" w:rsidR="00B47FF5" w:rsidRDefault="00B47FF5" w:rsidP="00DC45B9">
      <w:pPr>
        <w:pStyle w:val="FootnoteText"/>
      </w:pPr>
      <w:r>
        <w:rPr>
          <w:rStyle w:val="FootnoteReference"/>
        </w:rPr>
        <w:footnoteRef/>
      </w:r>
      <w:r>
        <w:rPr>
          <w:rtl/>
        </w:rPr>
        <w:t xml:space="preserve"> </w:t>
      </w:r>
      <w:r>
        <w:t>Big head</w:t>
      </w:r>
    </w:p>
  </w:footnote>
  <w:footnote w:id="396">
    <w:p w14:paraId="3C8AAB1F" w14:textId="04709F6F" w:rsidR="00B47FF5" w:rsidRDefault="00B47FF5" w:rsidP="00DC45B9">
      <w:pPr>
        <w:pStyle w:val="FootnoteText"/>
      </w:pPr>
      <w:r>
        <w:rPr>
          <w:rStyle w:val="FootnoteReference"/>
        </w:rPr>
        <w:footnoteRef/>
      </w:r>
      <w:r>
        <w:rPr>
          <w:rtl/>
        </w:rPr>
        <w:t xml:space="preserve"> </w:t>
      </w:r>
      <w:r>
        <w:t>Long tail</w:t>
      </w:r>
    </w:p>
  </w:footnote>
  <w:footnote w:id="397">
    <w:p w14:paraId="2ED39466" w14:textId="73E597C9" w:rsidR="00B47FF5" w:rsidRDefault="00B47FF5" w:rsidP="00DC45B9">
      <w:pPr>
        <w:pStyle w:val="FootnoteText"/>
      </w:pPr>
      <w:r>
        <w:rPr>
          <w:rStyle w:val="FootnoteReference"/>
        </w:rPr>
        <w:footnoteRef/>
      </w:r>
      <w:r>
        <w:rPr>
          <w:rtl/>
        </w:rPr>
        <w:t xml:space="preserve"> </w:t>
      </w:r>
      <w:r>
        <w:t>Collective action</w:t>
      </w:r>
    </w:p>
  </w:footnote>
  <w:footnote w:id="398">
    <w:p w14:paraId="05F0DDD5" w14:textId="07B97E3C" w:rsidR="00B47FF5" w:rsidRPr="002F3EC1" w:rsidRDefault="00B47FF5" w:rsidP="00DC45B9">
      <w:pPr>
        <w:pStyle w:val="FootnoteText"/>
      </w:pPr>
      <w:r>
        <w:rPr>
          <w:rStyle w:val="FootnoteReference"/>
        </w:rPr>
        <w:footnoteRef/>
      </w:r>
      <w:r>
        <w:rPr>
          <w:rtl/>
        </w:rPr>
        <w:t xml:space="preserve"> </w:t>
      </w:r>
      <w:r>
        <w:t>P</w:t>
      </w:r>
      <w:r w:rsidRPr="002F3EC1">
        <w:t>lutocratic</w:t>
      </w:r>
    </w:p>
  </w:footnote>
  <w:footnote w:id="399">
    <w:p w14:paraId="047AE084" w14:textId="307DD7DE" w:rsidR="00B47FF5" w:rsidRDefault="00B47FF5" w:rsidP="00DC45B9">
      <w:pPr>
        <w:pStyle w:val="FootnoteText"/>
      </w:pPr>
      <w:r>
        <w:rPr>
          <w:rStyle w:val="FootnoteReference"/>
        </w:rPr>
        <w:footnoteRef/>
      </w:r>
      <w:r>
        <w:rPr>
          <w:rtl/>
        </w:rPr>
        <w:t xml:space="preserve"> </w:t>
      </w:r>
      <w:r>
        <w:t>Restrictive</w:t>
      </w:r>
    </w:p>
  </w:footnote>
  <w:footnote w:id="400">
    <w:p w14:paraId="7903DAE7" w14:textId="35F74C6E" w:rsidR="00B47FF5" w:rsidRDefault="00B47FF5" w:rsidP="00DC45B9">
      <w:pPr>
        <w:pStyle w:val="FootnoteText"/>
      </w:pPr>
      <w:r>
        <w:rPr>
          <w:rStyle w:val="FootnoteReference"/>
        </w:rPr>
        <w:footnoteRef/>
      </w:r>
      <w:r>
        <w:rPr>
          <w:rtl/>
        </w:rPr>
        <w:t xml:space="preserve"> </w:t>
      </w:r>
      <w:r>
        <w:t>Autocratic</w:t>
      </w:r>
    </w:p>
  </w:footnote>
  <w:footnote w:id="401">
    <w:p w14:paraId="23F1BD8A" w14:textId="7350F2D1" w:rsidR="00B47FF5" w:rsidRDefault="00B47FF5" w:rsidP="00DC45B9">
      <w:pPr>
        <w:pStyle w:val="FootnoteText"/>
      </w:pPr>
      <w:r>
        <w:rPr>
          <w:rStyle w:val="FootnoteReference"/>
        </w:rPr>
        <w:footnoteRef/>
      </w:r>
      <w:r>
        <w:rPr>
          <w:rtl/>
        </w:rPr>
        <w:t xml:space="preserve"> </w:t>
      </w:r>
      <w:r>
        <w:t>Activism</w:t>
      </w:r>
    </w:p>
  </w:footnote>
  <w:footnote w:id="402">
    <w:p w14:paraId="0C012716" w14:textId="696D1149" w:rsidR="00B47FF5" w:rsidRDefault="00B47FF5" w:rsidP="00DC45B9">
      <w:pPr>
        <w:pStyle w:val="FootnoteText"/>
      </w:pPr>
      <w:r>
        <w:rPr>
          <w:rStyle w:val="FootnoteReference"/>
        </w:rPr>
        <w:footnoteRef/>
      </w:r>
      <w:r>
        <w:rPr>
          <w:rtl/>
        </w:rPr>
        <w:t xml:space="preserve"> </w:t>
      </w:r>
      <w:r>
        <w:t>Dysfunctional</w:t>
      </w:r>
    </w:p>
  </w:footnote>
  <w:footnote w:id="403">
    <w:p w14:paraId="2E643BD0" w14:textId="4FE0BE6B" w:rsidR="00B47FF5" w:rsidRDefault="00B47FF5" w:rsidP="00DC45B9">
      <w:pPr>
        <w:pStyle w:val="FootnoteText"/>
      </w:pPr>
      <w:r>
        <w:rPr>
          <w:rStyle w:val="FootnoteReference"/>
        </w:rPr>
        <w:footnoteRef/>
      </w:r>
      <w:r>
        <w:rPr>
          <w:rtl/>
        </w:rPr>
        <w:t xml:space="preserve"> </w:t>
      </w:r>
      <w:r>
        <w:t>Self-organized</w:t>
      </w:r>
    </w:p>
  </w:footnote>
  <w:footnote w:id="404">
    <w:p w14:paraId="56575DB2" w14:textId="77777777" w:rsidR="00B47FF5" w:rsidRDefault="00B47FF5" w:rsidP="0020732A">
      <w:pPr>
        <w:pStyle w:val="FootnoteText"/>
      </w:pPr>
      <w:r>
        <w:rPr>
          <w:rStyle w:val="FootnoteReference"/>
        </w:rPr>
        <w:footnoteRef/>
      </w:r>
      <w:r>
        <w:rPr>
          <w:rtl/>
        </w:rPr>
        <w:t xml:space="preserve"> </w:t>
      </w:r>
      <w:r w:rsidRPr="003B6AA9">
        <w:t>The 80/20 Principle</w:t>
      </w:r>
    </w:p>
  </w:footnote>
  <w:footnote w:id="405">
    <w:p w14:paraId="70B26C46" w14:textId="77777777" w:rsidR="00B47FF5" w:rsidRDefault="00B47FF5" w:rsidP="0020732A">
      <w:pPr>
        <w:pStyle w:val="FootnoteText"/>
      </w:pPr>
      <w:r>
        <w:rPr>
          <w:rStyle w:val="FootnoteReference"/>
        </w:rPr>
        <w:footnoteRef/>
      </w:r>
      <w:r>
        <w:rPr>
          <w:rtl/>
        </w:rPr>
        <w:t xml:space="preserve"> </w:t>
      </w:r>
      <w:r w:rsidRPr="00257B92">
        <w:t>Richard Koch</w:t>
      </w:r>
    </w:p>
  </w:footnote>
  <w:footnote w:id="406">
    <w:p w14:paraId="07F0A7E1" w14:textId="77777777" w:rsidR="00B47FF5" w:rsidRDefault="00B47FF5" w:rsidP="0020732A">
      <w:pPr>
        <w:pStyle w:val="FootnoteText"/>
      </w:pPr>
      <w:r>
        <w:rPr>
          <w:rStyle w:val="FootnoteReference"/>
        </w:rPr>
        <w:footnoteRef/>
      </w:r>
      <w:r>
        <w:rPr>
          <w:rtl/>
        </w:rPr>
        <w:t xml:space="preserve"> </w:t>
      </w:r>
      <w:r w:rsidRPr="003B6AA9">
        <w:t>Living the 80/20 Way</w:t>
      </w:r>
    </w:p>
  </w:footnote>
  <w:footnote w:id="407">
    <w:p w14:paraId="36650C53" w14:textId="77777777" w:rsidR="00B47FF5" w:rsidRDefault="00B47FF5" w:rsidP="0020732A">
      <w:pPr>
        <w:pStyle w:val="FootnoteText"/>
      </w:pPr>
      <w:r>
        <w:rPr>
          <w:rStyle w:val="FootnoteReference"/>
        </w:rPr>
        <w:footnoteRef/>
      </w:r>
      <w:r>
        <w:rPr>
          <w:rtl/>
        </w:rPr>
        <w:t xml:space="preserve"> </w:t>
      </w:r>
      <w:r w:rsidRPr="003B6AA9">
        <w:t>The 80/20 Manager</w:t>
      </w:r>
    </w:p>
  </w:footnote>
  <w:footnote w:id="408">
    <w:p w14:paraId="5D969EB9" w14:textId="77777777" w:rsidR="00B47FF5" w:rsidRDefault="00B47FF5" w:rsidP="0020732A">
      <w:pPr>
        <w:pStyle w:val="FootnoteText"/>
      </w:pPr>
      <w:r>
        <w:rPr>
          <w:rStyle w:val="FootnoteReference"/>
        </w:rPr>
        <w:footnoteRef/>
      </w:r>
      <w:r>
        <w:rPr>
          <w:rtl/>
        </w:rPr>
        <w:t xml:space="preserve"> </w:t>
      </w:r>
      <w:r>
        <w:t>The Long Tail</w:t>
      </w:r>
    </w:p>
  </w:footnote>
  <w:footnote w:id="409">
    <w:p w14:paraId="7653FF7D" w14:textId="77777777" w:rsidR="00B47FF5" w:rsidRDefault="00B47FF5" w:rsidP="0020732A">
      <w:pPr>
        <w:pStyle w:val="FootnoteText"/>
      </w:pPr>
      <w:r>
        <w:rPr>
          <w:rStyle w:val="FootnoteReference"/>
        </w:rPr>
        <w:footnoteRef/>
      </w:r>
      <w:r>
        <w:rPr>
          <w:rtl/>
        </w:rPr>
        <w:t xml:space="preserve"> </w:t>
      </w:r>
      <w:r w:rsidRPr="005E2A57">
        <w:t>Chris Anderson</w:t>
      </w:r>
    </w:p>
  </w:footnote>
  <w:footnote w:id="410">
    <w:p w14:paraId="0F7D47EA" w14:textId="23FBBF25" w:rsidR="00B47FF5" w:rsidRDefault="00B47FF5" w:rsidP="00DC45B9">
      <w:pPr>
        <w:pStyle w:val="FootnoteText"/>
      </w:pPr>
      <w:r>
        <w:rPr>
          <w:rStyle w:val="FootnoteReference"/>
        </w:rPr>
        <w:footnoteRef/>
      </w:r>
      <w:r>
        <w:rPr>
          <w:rtl/>
        </w:rPr>
        <w:t xml:space="preserve"> </w:t>
      </w:r>
      <w:r>
        <w:t>Recombination</w:t>
      </w:r>
    </w:p>
  </w:footnote>
  <w:footnote w:id="411">
    <w:p w14:paraId="543C85E4" w14:textId="464B680A" w:rsidR="00B47FF5" w:rsidRDefault="00B47FF5" w:rsidP="00DC45B9">
      <w:pPr>
        <w:pStyle w:val="FootnoteText"/>
      </w:pPr>
      <w:r>
        <w:rPr>
          <w:rStyle w:val="FootnoteReference"/>
        </w:rPr>
        <w:footnoteRef/>
      </w:r>
      <w:r>
        <w:rPr>
          <w:rtl/>
        </w:rPr>
        <w:t xml:space="preserve"> </w:t>
      </w:r>
      <w:r>
        <w:t>Macroevolutionary</w:t>
      </w:r>
    </w:p>
  </w:footnote>
  <w:footnote w:id="412">
    <w:p w14:paraId="30E96A46" w14:textId="05E9AC3C" w:rsidR="00B47FF5" w:rsidRDefault="00B47FF5" w:rsidP="00DC45B9">
      <w:pPr>
        <w:pStyle w:val="FootnoteText"/>
      </w:pPr>
      <w:r>
        <w:rPr>
          <w:rStyle w:val="FootnoteReference"/>
        </w:rPr>
        <w:footnoteRef/>
      </w:r>
      <w:r>
        <w:rPr>
          <w:rtl/>
        </w:rPr>
        <w:t xml:space="preserve"> </w:t>
      </w:r>
      <w:r>
        <w:t>Evolutionary genes</w:t>
      </w:r>
    </w:p>
  </w:footnote>
  <w:footnote w:id="413">
    <w:p w14:paraId="059ECF3B" w14:textId="28A111DC" w:rsidR="00B47FF5" w:rsidRDefault="00B47FF5" w:rsidP="00DC45B9">
      <w:pPr>
        <w:pStyle w:val="FootnoteText"/>
      </w:pPr>
      <w:r>
        <w:rPr>
          <w:rStyle w:val="FootnoteReference"/>
        </w:rPr>
        <w:footnoteRef/>
      </w:r>
      <w:r>
        <w:rPr>
          <w:rtl/>
        </w:rPr>
        <w:t xml:space="preserve"> </w:t>
      </w:r>
      <w:r>
        <w:t>Eukaryotes</w:t>
      </w:r>
    </w:p>
  </w:footnote>
  <w:footnote w:id="414">
    <w:p w14:paraId="3880CF12" w14:textId="440F7096" w:rsidR="00B47FF5" w:rsidRDefault="00B47FF5" w:rsidP="00DC45B9">
      <w:pPr>
        <w:pStyle w:val="FootnoteText"/>
      </w:pPr>
      <w:r>
        <w:rPr>
          <w:rStyle w:val="FootnoteReference"/>
        </w:rPr>
        <w:footnoteRef/>
      </w:r>
      <w:r>
        <w:rPr>
          <w:rtl/>
        </w:rPr>
        <w:t xml:space="preserve"> </w:t>
      </w:r>
      <w:r>
        <w:t>M</w:t>
      </w:r>
      <w:r w:rsidRPr="004F5BFA">
        <w:t>aterial</w:t>
      </w:r>
    </w:p>
  </w:footnote>
  <w:footnote w:id="415">
    <w:p w14:paraId="4094A7B3" w14:textId="1261E734" w:rsidR="00B47FF5" w:rsidRDefault="00B47FF5" w:rsidP="0020732A">
      <w:pPr>
        <w:pStyle w:val="FootnoteText"/>
      </w:pPr>
      <w:r>
        <w:rPr>
          <w:rStyle w:val="FootnoteReference"/>
        </w:rPr>
        <w:footnoteRef/>
      </w:r>
      <w:r>
        <w:rPr>
          <w:rtl/>
        </w:rPr>
        <w:t xml:space="preserve"> </w:t>
      </w:r>
      <w:r>
        <w:t>Immune</w:t>
      </w:r>
    </w:p>
  </w:footnote>
  <w:footnote w:id="416">
    <w:p w14:paraId="21F266C7" w14:textId="233EB288" w:rsidR="00B47FF5" w:rsidRDefault="00B47FF5" w:rsidP="00DC45B9">
      <w:pPr>
        <w:pStyle w:val="FootnoteText"/>
      </w:pPr>
      <w:r>
        <w:rPr>
          <w:rStyle w:val="FootnoteReference"/>
        </w:rPr>
        <w:footnoteRef/>
      </w:r>
      <w:r>
        <w:rPr>
          <w:rtl/>
        </w:rPr>
        <w:t xml:space="preserve"> </w:t>
      </w:r>
      <w:r w:rsidRPr="00DC45B9">
        <w:t>Evo-Devo</w:t>
      </w:r>
      <w:r>
        <w:t xml:space="preserve"> universe </w:t>
      </w:r>
    </w:p>
  </w:footnote>
  <w:footnote w:id="417">
    <w:p w14:paraId="6B5DB795" w14:textId="77777777" w:rsidR="00B47FF5" w:rsidRDefault="00B47FF5" w:rsidP="0020732A">
      <w:pPr>
        <w:pStyle w:val="FootnoteText"/>
      </w:pPr>
      <w:r>
        <w:rPr>
          <w:rStyle w:val="FootnoteReference"/>
        </w:rPr>
        <w:footnoteRef/>
      </w:r>
      <w:r>
        <w:rPr>
          <w:rtl/>
        </w:rPr>
        <w:t xml:space="preserve"> </w:t>
      </w:r>
      <w:r>
        <w:t>Leonard Mlodinow</w:t>
      </w:r>
    </w:p>
  </w:footnote>
  <w:footnote w:id="418">
    <w:p w14:paraId="0558C06D" w14:textId="77777777" w:rsidR="00B47FF5" w:rsidRDefault="00B47FF5" w:rsidP="0020732A">
      <w:pPr>
        <w:pStyle w:val="FootnoteText"/>
      </w:pPr>
      <w:r>
        <w:rPr>
          <w:rStyle w:val="FootnoteReference"/>
        </w:rPr>
        <w:footnoteRef/>
      </w:r>
      <w:r>
        <w:rPr>
          <w:rtl/>
        </w:rPr>
        <w:t xml:space="preserve"> </w:t>
      </w:r>
      <w:r w:rsidRPr="00286D83">
        <w:t>Subliminal</w:t>
      </w:r>
    </w:p>
  </w:footnote>
  <w:footnote w:id="419">
    <w:p w14:paraId="38DABB4A" w14:textId="275241C9" w:rsidR="00B47FF5" w:rsidRDefault="00B47FF5" w:rsidP="00DC45B9">
      <w:pPr>
        <w:pStyle w:val="FootnoteText"/>
      </w:pPr>
      <w:r>
        <w:rPr>
          <w:rStyle w:val="FootnoteReference"/>
        </w:rPr>
        <w:footnoteRef/>
      </w:r>
      <w:r>
        <w:rPr>
          <w:rtl/>
        </w:rPr>
        <w:t xml:space="preserve"> </w:t>
      </w:r>
      <w:r>
        <w:t>S</w:t>
      </w:r>
      <w:r w:rsidRPr="00286D83">
        <w:t>ynaptic</w:t>
      </w:r>
    </w:p>
  </w:footnote>
  <w:footnote w:id="420">
    <w:p w14:paraId="3A4FC75F" w14:textId="77777777" w:rsidR="00B47FF5" w:rsidRDefault="00B47FF5" w:rsidP="0020732A">
      <w:pPr>
        <w:pStyle w:val="FootnoteText"/>
      </w:pPr>
      <w:r>
        <w:rPr>
          <w:rStyle w:val="FootnoteReference"/>
        </w:rPr>
        <w:footnoteRef/>
      </w:r>
      <w:r>
        <w:rPr>
          <w:rtl/>
        </w:rPr>
        <w:t xml:space="preserve"> </w:t>
      </w:r>
      <w:r w:rsidRPr="008A5349">
        <w:t>Kevin Kelly</w:t>
      </w:r>
    </w:p>
  </w:footnote>
  <w:footnote w:id="421">
    <w:p w14:paraId="21A057E9" w14:textId="77777777" w:rsidR="00B47FF5" w:rsidRDefault="00B47FF5" w:rsidP="0020732A">
      <w:pPr>
        <w:pStyle w:val="FootnoteText"/>
      </w:pPr>
      <w:r>
        <w:rPr>
          <w:rStyle w:val="FootnoteReference"/>
        </w:rPr>
        <w:footnoteRef/>
      </w:r>
      <w:r>
        <w:rPr>
          <w:rtl/>
        </w:rPr>
        <w:t xml:space="preserve"> </w:t>
      </w:r>
      <w:r w:rsidRPr="00F875D3">
        <w:t>Out of Control</w:t>
      </w:r>
    </w:p>
  </w:footnote>
  <w:footnote w:id="422">
    <w:p w14:paraId="1F595BAA" w14:textId="77777777" w:rsidR="00B47FF5" w:rsidRDefault="00B47FF5" w:rsidP="0020732A">
      <w:pPr>
        <w:pStyle w:val="FootnoteText"/>
      </w:pPr>
      <w:r>
        <w:rPr>
          <w:rStyle w:val="FootnoteReference"/>
        </w:rPr>
        <w:footnoteRef/>
      </w:r>
      <w:r>
        <w:rPr>
          <w:rtl/>
        </w:rPr>
        <w:t xml:space="preserve"> </w:t>
      </w:r>
      <w:r w:rsidRPr="008A5349">
        <w:t>Robinson</w:t>
      </w:r>
    </w:p>
  </w:footnote>
  <w:footnote w:id="423">
    <w:p w14:paraId="421E5051" w14:textId="77777777" w:rsidR="00B47FF5" w:rsidRDefault="00B47FF5" w:rsidP="0020732A">
      <w:pPr>
        <w:pStyle w:val="FootnoteText"/>
      </w:pPr>
      <w:r>
        <w:rPr>
          <w:rStyle w:val="FootnoteReference"/>
        </w:rPr>
        <w:footnoteRef/>
      </w:r>
      <w:r>
        <w:rPr>
          <w:rtl/>
        </w:rPr>
        <w:t xml:space="preserve"> </w:t>
      </w:r>
      <w:r w:rsidRPr="008A5349">
        <w:t>Schroeder</w:t>
      </w:r>
    </w:p>
  </w:footnote>
  <w:footnote w:id="424">
    <w:p w14:paraId="1FFBF8D0" w14:textId="77777777" w:rsidR="00B47FF5" w:rsidRDefault="00B47FF5" w:rsidP="0020732A">
      <w:pPr>
        <w:pStyle w:val="FootnoteText"/>
      </w:pPr>
      <w:r>
        <w:rPr>
          <w:rStyle w:val="FootnoteReference"/>
        </w:rPr>
        <w:footnoteRef/>
      </w:r>
      <w:r>
        <w:rPr>
          <w:rtl/>
        </w:rPr>
        <w:t xml:space="preserve"> </w:t>
      </w:r>
      <w:r w:rsidRPr="00F875D3">
        <w:t>The-Idea-Driven Organization</w:t>
      </w:r>
    </w:p>
  </w:footnote>
  <w:footnote w:id="425">
    <w:p w14:paraId="2084FEAF" w14:textId="720C7786" w:rsidR="00B47FF5" w:rsidRDefault="00B47FF5" w:rsidP="00DC45B9">
      <w:pPr>
        <w:pStyle w:val="FootnoteText"/>
      </w:pPr>
      <w:r>
        <w:rPr>
          <w:rStyle w:val="FootnoteReference"/>
        </w:rPr>
        <w:footnoteRef/>
      </w:r>
      <w:r>
        <w:rPr>
          <w:rtl/>
        </w:rPr>
        <w:t xml:space="preserve"> </w:t>
      </w:r>
      <w:r>
        <w:t>Evolutionary noise</w:t>
      </w:r>
    </w:p>
  </w:footnote>
  <w:footnote w:id="426">
    <w:p w14:paraId="292B3F1D" w14:textId="6642B4B1" w:rsidR="00B47FF5" w:rsidRDefault="00B47FF5" w:rsidP="00DC45B9">
      <w:pPr>
        <w:pStyle w:val="FootnoteText"/>
      </w:pPr>
      <w:r>
        <w:rPr>
          <w:rStyle w:val="FootnoteReference"/>
        </w:rPr>
        <w:footnoteRef/>
      </w:r>
      <w:r>
        <w:rPr>
          <w:rtl/>
        </w:rPr>
        <w:t xml:space="preserve"> </w:t>
      </w:r>
      <w:r>
        <w:t>Developmental signal</w:t>
      </w:r>
    </w:p>
  </w:footnote>
  <w:footnote w:id="427">
    <w:p w14:paraId="7B211692" w14:textId="2B9A88ED" w:rsidR="00B47FF5" w:rsidRDefault="00B47FF5" w:rsidP="00DC45B9">
      <w:pPr>
        <w:pStyle w:val="FootnoteText"/>
      </w:pPr>
      <w:r>
        <w:rPr>
          <w:rStyle w:val="FootnoteReference"/>
        </w:rPr>
        <w:footnoteRef/>
      </w:r>
      <w:r>
        <w:rPr>
          <w:rtl/>
        </w:rPr>
        <w:t xml:space="preserve"> </w:t>
      </w:r>
      <w:r>
        <w:t>Overcontrolling</w:t>
      </w:r>
    </w:p>
  </w:footnote>
  <w:footnote w:id="428">
    <w:p w14:paraId="3F6BD37A" w14:textId="7056A782" w:rsidR="00B47FF5" w:rsidRDefault="00B47FF5" w:rsidP="00DC45B9">
      <w:pPr>
        <w:pStyle w:val="FootnoteText"/>
      </w:pPr>
      <w:r>
        <w:rPr>
          <w:rStyle w:val="FootnoteReference"/>
        </w:rPr>
        <w:footnoteRef/>
      </w:r>
      <w:r>
        <w:rPr>
          <w:rtl/>
        </w:rPr>
        <w:t xml:space="preserve"> </w:t>
      </w:r>
      <w:r>
        <w:t>P</w:t>
      </w:r>
      <w:r w:rsidRPr="00CA2B92">
        <w:t>redatory power politics</w:t>
      </w:r>
    </w:p>
  </w:footnote>
  <w:footnote w:id="429">
    <w:p w14:paraId="269CD3A7" w14:textId="77777777" w:rsidR="00B47FF5" w:rsidRDefault="00B47FF5" w:rsidP="0020732A">
      <w:pPr>
        <w:pStyle w:val="FootnoteText"/>
      </w:pPr>
      <w:r>
        <w:rPr>
          <w:rStyle w:val="FootnoteReference"/>
        </w:rPr>
        <w:footnoteRef/>
      </w:r>
      <w:r>
        <w:rPr>
          <w:rtl/>
        </w:rPr>
        <w:t xml:space="preserve"> </w:t>
      </w:r>
      <w:r w:rsidRPr="008A5349">
        <w:t>Hanlon's razor</w:t>
      </w:r>
    </w:p>
  </w:footnote>
  <w:footnote w:id="430">
    <w:p w14:paraId="69706975" w14:textId="77777777" w:rsidR="00B47FF5" w:rsidRDefault="00B47FF5" w:rsidP="0020732A">
      <w:pPr>
        <w:pStyle w:val="FootnoteText"/>
      </w:pPr>
      <w:r>
        <w:rPr>
          <w:rStyle w:val="FootnoteReference"/>
        </w:rPr>
        <w:footnoteRef/>
      </w:r>
      <w:r>
        <w:rPr>
          <w:rtl/>
        </w:rPr>
        <w:t xml:space="preserve"> </w:t>
      </w:r>
      <w:r w:rsidRPr="008A5349">
        <w:t>Douglas Hubbard</w:t>
      </w:r>
    </w:p>
  </w:footnote>
  <w:footnote w:id="431">
    <w:p w14:paraId="188AABC3" w14:textId="77777777" w:rsidR="00B47FF5" w:rsidRDefault="00B47FF5" w:rsidP="0020732A">
      <w:pPr>
        <w:pStyle w:val="FootnoteText"/>
      </w:pPr>
      <w:r>
        <w:rPr>
          <w:rStyle w:val="FootnoteReference"/>
        </w:rPr>
        <w:footnoteRef/>
      </w:r>
      <w:r>
        <w:rPr>
          <w:rtl/>
        </w:rPr>
        <w:t xml:space="preserve"> </w:t>
      </w:r>
      <w:r w:rsidRPr="002F0570">
        <w:t>Reinventing Organizations</w:t>
      </w:r>
    </w:p>
  </w:footnote>
  <w:footnote w:id="432">
    <w:p w14:paraId="1AEC0DCA" w14:textId="77777777" w:rsidR="00B47FF5" w:rsidRDefault="00B47FF5" w:rsidP="0020732A">
      <w:pPr>
        <w:pStyle w:val="FootnoteText"/>
      </w:pPr>
      <w:r>
        <w:rPr>
          <w:rStyle w:val="FootnoteReference"/>
        </w:rPr>
        <w:footnoteRef/>
      </w:r>
      <w:r>
        <w:rPr>
          <w:rtl/>
        </w:rPr>
        <w:t xml:space="preserve"> </w:t>
      </w:r>
      <w:r w:rsidRPr="008A5349">
        <w:t>Frederic Laloux</w:t>
      </w:r>
    </w:p>
  </w:footnote>
  <w:footnote w:id="433">
    <w:p w14:paraId="6CD9CFD4" w14:textId="77777777" w:rsidR="00B47FF5" w:rsidRDefault="00B47FF5" w:rsidP="0020732A">
      <w:pPr>
        <w:pStyle w:val="FootnoteText"/>
      </w:pPr>
      <w:r>
        <w:rPr>
          <w:rStyle w:val="FootnoteReference"/>
        </w:rPr>
        <w:footnoteRef/>
      </w:r>
      <w:r>
        <w:rPr>
          <w:rtl/>
        </w:rPr>
        <w:t xml:space="preserve"> </w:t>
      </w:r>
      <w:r>
        <w:t>holacracy</w:t>
      </w:r>
    </w:p>
  </w:footnote>
  <w:footnote w:id="434">
    <w:p w14:paraId="7B06E2DC" w14:textId="77777777" w:rsidR="00B47FF5" w:rsidRDefault="00B47FF5" w:rsidP="0020732A">
      <w:pPr>
        <w:pStyle w:val="FootnoteText"/>
      </w:pPr>
      <w:r>
        <w:rPr>
          <w:rStyle w:val="FootnoteReference"/>
        </w:rPr>
        <w:footnoteRef/>
      </w:r>
      <w:r>
        <w:rPr>
          <w:rtl/>
        </w:rPr>
        <w:t xml:space="preserve"> </w:t>
      </w:r>
      <w:r w:rsidRPr="005060B8">
        <w:t>The Starfish and the Spider</w:t>
      </w:r>
    </w:p>
  </w:footnote>
  <w:footnote w:id="435">
    <w:p w14:paraId="523A1306" w14:textId="77777777" w:rsidR="00B47FF5" w:rsidRDefault="00B47FF5" w:rsidP="0020732A">
      <w:pPr>
        <w:pStyle w:val="FootnoteText"/>
      </w:pPr>
      <w:r>
        <w:rPr>
          <w:rStyle w:val="FootnoteReference"/>
        </w:rPr>
        <w:footnoteRef/>
      </w:r>
      <w:r>
        <w:rPr>
          <w:rtl/>
        </w:rPr>
        <w:t xml:space="preserve"> </w:t>
      </w:r>
      <w:r w:rsidRPr="008A5349">
        <w:t>Brafman</w:t>
      </w:r>
    </w:p>
  </w:footnote>
  <w:footnote w:id="436">
    <w:p w14:paraId="18F8A5D3" w14:textId="77777777" w:rsidR="00B47FF5" w:rsidRDefault="00B47FF5" w:rsidP="0020732A">
      <w:pPr>
        <w:pStyle w:val="FootnoteText"/>
      </w:pPr>
      <w:r>
        <w:rPr>
          <w:rStyle w:val="FootnoteReference"/>
        </w:rPr>
        <w:footnoteRef/>
      </w:r>
      <w:r>
        <w:rPr>
          <w:rtl/>
        </w:rPr>
        <w:t xml:space="preserve"> </w:t>
      </w:r>
      <w:r w:rsidRPr="008A5349">
        <w:t>Beckstrom</w:t>
      </w:r>
    </w:p>
  </w:footnote>
  <w:footnote w:id="437">
    <w:p w14:paraId="15FE3E8F" w14:textId="77777777" w:rsidR="00B47FF5" w:rsidRDefault="00B47FF5" w:rsidP="0020732A">
      <w:pPr>
        <w:pStyle w:val="FootnoteText"/>
      </w:pPr>
      <w:r>
        <w:rPr>
          <w:rStyle w:val="FootnoteReference"/>
        </w:rPr>
        <w:footnoteRef/>
      </w:r>
      <w:r>
        <w:rPr>
          <w:rtl/>
        </w:rPr>
        <w:t xml:space="preserve"> </w:t>
      </w:r>
      <w:r w:rsidRPr="005060B8">
        <w:t>Work Rules!</w:t>
      </w:r>
    </w:p>
  </w:footnote>
  <w:footnote w:id="438">
    <w:p w14:paraId="55B2C28C" w14:textId="77777777" w:rsidR="00B47FF5" w:rsidRDefault="00B47FF5" w:rsidP="0020732A">
      <w:pPr>
        <w:pStyle w:val="FootnoteText"/>
      </w:pPr>
      <w:r>
        <w:rPr>
          <w:rStyle w:val="FootnoteReference"/>
        </w:rPr>
        <w:footnoteRef/>
      </w:r>
      <w:r>
        <w:rPr>
          <w:rtl/>
        </w:rPr>
        <w:t xml:space="preserve"> </w:t>
      </w:r>
      <w:r w:rsidRPr="008A5349">
        <w:t>Laszlo Bock</w:t>
      </w:r>
    </w:p>
  </w:footnote>
  <w:footnote w:id="439">
    <w:p w14:paraId="45DE6374" w14:textId="0DF901B7" w:rsidR="00B47FF5" w:rsidRDefault="00B47FF5" w:rsidP="00DC45B9">
      <w:pPr>
        <w:pStyle w:val="FootnoteText"/>
      </w:pPr>
      <w:r>
        <w:rPr>
          <w:rStyle w:val="FootnoteReference"/>
        </w:rPr>
        <w:footnoteRef/>
      </w:r>
      <w:r>
        <w:rPr>
          <w:rtl/>
        </w:rPr>
        <w:t xml:space="preserve"> </w:t>
      </w:r>
      <w:r>
        <w:t>O</w:t>
      </w:r>
      <w:r w:rsidRPr="005060B8">
        <w:t>bjectives and key results</w:t>
      </w:r>
    </w:p>
  </w:footnote>
  <w:footnote w:id="440">
    <w:p w14:paraId="7F9A36DF" w14:textId="7AD43237" w:rsidR="00B47FF5" w:rsidRDefault="00B47FF5" w:rsidP="00DC45B9">
      <w:pPr>
        <w:pStyle w:val="FootnoteText"/>
      </w:pPr>
      <w:r>
        <w:rPr>
          <w:rStyle w:val="FootnoteReference"/>
        </w:rPr>
        <w:footnoteRef/>
      </w:r>
      <w:r>
        <w:rPr>
          <w:rtl/>
        </w:rPr>
        <w:t xml:space="preserve"> </w:t>
      </w:r>
      <w:r>
        <w:t>Decentralized blockchain</w:t>
      </w:r>
    </w:p>
  </w:footnote>
  <w:footnote w:id="441">
    <w:p w14:paraId="5A381221" w14:textId="77777777" w:rsidR="00B47FF5" w:rsidRDefault="00B47FF5" w:rsidP="0020732A">
      <w:pPr>
        <w:pStyle w:val="FootnoteText"/>
      </w:pPr>
      <w:r>
        <w:rPr>
          <w:rStyle w:val="FootnoteReference"/>
        </w:rPr>
        <w:footnoteRef/>
      </w:r>
      <w:r>
        <w:rPr>
          <w:rtl/>
        </w:rPr>
        <w:t xml:space="preserve"> </w:t>
      </w:r>
      <w:r w:rsidRPr="008A5349">
        <w:t>Kai Stinchcombe</w:t>
      </w:r>
    </w:p>
  </w:footnote>
  <w:footnote w:id="442">
    <w:p w14:paraId="341C656A" w14:textId="0C675CC3" w:rsidR="00B47FF5" w:rsidRDefault="00B47FF5" w:rsidP="0020732A">
      <w:pPr>
        <w:pStyle w:val="FootnoteText"/>
      </w:pPr>
      <w:r>
        <w:rPr>
          <w:rStyle w:val="FootnoteReference"/>
        </w:rPr>
        <w:footnoteRef/>
      </w:r>
      <w:r>
        <w:rPr>
          <w:rtl/>
        </w:rPr>
        <w:t xml:space="preserve"> </w:t>
      </w:r>
      <w:r>
        <w:t>The Truth about Bitcoins and the Blockchain</w:t>
      </w:r>
    </w:p>
  </w:footnote>
  <w:footnote w:id="443">
    <w:p w14:paraId="406B5CCA" w14:textId="77777777" w:rsidR="00B47FF5" w:rsidRDefault="00B47FF5" w:rsidP="0020732A">
      <w:pPr>
        <w:pStyle w:val="FootnoteText"/>
      </w:pPr>
      <w:r>
        <w:rPr>
          <w:rStyle w:val="FootnoteReference"/>
        </w:rPr>
        <w:footnoteRef/>
      </w:r>
      <w:r>
        <w:rPr>
          <w:rtl/>
        </w:rPr>
        <w:t xml:space="preserve"> </w:t>
      </w:r>
      <w:r w:rsidRPr="008A5349">
        <w:t>John Kotter</w:t>
      </w:r>
    </w:p>
  </w:footnote>
  <w:footnote w:id="444">
    <w:p w14:paraId="71D37D95" w14:textId="77777777" w:rsidR="00B47FF5" w:rsidRDefault="00B47FF5" w:rsidP="0020732A">
      <w:pPr>
        <w:pStyle w:val="FootnoteText"/>
      </w:pPr>
      <w:r>
        <w:rPr>
          <w:rStyle w:val="FootnoteReference"/>
        </w:rPr>
        <w:footnoteRef/>
      </w:r>
      <w:r>
        <w:rPr>
          <w:rtl/>
        </w:rPr>
        <w:t xml:space="preserve"> </w:t>
      </w:r>
      <w:r w:rsidRPr="00CC3E51">
        <w:t>Accelerate</w:t>
      </w:r>
    </w:p>
  </w:footnote>
  <w:footnote w:id="445">
    <w:p w14:paraId="5985B2EA" w14:textId="77777777" w:rsidR="00B47FF5" w:rsidRDefault="00B47FF5" w:rsidP="0020732A">
      <w:pPr>
        <w:pStyle w:val="FootnoteText"/>
      </w:pPr>
      <w:r>
        <w:rPr>
          <w:rStyle w:val="FootnoteReference"/>
        </w:rPr>
        <w:footnoteRef/>
      </w:r>
      <w:r>
        <w:rPr>
          <w:rtl/>
        </w:rPr>
        <w:t xml:space="preserve"> </w:t>
      </w:r>
      <w:r w:rsidRPr="002C51F2">
        <w:t>Intuition and Deliberation</w:t>
      </w:r>
    </w:p>
  </w:footnote>
  <w:footnote w:id="446">
    <w:p w14:paraId="792DA986" w14:textId="0037083E" w:rsidR="00B47FF5" w:rsidRDefault="00B47FF5" w:rsidP="00DC45B9">
      <w:pPr>
        <w:pStyle w:val="FootnoteText"/>
      </w:pPr>
      <w:r>
        <w:rPr>
          <w:rStyle w:val="FootnoteReference"/>
        </w:rPr>
        <w:footnoteRef/>
      </w:r>
      <w:r>
        <w:rPr>
          <w:rtl/>
        </w:rPr>
        <w:t xml:space="preserve"> </w:t>
      </w:r>
      <w:r>
        <w:t>Optogenetics</w:t>
      </w:r>
    </w:p>
  </w:footnote>
  <w:footnote w:id="447">
    <w:p w14:paraId="67CD76CF" w14:textId="7937870B" w:rsidR="00B47FF5" w:rsidRDefault="00B47FF5" w:rsidP="00DC45B9">
      <w:pPr>
        <w:pStyle w:val="FootnoteText"/>
      </w:pPr>
      <w:r>
        <w:rPr>
          <w:rStyle w:val="FootnoteReference"/>
        </w:rPr>
        <w:footnoteRef/>
      </w:r>
      <w:r>
        <w:rPr>
          <w:rtl/>
        </w:rPr>
        <w:t xml:space="preserve"> </w:t>
      </w:r>
      <w:r>
        <w:t>Active inference</w:t>
      </w:r>
    </w:p>
  </w:footnote>
  <w:footnote w:id="448">
    <w:p w14:paraId="5053CA3A" w14:textId="7D5AC535" w:rsidR="00B47FF5" w:rsidRDefault="00B47FF5" w:rsidP="00DC45B9">
      <w:pPr>
        <w:pStyle w:val="FootnoteText"/>
      </w:pPr>
      <w:r>
        <w:rPr>
          <w:rStyle w:val="FootnoteReference"/>
        </w:rPr>
        <w:footnoteRef/>
      </w:r>
      <w:r>
        <w:rPr>
          <w:rtl/>
        </w:rPr>
        <w:t xml:space="preserve"> </w:t>
      </w:r>
      <w:r>
        <w:t>Evidence-based model</w:t>
      </w:r>
    </w:p>
  </w:footnote>
  <w:footnote w:id="449">
    <w:p w14:paraId="3981E38B" w14:textId="7997246A" w:rsidR="00B47FF5" w:rsidRDefault="00B47FF5" w:rsidP="00DC45B9">
      <w:pPr>
        <w:pStyle w:val="FootnoteText"/>
      </w:pPr>
      <w:r>
        <w:rPr>
          <w:rStyle w:val="FootnoteReference"/>
        </w:rPr>
        <w:footnoteRef/>
      </w:r>
      <w:r>
        <w:rPr>
          <w:rtl/>
        </w:rPr>
        <w:t xml:space="preserve"> </w:t>
      </w:r>
      <w:r>
        <w:t>D</w:t>
      </w:r>
      <w:r w:rsidRPr="000E4236">
        <w:t>ual process theory</w:t>
      </w:r>
    </w:p>
  </w:footnote>
  <w:footnote w:id="450">
    <w:p w14:paraId="4703287B" w14:textId="77777777" w:rsidR="00B47FF5" w:rsidRDefault="00B47FF5" w:rsidP="0020732A">
      <w:pPr>
        <w:pStyle w:val="FootnoteText"/>
      </w:pPr>
      <w:r>
        <w:rPr>
          <w:rStyle w:val="FootnoteReference"/>
        </w:rPr>
        <w:footnoteRef/>
      </w:r>
      <w:r>
        <w:rPr>
          <w:rtl/>
        </w:rPr>
        <w:t xml:space="preserve"> </w:t>
      </w:r>
      <w:r w:rsidRPr="008A5349">
        <w:t>Daniel Kahneman</w:t>
      </w:r>
    </w:p>
  </w:footnote>
  <w:footnote w:id="451">
    <w:p w14:paraId="5F34E07B" w14:textId="77777777" w:rsidR="00B47FF5" w:rsidRDefault="00B47FF5" w:rsidP="0020732A">
      <w:pPr>
        <w:pStyle w:val="FootnoteText"/>
      </w:pPr>
      <w:r>
        <w:rPr>
          <w:rStyle w:val="FootnoteReference"/>
        </w:rPr>
        <w:footnoteRef/>
      </w:r>
      <w:r>
        <w:rPr>
          <w:rtl/>
        </w:rPr>
        <w:t xml:space="preserve"> </w:t>
      </w:r>
      <w:r w:rsidRPr="00E239F9">
        <w:t>Thinking, Fast and Slow</w:t>
      </w:r>
    </w:p>
  </w:footnote>
  <w:footnote w:id="452">
    <w:p w14:paraId="0A94BACF" w14:textId="283D8CC2" w:rsidR="00B47FF5" w:rsidRDefault="00B47FF5" w:rsidP="00DC45B9">
      <w:pPr>
        <w:pStyle w:val="FootnoteText"/>
      </w:pPr>
      <w:r>
        <w:rPr>
          <w:rStyle w:val="FootnoteReference"/>
        </w:rPr>
        <w:footnoteRef/>
      </w:r>
      <w:r>
        <w:rPr>
          <w:rtl/>
        </w:rPr>
        <w:t xml:space="preserve"> </w:t>
      </w:r>
      <w:r>
        <w:t>H</w:t>
      </w:r>
      <w:r w:rsidRPr="001C298D">
        <w:t>igher animal</w:t>
      </w:r>
    </w:p>
  </w:footnote>
  <w:footnote w:id="453">
    <w:p w14:paraId="06CF4ECD" w14:textId="2D754F56" w:rsidR="00B47FF5" w:rsidRDefault="00B47FF5" w:rsidP="00DC45B9">
      <w:pPr>
        <w:pStyle w:val="FootnoteText"/>
      </w:pPr>
      <w:r>
        <w:rPr>
          <w:rStyle w:val="FootnoteReference"/>
        </w:rPr>
        <w:footnoteRef/>
      </w:r>
      <w:r>
        <w:rPr>
          <w:rtl/>
        </w:rPr>
        <w:t xml:space="preserve"> </w:t>
      </w:r>
      <w:r>
        <w:t>Arc of developmental complexity</w:t>
      </w:r>
    </w:p>
  </w:footnote>
  <w:footnote w:id="454">
    <w:p w14:paraId="5A0EB968" w14:textId="77777777" w:rsidR="00B47FF5" w:rsidRDefault="00B47FF5" w:rsidP="0020732A">
      <w:pPr>
        <w:pStyle w:val="FootnoteText"/>
      </w:pPr>
      <w:r>
        <w:rPr>
          <w:rStyle w:val="FootnoteReference"/>
        </w:rPr>
        <w:footnoteRef/>
      </w:r>
      <w:r>
        <w:rPr>
          <w:rtl/>
        </w:rPr>
        <w:t xml:space="preserve"> </w:t>
      </w:r>
      <w:r w:rsidRPr="00AE2E36">
        <w:t>The User Illusion</w:t>
      </w:r>
    </w:p>
  </w:footnote>
  <w:footnote w:id="455">
    <w:p w14:paraId="01EBA7B2" w14:textId="77777777" w:rsidR="00B47FF5" w:rsidRDefault="00B47FF5" w:rsidP="0020732A">
      <w:pPr>
        <w:pStyle w:val="FootnoteText"/>
      </w:pPr>
      <w:r>
        <w:rPr>
          <w:rStyle w:val="FootnoteReference"/>
        </w:rPr>
        <w:footnoteRef/>
      </w:r>
      <w:r>
        <w:rPr>
          <w:rtl/>
        </w:rPr>
        <w:t xml:space="preserve"> </w:t>
      </w:r>
      <w:r w:rsidRPr="008A5349">
        <w:t>Tor Norretrander</w:t>
      </w:r>
    </w:p>
  </w:footnote>
  <w:footnote w:id="456">
    <w:p w14:paraId="488D1422" w14:textId="77777777" w:rsidR="00B47FF5" w:rsidRDefault="00B47FF5" w:rsidP="0020732A">
      <w:pPr>
        <w:pStyle w:val="FootnoteText"/>
      </w:pPr>
      <w:r>
        <w:rPr>
          <w:rStyle w:val="FootnoteReference"/>
        </w:rPr>
        <w:footnoteRef/>
      </w:r>
      <w:r>
        <w:rPr>
          <w:rtl/>
        </w:rPr>
        <w:t xml:space="preserve"> </w:t>
      </w:r>
      <w:r w:rsidRPr="00AE2E36">
        <w:t>Subliminal</w:t>
      </w:r>
    </w:p>
  </w:footnote>
  <w:footnote w:id="457">
    <w:p w14:paraId="674A263B" w14:textId="77777777" w:rsidR="00B47FF5" w:rsidRDefault="00B47FF5" w:rsidP="0020732A">
      <w:pPr>
        <w:pStyle w:val="FootnoteText"/>
      </w:pPr>
      <w:r>
        <w:rPr>
          <w:rStyle w:val="FootnoteReference"/>
        </w:rPr>
        <w:footnoteRef/>
      </w:r>
      <w:r>
        <w:rPr>
          <w:rtl/>
        </w:rPr>
        <w:t xml:space="preserve"> </w:t>
      </w:r>
      <w:r w:rsidRPr="008A5349">
        <w:t>Leonard Mlodinow</w:t>
      </w:r>
    </w:p>
  </w:footnote>
  <w:footnote w:id="458">
    <w:p w14:paraId="22A99A06" w14:textId="7DEC4097" w:rsidR="00B47FF5" w:rsidRDefault="00B47FF5" w:rsidP="00DC45B9">
      <w:pPr>
        <w:pStyle w:val="FootnoteText"/>
      </w:pPr>
      <w:r>
        <w:rPr>
          <w:rStyle w:val="FootnoteReference"/>
        </w:rPr>
        <w:footnoteRef/>
      </w:r>
      <w:r>
        <w:rPr>
          <w:rtl/>
        </w:rPr>
        <w:t xml:space="preserve"> </w:t>
      </w:r>
      <w:r>
        <w:t>Meta-process</w:t>
      </w:r>
    </w:p>
  </w:footnote>
  <w:footnote w:id="459">
    <w:p w14:paraId="5F86A3EE" w14:textId="77777777" w:rsidR="00B47FF5" w:rsidRDefault="00B47FF5" w:rsidP="0020732A">
      <w:pPr>
        <w:pStyle w:val="FootnoteText"/>
      </w:pPr>
      <w:r>
        <w:rPr>
          <w:rStyle w:val="FootnoteReference"/>
        </w:rPr>
        <w:footnoteRef/>
      </w:r>
      <w:r>
        <w:rPr>
          <w:rtl/>
        </w:rPr>
        <w:t xml:space="preserve"> </w:t>
      </w:r>
      <w:r>
        <w:t>Bayesian</w:t>
      </w:r>
    </w:p>
  </w:footnote>
  <w:footnote w:id="460">
    <w:p w14:paraId="4B4BD3CD" w14:textId="48350A56" w:rsidR="00B47FF5" w:rsidRDefault="00B47FF5" w:rsidP="00DC45B9">
      <w:pPr>
        <w:pStyle w:val="FootnoteText"/>
      </w:pPr>
      <w:r>
        <w:rPr>
          <w:rStyle w:val="FootnoteReference"/>
        </w:rPr>
        <w:footnoteRef/>
      </w:r>
      <w:r>
        <w:rPr>
          <w:rtl/>
        </w:rPr>
        <w:t xml:space="preserve"> </w:t>
      </w:r>
      <w:r>
        <w:t>M</w:t>
      </w:r>
      <w:r w:rsidRPr="008A5349">
        <w:t>orality</w:t>
      </w:r>
    </w:p>
  </w:footnote>
  <w:footnote w:id="461">
    <w:p w14:paraId="3709405B" w14:textId="1390108C" w:rsidR="00B47FF5" w:rsidRDefault="00B47FF5" w:rsidP="00DC45B9">
      <w:pPr>
        <w:pStyle w:val="FootnoteText"/>
      </w:pPr>
      <w:r>
        <w:rPr>
          <w:rStyle w:val="FootnoteReference"/>
        </w:rPr>
        <w:footnoteRef/>
      </w:r>
      <w:r>
        <w:rPr>
          <w:rtl/>
        </w:rPr>
        <w:t xml:space="preserve"> </w:t>
      </w:r>
      <w:r>
        <w:t>Amygdala</w:t>
      </w:r>
    </w:p>
  </w:footnote>
  <w:footnote w:id="462">
    <w:p w14:paraId="78F6B793" w14:textId="20C29C23" w:rsidR="00B47FF5" w:rsidRDefault="00B47FF5" w:rsidP="00DC45B9">
      <w:pPr>
        <w:pStyle w:val="FootnoteText"/>
      </w:pPr>
      <w:r>
        <w:rPr>
          <w:rStyle w:val="FootnoteReference"/>
        </w:rPr>
        <w:footnoteRef/>
      </w:r>
      <w:r>
        <w:rPr>
          <w:rtl/>
        </w:rPr>
        <w:t xml:space="preserve"> </w:t>
      </w:r>
      <w:r>
        <w:t>A</w:t>
      </w:r>
      <w:r w:rsidRPr="00F830E1">
        <w:t>nalysis paralysis</w:t>
      </w:r>
    </w:p>
  </w:footnote>
  <w:footnote w:id="463">
    <w:p w14:paraId="2BED7E69" w14:textId="66EA7389" w:rsidR="00B47FF5" w:rsidRDefault="00B47FF5" w:rsidP="00DC45B9">
      <w:pPr>
        <w:pStyle w:val="FootnoteText"/>
      </w:pPr>
      <w:r>
        <w:rPr>
          <w:rStyle w:val="FootnoteReference"/>
        </w:rPr>
        <w:footnoteRef/>
      </w:r>
      <w:r>
        <w:rPr>
          <w:rtl/>
        </w:rPr>
        <w:t xml:space="preserve"> </w:t>
      </w:r>
      <w:r>
        <w:t>Gut</w:t>
      </w:r>
    </w:p>
  </w:footnote>
  <w:footnote w:id="464">
    <w:p w14:paraId="51174D4C" w14:textId="77777777" w:rsidR="00B47FF5" w:rsidRDefault="00B47FF5" w:rsidP="0020732A">
      <w:pPr>
        <w:pStyle w:val="FootnoteText"/>
      </w:pPr>
      <w:r>
        <w:rPr>
          <w:rStyle w:val="FootnoteReference"/>
        </w:rPr>
        <w:footnoteRef/>
      </w:r>
      <w:r>
        <w:rPr>
          <w:rtl/>
        </w:rPr>
        <w:t xml:space="preserve"> </w:t>
      </w:r>
      <w:r w:rsidRPr="00355A87">
        <w:t>Descartes’ Error</w:t>
      </w:r>
    </w:p>
  </w:footnote>
  <w:footnote w:id="465">
    <w:p w14:paraId="05FD3D92" w14:textId="2129465B" w:rsidR="00B47FF5" w:rsidRDefault="00B47FF5" w:rsidP="00DC45B9">
      <w:pPr>
        <w:pStyle w:val="FootnoteText"/>
      </w:pPr>
      <w:r>
        <w:rPr>
          <w:rStyle w:val="FootnoteReference"/>
        </w:rPr>
        <w:footnoteRef/>
      </w:r>
      <w:r>
        <w:rPr>
          <w:rtl/>
        </w:rPr>
        <w:t xml:space="preserve"> </w:t>
      </w:r>
      <w:r>
        <w:t>Finite</w:t>
      </w:r>
    </w:p>
  </w:footnote>
  <w:footnote w:id="466">
    <w:p w14:paraId="5F2FBF29" w14:textId="1D2CD829" w:rsidR="00B47FF5" w:rsidRDefault="00B47FF5" w:rsidP="00DC45B9">
      <w:pPr>
        <w:pStyle w:val="FootnoteText"/>
      </w:pPr>
      <w:r>
        <w:rPr>
          <w:rStyle w:val="FootnoteReference"/>
        </w:rPr>
        <w:footnoteRef/>
      </w:r>
      <w:r>
        <w:rPr>
          <w:rtl/>
        </w:rPr>
        <w:t xml:space="preserve"> </w:t>
      </w:r>
      <w:r>
        <w:t>Wicked problems</w:t>
      </w:r>
    </w:p>
  </w:footnote>
  <w:footnote w:id="467">
    <w:p w14:paraId="45C57FC8" w14:textId="77777777" w:rsidR="00B47FF5" w:rsidRDefault="00B47FF5" w:rsidP="0020732A">
      <w:pPr>
        <w:pStyle w:val="FootnoteText"/>
      </w:pPr>
      <w:r>
        <w:rPr>
          <w:rStyle w:val="FootnoteReference"/>
        </w:rPr>
        <w:footnoteRef/>
      </w:r>
      <w:r>
        <w:rPr>
          <w:rtl/>
        </w:rPr>
        <w:t xml:space="preserve"> </w:t>
      </w:r>
      <w:r w:rsidRPr="0073710E">
        <w:t>Richard Yonck</w:t>
      </w:r>
    </w:p>
  </w:footnote>
  <w:footnote w:id="468">
    <w:p w14:paraId="44C3E71C" w14:textId="77777777" w:rsidR="00B47FF5" w:rsidRDefault="00B47FF5" w:rsidP="0020732A">
      <w:pPr>
        <w:pStyle w:val="FootnoteText"/>
      </w:pPr>
      <w:r>
        <w:rPr>
          <w:rStyle w:val="FootnoteReference"/>
        </w:rPr>
        <w:footnoteRef/>
      </w:r>
      <w:r>
        <w:t xml:space="preserve"> The</w:t>
      </w:r>
      <w:r>
        <w:rPr>
          <w:rtl/>
        </w:rPr>
        <w:t xml:space="preserve"> </w:t>
      </w:r>
      <w:r w:rsidRPr="00227516">
        <w:t>Heart of the Machine: Our Future in a World of Artificial Emotional</w:t>
      </w:r>
      <w:r>
        <w:t xml:space="preserve"> Intelligence</w:t>
      </w:r>
    </w:p>
  </w:footnote>
  <w:footnote w:id="469">
    <w:p w14:paraId="2A85F3A4" w14:textId="6CE42DD0" w:rsidR="00B47FF5" w:rsidRDefault="00B47FF5" w:rsidP="00DC45B9">
      <w:pPr>
        <w:pStyle w:val="FootnoteText"/>
      </w:pPr>
      <w:r>
        <w:rPr>
          <w:rStyle w:val="FootnoteReference"/>
        </w:rPr>
        <w:footnoteRef/>
      </w:r>
      <w:r>
        <w:rPr>
          <w:rtl/>
        </w:rPr>
        <w:t xml:space="preserve"> </w:t>
      </w:r>
      <w:r>
        <w:t>Environmental awareness</w:t>
      </w:r>
    </w:p>
  </w:footnote>
  <w:footnote w:id="470">
    <w:p w14:paraId="6FE0A594" w14:textId="0EE4315E" w:rsidR="00B47FF5" w:rsidRDefault="00B47FF5" w:rsidP="00DC45B9">
      <w:pPr>
        <w:pStyle w:val="FootnoteText"/>
      </w:pPr>
      <w:r>
        <w:rPr>
          <w:rStyle w:val="FootnoteReference"/>
        </w:rPr>
        <w:footnoteRef/>
      </w:r>
      <w:r>
        <w:rPr>
          <w:rtl/>
        </w:rPr>
        <w:t xml:space="preserve"> </w:t>
      </w:r>
      <w:r>
        <w:t>Regulating</w:t>
      </w:r>
    </w:p>
  </w:footnote>
  <w:footnote w:id="471">
    <w:p w14:paraId="183D1827" w14:textId="77777777" w:rsidR="00B47FF5" w:rsidRDefault="00B47FF5" w:rsidP="0020732A">
      <w:pPr>
        <w:pStyle w:val="FootnoteText"/>
      </w:pPr>
      <w:r>
        <w:rPr>
          <w:rStyle w:val="FootnoteReference"/>
        </w:rPr>
        <w:footnoteRef/>
      </w:r>
      <w:r>
        <w:rPr>
          <w:rtl/>
        </w:rPr>
        <w:t xml:space="preserve"> </w:t>
      </w:r>
      <w:r w:rsidRPr="0073710E">
        <w:t>Graboi</w:t>
      </w:r>
    </w:p>
  </w:footnote>
  <w:footnote w:id="472">
    <w:p w14:paraId="7AD44D88" w14:textId="77777777" w:rsidR="00B47FF5" w:rsidRDefault="00B47FF5" w:rsidP="0020732A">
      <w:pPr>
        <w:pStyle w:val="FootnoteText"/>
      </w:pPr>
      <w:r>
        <w:rPr>
          <w:rStyle w:val="FootnoteReference"/>
        </w:rPr>
        <w:footnoteRef/>
      </w:r>
      <w:r>
        <w:rPr>
          <w:rtl/>
        </w:rPr>
        <w:t xml:space="preserve"> </w:t>
      </w:r>
      <w:r w:rsidRPr="0073710E">
        <w:t>Lisman</w:t>
      </w:r>
    </w:p>
  </w:footnote>
  <w:footnote w:id="473">
    <w:p w14:paraId="3DAF518B" w14:textId="77777777" w:rsidR="00B47FF5" w:rsidRDefault="00B47FF5" w:rsidP="0020732A">
      <w:pPr>
        <w:pStyle w:val="FootnoteText"/>
      </w:pPr>
      <w:r>
        <w:rPr>
          <w:rStyle w:val="FootnoteReference"/>
        </w:rPr>
        <w:footnoteRef/>
      </w:r>
      <w:r>
        <w:rPr>
          <w:rtl/>
        </w:rPr>
        <w:t xml:space="preserve"> </w:t>
      </w:r>
      <w:r w:rsidRPr="00A77C92">
        <w:t>Recognition by Top-Down and Bo</w:t>
      </w:r>
      <w:r>
        <w:t xml:space="preserve">ttom-up </w:t>
      </w:r>
      <w:r w:rsidRPr="00A77C92">
        <w:t>Processing in Cortex: The Control of Selective A</w:t>
      </w:r>
      <w:r>
        <w:t>ttention</w:t>
      </w:r>
    </w:p>
  </w:footnote>
  <w:footnote w:id="474">
    <w:p w14:paraId="09D81425" w14:textId="77777777" w:rsidR="00B47FF5" w:rsidRDefault="00B47FF5" w:rsidP="0020732A">
      <w:pPr>
        <w:pStyle w:val="FootnoteText"/>
      </w:pPr>
      <w:r>
        <w:rPr>
          <w:rStyle w:val="FootnoteReference"/>
        </w:rPr>
        <w:footnoteRef/>
      </w:r>
      <w:r>
        <w:rPr>
          <w:rtl/>
        </w:rPr>
        <w:t xml:space="preserve"> </w:t>
      </w:r>
      <w:r w:rsidRPr="0073710E">
        <w:t>Lisa Barret</w:t>
      </w:r>
    </w:p>
  </w:footnote>
  <w:footnote w:id="475">
    <w:p w14:paraId="41899054" w14:textId="77777777" w:rsidR="00B47FF5" w:rsidRDefault="00B47FF5" w:rsidP="0020732A">
      <w:pPr>
        <w:pStyle w:val="FootnoteText"/>
      </w:pPr>
      <w:r>
        <w:rPr>
          <w:rStyle w:val="FootnoteReference"/>
        </w:rPr>
        <w:footnoteRef/>
      </w:r>
      <w:r>
        <w:rPr>
          <w:rtl/>
        </w:rPr>
        <w:t xml:space="preserve"> </w:t>
      </w:r>
      <w:r>
        <w:t>emerging Predictive Processing framework of mind</w:t>
      </w:r>
    </w:p>
  </w:footnote>
  <w:footnote w:id="476">
    <w:p w14:paraId="5572CBE5" w14:textId="77777777" w:rsidR="00B47FF5" w:rsidRDefault="00B47FF5" w:rsidP="0020732A">
      <w:pPr>
        <w:pStyle w:val="FootnoteText"/>
      </w:pPr>
      <w:r>
        <w:rPr>
          <w:rStyle w:val="FootnoteReference"/>
        </w:rPr>
        <w:footnoteRef/>
      </w:r>
      <w:r>
        <w:rPr>
          <w:rtl/>
        </w:rPr>
        <w:t xml:space="preserve"> </w:t>
      </w:r>
      <w:r w:rsidRPr="001A7B01">
        <w:t>Seven and Half Lessons About the Brain</w:t>
      </w:r>
    </w:p>
  </w:footnote>
  <w:footnote w:id="477">
    <w:p w14:paraId="3004E0D1" w14:textId="77777777" w:rsidR="00B47FF5" w:rsidRDefault="00B47FF5" w:rsidP="0020732A">
      <w:pPr>
        <w:pStyle w:val="FootnoteText"/>
      </w:pPr>
      <w:r>
        <w:rPr>
          <w:rStyle w:val="FootnoteReference"/>
        </w:rPr>
        <w:footnoteRef/>
      </w:r>
      <w:r>
        <w:rPr>
          <w:rtl/>
        </w:rPr>
        <w:t xml:space="preserve"> </w:t>
      </w:r>
      <w:r w:rsidRPr="001A7B01">
        <w:t>How Emotions Are Made</w:t>
      </w:r>
    </w:p>
  </w:footnote>
  <w:footnote w:id="478">
    <w:p w14:paraId="4631767C" w14:textId="77777777" w:rsidR="00B47FF5" w:rsidRDefault="00B47FF5" w:rsidP="0020732A">
      <w:pPr>
        <w:pStyle w:val="FootnoteText"/>
      </w:pPr>
      <w:r>
        <w:rPr>
          <w:rStyle w:val="FootnoteReference"/>
        </w:rPr>
        <w:footnoteRef/>
      </w:r>
      <w:r>
        <w:rPr>
          <w:rtl/>
        </w:rPr>
        <w:t xml:space="preserve"> </w:t>
      </w:r>
      <w:r w:rsidRPr="001A7B01">
        <w:t>The Power of Predictions</w:t>
      </w:r>
    </w:p>
  </w:footnote>
  <w:footnote w:id="479">
    <w:p w14:paraId="729B549A" w14:textId="77777777" w:rsidR="00B47FF5" w:rsidRDefault="00B47FF5" w:rsidP="0020732A">
      <w:pPr>
        <w:pStyle w:val="FootnoteText"/>
      </w:pPr>
      <w:r>
        <w:rPr>
          <w:rStyle w:val="FootnoteReference"/>
        </w:rPr>
        <w:footnoteRef/>
      </w:r>
      <w:r>
        <w:rPr>
          <w:rtl/>
        </w:rPr>
        <w:t xml:space="preserve"> </w:t>
      </w:r>
      <w:r w:rsidRPr="0073710E">
        <w:t>Hutchinson and Barre</w:t>
      </w:r>
    </w:p>
  </w:footnote>
  <w:footnote w:id="480">
    <w:p w14:paraId="4C0984D1" w14:textId="77777777" w:rsidR="00B47FF5" w:rsidRDefault="00B47FF5" w:rsidP="0020732A">
      <w:pPr>
        <w:pStyle w:val="FootnoteText"/>
      </w:pPr>
      <w:r>
        <w:rPr>
          <w:rStyle w:val="FootnoteReference"/>
        </w:rPr>
        <w:footnoteRef/>
      </w:r>
      <w:r>
        <w:rPr>
          <w:rtl/>
        </w:rPr>
        <w:t xml:space="preserve"> </w:t>
      </w:r>
      <w:r w:rsidRPr="001A7B01">
        <w:t>Current Directions in Psychological Science</w:t>
      </w:r>
    </w:p>
  </w:footnote>
  <w:footnote w:id="481">
    <w:p w14:paraId="24391CEB" w14:textId="28D349DB" w:rsidR="00B47FF5" w:rsidRDefault="00B47FF5" w:rsidP="00DC45B9">
      <w:pPr>
        <w:pStyle w:val="FootnoteText"/>
      </w:pPr>
      <w:r>
        <w:rPr>
          <w:rStyle w:val="FootnoteReference"/>
        </w:rPr>
        <w:footnoteRef/>
      </w:r>
      <w:r>
        <w:rPr>
          <w:rtl/>
        </w:rPr>
        <w:t xml:space="preserve"> </w:t>
      </w:r>
      <w:r>
        <w:t>Surprise</w:t>
      </w:r>
    </w:p>
  </w:footnote>
  <w:footnote w:id="482">
    <w:p w14:paraId="3E1738CA" w14:textId="77777777" w:rsidR="00B47FF5" w:rsidRDefault="00B47FF5" w:rsidP="0020732A">
      <w:pPr>
        <w:pStyle w:val="FootnoteText"/>
      </w:pPr>
      <w:r>
        <w:rPr>
          <w:rStyle w:val="FootnoteReference"/>
        </w:rPr>
        <w:footnoteRef/>
      </w:r>
      <w:r>
        <w:rPr>
          <w:rtl/>
        </w:rPr>
        <w:t xml:space="preserve"> </w:t>
      </w:r>
      <w:r>
        <w:t>Computational neuroscientists</w:t>
      </w:r>
    </w:p>
  </w:footnote>
  <w:footnote w:id="483">
    <w:p w14:paraId="1BEA79EC" w14:textId="77777777" w:rsidR="00B47FF5" w:rsidRDefault="00B47FF5" w:rsidP="0020732A">
      <w:pPr>
        <w:pStyle w:val="FootnoteText"/>
      </w:pPr>
      <w:r>
        <w:rPr>
          <w:rStyle w:val="FootnoteReference"/>
        </w:rPr>
        <w:footnoteRef/>
      </w:r>
      <w:r>
        <w:rPr>
          <w:rtl/>
        </w:rPr>
        <w:t xml:space="preserve"> </w:t>
      </w:r>
      <w:r w:rsidRPr="0073710E">
        <w:t>Rajesh Rao</w:t>
      </w:r>
    </w:p>
  </w:footnote>
  <w:footnote w:id="484">
    <w:p w14:paraId="0D5412BA" w14:textId="40BC8ECF" w:rsidR="00B47FF5" w:rsidRDefault="00B47FF5" w:rsidP="00DC45B9">
      <w:pPr>
        <w:pStyle w:val="FootnoteText"/>
      </w:pPr>
      <w:r>
        <w:rPr>
          <w:rStyle w:val="FootnoteReference"/>
        </w:rPr>
        <w:footnoteRef/>
      </w:r>
      <w:r>
        <w:rPr>
          <w:rtl/>
        </w:rPr>
        <w:t xml:space="preserve"> </w:t>
      </w:r>
      <w:r>
        <w:t>A</w:t>
      </w:r>
      <w:r w:rsidRPr="001F0DB1">
        <w:t>rtificial neural networks</w:t>
      </w:r>
    </w:p>
  </w:footnote>
  <w:footnote w:id="485">
    <w:p w14:paraId="6D5F21B0" w14:textId="77777777" w:rsidR="00B47FF5" w:rsidRDefault="00B47FF5" w:rsidP="0020732A">
      <w:pPr>
        <w:pStyle w:val="FootnoteText"/>
      </w:pPr>
      <w:r>
        <w:rPr>
          <w:rStyle w:val="FootnoteReference"/>
        </w:rPr>
        <w:footnoteRef/>
      </w:r>
      <w:r>
        <w:rPr>
          <w:rtl/>
        </w:rPr>
        <w:t xml:space="preserve"> </w:t>
      </w:r>
      <w:r w:rsidRPr="0073710E">
        <w:t>John Von Neumann</w:t>
      </w:r>
    </w:p>
  </w:footnote>
  <w:footnote w:id="486">
    <w:p w14:paraId="759C5F03" w14:textId="77BD7504" w:rsidR="00B47FF5" w:rsidRDefault="00B47FF5" w:rsidP="0020732A">
      <w:pPr>
        <w:pStyle w:val="FootnoteText"/>
      </w:pPr>
      <w:r>
        <w:rPr>
          <w:rStyle w:val="FootnoteReference"/>
        </w:rPr>
        <w:footnoteRef/>
      </w:r>
      <w:r>
        <w:rPr>
          <w:rtl/>
        </w:rPr>
        <w:t xml:space="preserve"> </w:t>
      </w:r>
      <w:r>
        <w:t>Design for a brain</w:t>
      </w:r>
    </w:p>
  </w:footnote>
  <w:footnote w:id="487">
    <w:p w14:paraId="0AF5DC85" w14:textId="2355C08A" w:rsidR="00B47FF5" w:rsidRDefault="00B47FF5" w:rsidP="0020732A">
      <w:pPr>
        <w:pStyle w:val="FootnoteText"/>
      </w:pPr>
      <w:r>
        <w:rPr>
          <w:rStyle w:val="FootnoteReference"/>
        </w:rPr>
        <w:footnoteRef/>
      </w:r>
      <w:r>
        <w:rPr>
          <w:rtl/>
        </w:rPr>
        <w:t xml:space="preserve"> </w:t>
      </w:r>
      <w:r>
        <w:t>Natural intelligence</w:t>
      </w:r>
    </w:p>
  </w:footnote>
  <w:footnote w:id="488">
    <w:p w14:paraId="1519997C" w14:textId="3AF72A3A" w:rsidR="00B47FF5" w:rsidRDefault="00B47FF5" w:rsidP="0020732A">
      <w:pPr>
        <w:pStyle w:val="FootnoteText"/>
      </w:pPr>
      <w:r>
        <w:rPr>
          <w:rStyle w:val="FootnoteReference"/>
        </w:rPr>
        <w:footnoteRef/>
      </w:r>
      <w:r>
        <w:rPr>
          <w:rtl/>
        </w:rPr>
        <w:t xml:space="preserve"> </w:t>
      </w:r>
      <w:r>
        <w:t>Artificial general intelligence</w:t>
      </w:r>
    </w:p>
  </w:footnote>
  <w:footnote w:id="489">
    <w:p w14:paraId="1221E23F" w14:textId="4179ADD7" w:rsidR="00B47FF5" w:rsidRDefault="00B47FF5" w:rsidP="0020732A">
      <w:pPr>
        <w:pStyle w:val="FootnoteText"/>
      </w:pPr>
      <w:r>
        <w:rPr>
          <w:rStyle w:val="FootnoteReference"/>
        </w:rPr>
        <w:footnoteRef/>
      </w:r>
      <w:r>
        <w:rPr>
          <w:rtl/>
        </w:rPr>
        <w:t xml:space="preserve"> </w:t>
      </w:r>
      <w:r w:rsidRPr="00D757F7">
        <w:t>Executive function</w:t>
      </w:r>
    </w:p>
  </w:footnote>
  <w:footnote w:id="490">
    <w:p w14:paraId="38F14734" w14:textId="77777777" w:rsidR="00B47FF5" w:rsidRDefault="00B47FF5" w:rsidP="0020732A">
      <w:pPr>
        <w:pStyle w:val="FootnoteText"/>
      </w:pPr>
      <w:r>
        <w:rPr>
          <w:rStyle w:val="FootnoteReference"/>
        </w:rPr>
        <w:footnoteRef/>
      </w:r>
      <w:r>
        <w:rPr>
          <w:rtl/>
        </w:rPr>
        <w:t xml:space="preserve"> </w:t>
      </w:r>
      <w:r w:rsidRPr="0073710E">
        <w:t>Suddendorf</w:t>
      </w:r>
    </w:p>
  </w:footnote>
  <w:footnote w:id="491">
    <w:p w14:paraId="1B457833" w14:textId="77777777" w:rsidR="00B47FF5" w:rsidRDefault="00B47FF5" w:rsidP="0020732A">
      <w:pPr>
        <w:pStyle w:val="FootnoteText"/>
      </w:pPr>
      <w:r>
        <w:rPr>
          <w:rStyle w:val="FootnoteReference"/>
        </w:rPr>
        <w:footnoteRef/>
      </w:r>
      <w:r>
        <w:rPr>
          <w:rtl/>
        </w:rPr>
        <w:t xml:space="preserve"> </w:t>
      </w:r>
      <w:r w:rsidRPr="0073710E">
        <w:t>Corballis</w:t>
      </w:r>
    </w:p>
  </w:footnote>
  <w:footnote w:id="492">
    <w:p w14:paraId="5320FBFE" w14:textId="77777777" w:rsidR="00B47FF5" w:rsidRDefault="00B47FF5" w:rsidP="0020732A">
      <w:pPr>
        <w:pStyle w:val="FootnoteText"/>
      </w:pPr>
      <w:r>
        <w:rPr>
          <w:rStyle w:val="FootnoteReference"/>
        </w:rPr>
        <w:footnoteRef/>
      </w:r>
      <w:r>
        <w:rPr>
          <w:rtl/>
        </w:rPr>
        <w:t xml:space="preserve"> </w:t>
      </w:r>
      <w:r w:rsidRPr="00D757F7">
        <w:t>The Evolution of Foresight</w:t>
      </w:r>
    </w:p>
  </w:footnote>
  <w:footnote w:id="493">
    <w:p w14:paraId="33701358" w14:textId="7CFEA492" w:rsidR="00B47FF5" w:rsidRDefault="00B47FF5" w:rsidP="0020732A">
      <w:pPr>
        <w:pStyle w:val="FootnoteText"/>
      </w:pPr>
      <w:r>
        <w:rPr>
          <w:rStyle w:val="FootnoteReference"/>
        </w:rPr>
        <w:footnoteRef/>
      </w:r>
      <w:r>
        <w:rPr>
          <w:rtl/>
        </w:rPr>
        <w:t xml:space="preserve"> </w:t>
      </w:r>
      <w:r w:rsidRPr="00D757F7">
        <w:t>Frontal lobe</w:t>
      </w:r>
    </w:p>
  </w:footnote>
  <w:footnote w:id="494">
    <w:p w14:paraId="6DA2E92A" w14:textId="244FD015" w:rsidR="00B47FF5" w:rsidRDefault="00B47FF5" w:rsidP="0020732A">
      <w:pPr>
        <w:pStyle w:val="FootnoteText"/>
      </w:pPr>
      <w:r>
        <w:rPr>
          <w:rStyle w:val="FootnoteReference"/>
        </w:rPr>
        <w:footnoteRef/>
      </w:r>
      <w:r>
        <w:rPr>
          <w:rtl/>
        </w:rPr>
        <w:t xml:space="preserve"> </w:t>
      </w:r>
      <w:r>
        <w:t>Mental time travel</w:t>
      </w:r>
    </w:p>
  </w:footnote>
  <w:footnote w:id="495">
    <w:p w14:paraId="1DD7D411" w14:textId="77777777" w:rsidR="00B47FF5" w:rsidRDefault="00B47FF5" w:rsidP="0020732A">
      <w:pPr>
        <w:pStyle w:val="FootnoteText"/>
      </w:pPr>
      <w:r>
        <w:rPr>
          <w:rStyle w:val="FootnoteReference"/>
        </w:rPr>
        <w:footnoteRef/>
      </w:r>
      <w:r>
        <w:rPr>
          <w:rtl/>
        </w:rPr>
        <w:t xml:space="preserve"> </w:t>
      </w:r>
      <w:r w:rsidRPr="00D757F7">
        <w:t>The Recursive Mind</w:t>
      </w:r>
    </w:p>
  </w:footnote>
  <w:footnote w:id="496">
    <w:p w14:paraId="7BEF418D" w14:textId="77777777" w:rsidR="00B47FF5" w:rsidRDefault="00B47FF5" w:rsidP="0020732A">
      <w:pPr>
        <w:pStyle w:val="FootnoteText"/>
      </w:pPr>
      <w:r>
        <w:rPr>
          <w:rStyle w:val="FootnoteReference"/>
        </w:rPr>
        <w:footnoteRef/>
      </w:r>
      <w:r>
        <w:rPr>
          <w:rtl/>
        </w:rPr>
        <w:t xml:space="preserve"> </w:t>
      </w:r>
      <w:r w:rsidRPr="0073710E">
        <w:t>Michael Gazzaniga</w:t>
      </w:r>
    </w:p>
  </w:footnote>
  <w:footnote w:id="497">
    <w:p w14:paraId="24B2B2F7" w14:textId="6A7C5462" w:rsidR="00B47FF5" w:rsidRDefault="00B47FF5" w:rsidP="0020732A">
      <w:pPr>
        <w:pStyle w:val="FootnoteText"/>
      </w:pPr>
      <w:r>
        <w:rPr>
          <w:rStyle w:val="FootnoteReference"/>
        </w:rPr>
        <w:footnoteRef/>
      </w:r>
      <w:r>
        <w:rPr>
          <w:rtl/>
        </w:rPr>
        <w:t xml:space="preserve"> </w:t>
      </w:r>
      <w:r>
        <w:t>Executive foresight</w:t>
      </w:r>
    </w:p>
  </w:footnote>
  <w:footnote w:id="498">
    <w:p w14:paraId="76886134" w14:textId="77777777" w:rsidR="00B47FF5" w:rsidRDefault="00B47FF5" w:rsidP="0020732A">
      <w:pPr>
        <w:pStyle w:val="FootnoteText"/>
      </w:pPr>
      <w:r>
        <w:rPr>
          <w:rStyle w:val="FootnoteReference"/>
        </w:rPr>
        <w:footnoteRef/>
      </w:r>
      <w:r>
        <w:rPr>
          <w:rtl/>
        </w:rPr>
        <w:t xml:space="preserve"> </w:t>
      </w:r>
      <w:r w:rsidRPr="0073710E">
        <w:t>Matt Cobb</w:t>
      </w:r>
    </w:p>
  </w:footnote>
  <w:footnote w:id="499">
    <w:p w14:paraId="6905FFEC" w14:textId="77777777" w:rsidR="00B47FF5" w:rsidRDefault="00B47FF5" w:rsidP="0020732A">
      <w:pPr>
        <w:pStyle w:val="FootnoteText"/>
      </w:pPr>
      <w:r>
        <w:rPr>
          <w:rStyle w:val="FootnoteReference"/>
        </w:rPr>
        <w:footnoteRef/>
      </w:r>
      <w:r>
        <w:rPr>
          <w:rtl/>
        </w:rPr>
        <w:t xml:space="preserve"> </w:t>
      </w:r>
      <w:r w:rsidRPr="00354314">
        <w:t>The Idea of the Brain: The Past and Future of Neuroscience</w:t>
      </w:r>
    </w:p>
  </w:footnote>
  <w:footnote w:id="500">
    <w:p w14:paraId="263800A4" w14:textId="77777777" w:rsidR="00B47FF5" w:rsidRDefault="00B47FF5" w:rsidP="0020732A">
      <w:pPr>
        <w:pStyle w:val="FootnoteText"/>
      </w:pPr>
      <w:r>
        <w:rPr>
          <w:rStyle w:val="FootnoteReference"/>
        </w:rPr>
        <w:footnoteRef/>
      </w:r>
      <w:r>
        <w:rPr>
          <w:rtl/>
        </w:rPr>
        <w:t xml:space="preserve"> </w:t>
      </w:r>
      <w:r w:rsidRPr="00354314">
        <w:t>Emotion-Cognition-Action</w:t>
      </w:r>
    </w:p>
  </w:footnote>
  <w:footnote w:id="501">
    <w:p w14:paraId="4D7D4960" w14:textId="77777777" w:rsidR="00B47FF5" w:rsidRDefault="00B47FF5" w:rsidP="0020732A">
      <w:pPr>
        <w:pStyle w:val="FootnoteText"/>
      </w:pPr>
      <w:r>
        <w:rPr>
          <w:rStyle w:val="FootnoteReference"/>
        </w:rPr>
        <w:footnoteRef/>
      </w:r>
      <w:r>
        <w:rPr>
          <w:rtl/>
        </w:rPr>
        <w:t xml:space="preserve"> </w:t>
      </w:r>
      <w:r>
        <w:t>Pop psychologists</w:t>
      </w:r>
    </w:p>
  </w:footnote>
  <w:footnote w:id="502">
    <w:p w14:paraId="5A74D1BF" w14:textId="1DB1873B" w:rsidR="00B47FF5" w:rsidRDefault="00B47FF5" w:rsidP="0020732A">
      <w:pPr>
        <w:pStyle w:val="FootnoteText"/>
      </w:pPr>
      <w:r>
        <w:rPr>
          <w:rStyle w:val="FootnoteReference"/>
        </w:rPr>
        <w:footnoteRef/>
      </w:r>
      <w:r>
        <w:rPr>
          <w:rtl/>
        </w:rPr>
        <w:t xml:space="preserve"> </w:t>
      </w:r>
      <w:r>
        <w:t>Right brain</w:t>
      </w:r>
    </w:p>
  </w:footnote>
  <w:footnote w:id="503">
    <w:p w14:paraId="4E9F7F7A" w14:textId="422793CE" w:rsidR="00B47FF5" w:rsidRDefault="00B47FF5" w:rsidP="0020732A">
      <w:pPr>
        <w:pStyle w:val="FootnoteText"/>
      </w:pPr>
      <w:r>
        <w:rPr>
          <w:rStyle w:val="FootnoteReference"/>
        </w:rPr>
        <w:footnoteRef/>
      </w:r>
      <w:r>
        <w:rPr>
          <w:rtl/>
        </w:rPr>
        <w:t xml:space="preserve"> </w:t>
      </w:r>
      <w:r>
        <w:t>Left brain</w:t>
      </w:r>
    </w:p>
  </w:footnote>
  <w:footnote w:id="504">
    <w:p w14:paraId="57EA4528" w14:textId="4A1AC23D" w:rsidR="00B47FF5" w:rsidRPr="00354314" w:rsidRDefault="00B47FF5" w:rsidP="0020732A">
      <w:pPr>
        <w:pStyle w:val="FootnoteText"/>
      </w:pPr>
      <w:r>
        <w:rPr>
          <w:rStyle w:val="FootnoteReference"/>
        </w:rPr>
        <w:footnoteRef/>
      </w:r>
      <w:r>
        <w:rPr>
          <w:rtl/>
        </w:rPr>
        <w:t xml:space="preserve"> </w:t>
      </w:r>
      <w:r w:rsidRPr="00354314">
        <w:t>Lateralization</w:t>
      </w:r>
    </w:p>
  </w:footnote>
  <w:footnote w:id="505">
    <w:p w14:paraId="516C0791" w14:textId="64EEBEAD" w:rsidR="00B47FF5" w:rsidRDefault="00B47FF5" w:rsidP="0020732A">
      <w:pPr>
        <w:pStyle w:val="FootnoteText"/>
      </w:pPr>
      <w:r>
        <w:rPr>
          <w:rStyle w:val="FootnoteReference"/>
        </w:rPr>
        <w:footnoteRef/>
      </w:r>
      <w:r>
        <w:rPr>
          <w:rtl/>
        </w:rPr>
        <w:t xml:space="preserve"> </w:t>
      </w:r>
      <w:r>
        <w:t>Main theme</w:t>
      </w:r>
    </w:p>
  </w:footnote>
  <w:footnote w:id="506">
    <w:p w14:paraId="386B1F11" w14:textId="024B14B6" w:rsidR="00B47FF5" w:rsidRDefault="00B47FF5" w:rsidP="0020732A">
      <w:pPr>
        <w:pStyle w:val="FootnoteText"/>
      </w:pPr>
      <w:r>
        <w:rPr>
          <w:rStyle w:val="FootnoteReference"/>
        </w:rPr>
        <w:footnoteRef/>
      </w:r>
      <w:r>
        <w:rPr>
          <w:rtl/>
        </w:rPr>
        <w:t xml:space="preserve"> </w:t>
      </w:r>
      <w:r w:rsidRPr="00FB7B8C">
        <w:t>Lateralization of consciousness</w:t>
      </w:r>
    </w:p>
  </w:footnote>
  <w:footnote w:id="507">
    <w:p w14:paraId="00939D68" w14:textId="0CBD9443" w:rsidR="00B47FF5" w:rsidRDefault="00B47FF5" w:rsidP="0020732A">
      <w:pPr>
        <w:pStyle w:val="FootnoteText"/>
      </w:pPr>
      <w:r>
        <w:rPr>
          <w:rStyle w:val="FootnoteReference"/>
        </w:rPr>
        <w:footnoteRef/>
      </w:r>
      <w:r>
        <w:rPr>
          <w:rtl/>
        </w:rPr>
        <w:t xml:space="preserve"> </w:t>
      </w:r>
      <w:r>
        <w:t>Parietal lobe</w:t>
      </w:r>
    </w:p>
  </w:footnote>
  <w:footnote w:id="508">
    <w:p w14:paraId="3A0A442C" w14:textId="77777777" w:rsidR="00B47FF5" w:rsidRDefault="00B47FF5" w:rsidP="0020732A">
      <w:pPr>
        <w:pStyle w:val="FootnoteText"/>
      </w:pPr>
      <w:r>
        <w:rPr>
          <w:rStyle w:val="FootnoteReference"/>
        </w:rPr>
        <w:footnoteRef/>
      </w:r>
      <w:r>
        <w:rPr>
          <w:rtl/>
        </w:rPr>
        <w:t xml:space="preserve"> </w:t>
      </w:r>
      <w:r w:rsidRPr="00FB7B8C">
        <w:t>Solomon’s Paradox</w:t>
      </w:r>
    </w:p>
  </w:footnote>
  <w:footnote w:id="509">
    <w:p w14:paraId="36E617F7" w14:textId="34B12B13" w:rsidR="00B47FF5" w:rsidRDefault="00B47FF5" w:rsidP="0020732A">
      <w:pPr>
        <w:pStyle w:val="FootnoteText"/>
      </w:pPr>
      <w:r>
        <w:rPr>
          <w:rStyle w:val="FootnoteReference"/>
        </w:rPr>
        <w:footnoteRef/>
      </w:r>
      <w:r>
        <w:rPr>
          <w:rtl/>
        </w:rPr>
        <w:t xml:space="preserve"> </w:t>
      </w:r>
      <w:r>
        <w:t>Mood</w:t>
      </w:r>
    </w:p>
  </w:footnote>
  <w:footnote w:id="510">
    <w:p w14:paraId="343224B7" w14:textId="0359AC43" w:rsidR="00B47FF5" w:rsidRDefault="00B47FF5" w:rsidP="0020732A">
      <w:pPr>
        <w:pStyle w:val="FootnoteText"/>
      </w:pPr>
      <w:r>
        <w:rPr>
          <w:rStyle w:val="FootnoteReference"/>
        </w:rPr>
        <w:footnoteRef/>
      </w:r>
      <w:r>
        <w:rPr>
          <w:rtl/>
        </w:rPr>
        <w:t xml:space="preserve"> </w:t>
      </w:r>
      <w:r>
        <w:t>Analytical intelligence</w:t>
      </w:r>
    </w:p>
  </w:footnote>
  <w:footnote w:id="511">
    <w:p w14:paraId="02B74CFC" w14:textId="77777777" w:rsidR="00B47FF5" w:rsidRDefault="00B47FF5" w:rsidP="0020732A">
      <w:pPr>
        <w:pStyle w:val="FootnoteText"/>
      </w:pPr>
      <w:r>
        <w:rPr>
          <w:rStyle w:val="FootnoteReference"/>
        </w:rPr>
        <w:footnoteRef/>
      </w:r>
      <w:r>
        <w:rPr>
          <w:rtl/>
        </w:rPr>
        <w:t xml:space="preserve"> </w:t>
      </w:r>
      <w:r w:rsidRPr="007C3C2C">
        <w:t>Rationality</w:t>
      </w:r>
    </w:p>
  </w:footnote>
  <w:footnote w:id="512">
    <w:p w14:paraId="4D11247B" w14:textId="77777777" w:rsidR="00B47FF5" w:rsidRDefault="00B47FF5" w:rsidP="0020732A">
      <w:pPr>
        <w:pStyle w:val="FootnoteText"/>
      </w:pPr>
      <w:r>
        <w:rPr>
          <w:rStyle w:val="FootnoteReference"/>
        </w:rPr>
        <w:footnoteRef/>
      </w:r>
      <w:r>
        <w:rPr>
          <w:rtl/>
        </w:rPr>
        <w:t xml:space="preserve"> </w:t>
      </w:r>
      <w:r w:rsidRPr="0073710E">
        <w:t>Steven Pinker</w:t>
      </w:r>
    </w:p>
  </w:footnote>
  <w:footnote w:id="513">
    <w:p w14:paraId="25B160B9" w14:textId="77777777" w:rsidR="00B47FF5" w:rsidRDefault="00B47FF5" w:rsidP="0020732A">
      <w:pPr>
        <w:pStyle w:val="FootnoteText"/>
      </w:pPr>
      <w:r>
        <w:rPr>
          <w:rStyle w:val="FootnoteReference"/>
        </w:rPr>
        <w:footnoteRef/>
      </w:r>
      <w:r>
        <w:rPr>
          <w:rtl/>
        </w:rPr>
        <w:t xml:space="preserve"> </w:t>
      </w:r>
      <w:r w:rsidRPr="0073710E">
        <w:t>Albert Ellis</w:t>
      </w:r>
    </w:p>
  </w:footnote>
  <w:footnote w:id="514">
    <w:p w14:paraId="20D8621D" w14:textId="62215096" w:rsidR="00B47FF5" w:rsidRDefault="00B47FF5" w:rsidP="0020732A">
      <w:pPr>
        <w:pStyle w:val="FootnoteText"/>
      </w:pPr>
      <w:r>
        <w:rPr>
          <w:rStyle w:val="FootnoteReference"/>
        </w:rPr>
        <w:footnoteRef/>
      </w:r>
      <w:r>
        <w:rPr>
          <w:rtl/>
        </w:rPr>
        <w:t xml:space="preserve"> </w:t>
      </w:r>
      <w:r w:rsidRPr="006709BB">
        <w:t>Rational-Emotive</w:t>
      </w:r>
      <w:r>
        <w:t xml:space="preserve"> </w:t>
      </w:r>
      <w:r w:rsidRPr="006709BB">
        <w:t>Behavior Therapy</w:t>
      </w:r>
    </w:p>
  </w:footnote>
  <w:footnote w:id="515">
    <w:p w14:paraId="2838C243" w14:textId="77777777" w:rsidR="00B47FF5" w:rsidRDefault="00B47FF5" w:rsidP="0020732A">
      <w:pPr>
        <w:pStyle w:val="FootnoteText"/>
      </w:pPr>
      <w:r>
        <w:rPr>
          <w:rStyle w:val="FootnoteReference"/>
        </w:rPr>
        <w:footnoteRef/>
      </w:r>
      <w:r>
        <w:rPr>
          <w:rtl/>
        </w:rPr>
        <w:t xml:space="preserve"> </w:t>
      </w:r>
      <w:r w:rsidRPr="005137ED">
        <w:t>Ellis</w:t>
      </w:r>
    </w:p>
  </w:footnote>
  <w:footnote w:id="516">
    <w:p w14:paraId="24814202" w14:textId="77777777" w:rsidR="00B47FF5" w:rsidRDefault="00B47FF5" w:rsidP="0020732A">
      <w:pPr>
        <w:pStyle w:val="FootnoteText"/>
      </w:pPr>
      <w:r>
        <w:rPr>
          <w:rStyle w:val="FootnoteReference"/>
        </w:rPr>
        <w:footnoteRef/>
      </w:r>
      <w:r>
        <w:rPr>
          <w:rtl/>
        </w:rPr>
        <w:t xml:space="preserve"> </w:t>
      </w:r>
      <w:r w:rsidRPr="002D5EF1">
        <w:t>The Myth of Self-Esteem</w:t>
      </w:r>
    </w:p>
  </w:footnote>
  <w:footnote w:id="517">
    <w:p w14:paraId="0DCE0D03" w14:textId="77777777" w:rsidR="00B47FF5" w:rsidRDefault="00B47FF5" w:rsidP="0020732A">
      <w:pPr>
        <w:pStyle w:val="FootnoteText"/>
      </w:pPr>
      <w:r>
        <w:rPr>
          <w:rStyle w:val="FootnoteReference"/>
        </w:rPr>
        <w:footnoteRef/>
      </w:r>
      <w:r>
        <w:rPr>
          <w:rtl/>
        </w:rPr>
        <w:t xml:space="preserve"> </w:t>
      </w:r>
      <w:r>
        <w:t xml:space="preserve">Overcoming </w:t>
      </w:r>
      <w:r w:rsidRPr="00296594">
        <w:t>Destructive Beliefs, Feelings, and Behaviors</w:t>
      </w:r>
    </w:p>
  </w:footnote>
  <w:footnote w:id="518">
    <w:p w14:paraId="34D5EE1A" w14:textId="7C457411" w:rsidR="00B47FF5" w:rsidRDefault="00B47FF5" w:rsidP="0020732A">
      <w:pPr>
        <w:pStyle w:val="FootnoteText"/>
      </w:pPr>
      <w:r>
        <w:rPr>
          <w:rStyle w:val="FootnoteReference"/>
        </w:rPr>
        <w:footnoteRef/>
      </w:r>
      <w:r>
        <w:rPr>
          <w:rtl/>
        </w:rPr>
        <w:t xml:space="preserve"> </w:t>
      </w:r>
      <w:r>
        <w:t>Self-growth</w:t>
      </w:r>
    </w:p>
  </w:footnote>
  <w:footnote w:id="519">
    <w:p w14:paraId="0E1C3643" w14:textId="77777777" w:rsidR="00B47FF5" w:rsidRDefault="00B47FF5" w:rsidP="0020732A">
      <w:pPr>
        <w:pStyle w:val="FootnoteText"/>
      </w:pPr>
      <w:r>
        <w:rPr>
          <w:rStyle w:val="FootnoteReference"/>
        </w:rPr>
        <w:footnoteRef/>
      </w:r>
      <w:r>
        <w:rPr>
          <w:rtl/>
        </w:rPr>
        <w:t xml:space="preserve"> </w:t>
      </w:r>
      <w:r w:rsidRPr="0073710E">
        <w:t>Jane McGonigal</w:t>
      </w:r>
    </w:p>
  </w:footnote>
  <w:footnote w:id="520">
    <w:p w14:paraId="6B5A6182" w14:textId="0F82B926" w:rsidR="00B47FF5" w:rsidRDefault="00B47FF5" w:rsidP="0020732A">
      <w:pPr>
        <w:pStyle w:val="FootnoteText"/>
      </w:pPr>
      <w:r>
        <w:rPr>
          <w:rStyle w:val="FootnoteReference"/>
        </w:rPr>
        <w:footnoteRef/>
      </w:r>
      <w:r>
        <w:t xml:space="preserve"> Our</w:t>
      </w:r>
      <w:r>
        <w:rPr>
          <w:rtl/>
        </w:rPr>
        <w:t xml:space="preserve"> </w:t>
      </w:r>
      <w:r w:rsidRPr="00A55072">
        <w:t>Brains Are Terrible at Thinking About the Future</w:t>
      </w:r>
    </w:p>
  </w:footnote>
  <w:footnote w:id="521">
    <w:p w14:paraId="055BA8C6" w14:textId="63360B3D" w:rsidR="00B47FF5" w:rsidRDefault="00B47FF5" w:rsidP="0020732A">
      <w:pPr>
        <w:pStyle w:val="FootnoteText"/>
      </w:pPr>
      <w:r>
        <w:rPr>
          <w:rStyle w:val="FootnoteReference"/>
        </w:rPr>
        <w:footnoteRef/>
      </w:r>
      <w:r>
        <w:rPr>
          <w:rtl/>
        </w:rPr>
        <w:t xml:space="preserve"> </w:t>
      </w:r>
      <w:r>
        <w:t>Prefrontal cortex</w:t>
      </w:r>
    </w:p>
  </w:footnote>
  <w:footnote w:id="522">
    <w:p w14:paraId="286660D0" w14:textId="77777777" w:rsidR="00B47FF5" w:rsidRDefault="00B47FF5" w:rsidP="0020732A">
      <w:pPr>
        <w:pStyle w:val="FootnoteText"/>
      </w:pPr>
      <w:r>
        <w:rPr>
          <w:rStyle w:val="FootnoteReference"/>
        </w:rPr>
        <w:footnoteRef/>
      </w:r>
      <w:r>
        <w:rPr>
          <w:rtl/>
        </w:rPr>
        <w:t xml:space="preserve"> </w:t>
      </w:r>
      <w:r w:rsidRPr="0073710E">
        <w:t>Fred Polak</w:t>
      </w:r>
    </w:p>
  </w:footnote>
  <w:footnote w:id="523">
    <w:p w14:paraId="7A9CDDD5" w14:textId="77777777" w:rsidR="00B47FF5" w:rsidRDefault="00B47FF5" w:rsidP="0020732A">
      <w:pPr>
        <w:pStyle w:val="FootnoteText"/>
      </w:pPr>
      <w:r>
        <w:rPr>
          <w:rStyle w:val="FootnoteReference"/>
        </w:rPr>
        <w:footnoteRef/>
      </w:r>
      <w:r>
        <w:rPr>
          <w:rtl/>
        </w:rPr>
        <w:t xml:space="preserve"> </w:t>
      </w:r>
      <w:r w:rsidRPr="00771645">
        <w:t>The Image of the Future</w:t>
      </w:r>
    </w:p>
  </w:footnote>
  <w:footnote w:id="524">
    <w:p w14:paraId="6EF71F26" w14:textId="3B1FC310" w:rsidR="00B47FF5" w:rsidRDefault="00B47FF5" w:rsidP="0020732A">
      <w:pPr>
        <w:pStyle w:val="FootnoteText"/>
      </w:pPr>
      <w:r>
        <w:rPr>
          <w:rStyle w:val="FootnoteReference"/>
        </w:rPr>
        <w:footnoteRef/>
      </w:r>
      <w:r>
        <w:rPr>
          <w:rtl/>
        </w:rPr>
        <w:t xml:space="preserve"> </w:t>
      </w:r>
      <w:r w:rsidRPr="00771645">
        <w:t>Non-empathic</w:t>
      </w:r>
    </w:p>
  </w:footnote>
  <w:footnote w:id="525">
    <w:p w14:paraId="1972EEDE" w14:textId="0DC5E3CB" w:rsidR="00B47FF5" w:rsidRDefault="00B47FF5" w:rsidP="0020732A">
      <w:pPr>
        <w:pStyle w:val="FootnoteText"/>
      </w:pPr>
      <w:r>
        <w:rPr>
          <w:rStyle w:val="FootnoteReference"/>
        </w:rPr>
        <w:footnoteRef/>
      </w:r>
      <w:r>
        <w:rPr>
          <w:rtl/>
        </w:rPr>
        <w:t xml:space="preserve"> </w:t>
      </w:r>
      <w:r>
        <w:t>Optimism</w:t>
      </w:r>
    </w:p>
  </w:footnote>
  <w:footnote w:id="526">
    <w:p w14:paraId="69426A13" w14:textId="273B8FC7" w:rsidR="00B47FF5" w:rsidRDefault="00B47FF5" w:rsidP="0020732A">
      <w:pPr>
        <w:pStyle w:val="FootnoteText"/>
      </w:pPr>
      <w:r>
        <w:rPr>
          <w:rStyle w:val="FootnoteReference"/>
        </w:rPr>
        <w:footnoteRef/>
      </w:r>
      <w:r>
        <w:rPr>
          <w:rtl/>
        </w:rPr>
        <w:t xml:space="preserve"> </w:t>
      </w:r>
      <w:r>
        <w:t>Pessimism</w:t>
      </w:r>
    </w:p>
  </w:footnote>
  <w:footnote w:id="527">
    <w:p w14:paraId="33EC5A48" w14:textId="41B96357" w:rsidR="00B47FF5" w:rsidRDefault="00B47FF5" w:rsidP="0020732A">
      <w:pPr>
        <w:pStyle w:val="FootnoteText"/>
      </w:pPr>
      <w:r>
        <w:rPr>
          <w:rStyle w:val="FootnoteReference"/>
        </w:rPr>
        <w:footnoteRef/>
      </w:r>
      <w:r>
        <w:rPr>
          <w:rtl/>
        </w:rPr>
        <w:t xml:space="preserve"> </w:t>
      </w:r>
      <w:r>
        <w:t>Strategic optimism</w:t>
      </w:r>
    </w:p>
  </w:footnote>
  <w:footnote w:id="528">
    <w:p w14:paraId="0D504DE8" w14:textId="2178521B" w:rsidR="00B47FF5" w:rsidRDefault="00B47FF5" w:rsidP="0020732A">
      <w:pPr>
        <w:pStyle w:val="FootnoteText"/>
      </w:pPr>
      <w:r>
        <w:rPr>
          <w:rStyle w:val="FootnoteReference"/>
        </w:rPr>
        <w:footnoteRef/>
      </w:r>
      <w:r>
        <w:rPr>
          <w:rtl/>
        </w:rPr>
        <w:t xml:space="preserve"> </w:t>
      </w:r>
      <w:r w:rsidRPr="00656E57">
        <w:t>Defensive pessimism</w:t>
      </w:r>
    </w:p>
  </w:footnote>
  <w:footnote w:id="529">
    <w:p w14:paraId="5CC97746" w14:textId="77777777" w:rsidR="00B47FF5" w:rsidRDefault="00B47FF5" w:rsidP="0020732A">
      <w:pPr>
        <w:pStyle w:val="FootnoteText"/>
      </w:pPr>
      <w:r>
        <w:rPr>
          <w:rStyle w:val="FootnoteReference"/>
        </w:rPr>
        <w:footnoteRef/>
      </w:r>
      <w:r>
        <w:rPr>
          <w:rtl/>
        </w:rPr>
        <w:t xml:space="preserve"> </w:t>
      </w:r>
      <w:r w:rsidRPr="0066062F">
        <w:t>Dilip Jeste</w:t>
      </w:r>
    </w:p>
  </w:footnote>
  <w:footnote w:id="530">
    <w:p w14:paraId="37F1A8E6" w14:textId="379D892A" w:rsidR="00B47FF5" w:rsidRDefault="00B47FF5" w:rsidP="0020732A">
      <w:pPr>
        <w:pStyle w:val="FootnoteText"/>
      </w:pPr>
      <w:r>
        <w:rPr>
          <w:rStyle w:val="FootnoteReference"/>
        </w:rPr>
        <w:footnoteRef/>
      </w:r>
      <w:r>
        <w:rPr>
          <w:rtl/>
        </w:rPr>
        <w:t xml:space="preserve"> </w:t>
      </w:r>
      <w:r w:rsidRPr="00656E57">
        <w:t>Wise</w:t>
      </w:r>
    </w:p>
  </w:footnote>
  <w:footnote w:id="531">
    <w:p w14:paraId="4CE94BAE" w14:textId="77777777" w:rsidR="00B47FF5" w:rsidRDefault="00B47FF5" w:rsidP="0020732A">
      <w:pPr>
        <w:pStyle w:val="FootnoteText"/>
      </w:pPr>
      <w:r>
        <w:rPr>
          <w:rStyle w:val="FootnoteReference"/>
        </w:rPr>
        <w:footnoteRef/>
      </w:r>
      <w:r>
        <w:rPr>
          <w:rtl/>
        </w:rPr>
        <w:t xml:space="preserve"> </w:t>
      </w:r>
      <w:r w:rsidRPr="0066062F">
        <w:t>Disruption</w:t>
      </w:r>
    </w:p>
  </w:footnote>
  <w:footnote w:id="532">
    <w:p w14:paraId="2D094108" w14:textId="75C3707F" w:rsidR="00B47FF5" w:rsidRDefault="00B47FF5" w:rsidP="0020732A">
      <w:pPr>
        <w:pStyle w:val="FootnoteText"/>
      </w:pPr>
      <w:r>
        <w:rPr>
          <w:rStyle w:val="FootnoteReference"/>
        </w:rPr>
        <w:footnoteRef/>
      </w:r>
      <w:r>
        <w:rPr>
          <w:rtl/>
        </w:rPr>
        <w:t xml:space="preserve"> </w:t>
      </w:r>
      <w:r>
        <w:t>Realism</w:t>
      </w:r>
    </w:p>
  </w:footnote>
  <w:footnote w:id="533">
    <w:p w14:paraId="57109C2F" w14:textId="054F4788" w:rsidR="00B47FF5" w:rsidRDefault="00B47FF5" w:rsidP="0020732A">
      <w:pPr>
        <w:pStyle w:val="FootnoteText"/>
      </w:pPr>
      <w:r>
        <w:rPr>
          <w:rStyle w:val="FootnoteReference"/>
        </w:rPr>
        <w:footnoteRef/>
      </w:r>
      <w:r>
        <w:rPr>
          <w:rtl/>
        </w:rPr>
        <w:t xml:space="preserve"> </w:t>
      </w:r>
      <w:r w:rsidRPr="00CD61DB">
        <w:t>Cynicism</w:t>
      </w:r>
    </w:p>
  </w:footnote>
  <w:footnote w:id="534">
    <w:p w14:paraId="33448D78" w14:textId="0A6A5790" w:rsidR="00B47FF5" w:rsidRDefault="00B47FF5" w:rsidP="0020732A">
      <w:pPr>
        <w:pStyle w:val="FootnoteText"/>
      </w:pPr>
      <w:r>
        <w:rPr>
          <w:rStyle w:val="FootnoteReference"/>
        </w:rPr>
        <w:footnoteRef/>
      </w:r>
      <w:r>
        <w:rPr>
          <w:rtl/>
        </w:rPr>
        <w:t xml:space="preserve"> </w:t>
      </w:r>
      <w:r>
        <w:t>Realpolitik</w:t>
      </w:r>
    </w:p>
  </w:footnote>
  <w:footnote w:id="535">
    <w:p w14:paraId="67F3F8A0" w14:textId="25AB9384" w:rsidR="00B47FF5" w:rsidRDefault="00B47FF5" w:rsidP="0020732A">
      <w:pPr>
        <w:pStyle w:val="FootnoteText"/>
      </w:pPr>
      <w:r>
        <w:rPr>
          <w:rStyle w:val="FootnoteReference"/>
        </w:rPr>
        <w:footnoteRef/>
      </w:r>
      <w:r>
        <w:rPr>
          <w:rtl/>
        </w:rPr>
        <w:t xml:space="preserve"> </w:t>
      </w:r>
      <w:r w:rsidRPr="001E0C24">
        <w:t>Self-leaders</w:t>
      </w:r>
    </w:p>
  </w:footnote>
  <w:footnote w:id="536">
    <w:p w14:paraId="15960FA2" w14:textId="77777777" w:rsidR="00B47FF5" w:rsidRDefault="00B47FF5" w:rsidP="0020732A">
      <w:pPr>
        <w:pStyle w:val="FootnoteText"/>
      </w:pPr>
      <w:r>
        <w:rPr>
          <w:rStyle w:val="FootnoteReference"/>
        </w:rPr>
        <w:footnoteRef/>
      </w:r>
      <w:r>
        <w:rPr>
          <w:rtl/>
        </w:rPr>
        <w:t xml:space="preserve"> </w:t>
      </w:r>
      <w:r w:rsidRPr="001E0C24">
        <w:t>See the Light</w:t>
      </w:r>
    </w:p>
  </w:footnote>
  <w:footnote w:id="537">
    <w:p w14:paraId="38E276D8" w14:textId="77777777" w:rsidR="00B47FF5" w:rsidRDefault="00B47FF5" w:rsidP="0020732A">
      <w:pPr>
        <w:pStyle w:val="FootnoteText"/>
      </w:pPr>
      <w:r>
        <w:rPr>
          <w:rStyle w:val="FootnoteReference"/>
        </w:rPr>
        <w:footnoteRef/>
      </w:r>
      <w:r>
        <w:rPr>
          <w:rtl/>
        </w:rPr>
        <w:t xml:space="preserve"> </w:t>
      </w:r>
      <w:r>
        <w:t>Feel the Heat</w:t>
      </w:r>
    </w:p>
  </w:footnote>
  <w:footnote w:id="538">
    <w:p w14:paraId="62F610C3" w14:textId="349485B2" w:rsidR="00B47FF5" w:rsidRDefault="00B47FF5" w:rsidP="0020732A">
      <w:pPr>
        <w:pStyle w:val="FootnoteText"/>
      </w:pPr>
      <w:r>
        <w:rPr>
          <w:rStyle w:val="FootnoteReference"/>
        </w:rPr>
        <w:footnoteRef/>
      </w:r>
      <w:r>
        <w:rPr>
          <w:rtl/>
        </w:rPr>
        <w:t xml:space="preserve"> </w:t>
      </w:r>
      <w:r w:rsidRPr="001E0C24">
        <w:t>Sentiment contrasting</w:t>
      </w:r>
    </w:p>
  </w:footnote>
  <w:footnote w:id="539">
    <w:p w14:paraId="14EDEFF2" w14:textId="7C984AC9" w:rsidR="00B47FF5" w:rsidRDefault="00B47FF5" w:rsidP="0020732A">
      <w:pPr>
        <w:pStyle w:val="FootnoteText"/>
      </w:pPr>
      <w:r>
        <w:rPr>
          <w:rStyle w:val="FootnoteReference"/>
        </w:rPr>
        <w:footnoteRef/>
      </w:r>
      <w:r>
        <w:rPr>
          <w:rtl/>
        </w:rPr>
        <w:t xml:space="preserve"> </w:t>
      </w:r>
      <w:r>
        <w:t>Carrots and sticks</w:t>
      </w:r>
    </w:p>
  </w:footnote>
  <w:footnote w:id="540">
    <w:p w14:paraId="071AC7FF" w14:textId="77777777" w:rsidR="00B47FF5" w:rsidRDefault="00B47FF5" w:rsidP="0020732A">
      <w:pPr>
        <w:pStyle w:val="FootnoteText"/>
      </w:pPr>
      <w:r>
        <w:rPr>
          <w:rStyle w:val="FootnoteReference"/>
        </w:rPr>
        <w:footnoteRef/>
      </w:r>
      <w:r>
        <w:rPr>
          <w:rtl/>
        </w:rPr>
        <w:t xml:space="preserve"> </w:t>
      </w:r>
      <w:r w:rsidRPr="0066062F">
        <w:t>David Brin</w:t>
      </w:r>
    </w:p>
  </w:footnote>
  <w:footnote w:id="541">
    <w:p w14:paraId="29773424" w14:textId="5A064896" w:rsidR="00B47FF5" w:rsidRDefault="00B47FF5" w:rsidP="0020732A">
      <w:pPr>
        <w:pStyle w:val="FootnoteText"/>
      </w:pPr>
      <w:r>
        <w:rPr>
          <w:rStyle w:val="FootnoteReference"/>
        </w:rPr>
        <w:footnoteRef/>
      </w:r>
      <w:r>
        <w:rPr>
          <w:rtl/>
        </w:rPr>
        <w:t xml:space="preserve"> </w:t>
      </w:r>
      <w:r w:rsidRPr="00461E70">
        <w:t>Self-preventing prophecy</w:t>
      </w:r>
    </w:p>
  </w:footnote>
  <w:footnote w:id="542">
    <w:p w14:paraId="5D180CE3" w14:textId="6709F0C4" w:rsidR="00B47FF5" w:rsidRDefault="00B47FF5" w:rsidP="0020732A">
      <w:pPr>
        <w:pStyle w:val="FootnoteText"/>
      </w:pPr>
      <w:r>
        <w:rPr>
          <w:rStyle w:val="FootnoteReference"/>
        </w:rPr>
        <w:footnoteRef/>
      </w:r>
      <w:r>
        <w:rPr>
          <w:rtl/>
        </w:rPr>
        <w:t xml:space="preserve"> </w:t>
      </w:r>
      <w:r>
        <w:t>Self-improving prophecies</w:t>
      </w:r>
    </w:p>
  </w:footnote>
  <w:footnote w:id="543">
    <w:p w14:paraId="46665519" w14:textId="331D8680" w:rsidR="00B47FF5" w:rsidRDefault="00B47FF5">
      <w:pPr>
        <w:pStyle w:val="FootnoteText"/>
      </w:pPr>
      <w:r>
        <w:rPr>
          <w:rStyle w:val="FootnoteReference"/>
        </w:rPr>
        <w:footnoteRef/>
      </w:r>
      <w:r>
        <w:t xml:space="preserve"> Self-leaders</w:t>
      </w:r>
    </w:p>
  </w:footnote>
  <w:footnote w:id="544">
    <w:p w14:paraId="7EB34910" w14:textId="77777777" w:rsidR="00B47FF5" w:rsidRDefault="00B47FF5" w:rsidP="0020732A">
      <w:pPr>
        <w:pStyle w:val="FootnoteText"/>
      </w:pPr>
      <w:r>
        <w:rPr>
          <w:rStyle w:val="FootnoteReference"/>
        </w:rPr>
        <w:footnoteRef/>
      </w:r>
      <w:r>
        <w:rPr>
          <w:rtl/>
        </w:rPr>
        <w:t xml:space="preserve"> </w:t>
      </w:r>
      <w:r>
        <w:t>David brin</w:t>
      </w:r>
    </w:p>
  </w:footnote>
  <w:footnote w:id="545">
    <w:p w14:paraId="230E7099" w14:textId="0F4AE975" w:rsidR="00B47FF5" w:rsidRDefault="00B47FF5" w:rsidP="0020732A">
      <w:pPr>
        <w:pStyle w:val="FootnoteText"/>
      </w:pPr>
      <w:r>
        <w:rPr>
          <w:rStyle w:val="FootnoteReference"/>
        </w:rPr>
        <w:footnoteRef/>
      </w:r>
      <w:r>
        <w:rPr>
          <w:rtl/>
        </w:rPr>
        <w:t xml:space="preserve"> </w:t>
      </w:r>
      <w:r>
        <w:t>Multi-step</w:t>
      </w:r>
    </w:p>
  </w:footnote>
  <w:footnote w:id="546">
    <w:p w14:paraId="7C025F5E" w14:textId="1B5AF11D" w:rsidR="00B47FF5" w:rsidRDefault="00B47FF5" w:rsidP="0020732A">
      <w:pPr>
        <w:pStyle w:val="FootnoteText"/>
      </w:pPr>
      <w:r>
        <w:rPr>
          <w:rStyle w:val="FootnoteReference"/>
        </w:rPr>
        <w:footnoteRef/>
      </w:r>
      <w:r>
        <w:rPr>
          <w:rtl/>
        </w:rPr>
        <w:t xml:space="preserve"> </w:t>
      </w:r>
      <w:r>
        <w:t>Single-step</w:t>
      </w:r>
    </w:p>
  </w:footnote>
  <w:footnote w:id="547">
    <w:p w14:paraId="0211856D" w14:textId="77777777" w:rsidR="00B47FF5" w:rsidRDefault="00B47FF5" w:rsidP="0020732A">
      <w:pPr>
        <w:pStyle w:val="FootnoteText"/>
      </w:pPr>
      <w:r>
        <w:rPr>
          <w:rStyle w:val="FootnoteReference"/>
        </w:rPr>
        <w:footnoteRef/>
      </w:r>
      <w:r>
        <w:rPr>
          <w:rtl/>
        </w:rPr>
        <w:t xml:space="preserve"> </w:t>
      </w:r>
      <w:r w:rsidRPr="002616D4">
        <w:t>Dan Goleman</w:t>
      </w:r>
    </w:p>
  </w:footnote>
  <w:footnote w:id="548">
    <w:p w14:paraId="753845D7" w14:textId="77777777" w:rsidR="00B47FF5" w:rsidRDefault="00B47FF5" w:rsidP="0020732A">
      <w:pPr>
        <w:pStyle w:val="FootnoteText"/>
      </w:pPr>
      <w:r>
        <w:rPr>
          <w:rStyle w:val="FootnoteReference"/>
        </w:rPr>
        <w:footnoteRef/>
      </w:r>
      <w:r>
        <w:rPr>
          <w:rtl/>
        </w:rPr>
        <w:t xml:space="preserve"> </w:t>
      </w:r>
      <w:r w:rsidRPr="0028297A">
        <w:t>Emotional Intelligence</w:t>
      </w:r>
    </w:p>
  </w:footnote>
  <w:footnote w:id="549">
    <w:p w14:paraId="0ADC3F80" w14:textId="77777777" w:rsidR="00B47FF5" w:rsidRDefault="00B47FF5" w:rsidP="0020732A">
      <w:pPr>
        <w:pStyle w:val="FootnoteText"/>
      </w:pPr>
      <w:r>
        <w:rPr>
          <w:rStyle w:val="FootnoteReference"/>
        </w:rPr>
        <w:footnoteRef/>
      </w:r>
      <w:r>
        <w:rPr>
          <w:rtl/>
        </w:rPr>
        <w:t xml:space="preserve"> </w:t>
      </w:r>
      <w:r w:rsidRPr="005C0FEA">
        <w:t>Emotional Intelligence 2.0</w:t>
      </w:r>
    </w:p>
  </w:footnote>
  <w:footnote w:id="550">
    <w:p w14:paraId="3E7CB564" w14:textId="77777777" w:rsidR="00B47FF5" w:rsidRDefault="00B47FF5" w:rsidP="0020732A">
      <w:pPr>
        <w:pStyle w:val="FootnoteText"/>
      </w:pPr>
      <w:r>
        <w:rPr>
          <w:rStyle w:val="FootnoteReference"/>
        </w:rPr>
        <w:footnoteRef/>
      </w:r>
      <w:r>
        <w:rPr>
          <w:rtl/>
        </w:rPr>
        <w:t xml:space="preserve"> </w:t>
      </w:r>
      <w:r w:rsidRPr="002616D4">
        <w:t>Bradberry</w:t>
      </w:r>
    </w:p>
  </w:footnote>
  <w:footnote w:id="551">
    <w:p w14:paraId="51479764" w14:textId="77777777" w:rsidR="00B47FF5" w:rsidRDefault="00B47FF5" w:rsidP="0020732A">
      <w:pPr>
        <w:pStyle w:val="FootnoteText"/>
      </w:pPr>
      <w:r>
        <w:rPr>
          <w:rStyle w:val="FootnoteReference"/>
        </w:rPr>
        <w:footnoteRef/>
      </w:r>
      <w:r>
        <w:rPr>
          <w:rtl/>
        </w:rPr>
        <w:t xml:space="preserve"> </w:t>
      </w:r>
      <w:r w:rsidRPr="002616D4">
        <w:t>Greave</w:t>
      </w:r>
    </w:p>
  </w:footnote>
  <w:footnote w:id="552">
    <w:p w14:paraId="4287BDE8" w14:textId="77777777" w:rsidR="00B47FF5" w:rsidRDefault="00B47FF5" w:rsidP="0020732A">
      <w:pPr>
        <w:pStyle w:val="FootnoteText"/>
      </w:pPr>
      <w:r>
        <w:rPr>
          <w:rStyle w:val="FootnoteReference"/>
        </w:rPr>
        <w:footnoteRef/>
      </w:r>
      <w:r>
        <w:rPr>
          <w:rtl/>
        </w:rPr>
        <w:t xml:space="preserve"> </w:t>
      </w:r>
      <w:r w:rsidRPr="0028297A">
        <w:t>Social Intelligence</w:t>
      </w:r>
    </w:p>
  </w:footnote>
  <w:footnote w:id="553">
    <w:p w14:paraId="6C8D3A4E" w14:textId="66F8C723" w:rsidR="00B47FF5" w:rsidRDefault="00B47FF5" w:rsidP="0020732A">
      <w:pPr>
        <w:pStyle w:val="FootnoteText"/>
      </w:pPr>
      <w:r>
        <w:rPr>
          <w:rStyle w:val="FootnoteReference"/>
        </w:rPr>
        <w:footnoteRef/>
      </w:r>
      <w:r>
        <w:rPr>
          <w:rtl/>
        </w:rPr>
        <w:t xml:space="preserve"> </w:t>
      </w:r>
      <w:r>
        <w:t>Speculative</w:t>
      </w:r>
    </w:p>
  </w:footnote>
  <w:footnote w:id="554">
    <w:p w14:paraId="0102B80D" w14:textId="77777777" w:rsidR="00B47FF5" w:rsidRDefault="00B47FF5" w:rsidP="0020732A">
      <w:pPr>
        <w:pStyle w:val="FootnoteText"/>
      </w:pPr>
      <w:r>
        <w:rPr>
          <w:rStyle w:val="FootnoteReference"/>
        </w:rPr>
        <w:footnoteRef/>
      </w:r>
      <w:r>
        <w:rPr>
          <w:rtl/>
        </w:rPr>
        <w:t xml:space="preserve"> </w:t>
      </w:r>
      <w:r w:rsidRPr="0028297A">
        <w:t>Maslow</w:t>
      </w:r>
    </w:p>
  </w:footnote>
  <w:footnote w:id="555">
    <w:p w14:paraId="605B8BFC" w14:textId="77777777" w:rsidR="00B47FF5" w:rsidRDefault="00B47FF5" w:rsidP="0020732A">
      <w:pPr>
        <w:pStyle w:val="FootnoteText"/>
      </w:pPr>
      <w:r>
        <w:rPr>
          <w:rStyle w:val="FootnoteReference"/>
        </w:rPr>
        <w:footnoteRef/>
      </w:r>
      <w:r>
        <w:rPr>
          <w:rtl/>
        </w:rPr>
        <w:t xml:space="preserve"> </w:t>
      </w:r>
      <w:r w:rsidRPr="0028297A">
        <w:t>Lencioni’s pyramid</w:t>
      </w:r>
    </w:p>
  </w:footnote>
  <w:footnote w:id="556">
    <w:p w14:paraId="33162468" w14:textId="77777777" w:rsidR="00B47FF5" w:rsidRDefault="00B47FF5" w:rsidP="0020732A">
      <w:pPr>
        <w:pStyle w:val="FootnoteText"/>
      </w:pPr>
      <w:r>
        <w:rPr>
          <w:rStyle w:val="FootnoteReference"/>
        </w:rPr>
        <w:footnoteRef/>
      </w:r>
      <w:r>
        <w:rPr>
          <w:rtl/>
        </w:rPr>
        <w:t xml:space="preserve"> </w:t>
      </w:r>
      <w:r w:rsidRPr="00576BEB">
        <w:t>Senge’s pyramid</w:t>
      </w:r>
    </w:p>
  </w:footnote>
  <w:footnote w:id="557">
    <w:p w14:paraId="737F7143" w14:textId="77777777" w:rsidR="00B47FF5" w:rsidRDefault="00B47FF5" w:rsidP="0020732A">
      <w:pPr>
        <w:pStyle w:val="FootnoteText"/>
      </w:pPr>
      <w:r>
        <w:rPr>
          <w:rStyle w:val="FootnoteReference"/>
        </w:rPr>
        <w:footnoteRef/>
      </w:r>
      <w:r>
        <w:rPr>
          <w:rtl/>
        </w:rPr>
        <w:t xml:space="preserve"> </w:t>
      </w:r>
      <w:r>
        <w:t>Hierarchy of Adaptive Foresight Thinking</w:t>
      </w:r>
    </w:p>
  </w:footnote>
  <w:footnote w:id="558">
    <w:p w14:paraId="7B28FC1D" w14:textId="2080ADDC" w:rsidR="00B47FF5" w:rsidRDefault="00B47FF5" w:rsidP="0020732A">
      <w:pPr>
        <w:pStyle w:val="FootnoteText"/>
      </w:pPr>
      <w:r>
        <w:rPr>
          <w:rStyle w:val="FootnoteReference"/>
        </w:rPr>
        <w:footnoteRef/>
      </w:r>
      <w:r>
        <w:rPr>
          <w:rtl/>
        </w:rPr>
        <w:t xml:space="preserve"> </w:t>
      </w:r>
      <w:r>
        <w:t>Enabler</w:t>
      </w:r>
    </w:p>
  </w:footnote>
  <w:footnote w:id="559">
    <w:p w14:paraId="6E5CF093" w14:textId="205265B7" w:rsidR="00B47FF5" w:rsidRDefault="00B47FF5" w:rsidP="0020732A">
      <w:pPr>
        <w:pStyle w:val="FootnoteText"/>
      </w:pPr>
      <w:r>
        <w:rPr>
          <w:rStyle w:val="FootnoteReference"/>
        </w:rPr>
        <w:footnoteRef/>
      </w:r>
      <w:r>
        <w:rPr>
          <w:rtl/>
        </w:rPr>
        <w:t xml:space="preserve"> </w:t>
      </w:r>
      <w:r>
        <w:t>Constrained</w:t>
      </w:r>
    </w:p>
  </w:footnote>
  <w:footnote w:id="560">
    <w:p w14:paraId="7E8623F8" w14:textId="77777777" w:rsidR="00B47FF5" w:rsidRDefault="00B47FF5" w:rsidP="0020732A">
      <w:pPr>
        <w:pStyle w:val="FootnoteText"/>
      </w:pPr>
      <w:r>
        <w:rPr>
          <w:rStyle w:val="FootnoteReference"/>
        </w:rPr>
        <w:footnoteRef/>
      </w:r>
      <w:r>
        <w:rPr>
          <w:rtl/>
        </w:rPr>
        <w:t xml:space="preserve"> </w:t>
      </w:r>
      <w:r w:rsidRPr="00576BEB">
        <w:t>Hierarchy of Needs</w:t>
      </w:r>
    </w:p>
  </w:footnote>
  <w:footnote w:id="561">
    <w:p w14:paraId="7B1EE8EF" w14:textId="7FC61FF9" w:rsidR="00B47FF5" w:rsidRDefault="00B47FF5" w:rsidP="0020732A">
      <w:pPr>
        <w:pStyle w:val="FootnoteText"/>
      </w:pPr>
      <w:r>
        <w:rPr>
          <w:rStyle w:val="FootnoteReference"/>
        </w:rPr>
        <w:footnoteRef/>
      </w:r>
      <w:r>
        <w:rPr>
          <w:rtl/>
        </w:rPr>
        <w:t xml:space="preserve"> </w:t>
      </w:r>
      <w:r w:rsidRPr="00ED1D04">
        <w:t>Self-actualization</w:t>
      </w:r>
    </w:p>
  </w:footnote>
  <w:footnote w:id="562">
    <w:p w14:paraId="6BDB252A" w14:textId="29B38F1E" w:rsidR="00B47FF5" w:rsidRDefault="00B47FF5" w:rsidP="0020732A">
      <w:pPr>
        <w:pStyle w:val="FootnoteText"/>
      </w:pPr>
      <w:r>
        <w:rPr>
          <w:rStyle w:val="FootnoteReference"/>
        </w:rPr>
        <w:footnoteRef/>
      </w:r>
      <w:r>
        <w:rPr>
          <w:rtl/>
        </w:rPr>
        <w:t xml:space="preserve"> </w:t>
      </w:r>
      <w:r>
        <w:t>Unconditionally self-accepted</w:t>
      </w:r>
    </w:p>
  </w:footnote>
  <w:footnote w:id="563">
    <w:p w14:paraId="512D9E57" w14:textId="77777777" w:rsidR="00B47FF5" w:rsidRDefault="00B47FF5" w:rsidP="0020732A">
      <w:pPr>
        <w:pStyle w:val="FootnoteText"/>
      </w:pPr>
      <w:r>
        <w:rPr>
          <w:rStyle w:val="FootnoteReference"/>
        </w:rPr>
        <w:footnoteRef/>
      </w:r>
      <w:r>
        <w:rPr>
          <w:rtl/>
        </w:rPr>
        <w:t xml:space="preserve"> </w:t>
      </w:r>
      <w:r w:rsidRPr="00782B80">
        <w:t>The Ways and Power of Love</w:t>
      </w:r>
    </w:p>
  </w:footnote>
  <w:footnote w:id="564">
    <w:p w14:paraId="5E20409A" w14:textId="77777777" w:rsidR="00B47FF5" w:rsidRDefault="00B47FF5" w:rsidP="0020732A">
      <w:pPr>
        <w:pStyle w:val="FootnoteText"/>
      </w:pPr>
      <w:r>
        <w:rPr>
          <w:rStyle w:val="FootnoteReference"/>
        </w:rPr>
        <w:footnoteRef/>
      </w:r>
      <w:r>
        <w:rPr>
          <w:rtl/>
        </w:rPr>
        <w:t xml:space="preserve"> </w:t>
      </w:r>
      <w:r w:rsidRPr="002616D4">
        <w:t>Pitirim Sorokin</w:t>
      </w:r>
    </w:p>
  </w:footnote>
  <w:footnote w:id="565">
    <w:p w14:paraId="165B3B59" w14:textId="2196A5CC" w:rsidR="00B47FF5" w:rsidRDefault="00B47FF5" w:rsidP="0020732A">
      <w:pPr>
        <w:pStyle w:val="FootnoteText"/>
      </w:pPr>
      <w:r>
        <w:rPr>
          <w:rStyle w:val="FootnoteReference"/>
        </w:rPr>
        <w:footnoteRef/>
      </w:r>
      <w:r>
        <w:rPr>
          <w:rtl/>
        </w:rPr>
        <w:t xml:space="preserve"> </w:t>
      </w:r>
      <w:r>
        <w:t>Humankind</w:t>
      </w:r>
    </w:p>
  </w:footnote>
  <w:footnote w:id="566">
    <w:p w14:paraId="45009249" w14:textId="77777777" w:rsidR="00B47FF5" w:rsidRDefault="00B47FF5" w:rsidP="0020732A">
      <w:pPr>
        <w:pStyle w:val="FootnoteText"/>
      </w:pPr>
      <w:r>
        <w:rPr>
          <w:rStyle w:val="FootnoteReference"/>
        </w:rPr>
        <w:footnoteRef/>
      </w:r>
      <w:r>
        <w:rPr>
          <w:rtl/>
        </w:rPr>
        <w:t xml:space="preserve"> </w:t>
      </w:r>
      <w:r w:rsidRPr="002616D4">
        <w:t>Rutger Bregman</w:t>
      </w:r>
    </w:p>
  </w:footnote>
  <w:footnote w:id="567">
    <w:p w14:paraId="41F8C2E7" w14:textId="77777777" w:rsidR="00B47FF5" w:rsidRDefault="00B47FF5" w:rsidP="0020732A">
      <w:pPr>
        <w:pStyle w:val="FootnoteText"/>
      </w:pPr>
      <w:r>
        <w:rPr>
          <w:rStyle w:val="FootnoteReference"/>
        </w:rPr>
        <w:footnoteRef/>
      </w:r>
      <w:r>
        <w:rPr>
          <w:rtl/>
        </w:rPr>
        <w:t xml:space="preserve"> </w:t>
      </w:r>
      <w:r w:rsidRPr="00782B80">
        <w:t>The Five Dysfunctions of a Team</w:t>
      </w:r>
    </w:p>
  </w:footnote>
  <w:footnote w:id="568">
    <w:p w14:paraId="7F59DD39" w14:textId="1D8FEC59" w:rsidR="00B47FF5" w:rsidRDefault="00B47FF5" w:rsidP="0020732A">
      <w:pPr>
        <w:pStyle w:val="FootnoteText"/>
      </w:pPr>
      <w:r>
        <w:rPr>
          <w:rStyle w:val="FootnoteReference"/>
        </w:rPr>
        <w:footnoteRef/>
      </w:r>
      <w:r>
        <w:rPr>
          <w:rtl/>
        </w:rPr>
        <w:t xml:space="preserve"> </w:t>
      </w:r>
      <w:r w:rsidRPr="00197694">
        <w:t>Management fable</w:t>
      </w:r>
    </w:p>
  </w:footnote>
  <w:footnote w:id="569">
    <w:p w14:paraId="3588D496" w14:textId="77777777" w:rsidR="00B47FF5" w:rsidRDefault="00B47FF5" w:rsidP="0020732A">
      <w:pPr>
        <w:pStyle w:val="FootnoteText"/>
      </w:pPr>
      <w:r>
        <w:rPr>
          <w:rStyle w:val="FootnoteReference"/>
        </w:rPr>
        <w:footnoteRef/>
      </w:r>
      <w:r>
        <w:rPr>
          <w:rtl/>
        </w:rPr>
        <w:t xml:space="preserve"> </w:t>
      </w:r>
      <w:r w:rsidRPr="002616D4">
        <w:t>Patrick Lencioni</w:t>
      </w:r>
    </w:p>
  </w:footnote>
  <w:footnote w:id="570">
    <w:p w14:paraId="5D504227" w14:textId="5FE23D73" w:rsidR="00B47FF5" w:rsidRDefault="00B47FF5" w:rsidP="0020732A">
      <w:pPr>
        <w:pStyle w:val="FootnoteText"/>
      </w:pPr>
      <w:r>
        <w:rPr>
          <w:rStyle w:val="FootnoteReference"/>
        </w:rPr>
        <w:footnoteRef/>
      </w:r>
      <w:r>
        <w:rPr>
          <w:rtl/>
        </w:rPr>
        <w:t xml:space="preserve"> </w:t>
      </w:r>
      <w:r>
        <w:t>Social equation</w:t>
      </w:r>
    </w:p>
  </w:footnote>
  <w:footnote w:id="571">
    <w:p w14:paraId="6B06ACD4" w14:textId="77777777" w:rsidR="00B47FF5" w:rsidRDefault="00B47FF5" w:rsidP="0020732A">
      <w:pPr>
        <w:pStyle w:val="FootnoteText"/>
      </w:pPr>
      <w:r>
        <w:rPr>
          <w:rStyle w:val="FootnoteReference"/>
        </w:rPr>
        <w:footnoteRef/>
      </w:r>
      <w:r>
        <w:rPr>
          <w:rtl/>
        </w:rPr>
        <w:t xml:space="preserve"> </w:t>
      </w:r>
      <w:r w:rsidRPr="000F3D3D">
        <w:t>The Speed of Trust</w:t>
      </w:r>
    </w:p>
  </w:footnote>
  <w:footnote w:id="572">
    <w:p w14:paraId="7A2138F9" w14:textId="77777777" w:rsidR="00B47FF5" w:rsidRDefault="00B47FF5" w:rsidP="0020732A">
      <w:pPr>
        <w:pStyle w:val="FootnoteText"/>
      </w:pPr>
      <w:r>
        <w:rPr>
          <w:rStyle w:val="FootnoteReference"/>
        </w:rPr>
        <w:footnoteRef/>
      </w:r>
      <w:r>
        <w:rPr>
          <w:rtl/>
        </w:rPr>
        <w:t xml:space="preserve"> </w:t>
      </w:r>
      <w:r w:rsidRPr="002616D4">
        <w:t>Stephen Covey</w:t>
      </w:r>
    </w:p>
  </w:footnote>
  <w:footnote w:id="573">
    <w:p w14:paraId="6793A150" w14:textId="43309327" w:rsidR="00B47FF5" w:rsidRDefault="00B47FF5" w:rsidP="0020732A">
      <w:pPr>
        <w:pStyle w:val="FootnoteText"/>
      </w:pPr>
      <w:r>
        <w:rPr>
          <w:rStyle w:val="FootnoteReference"/>
        </w:rPr>
        <w:footnoteRef/>
      </w:r>
      <w:r>
        <w:rPr>
          <w:rtl/>
        </w:rPr>
        <w:t xml:space="preserve"> </w:t>
      </w:r>
      <w:r>
        <w:t>Psychological safety</w:t>
      </w:r>
    </w:p>
  </w:footnote>
  <w:footnote w:id="574">
    <w:p w14:paraId="25A079D1" w14:textId="77777777" w:rsidR="00B47FF5" w:rsidRDefault="00B47FF5" w:rsidP="0020732A">
      <w:pPr>
        <w:pStyle w:val="FootnoteText"/>
      </w:pPr>
      <w:r>
        <w:rPr>
          <w:rStyle w:val="FootnoteReference"/>
        </w:rPr>
        <w:footnoteRef/>
      </w:r>
      <w:r>
        <w:rPr>
          <w:rtl/>
        </w:rPr>
        <w:t xml:space="preserve"> </w:t>
      </w:r>
      <w:r w:rsidRPr="002616D4">
        <w:t>Amy Edmondson</w:t>
      </w:r>
    </w:p>
  </w:footnote>
  <w:footnote w:id="575">
    <w:p w14:paraId="186E1527" w14:textId="77777777" w:rsidR="00B47FF5" w:rsidRDefault="00B47FF5" w:rsidP="0020732A">
      <w:pPr>
        <w:pStyle w:val="FootnoteText"/>
      </w:pPr>
      <w:r>
        <w:rPr>
          <w:rStyle w:val="FootnoteReference"/>
        </w:rPr>
        <w:footnoteRef/>
      </w:r>
      <w:r>
        <w:rPr>
          <w:rtl/>
        </w:rPr>
        <w:t xml:space="preserve"> </w:t>
      </w:r>
      <w:r w:rsidRPr="000F3D3D">
        <w:t>The Fearless Organization</w:t>
      </w:r>
    </w:p>
  </w:footnote>
  <w:footnote w:id="576">
    <w:p w14:paraId="522E44EB" w14:textId="77777777" w:rsidR="00B47FF5" w:rsidRDefault="00B47FF5" w:rsidP="0020732A">
      <w:pPr>
        <w:pStyle w:val="FootnoteText"/>
      </w:pPr>
      <w:r>
        <w:rPr>
          <w:rStyle w:val="FootnoteReference"/>
        </w:rPr>
        <w:footnoteRef/>
      </w:r>
      <w:r>
        <w:rPr>
          <w:rtl/>
        </w:rPr>
        <w:t xml:space="preserve"> </w:t>
      </w:r>
      <w:r>
        <w:t>Dependability</w:t>
      </w:r>
    </w:p>
  </w:footnote>
  <w:footnote w:id="577">
    <w:p w14:paraId="5416DDB6" w14:textId="77777777" w:rsidR="00B47FF5" w:rsidRDefault="00B47FF5" w:rsidP="0020732A">
      <w:pPr>
        <w:pStyle w:val="FootnoteText"/>
      </w:pPr>
      <w:r>
        <w:rPr>
          <w:rStyle w:val="FootnoteReference"/>
        </w:rPr>
        <w:footnoteRef/>
      </w:r>
      <w:r>
        <w:rPr>
          <w:rtl/>
        </w:rPr>
        <w:t xml:space="preserve"> </w:t>
      </w:r>
      <w:r>
        <w:t>Meaning of Work</w:t>
      </w:r>
    </w:p>
  </w:footnote>
  <w:footnote w:id="578">
    <w:p w14:paraId="0C447001" w14:textId="77777777" w:rsidR="00B47FF5" w:rsidRDefault="00B47FF5" w:rsidP="0020732A">
      <w:pPr>
        <w:pStyle w:val="FootnoteText"/>
      </w:pPr>
      <w:r>
        <w:rPr>
          <w:rStyle w:val="FootnoteReference"/>
        </w:rPr>
        <w:footnoteRef/>
      </w:r>
      <w:r>
        <w:rPr>
          <w:rtl/>
        </w:rPr>
        <w:t xml:space="preserve"> </w:t>
      </w:r>
      <w:r>
        <w:t>Impact of Work</w:t>
      </w:r>
    </w:p>
  </w:footnote>
  <w:footnote w:id="579">
    <w:p w14:paraId="38898485" w14:textId="77777777" w:rsidR="00B47FF5" w:rsidRDefault="00B47FF5" w:rsidP="0020732A">
      <w:pPr>
        <w:pStyle w:val="FootnoteText"/>
      </w:pPr>
      <w:r>
        <w:rPr>
          <w:rStyle w:val="FootnoteReference"/>
        </w:rPr>
        <w:footnoteRef/>
      </w:r>
      <w:r>
        <w:rPr>
          <w:rtl/>
        </w:rPr>
        <w:t xml:space="preserve"> </w:t>
      </w:r>
      <w:r w:rsidRPr="002616D4">
        <w:t>Lencioni</w:t>
      </w:r>
    </w:p>
  </w:footnote>
  <w:footnote w:id="580">
    <w:p w14:paraId="0EADB7F6" w14:textId="7F30D2F3" w:rsidR="00B47FF5" w:rsidRDefault="00B47FF5" w:rsidP="0020732A">
      <w:pPr>
        <w:pStyle w:val="FootnoteText"/>
      </w:pPr>
      <w:r>
        <w:rPr>
          <w:rStyle w:val="FootnoteReference"/>
        </w:rPr>
        <w:footnoteRef/>
      </w:r>
      <w:r>
        <w:rPr>
          <w:rtl/>
        </w:rPr>
        <w:t xml:space="preserve"> </w:t>
      </w:r>
      <w:r>
        <w:t>Developmental progression</w:t>
      </w:r>
    </w:p>
  </w:footnote>
  <w:footnote w:id="581">
    <w:p w14:paraId="39772372" w14:textId="77777777" w:rsidR="00B47FF5" w:rsidRDefault="00B47FF5" w:rsidP="0020732A">
      <w:pPr>
        <w:pStyle w:val="FootnoteText"/>
      </w:pPr>
      <w:r>
        <w:rPr>
          <w:rStyle w:val="FootnoteReference"/>
        </w:rPr>
        <w:footnoteRef/>
      </w:r>
      <w:r>
        <w:rPr>
          <w:rtl/>
        </w:rPr>
        <w:t xml:space="preserve"> </w:t>
      </w:r>
      <w:r w:rsidRPr="000F3D3D">
        <w:t>Remote Work Revolution</w:t>
      </w:r>
    </w:p>
  </w:footnote>
  <w:footnote w:id="582">
    <w:p w14:paraId="2A97A668" w14:textId="77777777" w:rsidR="00B47FF5" w:rsidRDefault="00B47FF5" w:rsidP="0020732A">
      <w:pPr>
        <w:pStyle w:val="FootnoteText"/>
      </w:pPr>
      <w:r>
        <w:rPr>
          <w:rStyle w:val="FootnoteReference"/>
        </w:rPr>
        <w:footnoteRef/>
      </w:r>
      <w:r>
        <w:rPr>
          <w:rtl/>
        </w:rPr>
        <w:t xml:space="preserve"> </w:t>
      </w:r>
      <w:r w:rsidRPr="002616D4">
        <w:t>Tesedal Neeley</w:t>
      </w:r>
    </w:p>
  </w:footnote>
  <w:footnote w:id="583">
    <w:p w14:paraId="16D79D08" w14:textId="6952D73D" w:rsidR="00B47FF5" w:rsidRDefault="00B47FF5" w:rsidP="0020732A">
      <w:pPr>
        <w:pStyle w:val="FootnoteText"/>
      </w:pPr>
      <w:r>
        <w:rPr>
          <w:rStyle w:val="FootnoteReference"/>
        </w:rPr>
        <w:footnoteRef/>
      </w:r>
      <w:r>
        <w:rPr>
          <w:rtl/>
        </w:rPr>
        <w:t xml:space="preserve"> </w:t>
      </w:r>
      <w:r>
        <w:t>Cognitive trust</w:t>
      </w:r>
    </w:p>
  </w:footnote>
  <w:footnote w:id="584">
    <w:p w14:paraId="68AFE6B0" w14:textId="7ABD3892" w:rsidR="00B47FF5" w:rsidRDefault="00B47FF5" w:rsidP="0020732A">
      <w:pPr>
        <w:pStyle w:val="FootnoteText"/>
      </w:pPr>
      <w:r>
        <w:rPr>
          <w:rStyle w:val="FootnoteReference"/>
        </w:rPr>
        <w:footnoteRef/>
      </w:r>
      <w:r>
        <w:rPr>
          <w:rtl/>
        </w:rPr>
        <w:t xml:space="preserve"> </w:t>
      </w:r>
      <w:r>
        <w:t>Emotional trust</w:t>
      </w:r>
    </w:p>
  </w:footnote>
  <w:footnote w:id="585">
    <w:p w14:paraId="3F31E347" w14:textId="77777777" w:rsidR="00B47FF5" w:rsidRDefault="00B47FF5" w:rsidP="0020732A">
      <w:pPr>
        <w:pStyle w:val="FootnoteText"/>
      </w:pPr>
      <w:r>
        <w:rPr>
          <w:rStyle w:val="FootnoteReference"/>
        </w:rPr>
        <w:footnoteRef/>
      </w:r>
      <w:r>
        <w:rPr>
          <w:rtl/>
        </w:rPr>
        <w:t xml:space="preserve"> </w:t>
      </w:r>
      <w:r w:rsidRPr="00663C90">
        <w:t>Goldberg</w:t>
      </w:r>
    </w:p>
  </w:footnote>
  <w:footnote w:id="586">
    <w:p w14:paraId="77E8DF80" w14:textId="77777777" w:rsidR="00B47FF5" w:rsidRDefault="00B47FF5" w:rsidP="0020732A">
      <w:pPr>
        <w:pStyle w:val="FootnoteText"/>
      </w:pPr>
      <w:r>
        <w:rPr>
          <w:rStyle w:val="FootnoteReference"/>
        </w:rPr>
        <w:footnoteRef/>
      </w:r>
      <w:r>
        <w:rPr>
          <w:rtl/>
        </w:rPr>
        <w:t xml:space="preserve"> </w:t>
      </w:r>
      <w:r w:rsidRPr="00663C90">
        <w:t>Ury</w:t>
      </w:r>
    </w:p>
  </w:footnote>
  <w:footnote w:id="587">
    <w:p w14:paraId="3BD320FE" w14:textId="7EABDED9" w:rsidR="00B47FF5" w:rsidRDefault="00B47FF5" w:rsidP="0020732A">
      <w:pPr>
        <w:pStyle w:val="FootnoteText"/>
      </w:pPr>
      <w:r>
        <w:rPr>
          <w:rStyle w:val="FootnoteReference"/>
        </w:rPr>
        <w:footnoteRef/>
      </w:r>
      <w:r>
        <w:rPr>
          <w:rtl/>
        </w:rPr>
        <w:t xml:space="preserve"> </w:t>
      </w:r>
      <w:r>
        <w:t>Predictive contrasting</w:t>
      </w:r>
    </w:p>
  </w:footnote>
  <w:footnote w:id="588">
    <w:p w14:paraId="2DA594E7" w14:textId="361E6ABD" w:rsidR="00B47FF5" w:rsidRDefault="00B47FF5" w:rsidP="0020732A">
      <w:pPr>
        <w:pStyle w:val="FootnoteText"/>
      </w:pPr>
      <w:r>
        <w:rPr>
          <w:rStyle w:val="FootnoteReference"/>
        </w:rPr>
        <w:footnoteRef/>
      </w:r>
      <w:r>
        <w:rPr>
          <w:rtl/>
        </w:rPr>
        <w:t xml:space="preserve"> </w:t>
      </w:r>
      <w:r>
        <w:t>Sentiment contrasting</w:t>
      </w:r>
    </w:p>
  </w:footnote>
  <w:footnote w:id="589">
    <w:p w14:paraId="444E3996" w14:textId="77777777" w:rsidR="00B47FF5" w:rsidRDefault="00B47FF5" w:rsidP="0020732A">
      <w:pPr>
        <w:pStyle w:val="FootnoteText"/>
      </w:pPr>
      <w:r>
        <w:rPr>
          <w:rStyle w:val="FootnoteReference"/>
        </w:rPr>
        <w:footnoteRef/>
      </w:r>
      <w:r>
        <w:rPr>
          <w:rtl/>
        </w:rPr>
        <w:t xml:space="preserve"> </w:t>
      </w:r>
      <w:r w:rsidRPr="000B6988">
        <w:t>Constructive Conflicts</w:t>
      </w:r>
    </w:p>
  </w:footnote>
  <w:footnote w:id="590">
    <w:p w14:paraId="0803F6E7" w14:textId="77777777" w:rsidR="00B47FF5" w:rsidRDefault="00B47FF5" w:rsidP="0020732A">
      <w:pPr>
        <w:pStyle w:val="FootnoteText"/>
      </w:pPr>
      <w:r>
        <w:rPr>
          <w:rStyle w:val="FootnoteReference"/>
        </w:rPr>
        <w:footnoteRef/>
      </w:r>
      <w:r>
        <w:rPr>
          <w:rtl/>
        </w:rPr>
        <w:t xml:space="preserve"> </w:t>
      </w:r>
      <w:r w:rsidRPr="00663C90">
        <w:t>Kriesberg</w:t>
      </w:r>
    </w:p>
  </w:footnote>
  <w:footnote w:id="591">
    <w:p w14:paraId="1B23B35E" w14:textId="77777777" w:rsidR="00B47FF5" w:rsidRDefault="00B47FF5" w:rsidP="0020732A">
      <w:pPr>
        <w:pStyle w:val="FootnoteText"/>
      </w:pPr>
      <w:r>
        <w:rPr>
          <w:rStyle w:val="FootnoteReference"/>
        </w:rPr>
        <w:footnoteRef/>
      </w:r>
      <w:r>
        <w:rPr>
          <w:rtl/>
        </w:rPr>
        <w:t xml:space="preserve"> </w:t>
      </w:r>
      <w:r w:rsidRPr="00663C90">
        <w:t>Dayton</w:t>
      </w:r>
    </w:p>
  </w:footnote>
  <w:footnote w:id="592">
    <w:p w14:paraId="43A4E082" w14:textId="77777777" w:rsidR="00B47FF5" w:rsidRDefault="00B47FF5" w:rsidP="0020732A">
      <w:pPr>
        <w:pStyle w:val="FootnoteText"/>
      </w:pPr>
      <w:r>
        <w:rPr>
          <w:rStyle w:val="FootnoteReference"/>
        </w:rPr>
        <w:footnoteRef/>
      </w:r>
      <w:r>
        <w:rPr>
          <w:rtl/>
        </w:rPr>
        <w:t xml:space="preserve"> </w:t>
      </w:r>
      <w:r w:rsidRPr="00663C90">
        <w:t>Thomas-Killman Instrument</w:t>
      </w:r>
    </w:p>
  </w:footnote>
  <w:footnote w:id="593">
    <w:p w14:paraId="2745C062" w14:textId="1D1C5D8C" w:rsidR="00B47FF5" w:rsidRDefault="00B47FF5" w:rsidP="0020732A">
      <w:pPr>
        <w:pStyle w:val="FootnoteText"/>
      </w:pPr>
      <w:r>
        <w:rPr>
          <w:rStyle w:val="FootnoteReference"/>
        </w:rPr>
        <w:footnoteRef/>
      </w:r>
      <w:r>
        <w:rPr>
          <w:rtl/>
        </w:rPr>
        <w:t xml:space="preserve"> </w:t>
      </w:r>
      <w:r w:rsidRPr="00A71FB2">
        <w:t>Predictable conflict management</w:t>
      </w:r>
    </w:p>
  </w:footnote>
  <w:footnote w:id="594">
    <w:p w14:paraId="39F22B52" w14:textId="25BBC88B" w:rsidR="00B47FF5" w:rsidRDefault="00B47FF5" w:rsidP="0020732A">
      <w:pPr>
        <w:pStyle w:val="FootnoteText"/>
      </w:pPr>
      <w:r>
        <w:rPr>
          <w:rStyle w:val="FootnoteReference"/>
        </w:rPr>
        <w:footnoteRef/>
      </w:r>
      <w:r>
        <w:rPr>
          <w:rtl/>
        </w:rPr>
        <w:t xml:space="preserve"> </w:t>
      </w:r>
      <w:r w:rsidRPr="008A65AB">
        <w:t>Assertiveness</w:t>
      </w:r>
    </w:p>
  </w:footnote>
  <w:footnote w:id="595">
    <w:p w14:paraId="1A74B9B7" w14:textId="707B9BD6" w:rsidR="00B47FF5" w:rsidRDefault="00B47FF5" w:rsidP="0020732A">
      <w:pPr>
        <w:pStyle w:val="FootnoteText"/>
      </w:pPr>
      <w:r>
        <w:rPr>
          <w:rStyle w:val="FootnoteReference"/>
        </w:rPr>
        <w:footnoteRef/>
      </w:r>
      <w:r>
        <w:rPr>
          <w:rtl/>
        </w:rPr>
        <w:t xml:space="preserve"> </w:t>
      </w:r>
      <w:r w:rsidRPr="00E25089">
        <w:t>Cooperativeness</w:t>
      </w:r>
    </w:p>
  </w:footnote>
  <w:footnote w:id="596">
    <w:p w14:paraId="0B055B8E" w14:textId="77777777" w:rsidR="00B47FF5" w:rsidRDefault="00B47FF5" w:rsidP="0020732A">
      <w:pPr>
        <w:pStyle w:val="FootnoteText"/>
      </w:pPr>
      <w:r>
        <w:rPr>
          <w:rStyle w:val="FootnoteReference"/>
        </w:rPr>
        <w:footnoteRef/>
      </w:r>
      <w:r>
        <w:rPr>
          <w:rtl/>
        </w:rPr>
        <w:t xml:space="preserve"> </w:t>
      </w:r>
      <w:r w:rsidRPr="00E25089">
        <w:t>Collaborating conflict management style</w:t>
      </w:r>
    </w:p>
  </w:footnote>
  <w:footnote w:id="597">
    <w:p w14:paraId="6796014B" w14:textId="5F1F7D4A" w:rsidR="00B47FF5" w:rsidRDefault="00B47FF5" w:rsidP="0020732A">
      <w:pPr>
        <w:pStyle w:val="FootnoteText"/>
      </w:pPr>
      <w:r>
        <w:rPr>
          <w:rStyle w:val="FootnoteReference"/>
        </w:rPr>
        <w:footnoteRef/>
      </w:r>
      <w:r>
        <w:rPr>
          <w:rtl/>
        </w:rPr>
        <w:t xml:space="preserve"> </w:t>
      </w:r>
      <w:r>
        <w:t>Positive-sum</w:t>
      </w:r>
    </w:p>
  </w:footnote>
  <w:footnote w:id="598">
    <w:p w14:paraId="00BC889F" w14:textId="77777777" w:rsidR="00B47FF5" w:rsidRDefault="00B47FF5" w:rsidP="0020732A">
      <w:pPr>
        <w:pStyle w:val="FootnoteText"/>
      </w:pPr>
      <w:r>
        <w:rPr>
          <w:rStyle w:val="FootnoteReference"/>
        </w:rPr>
        <w:footnoteRef/>
      </w:r>
      <w:r>
        <w:rPr>
          <w:rtl/>
        </w:rPr>
        <w:t xml:space="preserve"> </w:t>
      </w:r>
      <w:r>
        <w:t>GRASP thinking</w:t>
      </w:r>
    </w:p>
  </w:footnote>
  <w:footnote w:id="599">
    <w:p w14:paraId="5BD1DE3A" w14:textId="77777777" w:rsidR="00B47FF5" w:rsidRDefault="00B47FF5" w:rsidP="0020732A">
      <w:pPr>
        <w:pStyle w:val="FootnoteText"/>
      </w:pPr>
      <w:r>
        <w:rPr>
          <w:rStyle w:val="FootnoteReference"/>
        </w:rPr>
        <w:footnoteRef/>
      </w:r>
      <w:r>
        <w:rPr>
          <w:rtl/>
        </w:rPr>
        <w:t xml:space="preserve"> </w:t>
      </w:r>
      <w:r>
        <w:t>ADOR analysis</w:t>
      </w:r>
    </w:p>
  </w:footnote>
  <w:footnote w:id="600">
    <w:p w14:paraId="1D474631" w14:textId="77777777" w:rsidR="00B47FF5" w:rsidRDefault="00B47FF5" w:rsidP="0020732A">
      <w:pPr>
        <w:pStyle w:val="FootnoteText"/>
      </w:pPr>
      <w:r>
        <w:rPr>
          <w:rStyle w:val="FootnoteReference"/>
        </w:rPr>
        <w:footnoteRef/>
      </w:r>
      <w:r>
        <w:rPr>
          <w:rtl/>
        </w:rPr>
        <w:t xml:space="preserve"> </w:t>
      </w:r>
      <w:r w:rsidRPr="00663C90">
        <w:t>Peter Senge</w:t>
      </w:r>
    </w:p>
  </w:footnote>
  <w:footnote w:id="601">
    <w:p w14:paraId="525C930D" w14:textId="77777777" w:rsidR="00B47FF5" w:rsidRDefault="00B47FF5" w:rsidP="0020732A">
      <w:pPr>
        <w:pStyle w:val="FootnoteText"/>
      </w:pPr>
      <w:r>
        <w:rPr>
          <w:rStyle w:val="FootnoteReference"/>
        </w:rPr>
        <w:footnoteRef/>
      </w:r>
      <w:r>
        <w:rPr>
          <w:rtl/>
        </w:rPr>
        <w:t xml:space="preserve"> </w:t>
      </w:r>
      <w:r w:rsidRPr="00FA0334">
        <w:t>The Fifth Discipline: The Art and Practice of the</w:t>
      </w:r>
      <w:r>
        <w:t xml:space="preserve"> </w:t>
      </w:r>
      <w:r w:rsidRPr="00FA0334">
        <w:t>Learning Organization</w:t>
      </w:r>
    </w:p>
  </w:footnote>
  <w:footnote w:id="602">
    <w:p w14:paraId="44823DFA" w14:textId="77777777" w:rsidR="00B47FF5" w:rsidRDefault="00B47FF5" w:rsidP="0020732A">
      <w:pPr>
        <w:pStyle w:val="FootnoteText"/>
      </w:pPr>
      <w:r>
        <w:rPr>
          <w:rStyle w:val="FootnoteReference"/>
        </w:rPr>
        <w:footnoteRef/>
      </w:r>
      <w:r>
        <w:rPr>
          <w:rtl/>
        </w:rPr>
        <w:t xml:space="preserve"> </w:t>
      </w:r>
      <w:r w:rsidRPr="00663C90">
        <w:t>Mark Smith</w:t>
      </w:r>
    </w:p>
  </w:footnote>
  <w:footnote w:id="603">
    <w:p w14:paraId="53907B02" w14:textId="77777777" w:rsidR="00B47FF5" w:rsidRDefault="00B47FF5" w:rsidP="0020732A">
      <w:pPr>
        <w:pStyle w:val="FootnoteText"/>
      </w:pPr>
      <w:r>
        <w:rPr>
          <w:rStyle w:val="FootnoteReference"/>
        </w:rPr>
        <w:footnoteRef/>
      </w:r>
      <w:r>
        <w:rPr>
          <w:rtl/>
        </w:rPr>
        <w:t xml:space="preserve"> </w:t>
      </w:r>
      <w:r w:rsidRPr="00576026">
        <w:t>Systems Thinking for Curious Managers</w:t>
      </w:r>
    </w:p>
  </w:footnote>
  <w:footnote w:id="604">
    <w:p w14:paraId="68CBD7BD" w14:textId="77777777" w:rsidR="00B47FF5" w:rsidRDefault="00B47FF5" w:rsidP="0020732A">
      <w:pPr>
        <w:pStyle w:val="FootnoteText"/>
      </w:pPr>
      <w:r>
        <w:rPr>
          <w:rStyle w:val="FootnoteReference"/>
        </w:rPr>
        <w:footnoteRef/>
      </w:r>
      <w:r>
        <w:rPr>
          <w:rtl/>
        </w:rPr>
        <w:t xml:space="preserve"> </w:t>
      </w:r>
      <w:r w:rsidRPr="00663C90">
        <w:t>Ackoff</w:t>
      </w:r>
    </w:p>
  </w:footnote>
  <w:footnote w:id="605">
    <w:p w14:paraId="6F204998" w14:textId="77777777" w:rsidR="00B47FF5" w:rsidRDefault="00B47FF5" w:rsidP="0020732A">
      <w:pPr>
        <w:pStyle w:val="FootnoteText"/>
      </w:pPr>
      <w:r>
        <w:rPr>
          <w:rStyle w:val="FootnoteReference"/>
        </w:rPr>
        <w:footnoteRef/>
      </w:r>
      <w:r>
        <w:rPr>
          <w:rtl/>
        </w:rPr>
        <w:t xml:space="preserve"> </w:t>
      </w:r>
      <w:r w:rsidRPr="00663C90">
        <w:t>Addison</w:t>
      </w:r>
    </w:p>
  </w:footnote>
  <w:footnote w:id="606">
    <w:p w14:paraId="44B4478D" w14:textId="77777777" w:rsidR="00B47FF5" w:rsidRDefault="00B47FF5" w:rsidP="0020732A">
      <w:pPr>
        <w:pStyle w:val="FootnoteText"/>
      </w:pPr>
      <w:r>
        <w:rPr>
          <w:rStyle w:val="FootnoteReference"/>
        </w:rPr>
        <w:footnoteRef/>
      </w:r>
      <w:r>
        <w:rPr>
          <w:rtl/>
        </w:rPr>
        <w:t xml:space="preserve"> </w:t>
      </w:r>
      <w:r w:rsidRPr="009678CA">
        <w:t>The Model Thinker</w:t>
      </w:r>
    </w:p>
  </w:footnote>
  <w:footnote w:id="607">
    <w:p w14:paraId="5329C576" w14:textId="77777777" w:rsidR="00B47FF5" w:rsidRDefault="00B47FF5" w:rsidP="0020732A">
      <w:pPr>
        <w:pStyle w:val="FootnoteText"/>
      </w:pPr>
      <w:r>
        <w:rPr>
          <w:rStyle w:val="FootnoteReference"/>
        </w:rPr>
        <w:footnoteRef/>
      </w:r>
      <w:r>
        <w:rPr>
          <w:rtl/>
        </w:rPr>
        <w:t xml:space="preserve"> </w:t>
      </w:r>
      <w:r w:rsidRPr="009678CA">
        <w:t>Scott Page</w:t>
      </w:r>
    </w:p>
  </w:footnote>
  <w:footnote w:id="608">
    <w:p w14:paraId="04892686" w14:textId="77777777" w:rsidR="00B47FF5" w:rsidRDefault="00B47FF5" w:rsidP="0020732A">
      <w:pPr>
        <w:pStyle w:val="FootnoteText"/>
      </w:pPr>
      <w:r>
        <w:rPr>
          <w:rStyle w:val="FootnoteReference"/>
        </w:rPr>
        <w:footnoteRef/>
      </w:r>
      <w:r>
        <w:rPr>
          <w:rtl/>
        </w:rPr>
        <w:t xml:space="preserve"> </w:t>
      </w:r>
      <w:r>
        <w:t>Eight Skills</w:t>
      </w:r>
    </w:p>
  </w:footnote>
  <w:footnote w:id="609">
    <w:p w14:paraId="1C979050" w14:textId="67F30735" w:rsidR="00B47FF5" w:rsidRDefault="00B47FF5" w:rsidP="0020732A">
      <w:pPr>
        <w:pStyle w:val="FootnoteText"/>
      </w:pPr>
      <w:r>
        <w:rPr>
          <w:rStyle w:val="FootnoteReference"/>
        </w:rPr>
        <w:footnoteRef/>
      </w:r>
      <w:r>
        <w:rPr>
          <w:rtl/>
        </w:rPr>
        <w:t xml:space="preserve"> </w:t>
      </w:r>
      <w:r>
        <w:t>Duality</w:t>
      </w:r>
    </w:p>
  </w:footnote>
  <w:footnote w:id="610">
    <w:p w14:paraId="7D881849" w14:textId="77777777" w:rsidR="00B47FF5" w:rsidRDefault="00B47FF5" w:rsidP="0020732A">
      <w:pPr>
        <w:pStyle w:val="FootnoteText"/>
      </w:pPr>
      <w:r>
        <w:rPr>
          <w:rStyle w:val="FootnoteReference"/>
        </w:rPr>
        <w:footnoteRef/>
      </w:r>
      <w:r>
        <w:rPr>
          <w:rtl/>
        </w:rPr>
        <w:t xml:space="preserve"> </w:t>
      </w:r>
      <w:r w:rsidRPr="009678CA">
        <w:t>Art Shostak</w:t>
      </w:r>
    </w:p>
  </w:footnote>
  <w:footnote w:id="611">
    <w:p w14:paraId="6918B6CE" w14:textId="77777777" w:rsidR="00B47FF5" w:rsidRDefault="00B47FF5" w:rsidP="0020732A">
      <w:pPr>
        <w:pStyle w:val="FootnoteText"/>
      </w:pPr>
      <w:r>
        <w:rPr>
          <w:rStyle w:val="FootnoteReference"/>
        </w:rPr>
        <w:footnoteRef/>
      </w:r>
      <w:r>
        <w:rPr>
          <w:rtl/>
        </w:rPr>
        <w:t xml:space="preserve"> </w:t>
      </w:r>
      <w:r w:rsidRPr="009678CA">
        <w:t>Gabrielle Oettingen</w:t>
      </w:r>
    </w:p>
  </w:footnote>
  <w:footnote w:id="612">
    <w:p w14:paraId="7429FAA3" w14:textId="4D67C99C" w:rsidR="00B47FF5" w:rsidRDefault="00B47FF5" w:rsidP="0020732A">
      <w:pPr>
        <w:pStyle w:val="FootnoteText"/>
      </w:pPr>
      <w:r>
        <w:rPr>
          <w:rStyle w:val="FootnoteReference"/>
        </w:rPr>
        <w:footnoteRef/>
      </w:r>
      <w:r>
        <w:rPr>
          <w:rtl/>
        </w:rPr>
        <w:t xml:space="preserve"> </w:t>
      </w:r>
      <w:r>
        <w:t>First-optimism-then-pessimism thinking</w:t>
      </w:r>
    </w:p>
  </w:footnote>
  <w:footnote w:id="613">
    <w:p w14:paraId="09813E72" w14:textId="77777777" w:rsidR="00B47FF5" w:rsidRDefault="00B47FF5" w:rsidP="0020732A">
      <w:pPr>
        <w:pStyle w:val="FootnoteText"/>
      </w:pPr>
      <w:r>
        <w:rPr>
          <w:rStyle w:val="FootnoteReference"/>
        </w:rPr>
        <w:footnoteRef/>
      </w:r>
      <w:r>
        <w:rPr>
          <w:rtl/>
        </w:rPr>
        <w:t xml:space="preserve"> </w:t>
      </w:r>
      <w:r>
        <w:t>Four Ps thinking and feeling</w:t>
      </w:r>
    </w:p>
  </w:footnote>
  <w:footnote w:id="614">
    <w:p w14:paraId="3E455F60" w14:textId="77777777" w:rsidR="00B47FF5" w:rsidRDefault="00B47FF5" w:rsidP="0020732A">
      <w:pPr>
        <w:pStyle w:val="FootnoteText"/>
      </w:pPr>
      <w:r>
        <w:rPr>
          <w:rStyle w:val="FootnoteReference"/>
        </w:rPr>
        <w:footnoteRef/>
      </w:r>
      <w:r>
        <w:rPr>
          <w:rtl/>
        </w:rPr>
        <w:t xml:space="preserve"> </w:t>
      </w:r>
      <w:r w:rsidRPr="009678CA">
        <w:t>Peter Gollwitzer</w:t>
      </w:r>
    </w:p>
  </w:footnote>
  <w:footnote w:id="615">
    <w:p w14:paraId="0668B60D" w14:textId="77777777" w:rsidR="00B47FF5" w:rsidRDefault="00B47FF5" w:rsidP="0020732A">
      <w:pPr>
        <w:pStyle w:val="FootnoteText"/>
      </w:pPr>
      <w:r>
        <w:rPr>
          <w:rStyle w:val="FootnoteReference"/>
        </w:rPr>
        <w:footnoteRef/>
      </w:r>
      <w:r>
        <w:rPr>
          <w:rtl/>
        </w:rPr>
        <w:t xml:space="preserve"> </w:t>
      </w:r>
      <w:r>
        <w:t>Freedom Bias</w:t>
      </w:r>
    </w:p>
  </w:footnote>
  <w:footnote w:id="616">
    <w:p w14:paraId="7A1CD1D5" w14:textId="37343A54" w:rsidR="00B47FF5" w:rsidRDefault="00B47FF5" w:rsidP="0020732A">
      <w:pPr>
        <w:pStyle w:val="FootnoteText"/>
      </w:pPr>
      <w:r>
        <w:rPr>
          <w:rStyle w:val="FootnoteReference"/>
        </w:rPr>
        <w:footnoteRef/>
      </w:r>
      <w:r>
        <w:rPr>
          <w:rtl/>
        </w:rPr>
        <w:t xml:space="preserve"> </w:t>
      </w:r>
      <w:r>
        <w:t>Antiprediction bias</w:t>
      </w:r>
    </w:p>
  </w:footnote>
  <w:footnote w:id="617">
    <w:p w14:paraId="3EAAD2AA" w14:textId="658F7CF4" w:rsidR="00B47FF5" w:rsidRDefault="00B47FF5" w:rsidP="0020732A">
      <w:pPr>
        <w:pStyle w:val="FootnoteText"/>
      </w:pPr>
      <w:r>
        <w:rPr>
          <w:rStyle w:val="FootnoteReference"/>
        </w:rPr>
        <w:footnoteRef/>
      </w:r>
      <w:r>
        <w:rPr>
          <w:rtl/>
        </w:rPr>
        <w:t xml:space="preserve"> </w:t>
      </w:r>
      <w:r w:rsidRPr="004F111F">
        <w:t>Negativity bias</w:t>
      </w:r>
    </w:p>
  </w:footnote>
  <w:footnote w:id="618">
    <w:p w14:paraId="3A608805" w14:textId="06A36914" w:rsidR="00B47FF5" w:rsidRDefault="00B47FF5" w:rsidP="0020732A">
      <w:pPr>
        <w:pStyle w:val="FootnoteText"/>
      </w:pPr>
      <w:r>
        <w:rPr>
          <w:rStyle w:val="FootnoteReference"/>
        </w:rPr>
        <w:footnoteRef/>
      </w:r>
      <w:r>
        <w:rPr>
          <w:rtl/>
        </w:rPr>
        <w:t xml:space="preserve"> </w:t>
      </w:r>
      <w:r w:rsidRPr="009678CA">
        <w:t>Diffuse</w:t>
      </w:r>
    </w:p>
  </w:footnote>
  <w:footnote w:id="619">
    <w:p w14:paraId="244EED80" w14:textId="748EB78A" w:rsidR="00B47FF5" w:rsidRDefault="00B47FF5" w:rsidP="0020732A">
      <w:pPr>
        <w:pStyle w:val="FootnoteText"/>
      </w:pPr>
      <w:r>
        <w:rPr>
          <w:rStyle w:val="FootnoteReference"/>
        </w:rPr>
        <w:footnoteRef/>
      </w:r>
      <w:r>
        <w:rPr>
          <w:rtl/>
        </w:rPr>
        <w:t xml:space="preserve"> </w:t>
      </w:r>
      <w:r>
        <w:t>Safe</w:t>
      </w:r>
    </w:p>
  </w:footnote>
  <w:footnote w:id="620">
    <w:p w14:paraId="02FA1E7F" w14:textId="77777777" w:rsidR="00B47FF5" w:rsidRDefault="00B47FF5" w:rsidP="0020732A">
      <w:pPr>
        <w:pStyle w:val="FootnoteText"/>
      </w:pPr>
      <w:r>
        <w:rPr>
          <w:rStyle w:val="FootnoteReference"/>
        </w:rPr>
        <w:footnoteRef/>
      </w:r>
      <w:r>
        <w:rPr>
          <w:rtl/>
        </w:rPr>
        <w:t xml:space="preserve"> </w:t>
      </w:r>
      <w:r w:rsidRPr="003E1988">
        <w:t>David Keirsey</w:t>
      </w:r>
    </w:p>
  </w:footnote>
  <w:footnote w:id="621">
    <w:p w14:paraId="50709D31" w14:textId="77777777" w:rsidR="00B47FF5" w:rsidRDefault="00B47FF5" w:rsidP="0020732A">
      <w:pPr>
        <w:pStyle w:val="FootnoteText"/>
      </w:pPr>
      <w:r>
        <w:rPr>
          <w:rStyle w:val="FootnoteReference"/>
        </w:rPr>
        <w:footnoteRef/>
      </w:r>
      <w:r>
        <w:rPr>
          <w:rtl/>
        </w:rPr>
        <w:t xml:space="preserve"> </w:t>
      </w:r>
      <w:r w:rsidRPr="007009B9">
        <w:t>Four Temperaments</w:t>
      </w:r>
    </w:p>
  </w:footnote>
  <w:footnote w:id="622">
    <w:p w14:paraId="0B4B3D58" w14:textId="77777777" w:rsidR="00B47FF5" w:rsidRDefault="00B47FF5" w:rsidP="0020732A">
      <w:pPr>
        <w:pStyle w:val="FootnoteText"/>
      </w:pPr>
      <w:r>
        <w:rPr>
          <w:rStyle w:val="FootnoteReference"/>
        </w:rPr>
        <w:footnoteRef/>
      </w:r>
      <w:r>
        <w:rPr>
          <w:rtl/>
        </w:rPr>
        <w:t xml:space="preserve"> </w:t>
      </w:r>
      <w:r w:rsidRPr="00036674">
        <w:t>Myers-Briggs Personality</w:t>
      </w:r>
      <w:r>
        <w:t xml:space="preserve"> </w:t>
      </w:r>
      <w:r w:rsidRPr="00036674">
        <w:t>Types Inventory</w:t>
      </w:r>
    </w:p>
  </w:footnote>
  <w:footnote w:id="623">
    <w:p w14:paraId="607D0998" w14:textId="77777777" w:rsidR="00B47FF5" w:rsidRDefault="00B47FF5" w:rsidP="0020732A">
      <w:pPr>
        <w:pStyle w:val="FootnoteText"/>
      </w:pPr>
      <w:r>
        <w:rPr>
          <w:rStyle w:val="FootnoteReference"/>
        </w:rPr>
        <w:footnoteRef/>
      </w:r>
      <w:r>
        <w:rPr>
          <w:rtl/>
        </w:rPr>
        <w:t xml:space="preserve"> </w:t>
      </w:r>
      <w:r w:rsidRPr="003E1988">
        <w:t>Isabel Myers</w:t>
      </w:r>
    </w:p>
  </w:footnote>
  <w:footnote w:id="624">
    <w:p w14:paraId="37E60800" w14:textId="77777777" w:rsidR="00B47FF5" w:rsidRDefault="00B47FF5" w:rsidP="0020732A">
      <w:pPr>
        <w:pStyle w:val="FootnoteText"/>
      </w:pPr>
      <w:r>
        <w:rPr>
          <w:rStyle w:val="FootnoteReference"/>
        </w:rPr>
        <w:footnoteRef/>
      </w:r>
      <w:r>
        <w:rPr>
          <w:rtl/>
        </w:rPr>
        <w:t xml:space="preserve"> </w:t>
      </w:r>
      <w:r w:rsidRPr="003E1988">
        <w:t>Katharine Briggs</w:t>
      </w:r>
    </w:p>
  </w:footnote>
  <w:footnote w:id="625">
    <w:p w14:paraId="0ECDC48A" w14:textId="77777777" w:rsidR="00B47FF5" w:rsidRDefault="00B47FF5" w:rsidP="0020732A">
      <w:pPr>
        <w:pStyle w:val="FootnoteText"/>
      </w:pPr>
      <w:r>
        <w:rPr>
          <w:rStyle w:val="FootnoteReference"/>
        </w:rPr>
        <w:footnoteRef/>
      </w:r>
      <w:r>
        <w:rPr>
          <w:rtl/>
        </w:rPr>
        <w:t xml:space="preserve"> </w:t>
      </w:r>
      <w:r w:rsidRPr="003E1988">
        <w:t>Carl Jung</w:t>
      </w:r>
    </w:p>
  </w:footnote>
  <w:footnote w:id="626">
    <w:p w14:paraId="06F9A220" w14:textId="77777777" w:rsidR="00B47FF5" w:rsidRDefault="00B47FF5" w:rsidP="0020732A">
      <w:pPr>
        <w:pStyle w:val="FootnoteText"/>
      </w:pPr>
      <w:r>
        <w:rPr>
          <w:rStyle w:val="FootnoteReference"/>
        </w:rPr>
        <w:footnoteRef/>
      </w:r>
      <w:r>
        <w:rPr>
          <w:rtl/>
        </w:rPr>
        <w:t xml:space="preserve"> </w:t>
      </w:r>
      <w:r w:rsidRPr="009A0A58">
        <w:t>Guardians</w:t>
      </w:r>
    </w:p>
  </w:footnote>
  <w:footnote w:id="627">
    <w:p w14:paraId="31CD5DBF" w14:textId="77777777" w:rsidR="00B47FF5" w:rsidRDefault="00B47FF5" w:rsidP="0020732A">
      <w:pPr>
        <w:pStyle w:val="FootnoteText"/>
      </w:pPr>
      <w:r>
        <w:rPr>
          <w:rStyle w:val="FootnoteReference"/>
        </w:rPr>
        <w:footnoteRef/>
      </w:r>
      <w:r>
        <w:rPr>
          <w:rtl/>
        </w:rPr>
        <w:t xml:space="preserve"> </w:t>
      </w:r>
      <w:r w:rsidRPr="009A0A58">
        <w:t>Artisans</w:t>
      </w:r>
    </w:p>
  </w:footnote>
  <w:footnote w:id="628">
    <w:p w14:paraId="2E92441A" w14:textId="77777777" w:rsidR="00B47FF5" w:rsidRDefault="00B47FF5" w:rsidP="0020732A">
      <w:pPr>
        <w:pStyle w:val="FootnoteText"/>
      </w:pPr>
      <w:r>
        <w:rPr>
          <w:rStyle w:val="FootnoteReference"/>
        </w:rPr>
        <w:footnoteRef/>
      </w:r>
      <w:r>
        <w:rPr>
          <w:rtl/>
        </w:rPr>
        <w:t xml:space="preserve"> </w:t>
      </w:r>
      <w:r w:rsidRPr="00922A5B">
        <w:t>Idealists</w:t>
      </w:r>
    </w:p>
  </w:footnote>
  <w:footnote w:id="629">
    <w:p w14:paraId="3C4B5982" w14:textId="77777777" w:rsidR="00B47FF5" w:rsidRDefault="00B47FF5" w:rsidP="0020732A">
      <w:pPr>
        <w:pStyle w:val="FootnoteText"/>
      </w:pPr>
      <w:r>
        <w:rPr>
          <w:rStyle w:val="FootnoteReference"/>
        </w:rPr>
        <w:footnoteRef/>
      </w:r>
      <w:r>
        <w:rPr>
          <w:rtl/>
        </w:rPr>
        <w:t xml:space="preserve"> </w:t>
      </w:r>
      <w:r w:rsidRPr="00922A5B">
        <w:t>Rationals</w:t>
      </w:r>
    </w:p>
  </w:footnote>
  <w:footnote w:id="630">
    <w:p w14:paraId="31B5B5AE" w14:textId="77777777" w:rsidR="00B47FF5" w:rsidRDefault="00B47FF5" w:rsidP="0020732A">
      <w:pPr>
        <w:pStyle w:val="FootnoteText"/>
      </w:pPr>
      <w:r>
        <w:rPr>
          <w:rStyle w:val="FootnoteReference"/>
        </w:rPr>
        <w:footnoteRef/>
      </w:r>
      <w:r>
        <w:rPr>
          <w:rtl/>
        </w:rPr>
        <w:t xml:space="preserve"> </w:t>
      </w:r>
      <w:r w:rsidRPr="003E1988">
        <w:t>Keirsey Temperament Sorter</w:t>
      </w:r>
    </w:p>
  </w:footnote>
  <w:footnote w:id="631">
    <w:p w14:paraId="2307ABCE" w14:textId="5F3EA667" w:rsidR="00B47FF5" w:rsidRDefault="00B47FF5" w:rsidP="0020732A">
      <w:pPr>
        <w:pStyle w:val="FootnoteText"/>
      </w:pPr>
      <w:r>
        <w:rPr>
          <w:rStyle w:val="FootnoteReference"/>
        </w:rPr>
        <w:footnoteRef/>
      </w:r>
      <w:r>
        <w:rPr>
          <w:rtl/>
        </w:rPr>
        <w:t xml:space="preserve"> </w:t>
      </w:r>
      <w:r>
        <w:t>Intelligence</w:t>
      </w:r>
    </w:p>
  </w:footnote>
  <w:footnote w:id="632">
    <w:p w14:paraId="7856BE45" w14:textId="77777777" w:rsidR="00B47FF5" w:rsidRDefault="00B47FF5" w:rsidP="0020732A">
      <w:pPr>
        <w:pStyle w:val="FootnoteText"/>
      </w:pPr>
      <w:r>
        <w:rPr>
          <w:rStyle w:val="FootnoteReference"/>
        </w:rPr>
        <w:footnoteRef/>
      </w:r>
      <w:r>
        <w:rPr>
          <w:rtl/>
        </w:rPr>
        <w:t xml:space="preserve"> </w:t>
      </w:r>
      <w:r w:rsidRPr="00922A5B">
        <w:t>Please Understand Me II</w:t>
      </w:r>
    </w:p>
  </w:footnote>
  <w:footnote w:id="633">
    <w:p w14:paraId="32CE655D" w14:textId="77777777" w:rsidR="00B47FF5" w:rsidRDefault="00B47FF5" w:rsidP="0020732A">
      <w:pPr>
        <w:pStyle w:val="FootnoteText"/>
      </w:pPr>
      <w:r>
        <w:rPr>
          <w:rStyle w:val="FootnoteReference"/>
        </w:rPr>
        <w:footnoteRef/>
      </w:r>
      <w:r>
        <w:rPr>
          <w:rtl/>
        </w:rPr>
        <w:t xml:space="preserve"> </w:t>
      </w:r>
      <w:r w:rsidRPr="00922A5B">
        <w:t>Portraits of Temperament</w:t>
      </w:r>
    </w:p>
  </w:footnote>
  <w:footnote w:id="634">
    <w:p w14:paraId="331363D9" w14:textId="0CB790B5" w:rsidR="00B47FF5" w:rsidRDefault="00B47FF5" w:rsidP="0020732A">
      <w:pPr>
        <w:pStyle w:val="FootnoteText"/>
      </w:pPr>
      <w:r>
        <w:rPr>
          <w:rStyle w:val="FootnoteReference"/>
        </w:rPr>
        <w:footnoteRef/>
      </w:r>
      <w:r>
        <w:rPr>
          <w:rtl/>
        </w:rPr>
        <w:t xml:space="preserve"> </w:t>
      </w:r>
      <w:r>
        <w:t>Opportunity thinking</w:t>
      </w:r>
    </w:p>
  </w:footnote>
  <w:footnote w:id="635">
    <w:p w14:paraId="09EA451E" w14:textId="55ED2D79" w:rsidR="00B47FF5" w:rsidRDefault="00B47FF5" w:rsidP="0020732A">
      <w:pPr>
        <w:pStyle w:val="FootnoteText"/>
      </w:pPr>
      <w:r>
        <w:rPr>
          <w:rStyle w:val="FootnoteReference"/>
        </w:rPr>
        <w:footnoteRef/>
      </w:r>
      <w:r>
        <w:rPr>
          <w:rtl/>
        </w:rPr>
        <w:t xml:space="preserve"> </w:t>
      </w:r>
      <w:r>
        <w:t>Expressed</w:t>
      </w:r>
    </w:p>
  </w:footnote>
  <w:footnote w:id="636">
    <w:p w14:paraId="0E1B2EC3" w14:textId="04CA0790" w:rsidR="00B47FF5" w:rsidRPr="00E6564A" w:rsidRDefault="00B47FF5" w:rsidP="00E6564A">
      <w:pPr>
        <w:pStyle w:val="FootnoteText"/>
        <w:rPr>
          <w:rtl/>
        </w:rPr>
      </w:pPr>
      <w:r>
        <w:rPr>
          <w:rStyle w:val="FootnoteReference"/>
        </w:rPr>
        <w:footnoteRef/>
      </w:r>
      <w:r>
        <w:t xml:space="preserve"> N</w:t>
      </w:r>
      <w:r w:rsidRPr="00E6564A">
        <w:t>on-sentiment planning</w:t>
      </w:r>
    </w:p>
  </w:footnote>
  <w:footnote w:id="637">
    <w:p w14:paraId="7B6A35BC" w14:textId="77777777" w:rsidR="00B47FF5" w:rsidRDefault="00B47FF5" w:rsidP="0020732A">
      <w:pPr>
        <w:pStyle w:val="FootnoteText"/>
      </w:pPr>
      <w:r>
        <w:rPr>
          <w:rStyle w:val="FootnoteReference"/>
        </w:rPr>
        <w:footnoteRef/>
      </w:r>
      <w:r>
        <w:rPr>
          <w:rtl/>
        </w:rPr>
        <w:t xml:space="preserve"> </w:t>
      </w:r>
      <w:r w:rsidRPr="00A12C74">
        <w:t>Rethinking Positive Thinking</w:t>
      </w:r>
    </w:p>
  </w:footnote>
  <w:footnote w:id="638">
    <w:p w14:paraId="349C6316" w14:textId="77777777" w:rsidR="00B47FF5" w:rsidRDefault="00B47FF5" w:rsidP="0020732A">
      <w:pPr>
        <w:pStyle w:val="FootnoteText"/>
      </w:pPr>
      <w:r>
        <w:rPr>
          <w:rStyle w:val="FootnoteReference"/>
        </w:rPr>
        <w:footnoteRef/>
      </w:r>
      <w:r>
        <w:rPr>
          <w:rtl/>
        </w:rPr>
        <w:t xml:space="preserve"> </w:t>
      </w:r>
      <w:r w:rsidRPr="00A12C74">
        <w:t>The Psychology of the Thinking About the Future</w:t>
      </w:r>
    </w:p>
  </w:footnote>
  <w:footnote w:id="639">
    <w:p w14:paraId="6E920B25" w14:textId="77777777" w:rsidR="00B47FF5" w:rsidRDefault="00B47FF5" w:rsidP="0020732A">
      <w:pPr>
        <w:pStyle w:val="FootnoteText"/>
      </w:pPr>
      <w:r>
        <w:rPr>
          <w:rStyle w:val="FootnoteReference"/>
        </w:rPr>
        <w:footnoteRef/>
      </w:r>
      <w:r>
        <w:rPr>
          <w:rtl/>
        </w:rPr>
        <w:t xml:space="preserve"> </w:t>
      </w:r>
      <w:r w:rsidRPr="007E3793">
        <w:t>New York University</w:t>
      </w:r>
    </w:p>
  </w:footnote>
  <w:footnote w:id="640">
    <w:p w14:paraId="73C28792" w14:textId="77777777" w:rsidR="00B47FF5" w:rsidRDefault="00B47FF5" w:rsidP="0020732A">
      <w:pPr>
        <w:pStyle w:val="FootnoteText"/>
      </w:pPr>
      <w:r>
        <w:rPr>
          <w:rStyle w:val="FootnoteReference"/>
        </w:rPr>
        <w:footnoteRef/>
      </w:r>
      <w:r>
        <w:rPr>
          <w:rtl/>
        </w:rPr>
        <w:t xml:space="preserve"> </w:t>
      </w:r>
      <w:r w:rsidRPr="008F2BA4">
        <w:t>Wish</w:t>
      </w:r>
    </w:p>
  </w:footnote>
  <w:footnote w:id="641">
    <w:p w14:paraId="08D7D312" w14:textId="77777777" w:rsidR="00B47FF5" w:rsidRDefault="00B47FF5" w:rsidP="0020732A">
      <w:pPr>
        <w:pStyle w:val="FootnoteText"/>
      </w:pPr>
      <w:r>
        <w:rPr>
          <w:rStyle w:val="FootnoteReference"/>
        </w:rPr>
        <w:footnoteRef/>
      </w:r>
      <w:r>
        <w:rPr>
          <w:rtl/>
        </w:rPr>
        <w:t xml:space="preserve"> </w:t>
      </w:r>
      <w:r w:rsidRPr="008F2BA4">
        <w:t>Obstacles</w:t>
      </w:r>
    </w:p>
  </w:footnote>
  <w:footnote w:id="642">
    <w:p w14:paraId="5AC903B9" w14:textId="3519D105" w:rsidR="00B47FF5" w:rsidRDefault="00B47FF5" w:rsidP="0020732A">
      <w:pPr>
        <w:pStyle w:val="FootnoteText"/>
      </w:pPr>
      <w:r>
        <w:rPr>
          <w:rStyle w:val="FootnoteReference"/>
        </w:rPr>
        <w:footnoteRef/>
      </w:r>
      <w:r>
        <w:rPr>
          <w:rtl/>
        </w:rPr>
        <w:t xml:space="preserve"> </w:t>
      </w:r>
      <w:r>
        <w:t>Intention</w:t>
      </w:r>
    </w:p>
  </w:footnote>
  <w:footnote w:id="643">
    <w:p w14:paraId="6CA0B429" w14:textId="77777777" w:rsidR="00B47FF5" w:rsidRDefault="00B47FF5" w:rsidP="0020732A">
      <w:pPr>
        <w:pStyle w:val="FootnoteText"/>
      </w:pPr>
      <w:r>
        <w:rPr>
          <w:rStyle w:val="FootnoteReference"/>
        </w:rPr>
        <w:footnoteRef/>
      </w:r>
      <w:r>
        <w:rPr>
          <w:rtl/>
        </w:rPr>
        <w:t xml:space="preserve"> </w:t>
      </w:r>
      <w:r w:rsidRPr="00FE080F">
        <w:t>Mental Contrasting with Implementation Intentions</w:t>
      </w:r>
    </w:p>
  </w:footnote>
  <w:footnote w:id="644">
    <w:p w14:paraId="6C2C6E92" w14:textId="23D76746" w:rsidR="00B47FF5" w:rsidRDefault="00B47FF5" w:rsidP="0020732A">
      <w:pPr>
        <w:pStyle w:val="FootnoteText"/>
      </w:pPr>
      <w:r>
        <w:rPr>
          <w:rStyle w:val="FootnoteReference"/>
        </w:rPr>
        <w:footnoteRef/>
      </w:r>
      <w:r>
        <w:rPr>
          <w:rtl/>
        </w:rPr>
        <w:t xml:space="preserve"> </w:t>
      </w:r>
      <w:r>
        <w:t>Reverse contrasting</w:t>
      </w:r>
    </w:p>
  </w:footnote>
  <w:footnote w:id="645">
    <w:p w14:paraId="7F9AC39B" w14:textId="77777777" w:rsidR="00B47FF5" w:rsidRDefault="00B47FF5" w:rsidP="0020732A">
      <w:pPr>
        <w:pStyle w:val="FootnoteText"/>
      </w:pPr>
      <w:r>
        <w:rPr>
          <w:rStyle w:val="FootnoteReference"/>
        </w:rPr>
        <w:footnoteRef/>
      </w:r>
      <w:r>
        <w:rPr>
          <w:rtl/>
        </w:rPr>
        <w:t xml:space="preserve"> </w:t>
      </w:r>
      <w:r w:rsidRPr="007E3793">
        <w:t>Fred Polak</w:t>
      </w:r>
    </w:p>
  </w:footnote>
  <w:footnote w:id="646">
    <w:p w14:paraId="6F4F1927" w14:textId="77777777" w:rsidR="00B47FF5" w:rsidRDefault="00B47FF5" w:rsidP="0020732A">
      <w:pPr>
        <w:pStyle w:val="FootnoteText"/>
      </w:pPr>
      <w:r>
        <w:rPr>
          <w:rStyle w:val="FootnoteReference"/>
        </w:rPr>
        <w:footnoteRef/>
      </w:r>
      <w:r>
        <w:rPr>
          <w:rtl/>
        </w:rPr>
        <w:t xml:space="preserve"> </w:t>
      </w:r>
      <w:r w:rsidRPr="00AC30AD">
        <w:t>The Image of the Future</w:t>
      </w:r>
    </w:p>
  </w:footnote>
  <w:footnote w:id="647">
    <w:p w14:paraId="4884D325" w14:textId="77777777" w:rsidR="00B47FF5" w:rsidRDefault="00B47FF5" w:rsidP="0020732A">
      <w:pPr>
        <w:pStyle w:val="FootnoteText"/>
      </w:pPr>
      <w:r>
        <w:rPr>
          <w:rStyle w:val="FootnoteReference"/>
        </w:rPr>
        <w:footnoteRef/>
      </w:r>
      <w:r>
        <w:rPr>
          <w:rtl/>
        </w:rPr>
        <w:t xml:space="preserve"> </w:t>
      </w:r>
      <w:r>
        <w:t>Quality of Vision</w:t>
      </w:r>
    </w:p>
  </w:footnote>
  <w:footnote w:id="648">
    <w:p w14:paraId="2AA51486" w14:textId="77777777" w:rsidR="00B47FF5" w:rsidRDefault="00B47FF5" w:rsidP="0020732A">
      <w:pPr>
        <w:pStyle w:val="FootnoteText"/>
      </w:pPr>
      <w:r>
        <w:rPr>
          <w:rStyle w:val="FootnoteReference"/>
        </w:rPr>
        <w:footnoteRef/>
      </w:r>
      <w:r>
        <w:rPr>
          <w:rtl/>
        </w:rPr>
        <w:t xml:space="preserve"> </w:t>
      </w:r>
      <w:r w:rsidRPr="0041276F">
        <w:t>Goal, Reality, Obstacles/Options, Way Forward</w:t>
      </w:r>
    </w:p>
  </w:footnote>
  <w:footnote w:id="649">
    <w:p w14:paraId="1A11299B" w14:textId="77777777" w:rsidR="00B47FF5" w:rsidRDefault="00B47FF5" w:rsidP="0020732A">
      <w:pPr>
        <w:pStyle w:val="FootnoteText"/>
      </w:pPr>
      <w:r>
        <w:rPr>
          <w:rStyle w:val="FootnoteReference"/>
        </w:rPr>
        <w:footnoteRef/>
      </w:r>
      <w:r>
        <w:rPr>
          <w:rtl/>
        </w:rPr>
        <w:t xml:space="preserve"> </w:t>
      </w:r>
      <w:r w:rsidRPr="007E3793">
        <w:t>Tim Gallwey</w:t>
      </w:r>
    </w:p>
  </w:footnote>
  <w:footnote w:id="650">
    <w:p w14:paraId="1F75D961" w14:textId="77777777" w:rsidR="00B47FF5" w:rsidRDefault="00B47FF5" w:rsidP="0020732A">
      <w:pPr>
        <w:pStyle w:val="FootnoteText"/>
      </w:pPr>
      <w:r>
        <w:rPr>
          <w:rStyle w:val="FootnoteReference"/>
        </w:rPr>
        <w:footnoteRef/>
      </w:r>
      <w:r>
        <w:rPr>
          <w:rtl/>
        </w:rPr>
        <w:t xml:space="preserve"> </w:t>
      </w:r>
      <w:r w:rsidRPr="00976481">
        <w:t>The Inner Game of Tennis</w:t>
      </w:r>
    </w:p>
  </w:footnote>
  <w:footnote w:id="651">
    <w:p w14:paraId="07212F51" w14:textId="77777777" w:rsidR="00B47FF5" w:rsidRDefault="00B47FF5" w:rsidP="0020732A">
      <w:pPr>
        <w:pStyle w:val="FootnoteText"/>
      </w:pPr>
      <w:r>
        <w:rPr>
          <w:rStyle w:val="FootnoteReference"/>
        </w:rPr>
        <w:footnoteRef/>
      </w:r>
      <w:r>
        <w:rPr>
          <w:rtl/>
        </w:rPr>
        <w:t xml:space="preserve"> </w:t>
      </w:r>
      <w:r w:rsidRPr="00976481">
        <w:t>Coaching for Performance</w:t>
      </w:r>
    </w:p>
  </w:footnote>
  <w:footnote w:id="652">
    <w:p w14:paraId="1F20D812" w14:textId="77777777" w:rsidR="00B47FF5" w:rsidRDefault="00B47FF5" w:rsidP="0020732A">
      <w:pPr>
        <w:pStyle w:val="FootnoteText"/>
      </w:pPr>
      <w:r>
        <w:rPr>
          <w:rStyle w:val="FootnoteReference"/>
        </w:rPr>
        <w:footnoteRef/>
      </w:r>
      <w:r>
        <w:rPr>
          <w:rtl/>
        </w:rPr>
        <w:t xml:space="preserve"> </w:t>
      </w:r>
      <w:r w:rsidRPr="007E3793">
        <w:t>Peter Gollwiter</w:t>
      </w:r>
    </w:p>
  </w:footnote>
  <w:footnote w:id="653">
    <w:p w14:paraId="4A0DF35E" w14:textId="6AA44565" w:rsidR="00B47FF5" w:rsidRDefault="00B47FF5" w:rsidP="0020732A">
      <w:pPr>
        <w:pStyle w:val="FootnoteText"/>
      </w:pPr>
      <w:r>
        <w:rPr>
          <w:rStyle w:val="FootnoteReference"/>
        </w:rPr>
        <w:footnoteRef/>
      </w:r>
      <w:r>
        <w:rPr>
          <w:rtl/>
        </w:rPr>
        <w:t xml:space="preserve"> </w:t>
      </w:r>
      <w:r w:rsidRPr="004753C2">
        <w:t>Impulse control</w:t>
      </w:r>
    </w:p>
  </w:footnote>
  <w:footnote w:id="654">
    <w:p w14:paraId="143E4C45" w14:textId="77777777" w:rsidR="00B47FF5" w:rsidRDefault="00B47FF5" w:rsidP="0020732A">
      <w:pPr>
        <w:pStyle w:val="FootnoteText"/>
      </w:pPr>
      <w:r>
        <w:rPr>
          <w:rStyle w:val="FootnoteReference"/>
        </w:rPr>
        <w:footnoteRef/>
      </w:r>
      <w:r>
        <w:rPr>
          <w:rtl/>
        </w:rPr>
        <w:t xml:space="preserve"> </w:t>
      </w:r>
      <w:r w:rsidRPr="004753C2">
        <w:t>Implementation Intentions</w:t>
      </w:r>
    </w:p>
  </w:footnote>
  <w:footnote w:id="655">
    <w:p w14:paraId="3500B4DB" w14:textId="77777777" w:rsidR="00B47FF5" w:rsidRDefault="00B47FF5" w:rsidP="0020732A">
      <w:pPr>
        <w:pStyle w:val="FootnoteText"/>
      </w:pPr>
      <w:r>
        <w:rPr>
          <w:rStyle w:val="FootnoteReference"/>
        </w:rPr>
        <w:footnoteRef/>
      </w:r>
      <w:r>
        <w:rPr>
          <w:rtl/>
        </w:rPr>
        <w:t xml:space="preserve"> </w:t>
      </w:r>
      <w:r w:rsidRPr="007E3793">
        <w:t>Gollwitzer</w:t>
      </w:r>
    </w:p>
  </w:footnote>
  <w:footnote w:id="656">
    <w:p w14:paraId="7726FB77" w14:textId="77777777" w:rsidR="00B47FF5" w:rsidRDefault="00B47FF5" w:rsidP="0020732A">
      <w:pPr>
        <w:pStyle w:val="FootnoteText"/>
      </w:pPr>
      <w:r>
        <w:rPr>
          <w:rStyle w:val="FootnoteReference"/>
        </w:rPr>
        <w:footnoteRef/>
      </w:r>
      <w:r>
        <w:rPr>
          <w:rtl/>
        </w:rPr>
        <w:t xml:space="preserve"> </w:t>
      </w:r>
      <w:r w:rsidRPr="00354A56">
        <w:t>Repeated Operations</w:t>
      </w:r>
    </w:p>
  </w:footnote>
  <w:footnote w:id="657">
    <w:p w14:paraId="2D89F021" w14:textId="1D16F89C" w:rsidR="00B47FF5" w:rsidRDefault="00B47FF5" w:rsidP="0020732A">
      <w:pPr>
        <w:pStyle w:val="FootnoteText"/>
      </w:pPr>
      <w:r>
        <w:rPr>
          <w:rStyle w:val="FootnoteReference"/>
        </w:rPr>
        <w:footnoteRef/>
      </w:r>
      <w:r>
        <w:rPr>
          <w:rtl/>
        </w:rPr>
        <w:t xml:space="preserve"> </w:t>
      </w:r>
      <w:r w:rsidRPr="00F55337">
        <w:t>High-reliability organizations</w:t>
      </w:r>
    </w:p>
  </w:footnote>
  <w:footnote w:id="658">
    <w:p w14:paraId="1FCDEB0C" w14:textId="279F6FF6" w:rsidR="00B47FF5" w:rsidRDefault="00B47FF5" w:rsidP="0020732A">
      <w:pPr>
        <w:pStyle w:val="FootnoteText"/>
      </w:pPr>
      <w:r>
        <w:rPr>
          <w:rStyle w:val="FootnoteReference"/>
        </w:rPr>
        <w:footnoteRef/>
      </w:r>
      <w:r>
        <w:rPr>
          <w:rtl/>
        </w:rPr>
        <w:t xml:space="preserve"> </w:t>
      </w:r>
      <w:r>
        <w:t>Familiar ground</w:t>
      </w:r>
    </w:p>
  </w:footnote>
  <w:footnote w:id="659">
    <w:p w14:paraId="39BEE2A8" w14:textId="7A3F60AC" w:rsidR="00B47FF5" w:rsidRDefault="00B47FF5" w:rsidP="0020732A">
      <w:pPr>
        <w:pStyle w:val="FootnoteText"/>
      </w:pPr>
      <w:r>
        <w:rPr>
          <w:rStyle w:val="FootnoteReference"/>
        </w:rPr>
        <w:footnoteRef/>
      </w:r>
      <w:r>
        <w:rPr>
          <w:rtl/>
        </w:rPr>
        <w:t xml:space="preserve"> </w:t>
      </w:r>
      <w:r>
        <w:t>Possibility thinking</w:t>
      </w:r>
    </w:p>
  </w:footnote>
  <w:footnote w:id="660">
    <w:p w14:paraId="6B0A22D1" w14:textId="77777777" w:rsidR="00B47FF5" w:rsidRDefault="00B47FF5" w:rsidP="0020732A">
      <w:pPr>
        <w:pStyle w:val="FootnoteText"/>
      </w:pPr>
      <w:r>
        <w:rPr>
          <w:rStyle w:val="FootnoteReference"/>
        </w:rPr>
        <w:footnoteRef/>
      </w:r>
      <w:r>
        <w:rPr>
          <w:rtl/>
        </w:rPr>
        <w:t xml:space="preserve"> </w:t>
      </w:r>
      <w:r>
        <w:t>Freedom Bias</w:t>
      </w:r>
    </w:p>
  </w:footnote>
  <w:footnote w:id="661">
    <w:p w14:paraId="7EE69951" w14:textId="1D101909" w:rsidR="00B47FF5" w:rsidRDefault="00B47FF5" w:rsidP="0020732A">
      <w:pPr>
        <w:pStyle w:val="FootnoteText"/>
      </w:pPr>
      <w:r>
        <w:rPr>
          <w:rStyle w:val="FootnoteReference"/>
        </w:rPr>
        <w:footnoteRef/>
      </w:r>
      <w:r>
        <w:rPr>
          <w:rtl/>
        </w:rPr>
        <w:t xml:space="preserve"> </w:t>
      </w:r>
      <w:r>
        <w:t>Environmental scanning</w:t>
      </w:r>
    </w:p>
  </w:footnote>
  <w:footnote w:id="662">
    <w:p w14:paraId="6F94C01E" w14:textId="77777777" w:rsidR="00B47FF5" w:rsidRDefault="00B47FF5" w:rsidP="0020732A">
      <w:pPr>
        <w:pStyle w:val="FootnoteText"/>
      </w:pPr>
      <w:r>
        <w:rPr>
          <w:rStyle w:val="FootnoteReference"/>
        </w:rPr>
        <w:footnoteRef/>
      </w:r>
      <w:r>
        <w:rPr>
          <w:rtl/>
        </w:rPr>
        <w:t xml:space="preserve"> </w:t>
      </w:r>
      <w:r w:rsidRPr="007A6B2C">
        <w:t>Advantage Assessment</w:t>
      </w:r>
    </w:p>
  </w:footnote>
  <w:footnote w:id="663">
    <w:p w14:paraId="389B3D4E" w14:textId="77777777" w:rsidR="00B47FF5" w:rsidRDefault="00B47FF5" w:rsidP="0020732A">
      <w:pPr>
        <w:pStyle w:val="FootnoteText"/>
      </w:pPr>
      <w:r>
        <w:rPr>
          <w:rStyle w:val="FootnoteReference"/>
        </w:rPr>
        <w:footnoteRef/>
      </w:r>
      <w:r>
        <w:rPr>
          <w:rtl/>
        </w:rPr>
        <w:t xml:space="preserve"> </w:t>
      </w:r>
      <w:r w:rsidRPr="007A6B2C">
        <w:t>Opportunity Assessment</w:t>
      </w:r>
    </w:p>
  </w:footnote>
  <w:footnote w:id="664">
    <w:p w14:paraId="368B9D4C" w14:textId="77777777" w:rsidR="00B47FF5" w:rsidRDefault="00B47FF5" w:rsidP="0020732A">
      <w:pPr>
        <w:pStyle w:val="FootnoteText"/>
      </w:pPr>
      <w:r>
        <w:rPr>
          <w:rStyle w:val="FootnoteReference"/>
        </w:rPr>
        <w:footnoteRef/>
      </w:r>
      <w:r>
        <w:rPr>
          <w:rtl/>
        </w:rPr>
        <w:t xml:space="preserve"> </w:t>
      </w:r>
      <w:r>
        <w:t>Advantage</w:t>
      </w:r>
    </w:p>
  </w:footnote>
  <w:footnote w:id="665">
    <w:p w14:paraId="140EAC23" w14:textId="77777777" w:rsidR="00B47FF5" w:rsidRDefault="00B47FF5" w:rsidP="0020732A">
      <w:pPr>
        <w:pStyle w:val="FootnoteText"/>
      </w:pPr>
      <w:r>
        <w:rPr>
          <w:rStyle w:val="FootnoteReference"/>
        </w:rPr>
        <w:footnoteRef/>
      </w:r>
      <w:r>
        <w:rPr>
          <w:rtl/>
        </w:rPr>
        <w:t xml:space="preserve"> </w:t>
      </w:r>
      <w:r w:rsidRPr="001B094C">
        <w:t>Disruption</w:t>
      </w:r>
    </w:p>
  </w:footnote>
  <w:footnote w:id="666">
    <w:p w14:paraId="11EE6846" w14:textId="77777777" w:rsidR="00B47FF5" w:rsidRDefault="00B47FF5" w:rsidP="0020732A">
      <w:pPr>
        <w:pStyle w:val="FootnoteText"/>
      </w:pPr>
      <w:r>
        <w:rPr>
          <w:rStyle w:val="FootnoteReference"/>
        </w:rPr>
        <w:footnoteRef/>
      </w:r>
      <w:r>
        <w:rPr>
          <w:rtl/>
        </w:rPr>
        <w:t xml:space="preserve"> </w:t>
      </w:r>
      <w:r w:rsidRPr="00387F17">
        <w:t>Risk Assessment</w:t>
      </w:r>
    </w:p>
  </w:footnote>
  <w:footnote w:id="667">
    <w:p w14:paraId="153790FD" w14:textId="77777777" w:rsidR="00B47FF5" w:rsidRDefault="00B47FF5" w:rsidP="0020732A">
      <w:pPr>
        <w:pStyle w:val="FootnoteText"/>
      </w:pPr>
      <w:r>
        <w:rPr>
          <w:rStyle w:val="FootnoteReference"/>
        </w:rPr>
        <w:footnoteRef/>
      </w:r>
      <w:r>
        <w:rPr>
          <w:rtl/>
        </w:rPr>
        <w:t xml:space="preserve"> </w:t>
      </w:r>
      <w:r>
        <w:t>Threats</w:t>
      </w:r>
    </w:p>
  </w:footnote>
  <w:footnote w:id="668">
    <w:p w14:paraId="0FC1EA8B" w14:textId="6171DF0E" w:rsidR="00B47FF5" w:rsidRDefault="00B47FF5" w:rsidP="0020732A">
      <w:pPr>
        <w:pStyle w:val="FootnoteText"/>
      </w:pPr>
      <w:r>
        <w:rPr>
          <w:rStyle w:val="FootnoteReference"/>
        </w:rPr>
        <w:footnoteRef/>
      </w:r>
      <w:r>
        <w:rPr>
          <w:rtl/>
        </w:rPr>
        <w:t xml:space="preserve"> </w:t>
      </w:r>
      <w:r>
        <w:t>Likelihood</w:t>
      </w:r>
    </w:p>
  </w:footnote>
  <w:footnote w:id="669">
    <w:p w14:paraId="1D4F9C8E" w14:textId="1F9D73DB" w:rsidR="00B47FF5" w:rsidRDefault="00B47FF5" w:rsidP="0020732A">
      <w:pPr>
        <w:pStyle w:val="FootnoteText"/>
      </w:pPr>
      <w:r>
        <w:rPr>
          <w:rStyle w:val="FootnoteReference"/>
        </w:rPr>
        <w:footnoteRef/>
      </w:r>
      <w:r>
        <w:rPr>
          <w:rtl/>
        </w:rPr>
        <w:t xml:space="preserve"> </w:t>
      </w:r>
      <w:r w:rsidRPr="00754A55">
        <w:t>Their potential magnitude</w:t>
      </w:r>
    </w:p>
  </w:footnote>
  <w:footnote w:id="670">
    <w:p w14:paraId="1235C70F" w14:textId="77777777" w:rsidR="00B47FF5" w:rsidRDefault="00B47FF5" w:rsidP="0020732A">
      <w:pPr>
        <w:pStyle w:val="FootnoteText"/>
      </w:pPr>
      <w:r>
        <w:rPr>
          <w:rStyle w:val="FootnoteReference"/>
        </w:rPr>
        <w:footnoteRef/>
      </w:r>
      <w:r>
        <w:rPr>
          <w:rtl/>
        </w:rPr>
        <w:t xml:space="preserve"> </w:t>
      </w:r>
      <w:r>
        <w:t>What</w:t>
      </w:r>
    </w:p>
  </w:footnote>
  <w:footnote w:id="671">
    <w:p w14:paraId="34224B43" w14:textId="18C3D04B" w:rsidR="00B47FF5" w:rsidRDefault="00B47FF5" w:rsidP="0020732A">
      <w:pPr>
        <w:pStyle w:val="FootnoteText"/>
      </w:pPr>
      <w:r>
        <w:rPr>
          <w:rStyle w:val="FootnoteReference"/>
        </w:rPr>
        <w:footnoteRef/>
      </w:r>
      <w:r>
        <w:rPr>
          <w:rtl/>
        </w:rPr>
        <w:t xml:space="preserve"> </w:t>
      </w:r>
      <w:r w:rsidRPr="00C16224">
        <w:t>Internal assessment</w:t>
      </w:r>
    </w:p>
  </w:footnote>
  <w:footnote w:id="672">
    <w:p w14:paraId="22AE27C0" w14:textId="77777777" w:rsidR="00B47FF5" w:rsidRDefault="00B47FF5" w:rsidP="0020732A">
      <w:pPr>
        <w:pStyle w:val="FootnoteText"/>
      </w:pPr>
      <w:r>
        <w:rPr>
          <w:rStyle w:val="FootnoteReference"/>
        </w:rPr>
        <w:footnoteRef/>
      </w:r>
      <w:r>
        <w:rPr>
          <w:rtl/>
        </w:rPr>
        <w:t xml:space="preserve"> </w:t>
      </w:r>
      <w:r w:rsidRPr="003B1CB0">
        <w:t>Strengths, Weaknesses</w:t>
      </w:r>
      <w:r>
        <w:t xml:space="preserve">, </w:t>
      </w:r>
      <w:r w:rsidRPr="003B1CB0">
        <w:t>Opportunities, and Threats</w:t>
      </w:r>
    </w:p>
  </w:footnote>
  <w:footnote w:id="673">
    <w:p w14:paraId="0E37C57F" w14:textId="77777777" w:rsidR="00B47FF5" w:rsidRDefault="00B47FF5" w:rsidP="0020732A">
      <w:pPr>
        <w:pStyle w:val="FootnoteText"/>
      </w:pPr>
      <w:r>
        <w:rPr>
          <w:rStyle w:val="FootnoteReference"/>
        </w:rPr>
        <w:footnoteRef/>
      </w:r>
      <w:r>
        <w:rPr>
          <w:rtl/>
        </w:rPr>
        <w:t xml:space="preserve"> </w:t>
      </w:r>
      <w:r w:rsidRPr="004C223F">
        <w:t>Albert Humphrey</w:t>
      </w:r>
    </w:p>
  </w:footnote>
  <w:footnote w:id="674">
    <w:p w14:paraId="0CA05D53" w14:textId="31D795BE" w:rsidR="00B47FF5" w:rsidRDefault="00B47FF5" w:rsidP="0020732A">
      <w:pPr>
        <w:pStyle w:val="FootnoteText"/>
      </w:pPr>
      <w:r>
        <w:rPr>
          <w:rStyle w:val="FootnoteReference"/>
        </w:rPr>
        <w:footnoteRef/>
      </w:r>
      <w:r>
        <w:rPr>
          <w:rtl/>
        </w:rPr>
        <w:t xml:space="preserve"> </w:t>
      </w:r>
      <w:r>
        <w:t>Forced</w:t>
      </w:r>
    </w:p>
  </w:footnote>
  <w:footnote w:id="675">
    <w:p w14:paraId="7F28F7DD" w14:textId="77777777" w:rsidR="00B47FF5" w:rsidRDefault="00B47FF5" w:rsidP="0020732A">
      <w:pPr>
        <w:pStyle w:val="FootnoteText"/>
      </w:pPr>
      <w:r>
        <w:rPr>
          <w:rStyle w:val="FootnoteReference"/>
        </w:rPr>
        <w:footnoteRef/>
      </w:r>
      <w:r>
        <w:rPr>
          <w:rtl/>
        </w:rPr>
        <w:t xml:space="preserve"> </w:t>
      </w:r>
      <w:r w:rsidRPr="004C223F">
        <w:t>Roger Martin</w:t>
      </w:r>
    </w:p>
  </w:footnote>
  <w:footnote w:id="676">
    <w:p w14:paraId="61B9DAC2" w14:textId="11B2F62F" w:rsidR="00B47FF5" w:rsidRDefault="00B47FF5" w:rsidP="0020732A">
      <w:pPr>
        <w:pStyle w:val="FootnoteText"/>
      </w:pPr>
      <w:r>
        <w:rPr>
          <w:rStyle w:val="FootnoteReference"/>
        </w:rPr>
        <w:footnoteRef/>
      </w:r>
      <w:r>
        <w:rPr>
          <w:rtl/>
        </w:rPr>
        <w:t xml:space="preserve"> </w:t>
      </w:r>
      <w:r w:rsidRPr="00130215">
        <w:t>Oppositional thinking</w:t>
      </w:r>
    </w:p>
  </w:footnote>
  <w:footnote w:id="677">
    <w:p w14:paraId="320A3FE2" w14:textId="77777777" w:rsidR="00B47FF5" w:rsidRDefault="00B47FF5" w:rsidP="0020732A">
      <w:pPr>
        <w:pStyle w:val="FootnoteText"/>
      </w:pPr>
      <w:r>
        <w:rPr>
          <w:rStyle w:val="FootnoteReference"/>
        </w:rPr>
        <w:footnoteRef/>
      </w:r>
      <w:r>
        <w:rPr>
          <w:rtl/>
        </w:rPr>
        <w:t xml:space="preserve"> </w:t>
      </w:r>
      <w:r w:rsidRPr="00130215">
        <w:t>Horizon scanning</w:t>
      </w:r>
    </w:p>
  </w:footnote>
  <w:footnote w:id="678">
    <w:p w14:paraId="4E41A129" w14:textId="709D0821" w:rsidR="00B47FF5" w:rsidRDefault="00B47FF5" w:rsidP="0020732A">
      <w:pPr>
        <w:pStyle w:val="FootnoteText"/>
      </w:pPr>
      <w:r>
        <w:rPr>
          <w:rStyle w:val="FootnoteReference"/>
        </w:rPr>
        <w:footnoteRef/>
      </w:r>
      <w:r>
        <w:rPr>
          <w:rtl/>
        </w:rPr>
        <w:t xml:space="preserve"> </w:t>
      </w:r>
      <w:r>
        <w:t>Emerging issues analysis</w:t>
      </w:r>
    </w:p>
  </w:footnote>
  <w:footnote w:id="679">
    <w:p w14:paraId="46D0767D" w14:textId="77777777" w:rsidR="00B47FF5" w:rsidRDefault="00B47FF5" w:rsidP="0020732A">
      <w:pPr>
        <w:pStyle w:val="FootnoteText"/>
      </w:pPr>
      <w:r>
        <w:rPr>
          <w:rStyle w:val="FootnoteReference"/>
        </w:rPr>
        <w:footnoteRef/>
      </w:r>
      <w:r>
        <w:rPr>
          <w:rtl/>
        </w:rPr>
        <w:t xml:space="preserve"> </w:t>
      </w:r>
      <w:r>
        <w:t>General threat identification</w:t>
      </w:r>
    </w:p>
  </w:footnote>
  <w:footnote w:id="680">
    <w:p w14:paraId="465E7605" w14:textId="6D31161D" w:rsidR="00B47FF5" w:rsidRDefault="00B47FF5" w:rsidP="0020732A">
      <w:pPr>
        <w:pStyle w:val="FootnoteText"/>
      </w:pPr>
      <w:r>
        <w:rPr>
          <w:rStyle w:val="FootnoteReference"/>
        </w:rPr>
        <w:footnoteRef/>
      </w:r>
      <w:r>
        <w:rPr>
          <w:rtl/>
        </w:rPr>
        <w:t xml:space="preserve"> </w:t>
      </w:r>
      <w:r>
        <w:t>Alternating sequences</w:t>
      </w:r>
    </w:p>
  </w:footnote>
  <w:footnote w:id="681">
    <w:p w14:paraId="30E28B23" w14:textId="645758F6" w:rsidR="00B47FF5" w:rsidRDefault="00B47FF5" w:rsidP="0020732A">
      <w:pPr>
        <w:pStyle w:val="FootnoteText"/>
      </w:pPr>
      <w:r>
        <w:rPr>
          <w:rStyle w:val="FootnoteReference"/>
        </w:rPr>
        <w:footnoteRef/>
      </w:r>
      <w:r>
        <w:rPr>
          <w:rtl/>
        </w:rPr>
        <w:t xml:space="preserve"> </w:t>
      </w:r>
      <w:r>
        <w:t>Biologically-based</w:t>
      </w:r>
    </w:p>
  </w:footnote>
  <w:footnote w:id="682">
    <w:p w14:paraId="7E009813" w14:textId="77777777" w:rsidR="00B47FF5" w:rsidRDefault="00B47FF5" w:rsidP="0020732A">
      <w:pPr>
        <w:pStyle w:val="FootnoteText"/>
      </w:pPr>
      <w:r>
        <w:rPr>
          <w:rStyle w:val="FootnoteReference"/>
        </w:rPr>
        <w:footnoteRef/>
      </w:r>
      <w:r>
        <w:rPr>
          <w:rtl/>
        </w:rPr>
        <w:t xml:space="preserve"> </w:t>
      </w:r>
      <w:r>
        <w:t>Futures Cone</w:t>
      </w:r>
    </w:p>
  </w:footnote>
  <w:footnote w:id="683">
    <w:p w14:paraId="77D71359" w14:textId="77777777" w:rsidR="00B47FF5" w:rsidRDefault="00B47FF5" w:rsidP="0020732A">
      <w:pPr>
        <w:pStyle w:val="FootnoteText"/>
      </w:pPr>
      <w:r>
        <w:rPr>
          <w:rStyle w:val="FootnoteReference"/>
        </w:rPr>
        <w:footnoteRef/>
      </w:r>
      <w:r>
        <w:rPr>
          <w:rtl/>
        </w:rPr>
        <w:t xml:space="preserve"> </w:t>
      </w:r>
      <w:r w:rsidRPr="005C4F35">
        <w:t>Joseph Voros</w:t>
      </w:r>
    </w:p>
  </w:footnote>
  <w:footnote w:id="684">
    <w:p w14:paraId="5D0E789F" w14:textId="2D9CD025" w:rsidR="00274907" w:rsidRDefault="00274907">
      <w:pPr>
        <w:pStyle w:val="FootnoteText"/>
        <w:rPr>
          <w:rtl/>
        </w:rPr>
      </w:pPr>
      <w:r>
        <w:rPr>
          <w:rStyle w:val="FootnoteReference"/>
        </w:rPr>
        <w:footnoteRef/>
      </w:r>
      <w:r>
        <w:t xml:space="preserve"> </w:t>
      </w:r>
      <w:r w:rsidRPr="00274907">
        <w:t>The Futures cone, use and history</w:t>
      </w:r>
    </w:p>
  </w:footnote>
  <w:footnote w:id="685">
    <w:p w14:paraId="110E46AE" w14:textId="77777777" w:rsidR="00B47FF5" w:rsidRDefault="00B47FF5" w:rsidP="0020732A">
      <w:pPr>
        <w:pStyle w:val="FootnoteText"/>
      </w:pPr>
      <w:r>
        <w:rPr>
          <w:rStyle w:val="FootnoteReference"/>
        </w:rPr>
        <w:footnoteRef/>
      </w:r>
      <w:r>
        <w:rPr>
          <w:rtl/>
        </w:rPr>
        <w:t xml:space="preserve"> </w:t>
      </w:r>
      <w:r w:rsidRPr="005C4F35">
        <w:t>Charles Taylor</w:t>
      </w:r>
    </w:p>
  </w:footnote>
  <w:footnote w:id="686">
    <w:p w14:paraId="6BBA32BC" w14:textId="4E60C1CF" w:rsidR="00B47FF5" w:rsidRDefault="00B47FF5" w:rsidP="0020732A">
      <w:pPr>
        <w:pStyle w:val="FootnoteText"/>
      </w:pPr>
      <w:r>
        <w:rPr>
          <w:rStyle w:val="FootnoteReference"/>
        </w:rPr>
        <w:footnoteRef/>
      </w:r>
      <w:r>
        <w:rPr>
          <w:rtl/>
        </w:rPr>
        <w:t xml:space="preserve"> </w:t>
      </w:r>
      <w:r w:rsidRPr="00EA31DF">
        <w:t>Cone of plausibility</w:t>
      </w:r>
    </w:p>
  </w:footnote>
  <w:footnote w:id="687">
    <w:p w14:paraId="613958F8" w14:textId="72CF5159" w:rsidR="00B47FF5" w:rsidRDefault="00B47FF5" w:rsidP="0020732A">
      <w:pPr>
        <w:pStyle w:val="FootnoteText"/>
      </w:pPr>
      <w:r>
        <w:rPr>
          <w:rStyle w:val="FootnoteReference"/>
        </w:rPr>
        <w:footnoteRef/>
      </w:r>
      <w:r>
        <w:rPr>
          <w:rtl/>
        </w:rPr>
        <w:t xml:space="preserve"> </w:t>
      </w:r>
      <w:r>
        <w:t>Back cone</w:t>
      </w:r>
    </w:p>
  </w:footnote>
  <w:footnote w:id="688">
    <w:p w14:paraId="701719E7" w14:textId="77777777" w:rsidR="00B47FF5" w:rsidRDefault="00B47FF5" w:rsidP="0020732A">
      <w:pPr>
        <w:pStyle w:val="FootnoteText"/>
      </w:pPr>
      <w:r>
        <w:rPr>
          <w:rStyle w:val="FootnoteReference"/>
        </w:rPr>
        <w:footnoteRef/>
      </w:r>
      <w:r>
        <w:rPr>
          <w:rtl/>
        </w:rPr>
        <w:t xml:space="preserve"> </w:t>
      </w:r>
      <w:r w:rsidRPr="005C4F35">
        <w:t>Trevor Hancock</w:t>
      </w:r>
    </w:p>
  </w:footnote>
  <w:footnote w:id="689">
    <w:p w14:paraId="41499DC4" w14:textId="77777777" w:rsidR="00B47FF5" w:rsidRDefault="00B47FF5" w:rsidP="0020732A">
      <w:pPr>
        <w:pStyle w:val="FootnoteText"/>
      </w:pPr>
      <w:r>
        <w:rPr>
          <w:rStyle w:val="FootnoteReference"/>
        </w:rPr>
        <w:footnoteRef/>
      </w:r>
      <w:r>
        <w:rPr>
          <w:rtl/>
        </w:rPr>
        <w:t xml:space="preserve"> </w:t>
      </w:r>
      <w:r w:rsidRPr="005C4F35">
        <w:t>Clement Bezold</w:t>
      </w:r>
    </w:p>
  </w:footnote>
  <w:footnote w:id="690">
    <w:p w14:paraId="403642F1" w14:textId="77777777" w:rsidR="00B47FF5" w:rsidRDefault="00B47FF5" w:rsidP="0020732A">
      <w:pPr>
        <w:pStyle w:val="FootnoteText"/>
      </w:pPr>
      <w:r>
        <w:rPr>
          <w:rStyle w:val="FootnoteReference"/>
        </w:rPr>
        <w:footnoteRef/>
      </w:r>
      <w:r>
        <w:rPr>
          <w:rtl/>
        </w:rPr>
        <w:t xml:space="preserve"> </w:t>
      </w:r>
      <w:r>
        <w:t>Futures Cone</w:t>
      </w:r>
    </w:p>
  </w:footnote>
  <w:footnote w:id="691">
    <w:p w14:paraId="7CB2F01D" w14:textId="77777777" w:rsidR="00B47FF5" w:rsidRDefault="00B47FF5" w:rsidP="0020732A">
      <w:pPr>
        <w:pStyle w:val="FootnoteText"/>
      </w:pPr>
      <w:r>
        <w:rPr>
          <w:rStyle w:val="FootnoteReference"/>
        </w:rPr>
        <w:footnoteRef/>
      </w:r>
      <w:r>
        <w:rPr>
          <w:rtl/>
        </w:rPr>
        <w:t xml:space="preserve"> </w:t>
      </w:r>
      <w:r w:rsidRPr="001E301F">
        <w:t>Preposterous Futures</w:t>
      </w:r>
    </w:p>
  </w:footnote>
  <w:footnote w:id="692">
    <w:p w14:paraId="77B27D32" w14:textId="7CF9484F" w:rsidR="00B47FF5" w:rsidRDefault="00B47FF5" w:rsidP="0020732A">
      <w:pPr>
        <w:pStyle w:val="FootnoteText"/>
      </w:pPr>
      <w:r>
        <w:rPr>
          <w:rStyle w:val="FootnoteReference"/>
        </w:rPr>
        <w:footnoteRef/>
      </w:r>
      <w:r>
        <w:rPr>
          <w:rtl/>
        </w:rPr>
        <w:t xml:space="preserve"> </w:t>
      </w:r>
      <w:r>
        <w:t>Preposterous</w:t>
      </w:r>
    </w:p>
  </w:footnote>
  <w:footnote w:id="693">
    <w:p w14:paraId="1579E053" w14:textId="77777777" w:rsidR="00B47FF5" w:rsidRDefault="00B47FF5" w:rsidP="0020732A">
      <w:pPr>
        <w:pStyle w:val="FootnoteText"/>
      </w:pPr>
      <w:r>
        <w:rPr>
          <w:rStyle w:val="FootnoteReference"/>
        </w:rPr>
        <w:footnoteRef/>
      </w:r>
      <w:r>
        <w:rPr>
          <w:rtl/>
        </w:rPr>
        <w:t xml:space="preserve"> </w:t>
      </w:r>
      <w:r>
        <w:t>Shakespeare</w:t>
      </w:r>
    </w:p>
  </w:footnote>
  <w:footnote w:id="694">
    <w:p w14:paraId="7F9F9F0C" w14:textId="77777777" w:rsidR="00B47FF5" w:rsidRDefault="00B47FF5" w:rsidP="0020732A">
      <w:pPr>
        <w:pStyle w:val="FootnoteText"/>
      </w:pPr>
      <w:r>
        <w:rPr>
          <w:rStyle w:val="FootnoteReference"/>
        </w:rPr>
        <w:footnoteRef/>
      </w:r>
      <w:r>
        <w:rPr>
          <w:rtl/>
        </w:rPr>
        <w:t xml:space="preserve"> </w:t>
      </w:r>
      <w:r>
        <w:t>Hamlet</w:t>
      </w:r>
    </w:p>
  </w:footnote>
  <w:footnote w:id="695">
    <w:p w14:paraId="29A599D4" w14:textId="77777777" w:rsidR="00B47FF5" w:rsidRDefault="00B47FF5" w:rsidP="0020732A">
      <w:pPr>
        <w:pStyle w:val="FootnoteText"/>
      </w:pPr>
      <w:r>
        <w:rPr>
          <w:rStyle w:val="FootnoteReference"/>
        </w:rPr>
        <w:footnoteRef/>
      </w:r>
      <w:r>
        <w:rPr>
          <w:rtl/>
        </w:rPr>
        <w:t xml:space="preserve"> </w:t>
      </w:r>
      <w:r>
        <w:t>Horatio</w:t>
      </w:r>
    </w:p>
  </w:footnote>
  <w:footnote w:id="696">
    <w:p w14:paraId="510B2744" w14:textId="77777777" w:rsidR="00B47FF5" w:rsidRDefault="00B47FF5" w:rsidP="0020732A">
      <w:pPr>
        <w:pStyle w:val="FootnoteText"/>
      </w:pPr>
      <w:r>
        <w:rPr>
          <w:rStyle w:val="FootnoteReference"/>
        </w:rPr>
        <w:footnoteRef/>
      </w:r>
      <w:r>
        <w:rPr>
          <w:rtl/>
        </w:rPr>
        <w:t xml:space="preserve"> </w:t>
      </w:r>
      <w:r w:rsidRPr="005C4F35">
        <w:t>Reddit Futurology</w:t>
      </w:r>
    </w:p>
  </w:footnote>
  <w:footnote w:id="697">
    <w:p w14:paraId="33EE3FF5" w14:textId="77777777" w:rsidR="00B47FF5" w:rsidRDefault="00B47FF5" w:rsidP="0020732A">
      <w:pPr>
        <w:pStyle w:val="FootnoteText"/>
      </w:pPr>
      <w:r>
        <w:rPr>
          <w:rStyle w:val="FootnoteReference"/>
        </w:rPr>
        <w:footnoteRef/>
      </w:r>
      <w:r>
        <w:rPr>
          <w:rtl/>
        </w:rPr>
        <w:t xml:space="preserve"> </w:t>
      </w:r>
      <w:r>
        <w:t>World Future Society</w:t>
      </w:r>
    </w:p>
  </w:footnote>
  <w:footnote w:id="698">
    <w:p w14:paraId="56187531" w14:textId="77777777" w:rsidR="00B47FF5" w:rsidRDefault="00B47FF5" w:rsidP="0020732A">
      <w:pPr>
        <w:pStyle w:val="FootnoteText"/>
      </w:pPr>
      <w:r>
        <w:rPr>
          <w:rStyle w:val="FootnoteReference"/>
        </w:rPr>
        <w:footnoteRef/>
      </w:r>
      <w:r>
        <w:rPr>
          <w:rtl/>
        </w:rPr>
        <w:t xml:space="preserve"> </w:t>
      </w:r>
      <w:r w:rsidRPr="00700C86">
        <w:t>School for the Future of Innovation in Society</w:t>
      </w:r>
    </w:p>
  </w:footnote>
  <w:footnote w:id="699">
    <w:p w14:paraId="0354B4D1" w14:textId="4D74511C" w:rsidR="00B47FF5" w:rsidRDefault="00B47FF5" w:rsidP="0020732A">
      <w:pPr>
        <w:pStyle w:val="FootnoteText"/>
      </w:pPr>
      <w:r>
        <w:rPr>
          <w:rStyle w:val="FootnoteReference"/>
        </w:rPr>
        <w:footnoteRef/>
      </w:r>
      <w:r>
        <w:rPr>
          <w:rtl/>
        </w:rPr>
        <w:t xml:space="preserve"> </w:t>
      </w:r>
      <w:r w:rsidRPr="008D1635">
        <w:t>Association for</w:t>
      </w:r>
      <w:r w:rsidR="00E46C90">
        <w:t xml:space="preserve"> </w:t>
      </w:r>
      <w:r w:rsidRPr="008D1635">
        <w:t>Professional Futurists</w:t>
      </w:r>
    </w:p>
  </w:footnote>
  <w:footnote w:id="700">
    <w:p w14:paraId="63A96B7F" w14:textId="77777777" w:rsidR="00B47FF5" w:rsidRDefault="00B47FF5" w:rsidP="0020732A">
      <w:pPr>
        <w:pStyle w:val="FootnoteText"/>
      </w:pPr>
      <w:r>
        <w:rPr>
          <w:rStyle w:val="FootnoteReference"/>
        </w:rPr>
        <w:footnoteRef/>
      </w:r>
      <w:r>
        <w:rPr>
          <w:rtl/>
        </w:rPr>
        <w:t xml:space="preserve"> </w:t>
      </w:r>
      <w:r w:rsidRPr="005C4F35">
        <w:t>Amy Webb</w:t>
      </w:r>
    </w:p>
  </w:footnote>
  <w:footnote w:id="701">
    <w:p w14:paraId="758DE278" w14:textId="77777777" w:rsidR="00B47FF5" w:rsidRDefault="00B47FF5" w:rsidP="0020732A">
      <w:pPr>
        <w:pStyle w:val="FootnoteText"/>
      </w:pPr>
      <w:r>
        <w:rPr>
          <w:rStyle w:val="FootnoteReference"/>
        </w:rPr>
        <w:footnoteRef/>
      </w:r>
      <w:r>
        <w:rPr>
          <w:rtl/>
        </w:rPr>
        <w:t xml:space="preserve"> </w:t>
      </w:r>
      <w:r w:rsidRPr="008D1635">
        <w:t>The Signals are Talking</w:t>
      </w:r>
    </w:p>
  </w:footnote>
  <w:footnote w:id="702">
    <w:p w14:paraId="5F3605AF" w14:textId="77777777" w:rsidR="00B47FF5" w:rsidRDefault="00B47FF5" w:rsidP="0020732A">
      <w:pPr>
        <w:pStyle w:val="FootnoteText"/>
      </w:pPr>
      <w:r>
        <w:rPr>
          <w:rStyle w:val="FootnoteReference"/>
        </w:rPr>
        <w:footnoteRef/>
      </w:r>
      <w:r>
        <w:rPr>
          <w:rtl/>
        </w:rPr>
        <w:t xml:space="preserve"> </w:t>
      </w:r>
      <w:r w:rsidRPr="008D1635">
        <w:t>Heisenberg Uncertainty Principle</w:t>
      </w:r>
    </w:p>
  </w:footnote>
  <w:footnote w:id="703">
    <w:p w14:paraId="36850096" w14:textId="047BDA03" w:rsidR="00B47FF5" w:rsidRDefault="00B47FF5" w:rsidP="0020732A">
      <w:pPr>
        <w:pStyle w:val="FootnoteText"/>
      </w:pPr>
      <w:r>
        <w:rPr>
          <w:rStyle w:val="FootnoteReference"/>
        </w:rPr>
        <w:footnoteRef/>
      </w:r>
      <w:r>
        <w:rPr>
          <w:rtl/>
        </w:rPr>
        <w:t xml:space="preserve"> </w:t>
      </w:r>
      <w:r>
        <w:t>Agency</w:t>
      </w:r>
    </w:p>
  </w:footnote>
  <w:footnote w:id="704">
    <w:p w14:paraId="2774578E" w14:textId="7D254231" w:rsidR="00B47FF5" w:rsidRDefault="00B47FF5" w:rsidP="0020732A">
      <w:pPr>
        <w:pStyle w:val="FootnoteText"/>
      </w:pPr>
      <w:r>
        <w:rPr>
          <w:rStyle w:val="FootnoteReference"/>
        </w:rPr>
        <w:footnoteRef/>
      </w:r>
      <w:r>
        <w:rPr>
          <w:rtl/>
        </w:rPr>
        <w:t xml:space="preserve"> </w:t>
      </w:r>
      <w:r w:rsidRPr="008D1635">
        <w:t>Probability foresight</w:t>
      </w:r>
    </w:p>
  </w:footnote>
  <w:footnote w:id="705">
    <w:p w14:paraId="354FACFE" w14:textId="77777777" w:rsidR="00B47FF5" w:rsidRDefault="00B47FF5" w:rsidP="0020732A">
      <w:pPr>
        <w:pStyle w:val="FootnoteText"/>
      </w:pPr>
      <w:r>
        <w:rPr>
          <w:rStyle w:val="FootnoteReference"/>
        </w:rPr>
        <w:footnoteRef/>
      </w:r>
      <w:r>
        <w:rPr>
          <w:rtl/>
        </w:rPr>
        <w:t xml:space="preserve"> </w:t>
      </w:r>
      <w:r w:rsidRPr="005C4F35">
        <w:t>Hans Rosling</w:t>
      </w:r>
    </w:p>
  </w:footnote>
  <w:footnote w:id="706">
    <w:p w14:paraId="4CAC4DE9" w14:textId="77777777" w:rsidR="00B47FF5" w:rsidRDefault="00B47FF5" w:rsidP="0020732A">
      <w:pPr>
        <w:pStyle w:val="FootnoteText"/>
      </w:pPr>
      <w:r>
        <w:rPr>
          <w:rStyle w:val="FootnoteReference"/>
        </w:rPr>
        <w:footnoteRef/>
      </w:r>
      <w:r>
        <w:rPr>
          <w:rtl/>
        </w:rPr>
        <w:t xml:space="preserve"> </w:t>
      </w:r>
      <w:r w:rsidRPr="005C4F35">
        <w:t>Gapminder</w:t>
      </w:r>
    </w:p>
  </w:footnote>
  <w:footnote w:id="707">
    <w:p w14:paraId="0935C1FC" w14:textId="10836D75" w:rsidR="00B47FF5" w:rsidRDefault="00B47FF5" w:rsidP="0020732A">
      <w:pPr>
        <w:pStyle w:val="FootnoteText"/>
      </w:pPr>
      <w:r>
        <w:rPr>
          <w:rStyle w:val="FootnoteReference"/>
        </w:rPr>
        <w:footnoteRef/>
      </w:r>
      <w:r>
        <w:rPr>
          <w:rtl/>
        </w:rPr>
        <w:t xml:space="preserve"> </w:t>
      </w:r>
      <w:r>
        <w:t>Situational ethics</w:t>
      </w:r>
    </w:p>
  </w:footnote>
  <w:footnote w:id="708">
    <w:p w14:paraId="6E5F87F5" w14:textId="423DA281" w:rsidR="00B47FF5" w:rsidRDefault="00B47FF5" w:rsidP="0020732A">
      <w:pPr>
        <w:pStyle w:val="FootnoteText"/>
      </w:pPr>
      <w:r>
        <w:rPr>
          <w:rStyle w:val="FootnoteReference"/>
        </w:rPr>
        <w:footnoteRef/>
      </w:r>
      <w:r>
        <w:rPr>
          <w:rtl/>
        </w:rPr>
        <w:t xml:space="preserve"> </w:t>
      </w:r>
      <w:r>
        <w:t>Deep egalitarianism</w:t>
      </w:r>
    </w:p>
  </w:footnote>
  <w:footnote w:id="709">
    <w:p w14:paraId="0F5C5F55" w14:textId="1F9D1092" w:rsidR="00B47FF5" w:rsidRDefault="00B47FF5">
      <w:pPr>
        <w:pStyle w:val="FootnoteText"/>
        <w:rPr>
          <w:rtl/>
        </w:rPr>
      </w:pPr>
      <w:r>
        <w:rPr>
          <w:rStyle w:val="FootnoteReference"/>
        </w:rPr>
        <w:footnoteRef/>
      </w:r>
      <w:r>
        <w:t xml:space="preserve"> </w:t>
      </w:r>
      <w:r w:rsidRPr="0020732A">
        <w:t>Underdetermination</w:t>
      </w:r>
    </w:p>
  </w:footnote>
  <w:footnote w:id="710">
    <w:p w14:paraId="61EFB0AC" w14:textId="1D9693F8" w:rsidR="00B47FF5" w:rsidRDefault="00B47FF5" w:rsidP="0020732A">
      <w:pPr>
        <w:pStyle w:val="FootnoteText"/>
      </w:pPr>
      <w:r>
        <w:rPr>
          <w:rStyle w:val="FootnoteReference"/>
        </w:rPr>
        <w:footnoteRef/>
      </w:r>
      <w:r>
        <w:rPr>
          <w:rtl/>
        </w:rPr>
        <w:t xml:space="preserve"> </w:t>
      </w:r>
      <w:r w:rsidRPr="00B43004">
        <w:t>Biomes</w:t>
      </w:r>
    </w:p>
  </w:footnote>
  <w:footnote w:id="711">
    <w:p w14:paraId="43599B43" w14:textId="7A0FD5B1" w:rsidR="00B47FF5" w:rsidRDefault="00B47FF5" w:rsidP="0020732A">
      <w:pPr>
        <w:pStyle w:val="FootnoteText"/>
      </w:pPr>
      <w:r>
        <w:rPr>
          <w:rStyle w:val="FootnoteReference"/>
        </w:rPr>
        <w:footnoteRef/>
      </w:r>
      <w:r>
        <w:rPr>
          <w:rtl/>
        </w:rPr>
        <w:t xml:space="preserve"> </w:t>
      </w:r>
      <w:r>
        <w:t>Convergent evolution</w:t>
      </w:r>
    </w:p>
  </w:footnote>
  <w:footnote w:id="712">
    <w:p w14:paraId="5FA63EF1" w14:textId="49A45F4D" w:rsidR="00B47FF5" w:rsidRDefault="00B47FF5" w:rsidP="0020732A">
      <w:pPr>
        <w:pStyle w:val="FootnoteText"/>
      </w:pPr>
      <w:r>
        <w:rPr>
          <w:rStyle w:val="FootnoteReference"/>
        </w:rPr>
        <w:footnoteRef/>
      </w:r>
      <w:r>
        <w:rPr>
          <w:rtl/>
        </w:rPr>
        <w:t xml:space="preserve"> </w:t>
      </w:r>
      <w:r>
        <w:t>Universal development</w:t>
      </w:r>
    </w:p>
  </w:footnote>
  <w:footnote w:id="713">
    <w:p w14:paraId="07C98915" w14:textId="0656DD3E" w:rsidR="00B47FF5" w:rsidRDefault="00B47FF5" w:rsidP="0020732A">
      <w:pPr>
        <w:pStyle w:val="FootnoteText"/>
      </w:pPr>
      <w:r>
        <w:rPr>
          <w:rStyle w:val="FootnoteReference"/>
        </w:rPr>
        <w:footnoteRef/>
      </w:r>
      <w:r>
        <w:rPr>
          <w:rtl/>
        </w:rPr>
        <w:t xml:space="preserve"> </w:t>
      </w:r>
      <w:r w:rsidRPr="009A6186">
        <w:t>Higher mind</w:t>
      </w:r>
    </w:p>
  </w:footnote>
  <w:footnote w:id="714">
    <w:p w14:paraId="18387174" w14:textId="1E02B5B6" w:rsidR="00B47FF5" w:rsidRDefault="00B47FF5">
      <w:pPr>
        <w:pStyle w:val="FootnoteText"/>
        <w:rPr>
          <w:rtl/>
        </w:rPr>
      </w:pPr>
      <w:r>
        <w:rPr>
          <w:rStyle w:val="FootnoteReference"/>
        </w:rPr>
        <w:footnoteRef/>
      </w:r>
      <w:r>
        <w:t xml:space="preserve"> </w:t>
      </w:r>
      <w:r w:rsidRPr="0020732A">
        <w:t>Thirty-five body plans</w:t>
      </w:r>
    </w:p>
  </w:footnote>
  <w:footnote w:id="715">
    <w:p w14:paraId="599CA2D3" w14:textId="347F3825" w:rsidR="00B47FF5" w:rsidRDefault="00B47FF5" w:rsidP="0020732A">
      <w:pPr>
        <w:pStyle w:val="FootnoteText"/>
      </w:pPr>
      <w:r>
        <w:rPr>
          <w:rStyle w:val="FootnoteReference"/>
        </w:rPr>
        <w:footnoteRef/>
      </w:r>
      <w:r>
        <w:rPr>
          <w:rtl/>
        </w:rPr>
        <w:t xml:space="preserve"> </w:t>
      </w:r>
      <w:r>
        <w:t>Deterministic chaotic systems</w:t>
      </w:r>
    </w:p>
  </w:footnote>
  <w:footnote w:id="716">
    <w:p w14:paraId="691F5B55" w14:textId="194F95B3" w:rsidR="00B47FF5" w:rsidRDefault="00B47FF5" w:rsidP="0020732A">
      <w:pPr>
        <w:pStyle w:val="FootnoteText"/>
      </w:pPr>
      <w:r>
        <w:rPr>
          <w:rStyle w:val="FootnoteReference"/>
        </w:rPr>
        <w:footnoteRef/>
      </w:r>
      <w:r>
        <w:rPr>
          <w:rtl/>
        </w:rPr>
        <w:t xml:space="preserve"> </w:t>
      </w:r>
      <w:r>
        <w:t>Self-similarity</w:t>
      </w:r>
    </w:p>
  </w:footnote>
  <w:footnote w:id="717">
    <w:p w14:paraId="72FFAE2F" w14:textId="2446D5BB" w:rsidR="00B47FF5" w:rsidRDefault="00B47FF5" w:rsidP="0020732A">
      <w:pPr>
        <w:pStyle w:val="FootnoteText"/>
      </w:pPr>
      <w:r>
        <w:rPr>
          <w:rStyle w:val="FootnoteReference"/>
        </w:rPr>
        <w:footnoteRef/>
      </w:r>
      <w:r>
        <w:rPr>
          <w:rtl/>
        </w:rPr>
        <w:t xml:space="preserve"> </w:t>
      </w:r>
      <w:r>
        <w:t>Fractals</w:t>
      </w:r>
    </w:p>
  </w:footnote>
  <w:footnote w:id="718">
    <w:p w14:paraId="55CA26E7" w14:textId="3B5DA4B7" w:rsidR="00B47FF5" w:rsidRDefault="00B47FF5" w:rsidP="0020732A">
      <w:pPr>
        <w:pStyle w:val="FootnoteText"/>
      </w:pPr>
      <w:r>
        <w:rPr>
          <w:rStyle w:val="FootnoteReference"/>
        </w:rPr>
        <w:footnoteRef/>
      </w:r>
      <w:r>
        <w:rPr>
          <w:rtl/>
        </w:rPr>
        <w:t xml:space="preserve"> </w:t>
      </w:r>
      <w:r>
        <w:t>Networks under selection</w:t>
      </w:r>
    </w:p>
  </w:footnote>
  <w:footnote w:id="719">
    <w:p w14:paraId="47434010" w14:textId="0D1FF452" w:rsidR="00B47FF5" w:rsidRDefault="00B47FF5" w:rsidP="0020732A">
      <w:pPr>
        <w:pStyle w:val="FootnoteText"/>
      </w:pPr>
      <w:r>
        <w:rPr>
          <w:rStyle w:val="FootnoteReference"/>
        </w:rPr>
        <w:footnoteRef/>
      </w:r>
      <w:r>
        <w:rPr>
          <w:rtl/>
        </w:rPr>
        <w:t xml:space="preserve"> </w:t>
      </w:r>
      <w:r>
        <w:t>Dark energy</w:t>
      </w:r>
    </w:p>
  </w:footnote>
  <w:footnote w:id="720">
    <w:p w14:paraId="79FD7EF9" w14:textId="77777777" w:rsidR="00B47FF5" w:rsidRDefault="00B47FF5" w:rsidP="0020732A">
      <w:pPr>
        <w:pStyle w:val="FootnoteText"/>
      </w:pPr>
      <w:r>
        <w:rPr>
          <w:rStyle w:val="FootnoteReference"/>
        </w:rPr>
        <w:footnoteRef/>
      </w:r>
      <w:r>
        <w:rPr>
          <w:rtl/>
        </w:rPr>
        <w:t xml:space="preserve"> </w:t>
      </w:r>
      <w:r w:rsidRPr="009044DE">
        <w:t>International Institute of Forecasters</w:t>
      </w:r>
    </w:p>
  </w:footnote>
  <w:footnote w:id="721">
    <w:p w14:paraId="0CFD1C82" w14:textId="77777777" w:rsidR="00B47FF5" w:rsidRDefault="00B47FF5" w:rsidP="0020732A">
      <w:pPr>
        <w:pStyle w:val="FootnoteText"/>
      </w:pPr>
      <w:r>
        <w:rPr>
          <w:rStyle w:val="FootnoteReference"/>
        </w:rPr>
        <w:footnoteRef/>
      </w:r>
      <w:r>
        <w:rPr>
          <w:rtl/>
        </w:rPr>
        <w:t xml:space="preserve"> </w:t>
      </w:r>
      <w:r w:rsidRPr="009A6186">
        <w:t>Metaculus</w:t>
      </w:r>
    </w:p>
  </w:footnote>
  <w:footnote w:id="722">
    <w:p w14:paraId="653B590D" w14:textId="77777777" w:rsidR="00B47FF5" w:rsidRDefault="00B47FF5" w:rsidP="0020732A">
      <w:pPr>
        <w:pStyle w:val="FootnoteText"/>
      </w:pPr>
      <w:r>
        <w:rPr>
          <w:rStyle w:val="FootnoteReference"/>
        </w:rPr>
        <w:footnoteRef/>
      </w:r>
      <w:r>
        <w:rPr>
          <w:rtl/>
        </w:rPr>
        <w:t xml:space="preserve"> </w:t>
      </w:r>
      <w:r w:rsidRPr="009A6186">
        <w:t>Augur</w:t>
      </w:r>
    </w:p>
  </w:footnote>
  <w:footnote w:id="723">
    <w:p w14:paraId="30D43FE9" w14:textId="77777777" w:rsidR="00B47FF5" w:rsidRDefault="00B47FF5" w:rsidP="0020732A">
      <w:pPr>
        <w:pStyle w:val="FootnoteText"/>
      </w:pPr>
      <w:r>
        <w:rPr>
          <w:rStyle w:val="FootnoteReference"/>
        </w:rPr>
        <w:footnoteRef/>
      </w:r>
      <w:r>
        <w:rPr>
          <w:rtl/>
        </w:rPr>
        <w:t xml:space="preserve"> </w:t>
      </w:r>
      <w:r w:rsidRPr="009A6186">
        <w:t>PredictIt</w:t>
      </w:r>
    </w:p>
  </w:footnote>
  <w:footnote w:id="724">
    <w:p w14:paraId="59A48E9B" w14:textId="77777777" w:rsidR="00B47FF5" w:rsidRDefault="00B47FF5" w:rsidP="0020732A">
      <w:pPr>
        <w:pStyle w:val="FootnoteText"/>
      </w:pPr>
      <w:r>
        <w:rPr>
          <w:rStyle w:val="FootnoteReference"/>
        </w:rPr>
        <w:footnoteRef/>
      </w:r>
      <w:r>
        <w:rPr>
          <w:rtl/>
        </w:rPr>
        <w:t xml:space="preserve"> </w:t>
      </w:r>
      <w:r>
        <w:t>AK Principle</w:t>
      </w:r>
    </w:p>
  </w:footnote>
  <w:footnote w:id="725">
    <w:p w14:paraId="18FFBCA8" w14:textId="77777777" w:rsidR="00B47FF5" w:rsidRDefault="00B47FF5" w:rsidP="0020732A">
      <w:pPr>
        <w:pStyle w:val="FootnoteText"/>
      </w:pPr>
      <w:r>
        <w:rPr>
          <w:rStyle w:val="FootnoteReference"/>
        </w:rPr>
        <w:footnoteRef/>
      </w:r>
      <w:r>
        <w:rPr>
          <w:rtl/>
        </w:rPr>
        <w:t xml:space="preserve"> </w:t>
      </w:r>
      <w:r w:rsidRPr="002A227F">
        <w:t>The Power of the Bad</w:t>
      </w:r>
    </w:p>
  </w:footnote>
  <w:footnote w:id="726">
    <w:p w14:paraId="25F54589" w14:textId="77777777" w:rsidR="00B47FF5" w:rsidRDefault="00B47FF5" w:rsidP="0020732A">
      <w:pPr>
        <w:pStyle w:val="FootnoteText"/>
      </w:pPr>
      <w:r>
        <w:rPr>
          <w:rStyle w:val="FootnoteReference"/>
        </w:rPr>
        <w:footnoteRef/>
      </w:r>
      <w:r>
        <w:rPr>
          <w:rtl/>
        </w:rPr>
        <w:t xml:space="preserve"> </w:t>
      </w:r>
      <w:r w:rsidRPr="009A6186">
        <w:t>Tierney</w:t>
      </w:r>
    </w:p>
  </w:footnote>
  <w:footnote w:id="727">
    <w:p w14:paraId="4D795DB4" w14:textId="77777777" w:rsidR="00B47FF5" w:rsidRDefault="00B47FF5" w:rsidP="0020732A">
      <w:pPr>
        <w:pStyle w:val="FootnoteText"/>
      </w:pPr>
      <w:r>
        <w:rPr>
          <w:rStyle w:val="FootnoteReference"/>
        </w:rPr>
        <w:footnoteRef/>
      </w:r>
      <w:r>
        <w:rPr>
          <w:rtl/>
        </w:rPr>
        <w:t xml:space="preserve"> </w:t>
      </w:r>
      <w:r w:rsidRPr="009A6186">
        <w:t>Bauermeister</w:t>
      </w:r>
    </w:p>
  </w:footnote>
  <w:footnote w:id="728">
    <w:p w14:paraId="440CA06D" w14:textId="181EF475" w:rsidR="00B47FF5" w:rsidRDefault="00B47FF5" w:rsidP="0020732A">
      <w:pPr>
        <w:pStyle w:val="FootnoteText"/>
      </w:pPr>
      <w:r>
        <w:rPr>
          <w:rStyle w:val="FootnoteReference"/>
        </w:rPr>
        <w:footnoteRef/>
      </w:r>
      <w:r>
        <w:rPr>
          <w:rtl/>
        </w:rPr>
        <w:t xml:space="preserve"> </w:t>
      </w:r>
      <w:r w:rsidRPr="002A227F">
        <w:t>Loss aversion bias</w:t>
      </w:r>
    </w:p>
  </w:footnote>
  <w:footnote w:id="729">
    <w:p w14:paraId="33734DDD" w14:textId="52DCDF5A" w:rsidR="00B47FF5" w:rsidRDefault="00B47FF5" w:rsidP="0020732A">
      <w:pPr>
        <w:pStyle w:val="FootnoteText"/>
        <w:rPr>
          <w:rtl/>
        </w:rPr>
      </w:pPr>
      <w:r>
        <w:rPr>
          <w:rStyle w:val="FootnoteReference"/>
        </w:rPr>
        <w:footnoteRef/>
      </w:r>
      <w:r>
        <w:rPr>
          <w:rtl/>
        </w:rPr>
        <w:t xml:space="preserve"> </w:t>
      </w:r>
      <w:r>
        <w:t>Drama</w:t>
      </w:r>
    </w:p>
  </w:footnote>
  <w:footnote w:id="730">
    <w:p w14:paraId="697EF013" w14:textId="77777777" w:rsidR="00B47FF5" w:rsidRDefault="00B47FF5" w:rsidP="0020732A">
      <w:pPr>
        <w:pStyle w:val="FootnoteText"/>
      </w:pPr>
      <w:r>
        <w:rPr>
          <w:rStyle w:val="FootnoteReference"/>
        </w:rPr>
        <w:footnoteRef/>
      </w:r>
      <w:r>
        <w:rPr>
          <w:rtl/>
        </w:rPr>
        <w:t xml:space="preserve"> </w:t>
      </w:r>
      <w:r w:rsidRPr="002A227F">
        <w:t>Dystopias</w:t>
      </w:r>
    </w:p>
  </w:footnote>
  <w:footnote w:id="731">
    <w:p w14:paraId="13F07D80" w14:textId="4B3E70E1" w:rsidR="00B47FF5" w:rsidRDefault="00B47FF5">
      <w:pPr>
        <w:pStyle w:val="FootnoteText"/>
        <w:rPr>
          <w:rtl/>
        </w:rPr>
      </w:pPr>
      <w:r>
        <w:rPr>
          <w:rStyle w:val="FootnoteReference"/>
        </w:rPr>
        <w:footnoteRef/>
      </w:r>
      <w:r>
        <w:t xml:space="preserve"> </w:t>
      </w:r>
      <w:r w:rsidRPr="0020732A">
        <w:t>Protopias</w:t>
      </w:r>
    </w:p>
  </w:footnote>
  <w:footnote w:id="732">
    <w:p w14:paraId="45CCEC1B" w14:textId="1EF97715" w:rsidR="00B47FF5" w:rsidRDefault="00B47FF5" w:rsidP="0020732A">
      <w:pPr>
        <w:pStyle w:val="FootnoteText"/>
        <w:rPr>
          <w:rtl/>
        </w:rPr>
      </w:pPr>
      <w:r>
        <w:rPr>
          <w:rStyle w:val="FootnoteReference"/>
        </w:rPr>
        <w:footnoteRef/>
      </w:r>
      <w:r>
        <w:rPr>
          <w:rtl/>
        </w:rPr>
        <w:t xml:space="preserve"> </w:t>
      </w:r>
      <w:r>
        <w:t>Outlier</w:t>
      </w:r>
    </w:p>
  </w:footnote>
  <w:footnote w:id="733">
    <w:p w14:paraId="618AB487" w14:textId="77777777" w:rsidR="00B47FF5" w:rsidRDefault="00B47FF5" w:rsidP="0020732A">
      <w:pPr>
        <w:pStyle w:val="FootnoteText"/>
      </w:pPr>
      <w:r>
        <w:rPr>
          <w:rStyle w:val="FootnoteReference"/>
        </w:rPr>
        <w:footnoteRef/>
      </w:r>
      <w:r>
        <w:rPr>
          <w:rtl/>
        </w:rPr>
        <w:t xml:space="preserve"> </w:t>
      </w:r>
      <w:r w:rsidRPr="0053428E">
        <w:t>The Attention Merchants: The Epic Battle to Get Inside Our Heads</w:t>
      </w:r>
    </w:p>
  </w:footnote>
  <w:footnote w:id="734">
    <w:p w14:paraId="213C8E63" w14:textId="77777777" w:rsidR="00B47FF5" w:rsidRDefault="00B47FF5" w:rsidP="0020732A">
      <w:pPr>
        <w:pStyle w:val="FootnoteText"/>
      </w:pPr>
      <w:r>
        <w:rPr>
          <w:rStyle w:val="FootnoteReference"/>
        </w:rPr>
        <w:footnoteRef/>
      </w:r>
      <w:r>
        <w:rPr>
          <w:rtl/>
        </w:rPr>
        <w:t xml:space="preserve"> </w:t>
      </w:r>
      <w:r w:rsidRPr="009A6186">
        <w:t>Tim Wu</w:t>
      </w:r>
    </w:p>
  </w:footnote>
  <w:footnote w:id="735">
    <w:p w14:paraId="2B2F42A9" w14:textId="77777777" w:rsidR="00B47FF5" w:rsidRDefault="00B47FF5" w:rsidP="0020732A">
      <w:pPr>
        <w:pStyle w:val="FootnoteText"/>
      </w:pPr>
      <w:r>
        <w:rPr>
          <w:rStyle w:val="FootnoteReference"/>
        </w:rPr>
        <w:footnoteRef/>
      </w:r>
      <w:r>
        <w:rPr>
          <w:rtl/>
        </w:rPr>
        <w:t xml:space="preserve"> </w:t>
      </w:r>
      <w:r w:rsidRPr="009A6186">
        <w:t>Julian Simon</w:t>
      </w:r>
    </w:p>
  </w:footnote>
  <w:footnote w:id="736">
    <w:p w14:paraId="4F1D06F0" w14:textId="77777777" w:rsidR="00B47FF5" w:rsidRDefault="00B47FF5" w:rsidP="0020732A">
      <w:pPr>
        <w:pStyle w:val="FootnoteText"/>
      </w:pPr>
      <w:r>
        <w:rPr>
          <w:rStyle w:val="FootnoteReference"/>
        </w:rPr>
        <w:footnoteRef/>
      </w:r>
      <w:r>
        <w:rPr>
          <w:rtl/>
        </w:rPr>
        <w:t xml:space="preserve"> </w:t>
      </w:r>
      <w:r w:rsidRPr="0053428E">
        <w:t>Hoodwinking the Nation</w:t>
      </w:r>
    </w:p>
  </w:footnote>
  <w:footnote w:id="737">
    <w:p w14:paraId="27A01236" w14:textId="126E99B9" w:rsidR="00B47FF5" w:rsidRDefault="00B47FF5" w:rsidP="0020732A">
      <w:pPr>
        <w:pStyle w:val="FootnoteText"/>
      </w:pPr>
      <w:r>
        <w:rPr>
          <w:rStyle w:val="FootnoteReference"/>
        </w:rPr>
        <w:footnoteRef/>
      </w:r>
      <w:r>
        <w:rPr>
          <w:rtl/>
        </w:rPr>
        <w:t xml:space="preserve"> </w:t>
      </w:r>
      <w:r>
        <w:t>Safetyism</w:t>
      </w:r>
    </w:p>
  </w:footnote>
  <w:footnote w:id="738">
    <w:p w14:paraId="42E7601C" w14:textId="42C8844B" w:rsidR="00B47FF5" w:rsidRDefault="00B47FF5" w:rsidP="0020732A">
      <w:pPr>
        <w:pStyle w:val="FootnoteText"/>
      </w:pPr>
      <w:r>
        <w:rPr>
          <w:rStyle w:val="FootnoteReference"/>
        </w:rPr>
        <w:footnoteRef/>
      </w:r>
      <w:r>
        <w:rPr>
          <w:rtl/>
        </w:rPr>
        <w:t xml:space="preserve"> </w:t>
      </w:r>
      <w:r>
        <w:t>Outlier</w:t>
      </w:r>
    </w:p>
  </w:footnote>
  <w:footnote w:id="739">
    <w:p w14:paraId="415ED861" w14:textId="7BD61462" w:rsidR="00B47FF5" w:rsidRDefault="00B47FF5" w:rsidP="0020732A">
      <w:pPr>
        <w:pStyle w:val="FootnoteText"/>
      </w:pPr>
      <w:r>
        <w:rPr>
          <w:rStyle w:val="FootnoteReference"/>
        </w:rPr>
        <w:footnoteRef/>
      </w:r>
      <w:r>
        <w:rPr>
          <w:rtl/>
        </w:rPr>
        <w:t xml:space="preserve"> </w:t>
      </w:r>
      <w:r>
        <w:t>Mission bias</w:t>
      </w:r>
    </w:p>
  </w:footnote>
  <w:footnote w:id="740">
    <w:p w14:paraId="6E9FE2A4" w14:textId="44B4B015" w:rsidR="00B47FF5" w:rsidRDefault="00B47FF5" w:rsidP="0020732A">
      <w:pPr>
        <w:pStyle w:val="FootnoteText"/>
      </w:pPr>
      <w:r>
        <w:rPr>
          <w:rStyle w:val="FootnoteReference"/>
        </w:rPr>
        <w:footnoteRef/>
      </w:r>
      <w:r>
        <w:rPr>
          <w:rtl/>
        </w:rPr>
        <w:t xml:space="preserve"> </w:t>
      </w:r>
      <w:r w:rsidRPr="004A2CA1">
        <w:t>Clickbait</w:t>
      </w:r>
    </w:p>
  </w:footnote>
  <w:footnote w:id="741">
    <w:p w14:paraId="06C6B2E1" w14:textId="773D8446" w:rsidR="00B47FF5" w:rsidRDefault="00B47FF5" w:rsidP="0020732A">
      <w:pPr>
        <w:pStyle w:val="FootnoteText"/>
      </w:pPr>
      <w:r>
        <w:rPr>
          <w:rStyle w:val="FootnoteReference"/>
        </w:rPr>
        <w:footnoteRef/>
      </w:r>
      <w:r>
        <w:rPr>
          <w:rtl/>
        </w:rPr>
        <w:t xml:space="preserve"> </w:t>
      </w:r>
      <w:r>
        <w:t>Viral outrage</w:t>
      </w:r>
    </w:p>
  </w:footnote>
  <w:footnote w:id="742">
    <w:p w14:paraId="0FC91A9D" w14:textId="77777777" w:rsidR="00B47FF5" w:rsidRDefault="00B47FF5" w:rsidP="0020732A">
      <w:pPr>
        <w:pStyle w:val="FootnoteText"/>
      </w:pPr>
      <w:r>
        <w:rPr>
          <w:rStyle w:val="FootnoteReference"/>
        </w:rPr>
        <w:footnoteRef/>
      </w:r>
      <w:r>
        <w:rPr>
          <w:rtl/>
        </w:rPr>
        <w:t xml:space="preserve"> </w:t>
      </w:r>
      <w:r w:rsidRPr="00D63E1A">
        <w:t>David Brin</w:t>
      </w:r>
    </w:p>
  </w:footnote>
  <w:footnote w:id="743">
    <w:p w14:paraId="310EA758" w14:textId="7110F2CE" w:rsidR="00B47FF5" w:rsidRDefault="00B47FF5" w:rsidP="0020732A">
      <w:pPr>
        <w:pStyle w:val="FootnoteText"/>
      </w:pPr>
      <w:r>
        <w:rPr>
          <w:rStyle w:val="FootnoteReference"/>
        </w:rPr>
        <w:footnoteRef/>
      </w:r>
      <w:r>
        <w:rPr>
          <w:rtl/>
        </w:rPr>
        <w:t xml:space="preserve"> </w:t>
      </w:r>
      <w:r>
        <w:t>Self-preventing prophecies</w:t>
      </w:r>
    </w:p>
  </w:footnote>
  <w:footnote w:id="744">
    <w:p w14:paraId="1A369830" w14:textId="532780EE" w:rsidR="00B47FF5" w:rsidRDefault="00B47FF5" w:rsidP="0020732A">
      <w:pPr>
        <w:pStyle w:val="FootnoteText"/>
      </w:pPr>
      <w:r>
        <w:rPr>
          <w:rStyle w:val="FootnoteReference"/>
        </w:rPr>
        <w:footnoteRef/>
      </w:r>
      <w:r>
        <w:rPr>
          <w:rtl/>
        </w:rPr>
        <w:t xml:space="preserve"> </w:t>
      </w:r>
      <w:r>
        <w:t>Climate decarbonization groups</w:t>
      </w:r>
    </w:p>
  </w:footnote>
  <w:footnote w:id="745">
    <w:p w14:paraId="3B792C46" w14:textId="77777777" w:rsidR="00B47FF5" w:rsidRDefault="00B47FF5" w:rsidP="0020732A">
      <w:pPr>
        <w:pStyle w:val="FootnoteText"/>
      </w:pPr>
      <w:r>
        <w:rPr>
          <w:rStyle w:val="FootnoteReference"/>
        </w:rPr>
        <w:footnoteRef/>
      </w:r>
      <w:r>
        <w:rPr>
          <w:rtl/>
        </w:rPr>
        <w:t xml:space="preserve"> </w:t>
      </w:r>
      <w:r w:rsidRPr="00D3358F">
        <w:t>Kurt Lewin</w:t>
      </w:r>
    </w:p>
  </w:footnote>
  <w:footnote w:id="746">
    <w:p w14:paraId="32A4542B" w14:textId="77777777" w:rsidR="00B47FF5" w:rsidRDefault="00B47FF5" w:rsidP="0020732A">
      <w:pPr>
        <w:pStyle w:val="FootnoteText"/>
      </w:pPr>
      <w:r>
        <w:rPr>
          <w:rStyle w:val="FootnoteReference"/>
        </w:rPr>
        <w:footnoteRef/>
      </w:r>
      <w:r>
        <w:rPr>
          <w:rtl/>
        </w:rPr>
        <w:t xml:space="preserve"> </w:t>
      </w:r>
      <w:r w:rsidRPr="00D3358F">
        <w:t>John Kotter</w:t>
      </w:r>
    </w:p>
  </w:footnote>
  <w:footnote w:id="747">
    <w:p w14:paraId="653DCE2F" w14:textId="77777777" w:rsidR="00B47FF5" w:rsidRDefault="00B47FF5" w:rsidP="0020732A">
      <w:pPr>
        <w:pStyle w:val="FootnoteText"/>
      </w:pPr>
      <w:r>
        <w:rPr>
          <w:rStyle w:val="FootnoteReference"/>
        </w:rPr>
        <w:footnoteRef/>
      </w:r>
      <w:r>
        <w:rPr>
          <w:rtl/>
        </w:rPr>
        <w:t xml:space="preserve"> </w:t>
      </w:r>
      <w:r w:rsidRPr="00D3358F">
        <w:t>Lewin</w:t>
      </w:r>
    </w:p>
  </w:footnote>
  <w:footnote w:id="748">
    <w:p w14:paraId="0F1BD5BE" w14:textId="77777777" w:rsidR="00B47FF5" w:rsidRDefault="00B47FF5" w:rsidP="0020732A">
      <w:pPr>
        <w:pStyle w:val="FootnoteText"/>
      </w:pPr>
      <w:r>
        <w:rPr>
          <w:rStyle w:val="FootnoteReference"/>
        </w:rPr>
        <w:footnoteRef/>
      </w:r>
      <w:r>
        <w:rPr>
          <w:rtl/>
        </w:rPr>
        <w:t xml:space="preserve"> </w:t>
      </w:r>
      <w:r w:rsidRPr="004E5493">
        <w:t>Leading Change</w:t>
      </w:r>
    </w:p>
  </w:footnote>
  <w:footnote w:id="749">
    <w:p w14:paraId="39E38662" w14:textId="77777777" w:rsidR="00B47FF5" w:rsidRDefault="00B47FF5" w:rsidP="0020732A">
      <w:pPr>
        <w:pStyle w:val="FootnoteText"/>
      </w:pPr>
      <w:r>
        <w:rPr>
          <w:rStyle w:val="FootnoteReference"/>
        </w:rPr>
        <w:footnoteRef/>
      </w:r>
      <w:r>
        <w:rPr>
          <w:rtl/>
        </w:rPr>
        <w:t xml:space="preserve"> </w:t>
      </w:r>
      <w:r>
        <w:t>US Armed Services</w:t>
      </w:r>
    </w:p>
  </w:footnote>
  <w:footnote w:id="750">
    <w:p w14:paraId="68A72575" w14:textId="77777777" w:rsidR="00B47FF5" w:rsidRDefault="00B47FF5" w:rsidP="0020732A">
      <w:pPr>
        <w:pStyle w:val="FootnoteText"/>
      </w:pPr>
      <w:r>
        <w:rPr>
          <w:rStyle w:val="FootnoteReference"/>
        </w:rPr>
        <w:footnoteRef/>
      </w:r>
      <w:r>
        <w:rPr>
          <w:rtl/>
        </w:rPr>
        <w:t xml:space="preserve"> </w:t>
      </w:r>
      <w:r w:rsidRPr="00057258">
        <w:t>Marines</w:t>
      </w:r>
    </w:p>
  </w:footnote>
  <w:footnote w:id="751">
    <w:p w14:paraId="6F54DAC2" w14:textId="77777777" w:rsidR="00B47FF5" w:rsidRDefault="00B47FF5" w:rsidP="0020732A">
      <w:pPr>
        <w:pStyle w:val="FootnoteText"/>
      </w:pPr>
      <w:r>
        <w:rPr>
          <w:rStyle w:val="FootnoteReference"/>
        </w:rPr>
        <w:footnoteRef/>
      </w:r>
      <w:r>
        <w:rPr>
          <w:rtl/>
        </w:rPr>
        <w:t xml:space="preserve"> </w:t>
      </w:r>
      <w:r>
        <w:t>Homeland Security</w:t>
      </w:r>
    </w:p>
  </w:footnote>
  <w:footnote w:id="752">
    <w:p w14:paraId="25593BD7" w14:textId="77777777" w:rsidR="00B47FF5" w:rsidRDefault="00B47FF5" w:rsidP="0020732A">
      <w:pPr>
        <w:pStyle w:val="FootnoteText"/>
      </w:pPr>
      <w:r>
        <w:rPr>
          <w:rStyle w:val="FootnoteReference"/>
        </w:rPr>
        <w:footnoteRef/>
      </w:r>
      <w:r>
        <w:rPr>
          <w:rtl/>
        </w:rPr>
        <w:t xml:space="preserve"> </w:t>
      </w:r>
      <w:r>
        <w:t>Space Force</w:t>
      </w:r>
    </w:p>
  </w:footnote>
  <w:footnote w:id="753">
    <w:p w14:paraId="6B596837" w14:textId="77777777" w:rsidR="00B47FF5" w:rsidRDefault="00B47FF5" w:rsidP="0020732A">
      <w:pPr>
        <w:pStyle w:val="FootnoteText"/>
      </w:pPr>
      <w:r>
        <w:rPr>
          <w:rStyle w:val="FootnoteReference"/>
        </w:rPr>
        <w:footnoteRef/>
      </w:r>
      <w:r>
        <w:rPr>
          <w:rtl/>
        </w:rPr>
        <w:t xml:space="preserve"> </w:t>
      </w:r>
      <w:r>
        <w:t>Personal AI</w:t>
      </w:r>
    </w:p>
  </w:footnote>
  <w:footnote w:id="754">
    <w:p w14:paraId="60000043" w14:textId="77777777" w:rsidR="00B47FF5" w:rsidRDefault="00B47FF5" w:rsidP="0020732A">
      <w:pPr>
        <w:pStyle w:val="FootnoteText"/>
      </w:pPr>
      <w:r>
        <w:rPr>
          <w:rStyle w:val="FootnoteReference"/>
        </w:rPr>
        <w:footnoteRef/>
      </w:r>
      <w:r>
        <w:rPr>
          <w:rtl/>
        </w:rPr>
        <w:t xml:space="preserve"> </w:t>
      </w:r>
      <w:r w:rsidRPr="007D5FFC">
        <w:t>Be</w:t>
      </w:r>
      <w:r>
        <w:t xml:space="preserve">tter Angles of Our Nature: </w:t>
      </w:r>
      <w:r w:rsidRPr="007D5FFC">
        <w:t>Why Violence Has</w:t>
      </w:r>
      <w:r>
        <w:t xml:space="preserve"> </w:t>
      </w:r>
      <w:r w:rsidRPr="007D5FFC">
        <w:t>Declined</w:t>
      </w:r>
    </w:p>
  </w:footnote>
  <w:footnote w:id="755">
    <w:p w14:paraId="7B16F4F6" w14:textId="77777777" w:rsidR="00B47FF5" w:rsidRDefault="00B47FF5" w:rsidP="0020732A">
      <w:pPr>
        <w:pStyle w:val="FootnoteText"/>
      </w:pPr>
      <w:r>
        <w:rPr>
          <w:rStyle w:val="FootnoteReference"/>
        </w:rPr>
        <w:footnoteRef/>
      </w:r>
      <w:r>
        <w:rPr>
          <w:rtl/>
        </w:rPr>
        <w:t xml:space="preserve"> </w:t>
      </w:r>
      <w:r w:rsidRPr="00DE647D">
        <w:t>Steven Pinker</w:t>
      </w:r>
    </w:p>
  </w:footnote>
  <w:footnote w:id="756">
    <w:p w14:paraId="3AC06D6A" w14:textId="77777777" w:rsidR="00B47FF5" w:rsidRDefault="00B47FF5" w:rsidP="0020732A">
      <w:pPr>
        <w:pStyle w:val="FootnoteText"/>
      </w:pPr>
      <w:r>
        <w:rPr>
          <w:rStyle w:val="FootnoteReference"/>
        </w:rPr>
        <w:footnoteRef/>
      </w:r>
      <w:r>
        <w:rPr>
          <w:rtl/>
        </w:rPr>
        <w:t xml:space="preserve"> </w:t>
      </w:r>
      <w:r w:rsidRPr="007D5FFC">
        <w:t>Factfulness: Ten Reasons We’re Wrong</w:t>
      </w:r>
      <w:r>
        <w:t xml:space="preserve"> </w:t>
      </w:r>
      <w:r w:rsidRPr="007D5FFC">
        <w:t>About the World–And Why Things are Be</w:t>
      </w:r>
      <w:r>
        <w:t>tter than You Think</w:t>
      </w:r>
    </w:p>
  </w:footnote>
  <w:footnote w:id="757">
    <w:p w14:paraId="033252A7" w14:textId="77777777" w:rsidR="00B47FF5" w:rsidRDefault="00B47FF5" w:rsidP="0020732A">
      <w:pPr>
        <w:pStyle w:val="FootnoteText"/>
      </w:pPr>
      <w:r>
        <w:rPr>
          <w:rStyle w:val="FootnoteReference"/>
        </w:rPr>
        <w:footnoteRef/>
      </w:r>
      <w:r>
        <w:rPr>
          <w:rtl/>
        </w:rPr>
        <w:t xml:space="preserve"> </w:t>
      </w:r>
      <w:r w:rsidRPr="00DE647D">
        <w:t>Hans Rosling</w:t>
      </w:r>
    </w:p>
  </w:footnote>
  <w:footnote w:id="758">
    <w:p w14:paraId="3C998DA9" w14:textId="77777777" w:rsidR="00B47FF5" w:rsidRDefault="00B47FF5" w:rsidP="0020732A">
      <w:pPr>
        <w:pStyle w:val="FootnoteText"/>
      </w:pPr>
      <w:r>
        <w:rPr>
          <w:rStyle w:val="FootnoteReference"/>
        </w:rPr>
        <w:footnoteRef/>
      </w:r>
      <w:r>
        <w:rPr>
          <w:rtl/>
        </w:rPr>
        <w:t xml:space="preserve"> </w:t>
      </w:r>
      <w:r w:rsidRPr="00DE647D">
        <w:t>Bailey</w:t>
      </w:r>
    </w:p>
  </w:footnote>
  <w:footnote w:id="759">
    <w:p w14:paraId="69DC60B0" w14:textId="77777777" w:rsidR="00B47FF5" w:rsidRDefault="00B47FF5" w:rsidP="0020732A">
      <w:pPr>
        <w:pStyle w:val="FootnoteText"/>
      </w:pPr>
      <w:r>
        <w:rPr>
          <w:rStyle w:val="FootnoteReference"/>
        </w:rPr>
        <w:footnoteRef/>
      </w:r>
      <w:r>
        <w:rPr>
          <w:rtl/>
        </w:rPr>
        <w:t xml:space="preserve"> </w:t>
      </w:r>
      <w:r w:rsidRPr="00DE647D">
        <w:t>Tupy</w:t>
      </w:r>
    </w:p>
  </w:footnote>
  <w:footnote w:id="760">
    <w:p w14:paraId="46763E0B" w14:textId="77777777" w:rsidR="00B47FF5" w:rsidRDefault="00B47FF5" w:rsidP="0020732A">
      <w:pPr>
        <w:pStyle w:val="FootnoteText"/>
      </w:pPr>
      <w:r>
        <w:rPr>
          <w:rStyle w:val="FootnoteReference"/>
        </w:rPr>
        <w:footnoteRef/>
      </w:r>
      <w:r>
        <w:rPr>
          <w:rtl/>
        </w:rPr>
        <w:t xml:space="preserve"> </w:t>
      </w:r>
      <w:r w:rsidRPr="00CF6068">
        <w:t>Ten Global Trends Every Smart Person Should Know</w:t>
      </w:r>
    </w:p>
  </w:footnote>
  <w:footnote w:id="761">
    <w:p w14:paraId="4136FA5F" w14:textId="23216C28" w:rsidR="00B47FF5" w:rsidRDefault="00B47FF5" w:rsidP="0020732A">
      <w:pPr>
        <w:pStyle w:val="FootnoteText"/>
      </w:pPr>
      <w:r>
        <w:rPr>
          <w:rStyle w:val="FootnoteReference"/>
        </w:rPr>
        <w:footnoteRef/>
      </w:r>
      <w:r>
        <w:rPr>
          <w:rtl/>
        </w:rPr>
        <w:t xml:space="preserve"> </w:t>
      </w:r>
      <w:r>
        <w:t>Plutocratic</w:t>
      </w:r>
    </w:p>
  </w:footnote>
  <w:footnote w:id="762">
    <w:p w14:paraId="752FE833" w14:textId="77777777" w:rsidR="00B47FF5" w:rsidRDefault="00B47FF5" w:rsidP="0020732A">
      <w:pPr>
        <w:pStyle w:val="FootnoteText"/>
      </w:pPr>
      <w:r>
        <w:rPr>
          <w:rStyle w:val="FootnoteReference"/>
        </w:rPr>
        <w:footnoteRef/>
      </w:r>
      <w:r>
        <w:rPr>
          <w:rtl/>
        </w:rPr>
        <w:t xml:space="preserve"> </w:t>
      </w:r>
      <w:r w:rsidRPr="00DE647D">
        <w:t>YouGov</w:t>
      </w:r>
    </w:p>
  </w:footnote>
  <w:footnote w:id="763">
    <w:p w14:paraId="49EBD6A0" w14:textId="77777777" w:rsidR="00B47FF5" w:rsidRDefault="00B47FF5" w:rsidP="0020732A">
      <w:pPr>
        <w:pStyle w:val="FootnoteText"/>
      </w:pPr>
      <w:r>
        <w:rPr>
          <w:rStyle w:val="FootnoteReference"/>
        </w:rPr>
        <w:footnoteRef/>
      </w:r>
      <w:r>
        <w:rPr>
          <w:rtl/>
        </w:rPr>
        <w:t xml:space="preserve"> </w:t>
      </w:r>
      <w:r w:rsidRPr="00B97313">
        <w:t>Julian Simon</w:t>
      </w:r>
    </w:p>
  </w:footnote>
  <w:footnote w:id="764">
    <w:p w14:paraId="779599C1" w14:textId="77777777" w:rsidR="00B47FF5" w:rsidRDefault="00B47FF5" w:rsidP="0020732A">
      <w:pPr>
        <w:pStyle w:val="FootnoteText"/>
      </w:pPr>
      <w:r>
        <w:rPr>
          <w:rStyle w:val="FootnoteReference"/>
        </w:rPr>
        <w:footnoteRef/>
      </w:r>
      <w:r>
        <w:rPr>
          <w:rtl/>
        </w:rPr>
        <w:t xml:space="preserve"> </w:t>
      </w:r>
      <w:r w:rsidRPr="00B97313">
        <w:t>Tonkin</w:t>
      </w:r>
    </w:p>
  </w:footnote>
  <w:footnote w:id="765">
    <w:p w14:paraId="413874F4" w14:textId="77777777" w:rsidR="00B47FF5" w:rsidRDefault="00B47FF5" w:rsidP="0020732A">
      <w:pPr>
        <w:pStyle w:val="FootnoteText"/>
      </w:pPr>
      <w:r>
        <w:rPr>
          <w:rStyle w:val="FootnoteReference"/>
        </w:rPr>
        <w:footnoteRef/>
      </w:r>
      <w:r>
        <w:rPr>
          <w:rtl/>
        </w:rPr>
        <w:t xml:space="preserve"> </w:t>
      </w:r>
      <w:r w:rsidRPr="00B97313">
        <w:t>Larry Brilliant</w:t>
      </w:r>
    </w:p>
  </w:footnote>
  <w:footnote w:id="766">
    <w:p w14:paraId="2DEB8796" w14:textId="77777777" w:rsidR="00B47FF5" w:rsidRDefault="00B47FF5" w:rsidP="0020732A">
      <w:pPr>
        <w:pStyle w:val="FootnoteText"/>
      </w:pPr>
      <w:r>
        <w:rPr>
          <w:rStyle w:val="FootnoteReference"/>
        </w:rPr>
        <w:footnoteRef/>
      </w:r>
      <w:r>
        <w:rPr>
          <w:rtl/>
        </w:rPr>
        <w:t xml:space="preserve"> </w:t>
      </w:r>
      <w:r w:rsidRPr="00B97313">
        <w:t>Bill Gates</w:t>
      </w:r>
    </w:p>
  </w:footnote>
  <w:footnote w:id="767">
    <w:p w14:paraId="3FBD6241" w14:textId="0DBEEE95" w:rsidR="00B47FF5" w:rsidRDefault="00B47FF5" w:rsidP="0020732A">
      <w:pPr>
        <w:pStyle w:val="FootnoteText"/>
      </w:pPr>
      <w:r>
        <w:rPr>
          <w:rStyle w:val="FootnoteReference"/>
        </w:rPr>
        <w:footnoteRef/>
      </w:r>
      <w:r>
        <w:rPr>
          <w:rtl/>
        </w:rPr>
        <w:t xml:space="preserve"> </w:t>
      </w:r>
      <w:r w:rsidRPr="00D56076">
        <w:t>Hindsight</w:t>
      </w:r>
    </w:p>
  </w:footnote>
  <w:footnote w:id="768">
    <w:p w14:paraId="5F6F2C81" w14:textId="77777777" w:rsidR="00B47FF5" w:rsidRDefault="00B47FF5" w:rsidP="0020732A">
      <w:pPr>
        <w:pStyle w:val="FootnoteText"/>
      </w:pPr>
      <w:r>
        <w:rPr>
          <w:rStyle w:val="FootnoteReference"/>
        </w:rPr>
        <w:footnoteRef/>
      </w:r>
      <w:r>
        <w:rPr>
          <w:rtl/>
        </w:rPr>
        <w:t xml:space="preserve"> </w:t>
      </w:r>
      <w:r w:rsidRPr="00C86E4E">
        <w:t>Problems of Progress</w:t>
      </w:r>
    </w:p>
  </w:footnote>
  <w:footnote w:id="769">
    <w:p w14:paraId="470B4959" w14:textId="77777777" w:rsidR="00B47FF5" w:rsidRDefault="00B47FF5" w:rsidP="0020732A">
      <w:pPr>
        <w:pStyle w:val="FootnoteText"/>
      </w:pPr>
      <w:r>
        <w:rPr>
          <w:rStyle w:val="FootnoteReference"/>
        </w:rPr>
        <w:footnoteRef/>
      </w:r>
      <w:r>
        <w:rPr>
          <w:rtl/>
        </w:rPr>
        <w:t xml:space="preserve"> </w:t>
      </w:r>
      <w:r w:rsidRPr="00B97313">
        <w:t>Anthropocene</w:t>
      </w:r>
    </w:p>
  </w:footnote>
  <w:footnote w:id="770">
    <w:p w14:paraId="1709B82C" w14:textId="7D698AC3" w:rsidR="00B47FF5" w:rsidRDefault="00B47FF5" w:rsidP="0020732A">
      <w:pPr>
        <w:pStyle w:val="FootnoteText"/>
      </w:pPr>
      <w:r>
        <w:rPr>
          <w:rStyle w:val="FootnoteReference"/>
        </w:rPr>
        <w:footnoteRef/>
      </w:r>
      <w:r>
        <w:rPr>
          <w:rtl/>
        </w:rPr>
        <w:t xml:space="preserve"> </w:t>
      </w:r>
      <w:r w:rsidRPr="00C86E4E">
        <w:t>Egalitarian</w:t>
      </w:r>
    </w:p>
  </w:footnote>
  <w:footnote w:id="771">
    <w:p w14:paraId="6AEB257B" w14:textId="13C06798" w:rsidR="00B47FF5" w:rsidRDefault="00B47FF5" w:rsidP="0020732A">
      <w:pPr>
        <w:pStyle w:val="FootnoteText"/>
      </w:pPr>
      <w:r>
        <w:rPr>
          <w:rStyle w:val="FootnoteReference"/>
        </w:rPr>
        <w:footnoteRef/>
      </w:r>
      <w:r>
        <w:rPr>
          <w:rtl/>
        </w:rPr>
        <w:t xml:space="preserve"> </w:t>
      </w:r>
      <w:r>
        <w:t>Limits</w:t>
      </w:r>
    </w:p>
  </w:footnote>
  <w:footnote w:id="772">
    <w:p w14:paraId="5A09D40C" w14:textId="7869C751" w:rsidR="00B47FF5" w:rsidRDefault="00B47FF5" w:rsidP="0020732A">
      <w:pPr>
        <w:pStyle w:val="FootnoteText"/>
      </w:pPr>
      <w:r>
        <w:rPr>
          <w:rStyle w:val="FootnoteReference"/>
        </w:rPr>
        <w:footnoteRef/>
      </w:r>
      <w:r>
        <w:rPr>
          <w:rtl/>
        </w:rPr>
        <w:t xml:space="preserve"> </w:t>
      </w:r>
      <w:r>
        <w:t>Dematerialization</w:t>
      </w:r>
    </w:p>
  </w:footnote>
  <w:footnote w:id="773">
    <w:p w14:paraId="4618ADA5" w14:textId="77777777" w:rsidR="00B47FF5" w:rsidRDefault="00B47FF5" w:rsidP="0020732A">
      <w:pPr>
        <w:pStyle w:val="FootnoteText"/>
      </w:pPr>
      <w:r>
        <w:rPr>
          <w:rStyle w:val="FootnoteReference"/>
        </w:rPr>
        <w:footnoteRef/>
      </w:r>
      <w:r>
        <w:rPr>
          <w:rtl/>
        </w:rPr>
        <w:t xml:space="preserve"> </w:t>
      </w:r>
      <w:r w:rsidRPr="00824124">
        <w:t>More from Less</w:t>
      </w:r>
    </w:p>
  </w:footnote>
  <w:footnote w:id="774">
    <w:p w14:paraId="3BCA7240" w14:textId="77777777" w:rsidR="00B47FF5" w:rsidRDefault="00B47FF5" w:rsidP="0020732A">
      <w:pPr>
        <w:pStyle w:val="FootnoteText"/>
      </w:pPr>
      <w:r>
        <w:rPr>
          <w:rStyle w:val="FootnoteReference"/>
        </w:rPr>
        <w:footnoteRef/>
      </w:r>
      <w:r>
        <w:rPr>
          <w:rtl/>
        </w:rPr>
        <w:t xml:space="preserve"> </w:t>
      </w:r>
      <w:r w:rsidRPr="00C13C04">
        <w:t>Andrew</w:t>
      </w:r>
    </w:p>
  </w:footnote>
  <w:footnote w:id="775">
    <w:p w14:paraId="608DDCE3" w14:textId="77777777" w:rsidR="00B47FF5" w:rsidRDefault="00B47FF5" w:rsidP="0020732A">
      <w:pPr>
        <w:pStyle w:val="FootnoteText"/>
      </w:pPr>
      <w:r>
        <w:rPr>
          <w:rStyle w:val="FootnoteReference"/>
        </w:rPr>
        <w:footnoteRef/>
      </w:r>
      <w:r>
        <w:rPr>
          <w:rtl/>
        </w:rPr>
        <w:t xml:space="preserve"> </w:t>
      </w:r>
      <w:r w:rsidRPr="00C13C04">
        <w:t>McAfee</w:t>
      </w:r>
    </w:p>
  </w:footnote>
  <w:footnote w:id="776">
    <w:p w14:paraId="3D5FCFED" w14:textId="4BD837FE" w:rsidR="00B47FF5" w:rsidRDefault="00B47FF5" w:rsidP="0020732A">
      <w:pPr>
        <w:pStyle w:val="FootnoteText"/>
      </w:pPr>
      <w:r>
        <w:rPr>
          <w:rStyle w:val="FootnoteReference"/>
        </w:rPr>
        <w:footnoteRef/>
      </w:r>
      <w:r>
        <w:rPr>
          <w:rtl/>
        </w:rPr>
        <w:t xml:space="preserve"> </w:t>
      </w:r>
      <w:r>
        <w:t>Densification</w:t>
      </w:r>
    </w:p>
  </w:footnote>
  <w:footnote w:id="777">
    <w:p w14:paraId="1FB87A50" w14:textId="44E35617" w:rsidR="00B47FF5" w:rsidRDefault="00B47FF5" w:rsidP="0020732A">
      <w:pPr>
        <w:pStyle w:val="FootnoteText"/>
      </w:pPr>
      <w:r>
        <w:rPr>
          <w:rStyle w:val="FootnoteReference"/>
        </w:rPr>
        <w:footnoteRef/>
      </w:r>
      <w:r>
        <w:rPr>
          <w:rtl/>
        </w:rPr>
        <w:t xml:space="preserve"> </w:t>
      </w:r>
      <w:r>
        <w:t>Carbon mass</w:t>
      </w:r>
    </w:p>
  </w:footnote>
  <w:footnote w:id="778">
    <w:p w14:paraId="0338FFEB" w14:textId="732D475C" w:rsidR="00B47FF5" w:rsidRDefault="00B47FF5" w:rsidP="0020732A">
      <w:pPr>
        <w:pStyle w:val="FootnoteText"/>
      </w:pPr>
      <w:r>
        <w:rPr>
          <w:rStyle w:val="FootnoteReference"/>
        </w:rPr>
        <w:footnoteRef/>
      </w:r>
      <w:r>
        <w:rPr>
          <w:rtl/>
        </w:rPr>
        <w:t xml:space="preserve"> </w:t>
      </w:r>
      <w:r w:rsidRPr="00C13C04">
        <w:t>Monoculture</w:t>
      </w:r>
    </w:p>
  </w:footnote>
  <w:footnote w:id="779">
    <w:p w14:paraId="3CBE9E55" w14:textId="77777777" w:rsidR="00B47FF5" w:rsidRDefault="00B47FF5" w:rsidP="0020732A">
      <w:pPr>
        <w:pStyle w:val="FootnoteText"/>
      </w:pPr>
      <w:r>
        <w:rPr>
          <w:rStyle w:val="FootnoteReference"/>
        </w:rPr>
        <w:footnoteRef/>
      </w:r>
      <w:r>
        <w:rPr>
          <w:rtl/>
        </w:rPr>
        <w:t xml:space="preserve"> </w:t>
      </w:r>
      <w:r>
        <w:t>Living Planet Report</w:t>
      </w:r>
    </w:p>
  </w:footnote>
  <w:footnote w:id="780">
    <w:p w14:paraId="77CCF30D" w14:textId="3E945F27" w:rsidR="00B47FF5" w:rsidRDefault="00B47FF5" w:rsidP="0020732A">
      <w:pPr>
        <w:pStyle w:val="FootnoteText"/>
      </w:pPr>
      <w:r>
        <w:rPr>
          <w:rStyle w:val="FootnoteReference"/>
        </w:rPr>
        <w:footnoteRef/>
      </w:r>
      <w:r>
        <w:rPr>
          <w:rtl/>
        </w:rPr>
        <w:t xml:space="preserve"> </w:t>
      </w:r>
      <w:r w:rsidRPr="001276B1">
        <w:t>Biosphere</w:t>
      </w:r>
    </w:p>
  </w:footnote>
  <w:footnote w:id="781">
    <w:p w14:paraId="0C953834" w14:textId="425E9C7F" w:rsidR="00B47FF5" w:rsidRDefault="00B47FF5" w:rsidP="0020732A">
      <w:pPr>
        <w:pStyle w:val="FootnoteText"/>
      </w:pPr>
      <w:r>
        <w:rPr>
          <w:rStyle w:val="FootnoteReference"/>
        </w:rPr>
        <w:footnoteRef/>
      </w:r>
      <w:r>
        <w:rPr>
          <w:rtl/>
        </w:rPr>
        <w:t xml:space="preserve"> </w:t>
      </w:r>
      <w:r>
        <w:t>Prokaryotes</w:t>
      </w:r>
    </w:p>
  </w:footnote>
  <w:footnote w:id="782">
    <w:p w14:paraId="5399EDBE" w14:textId="77777777" w:rsidR="00B47FF5" w:rsidRDefault="00B47FF5" w:rsidP="0020732A">
      <w:pPr>
        <w:pStyle w:val="FootnoteText"/>
      </w:pPr>
      <w:r>
        <w:rPr>
          <w:rStyle w:val="FootnoteReference"/>
        </w:rPr>
        <w:footnoteRef/>
      </w:r>
      <w:r>
        <w:rPr>
          <w:rtl/>
        </w:rPr>
        <w:t xml:space="preserve"> </w:t>
      </w:r>
      <w:r w:rsidRPr="00FF1BA9">
        <w:t>Harvesting the Biosphere</w:t>
      </w:r>
    </w:p>
  </w:footnote>
  <w:footnote w:id="783">
    <w:p w14:paraId="53427D78" w14:textId="77777777" w:rsidR="00B47FF5" w:rsidRDefault="00B47FF5" w:rsidP="0020732A">
      <w:pPr>
        <w:pStyle w:val="FootnoteText"/>
      </w:pPr>
      <w:r>
        <w:rPr>
          <w:rStyle w:val="FootnoteReference"/>
        </w:rPr>
        <w:footnoteRef/>
      </w:r>
      <w:r>
        <w:rPr>
          <w:rtl/>
        </w:rPr>
        <w:t xml:space="preserve"> </w:t>
      </w:r>
      <w:r w:rsidRPr="00C13C04">
        <w:t>Vaclav Smil</w:t>
      </w:r>
    </w:p>
  </w:footnote>
  <w:footnote w:id="784">
    <w:p w14:paraId="38D45091" w14:textId="77777777" w:rsidR="00B47FF5" w:rsidRDefault="00B47FF5" w:rsidP="0020732A">
      <w:pPr>
        <w:pStyle w:val="FootnoteText"/>
      </w:pPr>
      <w:r>
        <w:rPr>
          <w:rStyle w:val="FootnoteReference"/>
        </w:rPr>
        <w:footnoteRef/>
      </w:r>
      <w:r>
        <w:rPr>
          <w:rtl/>
        </w:rPr>
        <w:t xml:space="preserve"> </w:t>
      </w:r>
      <w:r w:rsidRPr="00C13C04">
        <w:t>Population and Development Review</w:t>
      </w:r>
    </w:p>
  </w:footnote>
  <w:footnote w:id="785">
    <w:p w14:paraId="44239AB3" w14:textId="77777777" w:rsidR="00B47FF5" w:rsidRDefault="00B47FF5" w:rsidP="0020732A">
      <w:pPr>
        <w:pStyle w:val="FootnoteText"/>
      </w:pPr>
      <w:r>
        <w:rPr>
          <w:rStyle w:val="FootnoteReference"/>
        </w:rPr>
        <w:footnoteRef/>
      </w:r>
      <w:r>
        <w:rPr>
          <w:rtl/>
        </w:rPr>
        <w:t xml:space="preserve"> </w:t>
      </w:r>
      <w:r w:rsidRPr="00FF1BA9">
        <w:t>Mass Extinction</w:t>
      </w:r>
    </w:p>
  </w:footnote>
  <w:footnote w:id="786">
    <w:p w14:paraId="24F29E92" w14:textId="77777777" w:rsidR="00B47FF5" w:rsidRDefault="00B47FF5" w:rsidP="0020732A">
      <w:pPr>
        <w:pStyle w:val="FootnoteText"/>
      </w:pPr>
      <w:r>
        <w:rPr>
          <w:rStyle w:val="FootnoteReference"/>
        </w:rPr>
        <w:footnoteRef/>
      </w:r>
      <w:r>
        <w:rPr>
          <w:rtl/>
        </w:rPr>
        <w:t xml:space="preserve"> </w:t>
      </w:r>
      <w:r w:rsidRPr="00C13C04">
        <w:t>Smithsonian</w:t>
      </w:r>
    </w:p>
  </w:footnote>
  <w:footnote w:id="787">
    <w:p w14:paraId="0AB9FCD7" w14:textId="0B8A5705" w:rsidR="00B47FF5" w:rsidRDefault="00B47FF5" w:rsidP="0020732A">
      <w:pPr>
        <w:pStyle w:val="FootnoteText"/>
      </w:pPr>
      <w:r>
        <w:rPr>
          <w:rStyle w:val="FootnoteReference"/>
        </w:rPr>
        <w:footnoteRef/>
      </w:r>
      <w:r>
        <w:rPr>
          <w:rtl/>
        </w:rPr>
        <w:t xml:space="preserve"> </w:t>
      </w:r>
      <w:r>
        <w:t>Self-preventing prophecy</w:t>
      </w:r>
    </w:p>
  </w:footnote>
  <w:footnote w:id="788">
    <w:p w14:paraId="4F847530" w14:textId="3FA1B412" w:rsidR="00B47FF5" w:rsidRDefault="00B47FF5">
      <w:pPr>
        <w:pStyle w:val="FootnoteText"/>
        <w:rPr>
          <w:rtl/>
        </w:rPr>
      </w:pPr>
      <w:r>
        <w:rPr>
          <w:rStyle w:val="FootnoteReference"/>
        </w:rPr>
        <w:footnoteRef/>
      </w:r>
      <w:r>
        <w:t xml:space="preserve"> </w:t>
      </w:r>
      <w:r w:rsidRPr="0020732A">
        <w:t>Sentinel</w:t>
      </w:r>
    </w:p>
  </w:footnote>
  <w:footnote w:id="789">
    <w:p w14:paraId="1C25879E" w14:textId="77777777" w:rsidR="00B47FF5" w:rsidRDefault="00B47FF5" w:rsidP="0020732A">
      <w:pPr>
        <w:pStyle w:val="FootnoteText"/>
      </w:pPr>
      <w:r>
        <w:rPr>
          <w:rStyle w:val="FootnoteReference"/>
        </w:rPr>
        <w:footnoteRef/>
      </w:r>
      <w:r>
        <w:rPr>
          <w:rtl/>
        </w:rPr>
        <w:t xml:space="preserve"> </w:t>
      </w:r>
      <w:r w:rsidRPr="001A13E1">
        <w:t>Retrofuturism</w:t>
      </w:r>
    </w:p>
  </w:footnote>
  <w:footnote w:id="790">
    <w:p w14:paraId="66D0851F" w14:textId="77777777" w:rsidR="00B47FF5" w:rsidRDefault="00B47FF5" w:rsidP="0020732A">
      <w:pPr>
        <w:pStyle w:val="FootnoteText"/>
      </w:pPr>
      <w:r>
        <w:rPr>
          <w:rStyle w:val="FootnoteReference"/>
        </w:rPr>
        <w:footnoteRef/>
      </w:r>
      <w:r>
        <w:rPr>
          <w:rtl/>
        </w:rPr>
        <w:t xml:space="preserve"> </w:t>
      </w:r>
      <w:r w:rsidRPr="001A13E1">
        <w:t>Paleofuture</w:t>
      </w:r>
    </w:p>
  </w:footnote>
  <w:footnote w:id="791">
    <w:p w14:paraId="688FF676" w14:textId="77777777" w:rsidR="00B47FF5" w:rsidRDefault="00B47FF5" w:rsidP="0020732A">
      <w:pPr>
        <w:pStyle w:val="FootnoteText"/>
      </w:pPr>
      <w:r>
        <w:rPr>
          <w:rStyle w:val="FootnoteReference"/>
        </w:rPr>
        <w:footnoteRef/>
      </w:r>
      <w:r>
        <w:rPr>
          <w:rtl/>
        </w:rPr>
        <w:t xml:space="preserve"> </w:t>
      </w:r>
      <w:r>
        <w:t>Historical foresight analysis</w:t>
      </w:r>
    </w:p>
  </w:footnote>
  <w:footnote w:id="792">
    <w:p w14:paraId="75EF04E6" w14:textId="1CD2B2C2" w:rsidR="00B47FF5" w:rsidRDefault="00B47FF5" w:rsidP="0020732A">
      <w:pPr>
        <w:pStyle w:val="FootnoteText"/>
      </w:pPr>
      <w:r>
        <w:rPr>
          <w:rStyle w:val="FootnoteReference"/>
        </w:rPr>
        <w:footnoteRef/>
      </w:r>
      <w:r>
        <w:rPr>
          <w:rtl/>
        </w:rPr>
        <w:t xml:space="preserve"> </w:t>
      </w:r>
      <w:r>
        <w:t>Foresee</w:t>
      </w:r>
    </w:p>
  </w:footnote>
  <w:footnote w:id="793">
    <w:p w14:paraId="5A37379C" w14:textId="36F29CD2" w:rsidR="00A20CCB" w:rsidRDefault="00A20CCB">
      <w:pPr>
        <w:pStyle w:val="FootnoteText"/>
        <w:rPr>
          <w:rtl/>
        </w:rPr>
      </w:pPr>
      <w:r>
        <w:rPr>
          <w:rStyle w:val="FootnoteReference"/>
        </w:rPr>
        <w:footnoteRef/>
      </w:r>
      <w:r>
        <w:t xml:space="preserve"> </w:t>
      </w:r>
      <w:r w:rsidRPr="00A20CCB">
        <w:t>Technological Forecasting: 1970-1993</w:t>
      </w:r>
    </w:p>
  </w:footnote>
  <w:footnote w:id="794">
    <w:p w14:paraId="6D9BEB4E" w14:textId="77777777" w:rsidR="00B47FF5" w:rsidRDefault="00B47FF5" w:rsidP="0020732A">
      <w:pPr>
        <w:pStyle w:val="FootnoteText"/>
      </w:pPr>
      <w:r>
        <w:rPr>
          <w:rStyle w:val="FootnoteReference"/>
        </w:rPr>
        <w:footnoteRef/>
      </w:r>
      <w:r>
        <w:rPr>
          <w:rtl/>
        </w:rPr>
        <w:t xml:space="preserve"> </w:t>
      </w:r>
      <w:r w:rsidRPr="001A13E1">
        <w:t>Technological Forecasting &amp; Social Change</w:t>
      </w:r>
    </w:p>
  </w:footnote>
  <w:footnote w:id="795">
    <w:p w14:paraId="119F0401" w14:textId="77777777" w:rsidR="00B47FF5" w:rsidRDefault="00B47FF5" w:rsidP="0020732A">
      <w:pPr>
        <w:pStyle w:val="FootnoteText"/>
      </w:pPr>
      <w:r>
        <w:rPr>
          <w:rStyle w:val="FootnoteReference"/>
        </w:rPr>
        <w:footnoteRef/>
      </w:r>
      <w:r>
        <w:rPr>
          <w:rtl/>
        </w:rPr>
        <w:t xml:space="preserve"> </w:t>
      </w:r>
      <w:r>
        <w:t>Leipzig</w:t>
      </w:r>
    </w:p>
  </w:footnote>
  <w:footnote w:id="796">
    <w:p w14:paraId="1C6946CC" w14:textId="77777777" w:rsidR="00B47FF5" w:rsidRDefault="00B47FF5" w:rsidP="0020732A">
      <w:pPr>
        <w:pStyle w:val="FootnoteText"/>
      </w:pPr>
      <w:r>
        <w:rPr>
          <w:rStyle w:val="FootnoteReference"/>
        </w:rPr>
        <w:footnoteRef/>
      </w:r>
      <w:r>
        <w:rPr>
          <w:rtl/>
        </w:rPr>
        <w:t xml:space="preserve"> </w:t>
      </w:r>
      <w:r w:rsidRPr="00FE0B2E">
        <w:t>iPhone</w:t>
      </w:r>
    </w:p>
  </w:footnote>
  <w:footnote w:id="797">
    <w:p w14:paraId="0DCDCEF0" w14:textId="0A8CB1E9" w:rsidR="00B47FF5" w:rsidRDefault="00B47FF5" w:rsidP="0020732A">
      <w:pPr>
        <w:pStyle w:val="FootnoteText"/>
      </w:pPr>
      <w:r>
        <w:rPr>
          <w:rStyle w:val="FootnoteReference"/>
        </w:rPr>
        <w:footnoteRef/>
      </w:r>
      <w:r>
        <w:rPr>
          <w:rtl/>
        </w:rPr>
        <w:t xml:space="preserve"> </w:t>
      </w:r>
      <w:r>
        <w:t>Digital telepresence</w:t>
      </w:r>
    </w:p>
  </w:footnote>
  <w:footnote w:id="798">
    <w:p w14:paraId="2B8883F6" w14:textId="77777777" w:rsidR="00B47FF5" w:rsidRDefault="00B47FF5" w:rsidP="0020732A">
      <w:pPr>
        <w:pStyle w:val="FootnoteText"/>
      </w:pPr>
      <w:r>
        <w:rPr>
          <w:rStyle w:val="FootnoteReference"/>
        </w:rPr>
        <w:footnoteRef/>
      </w:r>
      <w:r>
        <w:rPr>
          <w:rtl/>
        </w:rPr>
        <w:t xml:space="preserve"> </w:t>
      </w:r>
      <w:r w:rsidRPr="00FE0B2E">
        <w:t>Forgotton Creator</w:t>
      </w:r>
    </w:p>
  </w:footnote>
  <w:footnote w:id="799">
    <w:p w14:paraId="2F3B45BE" w14:textId="77777777" w:rsidR="00B47FF5" w:rsidRDefault="00B47FF5" w:rsidP="0020732A">
      <w:pPr>
        <w:pStyle w:val="FootnoteText"/>
      </w:pPr>
      <w:r>
        <w:rPr>
          <w:rStyle w:val="FootnoteReference"/>
        </w:rPr>
        <w:footnoteRef/>
      </w:r>
      <w:r>
        <w:rPr>
          <w:rtl/>
        </w:rPr>
        <w:t xml:space="preserve"> </w:t>
      </w:r>
      <w:r w:rsidRPr="00CB11A0">
        <w:t>Todd Rider</w:t>
      </w:r>
    </w:p>
  </w:footnote>
  <w:footnote w:id="800">
    <w:p w14:paraId="0FEF478B" w14:textId="441828DF" w:rsidR="00B47FF5" w:rsidRDefault="00B47FF5" w:rsidP="0020732A">
      <w:pPr>
        <w:pStyle w:val="FootnoteText"/>
      </w:pPr>
      <w:r>
        <w:rPr>
          <w:rStyle w:val="FootnoteReference"/>
        </w:rPr>
        <w:footnoteRef/>
      </w:r>
      <w:r>
        <w:rPr>
          <w:rtl/>
        </w:rPr>
        <w:t xml:space="preserve"> </w:t>
      </w:r>
      <w:r>
        <w:t>Backward-looking</w:t>
      </w:r>
    </w:p>
  </w:footnote>
  <w:footnote w:id="801">
    <w:p w14:paraId="699857D7" w14:textId="7E5FAFAE" w:rsidR="00B47FF5" w:rsidRDefault="00B47FF5" w:rsidP="0020732A">
      <w:pPr>
        <w:pStyle w:val="FootnoteText"/>
      </w:pPr>
      <w:r>
        <w:rPr>
          <w:rStyle w:val="FootnoteReference"/>
        </w:rPr>
        <w:footnoteRef/>
      </w:r>
      <w:r>
        <w:rPr>
          <w:rtl/>
        </w:rPr>
        <w:t xml:space="preserve"> </w:t>
      </w:r>
      <w:r>
        <w:t>Political foresight</w:t>
      </w:r>
    </w:p>
  </w:footnote>
  <w:footnote w:id="802">
    <w:p w14:paraId="146EC3BA" w14:textId="358AAA33" w:rsidR="00B47FF5" w:rsidRDefault="00B47FF5" w:rsidP="0020732A">
      <w:pPr>
        <w:pStyle w:val="FootnoteText"/>
      </w:pPr>
      <w:r>
        <w:rPr>
          <w:rStyle w:val="FootnoteReference"/>
        </w:rPr>
        <w:footnoteRef/>
      </w:r>
      <w:r>
        <w:rPr>
          <w:rtl/>
        </w:rPr>
        <w:t xml:space="preserve"> </w:t>
      </w:r>
      <w:r w:rsidRPr="00305FDB">
        <w:t>Zero-sum</w:t>
      </w:r>
    </w:p>
  </w:footnote>
  <w:footnote w:id="803">
    <w:p w14:paraId="78576A45" w14:textId="77777777" w:rsidR="00B47FF5" w:rsidRDefault="00B47FF5" w:rsidP="0020732A">
      <w:pPr>
        <w:pStyle w:val="FootnoteText"/>
      </w:pPr>
      <w:r>
        <w:rPr>
          <w:rStyle w:val="FootnoteReference"/>
        </w:rPr>
        <w:footnoteRef/>
      </w:r>
      <w:r>
        <w:rPr>
          <w:rtl/>
        </w:rPr>
        <w:t xml:space="preserve"> </w:t>
      </w:r>
      <w:r w:rsidRPr="00CB11A0">
        <w:t>Vannevar Bush</w:t>
      </w:r>
    </w:p>
  </w:footnote>
  <w:footnote w:id="804">
    <w:p w14:paraId="4C94BFA5" w14:textId="77777777" w:rsidR="00B47FF5" w:rsidRDefault="00B47FF5" w:rsidP="0020732A">
      <w:pPr>
        <w:pStyle w:val="FootnoteText"/>
      </w:pPr>
      <w:r>
        <w:rPr>
          <w:rStyle w:val="FootnoteReference"/>
        </w:rPr>
        <w:footnoteRef/>
      </w:r>
      <w:r>
        <w:rPr>
          <w:rtl/>
        </w:rPr>
        <w:t xml:space="preserve"> </w:t>
      </w:r>
      <w:r>
        <w:t>National Science Foundation</w:t>
      </w:r>
    </w:p>
  </w:footnote>
  <w:footnote w:id="805">
    <w:p w14:paraId="0188EA0C" w14:textId="77777777" w:rsidR="00B47FF5" w:rsidRDefault="00B47FF5" w:rsidP="0020732A">
      <w:pPr>
        <w:pStyle w:val="FootnoteText"/>
      </w:pPr>
      <w:r>
        <w:rPr>
          <w:rStyle w:val="FootnoteReference"/>
        </w:rPr>
        <w:footnoteRef/>
      </w:r>
      <w:r>
        <w:rPr>
          <w:rtl/>
        </w:rPr>
        <w:t xml:space="preserve"> </w:t>
      </w:r>
      <w:r w:rsidRPr="00305FDB">
        <w:t>Atlantic</w:t>
      </w:r>
    </w:p>
  </w:footnote>
  <w:footnote w:id="806">
    <w:p w14:paraId="7C877E4F" w14:textId="77777777" w:rsidR="00B47FF5" w:rsidRDefault="00B47FF5" w:rsidP="0020732A">
      <w:pPr>
        <w:pStyle w:val="FootnoteText"/>
      </w:pPr>
      <w:r>
        <w:rPr>
          <w:rStyle w:val="FootnoteReference"/>
        </w:rPr>
        <w:footnoteRef/>
      </w:r>
      <w:r>
        <w:rPr>
          <w:rtl/>
        </w:rPr>
        <w:t xml:space="preserve"> </w:t>
      </w:r>
      <w:r w:rsidRPr="00305FDB">
        <w:t>As We May Think</w:t>
      </w:r>
    </w:p>
  </w:footnote>
  <w:footnote w:id="807">
    <w:p w14:paraId="7505A67E" w14:textId="3CB8FB47" w:rsidR="00B47FF5" w:rsidRDefault="00B47FF5" w:rsidP="0020732A">
      <w:pPr>
        <w:pStyle w:val="FootnoteText"/>
      </w:pPr>
      <w:r>
        <w:rPr>
          <w:rStyle w:val="FootnoteReference"/>
        </w:rPr>
        <w:footnoteRef/>
      </w:r>
      <w:r>
        <w:rPr>
          <w:rtl/>
        </w:rPr>
        <w:t xml:space="preserve"> </w:t>
      </w:r>
      <w:r w:rsidRPr="00657C84">
        <w:t>World wide web</w:t>
      </w:r>
    </w:p>
  </w:footnote>
  <w:footnote w:id="808">
    <w:p w14:paraId="74D116A6" w14:textId="704C511A" w:rsidR="00B47FF5" w:rsidRDefault="00B47FF5" w:rsidP="0020732A">
      <w:pPr>
        <w:pStyle w:val="FootnoteText"/>
      </w:pPr>
      <w:r>
        <w:rPr>
          <w:rStyle w:val="FootnoteReference"/>
        </w:rPr>
        <w:footnoteRef/>
      </w:r>
      <w:r>
        <w:rPr>
          <w:rtl/>
        </w:rPr>
        <w:t xml:space="preserve"> </w:t>
      </w:r>
      <w:r>
        <w:t>Microfiche</w:t>
      </w:r>
    </w:p>
  </w:footnote>
  <w:footnote w:id="809">
    <w:p w14:paraId="145EC748" w14:textId="77777777" w:rsidR="00B47FF5" w:rsidRDefault="00B47FF5" w:rsidP="0020732A">
      <w:pPr>
        <w:pStyle w:val="FootnoteText"/>
      </w:pPr>
      <w:r>
        <w:rPr>
          <w:rStyle w:val="FootnoteReference"/>
        </w:rPr>
        <w:footnoteRef/>
      </w:r>
      <w:r>
        <w:rPr>
          <w:rtl/>
        </w:rPr>
        <w:t xml:space="preserve"> </w:t>
      </w:r>
      <w:r w:rsidRPr="00CB11A0">
        <w:t>Doug Englebart</w:t>
      </w:r>
    </w:p>
  </w:footnote>
  <w:footnote w:id="810">
    <w:p w14:paraId="130FDB11" w14:textId="636FEDF3" w:rsidR="00B47FF5" w:rsidRDefault="00B47FF5" w:rsidP="0020732A">
      <w:pPr>
        <w:pStyle w:val="FootnoteText"/>
      </w:pPr>
      <w:r>
        <w:rPr>
          <w:rStyle w:val="FootnoteReference"/>
        </w:rPr>
        <w:footnoteRef/>
      </w:r>
      <w:r>
        <w:rPr>
          <w:rtl/>
        </w:rPr>
        <w:t xml:space="preserve"> </w:t>
      </w:r>
      <w:r>
        <w:t>Electronic hypertext</w:t>
      </w:r>
    </w:p>
  </w:footnote>
  <w:footnote w:id="811">
    <w:p w14:paraId="6253E0B5" w14:textId="77777777" w:rsidR="00B47FF5" w:rsidRDefault="00B47FF5" w:rsidP="0020732A">
      <w:pPr>
        <w:pStyle w:val="FootnoteText"/>
      </w:pPr>
      <w:r>
        <w:rPr>
          <w:rStyle w:val="FootnoteReference"/>
        </w:rPr>
        <w:footnoteRef/>
      </w:r>
      <w:r>
        <w:rPr>
          <w:rtl/>
        </w:rPr>
        <w:t xml:space="preserve"> </w:t>
      </w:r>
      <w:r w:rsidRPr="00CB11A0">
        <w:t>The Mother of All Demos</w:t>
      </w:r>
    </w:p>
  </w:footnote>
  <w:footnote w:id="812">
    <w:p w14:paraId="46E06F2C" w14:textId="77777777" w:rsidR="00B47FF5" w:rsidRDefault="00B47FF5" w:rsidP="0020732A">
      <w:pPr>
        <w:pStyle w:val="FootnoteText"/>
      </w:pPr>
      <w:r>
        <w:rPr>
          <w:rStyle w:val="FootnoteReference"/>
        </w:rPr>
        <w:footnoteRef/>
      </w:r>
      <w:r>
        <w:rPr>
          <w:rtl/>
        </w:rPr>
        <w:t xml:space="preserve"> </w:t>
      </w:r>
      <w:r w:rsidRPr="00CB11A0">
        <w:t>Bill Atkinson</w:t>
      </w:r>
    </w:p>
  </w:footnote>
  <w:footnote w:id="813">
    <w:p w14:paraId="2B15C8A5" w14:textId="77777777" w:rsidR="00B47FF5" w:rsidRDefault="00B47FF5" w:rsidP="0020732A">
      <w:pPr>
        <w:pStyle w:val="FootnoteText"/>
      </w:pPr>
      <w:r>
        <w:rPr>
          <w:rStyle w:val="FootnoteReference"/>
        </w:rPr>
        <w:footnoteRef/>
      </w:r>
      <w:r>
        <w:rPr>
          <w:rtl/>
        </w:rPr>
        <w:t xml:space="preserve"> </w:t>
      </w:r>
      <w:r w:rsidRPr="00657C84">
        <w:t>HyperCard</w:t>
      </w:r>
    </w:p>
  </w:footnote>
  <w:footnote w:id="814">
    <w:p w14:paraId="7DBF3DBA" w14:textId="77777777" w:rsidR="00B47FF5" w:rsidRDefault="00B47FF5" w:rsidP="0020732A">
      <w:pPr>
        <w:pStyle w:val="FootnoteText"/>
      </w:pPr>
      <w:r>
        <w:rPr>
          <w:rStyle w:val="FootnoteReference"/>
        </w:rPr>
        <w:footnoteRef/>
      </w:r>
      <w:r>
        <w:rPr>
          <w:rtl/>
        </w:rPr>
        <w:t xml:space="preserve"> </w:t>
      </w:r>
      <w:r w:rsidRPr="00657C84">
        <w:t>Apple Macintosh</w:t>
      </w:r>
    </w:p>
  </w:footnote>
  <w:footnote w:id="815">
    <w:p w14:paraId="2CAFF5F8" w14:textId="5932FCA8" w:rsidR="00B47FF5" w:rsidRDefault="00B47FF5" w:rsidP="0020732A">
      <w:pPr>
        <w:pStyle w:val="FootnoteText"/>
      </w:pPr>
      <w:r>
        <w:rPr>
          <w:rStyle w:val="FootnoteReference"/>
        </w:rPr>
        <w:footnoteRef/>
      </w:r>
      <w:r>
        <w:rPr>
          <w:rtl/>
        </w:rPr>
        <w:t xml:space="preserve"> </w:t>
      </w:r>
      <w:r w:rsidRPr="00CB11A0">
        <w:t>Memex</w:t>
      </w:r>
    </w:p>
  </w:footnote>
  <w:footnote w:id="816">
    <w:p w14:paraId="757BE60F" w14:textId="77777777" w:rsidR="00B47FF5" w:rsidRDefault="00B47FF5" w:rsidP="0020732A">
      <w:pPr>
        <w:pStyle w:val="FootnoteText"/>
      </w:pPr>
      <w:r>
        <w:rPr>
          <w:rStyle w:val="FootnoteReference"/>
        </w:rPr>
        <w:footnoteRef/>
      </w:r>
      <w:r>
        <w:rPr>
          <w:rtl/>
        </w:rPr>
        <w:t xml:space="preserve"> </w:t>
      </w:r>
      <w:r w:rsidRPr="00CB11A0">
        <w:t>Tim Berners-Lee</w:t>
      </w:r>
    </w:p>
  </w:footnote>
  <w:footnote w:id="817">
    <w:p w14:paraId="2D35CBC8" w14:textId="77777777" w:rsidR="00B47FF5" w:rsidRDefault="00B47FF5" w:rsidP="0020732A">
      <w:pPr>
        <w:pStyle w:val="FootnoteText"/>
      </w:pPr>
      <w:r>
        <w:rPr>
          <w:rStyle w:val="FootnoteReference"/>
        </w:rPr>
        <w:footnoteRef/>
      </w:r>
      <w:r>
        <w:rPr>
          <w:rtl/>
        </w:rPr>
        <w:t xml:space="preserve"> </w:t>
      </w:r>
      <w:r w:rsidRPr="00CB11A0">
        <w:t>Ward Cunningham</w:t>
      </w:r>
    </w:p>
  </w:footnote>
  <w:footnote w:id="818">
    <w:p w14:paraId="03D774BA" w14:textId="77777777" w:rsidR="00B47FF5" w:rsidRDefault="00B47FF5" w:rsidP="0020732A">
      <w:pPr>
        <w:pStyle w:val="FootnoteText"/>
      </w:pPr>
      <w:r>
        <w:rPr>
          <w:rStyle w:val="FootnoteReference"/>
        </w:rPr>
        <w:footnoteRef/>
      </w:r>
      <w:r>
        <w:rPr>
          <w:rtl/>
        </w:rPr>
        <w:t xml:space="preserve"> </w:t>
      </w:r>
      <w:r w:rsidRPr="00CB11A0">
        <w:t>Jimmy Wales</w:t>
      </w:r>
    </w:p>
  </w:footnote>
  <w:footnote w:id="819">
    <w:p w14:paraId="7BA5B877" w14:textId="77777777" w:rsidR="00B47FF5" w:rsidRDefault="00B47FF5" w:rsidP="0020732A">
      <w:pPr>
        <w:pStyle w:val="FootnoteText"/>
      </w:pPr>
      <w:r>
        <w:rPr>
          <w:rStyle w:val="FootnoteReference"/>
        </w:rPr>
        <w:footnoteRef/>
      </w:r>
      <w:r>
        <w:rPr>
          <w:rtl/>
        </w:rPr>
        <w:t xml:space="preserve"> </w:t>
      </w:r>
      <w:r w:rsidRPr="00CB11A0">
        <w:t>Larry Sanger</w:t>
      </w:r>
    </w:p>
  </w:footnote>
  <w:footnote w:id="820">
    <w:p w14:paraId="1FA2B694" w14:textId="77777777" w:rsidR="00B47FF5" w:rsidRDefault="00B47FF5" w:rsidP="0020732A">
      <w:pPr>
        <w:pStyle w:val="FootnoteText"/>
      </w:pPr>
      <w:r>
        <w:rPr>
          <w:rStyle w:val="FootnoteReference"/>
        </w:rPr>
        <w:footnoteRef/>
      </w:r>
      <w:r>
        <w:rPr>
          <w:rtl/>
        </w:rPr>
        <w:t xml:space="preserve"> </w:t>
      </w:r>
      <w:r w:rsidRPr="00CB11A0">
        <w:t>Amy Webb</w:t>
      </w:r>
    </w:p>
  </w:footnote>
  <w:footnote w:id="821">
    <w:p w14:paraId="4042FD4B" w14:textId="50380CB0" w:rsidR="00B47FF5" w:rsidRDefault="00B47FF5" w:rsidP="0020732A">
      <w:pPr>
        <w:pStyle w:val="FootnoteText"/>
      </w:pPr>
      <w:r>
        <w:rPr>
          <w:rStyle w:val="FootnoteReference"/>
        </w:rPr>
        <w:footnoteRef/>
      </w:r>
      <w:r>
        <w:rPr>
          <w:rtl/>
        </w:rPr>
        <w:t xml:space="preserve"> </w:t>
      </w:r>
      <w:r>
        <w:t>Find the fringe</w:t>
      </w:r>
    </w:p>
  </w:footnote>
  <w:footnote w:id="822">
    <w:p w14:paraId="64FC028E" w14:textId="77777777" w:rsidR="00B47FF5" w:rsidRDefault="00B47FF5" w:rsidP="0020732A">
      <w:pPr>
        <w:pStyle w:val="FootnoteText"/>
      </w:pPr>
      <w:r>
        <w:rPr>
          <w:rStyle w:val="FootnoteReference"/>
        </w:rPr>
        <w:footnoteRef/>
      </w:r>
      <w:r>
        <w:rPr>
          <w:rtl/>
        </w:rPr>
        <w:t xml:space="preserve"> </w:t>
      </w:r>
      <w:r w:rsidRPr="00CB11A0">
        <w:t>Will Jenkins</w:t>
      </w:r>
    </w:p>
  </w:footnote>
  <w:footnote w:id="823">
    <w:p w14:paraId="32FAF966" w14:textId="77777777" w:rsidR="00B47FF5" w:rsidRDefault="00B47FF5" w:rsidP="0020732A">
      <w:pPr>
        <w:pStyle w:val="FootnoteText"/>
      </w:pPr>
      <w:r>
        <w:rPr>
          <w:rStyle w:val="FootnoteReference"/>
        </w:rPr>
        <w:footnoteRef/>
      </w:r>
      <w:r>
        <w:rPr>
          <w:rtl/>
        </w:rPr>
        <w:t xml:space="preserve"> </w:t>
      </w:r>
      <w:r w:rsidRPr="00CA54B3">
        <w:t>A Logic Named Joe</w:t>
      </w:r>
    </w:p>
  </w:footnote>
  <w:footnote w:id="824">
    <w:p w14:paraId="613E828A" w14:textId="77777777" w:rsidR="00B47FF5" w:rsidRDefault="00B47FF5" w:rsidP="0020732A">
      <w:pPr>
        <w:pStyle w:val="FootnoteText"/>
      </w:pPr>
      <w:r>
        <w:rPr>
          <w:rStyle w:val="FootnoteReference"/>
        </w:rPr>
        <w:footnoteRef/>
      </w:r>
      <w:r>
        <w:rPr>
          <w:rtl/>
        </w:rPr>
        <w:t xml:space="preserve"> </w:t>
      </w:r>
      <w:r w:rsidRPr="00CB11A0">
        <w:t>Murray Leinster</w:t>
      </w:r>
    </w:p>
  </w:footnote>
  <w:footnote w:id="825">
    <w:p w14:paraId="3622C2B9" w14:textId="1E054AB7" w:rsidR="00B47FF5" w:rsidRDefault="00B47FF5" w:rsidP="0020732A">
      <w:pPr>
        <w:pStyle w:val="FootnoteText"/>
      </w:pPr>
      <w:r>
        <w:rPr>
          <w:rStyle w:val="FootnoteReference"/>
        </w:rPr>
        <w:footnoteRef/>
      </w:r>
      <w:r>
        <w:rPr>
          <w:rtl/>
        </w:rPr>
        <w:t xml:space="preserve"> </w:t>
      </w:r>
      <w:r>
        <w:t>Logics</w:t>
      </w:r>
    </w:p>
  </w:footnote>
  <w:footnote w:id="826">
    <w:p w14:paraId="6E94FDD5" w14:textId="1151932D" w:rsidR="00B47FF5" w:rsidRDefault="00B47FF5" w:rsidP="0020732A">
      <w:pPr>
        <w:pStyle w:val="FootnoteText"/>
      </w:pPr>
      <w:r>
        <w:rPr>
          <w:rStyle w:val="FootnoteReference"/>
        </w:rPr>
        <w:footnoteRef/>
      </w:r>
      <w:r>
        <w:rPr>
          <w:rtl/>
        </w:rPr>
        <w:t xml:space="preserve"> </w:t>
      </w:r>
      <w:r w:rsidRPr="00B97BD1">
        <w:t>Tanks</w:t>
      </w:r>
    </w:p>
  </w:footnote>
  <w:footnote w:id="827">
    <w:p w14:paraId="64DAD148" w14:textId="54B55B64" w:rsidR="00B47FF5" w:rsidRDefault="00B47FF5" w:rsidP="0020732A">
      <w:pPr>
        <w:pStyle w:val="FootnoteText"/>
      </w:pPr>
      <w:r>
        <w:rPr>
          <w:rStyle w:val="FootnoteReference"/>
        </w:rPr>
        <w:footnoteRef/>
      </w:r>
      <w:r>
        <w:rPr>
          <w:rtl/>
        </w:rPr>
        <w:t xml:space="preserve"> </w:t>
      </w:r>
      <w:r>
        <w:t>Mainframes</w:t>
      </w:r>
    </w:p>
  </w:footnote>
  <w:footnote w:id="828">
    <w:p w14:paraId="399BAF91" w14:textId="77777777" w:rsidR="00B47FF5" w:rsidRDefault="00B47FF5" w:rsidP="0020732A">
      <w:pPr>
        <w:pStyle w:val="FootnoteText"/>
      </w:pPr>
      <w:r>
        <w:rPr>
          <w:rStyle w:val="FootnoteReference"/>
        </w:rPr>
        <w:footnoteRef/>
      </w:r>
      <w:r>
        <w:rPr>
          <w:rtl/>
        </w:rPr>
        <w:t xml:space="preserve"> </w:t>
      </w:r>
      <w:r w:rsidRPr="00A754C9">
        <w:t>Jenkins</w:t>
      </w:r>
    </w:p>
  </w:footnote>
  <w:footnote w:id="829">
    <w:p w14:paraId="24AB238C" w14:textId="77777777" w:rsidR="00B47FF5" w:rsidRDefault="00B47FF5" w:rsidP="0020732A">
      <w:pPr>
        <w:pStyle w:val="FootnoteText"/>
      </w:pPr>
      <w:r>
        <w:rPr>
          <w:rStyle w:val="FootnoteReference"/>
        </w:rPr>
        <w:footnoteRef/>
      </w:r>
      <w:r>
        <w:rPr>
          <w:rtl/>
        </w:rPr>
        <w:t xml:space="preserve"> </w:t>
      </w:r>
      <w:r w:rsidRPr="00A754C9">
        <w:t>Doug Englebart</w:t>
      </w:r>
    </w:p>
  </w:footnote>
  <w:footnote w:id="830">
    <w:p w14:paraId="547F6B7A" w14:textId="77777777" w:rsidR="00B47FF5" w:rsidRDefault="00B47FF5" w:rsidP="0020732A">
      <w:pPr>
        <w:pStyle w:val="FootnoteText"/>
      </w:pPr>
      <w:r>
        <w:rPr>
          <w:rStyle w:val="FootnoteReference"/>
        </w:rPr>
        <w:footnoteRef/>
      </w:r>
      <w:r>
        <w:rPr>
          <w:rtl/>
        </w:rPr>
        <w:t xml:space="preserve"> </w:t>
      </w:r>
      <w:r w:rsidRPr="00A754C9">
        <w:t>Ted Nelson</w:t>
      </w:r>
    </w:p>
  </w:footnote>
  <w:footnote w:id="831">
    <w:p w14:paraId="3BD19AFE" w14:textId="5326B484" w:rsidR="00185F3E" w:rsidRDefault="00185F3E">
      <w:pPr>
        <w:pStyle w:val="FootnoteText"/>
        <w:rPr>
          <w:rtl/>
        </w:rPr>
      </w:pPr>
      <w:r>
        <w:rPr>
          <w:rStyle w:val="FootnoteReference"/>
        </w:rPr>
        <w:footnoteRef/>
      </w:r>
      <w:r>
        <w:t xml:space="preserve"> </w:t>
      </w:r>
      <w:r w:rsidRPr="00185F3E">
        <w:t>Al Gore</w:t>
      </w:r>
    </w:p>
  </w:footnote>
  <w:footnote w:id="832">
    <w:p w14:paraId="374B1B4F" w14:textId="62F1AF76" w:rsidR="00B47FF5" w:rsidRDefault="00B47FF5" w:rsidP="0020732A">
      <w:pPr>
        <w:pStyle w:val="FootnoteText"/>
      </w:pPr>
      <w:r>
        <w:rPr>
          <w:rStyle w:val="FootnoteReference"/>
        </w:rPr>
        <w:footnoteRef/>
      </w:r>
      <w:r>
        <w:rPr>
          <w:rtl/>
        </w:rPr>
        <w:t xml:space="preserve"> </w:t>
      </w:r>
      <w:r w:rsidRPr="00C7327C">
        <w:t>Democratic capitalist</w:t>
      </w:r>
    </w:p>
  </w:footnote>
  <w:footnote w:id="833">
    <w:p w14:paraId="5763866E" w14:textId="77777777" w:rsidR="00B47FF5" w:rsidRDefault="00B47FF5" w:rsidP="0020732A">
      <w:pPr>
        <w:pStyle w:val="FootnoteText"/>
      </w:pPr>
      <w:r>
        <w:rPr>
          <w:rStyle w:val="FootnoteReference"/>
        </w:rPr>
        <w:footnoteRef/>
      </w:r>
      <w:r>
        <w:rPr>
          <w:rtl/>
        </w:rPr>
        <w:t xml:space="preserve"> </w:t>
      </w:r>
      <w:r w:rsidRPr="00A754C9">
        <w:t>Shenzhen</w:t>
      </w:r>
    </w:p>
  </w:footnote>
  <w:footnote w:id="834">
    <w:p w14:paraId="202916E9" w14:textId="77777777" w:rsidR="00B47FF5" w:rsidRDefault="00B47FF5" w:rsidP="0020732A">
      <w:pPr>
        <w:pStyle w:val="FootnoteText"/>
      </w:pPr>
      <w:r>
        <w:rPr>
          <w:rStyle w:val="FootnoteReference"/>
        </w:rPr>
        <w:footnoteRef/>
      </w:r>
      <w:r>
        <w:rPr>
          <w:rtl/>
        </w:rPr>
        <w:t xml:space="preserve"> </w:t>
      </w:r>
      <w:r w:rsidRPr="00A754C9">
        <w:t>Silicon Valley</w:t>
      </w:r>
    </w:p>
  </w:footnote>
  <w:footnote w:id="835">
    <w:p w14:paraId="6835B521" w14:textId="3020C3DE" w:rsidR="00B47FF5" w:rsidRDefault="00B47FF5" w:rsidP="00DE1A9C">
      <w:pPr>
        <w:pStyle w:val="FootnoteText"/>
      </w:pPr>
      <w:r>
        <w:rPr>
          <w:rStyle w:val="FootnoteReference"/>
        </w:rPr>
        <w:footnoteRef/>
      </w:r>
      <w:r>
        <w:rPr>
          <w:rtl/>
        </w:rPr>
        <w:t xml:space="preserve"> </w:t>
      </w:r>
      <w:r>
        <w:t>Singapore, Oslo, Amsterdam, Beijing, New York, Austin, Boston, Lagos, Buenos Aires, Sydney, Johannesburg</w:t>
      </w:r>
    </w:p>
  </w:footnote>
  <w:footnote w:id="836">
    <w:p w14:paraId="6F72AE3E" w14:textId="2DCC1043" w:rsidR="00B47FF5" w:rsidRDefault="00B47FF5" w:rsidP="0020732A">
      <w:pPr>
        <w:pStyle w:val="FootnoteText"/>
      </w:pPr>
      <w:r>
        <w:rPr>
          <w:rStyle w:val="FootnoteReference"/>
        </w:rPr>
        <w:footnoteRef/>
      </w:r>
      <w:r>
        <w:rPr>
          <w:rtl/>
        </w:rPr>
        <w:t xml:space="preserve"> </w:t>
      </w:r>
      <w:r>
        <w:t>Got to the future first</w:t>
      </w:r>
    </w:p>
  </w:footnote>
  <w:footnote w:id="837">
    <w:p w14:paraId="1D937903" w14:textId="62C1375A" w:rsidR="00B47FF5" w:rsidRDefault="00B47FF5" w:rsidP="0020732A">
      <w:pPr>
        <w:pStyle w:val="FootnoteText"/>
      </w:pPr>
      <w:r>
        <w:rPr>
          <w:rStyle w:val="FootnoteReference"/>
        </w:rPr>
        <w:footnoteRef/>
      </w:r>
      <w:r>
        <w:rPr>
          <w:rtl/>
        </w:rPr>
        <w:t xml:space="preserve"> </w:t>
      </w:r>
      <w:r>
        <w:t>Self-harming</w:t>
      </w:r>
    </w:p>
  </w:footnote>
  <w:footnote w:id="838">
    <w:p w14:paraId="3D961E90" w14:textId="77777777" w:rsidR="00B47FF5" w:rsidRDefault="00B47FF5" w:rsidP="0020732A">
      <w:pPr>
        <w:pStyle w:val="FootnoteText"/>
      </w:pPr>
      <w:r>
        <w:rPr>
          <w:rStyle w:val="FootnoteReference"/>
        </w:rPr>
        <w:footnoteRef/>
      </w:r>
      <w:r>
        <w:rPr>
          <w:rtl/>
        </w:rPr>
        <w:t xml:space="preserve"> </w:t>
      </w:r>
      <w:r>
        <w:t>Counterfactuals</w:t>
      </w:r>
    </w:p>
  </w:footnote>
  <w:footnote w:id="839">
    <w:p w14:paraId="431F562D" w14:textId="77777777" w:rsidR="00B47FF5" w:rsidRDefault="00B47FF5" w:rsidP="0020732A">
      <w:pPr>
        <w:pStyle w:val="FootnoteText"/>
      </w:pPr>
      <w:r>
        <w:rPr>
          <w:rStyle w:val="FootnoteReference"/>
        </w:rPr>
        <w:footnoteRef/>
      </w:r>
      <w:r>
        <w:rPr>
          <w:rtl/>
        </w:rPr>
        <w:t xml:space="preserve"> </w:t>
      </w:r>
      <w:r w:rsidRPr="00AE69C0">
        <w:t>Alternate History</w:t>
      </w:r>
    </w:p>
  </w:footnote>
  <w:footnote w:id="840">
    <w:p w14:paraId="2439CA5A" w14:textId="77777777" w:rsidR="00B47FF5" w:rsidRDefault="00B47FF5" w:rsidP="0020732A">
      <w:pPr>
        <w:pStyle w:val="FootnoteText"/>
      </w:pPr>
      <w:r>
        <w:rPr>
          <w:rStyle w:val="FootnoteReference"/>
        </w:rPr>
        <w:footnoteRef/>
      </w:r>
      <w:r>
        <w:rPr>
          <w:rtl/>
        </w:rPr>
        <w:t xml:space="preserve"> </w:t>
      </w:r>
      <w:r>
        <w:t>Regressive</w:t>
      </w:r>
    </w:p>
  </w:footnote>
  <w:footnote w:id="841">
    <w:p w14:paraId="5814958B" w14:textId="77777777" w:rsidR="00B47FF5" w:rsidRDefault="00B47FF5" w:rsidP="0020732A">
      <w:pPr>
        <w:pStyle w:val="FootnoteText"/>
      </w:pPr>
      <w:r>
        <w:rPr>
          <w:rStyle w:val="FootnoteReference"/>
        </w:rPr>
        <w:footnoteRef/>
      </w:r>
      <w:r>
        <w:rPr>
          <w:rtl/>
        </w:rPr>
        <w:t xml:space="preserve"> </w:t>
      </w:r>
      <w:r w:rsidRPr="00271486">
        <w:t>The Man in the High Castle</w:t>
      </w:r>
    </w:p>
  </w:footnote>
  <w:footnote w:id="842">
    <w:p w14:paraId="28B9CDD7" w14:textId="77777777" w:rsidR="00B47FF5" w:rsidRDefault="00B47FF5" w:rsidP="0020732A">
      <w:pPr>
        <w:pStyle w:val="FootnoteText"/>
      </w:pPr>
      <w:r>
        <w:rPr>
          <w:rStyle w:val="FootnoteReference"/>
        </w:rPr>
        <w:footnoteRef/>
      </w:r>
      <w:r>
        <w:rPr>
          <w:rtl/>
        </w:rPr>
        <w:t xml:space="preserve"> </w:t>
      </w:r>
      <w:r w:rsidRPr="00A754C9">
        <w:t>Philip Dick</w:t>
      </w:r>
    </w:p>
  </w:footnote>
  <w:footnote w:id="843">
    <w:p w14:paraId="7B1A6A7F" w14:textId="77777777" w:rsidR="00B47FF5" w:rsidRDefault="00B47FF5" w:rsidP="0020732A">
      <w:pPr>
        <w:pStyle w:val="FootnoteText"/>
      </w:pPr>
      <w:r>
        <w:rPr>
          <w:rStyle w:val="FootnoteReference"/>
        </w:rPr>
        <w:footnoteRef/>
      </w:r>
      <w:r>
        <w:rPr>
          <w:rtl/>
        </w:rPr>
        <w:t xml:space="preserve"> </w:t>
      </w:r>
      <w:r w:rsidRPr="00271486">
        <w:t>Alternative</w:t>
      </w:r>
    </w:p>
  </w:footnote>
  <w:footnote w:id="844">
    <w:p w14:paraId="3F748F96" w14:textId="77777777" w:rsidR="00B47FF5" w:rsidRDefault="00B47FF5" w:rsidP="0020732A">
      <w:pPr>
        <w:pStyle w:val="FootnoteText"/>
      </w:pPr>
      <w:r>
        <w:rPr>
          <w:rStyle w:val="FootnoteReference"/>
        </w:rPr>
        <w:footnoteRef/>
      </w:r>
      <w:r>
        <w:rPr>
          <w:rtl/>
        </w:rPr>
        <w:t xml:space="preserve"> </w:t>
      </w:r>
      <w:r w:rsidRPr="00271486">
        <w:t>Progressive</w:t>
      </w:r>
    </w:p>
  </w:footnote>
  <w:footnote w:id="845">
    <w:p w14:paraId="75B5344C" w14:textId="77777777" w:rsidR="00B47FF5" w:rsidRDefault="00B47FF5" w:rsidP="0020732A">
      <w:pPr>
        <w:pStyle w:val="FootnoteText"/>
      </w:pPr>
      <w:r>
        <w:rPr>
          <w:rStyle w:val="FootnoteReference"/>
        </w:rPr>
        <w:footnoteRef/>
      </w:r>
      <w:r>
        <w:rPr>
          <w:rtl/>
        </w:rPr>
        <w:t xml:space="preserve"> </w:t>
      </w:r>
      <w:r w:rsidRPr="00BC7A2F">
        <w:t>virtual history</w:t>
      </w:r>
    </w:p>
  </w:footnote>
  <w:footnote w:id="846">
    <w:p w14:paraId="43A43A66" w14:textId="77777777" w:rsidR="00B47FF5" w:rsidRDefault="00B47FF5" w:rsidP="0020732A">
      <w:pPr>
        <w:pStyle w:val="FootnoteText"/>
      </w:pPr>
      <w:r>
        <w:rPr>
          <w:rStyle w:val="FootnoteReference"/>
        </w:rPr>
        <w:footnoteRef/>
      </w:r>
      <w:r>
        <w:rPr>
          <w:rtl/>
        </w:rPr>
        <w:t xml:space="preserve"> </w:t>
      </w:r>
      <w:r w:rsidRPr="00A754C9">
        <w:t>Niall Ferguson</w:t>
      </w:r>
    </w:p>
  </w:footnote>
  <w:footnote w:id="847">
    <w:p w14:paraId="0E613F63" w14:textId="77777777" w:rsidR="00B47FF5" w:rsidRDefault="00B47FF5" w:rsidP="0020732A">
      <w:pPr>
        <w:pStyle w:val="FootnoteText"/>
      </w:pPr>
      <w:r>
        <w:rPr>
          <w:rStyle w:val="FootnoteReference"/>
        </w:rPr>
        <w:footnoteRef/>
      </w:r>
      <w:r>
        <w:rPr>
          <w:rtl/>
        </w:rPr>
        <w:t xml:space="preserve"> </w:t>
      </w:r>
      <w:r w:rsidRPr="00BC7A2F">
        <w:t>The Collected What If</w:t>
      </w:r>
      <w:r w:rsidRPr="00BC7A2F">
        <w:rPr>
          <w:rtl/>
        </w:rPr>
        <w:t>?</w:t>
      </w:r>
    </w:p>
  </w:footnote>
  <w:footnote w:id="848">
    <w:p w14:paraId="43C974C2" w14:textId="77777777" w:rsidR="00B47FF5" w:rsidRDefault="00B47FF5" w:rsidP="0020732A">
      <w:pPr>
        <w:pStyle w:val="FootnoteText"/>
      </w:pPr>
      <w:r>
        <w:rPr>
          <w:rStyle w:val="FootnoteReference"/>
        </w:rPr>
        <w:footnoteRef/>
      </w:r>
      <w:r>
        <w:rPr>
          <w:rtl/>
        </w:rPr>
        <w:t xml:space="preserve"> </w:t>
      </w:r>
      <w:r w:rsidRPr="00A754C9">
        <w:t>Robert Cowley</w:t>
      </w:r>
    </w:p>
  </w:footnote>
  <w:footnote w:id="849">
    <w:p w14:paraId="22910E5F" w14:textId="77777777" w:rsidR="00B47FF5" w:rsidRDefault="00B47FF5" w:rsidP="0020732A">
      <w:pPr>
        <w:pStyle w:val="FootnoteText"/>
      </w:pPr>
      <w:r>
        <w:rPr>
          <w:rStyle w:val="FootnoteReference"/>
        </w:rPr>
        <w:footnoteRef/>
      </w:r>
      <w:r>
        <w:rPr>
          <w:rtl/>
        </w:rPr>
        <w:t xml:space="preserve"> </w:t>
      </w:r>
      <w:r>
        <w:t>Phoenicians</w:t>
      </w:r>
    </w:p>
  </w:footnote>
  <w:footnote w:id="850">
    <w:p w14:paraId="31E10876" w14:textId="77777777" w:rsidR="00B47FF5" w:rsidRDefault="00B47FF5" w:rsidP="0020732A">
      <w:pPr>
        <w:pStyle w:val="FootnoteText"/>
      </w:pPr>
      <w:r>
        <w:rPr>
          <w:rStyle w:val="FootnoteReference"/>
        </w:rPr>
        <w:footnoteRef/>
      </w:r>
      <w:r>
        <w:rPr>
          <w:rtl/>
        </w:rPr>
        <w:t xml:space="preserve"> </w:t>
      </w:r>
      <w:r w:rsidRPr="00D52FAA">
        <w:t>Gutenberg</w:t>
      </w:r>
    </w:p>
  </w:footnote>
  <w:footnote w:id="851">
    <w:p w14:paraId="210E6851" w14:textId="15108315" w:rsidR="00B47FF5" w:rsidRDefault="00B47FF5" w:rsidP="0020732A">
      <w:pPr>
        <w:pStyle w:val="FootnoteText"/>
      </w:pPr>
      <w:r>
        <w:rPr>
          <w:rStyle w:val="FootnoteReference"/>
        </w:rPr>
        <w:footnoteRef/>
      </w:r>
      <w:r>
        <w:rPr>
          <w:rtl/>
        </w:rPr>
        <w:t xml:space="preserve"> </w:t>
      </w:r>
      <w:r>
        <w:t>Monotheistic religions</w:t>
      </w:r>
    </w:p>
  </w:footnote>
  <w:footnote w:id="852">
    <w:p w14:paraId="40C4AFE9" w14:textId="77777777" w:rsidR="00B47FF5" w:rsidRDefault="00B47FF5" w:rsidP="0020732A">
      <w:pPr>
        <w:pStyle w:val="FootnoteText"/>
      </w:pPr>
      <w:r>
        <w:rPr>
          <w:rStyle w:val="FootnoteReference"/>
        </w:rPr>
        <w:footnoteRef/>
      </w:r>
      <w:r>
        <w:rPr>
          <w:rtl/>
        </w:rPr>
        <w:t xml:space="preserve"> </w:t>
      </w:r>
      <w:r>
        <w:t xml:space="preserve">200 </w:t>
      </w:r>
      <w:r w:rsidRPr="00826B5B">
        <w:t>BCE: A Printing Press in Ancient Greece“ for this LPO story</w:t>
      </w:r>
    </w:p>
  </w:footnote>
  <w:footnote w:id="853">
    <w:p w14:paraId="21AEE457" w14:textId="6EA05194" w:rsidR="00BB406C" w:rsidRDefault="00BB406C">
      <w:pPr>
        <w:pStyle w:val="FootnoteText"/>
        <w:rPr>
          <w:rtl/>
        </w:rPr>
      </w:pPr>
      <w:r>
        <w:rPr>
          <w:rStyle w:val="FootnoteReference"/>
        </w:rPr>
        <w:footnoteRef/>
      </w:r>
      <w:r>
        <w:t xml:space="preserve"> </w:t>
      </w:r>
      <w:r w:rsidRPr="00BB406C">
        <w:t>Education foresight</w:t>
      </w:r>
    </w:p>
  </w:footnote>
  <w:footnote w:id="854">
    <w:p w14:paraId="549D583B" w14:textId="77777777" w:rsidR="00B47FF5" w:rsidRDefault="00B47FF5" w:rsidP="0020732A">
      <w:pPr>
        <w:pStyle w:val="FootnoteText"/>
      </w:pPr>
      <w:r>
        <w:rPr>
          <w:rStyle w:val="FootnoteReference"/>
        </w:rPr>
        <w:footnoteRef/>
      </w:r>
      <w:r>
        <w:rPr>
          <w:rtl/>
        </w:rPr>
        <w:t xml:space="preserve"> </w:t>
      </w:r>
      <w:r w:rsidRPr="00826B5B">
        <w:t>Hero of Alexandria</w:t>
      </w:r>
    </w:p>
  </w:footnote>
  <w:footnote w:id="855">
    <w:p w14:paraId="334EC06D" w14:textId="77777777" w:rsidR="00B47FF5" w:rsidRDefault="00B47FF5" w:rsidP="0020732A">
      <w:pPr>
        <w:pStyle w:val="FootnoteText"/>
      </w:pPr>
      <w:r>
        <w:rPr>
          <w:rStyle w:val="FootnoteReference"/>
        </w:rPr>
        <w:footnoteRef/>
      </w:r>
      <w:r>
        <w:rPr>
          <w:rtl/>
        </w:rPr>
        <w:t xml:space="preserve"> </w:t>
      </w:r>
      <w:r w:rsidRPr="00D52FAA">
        <w:t>Giovanni Branca</w:t>
      </w:r>
    </w:p>
  </w:footnote>
  <w:footnote w:id="856">
    <w:p w14:paraId="6F38EC23" w14:textId="77777777" w:rsidR="00B47FF5" w:rsidRDefault="00B47FF5" w:rsidP="0020732A">
      <w:pPr>
        <w:pStyle w:val="FootnoteText"/>
      </w:pPr>
      <w:r>
        <w:rPr>
          <w:rStyle w:val="FootnoteReference"/>
        </w:rPr>
        <w:footnoteRef/>
      </w:r>
      <w:r>
        <w:rPr>
          <w:rtl/>
        </w:rPr>
        <w:t xml:space="preserve"> </w:t>
      </w:r>
      <w:r w:rsidRPr="00D52FAA">
        <w:t>John Wilkins</w:t>
      </w:r>
    </w:p>
  </w:footnote>
  <w:footnote w:id="857">
    <w:p w14:paraId="75C7F30C" w14:textId="77777777" w:rsidR="00B47FF5" w:rsidRDefault="00B47FF5" w:rsidP="0020732A">
      <w:pPr>
        <w:pStyle w:val="FootnoteText"/>
      </w:pPr>
      <w:r>
        <w:rPr>
          <w:rStyle w:val="FootnoteReference"/>
        </w:rPr>
        <w:footnoteRef/>
      </w:r>
      <w:r>
        <w:rPr>
          <w:rtl/>
        </w:rPr>
        <w:t xml:space="preserve"> </w:t>
      </w:r>
      <w:r w:rsidRPr="00D52FAA">
        <w:t>Aeolipile</w:t>
      </w:r>
    </w:p>
  </w:footnote>
  <w:footnote w:id="858">
    <w:p w14:paraId="12C408C6" w14:textId="77777777" w:rsidR="00B47FF5" w:rsidRDefault="00B47FF5" w:rsidP="0020732A">
      <w:pPr>
        <w:pStyle w:val="FootnoteText"/>
      </w:pPr>
      <w:r>
        <w:rPr>
          <w:rStyle w:val="FootnoteReference"/>
        </w:rPr>
        <w:footnoteRef/>
      </w:r>
      <w:r>
        <w:rPr>
          <w:rtl/>
        </w:rPr>
        <w:t xml:space="preserve"> </w:t>
      </w:r>
      <w:r w:rsidRPr="00D52FAA">
        <w:t>Ctesibius</w:t>
      </w:r>
    </w:p>
  </w:footnote>
  <w:footnote w:id="859">
    <w:p w14:paraId="05915FB0" w14:textId="77777777" w:rsidR="00B47FF5" w:rsidRDefault="00B47FF5" w:rsidP="0020732A">
      <w:pPr>
        <w:pStyle w:val="FootnoteText"/>
      </w:pPr>
      <w:r>
        <w:rPr>
          <w:rStyle w:val="FootnoteReference"/>
        </w:rPr>
        <w:footnoteRef/>
      </w:r>
      <w:r>
        <w:rPr>
          <w:rtl/>
        </w:rPr>
        <w:t xml:space="preserve"> </w:t>
      </w:r>
      <w:r w:rsidRPr="00D52FAA">
        <w:t>Charles Parsons</w:t>
      </w:r>
    </w:p>
  </w:footnote>
  <w:footnote w:id="860">
    <w:p w14:paraId="3510888D" w14:textId="77777777" w:rsidR="00B47FF5" w:rsidRDefault="00B47FF5" w:rsidP="0020732A">
      <w:pPr>
        <w:pStyle w:val="FootnoteText"/>
      </w:pPr>
      <w:r>
        <w:rPr>
          <w:rStyle w:val="FootnoteReference"/>
        </w:rPr>
        <w:footnoteRef/>
      </w:r>
      <w:r>
        <w:rPr>
          <w:rtl/>
        </w:rPr>
        <w:t xml:space="preserve"> </w:t>
      </w:r>
      <w:r>
        <w:t xml:space="preserve">50 </w:t>
      </w:r>
      <w:r w:rsidRPr="00D643C1">
        <w:t>CE: A Steam Engine in Ancient Rome</w:t>
      </w:r>
    </w:p>
  </w:footnote>
  <w:footnote w:id="861">
    <w:p w14:paraId="56536A1B" w14:textId="77777777" w:rsidR="00B47FF5" w:rsidRDefault="00B47FF5" w:rsidP="0020732A">
      <w:pPr>
        <w:pStyle w:val="FootnoteText"/>
      </w:pPr>
      <w:r>
        <w:rPr>
          <w:rStyle w:val="FootnoteReference"/>
        </w:rPr>
        <w:footnoteRef/>
      </w:r>
      <w:r>
        <w:rPr>
          <w:rtl/>
        </w:rPr>
        <w:t xml:space="preserve"> </w:t>
      </w:r>
      <w:r>
        <w:t>Engineering foresight</w:t>
      </w:r>
    </w:p>
  </w:footnote>
  <w:footnote w:id="862">
    <w:p w14:paraId="591A6254" w14:textId="77777777" w:rsidR="00B47FF5" w:rsidRDefault="00B47FF5" w:rsidP="0020732A">
      <w:pPr>
        <w:pStyle w:val="FootnoteText"/>
      </w:pPr>
      <w:r>
        <w:rPr>
          <w:rStyle w:val="FootnoteReference"/>
        </w:rPr>
        <w:footnoteRef/>
      </w:r>
      <w:r>
        <w:rPr>
          <w:rtl/>
        </w:rPr>
        <w:t xml:space="preserve"> </w:t>
      </w:r>
      <w:r w:rsidRPr="00D52FAA">
        <w:t>Newfoundland</w:t>
      </w:r>
    </w:p>
  </w:footnote>
  <w:footnote w:id="863">
    <w:p w14:paraId="643B0628" w14:textId="77777777" w:rsidR="00B47FF5" w:rsidRDefault="00B47FF5" w:rsidP="0020732A">
      <w:pPr>
        <w:pStyle w:val="FootnoteText"/>
      </w:pPr>
      <w:r>
        <w:rPr>
          <w:rStyle w:val="FootnoteReference"/>
        </w:rPr>
        <w:footnoteRef/>
      </w:r>
      <w:r>
        <w:rPr>
          <w:rtl/>
        </w:rPr>
        <w:t xml:space="preserve"> </w:t>
      </w:r>
      <w:r w:rsidRPr="00D52FAA">
        <w:t>Thorfinn Karlsefni</w:t>
      </w:r>
    </w:p>
  </w:footnote>
  <w:footnote w:id="864">
    <w:p w14:paraId="47681DF9" w14:textId="77777777" w:rsidR="00B47FF5" w:rsidRDefault="00B47FF5" w:rsidP="0020732A">
      <w:pPr>
        <w:pStyle w:val="FootnoteText"/>
      </w:pPr>
      <w:r>
        <w:rPr>
          <w:rStyle w:val="FootnoteReference"/>
        </w:rPr>
        <w:footnoteRef/>
      </w:r>
      <w:r>
        <w:rPr>
          <w:rtl/>
        </w:rPr>
        <w:t xml:space="preserve"> </w:t>
      </w:r>
      <w:r>
        <w:t>1000</w:t>
      </w:r>
      <w:r w:rsidRPr="00CA3311">
        <w:t xml:space="preserve"> CE: A Norse Democracy in America</w:t>
      </w:r>
    </w:p>
  </w:footnote>
  <w:footnote w:id="865">
    <w:p w14:paraId="0052B373" w14:textId="77777777" w:rsidR="00B47FF5" w:rsidRDefault="00B47FF5" w:rsidP="0020732A">
      <w:pPr>
        <w:pStyle w:val="FootnoteText"/>
      </w:pPr>
      <w:r>
        <w:rPr>
          <w:rStyle w:val="FootnoteReference"/>
        </w:rPr>
        <w:footnoteRef/>
      </w:r>
      <w:r>
        <w:rPr>
          <w:rtl/>
        </w:rPr>
        <w:t xml:space="preserve"> </w:t>
      </w:r>
      <w:r>
        <w:t>Exploration foresight</w:t>
      </w:r>
    </w:p>
  </w:footnote>
  <w:footnote w:id="866">
    <w:p w14:paraId="7FBAFC05" w14:textId="523920F0" w:rsidR="00B47FF5" w:rsidRDefault="00B47FF5" w:rsidP="0020732A">
      <w:pPr>
        <w:pStyle w:val="FootnoteText"/>
      </w:pPr>
      <w:r>
        <w:rPr>
          <w:rStyle w:val="FootnoteReference"/>
        </w:rPr>
        <w:footnoteRef/>
      </w:r>
      <w:r>
        <w:rPr>
          <w:rtl/>
        </w:rPr>
        <w:t xml:space="preserve"> </w:t>
      </w:r>
      <w:r>
        <w:t xml:space="preserve">1912: </w:t>
      </w:r>
      <w:r w:rsidRPr="00980BEE">
        <w:t>A Saved Titanic (Collaborative Foresight)</w:t>
      </w:r>
    </w:p>
  </w:footnote>
  <w:footnote w:id="867">
    <w:p w14:paraId="43634354" w14:textId="77777777" w:rsidR="00B47FF5" w:rsidRDefault="00B47FF5" w:rsidP="0020732A">
      <w:pPr>
        <w:pStyle w:val="FootnoteText"/>
      </w:pPr>
      <w:r>
        <w:rPr>
          <w:rStyle w:val="FootnoteReference"/>
        </w:rPr>
        <w:footnoteRef/>
      </w:r>
      <w:r>
        <w:rPr>
          <w:rtl/>
        </w:rPr>
        <w:t xml:space="preserve"> </w:t>
      </w:r>
      <w:r>
        <w:t>Franklin Roosevelt</w:t>
      </w:r>
    </w:p>
  </w:footnote>
  <w:footnote w:id="868">
    <w:p w14:paraId="521ACAF3" w14:textId="77777777" w:rsidR="00B47FF5" w:rsidRDefault="00B47FF5" w:rsidP="0020732A">
      <w:pPr>
        <w:pStyle w:val="FootnoteText"/>
      </w:pPr>
      <w:r>
        <w:rPr>
          <w:rStyle w:val="FootnoteReference"/>
        </w:rPr>
        <w:footnoteRef/>
      </w:r>
      <w:r>
        <w:rPr>
          <w:rtl/>
        </w:rPr>
        <w:t xml:space="preserve"> </w:t>
      </w:r>
      <w:r w:rsidRPr="00D52FAA">
        <w:t>Nye</w:t>
      </w:r>
    </w:p>
  </w:footnote>
  <w:footnote w:id="869">
    <w:p w14:paraId="68E8B985" w14:textId="77777777" w:rsidR="00B47FF5" w:rsidRDefault="00B47FF5" w:rsidP="0020732A">
      <w:pPr>
        <w:pStyle w:val="FootnoteText"/>
      </w:pPr>
      <w:r>
        <w:rPr>
          <w:rStyle w:val="FootnoteReference"/>
        </w:rPr>
        <w:footnoteRef/>
      </w:r>
      <w:r>
        <w:rPr>
          <w:rtl/>
        </w:rPr>
        <w:t xml:space="preserve"> </w:t>
      </w:r>
      <w:r w:rsidRPr="00B1023D">
        <w:t>Woodrow Wilson</w:t>
      </w:r>
    </w:p>
  </w:footnote>
  <w:footnote w:id="870">
    <w:p w14:paraId="43221D13" w14:textId="77777777" w:rsidR="00B47FF5" w:rsidRDefault="00B47FF5" w:rsidP="0020732A">
      <w:pPr>
        <w:pStyle w:val="FootnoteText"/>
      </w:pPr>
      <w:r>
        <w:rPr>
          <w:rStyle w:val="FootnoteReference"/>
        </w:rPr>
        <w:footnoteRef/>
      </w:r>
      <w:r>
        <w:rPr>
          <w:rtl/>
        </w:rPr>
        <w:t xml:space="preserve"> </w:t>
      </w:r>
      <w:r w:rsidRPr="00B1023D">
        <w:t>Louis Ludlow</w:t>
      </w:r>
    </w:p>
  </w:footnote>
  <w:footnote w:id="871">
    <w:p w14:paraId="0EC2421D" w14:textId="77777777" w:rsidR="00B47FF5" w:rsidRDefault="00B47FF5" w:rsidP="0020732A">
      <w:pPr>
        <w:pStyle w:val="FootnoteText"/>
      </w:pPr>
      <w:r>
        <w:rPr>
          <w:rStyle w:val="FootnoteReference"/>
        </w:rPr>
        <w:footnoteRef/>
      </w:r>
      <w:r>
        <w:rPr>
          <w:rtl/>
        </w:rPr>
        <w:t xml:space="preserve"> </w:t>
      </w:r>
      <w:r w:rsidRPr="00B1023D">
        <w:t>Roosevelt</w:t>
      </w:r>
    </w:p>
  </w:footnote>
  <w:footnote w:id="872">
    <w:p w14:paraId="4D6F0EB4" w14:textId="77777777" w:rsidR="00B47FF5" w:rsidRDefault="00B47FF5" w:rsidP="0020732A">
      <w:pPr>
        <w:pStyle w:val="FootnoteText"/>
      </w:pPr>
      <w:r>
        <w:rPr>
          <w:rStyle w:val="FootnoteReference"/>
        </w:rPr>
        <w:footnoteRef/>
      </w:r>
      <w:r>
        <w:rPr>
          <w:rtl/>
        </w:rPr>
        <w:t xml:space="preserve"> </w:t>
      </w:r>
      <w:r w:rsidRPr="00664BB7">
        <w:t>Governance foresight</w:t>
      </w:r>
    </w:p>
  </w:footnote>
  <w:footnote w:id="873">
    <w:p w14:paraId="3893E3C3" w14:textId="77777777" w:rsidR="00B47FF5" w:rsidRDefault="00B47FF5" w:rsidP="0020732A">
      <w:pPr>
        <w:pStyle w:val="FootnoteText"/>
      </w:pPr>
      <w:r>
        <w:rPr>
          <w:rStyle w:val="FootnoteReference"/>
        </w:rPr>
        <w:footnoteRef/>
      </w:r>
      <w:r>
        <w:rPr>
          <w:rtl/>
        </w:rPr>
        <w:t xml:space="preserve"> </w:t>
      </w:r>
      <w:r w:rsidRPr="00664BB7">
        <w:t>New South Vietnam</w:t>
      </w:r>
    </w:p>
  </w:footnote>
  <w:footnote w:id="874">
    <w:p w14:paraId="1C95778C" w14:textId="77777777" w:rsidR="00B47FF5" w:rsidRDefault="00B47FF5" w:rsidP="0020732A">
      <w:pPr>
        <w:pStyle w:val="FootnoteText"/>
      </w:pPr>
      <w:r>
        <w:rPr>
          <w:rStyle w:val="FootnoteReference"/>
        </w:rPr>
        <w:footnoteRef/>
      </w:r>
      <w:r>
        <w:rPr>
          <w:rtl/>
        </w:rPr>
        <w:t xml:space="preserve"> </w:t>
      </w:r>
      <w:r w:rsidRPr="00B1023D">
        <w:t>Mekong</w:t>
      </w:r>
    </w:p>
  </w:footnote>
  <w:footnote w:id="875">
    <w:p w14:paraId="2D18092E" w14:textId="547B7CDA" w:rsidR="00B47FF5" w:rsidRDefault="00B47FF5" w:rsidP="0020732A">
      <w:pPr>
        <w:pStyle w:val="FootnoteText"/>
      </w:pPr>
      <w:r>
        <w:rPr>
          <w:rStyle w:val="FootnoteReference"/>
        </w:rPr>
        <w:footnoteRef/>
      </w:r>
      <w:r>
        <w:rPr>
          <w:rtl/>
        </w:rPr>
        <w:t xml:space="preserve"> </w:t>
      </w:r>
      <w:r>
        <w:t xml:space="preserve">1965: </w:t>
      </w:r>
      <w:r w:rsidRPr="00A376B8">
        <w:t>A Defended South Vietnam (Vietnam War)</w:t>
      </w:r>
    </w:p>
  </w:footnote>
  <w:footnote w:id="876">
    <w:p w14:paraId="0E2502F4" w14:textId="77777777" w:rsidR="00B47FF5" w:rsidRDefault="00B47FF5" w:rsidP="0020732A">
      <w:pPr>
        <w:pStyle w:val="FootnoteText"/>
      </w:pPr>
      <w:r>
        <w:rPr>
          <w:rStyle w:val="FootnoteReference"/>
        </w:rPr>
        <w:footnoteRef/>
      </w:r>
      <w:r>
        <w:rPr>
          <w:rtl/>
        </w:rPr>
        <w:t xml:space="preserve"> </w:t>
      </w:r>
      <w:r>
        <w:t>Defense foresight</w:t>
      </w:r>
    </w:p>
  </w:footnote>
  <w:footnote w:id="877">
    <w:p w14:paraId="3CEF0AEE" w14:textId="77777777" w:rsidR="00B47FF5" w:rsidRDefault="00B47FF5" w:rsidP="0020732A">
      <w:pPr>
        <w:pStyle w:val="FootnoteText"/>
      </w:pPr>
      <w:r>
        <w:rPr>
          <w:rStyle w:val="FootnoteReference"/>
        </w:rPr>
        <w:footnoteRef/>
      </w:r>
      <w:r>
        <w:rPr>
          <w:rtl/>
        </w:rPr>
        <w:t xml:space="preserve"> </w:t>
      </w:r>
      <w:r>
        <w:t>Exhibition City</w:t>
      </w:r>
    </w:p>
  </w:footnote>
  <w:footnote w:id="878">
    <w:p w14:paraId="39832075" w14:textId="77777777" w:rsidR="00B47FF5" w:rsidRDefault="00B47FF5" w:rsidP="0020732A">
      <w:pPr>
        <w:pStyle w:val="FootnoteText"/>
      </w:pPr>
      <w:r>
        <w:rPr>
          <w:rStyle w:val="FootnoteReference"/>
        </w:rPr>
        <w:footnoteRef/>
      </w:r>
      <w:r>
        <w:rPr>
          <w:rtl/>
        </w:rPr>
        <w:t xml:space="preserve"> </w:t>
      </w:r>
      <w:r w:rsidRPr="00B1023D">
        <w:t>Walt Disney</w:t>
      </w:r>
    </w:p>
  </w:footnote>
  <w:footnote w:id="879">
    <w:p w14:paraId="7680F3BB" w14:textId="77777777" w:rsidR="00B47FF5" w:rsidRDefault="00B47FF5" w:rsidP="0020732A">
      <w:pPr>
        <w:pStyle w:val="FootnoteText"/>
      </w:pPr>
      <w:r>
        <w:rPr>
          <w:rStyle w:val="FootnoteReference"/>
        </w:rPr>
        <w:footnoteRef/>
      </w:r>
      <w:r>
        <w:rPr>
          <w:rtl/>
        </w:rPr>
        <w:t xml:space="preserve"> </w:t>
      </w:r>
      <w:r w:rsidRPr="00A376B8">
        <w:t>Experimental Prototype Community of Tommorrow</w:t>
      </w:r>
    </w:p>
  </w:footnote>
  <w:footnote w:id="880">
    <w:p w14:paraId="4C1334DC" w14:textId="3E65E87F" w:rsidR="00B47FF5" w:rsidRDefault="00B47FF5" w:rsidP="0020732A">
      <w:pPr>
        <w:pStyle w:val="FootnoteText"/>
      </w:pPr>
      <w:r>
        <w:rPr>
          <w:rStyle w:val="FootnoteReference"/>
        </w:rPr>
        <w:footnoteRef/>
      </w:r>
      <w:r>
        <w:rPr>
          <w:rtl/>
        </w:rPr>
        <w:t xml:space="preserve"> </w:t>
      </w:r>
      <w:r>
        <w:t>Metastatic lung cancer</w:t>
      </w:r>
    </w:p>
  </w:footnote>
  <w:footnote w:id="881">
    <w:p w14:paraId="17DFB35E" w14:textId="2CE2D41C" w:rsidR="00B47FF5" w:rsidRDefault="00B47FF5" w:rsidP="0020732A">
      <w:pPr>
        <w:pStyle w:val="FootnoteText"/>
      </w:pPr>
      <w:r>
        <w:rPr>
          <w:rStyle w:val="FootnoteReference"/>
        </w:rPr>
        <w:footnoteRef/>
      </w:r>
      <w:r>
        <w:rPr>
          <w:rtl/>
        </w:rPr>
        <w:t xml:space="preserve"> </w:t>
      </w:r>
      <w:r>
        <w:t>Crowdsourced</w:t>
      </w:r>
    </w:p>
  </w:footnote>
  <w:footnote w:id="882">
    <w:p w14:paraId="7BF0CFA6" w14:textId="4DF4C583" w:rsidR="00B47FF5" w:rsidRDefault="00B47FF5" w:rsidP="0020732A">
      <w:pPr>
        <w:pStyle w:val="FootnoteText"/>
      </w:pPr>
      <w:r>
        <w:rPr>
          <w:rStyle w:val="FootnoteReference"/>
        </w:rPr>
        <w:footnoteRef/>
      </w:r>
      <w:r>
        <w:rPr>
          <w:rtl/>
        </w:rPr>
        <w:t xml:space="preserve"> </w:t>
      </w:r>
      <w:r>
        <w:t xml:space="preserve">1970: </w:t>
      </w:r>
      <w:r w:rsidRPr="00655224">
        <w:t>A FullyRealized EPCOT (Innovation Showcase)</w:t>
      </w:r>
    </w:p>
  </w:footnote>
  <w:footnote w:id="883">
    <w:p w14:paraId="605AFD7A" w14:textId="77777777" w:rsidR="00B47FF5" w:rsidRDefault="00B47FF5" w:rsidP="0020732A">
      <w:pPr>
        <w:pStyle w:val="FootnoteText"/>
      </w:pPr>
      <w:r>
        <w:rPr>
          <w:rStyle w:val="FootnoteReference"/>
        </w:rPr>
        <w:footnoteRef/>
      </w:r>
      <w:r>
        <w:rPr>
          <w:rtl/>
        </w:rPr>
        <w:t xml:space="preserve"> </w:t>
      </w:r>
      <w:r w:rsidRPr="00655224">
        <w:t>Innovation foresight</w:t>
      </w:r>
    </w:p>
  </w:footnote>
  <w:footnote w:id="884">
    <w:p w14:paraId="1DBB19FF" w14:textId="77777777" w:rsidR="00B47FF5" w:rsidRDefault="00B47FF5" w:rsidP="0020732A">
      <w:pPr>
        <w:pStyle w:val="FootnoteText"/>
      </w:pPr>
      <w:r>
        <w:rPr>
          <w:rStyle w:val="FootnoteReference"/>
        </w:rPr>
        <w:footnoteRef/>
      </w:r>
      <w:r>
        <w:rPr>
          <w:rtl/>
        </w:rPr>
        <w:t xml:space="preserve"> </w:t>
      </w:r>
      <w:r w:rsidRPr="00B1023D">
        <w:t>Jeffrey Sachs</w:t>
      </w:r>
    </w:p>
  </w:footnote>
  <w:footnote w:id="885">
    <w:p w14:paraId="2DE11BF6" w14:textId="77777777" w:rsidR="00B47FF5" w:rsidRDefault="00B47FF5" w:rsidP="0020732A">
      <w:pPr>
        <w:pStyle w:val="FootnoteText"/>
      </w:pPr>
      <w:r>
        <w:rPr>
          <w:rStyle w:val="FootnoteReference"/>
        </w:rPr>
        <w:footnoteRef/>
      </w:r>
      <w:r>
        <w:rPr>
          <w:rtl/>
        </w:rPr>
        <w:t xml:space="preserve"> </w:t>
      </w:r>
      <w:r>
        <w:t>Poland</w:t>
      </w:r>
    </w:p>
  </w:footnote>
  <w:footnote w:id="886">
    <w:p w14:paraId="2FFA7B6B" w14:textId="56DA0953" w:rsidR="00B47FF5" w:rsidRDefault="00B47FF5" w:rsidP="0020732A">
      <w:pPr>
        <w:pStyle w:val="FootnoteText"/>
      </w:pPr>
      <w:r>
        <w:rPr>
          <w:rStyle w:val="FootnoteReference"/>
        </w:rPr>
        <w:footnoteRef/>
      </w:r>
      <w:r>
        <w:rPr>
          <w:rtl/>
        </w:rPr>
        <w:t xml:space="preserve"> </w:t>
      </w:r>
      <w:r>
        <w:t>Former soviet</w:t>
      </w:r>
    </w:p>
  </w:footnote>
  <w:footnote w:id="887">
    <w:p w14:paraId="375D838D" w14:textId="1573136C" w:rsidR="00B47FF5" w:rsidRPr="00655224" w:rsidRDefault="00B47FF5" w:rsidP="0020732A">
      <w:pPr>
        <w:pStyle w:val="FootnoteText"/>
      </w:pPr>
      <w:r>
        <w:rPr>
          <w:rStyle w:val="FootnoteReference"/>
        </w:rPr>
        <w:footnoteRef/>
      </w:r>
      <w:r>
        <w:rPr>
          <w:rtl/>
        </w:rPr>
        <w:t xml:space="preserve"> </w:t>
      </w:r>
      <w:r w:rsidRPr="00655224">
        <w:t>Oligopoly</w:t>
      </w:r>
    </w:p>
  </w:footnote>
  <w:footnote w:id="888">
    <w:p w14:paraId="198C7D3C" w14:textId="77777777" w:rsidR="00B47FF5" w:rsidRDefault="00B47FF5" w:rsidP="0020732A">
      <w:pPr>
        <w:pStyle w:val="FootnoteText"/>
      </w:pPr>
      <w:r>
        <w:rPr>
          <w:rStyle w:val="FootnoteReference"/>
        </w:rPr>
        <w:footnoteRef/>
      </w:r>
      <w:r>
        <w:rPr>
          <w:rtl/>
        </w:rPr>
        <w:t xml:space="preserve"> </w:t>
      </w:r>
      <w:r>
        <w:t>Post-Soviet Marshall Plan</w:t>
      </w:r>
    </w:p>
  </w:footnote>
  <w:footnote w:id="889">
    <w:p w14:paraId="3DAD2570" w14:textId="77777777" w:rsidR="00B47FF5" w:rsidRDefault="00B47FF5" w:rsidP="0020732A">
      <w:pPr>
        <w:pStyle w:val="FootnoteText"/>
      </w:pPr>
      <w:r>
        <w:rPr>
          <w:rStyle w:val="FootnoteReference"/>
        </w:rPr>
        <w:footnoteRef/>
      </w:r>
      <w:r>
        <w:rPr>
          <w:rtl/>
        </w:rPr>
        <w:t xml:space="preserve"> </w:t>
      </w:r>
      <w:r w:rsidRPr="002F6BAA">
        <w:t>Crimea</w:t>
      </w:r>
    </w:p>
  </w:footnote>
  <w:footnote w:id="890">
    <w:p w14:paraId="36820DD5" w14:textId="77777777" w:rsidR="00B47FF5" w:rsidRDefault="00B47FF5" w:rsidP="0020732A">
      <w:pPr>
        <w:pStyle w:val="FootnoteText"/>
      </w:pPr>
      <w:r>
        <w:rPr>
          <w:rStyle w:val="FootnoteReference"/>
        </w:rPr>
        <w:footnoteRef/>
      </w:r>
      <w:r>
        <w:rPr>
          <w:rtl/>
        </w:rPr>
        <w:t xml:space="preserve"> </w:t>
      </w:r>
      <w:r w:rsidRPr="002F6BAA">
        <w:t>Baltic States</w:t>
      </w:r>
    </w:p>
  </w:footnote>
  <w:footnote w:id="891">
    <w:p w14:paraId="36597D8B" w14:textId="38E36DA9" w:rsidR="00B47FF5" w:rsidRDefault="00B47FF5" w:rsidP="0020732A">
      <w:pPr>
        <w:pStyle w:val="FootnoteText"/>
      </w:pPr>
      <w:r>
        <w:rPr>
          <w:rStyle w:val="FootnoteReference"/>
        </w:rPr>
        <w:footnoteRef/>
      </w:r>
      <w:r>
        <w:rPr>
          <w:rtl/>
        </w:rPr>
        <w:t xml:space="preserve"> </w:t>
      </w:r>
      <w:r w:rsidRPr="002F6BAA">
        <w:t>Post authoritarian institutions</w:t>
      </w:r>
    </w:p>
  </w:footnote>
  <w:footnote w:id="892">
    <w:p w14:paraId="22321D2F" w14:textId="77777777" w:rsidR="00B47FF5" w:rsidRDefault="00B47FF5" w:rsidP="0020732A">
      <w:pPr>
        <w:pStyle w:val="FootnoteText"/>
      </w:pPr>
      <w:r>
        <w:rPr>
          <w:rStyle w:val="FootnoteReference"/>
        </w:rPr>
        <w:footnoteRef/>
      </w:r>
      <w:r>
        <w:rPr>
          <w:rtl/>
        </w:rPr>
        <w:t xml:space="preserve"> </w:t>
      </w:r>
      <w:r>
        <w:t>Humanitarian foresight</w:t>
      </w:r>
    </w:p>
  </w:footnote>
  <w:footnote w:id="893">
    <w:p w14:paraId="779645D3" w14:textId="77777777" w:rsidR="00B47FF5" w:rsidRDefault="00B47FF5" w:rsidP="0020732A">
      <w:pPr>
        <w:pStyle w:val="FootnoteText"/>
      </w:pPr>
      <w:r>
        <w:rPr>
          <w:rStyle w:val="FootnoteReference"/>
        </w:rPr>
        <w:footnoteRef/>
      </w:r>
      <w:r>
        <w:rPr>
          <w:rtl/>
        </w:rPr>
        <w:t xml:space="preserve"> </w:t>
      </w:r>
      <w:r w:rsidRPr="002F6BAA">
        <w:t>Information Superhighway</w:t>
      </w:r>
    </w:p>
  </w:footnote>
  <w:footnote w:id="894">
    <w:p w14:paraId="5B01A0DE" w14:textId="77777777" w:rsidR="00B47FF5" w:rsidRDefault="00B47FF5" w:rsidP="0020732A">
      <w:pPr>
        <w:pStyle w:val="FootnoteText"/>
        <w:rPr>
          <w:rtl/>
        </w:rPr>
      </w:pPr>
      <w:r>
        <w:rPr>
          <w:rStyle w:val="FootnoteReference"/>
        </w:rPr>
        <w:footnoteRef/>
      </w:r>
      <w:r>
        <w:rPr>
          <w:rtl/>
        </w:rPr>
        <w:t xml:space="preserve"> </w:t>
      </w:r>
      <w:r>
        <w:t>Google fiber</w:t>
      </w:r>
    </w:p>
  </w:footnote>
  <w:footnote w:id="895">
    <w:p w14:paraId="6885502B" w14:textId="0458E3C1" w:rsidR="00B47FF5" w:rsidRDefault="00B47FF5" w:rsidP="0020732A">
      <w:pPr>
        <w:pStyle w:val="FootnoteText"/>
      </w:pPr>
      <w:r>
        <w:rPr>
          <w:rStyle w:val="FootnoteReference"/>
        </w:rPr>
        <w:footnoteRef/>
      </w:r>
      <w:r>
        <w:rPr>
          <w:rtl/>
        </w:rPr>
        <w:t xml:space="preserve"> </w:t>
      </w:r>
      <w:r w:rsidRPr="00B1023D">
        <w:t>Telco</w:t>
      </w:r>
    </w:p>
  </w:footnote>
  <w:footnote w:id="896">
    <w:p w14:paraId="5D61748F" w14:textId="30C6F663" w:rsidR="00B47FF5" w:rsidRDefault="00B47FF5" w:rsidP="0020732A">
      <w:pPr>
        <w:pStyle w:val="FootnoteText"/>
      </w:pPr>
      <w:r>
        <w:rPr>
          <w:rStyle w:val="FootnoteReference"/>
        </w:rPr>
        <w:footnoteRef/>
      </w:r>
      <w:r>
        <w:t xml:space="preserve"> 2000:</w:t>
      </w:r>
      <w:r w:rsidRPr="00F60D33">
        <w:rPr>
          <w:rtl/>
        </w:rPr>
        <w:t xml:space="preserve"> </w:t>
      </w:r>
      <w:r w:rsidRPr="00F60D33">
        <w:t>Subsidized American</w:t>
      </w:r>
      <w:r>
        <w:t xml:space="preserve"> </w:t>
      </w:r>
      <w:r w:rsidRPr="00F60D33">
        <w:t>Broadband</w:t>
      </w:r>
    </w:p>
  </w:footnote>
  <w:footnote w:id="897">
    <w:p w14:paraId="7EC18436" w14:textId="77777777" w:rsidR="00B47FF5" w:rsidRDefault="00B47FF5" w:rsidP="0020732A">
      <w:pPr>
        <w:pStyle w:val="FootnoteText"/>
      </w:pPr>
      <w:r>
        <w:rPr>
          <w:rStyle w:val="FootnoteReference"/>
        </w:rPr>
        <w:footnoteRef/>
      </w:r>
      <w:r>
        <w:rPr>
          <w:rtl/>
        </w:rPr>
        <w:t xml:space="preserve"> </w:t>
      </w:r>
      <w:r w:rsidRPr="00307EEE">
        <w:t>Digital foresight</w:t>
      </w:r>
    </w:p>
  </w:footnote>
  <w:footnote w:id="898">
    <w:p w14:paraId="60FA0BE5" w14:textId="77777777" w:rsidR="00B47FF5" w:rsidRDefault="00B47FF5" w:rsidP="0020732A">
      <w:pPr>
        <w:pStyle w:val="FootnoteText"/>
      </w:pPr>
      <w:r>
        <w:rPr>
          <w:rStyle w:val="FootnoteReference"/>
        </w:rPr>
        <w:footnoteRef/>
      </w:r>
      <w:r>
        <w:rPr>
          <w:rtl/>
        </w:rPr>
        <w:t xml:space="preserve"> </w:t>
      </w:r>
      <w:r w:rsidRPr="00B1023D">
        <w:t>DRACO</w:t>
      </w:r>
    </w:p>
  </w:footnote>
  <w:footnote w:id="899">
    <w:p w14:paraId="73A728D4" w14:textId="0C013EC2" w:rsidR="00B47FF5" w:rsidRDefault="00B47FF5" w:rsidP="0020732A">
      <w:pPr>
        <w:pStyle w:val="FootnoteText"/>
      </w:pPr>
      <w:r>
        <w:rPr>
          <w:rStyle w:val="FootnoteReference"/>
        </w:rPr>
        <w:footnoteRef/>
      </w:r>
      <w:r>
        <w:rPr>
          <w:rtl/>
        </w:rPr>
        <w:t xml:space="preserve"> </w:t>
      </w:r>
      <w:r>
        <w:t>Universal antiviral adjuvant</w:t>
      </w:r>
    </w:p>
  </w:footnote>
  <w:footnote w:id="900">
    <w:p w14:paraId="6ED648A5" w14:textId="77777777" w:rsidR="00B47FF5" w:rsidRDefault="00B47FF5" w:rsidP="0020732A">
      <w:pPr>
        <w:pStyle w:val="FootnoteText"/>
      </w:pPr>
      <w:r>
        <w:rPr>
          <w:rStyle w:val="FootnoteReference"/>
        </w:rPr>
        <w:footnoteRef/>
      </w:r>
      <w:r>
        <w:rPr>
          <w:rtl/>
        </w:rPr>
        <w:t xml:space="preserve"> </w:t>
      </w:r>
      <w:r w:rsidRPr="00B1023D">
        <w:t>B-cell</w:t>
      </w:r>
    </w:p>
  </w:footnote>
  <w:footnote w:id="901">
    <w:p w14:paraId="2DADD70E" w14:textId="77777777" w:rsidR="00B47FF5" w:rsidRDefault="00B47FF5" w:rsidP="0020732A">
      <w:pPr>
        <w:pStyle w:val="FootnoteText"/>
      </w:pPr>
      <w:r>
        <w:rPr>
          <w:rStyle w:val="FootnoteReference"/>
        </w:rPr>
        <w:footnoteRef/>
      </w:r>
      <w:r>
        <w:rPr>
          <w:rtl/>
        </w:rPr>
        <w:t xml:space="preserve"> </w:t>
      </w:r>
      <w:r w:rsidRPr="00B1023D">
        <w:t>N-hydroxycitidine</w:t>
      </w:r>
    </w:p>
  </w:footnote>
  <w:footnote w:id="902">
    <w:p w14:paraId="01200A55" w14:textId="453C2E3F" w:rsidR="00B47FF5" w:rsidRDefault="00B47FF5" w:rsidP="0020732A">
      <w:pPr>
        <w:pStyle w:val="FootnoteText"/>
      </w:pPr>
      <w:r>
        <w:rPr>
          <w:rStyle w:val="FootnoteReference"/>
        </w:rPr>
        <w:footnoteRef/>
      </w:r>
      <w:r>
        <w:rPr>
          <w:rtl/>
        </w:rPr>
        <w:t xml:space="preserve"> </w:t>
      </w:r>
      <w:r w:rsidRPr="00F37163">
        <w:t>Human epithelial cells</w:t>
      </w:r>
    </w:p>
  </w:footnote>
  <w:footnote w:id="903">
    <w:p w14:paraId="453914FA" w14:textId="77777777" w:rsidR="00B47FF5" w:rsidRDefault="00B47FF5" w:rsidP="0020732A">
      <w:pPr>
        <w:pStyle w:val="FootnoteText"/>
      </w:pPr>
      <w:r>
        <w:rPr>
          <w:rStyle w:val="FootnoteReference"/>
        </w:rPr>
        <w:footnoteRef/>
      </w:r>
      <w:r>
        <w:rPr>
          <w:rtl/>
        </w:rPr>
        <w:t xml:space="preserve"> </w:t>
      </w:r>
      <w:r w:rsidRPr="00B1023D">
        <w:t>ID Now</w:t>
      </w:r>
    </w:p>
  </w:footnote>
  <w:footnote w:id="904">
    <w:p w14:paraId="39E69A35" w14:textId="5A2075B8" w:rsidR="00B47FF5" w:rsidRDefault="00B47FF5" w:rsidP="0020732A">
      <w:pPr>
        <w:pStyle w:val="FootnoteText"/>
      </w:pPr>
      <w:r>
        <w:rPr>
          <w:rStyle w:val="FootnoteReference"/>
        </w:rPr>
        <w:footnoteRef/>
      </w:r>
      <w:r>
        <w:rPr>
          <w:rtl/>
        </w:rPr>
        <w:t xml:space="preserve"> </w:t>
      </w:r>
      <w:r>
        <w:t>Covid</w:t>
      </w:r>
    </w:p>
  </w:footnote>
  <w:footnote w:id="905">
    <w:p w14:paraId="5EB6AAF5" w14:textId="77777777" w:rsidR="00B47FF5" w:rsidRDefault="00B47FF5" w:rsidP="0020732A">
      <w:pPr>
        <w:pStyle w:val="FootnoteText"/>
      </w:pPr>
      <w:r>
        <w:rPr>
          <w:rStyle w:val="FootnoteReference"/>
        </w:rPr>
        <w:footnoteRef/>
      </w:r>
      <w:r>
        <w:rPr>
          <w:rtl/>
        </w:rPr>
        <w:t xml:space="preserve"> </w:t>
      </w:r>
      <w:r w:rsidRPr="00B1023D">
        <w:t>Abbot</w:t>
      </w:r>
    </w:p>
  </w:footnote>
  <w:footnote w:id="906">
    <w:p w14:paraId="20C972B1" w14:textId="77777777" w:rsidR="00B47FF5" w:rsidRDefault="00B47FF5" w:rsidP="0020732A">
      <w:pPr>
        <w:pStyle w:val="FootnoteText"/>
      </w:pPr>
      <w:r>
        <w:rPr>
          <w:rStyle w:val="FootnoteReference"/>
        </w:rPr>
        <w:footnoteRef/>
      </w:r>
      <w:r>
        <w:rPr>
          <w:rtl/>
        </w:rPr>
        <w:t xml:space="preserve"> </w:t>
      </w:r>
      <w:r w:rsidRPr="00620F42">
        <w:t>Will COVID-19 Bring Serious Antiviral Defense Spending to the US</w:t>
      </w:r>
      <w:r w:rsidRPr="00620F42">
        <w:rPr>
          <w:rtl/>
        </w:rPr>
        <w:t>?</w:t>
      </w:r>
    </w:p>
  </w:footnote>
  <w:footnote w:id="907">
    <w:p w14:paraId="6B41A32D" w14:textId="77777777" w:rsidR="00B47FF5" w:rsidRDefault="00B47FF5" w:rsidP="0020732A">
      <w:pPr>
        <w:pStyle w:val="FootnoteText"/>
      </w:pPr>
      <w:r>
        <w:rPr>
          <w:rStyle w:val="FootnoteReference"/>
        </w:rPr>
        <w:footnoteRef/>
      </w:r>
      <w:r>
        <w:rPr>
          <w:rtl/>
        </w:rPr>
        <w:t xml:space="preserve"> </w:t>
      </w:r>
      <w:r>
        <w:t>Public health foresight</w:t>
      </w:r>
    </w:p>
  </w:footnote>
  <w:footnote w:id="908">
    <w:p w14:paraId="501DDC00" w14:textId="77777777" w:rsidR="00B47FF5" w:rsidRDefault="00B47FF5" w:rsidP="0020732A">
      <w:pPr>
        <w:pStyle w:val="FootnoteText"/>
      </w:pPr>
      <w:r>
        <w:rPr>
          <w:rStyle w:val="FootnoteReference"/>
        </w:rPr>
        <w:footnoteRef/>
      </w:r>
      <w:r>
        <w:rPr>
          <w:rtl/>
        </w:rPr>
        <w:t xml:space="preserve"> </w:t>
      </w:r>
      <w:r w:rsidRPr="00620F42">
        <w:t>Internet Research Agency</w:t>
      </w:r>
    </w:p>
  </w:footnote>
  <w:footnote w:id="909">
    <w:p w14:paraId="248DC025" w14:textId="77777777" w:rsidR="00B47FF5" w:rsidRDefault="00B47FF5" w:rsidP="0020732A">
      <w:pPr>
        <w:pStyle w:val="FootnoteText"/>
      </w:pPr>
      <w:r>
        <w:rPr>
          <w:rStyle w:val="FootnoteReference"/>
        </w:rPr>
        <w:footnoteRef/>
      </w:r>
      <w:r>
        <w:rPr>
          <w:rtl/>
        </w:rPr>
        <w:t xml:space="preserve"> </w:t>
      </w:r>
      <w:r>
        <w:t>Crimea</w:t>
      </w:r>
    </w:p>
  </w:footnote>
  <w:footnote w:id="910">
    <w:p w14:paraId="6D11249B" w14:textId="77777777" w:rsidR="00B47FF5" w:rsidRDefault="00B47FF5" w:rsidP="0020732A">
      <w:pPr>
        <w:pStyle w:val="FootnoteText"/>
      </w:pPr>
      <w:r>
        <w:rPr>
          <w:rStyle w:val="FootnoteReference"/>
        </w:rPr>
        <w:footnoteRef/>
      </w:r>
      <w:r>
        <w:rPr>
          <w:rtl/>
        </w:rPr>
        <w:t xml:space="preserve"> </w:t>
      </w:r>
      <w:r w:rsidRPr="00B1023D">
        <w:t>Petro Poroshenko</w:t>
      </w:r>
    </w:p>
  </w:footnote>
  <w:footnote w:id="911">
    <w:p w14:paraId="45B62DFE" w14:textId="77777777" w:rsidR="00B47FF5" w:rsidRDefault="00B47FF5" w:rsidP="0020732A">
      <w:pPr>
        <w:pStyle w:val="FootnoteText"/>
      </w:pPr>
      <w:r>
        <w:rPr>
          <w:rStyle w:val="FootnoteReference"/>
        </w:rPr>
        <w:footnoteRef/>
      </w:r>
      <w:r>
        <w:rPr>
          <w:rtl/>
        </w:rPr>
        <w:t xml:space="preserve"> </w:t>
      </w:r>
      <w:r w:rsidRPr="00620F42">
        <w:t>Barak Obama</w:t>
      </w:r>
    </w:p>
  </w:footnote>
  <w:footnote w:id="912">
    <w:p w14:paraId="790F4176" w14:textId="486E5C00" w:rsidR="00B47FF5" w:rsidRDefault="00B47FF5" w:rsidP="0020732A">
      <w:pPr>
        <w:pStyle w:val="FootnoteText"/>
      </w:pPr>
      <w:r>
        <w:rPr>
          <w:rStyle w:val="FootnoteReference"/>
        </w:rPr>
        <w:footnoteRef/>
      </w:r>
      <w:r>
        <w:rPr>
          <w:rtl/>
        </w:rPr>
        <w:t xml:space="preserve"> </w:t>
      </w:r>
      <w:r>
        <w:t>Populists</w:t>
      </w:r>
    </w:p>
  </w:footnote>
  <w:footnote w:id="913">
    <w:p w14:paraId="594F440D" w14:textId="77777777" w:rsidR="00B47FF5" w:rsidRDefault="00B47FF5" w:rsidP="0020732A">
      <w:pPr>
        <w:pStyle w:val="FootnoteText"/>
      </w:pPr>
      <w:r>
        <w:rPr>
          <w:rStyle w:val="FootnoteReference"/>
        </w:rPr>
        <w:footnoteRef/>
      </w:r>
      <w:r>
        <w:rPr>
          <w:rtl/>
        </w:rPr>
        <w:t xml:space="preserve"> </w:t>
      </w:r>
      <w:r w:rsidRPr="00B1023D">
        <w:t>Jack Bryan</w:t>
      </w:r>
    </w:p>
  </w:footnote>
  <w:footnote w:id="914">
    <w:p w14:paraId="50F28E0C" w14:textId="77777777" w:rsidR="00B47FF5" w:rsidRDefault="00B47FF5" w:rsidP="0020732A">
      <w:pPr>
        <w:pStyle w:val="FootnoteText"/>
      </w:pPr>
      <w:r>
        <w:rPr>
          <w:rStyle w:val="FootnoteReference"/>
        </w:rPr>
        <w:footnoteRef/>
      </w:r>
      <w:r>
        <w:rPr>
          <w:rtl/>
        </w:rPr>
        <w:t xml:space="preserve"> </w:t>
      </w:r>
      <w:r w:rsidRPr="00476914">
        <w:t>Active Measures</w:t>
      </w:r>
    </w:p>
  </w:footnote>
  <w:footnote w:id="915">
    <w:p w14:paraId="04404EB6" w14:textId="77777777" w:rsidR="00B47FF5" w:rsidRDefault="00B47FF5" w:rsidP="0020732A">
      <w:pPr>
        <w:pStyle w:val="FootnoteText"/>
      </w:pPr>
      <w:r>
        <w:rPr>
          <w:rStyle w:val="FootnoteReference"/>
        </w:rPr>
        <w:footnoteRef/>
      </w:r>
      <w:r>
        <w:rPr>
          <w:rtl/>
        </w:rPr>
        <w:t xml:space="preserve"> </w:t>
      </w:r>
      <w:r>
        <w:t>Media foresight</w:t>
      </w:r>
    </w:p>
  </w:footnote>
  <w:footnote w:id="916">
    <w:p w14:paraId="32184242" w14:textId="77777777" w:rsidR="00B47FF5" w:rsidRDefault="00B47FF5" w:rsidP="0020732A">
      <w:pPr>
        <w:pStyle w:val="FootnoteText"/>
      </w:pPr>
      <w:r>
        <w:rPr>
          <w:rStyle w:val="FootnoteReference"/>
        </w:rPr>
        <w:footnoteRef/>
      </w:r>
      <w:r>
        <w:rPr>
          <w:rtl/>
        </w:rPr>
        <w:t xml:space="preserve"> </w:t>
      </w:r>
      <w:r w:rsidRPr="00476914">
        <w:t>The Demon-Haunted World</w:t>
      </w:r>
    </w:p>
  </w:footnote>
  <w:footnote w:id="917">
    <w:p w14:paraId="67B2A2E9" w14:textId="77777777" w:rsidR="00B47FF5" w:rsidRDefault="00B47FF5" w:rsidP="0020732A">
      <w:pPr>
        <w:pStyle w:val="FootnoteText"/>
      </w:pPr>
      <w:r>
        <w:rPr>
          <w:rStyle w:val="FootnoteReference"/>
        </w:rPr>
        <w:footnoteRef/>
      </w:r>
      <w:r>
        <w:rPr>
          <w:rtl/>
        </w:rPr>
        <w:t xml:space="preserve"> </w:t>
      </w:r>
      <w:r w:rsidRPr="00B1023D">
        <w:t>Carl Sagan</w:t>
      </w:r>
    </w:p>
  </w:footnote>
  <w:footnote w:id="918">
    <w:p w14:paraId="4B20A2AE" w14:textId="77777777" w:rsidR="00B47FF5" w:rsidRDefault="00B47FF5" w:rsidP="0020732A">
      <w:pPr>
        <w:pStyle w:val="FootnoteText"/>
      </w:pPr>
      <w:r>
        <w:rPr>
          <w:rStyle w:val="FootnoteReference"/>
        </w:rPr>
        <w:footnoteRef/>
      </w:r>
      <w:r>
        <w:rPr>
          <w:rtl/>
        </w:rPr>
        <w:t xml:space="preserve"> </w:t>
      </w:r>
      <w:r>
        <w:t>Personal AIs</w:t>
      </w:r>
    </w:p>
  </w:footnote>
  <w:footnote w:id="919">
    <w:p w14:paraId="3E0DC57A" w14:textId="77777777" w:rsidR="00B47FF5" w:rsidRDefault="00B47FF5" w:rsidP="0020732A">
      <w:pPr>
        <w:pStyle w:val="FootnoteText"/>
      </w:pPr>
      <w:r>
        <w:rPr>
          <w:rStyle w:val="FootnoteReference"/>
        </w:rPr>
        <w:footnoteRef/>
      </w:r>
      <w:r>
        <w:rPr>
          <w:rtl/>
        </w:rPr>
        <w:t xml:space="preserve"> </w:t>
      </w:r>
      <w:r>
        <w:t>digital self</w:t>
      </w:r>
    </w:p>
  </w:footnote>
  <w:footnote w:id="920">
    <w:p w14:paraId="315DB21D" w14:textId="55A2A3A1" w:rsidR="00B47FF5" w:rsidRDefault="00B47FF5" w:rsidP="0020732A">
      <w:pPr>
        <w:pStyle w:val="FootnoteText"/>
      </w:pPr>
      <w:r>
        <w:rPr>
          <w:rStyle w:val="FootnoteReference"/>
        </w:rPr>
        <w:footnoteRef/>
      </w:r>
      <w:r>
        <w:rPr>
          <w:rtl/>
        </w:rPr>
        <w:t xml:space="preserve"> </w:t>
      </w:r>
      <w:r>
        <w:t>Biological self</w:t>
      </w:r>
    </w:p>
  </w:footnote>
  <w:footnote w:id="921">
    <w:p w14:paraId="7286BF60" w14:textId="77777777" w:rsidR="00B47FF5" w:rsidRDefault="00B47FF5" w:rsidP="0020732A">
      <w:pPr>
        <w:pStyle w:val="FootnoteText"/>
      </w:pPr>
      <w:r>
        <w:rPr>
          <w:rStyle w:val="FootnoteReference"/>
        </w:rPr>
        <w:footnoteRef/>
      </w:r>
      <w:r>
        <w:rPr>
          <w:rtl/>
        </w:rPr>
        <w:t xml:space="preserve"> </w:t>
      </w:r>
      <w:r w:rsidRPr="00B1023D">
        <w:t>Eden Philpo</w:t>
      </w:r>
    </w:p>
  </w:footnote>
  <w:footnote w:id="922">
    <w:p w14:paraId="3668B299" w14:textId="77777777" w:rsidR="00B47FF5" w:rsidRDefault="00B47FF5" w:rsidP="0020732A">
      <w:pPr>
        <w:pStyle w:val="FootnoteText"/>
      </w:pPr>
      <w:r>
        <w:rPr>
          <w:rStyle w:val="FootnoteReference"/>
        </w:rPr>
        <w:footnoteRef/>
      </w:r>
      <w:r>
        <w:rPr>
          <w:rtl/>
        </w:rPr>
        <w:t xml:space="preserve"> </w:t>
      </w:r>
      <w:r w:rsidRPr="003A541D">
        <w:t>Rationality: What it Is, Why it Seems</w:t>
      </w:r>
      <w:r>
        <w:t xml:space="preserve"> </w:t>
      </w:r>
      <w:r w:rsidRPr="003A541D">
        <w:t>Scarce, and Why it Ma</w:t>
      </w:r>
      <w:r>
        <w:t>tters</w:t>
      </w:r>
    </w:p>
  </w:footnote>
  <w:footnote w:id="923">
    <w:p w14:paraId="699860A3" w14:textId="77777777" w:rsidR="00B47FF5" w:rsidRDefault="00B47FF5" w:rsidP="0020732A">
      <w:pPr>
        <w:pStyle w:val="FootnoteText"/>
      </w:pPr>
      <w:r>
        <w:rPr>
          <w:rStyle w:val="FootnoteReference"/>
        </w:rPr>
        <w:footnoteRef/>
      </w:r>
      <w:r>
        <w:rPr>
          <w:rtl/>
        </w:rPr>
        <w:t xml:space="preserve"> </w:t>
      </w:r>
      <w:r w:rsidRPr="00B1023D">
        <w:t>Steven Pinker</w:t>
      </w:r>
    </w:p>
  </w:footnote>
  <w:footnote w:id="924">
    <w:p w14:paraId="15C02AE1" w14:textId="77777777" w:rsidR="00B47FF5" w:rsidRDefault="00B47FF5" w:rsidP="0020732A">
      <w:pPr>
        <w:pStyle w:val="FootnoteText"/>
      </w:pPr>
      <w:r>
        <w:rPr>
          <w:rStyle w:val="FootnoteReference"/>
        </w:rPr>
        <w:footnoteRef/>
      </w:r>
      <w:r>
        <w:rPr>
          <w:rtl/>
        </w:rPr>
        <w:t xml:space="preserve"> </w:t>
      </w:r>
      <w:r w:rsidRPr="00B1023D">
        <w:t>Sagan</w:t>
      </w:r>
    </w:p>
  </w:footnote>
  <w:footnote w:id="925">
    <w:p w14:paraId="0839AF2A" w14:textId="77777777" w:rsidR="00B47FF5" w:rsidRDefault="00B47FF5" w:rsidP="0020732A">
      <w:pPr>
        <w:pStyle w:val="FootnoteText"/>
      </w:pPr>
      <w:r>
        <w:rPr>
          <w:rStyle w:val="FootnoteReference"/>
        </w:rPr>
        <w:footnoteRef/>
      </w:r>
      <w:r>
        <w:rPr>
          <w:rtl/>
        </w:rPr>
        <w:t xml:space="preserve"> </w:t>
      </w:r>
      <w:r w:rsidRPr="00B1023D">
        <w:t>Futurepedia</w:t>
      </w:r>
    </w:p>
  </w:footnote>
  <w:footnote w:id="926">
    <w:p w14:paraId="2801A54B" w14:textId="5F4BA518" w:rsidR="00B47FF5" w:rsidRDefault="00B47FF5" w:rsidP="0020732A">
      <w:pPr>
        <w:pStyle w:val="FootnoteText"/>
      </w:pPr>
      <w:r>
        <w:rPr>
          <w:rStyle w:val="FootnoteReference"/>
        </w:rPr>
        <w:footnoteRef/>
      </w:r>
      <w:r>
        <w:rPr>
          <w:rtl/>
        </w:rPr>
        <w:t xml:space="preserve"> </w:t>
      </w:r>
      <w:r w:rsidRPr="008743F1">
        <w:t>Constraining</w:t>
      </w:r>
    </w:p>
  </w:footnote>
  <w:footnote w:id="927">
    <w:p w14:paraId="622EE937" w14:textId="77777777" w:rsidR="00B47FF5" w:rsidRDefault="00B47FF5" w:rsidP="0020732A">
      <w:pPr>
        <w:pStyle w:val="FootnoteText"/>
      </w:pPr>
      <w:r>
        <w:rPr>
          <w:rStyle w:val="FootnoteReference"/>
        </w:rPr>
        <w:footnoteRef/>
      </w:r>
      <w:r>
        <w:rPr>
          <w:rtl/>
        </w:rPr>
        <w:t xml:space="preserve"> </w:t>
      </w:r>
      <w:r w:rsidRPr="002976F7">
        <w:t>O:P</w:t>
      </w:r>
    </w:p>
  </w:footnote>
  <w:footnote w:id="928">
    <w:p w14:paraId="3CB5BAF2" w14:textId="2865494D" w:rsidR="00B47FF5" w:rsidRDefault="00B47FF5" w:rsidP="0020732A">
      <w:pPr>
        <w:pStyle w:val="FootnoteText"/>
      </w:pPr>
      <w:r>
        <w:rPr>
          <w:rStyle w:val="FootnoteReference"/>
        </w:rPr>
        <w:footnoteRef/>
      </w:r>
      <w:r>
        <w:rPr>
          <w:rtl/>
        </w:rPr>
        <w:t xml:space="preserve"> </w:t>
      </w:r>
      <w:r w:rsidRPr="002976F7">
        <w:t>Categorical</w:t>
      </w:r>
    </w:p>
  </w:footnote>
  <w:footnote w:id="929">
    <w:p w14:paraId="22D1B932" w14:textId="06B80A27" w:rsidR="00B47FF5" w:rsidRDefault="00B47FF5" w:rsidP="0020732A">
      <w:pPr>
        <w:pStyle w:val="FootnoteText"/>
      </w:pPr>
      <w:r>
        <w:rPr>
          <w:rStyle w:val="FootnoteReference"/>
        </w:rPr>
        <w:footnoteRef/>
      </w:r>
      <w:r>
        <w:rPr>
          <w:rtl/>
        </w:rPr>
        <w:t xml:space="preserve"> </w:t>
      </w:r>
      <w:r>
        <w:t>Scenario</w:t>
      </w:r>
    </w:p>
  </w:footnote>
  <w:footnote w:id="930">
    <w:p w14:paraId="62BA807D" w14:textId="77777777" w:rsidR="00B47FF5" w:rsidRDefault="00B47FF5" w:rsidP="0020732A">
      <w:pPr>
        <w:pStyle w:val="FootnoteText"/>
      </w:pPr>
      <w:r>
        <w:rPr>
          <w:rStyle w:val="FootnoteReference"/>
        </w:rPr>
        <w:footnoteRef/>
      </w:r>
      <w:r>
        <w:rPr>
          <w:rtl/>
        </w:rPr>
        <w:t xml:space="preserve"> </w:t>
      </w:r>
      <w:r w:rsidRPr="002976F7">
        <w:t>Thomas Sowell</w:t>
      </w:r>
    </w:p>
  </w:footnote>
  <w:footnote w:id="931">
    <w:p w14:paraId="27E026A2" w14:textId="77777777" w:rsidR="00B47FF5" w:rsidRDefault="00B47FF5" w:rsidP="0020732A">
      <w:pPr>
        <w:pStyle w:val="FootnoteText"/>
      </w:pPr>
      <w:r>
        <w:rPr>
          <w:rStyle w:val="FootnoteReference"/>
        </w:rPr>
        <w:footnoteRef/>
      </w:r>
      <w:r>
        <w:rPr>
          <w:rtl/>
        </w:rPr>
        <w:t xml:space="preserve"> </w:t>
      </w:r>
      <w:r w:rsidRPr="002976F7">
        <w:t>Samuel Kronen</w:t>
      </w:r>
    </w:p>
  </w:footnote>
  <w:footnote w:id="932">
    <w:p w14:paraId="5D36EBEB" w14:textId="77777777" w:rsidR="00B47FF5" w:rsidRDefault="00B47FF5" w:rsidP="0020732A">
      <w:pPr>
        <w:pStyle w:val="FootnoteText"/>
      </w:pPr>
      <w:r>
        <w:rPr>
          <w:rStyle w:val="FootnoteReference"/>
        </w:rPr>
        <w:footnoteRef/>
      </w:r>
      <w:r>
        <w:rPr>
          <w:rtl/>
        </w:rPr>
        <w:t xml:space="preserve"> </w:t>
      </w:r>
      <w:r w:rsidRPr="00A16468">
        <w:t>A Conflict of Visions</w:t>
      </w:r>
    </w:p>
  </w:footnote>
  <w:footnote w:id="933">
    <w:p w14:paraId="1F0572C3" w14:textId="4DCD5FF5" w:rsidR="00B47FF5" w:rsidRDefault="00B47FF5" w:rsidP="0020732A">
      <w:pPr>
        <w:pStyle w:val="FootnoteText"/>
      </w:pPr>
      <w:r>
        <w:rPr>
          <w:rStyle w:val="FootnoteReference"/>
        </w:rPr>
        <w:footnoteRef/>
      </w:r>
      <w:r>
        <w:rPr>
          <w:rtl/>
        </w:rPr>
        <w:t xml:space="preserve"> </w:t>
      </w:r>
      <w:r w:rsidRPr="00A16468">
        <w:t>Constrained vision</w:t>
      </w:r>
    </w:p>
  </w:footnote>
  <w:footnote w:id="934">
    <w:p w14:paraId="2F1054E5" w14:textId="6EA34F1F" w:rsidR="00B47FF5" w:rsidRDefault="00B47FF5" w:rsidP="0020732A">
      <w:pPr>
        <w:pStyle w:val="FootnoteText"/>
      </w:pPr>
      <w:r>
        <w:rPr>
          <w:rStyle w:val="FootnoteReference"/>
        </w:rPr>
        <w:footnoteRef/>
      </w:r>
      <w:r>
        <w:rPr>
          <w:rtl/>
        </w:rPr>
        <w:t xml:space="preserve"> </w:t>
      </w:r>
      <w:r>
        <w:t>Static</w:t>
      </w:r>
    </w:p>
  </w:footnote>
  <w:footnote w:id="935">
    <w:p w14:paraId="2095958F" w14:textId="6BB4CB77" w:rsidR="00B47FF5" w:rsidRDefault="00B47FF5" w:rsidP="0020732A">
      <w:pPr>
        <w:pStyle w:val="FootnoteText"/>
      </w:pPr>
      <w:r>
        <w:rPr>
          <w:rStyle w:val="FootnoteReference"/>
        </w:rPr>
        <w:footnoteRef/>
      </w:r>
      <w:r>
        <w:rPr>
          <w:rtl/>
        </w:rPr>
        <w:t xml:space="preserve"> </w:t>
      </w:r>
      <w:r>
        <w:t>Unconstrained vision</w:t>
      </w:r>
    </w:p>
  </w:footnote>
  <w:footnote w:id="936">
    <w:p w14:paraId="2597438D" w14:textId="77777777" w:rsidR="00B47FF5" w:rsidRDefault="00B47FF5" w:rsidP="0020732A">
      <w:pPr>
        <w:pStyle w:val="FootnoteText"/>
      </w:pPr>
      <w:r>
        <w:rPr>
          <w:rStyle w:val="FootnoteReference"/>
        </w:rPr>
        <w:footnoteRef/>
      </w:r>
      <w:r>
        <w:rPr>
          <w:rtl/>
        </w:rPr>
        <w:t xml:space="preserve"> </w:t>
      </w:r>
      <w:r w:rsidRPr="00872D5E">
        <w:t>Positive-Sum</w:t>
      </w:r>
    </w:p>
  </w:footnote>
  <w:footnote w:id="937">
    <w:p w14:paraId="37073F55" w14:textId="77777777" w:rsidR="00B47FF5" w:rsidRDefault="00B47FF5" w:rsidP="0020732A">
      <w:pPr>
        <w:pStyle w:val="FootnoteText"/>
      </w:pPr>
      <w:r>
        <w:rPr>
          <w:rStyle w:val="FootnoteReference"/>
        </w:rPr>
        <w:footnoteRef/>
      </w:r>
      <w:r>
        <w:rPr>
          <w:rtl/>
        </w:rPr>
        <w:t xml:space="preserve"> </w:t>
      </w:r>
      <w:r>
        <w:t>Nonzero</w:t>
      </w:r>
    </w:p>
  </w:footnote>
  <w:footnote w:id="938">
    <w:p w14:paraId="2C1561D1" w14:textId="77777777" w:rsidR="00B47FF5" w:rsidRDefault="00B47FF5" w:rsidP="0020732A">
      <w:pPr>
        <w:pStyle w:val="FootnoteText"/>
      </w:pPr>
      <w:r>
        <w:rPr>
          <w:rStyle w:val="FootnoteReference"/>
        </w:rPr>
        <w:footnoteRef/>
      </w:r>
      <w:r>
        <w:rPr>
          <w:rtl/>
        </w:rPr>
        <w:t xml:space="preserve"> </w:t>
      </w:r>
      <w:r w:rsidRPr="002976F7">
        <w:t>Robert Wright</w:t>
      </w:r>
    </w:p>
  </w:footnote>
  <w:footnote w:id="939">
    <w:p w14:paraId="4B5662C5" w14:textId="03B69238" w:rsidR="00B47FF5" w:rsidRDefault="00B47FF5" w:rsidP="0020732A">
      <w:pPr>
        <w:pStyle w:val="FootnoteText"/>
      </w:pPr>
      <w:r>
        <w:rPr>
          <w:rStyle w:val="FootnoteReference"/>
        </w:rPr>
        <w:footnoteRef/>
      </w:r>
      <w:r>
        <w:rPr>
          <w:rtl/>
        </w:rPr>
        <w:t xml:space="preserve"> </w:t>
      </w:r>
      <w:r>
        <w:t>Network humanity</w:t>
      </w:r>
    </w:p>
  </w:footnote>
  <w:footnote w:id="940">
    <w:p w14:paraId="4C180338" w14:textId="77777777" w:rsidR="00B47FF5" w:rsidRDefault="00B47FF5" w:rsidP="0020732A">
      <w:pPr>
        <w:pStyle w:val="FootnoteText"/>
      </w:pPr>
      <w:r>
        <w:rPr>
          <w:rStyle w:val="FootnoteReference"/>
        </w:rPr>
        <w:footnoteRef/>
      </w:r>
      <w:r>
        <w:rPr>
          <w:rtl/>
        </w:rPr>
        <w:t xml:space="preserve"> </w:t>
      </w:r>
      <w:r>
        <w:t>Upwing</w:t>
      </w:r>
    </w:p>
  </w:footnote>
  <w:footnote w:id="941">
    <w:p w14:paraId="50406B83" w14:textId="77777777" w:rsidR="00B47FF5" w:rsidRDefault="00B47FF5" w:rsidP="0020732A">
      <w:pPr>
        <w:pStyle w:val="FootnoteText"/>
      </w:pPr>
      <w:r>
        <w:rPr>
          <w:rStyle w:val="FootnoteReference"/>
        </w:rPr>
        <w:footnoteRef/>
      </w:r>
      <w:r>
        <w:rPr>
          <w:rtl/>
        </w:rPr>
        <w:t xml:space="preserve"> </w:t>
      </w:r>
      <w:r w:rsidRPr="00635337">
        <w:t>Forward</w:t>
      </w:r>
    </w:p>
  </w:footnote>
  <w:footnote w:id="942">
    <w:p w14:paraId="52695735" w14:textId="77777777" w:rsidR="00B47FF5" w:rsidRDefault="00B47FF5" w:rsidP="0020732A">
      <w:pPr>
        <w:pStyle w:val="FootnoteText"/>
      </w:pPr>
      <w:r>
        <w:rPr>
          <w:rStyle w:val="FootnoteReference"/>
        </w:rPr>
        <w:footnoteRef/>
      </w:r>
      <w:r>
        <w:rPr>
          <w:rtl/>
        </w:rPr>
        <w:t xml:space="preserve"> </w:t>
      </w:r>
      <w:r w:rsidRPr="001D31C4">
        <w:t>Andrew Yang</w:t>
      </w:r>
    </w:p>
  </w:footnote>
  <w:footnote w:id="943">
    <w:p w14:paraId="2E436532" w14:textId="32FE0282" w:rsidR="00B47FF5" w:rsidRDefault="00B47FF5" w:rsidP="0020732A">
      <w:pPr>
        <w:pStyle w:val="FootnoteText"/>
      </w:pPr>
      <w:r>
        <w:rPr>
          <w:rStyle w:val="FootnoteReference"/>
        </w:rPr>
        <w:footnoteRef/>
      </w:r>
      <w:r>
        <w:rPr>
          <w:rtl/>
        </w:rPr>
        <w:t xml:space="preserve"> </w:t>
      </w:r>
      <w:r w:rsidRPr="00BA75B1">
        <w:t>Tricky</w:t>
      </w:r>
    </w:p>
  </w:footnote>
  <w:footnote w:id="944">
    <w:p w14:paraId="6A8DF9F1" w14:textId="77777777" w:rsidR="00B47FF5" w:rsidRDefault="00B47FF5" w:rsidP="0020732A">
      <w:pPr>
        <w:pStyle w:val="FootnoteText"/>
      </w:pPr>
      <w:r>
        <w:rPr>
          <w:rStyle w:val="FootnoteReference"/>
        </w:rPr>
        <w:footnoteRef/>
      </w:r>
      <w:r>
        <w:rPr>
          <w:rtl/>
        </w:rPr>
        <w:t xml:space="preserve"> </w:t>
      </w:r>
      <w:r w:rsidRPr="001D31C4">
        <w:t>Gerhard Vorster</w:t>
      </w:r>
    </w:p>
  </w:footnote>
  <w:footnote w:id="945">
    <w:p w14:paraId="63BA7707" w14:textId="77777777" w:rsidR="00B47FF5" w:rsidRDefault="00B47FF5" w:rsidP="0020732A">
      <w:pPr>
        <w:pStyle w:val="FootnoteText"/>
      </w:pPr>
      <w:r>
        <w:rPr>
          <w:rStyle w:val="FootnoteReference"/>
        </w:rPr>
        <w:footnoteRef/>
      </w:r>
      <w:r>
        <w:rPr>
          <w:rtl/>
        </w:rPr>
        <w:t xml:space="preserve"> </w:t>
      </w:r>
      <w:r w:rsidRPr="001D31C4">
        <w:t>Deloi</w:t>
      </w:r>
    </w:p>
  </w:footnote>
  <w:footnote w:id="946">
    <w:p w14:paraId="037537A4" w14:textId="77777777" w:rsidR="00B47FF5" w:rsidRDefault="00B47FF5" w:rsidP="0020732A">
      <w:pPr>
        <w:pStyle w:val="FootnoteText"/>
      </w:pPr>
      <w:r>
        <w:rPr>
          <w:rStyle w:val="FootnoteReference"/>
        </w:rPr>
        <w:footnoteRef/>
      </w:r>
      <w:r>
        <w:rPr>
          <w:rtl/>
        </w:rPr>
        <w:t xml:space="preserve"> </w:t>
      </w:r>
      <w:r w:rsidRPr="001D31C4">
        <w:t>Steven Covey</w:t>
      </w:r>
    </w:p>
  </w:footnote>
  <w:footnote w:id="947">
    <w:p w14:paraId="42E437DD" w14:textId="77777777" w:rsidR="00B47FF5" w:rsidRDefault="00B47FF5" w:rsidP="0020732A">
      <w:pPr>
        <w:pStyle w:val="FootnoteText"/>
      </w:pPr>
      <w:r>
        <w:rPr>
          <w:rStyle w:val="FootnoteReference"/>
        </w:rPr>
        <w:footnoteRef/>
      </w:r>
      <w:r>
        <w:rPr>
          <w:rtl/>
        </w:rPr>
        <w:t xml:space="preserve"> </w:t>
      </w:r>
      <w:r>
        <w:t>The 8th Habit, 20</w:t>
      </w:r>
    </w:p>
  </w:footnote>
  <w:footnote w:id="948">
    <w:p w14:paraId="483FF659" w14:textId="77777777" w:rsidR="00B47FF5" w:rsidRDefault="00B47FF5" w:rsidP="0020732A">
      <w:pPr>
        <w:pStyle w:val="FootnoteText"/>
      </w:pPr>
      <w:r>
        <w:rPr>
          <w:rStyle w:val="FootnoteReference"/>
        </w:rPr>
        <w:footnoteRef/>
      </w:r>
      <w:r>
        <w:rPr>
          <w:rtl/>
        </w:rPr>
        <w:t xml:space="preserve"> </w:t>
      </w:r>
      <w:r w:rsidRPr="007D7B84">
        <w:t>Finding Our ‘Voice,’ and Helping Others to</w:t>
      </w:r>
      <w:r>
        <w:t xml:space="preserve"> </w:t>
      </w:r>
      <w:r w:rsidRPr="007D7B84">
        <w:t>Find Theirs</w:t>
      </w:r>
    </w:p>
  </w:footnote>
  <w:footnote w:id="949">
    <w:p w14:paraId="58DA7EBC" w14:textId="77777777" w:rsidR="00B47FF5" w:rsidRDefault="00B47FF5" w:rsidP="0020732A">
      <w:pPr>
        <w:pStyle w:val="FootnoteText"/>
      </w:pPr>
      <w:r>
        <w:rPr>
          <w:rStyle w:val="FootnoteReference"/>
        </w:rPr>
        <w:footnoteRef/>
      </w:r>
      <w:r>
        <w:rPr>
          <w:rtl/>
        </w:rPr>
        <w:t xml:space="preserve"> </w:t>
      </w:r>
      <w:r w:rsidRPr="00B879CC">
        <w:t>How to Develop Your Personal Mission Statement</w:t>
      </w:r>
    </w:p>
  </w:footnote>
  <w:footnote w:id="950">
    <w:p w14:paraId="513CDA4C" w14:textId="77777777" w:rsidR="00B47FF5" w:rsidRDefault="00B47FF5" w:rsidP="0020732A">
      <w:pPr>
        <w:pStyle w:val="FootnoteText"/>
      </w:pPr>
      <w:r>
        <w:rPr>
          <w:rStyle w:val="FootnoteReference"/>
        </w:rPr>
        <w:footnoteRef/>
      </w:r>
      <w:r>
        <w:rPr>
          <w:rtl/>
        </w:rPr>
        <w:t xml:space="preserve"> </w:t>
      </w:r>
      <w:r w:rsidRPr="00B879CC">
        <w:t>It’s Your Future … Make it a Good One</w:t>
      </w:r>
      <w:r w:rsidRPr="00B879CC">
        <w:rPr>
          <w:rtl/>
        </w:rPr>
        <w:t>!</w:t>
      </w:r>
    </w:p>
  </w:footnote>
  <w:footnote w:id="951">
    <w:p w14:paraId="268F73F2" w14:textId="77777777" w:rsidR="00B47FF5" w:rsidRDefault="00B47FF5" w:rsidP="0020732A">
      <w:pPr>
        <w:pStyle w:val="FootnoteText"/>
      </w:pPr>
      <w:r>
        <w:rPr>
          <w:rStyle w:val="FootnoteReference"/>
        </w:rPr>
        <w:footnoteRef/>
      </w:r>
      <w:r>
        <w:rPr>
          <w:rtl/>
        </w:rPr>
        <w:t xml:space="preserve"> </w:t>
      </w:r>
      <w:r w:rsidRPr="001D31C4">
        <w:t>Verne Wheelwright</w:t>
      </w:r>
    </w:p>
  </w:footnote>
  <w:footnote w:id="952">
    <w:p w14:paraId="685FD8B0" w14:textId="77777777" w:rsidR="00B47FF5" w:rsidRDefault="00B47FF5" w:rsidP="0020732A">
      <w:pPr>
        <w:pStyle w:val="FootnoteText"/>
      </w:pPr>
      <w:r>
        <w:rPr>
          <w:rStyle w:val="FootnoteReference"/>
        </w:rPr>
        <w:footnoteRef/>
      </w:r>
      <w:r>
        <w:rPr>
          <w:rtl/>
        </w:rPr>
        <w:t xml:space="preserve"> </w:t>
      </w:r>
      <w:r w:rsidRPr="00091489">
        <w:t>The Art of Conjecture</w:t>
      </w:r>
    </w:p>
  </w:footnote>
  <w:footnote w:id="953">
    <w:p w14:paraId="4008C69B" w14:textId="77777777" w:rsidR="00B47FF5" w:rsidRDefault="00B47FF5" w:rsidP="0020732A">
      <w:pPr>
        <w:pStyle w:val="FootnoteText"/>
      </w:pPr>
      <w:r>
        <w:rPr>
          <w:rStyle w:val="FootnoteReference"/>
        </w:rPr>
        <w:footnoteRef/>
      </w:r>
      <w:r>
        <w:rPr>
          <w:rtl/>
        </w:rPr>
        <w:t xml:space="preserve"> </w:t>
      </w:r>
      <w:r w:rsidRPr="001D31C4">
        <w:t>Bertrand de Jouvenel</w:t>
      </w:r>
    </w:p>
  </w:footnote>
  <w:footnote w:id="954">
    <w:p w14:paraId="2BB80D04" w14:textId="77777777" w:rsidR="00B47FF5" w:rsidRDefault="00B47FF5" w:rsidP="0020732A">
      <w:pPr>
        <w:pStyle w:val="FootnoteText"/>
      </w:pPr>
      <w:r>
        <w:rPr>
          <w:rStyle w:val="FootnoteReference"/>
        </w:rPr>
        <w:footnoteRef/>
      </w:r>
      <w:r>
        <w:rPr>
          <w:rtl/>
        </w:rPr>
        <w:t xml:space="preserve"> </w:t>
      </w:r>
      <w:r w:rsidRPr="00091489">
        <w:t>The Image of the Future</w:t>
      </w:r>
    </w:p>
  </w:footnote>
  <w:footnote w:id="955">
    <w:p w14:paraId="4ED80AB9" w14:textId="77777777" w:rsidR="00B47FF5" w:rsidRDefault="00B47FF5" w:rsidP="0020732A">
      <w:pPr>
        <w:pStyle w:val="FootnoteText"/>
      </w:pPr>
      <w:r>
        <w:rPr>
          <w:rStyle w:val="FootnoteReference"/>
        </w:rPr>
        <w:footnoteRef/>
      </w:r>
      <w:r>
        <w:rPr>
          <w:rtl/>
        </w:rPr>
        <w:t xml:space="preserve"> </w:t>
      </w:r>
      <w:r w:rsidRPr="001D31C4">
        <w:t>Fred Polak</w:t>
      </w:r>
    </w:p>
  </w:footnote>
  <w:footnote w:id="956">
    <w:p w14:paraId="512044DB" w14:textId="77777777" w:rsidR="00B47FF5" w:rsidRDefault="00B47FF5" w:rsidP="0020732A">
      <w:pPr>
        <w:pStyle w:val="FootnoteText"/>
      </w:pPr>
      <w:r>
        <w:rPr>
          <w:rStyle w:val="FootnoteReference"/>
        </w:rPr>
        <w:footnoteRef/>
      </w:r>
      <w:r>
        <w:rPr>
          <w:rtl/>
        </w:rPr>
        <w:t xml:space="preserve"> </w:t>
      </w:r>
      <w:r w:rsidRPr="001D31C4">
        <w:t>Peter Bishop</w:t>
      </w:r>
    </w:p>
  </w:footnote>
  <w:footnote w:id="957">
    <w:p w14:paraId="5DFE63BE" w14:textId="77777777" w:rsidR="00B47FF5" w:rsidRDefault="00B47FF5" w:rsidP="0020732A">
      <w:pPr>
        <w:pStyle w:val="FootnoteText"/>
      </w:pPr>
      <w:r>
        <w:rPr>
          <w:rStyle w:val="FootnoteReference"/>
        </w:rPr>
        <w:footnoteRef/>
      </w:r>
      <w:r>
        <w:rPr>
          <w:rtl/>
        </w:rPr>
        <w:t xml:space="preserve"> </w:t>
      </w:r>
      <w:r w:rsidRPr="00E65AC9">
        <w:t>Teach the Future</w:t>
      </w:r>
    </w:p>
  </w:footnote>
  <w:footnote w:id="958">
    <w:p w14:paraId="0345563B" w14:textId="77777777" w:rsidR="00B47FF5" w:rsidRDefault="00B47FF5" w:rsidP="0020732A">
      <w:pPr>
        <w:pStyle w:val="FootnoteText"/>
      </w:pPr>
      <w:r>
        <w:rPr>
          <w:rStyle w:val="FootnoteReference"/>
        </w:rPr>
        <w:footnoteRef/>
      </w:r>
      <w:r>
        <w:rPr>
          <w:rtl/>
        </w:rPr>
        <w:t xml:space="preserve"> </w:t>
      </w:r>
      <w:r w:rsidRPr="001D31C4">
        <w:t>John McHale</w:t>
      </w:r>
    </w:p>
  </w:footnote>
  <w:footnote w:id="959">
    <w:p w14:paraId="1609BF9F" w14:textId="77777777" w:rsidR="00B47FF5" w:rsidRDefault="00B47FF5" w:rsidP="0020732A">
      <w:pPr>
        <w:pStyle w:val="FootnoteText"/>
      </w:pPr>
      <w:r>
        <w:rPr>
          <w:rStyle w:val="FootnoteReference"/>
        </w:rPr>
        <w:footnoteRef/>
      </w:r>
      <w:r>
        <w:rPr>
          <w:rtl/>
        </w:rPr>
        <w:t xml:space="preserve"> </w:t>
      </w:r>
      <w:r w:rsidRPr="00E65AC9">
        <w:t>The Future of the Future</w:t>
      </w:r>
    </w:p>
  </w:footnote>
  <w:footnote w:id="960">
    <w:p w14:paraId="0F08F45C" w14:textId="77777777" w:rsidR="00B47FF5" w:rsidRDefault="00B47FF5" w:rsidP="0020732A">
      <w:pPr>
        <w:pStyle w:val="FootnoteText"/>
      </w:pPr>
      <w:r>
        <w:rPr>
          <w:rStyle w:val="FootnoteReference"/>
        </w:rPr>
        <w:footnoteRef/>
      </w:r>
      <w:r>
        <w:rPr>
          <w:rtl/>
        </w:rPr>
        <w:t xml:space="preserve"> </w:t>
      </w:r>
      <w:r w:rsidRPr="0019107B">
        <w:t>Reddit Futurology</w:t>
      </w:r>
    </w:p>
  </w:footnote>
  <w:footnote w:id="961">
    <w:p w14:paraId="65931D60" w14:textId="77777777" w:rsidR="00B47FF5" w:rsidRDefault="00B47FF5" w:rsidP="0020732A">
      <w:pPr>
        <w:pStyle w:val="FootnoteText"/>
      </w:pPr>
      <w:r>
        <w:rPr>
          <w:rStyle w:val="FootnoteReference"/>
        </w:rPr>
        <w:footnoteRef/>
      </w:r>
      <w:r>
        <w:rPr>
          <w:rtl/>
        </w:rPr>
        <w:t xml:space="preserve"> </w:t>
      </w:r>
      <w:r w:rsidRPr="00372FCA">
        <w:t>Open Source</w:t>
      </w:r>
    </w:p>
  </w:footnote>
  <w:footnote w:id="962">
    <w:p w14:paraId="57DACF4E" w14:textId="77777777" w:rsidR="00B47FF5" w:rsidRDefault="00B47FF5" w:rsidP="0020732A">
      <w:pPr>
        <w:pStyle w:val="FootnoteText"/>
      </w:pPr>
      <w:r>
        <w:rPr>
          <w:rStyle w:val="FootnoteReference"/>
        </w:rPr>
        <w:footnoteRef/>
      </w:r>
      <w:r>
        <w:rPr>
          <w:rtl/>
        </w:rPr>
        <w:t xml:space="preserve"> </w:t>
      </w:r>
      <w:r w:rsidRPr="0019107B">
        <w:t>GitHub</w:t>
      </w:r>
    </w:p>
  </w:footnote>
  <w:footnote w:id="963">
    <w:p w14:paraId="004FBE9A" w14:textId="50953983" w:rsidR="00B47FF5" w:rsidRDefault="00B47FF5" w:rsidP="0020732A">
      <w:pPr>
        <w:pStyle w:val="FootnoteText"/>
      </w:pPr>
      <w:r>
        <w:rPr>
          <w:rStyle w:val="FootnoteReference"/>
        </w:rPr>
        <w:footnoteRef/>
      </w:r>
      <w:r>
        <w:rPr>
          <w:rtl/>
        </w:rPr>
        <w:t xml:space="preserve"> </w:t>
      </w:r>
      <w:r>
        <w:t>Smart contracts</w:t>
      </w:r>
    </w:p>
  </w:footnote>
  <w:footnote w:id="964">
    <w:p w14:paraId="0E4FD691" w14:textId="407BD159" w:rsidR="00B47FF5" w:rsidRDefault="00B47FF5" w:rsidP="0020732A">
      <w:pPr>
        <w:pStyle w:val="FootnoteText"/>
      </w:pPr>
      <w:r>
        <w:rPr>
          <w:rStyle w:val="FootnoteReference"/>
        </w:rPr>
        <w:footnoteRef/>
      </w:r>
      <w:r>
        <w:rPr>
          <w:rtl/>
        </w:rPr>
        <w:t xml:space="preserve"> </w:t>
      </w:r>
      <w:r>
        <w:t>General abundance</w:t>
      </w:r>
    </w:p>
  </w:footnote>
  <w:footnote w:id="965">
    <w:p w14:paraId="27E72A22" w14:textId="77777777" w:rsidR="00B47FF5" w:rsidRDefault="00B47FF5" w:rsidP="0020732A">
      <w:pPr>
        <w:pStyle w:val="FootnoteText"/>
      </w:pPr>
      <w:r>
        <w:rPr>
          <w:rStyle w:val="FootnoteReference"/>
        </w:rPr>
        <w:footnoteRef/>
      </w:r>
      <w:r>
        <w:rPr>
          <w:rtl/>
        </w:rPr>
        <w:t xml:space="preserve"> </w:t>
      </w:r>
      <w:r w:rsidRPr="00B51257">
        <w:t>John Kasson</w:t>
      </w:r>
    </w:p>
  </w:footnote>
  <w:footnote w:id="966">
    <w:p w14:paraId="6A4817B2" w14:textId="4EFBE103" w:rsidR="00B47FF5" w:rsidRDefault="00B47FF5" w:rsidP="0020732A">
      <w:pPr>
        <w:pStyle w:val="FootnoteText"/>
      </w:pPr>
      <w:r>
        <w:rPr>
          <w:rStyle w:val="FootnoteReference"/>
        </w:rPr>
        <w:footnoteRef/>
      </w:r>
      <w:r>
        <w:rPr>
          <w:rtl/>
        </w:rPr>
        <w:t xml:space="preserve"> </w:t>
      </w:r>
      <w:r>
        <w:t>Regression</w:t>
      </w:r>
    </w:p>
  </w:footnote>
  <w:footnote w:id="967">
    <w:p w14:paraId="6AC206AA" w14:textId="3FAC66F4" w:rsidR="00B47FF5" w:rsidRDefault="00B47FF5" w:rsidP="0020732A">
      <w:pPr>
        <w:pStyle w:val="FootnoteText"/>
      </w:pPr>
      <w:r>
        <w:rPr>
          <w:rStyle w:val="FootnoteReference"/>
        </w:rPr>
        <w:footnoteRef/>
      </w:r>
      <w:r>
        <w:rPr>
          <w:rtl/>
        </w:rPr>
        <w:t xml:space="preserve"> </w:t>
      </w:r>
      <w:r>
        <w:t>Antifragility</w:t>
      </w:r>
    </w:p>
  </w:footnote>
  <w:footnote w:id="968">
    <w:p w14:paraId="3086A364" w14:textId="77777777" w:rsidR="00B47FF5" w:rsidRDefault="00B47FF5" w:rsidP="0020732A">
      <w:pPr>
        <w:pStyle w:val="FootnoteText"/>
      </w:pPr>
      <w:r>
        <w:rPr>
          <w:rStyle w:val="FootnoteReference"/>
        </w:rPr>
        <w:footnoteRef/>
      </w:r>
      <w:r>
        <w:rPr>
          <w:rtl/>
        </w:rPr>
        <w:t xml:space="preserve"> </w:t>
      </w:r>
      <w:r w:rsidRPr="00B51257">
        <w:t>Carl Sagan</w:t>
      </w:r>
    </w:p>
  </w:footnote>
  <w:footnote w:id="969">
    <w:p w14:paraId="383701EE" w14:textId="30734420" w:rsidR="00B47FF5" w:rsidRDefault="00B47FF5" w:rsidP="0020732A">
      <w:pPr>
        <w:pStyle w:val="FootnoteText"/>
      </w:pPr>
      <w:r>
        <w:rPr>
          <w:rStyle w:val="FootnoteReference"/>
        </w:rPr>
        <w:footnoteRef/>
      </w:r>
      <w:r>
        <w:rPr>
          <w:rtl/>
        </w:rPr>
        <w:t xml:space="preserve"> </w:t>
      </w:r>
      <w:r w:rsidRPr="001B58D4">
        <w:t>Massive parallelism</w:t>
      </w:r>
    </w:p>
  </w:footnote>
  <w:footnote w:id="970">
    <w:p w14:paraId="5B6390D8" w14:textId="77777777" w:rsidR="00B47FF5" w:rsidRDefault="00B47FF5" w:rsidP="00537CC8">
      <w:pPr>
        <w:pStyle w:val="FootnoteText"/>
      </w:pPr>
      <w:r>
        <w:rPr>
          <w:rStyle w:val="FootnoteReference"/>
        </w:rPr>
        <w:footnoteRef/>
      </w:r>
      <w:r>
        <w:rPr>
          <w:rtl/>
        </w:rPr>
        <w:t xml:space="preserve"> </w:t>
      </w:r>
      <w:r w:rsidRPr="004966D6">
        <w:t>Age of Enlightenment</w:t>
      </w:r>
    </w:p>
  </w:footnote>
  <w:footnote w:id="971">
    <w:p w14:paraId="15B886BD" w14:textId="7B440A63" w:rsidR="00B47FF5" w:rsidRDefault="00B47FF5" w:rsidP="00537CC8">
      <w:pPr>
        <w:pStyle w:val="FootnoteText"/>
      </w:pPr>
      <w:r>
        <w:rPr>
          <w:rStyle w:val="FootnoteReference"/>
        </w:rPr>
        <w:footnoteRef/>
      </w:r>
      <w:r>
        <w:rPr>
          <w:rtl/>
        </w:rPr>
        <w:t xml:space="preserve"> </w:t>
      </w:r>
      <w:r>
        <w:t>Egalitarianism</w:t>
      </w:r>
    </w:p>
  </w:footnote>
  <w:footnote w:id="972">
    <w:p w14:paraId="6315B316" w14:textId="77777777" w:rsidR="00B47FF5" w:rsidRDefault="00B47FF5" w:rsidP="00537CC8">
      <w:pPr>
        <w:pStyle w:val="FootnoteText"/>
      </w:pPr>
      <w:r>
        <w:rPr>
          <w:rStyle w:val="FootnoteReference"/>
        </w:rPr>
        <w:footnoteRef/>
      </w:r>
      <w:r>
        <w:rPr>
          <w:rtl/>
        </w:rPr>
        <w:t xml:space="preserve"> </w:t>
      </w:r>
      <w:r w:rsidRPr="00D80577">
        <w:t>Baruch Spinoza</w:t>
      </w:r>
    </w:p>
  </w:footnote>
  <w:footnote w:id="973">
    <w:p w14:paraId="52843632" w14:textId="0E438CA6" w:rsidR="00B47FF5" w:rsidRDefault="00B47FF5" w:rsidP="00537CC8">
      <w:pPr>
        <w:pStyle w:val="FootnoteText"/>
      </w:pPr>
      <w:r>
        <w:rPr>
          <w:rStyle w:val="FootnoteReference"/>
        </w:rPr>
        <w:footnoteRef/>
      </w:r>
      <w:r>
        <w:rPr>
          <w:rtl/>
        </w:rPr>
        <w:t xml:space="preserve"> </w:t>
      </w:r>
      <w:r>
        <w:t>Skepticism</w:t>
      </w:r>
    </w:p>
  </w:footnote>
  <w:footnote w:id="974">
    <w:p w14:paraId="352008E3" w14:textId="77777777" w:rsidR="00B47FF5" w:rsidRDefault="00B47FF5" w:rsidP="00537CC8">
      <w:pPr>
        <w:pStyle w:val="FootnoteText"/>
      </w:pPr>
      <w:r>
        <w:rPr>
          <w:rStyle w:val="FootnoteReference"/>
        </w:rPr>
        <w:footnoteRef/>
      </w:r>
      <w:r>
        <w:rPr>
          <w:rtl/>
        </w:rPr>
        <w:t xml:space="preserve"> </w:t>
      </w:r>
      <w:r w:rsidRPr="004966D6">
        <w:t>Spinoza</w:t>
      </w:r>
    </w:p>
  </w:footnote>
  <w:footnote w:id="975">
    <w:p w14:paraId="2901B572" w14:textId="77777777" w:rsidR="00B47FF5" w:rsidRDefault="00B47FF5" w:rsidP="00537CC8">
      <w:pPr>
        <w:pStyle w:val="FootnoteText"/>
      </w:pPr>
      <w:r>
        <w:rPr>
          <w:rStyle w:val="FootnoteReference"/>
        </w:rPr>
        <w:footnoteRef/>
      </w:r>
      <w:r>
        <w:rPr>
          <w:rtl/>
        </w:rPr>
        <w:t xml:space="preserve"> </w:t>
      </w:r>
      <w:r w:rsidRPr="00D80577">
        <w:t>Steven Nadler</w:t>
      </w:r>
    </w:p>
  </w:footnote>
  <w:footnote w:id="976">
    <w:p w14:paraId="419AAD1B" w14:textId="378AE978" w:rsidR="00B47FF5" w:rsidRDefault="00B47FF5" w:rsidP="00537CC8">
      <w:pPr>
        <w:pStyle w:val="FootnoteText"/>
      </w:pPr>
      <w:r>
        <w:rPr>
          <w:rStyle w:val="FootnoteReference"/>
        </w:rPr>
        <w:footnoteRef/>
      </w:r>
      <w:r>
        <w:rPr>
          <w:rtl/>
        </w:rPr>
        <w:t xml:space="preserve"> </w:t>
      </w:r>
      <w:r w:rsidRPr="004966D6">
        <w:t>Inductive reasoning</w:t>
      </w:r>
    </w:p>
  </w:footnote>
  <w:footnote w:id="977">
    <w:p w14:paraId="65EFC4B7" w14:textId="576F1771" w:rsidR="00B47FF5" w:rsidRDefault="00B47FF5" w:rsidP="00537CC8">
      <w:pPr>
        <w:pStyle w:val="FootnoteText"/>
      </w:pPr>
      <w:r>
        <w:rPr>
          <w:rStyle w:val="FootnoteReference"/>
        </w:rPr>
        <w:footnoteRef/>
      </w:r>
      <w:r>
        <w:rPr>
          <w:rtl/>
        </w:rPr>
        <w:t xml:space="preserve"> </w:t>
      </w:r>
      <w:r>
        <w:t>General rule</w:t>
      </w:r>
    </w:p>
  </w:footnote>
  <w:footnote w:id="978">
    <w:p w14:paraId="3A5A8D80" w14:textId="3E2C683A" w:rsidR="00B47FF5" w:rsidRDefault="00B47FF5" w:rsidP="00537CC8">
      <w:pPr>
        <w:pStyle w:val="FootnoteText"/>
      </w:pPr>
      <w:r>
        <w:rPr>
          <w:rStyle w:val="FootnoteReference"/>
        </w:rPr>
        <w:footnoteRef/>
      </w:r>
      <w:r>
        <w:rPr>
          <w:rtl/>
        </w:rPr>
        <w:t xml:space="preserve"> </w:t>
      </w:r>
      <w:r>
        <w:t>Upward</w:t>
      </w:r>
    </w:p>
  </w:footnote>
  <w:footnote w:id="979">
    <w:p w14:paraId="3EF34C5B" w14:textId="77777777" w:rsidR="00B47FF5" w:rsidRDefault="00B47FF5" w:rsidP="00537CC8">
      <w:pPr>
        <w:pStyle w:val="FootnoteText"/>
      </w:pPr>
      <w:r>
        <w:rPr>
          <w:rStyle w:val="FootnoteReference"/>
        </w:rPr>
        <w:footnoteRef/>
      </w:r>
      <w:r>
        <w:rPr>
          <w:rtl/>
        </w:rPr>
        <w:t xml:space="preserve"> </w:t>
      </w:r>
      <w:r w:rsidRPr="00D80577">
        <w:t>Blaise Pascal</w:t>
      </w:r>
    </w:p>
  </w:footnote>
  <w:footnote w:id="980">
    <w:p w14:paraId="16C50545" w14:textId="77777777" w:rsidR="00B47FF5" w:rsidRDefault="00B47FF5" w:rsidP="00537CC8">
      <w:pPr>
        <w:pStyle w:val="FootnoteText"/>
      </w:pPr>
      <w:r>
        <w:rPr>
          <w:rStyle w:val="FootnoteReference"/>
        </w:rPr>
        <w:footnoteRef/>
      </w:r>
      <w:r>
        <w:rPr>
          <w:rtl/>
        </w:rPr>
        <w:t xml:space="preserve"> </w:t>
      </w:r>
      <w:r w:rsidRPr="00D80577">
        <w:t>Pierre de Fermat</w:t>
      </w:r>
    </w:p>
  </w:footnote>
  <w:footnote w:id="981">
    <w:p w14:paraId="1F67E31D" w14:textId="77777777" w:rsidR="00B47FF5" w:rsidRDefault="00B47FF5" w:rsidP="00537CC8">
      <w:pPr>
        <w:pStyle w:val="FootnoteText"/>
      </w:pPr>
      <w:r>
        <w:rPr>
          <w:rStyle w:val="FootnoteReference"/>
        </w:rPr>
        <w:footnoteRef/>
      </w:r>
      <w:r>
        <w:rPr>
          <w:rtl/>
        </w:rPr>
        <w:t xml:space="preserve"> </w:t>
      </w:r>
      <w:r w:rsidRPr="009832F9">
        <w:t>On Reasoning in Games of Chance</w:t>
      </w:r>
    </w:p>
  </w:footnote>
  <w:footnote w:id="982">
    <w:p w14:paraId="6F80881A" w14:textId="77777777" w:rsidR="00B47FF5" w:rsidRDefault="00B47FF5" w:rsidP="00537CC8">
      <w:pPr>
        <w:pStyle w:val="FootnoteText"/>
      </w:pPr>
      <w:r>
        <w:rPr>
          <w:rStyle w:val="FootnoteReference"/>
        </w:rPr>
        <w:footnoteRef/>
      </w:r>
      <w:r>
        <w:rPr>
          <w:rtl/>
        </w:rPr>
        <w:t xml:space="preserve"> </w:t>
      </w:r>
      <w:r w:rsidRPr="00D80577">
        <w:t>Hugyens</w:t>
      </w:r>
    </w:p>
  </w:footnote>
  <w:footnote w:id="983">
    <w:p w14:paraId="30F252F8" w14:textId="77777777" w:rsidR="00B47FF5" w:rsidRDefault="00B47FF5" w:rsidP="00537CC8">
      <w:pPr>
        <w:pStyle w:val="FootnoteText"/>
      </w:pPr>
      <w:r>
        <w:rPr>
          <w:rStyle w:val="FootnoteReference"/>
        </w:rPr>
        <w:footnoteRef/>
      </w:r>
      <w:r>
        <w:rPr>
          <w:rtl/>
        </w:rPr>
        <w:t xml:space="preserve"> </w:t>
      </w:r>
      <w:r w:rsidRPr="009832F9">
        <w:t>Book on Games of Chance</w:t>
      </w:r>
    </w:p>
  </w:footnote>
  <w:footnote w:id="984">
    <w:p w14:paraId="5B65C1F1" w14:textId="77777777" w:rsidR="00B47FF5" w:rsidRDefault="00B47FF5" w:rsidP="00537CC8">
      <w:pPr>
        <w:pStyle w:val="FootnoteText"/>
      </w:pPr>
      <w:r>
        <w:rPr>
          <w:rStyle w:val="FootnoteReference"/>
        </w:rPr>
        <w:footnoteRef/>
      </w:r>
      <w:r>
        <w:rPr>
          <w:rtl/>
        </w:rPr>
        <w:t xml:space="preserve"> </w:t>
      </w:r>
      <w:r w:rsidRPr="00D80577">
        <w:t>Cardano</w:t>
      </w:r>
    </w:p>
  </w:footnote>
  <w:footnote w:id="985">
    <w:p w14:paraId="69CE3030" w14:textId="77777777" w:rsidR="00B47FF5" w:rsidRDefault="00B47FF5" w:rsidP="00537CC8">
      <w:pPr>
        <w:pStyle w:val="FootnoteText"/>
      </w:pPr>
      <w:r>
        <w:rPr>
          <w:rStyle w:val="FootnoteReference"/>
        </w:rPr>
        <w:footnoteRef/>
      </w:r>
      <w:r>
        <w:rPr>
          <w:rtl/>
        </w:rPr>
        <w:t xml:space="preserve"> </w:t>
      </w:r>
      <w:r w:rsidRPr="009832F9">
        <w:t>The Art of Conjecturing</w:t>
      </w:r>
    </w:p>
  </w:footnote>
  <w:footnote w:id="986">
    <w:p w14:paraId="261B8206" w14:textId="77777777" w:rsidR="00B47FF5" w:rsidRDefault="00B47FF5" w:rsidP="00537CC8">
      <w:pPr>
        <w:pStyle w:val="FootnoteText"/>
      </w:pPr>
      <w:r>
        <w:rPr>
          <w:rStyle w:val="FootnoteReference"/>
        </w:rPr>
        <w:footnoteRef/>
      </w:r>
      <w:r>
        <w:rPr>
          <w:rtl/>
        </w:rPr>
        <w:t xml:space="preserve"> </w:t>
      </w:r>
      <w:r w:rsidRPr="00D80577">
        <w:t>Bernoulli</w:t>
      </w:r>
    </w:p>
  </w:footnote>
  <w:footnote w:id="987">
    <w:p w14:paraId="0857D8D4" w14:textId="47F6C6F6" w:rsidR="00B47FF5" w:rsidRDefault="00B47FF5" w:rsidP="00537CC8">
      <w:pPr>
        <w:pStyle w:val="FootnoteText"/>
      </w:pPr>
      <w:r>
        <w:rPr>
          <w:rStyle w:val="FootnoteReference"/>
        </w:rPr>
        <w:footnoteRef/>
      </w:r>
      <w:r>
        <w:rPr>
          <w:rtl/>
        </w:rPr>
        <w:t xml:space="preserve"> </w:t>
      </w:r>
      <w:r>
        <w:t>Millennia</w:t>
      </w:r>
    </w:p>
  </w:footnote>
  <w:footnote w:id="988">
    <w:p w14:paraId="2D25FCC8" w14:textId="4A753A60" w:rsidR="00B47FF5" w:rsidRDefault="00B47FF5" w:rsidP="00537CC8">
      <w:pPr>
        <w:pStyle w:val="FootnoteText"/>
      </w:pPr>
      <w:r>
        <w:rPr>
          <w:rStyle w:val="FootnoteReference"/>
        </w:rPr>
        <w:footnoteRef/>
      </w:r>
      <w:r>
        <w:rPr>
          <w:rtl/>
        </w:rPr>
        <w:t xml:space="preserve"> </w:t>
      </w:r>
      <w:r>
        <w:t>Deduction</w:t>
      </w:r>
    </w:p>
  </w:footnote>
  <w:footnote w:id="989">
    <w:p w14:paraId="255F4E3D" w14:textId="5AD50532" w:rsidR="00B47FF5" w:rsidRDefault="00B47FF5" w:rsidP="00537CC8">
      <w:pPr>
        <w:pStyle w:val="FootnoteText"/>
      </w:pPr>
      <w:r>
        <w:rPr>
          <w:rStyle w:val="FootnoteReference"/>
        </w:rPr>
        <w:footnoteRef/>
      </w:r>
      <w:r>
        <w:rPr>
          <w:rtl/>
        </w:rPr>
        <w:t xml:space="preserve"> </w:t>
      </w:r>
      <w:r w:rsidRPr="00FE7318">
        <w:t>Empiricism</w:t>
      </w:r>
    </w:p>
  </w:footnote>
  <w:footnote w:id="990">
    <w:p w14:paraId="54493BDF" w14:textId="0EF73521" w:rsidR="00B47FF5" w:rsidRDefault="00B47FF5" w:rsidP="00537CC8">
      <w:pPr>
        <w:pStyle w:val="FootnoteText"/>
      </w:pPr>
      <w:r>
        <w:rPr>
          <w:rStyle w:val="FootnoteReference"/>
        </w:rPr>
        <w:footnoteRef/>
      </w:r>
      <w:r>
        <w:rPr>
          <w:rtl/>
        </w:rPr>
        <w:t xml:space="preserve"> </w:t>
      </w:r>
      <w:r>
        <w:t>Utility</w:t>
      </w:r>
    </w:p>
  </w:footnote>
  <w:footnote w:id="991">
    <w:p w14:paraId="188ABF51" w14:textId="77777777" w:rsidR="00B47FF5" w:rsidRDefault="00B47FF5" w:rsidP="00537CC8">
      <w:pPr>
        <w:pStyle w:val="FootnoteText"/>
      </w:pPr>
      <w:r>
        <w:rPr>
          <w:rStyle w:val="FootnoteReference"/>
        </w:rPr>
        <w:footnoteRef/>
      </w:r>
      <w:r>
        <w:rPr>
          <w:rtl/>
        </w:rPr>
        <w:t xml:space="preserve"> </w:t>
      </w:r>
      <w:r w:rsidRPr="00FE7318">
        <w:t>Isaac Newton</w:t>
      </w:r>
    </w:p>
  </w:footnote>
  <w:footnote w:id="992">
    <w:p w14:paraId="1DDA5015" w14:textId="0A74E0F5" w:rsidR="00B47FF5" w:rsidRDefault="00B47FF5" w:rsidP="00537CC8">
      <w:pPr>
        <w:pStyle w:val="FootnoteText"/>
      </w:pPr>
      <w:r>
        <w:rPr>
          <w:rStyle w:val="FootnoteReference"/>
        </w:rPr>
        <w:footnoteRef/>
      </w:r>
      <w:r>
        <w:rPr>
          <w:rtl/>
        </w:rPr>
        <w:t xml:space="preserve"> </w:t>
      </w:r>
      <w:r>
        <w:t>Mathematics of change</w:t>
      </w:r>
    </w:p>
  </w:footnote>
  <w:footnote w:id="993">
    <w:p w14:paraId="5B3EFE4F" w14:textId="77777777" w:rsidR="00B47FF5" w:rsidRDefault="00B47FF5" w:rsidP="00537CC8">
      <w:pPr>
        <w:pStyle w:val="FootnoteText"/>
      </w:pPr>
      <w:r>
        <w:rPr>
          <w:rStyle w:val="FootnoteReference"/>
        </w:rPr>
        <w:footnoteRef/>
      </w:r>
      <w:r>
        <w:rPr>
          <w:rtl/>
        </w:rPr>
        <w:t xml:space="preserve"> </w:t>
      </w:r>
      <w:r w:rsidRPr="00FE7318">
        <w:t>Principia Mathematica</w:t>
      </w:r>
    </w:p>
  </w:footnote>
  <w:footnote w:id="994">
    <w:p w14:paraId="1AAEFDE2" w14:textId="6FCA8FAC" w:rsidR="00B47FF5" w:rsidRDefault="00B47FF5" w:rsidP="00537CC8">
      <w:pPr>
        <w:pStyle w:val="FootnoteText"/>
      </w:pPr>
      <w:r>
        <w:rPr>
          <w:rStyle w:val="FootnoteReference"/>
        </w:rPr>
        <w:footnoteRef/>
      </w:r>
      <w:r>
        <w:rPr>
          <w:rtl/>
        </w:rPr>
        <w:t xml:space="preserve"> </w:t>
      </w:r>
      <w:r w:rsidRPr="00FE7318">
        <w:t>Probabilistic explanations</w:t>
      </w:r>
    </w:p>
  </w:footnote>
  <w:footnote w:id="995">
    <w:p w14:paraId="464E9121" w14:textId="77777777" w:rsidR="00B47FF5" w:rsidRDefault="00B47FF5" w:rsidP="00537CC8">
      <w:pPr>
        <w:pStyle w:val="FootnoteText"/>
      </w:pPr>
      <w:r>
        <w:rPr>
          <w:rStyle w:val="FootnoteReference"/>
        </w:rPr>
        <w:footnoteRef/>
      </w:r>
      <w:r>
        <w:rPr>
          <w:rtl/>
        </w:rPr>
        <w:t xml:space="preserve"> </w:t>
      </w:r>
      <w:r w:rsidRPr="00FE7318">
        <w:t>Enlightenment optimism</w:t>
      </w:r>
    </w:p>
  </w:footnote>
  <w:footnote w:id="996">
    <w:p w14:paraId="4F228A83" w14:textId="77777777" w:rsidR="00B47FF5" w:rsidRDefault="00B47FF5" w:rsidP="00537CC8">
      <w:pPr>
        <w:pStyle w:val="FootnoteText"/>
      </w:pPr>
      <w:r>
        <w:rPr>
          <w:rStyle w:val="FootnoteReference"/>
        </w:rPr>
        <w:footnoteRef/>
      </w:r>
      <w:r>
        <w:rPr>
          <w:rtl/>
        </w:rPr>
        <w:t xml:space="preserve"> </w:t>
      </w:r>
      <w:r w:rsidRPr="00D80577">
        <w:t>Louis Mercer</w:t>
      </w:r>
    </w:p>
  </w:footnote>
  <w:footnote w:id="997">
    <w:p w14:paraId="7B28902A" w14:textId="77777777" w:rsidR="00B47FF5" w:rsidRDefault="00B47FF5" w:rsidP="00537CC8">
      <w:pPr>
        <w:pStyle w:val="FootnoteText"/>
      </w:pPr>
      <w:r>
        <w:rPr>
          <w:rStyle w:val="FootnoteReference"/>
        </w:rPr>
        <w:footnoteRef/>
      </w:r>
      <w:r>
        <w:rPr>
          <w:rtl/>
        </w:rPr>
        <w:t xml:space="preserve"> </w:t>
      </w:r>
      <w:r w:rsidRPr="00FE7318">
        <w:t>The Year 2440</w:t>
      </w:r>
    </w:p>
  </w:footnote>
  <w:footnote w:id="998">
    <w:p w14:paraId="5E2F8D86" w14:textId="77777777" w:rsidR="00B47FF5" w:rsidRDefault="00B47FF5" w:rsidP="00537CC8">
      <w:pPr>
        <w:pStyle w:val="FootnoteText"/>
      </w:pPr>
      <w:r>
        <w:rPr>
          <w:rStyle w:val="FootnoteReference"/>
        </w:rPr>
        <w:footnoteRef/>
      </w:r>
      <w:r>
        <w:rPr>
          <w:rtl/>
        </w:rPr>
        <w:t xml:space="preserve"> </w:t>
      </w:r>
      <w:r w:rsidRPr="00E625E7">
        <w:t>First Industrial Revolution</w:t>
      </w:r>
    </w:p>
  </w:footnote>
  <w:footnote w:id="999">
    <w:p w14:paraId="615527AB" w14:textId="3C8C0345" w:rsidR="00B47FF5" w:rsidRDefault="00B47FF5" w:rsidP="00537CC8">
      <w:pPr>
        <w:pStyle w:val="FootnoteText"/>
      </w:pPr>
      <w:r>
        <w:rPr>
          <w:rStyle w:val="FootnoteReference"/>
        </w:rPr>
        <w:footnoteRef/>
      </w:r>
      <w:r>
        <w:rPr>
          <w:rtl/>
        </w:rPr>
        <w:t xml:space="preserve"> </w:t>
      </w:r>
      <w:r w:rsidRPr="00E625E7">
        <w:t>Candidate</w:t>
      </w:r>
    </w:p>
  </w:footnote>
  <w:footnote w:id="1000">
    <w:p w14:paraId="1ADFAABB" w14:textId="2FCDDA28" w:rsidR="00B47FF5" w:rsidRDefault="00B47FF5" w:rsidP="00537CC8">
      <w:pPr>
        <w:pStyle w:val="FootnoteText"/>
      </w:pPr>
      <w:r>
        <w:rPr>
          <w:rStyle w:val="FootnoteReference"/>
        </w:rPr>
        <w:footnoteRef/>
      </w:r>
      <w:r>
        <w:rPr>
          <w:rtl/>
        </w:rPr>
        <w:t xml:space="preserve"> </w:t>
      </w:r>
      <w:r>
        <w:t>Statistician</w:t>
      </w:r>
    </w:p>
  </w:footnote>
  <w:footnote w:id="1001">
    <w:p w14:paraId="11A59916" w14:textId="77777777" w:rsidR="00B47FF5" w:rsidRDefault="00B47FF5" w:rsidP="00537CC8">
      <w:pPr>
        <w:pStyle w:val="FootnoteText"/>
      </w:pPr>
      <w:r>
        <w:rPr>
          <w:rStyle w:val="FootnoteReference"/>
        </w:rPr>
        <w:footnoteRef/>
      </w:r>
      <w:r>
        <w:rPr>
          <w:rtl/>
        </w:rPr>
        <w:t xml:space="preserve"> </w:t>
      </w:r>
      <w:r w:rsidRPr="00D80577">
        <w:t>Adolphe Quetelet</w:t>
      </w:r>
    </w:p>
  </w:footnote>
  <w:footnote w:id="1002">
    <w:p w14:paraId="18EE899B" w14:textId="77777777" w:rsidR="00B47FF5" w:rsidRDefault="00B47FF5" w:rsidP="00537CC8">
      <w:pPr>
        <w:pStyle w:val="FootnoteText"/>
      </w:pPr>
      <w:r>
        <w:rPr>
          <w:rStyle w:val="FootnoteReference"/>
        </w:rPr>
        <w:footnoteRef/>
      </w:r>
      <w:r>
        <w:rPr>
          <w:rtl/>
        </w:rPr>
        <w:t xml:space="preserve"> </w:t>
      </w:r>
      <w:r w:rsidRPr="00E625E7">
        <w:t>Treatise on Man</w:t>
      </w:r>
    </w:p>
  </w:footnote>
  <w:footnote w:id="1003">
    <w:p w14:paraId="1221C405" w14:textId="344FDC0C" w:rsidR="00B47FF5" w:rsidRDefault="00B47FF5" w:rsidP="00537CC8">
      <w:pPr>
        <w:pStyle w:val="FootnoteText"/>
      </w:pPr>
      <w:r>
        <w:rPr>
          <w:rStyle w:val="FootnoteReference"/>
        </w:rPr>
        <w:footnoteRef/>
      </w:r>
      <w:r>
        <w:rPr>
          <w:rtl/>
        </w:rPr>
        <w:t xml:space="preserve"> </w:t>
      </w:r>
      <w:r>
        <w:t>Social physics</w:t>
      </w:r>
    </w:p>
  </w:footnote>
  <w:footnote w:id="1004">
    <w:p w14:paraId="3469BCF3" w14:textId="624B7613" w:rsidR="00B47FF5" w:rsidRDefault="00B47FF5" w:rsidP="00537CC8">
      <w:pPr>
        <w:pStyle w:val="FootnoteText"/>
      </w:pPr>
      <w:r>
        <w:rPr>
          <w:rStyle w:val="FootnoteReference"/>
        </w:rPr>
        <w:footnoteRef/>
      </w:r>
      <w:r>
        <w:rPr>
          <w:rtl/>
        </w:rPr>
        <w:t xml:space="preserve"> </w:t>
      </w:r>
      <w:r w:rsidRPr="00E625E7">
        <w:t>Sociology</w:t>
      </w:r>
    </w:p>
  </w:footnote>
  <w:footnote w:id="1005">
    <w:p w14:paraId="5782748B" w14:textId="4575BF5E" w:rsidR="00B47FF5" w:rsidRDefault="00B47FF5" w:rsidP="00537CC8">
      <w:pPr>
        <w:pStyle w:val="FootnoteText"/>
      </w:pPr>
      <w:r>
        <w:rPr>
          <w:rStyle w:val="FootnoteReference"/>
        </w:rPr>
        <w:footnoteRef/>
      </w:r>
      <w:r>
        <w:rPr>
          <w:rtl/>
        </w:rPr>
        <w:t xml:space="preserve"> </w:t>
      </w:r>
      <w:r w:rsidRPr="00E625E7">
        <w:t>Average human</w:t>
      </w:r>
    </w:p>
  </w:footnote>
  <w:footnote w:id="1006">
    <w:p w14:paraId="42BDD02A" w14:textId="77777777" w:rsidR="00B47FF5" w:rsidRDefault="00B47FF5" w:rsidP="00537CC8">
      <w:pPr>
        <w:pStyle w:val="FootnoteText"/>
      </w:pPr>
      <w:r>
        <w:rPr>
          <w:rStyle w:val="FootnoteReference"/>
        </w:rPr>
        <w:footnoteRef/>
      </w:r>
      <w:r>
        <w:rPr>
          <w:rtl/>
        </w:rPr>
        <w:t xml:space="preserve"> </w:t>
      </w:r>
      <w:r w:rsidRPr="00D80577">
        <w:t>August Comte</w:t>
      </w:r>
    </w:p>
  </w:footnote>
  <w:footnote w:id="1007">
    <w:p w14:paraId="06E7A2AB" w14:textId="77777777" w:rsidR="00B47FF5" w:rsidRDefault="00B47FF5" w:rsidP="00537CC8">
      <w:pPr>
        <w:pStyle w:val="FootnoteText"/>
      </w:pPr>
      <w:r>
        <w:rPr>
          <w:rStyle w:val="FootnoteReference"/>
        </w:rPr>
        <w:footnoteRef/>
      </w:r>
      <w:r>
        <w:rPr>
          <w:rtl/>
        </w:rPr>
        <w:t xml:space="preserve"> </w:t>
      </w:r>
      <w:r w:rsidRPr="00E625E7">
        <w:t>Law of Three Stages</w:t>
      </w:r>
    </w:p>
  </w:footnote>
  <w:footnote w:id="1008">
    <w:p w14:paraId="7F583191" w14:textId="77777777" w:rsidR="00B47FF5" w:rsidRDefault="00B47FF5" w:rsidP="00537CC8">
      <w:pPr>
        <w:pStyle w:val="FootnoteText"/>
      </w:pPr>
      <w:r>
        <w:rPr>
          <w:rStyle w:val="FootnoteReference"/>
        </w:rPr>
        <w:footnoteRef/>
      </w:r>
      <w:r>
        <w:rPr>
          <w:rtl/>
        </w:rPr>
        <w:t xml:space="preserve"> </w:t>
      </w:r>
      <w:r>
        <w:t>Theological</w:t>
      </w:r>
    </w:p>
  </w:footnote>
  <w:footnote w:id="1009">
    <w:p w14:paraId="75727166" w14:textId="77777777" w:rsidR="00B47FF5" w:rsidRDefault="00B47FF5" w:rsidP="00537CC8">
      <w:pPr>
        <w:pStyle w:val="FootnoteText"/>
      </w:pPr>
      <w:r>
        <w:rPr>
          <w:rStyle w:val="FootnoteReference"/>
        </w:rPr>
        <w:footnoteRef/>
      </w:r>
      <w:r>
        <w:rPr>
          <w:rtl/>
        </w:rPr>
        <w:t xml:space="preserve"> </w:t>
      </w:r>
      <w:r>
        <w:t>Metaphysical</w:t>
      </w:r>
    </w:p>
  </w:footnote>
  <w:footnote w:id="1010">
    <w:p w14:paraId="42753B48" w14:textId="77777777" w:rsidR="00B47FF5" w:rsidRDefault="00B47FF5" w:rsidP="00537CC8">
      <w:pPr>
        <w:pStyle w:val="FootnoteText"/>
      </w:pPr>
      <w:r>
        <w:rPr>
          <w:rStyle w:val="FootnoteReference"/>
        </w:rPr>
        <w:footnoteRef/>
      </w:r>
      <w:r>
        <w:rPr>
          <w:rtl/>
        </w:rPr>
        <w:t xml:space="preserve"> </w:t>
      </w:r>
      <w:r w:rsidRPr="003D660D">
        <w:t>A General View of Positivism</w:t>
      </w:r>
    </w:p>
  </w:footnote>
  <w:footnote w:id="1011">
    <w:p w14:paraId="26702248" w14:textId="6B394D99" w:rsidR="00B47FF5" w:rsidRDefault="00B47FF5" w:rsidP="00537CC8">
      <w:pPr>
        <w:pStyle w:val="FootnoteText"/>
      </w:pPr>
      <w:r>
        <w:rPr>
          <w:rStyle w:val="FootnoteReference"/>
        </w:rPr>
        <w:footnoteRef/>
      </w:r>
      <w:r>
        <w:rPr>
          <w:rtl/>
        </w:rPr>
        <w:t xml:space="preserve"> </w:t>
      </w:r>
      <w:r>
        <w:t>Inductive uncertainty</w:t>
      </w:r>
    </w:p>
  </w:footnote>
  <w:footnote w:id="1012">
    <w:p w14:paraId="36DFF7ED" w14:textId="3B37160C" w:rsidR="00B47FF5" w:rsidRDefault="00B47FF5" w:rsidP="00537CC8">
      <w:pPr>
        <w:pStyle w:val="FootnoteText"/>
      </w:pPr>
      <w:r>
        <w:rPr>
          <w:rStyle w:val="FootnoteReference"/>
        </w:rPr>
        <w:footnoteRef/>
      </w:r>
      <w:r>
        <w:rPr>
          <w:rtl/>
        </w:rPr>
        <w:t xml:space="preserve"> </w:t>
      </w:r>
      <w:r>
        <w:t>Deductive certainty</w:t>
      </w:r>
    </w:p>
  </w:footnote>
  <w:footnote w:id="1013">
    <w:p w14:paraId="49371BC9" w14:textId="2CB1CAEC" w:rsidR="00B47FF5" w:rsidRDefault="00B47FF5" w:rsidP="00537CC8">
      <w:pPr>
        <w:pStyle w:val="FootnoteText"/>
      </w:pPr>
      <w:r>
        <w:rPr>
          <w:rStyle w:val="FootnoteReference"/>
        </w:rPr>
        <w:footnoteRef/>
      </w:r>
      <w:r>
        <w:rPr>
          <w:rtl/>
        </w:rPr>
        <w:t xml:space="preserve"> </w:t>
      </w:r>
      <w:r>
        <w:t>Rationality</w:t>
      </w:r>
    </w:p>
  </w:footnote>
  <w:footnote w:id="1014">
    <w:p w14:paraId="6231BBF1" w14:textId="2EBF054C" w:rsidR="00B47FF5" w:rsidRDefault="00B47FF5" w:rsidP="00537CC8">
      <w:pPr>
        <w:pStyle w:val="FootnoteText"/>
      </w:pPr>
      <w:r>
        <w:rPr>
          <w:rStyle w:val="FootnoteReference"/>
        </w:rPr>
        <w:footnoteRef/>
      </w:r>
      <w:r>
        <w:rPr>
          <w:rtl/>
        </w:rPr>
        <w:t xml:space="preserve"> </w:t>
      </w:r>
      <w:r>
        <w:t>Dual process theory</w:t>
      </w:r>
    </w:p>
  </w:footnote>
  <w:footnote w:id="1015">
    <w:p w14:paraId="29040929" w14:textId="77777777" w:rsidR="00B47FF5" w:rsidRDefault="00B47FF5" w:rsidP="00537CC8">
      <w:pPr>
        <w:pStyle w:val="FootnoteText"/>
      </w:pPr>
      <w:r>
        <w:rPr>
          <w:rStyle w:val="FootnoteReference"/>
        </w:rPr>
        <w:footnoteRef/>
      </w:r>
      <w:r>
        <w:rPr>
          <w:rtl/>
        </w:rPr>
        <w:t xml:space="preserve"> </w:t>
      </w:r>
      <w:r w:rsidRPr="005060CC">
        <w:t>Second Industrial Revolution</w:t>
      </w:r>
    </w:p>
  </w:footnote>
  <w:footnote w:id="1016">
    <w:p w14:paraId="1AE01FFF" w14:textId="00D44CE5" w:rsidR="00B47FF5" w:rsidRDefault="00B47FF5" w:rsidP="00537CC8">
      <w:pPr>
        <w:pStyle w:val="FootnoteText"/>
      </w:pPr>
      <w:r>
        <w:rPr>
          <w:rStyle w:val="FootnoteReference"/>
        </w:rPr>
        <w:footnoteRef/>
      </w:r>
      <w:r>
        <w:rPr>
          <w:rtl/>
        </w:rPr>
        <w:t xml:space="preserve"> </w:t>
      </w:r>
      <w:r w:rsidRPr="005060CC">
        <w:t>Electrification</w:t>
      </w:r>
    </w:p>
  </w:footnote>
  <w:footnote w:id="1017">
    <w:p w14:paraId="233832A9" w14:textId="77777777" w:rsidR="00B47FF5" w:rsidRDefault="00B47FF5" w:rsidP="00537CC8">
      <w:pPr>
        <w:pStyle w:val="FootnoteText"/>
      </w:pPr>
      <w:r>
        <w:rPr>
          <w:rStyle w:val="FootnoteReference"/>
        </w:rPr>
        <w:footnoteRef/>
      </w:r>
      <w:r>
        <w:rPr>
          <w:rtl/>
        </w:rPr>
        <w:t xml:space="preserve"> </w:t>
      </w:r>
      <w:r w:rsidRPr="00715582">
        <w:t>Standard Oil</w:t>
      </w:r>
    </w:p>
  </w:footnote>
  <w:footnote w:id="1018">
    <w:p w14:paraId="3DFC39A3" w14:textId="77777777" w:rsidR="00B47FF5" w:rsidRDefault="00B47FF5" w:rsidP="00537CC8">
      <w:pPr>
        <w:pStyle w:val="FootnoteText"/>
      </w:pPr>
      <w:r>
        <w:rPr>
          <w:rStyle w:val="FootnoteReference"/>
        </w:rPr>
        <w:footnoteRef/>
      </w:r>
      <w:r>
        <w:rPr>
          <w:rtl/>
        </w:rPr>
        <w:t xml:space="preserve"> </w:t>
      </w:r>
      <w:r w:rsidRPr="005060CC">
        <w:t>Boston Consulting Group</w:t>
      </w:r>
    </w:p>
  </w:footnote>
  <w:footnote w:id="1019">
    <w:p w14:paraId="103BFD8E" w14:textId="77777777" w:rsidR="00B47FF5" w:rsidRPr="005060CC" w:rsidRDefault="00B47FF5" w:rsidP="00537CC8">
      <w:pPr>
        <w:pStyle w:val="FootnoteText"/>
      </w:pPr>
      <w:r>
        <w:rPr>
          <w:rStyle w:val="FootnoteReference"/>
        </w:rPr>
        <w:footnoteRef/>
      </w:r>
      <w:r>
        <w:rPr>
          <w:rtl/>
        </w:rPr>
        <w:t xml:space="preserve"> </w:t>
      </w:r>
      <w:r w:rsidRPr="005060CC">
        <w:t>Institute for the Future</w:t>
      </w:r>
    </w:p>
  </w:footnote>
  <w:footnote w:id="1020">
    <w:p w14:paraId="687AF42B" w14:textId="77777777" w:rsidR="00B47FF5" w:rsidRDefault="00B47FF5" w:rsidP="00537CC8">
      <w:pPr>
        <w:pStyle w:val="FootnoteText"/>
      </w:pPr>
      <w:r>
        <w:rPr>
          <w:rStyle w:val="FootnoteReference"/>
        </w:rPr>
        <w:footnoteRef/>
      </w:r>
      <w:r>
        <w:rPr>
          <w:rtl/>
        </w:rPr>
        <w:t xml:space="preserve"> </w:t>
      </w:r>
      <w:r w:rsidRPr="00E806C9">
        <w:t>World Future Society</w:t>
      </w:r>
    </w:p>
  </w:footnote>
  <w:footnote w:id="1021">
    <w:p w14:paraId="4FF60FAE" w14:textId="77777777" w:rsidR="00B47FF5" w:rsidRDefault="00B47FF5" w:rsidP="00537CC8">
      <w:pPr>
        <w:pStyle w:val="FootnoteText"/>
      </w:pPr>
      <w:r>
        <w:rPr>
          <w:rStyle w:val="FootnoteReference"/>
        </w:rPr>
        <w:footnoteRef/>
      </w:r>
      <w:r>
        <w:rPr>
          <w:rtl/>
        </w:rPr>
        <w:t xml:space="preserve"> </w:t>
      </w:r>
      <w:r w:rsidRPr="00E806C9">
        <w:t>World Futures Studies Federation</w:t>
      </w:r>
    </w:p>
  </w:footnote>
  <w:footnote w:id="1022">
    <w:p w14:paraId="2DC45BEE" w14:textId="0BA75CEB" w:rsidR="00B47FF5" w:rsidRDefault="00B47FF5" w:rsidP="00537CC8">
      <w:pPr>
        <w:pStyle w:val="FootnoteText"/>
      </w:pPr>
      <w:r>
        <w:rPr>
          <w:rStyle w:val="FootnoteReference"/>
        </w:rPr>
        <w:footnoteRef/>
      </w:r>
      <w:r>
        <w:rPr>
          <w:rtl/>
        </w:rPr>
        <w:t xml:space="preserve"> </w:t>
      </w:r>
      <w:r w:rsidRPr="005625CB">
        <w:t>Global list of top female futurists</w:t>
      </w:r>
    </w:p>
  </w:footnote>
  <w:footnote w:id="1023">
    <w:p w14:paraId="61078B81" w14:textId="77777777" w:rsidR="00B47FF5" w:rsidRDefault="00B47FF5" w:rsidP="00537CC8">
      <w:pPr>
        <w:pStyle w:val="FootnoteText"/>
      </w:pPr>
      <w:r>
        <w:rPr>
          <w:rStyle w:val="FootnoteReference"/>
        </w:rPr>
        <w:footnoteRef/>
      </w:r>
      <w:r>
        <w:rPr>
          <w:rtl/>
        </w:rPr>
        <w:t xml:space="preserve"> </w:t>
      </w:r>
      <w:r w:rsidRPr="00AA6BFE">
        <w:t>Henry Adams</w:t>
      </w:r>
    </w:p>
  </w:footnote>
  <w:footnote w:id="1024">
    <w:p w14:paraId="797FD017" w14:textId="77777777" w:rsidR="00B47FF5" w:rsidRDefault="00B47FF5" w:rsidP="00537CC8">
      <w:pPr>
        <w:pStyle w:val="FootnoteText"/>
      </w:pPr>
      <w:r>
        <w:rPr>
          <w:rStyle w:val="FootnoteReference"/>
        </w:rPr>
        <w:footnoteRef/>
      </w:r>
      <w:r>
        <w:rPr>
          <w:rtl/>
        </w:rPr>
        <w:t xml:space="preserve"> </w:t>
      </w:r>
      <w:r w:rsidRPr="00DA294C">
        <w:t>Adams</w:t>
      </w:r>
    </w:p>
  </w:footnote>
  <w:footnote w:id="1025">
    <w:p w14:paraId="3383FA49" w14:textId="4DC4851B" w:rsidR="00B47FF5" w:rsidRDefault="00B47FF5" w:rsidP="00217F8B">
      <w:pPr>
        <w:pStyle w:val="FootnoteText"/>
      </w:pPr>
      <w:r>
        <w:rPr>
          <w:rStyle w:val="FootnoteReference"/>
        </w:rPr>
        <w:footnoteRef/>
      </w:r>
      <w:r>
        <w:rPr>
          <w:rtl/>
        </w:rPr>
        <w:t xml:space="preserve"> </w:t>
      </w:r>
      <w:r w:rsidRPr="00217F8B">
        <w:t>Henry Adams, H.G. Wells, Herman Kahn, Buckminster Fuller, Harrison Brown, Daniel Bell, Arthur Clarke, Julian Simon, Alvin Toffler, Gerard Piel, Donella Meadows, Hazel Henderson, Stewart Brand, Gro Brundtland, Peter Drucker, Carl Sagan, Roy Amara, Olaf Helmer, Robert Theobald, Barbara Hubbard, Hans Moravec, Peter Schwar</w:t>
      </w:r>
    </w:p>
  </w:footnote>
  <w:footnote w:id="1026">
    <w:p w14:paraId="6925898D" w14:textId="77777777" w:rsidR="00B47FF5" w:rsidRDefault="00B47FF5" w:rsidP="00537CC8">
      <w:pPr>
        <w:pStyle w:val="FootnoteText"/>
      </w:pPr>
      <w:r>
        <w:rPr>
          <w:rStyle w:val="FootnoteReference"/>
        </w:rPr>
        <w:footnoteRef/>
      </w:r>
      <w:r>
        <w:rPr>
          <w:rtl/>
        </w:rPr>
        <w:t xml:space="preserve"> </w:t>
      </w:r>
      <w:r w:rsidRPr="00185A71">
        <w:t>Scientific Ameican</w:t>
      </w:r>
    </w:p>
  </w:footnote>
  <w:footnote w:id="1027">
    <w:p w14:paraId="601AC78E" w14:textId="03C9B182" w:rsidR="00B47FF5" w:rsidRDefault="00B47FF5" w:rsidP="00537CC8">
      <w:pPr>
        <w:pStyle w:val="FootnoteText"/>
      </w:pPr>
      <w:r>
        <w:rPr>
          <w:rStyle w:val="FootnoteReference"/>
        </w:rPr>
        <w:footnoteRef/>
      </w:r>
      <w:r>
        <w:rPr>
          <w:rtl/>
        </w:rPr>
        <w:t xml:space="preserve"> </w:t>
      </w:r>
      <w:r>
        <w:t>A key book in 1972</w:t>
      </w:r>
    </w:p>
  </w:footnote>
  <w:footnote w:id="1028">
    <w:p w14:paraId="7E666A8C" w14:textId="561E5758" w:rsidR="00B47FF5" w:rsidRDefault="00B47FF5" w:rsidP="00537CC8">
      <w:pPr>
        <w:pStyle w:val="FootnoteText"/>
      </w:pPr>
      <w:r>
        <w:rPr>
          <w:rStyle w:val="FootnoteReference"/>
        </w:rPr>
        <w:footnoteRef/>
      </w:r>
      <w:r>
        <w:rPr>
          <w:rtl/>
        </w:rPr>
        <w:t xml:space="preserve"> </w:t>
      </w:r>
      <w:r w:rsidRPr="002A299D">
        <w:t>Under the hood</w:t>
      </w:r>
    </w:p>
  </w:footnote>
  <w:footnote w:id="1029">
    <w:p w14:paraId="3A128681" w14:textId="77777777" w:rsidR="00B47FF5" w:rsidRDefault="00B47FF5" w:rsidP="00537CC8">
      <w:pPr>
        <w:pStyle w:val="FootnoteText"/>
      </w:pPr>
      <w:r>
        <w:rPr>
          <w:rStyle w:val="FootnoteReference"/>
        </w:rPr>
        <w:footnoteRef/>
      </w:r>
      <w:r>
        <w:rPr>
          <w:rtl/>
        </w:rPr>
        <w:t xml:space="preserve"> </w:t>
      </w:r>
      <w:r>
        <w:t>Wikipedia</w:t>
      </w:r>
    </w:p>
  </w:footnote>
  <w:footnote w:id="1030">
    <w:p w14:paraId="24BBF96A" w14:textId="033741EF" w:rsidR="00B47FF5" w:rsidRDefault="00B47FF5" w:rsidP="00217F8B">
      <w:pPr>
        <w:pStyle w:val="FootnoteText"/>
      </w:pPr>
      <w:r>
        <w:rPr>
          <w:rStyle w:val="FootnoteReference"/>
        </w:rPr>
        <w:footnoteRef/>
      </w:r>
      <w:r>
        <w:rPr>
          <w:rtl/>
        </w:rPr>
        <w:t xml:space="preserve"> </w:t>
      </w:r>
      <w:r w:rsidRPr="00217F8B">
        <w:t>Bertrand de Jouvenel, Johan Galtung, Kenneth Boulding, Isaac Asimov, Fred Polak, Peter Medawar, Eleonora Masini, E.F. Schumacher, Elise Boulding, Burnham Beckwith, Doug Englebart, Willis Harman, Barry Hughes, Jerome Glenn, Ted Gordon, Joseph Coates, Vary Coates, Jim Dator, Peter Bishop, Michael Marien, Graham Molitor, Warren Wagar, Sohail Inayatullah, Richard Slaughter, Wendy Schul</w:t>
      </w:r>
    </w:p>
  </w:footnote>
  <w:footnote w:id="1031">
    <w:p w14:paraId="48FCB292" w14:textId="6290F2FA" w:rsidR="00B47FF5" w:rsidRDefault="00B47FF5" w:rsidP="00690ADF">
      <w:pPr>
        <w:pStyle w:val="FootnoteText"/>
      </w:pPr>
      <w:r>
        <w:rPr>
          <w:rStyle w:val="FootnoteReference"/>
        </w:rPr>
        <w:footnoteRef/>
      </w:r>
      <w:r>
        <w:rPr>
          <w:rtl/>
        </w:rPr>
        <w:t xml:space="preserve"> </w:t>
      </w:r>
      <w:r w:rsidRPr="00690ADF">
        <w:t>Philip Tetlock, Amy Webb, Shoshanna Zuboff, Cory Doctorow, Steven Pinker, and Rutger Bregman</w:t>
      </w:r>
    </w:p>
  </w:footnote>
  <w:footnote w:id="1032">
    <w:p w14:paraId="215B5765" w14:textId="01262436" w:rsidR="00B47FF5" w:rsidRDefault="00B47FF5" w:rsidP="00537CC8">
      <w:pPr>
        <w:pStyle w:val="FootnoteText"/>
      </w:pPr>
      <w:r>
        <w:rPr>
          <w:rStyle w:val="FootnoteReference"/>
        </w:rPr>
        <w:footnoteRef/>
      </w:r>
      <w:r>
        <w:rPr>
          <w:rtl/>
        </w:rPr>
        <w:t xml:space="preserve"> </w:t>
      </w:r>
      <w:r>
        <w:t>Colorful</w:t>
      </w:r>
    </w:p>
  </w:footnote>
  <w:footnote w:id="1033">
    <w:p w14:paraId="483474B0" w14:textId="77777777" w:rsidR="00B47FF5" w:rsidRDefault="00B47FF5" w:rsidP="00537CC8">
      <w:pPr>
        <w:pStyle w:val="FootnoteText"/>
      </w:pPr>
      <w:r>
        <w:rPr>
          <w:rStyle w:val="FootnoteReference"/>
        </w:rPr>
        <w:footnoteRef/>
      </w:r>
      <w:r>
        <w:rPr>
          <w:rtl/>
        </w:rPr>
        <w:t xml:space="preserve"> </w:t>
      </w:r>
      <w:r>
        <w:t>Foresight University</w:t>
      </w:r>
    </w:p>
  </w:footnote>
  <w:footnote w:id="1034">
    <w:p w14:paraId="1F6D6A38" w14:textId="74C4BC30" w:rsidR="00B47FF5" w:rsidRDefault="00B47FF5" w:rsidP="00537CC8">
      <w:pPr>
        <w:pStyle w:val="FootnoteText"/>
      </w:pPr>
      <w:r>
        <w:rPr>
          <w:rStyle w:val="FootnoteReference"/>
        </w:rPr>
        <w:footnoteRef/>
      </w:r>
      <w:r>
        <w:rPr>
          <w:rtl/>
        </w:rPr>
        <w:t xml:space="preserve"> </w:t>
      </w:r>
      <w:r>
        <w:t>Proof points</w:t>
      </w:r>
    </w:p>
  </w:footnote>
  <w:footnote w:id="1035">
    <w:p w14:paraId="4390977F" w14:textId="77777777" w:rsidR="00B47FF5" w:rsidRDefault="00B47FF5" w:rsidP="00537CC8">
      <w:pPr>
        <w:pStyle w:val="FootnoteText"/>
      </w:pPr>
      <w:r>
        <w:rPr>
          <w:rStyle w:val="FootnoteReference"/>
        </w:rPr>
        <w:footnoteRef/>
      </w:r>
      <w:r>
        <w:rPr>
          <w:rtl/>
        </w:rPr>
        <w:t xml:space="preserve"> </w:t>
      </w:r>
      <w:r>
        <w:t>Case-based learning</w:t>
      </w:r>
    </w:p>
  </w:footnote>
  <w:footnote w:id="1036">
    <w:p w14:paraId="1D10C2F9" w14:textId="22063E3A" w:rsidR="00B47FF5" w:rsidRDefault="00B47FF5" w:rsidP="00537CC8">
      <w:pPr>
        <w:pStyle w:val="FootnoteText"/>
      </w:pPr>
      <w:r>
        <w:rPr>
          <w:rStyle w:val="FootnoteReference"/>
        </w:rPr>
        <w:footnoteRef/>
      </w:r>
      <w:r>
        <w:rPr>
          <w:rtl/>
        </w:rPr>
        <w:t xml:space="preserve"> </w:t>
      </w:r>
      <w:r>
        <w:t>Defensive thinking</w:t>
      </w:r>
    </w:p>
  </w:footnote>
  <w:footnote w:id="1037">
    <w:p w14:paraId="27148A26" w14:textId="77777777" w:rsidR="00B47FF5" w:rsidRDefault="00B47FF5" w:rsidP="00537CC8">
      <w:pPr>
        <w:pStyle w:val="FootnoteText"/>
      </w:pPr>
      <w:r>
        <w:rPr>
          <w:rStyle w:val="FootnoteReference"/>
        </w:rPr>
        <w:footnoteRef/>
      </w:r>
      <w:r>
        <w:rPr>
          <w:rtl/>
        </w:rPr>
        <w:t xml:space="preserve"> </w:t>
      </w:r>
      <w:r w:rsidRPr="00502589">
        <w:t>The Fortune Sellers</w:t>
      </w:r>
    </w:p>
  </w:footnote>
  <w:footnote w:id="1038">
    <w:p w14:paraId="5A04966A" w14:textId="77777777" w:rsidR="00B47FF5" w:rsidRDefault="00B47FF5" w:rsidP="00537CC8">
      <w:pPr>
        <w:pStyle w:val="FootnoteText"/>
      </w:pPr>
      <w:r>
        <w:rPr>
          <w:rStyle w:val="FootnoteReference"/>
        </w:rPr>
        <w:footnoteRef/>
      </w:r>
      <w:r>
        <w:rPr>
          <w:rtl/>
        </w:rPr>
        <w:t xml:space="preserve"> </w:t>
      </w:r>
      <w:r w:rsidRPr="00185A71">
        <w:t>William Sherden</w:t>
      </w:r>
    </w:p>
  </w:footnote>
  <w:footnote w:id="1039">
    <w:p w14:paraId="7D0B4CB3" w14:textId="77777777" w:rsidR="00B47FF5" w:rsidRPr="00502589" w:rsidRDefault="00B47FF5" w:rsidP="00537CC8">
      <w:pPr>
        <w:pStyle w:val="FootnoteText"/>
      </w:pPr>
      <w:r>
        <w:rPr>
          <w:rStyle w:val="FootnoteReference"/>
        </w:rPr>
        <w:footnoteRef/>
      </w:r>
      <w:r>
        <w:rPr>
          <w:rtl/>
        </w:rPr>
        <w:t xml:space="preserve"> </w:t>
      </w:r>
      <w:r w:rsidRPr="00502589">
        <w:t>Megamistakes</w:t>
      </w:r>
    </w:p>
  </w:footnote>
  <w:footnote w:id="1040">
    <w:p w14:paraId="358A7A52" w14:textId="77777777" w:rsidR="00B47FF5" w:rsidRDefault="00B47FF5" w:rsidP="00537CC8">
      <w:pPr>
        <w:pStyle w:val="FootnoteText"/>
      </w:pPr>
      <w:r>
        <w:rPr>
          <w:rStyle w:val="FootnoteReference"/>
        </w:rPr>
        <w:footnoteRef/>
      </w:r>
      <w:r>
        <w:rPr>
          <w:rtl/>
        </w:rPr>
        <w:t xml:space="preserve"> </w:t>
      </w:r>
      <w:r w:rsidRPr="00185A71">
        <w:t>Steven Schnaars</w:t>
      </w:r>
    </w:p>
  </w:footnote>
  <w:footnote w:id="1041">
    <w:p w14:paraId="1C83690B" w14:textId="77777777" w:rsidR="00B47FF5" w:rsidRDefault="00B47FF5" w:rsidP="00537CC8">
      <w:pPr>
        <w:pStyle w:val="FootnoteText"/>
      </w:pPr>
      <w:r>
        <w:rPr>
          <w:rStyle w:val="FootnoteReference"/>
        </w:rPr>
        <w:footnoteRef/>
      </w:r>
      <w:r>
        <w:rPr>
          <w:rtl/>
        </w:rPr>
        <w:t xml:space="preserve"> </w:t>
      </w:r>
      <w:r w:rsidRPr="00502589">
        <w:t>Bad Predictions</w:t>
      </w:r>
    </w:p>
  </w:footnote>
  <w:footnote w:id="1042">
    <w:p w14:paraId="786188E2" w14:textId="77777777" w:rsidR="00B47FF5" w:rsidRDefault="00B47FF5" w:rsidP="00537CC8">
      <w:pPr>
        <w:pStyle w:val="FootnoteText"/>
      </w:pPr>
      <w:r>
        <w:rPr>
          <w:rStyle w:val="FootnoteReference"/>
        </w:rPr>
        <w:footnoteRef/>
      </w:r>
      <w:r>
        <w:rPr>
          <w:rtl/>
        </w:rPr>
        <w:t xml:space="preserve"> </w:t>
      </w:r>
      <w:r w:rsidRPr="00185A71">
        <w:t>Laura Lee</w:t>
      </w:r>
    </w:p>
  </w:footnote>
  <w:footnote w:id="1043">
    <w:p w14:paraId="50CD47A7" w14:textId="77777777" w:rsidR="00B47FF5" w:rsidRDefault="00B47FF5" w:rsidP="00537CC8">
      <w:pPr>
        <w:pStyle w:val="FootnoteText"/>
      </w:pPr>
      <w:r>
        <w:rPr>
          <w:rStyle w:val="FootnoteReference"/>
        </w:rPr>
        <w:footnoteRef/>
      </w:r>
      <w:r>
        <w:rPr>
          <w:rtl/>
        </w:rPr>
        <w:t xml:space="preserve"> </w:t>
      </w:r>
      <w:r w:rsidRPr="00502589">
        <w:t>Fooled by Randomness</w:t>
      </w:r>
    </w:p>
  </w:footnote>
  <w:footnote w:id="1044">
    <w:p w14:paraId="6E42ADC1" w14:textId="77777777" w:rsidR="00B47FF5" w:rsidRDefault="00B47FF5" w:rsidP="00537CC8">
      <w:pPr>
        <w:pStyle w:val="FootnoteText"/>
      </w:pPr>
      <w:r>
        <w:rPr>
          <w:rStyle w:val="FootnoteReference"/>
        </w:rPr>
        <w:footnoteRef/>
      </w:r>
      <w:r>
        <w:rPr>
          <w:rtl/>
        </w:rPr>
        <w:t xml:space="preserve"> </w:t>
      </w:r>
      <w:r w:rsidRPr="00185A71">
        <w:t>Nicholas Taleb</w:t>
      </w:r>
    </w:p>
  </w:footnote>
  <w:footnote w:id="1045">
    <w:p w14:paraId="0F10A806" w14:textId="77777777" w:rsidR="00B47FF5" w:rsidRDefault="00B47FF5" w:rsidP="00537CC8">
      <w:pPr>
        <w:pStyle w:val="FootnoteText"/>
      </w:pPr>
      <w:r>
        <w:rPr>
          <w:rStyle w:val="FootnoteReference"/>
        </w:rPr>
        <w:footnoteRef/>
      </w:r>
      <w:r>
        <w:rPr>
          <w:rtl/>
        </w:rPr>
        <w:t xml:space="preserve"> </w:t>
      </w:r>
      <w:r w:rsidRPr="00EC6021">
        <w:t>Future Hype</w:t>
      </w:r>
    </w:p>
  </w:footnote>
  <w:footnote w:id="1046">
    <w:p w14:paraId="0D0A98AB" w14:textId="77777777" w:rsidR="00B47FF5" w:rsidRDefault="00B47FF5" w:rsidP="00537CC8">
      <w:pPr>
        <w:pStyle w:val="FootnoteText"/>
      </w:pPr>
      <w:r>
        <w:rPr>
          <w:rStyle w:val="FootnoteReference"/>
        </w:rPr>
        <w:footnoteRef/>
      </w:r>
      <w:r>
        <w:rPr>
          <w:rtl/>
        </w:rPr>
        <w:t xml:space="preserve"> </w:t>
      </w:r>
      <w:r w:rsidRPr="00EC6021">
        <w:t>Doug Hubbard</w:t>
      </w:r>
    </w:p>
  </w:footnote>
  <w:footnote w:id="1047">
    <w:p w14:paraId="6A8F8B38" w14:textId="77777777" w:rsidR="00B47FF5" w:rsidRDefault="00B47FF5" w:rsidP="00537CC8">
      <w:pPr>
        <w:pStyle w:val="FootnoteText"/>
      </w:pPr>
      <w:r>
        <w:rPr>
          <w:rStyle w:val="FootnoteReference"/>
        </w:rPr>
        <w:footnoteRef/>
      </w:r>
      <w:r>
        <w:rPr>
          <w:rtl/>
        </w:rPr>
        <w:t xml:space="preserve"> </w:t>
      </w:r>
      <w:r w:rsidRPr="00502589">
        <w:t>Future Savvy</w:t>
      </w:r>
    </w:p>
  </w:footnote>
  <w:footnote w:id="1048">
    <w:p w14:paraId="1FDCDEE7" w14:textId="77777777" w:rsidR="00B47FF5" w:rsidRDefault="00B47FF5" w:rsidP="00537CC8">
      <w:pPr>
        <w:pStyle w:val="FootnoteText"/>
      </w:pPr>
      <w:r>
        <w:rPr>
          <w:rStyle w:val="FootnoteReference"/>
        </w:rPr>
        <w:footnoteRef/>
      </w:r>
      <w:r>
        <w:rPr>
          <w:rtl/>
        </w:rPr>
        <w:t xml:space="preserve"> </w:t>
      </w:r>
      <w:r w:rsidRPr="00EC6021">
        <w:t>Adam Gordon</w:t>
      </w:r>
    </w:p>
  </w:footnote>
  <w:footnote w:id="1049">
    <w:p w14:paraId="77600B8C" w14:textId="77777777" w:rsidR="00B47FF5" w:rsidRDefault="00B47FF5" w:rsidP="00537CC8">
      <w:pPr>
        <w:pStyle w:val="FootnoteText"/>
      </w:pPr>
      <w:r>
        <w:rPr>
          <w:rStyle w:val="FootnoteReference"/>
        </w:rPr>
        <w:footnoteRef/>
      </w:r>
      <w:r>
        <w:rPr>
          <w:rtl/>
        </w:rPr>
        <w:t xml:space="preserve"> </w:t>
      </w:r>
      <w:r w:rsidRPr="00502589">
        <w:t>The Failure of Risk Management</w:t>
      </w:r>
    </w:p>
  </w:footnote>
  <w:footnote w:id="1050">
    <w:p w14:paraId="3AA7EC93" w14:textId="77777777" w:rsidR="00B47FF5" w:rsidRDefault="00B47FF5" w:rsidP="00537CC8">
      <w:pPr>
        <w:pStyle w:val="FootnoteText"/>
      </w:pPr>
      <w:r>
        <w:rPr>
          <w:rStyle w:val="FootnoteReference"/>
        </w:rPr>
        <w:footnoteRef/>
      </w:r>
      <w:r>
        <w:rPr>
          <w:rtl/>
        </w:rPr>
        <w:t xml:space="preserve"> </w:t>
      </w:r>
      <w:r w:rsidRPr="00502589">
        <w:t>The Black Swan</w:t>
      </w:r>
    </w:p>
  </w:footnote>
  <w:footnote w:id="1051">
    <w:p w14:paraId="572BA0D6" w14:textId="77777777" w:rsidR="00B47FF5" w:rsidRDefault="00B47FF5" w:rsidP="00537CC8">
      <w:pPr>
        <w:pStyle w:val="FootnoteText"/>
      </w:pPr>
      <w:r>
        <w:rPr>
          <w:rStyle w:val="FootnoteReference"/>
        </w:rPr>
        <w:footnoteRef/>
      </w:r>
      <w:r>
        <w:rPr>
          <w:rtl/>
        </w:rPr>
        <w:t xml:space="preserve"> </w:t>
      </w:r>
      <w:r w:rsidRPr="003B5EA7">
        <w:t>The Rise and Fall of Strategic Planning</w:t>
      </w:r>
    </w:p>
  </w:footnote>
  <w:footnote w:id="1052">
    <w:p w14:paraId="3FC61EFD" w14:textId="77777777" w:rsidR="00B47FF5" w:rsidRDefault="00B47FF5" w:rsidP="00537CC8">
      <w:pPr>
        <w:pStyle w:val="FootnoteText"/>
      </w:pPr>
      <w:r>
        <w:rPr>
          <w:rStyle w:val="FootnoteReference"/>
        </w:rPr>
        <w:footnoteRef/>
      </w:r>
      <w:r>
        <w:rPr>
          <w:rtl/>
        </w:rPr>
        <w:t xml:space="preserve"> </w:t>
      </w:r>
      <w:r w:rsidRPr="00EC6021">
        <w:t>Henry Mintzberg</w:t>
      </w:r>
    </w:p>
  </w:footnote>
  <w:footnote w:id="1053">
    <w:p w14:paraId="2E9FA34F" w14:textId="77777777" w:rsidR="00B47FF5" w:rsidRDefault="00B47FF5" w:rsidP="00537CC8">
      <w:pPr>
        <w:pStyle w:val="FootnoteText"/>
      </w:pPr>
      <w:r>
        <w:rPr>
          <w:rStyle w:val="FootnoteReference"/>
        </w:rPr>
        <w:footnoteRef/>
      </w:r>
      <w:r>
        <w:rPr>
          <w:rtl/>
        </w:rPr>
        <w:t xml:space="preserve"> </w:t>
      </w:r>
      <w:r w:rsidRPr="003B5EA7">
        <w:t>The Lords of Strategy</w:t>
      </w:r>
    </w:p>
  </w:footnote>
  <w:footnote w:id="1054">
    <w:p w14:paraId="3D48C78B" w14:textId="77777777" w:rsidR="00B47FF5" w:rsidRDefault="00B47FF5" w:rsidP="00537CC8">
      <w:pPr>
        <w:pStyle w:val="FootnoteText"/>
      </w:pPr>
      <w:r>
        <w:rPr>
          <w:rStyle w:val="FootnoteReference"/>
        </w:rPr>
        <w:footnoteRef/>
      </w:r>
      <w:r>
        <w:rPr>
          <w:rtl/>
        </w:rPr>
        <w:t xml:space="preserve"> </w:t>
      </w:r>
      <w:r w:rsidRPr="00EC6021">
        <w:t>Walter Kiechel</w:t>
      </w:r>
    </w:p>
  </w:footnote>
  <w:footnote w:id="1055">
    <w:p w14:paraId="2C1C0207" w14:textId="77777777" w:rsidR="00B47FF5" w:rsidRDefault="00B47FF5" w:rsidP="00537CC8">
      <w:pPr>
        <w:pStyle w:val="FootnoteText"/>
      </w:pPr>
      <w:r>
        <w:rPr>
          <w:rStyle w:val="FootnoteReference"/>
        </w:rPr>
        <w:footnoteRef/>
      </w:r>
      <w:r>
        <w:rPr>
          <w:rtl/>
        </w:rPr>
        <w:t xml:space="preserve"> </w:t>
      </w:r>
      <w:r w:rsidRPr="003B5EA7">
        <w:t>The Innovators Dilemma</w:t>
      </w:r>
    </w:p>
  </w:footnote>
  <w:footnote w:id="1056">
    <w:p w14:paraId="49869AE9" w14:textId="77777777" w:rsidR="00B47FF5" w:rsidRDefault="00B47FF5" w:rsidP="00537CC8">
      <w:pPr>
        <w:pStyle w:val="FootnoteText"/>
      </w:pPr>
      <w:r>
        <w:rPr>
          <w:rStyle w:val="FootnoteReference"/>
        </w:rPr>
        <w:footnoteRef/>
      </w:r>
      <w:r>
        <w:rPr>
          <w:rtl/>
        </w:rPr>
        <w:t xml:space="preserve"> </w:t>
      </w:r>
      <w:r w:rsidRPr="00EC6021">
        <w:t>Clay Christensen</w:t>
      </w:r>
    </w:p>
  </w:footnote>
  <w:footnote w:id="1057">
    <w:p w14:paraId="4BF1CAB7" w14:textId="77777777" w:rsidR="00B47FF5" w:rsidRDefault="00B47FF5" w:rsidP="00537CC8">
      <w:pPr>
        <w:pStyle w:val="FootnoteText"/>
      </w:pPr>
      <w:r>
        <w:rPr>
          <w:rStyle w:val="FootnoteReference"/>
        </w:rPr>
        <w:footnoteRef/>
      </w:r>
      <w:r>
        <w:rPr>
          <w:rtl/>
        </w:rPr>
        <w:t xml:space="preserve"> </w:t>
      </w:r>
      <w:r w:rsidRPr="00EC6021">
        <w:t>Sherden</w:t>
      </w:r>
    </w:p>
  </w:footnote>
  <w:footnote w:id="1058">
    <w:p w14:paraId="15FAA1CE" w14:textId="77777777" w:rsidR="00B47FF5" w:rsidRDefault="00B47FF5" w:rsidP="00537CC8">
      <w:pPr>
        <w:pStyle w:val="FootnoteText"/>
      </w:pPr>
      <w:r>
        <w:rPr>
          <w:rStyle w:val="FootnoteReference"/>
        </w:rPr>
        <w:footnoteRef/>
      </w:r>
      <w:r>
        <w:rPr>
          <w:rtl/>
        </w:rPr>
        <w:t xml:space="preserve"> </w:t>
      </w:r>
      <w:r>
        <w:t>Myth of Ineffectiveness</w:t>
      </w:r>
    </w:p>
  </w:footnote>
  <w:footnote w:id="1059">
    <w:p w14:paraId="4B1E0EB6" w14:textId="33912CDA" w:rsidR="00B47FF5" w:rsidRDefault="00B47FF5" w:rsidP="00537CC8">
      <w:pPr>
        <w:pStyle w:val="FootnoteText"/>
      </w:pPr>
      <w:r>
        <w:rPr>
          <w:rStyle w:val="FootnoteReference"/>
        </w:rPr>
        <w:footnoteRef/>
      </w:r>
      <w:r>
        <w:rPr>
          <w:rtl/>
        </w:rPr>
        <w:t xml:space="preserve"> </w:t>
      </w:r>
      <w:r>
        <w:t>Benefit-cost</w:t>
      </w:r>
    </w:p>
  </w:footnote>
  <w:footnote w:id="1060">
    <w:p w14:paraId="5B2742C5" w14:textId="77777777" w:rsidR="00B47FF5" w:rsidRDefault="00B47FF5" w:rsidP="00537CC8">
      <w:pPr>
        <w:pStyle w:val="FootnoteText"/>
      </w:pPr>
      <w:r>
        <w:rPr>
          <w:rStyle w:val="FootnoteReference"/>
        </w:rPr>
        <w:footnoteRef/>
      </w:r>
      <w:r>
        <w:rPr>
          <w:rtl/>
        </w:rPr>
        <w:t xml:space="preserve"> </w:t>
      </w:r>
      <w:r>
        <w:t>Temporal Goal of Foresight Work</w:t>
      </w:r>
    </w:p>
  </w:footnote>
  <w:footnote w:id="1061">
    <w:p w14:paraId="0C395391" w14:textId="77777777" w:rsidR="00B47FF5" w:rsidRDefault="00B47FF5" w:rsidP="00537CC8">
      <w:pPr>
        <w:pStyle w:val="FootnoteText"/>
      </w:pPr>
      <w:r>
        <w:rPr>
          <w:rStyle w:val="FootnoteReference"/>
        </w:rPr>
        <w:footnoteRef/>
      </w:r>
      <w:r>
        <w:rPr>
          <w:rtl/>
        </w:rPr>
        <w:t xml:space="preserve"> </w:t>
      </w:r>
      <w:r>
        <w:t>Foresight Skills</w:t>
      </w:r>
    </w:p>
  </w:footnote>
  <w:footnote w:id="1062">
    <w:p w14:paraId="0E47868B" w14:textId="77777777" w:rsidR="00B47FF5" w:rsidRDefault="00B47FF5" w:rsidP="00537CC8">
      <w:pPr>
        <w:pStyle w:val="FootnoteText"/>
      </w:pPr>
      <w:r>
        <w:rPr>
          <w:rStyle w:val="FootnoteReference"/>
        </w:rPr>
        <w:footnoteRef/>
      </w:r>
      <w:r>
        <w:rPr>
          <w:rtl/>
        </w:rPr>
        <w:t xml:space="preserve"> </w:t>
      </w:r>
      <w:r>
        <w:t>Action Skills</w:t>
      </w:r>
    </w:p>
  </w:footnote>
  <w:footnote w:id="1063">
    <w:p w14:paraId="6901440E" w14:textId="77777777" w:rsidR="00B47FF5" w:rsidRDefault="00B47FF5" w:rsidP="00537CC8">
      <w:pPr>
        <w:pStyle w:val="FootnoteText"/>
      </w:pPr>
      <w:r>
        <w:rPr>
          <w:rStyle w:val="FootnoteReference"/>
        </w:rPr>
        <w:footnoteRef/>
      </w:r>
      <w:r>
        <w:rPr>
          <w:rtl/>
        </w:rPr>
        <w:t xml:space="preserve"> </w:t>
      </w:r>
      <w:r w:rsidRPr="00430A57">
        <w:t>University of Houston</w:t>
      </w:r>
    </w:p>
  </w:footnote>
  <w:footnote w:id="1064">
    <w:p w14:paraId="709CCAD0" w14:textId="387442F9" w:rsidR="00B47FF5" w:rsidRDefault="00B47FF5" w:rsidP="00537CC8">
      <w:pPr>
        <w:pStyle w:val="FootnoteText"/>
      </w:pPr>
      <w:r>
        <w:rPr>
          <w:rStyle w:val="FootnoteReference"/>
        </w:rPr>
        <w:footnoteRef/>
      </w:r>
      <w:r>
        <w:rPr>
          <w:rtl/>
        </w:rPr>
        <w:t xml:space="preserve"> </w:t>
      </w:r>
      <w:r>
        <w:t>Front end of strategy</w:t>
      </w:r>
    </w:p>
  </w:footnote>
  <w:footnote w:id="1065">
    <w:p w14:paraId="4A1D85D2" w14:textId="77777777" w:rsidR="00B47FF5" w:rsidRDefault="00B47FF5" w:rsidP="00537CC8">
      <w:pPr>
        <w:pStyle w:val="FootnoteText"/>
      </w:pPr>
      <w:r>
        <w:rPr>
          <w:rStyle w:val="FootnoteReference"/>
        </w:rPr>
        <w:footnoteRef/>
      </w:r>
      <w:r>
        <w:rPr>
          <w:rtl/>
        </w:rPr>
        <w:t xml:space="preserve"> </w:t>
      </w:r>
      <w:r w:rsidRPr="00B2537B">
        <w:t>Learning, Anticipation, Innovation, and Strategy</w:t>
      </w:r>
    </w:p>
  </w:footnote>
  <w:footnote w:id="1066">
    <w:p w14:paraId="69A3B7A8" w14:textId="51564E66" w:rsidR="00B47FF5" w:rsidRDefault="00B47FF5" w:rsidP="00537CC8">
      <w:pPr>
        <w:pStyle w:val="FootnoteText"/>
      </w:pPr>
      <w:r>
        <w:rPr>
          <w:rStyle w:val="FootnoteReference"/>
        </w:rPr>
        <w:footnoteRef/>
      </w:r>
      <w:r>
        <w:rPr>
          <w:rtl/>
        </w:rPr>
        <w:t xml:space="preserve"> </w:t>
      </w:r>
      <w:r>
        <w:t>Product thinking</w:t>
      </w:r>
    </w:p>
  </w:footnote>
  <w:footnote w:id="1067">
    <w:p w14:paraId="48C9973A" w14:textId="77777777" w:rsidR="00B47FF5" w:rsidRDefault="00B47FF5" w:rsidP="00537CC8">
      <w:pPr>
        <w:pStyle w:val="FootnoteText"/>
      </w:pPr>
      <w:r>
        <w:rPr>
          <w:rStyle w:val="FootnoteReference"/>
        </w:rPr>
        <w:footnoteRef/>
      </w:r>
      <w:r>
        <w:rPr>
          <w:rtl/>
        </w:rPr>
        <w:t xml:space="preserve"> </w:t>
      </w:r>
      <w:r>
        <w:t>Adjustment thinking</w:t>
      </w:r>
    </w:p>
  </w:footnote>
  <w:footnote w:id="1068">
    <w:p w14:paraId="78BB54D3" w14:textId="66C166E3" w:rsidR="00B47FF5" w:rsidRDefault="00B47FF5" w:rsidP="00537CC8">
      <w:pPr>
        <w:pStyle w:val="FootnoteText"/>
      </w:pPr>
      <w:r>
        <w:rPr>
          <w:rStyle w:val="FootnoteReference"/>
        </w:rPr>
        <w:footnoteRef/>
      </w:r>
      <w:r>
        <w:rPr>
          <w:rtl/>
        </w:rPr>
        <w:t xml:space="preserve"> </w:t>
      </w:r>
      <w:r>
        <w:t>Adaptive foresight</w:t>
      </w:r>
    </w:p>
  </w:footnote>
  <w:footnote w:id="1069">
    <w:p w14:paraId="45B20ACD" w14:textId="05DD3D17" w:rsidR="00B47FF5" w:rsidRDefault="00B47FF5" w:rsidP="00537CC8">
      <w:pPr>
        <w:pStyle w:val="FootnoteText"/>
      </w:pPr>
      <w:r>
        <w:rPr>
          <w:rStyle w:val="FootnoteReference"/>
        </w:rPr>
        <w:footnoteRef/>
      </w:r>
      <w:r>
        <w:rPr>
          <w:rtl/>
        </w:rPr>
        <w:t xml:space="preserve"> </w:t>
      </w:r>
      <w:r>
        <w:t>Normative foresight</w:t>
      </w:r>
    </w:p>
  </w:footnote>
  <w:footnote w:id="1070">
    <w:p w14:paraId="5A5546E5" w14:textId="49A20EE9" w:rsidR="00B47FF5" w:rsidRDefault="00B47FF5" w:rsidP="00537CC8">
      <w:pPr>
        <w:pStyle w:val="FootnoteText"/>
      </w:pPr>
      <w:r>
        <w:rPr>
          <w:rStyle w:val="FootnoteReference"/>
        </w:rPr>
        <w:footnoteRef/>
      </w:r>
      <w:r>
        <w:rPr>
          <w:rtl/>
        </w:rPr>
        <w:t xml:space="preserve"> </w:t>
      </w:r>
      <w:r>
        <w:t>Horizon scanning</w:t>
      </w:r>
    </w:p>
  </w:footnote>
  <w:footnote w:id="1071">
    <w:p w14:paraId="148D92AA" w14:textId="7C4F343F" w:rsidR="00B47FF5" w:rsidRDefault="00B47FF5" w:rsidP="00537CC8">
      <w:pPr>
        <w:pStyle w:val="FootnoteText"/>
      </w:pPr>
      <w:r>
        <w:rPr>
          <w:rStyle w:val="FootnoteReference"/>
        </w:rPr>
        <w:footnoteRef/>
      </w:r>
      <w:r>
        <w:rPr>
          <w:rtl/>
        </w:rPr>
        <w:t xml:space="preserve"> </w:t>
      </w:r>
      <w:r>
        <w:t>Divergent thinking</w:t>
      </w:r>
    </w:p>
  </w:footnote>
  <w:footnote w:id="1072">
    <w:p w14:paraId="16404493" w14:textId="24D0B947" w:rsidR="00B47FF5" w:rsidRDefault="00B47FF5" w:rsidP="00537CC8">
      <w:pPr>
        <w:pStyle w:val="FootnoteText"/>
      </w:pPr>
      <w:r>
        <w:rPr>
          <w:rStyle w:val="FootnoteReference"/>
        </w:rPr>
        <w:footnoteRef/>
      </w:r>
      <w:r>
        <w:rPr>
          <w:rtl/>
        </w:rPr>
        <w:t xml:space="preserve"> </w:t>
      </w:r>
      <w:r>
        <w:t>Convergent thinking</w:t>
      </w:r>
    </w:p>
  </w:footnote>
  <w:footnote w:id="1073">
    <w:p w14:paraId="3A937373" w14:textId="7647674E" w:rsidR="00B47FF5" w:rsidRDefault="00B47FF5" w:rsidP="00537CC8">
      <w:pPr>
        <w:pStyle w:val="FootnoteText"/>
      </w:pPr>
      <w:r>
        <w:rPr>
          <w:rStyle w:val="FootnoteReference"/>
        </w:rPr>
        <w:footnoteRef/>
      </w:r>
      <w:r>
        <w:rPr>
          <w:rtl/>
        </w:rPr>
        <w:t xml:space="preserve"> </w:t>
      </w:r>
      <w:r w:rsidRPr="00592696">
        <w:t>Quantifiers</w:t>
      </w:r>
    </w:p>
  </w:footnote>
  <w:footnote w:id="1074">
    <w:p w14:paraId="45C0D785" w14:textId="0B209136" w:rsidR="00B47FF5" w:rsidRDefault="00B47FF5" w:rsidP="00537CC8">
      <w:pPr>
        <w:pStyle w:val="FootnoteText"/>
      </w:pPr>
      <w:r>
        <w:rPr>
          <w:rStyle w:val="FootnoteReference"/>
        </w:rPr>
        <w:footnoteRef/>
      </w:r>
      <w:r>
        <w:rPr>
          <w:rtl/>
        </w:rPr>
        <w:t xml:space="preserve"> </w:t>
      </w:r>
      <w:r>
        <w:t>Bridging</w:t>
      </w:r>
    </w:p>
  </w:footnote>
  <w:footnote w:id="1075">
    <w:p w14:paraId="1218F3DE" w14:textId="77777777" w:rsidR="00B47FF5" w:rsidRDefault="00B47FF5" w:rsidP="00537CC8">
      <w:pPr>
        <w:pStyle w:val="FootnoteText"/>
      </w:pPr>
      <w:r>
        <w:rPr>
          <w:rStyle w:val="FootnoteReference"/>
        </w:rPr>
        <w:footnoteRef/>
      </w:r>
      <w:r>
        <w:rPr>
          <w:rtl/>
        </w:rPr>
        <w:t xml:space="preserve"> </w:t>
      </w:r>
      <w:r>
        <w:t>Sins</w:t>
      </w:r>
    </w:p>
  </w:footnote>
  <w:footnote w:id="1076">
    <w:p w14:paraId="62504A5D" w14:textId="77777777" w:rsidR="00B47FF5" w:rsidRDefault="00B47FF5" w:rsidP="00537CC8">
      <w:pPr>
        <w:pStyle w:val="FootnoteText"/>
      </w:pPr>
      <w:r>
        <w:rPr>
          <w:rStyle w:val="FootnoteReference"/>
        </w:rPr>
        <w:footnoteRef/>
      </w:r>
      <w:r>
        <w:rPr>
          <w:rtl/>
        </w:rPr>
        <w:t xml:space="preserve"> </w:t>
      </w:r>
      <w:r>
        <w:t>Innovate</w:t>
      </w:r>
    </w:p>
  </w:footnote>
  <w:footnote w:id="1077">
    <w:p w14:paraId="3D41ACE6" w14:textId="7EF75B88" w:rsidR="00B47FF5" w:rsidRDefault="00B47FF5" w:rsidP="00537CC8">
      <w:pPr>
        <w:pStyle w:val="FootnoteText"/>
      </w:pPr>
      <w:r>
        <w:rPr>
          <w:rStyle w:val="FootnoteReference"/>
        </w:rPr>
        <w:footnoteRef/>
      </w:r>
      <w:r>
        <w:rPr>
          <w:rtl/>
        </w:rPr>
        <w:t xml:space="preserve"> </w:t>
      </w:r>
      <w:r>
        <w:t>Perception-decision-action-feedback</w:t>
      </w:r>
    </w:p>
  </w:footnote>
  <w:footnote w:id="1078">
    <w:p w14:paraId="1B92C89A" w14:textId="77777777" w:rsidR="00B47FF5" w:rsidRDefault="00B47FF5" w:rsidP="00537CC8">
      <w:pPr>
        <w:pStyle w:val="FootnoteText"/>
      </w:pPr>
      <w:r>
        <w:rPr>
          <w:rStyle w:val="FootnoteReference"/>
        </w:rPr>
        <w:footnoteRef/>
      </w:r>
      <w:r>
        <w:rPr>
          <w:rtl/>
        </w:rPr>
        <w:t xml:space="preserve"> </w:t>
      </w:r>
      <w:r>
        <w:t>Flaring</w:t>
      </w:r>
    </w:p>
  </w:footnote>
  <w:footnote w:id="1079">
    <w:p w14:paraId="692675A3" w14:textId="3EBD14E2" w:rsidR="00B47FF5" w:rsidRDefault="00B47FF5" w:rsidP="00690ADF">
      <w:pPr>
        <w:pStyle w:val="FootnoteText"/>
      </w:pPr>
      <w:r>
        <w:rPr>
          <w:rStyle w:val="FootnoteReference"/>
        </w:rPr>
        <w:footnoteRef/>
      </w:r>
      <w:r>
        <w:rPr>
          <w:rtl/>
        </w:rPr>
        <w:t xml:space="preserve"> </w:t>
      </w:r>
      <w:r w:rsidRPr="00690ADF">
        <w:t>Stanford</w:t>
      </w:r>
    </w:p>
  </w:footnote>
  <w:footnote w:id="1080">
    <w:p w14:paraId="037BE92D" w14:textId="2E221A07" w:rsidR="00B47FF5" w:rsidRDefault="00B47FF5" w:rsidP="00537CC8">
      <w:pPr>
        <w:pStyle w:val="FootnoteText"/>
      </w:pPr>
      <w:r>
        <w:rPr>
          <w:rStyle w:val="FootnoteReference"/>
        </w:rPr>
        <w:footnoteRef/>
      </w:r>
      <w:r>
        <w:rPr>
          <w:rtl/>
        </w:rPr>
        <w:t xml:space="preserve"> </w:t>
      </w:r>
      <w:r w:rsidRPr="007922F0">
        <w:t>Organizational wiki</w:t>
      </w:r>
    </w:p>
  </w:footnote>
  <w:footnote w:id="1081">
    <w:p w14:paraId="43AD1999" w14:textId="4BC2F395" w:rsidR="00B47FF5" w:rsidRDefault="00B47FF5" w:rsidP="00537CC8">
      <w:pPr>
        <w:pStyle w:val="FootnoteText"/>
      </w:pPr>
      <w:r>
        <w:rPr>
          <w:rStyle w:val="FootnoteReference"/>
        </w:rPr>
        <w:footnoteRef/>
      </w:r>
      <w:r>
        <w:rPr>
          <w:rtl/>
        </w:rPr>
        <w:t xml:space="preserve"> </w:t>
      </w:r>
      <w:r>
        <w:t>Focusing</w:t>
      </w:r>
    </w:p>
  </w:footnote>
  <w:footnote w:id="1082">
    <w:p w14:paraId="62BBC98A" w14:textId="67A60E2D" w:rsidR="00B47FF5" w:rsidRDefault="00B47FF5" w:rsidP="00537CC8">
      <w:pPr>
        <w:pStyle w:val="FootnoteText"/>
      </w:pPr>
      <w:r>
        <w:rPr>
          <w:rStyle w:val="FootnoteReference"/>
        </w:rPr>
        <w:footnoteRef/>
      </w:r>
      <w:r>
        <w:rPr>
          <w:rtl/>
        </w:rPr>
        <w:t xml:space="preserve"> </w:t>
      </w:r>
      <w:r w:rsidRPr="009F61CF">
        <w:t>Bettable</w:t>
      </w:r>
    </w:p>
  </w:footnote>
  <w:footnote w:id="1083">
    <w:p w14:paraId="592F8D7F" w14:textId="47A6E005" w:rsidR="00B47FF5" w:rsidRDefault="00B47FF5" w:rsidP="00537CC8">
      <w:pPr>
        <w:pStyle w:val="FootnoteText"/>
      </w:pPr>
      <w:r>
        <w:rPr>
          <w:rStyle w:val="FootnoteReference"/>
        </w:rPr>
        <w:footnoteRef/>
      </w:r>
      <w:r>
        <w:rPr>
          <w:rtl/>
        </w:rPr>
        <w:t xml:space="preserve"> </w:t>
      </w:r>
      <w:r>
        <w:t>Crowd</w:t>
      </w:r>
    </w:p>
  </w:footnote>
  <w:footnote w:id="1084">
    <w:p w14:paraId="10541D3A" w14:textId="77777777" w:rsidR="00B47FF5" w:rsidRDefault="00B47FF5" w:rsidP="00537CC8">
      <w:pPr>
        <w:pStyle w:val="FootnoteText"/>
      </w:pPr>
      <w:r>
        <w:rPr>
          <w:rStyle w:val="FootnoteReference"/>
        </w:rPr>
        <w:footnoteRef/>
      </w:r>
      <w:r>
        <w:rPr>
          <w:rtl/>
        </w:rPr>
        <w:t xml:space="preserve"> </w:t>
      </w:r>
      <w:r w:rsidRPr="009F61CF">
        <w:t>Kaggle</w:t>
      </w:r>
    </w:p>
  </w:footnote>
  <w:footnote w:id="1085">
    <w:p w14:paraId="05F1F69E" w14:textId="77777777" w:rsidR="00B47FF5" w:rsidRDefault="00B47FF5" w:rsidP="00537CC8">
      <w:pPr>
        <w:pStyle w:val="FootnoteText"/>
      </w:pPr>
      <w:r>
        <w:rPr>
          <w:rStyle w:val="FootnoteReference"/>
        </w:rPr>
        <w:footnoteRef/>
      </w:r>
      <w:r>
        <w:rPr>
          <w:rtl/>
        </w:rPr>
        <w:t xml:space="preserve"> </w:t>
      </w:r>
      <w:r w:rsidRPr="009F61CF">
        <w:t>Predictive analytics</w:t>
      </w:r>
    </w:p>
  </w:footnote>
  <w:footnote w:id="1086">
    <w:p w14:paraId="2E8EB5E2" w14:textId="0A0CE9E1" w:rsidR="00B47FF5" w:rsidRDefault="00B47FF5" w:rsidP="00537CC8">
      <w:pPr>
        <w:pStyle w:val="FootnoteText"/>
      </w:pPr>
      <w:r>
        <w:rPr>
          <w:rStyle w:val="FootnoteReference"/>
        </w:rPr>
        <w:footnoteRef/>
      </w:r>
      <w:r>
        <w:rPr>
          <w:rtl/>
        </w:rPr>
        <w:t xml:space="preserve"> </w:t>
      </w:r>
      <w:r w:rsidRPr="00BB5528">
        <w:t>Activism</w:t>
      </w:r>
    </w:p>
  </w:footnote>
  <w:footnote w:id="1087">
    <w:p w14:paraId="33E47891" w14:textId="20F92B4B" w:rsidR="00B47FF5" w:rsidRDefault="00B47FF5" w:rsidP="00537CC8">
      <w:pPr>
        <w:pStyle w:val="FootnoteText"/>
      </w:pPr>
      <w:r>
        <w:rPr>
          <w:rStyle w:val="FootnoteReference"/>
        </w:rPr>
        <w:footnoteRef/>
      </w:r>
      <w:r>
        <w:rPr>
          <w:rtl/>
        </w:rPr>
        <w:t xml:space="preserve"> </w:t>
      </w:r>
      <w:r w:rsidRPr="00BB5528">
        <w:t>Normative</w:t>
      </w:r>
    </w:p>
  </w:footnote>
  <w:footnote w:id="1088">
    <w:p w14:paraId="5EF227DE" w14:textId="71A2526C" w:rsidR="00B47FF5" w:rsidRDefault="00B47FF5" w:rsidP="00537CC8">
      <w:pPr>
        <w:pStyle w:val="FootnoteText"/>
      </w:pPr>
      <w:r>
        <w:rPr>
          <w:rStyle w:val="FootnoteReference"/>
        </w:rPr>
        <w:footnoteRef/>
      </w:r>
      <w:r>
        <w:rPr>
          <w:rtl/>
        </w:rPr>
        <w:t xml:space="preserve"> </w:t>
      </w:r>
      <w:r w:rsidRPr="00644E40">
        <w:t>Seneca</w:t>
      </w:r>
    </w:p>
  </w:footnote>
  <w:footnote w:id="1089">
    <w:p w14:paraId="0AF05DA6" w14:textId="77777777" w:rsidR="00B47FF5" w:rsidRDefault="00B47FF5" w:rsidP="00537CC8">
      <w:pPr>
        <w:pStyle w:val="FootnoteText"/>
      </w:pPr>
      <w:r>
        <w:rPr>
          <w:rStyle w:val="FootnoteReference"/>
        </w:rPr>
        <w:footnoteRef/>
      </w:r>
      <w:r>
        <w:rPr>
          <w:rtl/>
        </w:rPr>
        <w:t xml:space="preserve"> </w:t>
      </w:r>
      <w:r w:rsidRPr="00644E40">
        <w:t>Joshua Davis</w:t>
      </w:r>
    </w:p>
  </w:footnote>
  <w:footnote w:id="1090">
    <w:p w14:paraId="42454F4B" w14:textId="77777777" w:rsidR="00B47FF5" w:rsidRDefault="00B47FF5" w:rsidP="00537CC8">
      <w:pPr>
        <w:pStyle w:val="FootnoteText"/>
      </w:pPr>
      <w:r>
        <w:rPr>
          <w:rStyle w:val="FootnoteReference"/>
        </w:rPr>
        <w:footnoteRef/>
      </w:r>
      <w:r>
        <w:rPr>
          <w:rtl/>
        </w:rPr>
        <w:t xml:space="preserve"> </w:t>
      </w:r>
      <w:r w:rsidRPr="00644E40">
        <w:t>John Smart</w:t>
      </w:r>
    </w:p>
  </w:footnote>
  <w:footnote w:id="1091">
    <w:p w14:paraId="77FFCD9B" w14:textId="0612D66C" w:rsidR="00B47FF5" w:rsidRDefault="00B47FF5" w:rsidP="00537CC8">
      <w:pPr>
        <w:pStyle w:val="FootnoteText"/>
      </w:pPr>
      <w:r>
        <w:rPr>
          <w:rStyle w:val="FootnoteReference"/>
        </w:rPr>
        <w:footnoteRef/>
      </w:r>
      <w:r>
        <w:rPr>
          <w:rtl/>
        </w:rPr>
        <w:t xml:space="preserve"> </w:t>
      </w:r>
      <w:r>
        <w:t>Redivergent</w:t>
      </w:r>
    </w:p>
  </w:footnote>
  <w:footnote w:id="1092">
    <w:p w14:paraId="2B7F9996" w14:textId="14D1F99A" w:rsidR="00B47FF5" w:rsidRDefault="00B47FF5" w:rsidP="00537CC8">
      <w:pPr>
        <w:pStyle w:val="FootnoteText"/>
      </w:pPr>
      <w:r>
        <w:rPr>
          <w:rStyle w:val="FootnoteReference"/>
        </w:rPr>
        <w:footnoteRef/>
      </w:r>
      <w:r>
        <w:rPr>
          <w:rtl/>
        </w:rPr>
        <w:t xml:space="preserve"> </w:t>
      </w:r>
      <w:r>
        <w:t>Reconvergent</w:t>
      </w:r>
    </w:p>
  </w:footnote>
  <w:footnote w:id="1093">
    <w:p w14:paraId="5933E715" w14:textId="6E2C2C50" w:rsidR="00B47FF5" w:rsidRDefault="00B47FF5" w:rsidP="00537CC8">
      <w:pPr>
        <w:pStyle w:val="FootnoteText"/>
      </w:pPr>
      <w:r>
        <w:rPr>
          <w:rStyle w:val="FootnoteReference"/>
        </w:rPr>
        <w:footnoteRef/>
      </w:r>
      <w:r>
        <w:rPr>
          <w:rtl/>
        </w:rPr>
        <w:t xml:space="preserve"> </w:t>
      </w:r>
      <w:r>
        <w:t>Translational</w:t>
      </w:r>
    </w:p>
  </w:footnote>
  <w:footnote w:id="1094">
    <w:p w14:paraId="3734F76E" w14:textId="196ABCE2" w:rsidR="00B47FF5" w:rsidRDefault="00B47FF5" w:rsidP="00537CC8">
      <w:pPr>
        <w:pStyle w:val="FootnoteText"/>
      </w:pPr>
      <w:r>
        <w:rPr>
          <w:rStyle w:val="FootnoteReference"/>
        </w:rPr>
        <w:footnoteRef/>
      </w:r>
      <w:r>
        <w:rPr>
          <w:rtl/>
        </w:rPr>
        <w:t xml:space="preserve"> </w:t>
      </w:r>
      <w:r w:rsidRPr="00644E40">
        <w:t>Radiative</w:t>
      </w:r>
    </w:p>
  </w:footnote>
  <w:footnote w:id="1095">
    <w:p w14:paraId="060518E5" w14:textId="6E187B4D" w:rsidR="00B47FF5" w:rsidRDefault="00B47FF5" w:rsidP="00537CC8">
      <w:pPr>
        <w:pStyle w:val="FootnoteText"/>
      </w:pPr>
      <w:r>
        <w:rPr>
          <w:rStyle w:val="FootnoteReference"/>
        </w:rPr>
        <w:footnoteRef/>
      </w:r>
      <w:r>
        <w:rPr>
          <w:rtl/>
        </w:rPr>
        <w:t xml:space="preserve"> </w:t>
      </w:r>
      <w:r>
        <w:t>Integrative</w:t>
      </w:r>
    </w:p>
  </w:footnote>
  <w:footnote w:id="1096">
    <w:p w14:paraId="0C98CC2E" w14:textId="77777777" w:rsidR="00B47FF5" w:rsidRDefault="00B47FF5" w:rsidP="00537CC8">
      <w:pPr>
        <w:pStyle w:val="FootnoteText"/>
      </w:pPr>
      <w:r>
        <w:rPr>
          <w:rStyle w:val="FootnoteReference"/>
        </w:rPr>
        <w:footnoteRef/>
      </w:r>
      <w:r>
        <w:rPr>
          <w:rtl/>
        </w:rPr>
        <w:t xml:space="preserve"> </w:t>
      </w:r>
      <w:r w:rsidRPr="00644E40">
        <w:t>Kevin Kelly</w:t>
      </w:r>
    </w:p>
  </w:footnote>
  <w:footnote w:id="1097">
    <w:p w14:paraId="5CDDC305" w14:textId="77777777" w:rsidR="00B47FF5" w:rsidRDefault="00B47FF5" w:rsidP="00537CC8">
      <w:pPr>
        <w:pStyle w:val="FootnoteText"/>
      </w:pPr>
      <w:r>
        <w:rPr>
          <w:rStyle w:val="FootnoteReference"/>
        </w:rPr>
        <w:footnoteRef/>
      </w:r>
      <w:r>
        <w:rPr>
          <w:rtl/>
        </w:rPr>
        <w:t xml:space="preserve"> </w:t>
      </w:r>
      <w:r w:rsidRPr="00EB1739">
        <w:t>Out of Control</w:t>
      </w:r>
    </w:p>
  </w:footnote>
  <w:footnote w:id="1098">
    <w:p w14:paraId="428F8D81" w14:textId="77777777" w:rsidR="00B47FF5" w:rsidRDefault="00B47FF5" w:rsidP="00537CC8">
      <w:pPr>
        <w:pStyle w:val="FootnoteText"/>
      </w:pPr>
      <w:r>
        <w:rPr>
          <w:rStyle w:val="FootnoteReference"/>
        </w:rPr>
        <w:footnoteRef/>
      </w:r>
      <w:r>
        <w:rPr>
          <w:rtl/>
        </w:rPr>
        <w:t xml:space="preserve"> </w:t>
      </w:r>
      <w:r>
        <w:t>Benchmarking</w:t>
      </w:r>
    </w:p>
  </w:footnote>
  <w:footnote w:id="1099">
    <w:p w14:paraId="18345CEA" w14:textId="77777777" w:rsidR="00B47FF5" w:rsidRDefault="00B47FF5" w:rsidP="00537CC8">
      <w:pPr>
        <w:pStyle w:val="FootnoteText"/>
      </w:pPr>
      <w:r>
        <w:rPr>
          <w:rStyle w:val="FootnoteReference"/>
        </w:rPr>
        <w:footnoteRef/>
      </w:r>
      <w:r>
        <w:rPr>
          <w:rtl/>
        </w:rPr>
        <w:t xml:space="preserve"> </w:t>
      </w:r>
      <w:r w:rsidRPr="00FB41C5">
        <w:t>Intrapreneurship</w:t>
      </w:r>
    </w:p>
  </w:footnote>
  <w:footnote w:id="1100">
    <w:p w14:paraId="2BDD48B0" w14:textId="77777777" w:rsidR="00B47FF5" w:rsidRDefault="00B47FF5" w:rsidP="00537CC8">
      <w:pPr>
        <w:pStyle w:val="FootnoteText"/>
      </w:pPr>
      <w:r>
        <w:rPr>
          <w:rStyle w:val="FootnoteReference"/>
        </w:rPr>
        <w:footnoteRef/>
      </w:r>
      <w:r>
        <w:rPr>
          <w:rtl/>
        </w:rPr>
        <w:t xml:space="preserve"> </w:t>
      </w:r>
      <w:r>
        <w:t>Gaming</w:t>
      </w:r>
    </w:p>
  </w:footnote>
  <w:footnote w:id="1101">
    <w:p w14:paraId="633A4CF2" w14:textId="77777777" w:rsidR="00B47FF5" w:rsidRDefault="00B47FF5" w:rsidP="00537CC8">
      <w:pPr>
        <w:pStyle w:val="FootnoteText"/>
      </w:pPr>
      <w:r>
        <w:rPr>
          <w:rStyle w:val="FootnoteReference"/>
        </w:rPr>
        <w:footnoteRef/>
      </w:r>
      <w:r>
        <w:rPr>
          <w:rtl/>
        </w:rPr>
        <w:t xml:space="preserve"> </w:t>
      </w:r>
      <w:r>
        <w:t>Futures Studies</w:t>
      </w:r>
    </w:p>
  </w:footnote>
  <w:footnote w:id="1102">
    <w:p w14:paraId="4EA6C4EB" w14:textId="77777777" w:rsidR="00B47FF5" w:rsidRDefault="00B47FF5" w:rsidP="00537CC8">
      <w:pPr>
        <w:pStyle w:val="FootnoteText"/>
      </w:pPr>
      <w:r>
        <w:rPr>
          <w:rStyle w:val="FootnoteReference"/>
        </w:rPr>
        <w:footnoteRef/>
      </w:r>
      <w:r>
        <w:rPr>
          <w:rtl/>
        </w:rPr>
        <w:t xml:space="preserve"> </w:t>
      </w:r>
      <w:r w:rsidRPr="004B5FD9">
        <w:t>Alternative Futures</w:t>
      </w:r>
    </w:p>
  </w:footnote>
  <w:footnote w:id="1103">
    <w:p w14:paraId="6EDD3F83" w14:textId="77777777" w:rsidR="00B47FF5" w:rsidRDefault="00B47FF5" w:rsidP="00537CC8">
      <w:pPr>
        <w:pStyle w:val="FootnoteText"/>
      </w:pPr>
      <w:r>
        <w:rPr>
          <w:rStyle w:val="FootnoteReference"/>
        </w:rPr>
        <w:footnoteRef/>
      </w:r>
      <w:r>
        <w:rPr>
          <w:rtl/>
        </w:rPr>
        <w:t xml:space="preserve"> </w:t>
      </w:r>
      <w:r w:rsidRPr="004C3661">
        <w:t>Foresight Specialty Association</w:t>
      </w:r>
    </w:p>
  </w:footnote>
  <w:footnote w:id="1104">
    <w:p w14:paraId="38DA841E" w14:textId="77777777" w:rsidR="00B47FF5" w:rsidRDefault="00B47FF5" w:rsidP="00537CC8">
      <w:pPr>
        <w:pStyle w:val="FootnoteText"/>
      </w:pPr>
      <w:r>
        <w:rPr>
          <w:rStyle w:val="FootnoteReference"/>
        </w:rPr>
        <w:footnoteRef/>
      </w:r>
      <w:r>
        <w:rPr>
          <w:rtl/>
        </w:rPr>
        <w:t xml:space="preserve"> </w:t>
      </w:r>
      <w:r w:rsidRPr="007B733C">
        <w:t>Institute of Management Accountants</w:t>
      </w:r>
    </w:p>
  </w:footnote>
  <w:footnote w:id="1105">
    <w:p w14:paraId="320B52BC" w14:textId="77777777" w:rsidR="00B47FF5" w:rsidRDefault="00B47FF5" w:rsidP="00537CC8">
      <w:pPr>
        <w:pStyle w:val="FootnoteText"/>
      </w:pPr>
      <w:r>
        <w:rPr>
          <w:rStyle w:val="FootnoteReference"/>
        </w:rPr>
        <w:footnoteRef/>
      </w:r>
      <w:r>
        <w:rPr>
          <w:rtl/>
        </w:rPr>
        <w:t xml:space="preserve"> </w:t>
      </w:r>
      <w:r w:rsidRPr="006C6D8F">
        <w:t>Strategic Finance</w:t>
      </w:r>
    </w:p>
  </w:footnote>
  <w:footnote w:id="1106">
    <w:p w14:paraId="7771B5FC" w14:textId="01560ABE" w:rsidR="00B47FF5" w:rsidRDefault="00B47FF5" w:rsidP="00537CC8">
      <w:pPr>
        <w:pStyle w:val="FootnoteText"/>
      </w:pPr>
      <w:r>
        <w:rPr>
          <w:rStyle w:val="FootnoteReference"/>
        </w:rPr>
        <w:footnoteRef/>
      </w:r>
      <w:r>
        <w:rPr>
          <w:rtl/>
        </w:rPr>
        <w:t xml:space="preserve"> </w:t>
      </w:r>
      <w:r>
        <w:t>Focus groups</w:t>
      </w:r>
    </w:p>
  </w:footnote>
  <w:footnote w:id="1107">
    <w:p w14:paraId="605F6D85" w14:textId="77777777" w:rsidR="00B47FF5" w:rsidRDefault="00B47FF5" w:rsidP="00537CC8">
      <w:pPr>
        <w:pStyle w:val="FootnoteText"/>
      </w:pPr>
      <w:r>
        <w:rPr>
          <w:rStyle w:val="FootnoteReference"/>
        </w:rPr>
        <w:footnoteRef/>
      </w:r>
      <w:r>
        <w:rPr>
          <w:rtl/>
        </w:rPr>
        <w:t xml:space="preserve"> </w:t>
      </w:r>
      <w:r w:rsidRPr="000A1559">
        <w:t>National Customer Service Association</w:t>
      </w:r>
    </w:p>
  </w:footnote>
  <w:footnote w:id="1108">
    <w:p w14:paraId="47F97396" w14:textId="77777777" w:rsidR="00B47FF5" w:rsidRDefault="00B47FF5" w:rsidP="00537CC8">
      <w:pPr>
        <w:pStyle w:val="FootnoteText"/>
      </w:pPr>
      <w:r>
        <w:rPr>
          <w:rStyle w:val="FootnoteReference"/>
        </w:rPr>
        <w:footnoteRef/>
      </w:r>
      <w:r>
        <w:rPr>
          <w:rtl/>
        </w:rPr>
        <w:t xml:space="preserve"> </w:t>
      </w:r>
      <w:r w:rsidRPr="000A1559">
        <w:t>How to Measure Anything</w:t>
      </w:r>
    </w:p>
  </w:footnote>
  <w:footnote w:id="1109">
    <w:p w14:paraId="47D42D64" w14:textId="77777777" w:rsidR="00B47FF5" w:rsidRDefault="00B47FF5" w:rsidP="00537CC8">
      <w:pPr>
        <w:pStyle w:val="FootnoteText"/>
      </w:pPr>
      <w:r>
        <w:rPr>
          <w:rStyle w:val="FootnoteReference"/>
        </w:rPr>
        <w:footnoteRef/>
      </w:r>
      <w:r>
        <w:rPr>
          <w:rtl/>
        </w:rPr>
        <w:t xml:space="preserve"> </w:t>
      </w:r>
      <w:r w:rsidRPr="00644E40">
        <w:t>Douglas Hubbard</w:t>
      </w:r>
    </w:p>
  </w:footnote>
  <w:footnote w:id="1110">
    <w:p w14:paraId="31DE1E62" w14:textId="77777777" w:rsidR="00B47FF5" w:rsidRDefault="00B47FF5" w:rsidP="00537CC8">
      <w:pPr>
        <w:pStyle w:val="FootnoteText"/>
      </w:pPr>
      <w:r>
        <w:rPr>
          <w:rStyle w:val="FootnoteReference"/>
        </w:rPr>
        <w:footnoteRef/>
      </w:r>
      <w:r>
        <w:rPr>
          <w:rtl/>
        </w:rPr>
        <w:t xml:space="preserve"> </w:t>
      </w:r>
      <w:r w:rsidRPr="007B733C">
        <w:t>Association of ProfessionalFuturists</w:t>
      </w:r>
    </w:p>
  </w:footnote>
  <w:footnote w:id="1111">
    <w:p w14:paraId="31407343" w14:textId="77777777" w:rsidR="00B47FF5" w:rsidRDefault="00B47FF5" w:rsidP="00537CC8">
      <w:pPr>
        <w:pStyle w:val="FootnoteText"/>
      </w:pPr>
      <w:r>
        <w:rPr>
          <w:rStyle w:val="FootnoteReference"/>
        </w:rPr>
        <w:footnoteRef/>
      </w:r>
      <w:r>
        <w:rPr>
          <w:rtl/>
        </w:rPr>
        <w:t xml:space="preserve"> </w:t>
      </w:r>
      <w:r w:rsidRPr="00FB49CE">
        <w:t>Institute for Operations Research and the Mgmt Sciences</w:t>
      </w:r>
    </w:p>
  </w:footnote>
  <w:footnote w:id="1112">
    <w:p w14:paraId="1092AD21" w14:textId="77777777" w:rsidR="00B47FF5" w:rsidRDefault="00B47FF5" w:rsidP="00537CC8">
      <w:pPr>
        <w:pStyle w:val="FootnoteText"/>
      </w:pPr>
      <w:r>
        <w:rPr>
          <w:rStyle w:val="FootnoteReference"/>
        </w:rPr>
        <w:footnoteRef/>
      </w:r>
      <w:r>
        <w:rPr>
          <w:rtl/>
        </w:rPr>
        <w:t xml:space="preserve"> </w:t>
      </w:r>
      <w:r w:rsidRPr="00FB49CE">
        <w:t>European Working Group on Decision Support Systems</w:t>
      </w:r>
    </w:p>
  </w:footnote>
  <w:footnote w:id="1113">
    <w:p w14:paraId="66089205" w14:textId="77777777" w:rsidR="00B47FF5" w:rsidRDefault="00B47FF5" w:rsidP="00537CC8">
      <w:pPr>
        <w:pStyle w:val="FootnoteText"/>
      </w:pPr>
      <w:r>
        <w:rPr>
          <w:rStyle w:val="FootnoteReference"/>
        </w:rPr>
        <w:footnoteRef/>
      </w:r>
      <w:r>
        <w:rPr>
          <w:rtl/>
        </w:rPr>
        <w:t xml:space="preserve"> </w:t>
      </w:r>
      <w:r w:rsidRPr="00FB49CE">
        <w:t>Institute of Internal Auditors</w:t>
      </w:r>
    </w:p>
  </w:footnote>
  <w:footnote w:id="1114">
    <w:p w14:paraId="71D6AB25" w14:textId="77777777" w:rsidR="00B47FF5" w:rsidRDefault="00B47FF5" w:rsidP="00537CC8">
      <w:pPr>
        <w:pStyle w:val="FootnoteText"/>
      </w:pPr>
      <w:r>
        <w:rPr>
          <w:rStyle w:val="FootnoteReference"/>
        </w:rPr>
        <w:footnoteRef/>
      </w:r>
      <w:r>
        <w:rPr>
          <w:rtl/>
        </w:rPr>
        <w:t xml:space="preserve"> </w:t>
      </w:r>
      <w:r w:rsidRPr="00FB49CE">
        <w:t>Association of Change Management Professionals</w:t>
      </w:r>
    </w:p>
  </w:footnote>
  <w:footnote w:id="1115">
    <w:p w14:paraId="5370A8C5" w14:textId="77777777" w:rsidR="00B47FF5" w:rsidRDefault="00B47FF5" w:rsidP="00537CC8">
      <w:pPr>
        <w:pStyle w:val="FootnoteText"/>
      </w:pPr>
      <w:r>
        <w:rPr>
          <w:rStyle w:val="FootnoteReference"/>
        </w:rPr>
        <w:footnoteRef/>
      </w:r>
      <w:r>
        <w:rPr>
          <w:rtl/>
        </w:rPr>
        <w:t xml:space="preserve"> </w:t>
      </w:r>
      <w:r w:rsidRPr="00982DF3">
        <w:t>Benchmarking Network</w:t>
      </w:r>
    </w:p>
  </w:footnote>
  <w:footnote w:id="1116">
    <w:p w14:paraId="24077100" w14:textId="77777777" w:rsidR="00B47FF5" w:rsidRDefault="00B47FF5" w:rsidP="00537CC8">
      <w:pPr>
        <w:pStyle w:val="FootnoteText"/>
      </w:pPr>
      <w:r>
        <w:rPr>
          <w:rStyle w:val="FootnoteReference"/>
        </w:rPr>
        <w:footnoteRef/>
      </w:r>
      <w:r>
        <w:rPr>
          <w:rtl/>
        </w:rPr>
        <w:t xml:space="preserve"> </w:t>
      </w:r>
      <w:r w:rsidRPr="00982DF3">
        <w:t>Balanced Scorecard Institute</w:t>
      </w:r>
    </w:p>
  </w:footnote>
  <w:footnote w:id="1117">
    <w:p w14:paraId="4C86C1E6" w14:textId="77777777" w:rsidR="00B47FF5" w:rsidRDefault="00B47FF5" w:rsidP="00537CC8">
      <w:pPr>
        <w:pStyle w:val="FootnoteText"/>
      </w:pPr>
      <w:r>
        <w:rPr>
          <w:rStyle w:val="FootnoteReference"/>
        </w:rPr>
        <w:footnoteRef/>
      </w:r>
      <w:r>
        <w:rPr>
          <w:rtl/>
        </w:rPr>
        <w:t xml:space="preserve"> </w:t>
      </w:r>
      <w:r w:rsidRPr="00982DF3">
        <w:t>American Society for Quality</w:t>
      </w:r>
    </w:p>
  </w:footnote>
  <w:footnote w:id="1118">
    <w:p w14:paraId="68C97788" w14:textId="77777777" w:rsidR="00B47FF5" w:rsidRDefault="00B47FF5" w:rsidP="00537CC8">
      <w:pPr>
        <w:pStyle w:val="FootnoteText"/>
      </w:pPr>
      <w:r>
        <w:rPr>
          <w:rStyle w:val="FootnoteReference"/>
        </w:rPr>
        <w:footnoteRef/>
      </w:r>
      <w:r>
        <w:rPr>
          <w:rtl/>
        </w:rPr>
        <w:t xml:space="preserve"> </w:t>
      </w:r>
      <w:r w:rsidRPr="00982DF3">
        <w:t>Lean Six Sigma</w:t>
      </w:r>
    </w:p>
  </w:footnote>
  <w:footnote w:id="1119">
    <w:p w14:paraId="13FB9A97" w14:textId="77777777" w:rsidR="00B47FF5" w:rsidRDefault="00B47FF5" w:rsidP="00537CC8">
      <w:pPr>
        <w:pStyle w:val="FootnoteText"/>
      </w:pPr>
      <w:r>
        <w:rPr>
          <w:rStyle w:val="FootnoteReference"/>
        </w:rPr>
        <w:footnoteRef/>
      </w:r>
      <w:r>
        <w:rPr>
          <w:rtl/>
        </w:rPr>
        <w:t xml:space="preserve"> </w:t>
      </w:r>
      <w:r w:rsidRPr="00982DF3">
        <w:t>Open Data Science Community</w:t>
      </w:r>
    </w:p>
  </w:footnote>
  <w:footnote w:id="1120">
    <w:p w14:paraId="366641D6" w14:textId="77777777" w:rsidR="00B47FF5" w:rsidRDefault="00B47FF5" w:rsidP="00537CC8">
      <w:pPr>
        <w:pStyle w:val="FootnoteText"/>
      </w:pPr>
      <w:r>
        <w:rPr>
          <w:rStyle w:val="FootnoteReference"/>
        </w:rPr>
        <w:footnoteRef/>
      </w:r>
      <w:r>
        <w:rPr>
          <w:rtl/>
        </w:rPr>
        <w:t xml:space="preserve"> </w:t>
      </w:r>
      <w:r w:rsidRPr="00982DF3">
        <w:t>Open Data Science</w:t>
      </w:r>
    </w:p>
  </w:footnote>
  <w:footnote w:id="1121">
    <w:p w14:paraId="0BF88450" w14:textId="1DFFD101" w:rsidR="00B47FF5" w:rsidRDefault="00B47FF5" w:rsidP="00537CC8">
      <w:pPr>
        <w:pStyle w:val="FootnoteText"/>
      </w:pPr>
      <w:r>
        <w:rPr>
          <w:rStyle w:val="FootnoteReference"/>
        </w:rPr>
        <w:footnoteRef/>
      </w:r>
      <w:r>
        <w:rPr>
          <w:rtl/>
        </w:rPr>
        <w:t xml:space="preserve"> </w:t>
      </w:r>
      <w:r w:rsidRPr="00982DF3">
        <w:t>Predictive analytics</w:t>
      </w:r>
    </w:p>
  </w:footnote>
  <w:footnote w:id="1122">
    <w:p w14:paraId="57F8B52C" w14:textId="77777777" w:rsidR="00B47FF5" w:rsidRDefault="00B47FF5" w:rsidP="00537CC8">
      <w:pPr>
        <w:pStyle w:val="FootnoteText"/>
      </w:pPr>
      <w:r>
        <w:rPr>
          <w:rStyle w:val="FootnoteReference"/>
        </w:rPr>
        <w:footnoteRef/>
      </w:r>
      <w:r>
        <w:rPr>
          <w:rtl/>
        </w:rPr>
        <w:t xml:space="preserve"> </w:t>
      </w:r>
      <w:r w:rsidRPr="00982DF3">
        <w:t>Accelerate AI Summit</w:t>
      </w:r>
    </w:p>
  </w:footnote>
  <w:footnote w:id="1123">
    <w:p w14:paraId="7B4B3717" w14:textId="77777777" w:rsidR="00B47FF5" w:rsidRDefault="00B47FF5" w:rsidP="00537CC8">
      <w:pPr>
        <w:pStyle w:val="FootnoteText"/>
      </w:pPr>
      <w:r>
        <w:rPr>
          <w:rStyle w:val="FootnoteReference"/>
        </w:rPr>
        <w:footnoteRef/>
      </w:r>
      <w:r>
        <w:rPr>
          <w:rtl/>
        </w:rPr>
        <w:t xml:space="preserve"> </w:t>
      </w:r>
      <w:r>
        <w:t>AI Learning Accelerator</w:t>
      </w:r>
    </w:p>
  </w:footnote>
  <w:footnote w:id="1124">
    <w:p w14:paraId="0F8D72F5" w14:textId="77777777" w:rsidR="00B47FF5" w:rsidRDefault="00B47FF5" w:rsidP="00537CC8">
      <w:pPr>
        <w:pStyle w:val="FootnoteText"/>
      </w:pPr>
      <w:r>
        <w:rPr>
          <w:rStyle w:val="FootnoteReference"/>
        </w:rPr>
        <w:footnoteRef/>
      </w:r>
      <w:r>
        <w:rPr>
          <w:rtl/>
        </w:rPr>
        <w:t xml:space="preserve"> </w:t>
      </w:r>
      <w:r w:rsidRPr="00982DF3">
        <w:t>Kaggle</w:t>
      </w:r>
    </w:p>
  </w:footnote>
  <w:footnote w:id="1125">
    <w:p w14:paraId="407FCF63" w14:textId="77777777" w:rsidR="00B47FF5" w:rsidRDefault="00B47FF5" w:rsidP="00537CC8">
      <w:pPr>
        <w:pStyle w:val="FootnoteText"/>
      </w:pPr>
      <w:r>
        <w:rPr>
          <w:rStyle w:val="FootnoteReference"/>
        </w:rPr>
        <w:footnoteRef/>
      </w:r>
      <w:r>
        <w:rPr>
          <w:rtl/>
        </w:rPr>
        <w:t xml:space="preserve"> </w:t>
      </w:r>
      <w:r w:rsidRPr="0088748E">
        <w:t>Kaggle Learning</w:t>
      </w:r>
    </w:p>
  </w:footnote>
  <w:footnote w:id="1126">
    <w:p w14:paraId="0243CD27" w14:textId="77777777" w:rsidR="00B47FF5" w:rsidRDefault="00B47FF5" w:rsidP="00537CC8">
      <w:pPr>
        <w:pStyle w:val="FootnoteText"/>
      </w:pPr>
      <w:r>
        <w:rPr>
          <w:rStyle w:val="FootnoteReference"/>
        </w:rPr>
        <w:footnoteRef/>
      </w:r>
      <w:r>
        <w:rPr>
          <w:rtl/>
        </w:rPr>
        <w:t xml:space="preserve"> </w:t>
      </w:r>
      <w:r w:rsidRPr="0088748E">
        <w:t>Digital Analytics Association</w:t>
      </w:r>
    </w:p>
  </w:footnote>
  <w:footnote w:id="1127">
    <w:p w14:paraId="7E220FE1" w14:textId="77777777" w:rsidR="00B47FF5" w:rsidRDefault="00B47FF5" w:rsidP="00537CC8">
      <w:pPr>
        <w:pStyle w:val="FootnoteText"/>
      </w:pPr>
      <w:r>
        <w:rPr>
          <w:rStyle w:val="FootnoteReference"/>
        </w:rPr>
        <w:footnoteRef/>
      </w:r>
      <w:r>
        <w:rPr>
          <w:rtl/>
        </w:rPr>
        <w:t xml:space="preserve"> </w:t>
      </w:r>
      <w:r w:rsidRPr="00FD06DB">
        <w:t>eMetrics</w:t>
      </w:r>
    </w:p>
  </w:footnote>
  <w:footnote w:id="1128">
    <w:p w14:paraId="7BC82C37" w14:textId="77777777" w:rsidR="00B47FF5" w:rsidRDefault="00B47FF5" w:rsidP="00537CC8">
      <w:pPr>
        <w:pStyle w:val="FootnoteText"/>
      </w:pPr>
      <w:r>
        <w:rPr>
          <w:rStyle w:val="FootnoteReference"/>
        </w:rPr>
        <w:footnoteRef/>
      </w:r>
      <w:r>
        <w:rPr>
          <w:rtl/>
        </w:rPr>
        <w:t xml:space="preserve"> </w:t>
      </w:r>
      <w:r w:rsidRPr="00FD06DB">
        <w:t>Text Analytics</w:t>
      </w:r>
    </w:p>
  </w:footnote>
  <w:footnote w:id="1129">
    <w:p w14:paraId="4955261A" w14:textId="77777777" w:rsidR="00B47FF5" w:rsidRDefault="00B47FF5" w:rsidP="00537CC8">
      <w:pPr>
        <w:pStyle w:val="FootnoteText"/>
      </w:pPr>
      <w:r>
        <w:rPr>
          <w:rStyle w:val="FootnoteReference"/>
        </w:rPr>
        <w:footnoteRef/>
      </w:r>
      <w:r>
        <w:rPr>
          <w:rtl/>
        </w:rPr>
        <w:t xml:space="preserve"> </w:t>
      </w:r>
      <w:r w:rsidRPr="00FD06DB">
        <w:t>Digital Analytics</w:t>
      </w:r>
    </w:p>
  </w:footnote>
  <w:footnote w:id="1130">
    <w:p w14:paraId="62A3917B" w14:textId="77777777" w:rsidR="00B47FF5" w:rsidRDefault="00B47FF5" w:rsidP="00537CC8">
      <w:pPr>
        <w:pStyle w:val="FootnoteText"/>
      </w:pPr>
      <w:r>
        <w:rPr>
          <w:rStyle w:val="FootnoteReference"/>
        </w:rPr>
        <w:footnoteRef/>
      </w:r>
      <w:r>
        <w:rPr>
          <w:rtl/>
        </w:rPr>
        <w:t xml:space="preserve"> </w:t>
      </w:r>
      <w:r w:rsidRPr="0088748E">
        <w:t>Predictive Analytics World</w:t>
      </w:r>
    </w:p>
  </w:footnote>
  <w:footnote w:id="1131">
    <w:p w14:paraId="3810F3F3" w14:textId="77777777" w:rsidR="00B47FF5" w:rsidRDefault="00B47FF5" w:rsidP="00537CC8">
      <w:pPr>
        <w:pStyle w:val="FootnoteText"/>
      </w:pPr>
      <w:r>
        <w:rPr>
          <w:rStyle w:val="FootnoteReference"/>
        </w:rPr>
        <w:footnoteRef/>
      </w:r>
      <w:r>
        <w:rPr>
          <w:rtl/>
        </w:rPr>
        <w:t xml:space="preserve"> </w:t>
      </w:r>
      <w:r w:rsidRPr="000D33AE">
        <w:t>Founder Institute</w:t>
      </w:r>
    </w:p>
  </w:footnote>
  <w:footnote w:id="1132">
    <w:p w14:paraId="7D6B8A10" w14:textId="77777777" w:rsidR="00B47FF5" w:rsidRDefault="00B47FF5" w:rsidP="00537CC8">
      <w:pPr>
        <w:pStyle w:val="FootnoteText"/>
      </w:pPr>
      <w:r>
        <w:rPr>
          <w:rStyle w:val="FootnoteReference"/>
        </w:rPr>
        <w:footnoteRef/>
      </w:r>
      <w:r>
        <w:rPr>
          <w:rtl/>
        </w:rPr>
        <w:t xml:space="preserve"> </w:t>
      </w:r>
      <w:r w:rsidRPr="000D33AE">
        <w:t>Lean Startup Circles</w:t>
      </w:r>
    </w:p>
  </w:footnote>
  <w:footnote w:id="1133">
    <w:p w14:paraId="219C9162" w14:textId="77777777" w:rsidR="00B47FF5" w:rsidRDefault="00B47FF5" w:rsidP="00537CC8">
      <w:pPr>
        <w:pStyle w:val="FootnoteText"/>
      </w:pPr>
      <w:r>
        <w:rPr>
          <w:rStyle w:val="FootnoteReference"/>
        </w:rPr>
        <w:footnoteRef/>
      </w:r>
      <w:r>
        <w:rPr>
          <w:rtl/>
        </w:rPr>
        <w:t xml:space="preserve"> </w:t>
      </w:r>
      <w:r>
        <w:t>Eric Ries</w:t>
      </w:r>
    </w:p>
  </w:footnote>
  <w:footnote w:id="1134">
    <w:p w14:paraId="0E8222F6" w14:textId="3127986D" w:rsidR="00B47FF5" w:rsidRDefault="00B47FF5" w:rsidP="00537CC8">
      <w:pPr>
        <w:pStyle w:val="FootnoteText"/>
      </w:pPr>
      <w:r>
        <w:rPr>
          <w:rStyle w:val="FootnoteReference"/>
        </w:rPr>
        <w:footnoteRef/>
      </w:r>
      <w:r>
        <w:rPr>
          <w:rtl/>
        </w:rPr>
        <w:t xml:space="preserve"> </w:t>
      </w:r>
      <w:r w:rsidRPr="000D33AE">
        <w:t>Self-Funded</w:t>
      </w:r>
    </w:p>
  </w:footnote>
  <w:footnote w:id="1135">
    <w:p w14:paraId="31840059" w14:textId="024864A9" w:rsidR="00B47FF5" w:rsidRDefault="00B47FF5" w:rsidP="00537CC8">
      <w:pPr>
        <w:pStyle w:val="FootnoteText"/>
      </w:pPr>
      <w:r>
        <w:rPr>
          <w:rStyle w:val="FootnoteReference"/>
        </w:rPr>
        <w:footnoteRef/>
      </w:r>
      <w:r>
        <w:rPr>
          <w:rtl/>
        </w:rPr>
        <w:t xml:space="preserve"> </w:t>
      </w:r>
      <w:r>
        <w:t>Spinouts</w:t>
      </w:r>
    </w:p>
  </w:footnote>
  <w:footnote w:id="1136">
    <w:p w14:paraId="300E2D06" w14:textId="7575EFB8" w:rsidR="00B47FF5" w:rsidRDefault="00B47FF5" w:rsidP="00537CC8">
      <w:pPr>
        <w:pStyle w:val="FootnoteText"/>
      </w:pPr>
      <w:r>
        <w:rPr>
          <w:rStyle w:val="FootnoteReference"/>
        </w:rPr>
        <w:footnoteRef/>
      </w:r>
      <w:r>
        <w:rPr>
          <w:rtl/>
        </w:rPr>
        <w:t xml:space="preserve"> </w:t>
      </w:r>
      <w:r w:rsidRPr="0045573A">
        <w:t>Intrapreneurship Conference</w:t>
      </w:r>
    </w:p>
  </w:footnote>
  <w:footnote w:id="1137">
    <w:p w14:paraId="2AE21F17" w14:textId="177C30A2" w:rsidR="00B47FF5" w:rsidRDefault="00B47FF5" w:rsidP="00537CC8">
      <w:pPr>
        <w:pStyle w:val="FootnoteText"/>
      </w:pPr>
      <w:r>
        <w:rPr>
          <w:rStyle w:val="FootnoteReference"/>
        </w:rPr>
        <w:footnoteRef/>
      </w:r>
      <w:r>
        <w:rPr>
          <w:rtl/>
        </w:rPr>
        <w:t xml:space="preserve"> </w:t>
      </w:r>
      <w:r w:rsidRPr="00FD06DB">
        <w:t>Owens And Fernandez</w:t>
      </w:r>
    </w:p>
  </w:footnote>
  <w:footnote w:id="1138">
    <w:p w14:paraId="3FCF7C03" w14:textId="66D1F073" w:rsidR="00B47FF5" w:rsidRDefault="00B47FF5" w:rsidP="00537CC8">
      <w:pPr>
        <w:pStyle w:val="FootnoteText"/>
      </w:pPr>
      <w:r>
        <w:rPr>
          <w:rStyle w:val="FootnoteReference"/>
        </w:rPr>
        <w:footnoteRef/>
      </w:r>
      <w:r>
        <w:rPr>
          <w:rtl/>
        </w:rPr>
        <w:t xml:space="preserve"> </w:t>
      </w:r>
      <w:r w:rsidRPr="0045573A">
        <w:t>International Association Of Facilitators</w:t>
      </w:r>
    </w:p>
  </w:footnote>
  <w:footnote w:id="1139">
    <w:p w14:paraId="15D563F2" w14:textId="38B94798" w:rsidR="00B47FF5" w:rsidRDefault="00B47FF5" w:rsidP="00537CC8">
      <w:pPr>
        <w:pStyle w:val="FootnoteText"/>
      </w:pPr>
      <w:r>
        <w:rPr>
          <w:rStyle w:val="FootnoteReference"/>
        </w:rPr>
        <w:footnoteRef/>
      </w:r>
      <w:r>
        <w:rPr>
          <w:rtl/>
        </w:rPr>
        <w:t xml:space="preserve"> </w:t>
      </w:r>
      <w:r w:rsidRPr="0045573A">
        <w:t>North American Simulation And Gaming Assn</w:t>
      </w:r>
    </w:p>
  </w:footnote>
  <w:footnote w:id="1140">
    <w:p w14:paraId="3668011F" w14:textId="09241728" w:rsidR="00B47FF5" w:rsidRDefault="00B47FF5" w:rsidP="00537CC8">
      <w:pPr>
        <w:pStyle w:val="FootnoteText"/>
      </w:pPr>
      <w:r>
        <w:rPr>
          <w:rStyle w:val="FootnoteReference"/>
        </w:rPr>
        <w:footnoteRef/>
      </w:r>
      <w:r>
        <w:rPr>
          <w:rtl/>
        </w:rPr>
        <w:t xml:space="preserve"> </w:t>
      </w:r>
      <w:r>
        <w:t>Serious Games</w:t>
      </w:r>
    </w:p>
  </w:footnote>
  <w:footnote w:id="1141">
    <w:p w14:paraId="4EFFE3AB" w14:textId="32023DFF" w:rsidR="00B47FF5" w:rsidRDefault="00B47FF5" w:rsidP="00537CC8">
      <w:pPr>
        <w:pStyle w:val="FootnoteText"/>
      </w:pPr>
      <w:r>
        <w:rPr>
          <w:rStyle w:val="FootnoteReference"/>
        </w:rPr>
        <w:footnoteRef/>
      </w:r>
      <w:r>
        <w:rPr>
          <w:rtl/>
        </w:rPr>
        <w:t xml:space="preserve"> </w:t>
      </w:r>
      <w:r>
        <w:t>Gamestorming</w:t>
      </w:r>
    </w:p>
  </w:footnote>
  <w:footnote w:id="1142">
    <w:p w14:paraId="49CDF60E" w14:textId="77777777" w:rsidR="00B47FF5" w:rsidRDefault="00B47FF5" w:rsidP="00537CC8">
      <w:pPr>
        <w:pStyle w:val="FootnoteText"/>
      </w:pPr>
      <w:r>
        <w:rPr>
          <w:rStyle w:val="FootnoteReference"/>
        </w:rPr>
        <w:footnoteRef/>
      </w:r>
      <w:r>
        <w:rPr>
          <w:rtl/>
        </w:rPr>
        <w:t xml:space="preserve"> </w:t>
      </w:r>
      <w:r w:rsidRPr="00375FF5">
        <w:t>International Institute of Forecasters</w:t>
      </w:r>
    </w:p>
  </w:footnote>
  <w:footnote w:id="1143">
    <w:p w14:paraId="7D65563E" w14:textId="77777777" w:rsidR="00B47FF5" w:rsidRDefault="00B47FF5" w:rsidP="00537CC8">
      <w:pPr>
        <w:pStyle w:val="FootnoteText"/>
      </w:pPr>
      <w:r>
        <w:rPr>
          <w:rStyle w:val="FootnoteReference"/>
        </w:rPr>
        <w:footnoteRef/>
      </w:r>
      <w:r>
        <w:rPr>
          <w:rtl/>
        </w:rPr>
        <w:t xml:space="preserve"> </w:t>
      </w:r>
      <w:r w:rsidRPr="00375FF5">
        <w:t>International Symposium on Forecasting</w:t>
      </w:r>
    </w:p>
  </w:footnote>
  <w:footnote w:id="1144">
    <w:p w14:paraId="33AA7C97" w14:textId="77777777" w:rsidR="00B47FF5" w:rsidRDefault="00B47FF5" w:rsidP="00537CC8">
      <w:pPr>
        <w:pStyle w:val="FootnoteText"/>
      </w:pPr>
      <w:r>
        <w:rPr>
          <w:rStyle w:val="FootnoteReference"/>
        </w:rPr>
        <w:footnoteRef/>
      </w:r>
      <w:r>
        <w:rPr>
          <w:rtl/>
        </w:rPr>
        <w:t xml:space="preserve"> </w:t>
      </w:r>
      <w:r w:rsidRPr="00375FF5">
        <w:t>Foresight: The Journal of Applied Forecasting</w:t>
      </w:r>
    </w:p>
  </w:footnote>
  <w:footnote w:id="1145">
    <w:p w14:paraId="2E7A6E45" w14:textId="77777777" w:rsidR="00B47FF5" w:rsidRDefault="00B47FF5" w:rsidP="00537CC8">
      <w:pPr>
        <w:pStyle w:val="FootnoteText"/>
      </w:pPr>
      <w:r>
        <w:rPr>
          <w:rStyle w:val="FootnoteReference"/>
        </w:rPr>
        <w:footnoteRef/>
      </w:r>
      <w:r>
        <w:rPr>
          <w:rtl/>
        </w:rPr>
        <w:t xml:space="preserve"> </w:t>
      </w:r>
      <w:r w:rsidRPr="00375FF5">
        <w:t>International Journal of Forecasting</w:t>
      </w:r>
    </w:p>
  </w:footnote>
  <w:footnote w:id="1146">
    <w:p w14:paraId="29E5167F" w14:textId="77777777" w:rsidR="00B47FF5" w:rsidRDefault="00B47FF5" w:rsidP="00537CC8">
      <w:pPr>
        <w:pStyle w:val="FootnoteText"/>
      </w:pPr>
      <w:r>
        <w:rPr>
          <w:rStyle w:val="FootnoteReference"/>
        </w:rPr>
        <w:footnoteRef/>
      </w:r>
      <w:r>
        <w:rPr>
          <w:rtl/>
        </w:rPr>
        <w:t xml:space="preserve"> </w:t>
      </w:r>
      <w:r w:rsidRPr="00375FF5">
        <w:t>Journal of Prediction Markets</w:t>
      </w:r>
    </w:p>
  </w:footnote>
  <w:footnote w:id="1147">
    <w:p w14:paraId="549CE046" w14:textId="77777777" w:rsidR="00B47FF5" w:rsidRDefault="00B47FF5" w:rsidP="00537CC8">
      <w:pPr>
        <w:pStyle w:val="FootnoteText"/>
      </w:pPr>
      <w:r>
        <w:rPr>
          <w:rStyle w:val="FootnoteReference"/>
        </w:rPr>
        <w:footnoteRef/>
      </w:r>
      <w:r>
        <w:rPr>
          <w:rtl/>
        </w:rPr>
        <w:t xml:space="preserve"> </w:t>
      </w:r>
      <w:r w:rsidRPr="00375FF5">
        <w:t>Superforecasting</w:t>
      </w:r>
    </w:p>
  </w:footnote>
  <w:footnote w:id="1148">
    <w:p w14:paraId="2154CAFA" w14:textId="7BC6124B" w:rsidR="00B47FF5" w:rsidRDefault="00B47FF5" w:rsidP="00537CC8">
      <w:pPr>
        <w:pStyle w:val="FootnoteText"/>
      </w:pPr>
      <w:r>
        <w:rPr>
          <w:rStyle w:val="FootnoteReference"/>
        </w:rPr>
        <w:footnoteRef/>
      </w:r>
      <w:r>
        <w:rPr>
          <w:rtl/>
        </w:rPr>
        <w:t xml:space="preserve"> </w:t>
      </w:r>
      <w:r w:rsidRPr="00375FF5">
        <w:t>Collective probabilistic foresight</w:t>
      </w:r>
    </w:p>
  </w:footnote>
  <w:footnote w:id="1149">
    <w:p w14:paraId="4CFBA1BA" w14:textId="77777777" w:rsidR="00B47FF5" w:rsidRDefault="00B47FF5" w:rsidP="00537CC8">
      <w:pPr>
        <w:pStyle w:val="FootnoteText"/>
      </w:pPr>
      <w:r>
        <w:rPr>
          <w:rStyle w:val="FootnoteReference"/>
        </w:rPr>
        <w:footnoteRef/>
      </w:r>
      <w:r>
        <w:rPr>
          <w:rtl/>
        </w:rPr>
        <w:t xml:space="preserve"> </w:t>
      </w:r>
      <w:r w:rsidRPr="00375FF5">
        <w:t>Society for Human Resource Mgmt</w:t>
      </w:r>
    </w:p>
  </w:footnote>
  <w:footnote w:id="1150">
    <w:p w14:paraId="6C782C4B" w14:textId="77777777" w:rsidR="00B47FF5" w:rsidRDefault="00B47FF5" w:rsidP="00537CC8">
      <w:pPr>
        <w:pStyle w:val="FootnoteText"/>
      </w:pPr>
      <w:r>
        <w:rPr>
          <w:rStyle w:val="FootnoteReference"/>
        </w:rPr>
        <w:footnoteRef/>
      </w:r>
      <w:r>
        <w:rPr>
          <w:rtl/>
        </w:rPr>
        <w:t xml:space="preserve"> </w:t>
      </w:r>
      <w:r w:rsidRPr="00D2019E">
        <w:t>KPI Institute</w:t>
      </w:r>
    </w:p>
  </w:footnote>
  <w:footnote w:id="1151">
    <w:p w14:paraId="59481D46" w14:textId="77777777" w:rsidR="00B47FF5" w:rsidRDefault="00B47FF5" w:rsidP="00537CC8">
      <w:pPr>
        <w:pStyle w:val="FootnoteText"/>
      </w:pPr>
      <w:r>
        <w:rPr>
          <w:rStyle w:val="FootnoteReference"/>
        </w:rPr>
        <w:footnoteRef/>
      </w:r>
      <w:r>
        <w:rPr>
          <w:rtl/>
        </w:rPr>
        <w:t xml:space="preserve"> </w:t>
      </w:r>
      <w:r w:rsidRPr="00D2019E">
        <w:t>Key Performance Indicators</w:t>
      </w:r>
    </w:p>
  </w:footnote>
  <w:footnote w:id="1152">
    <w:p w14:paraId="3E97F327" w14:textId="77777777" w:rsidR="00B47FF5" w:rsidRDefault="00B47FF5" w:rsidP="00537CC8">
      <w:pPr>
        <w:pStyle w:val="FootnoteText"/>
      </w:pPr>
      <w:r>
        <w:rPr>
          <w:rStyle w:val="FootnoteReference"/>
        </w:rPr>
        <w:footnoteRef/>
      </w:r>
      <w:r>
        <w:rPr>
          <w:rtl/>
        </w:rPr>
        <w:t xml:space="preserve"> </w:t>
      </w:r>
      <w:r w:rsidRPr="00D2019E">
        <w:t>Objectives and Key Results</w:t>
      </w:r>
    </w:p>
  </w:footnote>
  <w:footnote w:id="1153">
    <w:p w14:paraId="6657E825" w14:textId="77777777" w:rsidR="00B47FF5" w:rsidRDefault="00B47FF5" w:rsidP="00537CC8">
      <w:pPr>
        <w:pStyle w:val="FootnoteText"/>
      </w:pPr>
      <w:r>
        <w:rPr>
          <w:rStyle w:val="FootnoteReference"/>
        </w:rPr>
        <w:footnoteRef/>
      </w:r>
      <w:r>
        <w:rPr>
          <w:rtl/>
        </w:rPr>
        <w:t xml:space="preserve"> </w:t>
      </w:r>
      <w:r w:rsidRPr="00FD06DB">
        <w:t>InnoCentive</w:t>
      </w:r>
    </w:p>
  </w:footnote>
  <w:footnote w:id="1154">
    <w:p w14:paraId="5571D07F" w14:textId="77777777" w:rsidR="00B47FF5" w:rsidRDefault="00B47FF5" w:rsidP="00537CC8">
      <w:pPr>
        <w:pStyle w:val="FootnoteText"/>
      </w:pPr>
      <w:r>
        <w:rPr>
          <w:rStyle w:val="FootnoteReference"/>
        </w:rPr>
        <w:footnoteRef/>
      </w:r>
      <w:r>
        <w:rPr>
          <w:rtl/>
        </w:rPr>
        <w:t xml:space="preserve"> </w:t>
      </w:r>
      <w:r w:rsidRPr="00D2019E">
        <w:t>Innovation Tournaments</w:t>
      </w:r>
    </w:p>
  </w:footnote>
  <w:footnote w:id="1155">
    <w:p w14:paraId="0A58780C" w14:textId="77777777" w:rsidR="00B47FF5" w:rsidRDefault="00B47FF5" w:rsidP="00537CC8">
      <w:pPr>
        <w:pStyle w:val="FootnoteText"/>
      </w:pPr>
      <w:r>
        <w:rPr>
          <w:rStyle w:val="FootnoteReference"/>
        </w:rPr>
        <w:footnoteRef/>
      </w:r>
      <w:r>
        <w:rPr>
          <w:rtl/>
        </w:rPr>
        <w:t xml:space="preserve"> </w:t>
      </w:r>
      <w:r w:rsidRPr="00FD06DB">
        <w:t>Terwiesch</w:t>
      </w:r>
    </w:p>
  </w:footnote>
  <w:footnote w:id="1156">
    <w:p w14:paraId="7F022B03" w14:textId="77777777" w:rsidR="00B47FF5" w:rsidRDefault="00B47FF5" w:rsidP="00537CC8">
      <w:pPr>
        <w:pStyle w:val="FootnoteText"/>
      </w:pPr>
      <w:r>
        <w:rPr>
          <w:rStyle w:val="FootnoteReference"/>
        </w:rPr>
        <w:footnoteRef/>
      </w:r>
      <w:r>
        <w:rPr>
          <w:rtl/>
        </w:rPr>
        <w:t xml:space="preserve"> </w:t>
      </w:r>
      <w:r w:rsidRPr="00FD06DB">
        <w:t>Ulrich</w:t>
      </w:r>
    </w:p>
  </w:footnote>
  <w:footnote w:id="1157">
    <w:p w14:paraId="11391D4F" w14:textId="77777777" w:rsidR="00B47FF5" w:rsidRDefault="00B47FF5" w:rsidP="00537CC8">
      <w:pPr>
        <w:pStyle w:val="FootnoteText"/>
      </w:pPr>
      <w:r>
        <w:rPr>
          <w:rStyle w:val="FootnoteReference"/>
        </w:rPr>
        <w:footnoteRef/>
      </w:r>
      <w:r>
        <w:rPr>
          <w:rtl/>
        </w:rPr>
        <w:t xml:space="preserve"> </w:t>
      </w:r>
      <w:r w:rsidRPr="00D2019E">
        <w:t>American Creativity Association</w:t>
      </w:r>
    </w:p>
  </w:footnote>
  <w:footnote w:id="1158">
    <w:p w14:paraId="5726260E" w14:textId="77777777" w:rsidR="00B47FF5" w:rsidRDefault="00B47FF5" w:rsidP="00537CC8">
      <w:pPr>
        <w:pStyle w:val="FootnoteText"/>
      </w:pPr>
      <w:r>
        <w:rPr>
          <w:rStyle w:val="FootnoteReference"/>
        </w:rPr>
        <w:footnoteRef/>
      </w:r>
      <w:r>
        <w:rPr>
          <w:rtl/>
        </w:rPr>
        <w:t xml:space="preserve"> </w:t>
      </w:r>
      <w:r w:rsidRPr="00C30DF4">
        <w:t>Creativity Research Journal</w:t>
      </w:r>
    </w:p>
  </w:footnote>
  <w:footnote w:id="1159">
    <w:p w14:paraId="6D8ED66D" w14:textId="77777777" w:rsidR="00B47FF5" w:rsidRDefault="00B47FF5" w:rsidP="00537CC8">
      <w:pPr>
        <w:pStyle w:val="FootnoteText"/>
      </w:pPr>
      <w:r>
        <w:rPr>
          <w:rStyle w:val="FootnoteReference"/>
        </w:rPr>
        <w:footnoteRef/>
      </w:r>
      <w:r>
        <w:rPr>
          <w:rtl/>
        </w:rPr>
        <w:t xml:space="preserve"> </w:t>
      </w:r>
      <w:r w:rsidRPr="00C30DF4">
        <w:t>Journal of Creative Behavior</w:t>
      </w:r>
    </w:p>
  </w:footnote>
  <w:footnote w:id="1160">
    <w:p w14:paraId="1BC510A8" w14:textId="77777777" w:rsidR="00B47FF5" w:rsidRDefault="00B47FF5" w:rsidP="00537CC8">
      <w:pPr>
        <w:pStyle w:val="FootnoteText"/>
      </w:pPr>
      <w:r>
        <w:rPr>
          <w:rStyle w:val="FootnoteReference"/>
        </w:rPr>
        <w:footnoteRef/>
      </w:r>
      <w:r>
        <w:rPr>
          <w:rtl/>
        </w:rPr>
        <w:t xml:space="preserve"> </w:t>
      </w:r>
      <w:r w:rsidRPr="00C30DF4">
        <w:t>AIGA: The Professional Association for Design</w:t>
      </w:r>
    </w:p>
  </w:footnote>
  <w:footnote w:id="1161">
    <w:p w14:paraId="721CB6A6" w14:textId="77777777" w:rsidR="00B47FF5" w:rsidRDefault="00B47FF5" w:rsidP="00537CC8">
      <w:pPr>
        <w:pStyle w:val="FootnoteText"/>
      </w:pPr>
      <w:r>
        <w:rPr>
          <w:rStyle w:val="FootnoteReference"/>
        </w:rPr>
        <w:footnoteRef/>
      </w:r>
      <w:r>
        <w:rPr>
          <w:rtl/>
        </w:rPr>
        <w:t xml:space="preserve"> </w:t>
      </w:r>
      <w:r w:rsidRPr="00C30DF4">
        <w:t>Wallpaper</w:t>
      </w:r>
    </w:p>
  </w:footnote>
  <w:footnote w:id="1162">
    <w:p w14:paraId="5297F24B" w14:textId="77777777" w:rsidR="00B47FF5" w:rsidRDefault="00B47FF5" w:rsidP="00537CC8">
      <w:pPr>
        <w:pStyle w:val="FootnoteText"/>
      </w:pPr>
      <w:r>
        <w:rPr>
          <w:rStyle w:val="FootnoteReference"/>
        </w:rPr>
        <w:footnoteRef/>
      </w:r>
      <w:r>
        <w:rPr>
          <w:rtl/>
        </w:rPr>
        <w:t xml:space="preserve"> </w:t>
      </w:r>
      <w:r w:rsidRPr="00C30DF4">
        <w:t>International Society of Professional Innovation Mgmt</w:t>
      </w:r>
    </w:p>
  </w:footnote>
  <w:footnote w:id="1163">
    <w:p w14:paraId="2A3707FB" w14:textId="77777777" w:rsidR="00B47FF5" w:rsidRDefault="00B47FF5" w:rsidP="00537CC8">
      <w:pPr>
        <w:pStyle w:val="FootnoteText"/>
      </w:pPr>
      <w:r>
        <w:rPr>
          <w:rStyle w:val="FootnoteReference"/>
        </w:rPr>
        <w:footnoteRef/>
      </w:r>
      <w:r>
        <w:rPr>
          <w:rtl/>
        </w:rPr>
        <w:t xml:space="preserve"> </w:t>
      </w:r>
      <w:r w:rsidRPr="00441A60">
        <w:t>International Journal of Innovation Management</w:t>
      </w:r>
    </w:p>
  </w:footnote>
  <w:footnote w:id="1164">
    <w:p w14:paraId="1C39EEC5" w14:textId="77777777" w:rsidR="00B47FF5" w:rsidRDefault="00B47FF5" w:rsidP="00537CC8">
      <w:pPr>
        <w:pStyle w:val="FootnoteText"/>
      </w:pPr>
      <w:r>
        <w:rPr>
          <w:rStyle w:val="FootnoteReference"/>
        </w:rPr>
        <w:footnoteRef/>
      </w:r>
      <w:r>
        <w:rPr>
          <w:rtl/>
        </w:rPr>
        <w:t xml:space="preserve"> </w:t>
      </w:r>
      <w:r w:rsidRPr="00441A60">
        <w:t>Research and Development Management Association</w:t>
      </w:r>
    </w:p>
  </w:footnote>
  <w:footnote w:id="1165">
    <w:p w14:paraId="7589B316" w14:textId="77777777" w:rsidR="00B47FF5" w:rsidRDefault="00B47FF5" w:rsidP="00537CC8">
      <w:pPr>
        <w:pStyle w:val="FootnoteText"/>
      </w:pPr>
      <w:r>
        <w:rPr>
          <w:rStyle w:val="FootnoteReference"/>
        </w:rPr>
        <w:footnoteRef/>
      </w:r>
      <w:r>
        <w:rPr>
          <w:rtl/>
        </w:rPr>
        <w:t xml:space="preserve"> </w:t>
      </w:r>
      <w:r w:rsidRPr="00441A60">
        <w:t>R&amp;D Management</w:t>
      </w:r>
    </w:p>
  </w:footnote>
  <w:footnote w:id="1166">
    <w:p w14:paraId="3EA843AF" w14:textId="77777777" w:rsidR="00B47FF5" w:rsidRDefault="00B47FF5" w:rsidP="00537CC8">
      <w:pPr>
        <w:pStyle w:val="FootnoteText"/>
      </w:pPr>
      <w:r>
        <w:rPr>
          <w:rStyle w:val="FootnoteReference"/>
        </w:rPr>
        <w:footnoteRef/>
      </w:r>
      <w:r>
        <w:rPr>
          <w:rtl/>
        </w:rPr>
        <w:t xml:space="preserve"> </w:t>
      </w:r>
      <w:r w:rsidRPr="00441A60">
        <w:t>Collective Intelligence Academic Community</w:t>
      </w:r>
    </w:p>
  </w:footnote>
  <w:footnote w:id="1167">
    <w:p w14:paraId="5839719B" w14:textId="659723A0" w:rsidR="00B47FF5" w:rsidRDefault="00B47FF5" w:rsidP="00537CC8">
      <w:pPr>
        <w:pStyle w:val="FootnoteText"/>
      </w:pPr>
      <w:r>
        <w:rPr>
          <w:rStyle w:val="FootnoteReference"/>
        </w:rPr>
        <w:footnoteRef/>
      </w:r>
      <w:r>
        <w:rPr>
          <w:rtl/>
        </w:rPr>
        <w:t xml:space="preserve"> </w:t>
      </w:r>
      <w:r>
        <w:t>Crowd-Solving</w:t>
      </w:r>
    </w:p>
  </w:footnote>
  <w:footnote w:id="1168">
    <w:p w14:paraId="2EC829C4" w14:textId="6865495C" w:rsidR="00B47FF5" w:rsidRDefault="00B47FF5" w:rsidP="00537CC8">
      <w:pPr>
        <w:pStyle w:val="FootnoteText"/>
      </w:pPr>
      <w:r>
        <w:rPr>
          <w:rStyle w:val="FootnoteReference"/>
        </w:rPr>
        <w:footnoteRef/>
      </w:r>
      <w:r>
        <w:rPr>
          <w:rtl/>
        </w:rPr>
        <w:t xml:space="preserve"> </w:t>
      </w:r>
      <w:r>
        <w:t>Crowdfunding</w:t>
      </w:r>
    </w:p>
  </w:footnote>
  <w:footnote w:id="1169">
    <w:p w14:paraId="4FF7119A" w14:textId="21B1325A" w:rsidR="00B47FF5" w:rsidRDefault="00B47FF5" w:rsidP="00537CC8">
      <w:pPr>
        <w:pStyle w:val="FootnoteText"/>
      </w:pPr>
      <w:r>
        <w:rPr>
          <w:rStyle w:val="FootnoteReference"/>
        </w:rPr>
        <w:footnoteRef/>
      </w:r>
      <w:r>
        <w:rPr>
          <w:rtl/>
        </w:rPr>
        <w:t xml:space="preserve"> </w:t>
      </w:r>
      <w:r>
        <w:t>Crowd-founding</w:t>
      </w:r>
    </w:p>
  </w:footnote>
  <w:footnote w:id="1170">
    <w:p w14:paraId="546B3323" w14:textId="77777777" w:rsidR="00B47FF5" w:rsidRDefault="00B47FF5" w:rsidP="00537CC8">
      <w:pPr>
        <w:pStyle w:val="FootnoteText"/>
      </w:pPr>
      <w:r>
        <w:rPr>
          <w:rStyle w:val="FootnoteReference"/>
        </w:rPr>
        <w:footnoteRef/>
      </w:r>
      <w:r>
        <w:rPr>
          <w:rtl/>
        </w:rPr>
        <w:t xml:space="preserve"> </w:t>
      </w:r>
      <w:r w:rsidRPr="00441A60">
        <w:t>Strategic and Competitive Intelligence Professionals</w:t>
      </w:r>
    </w:p>
  </w:footnote>
  <w:footnote w:id="1171">
    <w:p w14:paraId="2F9598A9" w14:textId="77777777" w:rsidR="00B47FF5" w:rsidRDefault="00B47FF5" w:rsidP="00537CC8">
      <w:pPr>
        <w:pStyle w:val="FootnoteText"/>
      </w:pPr>
      <w:r>
        <w:rPr>
          <w:rStyle w:val="FootnoteReference"/>
        </w:rPr>
        <w:footnoteRef/>
      </w:r>
      <w:r>
        <w:rPr>
          <w:rtl/>
        </w:rPr>
        <w:t xml:space="preserve"> </w:t>
      </w:r>
      <w:r w:rsidRPr="00441A60">
        <w:t>Knowledge Management Professional Society</w:t>
      </w:r>
    </w:p>
  </w:footnote>
  <w:footnote w:id="1172">
    <w:p w14:paraId="190E6829" w14:textId="2C15F445" w:rsidR="00B47FF5" w:rsidRDefault="00B47FF5" w:rsidP="00537CC8">
      <w:pPr>
        <w:pStyle w:val="FootnoteText"/>
      </w:pPr>
      <w:r>
        <w:rPr>
          <w:rStyle w:val="FootnoteReference"/>
        </w:rPr>
        <w:footnoteRef/>
      </w:r>
      <w:r>
        <w:rPr>
          <w:rtl/>
        </w:rPr>
        <w:t xml:space="preserve"> </w:t>
      </w:r>
      <w:r>
        <w:t>Wikis</w:t>
      </w:r>
    </w:p>
  </w:footnote>
  <w:footnote w:id="1173">
    <w:p w14:paraId="58BE9B6C" w14:textId="77777777" w:rsidR="00B47FF5" w:rsidRDefault="00B47FF5" w:rsidP="00537CC8">
      <w:pPr>
        <w:pStyle w:val="FootnoteText"/>
      </w:pPr>
      <w:r>
        <w:rPr>
          <w:rStyle w:val="FootnoteReference"/>
        </w:rPr>
        <w:footnoteRef/>
      </w:r>
      <w:r>
        <w:rPr>
          <w:rtl/>
        </w:rPr>
        <w:t xml:space="preserve"> </w:t>
      </w:r>
      <w:r w:rsidRPr="00441A60">
        <w:t>CFA Institute</w:t>
      </w:r>
    </w:p>
  </w:footnote>
  <w:footnote w:id="1174">
    <w:p w14:paraId="235D76B9" w14:textId="77777777" w:rsidR="00B47FF5" w:rsidRDefault="00B47FF5" w:rsidP="00537CC8">
      <w:pPr>
        <w:pStyle w:val="FootnoteText"/>
      </w:pPr>
      <w:r>
        <w:rPr>
          <w:rStyle w:val="FootnoteReference"/>
        </w:rPr>
        <w:footnoteRef/>
      </w:r>
      <w:r>
        <w:rPr>
          <w:rtl/>
        </w:rPr>
        <w:t xml:space="preserve"> </w:t>
      </w:r>
      <w:r w:rsidRPr="00441A60">
        <w:t>Chartered Financial Analyst</w:t>
      </w:r>
    </w:p>
  </w:footnote>
  <w:footnote w:id="1175">
    <w:p w14:paraId="53A04DAE" w14:textId="77777777" w:rsidR="00B47FF5" w:rsidRDefault="00B47FF5" w:rsidP="00537CC8">
      <w:pPr>
        <w:pStyle w:val="FootnoteText"/>
      </w:pPr>
      <w:r>
        <w:rPr>
          <w:rStyle w:val="FootnoteReference"/>
        </w:rPr>
        <w:footnoteRef/>
      </w:r>
      <w:r>
        <w:rPr>
          <w:rtl/>
        </w:rPr>
        <w:t xml:space="preserve"> </w:t>
      </w:r>
      <w:r w:rsidRPr="00441A60">
        <w:t>Financial Analysts Journal</w:t>
      </w:r>
    </w:p>
  </w:footnote>
  <w:footnote w:id="1176">
    <w:p w14:paraId="47D0E813" w14:textId="77777777" w:rsidR="00B47FF5" w:rsidRDefault="00B47FF5" w:rsidP="00537CC8">
      <w:pPr>
        <w:pStyle w:val="FootnoteText"/>
      </w:pPr>
      <w:r>
        <w:rPr>
          <w:rStyle w:val="FootnoteReference"/>
        </w:rPr>
        <w:footnoteRef/>
      </w:r>
      <w:r>
        <w:rPr>
          <w:rtl/>
        </w:rPr>
        <w:t xml:space="preserve"> </w:t>
      </w:r>
      <w:r w:rsidRPr="00441A60">
        <w:t>CFA Institute Magazine</w:t>
      </w:r>
    </w:p>
  </w:footnote>
  <w:footnote w:id="1177">
    <w:p w14:paraId="3463EEE7" w14:textId="77777777" w:rsidR="00B47FF5" w:rsidRDefault="00B47FF5" w:rsidP="00537CC8">
      <w:pPr>
        <w:pStyle w:val="FootnoteText"/>
      </w:pPr>
      <w:r>
        <w:rPr>
          <w:rStyle w:val="FootnoteReference"/>
        </w:rPr>
        <w:footnoteRef/>
      </w:r>
      <w:r>
        <w:rPr>
          <w:rtl/>
        </w:rPr>
        <w:t xml:space="preserve"> </w:t>
      </w:r>
      <w:r w:rsidRPr="009E349D">
        <w:t>American Association of Individual Investors</w:t>
      </w:r>
    </w:p>
  </w:footnote>
  <w:footnote w:id="1178">
    <w:p w14:paraId="78D0F120" w14:textId="77777777" w:rsidR="00B47FF5" w:rsidRDefault="00B47FF5" w:rsidP="00537CC8">
      <w:pPr>
        <w:pStyle w:val="FootnoteText"/>
      </w:pPr>
      <w:r>
        <w:rPr>
          <w:rStyle w:val="FootnoteReference"/>
        </w:rPr>
        <w:footnoteRef/>
      </w:r>
      <w:r>
        <w:rPr>
          <w:rtl/>
        </w:rPr>
        <w:t xml:space="preserve"> </w:t>
      </w:r>
      <w:r w:rsidRPr="009E349D">
        <w:t>AAII Journal</w:t>
      </w:r>
    </w:p>
  </w:footnote>
  <w:footnote w:id="1179">
    <w:p w14:paraId="02BF5755" w14:textId="77777777" w:rsidR="00B47FF5" w:rsidRDefault="00B47FF5" w:rsidP="00537CC8">
      <w:pPr>
        <w:pStyle w:val="FootnoteText"/>
      </w:pPr>
      <w:r>
        <w:rPr>
          <w:rStyle w:val="FootnoteReference"/>
        </w:rPr>
        <w:footnoteRef/>
      </w:r>
      <w:r>
        <w:rPr>
          <w:rtl/>
        </w:rPr>
        <w:t xml:space="preserve"> </w:t>
      </w:r>
      <w:r w:rsidRPr="009E349D">
        <w:t>National Venture Capital Association</w:t>
      </w:r>
    </w:p>
  </w:footnote>
  <w:footnote w:id="1180">
    <w:p w14:paraId="0186115A" w14:textId="6EFFAAC5" w:rsidR="00B47FF5" w:rsidRDefault="00B47FF5" w:rsidP="00537CC8">
      <w:pPr>
        <w:pStyle w:val="FootnoteText"/>
      </w:pPr>
      <w:r>
        <w:rPr>
          <w:rStyle w:val="FootnoteReference"/>
        </w:rPr>
        <w:footnoteRef/>
      </w:r>
      <w:r>
        <w:rPr>
          <w:rtl/>
        </w:rPr>
        <w:t xml:space="preserve"> </w:t>
      </w:r>
      <w:r w:rsidRPr="009E349D">
        <w:t>Angel investors</w:t>
      </w:r>
    </w:p>
  </w:footnote>
  <w:footnote w:id="1181">
    <w:p w14:paraId="0F546964" w14:textId="030CCB2F" w:rsidR="00B47FF5" w:rsidRDefault="00B47FF5" w:rsidP="00537CC8">
      <w:pPr>
        <w:pStyle w:val="FootnoteText"/>
      </w:pPr>
      <w:r>
        <w:rPr>
          <w:rStyle w:val="FootnoteReference"/>
        </w:rPr>
        <w:footnoteRef/>
      </w:r>
      <w:r>
        <w:rPr>
          <w:rtl/>
        </w:rPr>
        <w:t xml:space="preserve"> </w:t>
      </w:r>
      <w:r w:rsidRPr="009E349D">
        <w:t>Venture capitalists</w:t>
      </w:r>
    </w:p>
  </w:footnote>
  <w:footnote w:id="1182">
    <w:p w14:paraId="345BD493" w14:textId="77777777" w:rsidR="00B47FF5" w:rsidRDefault="00B47FF5" w:rsidP="00537CC8">
      <w:pPr>
        <w:pStyle w:val="FootnoteText"/>
      </w:pPr>
      <w:r>
        <w:rPr>
          <w:rStyle w:val="FootnoteReference"/>
        </w:rPr>
        <w:footnoteRef/>
      </w:r>
      <w:r>
        <w:rPr>
          <w:rtl/>
        </w:rPr>
        <w:t xml:space="preserve"> </w:t>
      </w:r>
      <w:r w:rsidRPr="00CC6B62">
        <w:t>American Bar Association</w:t>
      </w:r>
    </w:p>
  </w:footnote>
  <w:footnote w:id="1183">
    <w:p w14:paraId="41F6DB68" w14:textId="77777777" w:rsidR="00B47FF5" w:rsidRDefault="00B47FF5" w:rsidP="00537CC8">
      <w:pPr>
        <w:pStyle w:val="FootnoteText"/>
      </w:pPr>
      <w:r>
        <w:rPr>
          <w:rStyle w:val="FootnoteReference"/>
        </w:rPr>
        <w:footnoteRef/>
      </w:r>
      <w:r>
        <w:rPr>
          <w:rtl/>
        </w:rPr>
        <w:t xml:space="preserve"> </w:t>
      </w:r>
      <w:r w:rsidRPr="00CC6B62">
        <w:t>Advocacy groups</w:t>
      </w:r>
    </w:p>
  </w:footnote>
  <w:footnote w:id="1184">
    <w:p w14:paraId="364C0630" w14:textId="77777777" w:rsidR="00B47FF5" w:rsidRDefault="00B47FF5" w:rsidP="00537CC8">
      <w:pPr>
        <w:pStyle w:val="FootnoteText"/>
      </w:pPr>
      <w:r>
        <w:rPr>
          <w:rStyle w:val="FootnoteReference"/>
        </w:rPr>
        <w:footnoteRef/>
      </w:r>
      <w:r>
        <w:rPr>
          <w:rtl/>
        </w:rPr>
        <w:t xml:space="preserve"> </w:t>
      </w:r>
      <w:r w:rsidRPr="00CC6B62">
        <w:t>ABA Journal</w:t>
      </w:r>
    </w:p>
  </w:footnote>
  <w:footnote w:id="1185">
    <w:p w14:paraId="1D963E60" w14:textId="77777777" w:rsidR="00B47FF5" w:rsidRDefault="00B47FF5" w:rsidP="00537CC8">
      <w:pPr>
        <w:pStyle w:val="FootnoteText"/>
      </w:pPr>
      <w:r>
        <w:rPr>
          <w:rStyle w:val="FootnoteReference"/>
        </w:rPr>
        <w:footnoteRef/>
      </w:r>
      <w:r>
        <w:rPr>
          <w:rtl/>
        </w:rPr>
        <w:t xml:space="preserve"> </w:t>
      </w:r>
      <w:r w:rsidRPr="00CC6B62">
        <w:t>Security Industry Association</w:t>
      </w:r>
    </w:p>
  </w:footnote>
  <w:footnote w:id="1186">
    <w:p w14:paraId="27E3A1AC" w14:textId="77777777" w:rsidR="00B47FF5" w:rsidRDefault="00B47FF5" w:rsidP="00537CC8">
      <w:pPr>
        <w:pStyle w:val="FootnoteText"/>
      </w:pPr>
      <w:r>
        <w:rPr>
          <w:rStyle w:val="FootnoteReference"/>
        </w:rPr>
        <w:footnoteRef/>
      </w:r>
      <w:r>
        <w:rPr>
          <w:rtl/>
        </w:rPr>
        <w:t xml:space="preserve"> </w:t>
      </w:r>
      <w:r w:rsidRPr="00FD06DB">
        <w:t>InfoSec</w:t>
      </w:r>
    </w:p>
  </w:footnote>
  <w:footnote w:id="1187">
    <w:p w14:paraId="62BE112F" w14:textId="77777777" w:rsidR="00B47FF5" w:rsidRDefault="00B47FF5" w:rsidP="00537CC8">
      <w:pPr>
        <w:pStyle w:val="FootnoteText"/>
      </w:pPr>
      <w:r>
        <w:rPr>
          <w:rStyle w:val="FootnoteReference"/>
        </w:rPr>
        <w:footnoteRef/>
      </w:r>
      <w:r>
        <w:rPr>
          <w:rtl/>
        </w:rPr>
        <w:t xml:space="preserve"> </w:t>
      </w:r>
      <w:r w:rsidRPr="004D2AAE">
        <w:t>Association for Talent Developement</w:t>
      </w:r>
    </w:p>
  </w:footnote>
  <w:footnote w:id="1188">
    <w:p w14:paraId="30A61FC7" w14:textId="77777777" w:rsidR="00B47FF5" w:rsidRDefault="00B47FF5" w:rsidP="00537CC8">
      <w:pPr>
        <w:pStyle w:val="FootnoteText"/>
      </w:pPr>
      <w:r>
        <w:rPr>
          <w:rStyle w:val="FootnoteReference"/>
        </w:rPr>
        <w:footnoteRef/>
      </w:r>
      <w:r>
        <w:rPr>
          <w:rtl/>
        </w:rPr>
        <w:t xml:space="preserve"> </w:t>
      </w:r>
      <w:r w:rsidRPr="004D2AAE">
        <w:t>T+D Magazine</w:t>
      </w:r>
    </w:p>
  </w:footnote>
  <w:footnote w:id="1189">
    <w:p w14:paraId="701DD7C0" w14:textId="77777777" w:rsidR="00B47FF5" w:rsidRDefault="00B47FF5" w:rsidP="00537CC8">
      <w:pPr>
        <w:pStyle w:val="FootnoteText"/>
      </w:pPr>
      <w:r>
        <w:rPr>
          <w:rStyle w:val="FootnoteReference"/>
        </w:rPr>
        <w:footnoteRef/>
      </w:r>
      <w:r>
        <w:rPr>
          <w:rtl/>
        </w:rPr>
        <w:t xml:space="preserve"> </w:t>
      </w:r>
      <w:r w:rsidRPr="006E14D4">
        <w:t>EdTech</w:t>
      </w:r>
    </w:p>
  </w:footnote>
  <w:footnote w:id="1190">
    <w:p w14:paraId="43EAE560" w14:textId="77777777" w:rsidR="00B47FF5" w:rsidRDefault="00B47FF5" w:rsidP="00537CC8">
      <w:pPr>
        <w:pStyle w:val="FootnoteText"/>
      </w:pPr>
      <w:r>
        <w:rPr>
          <w:rStyle w:val="FootnoteReference"/>
        </w:rPr>
        <w:footnoteRef/>
      </w:r>
      <w:r>
        <w:rPr>
          <w:rtl/>
        </w:rPr>
        <w:t xml:space="preserve"> </w:t>
      </w:r>
      <w:r w:rsidRPr="00A67692">
        <w:t>American Management Association</w:t>
      </w:r>
    </w:p>
  </w:footnote>
  <w:footnote w:id="1191">
    <w:p w14:paraId="256E5AD6" w14:textId="77777777" w:rsidR="00B47FF5" w:rsidRDefault="00B47FF5" w:rsidP="00537CC8">
      <w:pPr>
        <w:pStyle w:val="FootnoteText"/>
      </w:pPr>
      <w:r>
        <w:rPr>
          <w:rStyle w:val="FootnoteReference"/>
        </w:rPr>
        <w:footnoteRef/>
      </w:r>
      <w:r>
        <w:rPr>
          <w:rtl/>
        </w:rPr>
        <w:t xml:space="preserve"> </w:t>
      </w:r>
      <w:r w:rsidRPr="00A67692">
        <w:t>Project Management Institute</w:t>
      </w:r>
    </w:p>
  </w:footnote>
  <w:footnote w:id="1192">
    <w:p w14:paraId="159F77BF" w14:textId="77777777" w:rsidR="00B47FF5" w:rsidRDefault="00B47FF5" w:rsidP="00537CC8">
      <w:pPr>
        <w:pStyle w:val="FootnoteText"/>
      </w:pPr>
      <w:r>
        <w:rPr>
          <w:rStyle w:val="FootnoteReference"/>
        </w:rPr>
        <w:footnoteRef/>
      </w:r>
      <w:r>
        <w:rPr>
          <w:rtl/>
        </w:rPr>
        <w:t xml:space="preserve"> </w:t>
      </w:r>
      <w:r w:rsidRPr="00A67692">
        <w:t>International Leadership Association</w:t>
      </w:r>
    </w:p>
  </w:footnote>
  <w:footnote w:id="1193">
    <w:p w14:paraId="21C1901D" w14:textId="77777777" w:rsidR="00B47FF5" w:rsidRDefault="00B47FF5" w:rsidP="00537CC8">
      <w:pPr>
        <w:pStyle w:val="FootnoteText"/>
      </w:pPr>
      <w:r>
        <w:rPr>
          <w:rStyle w:val="FootnoteReference"/>
        </w:rPr>
        <w:footnoteRef/>
      </w:r>
      <w:r>
        <w:rPr>
          <w:rtl/>
        </w:rPr>
        <w:t xml:space="preserve"> </w:t>
      </w:r>
      <w:r w:rsidRPr="00A67692">
        <w:t>Journal of Leadership Studies</w:t>
      </w:r>
    </w:p>
  </w:footnote>
  <w:footnote w:id="1194">
    <w:p w14:paraId="19C26514" w14:textId="77777777" w:rsidR="00B47FF5" w:rsidRDefault="00B47FF5" w:rsidP="00537CC8">
      <w:pPr>
        <w:pStyle w:val="FootnoteText"/>
      </w:pPr>
      <w:r>
        <w:rPr>
          <w:rStyle w:val="FootnoteReference"/>
        </w:rPr>
        <w:footnoteRef/>
      </w:r>
      <w:r>
        <w:rPr>
          <w:rtl/>
        </w:rPr>
        <w:t xml:space="preserve"> </w:t>
      </w:r>
      <w:r w:rsidRPr="00A67692">
        <w:t>Leadership Excellence</w:t>
      </w:r>
    </w:p>
  </w:footnote>
  <w:footnote w:id="1195">
    <w:p w14:paraId="51AC811D" w14:textId="77777777" w:rsidR="00B47FF5" w:rsidRDefault="00B47FF5" w:rsidP="00537CC8">
      <w:pPr>
        <w:pStyle w:val="FootnoteText"/>
      </w:pPr>
      <w:r>
        <w:rPr>
          <w:rStyle w:val="FootnoteReference"/>
        </w:rPr>
        <w:footnoteRef/>
      </w:r>
      <w:r>
        <w:rPr>
          <w:rtl/>
        </w:rPr>
        <w:t xml:space="preserve"> </w:t>
      </w:r>
      <w:r w:rsidRPr="00A67692">
        <w:t>American Marketing Association</w:t>
      </w:r>
    </w:p>
  </w:footnote>
  <w:footnote w:id="1196">
    <w:p w14:paraId="61E20EFF" w14:textId="77777777" w:rsidR="00B47FF5" w:rsidRDefault="00B47FF5" w:rsidP="00537CC8">
      <w:pPr>
        <w:pStyle w:val="FootnoteText"/>
      </w:pPr>
      <w:r>
        <w:rPr>
          <w:rStyle w:val="FootnoteReference"/>
        </w:rPr>
        <w:footnoteRef/>
      </w:r>
      <w:r>
        <w:rPr>
          <w:rtl/>
        </w:rPr>
        <w:t xml:space="preserve"> </w:t>
      </w:r>
      <w:r w:rsidRPr="00A67692">
        <w:t>National Association of Sales Professionals</w:t>
      </w:r>
    </w:p>
  </w:footnote>
  <w:footnote w:id="1197">
    <w:p w14:paraId="38664832" w14:textId="77777777" w:rsidR="00B47FF5" w:rsidRDefault="00B47FF5" w:rsidP="00537CC8">
      <w:pPr>
        <w:pStyle w:val="FootnoteText"/>
      </w:pPr>
      <w:r>
        <w:rPr>
          <w:rStyle w:val="FootnoteReference"/>
        </w:rPr>
        <w:footnoteRef/>
      </w:r>
      <w:r>
        <w:rPr>
          <w:rtl/>
        </w:rPr>
        <w:t xml:space="preserve"> </w:t>
      </w:r>
      <w:r w:rsidRPr="00A67692">
        <w:t>Consultative Selling</w:t>
      </w:r>
    </w:p>
  </w:footnote>
  <w:footnote w:id="1198">
    <w:p w14:paraId="46EC6DCC" w14:textId="77777777" w:rsidR="00B47FF5" w:rsidRDefault="00B47FF5" w:rsidP="00537CC8">
      <w:pPr>
        <w:pStyle w:val="FootnoteText"/>
      </w:pPr>
      <w:r>
        <w:rPr>
          <w:rStyle w:val="FootnoteReference"/>
        </w:rPr>
        <w:footnoteRef/>
      </w:r>
      <w:r>
        <w:rPr>
          <w:rtl/>
        </w:rPr>
        <w:t xml:space="preserve"> </w:t>
      </w:r>
      <w:r w:rsidRPr="006E14D4">
        <w:t>Hanan</w:t>
      </w:r>
    </w:p>
  </w:footnote>
  <w:footnote w:id="1199">
    <w:p w14:paraId="773CF775" w14:textId="77777777" w:rsidR="00B47FF5" w:rsidRDefault="00B47FF5" w:rsidP="00537CC8">
      <w:pPr>
        <w:pStyle w:val="FootnoteText"/>
      </w:pPr>
      <w:r>
        <w:rPr>
          <w:rStyle w:val="FootnoteReference"/>
        </w:rPr>
        <w:footnoteRef/>
      </w:r>
      <w:r>
        <w:rPr>
          <w:rtl/>
        </w:rPr>
        <w:t xml:space="preserve"> </w:t>
      </w:r>
      <w:r w:rsidRPr="00A67692">
        <w:t>SPIN Selling</w:t>
      </w:r>
    </w:p>
  </w:footnote>
  <w:footnote w:id="1200">
    <w:p w14:paraId="78EE473A" w14:textId="77777777" w:rsidR="00B47FF5" w:rsidRDefault="00B47FF5" w:rsidP="00537CC8">
      <w:pPr>
        <w:pStyle w:val="FootnoteText"/>
      </w:pPr>
      <w:r>
        <w:rPr>
          <w:rStyle w:val="FootnoteReference"/>
        </w:rPr>
        <w:footnoteRef/>
      </w:r>
      <w:r>
        <w:rPr>
          <w:rtl/>
        </w:rPr>
        <w:t xml:space="preserve"> </w:t>
      </w:r>
      <w:r w:rsidRPr="006E14D4">
        <w:t>Rackham</w:t>
      </w:r>
    </w:p>
  </w:footnote>
  <w:footnote w:id="1201">
    <w:p w14:paraId="682F627F" w14:textId="77777777" w:rsidR="00B47FF5" w:rsidRDefault="00B47FF5" w:rsidP="00537CC8">
      <w:pPr>
        <w:pStyle w:val="FootnoteText"/>
      </w:pPr>
      <w:r>
        <w:rPr>
          <w:rStyle w:val="FootnoteReference"/>
        </w:rPr>
        <w:footnoteRef/>
      </w:r>
      <w:r>
        <w:rPr>
          <w:rtl/>
        </w:rPr>
        <w:t xml:space="preserve"> </w:t>
      </w:r>
      <w:r w:rsidRPr="00CB0CFE">
        <w:t>Risk Management Society</w:t>
      </w:r>
    </w:p>
  </w:footnote>
  <w:footnote w:id="1202">
    <w:p w14:paraId="7CE287A9" w14:textId="77777777" w:rsidR="00B47FF5" w:rsidRDefault="00B47FF5" w:rsidP="00537CC8">
      <w:pPr>
        <w:pStyle w:val="FootnoteText"/>
      </w:pPr>
      <w:r>
        <w:rPr>
          <w:rStyle w:val="FootnoteReference"/>
        </w:rPr>
        <w:footnoteRef/>
      </w:r>
      <w:r>
        <w:rPr>
          <w:rtl/>
        </w:rPr>
        <w:t xml:space="preserve"> </w:t>
      </w:r>
      <w:r w:rsidRPr="00CB0CFE">
        <w:t>RIMS Conference</w:t>
      </w:r>
    </w:p>
  </w:footnote>
  <w:footnote w:id="1203">
    <w:p w14:paraId="197B6352" w14:textId="77777777" w:rsidR="00B47FF5" w:rsidRDefault="00B47FF5" w:rsidP="00537CC8">
      <w:pPr>
        <w:pStyle w:val="FootnoteText"/>
      </w:pPr>
      <w:r>
        <w:rPr>
          <w:rStyle w:val="FootnoteReference"/>
        </w:rPr>
        <w:footnoteRef/>
      </w:r>
      <w:r>
        <w:rPr>
          <w:rtl/>
        </w:rPr>
        <w:t xml:space="preserve"> </w:t>
      </w:r>
      <w:r w:rsidRPr="00CB0CFE">
        <w:t>Enterprise Risk Mgmt. Conf</w:t>
      </w:r>
    </w:p>
  </w:footnote>
  <w:footnote w:id="1204">
    <w:p w14:paraId="2D9DFD42" w14:textId="77777777" w:rsidR="00B47FF5" w:rsidRDefault="00B47FF5" w:rsidP="00537CC8">
      <w:pPr>
        <w:pStyle w:val="FootnoteText"/>
      </w:pPr>
      <w:r>
        <w:rPr>
          <w:rStyle w:val="FootnoteReference"/>
        </w:rPr>
        <w:footnoteRef/>
      </w:r>
      <w:r>
        <w:rPr>
          <w:rtl/>
        </w:rPr>
        <w:t xml:space="preserve"> </w:t>
      </w:r>
      <w:r w:rsidRPr="00CB0CFE">
        <w:t>American Insurance Association</w:t>
      </w:r>
    </w:p>
  </w:footnote>
  <w:footnote w:id="1205">
    <w:p w14:paraId="210996DC" w14:textId="77777777" w:rsidR="00B47FF5" w:rsidRDefault="00B47FF5" w:rsidP="00537CC8">
      <w:pPr>
        <w:pStyle w:val="FootnoteText"/>
      </w:pPr>
      <w:r>
        <w:rPr>
          <w:rStyle w:val="FootnoteReference"/>
        </w:rPr>
        <w:footnoteRef/>
      </w:r>
      <w:r>
        <w:rPr>
          <w:rtl/>
        </w:rPr>
        <w:t xml:space="preserve"> </w:t>
      </w:r>
      <w:r w:rsidRPr="00CB0CFE">
        <w:t>Association for Strategic Planning</w:t>
      </w:r>
    </w:p>
  </w:footnote>
  <w:footnote w:id="1206">
    <w:p w14:paraId="07ED2D26" w14:textId="77777777" w:rsidR="00B47FF5" w:rsidRDefault="00B47FF5" w:rsidP="00537CC8">
      <w:pPr>
        <w:pStyle w:val="FootnoteText"/>
      </w:pPr>
      <w:r>
        <w:rPr>
          <w:rStyle w:val="FootnoteReference"/>
        </w:rPr>
        <w:footnoteRef/>
      </w:r>
      <w:r>
        <w:rPr>
          <w:rtl/>
        </w:rPr>
        <w:t xml:space="preserve"> </w:t>
      </w:r>
      <w:r w:rsidRPr="00CB0CFE">
        <w:t>American Planning Association</w:t>
      </w:r>
    </w:p>
  </w:footnote>
  <w:footnote w:id="1207">
    <w:p w14:paraId="30E9B943" w14:textId="77777777" w:rsidR="00B47FF5" w:rsidRDefault="00B47FF5" w:rsidP="00537CC8">
      <w:pPr>
        <w:pStyle w:val="FootnoteText"/>
      </w:pPr>
      <w:r>
        <w:rPr>
          <w:rStyle w:val="FootnoteReference"/>
        </w:rPr>
        <w:footnoteRef/>
      </w:r>
      <w:r>
        <w:rPr>
          <w:rtl/>
        </w:rPr>
        <w:t xml:space="preserve"> </w:t>
      </w:r>
      <w:r w:rsidRPr="00537E7D">
        <w:t>American Institute of Certified Planners</w:t>
      </w:r>
    </w:p>
  </w:footnote>
  <w:footnote w:id="1208">
    <w:p w14:paraId="11750A7F" w14:textId="77777777" w:rsidR="00B47FF5" w:rsidRDefault="00B47FF5" w:rsidP="00537CC8">
      <w:pPr>
        <w:pStyle w:val="FootnoteText"/>
      </w:pPr>
      <w:r>
        <w:rPr>
          <w:rStyle w:val="FootnoteReference"/>
        </w:rPr>
        <w:footnoteRef/>
      </w:r>
      <w:r>
        <w:rPr>
          <w:rtl/>
        </w:rPr>
        <w:t xml:space="preserve"> </w:t>
      </w:r>
      <w:r w:rsidRPr="00537E7D">
        <w:t>Planning magazine</w:t>
      </w:r>
    </w:p>
  </w:footnote>
  <w:footnote w:id="1209">
    <w:p w14:paraId="522064BB" w14:textId="77777777" w:rsidR="00B47FF5" w:rsidRDefault="00B47FF5" w:rsidP="00537CC8">
      <w:pPr>
        <w:pStyle w:val="FootnoteText"/>
      </w:pPr>
      <w:r>
        <w:rPr>
          <w:rStyle w:val="FootnoteReference"/>
        </w:rPr>
        <w:footnoteRef/>
      </w:r>
      <w:r>
        <w:rPr>
          <w:rtl/>
        </w:rPr>
        <w:t xml:space="preserve"> </w:t>
      </w:r>
      <w:r w:rsidRPr="00537E7D">
        <w:t>Journal of the American Planning Association</w:t>
      </w:r>
    </w:p>
  </w:footnote>
  <w:footnote w:id="1210">
    <w:p w14:paraId="3FC5356C" w14:textId="77777777" w:rsidR="00B47FF5" w:rsidRDefault="00B47FF5" w:rsidP="00537CC8">
      <w:pPr>
        <w:pStyle w:val="FootnoteText"/>
      </w:pPr>
      <w:r>
        <w:rPr>
          <w:rStyle w:val="FootnoteReference"/>
        </w:rPr>
        <w:footnoteRef/>
      </w:r>
      <w:r>
        <w:rPr>
          <w:rtl/>
        </w:rPr>
        <w:t xml:space="preserve"> </w:t>
      </w:r>
      <w:r w:rsidRPr="00537E7D">
        <w:t>Institute of Management Consultants</w:t>
      </w:r>
    </w:p>
  </w:footnote>
  <w:footnote w:id="1211">
    <w:p w14:paraId="0B9F41C3" w14:textId="77777777" w:rsidR="00B47FF5" w:rsidRDefault="00B47FF5" w:rsidP="00537CC8">
      <w:pPr>
        <w:pStyle w:val="FootnoteText"/>
      </w:pPr>
      <w:r>
        <w:rPr>
          <w:rStyle w:val="FootnoteReference"/>
        </w:rPr>
        <w:footnoteRef/>
      </w:r>
      <w:r>
        <w:rPr>
          <w:rtl/>
        </w:rPr>
        <w:t xml:space="preserve"> </w:t>
      </w:r>
      <w:r w:rsidRPr="00537E7D">
        <w:t>Investment Management Consultants Association</w:t>
      </w:r>
    </w:p>
  </w:footnote>
  <w:footnote w:id="1212">
    <w:p w14:paraId="77AA7AED" w14:textId="77777777" w:rsidR="00B47FF5" w:rsidRDefault="00B47FF5" w:rsidP="00537CC8">
      <w:pPr>
        <w:pStyle w:val="FootnoteText"/>
      </w:pPr>
      <w:r>
        <w:rPr>
          <w:rStyle w:val="FootnoteReference"/>
        </w:rPr>
        <w:footnoteRef/>
      </w:r>
      <w:r>
        <w:rPr>
          <w:rtl/>
        </w:rPr>
        <w:t xml:space="preserve"> </w:t>
      </w:r>
      <w:r w:rsidRPr="00537E7D">
        <w:t>National Speakers Association</w:t>
      </w:r>
    </w:p>
  </w:footnote>
  <w:footnote w:id="1213">
    <w:p w14:paraId="623AD2ED" w14:textId="77777777" w:rsidR="00B47FF5" w:rsidRDefault="00B47FF5" w:rsidP="00537CC8">
      <w:pPr>
        <w:pStyle w:val="FootnoteText"/>
      </w:pPr>
      <w:r>
        <w:rPr>
          <w:rStyle w:val="FootnoteReference"/>
        </w:rPr>
        <w:footnoteRef/>
      </w:r>
      <w:r>
        <w:rPr>
          <w:rtl/>
        </w:rPr>
        <w:t xml:space="preserve"> </w:t>
      </w:r>
      <w:r w:rsidRPr="00537E7D">
        <w:t>National Venture Capital Association</w:t>
      </w:r>
    </w:p>
  </w:footnote>
  <w:footnote w:id="1214">
    <w:p w14:paraId="05BABF9E" w14:textId="77777777" w:rsidR="00B47FF5" w:rsidRDefault="00B47FF5" w:rsidP="00537CC8">
      <w:pPr>
        <w:pStyle w:val="FootnoteText"/>
      </w:pPr>
      <w:r>
        <w:rPr>
          <w:rStyle w:val="FootnoteReference"/>
        </w:rPr>
        <w:footnoteRef/>
      </w:r>
      <w:r>
        <w:rPr>
          <w:rtl/>
        </w:rPr>
        <w:t xml:space="preserve"> </w:t>
      </w:r>
      <w:r w:rsidRPr="00537E7D">
        <w:t>The Society of Police Futurists International</w:t>
      </w:r>
    </w:p>
  </w:footnote>
  <w:footnote w:id="1215">
    <w:p w14:paraId="6855CAFD" w14:textId="3DCCCB9D" w:rsidR="00B47FF5" w:rsidRDefault="00B47FF5" w:rsidP="00537CC8">
      <w:pPr>
        <w:pStyle w:val="FootnoteText"/>
      </w:pPr>
      <w:r>
        <w:rPr>
          <w:rStyle w:val="FootnoteReference"/>
        </w:rPr>
        <w:footnoteRef/>
      </w:r>
      <w:r>
        <w:rPr>
          <w:rtl/>
        </w:rPr>
        <w:t xml:space="preserve"> </w:t>
      </w:r>
      <w:r>
        <w:t>Meta-specialties</w:t>
      </w:r>
    </w:p>
  </w:footnote>
  <w:footnote w:id="1216">
    <w:p w14:paraId="7F1A32E6" w14:textId="77777777" w:rsidR="00B47FF5" w:rsidRDefault="00B47FF5" w:rsidP="00537CC8">
      <w:pPr>
        <w:pStyle w:val="FootnoteText"/>
      </w:pPr>
      <w:r>
        <w:rPr>
          <w:rStyle w:val="FootnoteReference"/>
        </w:rPr>
        <w:footnoteRef/>
      </w:r>
      <w:r>
        <w:rPr>
          <w:rtl/>
        </w:rPr>
        <w:t xml:space="preserve"> </w:t>
      </w:r>
      <w:r>
        <w:t>Investigative thinking</w:t>
      </w:r>
    </w:p>
  </w:footnote>
  <w:footnote w:id="1217">
    <w:p w14:paraId="2B1F8F7A" w14:textId="77777777" w:rsidR="00B47FF5" w:rsidRDefault="00B47FF5" w:rsidP="00537CC8">
      <w:pPr>
        <w:pStyle w:val="FootnoteText"/>
      </w:pPr>
      <w:r>
        <w:rPr>
          <w:rStyle w:val="FootnoteReference"/>
        </w:rPr>
        <w:footnoteRef/>
      </w:r>
      <w:r>
        <w:rPr>
          <w:rtl/>
        </w:rPr>
        <w:t xml:space="preserve"> </w:t>
      </w:r>
      <w:r w:rsidRPr="00D56D97">
        <w:t>Probability thinking</w:t>
      </w:r>
    </w:p>
  </w:footnote>
  <w:footnote w:id="1218">
    <w:p w14:paraId="74D000C7" w14:textId="77777777" w:rsidR="00B47FF5" w:rsidRDefault="00B47FF5" w:rsidP="00537CC8">
      <w:pPr>
        <w:pStyle w:val="FootnoteText"/>
      </w:pPr>
      <w:r>
        <w:rPr>
          <w:rStyle w:val="FootnoteReference"/>
        </w:rPr>
        <w:footnoteRef/>
      </w:r>
      <w:r>
        <w:rPr>
          <w:rtl/>
        </w:rPr>
        <w:t xml:space="preserve"> </w:t>
      </w:r>
      <w:r>
        <w:t>Possibility thinking</w:t>
      </w:r>
    </w:p>
  </w:footnote>
  <w:footnote w:id="1219">
    <w:p w14:paraId="6ABABABE" w14:textId="77777777" w:rsidR="00B47FF5" w:rsidRDefault="00B47FF5" w:rsidP="00537CC8">
      <w:pPr>
        <w:pStyle w:val="FootnoteText"/>
      </w:pPr>
      <w:r>
        <w:rPr>
          <w:rStyle w:val="FootnoteReference"/>
        </w:rPr>
        <w:footnoteRef/>
      </w:r>
      <w:r>
        <w:rPr>
          <w:rtl/>
        </w:rPr>
        <w:t xml:space="preserve"> </w:t>
      </w:r>
      <w:r>
        <w:t>Preference &amp; Prevention thinking</w:t>
      </w:r>
    </w:p>
  </w:footnote>
  <w:footnote w:id="1220">
    <w:p w14:paraId="189AECF5" w14:textId="77777777" w:rsidR="00B47FF5" w:rsidRDefault="00B47FF5" w:rsidP="00537CC8">
      <w:pPr>
        <w:pStyle w:val="FootnoteText"/>
      </w:pPr>
      <w:r>
        <w:rPr>
          <w:rStyle w:val="FootnoteReference"/>
        </w:rPr>
        <w:footnoteRef/>
      </w:r>
      <w:r>
        <w:rPr>
          <w:rtl/>
        </w:rPr>
        <w:t xml:space="preserve"> </w:t>
      </w:r>
      <w:r>
        <w:t>Production thinking</w:t>
      </w:r>
    </w:p>
  </w:footnote>
  <w:footnote w:id="1221">
    <w:p w14:paraId="0A8135FE" w14:textId="77777777" w:rsidR="00B47FF5" w:rsidRDefault="00B47FF5" w:rsidP="00537CC8">
      <w:pPr>
        <w:pStyle w:val="FootnoteText"/>
      </w:pPr>
      <w:r>
        <w:rPr>
          <w:rStyle w:val="FootnoteReference"/>
        </w:rPr>
        <w:footnoteRef/>
      </w:r>
      <w:r>
        <w:rPr>
          <w:rtl/>
        </w:rPr>
        <w:t xml:space="preserve"> </w:t>
      </w:r>
      <w:r>
        <w:t>Market thinking</w:t>
      </w:r>
    </w:p>
  </w:footnote>
  <w:footnote w:id="1222">
    <w:p w14:paraId="1A011396" w14:textId="77777777" w:rsidR="00B47FF5" w:rsidRDefault="00B47FF5" w:rsidP="00537CC8">
      <w:pPr>
        <w:pStyle w:val="FootnoteText"/>
      </w:pPr>
      <w:r>
        <w:rPr>
          <w:rStyle w:val="FootnoteReference"/>
        </w:rPr>
        <w:footnoteRef/>
      </w:r>
      <w:r>
        <w:rPr>
          <w:rtl/>
        </w:rPr>
        <w:t xml:space="preserve"> </w:t>
      </w:r>
      <w:r>
        <w:t>Adjustment thinking</w:t>
      </w:r>
    </w:p>
  </w:footnote>
  <w:footnote w:id="1223">
    <w:p w14:paraId="365931D1" w14:textId="77777777" w:rsidR="00B47FF5" w:rsidRDefault="00B47FF5" w:rsidP="00537CC8">
      <w:pPr>
        <w:pStyle w:val="FootnoteText"/>
      </w:pPr>
      <w:r>
        <w:rPr>
          <w:rStyle w:val="FootnoteReference"/>
        </w:rPr>
        <w:footnoteRef/>
      </w:r>
      <w:r>
        <w:rPr>
          <w:rtl/>
        </w:rPr>
        <w:t xml:space="preserve"> </w:t>
      </w:r>
      <w:r w:rsidRPr="00D46E89">
        <w:t>Motely Fool</w:t>
      </w:r>
    </w:p>
  </w:footnote>
  <w:footnote w:id="1224">
    <w:p w14:paraId="16D8EDFA" w14:textId="77777777" w:rsidR="00B47FF5" w:rsidRDefault="00B47FF5" w:rsidP="00537CC8">
      <w:pPr>
        <w:pStyle w:val="FootnoteText"/>
      </w:pPr>
      <w:r>
        <w:rPr>
          <w:rStyle w:val="FootnoteReference"/>
        </w:rPr>
        <w:footnoteRef/>
      </w:r>
      <w:r>
        <w:rPr>
          <w:rtl/>
        </w:rPr>
        <w:t xml:space="preserve"> </w:t>
      </w:r>
      <w:r w:rsidRPr="00A64F56">
        <w:t>The Only Investment Guide You Will Ever Need</w:t>
      </w:r>
    </w:p>
  </w:footnote>
  <w:footnote w:id="1225">
    <w:p w14:paraId="1B2E5B80" w14:textId="77777777" w:rsidR="00B47FF5" w:rsidRDefault="00B47FF5" w:rsidP="00537CC8">
      <w:pPr>
        <w:pStyle w:val="FootnoteText"/>
      </w:pPr>
      <w:r>
        <w:rPr>
          <w:rStyle w:val="FootnoteReference"/>
        </w:rPr>
        <w:footnoteRef/>
      </w:r>
      <w:r>
        <w:rPr>
          <w:rtl/>
        </w:rPr>
        <w:t xml:space="preserve"> </w:t>
      </w:r>
      <w:r w:rsidRPr="00F037EC">
        <w:t>Andrew Tobias</w:t>
      </w:r>
    </w:p>
  </w:footnote>
  <w:footnote w:id="1226">
    <w:p w14:paraId="5C790282" w14:textId="77777777" w:rsidR="00B47FF5" w:rsidRDefault="00B47FF5" w:rsidP="00537CC8">
      <w:pPr>
        <w:pStyle w:val="FootnoteText"/>
      </w:pPr>
      <w:r>
        <w:rPr>
          <w:rStyle w:val="FootnoteReference"/>
        </w:rPr>
        <w:footnoteRef/>
      </w:r>
      <w:r>
        <w:rPr>
          <w:rtl/>
        </w:rPr>
        <w:t xml:space="preserve"> </w:t>
      </w:r>
      <w:r w:rsidRPr="00A64F56">
        <w:t>Your Money or Your Life</w:t>
      </w:r>
    </w:p>
  </w:footnote>
  <w:footnote w:id="1227">
    <w:p w14:paraId="29621A3B" w14:textId="77777777" w:rsidR="00B47FF5" w:rsidRDefault="00B47FF5" w:rsidP="00537CC8">
      <w:pPr>
        <w:pStyle w:val="FootnoteText"/>
      </w:pPr>
      <w:r>
        <w:rPr>
          <w:rStyle w:val="FootnoteReference"/>
        </w:rPr>
        <w:footnoteRef/>
      </w:r>
      <w:r>
        <w:rPr>
          <w:rtl/>
        </w:rPr>
        <w:t xml:space="preserve"> </w:t>
      </w:r>
      <w:r w:rsidRPr="00F037EC">
        <w:t>Dominguez</w:t>
      </w:r>
    </w:p>
  </w:footnote>
  <w:footnote w:id="1228">
    <w:p w14:paraId="33951D94" w14:textId="77777777" w:rsidR="00B47FF5" w:rsidRDefault="00B47FF5" w:rsidP="00537CC8">
      <w:pPr>
        <w:pStyle w:val="FootnoteText"/>
      </w:pPr>
      <w:r>
        <w:rPr>
          <w:rStyle w:val="FootnoteReference"/>
        </w:rPr>
        <w:footnoteRef/>
      </w:r>
      <w:r>
        <w:rPr>
          <w:rtl/>
        </w:rPr>
        <w:t xml:space="preserve"> </w:t>
      </w:r>
      <w:r w:rsidRPr="004538A8">
        <w:t>The Psychology of Money</w:t>
      </w:r>
    </w:p>
  </w:footnote>
  <w:footnote w:id="1229">
    <w:p w14:paraId="7A9C8FED" w14:textId="77777777" w:rsidR="00B47FF5" w:rsidRDefault="00B47FF5" w:rsidP="00537CC8">
      <w:pPr>
        <w:pStyle w:val="FootnoteText"/>
      </w:pPr>
      <w:r>
        <w:rPr>
          <w:rStyle w:val="FootnoteReference"/>
        </w:rPr>
        <w:footnoteRef/>
      </w:r>
      <w:r>
        <w:rPr>
          <w:rtl/>
        </w:rPr>
        <w:t xml:space="preserve"> </w:t>
      </w:r>
      <w:r w:rsidRPr="00F037EC">
        <w:t>Morgan Housel</w:t>
      </w:r>
    </w:p>
  </w:footnote>
  <w:footnote w:id="1230">
    <w:p w14:paraId="634A7D24" w14:textId="77777777" w:rsidR="00B47FF5" w:rsidRDefault="00B47FF5" w:rsidP="00537CC8">
      <w:pPr>
        <w:pStyle w:val="FootnoteText"/>
      </w:pPr>
      <w:r>
        <w:rPr>
          <w:rStyle w:val="FootnoteReference"/>
        </w:rPr>
        <w:footnoteRef/>
      </w:r>
      <w:r>
        <w:rPr>
          <w:rtl/>
        </w:rPr>
        <w:t xml:space="preserve"> </w:t>
      </w:r>
      <w:r w:rsidRPr="004538A8">
        <w:t>The Motley Fool Investment Guide</w:t>
      </w:r>
    </w:p>
  </w:footnote>
  <w:footnote w:id="1231">
    <w:p w14:paraId="3BAFCCA2" w14:textId="77777777" w:rsidR="00B47FF5" w:rsidRDefault="00B47FF5" w:rsidP="00537CC8">
      <w:pPr>
        <w:pStyle w:val="FootnoteText"/>
      </w:pPr>
      <w:r>
        <w:rPr>
          <w:rStyle w:val="FootnoteReference"/>
        </w:rPr>
        <w:footnoteRef/>
      </w:r>
      <w:r>
        <w:rPr>
          <w:rtl/>
        </w:rPr>
        <w:t xml:space="preserve"> </w:t>
      </w:r>
      <w:r w:rsidRPr="00F037EC">
        <w:t>Tom and David Gardner</w:t>
      </w:r>
    </w:p>
  </w:footnote>
  <w:footnote w:id="1232">
    <w:p w14:paraId="624A34AC" w14:textId="77777777" w:rsidR="00B47FF5" w:rsidRDefault="00B47FF5" w:rsidP="00537CC8">
      <w:pPr>
        <w:pStyle w:val="FootnoteText"/>
      </w:pPr>
      <w:r>
        <w:rPr>
          <w:rStyle w:val="FootnoteReference"/>
        </w:rPr>
        <w:footnoteRef/>
      </w:r>
      <w:r>
        <w:rPr>
          <w:rtl/>
        </w:rPr>
        <w:t xml:space="preserve"> </w:t>
      </w:r>
      <w:r w:rsidRPr="004538A8">
        <w:t>Passive</w:t>
      </w:r>
    </w:p>
  </w:footnote>
  <w:footnote w:id="1233">
    <w:p w14:paraId="53D391CF" w14:textId="77777777" w:rsidR="00B47FF5" w:rsidRDefault="00B47FF5" w:rsidP="00537CC8">
      <w:pPr>
        <w:pStyle w:val="FootnoteText"/>
      </w:pPr>
      <w:r>
        <w:rPr>
          <w:rStyle w:val="FootnoteReference"/>
        </w:rPr>
        <w:footnoteRef/>
      </w:r>
      <w:r>
        <w:rPr>
          <w:rtl/>
        </w:rPr>
        <w:t xml:space="preserve"> </w:t>
      </w:r>
      <w:r w:rsidRPr="004538A8">
        <w:t>Foresight Investing</w:t>
      </w:r>
    </w:p>
  </w:footnote>
  <w:footnote w:id="1234">
    <w:p w14:paraId="768D9E8B" w14:textId="77777777" w:rsidR="00B47FF5" w:rsidRDefault="00B47FF5" w:rsidP="00537CC8">
      <w:pPr>
        <w:pStyle w:val="FootnoteText"/>
      </w:pPr>
      <w:r>
        <w:rPr>
          <w:rStyle w:val="FootnoteReference"/>
        </w:rPr>
        <w:footnoteRef/>
      </w:r>
      <w:r>
        <w:rPr>
          <w:rtl/>
        </w:rPr>
        <w:t xml:space="preserve"> </w:t>
      </w:r>
      <w:r w:rsidRPr="00F037EC">
        <w:t>James Lee</w:t>
      </w:r>
    </w:p>
  </w:footnote>
  <w:footnote w:id="1235">
    <w:p w14:paraId="32082D5D" w14:textId="77777777" w:rsidR="00B47FF5" w:rsidRDefault="00B47FF5" w:rsidP="00537CC8">
      <w:pPr>
        <w:pStyle w:val="FootnoteText"/>
      </w:pPr>
      <w:r>
        <w:rPr>
          <w:rStyle w:val="FootnoteReference"/>
        </w:rPr>
        <w:footnoteRef/>
      </w:r>
      <w:r>
        <w:rPr>
          <w:rtl/>
        </w:rPr>
        <w:t xml:space="preserve"> </w:t>
      </w:r>
      <w:r w:rsidRPr="00F037EC">
        <w:t>Charlie Munger</w:t>
      </w:r>
    </w:p>
  </w:footnote>
  <w:footnote w:id="1236">
    <w:p w14:paraId="7EC10DCA" w14:textId="77777777" w:rsidR="00B47FF5" w:rsidRDefault="00B47FF5" w:rsidP="00537CC8">
      <w:pPr>
        <w:pStyle w:val="FootnoteText"/>
      </w:pPr>
      <w:r>
        <w:rPr>
          <w:rStyle w:val="FootnoteReference"/>
        </w:rPr>
        <w:footnoteRef/>
      </w:r>
      <w:r>
        <w:rPr>
          <w:rtl/>
        </w:rPr>
        <w:t xml:space="preserve"> </w:t>
      </w:r>
      <w:r w:rsidRPr="004538A8">
        <w:t>A Non-Random Walk Down Wall Street</w:t>
      </w:r>
    </w:p>
  </w:footnote>
  <w:footnote w:id="1237">
    <w:p w14:paraId="4F3B09C0" w14:textId="77777777" w:rsidR="00B47FF5" w:rsidRDefault="00B47FF5" w:rsidP="00537CC8">
      <w:pPr>
        <w:pStyle w:val="FootnoteText"/>
      </w:pPr>
      <w:r>
        <w:rPr>
          <w:rStyle w:val="FootnoteReference"/>
        </w:rPr>
        <w:footnoteRef/>
      </w:r>
      <w:r>
        <w:rPr>
          <w:rtl/>
        </w:rPr>
        <w:t xml:space="preserve"> </w:t>
      </w:r>
      <w:r w:rsidRPr="00F037EC">
        <w:t>MacKinlay</w:t>
      </w:r>
    </w:p>
  </w:footnote>
  <w:footnote w:id="1238">
    <w:p w14:paraId="26F1DEE5" w14:textId="0BAE5646" w:rsidR="00B47FF5" w:rsidRDefault="00B47FF5" w:rsidP="00537CC8">
      <w:pPr>
        <w:pStyle w:val="FootnoteText"/>
      </w:pPr>
      <w:r>
        <w:rPr>
          <w:rStyle w:val="FootnoteReference"/>
        </w:rPr>
        <w:footnoteRef/>
      </w:r>
      <w:r>
        <w:rPr>
          <w:rtl/>
        </w:rPr>
        <w:t xml:space="preserve"> </w:t>
      </w:r>
      <w:r w:rsidRPr="004538A8">
        <w:t>Contrarian investing strategies</w:t>
      </w:r>
    </w:p>
  </w:footnote>
  <w:footnote w:id="1239">
    <w:p w14:paraId="2800D05C" w14:textId="77777777" w:rsidR="00B47FF5" w:rsidRDefault="00B47FF5" w:rsidP="00537CC8">
      <w:pPr>
        <w:pStyle w:val="FootnoteText"/>
        <w:rPr>
          <w:rtl/>
        </w:rPr>
      </w:pPr>
      <w:r>
        <w:rPr>
          <w:rStyle w:val="FootnoteReference"/>
        </w:rPr>
        <w:footnoteRef/>
      </w:r>
      <w:r>
        <w:rPr>
          <w:rtl/>
        </w:rPr>
        <w:t xml:space="preserve"> </w:t>
      </w:r>
      <w:r>
        <w:t>Roth IRA (Individual Retirement Account)</w:t>
      </w:r>
    </w:p>
  </w:footnote>
  <w:footnote w:id="1240">
    <w:p w14:paraId="424612BE" w14:textId="77777777" w:rsidR="00B47FF5" w:rsidRDefault="00B47FF5" w:rsidP="00537CC8">
      <w:pPr>
        <w:pStyle w:val="FootnoteText"/>
      </w:pPr>
      <w:r>
        <w:rPr>
          <w:rStyle w:val="FootnoteReference"/>
        </w:rPr>
        <w:footnoteRef/>
      </w:r>
      <w:r>
        <w:rPr>
          <w:rtl/>
        </w:rPr>
        <w:t xml:space="preserve"> </w:t>
      </w:r>
      <w:r w:rsidRPr="00D65669">
        <w:t>Schwab</w:t>
      </w:r>
    </w:p>
  </w:footnote>
  <w:footnote w:id="1241">
    <w:p w14:paraId="1549DB24" w14:textId="77777777" w:rsidR="00B47FF5" w:rsidRDefault="00B47FF5" w:rsidP="00537CC8">
      <w:pPr>
        <w:pStyle w:val="FootnoteText"/>
      </w:pPr>
      <w:r>
        <w:rPr>
          <w:rStyle w:val="FootnoteReference"/>
        </w:rPr>
        <w:footnoteRef/>
      </w:r>
      <w:r>
        <w:rPr>
          <w:rtl/>
        </w:rPr>
        <w:t xml:space="preserve"> </w:t>
      </w:r>
      <w:r w:rsidRPr="00D65669">
        <w:t>Fidelity</w:t>
      </w:r>
    </w:p>
  </w:footnote>
  <w:footnote w:id="1242">
    <w:p w14:paraId="4D68BEEE" w14:textId="77777777" w:rsidR="00B47FF5" w:rsidRDefault="00B47FF5" w:rsidP="00537CC8">
      <w:pPr>
        <w:pStyle w:val="FootnoteText"/>
      </w:pPr>
      <w:r>
        <w:rPr>
          <w:rStyle w:val="FootnoteReference"/>
        </w:rPr>
        <w:footnoteRef/>
      </w:r>
      <w:r>
        <w:rPr>
          <w:rtl/>
        </w:rPr>
        <w:t xml:space="preserve"> </w:t>
      </w:r>
      <w:r w:rsidRPr="00A1433B">
        <w:t>Nerdwallet’s Roth IRA Calculator</w:t>
      </w:r>
    </w:p>
  </w:footnote>
  <w:footnote w:id="1243">
    <w:p w14:paraId="46719BE8" w14:textId="6E6F13B6" w:rsidR="00B47FF5" w:rsidRDefault="00B47FF5" w:rsidP="00537CC8">
      <w:pPr>
        <w:pStyle w:val="FootnoteText"/>
      </w:pPr>
      <w:r>
        <w:rPr>
          <w:rStyle w:val="FootnoteReference"/>
        </w:rPr>
        <w:footnoteRef/>
      </w:r>
      <w:r>
        <w:rPr>
          <w:rtl/>
        </w:rPr>
        <w:t xml:space="preserve"> </w:t>
      </w:r>
      <w:r>
        <w:t>Exponential thinking</w:t>
      </w:r>
    </w:p>
  </w:footnote>
  <w:footnote w:id="1244">
    <w:p w14:paraId="0F76FF42" w14:textId="5319DA0A" w:rsidR="00B47FF5" w:rsidRDefault="00B47FF5" w:rsidP="00537CC8">
      <w:pPr>
        <w:pStyle w:val="FootnoteText"/>
      </w:pPr>
      <w:r>
        <w:rPr>
          <w:rStyle w:val="FootnoteReference"/>
        </w:rPr>
        <w:footnoteRef/>
      </w:r>
      <w:r>
        <w:rPr>
          <w:rtl/>
        </w:rPr>
        <w:t xml:space="preserve"> </w:t>
      </w:r>
      <w:r>
        <w:t>Linear thinkers</w:t>
      </w:r>
    </w:p>
  </w:footnote>
  <w:footnote w:id="1245">
    <w:p w14:paraId="632B30A3" w14:textId="77777777" w:rsidR="00B47FF5" w:rsidRDefault="00B47FF5" w:rsidP="00537CC8">
      <w:pPr>
        <w:pStyle w:val="FootnoteText"/>
      </w:pPr>
      <w:r>
        <w:rPr>
          <w:rStyle w:val="FootnoteReference"/>
        </w:rPr>
        <w:footnoteRef/>
      </w:r>
      <w:r>
        <w:rPr>
          <w:rtl/>
        </w:rPr>
        <w:t xml:space="preserve"> </w:t>
      </w:r>
      <w:r>
        <w:t>Air Taxis</w:t>
      </w:r>
    </w:p>
  </w:footnote>
  <w:footnote w:id="1246">
    <w:p w14:paraId="0AF5B6C2" w14:textId="77777777" w:rsidR="00B47FF5" w:rsidRDefault="00B47FF5" w:rsidP="00537CC8">
      <w:pPr>
        <w:pStyle w:val="FootnoteText"/>
      </w:pPr>
      <w:r>
        <w:rPr>
          <w:rStyle w:val="FootnoteReference"/>
        </w:rPr>
        <w:footnoteRef/>
      </w:r>
      <w:r>
        <w:rPr>
          <w:rtl/>
        </w:rPr>
        <w:t xml:space="preserve"> </w:t>
      </w:r>
      <w:r w:rsidRPr="00D65669">
        <w:t>Uber</w:t>
      </w:r>
    </w:p>
  </w:footnote>
  <w:footnote w:id="1247">
    <w:p w14:paraId="0F70E647" w14:textId="77777777" w:rsidR="00B47FF5" w:rsidRDefault="00B47FF5" w:rsidP="00537CC8">
      <w:pPr>
        <w:pStyle w:val="FootnoteText"/>
      </w:pPr>
      <w:r>
        <w:rPr>
          <w:rStyle w:val="FootnoteReference"/>
        </w:rPr>
        <w:footnoteRef/>
      </w:r>
      <w:r>
        <w:rPr>
          <w:rtl/>
        </w:rPr>
        <w:t xml:space="preserve"> </w:t>
      </w:r>
      <w:r w:rsidRPr="00D65669">
        <w:t>Joby Aviation</w:t>
      </w:r>
    </w:p>
  </w:footnote>
  <w:footnote w:id="1248">
    <w:p w14:paraId="793EF54D" w14:textId="77777777" w:rsidR="00B47FF5" w:rsidRDefault="00B47FF5" w:rsidP="00537CC8">
      <w:pPr>
        <w:pStyle w:val="FootnoteText"/>
      </w:pPr>
      <w:r>
        <w:rPr>
          <w:rStyle w:val="FootnoteReference"/>
        </w:rPr>
        <w:footnoteRef/>
      </w:r>
      <w:r>
        <w:rPr>
          <w:rtl/>
        </w:rPr>
        <w:t xml:space="preserve"> </w:t>
      </w:r>
      <w:r w:rsidRPr="00D65669">
        <w:t>SpaceX</w:t>
      </w:r>
    </w:p>
  </w:footnote>
  <w:footnote w:id="1249">
    <w:p w14:paraId="7F557E0F" w14:textId="77777777" w:rsidR="00B47FF5" w:rsidRDefault="00B47FF5" w:rsidP="00537CC8">
      <w:pPr>
        <w:pStyle w:val="FootnoteText"/>
      </w:pPr>
      <w:r>
        <w:rPr>
          <w:rStyle w:val="FootnoteReference"/>
        </w:rPr>
        <w:footnoteRef/>
      </w:r>
      <w:r>
        <w:rPr>
          <w:rtl/>
        </w:rPr>
        <w:t xml:space="preserve"> </w:t>
      </w:r>
      <w:r w:rsidRPr="000341F0">
        <w:t>The Boring Company</w:t>
      </w:r>
    </w:p>
  </w:footnote>
  <w:footnote w:id="1250">
    <w:p w14:paraId="0DD205A8" w14:textId="77777777" w:rsidR="00B47FF5" w:rsidRDefault="00B47FF5" w:rsidP="00537CC8">
      <w:pPr>
        <w:pStyle w:val="FootnoteText"/>
      </w:pPr>
      <w:r>
        <w:rPr>
          <w:rStyle w:val="FootnoteReference"/>
        </w:rPr>
        <w:footnoteRef/>
      </w:r>
      <w:r>
        <w:rPr>
          <w:rtl/>
        </w:rPr>
        <w:t xml:space="preserve"> </w:t>
      </w:r>
      <w:r w:rsidRPr="000341F0">
        <w:t>Hyperloop</w:t>
      </w:r>
    </w:p>
  </w:footnote>
  <w:footnote w:id="1251">
    <w:p w14:paraId="4D2FA96A" w14:textId="0DA3BD4B" w:rsidR="00B47FF5" w:rsidRDefault="00B47FF5" w:rsidP="00537CC8">
      <w:pPr>
        <w:pStyle w:val="FootnoteText"/>
      </w:pPr>
      <w:r>
        <w:rPr>
          <w:rStyle w:val="FootnoteReference"/>
        </w:rPr>
        <w:footnoteRef/>
      </w:r>
      <w:r>
        <w:rPr>
          <w:rtl/>
        </w:rPr>
        <w:t xml:space="preserve"> </w:t>
      </w:r>
      <w:r w:rsidRPr="00E96E99">
        <w:t>Tech Demonstrators</w:t>
      </w:r>
    </w:p>
  </w:footnote>
  <w:footnote w:id="1252">
    <w:p w14:paraId="388327DE" w14:textId="1D172E6C" w:rsidR="00B47FF5" w:rsidRDefault="00B47FF5" w:rsidP="00537CC8">
      <w:pPr>
        <w:pStyle w:val="FootnoteText"/>
      </w:pPr>
      <w:r>
        <w:rPr>
          <w:rStyle w:val="FootnoteReference"/>
        </w:rPr>
        <w:footnoteRef/>
      </w:r>
      <w:r>
        <w:rPr>
          <w:rtl/>
        </w:rPr>
        <w:t xml:space="preserve"> </w:t>
      </w:r>
      <w:r w:rsidRPr="00E96E99">
        <w:t>Monorails</w:t>
      </w:r>
    </w:p>
  </w:footnote>
  <w:footnote w:id="1253">
    <w:p w14:paraId="1A9D39C1" w14:textId="07270F97" w:rsidR="00B47FF5" w:rsidRDefault="00B47FF5" w:rsidP="00537CC8">
      <w:pPr>
        <w:pStyle w:val="FootnoteText"/>
      </w:pPr>
      <w:r>
        <w:rPr>
          <w:rStyle w:val="FootnoteReference"/>
        </w:rPr>
        <w:footnoteRef/>
      </w:r>
      <w:r>
        <w:rPr>
          <w:rtl/>
        </w:rPr>
        <w:t xml:space="preserve"> </w:t>
      </w:r>
      <w:r w:rsidRPr="00E96E99">
        <w:t>Our Amazing Aerial Future</w:t>
      </w:r>
    </w:p>
  </w:footnote>
  <w:footnote w:id="1254">
    <w:p w14:paraId="792AA07F" w14:textId="79661CA9" w:rsidR="00B47FF5" w:rsidRDefault="00B47FF5">
      <w:pPr>
        <w:pStyle w:val="FootnoteText"/>
        <w:rPr>
          <w:rtl/>
        </w:rPr>
      </w:pPr>
      <w:r>
        <w:rPr>
          <w:rStyle w:val="FootnoteReference"/>
        </w:rPr>
        <w:footnoteRef/>
      </w:r>
      <w:r>
        <w:t xml:space="preserve"> </w:t>
      </w:r>
      <w:r w:rsidRPr="00537CC8">
        <w:t>Impact Investing</w:t>
      </w:r>
    </w:p>
  </w:footnote>
  <w:footnote w:id="1255">
    <w:p w14:paraId="1CBD6D3E" w14:textId="40FD5989" w:rsidR="00B47FF5" w:rsidRDefault="00B47FF5" w:rsidP="00537CC8">
      <w:pPr>
        <w:pStyle w:val="FootnoteText"/>
      </w:pPr>
      <w:r>
        <w:rPr>
          <w:rStyle w:val="FootnoteReference"/>
        </w:rPr>
        <w:footnoteRef/>
      </w:r>
      <w:r>
        <w:rPr>
          <w:rtl/>
        </w:rPr>
        <w:t xml:space="preserve"> </w:t>
      </w:r>
      <w:r w:rsidRPr="00E96E99">
        <w:t>Socially responsible investing</w:t>
      </w:r>
    </w:p>
  </w:footnote>
  <w:footnote w:id="1256">
    <w:p w14:paraId="2A14ABFB" w14:textId="77777777" w:rsidR="00B47FF5" w:rsidRDefault="00B47FF5" w:rsidP="00537CC8">
      <w:pPr>
        <w:pStyle w:val="FootnoteText"/>
      </w:pPr>
      <w:r>
        <w:rPr>
          <w:rStyle w:val="FootnoteReference"/>
        </w:rPr>
        <w:footnoteRef/>
      </w:r>
      <w:r>
        <w:rPr>
          <w:rtl/>
        </w:rPr>
        <w:t xml:space="preserve"> </w:t>
      </w:r>
      <w:r w:rsidRPr="00E96E99">
        <w:t>Impact</w:t>
      </w:r>
    </w:p>
  </w:footnote>
  <w:footnote w:id="1257">
    <w:p w14:paraId="76168875" w14:textId="77777777" w:rsidR="00B47FF5" w:rsidRDefault="00B47FF5" w:rsidP="00537CC8">
      <w:pPr>
        <w:pStyle w:val="FootnoteText"/>
      </w:pPr>
      <w:r>
        <w:rPr>
          <w:rStyle w:val="FootnoteReference"/>
        </w:rPr>
        <w:footnoteRef/>
      </w:r>
      <w:r>
        <w:rPr>
          <w:rtl/>
        </w:rPr>
        <w:t xml:space="preserve"> </w:t>
      </w:r>
      <w:r w:rsidRPr="00D65669">
        <w:t>Ronald Cohen</w:t>
      </w:r>
    </w:p>
  </w:footnote>
  <w:footnote w:id="1258">
    <w:p w14:paraId="597DED42" w14:textId="77777777" w:rsidR="00B47FF5" w:rsidRDefault="00B47FF5" w:rsidP="00537CC8">
      <w:pPr>
        <w:pStyle w:val="FootnoteText"/>
      </w:pPr>
      <w:r>
        <w:rPr>
          <w:rStyle w:val="FootnoteReference"/>
        </w:rPr>
        <w:footnoteRef/>
      </w:r>
      <w:r>
        <w:rPr>
          <w:rtl/>
        </w:rPr>
        <w:t xml:space="preserve"> </w:t>
      </w:r>
      <w:r w:rsidRPr="00E96E99">
        <w:t>The Power of Impact Investing</w:t>
      </w:r>
    </w:p>
  </w:footnote>
  <w:footnote w:id="1259">
    <w:p w14:paraId="4F03E773" w14:textId="77777777" w:rsidR="00B47FF5" w:rsidRDefault="00B47FF5" w:rsidP="00537CC8">
      <w:pPr>
        <w:pStyle w:val="FootnoteText"/>
      </w:pPr>
      <w:r>
        <w:rPr>
          <w:rStyle w:val="FootnoteReference"/>
        </w:rPr>
        <w:footnoteRef/>
      </w:r>
      <w:r>
        <w:rPr>
          <w:rtl/>
        </w:rPr>
        <w:t xml:space="preserve"> </w:t>
      </w:r>
      <w:r w:rsidRPr="00D65669">
        <w:t>Rodin and Brandenburg</w:t>
      </w:r>
    </w:p>
  </w:footnote>
  <w:footnote w:id="1260">
    <w:p w14:paraId="63D304E3" w14:textId="77777777" w:rsidR="00B47FF5" w:rsidRDefault="00B47FF5" w:rsidP="00537CC8">
      <w:pPr>
        <w:pStyle w:val="FootnoteText"/>
      </w:pPr>
      <w:r>
        <w:rPr>
          <w:rStyle w:val="FootnoteReference"/>
        </w:rPr>
        <w:footnoteRef/>
      </w:r>
      <w:r>
        <w:rPr>
          <w:rtl/>
        </w:rPr>
        <w:t xml:space="preserve"> </w:t>
      </w:r>
      <w:r w:rsidRPr="00E96E99">
        <w:t>Impact Imperative</w:t>
      </w:r>
    </w:p>
  </w:footnote>
  <w:footnote w:id="1261">
    <w:p w14:paraId="316F57B3" w14:textId="77777777" w:rsidR="00B47FF5" w:rsidRDefault="00B47FF5" w:rsidP="00537CC8">
      <w:pPr>
        <w:pStyle w:val="FootnoteText"/>
      </w:pPr>
      <w:r>
        <w:rPr>
          <w:rStyle w:val="FootnoteReference"/>
        </w:rPr>
        <w:footnoteRef/>
      </w:r>
      <w:r>
        <w:rPr>
          <w:rtl/>
        </w:rPr>
        <w:t xml:space="preserve"> </w:t>
      </w:r>
      <w:r w:rsidRPr="00D65669">
        <w:t>Pamela Ryan</w:t>
      </w:r>
    </w:p>
  </w:footnote>
  <w:footnote w:id="1262">
    <w:p w14:paraId="178442B3" w14:textId="77777777" w:rsidR="00B47FF5" w:rsidRDefault="00B47FF5" w:rsidP="00537CC8">
      <w:pPr>
        <w:pStyle w:val="FootnoteText"/>
      </w:pPr>
      <w:r>
        <w:rPr>
          <w:rStyle w:val="FootnoteReference"/>
        </w:rPr>
        <w:footnoteRef/>
      </w:r>
      <w:r>
        <w:rPr>
          <w:rtl/>
        </w:rPr>
        <w:t xml:space="preserve"> </w:t>
      </w:r>
      <w:r>
        <w:t>Motley Fool</w:t>
      </w:r>
    </w:p>
  </w:footnote>
  <w:footnote w:id="1263">
    <w:p w14:paraId="47FF8A3E" w14:textId="77777777" w:rsidR="00B47FF5" w:rsidRDefault="00B47FF5" w:rsidP="00537CC8">
      <w:pPr>
        <w:pStyle w:val="FootnoteText"/>
      </w:pPr>
      <w:r>
        <w:rPr>
          <w:rStyle w:val="FootnoteReference"/>
        </w:rPr>
        <w:footnoteRef/>
      </w:r>
      <w:r>
        <w:rPr>
          <w:rtl/>
        </w:rPr>
        <w:t xml:space="preserve"> </w:t>
      </w:r>
      <w:r w:rsidRPr="007B29EE">
        <w:t>The Permanent Portfolio</w:t>
      </w:r>
    </w:p>
  </w:footnote>
  <w:footnote w:id="1264">
    <w:p w14:paraId="316755B9" w14:textId="77777777" w:rsidR="00B47FF5" w:rsidRDefault="00B47FF5" w:rsidP="00537CC8">
      <w:pPr>
        <w:pStyle w:val="FootnoteText"/>
      </w:pPr>
      <w:r>
        <w:rPr>
          <w:rStyle w:val="FootnoteReference"/>
        </w:rPr>
        <w:footnoteRef/>
      </w:r>
      <w:r>
        <w:rPr>
          <w:rtl/>
        </w:rPr>
        <w:t xml:space="preserve"> </w:t>
      </w:r>
      <w:r w:rsidRPr="00D65669">
        <w:t>Rowland</w:t>
      </w:r>
    </w:p>
  </w:footnote>
  <w:footnote w:id="1265">
    <w:p w14:paraId="645074F1" w14:textId="77777777" w:rsidR="00B47FF5" w:rsidRDefault="00B47FF5" w:rsidP="00537CC8">
      <w:pPr>
        <w:pStyle w:val="FootnoteText"/>
      </w:pPr>
      <w:r>
        <w:rPr>
          <w:rStyle w:val="FootnoteReference"/>
        </w:rPr>
        <w:footnoteRef/>
      </w:r>
      <w:r>
        <w:rPr>
          <w:rtl/>
        </w:rPr>
        <w:t xml:space="preserve"> </w:t>
      </w:r>
      <w:r w:rsidRPr="00D65669">
        <w:t>Lawson</w:t>
      </w:r>
    </w:p>
  </w:footnote>
  <w:footnote w:id="1266">
    <w:p w14:paraId="7DA3407A" w14:textId="77777777" w:rsidR="00B47FF5" w:rsidRDefault="00B47FF5" w:rsidP="00537CC8">
      <w:pPr>
        <w:pStyle w:val="FootnoteText"/>
      </w:pPr>
      <w:r>
        <w:rPr>
          <w:rStyle w:val="FootnoteReference"/>
        </w:rPr>
        <w:footnoteRef/>
      </w:r>
      <w:r>
        <w:rPr>
          <w:rtl/>
        </w:rPr>
        <w:t xml:space="preserve"> </w:t>
      </w:r>
      <w:r w:rsidRPr="00D65669">
        <w:t>Harry Browne</w:t>
      </w:r>
    </w:p>
  </w:footnote>
  <w:footnote w:id="1267">
    <w:p w14:paraId="7AED7CFB" w14:textId="77777777" w:rsidR="00B47FF5" w:rsidRDefault="00B47FF5" w:rsidP="00537CC8">
      <w:pPr>
        <w:pStyle w:val="FootnoteText"/>
      </w:pPr>
      <w:r>
        <w:rPr>
          <w:rStyle w:val="FootnoteReference"/>
        </w:rPr>
        <w:footnoteRef/>
      </w:r>
      <w:r>
        <w:rPr>
          <w:rtl/>
        </w:rPr>
        <w:t xml:space="preserve"> </w:t>
      </w:r>
      <w:r w:rsidRPr="00F170CA">
        <w:t>Index Stocks</w:t>
      </w:r>
    </w:p>
  </w:footnote>
  <w:footnote w:id="1268">
    <w:p w14:paraId="03E0A259" w14:textId="77777777" w:rsidR="00B47FF5" w:rsidRDefault="00B47FF5" w:rsidP="00537CC8">
      <w:pPr>
        <w:pStyle w:val="FootnoteText"/>
      </w:pPr>
      <w:r>
        <w:rPr>
          <w:rStyle w:val="FootnoteReference"/>
        </w:rPr>
        <w:footnoteRef/>
      </w:r>
      <w:r>
        <w:rPr>
          <w:rtl/>
        </w:rPr>
        <w:t xml:space="preserve"> </w:t>
      </w:r>
      <w:r w:rsidRPr="00F170CA">
        <w:t>Long-Term Treasury Bonds</w:t>
      </w:r>
    </w:p>
  </w:footnote>
  <w:footnote w:id="1269">
    <w:p w14:paraId="5BC0D8DE" w14:textId="77777777" w:rsidR="00B47FF5" w:rsidRDefault="00B47FF5" w:rsidP="00537CC8">
      <w:pPr>
        <w:pStyle w:val="FootnoteText"/>
      </w:pPr>
      <w:r>
        <w:rPr>
          <w:rStyle w:val="FootnoteReference"/>
        </w:rPr>
        <w:footnoteRef/>
      </w:r>
      <w:r>
        <w:rPr>
          <w:rtl/>
        </w:rPr>
        <w:t xml:space="preserve"> </w:t>
      </w:r>
      <w:r w:rsidRPr="00D65669">
        <w:t>Wealthfront</w:t>
      </w:r>
    </w:p>
  </w:footnote>
  <w:footnote w:id="1270">
    <w:p w14:paraId="104CA0C2" w14:textId="77777777" w:rsidR="00B47FF5" w:rsidRDefault="00B47FF5" w:rsidP="00537CC8">
      <w:pPr>
        <w:pStyle w:val="FootnoteText"/>
      </w:pPr>
      <w:r>
        <w:rPr>
          <w:rStyle w:val="FootnoteReference"/>
        </w:rPr>
        <w:footnoteRef/>
      </w:r>
      <w:r>
        <w:rPr>
          <w:rtl/>
        </w:rPr>
        <w:t xml:space="preserve"> </w:t>
      </w:r>
      <w:r w:rsidRPr="00D65669">
        <w:t>Seeking Alpha</w:t>
      </w:r>
    </w:p>
  </w:footnote>
  <w:footnote w:id="1271">
    <w:p w14:paraId="66BFD95D" w14:textId="77777777" w:rsidR="00B47FF5" w:rsidRDefault="00B47FF5" w:rsidP="00537CC8">
      <w:pPr>
        <w:pStyle w:val="FootnoteText"/>
      </w:pPr>
      <w:r>
        <w:rPr>
          <w:rStyle w:val="FootnoteReference"/>
        </w:rPr>
        <w:footnoteRef/>
      </w:r>
      <w:r>
        <w:rPr>
          <w:rtl/>
        </w:rPr>
        <w:t xml:space="preserve"> </w:t>
      </w:r>
      <w:r w:rsidRPr="00452B82">
        <w:t>American Association of individual Investors</w:t>
      </w:r>
    </w:p>
  </w:footnote>
  <w:footnote w:id="1272">
    <w:p w14:paraId="6902A909" w14:textId="6283F944" w:rsidR="00B47FF5" w:rsidRDefault="00B47FF5" w:rsidP="00537CC8">
      <w:pPr>
        <w:pStyle w:val="FootnoteText"/>
      </w:pPr>
      <w:r>
        <w:rPr>
          <w:rStyle w:val="FootnoteReference"/>
        </w:rPr>
        <w:footnoteRef/>
      </w:r>
      <w:r>
        <w:rPr>
          <w:rtl/>
        </w:rPr>
        <w:t xml:space="preserve"> </w:t>
      </w:r>
      <w:r w:rsidRPr="00CB0A43">
        <w:t>Megatrend</w:t>
      </w:r>
    </w:p>
  </w:footnote>
  <w:footnote w:id="1273">
    <w:p w14:paraId="261BBFD3" w14:textId="6FBD0EA7" w:rsidR="00B47FF5" w:rsidRDefault="00B47FF5" w:rsidP="00537CC8">
      <w:pPr>
        <w:pStyle w:val="FootnoteText"/>
      </w:pPr>
      <w:r>
        <w:rPr>
          <w:rStyle w:val="FootnoteReference"/>
        </w:rPr>
        <w:footnoteRef/>
      </w:r>
      <w:r>
        <w:rPr>
          <w:rtl/>
        </w:rPr>
        <w:t xml:space="preserve"> </w:t>
      </w:r>
      <w:r w:rsidRPr="00CB0A43">
        <w:t>Densification</w:t>
      </w:r>
    </w:p>
  </w:footnote>
  <w:footnote w:id="1274">
    <w:p w14:paraId="119AB74E" w14:textId="5D7A6AD4" w:rsidR="00B47FF5" w:rsidRDefault="00B47FF5" w:rsidP="00537CC8">
      <w:pPr>
        <w:pStyle w:val="FootnoteText"/>
      </w:pPr>
      <w:r>
        <w:rPr>
          <w:rStyle w:val="FootnoteReference"/>
        </w:rPr>
        <w:footnoteRef/>
      </w:r>
      <w:r>
        <w:rPr>
          <w:rtl/>
        </w:rPr>
        <w:t xml:space="preserve"> </w:t>
      </w:r>
      <w:r w:rsidRPr="00CB0A43">
        <w:t>Dematerialization</w:t>
      </w:r>
    </w:p>
  </w:footnote>
  <w:footnote w:id="1275">
    <w:p w14:paraId="7776E0E8" w14:textId="74926A99" w:rsidR="00B47FF5" w:rsidRDefault="00B47FF5" w:rsidP="00537CC8">
      <w:pPr>
        <w:pStyle w:val="FootnoteText"/>
      </w:pPr>
      <w:r>
        <w:rPr>
          <w:rStyle w:val="FootnoteReference"/>
        </w:rPr>
        <w:footnoteRef/>
      </w:r>
      <w:r>
        <w:rPr>
          <w:rtl/>
        </w:rPr>
        <w:t xml:space="preserve"> </w:t>
      </w:r>
      <w:r w:rsidRPr="005062AE">
        <w:t>Technological singularity</w:t>
      </w:r>
    </w:p>
  </w:footnote>
  <w:footnote w:id="1276">
    <w:p w14:paraId="269F1F9D" w14:textId="77777777" w:rsidR="00B47FF5" w:rsidRDefault="00B47FF5" w:rsidP="00537CC8">
      <w:pPr>
        <w:pStyle w:val="FootnoteText"/>
      </w:pPr>
      <w:r>
        <w:rPr>
          <w:rStyle w:val="FootnoteReference"/>
        </w:rPr>
        <w:footnoteRef/>
      </w:r>
      <w:r>
        <w:rPr>
          <w:rtl/>
        </w:rPr>
        <w:t xml:space="preserve"> </w:t>
      </w:r>
      <w:r w:rsidRPr="008907B0">
        <w:t>The Motley Fool Investment Guide</w:t>
      </w:r>
    </w:p>
  </w:footnote>
  <w:footnote w:id="1277">
    <w:p w14:paraId="418CA346" w14:textId="77777777" w:rsidR="00B47FF5" w:rsidRDefault="00B47FF5" w:rsidP="00537CC8">
      <w:pPr>
        <w:pStyle w:val="FootnoteText"/>
      </w:pPr>
      <w:r>
        <w:rPr>
          <w:rStyle w:val="FootnoteReference"/>
        </w:rPr>
        <w:footnoteRef/>
      </w:r>
      <w:r>
        <w:rPr>
          <w:rtl/>
        </w:rPr>
        <w:t xml:space="preserve"> </w:t>
      </w:r>
      <w:r w:rsidRPr="00DC5BF5">
        <w:t>Rule Breaker Investing</w:t>
      </w:r>
    </w:p>
  </w:footnote>
  <w:footnote w:id="1278">
    <w:p w14:paraId="4B609B15" w14:textId="02411C53" w:rsidR="00B47FF5" w:rsidRDefault="00B47FF5" w:rsidP="00537CC8">
      <w:pPr>
        <w:pStyle w:val="FootnoteText"/>
      </w:pPr>
      <w:r>
        <w:rPr>
          <w:rStyle w:val="FootnoteReference"/>
        </w:rPr>
        <w:footnoteRef/>
      </w:r>
      <w:r>
        <w:rPr>
          <w:rtl/>
        </w:rPr>
        <w:t xml:space="preserve"> </w:t>
      </w:r>
      <w:r w:rsidRPr="00B0726F">
        <w:t>Quantitative Easing</w:t>
      </w:r>
    </w:p>
  </w:footnote>
  <w:footnote w:id="1279">
    <w:p w14:paraId="542A489F" w14:textId="687D4E15" w:rsidR="00B47FF5" w:rsidRDefault="00B47FF5" w:rsidP="00537CC8">
      <w:pPr>
        <w:pStyle w:val="FootnoteText"/>
      </w:pPr>
      <w:r>
        <w:rPr>
          <w:rStyle w:val="FootnoteReference"/>
        </w:rPr>
        <w:footnoteRef/>
      </w:r>
      <w:r>
        <w:rPr>
          <w:rtl/>
        </w:rPr>
        <w:t xml:space="preserve"> </w:t>
      </w:r>
      <w:r w:rsidRPr="00B0726F">
        <w:t>Digital Supernova</w:t>
      </w:r>
    </w:p>
  </w:footnote>
  <w:footnote w:id="1280">
    <w:p w14:paraId="7530ED5A" w14:textId="14806C0E" w:rsidR="00B47FF5" w:rsidRDefault="00B47FF5" w:rsidP="00537CC8">
      <w:pPr>
        <w:pStyle w:val="FootnoteText"/>
      </w:pPr>
      <w:r>
        <w:rPr>
          <w:rStyle w:val="FootnoteReference"/>
        </w:rPr>
        <w:footnoteRef/>
      </w:r>
      <w:r>
        <w:rPr>
          <w:rtl/>
        </w:rPr>
        <w:t xml:space="preserve"> </w:t>
      </w:r>
      <w:r>
        <w:t>Technological singularity</w:t>
      </w:r>
    </w:p>
  </w:footnote>
  <w:footnote w:id="1281">
    <w:p w14:paraId="710E7D9E" w14:textId="77777777" w:rsidR="00B47FF5" w:rsidRDefault="00B47FF5" w:rsidP="00537CC8">
      <w:pPr>
        <w:pStyle w:val="FootnoteText"/>
      </w:pPr>
      <w:r>
        <w:rPr>
          <w:rStyle w:val="FootnoteReference"/>
        </w:rPr>
        <w:footnoteRef/>
      </w:r>
      <w:r>
        <w:rPr>
          <w:rtl/>
        </w:rPr>
        <w:t xml:space="preserve"> </w:t>
      </w:r>
      <w:r w:rsidRPr="00E9357A">
        <w:t>Cathie Wood</w:t>
      </w:r>
    </w:p>
  </w:footnote>
  <w:footnote w:id="1282">
    <w:p w14:paraId="53F61434" w14:textId="77777777" w:rsidR="00B47FF5" w:rsidRDefault="00B47FF5" w:rsidP="00537CC8">
      <w:pPr>
        <w:pStyle w:val="FootnoteText"/>
      </w:pPr>
      <w:r>
        <w:rPr>
          <w:rStyle w:val="FootnoteReference"/>
        </w:rPr>
        <w:footnoteRef/>
      </w:r>
      <w:r>
        <w:rPr>
          <w:rtl/>
        </w:rPr>
        <w:t xml:space="preserve"> </w:t>
      </w:r>
      <w:r w:rsidRPr="00E9357A">
        <w:t>Ark Invest</w:t>
      </w:r>
    </w:p>
  </w:footnote>
  <w:footnote w:id="1283">
    <w:p w14:paraId="2271E7D5" w14:textId="77777777" w:rsidR="00B47FF5" w:rsidRDefault="00B47FF5" w:rsidP="00537CC8">
      <w:pPr>
        <w:pStyle w:val="FootnoteText"/>
      </w:pPr>
      <w:r>
        <w:rPr>
          <w:rStyle w:val="FootnoteReference"/>
        </w:rPr>
        <w:footnoteRef/>
      </w:r>
      <w:r>
        <w:rPr>
          <w:rtl/>
        </w:rPr>
        <w:t xml:space="preserve"> </w:t>
      </w:r>
      <w:r w:rsidRPr="00B0726F">
        <w:t>Machine, Platform, Crowd</w:t>
      </w:r>
    </w:p>
  </w:footnote>
  <w:footnote w:id="1284">
    <w:p w14:paraId="06D7A129" w14:textId="77777777" w:rsidR="00B47FF5" w:rsidRDefault="00B47FF5" w:rsidP="00537CC8">
      <w:pPr>
        <w:pStyle w:val="FootnoteText"/>
      </w:pPr>
      <w:r>
        <w:rPr>
          <w:rStyle w:val="FootnoteReference"/>
        </w:rPr>
        <w:footnoteRef/>
      </w:r>
      <w:r>
        <w:rPr>
          <w:rtl/>
        </w:rPr>
        <w:t xml:space="preserve"> </w:t>
      </w:r>
      <w:r w:rsidRPr="00E9357A">
        <w:t>Brynjolfsson</w:t>
      </w:r>
    </w:p>
  </w:footnote>
  <w:footnote w:id="1285">
    <w:p w14:paraId="194E6003" w14:textId="77777777" w:rsidR="00B47FF5" w:rsidRDefault="00B47FF5" w:rsidP="00537CC8">
      <w:pPr>
        <w:pStyle w:val="FootnoteText"/>
      </w:pPr>
      <w:r>
        <w:rPr>
          <w:rStyle w:val="FootnoteReference"/>
        </w:rPr>
        <w:footnoteRef/>
      </w:r>
      <w:r>
        <w:rPr>
          <w:rtl/>
        </w:rPr>
        <w:t xml:space="preserve"> </w:t>
      </w:r>
      <w:r w:rsidRPr="00E9357A">
        <w:t>McAfee</w:t>
      </w:r>
    </w:p>
  </w:footnote>
  <w:footnote w:id="1286">
    <w:p w14:paraId="6EC61CD1" w14:textId="77777777" w:rsidR="00B47FF5" w:rsidRDefault="00B47FF5" w:rsidP="00537CC8">
      <w:pPr>
        <w:pStyle w:val="FootnoteText"/>
      </w:pPr>
      <w:r>
        <w:rPr>
          <w:rStyle w:val="FootnoteReference"/>
        </w:rPr>
        <w:footnoteRef/>
      </w:r>
      <w:r>
        <w:rPr>
          <w:rtl/>
        </w:rPr>
        <w:t xml:space="preserve"> </w:t>
      </w:r>
      <w:r w:rsidRPr="00E9357A">
        <w:t>Acquired</w:t>
      </w:r>
    </w:p>
  </w:footnote>
  <w:footnote w:id="1287">
    <w:p w14:paraId="414C73F0" w14:textId="77777777" w:rsidR="00B47FF5" w:rsidRDefault="00B47FF5" w:rsidP="00537CC8">
      <w:pPr>
        <w:pStyle w:val="FootnoteText"/>
      </w:pPr>
      <w:r>
        <w:rPr>
          <w:rStyle w:val="FootnoteReference"/>
        </w:rPr>
        <w:footnoteRef/>
      </w:r>
      <w:r>
        <w:rPr>
          <w:rtl/>
        </w:rPr>
        <w:t xml:space="preserve"> </w:t>
      </w:r>
      <w:r w:rsidRPr="00E9357A">
        <w:t>Ben Gilbert</w:t>
      </w:r>
    </w:p>
  </w:footnote>
  <w:footnote w:id="1288">
    <w:p w14:paraId="2D089B53" w14:textId="77777777" w:rsidR="00B47FF5" w:rsidRDefault="00B47FF5" w:rsidP="00537CC8">
      <w:pPr>
        <w:pStyle w:val="FootnoteText"/>
      </w:pPr>
      <w:r>
        <w:rPr>
          <w:rStyle w:val="FootnoteReference"/>
        </w:rPr>
        <w:footnoteRef/>
      </w:r>
      <w:r>
        <w:rPr>
          <w:rtl/>
        </w:rPr>
        <w:t xml:space="preserve"> </w:t>
      </w:r>
      <w:r w:rsidRPr="00E9357A">
        <w:t>David Rosenthal</w:t>
      </w:r>
    </w:p>
  </w:footnote>
  <w:footnote w:id="1289">
    <w:p w14:paraId="3E3B9086" w14:textId="1F7A55A4" w:rsidR="00B47FF5" w:rsidRDefault="00B47FF5" w:rsidP="00537CC8">
      <w:pPr>
        <w:pStyle w:val="FootnoteText"/>
      </w:pPr>
      <w:r>
        <w:rPr>
          <w:rStyle w:val="FootnoteReference"/>
        </w:rPr>
        <w:footnoteRef/>
      </w:r>
      <w:r>
        <w:rPr>
          <w:rtl/>
        </w:rPr>
        <w:t xml:space="preserve"> </w:t>
      </w:r>
      <w:r w:rsidRPr="005D47C8">
        <w:t>initial Public Offerings</w:t>
      </w:r>
    </w:p>
  </w:footnote>
  <w:footnote w:id="1290">
    <w:p w14:paraId="0E244890" w14:textId="78217702" w:rsidR="00B47FF5" w:rsidRDefault="00B47FF5" w:rsidP="00537CC8">
      <w:pPr>
        <w:pStyle w:val="FootnoteText"/>
      </w:pPr>
      <w:r>
        <w:rPr>
          <w:rStyle w:val="FootnoteReference"/>
        </w:rPr>
        <w:footnoteRef/>
      </w:r>
      <w:r>
        <w:rPr>
          <w:rtl/>
        </w:rPr>
        <w:t xml:space="preserve"> </w:t>
      </w:r>
      <w:r w:rsidRPr="00B0726F">
        <w:t>Collective forecasting platforms</w:t>
      </w:r>
    </w:p>
  </w:footnote>
  <w:footnote w:id="1291">
    <w:p w14:paraId="210074A9" w14:textId="77777777" w:rsidR="00B47FF5" w:rsidRDefault="00B47FF5" w:rsidP="00537CC8">
      <w:pPr>
        <w:pStyle w:val="FootnoteText"/>
      </w:pPr>
      <w:r>
        <w:rPr>
          <w:rStyle w:val="FootnoteReference"/>
        </w:rPr>
        <w:footnoteRef/>
      </w:r>
      <w:r>
        <w:rPr>
          <w:rtl/>
        </w:rPr>
        <w:t xml:space="preserve"> </w:t>
      </w:r>
      <w:r w:rsidRPr="00B0726F">
        <w:t>Good Judgment Project</w:t>
      </w:r>
    </w:p>
  </w:footnote>
  <w:footnote w:id="1292">
    <w:p w14:paraId="298841A6" w14:textId="77777777" w:rsidR="00B47FF5" w:rsidRDefault="00B47FF5" w:rsidP="00537CC8">
      <w:pPr>
        <w:pStyle w:val="FootnoteText"/>
      </w:pPr>
      <w:r>
        <w:rPr>
          <w:rStyle w:val="FootnoteReference"/>
        </w:rPr>
        <w:footnoteRef/>
      </w:r>
      <w:r>
        <w:rPr>
          <w:rtl/>
        </w:rPr>
        <w:t xml:space="preserve"> </w:t>
      </w:r>
      <w:r w:rsidRPr="00B0726F">
        <w:t>Bayesian polling platforms</w:t>
      </w:r>
    </w:p>
  </w:footnote>
  <w:footnote w:id="1293">
    <w:p w14:paraId="446397BA" w14:textId="4CCA0CAC" w:rsidR="00B47FF5" w:rsidRDefault="00B47FF5" w:rsidP="00865FC8">
      <w:pPr>
        <w:pStyle w:val="FootnoteText"/>
      </w:pPr>
      <w:r>
        <w:rPr>
          <w:rStyle w:val="FootnoteReference"/>
        </w:rPr>
        <w:footnoteRef/>
      </w:r>
      <w:r>
        <w:rPr>
          <w:rtl/>
        </w:rPr>
        <w:t xml:space="preserve"> </w:t>
      </w:r>
      <w:r>
        <w:t>The Signal and the Noise</w:t>
      </w:r>
    </w:p>
  </w:footnote>
  <w:footnote w:id="1294">
    <w:p w14:paraId="3BC087AC" w14:textId="2F907361" w:rsidR="00B47FF5" w:rsidRDefault="00B47FF5" w:rsidP="00537CC8">
      <w:pPr>
        <w:pStyle w:val="FootnoteText"/>
      </w:pPr>
      <w:r>
        <w:rPr>
          <w:rStyle w:val="FootnoteReference"/>
        </w:rPr>
        <w:footnoteRef/>
      </w:r>
      <w:r>
        <w:rPr>
          <w:rtl/>
        </w:rPr>
        <w:t xml:space="preserve"> </w:t>
      </w:r>
      <w:r w:rsidRPr="00865FC8">
        <w:t>Nate Silver</w:t>
      </w:r>
    </w:p>
  </w:footnote>
  <w:footnote w:id="1295">
    <w:p w14:paraId="6421A7CD" w14:textId="77777777" w:rsidR="00B47FF5" w:rsidRDefault="00B47FF5" w:rsidP="00537CC8">
      <w:pPr>
        <w:pStyle w:val="FootnoteText"/>
      </w:pPr>
      <w:r>
        <w:rPr>
          <w:rStyle w:val="FootnoteReference"/>
        </w:rPr>
        <w:footnoteRef/>
      </w:r>
      <w:r>
        <w:rPr>
          <w:rtl/>
        </w:rPr>
        <w:t xml:space="preserve"> </w:t>
      </w:r>
      <w:r w:rsidRPr="00B0726F">
        <w:t>Predictive Analytics</w:t>
      </w:r>
    </w:p>
  </w:footnote>
  <w:footnote w:id="1296">
    <w:p w14:paraId="7A2F46E6" w14:textId="77777777" w:rsidR="00B47FF5" w:rsidRDefault="00B47FF5" w:rsidP="00537CC8">
      <w:pPr>
        <w:pStyle w:val="FootnoteText"/>
      </w:pPr>
      <w:r>
        <w:rPr>
          <w:rStyle w:val="FootnoteReference"/>
        </w:rPr>
        <w:footnoteRef/>
      </w:r>
      <w:r>
        <w:rPr>
          <w:rtl/>
        </w:rPr>
        <w:t xml:space="preserve"> </w:t>
      </w:r>
      <w:r w:rsidRPr="00E9357A">
        <w:t>Eric Siegel</w:t>
      </w:r>
    </w:p>
  </w:footnote>
  <w:footnote w:id="1297">
    <w:p w14:paraId="02BFE72F" w14:textId="77777777" w:rsidR="00B47FF5" w:rsidRDefault="00B47FF5" w:rsidP="00537CC8">
      <w:pPr>
        <w:pStyle w:val="FootnoteText"/>
      </w:pPr>
      <w:r>
        <w:rPr>
          <w:rStyle w:val="FootnoteReference"/>
        </w:rPr>
        <w:footnoteRef/>
      </w:r>
      <w:r>
        <w:rPr>
          <w:rtl/>
        </w:rPr>
        <w:t xml:space="preserve"> </w:t>
      </w:r>
      <w:r w:rsidRPr="00E9357A">
        <w:t>Warren Buffet</w:t>
      </w:r>
    </w:p>
  </w:footnote>
  <w:footnote w:id="1298">
    <w:p w14:paraId="1714B2D8" w14:textId="77777777" w:rsidR="00B47FF5" w:rsidRDefault="00B47FF5" w:rsidP="00537CC8">
      <w:pPr>
        <w:pStyle w:val="FootnoteText"/>
      </w:pPr>
      <w:r>
        <w:rPr>
          <w:rStyle w:val="FootnoteReference"/>
        </w:rPr>
        <w:footnoteRef/>
      </w:r>
      <w:r>
        <w:rPr>
          <w:rtl/>
        </w:rPr>
        <w:t xml:space="preserve"> </w:t>
      </w:r>
      <w:r w:rsidRPr="001B0B3A">
        <w:t>The Snowball: Warren Buffe</w:t>
      </w:r>
      <w:r>
        <w:t>tt and the business of life</w:t>
      </w:r>
    </w:p>
  </w:footnote>
  <w:footnote w:id="1299">
    <w:p w14:paraId="101DC7DD" w14:textId="77777777" w:rsidR="00B47FF5" w:rsidRDefault="00B47FF5" w:rsidP="00537CC8">
      <w:pPr>
        <w:pStyle w:val="FootnoteText"/>
      </w:pPr>
      <w:r>
        <w:rPr>
          <w:rStyle w:val="FootnoteReference"/>
        </w:rPr>
        <w:footnoteRef/>
      </w:r>
      <w:r>
        <w:rPr>
          <w:rtl/>
        </w:rPr>
        <w:t xml:space="preserve"> </w:t>
      </w:r>
      <w:r w:rsidRPr="00E9357A">
        <w:t>Alice Schroeder</w:t>
      </w:r>
    </w:p>
  </w:footnote>
  <w:footnote w:id="1300">
    <w:p w14:paraId="61892706" w14:textId="77777777" w:rsidR="00B47FF5" w:rsidRDefault="00B47FF5" w:rsidP="00537CC8">
      <w:pPr>
        <w:pStyle w:val="FootnoteText"/>
      </w:pPr>
      <w:r>
        <w:rPr>
          <w:rStyle w:val="FootnoteReference"/>
        </w:rPr>
        <w:footnoteRef/>
      </w:r>
      <w:r>
        <w:rPr>
          <w:rtl/>
        </w:rPr>
        <w:t xml:space="preserve"> </w:t>
      </w:r>
      <w:r w:rsidRPr="00E9357A">
        <w:t>Berkshire Hathaway</w:t>
      </w:r>
    </w:p>
  </w:footnote>
  <w:footnote w:id="1301">
    <w:p w14:paraId="65AB04CB" w14:textId="77777777" w:rsidR="00B47FF5" w:rsidRDefault="00B47FF5" w:rsidP="00537CC8">
      <w:pPr>
        <w:pStyle w:val="FootnoteText"/>
      </w:pPr>
      <w:r>
        <w:rPr>
          <w:rStyle w:val="FootnoteReference"/>
        </w:rPr>
        <w:footnoteRef/>
      </w:r>
      <w:r>
        <w:rPr>
          <w:rtl/>
        </w:rPr>
        <w:t xml:space="preserve"> </w:t>
      </w:r>
      <w:r w:rsidRPr="00E9357A">
        <w:t>Scott Armstrong</w:t>
      </w:r>
    </w:p>
  </w:footnote>
  <w:footnote w:id="1302">
    <w:p w14:paraId="6CE3C3FF" w14:textId="34BFB1A1" w:rsidR="00B47FF5" w:rsidRDefault="00B47FF5" w:rsidP="00537CC8">
      <w:pPr>
        <w:pStyle w:val="FootnoteText"/>
      </w:pPr>
      <w:r>
        <w:rPr>
          <w:rStyle w:val="FootnoteReference"/>
        </w:rPr>
        <w:footnoteRef/>
      </w:r>
      <w:r>
        <w:rPr>
          <w:rtl/>
        </w:rPr>
        <w:t xml:space="preserve"> </w:t>
      </w:r>
      <w:r w:rsidRPr="00810520">
        <w:t>Contrarian</w:t>
      </w:r>
    </w:p>
  </w:footnote>
  <w:footnote w:id="1303">
    <w:p w14:paraId="78E30F2F" w14:textId="77777777" w:rsidR="00B47FF5" w:rsidRDefault="00B47FF5" w:rsidP="00537CC8">
      <w:pPr>
        <w:pStyle w:val="FootnoteText"/>
      </w:pPr>
      <w:r>
        <w:rPr>
          <w:rStyle w:val="FootnoteReference"/>
        </w:rPr>
        <w:footnoteRef/>
      </w:r>
      <w:r>
        <w:rPr>
          <w:rtl/>
        </w:rPr>
        <w:t xml:space="preserve"> </w:t>
      </w:r>
      <w:r w:rsidRPr="00E9357A">
        <w:t>James Lee</w:t>
      </w:r>
    </w:p>
  </w:footnote>
  <w:footnote w:id="1304">
    <w:p w14:paraId="39CA8086" w14:textId="77777777" w:rsidR="00B47FF5" w:rsidRDefault="00B47FF5" w:rsidP="00537CC8">
      <w:pPr>
        <w:pStyle w:val="FootnoteText"/>
      </w:pPr>
      <w:r>
        <w:rPr>
          <w:rStyle w:val="FootnoteReference"/>
        </w:rPr>
        <w:footnoteRef/>
      </w:r>
      <w:r>
        <w:rPr>
          <w:rtl/>
        </w:rPr>
        <w:t xml:space="preserve"> </w:t>
      </w:r>
      <w:r w:rsidRPr="00E9357A">
        <w:t>StratFI</w:t>
      </w:r>
    </w:p>
  </w:footnote>
  <w:footnote w:id="1305">
    <w:p w14:paraId="28B177A9" w14:textId="77777777" w:rsidR="00B47FF5" w:rsidRDefault="00B47FF5" w:rsidP="00537CC8">
      <w:pPr>
        <w:pStyle w:val="FootnoteText"/>
      </w:pPr>
      <w:r>
        <w:rPr>
          <w:rStyle w:val="FootnoteReference"/>
        </w:rPr>
        <w:footnoteRef/>
      </w:r>
      <w:r>
        <w:rPr>
          <w:rtl/>
        </w:rPr>
        <w:t xml:space="preserve"> </w:t>
      </w:r>
      <w:r w:rsidRPr="00E9357A">
        <w:t>Daniel Burrus</w:t>
      </w:r>
    </w:p>
  </w:footnote>
  <w:footnote w:id="1306">
    <w:p w14:paraId="3B486636" w14:textId="2C801D1A" w:rsidR="00B47FF5" w:rsidRDefault="00B47FF5" w:rsidP="00537CC8">
      <w:pPr>
        <w:pStyle w:val="FootnoteText"/>
      </w:pPr>
      <w:r>
        <w:rPr>
          <w:rStyle w:val="FootnoteReference"/>
        </w:rPr>
        <w:footnoteRef/>
      </w:r>
      <w:r>
        <w:t xml:space="preserve"> </w:t>
      </w:r>
      <w:r w:rsidRPr="00865FC8">
        <w:t>Netbase</w:t>
      </w:r>
    </w:p>
  </w:footnote>
  <w:footnote w:id="1307">
    <w:p w14:paraId="6385FAF5" w14:textId="77777777" w:rsidR="00B47FF5" w:rsidRDefault="00B47FF5" w:rsidP="00537CC8">
      <w:pPr>
        <w:pStyle w:val="FootnoteText"/>
      </w:pPr>
      <w:r>
        <w:rPr>
          <w:rStyle w:val="FootnoteReference"/>
        </w:rPr>
        <w:footnoteRef/>
      </w:r>
      <w:r>
        <w:rPr>
          <w:rtl/>
        </w:rPr>
        <w:t xml:space="preserve"> </w:t>
      </w:r>
      <w:r w:rsidRPr="00E9357A">
        <w:t>Piqora</w:t>
      </w:r>
    </w:p>
  </w:footnote>
  <w:footnote w:id="1308">
    <w:p w14:paraId="25F984F0" w14:textId="77777777" w:rsidR="00B47FF5" w:rsidRDefault="00B47FF5" w:rsidP="00537CC8">
      <w:pPr>
        <w:pStyle w:val="FootnoteText"/>
      </w:pPr>
      <w:r>
        <w:rPr>
          <w:rStyle w:val="FootnoteReference"/>
        </w:rPr>
        <w:footnoteRef/>
      </w:r>
      <w:r>
        <w:rPr>
          <w:rtl/>
        </w:rPr>
        <w:t xml:space="preserve"> </w:t>
      </w:r>
      <w:r w:rsidRPr="00916E44">
        <w:t>The Futurist: The Life and Films of James Cameron</w:t>
      </w:r>
    </w:p>
  </w:footnote>
  <w:footnote w:id="1309">
    <w:p w14:paraId="706DAF4B" w14:textId="77777777" w:rsidR="00B47FF5" w:rsidRDefault="00B47FF5" w:rsidP="00537CC8">
      <w:pPr>
        <w:pStyle w:val="FootnoteText"/>
      </w:pPr>
      <w:r>
        <w:rPr>
          <w:rStyle w:val="FootnoteReference"/>
        </w:rPr>
        <w:footnoteRef/>
      </w:r>
      <w:r>
        <w:rPr>
          <w:rtl/>
        </w:rPr>
        <w:t xml:space="preserve"> </w:t>
      </w:r>
      <w:r w:rsidRPr="00E9357A">
        <w:t>Rebecca Keegan</w:t>
      </w:r>
    </w:p>
  </w:footnote>
  <w:footnote w:id="1310">
    <w:p w14:paraId="3AEAD4B8" w14:textId="77777777" w:rsidR="00B47FF5" w:rsidRDefault="00B47FF5" w:rsidP="00537CC8">
      <w:pPr>
        <w:pStyle w:val="FootnoteText"/>
      </w:pPr>
      <w:r>
        <w:rPr>
          <w:rStyle w:val="FootnoteReference"/>
        </w:rPr>
        <w:footnoteRef/>
      </w:r>
      <w:r>
        <w:rPr>
          <w:rtl/>
        </w:rPr>
        <w:t xml:space="preserve"> </w:t>
      </w:r>
      <w:r w:rsidRPr="00E9357A">
        <w:t>James Cameron</w:t>
      </w:r>
    </w:p>
  </w:footnote>
  <w:footnote w:id="1311">
    <w:p w14:paraId="5DEF7613" w14:textId="77777777" w:rsidR="00B47FF5" w:rsidRDefault="00B47FF5" w:rsidP="00537CC8">
      <w:pPr>
        <w:pStyle w:val="FootnoteText"/>
      </w:pPr>
      <w:r>
        <w:rPr>
          <w:rStyle w:val="FootnoteReference"/>
        </w:rPr>
        <w:footnoteRef/>
      </w:r>
      <w:r>
        <w:rPr>
          <w:rtl/>
        </w:rPr>
        <w:t xml:space="preserve"> </w:t>
      </w:r>
      <w:r w:rsidRPr="00916E44">
        <w:t>Thomas Edison</w:t>
      </w:r>
    </w:p>
  </w:footnote>
  <w:footnote w:id="1312">
    <w:p w14:paraId="4691B1EF" w14:textId="77777777" w:rsidR="00B47FF5" w:rsidRDefault="00B47FF5" w:rsidP="00537CC8">
      <w:pPr>
        <w:pStyle w:val="FootnoteText"/>
      </w:pPr>
      <w:r>
        <w:rPr>
          <w:rStyle w:val="FootnoteReference"/>
        </w:rPr>
        <w:footnoteRef/>
      </w:r>
      <w:r>
        <w:rPr>
          <w:rtl/>
        </w:rPr>
        <w:t xml:space="preserve"> </w:t>
      </w:r>
      <w:r w:rsidRPr="00E9357A">
        <w:t>Grace Hopper</w:t>
      </w:r>
    </w:p>
  </w:footnote>
  <w:footnote w:id="1313">
    <w:p w14:paraId="5E640167" w14:textId="77777777" w:rsidR="00B47FF5" w:rsidRDefault="00B47FF5" w:rsidP="00537CC8">
      <w:pPr>
        <w:pStyle w:val="FootnoteText"/>
      </w:pPr>
      <w:r>
        <w:rPr>
          <w:rStyle w:val="FootnoteReference"/>
        </w:rPr>
        <w:footnoteRef/>
      </w:r>
      <w:r>
        <w:rPr>
          <w:rtl/>
        </w:rPr>
        <w:t xml:space="preserve"> </w:t>
      </w:r>
      <w:r w:rsidRPr="00E9357A">
        <w:t>Octavia Butler</w:t>
      </w:r>
    </w:p>
  </w:footnote>
  <w:footnote w:id="1314">
    <w:p w14:paraId="3D96B59E" w14:textId="77777777" w:rsidR="00B47FF5" w:rsidRDefault="00B47FF5" w:rsidP="00537CC8">
      <w:pPr>
        <w:pStyle w:val="FootnoteText"/>
      </w:pPr>
      <w:r>
        <w:rPr>
          <w:rStyle w:val="FootnoteReference"/>
        </w:rPr>
        <w:footnoteRef/>
      </w:r>
      <w:r>
        <w:rPr>
          <w:rtl/>
        </w:rPr>
        <w:t xml:space="preserve"> </w:t>
      </w:r>
      <w:r w:rsidRPr="00916E44">
        <w:t>Steve Jobs</w:t>
      </w:r>
    </w:p>
  </w:footnote>
  <w:footnote w:id="1315">
    <w:p w14:paraId="59C24923" w14:textId="77777777" w:rsidR="00B47FF5" w:rsidRDefault="00B47FF5" w:rsidP="00537CC8">
      <w:pPr>
        <w:pStyle w:val="FootnoteText"/>
      </w:pPr>
      <w:r>
        <w:rPr>
          <w:rStyle w:val="FootnoteReference"/>
        </w:rPr>
        <w:footnoteRef/>
      </w:r>
      <w:r>
        <w:rPr>
          <w:rtl/>
        </w:rPr>
        <w:t xml:space="preserve"> </w:t>
      </w:r>
      <w:r w:rsidRPr="00916E44">
        <w:t>Greek Lyceum</w:t>
      </w:r>
    </w:p>
  </w:footnote>
  <w:footnote w:id="1316">
    <w:p w14:paraId="0D7C9C49" w14:textId="77777777" w:rsidR="00B47FF5" w:rsidRDefault="00B47FF5" w:rsidP="00537CC8">
      <w:pPr>
        <w:pStyle w:val="FootnoteText"/>
      </w:pPr>
      <w:r>
        <w:rPr>
          <w:rStyle w:val="FootnoteReference"/>
        </w:rPr>
        <w:footnoteRef/>
      </w:r>
      <w:r>
        <w:rPr>
          <w:rtl/>
        </w:rPr>
        <w:t xml:space="preserve"> </w:t>
      </w:r>
      <w:r>
        <w:t>Committee on Recent Social Trends</w:t>
      </w:r>
    </w:p>
  </w:footnote>
  <w:footnote w:id="1317">
    <w:p w14:paraId="00844476" w14:textId="77777777" w:rsidR="00B47FF5" w:rsidRDefault="00B47FF5" w:rsidP="00537CC8">
      <w:pPr>
        <w:pStyle w:val="FootnoteText"/>
      </w:pPr>
      <w:r>
        <w:rPr>
          <w:rStyle w:val="FootnoteReference"/>
        </w:rPr>
        <w:footnoteRef/>
      </w:r>
      <w:r>
        <w:rPr>
          <w:rtl/>
        </w:rPr>
        <w:t xml:space="preserve"> </w:t>
      </w:r>
      <w:r w:rsidRPr="00E9357A">
        <w:t>Herbert Hoover</w:t>
      </w:r>
    </w:p>
  </w:footnote>
  <w:footnote w:id="1318">
    <w:p w14:paraId="6D430F39" w14:textId="77777777" w:rsidR="00B47FF5" w:rsidRDefault="00B47FF5" w:rsidP="00537CC8">
      <w:pPr>
        <w:pStyle w:val="FootnoteText"/>
      </w:pPr>
      <w:r>
        <w:rPr>
          <w:rStyle w:val="FootnoteReference"/>
        </w:rPr>
        <w:footnoteRef/>
      </w:r>
      <w:r>
        <w:rPr>
          <w:rtl/>
        </w:rPr>
        <w:t xml:space="preserve"> </w:t>
      </w:r>
      <w:r w:rsidRPr="00E9357A">
        <w:t>Andy Hines</w:t>
      </w:r>
    </w:p>
  </w:footnote>
  <w:footnote w:id="1319">
    <w:p w14:paraId="40ABEBEE" w14:textId="41226522" w:rsidR="00B47FF5" w:rsidRDefault="00B47FF5" w:rsidP="00537CC8">
      <w:pPr>
        <w:pStyle w:val="FootnoteText"/>
      </w:pPr>
      <w:r>
        <w:rPr>
          <w:rStyle w:val="FootnoteReference"/>
        </w:rPr>
        <w:footnoteRef/>
      </w:r>
      <w:r>
        <w:rPr>
          <w:rtl/>
        </w:rPr>
        <w:t xml:space="preserve"> </w:t>
      </w:r>
      <w:r w:rsidRPr="00C62533">
        <w:t>Environmentalism</w:t>
      </w:r>
    </w:p>
  </w:footnote>
  <w:footnote w:id="1320">
    <w:p w14:paraId="1E86CFF9" w14:textId="7CE3CE4F" w:rsidR="00B47FF5" w:rsidRDefault="00B47FF5" w:rsidP="00537CC8">
      <w:pPr>
        <w:pStyle w:val="FootnoteText"/>
      </w:pPr>
      <w:r>
        <w:rPr>
          <w:rStyle w:val="FootnoteReference"/>
        </w:rPr>
        <w:footnoteRef/>
      </w:r>
      <w:r>
        <w:rPr>
          <w:rtl/>
        </w:rPr>
        <w:t xml:space="preserve"> </w:t>
      </w:r>
      <w:r>
        <w:t>Normative foresight</w:t>
      </w:r>
    </w:p>
  </w:footnote>
  <w:footnote w:id="1321">
    <w:p w14:paraId="34E53403" w14:textId="77777777" w:rsidR="00B47FF5" w:rsidRDefault="00B47FF5" w:rsidP="00537CC8">
      <w:pPr>
        <w:pStyle w:val="FootnoteText"/>
      </w:pPr>
      <w:r>
        <w:rPr>
          <w:rStyle w:val="FootnoteReference"/>
        </w:rPr>
        <w:footnoteRef/>
      </w:r>
      <w:r>
        <w:rPr>
          <w:rtl/>
        </w:rPr>
        <w:t xml:space="preserve"> </w:t>
      </w:r>
      <w:r w:rsidRPr="00703A4E">
        <w:t>Republic</w:t>
      </w:r>
    </w:p>
  </w:footnote>
  <w:footnote w:id="1322">
    <w:p w14:paraId="5809258A" w14:textId="77777777" w:rsidR="00B47FF5" w:rsidRDefault="00B47FF5" w:rsidP="00537CC8">
      <w:pPr>
        <w:pStyle w:val="FootnoteText"/>
      </w:pPr>
      <w:r>
        <w:rPr>
          <w:rStyle w:val="FootnoteReference"/>
        </w:rPr>
        <w:footnoteRef/>
      </w:r>
      <w:r>
        <w:rPr>
          <w:rtl/>
        </w:rPr>
        <w:t xml:space="preserve"> </w:t>
      </w:r>
      <w:r>
        <w:t>Goodness</w:t>
      </w:r>
    </w:p>
  </w:footnote>
  <w:footnote w:id="1323">
    <w:p w14:paraId="71F1FFCA" w14:textId="77777777" w:rsidR="00B47FF5" w:rsidRDefault="00B47FF5" w:rsidP="00537CC8">
      <w:pPr>
        <w:pStyle w:val="FootnoteText"/>
      </w:pPr>
      <w:r>
        <w:rPr>
          <w:rStyle w:val="FootnoteReference"/>
        </w:rPr>
        <w:footnoteRef/>
      </w:r>
      <w:r>
        <w:rPr>
          <w:rtl/>
        </w:rPr>
        <w:t xml:space="preserve"> </w:t>
      </w:r>
      <w:r w:rsidRPr="000324A9">
        <w:t>Form of the Good</w:t>
      </w:r>
    </w:p>
  </w:footnote>
  <w:footnote w:id="1324">
    <w:p w14:paraId="6BEECE5C" w14:textId="77777777" w:rsidR="00B47FF5" w:rsidRDefault="00B47FF5" w:rsidP="00537CC8">
      <w:pPr>
        <w:pStyle w:val="FootnoteText"/>
      </w:pPr>
      <w:r>
        <w:rPr>
          <w:rStyle w:val="FootnoteReference"/>
        </w:rPr>
        <w:footnoteRef/>
      </w:r>
      <w:r>
        <w:rPr>
          <w:rtl/>
        </w:rPr>
        <w:t xml:space="preserve"> </w:t>
      </w:r>
      <w:r w:rsidRPr="00810C86">
        <w:t>Bhagavad Gita</w:t>
      </w:r>
    </w:p>
  </w:footnote>
  <w:footnote w:id="1325">
    <w:p w14:paraId="436F8181" w14:textId="0FF22E04" w:rsidR="00B47FF5" w:rsidRDefault="00B47FF5" w:rsidP="00537CC8">
      <w:pPr>
        <w:pStyle w:val="FootnoteText"/>
      </w:pPr>
      <w:r>
        <w:rPr>
          <w:rStyle w:val="FootnoteReference"/>
        </w:rPr>
        <w:footnoteRef/>
      </w:r>
      <w:r>
        <w:rPr>
          <w:rtl/>
        </w:rPr>
        <w:t xml:space="preserve"> </w:t>
      </w:r>
      <w:r w:rsidRPr="000324A9">
        <w:t>Commonsense World</w:t>
      </w:r>
    </w:p>
  </w:footnote>
  <w:footnote w:id="1326">
    <w:p w14:paraId="27C802DD" w14:textId="0A5DE22A" w:rsidR="00B47FF5" w:rsidRDefault="00B47FF5" w:rsidP="00537CC8">
      <w:pPr>
        <w:pStyle w:val="FootnoteText"/>
      </w:pPr>
      <w:r>
        <w:rPr>
          <w:rStyle w:val="FootnoteReference"/>
        </w:rPr>
        <w:footnoteRef/>
      </w:r>
      <w:r>
        <w:rPr>
          <w:rtl/>
        </w:rPr>
        <w:t xml:space="preserve"> </w:t>
      </w:r>
      <w:r>
        <w:t>Properties</w:t>
      </w:r>
    </w:p>
  </w:footnote>
  <w:footnote w:id="1327">
    <w:p w14:paraId="2692782F" w14:textId="22ECCDC6" w:rsidR="00B47FF5" w:rsidRDefault="00B47FF5">
      <w:pPr>
        <w:pStyle w:val="FootnoteText"/>
        <w:rPr>
          <w:rtl/>
        </w:rPr>
      </w:pPr>
      <w:r>
        <w:rPr>
          <w:rStyle w:val="FootnoteReference"/>
        </w:rPr>
        <w:footnoteRef/>
      </w:r>
      <w:r>
        <w:t xml:space="preserve"> </w:t>
      </w:r>
      <w:r w:rsidRPr="00537CC8">
        <w:t>Something</w:t>
      </w:r>
    </w:p>
  </w:footnote>
  <w:footnote w:id="1328">
    <w:p w14:paraId="3F229953" w14:textId="77777777" w:rsidR="00B47FF5" w:rsidRDefault="00B47FF5" w:rsidP="00537CC8">
      <w:pPr>
        <w:pStyle w:val="FootnoteText"/>
      </w:pPr>
      <w:r>
        <w:rPr>
          <w:rStyle w:val="FootnoteReference"/>
        </w:rPr>
        <w:footnoteRef/>
      </w:r>
      <w:r>
        <w:rPr>
          <w:rtl/>
        </w:rPr>
        <w:t xml:space="preserve"> </w:t>
      </w:r>
      <w:r w:rsidRPr="000324A9">
        <w:t>Unity</w:t>
      </w:r>
    </w:p>
  </w:footnote>
  <w:footnote w:id="1329">
    <w:p w14:paraId="2D60D21B" w14:textId="77777777" w:rsidR="00B47FF5" w:rsidRDefault="00B47FF5" w:rsidP="00537CC8">
      <w:pPr>
        <w:pStyle w:val="FootnoteText"/>
      </w:pPr>
      <w:r>
        <w:rPr>
          <w:rStyle w:val="FootnoteReference"/>
        </w:rPr>
        <w:footnoteRef/>
      </w:r>
      <w:r>
        <w:rPr>
          <w:rtl/>
        </w:rPr>
        <w:t xml:space="preserve"> </w:t>
      </w:r>
      <w:r w:rsidRPr="000324A9">
        <w:t>Beingness</w:t>
      </w:r>
    </w:p>
  </w:footnote>
  <w:footnote w:id="1330">
    <w:p w14:paraId="76691E30" w14:textId="77777777" w:rsidR="00B47FF5" w:rsidRDefault="00B47FF5" w:rsidP="00537CC8">
      <w:pPr>
        <w:pStyle w:val="FootnoteText"/>
      </w:pPr>
      <w:r>
        <w:rPr>
          <w:rStyle w:val="FootnoteReference"/>
        </w:rPr>
        <w:footnoteRef/>
      </w:r>
      <w:r>
        <w:rPr>
          <w:rtl/>
        </w:rPr>
        <w:t xml:space="preserve"> </w:t>
      </w:r>
      <w:r w:rsidRPr="00D27EF3">
        <w:t>Ken Wilber</w:t>
      </w:r>
    </w:p>
  </w:footnote>
  <w:footnote w:id="1331">
    <w:p w14:paraId="39B8031C" w14:textId="77777777" w:rsidR="00B47FF5" w:rsidRDefault="00B47FF5" w:rsidP="00537CC8">
      <w:pPr>
        <w:pStyle w:val="FootnoteText"/>
      </w:pPr>
      <w:r>
        <w:rPr>
          <w:rStyle w:val="FootnoteReference"/>
        </w:rPr>
        <w:footnoteRef/>
      </w:r>
      <w:r>
        <w:rPr>
          <w:rtl/>
        </w:rPr>
        <w:t xml:space="preserve"> </w:t>
      </w:r>
      <w:r>
        <w:t>Network Adaptiveness</w:t>
      </w:r>
    </w:p>
  </w:footnote>
  <w:footnote w:id="1332">
    <w:p w14:paraId="635C23C2" w14:textId="77777777" w:rsidR="00B47FF5" w:rsidRDefault="00B47FF5" w:rsidP="00537CC8">
      <w:pPr>
        <w:pStyle w:val="FootnoteText"/>
      </w:pPr>
      <w:r>
        <w:rPr>
          <w:rStyle w:val="FootnoteReference"/>
        </w:rPr>
        <w:footnoteRef/>
      </w:r>
      <w:r>
        <w:rPr>
          <w:rtl/>
        </w:rPr>
        <w:t xml:space="preserve"> </w:t>
      </w:r>
      <w:r w:rsidRPr="00D97C79">
        <w:t>Utilitarianism</w:t>
      </w:r>
    </w:p>
  </w:footnote>
  <w:footnote w:id="1333">
    <w:p w14:paraId="60D4BA77" w14:textId="77777777" w:rsidR="00B47FF5" w:rsidRDefault="00B47FF5" w:rsidP="00537CC8">
      <w:pPr>
        <w:pStyle w:val="FootnoteText"/>
      </w:pPr>
      <w:r>
        <w:rPr>
          <w:rStyle w:val="FootnoteReference"/>
        </w:rPr>
        <w:footnoteRef/>
      </w:r>
      <w:r>
        <w:rPr>
          <w:rtl/>
        </w:rPr>
        <w:t xml:space="preserve"> </w:t>
      </w:r>
      <w:r>
        <w:t>Interdependence</w:t>
      </w:r>
    </w:p>
  </w:footnote>
  <w:footnote w:id="1334">
    <w:p w14:paraId="5C026422" w14:textId="77777777" w:rsidR="00B47FF5" w:rsidRDefault="00B47FF5" w:rsidP="00537CC8">
      <w:pPr>
        <w:pStyle w:val="FootnoteText"/>
      </w:pPr>
      <w:r>
        <w:rPr>
          <w:rStyle w:val="FootnoteReference"/>
        </w:rPr>
        <w:footnoteRef/>
      </w:r>
      <w:r>
        <w:rPr>
          <w:rtl/>
        </w:rPr>
        <w:t xml:space="preserve"> </w:t>
      </w:r>
      <w:r w:rsidRPr="00E6455E">
        <w:t>Connectedness</w:t>
      </w:r>
    </w:p>
  </w:footnote>
  <w:footnote w:id="1335">
    <w:p w14:paraId="62C864AF" w14:textId="54341764" w:rsidR="00B47FF5" w:rsidRDefault="00B47FF5" w:rsidP="00537CC8">
      <w:pPr>
        <w:pStyle w:val="FootnoteText"/>
      </w:pPr>
      <w:r>
        <w:rPr>
          <w:rStyle w:val="FootnoteReference"/>
        </w:rPr>
        <w:footnoteRef/>
      </w:r>
      <w:r>
        <w:rPr>
          <w:rtl/>
        </w:rPr>
        <w:t xml:space="preserve"> </w:t>
      </w:r>
      <w:r>
        <w:t>Self-leaders</w:t>
      </w:r>
    </w:p>
  </w:footnote>
  <w:footnote w:id="1336">
    <w:p w14:paraId="3CCB82D6" w14:textId="77777777" w:rsidR="00B47FF5" w:rsidRDefault="00B47FF5" w:rsidP="00537CC8">
      <w:pPr>
        <w:pStyle w:val="FootnoteText"/>
      </w:pPr>
      <w:r>
        <w:rPr>
          <w:rStyle w:val="FootnoteReference"/>
        </w:rPr>
        <w:footnoteRef/>
      </w:r>
      <w:r>
        <w:rPr>
          <w:rtl/>
        </w:rPr>
        <w:t xml:space="preserve"> </w:t>
      </w:r>
      <w:r w:rsidRPr="004802BF">
        <w:t>Kirton</w:t>
      </w:r>
    </w:p>
  </w:footnote>
  <w:footnote w:id="1337">
    <w:p w14:paraId="66672FD8" w14:textId="77777777" w:rsidR="00B47FF5" w:rsidRDefault="00B47FF5" w:rsidP="00537CC8">
      <w:pPr>
        <w:pStyle w:val="FootnoteText"/>
      </w:pPr>
      <w:r>
        <w:rPr>
          <w:rStyle w:val="FootnoteReference"/>
        </w:rPr>
        <w:footnoteRef/>
      </w:r>
      <w:r>
        <w:rPr>
          <w:rtl/>
        </w:rPr>
        <w:t xml:space="preserve"> </w:t>
      </w:r>
      <w:r w:rsidRPr="004802BF">
        <w:t>Michael Kirton</w:t>
      </w:r>
    </w:p>
  </w:footnote>
  <w:footnote w:id="1338">
    <w:p w14:paraId="1FA36516" w14:textId="77777777" w:rsidR="00B47FF5" w:rsidRDefault="00B47FF5" w:rsidP="00537CC8">
      <w:pPr>
        <w:pStyle w:val="FootnoteText"/>
      </w:pPr>
      <w:r>
        <w:rPr>
          <w:rStyle w:val="FootnoteReference"/>
        </w:rPr>
        <w:footnoteRef/>
      </w:r>
      <w:r>
        <w:rPr>
          <w:rtl/>
        </w:rPr>
        <w:t xml:space="preserve"> </w:t>
      </w:r>
      <w:r>
        <w:t>Innovators</w:t>
      </w:r>
    </w:p>
  </w:footnote>
  <w:footnote w:id="1339">
    <w:p w14:paraId="5A69BAE2" w14:textId="77777777" w:rsidR="00B47FF5" w:rsidRDefault="00B47FF5" w:rsidP="00537CC8">
      <w:pPr>
        <w:pStyle w:val="FootnoteText"/>
      </w:pPr>
      <w:r>
        <w:rPr>
          <w:rStyle w:val="FootnoteReference"/>
        </w:rPr>
        <w:footnoteRef/>
      </w:r>
      <w:r>
        <w:rPr>
          <w:rtl/>
        </w:rPr>
        <w:t xml:space="preserve"> </w:t>
      </w:r>
      <w:r>
        <w:t>Adaptors</w:t>
      </w:r>
    </w:p>
  </w:footnote>
  <w:footnote w:id="1340">
    <w:p w14:paraId="25334B4B" w14:textId="77777777" w:rsidR="00B47FF5" w:rsidRDefault="00B47FF5" w:rsidP="00537CC8">
      <w:pPr>
        <w:pStyle w:val="FootnoteText"/>
      </w:pPr>
      <w:r>
        <w:rPr>
          <w:rStyle w:val="FootnoteReference"/>
        </w:rPr>
        <w:footnoteRef/>
      </w:r>
      <w:r>
        <w:rPr>
          <w:rtl/>
        </w:rPr>
        <w:t xml:space="preserve"> </w:t>
      </w:r>
      <w:r>
        <w:t>Protectors</w:t>
      </w:r>
    </w:p>
  </w:footnote>
  <w:footnote w:id="1341">
    <w:p w14:paraId="3BDC31E5" w14:textId="77777777" w:rsidR="00B47FF5" w:rsidRDefault="00B47FF5" w:rsidP="00537CC8">
      <w:pPr>
        <w:pStyle w:val="FootnoteText"/>
      </w:pPr>
      <w:r>
        <w:rPr>
          <w:rStyle w:val="FootnoteReference"/>
        </w:rPr>
        <w:footnoteRef/>
      </w:r>
      <w:r>
        <w:rPr>
          <w:rtl/>
        </w:rPr>
        <w:t xml:space="preserve"> </w:t>
      </w:r>
      <w:r>
        <w:t>Bridgers</w:t>
      </w:r>
    </w:p>
  </w:footnote>
  <w:footnote w:id="1342">
    <w:p w14:paraId="0972FA22" w14:textId="77777777" w:rsidR="00B47FF5" w:rsidRDefault="00B47FF5" w:rsidP="00537CC8">
      <w:pPr>
        <w:pStyle w:val="FootnoteText"/>
      </w:pPr>
      <w:r>
        <w:rPr>
          <w:rStyle w:val="FootnoteReference"/>
        </w:rPr>
        <w:footnoteRef/>
      </w:r>
      <w:r>
        <w:rPr>
          <w:rtl/>
        </w:rPr>
        <w:t xml:space="preserve"> </w:t>
      </w:r>
      <w:r w:rsidRPr="00775A17">
        <w:t>Adaption-Innovation</w:t>
      </w:r>
    </w:p>
  </w:footnote>
  <w:footnote w:id="1343">
    <w:p w14:paraId="1AF298F6" w14:textId="51CF250A" w:rsidR="00B47FF5" w:rsidRDefault="00B47FF5" w:rsidP="00537CC8">
      <w:pPr>
        <w:pStyle w:val="FootnoteText"/>
      </w:pPr>
      <w:r>
        <w:rPr>
          <w:rStyle w:val="FootnoteReference"/>
        </w:rPr>
        <w:footnoteRef/>
      </w:r>
      <w:r>
        <w:rPr>
          <w:rtl/>
        </w:rPr>
        <w:t xml:space="preserve"> </w:t>
      </w:r>
      <w:r w:rsidRPr="00775A17">
        <w:t>Sociobiology</w:t>
      </w:r>
    </w:p>
  </w:footnote>
  <w:footnote w:id="1344">
    <w:p w14:paraId="67E2C817" w14:textId="5934EAF3" w:rsidR="00B47FF5" w:rsidRDefault="00B47FF5" w:rsidP="00537CC8">
      <w:pPr>
        <w:pStyle w:val="FootnoteText"/>
      </w:pPr>
      <w:r>
        <w:rPr>
          <w:rStyle w:val="FootnoteReference"/>
        </w:rPr>
        <w:footnoteRef/>
      </w:r>
      <w:r>
        <w:rPr>
          <w:rtl/>
        </w:rPr>
        <w:t xml:space="preserve"> </w:t>
      </w:r>
      <w:r>
        <w:t>Coopetitive</w:t>
      </w:r>
    </w:p>
  </w:footnote>
  <w:footnote w:id="1345">
    <w:p w14:paraId="02231970" w14:textId="00761AE1" w:rsidR="00B47FF5" w:rsidRDefault="00B47FF5" w:rsidP="00537CC8">
      <w:pPr>
        <w:pStyle w:val="FootnoteText"/>
      </w:pPr>
      <w:r>
        <w:rPr>
          <w:rStyle w:val="FootnoteReference"/>
        </w:rPr>
        <w:footnoteRef/>
      </w:r>
      <w:r>
        <w:rPr>
          <w:rtl/>
        </w:rPr>
        <w:t xml:space="preserve"> </w:t>
      </w:r>
      <w:r w:rsidRPr="002D694D">
        <w:t>Identity politics</w:t>
      </w:r>
    </w:p>
  </w:footnote>
  <w:footnote w:id="1346">
    <w:p w14:paraId="17939390" w14:textId="77777777" w:rsidR="00B47FF5" w:rsidRDefault="00B47FF5" w:rsidP="00537CC8">
      <w:pPr>
        <w:pStyle w:val="FootnoteText"/>
      </w:pPr>
      <w:r>
        <w:rPr>
          <w:rStyle w:val="FootnoteReference"/>
        </w:rPr>
        <w:footnoteRef/>
      </w:r>
      <w:r>
        <w:rPr>
          <w:rtl/>
        </w:rPr>
        <w:t xml:space="preserve"> </w:t>
      </w:r>
      <w:r>
        <w:t>Protectors</w:t>
      </w:r>
    </w:p>
  </w:footnote>
  <w:footnote w:id="1347">
    <w:p w14:paraId="1390C5CC" w14:textId="77777777" w:rsidR="00B47FF5" w:rsidRDefault="00B47FF5" w:rsidP="00537CC8">
      <w:pPr>
        <w:pStyle w:val="FootnoteText"/>
      </w:pPr>
      <w:r>
        <w:rPr>
          <w:rStyle w:val="FootnoteReference"/>
        </w:rPr>
        <w:footnoteRef/>
      </w:r>
      <w:r>
        <w:rPr>
          <w:rtl/>
        </w:rPr>
        <w:t xml:space="preserve"> </w:t>
      </w:r>
      <w:r>
        <w:t>Anticipators</w:t>
      </w:r>
    </w:p>
  </w:footnote>
  <w:footnote w:id="1348">
    <w:p w14:paraId="3400DC5B" w14:textId="54B48226" w:rsidR="00B47FF5" w:rsidRDefault="00B47FF5" w:rsidP="00537CC8">
      <w:pPr>
        <w:pStyle w:val="FootnoteText"/>
      </w:pPr>
      <w:r>
        <w:rPr>
          <w:rStyle w:val="FootnoteReference"/>
        </w:rPr>
        <w:footnoteRef/>
      </w:r>
      <w:r>
        <w:rPr>
          <w:rtl/>
        </w:rPr>
        <w:t xml:space="preserve"> </w:t>
      </w:r>
      <w:r>
        <w:t>High-reliability organization</w:t>
      </w:r>
    </w:p>
  </w:footnote>
  <w:footnote w:id="1349">
    <w:p w14:paraId="20126035" w14:textId="77777777" w:rsidR="00B47FF5" w:rsidRDefault="00B47FF5" w:rsidP="00537CC8">
      <w:pPr>
        <w:pStyle w:val="FootnoteText"/>
      </w:pPr>
      <w:r>
        <w:rPr>
          <w:rStyle w:val="FootnoteReference"/>
        </w:rPr>
        <w:footnoteRef/>
      </w:r>
      <w:r>
        <w:rPr>
          <w:rtl/>
        </w:rPr>
        <w:t xml:space="preserve"> </w:t>
      </w:r>
      <w:r>
        <w:t>Experimenting</w:t>
      </w:r>
    </w:p>
  </w:footnote>
  <w:footnote w:id="1350">
    <w:p w14:paraId="7C01A03A" w14:textId="77777777" w:rsidR="00B47FF5" w:rsidRDefault="00B47FF5" w:rsidP="00537CC8">
      <w:pPr>
        <w:pStyle w:val="FootnoteText"/>
      </w:pPr>
      <w:r>
        <w:rPr>
          <w:rStyle w:val="FootnoteReference"/>
        </w:rPr>
        <w:footnoteRef/>
      </w:r>
      <w:r>
        <w:rPr>
          <w:rtl/>
        </w:rPr>
        <w:t xml:space="preserve"> </w:t>
      </w:r>
      <w:r w:rsidRPr="004802BF">
        <w:t>David Keirsey</w:t>
      </w:r>
    </w:p>
  </w:footnote>
  <w:footnote w:id="1351">
    <w:p w14:paraId="656CBC24" w14:textId="77777777" w:rsidR="00B47FF5" w:rsidRDefault="00B47FF5" w:rsidP="00537CC8">
      <w:pPr>
        <w:pStyle w:val="FootnoteText"/>
      </w:pPr>
      <w:r>
        <w:rPr>
          <w:rStyle w:val="FootnoteReference"/>
        </w:rPr>
        <w:footnoteRef/>
      </w:r>
      <w:r>
        <w:rPr>
          <w:rtl/>
        </w:rPr>
        <w:t xml:space="preserve"> </w:t>
      </w:r>
      <w:r>
        <w:t>Four Temperaments</w:t>
      </w:r>
    </w:p>
  </w:footnote>
  <w:footnote w:id="1352">
    <w:p w14:paraId="177AA0A6" w14:textId="77777777" w:rsidR="00B47FF5" w:rsidRDefault="00B47FF5" w:rsidP="00537CC8">
      <w:pPr>
        <w:pStyle w:val="FootnoteText"/>
      </w:pPr>
      <w:r>
        <w:rPr>
          <w:rStyle w:val="FootnoteReference"/>
        </w:rPr>
        <w:footnoteRef/>
      </w:r>
      <w:r>
        <w:rPr>
          <w:rtl/>
        </w:rPr>
        <w:t xml:space="preserve"> </w:t>
      </w:r>
      <w:r w:rsidRPr="004802BF">
        <w:t>Myers-Briggs</w:t>
      </w:r>
    </w:p>
  </w:footnote>
  <w:footnote w:id="1353">
    <w:p w14:paraId="5671C58A" w14:textId="77777777" w:rsidR="00B47FF5" w:rsidRDefault="00B47FF5" w:rsidP="00537CC8">
      <w:pPr>
        <w:pStyle w:val="FootnoteText"/>
      </w:pPr>
      <w:r>
        <w:rPr>
          <w:rStyle w:val="FootnoteReference"/>
        </w:rPr>
        <w:footnoteRef/>
      </w:r>
      <w:r>
        <w:rPr>
          <w:rtl/>
        </w:rPr>
        <w:t xml:space="preserve"> </w:t>
      </w:r>
      <w:r>
        <w:t>Temperament Sorter</w:t>
      </w:r>
    </w:p>
  </w:footnote>
  <w:footnote w:id="1354">
    <w:p w14:paraId="65B412AD" w14:textId="78A4D52A" w:rsidR="00B47FF5" w:rsidRDefault="00B47FF5" w:rsidP="00537CC8">
      <w:pPr>
        <w:pStyle w:val="FootnoteText"/>
      </w:pPr>
      <w:r>
        <w:rPr>
          <w:rStyle w:val="FootnoteReference"/>
        </w:rPr>
        <w:footnoteRef/>
      </w:r>
      <w:r>
        <w:rPr>
          <w:rtl/>
        </w:rPr>
        <w:t xml:space="preserve"> </w:t>
      </w:r>
      <w:r>
        <w:t>Psychological Types</w:t>
      </w:r>
    </w:p>
  </w:footnote>
  <w:footnote w:id="1355">
    <w:p w14:paraId="483D64FE" w14:textId="25398DD2" w:rsidR="00B47FF5" w:rsidRDefault="00B47FF5" w:rsidP="00537CC8">
      <w:pPr>
        <w:pStyle w:val="FootnoteText"/>
      </w:pPr>
      <w:r>
        <w:rPr>
          <w:rStyle w:val="FootnoteReference"/>
        </w:rPr>
        <w:footnoteRef/>
      </w:r>
      <w:r>
        <w:rPr>
          <w:rtl/>
        </w:rPr>
        <w:t xml:space="preserve"> </w:t>
      </w:r>
      <w:r>
        <w:t>Collective unconscious</w:t>
      </w:r>
    </w:p>
  </w:footnote>
  <w:footnote w:id="1356">
    <w:p w14:paraId="76583E8F" w14:textId="77777777" w:rsidR="00B47FF5" w:rsidRDefault="00B47FF5" w:rsidP="00537CC8">
      <w:pPr>
        <w:pStyle w:val="FootnoteText"/>
      </w:pPr>
      <w:r>
        <w:rPr>
          <w:rStyle w:val="FootnoteReference"/>
        </w:rPr>
        <w:footnoteRef/>
      </w:r>
      <w:r>
        <w:rPr>
          <w:rtl/>
        </w:rPr>
        <w:t xml:space="preserve"> </w:t>
      </w:r>
      <w:r w:rsidRPr="00E01057">
        <w:t>Please Understand Me II</w:t>
      </w:r>
    </w:p>
  </w:footnote>
  <w:footnote w:id="1357">
    <w:p w14:paraId="3264EF6F" w14:textId="72DDA500" w:rsidR="00B47FF5" w:rsidRDefault="00B47FF5" w:rsidP="00537CC8">
      <w:pPr>
        <w:pStyle w:val="FootnoteText"/>
      </w:pPr>
      <w:r>
        <w:rPr>
          <w:rStyle w:val="FootnoteReference"/>
        </w:rPr>
        <w:footnoteRef/>
      </w:r>
      <w:r>
        <w:rPr>
          <w:rtl/>
        </w:rPr>
        <w:t xml:space="preserve"> </w:t>
      </w:r>
      <w:r>
        <w:t>Mapping</w:t>
      </w:r>
    </w:p>
  </w:footnote>
  <w:footnote w:id="1358">
    <w:p w14:paraId="654235FC" w14:textId="5664EB8D" w:rsidR="00B47FF5" w:rsidRDefault="00B47FF5" w:rsidP="00537CC8">
      <w:pPr>
        <w:pStyle w:val="FootnoteText"/>
      </w:pPr>
      <w:r>
        <w:rPr>
          <w:rStyle w:val="FootnoteReference"/>
        </w:rPr>
        <w:footnoteRef/>
      </w:r>
      <w:r>
        <w:rPr>
          <w:rtl/>
        </w:rPr>
        <w:t xml:space="preserve"> </w:t>
      </w:r>
      <w:r>
        <w:t>Compute the good</w:t>
      </w:r>
    </w:p>
  </w:footnote>
  <w:footnote w:id="1359">
    <w:p w14:paraId="381DFB62" w14:textId="77777777" w:rsidR="00B47FF5" w:rsidRDefault="00B47FF5" w:rsidP="00537CC8">
      <w:pPr>
        <w:pStyle w:val="FootnoteText"/>
      </w:pPr>
      <w:r>
        <w:rPr>
          <w:rStyle w:val="FootnoteReference"/>
        </w:rPr>
        <w:footnoteRef/>
      </w:r>
      <w:r>
        <w:rPr>
          <w:rtl/>
        </w:rPr>
        <w:t xml:space="preserve"> </w:t>
      </w:r>
      <w:r>
        <w:t>Gaussian</w:t>
      </w:r>
    </w:p>
  </w:footnote>
  <w:footnote w:id="1360">
    <w:p w14:paraId="7141BB96" w14:textId="77777777" w:rsidR="00B47FF5" w:rsidRDefault="00B47FF5" w:rsidP="00537CC8">
      <w:pPr>
        <w:pStyle w:val="FootnoteText"/>
      </w:pPr>
      <w:r>
        <w:rPr>
          <w:rStyle w:val="FootnoteReference"/>
        </w:rPr>
        <w:footnoteRef/>
      </w:r>
      <w:r>
        <w:rPr>
          <w:rtl/>
        </w:rPr>
        <w:t xml:space="preserve"> </w:t>
      </w:r>
      <w:r w:rsidRPr="004802BF">
        <w:t>Willis Harman</w:t>
      </w:r>
    </w:p>
  </w:footnote>
  <w:footnote w:id="1361">
    <w:p w14:paraId="01C6534C" w14:textId="2E2B4090" w:rsidR="00B47FF5" w:rsidRDefault="00B47FF5" w:rsidP="00537CC8">
      <w:pPr>
        <w:pStyle w:val="FootnoteText"/>
      </w:pPr>
      <w:r>
        <w:rPr>
          <w:rStyle w:val="FootnoteReference"/>
        </w:rPr>
        <w:footnoteRef/>
      </w:r>
      <w:r>
        <w:rPr>
          <w:rtl/>
        </w:rPr>
        <w:t xml:space="preserve"> </w:t>
      </w:r>
      <w:r>
        <w:t>Outer Space</w:t>
      </w:r>
    </w:p>
  </w:footnote>
  <w:footnote w:id="1362">
    <w:p w14:paraId="30762A01" w14:textId="7EB0FBC5" w:rsidR="00B47FF5" w:rsidRDefault="00B47FF5" w:rsidP="00537CC8">
      <w:pPr>
        <w:pStyle w:val="FootnoteText"/>
      </w:pPr>
      <w:r>
        <w:rPr>
          <w:rStyle w:val="FootnoteReference"/>
        </w:rPr>
        <w:footnoteRef/>
      </w:r>
      <w:r>
        <w:rPr>
          <w:rtl/>
        </w:rPr>
        <w:t xml:space="preserve"> </w:t>
      </w:r>
      <w:r>
        <w:t>Inner space</w:t>
      </w:r>
    </w:p>
  </w:footnote>
  <w:footnote w:id="1363">
    <w:p w14:paraId="40364653" w14:textId="77777777" w:rsidR="00B47FF5" w:rsidRDefault="00B47FF5" w:rsidP="00537CC8">
      <w:pPr>
        <w:pStyle w:val="FootnoteText"/>
      </w:pPr>
      <w:r>
        <w:rPr>
          <w:rStyle w:val="FootnoteReference"/>
        </w:rPr>
        <w:footnoteRef/>
      </w:r>
      <w:r>
        <w:rPr>
          <w:rtl/>
        </w:rPr>
        <w:t xml:space="preserve"> </w:t>
      </w:r>
      <w:r w:rsidRPr="0057785B">
        <w:t>Institute of Noetic Sciences</w:t>
      </w:r>
    </w:p>
  </w:footnote>
  <w:footnote w:id="1364">
    <w:p w14:paraId="7D34C673" w14:textId="31B86EA4" w:rsidR="00B47FF5" w:rsidRDefault="00B47FF5" w:rsidP="00537CC8">
      <w:pPr>
        <w:pStyle w:val="FootnoteText"/>
      </w:pPr>
      <w:r>
        <w:rPr>
          <w:rStyle w:val="FootnoteReference"/>
        </w:rPr>
        <w:footnoteRef/>
      </w:r>
      <w:r>
        <w:rPr>
          <w:rtl/>
        </w:rPr>
        <w:t xml:space="preserve"> </w:t>
      </w:r>
      <w:r>
        <w:t>Parapsychology</w:t>
      </w:r>
    </w:p>
  </w:footnote>
  <w:footnote w:id="1365">
    <w:p w14:paraId="6CAE23FC" w14:textId="48D9C936" w:rsidR="00B47FF5" w:rsidRDefault="00B47FF5" w:rsidP="00537CC8">
      <w:pPr>
        <w:pStyle w:val="FootnoteText"/>
      </w:pPr>
      <w:r>
        <w:rPr>
          <w:rStyle w:val="FootnoteReference"/>
        </w:rPr>
        <w:footnoteRef/>
      </w:r>
      <w:r>
        <w:rPr>
          <w:rtl/>
        </w:rPr>
        <w:t xml:space="preserve"> </w:t>
      </w:r>
      <w:r>
        <w:t>Quantum Consciousness</w:t>
      </w:r>
    </w:p>
  </w:footnote>
  <w:footnote w:id="1366">
    <w:p w14:paraId="6FA75E46" w14:textId="70DEBD41" w:rsidR="00B47FF5" w:rsidRDefault="00B47FF5" w:rsidP="00537CC8">
      <w:pPr>
        <w:pStyle w:val="FootnoteText"/>
      </w:pPr>
      <w:r>
        <w:rPr>
          <w:rStyle w:val="FootnoteReference"/>
        </w:rPr>
        <w:footnoteRef/>
      </w:r>
      <w:r>
        <w:rPr>
          <w:rtl/>
        </w:rPr>
        <w:t xml:space="preserve"> </w:t>
      </w:r>
      <w:r w:rsidRPr="0057785B">
        <w:t>Global Mind Change: The Promise Of The 21</w:t>
      </w:r>
      <w:r w:rsidRPr="0057785B">
        <w:rPr>
          <w:vertAlign w:val="superscript"/>
        </w:rPr>
        <w:t>st</w:t>
      </w:r>
      <w:r w:rsidRPr="0057785B">
        <w:t xml:space="preserve"> Century</w:t>
      </w:r>
    </w:p>
  </w:footnote>
  <w:footnote w:id="1367">
    <w:p w14:paraId="02D89AA5" w14:textId="62253CEC" w:rsidR="00B47FF5" w:rsidRDefault="00B47FF5" w:rsidP="00537CC8">
      <w:pPr>
        <w:pStyle w:val="FootnoteText"/>
      </w:pPr>
      <w:r>
        <w:rPr>
          <w:rStyle w:val="FootnoteReference"/>
        </w:rPr>
        <w:footnoteRef/>
      </w:r>
      <w:r>
        <w:rPr>
          <w:rtl/>
        </w:rPr>
        <w:t xml:space="preserve"> </w:t>
      </w:r>
      <w:r w:rsidRPr="0057785B">
        <w:t>Consciousness futurist</w:t>
      </w:r>
    </w:p>
  </w:footnote>
  <w:footnote w:id="1368">
    <w:p w14:paraId="4AB15F1E" w14:textId="77777777" w:rsidR="00B47FF5" w:rsidRDefault="00B47FF5" w:rsidP="00537CC8">
      <w:pPr>
        <w:pStyle w:val="FootnoteText"/>
      </w:pPr>
      <w:r>
        <w:rPr>
          <w:rStyle w:val="FootnoteReference"/>
        </w:rPr>
        <w:footnoteRef/>
      </w:r>
      <w:r>
        <w:rPr>
          <w:rtl/>
        </w:rPr>
        <w:t xml:space="preserve"> </w:t>
      </w:r>
      <w:r w:rsidRPr="004802BF">
        <w:t>Barbara Hubbard</w:t>
      </w:r>
    </w:p>
  </w:footnote>
  <w:footnote w:id="1369">
    <w:p w14:paraId="119ADE11" w14:textId="77777777" w:rsidR="00B47FF5" w:rsidRDefault="00B47FF5" w:rsidP="00537CC8">
      <w:pPr>
        <w:pStyle w:val="FootnoteText"/>
      </w:pPr>
      <w:r>
        <w:rPr>
          <w:rStyle w:val="FootnoteReference"/>
        </w:rPr>
        <w:footnoteRef/>
      </w:r>
      <w:r>
        <w:rPr>
          <w:rtl/>
        </w:rPr>
        <w:t xml:space="preserve"> </w:t>
      </w:r>
      <w:r w:rsidRPr="004802BF">
        <w:t>Ken Wilber</w:t>
      </w:r>
    </w:p>
  </w:footnote>
  <w:footnote w:id="1370">
    <w:p w14:paraId="7D45E653" w14:textId="77777777" w:rsidR="00B47FF5" w:rsidRDefault="00B47FF5" w:rsidP="00537CC8">
      <w:pPr>
        <w:pStyle w:val="FootnoteText"/>
      </w:pPr>
      <w:r>
        <w:rPr>
          <w:rStyle w:val="FootnoteReference"/>
        </w:rPr>
        <w:footnoteRef/>
      </w:r>
      <w:r>
        <w:rPr>
          <w:rtl/>
        </w:rPr>
        <w:t xml:space="preserve"> </w:t>
      </w:r>
      <w:r w:rsidRPr="00303349">
        <w:t>Inside Jobs</w:t>
      </w:r>
    </w:p>
  </w:footnote>
  <w:footnote w:id="1371">
    <w:p w14:paraId="7DA1E82C" w14:textId="77777777" w:rsidR="00B47FF5" w:rsidRDefault="00B47FF5" w:rsidP="00537CC8">
      <w:pPr>
        <w:pStyle w:val="FootnoteText"/>
      </w:pPr>
      <w:r>
        <w:rPr>
          <w:rStyle w:val="FootnoteReference"/>
        </w:rPr>
        <w:footnoteRef/>
      </w:r>
      <w:r>
        <w:rPr>
          <w:rtl/>
        </w:rPr>
        <w:t xml:space="preserve"> </w:t>
      </w:r>
      <w:r w:rsidRPr="004802BF">
        <w:t>Amy Webb</w:t>
      </w:r>
    </w:p>
  </w:footnote>
  <w:footnote w:id="1372">
    <w:p w14:paraId="4754E116" w14:textId="743391C1" w:rsidR="00B47FF5" w:rsidRDefault="00B47FF5" w:rsidP="00537CC8">
      <w:pPr>
        <w:pStyle w:val="FootnoteText"/>
      </w:pPr>
      <w:r>
        <w:rPr>
          <w:rStyle w:val="FootnoteReference"/>
        </w:rPr>
        <w:footnoteRef/>
      </w:r>
      <w:r>
        <w:rPr>
          <w:rtl/>
        </w:rPr>
        <w:t xml:space="preserve"> </w:t>
      </w:r>
      <w:r>
        <w:t>Futurism</w:t>
      </w:r>
    </w:p>
  </w:footnote>
  <w:footnote w:id="1373">
    <w:p w14:paraId="1E4BE1A2" w14:textId="77777777" w:rsidR="00B47FF5" w:rsidRDefault="00B47FF5" w:rsidP="00537CC8">
      <w:pPr>
        <w:pStyle w:val="FootnoteText"/>
      </w:pPr>
      <w:r>
        <w:rPr>
          <w:rStyle w:val="FootnoteReference"/>
        </w:rPr>
        <w:footnoteRef/>
      </w:r>
      <w:r>
        <w:rPr>
          <w:rtl/>
        </w:rPr>
        <w:t xml:space="preserve"> </w:t>
      </w:r>
      <w:r w:rsidRPr="00303349">
        <w:t>LinkedIn</w:t>
      </w:r>
    </w:p>
  </w:footnote>
  <w:footnote w:id="1374">
    <w:p w14:paraId="601BD91E" w14:textId="2C5C12D6" w:rsidR="00B47FF5" w:rsidRDefault="00B47FF5" w:rsidP="00537CC8">
      <w:pPr>
        <w:pStyle w:val="FootnoteText"/>
      </w:pPr>
      <w:r>
        <w:rPr>
          <w:rStyle w:val="FootnoteReference"/>
        </w:rPr>
        <w:footnoteRef/>
      </w:r>
      <w:r>
        <w:rPr>
          <w:rtl/>
        </w:rPr>
        <w:t xml:space="preserve"> </w:t>
      </w:r>
      <w:r w:rsidRPr="00E34805">
        <w:t>Actuarial</w:t>
      </w:r>
    </w:p>
  </w:footnote>
  <w:footnote w:id="1375">
    <w:p w14:paraId="276548DD" w14:textId="5FEDB22E" w:rsidR="00B47FF5" w:rsidRDefault="00B47FF5" w:rsidP="00537CC8">
      <w:pPr>
        <w:pStyle w:val="FootnoteText"/>
      </w:pPr>
      <w:r>
        <w:rPr>
          <w:rStyle w:val="FootnoteReference"/>
        </w:rPr>
        <w:footnoteRef/>
      </w:r>
      <w:r>
        <w:rPr>
          <w:rtl/>
        </w:rPr>
        <w:t xml:space="preserve"> </w:t>
      </w:r>
      <w:r w:rsidRPr="008000BF">
        <w:t>Futures</w:t>
      </w:r>
    </w:p>
  </w:footnote>
  <w:footnote w:id="1376">
    <w:p w14:paraId="73A90E83" w14:textId="7E165DAA" w:rsidR="00B47FF5" w:rsidRDefault="00B47FF5" w:rsidP="00537CC8">
      <w:pPr>
        <w:pStyle w:val="FootnoteText"/>
      </w:pPr>
      <w:r>
        <w:rPr>
          <w:rStyle w:val="FootnoteReference"/>
        </w:rPr>
        <w:footnoteRef/>
      </w:r>
      <w:r>
        <w:rPr>
          <w:rtl/>
        </w:rPr>
        <w:t xml:space="preserve"> </w:t>
      </w:r>
      <w:r w:rsidRPr="008000BF">
        <w:t>Financial derivatives trading</w:t>
      </w:r>
    </w:p>
  </w:footnote>
  <w:footnote w:id="1377">
    <w:p w14:paraId="379EBBB0" w14:textId="77777777" w:rsidR="00B47FF5" w:rsidRDefault="00B47FF5" w:rsidP="00537CC8">
      <w:pPr>
        <w:pStyle w:val="FootnoteText"/>
      </w:pPr>
      <w:r>
        <w:rPr>
          <w:rStyle w:val="FootnoteReference"/>
        </w:rPr>
        <w:footnoteRef/>
      </w:r>
      <w:r>
        <w:rPr>
          <w:rtl/>
        </w:rPr>
        <w:t xml:space="preserve"> </w:t>
      </w:r>
      <w:r w:rsidRPr="009D11B0">
        <w:t>Ngram Viewer</w:t>
      </w:r>
    </w:p>
  </w:footnote>
  <w:footnote w:id="1378">
    <w:p w14:paraId="7C2B03BD" w14:textId="11B03C42" w:rsidR="00B47FF5" w:rsidRDefault="00B47FF5" w:rsidP="00537CC8">
      <w:pPr>
        <w:pStyle w:val="FootnoteText"/>
      </w:pPr>
      <w:r>
        <w:rPr>
          <w:rStyle w:val="FootnoteReference"/>
        </w:rPr>
        <w:footnoteRef/>
      </w:r>
      <w:r>
        <w:rPr>
          <w:rtl/>
        </w:rPr>
        <w:t xml:space="preserve"> </w:t>
      </w:r>
      <w:r>
        <w:t>Communities</w:t>
      </w:r>
    </w:p>
  </w:footnote>
  <w:footnote w:id="1379">
    <w:p w14:paraId="193B51E3" w14:textId="77777777" w:rsidR="00B47FF5" w:rsidRDefault="00B47FF5" w:rsidP="00537CC8">
      <w:pPr>
        <w:pStyle w:val="FootnoteText"/>
      </w:pPr>
      <w:r>
        <w:rPr>
          <w:rStyle w:val="FootnoteReference"/>
        </w:rPr>
        <w:footnoteRef/>
      </w:r>
      <w:r>
        <w:rPr>
          <w:rtl/>
        </w:rPr>
        <w:t xml:space="preserve"> </w:t>
      </w:r>
      <w:r w:rsidRPr="00D01C66">
        <w:t>Association of Professional Futurists</w:t>
      </w:r>
    </w:p>
  </w:footnote>
  <w:footnote w:id="1380">
    <w:p w14:paraId="13C13E6B" w14:textId="77777777" w:rsidR="00B47FF5" w:rsidRDefault="00B47FF5" w:rsidP="00537CC8">
      <w:pPr>
        <w:pStyle w:val="FootnoteText"/>
      </w:pPr>
      <w:r>
        <w:rPr>
          <w:rStyle w:val="FootnoteReference"/>
        </w:rPr>
        <w:footnoteRef/>
      </w:r>
      <w:r>
        <w:rPr>
          <w:rtl/>
        </w:rPr>
        <w:t xml:space="preserve"> </w:t>
      </w:r>
      <w:r w:rsidRPr="00AD60A4">
        <w:t>Shermon Cruz</w:t>
      </w:r>
    </w:p>
  </w:footnote>
  <w:footnote w:id="1381">
    <w:p w14:paraId="77845740" w14:textId="10CCC64A" w:rsidR="00B47FF5" w:rsidRDefault="00B47FF5" w:rsidP="00537CC8">
      <w:pPr>
        <w:pStyle w:val="FootnoteText"/>
      </w:pPr>
      <w:r>
        <w:rPr>
          <w:rStyle w:val="FootnoteReference"/>
        </w:rPr>
        <w:footnoteRef/>
      </w:r>
      <w:r>
        <w:rPr>
          <w:rtl/>
        </w:rPr>
        <w:t xml:space="preserve"> </w:t>
      </w:r>
      <w:r>
        <w:t>Task force</w:t>
      </w:r>
    </w:p>
  </w:footnote>
  <w:footnote w:id="1382">
    <w:p w14:paraId="2B141DEC" w14:textId="77777777" w:rsidR="00B47FF5" w:rsidRDefault="00B47FF5" w:rsidP="00537CC8">
      <w:pPr>
        <w:pStyle w:val="FootnoteText"/>
      </w:pPr>
      <w:r>
        <w:rPr>
          <w:rStyle w:val="FootnoteReference"/>
        </w:rPr>
        <w:footnoteRef/>
      </w:r>
      <w:r>
        <w:rPr>
          <w:rtl/>
        </w:rPr>
        <w:t xml:space="preserve"> </w:t>
      </w:r>
      <w:r w:rsidRPr="00AD60A4">
        <w:t>Andy Hines</w:t>
      </w:r>
    </w:p>
  </w:footnote>
  <w:footnote w:id="1383">
    <w:p w14:paraId="3DCCC153" w14:textId="77777777" w:rsidR="00B47FF5" w:rsidRDefault="00B47FF5" w:rsidP="00537CC8">
      <w:pPr>
        <w:pStyle w:val="FootnoteText"/>
      </w:pPr>
      <w:r>
        <w:rPr>
          <w:rStyle w:val="FootnoteReference"/>
        </w:rPr>
        <w:footnoteRef/>
      </w:r>
      <w:r>
        <w:rPr>
          <w:rtl/>
        </w:rPr>
        <w:t xml:space="preserve"> </w:t>
      </w:r>
      <w:r w:rsidRPr="00944BC8">
        <w:t>Foresight University</w:t>
      </w:r>
    </w:p>
  </w:footnote>
  <w:footnote w:id="1384">
    <w:p w14:paraId="732157C7" w14:textId="77777777" w:rsidR="00B47FF5" w:rsidRDefault="00B47FF5" w:rsidP="00537CC8">
      <w:pPr>
        <w:pStyle w:val="FootnoteText"/>
      </w:pPr>
      <w:r>
        <w:rPr>
          <w:rStyle w:val="FootnoteReference"/>
        </w:rPr>
        <w:footnoteRef/>
      </w:r>
      <w:r>
        <w:rPr>
          <w:rtl/>
        </w:rPr>
        <w:t xml:space="preserve"> </w:t>
      </w:r>
      <w:r w:rsidRPr="00AD60A4">
        <w:t>John Smart</w:t>
      </w:r>
    </w:p>
  </w:footnote>
  <w:footnote w:id="1385">
    <w:p w14:paraId="61316A32" w14:textId="77777777" w:rsidR="00B47FF5" w:rsidRDefault="00B47FF5" w:rsidP="00537CC8">
      <w:pPr>
        <w:pStyle w:val="FootnoteText"/>
      </w:pPr>
      <w:r>
        <w:rPr>
          <w:rStyle w:val="FootnoteReference"/>
        </w:rPr>
        <w:footnoteRef/>
      </w:r>
      <w:r>
        <w:rPr>
          <w:rtl/>
        </w:rPr>
        <w:t xml:space="preserve"> </w:t>
      </w:r>
      <w:r w:rsidRPr="00944BC8">
        <w:t>The Foresight Guide</w:t>
      </w:r>
    </w:p>
  </w:footnote>
  <w:footnote w:id="1386">
    <w:p w14:paraId="3FC3F893" w14:textId="77777777" w:rsidR="00B47FF5" w:rsidRDefault="00B47FF5" w:rsidP="00537CC8">
      <w:pPr>
        <w:pStyle w:val="FootnoteText"/>
      </w:pPr>
      <w:r>
        <w:rPr>
          <w:rStyle w:val="FootnoteReference"/>
        </w:rPr>
        <w:footnoteRef/>
      </w:r>
      <w:r>
        <w:rPr>
          <w:rtl/>
        </w:rPr>
        <w:t xml:space="preserve"> </w:t>
      </w:r>
      <w:r w:rsidRPr="00D01C66">
        <w:t>Acceleration Studies Foundation</w:t>
      </w:r>
    </w:p>
  </w:footnote>
  <w:footnote w:id="1387">
    <w:p w14:paraId="5C23F545" w14:textId="77777777" w:rsidR="00B47FF5" w:rsidRDefault="00B47FF5" w:rsidP="00537CC8">
      <w:pPr>
        <w:pStyle w:val="FootnoteText"/>
      </w:pPr>
      <w:r>
        <w:rPr>
          <w:rStyle w:val="FootnoteReference"/>
        </w:rPr>
        <w:footnoteRef/>
      </w:r>
      <w:r>
        <w:rPr>
          <w:rtl/>
        </w:rPr>
        <w:t xml:space="preserve"> </w:t>
      </w:r>
      <w:r w:rsidRPr="00AD60A4">
        <w:t>Futuremedia</w:t>
      </w:r>
    </w:p>
  </w:footnote>
  <w:footnote w:id="1388">
    <w:p w14:paraId="6A85380C" w14:textId="77777777" w:rsidR="00B47FF5" w:rsidRDefault="00B47FF5" w:rsidP="00537CC8">
      <w:pPr>
        <w:pStyle w:val="FootnoteText"/>
      </w:pPr>
      <w:r>
        <w:rPr>
          <w:rStyle w:val="FootnoteReference"/>
        </w:rPr>
        <w:footnoteRef/>
      </w:r>
      <w:r>
        <w:rPr>
          <w:rtl/>
        </w:rPr>
        <w:t xml:space="preserve"> </w:t>
      </w:r>
      <w:r w:rsidRPr="00944BC8">
        <w:t>Wikipedia</w:t>
      </w:r>
    </w:p>
  </w:footnote>
  <w:footnote w:id="1389">
    <w:p w14:paraId="13C4185A" w14:textId="77777777" w:rsidR="00B47FF5" w:rsidRDefault="00B47FF5" w:rsidP="00537CC8">
      <w:pPr>
        <w:pStyle w:val="FootnoteText"/>
      </w:pPr>
      <w:r>
        <w:rPr>
          <w:rStyle w:val="FootnoteReference"/>
        </w:rPr>
        <w:footnoteRef/>
      </w:r>
      <w:r>
        <w:rPr>
          <w:rtl/>
        </w:rPr>
        <w:t xml:space="preserve"> </w:t>
      </w:r>
      <w:r w:rsidRPr="00944BC8">
        <w:t>Foresight Education and Research Network</w:t>
      </w:r>
    </w:p>
  </w:footnote>
  <w:footnote w:id="1390">
    <w:p w14:paraId="64E6EF10" w14:textId="77777777" w:rsidR="00B47FF5" w:rsidRDefault="00B47FF5" w:rsidP="00537CC8">
      <w:pPr>
        <w:pStyle w:val="FootnoteText"/>
      </w:pPr>
      <w:r>
        <w:rPr>
          <w:rStyle w:val="FootnoteReference"/>
        </w:rPr>
        <w:footnoteRef/>
      </w:r>
      <w:r>
        <w:rPr>
          <w:rtl/>
        </w:rPr>
        <w:t xml:space="preserve"> </w:t>
      </w:r>
      <w:r w:rsidRPr="00944BC8">
        <w:t>Evo-Devo Universe</w:t>
      </w:r>
    </w:p>
  </w:footnote>
  <w:footnote w:id="1391">
    <w:p w14:paraId="0A6E25C3" w14:textId="77777777" w:rsidR="00B47FF5" w:rsidRDefault="00B47FF5" w:rsidP="00537CC8">
      <w:pPr>
        <w:pStyle w:val="FootnoteText"/>
      </w:pPr>
      <w:r>
        <w:rPr>
          <w:rStyle w:val="FootnoteReference"/>
        </w:rPr>
        <w:footnoteRef/>
      </w:r>
      <w:r>
        <w:rPr>
          <w:rtl/>
        </w:rPr>
        <w:t xml:space="preserve"> </w:t>
      </w:r>
      <w:r w:rsidRPr="009203FA">
        <w:t>The Millennium Project</w:t>
      </w:r>
    </w:p>
  </w:footnote>
  <w:footnote w:id="1392">
    <w:p w14:paraId="3EAB615D" w14:textId="77777777" w:rsidR="00B47FF5" w:rsidRDefault="00B47FF5" w:rsidP="00537CC8">
      <w:pPr>
        <w:pStyle w:val="FootnoteText"/>
      </w:pPr>
      <w:r>
        <w:rPr>
          <w:rStyle w:val="FootnoteReference"/>
        </w:rPr>
        <w:footnoteRef/>
      </w:r>
      <w:r>
        <w:rPr>
          <w:rtl/>
        </w:rPr>
        <w:t xml:space="preserve"> </w:t>
      </w:r>
      <w:r w:rsidRPr="00AD60A4">
        <w:t>Jerry Glenn</w:t>
      </w:r>
    </w:p>
  </w:footnote>
  <w:footnote w:id="1393">
    <w:p w14:paraId="4FC2F71D" w14:textId="77777777" w:rsidR="00B47FF5" w:rsidRDefault="00B47FF5" w:rsidP="00537CC8">
      <w:pPr>
        <w:pStyle w:val="FootnoteText"/>
      </w:pPr>
      <w:r>
        <w:rPr>
          <w:rStyle w:val="FootnoteReference"/>
        </w:rPr>
        <w:footnoteRef/>
      </w:r>
      <w:r>
        <w:rPr>
          <w:rtl/>
        </w:rPr>
        <w:t xml:space="preserve"> </w:t>
      </w:r>
      <w:r>
        <w:t>Node</w:t>
      </w:r>
    </w:p>
  </w:footnote>
  <w:footnote w:id="1394">
    <w:p w14:paraId="058EF492" w14:textId="77777777" w:rsidR="00B47FF5" w:rsidRDefault="00B47FF5" w:rsidP="00537CC8">
      <w:pPr>
        <w:pStyle w:val="FootnoteText"/>
      </w:pPr>
      <w:r>
        <w:rPr>
          <w:rStyle w:val="FootnoteReference"/>
        </w:rPr>
        <w:footnoteRef/>
      </w:r>
      <w:r>
        <w:rPr>
          <w:rtl/>
        </w:rPr>
        <w:t xml:space="preserve"> </w:t>
      </w:r>
      <w:r w:rsidRPr="000D7A84">
        <w:t>State of the Future</w:t>
      </w:r>
    </w:p>
  </w:footnote>
  <w:footnote w:id="1395">
    <w:p w14:paraId="58494121" w14:textId="77777777" w:rsidR="00B47FF5" w:rsidRDefault="00B47FF5" w:rsidP="00537CC8">
      <w:pPr>
        <w:pStyle w:val="FootnoteText"/>
      </w:pPr>
      <w:r>
        <w:rPr>
          <w:rStyle w:val="FootnoteReference"/>
        </w:rPr>
        <w:footnoteRef/>
      </w:r>
      <w:r>
        <w:rPr>
          <w:rtl/>
        </w:rPr>
        <w:t xml:space="preserve"> </w:t>
      </w:r>
      <w:r w:rsidRPr="000D7A84">
        <w:t>Futures Research Methodology</w:t>
      </w:r>
    </w:p>
  </w:footnote>
  <w:footnote w:id="1396">
    <w:p w14:paraId="0D5482C2" w14:textId="77777777" w:rsidR="00B47FF5" w:rsidRDefault="00B47FF5" w:rsidP="00537CC8">
      <w:pPr>
        <w:pStyle w:val="FootnoteText"/>
      </w:pPr>
      <w:r>
        <w:rPr>
          <w:rStyle w:val="FootnoteReference"/>
        </w:rPr>
        <w:footnoteRef/>
      </w:r>
      <w:r>
        <w:rPr>
          <w:rtl/>
        </w:rPr>
        <w:t xml:space="preserve"> </w:t>
      </w:r>
      <w:r>
        <w:t>Work 2050: Three Scenarios</w:t>
      </w:r>
    </w:p>
  </w:footnote>
  <w:footnote w:id="1397">
    <w:p w14:paraId="7E28F1F0" w14:textId="77777777" w:rsidR="00B47FF5" w:rsidRDefault="00B47FF5" w:rsidP="00537CC8">
      <w:pPr>
        <w:pStyle w:val="FootnoteText"/>
      </w:pPr>
      <w:r>
        <w:rPr>
          <w:rStyle w:val="FootnoteReference"/>
        </w:rPr>
        <w:footnoteRef/>
      </w:r>
      <w:r>
        <w:rPr>
          <w:rtl/>
        </w:rPr>
        <w:t xml:space="preserve"> </w:t>
      </w:r>
      <w:r w:rsidRPr="000D7A84">
        <w:t>Global Futures Intelligence System</w:t>
      </w:r>
    </w:p>
  </w:footnote>
  <w:footnote w:id="1398">
    <w:p w14:paraId="03D67D80" w14:textId="77777777" w:rsidR="00B47FF5" w:rsidRDefault="00B47FF5" w:rsidP="00537CC8">
      <w:pPr>
        <w:pStyle w:val="FootnoteText"/>
      </w:pPr>
      <w:r>
        <w:rPr>
          <w:rStyle w:val="FootnoteReference"/>
        </w:rPr>
        <w:footnoteRef/>
      </w:r>
      <w:r>
        <w:rPr>
          <w:rtl/>
        </w:rPr>
        <w:t xml:space="preserve"> </w:t>
      </w:r>
      <w:r w:rsidRPr="000D7A84">
        <w:t>Long Now Foundation</w:t>
      </w:r>
    </w:p>
  </w:footnote>
  <w:footnote w:id="1399">
    <w:p w14:paraId="56994DF9" w14:textId="77777777" w:rsidR="00B47FF5" w:rsidRDefault="00B47FF5" w:rsidP="00537CC8">
      <w:pPr>
        <w:pStyle w:val="FootnoteText"/>
      </w:pPr>
      <w:r>
        <w:rPr>
          <w:rStyle w:val="FootnoteReference"/>
        </w:rPr>
        <w:footnoteRef/>
      </w:r>
      <w:r>
        <w:rPr>
          <w:rtl/>
        </w:rPr>
        <w:t xml:space="preserve"> </w:t>
      </w:r>
      <w:r w:rsidRPr="00AD60A4">
        <w:t>Stewart Brand</w:t>
      </w:r>
    </w:p>
  </w:footnote>
  <w:footnote w:id="1400">
    <w:p w14:paraId="52512551" w14:textId="77777777" w:rsidR="00B47FF5" w:rsidRDefault="00B47FF5" w:rsidP="00537CC8">
      <w:pPr>
        <w:pStyle w:val="FootnoteText"/>
      </w:pPr>
      <w:r>
        <w:rPr>
          <w:rStyle w:val="FootnoteReference"/>
        </w:rPr>
        <w:footnoteRef/>
      </w:r>
      <w:r>
        <w:rPr>
          <w:rtl/>
        </w:rPr>
        <w:t xml:space="preserve"> </w:t>
      </w:r>
      <w:r w:rsidRPr="000D7A84">
        <w:t>Whole Earth Catalog</w:t>
      </w:r>
    </w:p>
  </w:footnote>
  <w:footnote w:id="1401">
    <w:p w14:paraId="0E1188CB" w14:textId="77777777" w:rsidR="00B47FF5" w:rsidRDefault="00B47FF5" w:rsidP="00537CC8">
      <w:pPr>
        <w:pStyle w:val="FootnoteText"/>
      </w:pPr>
      <w:r>
        <w:rPr>
          <w:rStyle w:val="FootnoteReference"/>
        </w:rPr>
        <w:footnoteRef/>
      </w:r>
      <w:r>
        <w:rPr>
          <w:rtl/>
        </w:rPr>
        <w:t xml:space="preserve"> </w:t>
      </w:r>
      <w:r w:rsidRPr="00120088">
        <w:t>Singularity University</w:t>
      </w:r>
    </w:p>
  </w:footnote>
  <w:footnote w:id="1402">
    <w:p w14:paraId="51B98A98" w14:textId="77777777" w:rsidR="00B47FF5" w:rsidRDefault="00B47FF5" w:rsidP="00537CC8">
      <w:pPr>
        <w:pStyle w:val="FootnoteText"/>
      </w:pPr>
      <w:r>
        <w:rPr>
          <w:rStyle w:val="FootnoteReference"/>
        </w:rPr>
        <w:footnoteRef/>
      </w:r>
      <w:r>
        <w:rPr>
          <w:rtl/>
        </w:rPr>
        <w:t xml:space="preserve"> </w:t>
      </w:r>
      <w:r w:rsidRPr="00AD60A4">
        <w:t>Peter Diamandis</w:t>
      </w:r>
    </w:p>
  </w:footnote>
  <w:footnote w:id="1403">
    <w:p w14:paraId="5606C18F" w14:textId="77777777" w:rsidR="00B47FF5" w:rsidRDefault="00B47FF5" w:rsidP="00537CC8">
      <w:pPr>
        <w:pStyle w:val="FootnoteText"/>
      </w:pPr>
      <w:r>
        <w:rPr>
          <w:rStyle w:val="FootnoteReference"/>
        </w:rPr>
        <w:footnoteRef/>
      </w:r>
      <w:r>
        <w:rPr>
          <w:rtl/>
        </w:rPr>
        <w:t xml:space="preserve"> </w:t>
      </w:r>
      <w:r w:rsidRPr="00AD60A4">
        <w:t>Ray Kurzweil</w:t>
      </w:r>
    </w:p>
  </w:footnote>
  <w:footnote w:id="1404">
    <w:p w14:paraId="5C3C6AB5" w14:textId="77777777" w:rsidR="00B47FF5" w:rsidRDefault="00B47FF5" w:rsidP="00537CC8">
      <w:pPr>
        <w:pStyle w:val="FootnoteText"/>
      </w:pPr>
      <w:r>
        <w:rPr>
          <w:rStyle w:val="FootnoteReference"/>
        </w:rPr>
        <w:footnoteRef/>
      </w:r>
      <w:r>
        <w:rPr>
          <w:rtl/>
        </w:rPr>
        <w:t xml:space="preserve"> </w:t>
      </w:r>
      <w:r w:rsidRPr="004D4B78">
        <w:t>SU Global Summit</w:t>
      </w:r>
    </w:p>
  </w:footnote>
  <w:footnote w:id="1405">
    <w:p w14:paraId="14D680D7" w14:textId="77777777" w:rsidR="00B47FF5" w:rsidRDefault="00B47FF5" w:rsidP="00537CC8">
      <w:pPr>
        <w:pStyle w:val="FootnoteText"/>
      </w:pPr>
      <w:r>
        <w:rPr>
          <w:rStyle w:val="FootnoteReference"/>
        </w:rPr>
        <w:footnoteRef/>
      </w:r>
      <w:r>
        <w:rPr>
          <w:rtl/>
        </w:rPr>
        <w:t xml:space="preserve"> </w:t>
      </w:r>
      <w:r w:rsidRPr="004D4B78">
        <w:t>Singularity Hub</w:t>
      </w:r>
    </w:p>
  </w:footnote>
  <w:footnote w:id="1406">
    <w:p w14:paraId="04197ED7" w14:textId="77777777" w:rsidR="00B47FF5" w:rsidRDefault="00B47FF5" w:rsidP="00537CC8">
      <w:pPr>
        <w:pStyle w:val="FootnoteText"/>
      </w:pPr>
      <w:r>
        <w:rPr>
          <w:rStyle w:val="FootnoteReference"/>
        </w:rPr>
        <w:footnoteRef/>
      </w:r>
      <w:r>
        <w:rPr>
          <w:rtl/>
        </w:rPr>
        <w:t xml:space="preserve"> </w:t>
      </w:r>
      <w:r w:rsidRPr="004D4B78">
        <w:t>Open ExO</w:t>
      </w:r>
    </w:p>
  </w:footnote>
  <w:footnote w:id="1407">
    <w:p w14:paraId="6123C390" w14:textId="77777777" w:rsidR="00B47FF5" w:rsidRDefault="00B47FF5" w:rsidP="00537CC8">
      <w:pPr>
        <w:pStyle w:val="FootnoteText"/>
      </w:pPr>
      <w:r>
        <w:rPr>
          <w:rStyle w:val="FootnoteReference"/>
        </w:rPr>
        <w:footnoteRef/>
      </w:r>
      <w:r>
        <w:rPr>
          <w:rtl/>
        </w:rPr>
        <w:t xml:space="preserve"> </w:t>
      </w:r>
      <w:r w:rsidRPr="00AD60A4">
        <w:t>Salim Ismail</w:t>
      </w:r>
    </w:p>
  </w:footnote>
  <w:footnote w:id="1408">
    <w:p w14:paraId="341253C3" w14:textId="77777777" w:rsidR="00B47FF5" w:rsidRDefault="00B47FF5" w:rsidP="00537CC8">
      <w:pPr>
        <w:pStyle w:val="FootnoteText"/>
      </w:pPr>
      <w:r>
        <w:rPr>
          <w:rStyle w:val="FootnoteReference"/>
        </w:rPr>
        <w:footnoteRef/>
      </w:r>
      <w:r>
        <w:rPr>
          <w:rtl/>
        </w:rPr>
        <w:t xml:space="preserve"> </w:t>
      </w:r>
      <w:r>
        <w:t>ExO webinars</w:t>
      </w:r>
    </w:p>
  </w:footnote>
  <w:footnote w:id="1409">
    <w:p w14:paraId="3E24419F" w14:textId="77777777" w:rsidR="00B47FF5" w:rsidRDefault="00B47FF5" w:rsidP="00537CC8">
      <w:pPr>
        <w:pStyle w:val="FootnoteText"/>
      </w:pPr>
      <w:r>
        <w:rPr>
          <w:rStyle w:val="FootnoteReference"/>
        </w:rPr>
        <w:footnoteRef/>
      </w:r>
      <w:r>
        <w:rPr>
          <w:rtl/>
        </w:rPr>
        <w:t xml:space="preserve"> </w:t>
      </w:r>
      <w:r w:rsidRPr="00FB1A06">
        <w:t>Exponential Organizations: Why New Organizations are 10X Faster</w:t>
      </w:r>
    </w:p>
  </w:footnote>
  <w:footnote w:id="1410">
    <w:p w14:paraId="0FF64C2D" w14:textId="77777777" w:rsidR="00B47FF5" w:rsidRDefault="00B47FF5" w:rsidP="00537CC8">
      <w:pPr>
        <w:pStyle w:val="FootnoteText"/>
      </w:pPr>
      <w:r>
        <w:rPr>
          <w:rStyle w:val="FootnoteReference"/>
        </w:rPr>
        <w:footnoteRef/>
      </w:r>
      <w:r>
        <w:rPr>
          <w:rtl/>
        </w:rPr>
        <w:t xml:space="preserve"> </w:t>
      </w:r>
      <w:r w:rsidRPr="00FB1A06">
        <w:t>Exponential Transformation: Evolve Your Organization with a 10 Week Sprint</w:t>
      </w:r>
    </w:p>
  </w:footnote>
  <w:footnote w:id="1411">
    <w:p w14:paraId="76D524E6" w14:textId="77777777" w:rsidR="00B47FF5" w:rsidRDefault="00B47FF5" w:rsidP="00537CC8">
      <w:pPr>
        <w:pStyle w:val="FootnoteText"/>
      </w:pPr>
      <w:r>
        <w:rPr>
          <w:rStyle w:val="FootnoteReference"/>
        </w:rPr>
        <w:footnoteRef/>
      </w:r>
      <w:r>
        <w:rPr>
          <w:rtl/>
        </w:rPr>
        <w:t xml:space="preserve"> </w:t>
      </w:r>
      <w:r w:rsidRPr="00FB1A06">
        <w:t>Good Judgment Open</w:t>
      </w:r>
    </w:p>
  </w:footnote>
  <w:footnote w:id="1412">
    <w:p w14:paraId="69F5817D" w14:textId="77777777" w:rsidR="00B47FF5" w:rsidRDefault="00B47FF5" w:rsidP="00537CC8">
      <w:pPr>
        <w:pStyle w:val="FootnoteText"/>
      </w:pPr>
      <w:r>
        <w:rPr>
          <w:rStyle w:val="FootnoteReference"/>
        </w:rPr>
        <w:footnoteRef/>
      </w:r>
      <w:r>
        <w:rPr>
          <w:rtl/>
        </w:rPr>
        <w:t xml:space="preserve"> </w:t>
      </w:r>
      <w:r w:rsidRPr="00CB728D">
        <w:t>The Economist</w:t>
      </w:r>
    </w:p>
  </w:footnote>
  <w:footnote w:id="1413">
    <w:p w14:paraId="0A759505" w14:textId="77777777" w:rsidR="00B47FF5" w:rsidRDefault="00B47FF5" w:rsidP="00537CC8">
      <w:pPr>
        <w:pStyle w:val="FootnoteText"/>
      </w:pPr>
      <w:r>
        <w:rPr>
          <w:rStyle w:val="FootnoteReference"/>
        </w:rPr>
        <w:footnoteRef/>
      </w:r>
      <w:r>
        <w:rPr>
          <w:rtl/>
        </w:rPr>
        <w:t xml:space="preserve"> </w:t>
      </w:r>
      <w:r w:rsidRPr="00CB728D">
        <w:t>Superforecasting: The Art and Science of Prediction</w:t>
      </w:r>
    </w:p>
  </w:footnote>
  <w:footnote w:id="1414">
    <w:p w14:paraId="5BE296EA" w14:textId="77777777" w:rsidR="00B47FF5" w:rsidRDefault="00B47FF5" w:rsidP="00537CC8">
      <w:pPr>
        <w:pStyle w:val="FootnoteText"/>
      </w:pPr>
      <w:r>
        <w:rPr>
          <w:rStyle w:val="FootnoteReference"/>
        </w:rPr>
        <w:footnoteRef/>
      </w:r>
      <w:r>
        <w:rPr>
          <w:rtl/>
        </w:rPr>
        <w:t xml:space="preserve"> </w:t>
      </w:r>
      <w:r w:rsidRPr="00AD60A4">
        <w:t>Anthony Aguirre</w:t>
      </w:r>
    </w:p>
  </w:footnote>
  <w:footnote w:id="1415">
    <w:p w14:paraId="1EC46E65" w14:textId="77777777" w:rsidR="00B47FF5" w:rsidRDefault="00B47FF5" w:rsidP="00537CC8">
      <w:pPr>
        <w:pStyle w:val="FootnoteText"/>
      </w:pPr>
      <w:r>
        <w:rPr>
          <w:rStyle w:val="FootnoteReference"/>
        </w:rPr>
        <w:footnoteRef/>
      </w:r>
      <w:r>
        <w:rPr>
          <w:rtl/>
        </w:rPr>
        <w:t xml:space="preserve"> </w:t>
      </w:r>
      <w:r w:rsidRPr="00EC2376">
        <w:t>World Future Society</w:t>
      </w:r>
    </w:p>
  </w:footnote>
  <w:footnote w:id="1416">
    <w:p w14:paraId="70CBD4EE" w14:textId="77777777" w:rsidR="00B47FF5" w:rsidRDefault="00B47FF5" w:rsidP="00537CC8">
      <w:pPr>
        <w:pStyle w:val="FootnoteText"/>
      </w:pPr>
      <w:r>
        <w:rPr>
          <w:rStyle w:val="FootnoteReference"/>
        </w:rPr>
        <w:footnoteRef/>
      </w:r>
      <w:r>
        <w:rPr>
          <w:rtl/>
        </w:rPr>
        <w:t xml:space="preserve"> </w:t>
      </w:r>
      <w:r w:rsidRPr="00AD60A4">
        <w:t>Julie Friedman Steele</w:t>
      </w:r>
    </w:p>
  </w:footnote>
  <w:footnote w:id="1417">
    <w:p w14:paraId="56B4B029" w14:textId="77777777" w:rsidR="00B47FF5" w:rsidRDefault="00B47FF5" w:rsidP="00537CC8">
      <w:pPr>
        <w:pStyle w:val="FootnoteText"/>
      </w:pPr>
      <w:r>
        <w:rPr>
          <w:rStyle w:val="FootnoteReference"/>
        </w:rPr>
        <w:footnoteRef/>
      </w:r>
      <w:r>
        <w:rPr>
          <w:rtl/>
        </w:rPr>
        <w:t xml:space="preserve"> </w:t>
      </w:r>
      <w:r w:rsidRPr="00CB728D">
        <w:t>The future magazine</w:t>
      </w:r>
    </w:p>
  </w:footnote>
  <w:footnote w:id="1418">
    <w:p w14:paraId="6CD6FEEA" w14:textId="77777777" w:rsidR="00B47FF5" w:rsidRDefault="00B47FF5" w:rsidP="00537CC8">
      <w:pPr>
        <w:pStyle w:val="FootnoteText"/>
      </w:pPr>
      <w:r>
        <w:rPr>
          <w:rStyle w:val="FootnoteReference"/>
        </w:rPr>
        <w:footnoteRef/>
      </w:r>
      <w:r>
        <w:rPr>
          <w:rtl/>
        </w:rPr>
        <w:t xml:space="preserve"> </w:t>
      </w:r>
      <w:r w:rsidRPr="00CB728D">
        <w:t>World Future Review</w:t>
      </w:r>
    </w:p>
  </w:footnote>
  <w:footnote w:id="1419">
    <w:p w14:paraId="0EFE580A" w14:textId="77777777" w:rsidR="00B47FF5" w:rsidRDefault="00B47FF5" w:rsidP="00537CC8">
      <w:pPr>
        <w:pStyle w:val="FootnoteText"/>
      </w:pPr>
      <w:r>
        <w:rPr>
          <w:rStyle w:val="FootnoteReference"/>
        </w:rPr>
        <w:footnoteRef/>
      </w:r>
      <w:r>
        <w:rPr>
          <w:rtl/>
        </w:rPr>
        <w:t xml:space="preserve"> </w:t>
      </w:r>
      <w:r w:rsidRPr="008F2636">
        <w:t>World Futures Studies Federation</w:t>
      </w:r>
    </w:p>
  </w:footnote>
  <w:footnote w:id="1420">
    <w:p w14:paraId="4E842304" w14:textId="77777777" w:rsidR="00B47FF5" w:rsidRDefault="00B47FF5" w:rsidP="00537CC8">
      <w:pPr>
        <w:pStyle w:val="FootnoteText"/>
      </w:pPr>
      <w:r>
        <w:rPr>
          <w:rStyle w:val="FootnoteReference"/>
        </w:rPr>
        <w:footnoteRef/>
      </w:r>
      <w:r>
        <w:rPr>
          <w:rtl/>
        </w:rPr>
        <w:t xml:space="preserve"> </w:t>
      </w:r>
      <w:r w:rsidRPr="00AD60A4">
        <w:t>Eric Øverland</w:t>
      </w:r>
    </w:p>
  </w:footnote>
  <w:footnote w:id="1421">
    <w:p w14:paraId="3E4030D0" w14:textId="1500C3F7" w:rsidR="00B47FF5" w:rsidRDefault="00B47FF5" w:rsidP="00537CC8">
      <w:pPr>
        <w:pStyle w:val="FootnoteText"/>
      </w:pPr>
      <w:r>
        <w:rPr>
          <w:rStyle w:val="FootnoteReference"/>
        </w:rPr>
        <w:footnoteRef/>
      </w:r>
      <w:r>
        <w:rPr>
          <w:rtl/>
        </w:rPr>
        <w:t xml:space="preserve"> </w:t>
      </w:r>
      <w:r>
        <w:t>Cultural relativists</w:t>
      </w:r>
    </w:p>
  </w:footnote>
  <w:footnote w:id="1422">
    <w:p w14:paraId="3F9D65AB" w14:textId="4B21C63B" w:rsidR="00B47FF5" w:rsidRDefault="00B47FF5" w:rsidP="00537CC8">
      <w:pPr>
        <w:pStyle w:val="FootnoteText"/>
      </w:pPr>
      <w:r>
        <w:rPr>
          <w:rStyle w:val="FootnoteReference"/>
        </w:rPr>
        <w:footnoteRef/>
      </w:r>
      <w:r>
        <w:rPr>
          <w:rtl/>
        </w:rPr>
        <w:t xml:space="preserve"> </w:t>
      </w:r>
      <w:r>
        <w:t>Pragmatic</w:t>
      </w:r>
    </w:p>
  </w:footnote>
  <w:footnote w:id="1423">
    <w:p w14:paraId="14521D40" w14:textId="77777777" w:rsidR="00B47FF5" w:rsidRDefault="00B47FF5" w:rsidP="00537CC8">
      <w:pPr>
        <w:pStyle w:val="FootnoteText"/>
      </w:pPr>
      <w:r>
        <w:rPr>
          <w:rStyle w:val="FootnoteReference"/>
        </w:rPr>
        <w:footnoteRef/>
      </w:r>
      <w:r>
        <w:rPr>
          <w:rtl/>
        </w:rPr>
        <w:t xml:space="preserve"> </w:t>
      </w:r>
      <w:r w:rsidRPr="0034747D">
        <w:t>International Futures Forum</w:t>
      </w:r>
    </w:p>
  </w:footnote>
  <w:footnote w:id="1424">
    <w:p w14:paraId="2D38E8B5" w14:textId="77777777" w:rsidR="00B47FF5" w:rsidRDefault="00B47FF5" w:rsidP="00537CC8">
      <w:pPr>
        <w:pStyle w:val="FootnoteText"/>
      </w:pPr>
      <w:r>
        <w:rPr>
          <w:rStyle w:val="FootnoteReference"/>
        </w:rPr>
        <w:footnoteRef/>
      </w:r>
      <w:r>
        <w:rPr>
          <w:rtl/>
        </w:rPr>
        <w:t xml:space="preserve"> </w:t>
      </w:r>
      <w:r w:rsidRPr="00AD60A4">
        <w:t>Graham Leicester</w:t>
      </w:r>
    </w:p>
  </w:footnote>
  <w:footnote w:id="1425">
    <w:p w14:paraId="7B443407" w14:textId="77777777" w:rsidR="00B47FF5" w:rsidRDefault="00B47FF5" w:rsidP="00537CC8">
      <w:pPr>
        <w:pStyle w:val="FootnoteText"/>
      </w:pPr>
      <w:r>
        <w:rPr>
          <w:rStyle w:val="FootnoteReference"/>
        </w:rPr>
        <w:footnoteRef/>
      </w:r>
      <w:r>
        <w:rPr>
          <w:rtl/>
        </w:rPr>
        <w:t xml:space="preserve"> </w:t>
      </w:r>
      <w:r>
        <w:t>Three Horizons Framework</w:t>
      </w:r>
    </w:p>
  </w:footnote>
  <w:footnote w:id="1426">
    <w:p w14:paraId="028CED4D" w14:textId="77777777" w:rsidR="00B47FF5" w:rsidRDefault="00B47FF5" w:rsidP="00537CC8">
      <w:pPr>
        <w:pStyle w:val="FootnoteText"/>
      </w:pPr>
      <w:r>
        <w:rPr>
          <w:rStyle w:val="FootnoteReference"/>
        </w:rPr>
        <w:footnoteRef/>
      </w:r>
      <w:r>
        <w:rPr>
          <w:rtl/>
        </w:rPr>
        <w:t xml:space="preserve"> </w:t>
      </w:r>
      <w:r w:rsidRPr="00AD60A4">
        <w:t>AIGA: The Professional Association for Design</w:t>
      </w:r>
    </w:p>
  </w:footnote>
  <w:footnote w:id="1427">
    <w:p w14:paraId="73786714" w14:textId="77777777" w:rsidR="00B47FF5" w:rsidRDefault="00B47FF5" w:rsidP="00537CC8">
      <w:pPr>
        <w:pStyle w:val="FootnoteText"/>
      </w:pPr>
      <w:r>
        <w:rPr>
          <w:rStyle w:val="FootnoteReference"/>
        </w:rPr>
        <w:footnoteRef/>
      </w:r>
      <w:r>
        <w:rPr>
          <w:rtl/>
        </w:rPr>
        <w:t xml:space="preserve"> </w:t>
      </w:r>
      <w:r w:rsidRPr="00AD60A4">
        <w:t>American Management Association</w:t>
      </w:r>
    </w:p>
  </w:footnote>
  <w:footnote w:id="1428">
    <w:p w14:paraId="37003EF9" w14:textId="6A485D1E" w:rsidR="00B47FF5" w:rsidRDefault="00B47FF5" w:rsidP="00FE5285">
      <w:pPr>
        <w:pStyle w:val="FootnoteText"/>
      </w:pPr>
      <w:r>
        <w:rPr>
          <w:rStyle w:val="FootnoteReference"/>
        </w:rPr>
        <w:footnoteRef/>
      </w:r>
      <w:r>
        <w:rPr>
          <w:rtl/>
        </w:rPr>
        <w:t xml:space="preserve"> </w:t>
      </w:r>
      <w:r>
        <w:t>American Planning Association</w:t>
      </w:r>
    </w:p>
  </w:footnote>
  <w:footnote w:id="1429">
    <w:p w14:paraId="1F7CA91B" w14:textId="77777777" w:rsidR="00B47FF5" w:rsidRDefault="00B47FF5" w:rsidP="00537CC8">
      <w:pPr>
        <w:pStyle w:val="FootnoteText"/>
      </w:pPr>
      <w:r>
        <w:rPr>
          <w:rStyle w:val="FootnoteReference"/>
        </w:rPr>
        <w:footnoteRef/>
      </w:r>
      <w:r>
        <w:rPr>
          <w:rtl/>
        </w:rPr>
        <w:t xml:space="preserve"> </w:t>
      </w:r>
      <w:r w:rsidRPr="00AD60A4">
        <w:t>American Society for Training and Development</w:t>
      </w:r>
    </w:p>
  </w:footnote>
  <w:footnote w:id="1430">
    <w:p w14:paraId="0C7031B3" w14:textId="77777777" w:rsidR="00B47FF5" w:rsidRDefault="00B47FF5" w:rsidP="00537CC8">
      <w:pPr>
        <w:pStyle w:val="FootnoteText"/>
      </w:pPr>
      <w:r>
        <w:rPr>
          <w:rStyle w:val="FootnoteReference"/>
        </w:rPr>
        <w:footnoteRef/>
      </w:r>
      <w:r>
        <w:rPr>
          <w:rtl/>
        </w:rPr>
        <w:t xml:space="preserve"> </w:t>
      </w:r>
      <w:r w:rsidRPr="00AD60A4">
        <w:t>Association for Strategic Planning</w:t>
      </w:r>
    </w:p>
  </w:footnote>
  <w:footnote w:id="1431">
    <w:p w14:paraId="7F5DF99E" w14:textId="3686BD6D" w:rsidR="00B47FF5" w:rsidRDefault="00B47FF5" w:rsidP="00FE5285">
      <w:pPr>
        <w:pStyle w:val="FootnoteText"/>
      </w:pPr>
      <w:r>
        <w:rPr>
          <w:rStyle w:val="FootnoteReference"/>
        </w:rPr>
        <w:footnoteRef/>
      </w:r>
      <w:r>
        <w:rPr>
          <w:rtl/>
        </w:rPr>
        <w:t xml:space="preserve"> </w:t>
      </w:r>
      <w:r>
        <w:t>Association of Change Management Professionals</w:t>
      </w:r>
    </w:p>
  </w:footnote>
  <w:footnote w:id="1432">
    <w:p w14:paraId="533E0D52" w14:textId="77777777" w:rsidR="00B47FF5" w:rsidRDefault="00B47FF5" w:rsidP="00537CC8">
      <w:pPr>
        <w:pStyle w:val="FootnoteText"/>
      </w:pPr>
      <w:r>
        <w:rPr>
          <w:rStyle w:val="FootnoteReference"/>
        </w:rPr>
        <w:footnoteRef/>
      </w:r>
      <w:r>
        <w:rPr>
          <w:rtl/>
        </w:rPr>
        <w:t xml:space="preserve"> </w:t>
      </w:r>
      <w:r w:rsidRPr="00AD60A4">
        <w:t>Digital Analytics Association</w:t>
      </w:r>
    </w:p>
  </w:footnote>
  <w:footnote w:id="1433">
    <w:p w14:paraId="0E91E46D" w14:textId="77777777" w:rsidR="00B47FF5" w:rsidRDefault="00B47FF5" w:rsidP="00537CC8">
      <w:pPr>
        <w:pStyle w:val="FootnoteText"/>
      </w:pPr>
      <w:r>
        <w:rPr>
          <w:rStyle w:val="FootnoteReference"/>
        </w:rPr>
        <w:footnoteRef/>
      </w:r>
      <w:r>
        <w:rPr>
          <w:rtl/>
        </w:rPr>
        <w:t xml:space="preserve"> </w:t>
      </w:r>
      <w:r w:rsidRPr="00AD60A4">
        <w:t>International Institute of Forecasters</w:t>
      </w:r>
    </w:p>
  </w:footnote>
  <w:footnote w:id="1434">
    <w:p w14:paraId="03F7A8EB" w14:textId="505B98D3" w:rsidR="00B47FF5" w:rsidRDefault="00B47FF5" w:rsidP="00FE5285">
      <w:pPr>
        <w:pStyle w:val="FootnoteText"/>
      </w:pPr>
      <w:r>
        <w:rPr>
          <w:rStyle w:val="FootnoteReference"/>
        </w:rPr>
        <w:footnoteRef/>
      </w:r>
      <w:r>
        <w:rPr>
          <w:rtl/>
        </w:rPr>
        <w:t xml:space="preserve"> </w:t>
      </w:r>
      <w:r>
        <w:t>National Speakers Association</w:t>
      </w:r>
    </w:p>
  </w:footnote>
  <w:footnote w:id="1435">
    <w:p w14:paraId="4F17E7D5" w14:textId="77777777" w:rsidR="00B47FF5" w:rsidRDefault="00B47FF5" w:rsidP="00537CC8">
      <w:pPr>
        <w:pStyle w:val="FootnoteText"/>
      </w:pPr>
      <w:r>
        <w:rPr>
          <w:rStyle w:val="FootnoteReference"/>
        </w:rPr>
        <w:footnoteRef/>
      </w:r>
      <w:r>
        <w:rPr>
          <w:rtl/>
        </w:rPr>
        <w:t xml:space="preserve"> </w:t>
      </w:r>
      <w:r w:rsidRPr="00AD60A4">
        <w:t>Risk Management Society</w:t>
      </w:r>
    </w:p>
  </w:footnote>
  <w:footnote w:id="1436">
    <w:p w14:paraId="6325B383" w14:textId="77777777" w:rsidR="00B47FF5" w:rsidRDefault="00B47FF5" w:rsidP="00537CC8">
      <w:pPr>
        <w:pStyle w:val="FootnoteText"/>
      </w:pPr>
      <w:r>
        <w:rPr>
          <w:rStyle w:val="FootnoteReference"/>
        </w:rPr>
        <w:footnoteRef/>
      </w:r>
      <w:r>
        <w:rPr>
          <w:rtl/>
        </w:rPr>
        <w:t xml:space="preserve"> </w:t>
      </w:r>
      <w:r w:rsidRPr="00AD60A4">
        <w:t>Society of Actuaries</w:t>
      </w:r>
    </w:p>
  </w:footnote>
  <w:footnote w:id="1437">
    <w:p w14:paraId="3864A053" w14:textId="723500B1" w:rsidR="00B47FF5" w:rsidRDefault="00B47FF5" w:rsidP="00537CC8">
      <w:pPr>
        <w:pStyle w:val="FootnoteText"/>
      </w:pPr>
      <w:r>
        <w:rPr>
          <w:rStyle w:val="FootnoteReference"/>
        </w:rPr>
        <w:footnoteRef/>
      </w:r>
      <w:r>
        <w:rPr>
          <w:rtl/>
        </w:rPr>
        <w:t xml:space="preserve"> </w:t>
      </w:r>
      <w:r w:rsidRPr="00AD60A4">
        <w:t>Strategic and Competitive Intelligence Professional</w:t>
      </w:r>
    </w:p>
  </w:footnote>
  <w:footnote w:id="1438">
    <w:p w14:paraId="07677409" w14:textId="77777777" w:rsidR="00B47FF5" w:rsidRDefault="00B47FF5" w:rsidP="00537CC8">
      <w:pPr>
        <w:pStyle w:val="FootnoteText"/>
      </w:pPr>
      <w:r>
        <w:rPr>
          <w:rStyle w:val="FootnoteReference"/>
        </w:rPr>
        <w:footnoteRef/>
      </w:r>
      <w:r>
        <w:rPr>
          <w:rtl/>
        </w:rPr>
        <w:t xml:space="preserve"> </w:t>
      </w:r>
      <w:r w:rsidRPr="00D7249B">
        <w:t>Singularity University</w:t>
      </w:r>
    </w:p>
  </w:footnote>
  <w:footnote w:id="1439">
    <w:p w14:paraId="26DB359E" w14:textId="77777777" w:rsidR="00B47FF5" w:rsidRDefault="00B47FF5" w:rsidP="00537CC8">
      <w:pPr>
        <w:pStyle w:val="FootnoteText"/>
      </w:pPr>
      <w:r>
        <w:rPr>
          <w:rStyle w:val="FootnoteReference"/>
        </w:rPr>
        <w:footnoteRef/>
      </w:r>
      <w:r>
        <w:rPr>
          <w:rtl/>
        </w:rPr>
        <w:t xml:space="preserve"> </w:t>
      </w:r>
      <w:r w:rsidRPr="0027142C">
        <w:t>Draper</w:t>
      </w:r>
    </w:p>
  </w:footnote>
  <w:footnote w:id="1440">
    <w:p w14:paraId="42A4B8A7" w14:textId="77777777" w:rsidR="00B47FF5" w:rsidRDefault="00B47FF5" w:rsidP="00537CC8">
      <w:pPr>
        <w:pStyle w:val="FootnoteText"/>
      </w:pPr>
      <w:r>
        <w:rPr>
          <w:rStyle w:val="FootnoteReference"/>
        </w:rPr>
        <w:footnoteRef/>
      </w:r>
      <w:r>
        <w:rPr>
          <w:rtl/>
        </w:rPr>
        <w:t xml:space="preserve"> </w:t>
      </w:r>
      <w:r w:rsidRPr="00BF2A4D">
        <w:t>Tim Draper</w:t>
      </w:r>
    </w:p>
  </w:footnote>
  <w:footnote w:id="1441">
    <w:p w14:paraId="444CB8BB" w14:textId="77777777" w:rsidR="00B47FF5" w:rsidRDefault="00B47FF5" w:rsidP="00537CC8">
      <w:pPr>
        <w:pStyle w:val="FootnoteText"/>
      </w:pPr>
      <w:r>
        <w:rPr>
          <w:rStyle w:val="FootnoteReference"/>
        </w:rPr>
        <w:footnoteRef/>
      </w:r>
      <w:r>
        <w:rPr>
          <w:rtl/>
        </w:rPr>
        <w:t xml:space="preserve"> </w:t>
      </w:r>
      <w:r w:rsidRPr="00BF2A4D">
        <w:t>Kairos Future</w:t>
      </w:r>
    </w:p>
  </w:footnote>
  <w:footnote w:id="1442">
    <w:p w14:paraId="4E57C483" w14:textId="77777777" w:rsidR="00B47FF5" w:rsidRDefault="00B47FF5" w:rsidP="00537CC8">
      <w:pPr>
        <w:pStyle w:val="FootnoteText"/>
      </w:pPr>
      <w:r>
        <w:rPr>
          <w:rStyle w:val="FootnoteReference"/>
        </w:rPr>
        <w:footnoteRef/>
      </w:r>
      <w:r>
        <w:rPr>
          <w:rtl/>
        </w:rPr>
        <w:t xml:space="preserve"> </w:t>
      </w:r>
      <w:r w:rsidRPr="00D7249B">
        <w:t>International Certified Future Strategist</w:t>
      </w:r>
    </w:p>
  </w:footnote>
  <w:footnote w:id="1443">
    <w:p w14:paraId="181AA29E" w14:textId="77777777" w:rsidR="00B47FF5" w:rsidRDefault="00B47FF5" w:rsidP="00537CC8">
      <w:pPr>
        <w:pStyle w:val="FootnoteText"/>
      </w:pPr>
      <w:r>
        <w:rPr>
          <w:rStyle w:val="FootnoteReference"/>
        </w:rPr>
        <w:footnoteRef/>
      </w:r>
      <w:r>
        <w:rPr>
          <w:rtl/>
        </w:rPr>
        <w:t xml:space="preserve"> </w:t>
      </w:r>
      <w:r w:rsidRPr="00BF2A4D">
        <w:t>Turku</w:t>
      </w:r>
    </w:p>
  </w:footnote>
  <w:footnote w:id="1444">
    <w:p w14:paraId="50DD56BF" w14:textId="129B39AD" w:rsidR="00B47FF5" w:rsidRDefault="00B47FF5" w:rsidP="00537CC8">
      <w:pPr>
        <w:pStyle w:val="FootnoteText"/>
      </w:pPr>
      <w:r>
        <w:rPr>
          <w:rStyle w:val="FootnoteReference"/>
        </w:rPr>
        <w:footnoteRef/>
      </w:r>
      <w:r>
        <w:rPr>
          <w:rtl/>
        </w:rPr>
        <w:t xml:space="preserve"> </w:t>
      </w:r>
      <w:r w:rsidRPr="00CA7FC6">
        <w:t>Case interviews</w:t>
      </w:r>
    </w:p>
  </w:footnote>
  <w:footnote w:id="1445">
    <w:p w14:paraId="5655C4F0" w14:textId="77777777" w:rsidR="00B47FF5" w:rsidRDefault="00B47FF5" w:rsidP="00537CC8">
      <w:pPr>
        <w:pStyle w:val="FootnoteText"/>
      </w:pPr>
      <w:r>
        <w:rPr>
          <w:rStyle w:val="FootnoteReference"/>
        </w:rPr>
        <w:footnoteRef/>
      </w:r>
      <w:r>
        <w:rPr>
          <w:rtl/>
        </w:rPr>
        <w:t xml:space="preserve"> </w:t>
      </w:r>
      <w:r w:rsidRPr="00FB3764">
        <w:t>Case Interview Secrets</w:t>
      </w:r>
    </w:p>
  </w:footnote>
  <w:footnote w:id="1446">
    <w:p w14:paraId="33710614" w14:textId="77777777" w:rsidR="00B47FF5" w:rsidRDefault="00B47FF5" w:rsidP="00537CC8">
      <w:pPr>
        <w:pStyle w:val="FootnoteText"/>
      </w:pPr>
      <w:r>
        <w:rPr>
          <w:rStyle w:val="FootnoteReference"/>
        </w:rPr>
        <w:footnoteRef/>
      </w:r>
      <w:r>
        <w:rPr>
          <w:rtl/>
        </w:rPr>
        <w:t xml:space="preserve"> </w:t>
      </w:r>
      <w:r w:rsidRPr="00BF2A4D">
        <w:t>Victor Cheng</w:t>
      </w:r>
    </w:p>
  </w:footnote>
  <w:footnote w:id="1447">
    <w:p w14:paraId="1202ED68" w14:textId="77777777" w:rsidR="00B47FF5" w:rsidRDefault="00B47FF5" w:rsidP="00537CC8">
      <w:pPr>
        <w:pStyle w:val="FootnoteText"/>
      </w:pPr>
      <w:r>
        <w:rPr>
          <w:rStyle w:val="FootnoteReference"/>
        </w:rPr>
        <w:footnoteRef/>
      </w:r>
      <w:r>
        <w:rPr>
          <w:rtl/>
        </w:rPr>
        <w:t xml:space="preserve"> </w:t>
      </w:r>
      <w:r>
        <w:t>Plug &amp; Play</w:t>
      </w:r>
    </w:p>
  </w:footnote>
  <w:footnote w:id="1448">
    <w:p w14:paraId="155A74D8" w14:textId="738AB825" w:rsidR="00B47FF5" w:rsidRDefault="00B47FF5" w:rsidP="00537CC8">
      <w:pPr>
        <w:pStyle w:val="FootnoteText"/>
      </w:pPr>
      <w:r>
        <w:rPr>
          <w:rStyle w:val="FootnoteReference"/>
        </w:rPr>
        <w:footnoteRef/>
      </w:r>
      <w:r>
        <w:rPr>
          <w:rtl/>
        </w:rPr>
        <w:t xml:space="preserve"> </w:t>
      </w:r>
      <w:r w:rsidRPr="009E1947">
        <w:t>Massive open online courses</w:t>
      </w:r>
    </w:p>
  </w:footnote>
  <w:footnote w:id="1449">
    <w:p w14:paraId="4A412F93" w14:textId="77777777" w:rsidR="00B47FF5" w:rsidRDefault="00B47FF5" w:rsidP="00537CC8">
      <w:pPr>
        <w:pStyle w:val="FootnoteText"/>
      </w:pPr>
      <w:r>
        <w:rPr>
          <w:rStyle w:val="FootnoteReference"/>
        </w:rPr>
        <w:footnoteRef/>
      </w:r>
      <w:r>
        <w:rPr>
          <w:rtl/>
        </w:rPr>
        <w:t xml:space="preserve"> </w:t>
      </w:r>
      <w:r w:rsidRPr="0006465B">
        <w:t>The Lean Launchpad</w:t>
      </w:r>
    </w:p>
  </w:footnote>
  <w:footnote w:id="1450">
    <w:p w14:paraId="41CB0194" w14:textId="77777777" w:rsidR="00B47FF5" w:rsidRDefault="00B47FF5" w:rsidP="00537CC8">
      <w:pPr>
        <w:pStyle w:val="FootnoteText"/>
      </w:pPr>
      <w:r>
        <w:rPr>
          <w:rStyle w:val="FootnoteReference"/>
        </w:rPr>
        <w:footnoteRef/>
      </w:r>
      <w:r>
        <w:rPr>
          <w:rtl/>
        </w:rPr>
        <w:t xml:space="preserve"> </w:t>
      </w:r>
      <w:r w:rsidRPr="0006465B">
        <w:t>Udacity</w:t>
      </w:r>
    </w:p>
  </w:footnote>
  <w:footnote w:id="1451">
    <w:p w14:paraId="2408692D" w14:textId="77777777" w:rsidR="00B47FF5" w:rsidRDefault="00B47FF5" w:rsidP="00537CC8">
      <w:pPr>
        <w:pStyle w:val="FootnoteText"/>
      </w:pPr>
      <w:r>
        <w:rPr>
          <w:rStyle w:val="FootnoteReference"/>
        </w:rPr>
        <w:footnoteRef/>
      </w:r>
      <w:r>
        <w:rPr>
          <w:rtl/>
        </w:rPr>
        <w:t xml:space="preserve"> </w:t>
      </w:r>
      <w:r w:rsidRPr="00BF2A4D">
        <w:t>Coursera</w:t>
      </w:r>
    </w:p>
  </w:footnote>
  <w:footnote w:id="1452">
    <w:p w14:paraId="71B7B817" w14:textId="77777777" w:rsidR="00B47FF5" w:rsidRDefault="00B47FF5" w:rsidP="00537CC8">
      <w:pPr>
        <w:pStyle w:val="FootnoteText"/>
      </w:pPr>
      <w:r>
        <w:rPr>
          <w:rStyle w:val="FootnoteReference"/>
        </w:rPr>
        <w:footnoteRef/>
      </w:r>
      <w:r>
        <w:rPr>
          <w:rtl/>
        </w:rPr>
        <w:t xml:space="preserve"> </w:t>
      </w:r>
      <w:r w:rsidRPr="00BF2A4D">
        <w:t>Ontario</w:t>
      </w:r>
    </w:p>
  </w:footnote>
  <w:footnote w:id="1453">
    <w:p w14:paraId="301E34E8" w14:textId="77777777" w:rsidR="00B47FF5" w:rsidRDefault="00B47FF5" w:rsidP="00537CC8">
      <w:pPr>
        <w:pStyle w:val="FootnoteText"/>
      </w:pPr>
      <w:r>
        <w:rPr>
          <w:rStyle w:val="FootnoteReference"/>
        </w:rPr>
        <w:footnoteRef/>
      </w:r>
      <w:r>
        <w:rPr>
          <w:rtl/>
        </w:rPr>
        <w:t xml:space="preserve"> </w:t>
      </w:r>
      <w:r w:rsidRPr="00BF2A4D">
        <w:t>Aarhus</w:t>
      </w:r>
    </w:p>
  </w:footnote>
  <w:footnote w:id="1454">
    <w:p w14:paraId="11E06726" w14:textId="77777777" w:rsidR="00B47FF5" w:rsidRDefault="00B47FF5" w:rsidP="00537CC8">
      <w:pPr>
        <w:pStyle w:val="FootnoteText"/>
      </w:pPr>
      <w:r>
        <w:rPr>
          <w:rStyle w:val="FootnoteReference"/>
        </w:rPr>
        <w:footnoteRef/>
      </w:r>
      <w:r>
        <w:rPr>
          <w:rtl/>
        </w:rPr>
        <w:t xml:space="preserve"> </w:t>
      </w:r>
      <w:r>
        <w:t>Malta</w:t>
      </w:r>
    </w:p>
  </w:footnote>
  <w:footnote w:id="1455">
    <w:p w14:paraId="68E1DF7D" w14:textId="77777777" w:rsidR="00B47FF5" w:rsidRDefault="00B47FF5" w:rsidP="00537CC8">
      <w:pPr>
        <w:pStyle w:val="FootnoteText"/>
      </w:pPr>
      <w:r>
        <w:rPr>
          <w:rStyle w:val="FootnoteReference"/>
        </w:rPr>
        <w:footnoteRef/>
      </w:r>
      <w:r>
        <w:rPr>
          <w:rtl/>
        </w:rPr>
        <w:t xml:space="preserve"> </w:t>
      </w:r>
      <w:r>
        <w:t>Hungary</w:t>
      </w:r>
    </w:p>
  </w:footnote>
  <w:footnote w:id="1456">
    <w:p w14:paraId="3C47B193" w14:textId="77777777" w:rsidR="00B47FF5" w:rsidRDefault="00B47FF5" w:rsidP="00537CC8">
      <w:pPr>
        <w:pStyle w:val="FootnoteText"/>
      </w:pPr>
      <w:r>
        <w:rPr>
          <w:rStyle w:val="FootnoteReference"/>
        </w:rPr>
        <w:footnoteRef/>
      </w:r>
      <w:r>
        <w:rPr>
          <w:rtl/>
        </w:rPr>
        <w:t xml:space="preserve"> </w:t>
      </w:r>
      <w:r w:rsidRPr="00BF2A4D">
        <w:t>Corvinus</w:t>
      </w:r>
    </w:p>
  </w:footnote>
  <w:footnote w:id="1457">
    <w:p w14:paraId="25743536" w14:textId="77777777" w:rsidR="00B47FF5" w:rsidRDefault="00B47FF5" w:rsidP="00537CC8">
      <w:pPr>
        <w:pStyle w:val="FootnoteText"/>
      </w:pPr>
      <w:r>
        <w:rPr>
          <w:rStyle w:val="FootnoteReference"/>
        </w:rPr>
        <w:footnoteRef/>
      </w:r>
      <w:r>
        <w:rPr>
          <w:rtl/>
        </w:rPr>
        <w:t xml:space="preserve"> </w:t>
      </w:r>
      <w:r w:rsidRPr="00BF2A4D">
        <w:t>Stellenbosch</w:t>
      </w:r>
    </w:p>
  </w:footnote>
  <w:footnote w:id="1458">
    <w:p w14:paraId="762A262A" w14:textId="77777777" w:rsidR="00B47FF5" w:rsidRDefault="00B47FF5" w:rsidP="00537CC8">
      <w:pPr>
        <w:pStyle w:val="FootnoteText"/>
      </w:pPr>
      <w:r>
        <w:rPr>
          <w:rStyle w:val="FootnoteReference"/>
        </w:rPr>
        <w:footnoteRef/>
      </w:r>
      <w:r>
        <w:rPr>
          <w:rtl/>
        </w:rPr>
        <w:t xml:space="preserve"> </w:t>
      </w:r>
      <w:r w:rsidRPr="00BF2A4D">
        <w:t>Tamkang</w:t>
      </w:r>
    </w:p>
  </w:footnote>
  <w:footnote w:id="1459">
    <w:p w14:paraId="4A071963" w14:textId="77777777" w:rsidR="00B47FF5" w:rsidRDefault="00B47FF5" w:rsidP="00537CC8">
      <w:pPr>
        <w:pStyle w:val="FootnoteText"/>
      </w:pPr>
      <w:r>
        <w:rPr>
          <w:rStyle w:val="FootnoteReference"/>
        </w:rPr>
        <w:footnoteRef/>
      </w:r>
      <w:r>
        <w:rPr>
          <w:rtl/>
        </w:rPr>
        <w:t xml:space="preserve"> </w:t>
      </w:r>
      <w:r w:rsidRPr="00BF2A4D">
        <w:t>Monterrey IT</w:t>
      </w:r>
    </w:p>
  </w:footnote>
  <w:footnote w:id="1460">
    <w:p w14:paraId="0D65B5D2" w14:textId="77777777" w:rsidR="00B47FF5" w:rsidRDefault="00B47FF5" w:rsidP="00537CC8">
      <w:pPr>
        <w:pStyle w:val="FootnoteText"/>
      </w:pPr>
      <w:r>
        <w:rPr>
          <w:rStyle w:val="FootnoteReference"/>
        </w:rPr>
        <w:footnoteRef/>
      </w:r>
      <w:r>
        <w:rPr>
          <w:rtl/>
        </w:rPr>
        <w:t xml:space="preserve"> </w:t>
      </w:r>
      <w:r w:rsidRPr="00BF2A4D">
        <w:t>Fo Guang</w:t>
      </w:r>
    </w:p>
  </w:footnote>
  <w:footnote w:id="1461">
    <w:p w14:paraId="11FCFE60" w14:textId="77777777" w:rsidR="00B47FF5" w:rsidRDefault="00B47FF5" w:rsidP="00537CC8">
      <w:pPr>
        <w:pStyle w:val="FootnoteText"/>
      </w:pPr>
      <w:r>
        <w:rPr>
          <w:rStyle w:val="FootnoteReference"/>
        </w:rPr>
        <w:footnoteRef/>
      </w:r>
      <w:r>
        <w:rPr>
          <w:rtl/>
        </w:rPr>
        <w:t xml:space="preserve"> </w:t>
      </w:r>
      <w:r w:rsidRPr="00BF2A4D">
        <w:t>Udacity</w:t>
      </w:r>
    </w:p>
  </w:footnote>
  <w:footnote w:id="1462">
    <w:p w14:paraId="31B76E7C" w14:textId="77777777" w:rsidR="00B47FF5" w:rsidRDefault="00B47FF5" w:rsidP="00537CC8">
      <w:pPr>
        <w:pStyle w:val="FootnoteText"/>
      </w:pPr>
      <w:r>
        <w:rPr>
          <w:rStyle w:val="FootnoteReference"/>
        </w:rPr>
        <w:footnoteRef/>
      </w:r>
      <w:r>
        <w:rPr>
          <w:rtl/>
        </w:rPr>
        <w:t xml:space="preserve"> </w:t>
      </w:r>
      <w:r w:rsidRPr="00BF2A4D">
        <w:t>Georgia Tech</w:t>
      </w:r>
    </w:p>
  </w:footnote>
  <w:footnote w:id="1463">
    <w:p w14:paraId="65165B11" w14:textId="77777777" w:rsidR="00B47FF5" w:rsidRDefault="00B47FF5" w:rsidP="00537CC8">
      <w:pPr>
        <w:pStyle w:val="FootnoteText"/>
      </w:pPr>
      <w:r>
        <w:rPr>
          <w:rStyle w:val="FootnoteReference"/>
        </w:rPr>
        <w:footnoteRef/>
      </w:r>
      <w:r>
        <w:rPr>
          <w:rtl/>
        </w:rPr>
        <w:t xml:space="preserve"> </w:t>
      </w:r>
      <w:r w:rsidRPr="00BF2A4D">
        <w:t>Quantic</w:t>
      </w:r>
    </w:p>
  </w:footnote>
  <w:footnote w:id="1464">
    <w:p w14:paraId="25B09B15" w14:textId="77777777" w:rsidR="00B47FF5" w:rsidRDefault="00B47FF5" w:rsidP="00537CC8">
      <w:pPr>
        <w:pStyle w:val="FootnoteText"/>
      </w:pPr>
      <w:r>
        <w:rPr>
          <w:rStyle w:val="FootnoteReference"/>
        </w:rPr>
        <w:footnoteRef/>
      </w:r>
      <w:r>
        <w:rPr>
          <w:rtl/>
        </w:rPr>
        <w:t xml:space="preserve"> </w:t>
      </w:r>
      <w:r w:rsidRPr="00BF2A4D">
        <w:t>Annette Gardner</w:t>
      </w:r>
    </w:p>
  </w:footnote>
  <w:footnote w:id="1465">
    <w:p w14:paraId="033A2A6E" w14:textId="77777777" w:rsidR="00B47FF5" w:rsidRDefault="00B47FF5" w:rsidP="00537CC8">
      <w:pPr>
        <w:pStyle w:val="FootnoteText"/>
        <w:rPr>
          <w:rtl/>
        </w:rPr>
      </w:pPr>
      <w:r>
        <w:rPr>
          <w:rStyle w:val="FootnoteReference"/>
        </w:rPr>
        <w:footnoteRef/>
      </w:r>
      <w:r>
        <w:rPr>
          <w:rtl/>
        </w:rPr>
        <w:t xml:space="preserve"> </w:t>
      </w:r>
      <w:r w:rsidRPr="00F541B2">
        <w:t>Knowledge, A</w:t>
      </w:r>
      <w:r>
        <w:t>ttitude, and Practice</w:t>
      </w:r>
    </w:p>
  </w:footnote>
  <w:footnote w:id="1466">
    <w:p w14:paraId="697A8178" w14:textId="18A02136" w:rsidR="00B47FF5" w:rsidRDefault="00B47FF5" w:rsidP="00537CC8">
      <w:pPr>
        <w:pStyle w:val="FootnoteText"/>
      </w:pPr>
      <w:r>
        <w:rPr>
          <w:rStyle w:val="FootnoteReference"/>
        </w:rPr>
        <w:footnoteRef/>
      </w:r>
      <w:r>
        <w:rPr>
          <w:rtl/>
        </w:rPr>
        <w:t xml:space="preserve"> </w:t>
      </w:r>
      <w:r>
        <w:t>Redundant</w:t>
      </w:r>
    </w:p>
  </w:footnote>
  <w:footnote w:id="1467">
    <w:p w14:paraId="1BC5CBB0" w14:textId="77777777" w:rsidR="00B47FF5" w:rsidRDefault="00B47FF5" w:rsidP="00537CC8">
      <w:pPr>
        <w:pStyle w:val="FootnoteText"/>
      </w:pPr>
      <w:r>
        <w:rPr>
          <w:rStyle w:val="FootnoteReference"/>
        </w:rPr>
        <w:footnoteRef/>
      </w:r>
      <w:r>
        <w:rPr>
          <w:rtl/>
        </w:rPr>
        <w:t xml:space="preserve"> </w:t>
      </w:r>
      <w:r w:rsidRPr="00BF2A4D">
        <w:t>Jose Ramos</w:t>
      </w:r>
    </w:p>
  </w:footnote>
  <w:footnote w:id="1468">
    <w:p w14:paraId="0E23E96B" w14:textId="77777777" w:rsidR="00B47FF5" w:rsidRDefault="00B47FF5" w:rsidP="00537CC8">
      <w:pPr>
        <w:pStyle w:val="FootnoteText"/>
      </w:pPr>
      <w:r>
        <w:rPr>
          <w:rStyle w:val="FootnoteReference"/>
        </w:rPr>
        <w:footnoteRef/>
      </w:r>
      <w:r>
        <w:rPr>
          <w:rtl/>
        </w:rPr>
        <w:t xml:space="preserve"> </w:t>
      </w:r>
      <w:r w:rsidRPr="00651E7C">
        <w:t>The Psychology of</w:t>
      </w:r>
      <w:r>
        <w:t xml:space="preserve"> </w:t>
      </w:r>
      <w:r w:rsidRPr="00651E7C">
        <w:t>Thinking About the Future</w:t>
      </w:r>
    </w:p>
  </w:footnote>
  <w:footnote w:id="1469">
    <w:p w14:paraId="12BE767B" w14:textId="39A18A35" w:rsidR="00B47FF5" w:rsidRDefault="00B47FF5" w:rsidP="00537CC8">
      <w:pPr>
        <w:pStyle w:val="FootnoteText"/>
      </w:pPr>
      <w:r>
        <w:rPr>
          <w:rStyle w:val="FootnoteReference"/>
        </w:rPr>
        <w:footnoteRef/>
      </w:r>
      <w:r>
        <w:rPr>
          <w:rtl/>
        </w:rPr>
        <w:t xml:space="preserve"> </w:t>
      </w:r>
      <w:r w:rsidRPr="00FE5285">
        <w:t>The</w:t>
      </w:r>
      <w:r>
        <w:t xml:space="preserve"> future of x</w:t>
      </w:r>
    </w:p>
  </w:footnote>
  <w:footnote w:id="1470">
    <w:p w14:paraId="2FD40089" w14:textId="77777777" w:rsidR="00B47FF5" w:rsidRDefault="00B47FF5" w:rsidP="00537CC8">
      <w:pPr>
        <w:pStyle w:val="FootnoteText"/>
      </w:pPr>
      <w:r>
        <w:rPr>
          <w:rStyle w:val="FootnoteReference"/>
        </w:rPr>
        <w:footnoteRef/>
      </w:r>
      <w:r>
        <w:rPr>
          <w:rtl/>
        </w:rPr>
        <w:t xml:space="preserve"> </w:t>
      </w:r>
      <w:r w:rsidRPr="00EA2503">
        <w:t>Four Levels of Learning Evaluation</w:t>
      </w:r>
    </w:p>
  </w:footnote>
  <w:footnote w:id="1471">
    <w:p w14:paraId="732555EB" w14:textId="77777777" w:rsidR="00B47FF5" w:rsidRDefault="00B47FF5" w:rsidP="00537CC8">
      <w:pPr>
        <w:pStyle w:val="FootnoteText"/>
      </w:pPr>
      <w:r>
        <w:rPr>
          <w:rStyle w:val="FootnoteReference"/>
        </w:rPr>
        <w:footnoteRef/>
      </w:r>
      <w:r>
        <w:rPr>
          <w:rtl/>
        </w:rPr>
        <w:t xml:space="preserve"> </w:t>
      </w:r>
      <w:r w:rsidRPr="00574A4E">
        <w:t>Donald Kirkpatrick</w:t>
      </w:r>
    </w:p>
  </w:footnote>
  <w:footnote w:id="1472">
    <w:p w14:paraId="7A5E0384" w14:textId="77777777" w:rsidR="00B47FF5" w:rsidRDefault="00B47FF5" w:rsidP="00537CC8">
      <w:pPr>
        <w:pStyle w:val="FootnoteText"/>
      </w:pPr>
      <w:r>
        <w:rPr>
          <w:rStyle w:val="FootnoteReference"/>
        </w:rPr>
        <w:footnoteRef/>
      </w:r>
      <w:r>
        <w:rPr>
          <w:rtl/>
        </w:rPr>
        <w:t xml:space="preserve"> </w:t>
      </w:r>
      <w:r w:rsidRPr="00EA2503">
        <w:t>Society for Training and Development</w:t>
      </w:r>
    </w:p>
  </w:footnote>
  <w:footnote w:id="1473">
    <w:p w14:paraId="03B9D592" w14:textId="77777777" w:rsidR="00B47FF5" w:rsidRDefault="00B47FF5" w:rsidP="00537CC8">
      <w:pPr>
        <w:pStyle w:val="FootnoteText"/>
      </w:pPr>
      <w:r>
        <w:rPr>
          <w:rStyle w:val="FootnoteReference"/>
        </w:rPr>
        <w:footnoteRef/>
      </w:r>
      <w:r>
        <w:rPr>
          <w:rtl/>
        </w:rPr>
        <w:t xml:space="preserve"> </w:t>
      </w:r>
      <w:r w:rsidRPr="00A016EA">
        <w:t>The Science of Self-Learning</w:t>
      </w:r>
    </w:p>
  </w:footnote>
  <w:footnote w:id="1474">
    <w:p w14:paraId="0B42E3D6" w14:textId="77777777" w:rsidR="00B47FF5" w:rsidRDefault="00B47FF5" w:rsidP="00537CC8">
      <w:pPr>
        <w:pStyle w:val="FootnoteText"/>
      </w:pPr>
      <w:r>
        <w:rPr>
          <w:rStyle w:val="FootnoteReference"/>
        </w:rPr>
        <w:footnoteRef/>
      </w:r>
      <w:r>
        <w:rPr>
          <w:rtl/>
        </w:rPr>
        <w:t xml:space="preserve"> </w:t>
      </w:r>
      <w:r w:rsidRPr="00574A4E">
        <w:t>Peter Hollins</w:t>
      </w:r>
    </w:p>
  </w:footnote>
  <w:footnote w:id="1475">
    <w:p w14:paraId="202B3926" w14:textId="77777777" w:rsidR="00B47FF5" w:rsidRDefault="00B47FF5" w:rsidP="00537CC8">
      <w:pPr>
        <w:pStyle w:val="FootnoteText"/>
      </w:pPr>
      <w:r>
        <w:rPr>
          <w:rStyle w:val="FootnoteReference"/>
        </w:rPr>
        <w:footnoteRef/>
      </w:r>
      <w:r>
        <w:rPr>
          <w:rtl/>
        </w:rPr>
        <w:t xml:space="preserve"> </w:t>
      </w:r>
      <w:r w:rsidRPr="00A016EA">
        <w:t>Long Life Learning</w:t>
      </w:r>
    </w:p>
  </w:footnote>
  <w:footnote w:id="1476">
    <w:p w14:paraId="353C2752" w14:textId="77777777" w:rsidR="00B47FF5" w:rsidRDefault="00B47FF5" w:rsidP="00537CC8">
      <w:pPr>
        <w:pStyle w:val="FootnoteText"/>
      </w:pPr>
      <w:r>
        <w:rPr>
          <w:rStyle w:val="FootnoteReference"/>
        </w:rPr>
        <w:footnoteRef/>
      </w:r>
      <w:r>
        <w:rPr>
          <w:rtl/>
        </w:rPr>
        <w:t xml:space="preserve"> </w:t>
      </w:r>
      <w:r w:rsidRPr="00574A4E">
        <w:t>Michelle Weiss</w:t>
      </w:r>
    </w:p>
  </w:footnote>
  <w:footnote w:id="1477">
    <w:p w14:paraId="5FBD3753" w14:textId="77777777" w:rsidR="00B47FF5" w:rsidRDefault="00B47FF5" w:rsidP="00537CC8">
      <w:pPr>
        <w:pStyle w:val="FootnoteText"/>
      </w:pPr>
      <w:r>
        <w:rPr>
          <w:rStyle w:val="FootnoteReference"/>
        </w:rPr>
        <w:footnoteRef/>
      </w:r>
      <w:r>
        <w:rPr>
          <w:rtl/>
        </w:rPr>
        <w:t xml:space="preserve"> </w:t>
      </w:r>
      <w:r w:rsidRPr="00A016EA">
        <w:t>Academia Next</w:t>
      </w:r>
    </w:p>
  </w:footnote>
  <w:footnote w:id="1478">
    <w:p w14:paraId="79005061" w14:textId="77777777" w:rsidR="00B47FF5" w:rsidRDefault="00B47FF5" w:rsidP="00537CC8">
      <w:pPr>
        <w:pStyle w:val="FootnoteText"/>
      </w:pPr>
      <w:r>
        <w:rPr>
          <w:rStyle w:val="FootnoteReference"/>
        </w:rPr>
        <w:footnoteRef/>
      </w:r>
      <w:r>
        <w:rPr>
          <w:rtl/>
        </w:rPr>
        <w:t xml:space="preserve"> </w:t>
      </w:r>
      <w:r w:rsidRPr="00574A4E">
        <w:t>Brayan Alexander</w:t>
      </w:r>
    </w:p>
  </w:footnote>
  <w:footnote w:id="1479">
    <w:p w14:paraId="1C18824A" w14:textId="012C9B3F" w:rsidR="00B47FF5" w:rsidRDefault="00B47FF5" w:rsidP="00537CC8">
      <w:pPr>
        <w:pStyle w:val="FootnoteText"/>
      </w:pPr>
      <w:r>
        <w:rPr>
          <w:rStyle w:val="FootnoteReference"/>
        </w:rPr>
        <w:footnoteRef/>
      </w:r>
      <w:r>
        <w:rPr>
          <w:rtl/>
        </w:rPr>
        <w:t xml:space="preserve"> </w:t>
      </w:r>
      <w:r w:rsidRPr="001D4E87">
        <w:t>Microlearning</w:t>
      </w:r>
    </w:p>
  </w:footnote>
  <w:footnote w:id="1480">
    <w:p w14:paraId="734B1DD5" w14:textId="3C3759D8" w:rsidR="00B47FF5" w:rsidRDefault="00B47FF5" w:rsidP="00537CC8">
      <w:pPr>
        <w:pStyle w:val="FootnoteText"/>
      </w:pPr>
      <w:r>
        <w:rPr>
          <w:rStyle w:val="FootnoteReference"/>
        </w:rPr>
        <w:footnoteRef/>
      </w:r>
      <w:r>
        <w:rPr>
          <w:rtl/>
        </w:rPr>
        <w:t xml:space="preserve"> </w:t>
      </w:r>
      <w:r>
        <w:t>Nonconsumers</w:t>
      </w:r>
    </w:p>
  </w:footnote>
  <w:footnote w:id="1481">
    <w:p w14:paraId="23C46320" w14:textId="3CDBC771" w:rsidR="00B47FF5" w:rsidRDefault="00B47FF5" w:rsidP="00537CC8">
      <w:pPr>
        <w:pStyle w:val="FootnoteText"/>
      </w:pPr>
      <w:r>
        <w:rPr>
          <w:rStyle w:val="FootnoteReference"/>
        </w:rPr>
        <w:footnoteRef/>
      </w:r>
      <w:r>
        <w:rPr>
          <w:rtl/>
        </w:rPr>
        <w:t xml:space="preserve"> </w:t>
      </w:r>
      <w:r>
        <w:t>Higher selves</w:t>
      </w:r>
    </w:p>
  </w:footnote>
  <w:footnote w:id="1482">
    <w:p w14:paraId="401B8815" w14:textId="77777777" w:rsidR="00B47FF5" w:rsidRDefault="00B47FF5" w:rsidP="00537CC8">
      <w:pPr>
        <w:pStyle w:val="FootnoteText"/>
        <w:rPr>
          <w:rtl/>
        </w:rPr>
      </w:pPr>
      <w:r>
        <w:rPr>
          <w:rStyle w:val="FootnoteReference"/>
        </w:rPr>
        <w:footnoteRef/>
      </w:r>
      <w:r>
        <w:rPr>
          <w:rtl/>
        </w:rPr>
        <w:t xml:space="preserve"> </w:t>
      </w:r>
      <w:r w:rsidRPr="00A47F7B">
        <w:t>The Year 1000</w:t>
      </w:r>
    </w:p>
  </w:footnote>
  <w:footnote w:id="1483">
    <w:p w14:paraId="7B407613" w14:textId="77777777" w:rsidR="00B47FF5" w:rsidRDefault="00B47FF5" w:rsidP="00537CC8">
      <w:pPr>
        <w:pStyle w:val="FootnoteText"/>
      </w:pPr>
      <w:r>
        <w:rPr>
          <w:rStyle w:val="FootnoteReference"/>
        </w:rPr>
        <w:footnoteRef/>
      </w:r>
      <w:r>
        <w:rPr>
          <w:rtl/>
        </w:rPr>
        <w:t xml:space="preserve"> </w:t>
      </w:r>
      <w:r w:rsidRPr="00574A4E">
        <w:t>Lacey</w:t>
      </w:r>
    </w:p>
  </w:footnote>
  <w:footnote w:id="1484">
    <w:p w14:paraId="72FEBF0B" w14:textId="77777777" w:rsidR="00B47FF5" w:rsidRDefault="00B47FF5" w:rsidP="00537CC8">
      <w:pPr>
        <w:pStyle w:val="FootnoteText"/>
      </w:pPr>
      <w:r>
        <w:rPr>
          <w:rStyle w:val="FootnoteReference"/>
        </w:rPr>
        <w:footnoteRef/>
      </w:r>
      <w:r>
        <w:rPr>
          <w:rtl/>
        </w:rPr>
        <w:t xml:space="preserve"> </w:t>
      </w:r>
      <w:r w:rsidRPr="00574A4E">
        <w:t>Danziger</w:t>
      </w:r>
    </w:p>
  </w:footnote>
  <w:footnote w:id="1485">
    <w:p w14:paraId="31F40AD9" w14:textId="77777777" w:rsidR="00B47FF5" w:rsidRDefault="00B47FF5" w:rsidP="00537CC8">
      <w:pPr>
        <w:pStyle w:val="FootnoteText"/>
        <w:rPr>
          <w:rtl/>
        </w:rPr>
      </w:pPr>
      <w:r>
        <w:rPr>
          <w:rStyle w:val="FootnoteReference"/>
        </w:rPr>
        <w:footnoteRef/>
      </w:r>
      <w:r>
        <w:rPr>
          <w:rtl/>
        </w:rPr>
        <w:t xml:space="preserve"> </w:t>
      </w:r>
      <w:r w:rsidRPr="00A47F7B">
        <w:t>Y2K panic</w:t>
      </w:r>
    </w:p>
  </w:footnote>
  <w:footnote w:id="1486">
    <w:p w14:paraId="7A50F86D" w14:textId="77777777" w:rsidR="00B47FF5" w:rsidRDefault="00B47FF5" w:rsidP="00537CC8">
      <w:pPr>
        <w:pStyle w:val="FootnoteText"/>
      </w:pPr>
      <w:r>
        <w:rPr>
          <w:rStyle w:val="FootnoteReference"/>
        </w:rPr>
        <w:footnoteRef/>
      </w:r>
      <w:r>
        <w:rPr>
          <w:rtl/>
        </w:rPr>
        <w:t xml:space="preserve"> </w:t>
      </w:r>
      <w:r w:rsidRPr="00574A4E">
        <w:t>John Kennedy</w:t>
      </w:r>
    </w:p>
  </w:footnote>
  <w:footnote w:id="1487">
    <w:p w14:paraId="0F576663" w14:textId="77777777" w:rsidR="00B47FF5" w:rsidRDefault="00B47FF5" w:rsidP="00537CC8">
      <w:pPr>
        <w:pStyle w:val="FootnoteText"/>
      </w:pPr>
      <w:r>
        <w:rPr>
          <w:rStyle w:val="FootnoteReference"/>
        </w:rPr>
        <w:footnoteRef/>
      </w:r>
      <w:r>
        <w:rPr>
          <w:rtl/>
        </w:rPr>
        <w:t xml:space="preserve"> </w:t>
      </w:r>
      <w:r>
        <w:t>Sputnik</w:t>
      </w:r>
    </w:p>
  </w:footnote>
  <w:footnote w:id="1488">
    <w:p w14:paraId="26FF8FF3" w14:textId="77777777" w:rsidR="00B47FF5" w:rsidRDefault="00B47FF5" w:rsidP="00537CC8">
      <w:pPr>
        <w:pStyle w:val="FootnoteText"/>
      </w:pPr>
      <w:r>
        <w:rPr>
          <w:rStyle w:val="FootnoteReference"/>
        </w:rPr>
        <w:footnoteRef/>
      </w:r>
      <w:r>
        <w:rPr>
          <w:rtl/>
        </w:rPr>
        <w:t xml:space="preserve"> </w:t>
      </w:r>
      <w:r w:rsidRPr="00574A4E">
        <w:t>Glen Hiemstra</w:t>
      </w:r>
    </w:p>
  </w:footnote>
  <w:footnote w:id="1489">
    <w:p w14:paraId="354228A8" w14:textId="77777777" w:rsidR="00B47FF5" w:rsidRDefault="00B47FF5" w:rsidP="00537CC8">
      <w:pPr>
        <w:pStyle w:val="FootnoteText"/>
      </w:pPr>
      <w:r>
        <w:rPr>
          <w:rStyle w:val="FootnoteReference"/>
        </w:rPr>
        <w:footnoteRef/>
      </w:r>
      <w:r>
        <w:rPr>
          <w:rtl/>
        </w:rPr>
        <w:t xml:space="preserve"> </w:t>
      </w:r>
      <w:r w:rsidRPr="00574A4E">
        <w:t>Buckminster Fuller</w:t>
      </w:r>
    </w:p>
  </w:footnote>
  <w:footnote w:id="1490">
    <w:p w14:paraId="461E8488" w14:textId="625378B5" w:rsidR="00B47FF5" w:rsidRDefault="00B47FF5" w:rsidP="00537CC8">
      <w:pPr>
        <w:pStyle w:val="FootnoteText"/>
      </w:pPr>
      <w:r>
        <w:rPr>
          <w:rStyle w:val="FootnoteReference"/>
        </w:rPr>
        <w:footnoteRef/>
      </w:r>
      <w:r>
        <w:rPr>
          <w:rtl/>
        </w:rPr>
        <w:t xml:space="preserve"> </w:t>
      </w:r>
      <w:r>
        <w:t>From weaponry to livingry</w:t>
      </w:r>
    </w:p>
  </w:footnote>
  <w:footnote w:id="1491">
    <w:p w14:paraId="1BCF2488" w14:textId="463B5DCD" w:rsidR="00B47FF5" w:rsidRDefault="00B47FF5" w:rsidP="00537CC8">
      <w:pPr>
        <w:pStyle w:val="FootnoteText"/>
      </w:pPr>
      <w:r>
        <w:rPr>
          <w:rStyle w:val="FootnoteReference"/>
        </w:rPr>
        <w:footnoteRef/>
      </w:r>
      <w:r>
        <w:rPr>
          <w:rtl/>
        </w:rPr>
        <w:t xml:space="preserve"> </w:t>
      </w:r>
      <w:r w:rsidRPr="00B24AF9">
        <w:t>Neoconservatism</w:t>
      </w:r>
    </w:p>
  </w:footnote>
  <w:footnote w:id="1492">
    <w:p w14:paraId="74B9480D" w14:textId="77777777" w:rsidR="00B47FF5" w:rsidRDefault="00B47FF5" w:rsidP="00537CC8">
      <w:pPr>
        <w:pStyle w:val="FootnoteText"/>
      </w:pPr>
      <w:r>
        <w:rPr>
          <w:rStyle w:val="FootnoteReference"/>
        </w:rPr>
        <w:footnoteRef/>
      </w:r>
      <w:r>
        <w:rPr>
          <w:rtl/>
        </w:rPr>
        <w:t xml:space="preserve"> </w:t>
      </w:r>
      <w:r w:rsidRPr="00CE7879">
        <w:t>JOBS Act</w:t>
      </w:r>
    </w:p>
  </w:footnote>
  <w:footnote w:id="1493">
    <w:p w14:paraId="030E01FA" w14:textId="77777777" w:rsidR="00B47FF5" w:rsidRDefault="00B47FF5" w:rsidP="00537CC8">
      <w:pPr>
        <w:pStyle w:val="FootnoteText"/>
      </w:pPr>
      <w:r>
        <w:rPr>
          <w:rStyle w:val="FootnoteReference"/>
        </w:rPr>
        <w:footnoteRef/>
      </w:r>
      <w:r>
        <w:rPr>
          <w:rtl/>
        </w:rPr>
        <w:t xml:space="preserve"> </w:t>
      </w:r>
      <w:r w:rsidRPr="00CE7879">
        <w:t>Crowdfunding</w:t>
      </w:r>
    </w:p>
  </w:footnote>
  <w:footnote w:id="1494">
    <w:p w14:paraId="4B6E92FC" w14:textId="77777777" w:rsidR="00B47FF5" w:rsidRDefault="00B47FF5" w:rsidP="00537CC8">
      <w:pPr>
        <w:pStyle w:val="FootnoteText"/>
      </w:pPr>
      <w:r>
        <w:rPr>
          <w:rStyle w:val="FootnoteReference"/>
        </w:rPr>
        <w:footnoteRef/>
      </w:r>
      <w:r>
        <w:rPr>
          <w:rtl/>
        </w:rPr>
        <w:t xml:space="preserve"> </w:t>
      </w:r>
      <w:r w:rsidRPr="00417058">
        <w:t>Reddit’s r/Futurology</w:t>
      </w:r>
    </w:p>
  </w:footnote>
  <w:footnote w:id="1495">
    <w:p w14:paraId="6C09AC1B" w14:textId="77777777" w:rsidR="00B47FF5" w:rsidRDefault="00B47FF5" w:rsidP="00537CC8">
      <w:pPr>
        <w:pStyle w:val="FootnoteText"/>
      </w:pPr>
      <w:r>
        <w:rPr>
          <w:rStyle w:val="FootnoteReference"/>
        </w:rPr>
        <w:footnoteRef/>
      </w:r>
      <w:r>
        <w:rPr>
          <w:rtl/>
        </w:rPr>
        <w:t xml:space="preserve"> </w:t>
      </w:r>
      <w:r>
        <w:t>Apollo</w:t>
      </w:r>
    </w:p>
  </w:footnote>
  <w:footnote w:id="1496">
    <w:p w14:paraId="4A1C817E" w14:textId="5B067243" w:rsidR="00B47FF5" w:rsidRDefault="00B47FF5" w:rsidP="00537CC8">
      <w:pPr>
        <w:pStyle w:val="FootnoteText"/>
      </w:pPr>
      <w:r>
        <w:rPr>
          <w:rStyle w:val="FootnoteReference"/>
        </w:rPr>
        <w:footnoteRef/>
      </w:r>
      <w:r>
        <w:rPr>
          <w:rtl/>
        </w:rPr>
        <w:t xml:space="preserve"> </w:t>
      </w:r>
      <w:r>
        <w:t>Plutocracy</w:t>
      </w:r>
    </w:p>
  </w:footnote>
  <w:footnote w:id="1497">
    <w:p w14:paraId="42A09803" w14:textId="237E2978" w:rsidR="00B47FF5" w:rsidRDefault="00B47FF5" w:rsidP="00537CC8">
      <w:pPr>
        <w:pStyle w:val="FootnoteText"/>
      </w:pPr>
      <w:r>
        <w:rPr>
          <w:rStyle w:val="FootnoteReference"/>
        </w:rPr>
        <w:footnoteRef/>
      </w:r>
      <w:r>
        <w:rPr>
          <w:rtl/>
        </w:rPr>
        <w:t xml:space="preserve"> </w:t>
      </w:r>
      <w:r w:rsidRPr="0025667D">
        <w:t>Cybernetics</w:t>
      </w:r>
    </w:p>
  </w:footnote>
  <w:footnote w:id="1498">
    <w:p w14:paraId="25F491BE" w14:textId="77777777" w:rsidR="00B47FF5" w:rsidRDefault="00B47FF5" w:rsidP="00537CC8">
      <w:pPr>
        <w:pStyle w:val="FootnoteText"/>
      </w:pPr>
      <w:r>
        <w:rPr>
          <w:rStyle w:val="FootnoteReference"/>
        </w:rPr>
        <w:footnoteRef/>
      </w:r>
      <w:r>
        <w:rPr>
          <w:rtl/>
        </w:rPr>
        <w:t xml:space="preserve"> </w:t>
      </w:r>
      <w:r w:rsidRPr="004F051D">
        <w:t>The Second Machine</w:t>
      </w:r>
      <w:r>
        <w:t xml:space="preserve"> Age</w:t>
      </w:r>
    </w:p>
  </w:footnote>
  <w:footnote w:id="1499">
    <w:p w14:paraId="3287FA05" w14:textId="77777777" w:rsidR="00B47FF5" w:rsidRDefault="00B47FF5" w:rsidP="00537CC8">
      <w:pPr>
        <w:pStyle w:val="FootnoteText"/>
      </w:pPr>
      <w:r>
        <w:rPr>
          <w:rStyle w:val="FootnoteReference"/>
        </w:rPr>
        <w:footnoteRef/>
      </w:r>
      <w:r>
        <w:rPr>
          <w:rtl/>
        </w:rPr>
        <w:t xml:space="preserve"> </w:t>
      </w:r>
      <w:r w:rsidRPr="00574A4E">
        <w:t>Brynjolfsson</w:t>
      </w:r>
    </w:p>
  </w:footnote>
  <w:footnote w:id="1500">
    <w:p w14:paraId="258F5D0C" w14:textId="77777777" w:rsidR="00B47FF5" w:rsidRDefault="00B47FF5" w:rsidP="00537CC8">
      <w:pPr>
        <w:pStyle w:val="FootnoteText"/>
      </w:pPr>
      <w:r>
        <w:rPr>
          <w:rStyle w:val="FootnoteReference"/>
        </w:rPr>
        <w:footnoteRef/>
      </w:r>
      <w:r>
        <w:rPr>
          <w:rtl/>
        </w:rPr>
        <w:t xml:space="preserve"> </w:t>
      </w:r>
      <w:r w:rsidRPr="00574A4E">
        <w:t>Susan Fant</w:t>
      </w:r>
    </w:p>
  </w:footnote>
  <w:footnote w:id="1501">
    <w:p w14:paraId="07F156ED" w14:textId="77777777" w:rsidR="00B47FF5" w:rsidRDefault="00B47FF5" w:rsidP="00537CC8">
      <w:pPr>
        <w:pStyle w:val="FootnoteText"/>
      </w:pPr>
      <w:r>
        <w:rPr>
          <w:rStyle w:val="FootnoteReference"/>
        </w:rPr>
        <w:footnoteRef/>
      </w:r>
      <w:r>
        <w:rPr>
          <w:rtl/>
        </w:rPr>
        <w:t xml:space="preserve"> </w:t>
      </w:r>
      <w:r w:rsidRPr="001A7E5C">
        <w:t>Foresight Education and Research Network</w:t>
      </w:r>
    </w:p>
  </w:footnote>
  <w:footnote w:id="1502">
    <w:p w14:paraId="50A0731A" w14:textId="77777777" w:rsidR="00B47FF5" w:rsidRDefault="00B47FF5" w:rsidP="00537CC8">
      <w:pPr>
        <w:pStyle w:val="FootnoteText"/>
      </w:pPr>
      <w:r>
        <w:rPr>
          <w:rStyle w:val="FootnoteReference"/>
        </w:rPr>
        <w:footnoteRef/>
      </w:r>
      <w:r>
        <w:rPr>
          <w:rtl/>
        </w:rPr>
        <w:t xml:space="preserve"> </w:t>
      </w:r>
      <w:r w:rsidRPr="005A29D3">
        <w:t>Global Foresight discussion community</w:t>
      </w:r>
    </w:p>
  </w:footnote>
  <w:footnote w:id="1503">
    <w:p w14:paraId="366C7E58" w14:textId="77777777" w:rsidR="00B47FF5" w:rsidRDefault="00B47FF5" w:rsidP="00537CC8">
      <w:pPr>
        <w:pStyle w:val="FootnoteText"/>
      </w:pPr>
      <w:r>
        <w:rPr>
          <w:rStyle w:val="FootnoteReference"/>
        </w:rPr>
        <w:footnoteRef/>
      </w:r>
      <w:r>
        <w:rPr>
          <w:rtl/>
        </w:rPr>
        <w:t xml:space="preserve"> </w:t>
      </w:r>
      <w:r>
        <w:t>Foresight Careers</w:t>
      </w:r>
    </w:p>
  </w:footnote>
  <w:footnote w:id="1504">
    <w:p w14:paraId="7B37BDE6" w14:textId="77777777" w:rsidR="00B47FF5" w:rsidRDefault="00B47FF5" w:rsidP="00537CC8">
      <w:pPr>
        <w:pStyle w:val="FootnoteText"/>
      </w:pPr>
      <w:r>
        <w:rPr>
          <w:rStyle w:val="FootnoteReference"/>
        </w:rPr>
        <w:footnoteRef/>
      </w:r>
      <w:r>
        <w:rPr>
          <w:rtl/>
        </w:rPr>
        <w:t xml:space="preserve"> </w:t>
      </w:r>
      <w:r w:rsidRPr="00574A4E">
        <w:t>Earnest Rutherford</w:t>
      </w:r>
    </w:p>
  </w:footnote>
  <w:footnote w:id="1505">
    <w:p w14:paraId="247D08C8" w14:textId="1C6B493F" w:rsidR="00B47FF5" w:rsidRDefault="00B47FF5" w:rsidP="00537CC8">
      <w:pPr>
        <w:pStyle w:val="FootnoteText"/>
      </w:pPr>
      <w:r>
        <w:rPr>
          <w:rStyle w:val="FootnoteReference"/>
        </w:rPr>
        <w:footnoteRef/>
      </w:r>
      <w:r>
        <w:rPr>
          <w:rtl/>
        </w:rPr>
        <w:t xml:space="preserve"> </w:t>
      </w:r>
      <w:r>
        <w:t>Self-starter</w:t>
      </w:r>
    </w:p>
  </w:footnote>
  <w:footnote w:id="1506">
    <w:p w14:paraId="6BC6AD9B" w14:textId="77777777" w:rsidR="00B47FF5" w:rsidRDefault="00B47FF5" w:rsidP="00537CC8">
      <w:pPr>
        <w:pStyle w:val="FootnoteText"/>
      </w:pPr>
      <w:r>
        <w:rPr>
          <w:rStyle w:val="FootnoteReference"/>
        </w:rPr>
        <w:footnoteRef/>
      </w:r>
      <w:r>
        <w:rPr>
          <w:rtl/>
        </w:rPr>
        <w:t xml:space="preserve"> </w:t>
      </w:r>
      <w:r w:rsidRPr="00A00EFB">
        <w:t>Alvin Toffler</w:t>
      </w:r>
    </w:p>
  </w:footnote>
  <w:footnote w:id="1507">
    <w:p w14:paraId="3FFF020E" w14:textId="77777777" w:rsidR="00B47FF5" w:rsidRDefault="00B47FF5" w:rsidP="00537CC8">
      <w:pPr>
        <w:pStyle w:val="FootnoteText"/>
      </w:pPr>
      <w:r>
        <w:rPr>
          <w:rStyle w:val="FootnoteReference"/>
        </w:rPr>
        <w:footnoteRef/>
      </w:r>
      <w:r>
        <w:rPr>
          <w:rtl/>
        </w:rPr>
        <w:t xml:space="preserve"> </w:t>
      </w:r>
      <w:r>
        <w:t>Future Shock</w:t>
      </w:r>
    </w:p>
  </w:footnote>
  <w:footnote w:id="1508">
    <w:p w14:paraId="34FE988C" w14:textId="77777777" w:rsidR="00B47FF5" w:rsidRDefault="00B47FF5" w:rsidP="00537CC8">
      <w:pPr>
        <w:pStyle w:val="FootnoteText"/>
      </w:pPr>
      <w:r>
        <w:rPr>
          <w:rStyle w:val="FootnoteReference"/>
        </w:rPr>
        <w:footnoteRef/>
      </w:r>
      <w:r>
        <w:rPr>
          <w:rtl/>
        </w:rPr>
        <w:t xml:space="preserve"> </w:t>
      </w:r>
      <w:r w:rsidRPr="00CC5BF5">
        <w:t>Roy Amara</w:t>
      </w:r>
    </w:p>
  </w:footnote>
  <w:footnote w:id="1509">
    <w:p w14:paraId="262EF4F3" w14:textId="77777777" w:rsidR="00B47FF5" w:rsidRDefault="00B47FF5" w:rsidP="00537CC8">
      <w:pPr>
        <w:pStyle w:val="FootnoteText"/>
      </w:pPr>
      <w:r>
        <w:rPr>
          <w:rStyle w:val="FootnoteReference"/>
        </w:rPr>
        <w:footnoteRef/>
      </w:r>
      <w:r>
        <w:rPr>
          <w:rtl/>
        </w:rPr>
        <w:t xml:space="preserve"> </w:t>
      </w:r>
      <w:r w:rsidRPr="00A00EFB">
        <w:t>Art Shostak</w:t>
      </w:r>
    </w:p>
  </w:footnote>
  <w:footnote w:id="1510">
    <w:p w14:paraId="7277C9B1" w14:textId="77777777" w:rsidR="00B47FF5" w:rsidRDefault="00B47FF5" w:rsidP="00537CC8">
      <w:pPr>
        <w:pStyle w:val="FootnoteText"/>
      </w:pPr>
      <w:r>
        <w:rPr>
          <w:rStyle w:val="FootnoteReference"/>
        </w:rPr>
        <w:footnoteRef/>
      </w:r>
      <w:r>
        <w:rPr>
          <w:rtl/>
        </w:rPr>
        <w:t xml:space="preserve"> </w:t>
      </w:r>
      <w:r w:rsidRPr="00A00EFB">
        <w:t>Hal Linstone</w:t>
      </w:r>
    </w:p>
  </w:footnote>
  <w:footnote w:id="1511">
    <w:p w14:paraId="78818D13" w14:textId="77777777" w:rsidR="00B47FF5" w:rsidRDefault="00B47FF5" w:rsidP="00537CC8">
      <w:pPr>
        <w:pStyle w:val="FootnoteText"/>
      </w:pPr>
      <w:r>
        <w:rPr>
          <w:rStyle w:val="FootnoteReference"/>
        </w:rPr>
        <w:footnoteRef/>
      </w:r>
      <w:r>
        <w:rPr>
          <w:rtl/>
        </w:rPr>
        <w:t xml:space="preserve"> </w:t>
      </w:r>
      <w:r w:rsidRPr="00E63757">
        <w:t>Multiple</w:t>
      </w:r>
      <w:r>
        <w:t xml:space="preserve"> </w:t>
      </w:r>
      <w:r w:rsidRPr="00E63757">
        <w:t>Perspectives for Decisionmaking</w:t>
      </w:r>
    </w:p>
  </w:footnote>
  <w:footnote w:id="1512">
    <w:p w14:paraId="1D0E02D2" w14:textId="77777777" w:rsidR="00B47FF5" w:rsidRDefault="00B47FF5" w:rsidP="00537CC8">
      <w:pPr>
        <w:pStyle w:val="FootnoteText"/>
      </w:pPr>
      <w:r>
        <w:rPr>
          <w:rStyle w:val="FootnoteReference"/>
        </w:rPr>
        <w:footnoteRef/>
      </w:r>
      <w:r>
        <w:rPr>
          <w:rtl/>
        </w:rPr>
        <w:t xml:space="preserve"> </w:t>
      </w:r>
      <w:r w:rsidRPr="00E13DEC">
        <w:t>Technological Forecasting &amp; Social Change</w:t>
      </w:r>
    </w:p>
  </w:footnote>
  <w:footnote w:id="1513">
    <w:p w14:paraId="3D8F01F0" w14:textId="77777777" w:rsidR="00B47FF5" w:rsidRDefault="00B47FF5" w:rsidP="00537CC8">
      <w:pPr>
        <w:pStyle w:val="FootnoteText"/>
      </w:pPr>
      <w:r>
        <w:rPr>
          <w:rStyle w:val="FootnoteReference"/>
        </w:rPr>
        <w:footnoteRef/>
      </w:r>
      <w:r>
        <w:rPr>
          <w:rtl/>
        </w:rPr>
        <w:t xml:space="preserve"> </w:t>
      </w:r>
      <w:r w:rsidRPr="00A00EFB">
        <w:t>Gross</w:t>
      </w:r>
    </w:p>
  </w:footnote>
  <w:footnote w:id="1514">
    <w:p w14:paraId="324A3140" w14:textId="77777777" w:rsidR="00B47FF5" w:rsidRDefault="00B47FF5" w:rsidP="00537CC8">
      <w:pPr>
        <w:pStyle w:val="FootnoteText"/>
      </w:pPr>
      <w:r>
        <w:rPr>
          <w:rStyle w:val="FootnoteReference"/>
        </w:rPr>
        <w:footnoteRef/>
      </w:r>
      <w:r>
        <w:rPr>
          <w:rtl/>
        </w:rPr>
        <w:t xml:space="preserve"> </w:t>
      </w:r>
      <w:r w:rsidRPr="00A00EFB">
        <w:t>Singh</w:t>
      </w:r>
    </w:p>
  </w:footnote>
  <w:footnote w:id="1515">
    <w:p w14:paraId="63502EA7" w14:textId="77777777" w:rsidR="00B47FF5" w:rsidRDefault="00B47FF5" w:rsidP="00537CC8">
      <w:pPr>
        <w:pStyle w:val="FootnoteText"/>
      </w:pPr>
      <w:r>
        <w:rPr>
          <w:rStyle w:val="FootnoteReference"/>
        </w:rPr>
        <w:footnoteRef/>
      </w:r>
      <w:r>
        <w:rPr>
          <w:rtl/>
        </w:rPr>
        <w:t xml:space="preserve"> </w:t>
      </w:r>
      <w:r>
        <w:t>Adventures in Learning</w:t>
      </w:r>
    </w:p>
  </w:footnote>
  <w:footnote w:id="1516">
    <w:p w14:paraId="161AA4AC" w14:textId="77777777" w:rsidR="00B47FF5" w:rsidRDefault="00B47FF5" w:rsidP="00537CC8">
      <w:pPr>
        <w:pStyle w:val="FootnoteText"/>
      </w:pPr>
      <w:r>
        <w:rPr>
          <w:rStyle w:val="FootnoteReference"/>
        </w:rPr>
        <w:footnoteRef/>
      </w:r>
      <w:r>
        <w:rPr>
          <w:rtl/>
        </w:rPr>
        <w:t xml:space="preserve"> </w:t>
      </w:r>
      <w:r w:rsidRPr="00E13DEC">
        <w:t>Laissez-faire</w:t>
      </w:r>
    </w:p>
  </w:footnote>
  <w:footnote w:id="1517">
    <w:p w14:paraId="172C1275" w14:textId="77777777" w:rsidR="00B47FF5" w:rsidRDefault="00B47FF5" w:rsidP="00537CC8">
      <w:pPr>
        <w:pStyle w:val="FootnoteText"/>
      </w:pPr>
      <w:r>
        <w:rPr>
          <w:rStyle w:val="FootnoteReference"/>
        </w:rPr>
        <w:footnoteRef/>
      </w:r>
      <w:r>
        <w:rPr>
          <w:rtl/>
        </w:rPr>
        <w:t xml:space="preserve"> </w:t>
      </w:r>
      <w:r w:rsidRPr="00E13DEC">
        <w:t>Authoritarian</w:t>
      </w:r>
    </w:p>
  </w:footnote>
  <w:footnote w:id="1518">
    <w:p w14:paraId="10CCE048" w14:textId="77777777" w:rsidR="00B47FF5" w:rsidRDefault="00B47FF5" w:rsidP="00537CC8">
      <w:pPr>
        <w:pStyle w:val="FootnoteText"/>
      </w:pPr>
      <w:r>
        <w:rPr>
          <w:rStyle w:val="FootnoteReference"/>
        </w:rPr>
        <w:footnoteRef/>
      </w:r>
      <w:r>
        <w:rPr>
          <w:rtl/>
        </w:rPr>
        <w:t xml:space="preserve"> </w:t>
      </w:r>
      <w:r w:rsidRPr="00A00EFB">
        <w:t>Stan Salthe</w:t>
      </w:r>
    </w:p>
  </w:footnote>
  <w:footnote w:id="1519">
    <w:p w14:paraId="1EC4F277" w14:textId="77777777" w:rsidR="00B47FF5" w:rsidRDefault="00B47FF5" w:rsidP="00537CC8">
      <w:pPr>
        <w:pStyle w:val="FootnoteText"/>
      </w:pPr>
      <w:r>
        <w:rPr>
          <w:rStyle w:val="FootnoteReference"/>
        </w:rPr>
        <w:footnoteRef/>
      </w:r>
      <w:r>
        <w:rPr>
          <w:rtl/>
        </w:rPr>
        <w:t xml:space="preserve"> </w:t>
      </w:r>
      <w:r w:rsidRPr="00A00EFB">
        <w:t>Eva Jablonka</w:t>
      </w:r>
    </w:p>
  </w:footnote>
  <w:footnote w:id="1520">
    <w:p w14:paraId="04967D93" w14:textId="77777777" w:rsidR="00B47FF5" w:rsidRDefault="00B47FF5" w:rsidP="00537CC8">
      <w:pPr>
        <w:pStyle w:val="FootnoteText"/>
      </w:pPr>
      <w:r>
        <w:rPr>
          <w:rStyle w:val="FootnoteReference"/>
        </w:rPr>
        <w:footnoteRef/>
      </w:r>
      <w:r>
        <w:rPr>
          <w:rtl/>
        </w:rPr>
        <w:t xml:space="preserve"> </w:t>
      </w:r>
      <w:r w:rsidRPr="00A00EFB">
        <w:t>Richard Reid</w:t>
      </w:r>
    </w:p>
  </w:footnote>
  <w:footnote w:id="1521">
    <w:p w14:paraId="1C5C28AD" w14:textId="77777777" w:rsidR="00B47FF5" w:rsidRDefault="00B47FF5" w:rsidP="00537CC8">
      <w:pPr>
        <w:pStyle w:val="FootnoteText"/>
      </w:pPr>
      <w:r>
        <w:rPr>
          <w:rStyle w:val="FootnoteReference"/>
        </w:rPr>
        <w:footnoteRef/>
      </w:r>
      <w:r>
        <w:rPr>
          <w:rtl/>
        </w:rPr>
        <w:t xml:space="preserve"> </w:t>
      </w:r>
      <w:r w:rsidRPr="00A00EFB">
        <w:t>Denis Noble</w:t>
      </w:r>
    </w:p>
  </w:footnote>
  <w:footnote w:id="1522">
    <w:p w14:paraId="16913823" w14:textId="3C7EAE55" w:rsidR="00B47FF5" w:rsidRDefault="00B47FF5" w:rsidP="00537CC8">
      <w:pPr>
        <w:pStyle w:val="FootnoteText"/>
      </w:pPr>
      <w:r>
        <w:rPr>
          <w:rStyle w:val="FootnoteReference"/>
        </w:rPr>
        <w:footnoteRef/>
      </w:r>
      <w:r>
        <w:rPr>
          <w:rtl/>
        </w:rPr>
        <w:t xml:space="preserve"> </w:t>
      </w:r>
      <w:r w:rsidRPr="009958B0">
        <w:t>Phenotype</w:t>
      </w:r>
    </w:p>
  </w:footnote>
  <w:footnote w:id="1523">
    <w:p w14:paraId="5C234E89" w14:textId="14012A6C" w:rsidR="00B47FF5" w:rsidRDefault="00B47FF5" w:rsidP="00537CC8">
      <w:pPr>
        <w:pStyle w:val="FootnoteText"/>
      </w:pPr>
      <w:r>
        <w:rPr>
          <w:rStyle w:val="FootnoteReference"/>
        </w:rPr>
        <w:footnoteRef/>
      </w:r>
      <w:r>
        <w:rPr>
          <w:rtl/>
        </w:rPr>
        <w:t xml:space="preserve"> </w:t>
      </w:r>
      <w:r>
        <w:t>Protective</w:t>
      </w:r>
    </w:p>
  </w:footnote>
  <w:footnote w:id="1524">
    <w:p w14:paraId="5188C3F9" w14:textId="23ED7980" w:rsidR="00B47FF5" w:rsidRDefault="00B47FF5" w:rsidP="00537CC8">
      <w:pPr>
        <w:pStyle w:val="FootnoteText"/>
      </w:pPr>
      <w:r>
        <w:rPr>
          <w:rStyle w:val="FootnoteReference"/>
        </w:rPr>
        <w:footnoteRef/>
      </w:r>
      <w:r>
        <w:rPr>
          <w:rtl/>
        </w:rPr>
        <w:t xml:space="preserve"> </w:t>
      </w:r>
      <w:r>
        <w:t>Self-Maintaining</w:t>
      </w:r>
    </w:p>
  </w:footnote>
  <w:footnote w:id="1525">
    <w:p w14:paraId="06D2F802" w14:textId="021DEDAA" w:rsidR="00B47FF5" w:rsidRDefault="00B47FF5" w:rsidP="00537CC8">
      <w:pPr>
        <w:pStyle w:val="FootnoteText"/>
      </w:pPr>
      <w:r>
        <w:rPr>
          <w:rStyle w:val="FootnoteReference"/>
        </w:rPr>
        <w:footnoteRef/>
      </w:r>
      <w:r>
        <w:rPr>
          <w:rtl/>
        </w:rPr>
        <w:t xml:space="preserve"> </w:t>
      </w:r>
      <w:r>
        <w:t>Self-reproducing</w:t>
      </w:r>
    </w:p>
  </w:footnote>
  <w:footnote w:id="1526">
    <w:p w14:paraId="66812251" w14:textId="3930E56B" w:rsidR="00B47FF5" w:rsidRDefault="00B47FF5" w:rsidP="00537CC8">
      <w:pPr>
        <w:pStyle w:val="FootnoteText"/>
      </w:pPr>
      <w:r>
        <w:rPr>
          <w:rStyle w:val="FootnoteReference"/>
        </w:rPr>
        <w:footnoteRef/>
      </w:r>
      <w:r>
        <w:rPr>
          <w:rtl/>
        </w:rPr>
        <w:t xml:space="preserve"> </w:t>
      </w:r>
      <w:r w:rsidRPr="00FD4C6B">
        <w:t>Networkism</w:t>
      </w:r>
    </w:p>
  </w:footnote>
  <w:footnote w:id="1527">
    <w:p w14:paraId="030E631C" w14:textId="77777777" w:rsidR="00B47FF5" w:rsidRDefault="00B47FF5" w:rsidP="00537CC8">
      <w:pPr>
        <w:pStyle w:val="FootnoteText"/>
      </w:pPr>
      <w:r>
        <w:rPr>
          <w:rStyle w:val="FootnoteReference"/>
        </w:rPr>
        <w:footnoteRef/>
      </w:r>
      <w:r>
        <w:rPr>
          <w:rtl/>
        </w:rPr>
        <w:t xml:space="preserve"> </w:t>
      </w:r>
      <w:r w:rsidRPr="00A00EFB">
        <w:t>Cesar Hidalgo</w:t>
      </w:r>
    </w:p>
  </w:footnote>
  <w:footnote w:id="1528">
    <w:p w14:paraId="59FCC8F1" w14:textId="214DA803" w:rsidR="00B47FF5" w:rsidRDefault="00B47FF5" w:rsidP="00537CC8">
      <w:pPr>
        <w:pStyle w:val="FootnoteText"/>
      </w:pPr>
      <w:r>
        <w:rPr>
          <w:rStyle w:val="FootnoteReference"/>
        </w:rPr>
        <w:footnoteRef/>
      </w:r>
      <w:r>
        <w:rPr>
          <w:rtl/>
        </w:rPr>
        <w:t xml:space="preserve"> </w:t>
      </w:r>
      <w:r>
        <w:t xml:space="preserve">Why </w:t>
      </w:r>
      <w:r w:rsidRPr="00F166B6">
        <w:t>Information Grows: The Evolution of Order from Atoms to Economies</w:t>
      </w:r>
    </w:p>
  </w:footnote>
  <w:footnote w:id="1529">
    <w:p w14:paraId="51B59FFE" w14:textId="77777777" w:rsidR="00B47FF5" w:rsidRDefault="00B47FF5" w:rsidP="00537CC8">
      <w:pPr>
        <w:pStyle w:val="FootnoteText"/>
      </w:pPr>
      <w:r>
        <w:rPr>
          <w:rStyle w:val="FootnoteReference"/>
        </w:rPr>
        <w:footnoteRef/>
      </w:r>
      <w:r>
        <w:rPr>
          <w:rtl/>
        </w:rPr>
        <w:t xml:space="preserve"> </w:t>
      </w:r>
      <w:r w:rsidRPr="00F166B6">
        <w:t>The Atlas of Economic Complexity</w:t>
      </w:r>
      <w:r>
        <w:t xml:space="preserve">: </w:t>
      </w:r>
      <w:r w:rsidRPr="00F166B6">
        <w:t>Mapping Paths to Prosperity</w:t>
      </w:r>
    </w:p>
  </w:footnote>
  <w:footnote w:id="1530">
    <w:p w14:paraId="3FC7A6F8" w14:textId="77777777" w:rsidR="00B47FF5" w:rsidRDefault="00B47FF5" w:rsidP="00537CC8">
      <w:pPr>
        <w:pStyle w:val="FootnoteText"/>
      </w:pPr>
      <w:r>
        <w:rPr>
          <w:rStyle w:val="FootnoteReference"/>
        </w:rPr>
        <w:footnoteRef/>
      </w:r>
      <w:r>
        <w:rPr>
          <w:rtl/>
        </w:rPr>
        <w:t xml:space="preserve"> </w:t>
      </w:r>
      <w:r>
        <w:t>Densification</w:t>
      </w:r>
    </w:p>
  </w:footnote>
  <w:footnote w:id="1531">
    <w:p w14:paraId="695D4DCF" w14:textId="77777777" w:rsidR="00B47FF5" w:rsidRDefault="00B47FF5" w:rsidP="00537CC8">
      <w:pPr>
        <w:pStyle w:val="FootnoteText"/>
      </w:pPr>
      <w:r>
        <w:rPr>
          <w:rStyle w:val="FootnoteReference"/>
        </w:rPr>
        <w:footnoteRef/>
      </w:r>
      <w:r>
        <w:rPr>
          <w:rtl/>
        </w:rPr>
        <w:t xml:space="preserve"> </w:t>
      </w:r>
      <w:r>
        <w:t>Dematerialization</w:t>
      </w:r>
    </w:p>
  </w:footnote>
  <w:footnote w:id="1532">
    <w:p w14:paraId="3B7EF69C" w14:textId="77777777" w:rsidR="00B47FF5" w:rsidRDefault="00B47FF5" w:rsidP="00537CC8">
      <w:pPr>
        <w:pStyle w:val="FootnoteText"/>
      </w:pPr>
      <w:r>
        <w:rPr>
          <w:rStyle w:val="FootnoteReference"/>
        </w:rPr>
        <w:footnoteRef/>
      </w:r>
      <w:r>
        <w:rPr>
          <w:rtl/>
        </w:rPr>
        <w:t xml:space="preserve"> </w:t>
      </w:r>
      <w:r w:rsidRPr="00BF2F8D">
        <w:t>Lifelike</w:t>
      </w:r>
    </w:p>
  </w:footnote>
  <w:footnote w:id="1533">
    <w:p w14:paraId="10C7948B" w14:textId="77777777" w:rsidR="00B47FF5" w:rsidRDefault="00B47FF5" w:rsidP="00537CC8">
      <w:pPr>
        <w:pStyle w:val="FootnoteText"/>
      </w:pPr>
      <w:r>
        <w:rPr>
          <w:rStyle w:val="FootnoteReference"/>
        </w:rPr>
        <w:footnoteRef/>
      </w:r>
      <w:r>
        <w:rPr>
          <w:rtl/>
        </w:rPr>
        <w:t xml:space="preserve"> </w:t>
      </w:r>
      <w:r w:rsidRPr="00A00EFB">
        <w:t>Santa Fe Institute</w:t>
      </w:r>
    </w:p>
  </w:footnote>
  <w:footnote w:id="1534">
    <w:p w14:paraId="539A521D" w14:textId="176538C9" w:rsidR="00B47FF5" w:rsidRDefault="00B47FF5" w:rsidP="00537CC8">
      <w:pPr>
        <w:pStyle w:val="FootnoteText"/>
      </w:pPr>
      <w:r>
        <w:rPr>
          <w:rStyle w:val="FootnoteReference"/>
        </w:rPr>
        <w:footnoteRef/>
      </w:r>
      <w:r>
        <w:rPr>
          <w:rtl/>
        </w:rPr>
        <w:t xml:space="preserve"> </w:t>
      </w:r>
      <w:r>
        <w:t>Conglomerates</w:t>
      </w:r>
    </w:p>
  </w:footnote>
  <w:footnote w:id="1535">
    <w:p w14:paraId="624D1686" w14:textId="3900D566" w:rsidR="00B47FF5" w:rsidRDefault="00B47FF5" w:rsidP="00537CC8">
      <w:pPr>
        <w:pStyle w:val="FootnoteText"/>
      </w:pPr>
      <w:r>
        <w:rPr>
          <w:rStyle w:val="FootnoteReference"/>
        </w:rPr>
        <w:footnoteRef/>
      </w:r>
      <w:r>
        <w:rPr>
          <w:rtl/>
        </w:rPr>
        <w:t xml:space="preserve"> </w:t>
      </w:r>
      <w:r>
        <w:t>Horizon scanning</w:t>
      </w:r>
    </w:p>
  </w:footnote>
  <w:footnote w:id="1536">
    <w:p w14:paraId="4265F36A" w14:textId="6BD7544D" w:rsidR="00B47FF5" w:rsidRDefault="00B47FF5" w:rsidP="00537CC8">
      <w:pPr>
        <w:pStyle w:val="FootnoteText"/>
      </w:pPr>
      <w:r>
        <w:rPr>
          <w:rStyle w:val="FootnoteReference"/>
        </w:rPr>
        <w:footnoteRef/>
      </w:r>
      <w:r>
        <w:rPr>
          <w:rtl/>
        </w:rPr>
        <w:t xml:space="preserve"> </w:t>
      </w:r>
      <w:r w:rsidRPr="00D77DEC">
        <w:t>Advising on bets</w:t>
      </w:r>
    </w:p>
  </w:footnote>
  <w:footnote w:id="1537">
    <w:p w14:paraId="5C37F017" w14:textId="77777777" w:rsidR="00B47FF5" w:rsidRDefault="00B47FF5" w:rsidP="00537CC8">
      <w:pPr>
        <w:pStyle w:val="FootnoteText"/>
      </w:pPr>
      <w:r>
        <w:rPr>
          <w:rStyle w:val="FootnoteReference"/>
        </w:rPr>
        <w:footnoteRef/>
      </w:r>
      <w:r>
        <w:rPr>
          <w:rtl/>
        </w:rPr>
        <w:t xml:space="preserve"> </w:t>
      </w:r>
      <w:r w:rsidRPr="00A00EFB">
        <w:t>Luke van der Laan</w:t>
      </w:r>
    </w:p>
  </w:footnote>
  <w:footnote w:id="1538">
    <w:p w14:paraId="6902803D" w14:textId="77777777" w:rsidR="00B47FF5" w:rsidRDefault="00B47FF5" w:rsidP="00537CC8">
      <w:pPr>
        <w:pStyle w:val="FootnoteText"/>
      </w:pPr>
      <w:r>
        <w:rPr>
          <w:rStyle w:val="FootnoteReference"/>
        </w:rPr>
        <w:footnoteRef/>
      </w:r>
      <w:r>
        <w:rPr>
          <w:rtl/>
        </w:rPr>
        <w:t xml:space="preserve"> </w:t>
      </w:r>
      <w:r w:rsidRPr="00A00EFB">
        <w:t>Richard Rumelt</w:t>
      </w:r>
    </w:p>
  </w:footnote>
  <w:footnote w:id="1539">
    <w:p w14:paraId="1FFE94DB" w14:textId="77777777" w:rsidR="00B47FF5" w:rsidRDefault="00B47FF5" w:rsidP="00537CC8">
      <w:pPr>
        <w:pStyle w:val="FootnoteText"/>
      </w:pPr>
      <w:r>
        <w:rPr>
          <w:rStyle w:val="FootnoteReference"/>
        </w:rPr>
        <w:footnoteRef/>
      </w:r>
      <w:r>
        <w:rPr>
          <w:rtl/>
        </w:rPr>
        <w:t xml:space="preserve"> </w:t>
      </w:r>
      <w:r w:rsidRPr="00341A76">
        <w:t>Good Strategy / Bad Strategy</w:t>
      </w:r>
    </w:p>
  </w:footnote>
  <w:footnote w:id="1540">
    <w:p w14:paraId="04A1503B" w14:textId="5C0E8A0D" w:rsidR="00B47FF5" w:rsidRDefault="00B47FF5" w:rsidP="00537CC8">
      <w:pPr>
        <w:pStyle w:val="FootnoteText"/>
      </w:pPr>
      <w:r>
        <w:rPr>
          <w:rStyle w:val="FootnoteReference"/>
        </w:rPr>
        <w:footnoteRef/>
      </w:r>
      <w:r>
        <w:rPr>
          <w:rtl/>
        </w:rPr>
        <w:t xml:space="preserve"> </w:t>
      </w:r>
      <w:r>
        <w:t>Convergence Mapping</w:t>
      </w:r>
    </w:p>
  </w:footnote>
  <w:footnote w:id="1541">
    <w:p w14:paraId="3B8FA387" w14:textId="1DABFE3E" w:rsidR="00B47FF5" w:rsidRDefault="00B47FF5" w:rsidP="00537CC8">
      <w:pPr>
        <w:pStyle w:val="FootnoteText"/>
      </w:pPr>
      <w:r>
        <w:rPr>
          <w:rStyle w:val="FootnoteReference"/>
        </w:rPr>
        <w:footnoteRef/>
      </w:r>
      <w:r>
        <w:rPr>
          <w:rtl/>
        </w:rPr>
        <w:t xml:space="preserve"> </w:t>
      </w:r>
      <w:r>
        <w:t>Cross-impact analysis</w:t>
      </w:r>
    </w:p>
  </w:footnote>
  <w:footnote w:id="1542">
    <w:p w14:paraId="10813F72" w14:textId="77777777" w:rsidR="00B47FF5" w:rsidRDefault="00B47FF5" w:rsidP="00537CC8">
      <w:pPr>
        <w:pStyle w:val="FootnoteText"/>
      </w:pPr>
      <w:r>
        <w:rPr>
          <w:rStyle w:val="FootnoteReference"/>
        </w:rPr>
        <w:footnoteRef/>
      </w:r>
      <w:r>
        <w:rPr>
          <w:rtl/>
        </w:rPr>
        <w:t xml:space="preserve"> </w:t>
      </w:r>
      <w:r w:rsidRPr="00B6546F">
        <w:t>Proof Points</w:t>
      </w:r>
    </w:p>
  </w:footnote>
  <w:footnote w:id="1543">
    <w:p w14:paraId="496BC43E" w14:textId="77777777" w:rsidR="00B47FF5" w:rsidRDefault="00B47FF5" w:rsidP="00537CC8">
      <w:pPr>
        <w:pStyle w:val="FootnoteText"/>
      </w:pPr>
      <w:r>
        <w:rPr>
          <w:rStyle w:val="FootnoteReference"/>
        </w:rPr>
        <w:footnoteRef/>
      </w:r>
      <w:r>
        <w:rPr>
          <w:rtl/>
        </w:rPr>
        <w:t xml:space="preserve"> </w:t>
      </w:r>
      <w:r>
        <w:t>Future Today Institute</w:t>
      </w:r>
    </w:p>
  </w:footnote>
  <w:footnote w:id="1544">
    <w:p w14:paraId="46545178" w14:textId="77777777" w:rsidR="00B47FF5" w:rsidRDefault="00B47FF5" w:rsidP="00537CC8">
      <w:pPr>
        <w:pStyle w:val="FootnoteText"/>
      </w:pPr>
      <w:r>
        <w:rPr>
          <w:rStyle w:val="FootnoteReference"/>
        </w:rPr>
        <w:footnoteRef/>
      </w:r>
      <w:r>
        <w:rPr>
          <w:rtl/>
        </w:rPr>
        <w:t xml:space="preserve"> </w:t>
      </w:r>
      <w:r w:rsidRPr="00A00EFB">
        <w:t>CompStat</w:t>
      </w:r>
    </w:p>
  </w:footnote>
  <w:footnote w:id="1545">
    <w:p w14:paraId="2BC6455B" w14:textId="77777777" w:rsidR="00B47FF5" w:rsidRDefault="00B47FF5" w:rsidP="00537CC8">
      <w:pPr>
        <w:pStyle w:val="FootnoteText"/>
      </w:pPr>
      <w:r>
        <w:rPr>
          <w:rStyle w:val="FootnoteReference"/>
        </w:rPr>
        <w:footnoteRef/>
      </w:r>
      <w:r>
        <w:rPr>
          <w:rtl/>
        </w:rPr>
        <w:t xml:space="preserve"> </w:t>
      </w:r>
      <w:r w:rsidRPr="00A00EFB">
        <w:t>Palantir</w:t>
      </w:r>
    </w:p>
  </w:footnote>
  <w:footnote w:id="1546">
    <w:p w14:paraId="705F88F3" w14:textId="77777777" w:rsidR="00B47FF5" w:rsidRDefault="00B47FF5" w:rsidP="00537CC8">
      <w:pPr>
        <w:pStyle w:val="FootnoteText"/>
      </w:pPr>
      <w:r>
        <w:rPr>
          <w:rStyle w:val="FootnoteReference"/>
        </w:rPr>
        <w:footnoteRef/>
      </w:r>
      <w:r>
        <w:rPr>
          <w:rtl/>
        </w:rPr>
        <w:t xml:space="preserve"> </w:t>
      </w:r>
      <w:r w:rsidRPr="00A00EFB">
        <w:t>Intellipedia</w:t>
      </w:r>
    </w:p>
  </w:footnote>
  <w:footnote w:id="1547">
    <w:p w14:paraId="1C15CAC4" w14:textId="77777777" w:rsidR="00B47FF5" w:rsidRDefault="00B47FF5" w:rsidP="00537CC8">
      <w:pPr>
        <w:pStyle w:val="FootnoteText"/>
      </w:pPr>
      <w:r>
        <w:rPr>
          <w:rStyle w:val="FootnoteReference"/>
        </w:rPr>
        <w:footnoteRef/>
      </w:r>
      <w:r>
        <w:rPr>
          <w:rtl/>
        </w:rPr>
        <w:t xml:space="preserve"> </w:t>
      </w:r>
      <w:r w:rsidRPr="00301099">
        <w:t>Charts of the Future</w:t>
      </w:r>
    </w:p>
  </w:footnote>
  <w:footnote w:id="1548">
    <w:p w14:paraId="0B1077AE" w14:textId="7FEC730C" w:rsidR="00B47FF5" w:rsidRDefault="00B47FF5" w:rsidP="00537CC8">
      <w:pPr>
        <w:pStyle w:val="FootnoteText"/>
      </w:pPr>
      <w:r>
        <w:rPr>
          <w:rStyle w:val="FootnoteReference"/>
        </w:rPr>
        <w:footnoteRef/>
      </w:r>
      <w:r>
        <w:rPr>
          <w:rtl/>
        </w:rPr>
        <w:t xml:space="preserve"> </w:t>
      </w:r>
      <w:r w:rsidRPr="008F3D16">
        <w:t>Intelligence-led policing</w:t>
      </w:r>
    </w:p>
  </w:footnote>
  <w:footnote w:id="1549">
    <w:p w14:paraId="11CC03B6" w14:textId="77777777" w:rsidR="00B47FF5" w:rsidRDefault="00B47FF5" w:rsidP="00537CC8">
      <w:pPr>
        <w:pStyle w:val="FootnoteText"/>
      </w:pPr>
      <w:r>
        <w:rPr>
          <w:rStyle w:val="FootnoteReference"/>
        </w:rPr>
        <w:footnoteRef/>
      </w:r>
      <w:r>
        <w:rPr>
          <w:rtl/>
        </w:rPr>
        <w:t xml:space="preserve"> </w:t>
      </w:r>
      <w:r w:rsidRPr="000310AB">
        <w:t>William Bratton</w:t>
      </w:r>
    </w:p>
  </w:footnote>
  <w:footnote w:id="1550">
    <w:p w14:paraId="5AB72B1E" w14:textId="6D94ACDF" w:rsidR="00B47FF5" w:rsidRDefault="00B47FF5" w:rsidP="00537CC8">
      <w:pPr>
        <w:pStyle w:val="FootnoteText"/>
      </w:pPr>
      <w:r>
        <w:rPr>
          <w:rStyle w:val="FootnoteReference"/>
        </w:rPr>
        <w:footnoteRef/>
      </w:r>
      <w:r>
        <w:rPr>
          <w:rtl/>
        </w:rPr>
        <w:t xml:space="preserve"> </w:t>
      </w:r>
      <w:r w:rsidRPr="008F3D16">
        <w:t>Broken Windows Theory</w:t>
      </w:r>
    </w:p>
  </w:footnote>
  <w:footnote w:id="1551">
    <w:p w14:paraId="3FFDFB1C" w14:textId="7D37F56B" w:rsidR="00B47FF5" w:rsidRDefault="00B47FF5" w:rsidP="00537CC8">
      <w:pPr>
        <w:pStyle w:val="FootnoteText"/>
      </w:pPr>
      <w:r>
        <w:rPr>
          <w:rStyle w:val="FootnoteReference"/>
        </w:rPr>
        <w:footnoteRef/>
      </w:r>
      <w:r>
        <w:rPr>
          <w:rtl/>
        </w:rPr>
        <w:t xml:space="preserve"> </w:t>
      </w:r>
      <w:r w:rsidRPr="00AE492C">
        <w:t>Self-congratulatory</w:t>
      </w:r>
    </w:p>
  </w:footnote>
  <w:footnote w:id="1552">
    <w:p w14:paraId="0D973984" w14:textId="77777777" w:rsidR="00B47FF5" w:rsidRDefault="00B47FF5" w:rsidP="00537CC8">
      <w:pPr>
        <w:pStyle w:val="FootnoteText"/>
      </w:pPr>
      <w:r>
        <w:rPr>
          <w:rStyle w:val="FootnoteReference"/>
        </w:rPr>
        <w:footnoteRef/>
      </w:r>
      <w:r>
        <w:rPr>
          <w:rtl/>
        </w:rPr>
        <w:t xml:space="preserve"> </w:t>
      </w:r>
      <w:r w:rsidRPr="00AE492C">
        <w:t>Turnaround</w:t>
      </w:r>
    </w:p>
  </w:footnote>
  <w:footnote w:id="1553">
    <w:p w14:paraId="7D863658" w14:textId="77777777" w:rsidR="00B47FF5" w:rsidRDefault="00B47FF5" w:rsidP="00537CC8">
      <w:pPr>
        <w:pStyle w:val="FootnoteText"/>
      </w:pPr>
      <w:r>
        <w:rPr>
          <w:rStyle w:val="FootnoteReference"/>
        </w:rPr>
        <w:footnoteRef/>
      </w:r>
      <w:r>
        <w:rPr>
          <w:rtl/>
        </w:rPr>
        <w:t xml:space="preserve"> </w:t>
      </w:r>
      <w:r w:rsidRPr="000310AB">
        <w:t>Knobler</w:t>
      </w:r>
    </w:p>
  </w:footnote>
  <w:footnote w:id="1554">
    <w:p w14:paraId="20DFD36B" w14:textId="77777777" w:rsidR="00B47FF5" w:rsidRDefault="00B47FF5" w:rsidP="00537CC8">
      <w:pPr>
        <w:pStyle w:val="FootnoteText"/>
      </w:pPr>
      <w:r>
        <w:rPr>
          <w:rStyle w:val="FootnoteReference"/>
        </w:rPr>
        <w:footnoteRef/>
      </w:r>
      <w:r>
        <w:rPr>
          <w:rtl/>
        </w:rPr>
        <w:t xml:space="preserve"> </w:t>
      </w:r>
      <w:r w:rsidRPr="00AE492C">
        <w:t>The Profession</w:t>
      </w:r>
    </w:p>
  </w:footnote>
  <w:footnote w:id="1555">
    <w:p w14:paraId="45BE76AE" w14:textId="310FBDA6" w:rsidR="00B47FF5" w:rsidRDefault="00B47FF5" w:rsidP="00537CC8">
      <w:pPr>
        <w:pStyle w:val="FootnoteText"/>
      </w:pPr>
      <w:r>
        <w:rPr>
          <w:rStyle w:val="FootnoteReference"/>
        </w:rPr>
        <w:footnoteRef/>
      </w:r>
      <w:r>
        <w:rPr>
          <w:rtl/>
        </w:rPr>
        <w:t xml:space="preserve"> </w:t>
      </w:r>
      <w:r>
        <w:t>Wiki</w:t>
      </w:r>
    </w:p>
  </w:footnote>
  <w:footnote w:id="1556">
    <w:p w14:paraId="36DBBDA4" w14:textId="77777777" w:rsidR="00B47FF5" w:rsidRDefault="00B47FF5" w:rsidP="00537CC8">
      <w:pPr>
        <w:pStyle w:val="FootnoteText"/>
      </w:pPr>
      <w:r>
        <w:rPr>
          <w:rStyle w:val="FootnoteReference"/>
        </w:rPr>
        <w:footnoteRef/>
      </w:r>
      <w:r>
        <w:rPr>
          <w:rtl/>
        </w:rPr>
        <w:t xml:space="preserve"> </w:t>
      </w:r>
      <w:r w:rsidRPr="00C6059A">
        <w:t>Intellipedia</w:t>
      </w:r>
    </w:p>
  </w:footnote>
  <w:footnote w:id="1557">
    <w:p w14:paraId="2706FA8C" w14:textId="77777777" w:rsidR="00B47FF5" w:rsidRDefault="00B47FF5" w:rsidP="00537CC8">
      <w:pPr>
        <w:pStyle w:val="FootnoteText"/>
      </w:pPr>
      <w:r>
        <w:rPr>
          <w:rStyle w:val="FootnoteReference"/>
        </w:rPr>
        <w:footnoteRef/>
      </w:r>
      <w:r>
        <w:rPr>
          <w:rtl/>
        </w:rPr>
        <w:t xml:space="preserve"> </w:t>
      </w:r>
      <w:r w:rsidRPr="000310AB">
        <w:t>Chris Rasmussen</w:t>
      </w:r>
    </w:p>
  </w:footnote>
  <w:footnote w:id="1558">
    <w:p w14:paraId="51C688A7" w14:textId="77777777" w:rsidR="00B47FF5" w:rsidRDefault="00B47FF5" w:rsidP="00537CC8">
      <w:pPr>
        <w:pStyle w:val="FootnoteText"/>
      </w:pPr>
      <w:r>
        <w:rPr>
          <w:rStyle w:val="FootnoteReference"/>
        </w:rPr>
        <w:footnoteRef/>
      </w:r>
      <w:r>
        <w:rPr>
          <w:rtl/>
        </w:rPr>
        <w:t xml:space="preserve"> </w:t>
      </w:r>
      <w:r>
        <w:t>Evidence-based management</w:t>
      </w:r>
    </w:p>
  </w:footnote>
  <w:footnote w:id="1559">
    <w:p w14:paraId="4875468F" w14:textId="77777777" w:rsidR="00B47FF5" w:rsidRPr="00940543" w:rsidRDefault="00B47FF5" w:rsidP="00537CC8">
      <w:pPr>
        <w:pStyle w:val="FootnoteText"/>
      </w:pPr>
      <w:r>
        <w:rPr>
          <w:rStyle w:val="FootnoteReference"/>
        </w:rPr>
        <w:footnoteRef/>
      </w:r>
      <w:r>
        <w:rPr>
          <w:rtl/>
        </w:rPr>
        <w:t xml:space="preserve"> </w:t>
      </w:r>
      <w:r w:rsidRPr="00940543">
        <w:t>The Intelligent Company</w:t>
      </w:r>
    </w:p>
  </w:footnote>
  <w:footnote w:id="1560">
    <w:p w14:paraId="5620B843" w14:textId="77777777" w:rsidR="00B47FF5" w:rsidRDefault="00B47FF5" w:rsidP="00537CC8">
      <w:pPr>
        <w:pStyle w:val="FootnoteText"/>
      </w:pPr>
      <w:r>
        <w:rPr>
          <w:rStyle w:val="FootnoteReference"/>
        </w:rPr>
        <w:footnoteRef/>
      </w:r>
      <w:r>
        <w:rPr>
          <w:rtl/>
        </w:rPr>
        <w:t xml:space="preserve"> </w:t>
      </w:r>
      <w:r w:rsidRPr="000310AB">
        <w:t>Marr</w:t>
      </w:r>
    </w:p>
  </w:footnote>
  <w:footnote w:id="1561">
    <w:p w14:paraId="4049B3CA" w14:textId="77777777" w:rsidR="00B47FF5" w:rsidRDefault="00B47FF5" w:rsidP="00537CC8">
      <w:pPr>
        <w:pStyle w:val="FootnoteText"/>
      </w:pPr>
      <w:r>
        <w:rPr>
          <w:rStyle w:val="FootnoteReference"/>
        </w:rPr>
        <w:footnoteRef/>
      </w:r>
      <w:r>
        <w:rPr>
          <w:rtl/>
        </w:rPr>
        <w:t xml:space="preserve"> </w:t>
      </w:r>
      <w:r w:rsidRPr="000310AB">
        <w:t>Davenport</w:t>
      </w:r>
    </w:p>
  </w:footnote>
  <w:footnote w:id="1562">
    <w:p w14:paraId="668310DE" w14:textId="77777777" w:rsidR="00B47FF5" w:rsidRDefault="00B47FF5" w:rsidP="00537CC8">
      <w:pPr>
        <w:pStyle w:val="FootnoteText"/>
      </w:pPr>
      <w:r>
        <w:rPr>
          <w:rStyle w:val="FootnoteReference"/>
        </w:rPr>
        <w:footnoteRef/>
      </w:r>
      <w:r>
        <w:rPr>
          <w:rtl/>
        </w:rPr>
        <w:t xml:space="preserve"> </w:t>
      </w:r>
      <w:r w:rsidRPr="00C01FA9">
        <w:t>Work Rules</w:t>
      </w:r>
      <w:r>
        <w:t>!</w:t>
      </w:r>
    </w:p>
  </w:footnote>
  <w:footnote w:id="1563">
    <w:p w14:paraId="4D2AEF3C" w14:textId="77777777" w:rsidR="00B47FF5" w:rsidRDefault="00B47FF5" w:rsidP="00537CC8">
      <w:pPr>
        <w:pStyle w:val="FootnoteText"/>
      </w:pPr>
      <w:r>
        <w:rPr>
          <w:rStyle w:val="FootnoteReference"/>
        </w:rPr>
        <w:footnoteRef/>
      </w:r>
      <w:r>
        <w:rPr>
          <w:rtl/>
        </w:rPr>
        <w:t xml:space="preserve"> </w:t>
      </w:r>
      <w:r w:rsidRPr="000310AB">
        <w:t>Lazlo Bock</w:t>
      </w:r>
    </w:p>
  </w:footnote>
  <w:footnote w:id="1564">
    <w:p w14:paraId="0328C1CB" w14:textId="77777777" w:rsidR="00B47FF5" w:rsidRDefault="00B47FF5" w:rsidP="00537CC8">
      <w:pPr>
        <w:pStyle w:val="FootnoteText"/>
      </w:pPr>
      <w:r>
        <w:rPr>
          <w:rStyle w:val="FootnoteReference"/>
        </w:rPr>
        <w:footnoteRef/>
      </w:r>
      <w:r>
        <w:rPr>
          <w:rtl/>
        </w:rPr>
        <w:t xml:space="preserve"> </w:t>
      </w:r>
      <w:r w:rsidRPr="000310AB">
        <w:t>Robert Cringely</w:t>
      </w:r>
    </w:p>
  </w:footnote>
  <w:footnote w:id="1565">
    <w:p w14:paraId="4D9F38ED" w14:textId="77777777" w:rsidR="00B47FF5" w:rsidRDefault="00B47FF5" w:rsidP="00537CC8">
      <w:pPr>
        <w:pStyle w:val="FootnoteText"/>
      </w:pPr>
      <w:r>
        <w:rPr>
          <w:rStyle w:val="FootnoteReference"/>
        </w:rPr>
        <w:footnoteRef/>
      </w:r>
      <w:r>
        <w:rPr>
          <w:rtl/>
        </w:rPr>
        <w:t xml:space="preserve"> </w:t>
      </w:r>
      <w:r w:rsidRPr="006C45FB">
        <w:t>The Decline and Fall of IBM</w:t>
      </w:r>
    </w:p>
  </w:footnote>
  <w:footnote w:id="1566">
    <w:p w14:paraId="7057AE12" w14:textId="77777777" w:rsidR="00B47FF5" w:rsidRDefault="00B47FF5" w:rsidP="00537CC8">
      <w:pPr>
        <w:pStyle w:val="FootnoteText"/>
      </w:pPr>
      <w:r>
        <w:rPr>
          <w:rStyle w:val="FootnoteReference"/>
        </w:rPr>
        <w:footnoteRef/>
      </w:r>
      <w:r>
        <w:rPr>
          <w:rtl/>
        </w:rPr>
        <w:t xml:space="preserve"> </w:t>
      </w:r>
      <w:r w:rsidRPr="00701FD8">
        <w:t>Hit Refresh</w:t>
      </w:r>
    </w:p>
  </w:footnote>
  <w:footnote w:id="1567">
    <w:p w14:paraId="6EBDCE70" w14:textId="77777777" w:rsidR="00B47FF5" w:rsidRDefault="00B47FF5" w:rsidP="00537CC8">
      <w:pPr>
        <w:pStyle w:val="FootnoteText"/>
      </w:pPr>
      <w:r>
        <w:rPr>
          <w:rStyle w:val="FootnoteReference"/>
        </w:rPr>
        <w:footnoteRef/>
      </w:r>
      <w:r>
        <w:rPr>
          <w:rtl/>
        </w:rPr>
        <w:t xml:space="preserve"> </w:t>
      </w:r>
      <w:r w:rsidRPr="000310AB">
        <w:t>Satya Nadella</w:t>
      </w:r>
    </w:p>
  </w:footnote>
  <w:footnote w:id="1568">
    <w:p w14:paraId="02A5A018" w14:textId="77777777" w:rsidR="00B47FF5" w:rsidRDefault="00B47FF5" w:rsidP="00537CC8">
      <w:pPr>
        <w:pStyle w:val="FootnoteText"/>
      </w:pPr>
      <w:r>
        <w:rPr>
          <w:rStyle w:val="FootnoteReference"/>
        </w:rPr>
        <w:footnoteRef/>
      </w:r>
      <w:r>
        <w:rPr>
          <w:rtl/>
        </w:rPr>
        <w:t xml:space="preserve"> </w:t>
      </w:r>
      <w:r w:rsidRPr="000310AB">
        <w:t>Verne</w:t>
      </w:r>
    </w:p>
  </w:footnote>
  <w:footnote w:id="1569">
    <w:p w14:paraId="26FB6082" w14:textId="77777777" w:rsidR="00B47FF5" w:rsidRDefault="00B47FF5" w:rsidP="00537CC8">
      <w:pPr>
        <w:pStyle w:val="FootnoteText"/>
      </w:pPr>
      <w:r>
        <w:rPr>
          <w:rStyle w:val="FootnoteReference"/>
        </w:rPr>
        <w:footnoteRef/>
      </w:r>
      <w:r>
        <w:rPr>
          <w:rtl/>
        </w:rPr>
        <w:t xml:space="preserve"> </w:t>
      </w:r>
      <w:r w:rsidRPr="000310AB">
        <w:t>Clarke</w:t>
      </w:r>
    </w:p>
  </w:footnote>
  <w:footnote w:id="1570">
    <w:p w14:paraId="14B22004" w14:textId="77777777" w:rsidR="00B47FF5" w:rsidRDefault="00B47FF5" w:rsidP="00537CC8">
      <w:pPr>
        <w:pStyle w:val="FootnoteText"/>
      </w:pPr>
      <w:r>
        <w:rPr>
          <w:rStyle w:val="FootnoteReference"/>
        </w:rPr>
        <w:footnoteRef/>
      </w:r>
      <w:r>
        <w:rPr>
          <w:rtl/>
        </w:rPr>
        <w:t xml:space="preserve"> </w:t>
      </w:r>
      <w:r w:rsidRPr="000310AB">
        <w:t>Kahn</w:t>
      </w:r>
    </w:p>
  </w:footnote>
  <w:footnote w:id="1571">
    <w:p w14:paraId="1082FA32" w14:textId="77777777" w:rsidR="00B47FF5" w:rsidRDefault="00B47FF5" w:rsidP="00537CC8">
      <w:pPr>
        <w:pStyle w:val="FootnoteText"/>
      </w:pPr>
      <w:r>
        <w:rPr>
          <w:rStyle w:val="FootnoteReference"/>
        </w:rPr>
        <w:footnoteRef/>
      </w:r>
      <w:r>
        <w:rPr>
          <w:rtl/>
        </w:rPr>
        <w:t xml:space="preserve"> </w:t>
      </w:r>
      <w:r w:rsidRPr="000310AB">
        <w:t>Kurzweil</w:t>
      </w:r>
    </w:p>
  </w:footnote>
  <w:footnote w:id="1572">
    <w:p w14:paraId="0BC5013F" w14:textId="77777777" w:rsidR="00B47FF5" w:rsidRDefault="00B47FF5" w:rsidP="00537CC8">
      <w:pPr>
        <w:pStyle w:val="FootnoteText"/>
      </w:pPr>
      <w:r>
        <w:rPr>
          <w:rStyle w:val="FootnoteReference"/>
        </w:rPr>
        <w:footnoteRef/>
      </w:r>
      <w:r>
        <w:rPr>
          <w:rtl/>
        </w:rPr>
        <w:t xml:space="preserve"> </w:t>
      </w:r>
      <w:r w:rsidRPr="000310AB">
        <w:t>Wells</w:t>
      </w:r>
    </w:p>
  </w:footnote>
  <w:footnote w:id="1573">
    <w:p w14:paraId="1FCD8064" w14:textId="77777777" w:rsidR="00B47FF5" w:rsidRDefault="00B47FF5" w:rsidP="00537CC8">
      <w:pPr>
        <w:pStyle w:val="FootnoteText"/>
      </w:pPr>
      <w:r>
        <w:rPr>
          <w:rStyle w:val="FootnoteReference"/>
        </w:rPr>
        <w:footnoteRef/>
      </w:r>
      <w:r>
        <w:rPr>
          <w:rtl/>
        </w:rPr>
        <w:t xml:space="preserve"> </w:t>
      </w:r>
      <w:r w:rsidRPr="000310AB">
        <w:t>Good Judgment Project</w:t>
      </w:r>
    </w:p>
  </w:footnote>
  <w:footnote w:id="1574">
    <w:p w14:paraId="29C34024" w14:textId="77777777" w:rsidR="00B47FF5" w:rsidRDefault="00B47FF5" w:rsidP="00537CC8">
      <w:pPr>
        <w:pStyle w:val="FootnoteText"/>
      </w:pPr>
      <w:r>
        <w:rPr>
          <w:rStyle w:val="FootnoteReference"/>
        </w:rPr>
        <w:footnoteRef/>
      </w:r>
      <w:r>
        <w:rPr>
          <w:rtl/>
        </w:rPr>
        <w:t xml:space="preserve"> </w:t>
      </w:r>
      <w:r w:rsidRPr="00AF5BD6">
        <w:t>Paris in the Twentieth Century</w:t>
      </w:r>
    </w:p>
  </w:footnote>
  <w:footnote w:id="1575">
    <w:p w14:paraId="42806751" w14:textId="77777777" w:rsidR="00B47FF5" w:rsidRDefault="00B47FF5" w:rsidP="00537CC8">
      <w:pPr>
        <w:pStyle w:val="FootnoteText"/>
      </w:pPr>
      <w:r>
        <w:rPr>
          <w:rStyle w:val="FootnoteReference"/>
        </w:rPr>
        <w:footnoteRef/>
      </w:r>
      <w:r>
        <w:rPr>
          <w:rtl/>
        </w:rPr>
        <w:t xml:space="preserve"> </w:t>
      </w:r>
      <w:r w:rsidRPr="00701FD8">
        <w:t>Jules Verne</w:t>
      </w:r>
    </w:p>
  </w:footnote>
  <w:footnote w:id="1576">
    <w:p w14:paraId="530857C8" w14:textId="77777777" w:rsidR="00B47FF5" w:rsidRDefault="00B47FF5" w:rsidP="00537CC8">
      <w:pPr>
        <w:pStyle w:val="FootnoteText"/>
      </w:pPr>
      <w:r>
        <w:rPr>
          <w:rStyle w:val="FootnoteReference"/>
        </w:rPr>
        <w:footnoteRef/>
      </w:r>
      <w:r>
        <w:rPr>
          <w:rtl/>
        </w:rPr>
        <w:t xml:space="preserve"> </w:t>
      </w:r>
      <w:r w:rsidRPr="003B49CF">
        <w:t>Anticipations: Of the Reaction of Mechanical</w:t>
      </w:r>
      <w:r>
        <w:t xml:space="preserve"> </w:t>
      </w:r>
      <w:r w:rsidRPr="003B49CF">
        <w:t>and Scientific Progress Upon Human Life and Thought</w:t>
      </w:r>
    </w:p>
  </w:footnote>
  <w:footnote w:id="1577">
    <w:p w14:paraId="021C66D5" w14:textId="77777777" w:rsidR="00B47FF5" w:rsidRDefault="00B47FF5" w:rsidP="00537CC8">
      <w:pPr>
        <w:pStyle w:val="FootnoteText"/>
      </w:pPr>
      <w:r>
        <w:rPr>
          <w:rStyle w:val="FootnoteReference"/>
        </w:rPr>
        <w:footnoteRef/>
      </w:r>
      <w:r>
        <w:rPr>
          <w:rtl/>
        </w:rPr>
        <w:t xml:space="preserve"> </w:t>
      </w:r>
      <w:r w:rsidRPr="00644D2A">
        <w:t>H.G Wells</w:t>
      </w:r>
    </w:p>
  </w:footnote>
  <w:footnote w:id="1578">
    <w:p w14:paraId="16A19E52" w14:textId="77777777" w:rsidR="00B47FF5" w:rsidRDefault="00B47FF5" w:rsidP="00537CC8">
      <w:pPr>
        <w:pStyle w:val="FootnoteText"/>
      </w:pPr>
      <w:r>
        <w:rPr>
          <w:rStyle w:val="FootnoteReference"/>
        </w:rPr>
        <w:footnoteRef/>
      </w:r>
      <w:r>
        <w:rPr>
          <w:rtl/>
        </w:rPr>
        <w:t xml:space="preserve"> </w:t>
      </w:r>
      <w:r w:rsidRPr="00C3415F">
        <w:t>Next Hundred Years, The Unfinished Business Of Science</w:t>
      </w:r>
    </w:p>
  </w:footnote>
  <w:footnote w:id="1579">
    <w:p w14:paraId="51437852" w14:textId="77777777" w:rsidR="00B47FF5" w:rsidRDefault="00B47FF5" w:rsidP="00537CC8">
      <w:pPr>
        <w:pStyle w:val="FootnoteText"/>
      </w:pPr>
      <w:r>
        <w:rPr>
          <w:rStyle w:val="FootnoteReference"/>
        </w:rPr>
        <w:footnoteRef/>
      </w:r>
      <w:r>
        <w:rPr>
          <w:rtl/>
        </w:rPr>
        <w:t xml:space="preserve"> </w:t>
      </w:r>
      <w:r w:rsidRPr="00644D2A">
        <w:t>Clifford Furnas</w:t>
      </w:r>
    </w:p>
  </w:footnote>
  <w:footnote w:id="1580">
    <w:p w14:paraId="246BCC0A" w14:textId="77777777" w:rsidR="00B47FF5" w:rsidRDefault="00B47FF5" w:rsidP="00537CC8">
      <w:pPr>
        <w:pStyle w:val="FootnoteText"/>
      </w:pPr>
      <w:r>
        <w:rPr>
          <w:rStyle w:val="FootnoteReference"/>
        </w:rPr>
        <w:footnoteRef/>
      </w:r>
      <w:r>
        <w:rPr>
          <w:rtl/>
        </w:rPr>
        <w:t xml:space="preserve"> </w:t>
      </w:r>
      <w:r w:rsidRPr="00644D2A">
        <w:t>Arthur C. Clarke</w:t>
      </w:r>
    </w:p>
  </w:footnote>
  <w:footnote w:id="1581">
    <w:p w14:paraId="567F64D6" w14:textId="369B0762" w:rsidR="00B47FF5" w:rsidRDefault="00B47FF5" w:rsidP="00537CC8">
      <w:pPr>
        <w:pStyle w:val="FootnoteText"/>
      </w:pPr>
      <w:r>
        <w:rPr>
          <w:rStyle w:val="FootnoteReference"/>
        </w:rPr>
        <w:footnoteRef/>
      </w:r>
      <w:r>
        <w:rPr>
          <w:rtl/>
        </w:rPr>
        <w:t xml:space="preserve"> </w:t>
      </w:r>
      <w:r w:rsidRPr="00AA2618">
        <w:t>Science popularizer</w:t>
      </w:r>
    </w:p>
  </w:footnote>
  <w:footnote w:id="1582">
    <w:p w14:paraId="704C5156" w14:textId="3731EF78" w:rsidR="00B47FF5" w:rsidRDefault="00B47FF5" w:rsidP="00537CC8">
      <w:pPr>
        <w:pStyle w:val="FootnoteText"/>
      </w:pPr>
      <w:r>
        <w:rPr>
          <w:rStyle w:val="FootnoteReference"/>
        </w:rPr>
        <w:footnoteRef/>
      </w:r>
      <w:r>
        <w:rPr>
          <w:rtl/>
        </w:rPr>
        <w:t xml:space="preserve"> </w:t>
      </w:r>
      <w:r>
        <w:t>Profiles of the Future</w:t>
      </w:r>
    </w:p>
  </w:footnote>
  <w:footnote w:id="1583">
    <w:p w14:paraId="3AD94A27" w14:textId="40292088" w:rsidR="00B47FF5" w:rsidRDefault="00B47FF5" w:rsidP="00537CC8">
      <w:pPr>
        <w:pStyle w:val="FootnoteText"/>
      </w:pPr>
      <w:r>
        <w:rPr>
          <w:rStyle w:val="FootnoteReference"/>
        </w:rPr>
        <w:footnoteRef/>
      </w:r>
      <w:r>
        <w:rPr>
          <w:rtl/>
        </w:rPr>
        <w:t xml:space="preserve"> </w:t>
      </w:r>
      <w:r w:rsidRPr="004E2C39">
        <w:t>Geosynchronous</w:t>
      </w:r>
    </w:p>
  </w:footnote>
  <w:footnote w:id="1584">
    <w:p w14:paraId="3CFE8206" w14:textId="77777777" w:rsidR="00B47FF5" w:rsidRDefault="00B47FF5" w:rsidP="00537CC8">
      <w:pPr>
        <w:pStyle w:val="FootnoteText"/>
      </w:pPr>
      <w:r>
        <w:rPr>
          <w:rStyle w:val="FootnoteReference"/>
        </w:rPr>
        <w:footnoteRef/>
      </w:r>
      <w:r>
        <w:rPr>
          <w:rtl/>
        </w:rPr>
        <w:t xml:space="preserve"> </w:t>
      </w:r>
      <w:r>
        <w:t>Wireless World</w:t>
      </w:r>
    </w:p>
  </w:footnote>
  <w:footnote w:id="1585">
    <w:p w14:paraId="0ACF0171" w14:textId="36661473" w:rsidR="00B47FF5" w:rsidRDefault="00B47FF5" w:rsidP="00537CC8">
      <w:pPr>
        <w:pStyle w:val="FootnoteText"/>
      </w:pPr>
      <w:r>
        <w:rPr>
          <w:rStyle w:val="FootnoteReference"/>
        </w:rPr>
        <w:footnoteRef/>
      </w:r>
      <w:r>
        <w:rPr>
          <w:rtl/>
        </w:rPr>
        <w:t xml:space="preserve"> </w:t>
      </w:r>
      <w:r>
        <w:t xml:space="preserve">2001: </w:t>
      </w:r>
      <w:r w:rsidRPr="00BE16DC">
        <w:t>A Space Odyssey</w:t>
      </w:r>
    </w:p>
  </w:footnote>
  <w:footnote w:id="1586">
    <w:p w14:paraId="4276F6AF" w14:textId="6C646532" w:rsidR="00B47FF5" w:rsidRDefault="00B47FF5" w:rsidP="00537CC8">
      <w:pPr>
        <w:pStyle w:val="FootnoteText"/>
      </w:pPr>
      <w:r>
        <w:rPr>
          <w:rStyle w:val="FootnoteReference"/>
        </w:rPr>
        <w:footnoteRef/>
      </w:r>
      <w:r>
        <w:rPr>
          <w:rtl/>
        </w:rPr>
        <w:t xml:space="preserve"> </w:t>
      </w:r>
      <w:r>
        <w:t>Sentinel Foresight</w:t>
      </w:r>
    </w:p>
  </w:footnote>
  <w:footnote w:id="1587">
    <w:p w14:paraId="68E27EF9" w14:textId="0E8B7302" w:rsidR="00B47FF5" w:rsidRDefault="00B47FF5" w:rsidP="00537CC8">
      <w:pPr>
        <w:pStyle w:val="FootnoteText"/>
      </w:pPr>
      <w:r>
        <w:rPr>
          <w:rStyle w:val="FootnoteReference"/>
        </w:rPr>
        <w:footnoteRef/>
      </w:r>
      <w:r>
        <w:rPr>
          <w:rtl/>
        </w:rPr>
        <w:t xml:space="preserve"> </w:t>
      </w:r>
      <w:r w:rsidRPr="00644D2A">
        <w:t>Polymathic</w:t>
      </w:r>
    </w:p>
  </w:footnote>
  <w:footnote w:id="1588">
    <w:p w14:paraId="542E09C5" w14:textId="7C30F785" w:rsidR="00B47FF5" w:rsidRDefault="00B47FF5" w:rsidP="00537CC8">
      <w:pPr>
        <w:pStyle w:val="FootnoteText"/>
      </w:pPr>
      <w:r>
        <w:rPr>
          <w:rStyle w:val="FootnoteReference"/>
        </w:rPr>
        <w:footnoteRef/>
      </w:r>
      <w:r>
        <w:rPr>
          <w:rtl/>
        </w:rPr>
        <w:t xml:space="preserve"> </w:t>
      </w:r>
      <w:r>
        <w:t>Genius Foresight</w:t>
      </w:r>
    </w:p>
  </w:footnote>
  <w:footnote w:id="1589">
    <w:p w14:paraId="0539B950" w14:textId="4B85C1A5" w:rsidR="00B47FF5" w:rsidRDefault="00B47FF5" w:rsidP="00537CC8">
      <w:pPr>
        <w:pStyle w:val="FootnoteText"/>
      </w:pPr>
      <w:r>
        <w:rPr>
          <w:rStyle w:val="FootnoteReference"/>
        </w:rPr>
        <w:footnoteRef/>
      </w:r>
      <w:r>
        <w:rPr>
          <w:rtl/>
        </w:rPr>
        <w:t xml:space="preserve"> </w:t>
      </w:r>
      <w:r w:rsidRPr="00644D2A">
        <w:t>Norbert Wiener</w:t>
      </w:r>
    </w:p>
  </w:footnote>
  <w:footnote w:id="1590">
    <w:p w14:paraId="1286F760" w14:textId="18BF9C54" w:rsidR="00B47FF5" w:rsidRDefault="00B47FF5" w:rsidP="00537CC8">
      <w:pPr>
        <w:pStyle w:val="FootnoteText"/>
      </w:pPr>
      <w:r>
        <w:rPr>
          <w:rStyle w:val="FootnoteReference"/>
        </w:rPr>
        <w:footnoteRef/>
      </w:r>
      <w:r>
        <w:rPr>
          <w:rtl/>
        </w:rPr>
        <w:t xml:space="preserve"> </w:t>
      </w:r>
      <w:r w:rsidRPr="00644D2A">
        <w:t>Herbert Simon</w:t>
      </w:r>
    </w:p>
  </w:footnote>
  <w:footnote w:id="1591">
    <w:p w14:paraId="5ECCD206" w14:textId="7D379E8B" w:rsidR="00B47FF5" w:rsidRDefault="00B47FF5" w:rsidP="00537CC8">
      <w:pPr>
        <w:pStyle w:val="FootnoteText"/>
      </w:pPr>
      <w:r>
        <w:rPr>
          <w:rStyle w:val="FootnoteReference"/>
        </w:rPr>
        <w:footnoteRef/>
      </w:r>
      <w:r>
        <w:rPr>
          <w:rtl/>
        </w:rPr>
        <w:t xml:space="preserve"> </w:t>
      </w:r>
      <w:r>
        <w:t>Fearless foresight</w:t>
      </w:r>
    </w:p>
  </w:footnote>
  <w:footnote w:id="1592">
    <w:p w14:paraId="72A21A33" w14:textId="001185DE" w:rsidR="00B47FF5" w:rsidRDefault="00B47FF5" w:rsidP="00537CC8">
      <w:pPr>
        <w:pStyle w:val="FootnoteText"/>
      </w:pPr>
      <w:r>
        <w:rPr>
          <w:rStyle w:val="FootnoteReference"/>
        </w:rPr>
        <w:footnoteRef/>
      </w:r>
      <w:r>
        <w:rPr>
          <w:rtl/>
        </w:rPr>
        <w:t xml:space="preserve"> </w:t>
      </w:r>
      <w:r>
        <w:t>Curve</w:t>
      </w:r>
    </w:p>
  </w:footnote>
  <w:footnote w:id="1593">
    <w:p w14:paraId="4FD4178E" w14:textId="77777777" w:rsidR="00B47FF5" w:rsidRDefault="00B47FF5" w:rsidP="00537CC8">
      <w:pPr>
        <w:pStyle w:val="FootnoteText"/>
      </w:pPr>
      <w:r>
        <w:rPr>
          <w:rStyle w:val="FootnoteReference"/>
        </w:rPr>
        <w:footnoteRef/>
      </w:r>
      <w:r>
        <w:rPr>
          <w:rtl/>
        </w:rPr>
        <w:t xml:space="preserve"> </w:t>
      </w:r>
      <w:r>
        <w:t>Merger hypothesis</w:t>
      </w:r>
    </w:p>
  </w:footnote>
  <w:footnote w:id="1594">
    <w:p w14:paraId="16987456" w14:textId="77777777" w:rsidR="00B47FF5" w:rsidRDefault="00B47FF5" w:rsidP="00537CC8">
      <w:pPr>
        <w:pStyle w:val="FootnoteText"/>
      </w:pPr>
      <w:r>
        <w:rPr>
          <w:rStyle w:val="FootnoteReference"/>
        </w:rPr>
        <w:footnoteRef/>
      </w:r>
      <w:r>
        <w:rPr>
          <w:rtl/>
        </w:rPr>
        <w:t xml:space="preserve"> </w:t>
      </w:r>
      <w:r w:rsidRPr="00C2795B">
        <w:t>Postbiological hypothesis</w:t>
      </w:r>
    </w:p>
  </w:footnote>
  <w:footnote w:id="1595">
    <w:p w14:paraId="71B3C13C" w14:textId="77777777" w:rsidR="00B47FF5" w:rsidRDefault="00B47FF5" w:rsidP="00537CC8">
      <w:pPr>
        <w:pStyle w:val="FootnoteText"/>
      </w:pPr>
      <w:r>
        <w:rPr>
          <w:rStyle w:val="FootnoteReference"/>
        </w:rPr>
        <w:footnoteRef/>
      </w:r>
      <w:r>
        <w:rPr>
          <w:rtl/>
        </w:rPr>
        <w:t xml:space="preserve"> </w:t>
      </w:r>
      <w:r w:rsidRPr="00FA7B82">
        <w:t>Roentgen</w:t>
      </w:r>
    </w:p>
  </w:footnote>
  <w:footnote w:id="1596">
    <w:p w14:paraId="18090B44" w14:textId="77777777" w:rsidR="00B47FF5" w:rsidRDefault="00B47FF5" w:rsidP="00537CC8">
      <w:pPr>
        <w:pStyle w:val="FootnoteText"/>
      </w:pPr>
      <w:r>
        <w:rPr>
          <w:rStyle w:val="FootnoteReference"/>
        </w:rPr>
        <w:footnoteRef/>
      </w:r>
      <w:r>
        <w:rPr>
          <w:rtl/>
        </w:rPr>
        <w:t xml:space="preserve"> </w:t>
      </w:r>
      <w:r w:rsidRPr="00FA7B82">
        <w:t>Inward Bound</w:t>
      </w:r>
    </w:p>
  </w:footnote>
  <w:footnote w:id="1597">
    <w:p w14:paraId="2E01FBE8" w14:textId="77777777" w:rsidR="00B47FF5" w:rsidRDefault="00B47FF5" w:rsidP="00537CC8">
      <w:pPr>
        <w:pStyle w:val="FootnoteText"/>
      </w:pPr>
      <w:r>
        <w:rPr>
          <w:rStyle w:val="FootnoteReference"/>
        </w:rPr>
        <w:footnoteRef/>
      </w:r>
      <w:r>
        <w:rPr>
          <w:rtl/>
        </w:rPr>
        <w:t xml:space="preserve"> </w:t>
      </w:r>
      <w:r w:rsidRPr="00644D2A">
        <w:t>Abraham Pais</w:t>
      </w:r>
    </w:p>
  </w:footnote>
  <w:footnote w:id="1598">
    <w:p w14:paraId="1D29C2B5" w14:textId="04AF8C00" w:rsidR="00B47FF5" w:rsidRDefault="00B47FF5" w:rsidP="00537CC8">
      <w:pPr>
        <w:pStyle w:val="FootnoteText"/>
      </w:pPr>
      <w:r>
        <w:rPr>
          <w:rStyle w:val="FootnoteReference"/>
        </w:rPr>
        <w:footnoteRef/>
      </w:r>
      <w:r>
        <w:rPr>
          <w:rtl/>
        </w:rPr>
        <w:t xml:space="preserve"> </w:t>
      </w:r>
      <w:r w:rsidRPr="00F634A1">
        <w:t>Teleportation</w:t>
      </w:r>
    </w:p>
  </w:footnote>
  <w:footnote w:id="1599">
    <w:p w14:paraId="661F61E8" w14:textId="77777777" w:rsidR="00B47FF5" w:rsidRDefault="00B47FF5" w:rsidP="00537CC8">
      <w:pPr>
        <w:pStyle w:val="FootnoteText"/>
      </w:pPr>
      <w:r>
        <w:rPr>
          <w:rStyle w:val="FootnoteReference"/>
        </w:rPr>
        <w:footnoteRef/>
      </w:r>
      <w:r>
        <w:rPr>
          <w:rtl/>
        </w:rPr>
        <w:t xml:space="preserve"> </w:t>
      </w:r>
      <w:r w:rsidRPr="00F634A1">
        <w:t>The End of Science</w:t>
      </w:r>
    </w:p>
  </w:footnote>
  <w:footnote w:id="1600">
    <w:p w14:paraId="5CFBFE69" w14:textId="77777777" w:rsidR="00B47FF5" w:rsidRDefault="00B47FF5" w:rsidP="00537CC8">
      <w:pPr>
        <w:pStyle w:val="FootnoteText"/>
      </w:pPr>
      <w:r>
        <w:rPr>
          <w:rStyle w:val="FootnoteReference"/>
        </w:rPr>
        <w:footnoteRef/>
      </w:r>
      <w:r>
        <w:rPr>
          <w:rtl/>
        </w:rPr>
        <w:t xml:space="preserve"> </w:t>
      </w:r>
      <w:r w:rsidRPr="00644D2A">
        <w:t>Werner Heisenberg</w:t>
      </w:r>
    </w:p>
  </w:footnote>
  <w:footnote w:id="1601">
    <w:p w14:paraId="4A5BE905" w14:textId="77777777" w:rsidR="00B47FF5" w:rsidRDefault="00B47FF5" w:rsidP="00537CC8">
      <w:pPr>
        <w:pStyle w:val="FootnoteText"/>
      </w:pPr>
      <w:r>
        <w:rPr>
          <w:rStyle w:val="FootnoteReference"/>
        </w:rPr>
        <w:footnoteRef/>
      </w:r>
      <w:r>
        <w:rPr>
          <w:rtl/>
        </w:rPr>
        <w:t xml:space="preserve"> </w:t>
      </w:r>
      <w:r w:rsidRPr="00F634A1">
        <w:t>Limits of Biology</w:t>
      </w:r>
    </w:p>
  </w:footnote>
  <w:footnote w:id="1602">
    <w:p w14:paraId="43074DB7" w14:textId="0FCC527C" w:rsidR="00B47FF5" w:rsidRDefault="00B47FF5" w:rsidP="00537CC8">
      <w:pPr>
        <w:pStyle w:val="FootnoteText"/>
      </w:pPr>
      <w:r>
        <w:rPr>
          <w:rStyle w:val="FootnoteReference"/>
        </w:rPr>
        <w:footnoteRef/>
      </w:r>
      <w:r>
        <w:rPr>
          <w:rtl/>
        </w:rPr>
        <w:t xml:space="preserve"> </w:t>
      </w:r>
      <w:r>
        <w:t>Adjacent</w:t>
      </w:r>
    </w:p>
  </w:footnote>
  <w:footnote w:id="1603">
    <w:p w14:paraId="0A3D4AB6" w14:textId="7F9FF4C4" w:rsidR="00B47FF5" w:rsidRDefault="00B47FF5" w:rsidP="00537CC8">
      <w:pPr>
        <w:pStyle w:val="FootnoteText"/>
      </w:pPr>
      <w:r>
        <w:rPr>
          <w:rStyle w:val="FootnoteReference"/>
        </w:rPr>
        <w:footnoteRef/>
      </w:r>
      <w:r>
        <w:rPr>
          <w:rtl/>
        </w:rPr>
        <w:t xml:space="preserve"> </w:t>
      </w:r>
      <w:r>
        <w:t>Biosphere</w:t>
      </w:r>
    </w:p>
  </w:footnote>
  <w:footnote w:id="1604">
    <w:p w14:paraId="6C67EACD" w14:textId="77777777" w:rsidR="00B47FF5" w:rsidRDefault="00B47FF5" w:rsidP="00537CC8">
      <w:pPr>
        <w:pStyle w:val="FootnoteText"/>
      </w:pPr>
      <w:r>
        <w:rPr>
          <w:rStyle w:val="FootnoteReference"/>
        </w:rPr>
        <w:footnoteRef/>
      </w:r>
      <w:r>
        <w:rPr>
          <w:rtl/>
        </w:rPr>
        <w:t xml:space="preserve"> </w:t>
      </w:r>
      <w:r w:rsidRPr="00644D2A">
        <w:t>Hudson</w:t>
      </w:r>
    </w:p>
  </w:footnote>
  <w:footnote w:id="1605">
    <w:p w14:paraId="69A7ADA3" w14:textId="77777777" w:rsidR="00B47FF5" w:rsidRDefault="00B47FF5" w:rsidP="00537CC8">
      <w:pPr>
        <w:pStyle w:val="FootnoteText"/>
      </w:pPr>
      <w:r>
        <w:rPr>
          <w:rStyle w:val="FootnoteReference"/>
        </w:rPr>
        <w:footnoteRef/>
      </w:r>
      <w:r>
        <w:rPr>
          <w:rtl/>
        </w:rPr>
        <w:t xml:space="preserve"> </w:t>
      </w:r>
      <w:r w:rsidRPr="00B962F8">
        <w:t>The Year 2000: A</w:t>
      </w:r>
      <w:r>
        <w:t xml:space="preserve"> </w:t>
      </w:r>
      <w:r w:rsidRPr="00B962F8">
        <w:t>Framework for Speculation on the Next Thirty-Three Years</w:t>
      </w:r>
    </w:p>
  </w:footnote>
  <w:footnote w:id="1606">
    <w:p w14:paraId="60BD2718" w14:textId="77777777" w:rsidR="00B47FF5" w:rsidRDefault="00B47FF5" w:rsidP="00537CC8">
      <w:pPr>
        <w:pStyle w:val="FootnoteText"/>
      </w:pPr>
      <w:r>
        <w:rPr>
          <w:rStyle w:val="FootnoteReference"/>
        </w:rPr>
        <w:footnoteRef/>
      </w:r>
      <w:r>
        <w:rPr>
          <w:rtl/>
        </w:rPr>
        <w:t xml:space="preserve"> </w:t>
      </w:r>
      <w:r w:rsidRPr="00644D2A">
        <w:t>Anthony Weiner</w:t>
      </w:r>
    </w:p>
  </w:footnote>
  <w:footnote w:id="1607">
    <w:p w14:paraId="5391BE9A" w14:textId="77777777" w:rsidR="00B47FF5" w:rsidRDefault="00B47FF5" w:rsidP="00537CC8">
      <w:pPr>
        <w:pStyle w:val="FootnoteText"/>
      </w:pPr>
      <w:r>
        <w:rPr>
          <w:rStyle w:val="FootnoteReference"/>
        </w:rPr>
        <w:footnoteRef/>
      </w:r>
      <w:r>
        <w:rPr>
          <w:rtl/>
        </w:rPr>
        <w:t xml:space="preserve"> </w:t>
      </w:r>
      <w:r w:rsidRPr="00644D2A">
        <w:t>Richard Albright</w:t>
      </w:r>
    </w:p>
  </w:footnote>
  <w:footnote w:id="1608">
    <w:p w14:paraId="1949EF97" w14:textId="77777777" w:rsidR="00B47FF5" w:rsidRDefault="00B47FF5" w:rsidP="00537CC8">
      <w:pPr>
        <w:pStyle w:val="FootnoteText"/>
      </w:pPr>
      <w:r>
        <w:rPr>
          <w:rStyle w:val="FootnoteReference"/>
        </w:rPr>
        <w:footnoteRef/>
      </w:r>
      <w:r>
        <w:rPr>
          <w:rtl/>
        </w:rPr>
        <w:t xml:space="preserve"> </w:t>
      </w:r>
      <w:r w:rsidRPr="008F45D4">
        <w:t>What Can Past Technology Forecasts</w:t>
      </w:r>
      <w:r>
        <w:t xml:space="preserve"> </w:t>
      </w:r>
      <w:r w:rsidRPr="008F45D4">
        <w:t>Tell Us about the Future?</w:t>
      </w:r>
    </w:p>
  </w:footnote>
  <w:footnote w:id="1609">
    <w:p w14:paraId="44793EEF" w14:textId="77777777" w:rsidR="00B47FF5" w:rsidRDefault="00B47FF5" w:rsidP="00537CC8">
      <w:pPr>
        <w:pStyle w:val="FootnoteText"/>
      </w:pPr>
      <w:r>
        <w:rPr>
          <w:rStyle w:val="FootnoteReference"/>
        </w:rPr>
        <w:footnoteRef/>
      </w:r>
      <w:r>
        <w:rPr>
          <w:rtl/>
        </w:rPr>
        <w:t xml:space="preserve"> </w:t>
      </w:r>
      <w:r w:rsidRPr="00E31CAA">
        <w:t>Tech Forecasting &amp; Social Change</w:t>
      </w:r>
    </w:p>
  </w:footnote>
  <w:footnote w:id="1610">
    <w:p w14:paraId="7A7030CF" w14:textId="77777777" w:rsidR="00B47FF5" w:rsidRDefault="00B47FF5" w:rsidP="00537CC8">
      <w:pPr>
        <w:pStyle w:val="FootnoteText"/>
      </w:pPr>
      <w:r>
        <w:rPr>
          <w:rStyle w:val="FootnoteReference"/>
        </w:rPr>
        <w:footnoteRef/>
      </w:r>
      <w:r>
        <w:rPr>
          <w:rtl/>
        </w:rPr>
        <w:t xml:space="preserve"> </w:t>
      </w:r>
      <w:r>
        <w:t>The Year 2000</w:t>
      </w:r>
    </w:p>
  </w:footnote>
  <w:footnote w:id="1611">
    <w:p w14:paraId="3D0D7B2C" w14:textId="1C7211CD" w:rsidR="00B47FF5" w:rsidRDefault="00B47FF5" w:rsidP="00537CC8">
      <w:pPr>
        <w:pStyle w:val="FootnoteText"/>
      </w:pPr>
      <w:r>
        <w:rPr>
          <w:rStyle w:val="FootnoteReference"/>
        </w:rPr>
        <w:footnoteRef/>
      </w:r>
      <w:r>
        <w:rPr>
          <w:rtl/>
        </w:rPr>
        <w:t xml:space="preserve"> </w:t>
      </w:r>
      <w:r>
        <w:t>Edge computing</w:t>
      </w:r>
    </w:p>
  </w:footnote>
  <w:footnote w:id="1612">
    <w:p w14:paraId="493B1822" w14:textId="77777777" w:rsidR="00B47FF5" w:rsidRDefault="00B47FF5" w:rsidP="00537CC8">
      <w:pPr>
        <w:pStyle w:val="FootnoteText"/>
      </w:pPr>
      <w:r>
        <w:rPr>
          <w:rStyle w:val="FootnoteReference"/>
        </w:rPr>
        <w:footnoteRef/>
      </w:r>
      <w:r>
        <w:rPr>
          <w:rtl/>
        </w:rPr>
        <w:t xml:space="preserve"> </w:t>
      </w:r>
      <w:r w:rsidRPr="00644D2A">
        <w:t>Weiner</w:t>
      </w:r>
    </w:p>
  </w:footnote>
  <w:footnote w:id="1613">
    <w:p w14:paraId="6A5D3F62" w14:textId="54E512AD" w:rsidR="00E03473" w:rsidRDefault="00E03473">
      <w:pPr>
        <w:pStyle w:val="FootnoteText"/>
        <w:rPr>
          <w:rtl/>
        </w:rPr>
      </w:pPr>
      <w:r>
        <w:rPr>
          <w:rStyle w:val="FootnoteReference"/>
        </w:rPr>
        <w:footnoteRef/>
      </w:r>
      <w:r>
        <w:t xml:space="preserve"> </w:t>
      </w:r>
      <w:r w:rsidRPr="00E03473">
        <w:t>bewildering speed of technological doubling</w:t>
      </w:r>
    </w:p>
  </w:footnote>
  <w:footnote w:id="1614">
    <w:p w14:paraId="7B199F53" w14:textId="77777777" w:rsidR="00B47FF5" w:rsidRDefault="00B47FF5" w:rsidP="00537CC8">
      <w:pPr>
        <w:pStyle w:val="FootnoteText"/>
      </w:pPr>
      <w:r>
        <w:rPr>
          <w:rStyle w:val="FootnoteReference"/>
        </w:rPr>
        <w:footnoteRef/>
      </w:r>
      <w:r>
        <w:rPr>
          <w:rtl/>
        </w:rPr>
        <w:t xml:space="preserve"> </w:t>
      </w:r>
      <w:r w:rsidRPr="00644D2A">
        <w:t>Moor</w:t>
      </w:r>
    </w:p>
  </w:footnote>
  <w:footnote w:id="1615">
    <w:p w14:paraId="21021E3A" w14:textId="77777777" w:rsidR="00B47FF5" w:rsidRDefault="00B47FF5" w:rsidP="00537CC8">
      <w:pPr>
        <w:pStyle w:val="FootnoteText"/>
      </w:pPr>
      <w:r>
        <w:rPr>
          <w:rStyle w:val="FootnoteReference"/>
        </w:rPr>
        <w:footnoteRef/>
      </w:r>
      <w:r>
        <w:rPr>
          <w:rtl/>
        </w:rPr>
        <w:t xml:space="preserve"> </w:t>
      </w:r>
      <w:r w:rsidRPr="00644D2A">
        <w:t>Alvin Toffler</w:t>
      </w:r>
    </w:p>
  </w:footnote>
  <w:footnote w:id="1616">
    <w:p w14:paraId="694E6046" w14:textId="77777777" w:rsidR="00B47FF5" w:rsidRDefault="00B47FF5" w:rsidP="00537CC8">
      <w:pPr>
        <w:pStyle w:val="FootnoteText"/>
      </w:pPr>
      <w:r>
        <w:rPr>
          <w:rStyle w:val="FootnoteReference"/>
        </w:rPr>
        <w:footnoteRef/>
      </w:r>
      <w:r>
        <w:rPr>
          <w:rtl/>
        </w:rPr>
        <w:t xml:space="preserve"> </w:t>
      </w:r>
      <w:r w:rsidRPr="002E357A">
        <w:t>Future Shock</w:t>
      </w:r>
    </w:p>
  </w:footnote>
  <w:footnote w:id="1617">
    <w:p w14:paraId="7ED04906" w14:textId="77777777" w:rsidR="00B47FF5" w:rsidRDefault="00B47FF5" w:rsidP="00537CC8">
      <w:pPr>
        <w:pStyle w:val="FootnoteText"/>
      </w:pPr>
      <w:r>
        <w:rPr>
          <w:rStyle w:val="FootnoteReference"/>
        </w:rPr>
        <w:footnoteRef/>
      </w:r>
      <w:r>
        <w:rPr>
          <w:rtl/>
        </w:rPr>
        <w:t xml:space="preserve"> </w:t>
      </w:r>
      <w:r w:rsidRPr="002E357A">
        <w:t>Long boom</w:t>
      </w:r>
    </w:p>
  </w:footnote>
  <w:footnote w:id="1618">
    <w:p w14:paraId="178E6517" w14:textId="2B14647D" w:rsidR="00B47FF5" w:rsidRDefault="00B47FF5" w:rsidP="00537CC8">
      <w:pPr>
        <w:pStyle w:val="FootnoteText"/>
      </w:pPr>
      <w:r>
        <w:rPr>
          <w:rStyle w:val="FootnoteReference"/>
        </w:rPr>
        <w:footnoteRef/>
      </w:r>
      <w:r>
        <w:rPr>
          <w:rtl/>
        </w:rPr>
        <w:t xml:space="preserve"> </w:t>
      </w:r>
      <w:r w:rsidRPr="002E357A">
        <w:t>Multifold trend</w:t>
      </w:r>
    </w:p>
  </w:footnote>
  <w:footnote w:id="1619">
    <w:p w14:paraId="4CC8EB36" w14:textId="77777777" w:rsidR="00B47FF5" w:rsidRDefault="00B47FF5" w:rsidP="00537CC8">
      <w:pPr>
        <w:pStyle w:val="FootnoteText"/>
      </w:pPr>
      <w:r>
        <w:rPr>
          <w:rStyle w:val="FootnoteReference"/>
        </w:rPr>
        <w:footnoteRef/>
      </w:r>
      <w:r>
        <w:rPr>
          <w:rtl/>
        </w:rPr>
        <w:t xml:space="preserve"> </w:t>
      </w:r>
      <w:r w:rsidRPr="00134E78">
        <w:t>The Next 200 Years: A Scenario</w:t>
      </w:r>
      <w:r>
        <w:t xml:space="preserve"> </w:t>
      </w:r>
      <w:r w:rsidRPr="00134E78">
        <w:t>for America and the World</w:t>
      </w:r>
    </w:p>
  </w:footnote>
  <w:footnote w:id="1620">
    <w:p w14:paraId="52F457E0" w14:textId="77777777" w:rsidR="00B47FF5" w:rsidRDefault="00B47FF5" w:rsidP="00537CC8">
      <w:pPr>
        <w:pStyle w:val="FootnoteText"/>
      </w:pPr>
      <w:r>
        <w:rPr>
          <w:rStyle w:val="FootnoteReference"/>
        </w:rPr>
        <w:footnoteRef/>
      </w:r>
      <w:r>
        <w:rPr>
          <w:rtl/>
        </w:rPr>
        <w:t xml:space="preserve"> </w:t>
      </w:r>
      <w:r w:rsidRPr="00377BB7">
        <w:t>Abundance</w:t>
      </w:r>
    </w:p>
  </w:footnote>
  <w:footnote w:id="1621">
    <w:p w14:paraId="02DBFD60" w14:textId="77777777" w:rsidR="00B47FF5" w:rsidRDefault="00B47FF5" w:rsidP="00537CC8">
      <w:pPr>
        <w:pStyle w:val="FootnoteText"/>
      </w:pPr>
      <w:r>
        <w:rPr>
          <w:rStyle w:val="FootnoteReference"/>
        </w:rPr>
        <w:footnoteRef/>
      </w:r>
      <w:r>
        <w:rPr>
          <w:rtl/>
        </w:rPr>
        <w:t xml:space="preserve"> </w:t>
      </w:r>
      <w:r w:rsidRPr="00377BB7">
        <w:t>Machine, Platform, Crowd</w:t>
      </w:r>
    </w:p>
  </w:footnote>
  <w:footnote w:id="1622">
    <w:p w14:paraId="4C940CEA" w14:textId="77777777" w:rsidR="00B47FF5" w:rsidRDefault="00B47FF5" w:rsidP="00537CC8">
      <w:pPr>
        <w:pStyle w:val="FootnoteText"/>
      </w:pPr>
      <w:r>
        <w:rPr>
          <w:rStyle w:val="FootnoteReference"/>
        </w:rPr>
        <w:footnoteRef/>
      </w:r>
      <w:r>
        <w:rPr>
          <w:rtl/>
        </w:rPr>
        <w:t xml:space="preserve"> </w:t>
      </w:r>
      <w:r w:rsidRPr="00644D2A">
        <w:t>Brynjolfsson</w:t>
      </w:r>
    </w:p>
  </w:footnote>
  <w:footnote w:id="1623">
    <w:p w14:paraId="66C039F6" w14:textId="77777777" w:rsidR="00B47FF5" w:rsidRDefault="00B47FF5" w:rsidP="00537CC8">
      <w:pPr>
        <w:pStyle w:val="FootnoteText"/>
      </w:pPr>
      <w:r>
        <w:rPr>
          <w:rStyle w:val="FootnoteReference"/>
        </w:rPr>
        <w:footnoteRef/>
      </w:r>
      <w:r>
        <w:rPr>
          <w:rtl/>
        </w:rPr>
        <w:t xml:space="preserve"> </w:t>
      </w:r>
      <w:r w:rsidRPr="00377BB7">
        <w:t>The Better Angles of Our Nuture</w:t>
      </w:r>
    </w:p>
  </w:footnote>
  <w:footnote w:id="1624">
    <w:p w14:paraId="777C71BF" w14:textId="77777777" w:rsidR="00B47FF5" w:rsidRDefault="00B47FF5" w:rsidP="00537CC8">
      <w:pPr>
        <w:pStyle w:val="FootnoteText"/>
      </w:pPr>
      <w:r>
        <w:rPr>
          <w:rStyle w:val="FootnoteReference"/>
        </w:rPr>
        <w:footnoteRef/>
      </w:r>
      <w:r>
        <w:rPr>
          <w:rtl/>
        </w:rPr>
        <w:t xml:space="preserve"> </w:t>
      </w:r>
      <w:r w:rsidRPr="00644D2A">
        <w:t>Steven Pinker</w:t>
      </w:r>
    </w:p>
  </w:footnote>
  <w:footnote w:id="1625">
    <w:p w14:paraId="7C24B55A" w14:textId="77777777" w:rsidR="00B47FF5" w:rsidRDefault="00B47FF5" w:rsidP="00537CC8">
      <w:pPr>
        <w:pStyle w:val="FootnoteText"/>
      </w:pPr>
      <w:r>
        <w:rPr>
          <w:rStyle w:val="FootnoteReference"/>
        </w:rPr>
        <w:footnoteRef/>
      </w:r>
      <w:r>
        <w:rPr>
          <w:rtl/>
        </w:rPr>
        <w:t xml:space="preserve"> </w:t>
      </w:r>
      <w:r w:rsidRPr="00377BB7">
        <w:t>Factfulness</w:t>
      </w:r>
    </w:p>
  </w:footnote>
  <w:footnote w:id="1626">
    <w:p w14:paraId="274E3F66" w14:textId="77777777" w:rsidR="00B47FF5" w:rsidRDefault="00B47FF5" w:rsidP="00537CC8">
      <w:pPr>
        <w:pStyle w:val="FootnoteText"/>
      </w:pPr>
      <w:r>
        <w:rPr>
          <w:rStyle w:val="FootnoteReference"/>
        </w:rPr>
        <w:footnoteRef/>
      </w:r>
      <w:r>
        <w:rPr>
          <w:rtl/>
        </w:rPr>
        <w:t xml:space="preserve"> </w:t>
      </w:r>
      <w:r w:rsidRPr="00644D2A">
        <w:t>Hans Rosling</w:t>
      </w:r>
    </w:p>
  </w:footnote>
  <w:footnote w:id="1627">
    <w:p w14:paraId="7FE2EFB6" w14:textId="20030AC4" w:rsidR="00B47FF5" w:rsidRDefault="00B47FF5" w:rsidP="00537CC8">
      <w:pPr>
        <w:pStyle w:val="FootnoteText"/>
      </w:pPr>
      <w:r>
        <w:rPr>
          <w:rStyle w:val="FootnoteReference"/>
        </w:rPr>
        <w:footnoteRef/>
      </w:r>
      <w:r>
        <w:rPr>
          <w:rtl/>
        </w:rPr>
        <w:t xml:space="preserve"> </w:t>
      </w:r>
      <w:r w:rsidRPr="00DF2493">
        <w:t>Postbiological</w:t>
      </w:r>
    </w:p>
  </w:footnote>
  <w:footnote w:id="1628">
    <w:p w14:paraId="40131A25" w14:textId="0E8CECA3" w:rsidR="00B47FF5" w:rsidRDefault="00B47FF5" w:rsidP="00537CC8">
      <w:pPr>
        <w:pStyle w:val="FootnoteText"/>
      </w:pPr>
      <w:r>
        <w:rPr>
          <w:rStyle w:val="FootnoteReference"/>
        </w:rPr>
        <w:footnoteRef/>
      </w:r>
      <w:r>
        <w:rPr>
          <w:rtl/>
        </w:rPr>
        <w:t xml:space="preserve"> </w:t>
      </w:r>
      <w:r w:rsidRPr="00DF2493">
        <w:t>InnerSpace</w:t>
      </w:r>
    </w:p>
  </w:footnote>
  <w:footnote w:id="1629">
    <w:p w14:paraId="37DECF30" w14:textId="77777777" w:rsidR="00B47FF5" w:rsidRDefault="00B47FF5" w:rsidP="00537CC8">
      <w:pPr>
        <w:pStyle w:val="FootnoteText"/>
      </w:pPr>
      <w:r>
        <w:rPr>
          <w:rStyle w:val="FootnoteReference"/>
        </w:rPr>
        <w:footnoteRef/>
      </w:r>
      <w:r>
        <w:rPr>
          <w:rtl/>
        </w:rPr>
        <w:t xml:space="preserve"> </w:t>
      </w:r>
      <w:r w:rsidRPr="00DF2493">
        <w:t>Superexponential</w:t>
      </w:r>
    </w:p>
  </w:footnote>
  <w:footnote w:id="1630">
    <w:p w14:paraId="79BF44CB" w14:textId="77777777" w:rsidR="00B47FF5" w:rsidRDefault="00B47FF5" w:rsidP="00537CC8">
      <w:pPr>
        <w:pStyle w:val="FootnoteText"/>
      </w:pPr>
      <w:r>
        <w:rPr>
          <w:rStyle w:val="FootnoteReference"/>
        </w:rPr>
        <w:footnoteRef/>
      </w:r>
      <w:r>
        <w:rPr>
          <w:rtl/>
        </w:rPr>
        <w:t xml:space="preserve"> </w:t>
      </w:r>
      <w:r w:rsidRPr="00644D2A">
        <w:t>Ray Kurzweil</w:t>
      </w:r>
    </w:p>
  </w:footnote>
  <w:footnote w:id="1631">
    <w:p w14:paraId="39BF1037" w14:textId="05DD9D1F" w:rsidR="00B47FF5" w:rsidRDefault="00B47FF5" w:rsidP="00537CC8">
      <w:pPr>
        <w:pStyle w:val="FootnoteText"/>
      </w:pPr>
      <w:r>
        <w:rPr>
          <w:rStyle w:val="FootnoteReference"/>
        </w:rPr>
        <w:footnoteRef/>
      </w:r>
      <w:r>
        <w:rPr>
          <w:rtl/>
        </w:rPr>
        <w:t xml:space="preserve"> </w:t>
      </w:r>
      <w:r>
        <w:t>Biomedical</w:t>
      </w:r>
    </w:p>
  </w:footnote>
  <w:footnote w:id="1632">
    <w:p w14:paraId="71DDDA2E" w14:textId="60216DCD" w:rsidR="00B47FF5" w:rsidRDefault="00B47FF5" w:rsidP="00537CC8">
      <w:pPr>
        <w:pStyle w:val="FootnoteText"/>
      </w:pPr>
      <w:r>
        <w:rPr>
          <w:rStyle w:val="FootnoteReference"/>
        </w:rPr>
        <w:footnoteRef/>
      </w:r>
      <w:r>
        <w:rPr>
          <w:rtl/>
        </w:rPr>
        <w:t xml:space="preserve"> </w:t>
      </w:r>
      <w:r>
        <w:t>Biotech</w:t>
      </w:r>
    </w:p>
  </w:footnote>
  <w:footnote w:id="1633">
    <w:p w14:paraId="67080C7F" w14:textId="70BA1AE8" w:rsidR="00B47FF5" w:rsidRDefault="00B47FF5" w:rsidP="00537CC8">
      <w:pPr>
        <w:pStyle w:val="FootnoteText"/>
      </w:pPr>
      <w:r>
        <w:rPr>
          <w:rStyle w:val="FootnoteReference"/>
        </w:rPr>
        <w:footnoteRef/>
      </w:r>
      <w:r>
        <w:rPr>
          <w:rtl/>
        </w:rPr>
        <w:t xml:space="preserve"> </w:t>
      </w:r>
      <w:r w:rsidRPr="00DF2493">
        <w:t>The Age Of Intelligent Machines</w:t>
      </w:r>
    </w:p>
  </w:footnote>
  <w:footnote w:id="1634">
    <w:p w14:paraId="3AD452A8" w14:textId="5E9493CB" w:rsidR="00B47FF5" w:rsidRDefault="00B47FF5" w:rsidP="00537CC8">
      <w:pPr>
        <w:pStyle w:val="FootnoteText"/>
      </w:pPr>
      <w:r>
        <w:rPr>
          <w:rStyle w:val="FootnoteReference"/>
        </w:rPr>
        <w:footnoteRef/>
      </w:r>
      <w:r>
        <w:rPr>
          <w:rtl/>
        </w:rPr>
        <w:t xml:space="preserve"> </w:t>
      </w:r>
      <w:r>
        <w:t>Predictive analytics</w:t>
      </w:r>
    </w:p>
  </w:footnote>
  <w:footnote w:id="1635">
    <w:p w14:paraId="7E73CDCB" w14:textId="77777777" w:rsidR="00B47FF5" w:rsidRDefault="00B47FF5" w:rsidP="00537CC8">
      <w:pPr>
        <w:pStyle w:val="FootnoteText"/>
      </w:pPr>
      <w:r>
        <w:rPr>
          <w:rStyle w:val="FootnoteReference"/>
        </w:rPr>
        <w:footnoteRef/>
      </w:r>
      <w:r>
        <w:rPr>
          <w:rtl/>
        </w:rPr>
        <w:t xml:space="preserve"> </w:t>
      </w:r>
      <w:r w:rsidRPr="00644D2A">
        <w:t>Nvidia</w:t>
      </w:r>
    </w:p>
  </w:footnote>
  <w:footnote w:id="1636">
    <w:p w14:paraId="3BAAF1FD" w14:textId="77777777" w:rsidR="00B47FF5" w:rsidRDefault="00B47FF5" w:rsidP="00537CC8">
      <w:pPr>
        <w:pStyle w:val="FootnoteText"/>
      </w:pPr>
      <w:r>
        <w:rPr>
          <w:rStyle w:val="FootnoteReference"/>
        </w:rPr>
        <w:footnoteRef/>
      </w:r>
      <w:r>
        <w:rPr>
          <w:rtl/>
        </w:rPr>
        <w:t xml:space="preserve"> </w:t>
      </w:r>
      <w:r w:rsidRPr="001217A0">
        <w:t>Cornell</w:t>
      </w:r>
    </w:p>
  </w:footnote>
  <w:footnote w:id="1637">
    <w:p w14:paraId="28123986" w14:textId="77777777" w:rsidR="00B47FF5" w:rsidRDefault="00B47FF5" w:rsidP="00537CC8">
      <w:pPr>
        <w:pStyle w:val="FootnoteText"/>
      </w:pPr>
      <w:r>
        <w:rPr>
          <w:rStyle w:val="FootnoteReference"/>
        </w:rPr>
        <w:footnoteRef/>
      </w:r>
      <w:r>
        <w:rPr>
          <w:rtl/>
        </w:rPr>
        <w:t xml:space="preserve"> </w:t>
      </w:r>
      <w:r w:rsidRPr="001217A0">
        <w:t>Merlin</w:t>
      </w:r>
    </w:p>
  </w:footnote>
  <w:footnote w:id="1638">
    <w:p w14:paraId="5E358F83" w14:textId="77777777" w:rsidR="00B47FF5" w:rsidRDefault="00B47FF5" w:rsidP="00537CC8">
      <w:pPr>
        <w:pStyle w:val="FootnoteText"/>
      </w:pPr>
      <w:r>
        <w:rPr>
          <w:rStyle w:val="FootnoteReference"/>
        </w:rPr>
        <w:footnoteRef/>
      </w:r>
      <w:r>
        <w:rPr>
          <w:rtl/>
        </w:rPr>
        <w:t xml:space="preserve"> </w:t>
      </w:r>
      <w:r>
        <w:t>eBird</w:t>
      </w:r>
    </w:p>
  </w:footnote>
  <w:footnote w:id="1639">
    <w:p w14:paraId="47CF7985" w14:textId="77777777" w:rsidR="00B47FF5" w:rsidRDefault="00B47FF5" w:rsidP="00537CC8">
      <w:pPr>
        <w:pStyle w:val="FootnoteText"/>
      </w:pPr>
      <w:r>
        <w:rPr>
          <w:rStyle w:val="FootnoteReference"/>
        </w:rPr>
        <w:footnoteRef/>
      </w:r>
      <w:r>
        <w:rPr>
          <w:rtl/>
        </w:rPr>
        <w:t xml:space="preserve"> </w:t>
      </w:r>
      <w:r w:rsidRPr="001217A0">
        <w:t>Quartz</w:t>
      </w:r>
    </w:p>
  </w:footnote>
  <w:footnote w:id="1640">
    <w:p w14:paraId="7D75B07D" w14:textId="77777777" w:rsidR="00B47FF5" w:rsidRDefault="00B47FF5" w:rsidP="00537CC8">
      <w:pPr>
        <w:pStyle w:val="FootnoteText"/>
      </w:pPr>
      <w:r>
        <w:rPr>
          <w:rStyle w:val="FootnoteReference"/>
        </w:rPr>
        <w:footnoteRef/>
      </w:r>
      <w:r>
        <w:rPr>
          <w:rtl/>
        </w:rPr>
        <w:t xml:space="preserve"> </w:t>
      </w:r>
      <w:r w:rsidRPr="001217A0">
        <w:t>Alexandra Ossola</w:t>
      </w:r>
    </w:p>
  </w:footnote>
  <w:footnote w:id="1641">
    <w:p w14:paraId="2700AF10" w14:textId="77777777" w:rsidR="00B47FF5" w:rsidRDefault="00B47FF5" w:rsidP="00537CC8">
      <w:pPr>
        <w:pStyle w:val="FootnoteText"/>
      </w:pPr>
      <w:r>
        <w:rPr>
          <w:rStyle w:val="FootnoteReference"/>
        </w:rPr>
        <w:footnoteRef/>
      </w:r>
      <w:r>
        <w:rPr>
          <w:rtl/>
        </w:rPr>
        <w:t xml:space="preserve"> </w:t>
      </w:r>
      <w:r w:rsidRPr="001217A0">
        <w:t>Weekly Obsession</w:t>
      </w:r>
    </w:p>
  </w:footnote>
  <w:footnote w:id="1642">
    <w:p w14:paraId="6048B1D5" w14:textId="77777777" w:rsidR="00B47FF5" w:rsidRDefault="00B47FF5" w:rsidP="00537CC8">
      <w:pPr>
        <w:pStyle w:val="FootnoteText"/>
      </w:pPr>
      <w:r>
        <w:rPr>
          <w:rStyle w:val="FootnoteReference"/>
        </w:rPr>
        <w:footnoteRef/>
      </w:r>
      <w:r>
        <w:rPr>
          <w:rtl/>
        </w:rPr>
        <w:t xml:space="preserve"> </w:t>
      </w:r>
      <w:r>
        <w:t>Kaggle</w:t>
      </w:r>
    </w:p>
  </w:footnote>
  <w:footnote w:id="1643">
    <w:p w14:paraId="5FDB1AFC" w14:textId="09E83E65" w:rsidR="00B47FF5" w:rsidRDefault="00B47FF5" w:rsidP="00537CC8">
      <w:pPr>
        <w:pStyle w:val="FootnoteText"/>
      </w:pPr>
      <w:r>
        <w:rPr>
          <w:rStyle w:val="FootnoteReference"/>
        </w:rPr>
        <w:footnoteRef/>
      </w:r>
      <w:r>
        <w:rPr>
          <w:rtl/>
        </w:rPr>
        <w:t xml:space="preserve"> </w:t>
      </w:r>
      <w:r>
        <w:t>Standard logistic regression</w:t>
      </w:r>
    </w:p>
  </w:footnote>
  <w:footnote w:id="1644">
    <w:p w14:paraId="73A710E2" w14:textId="77777777" w:rsidR="00B47FF5" w:rsidRDefault="00B47FF5" w:rsidP="00537CC8">
      <w:pPr>
        <w:pStyle w:val="FootnoteText"/>
      </w:pPr>
      <w:r>
        <w:rPr>
          <w:rStyle w:val="FootnoteReference"/>
        </w:rPr>
        <w:footnoteRef/>
      </w:r>
      <w:r>
        <w:rPr>
          <w:rtl/>
        </w:rPr>
        <w:t xml:space="preserve"> </w:t>
      </w:r>
      <w:r>
        <w:t>Bayesian</w:t>
      </w:r>
    </w:p>
  </w:footnote>
  <w:footnote w:id="1645">
    <w:p w14:paraId="6B3F980C" w14:textId="77777777" w:rsidR="00B47FF5" w:rsidRDefault="00B47FF5" w:rsidP="00537CC8">
      <w:pPr>
        <w:pStyle w:val="FootnoteText"/>
      </w:pPr>
      <w:r>
        <w:rPr>
          <w:rStyle w:val="FootnoteReference"/>
        </w:rPr>
        <w:footnoteRef/>
      </w:r>
      <w:r>
        <w:rPr>
          <w:rtl/>
        </w:rPr>
        <w:t xml:space="preserve"> </w:t>
      </w:r>
      <w:r w:rsidRPr="001217A0">
        <w:t>Paul Saffo</w:t>
      </w:r>
    </w:p>
  </w:footnote>
  <w:footnote w:id="1646">
    <w:p w14:paraId="01B8FE92" w14:textId="77777777" w:rsidR="00B47FF5" w:rsidRDefault="00B47FF5" w:rsidP="00537CC8">
      <w:pPr>
        <w:pStyle w:val="FootnoteText"/>
      </w:pPr>
      <w:r>
        <w:rPr>
          <w:rStyle w:val="FootnoteReference"/>
        </w:rPr>
        <w:footnoteRef/>
      </w:r>
      <w:r>
        <w:rPr>
          <w:rtl/>
        </w:rPr>
        <w:t xml:space="preserve"> </w:t>
      </w:r>
      <w:r w:rsidRPr="00A77E9E">
        <w:t>Six Rules for Effective Forecasting</w:t>
      </w:r>
    </w:p>
  </w:footnote>
  <w:footnote w:id="1647">
    <w:p w14:paraId="310AE468" w14:textId="77777777" w:rsidR="00B47FF5" w:rsidRDefault="00B47FF5" w:rsidP="00537CC8">
      <w:pPr>
        <w:pStyle w:val="FootnoteText"/>
      </w:pPr>
      <w:r>
        <w:rPr>
          <w:rStyle w:val="FootnoteReference"/>
        </w:rPr>
        <w:footnoteRef/>
      </w:r>
      <w:r>
        <w:rPr>
          <w:rtl/>
        </w:rPr>
        <w:t xml:space="preserve"> </w:t>
      </w:r>
      <w:r w:rsidRPr="00A77E9E">
        <w:t>The Business Forecasting</w:t>
      </w:r>
      <w:r>
        <w:t xml:space="preserve"> Deal</w:t>
      </w:r>
    </w:p>
  </w:footnote>
  <w:footnote w:id="1648">
    <w:p w14:paraId="09E93A8F" w14:textId="77777777" w:rsidR="00B47FF5" w:rsidRDefault="00B47FF5" w:rsidP="00537CC8">
      <w:pPr>
        <w:pStyle w:val="FootnoteText"/>
      </w:pPr>
      <w:r>
        <w:rPr>
          <w:rStyle w:val="FootnoteReference"/>
        </w:rPr>
        <w:footnoteRef/>
      </w:r>
      <w:r>
        <w:rPr>
          <w:rtl/>
        </w:rPr>
        <w:t xml:space="preserve"> </w:t>
      </w:r>
      <w:r w:rsidRPr="001217A0">
        <w:t>Michael Gilliland</w:t>
      </w:r>
    </w:p>
  </w:footnote>
  <w:footnote w:id="1649">
    <w:p w14:paraId="53784316" w14:textId="77777777" w:rsidR="00B47FF5" w:rsidRDefault="00B47FF5" w:rsidP="00537CC8">
      <w:pPr>
        <w:pStyle w:val="FootnoteText"/>
      </w:pPr>
      <w:r>
        <w:rPr>
          <w:rStyle w:val="FootnoteReference"/>
        </w:rPr>
        <w:footnoteRef/>
      </w:r>
      <w:r>
        <w:rPr>
          <w:rtl/>
        </w:rPr>
        <w:t xml:space="preserve"> </w:t>
      </w:r>
      <w:r w:rsidRPr="001217A0">
        <w:t>AstraZeneca</w:t>
      </w:r>
    </w:p>
  </w:footnote>
  <w:footnote w:id="1650">
    <w:p w14:paraId="47B2733E" w14:textId="77777777" w:rsidR="00B47FF5" w:rsidRDefault="00B47FF5" w:rsidP="00537CC8">
      <w:pPr>
        <w:pStyle w:val="FootnoteText"/>
      </w:pPr>
      <w:r>
        <w:rPr>
          <w:rStyle w:val="FootnoteReference"/>
        </w:rPr>
        <w:footnoteRef/>
      </w:r>
      <w:r>
        <w:rPr>
          <w:rtl/>
        </w:rPr>
        <w:t xml:space="preserve"> </w:t>
      </w:r>
      <w:r w:rsidRPr="001217A0">
        <w:t>Cisco</w:t>
      </w:r>
    </w:p>
  </w:footnote>
  <w:footnote w:id="1651">
    <w:p w14:paraId="23FBD99B" w14:textId="77777777" w:rsidR="00B47FF5" w:rsidRDefault="00B47FF5" w:rsidP="00537CC8">
      <w:pPr>
        <w:pStyle w:val="FootnoteText"/>
      </w:pPr>
      <w:r>
        <w:rPr>
          <w:rStyle w:val="FootnoteReference"/>
        </w:rPr>
        <w:footnoteRef/>
      </w:r>
      <w:r>
        <w:rPr>
          <w:rtl/>
        </w:rPr>
        <w:t xml:space="preserve"> </w:t>
      </w:r>
      <w:r w:rsidRPr="001217A0">
        <w:t>H.G. Well</w:t>
      </w:r>
    </w:p>
  </w:footnote>
  <w:footnote w:id="1652">
    <w:p w14:paraId="0FD7DF1C" w14:textId="37D74B58" w:rsidR="00B47FF5" w:rsidRDefault="00B47FF5" w:rsidP="00537CC8">
      <w:pPr>
        <w:pStyle w:val="FootnoteText"/>
      </w:pPr>
      <w:r>
        <w:rPr>
          <w:rStyle w:val="FootnoteReference"/>
        </w:rPr>
        <w:footnoteRef/>
      </w:r>
      <w:r>
        <w:rPr>
          <w:rtl/>
        </w:rPr>
        <w:t xml:space="preserve"> </w:t>
      </w:r>
      <w:r w:rsidRPr="00DA7318">
        <w:t>Wanted - Professors of Foresight</w:t>
      </w:r>
      <w:r>
        <w:t>!</w:t>
      </w:r>
    </w:p>
  </w:footnote>
  <w:footnote w:id="1653">
    <w:p w14:paraId="6796F9CE" w14:textId="77777777" w:rsidR="00B47FF5" w:rsidRDefault="00B47FF5" w:rsidP="00537CC8">
      <w:pPr>
        <w:pStyle w:val="FootnoteText"/>
      </w:pPr>
      <w:r>
        <w:rPr>
          <w:rStyle w:val="FootnoteReference"/>
        </w:rPr>
        <w:footnoteRef/>
      </w:r>
      <w:r>
        <w:rPr>
          <w:rtl/>
        </w:rPr>
        <w:t xml:space="preserve"> </w:t>
      </w:r>
      <w:r w:rsidRPr="001217A0">
        <w:t>Hoover</w:t>
      </w:r>
    </w:p>
  </w:footnote>
  <w:footnote w:id="1654">
    <w:p w14:paraId="25FA3C5D" w14:textId="1627CF76" w:rsidR="00B47FF5" w:rsidRDefault="00B47FF5" w:rsidP="00537CC8">
      <w:pPr>
        <w:pStyle w:val="FootnoteText"/>
      </w:pPr>
      <w:r>
        <w:rPr>
          <w:rStyle w:val="FootnoteReference"/>
        </w:rPr>
        <w:footnoteRef/>
      </w:r>
      <w:r>
        <w:rPr>
          <w:rtl/>
        </w:rPr>
        <w:t xml:space="preserve"> </w:t>
      </w:r>
      <w:r w:rsidRPr="00DA7318">
        <w:t>Predictable Unintended Consequences</w:t>
      </w:r>
    </w:p>
  </w:footnote>
  <w:footnote w:id="1655">
    <w:p w14:paraId="0BEA7E2D" w14:textId="347BC358" w:rsidR="00B47FF5" w:rsidRDefault="00B47FF5" w:rsidP="00537CC8">
      <w:pPr>
        <w:pStyle w:val="FootnoteText"/>
      </w:pPr>
      <w:r>
        <w:rPr>
          <w:rStyle w:val="FootnoteReference"/>
        </w:rPr>
        <w:footnoteRef/>
      </w:r>
      <w:r>
        <w:rPr>
          <w:rtl/>
        </w:rPr>
        <w:t xml:space="preserve"> </w:t>
      </w:r>
      <w:r w:rsidRPr="00C4545A">
        <w:t>Office Of Technology Assessment</w:t>
      </w:r>
    </w:p>
  </w:footnote>
  <w:footnote w:id="1656">
    <w:p w14:paraId="3DF73547" w14:textId="620EB763" w:rsidR="00B47FF5" w:rsidRDefault="00B47FF5" w:rsidP="00537CC8">
      <w:pPr>
        <w:pStyle w:val="FootnoteText"/>
      </w:pPr>
      <w:r>
        <w:rPr>
          <w:rStyle w:val="FootnoteReference"/>
        </w:rPr>
        <w:footnoteRef/>
      </w:r>
      <w:r>
        <w:rPr>
          <w:rtl/>
        </w:rPr>
        <w:t xml:space="preserve"> </w:t>
      </w:r>
      <w:r w:rsidRPr="00454760">
        <w:t>Bipartisan</w:t>
      </w:r>
    </w:p>
  </w:footnote>
  <w:footnote w:id="1657">
    <w:p w14:paraId="4FC3AFB8" w14:textId="764416D4" w:rsidR="00B47FF5" w:rsidRDefault="00B47FF5" w:rsidP="00537CC8">
      <w:pPr>
        <w:pStyle w:val="FootnoteText"/>
      </w:pPr>
      <w:r>
        <w:rPr>
          <w:rStyle w:val="FootnoteReference"/>
        </w:rPr>
        <w:footnoteRef/>
      </w:r>
      <w:r>
        <w:rPr>
          <w:rtl/>
        </w:rPr>
        <w:t xml:space="preserve"> </w:t>
      </w:r>
      <w:r w:rsidRPr="00454760">
        <w:t>Neoconservatives</w:t>
      </w:r>
    </w:p>
  </w:footnote>
  <w:footnote w:id="1658">
    <w:p w14:paraId="21391843" w14:textId="77777777" w:rsidR="00B47FF5" w:rsidRDefault="00B47FF5" w:rsidP="00537CC8">
      <w:pPr>
        <w:pStyle w:val="FootnoteText"/>
      </w:pPr>
      <w:r>
        <w:rPr>
          <w:rStyle w:val="FootnoteReference"/>
        </w:rPr>
        <w:footnoteRef/>
      </w:r>
      <w:r>
        <w:rPr>
          <w:rtl/>
        </w:rPr>
        <w:t xml:space="preserve"> </w:t>
      </w:r>
      <w:r w:rsidRPr="00454760">
        <w:t>Good Judgment Project</w:t>
      </w:r>
    </w:p>
  </w:footnote>
  <w:footnote w:id="1659">
    <w:p w14:paraId="266483D4" w14:textId="77777777" w:rsidR="00B47FF5" w:rsidRDefault="00B47FF5" w:rsidP="00537CC8">
      <w:pPr>
        <w:pStyle w:val="FootnoteText"/>
      </w:pPr>
      <w:r>
        <w:rPr>
          <w:rStyle w:val="FootnoteReference"/>
        </w:rPr>
        <w:footnoteRef/>
      </w:r>
      <w:r>
        <w:rPr>
          <w:rtl/>
        </w:rPr>
        <w:t xml:space="preserve"> </w:t>
      </w:r>
      <w:r w:rsidRPr="001217A0">
        <w:t>Michael Horowi</w:t>
      </w:r>
    </w:p>
  </w:footnote>
  <w:footnote w:id="1660">
    <w:p w14:paraId="79222C69" w14:textId="77777777" w:rsidR="00B47FF5" w:rsidRDefault="00B47FF5" w:rsidP="00537CC8">
      <w:pPr>
        <w:pStyle w:val="FootnoteText"/>
      </w:pPr>
      <w:r>
        <w:rPr>
          <w:rStyle w:val="FootnoteReference"/>
        </w:rPr>
        <w:footnoteRef/>
      </w:r>
      <w:r>
        <w:rPr>
          <w:rtl/>
        </w:rPr>
        <w:t xml:space="preserve"> </w:t>
      </w:r>
      <w:r w:rsidRPr="001217A0">
        <w:t>Perry World House</w:t>
      </w:r>
    </w:p>
  </w:footnote>
  <w:footnote w:id="1661">
    <w:p w14:paraId="2F0EB487" w14:textId="77777777" w:rsidR="00B47FF5" w:rsidRDefault="00B47FF5" w:rsidP="00537CC8">
      <w:pPr>
        <w:pStyle w:val="FootnoteText"/>
      </w:pPr>
      <w:r>
        <w:rPr>
          <w:rStyle w:val="FootnoteReference"/>
        </w:rPr>
        <w:footnoteRef/>
      </w:r>
      <w:r>
        <w:rPr>
          <w:rtl/>
        </w:rPr>
        <w:t xml:space="preserve"> </w:t>
      </w:r>
      <w:r w:rsidRPr="00454760">
        <w:t>Keeping Score: A New Approach to Geopolitical Forecasting</w:t>
      </w:r>
    </w:p>
  </w:footnote>
  <w:footnote w:id="1662">
    <w:p w14:paraId="62306699" w14:textId="77777777" w:rsidR="00B47FF5" w:rsidRDefault="00B47FF5" w:rsidP="00537CC8">
      <w:pPr>
        <w:pStyle w:val="FootnoteText"/>
      </w:pPr>
      <w:r>
        <w:rPr>
          <w:rStyle w:val="FootnoteReference"/>
        </w:rPr>
        <w:footnoteRef/>
      </w:r>
      <w:r>
        <w:rPr>
          <w:rtl/>
        </w:rPr>
        <w:t xml:space="preserve"> </w:t>
      </w:r>
      <w:r w:rsidRPr="001217A0">
        <w:t>Julia Ciocca</w:t>
      </w:r>
    </w:p>
  </w:footnote>
  <w:footnote w:id="1663">
    <w:p w14:paraId="75DCE753" w14:textId="77777777" w:rsidR="00B47FF5" w:rsidRDefault="00B47FF5" w:rsidP="00537CC8">
      <w:pPr>
        <w:pStyle w:val="FootnoteText"/>
      </w:pPr>
      <w:r>
        <w:rPr>
          <w:rStyle w:val="FootnoteReference"/>
        </w:rPr>
        <w:footnoteRef/>
      </w:r>
      <w:r>
        <w:rPr>
          <w:rtl/>
        </w:rPr>
        <w:t xml:space="preserve"> </w:t>
      </w:r>
      <w:r w:rsidRPr="00376C83">
        <w:t>How the US Government Can Learn to See the Future</w:t>
      </w:r>
    </w:p>
  </w:footnote>
  <w:footnote w:id="1664">
    <w:p w14:paraId="38FC9B64" w14:textId="07B768CC" w:rsidR="00543186" w:rsidRDefault="00543186">
      <w:pPr>
        <w:pStyle w:val="FootnoteText"/>
      </w:pPr>
      <w:r>
        <w:rPr>
          <w:rStyle w:val="FootnoteReference"/>
        </w:rPr>
        <w:footnoteRef/>
      </w:r>
      <w:r>
        <w:t xml:space="preserve"> Pigs </w:t>
      </w:r>
    </w:p>
  </w:footnote>
  <w:footnote w:id="1665">
    <w:p w14:paraId="36A36300" w14:textId="77777777" w:rsidR="00B47FF5" w:rsidRDefault="00B47FF5" w:rsidP="00537CC8">
      <w:pPr>
        <w:pStyle w:val="FootnoteText"/>
      </w:pPr>
      <w:r>
        <w:rPr>
          <w:rStyle w:val="FootnoteReference"/>
        </w:rPr>
        <w:footnoteRef/>
      </w:r>
      <w:r>
        <w:rPr>
          <w:rtl/>
        </w:rPr>
        <w:t xml:space="preserve"> </w:t>
      </w:r>
      <w:r w:rsidRPr="001217A0">
        <w:t>Horowitz</w:t>
      </w:r>
    </w:p>
  </w:footnote>
  <w:footnote w:id="1666">
    <w:p w14:paraId="3519B69D" w14:textId="77777777" w:rsidR="00B47FF5" w:rsidRDefault="00B47FF5" w:rsidP="00537CC8">
      <w:pPr>
        <w:pStyle w:val="FootnoteText"/>
      </w:pPr>
      <w:r>
        <w:rPr>
          <w:rStyle w:val="FootnoteReference"/>
        </w:rPr>
        <w:footnoteRef/>
      </w:r>
      <w:r>
        <w:rPr>
          <w:rtl/>
        </w:rPr>
        <w:t xml:space="preserve"> </w:t>
      </w:r>
      <w:r w:rsidRPr="001217A0">
        <w:t>iTunes</w:t>
      </w:r>
    </w:p>
  </w:footnote>
  <w:footnote w:id="1667">
    <w:p w14:paraId="367F870B" w14:textId="77777777" w:rsidR="00B47FF5" w:rsidRDefault="00B47FF5" w:rsidP="00537CC8">
      <w:pPr>
        <w:pStyle w:val="FootnoteText"/>
      </w:pPr>
      <w:r>
        <w:rPr>
          <w:rStyle w:val="FootnoteReference"/>
        </w:rPr>
        <w:footnoteRef/>
      </w:r>
      <w:r>
        <w:rPr>
          <w:rtl/>
        </w:rPr>
        <w:t xml:space="preserve"> </w:t>
      </w:r>
      <w:r w:rsidRPr="001217A0">
        <w:t>App Store</w:t>
      </w:r>
    </w:p>
  </w:footnote>
  <w:footnote w:id="1668">
    <w:p w14:paraId="556C7AF3" w14:textId="77777777" w:rsidR="00B47FF5" w:rsidRDefault="00B47FF5" w:rsidP="00537CC8">
      <w:pPr>
        <w:pStyle w:val="FootnoteText"/>
      </w:pPr>
      <w:r>
        <w:rPr>
          <w:rStyle w:val="FootnoteReference"/>
        </w:rPr>
        <w:footnoteRef/>
      </w:r>
      <w:r>
        <w:rPr>
          <w:rtl/>
        </w:rPr>
        <w:t xml:space="preserve"> </w:t>
      </w:r>
      <w:r w:rsidRPr="001217A0">
        <w:t>Kubrik</w:t>
      </w:r>
    </w:p>
  </w:footnote>
  <w:footnote w:id="1669">
    <w:p w14:paraId="3DB5A0D5" w14:textId="77777777" w:rsidR="00B47FF5" w:rsidRDefault="00B47FF5" w:rsidP="00537CC8">
      <w:pPr>
        <w:pStyle w:val="FootnoteText"/>
      </w:pPr>
      <w:r>
        <w:rPr>
          <w:rStyle w:val="FootnoteReference"/>
        </w:rPr>
        <w:footnoteRef/>
      </w:r>
      <w:r>
        <w:rPr>
          <w:rtl/>
        </w:rPr>
        <w:t xml:space="preserve"> </w:t>
      </w:r>
      <w:r w:rsidRPr="001217A0">
        <w:t>Clark</w:t>
      </w:r>
    </w:p>
  </w:footnote>
  <w:footnote w:id="1670">
    <w:p w14:paraId="7BE7DC13" w14:textId="0D763750" w:rsidR="00B47FF5" w:rsidRDefault="00B47FF5" w:rsidP="00537CC8">
      <w:pPr>
        <w:pStyle w:val="FootnoteText"/>
      </w:pPr>
      <w:r>
        <w:rPr>
          <w:rStyle w:val="FootnoteReference"/>
        </w:rPr>
        <w:footnoteRef/>
      </w:r>
      <w:r>
        <w:rPr>
          <w:rtl/>
        </w:rPr>
        <w:t xml:space="preserve"> </w:t>
      </w:r>
      <w:r w:rsidRPr="00907CD0">
        <w:t>Open source</w:t>
      </w:r>
    </w:p>
  </w:footnote>
  <w:footnote w:id="1671">
    <w:p w14:paraId="08F2B6CC" w14:textId="77777777" w:rsidR="00B47FF5" w:rsidRDefault="00B47FF5" w:rsidP="00537CC8">
      <w:pPr>
        <w:pStyle w:val="FootnoteText"/>
      </w:pPr>
      <w:r>
        <w:rPr>
          <w:rStyle w:val="FootnoteReference"/>
        </w:rPr>
        <w:footnoteRef/>
      </w:r>
      <w:r>
        <w:rPr>
          <w:rtl/>
        </w:rPr>
        <w:t xml:space="preserve"> </w:t>
      </w:r>
      <w:r w:rsidRPr="00CC5BF5">
        <w:t>The Quants</w:t>
      </w:r>
    </w:p>
  </w:footnote>
  <w:footnote w:id="1672">
    <w:p w14:paraId="625B672E" w14:textId="77777777" w:rsidR="00B47FF5" w:rsidRDefault="00B47FF5" w:rsidP="00537CC8">
      <w:pPr>
        <w:pStyle w:val="FootnoteText"/>
      </w:pPr>
      <w:r>
        <w:rPr>
          <w:rStyle w:val="FootnoteReference"/>
        </w:rPr>
        <w:footnoteRef/>
      </w:r>
      <w:r>
        <w:rPr>
          <w:rtl/>
        </w:rPr>
        <w:t xml:space="preserve"> </w:t>
      </w:r>
      <w:r>
        <w:rPr>
          <w:rFonts w:ascii="Arial" w:hAnsi="Arial" w:cs="Arial"/>
          <w:color w:val="202124"/>
          <w:shd w:val="clear" w:color="auto" w:fill="FFFFFF"/>
        </w:rPr>
        <w:t>Dark pools</w:t>
      </w:r>
    </w:p>
  </w:footnote>
  <w:footnote w:id="1673">
    <w:p w14:paraId="67923CF4" w14:textId="7D07B16D" w:rsidR="00B47FF5" w:rsidRDefault="00B47FF5" w:rsidP="00537CC8">
      <w:pPr>
        <w:pStyle w:val="FootnoteText"/>
      </w:pPr>
      <w:r>
        <w:rPr>
          <w:rStyle w:val="FootnoteReference"/>
        </w:rPr>
        <w:footnoteRef/>
      </w:r>
      <w:r>
        <w:rPr>
          <w:rtl/>
        </w:rPr>
        <w:t xml:space="preserve"> </w:t>
      </w:r>
      <w:r w:rsidRPr="00F40EE3">
        <w:t>Bottom Line Accounting</w:t>
      </w:r>
    </w:p>
  </w:footnote>
  <w:footnote w:id="1674">
    <w:p w14:paraId="70395665" w14:textId="3409482C" w:rsidR="00B47FF5" w:rsidRDefault="00B47FF5" w:rsidP="00537CC8">
      <w:pPr>
        <w:pStyle w:val="FootnoteText"/>
      </w:pPr>
      <w:r>
        <w:rPr>
          <w:rStyle w:val="FootnoteReference"/>
        </w:rPr>
        <w:footnoteRef/>
      </w:r>
      <w:r>
        <w:rPr>
          <w:rtl/>
        </w:rPr>
        <w:t xml:space="preserve"> </w:t>
      </w:r>
      <w:r w:rsidRPr="00F40EE3">
        <w:t>Reinsurers</w:t>
      </w:r>
    </w:p>
  </w:footnote>
  <w:footnote w:id="1675">
    <w:p w14:paraId="62B46743" w14:textId="77777777" w:rsidR="00B47FF5" w:rsidRDefault="00B47FF5" w:rsidP="00537CC8">
      <w:pPr>
        <w:pStyle w:val="FootnoteText"/>
      </w:pPr>
      <w:r>
        <w:rPr>
          <w:rStyle w:val="FootnoteReference"/>
        </w:rPr>
        <w:footnoteRef/>
      </w:r>
      <w:r>
        <w:rPr>
          <w:rtl/>
        </w:rPr>
        <w:t xml:space="preserve"> </w:t>
      </w:r>
      <w:r w:rsidRPr="001217A0">
        <w:t>SwissRe</w:t>
      </w:r>
    </w:p>
  </w:footnote>
  <w:footnote w:id="1676">
    <w:p w14:paraId="3DEA57DF" w14:textId="77777777" w:rsidR="00B47FF5" w:rsidRDefault="00B47FF5" w:rsidP="00537CC8">
      <w:pPr>
        <w:pStyle w:val="FootnoteText"/>
      </w:pPr>
      <w:r>
        <w:rPr>
          <w:rStyle w:val="FootnoteReference"/>
        </w:rPr>
        <w:footnoteRef/>
      </w:r>
      <w:r>
        <w:rPr>
          <w:rtl/>
        </w:rPr>
        <w:t xml:space="preserve"> </w:t>
      </w:r>
      <w:r w:rsidRPr="001217A0">
        <w:t>InsurTech</w:t>
      </w:r>
    </w:p>
  </w:footnote>
  <w:footnote w:id="1677">
    <w:p w14:paraId="6239DA61" w14:textId="77777777" w:rsidR="00B47FF5" w:rsidRDefault="00B47FF5" w:rsidP="00537CC8">
      <w:pPr>
        <w:pStyle w:val="FootnoteText"/>
      </w:pPr>
      <w:r>
        <w:rPr>
          <w:rStyle w:val="FootnoteReference"/>
        </w:rPr>
        <w:footnoteRef/>
      </w:r>
      <w:r>
        <w:rPr>
          <w:rtl/>
        </w:rPr>
        <w:t xml:space="preserve"> </w:t>
      </w:r>
      <w:r w:rsidRPr="001217A0">
        <w:t>Root</w:t>
      </w:r>
    </w:p>
  </w:footnote>
  <w:footnote w:id="1678">
    <w:p w14:paraId="607BA94E" w14:textId="77777777" w:rsidR="00B47FF5" w:rsidRDefault="00B47FF5" w:rsidP="00537CC8">
      <w:pPr>
        <w:pStyle w:val="FootnoteText"/>
      </w:pPr>
      <w:r>
        <w:rPr>
          <w:rStyle w:val="FootnoteReference"/>
        </w:rPr>
        <w:footnoteRef/>
      </w:r>
      <w:r>
        <w:rPr>
          <w:rtl/>
        </w:rPr>
        <w:t xml:space="preserve"> </w:t>
      </w:r>
      <w:r w:rsidRPr="00FC11C3">
        <w:t>Octo</w:t>
      </w:r>
    </w:p>
  </w:footnote>
  <w:footnote w:id="1679">
    <w:p w14:paraId="031B0F06" w14:textId="77777777" w:rsidR="00B47FF5" w:rsidRDefault="00B47FF5" w:rsidP="00537CC8">
      <w:pPr>
        <w:pStyle w:val="FootnoteText"/>
      </w:pPr>
      <w:r>
        <w:rPr>
          <w:rStyle w:val="FootnoteReference"/>
        </w:rPr>
        <w:footnoteRef/>
      </w:r>
      <w:r>
        <w:rPr>
          <w:rtl/>
        </w:rPr>
        <w:t xml:space="preserve"> </w:t>
      </w:r>
      <w:r w:rsidRPr="00FC11C3">
        <w:t>Metromile</w:t>
      </w:r>
    </w:p>
  </w:footnote>
  <w:footnote w:id="1680">
    <w:p w14:paraId="401C0C0E" w14:textId="77777777" w:rsidR="00B47FF5" w:rsidRDefault="00B47FF5" w:rsidP="00537CC8">
      <w:pPr>
        <w:pStyle w:val="FootnoteText"/>
      </w:pPr>
      <w:r>
        <w:rPr>
          <w:rStyle w:val="FootnoteReference"/>
        </w:rPr>
        <w:footnoteRef/>
      </w:r>
      <w:r>
        <w:rPr>
          <w:rtl/>
        </w:rPr>
        <w:t xml:space="preserve"> </w:t>
      </w:r>
      <w:r w:rsidRPr="00CC5BF5">
        <w:t>Root</w:t>
      </w:r>
    </w:p>
  </w:footnote>
  <w:footnote w:id="1681">
    <w:p w14:paraId="0F075BBE" w14:textId="77777777" w:rsidR="00B47FF5" w:rsidRDefault="00B47FF5" w:rsidP="00537CC8">
      <w:pPr>
        <w:pStyle w:val="FootnoteText"/>
      </w:pPr>
      <w:r>
        <w:rPr>
          <w:rStyle w:val="FootnoteReference"/>
        </w:rPr>
        <w:footnoteRef/>
      </w:r>
      <w:r>
        <w:rPr>
          <w:rtl/>
        </w:rPr>
        <w:t xml:space="preserve"> </w:t>
      </w:r>
      <w:r w:rsidRPr="008E5DC9">
        <w:t>The Handbook of Anticipation</w:t>
      </w:r>
    </w:p>
  </w:footnote>
  <w:footnote w:id="1682">
    <w:p w14:paraId="28574CA9" w14:textId="77777777" w:rsidR="00B47FF5" w:rsidRDefault="00B47FF5" w:rsidP="00537CC8">
      <w:pPr>
        <w:pStyle w:val="FootnoteText"/>
      </w:pPr>
      <w:r>
        <w:rPr>
          <w:rStyle w:val="FootnoteReference"/>
        </w:rPr>
        <w:footnoteRef/>
      </w:r>
      <w:r>
        <w:rPr>
          <w:rtl/>
        </w:rPr>
        <w:t xml:space="preserve"> </w:t>
      </w:r>
      <w:r w:rsidRPr="00BB59B3">
        <w:t>Robert Poli</w:t>
      </w:r>
    </w:p>
  </w:footnote>
  <w:footnote w:id="1683">
    <w:p w14:paraId="3824B18F" w14:textId="77777777" w:rsidR="00B47FF5" w:rsidRDefault="00B47FF5" w:rsidP="00537CC8">
      <w:pPr>
        <w:pStyle w:val="FootnoteText"/>
      </w:pPr>
      <w:r>
        <w:rPr>
          <w:rStyle w:val="FootnoteReference"/>
        </w:rPr>
        <w:footnoteRef/>
      </w:r>
      <w:r>
        <w:rPr>
          <w:rtl/>
        </w:rPr>
        <w:t xml:space="preserve"> </w:t>
      </w:r>
      <w:r w:rsidRPr="00BB59B3">
        <w:t>Springer</w:t>
      </w:r>
    </w:p>
  </w:footnote>
  <w:footnote w:id="1684">
    <w:p w14:paraId="72BC7D55" w14:textId="77777777" w:rsidR="00B47FF5" w:rsidRDefault="00B47FF5" w:rsidP="00537CC8">
      <w:pPr>
        <w:pStyle w:val="FootnoteText"/>
      </w:pPr>
      <w:r>
        <w:rPr>
          <w:rStyle w:val="FootnoteReference"/>
        </w:rPr>
        <w:footnoteRef/>
      </w:r>
      <w:r>
        <w:rPr>
          <w:rtl/>
        </w:rPr>
        <w:t xml:space="preserve"> </w:t>
      </w:r>
      <w:r w:rsidRPr="00BB59B3">
        <w:t>Lib Gen</w:t>
      </w:r>
    </w:p>
  </w:footnote>
  <w:footnote w:id="1685">
    <w:p w14:paraId="44212389" w14:textId="77777777" w:rsidR="00B47FF5" w:rsidRDefault="00B47FF5" w:rsidP="00537CC8">
      <w:pPr>
        <w:pStyle w:val="FootnoteText"/>
      </w:pPr>
      <w:r>
        <w:rPr>
          <w:rStyle w:val="FootnoteReference"/>
        </w:rPr>
        <w:footnoteRef/>
      </w:r>
      <w:r>
        <w:rPr>
          <w:rtl/>
        </w:rPr>
        <w:t xml:space="preserve"> </w:t>
      </w:r>
      <w:r w:rsidRPr="00BB59B3">
        <w:t>Sci-Hub</w:t>
      </w:r>
    </w:p>
  </w:footnote>
  <w:footnote w:id="1686">
    <w:p w14:paraId="465D09C6" w14:textId="77777777" w:rsidR="00B47FF5" w:rsidRDefault="00B47FF5" w:rsidP="00537CC8">
      <w:pPr>
        <w:pStyle w:val="FootnoteText"/>
      </w:pPr>
      <w:r>
        <w:rPr>
          <w:rStyle w:val="FootnoteReference"/>
        </w:rPr>
        <w:footnoteRef/>
      </w:r>
      <w:r>
        <w:rPr>
          <w:rtl/>
        </w:rPr>
        <w:t xml:space="preserve"> </w:t>
      </w:r>
      <w:r w:rsidRPr="00C73D88">
        <w:t>Shell</w:t>
      </w:r>
    </w:p>
  </w:footnote>
  <w:footnote w:id="1687">
    <w:p w14:paraId="7A4CC3F2" w14:textId="77777777" w:rsidR="00B47FF5" w:rsidRDefault="00B47FF5" w:rsidP="00537CC8">
      <w:pPr>
        <w:pStyle w:val="FootnoteText"/>
      </w:pPr>
      <w:r>
        <w:rPr>
          <w:rStyle w:val="FootnoteReference"/>
        </w:rPr>
        <w:footnoteRef/>
      </w:r>
      <w:r>
        <w:rPr>
          <w:rtl/>
        </w:rPr>
        <w:t xml:space="preserve"> </w:t>
      </w:r>
      <w:r w:rsidRPr="00C73D88">
        <w:t>Mont Fleur Scenarios</w:t>
      </w:r>
    </w:p>
  </w:footnote>
  <w:footnote w:id="1688">
    <w:p w14:paraId="6E062501" w14:textId="77777777" w:rsidR="00B47FF5" w:rsidRDefault="00B47FF5" w:rsidP="00537CC8">
      <w:pPr>
        <w:pStyle w:val="FootnoteText"/>
      </w:pPr>
      <w:r>
        <w:rPr>
          <w:rStyle w:val="FootnoteReference"/>
        </w:rPr>
        <w:footnoteRef/>
      </w:r>
      <w:r>
        <w:rPr>
          <w:rtl/>
        </w:rPr>
        <w:t xml:space="preserve"> </w:t>
      </w:r>
      <w:r w:rsidRPr="00B42E81">
        <w:t>Scenario Learning</w:t>
      </w:r>
    </w:p>
  </w:footnote>
  <w:footnote w:id="1689">
    <w:p w14:paraId="7CC68E92" w14:textId="77777777" w:rsidR="00B47FF5" w:rsidRDefault="00B47FF5" w:rsidP="00537CC8">
      <w:pPr>
        <w:pStyle w:val="FootnoteText"/>
      </w:pPr>
      <w:r>
        <w:rPr>
          <w:rStyle w:val="FootnoteReference"/>
        </w:rPr>
        <w:footnoteRef/>
      </w:r>
      <w:r>
        <w:rPr>
          <w:rtl/>
        </w:rPr>
        <w:t xml:space="preserve"> </w:t>
      </w:r>
      <w:r w:rsidRPr="00B42E81">
        <w:t>Wargaming</w:t>
      </w:r>
    </w:p>
  </w:footnote>
  <w:footnote w:id="1690">
    <w:p w14:paraId="685876F1" w14:textId="77777777" w:rsidR="00B47FF5" w:rsidRDefault="00B47FF5" w:rsidP="00537CC8">
      <w:pPr>
        <w:pStyle w:val="FootnoteText"/>
      </w:pPr>
      <w:r>
        <w:rPr>
          <w:rStyle w:val="FootnoteReference"/>
        </w:rPr>
        <w:footnoteRef/>
      </w:r>
      <w:r>
        <w:rPr>
          <w:rtl/>
        </w:rPr>
        <w:t xml:space="preserve"> </w:t>
      </w:r>
      <w:r w:rsidRPr="00B42E81">
        <w:t>Royal Dutch/Shell</w:t>
      </w:r>
    </w:p>
  </w:footnote>
  <w:footnote w:id="1691">
    <w:p w14:paraId="24D7D7CA" w14:textId="77777777" w:rsidR="00B47FF5" w:rsidRDefault="00B47FF5" w:rsidP="00537CC8">
      <w:pPr>
        <w:pStyle w:val="FootnoteText"/>
      </w:pPr>
      <w:r>
        <w:rPr>
          <w:rStyle w:val="FootnoteReference"/>
        </w:rPr>
        <w:footnoteRef/>
      </w:r>
      <w:r>
        <w:rPr>
          <w:rtl/>
        </w:rPr>
        <w:t xml:space="preserve"> </w:t>
      </w:r>
      <w:r w:rsidRPr="00B42E81">
        <w:t>Peter Schwartz</w:t>
      </w:r>
    </w:p>
  </w:footnote>
  <w:footnote w:id="1692">
    <w:p w14:paraId="077E2ADE" w14:textId="77777777" w:rsidR="00B47FF5" w:rsidRDefault="00B47FF5" w:rsidP="00537CC8">
      <w:pPr>
        <w:pStyle w:val="FootnoteText"/>
      </w:pPr>
      <w:r>
        <w:rPr>
          <w:rStyle w:val="FootnoteReference"/>
        </w:rPr>
        <w:footnoteRef/>
      </w:r>
      <w:r>
        <w:rPr>
          <w:rtl/>
        </w:rPr>
        <w:t xml:space="preserve"> </w:t>
      </w:r>
      <w:r w:rsidRPr="000A645D">
        <w:t>The Art of the Long View</w:t>
      </w:r>
    </w:p>
  </w:footnote>
  <w:footnote w:id="1693">
    <w:p w14:paraId="0E3F28E5" w14:textId="77777777" w:rsidR="00B47FF5" w:rsidRDefault="00B47FF5" w:rsidP="00537CC8">
      <w:pPr>
        <w:pStyle w:val="FootnoteText"/>
      </w:pPr>
      <w:r>
        <w:rPr>
          <w:rStyle w:val="FootnoteReference"/>
        </w:rPr>
        <w:footnoteRef/>
      </w:r>
      <w:r>
        <w:rPr>
          <w:rtl/>
        </w:rPr>
        <w:t xml:space="preserve"> </w:t>
      </w:r>
      <w:r w:rsidRPr="00B42E81">
        <w:t>Pierre Wack</w:t>
      </w:r>
    </w:p>
  </w:footnote>
  <w:footnote w:id="1694">
    <w:p w14:paraId="28108D0B" w14:textId="77777777" w:rsidR="00B47FF5" w:rsidRDefault="00B47FF5" w:rsidP="00537CC8">
      <w:pPr>
        <w:pStyle w:val="FootnoteText"/>
      </w:pPr>
      <w:r>
        <w:rPr>
          <w:rStyle w:val="FootnoteReference"/>
        </w:rPr>
        <w:footnoteRef/>
      </w:r>
      <w:r>
        <w:rPr>
          <w:rtl/>
        </w:rPr>
        <w:t xml:space="preserve"> </w:t>
      </w:r>
      <w:r w:rsidRPr="00B42E81">
        <w:t>Art Kleiner</w:t>
      </w:r>
    </w:p>
  </w:footnote>
  <w:footnote w:id="1695">
    <w:p w14:paraId="1DFFAD26" w14:textId="77777777" w:rsidR="00B47FF5" w:rsidRDefault="00B47FF5" w:rsidP="00537CC8">
      <w:pPr>
        <w:pStyle w:val="FootnoteText"/>
      </w:pPr>
      <w:r>
        <w:rPr>
          <w:rStyle w:val="FootnoteReference"/>
        </w:rPr>
        <w:footnoteRef/>
      </w:r>
      <w:r>
        <w:rPr>
          <w:rtl/>
        </w:rPr>
        <w:t xml:space="preserve"> </w:t>
      </w:r>
      <w:r w:rsidRPr="005D5D26">
        <w:t>The Man Who Saw the Future</w:t>
      </w:r>
    </w:p>
  </w:footnote>
  <w:footnote w:id="1696">
    <w:p w14:paraId="74A24F96" w14:textId="77777777" w:rsidR="00B47FF5" w:rsidRDefault="00B47FF5" w:rsidP="00537CC8">
      <w:pPr>
        <w:pStyle w:val="FootnoteText"/>
      </w:pPr>
      <w:r>
        <w:rPr>
          <w:rStyle w:val="FootnoteReference"/>
        </w:rPr>
        <w:footnoteRef/>
      </w:r>
      <w:r>
        <w:rPr>
          <w:rtl/>
        </w:rPr>
        <w:t xml:space="preserve"> </w:t>
      </w:r>
      <w:r w:rsidRPr="000A645D">
        <w:t>Strategy+Business</w:t>
      </w:r>
    </w:p>
  </w:footnote>
  <w:footnote w:id="1697">
    <w:p w14:paraId="11D423F5" w14:textId="77777777" w:rsidR="00B47FF5" w:rsidRDefault="00B47FF5" w:rsidP="00537CC8">
      <w:pPr>
        <w:pStyle w:val="FootnoteText"/>
      </w:pPr>
      <w:r>
        <w:rPr>
          <w:rStyle w:val="FootnoteReference"/>
        </w:rPr>
        <w:footnoteRef/>
      </w:r>
      <w:r>
        <w:rPr>
          <w:rtl/>
        </w:rPr>
        <w:t xml:space="preserve"> </w:t>
      </w:r>
      <w:r w:rsidRPr="002078A1">
        <w:t>Angela Wilkinson</w:t>
      </w:r>
    </w:p>
  </w:footnote>
  <w:footnote w:id="1698">
    <w:p w14:paraId="1274283A" w14:textId="77777777" w:rsidR="00B47FF5" w:rsidRDefault="00B47FF5" w:rsidP="00537CC8">
      <w:pPr>
        <w:pStyle w:val="FootnoteText"/>
      </w:pPr>
      <w:r>
        <w:rPr>
          <w:rStyle w:val="FootnoteReference"/>
        </w:rPr>
        <w:footnoteRef/>
      </w:r>
      <w:r>
        <w:rPr>
          <w:rtl/>
        </w:rPr>
        <w:t xml:space="preserve"> </w:t>
      </w:r>
      <w:r w:rsidRPr="000A645D">
        <w:t>Oxford Scenarios Programme</w:t>
      </w:r>
    </w:p>
  </w:footnote>
  <w:footnote w:id="1699">
    <w:p w14:paraId="0D37F1B8" w14:textId="77777777" w:rsidR="00B47FF5" w:rsidRDefault="00B47FF5" w:rsidP="00537CC8">
      <w:pPr>
        <w:pStyle w:val="FootnoteText"/>
      </w:pPr>
      <w:r>
        <w:rPr>
          <w:rStyle w:val="FootnoteReference"/>
        </w:rPr>
        <w:footnoteRef/>
      </w:r>
      <w:r>
        <w:rPr>
          <w:rtl/>
        </w:rPr>
        <w:t xml:space="preserve"> </w:t>
      </w:r>
      <w:r w:rsidRPr="002078A1">
        <w:t>Roland Kupers</w:t>
      </w:r>
    </w:p>
  </w:footnote>
  <w:footnote w:id="1700">
    <w:p w14:paraId="3640DF9C" w14:textId="77777777" w:rsidR="00B47FF5" w:rsidRDefault="00B47FF5" w:rsidP="00537CC8">
      <w:pPr>
        <w:pStyle w:val="FootnoteText"/>
      </w:pPr>
      <w:r>
        <w:rPr>
          <w:rStyle w:val="FootnoteReference"/>
        </w:rPr>
        <w:footnoteRef/>
      </w:r>
      <w:r>
        <w:rPr>
          <w:rtl/>
        </w:rPr>
        <w:t xml:space="preserve"> </w:t>
      </w:r>
      <w:r w:rsidRPr="002078A1">
        <w:t>Gaston Berger</w:t>
      </w:r>
    </w:p>
  </w:footnote>
  <w:footnote w:id="1701">
    <w:p w14:paraId="71CF2D40" w14:textId="77777777" w:rsidR="00B47FF5" w:rsidRDefault="00B47FF5" w:rsidP="00537CC8">
      <w:pPr>
        <w:pStyle w:val="FootnoteText"/>
      </w:pPr>
      <w:r>
        <w:rPr>
          <w:rStyle w:val="FootnoteReference"/>
        </w:rPr>
        <w:footnoteRef/>
      </w:r>
      <w:r>
        <w:rPr>
          <w:rtl/>
        </w:rPr>
        <w:t xml:space="preserve"> </w:t>
      </w:r>
      <w:r w:rsidRPr="002078A1">
        <w:t>Bertrand de Jouvenel</w:t>
      </w:r>
    </w:p>
  </w:footnote>
  <w:footnote w:id="1702">
    <w:p w14:paraId="3407D854" w14:textId="77777777" w:rsidR="00B47FF5" w:rsidRDefault="00B47FF5" w:rsidP="00537CC8">
      <w:pPr>
        <w:pStyle w:val="FootnoteText"/>
      </w:pPr>
      <w:r>
        <w:rPr>
          <w:rStyle w:val="FootnoteReference"/>
        </w:rPr>
        <w:footnoteRef/>
      </w:r>
      <w:r>
        <w:rPr>
          <w:rtl/>
        </w:rPr>
        <w:t xml:space="preserve"> </w:t>
      </w:r>
      <w:r w:rsidRPr="002078A1">
        <w:t>Kupers</w:t>
      </w:r>
    </w:p>
  </w:footnote>
  <w:footnote w:id="1703">
    <w:p w14:paraId="2C02CD88" w14:textId="77777777" w:rsidR="00B47FF5" w:rsidRDefault="00B47FF5" w:rsidP="00537CC8">
      <w:pPr>
        <w:pStyle w:val="FootnoteText"/>
      </w:pPr>
      <w:r>
        <w:rPr>
          <w:rStyle w:val="FootnoteReference"/>
        </w:rPr>
        <w:footnoteRef/>
      </w:r>
      <w:r>
        <w:rPr>
          <w:rtl/>
        </w:rPr>
        <w:t xml:space="preserve"> </w:t>
      </w:r>
      <w:r w:rsidRPr="002078A1">
        <w:t>Keetie Sluyterman</w:t>
      </w:r>
    </w:p>
  </w:footnote>
  <w:footnote w:id="1704">
    <w:p w14:paraId="0293AB08" w14:textId="41A4E320" w:rsidR="00B47FF5" w:rsidRDefault="00B47FF5" w:rsidP="00537CC8">
      <w:pPr>
        <w:pStyle w:val="FootnoteText"/>
      </w:pPr>
      <w:r>
        <w:rPr>
          <w:rStyle w:val="FootnoteReference"/>
        </w:rPr>
        <w:footnoteRef/>
      </w:r>
      <w:r>
        <w:rPr>
          <w:rtl/>
        </w:rPr>
        <w:t xml:space="preserve"> </w:t>
      </w:r>
      <w:r w:rsidRPr="002078A1">
        <w:t>Boom</w:t>
      </w:r>
    </w:p>
  </w:footnote>
  <w:footnote w:id="1705">
    <w:p w14:paraId="76151676" w14:textId="77777777" w:rsidR="00B47FF5" w:rsidRDefault="00B47FF5" w:rsidP="00537CC8">
      <w:pPr>
        <w:pStyle w:val="FootnoteText"/>
      </w:pPr>
      <w:r>
        <w:rPr>
          <w:rStyle w:val="FootnoteReference"/>
        </w:rPr>
        <w:footnoteRef/>
      </w:r>
      <w:r>
        <w:rPr>
          <w:rtl/>
        </w:rPr>
        <w:t xml:space="preserve"> </w:t>
      </w:r>
      <w:r w:rsidRPr="002078A1">
        <w:t>Exxon</w:t>
      </w:r>
    </w:p>
  </w:footnote>
  <w:footnote w:id="1706">
    <w:p w14:paraId="220BB4CB" w14:textId="77777777" w:rsidR="00B47FF5" w:rsidRDefault="00B47FF5" w:rsidP="00537CC8">
      <w:pPr>
        <w:pStyle w:val="FootnoteText"/>
      </w:pPr>
      <w:r>
        <w:rPr>
          <w:rStyle w:val="FootnoteReference"/>
        </w:rPr>
        <w:footnoteRef/>
      </w:r>
      <w:r>
        <w:rPr>
          <w:rtl/>
        </w:rPr>
        <w:t xml:space="preserve"> </w:t>
      </w:r>
      <w:r w:rsidRPr="002078A1">
        <w:t>Exxon Vadez</w:t>
      </w:r>
    </w:p>
  </w:footnote>
  <w:footnote w:id="1707">
    <w:p w14:paraId="362386F8" w14:textId="77777777" w:rsidR="00B47FF5" w:rsidRDefault="00B47FF5" w:rsidP="00537CC8">
      <w:pPr>
        <w:pStyle w:val="FootnoteText"/>
      </w:pPr>
      <w:r>
        <w:rPr>
          <w:rStyle w:val="FootnoteReference"/>
        </w:rPr>
        <w:footnoteRef/>
      </w:r>
      <w:r>
        <w:rPr>
          <w:rtl/>
        </w:rPr>
        <w:t xml:space="preserve"> </w:t>
      </w:r>
      <w:r w:rsidRPr="002078A1">
        <w:t>British Petroleum</w:t>
      </w:r>
    </w:p>
  </w:footnote>
  <w:footnote w:id="1708">
    <w:p w14:paraId="0BFDACEB" w14:textId="77777777" w:rsidR="00B47FF5" w:rsidRDefault="00B47FF5" w:rsidP="00537CC8">
      <w:pPr>
        <w:pStyle w:val="FootnoteText"/>
      </w:pPr>
      <w:r>
        <w:rPr>
          <w:rStyle w:val="FootnoteReference"/>
        </w:rPr>
        <w:footnoteRef/>
      </w:r>
      <w:r>
        <w:rPr>
          <w:rtl/>
        </w:rPr>
        <w:t xml:space="preserve"> </w:t>
      </w:r>
      <w:r w:rsidRPr="002078A1">
        <w:t>Amoco</w:t>
      </w:r>
    </w:p>
  </w:footnote>
  <w:footnote w:id="1709">
    <w:p w14:paraId="1DDF582A" w14:textId="77777777" w:rsidR="00B47FF5" w:rsidRDefault="00B47FF5" w:rsidP="00537CC8">
      <w:pPr>
        <w:pStyle w:val="FootnoteText"/>
      </w:pPr>
      <w:r>
        <w:rPr>
          <w:rStyle w:val="FootnoteReference"/>
        </w:rPr>
        <w:footnoteRef/>
      </w:r>
      <w:r>
        <w:rPr>
          <w:rtl/>
        </w:rPr>
        <w:t xml:space="preserve"> </w:t>
      </w:r>
      <w:r w:rsidRPr="00D61F68">
        <w:t>Deepwater Horizon</w:t>
      </w:r>
    </w:p>
  </w:footnote>
  <w:footnote w:id="1710">
    <w:p w14:paraId="1C45FDDB" w14:textId="77777777" w:rsidR="00B47FF5" w:rsidRDefault="00B47FF5" w:rsidP="00537CC8">
      <w:pPr>
        <w:pStyle w:val="FootnoteText"/>
      </w:pPr>
      <w:r>
        <w:rPr>
          <w:rStyle w:val="FootnoteReference"/>
        </w:rPr>
        <w:footnoteRef/>
      </w:r>
      <w:r>
        <w:rPr>
          <w:rtl/>
        </w:rPr>
        <w:t xml:space="preserve"> </w:t>
      </w:r>
      <w:r w:rsidRPr="00F15B20">
        <w:t>There Is No Alternative</w:t>
      </w:r>
    </w:p>
  </w:footnote>
  <w:footnote w:id="1711">
    <w:p w14:paraId="44286FAF" w14:textId="3301682B" w:rsidR="00B47FF5" w:rsidRDefault="00B47FF5" w:rsidP="00537CC8">
      <w:pPr>
        <w:pStyle w:val="FootnoteText"/>
      </w:pPr>
      <w:r>
        <w:rPr>
          <w:rStyle w:val="FootnoteReference"/>
        </w:rPr>
        <w:footnoteRef/>
      </w:r>
      <w:r>
        <w:rPr>
          <w:rtl/>
        </w:rPr>
        <w:t xml:space="preserve"> </w:t>
      </w:r>
      <w:r>
        <w:t>Liberalization</w:t>
      </w:r>
    </w:p>
  </w:footnote>
  <w:footnote w:id="1712">
    <w:p w14:paraId="5E515E18" w14:textId="77777777" w:rsidR="00B47FF5" w:rsidRDefault="00B47FF5" w:rsidP="00537CC8">
      <w:pPr>
        <w:pStyle w:val="FootnoteText"/>
        <w:rPr>
          <w:rtl/>
        </w:rPr>
      </w:pPr>
      <w:r>
        <w:rPr>
          <w:rStyle w:val="FootnoteReference"/>
        </w:rPr>
        <w:footnoteRef/>
      </w:r>
      <w:r>
        <w:rPr>
          <w:rtl/>
        </w:rPr>
        <w:t xml:space="preserve"> </w:t>
      </w:r>
      <w:r w:rsidRPr="00777C14">
        <w:t>Shell Global Scenarios to 2025</w:t>
      </w:r>
    </w:p>
  </w:footnote>
  <w:footnote w:id="1713">
    <w:p w14:paraId="5D444B6C" w14:textId="77777777" w:rsidR="00B47FF5" w:rsidRDefault="00B47FF5" w:rsidP="000A4C38">
      <w:pPr>
        <w:pStyle w:val="FootnoteText"/>
      </w:pPr>
      <w:r>
        <w:rPr>
          <w:rStyle w:val="FootnoteReference"/>
        </w:rPr>
        <w:footnoteRef/>
      </w:r>
      <w:r>
        <w:rPr>
          <w:rtl/>
        </w:rPr>
        <w:t xml:space="preserve"> </w:t>
      </w:r>
      <w:r w:rsidRPr="002078A1">
        <w:t>The Essence of Scenarios: Learning from the Shell Experience</w:t>
      </w:r>
    </w:p>
  </w:footnote>
  <w:footnote w:id="1714">
    <w:p w14:paraId="26E84E3D" w14:textId="7C92A29F" w:rsidR="00B47FF5" w:rsidRDefault="00B47FF5" w:rsidP="00537CC8">
      <w:pPr>
        <w:pStyle w:val="FootnoteText"/>
      </w:pPr>
      <w:r>
        <w:rPr>
          <w:rStyle w:val="FootnoteReference"/>
        </w:rPr>
        <w:footnoteRef/>
      </w:r>
      <w:r>
        <w:rPr>
          <w:rtl/>
        </w:rPr>
        <w:t xml:space="preserve"> </w:t>
      </w:r>
      <w:r>
        <w:t>Multifactor</w:t>
      </w:r>
    </w:p>
  </w:footnote>
  <w:footnote w:id="1715">
    <w:p w14:paraId="390E4550" w14:textId="77777777" w:rsidR="00B47FF5" w:rsidRDefault="00B47FF5" w:rsidP="00537CC8">
      <w:pPr>
        <w:pStyle w:val="FootnoteText"/>
      </w:pPr>
      <w:r>
        <w:rPr>
          <w:rStyle w:val="FootnoteReference"/>
        </w:rPr>
        <w:footnoteRef/>
      </w:r>
      <w:r>
        <w:rPr>
          <w:rtl/>
        </w:rPr>
        <w:t xml:space="preserve"> </w:t>
      </w:r>
      <w:r w:rsidRPr="00D27BB5">
        <w:t>Factor Four</w:t>
      </w:r>
      <w:r>
        <w:t xml:space="preserve">: </w:t>
      </w:r>
      <w:r w:rsidRPr="00D27BB5">
        <w:t>Doubling Wealth, Halving Resource Use</w:t>
      </w:r>
    </w:p>
  </w:footnote>
  <w:footnote w:id="1716">
    <w:p w14:paraId="7385EF04" w14:textId="77777777" w:rsidR="00B47FF5" w:rsidRDefault="00B47FF5" w:rsidP="00537CC8">
      <w:pPr>
        <w:pStyle w:val="FootnoteText"/>
      </w:pPr>
      <w:r>
        <w:rPr>
          <w:rStyle w:val="FootnoteReference"/>
        </w:rPr>
        <w:footnoteRef/>
      </w:r>
      <w:r>
        <w:rPr>
          <w:rtl/>
        </w:rPr>
        <w:t xml:space="preserve"> </w:t>
      </w:r>
      <w:r w:rsidRPr="002078A1">
        <w:t>Weizsacker</w:t>
      </w:r>
    </w:p>
  </w:footnote>
  <w:footnote w:id="1717">
    <w:p w14:paraId="742F6E4D" w14:textId="77777777" w:rsidR="00B47FF5" w:rsidRDefault="00B47FF5" w:rsidP="00537CC8">
      <w:pPr>
        <w:pStyle w:val="FootnoteText"/>
      </w:pPr>
      <w:r>
        <w:rPr>
          <w:rStyle w:val="FootnoteReference"/>
        </w:rPr>
        <w:footnoteRef/>
      </w:r>
      <w:r>
        <w:rPr>
          <w:rtl/>
        </w:rPr>
        <w:t xml:space="preserve"> </w:t>
      </w:r>
      <w:r w:rsidRPr="00D27BB5">
        <w:t>More from Less</w:t>
      </w:r>
    </w:p>
  </w:footnote>
  <w:footnote w:id="1718">
    <w:p w14:paraId="5AA777EE" w14:textId="77777777" w:rsidR="00B47FF5" w:rsidRDefault="00B47FF5" w:rsidP="00537CC8">
      <w:pPr>
        <w:pStyle w:val="FootnoteText"/>
      </w:pPr>
      <w:r>
        <w:rPr>
          <w:rStyle w:val="FootnoteReference"/>
        </w:rPr>
        <w:footnoteRef/>
      </w:r>
      <w:r>
        <w:rPr>
          <w:rtl/>
        </w:rPr>
        <w:t xml:space="preserve"> </w:t>
      </w:r>
      <w:r w:rsidRPr="002078A1">
        <w:t>Adam Kahane</w:t>
      </w:r>
    </w:p>
  </w:footnote>
  <w:footnote w:id="1719">
    <w:p w14:paraId="65B0DE51" w14:textId="77777777" w:rsidR="00B47FF5" w:rsidRDefault="00B47FF5" w:rsidP="00537CC8">
      <w:pPr>
        <w:pStyle w:val="FootnoteText"/>
      </w:pPr>
      <w:r>
        <w:rPr>
          <w:rStyle w:val="FootnoteReference"/>
        </w:rPr>
        <w:footnoteRef/>
      </w:r>
      <w:r>
        <w:rPr>
          <w:rtl/>
        </w:rPr>
        <w:t xml:space="preserve"> </w:t>
      </w:r>
      <w:r w:rsidRPr="002078A1">
        <w:t>Generon</w:t>
      </w:r>
    </w:p>
  </w:footnote>
  <w:footnote w:id="1720">
    <w:p w14:paraId="4D4DC91A" w14:textId="77777777" w:rsidR="00B47FF5" w:rsidRDefault="00B47FF5" w:rsidP="00537CC8">
      <w:pPr>
        <w:pStyle w:val="FootnoteText"/>
      </w:pPr>
      <w:r>
        <w:rPr>
          <w:rStyle w:val="FootnoteReference"/>
        </w:rPr>
        <w:footnoteRef/>
      </w:r>
      <w:r>
        <w:rPr>
          <w:rtl/>
        </w:rPr>
        <w:t xml:space="preserve"> </w:t>
      </w:r>
      <w:r w:rsidRPr="002078A1">
        <w:t>Kahane</w:t>
      </w:r>
    </w:p>
  </w:footnote>
  <w:footnote w:id="1721">
    <w:p w14:paraId="3C28D811" w14:textId="77777777" w:rsidR="00B47FF5" w:rsidRDefault="00B47FF5" w:rsidP="00537CC8">
      <w:pPr>
        <w:pStyle w:val="FootnoteText"/>
      </w:pPr>
      <w:r>
        <w:rPr>
          <w:rStyle w:val="FootnoteReference"/>
        </w:rPr>
        <w:footnoteRef/>
      </w:r>
      <w:r>
        <w:rPr>
          <w:rtl/>
        </w:rPr>
        <w:t xml:space="preserve"> </w:t>
      </w:r>
      <w:r>
        <w:t>Ostrich</w:t>
      </w:r>
    </w:p>
  </w:footnote>
  <w:footnote w:id="1722">
    <w:p w14:paraId="05F5D40E" w14:textId="77777777" w:rsidR="00B47FF5" w:rsidRDefault="00B47FF5" w:rsidP="00537CC8">
      <w:pPr>
        <w:pStyle w:val="FootnoteText"/>
      </w:pPr>
      <w:r>
        <w:rPr>
          <w:rStyle w:val="FootnoteReference"/>
        </w:rPr>
        <w:footnoteRef/>
      </w:r>
      <w:r>
        <w:rPr>
          <w:rtl/>
        </w:rPr>
        <w:t xml:space="preserve"> </w:t>
      </w:r>
      <w:r>
        <w:t>Lame Duck</w:t>
      </w:r>
    </w:p>
  </w:footnote>
  <w:footnote w:id="1723">
    <w:p w14:paraId="42D4C253" w14:textId="77777777" w:rsidR="00B47FF5" w:rsidRDefault="00B47FF5" w:rsidP="00537CC8">
      <w:pPr>
        <w:pStyle w:val="FootnoteText"/>
      </w:pPr>
      <w:r>
        <w:rPr>
          <w:rStyle w:val="FootnoteReference"/>
        </w:rPr>
        <w:footnoteRef/>
      </w:r>
      <w:r>
        <w:rPr>
          <w:rtl/>
        </w:rPr>
        <w:t xml:space="preserve"> </w:t>
      </w:r>
      <w:r w:rsidRPr="00E35FC7">
        <w:t>Icarus</w:t>
      </w:r>
    </w:p>
  </w:footnote>
  <w:footnote w:id="1724">
    <w:p w14:paraId="772FCE8E" w14:textId="77777777" w:rsidR="00B47FF5" w:rsidRDefault="00B47FF5" w:rsidP="00537CC8">
      <w:pPr>
        <w:pStyle w:val="FootnoteText"/>
      </w:pPr>
      <w:r>
        <w:rPr>
          <w:rStyle w:val="FootnoteReference"/>
        </w:rPr>
        <w:footnoteRef/>
      </w:r>
      <w:r>
        <w:rPr>
          <w:rtl/>
        </w:rPr>
        <w:t xml:space="preserve"> </w:t>
      </w:r>
      <w:r w:rsidRPr="00C67C16">
        <w:t>F. W. de Klerk</w:t>
      </w:r>
    </w:p>
  </w:footnote>
  <w:footnote w:id="1725">
    <w:p w14:paraId="001406B7" w14:textId="5D15B4AF" w:rsidR="00B47FF5" w:rsidRDefault="00B47FF5" w:rsidP="00537CC8">
      <w:pPr>
        <w:pStyle w:val="FootnoteText"/>
      </w:pPr>
      <w:r>
        <w:rPr>
          <w:rStyle w:val="FootnoteReference"/>
        </w:rPr>
        <w:footnoteRef/>
      </w:r>
      <w:r>
        <w:rPr>
          <w:rtl/>
        </w:rPr>
        <w:t xml:space="preserve"> </w:t>
      </w:r>
      <w:r>
        <w:t>Civic scenarios</w:t>
      </w:r>
    </w:p>
  </w:footnote>
  <w:footnote w:id="1726">
    <w:p w14:paraId="1B5247F7" w14:textId="77777777" w:rsidR="00B47FF5" w:rsidRDefault="00B47FF5" w:rsidP="00537CC8">
      <w:pPr>
        <w:pStyle w:val="FootnoteText"/>
      </w:pPr>
      <w:r>
        <w:rPr>
          <w:rStyle w:val="FootnoteReference"/>
        </w:rPr>
        <w:footnoteRef/>
      </w:r>
      <w:r>
        <w:rPr>
          <w:rtl/>
        </w:rPr>
        <w:t xml:space="preserve"> </w:t>
      </w:r>
      <w:r w:rsidRPr="005034F2">
        <w:t>Civic Scenarios as a Tool for Making History</w:t>
      </w:r>
    </w:p>
  </w:footnote>
  <w:footnote w:id="1727">
    <w:p w14:paraId="3E9F8C06" w14:textId="77777777" w:rsidR="00B47FF5" w:rsidRDefault="00B47FF5" w:rsidP="00537CC8">
      <w:pPr>
        <w:pStyle w:val="FootnoteText"/>
      </w:pPr>
      <w:r>
        <w:rPr>
          <w:rStyle w:val="FootnoteReference"/>
        </w:rPr>
        <w:footnoteRef/>
      </w:r>
      <w:r>
        <w:rPr>
          <w:rtl/>
        </w:rPr>
        <w:t xml:space="preserve"> </w:t>
      </w:r>
      <w:r w:rsidRPr="005034F2">
        <w:t>Scenario Planning in Organizations</w:t>
      </w:r>
    </w:p>
  </w:footnote>
  <w:footnote w:id="1728">
    <w:p w14:paraId="09CB99A0" w14:textId="77777777" w:rsidR="00B47FF5" w:rsidRDefault="00B47FF5" w:rsidP="00537CC8">
      <w:pPr>
        <w:pStyle w:val="FootnoteText"/>
      </w:pPr>
      <w:r>
        <w:rPr>
          <w:rStyle w:val="FootnoteReference"/>
        </w:rPr>
        <w:footnoteRef/>
      </w:r>
      <w:r>
        <w:rPr>
          <w:rtl/>
        </w:rPr>
        <w:t xml:space="preserve"> </w:t>
      </w:r>
      <w:r w:rsidRPr="00C67C16">
        <w:t>Tom Chermack</w:t>
      </w:r>
    </w:p>
  </w:footnote>
  <w:footnote w:id="1729">
    <w:p w14:paraId="62D141A0" w14:textId="77777777" w:rsidR="00B47FF5" w:rsidRDefault="00B47FF5" w:rsidP="00537CC8">
      <w:pPr>
        <w:pStyle w:val="FootnoteText"/>
      </w:pPr>
      <w:r>
        <w:rPr>
          <w:rStyle w:val="FootnoteReference"/>
        </w:rPr>
        <w:footnoteRef/>
      </w:r>
      <w:r>
        <w:rPr>
          <w:rtl/>
        </w:rPr>
        <w:t xml:space="preserve"> </w:t>
      </w:r>
      <w:r w:rsidRPr="00701F45">
        <w:t>Learning from the Future: Competitive Foresight Scenarios</w:t>
      </w:r>
    </w:p>
  </w:footnote>
  <w:footnote w:id="1730">
    <w:p w14:paraId="10CF814D" w14:textId="77777777" w:rsidR="00B47FF5" w:rsidRDefault="00B47FF5" w:rsidP="00537CC8">
      <w:pPr>
        <w:pStyle w:val="FootnoteText"/>
      </w:pPr>
      <w:r>
        <w:rPr>
          <w:rStyle w:val="FootnoteReference"/>
        </w:rPr>
        <w:footnoteRef/>
      </w:r>
      <w:r>
        <w:rPr>
          <w:rtl/>
        </w:rPr>
        <w:t xml:space="preserve"> </w:t>
      </w:r>
      <w:r w:rsidRPr="00C67C16">
        <w:t>Fahey</w:t>
      </w:r>
    </w:p>
  </w:footnote>
  <w:footnote w:id="1731">
    <w:p w14:paraId="03A02937" w14:textId="77777777" w:rsidR="00B47FF5" w:rsidRDefault="00B47FF5" w:rsidP="00537CC8">
      <w:pPr>
        <w:pStyle w:val="FootnoteText"/>
      </w:pPr>
      <w:r>
        <w:rPr>
          <w:rStyle w:val="FootnoteReference"/>
        </w:rPr>
        <w:footnoteRef/>
      </w:r>
      <w:r>
        <w:rPr>
          <w:rtl/>
        </w:rPr>
        <w:t xml:space="preserve"> </w:t>
      </w:r>
      <w:r w:rsidRPr="00C67C16">
        <w:t>Randall</w:t>
      </w:r>
    </w:p>
  </w:footnote>
  <w:footnote w:id="1732">
    <w:p w14:paraId="3259C5F9" w14:textId="2EEEF995" w:rsidR="00B47FF5" w:rsidRDefault="00B47FF5" w:rsidP="00537CC8">
      <w:pPr>
        <w:pStyle w:val="FootnoteText"/>
      </w:pPr>
      <w:r>
        <w:rPr>
          <w:rStyle w:val="FootnoteReference"/>
        </w:rPr>
        <w:footnoteRef/>
      </w:r>
      <w:r>
        <w:rPr>
          <w:rtl/>
        </w:rPr>
        <w:t xml:space="preserve"> </w:t>
      </w:r>
      <w:r>
        <w:t>Scenario Learning</w:t>
      </w:r>
    </w:p>
  </w:footnote>
  <w:footnote w:id="1733">
    <w:p w14:paraId="390CB4A1" w14:textId="3E65B288" w:rsidR="00B47FF5" w:rsidRDefault="00B47FF5" w:rsidP="00537CC8">
      <w:pPr>
        <w:pStyle w:val="FootnoteText"/>
      </w:pPr>
      <w:r>
        <w:rPr>
          <w:rStyle w:val="FootnoteReference"/>
        </w:rPr>
        <w:footnoteRef/>
      </w:r>
      <w:r>
        <w:rPr>
          <w:rtl/>
        </w:rPr>
        <w:t xml:space="preserve"> </w:t>
      </w:r>
      <w:r w:rsidRPr="005034F2">
        <w:t>Preference foresight</w:t>
      </w:r>
    </w:p>
  </w:footnote>
  <w:footnote w:id="1734">
    <w:p w14:paraId="377A4FCB" w14:textId="77777777" w:rsidR="00B47FF5" w:rsidRDefault="00B47FF5" w:rsidP="00537CC8">
      <w:pPr>
        <w:pStyle w:val="FootnoteText"/>
      </w:pPr>
      <w:r>
        <w:rPr>
          <w:rStyle w:val="FootnoteReference"/>
        </w:rPr>
        <w:footnoteRef/>
      </w:r>
      <w:r>
        <w:rPr>
          <w:rtl/>
        </w:rPr>
        <w:t xml:space="preserve"> </w:t>
      </w:r>
      <w:r w:rsidRPr="000F3455">
        <w:t>The Lean Enterprise: How Corporations Can</w:t>
      </w:r>
      <w:r>
        <w:t xml:space="preserve"> </w:t>
      </w:r>
      <w:r w:rsidRPr="000F3455">
        <w:t>Innovate Like Startups</w:t>
      </w:r>
    </w:p>
  </w:footnote>
  <w:footnote w:id="1735">
    <w:p w14:paraId="6A53E746" w14:textId="77777777" w:rsidR="00B47FF5" w:rsidRDefault="00B47FF5" w:rsidP="00537CC8">
      <w:pPr>
        <w:pStyle w:val="FootnoteText"/>
      </w:pPr>
      <w:r>
        <w:rPr>
          <w:rStyle w:val="FootnoteReference"/>
        </w:rPr>
        <w:footnoteRef/>
      </w:r>
      <w:r>
        <w:rPr>
          <w:rtl/>
        </w:rPr>
        <w:t xml:space="preserve"> </w:t>
      </w:r>
      <w:r w:rsidRPr="00C67C16">
        <w:t>Owen</w:t>
      </w:r>
    </w:p>
  </w:footnote>
  <w:footnote w:id="1736">
    <w:p w14:paraId="2FDC620A" w14:textId="77777777" w:rsidR="00B47FF5" w:rsidRDefault="00B47FF5" w:rsidP="00537CC8">
      <w:pPr>
        <w:pStyle w:val="FootnoteText"/>
      </w:pPr>
      <w:r>
        <w:rPr>
          <w:rStyle w:val="FootnoteReference"/>
        </w:rPr>
        <w:footnoteRef/>
      </w:r>
      <w:r>
        <w:rPr>
          <w:rtl/>
        </w:rPr>
        <w:t xml:space="preserve"> </w:t>
      </w:r>
      <w:r w:rsidRPr="00C67C16">
        <w:t>Fernandez</w:t>
      </w:r>
    </w:p>
  </w:footnote>
  <w:footnote w:id="1737">
    <w:p w14:paraId="34A9EBE8" w14:textId="77777777" w:rsidR="00B47FF5" w:rsidRDefault="00B47FF5" w:rsidP="00537CC8">
      <w:pPr>
        <w:pStyle w:val="FootnoteText"/>
      </w:pPr>
      <w:r>
        <w:rPr>
          <w:rStyle w:val="FootnoteReference"/>
        </w:rPr>
        <w:footnoteRef/>
      </w:r>
      <w:r>
        <w:rPr>
          <w:rtl/>
        </w:rPr>
        <w:t xml:space="preserve"> </w:t>
      </w:r>
      <w:r w:rsidRPr="000F3455">
        <w:t>The New Killer</w:t>
      </w:r>
      <w:r>
        <w:t xml:space="preserve"> </w:t>
      </w:r>
      <w:r w:rsidRPr="000F3455">
        <w:t>Apps: How Large Companies Can Out-Innovate Start-Ups</w:t>
      </w:r>
    </w:p>
  </w:footnote>
  <w:footnote w:id="1738">
    <w:p w14:paraId="75CBE7B0" w14:textId="77777777" w:rsidR="00B47FF5" w:rsidRDefault="00B47FF5" w:rsidP="00537CC8">
      <w:pPr>
        <w:pStyle w:val="FootnoteText"/>
      </w:pPr>
      <w:r>
        <w:rPr>
          <w:rStyle w:val="FootnoteReference"/>
        </w:rPr>
        <w:footnoteRef/>
      </w:r>
      <w:r>
        <w:rPr>
          <w:rtl/>
        </w:rPr>
        <w:t xml:space="preserve"> </w:t>
      </w:r>
      <w:r w:rsidRPr="00C67C16">
        <w:t>Mui and Carroll</w:t>
      </w:r>
    </w:p>
  </w:footnote>
  <w:footnote w:id="1739">
    <w:p w14:paraId="2A8444EC" w14:textId="77777777" w:rsidR="00B47FF5" w:rsidRDefault="00B47FF5" w:rsidP="00537CC8">
      <w:pPr>
        <w:pStyle w:val="FootnoteText"/>
      </w:pPr>
      <w:r>
        <w:rPr>
          <w:rStyle w:val="FootnoteReference"/>
        </w:rPr>
        <w:footnoteRef/>
      </w:r>
      <w:r>
        <w:rPr>
          <w:rtl/>
        </w:rPr>
        <w:t xml:space="preserve"> </w:t>
      </w:r>
      <w:r w:rsidRPr="000F3455">
        <w:t>Venturing in</w:t>
      </w:r>
      <w:r>
        <w:t xml:space="preserve"> </w:t>
      </w:r>
      <w:r w:rsidRPr="000F3455">
        <w:t>International Firms</w:t>
      </w:r>
    </w:p>
  </w:footnote>
  <w:footnote w:id="1740">
    <w:p w14:paraId="2F54E07C" w14:textId="77777777" w:rsidR="00B47FF5" w:rsidRDefault="00B47FF5" w:rsidP="00537CC8">
      <w:pPr>
        <w:pStyle w:val="FootnoteText"/>
      </w:pPr>
      <w:r>
        <w:rPr>
          <w:rStyle w:val="FootnoteReference"/>
        </w:rPr>
        <w:footnoteRef/>
      </w:r>
      <w:r>
        <w:rPr>
          <w:rtl/>
        </w:rPr>
        <w:t xml:space="preserve"> </w:t>
      </w:r>
      <w:r w:rsidRPr="00C67C16">
        <w:t>Chris William</w:t>
      </w:r>
    </w:p>
  </w:footnote>
  <w:footnote w:id="1741">
    <w:p w14:paraId="6634CB36" w14:textId="46EAFF83" w:rsidR="00B47FF5" w:rsidRDefault="00B47FF5" w:rsidP="00537CC8">
      <w:pPr>
        <w:pStyle w:val="FootnoteText"/>
      </w:pPr>
      <w:r>
        <w:rPr>
          <w:rStyle w:val="FootnoteReference"/>
        </w:rPr>
        <w:footnoteRef/>
      </w:r>
      <w:r>
        <w:rPr>
          <w:rtl/>
        </w:rPr>
        <w:t xml:space="preserve"> </w:t>
      </w:r>
      <w:r>
        <w:t>Counterintuitive</w:t>
      </w:r>
    </w:p>
  </w:footnote>
  <w:footnote w:id="1742">
    <w:p w14:paraId="1264D27A" w14:textId="77777777" w:rsidR="00B47FF5" w:rsidRDefault="00B47FF5" w:rsidP="00537CC8">
      <w:pPr>
        <w:pStyle w:val="FootnoteText"/>
      </w:pPr>
      <w:r>
        <w:rPr>
          <w:rStyle w:val="FootnoteReference"/>
        </w:rPr>
        <w:footnoteRef/>
      </w:r>
      <w:r>
        <w:rPr>
          <w:rtl/>
        </w:rPr>
        <w:t xml:space="preserve"> </w:t>
      </w:r>
      <w:r w:rsidRPr="00C67C16">
        <w:t>Xerox</w:t>
      </w:r>
    </w:p>
  </w:footnote>
  <w:footnote w:id="1743">
    <w:p w14:paraId="40EB4F76" w14:textId="77777777" w:rsidR="00B47FF5" w:rsidRDefault="00B47FF5" w:rsidP="00537CC8">
      <w:pPr>
        <w:pStyle w:val="FootnoteText"/>
      </w:pPr>
      <w:r>
        <w:rPr>
          <w:rStyle w:val="FootnoteReference"/>
        </w:rPr>
        <w:footnoteRef/>
      </w:r>
      <w:r>
        <w:rPr>
          <w:rtl/>
        </w:rPr>
        <w:t xml:space="preserve"> </w:t>
      </w:r>
      <w:r w:rsidRPr="009302F9">
        <w:t>Wargaming for Leaders</w:t>
      </w:r>
    </w:p>
  </w:footnote>
  <w:footnote w:id="1744">
    <w:p w14:paraId="1E54441A" w14:textId="77777777" w:rsidR="00B47FF5" w:rsidRDefault="00B47FF5" w:rsidP="00537CC8">
      <w:pPr>
        <w:pStyle w:val="FootnoteText"/>
      </w:pPr>
      <w:r>
        <w:rPr>
          <w:rStyle w:val="FootnoteReference"/>
        </w:rPr>
        <w:footnoteRef/>
      </w:r>
      <w:r>
        <w:rPr>
          <w:rtl/>
        </w:rPr>
        <w:t xml:space="preserve"> </w:t>
      </w:r>
      <w:r w:rsidRPr="00C67C16">
        <w:t>Mark Herman</w:t>
      </w:r>
    </w:p>
  </w:footnote>
  <w:footnote w:id="1745">
    <w:p w14:paraId="21C551F2" w14:textId="77777777" w:rsidR="00B47FF5" w:rsidRDefault="00B47FF5" w:rsidP="00537CC8">
      <w:pPr>
        <w:pStyle w:val="FootnoteText"/>
      </w:pPr>
      <w:r>
        <w:rPr>
          <w:rStyle w:val="FootnoteReference"/>
        </w:rPr>
        <w:footnoteRef/>
      </w:r>
      <w:r>
        <w:rPr>
          <w:rtl/>
        </w:rPr>
        <w:t xml:space="preserve"> </w:t>
      </w:r>
      <w:r w:rsidRPr="00C67C16">
        <w:t>Booz Allen Hamilton</w:t>
      </w:r>
    </w:p>
  </w:footnote>
  <w:footnote w:id="1746">
    <w:p w14:paraId="29E562BE" w14:textId="77777777" w:rsidR="00B47FF5" w:rsidRDefault="00B47FF5" w:rsidP="00537CC8">
      <w:pPr>
        <w:pStyle w:val="FootnoteText"/>
      </w:pPr>
      <w:r>
        <w:rPr>
          <w:rStyle w:val="FootnoteReference"/>
        </w:rPr>
        <w:footnoteRef/>
      </w:r>
      <w:r>
        <w:rPr>
          <w:rtl/>
        </w:rPr>
        <w:t xml:space="preserve"> </w:t>
      </w:r>
      <w:r w:rsidRPr="00C67C16">
        <w:t>Florida Power &amp; Light</w:t>
      </w:r>
    </w:p>
  </w:footnote>
  <w:footnote w:id="1747">
    <w:p w14:paraId="6009E4D8" w14:textId="77777777" w:rsidR="00B47FF5" w:rsidRDefault="00B47FF5" w:rsidP="00537CC8">
      <w:pPr>
        <w:pStyle w:val="FootnoteText"/>
      </w:pPr>
      <w:r>
        <w:rPr>
          <w:rStyle w:val="FootnoteReference"/>
        </w:rPr>
        <w:footnoteRef/>
      </w:r>
      <w:r>
        <w:rPr>
          <w:rtl/>
        </w:rPr>
        <w:t xml:space="preserve"> </w:t>
      </w:r>
      <w:r w:rsidRPr="00C67C16">
        <w:t>Caterpillar</w:t>
      </w:r>
    </w:p>
  </w:footnote>
  <w:footnote w:id="1748">
    <w:p w14:paraId="769D19CB" w14:textId="77777777" w:rsidR="00B47FF5" w:rsidRDefault="00B47FF5" w:rsidP="00537CC8">
      <w:pPr>
        <w:pStyle w:val="FootnoteText"/>
      </w:pPr>
      <w:r>
        <w:rPr>
          <w:rStyle w:val="FootnoteReference"/>
        </w:rPr>
        <w:footnoteRef/>
      </w:r>
      <w:r>
        <w:rPr>
          <w:rtl/>
        </w:rPr>
        <w:t xml:space="preserve"> </w:t>
      </w:r>
      <w:r>
        <w:t>Design thinking</w:t>
      </w:r>
    </w:p>
  </w:footnote>
  <w:footnote w:id="1749">
    <w:p w14:paraId="03F36D19" w14:textId="77777777" w:rsidR="00B47FF5" w:rsidRDefault="00B47FF5" w:rsidP="00537CC8">
      <w:pPr>
        <w:pStyle w:val="FootnoteText"/>
      </w:pPr>
      <w:r>
        <w:rPr>
          <w:rStyle w:val="FootnoteReference"/>
        </w:rPr>
        <w:footnoteRef/>
      </w:r>
      <w:r>
        <w:rPr>
          <w:rtl/>
        </w:rPr>
        <w:t xml:space="preserve"> </w:t>
      </w:r>
      <w:r w:rsidRPr="0094515E">
        <w:t>Change by Design</w:t>
      </w:r>
    </w:p>
  </w:footnote>
  <w:footnote w:id="1750">
    <w:p w14:paraId="2CACFE5F" w14:textId="77777777" w:rsidR="00B47FF5" w:rsidRDefault="00B47FF5" w:rsidP="00537CC8">
      <w:pPr>
        <w:pStyle w:val="FootnoteText"/>
      </w:pPr>
      <w:r>
        <w:rPr>
          <w:rStyle w:val="FootnoteReference"/>
        </w:rPr>
        <w:footnoteRef/>
      </w:r>
      <w:r>
        <w:rPr>
          <w:rtl/>
        </w:rPr>
        <w:t xml:space="preserve"> </w:t>
      </w:r>
      <w:r>
        <w:t>40</w:t>
      </w:r>
      <w:r w:rsidRPr="0094515E">
        <w:rPr>
          <w:rtl/>
        </w:rPr>
        <w:t xml:space="preserve"> </w:t>
      </w:r>
      <w:r w:rsidRPr="0094515E">
        <w:t>Design Thinking Success Stories</w:t>
      </w:r>
    </w:p>
  </w:footnote>
  <w:footnote w:id="1751">
    <w:p w14:paraId="03A75563" w14:textId="77777777" w:rsidR="00B47FF5" w:rsidRDefault="00B47FF5" w:rsidP="00537CC8">
      <w:pPr>
        <w:pStyle w:val="FootnoteText"/>
      </w:pPr>
      <w:r>
        <w:rPr>
          <w:rStyle w:val="FootnoteReference"/>
        </w:rPr>
        <w:footnoteRef/>
      </w:r>
      <w:r>
        <w:rPr>
          <w:rtl/>
        </w:rPr>
        <w:t xml:space="preserve"> </w:t>
      </w:r>
      <w:r w:rsidRPr="009302F9">
        <w:t>Accidental Design Thinker</w:t>
      </w:r>
    </w:p>
  </w:footnote>
  <w:footnote w:id="1752">
    <w:p w14:paraId="45836665" w14:textId="77777777" w:rsidR="00B47FF5" w:rsidRDefault="00B47FF5" w:rsidP="00537CC8">
      <w:pPr>
        <w:pStyle w:val="FootnoteText"/>
      </w:pPr>
      <w:r>
        <w:rPr>
          <w:rStyle w:val="FootnoteReference"/>
        </w:rPr>
        <w:footnoteRef/>
      </w:r>
      <w:r>
        <w:rPr>
          <w:rtl/>
        </w:rPr>
        <w:t xml:space="preserve"> </w:t>
      </w:r>
      <w:r w:rsidRPr="00C67C16">
        <w:t>AirBnB</w:t>
      </w:r>
    </w:p>
  </w:footnote>
  <w:footnote w:id="1753">
    <w:p w14:paraId="5CFC09B4" w14:textId="77777777" w:rsidR="00B47FF5" w:rsidRDefault="00B47FF5" w:rsidP="00537CC8">
      <w:pPr>
        <w:pStyle w:val="FootnoteText"/>
      </w:pPr>
      <w:r>
        <w:rPr>
          <w:rStyle w:val="FootnoteReference"/>
        </w:rPr>
        <w:footnoteRef/>
      </w:r>
      <w:r>
        <w:rPr>
          <w:rtl/>
        </w:rPr>
        <w:t xml:space="preserve"> </w:t>
      </w:r>
      <w:r w:rsidRPr="00C67C16">
        <w:t>Joe Gebbia</w:t>
      </w:r>
    </w:p>
  </w:footnote>
  <w:footnote w:id="1754">
    <w:p w14:paraId="4C0D3680" w14:textId="77777777" w:rsidR="00B47FF5" w:rsidRDefault="00B47FF5" w:rsidP="00537CC8">
      <w:pPr>
        <w:pStyle w:val="FootnoteText"/>
      </w:pPr>
      <w:r>
        <w:rPr>
          <w:rStyle w:val="FootnoteReference"/>
        </w:rPr>
        <w:footnoteRef/>
      </w:r>
      <w:r>
        <w:rPr>
          <w:rtl/>
        </w:rPr>
        <w:t xml:space="preserve"> </w:t>
      </w:r>
      <w:r w:rsidRPr="00C67C16">
        <w:t>Bell</w:t>
      </w:r>
    </w:p>
  </w:footnote>
  <w:footnote w:id="1755">
    <w:p w14:paraId="31F0ACDC" w14:textId="77777777" w:rsidR="00B47FF5" w:rsidRDefault="00B47FF5" w:rsidP="00537CC8">
      <w:pPr>
        <w:pStyle w:val="FootnoteText"/>
      </w:pPr>
      <w:r>
        <w:rPr>
          <w:rStyle w:val="FootnoteReference"/>
        </w:rPr>
        <w:footnoteRef/>
      </w:r>
      <w:r>
        <w:rPr>
          <w:rtl/>
        </w:rPr>
        <w:t xml:space="preserve"> </w:t>
      </w:r>
      <w:r w:rsidRPr="00C67C16">
        <w:t>AT&amp;T</w:t>
      </w:r>
    </w:p>
  </w:footnote>
  <w:footnote w:id="1756">
    <w:p w14:paraId="79243E06" w14:textId="77777777" w:rsidR="00B47FF5" w:rsidRDefault="00B47FF5" w:rsidP="00537CC8">
      <w:pPr>
        <w:pStyle w:val="FootnoteText"/>
      </w:pPr>
      <w:r>
        <w:rPr>
          <w:rStyle w:val="FootnoteReference"/>
        </w:rPr>
        <w:footnoteRef/>
      </w:r>
      <w:r>
        <w:rPr>
          <w:rtl/>
        </w:rPr>
        <w:t xml:space="preserve"> </w:t>
      </w:r>
      <w:r w:rsidRPr="00C67C16">
        <w:t>Boeing</w:t>
      </w:r>
    </w:p>
  </w:footnote>
  <w:footnote w:id="1757">
    <w:p w14:paraId="7E6C5EAB" w14:textId="77777777" w:rsidR="00B47FF5" w:rsidRDefault="00B47FF5" w:rsidP="00537CC8">
      <w:pPr>
        <w:pStyle w:val="FootnoteText"/>
      </w:pPr>
      <w:r>
        <w:rPr>
          <w:rStyle w:val="FootnoteReference"/>
        </w:rPr>
        <w:footnoteRef/>
      </w:r>
      <w:r>
        <w:rPr>
          <w:rtl/>
        </w:rPr>
        <w:t xml:space="preserve"> </w:t>
      </w:r>
      <w:r w:rsidRPr="00C67C16">
        <w:t>Kodak</w:t>
      </w:r>
    </w:p>
  </w:footnote>
  <w:footnote w:id="1758">
    <w:p w14:paraId="1E78B4F1" w14:textId="37E27D43" w:rsidR="00B47FF5" w:rsidRDefault="00B47FF5" w:rsidP="00537CC8">
      <w:pPr>
        <w:pStyle w:val="FootnoteText"/>
      </w:pPr>
      <w:r>
        <w:rPr>
          <w:rStyle w:val="FootnoteReference"/>
        </w:rPr>
        <w:footnoteRef/>
      </w:r>
      <w:r>
        <w:rPr>
          <w:rtl/>
        </w:rPr>
        <w:t xml:space="preserve"> </w:t>
      </w:r>
      <w:r w:rsidRPr="00C67C16">
        <w:t>Film</w:t>
      </w:r>
    </w:p>
  </w:footnote>
  <w:footnote w:id="1759">
    <w:p w14:paraId="17C24DE8" w14:textId="77777777" w:rsidR="00B47FF5" w:rsidRDefault="00B47FF5" w:rsidP="00537CC8">
      <w:pPr>
        <w:pStyle w:val="FootnoteText"/>
      </w:pPr>
      <w:r>
        <w:rPr>
          <w:rStyle w:val="FootnoteReference"/>
        </w:rPr>
        <w:footnoteRef/>
      </w:r>
      <w:r>
        <w:rPr>
          <w:rtl/>
        </w:rPr>
        <w:t xml:space="preserve"> </w:t>
      </w:r>
      <w:r w:rsidRPr="00284880">
        <w:t>National Crime Information Center</w:t>
      </w:r>
    </w:p>
  </w:footnote>
  <w:footnote w:id="1760">
    <w:p w14:paraId="14337448" w14:textId="77777777" w:rsidR="00B47FF5" w:rsidRDefault="00B47FF5" w:rsidP="00537CC8">
      <w:pPr>
        <w:pStyle w:val="FootnoteText"/>
      </w:pPr>
      <w:r>
        <w:rPr>
          <w:rStyle w:val="FootnoteReference"/>
        </w:rPr>
        <w:footnoteRef/>
      </w:r>
      <w:r>
        <w:rPr>
          <w:rtl/>
        </w:rPr>
        <w:t xml:space="preserve"> </w:t>
      </w:r>
      <w:r w:rsidRPr="007956A3">
        <w:t>The Innovator’s Dilemma: When New Technnologies Cause</w:t>
      </w:r>
      <w:r>
        <w:t xml:space="preserve"> </w:t>
      </w:r>
      <w:r w:rsidRPr="007956A3">
        <w:t>Great Firms to Fail</w:t>
      </w:r>
    </w:p>
  </w:footnote>
  <w:footnote w:id="1761">
    <w:p w14:paraId="1500AE13" w14:textId="77777777" w:rsidR="00B47FF5" w:rsidRDefault="00B47FF5" w:rsidP="00537CC8">
      <w:pPr>
        <w:pStyle w:val="FootnoteText"/>
      </w:pPr>
      <w:r>
        <w:rPr>
          <w:rStyle w:val="FootnoteReference"/>
        </w:rPr>
        <w:footnoteRef/>
      </w:r>
      <w:r>
        <w:rPr>
          <w:rtl/>
        </w:rPr>
        <w:t xml:space="preserve"> </w:t>
      </w:r>
      <w:r w:rsidRPr="00C67C16">
        <w:t>Fuji</w:t>
      </w:r>
    </w:p>
  </w:footnote>
  <w:footnote w:id="1762">
    <w:p w14:paraId="5622C00E" w14:textId="2EECF6D4" w:rsidR="00B47FF5" w:rsidRDefault="00B47FF5" w:rsidP="00537CC8">
      <w:pPr>
        <w:pStyle w:val="FootnoteText"/>
      </w:pPr>
      <w:r>
        <w:rPr>
          <w:rStyle w:val="FootnoteReference"/>
        </w:rPr>
        <w:footnoteRef/>
      </w:r>
      <w:r>
        <w:rPr>
          <w:rtl/>
        </w:rPr>
        <w:t xml:space="preserve"> </w:t>
      </w:r>
      <w:r>
        <w:t>Anticipatory foresight</w:t>
      </w:r>
    </w:p>
  </w:footnote>
  <w:footnote w:id="1763">
    <w:p w14:paraId="0E2EB8EC" w14:textId="77777777" w:rsidR="00B47FF5" w:rsidRDefault="00B47FF5" w:rsidP="00537CC8">
      <w:pPr>
        <w:pStyle w:val="FootnoteText"/>
      </w:pPr>
      <w:r>
        <w:rPr>
          <w:rStyle w:val="FootnoteReference"/>
        </w:rPr>
        <w:footnoteRef/>
      </w:r>
      <w:r>
        <w:rPr>
          <w:rtl/>
        </w:rPr>
        <w:t xml:space="preserve"> </w:t>
      </w:r>
      <w:r w:rsidRPr="008C6D1B">
        <w:t>The Ten Faces of Innovation</w:t>
      </w:r>
    </w:p>
  </w:footnote>
  <w:footnote w:id="1764">
    <w:p w14:paraId="3178F56D" w14:textId="77777777" w:rsidR="00B47FF5" w:rsidRDefault="00B47FF5" w:rsidP="00537CC8">
      <w:pPr>
        <w:pStyle w:val="FootnoteText"/>
      </w:pPr>
      <w:r>
        <w:rPr>
          <w:rStyle w:val="FootnoteReference"/>
        </w:rPr>
        <w:footnoteRef/>
      </w:r>
      <w:r>
        <w:rPr>
          <w:rtl/>
        </w:rPr>
        <w:t xml:space="preserve"> </w:t>
      </w:r>
      <w:r w:rsidRPr="00C85F57">
        <w:t>Kelly</w:t>
      </w:r>
    </w:p>
  </w:footnote>
  <w:footnote w:id="1765">
    <w:p w14:paraId="086C1936" w14:textId="77777777" w:rsidR="00B47FF5" w:rsidRDefault="00B47FF5" w:rsidP="00537CC8">
      <w:pPr>
        <w:pStyle w:val="FootnoteText"/>
      </w:pPr>
      <w:r>
        <w:rPr>
          <w:rStyle w:val="FootnoteReference"/>
        </w:rPr>
        <w:footnoteRef/>
      </w:r>
      <w:r>
        <w:rPr>
          <w:rtl/>
        </w:rPr>
        <w:t xml:space="preserve"> </w:t>
      </w:r>
      <w:r w:rsidRPr="00C85F57">
        <w:t>Littman</w:t>
      </w:r>
    </w:p>
  </w:footnote>
  <w:footnote w:id="1766">
    <w:p w14:paraId="23D6F776" w14:textId="37165502" w:rsidR="00B47FF5" w:rsidRDefault="00B47FF5">
      <w:pPr>
        <w:pStyle w:val="FootnoteText"/>
        <w:rPr>
          <w:rtl/>
        </w:rPr>
      </w:pPr>
      <w:r>
        <w:rPr>
          <w:rStyle w:val="FootnoteReference"/>
        </w:rPr>
        <w:footnoteRef/>
      </w:r>
      <w:r>
        <w:t xml:space="preserve"> </w:t>
      </w:r>
      <w:r w:rsidRPr="00822BD5">
        <w:t>Cross-Pollinator</w:t>
      </w:r>
    </w:p>
  </w:footnote>
  <w:footnote w:id="1767">
    <w:p w14:paraId="7C202DB9" w14:textId="0FEADF52" w:rsidR="00B47FF5" w:rsidRDefault="00B47FF5">
      <w:pPr>
        <w:pStyle w:val="FootnoteText"/>
        <w:rPr>
          <w:rtl/>
        </w:rPr>
      </w:pPr>
      <w:r>
        <w:rPr>
          <w:rStyle w:val="FootnoteReference"/>
        </w:rPr>
        <w:footnoteRef/>
      </w:r>
      <w:r>
        <w:t xml:space="preserve"> </w:t>
      </w:r>
      <w:r w:rsidRPr="00537CC8">
        <w:t>Hurdler</w:t>
      </w:r>
    </w:p>
  </w:footnote>
  <w:footnote w:id="1768">
    <w:p w14:paraId="360FF274" w14:textId="77777777" w:rsidR="00B47FF5" w:rsidRDefault="00B47FF5" w:rsidP="00537CC8">
      <w:pPr>
        <w:pStyle w:val="FootnoteText"/>
      </w:pPr>
      <w:r>
        <w:rPr>
          <w:rStyle w:val="FootnoteReference"/>
        </w:rPr>
        <w:footnoteRef/>
      </w:r>
      <w:r>
        <w:rPr>
          <w:rtl/>
        </w:rPr>
        <w:t xml:space="preserve"> </w:t>
      </w:r>
      <w:r w:rsidRPr="008E2E10">
        <w:t>Kraft</w:t>
      </w:r>
    </w:p>
  </w:footnote>
  <w:footnote w:id="1769">
    <w:p w14:paraId="1CD50AB5" w14:textId="77777777" w:rsidR="00B47FF5" w:rsidRDefault="00B47FF5" w:rsidP="00537CC8">
      <w:pPr>
        <w:pStyle w:val="FootnoteText"/>
      </w:pPr>
      <w:r>
        <w:rPr>
          <w:rStyle w:val="FootnoteReference"/>
        </w:rPr>
        <w:footnoteRef/>
      </w:r>
      <w:r>
        <w:rPr>
          <w:rtl/>
        </w:rPr>
        <w:t xml:space="preserve"> </w:t>
      </w:r>
      <w:r w:rsidRPr="008E2E10">
        <w:t>Procter and Gamble</w:t>
      </w:r>
    </w:p>
  </w:footnote>
  <w:footnote w:id="1770">
    <w:p w14:paraId="34088EEE" w14:textId="77777777" w:rsidR="00B47FF5" w:rsidRDefault="00B47FF5" w:rsidP="00537CC8">
      <w:pPr>
        <w:pStyle w:val="FootnoteText"/>
      </w:pPr>
      <w:r>
        <w:rPr>
          <w:rStyle w:val="FootnoteReference"/>
        </w:rPr>
        <w:footnoteRef/>
      </w:r>
      <w:r>
        <w:rPr>
          <w:rtl/>
        </w:rPr>
        <w:t xml:space="preserve"> </w:t>
      </w:r>
      <w:r w:rsidRPr="008E2E10">
        <w:t>Safeway</w:t>
      </w:r>
    </w:p>
  </w:footnote>
  <w:footnote w:id="1771">
    <w:p w14:paraId="47601DBF" w14:textId="77777777" w:rsidR="00B47FF5" w:rsidRDefault="00B47FF5" w:rsidP="00537CC8">
      <w:pPr>
        <w:pStyle w:val="FootnoteText"/>
      </w:pPr>
      <w:r>
        <w:rPr>
          <w:rStyle w:val="FootnoteReference"/>
        </w:rPr>
        <w:footnoteRef/>
      </w:r>
      <w:r>
        <w:rPr>
          <w:rtl/>
        </w:rPr>
        <w:t xml:space="preserve"> </w:t>
      </w:r>
      <w:r w:rsidRPr="008E2E10">
        <w:t>Mayo Clinic</w:t>
      </w:r>
    </w:p>
  </w:footnote>
  <w:footnote w:id="1772">
    <w:p w14:paraId="4D6207B2" w14:textId="77777777" w:rsidR="00B47FF5" w:rsidRDefault="00B47FF5" w:rsidP="00537CC8">
      <w:pPr>
        <w:pStyle w:val="FootnoteText"/>
      </w:pPr>
      <w:r>
        <w:rPr>
          <w:rStyle w:val="FootnoteReference"/>
        </w:rPr>
        <w:footnoteRef/>
      </w:r>
      <w:r>
        <w:rPr>
          <w:rtl/>
        </w:rPr>
        <w:t xml:space="preserve"> </w:t>
      </w:r>
      <w:r w:rsidRPr="007D78DD">
        <w:t>Innovation Judo</w:t>
      </w:r>
    </w:p>
  </w:footnote>
  <w:footnote w:id="1773">
    <w:p w14:paraId="44CE134D" w14:textId="77777777" w:rsidR="00B47FF5" w:rsidRDefault="00B47FF5" w:rsidP="00537CC8">
      <w:pPr>
        <w:pStyle w:val="FootnoteText"/>
      </w:pPr>
      <w:r>
        <w:rPr>
          <w:rStyle w:val="FootnoteReference"/>
        </w:rPr>
        <w:footnoteRef/>
      </w:r>
      <w:r>
        <w:rPr>
          <w:rtl/>
        </w:rPr>
        <w:t xml:space="preserve"> </w:t>
      </w:r>
      <w:r w:rsidRPr="008E2E10">
        <w:t>Neal Thornberry</w:t>
      </w:r>
    </w:p>
  </w:footnote>
  <w:footnote w:id="1774">
    <w:p w14:paraId="30C7506F" w14:textId="77777777" w:rsidR="00B47FF5" w:rsidRDefault="00B47FF5" w:rsidP="00537CC8">
      <w:pPr>
        <w:pStyle w:val="FootnoteText"/>
      </w:pPr>
      <w:r>
        <w:rPr>
          <w:rStyle w:val="FootnoteReference"/>
        </w:rPr>
        <w:footnoteRef/>
      </w:r>
      <w:r>
        <w:rPr>
          <w:rtl/>
        </w:rPr>
        <w:t xml:space="preserve"> </w:t>
      </w:r>
      <w:r w:rsidRPr="008E2E10">
        <w:t>Chrysler</w:t>
      </w:r>
    </w:p>
  </w:footnote>
  <w:footnote w:id="1775">
    <w:p w14:paraId="69657588" w14:textId="77777777" w:rsidR="00B47FF5" w:rsidRDefault="00B47FF5" w:rsidP="00537CC8">
      <w:pPr>
        <w:pStyle w:val="FootnoteText"/>
      </w:pPr>
      <w:r>
        <w:rPr>
          <w:rStyle w:val="FootnoteReference"/>
        </w:rPr>
        <w:footnoteRef/>
      </w:r>
      <w:r>
        <w:rPr>
          <w:rtl/>
        </w:rPr>
        <w:t xml:space="preserve"> </w:t>
      </w:r>
      <w:r w:rsidRPr="008E2E10">
        <w:t>Jeep Wrangler Rubicon</w:t>
      </w:r>
    </w:p>
  </w:footnote>
  <w:footnote w:id="1776">
    <w:p w14:paraId="745ADFFC" w14:textId="77777777" w:rsidR="00B47FF5" w:rsidRDefault="00B47FF5" w:rsidP="00537CC8">
      <w:pPr>
        <w:pStyle w:val="FootnoteText"/>
      </w:pPr>
      <w:r>
        <w:rPr>
          <w:rStyle w:val="FootnoteReference"/>
        </w:rPr>
        <w:footnoteRef/>
      </w:r>
      <w:r>
        <w:rPr>
          <w:rtl/>
        </w:rPr>
        <w:t xml:space="preserve"> </w:t>
      </w:r>
      <w:r w:rsidRPr="008E2E10">
        <w:t>Rick Rescorla</w:t>
      </w:r>
    </w:p>
  </w:footnote>
  <w:footnote w:id="1777">
    <w:p w14:paraId="5D4FB0DE" w14:textId="77777777" w:rsidR="00B47FF5" w:rsidRDefault="00B47FF5" w:rsidP="00537CC8">
      <w:pPr>
        <w:pStyle w:val="FootnoteText"/>
      </w:pPr>
      <w:r>
        <w:rPr>
          <w:rStyle w:val="FootnoteReference"/>
        </w:rPr>
        <w:footnoteRef/>
      </w:r>
      <w:r>
        <w:rPr>
          <w:rtl/>
        </w:rPr>
        <w:t xml:space="preserve"> </w:t>
      </w:r>
      <w:r>
        <w:t>Prussian commander</w:t>
      </w:r>
    </w:p>
  </w:footnote>
  <w:footnote w:id="1778">
    <w:p w14:paraId="55412B42" w14:textId="77777777" w:rsidR="00B47FF5" w:rsidRDefault="00B47FF5" w:rsidP="00537CC8">
      <w:pPr>
        <w:pStyle w:val="FootnoteText"/>
      </w:pPr>
      <w:r>
        <w:rPr>
          <w:rStyle w:val="FootnoteReference"/>
        </w:rPr>
        <w:footnoteRef/>
      </w:r>
      <w:r>
        <w:rPr>
          <w:rtl/>
        </w:rPr>
        <w:t xml:space="preserve"> </w:t>
      </w:r>
      <w:r w:rsidRPr="008E2E10">
        <w:t>Helmuth von Moltke</w:t>
      </w:r>
    </w:p>
  </w:footnote>
  <w:footnote w:id="1779">
    <w:p w14:paraId="4025716C" w14:textId="77777777" w:rsidR="00B47FF5" w:rsidRDefault="00B47FF5" w:rsidP="00537CC8">
      <w:pPr>
        <w:pStyle w:val="FootnoteText"/>
      </w:pPr>
      <w:r>
        <w:rPr>
          <w:rStyle w:val="FootnoteReference"/>
        </w:rPr>
        <w:footnoteRef/>
      </w:r>
      <w:r>
        <w:rPr>
          <w:rtl/>
        </w:rPr>
        <w:t xml:space="preserve"> </w:t>
      </w:r>
      <w:r w:rsidRPr="008E2E10">
        <w:t>Book Stacks Unlimited</w:t>
      </w:r>
    </w:p>
  </w:footnote>
  <w:footnote w:id="1780">
    <w:p w14:paraId="777D0C08" w14:textId="77777777" w:rsidR="00B47FF5" w:rsidRDefault="00B47FF5" w:rsidP="00537CC8">
      <w:pPr>
        <w:pStyle w:val="FootnoteText"/>
      </w:pPr>
      <w:r>
        <w:rPr>
          <w:rStyle w:val="FootnoteReference"/>
        </w:rPr>
        <w:footnoteRef/>
      </w:r>
      <w:r>
        <w:rPr>
          <w:rtl/>
        </w:rPr>
        <w:t xml:space="preserve"> </w:t>
      </w:r>
      <w:r w:rsidRPr="008E2E10">
        <w:t>Jeff Bezos</w:t>
      </w:r>
    </w:p>
  </w:footnote>
  <w:footnote w:id="1781">
    <w:p w14:paraId="134379E8" w14:textId="77777777" w:rsidR="00B47FF5" w:rsidRDefault="00B47FF5" w:rsidP="00537CC8">
      <w:pPr>
        <w:pStyle w:val="FootnoteText"/>
      </w:pPr>
      <w:r>
        <w:rPr>
          <w:rStyle w:val="FootnoteReference"/>
        </w:rPr>
        <w:footnoteRef/>
      </w:r>
      <w:r>
        <w:rPr>
          <w:rtl/>
        </w:rPr>
        <w:t xml:space="preserve"> </w:t>
      </w:r>
      <w:r w:rsidRPr="008E2E10">
        <w:t>Barnes &amp; Noble</w:t>
      </w:r>
    </w:p>
  </w:footnote>
  <w:footnote w:id="1782">
    <w:p w14:paraId="1EA87B72" w14:textId="303B7A47" w:rsidR="00B47FF5" w:rsidRDefault="00B47FF5" w:rsidP="00537CC8">
      <w:pPr>
        <w:pStyle w:val="FootnoteText"/>
      </w:pPr>
      <w:r>
        <w:rPr>
          <w:rStyle w:val="FootnoteReference"/>
        </w:rPr>
        <w:footnoteRef/>
      </w:r>
      <w:r>
        <w:rPr>
          <w:rtl/>
        </w:rPr>
        <w:t xml:space="preserve"> </w:t>
      </w:r>
      <w:r>
        <w:t>Open up</w:t>
      </w:r>
    </w:p>
  </w:footnote>
  <w:footnote w:id="1783">
    <w:p w14:paraId="409486CD" w14:textId="77777777" w:rsidR="00B47FF5" w:rsidRDefault="00B47FF5" w:rsidP="00537CC8">
      <w:pPr>
        <w:pStyle w:val="FootnoteText"/>
      </w:pPr>
      <w:r>
        <w:rPr>
          <w:rStyle w:val="FootnoteReference"/>
        </w:rPr>
        <w:footnoteRef/>
      </w:r>
      <w:r>
        <w:rPr>
          <w:rtl/>
        </w:rPr>
        <w:t xml:space="preserve"> </w:t>
      </w:r>
      <w:r w:rsidRPr="008E2E10">
        <w:t>Android</w:t>
      </w:r>
    </w:p>
  </w:footnote>
  <w:footnote w:id="1784">
    <w:p w14:paraId="1D043DC4" w14:textId="77777777" w:rsidR="00B47FF5" w:rsidRDefault="00B47FF5" w:rsidP="00537CC8">
      <w:pPr>
        <w:pStyle w:val="FootnoteText"/>
      </w:pPr>
      <w:r>
        <w:rPr>
          <w:rStyle w:val="FootnoteReference"/>
        </w:rPr>
        <w:footnoteRef/>
      </w:r>
      <w:r>
        <w:rPr>
          <w:rtl/>
        </w:rPr>
        <w:t xml:space="preserve"> </w:t>
      </w:r>
      <w:r w:rsidRPr="008E2E10">
        <w:t>Gerald Nanninga</w:t>
      </w:r>
    </w:p>
  </w:footnote>
  <w:footnote w:id="1785">
    <w:p w14:paraId="46C25322" w14:textId="77777777" w:rsidR="00B47FF5" w:rsidRDefault="00B47FF5" w:rsidP="00537CC8">
      <w:pPr>
        <w:pStyle w:val="FootnoteText"/>
      </w:pPr>
      <w:r>
        <w:rPr>
          <w:rStyle w:val="FootnoteReference"/>
        </w:rPr>
        <w:footnoteRef/>
      </w:r>
      <w:r>
        <w:rPr>
          <w:rtl/>
        </w:rPr>
        <w:t xml:space="preserve"> </w:t>
      </w:r>
      <w:r w:rsidRPr="008E2E10">
        <w:t>Dell</w:t>
      </w:r>
    </w:p>
  </w:footnote>
  <w:footnote w:id="1786">
    <w:p w14:paraId="27FC0B68" w14:textId="3B038DEB" w:rsidR="00B47FF5" w:rsidRDefault="00B47FF5" w:rsidP="00537CC8">
      <w:pPr>
        <w:pStyle w:val="FootnoteText"/>
      </w:pPr>
      <w:r>
        <w:rPr>
          <w:rStyle w:val="FootnoteReference"/>
        </w:rPr>
        <w:footnoteRef/>
      </w:r>
      <w:r>
        <w:rPr>
          <w:rtl/>
        </w:rPr>
        <w:t xml:space="preserve"> </w:t>
      </w:r>
      <w:r w:rsidRPr="008E2E10">
        <w:t>Compact</w:t>
      </w:r>
    </w:p>
  </w:footnote>
  <w:footnote w:id="1787">
    <w:p w14:paraId="0B4E5646" w14:textId="77777777" w:rsidR="00B47FF5" w:rsidRDefault="00B47FF5" w:rsidP="00537CC8">
      <w:pPr>
        <w:pStyle w:val="FootnoteText"/>
      </w:pPr>
      <w:r>
        <w:rPr>
          <w:rStyle w:val="FootnoteReference"/>
        </w:rPr>
        <w:footnoteRef/>
      </w:r>
      <w:r>
        <w:rPr>
          <w:rtl/>
        </w:rPr>
        <w:t xml:space="preserve"> </w:t>
      </w:r>
      <w:r w:rsidRPr="008E2E10">
        <w:t>Vivek Singh</w:t>
      </w:r>
    </w:p>
  </w:footnote>
  <w:footnote w:id="1788">
    <w:p w14:paraId="57506577" w14:textId="77777777" w:rsidR="00B47FF5" w:rsidRDefault="00B47FF5" w:rsidP="00537CC8">
      <w:pPr>
        <w:pStyle w:val="FootnoteText"/>
      </w:pPr>
      <w:r>
        <w:rPr>
          <w:rStyle w:val="FootnoteReference"/>
        </w:rPr>
        <w:footnoteRef/>
      </w:r>
      <w:r>
        <w:rPr>
          <w:rtl/>
        </w:rPr>
        <w:t xml:space="preserve"> </w:t>
      </w:r>
      <w:r w:rsidRPr="008E2E10">
        <w:t>Quora</w:t>
      </w:r>
    </w:p>
  </w:footnote>
  <w:footnote w:id="1789">
    <w:p w14:paraId="42515C40" w14:textId="77777777" w:rsidR="00B47FF5" w:rsidRDefault="00B47FF5" w:rsidP="00537CC8">
      <w:pPr>
        <w:pStyle w:val="FootnoteText"/>
      </w:pPr>
      <w:r>
        <w:rPr>
          <w:rStyle w:val="FootnoteReference"/>
        </w:rPr>
        <w:footnoteRef/>
      </w:r>
      <w:r>
        <w:rPr>
          <w:rtl/>
        </w:rPr>
        <w:t xml:space="preserve"> </w:t>
      </w:r>
      <w:r w:rsidRPr="008E2E10">
        <w:t>Kaizen</w:t>
      </w:r>
    </w:p>
  </w:footnote>
  <w:footnote w:id="1790">
    <w:p w14:paraId="464CCACE" w14:textId="77777777" w:rsidR="00B47FF5" w:rsidRDefault="00B47FF5" w:rsidP="00537CC8">
      <w:pPr>
        <w:pStyle w:val="FootnoteText"/>
      </w:pPr>
      <w:r>
        <w:rPr>
          <w:rStyle w:val="FootnoteReference"/>
        </w:rPr>
        <w:footnoteRef/>
      </w:r>
      <w:r>
        <w:rPr>
          <w:rtl/>
        </w:rPr>
        <w:t xml:space="preserve"> </w:t>
      </w:r>
      <w:r w:rsidRPr="008E2E10">
        <w:t>Kentucky</w:t>
      </w:r>
    </w:p>
  </w:footnote>
  <w:footnote w:id="1791">
    <w:p w14:paraId="0B0D2C96" w14:textId="77777777" w:rsidR="00B47FF5" w:rsidRDefault="00B47FF5" w:rsidP="00537CC8">
      <w:pPr>
        <w:pStyle w:val="FootnoteText"/>
      </w:pPr>
      <w:r>
        <w:rPr>
          <w:rStyle w:val="FootnoteReference"/>
        </w:rPr>
        <w:footnoteRef/>
      </w:r>
      <w:r>
        <w:rPr>
          <w:rtl/>
        </w:rPr>
        <w:t xml:space="preserve"> </w:t>
      </w:r>
      <w:r w:rsidRPr="00CB7D79">
        <w:t>The Toyota Way</w:t>
      </w:r>
    </w:p>
  </w:footnote>
  <w:footnote w:id="1792">
    <w:p w14:paraId="1374319D" w14:textId="77777777" w:rsidR="00B47FF5" w:rsidRDefault="00B47FF5" w:rsidP="00537CC8">
      <w:pPr>
        <w:pStyle w:val="FootnoteText"/>
      </w:pPr>
      <w:r>
        <w:rPr>
          <w:rStyle w:val="FootnoteReference"/>
        </w:rPr>
        <w:footnoteRef/>
      </w:r>
      <w:r>
        <w:rPr>
          <w:rtl/>
        </w:rPr>
        <w:t xml:space="preserve"> </w:t>
      </w:r>
      <w:r w:rsidRPr="008E2E10">
        <w:t>Jeff Liker</w:t>
      </w:r>
    </w:p>
  </w:footnote>
  <w:footnote w:id="1793">
    <w:p w14:paraId="6BA01392" w14:textId="77777777" w:rsidR="00B47FF5" w:rsidRDefault="00B47FF5" w:rsidP="00537CC8">
      <w:pPr>
        <w:pStyle w:val="FootnoteText"/>
      </w:pPr>
      <w:r>
        <w:rPr>
          <w:rStyle w:val="FootnoteReference"/>
        </w:rPr>
        <w:footnoteRef/>
      </w:r>
      <w:r>
        <w:rPr>
          <w:rtl/>
        </w:rPr>
        <w:t xml:space="preserve"> </w:t>
      </w:r>
      <w:r w:rsidRPr="008E2E10">
        <w:t>Scott Galloway</w:t>
      </w:r>
    </w:p>
  </w:footnote>
  <w:footnote w:id="1794">
    <w:p w14:paraId="771BC970" w14:textId="77777777" w:rsidR="00B47FF5" w:rsidRDefault="00B47FF5" w:rsidP="00537CC8">
      <w:pPr>
        <w:pStyle w:val="FootnoteText"/>
        <w:rPr>
          <w:rtl/>
        </w:rPr>
      </w:pPr>
      <w:r>
        <w:rPr>
          <w:rStyle w:val="FootnoteReference"/>
        </w:rPr>
        <w:footnoteRef/>
      </w:r>
      <w:r>
        <w:rPr>
          <w:rtl/>
        </w:rPr>
        <w:t xml:space="preserve"> </w:t>
      </w:r>
      <w:r w:rsidRPr="00CB7D79">
        <w:t>The Four: The Hidden</w:t>
      </w:r>
      <w:r>
        <w:t xml:space="preserve"> </w:t>
      </w:r>
      <w:r w:rsidRPr="00CB7D79">
        <w:t>DNA of Amazon, Apple, Facebook, and Google</w:t>
      </w:r>
    </w:p>
  </w:footnote>
  <w:footnote w:id="1795">
    <w:p w14:paraId="000BC235" w14:textId="77777777" w:rsidR="00B47FF5" w:rsidRDefault="00B47FF5" w:rsidP="00537CC8">
      <w:pPr>
        <w:pStyle w:val="FootnoteText"/>
      </w:pPr>
      <w:r>
        <w:rPr>
          <w:rStyle w:val="FootnoteReference"/>
        </w:rPr>
        <w:footnoteRef/>
      </w:r>
      <w:r>
        <w:rPr>
          <w:rtl/>
        </w:rPr>
        <w:t xml:space="preserve"> </w:t>
      </w:r>
      <w:r w:rsidRPr="00951495">
        <w:t>Machine, Platform, Crowd</w:t>
      </w:r>
    </w:p>
  </w:footnote>
  <w:footnote w:id="1796">
    <w:p w14:paraId="5E2609C0" w14:textId="77777777" w:rsidR="00B47FF5" w:rsidRDefault="00B47FF5" w:rsidP="00537CC8">
      <w:pPr>
        <w:pStyle w:val="FootnoteText"/>
      </w:pPr>
      <w:r>
        <w:rPr>
          <w:rStyle w:val="FootnoteReference"/>
        </w:rPr>
        <w:footnoteRef/>
      </w:r>
      <w:r>
        <w:rPr>
          <w:rtl/>
        </w:rPr>
        <w:t xml:space="preserve"> </w:t>
      </w:r>
      <w:r w:rsidRPr="008E2E10">
        <w:t>Rick Rescorla</w:t>
      </w:r>
    </w:p>
  </w:footnote>
  <w:footnote w:id="1797">
    <w:p w14:paraId="7450E1D1" w14:textId="77777777" w:rsidR="00B47FF5" w:rsidRDefault="00B47FF5" w:rsidP="00537CC8">
      <w:pPr>
        <w:pStyle w:val="FootnoteText"/>
      </w:pPr>
      <w:r>
        <w:rPr>
          <w:rStyle w:val="FootnoteReference"/>
        </w:rPr>
        <w:footnoteRef/>
      </w:r>
      <w:r>
        <w:rPr>
          <w:rtl/>
        </w:rPr>
        <w:t xml:space="preserve"> </w:t>
      </w:r>
      <w:r w:rsidRPr="00C74853">
        <w:t>Rhodesian</w:t>
      </w:r>
    </w:p>
  </w:footnote>
  <w:footnote w:id="1798">
    <w:p w14:paraId="5DF3F8F3" w14:textId="426D33E6" w:rsidR="00B47FF5" w:rsidRDefault="00B47FF5" w:rsidP="00537CC8">
      <w:pPr>
        <w:pStyle w:val="FootnoteText"/>
      </w:pPr>
      <w:r>
        <w:rPr>
          <w:rStyle w:val="FootnoteReference"/>
        </w:rPr>
        <w:footnoteRef/>
      </w:r>
      <w:r>
        <w:rPr>
          <w:rtl/>
        </w:rPr>
        <w:t xml:space="preserve"> </w:t>
      </w:r>
      <w:r>
        <w:t>Criminal justice</w:t>
      </w:r>
    </w:p>
  </w:footnote>
  <w:footnote w:id="1799">
    <w:p w14:paraId="73A25D03" w14:textId="77777777" w:rsidR="00B47FF5" w:rsidRDefault="00B47FF5" w:rsidP="00537CC8">
      <w:pPr>
        <w:pStyle w:val="FootnoteText"/>
      </w:pPr>
      <w:r>
        <w:rPr>
          <w:rStyle w:val="FootnoteReference"/>
        </w:rPr>
        <w:footnoteRef/>
      </w:r>
      <w:r>
        <w:rPr>
          <w:rtl/>
        </w:rPr>
        <w:t xml:space="preserve"> </w:t>
      </w:r>
      <w:r w:rsidRPr="008E2E10">
        <w:t>Dean Witter Reynolds</w:t>
      </w:r>
    </w:p>
  </w:footnote>
  <w:footnote w:id="1800">
    <w:p w14:paraId="36D73B05" w14:textId="77777777" w:rsidR="00B47FF5" w:rsidRDefault="00B47FF5" w:rsidP="00537CC8">
      <w:pPr>
        <w:pStyle w:val="FootnoteText"/>
      </w:pPr>
      <w:r>
        <w:rPr>
          <w:rStyle w:val="FootnoteReference"/>
        </w:rPr>
        <w:footnoteRef/>
      </w:r>
      <w:r>
        <w:rPr>
          <w:rtl/>
        </w:rPr>
        <w:t xml:space="preserve"> </w:t>
      </w:r>
      <w:r>
        <w:t>World Trade Center</w:t>
      </w:r>
    </w:p>
  </w:footnote>
  <w:footnote w:id="1801">
    <w:p w14:paraId="7734D33C" w14:textId="313DE419" w:rsidR="00C7712C" w:rsidRDefault="00C7712C">
      <w:pPr>
        <w:pStyle w:val="FootnoteText"/>
        <w:rPr>
          <w:rtl/>
        </w:rPr>
      </w:pPr>
      <w:r>
        <w:rPr>
          <w:rStyle w:val="FootnoteReference"/>
        </w:rPr>
        <w:footnoteRef/>
      </w:r>
      <w:r>
        <w:t xml:space="preserve"> </w:t>
      </w:r>
      <w:r w:rsidRPr="00537CC8">
        <w:t>Pan Am Flight 103</w:t>
      </w:r>
    </w:p>
  </w:footnote>
  <w:footnote w:id="1802">
    <w:p w14:paraId="79FFFD43" w14:textId="77777777" w:rsidR="00B47FF5" w:rsidRDefault="00B47FF5" w:rsidP="00537CC8">
      <w:pPr>
        <w:pStyle w:val="FootnoteText"/>
      </w:pPr>
      <w:r>
        <w:rPr>
          <w:rStyle w:val="FootnoteReference"/>
        </w:rPr>
        <w:footnoteRef/>
      </w:r>
      <w:r>
        <w:rPr>
          <w:rtl/>
        </w:rPr>
        <w:t xml:space="preserve"> </w:t>
      </w:r>
      <w:r w:rsidRPr="008E2E10">
        <w:t>Lockerbie</w:t>
      </w:r>
    </w:p>
  </w:footnote>
  <w:footnote w:id="1803">
    <w:p w14:paraId="6CA3FA5C" w14:textId="77777777" w:rsidR="00B47FF5" w:rsidRDefault="00B47FF5" w:rsidP="00537CC8">
      <w:pPr>
        <w:pStyle w:val="FootnoteText"/>
      </w:pPr>
      <w:r>
        <w:rPr>
          <w:rStyle w:val="FootnoteReference"/>
        </w:rPr>
        <w:footnoteRef/>
      </w:r>
      <w:r>
        <w:rPr>
          <w:rtl/>
        </w:rPr>
        <w:t xml:space="preserve"> </w:t>
      </w:r>
      <w:r w:rsidRPr="00462783">
        <w:t>Daniel Hill</w:t>
      </w:r>
    </w:p>
  </w:footnote>
  <w:footnote w:id="1804">
    <w:p w14:paraId="69C8818C" w14:textId="77777777" w:rsidR="00B47FF5" w:rsidRDefault="00B47FF5" w:rsidP="00537CC8">
      <w:pPr>
        <w:pStyle w:val="FootnoteText"/>
      </w:pPr>
      <w:r>
        <w:rPr>
          <w:rStyle w:val="FootnoteReference"/>
        </w:rPr>
        <w:footnoteRef/>
      </w:r>
      <w:r>
        <w:rPr>
          <w:rtl/>
        </w:rPr>
        <w:t xml:space="preserve"> </w:t>
      </w:r>
      <w:r w:rsidRPr="00D67105">
        <w:t>Red Team exercise</w:t>
      </w:r>
    </w:p>
  </w:footnote>
  <w:footnote w:id="1805">
    <w:p w14:paraId="4C1EC7E0" w14:textId="77777777" w:rsidR="00B47FF5" w:rsidRDefault="00B47FF5" w:rsidP="00537CC8">
      <w:pPr>
        <w:pStyle w:val="FootnoteText"/>
      </w:pPr>
      <w:r>
        <w:rPr>
          <w:rStyle w:val="FootnoteReference"/>
        </w:rPr>
        <w:footnoteRef/>
      </w:r>
      <w:r>
        <w:rPr>
          <w:rtl/>
        </w:rPr>
        <w:t xml:space="preserve"> </w:t>
      </w:r>
      <w:r w:rsidRPr="00462783">
        <w:t>Dean Witter</w:t>
      </w:r>
    </w:p>
  </w:footnote>
  <w:footnote w:id="1806">
    <w:p w14:paraId="53E6CB6B" w14:textId="77777777" w:rsidR="00B47FF5" w:rsidRDefault="00B47FF5" w:rsidP="00537CC8">
      <w:pPr>
        <w:pStyle w:val="FootnoteText"/>
      </w:pPr>
      <w:r>
        <w:rPr>
          <w:rStyle w:val="FootnoteReference"/>
        </w:rPr>
        <w:footnoteRef/>
      </w:r>
      <w:r>
        <w:rPr>
          <w:rtl/>
        </w:rPr>
        <w:t xml:space="preserve"> </w:t>
      </w:r>
      <w:r w:rsidRPr="00462783">
        <w:t>Fred McBee</w:t>
      </w:r>
    </w:p>
  </w:footnote>
  <w:footnote w:id="1807">
    <w:p w14:paraId="5816A90D" w14:textId="77777777" w:rsidR="00B47FF5" w:rsidRDefault="00B47FF5" w:rsidP="00537CC8">
      <w:pPr>
        <w:pStyle w:val="FootnoteText"/>
      </w:pPr>
      <w:r>
        <w:rPr>
          <w:rStyle w:val="FootnoteReference"/>
        </w:rPr>
        <w:footnoteRef/>
      </w:r>
      <w:r>
        <w:rPr>
          <w:rtl/>
        </w:rPr>
        <w:t xml:space="preserve"> </w:t>
      </w:r>
      <w:r w:rsidRPr="00222927">
        <w:t>Omar Rahman</w:t>
      </w:r>
    </w:p>
  </w:footnote>
  <w:footnote w:id="1808">
    <w:p w14:paraId="7860481D" w14:textId="77777777" w:rsidR="00B47FF5" w:rsidRDefault="00B47FF5" w:rsidP="00537CC8">
      <w:pPr>
        <w:pStyle w:val="FootnoteText"/>
      </w:pPr>
      <w:r>
        <w:rPr>
          <w:rStyle w:val="FootnoteReference"/>
        </w:rPr>
        <w:footnoteRef/>
      </w:r>
      <w:r>
        <w:rPr>
          <w:rtl/>
        </w:rPr>
        <w:t xml:space="preserve"> </w:t>
      </w:r>
      <w:r w:rsidRPr="00222927">
        <w:t>James Stewart</w:t>
      </w:r>
    </w:p>
  </w:footnote>
  <w:footnote w:id="1809">
    <w:p w14:paraId="20BB6C0F" w14:textId="77777777" w:rsidR="00B47FF5" w:rsidRDefault="00B47FF5" w:rsidP="00537CC8">
      <w:pPr>
        <w:pStyle w:val="FootnoteText"/>
      </w:pPr>
      <w:r>
        <w:rPr>
          <w:rStyle w:val="FootnoteReference"/>
        </w:rPr>
        <w:footnoteRef/>
      </w:r>
      <w:r>
        <w:rPr>
          <w:rtl/>
        </w:rPr>
        <w:t xml:space="preserve"> </w:t>
      </w:r>
      <w:r w:rsidRPr="00222927">
        <w:t>New Yorker</w:t>
      </w:r>
    </w:p>
  </w:footnote>
  <w:footnote w:id="1810">
    <w:p w14:paraId="512D481A" w14:textId="77777777" w:rsidR="00B47FF5" w:rsidRDefault="00B47FF5" w:rsidP="00537CC8">
      <w:pPr>
        <w:pStyle w:val="FootnoteText"/>
      </w:pPr>
      <w:r>
        <w:rPr>
          <w:rStyle w:val="FootnoteReference"/>
        </w:rPr>
        <w:footnoteRef/>
      </w:r>
      <w:r>
        <w:rPr>
          <w:rtl/>
        </w:rPr>
        <w:t xml:space="preserve"> </w:t>
      </w:r>
      <w:r w:rsidRPr="00D67105">
        <w:t>History Channel</w:t>
      </w:r>
    </w:p>
  </w:footnote>
  <w:footnote w:id="1811">
    <w:p w14:paraId="5133E051" w14:textId="77777777" w:rsidR="00B47FF5" w:rsidRDefault="00B47FF5" w:rsidP="00537CC8">
      <w:pPr>
        <w:pStyle w:val="FootnoteText"/>
      </w:pPr>
      <w:r>
        <w:rPr>
          <w:rStyle w:val="FootnoteReference"/>
        </w:rPr>
        <w:footnoteRef/>
      </w:r>
      <w:r>
        <w:rPr>
          <w:rtl/>
        </w:rPr>
        <w:t xml:space="preserve"> </w:t>
      </w:r>
      <w:r w:rsidRPr="00500FF3">
        <w:t>The Man Who Predicted 9/11</w:t>
      </w:r>
    </w:p>
  </w:footnote>
  <w:footnote w:id="1812">
    <w:p w14:paraId="4E315938" w14:textId="77777777" w:rsidR="00B47FF5" w:rsidRDefault="00B47FF5" w:rsidP="00537CC8">
      <w:pPr>
        <w:pStyle w:val="FootnoteText"/>
      </w:pPr>
      <w:r>
        <w:rPr>
          <w:rStyle w:val="FootnoteReference"/>
        </w:rPr>
        <w:footnoteRef/>
      </w:r>
      <w:r>
        <w:rPr>
          <w:rtl/>
        </w:rPr>
        <w:t xml:space="preserve"> </w:t>
      </w:r>
      <w:r w:rsidRPr="00222927">
        <w:t>El Al</w:t>
      </w:r>
    </w:p>
  </w:footnote>
  <w:footnote w:id="1813">
    <w:p w14:paraId="5638925C" w14:textId="77777777" w:rsidR="00B47FF5" w:rsidRDefault="00B47FF5" w:rsidP="00537CC8">
      <w:pPr>
        <w:pStyle w:val="FootnoteText"/>
      </w:pPr>
      <w:r>
        <w:rPr>
          <w:rStyle w:val="FootnoteReference"/>
        </w:rPr>
        <w:footnoteRef/>
      </w:r>
      <w:r>
        <w:rPr>
          <w:rtl/>
        </w:rPr>
        <w:t xml:space="preserve"> </w:t>
      </w:r>
      <w:r w:rsidRPr="00222927">
        <w:t>Ronald Reagan</w:t>
      </w:r>
    </w:p>
  </w:footnote>
  <w:footnote w:id="1814">
    <w:p w14:paraId="5353A52B" w14:textId="77777777" w:rsidR="00B47FF5" w:rsidRDefault="00B47FF5" w:rsidP="00537CC8">
      <w:pPr>
        <w:pStyle w:val="FootnoteText"/>
      </w:pPr>
      <w:r>
        <w:rPr>
          <w:rStyle w:val="FootnoteReference"/>
        </w:rPr>
        <w:footnoteRef/>
      </w:r>
      <w:r>
        <w:rPr>
          <w:rtl/>
        </w:rPr>
        <w:t xml:space="preserve"> </w:t>
      </w:r>
      <w:r w:rsidRPr="00222927">
        <w:t>Dan Kahneman</w:t>
      </w:r>
    </w:p>
  </w:footnote>
  <w:footnote w:id="1815">
    <w:p w14:paraId="4AF442FB" w14:textId="77777777" w:rsidR="00B47FF5" w:rsidRDefault="00B47FF5" w:rsidP="00537CC8">
      <w:pPr>
        <w:pStyle w:val="FootnoteText"/>
      </w:pPr>
      <w:r>
        <w:rPr>
          <w:rStyle w:val="FootnoteReference"/>
        </w:rPr>
        <w:footnoteRef/>
      </w:r>
      <w:r>
        <w:rPr>
          <w:rtl/>
        </w:rPr>
        <w:t xml:space="preserve"> </w:t>
      </w:r>
      <w:r w:rsidRPr="00F04617">
        <w:t>Thinking, Fast and Slow</w:t>
      </w:r>
    </w:p>
  </w:footnote>
  <w:footnote w:id="1816">
    <w:p w14:paraId="17BA614A" w14:textId="77777777" w:rsidR="00B47FF5" w:rsidRDefault="00B47FF5" w:rsidP="00537CC8">
      <w:pPr>
        <w:pStyle w:val="FootnoteText"/>
      </w:pPr>
      <w:r>
        <w:rPr>
          <w:rStyle w:val="FootnoteReference"/>
        </w:rPr>
        <w:footnoteRef/>
      </w:r>
      <w:r>
        <w:rPr>
          <w:rtl/>
        </w:rPr>
        <w:t xml:space="preserve"> </w:t>
      </w:r>
      <w:r>
        <w:t>System 2 thinking</w:t>
      </w:r>
    </w:p>
  </w:footnote>
  <w:footnote w:id="1817">
    <w:p w14:paraId="64332002" w14:textId="77777777" w:rsidR="00B47FF5" w:rsidRDefault="00B47FF5" w:rsidP="00537CC8">
      <w:pPr>
        <w:pStyle w:val="FootnoteText"/>
      </w:pPr>
      <w:r>
        <w:rPr>
          <w:rStyle w:val="FootnoteReference"/>
        </w:rPr>
        <w:footnoteRef/>
      </w:r>
      <w:r>
        <w:rPr>
          <w:rtl/>
        </w:rPr>
        <w:t xml:space="preserve"> </w:t>
      </w:r>
      <w:r w:rsidRPr="00FA0DF1">
        <w:t>The Day After</w:t>
      </w:r>
    </w:p>
  </w:footnote>
  <w:footnote w:id="1818">
    <w:p w14:paraId="185FDB8C" w14:textId="77777777" w:rsidR="00B47FF5" w:rsidRDefault="00B47FF5" w:rsidP="00537CC8">
      <w:pPr>
        <w:pStyle w:val="FootnoteText"/>
      </w:pPr>
      <w:r>
        <w:rPr>
          <w:rStyle w:val="FootnoteReference"/>
        </w:rPr>
        <w:footnoteRef/>
      </w:r>
      <w:r>
        <w:rPr>
          <w:rtl/>
        </w:rPr>
        <w:t xml:space="preserve"> </w:t>
      </w:r>
      <w:r w:rsidRPr="00FA0DF1">
        <w:t>Reagan's Secret War</w:t>
      </w:r>
    </w:p>
  </w:footnote>
  <w:footnote w:id="1819">
    <w:p w14:paraId="30765623" w14:textId="77777777" w:rsidR="00B47FF5" w:rsidRDefault="00B47FF5" w:rsidP="00537CC8">
      <w:pPr>
        <w:pStyle w:val="FootnoteText"/>
      </w:pPr>
      <w:r>
        <w:rPr>
          <w:rStyle w:val="FootnoteReference"/>
        </w:rPr>
        <w:footnoteRef/>
      </w:r>
      <w:r>
        <w:rPr>
          <w:rtl/>
        </w:rPr>
        <w:t xml:space="preserve"> </w:t>
      </w:r>
      <w:r w:rsidRPr="00222927">
        <w:t>Taylor Downing</w:t>
      </w:r>
    </w:p>
  </w:footnote>
  <w:footnote w:id="1820">
    <w:p w14:paraId="46D3531B" w14:textId="77777777" w:rsidR="00B47FF5" w:rsidRDefault="00B47FF5" w:rsidP="00537CC8">
      <w:pPr>
        <w:pStyle w:val="FootnoteText"/>
      </w:pPr>
      <w:r>
        <w:rPr>
          <w:rStyle w:val="FootnoteReference"/>
        </w:rPr>
        <w:footnoteRef/>
      </w:r>
      <w:r>
        <w:rPr>
          <w:rtl/>
        </w:rPr>
        <w:t xml:space="preserve"> </w:t>
      </w:r>
      <w:r w:rsidRPr="009A3534">
        <w:t>Intermediate-Range Nuclear Forces Treaty</w:t>
      </w:r>
    </w:p>
  </w:footnote>
  <w:footnote w:id="1821">
    <w:p w14:paraId="1FF70F4E" w14:textId="57B4001D" w:rsidR="00B47FF5" w:rsidRDefault="00B47FF5">
      <w:pPr>
        <w:pStyle w:val="FootnoteText"/>
        <w:rPr>
          <w:rtl/>
        </w:rPr>
      </w:pPr>
      <w:r>
        <w:rPr>
          <w:rStyle w:val="FootnoteReference"/>
        </w:rPr>
        <w:footnoteRef/>
      </w:r>
      <w:r>
        <w:t xml:space="preserve"> </w:t>
      </w:r>
      <w:r w:rsidRPr="00C56C14">
        <w:t>School’s Out</w:t>
      </w:r>
    </w:p>
  </w:footnote>
  <w:footnote w:id="1822">
    <w:p w14:paraId="34281D35" w14:textId="77777777" w:rsidR="00B47FF5" w:rsidRDefault="00B47FF5" w:rsidP="00537CC8">
      <w:pPr>
        <w:pStyle w:val="FootnoteText"/>
      </w:pPr>
      <w:r>
        <w:rPr>
          <w:rStyle w:val="FootnoteReference"/>
        </w:rPr>
        <w:footnoteRef/>
      </w:r>
      <w:r>
        <w:rPr>
          <w:rtl/>
        </w:rPr>
        <w:t xml:space="preserve"> </w:t>
      </w:r>
      <w:r w:rsidRPr="00222927">
        <w:t>Lewis Perelman</w:t>
      </w:r>
    </w:p>
  </w:footnote>
  <w:footnote w:id="1823">
    <w:p w14:paraId="01F55166" w14:textId="41C93421" w:rsidR="00B47FF5" w:rsidRDefault="00B47FF5" w:rsidP="00537CC8">
      <w:pPr>
        <w:pStyle w:val="FootnoteText"/>
      </w:pPr>
      <w:r>
        <w:rPr>
          <w:rStyle w:val="FootnoteReference"/>
        </w:rPr>
        <w:footnoteRef/>
      </w:r>
      <w:r>
        <w:rPr>
          <w:rtl/>
        </w:rPr>
        <w:t xml:space="preserve"> </w:t>
      </w:r>
      <w:r w:rsidRPr="00222927">
        <w:t>Wired</w:t>
      </w:r>
    </w:p>
  </w:footnote>
  <w:footnote w:id="1824">
    <w:p w14:paraId="3B40730C" w14:textId="11B8F9FC" w:rsidR="00B47FF5" w:rsidRDefault="00B47FF5" w:rsidP="00537CC8">
      <w:pPr>
        <w:pStyle w:val="FootnoteText"/>
      </w:pPr>
      <w:r>
        <w:rPr>
          <w:rStyle w:val="FootnoteReference"/>
        </w:rPr>
        <w:footnoteRef/>
      </w:r>
      <w:r>
        <w:rPr>
          <w:rtl/>
        </w:rPr>
        <w:t xml:space="preserve"> </w:t>
      </w:r>
      <w:r w:rsidRPr="00222927">
        <w:t>Perelman</w:t>
      </w:r>
    </w:p>
  </w:footnote>
  <w:footnote w:id="1825">
    <w:p w14:paraId="328A67A8" w14:textId="3E1FD131" w:rsidR="00B47FF5" w:rsidRDefault="00B47FF5" w:rsidP="00537CC8">
      <w:pPr>
        <w:pStyle w:val="FootnoteText"/>
      </w:pPr>
      <w:r>
        <w:rPr>
          <w:rStyle w:val="FootnoteReference"/>
        </w:rPr>
        <w:footnoteRef/>
      </w:r>
      <w:r>
        <w:rPr>
          <w:rtl/>
        </w:rPr>
        <w:t xml:space="preserve"> </w:t>
      </w:r>
      <w:r>
        <w:t>Gig economy</w:t>
      </w:r>
    </w:p>
  </w:footnote>
  <w:footnote w:id="1826">
    <w:p w14:paraId="02B76FC7" w14:textId="77777777" w:rsidR="00B47FF5" w:rsidRDefault="00B47FF5" w:rsidP="00537CC8">
      <w:pPr>
        <w:pStyle w:val="FootnoteText"/>
      </w:pPr>
      <w:r>
        <w:rPr>
          <w:rStyle w:val="FootnoteReference"/>
        </w:rPr>
        <w:footnoteRef/>
      </w:r>
      <w:r>
        <w:rPr>
          <w:rtl/>
        </w:rPr>
        <w:t xml:space="preserve"> </w:t>
      </w:r>
      <w:r w:rsidRPr="00222927">
        <w:t>Indeed</w:t>
      </w:r>
    </w:p>
  </w:footnote>
  <w:footnote w:id="1827">
    <w:p w14:paraId="5247CD4E" w14:textId="252E8C72" w:rsidR="00B47FF5" w:rsidRDefault="00B47FF5" w:rsidP="00537CC8">
      <w:pPr>
        <w:pStyle w:val="FootnoteText"/>
      </w:pPr>
      <w:r>
        <w:rPr>
          <w:rStyle w:val="FootnoteReference"/>
        </w:rPr>
        <w:footnoteRef/>
      </w:r>
      <w:r>
        <w:rPr>
          <w:rtl/>
        </w:rPr>
        <w:t xml:space="preserve"> </w:t>
      </w:r>
      <w:r w:rsidRPr="00336BB5">
        <w:t>Libertarian</w:t>
      </w:r>
    </w:p>
  </w:footnote>
  <w:footnote w:id="1828">
    <w:p w14:paraId="279C0307" w14:textId="77777777" w:rsidR="00B47FF5" w:rsidRDefault="00B47FF5" w:rsidP="00537CC8">
      <w:pPr>
        <w:pStyle w:val="FootnoteText"/>
      </w:pPr>
      <w:r>
        <w:rPr>
          <w:rStyle w:val="FootnoteReference"/>
        </w:rPr>
        <w:footnoteRef/>
      </w:r>
      <w:r>
        <w:rPr>
          <w:rtl/>
        </w:rPr>
        <w:t xml:space="preserve"> </w:t>
      </w:r>
      <w:r w:rsidRPr="00222927">
        <w:t>Winston Churchill</w:t>
      </w:r>
    </w:p>
  </w:footnote>
  <w:footnote w:id="1829">
    <w:p w14:paraId="272CFE48" w14:textId="77777777" w:rsidR="00B47FF5" w:rsidRDefault="00B47FF5" w:rsidP="00537CC8">
      <w:pPr>
        <w:pStyle w:val="FootnoteText"/>
      </w:pPr>
      <w:r>
        <w:rPr>
          <w:rStyle w:val="FootnoteReference"/>
        </w:rPr>
        <w:footnoteRef/>
      </w:r>
      <w:r>
        <w:rPr>
          <w:rtl/>
        </w:rPr>
        <w:t xml:space="preserve"> </w:t>
      </w:r>
      <w:r w:rsidRPr="005362CE">
        <w:t>Libertarian</w:t>
      </w:r>
    </w:p>
  </w:footnote>
  <w:footnote w:id="1830">
    <w:p w14:paraId="0423E8BA" w14:textId="77777777" w:rsidR="00B47FF5" w:rsidRDefault="00B47FF5" w:rsidP="00537CC8">
      <w:pPr>
        <w:pStyle w:val="FootnoteText"/>
      </w:pPr>
      <w:r>
        <w:rPr>
          <w:rStyle w:val="FootnoteReference"/>
        </w:rPr>
        <w:footnoteRef/>
      </w:r>
      <w:r>
        <w:rPr>
          <w:rtl/>
        </w:rPr>
        <w:t xml:space="preserve"> </w:t>
      </w:r>
      <w:r w:rsidRPr="00222927">
        <w:t>Rebecca Henderson</w:t>
      </w:r>
    </w:p>
  </w:footnote>
  <w:footnote w:id="1831">
    <w:p w14:paraId="70A3CF81" w14:textId="77777777" w:rsidR="00B47FF5" w:rsidRDefault="00B47FF5" w:rsidP="00537CC8">
      <w:pPr>
        <w:pStyle w:val="FootnoteText"/>
      </w:pPr>
      <w:r>
        <w:rPr>
          <w:rStyle w:val="FootnoteReference"/>
        </w:rPr>
        <w:footnoteRef/>
      </w:r>
      <w:r>
        <w:rPr>
          <w:rtl/>
        </w:rPr>
        <w:t xml:space="preserve"> </w:t>
      </w:r>
      <w:r w:rsidRPr="005362CE">
        <w:t>Reimagining Capitalism</w:t>
      </w:r>
    </w:p>
  </w:footnote>
  <w:footnote w:id="1832">
    <w:p w14:paraId="575C80F2" w14:textId="68CE547E" w:rsidR="00B47FF5" w:rsidRDefault="00B47FF5" w:rsidP="00537CC8">
      <w:pPr>
        <w:pStyle w:val="FootnoteText"/>
      </w:pPr>
      <w:r>
        <w:rPr>
          <w:rStyle w:val="FootnoteReference"/>
        </w:rPr>
        <w:footnoteRef/>
      </w:r>
      <w:r>
        <w:rPr>
          <w:rtl/>
        </w:rPr>
        <w:t xml:space="preserve"> </w:t>
      </w:r>
      <w:r w:rsidRPr="005362CE">
        <w:t>Techno-liberal</w:t>
      </w:r>
    </w:p>
  </w:footnote>
  <w:footnote w:id="1833">
    <w:p w14:paraId="12CBB223" w14:textId="7645F222" w:rsidR="00B47FF5" w:rsidRDefault="00B47FF5" w:rsidP="00537CC8">
      <w:pPr>
        <w:pStyle w:val="FootnoteText"/>
      </w:pPr>
      <w:r>
        <w:rPr>
          <w:rStyle w:val="FootnoteReference"/>
        </w:rPr>
        <w:footnoteRef/>
      </w:r>
      <w:r>
        <w:rPr>
          <w:rtl/>
        </w:rPr>
        <w:t xml:space="preserve"> </w:t>
      </w:r>
      <w:r w:rsidRPr="005362CE">
        <w:t>Egalitarian</w:t>
      </w:r>
    </w:p>
  </w:footnote>
  <w:footnote w:id="1834">
    <w:p w14:paraId="2B7DA39C" w14:textId="2F1350BF" w:rsidR="00B47FF5" w:rsidRDefault="00B47FF5" w:rsidP="00537CC8">
      <w:pPr>
        <w:pStyle w:val="FootnoteText"/>
      </w:pPr>
      <w:r>
        <w:rPr>
          <w:rStyle w:val="FootnoteReference"/>
        </w:rPr>
        <w:footnoteRef/>
      </w:r>
      <w:r>
        <w:rPr>
          <w:rtl/>
        </w:rPr>
        <w:t xml:space="preserve"> </w:t>
      </w:r>
      <w:r w:rsidRPr="00E91DBF">
        <w:t>Charter schools</w:t>
      </w:r>
    </w:p>
  </w:footnote>
  <w:footnote w:id="1835">
    <w:p w14:paraId="0DFA68AC" w14:textId="77777777" w:rsidR="00B47FF5" w:rsidRDefault="00B47FF5" w:rsidP="00537CC8">
      <w:pPr>
        <w:pStyle w:val="FootnoteText"/>
      </w:pPr>
      <w:r>
        <w:rPr>
          <w:rStyle w:val="FootnoteReference"/>
        </w:rPr>
        <w:footnoteRef/>
      </w:r>
      <w:r>
        <w:rPr>
          <w:rtl/>
        </w:rPr>
        <w:t xml:space="preserve"> </w:t>
      </w:r>
      <w:r w:rsidRPr="00222927">
        <w:t>Diane Tavenner</w:t>
      </w:r>
    </w:p>
  </w:footnote>
  <w:footnote w:id="1836">
    <w:p w14:paraId="5A8E4F85" w14:textId="07347DF4" w:rsidR="00B47FF5" w:rsidRDefault="00B47FF5" w:rsidP="00537CC8">
      <w:pPr>
        <w:pStyle w:val="FootnoteText"/>
      </w:pPr>
      <w:r>
        <w:rPr>
          <w:rStyle w:val="FootnoteReference"/>
        </w:rPr>
        <w:footnoteRef/>
      </w:r>
      <w:r>
        <w:rPr>
          <w:rtl/>
        </w:rPr>
        <w:t xml:space="preserve"> </w:t>
      </w:r>
      <w:r>
        <w:t xml:space="preserve">Preoared: </w:t>
      </w:r>
      <w:r w:rsidRPr="00D2035A">
        <w:t>What Kids Need for a Fulfilled Life</w:t>
      </w:r>
    </w:p>
  </w:footnote>
  <w:footnote w:id="1837">
    <w:p w14:paraId="208D94A2" w14:textId="0978C632" w:rsidR="00B47FF5" w:rsidRDefault="00B47FF5" w:rsidP="00537CC8">
      <w:pPr>
        <w:pStyle w:val="FootnoteText"/>
      </w:pPr>
      <w:r>
        <w:rPr>
          <w:rStyle w:val="FootnoteReference"/>
        </w:rPr>
        <w:footnoteRef/>
      </w:r>
      <w:r>
        <w:rPr>
          <w:rtl/>
        </w:rPr>
        <w:t xml:space="preserve"> </w:t>
      </w:r>
      <w:r w:rsidRPr="009A36D7">
        <w:t>Resolve</w:t>
      </w:r>
    </w:p>
  </w:footnote>
  <w:footnote w:id="1838">
    <w:p w14:paraId="728BD33B" w14:textId="4307FC2B" w:rsidR="00B47FF5" w:rsidRDefault="00B47FF5" w:rsidP="00537CC8">
      <w:pPr>
        <w:pStyle w:val="FootnoteText"/>
      </w:pPr>
      <w:r>
        <w:rPr>
          <w:rStyle w:val="FootnoteReference"/>
        </w:rPr>
        <w:footnoteRef/>
      </w:r>
      <w:r>
        <w:rPr>
          <w:rtl/>
        </w:rPr>
        <w:t xml:space="preserve"> </w:t>
      </w:r>
      <w:r w:rsidRPr="009A36D7">
        <w:t>Modified Montessori schooling model</w:t>
      </w:r>
    </w:p>
  </w:footnote>
  <w:footnote w:id="1839">
    <w:p w14:paraId="79336A1A" w14:textId="77777777" w:rsidR="00B47FF5" w:rsidRDefault="00B47FF5" w:rsidP="00537CC8">
      <w:pPr>
        <w:pStyle w:val="FootnoteText"/>
      </w:pPr>
      <w:r>
        <w:rPr>
          <w:rStyle w:val="FootnoteReference"/>
        </w:rPr>
        <w:footnoteRef/>
      </w:r>
      <w:r>
        <w:rPr>
          <w:rtl/>
        </w:rPr>
        <w:t xml:space="preserve"> </w:t>
      </w:r>
      <w:r w:rsidRPr="00D2035A">
        <w:t>The Finland Phenomenon</w:t>
      </w:r>
    </w:p>
  </w:footnote>
  <w:footnote w:id="1840">
    <w:p w14:paraId="447A6866" w14:textId="77777777" w:rsidR="00B47FF5" w:rsidRDefault="00B47FF5" w:rsidP="00537CC8">
      <w:pPr>
        <w:pStyle w:val="FootnoteText"/>
      </w:pPr>
      <w:r>
        <w:rPr>
          <w:rStyle w:val="FootnoteReference"/>
        </w:rPr>
        <w:footnoteRef/>
      </w:r>
      <w:r>
        <w:rPr>
          <w:rtl/>
        </w:rPr>
        <w:t xml:space="preserve"> </w:t>
      </w:r>
      <w:r w:rsidRPr="00222927">
        <w:t>Sean Faust</w:t>
      </w:r>
    </w:p>
  </w:footnote>
  <w:footnote w:id="1841">
    <w:p w14:paraId="2703DBC3" w14:textId="77777777" w:rsidR="00B47FF5" w:rsidRDefault="00B47FF5" w:rsidP="00537CC8">
      <w:pPr>
        <w:pStyle w:val="FootnoteText"/>
      </w:pPr>
      <w:r>
        <w:rPr>
          <w:rStyle w:val="FootnoteReference"/>
        </w:rPr>
        <w:footnoteRef/>
      </w:r>
      <w:r>
        <w:rPr>
          <w:rtl/>
        </w:rPr>
        <w:t xml:space="preserve"> </w:t>
      </w:r>
      <w:r w:rsidRPr="00222927">
        <w:t>EdSurge</w:t>
      </w:r>
    </w:p>
  </w:footnote>
  <w:footnote w:id="1842">
    <w:p w14:paraId="5A127EFC" w14:textId="77777777" w:rsidR="00B47FF5" w:rsidRDefault="00B47FF5" w:rsidP="00537CC8">
      <w:pPr>
        <w:pStyle w:val="FootnoteText"/>
      </w:pPr>
      <w:r>
        <w:rPr>
          <w:rStyle w:val="FootnoteReference"/>
        </w:rPr>
        <w:footnoteRef/>
      </w:r>
      <w:r>
        <w:rPr>
          <w:rtl/>
        </w:rPr>
        <w:t xml:space="preserve"> </w:t>
      </w:r>
      <w:r w:rsidRPr="0056017F">
        <w:t>The Storytelling Animal: How Stories Make Us Human</w:t>
      </w:r>
    </w:p>
  </w:footnote>
  <w:footnote w:id="1843">
    <w:p w14:paraId="129E7DC4" w14:textId="77777777" w:rsidR="00B47FF5" w:rsidRDefault="00B47FF5" w:rsidP="00537CC8">
      <w:pPr>
        <w:pStyle w:val="FootnoteText"/>
      </w:pPr>
      <w:r>
        <w:rPr>
          <w:rStyle w:val="FootnoteReference"/>
        </w:rPr>
        <w:footnoteRef/>
      </w:r>
      <w:r>
        <w:rPr>
          <w:rtl/>
        </w:rPr>
        <w:t xml:space="preserve"> </w:t>
      </w:r>
      <w:r w:rsidRPr="00222927">
        <w:t>Jonathan Gottschal</w:t>
      </w:r>
    </w:p>
  </w:footnote>
  <w:footnote w:id="1844">
    <w:p w14:paraId="654B711D" w14:textId="77777777" w:rsidR="00B47FF5" w:rsidRDefault="00B47FF5" w:rsidP="00537CC8">
      <w:pPr>
        <w:pStyle w:val="FootnoteText"/>
      </w:pPr>
      <w:r>
        <w:rPr>
          <w:rStyle w:val="FootnoteReference"/>
        </w:rPr>
        <w:footnoteRef/>
      </w:r>
      <w:r>
        <w:rPr>
          <w:rtl/>
        </w:rPr>
        <w:t xml:space="preserve"> </w:t>
      </w:r>
      <w:r w:rsidRPr="00CC5BF5">
        <w:t>Wired for Story</w:t>
      </w:r>
    </w:p>
  </w:footnote>
  <w:footnote w:id="1845">
    <w:p w14:paraId="1A3F461F" w14:textId="77777777" w:rsidR="00B47FF5" w:rsidRDefault="00B47FF5" w:rsidP="00537CC8">
      <w:pPr>
        <w:pStyle w:val="FootnoteText"/>
      </w:pPr>
      <w:r>
        <w:rPr>
          <w:rStyle w:val="FootnoteReference"/>
        </w:rPr>
        <w:footnoteRef/>
      </w:r>
      <w:r>
        <w:rPr>
          <w:rtl/>
        </w:rPr>
        <w:t xml:space="preserve"> </w:t>
      </w:r>
      <w:r w:rsidRPr="00222927">
        <w:t>Lisa Cron</w:t>
      </w:r>
    </w:p>
  </w:footnote>
  <w:footnote w:id="1846">
    <w:p w14:paraId="0871CBE9" w14:textId="77777777" w:rsidR="00B47FF5" w:rsidRDefault="00B47FF5" w:rsidP="00537CC8">
      <w:pPr>
        <w:pStyle w:val="FootnoteText"/>
      </w:pPr>
      <w:r>
        <w:rPr>
          <w:rStyle w:val="FootnoteReference"/>
        </w:rPr>
        <w:footnoteRef/>
      </w:r>
      <w:r>
        <w:rPr>
          <w:rtl/>
        </w:rPr>
        <w:t xml:space="preserve"> </w:t>
      </w:r>
      <w:r w:rsidRPr="0056017F">
        <w:t>Talk Like TED</w:t>
      </w:r>
    </w:p>
  </w:footnote>
  <w:footnote w:id="1847">
    <w:p w14:paraId="10A86969" w14:textId="77777777" w:rsidR="00B47FF5" w:rsidRDefault="00B47FF5" w:rsidP="00537CC8">
      <w:pPr>
        <w:pStyle w:val="FootnoteText"/>
      </w:pPr>
      <w:r>
        <w:rPr>
          <w:rStyle w:val="FootnoteReference"/>
        </w:rPr>
        <w:footnoteRef/>
      </w:r>
      <w:r>
        <w:rPr>
          <w:rtl/>
        </w:rPr>
        <w:t xml:space="preserve"> </w:t>
      </w:r>
      <w:r w:rsidRPr="00222927">
        <w:t>Carmine Gallo</w:t>
      </w:r>
    </w:p>
  </w:footnote>
  <w:footnote w:id="1848">
    <w:p w14:paraId="27E0AABA" w14:textId="55E1BA94" w:rsidR="00B47FF5" w:rsidRDefault="00B47FF5" w:rsidP="00537CC8">
      <w:pPr>
        <w:pStyle w:val="FootnoteText"/>
      </w:pPr>
      <w:r>
        <w:rPr>
          <w:rStyle w:val="FootnoteReference"/>
        </w:rPr>
        <w:footnoteRef/>
      </w:r>
      <w:r>
        <w:rPr>
          <w:rtl/>
        </w:rPr>
        <w:t xml:space="preserve"> </w:t>
      </w:r>
      <w:r>
        <w:t>Big head</w:t>
      </w:r>
    </w:p>
  </w:footnote>
  <w:footnote w:id="1849">
    <w:p w14:paraId="71026348" w14:textId="77777777" w:rsidR="00B47FF5" w:rsidRDefault="00B47FF5" w:rsidP="00537CC8">
      <w:pPr>
        <w:pStyle w:val="FootnoteText"/>
      </w:pPr>
      <w:r>
        <w:rPr>
          <w:rStyle w:val="FootnoteReference"/>
        </w:rPr>
        <w:footnoteRef/>
      </w:r>
      <w:r>
        <w:rPr>
          <w:rtl/>
        </w:rPr>
        <w:t xml:space="preserve"> </w:t>
      </w:r>
      <w:r w:rsidRPr="008B671B">
        <w:t>Star Trek</w:t>
      </w:r>
    </w:p>
  </w:footnote>
  <w:footnote w:id="1850">
    <w:p w14:paraId="03A7A677" w14:textId="77777777" w:rsidR="00B47FF5" w:rsidRDefault="00B47FF5" w:rsidP="00537CC8">
      <w:pPr>
        <w:pStyle w:val="FootnoteText"/>
      </w:pPr>
      <w:r>
        <w:rPr>
          <w:rStyle w:val="FootnoteReference"/>
        </w:rPr>
        <w:footnoteRef/>
      </w:r>
      <w:r>
        <w:rPr>
          <w:rtl/>
        </w:rPr>
        <w:t xml:space="preserve"> </w:t>
      </w:r>
      <w:r w:rsidRPr="008B671B">
        <w:t>Star Wars</w:t>
      </w:r>
    </w:p>
  </w:footnote>
  <w:footnote w:id="1851">
    <w:p w14:paraId="51A9C685" w14:textId="77777777" w:rsidR="00B47FF5" w:rsidRDefault="00B47FF5" w:rsidP="00537CC8">
      <w:pPr>
        <w:pStyle w:val="FootnoteText"/>
      </w:pPr>
      <w:r>
        <w:rPr>
          <w:rStyle w:val="FootnoteReference"/>
        </w:rPr>
        <w:footnoteRef/>
      </w:r>
      <w:r>
        <w:rPr>
          <w:rtl/>
        </w:rPr>
        <w:t xml:space="preserve"> </w:t>
      </w:r>
      <w:r>
        <w:t>Future fiction</w:t>
      </w:r>
    </w:p>
  </w:footnote>
  <w:footnote w:id="1852">
    <w:p w14:paraId="7931CB5B" w14:textId="0321703F" w:rsidR="00B47FF5" w:rsidRDefault="00B47FF5" w:rsidP="00537CC8">
      <w:pPr>
        <w:pStyle w:val="FootnoteText"/>
      </w:pPr>
      <w:r>
        <w:rPr>
          <w:rStyle w:val="FootnoteReference"/>
        </w:rPr>
        <w:footnoteRef/>
      </w:r>
      <w:r>
        <w:rPr>
          <w:rtl/>
        </w:rPr>
        <w:t xml:space="preserve"> </w:t>
      </w:r>
      <w:r w:rsidRPr="00B506D2">
        <w:t>Hard Sciecs fiction</w:t>
      </w:r>
    </w:p>
  </w:footnote>
  <w:footnote w:id="1853">
    <w:p w14:paraId="0653699C" w14:textId="77777777" w:rsidR="00B47FF5" w:rsidRDefault="00B47FF5" w:rsidP="00537CC8">
      <w:pPr>
        <w:pStyle w:val="FootnoteText"/>
      </w:pPr>
      <w:r>
        <w:rPr>
          <w:rStyle w:val="FootnoteReference"/>
        </w:rPr>
        <w:footnoteRef/>
      </w:r>
      <w:r>
        <w:rPr>
          <w:rtl/>
        </w:rPr>
        <w:t xml:space="preserve"> </w:t>
      </w:r>
      <w:r w:rsidRPr="008B671B">
        <w:t>Peter Singer</w:t>
      </w:r>
    </w:p>
  </w:footnote>
  <w:footnote w:id="1854">
    <w:p w14:paraId="4907296A" w14:textId="77777777" w:rsidR="00B47FF5" w:rsidRDefault="00B47FF5" w:rsidP="00537CC8">
      <w:pPr>
        <w:pStyle w:val="FootnoteText"/>
      </w:pPr>
      <w:r>
        <w:rPr>
          <w:rStyle w:val="FootnoteReference"/>
        </w:rPr>
        <w:footnoteRef/>
      </w:r>
      <w:r>
        <w:rPr>
          <w:rtl/>
        </w:rPr>
        <w:t xml:space="preserve"> </w:t>
      </w:r>
      <w:r w:rsidRPr="008B671B">
        <w:t>August Cole</w:t>
      </w:r>
    </w:p>
  </w:footnote>
  <w:footnote w:id="1855">
    <w:p w14:paraId="32CC93A3" w14:textId="77777777" w:rsidR="00B47FF5" w:rsidRDefault="00B47FF5" w:rsidP="00537CC8">
      <w:pPr>
        <w:pStyle w:val="FootnoteText"/>
      </w:pPr>
      <w:r>
        <w:rPr>
          <w:rStyle w:val="FootnoteReference"/>
        </w:rPr>
        <w:footnoteRef/>
      </w:r>
      <w:r>
        <w:rPr>
          <w:rtl/>
        </w:rPr>
        <w:t xml:space="preserve"> </w:t>
      </w:r>
      <w:r w:rsidRPr="009E3528">
        <w:t>Burn-In: A Novel of the Real Robotic</w:t>
      </w:r>
      <w:r>
        <w:t xml:space="preserve"> </w:t>
      </w:r>
      <w:r w:rsidRPr="009E3528">
        <w:t>Revolution</w:t>
      </w:r>
    </w:p>
  </w:footnote>
  <w:footnote w:id="1856">
    <w:p w14:paraId="6D489CAB" w14:textId="77777777" w:rsidR="00B47FF5" w:rsidRDefault="00B47FF5" w:rsidP="00537CC8">
      <w:pPr>
        <w:pStyle w:val="FootnoteText"/>
      </w:pPr>
      <w:r>
        <w:rPr>
          <w:rStyle w:val="FootnoteReference"/>
        </w:rPr>
        <w:footnoteRef/>
      </w:r>
      <w:r>
        <w:rPr>
          <w:rtl/>
        </w:rPr>
        <w:t xml:space="preserve"> </w:t>
      </w:r>
      <w:r w:rsidRPr="008B671B">
        <w:t>Washington DC</w:t>
      </w:r>
    </w:p>
  </w:footnote>
  <w:footnote w:id="1857">
    <w:p w14:paraId="15AF3EC4" w14:textId="6E805BB3" w:rsidR="00B47FF5" w:rsidRDefault="00B47FF5" w:rsidP="00537CC8">
      <w:pPr>
        <w:pStyle w:val="FootnoteText"/>
      </w:pPr>
      <w:r>
        <w:rPr>
          <w:rStyle w:val="FootnoteReference"/>
        </w:rPr>
        <w:footnoteRef/>
      </w:r>
      <w:r>
        <w:rPr>
          <w:rtl/>
        </w:rPr>
        <w:t xml:space="preserve"> </w:t>
      </w:r>
      <w:r>
        <w:t>Useful fiction</w:t>
      </w:r>
    </w:p>
  </w:footnote>
  <w:footnote w:id="1858">
    <w:p w14:paraId="36DE4E28" w14:textId="62158F1F" w:rsidR="00B47FF5" w:rsidRDefault="00B47FF5">
      <w:pPr>
        <w:pStyle w:val="FootnoteText"/>
        <w:rPr>
          <w:rtl/>
        </w:rPr>
      </w:pPr>
      <w:r>
        <w:rPr>
          <w:rStyle w:val="FootnoteReference"/>
        </w:rPr>
        <w:footnoteRef/>
      </w:r>
      <w:r>
        <w:t xml:space="preserve"> </w:t>
      </w:r>
      <w:r w:rsidRPr="00537CC8">
        <w:t>Weeble</w:t>
      </w:r>
    </w:p>
  </w:footnote>
  <w:footnote w:id="1859">
    <w:p w14:paraId="6475248A" w14:textId="4D349ED6" w:rsidR="00B47FF5" w:rsidRDefault="00B47FF5" w:rsidP="00537CC8">
      <w:pPr>
        <w:pStyle w:val="FootnoteText"/>
      </w:pPr>
      <w:r>
        <w:rPr>
          <w:rStyle w:val="FootnoteReference"/>
        </w:rPr>
        <w:footnoteRef/>
      </w:r>
      <w:r>
        <w:rPr>
          <w:rtl/>
        </w:rPr>
        <w:t xml:space="preserve"> </w:t>
      </w:r>
      <w:r w:rsidRPr="00BF37D5">
        <w:t>Peer Review</w:t>
      </w:r>
    </w:p>
  </w:footnote>
  <w:footnote w:id="1860">
    <w:p w14:paraId="7D07B974" w14:textId="00D91573" w:rsidR="00B47FF5" w:rsidRDefault="00B47FF5" w:rsidP="00537CC8">
      <w:pPr>
        <w:pStyle w:val="FootnoteText"/>
      </w:pPr>
      <w:r>
        <w:rPr>
          <w:rStyle w:val="FootnoteReference"/>
        </w:rPr>
        <w:footnoteRef/>
      </w:r>
      <w:r>
        <w:rPr>
          <w:rtl/>
        </w:rPr>
        <w:t xml:space="preserve"> </w:t>
      </w:r>
      <w:r w:rsidRPr="00BF37D5">
        <w:t>Open peer commentary</w:t>
      </w:r>
    </w:p>
  </w:footnote>
  <w:footnote w:id="1861">
    <w:p w14:paraId="2C628E47" w14:textId="77777777" w:rsidR="00B47FF5" w:rsidRDefault="00B47FF5" w:rsidP="00537CC8">
      <w:pPr>
        <w:pStyle w:val="FootnoteText"/>
      </w:pPr>
      <w:r>
        <w:rPr>
          <w:rStyle w:val="FootnoteReference"/>
        </w:rPr>
        <w:footnoteRef/>
      </w:r>
      <w:r>
        <w:rPr>
          <w:rtl/>
        </w:rPr>
        <w:t xml:space="preserve"> </w:t>
      </w:r>
      <w:r>
        <w:t>Four Futures</w:t>
      </w:r>
    </w:p>
  </w:footnote>
  <w:footnote w:id="1862">
    <w:p w14:paraId="5BF90C70" w14:textId="77777777" w:rsidR="00B47FF5" w:rsidRDefault="00B47FF5" w:rsidP="00537CC8">
      <w:pPr>
        <w:pStyle w:val="FootnoteText"/>
      </w:pPr>
      <w:r>
        <w:rPr>
          <w:rStyle w:val="FootnoteReference"/>
        </w:rPr>
        <w:footnoteRef/>
      </w:r>
      <w:r>
        <w:rPr>
          <w:rtl/>
        </w:rPr>
        <w:t xml:space="preserve"> </w:t>
      </w:r>
      <w:r w:rsidRPr="00C11683">
        <w:t>Dator</w:t>
      </w:r>
    </w:p>
  </w:footnote>
  <w:footnote w:id="1863">
    <w:p w14:paraId="7C5F0BEF" w14:textId="77777777" w:rsidR="00B47FF5" w:rsidRDefault="00B47FF5" w:rsidP="00537CC8">
      <w:pPr>
        <w:pStyle w:val="FootnoteText"/>
      </w:pPr>
      <w:r>
        <w:rPr>
          <w:rStyle w:val="FootnoteReference"/>
        </w:rPr>
        <w:footnoteRef/>
      </w:r>
      <w:r>
        <w:rPr>
          <w:rtl/>
        </w:rPr>
        <w:t xml:space="preserve"> </w:t>
      </w:r>
      <w:r w:rsidRPr="00C11683">
        <w:t>Aubrey de Grey</w:t>
      </w:r>
    </w:p>
  </w:footnote>
  <w:footnote w:id="1864">
    <w:p w14:paraId="6559DB90" w14:textId="77777777" w:rsidR="00B47FF5" w:rsidRDefault="00B47FF5" w:rsidP="00537CC8">
      <w:pPr>
        <w:pStyle w:val="FootnoteText"/>
      </w:pPr>
      <w:r>
        <w:rPr>
          <w:rStyle w:val="FootnoteReference"/>
        </w:rPr>
        <w:footnoteRef/>
      </w:r>
      <w:r>
        <w:rPr>
          <w:rtl/>
        </w:rPr>
        <w:t xml:space="preserve"> </w:t>
      </w:r>
      <w:r w:rsidRPr="008427E6">
        <w:t>Strategies for Engineered “Negligible</w:t>
      </w:r>
      <w:r>
        <w:t xml:space="preserve"> </w:t>
      </w:r>
      <w:r w:rsidRPr="008427E6">
        <w:t>Senescence”</w:t>
      </w:r>
    </w:p>
  </w:footnote>
  <w:footnote w:id="1865">
    <w:p w14:paraId="43491A60" w14:textId="7E1E3968" w:rsidR="00B47FF5" w:rsidRDefault="00B47FF5" w:rsidP="00537CC8">
      <w:pPr>
        <w:pStyle w:val="FootnoteText"/>
      </w:pPr>
      <w:r>
        <w:rPr>
          <w:rStyle w:val="FootnoteReference"/>
        </w:rPr>
        <w:footnoteRef/>
      </w:r>
      <w:r>
        <w:rPr>
          <w:rtl/>
        </w:rPr>
        <w:t xml:space="preserve"> </w:t>
      </w:r>
      <w:r w:rsidRPr="00A60B2F">
        <w:t>Epigenetic</w:t>
      </w:r>
    </w:p>
  </w:footnote>
  <w:footnote w:id="1866">
    <w:p w14:paraId="6685A067" w14:textId="0F6FC82D" w:rsidR="00B47FF5" w:rsidRDefault="00B47FF5" w:rsidP="00537CC8">
      <w:pPr>
        <w:pStyle w:val="FootnoteText"/>
      </w:pPr>
      <w:r>
        <w:rPr>
          <w:rStyle w:val="FootnoteReference"/>
        </w:rPr>
        <w:footnoteRef/>
      </w:r>
      <w:r>
        <w:rPr>
          <w:rtl/>
        </w:rPr>
        <w:t xml:space="preserve"> </w:t>
      </w:r>
      <w:r>
        <w:t>Postmitotic</w:t>
      </w:r>
    </w:p>
  </w:footnote>
  <w:footnote w:id="1867">
    <w:p w14:paraId="2F676CDB" w14:textId="3132280B" w:rsidR="00B47FF5" w:rsidRDefault="00B47FF5" w:rsidP="00537CC8">
      <w:pPr>
        <w:pStyle w:val="FootnoteText"/>
      </w:pPr>
      <w:r>
        <w:rPr>
          <w:rStyle w:val="FootnoteReference"/>
        </w:rPr>
        <w:footnoteRef/>
      </w:r>
      <w:r>
        <w:rPr>
          <w:rtl/>
        </w:rPr>
        <w:t xml:space="preserve"> </w:t>
      </w:r>
      <w:r>
        <w:t>Entropy</w:t>
      </w:r>
    </w:p>
  </w:footnote>
  <w:footnote w:id="1868">
    <w:p w14:paraId="2DC7D471" w14:textId="11DC0077" w:rsidR="00B47FF5" w:rsidRDefault="00B47FF5" w:rsidP="00537CC8">
      <w:pPr>
        <w:pStyle w:val="FootnoteText"/>
      </w:pPr>
      <w:r>
        <w:rPr>
          <w:rStyle w:val="FootnoteReference"/>
        </w:rPr>
        <w:footnoteRef/>
      </w:r>
      <w:r>
        <w:rPr>
          <w:rtl/>
        </w:rPr>
        <w:t xml:space="preserve"> </w:t>
      </w:r>
      <w:r w:rsidRPr="007B012E">
        <w:t>Senescence</w:t>
      </w:r>
    </w:p>
  </w:footnote>
  <w:footnote w:id="1869">
    <w:p w14:paraId="662DC672" w14:textId="7267342D" w:rsidR="00B47FF5" w:rsidRDefault="00B47FF5" w:rsidP="00537CC8">
      <w:pPr>
        <w:pStyle w:val="FootnoteText"/>
      </w:pPr>
      <w:r>
        <w:rPr>
          <w:rStyle w:val="FootnoteReference"/>
        </w:rPr>
        <w:footnoteRef/>
      </w:r>
      <w:r>
        <w:rPr>
          <w:rtl/>
        </w:rPr>
        <w:t xml:space="preserve"> </w:t>
      </w:r>
      <w:r w:rsidRPr="007B012E">
        <w:t>Autophagy</w:t>
      </w:r>
    </w:p>
  </w:footnote>
  <w:footnote w:id="1870">
    <w:p w14:paraId="0522E3A0" w14:textId="3038899C" w:rsidR="00B47FF5" w:rsidRDefault="00B47FF5" w:rsidP="00537CC8">
      <w:pPr>
        <w:pStyle w:val="FootnoteText"/>
      </w:pPr>
      <w:r>
        <w:rPr>
          <w:rStyle w:val="FootnoteReference"/>
        </w:rPr>
        <w:footnoteRef/>
      </w:r>
      <w:r>
        <w:rPr>
          <w:rtl/>
        </w:rPr>
        <w:t xml:space="preserve"> </w:t>
      </w:r>
      <w:r w:rsidRPr="007B012E">
        <w:t>Apoptosis</w:t>
      </w:r>
    </w:p>
  </w:footnote>
  <w:footnote w:id="1871">
    <w:p w14:paraId="26832D4B" w14:textId="24DBFF64" w:rsidR="00B47FF5" w:rsidRDefault="00B47FF5" w:rsidP="00537CC8">
      <w:pPr>
        <w:pStyle w:val="FootnoteText"/>
      </w:pPr>
      <w:r>
        <w:rPr>
          <w:rStyle w:val="FootnoteReference"/>
        </w:rPr>
        <w:footnoteRef/>
      </w:r>
      <w:r>
        <w:rPr>
          <w:rtl/>
        </w:rPr>
        <w:t xml:space="preserve"> </w:t>
      </w:r>
      <w:r w:rsidRPr="007B012E">
        <w:t>Rejuvenation</w:t>
      </w:r>
    </w:p>
  </w:footnote>
  <w:footnote w:id="1872">
    <w:p w14:paraId="116D6A9E" w14:textId="2E0CF0AE" w:rsidR="00B47FF5" w:rsidRDefault="00B47FF5" w:rsidP="00537CC8">
      <w:pPr>
        <w:pStyle w:val="FootnoteText"/>
      </w:pPr>
      <w:r>
        <w:rPr>
          <w:rStyle w:val="FootnoteReference"/>
        </w:rPr>
        <w:footnoteRef/>
      </w:r>
      <w:r>
        <w:rPr>
          <w:rtl/>
        </w:rPr>
        <w:t xml:space="preserve"> </w:t>
      </w:r>
      <w:r w:rsidRPr="007B012E">
        <w:t>Senolytics</w:t>
      </w:r>
    </w:p>
  </w:footnote>
  <w:footnote w:id="1873">
    <w:p w14:paraId="2D9FF71B" w14:textId="03B6990A" w:rsidR="00B47FF5" w:rsidRDefault="00B47FF5" w:rsidP="00537CC8">
      <w:pPr>
        <w:pStyle w:val="FootnoteText"/>
      </w:pPr>
      <w:r>
        <w:rPr>
          <w:rStyle w:val="FootnoteReference"/>
        </w:rPr>
        <w:footnoteRef/>
      </w:r>
      <w:r>
        <w:rPr>
          <w:rtl/>
        </w:rPr>
        <w:t xml:space="preserve"> </w:t>
      </w:r>
      <w:r w:rsidRPr="00C11683">
        <w:t>Rapamycin</w:t>
      </w:r>
    </w:p>
  </w:footnote>
  <w:footnote w:id="1874">
    <w:p w14:paraId="6CD79A20" w14:textId="77777777" w:rsidR="00B47FF5" w:rsidRDefault="00B47FF5" w:rsidP="00537CC8">
      <w:pPr>
        <w:pStyle w:val="FootnoteText"/>
      </w:pPr>
      <w:r>
        <w:rPr>
          <w:rStyle w:val="FootnoteReference"/>
        </w:rPr>
        <w:footnoteRef/>
      </w:r>
      <w:r>
        <w:rPr>
          <w:rtl/>
        </w:rPr>
        <w:t xml:space="preserve"> </w:t>
      </w:r>
      <w:r w:rsidRPr="00C11683">
        <w:t>Andrew Steele</w:t>
      </w:r>
    </w:p>
  </w:footnote>
  <w:footnote w:id="1875">
    <w:p w14:paraId="2640BD3B" w14:textId="77777777" w:rsidR="00B47FF5" w:rsidRDefault="00B47FF5" w:rsidP="00537CC8">
      <w:pPr>
        <w:pStyle w:val="FootnoteText"/>
      </w:pPr>
      <w:r>
        <w:rPr>
          <w:rStyle w:val="FootnoteReference"/>
        </w:rPr>
        <w:footnoteRef/>
      </w:r>
      <w:r>
        <w:rPr>
          <w:rtl/>
        </w:rPr>
        <w:t xml:space="preserve"> </w:t>
      </w:r>
      <w:r w:rsidRPr="007B012E">
        <w:t xml:space="preserve">Ageless: The New Science </w:t>
      </w:r>
      <w:r>
        <w:t>o</w:t>
      </w:r>
      <w:r w:rsidRPr="007B012E">
        <w:t xml:space="preserve">f Getting Older </w:t>
      </w:r>
      <w:r>
        <w:t>w</w:t>
      </w:r>
      <w:r w:rsidRPr="007B012E">
        <w:t>ithou</w:t>
      </w:r>
      <w:r>
        <w:t>t</w:t>
      </w:r>
      <w:r w:rsidRPr="007B012E">
        <w:t xml:space="preserve"> Getting Older</w:t>
      </w:r>
    </w:p>
  </w:footnote>
  <w:footnote w:id="1876">
    <w:p w14:paraId="1CA840CD" w14:textId="6924C29A" w:rsidR="00B47FF5" w:rsidRDefault="00B47FF5" w:rsidP="00537CC8">
      <w:pPr>
        <w:pStyle w:val="FootnoteText"/>
      </w:pPr>
      <w:r>
        <w:rPr>
          <w:rStyle w:val="FootnoteReference"/>
        </w:rPr>
        <w:footnoteRef/>
      </w:r>
      <w:r>
        <w:rPr>
          <w:rtl/>
        </w:rPr>
        <w:t xml:space="preserve"> </w:t>
      </w:r>
      <w:r w:rsidRPr="00C11683">
        <w:t>Senolytics</w:t>
      </w:r>
    </w:p>
  </w:footnote>
  <w:footnote w:id="1877">
    <w:p w14:paraId="7DCAAD12" w14:textId="40A0E076" w:rsidR="00B47FF5" w:rsidRDefault="00B47FF5" w:rsidP="00537CC8">
      <w:pPr>
        <w:pStyle w:val="FootnoteText"/>
      </w:pPr>
      <w:r>
        <w:rPr>
          <w:rStyle w:val="FootnoteReference"/>
        </w:rPr>
        <w:footnoteRef/>
      </w:r>
      <w:r>
        <w:rPr>
          <w:rtl/>
        </w:rPr>
        <w:t xml:space="preserve"> </w:t>
      </w:r>
      <w:r w:rsidRPr="00C11683">
        <w:t>De Grey</w:t>
      </w:r>
    </w:p>
  </w:footnote>
  <w:footnote w:id="1878">
    <w:p w14:paraId="635E7902" w14:textId="1FE8C765" w:rsidR="00B47FF5" w:rsidRDefault="00B47FF5" w:rsidP="00537CC8">
      <w:pPr>
        <w:pStyle w:val="FootnoteText"/>
      </w:pPr>
      <w:r>
        <w:rPr>
          <w:rStyle w:val="FootnoteReference"/>
        </w:rPr>
        <w:footnoteRef/>
      </w:r>
      <w:r>
        <w:rPr>
          <w:rtl/>
        </w:rPr>
        <w:t xml:space="preserve"> </w:t>
      </w:r>
      <w:r>
        <w:t>Us National Institutes Of Health</w:t>
      </w:r>
    </w:p>
  </w:footnote>
  <w:footnote w:id="1879">
    <w:p w14:paraId="3A552A1A" w14:textId="7B0D18F9" w:rsidR="00B47FF5" w:rsidRDefault="00B47FF5" w:rsidP="00537CC8">
      <w:pPr>
        <w:pStyle w:val="FootnoteText"/>
      </w:pPr>
      <w:r>
        <w:rPr>
          <w:rStyle w:val="FootnoteReference"/>
        </w:rPr>
        <w:footnoteRef/>
      </w:r>
      <w:r>
        <w:rPr>
          <w:rtl/>
        </w:rPr>
        <w:t xml:space="preserve"> </w:t>
      </w:r>
      <w:r w:rsidRPr="007B012E">
        <w:t>Eukaryotic</w:t>
      </w:r>
    </w:p>
  </w:footnote>
  <w:footnote w:id="1880">
    <w:p w14:paraId="703D0241" w14:textId="2635B728" w:rsidR="00B47FF5" w:rsidRDefault="00B47FF5" w:rsidP="00537CC8">
      <w:pPr>
        <w:pStyle w:val="FootnoteText"/>
      </w:pPr>
      <w:r>
        <w:rPr>
          <w:rStyle w:val="FootnoteReference"/>
        </w:rPr>
        <w:footnoteRef/>
      </w:r>
      <w:r>
        <w:rPr>
          <w:rtl/>
        </w:rPr>
        <w:t xml:space="preserve"> </w:t>
      </w:r>
      <w:r>
        <w:t>Colonizing</w:t>
      </w:r>
    </w:p>
  </w:footnote>
  <w:footnote w:id="1881">
    <w:p w14:paraId="6F8C7D82" w14:textId="6DC41B42" w:rsidR="00B47FF5" w:rsidRDefault="00B47FF5" w:rsidP="00537CC8">
      <w:pPr>
        <w:pStyle w:val="FootnoteText"/>
      </w:pPr>
      <w:r>
        <w:rPr>
          <w:rStyle w:val="FootnoteReference"/>
        </w:rPr>
        <w:footnoteRef/>
      </w:r>
      <w:r>
        <w:rPr>
          <w:rtl/>
        </w:rPr>
        <w:t xml:space="preserve"> </w:t>
      </w:r>
      <w:r>
        <w:t>Individualists</w:t>
      </w:r>
    </w:p>
  </w:footnote>
  <w:footnote w:id="1882">
    <w:p w14:paraId="7BB7D4D7" w14:textId="745E3ADE" w:rsidR="00B47FF5" w:rsidRDefault="00B47FF5" w:rsidP="00537CC8">
      <w:pPr>
        <w:pStyle w:val="FootnoteText"/>
      </w:pPr>
      <w:r>
        <w:rPr>
          <w:rStyle w:val="FootnoteReference"/>
        </w:rPr>
        <w:footnoteRef/>
      </w:r>
      <w:r>
        <w:rPr>
          <w:rtl/>
        </w:rPr>
        <w:t xml:space="preserve"> </w:t>
      </w:r>
      <w:r w:rsidRPr="001E7197">
        <w:t>Iconoclasts</w:t>
      </w:r>
    </w:p>
  </w:footnote>
  <w:footnote w:id="1883">
    <w:p w14:paraId="566D3C9B" w14:textId="77777777" w:rsidR="00B47FF5" w:rsidRDefault="00B47FF5" w:rsidP="00537CC8">
      <w:pPr>
        <w:pStyle w:val="FootnoteText"/>
      </w:pPr>
      <w:r>
        <w:rPr>
          <w:rStyle w:val="FootnoteReference"/>
        </w:rPr>
        <w:footnoteRef/>
      </w:r>
      <w:r>
        <w:rPr>
          <w:rtl/>
        </w:rPr>
        <w:t xml:space="preserve"> </w:t>
      </w:r>
      <w:r w:rsidRPr="009C7612">
        <w:t>Europa</w:t>
      </w:r>
    </w:p>
  </w:footnote>
  <w:footnote w:id="1884">
    <w:p w14:paraId="37BAF3EE" w14:textId="77777777" w:rsidR="00B47FF5" w:rsidRDefault="00B47FF5" w:rsidP="00537CC8">
      <w:pPr>
        <w:pStyle w:val="FootnoteText"/>
      </w:pPr>
      <w:r>
        <w:rPr>
          <w:rStyle w:val="FootnoteReference"/>
        </w:rPr>
        <w:footnoteRef/>
      </w:r>
      <w:r>
        <w:rPr>
          <w:rtl/>
        </w:rPr>
        <w:t xml:space="preserve"> </w:t>
      </w:r>
      <w:r w:rsidRPr="004A1BAE">
        <w:t>Generalist futurists</w:t>
      </w:r>
    </w:p>
  </w:footnote>
  <w:footnote w:id="1885">
    <w:p w14:paraId="1A2CC156" w14:textId="77777777" w:rsidR="00B47FF5" w:rsidRDefault="00B47FF5" w:rsidP="00537CC8">
      <w:pPr>
        <w:pStyle w:val="FootnoteText"/>
      </w:pPr>
      <w:r>
        <w:rPr>
          <w:rStyle w:val="FootnoteReference"/>
        </w:rPr>
        <w:footnoteRef/>
      </w:r>
      <w:r>
        <w:rPr>
          <w:rtl/>
        </w:rPr>
        <w:t xml:space="preserve"> </w:t>
      </w:r>
      <w:r w:rsidRPr="00D336CC">
        <w:t>Critical Thinking</w:t>
      </w:r>
    </w:p>
  </w:footnote>
  <w:footnote w:id="1886">
    <w:p w14:paraId="4201CBD8" w14:textId="77777777" w:rsidR="00B47FF5" w:rsidRDefault="00B47FF5" w:rsidP="00537CC8">
      <w:pPr>
        <w:pStyle w:val="FootnoteText"/>
      </w:pPr>
      <w:r>
        <w:rPr>
          <w:rStyle w:val="FootnoteReference"/>
        </w:rPr>
        <w:footnoteRef/>
      </w:r>
      <w:r>
        <w:rPr>
          <w:rtl/>
        </w:rPr>
        <w:t xml:space="preserve"> </w:t>
      </w:r>
      <w:r w:rsidRPr="00C11683">
        <w:t>Paul</w:t>
      </w:r>
    </w:p>
  </w:footnote>
  <w:footnote w:id="1887">
    <w:p w14:paraId="59F601DF" w14:textId="77777777" w:rsidR="00B47FF5" w:rsidRDefault="00B47FF5" w:rsidP="00537CC8">
      <w:pPr>
        <w:pStyle w:val="FootnoteText"/>
      </w:pPr>
      <w:r>
        <w:rPr>
          <w:rStyle w:val="FootnoteReference"/>
        </w:rPr>
        <w:footnoteRef/>
      </w:r>
      <w:r>
        <w:rPr>
          <w:rtl/>
        </w:rPr>
        <w:t xml:space="preserve"> </w:t>
      </w:r>
      <w:r w:rsidRPr="00C11683">
        <w:t>Elder</w:t>
      </w:r>
    </w:p>
  </w:footnote>
  <w:footnote w:id="1888">
    <w:p w14:paraId="4DB2B123" w14:textId="77777777" w:rsidR="00B47FF5" w:rsidRDefault="00B47FF5" w:rsidP="00537CC8">
      <w:pPr>
        <w:pStyle w:val="FootnoteText"/>
      </w:pPr>
      <w:r>
        <w:rPr>
          <w:rStyle w:val="FootnoteReference"/>
        </w:rPr>
        <w:footnoteRef/>
      </w:r>
      <w:r>
        <w:rPr>
          <w:rtl/>
        </w:rPr>
        <w:t xml:space="preserve"> </w:t>
      </w:r>
      <w:r w:rsidRPr="004A1BAE">
        <w:t>Futurepedia</w:t>
      </w:r>
    </w:p>
  </w:footnote>
  <w:footnote w:id="1889">
    <w:p w14:paraId="5B425F7C" w14:textId="77777777" w:rsidR="00B47FF5" w:rsidRDefault="00B47FF5" w:rsidP="00537CC8">
      <w:pPr>
        <w:pStyle w:val="FootnoteText"/>
      </w:pPr>
      <w:r>
        <w:rPr>
          <w:rStyle w:val="FootnoteReference"/>
        </w:rPr>
        <w:footnoteRef/>
      </w:r>
      <w:r>
        <w:rPr>
          <w:rtl/>
        </w:rPr>
        <w:t xml:space="preserve"> </w:t>
      </w:r>
      <w:r w:rsidRPr="00C11683">
        <w:t>Hasbro</w:t>
      </w:r>
    </w:p>
  </w:footnote>
  <w:footnote w:id="1890">
    <w:p w14:paraId="1C55F4BC" w14:textId="77777777" w:rsidR="00B47FF5" w:rsidRDefault="00B47FF5" w:rsidP="00537CC8">
      <w:pPr>
        <w:pStyle w:val="FootnoteText"/>
      </w:pPr>
      <w:r>
        <w:rPr>
          <w:rStyle w:val="FootnoteReference"/>
        </w:rPr>
        <w:footnoteRef/>
      </w:r>
      <w:r>
        <w:rPr>
          <w:rtl/>
        </w:rPr>
        <w:t xml:space="preserve"> </w:t>
      </w:r>
      <w:r w:rsidRPr="006E45D6">
        <w:t>Weebles wobble, but they don’t fall down</w:t>
      </w:r>
      <w:r w:rsidRPr="006E45D6">
        <w:rPr>
          <w:rtl/>
        </w:rPr>
        <w:t>.</w:t>
      </w:r>
    </w:p>
  </w:footnote>
  <w:footnote w:id="1891">
    <w:p w14:paraId="289A9E39" w14:textId="77777777" w:rsidR="00B47FF5" w:rsidRDefault="00B47FF5" w:rsidP="00537CC8">
      <w:pPr>
        <w:pStyle w:val="FootnoteText"/>
      </w:pPr>
      <w:r>
        <w:rPr>
          <w:rStyle w:val="FootnoteReference"/>
        </w:rPr>
        <w:footnoteRef/>
      </w:r>
      <w:r>
        <w:rPr>
          <w:rtl/>
        </w:rPr>
        <w:t xml:space="preserve"> </w:t>
      </w:r>
      <w:r w:rsidRPr="00C11683">
        <w:t>John Petersen</w:t>
      </w:r>
    </w:p>
  </w:footnote>
  <w:footnote w:id="1892">
    <w:p w14:paraId="4EB4C6F3" w14:textId="77777777" w:rsidR="00B47FF5" w:rsidRDefault="00B47FF5" w:rsidP="00537CC8">
      <w:pPr>
        <w:pStyle w:val="FootnoteText"/>
      </w:pPr>
      <w:r>
        <w:rPr>
          <w:rStyle w:val="FootnoteReference"/>
        </w:rPr>
        <w:footnoteRef/>
      </w:r>
      <w:r>
        <w:rPr>
          <w:rtl/>
        </w:rPr>
        <w:t xml:space="preserve"> </w:t>
      </w:r>
      <w:r w:rsidRPr="006951A1">
        <w:t>Out of the Blue: Wildcards</w:t>
      </w:r>
      <w:r>
        <w:t xml:space="preserve"> </w:t>
      </w:r>
      <w:r w:rsidRPr="006951A1">
        <w:t>and Other Big Future Surprises</w:t>
      </w:r>
    </w:p>
  </w:footnote>
  <w:footnote w:id="1893">
    <w:p w14:paraId="084134BE" w14:textId="77777777" w:rsidR="00B47FF5" w:rsidRDefault="00B47FF5" w:rsidP="00537CC8">
      <w:pPr>
        <w:pStyle w:val="FootnoteText"/>
      </w:pPr>
      <w:r>
        <w:rPr>
          <w:rStyle w:val="FootnoteReference"/>
        </w:rPr>
        <w:footnoteRef/>
      </w:r>
      <w:r>
        <w:rPr>
          <w:rtl/>
        </w:rPr>
        <w:t xml:space="preserve"> </w:t>
      </w:r>
      <w:r w:rsidRPr="006951A1">
        <w:t>The Black</w:t>
      </w:r>
      <w:r>
        <w:t xml:space="preserve"> </w:t>
      </w:r>
      <w:r w:rsidRPr="006951A1">
        <w:t>Swan: The Impact of the Highly Improbable</w:t>
      </w:r>
    </w:p>
  </w:footnote>
  <w:footnote w:id="1894">
    <w:p w14:paraId="4891160B" w14:textId="77777777" w:rsidR="00B47FF5" w:rsidRDefault="00B47FF5" w:rsidP="00537CC8">
      <w:pPr>
        <w:pStyle w:val="FootnoteText"/>
      </w:pPr>
      <w:r>
        <w:rPr>
          <w:rStyle w:val="FootnoteReference"/>
        </w:rPr>
        <w:footnoteRef/>
      </w:r>
      <w:r>
        <w:rPr>
          <w:rtl/>
        </w:rPr>
        <w:t xml:space="preserve"> </w:t>
      </w:r>
      <w:r w:rsidRPr="00C11683">
        <w:t>Nicholas Taleb</w:t>
      </w:r>
    </w:p>
  </w:footnote>
  <w:footnote w:id="1895">
    <w:p w14:paraId="0107869B" w14:textId="77777777" w:rsidR="00B47FF5" w:rsidRDefault="00B47FF5" w:rsidP="00537CC8">
      <w:pPr>
        <w:pStyle w:val="FootnoteText"/>
      </w:pPr>
      <w:r>
        <w:rPr>
          <w:rStyle w:val="FootnoteReference"/>
        </w:rPr>
        <w:footnoteRef/>
      </w:r>
      <w:r>
        <w:rPr>
          <w:rtl/>
        </w:rPr>
        <w:t xml:space="preserve"> </w:t>
      </w:r>
      <w:r w:rsidRPr="007E095A">
        <w:t>In the Year 2000</w:t>
      </w:r>
    </w:p>
  </w:footnote>
  <w:footnote w:id="1896">
    <w:p w14:paraId="18C39D49" w14:textId="77777777" w:rsidR="00B47FF5" w:rsidRDefault="00B47FF5" w:rsidP="00537CC8">
      <w:pPr>
        <w:pStyle w:val="FootnoteText"/>
      </w:pPr>
      <w:r>
        <w:rPr>
          <w:rStyle w:val="FootnoteReference"/>
        </w:rPr>
        <w:footnoteRef/>
      </w:r>
      <w:r>
        <w:rPr>
          <w:rtl/>
        </w:rPr>
        <w:t xml:space="preserve"> </w:t>
      </w:r>
      <w:r w:rsidRPr="00C15C87">
        <w:t>Gustave d’Amecourt</w:t>
      </w:r>
    </w:p>
  </w:footnote>
  <w:footnote w:id="1897">
    <w:p w14:paraId="2375BD1C" w14:textId="0E015999" w:rsidR="00B47FF5" w:rsidRDefault="00B47FF5" w:rsidP="00537CC8">
      <w:pPr>
        <w:pStyle w:val="FootnoteText"/>
      </w:pPr>
      <w:r>
        <w:rPr>
          <w:rStyle w:val="FootnoteReference"/>
        </w:rPr>
        <w:footnoteRef/>
      </w:r>
      <w:r>
        <w:rPr>
          <w:rtl/>
        </w:rPr>
        <w:t xml:space="preserve"> </w:t>
      </w:r>
      <w:r>
        <w:t>Helicopter</w:t>
      </w:r>
    </w:p>
  </w:footnote>
  <w:footnote w:id="1898">
    <w:p w14:paraId="76E49401" w14:textId="77777777" w:rsidR="00B47FF5" w:rsidRDefault="00B47FF5" w:rsidP="00537CC8">
      <w:pPr>
        <w:pStyle w:val="FootnoteText"/>
      </w:pPr>
      <w:r>
        <w:rPr>
          <w:rStyle w:val="FootnoteReference"/>
        </w:rPr>
        <w:footnoteRef/>
      </w:r>
      <w:r>
        <w:rPr>
          <w:rtl/>
        </w:rPr>
        <w:t xml:space="preserve"> </w:t>
      </w:r>
      <w:r>
        <w:t>Thomas Edison</w:t>
      </w:r>
    </w:p>
  </w:footnote>
  <w:footnote w:id="1899">
    <w:p w14:paraId="3A0ECEBB" w14:textId="77777777" w:rsidR="00B47FF5" w:rsidRDefault="00B47FF5" w:rsidP="00537CC8">
      <w:pPr>
        <w:pStyle w:val="FootnoteText"/>
      </w:pPr>
      <w:r>
        <w:rPr>
          <w:rStyle w:val="FootnoteReference"/>
        </w:rPr>
        <w:footnoteRef/>
      </w:r>
      <w:r>
        <w:rPr>
          <w:rtl/>
        </w:rPr>
        <w:t xml:space="preserve"> </w:t>
      </w:r>
      <w:r w:rsidRPr="005E1B26">
        <w:t>Wildfires</w:t>
      </w:r>
    </w:p>
  </w:footnote>
  <w:footnote w:id="1900">
    <w:p w14:paraId="651DAE6D" w14:textId="510A1D31" w:rsidR="00B47FF5" w:rsidRDefault="00B47FF5" w:rsidP="00537CC8">
      <w:pPr>
        <w:pStyle w:val="FootnoteText"/>
      </w:pPr>
      <w:r>
        <w:rPr>
          <w:rStyle w:val="FootnoteReference"/>
        </w:rPr>
        <w:footnoteRef/>
      </w:r>
      <w:r>
        <w:rPr>
          <w:rtl/>
        </w:rPr>
        <w:t xml:space="preserve"> </w:t>
      </w:r>
      <w:r w:rsidRPr="005E1B26">
        <w:t>Firebreak</w:t>
      </w:r>
    </w:p>
  </w:footnote>
  <w:footnote w:id="1901">
    <w:p w14:paraId="3EB98B47" w14:textId="7DD00D4A" w:rsidR="00B47FF5" w:rsidRDefault="00B47FF5" w:rsidP="00537CC8">
      <w:pPr>
        <w:pStyle w:val="FootnoteText"/>
      </w:pPr>
      <w:r>
        <w:rPr>
          <w:rStyle w:val="FootnoteReference"/>
        </w:rPr>
        <w:footnoteRef/>
      </w:r>
      <w:r>
        <w:rPr>
          <w:rtl/>
        </w:rPr>
        <w:t xml:space="preserve"> </w:t>
      </w:r>
      <w:r>
        <w:t xml:space="preserve">69 </w:t>
      </w:r>
      <w:r w:rsidRPr="00C15C87">
        <w:t>Bravo</w:t>
      </w:r>
    </w:p>
  </w:footnote>
  <w:footnote w:id="1902">
    <w:p w14:paraId="6F20EA0C" w14:textId="77777777" w:rsidR="00B47FF5" w:rsidRDefault="00B47FF5" w:rsidP="00537CC8">
      <w:pPr>
        <w:pStyle w:val="FootnoteText"/>
      </w:pPr>
      <w:r>
        <w:rPr>
          <w:rStyle w:val="FootnoteReference"/>
        </w:rPr>
        <w:footnoteRef/>
      </w:r>
      <w:r>
        <w:rPr>
          <w:rtl/>
        </w:rPr>
        <w:t xml:space="preserve"> </w:t>
      </w:r>
      <w:r w:rsidRPr="00C15C87">
        <w:t>Vimeo</w:t>
      </w:r>
    </w:p>
  </w:footnote>
  <w:footnote w:id="1903">
    <w:p w14:paraId="65ACED4A" w14:textId="1895AB8B" w:rsidR="00B47FF5" w:rsidRDefault="00B47FF5">
      <w:pPr>
        <w:pStyle w:val="FootnoteText"/>
        <w:rPr>
          <w:rtl/>
        </w:rPr>
      </w:pPr>
      <w:r>
        <w:rPr>
          <w:rStyle w:val="FootnoteReference"/>
        </w:rPr>
        <w:footnoteRef/>
      </w:r>
      <w:r>
        <w:t xml:space="preserve"> </w:t>
      </w:r>
      <w:r w:rsidRPr="00933C48">
        <w:t>BACKBURN</w:t>
      </w:r>
    </w:p>
  </w:footnote>
  <w:footnote w:id="1904">
    <w:p w14:paraId="5CBFC498" w14:textId="77777777" w:rsidR="00B47FF5" w:rsidRDefault="00B47FF5" w:rsidP="00537CC8">
      <w:pPr>
        <w:pStyle w:val="FootnoteText"/>
      </w:pPr>
      <w:r>
        <w:rPr>
          <w:rStyle w:val="FootnoteReference"/>
        </w:rPr>
        <w:footnoteRef/>
      </w:r>
      <w:r>
        <w:rPr>
          <w:rtl/>
        </w:rPr>
        <w:t xml:space="preserve"> </w:t>
      </w:r>
      <w:r>
        <w:t>Fire line explosives</w:t>
      </w:r>
    </w:p>
  </w:footnote>
  <w:footnote w:id="1905">
    <w:p w14:paraId="43E5ED56" w14:textId="251585F6" w:rsidR="00B47FF5" w:rsidRDefault="00B47FF5" w:rsidP="00537CC8">
      <w:pPr>
        <w:pStyle w:val="FootnoteText"/>
      </w:pPr>
      <w:r>
        <w:rPr>
          <w:rStyle w:val="FootnoteReference"/>
        </w:rPr>
        <w:footnoteRef/>
      </w:r>
      <w:r>
        <w:rPr>
          <w:rtl/>
        </w:rPr>
        <w:t xml:space="preserve"> </w:t>
      </w:r>
      <w:r w:rsidRPr="00725C7B">
        <w:t>Nootropics</w:t>
      </w:r>
    </w:p>
  </w:footnote>
  <w:footnote w:id="1906">
    <w:p w14:paraId="66CEC838" w14:textId="6AD5A81E" w:rsidR="00B47FF5" w:rsidRDefault="00B47FF5" w:rsidP="00537CC8">
      <w:pPr>
        <w:pStyle w:val="FootnoteText"/>
      </w:pPr>
      <w:r>
        <w:rPr>
          <w:rStyle w:val="FootnoteReference"/>
        </w:rPr>
        <w:footnoteRef/>
      </w:r>
      <w:r>
        <w:rPr>
          <w:rtl/>
        </w:rPr>
        <w:t xml:space="preserve"> </w:t>
      </w:r>
      <w:r w:rsidRPr="00725C7B">
        <w:t>Molecular Assemblers</w:t>
      </w:r>
    </w:p>
  </w:footnote>
  <w:footnote w:id="1907">
    <w:p w14:paraId="25E3ED3A" w14:textId="4AF241D2" w:rsidR="00B47FF5" w:rsidRDefault="00B47FF5" w:rsidP="00537CC8">
      <w:pPr>
        <w:pStyle w:val="FootnoteText"/>
      </w:pPr>
      <w:r>
        <w:rPr>
          <w:rStyle w:val="FootnoteReference"/>
        </w:rPr>
        <w:footnoteRef/>
      </w:r>
      <w:r>
        <w:t xml:space="preserve"> </w:t>
      </w:r>
      <w:r w:rsidRPr="006A20DB">
        <w:t>Desktop additive manufacturing</w:t>
      </w:r>
    </w:p>
  </w:footnote>
  <w:footnote w:id="1908">
    <w:p w14:paraId="34109E97" w14:textId="77777777" w:rsidR="00B47FF5" w:rsidRDefault="00B47FF5" w:rsidP="00537CC8">
      <w:pPr>
        <w:pStyle w:val="FootnoteText"/>
      </w:pPr>
      <w:r>
        <w:rPr>
          <w:rStyle w:val="FootnoteReference"/>
        </w:rPr>
        <w:footnoteRef/>
      </w:r>
      <w:r>
        <w:rPr>
          <w:rtl/>
        </w:rPr>
        <w:t xml:space="preserve"> </w:t>
      </w:r>
      <w:r w:rsidRPr="00AA1FA9">
        <w:t>Massive Transformative Purpose</w:t>
      </w:r>
    </w:p>
  </w:footnote>
  <w:footnote w:id="1909">
    <w:p w14:paraId="7CA0DC7F" w14:textId="77777777" w:rsidR="00B47FF5" w:rsidRDefault="00B47FF5" w:rsidP="00537CC8">
      <w:pPr>
        <w:pStyle w:val="FootnoteText"/>
      </w:pPr>
      <w:r>
        <w:rPr>
          <w:rStyle w:val="FootnoteReference"/>
        </w:rPr>
        <w:footnoteRef/>
      </w:r>
      <w:r>
        <w:rPr>
          <w:rtl/>
        </w:rPr>
        <w:t xml:space="preserve"> </w:t>
      </w:r>
      <w:r w:rsidRPr="00AA1FA9">
        <w:t>Big, Hairy, Audacious Goal</w:t>
      </w:r>
    </w:p>
  </w:footnote>
  <w:footnote w:id="1910">
    <w:p w14:paraId="4237E594" w14:textId="77777777" w:rsidR="00B47FF5" w:rsidRDefault="00B47FF5" w:rsidP="00537CC8">
      <w:pPr>
        <w:pStyle w:val="FootnoteText"/>
      </w:pPr>
      <w:r>
        <w:rPr>
          <w:rStyle w:val="FootnoteReference"/>
        </w:rPr>
        <w:footnoteRef/>
      </w:r>
      <w:r>
        <w:rPr>
          <w:rtl/>
        </w:rPr>
        <w:t xml:space="preserve"> </w:t>
      </w:r>
      <w:r w:rsidRPr="007B6A36">
        <w:t>Jim Collins</w:t>
      </w:r>
    </w:p>
  </w:footnote>
  <w:footnote w:id="1911">
    <w:p w14:paraId="756F38E7" w14:textId="77777777" w:rsidR="00B47FF5" w:rsidRDefault="00B47FF5" w:rsidP="00537CC8">
      <w:pPr>
        <w:pStyle w:val="FootnoteText"/>
      </w:pPr>
      <w:r>
        <w:rPr>
          <w:rStyle w:val="FootnoteReference"/>
        </w:rPr>
        <w:footnoteRef/>
      </w:r>
      <w:r>
        <w:rPr>
          <w:rtl/>
        </w:rPr>
        <w:t xml:space="preserve"> </w:t>
      </w:r>
      <w:r w:rsidRPr="007B6A36">
        <w:t>Jerry Porras</w:t>
      </w:r>
    </w:p>
  </w:footnote>
  <w:footnote w:id="1912">
    <w:p w14:paraId="46E6E377" w14:textId="77777777" w:rsidR="00B47FF5" w:rsidRDefault="00B47FF5" w:rsidP="00537CC8">
      <w:pPr>
        <w:pStyle w:val="FootnoteText"/>
      </w:pPr>
      <w:r>
        <w:rPr>
          <w:rStyle w:val="FootnoteReference"/>
        </w:rPr>
        <w:footnoteRef/>
      </w:r>
      <w:r>
        <w:rPr>
          <w:rtl/>
        </w:rPr>
        <w:t xml:space="preserve"> </w:t>
      </w:r>
      <w:r w:rsidRPr="00AA1FA9">
        <w:t>Built to Last</w:t>
      </w:r>
    </w:p>
  </w:footnote>
  <w:footnote w:id="1913">
    <w:p w14:paraId="22B1154A" w14:textId="77777777" w:rsidR="00B47FF5" w:rsidRDefault="00B47FF5" w:rsidP="00537CC8">
      <w:pPr>
        <w:pStyle w:val="FootnoteText"/>
      </w:pPr>
      <w:r>
        <w:rPr>
          <w:rStyle w:val="FootnoteReference"/>
        </w:rPr>
        <w:footnoteRef/>
      </w:r>
      <w:r>
        <w:rPr>
          <w:rtl/>
        </w:rPr>
        <w:t xml:space="preserve"> </w:t>
      </w:r>
      <w:r>
        <w:t>10X Thinking</w:t>
      </w:r>
    </w:p>
  </w:footnote>
  <w:footnote w:id="1914">
    <w:p w14:paraId="7E8A6F2D" w14:textId="77777777" w:rsidR="00B47FF5" w:rsidRDefault="00B47FF5" w:rsidP="00537CC8">
      <w:pPr>
        <w:pStyle w:val="FootnoteText"/>
      </w:pPr>
      <w:r>
        <w:rPr>
          <w:rStyle w:val="FootnoteReference"/>
        </w:rPr>
        <w:footnoteRef/>
      </w:r>
      <w:r>
        <w:rPr>
          <w:rtl/>
        </w:rPr>
        <w:t xml:space="preserve"> </w:t>
      </w:r>
      <w:r w:rsidRPr="007B6A36">
        <w:t>Moonshot</w:t>
      </w:r>
    </w:p>
  </w:footnote>
  <w:footnote w:id="1915">
    <w:p w14:paraId="1FD81380" w14:textId="77777777" w:rsidR="00B47FF5" w:rsidRDefault="00B47FF5" w:rsidP="00537CC8">
      <w:pPr>
        <w:pStyle w:val="FootnoteText"/>
      </w:pPr>
      <w:r>
        <w:rPr>
          <w:rStyle w:val="FootnoteReference"/>
        </w:rPr>
        <w:footnoteRef/>
      </w:r>
      <w:r>
        <w:rPr>
          <w:rtl/>
        </w:rPr>
        <w:t xml:space="preserve"> </w:t>
      </w:r>
      <w:r w:rsidRPr="002F5BC3">
        <w:t>State of the World</w:t>
      </w:r>
    </w:p>
  </w:footnote>
  <w:footnote w:id="1916">
    <w:p w14:paraId="3F70DC9B" w14:textId="77777777" w:rsidR="00B47FF5" w:rsidRDefault="00B47FF5" w:rsidP="00537CC8">
      <w:pPr>
        <w:pStyle w:val="FootnoteText"/>
      </w:pPr>
      <w:r>
        <w:rPr>
          <w:rStyle w:val="FootnoteReference"/>
        </w:rPr>
        <w:footnoteRef/>
      </w:r>
      <w:r>
        <w:rPr>
          <w:rtl/>
        </w:rPr>
        <w:t xml:space="preserve"> </w:t>
      </w:r>
      <w:r w:rsidRPr="007B6A36">
        <w:t>Gapminder</w:t>
      </w:r>
    </w:p>
  </w:footnote>
  <w:footnote w:id="1917">
    <w:p w14:paraId="67CC0E9B" w14:textId="77777777" w:rsidR="00B47FF5" w:rsidRDefault="00B47FF5" w:rsidP="00537CC8">
      <w:pPr>
        <w:pStyle w:val="FootnoteText"/>
      </w:pPr>
      <w:r>
        <w:rPr>
          <w:rStyle w:val="FootnoteReference"/>
        </w:rPr>
        <w:footnoteRef/>
      </w:r>
      <w:r>
        <w:rPr>
          <w:rtl/>
        </w:rPr>
        <w:t xml:space="preserve"> </w:t>
      </w:r>
      <w:r w:rsidRPr="007B6A36">
        <w:t>Rosling</w:t>
      </w:r>
    </w:p>
  </w:footnote>
  <w:footnote w:id="1918">
    <w:p w14:paraId="1A594A85" w14:textId="77777777" w:rsidR="00B47FF5" w:rsidRDefault="00B47FF5" w:rsidP="00537CC8">
      <w:pPr>
        <w:pStyle w:val="FootnoteText"/>
      </w:pPr>
      <w:r>
        <w:rPr>
          <w:rStyle w:val="FootnoteReference"/>
        </w:rPr>
        <w:footnoteRef/>
      </w:r>
      <w:r>
        <w:rPr>
          <w:rtl/>
        </w:rPr>
        <w:t xml:space="preserve"> </w:t>
      </w:r>
      <w:r w:rsidRPr="00C65682">
        <w:t>Factfulness</w:t>
      </w:r>
    </w:p>
  </w:footnote>
  <w:footnote w:id="1919">
    <w:p w14:paraId="6E8C8D9B" w14:textId="77777777" w:rsidR="00B47FF5" w:rsidRDefault="00B47FF5" w:rsidP="00537CC8">
      <w:pPr>
        <w:pStyle w:val="FootnoteText"/>
      </w:pPr>
      <w:r>
        <w:rPr>
          <w:rStyle w:val="FootnoteReference"/>
        </w:rPr>
        <w:footnoteRef/>
      </w:r>
      <w:r>
        <w:rPr>
          <w:rtl/>
        </w:rPr>
        <w:t xml:space="preserve"> </w:t>
      </w:r>
      <w:r w:rsidRPr="00C65682">
        <w:t>Ten Global Trends</w:t>
      </w:r>
      <w:r>
        <w:t xml:space="preserve"> </w:t>
      </w:r>
      <w:r w:rsidRPr="00C65682">
        <w:t>Every Smart Person Should Know</w:t>
      </w:r>
    </w:p>
  </w:footnote>
  <w:footnote w:id="1920">
    <w:p w14:paraId="2121637A" w14:textId="77777777" w:rsidR="00B47FF5" w:rsidRDefault="00B47FF5" w:rsidP="00537CC8">
      <w:pPr>
        <w:pStyle w:val="FootnoteText"/>
      </w:pPr>
      <w:r>
        <w:rPr>
          <w:rStyle w:val="FootnoteReference"/>
        </w:rPr>
        <w:footnoteRef/>
      </w:r>
      <w:r>
        <w:rPr>
          <w:rtl/>
        </w:rPr>
        <w:t xml:space="preserve"> </w:t>
      </w:r>
      <w:r w:rsidRPr="00CA6FB8">
        <w:t>Bailey</w:t>
      </w:r>
    </w:p>
  </w:footnote>
  <w:footnote w:id="1921">
    <w:p w14:paraId="18F21604" w14:textId="77777777" w:rsidR="00B47FF5" w:rsidRDefault="00B47FF5" w:rsidP="00537CC8">
      <w:pPr>
        <w:pStyle w:val="FootnoteText"/>
      </w:pPr>
      <w:r>
        <w:rPr>
          <w:rStyle w:val="FootnoteReference"/>
        </w:rPr>
        <w:footnoteRef/>
      </w:r>
      <w:r>
        <w:rPr>
          <w:rtl/>
        </w:rPr>
        <w:t xml:space="preserve"> </w:t>
      </w:r>
      <w:r w:rsidRPr="00CA6FB8">
        <w:t>Tupy</w:t>
      </w:r>
    </w:p>
  </w:footnote>
  <w:footnote w:id="1922">
    <w:p w14:paraId="1A435100" w14:textId="77777777" w:rsidR="00B47FF5" w:rsidRDefault="00B47FF5" w:rsidP="00537CC8">
      <w:pPr>
        <w:pStyle w:val="FootnoteText"/>
      </w:pPr>
      <w:r>
        <w:rPr>
          <w:rStyle w:val="FootnoteReference"/>
        </w:rPr>
        <w:footnoteRef/>
      </w:r>
      <w:r>
        <w:rPr>
          <w:rtl/>
        </w:rPr>
        <w:t xml:space="preserve"> </w:t>
      </w:r>
      <w:r w:rsidRPr="00CA6FB8">
        <w:t>Fred Polak</w:t>
      </w:r>
    </w:p>
  </w:footnote>
  <w:footnote w:id="1923">
    <w:p w14:paraId="238733A9" w14:textId="77777777" w:rsidR="00B47FF5" w:rsidRDefault="00B47FF5" w:rsidP="00537CC8">
      <w:pPr>
        <w:pStyle w:val="FootnoteText"/>
        <w:rPr>
          <w:rtl/>
        </w:rPr>
      </w:pPr>
      <w:r>
        <w:rPr>
          <w:rStyle w:val="FootnoteReference"/>
        </w:rPr>
        <w:footnoteRef/>
      </w:r>
      <w:r>
        <w:rPr>
          <w:rtl/>
        </w:rPr>
        <w:t xml:space="preserve"> </w:t>
      </w:r>
      <w:r w:rsidRPr="001237D8">
        <w:t>The Image of the</w:t>
      </w:r>
      <w:r>
        <w:t xml:space="preserve"> Future</w:t>
      </w:r>
    </w:p>
  </w:footnote>
  <w:footnote w:id="1924">
    <w:p w14:paraId="14D598E3" w14:textId="77777777" w:rsidR="00B47FF5" w:rsidRDefault="00B47FF5" w:rsidP="00537CC8">
      <w:pPr>
        <w:pStyle w:val="FootnoteText"/>
      </w:pPr>
      <w:r>
        <w:rPr>
          <w:rStyle w:val="FootnoteReference"/>
        </w:rPr>
        <w:footnoteRef/>
      </w:r>
      <w:r>
        <w:rPr>
          <w:rtl/>
        </w:rPr>
        <w:t xml:space="preserve"> </w:t>
      </w:r>
      <w:r w:rsidRPr="00CA6FB8">
        <w:t>Kenneth Boulding</w:t>
      </w:r>
    </w:p>
  </w:footnote>
  <w:footnote w:id="1925">
    <w:p w14:paraId="615702AC" w14:textId="77777777" w:rsidR="00B47FF5" w:rsidRDefault="00B47FF5" w:rsidP="00537CC8">
      <w:pPr>
        <w:pStyle w:val="FootnoteText"/>
        <w:rPr>
          <w:rtl/>
        </w:rPr>
      </w:pPr>
      <w:r>
        <w:rPr>
          <w:rStyle w:val="FootnoteReference"/>
        </w:rPr>
        <w:footnoteRef/>
      </w:r>
      <w:r>
        <w:rPr>
          <w:rtl/>
        </w:rPr>
        <w:t xml:space="preserve"> </w:t>
      </w:r>
      <w:r>
        <w:t>The Image</w:t>
      </w:r>
    </w:p>
  </w:footnote>
  <w:footnote w:id="1926">
    <w:p w14:paraId="620E61E4" w14:textId="6FCE66BF" w:rsidR="00B47FF5" w:rsidRDefault="00B47FF5" w:rsidP="00537CC8">
      <w:pPr>
        <w:pStyle w:val="FootnoteText"/>
      </w:pPr>
      <w:r>
        <w:rPr>
          <w:rStyle w:val="FootnoteReference"/>
        </w:rPr>
        <w:footnoteRef/>
      </w:r>
      <w:r>
        <w:rPr>
          <w:rtl/>
        </w:rPr>
        <w:t xml:space="preserve"> </w:t>
      </w:r>
      <w:r>
        <w:t>Experimental mental constructions</w:t>
      </w:r>
    </w:p>
  </w:footnote>
  <w:footnote w:id="1927">
    <w:p w14:paraId="16136442" w14:textId="67B773F3" w:rsidR="00B47FF5" w:rsidRDefault="00B47FF5">
      <w:pPr>
        <w:pStyle w:val="FootnoteText"/>
        <w:rPr>
          <w:rtl/>
        </w:rPr>
      </w:pPr>
      <w:r>
        <w:rPr>
          <w:rStyle w:val="FootnoteReference"/>
        </w:rPr>
        <w:footnoteRef/>
      </w:r>
      <w:r>
        <w:t xml:space="preserve"> </w:t>
      </w:r>
      <w:r w:rsidRPr="00933C48">
        <w:t>Meme</w:t>
      </w:r>
    </w:p>
  </w:footnote>
  <w:footnote w:id="1928">
    <w:p w14:paraId="5CCE46C3" w14:textId="78D2FAF4" w:rsidR="00B47FF5" w:rsidRDefault="00B47FF5" w:rsidP="00537CC8">
      <w:pPr>
        <w:pStyle w:val="FootnoteText"/>
        <w:rPr>
          <w:rtl/>
        </w:rPr>
      </w:pPr>
      <w:r>
        <w:rPr>
          <w:rStyle w:val="FootnoteReference"/>
        </w:rPr>
        <w:footnoteRef/>
      </w:r>
      <w:r>
        <w:rPr>
          <w:rtl/>
        </w:rPr>
        <w:t xml:space="preserve"> </w:t>
      </w:r>
      <w:r>
        <w:t>Visioning</w:t>
      </w:r>
    </w:p>
  </w:footnote>
  <w:footnote w:id="1929">
    <w:p w14:paraId="707D85FF" w14:textId="77777777" w:rsidR="00B47FF5" w:rsidRDefault="00B47FF5" w:rsidP="00537CC8">
      <w:pPr>
        <w:pStyle w:val="FootnoteText"/>
      </w:pPr>
      <w:r>
        <w:rPr>
          <w:rStyle w:val="FootnoteReference"/>
        </w:rPr>
        <w:footnoteRef/>
      </w:r>
      <w:r>
        <w:rPr>
          <w:rtl/>
        </w:rPr>
        <w:t xml:space="preserve"> </w:t>
      </w:r>
      <w:r w:rsidRPr="00F3492D">
        <w:t>Lucia Cappachioni</w:t>
      </w:r>
    </w:p>
  </w:footnote>
  <w:footnote w:id="1930">
    <w:p w14:paraId="1A8A7BB4" w14:textId="77777777" w:rsidR="00B47FF5" w:rsidRDefault="00B47FF5" w:rsidP="00537CC8">
      <w:pPr>
        <w:pStyle w:val="FootnoteText"/>
      </w:pPr>
      <w:r>
        <w:rPr>
          <w:rStyle w:val="FootnoteReference"/>
        </w:rPr>
        <w:footnoteRef/>
      </w:r>
      <w:r>
        <w:rPr>
          <w:rtl/>
        </w:rPr>
        <w:t xml:space="preserve"> </w:t>
      </w:r>
      <w:r w:rsidRPr="00C82496">
        <w:t>Vision Quest</w:t>
      </w:r>
    </w:p>
  </w:footnote>
  <w:footnote w:id="1931">
    <w:p w14:paraId="4DB869CD" w14:textId="77777777" w:rsidR="00B47FF5" w:rsidRDefault="00B47FF5" w:rsidP="00537CC8">
      <w:pPr>
        <w:pStyle w:val="FootnoteText"/>
      </w:pPr>
      <w:r>
        <w:rPr>
          <w:rStyle w:val="FootnoteReference"/>
        </w:rPr>
        <w:footnoteRef/>
      </w:r>
      <w:r>
        <w:rPr>
          <w:rtl/>
        </w:rPr>
        <w:t xml:space="preserve"> </w:t>
      </w:r>
      <w:r w:rsidRPr="0086678C">
        <w:t>Vision Quest</w:t>
      </w:r>
    </w:p>
  </w:footnote>
  <w:footnote w:id="1932">
    <w:p w14:paraId="36BFCD44" w14:textId="77777777" w:rsidR="00B47FF5" w:rsidRDefault="00B47FF5" w:rsidP="00537CC8">
      <w:pPr>
        <w:pStyle w:val="FootnoteText"/>
      </w:pPr>
      <w:r>
        <w:rPr>
          <w:rStyle w:val="FootnoteReference"/>
        </w:rPr>
        <w:footnoteRef/>
      </w:r>
      <w:r>
        <w:rPr>
          <w:rtl/>
        </w:rPr>
        <w:t xml:space="preserve"> </w:t>
      </w:r>
      <w:r w:rsidRPr="00F3492D">
        <w:t>Stephen Covey</w:t>
      </w:r>
    </w:p>
  </w:footnote>
  <w:footnote w:id="1933">
    <w:p w14:paraId="773283D7" w14:textId="77777777" w:rsidR="00B47FF5" w:rsidRDefault="00B47FF5" w:rsidP="00537CC8">
      <w:pPr>
        <w:pStyle w:val="FootnoteText"/>
      </w:pPr>
      <w:r>
        <w:rPr>
          <w:rStyle w:val="FootnoteReference"/>
        </w:rPr>
        <w:footnoteRef/>
      </w:r>
      <w:r>
        <w:rPr>
          <w:rtl/>
        </w:rPr>
        <w:t xml:space="preserve"> </w:t>
      </w:r>
      <w:r w:rsidRPr="0086678C">
        <w:t>The Eighth Habit</w:t>
      </w:r>
    </w:p>
  </w:footnote>
  <w:footnote w:id="1934">
    <w:p w14:paraId="67F8BCA6" w14:textId="77777777" w:rsidR="00B47FF5" w:rsidRDefault="00B47FF5" w:rsidP="00537CC8">
      <w:pPr>
        <w:pStyle w:val="FootnoteText"/>
      </w:pPr>
      <w:r>
        <w:rPr>
          <w:rStyle w:val="FootnoteReference"/>
        </w:rPr>
        <w:footnoteRef/>
      </w:r>
      <w:r>
        <w:rPr>
          <w:rtl/>
        </w:rPr>
        <w:t xml:space="preserve"> </w:t>
      </w:r>
      <w:r w:rsidRPr="0086678C">
        <w:t>The 7 Habits of</w:t>
      </w:r>
      <w:r>
        <w:t xml:space="preserve"> </w:t>
      </w:r>
      <w:r w:rsidRPr="0086678C">
        <w:t>Highly Effective People</w:t>
      </w:r>
    </w:p>
  </w:footnote>
  <w:footnote w:id="1935">
    <w:p w14:paraId="4C6A1BB9" w14:textId="04F880B9" w:rsidR="00B47FF5" w:rsidRDefault="00B47FF5" w:rsidP="00537CC8">
      <w:pPr>
        <w:pStyle w:val="FootnoteText"/>
      </w:pPr>
      <w:r>
        <w:rPr>
          <w:rStyle w:val="FootnoteReference"/>
        </w:rPr>
        <w:footnoteRef/>
      </w:r>
      <w:r>
        <w:rPr>
          <w:rtl/>
        </w:rPr>
        <w:t xml:space="preserve"> </w:t>
      </w:r>
      <w:r w:rsidRPr="008C1AA1">
        <w:t>Emotional Intelligence</w:t>
      </w:r>
      <w:r>
        <w:t xml:space="preserve"> 2.0</w:t>
      </w:r>
    </w:p>
  </w:footnote>
  <w:footnote w:id="1936">
    <w:p w14:paraId="1DB665DF" w14:textId="77777777" w:rsidR="00B47FF5" w:rsidRDefault="00B47FF5" w:rsidP="00537CC8">
      <w:pPr>
        <w:pStyle w:val="FootnoteText"/>
      </w:pPr>
      <w:r>
        <w:rPr>
          <w:rStyle w:val="FootnoteReference"/>
        </w:rPr>
        <w:footnoteRef/>
      </w:r>
      <w:r>
        <w:rPr>
          <w:rtl/>
        </w:rPr>
        <w:t xml:space="preserve"> </w:t>
      </w:r>
      <w:r w:rsidRPr="00F3492D">
        <w:t>Bradberry</w:t>
      </w:r>
    </w:p>
  </w:footnote>
  <w:footnote w:id="1937">
    <w:p w14:paraId="796ED16F" w14:textId="77777777" w:rsidR="00B47FF5" w:rsidRDefault="00B47FF5" w:rsidP="00537CC8">
      <w:pPr>
        <w:pStyle w:val="FootnoteText"/>
      </w:pPr>
      <w:r>
        <w:rPr>
          <w:rStyle w:val="FootnoteReference"/>
        </w:rPr>
        <w:footnoteRef/>
      </w:r>
      <w:r>
        <w:rPr>
          <w:rtl/>
        </w:rPr>
        <w:t xml:space="preserve"> </w:t>
      </w:r>
      <w:r w:rsidRPr="00F3492D">
        <w:t>Greaves</w:t>
      </w:r>
    </w:p>
  </w:footnote>
  <w:footnote w:id="1938">
    <w:p w14:paraId="6F6E802C" w14:textId="77777777" w:rsidR="00B47FF5" w:rsidRDefault="00B47FF5" w:rsidP="00537CC8">
      <w:pPr>
        <w:pStyle w:val="FootnoteText"/>
      </w:pPr>
      <w:r>
        <w:rPr>
          <w:rStyle w:val="FootnoteReference"/>
        </w:rPr>
        <w:footnoteRef/>
      </w:r>
      <w:r>
        <w:rPr>
          <w:rtl/>
        </w:rPr>
        <w:t xml:space="preserve"> </w:t>
      </w:r>
      <w:r w:rsidRPr="008C1AA1">
        <w:t>Social Intelligence</w:t>
      </w:r>
    </w:p>
  </w:footnote>
  <w:footnote w:id="1939">
    <w:p w14:paraId="7D38164F" w14:textId="77777777" w:rsidR="00B47FF5" w:rsidRDefault="00B47FF5" w:rsidP="00537CC8">
      <w:pPr>
        <w:pStyle w:val="FootnoteText"/>
      </w:pPr>
      <w:r>
        <w:rPr>
          <w:rStyle w:val="FootnoteReference"/>
        </w:rPr>
        <w:footnoteRef/>
      </w:r>
      <w:r>
        <w:rPr>
          <w:rtl/>
        </w:rPr>
        <w:t xml:space="preserve"> </w:t>
      </w:r>
      <w:r w:rsidRPr="00F3492D">
        <w:t>Dan Goleman</w:t>
      </w:r>
    </w:p>
  </w:footnote>
  <w:footnote w:id="1940">
    <w:p w14:paraId="6BBCDE7D" w14:textId="77777777" w:rsidR="00B47FF5" w:rsidRDefault="00B47FF5" w:rsidP="00537CC8">
      <w:pPr>
        <w:pStyle w:val="FootnoteText"/>
      </w:pPr>
      <w:r>
        <w:rPr>
          <w:rStyle w:val="FootnoteReference"/>
        </w:rPr>
        <w:footnoteRef/>
      </w:r>
      <w:r>
        <w:rPr>
          <w:rtl/>
        </w:rPr>
        <w:t xml:space="preserve"> </w:t>
      </w:r>
      <w:r>
        <w:t>Social intelligence</w:t>
      </w:r>
    </w:p>
  </w:footnote>
  <w:footnote w:id="1941">
    <w:p w14:paraId="47B0631C" w14:textId="7BF0422C" w:rsidR="00B47FF5" w:rsidRDefault="00B47FF5" w:rsidP="00537CC8">
      <w:pPr>
        <w:pStyle w:val="FootnoteText"/>
      </w:pPr>
      <w:r>
        <w:rPr>
          <w:rStyle w:val="FootnoteReference"/>
        </w:rPr>
        <w:footnoteRef/>
      </w:r>
      <w:r>
        <w:rPr>
          <w:rtl/>
        </w:rPr>
        <w:t xml:space="preserve"> </w:t>
      </w:r>
      <w:r w:rsidRPr="00CD65EF">
        <w:t>Introspection</w:t>
      </w:r>
    </w:p>
  </w:footnote>
  <w:footnote w:id="1942">
    <w:p w14:paraId="54D71332" w14:textId="49C0DA5B" w:rsidR="00B47FF5" w:rsidRDefault="00B47FF5" w:rsidP="00537CC8">
      <w:pPr>
        <w:pStyle w:val="FootnoteText"/>
      </w:pPr>
      <w:r>
        <w:rPr>
          <w:rStyle w:val="FootnoteReference"/>
        </w:rPr>
        <w:footnoteRef/>
      </w:r>
      <w:r>
        <w:rPr>
          <w:rtl/>
        </w:rPr>
        <w:t xml:space="preserve"> </w:t>
      </w:r>
      <w:r w:rsidRPr="00CD65EF">
        <w:t>Extrospection</w:t>
      </w:r>
    </w:p>
  </w:footnote>
  <w:footnote w:id="1943">
    <w:p w14:paraId="5A083FD3" w14:textId="53F203F0" w:rsidR="00B47FF5" w:rsidRDefault="00B47FF5" w:rsidP="00537CC8">
      <w:pPr>
        <w:pStyle w:val="FootnoteText"/>
      </w:pPr>
      <w:r>
        <w:rPr>
          <w:rStyle w:val="FootnoteReference"/>
        </w:rPr>
        <w:footnoteRef/>
      </w:r>
      <w:r>
        <w:rPr>
          <w:rtl/>
        </w:rPr>
        <w:t xml:space="preserve"> </w:t>
      </w:r>
      <w:r>
        <w:t>Emotional Awareness</w:t>
      </w:r>
    </w:p>
  </w:footnote>
  <w:footnote w:id="1944">
    <w:p w14:paraId="0985799E" w14:textId="0EE570E1" w:rsidR="00B47FF5" w:rsidRDefault="00B47FF5" w:rsidP="00537CC8">
      <w:pPr>
        <w:pStyle w:val="FootnoteText"/>
      </w:pPr>
      <w:r>
        <w:rPr>
          <w:rStyle w:val="FootnoteReference"/>
        </w:rPr>
        <w:footnoteRef/>
      </w:r>
      <w:r>
        <w:rPr>
          <w:rtl/>
        </w:rPr>
        <w:t xml:space="preserve"> </w:t>
      </w:r>
      <w:r>
        <w:t>Emotional Self-Control</w:t>
      </w:r>
    </w:p>
  </w:footnote>
  <w:footnote w:id="1945">
    <w:p w14:paraId="60974E74" w14:textId="062CED32" w:rsidR="00B47FF5" w:rsidRDefault="00B47FF5" w:rsidP="00537CC8">
      <w:pPr>
        <w:pStyle w:val="FootnoteText"/>
      </w:pPr>
      <w:r>
        <w:rPr>
          <w:rStyle w:val="FootnoteReference"/>
        </w:rPr>
        <w:footnoteRef/>
      </w:r>
      <w:r>
        <w:rPr>
          <w:rtl/>
        </w:rPr>
        <w:t xml:space="preserve"> </w:t>
      </w:r>
      <w:r>
        <w:t>Emotional Ownership</w:t>
      </w:r>
    </w:p>
  </w:footnote>
  <w:footnote w:id="1946">
    <w:p w14:paraId="27A9B0DA" w14:textId="4ACC070C" w:rsidR="00B47FF5" w:rsidRDefault="00B47FF5" w:rsidP="00537CC8">
      <w:pPr>
        <w:pStyle w:val="FootnoteText"/>
      </w:pPr>
      <w:r>
        <w:rPr>
          <w:rStyle w:val="FootnoteReference"/>
        </w:rPr>
        <w:footnoteRef/>
      </w:r>
      <w:r>
        <w:rPr>
          <w:rtl/>
        </w:rPr>
        <w:t xml:space="preserve"> </w:t>
      </w:r>
      <w:r>
        <w:t>Mindfulness Hypothesis</w:t>
      </w:r>
    </w:p>
  </w:footnote>
  <w:footnote w:id="1947">
    <w:p w14:paraId="33F26693" w14:textId="31C8D34B" w:rsidR="00B47FF5" w:rsidRDefault="00B47FF5" w:rsidP="00537CC8">
      <w:pPr>
        <w:pStyle w:val="FootnoteText"/>
      </w:pPr>
      <w:r>
        <w:rPr>
          <w:rStyle w:val="FootnoteReference"/>
        </w:rPr>
        <w:footnoteRef/>
      </w:r>
      <w:r>
        <w:rPr>
          <w:rtl/>
        </w:rPr>
        <w:t xml:space="preserve"> </w:t>
      </w:r>
      <w:r>
        <w:t>Emotional effectiveness hypothesis</w:t>
      </w:r>
    </w:p>
  </w:footnote>
  <w:footnote w:id="1948">
    <w:p w14:paraId="48ED62A9" w14:textId="4C649289" w:rsidR="00B47FF5" w:rsidRDefault="00B47FF5">
      <w:pPr>
        <w:pStyle w:val="FootnoteText"/>
        <w:rPr>
          <w:rtl/>
        </w:rPr>
      </w:pPr>
      <w:r>
        <w:rPr>
          <w:rStyle w:val="FootnoteReference"/>
        </w:rPr>
        <w:footnoteRef/>
      </w:r>
      <w:r>
        <w:t xml:space="preserve"> </w:t>
      </w:r>
      <w:r w:rsidRPr="00933C48">
        <w:t>Natural set points</w:t>
      </w:r>
    </w:p>
  </w:footnote>
  <w:footnote w:id="1949">
    <w:p w14:paraId="17F057FD" w14:textId="3B09F40E" w:rsidR="00B47FF5" w:rsidRDefault="00B47FF5">
      <w:pPr>
        <w:pStyle w:val="FootnoteText"/>
        <w:rPr>
          <w:rtl/>
        </w:rPr>
      </w:pPr>
      <w:r>
        <w:rPr>
          <w:rStyle w:val="FootnoteReference"/>
        </w:rPr>
        <w:footnoteRef/>
      </w:r>
      <w:r>
        <w:t xml:space="preserve"> </w:t>
      </w:r>
      <w:r w:rsidRPr="00537CC8">
        <w:t>Manias</w:t>
      </w:r>
    </w:p>
  </w:footnote>
  <w:footnote w:id="1950">
    <w:p w14:paraId="7555E4E6" w14:textId="77777777" w:rsidR="00B47FF5" w:rsidRDefault="00B47FF5" w:rsidP="00537CC8">
      <w:pPr>
        <w:pStyle w:val="FootnoteText"/>
      </w:pPr>
      <w:r>
        <w:rPr>
          <w:rStyle w:val="FootnoteReference"/>
        </w:rPr>
        <w:footnoteRef/>
      </w:r>
      <w:r>
        <w:rPr>
          <w:rtl/>
        </w:rPr>
        <w:t xml:space="preserve"> </w:t>
      </w:r>
      <w:r w:rsidRPr="0058201D">
        <w:t>Rethinking Positive Thinking</w:t>
      </w:r>
    </w:p>
  </w:footnote>
  <w:footnote w:id="1951">
    <w:p w14:paraId="7B3B410A" w14:textId="77777777" w:rsidR="00B47FF5" w:rsidRDefault="00B47FF5" w:rsidP="00537CC8">
      <w:pPr>
        <w:pStyle w:val="FootnoteText"/>
      </w:pPr>
      <w:r>
        <w:rPr>
          <w:rStyle w:val="FootnoteReference"/>
        </w:rPr>
        <w:footnoteRef/>
      </w:r>
      <w:r>
        <w:rPr>
          <w:rtl/>
        </w:rPr>
        <w:t xml:space="preserve"> </w:t>
      </w:r>
      <w:r w:rsidRPr="00F3492D">
        <w:t>Dilip Jeste</w:t>
      </w:r>
    </w:p>
  </w:footnote>
  <w:footnote w:id="1952">
    <w:p w14:paraId="2B3B15A5" w14:textId="77777777" w:rsidR="00B47FF5" w:rsidRDefault="00B47FF5" w:rsidP="00537CC8">
      <w:pPr>
        <w:pStyle w:val="FootnoteText"/>
      </w:pPr>
      <w:r>
        <w:rPr>
          <w:rStyle w:val="FootnoteReference"/>
        </w:rPr>
        <w:footnoteRef/>
      </w:r>
      <w:r>
        <w:rPr>
          <w:rtl/>
        </w:rPr>
        <w:t xml:space="preserve"> </w:t>
      </w:r>
      <w:r w:rsidRPr="00F3492D">
        <w:t>Shelly Taylor</w:t>
      </w:r>
    </w:p>
  </w:footnote>
  <w:footnote w:id="1953">
    <w:p w14:paraId="14BA1BE8" w14:textId="77777777" w:rsidR="00B47FF5" w:rsidRDefault="00B47FF5" w:rsidP="00537CC8">
      <w:pPr>
        <w:pStyle w:val="FootnoteText"/>
      </w:pPr>
      <w:r>
        <w:rPr>
          <w:rStyle w:val="FootnoteReference"/>
        </w:rPr>
        <w:footnoteRef/>
      </w:r>
      <w:r>
        <w:rPr>
          <w:rtl/>
        </w:rPr>
        <w:t xml:space="preserve"> </w:t>
      </w:r>
      <w:r w:rsidRPr="003D72F4">
        <w:t>Positive Illusions</w:t>
      </w:r>
    </w:p>
  </w:footnote>
  <w:footnote w:id="1954">
    <w:p w14:paraId="42CD5944" w14:textId="61D5E32D" w:rsidR="00B47FF5" w:rsidRDefault="00B47FF5" w:rsidP="00537CC8">
      <w:pPr>
        <w:pStyle w:val="FootnoteText"/>
      </w:pPr>
      <w:r>
        <w:rPr>
          <w:rStyle w:val="FootnoteReference"/>
        </w:rPr>
        <w:footnoteRef/>
      </w:r>
      <w:r>
        <w:rPr>
          <w:rtl/>
        </w:rPr>
        <w:t xml:space="preserve"> </w:t>
      </w:r>
      <w:r w:rsidRPr="00F60BC5">
        <w:t>Healthy self-deceptions</w:t>
      </w:r>
    </w:p>
  </w:footnote>
  <w:footnote w:id="1955">
    <w:p w14:paraId="5AE65234" w14:textId="74D1C1DC" w:rsidR="00B47FF5" w:rsidRDefault="00B47FF5" w:rsidP="00537CC8">
      <w:pPr>
        <w:pStyle w:val="FootnoteText"/>
      </w:pPr>
      <w:r>
        <w:rPr>
          <w:rStyle w:val="FootnoteReference"/>
        </w:rPr>
        <w:footnoteRef/>
      </w:r>
      <w:r>
        <w:rPr>
          <w:rtl/>
        </w:rPr>
        <w:t xml:space="preserve"> </w:t>
      </w:r>
      <w:r>
        <w:t>Explanatory pessimists</w:t>
      </w:r>
    </w:p>
  </w:footnote>
  <w:footnote w:id="1956">
    <w:p w14:paraId="50EC8030" w14:textId="77777777" w:rsidR="00B47FF5" w:rsidRDefault="00B47FF5" w:rsidP="00537CC8">
      <w:pPr>
        <w:pStyle w:val="FootnoteText"/>
      </w:pPr>
      <w:r>
        <w:rPr>
          <w:rStyle w:val="FootnoteReference"/>
        </w:rPr>
        <w:footnoteRef/>
      </w:r>
      <w:r>
        <w:rPr>
          <w:rtl/>
        </w:rPr>
        <w:t xml:space="preserve"> </w:t>
      </w:r>
      <w:r w:rsidRPr="00F3492D">
        <w:t>John Gottman</w:t>
      </w:r>
    </w:p>
  </w:footnote>
  <w:footnote w:id="1957">
    <w:p w14:paraId="1BFE8F7A" w14:textId="77777777" w:rsidR="00B47FF5" w:rsidRDefault="00B47FF5" w:rsidP="00537CC8">
      <w:pPr>
        <w:pStyle w:val="FootnoteText"/>
        <w:rPr>
          <w:rtl/>
        </w:rPr>
      </w:pPr>
      <w:r>
        <w:rPr>
          <w:rStyle w:val="FootnoteReference"/>
        </w:rPr>
        <w:footnoteRef/>
      </w:r>
      <w:r>
        <w:rPr>
          <w:rtl/>
        </w:rPr>
        <w:t xml:space="preserve"> </w:t>
      </w:r>
      <w:r w:rsidRPr="00DC5418">
        <w:t>The Power of Bad: How the Negativity Effect Rules Us</w:t>
      </w:r>
      <w:r>
        <w:t xml:space="preserve"> </w:t>
      </w:r>
      <w:r w:rsidRPr="00DC5418">
        <w:t>and How We Can Rule It</w:t>
      </w:r>
    </w:p>
  </w:footnote>
  <w:footnote w:id="1958">
    <w:p w14:paraId="0FD2ED3A" w14:textId="77777777" w:rsidR="00B47FF5" w:rsidRDefault="00B47FF5" w:rsidP="00537CC8">
      <w:pPr>
        <w:pStyle w:val="FootnoteText"/>
      </w:pPr>
      <w:r>
        <w:rPr>
          <w:rStyle w:val="FootnoteReference"/>
        </w:rPr>
        <w:footnoteRef/>
      </w:r>
      <w:r>
        <w:rPr>
          <w:rtl/>
        </w:rPr>
        <w:t xml:space="preserve"> </w:t>
      </w:r>
      <w:r w:rsidRPr="00F3492D">
        <w:t>Tierney</w:t>
      </w:r>
    </w:p>
  </w:footnote>
  <w:footnote w:id="1959">
    <w:p w14:paraId="29E37C80" w14:textId="77777777" w:rsidR="00B47FF5" w:rsidRDefault="00B47FF5" w:rsidP="00537CC8">
      <w:pPr>
        <w:pStyle w:val="FootnoteText"/>
      </w:pPr>
      <w:r>
        <w:rPr>
          <w:rStyle w:val="FootnoteReference"/>
        </w:rPr>
        <w:footnoteRef/>
      </w:r>
      <w:r>
        <w:rPr>
          <w:rtl/>
        </w:rPr>
        <w:t xml:space="preserve"> </w:t>
      </w:r>
      <w:r w:rsidRPr="00F3492D">
        <w:t>Bauermeister</w:t>
      </w:r>
    </w:p>
  </w:footnote>
  <w:footnote w:id="1960">
    <w:p w14:paraId="172BF758" w14:textId="77777777" w:rsidR="00B47FF5" w:rsidRDefault="00B47FF5" w:rsidP="00537CC8">
      <w:pPr>
        <w:pStyle w:val="FootnoteText"/>
      </w:pPr>
      <w:r>
        <w:rPr>
          <w:rStyle w:val="FootnoteReference"/>
        </w:rPr>
        <w:footnoteRef/>
      </w:r>
      <w:r>
        <w:rPr>
          <w:rtl/>
        </w:rPr>
        <w:t xml:space="preserve"> </w:t>
      </w:r>
      <w:r w:rsidRPr="00AD2249">
        <w:t>Cognitive behavioral therapy</w:t>
      </w:r>
    </w:p>
  </w:footnote>
  <w:footnote w:id="1961">
    <w:p w14:paraId="0CBCB154" w14:textId="77777777" w:rsidR="00B47FF5" w:rsidRDefault="00B47FF5" w:rsidP="00537CC8">
      <w:pPr>
        <w:pStyle w:val="FootnoteText"/>
      </w:pPr>
      <w:r>
        <w:rPr>
          <w:rStyle w:val="FootnoteReference"/>
        </w:rPr>
        <w:footnoteRef/>
      </w:r>
      <w:r>
        <w:rPr>
          <w:rtl/>
        </w:rPr>
        <w:t xml:space="preserve"> </w:t>
      </w:r>
      <w:r w:rsidRPr="00AD2249">
        <w:t>Rational-Emotive Behavior Therapy</w:t>
      </w:r>
    </w:p>
  </w:footnote>
  <w:footnote w:id="1962">
    <w:p w14:paraId="3DEBAC7F" w14:textId="77777777" w:rsidR="00B47FF5" w:rsidRDefault="00B47FF5" w:rsidP="00537CC8">
      <w:pPr>
        <w:pStyle w:val="FootnoteText"/>
      </w:pPr>
      <w:r>
        <w:rPr>
          <w:rStyle w:val="FootnoteReference"/>
        </w:rPr>
        <w:footnoteRef/>
      </w:r>
      <w:r>
        <w:rPr>
          <w:rtl/>
        </w:rPr>
        <w:t xml:space="preserve"> </w:t>
      </w:r>
      <w:r w:rsidRPr="00F3492D">
        <w:t>Woebot</w:t>
      </w:r>
    </w:p>
  </w:footnote>
  <w:footnote w:id="1963">
    <w:p w14:paraId="15455AD5" w14:textId="5E669987" w:rsidR="00B47FF5" w:rsidRDefault="00B47FF5" w:rsidP="00537CC8">
      <w:pPr>
        <w:pStyle w:val="FootnoteText"/>
      </w:pPr>
      <w:r>
        <w:rPr>
          <w:rStyle w:val="FootnoteReference"/>
        </w:rPr>
        <w:footnoteRef/>
      </w:r>
      <w:r>
        <w:rPr>
          <w:rtl/>
        </w:rPr>
        <w:t xml:space="preserve"> </w:t>
      </w:r>
      <w:r>
        <w:t>Startup</w:t>
      </w:r>
    </w:p>
  </w:footnote>
  <w:footnote w:id="1964">
    <w:p w14:paraId="20BA56ED" w14:textId="67DE4488" w:rsidR="00B47FF5" w:rsidRDefault="00B47FF5" w:rsidP="00537CC8">
      <w:pPr>
        <w:pStyle w:val="FootnoteText"/>
      </w:pPr>
      <w:r>
        <w:rPr>
          <w:rStyle w:val="FootnoteReference"/>
        </w:rPr>
        <w:footnoteRef/>
      </w:r>
      <w:r>
        <w:rPr>
          <w:rtl/>
        </w:rPr>
        <w:t xml:space="preserve"> </w:t>
      </w:r>
      <w:r>
        <w:t>Declining returns</w:t>
      </w:r>
    </w:p>
  </w:footnote>
  <w:footnote w:id="1965">
    <w:p w14:paraId="27A588C2" w14:textId="4BEBF8A5" w:rsidR="00B47FF5" w:rsidRDefault="00B47FF5" w:rsidP="00537CC8">
      <w:pPr>
        <w:pStyle w:val="FootnoteText"/>
      </w:pPr>
      <w:r>
        <w:rPr>
          <w:rStyle w:val="FootnoteReference"/>
        </w:rPr>
        <w:footnoteRef/>
      </w:r>
      <w:r>
        <w:rPr>
          <w:rtl/>
        </w:rPr>
        <w:t xml:space="preserve"> </w:t>
      </w:r>
      <w:r w:rsidRPr="001B1020">
        <w:t>Mania</w:t>
      </w:r>
    </w:p>
  </w:footnote>
  <w:footnote w:id="1966">
    <w:p w14:paraId="493F65FB" w14:textId="27B73D73" w:rsidR="00B47FF5" w:rsidRDefault="00B47FF5">
      <w:pPr>
        <w:pStyle w:val="FootnoteText"/>
        <w:rPr>
          <w:rtl/>
        </w:rPr>
      </w:pPr>
      <w:r>
        <w:rPr>
          <w:rStyle w:val="FootnoteReference"/>
        </w:rPr>
        <w:footnoteRef/>
      </w:r>
      <w:r>
        <w:t xml:space="preserve"> </w:t>
      </w:r>
      <w:r w:rsidRPr="00986693">
        <w:t>Charles Mackay</w:t>
      </w:r>
    </w:p>
  </w:footnote>
  <w:footnote w:id="1967">
    <w:p w14:paraId="147C38F8" w14:textId="77777777" w:rsidR="00B47FF5" w:rsidRDefault="00B47FF5" w:rsidP="00537CC8">
      <w:pPr>
        <w:pStyle w:val="FootnoteText"/>
      </w:pPr>
      <w:r>
        <w:rPr>
          <w:rStyle w:val="FootnoteReference"/>
        </w:rPr>
        <w:footnoteRef/>
      </w:r>
      <w:r>
        <w:rPr>
          <w:rtl/>
        </w:rPr>
        <w:t xml:space="preserve"> </w:t>
      </w:r>
      <w:r w:rsidRPr="00126F39">
        <w:t>Extraordinary Popular</w:t>
      </w:r>
      <w:r>
        <w:t xml:space="preserve"> </w:t>
      </w:r>
      <w:r w:rsidRPr="00126F39">
        <w:t>Delusions and the Madness of Crowds</w:t>
      </w:r>
    </w:p>
  </w:footnote>
  <w:footnote w:id="1968">
    <w:p w14:paraId="7184103B" w14:textId="07C4A8EB" w:rsidR="00B47FF5" w:rsidRDefault="00B47FF5">
      <w:pPr>
        <w:pStyle w:val="FootnoteText"/>
        <w:rPr>
          <w:rtl/>
        </w:rPr>
      </w:pPr>
      <w:r>
        <w:rPr>
          <w:rStyle w:val="FootnoteReference"/>
        </w:rPr>
        <w:footnoteRef/>
      </w:r>
      <w:r>
        <w:t xml:space="preserve"> dot com mania</w:t>
      </w:r>
    </w:p>
  </w:footnote>
  <w:footnote w:id="1969">
    <w:p w14:paraId="7CA2484C" w14:textId="77777777" w:rsidR="00B47FF5" w:rsidRDefault="00B47FF5" w:rsidP="00537CC8">
      <w:pPr>
        <w:pStyle w:val="FootnoteText"/>
      </w:pPr>
      <w:r>
        <w:rPr>
          <w:rStyle w:val="FootnoteReference"/>
        </w:rPr>
        <w:footnoteRef/>
      </w:r>
      <w:r>
        <w:rPr>
          <w:rtl/>
        </w:rPr>
        <w:t xml:space="preserve"> </w:t>
      </w:r>
      <w:r w:rsidRPr="001B1020">
        <w:t>Pollyanna</w:t>
      </w:r>
    </w:p>
  </w:footnote>
  <w:footnote w:id="1970">
    <w:p w14:paraId="78BC9360" w14:textId="6842AF55" w:rsidR="00B47FF5" w:rsidRDefault="00B47FF5" w:rsidP="00537CC8">
      <w:pPr>
        <w:pStyle w:val="FootnoteText"/>
      </w:pPr>
      <w:r>
        <w:rPr>
          <w:rStyle w:val="FootnoteReference"/>
        </w:rPr>
        <w:footnoteRef/>
      </w:r>
      <w:r>
        <w:rPr>
          <w:rtl/>
        </w:rPr>
        <w:t xml:space="preserve"> </w:t>
      </w:r>
      <w:r>
        <w:t>Investigative Journalism</w:t>
      </w:r>
    </w:p>
  </w:footnote>
  <w:footnote w:id="1971">
    <w:p w14:paraId="756ECF2B" w14:textId="6A8DCF43" w:rsidR="00B47FF5" w:rsidRDefault="00B47FF5" w:rsidP="00537CC8">
      <w:pPr>
        <w:pStyle w:val="FootnoteText"/>
      </w:pPr>
      <w:r>
        <w:rPr>
          <w:rStyle w:val="FootnoteReference"/>
        </w:rPr>
        <w:footnoteRef/>
      </w:r>
      <w:r>
        <w:rPr>
          <w:rtl/>
        </w:rPr>
        <w:t xml:space="preserve"> </w:t>
      </w:r>
      <w:r w:rsidRPr="00DB1956">
        <w:t>Dystopias</w:t>
      </w:r>
    </w:p>
  </w:footnote>
  <w:footnote w:id="1972">
    <w:p w14:paraId="370EAA38" w14:textId="2572655B" w:rsidR="00B47FF5" w:rsidRDefault="00B47FF5" w:rsidP="00537CC8">
      <w:pPr>
        <w:pStyle w:val="FootnoteText"/>
      </w:pPr>
      <w:r>
        <w:rPr>
          <w:rStyle w:val="FootnoteReference"/>
        </w:rPr>
        <w:footnoteRef/>
      </w:r>
      <w:r>
        <w:rPr>
          <w:rtl/>
        </w:rPr>
        <w:t xml:space="preserve"> </w:t>
      </w:r>
      <w:r w:rsidRPr="001B1020">
        <w:t>Protopia</w:t>
      </w:r>
    </w:p>
  </w:footnote>
  <w:footnote w:id="1973">
    <w:p w14:paraId="48A4FB16" w14:textId="1895C25C" w:rsidR="00B47FF5" w:rsidRDefault="00B47FF5" w:rsidP="00537CC8">
      <w:pPr>
        <w:pStyle w:val="FootnoteText"/>
      </w:pPr>
      <w:r>
        <w:rPr>
          <w:rStyle w:val="FootnoteReference"/>
        </w:rPr>
        <w:footnoteRef/>
      </w:r>
      <w:r>
        <w:rPr>
          <w:rtl/>
        </w:rPr>
        <w:t xml:space="preserve"> </w:t>
      </w:r>
      <w:r>
        <w:t>Sympathetic</w:t>
      </w:r>
    </w:p>
  </w:footnote>
  <w:footnote w:id="1974">
    <w:p w14:paraId="7C416589" w14:textId="77777777" w:rsidR="00B47FF5" w:rsidRDefault="00B47FF5" w:rsidP="00537CC8">
      <w:pPr>
        <w:pStyle w:val="FootnoteText"/>
      </w:pPr>
      <w:r>
        <w:rPr>
          <w:rStyle w:val="FootnoteReference"/>
        </w:rPr>
        <w:footnoteRef/>
      </w:r>
      <w:r>
        <w:rPr>
          <w:rtl/>
        </w:rPr>
        <w:t xml:space="preserve"> </w:t>
      </w:r>
      <w:r w:rsidRPr="00C9138D">
        <w:t>The Culture of Fear: Why Americans Are Afraid of</w:t>
      </w:r>
      <w:r>
        <w:t xml:space="preserve"> </w:t>
      </w:r>
      <w:r w:rsidRPr="00C9138D">
        <w:t>the Wrong Things</w:t>
      </w:r>
    </w:p>
  </w:footnote>
  <w:footnote w:id="1975">
    <w:p w14:paraId="73E14435" w14:textId="7E9280E3" w:rsidR="00B47FF5" w:rsidRDefault="00B47FF5" w:rsidP="00537CC8">
      <w:pPr>
        <w:pStyle w:val="FootnoteText"/>
      </w:pPr>
      <w:r>
        <w:rPr>
          <w:rStyle w:val="FootnoteReference"/>
        </w:rPr>
        <w:footnoteRef/>
      </w:r>
      <w:r>
        <w:rPr>
          <w:rtl/>
        </w:rPr>
        <w:t xml:space="preserve"> </w:t>
      </w:r>
      <w:r w:rsidRPr="00DB1956">
        <w:t>Yellow journalism</w:t>
      </w:r>
    </w:p>
  </w:footnote>
  <w:footnote w:id="1976">
    <w:p w14:paraId="2402A6CF" w14:textId="77777777" w:rsidR="00B47FF5" w:rsidRDefault="00B47FF5" w:rsidP="00537CC8">
      <w:pPr>
        <w:pStyle w:val="FootnoteText"/>
      </w:pPr>
      <w:r>
        <w:rPr>
          <w:rStyle w:val="FootnoteReference"/>
        </w:rPr>
        <w:footnoteRef/>
      </w:r>
      <w:r>
        <w:rPr>
          <w:rtl/>
        </w:rPr>
        <w:t xml:space="preserve"> </w:t>
      </w:r>
      <w:r w:rsidRPr="00206D28">
        <w:t>AI Gore</w:t>
      </w:r>
    </w:p>
  </w:footnote>
  <w:footnote w:id="1977">
    <w:p w14:paraId="14C608ED" w14:textId="7CE9743F" w:rsidR="00B47FF5" w:rsidRDefault="00B47FF5" w:rsidP="00537CC8">
      <w:pPr>
        <w:pStyle w:val="FootnoteText"/>
      </w:pPr>
      <w:r>
        <w:rPr>
          <w:rStyle w:val="FootnoteReference"/>
        </w:rPr>
        <w:footnoteRef/>
      </w:r>
      <w:r>
        <w:rPr>
          <w:rtl/>
        </w:rPr>
        <w:t xml:space="preserve"> </w:t>
      </w:r>
      <w:r>
        <w:t xml:space="preserve">The </w:t>
      </w:r>
      <w:r w:rsidRPr="00C9138D">
        <w:t>Assault on Reason</w:t>
      </w:r>
    </w:p>
  </w:footnote>
  <w:footnote w:id="1978">
    <w:p w14:paraId="0C5128A5" w14:textId="77777777" w:rsidR="00B47FF5" w:rsidRDefault="00B47FF5" w:rsidP="00537CC8">
      <w:pPr>
        <w:pStyle w:val="FootnoteText"/>
      </w:pPr>
      <w:r>
        <w:rPr>
          <w:rStyle w:val="FootnoteReference"/>
        </w:rPr>
        <w:footnoteRef/>
      </w:r>
      <w:r>
        <w:rPr>
          <w:rtl/>
        </w:rPr>
        <w:t xml:space="preserve"> </w:t>
      </w:r>
      <w:r w:rsidRPr="00C9138D">
        <w:t>Humankind: A Hopeful History</w:t>
      </w:r>
    </w:p>
  </w:footnote>
  <w:footnote w:id="1979">
    <w:p w14:paraId="2090EC6E" w14:textId="77777777" w:rsidR="00B47FF5" w:rsidRDefault="00B47FF5" w:rsidP="00537CC8">
      <w:pPr>
        <w:pStyle w:val="FootnoteText"/>
      </w:pPr>
      <w:r>
        <w:rPr>
          <w:rStyle w:val="FootnoteReference"/>
        </w:rPr>
        <w:footnoteRef/>
      </w:r>
      <w:r>
        <w:rPr>
          <w:rtl/>
        </w:rPr>
        <w:t xml:space="preserve"> </w:t>
      </w:r>
      <w:r w:rsidRPr="00206D28">
        <w:t>Rutger Bregman</w:t>
      </w:r>
    </w:p>
  </w:footnote>
  <w:footnote w:id="1980">
    <w:p w14:paraId="72CAEB0F" w14:textId="77777777" w:rsidR="00B47FF5" w:rsidRDefault="00B47FF5" w:rsidP="00537CC8">
      <w:pPr>
        <w:pStyle w:val="FootnoteText"/>
      </w:pPr>
      <w:r>
        <w:rPr>
          <w:rStyle w:val="FootnoteReference"/>
        </w:rPr>
        <w:footnoteRef/>
      </w:r>
      <w:r>
        <w:rPr>
          <w:rtl/>
        </w:rPr>
        <w:t xml:space="preserve"> </w:t>
      </w:r>
      <w:r w:rsidRPr="00206D28">
        <w:t>Dan Goleman</w:t>
      </w:r>
    </w:p>
  </w:footnote>
  <w:footnote w:id="1981">
    <w:p w14:paraId="6DA89A01" w14:textId="7DC4182D" w:rsidR="00B47FF5" w:rsidRDefault="00B47FF5" w:rsidP="00537CC8">
      <w:pPr>
        <w:pStyle w:val="FootnoteText"/>
      </w:pPr>
      <w:r>
        <w:rPr>
          <w:rStyle w:val="FootnoteReference"/>
        </w:rPr>
        <w:footnoteRef/>
      </w:r>
      <w:r>
        <w:rPr>
          <w:rtl/>
        </w:rPr>
        <w:t xml:space="preserve"> </w:t>
      </w:r>
      <w:r w:rsidRPr="00CF633D">
        <w:t>Amygdala hijackig</w:t>
      </w:r>
    </w:p>
  </w:footnote>
  <w:footnote w:id="1982">
    <w:p w14:paraId="7829066E" w14:textId="77777777" w:rsidR="00B47FF5" w:rsidRDefault="00B47FF5" w:rsidP="00537CC8">
      <w:pPr>
        <w:pStyle w:val="FootnoteText"/>
      </w:pPr>
      <w:r>
        <w:rPr>
          <w:rStyle w:val="FootnoteReference"/>
        </w:rPr>
        <w:footnoteRef/>
      </w:r>
      <w:r>
        <w:rPr>
          <w:rtl/>
        </w:rPr>
        <w:t xml:space="preserve"> </w:t>
      </w:r>
      <w:r w:rsidRPr="00206D28">
        <w:t>Fox News</w:t>
      </w:r>
    </w:p>
  </w:footnote>
  <w:footnote w:id="1983">
    <w:p w14:paraId="58E8A3B8" w14:textId="77777777" w:rsidR="00B47FF5" w:rsidRDefault="00B47FF5" w:rsidP="00537CC8">
      <w:pPr>
        <w:pStyle w:val="FootnoteText"/>
      </w:pPr>
      <w:r>
        <w:rPr>
          <w:rStyle w:val="FootnoteReference"/>
        </w:rPr>
        <w:footnoteRef/>
      </w:r>
      <w:r>
        <w:rPr>
          <w:rtl/>
        </w:rPr>
        <w:t xml:space="preserve"> </w:t>
      </w:r>
      <w:r w:rsidRPr="00206D28">
        <w:t>Foxhole News</w:t>
      </w:r>
    </w:p>
  </w:footnote>
  <w:footnote w:id="1984">
    <w:p w14:paraId="6FDDAA20" w14:textId="77777777" w:rsidR="00B47FF5" w:rsidRDefault="00B47FF5" w:rsidP="00537CC8">
      <w:pPr>
        <w:pStyle w:val="FootnoteText"/>
      </w:pPr>
      <w:r>
        <w:rPr>
          <w:rStyle w:val="FootnoteReference"/>
        </w:rPr>
        <w:footnoteRef/>
      </w:r>
      <w:r>
        <w:rPr>
          <w:rtl/>
        </w:rPr>
        <w:t xml:space="preserve"> </w:t>
      </w:r>
      <w:r w:rsidRPr="00206D28">
        <w:t>Fakebook</w:t>
      </w:r>
    </w:p>
  </w:footnote>
  <w:footnote w:id="1985">
    <w:p w14:paraId="25D47720" w14:textId="494E1248" w:rsidR="00B47FF5" w:rsidRDefault="00B47FF5" w:rsidP="00537CC8">
      <w:pPr>
        <w:pStyle w:val="FootnoteText"/>
      </w:pPr>
      <w:r>
        <w:rPr>
          <w:rStyle w:val="FootnoteReference"/>
        </w:rPr>
        <w:footnoteRef/>
      </w:r>
      <w:r>
        <w:rPr>
          <w:rtl/>
        </w:rPr>
        <w:t xml:space="preserve"> </w:t>
      </w:r>
      <w:r w:rsidRPr="00EB6E98">
        <w:t>Microtargeting</w:t>
      </w:r>
    </w:p>
  </w:footnote>
  <w:footnote w:id="1986">
    <w:p w14:paraId="62EAD6DF" w14:textId="14550407" w:rsidR="00B47FF5" w:rsidRDefault="00B47FF5" w:rsidP="00537CC8">
      <w:pPr>
        <w:pStyle w:val="FootnoteText"/>
      </w:pPr>
      <w:r>
        <w:rPr>
          <w:rStyle w:val="FootnoteReference"/>
        </w:rPr>
        <w:footnoteRef/>
      </w:r>
      <w:r>
        <w:rPr>
          <w:rtl/>
        </w:rPr>
        <w:t xml:space="preserve"> </w:t>
      </w:r>
      <w:r>
        <w:t>Push-based advertising</w:t>
      </w:r>
    </w:p>
  </w:footnote>
  <w:footnote w:id="1987">
    <w:p w14:paraId="66421774" w14:textId="77777777" w:rsidR="00B47FF5" w:rsidRDefault="00B47FF5" w:rsidP="00537CC8">
      <w:pPr>
        <w:pStyle w:val="FootnoteText"/>
      </w:pPr>
      <w:r>
        <w:rPr>
          <w:rStyle w:val="FootnoteReference"/>
        </w:rPr>
        <w:footnoteRef/>
      </w:r>
      <w:r>
        <w:rPr>
          <w:rtl/>
        </w:rPr>
        <w:t xml:space="preserve"> </w:t>
      </w:r>
      <w:r w:rsidRPr="00EB6E98">
        <w:t>Businessweek</w:t>
      </w:r>
    </w:p>
  </w:footnote>
  <w:footnote w:id="1988">
    <w:p w14:paraId="108AB34E" w14:textId="77777777" w:rsidR="00B47FF5" w:rsidRDefault="00B47FF5" w:rsidP="00537CC8">
      <w:pPr>
        <w:pStyle w:val="FootnoteText"/>
      </w:pPr>
      <w:r>
        <w:rPr>
          <w:rStyle w:val="FootnoteReference"/>
        </w:rPr>
        <w:footnoteRef/>
      </w:r>
      <w:r>
        <w:rPr>
          <w:rtl/>
        </w:rPr>
        <w:t xml:space="preserve"> </w:t>
      </w:r>
      <w:r w:rsidRPr="00EB6E98">
        <w:t>Science News</w:t>
      </w:r>
    </w:p>
  </w:footnote>
  <w:footnote w:id="1989">
    <w:p w14:paraId="340D7BF9" w14:textId="77777777" w:rsidR="00B47FF5" w:rsidRDefault="00B47FF5" w:rsidP="00537CC8">
      <w:pPr>
        <w:pStyle w:val="FootnoteText"/>
      </w:pPr>
      <w:r>
        <w:rPr>
          <w:rStyle w:val="FootnoteReference"/>
        </w:rPr>
        <w:footnoteRef/>
      </w:r>
      <w:r>
        <w:rPr>
          <w:rtl/>
        </w:rPr>
        <w:t xml:space="preserve"> </w:t>
      </w:r>
      <w:r w:rsidRPr="00EB6E98">
        <w:t>RealClear World</w:t>
      </w:r>
    </w:p>
  </w:footnote>
  <w:footnote w:id="1990">
    <w:p w14:paraId="0459C19F" w14:textId="77777777" w:rsidR="00B47FF5" w:rsidRDefault="00B47FF5" w:rsidP="00537CC8">
      <w:pPr>
        <w:pStyle w:val="FootnoteText"/>
      </w:pPr>
      <w:r>
        <w:rPr>
          <w:rStyle w:val="FootnoteReference"/>
        </w:rPr>
        <w:footnoteRef/>
      </w:r>
      <w:r>
        <w:rPr>
          <w:rtl/>
        </w:rPr>
        <w:t xml:space="preserve"> </w:t>
      </w:r>
      <w:r w:rsidRPr="00EB6E98">
        <w:t>Medium</w:t>
      </w:r>
    </w:p>
  </w:footnote>
  <w:footnote w:id="1991">
    <w:p w14:paraId="0265B327" w14:textId="77777777" w:rsidR="00B47FF5" w:rsidRDefault="00B47FF5" w:rsidP="00537CC8">
      <w:pPr>
        <w:pStyle w:val="FootnoteText"/>
      </w:pPr>
      <w:r>
        <w:rPr>
          <w:rStyle w:val="FootnoteReference"/>
        </w:rPr>
        <w:footnoteRef/>
      </w:r>
      <w:r>
        <w:rPr>
          <w:rtl/>
        </w:rPr>
        <w:t xml:space="preserve"> </w:t>
      </w:r>
      <w:r w:rsidRPr="00EB6E98">
        <w:t>Quora</w:t>
      </w:r>
    </w:p>
  </w:footnote>
  <w:footnote w:id="1992">
    <w:p w14:paraId="12969019" w14:textId="77777777" w:rsidR="00B47FF5" w:rsidRDefault="00B47FF5" w:rsidP="00537CC8">
      <w:pPr>
        <w:pStyle w:val="FootnoteText"/>
      </w:pPr>
      <w:r>
        <w:rPr>
          <w:rStyle w:val="FootnoteReference"/>
        </w:rPr>
        <w:footnoteRef/>
      </w:r>
      <w:r>
        <w:rPr>
          <w:rtl/>
        </w:rPr>
        <w:t xml:space="preserve"> </w:t>
      </w:r>
      <w:r w:rsidRPr="00EB6E98">
        <w:t>Reddit</w:t>
      </w:r>
    </w:p>
  </w:footnote>
  <w:footnote w:id="1993">
    <w:p w14:paraId="3522DA03" w14:textId="31A7C553" w:rsidR="00B47FF5" w:rsidRDefault="00B47FF5" w:rsidP="00537CC8">
      <w:pPr>
        <w:pStyle w:val="FootnoteText"/>
      </w:pPr>
      <w:r>
        <w:rPr>
          <w:rStyle w:val="FootnoteReference"/>
        </w:rPr>
        <w:footnoteRef/>
      </w:r>
      <w:r>
        <w:rPr>
          <w:rtl/>
        </w:rPr>
        <w:t xml:space="preserve"> </w:t>
      </w:r>
      <w:r>
        <w:t>Culture eats strategy for breakfast</w:t>
      </w:r>
    </w:p>
  </w:footnote>
  <w:footnote w:id="1994">
    <w:p w14:paraId="15128826" w14:textId="77777777" w:rsidR="00B47FF5" w:rsidRDefault="00B47FF5" w:rsidP="00537CC8">
      <w:pPr>
        <w:pStyle w:val="FootnoteText"/>
      </w:pPr>
      <w:r>
        <w:rPr>
          <w:rStyle w:val="FootnoteReference"/>
        </w:rPr>
        <w:footnoteRef/>
      </w:r>
      <w:r>
        <w:rPr>
          <w:rtl/>
        </w:rPr>
        <w:t xml:space="preserve"> </w:t>
      </w:r>
      <w:r w:rsidRPr="00EB6E98">
        <w:t>Katzenbach</w:t>
      </w:r>
    </w:p>
  </w:footnote>
  <w:footnote w:id="1995">
    <w:p w14:paraId="02FDD23B" w14:textId="77777777" w:rsidR="00B47FF5" w:rsidRDefault="00B47FF5" w:rsidP="00537CC8">
      <w:pPr>
        <w:pStyle w:val="FootnoteText"/>
      </w:pPr>
      <w:r>
        <w:rPr>
          <w:rStyle w:val="FootnoteReference"/>
        </w:rPr>
        <w:footnoteRef/>
      </w:r>
      <w:r>
        <w:rPr>
          <w:rtl/>
        </w:rPr>
        <w:t xml:space="preserve"> </w:t>
      </w:r>
      <w:r w:rsidRPr="00EB6E98">
        <w:t>Harshak</w:t>
      </w:r>
    </w:p>
  </w:footnote>
  <w:footnote w:id="1996">
    <w:p w14:paraId="5E76CC4B" w14:textId="77777777" w:rsidR="00B47FF5" w:rsidRDefault="00B47FF5" w:rsidP="00537CC8">
      <w:pPr>
        <w:pStyle w:val="FootnoteText"/>
      </w:pPr>
      <w:r>
        <w:rPr>
          <w:rStyle w:val="FootnoteReference"/>
        </w:rPr>
        <w:footnoteRef/>
      </w:r>
      <w:r>
        <w:rPr>
          <w:rtl/>
        </w:rPr>
        <w:t xml:space="preserve"> </w:t>
      </w:r>
      <w:r w:rsidRPr="00166CDF">
        <w:t>Stop Blaming Your Culture</w:t>
      </w:r>
    </w:p>
  </w:footnote>
  <w:footnote w:id="1997">
    <w:p w14:paraId="0E882F32" w14:textId="77777777" w:rsidR="00B47FF5" w:rsidRDefault="00B47FF5" w:rsidP="00537CC8">
      <w:pPr>
        <w:pStyle w:val="FootnoteText"/>
      </w:pPr>
      <w:r>
        <w:rPr>
          <w:rStyle w:val="FootnoteReference"/>
        </w:rPr>
        <w:footnoteRef/>
      </w:r>
      <w:r>
        <w:rPr>
          <w:rtl/>
        </w:rPr>
        <w:t xml:space="preserve"> </w:t>
      </w:r>
      <w:r>
        <w:t>Strategy+Business</w:t>
      </w:r>
    </w:p>
  </w:footnote>
  <w:footnote w:id="1998">
    <w:p w14:paraId="19874265" w14:textId="05DC510C" w:rsidR="00B47FF5" w:rsidRDefault="00B47FF5" w:rsidP="00537CC8">
      <w:pPr>
        <w:pStyle w:val="FootnoteText"/>
      </w:pPr>
      <w:r>
        <w:rPr>
          <w:rStyle w:val="FootnoteReference"/>
        </w:rPr>
        <w:footnoteRef/>
      </w:r>
      <w:r>
        <w:rPr>
          <w:rtl/>
        </w:rPr>
        <w:t xml:space="preserve"> </w:t>
      </w:r>
      <w:r w:rsidRPr="00166CDF">
        <w:t>Parochialism</w:t>
      </w:r>
    </w:p>
  </w:footnote>
  <w:footnote w:id="1999">
    <w:p w14:paraId="750ADD20" w14:textId="77777777" w:rsidR="00B47FF5" w:rsidRDefault="00B47FF5" w:rsidP="00537CC8">
      <w:pPr>
        <w:pStyle w:val="FootnoteText"/>
      </w:pPr>
      <w:r>
        <w:rPr>
          <w:rStyle w:val="FootnoteReference"/>
        </w:rPr>
        <w:footnoteRef/>
      </w:r>
      <w:r>
        <w:rPr>
          <w:rtl/>
        </w:rPr>
        <w:t xml:space="preserve"> </w:t>
      </w:r>
      <w:r w:rsidRPr="00EB6E98">
        <w:t>Stretch</w:t>
      </w:r>
    </w:p>
  </w:footnote>
  <w:footnote w:id="2000">
    <w:p w14:paraId="0485A70E" w14:textId="26E71606" w:rsidR="00B47FF5" w:rsidRDefault="00B47FF5">
      <w:pPr>
        <w:pStyle w:val="FootnoteText"/>
        <w:rPr>
          <w:rtl/>
        </w:rPr>
      </w:pPr>
      <w:r>
        <w:rPr>
          <w:rStyle w:val="FootnoteReference"/>
        </w:rPr>
        <w:footnoteRef/>
      </w:r>
      <w:r>
        <w:t xml:space="preserve"> </w:t>
      </w:r>
      <w:r w:rsidRPr="00537CC8">
        <w:t>Premortems</w:t>
      </w:r>
    </w:p>
  </w:footnote>
  <w:footnote w:id="2001">
    <w:p w14:paraId="3CD21CEC" w14:textId="3EC29E23" w:rsidR="00B47FF5" w:rsidRDefault="00B47FF5" w:rsidP="00537CC8">
      <w:pPr>
        <w:pStyle w:val="FootnoteText"/>
      </w:pPr>
      <w:r>
        <w:rPr>
          <w:rStyle w:val="FootnoteReference"/>
        </w:rPr>
        <w:footnoteRef/>
      </w:r>
      <w:r>
        <w:rPr>
          <w:rtl/>
        </w:rPr>
        <w:t xml:space="preserve"> </w:t>
      </w:r>
      <w:r>
        <w:t>Performing a Project Premortem</w:t>
      </w:r>
    </w:p>
  </w:footnote>
  <w:footnote w:id="2002">
    <w:p w14:paraId="63AC4CCB" w14:textId="77777777" w:rsidR="00B47FF5" w:rsidRDefault="00B47FF5" w:rsidP="00537CC8">
      <w:pPr>
        <w:pStyle w:val="FootnoteText"/>
      </w:pPr>
      <w:r>
        <w:rPr>
          <w:rStyle w:val="FootnoteReference"/>
        </w:rPr>
        <w:footnoteRef/>
      </w:r>
      <w:r>
        <w:rPr>
          <w:rtl/>
        </w:rPr>
        <w:t xml:space="preserve"> </w:t>
      </w:r>
      <w:r w:rsidRPr="00D42199">
        <w:t>Gary Klein</w:t>
      </w:r>
    </w:p>
  </w:footnote>
  <w:footnote w:id="2003">
    <w:p w14:paraId="640AF763" w14:textId="77777777" w:rsidR="00B47FF5" w:rsidRDefault="00B47FF5" w:rsidP="00537CC8">
      <w:pPr>
        <w:pStyle w:val="FootnoteText"/>
      </w:pPr>
      <w:r>
        <w:rPr>
          <w:rStyle w:val="FootnoteReference"/>
        </w:rPr>
        <w:footnoteRef/>
      </w:r>
      <w:r>
        <w:rPr>
          <w:rtl/>
        </w:rPr>
        <w:t xml:space="preserve"> </w:t>
      </w:r>
      <w:r w:rsidRPr="00D42199">
        <w:t>Atlassian</w:t>
      </w:r>
    </w:p>
  </w:footnote>
  <w:footnote w:id="2004">
    <w:p w14:paraId="13C18389" w14:textId="77777777" w:rsidR="00B47FF5" w:rsidRDefault="00B47FF5" w:rsidP="00537CC8">
      <w:pPr>
        <w:pStyle w:val="FootnoteText"/>
      </w:pPr>
      <w:r>
        <w:rPr>
          <w:rStyle w:val="FootnoteReference"/>
        </w:rPr>
        <w:footnoteRef/>
      </w:r>
      <w:r>
        <w:rPr>
          <w:rtl/>
        </w:rPr>
        <w:t xml:space="preserve"> </w:t>
      </w:r>
      <w:r w:rsidRPr="00D42199">
        <w:t>John Kotter</w:t>
      </w:r>
    </w:p>
  </w:footnote>
  <w:footnote w:id="2005">
    <w:p w14:paraId="01DFC7D6" w14:textId="77777777" w:rsidR="00B47FF5" w:rsidRDefault="00B47FF5" w:rsidP="00537CC8">
      <w:pPr>
        <w:pStyle w:val="FootnoteText"/>
      </w:pPr>
      <w:r>
        <w:rPr>
          <w:rStyle w:val="FootnoteReference"/>
        </w:rPr>
        <w:footnoteRef/>
      </w:r>
      <w:r>
        <w:rPr>
          <w:rtl/>
        </w:rPr>
        <w:t xml:space="preserve"> </w:t>
      </w:r>
      <w:r w:rsidRPr="00D42199">
        <w:t>Korn Ferry</w:t>
      </w:r>
    </w:p>
  </w:footnote>
  <w:footnote w:id="2006">
    <w:p w14:paraId="0101FE8A" w14:textId="77777777" w:rsidR="00B47FF5" w:rsidRDefault="00B47FF5" w:rsidP="00537CC8">
      <w:pPr>
        <w:pStyle w:val="FootnoteText"/>
      </w:pPr>
      <w:r>
        <w:rPr>
          <w:rStyle w:val="FootnoteReference"/>
        </w:rPr>
        <w:footnoteRef/>
      </w:r>
      <w:r>
        <w:rPr>
          <w:rtl/>
        </w:rPr>
        <w:t xml:space="preserve"> </w:t>
      </w:r>
      <w:r w:rsidRPr="00D42199">
        <w:t>PDI Ninth House</w:t>
      </w:r>
    </w:p>
  </w:footnote>
  <w:footnote w:id="2007">
    <w:p w14:paraId="448EA48A" w14:textId="77777777" w:rsidR="00B47FF5" w:rsidRDefault="00B47FF5" w:rsidP="00537CC8">
      <w:pPr>
        <w:pStyle w:val="FootnoteText"/>
      </w:pPr>
      <w:r>
        <w:rPr>
          <w:rStyle w:val="FootnoteReference"/>
        </w:rPr>
        <w:footnoteRef/>
      </w:r>
      <w:r>
        <w:rPr>
          <w:rtl/>
        </w:rPr>
        <w:t xml:space="preserve"> </w:t>
      </w:r>
      <w:r>
        <w:t>Thought Leadership</w:t>
      </w:r>
    </w:p>
  </w:footnote>
  <w:footnote w:id="2008">
    <w:p w14:paraId="2F4B19A5" w14:textId="77777777" w:rsidR="00B47FF5" w:rsidRDefault="00B47FF5" w:rsidP="00537CC8">
      <w:pPr>
        <w:pStyle w:val="FootnoteText"/>
      </w:pPr>
      <w:r>
        <w:rPr>
          <w:rStyle w:val="FootnoteReference"/>
        </w:rPr>
        <w:footnoteRef/>
      </w:r>
      <w:r>
        <w:rPr>
          <w:rtl/>
        </w:rPr>
        <w:t xml:space="preserve"> </w:t>
      </w:r>
      <w:r>
        <w:t>External Focus Results Leadership</w:t>
      </w:r>
    </w:p>
  </w:footnote>
  <w:footnote w:id="2009">
    <w:p w14:paraId="6F239BAA" w14:textId="77777777" w:rsidR="00B47FF5" w:rsidRDefault="00B47FF5" w:rsidP="00537CC8">
      <w:pPr>
        <w:pStyle w:val="FootnoteText"/>
      </w:pPr>
      <w:r>
        <w:rPr>
          <w:rStyle w:val="FootnoteReference"/>
        </w:rPr>
        <w:footnoteRef/>
      </w:r>
      <w:r>
        <w:rPr>
          <w:rtl/>
        </w:rPr>
        <w:t xml:space="preserve"> </w:t>
      </w:r>
      <w:r w:rsidRPr="00D42199">
        <w:t>External Focus People Leadership</w:t>
      </w:r>
    </w:p>
  </w:footnote>
  <w:footnote w:id="2010">
    <w:p w14:paraId="4417C8F6" w14:textId="77777777" w:rsidR="00B47FF5" w:rsidRDefault="00B47FF5" w:rsidP="00537CC8">
      <w:pPr>
        <w:pStyle w:val="FootnoteText"/>
      </w:pPr>
      <w:r>
        <w:rPr>
          <w:rStyle w:val="FootnoteReference"/>
        </w:rPr>
        <w:footnoteRef/>
      </w:r>
      <w:r>
        <w:rPr>
          <w:rtl/>
        </w:rPr>
        <w:t xml:space="preserve"> </w:t>
      </w:r>
      <w:r>
        <w:t>Internal Focus Personal Leadership</w:t>
      </w:r>
    </w:p>
  </w:footnote>
  <w:footnote w:id="2011">
    <w:p w14:paraId="5F85571D" w14:textId="77777777" w:rsidR="00B47FF5" w:rsidRDefault="00B47FF5" w:rsidP="00537CC8">
      <w:pPr>
        <w:pStyle w:val="FootnoteText"/>
      </w:pPr>
      <w:r>
        <w:rPr>
          <w:rStyle w:val="FootnoteReference"/>
        </w:rPr>
        <w:footnoteRef/>
      </w:r>
      <w:r>
        <w:rPr>
          <w:rtl/>
        </w:rPr>
        <w:t xml:space="preserve"> </w:t>
      </w:r>
      <w:r w:rsidRPr="008A0307">
        <w:t>FYI: For Your</w:t>
      </w:r>
      <w:r>
        <w:t xml:space="preserve"> </w:t>
      </w:r>
      <w:r w:rsidRPr="008A0307">
        <w:t>Improvement</w:t>
      </w:r>
    </w:p>
  </w:footnote>
  <w:footnote w:id="2012">
    <w:p w14:paraId="58ACC24B" w14:textId="77777777" w:rsidR="00B47FF5" w:rsidRDefault="00B47FF5" w:rsidP="00537CC8">
      <w:pPr>
        <w:pStyle w:val="FootnoteText"/>
      </w:pPr>
      <w:r>
        <w:rPr>
          <w:rStyle w:val="FootnoteReference"/>
        </w:rPr>
        <w:footnoteRef/>
      </w:r>
      <w:r>
        <w:rPr>
          <w:rtl/>
        </w:rPr>
        <w:t xml:space="preserve"> </w:t>
      </w:r>
      <w:r w:rsidRPr="0010696C">
        <w:t>Sunnie Giles</w:t>
      </w:r>
    </w:p>
  </w:footnote>
  <w:footnote w:id="2013">
    <w:p w14:paraId="76A6A9BC" w14:textId="77777777" w:rsidR="00B47FF5" w:rsidRDefault="00B47FF5" w:rsidP="00537CC8">
      <w:pPr>
        <w:pStyle w:val="FootnoteText"/>
      </w:pPr>
      <w:r>
        <w:rPr>
          <w:rStyle w:val="FootnoteReference"/>
        </w:rPr>
        <w:footnoteRef/>
      </w:r>
      <w:r>
        <w:rPr>
          <w:rtl/>
        </w:rPr>
        <w:t xml:space="preserve"> </w:t>
      </w:r>
      <w:r w:rsidRPr="0010696C">
        <w:t>David Snowden</w:t>
      </w:r>
    </w:p>
  </w:footnote>
  <w:footnote w:id="2014">
    <w:p w14:paraId="72CA801D" w14:textId="77777777" w:rsidR="00B47FF5" w:rsidRDefault="00B47FF5" w:rsidP="00537CC8">
      <w:pPr>
        <w:pStyle w:val="FootnoteText"/>
      </w:pPr>
      <w:r>
        <w:rPr>
          <w:rStyle w:val="FootnoteReference"/>
        </w:rPr>
        <w:footnoteRef/>
      </w:r>
      <w:r>
        <w:rPr>
          <w:rtl/>
        </w:rPr>
        <w:t xml:space="preserve"> </w:t>
      </w:r>
      <w:r w:rsidRPr="0010696C">
        <w:t>Timaeus</w:t>
      </w:r>
    </w:p>
  </w:footnote>
  <w:footnote w:id="2015">
    <w:p w14:paraId="5DA1CB40" w14:textId="77777777" w:rsidR="00B47FF5" w:rsidRDefault="00B47FF5" w:rsidP="00537CC8">
      <w:pPr>
        <w:pStyle w:val="FootnoteText"/>
      </w:pPr>
      <w:r>
        <w:rPr>
          <w:rStyle w:val="FootnoteReference"/>
        </w:rPr>
        <w:footnoteRef/>
      </w:r>
      <w:r>
        <w:rPr>
          <w:rtl/>
        </w:rPr>
        <w:t xml:space="preserve"> </w:t>
      </w:r>
      <w:r w:rsidRPr="008E074B">
        <w:t>Empowerment</w:t>
      </w:r>
    </w:p>
  </w:footnote>
  <w:footnote w:id="2016">
    <w:p w14:paraId="22FF33B0" w14:textId="77777777" w:rsidR="00B47FF5" w:rsidRDefault="00B47FF5" w:rsidP="00537CC8">
      <w:pPr>
        <w:pStyle w:val="FootnoteText"/>
      </w:pPr>
      <w:r>
        <w:rPr>
          <w:rStyle w:val="FootnoteReference"/>
        </w:rPr>
        <w:footnoteRef/>
      </w:r>
      <w:r>
        <w:rPr>
          <w:rtl/>
        </w:rPr>
        <w:t xml:space="preserve"> </w:t>
      </w:r>
      <w:r w:rsidRPr="008E074B">
        <w:t>Evidence Seeking</w:t>
      </w:r>
    </w:p>
  </w:footnote>
  <w:footnote w:id="2017">
    <w:p w14:paraId="336EADD2" w14:textId="77777777" w:rsidR="00B47FF5" w:rsidRDefault="00B47FF5" w:rsidP="00537CC8">
      <w:pPr>
        <w:pStyle w:val="FootnoteText"/>
      </w:pPr>
      <w:r>
        <w:rPr>
          <w:rStyle w:val="FootnoteReference"/>
        </w:rPr>
        <w:footnoteRef/>
      </w:r>
      <w:r>
        <w:rPr>
          <w:rtl/>
        </w:rPr>
        <w:t xml:space="preserve"> </w:t>
      </w:r>
      <w:r w:rsidRPr="008E074B">
        <w:t>Expression</w:t>
      </w:r>
    </w:p>
  </w:footnote>
  <w:footnote w:id="2018">
    <w:p w14:paraId="380F24AF" w14:textId="77777777" w:rsidR="00B47FF5" w:rsidRDefault="00B47FF5" w:rsidP="00537CC8">
      <w:pPr>
        <w:pStyle w:val="FootnoteText"/>
      </w:pPr>
      <w:r>
        <w:rPr>
          <w:rStyle w:val="FootnoteReference"/>
        </w:rPr>
        <w:footnoteRef/>
      </w:r>
      <w:r>
        <w:rPr>
          <w:rtl/>
        </w:rPr>
        <w:t xml:space="preserve"> </w:t>
      </w:r>
      <w:r w:rsidRPr="000376ED">
        <w:t>Innovation,</w:t>
      </w:r>
      <w:r>
        <w:t xml:space="preserve"> </w:t>
      </w:r>
      <w:r w:rsidRPr="000376ED">
        <w:t>Intelligence, Empathy, Ethics, Strength, and Stability</w:t>
      </w:r>
    </w:p>
  </w:footnote>
  <w:footnote w:id="2019">
    <w:p w14:paraId="37FF2DC8" w14:textId="77777777" w:rsidR="00B47FF5" w:rsidRDefault="00B47FF5" w:rsidP="00537CC8">
      <w:pPr>
        <w:pStyle w:val="FootnoteText"/>
      </w:pPr>
      <w:r>
        <w:rPr>
          <w:rStyle w:val="FootnoteReference"/>
        </w:rPr>
        <w:footnoteRef/>
      </w:r>
      <w:r>
        <w:rPr>
          <w:rtl/>
        </w:rPr>
        <w:t xml:space="preserve"> </w:t>
      </w:r>
      <w:r w:rsidRPr="009418C6">
        <w:t>Competing for the Future</w:t>
      </w:r>
    </w:p>
  </w:footnote>
  <w:footnote w:id="2020">
    <w:p w14:paraId="538C3430" w14:textId="77777777" w:rsidR="00B47FF5" w:rsidRDefault="00B47FF5" w:rsidP="00537CC8">
      <w:pPr>
        <w:pStyle w:val="FootnoteText"/>
      </w:pPr>
      <w:r>
        <w:rPr>
          <w:rStyle w:val="FootnoteReference"/>
        </w:rPr>
        <w:footnoteRef/>
      </w:r>
      <w:r>
        <w:rPr>
          <w:rtl/>
        </w:rPr>
        <w:t xml:space="preserve"> </w:t>
      </w:r>
      <w:r w:rsidRPr="0010696C">
        <w:t>Hamel</w:t>
      </w:r>
    </w:p>
  </w:footnote>
  <w:footnote w:id="2021">
    <w:p w14:paraId="44BAE9CF" w14:textId="77777777" w:rsidR="00B47FF5" w:rsidRDefault="00B47FF5" w:rsidP="00537CC8">
      <w:pPr>
        <w:pStyle w:val="FootnoteText"/>
      </w:pPr>
      <w:r>
        <w:rPr>
          <w:rStyle w:val="FootnoteReference"/>
        </w:rPr>
        <w:footnoteRef/>
      </w:r>
      <w:r>
        <w:rPr>
          <w:rtl/>
        </w:rPr>
        <w:t xml:space="preserve"> </w:t>
      </w:r>
      <w:r w:rsidRPr="0010696C">
        <w:t>Pralahad</w:t>
      </w:r>
    </w:p>
  </w:footnote>
  <w:footnote w:id="2022">
    <w:p w14:paraId="51A871E8" w14:textId="77777777" w:rsidR="00B47FF5" w:rsidRDefault="00B47FF5" w:rsidP="00537CC8">
      <w:pPr>
        <w:pStyle w:val="FootnoteText"/>
      </w:pPr>
      <w:r>
        <w:rPr>
          <w:rStyle w:val="FootnoteReference"/>
        </w:rPr>
        <w:footnoteRef/>
      </w:r>
      <w:r>
        <w:rPr>
          <w:rtl/>
        </w:rPr>
        <w:t xml:space="preserve"> </w:t>
      </w:r>
      <w:r w:rsidRPr="00235130">
        <w:t>Toffler-Amara</w:t>
      </w:r>
    </w:p>
  </w:footnote>
  <w:footnote w:id="2023">
    <w:p w14:paraId="4626A49A" w14:textId="77777777" w:rsidR="00B47FF5" w:rsidRDefault="00B47FF5" w:rsidP="00537CC8">
      <w:pPr>
        <w:pStyle w:val="FootnoteText"/>
      </w:pPr>
      <w:r>
        <w:rPr>
          <w:rStyle w:val="FootnoteReference"/>
        </w:rPr>
        <w:footnoteRef/>
      </w:r>
      <w:r>
        <w:rPr>
          <w:rtl/>
        </w:rPr>
        <w:t xml:space="preserve"> </w:t>
      </w:r>
      <w:r w:rsidRPr="00235130">
        <w:t>Boyd</w:t>
      </w:r>
    </w:p>
  </w:footnote>
  <w:footnote w:id="2024">
    <w:p w14:paraId="5385812F" w14:textId="77777777" w:rsidR="00B47FF5" w:rsidRDefault="00B47FF5" w:rsidP="00537CC8">
      <w:pPr>
        <w:pStyle w:val="FootnoteText"/>
      </w:pPr>
      <w:r>
        <w:rPr>
          <w:rStyle w:val="FootnoteReference"/>
        </w:rPr>
        <w:footnoteRef/>
      </w:r>
      <w:r>
        <w:rPr>
          <w:rtl/>
        </w:rPr>
        <w:t xml:space="preserve"> </w:t>
      </w:r>
      <w:r w:rsidRPr="00235130">
        <w:t>Robert Coram</w:t>
      </w:r>
    </w:p>
  </w:footnote>
  <w:footnote w:id="2025">
    <w:p w14:paraId="43B9CEBA" w14:textId="77777777" w:rsidR="00B47FF5" w:rsidRDefault="00B47FF5" w:rsidP="00537CC8">
      <w:pPr>
        <w:pStyle w:val="FootnoteText"/>
      </w:pPr>
      <w:r>
        <w:rPr>
          <w:rStyle w:val="FootnoteReference"/>
        </w:rPr>
        <w:footnoteRef/>
      </w:r>
      <w:r>
        <w:rPr>
          <w:rtl/>
        </w:rPr>
        <w:t xml:space="preserve"> </w:t>
      </w:r>
      <w:r w:rsidRPr="00A026E1">
        <w:t>Boyd: The Fighter Pilot Who Changed the Art of War</w:t>
      </w:r>
    </w:p>
  </w:footnote>
  <w:footnote w:id="2026">
    <w:p w14:paraId="4A3C8991" w14:textId="77777777" w:rsidR="00B47FF5" w:rsidRDefault="00B47FF5" w:rsidP="00537CC8">
      <w:pPr>
        <w:pStyle w:val="FootnoteText"/>
      </w:pPr>
      <w:r>
        <w:rPr>
          <w:rStyle w:val="FootnoteReference"/>
        </w:rPr>
        <w:footnoteRef/>
      </w:r>
      <w:r>
        <w:rPr>
          <w:rtl/>
        </w:rPr>
        <w:t xml:space="preserve"> </w:t>
      </w:r>
      <w:r w:rsidRPr="00A026E1">
        <w:t>The Mind of War: John Boyd and</w:t>
      </w:r>
      <w:r>
        <w:t xml:space="preserve"> </w:t>
      </w:r>
      <w:r w:rsidRPr="00A026E1">
        <w:t>American Security</w:t>
      </w:r>
    </w:p>
  </w:footnote>
  <w:footnote w:id="2027">
    <w:p w14:paraId="0F764AE8" w14:textId="77777777" w:rsidR="00B47FF5" w:rsidRDefault="00B47FF5" w:rsidP="00537CC8">
      <w:pPr>
        <w:pStyle w:val="FootnoteText"/>
      </w:pPr>
      <w:r>
        <w:rPr>
          <w:rStyle w:val="FootnoteReference"/>
        </w:rPr>
        <w:footnoteRef/>
      </w:r>
      <w:r>
        <w:rPr>
          <w:rtl/>
        </w:rPr>
        <w:t xml:space="preserve"> </w:t>
      </w:r>
      <w:r w:rsidRPr="00A026E1">
        <w:t>Certain to</w:t>
      </w:r>
      <w:r>
        <w:t xml:space="preserve"> </w:t>
      </w:r>
      <w:r w:rsidRPr="00A026E1">
        <w:t>Win: The Strategy of John Boyd, Applied to Business</w:t>
      </w:r>
    </w:p>
  </w:footnote>
  <w:footnote w:id="2028">
    <w:p w14:paraId="482467D8" w14:textId="77777777" w:rsidR="00B47FF5" w:rsidRDefault="00B47FF5" w:rsidP="00537CC8">
      <w:pPr>
        <w:pStyle w:val="FootnoteText"/>
      </w:pPr>
      <w:r>
        <w:rPr>
          <w:rStyle w:val="FootnoteReference"/>
        </w:rPr>
        <w:footnoteRef/>
      </w:r>
      <w:r>
        <w:rPr>
          <w:rtl/>
        </w:rPr>
        <w:t xml:space="preserve"> </w:t>
      </w:r>
      <w:r w:rsidRPr="00235130">
        <w:t>Chet Richards</w:t>
      </w:r>
    </w:p>
  </w:footnote>
  <w:footnote w:id="2029">
    <w:p w14:paraId="37B0A0D6" w14:textId="47FC74F0" w:rsidR="00B47FF5" w:rsidRDefault="00B47FF5" w:rsidP="00537CC8">
      <w:pPr>
        <w:pStyle w:val="FootnoteText"/>
      </w:pPr>
      <w:r>
        <w:rPr>
          <w:rStyle w:val="FootnoteReference"/>
        </w:rPr>
        <w:footnoteRef/>
      </w:r>
      <w:r>
        <w:rPr>
          <w:rtl/>
        </w:rPr>
        <w:t xml:space="preserve"> </w:t>
      </w:r>
      <w:r w:rsidRPr="005D2644">
        <w:t>Perception-decision-action-feedback</w:t>
      </w:r>
    </w:p>
  </w:footnote>
  <w:footnote w:id="2030">
    <w:p w14:paraId="0E1703A4" w14:textId="77777777" w:rsidR="00B47FF5" w:rsidRDefault="00B47FF5" w:rsidP="00537CC8">
      <w:pPr>
        <w:pStyle w:val="FootnoteText"/>
      </w:pPr>
      <w:r>
        <w:rPr>
          <w:rStyle w:val="FootnoteReference"/>
        </w:rPr>
        <w:footnoteRef/>
      </w:r>
      <w:r>
        <w:rPr>
          <w:rtl/>
        </w:rPr>
        <w:t xml:space="preserve"> </w:t>
      </w:r>
      <w:r w:rsidRPr="00235130">
        <w:t>Pecher</w:t>
      </w:r>
    </w:p>
  </w:footnote>
  <w:footnote w:id="2031">
    <w:p w14:paraId="23F37283" w14:textId="77777777" w:rsidR="00B47FF5" w:rsidRDefault="00B47FF5" w:rsidP="00537CC8">
      <w:pPr>
        <w:pStyle w:val="FootnoteText"/>
      </w:pPr>
      <w:r>
        <w:rPr>
          <w:rStyle w:val="FootnoteReference"/>
        </w:rPr>
        <w:footnoteRef/>
      </w:r>
      <w:r>
        <w:rPr>
          <w:rtl/>
        </w:rPr>
        <w:t xml:space="preserve"> </w:t>
      </w:r>
      <w:r w:rsidRPr="00235130">
        <w:t>Zwaan</w:t>
      </w:r>
    </w:p>
  </w:footnote>
  <w:footnote w:id="2032">
    <w:p w14:paraId="4D7CCD74" w14:textId="77777777" w:rsidR="00B47FF5" w:rsidRDefault="00B47FF5" w:rsidP="00537CC8">
      <w:pPr>
        <w:pStyle w:val="FootnoteText"/>
      </w:pPr>
      <w:r>
        <w:rPr>
          <w:rStyle w:val="FootnoteReference"/>
        </w:rPr>
        <w:footnoteRef/>
      </w:r>
      <w:r>
        <w:rPr>
          <w:rtl/>
        </w:rPr>
        <w:t xml:space="preserve"> </w:t>
      </w:r>
      <w:r w:rsidRPr="005632D0">
        <w:t>Grounding Cognition</w:t>
      </w:r>
    </w:p>
  </w:footnote>
  <w:footnote w:id="2033">
    <w:p w14:paraId="47E2A804" w14:textId="77777777" w:rsidR="00B47FF5" w:rsidRDefault="00B47FF5" w:rsidP="00537CC8">
      <w:pPr>
        <w:pStyle w:val="FootnoteText"/>
      </w:pPr>
      <w:r>
        <w:rPr>
          <w:rStyle w:val="FootnoteReference"/>
        </w:rPr>
        <w:footnoteRef/>
      </w:r>
      <w:r>
        <w:rPr>
          <w:rtl/>
        </w:rPr>
        <w:t xml:space="preserve"> </w:t>
      </w:r>
      <w:r w:rsidRPr="00235130">
        <w:t>Gyorgy Buzsaki</w:t>
      </w:r>
    </w:p>
  </w:footnote>
  <w:footnote w:id="2034">
    <w:p w14:paraId="5D54893A" w14:textId="77777777" w:rsidR="00B47FF5" w:rsidRDefault="00B47FF5" w:rsidP="00537CC8">
      <w:pPr>
        <w:pStyle w:val="FootnoteText"/>
      </w:pPr>
      <w:r>
        <w:rPr>
          <w:rStyle w:val="FootnoteReference"/>
        </w:rPr>
        <w:footnoteRef/>
      </w:r>
      <w:r>
        <w:rPr>
          <w:rtl/>
        </w:rPr>
        <w:t xml:space="preserve"> </w:t>
      </w:r>
      <w:r w:rsidRPr="005632D0">
        <w:t>The Brain from Inside Out</w:t>
      </w:r>
    </w:p>
  </w:footnote>
  <w:footnote w:id="2035">
    <w:p w14:paraId="0F2165DE" w14:textId="77777777" w:rsidR="00B47FF5" w:rsidRDefault="00B47FF5" w:rsidP="00537CC8">
      <w:pPr>
        <w:pStyle w:val="FootnoteText"/>
      </w:pPr>
      <w:r>
        <w:rPr>
          <w:rStyle w:val="FootnoteReference"/>
        </w:rPr>
        <w:footnoteRef/>
      </w:r>
      <w:r>
        <w:rPr>
          <w:rtl/>
        </w:rPr>
        <w:t xml:space="preserve"> </w:t>
      </w:r>
      <w:r w:rsidRPr="00235130">
        <w:t>David Kolb</w:t>
      </w:r>
    </w:p>
  </w:footnote>
  <w:footnote w:id="2036">
    <w:p w14:paraId="0F4DA96D" w14:textId="77777777" w:rsidR="00B47FF5" w:rsidRDefault="00B47FF5" w:rsidP="00537CC8">
      <w:pPr>
        <w:pStyle w:val="FootnoteText"/>
      </w:pPr>
      <w:r>
        <w:rPr>
          <w:rStyle w:val="FootnoteReference"/>
        </w:rPr>
        <w:footnoteRef/>
      </w:r>
      <w:r>
        <w:rPr>
          <w:rtl/>
        </w:rPr>
        <w:t xml:space="preserve"> </w:t>
      </w:r>
      <w:r w:rsidRPr="005D2644">
        <w:t>Experiential Learning</w:t>
      </w:r>
    </w:p>
  </w:footnote>
  <w:footnote w:id="2037">
    <w:p w14:paraId="316981C8" w14:textId="77777777" w:rsidR="00B47FF5" w:rsidRDefault="00B47FF5" w:rsidP="00537CC8">
      <w:pPr>
        <w:pStyle w:val="FootnoteText"/>
      </w:pPr>
      <w:r>
        <w:rPr>
          <w:rStyle w:val="FootnoteReference"/>
        </w:rPr>
        <w:footnoteRef/>
      </w:r>
      <w:r>
        <w:rPr>
          <w:rtl/>
        </w:rPr>
        <w:t xml:space="preserve"> </w:t>
      </w:r>
      <w:r w:rsidRPr="00235130">
        <w:t>Erik Eriksson</w:t>
      </w:r>
    </w:p>
  </w:footnote>
  <w:footnote w:id="2038">
    <w:p w14:paraId="37A49E90" w14:textId="77777777" w:rsidR="00B47FF5" w:rsidRDefault="00B47FF5" w:rsidP="00537CC8">
      <w:pPr>
        <w:pStyle w:val="FootnoteText"/>
      </w:pPr>
      <w:r>
        <w:rPr>
          <w:rStyle w:val="FootnoteReference"/>
        </w:rPr>
        <w:footnoteRef/>
      </w:r>
      <w:r>
        <w:rPr>
          <w:rtl/>
        </w:rPr>
        <w:t xml:space="preserve"> </w:t>
      </w:r>
      <w:r>
        <w:t>Peak Performance</w:t>
      </w:r>
    </w:p>
  </w:footnote>
  <w:footnote w:id="2039">
    <w:p w14:paraId="4163CA09" w14:textId="77777777" w:rsidR="00B47FF5" w:rsidRDefault="00B47FF5" w:rsidP="00537CC8">
      <w:pPr>
        <w:pStyle w:val="FootnoteText"/>
      </w:pPr>
      <w:r>
        <w:rPr>
          <w:rStyle w:val="FootnoteReference"/>
        </w:rPr>
        <w:footnoteRef/>
      </w:r>
      <w:r>
        <w:rPr>
          <w:rtl/>
        </w:rPr>
        <w:t xml:space="preserve"> </w:t>
      </w:r>
      <w:r w:rsidRPr="00235130">
        <w:t>James Clear</w:t>
      </w:r>
    </w:p>
  </w:footnote>
  <w:footnote w:id="2040">
    <w:p w14:paraId="2C4A9F4D" w14:textId="77777777" w:rsidR="00B47FF5" w:rsidRDefault="00B47FF5" w:rsidP="00537CC8">
      <w:pPr>
        <w:pStyle w:val="FootnoteText"/>
      </w:pPr>
      <w:r>
        <w:rPr>
          <w:rStyle w:val="FootnoteReference"/>
        </w:rPr>
        <w:footnoteRef/>
      </w:r>
      <w:r>
        <w:rPr>
          <w:rtl/>
        </w:rPr>
        <w:t xml:space="preserve"> </w:t>
      </w:r>
      <w:r w:rsidRPr="00235130">
        <w:t>Walter Shewhart</w:t>
      </w:r>
    </w:p>
  </w:footnote>
  <w:footnote w:id="2041">
    <w:p w14:paraId="45CE1341" w14:textId="77777777" w:rsidR="00B47FF5" w:rsidRDefault="00B47FF5" w:rsidP="00537CC8">
      <w:pPr>
        <w:pStyle w:val="FootnoteText"/>
      </w:pPr>
      <w:r>
        <w:rPr>
          <w:rStyle w:val="FootnoteReference"/>
        </w:rPr>
        <w:footnoteRef/>
      </w:r>
      <w:r>
        <w:rPr>
          <w:rtl/>
        </w:rPr>
        <w:t xml:space="preserve"> </w:t>
      </w:r>
      <w:r w:rsidRPr="00235130">
        <w:t>Edwards Deming</w:t>
      </w:r>
    </w:p>
  </w:footnote>
  <w:footnote w:id="2042">
    <w:p w14:paraId="0DC58CFE" w14:textId="77777777" w:rsidR="00B47FF5" w:rsidRDefault="00B47FF5" w:rsidP="00537CC8">
      <w:pPr>
        <w:pStyle w:val="FootnoteText"/>
      </w:pPr>
      <w:r>
        <w:rPr>
          <w:rStyle w:val="FootnoteReference"/>
        </w:rPr>
        <w:footnoteRef/>
      </w:r>
      <w:r>
        <w:rPr>
          <w:rtl/>
        </w:rPr>
        <w:t xml:space="preserve"> </w:t>
      </w:r>
      <w:r w:rsidRPr="00235130">
        <w:t>Herbert Simon</w:t>
      </w:r>
    </w:p>
  </w:footnote>
  <w:footnote w:id="2043">
    <w:p w14:paraId="6EBEA0B9" w14:textId="77777777" w:rsidR="00B47FF5" w:rsidRDefault="00B47FF5" w:rsidP="00537CC8">
      <w:pPr>
        <w:pStyle w:val="FootnoteText"/>
      </w:pPr>
      <w:r>
        <w:rPr>
          <w:rStyle w:val="FootnoteReference"/>
        </w:rPr>
        <w:footnoteRef/>
      </w:r>
      <w:r>
        <w:rPr>
          <w:rtl/>
        </w:rPr>
        <w:t xml:space="preserve"> </w:t>
      </w:r>
      <w:r w:rsidRPr="00235130">
        <w:t>Kent Beck</w:t>
      </w:r>
    </w:p>
  </w:footnote>
  <w:footnote w:id="2044">
    <w:p w14:paraId="2228B8BE" w14:textId="77777777" w:rsidR="00B47FF5" w:rsidRDefault="00B47FF5" w:rsidP="00537CC8">
      <w:pPr>
        <w:pStyle w:val="FootnoteText"/>
      </w:pPr>
      <w:r>
        <w:rPr>
          <w:rStyle w:val="FootnoteReference"/>
        </w:rPr>
        <w:footnoteRef/>
      </w:r>
      <w:r>
        <w:rPr>
          <w:rtl/>
        </w:rPr>
        <w:t xml:space="preserve"> </w:t>
      </w:r>
      <w:r w:rsidRPr="00235130">
        <w:t>Eric Ries</w:t>
      </w:r>
    </w:p>
  </w:footnote>
  <w:footnote w:id="2045">
    <w:p w14:paraId="45EBD8EF" w14:textId="2F544C13" w:rsidR="00B47FF5" w:rsidRDefault="00B47FF5" w:rsidP="0076586B">
      <w:pPr>
        <w:pStyle w:val="FootnoteText"/>
        <w:rPr>
          <w:rtl/>
        </w:rPr>
      </w:pPr>
      <w:r>
        <w:rPr>
          <w:rStyle w:val="FootnoteReference"/>
        </w:rPr>
        <w:footnoteRef/>
      </w:r>
      <w:r>
        <w:t xml:space="preserve"> </w:t>
      </w:r>
      <w:r w:rsidRPr="00537CC8">
        <w:t>Translational</w:t>
      </w:r>
    </w:p>
  </w:footnote>
  <w:footnote w:id="2046">
    <w:p w14:paraId="063CACF3" w14:textId="01D69EA4" w:rsidR="00B47FF5" w:rsidRDefault="00B47FF5" w:rsidP="0076586B">
      <w:pPr>
        <w:pStyle w:val="FootnoteText"/>
        <w:rPr>
          <w:rtl/>
        </w:rPr>
      </w:pPr>
      <w:r>
        <w:rPr>
          <w:rStyle w:val="FootnoteReference"/>
        </w:rPr>
        <w:footnoteRef/>
      </w:r>
      <w:r>
        <w:t xml:space="preserve"> </w:t>
      </w:r>
      <w:r w:rsidRPr="00537CC8">
        <w:t>Radiative</w:t>
      </w:r>
    </w:p>
  </w:footnote>
  <w:footnote w:id="2047">
    <w:p w14:paraId="0F441B48" w14:textId="77777777" w:rsidR="00B47FF5" w:rsidRDefault="00B47FF5" w:rsidP="00537CC8">
      <w:pPr>
        <w:pStyle w:val="FootnoteText"/>
      </w:pPr>
      <w:r>
        <w:rPr>
          <w:rStyle w:val="FootnoteReference"/>
        </w:rPr>
        <w:footnoteRef/>
      </w:r>
      <w:r>
        <w:rPr>
          <w:rtl/>
        </w:rPr>
        <w:t xml:space="preserve"> </w:t>
      </w:r>
      <w:r w:rsidRPr="00C0040C">
        <w:t>Experiential</w:t>
      </w:r>
      <w:r>
        <w:t xml:space="preserve"> </w:t>
      </w:r>
      <w:r w:rsidRPr="00C0040C">
        <w:t>Learning</w:t>
      </w:r>
    </w:p>
  </w:footnote>
  <w:footnote w:id="2048">
    <w:p w14:paraId="42D74CDB" w14:textId="77777777" w:rsidR="00B47FF5" w:rsidRDefault="00B47FF5" w:rsidP="00537CC8">
      <w:pPr>
        <w:pStyle w:val="FootnoteText"/>
      </w:pPr>
      <w:r>
        <w:rPr>
          <w:rStyle w:val="FootnoteReference"/>
        </w:rPr>
        <w:footnoteRef/>
      </w:r>
      <w:r>
        <w:rPr>
          <w:rtl/>
        </w:rPr>
        <w:t xml:space="preserve"> </w:t>
      </w:r>
      <w:r w:rsidRPr="00D9587F">
        <w:t>Decisive</w:t>
      </w:r>
    </w:p>
  </w:footnote>
  <w:footnote w:id="2049">
    <w:p w14:paraId="58AC5422" w14:textId="77777777" w:rsidR="00B47FF5" w:rsidRDefault="00B47FF5" w:rsidP="00537CC8">
      <w:pPr>
        <w:pStyle w:val="FootnoteText"/>
      </w:pPr>
      <w:r>
        <w:rPr>
          <w:rStyle w:val="FootnoteReference"/>
        </w:rPr>
        <w:footnoteRef/>
      </w:r>
      <w:r>
        <w:rPr>
          <w:rtl/>
        </w:rPr>
        <w:t xml:space="preserve"> </w:t>
      </w:r>
      <w:r>
        <w:t>Non-Normative</w:t>
      </w:r>
    </w:p>
  </w:footnote>
  <w:footnote w:id="2050">
    <w:p w14:paraId="66248FBD" w14:textId="48AD2858" w:rsidR="00B47FF5" w:rsidRDefault="00B47FF5" w:rsidP="00537CC8">
      <w:pPr>
        <w:pStyle w:val="FootnoteText"/>
      </w:pPr>
      <w:r>
        <w:rPr>
          <w:rStyle w:val="FootnoteReference"/>
        </w:rPr>
        <w:footnoteRef/>
      </w:r>
      <w:r>
        <w:rPr>
          <w:rtl/>
        </w:rPr>
        <w:t xml:space="preserve"> </w:t>
      </w:r>
      <w:r>
        <w:t>Indicators</w:t>
      </w:r>
    </w:p>
  </w:footnote>
  <w:footnote w:id="2051">
    <w:p w14:paraId="23AB3B60" w14:textId="77777777" w:rsidR="00B47FF5" w:rsidRDefault="00B47FF5" w:rsidP="00537CC8">
      <w:pPr>
        <w:pStyle w:val="FootnoteText"/>
      </w:pPr>
      <w:r>
        <w:rPr>
          <w:rStyle w:val="FootnoteReference"/>
        </w:rPr>
        <w:footnoteRef/>
      </w:r>
      <w:r>
        <w:rPr>
          <w:rtl/>
        </w:rPr>
        <w:t xml:space="preserve"> </w:t>
      </w:r>
      <w:r w:rsidRPr="00F31534">
        <w:t>People Analytics</w:t>
      </w:r>
    </w:p>
  </w:footnote>
  <w:footnote w:id="2052">
    <w:p w14:paraId="7B11930F" w14:textId="77777777" w:rsidR="00B47FF5" w:rsidRDefault="00B47FF5" w:rsidP="00537CC8">
      <w:pPr>
        <w:pStyle w:val="FootnoteText"/>
      </w:pPr>
      <w:r>
        <w:rPr>
          <w:rStyle w:val="FootnoteReference"/>
        </w:rPr>
        <w:footnoteRef/>
      </w:r>
      <w:r>
        <w:rPr>
          <w:rtl/>
        </w:rPr>
        <w:t xml:space="preserve"> </w:t>
      </w:r>
      <w:r w:rsidRPr="00C63B4B">
        <w:t>Ben Waber</w:t>
      </w:r>
    </w:p>
  </w:footnote>
  <w:footnote w:id="2053">
    <w:p w14:paraId="6C43A7B3" w14:textId="77777777" w:rsidR="00B47FF5" w:rsidRDefault="00B47FF5" w:rsidP="00537CC8">
      <w:pPr>
        <w:pStyle w:val="FootnoteText"/>
      </w:pPr>
      <w:r>
        <w:rPr>
          <w:rStyle w:val="FootnoteReference"/>
        </w:rPr>
        <w:footnoteRef/>
      </w:r>
      <w:r>
        <w:rPr>
          <w:rtl/>
        </w:rPr>
        <w:t xml:space="preserve"> </w:t>
      </w:r>
      <w:r w:rsidRPr="00221125">
        <w:t>The Great Game of Business</w:t>
      </w:r>
    </w:p>
  </w:footnote>
  <w:footnote w:id="2054">
    <w:p w14:paraId="7A85649A" w14:textId="77777777" w:rsidR="00B47FF5" w:rsidRDefault="00B47FF5" w:rsidP="00537CC8">
      <w:pPr>
        <w:pStyle w:val="FootnoteText"/>
      </w:pPr>
      <w:r>
        <w:rPr>
          <w:rStyle w:val="FootnoteReference"/>
        </w:rPr>
        <w:footnoteRef/>
      </w:r>
      <w:r>
        <w:rPr>
          <w:rtl/>
        </w:rPr>
        <w:t xml:space="preserve"> </w:t>
      </w:r>
      <w:r w:rsidRPr="00C63B4B">
        <w:t>Jack Stack</w:t>
      </w:r>
    </w:p>
  </w:footnote>
  <w:footnote w:id="2055">
    <w:p w14:paraId="74BC3358" w14:textId="0E627029" w:rsidR="00B47FF5" w:rsidRDefault="00B47FF5">
      <w:pPr>
        <w:pStyle w:val="FootnoteText"/>
        <w:rPr>
          <w:rtl/>
        </w:rPr>
      </w:pPr>
      <w:r>
        <w:rPr>
          <w:rStyle w:val="FootnoteReference"/>
        </w:rPr>
        <w:footnoteRef/>
      </w:r>
      <w:r>
        <w:t xml:space="preserve"> </w:t>
      </w:r>
      <w:r w:rsidRPr="00537CC8">
        <w:t>Open-book management</w:t>
      </w:r>
    </w:p>
  </w:footnote>
  <w:footnote w:id="2056">
    <w:p w14:paraId="6A715B68" w14:textId="77777777" w:rsidR="00B47FF5" w:rsidRDefault="00B47FF5" w:rsidP="00537CC8">
      <w:pPr>
        <w:pStyle w:val="FootnoteText"/>
      </w:pPr>
      <w:r>
        <w:rPr>
          <w:rStyle w:val="FootnoteReference"/>
        </w:rPr>
        <w:footnoteRef/>
      </w:r>
      <w:r>
        <w:rPr>
          <w:rtl/>
        </w:rPr>
        <w:t xml:space="preserve"> </w:t>
      </w:r>
      <w:r w:rsidRPr="00221125">
        <w:t>One Report</w:t>
      </w:r>
    </w:p>
  </w:footnote>
  <w:footnote w:id="2057">
    <w:p w14:paraId="19CCA18A" w14:textId="77777777" w:rsidR="00B47FF5" w:rsidRDefault="00B47FF5" w:rsidP="00537CC8">
      <w:pPr>
        <w:pStyle w:val="FootnoteText"/>
      </w:pPr>
      <w:r>
        <w:rPr>
          <w:rStyle w:val="FootnoteReference"/>
        </w:rPr>
        <w:footnoteRef/>
      </w:r>
      <w:r>
        <w:rPr>
          <w:rtl/>
        </w:rPr>
        <w:t xml:space="preserve"> </w:t>
      </w:r>
      <w:r w:rsidRPr="00C63B4B">
        <w:t>Bob Eccle</w:t>
      </w:r>
    </w:p>
  </w:footnote>
  <w:footnote w:id="2058">
    <w:p w14:paraId="5A5DEF2B" w14:textId="77777777" w:rsidR="00B47FF5" w:rsidRDefault="00B47FF5" w:rsidP="00537CC8">
      <w:pPr>
        <w:pStyle w:val="FootnoteText"/>
      </w:pPr>
      <w:r>
        <w:rPr>
          <w:rStyle w:val="FootnoteReference"/>
        </w:rPr>
        <w:footnoteRef/>
      </w:r>
      <w:r>
        <w:rPr>
          <w:rtl/>
        </w:rPr>
        <w:t xml:space="preserve"> </w:t>
      </w:r>
      <w:r w:rsidRPr="00221125">
        <w:t>How to Measure Anything</w:t>
      </w:r>
    </w:p>
  </w:footnote>
  <w:footnote w:id="2059">
    <w:p w14:paraId="60AD1BC3" w14:textId="77777777" w:rsidR="00B47FF5" w:rsidRDefault="00B47FF5" w:rsidP="00537CC8">
      <w:pPr>
        <w:pStyle w:val="FootnoteText"/>
      </w:pPr>
      <w:r>
        <w:rPr>
          <w:rStyle w:val="FootnoteReference"/>
        </w:rPr>
        <w:footnoteRef/>
      </w:r>
      <w:r>
        <w:rPr>
          <w:rtl/>
        </w:rPr>
        <w:t xml:space="preserve"> </w:t>
      </w:r>
      <w:r w:rsidRPr="00C63B4B">
        <w:t>Douglas Hubbard</w:t>
      </w:r>
    </w:p>
  </w:footnote>
  <w:footnote w:id="2060">
    <w:p w14:paraId="6C0EEB31" w14:textId="77777777" w:rsidR="00B47FF5" w:rsidRDefault="00B47FF5" w:rsidP="00537CC8">
      <w:pPr>
        <w:pStyle w:val="FootnoteText"/>
      </w:pPr>
      <w:r>
        <w:rPr>
          <w:rStyle w:val="FootnoteReference"/>
        </w:rPr>
        <w:footnoteRef/>
      </w:r>
      <w:r>
        <w:rPr>
          <w:rtl/>
        </w:rPr>
        <w:t xml:space="preserve"> </w:t>
      </w:r>
      <w:r>
        <w:t>50</w:t>
      </w:r>
      <w:r w:rsidRPr="00221125">
        <w:rPr>
          <w:rtl/>
        </w:rPr>
        <w:t xml:space="preserve"> </w:t>
      </w:r>
      <w:r w:rsidRPr="00221125">
        <w:t>Facts that Should Change the USA</w:t>
      </w:r>
    </w:p>
  </w:footnote>
  <w:footnote w:id="2061">
    <w:p w14:paraId="1361B176" w14:textId="77777777" w:rsidR="00B47FF5" w:rsidRDefault="00B47FF5" w:rsidP="00537CC8">
      <w:pPr>
        <w:pStyle w:val="FootnoteText"/>
      </w:pPr>
      <w:r>
        <w:rPr>
          <w:rStyle w:val="FootnoteReference"/>
        </w:rPr>
        <w:footnoteRef/>
      </w:r>
      <w:r>
        <w:rPr>
          <w:rtl/>
        </w:rPr>
        <w:t xml:space="preserve"> </w:t>
      </w:r>
      <w:r w:rsidRPr="00C63B4B">
        <w:t>Stephen Fender</w:t>
      </w:r>
    </w:p>
  </w:footnote>
  <w:footnote w:id="2062">
    <w:p w14:paraId="25E1BCAF" w14:textId="77777777" w:rsidR="00B47FF5" w:rsidRDefault="00B47FF5" w:rsidP="00537CC8">
      <w:pPr>
        <w:pStyle w:val="FootnoteText"/>
      </w:pPr>
      <w:r>
        <w:rPr>
          <w:rStyle w:val="FootnoteReference"/>
        </w:rPr>
        <w:footnoteRef/>
      </w:r>
      <w:r>
        <w:rPr>
          <w:rtl/>
        </w:rPr>
        <w:t xml:space="preserve"> </w:t>
      </w:r>
      <w:r w:rsidRPr="00C63B4B">
        <w:t>Lancet</w:t>
      </w:r>
    </w:p>
  </w:footnote>
  <w:footnote w:id="2063">
    <w:p w14:paraId="60103D9E" w14:textId="461A0961" w:rsidR="00B47FF5" w:rsidRDefault="00B47FF5" w:rsidP="00537CC8">
      <w:pPr>
        <w:pStyle w:val="FootnoteText"/>
      </w:pPr>
      <w:r>
        <w:rPr>
          <w:rStyle w:val="FootnoteReference"/>
        </w:rPr>
        <w:footnoteRef/>
      </w:r>
      <w:r>
        <w:rPr>
          <w:rtl/>
        </w:rPr>
        <w:t xml:space="preserve"> </w:t>
      </w:r>
      <w:r>
        <w:t>Hindsight</w:t>
      </w:r>
    </w:p>
  </w:footnote>
  <w:footnote w:id="2064">
    <w:p w14:paraId="6A18D181" w14:textId="00D60168" w:rsidR="00B47FF5" w:rsidRDefault="00B47FF5" w:rsidP="00537CC8">
      <w:pPr>
        <w:pStyle w:val="FootnoteText"/>
      </w:pPr>
      <w:r>
        <w:rPr>
          <w:rStyle w:val="FootnoteReference"/>
        </w:rPr>
        <w:footnoteRef/>
      </w:r>
      <w:r>
        <w:rPr>
          <w:rtl/>
        </w:rPr>
        <w:t xml:space="preserve"> </w:t>
      </w:r>
      <w:r w:rsidRPr="003260A4">
        <w:t>Intelligence Studies</w:t>
      </w:r>
    </w:p>
  </w:footnote>
  <w:footnote w:id="2065">
    <w:p w14:paraId="552A2C69" w14:textId="09BB28E6" w:rsidR="00B47FF5" w:rsidRDefault="00B47FF5" w:rsidP="00537CC8">
      <w:pPr>
        <w:pStyle w:val="FootnoteText"/>
      </w:pPr>
      <w:r>
        <w:rPr>
          <w:rStyle w:val="FootnoteReference"/>
        </w:rPr>
        <w:footnoteRef/>
      </w:r>
      <w:r>
        <w:rPr>
          <w:rtl/>
        </w:rPr>
        <w:t xml:space="preserve"> </w:t>
      </w:r>
      <w:r w:rsidRPr="003260A4">
        <w:t>Business Intelligence</w:t>
      </w:r>
    </w:p>
  </w:footnote>
  <w:footnote w:id="2066">
    <w:p w14:paraId="4DF69D39" w14:textId="25590CA5" w:rsidR="00B47FF5" w:rsidRDefault="00B47FF5" w:rsidP="00537CC8">
      <w:pPr>
        <w:pStyle w:val="FootnoteText"/>
      </w:pPr>
      <w:r>
        <w:rPr>
          <w:rStyle w:val="FootnoteReference"/>
        </w:rPr>
        <w:footnoteRef/>
      </w:r>
      <w:r>
        <w:rPr>
          <w:rtl/>
        </w:rPr>
        <w:t xml:space="preserve"> </w:t>
      </w:r>
      <w:r w:rsidRPr="00C63B4B">
        <w:t>Mckinsey</w:t>
      </w:r>
    </w:p>
  </w:footnote>
  <w:footnote w:id="2067">
    <w:p w14:paraId="08FA6ED3" w14:textId="0B229A1D" w:rsidR="00B47FF5" w:rsidRDefault="00B47FF5" w:rsidP="00537CC8">
      <w:pPr>
        <w:pStyle w:val="FootnoteText"/>
      </w:pPr>
      <w:r>
        <w:rPr>
          <w:rStyle w:val="FootnoteReference"/>
        </w:rPr>
        <w:footnoteRef/>
      </w:r>
      <w:r>
        <w:rPr>
          <w:rtl/>
        </w:rPr>
        <w:t xml:space="preserve"> </w:t>
      </w:r>
      <w:r w:rsidRPr="00C63B4B">
        <w:t>Gartner</w:t>
      </w:r>
    </w:p>
  </w:footnote>
  <w:footnote w:id="2068">
    <w:p w14:paraId="0A7A4356" w14:textId="2AA0EB35" w:rsidR="00B47FF5" w:rsidRDefault="00B47FF5" w:rsidP="00537CC8">
      <w:pPr>
        <w:pStyle w:val="FootnoteText"/>
      </w:pPr>
      <w:r>
        <w:rPr>
          <w:rStyle w:val="FootnoteReference"/>
        </w:rPr>
        <w:footnoteRef/>
      </w:r>
      <w:r>
        <w:rPr>
          <w:rtl/>
        </w:rPr>
        <w:t xml:space="preserve"> </w:t>
      </w:r>
      <w:r>
        <w:t>Table stakes</w:t>
      </w:r>
    </w:p>
  </w:footnote>
  <w:footnote w:id="2069">
    <w:p w14:paraId="0F75F3F1" w14:textId="214FFB23" w:rsidR="00B47FF5" w:rsidRDefault="00B47FF5" w:rsidP="00537CC8">
      <w:pPr>
        <w:pStyle w:val="FootnoteText"/>
      </w:pPr>
      <w:r>
        <w:rPr>
          <w:rStyle w:val="FootnoteReference"/>
        </w:rPr>
        <w:footnoteRef/>
      </w:r>
      <w:r>
        <w:rPr>
          <w:rtl/>
        </w:rPr>
        <w:t xml:space="preserve"> </w:t>
      </w:r>
      <w:r w:rsidRPr="00C62E55">
        <w:t>Gauging of group opinion</w:t>
      </w:r>
    </w:p>
  </w:footnote>
  <w:footnote w:id="2070">
    <w:p w14:paraId="3B1C12C8" w14:textId="77777777" w:rsidR="00B47FF5" w:rsidRDefault="00B47FF5" w:rsidP="00537CC8">
      <w:pPr>
        <w:pStyle w:val="FootnoteText"/>
      </w:pPr>
      <w:r>
        <w:rPr>
          <w:rStyle w:val="FootnoteReference"/>
        </w:rPr>
        <w:footnoteRef/>
      </w:r>
      <w:r>
        <w:rPr>
          <w:rtl/>
        </w:rPr>
        <w:t xml:space="preserve"> </w:t>
      </w:r>
      <w:r w:rsidRPr="00C63B4B">
        <w:t>Pew</w:t>
      </w:r>
    </w:p>
  </w:footnote>
  <w:footnote w:id="2071">
    <w:p w14:paraId="3F095F45" w14:textId="77777777" w:rsidR="00B47FF5" w:rsidRDefault="00B47FF5" w:rsidP="00537CC8">
      <w:pPr>
        <w:pStyle w:val="FootnoteText"/>
      </w:pPr>
      <w:r>
        <w:rPr>
          <w:rStyle w:val="FootnoteReference"/>
        </w:rPr>
        <w:footnoteRef/>
      </w:r>
      <w:r>
        <w:rPr>
          <w:rtl/>
        </w:rPr>
        <w:t xml:space="preserve"> </w:t>
      </w:r>
      <w:r w:rsidRPr="00C63B4B">
        <w:t>Zogby</w:t>
      </w:r>
    </w:p>
  </w:footnote>
  <w:footnote w:id="2072">
    <w:p w14:paraId="6598A106" w14:textId="77777777" w:rsidR="00B47FF5" w:rsidRDefault="00B47FF5" w:rsidP="00537CC8">
      <w:pPr>
        <w:pStyle w:val="FootnoteText"/>
      </w:pPr>
      <w:r>
        <w:rPr>
          <w:rStyle w:val="FootnoteReference"/>
        </w:rPr>
        <w:footnoteRef/>
      </w:r>
      <w:r>
        <w:rPr>
          <w:rtl/>
        </w:rPr>
        <w:t xml:space="preserve"> </w:t>
      </w:r>
      <w:r w:rsidRPr="00C63B4B">
        <w:t>James Surowiecki</w:t>
      </w:r>
    </w:p>
  </w:footnote>
  <w:footnote w:id="2073">
    <w:p w14:paraId="2B663D8B" w14:textId="77777777" w:rsidR="00B47FF5" w:rsidRDefault="00B47FF5" w:rsidP="00537CC8">
      <w:pPr>
        <w:pStyle w:val="FootnoteText"/>
      </w:pPr>
      <w:r>
        <w:rPr>
          <w:rStyle w:val="FootnoteReference"/>
        </w:rPr>
        <w:footnoteRef/>
      </w:r>
      <w:r>
        <w:rPr>
          <w:rtl/>
        </w:rPr>
        <w:t xml:space="preserve"> </w:t>
      </w:r>
      <w:r w:rsidRPr="00EB0862">
        <w:t>The Wisdom of Crowds</w:t>
      </w:r>
    </w:p>
  </w:footnote>
  <w:footnote w:id="2074">
    <w:p w14:paraId="0C53D996" w14:textId="77777777" w:rsidR="00B47FF5" w:rsidRDefault="00B47FF5" w:rsidP="00537CC8">
      <w:pPr>
        <w:pStyle w:val="FootnoteText"/>
      </w:pPr>
      <w:r>
        <w:rPr>
          <w:rStyle w:val="FootnoteReference"/>
        </w:rPr>
        <w:footnoteRef/>
      </w:r>
      <w:r>
        <w:rPr>
          <w:rtl/>
        </w:rPr>
        <w:t xml:space="preserve"> </w:t>
      </w:r>
      <w:r>
        <w:t>Jelly Bean Estimation Challenge</w:t>
      </w:r>
    </w:p>
  </w:footnote>
  <w:footnote w:id="2075">
    <w:p w14:paraId="07CF0C0A" w14:textId="77777777" w:rsidR="00B47FF5" w:rsidRDefault="00B47FF5" w:rsidP="00537CC8">
      <w:pPr>
        <w:pStyle w:val="FootnoteText"/>
      </w:pPr>
      <w:r>
        <w:rPr>
          <w:rStyle w:val="FootnoteReference"/>
        </w:rPr>
        <w:footnoteRef/>
      </w:r>
      <w:r>
        <w:rPr>
          <w:rtl/>
        </w:rPr>
        <w:t xml:space="preserve"> </w:t>
      </w:r>
      <w:r w:rsidRPr="00C63B4B">
        <w:t>Don McDonald</w:t>
      </w:r>
    </w:p>
  </w:footnote>
  <w:footnote w:id="2076">
    <w:p w14:paraId="2D0D861E" w14:textId="77777777" w:rsidR="00B47FF5" w:rsidRDefault="00B47FF5" w:rsidP="00537CC8">
      <w:pPr>
        <w:pStyle w:val="FootnoteText"/>
      </w:pPr>
      <w:r>
        <w:rPr>
          <w:rStyle w:val="FootnoteReference"/>
        </w:rPr>
        <w:footnoteRef/>
      </w:r>
      <w:r>
        <w:rPr>
          <w:rtl/>
        </w:rPr>
        <w:t xml:space="preserve"> </w:t>
      </w:r>
      <w:r w:rsidRPr="00C63B4B">
        <w:t>Henry Jenkins</w:t>
      </w:r>
    </w:p>
  </w:footnote>
  <w:footnote w:id="2077">
    <w:p w14:paraId="7ADF065C" w14:textId="77777777" w:rsidR="00B47FF5" w:rsidRDefault="00B47FF5" w:rsidP="00537CC8">
      <w:pPr>
        <w:pStyle w:val="FootnoteText"/>
      </w:pPr>
      <w:r>
        <w:rPr>
          <w:rStyle w:val="FootnoteReference"/>
        </w:rPr>
        <w:footnoteRef/>
      </w:r>
      <w:r>
        <w:rPr>
          <w:rtl/>
        </w:rPr>
        <w:t xml:space="preserve"> </w:t>
      </w:r>
      <w:r>
        <w:t>Wisdom of Crowds</w:t>
      </w:r>
    </w:p>
  </w:footnote>
  <w:footnote w:id="2078">
    <w:p w14:paraId="5903F2FA" w14:textId="77777777" w:rsidR="00B47FF5" w:rsidRDefault="00B47FF5" w:rsidP="00537CC8">
      <w:pPr>
        <w:pStyle w:val="FootnoteText"/>
      </w:pPr>
      <w:r>
        <w:rPr>
          <w:rStyle w:val="FootnoteReference"/>
        </w:rPr>
        <w:footnoteRef/>
      </w:r>
      <w:r>
        <w:rPr>
          <w:rtl/>
        </w:rPr>
        <w:t xml:space="preserve"> </w:t>
      </w:r>
      <w:r>
        <w:t>Foolishness of Crowds</w:t>
      </w:r>
    </w:p>
  </w:footnote>
  <w:footnote w:id="2079">
    <w:p w14:paraId="078D4EE5" w14:textId="14F916F5" w:rsidR="00B47FF5" w:rsidRDefault="00B47FF5" w:rsidP="00537CC8">
      <w:pPr>
        <w:pStyle w:val="FootnoteText"/>
      </w:pPr>
      <w:r>
        <w:rPr>
          <w:rStyle w:val="FootnoteReference"/>
        </w:rPr>
        <w:footnoteRef/>
      </w:r>
      <w:r>
        <w:rPr>
          <w:rtl/>
        </w:rPr>
        <w:t xml:space="preserve"> </w:t>
      </w:r>
      <w:r w:rsidRPr="00D753F9">
        <w:t>Collective intelligence</w:t>
      </w:r>
    </w:p>
  </w:footnote>
  <w:footnote w:id="2080">
    <w:p w14:paraId="53185426" w14:textId="77777777" w:rsidR="00B47FF5" w:rsidRDefault="00B47FF5" w:rsidP="00537CC8">
      <w:pPr>
        <w:pStyle w:val="FootnoteText"/>
      </w:pPr>
      <w:r>
        <w:rPr>
          <w:rStyle w:val="FootnoteReference"/>
        </w:rPr>
        <w:footnoteRef/>
      </w:r>
      <w:r>
        <w:rPr>
          <w:rtl/>
        </w:rPr>
        <w:t xml:space="preserve"> </w:t>
      </w:r>
      <w:r w:rsidRPr="00D753F9">
        <w:t>Center for Collective Intelligence</w:t>
      </w:r>
    </w:p>
  </w:footnote>
  <w:footnote w:id="2081">
    <w:p w14:paraId="67610F0B" w14:textId="77777777" w:rsidR="00B47FF5" w:rsidRDefault="00B47FF5" w:rsidP="00537CC8">
      <w:pPr>
        <w:pStyle w:val="FootnoteText"/>
      </w:pPr>
      <w:r>
        <w:rPr>
          <w:rStyle w:val="FootnoteReference"/>
        </w:rPr>
        <w:footnoteRef/>
      </w:r>
      <w:r>
        <w:rPr>
          <w:rtl/>
        </w:rPr>
        <w:t xml:space="preserve"> </w:t>
      </w:r>
      <w:r w:rsidRPr="00A83A53">
        <w:t>Analyzing Intelligence</w:t>
      </w:r>
    </w:p>
  </w:footnote>
  <w:footnote w:id="2082">
    <w:p w14:paraId="118AFFA7" w14:textId="77777777" w:rsidR="00B47FF5" w:rsidRDefault="00B47FF5" w:rsidP="00537CC8">
      <w:pPr>
        <w:pStyle w:val="FootnoteText"/>
      </w:pPr>
      <w:r>
        <w:rPr>
          <w:rStyle w:val="FootnoteReference"/>
        </w:rPr>
        <w:footnoteRef/>
      </w:r>
      <w:r>
        <w:rPr>
          <w:rtl/>
        </w:rPr>
        <w:t xml:space="preserve"> </w:t>
      </w:r>
      <w:r w:rsidRPr="00C63B4B">
        <w:t>George</w:t>
      </w:r>
    </w:p>
  </w:footnote>
  <w:footnote w:id="2083">
    <w:p w14:paraId="1C7E574D" w14:textId="77777777" w:rsidR="00B47FF5" w:rsidRDefault="00B47FF5" w:rsidP="00537CC8">
      <w:pPr>
        <w:pStyle w:val="FootnoteText"/>
      </w:pPr>
      <w:r>
        <w:rPr>
          <w:rStyle w:val="FootnoteReference"/>
        </w:rPr>
        <w:footnoteRef/>
      </w:r>
      <w:r>
        <w:rPr>
          <w:rtl/>
        </w:rPr>
        <w:t xml:space="preserve"> </w:t>
      </w:r>
      <w:r w:rsidRPr="00C63B4B">
        <w:t>Bruce</w:t>
      </w:r>
    </w:p>
  </w:footnote>
  <w:footnote w:id="2084">
    <w:p w14:paraId="35E7F034" w14:textId="77777777" w:rsidR="00B47FF5" w:rsidRDefault="00B47FF5" w:rsidP="00537CC8">
      <w:pPr>
        <w:pStyle w:val="FootnoteText"/>
      </w:pPr>
      <w:r>
        <w:rPr>
          <w:rStyle w:val="FootnoteReference"/>
        </w:rPr>
        <w:footnoteRef/>
      </w:r>
      <w:r>
        <w:rPr>
          <w:rtl/>
        </w:rPr>
        <w:t xml:space="preserve"> </w:t>
      </w:r>
      <w:r w:rsidRPr="00D753F9">
        <w:t>Competitive Intelligence Advantage</w:t>
      </w:r>
    </w:p>
  </w:footnote>
  <w:footnote w:id="2085">
    <w:p w14:paraId="1DF6BC75" w14:textId="77777777" w:rsidR="00B47FF5" w:rsidRDefault="00B47FF5" w:rsidP="00537CC8">
      <w:pPr>
        <w:pStyle w:val="FootnoteText"/>
      </w:pPr>
      <w:r>
        <w:rPr>
          <w:rStyle w:val="FootnoteReference"/>
        </w:rPr>
        <w:footnoteRef/>
      </w:r>
      <w:r>
        <w:rPr>
          <w:rtl/>
        </w:rPr>
        <w:t xml:space="preserve"> </w:t>
      </w:r>
      <w:r w:rsidRPr="00C63B4B">
        <w:t>Seena Sharp</w:t>
      </w:r>
    </w:p>
  </w:footnote>
  <w:footnote w:id="2086">
    <w:p w14:paraId="1DA88582" w14:textId="77777777" w:rsidR="00B47FF5" w:rsidRDefault="00B47FF5" w:rsidP="00537CC8">
      <w:pPr>
        <w:pStyle w:val="FootnoteText"/>
      </w:pPr>
      <w:r>
        <w:rPr>
          <w:rStyle w:val="FootnoteReference"/>
        </w:rPr>
        <w:footnoteRef/>
      </w:r>
      <w:r>
        <w:rPr>
          <w:rtl/>
        </w:rPr>
        <w:t xml:space="preserve"> </w:t>
      </w:r>
      <w:r w:rsidRPr="00C63B4B">
        <w:t>Ikujiro Nonaka</w:t>
      </w:r>
    </w:p>
  </w:footnote>
  <w:footnote w:id="2087">
    <w:p w14:paraId="65169E1F" w14:textId="77777777" w:rsidR="00B47FF5" w:rsidRDefault="00B47FF5" w:rsidP="00537CC8">
      <w:pPr>
        <w:pStyle w:val="FootnoteText"/>
      </w:pPr>
      <w:r>
        <w:rPr>
          <w:rStyle w:val="FootnoteReference"/>
        </w:rPr>
        <w:footnoteRef/>
      </w:r>
      <w:r>
        <w:rPr>
          <w:rtl/>
        </w:rPr>
        <w:t xml:space="preserve"> </w:t>
      </w:r>
      <w:r w:rsidRPr="00C63B4B">
        <w:t>UC Berkeley</w:t>
      </w:r>
    </w:p>
  </w:footnote>
  <w:footnote w:id="2088">
    <w:p w14:paraId="2FBCF98F" w14:textId="77777777" w:rsidR="00B47FF5" w:rsidRDefault="00B47FF5" w:rsidP="00537CC8">
      <w:pPr>
        <w:pStyle w:val="FootnoteText"/>
      </w:pPr>
      <w:r>
        <w:rPr>
          <w:rStyle w:val="FootnoteReference"/>
        </w:rPr>
        <w:footnoteRef/>
      </w:r>
      <w:r>
        <w:rPr>
          <w:rtl/>
        </w:rPr>
        <w:t xml:space="preserve"> </w:t>
      </w:r>
      <w:r w:rsidRPr="00C63B4B">
        <w:t>Eric Hoffer</w:t>
      </w:r>
    </w:p>
  </w:footnote>
  <w:footnote w:id="2089">
    <w:p w14:paraId="7FBEA4CF" w14:textId="192EC1E4" w:rsidR="00B47FF5" w:rsidRDefault="00B47FF5" w:rsidP="00537CC8">
      <w:pPr>
        <w:pStyle w:val="FootnoteText"/>
      </w:pPr>
      <w:r>
        <w:rPr>
          <w:rStyle w:val="FootnoteReference"/>
        </w:rPr>
        <w:footnoteRef/>
      </w:r>
      <w:r>
        <w:rPr>
          <w:rtl/>
        </w:rPr>
        <w:t xml:space="preserve"> </w:t>
      </w:r>
      <w:r>
        <w:t>Micro-certifications</w:t>
      </w:r>
    </w:p>
  </w:footnote>
  <w:footnote w:id="2090">
    <w:p w14:paraId="4FC58C70" w14:textId="77777777" w:rsidR="00B47FF5" w:rsidRDefault="00B47FF5" w:rsidP="00537CC8">
      <w:pPr>
        <w:pStyle w:val="FootnoteText"/>
      </w:pPr>
      <w:r>
        <w:rPr>
          <w:rStyle w:val="FootnoteReference"/>
        </w:rPr>
        <w:footnoteRef/>
      </w:r>
      <w:r>
        <w:rPr>
          <w:rtl/>
        </w:rPr>
        <w:t xml:space="preserve"> </w:t>
      </w:r>
      <w:r w:rsidRPr="00C63B4B">
        <w:t>Lynda</w:t>
      </w:r>
    </w:p>
  </w:footnote>
  <w:footnote w:id="2091">
    <w:p w14:paraId="68A98C9C" w14:textId="77777777" w:rsidR="00B47FF5" w:rsidRDefault="00B47FF5" w:rsidP="00537CC8">
      <w:pPr>
        <w:pStyle w:val="FootnoteText"/>
      </w:pPr>
      <w:r>
        <w:rPr>
          <w:rStyle w:val="FootnoteReference"/>
        </w:rPr>
        <w:footnoteRef/>
      </w:r>
      <w:r>
        <w:rPr>
          <w:rtl/>
        </w:rPr>
        <w:t xml:space="preserve"> </w:t>
      </w:r>
      <w:r w:rsidRPr="00C63B4B">
        <w:t>TutorVista</w:t>
      </w:r>
    </w:p>
  </w:footnote>
  <w:footnote w:id="2092">
    <w:p w14:paraId="4B843A67" w14:textId="77777777" w:rsidR="00B47FF5" w:rsidRDefault="00B47FF5" w:rsidP="00537CC8">
      <w:pPr>
        <w:pStyle w:val="FootnoteText"/>
      </w:pPr>
      <w:r>
        <w:rPr>
          <w:rStyle w:val="FootnoteReference"/>
        </w:rPr>
        <w:footnoteRef/>
      </w:r>
      <w:r>
        <w:rPr>
          <w:rtl/>
        </w:rPr>
        <w:t xml:space="preserve"> </w:t>
      </w:r>
      <w:r w:rsidRPr="00C63B4B">
        <w:t>Peter Brown</w:t>
      </w:r>
    </w:p>
  </w:footnote>
  <w:footnote w:id="2093">
    <w:p w14:paraId="2AC15351" w14:textId="77777777" w:rsidR="00B47FF5" w:rsidRDefault="00B47FF5" w:rsidP="00537CC8">
      <w:pPr>
        <w:pStyle w:val="FootnoteText"/>
      </w:pPr>
      <w:r>
        <w:rPr>
          <w:rStyle w:val="FootnoteReference"/>
        </w:rPr>
        <w:footnoteRef/>
      </w:r>
      <w:r>
        <w:rPr>
          <w:rtl/>
        </w:rPr>
        <w:t xml:space="preserve"> </w:t>
      </w:r>
      <w:r w:rsidRPr="00C63B4B">
        <w:t>Make it Stick</w:t>
      </w:r>
    </w:p>
  </w:footnote>
  <w:footnote w:id="2094">
    <w:p w14:paraId="55A6125B" w14:textId="77777777" w:rsidR="00B47FF5" w:rsidRDefault="00B47FF5" w:rsidP="00537CC8">
      <w:pPr>
        <w:pStyle w:val="FootnoteText"/>
      </w:pPr>
      <w:r>
        <w:rPr>
          <w:rStyle w:val="FootnoteReference"/>
        </w:rPr>
        <w:footnoteRef/>
      </w:r>
      <w:r>
        <w:rPr>
          <w:rtl/>
        </w:rPr>
        <w:t xml:space="preserve"> </w:t>
      </w:r>
      <w:r w:rsidRPr="00C63B4B">
        <w:t>Tiago Forte</w:t>
      </w:r>
    </w:p>
  </w:footnote>
  <w:footnote w:id="2095">
    <w:p w14:paraId="5F1B1548" w14:textId="77777777" w:rsidR="00B47FF5" w:rsidRDefault="00B47FF5" w:rsidP="00537CC8">
      <w:pPr>
        <w:pStyle w:val="FootnoteText"/>
      </w:pPr>
      <w:r>
        <w:rPr>
          <w:rStyle w:val="FootnoteReference"/>
        </w:rPr>
        <w:footnoteRef/>
      </w:r>
      <w:r>
        <w:rPr>
          <w:rtl/>
        </w:rPr>
        <w:t xml:space="preserve"> </w:t>
      </w:r>
      <w:r w:rsidRPr="00817E34">
        <w:t>The Future of Education is Community</w:t>
      </w:r>
    </w:p>
  </w:footnote>
  <w:footnote w:id="2096">
    <w:p w14:paraId="2D0C5E66" w14:textId="77777777" w:rsidR="00B47FF5" w:rsidRDefault="00B47FF5" w:rsidP="00537CC8">
      <w:pPr>
        <w:pStyle w:val="FootnoteText"/>
      </w:pPr>
      <w:r>
        <w:rPr>
          <w:rStyle w:val="FootnoteReference"/>
        </w:rPr>
        <w:footnoteRef/>
      </w:r>
      <w:r>
        <w:rPr>
          <w:rtl/>
        </w:rPr>
        <w:t xml:space="preserve"> </w:t>
      </w:r>
      <w:r w:rsidRPr="00C63B4B">
        <w:t>cohort learning</w:t>
      </w:r>
    </w:p>
  </w:footnote>
  <w:footnote w:id="2097">
    <w:p w14:paraId="4E8E3077" w14:textId="77777777" w:rsidR="00B47FF5" w:rsidRDefault="00B47FF5" w:rsidP="00537CC8">
      <w:pPr>
        <w:pStyle w:val="FootnoteText"/>
      </w:pPr>
      <w:r>
        <w:rPr>
          <w:rStyle w:val="FootnoteReference"/>
        </w:rPr>
        <w:footnoteRef/>
      </w:r>
      <w:r>
        <w:rPr>
          <w:rtl/>
        </w:rPr>
        <w:t xml:space="preserve"> </w:t>
      </w:r>
      <w:r w:rsidRPr="00EB645A">
        <w:t>The Fifth Discipline: The Art and Practice of the Learning</w:t>
      </w:r>
      <w:r>
        <w:t xml:space="preserve"> </w:t>
      </w:r>
      <w:r w:rsidRPr="00EB645A">
        <w:t>Organization</w:t>
      </w:r>
    </w:p>
  </w:footnote>
  <w:footnote w:id="2098">
    <w:p w14:paraId="3FE63506" w14:textId="3CD20824" w:rsidR="00B47FF5" w:rsidRDefault="00B47FF5" w:rsidP="00537CC8">
      <w:pPr>
        <w:pStyle w:val="FootnoteText"/>
      </w:pPr>
      <w:r>
        <w:rPr>
          <w:rStyle w:val="FootnoteReference"/>
        </w:rPr>
        <w:footnoteRef/>
      </w:r>
      <w:r>
        <w:rPr>
          <w:rtl/>
        </w:rPr>
        <w:t xml:space="preserve"> </w:t>
      </w:r>
      <w:r>
        <w:t>Fifth discipline</w:t>
      </w:r>
    </w:p>
  </w:footnote>
  <w:footnote w:id="2099">
    <w:p w14:paraId="7D8D0151" w14:textId="77777777" w:rsidR="00B47FF5" w:rsidRDefault="00B47FF5" w:rsidP="00537CC8">
      <w:pPr>
        <w:pStyle w:val="FootnoteText"/>
      </w:pPr>
      <w:r>
        <w:rPr>
          <w:rStyle w:val="FootnoteReference"/>
        </w:rPr>
        <w:footnoteRef/>
      </w:r>
      <w:r>
        <w:rPr>
          <w:rtl/>
        </w:rPr>
        <w:t xml:space="preserve"> </w:t>
      </w:r>
      <w:r w:rsidRPr="00C63B4B">
        <w:t>Mark Smith</w:t>
      </w:r>
    </w:p>
  </w:footnote>
  <w:footnote w:id="2100">
    <w:p w14:paraId="25786DF9" w14:textId="77777777" w:rsidR="00B47FF5" w:rsidRDefault="00B47FF5" w:rsidP="00537CC8">
      <w:pPr>
        <w:pStyle w:val="FootnoteText"/>
      </w:pPr>
      <w:r>
        <w:rPr>
          <w:rStyle w:val="FootnoteReference"/>
        </w:rPr>
        <w:footnoteRef/>
      </w:r>
      <w:r>
        <w:rPr>
          <w:rtl/>
        </w:rPr>
        <w:t xml:space="preserve"> </w:t>
      </w:r>
      <w:r w:rsidRPr="000F0827">
        <w:t>Systems Thinking for Curious Managers</w:t>
      </w:r>
    </w:p>
  </w:footnote>
  <w:footnote w:id="2101">
    <w:p w14:paraId="181FB284" w14:textId="77777777" w:rsidR="00B47FF5" w:rsidRDefault="00B47FF5" w:rsidP="00537CC8">
      <w:pPr>
        <w:pStyle w:val="FootnoteText"/>
      </w:pPr>
      <w:r>
        <w:rPr>
          <w:rStyle w:val="FootnoteReference"/>
        </w:rPr>
        <w:footnoteRef/>
      </w:r>
      <w:r>
        <w:rPr>
          <w:rtl/>
        </w:rPr>
        <w:t xml:space="preserve"> </w:t>
      </w:r>
      <w:r w:rsidRPr="00474F29">
        <w:t>Ackoff</w:t>
      </w:r>
    </w:p>
  </w:footnote>
  <w:footnote w:id="2102">
    <w:p w14:paraId="13102941" w14:textId="77777777" w:rsidR="00B47FF5" w:rsidRDefault="00B47FF5" w:rsidP="00537CC8">
      <w:pPr>
        <w:pStyle w:val="FootnoteText"/>
      </w:pPr>
      <w:r>
        <w:rPr>
          <w:rStyle w:val="FootnoteReference"/>
        </w:rPr>
        <w:footnoteRef/>
      </w:r>
      <w:r>
        <w:rPr>
          <w:rtl/>
        </w:rPr>
        <w:t xml:space="preserve"> </w:t>
      </w:r>
      <w:r w:rsidRPr="00474F29">
        <w:t>Addison</w:t>
      </w:r>
    </w:p>
  </w:footnote>
  <w:footnote w:id="2103">
    <w:p w14:paraId="6E0B5809" w14:textId="77777777" w:rsidR="00B47FF5" w:rsidRDefault="00B47FF5" w:rsidP="00537CC8">
      <w:pPr>
        <w:pStyle w:val="FootnoteText"/>
      </w:pPr>
      <w:r>
        <w:rPr>
          <w:rStyle w:val="FootnoteReference"/>
        </w:rPr>
        <w:footnoteRef/>
      </w:r>
      <w:r>
        <w:rPr>
          <w:rtl/>
        </w:rPr>
        <w:t xml:space="preserve"> </w:t>
      </w:r>
      <w:r w:rsidRPr="000F0827">
        <w:t>The Goal</w:t>
      </w:r>
    </w:p>
  </w:footnote>
  <w:footnote w:id="2104">
    <w:p w14:paraId="443D3EAA" w14:textId="77777777" w:rsidR="00B47FF5" w:rsidRDefault="00B47FF5" w:rsidP="00537CC8">
      <w:pPr>
        <w:pStyle w:val="FootnoteText"/>
        <w:rPr>
          <w:rtl/>
        </w:rPr>
      </w:pPr>
      <w:r>
        <w:rPr>
          <w:rStyle w:val="FootnoteReference"/>
        </w:rPr>
        <w:footnoteRef/>
      </w:r>
      <w:r>
        <w:rPr>
          <w:rtl/>
        </w:rPr>
        <w:t xml:space="preserve"> </w:t>
      </w:r>
      <w:r w:rsidRPr="000F0827">
        <w:t>Theory of Constraints</w:t>
      </w:r>
    </w:p>
  </w:footnote>
  <w:footnote w:id="2105">
    <w:p w14:paraId="7C99E116" w14:textId="77777777" w:rsidR="00B47FF5" w:rsidRDefault="00B47FF5" w:rsidP="00537CC8">
      <w:pPr>
        <w:pStyle w:val="FootnoteText"/>
      </w:pPr>
      <w:r>
        <w:rPr>
          <w:rStyle w:val="FootnoteReference"/>
        </w:rPr>
        <w:footnoteRef/>
      </w:r>
      <w:r>
        <w:rPr>
          <w:rtl/>
        </w:rPr>
        <w:t xml:space="preserve"> </w:t>
      </w:r>
      <w:r w:rsidRPr="00474F29">
        <w:t>Eliyahu Goldratt</w:t>
      </w:r>
    </w:p>
  </w:footnote>
  <w:footnote w:id="2106">
    <w:p w14:paraId="365D0752" w14:textId="77777777" w:rsidR="00B47FF5" w:rsidRDefault="00B47FF5" w:rsidP="00537CC8">
      <w:pPr>
        <w:pStyle w:val="FootnoteText"/>
        <w:rPr>
          <w:rtl/>
        </w:rPr>
      </w:pPr>
      <w:r>
        <w:rPr>
          <w:rStyle w:val="FootnoteReference"/>
        </w:rPr>
        <w:footnoteRef/>
      </w:r>
      <w:r>
        <w:rPr>
          <w:rtl/>
        </w:rPr>
        <w:t xml:space="preserve"> </w:t>
      </w:r>
      <w:r w:rsidRPr="000F0827">
        <w:t>Thinking in Systems</w:t>
      </w:r>
    </w:p>
  </w:footnote>
  <w:footnote w:id="2107">
    <w:p w14:paraId="29EEB838" w14:textId="77777777" w:rsidR="00B47FF5" w:rsidRDefault="00B47FF5" w:rsidP="00537CC8">
      <w:pPr>
        <w:pStyle w:val="FootnoteText"/>
      </w:pPr>
      <w:r>
        <w:rPr>
          <w:rStyle w:val="FootnoteReference"/>
        </w:rPr>
        <w:footnoteRef/>
      </w:r>
      <w:r>
        <w:rPr>
          <w:rtl/>
        </w:rPr>
        <w:t xml:space="preserve"> </w:t>
      </w:r>
      <w:r w:rsidRPr="00474F29">
        <w:t>Donella Meadow</w:t>
      </w:r>
    </w:p>
  </w:footnote>
  <w:footnote w:id="2108">
    <w:p w14:paraId="461E179B" w14:textId="783479B2" w:rsidR="00B47FF5" w:rsidRDefault="00B47FF5" w:rsidP="00537CC8">
      <w:pPr>
        <w:pStyle w:val="FootnoteText"/>
      </w:pPr>
      <w:r>
        <w:rPr>
          <w:rStyle w:val="FootnoteReference"/>
        </w:rPr>
        <w:footnoteRef/>
      </w:r>
      <w:r>
        <w:rPr>
          <w:rtl/>
        </w:rPr>
        <w:t xml:space="preserve"> </w:t>
      </w:r>
      <w:r>
        <w:t xml:space="preserve">Hard Facts, </w:t>
      </w:r>
      <w:r w:rsidRPr="0091659D">
        <w:t>Dangerous Half-Truths, and Total Nonsense</w:t>
      </w:r>
    </w:p>
  </w:footnote>
  <w:footnote w:id="2109">
    <w:p w14:paraId="0B7C784B" w14:textId="77777777" w:rsidR="00B47FF5" w:rsidRDefault="00B47FF5" w:rsidP="00537CC8">
      <w:pPr>
        <w:pStyle w:val="FootnoteText"/>
      </w:pPr>
      <w:r>
        <w:rPr>
          <w:rStyle w:val="FootnoteReference"/>
        </w:rPr>
        <w:footnoteRef/>
      </w:r>
      <w:r>
        <w:rPr>
          <w:rtl/>
        </w:rPr>
        <w:t xml:space="preserve"> </w:t>
      </w:r>
      <w:r w:rsidRPr="00474F29">
        <w:t>Pfeffer</w:t>
      </w:r>
    </w:p>
  </w:footnote>
  <w:footnote w:id="2110">
    <w:p w14:paraId="411F86B3" w14:textId="77777777" w:rsidR="00B47FF5" w:rsidRDefault="00B47FF5" w:rsidP="00537CC8">
      <w:pPr>
        <w:pStyle w:val="FootnoteText"/>
      </w:pPr>
      <w:r>
        <w:rPr>
          <w:rStyle w:val="FootnoteReference"/>
        </w:rPr>
        <w:footnoteRef/>
      </w:r>
      <w:r>
        <w:rPr>
          <w:rtl/>
        </w:rPr>
        <w:t xml:space="preserve"> </w:t>
      </w:r>
      <w:r w:rsidRPr="00474F29">
        <w:t>Sutton</w:t>
      </w:r>
    </w:p>
  </w:footnote>
  <w:footnote w:id="2111">
    <w:p w14:paraId="717F565E" w14:textId="77777777" w:rsidR="00B47FF5" w:rsidRDefault="00B47FF5" w:rsidP="00537CC8">
      <w:pPr>
        <w:pStyle w:val="FootnoteText"/>
      </w:pPr>
      <w:r>
        <w:rPr>
          <w:rStyle w:val="FootnoteReference"/>
        </w:rPr>
        <w:footnoteRef/>
      </w:r>
      <w:r>
        <w:rPr>
          <w:rtl/>
        </w:rPr>
        <w:t xml:space="preserve"> </w:t>
      </w:r>
      <w:r w:rsidRPr="00483BDB">
        <w:rPr>
          <w:rtl/>
        </w:rPr>
        <w:t>(</w:t>
      </w:r>
      <w:r w:rsidRPr="00483BDB">
        <w:t>HIghest-Paid Persons in our</w:t>
      </w:r>
      <w:r>
        <w:t xml:space="preserve"> </w:t>
      </w:r>
      <w:r w:rsidRPr="00483BDB">
        <w:t>Organization</w:t>
      </w:r>
    </w:p>
  </w:footnote>
  <w:footnote w:id="2112">
    <w:p w14:paraId="3D215015" w14:textId="6F141432" w:rsidR="00B47FF5" w:rsidRDefault="00B47FF5" w:rsidP="00537CC8">
      <w:pPr>
        <w:pStyle w:val="FootnoteText"/>
      </w:pPr>
      <w:r>
        <w:rPr>
          <w:rStyle w:val="FootnoteReference"/>
        </w:rPr>
        <w:footnoteRef/>
      </w:r>
      <w:r>
        <w:rPr>
          <w:rtl/>
        </w:rPr>
        <w:t xml:space="preserve"> </w:t>
      </w:r>
      <w:r w:rsidRPr="00134B26">
        <w:t>Just-In-Time</w:t>
      </w:r>
    </w:p>
  </w:footnote>
  <w:footnote w:id="2113">
    <w:p w14:paraId="4209F9E4" w14:textId="6FA07AB9" w:rsidR="00B47FF5" w:rsidRDefault="00B47FF5" w:rsidP="00537CC8">
      <w:pPr>
        <w:pStyle w:val="FootnoteText"/>
      </w:pPr>
      <w:r>
        <w:rPr>
          <w:rStyle w:val="FootnoteReference"/>
        </w:rPr>
        <w:footnoteRef/>
      </w:r>
      <w:r>
        <w:rPr>
          <w:rtl/>
        </w:rPr>
        <w:t xml:space="preserve"> </w:t>
      </w:r>
      <w:r w:rsidRPr="008B394F">
        <w:t>Contingency</w:t>
      </w:r>
    </w:p>
  </w:footnote>
  <w:footnote w:id="2114">
    <w:p w14:paraId="13C46584" w14:textId="28449A58" w:rsidR="00B47FF5" w:rsidRDefault="00B47FF5" w:rsidP="00537CC8">
      <w:pPr>
        <w:pStyle w:val="FootnoteText"/>
      </w:pPr>
      <w:r>
        <w:rPr>
          <w:rStyle w:val="FootnoteReference"/>
        </w:rPr>
        <w:footnoteRef/>
      </w:r>
      <w:r>
        <w:rPr>
          <w:rtl/>
        </w:rPr>
        <w:t xml:space="preserve"> </w:t>
      </w:r>
      <w:r>
        <w:t>Economies Of Scale</w:t>
      </w:r>
    </w:p>
  </w:footnote>
  <w:footnote w:id="2115">
    <w:p w14:paraId="70772994" w14:textId="76C03152" w:rsidR="00B47FF5" w:rsidRDefault="00B47FF5" w:rsidP="00537CC8">
      <w:pPr>
        <w:pStyle w:val="FootnoteText"/>
      </w:pPr>
      <w:r>
        <w:rPr>
          <w:rStyle w:val="FootnoteReference"/>
        </w:rPr>
        <w:footnoteRef/>
      </w:r>
      <w:r>
        <w:rPr>
          <w:rtl/>
        </w:rPr>
        <w:t xml:space="preserve"> </w:t>
      </w:r>
      <w:r w:rsidRPr="00134B26">
        <w:t>First movers</w:t>
      </w:r>
    </w:p>
  </w:footnote>
  <w:footnote w:id="2116">
    <w:p w14:paraId="26830E8D" w14:textId="77777777" w:rsidR="00B47FF5" w:rsidRDefault="00B47FF5" w:rsidP="00537CC8">
      <w:pPr>
        <w:pStyle w:val="FootnoteText"/>
      </w:pPr>
      <w:r>
        <w:rPr>
          <w:rStyle w:val="FootnoteReference"/>
        </w:rPr>
        <w:footnoteRef/>
      </w:r>
      <w:r>
        <w:rPr>
          <w:rtl/>
        </w:rPr>
        <w:t xml:space="preserve"> </w:t>
      </w:r>
      <w:r w:rsidRPr="007036EA">
        <w:t>Fast Innovation</w:t>
      </w:r>
    </w:p>
  </w:footnote>
  <w:footnote w:id="2117">
    <w:p w14:paraId="0CD1ED66" w14:textId="77777777" w:rsidR="00B47FF5" w:rsidRDefault="00B47FF5" w:rsidP="00537CC8">
      <w:pPr>
        <w:pStyle w:val="FootnoteText"/>
      </w:pPr>
      <w:r>
        <w:rPr>
          <w:rStyle w:val="FootnoteReference"/>
        </w:rPr>
        <w:footnoteRef/>
      </w:r>
      <w:r>
        <w:rPr>
          <w:rtl/>
        </w:rPr>
        <w:t xml:space="preserve"> </w:t>
      </w:r>
      <w:r w:rsidRPr="007036EA">
        <w:t>Fast Strategy</w:t>
      </w:r>
    </w:p>
  </w:footnote>
  <w:footnote w:id="2118">
    <w:p w14:paraId="6C8D220B" w14:textId="77777777" w:rsidR="00B47FF5" w:rsidRDefault="00B47FF5" w:rsidP="00537CC8">
      <w:pPr>
        <w:pStyle w:val="FootnoteText"/>
      </w:pPr>
      <w:r>
        <w:rPr>
          <w:rStyle w:val="FootnoteReference"/>
        </w:rPr>
        <w:footnoteRef/>
      </w:r>
      <w:r>
        <w:rPr>
          <w:rtl/>
        </w:rPr>
        <w:t xml:space="preserve"> </w:t>
      </w:r>
      <w:r w:rsidRPr="008B394F">
        <w:t>Doz</w:t>
      </w:r>
    </w:p>
  </w:footnote>
  <w:footnote w:id="2119">
    <w:p w14:paraId="7D5FDE7A" w14:textId="77777777" w:rsidR="00B47FF5" w:rsidRDefault="00B47FF5" w:rsidP="00537CC8">
      <w:pPr>
        <w:pStyle w:val="FootnoteText"/>
      </w:pPr>
      <w:r>
        <w:rPr>
          <w:rStyle w:val="FootnoteReference"/>
        </w:rPr>
        <w:footnoteRef/>
      </w:r>
      <w:r>
        <w:rPr>
          <w:rtl/>
        </w:rPr>
        <w:t xml:space="preserve"> </w:t>
      </w:r>
      <w:r w:rsidRPr="008B394F">
        <w:t>Kosonen</w:t>
      </w:r>
    </w:p>
  </w:footnote>
  <w:footnote w:id="2120">
    <w:p w14:paraId="61E6F078" w14:textId="77777777" w:rsidR="00B47FF5" w:rsidRDefault="00B47FF5" w:rsidP="00537CC8">
      <w:pPr>
        <w:pStyle w:val="FootnoteText"/>
      </w:pPr>
      <w:r>
        <w:rPr>
          <w:rStyle w:val="FootnoteReference"/>
        </w:rPr>
        <w:footnoteRef/>
      </w:r>
      <w:r>
        <w:rPr>
          <w:rtl/>
        </w:rPr>
        <w:t xml:space="preserve"> </w:t>
      </w:r>
      <w:r w:rsidRPr="007036EA">
        <w:t>Accelerate</w:t>
      </w:r>
    </w:p>
  </w:footnote>
  <w:footnote w:id="2121">
    <w:p w14:paraId="73A41910" w14:textId="77777777" w:rsidR="00B47FF5" w:rsidRDefault="00B47FF5" w:rsidP="00537CC8">
      <w:pPr>
        <w:pStyle w:val="FootnoteText"/>
      </w:pPr>
      <w:r>
        <w:rPr>
          <w:rStyle w:val="FootnoteReference"/>
        </w:rPr>
        <w:footnoteRef/>
      </w:r>
      <w:r>
        <w:rPr>
          <w:rtl/>
        </w:rPr>
        <w:t xml:space="preserve"> </w:t>
      </w:r>
      <w:r w:rsidRPr="00781D62">
        <w:t>From Headlines to Trendlines: Long-Term</w:t>
      </w:r>
      <w:r>
        <w:t xml:space="preserve"> </w:t>
      </w:r>
      <w:r w:rsidRPr="00781D62">
        <w:t>Investing for Wealth Expansion</w:t>
      </w:r>
    </w:p>
  </w:footnote>
  <w:footnote w:id="2122">
    <w:p w14:paraId="7962631C" w14:textId="77777777" w:rsidR="00B47FF5" w:rsidRDefault="00B47FF5" w:rsidP="00537CC8">
      <w:pPr>
        <w:pStyle w:val="FootnoteText"/>
      </w:pPr>
      <w:r>
        <w:rPr>
          <w:rStyle w:val="FootnoteReference"/>
        </w:rPr>
        <w:footnoteRef/>
      </w:r>
      <w:r>
        <w:rPr>
          <w:rtl/>
        </w:rPr>
        <w:t xml:space="preserve"> </w:t>
      </w:r>
      <w:r w:rsidRPr="008B394F">
        <w:t>Thomas Hainlin</w:t>
      </w:r>
    </w:p>
  </w:footnote>
  <w:footnote w:id="2123">
    <w:p w14:paraId="4E812361" w14:textId="77777777" w:rsidR="00B47FF5" w:rsidRDefault="00B47FF5" w:rsidP="00537CC8">
      <w:pPr>
        <w:pStyle w:val="FootnoteText"/>
      </w:pPr>
      <w:r>
        <w:rPr>
          <w:rStyle w:val="FootnoteReference"/>
        </w:rPr>
        <w:footnoteRef/>
      </w:r>
      <w:r>
        <w:rPr>
          <w:rtl/>
        </w:rPr>
        <w:t xml:space="preserve"> </w:t>
      </w:r>
      <w:r w:rsidRPr="008B394F">
        <w:t>Bill Clinton</w:t>
      </w:r>
    </w:p>
  </w:footnote>
  <w:footnote w:id="2124">
    <w:p w14:paraId="1D6BB1DE" w14:textId="64CA5A54" w:rsidR="00B47FF5" w:rsidRDefault="00B47FF5" w:rsidP="00537CC8">
      <w:pPr>
        <w:pStyle w:val="FootnoteText"/>
      </w:pPr>
      <w:r>
        <w:rPr>
          <w:rStyle w:val="FootnoteReference"/>
        </w:rPr>
        <w:footnoteRef/>
      </w:r>
      <w:r>
        <w:rPr>
          <w:rtl/>
        </w:rPr>
        <w:t xml:space="preserve"> </w:t>
      </w:r>
      <w:r w:rsidRPr="00015B42">
        <w:t>Trendlines</w:t>
      </w:r>
    </w:p>
  </w:footnote>
  <w:footnote w:id="2125">
    <w:p w14:paraId="47936425" w14:textId="69D7515F" w:rsidR="00B47FF5" w:rsidRDefault="00B47FF5" w:rsidP="00537CC8">
      <w:pPr>
        <w:pStyle w:val="FootnoteText"/>
      </w:pPr>
      <w:r>
        <w:rPr>
          <w:rStyle w:val="FootnoteReference"/>
        </w:rPr>
        <w:footnoteRef/>
      </w:r>
      <w:r>
        <w:rPr>
          <w:rtl/>
        </w:rPr>
        <w:t xml:space="preserve"> </w:t>
      </w:r>
      <w:r>
        <w:t>Big data</w:t>
      </w:r>
    </w:p>
  </w:footnote>
  <w:footnote w:id="2126">
    <w:p w14:paraId="7C75B8C1" w14:textId="77777777" w:rsidR="00B47FF5" w:rsidRDefault="00B47FF5" w:rsidP="00537CC8">
      <w:pPr>
        <w:pStyle w:val="FootnoteText"/>
      </w:pPr>
      <w:r>
        <w:rPr>
          <w:rStyle w:val="FootnoteReference"/>
        </w:rPr>
        <w:footnoteRef/>
      </w:r>
      <w:r>
        <w:rPr>
          <w:rtl/>
        </w:rPr>
        <w:t xml:space="preserve"> </w:t>
      </w:r>
      <w:r w:rsidRPr="008B394F">
        <w:t>DeepMind</w:t>
      </w:r>
    </w:p>
  </w:footnote>
  <w:footnote w:id="2127">
    <w:p w14:paraId="4B3DB1BC" w14:textId="77777777" w:rsidR="00B47FF5" w:rsidRDefault="00B47FF5" w:rsidP="00537CC8">
      <w:pPr>
        <w:pStyle w:val="FootnoteText"/>
      </w:pPr>
      <w:r>
        <w:rPr>
          <w:rStyle w:val="FootnoteReference"/>
        </w:rPr>
        <w:footnoteRef/>
      </w:r>
      <w:r>
        <w:rPr>
          <w:rtl/>
        </w:rPr>
        <w:t xml:space="preserve"> </w:t>
      </w:r>
      <w:r w:rsidRPr="00A860A1">
        <w:t>Factial</w:t>
      </w:r>
    </w:p>
  </w:footnote>
  <w:footnote w:id="2128">
    <w:p w14:paraId="18D84940" w14:textId="77777777" w:rsidR="00B47FF5" w:rsidRDefault="00B47FF5" w:rsidP="00537CC8">
      <w:pPr>
        <w:pStyle w:val="FootnoteText"/>
      </w:pPr>
      <w:r>
        <w:rPr>
          <w:rStyle w:val="FootnoteReference"/>
        </w:rPr>
        <w:footnoteRef/>
      </w:r>
      <w:r>
        <w:rPr>
          <w:rtl/>
        </w:rPr>
        <w:t xml:space="preserve"> </w:t>
      </w:r>
      <w:r w:rsidRPr="00A860A1">
        <w:t>Quid</w:t>
      </w:r>
    </w:p>
  </w:footnote>
  <w:footnote w:id="2129">
    <w:p w14:paraId="3C7EC875" w14:textId="77777777" w:rsidR="00B47FF5" w:rsidRDefault="00B47FF5" w:rsidP="00537CC8">
      <w:pPr>
        <w:pStyle w:val="FootnoteText"/>
      </w:pPr>
      <w:r>
        <w:rPr>
          <w:rStyle w:val="FootnoteReference"/>
        </w:rPr>
        <w:footnoteRef/>
      </w:r>
      <w:r>
        <w:rPr>
          <w:rtl/>
        </w:rPr>
        <w:t xml:space="preserve"> </w:t>
      </w:r>
      <w:r w:rsidRPr="00A860A1">
        <w:t>Netbase</w:t>
      </w:r>
    </w:p>
  </w:footnote>
  <w:footnote w:id="2130">
    <w:p w14:paraId="66DD10C9" w14:textId="77777777" w:rsidR="00B47FF5" w:rsidRDefault="00B47FF5" w:rsidP="00537CC8">
      <w:pPr>
        <w:pStyle w:val="FootnoteText"/>
      </w:pPr>
      <w:r>
        <w:rPr>
          <w:rStyle w:val="FootnoteReference"/>
        </w:rPr>
        <w:footnoteRef/>
      </w:r>
      <w:r>
        <w:rPr>
          <w:rtl/>
        </w:rPr>
        <w:t xml:space="preserve"> </w:t>
      </w:r>
      <w:r w:rsidRPr="00A860A1">
        <w:t>Leadspace</w:t>
      </w:r>
    </w:p>
  </w:footnote>
  <w:footnote w:id="2131">
    <w:p w14:paraId="49D9D885" w14:textId="77777777" w:rsidR="00B47FF5" w:rsidRDefault="00B47FF5" w:rsidP="00537CC8">
      <w:pPr>
        <w:pStyle w:val="FootnoteText"/>
      </w:pPr>
      <w:r>
        <w:rPr>
          <w:rStyle w:val="FootnoteReference"/>
        </w:rPr>
        <w:footnoteRef/>
      </w:r>
      <w:r>
        <w:rPr>
          <w:rtl/>
        </w:rPr>
        <w:t xml:space="preserve"> </w:t>
      </w:r>
      <w:r w:rsidRPr="00015B42">
        <w:t>Open Data Science Community</w:t>
      </w:r>
    </w:p>
  </w:footnote>
  <w:footnote w:id="2132">
    <w:p w14:paraId="45543691" w14:textId="77777777" w:rsidR="00B47FF5" w:rsidRDefault="00B47FF5" w:rsidP="00537CC8">
      <w:pPr>
        <w:pStyle w:val="FootnoteText"/>
      </w:pPr>
      <w:r>
        <w:rPr>
          <w:rStyle w:val="FootnoteReference"/>
        </w:rPr>
        <w:footnoteRef/>
      </w:r>
      <w:r>
        <w:rPr>
          <w:rtl/>
        </w:rPr>
        <w:t xml:space="preserve"> </w:t>
      </w:r>
      <w:r w:rsidRPr="00015B42">
        <w:t>Predictive Analytics World</w:t>
      </w:r>
    </w:p>
  </w:footnote>
  <w:footnote w:id="2133">
    <w:p w14:paraId="4ABE20C2" w14:textId="77777777" w:rsidR="00B47FF5" w:rsidRDefault="00B47FF5" w:rsidP="00537CC8">
      <w:pPr>
        <w:pStyle w:val="FootnoteText"/>
      </w:pPr>
      <w:r>
        <w:rPr>
          <w:rStyle w:val="FootnoteReference"/>
        </w:rPr>
        <w:footnoteRef/>
      </w:r>
      <w:r>
        <w:rPr>
          <w:rtl/>
        </w:rPr>
        <w:t xml:space="preserve"> </w:t>
      </w:r>
      <w:r>
        <w:t>cross-industry</w:t>
      </w:r>
    </w:p>
  </w:footnote>
  <w:footnote w:id="2134">
    <w:p w14:paraId="7AFB8246" w14:textId="77777777" w:rsidR="00B47FF5" w:rsidRDefault="00B47FF5" w:rsidP="00537CC8">
      <w:pPr>
        <w:pStyle w:val="FootnoteText"/>
      </w:pPr>
      <w:r>
        <w:rPr>
          <w:rStyle w:val="FootnoteReference"/>
        </w:rPr>
        <w:footnoteRef/>
      </w:r>
      <w:r>
        <w:rPr>
          <w:rtl/>
        </w:rPr>
        <w:t xml:space="preserve"> </w:t>
      </w:r>
      <w:r w:rsidRPr="00A860A1">
        <w:t>Eric Siegel</w:t>
      </w:r>
    </w:p>
  </w:footnote>
  <w:footnote w:id="2135">
    <w:p w14:paraId="1DC1A26E" w14:textId="77777777" w:rsidR="00B47FF5" w:rsidRDefault="00B47FF5" w:rsidP="00537CC8">
      <w:pPr>
        <w:pStyle w:val="FootnoteText"/>
      </w:pPr>
      <w:r>
        <w:rPr>
          <w:rStyle w:val="FootnoteReference"/>
        </w:rPr>
        <w:footnoteRef/>
      </w:r>
      <w:r>
        <w:rPr>
          <w:rtl/>
        </w:rPr>
        <w:t xml:space="preserve"> </w:t>
      </w:r>
      <w:r w:rsidRPr="006D17FE">
        <w:t>International Institute</w:t>
      </w:r>
      <w:r>
        <w:t xml:space="preserve"> </w:t>
      </w:r>
      <w:r w:rsidRPr="006D17FE">
        <w:t>of Forecasters</w:t>
      </w:r>
    </w:p>
  </w:footnote>
  <w:footnote w:id="2136">
    <w:p w14:paraId="28811820" w14:textId="77777777" w:rsidR="00B47FF5" w:rsidRDefault="00B47FF5" w:rsidP="00537CC8">
      <w:pPr>
        <w:pStyle w:val="FootnoteText"/>
      </w:pPr>
      <w:r>
        <w:rPr>
          <w:rStyle w:val="FootnoteReference"/>
        </w:rPr>
        <w:footnoteRef/>
      </w:r>
      <w:r>
        <w:rPr>
          <w:rtl/>
        </w:rPr>
        <w:t xml:space="preserve"> </w:t>
      </w:r>
      <w:r w:rsidRPr="00A860A1">
        <w:t>Scott Armstrong</w:t>
      </w:r>
    </w:p>
  </w:footnote>
  <w:footnote w:id="2137">
    <w:p w14:paraId="7B874602" w14:textId="77777777" w:rsidR="00B47FF5" w:rsidRDefault="00B47FF5" w:rsidP="00537CC8">
      <w:pPr>
        <w:pStyle w:val="FootnoteText"/>
      </w:pPr>
      <w:r>
        <w:rPr>
          <w:rStyle w:val="FootnoteReference"/>
        </w:rPr>
        <w:footnoteRef/>
      </w:r>
      <w:r>
        <w:rPr>
          <w:rtl/>
        </w:rPr>
        <w:t xml:space="preserve"> </w:t>
      </w:r>
      <w:r w:rsidRPr="006D17FE">
        <w:t>Superforecasting: The</w:t>
      </w:r>
      <w:r>
        <w:t xml:space="preserve"> </w:t>
      </w:r>
      <w:r w:rsidRPr="006D17FE">
        <w:t>Art and Science of Prediction</w:t>
      </w:r>
    </w:p>
  </w:footnote>
  <w:footnote w:id="2138">
    <w:p w14:paraId="0F95B862" w14:textId="77777777" w:rsidR="00B47FF5" w:rsidRDefault="00B47FF5" w:rsidP="00537CC8">
      <w:pPr>
        <w:pStyle w:val="FootnoteText"/>
      </w:pPr>
      <w:r>
        <w:rPr>
          <w:rStyle w:val="FootnoteReference"/>
        </w:rPr>
        <w:footnoteRef/>
      </w:r>
      <w:r>
        <w:rPr>
          <w:rtl/>
        </w:rPr>
        <w:t xml:space="preserve"> </w:t>
      </w:r>
      <w:r w:rsidRPr="00A860A1">
        <w:t>Paul Saffo</w:t>
      </w:r>
    </w:p>
  </w:footnote>
  <w:footnote w:id="2139">
    <w:p w14:paraId="7DCF529A" w14:textId="77777777" w:rsidR="00B47FF5" w:rsidRDefault="00B47FF5" w:rsidP="00537CC8">
      <w:pPr>
        <w:pStyle w:val="FootnoteText"/>
      </w:pPr>
      <w:r>
        <w:rPr>
          <w:rStyle w:val="FootnoteReference"/>
        </w:rPr>
        <w:footnoteRef/>
      </w:r>
      <w:r>
        <w:rPr>
          <w:rtl/>
        </w:rPr>
        <w:t xml:space="preserve"> </w:t>
      </w:r>
      <w:r w:rsidRPr="006D17FE">
        <w:t>Six Rules for</w:t>
      </w:r>
      <w:r>
        <w:t xml:space="preserve"> </w:t>
      </w:r>
      <w:r w:rsidRPr="006D17FE">
        <w:t>Effective Forecasting</w:t>
      </w:r>
    </w:p>
  </w:footnote>
  <w:footnote w:id="2140">
    <w:p w14:paraId="15A0D755" w14:textId="77777777" w:rsidR="00B47FF5" w:rsidRDefault="00B47FF5" w:rsidP="00537CC8">
      <w:pPr>
        <w:pStyle w:val="FootnoteText"/>
      </w:pPr>
      <w:r>
        <w:rPr>
          <w:rStyle w:val="FootnoteReference"/>
        </w:rPr>
        <w:footnoteRef/>
      </w:r>
      <w:r>
        <w:rPr>
          <w:rtl/>
        </w:rPr>
        <w:t xml:space="preserve"> </w:t>
      </w:r>
      <w:r w:rsidRPr="00AB5C0A">
        <w:t>Harvard Business Review</w:t>
      </w:r>
    </w:p>
  </w:footnote>
  <w:footnote w:id="2141">
    <w:p w14:paraId="5671953E" w14:textId="77777777" w:rsidR="00B47FF5" w:rsidRDefault="00B47FF5" w:rsidP="00537CC8">
      <w:pPr>
        <w:pStyle w:val="FootnoteText"/>
      </w:pPr>
      <w:r>
        <w:rPr>
          <w:rStyle w:val="FootnoteReference"/>
        </w:rPr>
        <w:footnoteRef/>
      </w:r>
      <w:r>
        <w:rPr>
          <w:rtl/>
        </w:rPr>
        <w:t xml:space="preserve"> </w:t>
      </w:r>
      <w:r>
        <w:t>Cone of Uncertainty</w:t>
      </w:r>
    </w:p>
  </w:footnote>
  <w:footnote w:id="2142">
    <w:p w14:paraId="5E7762A8" w14:textId="77777777" w:rsidR="00B47FF5" w:rsidRDefault="00B47FF5" w:rsidP="00537CC8">
      <w:pPr>
        <w:pStyle w:val="FootnoteText"/>
      </w:pPr>
      <w:r>
        <w:rPr>
          <w:rStyle w:val="FootnoteReference"/>
        </w:rPr>
        <w:footnoteRef/>
      </w:r>
      <w:r>
        <w:rPr>
          <w:rtl/>
        </w:rPr>
        <w:t xml:space="preserve"> </w:t>
      </w:r>
      <w:r w:rsidRPr="00355B53">
        <w:t>Moor</w:t>
      </w:r>
    </w:p>
  </w:footnote>
  <w:footnote w:id="2143">
    <w:p w14:paraId="2510BFE4" w14:textId="7C891D67" w:rsidR="00B47FF5" w:rsidRDefault="00B47FF5" w:rsidP="00537CC8">
      <w:pPr>
        <w:pStyle w:val="FootnoteText"/>
      </w:pPr>
      <w:r>
        <w:rPr>
          <w:rStyle w:val="FootnoteReference"/>
        </w:rPr>
        <w:footnoteRef/>
      </w:r>
      <w:r>
        <w:rPr>
          <w:rtl/>
        </w:rPr>
        <w:t xml:space="preserve"> </w:t>
      </w:r>
      <w:r w:rsidRPr="000F5FEE">
        <w:t>Judgmental forecasting</w:t>
      </w:r>
    </w:p>
  </w:footnote>
  <w:footnote w:id="2144">
    <w:p w14:paraId="0E9E6725" w14:textId="77777777" w:rsidR="00B47FF5" w:rsidRDefault="00B47FF5" w:rsidP="00537CC8">
      <w:pPr>
        <w:pStyle w:val="FootnoteText"/>
      </w:pPr>
      <w:r>
        <w:rPr>
          <w:rStyle w:val="FootnoteReference"/>
        </w:rPr>
        <w:footnoteRef/>
      </w:r>
      <w:r>
        <w:rPr>
          <w:rtl/>
        </w:rPr>
        <w:t xml:space="preserve"> </w:t>
      </w:r>
      <w:r w:rsidRPr="000F5FEE">
        <w:t>Reference class forecasting</w:t>
      </w:r>
    </w:p>
  </w:footnote>
  <w:footnote w:id="2145">
    <w:p w14:paraId="6DE7BDB2" w14:textId="77777777" w:rsidR="00B47FF5" w:rsidRDefault="00B47FF5" w:rsidP="00537CC8">
      <w:pPr>
        <w:pStyle w:val="FootnoteText"/>
      </w:pPr>
      <w:r>
        <w:rPr>
          <w:rStyle w:val="FootnoteReference"/>
        </w:rPr>
        <w:footnoteRef/>
      </w:r>
      <w:r>
        <w:rPr>
          <w:rtl/>
        </w:rPr>
        <w:t xml:space="preserve"> </w:t>
      </w:r>
      <w:r w:rsidRPr="00AB5C0A">
        <w:t>Amos Tversky</w:t>
      </w:r>
    </w:p>
  </w:footnote>
  <w:footnote w:id="2146">
    <w:p w14:paraId="6E654BE6" w14:textId="77777777" w:rsidR="00B47FF5" w:rsidRDefault="00B47FF5" w:rsidP="00537CC8">
      <w:pPr>
        <w:pStyle w:val="FootnoteText"/>
      </w:pPr>
      <w:r>
        <w:rPr>
          <w:rStyle w:val="FootnoteReference"/>
        </w:rPr>
        <w:footnoteRef/>
      </w:r>
      <w:r>
        <w:rPr>
          <w:rtl/>
        </w:rPr>
        <w:t xml:space="preserve"> </w:t>
      </w:r>
      <w:r w:rsidRPr="00AB5C0A">
        <w:t>Bent Flyvbjerg</w:t>
      </w:r>
    </w:p>
  </w:footnote>
  <w:footnote w:id="2147">
    <w:p w14:paraId="3F1DA8AC" w14:textId="77777777" w:rsidR="00B47FF5" w:rsidRDefault="00B47FF5" w:rsidP="00537CC8">
      <w:pPr>
        <w:pStyle w:val="FootnoteText"/>
      </w:pPr>
      <w:r>
        <w:rPr>
          <w:rStyle w:val="FootnoteReference"/>
        </w:rPr>
        <w:footnoteRef/>
      </w:r>
      <w:r>
        <w:rPr>
          <w:rtl/>
        </w:rPr>
        <w:t xml:space="preserve"> </w:t>
      </w:r>
      <w:r w:rsidRPr="000F5FEE">
        <w:t>Megaprojects and Risk</w:t>
      </w:r>
    </w:p>
  </w:footnote>
  <w:footnote w:id="2148">
    <w:p w14:paraId="6FDC9A89" w14:textId="77777777" w:rsidR="00B47FF5" w:rsidRDefault="00B47FF5" w:rsidP="00537CC8">
      <w:pPr>
        <w:pStyle w:val="FootnoteText"/>
      </w:pPr>
      <w:r>
        <w:rPr>
          <w:rStyle w:val="FootnoteReference"/>
        </w:rPr>
        <w:footnoteRef/>
      </w:r>
      <w:r>
        <w:rPr>
          <w:rtl/>
        </w:rPr>
        <w:t xml:space="preserve"> </w:t>
      </w:r>
      <w:r w:rsidRPr="009920F9">
        <w:t>ICT Tools in Foresight</w:t>
      </w:r>
    </w:p>
  </w:footnote>
  <w:footnote w:id="2149">
    <w:p w14:paraId="7D21619E" w14:textId="50D5EB29" w:rsidR="00B47FF5" w:rsidRDefault="00B47FF5" w:rsidP="00537CC8">
      <w:pPr>
        <w:pStyle w:val="FootnoteText"/>
        <w:rPr>
          <w:rtl/>
        </w:rPr>
      </w:pPr>
      <w:r>
        <w:rPr>
          <w:rStyle w:val="FootnoteReference"/>
        </w:rPr>
        <w:footnoteRef/>
      </w:r>
      <w:r>
        <w:rPr>
          <w:rtl/>
        </w:rPr>
        <w:t xml:space="preserve"> </w:t>
      </w:r>
      <w:r>
        <w:t>Keller</w:t>
      </w:r>
    </w:p>
  </w:footnote>
  <w:footnote w:id="2150">
    <w:p w14:paraId="04AAE150" w14:textId="01D83D33" w:rsidR="00B47FF5" w:rsidRDefault="00B47FF5" w:rsidP="00537CC8">
      <w:pPr>
        <w:pStyle w:val="FootnoteText"/>
      </w:pPr>
      <w:r>
        <w:rPr>
          <w:rStyle w:val="FootnoteReference"/>
        </w:rPr>
        <w:footnoteRef/>
      </w:r>
      <w:r>
        <w:rPr>
          <w:rtl/>
        </w:rPr>
        <w:t xml:space="preserve"> </w:t>
      </w:r>
      <w:r w:rsidRPr="00AB5C0A">
        <w:t>Von der Gracht</w:t>
      </w:r>
    </w:p>
  </w:footnote>
  <w:footnote w:id="2151">
    <w:p w14:paraId="2A9277BB" w14:textId="77777777" w:rsidR="00B47FF5" w:rsidRDefault="00B47FF5" w:rsidP="00537CC8">
      <w:pPr>
        <w:pStyle w:val="FootnoteText"/>
      </w:pPr>
      <w:r>
        <w:rPr>
          <w:rStyle w:val="FootnoteReference"/>
        </w:rPr>
        <w:footnoteRef/>
      </w:r>
      <w:r>
        <w:rPr>
          <w:rtl/>
        </w:rPr>
        <w:t xml:space="preserve"> </w:t>
      </w:r>
      <w:r w:rsidRPr="00012FE9">
        <w:t>Predictive Analytics</w:t>
      </w:r>
    </w:p>
  </w:footnote>
  <w:footnote w:id="2152">
    <w:p w14:paraId="50080737" w14:textId="77777777" w:rsidR="00B47FF5" w:rsidRDefault="00B47FF5" w:rsidP="00537CC8">
      <w:pPr>
        <w:pStyle w:val="FootnoteText"/>
      </w:pPr>
      <w:r>
        <w:rPr>
          <w:rStyle w:val="FootnoteReference"/>
        </w:rPr>
        <w:footnoteRef/>
      </w:r>
      <w:r>
        <w:rPr>
          <w:rtl/>
        </w:rPr>
        <w:t xml:space="preserve"> </w:t>
      </w:r>
      <w:r w:rsidRPr="008D19A5">
        <w:t>Women Who Choose Computer Science—What Really Matters</w:t>
      </w:r>
    </w:p>
  </w:footnote>
  <w:footnote w:id="2153">
    <w:p w14:paraId="5F09B15B" w14:textId="77777777" w:rsidR="00B47FF5" w:rsidRDefault="00B47FF5" w:rsidP="00537CC8">
      <w:pPr>
        <w:pStyle w:val="FootnoteText"/>
      </w:pPr>
      <w:r>
        <w:rPr>
          <w:rStyle w:val="FootnoteReference"/>
        </w:rPr>
        <w:footnoteRef/>
      </w:r>
      <w:r>
        <w:rPr>
          <w:rtl/>
        </w:rPr>
        <w:t xml:space="preserve"> </w:t>
      </w:r>
      <w:r w:rsidRPr="008D19A5">
        <w:t>Conjoint analysis</w:t>
      </w:r>
    </w:p>
  </w:footnote>
  <w:footnote w:id="2154">
    <w:p w14:paraId="11E5CAE0" w14:textId="6818AF20" w:rsidR="00B47FF5" w:rsidRDefault="00B47FF5" w:rsidP="00537CC8">
      <w:pPr>
        <w:pStyle w:val="FootnoteText"/>
      </w:pPr>
      <w:r>
        <w:rPr>
          <w:rStyle w:val="FootnoteReference"/>
        </w:rPr>
        <w:footnoteRef/>
      </w:r>
      <w:r>
        <w:rPr>
          <w:rtl/>
        </w:rPr>
        <w:t xml:space="preserve"> </w:t>
      </w:r>
      <w:r>
        <w:t>Do-nothing</w:t>
      </w:r>
    </w:p>
  </w:footnote>
  <w:footnote w:id="2155">
    <w:p w14:paraId="37A4AC8C" w14:textId="1A373E3E" w:rsidR="00B47FF5" w:rsidRDefault="00B47FF5" w:rsidP="00537CC8">
      <w:pPr>
        <w:pStyle w:val="FootnoteText"/>
      </w:pPr>
      <w:r>
        <w:rPr>
          <w:rStyle w:val="FootnoteReference"/>
        </w:rPr>
        <w:footnoteRef/>
      </w:r>
      <w:r>
        <w:rPr>
          <w:rtl/>
        </w:rPr>
        <w:t xml:space="preserve"> </w:t>
      </w:r>
      <w:r w:rsidRPr="0013574B">
        <w:t>Real-time Delphi</w:t>
      </w:r>
    </w:p>
  </w:footnote>
  <w:footnote w:id="2156">
    <w:p w14:paraId="437C410A" w14:textId="77777777" w:rsidR="00B47FF5" w:rsidRDefault="00B47FF5" w:rsidP="00537CC8">
      <w:pPr>
        <w:pStyle w:val="FootnoteText"/>
      </w:pPr>
      <w:r>
        <w:rPr>
          <w:rStyle w:val="FootnoteReference"/>
        </w:rPr>
        <w:footnoteRef/>
      </w:r>
      <w:r>
        <w:rPr>
          <w:rtl/>
        </w:rPr>
        <w:t xml:space="preserve"> </w:t>
      </w:r>
      <w:r w:rsidRPr="00AB5C0A">
        <w:t>Huunu</w:t>
      </w:r>
    </w:p>
  </w:footnote>
  <w:footnote w:id="2157">
    <w:p w14:paraId="10D7EFBB" w14:textId="77777777" w:rsidR="00B47FF5" w:rsidRDefault="00B47FF5" w:rsidP="00537CC8">
      <w:pPr>
        <w:pStyle w:val="FootnoteText"/>
      </w:pPr>
      <w:r>
        <w:rPr>
          <w:rStyle w:val="FootnoteReference"/>
        </w:rPr>
        <w:footnoteRef/>
      </w:r>
      <w:r>
        <w:rPr>
          <w:rtl/>
        </w:rPr>
        <w:t xml:space="preserve"> </w:t>
      </w:r>
      <w:r w:rsidRPr="00AB5C0A">
        <w:t>Zocalo</w:t>
      </w:r>
    </w:p>
  </w:footnote>
  <w:footnote w:id="2158">
    <w:p w14:paraId="47149D45" w14:textId="77777777" w:rsidR="00B47FF5" w:rsidRDefault="00B47FF5" w:rsidP="00537CC8">
      <w:pPr>
        <w:pStyle w:val="FootnoteText"/>
      </w:pPr>
      <w:r>
        <w:rPr>
          <w:rStyle w:val="FootnoteReference"/>
        </w:rPr>
        <w:footnoteRef/>
      </w:r>
      <w:r>
        <w:rPr>
          <w:rtl/>
        </w:rPr>
        <w:t xml:space="preserve"> </w:t>
      </w:r>
      <w:r w:rsidRPr="002D45FF">
        <w:t>Infotopia</w:t>
      </w:r>
    </w:p>
  </w:footnote>
  <w:footnote w:id="2159">
    <w:p w14:paraId="7CE22CB7" w14:textId="77777777" w:rsidR="00B47FF5" w:rsidRDefault="00B47FF5" w:rsidP="00537CC8">
      <w:pPr>
        <w:pStyle w:val="FootnoteText"/>
      </w:pPr>
      <w:r>
        <w:rPr>
          <w:rStyle w:val="FootnoteReference"/>
        </w:rPr>
        <w:footnoteRef/>
      </w:r>
      <w:r>
        <w:rPr>
          <w:rtl/>
        </w:rPr>
        <w:t xml:space="preserve"> </w:t>
      </w:r>
      <w:r w:rsidRPr="00AB5C0A">
        <w:t>Cass Sunstein</w:t>
      </w:r>
    </w:p>
  </w:footnote>
  <w:footnote w:id="2160">
    <w:p w14:paraId="0BDA61B8" w14:textId="77777777" w:rsidR="00B47FF5" w:rsidRDefault="00B47FF5" w:rsidP="00537CC8">
      <w:pPr>
        <w:pStyle w:val="FootnoteText"/>
      </w:pPr>
      <w:r>
        <w:rPr>
          <w:rStyle w:val="FootnoteReference"/>
        </w:rPr>
        <w:footnoteRef/>
      </w:r>
      <w:r>
        <w:rPr>
          <w:rtl/>
        </w:rPr>
        <w:t xml:space="preserve"> </w:t>
      </w:r>
      <w:r w:rsidRPr="004C6BC7">
        <w:t>Oracles: How Prediction Markets turn Employees into Visionaries</w:t>
      </w:r>
    </w:p>
  </w:footnote>
  <w:footnote w:id="2161">
    <w:p w14:paraId="53E37F6C" w14:textId="77777777" w:rsidR="00B47FF5" w:rsidRDefault="00B47FF5" w:rsidP="00537CC8">
      <w:pPr>
        <w:pStyle w:val="FootnoteText"/>
      </w:pPr>
      <w:r>
        <w:rPr>
          <w:rStyle w:val="FootnoteReference"/>
        </w:rPr>
        <w:footnoteRef/>
      </w:r>
      <w:r>
        <w:rPr>
          <w:rtl/>
        </w:rPr>
        <w:t xml:space="preserve"> </w:t>
      </w:r>
      <w:r w:rsidRPr="00AB5C0A">
        <w:t>Don Thompson</w:t>
      </w:r>
    </w:p>
  </w:footnote>
  <w:footnote w:id="2162">
    <w:p w14:paraId="599C392F" w14:textId="77777777" w:rsidR="00B47FF5" w:rsidRDefault="00B47FF5" w:rsidP="00537CC8">
      <w:pPr>
        <w:pStyle w:val="FootnoteText"/>
      </w:pPr>
      <w:r>
        <w:rPr>
          <w:rStyle w:val="FootnoteReference"/>
        </w:rPr>
        <w:footnoteRef/>
      </w:r>
      <w:r>
        <w:rPr>
          <w:rtl/>
        </w:rPr>
        <w:t xml:space="preserve"> </w:t>
      </w:r>
      <w:r w:rsidRPr="00AB5C0A">
        <w:t>Jelly Bean</w:t>
      </w:r>
    </w:p>
  </w:footnote>
  <w:footnote w:id="2163">
    <w:p w14:paraId="594AAFF1" w14:textId="77777777" w:rsidR="00B47FF5" w:rsidRDefault="00B47FF5" w:rsidP="00537CC8">
      <w:pPr>
        <w:pStyle w:val="FootnoteText"/>
      </w:pPr>
      <w:r>
        <w:rPr>
          <w:rStyle w:val="FootnoteReference"/>
        </w:rPr>
        <w:footnoteRef/>
      </w:r>
      <w:r>
        <w:rPr>
          <w:rtl/>
        </w:rPr>
        <w:t xml:space="preserve"> </w:t>
      </w:r>
      <w:r w:rsidRPr="004C6BC7">
        <w:t>The Difference</w:t>
      </w:r>
    </w:p>
  </w:footnote>
  <w:footnote w:id="2164">
    <w:p w14:paraId="214C91A9" w14:textId="77777777" w:rsidR="00B47FF5" w:rsidRDefault="00B47FF5" w:rsidP="00537CC8">
      <w:pPr>
        <w:pStyle w:val="FootnoteText"/>
      </w:pPr>
      <w:r>
        <w:rPr>
          <w:rStyle w:val="FootnoteReference"/>
        </w:rPr>
        <w:footnoteRef/>
      </w:r>
      <w:r>
        <w:rPr>
          <w:rtl/>
        </w:rPr>
        <w:t xml:space="preserve"> </w:t>
      </w:r>
      <w:r w:rsidRPr="00AB5C0A">
        <w:t>Scott Page</w:t>
      </w:r>
    </w:p>
  </w:footnote>
  <w:footnote w:id="2165">
    <w:p w14:paraId="117CC375" w14:textId="77777777" w:rsidR="00B47FF5" w:rsidRDefault="00B47FF5" w:rsidP="00537CC8">
      <w:pPr>
        <w:pStyle w:val="FootnoteText"/>
      </w:pPr>
      <w:r>
        <w:rPr>
          <w:rStyle w:val="FootnoteReference"/>
        </w:rPr>
        <w:footnoteRef/>
      </w:r>
      <w:r>
        <w:rPr>
          <w:rtl/>
        </w:rPr>
        <w:t xml:space="preserve"> </w:t>
      </w:r>
      <w:r w:rsidRPr="00AB5C0A">
        <w:t>Nate Silver</w:t>
      </w:r>
    </w:p>
  </w:footnote>
  <w:footnote w:id="2166">
    <w:p w14:paraId="7A6328C8" w14:textId="77777777" w:rsidR="00B47FF5" w:rsidRDefault="00B47FF5" w:rsidP="00537CC8">
      <w:pPr>
        <w:pStyle w:val="FootnoteText"/>
      </w:pPr>
      <w:r>
        <w:rPr>
          <w:rStyle w:val="FootnoteReference"/>
        </w:rPr>
        <w:footnoteRef/>
      </w:r>
      <w:r>
        <w:rPr>
          <w:rtl/>
        </w:rPr>
        <w:t xml:space="preserve"> </w:t>
      </w:r>
      <w:r w:rsidRPr="00AC1D18">
        <w:t>Good Judgment Project</w:t>
      </w:r>
    </w:p>
  </w:footnote>
  <w:footnote w:id="2167">
    <w:p w14:paraId="49207339" w14:textId="577BF34E" w:rsidR="00B47FF5" w:rsidRDefault="00B47FF5" w:rsidP="00537CC8">
      <w:pPr>
        <w:pStyle w:val="FootnoteText"/>
      </w:pPr>
      <w:r>
        <w:rPr>
          <w:rStyle w:val="FootnoteReference"/>
        </w:rPr>
        <w:footnoteRef/>
      </w:r>
      <w:r>
        <w:rPr>
          <w:rtl/>
        </w:rPr>
        <w:t xml:space="preserve"> </w:t>
      </w:r>
      <w:r>
        <w:t>Reinsurers</w:t>
      </w:r>
    </w:p>
  </w:footnote>
  <w:footnote w:id="2168">
    <w:p w14:paraId="7CF12134" w14:textId="77777777" w:rsidR="00B47FF5" w:rsidRDefault="00B47FF5" w:rsidP="00537CC8">
      <w:pPr>
        <w:pStyle w:val="FootnoteText"/>
      </w:pPr>
      <w:r>
        <w:rPr>
          <w:rStyle w:val="FootnoteReference"/>
        </w:rPr>
        <w:footnoteRef/>
      </w:r>
      <w:r>
        <w:rPr>
          <w:rtl/>
        </w:rPr>
        <w:t xml:space="preserve"> </w:t>
      </w:r>
      <w:r w:rsidRPr="00901FC0">
        <w:t>Munich Re</w:t>
      </w:r>
    </w:p>
  </w:footnote>
  <w:footnote w:id="2169">
    <w:p w14:paraId="4993BD61" w14:textId="77777777" w:rsidR="00B47FF5" w:rsidRDefault="00B47FF5" w:rsidP="00537CC8">
      <w:pPr>
        <w:pStyle w:val="FootnoteText"/>
      </w:pPr>
      <w:r>
        <w:rPr>
          <w:rStyle w:val="FootnoteReference"/>
        </w:rPr>
        <w:footnoteRef/>
      </w:r>
      <w:r>
        <w:rPr>
          <w:rtl/>
        </w:rPr>
        <w:t xml:space="preserve"> </w:t>
      </w:r>
      <w:r w:rsidRPr="00901FC0">
        <w:t>Swiss Re</w:t>
      </w:r>
    </w:p>
  </w:footnote>
  <w:footnote w:id="2170">
    <w:p w14:paraId="7593511B" w14:textId="77777777" w:rsidR="00B47FF5" w:rsidRDefault="00B47FF5" w:rsidP="00537CC8">
      <w:pPr>
        <w:pStyle w:val="FootnoteText"/>
      </w:pPr>
      <w:r>
        <w:rPr>
          <w:rStyle w:val="FootnoteReference"/>
        </w:rPr>
        <w:footnoteRef/>
      </w:r>
      <w:r>
        <w:rPr>
          <w:rtl/>
        </w:rPr>
        <w:t xml:space="preserve"> </w:t>
      </w:r>
      <w:r w:rsidRPr="00852CE8">
        <w:t>Identifying and Managing Project Risk</w:t>
      </w:r>
    </w:p>
  </w:footnote>
  <w:footnote w:id="2171">
    <w:p w14:paraId="2F9B60BC" w14:textId="77777777" w:rsidR="00B47FF5" w:rsidRDefault="00B47FF5" w:rsidP="00537CC8">
      <w:pPr>
        <w:pStyle w:val="FootnoteText"/>
      </w:pPr>
      <w:r>
        <w:rPr>
          <w:rStyle w:val="FootnoteReference"/>
        </w:rPr>
        <w:footnoteRef/>
      </w:r>
      <w:r>
        <w:rPr>
          <w:rtl/>
        </w:rPr>
        <w:t xml:space="preserve"> </w:t>
      </w:r>
      <w:r w:rsidRPr="00270FAB">
        <w:t>Tom Kendrick</w:t>
      </w:r>
    </w:p>
  </w:footnote>
  <w:footnote w:id="2172">
    <w:p w14:paraId="76DAE3BC" w14:textId="77777777" w:rsidR="00B47FF5" w:rsidRDefault="00B47FF5" w:rsidP="00537CC8">
      <w:pPr>
        <w:pStyle w:val="FootnoteText"/>
      </w:pPr>
      <w:r>
        <w:rPr>
          <w:rStyle w:val="FootnoteReference"/>
        </w:rPr>
        <w:footnoteRef/>
      </w:r>
      <w:r>
        <w:rPr>
          <w:rtl/>
        </w:rPr>
        <w:t xml:space="preserve"> </w:t>
      </w:r>
      <w:r w:rsidRPr="00852CE8">
        <w:t>The Failure of Risk Management</w:t>
      </w:r>
    </w:p>
  </w:footnote>
  <w:footnote w:id="2173">
    <w:p w14:paraId="465FA286" w14:textId="77777777" w:rsidR="00B47FF5" w:rsidRDefault="00B47FF5" w:rsidP="00537CC8">
      <w:pPr>
        <w:pStyle w:val="FootnoteText"/>
      </w:pPr>
      <w:r>
        <w:rPr>
          <w:rStyle w:val="FootnoteReference"/>
        </w:rPr>
        <w:footnoteRef/>
      </w:r>
      <w:r>
        <w:rPr>
          <w:rtl/>
        </w:rPr>
        <w:t xml:space="preserve"> </w:t>
      </w:r>
      <w:r w:rsidRPr="00270FAB">
        <w:t>Doug Hubbard</w:t>
      </w:r>
    </w:p>
  </w:footnote>
  <w:footnote w:id="2174">
    <w:p w14:paraId="5DEAD900" w14:textId="1B6B4C65" w:rsidR="00B47FF5" w:rsidRDefault="00B47FF5" w:rsidP="00537CC8">
      <w:pPr>
        <w:pStyle w:val="FootnoteText"/>
      </w:pPr>
      <w:r>
        <w:rPr>
          <w:rStyle w:val="FootnoteReference"/>
        </w:rPr>
        <w:footnoteRef/>
      </w:r>
      <w:r>
        <w:rPr>
          <w:rtl/>
        </w:rPr>
        <w:t xml:space="preserve"> </w:t>
      </w:r>
      <w:r>
        <w:t>Intellectual honesty</w:t>
      </w:r>
    </w:p>
  </w:footnote>
  <w:footnote w:id="2175">
    <w:p w14:paraId="1593CB8A" w14:textId="0BBE45B9" w:rsidR="00B47FF5" w:rsidRDefault="00B47FF5" w:rsidP="00537CC8">
      <w:pPr>
        <w:pStyle w:val="FootnoteText"/>
      </w:pPr>
      <w:r>
        <w:rPr>
          <w:rStyle w:val="FootnoteReference"/>
        </w:rPr>
        <w:footnoteRef/>
      </w:r>
      <w:r>
        <w:rPr>
          <w:rtl/>
        </w:rPr>
        <w:t xml:space="preserve"> </w:t>
      </w:r>
      <w:r>
        <w:t>Positive Sum</w:t>
      </w:r>
    </w:p>
  </w:footnote>
  <w:footnote w:id="2176">
    <w:p w14:paraId="61F42E3E" w14:textId="25DFEC7D" w:rsidR="00B47FF5" w:rsidRDefault="00B47FF5" w:rsidP="00537CC8">
      <w:pPr>
        <w:pStyle w:val="FootnoteText"/>
      </w:pPr>
      <w:r>
        <w:rPr>
          <w:rStyle w:val="FootnoteReference"/>
        </w:rPr>
        <w:footnoteRef/>
      </w:r>
      <w:r>
        <w:rPr>
          <w:rtl/>
        </w:rPr>
        <w:t xml:space="preserve"> </w:t>
      </w:r>
      <w:r w:rsidRPr="00396D74">
        <w:t>Demographic transition</w:t>
      </w:r>
    </w:p>
  </w:footnote>
  <w:footnote w:id="2177">
    <w:p w14:paraId="6F9EFACE" w14:textId="77777777" w:rsidR="00B47FF5" w:rsidRDefault="00B47FF5" w:rsidP="00537CC8">
      <w:pPr>
        <w:pStyle w:val="FootnoteText"/>
      </w:pPr>
      <w:r>
        <w:rPr>
          <w:rStyle w:val="FootnoteReference"/>
        </w:rPr>
        <w:footnoteRef/>
      </w:r>
      <w:r>
        <w:rPr>
          <w:rtl/>
        </w:rPr>
        <w:t xml:space="preserve"> </w:t>
      </w:r>
      <w:r w:rsidRPr="00270FAB">
        <w:t>Ron Inglehart</w:t>
      </w:r>
    </w:p>
  </w:footnote>
  <w:footnote w:id="2178">
    <w:p w14:paraId="41089B76" w14:textId="77777777" w:rsidR="00B47FF5" w:rsidRDefault="00B47FF5" w:rsidP="00537CC8">
      <w:pPr>
        <w:pStyle w:val="FootnoteText"/>
      </w:pPr>
      <w:r>
        <w:rPr>
          <w:rStyle w:val="FootnoteReference"/>
        </w:rPr>
        <w:footnoteRef/>
      </w:r>
      <w:r>
        <w:rPr>
          <w:rtl/>
        </w:rPr>
        <w:t xml:space="preserve"> </w:t>
      </w:r>
      <w:r w:rsidRPr="003F3229">
        <w:t>The Silent Revolution</w:t>
      </w:r>
    </w:p>
  </w:footnote>
  <w:footnote w:id="2179">
    <w:p w14:paraId="0240C3A1" w14:textId="77777777" w:rsidR="00B47FF5" w:rsidRDefault="00B47FF5" w:rsidP="00537CC8">
      <w:pPr>
        <w:pStyle w:val="FootnoteText"/>
      </w:pPr>
      <w:r>
        <w:rPr>
          <w:rStyle w:val="FootnoteReference"/>
        </w:rPr>
        <w:footnoteRef/>
      </w:r>
      <w:r>
        <w:rPr>
          <w:rtl/>
        </w:rPr>
        <w:t xml:space="preserve"> </w:t>
      </w:r>
      <w:r>
        <w:t>Bargaining</w:t>
      </w:r>
    </w:p>
  </w:footnote>
  <w:footnote w:id="2180">
    <w:p w14:paraId="099DAF17" w14:textId="77777777" w:rsidR="00B47FF5" w:rsidRDefault="00B47FF5" w:rsidP="00537CC8">
      <w:pPr>
        <w:pStyle w:val="FootnoteText"/>
      </w:pPr>
      <w:r>
        <w:rPr>
          <w:rStyle w:val="FootnoteReference"/>
        </w:rPr>
        <w:footnoteRef/>
      </w:r>
      <w:r>
        <w:rPr>
          <w:rtl/>
        </w:rPr>
        <w:t xml:space="preserve"> </w:t>
      </w:r>
      <w:r w:rsidRPr="003F3229">
        <w:t>Ignoring, Denying, Anger, Bargaining</w:t>
      </w:r>
      <w:r>
        <w:t>,</w:t>
      </w:r>
      <w:r w:rsidRPr="003F3229">
        <w:t xml:space="preserve"> Depression, Acceptance, Commitment</w:t>
      </w:r>
    </w:p>
  </w:footnote>
  <w:footnote w:id="2181">
    <w:p w14:paraId="0152B04C" w14:textId="4519342F" w:rsidR="00B47FF5" w:rsidRDefault="00B47FF5" w:rsidP="00537CC8">
      <w:pPr>
        <w:pStyle w:val="FootnoteText"/>
      </w:pPr>
      <w:r>
        <w:rPr>
          <w:rStyle w:val="FootnoteReference"/>
        </w:rPr>
        <w:footnoteRef/>
      </w:r>
      <w:r>
        <w:rPr>
          <w:rtl/>
        </w:rPr>
        <w:t xml:space="preserve"> </w:t>
      </w:r>
      <w:r w:rsidRPr="0081475E">
        <w:t>Self-preventing</w:t>
      </w:r>
    </w:p>
  </w:footnote>
  <w:footnote w:id="2182">
    <w:p w14:paraId="5C41FAC9" w14:textId="77777777" w:rsidR="00B47FF5" w:rsidRDefault="00B47FF5" w:rsidP="00537CC8">
      <w:pPr>
        <w:pStyle w:val="FootnoteText"/>
      </w:pPr>
      <w:r>
        <w:rPr>
          <w:rStyle w:val="FootnoteReference"/>
        </w:rPr>
        <w:footnoteRef/>
      </w:r>
      <w:r>
        <w:rPr>
          <w:rtl/>
        </w:rPr>
        <w:t xml:space="preserve"> </w:t>
      </w:r>
      <w:r w:rsidRPr="00270FAB">
        <w:t>Hans Rosling</w:t>
      </w:r>
    </w:p>
  </w:footnote>
  <w:footnote w:id="2183">
    <w:p w14:paraId="6A3EE1E3" w14:textId="77777777" w:rsidR="00B47FF5" w:rsidRDefault="00B47FF5" w:rsidP="00537CC8">
      <w:pPr>
        <w:pStyle w:val="FootnoteText"/>
      </w:pPr>
      <w:r>
        <w:rPr>
          <w:rStyle w:val="FootnoteReference"/>
        </w:rPr>
        <w:footnoteRef/>
      </w:r>
      <w:r>
        <w:rPr>
          <w:rtl/>
        </w:rPr>
        <w:t xml:space="preserve"> </w:t>
      </w:r>
      <w:r w:rsidRPr="00313F32">
        <w:t>Don’t Panic: The Truth About Population</w:t>
      </w:r>
    </w:p>
  </w:footnote>
  <w:footnote w:id="2184">
    <w:p w14:paraId="096CC352" w14:textId="0E278268" w:rsidR="00B47FF5" w:rsidRDefault="00B47FF5" w:rsidP="00537CC8">
      <w:pPr>
        <w:pStyle w:val="FootnoteText"/>
      </w:pPr>
      <w:r>
        <w:rPr>
          <w:rStyle w:val="FootnoteReference"/>
        </w:rPr>
        <w:footnoteRef/>
      </w:r>
      <w:r>
        <w:rPr>
          <w:rtl/>
        </w:rPr>
        <w:t xml:space="preserve"> </w:t>
      </w:r>
      <w:r>
        <w:t>Projection</w:t>
      </w:r>
    </w:p>
  </w:footnote>
  <w:footnote w:id="2185">
    <w:p w14:paraId="2C8DCBF3" w14:textId="6DDEC4E3" w:rsidR="00B47FF5" w:rsidRDefault="00B47FF5" w:rsidP="00537CC8">
      <w:pPr>
        <w:pStyle w:val="FootnoteText"/>
      </w:pPr>
      <w:r>
        <w:rPr>
          <w:rStyle w:val="FootnoteReference"/>
        </w:rPr>
        <w:footnoteRef/>
      </w:r>
      <w:r>
        <w:rPr>
          <w:rtl/>
        </w:rPr>
        <w:t xml:space="preserve"> </w:t>
      </w:r>
      <w:r w:rsidRPr="0081475E">
        <w:t>Self-Preventing Prophecies</w:t>
      </w:r>
    </w:p>
  </w:footnote>
  <w:footnote w:id="2186">
    <w:p w14:paraId="56D5F4BB" w14:textId="69CE2821" w:rsidR="00B47FF5" w:rsidRDefault="00B47FF5" w:rsidP="00537CC8">
      <w:pPr>
        <w:pStyle w:val="FootnoteText"/>
      </w:pPr>
      <w:r>
        <w:rPr>
          <w:rStyle w:val="FootnoteReference"/>
        </w:rPr>
        <w:footnoteRef/>
      </w:r>
      <w:r>
        <w:rPr>
          <w:rtl/>
        </w:rPr>
        <w:t xml:space="preserve"> </w:t>
      </w:r>
      <w:r w:rsidRPr="00822512">
        <w:t>Self-serving</w:t>
      </w:r>
    </w:p>
  </w:footnote>
  <w:footnote w:id="2187">
    <w:p w14:paraId="691A8066" w14:textId="77777777" w:rsidR="00B47FF5" w:rsidRDefault="00B47FF5" w:rsidP="00537CC8">
      <w:pPr>
        <w:pStyle w:val="FootnoteText"/>
      </w:pPr>
      <w:r>
        <w:rPr>
          <w:rStyle w:val="FootnoteReference"/>
        </w:rPr>
        <w:footnoteRef/>
      </w:r>
      <w:r>
        <w:rPr>
          <w:rtl/>
        </w:rPr>
        <w:t xml:space="preserve"> </w:t>
      </w:r>
      <w:r w:rsidRPr="00C82260">
        <w:t>Fewer</w:t>
      </w:r>
    </w:p>
  </w:footnote>
  <w:footnote w:id="2188">
    <w:p w14:paraId="38BCBA6C" w14:textId="77777777" w:rsidR="00B47FF5" w:rsidRDefault="00B47FF5" w:rsidP="00537CC8">
      <w:pPr>
        <w:pStyle w:val="FootnoteText"/>
      </w:pPr>
      <w:r>
        <w:rPr>
          <w:rStyle w:val="FootnoteReference"/>
        </w:rPr>
        <w:footnoteRef/>
      </w:r>
      <w:r>
        <w:rPr>
          <w:rtl/>
        </w:rPr>
        <w:t xml:space="preserve"> </w:t>
      </w:r>
      <w:r w:rsidRPr="000C5DA2">
        <w:t>Ben Wattenberg</w:t>
      </w:r>
    </w:p>
  </w:footnote>
  <w:footnote w:id="2189">
    <w:p w14:paraId="3B489441" w14:textId="77777777" w:rsidR="00B47FF5" w:rsidRDefault="00B47FF5" w:rsidP="00537CC8">
      <w:pPr>
        <w:pStyle w:val="FootnoteText"/>
      </w:pPr>
      <w:r>
        <w:rPr>
          <w:rStyle w:val="FootnoteReference"/>
        </w:rPr>
        <w:footnoteRef/>
      </w:r>
      <w:r>
        <w:rPr>
          <w:rtl/>
        </w:rPr>
        <w:t xml:space="preserve"> </w:t>
      </w:r>
      <w:r w:rsidRPr="000C5DA2">
        <w:t>Bricker</w:t>
      </w:r>
    </w:p>
  </w:footnote>
  <w:footnote w:id="2190">
    <w:p w14:paraId="6A6C6557" w14:textId="77777777" w:rsidR="00B47FF5" w:rsidRDefault="00B47FF5" w:rsidP="00537CC8">
      <w:pPr>
        <w:pStyle w:val="FootnoteText"/>
      </w:pPr>
      <w:r>
        <w:rPr>
          <w:rStyle w:val="FootnoteReference"/>
        </w:rPr>
        <w:footnoteRef/>
      </w:r>
      <w:r>
        <w:rPr>
          <w:rtl/>
        </w:rPr>
        <w:t xml:space="preserve"> </w:t>
      </w:r>
      <w:r w:rsidRPr="000C5DA2">
        <w:t>Ibbitson</w:t>
      </w:r>
    </w:p>
  </w:footnote>
  <w:footnote w:id="2191">
    <w:p w14:paraId="5B78B1BD" w14:textId="77777777" w:rsidR="00B47FF5" w:rsidRDefault="00B47FF5" w:rsidP="00537CC8">
      <w:pPr>
        <w:pStyle w:val="FootnoteText"/>
      </w:pPr>
      <w:r>
        <w:rPr>
          <w:rStyle w:val="FootnoteReference"/>
        </w:rPr>
        <w:footnoteRef/>
      </w:r>
      <w:r>
        <w:rPr>
          <w:rtl/>
        </w:rPr>
        <w:t xml:space="preserve"> </w:t>
      </w:r>
      <w:r w:rsidRPr="00822512">
        <w:t>Empty Planet</w:t>
      </w:r>
    </w:p>
  </w:footnote>
  <w:footnote w:id="2192">
    <w:p w14:paraId="40479885" w14:textId="77777777" w:rsidR="00B47FF5" w:rsidRDefault="00B47FF5" w:rsidP="00537CC8">
      <w:pPr>
        <w:pStyle w:val="FootnoteText"/>
      </w:pPr>
      <w:r>
        <w:rPr>
          <w:rStyle w:val="FootnoteReference"/>
        </w:rPr>
        <w:footnoteRef/>
      </w:r>
      <w:r>
        <w:rPr>
          <w:rtl/>
        </w:rPr>
        <w:t xml:space="preserve"> </w:t>
      </w:r>
      <w:r w:rsidRPr="00822512">
        <w:t>Age of Peaks</w:t>
      </w:r>
    </w:p>
  </w:footnote>
  <w:footnote w:id="2193">
    <w:p w14:paraId="15B2FFA2" w14:textId="77777777" w:rsidR="00B47FF5" w:rsidRDefault="00B47FF5" w:rsidP="00537CC8">
      <w:pPr>
        <w:pStyle w:val="FootnoteText"/>
      </w:pPr>
      <w:r>
        <w:rPr>
          <w:rStyle w:val="FootnoteReference"/>
        </w:rPr>
        <w:footnoteRef/>
      </w:r>
      <w:r>
        <w:rPr>
          <w:rtl/>
        </w:rPr>
        <w:t xml:space="preserve"> </w:t>
      </w:r>
      <w:r w:rsidRPr="000C5DA2">
        <w:t>Irene Sun</w:t>
      </w:r>
    </w:p>
  </w:footnote>
  <w:footnote w:id="2194">
    <w:p w14:paraId="0F05B11D" w14:textId="77777777" w:rsidR="00B47FF5" w:rsidRDefault="00B47FF5" w:rsidP="00537CC8">
      <w:pPr>
        <w:pStyle w:val="FootnoteText"/>
      </w:pPr>
      <w:r>
        <w:rPr>
          <w:rStyle w:val="FootnoteReference"/>
        </w:rPr>
        <w:footnoteRef/>
      </w:r>
      <w:r>
        <w:rPr>
          <w:rtl/>
        </w:rPr>
        <w:t xml:space="preserve"> </w:t>
      </w:r>
      <w:r w:rsidRPr="006C6DFC">
        <w:t>The Next Factory of the World: How</w:t>
      </w:r>
      <w:r>
        <w:t xml:space="preserve"> </w:t>
      </w:r>
      <w:r w:rsidRPr="006C6DFC">
        <w:t>Chinese Investment is Reshaping Africa</w:t>
      </w:r>
    </w:p>
  </w:footnote>
  <w:footnote w:id="2195">
    <w:p w14:paraId="68684F0B" w14:textId="77777777" w:rsidR="00B47FF5" w:rsidRDefault="00B47FF5" w:rsidP="00537CC8">
      <w:pPr>
        <w:pStyle w:val="FootnoteText"/>
      </w:pPr>
      <w:r>
        <w:rPr>
          <w:rStyle w:val="FootnoteReference"/>
        </w:rPr>
        <w:footnoteRef/>
      </w:r>
      <w:r>
        <w:rPr>
          <w:rtl/>
        </w:rPr>
        <w:t xml:space="preserve"> </w:t>
      </w:r>
      <w:r w:rsidRPr="000C5DA2">
        <w:t>Bill Easterly</w:t>
      </w:r>
    </w:p>
  </w:footnote>
  <w:footnote w:id="2196">
    <w:p w14:paraId="04AD4AF7" w14:textId="77777777" w:rsidR="00B47FF5" w:rsidRDefault="00B47FF5" w:rsidP="00537CC8">
      <w:pPr>
        <w:pStyle w:val="FootnoteText"/>
      </w:pPr>
      <w:r>
        <w:rPr>
          <w:rStyle w:val="FootnoteReference"/>
        </w:rPr>
        <w:footnoteRef/>
      </w:r>
      <w:r>
        <w:rPr>
          <w:rtl/>
        </w:rPr>
        <w:t xml:space="preserve"> </w:t>
      </w:r>
      <w:r w:rsidRPr="006B6154">
        <w:t>Tyranny of Experts</w:t>
      </w:r>
    </w:p>
  </w:footnote>
  <w:footnote w:id="2197">
    <w:p w14:paraId="0721A3C6" w14:textId="77777777" w:rsidR="00B47FF5" w:rsidRDefault="00B47FF5" w:rsidP="00537CC8">
      <w:pPr>
        <w:pStyle w:val="FootnoteText"/>
      </w:pPr>
      <w:r>
        <w:rPr>
          <w:rStyle w:val="FootnoteReference"/>
        </w:rPr>
        <w:footnoteRef/>
      </w:r>
      <w:r>
        <w:rPr>
          <w:rtl/>
        </w:rPr>
        <w:t xml:space="preserve"> </w:t>
      </w:r>
      <w:r w:rsidRPr="006B6154">
        <w:t>One Belt One Road</w:t>
      </w:r>
    </w:p>
  </w:footnote>
  <w:footnote w:id="2198">
    <w:p w14:paraId="3094A5B1" w14:textId="77777777" w:rsidR="00B47FF5" w:rsidRDefault="00B47FF5" w:rsidP="00537CC8">
      <w:pPr>
        <w:pStyle w:val="FootnoteText"/>
      </w:pPr>
      <w:r>
        <w:rPr>
          <w:rStyle w:val="FootnoteReference"/>
        </w:rPr>
        <w:footnoteRef/>
      </w:r>
      <w:r>
        <w:rPr>
          <w:rtl/>
        </w:rPr>
        <w:t xml:space="preserve"> </w:t>
      </w:r>
      <w:r w:rsidRPr="000C5DA2">
        <w:t>Abraham Lincoln</w:t>
      </w:r>
    </w:p>
  </w:footnote>
  <w:footnote w:id="2199">
    <w:p w14:paraId="51A54B12" w14:textId="77777777" w:rsidR="00B47FF5" w:rsidRDefault="00B47FF5" w:rsidP="00537CC8">
      <w:pPr>
        <w:pStyle w:val="FootnoteText"/>
      </w:pPr>
      <w:r>
        <w:rPr>
          <w:rStyle w:val="FootnoteReference"/>
        </w:rPr>
        <w:footnoteRef/>
      </w:r>
      <w:r>
        <w:rPr>
          <w:rtl/>
        </w:rPr>
        <w:t xml:space="preserve"> </w:t>
      </w:r>
      <w:r w:rsidRPr="000C5DA2">
        <w:t>Alan Kay</w:t>
      </w:r>
    </w:p>
  </w:footnote>
  <w:footnote w:id="2200">
    <w:p w14:paraId="4D3DCE3A" w14:textId="77777777" w:rsidR="00B47FF5" w:rsidRDefault="00B47FF5" w:rsidP="00537CC8">
      <w:pPr>
        <w:pStyle w:val="FootnoteText"/>
      </w:pPr>
      <w:r>
        <w:rPr>
          <w:rStyle w:val="FootnoteReference"/>
        </w:rPr>
        <w:footnoteRef/>
      </w:r>
      <w:r>
        <w:rPr>
          <w:rtl/>
        </w:rPr>
        <w:t xml:space="preserve"> </w:t>
      </w:r>
      <w:r w:rsidRPr="000C5DA2">
        <w:t>Brian Solis</w:t>
      </w:r>
    </w:p>
  </w:footnote>
  <w:footnote w:id="2201">
    <w:p w14:paraId="571D54FF" w14:textId="77777777" w:rsidR="00B47FF5" w:rsidRDefault="00B47FF5" w:rsidP="00537CC8">
      <w:pPr>
        <w:pStyle w:val="FootnoteText"/>
      </w:pPr>
      <w:r>
        <w:rPr>
          <w:rStyle w:val="FootnoteReference"/>
        </w:rPr>
        <w:footnoteRef/>
      </w:r>
      <w:r>
        <w:rPr>
          <w:rtl/>
        </w:rPr>
        <w:t xml:space="preserve"> </w:t>
      </w:r>
      <w:r w:rsidRPr="006D7C6D">
        <w:t>Just Start</w:t>
      </w:r>
    </w:p>
  </w:footnote>
  <w:footnote w:id="2202">
    <w:p w14:paraId="1B5290E2" w14:textId="77777777" w:rsidR="00B47FF5" w:rsidRDefault="00B47FF5" w:rsidP="00537CC8">
      <w:pPr>
        <w:pStyle w:val="FootnoteText"/>
      </w:pPr>
      <w:r>
        <w:rPr>
          <w:rStyle w:val="FootnoteReference"/>
        </w:rPr>
        <w:footnoteRef/>
      </w:r>
      <w:r>
        <w:rPr>
          <w:rtl/>
        </w:rPr>
        <w:t xml:space="preserve"> </w:t>
      </w:r>
      <w:r w:rsidRPr="000C5DA2">
        <w:t>Schlesinger</w:t>
      </w:r>
    </w:p>
  </w:footnote>
  <w:footnote w:id="2203">
    <w:p w14:paraId="498CE433" w14:textId="77777777" w:rsidR="00B47FF5" w:rsidRDefault="00B47FF5" w:rsidP="00537CC8">
      <w:pPr>
        <w:pStyle w:val="FootnoteText"/>
      </w:pPr>
      <w:r>
        <w:rPr>
          <w:rStyle w:val="FootnoteReference"/>
        </w:rPr>
        <w:footnoteRef/>
      </w:r>
      <w:r>
        <w:rPr>
          <w:rtl/>
        </w:rPr>
        <w:t xml:space="preserve"> </w:t>
      </w:r>
      <w:r w:rsidRPr="006B6154">
        <w:t>Volatility</w:t>
      </w:r>
    </w:p>
  </w:footnote>
  <w:footnote w:id="2204">
    <w:p w14:paraId="3D1B57E9" w14:textId="77777777" w:rsidR="00B47FF5" w:rsidRDefault="00B47FF5" w:rsidP="00537CC8">
      <w:pPr>
        <w:pStyle w:val="FootnoteText"/>
      </w:pPr>
      <w:r>
        <w:rPr>
          <w:rStyle w:val="FootnoteReference"/>
        </w:rPr>
        <w:footnoteRef/>
      </w:r>
      <w:r>
        <w:rPr>
          <w:rtl/>
        </w:rPr>
        <w:t xml:space="preserve"> </w:t>
      </w:r>
      <w:r w:rsidRPr="006B6154">
        <w:t>Ambiguity</w:t>
      </w:r>
    </w:p>
  </w:footnote>
  <w:footnote w:id="2205">
    <w:p w14:paraId="5D086840" w14:textId="34EE0962" w:rsidR="00B47FF5" w:rsidRDefault="00B47FF5" w:rsidP="00537CC8">
      <w:pPr>
        <w:pStyle w:val="FootnoteText"/>
      </w:pPr>
      <w:r>
        <w:rPr>
          <w:rStyle w:val="FootnoteReference"/>
        </w:rPr>
        <w:footnoteRef/>
      </w:r>
      <w:r>
        <w:rPr>
          <w:rtl/>
        </w:rPr>
        <w:t xml:space="preserve"> </w:t>
      </w:r>
      <w:r w:rsidRPr="002B007D">
        <w:t>Alternative Futures</w:t>
      </w:r>
    </w:p>
  </w:footnote>
  <w:footnote w:id="2206">
    <w:p w14:paraId="26943A97" w14:textId="0DB3AE94" w:rsidR="00B47FF5" w:rsidRDefault="00B47FF5" w:rsidP="00537CC8">
      <w:pPr>
        <w:pStyle w:val="FootnoteText"/>
      </w:pPr>
      <w:r>
        <w:rPr>
          <w:rStyle w:val="FootnoteReference"/>
        </w:rPr>
        <w:footnoteRef/>
      </w:r>
      <w:r>
        <w:rPr>
          <w:rtl/>
        </w:rPr>
        <w:t xml:space="preserve"> </w:t>
      </w:r>
      <w:r w:rsidRPr="002B007D">
        <w:t>Cross Impact Analysis</w:t>
      </w:r>
    </w:p>
  </w:footnote>
  <w:footnote w:id="2207">
    <w:p w14:paraId="1F987671" w14:textId="60F64894" w:rsidR="00B47FF5" w:rsidRDefault="00B47FF5" w:rsidP="00537CC8">
      <w:pPr>
        <w:pStyle w:val="FootnoteText"/>
      </w:pPr>
      <w:r>
        <w:rPr>
          <w:rStyle w:val="FootnoteReference"/>
        </w:rPr>
        <w:footnoteRef/>
      </w:r>
      <w:r>
        <w:rPr>
          <w:rtl/>
        </w:rPr>
        <w:t xml:space="preserve"> </w:t>
      </w:r>
      <w:r w:rsidRPr="000C5DA2">
        <w:t>Counterfactual</w:t>
      </w:r>
    </w:p>
  </w:footnote>
  <w:footnote w:id="2208">
    <w:p w14:paraId="3704A0BF" w14:textId="5B5086B9" w:rsidR="00B47FF5" w:rsidRDefault="00B47FF5" w:rsidP="00537CC8">
      <w:pPr>
        <w:pStyle w:val="FootnoteText"/>
      </w:pPr>
      <w:r>
        <w:rPr>
          <w:rStyle w:val="FootnoteReference"/>
        </w:rPr>
        <w:footnoteRef/>
      </w:r>
      <w:r>
        <w:rPr>
          <w:rtl/>
        </w:rPr>
        <w:t xml:space="preserve"> </w:t>
      </w:r>
      <w:r>
        <w:t>Deadline</w:t>
      </w:r>
    </w:p>
  </w:footnote>
  <w:footnote w:id="2209">
    <w:p w14:paraId="4797951B" w14:textId="77777777" w:rsidR="00B47FF5" w:rsidRDefault="00B47FF5" w:rsidP="00537CC8">
      <w:pPr>
        <w:pStyle w:val="FootnoteText"/>
      </w:pPr>
      <w:r>
        <w:rPr>
          <w:rStyle w:val="FootnoteReference"/>
        </w:rPr>
        <w:footnoteRef/>
      </w:r>
      <w:r>
        <w:rPr>
          <w:rtl/>
        </w:rPr>
        <w:t xml:space="preserve"> </w:t>
      </w:r>
      <w:r w:rsidRPr="000C5DA2">
        <w:t>Boston Consulting Group</w:t>
      </w:r>
    </w:p>
  </w:footnote>
  <w:footnote w:id="2210">
    <w:p w14:paraId="1D3FFEDC" w14:textId="77777777" w:rsidR="00B47FF5" w:rsidRDefault="00B47FF5" w:rsidP="00537CC8">
      <w:pPr>
        <w:pStyle w:val="FootnoteText"/>
      </w:pPr>
      <w:r>
        <w:rPr>
          <w:rStyle w:val="FootnoteReference"/>
        </w:rPr>
        <w:footnoteRef/>
      </w:r>
      <w:r>
        <w:rPr>
          <w:rtl/>
        </w:rPr>
        <w:t xml:space="preserve"> </w:t>
      </w:r>
      <w:r w:rsidRPr="000C5DA2">
        <w:t>Bain &amp; Company</w:t>
      </w:r>
    </w:p>
  </w:footnote>
  <w:footnote w:id="2211">
    <w:p w14:paraId="3B20ED6D" w14:textId="77777777" w:rsidR="00B47FF5" w:rsidRDefault="00B47FF5" w:rsidP="00537CC8">
      <w:pPr>
        <w:pStyle w:val="FootnoteText"/>
        <w:rPr>
          <w:rtl/>
        </w:rPr>
      </w:pPr>
      <w:r>
        <w:rPr>
          <w:rStyle w:val="FootnoteReference"/>
        </w:rPr>
        <w:footnoteRef/>
      </w:r>
      <w:r>
        <w:rPr>
          <w:rtl/>
        </w:rPr>
        <w:t xml:space="preserve"> </w:t>
      </w:r>
      <w:r>
        <w:t>99 designs</w:t>
      </w:r>
    </w:p>
  </w:footnote>
  <w:footnote w:id="2212">
    <w:p w14:paraId="79414E94" w14:textId="77777777" w:rsidR="00B47FF5" w:rsidRDefault="00B47FF5" w:rsidP="00537CC8">
      <w:pPr>
        <w:pStyle w:val="FootnoteText"/>
      </w:pPr>
      <w:r>
        <w:rPr>
          <w:rStyle w:val="FootnoteReference"/>
        </w:rPr>
        <w:footnoteRef/>
      </w:r>
      <w:r>
        <w:rPr>
          <w:rtl/>
        </w:rPr>
        <w:t xml:space="preserve"> </w:t>
      </w:r>
      <w:r w:rsidRPr="000C5DA2">
        <w:t>Open Ideo</w:t>
      </w:r>
    </w:p>
  </w:footnote>
  <w:footnote w:id="2213">
    <w:p w14:paraId="597077C1" w14:textId="0F858D35" w:rsidR="00B47FF5" w:rsidRDefault="00B47FF5" w:rsidP="00537CC8">
      <w:pPr>
        <w:pStyle w:val="FootnoteText"/>
      </w:pPr>
      <w:r>
        <w:rPr>
          <w:rStyle w:val="FootnoteReference"/>
        </w:rPr>
        <w:footnoteRef/>
      </w:r>
      <w:r>
        <w:rPr>
          <w:rtl/>
        </w:rPr>
        <w:t xml:space="preserve"> </w:t>
      </w:r>
      <w:r>
        <w:t xml:space="preserve">Learning from </w:t>
      </w:r>
      <w:r w:rsidRPr="00634148">
        <w:t xml:space="preserve">the Future: Competitive </w:t>
      </w:r>
      <w:r>
        <w:t>Foresight</w:t>
      </w:r>
      <w:r w:rsidRPr="00634148">
        <w:t xml:space="preserve"> Scenarios</w:t>
      </w:r>
    </w:p>
  </w:footnote>
  <w:footnote w:id="2214">
    <w:p w14:paraId="4AAF07D8" w14:textId="77777777" w:rsidR="00B47FF5" w:rsidRDefault="00B47FF5" w:rsidP="00537CC8">
      <w:pPr>
        <w:pStyle w:val="FootnoteText"/>
      </w:pPr>
      <w:r>
        <w:rPr>
          <w:rStyle w:val="FootnoteReference"/>
        </w:rPr>
        <w:footnoteRef/>
      </w:r>
      <w:r>
        <w:rPr>
          <w:rtl/>
        </w:rPr>
        <w:t xml:space="preserve"> </w:t>
      </w:r>
      <w:r w:rsidRPr="00187EDF">
        <w:t>Scenario learning</w:t>
      </w:r>
    </w:p>
  </w:footnote>
  <w:footnote w:id="2215">
    <w:p w14:paraId="37CCD66A" w14:textId="77777777" w:rsidR="00B47FF5" w:rsidRDefault="00B47FF5" w:rsidP="00537CC8">
      <w:pPr>
        <w:pStyle w:val="FootnoteText"/>
      </w:pPr>
      <w:r>
        <w:rPr>
          <w:rStyle w:val="FootnoteReference"/>
        </w:rPr>
        <w:footnoteRef/>
      </w:r>
      <w:r>
        <w:rPr>
          <w:rtl/>
        </w:rPr>
        <w:t xml:space="preserve"> </w:t>
      </w:r>
      <w:r w:rsidRPr="00305833">
        <w:t>The Art of the Long View: Planning for Future</w:t>
      </w:r>
      <w:r>
        <w:t xml:space="preserve"> </w:t>
      </w:r>
      <w:r w:rsidRPr="00305833">
        <w:t>in an Uncertain World</w:t>
      </w:r>
    </w:p>
  </w:footnote>
  <w:footnote w:id="2216">
    <w:p w14:paraId="484A7E65" w14:textId="77777777" w:rsidR="00B47FF5" w:rsidRDefault="00B47FF5" w:rsidP="00537CC8">
      <w:pPr>
        <w:pStyle w:val="FootnoteText"/>
      </w:pPr>
      <w:r>
        <w:rPr>
          <w:rStyle w:val="FootnoteReference"/>
        </w:rPr>
        <w:footnoteRef/>
      </w:r>
      <w:r>
        <w:rPr>
          <w:rtl/>
        </w:rPr>
        <w:t xml:space="preserve"> </w:t>
      </w:r>
      <w:r w:rsidRPr="006A57F0">
        <w:t>Inevitable Surprises</w:t>
      </w:r>
    </w:p>
  </w:footnote>
  <w:footnote w:id="2217">
    <w:p w14:paraId="6CDFB305" w14:textId="1F4389D5" w:rsidR="00B47FF5" w:rsidRDefault="00B47FF5" w:rsidP="00537CC8">
      <w:pPr>
        <w:pStyle w:val="FootnoteText"/>
      </w:pPr>
      <w:r>
        <w:rPr>
          <w:rStyle w:val="FootnoteReference"/>
        </w:rPr>
        <w:footnoteRef/>
      </w:r>
      <w:r>
        <w:rPr>
          <w:rtl/>
        </w:rPr>
        <w:t xml:space="preserve"> </w:t>
      </w:r>
      <w:r w:rsidRPr="006A57F0">
        <w:t>Zero-sum game</w:t>
      </w:r>
    </w:p>
  </w:footnote>
  <w:footnote w:id="2218">
    <w:p w14:paraId="5CE3A7D9" w14:textId="77777777" w:rsidR="00B47FF5" w:rsidRDefault="00B47FF5" w:rsidP="00537CC8">
      <w:pPr>
        <w:pStyle w:val="FootnoteText"/>
      </w:pPr>
      <w:r>
        <w:rPr>
          <w:rStyle w:val="FootnoteReference"/>
        </w:rPr>
        <w:footnoteRef/>
      </w:r>
      <w:r>
        <w:rPr>
          <w:rtl/>
        </w:rPr>
        <w:t xml:space="preserve"> </w:t>
      </w:r>
      <w:r w:rsidRPr="000C5DA2">
        <w:t>Schwarttz</w:t>
      </w:r>
    </w:p>
  </w:footnote>
  <w:footnote w:id="2219">
    <w:p w14:paraId="24AB125D" w14:textId="77777777" w:rsidR="00B47FF5" w:rsidRDefault="00B47FF5" w:rsidP="00537CC8">
      <w:pPr>
        <w:pStyle w:val="FootnoteText"/>
      </w:pPr>
      <w:r>
        <w:rPr>
          <w:rStyle w:val="FootnoteReference"/>
        </w:rPr>
        <w:footnoteRef/>
      </w:r>
      <w:r>
        <w:rPr>
          <w:rtl/>
        </w:rPr>
        <w:t xml:space="preserve"> </w:t>
      </w:r>
      <w:r w:rsidRPr="000C5DA2">
        <w:t>Global Business Network</w:t>
      </w:r>
    </w:p>
  </w:footnote>
  <w:footnote w:id="2220">
    <w:p w14:paraId="51EC4E27" w14:textId="3D0A8BCE" w:rsidR="00B47FF5" w:rsidRDefault="00B47FF5" w:rsidP="00537CC8">
      <w:pPr>
        <w:pStyle w:val="FootnoteText"/>
      </w:pPr>
      <w:r>
        <w:rPr>
          <w:rStyle w:val="FootnoteReference"/>
        </w:rPr>
        <w:footnoteRef/>
      </w:r>
      <w:r>
        <w:rPr>
          <w:rtl/>
        </w:rPr>
        <w:t xml:space="preserve"> </w:t>
      </w:r>
      <w:r>
        <w:t>Extremes</w:t>
      </w:r>
    </w:p>
  </w:footnote>
  <w:footnote w:id="2221">
    <w:p w14:paraId="717F1C3C" w14:textId="77777777" w:rsidR="00B47FF5" w:rsidRDefault="00B47FF5" w:rsidP="00537CC8">
      <w:pPr>
        <w:pStyle w:val="FootnoteText"/>
      </w:pPr>
      <w:r>
        <w:rPr>
          <w:rStyle w:val="FootnoteReference"/>
        </w:rPr>
        <w:footnoteRef/>
      </w:r>
      <w:r>
        <w:rPr>
          <w:rtl/>
        </w:rPr>
        <w:t xml:space="preserve"> </w:t>
      </w:r>
      <w:r w:rsidRPr="000C5DA2">
        <w:t>Adam Gordon</w:t>
      </w:r>
    </w:p>
  </w:footnote>
  <w:footnote w:id="2222">
    <w:p w14:paraId="346B237B" w14:textId="77777777" w:rsidR="00B47FF5" w:rsidRDefault="00B47FF5" w:rsidP="00537CC8">
      <w:pPr>
        <w:pStyle w:val="FootnoteText"/>
      </w:pPr>
      <w:r>
        <w:rPr>
          <w:rStyle w:val="FootnoteReference"/>
        </w:rPr>
        <w:footnoteRef/>
      </w:r>
      <w:r>
        <w:rPr>
          <w:rtl/>
        </w:rPr>
        <w:t xml:space="preserve"> </w:t>
      </w:r>
      <w:r w:rsidRPr="006E145B">
        <w:t>Future Savvy</w:t>
      </w:r>
    </w:p>
  </w:footnote>
  <w:footnote w:id="2223">
    <w:p w14:paraId="0D3CFEED" w14:textId="77777777" w:rsidR="00B47FF5" w:rsidRDefault="00B47FF5" w:rsidP="00537CC8">
      <w:pPr>
        <w:pStyle w:val="FootnoteText"/>
      </w:pPr>
      <w:r>
        <w:rPr>
          <w:rStyle w:val="FootnoteReference"/>
        </w:rPr>
        <w:footnoteRef/>
      </w:r>
      <w:r>
        <w:rPr>
          <w:rtl/>
        </w:rPr>
        <w:t xml:space="preserve"> </w:t>
      </w:r>
      <w:r>
        <w:t>Learning from the Future</w:t>
      </w:r>
    </w:p>
  </w:footnote>
  <w:footnote w:id="2224">
    <w:p w14:paraId="780C8A62" w14:textId="77777777" w:rsidR="00B47FF5" w:rsidRDefault="00B47FF5" w:rsidP="00537CC8">
      <w:pPr>
        <w:pStyle w:val="FootnoteText"/>
      </w:pPr>
      <w:r>
        <w:rPr>
          <w:rStyle w:val="FootnoteReference"/>
        </w:rPr>
        <w:footnoteRef/>
      </w:r>
      <w:r>
        <w:rPr>
          <w:rtl/>
        </w:rPr>
        <w:t xml:space="preserve"> </w:t>
      </w:r>
      <w:r>
        <w:t>Continuation</w:t>
      </w:r>
    </w:p>
  </w:footnote>
  <w:footnote w:id="2225">
    <w:p w14:paraId="1425CBF6" w14:textId="77777777" w:rsidR="00B47FF5" w:rsidRDefault="00B47FF5" w:rsidP="00537CC8">
      <w:pPr>
        <w:pStyle w:val="FootnoteText"/>
      </w:pPr>
      <w:r>
        <w:rPr>
          <w:rStyle w:val="FootnoteReference"/>
        </w:rPr>
        <w:footnoteRef/>
      </w:r>
      <w:r>
        <w:rPr>
          <w:rtl/>
        </w:rPr>
        <w:t xml:space="preserve"> </w:t>
      </w:r>
      <w:r>
        <w:t>Transformation</w:t>
      </w:r>
    </w:p>
  </w:footnote>
  <w:footnote w:id="2226">
    <w:p w14:paraId="090E67AC" w14:textId="77777777" w:rsidR="00B47FF5" w:rsidRDefault="00B47FF5" w:rsidP="00537CC8">
      <w:pPr>
        <w:pStyle w:val="FootnoteText"/>
      </w:pPr>
      <w:r>
        <w:rPr>
          <w:rStyle w:val="FootnoteReference"/>
        </w:rPr>
        <w:footnoteRef/>
      </w:r>
      <w:r>
        <w:rPr>
          <w:rtl/>
        </w:rPr>
        <w:t xml:space="preserve"> </w:t>
      </w:r>
      <w:r>
        <w:t>Limits and Discipline</w:t>
      </w:r>
    </w:p>
  </w:footnote>
  <w:footnote w:id="2227">
    <w:p w14:paraId="08ABFA05" w14:textId="77777777" w:rsidR="00B47FF5" w:rsidRDefault="00B47FF5" w:rsidP="00537CC8">
      <w:pPr>
        <w:pStyle w:val="FootnoteText"/>
      </w:pPr>
      <w:r>
        <w:rPr>
          <w:rStyle w:val="FootnoteReference"/>
        </w:rPr>
        <w:footnoteRef/>
      </w:r>
      <w:r>
        <w:rPr>
          <w:rtl/>
        </w:rPr>
        <w:t xml:space="preserve"> </w:t>
      </w:r>
      <w:r>
        <w:t>Decline and Collapse</w:t>
      </w:r>
    </w:p>
  </w:footnote>
  <w:footnote w:id="2228">
    <w:p w14:paraId="48A33EB3" w14:textId="77777777" w:rsidR="00B47FF5" w:rsidRDefault="00B47FF5" w:rsidP="00537CC8">
      <w:pPr>
        <w:pStyle w:val="FootnoteText"/>
      </w:pPr>
      <w:r>
        <w:rPr>
          <w:rStyle w:val="FootnoteReference"/>
        </w:rPr>
        <w:footnoteRef/>
      </w:r>
      <w:r>
        <w:rPr>
          <w:rtl/>
        </w:rPr>
        <w:t xml:space="preserve"> </w:t>
      </w:r>
      <w:r w:rsidRPr="006B0DB5">
        <w:t>The Lean Startup</w:t>
      </w:r>
    </w:p>
  </w:footnote>
  <w:footnote w:id="2229">
    <w:p w14:paraId="39A92B4D" w14:textId="77777777" w:rsidR="00B47FF5" w:rsidRDefault="00B47FF5" w:rsidP="00537CC8">
      <w:pPr>
        <w:pStyle w:val="FootnoteText"/>
      </w:pPr>
      <w:r>
        <w:rPr>
          <w:rStyle w:val="FootnoteReference"/>
        </w:rPr>
        <w:footnoteRef/>
      </w:r>
      <w:r>
        <w:rPr>
          <w:rtl/>
        </w:rPr>
        <w:t xml:space="preserve"> </w:t>
      </w:r>
      <w:r w:rsidRPr="006B0DB5">
        <w:t>The Lean Enterprise</w:t>
      </w:r>
    </w:p>
  </w:footnote>
  <w:footnote w:id="2230">
    <w:p w14:paraId="29EEED62" w14:textId="77777777" w:rsidR="00B47FF5" w:rsidRDefault="00B47FF5" w:rsidP="00537CC8">
      <w:pPr>
        <w:pStyle w:val="FootnoteText"/>
      </w:pPr>
      <w:r>
        <w:rPr>
          <w:rStyle w:val="FootnoteReference"/>
        </w:rPr>
        <w:footnoteRef/>
      </w:r>
      <w:r>
        <w:rPr>
          <w:rtl/>
        </w:rPr>
        <w:t xml:space="preserve"> </w:t>
      </w:r>
      <w:r w:rsidRPr="000C5DA2">
        <w:t>Owens</w:t>
      </w:r>
    </w:p>
  </w:footnote>
  <w:footnote w:id="2231">
    <w:p w14:paraId="4E159C39" w14:textId="77777777" w:rsidR="00B47FF5" w:rsidRDefault="00B47FF5" w:rsidP="00537CC8">
      <w:pPr>
        <w:pStyle w:val="FootnoteText"/>
      </w:pPr>
      <w:r>
        <w:rPr>
          <w:rStyle w:val="FootnoteReference"/>
        </w:rPr>
        <w:footnoteRef/>
      </w:r>
      <w:r>
        <w:rPr>
          <w:rtl/>
        </w:rPr>
        <w:t xml:space="preserve"> </w:t>
      </w:r>
      <w:r w:rsidRPr="000C5DA2">
        <w:t>Fernandez</w:t>
      </w:r>
    </w:p>
  </w:footnote>
  <w:footnote w:id="2232">
    <w:p w14:paraId="2E170575" w14:textId="3E071D18" w:rsidR="00B47FF5" w:rsidRDefault="00B47FF5" w:rsidP="00537CC8">
      <w:pPr>
        <w:pStyle w:val="FootnoteText"/>
      </w:pPr>
      <w:r>
        <w:rPr>
          <w:rStyle w:val="FootnoteReference"/>
        </w:rPr>
        <w:footnoteRef/>
      </w:r>
      <w:r>
        <w:rPr>
          <w:rtl/>
        </w:rPr>
        <w:t xml:space="preserve"> </w:t>
      </w:r>
      <w:r w:rsidRPr="008A7762">
        <w:t>The Entrepreneur Roller Coaster</w:t>
      </w:r>
    </w:p>
  </w:footnote>
  <w:footnote w:id="2233">
    <w:p w14:paraId="44392FAC" w14:textId="77777777" w:rsidR="00B47FF5" w:rsidRDefault="00B47FF5" w:rsidP="00537CC8">
      <w:pPr>
        <w:pStyle w:val="FootnoteText"/>
      </w:pPr>
      <w:r>
        <w:rPr>
          <w:rStyle w:val="FootnoteReference"/>
        </w:rPr>
        <w:footnoteRef/>
      </w:r>
      <w:r>
        <w:rPr>
          <w:rtl/>
        </w:rPr>
        <w:t xml:space="preserve"> </w:t>
      </w:r>
      <w:r w:rsidRPr="000C5DA2">
        <w:t>Darren Hardy</w:t>
      </w:r>
    </w:p>
  </w:footnote>
  <w:footnote w:id="2234">
    <w:p w14:paraId="60E6AEFA" w14:textId="77777777" w:rsidR="00B47FF5" w:rsidRDefault="00B47FF5" w:rsidP="00537CC8">
      <w:pPr>
        <w:pStyle w:val="FootnoteText"/>
      </w:pPr>
      <w:r>
        <w:rPr>
          <w:rStyle w:val="FootnoteReference"/>
        </w:rPr>
        <w:footnoteRef/>
      </w:r>
      <w:r>
        <w:rPr>
          <w:rtl/>
        </w:rPr>
        <w:t xml:space="preserve"> </w:t>
      </w:r>
      <w:r w:rsidRPr="009E39B2">
        <w:t>Innovation Nation</w:t>
      </w:r>
    </w:p>
  </w:footnote>
  <w:footnote w:id="2235">
    <w:p w14:paraId="0CD39054" w14:textId="77777777" w:rsidR="00B47FF5" w:rsidRDefault="00B47FF5" w:rsidP="00537CC8">
      <w:pPr>
        <w:pStyle w:val="FootnoteText"/>
      </w:pPr>
      <w:r>
        <w:rPr>
          <w:rStyle w:val="FootnoteReference"/>
        </w:rPr>
        <w:footnoteRef/>
      </w:r>
      <w:r>
        <w:rPr>
          <w:rtl/>
        </w:rPr>
        <w:t xml:space="preserve"> </w:t>
      </w:r>
      <w:r w:rsidRPr="00740959">
        <w:t>John Kao</w:t>
      </w:r>
    </w:p>
  </w:footnote>
  <w:footnote w:id="2236">
    <w:p w14:paraId="2B54A263" w14:textId="77777777" w:rsidR="00B47FF5" w:rsidRDefault="00B47FF5" w:rsidP="00537CC8">
      <w:pPr>
        <w:pStyle w:val="FootnoteText"/>
      </w:pPr>
      <w:r>
        <w:rPr>
          <w:rStyle w:val="FootnoteReference"/>
        </w:rPr>
        <w:footnoteRef/>
      </w:r>
      <w:r>
        <w:rPr>
          <w:rtl/>
        </w:rPr>
        <w:t xml:space="preserve"> </w:t>
      </w:r>
      <w:r w:rsidRPr="00E71185">
        <w:t>International Association of Facilitators</w:t>
      </w:r>
    </w:p>
  </w:footnote>
  <w:footnote w:id="2237">
    <w:p w14:paraId="68E66875" w14:textId="2B895DB7" w:rsidR="00B47FF5" w:rsidRDefault="00B47FF5" w:rsidP="00537CC8">
      <w:pPr>
        <w:pStyle w:val="FootnoteText"/>
      </w:pPr>
      <w:r>
        <w:rPr>
          <w:rStyle w:val="FootnoteReference"/>
        </w:rPr>
        <w:footnoteRef/>
      </w:r>
      <w:r>
        <w:rPr>
          <w:rtl/>
        </w:rPr>
        <w:t xml:space="preserve"> </w:t>
      </w:r>
      <w:r w:rsidRPr="00EB41BD">
        <w:t>Mutually assured destruction</w:t>
      </w:r>
    </w:p>
  </w:footnote>
  <w:footnote w:id="2238">
    <w:p w14:paraId="6A424F0E" w14:textId="77777777" w:rsidR="00B47FF5" w:rsidRDefault="00B47FF5" w:rsidP="00537CC8">
      <w:pPr>
        <w:pStyle w:val="FootnoteText"/>
      </w:pPr>
      <w:r>
        <w:rPr>
          <w:rStyle w:val="FootnoteReference"/>
        </w:rPr>
        <w:footnoteRef/>
      </w:r>
      <w:r>
        <w:rPr>
          <w:rtl/>
        </w:rPr>
        <w:t xml:space="preserve"> </w:t>
      </w:r>
      <w:r w:rsidRPr="00740959">
        <w:t>Hudson</w:t>
      </w:r>
    </w:p>
  </w:footnote>
  <w:footnote w:id="2239">
    <w:p w14:paraId="0CDFC446" w14:textId="77777777" w:rsidR="00B47FF5" w:rsidRDefault="00B47FF5" w:rsidP="00537CC8">
      <w:pPr>
        <w:pStyle w:val="FootnoteText"/>
        <w:rPr>
          <w:rtl/>
        </w:rPr>
      </w:pPr>
      <w:r>
        <w:rPr>
          <w:rStyle w:val="FootnoteReference"/>
        </w:rPr>
        <w:footnoteRef/>
      </w:r>
      <w:r>
        <w:rPr>
          <w:rtl/>
        </w:rPr>
        <w:t xml:space="preserve"> </w:t>
      </w:r>
      <w:r w:rsidRPr="007639E5">
        <w:t>Wargaming for</w:t>
      </w:r>
      <w:r>
        <w:t xml:space="preserve"> Leaders</w:t>
      </w:r>
    </w:p>
  </w:footnote>
  <w:footnote w:id="2240">
    <w:p w14:paraId="7F797264" w14:textId="77777777" w:rsidR="00B47FF5" w:rsidRDefault="00B47FF5" w:rsidP="00537CC8">
      <w:pPr>
        <w:pStyle w:val="FootnoteText"/>
      </w:pPr>
      <w:r>
        <w:rPr>
          <w:rStyle w:val="FootnoteReference"/>
        </w:rPr>
        <w:footnoteRef/>
      </w:r>
      <w:r>
        <w:rPr>
          <w:rtl/>
        </w:rPr>
        <w:t xml:space="preserve"> </w:t>
      </w:r>
      <w:r w:rsidRPr="00740959">
        <w:t>BoozAllen</w:t>
      </w:r>
    </w:p>
  </w:footnote>
  <w:footnote w:id="2241">
    <w:p w14:paraId="712652AC" w14:textId="77777777" w:rsidR="00B47FF5" w:rsidRDefault="00B47FF5" w:rsidP="00537CC8">
      <w:pPr>
        <w:pStyle w:val="FootnoteText"/>
      </w:pPr>
      <w:r>
        <w:rPr>
          <w:rStyle w:val="FootnoteReference"/>
        </w:rPr>
        <w:footnoteRef/>
      </w:r>
      <w:r>
        <w:rPr>
          <w:rtl/>
        </w:rPr>
        <w:t xml:space="preserve"> </w:t>
      </w:r>
      <w:r w:rsidRPr="00740959">
        <w:t>Gamestorming</w:t>
      </w:r>
    </w:p>
  </w:footnote>
  <w:footnote w:id="2242">
    <w:p w14:paraId="663E837F" w14:textId="77777777" w:rsidR="00B47FF5" w:rsidRDefault="00B47FF5" w:rsidP="00537CC8">
      <w:pPr>
        <w:pStyle w:val="FootnoteText"/>
      </w:pPr>
      <w:r>
        <w:rPr>
          <w:rStyle w:val="FootnoteReference"/>
        </w:rPr>
        <w:footnoteRef/>
      </w:r>
      <w:r>
        <w:rPr>
          <w:rtl/>
        </w:rPr>
        <w:t xml:space="preserve"> </w:t>
      </w:r>
      <w:r w:rsidRPr="00740959">
        <w:t>Gray</w:t>
      </w:r>
    </w:p>
  </w:footnote>
  <w:footnote w:id="2243">
    <w:p w14:paraId="07479873" w14:textId="77777777" w:rsidR="00B47FF5" w:rsidRDefault="00B47FF5" w:rsidP="00537CC8">
      <w:pPr>
        <w:pStyle w:val="FootnoteText"/>
      </w:pPr>
      <w:r>
        <w:rPr>
          <w:rStyle w:val="FootnoteReference"/>
        </w:rPr>
        <w:footnoteRef/>
      </w:r>
      <w:r>
        <w:rPr>
          <w:rtl/>
        </w:rPr>
        <w:t xml:space="preserve"> </w:t>
      </w:r>
      <w:r w:rsidRPr="00C81F99">
        <w:t>North American Simulation and Gaming Association</w:t>
      </w:r>
    </w:p>
  </w:footnote>
  <w:footnote w:id="2244">
    <w:p w14:paraId="2DD9F39E" w14:textId="7BC5EDAA" w:rsidR="00B47FF5" w:rsidRDefault="00B47FF5" w:rsidP="00616C8B">
      <w:pPr>
        <w:pStyle w:val="FootnoteText"/>
      </w:pPr>
      <w:r>
        <w:rPr>
          <w:rStyle w:val="FootnoteReference"/>
        </w:rPr>
        <w:footnoteRef/>
      </w:r>
      <w:r>
        <w:rPr>
          <w:rtl/>
        </w:rPr>
        <w:t xml:space="preserve"> </w:t>
      </w:r>
      <w:r w:rsidRPr="00616C8B">
        <w:t>BrightIdea, Datastation, CogniStreamer, Hype, IdeaScale, Imaginatik, Planview Spigit</w:t>
      </w:r>
    </w:p>
  </w:footnote>
  <w:footnote w:id="2245">
    <w:p w14:paraId="1D63CCBE" w14:textId="77777777" w:rsidR="00B47FF5" w:rsidRDefault="00B47FF5" w:rsidP="00537CC8">
      <w:pPr>
        <w:pStyle w:val="FootnoteText"/>
      </w:pPr>
      <w:r>
        <w:rPr>
          <w:rStyle w:val="FootnoteReference"/>
        </w:rPr>
        <w:footnoteRef/>
      </w:r>
      <w:r>
        <w:rPr>
          <w:rtl/>
        </w:rPr>
        <w:t xml:space="preserve"> </w:t>
      </w:r>
      <w:r w:rsidRPr="00FA4B63">
        <w:t>InnoCentive</w:t>
      </w:r>
    </w:p>
  </w:footnote>
  <w:footnote w:id="2246">
    <w:p w14:paraId="18B24E6C" w14:textId="77777777" w:rsidR="00B47FF5" w:rsidRDefault="00B47FF5" w:rsidP="00537CC8">
      <w:pPr>
        <w:pStyle w:val="FootnoteText"/>
      </w:pPr>
      <w:r>
        <w:rPr>
          <w:rStyle w:val="FootnoteReference"/>
        </w:rPr>
        <w:footnoteRef/>
      </w:r>
      <w:r>
        <w:rPr>
          <w:rtl/>
        </w:rPr>
        <w:t xml:space="preserve"> </w:t>
      </w:r>
      <w:r w:rsidRPr="00AE09F5">
        <w:t>Carrie Zapka</w:t>
      </w:r>
    </w:p>
  </w:footnote>
  <w:footnote w:id="2247">
    <w:p w14:paraId="0B773DF5" w14:textId="5A5C5A55" w:rsidR="00B47FF5" w:rsidRDefault="00B47FF5" w:rsidP="00537CC8">
      <w:pPr>
        <w:pStyle w:val="FootnoteText"/>
      </w:pPr>
      <w:r>
        <w:rPr>
          <w:rStyle w:val="FootnoteReference"/>
        </w:rPr>
        <w:footnoteRef/>
      </w:r>
      <w:r>
        <w:rPr>
          <w:rtl/>
        </w:rPr>
        <w:t xml:space="preserve"> </w:t>
      </w:r>
      <w:r>
        <w:t>Enterprise innovation</w:t>
      </w:r>
    </w:p>
  </w:footnote>
  <w:footnote w:id="2248">
    <w:p w14:paraId="7890A6BC" w14:textId="7D49A1B6" w:rsidR="00B47FF5" w:rsidRDefault="00B47FF5" w:rsidP="00537CC8">
      <w:pPr>
        <w:pStyle w:val="FootnoteText"/>
      </w:pPr>
      <w:r>
        <w:rPr>
          <w:rStyle w:val="FootnoteReference"/>
        </w:rPr>
        <w:footnoteRef/>
      </w:r>
      <w:r>
        <w:rPr>
          <w:rtl/>
        </w:rPr>
        <w:t xml:space="preserve"> </w:t>
      </w:r>
      <w:r>
        <w:t>Open Innovation</w:t>
      </w:r>
    </w:p>
  </w:footnote>
  <w:footnote w:id="2249">
    <w:p w14:paraId="6059661E" w14:textId="77777777" w:rsidR="00B47FF5" w:rsidRDefault="00B47FF5" w:rsidP="00537CC8">
      <w:pPr>
        <w:pStyle w:val="FootnoteText"/>
      </w:pPr>
      <w:r>
        <w:rPr>
          <w:rStyle w:val="FootnoteReference"/>
        </w:rPr>
        <w:footnoteRef/>
      </w:r>
      <w:r>
        <w:rPr>
          <w:rtl/>
        </w:rPr>
        <w:t xml:space="preserve"> </w:t>
      </w:r>
      <w:r w:rsidRPr="00267AD8">
        <w:t>Open Innovation</w:t>
      </w:r>
    </w:p>
  </w:footnote>
  <w:footnote w:id="2250">
    <w:p w14:paraId="60AF756C" w14:textId="77777777" w:rsidR="00B47FF5" w:rsidRDefault="00B47FF5" w:rsidP="00537CC8">
      <w:pPr>
        <w:pStyle w:val="FootnoteText"/>
      </w:pPr>
      <w:r>
        <w:rPr>
          <w:rStyle w:val="FootnoteReference"/>
        </w:rPr>
        <w:footnoteRef/>
      </w:r>
      <w:r>
        <w:rPr>
          <w:rtl/>
        </w:rPr>
        <w:t xml:space="preserve"> </w:t>
      </w:r>
      <w:r w:rsidRPr="00EF3490">
        <w:t>Henry Chesbrough</w:t>
      </w:r>
    </w:p>
  </w:footnote>
  <w:footnote w:id="2251">
    <w:p w14:paraId="463898FC" w14:textId="77777777" w:rsidR="00B47FF5" w:rsidRDefault="00B47FF5" w:rsidP="00537CC8">
      <w:pPr>
        <w:pStyle w:val="FootnoteText"/>
        <w:rPr>
          <w:rtl/>
        </w:rPr>
      </w:pPr>
      <w:r>
        <w:rPr>
          <w:rStyle w:val="FootnoteReference"/>
        </w:rPr>
        <w:footnoteRef/>
      </w:r>
      <w:r>
        <w:rPr>
          <w:rtl/>
        </w:rPr>
        <w:t xml:space="preserve"> </w:t>
      </w:r>
      <w:r w:rsidRPr="00267AD8">
        <w:t>Making Open Innovation Work</w:t>
      </w:r>
    </w:p>
  </w:footnote>
  <w:footnote w:id="2252">
    <w:p w14:paraId="0451D2D8" w14:textId="77777777" w:rsidR="00B47FF5" w:rsidRDefault="00B47FF5" w:rsidP="00537CC8">
      <w:pPr>
        <w:pStyle w:val="FootnoteText"/>
      </w:pPr>
      <w:r>
        <w:rPr>
          <w:rStyle w:val="FootnoteReference"/>
        </w:rPr>
        <w:footnoteRef/>
      </w:r>
      <w:r>
        <w:rPr>
          <w:rtl/>
        </w:rPr>
        <w:t xml:space="preserve"> </w:t>
      </w:r>
      <w:r w:rsidRPr="00EF3490">
        <w:t>Stefan Lindegaard</w:t>
      </w:r>
    </w:p>
  </w:footnote>
  <w:footnote w:id="2253">
    <w:p w14:paraId="52124D08" w14:textId="77777777" w:rsidR="00B47FF5" w:rsidRDefault="00B47FF5" w:rsidP="00537CC8">
      <w:pPr>
        <w:pStyle w:val="FootnoteText"/>
      </w:pPr>
      <w:r>
        <w:rPr>
          <w:rStyle w:val="FootnoteReference"/>
        </w:rPr>
        <w:footnoteRef/>
      </w:r>
      <w:r>
        <w:rPr>
          <w:rtl/>
        </w:rPr>
        <w:t xml:space="preserve"> </w:t>
      </w:r>
      <w:r w:rsidRPr="00267AD8">
        <w:t>A Guide to Open Innovation and Crowdsourcing</w:t>
      </w:r>
    </w:p>
  </w:footnote>
  <w:footnote w:id="2254">
    <w:p w14:paraId="23221E53" w14:textId="77777777" w:rsidR="00B47FF5" w:rsidRDefault="00B47FF5" w:rsidP="00537CC8">
      <w:pPr>
        <w:pStyle w:val="FootnoteText"/>
      </w:pPr>
      <w:r>
        <w:rPr>
          <w:rStyle w:val="FootnoteReference"/>
        </w:rPr>
        <w:footnoteRef/>
      </w:r>
      <w:r>
        <w:rPr>
          <w:rtl/>
        </w:rPr>
        <w:t xml:space="preserve"> </w:t>
      </w:r>
      <w:r w:rsidRPr="00EF3490">
        <w:t>Paul Sloane</w:t>
      </w:r>
    </w:p>
  </w:footnote>
  <w:footnote w:id="2255">
    <w:p w14:paraId="6EF217A3" w14:textId="77777777" w:rsidR="00B47FF5" w:rsidRDefault="00B47FF5" w:rsidP="00537CC8">
      <w:pPr>
        <w:pStyle w:val="FootnoteText"/>
        <w:rPr>
          <w:rtl/>
        </w:rPr>
      </w:pPr>
      <w:r>
        <w:rPr>
          <w:rStyle w:val="FootnoteReference"/>
        </w:rPr>
        <w:footnoteRef/>
      </w:r>
      <w:r>
        <w:rPr>
          <w:rtl/>
        </w:rPr>
        <w:t xml:space="preserve"> </w:t>
      </w:r>
      <w:r w:rsidRPr="00267AD8">
        <w:t>Innovation Tournaments</w:t>
      </w:r>
    </w:p>
  </w:footnote>
  <w:footnote w:id="2256">
    <w:p w14:paraId="5881BEFA" w14:textId="77777777" w:rsidR="00B47FF5" w:rsidRDefault="00B47FF5" w:rsidP="00537CC8">
      <w:pPr>
        <w:pStyle w:val="FootnoteText"/>
      </w:pPr>
      <w:r>
        <w:rPr>
          <w:rStyle w:val="FootnoteReference"/>
        </w:rPr>
        <w:footnoteRef/>
      </w:r>
      <w:r>
        <w:rPr>
          <w:rtl/>
        </w:rPr>
        <w:t xml:space="preserve"> </w:t>
      </w:r>
      <w:r w:rsidRPr="00EF3490">
        <w:t>Terwiesch</w:t>
      </w:r>
    </w:p>
  </w:footnote>
  <w:footnote w:id="2257">
    <w:p w14:paraId="048852EB" w14:textId="77777777" w:rsidR="00B47FF5" w:rsidRDefault="00B47FF5" w:rsidP="00537CC8">
      <w:pPr>
        <w:pStyle w:val="FootnoteText"/>
      </w:pPr>
      <w:r>
        <w:rPr>
          <w:rStyle w:val="FootnoteReference"/>
        </w:rPr>
        <w:footnoteRef/>
      </w:r>
      <w:r>
        <w:rPr>
          <w:rtl/>
        </w:rPr>
        <w:t xml:space="preserve"> </w:t>
      </w:r>
      <w:r w:rsidRPr="00EF3490">
        <w:t>Ulrich</w:t>
      </w:r>
    </w:p>
  </w:footnote>
  <w:footnote w:id="2258">
    <w:p w14:paraId="7CE1A987" w14:textId="4C243A09" w:rsidR="00B47FF5" w:rsidRDefault="00B47FF5" w:rsidP="00537CC8">
      <w:pPr>
        <w:pStyle w:val="FootnoteText"/>
      </w:pPr>
      <w:r>
        <w:rPr>
          <w:rStyle w:val="FootnoteReference"/>
        </w:rPr>
        <w:footnoteRef/>
      </w:r>
      <w:r>
        <w:rPr>
          <w:rtl/>
        </w:rPr>
        <w:t xml:space="preserve"> </w:t>
      </w:r>
      <w:r>
        <w:t>Internal innovation</w:t>
      </w:r>
    </w:p>
  </w:footnote>
  <w:footnote w:id="2259">
    <w:p w14:paraId="7831AE07" w14:textId="77777777" w:rsidR="00B47FF5" w:rsidRDefault="00B47FF5" w:rsidP="00537CC8">
      <w:pPr>
        <w:pStyle w:val="FootnoteText"/>
      </w:pPr>
      <w:r>
        <w:rPr>
          <w:rStyle w:val="FootnoteReference"/>
        </w:rPr>
        <w:footnoteRef/>
      </w:r>
      <w:r>
        <w:rPr>
          <w:rtl/>
        </w:rPr>
        <w:t xml:space="preserve"> </w:t>
      </w:r>
      <w:r w:rsidRPr="00E168F6">
        <w:t>Ideas Are Free</w:t>
      </w:r>
    </w:p>
  </w:footnote>
  <w:footnote w:id="2260">
    <w:p w14:paraId="24EE4AD7" w14:textId="77777777" w:rsidR="00B47FF5" w:rsidRDefault="00B47FF5" w:rsidP="00537CC8">
      <w:pPr>
        <w:pStyle w:val="FootnoteText"/>
      </w:pPr>
      <w:r>
        <w:rPr>
          <w:rStyle w:val="FootnoteReference"/>
        </w:rPr>
        <w:footnoteRef/>
      </w:r>
      <w:r>
        <w:rPr>
          <w:rtl/>
        </w:rPr>
        <w:t xml:space="preserve"> </w:t>
      </w:r>
      <w:r w:rsidRPr="00EF3490">
        <w:t>Robinson and Schroder</w:t>
      </w:r>
    </w:p>
  </w:footnote>
  <w:footnote w:id="2261">
    <w:p w14:paraId="64B9DD2A" w14:textId="77777777" w:rsidR="00B47FF5" w:rsidRDefault="00B47FF5" w:rsidP="00537CC8">
      <w:pPr>
        <w:pStyle w:val="FootnoteText"/>
      </w:pPr>
      <w:r>
        <w:rPr>
          <w:rStyle w:val="FootnoteReference"/>
        </w:rPr>
        <w:footnoteRef/>
      </w:r>
      <w:r>
        <w:rPr>
          <w:rtl/>
        </w:rPr>
        <w:t xml:space="preserve"> </w:t>
      </w:r>
      <w:r w:rsidRPr="00E168F6">
        <w:t>The Idea-Driven Organization: Unlocking the Power in Bottom-up ideas</w:t>
      </w:r>
    </w:p>
  </w:footnote>
  <w:footnote w:id="2262">
    <w:p w14:paraId="496683E7" w14:textId="77777777" w:rsidR="00B47FF5" w:rsidRDefault="00B47FF5" w:rsidP="00537CC8">
      <w:pPr>
        <w:pStyle w:val="FootnoteText"/>
      </w:pPr>
      <w:r>
        <w:rPr>
          <w:rStyle w:val="FootnoteReference"/>
        </w:rPr>
        <w:footnoteRef/>
      </w:r>
      <w:r>
        <w:rPr>
          <w:rtl/>
        </w:rPr>
        <w:t xml:space="preserve"> </w:t>
      </w:r>
      <w:r w:rsidRPr="00A43B8B">
        <w:t>AIGA: The Professional Association for Design</w:t>
      </w:r>
    </w:p>
  </w:footnote>
  <w:footnote w:id="2263">
    <w:p w14:paraId="7CDF011E" w14:textId="77777777" w:rsidR="00B47FF5" w:rsidRDefault="00B47FF5" w:rsidP="00537CC8">
      <w:pPr>
        <w:pStyle w:val="FootnoteText"/>
      </w:pPr>
      <w:r>
        <w:rPr>
          <w:rStyle w:val="FootnoteReference"/>
        </w:rPr>
        <w:footnoteRef/>
      </w:r>
      <w:r>
        <w:rPr>
          <w:rtl/>
        </w:rPr>
        <w:t xml:space="preserve"> </w:t>
      </w:r>
      <w:r w:rsidRPr="00923932">
        <w:t>International Society of Professional Innovation Mgmt</w:t>
      </w:r>
    </w:p>
  </w:footnote>
  <w:footnote w:id="2264">
    <w:p w14:paraId="123AD1B0" w14:textId="77777777" w:rsidR="00B47FF5" w:rsidRDefault="00B47FF5" w:rsidP="00537CC8">
      <w:pPr>
        <w:pStyle w:val="FootnoteText"/>
      </w:pPr>
      <w:r>
        <w:rPr>
          <w:rStyle w:val="FootnoteReference"/>
        </w:rPr>
        <w:footnoteRef/>
      </w:r>
      <w:r>
        <w:rPr>
          <w:rtl/>
        </w:rPr>
        <w:t xml:space="preserve"> </w:t>
      </w:r>
      <w:r w:rsidRPr="00923932">
        <w:t>Research and Development Management Association</w:t>
      </w:r>
    </w:p>
  </w:footnote>
  <w:footnote w:id="2265">
    <w:p w14:paraId="758B1517" w14:textId="77777777" w:rsidR="00B47FF5" w:rsidRDefault="00B47FF5" w:rsidP="00537CC8">
      <w:pPr>
        <w:pStyle w:val="FootnoteText"/>
      </w:pPr>
      <w:r>
        <w:rPr>
          <w:rStyle w:val="FootnoteReference"/>
        </w:rPr>
        <w:footnoteRef/>
      </w:r>
      <w:r>
        <w:rPr>
          <w:rtl/>
        </w:rPr>
        <w:t xml:space="preserve"> </w:t>
      </w:r>
      <w:r w:rsidRPr="00EF3490">
        <w:t>Clay Christensen</w:t>
      </w:r>
    </w:p>
  </w:footnote>
  <w:footnote w:id="2266">
    <w:p w14:paraId="73B5107C" w14:textId="77777777" w:rsidR="00B47FF5" w:rsidRDefault="00B47FF5" w:rsidP="00537CC8">
      <w:pPr>
        <w:pStyle w:val="FootnoteText"/>
      </w:pPr>
      <w:r>
        <w:rPr>
          <w:rStyle w:val="FootnoteReference"/>
        </w:rPr>
        <w:footnoteRef/>
      </w:r>
      <w:r>
        <w:rPr>
          <w:rtl/>
        </w:rPr>
        <w:t xml:space="preserve"> </w:t>
      </w:r>
      <w:r w:rsidRPr="00A43B8B">
        <w:t>The Innovator’s DNA</w:t>
      </w:r>
    </w:p>
  </w:footnote>
  <w:footnote w:id="2267">
    <w:p w14:paraId="04464C14" w14:textId="77777777" w:rsidR="00B47FF5" w:rsidRDefault="00B47FF5" w:rsidP="00537CC8">
      <w:pPr>
        <w:pStyle w:val="FootnoteText"/>
      </w:pPr>
      <w:r>
        <w:rPr>
          <w:rStyle w:val="FootnoteReference"/>
        </w:rPr>
        <w:footnoteRef/>
      </w:r>
      <w:r>
        <w:rPr>
          <w:rtl/>
        </w:rPr>
        <w:t xml:space="preserve"> </w:t>
      </w:r>
      <w:r w:rsidRPr="00923932">
        <w:t>Insight in Innovation</w:t>
      </w:r>
    </w:p>
  </w:footnote>
  <w:footnote w:id="2268">
    <w:p w14:paraId="17E14574" w14:textId="77777777" w:rsidR="00B47FF5" w:rsidRDefault="00B47FF5" w:rsidP="00537CC8">
      <w:pPr>
        <w:pStyle w:val="FootnoteText"/>
      </w:pPr>
      <w:r>
        <w:rPr>
          <w:rStyle w:val="FootnoteReference"/>
        </w:rPr>
        <w:footnoteRef/>
      </w:r>
      <w:r>
        <w:rPr>
          <w:rtl/>
        </w:rPr>
        <w:t xml:space="preserve"> </w:t>
      </w:r>
      <w:r w:rsidRPr="00EF3490">
        <w:t>Jan Verloop</w:t>
      </w:r>
    </w:p>
  </w:footnote>
  <w:footnote w:id="2269">
    <w:p w14:paraId="383230BC" w14:textId="77777777" w:rsidR="00B47FF5" w:rsidRDefault="00B47FF5" w:rsidP="00537CC8">
      <w:pPr>
        <w:pStyle w:val="FootnoteText"/>
      </w:pPr>
      <w:r>
        <w:rPr>
          <w:rStyle w:val="FootnoteReference"/>
        </w:rPr>
        <w:footnoteRef/>
      </w:r>
      <w:r>
        <w:rPr>
          <w:rtl/>
        </w:rPr>
        <w:t xml:space="preserve"> </w:t>
      </w:r>
      <w:r w:rsidRPr="00791805">
        <w:t>Creating Innovators</w:t>
      </w:r>
    </w:p>
  </w:footnote>
  <w:footnote w:id="2270">
    <w:p w14:paraId="78845B9C" w14:textId="77777777" w:rsidR="00B47FF5" w:rsidRDefault="00B47FF5" w:rsidP="00537CC8">
      <w:pPr>
        <w:pStyle w:val="FootnoteText"/>
      </w:pPr>
      <w:r>
        <w:rPr>
          <w:rStyle w:val="FootnoteReference"/>
        </w:rPr>
        <w:footnoteRef/>
      </w:r>
      <w:r>
        <w:rPr>
          <w:rtl/>
        </w:rPr>
        <w:t xml:space="preserve"> </w:t>
      </w:r>
      <w:r w:rsidRPr="00EF3490">
        <w:t>Tony Wagner</w:t>
      </w:r>
    </w:p>
  </w:footnote>
  <w:footnote w:id="2271">
    <w:p w14:paraId="08BB5C2C" w14:textId="2A9F13C0" w:rsidR="00B47FF5" w:rsidRDefault="00B47FF5" w:rsidP="00537CC8">
      <w:pPr>
        <w:pStyle w:val="FootnoteText"/>
      </w:pPr>
      <w:r>
        <w:rPr>
          <w:rStyle w:val="FootnoteReference"/>
        </w:rPr>
        <w:footnoteRef/>
      </w:r>
      <w:r>
        <w:rPr>
          <w:rtl/>
        </w:rPr>
        <w:t xml:space="preserve"> </w:t>
      </w:r>
      <w:r>
        <w:t>Love the journey</w:t>
      </w:r>
    </w:p>
  </w:footnote>
  <w:footnote w:id="2272">
    <w:p w14:paraId="16CBB810" w14:textId="77777777" w:rsidR="00B47FF5" w:rsidRDefault="00B47FF5" w:rsidP="00537CC8">
      <w:pPr>
        <w:pStyle w:val="FootnoteText"/>
      </w:pPr>
      <w:r>
        <w:rPr>
          <w:rStyle w:val="FootnoteReference"/>
        </w:rPr>
        <w:footnoteRef/>
      </w:r>
      <w:r>
        <w:rPr>
          <w:rtl/>
        </w:rPr>
        <w:t xml:space="preserve"> </w:t>
      </w:r>
      <w:r w:rsidRPr="00CC378C">
        <w:t>Why Man Creates</w:t>
      </w:r>
    </w:p>
  </w:footnote>
  <w:footnote w:id="2273">
    <w:p w14:paraId="2060FA82" w14:textId="77777777" w:rsidR="00B47FF5" w:rsidRDefault="00B47FF5" w:rsidP="00537CC8">
      <w:pPr>
        <w:pStyle w:val="FootnoteText"/>
      </w:pPr>
      <w:r>
        <w:rPr>
          <w:rStyle w:val="FootnoteReference"/>
        </w:rPr>
        <w:footnoteRef/>
      </w:r>
      <w:r>
        <w:rPr>
          <w:rtl/>
        </w:rPr>
        <w:t xml:space="preserve"> </w:t>
      </w:r>
      <w:r w:rsidRPr="00EF3490">
        <w:t>Walter Isaacson</w:t>
      </w:r>
    </w:p>
  </w:footnote>
  <w:footnote w:id="2274">
    <w:p w14:paraId="437705A6" w14:textId="77777777" w:rsidR="00B47FF5" w:rsidRDefault="00B47FF5" w:rsidP="00537CC8">
      <w:pPr>
        <w:pStyle w:val="FootnoteText"/>
      </w:pPr>
      <w:r>
        <w:rPr>
          <w:rStyle w:val="FootnoteReference"/>
        </w:rPr>
        <w:footnoteRef/>
      </w:r>
      <w:r>
        <w:rPr>
          <w:rtl/>
        </w:rPr>
        <w:t xml:space="preserve"> </w:t>
      </w:r>
      <w:r w:rsidRPr="00EF3490">
        <w:t>Larry Page</w:t>
      </w:r>
    </w:p>
  </w:footnote>
  <w:footnote w:id="2275">
    <w:p w14:paraId="48208287" w14:textId="77777777" w:rsidR="00B47FF5" w:rsidRDefault="00B47FF5" w:rsidP="00537CC8">
      <w:pPr>
        <w:pStyle w:val="FootnoteText"/>
      </w:pPr>
      <w:r>
        <w:rPr>
          <w:rStyle w:val="FootnoteReference"/>
        </w:rPr>
        <w:footnoteRef/>
      </w:r>
      <w:r>
        <w:rPr>
          <w:rtl/>
        </w:rPr>
        <w:t xml:space="preserve"> </w:t>
      </w:r>
      <w:r w:rsidRPr="00EF3490">
        <w:t>Sergey Brin</w:t>
      </w:r>
    </w:p>
  </w:footnote>
  <w:footnote w:id="2276">
    <w:p w14:paraId="223C4AFD" w14:textId="3725F5F1" w:rsidR="00B47FF5" w:rsidRDefault="00B47FF5" w:rsidP="00537CC8">
      <w:pPr>
        <w:pStyle w:val="FootnoteText"/>
      </w:pPr>
      <w:r>
        <w:rPr>
          <w:rStyle w:val="FootnoteReference"/>
        </w:rPr>
        <w:footnoteRef/>
      </w:r>
      <w:r>
        <w:rPr>
          <w:rtl/>
        </w:rPr>
        <w:t xml:space="preserve"> </w:t>
      </w:r>
      <w:r w:rsidRPr="00EF3490">
        <w:t>Transactional</w:t>
      </w:r>
    </w:p>
  </w:footnote>
  <w:footnote w:id="2277">
    <w:p w14:paraId="7E158C7F" w14:textId="77777777" w:rsidR="00B47FF5" w:rsidRDefault="00B47FF5" w:rsidP="00537CC8">
      <w:pPr>
        <w:pStyle w:val="FootnoteText"/>
      </w:pPr>
      <w:r>
        <w:rPr>
          <w:rStyle w:val="FootnoteReference"/>
        </w:rPr>
        <w:footnoteRef/>
      </w:r>
      <w:r>
        <w:rPr>
          <w:rtl/>
        </w:rPr>
        <w:t xml:space="preserve"> </w:t>
      </w:r>
      <w:r w:rsidRPr="00EF3490">
        <w:t>Sundar Pichai</w:t>
      </w:r>
    </w:p>
  </w:footnote>
  <w:footnote w:id="2278">
    <w:p w14:paraId="1BBBD402" w14:textId="5A8670CE" w:rsidR="00B47FF5" w:rsidRDefault="00B47FF5" w:rsidP="00537CC8">
      <w:pPr>
        <w:pStyle w:val="FootnoteText"/>
      </w:pPr>
      <w:r>
        <w:rPr>
          <w:rStyle w:val="FootnoteReference"/>
        </w:rPr>
        <w:footnoteRef/>
      </w:r>
      <w:r>
        <w:rPr>
          <w:rtl/>
        </w:rPr>
        <w:t xml:space="preserve"> </w:t>
      </w:r>
      <w:r w:rsidRPr="00613AAA">
        <w:t>Long tail</w:t>
      </w:r>
    </w:p>
  </w:footnote>
  <w:footnote w:id="2279">
    <w:p w14:paraId="0FC10B8C" w14:textId="5EB88270" w:rsidR="00B47FF5" w:rsidRDefault="00B47FF5" w:rsidP="00537CC8">
      <w:pPr>
        <w:pStyle w:val="FootnoteText"/>
      </w:pPr>
      <w:r>
        <w:rPr>
          <w:rStyle w:val="FootnoteReference"/>
        </w:rPr>
        <w:footnoteRef/>
      </w:r>
      <w:r>
        <w:rPr>
          <w:rtl/>
        </w:rPr>
        <w:t xml:space="preserve"> </w:t>
      </w:r>
      <w:r>
        <w:t>Big head</w:t>
      </w:r>
    </w:p>
  </w:footnote>
  <w:footnote w:id="2280">
    <w:p w14:paraId="7BE4C3E3" w14:textId="6FE5B76B" w:rsidR="00B47FF5" w:rsidRDefault="00B47FF5" w:rsidP="00537CC8">
      <w:pPr>
        <w:pStyle w:val="FootnoteText"/>
      </w:pPr>
      <w:r>
        <w:rPr>
          <w:rStyle w:val="FootnoteReference"/>
        </w:rPr>
        <w:footnoteRef/>
      </w:r>
      <w:r>
        <w:rPr>
          <w:rtl/>
        </w:rPr>
        <w:t xml:space="preserve"> </w:t>
      </w:r>
      <w:r w:rsidRPr="00613AAA">
        <w:t>Oligopoly</w:t>
      </w:r>
    </w:p>
  </w:footnote>
  <w:footnote w:id="2281">
    <w:p w14:paraId="123BC6FD" w14:textId="77777777" w:rsidR="00B47FF5" w:rsidRDefault="00B47FF5" w:rsidP="00537CC8">
      <w:pPr>
        <w:pStyle w:val="FootnoteText"/>
      </w:pPr>
      <w:r>
        <w:rPr>
          <w:rStyle w:val="FootnoteReference"/>
        </w:rPr>
        <w:footnoteRef/>
      </w:r>
      <w:r>
        <w:rPr>
          <w:rtl/>
        </w:rPr>
        <w:t xml:space="preserve"> </w:t>
      </w:r>
      <w:r w:rsidRPr="00517F5C">
        <w:t>Arms and Innovation</w:t>
      </w:r>
    </w:p>
  </w:footnote>
  <w:footnote w:id="2282">
    <w:p w14:paraId="1A4DA490" w14:textId="77777777" w:rsidR="00B47FF5" w:rsidRDefault="00B47FF5" w:rsidP="00537CC8">
      <w:pPr>
        <w:pStyle w:val="FootnoteText"/>
      </w:pPr>
      <w:r>
        <w:rPr>
          <w:rStyle w:val="FootnoteReference"/>
        </w:rPr>
        <w:footnoteRef/>
      </w:r>
      <w:r>
        <w:rPr>
          <w:rtl/>
        </w:rPr>
        <w:t xml:space="preserve"> </w:t>
      </w:r>
      <w:r w:rsidRPr="00EF3490">
        <w:t>James Hasik</w:t>
      </w:r>
    </w:p>
  </w:footnote>
  <w:footnote w:id="2283">
    <w:p w14:paraId="2FAEFB2F" w14:textId="77777777" w:rsidR="00B47FF5" w:rsidRDefault="00B47FF5" w:rsidP="00537CC8">
      <w:pPr>
        <w:pStyle w:val="FootnoteText"/>
      </w:pPr>
      <w:r>
        <w:rPr>
          <w:rStyle w:val="FootnoteReference"/>
        </w:rPr>
        <w:footnoteRef/>
      </w:r>
      <w:r>
        <w:rPr>
          <w:rtl/>
        </w:rPr>
        <w:t xml:space="preserve"> </w:t>
      </w:r>
      <w:r w:rsidRPr="00AB57F6">
        <w:t>Finland Phenomenon</w:t>
      </w:r>
    </w:p>
  </w:footnote>
  <w:footnote w:id="2284">
    <w:p w14:paraId="66E70FDD" w14:textId="77777777" w:rsidR="00B47FF5" w:rsidRDefault="00B47FF5" w:rsidP="00537CC8">
      <w:pPr>
        <w:pStyle w:val="FootnoteText"/>
      </w:pPr>
      <w:r>
        <w:rPr>
          <w:rStyle w:val="FootnoteReference"/>
        </w:rPr>
        <w:footnoteRef/>
      </w:r>
      <w:r>
        <w:rPr>
          <w:rtl/>
        </w:rPr>
        <w:t xml:space="preserve"> </w:t>
      </w:r>
      <w:r w:rsidRPr="00EF3490">
        <w:t>Bob Compton</w:t>
      </w:r>
    </w:p>
  </w:footnote>
  <w:footnote w:id="2285">
    <w:p w14:paraId="495890AA" w14:textId="77777777" w:rsidR="00B47FF5" w:rsidRDefault="00B47FF5" w:rsidP="00537CC8">
      <w:pPr>
        <w:pStyle w:val="FootnoteText"/>
      </w:pPr>
      <w:r>
        <w:rPr>
          <w:rStyle w:val="FootnoteReference"/>
        </w:rPr>
        <w:footnoteRef/>
      </w:r>
      <w:r>
        <w:rPr>
          <w:rtl/>
        </w:rPr>
        <w:t xml:space="preserve"> </w:t>
      </w:r>
      <w:r>
        <w:t xml:space="preserve">The </w:t>
      </w:r>
      <w:r w:rsidRPr="00D65335">
        <w:t>Speed of Trust</w:t>
      </w:r>
    </w:p>
  </w:footnote>
  <w:footnote w:id="2286">
    <w:p w14:paraId="65B29B81" w14:textId="77777777" w:rsidR="00B47FF5" w:rsidRDefault="00B47FF5" w:rsidP="00537CC8">
      <w:pPr>
        <w:pStyle w:val="FootnoteText"/>
      </w:pPr>
      <w:r>
        <w:rPr>
          <w:rStyle w:val="FootnoteReference"/>
        </w:rPr>
        <w:footnoteRef/>
      </w:r>
      <w:r>
        <w:rPr>
          <w:rtl/>
        </w:rPr>
        <w:t xml:space="preserve"> </w:t>
      </w:r>
      <w:r w:rsidRPr="00D65335">
        <w:t>Driving Fear Out of the</w:t>
      </w:r>
      <w:r>
        <w:t xml:space="preserve"> Workplace</w:t>
      </w:r>
    </w:p>
  </w:footnote>
  <w:footnote w:id="2287">
    <w:p w14:paraId="10048439" w14:textId="77777777" w:rsidR="00B47FF5" w:rsidRDefault="00B47FF5" w:rsidP="00537CC8">
      <w:pPr>
        <w:pStyle w:val="FootnoteText"/>
      </w:pPr>
      <w:r>
        <w:rPr>
          <w:rStyle w:val="FootnoteReference"/>
        </w:rPr>
        <w:footnoteRef/>
      </w:r>
      <w:r>
        <w:rPr>
          <w:rtl/>
        </w:rPr>
        <w:t xml:space="preserve"> </w:t>
      </w:r>
      <w:r w:rsidRPr="00EF3490">
        <w:t>Ryan and Oestreich</w:t>
      </w:r>
    </w:p>
  </w:footnote>
  <w:footnote w:id="2288">
    <w:p w14:paraId="185148D0" w14:textId="77777777" w:rsidR="00B47FF5" w:rsidRDefault="00B47FF5" w:rsidP="00537CC8">
      <w:pPr>
        <w:pStyle w:val="FootnoteText"/>
      </w:pPr>
      <w:r>
        <w:rPr>
          <w:rStyle w:val="FootnoteReference"/>
        </w:rPr>
        <w:footnoteRef/>
      </w:r>
      <w:r>
        <w:rPr>
          <w:rtl/>
        </w:rPr>
        <w:t xml:space="preserve"> </w:t>
      </w:r>
      <w:r w:rsidRPr="00D65335">
        <w:t>Breaking the Fear Barrier</w:t>
      </w:r>
    </w:p>
  </w:footnote>
  <w:footnote w:id="2289">
    <w:p w14:paraId="01631FB2" w14:textId="77777777" w:rsidR="00B47FF5" w:rsidRDefault="00B47FF5" w:rsidP="00537CC8">
      <w:pPr>
        <w:pStyle w:val="FootnoteText"/>
      </w:pPr>
      <w:r>
        <w:rPr>
          <w:rStyle w:val="FootnoteReference"/>
        </w:rPr>
        <w:footnoteRef/>
      </w:r>
      <w:r>
        <w:rPr>
          <w:rtl/>
        </w:rPr>
        <w:t xml:space="preserve"> </w:t>
      </w:r>
      <w:r w:rsidRPr="00EF3490">
        <w:t>Tom Rieger</w:t>
      </w:r>
    </w:p>
  </w:footnote>
  <w:footnote w:id="2290">
    <w:p w14:paraId="52C391C1" w14:textId="77777777" w:rsidR="00B47FF5" w:rsidRDefault="00B47FF5" w:rsidP="00537CC8">
      <w:pPr>
        <w:pStyle w:val="FootnoteText"/>
      </w:pPr>
      <w:r>
        <w:rPr>
          <w:rStyle w:val="FootnoteReference"/>
        </w:rPr>
        <w:footnoteRef/>
      </w:r>
      <w:r>
        <w:rPr>
          <w:rtl/>
        </w:rPr>
        <w:t xml:space="preserve"> </w:t>
      </w:r>
      <w:r w:rsidRPr="00D65335">
        <w:t>The Fearless Organization</w:t>
      </w:r>
    </w:p>
  </w:footnote>
  <w:footnote w:id="2291">
    <w:p w14:paraId="33BB8BC1" w14:textId="77777777" w:rsidR="00B47FF5" w:rsidRDefault="00B47FF5" w:rsidP="00537CC8">
      <w:pPr>
        <w:pStyle w:val="FootnoteText"/>
      </w:pPr>
      <w:r>
        <w:rPr>
          <w:rStyle w:val="FootnoteReference"/>
        </w:rPr>
        <w:footnoteRef/>
      </w:r>
      <w:r>
        <w:rPr>
          <w:rtl/>
        </w:rPr>
        <w:t xml:space="preserve"> </w:t>
      </w:r>
      <w:r w:rsidRPr="00EF3490">
        <w:t>Amy Edmondson</w:t>
      </w:r>
    </w:p>
  </w:footnote>
  <w:footnote w:id="2292">
    <w:p w14:paraId="3CED4CF8" w14:textId="3FEB2457" w:rsidR="00B47FF5" w:rsidRDefault="00B47FF5" w:rsidP="00537CC8">
      <w:pPr>
        <w:pStyle w:val="FootnoteText"/>
      </w:pPr>
      <w:r>
        <w:rPr>
          <w:rStyle w:val="FootnoteReference"/>
        </w:rPr>
        <w:footnoteRef/>
      </w:r>
      <w:r>
        <w:rPr>
          <w:rtl/>
        </w:rPr>
        <w:t xml:space="preserve"> </w:t>
      </w:r>
      <w:r w:rsidRPr="00AB461D">
        <w:t>Real options analysis</w:t>
      </w:r>
    </w:p>
  </w:footnote>
  <w:footnote w:id="2293">
    <w:p w14:paraId="76AEA879" w14:textId="77777777" w:rsidR="00B47FF5" w:rsidRDefault="00B47FF5" w:rsidP="00537CC8">
      <w:pPr>
        <w:pStyle w:val="FootnoteText"/>
      </w:pPr>
      <w:r>
        <w:rPr>
          <w:rStyle w:val="FootnoteReference"/>
        </w:rPr>
        <w:footnoteRef/>
      </w:r>
      <w:r>
        <w:rPr>
          <w:rtl/>
        </w:rPr>
        <w:t xml:space="preserve"> </w:t>
      </w:r>
      <w:r w:rsidRPr="00853B66">
        <w:t>Institute for Operations Research and the Mgmt Sciences</w:t>
      </w:r>
    </w:p>
  </w:footnote>
  <w:footnote w:id="2294">
    <w:p w14:paraId="258216C1" w14:textId="6FD248F0" w:rsidR="00B47FF5" w:rsidRDefault="00B47FF5" w:rsidP="00537CC8">
      <w:pPr>
        <w:pStyle w:val="FootnoteText"/>
      </w:pPr>
      <w:r>
        <w:rPr>
          <w:rStyle w:val="FootnoteReference"/>
        </w:rPr>
        <w:footnoteRef/>
      </w:r>
      <w:r>
        <w:rPr>
          <w:rtl/>
        </w:rPr>
        <w:t xml:space="preserve"> </w:t>
      </w:r>
      <w:r>
        <w:t>Management analysis</w:t>
      </w:r>
    </w:p>
  </w:footnote>
  <w:footnote w:id="2295">
    <w:p w14:paraId="0AAFBA11" w14:textId="77777777" w:rsidR="00B47FF5" w:rsidRDefault="00B47FF5" w:rsidP="00537CC8">
      <w:pPr>
        <w:pStyle w:val="FootnoteText"/>
      </w:pPr>
      <w:r>
        <w:rPr>
          <w:rStyle w:val="FootnoteReference"/>
        </w:rPr>
        <w:footnoteRef/>
      </w:r>
      <w:r>
        <w:rPr>
          <w:rtl/>
        </w:rPr>
        <w:t xml:space="preserve"> </w:t>
      </w:r>
      <w:r w:rsidRPr="00853B66">
        <w:t>European Working Group on Decision Support Systems</w:t>
      </w:r>
    </w:p>
  </w:footnote>
  <w:footnote w:id="2296">
    <w:p w14:paraId="1281CA63" w14:textId="77777777" w:rsidR="00B47FF5" w:rsidRDefault="00B47FF5" w:rsidP="00537CC8">
      <w:pPr>
        <w:pStyle w:val="FootnoteText"/>
      </w:pPr>
      <w:r>
        <w:rPr>
          <w:rStyle w:val="FootnoteReference"/>
        </w:rPr>
        <w:footnoteRef/>
      </w:r>
      <w:r>
        <w:rPr>
          <w:rtl/>
        </w:rPr>
        <w:t xml:space="preserve"> </w:t>
      </w:r>
      <w:r w:rsidRPr="00853B66">
        <w:t>Decision Support System Technology</w:t>
      </w:r>
    </w:p>
  </w:footnote>
  <w:footnote w:id="2297">
    <w:p w14:paraId="183DF1E3" w14:textId="77777777" w:rsidR="00B47FF5" w:rsidRDefault="00B47FF5" w:rsidP="00537CC8">
      <w:pPr>
        <w:pStyle w:val="FootnoteText"/>
      </w:pPr>
      <w:r>
        <w:rPr>
          <w:rStyle w:val="FootnoteReference"/>
        </w:rPr>
        <w:footnoteRef/>
      </w:r>
      <w:r>
        <w:rPr>
          <w:rtl/>
        </w:rPr>
        <w:t xml:space="preserve"> </w:t>
      </w:r>
      <w:r w:rsidRPr="003E54E6">
        <w:t>Objectives andKey Results</w:t>
      </w:r>
    </w:p>
  </w:footnote>
  <w:footnote w:id="2298">
    <w:p w14:paraId="1B75549A" w14:textId="77777777" w:rsidR="00B47FF5" w:rsidRDefault="00B47FF5" w:rsidP="00537CC8">
      <w:pPr>
        <w:pStyle w:val="FootnoteText"/>
      </w:pPr>
      <w:r>
        <w:rPr>
          <w:rStyle w:val="FootnoteReference"/>
        </w:rPr>
        <w:footnoteRef/>
      </w:r>
      <w:r>
        <w:rPr>
          <w:rtl/>
        </w:rPr>
        <w:t xml:space="preserve"> </w:t>
      </w:r>
      <w:r w:rsidRPr="00C73DA5">
        <w:t>Measure What Ma</w:t>
      </w:r>
    </w:p>
  </w:footnote>
  <w:footnote w:id="2299">
    <w:p w14:paraId="7F3B6831" w14:textId="77777777" w:rsidR="00B47FF5" w:rsidRDefault="00B47FF5" w:rsidP="00537CC8">
      <w:pPr>
        <w:pStyle w:val="FootnoteText"/>
      </w:pPr>
      <w:r>
        <w:rPr>
          <w:rStyle w:val="FootnoteReference"/>
        </w:rPr>
        <w:footnoteRef/>
      </w:r>
      <w:r>
        <w:rPr>
          <w:rtl/>
        </w:rPr>
        <w:t xml:space="preserve"> </w:t>
      </w:r>
      <w:r w:rsidRPr="00EF3490">
        <w:t>John Doerr</w:t>
      </w:r>
    </w:p>
  </w:footnote>
  <w:footnote w:id="2300">
    <w:p w14:paraId="25190E3F" w14:textId="77777777" w:rsidR="00B47FF5" w:rsidRDefault="00B47FF5" w:rsidP="00537CC8">
      <w:pPr>
        <w:pStyle w:val="FootnoteText"/>
      </w:pPr>
      <w:r>
        <w:rPr>
          <w:rStyle w:val="FootnoteReference"/>
        </w:rPr>
        <w:footnoteRef/>
      </w:r>
      <w:r>
        <w:rPr>
          <w:rtl/>
        </w:rPr>
        <w:t xml:space="preserve"> </w:t>
      </w:r>
      <w:r w:rsidRPr="00EF3490">
        <w:t>Clement Bezold</w:t>
      </w:r>
    </w:p>
  </w:footnote>
  <w:footnote w:id="2301">
    <w:p w14:paraId="4D4456D6" w14:textId="77777777" w:rsidR="00B47FF5" w:rsidRDefault="00B47FF5" w:rsidP="00537CC8">
      <w:pPr>
        <w:pStyle w:val="FootnoteText"/>
      </w:pPr>
      <w:r>
        <w:rPr>
          <w:rStyle w:val="FootnoteReference"/>
        </w:rPr>
        <w:footnoteRef/>
      </w:r>
      <w:r>
        <w:rPr>
          <w:rtl/>
        </w:rPr>
        <w:t xml:space="preserve"> </w:t>
      </w:r>
      <w:r w:rsidRPr="00EF3490">
        <w:t>Bandley III</w:t>
      </w:r>
    </w:p>
  </w:footnote>
  <w:footnote w:id="2302">
    <w:p w14:paraId="51C42250" w14:textId="77777777" w:rsidR="00B47FF5" w:rsidRDefault="00B47FF5" w:rsidP="00537CC8">
      <w:pPr>
        <w:pStyle w:val="FootnoteText"/>
      </w:pPr>
      <w:r>
        <w:rPr>
          <w:rStyle w:val="FootnoteReference"/>
        </w:rPr>
        <w:footnoteRef/>
      </w:r>
      <w:r>
        <w:rPr>
          <w:rtl/>
        </w:rPr>
        <w:t xml:space="preserve"> </w:t>
      </w:r>
      <w:r w:rsidRPr="0070608E">
        <w:t>Thinking About the Future</w:t>
      </w:r>
    </w:p>
  </w:footnote>
  <w:footnote w:id="2303">
    <w:p w14:paraId="6C653758" w14:textId="77777777" w:rsidR="00B47FF5" w:rsidRDefault="00B47FF5" w:rsidP="00537CC8">
      <w:pPr>
        <w:pStyle w:val="FootnoteText"/>
      </w:pPr>
      <w:r>
        <w:rPr>
          <w:rStyle w:val="FootnoteReference"/>
        </w:rPr>
        <w:footnoteRef/>
      </w:r>
      <w:r>
        <w:rPr>
          <w:rtl/>
        </w:rPr>
        <w:t xml:space="preserve"> </w:t>
      </w:r>
      <w:r w:rsidRPr="008832E5">
        <w:t>The Google</w:t>
      </w:r>
      <w:r>
        <w:t xml:space="preserve"> Model</w:t>
      </w:r>
    </w:p>
  </w:footnote>
  <w:footnote w:id="2304">
    <w:p w14:paraId="02091479" w14:textId="77777777" w:rsidR="00B47FF5" w:rsidRDefault="00B47FF5" w:rsidP="00537CC8">
      <w:pPr>
        <w:pStyle w:val="FootnoteText"/>
      </w:pPr>
      <w:r>
        <w:rPr>
          <w:rStyle w:val="FootnoteReference"/>
        </w:rPr>
        <w:footnoteRef/>
      </w:r>
      <w:r>
        <w:rPr>
          <w:rtl/>
        </w:rPr>
        <w:t xml:space="preserve"> </w:t>
      </w:r>
      <w:r w:rsidRPr="00EF3490">
        <w:t>Annika Steiber</w:t>
      </w:r>
    </w:p>
  </w:footnote>
  <w:footnote w:id="2305">
    <w:p w14:paraId="31630FD8" w14:textId="77777777" w:rsidR="00B47FF5" w:rsidRDefault="00B47FF5" w:rsidP="00537CC8">
      <w:pPr>
        <w:pStyle w:val="FootnoteText"/>
      </w:pPr>
      <w:r>
        <w:rPr>
          <w:rStyle w:val="FootnoteReference"/>
        </w:rPr>
        <w:footnoteRef/>
      </w:r>
      <w:r>
        <w:rPr>
          <w:rtl/>
        </w:rPr>
        <w:t xml:space="preserve"> </w:t>
      </w:r>
      <w:r w:rsidRPr="008832E5">
        <w:t>Strategic Thinking at the Top</w:t>
      </w:r>
    </w:p>
  </w:footnote>
  <w:footnote w:id="2306">
    <w:p w14:paraId="4063998D" w14:textId="77777777" w:rsidR="00B47FF5" w:rsidRDefault="00B47FF5" w:rsidP="00537CC8">
      <w:pPr>
        <w:pStyle w:val="FootnoteText"/>
      </w:pPr>
      <w:r>
        <w:rPr>
          <w:rStyle w:val="FootnoteReference"/>
        </w:rPr>
        <w:footnoteRef/>
      </w:r>
      <w:r>
        <w:rPr>
          <w:rtl/>
        </w:rPr>
        <w:t xml:space="preserve"> </w:t>
      </w:r>
      <w:r w:rsidRPr="00EF3490">
        <w:t>Ellen Goldman</w:t>
      </w:r>
    </w:p>
  </w:footnote>
  <w:footnote w:id="2307">
    <w:p w14:paraId="48069D06" w14:textId="77777777" w:rsidR="00B47FF5" w:rsidRDefault="00B47FF5" w:rsidP="00537CC8">
      <w:pPr>
        <w:pStyle w:val="FootnoteText"/>
      </w:pPr>
      <w:r>
        <w:rPr>
          <w:rStyle w:val="FootnoteReference"/>
        </w:rPr>
        <w:footnoteRef/>
      </w:r>
      <w:r>
        <w:rPr>
          <w:rtl/>
        </w:rPr>
        <w:t xml:space="preserve"> </w:t>
      </w:r>
      <w:r w:rsidRPr="00CC0E02">
        <w:t>MIT Sloan Mgmt Review</w:t>
      </w:r>
    </w:p>
  </w:footnote>
  <w:footnote w:id="2308">
    <w:p w14:paraId="40C2D11C" w14:textId="77777777" w:rsidR="00B47FF5" w:rsidRDefault="00B47FF5" w:rsidP="00537CC8">
      <w:pPr>
        <w:pStyle w:val="FootnoteText"/>
      </w:pPr>
      <w:r>
        <w:rPr>
          <w:rStyle w:val="FootnoteReference"/>
        </w:rPr>
        <w:footnoteRef/>
      </w:r>
      <w:r>
        <w:rPr>
          <w:rtl/>
        </w:rPr>
        <w:t xml:space="preserve"> </w:t>
      </w:r>
      <w:r w:rsidRPr="008832E5">
        <w:t>Lords of Strategy</w:t>
      </w:r>
    </w:p>
  </w:footnote>
  <w:footnote w:id="2309">
    <w:p w14:paraId="0CDD0886" w14:textId="77777777" w:rsidR="00B47FF5" w:rsidRDefault="00B47FF5" w:rsidP="00537CC8">
      <w:pPr>
        <w:pStyle w:val="FootnoteText"/>
      </w:pPr>
      <w:r>
        <w:rPr>
          <w:rStyle w:val="FootnoteReference"/>
        </w:rPr>
        <w:footnoteRef/>
      </w:r>
      <w:r>
        <w:rPr>
          <w:rtl/>
        </w:rPr>
        <w:t xml:space="preserve"> </w:t>
      </w:r>
      <w:r w:rsidRPr="00CC0E02">
        <w:t>Walter Kiechel</w:t>
      </w:r>
    </w:p>
  </w:footnote>
  <w:footnote w:id="2310">
    <w:p w14:paraId="169CBEFE" w14:textId="77777777" w:rsidR="00B47FF5" w:rsidRDefault="00B47FF5" w:rsidP="00537CC8">
      <w:pPr>
        <w:pStyle w:val="FootnoteText"/>
      </w:pPr>
      <w:r>
        <w:rPr>
          <w:rStyle w:val="FootnoteReference"/>
        </w:rPr>
        <w:footnoteRef/>
      </w:r>
      <w:r>
        <w:rPr>
          <w:rtl/>
        </w:rPr>
        <w:t xml:space="preserve"> </w:t>
      </w:r>
      <w:r w:rsidRPr="00CC0E02">
        <w:t>Lou Gerstner</w:t>
      </w:r>
    </w:p>
  </w:footnote>
  <w:footnote w:id="2311">
    <w:p w14:paraId="1657E699" w14:textId="77777777" w:rsidR="00B47FF5" w:rsidRDefault="00B47FF5" w:rsidP="00537CC8">
      <w:pPr>
        <w:pStyle w:val="FootnoteText"/>
      </w:pPr>
      <w:r>
        <w:rPr>
          <w:rStyle w:val="FootnoteReference"/>
        </w:rPr>
        <w:footnoteRef/>
      </w:r>
      <w:r>
        <w:rPr>
          <w:rtl/>
        </w:rPr>
        <w:t xml:space="preserve"> </w:t>
      </w:r>
      <w:r w:rsidRPr="00F84DB7">
        <w:t>Can strategic planning</w:t>
      </w:r>
      <w:r>
        <w:t xml:space="preserve"> pay off</w:t>
      </w:r>
    </w:p>
  </w:footnote>
  <w:footnote w:id="2312">
    <w:p w14:paraId="45364AA2" w14:textId="77777777" w:rsidR="00B47FF5" w:rsidRDefault="00B47FF5" w:rsidP="00537CC8">
      <w:pPr>
        <w:pStyle w:val="FootnoteText"/>
      </w:pPr>
      <w:r>
        <w:rPr>
          <w:rStyle w:val="FootnoteReference"/>
        </w:rPr>
        <w:footnoteRef/>
      </w:r>
      <w:r>
        <w:rPr>
          <w:rtl/>
        </w:rPr>
        <w:t xml:space="preserve"> </w:t>
      </w:r>
      <w:r w:rsidRPr="00CC0E02">
        <w:t>McKinsey Quarterly</w:t>
      </w:r>
    </w:p>
  </w:footnote>
  <w:footnote w:id="2313">
    <w:p w14:paraId="4ED9F487" w14:textId="77777777" w:rsidR="00B47FF5" w:rsidRDefault="00B47FF5" w:rsidP="00537CC8">
      <w:pPr>
        <w:pStyle w:val="FootnoteText"/>
      </w:pPr>
      <w:r>
        <w:rPr>
          <w:rStyle w:val="FootnoteReference"/>
        </w:rPr>
        <w:footnoteRef/>
      </w:r>
      <w:r>
        <w:rPr>
          <w:rtl/>
        </w:rPr>
        <w:t xml:space="preserve"> </w:t>
      </w:r>
      <w:r w:rsidRPr="00F84DB7">
        <w:t>The Rise and Fall of Strategic Planning</w:t>
      </w:r>
    </w:p>
  </w:footnote>
  <w:footnote w:id="2314">
    <w:p w14:paraId="1A86CA6B" w14:textId="77777777" w:rsidR="00B47FF5" w:rsidRDefault="00B47FF5" w:rsidP="00537CC8">
      <w:pPr>
        <w:pStyle w:val="FootnoteText"/>
      </w:pPr>
      <w:r>
        <w:rPr>
          <w:rStyle w:val="FootnoteReference"/>
        </w:rPr>
        <w:footnoteRef/>
      </w:r>
      <w:r>
        <w:rPr>
          <w:rtl/>
        </w:rPr>
        <w:t xml:space="preserve"> </w:t>
      </w:r>
      <w:r w:rsidRPr="00755F9B">
        <w:t>Simplified Strategic Planning</w:t>
      </w:r>
    </w:p>
  </w:footnote>
  <w:footnote w:id="2315">
    <w:p w14:paraId="40102983" w14:textId="77777777" w:rsidR="00B47FF5" w:rsidRDefault="00B47FF5" w:rsidP="00537CC8">
      <w:pPr>
        <w:pStyle w:val="FootnoteText"/>
      </w:pPr>
      <w:r>
        <w:rPr>
          <w:rStyle w:val="FootnoteReference"/>
        </w:rPr>
        <w:footnoteRef/>
      </w:r>
      <w:r>
        <w:rPr>
          <w:rtl/>
        </w:rPr>
        <w:t xml:space="preserve"> </w:t>
      </w:r>
      <w:r w:rsidRPr="00CC0E02">
        <w:t>Bradford and Duncan</w:t>
      </w:r>
    </w:p>
  </w:footnote>
  <w:footnote w:id="2316">
    <w:p w14:paraId="47155ABC" w14:textId="01FD8616" w:rsidR="00B47FF5" w:rsidRDefault="00B47FF5" w:rsidP="00537CC8">
      <w:pPr>
        <w:pStyle w:val="FootnoteText"/>
      </w:pPr>
      <w:r>
        <w:rPr>
          <w:rStyle w:val="FootnoteReference"/>
        </w:rPr>
        <w:footnoteRef/>
      </w:r>
      <w:r>
        <w:rPr>
          <w:rtl/>
        </w:rPr>
        <w:t xml:space="preserve"> </w:t>
      </w:r>
      <w:r w:rsidRPr="00755F9B">
        <w:t>Objectives</w:t>
      </w:r>
    </w:p>
  </w:footnote>
  <w:footnote w:id="2317">
    <w:p w14:paraId="1946B777" w14:textId="77777777" w:rsidR="00B47FF5" w:rsidRDefault="00B47FF5" w:rsidP="00537CC8">
      <w:pPr>
        <w:pStyle w:val="FootnoteText"/>
      </w:pPr>
      <w:r>
        <w:rPr>
          <w:rStyle w:val="FootnoteReference"/>
        </w:rPr>
        <w:footnoteRef/>
      </w:r>
      <w:r>
        <w:rPr>
          <w:rtl/>
        </w:rPr>
        <w:t xml:space="preserve"> </w:t>
      </w:r>
      <w:r w:rsidRPr="00CC0E02">
        <w:t>Fleming and Sorenson</w:t>
      </w:r>
    </w:p>
  </w:footnote>
  <w:footnote w:id="2318">
    <w:p w14:paraId="48F9098D" w14:textId="77777777" w:rsidR="00B47FF5" w:rsidRDefault="00B47FF5" w:rsidP="00537CC8">
      <w:pPr>
        <w:pStyle w:val="FootnoteText"/>
      </w:pPr>
      <w:r>
        <w:rPr>
          <w:rStyle w:val="FootnoteReference"/>
        </w:rPr>
        <w:footnoteRef/>
      </w:r>
      <w:r>
        <w:rPr>
          <w:rtl/>
        </w:rPr>
        <w:t xml:space="preserve"> </w:t>
      </w:r>
      <w:r w:rsidRPr="00755F9B">
        <w:t>Navigating the Technology Landscape of Innovation</w:t>
      </w:r>
    </w:p>
  </w:footnote>
  <w:footnote w:id="2319">
    <w:p w14:paraId="14F03E57" w14:textId="77777777" w:rsidR="00B47FF5" w:rsidRDefault="00B47FF5" w:rsidP="00537CC8">
      <w:pPr>
        <w:pStyle w:val="FootnoteText"/>
      </w:pPr>
      <w:r>
        <w:rPr>
          <w:rStyle w:val="FootnoteReference"/>
        </w:rPr>
        <w:footnoteRef/>
      </w:r>
      <w:r>
        <w:rPr>
          <w:rtl/>
        </w:rPr>
        <w:t xml:space="preserve"> </w:t>
      </w:r>
      <w:r w:rsidRPr="00492B59">
        <w:t>Alliance Advantage</w:t>
      </w:r>
    </w:p>
  </w:footnote>
  <w:footnote w:id="2320">
    <w:p w14:paraId="5F945A75" w14:textId="77777777" w:rsidR="00B47FF5" w:rsidRDefault="00B47FF5" w:rsidP="00537CC8">
      <w:pPr>
        <w:pStyle w:val="FootnoteText"/>
      </w:pPr>
      <w:r>
        <w:rPr>
          <w:rStyle w:val="FootnoteReference"/>
        </w:rPr>
        <w:footnoteRef/>
      </w:r>
      <w:r>
        <w:rPr>
          <w:rtl/>
        </w:rPr>
        <w:t xml:space="preserve"> </w:t>
      </w:r>
      <w:r w:rsidRPr="00CC0E02">
        <w:t>Doz and Hamel</w:t>
      </w:r>
    </w:p>
  </w:footnote>
  <w:footnote w:id="2321">
    <w:p w14:paraId="595F25F3" w14:textId="77777777" w:rsidR="00B47FF5" w:rsidRDefault="00B47FF5" w:rsidP="00537CC8">
      <w:pPr>
        <w:pStyle w:val="FootnoteText"/>
        <w:rPr>
          <w:rtl/>
        </w:rPr>
      </w:pPr>
      <w:r>
        <w:rPr>
          <w:rStyle w:val="FootnoteReference"/>
        </w:rPr>
        <w:footnoteRef/>
      </w:r>
      <w:r>
        <w:rPr>
          <w:rtl/>
        </w:rPr>
        <w:t xml:space="preserve"> </w:t>
      </w:r>
      <w:r w:rsidRPr="000D446B">
        <w:t>Execution: The Discipline of Ge</w:t>
      </w:r>
    </w:p>
  </w:footnote>
  <w:footnote w:id="2322">
    <w:p w14:paraId="323FC740" w14:textId="77777777" w:rsidR="00B47FF5" w:rsidRDefault="00B47FF5" w:rsidP="00537CC8">
      <w:pPr>
        <w:pStyle w:val="FootnoteText"/>
      </w:pPr>
      <w:r>
        <w:rPr>
          <w:rStyle w:val="FootnoteReference"/>
        </w:rPr>
        <w:footnoteRef/>
      </w:r>
      <w:r>
        <w:rPr>
          <w:rtl/>
        </w:rPr>
        <w:t xml:space="preserve"> </w:t>
      </w:r>
      <w:r w:rsidRPr="00CC0E02">
        <w:t>Bossidy and Charan</w:t>
      </w:r>
    </w:p>
  </w:footnote>
  <w:footnote w:id="2323">
    <w:p w14:paraId="53CBB246" w14:textId="02E4C761" w:rsidR="00B47FF5" w:rsidRDefault="00B47FF5" w:rsidP="00537CC8">
      <w:pPr>
        <w:pStyle w:val="FootnoteText"/>
      </w:pPr>
      <w:r>
        <w:rPr>
          <w:rStyle w:val="FootnoteReference"/>
        </w:rPr>
        <w:footnoteRef/>
      </w:r>
      <w:r>
        <w:rPr>
          <w:rtl/>
        </w:rPr>
        <w:t xml:space="preserve"> </w:t>
      </w:r>
      <w:r w:rsidRPr="008E07A6">
        <w:t>Sourcing</w:t>
      </w:r>
    </w:p>
  </w:footnote>
  <w:footnote w:id="2324">
    <w:p w14:paraId="488300F8" w14:textId="25048335" w:rsidR="00B47FF5" w:rsidRDefault="00B47FF5" w:rsidP="00537CC8">
      <w:pPr>
        <w:pStyle w:val="FootnoteText"/>
      </w:pPr>
      <w:r>
        <w:rPr>
          <w:rStyle w:val="FootnoteReference"/>
        </w:rPr>
        <w:footnoteRef/>
      </w:r>
      <w:r>
        <w:rPr>
          <w:rtl/>
        </w:rPr>
        <w:t xml:space="preserve"> </w:t>
      </w:r>
      <w:r w:rsidRPr="008E07A6">
        <w:t>Logistics</w:t>
      </w:r>
    </w:p>
  </w:footnote>
  <w:footnote w:id="2325">
    <w:p w14:paraId="64C90641" w14:textId="77777777" w:rsidR="00B47FF5" w:rsidRDefault="00B47FF5" w:rsidP="00537CC8">
      <w:pPr>
        <w:pStyle w:val="FootnoteText"/>
      </w:pPr>
      <w:r>
        <w:rPr>
          <w:rStyle w:val="FootnoteReference"/>
        </w:rPr>
        <w:footnoteRef/>
      </w:r>
      <w:r>
        <w:rPr>
          <w:rtl/>
        </w:rPr>
        <w:t xml:space="preserve"> </w:t>
      </w:r>
      <w:r w:rsidRPr="008E07A6">
        <w:t>American Management Association</w:t>
      </w:r>
    </w:p>
  </w:footnote>
  <w:footnote w:id="2326">
    <w:p w14:paraId="0F01D57E" w14:textId="77777777" w:rsidR="00B47FF5" w:rsidRDefault="00B47FF5" w:rsidP="00537CC8">
      <w:pPr>
        <w:pStyle w:val="FootnoteText"/>
      </w:pPr>
      <w:r>
        <w:rPr>
          <w:rStyle w:val="FootnoteReference"/>
        </w:rPr>
        <w:footnoteRef/>
      </w:r>
      <w:r>
        <w:rPr>
          <w:rtl/>
        </w:rPr>
        <w:t xml:space="preserve"> </w:t>
      </w:r>
      <w:r w:rsidRPr="008E07A6">
        <w:t>Product Development and Management Association</w:t>
      </w:r>
    </w:p>
  </w:footnote>
  <w:footnote w:id="2327">
    <w:p w14:paraId="5467E923" w14:textId="27F9BBCD" w:rsidR="00B47FF5" w:rsidRDefault="00B47FF5" w:rsidP="00537CC8">
      <w:pPr>
        <w:pStyle w:val="FootnoteText"/>
      </w:pPr>
      <w:r>
        <w:rPr>
          <w:rStyle w:val="FootnoteReference"/>
        </w:rPr>
        <w:footnoteRef/>
      </w:r>
      <w:r>
        <w:rPr>
          <w:rtl/>
        </w:rPr>
        <w:t xml:space="preserve"> </w:t>
      </w:r>
      <w:r w:rsidRPr="008E07A6">
        <w:t>Service science, management, and engineering</w:t>
      </w:r>
    </w:p>
  </w:footnote>
  <w:footnote w:id="2328">
    <w:p w14:paraId="3167BD8E" w14:textId="77777777" w:rsidR="00B47FF5" w:rsidRDefault="00B47FF5" w:rsidP="00537CC8">
      <w:pPr>
        <w:pStyle w:val="FootnoteText"/>
      </w:pPr>
      <w:r>
        <w:rPr>
          <w:rStyle w:val="FootnoteReference"/>
        </w:rPr>
        <w:footnoteRef/>
      </w:r>
      <w:r>
        <w:rPr>
          <w:rtl/>
        </w:rPr>
        <w:t xml:space="preserve"> </w:t>
      </w:r>
      <w:r w:rsidRPr="008E07A6">
        <w:t>Project Management: A Systems Approach</w:t>
      </w:r>
    </w:p>
  </w:footnote>
  <w:footnote w:id="2329">
    <w:p w14:paraId="73DFC241" w14:textId="77777777" w:rsidR="00B47FF5" w:rsidRDefault="00B47FF5" w:rsidP="00537CC8">
      <w:pPr>
        <w:pStyle w:val="FootnoteText"/>
      </w:pPr>
      <w:r>
        <w:rPr>
          <w:rStyle w:val="FootnoteReference"/>
        </w:rPr>
        <w:footnoteRef/>
      </w:r>
      <w:r>
        <w:rPr>
          <w:rtl/>
        </w:rPr>
        <w:t xml:space="preserve"> </w:t>
      </w:r>
      <w:r w:rsidRPr="00641CF3">
        <w:t>Harold Kerzner</w:t>
      </w:r>
    </w:p>
  </w:footnote>
  <w:footnote w:id="2330">
    <w:p w14:paraId="6A2C375D" w14:textId="77777777" w:rsidR="00B47FF5" w:rsidRDefault="00B47FF5" w:rsidP="00537CC8">
      <w:pPr>
        <w:pStyle w:val="FootnoteText"/>
      </w:pPr>
      <w:r>
        <w:rPr>
          <w:rStyle w:val="FootnoteReference"/>
        </w:rPr>
        <w:footnoteRef/>
      </w:r>
      <w:r>
        <w:rPr>
          <w:rtl/>
        </w:rPr>
        <w:t xml:space="preserve"> </w:t>
      </w:r>
      <w:r w:rsidRPr="008E07A6">
        <w:t>Project Management Professional</w:t>
      </w:r>
    </w:p>
  </w:footnote>
  <w:footnote w:id="2331">
    <w:p w14:paraId="3D54DF73" w14:textId="77777777" w:rsidR="00B47FF5" w:rsidRDefault="00B47FF5" w:rsidP="00537CC8">
      <w:pPr>
        <w:pStyle w:val="FootnoteText"/>
      </w:pPr>
      <w:r>
        <w:rPr>
          <w:rStyle w:val="FootnoteReference"/>
        </w:rPr>
        <w:footnoteRef/>
      </w:r>
      <w:r>
        <w:rPr>
          <w:rtl/>
        </w:rPr>
        <w:t xml:space="preserve"> </w:t>
      </w:r>
      <w:r w:rsidRPr="00317C69">
        <w:t>Product Management Body of Knowledge</w:t>
      </w:r>
    </w:p>
  </w:footnote>
  <w:footnote w:id="2332">
    <w:p w14:paraId="7C0D117F" w14:textId="77777777" w:rsidR="00B47FF5" w:rsidRDefault="00B47FF5" w:rsidP="00537CC8">
      <w:pPr>
        <w:pStyle w:val="FootnoteText"/>
      </w:pPr>
      <w:r>
        <w:rPr>
          <w:rStyle w:val="FootnoteReference"/>
        </w:rPr>
        <w:footnoteRef/>
      </w:r>
      <w:r>
        <w:rPr>
          <w:rtl/>
        </w:rPr>
        <w:t xml:space="preserve"> </w:t>
      </w:r>
      <w:r w:rsidRPr="00641CF3">
        <w:t>Jeff Sutherland</w:t>
      </w:r>
    </w:p>
  </w:footnote>
  <w:footnote w:id="2333">
    <w:p w14:paraId="1C65235C" w14:textId="77777777" w:rsidR="00B47FF5" w:rsidRDefault="00B47FF5" w:rsidP="00537CC8">
      <w:pPr>
        <w:pStyle w:val="FootnoteText"/>
        <w:rPr>
          <w:rtl/>
        </w:rPr>
      </w:pPr>
      <w:r>
        <w:rPr>
          <w:rStyle w:val="FootnoteReference"/>
        </w:rPr>
        <w:footnoteRef/>
      </w:r>
      <w:r>
        <w:rPr>
          <w:rtl/>
        </w:rPr>
        <w:t xml:space="preserve"> </w:t>
      </w:r>
      <w:r w:rsidRPr="000D446B">
        <w:t>First Things First</w:t>
      </w:r>
    </w:p>
  </w:footnote>
  <w:footnote w:id="2334">
    <w:p w14:paraId="6F0A3B63" w14:textId="77777777" w:rsidR="00B47FF5" w:rsidRDefault="00B47FF5" w:rsidP="00537CC8">
      <w:pPr>
        <w:pStyle w:val="FootnoteText"/>
      </w:pPr>
      <w:r>
        <w:rPr>
          <w:rStyle w:val="FootnoteReference"/>
        </w:rPr>
        <w:footnoteRef/>
      </w:r>
      <w:r>
        <w:rPr>
          <w:rtl/>
        </w:rPr>
        <w:t xml:space="preserve"> </w:t>
      </w:r>
      <w:r>
        <w:t xml:space="preserve">Be </w:t>
      </w:r>
      <w:r w:rsidRPr="009B093E">
        <w:t>Excellent at Anything</w:t>
      </w:r>
    </w:p>
  </w:footnote>
  <w:footnote w:id="2335">
    <w:p w14:paraId="7695434A" w14:textId="77777777" w:rsidR="00B47FF5" w:rsidRDefault="00B47FF5" w:rsidP="00537CC8">
      <w:pPr>
        <w:pStyle w:val="FootnoteText"/>
      </w:pPr>
      <w:r>
        <w:rPr>
          <w:rStyle w:val="FootnoteReference"/>
        </w:rPr>
        <w:footnoteRef/>
      </w:r>
      <w:r>
        <w:rPr>
          <w:rtl/>
        </w:rPr>
        <w:t xml:space="preserve"> </w:t>
      </w:r>
      <w:r w:rsidRPr="00641CF3">
        <w:t>Tony Schwartz</w:t>
      </w:r>
    </w:p>
  </w:footnote>
  <w:footnote w:id="2336">
    <w:p w14:paraId="574377AD" w14:textId="77777777" w:rsidR="00B47FF5" w:rsidRDefault="00B47FF5" w:rsidP="00537CC8">
      <w:pPr>
        <w:pStyle w:val="FootnoteText"/>
      </w:pPr>
      <w:r>
        <w:rPr>
          <w:rStyle w:val="FootnoteReference"/>
        </w:rPr>
        <w:footnoteRef/>
      </w:r>
      <w:r>
        <w:rPr>
          <w:rtl/>
        </w:rPr>
        <w:t xml:space="preserve"> </w:t>
      </w:r>
      <w:r w:rsidRPr="009B093E">
        <w:t>Indistractable</w:t>
      </w:r>
    </w:p>
  </w:footnote>
  <w:footnote w:id="2337">
    <w:p w14:paraId="5253032F" w14:textId="77777777" w:rsidR="00B47FF5" w:rsidRDefault="00B47FF5" w:rsidP="00537CC8">
      <w:pPr>
        <w:pStyle w:val="FootnoteText"/>
      </w:pPr>
      <w:r>
        <w:rPr>
          <w:rStyle w:val="FootnoteReference"/>
        </w:rPr>
        <w:footnoteRef/>
      </w:r>
      <w:r>
        <w:rPr>
          <w:rtl/>
        </w:rPr>
        <w:t xml:space="preserve"> </w:t>
      </w:r>
      <w:r w:rsidRPr="00641CF3">
        <w:t>Nir Eyal</w:t>
      </w:r>
    </w:p>
  </w:footnote>
  <w:footnote w:id="2338">
    <w:p w14:paraId="55AE0C06" w14:textId="3577315E" w:rsidR="00B47FF5" w:rsidRDefault="00B47FF5" w:rsidP="00537CC8">
      <w:pPr>
        <w:pStyle w:val="FootnoteText"/>
      </w:pPr>
      <w:r>
        <w:rPr>
          <w:rStyle w:val="FootnoteReference"/>
        </w:rPr>
        <w:footnoteRef/>
      </w:r>
      <w:r>
        <w:rPr>
          <w:rtl/>
        </w:rPr>
        <w:t xml:space="preserve"> </w:t>
      </w:r>
      <w:r w:rsidRPr="00D41CDD">
        <w:t>Self-restraint</w:t>
      </w:r>
    </w:p>
  </w:footnote>
  <w:footnote w:id="2339">
    <w:p w14:paraId="31240818" w14:textId="77777777" w:rsidR="00B47FF5" w:rsidRDefault="00B47FF5" w:rsidP="00537CC8">
      <w:pPr>
        <w:pStyle w:val="FootnoteText"/>
      </w:pPr>
      <w:r>
        <w:rPr>
          <w:rStyle w:val="FootnoteReference"/>
        </w:rPr>
        <w:footnoteRef/>
      </w:r>
      <w:r>
        <w:rPr>
          <w:rtl/>
        </w:rPr>
        <w:t xml:space="preserve"> </w:t>
      </w:r>
      <w:r w:rsidRPr="00641CF3">
        <w:t>Doug Miller</w:t>
      </w:r>
    </w:p>
  </w:footnote>
  <w:footnote w:id="2340">
    <w:p w14:paraId="4E5752C4" w14:textId="77777777" w:rsidR="00B47FF5" w:rsidRDefault="00B47FF5" w:rsidP="00537CC8">
      <w:pPr>
        <w:pStyle w:val="FootnoteText"/>
      </w:pPr>
      <w:r>
        <w:rPr>
          <w:rStyle w:val="FootnoteReference"/>
        </w:rPr>
        <w:footnoteRef/>
      </w:r>
      <w:r>
        <w:rPr>
          <w:rtl/>
        </w:rPr>
        <w:t xml:space="preserve"> </w:t>
      </w:r>
      <w:r w:rsidRPr="001B7CD7">
        <w:t>Can the World</w:t>
      </w:r>
      <w:r>
        <w:t xml:space="preserve"> </w:t>
      </w:r>
      <w:r w:rsidRPr="001B7CD7">
        <w:t>Be Wrong? Where Global Public Opinion Says We’re Headed</w:t>
      </w:r>
    </w:p>
  </w:footnote>
  <w:footnote w:id="2341">
    <w:p w14:paraId="655C3585" w14:textId="77777777" w:rsidR="00B47FF5" w:rsidRDefault="00B47FF5" w:rsidP="00537CC8">
      <w:pPr>
        <w:pStyle w:val="FootnoteText"/>
      </w:pPr>
      <w:r>
        <w:rPr>
          <w:rStyle w:val="FootnoteReference"/>
        </w:rPr>
        <w:footnoteRef/>
      </w:r>
      <w:r>
        <w:rPr>
          <w:rtl/>
        </w:rPr>
        <w:t xml:space="preserve"> </w:t>
      </w:r>
      <w:r w:rsidRPr="002F0172">
        <w:t>American Marketing Association</w:t>
      </w:r>
    </w:p>
  </w:footnote>
  <w:footnote w:id="2342">
    <w:p w14:paraId="1D7E234F" w14:textId="77777777" w:rsidR="00B47FF5" w:rsidRDefault="00B47FF5" w:rsidP="00537CC8">
      <w:pPr>
        <w:pStyle w:val="FootnoteText"/>
      </w:pPr>
      <w:r>
        <w:rPr>
          <w:rStyle w:val="FootnoteReference"/>
        </w:rPr>
        <w:footnoteRef/>
      </w:r>
      <w:r>
        <w:rPr>
          <w:rtl/>
        </w:rPr>
        <w:t xml:space="preserve"> </w:t>
      </w:r>
      <w:r w:rsidRPr="002F0172">
        <w:t>National Association of Sales Professionals</w:t>
      </w:r>
    </w:p>
  </w:footnote>
  <w:footnote w:id="2343">
    <w:p w14:paraId="0B1D4812" w14:textId="77777777" w:rsidR="00B47FF5" w:rsidRDefault="00B47FF5" w:rsidP="00537CC8">
      <w:pPr>
        <w:pStyle w:val="FootnoteText"/>
      </w:pPr>
      <w:r>
        <w:rPr>
          <w:rStyle w:val="FootnoteReference"/>
        </w:rPr>
        <w:footnoteRef/>
      </w:r>
      <w:r>
        <w:rPr>
          <w:rtl/>
        </w:rPr>
        <w:t xml:space="preserve"> </w:t>
      </w:r>
      <w:r w:rsidRPr="001B7CD7">
        <w:t>How to Win Friends and Influence People</w:t>
      </w:r>
    </w:p>
  </w:footnote>
  <w:footnote w:id="2344">
    <w:p w14:paraId="7D62A11E" w14:textId="77777777" w:rsidR="00B47FF5" w:rsidRDefault="00B47FF5" w:rsidP="00537CC8">
      <w:pPr>
        <w:pStyle w:val="FootnoteText"/>
      </w:pPr>
      <w:r>
        <w:rPr>
          <w:rStyle w:val="FootnoteReference"/>
        </w:rPr>
        <w:footnoteRef/>
      </w:r>
      <w:r>
        <w:rPr>
          <w:rtl/>
        </w:rPr>
        <w:t xml:space="preserve"> </w:t>
      </w:r>
      <w:r w:rsidRPr="00641CF3">
        <w:t>Dale Carnegie</w:t>
      </w:r>
    </w:p>
  </w:footnote>
  <w:footnote w:id="2345">
    <w:p w14:paraId="4BCC0025" w14:textId="77777777" w:rsidR="00B47FF5" w:rsidRDefault="00B47FF5" w:rsidP="00537CC8">
      <w:pPr>
        <w:pStyle w:val="FootnoteText"/>
      </w:pPr>
      <w:r>
        <w:rPr>
          <w:rStyle w:val="FootnoteReference"/>
        </w:rPr>
        <w:footnoteRef/>
      </w:r>
      <w:r>
        <w:rPr>
          <w:rtl/>
        </w:rPr>
        <w:t xml:space="preserve"> </w:t>
      </w:r>
      <w:r w:rsidRPr="00641CF3">
        <w:t>Warren Buffett</w:t>
      </w:r>
    </w:p>
  </w:footnote>
  <w:footnote w:id="2346">
    <w:p w14:paraId="6C2E7C35" w14:textId="77777777" w:rsidR="00B47FF5" w:rsidRDefault="00B47FF5" w:rsidP="00537CC8">
      <w:pPr>
        <w:pStyle w:val="FootnoteText"/>
      </w:pPr>
      <w:r>
        <w:rPr>
          <w:rStyle w:val="FootnoteReference"/>
        </w:rPr>
        <w:footnoteRef/>
      </w:r>
      <w:r>
        <w:rPr>
          <w:rtl/>
        </w:rPr>
        <w:t xml:space="preserve"> </w:t>
      </w:r>
      <w:r w:rsidRPr="00641CF3">
        <w:t>Andrew Parodi</w:t>
      </w:r>
    </w:p>
  </w:footnote>
  <w:footnote w:id="2347">
    <w:p w14:paraId="4E5FE541" w14:textId="77777777" w:rsidR="00B47FF5" w:rsidRDefault="00B47FF5" w:rsidP="00537CC8">
      <w:pPr>
        <w:pStyle w:val="FootnoteText"/>
      </w:pPr>
      <w:r>
        <w:rPr>
          <w:rStyle w:val="FootnoteReference"/>
        </w:rPr>
        <w:footnoteRef/>
      </w:r>
      <w:r>
        <w:rPr>
          <w:rtl/>
        </w:rPr>
        <w:t xml:space="preserve"> </w:t>
      </w:r>
      <w:r w:rsidRPr="00641CF3">
        <w:t>Kemp and Claflin</w:t>
      </w:r>
    </w:p>
  </w:footnote>
  <w:footnote w:id="2348">
    <w:p w14:paraId="4FEACCF3" w14:textId="77777777" w:rsidR="00B47FF5" w:rsidRDefault="00B47FF5" w:rsidP="00537CC8">
      <w:pPr>
        <w:pStyle w:val="FootnoteText"/>
      </w:pPr>
      <w:r>
        <w:rPr>
          <w:rStyle w:val="FootnoteReference"/>
        </w:rPr>
        <w:footnoteRef/>
      </w:r>
      <w:r>
        <w:rPr>
          <w:rtl/>
        </w:rPr>
        <w:t xml:space="preserve"> </w:t>
      </w:r>
      <w:r w:rsidRPr="001B7CD7">
        <w:t>Dale Carnegie: The Man Who Influenced Millions</w:t>
      </w:r>
    </w:p>
  </w:footnote>
  <w:footnote w:id="2349">
    <w:p w14:paraId="7DC5540D" w14:textId="77777777" w:rsidR="00B47FF5" w:rsidRDefault="00B47FF5" w:rsidP="00537CC8">
      <w:pPr>
        <w:pStyle w:val="FootnoteText"/>
      </w:pPr>
      <w:r>
        <w:rPr>
          <w:rStyle w:val="FootnoteReference"/>
        </w:rPr>
        <w:footnoteRef/>
      </w:r>
      <w:r>
        <w:rPr>
          <w:rtl/>
        </w:rPr>
        <w:t xml:space="preserve"> </w:t>
      </w:r>
      <w:r w:rsidRPr="00FA37DA">
        <w:t>The New Strategic</w:t>
      </w:r>
      <w:r>
        <w:t xml:space="preserve"> Selling</w:t>
      </w:r>
    </w:p>
  </w:footnote>
  <w:footnote w:id="2350">
    <w:p w14:paraId="16366565" w14:textId="77777777" w:rsidR="00B47FF5" w:rsidRDefault="00B47FF5" w:rsidP="00537CC8">
      <w:pPr>
        <w:pStyle w:val="FootnoteText"/>
      </w:pPr>
      <w:r>
        <w:rPr>
          <w:rStyle w:val="FootnoteReference"/>
        </w:rPr>
        <w:footnoteRef/>
      </w:r>
      <w:r>
        <w:rPr>
          <w:rtl/>
        </w:rPr>
        <w:t xml:space="preserve"> </w:t>
      </w:r>
      <w:r w:rsidRPr="002C0BB0">
        <w:t>Miller and Heiman</w:t>
      </w:r>
    </w:p>
  </w:footnote>
  <w:footnote w:id="2351">
    <w:p w14:paraId="3FDC921B" w14:textId="77777777" w:rsidR="00B47FF5" w:rsidRDefault="00B47FF5" w:rsidP="00537CC8">
      <w:pPr>
        <w:pStyle w:val="FootnoteText"/>
      </w:pPr>
      <w:r>
        <w:rPr>
          <w:rStyle w:val="FootnoteReference"/>
        </w:rPr>
        <w:footnoteRef/>
      </w:r>
      <w:r>
        <w:rPr>
          <w:rtl/>
        </w:rPr>
        <w:t xml:space="preserve"> </w:t>
      </w:r>
      <w:r>
        <w:t xml:space="preserve">New </w:t>
      </w:r>
      <w:r w:rsidRPr="00FA37DA">
        <w:t>Conceptual Selling</w:t>
      </w:r>
    </w:p>
  </w:footnote>
  <w:footnote w:id="2352">
    <w:p w14:paraId="0BDDFB6A" w14:textId="77777777" w:rsidR="00B47FF5" w:rsidRDefault="00B47FF5" w:rsidP="00537CC8">
      <w:pPr>
        <w:pStyle w:val="FootnoteText"/>
      </w:pPr>
      <w:r>
        <w:rPr>
          <w:rStyle w:val="FootnoteReference"/>
        </w:rPr>
        <w:footnoteRef/>
      </w:r>
      <w:r>
        <w:rPr>
          <w:rtl/>
        </w:rPr>
        <w:t xml:space="preserve"> </w:t>
      </w:r>
      <w:r w:rsidRPr="00FA37DA">
        <w:t>Consultative Selling</w:t>
      </w:r>
    </w:p>
  </w:footnote>
  <w:footnote w:id="2353">
    <w:p w14:paraId="5E02D0AC" w14:textId="77777777" w:rsidR="00B47FF5" w:rsidRDefault="00B47FF5" w:rsidP="00537CC8">
      <w:pPr>
        <w:pStyle w:val="FootnoteText"/>
      </w:pPr>
      <w:r>
        <w:rPr>
          <w:rStyle w:val="FootnoteReference"/>
        </w:rPr>
        <w:footnoteRef/>
      </w:r>
      <w:r>
        <w:rPr>
          <w:rtl/>
        </w:rPr>
        <w:t xml:space="preserve"> </w:t>
      </w:r>
      <w:r w:rsidRPr="002C0BB0">
        <w:t>Mack Hanan</w:t>
      </w:r>
    </w:p>
  </w:footnote>
  <w:footnote w:id="2354">
    <w:p w14:paraId="2D0C350C" w14:textId="77777777" w:rsidR="00B47FF5" w:rsidRDefault="00B47FF5" w:rsidP="00537CC8">
      <w:pPr>
        <w:pStyle w:val="FootnoteText"/>
      </w:pPr>
      <w:r>
        <w:rPr>
          <w:rStyle w:val="FootnoteReference"/>
        </w:rPr>
        <w:footnoteRef/>
      </w:r>
      <w:r>
        <w:rPr>
          <w:rtl/>
        </w:rPr>
        <w:t xml:space="preserve"> </w:t>
      </w:r>
      <w:r w:rsidRPr="002C0BB0">
        <w:t>Neil Rackham</w:t>
      </w:r>
    </w:p>
  </w:footnote>
  <w:footnote w:id="2355">
    <w:p w14:paraId="485BC9AD" w14:textId="77777777" w:rsidR="00B47FF5" w:rsidRDefault="00B47FF5" w:rsidP="00537CC8">
      <w:pPr>
        <w:pStyle w:val="FootnoteText"/>
        <w:rPr>
          <w:rtl/>
        </w:rPr>
      </w:pPr>
      <w:r>
        <w:rPr>
          <w:rStyle w:val="FootnoteReference"/>
        </w:rPr>
        <w:footnoteRef/>
      </w:r>
      <w:r>
        <w:rPr>
          <w:rtl/>
        </w:rPr>
        <w:t xml:space="preserve"> </w:t>
      </w:r>
      <w:r w:rsidRPr="00FA37DA">
        <w:t>SPIN Selling</w:t>
      </w:r>
    </w:p>
  </w:footnote>
  <w:footnote w:id="2356">
    <w:p w14:paraId="0454D428" w14:textId="77777777" w:rsidR="00B47FF5" w:rsidRDefault="00B47FF5" w:rsidP="00537CC8">
      <w:pPr>
        <w:pStyle w:val="FootnoteText"/>
      </w:pPr>
      <w:r>
        <w:rPr>
          <w:rStyle w:val="FootnoteReference"/>
        </w:rPr>
        <w:footnoteRef/>
      </w:r>
      <w:r>
        <w:rPr>
          <w:rtl/>
        </w:rPr>
        <w:t xml:space="preserve"> </w:t>
      </w:r>
      <w:r w:rsidRPr="00FA37DA">
        <w:t>To Sell is Human</w:t>
      </w:r>
    </w:p>
  </w:footnote>
  <w:footnote w:id="2357">
    <w:p w14:paraId="455BC1FF" w14:textId="77777777" w:rsidR="00B47FF5" w:rsidRDefault="00B47FF5" w:rsidP="00537CC8">
      <w:pPr>
        <w:pStyle w:val="FootnoteText"/>
      </w:pPr>
      <w:r>
        <w:rPr>
          <w:rStyle w:val="FootnoteReference"/>
        </w:rPr>
        <w:footnoteRef/>
      </w:r>
      <w:r>
        <w:rPr>
          <w:rtl/>
        </w:rPr>
        <w:t xml:space="preserve"> </w:t>
      </w:r>
      <w:r w:rsidRPr="002C0BB0">
        <w:t>Daniel Pink</w:t>
      </w:r>
    </w:p>
  </w:footnote>
  <w:footnote w:id="2358">
    <w:p w14:paraId="6C2E27B4" w14:textId="77777777" w:rsidR="00B47FF5" w:rsidRDefault="00B47FF5" w:rsidP="00537CC8">
      <w:pPr>
        <w:pStyle w:val="FootnoteText"/>
      </w:pPr>
      <w:r>
        <w:rPr>
          <w:rStyle w:val="FootnoteReference"/>
        </w:rPr>
        <w:footnoteRef/>
      </w:r>
      <w:r>
        <w:rPr>
          <w:rtl/>
        </w:rPr>
        <w:t xml:space="preserve"> </w:t>
      </w:r>
      <w:r w:rsidRPr="00FA37DA">
        <w:t>Influence</w:t>
      </w:r>
    </w:p>
  </w:footnote>
  <w:footnote w:id="2359">
    <w:p w14:paraId="41B61CF3" w14:textId="77777777" w:rsidR="00B47FF5" w:rsidRDefault="00B47FF5" w:rsidP="00537CC8">
      <w:pPr>
        <w:pStyle w:val="FootnoteText"/>
      </w:pPr>
      <w:r>
        <w:rPr>
          <w:rStyle w:val="FootnoteReference"/>
        </w:rPr>
        <w:footnoteRef/>
      </w:r>
      <w:r>
        <w:rPr>
          <w:rtl/>
        </w:rPr>
        <w:t xml:space="preserve"> </w:t>
      </w:r>
      <w:r w:rsidRPr="002C0BB0">
        <w:t>Robert Cialdini</w:t>
      </w:r>
    </w:p>
  </w:footnote>
  <w:footnote w:id="2360">
    <w:p w14:paraId="02817A29" w14:textId="7DA51727" w:rsidR="00B47FF5" w:rsidRDefault="00B47FF5" w:rsidP="00537CC8">
      <w:pPr>
        <w:pStyle w:val="FootnoteText"/>
      </w:pPr>
      <w:r>
        <w:rPr>
          <w:rStyle w:val="FootnoteReference"/>
        </w:rPr>
        <w:footnoteRef/>
      </w:r>
      <w:r>
        <w:rPr>
          <w:rtl/>
        </w:rPr>
        <w:t xml:space="preserve"> </w:t>
      </w:r>
      <w:r>
        <w:t>Woo</w:t>
      </w:r>
    </w:p>
  </w:footnote>
  <w:footnote w:id="2361">
    <w:p w14:paraId="3C382F3E" w14:textId="709A5E4A" w:rsidR="00B47FF5" w:rsidRDefault="00B47FF5" w:rsidP="00537CC8">
      <w:pPr>
        <w:pStyle w:val="FootnoteText"/>
      </w:pPr>
      <w:r>
        <w:rPr>
          <w:rStyle w:val="FootnoteReference"/>
        </w:rPr>
        <w:footnoteRef/>
      </w:r>
      <w:r>
        <w:rPr>
          <w:rtl/>
        </w:rPr>
        <w:t xml:space="preserve"> </w:t>
      </w:r>
      <w:r>
        <w:t>Command</w:t>
      </w:r>
    </w:p>
  </w:footnote>
  <w:footnote w:id="2362">
    <w:p w14:paraId="527927C7" w14:textId="77777777" w:rsidR="00B47FF5" w:rsidRDefault="00B47FF5" w:rsidP="00537CC8">
      <w:pPr>
        <w:pStyle w:val="FootnoteText"/>
      </w:pPr>
      <w:r>
        <w:rPr>
          <w:rStyle w:val="FootnoteReference"/>
        </w:rPr>
        <w:footnoteRef/>
      </w:r>
      <w:r>
        <w:rPr>
          <w:rtl/>
        </w:rPr>
        <w:t xml:space="preserve"> </w:t>
      </w:r>
      <w:r w:rsidRPr="005E0C24">
        <w:t>Nudge</w:t>
      </w:r>
    </w:p>
  </w:footnote>
  <w:footnote w:id="2363">
    <w:p w14:paraId="0CF7EE5D" w14:textId="77777777" w:rsidR="00B47FF5" w:rsidRDefault="00B47FF5" w:rsidP="00537CC8">
      <w:pPr>
        <w:pStyle w:val="FootnoteText"/>
      </w:pPr>
      <w:r>
        <w:rPr>
          <w:rStyle w:val="FootnoteReference"/>
        </w:rPr>
        <w:footnoteRef/>
      </w:r>
      <w:r>
        <w:rPr>
          <w:rtl/>
        </w:rPr>
        <w:t xml:space="preserve"> </w:t>
      </w:r>
      <w:r w:rsidRPr="002C0BB0">
        <w:t>Thaler and Sustein</w:t>
      </w:r>
    </w:p>
  </w:footnote>
  <w:footnote w:id="2364">
    <w:p w14:paraId="1E801CEF" w14:textId="77777777" w:rsidR="00B47FF5" w:rsidRDefault="00B47FF5" w:rsidP="00537CC8">
      <w:pPr>
        <w:pStyle w:val="FootnoteText"/>
        <w:rPr>
          <w:rtl/>
        </w:rPr>
      </w:pPr>
      <w:r>
        <w:rPr>
          <w:rStyle w:val="FootnoteReference"/>
        </w:rPr>
        <w:footnoteRef/>
      </w:r>
      <w:r>
        <w:rPr>
          <w:rtl/>
        </w:rPr>
        <w:t xml:space="preserve"> </w:t>
      </w:r>
      <w:r w:rsidRPr="005E0C24">
        <w:t>Predictably Irrational</w:t>
      </w:r>
    </w:p>
  </w:footnote>
  <w:footnote w:id="2365">
    <w:p w14:paraId="33E2CAAD" w14:textId="77777777" w:rsidR="00B47FF5" w:rsidRDefault="00B47FF5" w:rsidP="00537CC8">
      <w:pPr>
        <w:pStyle w:val="FootnoteText"/>
      </w:pPr>
      <w:r>
        <w:rPr>
          <w:rStyle w:val="FootnoteReference"/>
        </w:rPr>
        <w:footnoteRef/>
      </w:r>
      <w:r>
        <w:rPr>
          <w:rtl/>
        </w:rPr>
        <w:t xml:space="preserve"> </w:t>
      </w:r>
      <w:r w:rsidRPr="002C0BB0">
        <w:t>Dan Ariely</w:t>
      </w:r>
    </w:p>
  </w:footnote>
  <w:footnote w:id="2366">
    <w:p w14:paraId="1E861E20" w14:textId="77777777" w:rsidR="00B47FF5" w:rsidRDefault="00B47FF5" w:rsidP="00537CC8">
      <w:pPr>
        <w:pStyle w:val="FootnoteText"/>
      </w:pPr>
      <w:r>
        <w:rPr>
          <w:rStyle w:val="FootnoteReference"/>
        </w:rPr>
        <w:footnoteRef/>
      </w:r>
      <w:r>
        <w:rPr>
          <w:rtl/>
        </w:rPr>
        <w:t xml:space="preserve"> </w:t>
      </w:r>
      <w:r w:rsidRPr="005E0C24">
        <w:t>Social Physics</w:t>
      </w:r>
    </w:p>
  </w:footnote>
  <w:footnote w:id="2367">
    <w:p w14:paraId="1A3E6BD9" w14:textId="77777777" w:rsidR="00B47FF5" w:rsidRDefault="00B47FF5" w:rsidP="00537CC8">
      <w:pPr>
        <w:pStyle w:val="FootnoteText"/>
      </w:pPr>
      <w:r>
        <w:rPr>
          <w:rStyle w:val="FootnoteReference"/>
        </w:rPr>
        <w:footnoteRef/>
      </w:r>
      <w:r>
        <w:rPr>
          <w:rtl/>
        </w:rPr>
        <w:t xml:space="preserve"> </w:t>
      </w:r>
      <w:r w:rsidRPr="002C0BB0">
        <w:t>Sandy Pentland</w:t>
      </w:r>
    </w:p>
  </w:footnote>
  <w:footnote w:id="2368">
    <w:p w14:paraId="67BC1C7A" w14:textId="08AEE880" w:rsidR="00B47FF5" w:rsidRDefault="00B47FF5" w:rsidP="00537CC8">
      <w:pPr>
        <w:pStyle w:val="FootnoteText"/>
      </w:pPr>
      <w:r>
        <w:rPr>
          <w:rStyle w:val="FootnoteReference"/>
        </w:rPr>
        <w:footnoteRef/>
      </w:r>
      <w:r>
        <w:rPr>
          <w:rtl/>
        </w:rPr>
        <w:t xml:space="preserve"> </w:t>
      </w:r>
      <w:r>
        <w:t>Opt-out</w:t>
      </w:r>
    </w:p>
  </w:footnote>
  <w:footnote w:id="2369">
    <w:p w14:paraId="369D5A73" w14:textId="3A593E0C" w:rsidR="00B47FF5" w:rsidRDefault="00B47FF5" w:rsidP="00537CC8">
      <w:pPr>
        <w:pStyle w:val="FootnoteText"/>
      </w:pPr>
      <w:r>
        <w:rPr>
          <w:rStyle w:val="FootnoteReference"/>
        </w:rPr>
        <w:footnoteRef/>
      </w:r>
      <w:r>
        <w:rPr>
          <w:rtl/>
        </w:rPr>
        <w:t xml:space="preserve"> </w:t>
      </w:r>
      <w:r>
        <w:t>Opt-in</w:t>
      </w:r>
    </w:p>
  </w:footnote>
  <w:footnote w:id="2370">
    <w:p w14:paraId="4DA3B75B" w14:textId="77777777" w:rsidR="00B47FF5" w:rsidRDefault="00B47FF5" w:rsidP="00537CC8">
      <w:pPr>
        <w:pStyle w:val="FootnoteText"/>
      </w:pPr>
      <w:r>
        <w:rPr>
          <w:rStyle w:val="FootnoteReference"/>
        </w:rPr>
        <w:footnoteRef/>
      </w:r>
      <w:r>
        <w:rPr>
          <w:rtl/>
        </w:rPr>
        <w:t xml:space="preserve"> </w:t>
      </w:r>
      <w:r w:rsidRPr="002C0BB0">
        <w:t>Cass Sunstein</w:t>
      </w:r>
    </w:p>
  </w:footnote>
  <w:footnote w:id="2371">
    <w:p w14:paraId="1CBE0623" w14:textId="77777777" w:rsidR="00B47FF5" w:rsidRDefault="00B47FF5" w:rsidP="00537CC8">
      <w:pPr>
        <w:pStyle w:val="FootnoteText"/>
      </w:pPr>
      <w:r>
        <w:rPr>
          <w:rStyle w:val="FootnoteReference"/>
        </w:rPr>
        <w:footnoteRef/>
      </w:r>
      <w:r>
        <w:rPr>
          <w:rtl/>
        </w:rPr>
        <w:t xml:space="preserve"> </w:t>
      </w:r>
      <w:r w:rsidRPr="005E0C24">
        <w:t>Why Nudge</w:t>
      </w:r>
      <w:r w:rsidRPr="005E0C24">
        <w:rPr>
          <w:rtl/>
        </w:rPr>
        <w:t>?</w:t>
      </w:r>
    </w:p>
  </w:footnote>
  <w:footnote w:id="2372">
    <w:p w14:paraId="40FE2BA8" w14:textId="0F614388" w:rsidR="00B47FF5" w:rsidRDefault="00B47FF5" w:rsidP="00537CC8">
      <w:pPr>
        <w:pStyle w:val="FootnoteText"/>
      </w:pPr>
      <w:r>
        <w:rPr>
          <w:rStyle w:val="FootnoteReference"/>
        </w:rPr>
        <w:footnoteRef/>
      </w:r>
      <w:r>
        <w:rPr>
          <w:rtl/>
        </w:rPr>
        <w:t xml:space="preserve"> </w:t>
      </w:r>
      <w:r w:rsidRPr="001100CA">
        <w:t>Libertarian paternalism</w:t>
      </w:r>
    </w:p>
  </w:footnote>
  <w:footnote w:id="2373">
    <w:p w14:paraId="71DD95AF" w14:textId="77777777" w:rsidR="00B47FF5" w:rsidRDefault="00B47FF5" w:rsidP="00537CC8">
      <w:pPr>
        <w:pStyle w:val="FootnoteText"/>
      </w:pPr>
      <w:r>
        <w:rPr>
          <w:rStyle w:val="FootnoteReference"/>
        </w:rPr>
        <w:footnoteRef/>
      </w:r>
      <w:r>
        <w:rPr>
          <w:rtl/>
        </w:rPr>
        <w:t xml:space="preserve"> </w:t>
      </w:r>
      <w:r w:rsidRPr="002C0BB0">
        <w:t>Humu</w:t>
      </w:r>
    </w:p>
  </w:footnote>
  <w:footnote w:id="2374">
    <w:p w14:paraId="5CC4499E" w14:textId="77777777" w:rsidR="00B47FF5" w:rsidRDefault="00B47FF5" w:rsidP="00537CC8">
      <w:pPr>
        <w:pStyle w:val="FootnoteText"/>
      </w:pPr>
      <w:r>
        <w:rPr>
          <w:rStyle w:val="FootnoteReference"/>
        </w:rPr>
        <w:footnoteRef/>
      </w:r>
      <w:r>
        <w:rPr>
          <w:rtl/>
        </w:rPr>
        <w:t xml:space="preserve"> </w:t>
      </w:r>
      <w:r w:rsidRPr="002C0BB0">
        <w:t>Laszlo Bock</w:t>
      </w:r>
    </w:p>
  </w:footnote>
  <w:footnote w:id="2375">
    <w:p w14:paraId="714913BA" w14:textId="77777777" w:rsidR="00B47FF5" w:rsidRDefault="00B47FF5" w:rsidP="00537CC8">
      <w:pPr>
        <w:pStyle w:val="FootnoteText"/>
      </w:pPr>
      <w:r>
        <w:rPr>
          <w:rStyle w:val="FootnoteReference"/>
        </w:rPr>
        <w:footnoteRef/>
      </w:r>
      <w:r>
        <w:rPr>
          <w:rtl/>
        </w:rPr>
        <w:t xml:space="preserve"> </w:t>
      </w:r>
      <w:r w:rsidRPr="002C0BB0">
        <w:t>Tony Schwartz</w:t>
      </w:r>
    </w:p>
  </w:footnote>
  <w:footnote w:id="2376">
    <w:p w14:paraId="1B86C4E7" w14:textId="77777777" w:rsidR="00B47FF5" w:rsidRDefault="00B47FF5" w:rsidP="00537CC8">
      <w:pPr>
        <w:pStyle w:val="FootnoteText"/>
      </w:pPr>
      <w:r>
        <w:rPr>
          <w:rStyle w:val="FootnoteReference"/>
        </w:rPr>
        <w:footnoteRef/>
      </w:r>
      <w:r>
        <w:rPr>
          <w:rtl/>
        </w:rPr>
        <w:t xml:space="preserve"> </w:t>
      </w:r>
      <w:r w:rsidRPr="00F265C3">
        <w:t>Be Excellent at Anything</w:t>
      </w:r>
    </w:p>
  </w:footnote>
  <w:footnote w:id="2377">
    <w:p w14:paraId="1C3C8EFD" w14:textId="77777777" w:rsidR="00B47FF5" w:rsidRDefault="00B47FF5" w:rsidP="00537CC8">
      <w:pPr>
        <w:pStyle w:val="FootnoteText"/>
      </w:pPr>
      <w:r>
        <w:rPr>
          <w:rStyle w:val="FootnoteReference"/>
        </w:rPr>
        <w:footnoteRef/>
      </w:r>
      <w:r>
        <w:rPr>
          <w:rtl/>
        </w:rPr>
        <w:t xml:space="preserve"> </w:t>
      </w:r>
      <w:r w:rsidRPr="002C0BB0">
        <w:t>Robert Greenleaf</w:t>
      </w:r>
    </w:p>
  </w:footnote>
  <w:footnote w:id="2378">
    <w:p w14:paraId="5A4634CF" w14:textId="77777777" w:rsidR="00B47FF5" w:rsidRDefault="00B47FF5" w:rsidP="00537CC8">
      <w:pPr>
        <w:pStyle w:val="FootnoteText"/>
      </w:pPr>
      <w:r>
        <w:rPr>
          <w:rStyle w:val="FootnoteReference"/>
        </w:rPr>
        <w:footnoteRef/>
      </w:r>
      <w:r>
        <w:rPr>
          <w:rtl/>
        </w:rPr>
        <w:t xml:space="preserve"> </w:t>
      </w:r>
      <w:r w:rsidRPr="00F265C3">
        <w:t>Servant Leadership</w:t>
      </w:r>
    </w:p>
  </w:footnote>
  <w:footnote w:id="2379">
    <w:p w14:paraId="5264CC2E" w14:textId="77777777" w:rsidR="00B47FF5" w:rsidRDefault="00B47FF5" w:rsidP="00537CC8">
      <w:pPr>
        <w:pStyle w:val="FootnoteText"/>
      </w:pPr>
      <w:r>
        <w:rPr>
          <w:rStyle w:val="FootnoteReference"/>
        </w:rPr>
        <w:footnoteRef/>
      </w:r>
      <w:r>
        <w:rPr>
          <w:rtl/>
        </w:rPr>
        <w:t xml:space="preserve"> </w:t>
      </w:r>
      <w:r w:rsidRPr="00EA5FFA">
        <w:t>Issue Management Council</w:t>
      </w:r>
    </w:p>
  </w:footnote>
  <w:footnote w:id="2380">
    <w:p w14:paraId="7FF9D886" w14:textId="77777777" w:rsidR="00B47FF5" w:rsidRDefault="00B47FF5" w:rsidP="00537CC8">
      <w:pPr>
        <w:pStyle w:val="FootnoteText"/>
      </w:pPr>
      <w:r>
        <w:rPr>
          <w:rStyle w:val="FootnoteReference"/>
        </w:rPr>
        <w:footnoteRef/>
      </w:r>
      <w:r>
        <w:rPr>
          <w:rtl/>
        </w:rPr>
        <w:t xml:space="preserve"> </w:t>
      </w:r>
      <w:r w:rsidRPr="00F865B9">
        <w:t>Society for Human Resource Management</w:t>
      </w:r>
    </w:p>
  </w:footnote>
  <w:footnote w:id="2381">
    <w:p w14:paraId="2EF48863" w14:textId="77777777" w:rsidR="00B47FF5" w:rsidRDefault="00B47FF5" w:rsidP="00537CC8">
      <w:pPr>
        <w:pStyle w:val="FootnoteText"/>
      </w:pPr>
      <w:r>
        <w:rPr>
          <w:rStyle w:val="FootnoteReference"/>
        </w:rPr>
        <w:footnoteRef/>
      </w:r>
      <w:r>
        <w:rPr>
          <w:rtl/>
        </w:rPr>
        <w:t xml:space="preserve"> </w:t>
      </w:r>
      <w:r w:rsidRPr="00F904FA">
        <w:t>PHR/SPHR</w:t>
      </w:r>
    </w:p>
  </w:footnote>
  <w:footnote w:id="2382">
    <w:p w14:paraId="7621139B" w14:textId="77777777" w:rsidR="00B47FF5" w:rsidRDefault="00B47FF5" w:rsidP="00537CC8">
      <w:pPr>
        <w:pStyle w:val="FootnoteText"/>
      </w:pPr>
      <w:r>
        <w:rPr>
          <w:rStyle w:val="FootnoteReference"/>
        </w:rPr>
        <w:footnoteRef/>
      </w:r>
      <w:r>
        <w:rPr>
          <w:rtl/>
        </w:rPr>
        <w:t xml:space="preserve"> </w:t>
      </w:r>
      <w:r w:rsidRPr="002C0BB0">
        <w:t>Reed and Bogardus</w:t>
      </w:r>
    </w:p>
  </w:footnote>
  <w:footnote w:id="2383">
    <w:p w14:paraId="6DFA12BF" w14:textId="4032F56D" w:rsidR="00B47FF5" w:rsidRDefault="00B47FF5" w:rsidP="00537CC8">
      <w:pPr>
        <w:pStyle w:val="FootnoteText"/>
      </w:pPr>
      <w:r>
        <w:rPr>
          <w:rStyle w:val="FootnoteReference"/>
        </w:rPr>
        <w:footnoteRef/>
      </w:r>
      <w:r>
        <w:rPr>
          <w:rtl/>
        </w:rPr>
        <w:t xml:space="preserve"> </w:t>
      </w:r>
      <w:r>
        <w:t>Positive Sum</w:t>
      </w:r>
    </w:p>
  </w:footnote>
  <w:footnote w:id="2384">
    <w:p w14:paraId="2DAE29E4" w14:textId="1B334EC2" w:rsidR="00B47FF5" w:rsidRDefault="00B47FF5" w:rsidP="00537CC8">
      <w:pPr>
        <w:pStyle w:val="FootnoteText"/>
      </w:pPr>
      <w:r>
        <w:rPr>
          <w:rStyle w:val="FootnoteReference"/>
        </w:rPr>
        <w:footnoteRef/>
      </w:r>
      <w:r>
        <w:rPr>
          <w:rtl/>
        </w:rPr>
        <w:t xml:space="preserve"> </w:t>
      </w:r>
      <w:r>
        <w:t>Zero-Sum</w:t>
      </w:r>
    </w:p>
  </w:footnote>
  <w:footnote w:id="2385">
    <w:p w14:paraId="0D89D717" w14:textId="77777777" w:rsidR="00B47FF5" w:rsidRDefault="00B47FF5" w:rsidP="00537CC8">
      <w:pPr>
        <w:pStyle w:val="FootnoteText"/>
      </w:pPr>
      <w:r>
        <w:rPr>
          <w:rStyle w:val="FootnoteReference"/>
        </w:rPr>
        <w:footnoteRef/>
      </w:r>
      <w:r>
        <w:rPr>
          <w:rtl/>
        </w:rPr>
        <w:t xml:space="preserve"> </w:t>
      </w:r>
      <w:r w:rsidRPr="00F904FA">
        <w:t>Nonzero</w:t>
      </w:r>
    </w:p>
  </w:footnote>
  <w:footnote w:id="2386">
    <w:p w14:paraId="7C0D36DD" w14:textId="77777777" w:rsidR="00B47FF5" w:rsidRDefault="00B47FF5" w:rsidP="00537CC8">
      <w:pPr>
        <w:pStyle w:val="FootnoteText"/>
      </w:pPr>
      <w:r>
        <w:rPr>
          <w:rStyle w:val="FootnoteReference"/>
        </w:rPr>
        <w:footnoteRef/>
      </w:r>
      <w:r>
        <w:rPr>
          <w:rtl/>
        </w:rPr>
        <w:t xml:space="preserve"> </w:t>
      </w:r>
      <w:r w:rsidRPr="002C0BB0">
        <w:t>Robert Wright</w:t>
      </w:r>
    </w:p>
  </w:footnote>
  <w:footnote w:id="2387">
    <w:p w14:paraId="21FEAE41" w14:textId="77777777" w:rsidR="00B47FF5" w:rsidRDefault="00B47FF5" w:rsidP="00537CC8">
      <w:pPr>
        <w:pStyle w:val="FootnoteText"/>
      </w:pPr>
      <w:r>
        <w:rPr>
          <w:rStyle w:val="FootnoteReference"/>
        </w:rPr>
        <w:footnoteRef/>
      </w:r>
      <w:r>
        <w:rPr>
          <w:rtl/>
        </w:rPr>
        <w:t xml:space="preserve"> </w:t>
      </w:r>
      <w:r>
        <w:t>People First</w:t>
      </w:r>
    </w:p>
  </w:footnote>
  <w:footnote w:id="2388">
    <w:p w14:paraId="426FB1BB" w14:textId="77777777" w:rsidR="00B47FF5" w:rsidRDefault="00B47FF5" w:rsidP="00537CC8">
      <w:pPr>
        <w:pStyle w:val="FootnoteText"/>
      </w:pPr>
      <w:r>
        <w:rPr>
          <w:rStyle w:val="FootnoteReference"/>
        </w:rPr>
        <w:footnoteRef/>
      </w:r>
      <w:r>
        <w:rPr>
          <w:rtl/>
        </w:rPr>
        <w:t xml:space="preserve"> </w:t>
      </w:r>
      <w:r w:rsidRPr="00B50113">
        <w:t>The Great Game of Business</w:t>
      </w:r>
    </w:p>
  </w:footnote>
  <w:footnote w:id="2389">
    <w:p w14:paraId="52021CAA" w14:textId="77777777" w:rsidR="00B47FF5" w:rsidRDefault="00B47FF5" w:rsidP="00537CC8">
      <w:pPr>
        <w:pStyle w:val="FootnoteText"/>
      </w:pPr>
      <w:r>
        <w:rPr>
          <w:rStyle w:val="FootnoteReference"/>
        </w:rPr>
        <w:footnoteRef/>
      </w:r>
      <w:r>
        <w:rPr>
          <w:rtl/>
        </w:rPr>
        <w:t xml:space="preserve"> </w:t>
      </w:r>
      <w:r w:rsidRPr="002C0BB0">
        <w:t>Jack Stack</w:t>
      </w:r>
    </w:p>
  </w:footnote>
  <w:footnote w:id="2390">
    <w:p w14:paraId="36127568" w14:textId="77777777" w:rsidR="00B47FF5" w:rsidRDefault="00B47FF5" w:rsidP="00537CC8">
      <w:pPr>
        <w:pStyle w:val="FootnoteText"/>
      </w:pPr>
      <w:r>
        <w:rPr>
          <w:rStyle w:val="FootnoteReference"/>
        </w:rPr>
        <w:footnoteRef/>
      </w:r>
      <w:r>
        <w:rPr>
          <w:rtl/>
        </w:rPr>
        <w:t xml:space="preserve"> </w:t>
      </w:r>
      <w:r w:rsidRPr="00B50113">
        <w:t>Key Performance Indicators</w:t>
      </w:r>
    </w:p>
  </w:footnote>
  <w:footnote w:id="2391">
    <w:p w14:paraId="7D2EF3D7" w14:textId="77777777" w:rsidR="00B47FF5" w:rsidRDefault="00B47FF5" w:rsidP="00537CC8">
      <w:pPr>
        <w:pStyle w:val="FootnoteText"/>
      </w:pPr>
      <w:r>
        <w:rPr>
          <w:rStyle w:val="FootnoteReference"/>
        </w:rPr>
        <w:footnoteRef/>
      </w:r>
      <w:r>
        <w:rPr>
          <w:rtl/>
        </w:rPr>
        <w:t xml:space="preserve"> </w:t>
      </w:r>
      <w:r w:rsidRPr="00B50113">
        <w:t>Objectives and Key Results</w:t>
      </w:r>
    </w:p>
  </w:footnote>
  <w:footnote w:id="2392">
    <w:p w14:paraId="0D4D6FE0" w14:textId="26FA4F97" w:rsidR="00B47FF5" w:rsidRDefault="00B47FF5" w:rsidP="00537CC8">
      <w:pPr>
        <w:pStyle w:val="FootnoteText"/>
        <w:rPr>
          <w:rtl/>
        </w:rPr>
      </w:pPr>
      <w:r>
        <w:rPr>
          <w:rStyle w:val="FootnoteReference"/>
        </w:rPr>
        <w:footnoteRef/>
      </w:r>
      <w:r>
        <w:rPr>
          <w:rtl/>
        </w:rPr>
        <w:t xml:space="preserve"> </w:t>
      </w:r>
      <w:r w:rsidRPr="00E64C36">
        <w:t>Work Rules</w:t>
      </w:r>
      <w:r>
        <w:t>!</w:t>
      </w:r>
    </w:p>
  </w:footnote>
  <w:footnote w:id="2393">
    <w:p w14:paraId="6EC9A616" w14:textId="77777777" w:rsidR="00B47FF5" w:rsidRDefault="00B47FF5" w:rsidP="00537CC8">
      <w:pPr>
        <w:pStyle w:val="FootnoteText"/>
      </w:pPr>
      <w:r>
        <w:rPr>
          <w:rStyle w:val="FootnoteReference"/>
        </w:rPr>
        <w:footnoteRef/>
      </w:r>
      <w:r>
        <w:rPr>
          <w:rtl/>
        </w:rPr>
        <w:t xml:space="preserve"> </w:t>
      </w:r>
      <w:r w:rsidRPr="002C0BB0">
        <w:t>Laszlo Bock</w:t>
      </w:r>
    </w:p>
  </w:footnote>
  <w:footnote w:id="2394">
    <w:p w14:paraId="48F57F4C" w14:textId="77777777" w:rsidR="00B47FF5" w:rsidRDefault="00B47FF5" w:rsidP="00537CC8">
      <w:pPr>
        <w:pStyle w:val="FootnoteText"/>
      </w:pPr>
      <w:r>
        <w:rPr>
          <w:rStyle w:val="FootnoteReference"/>
        </w:rPr>
        <w:footnoteRef/>
      </w:r>
      <w:r>
        <w:rPr>
          <w:rtl/>
        </w:rPr>
        <w:t xml:space="preserve"> </w:t>
      </w:r>
      <w:r w:rsidRPr="002C0BB0">
        <w:t>Stephen Covey</w:t>
      </w:r>
    </w:p>
  </w:footnote>
  <w:footnote w:id="2395">
    <w:p w14:paraId="0D215044" w14:textId="77777777" w:rsidR="00B47FF5" w:rsidRDefault="00B47FF5" w:rsidP="00537CC8">
      <w:pPr>
        <w:pStyle w:val="FootnoteText"/>
      </w:pPr>
      <w:r>
        <w:rPr>
          <w:rStyle w:val="FootnoteReference"/>
        </w:rPr>
        <w:footnoteRef/>
      </w:r>
      <w:r>
        <w:rPr>
          <w:rtl/>
        </w:rPr>
        <w:t xml:space="preserve"> </w:t>
      </w:r>
      <w:r w:rsidRPr="00E64C36">
        <w:t>The Seven Habits of Highly Effective People</w:t>
      </w:r>
    </w:p>
  </w:footnote>
  <w:footnote w:id="2396">
    <w:p w14:paraId="52110962" w14:textId="77777777" w:rsidR="00B47FF5" w:rsidRDefault="00B47FF5" w:rsidP="00537CC8">
      <w:pPr>
        <w:pStyle w:val="FootnoteText"/>
      </w:pPr>
      <w:r>
        <w:rPr>
          <w:rStyle w:val="FootnoteReference"/>
        </w:rPr>
        <w:footnoteRef/>
      </w:r>
      <w:r>
        <w:rPr>
          <w:rtl/>
        </w:rPr>
        <w:t xml:space="preserve"> </w:t>
      </w:r>
      <w:r w:rsidRPr="00E64C36">
        <w:t>The Eighth</w:t>
      </w:r>
      <w:r>
        <w:t xml:space="preserve"> Habits</w:t>
      </w:r>
    </w:p>
  </w:footnote>
  <w:footnote w:id="2397">
    <w:p w14:paraId="72A1D5C8" w14:textId="77777777" w:rsidR="00B47FF5" w:rsidRDefault="00B47FF5" w:rsidP="00537CC8">
      <w:pPr>
        <w:pStyle w:val="FootnoteText"/>
      </w:pPr>
      <w:r>
        <w:rPr>
          <w:rStyle w:val="FootnoteReference"/>
        </w:rPr>
        <w:footnoteRef/>
      </w:r>
      <w:r>
        <w:rPr>
          <w:rtl/>
        </w:rPr>
        <w:t xml:space="preserve"> </w:t>
      </w:r>
      <w:r>
        <w:t>Sharpening the Saw</w:t>
      </w:r>
    </w:p>
  </w:footnote>
  <w:footnote w:id="2398">
    <w:p w14:paraId="45934A0C" w14:textId="77777777" w:rsidR="00B47FF5" w:rsidRDefault="00B47FF5" w:rsidP="00537CC8">
      <w:pPr>
        <w:pStyle w:val="FootnoteText"/>
      </w:pPr>
      <w:r>
        <w:rPr>
          <w:rStyle w:val="FootnoteReference"/>
        </w:rPr>
        <w:footnoteRef/>
      </w:r>
      <w:r>
        <w:rPr>
          <w:rtl/>
        </w:rPr>
        <w:t xml:space="preserve"> </w:t>
      </w:r>
      <w:r>
        <w:t>Begin With the End in Mind</w:t>
      </w:r>
    </w:p>
  </w:footnote>
  <w:footnote w:id="2399">
    <w:p w14:paraId="3E8C99E2" w14:textId="77777777" w:rsidR="00B47FF5" w:rsidRDefault="00B47FF5" w:rsidP="00537CC8">
      <w:pPr>
        <w:pStyle w:val="FootnoteText"/>
      </w:pPr>
      <w:r>
        <w:rPr>
          <w:rStyle w:val="FootnoteReference"/>
        </w:rPr>
        <w:footnoteRef/>
      </w:r>
      <w:r>
        <w:rPr>
          <w:rtl/>
        </w:rPr>
        <w:t xml:space="preserve"> </w:t>
      </w:r>
      <w:r w:rsidRPr="00E95929">
        <w:t>The Speed of Trust</w:t>
      </w:r>
    </w:p>
  </w:footnote>
  <w:footnote w:id="2400">
    <w:p w14:paraId="32F83FAE" w14:textId="77777777" w:rsidR="00B47FF5" w:rsidRDefault="00B47FF5" w:rsidP="00537CC8">
      <w:pPr>
        <w:pStyle w:val="FootnoteText"/>
      </w:pPr>
      <w:r>
        <w:rPr>
          <w:rStyle w:val="FootnoteReference"/>
        </w:rPr>
        <w:footnoteRef/>
      </w:r>
      <w:r>
        <w:rPr>
          <w:rtl/>
        </w:rPr>
        <w:t xml:space="preserve"> </w:t>
      </w:r>
      <w:r w:rsidRPr="0065170C">
        <w:t>Franklin Covey Leadership Center</w:t>
      </w:r>
    </w:p>
  </w:footnote>
  <w:footnote w:id="2401">
    <w:p w14:paraId="78AFC21C" w14:textId="77777777" w:rsidR="00B47FF5" w:rsidRDefault="00B47FF5" w:rsidP="00537CC8">
      <w:pPr>
        <w:pStyle w:val="FootnoteText"/>
      </w:pPr>
      <w:r>
        <w:rPr>
          <w:rStyle w:val="FootnoteReference"/>
        </w:rPr>
        <w:footnoteRef/>
      </w:r>
      <w:r>
        <w:rPr>
          <w:rtl/>
        </w:rPr>
        <w:t xml:space="preserve"> </w:t>
      </w:r>
      <w:r w:rsidRPr="0065170C">
        <w:t>Institute of Internal Auditors</w:t>
      </w:r>
    </w:p>
  </w:footnote>
  <w:footnote w:id="2402">
    <w:p w14:paraId="09B6AC74" w14:textId="77777777" w:rsidR="00B47FF5" w:rsidRDefault="00B47FF5" w:rsidP="00537CC8">
      <w:pPr>
        <w:pStyle w:val="FootnoteText"/>
      </w:pPr>
      <w:r>
        <w:rPr>
          <w:rStyle w:val="FootnoteReference"/>
        </w:rPr>
        <w:footnoteRef/>
      </w:r>
      <w:r>
        <w:rPr>
          <w:rtl/>
        </w:rPr>
        <w:t xml:space="preserve"> </w:t>
      </w:r>
      <w:r w:rsidRPr="002C0BB0">
        <w:t>Harry Markopolous</w:t>
      </w:r>
    </w:p>
  </w:footnote>
  <w:footnote w:id="2403">
    <w:p w14:paraId="4002906B" w14:textId="77777777" w:rsidR="00B47FF5" w:rsidRDefault="00B47FF5" w:rsidP="00537CC8">
      <w:pPr>
        <w:pStyle w:val="FootnoteText"/>
      </w:pPr>
      <w:r>
        <w:rPr>
          <w:rStyle w:val="FootnoteReference"/>
        </w:rPr>
        <w:footnoteRef/>
      </w:r>
      <w:r>
        <w:rPr>
          <w:rtl/>
        </w:rPr>
        <w:t xml:space="preserve"> </w:t>
      </w:r>
      <w:r w:rsidRPr="00324FE5">
        <w:t>No One Would Listen: A True Financial Thriller</w:t>
      </w:r>
    </w:p>
  </w:footnote>
  <w:footnote w:id="2404">
    <w:p w14:paraId="3D6B2E24" w14:textId="77777777" w:rsidR="00B47FF5" w:rsidRDefault="00B47FF5" w:rsidP="00537CC8">
      <w:pPr>
        <w:pStyle w:val="FootnoteText"/>
      </w:pPr>
      <w:r>
        <w:rPr>
          <w:rStyle w:val="FootnoteReference"/>
        </w:rPr>
        <w:footnoteRef/>
      </w:r>
      <w:r>
        <w:rPr>
          <w:rtl/>
        </w:rPr>
        <w:t xml:space="preserve"> </w:t>
      </w:r>
      <w:r w:rsidRPr="002C0BB0">
        <w:t>Bernie Madoff</w:t>
      </w:r>
    </w:p>
  </w:footnote>
  <w:footnote w:id="2405">
    <w:p w14:paraId="53D5E9AD" w14:textId="77777777" w:rsidR="00B47FF5" w:rsidRDefault="00B47FF5" w:rsidP="00537CC8">
      <w:pPr>
        <w:pStyle w:val="FootnoteText"/>
      </w:pPr>
      <w:r>
        <w:rPr>
          <w:rStyle w:val="FootnoteReference"/>
        </w:rPr>
        <w:footnoteRef/>
      </w:r>
      <w:r>
        <w:rPr>
          <w:rtl/>
        </w:rPr>
        <w:t xml:space="preserve"> </w:t>
      </w:r>
      <w:r>
        <w:t>Whistleblower</w:t>
      </w:r>
    </w:p>
  </w:footnote>
  <w:footnote w:id="2406">
    <w:p w14:paraId="50728071" w14:textId="77777777" w:rsidR="00B47FF5" w:rsidRDefault="00B47FF5" w:rsidP="00537CC8">
      <w:pPr>
        <w:pStyle w:val="FootnoteText"/>
      </w:pPr>
      <w:r>
        <w:rPr>
          <w:rStyle w:val="FootnoteReference"/>
        </w:rPr>
        <w:footnoteRef/>
      </w:r>
      <w:r>
        <w:rPr>
          <w:rtl/>
        </w:rPr>
        <w:t xml:space="preserve"> </w:t>
      </w:r>
      <w:r w:rsidRPr="00652DCA">
        <w:t>Seeing What Others Don’t</w:t>
      </w:r>
    </w:p>
  </w:footnote>
  <w:footnote w:id="2407">
    <w:p w14:paraId="53B64CC9" w14:textId="77777777" w:rsidR="00B47FF5" w:rsidRDefault="00B47FF5" w:rsidP="00537CC8">
      <w:pPr>
        <w:pStyle w:val="FootnoteText"/>
      </w:pPr>
      <w:r>
        <w:rPr>
          <w:rStyle w:val="FootnoteReference"/>
        </w:rPr>
        <w:footnoteRef/>
      </w:r>
      <w:r>
        <w:rPr>
          <w:rtl/>
        </w:rPr>
        <w:t xml:space="preserve"> </w:t>
      </w:r>
      <w:r w:rsidRPr="002C0BB0">
        <w:t>Gray Klein</w:t>
      </w:r>
    </w:p>
  </w:footnote>
  <w:footnote w:id="2408">
    <w:p w14:paraId="13AC9DC7" w14:textId="77777777" w:rsidR="00B47FF5" w:rsidRDefault="00B47FF5" w:rsidP="00537CC8">
      <w:pPr>
        <w:pStyle w:val="FootnoteText"/>
      </w:pPr>
      <w:r>
        <w:rPr>
          <w:rStyle w:val="FootnoteReference"/>
        </w:rPr>
        <w:footnoteRef/>
      </w:r>
      <w:r>
        <w:rPr>
          <w:rtl/>
        </w:rPr>
        <w:t xml:space="preserve"> </w:t>
      </w:r>
      <w:r w:rsidRPr="00B739C5">
        <w:t>Association of Change Management Professionals</w:t>
      </w:r>
    </w:p>
  </w:footnote>
  <w:footnote w:id="2409">
    <w:p w14:paraId="602D9E34" w14:textId="77777777" w:rsidR="00B47FF5" w:rsidRDefault="00B47FF5" w:rsidP="00537CC8">
      <w:pPr>
        <w:pStyle w:val="FootnoteText"/>
      </w:pPr>
      <w:r>
        <w:rPr>
          <w:rStyle w:val="FootnoteReference"/>
        </w:rPr>
        <w:footnoteRef/>
      </w:r>
      <w:r>
        <w:rPr>
          <w:rtl/>
        </w:rPr>
        <w:t xml:space="preserve"> </w:t>
      </w:r>
      <w:r w:rsidRPr="002C0BB0">
        <w:t>Rumlet</w:t>
      </w:r>
    </w:p>
  </w:footnote>
  <w:footnote w:id="2410">
    <w:p w14:paraId="511B1299" w14:textId="126F3DEF" w:rsidR="00B47FF5" w:rsidRDefault="00B47FF5" w:rsidP="00537CC8">
      <w:pPr>
        <w:pStyle w:val="FootnoteText"/>
      </w:pPr>
      <w:r>
        <w:rPr>
          <w:rStyle w:val="FootnoteReference"/>
        </w:rPr>
        <w:footnoteRef/>
      </w:r>
      <w:r>
        <w:rPr>
          <w:rtl/>
        </w:rPr>
        <w:t xml:space="preserve"> </w:t>
      </w:r>
      <w:r w:rsidRPr="004612C5">
        <w:t>Turnaround team</w:t>
      </w:r>
    </w:p>
  </w:footnote>
  <w:footnote w:id="2411">
    <w:p w14:paraId="16A54C07" w14:textId="77777777" w:rsidR="00B47FF5" w:rsidRDefault="00B47FF5" w:rsidP="00537CC8">
      <w:pPr>
        <w:pStyle w:val="FootnoteText"/>
      </w:pPr>
      <w:r>
        <w:rPr>
          <w:rStyle w:val="FootnoteReference"/>
        </w:rPr>
        <w:footnoteRef/>
      </w:r>
      <w:r>
        <w:rPr>
          <w:rtl/>
        </w:rPr>
        <w:t xml:space="preserve"> </w:t>
      </w:r>
      <w:r w:rsidRPr="002C0BB0">
        <w:t>Murray Lincoln</w:t>
      </w:r>
    </w:p>
  </w:footnote>
  <w:footnote w:id="2412">
    <w:p w14:paraId="5E627737" w14:textId="4E62159B" w:rsidR="00B47FF5" w:rsidRDefault="00B47FF5" w:rsidP="00537CC8">
      <w:pPr>
        <w:pStyle w:val="FootnoteText"/>
      </w:pPr>
      <w:r>
        <w:rPr>
          <w:rStyle w:val="FootnoteReference"/>
        </w:rPr>
        <w:footnoteRef/>
      </w:r>
      <w:r>
        <w:rPr>
          <w:rtl/>
        </w:rPr>
        <w:t xml:space="preserve"> </w:t>
      </w:r>
      <w:r w:rsidRPr="00E9498F">
        <w:t>Cooperative movement</w:t>
      </w:r>
    </w:p>
  </w:footnote>
  <w:footnote w:id="2413">
    <w:p w14:paraId="02846E8C" w14:textId="77777777" w:rsidR="00B47FF5" w:rsidRDefault="00B47FF5" w:rsidP="00537CC8">
      <w:pPr>
        <w:pStyle w:val="FootnoteText"/>
      </w:pPr>
      <w:r>
        <w:rPr>
          <w:rStyle w:val="FootnoteReference"/>
        </w:rPr>
        <w:footnoteRef/>
      </w:r>
      <w:r>
        <w:rPr>
          <w:rtl/>
        </w:rPr>
        <w:t xml:space="preserve"> </w:t>
      </w:r>
      <w:r w:rsidRPr="002C0BB0">
        <w:t>John Kotter</w:t>
      </w:r>
    </w:p>
  </w:footnote>
  <w:footnote w:id="2414">
    <w:p w14:paraId="2D91A41D" w14:textId="77777777" w:rsidR="00B47FF5" w:rsidRDefault="00B47FF5" w:rsidP="00537CC8">
      <w:pPr>
        <w:pStyle w:val="FootnoteText"/>
      </w:pPr>
      <w:r>
        <w:rPr>
          <w:rStyle w:val="FootnoteReference"/>
        </w:rPr>
        <w:footnoteRef/>
      </w:r>
      <w:r>
        <w:rPr>
          <w:rtl/>
        </w:rPr>
        <w:t xml:space="preserve"> </w:t>
      </w:r>
      <w:r w:rsidRPr="00EF31B7">
        <w:t>Leading Change</w:t>
      </w:r>
    </w:p>
  </w:footnote>
  <w:footnote w:id="2415">
    <w:p w14:paraId="4751A94E" w14:textId="77777777" w:rsidR="00B47FF5" w:rsidRDefault="00B47FF5" w:rsidP="00537CC8">
      <w:pPr>
        <w:pStyle w:val="FootnoteText"/>
      </w:pPr>
      <w:r>
        <w:rPr>
          <w:rStyle w:val="FootnoteReference"/>
        </w:rPr>
        <w:footnoteRef/>
      </w:r>
      <w:r>
        <w:rPr>
          <w:rtl/>
        </w:rPr>
        <w:t xml:space="preserve"> </w:t>
      </w:r>
      <w:r w:rsidRPr="00EF31B7">
        <w:t>Infuencer: The Science of Leading Change</w:t>
      </w:r>
    </w:p>
  </w:footnote>
  <w:footnote w:id="2416">
    <w:p w14:paraId="22D8EBBB" w14:textId="77777777" w:rsidR="00B47FF5" w:rsidRDefault="00B47FF5" w:rsidP="00537CC8">
      <w:pPr>
        <w:pStyle w:val="FootnoteText"/>
      </w:pPr>
      <w:r>
        <w:rPr>
          <w:rStyle w:val="FootnoteReference"/>
        </w:rPr>
        <w:footnoteRef/>
      </w:r>
      <w:r>
        <w:rPr>
          <w:rtl/>
        </w:rPr>
        <w:t xml:space="preserve"> </w:t>
      </w:r>
      <w:r w:rsidRPr="002C0BB0">
        <w:t>Grenny</w:t>
      </w:r>
    </w:p>
  </w:footnote>
  <w:footnote w:id="2417">
    <w:p w14:paraId="76D828F7" w14:textId="77777777" w:rsidR="00B47FF5" w:rsidRDefault="00B47FF5" w:rsidP="00537CC8">
      <w:pPr>
        <w:pStyle w:val="FootnoteText"/>
      </w:pPr>
      <w:r>
        <w:rPr>
          <w:rStyle w:val="FootnoteReference"/>
        </w:rPr>
        <w:footnoteRef/>
      </w:r>
      <w:r>
        <w:rPr>
          <w:rtl/>
        </w:rPr>
        <w:t xml:space="preserve"> </w:t>
      </w:r>
      <w:r w:rsidRPr="00EF31B7">
        <w:t>Mini Habits</w:t>
      </w:r>
    </w:p>
  </w:footnote>
  <w:footnote w:id="2418">
    <w:p w14:paraId="5DA8893C" w14:textId="77777777" w:rsidR="00B47FF5" w:rsidRDefault="00B47FF5" w:rsidP="00537CC8">
      <w:pPr>
        <w:pStyle w:val="FootnoteText"/>
      </w:pPr>
      <w:r>
        <w:rPr>
          <w:rStyle w:val="FootnoteReference"/>
        </w:rPr>
        <w:footnoteRef/>
      </w:r>
      <w:r>
        <w:rPr>
          <w:rtl/>
        </w:rPr>
        <w:t xml:space="preserve"> </w:t>
      </w:r>
      <w:r w:rsidRPr="002C0BB0">
        <w:t>Stephen Guise</w:t>
      </w:r>
    </w:p>
  </w:footnote>
  <w:footnote w:id="2419">
    <w:p w14:paraId="25A5A63B" w14:textId="72D9F6C4" w:rsidR="00B47FF5" w:rsidRDefault="00B47FF5" w:rsidP="00537CC8">
      <w:pPr>
        <w:pStyle w:val="FootnoteText"/>
      </w:pPr>
      <w:r>
        <w:rPr>
          <w:rStyle w:val="FootnoteReference"/>
        </w:rPr>
        <w:footnoteRef/>
      </w:r>
      <w:r>
        <w:rPr>
          <w:rtl/>
        </w:rPr>
        <w:t xml:space="preserve"> </w:t>
      </w:r>
      <w:r w:rsidRPr="00081842">
        <w:t>Unlearning</w:t>
      </w:r>
    </w:p>
  </w:footnote>
  <w:footnote w:id="2420">
    <w:p w14:paraId="5EE6DA55" w14:textId="77777777" w:rsidR="00B47FF5" w:rsidRDefault="00B47FF5" w:rsidP="00537CC8">
      <w:pPr>
        <w:pStyle w:val="FootnoteText"/>
      </w:pPr>
      <w:r>
        <w:rPr>
          <w:rStyle w:val="FootnoteReference"/>
        </w:rPr>
        <w:footnoteRef/>
      </w:r>
      <w:r>
        <w:rPr>
          <w:rtl/>
        </w:rPr>
        <w:t xml:space="preserve"> </w:t>
      </w:r>
      <w:r w:rsidRPr="002C0BB0">
        <w:t>Will Rogers and Mark Twain</w:t>
      </w:r>
    </w:p>
  </w:footnote>
  <w:footnote w:id="2421">
    <w:p w14:paraId="5952D1DC" w14:textId="77777777" w:rsidR="00B47FF5" w:rsidRDefault="00B47FF5" w:rsidP="00537CC8">
      <w:pPr>
        <w:pStyle w:val="FootnoteText"/>
      </w:pPr>
      <w:r>
        <w:rPr>
          <w:rStyle w:val="FootnoteReference"/>
        </w:rPr>
        <w:footnoteRef/>
      </w:r>
      <w:r>
        <w:rPr>
          <w:rtl/>
        </w:rPr>
        <w:t xml:space="preserve"> </w:t>
      </w:r>
      <w:r>
        <w:t>Unlearn</w:t>
      </w:r>
    </w:p>
  </w:footnote>
  <w:footnote w:id="2422">
    <w:p w14:paraId="5949BCBD" w14:textId="77777777" w:rsidR="00B47FF5" w:rsidRDefault="00B47FF5" w:rsidP="00537CC8">
      <w:pPr>
        <w:pStyle w:val="FootnoteText"/>
      </w:pPr>
      <w:r>
        <w:rPr>
          <w:rStyle w:val="FootnoteReference"/>
        </w:rPr>
        <w:footnoteRef/>
      </w:r>
      <w:r>
        <w:rPr>
          <w:rtl/>
        </w:rPr>
        <w:t xml:space="preserve"> </w:t>
      </w:r>
      <w:r w:rsidRPr="002C0BB0">
        <w:t>Barry O’Reilly</w:t>
      </w:r>
    </w:p>
  </w:footnote>
  <w:footnote w:id="2423">
    <w:p w14:paraId="7CDA7400" w14:textId="6310AAE9" w:rsidR="00B47FF5" w:rsidRDefault="00B47FF5" w:rsidP="00537CC8">
      <w:pPr>
        <w:pStyle w:val="FootnoteText"/>
      </w:pPr>
      <w:r>
        <w:rPr>
          <w:rStyle w:val="FootnoteReference"/>
        </w:rPr>
        <w:footnoteRef/>
      </w:r>
      <w:r>
        <w:rPr>
          <w:rtl/>
        </w:rPr>
        <w:t xml:space="preserve"> </w:t>
      </w:r>
      <w:r w:rsidRPr="000F7F0A">
        <w:t>Mindfulness</w:t>
      </w:r>
    </w:p>
  </w:footnote>
  <w:footnote w:id="2424">
    <w:p w14:paraId="63A11FEE" w14:textId="77777777" w:rsidR="00B47FF5" w:rsidRDefault="00B47FF5" w:rsidP="00537CC8">
      <w:pPr>
        <w:pStyle w:val="FootnoteText"/>
      </w:pPr>
      <w:r>
        <w:rPr>
          <w:rStyle w:val="FootnoteReference"/>
        </w:rPr>
        <w:footnoteRef/>
      </w:r>
      <w:r>
        <w:rPr>
          <w:rtl/>
        </w:rPr>
        <w:t xml:space="preserve"> </w:t>
      </w:r>
      <w:r w:rsidRPr="002C0BB0">
        <w:t>William Bridges</w:t>
      </w:r>
    </w:p>
  </w:footnote>
  <w:footnote w:id="2425">
    <w:p w14:paraId="3752D816" w14:textId="77777777" w:rsidR="00B47FF5" w:rsidRDefault="00B47FF5" w:rsidP="00537CC8">
      <w:pPr>
        <w:pStyle w:val="FootnoteText"/>
      </w:pPr>
      <w:r>
        <w:rPr>
          <w:rStyle w:val="FootnoteReference"/>
        </w:rPr>
        <w:footnoteRef/>
      </w:r>
      <w:r>
        <w:rPr>
          <w:rtl/>
        </w:rPr>
        <w:t xml:space="preserve"> </w:t>
      </w:r>
      <w:r>
        <w:t>Transitions</w:t>
      </w:r>
    </w:p>
  </w:footnote>
  <w:footnote w:id="2426">
    <w:p w14:paraId="003889AE" w14:textId="77777777" w:rsidR="00B47FF5" w:rsidRDefault="00B47FF5" w:rsidP="00537CC8">
      <w:pPr>
        <w:pStyle w:val="FootnoteText"/>
      </w:pPr>
      <w:r>
        <w:rPr>
          <w:rStyle w:val="FootnoteReference"/>
        </w:rPr>
        <w:footnoteRef/>
      </w:r>
      <w:r>
        <w:rPr>
          <w:rtl/>
        </w:rPr>
        <w:t xml:space="preserve"> </w:t>
      </w:r>
      <w:r w:rsidRPr="004773FE">
        <w:t>Billion</w:t>
      </w:r>
      <w:r>
        <w:t xml:space="preserve"> </w:t>
      </w:r>
      <w:r w:rsidRPr="004773FE">
        <w:t>Dollar Lessons</w:t>
      </w:r>
    </w:p>
  </w:footnote>
  <w:footnote w:id="2427">
    <w:p w14:paraId="140688D8" w14:textId="77777777" w:rsidR="00B47FF5" w:rsidRDefault="00B47FF5" w:rsidP="00537CC8">
      <w:pPr>
        <w:pStyle w:val="FootnoteText"/>
      </w:pPr>
      <w:r>
        <w:rPr>
          <w:rStyle w:val="FootnoteReference"/>
        </w:rPr>
        <w:footnoteRef/>
      </w:r>
      <w:r>
        <w:rPr>
          <w:rtl/>
        </w:rPr>
        <w:t xml:space="preserve"> </w:t>
      </w:r>
      <w:r w:rsidRPr="002C0BB0">
        <w:t>Caroll and Mui</w:t>
      </w:r>
    </w:p>
  </w:footnote>
  <w:footnote w:id="2428">
    <w:p w14:paraId="59BC7586" w14:textId="77777777" w:rsidR="00B47FF5" w:rsidRDefault="00B47FF5" w:rsidP="00537CC8">
      <w:pPr>
        <w:pStyle w:val="FootnoteText"/>
      </w:pPr>
      <w:r>
        <w:rPr>
          <w:rStyle w:val="FootnoteReference"/>
        </w:rPr>
        <w:footnoteRef/>
      </w:r>
      <w:r>
        <w:rPr>
          <w:rtl/>
        </w:rPr>
        <w:t xml:space="preserve"> </w:t>
      </w:r>
      <w:r w:rsidRPr="00E51F6C">
        <w:t>Turnaround</w:t>
      </w:r>
    </w:p>
  </w:footnote>
  <w:footnote w:id="2429">
    <w:p w14:paraId="2DF58096" w14:textId="77777777" w:rsidR="00B47FF5" w:rsidRDefault="00B47FF5" w:rsidP="00537CC8">
      <w:pPr>
        <w:pStyle w:val="FootnoteText"/>
      </w:pPr>
      <w:r>
        <w:rPr>
          <w:rStyle w:val="FootnoteReference"/>
        </w:rPr>
        <w:footnoteRef/>
      </w:r>
      <w:r>
        <w:rPr>
          <w:rtl/>
        </w:rPr>
        <w:t xml:space="preserve"> </w:t>
      </w:r>
      <w:r w:rsidRPr="00607F46">
        <w:t>Bill Bratton</w:t>
      </w:r>
    </w:p>
  </w:footnote>
  <w:footnote w:id="2430">
    <w:p w14:paraId="3E52BD8E" w14:textId="142B2ACD" w:rsidR="00B47FF5" w:rsidRDefault="00B47FF5" w:rsidP="00537CC8">
      <w:pPr>
        <w:pStyle w:val="FootnoteText"/>
      </w:pPr>
      <w:r>
        <w:rPr>
          <w:rStyle w:val="FootnoteReference"/>
        </w:rPr>
        <w:footnoteRef/>
      </w:r>
      <w:r>
        <w:rPr>
          <w:rtl/>
        </w:rPr>
        <w:t xml:space="preserve"> </w:t>
      </w:r>
      <w:r w:rsidRPr="004773FE">
        <w:t>Who Says Elephants Can’t Dance</w:t>
      </w:r>
      <w:r>
        <w:t>?</w:t>
      </w:r>
    </w:p>
  </w:footnote>
  <w:footnote w:id="2431">
    <w:p w14:paraId="073EB9DF" w14:textId="77777777" w:rsidR="00B47FF5" w:rsidRDefault="00B47FF5" w:rsidP="00537CC8">
      <w:pPr>
        <w:pStyle w:val="FootnoteText"/>
      </w:pPr>
      <w:r>
        <w:rPr>
          <w:rStyle w:val="FootnoteReference"/>
        </w:rPr>
        <w:footnoteRef/>
      </w:r>
      <w:r>
        <w:rPr>
          <w:rtl/>
        </w:rPr>
        <w:t xml:space="preserve"> </w:t>
      </w:r>
      <w:r w:rsidRPr="00607F46">
        <w:t>Lou Gerstner</w:t>
      </w:r>
    </w:p>
  </w:footnote>
  <w:footnote w:id="2432">
    <w:p w14:paraId="0C6D45DB" w14:textId="77777777" w:rsidR="00B47FF5" w:rsidRDefault="00B47FF5" w:rsidP="00537CC8">
      <w:pPr>
        <w:pStyle w:val="FootnoteText"/>
      </w:pPr>
      <w:r>
        <w:rPr>
          <w:rStyle w:val="FootnoteReference"/>
        </w:rPr>
        <w:footnoteRef/>
      </w:r>
      <w:r>
        <w:rPr>
          <w:rtl/>
        </w:rPr>
        <w:t xml:space="preserve"> </w:t>
      </w:r>
      <w:r w:rsidRPr="00607F46">
        <w:t>Shift</w:t>
      </w:r>
    </w:p>
  </w:footnote>
  <w:footnote w:id="2433">
    <w:p w14:paraId="571D8B9E" w14:textId="77777777" w:rsidR="00B47FF5" w:rsidRDefault="00B47FF5" w:rsidP="00537CC8">
      <w:pPr>
        <w:pStyle w:val="FootnoteText"/>
      </w:pPr>
      <w:r>
        <w:rPr>
          <w:rStyle w:val="FootnoteReference"/>
        </w:rPr>
        <w:footnoteRef/>
      </w:r>
      <w:r>
        <w:rPr>
          <w:rtl/>
        </w:rPr>
        <w:t xml:space="preserve"> </w:t>
      </w:r>
      <w:r w:rsidRPr="00607F46">
        <w:t>Carlos Ghosn</w:t>
      </w:r>
    </w:p>
  </w:footnote>
  <w:footnote w:id="2434">
    <w:p w14:paraId="23821AEB" w14:textId="77777777" w:rsidR="00B47FF5" w:rsidRDefault="00B47FF5" w:rsidP="00537CC8">
      <w:pPr>
        <w:pStyle w:val="FootnoteText"/>
      </w:pPr>
      <w:r>
        <w:rPr>
          <w:rStyle w:val="FootnoteReference"/>
        </w:rPr>
        <w:footnoteRef/>
      </w:r>
      <w:r>
        <w:rPr>
          <w:rtl/>
        </w:rPr>
        <w:t xml:space="preserve"> </w:t>
      </w:r>
      <w:r w:rsidRPr="004773FE">
        <w:t>Team of Teams</w:t>
      </w:r>
    </w:p>
  </w:footnote>
  <w:footnote w:id="2435">
    <w:p w14:paraId="514F8023" w14:textId="77777777" w:rsidR="00B47FF5" w:rsidRDefault="00B47FF5" w:rsidP="00537CC8">
      <w:pPr>
        <w:pStyle w:val="FootnoteText"/>
      </w:pPr>
      <w:r>
        <w:rPr>
          <w:rStyle w:val="FootnoteReference"/>
        </w:rPr>
        <w:footnoteRef/>
      </w:r>
      <w:r>
        <w:rPr>
          <w:rtl/>
        </w:rPr>
        <w:t xml:space="preserve"> </w:t>
      </w:r>
      <w:r w:rsidRPr="00607F46">
        <w:t>Stanley McChrystal</w:t>
      </w:r>
    </w:p>
  </w:footnote>
  <w:footnote w:id="2436">
    <w:p w14:paraId="71F3A597" w14:textId="6FA71CC0" w:rsidR="00B47FF5" w:rsidRDefault="00B47FF5" w:rsidP="00537CC8">
      <w:pPr>
        <w:pStyle w:val="FootnoteText"/>
      </w:pPr>
      <w:r>
        <w:rPr>
          <w:rStyle w:val="FootnoteReference"/>
        </w:rPr>
        <w:footnoteRef/>
      </w:r>
      <w:r>
        <w:rPr>
          <w:rtl/>
        </w:rPr>
        <w:t xml:space="preserve"> </w:t>
      </w:r>
      <w:r>
        <w:t>Best practices</w:t>
      </w:r>
    </w:p>
  </w:footnote>
  <w:footnote w:id="2437">
    <w:p w14:paraId="2B247AC2" w14:textId="77777777" w:rsidR="00B47FF5" w:rsidRDefault="00B47FF5" w:rsidP="00537CC8">
      <w:pPr>
        <w:pStyle w:val="FootnoteText"/>
      </w:pPr>
      <w:r>
        <w:rPr>
          <w:rStyle w:val="FootnoteReference"/>
        </w:rPr>
        <w:footnoteRef/>
      </w:r>
      <w:r>
        <w:rPr>
          <w:rtl/>
        </w:rPr>
        <w:t xml:space="preserve"> </w:t>
      </w:r>
      <w:r w:rsidRPr="003B32BB">
        <w:t>Balanced Scorecard Institute</w:t>
      </w:r>
    </w:p>
  </w:footnote>
  <w:footnote w:id="2438">
    <w:p w14:paraId="31862358" w14:textId="77777777" w:rsidR="00B47FF5" w:rsidRDefault="00B47FF5" w:rsidP="00537CC8">
      <w:pPr>
        <w:pStyle w:val="FootnoteText"/>
      </w:pPr>
      <w:r>
        <w:rPr>
          <w:rStyle w:val="FootnoteReference"/>
        </w:rPr>
        <w:footnoteRef/>
      </w:r>
      <w:r>
        <w:rPr>
          <w:rtl/>
        </w:rPr>
        <w:t xml:space="preserve"> </w:t>
      </w:r>
      <w:r w:rsidRPr="00607F46">
        <w:t>Robert Kaplan and David Norton</w:t>
      </w:r>
    </w:p>
  </w:footnote>
  <w:footnote w:id="2439">
    <w:p w14:paraId="0206A9A9" w14:textId="77777777" w:rsidR="00B47FF5" w:rsidRDefault="00B47FF5" w:rsidP="00537CC8">
      <w:pPr>
        <w:pStyle w:val="FootnoteText"/>
      </w:pPr>
      <w:r>
        <w:rPr>
          <w:rStyle w:val="FootnoteReference"/>
        </w:rPr>
        <w:footnoteRef/>
      </w:r>
      <w:r>
        <w:rPr>
          <w:rtl/>
        </w:rPr>
        <w:t xml:space="preserve"> </w:t>
      </w:r>
      <w:r w:rsidRPr="001B1663">
        <w:t>Balanced Scorecard Step-by-Step</w:t>
      </w:r>
    </w:p>
  </w:footnote>
  <w:footnote w:id="2440">
    <w:p w14:paraId="54A75ED5" w14:textId="77777777" w:rsidR="00B47FF5" w:rsidRDefault="00B47FF5" w:rsidP="00537CC8">
      <w:pPr>
        <w:pStyle w:val="FootnoteText"/>
      </w:pPr>
      <w:r>
        <w:rPr>
          <w:rStyle w:val="FootnoteReference"/>
        </w:rPr>
        <w:footnoteRef/>
      </w:r>
      <w:r>
        <w:rPr>
          <w:rtl/>
        </w:rPr>
        <w:t xml:space="preserve"> </w:t>
      </w:r>
      <w:r w:rsidRPr="00607F46">
        <w:t>Paul Niven</w:t>
      </w:r>
    </w:p>
  </w:footnote>
  <w:footnote w:id="2441">
    <w:p w14:paraId="33EDF231" w14:textId="77777777" w:rsidR="00B47FF5" w:rsidRDefault="00B47FF5" w:rsidP="00537CC8">
      <w:pPr>
        <w:pStyle w:val="FootnoteText"/>
      </w:pPr>
      <w:r>
        <w:rPr>
          <w:rStyle w:val="FootnoteReference"/>
        </w:rPr>
        <w:footnoteRef/>
      </w:r>
      <w:r>
        <w:rPr>
          <w:rtl/>
        </w:rPr>
        <w:t xml:space="preserve"> </w:t>
      </w:r>
      <w:r w:rsidRPr="001B1663">
        <w:t>The Strategy-Focused Organization</w:t>
      </w:r>
    </w:p>
  </w:footnote>
  <w:footnote w:id="2442">
    <w:p w14:paraId="4A70FFFE" w14:textId="77777777" w:rsidR="00B47FF5" w:rsidRDefault="00B47FF5" w:rsidP="00537CC8">
      <w:pPr>
        <w:pStyle w:val="FootnoteText"/>
      </w:pPr>
      <w:r>
        <w:rPr>
          <w:rStyle w:val="FootnoteReference"/>
        </w:rPr>
        <w:footnoteRef/>
      </w:r>
      <w:r>
        <w:rPr>
          <w:rtl/>
        </w:rPr>
        <w:t xml:space="preserve"> </w:t>
      </w:r>
      <w:r w:rsidRPr="001B1663">
        <w:t>Alignment</w:t>
      </w:r>
    </w:p>
  </w:footnote>
  <w:footnote w:id="2443">
    <w:p w14:paraId="6C1983F8" w14:textId="77777777" w:rsidR="00B47FF5" w:rsidRDefault="00B47FF5" w:rsidP="00537CC8">
      <w:pPr>
        <w:pStyle w:val="FootnoteText"/>
      </w:pPr>
      <w:r>
        <w:rPr>
          <w:rStyle w:val="FootnoteReference"/>
        </w:rPr>
        <w:footnoteRef/>
      </w:r>
      <w:r>
        <w:rPr>
          <w:rtl/>
        </w:rPr>
        <w:t xml:space="preserve"> </w:t>
      </w:r>
      <w:r w:rsidRPr="003B32BB">
        <w:t>Balanced Scorecard Institute</w:t>
      </w:r>
    </w:p>
  </w:footnote>
  <w:footnote w:id="2444">
    <w:p w14:paraId="29E8B2FD" w14:textId="77777777" w:rsidR="00B47FF5" w:rsidRDefault="00B47FF5" w:rsidP="00537CC8">
      <w:pPr>
        <w:pStyle w:val="FootnoteText"/>
      </w:pPr>
      <w:r>
        <w:rPr>
          <w:rStyle w:val="FootnoteReference"/>
        </w:rPr>
        <w:footnoteRef/>
      </w:r>
      <w:r>
        <w:rPr>
          <w:rtl/>
        </w:rPr>
        <w:t xml:space="preserve"> </w:t>
      </w:r>
      <w:r w:rsidRPr="00607F46">
        <w:t>Shewhart-Deming</w:t>
      </w:r>
    </w:p>
  </w:footnote>
  <w:footnote w:id="2445">
    <w:p w14:paraId="5F274AFB" w14:textId="77777777" w:rsidR="00B47FF5" w:rsidRDefault="00B47FF5" w:rsidP="00537CC8">
      <w:pPr>
        <w:pStyle w:val="FootnoteText"/>
      </w:pPr>
      <w:r>
        <w:rPr>
          <w:rStyle w:val="FootnoteReference"/>
        </w:rPr>
        <w:footnoteRef/>
      </w:r>
      <w:r>
        <w:rPr>
          <w:rtl/>
        </w:rPr>
        <w:t xml:space="preserve"> </w:t>
      </w:r>
      <w:r w:rsidRPr="00607F46">
        <w:t>Voltaire</w:t>
      </w:r>
    </w:p>
  </w:footnote>
  <w:footnote w:id="2446">
    <w:p w14:paraId="01746C6F" w14:textId="1B406699" w:rsidR="00B47FF5" w:rsidRDefault="00B47FF5" w:rsidP="00537CC8">
      <w:pPr>
        <w:pStyle w:val="FootnoteText"/>
      </w:pPr>
      <w:r>
        <w:rPr>
          <w:rStyle w:val="FootnoteReference"/>
        </w:rPr>
        <w:footnoteRef/>
      </w:r>
      <w:r>
        <w:rPr>
          <w:rtl/>
        </w:rPr>
        <w:t xml:space="preserve"> </w:t>
      </w:r>
      <w:r>
        <w:t>The best is the enemy of good</w:t>
      </w:r>
    </w:p>
  </w:footnote>
  <w:footnote w:id="2447">
    <w:p w14:paraId="6A708B5B" w14:textId="77777777" w:rsidR="00B47FF5" w:rsidRDefault="00B47FF5" w:rsidP="00537CC8">
      <w:pPr>
        <w:pStyle w:val="FootnoteText"/>
      </w:pPr>
      <w:r>
        <w:rPr>
          <w:rStyle w:val="FootnoteReference"/>
        </w:rPr>
        <w:footnoteRef/>
      </w:r>
      <w:r>
        <w:rPr>
          <w:rtl/>
        </w:rPr>
        <w:t xml:space="preserve"> </w:t>
      </w:r>
      <w:r w:rsidRPr="00607F46">
        <w:t>Betamax</w:t>
      </w:r>
    </w:p>
  </w:footnote>
  <w:footnote w:id="2448">
    <w:p w14:paraId="7A9F0244" w14:textId="77777777" w:rsidR="00B47FF5" w:rsidRDefault="00B47FF5" w:rsidP="00537CC8">
      <w:pPr>
        <w:pStyle w:val="FootnoteText"/>
      </w:pPr>
      <w:r>
        <w:rPr>
          <w:rStyle w:val="FootnoteReference"/>
        </w:rPr>
        <w:footnoteRef/>
      </w:r>
      <w:r>
        <w:rPr>
          <w:rtl/>
        </w:rPr>
        <w:t xml:space="preserve"> </w:t>
      </w:r>
      <w:r w:rsidRPr="00291732">
        <w:t>Quality Toolbox</w:t>
      </w:r>
    </w:p>
  </w:footnote>
  <w:footnote w:id="2449">
    <w:p w14:paraId="4126D8B3" w14:textId="77777777" w:rsidR="00B47FF5" w:rsidRDefault="00B47FF5" w:rsidP="00537CC8">
      <w:pPr>
        <w:pStyle w:val="FootnoteText"/>
      </w:pPr>
      <w:r>
        <w:rPr>
          <w:rStyle w:val="FootnoteReference"/>
        </w:rPr>
        <w:footnoteRef/>
      </w:r>
      <w:r>
        <w:rPr>
          <w:rtl/>
        </w:rPr>
        <w:t xml:space="preserve"> </w:t>
      </w:r>
      <w:r w:rsidRPr="00607F46">
        <w:t>Nancy Tague</w:t>
      </w:r>
    </w:p>
  </w:footnote>
  <w:footnote w:id="2450">
    <w:p w14:paraId="0A541762" w14:textId="77777777" w:rsidR="00B47FF5" w:rsidRDefault="00B47FF5" w:rsidP="00537CC8">
      <w:pPr>
        <w:pStyle w:val="FootnoteText"/>
      </w:pPr>
      <w:r>
        <w:rPr>
          <w:rStyle w:val="FootnoteReference"/>
        </w:rPr>
        <w:footnoteRef/>
      </w:r>
      <w:r>
        <w:rPr>
          <w:rtl/>
        </w:rPr>
        <w:t xml:space="preserve"> </w:t>
      </w:r>
      <w:r w:rsidRPr="003549F9">
        <w:t>American Society for Quality</w:t>
      </w:r>
    </w:p>
  </w:footnote>
  <w:footnote w:id="2451">
    <w:p w14:paraId="5711C199" w14:textId="77777777" w:rsidR="00B47FF5" w:rsidRDefault="00B47FF5" w:rsidP="00537CC8">
      <w:pPr>
        <w:pStyle w:val="FootnoteText"/>
      </w:pPr>
      <w:r>
        <w:rPr>
          <w:rStyle w:val="FootnoteReference"/>
        </w:rPr>
        <w:footnoteRef/>
      </w:r>
      <w:r>
        <w:rPr>
          <w:rtl/>
        </w:rPr>
        <w:t xml:space="preserve"> </w:t>
      </w:r>
      <w:r>
        <w:t>Lean Six Sigma</w:t>
      </w:r>
    </w:p>
  </w:footnote>
  <w:footnote w:id="2452">
    <w:p w14:paraId="5F3CF0DC" w14:textId="77777777" w:rsidR="00B47FF5" w:rsidRDefault="00B47FF5" w:rsidP="00537CC8">
      <w:pPr>
        <w:pStyle w:val="FootnoteText"/>
      </w:pPr>
      <w:r>
        <w:rPr>
          <w:rStyle w:val="FootnoteReference"/>
        </w:rPr>
        <w:footnoteRef/>
      </w:r>
      <w:r>
        <w:rPr>
          <w:rtl/>
        </w:rPr>
        <w:t xml:space="preserve"> </w:t>
      </w:r>
      <w:r w:rsidRPr="00334B53">
        <w:t>Creative Commons</w:t>
      </w:r>
    </w:p>
  </w:footnote>
  <w:footnote w:id="2453">
    <w:p w14:paraId="3FF0FF70" w14:textId="4B012CEA" w:rsidR="00B47FF5" w:rsidRDefault="00B47FF5" w:rsidP="00537CC8">
      <w:pPr>
        <w:pStyle w:val="FootnoteText"/>
      </w:pPr>
      <w:r>
        <w:rPr>
          <w:rStyle w:val="FootnoteReference"/>
        </w:rPr>
        <w:footnoteRef/>
      </w:r>
      <w:r>
        <w:rPr>
          <w:rtl/>
        </w:rPr>
        <w:t xml:space="preserve"> </w:t>
      </w:r>
      <w:r>
        <w:t>Standard Operating Procedures</w:t>
      </w:r>
    </w:p>
  </w:footnote>
  <w:footnote w:id="2454">
    <w:p w14:paraId="1B844B86" w14:textId="2F68111B" w:rsidR="00B47FF5" w:rsidRDefault="00B47FF5" w:rsidP="00537CC8">
      <w:pPr>
        <w:pStyle w:val="FootnoteText"/>
      </w:pPr>
      <w:r>
        <w:rPr>
          <w:rStyle w:val="FootnoteReference"/>
        </w:rPr>
        <w:footnoteRef/>
      </w:r>
      <w:r>
        <w:rPr>
          <w:rtl/>
        </w:rPr>
        <w:t xml:space="preserve"> </w:t>
      </w:r>
      <w:r w:rsidRPr="0069448F">
        <w:t>Rubrics</w:t>
      </w:r>
    </w:p>
  </w:footnote>
  <w:footnote w:id="2455">
    <w:p w14:paraId="3D52135F" w14:textId="2DD14441" w:rsidR="00B47FF5" w:rsidRDefault="00B47FF5" w:rsidP="00537CC8">
      <w:pPr>
        <w:pStyle w:val="FootnoteText"/>
      </w:pPr>
      <w:r>
        <w:rPr>
          <w:rStyle w:val="FootnoteReference"/>
        </w:rPr>
        <w:footnoteRef/>
      </w:r>
      <w:r>
        <w:rPr>
          <w:rtl/>
        </w:rPr>
        <w:t xml:space="preserve"> </w:t>
      </w:r>
      <w:r w:rsidRPr="0069448F">
        <w:t>Recipes</w:t>
      </w:r>
    </w:p>
  </w:footnote>
  <w:footnote w:id="2456">
    <w:p w14:paraId="10BDE620" w14:textId="77777777" w:rsidR="00B47FF5" w:rsidRDefault="00B47FF5" w:rsidP="00537CC8">
      <w:pPr>
        <w:pStyle w:val="FootnoteText"/>
      </w:pPr>
      <w:r>
        <w:rPr>
          <w:rStyle w:val="FootnoteReference"/>
        </w:rPr>
        <w:footnoteRef/>
      </w:r>
      <w:r>
        <w:rPr>
          <w:rtl/>
        </w:rPr>
        <w:t xml:space="preserve"> </w:t>
      </w:r>
      <w:r>
        <w:t>Future Today Institute</w:t>
      </w:r>
    </w:p>
  </w:footnote>
  <w:footnote w:id="2457">
    <w:p w14:paraId="60321F75" w14:textId="77777777" w:rsidR="00B47FF5" w:rsidRDefault="00B47FF5" w:rsidP="00537CC8">
      <w:pPr>
        <w:pStyle w:val="FootnoteText"/>
      </w:pPr>
      <w:r>
        <w:rPr>
          <w:rStyle w:val="FootnoteReference"/>
        </w:rPr>
        <w:footnoteRef/>
      </w:r>
      <w:r>
        <w:rPr>
          <w:rtl/>
        </w:rPr>
        <w:t xml:space="preserve"> </w:t>
      </w:r>
      <w:r w:rsidRPr="00250F25">
        <w:t>The Big Nine</w:t>
      </w:r>
    </w:p>
  </w:footnote>
  <w:footnote w:id="2458">
    <w:p w14:paraId="7DEDB06E" w14:textId="00763BDF" w:rsidR="00B47FF5" w:rsidRDefault="00B47FF5" w:rsidP="00537CC8">
      <w:pPr>
        <w:pStyle w:val="FootnoteText"/>
      </w:pPr>
      <w:r>
        <w:rPr>
          <w:rStyle w:val="FootnoteReference"/>
        </w:rPr>
        <w:footnoteRef/>
      </w:r>
      <w:r>
        <w:rPr>
          <w:rtl/>
        </w:rPr>
        <w:t xml:space="preserve"> </w:t>
      </w:r>
      <w:r w:rsidRPr="0069448F">
        <w:t>Plutocratic capitalism</w:t>
      </w:r>
    </w:p>
  </w:footnote>
  <w:footnote w:id="2459">
    <w:p w14:paraId="2A96343E" w14:textId="1EE1B210" w:rsidR="001D59A8" w:rsidRDefault="001D59A8">
      <w:pPr>
        <w:pStyle w:val="FootnoteText"/>
        <w:rPr>
          <w:rtl/>
        </w:rPr>
      </w:pPr>
      <w:r>
        <w:rPr>
          <w:rStyle w:val="FootnoteReference"/>
        </w:rPr>
        <w:footnoteRef/>
      </w:r>
      <w:r>
        <w:t xml:space="preserve"> </w:t>
      </w:r>
      <w:r w:rsidRPr="001D59A8">
        <w:t>The Signals are Talking</w:t>
      </w:r>
    </w:p>
  </w:footnote>
  <w:footnote w:id="2460">
    <w:p w14:paraId="22965F81" w14:textId="77777777" w:rsidR="00B47FF5" w:rsidRDefault="00B47FF5" w:rsidP="00537CC8">
      <w:pPr>
        <w:pStyle w:val="FootnoteText"/>
      </w:pPr>
      <w:r>
        <w:rPr>
          <w:rStyle w:val="FootnoteReference"/>
        </w:rPr>
        <w:footnoteRef/>
      </w:r>
      <w:r>
        <w:rPr>
          <w:rtl/>
        </w:rPr>
        <w:t xml:space="preserve"> </w:t>
      </w:r>
      <w:r>
        <w:t>Fringe</w:t>
      </w:r>
    </w:p>
  </w:footnote>
  <w:footnote w:id="2461">
    <w:p w14:paraId="7DDA8EEF" w14:textId="7BE366AC" w:rsidR="00B47FF5" w:rsidRDefault="00B47FF5" w:rsidP="00537CC8">
      <w:pPr>
        <w:pStyle w:val="FootnoteText"/>
      </w:pPr>
      <w:r>
        <w:rPr>
          <w:rStyle w:val="FootnoteReference"/>
        </w:rPr>
        <w:footnoteRef/>
      </w:r>
      <w:r>
        <w:rPr>
          <w:rtl/>
        </w:rPr>
        <w:t xml:space="preserve"> </w:t>
      </w:r>
      <w:r>
        <w:t>Unusual suspects</w:t>
      </w:r>
    </w:p>
  </w:footnote>
  <w:footnote w:id="2462">
    <w:p w14:paraId="44AA5412" w14:textId="77777777" w:rsidR="00B47FF5" w:rsidRDefault="00B47FF5" w:rsidP="00537CC8">
      <w:pPr>
        <w:pStyle w:val="FootnoteText"/>
      </w:pPr>
      <w:r>
        <w:rPr>
          <w:rStyle w:val="FootnoteReference"/>
        </w:rPr>
        <w:footnoteRef/>
      </w:r>
      <w:r>
        <w:rPr>
          <w:rtl/>
        </w:rPr>
        <w:t xml:space="preserve"> </w:t>
      </w:r>
      <w:r w:rsidRPr="0010037D">
        <w:t>Inflections</w:t>
      </w:r>
    </w:p>
  </w:footnote>
  <w:footnote w:id="2463">
    <w:p w14:paraId="4DD50227" w14:textId="77F16BA1" w:rsidR="00B47FF5" w:rsidRDefault="00B47FF5">
      <w:pPr>
        <w:pStyle w:val="FootnoteText"/>
        <w:rPr>
          <w:rtl/>
        </w:rPr>
      </w:pPr>
      <w:r>
        <w:rPr>
          <w:rStyle w:val="FootnoteReference"/>
        </w:rPr>
        <w:footnoteRef/>
      </w:r>
      <w:r>
        <w:rPr>
          <w:rFonts w:hint="cs"/>
          <w:rtl/>
        </w:rPr>
        <w:t xml:space="preserve"> </w:t>
      </w:r>
      <w:r w:rsidRPr="00537CC8">
        <w:t>Hacks</w:t>
      </w:r>
    </w:p>
  </w:footnote>
  <w:footnote w:id="2464">
    <w:p w14:paraId="55680A15" w14:textId="77C8804E" w:rsidR="00B47FF5" w:rsidRDefault="00B47FF5" w:rsidP="00537CC8">
      <w:pPr>
        <w:pStyle w:val="FootnoteText"/>
      </w:pPr>
      <w:r>
        <w:rPr>
          <w:rStyle w:val="FootnoteReference"/>
        </w:rPr>
        <w:footnoteRef/>
      </w:r>
      <w:r>
        <w:rPr>
          <w:rtl/>
        </w:rPr>
        <w:t xml:space="preserve"> </w:t>
      </w:r>
      <w:r w:rsidRPr="00334B53">
        <w:t>Extreme</w:t>
      </w:r>
    </w:p>
  </w:footnote>
  <w:footnote w:id="2465">
    <w:p w14:paraId="1357B5C7" w14:textId="77777777" w:rsidR="00B47FF5" w:rsidRDefault="00B47FF5" w:rsidP="00537CC8">
      <w:pPr>
        <w:pStyle w:val="FootnoteText"/>
      </w:pPr>
      <w:r>
        <w:rPr>
          <w:rStyle w:val="FootnoteReference"/>
        </w:rPr>
        <w:footnoteRef/>
      </w:r>
      <w:r>
        <w:rPr>
          <w:rtl/>
        </w:rPr>
        <w:t xml:space="preserve"> </w:t>
      </w:r>
      <w:r w:rsidRPr="0010037D">
        <w:t>Rarities</w:t>
      </w:r>
    </w:p>
  </w:footnote>
  <w:footnote w:id="2466">
    <w:p w14:paraId="26E54738" w14:textId="77777777" w:rsidR="00B47FF5" w:rsidRDefault="00B47FF5" w:rsidP="00537CC8">
      <w:pPr>
        <w:pStyle w:val="FootnoteText"/>
      </w:pPr>
      <w:r>
        <w:rPr>
          <w:rStyle w:val="FootnoteReference"/>
        </w:rPr>
        <w:footnoteRef/>
      </w:r>
      <w:r>
        <w:rPr>
          <w:rtl/>
        </w:rPr>
        <w:t xml:space="preserve"> </w:t>
      </w:r>
      <w:r>
        <w:t>Foundation</w:t>
      </w:r>
    </w:p>
  </w:footnote>
  <w:footnote w:id="2467">
    <w:p w14:paraId="44EA0476" w14:textId="77777777" w:rsidR="00B47FF5" w:rsidRDefault="00B47FF5" w:rsidP="00537CC8">
      <w:pPr>
        <w:pStyle w:val="FootnoteText"/>
      </w:pPr>
      <w:r>
        <w:rPr>
          <w:rStyle w:val="FootnoteReference"/>
        </w:rPr>
        <w:footnoteRef/>
      </w:r>
      <w:r>
        <w:rPr>
          <w:rtl/>
        </w:rPr>
        <w:t xml:space="preserve"> </w:t>
      </w:r>
      <w:r w:rsidRPr="00373A9F">
        <w:t>Trackability</w:t>
      </w:r>
    </w:p>
  </w:footnote>
  <w:footnote w:id="2468">
    <w:p w14:paraId="60BA09E4" w14:textId="77777777" w:rsidR="00B47FF5" w:rsidRDefault="00B47FF5" w:rsidP="00537CC8">
      <w:pPr>
        <w:pStyle w:val="FootnoteText"/>
      </w:pPr>
      <w:r>
        <w:rPr>
          <w:rStyle w:val="FootnoteReference"/>
        </w:rPr>
        <w:footnoteRef/>
      </w:r>
      <w:r>
        <w:rPr>
          <w:rtl/>
        </w:rPr>
        <w:t xml:space="preserve"> </w:t>
      </w:r>
      <w:r w:rsidRPr="00373A9F">
        <w:t>Urgency</w:t>
      </w:r>
    </w:p>
  </w:footnote>
  <w:footnote w:id="2469">
    <w:p w14:paraId="5C1A66AA" w14:textId="77777777" w:rsidR="00B47FF5" w:rsidRDefault="00B47FF5" w:rsidP="00537CC8">
      <w:pPr>
        <w:pStyle w:val="FootnoteText"/>
      </w:pPr>
      <w:r>
        <w:rPr>
          <w:rStyle w:val="FootnoteReference"/>
        </w:rPr>
        <w:footnoteRef/>
      </w:r>
      <w:r>
        <w:rPr>
          <w:rtl/>
        </w:rPr>
        <w:t xml:space="preserve"> </w:t>
      </w:r>
      <w:r w:rsidRPr="00373A9F">
        <w:t>Recalibration</w:t>
      </w:r>
    </w:p>
  </w:footnote>
  <w:footnote w:id="2470">
    <w:p w14:paraId="10E2B6D3" w14:textId="2E62A443" w:rsidR="00B47FF5" w:rsidRDefault="00B47FF5" w:rsidP="000213BB">
      <w:pPr>
        <w:pStyle w:val="FootnoteText"/>
      </w:pPr>
      <w:r>
        <w:rPr>
          <w:rStyle w:val="FootnoteReference"/>
        </w:rPr>
        <w:footnoteRef/>
      </w:r>
      <w:r>
        <w:rPr>
          <w:rtl/>
        </w:rPr>
        <w:t xml:space="preserve"> </w:t>
      </w:r>
      <w:r w:rsidRPr="00373A9F">
        <w:t>Extensibility</w:t>
      </w:r>
    </w:p>
  </w:footnote>
  <w:footnote w:id="2471">
    <w:p w14:paraId="648C8269" w14:textId="77777777" w:rsidR="00B47FF5" w:rsidRDefault="00B47FF5" w:rsidP="00537CC8">
      <w:pPr>
        <w:pStyle w:val="FootnoteText"/>
      </w:pPr>
      <w:r>
        <w:rPr>
          <w:rStyle w:val="FootnoteReference"/>
        </w:rPr>
        <w:footnoteRef/>
      </w:r>
      <w:r>
        <w:rPr>
          <w:rtl/>
        </w:rPr>
        <w:t xml:space="preserve"> </w:t>
      </w:r>
      <w:r w:rsidRPr="00D54B17">
        <w:t>Peter Bishop</w:t>
      </w:r>
    </w:p>
  </w:footnote>
  <w:footnote w:id="2472">
    <w:p w14:paraId="7D73D41A" w14:textId="47FB346D" w:rsidR="00B47FF5" w:rsidRDefault="00B47FF5" w:rsidP="00537CC8">
      <w:pPr>
        <w:pStyle w:val="FootnoteText"/>
      </w:pPr>
      <w:r>
        <w:rPr>
          <w:rStyle w:val="FootnoteReference"/>
        </w:rPr>
        <w:footnoteRef/>
      </w:r>
      <w:r>
        <w:rPr>
          <w:rtl/>
        </w:rPr>
        <w:t xml:space="preserve"> </w:t>
      </w:r>
      <w:r w:rsidRPr="00C85076">
        <w:t>Briefing</w:t>
      </w:r>
    </w:p>
  </w:footnote>
  <w:footnote w:id="2473">
    <w:p w14:paraId="5F9CE11B" w14:textId="77777777" w:rsidR="00B47FF5" w:rsidRDefault="00B47FF5" w:rsidP="00537CC8">
      <w:pPr>
        <w:pStyle w:val="FootnoteText"/>
      </w:pPr>
      <w:r>
        <w:rPr>
          <w:rStyle w:val="FootnoteReference"/>
        </w:rPr>
        <w:footnoteRef/>
      </w:r>
      <w:r>
        <w:rPr>
          <w:rtl/>
        </w:rPr>
        <w:t xml:space="preserve"> </w:t>
      </w:r>
      <w:r w:rsidRPr="00C85076">
        <w:t>Framework foresight</w:t>
      </w:r>
    </w:p>
  </w:footnote>
  <w:footnote w:id="2474">
    <w:p w14:paraId="2074A5CC" w14:textId="77777777" w:rsidR="00B47FF5" w:rsidRDefault="00B47FF5" w:rsidP="00537CC8">
      <w:pPr>
        <w:pStyle w:val="FootnoteText"/>
      </w:pPr>
      <w:r>
        <w:rPr>
          <w:rStyle w:val="FootnoteReference"/>
        </w:rPr>
        <w:footnoteRef/>
      </w:r>
      <w:r>
        <w:rPr>
          <w:rtl/>
        </w:rPr>
        <w:t xml:space="preserve"> </w:t>
      </w:r>
      <w:r w:rsidRPr="00D54B17">
        <w:t>Future</w:t>
      </w:r>
    </w:p>
  </w:footnote>
  <w:footnote w:id="2475">
    <w:p w14:paraId="3609468C" w14:textId="77777777" w:rsidR="00B47FF5" w:rsidRDefault="00B47FF5" w:rsidP="00537CC8">
      <w:pPr>
        <w:pStyle w:val="FootnoteText"/>
      </w:pPr>
      <w:r>
        <w:rPr>
          <w:rStyle w:val="FootnoteReference"/>
        </w:rPr>
        <w:footnoteRef/>
      </w:r>
      <w:r>
        <w:rPr>
          <w:rtl/>
        </w:rPr>
        <w:t xml:space="preserve"> </w:t>
      </w:r>
      <w:r>
        <w:t>Prague</w:t>
      </w:r>
    </w:p>
  </w:footnote>
  <w:footnote w:id="2476">
    <w:p w14:paraId="1CE42E9F" w14:textId="0DB393FC" w:rsidR="00B47FF5" w:rsidRDefault="00B47FF5" w:rsidP="00537CC8">
      <w:pPr>
        <w:pStyle w:val="FootnoteText"/>
      </w:pPr>
      <w:r>
        <w:rPr>
          <w:rStyle w:val="FootnoteReference"/>
        </w:rPr>
        <w:footnoteRef/>
      </w:r>
      <w:r>
        <w:rPr>
          <w:rtl/>
        </w:rPr>
        <w:t xml:space="preserve"> </w:t>
      </w:r>
      <w:r w:rsidRPr="00B8681F">
        <w:t>Tunnel boring machines</w:t>
      </w:r>
    </w:p>
  </w:footnote>
  <w:footnote w:id="2477">
    <w:p w14:paraId="78DD415B" w14:textId="77777777" w:rsidR="00B47FF5" w:rsidRDefault="00B47FF5" w:rsidP="00537CC8">
      <w:pPr>
        <w:pStyle w:val="FootnoteText"/>
      </w:pPr>
      <w:r>
        <w:rPr>
          <w:rStyle w:val="FootnoteReference"/>
        </w:rPr>
        <w:footnoteRef/>
      </w:r>
      <w:r>
        <w:rPr>
          <w:rtl/>
        </w:rPr>
        <w:t xml:space="preserve"> </w:t>
      </w:r>
      <w:r w:rsidRPr="001837AE">
        <w:t>Boring Company</w:t>
      </w:r>
    </w:p>
  </w:footnote>
  <w:footnote w:id="2478">
    <w:p w14:paraId="5B2137B8" w14:textId="7F32FF96" w:rsidR="00B47FF5" w:rsidRDefault="00B47FF5" w:rsidP="00537CC8">
      <w:pPr>
        <w:pStyle w:val="FootnoteText"/>
      </w:pPr>
      <w:r>
        <w:rPr>
          <w:rStyle w:val="FootnoteReference"/>
        </w:rPr>
        <w:footnoteRef/>
      </w:r>
      <w:r>
        <w:rPr>
          <w:rtl/>
        </w:rPr>
        <w:t xml:space="preserve"> </w:t>
      </w:r>
      <w:r w:rsidRPr="00325905">
        <w:t>Retrospecting</w:t>
      </w:r>
    </w:p>
  </w:footnote>
  <w:footnote w:id="2479">
    <w:p w14:paraId="24636AD5" w14:textId="0099913E" w:rsidR="00B47FF5" w:rsidRDefault="00B47FF5" w:rsidP="00537CC8">
      <w:pPr>
        <w:pStyle w:val="FootnoteText"/>
      </w:pPr>
      <w:r>
        <w:rPr>
          <w:rStyle w:val="FootnoteReference"/>
        </w:rPr>
        <w:footnoteRef/>
      </w:r>
      <w:r>
        <w:rPr>
          <w:rtl/>
        </w:rPr>
        <w:t xml:space="preserve"> </w:t>
      </w:r>
      <w:r w:rsidRPr="00C9488B">
        <w:t>Baseline Futuring</w:t>
      </w:r>
    </w:p>
  </w:footnote>
  <w:footnote w:id="2480">
    <w:p w14:paraId="150630D1" w14:textId="3F497A8F" w:rsidR="00B47FF5" w:rsidRDefault="00B47FF5" w:rsidP="00537CC8">
      <w:pPr>
        <w:pStyle w:val="FootnoteText"/>
      </w:pPr>
      <w:r>
        <w:rPr>
          <w:rStyle w:val="FootnoteReference"/>
        </w:rPr>
        <w:footnoteRef/>
      </w:r>
      <w:r>
        <w:rPr>
          <w:rtl/>
        </w:rPr>
        <w:t xml:space="preserve"> </w:t>
      </w:r>
      <w:r w:rsidRPr="00C9488B">
        <w:t>Alternative Futuring</w:t>
      </w:r>
    </w:p>
  </w:footnote>
  <w:footnote w:id="2481">
    <w:p w14:paraId="298B87B0" w14:textId="02746163" w:rsidR="00B47FF5" w:rsidRDefault="00B47FF5" w:rsidP="00537CC8">
      <w:pPr>
        <w:pStyle w:val="FootnoteText"/>
      </w:pPr>
      <w:r>
        <w:rPr>
          <w:rStyle w:val="FootnoteReference"/>
        </w:rPr>
        <w:footnoteRef/>
      </w:r>
      <w:r>
        <w:rPr>
          <w:rtl/>
        </w:rPr>
        <w:t xml:space="preserve"> </w:t>
      </w:r>
      <w:r w:rsidRPr="000213BB">
        <w:t>Scoping</w:t>
      </w:r>
    </w:p>
  </w:footnote>
  <w:footnote w:id="2482">
    <w:p w14:paraId="68E12288" w14:textId="77777777" w:rsidR="00B47FF5" w:rsidRDefault="00B47FF5" w:rsidP="00537CC8">
      <w:pPr>
        <w:pStyle w:val="FootnoteText"/>
      </w:pPr>
      <w:r>
        <w:rPr>
          <w:rStyle w:val="FootnoteReference"/>
        </w:rPr>
        <w:footnoteRef/>
      </w:r>
      <w:r>
        <w:rPr>
          <w:rtl/>
        </w:rPr>
        <w:t xml:space="preserve"> </w:t>
      </w:r>
      <w:r>
        <w:t>Mapping</w:t>
      </w:r>
    </w:p>
  </w:footnote>
  <w:footnote w:id="2483">
    <w:p w14:paraId="1FF6B312" w14:textId="77777777" w:rsidR="00B47FF5" w:rsidRDefault="00B47FF5" w:rsidP="00537CC8">
      <w:pPr>
        <w:pStyle w:val="FootnoteText"/>
      </w:pPr>
      <w:r>
        <w:rPr>
          <w:rStyle w:val="FootnoteReference"/>
        </w:rPr>
        <w:footnoteRef/>
      </w:r>
      <w:r>
        <w:rPr>
          <w:rtl/>
        </w:rPr>
        <w:t xml:space="preserve"> </w:t>
      </w:r>
      <w:r>
        <w:t>Hindsight</w:t>
      </w:r>
    </w:p>
  </w:footnote>
  <w:footnote w:id="2484">
    <w:p w14:paraId="56407016" w14:textId="77777777" w:rsidR="00B47FF5" w:rsidRDefault="00B47FF5" w:rsidP="00537CC8">
      <w:pPr>
        <w:pStyle w:val="FootnoteText"/>
      </w:pPr>
      <w:r>
        <w:rPr>
          <w:rStyle w:val="FootnoteReference"/>
        </w:rPr>
        <w:footnoteRef/>
      </w:r>
      <w:r>
        <w:rPr>
          <w:rtl/>
        </w:rPr>
        <w:t xml:space="preserve"> </w:t>
      </w:r>
      <w:r>
        <w:t>Baseline</w:t>
      </w:r>
    </w:p>
  </w:footnote>
  <w:footnote w:id="2485">
    <w:p w14:paraId="0118DED4" w14:textId="77777777" w:rsidR="00B47FF5" w:rsidRDefault="00B47FF5" w:rsidP="00537CC8">
      <w:pPr>
        <w:pStyle w:val="FootnoteText"/>
      </w:pPr>
      <w:r>
        <w:rPr>
          <w:rStyle w:val="FootnoteReference"/>
        </w:rPr>
        <w:footnoteRef/>
      </w:r>
      <w:r>
        <w:rPr>
          <w:rtl/>
        </w:rPr>
        <w:t xml:space="preserve"> </w:t>
      </w:r>
      <w:r>
        <w:t>Baseline futuring</w:t>
      </w:r>
    </w:p>
  </w:footnote>
  <w:footnote w:id="2486">
    <w:p w14:paraId="32290E88" w14:textId="77777777" w:rsidR="00B47FF5" w:rsidRDefault="00B47FF5" w:rsidP="00537CC8">
      <w:pPr>
        <w:pStyle w:val="FootnoteText"/>
      </w:pPr>
      <w:r>
        <w:rPr>
          <w:rStyle w:val="FootnoteReference"/>
        </w:rPr>
        <w:footnoteRef/>
      </w:r>
      <w:r>
        <w:rPr>
          <w:rtl/>
        </w:rPr>
        <w:t xml:space="preserve"> </w:t>
      </w:r>
      <w:r w:rsidRPr="00EE2068">
        <w:t>De-biasing</w:t>
      </w:r>
    </w:p>
  </w:footnote>
  <w:footnote w:id="2487">
    <w:p w14:paraId="6C1F54FE" w14:textId="447CE2AF" w:rsidR="00B47FF5" w:rsidRDefault="00B47FF5" w:rsidP="00537CC8">
      <w:pPr>
        <w:pStyle w:val="FootnoteText"/>
      </w:pPr>
      <w:r>
        <w:rPr>
          <w:rStyle w:val="FootnoteReference"/>
        </w:rPr>
        <w:footnoteRef/>
      </w:r>
      <w:r>
        <w:rPr>
          <w:rtl/>
        </w:rPr>
        <w:t xml:space="preserve"> </w:t>
      </w:r>
      <w:r w:rsidRPr="00D74260">
        <w:t>Discerning</w:t>
      </w:r>
    </w:p>
  </w:footnote>
  <w:footnote w:id="2488">
    <w:p w14:paraId="090C7499" w14:textId="77777777" w:rsidR="00B47FF5" w:rsidRDefault="00B47FF5" w:rsidP="00537CC8">
      <w:pPr>
        <w:pStyle w:val="FootnoteText"/>
      </w:pPr>
      <w:r>
        <w:rPr>
          <w:rStyle w:val="FootnoteReference"/>
        </w:rPr>
        <w:footnoteRef/>
      </w:r>
      <w:r>
        <w:rPr>
          <w:rtl/>
        </w:rPr>
        <w:t xml:space="preserve"> </w:t>
      </w:r>
      <w:r w:rsidRPr="00D74260">
        <w:t>Valentin Turchin</w:t>
      </w:r>
    </w:p>
  </w:footnote>
  <w:footnote w:id="2489">
    <w:p w14:paraId="3DE1C50F" w14:textId="77777777" w:rsidR="00B47FF5" w:rsidRDefault="00B47FF5" w:rsidP="00537CC8">
      <w:pPr>
        <w:pStyle w:val="FootnoteText"/>
      </w:pPr>
      <w:r>
        <w:rPr>
          <w:rStyle w:val="FootnoteReference"/>
        </w:rPr>
        <w:footnoteRef/>
      </w:r>
      <w:r>
        <w:rPr>
          <w:rtl/>
        </w:rPr>
        <w:t xml:space="preserve"> </w:t>
      </w:r>
      <w:r w:rsidRPr="00130531">
        <w:t>The Phenomenon of Science</w:t>
      </w:r>
    </w:p>
  </w:footnote>
  <w:footnote w:id="2490">
    <w:p w14:paraId="1951A220" w14:textId="5D4CDE90" w:rsidR="00B47FF5" w:rsidRDefault="00B47FF5" w:rsidP="00537CC8">
      <w:pPr>
        <w:pStyle w:val="FootnoteText"/>
      </w:pPr>
      <w:r>
        <w:rPr>
          <w:rStyle w:val="FootnoteReference"/>
        </w:rPr>
        <w:footnoteRef/>
      </w:r>
      <w:r>
        <w:rPr>
          <w:rtl/>
        </w:rPr>
        <w:t xml:space="preserve"> </w:t>
      </w:r>
      <w:r w:rsidRPr="00D74260">
        <w:t>Prospect</w:t>
      </w:r>
    </w:p>
  </w:footnote>
  <w:footnote w:id="2491">
    <w:p w14:paraId="6BC558A6" w14:textId="3B0B5595" w:rsidR="00B47FF5" w:rsidRDefault="00B47FF5" w:rsidP="00537CC8">
      <w:pPr>
        <w:pStyle w:val="FootnoteText"/>
      </w:pPr>
      <w:r>
        <w:rPr>
          <w:rStyle w:val="FootnoteReference"/>
        </w:rPr>
        <w:footnoteRef/>
      </w:r>
      <w:r>
        <w:rPr>
          <w:rtl/>
        </w:rPr>
        <w:t xml:space="preserve"> </w:t>
      </w:r>
      <w:r w:rsidRPr="00696851">
        <w:t>Technological determinism</w:t>
      </w:r>
    </w:p>
  </w:footnote>
  <w:footnote w:id="2492">
    <w:p w14:paraId="0CE6CCE6" w14:textId="55CC6090" w:rsidR="00B47FF5" w:rsidRDefault="00B47FF5" w:rsidP="00537CC8">
      <w:pPr>
        <w:pStyle w:val="FootnoteText"/>
      </w:pPr>
      <w:r>
        <w:rPr>
          <w:rStyle w:val="FootnoteReference"/>
        </w:rPr>
        <w:footnoteRef/>
      </w:r>
      <w:r>
        <w:rPr>
          <w:rtl/>
        </w:rPr>
        <w:t xml:space="preserve"> </w:t>
      </w:r>
      <w:r w:rsidRPr="00696851">
        <w:t>Polygenicembryo Testing</w:t>
      </w:r>
    </w:p>
  </w:footnote>
  <w:footnote w:id="2493">
    <w:p w14:paraId="0D4F38F3" w14:textId="488BB328" w:rsidR="00B47FF5" w:rsidRDefault="00B47FF5" w:rsidP="00537CC8">
      <w:pPr>
        <w:pStyle w:val="FootnoteText"/>
      </w:pPr>
      <w:r>
        <w:rPr>
          <w:rStyle w:val="FootnoteReference"/>
        </w:rPr>
        <w:footnoteRef/>
      </w:r>
      <w:r>
        <w:rPr>
          <w:rtl/>
        </w:rPr>
        <w:t xml:space="preserve"> </w:t>
      </w:r>
      <w:r w:rsidRPr="00D6162B">
        <w:t>Fringe Groups</w:t>
      </w:r>
    </w:p>
  </w:footnote>
  <w:footnote w:id="2494">
    <w:p w14:paraId="334867E4" w14:textId="60FFC685" w:rsidR="00B47FF5" w:rsidRDefault="00B47FF5" w:rsidP="00537CC8">
      <w:pPr>
        <w:pStyle w:val="FootnoteText"/>
      </w:pPr>
      <w:r>
        <w:rPr>
          <w:rStyle w:val="FootnoteReference"/>
        </w:rPr>
        <w:footnoteRef/>
      </w:r>
      <w:r>
        <w:rPr>
          <w:rtl/>
        </w:rPr>
        <w:t xml:space="preserve"> </w:t>
      </w:r>
      <w:r w:rsidRPr="00D6162B">
        <w:t>Bioenhancement</w:t>
      </w:r>
    </w:p>
  </w:footnote>
  <w:footnote w:id="2495">
    <w:p w14:paraId="7BC676B5" w14:textId="0FC51F01" w:rsidR="00B47FF5" w:rsidRDefault="00B47FF5" w:rsidP="00537CC8">
      <w:pPr>
        <w:pStyle w:val="FootnoteText"/>
      </w:pPr>
      <w:r>
        <w:rPr>
          <w:rStyle w:val="FootnoteReference"/>
        </w:rPr>
        <w:footnoteRef/>
      </w:r>
      <w:r>
        <w:rPr>
          <w:rtl/>
        </w:rPr>
        <w:t xml:space="preserve"> </w:t>
      </w:r>
      <w:r w:rsidRPr="00D6162B">
        <w:t>Enhanced humans</w:t>
      </w:r>
    </w:p>
  </w:footnote>
  <w:footnote w:id="2496">
    <w:p w14:paraId="07C4F8A4" w14:textId="6EBF51DE" w:rsidR="00B47FF5" w:rsidRDefault="00B47FF5" w:rsidP="00537CC8">
      <w:pPr>
        <w:pStyle w:val="FootnoteText"/>
      </w:pPr>
      <w:r>
        <w:rPr>
          <w:rStyle w:val="FootnoteReference"/>
        </w:rPr>
        <w:footnoteRef/>
      </w:r>
      <w:r>
        <w:rPr>
          <w:rtl/>
        </w:rPr>
        <w:t xml:space="preserve"> </w:t>
      </w:r>
      <w:r w:rsidRPr="006E785C">
        <w:t>Neuralink</w:t>
      </w:r>
    </w:p>
  </w:footnote>
  <w:footnote w:id="2497">
    <w:p w14:paraId="2A835ADC" w14:textId="77777777" w:rsidR="00B47FF5" w:rsidRDefault="00B47FF5" w:rsidP="00537CC8">
      <w:pPr>
        <w:pStyle w:val="FootnoteText"/>
      </w:pPr>
      <w:r>
        <w:rPr>
          <w:rStyle w:val="FootnoteReference"/>
        </w:rPr>
        <w:footnoteRef/>
      </w:r>
      <w:r>
        <w:rPr>
          <w:rtl/>
        </w:rPr>
        <w:t xml:space="preserve"> </w:t>
      </w:r>
      <w:r w:rsidRPr="00D74260">
        <w:t>Kernel</w:t>
      </w:r>
    </w:p>
  </w:footnote>
  <w:footnote w:id="2498">
    <w:p w14:paraId="0C417501" w14:textId="77777777" w:rsidR="00B47FF5" w:rsidRDefault="00B47FF5" w:rsidP="00537CC8">
      <w:pPr>
        <w:pStyle w:val="FootnoteText"/>
      </w:pPr>
      <w:r>
        <w:rPr>
          <w:rStyle w:val="FootnoteReference"/>
        </w:rPr>
        <w:footnoteRef/>
      </w:r>
      <w:r>
        <w:rPr>
          <w:rtl/>
        </w:rPr>
        <w:t xml:space="preserve"> </w:t>
      </w:r>
      <w:r w:rsidRPr="00D74260">
        <w:t>Genentech</w:t>
      </w:r>
    </w:p>
  </w:footnote>
  <w:footnote w:id="2499">
    <w:p w14:paraId="46325AFD" w14:textId="77777777" w:rsidR="00B47FF5" w:rsidRDefault="00B47FF5" w:rsidP="00537CC8">
      <w:pPr>
        <w:pStyle w:val="FootnoteText"/>
      </w:pPr>
      <w:r>
        <w:rPr>
          <w:rStyle w:val="FootnoteReference"/>
        </w:rPr>
        <w:footnoteRef/>
      </w:r>
      <w:r>
        <w:rPr>
          <w:rtl/>
        </w:rPr>
        <w:t xml:space="preserve"> </w:t>
      </w:r>
      <w:r w:rsidRPr="00D74260">
        <w:t>Art Levinson</w:t>
      </w:r>
    </w:p>
  </w:footnote>
  <w:footnote w:id="2500">
    <w:p w14:paraId="14D97B86" w14:textId="77777777" w:rsidR="00B47FF5" w:rsidRDefault="00B47FF5" w:rsidP="00537CC8">
      <w:pPr>
        <w:pStyle w:val="FootnoteText"/>
      </w:pPr>
      <w:r>
        <w:rPr>
          <w:rStyle w:val="FootnoteReference"/>
        </w:rPr>
        <w:footnoteRef/>
      </w:r>
      <w:r>
        <w:rPr>
          <w:rtl/>
        </w:rPr>
        <w:t xml:space="preserve"> </w:t>
      </w:r>
      <w:r w:rsidRPr="00D74260">
        <w:t>Calico</w:t>
      </w:r>
    </w:p>
  </w:footnote>
  <w:footnote w:id="2501">
    <w:p w14:paraId="76646E76" w14:textId="60716464" w:rsidR="00B47FF5" w:rsidRDefault="00B47FF5" w:rsidP="00537CC8">
      <w:pPr>
        <w:pStyle w:val="FootnoteText"/>
      </w:pPr>
      <w:r>
        <w:rPr>
          <w:rStyle w:val="FootnoteReference"/>
        </w:rPr>
        <w:footnoteRef/>
      </w:r>
      <w:r>
        <w:rPr>
          <w:rtl/>
        </w:rPr>
        <w:t xml:space="preserve"> </w:t>
      </w:r>
      <w:r w:rsidRPr="00980A82">
        <w:t>Recursive</w:t>
      </w:r>
    </w:p>
  </w:footnote>
  <w:footnote w:id="2502">
    <w:p w14:paraId="05EE9A35" w14:textId="228A5CE4" w:rsidR="00B47FF5" w:rsidRDefault="00B47FF5" w:rsidP="00537CC8">
      <w:pPr>
        <w:pStyle w:val="FootnoteText"/>
      </w:pPr>
      <w:r>
        <w:rPr>
          <w:rStyle w:val="FootnoteReference"/>
        </w:rPr>
        <w:footnoteRef/>
      </w:r>
      <w:r>
        <w:rPr>
          <w:rtl/>
        </w:rPr>
        <w:t xml:space="preserve"> </w:t>
      </w:r>
      <w:r>
        <w:t>Code</w:t>
      </w:r>
    </w:p>
  </w:footnote>
  <w:footnote w:id="2503">
    <w:p w14:paraId="2D9EA81D" w14:textId="77777777" w:rsidR="00B47FF5" w:rsidRDefault="00B47FF5" w:rsidP="00537CC8">
      <w:pPr>
        <w:pStyle w:val="FootnoteText"/>
      </w:pPr>
      <w:r>
        <w:rPr>
          <w:rStyle w:val="FootnoteReference"/>
        </w:rPr>
        <w:footnoteRef/>
      </w:r>
      <w:r>
        <w:rPr>
          <w:rtl/>
        </w:rPr>
        <w:t xml:space="preserve"> </w:t>
      </w:r>
      <w:r w:rsidRPr="00D74260">
        <w:t>Cathie Wood</w:t>
      </w:r>
    </w:p>
  </w:footnote>
  <w:footnote w:id="2504">
    <w:p w14:paraId="3AA4379A" w14:textId="77777777" w:rsidR="00B47FF5" w:rsidRDefault="00B47FF5" w:rsidP="00537CC8">
      <w:pPr>
        <w:pStyle w:val="FootnoteText"/>
      </w:pPr>
      <w:r>
        <w:rPr>
          <w:rStyle w:val="FootnoteReference"/>
        </w:rPr>
        <w:footnoteRef/>
      </w:r>
      <w:r>
        <w:rPr>
          <w:rtl/>
        </w:rPr>
        <w:t xml:space="preserve"> </w:t>
      </w:r>
      <w:r w:rsidRPr="00D74260">
        <w:t>Ark Invest</w:t>
      </w:r>
    </w:p>
  </w:footnote>
  <w:footnote w:id="2505">
    <w:p w14:paraId="48F5EB55" w14:textId="77777777" w:rsidR="00B47FF5" w:rsidRDefault="00B47FF5" w:rsidP="00537CC8">
      <w:pPr>
        <w:pStyle w:val="FootnoteText"/>
      </w:pPr>
      <w:r>
        <w:rPr>
          <w:rStyle w:val="FootnoteReference"/>
        </w:rPr>
        <w:footnoteRef/>
      </w:r>
      <w:r>
        <w:rPr>
          <w:rtl/>
        </w:rPr>
        <w:t xml:space="preserve"> </w:t>
      </w:r>
      <w:r w:rsidRPr="008C4D6E">
        <w:t>GM Cruise</w:t>
      </w:r>
    </w:p>
  </w:footnote>
  <w:footnote w:id="2506">
    <w:p w14:paraId="1D51F44C" w14:textId="77777777" w:rsidR="00B47FF5" w:rsidRDefault="00B47FF5" w:rsidP="00537CC8">
      <w:pPr>
        <w:pStyle w:val="FootnoteText"/>
      </w:pPr>
      <w:r>
        <w:rPr>
          <w:rStyle w:val="FootnoteReference"/>
        </w:rPr>
        <w:footnoteRef/>
      </w:r>
      <w:r>
        <w:rPr>
          <w:rtl/>
        </w:rPr>
        <w:t xml:space="preserve"> </w:t>
      </w:r>
      <w:r w:rsidRPr="008C4D6E">
        <w:t>Waymo</w:t>
      </w:r>
    </w:p>
  </w:footnote>
  <w:footnote w:id="2507">
    <w:p w14:paraId="6C15C7F8" w14:textId="77777777" w:rsidR="00B47FF5" w:rsidRDefault="00B47FF5" w:rsidP="00537CC8">
      <w:pPr>
        <w:pStyle w:val="FootnoteText"/>
      </w:pPr>
      <w:r>
        <w:rPr>
          <w:rStyle w:val="FootnoteReference"/>
        </w:rPr>
        <w:footnoteRef/>
      </w:r>
      <w:r>
        <w:rPr>
          <w:rtl/>
        </w:rPr>
        <w:t xml:space="preserve"> </w:t>
      </w:r>
      <w:r w:rsidRPr="008C4D6E">
        <w:t>Phoenix</w:t>
      </w:r>
    </w:p>
  </w:footnote>
  <w:footnote w:id="2508">
    <w:p w14:paraId="1AA5766C" w14:textId="77777777" w:rsidR="00B47FF5" w:rsidRDefault="00B47FF5" w:rsidP="00537CC8">
      <w:pPr>
        <w:pStyle w:val="FootnoteText"/>
      </w:pPr>
      <w:r>
        <w:rPr>
          <w:rStyle w:val="FootnoteReference"/>
        </w:rPr>
        <w:footnoteRef/>
      </w:r>
      <w:r>
        <w:rPr>
          <w:rtl/>
        </w:rPr>
        <w:t xml:space="preserve"> </w:t>
      </w:r>
      <w:r w:rsidRPr="00AA42C3">
        <w:t>AI-assisted Human Driven</w:t>
      </w:r>
    </w:p>
  </w:footnote>
  <w:footnote w:id="2509">
    <w:p w14:paraId="58BCD47D" w14:textId="77777777" w:rsidR="00B47FF5" w:rsidRDefault="00B47FF5" w:rsidP="00537CC8">
      <w:pPr>
        <w:pStyle w:val="FootnoteText"/>
      </w:pPr>
      <w:r>
        <w:rPr>
          <w:rStyle w:val="FootnoteReference"/>
        </w:rPr>
        <w:footnoteRef/>
      </w:r>
      <w:r>
        <w:rPr>
          <w:rtl/>
        </w:rPr>
        <w:t xml:space="preserve"> </w:t>
      </w:r>
      <w:r w:rsidRPr="00AA42C3">
        <w:t>Perspectives on Cross-Cultural Psychology</w:t>
      </w:r>
    </w:p>
  </w:footnote>
  <w:footnote w:id="2510">
    <w:p w14:paraId="5F30B5A5" w14:textId="77777777" w:rsidR="00B47FF5" w:rsidRDefault="00B47FF5" w:rsidP="00537CC8">
      <w:pPr>
        <w:pStyle w:val="FootnoteText"/>
      </w:pPr>
      <w:r>
        <w:rPr>
          <w:rStyle w:val="FootnoteReference"/>
        </w:rPr>
        <w:footnoteRef/>
      </w:r>
      <w:r>
        <w:rPr>
          <w:rtl/>
        </w:rPr>
        <w:t xml:space="preserve"> </w:t>
      </w:r>
      <w:r w:rsidRPr="0063646F">
        <w:t>Advancing Futures</w:t>
      </w:r>
    </w:p>
  </w:footnote>
  <w:footnote w:id="2511">
    <w:p w14:paraId="6AB56CE8" w14:textId="58ACE37D" w:rsidR="00B47FF5" w:rsidRDefault="00B47FF5" w:rsidP="00537CC8">
      <w:pPr>
        <w:pStyle w:val="FootnoteText"/>
      </w:pPr>
      <w:r>
        <w:rPr>
          <w:rStyle w:val="FootnoteReference"/>
        </w:rPr>
        <w:footnoteRef/>
      </w:r>
      <w:r>
        <w:rPr>
          <w:rtl/>
        </w:rPr>
        <w:t xml:space="preserve"> </w:t>
      </w:r>
      <w:r w:rsidRPr="00AA07F2">
        <w:t>Business as usual</w:t>
      </w:r>
    </w:p>
  </w:footnote>
  <w:footnote w:id="2512">
    <w:p w14:paraId="4D1FE4AF" w14:textId="77777777" w:rsidR="00B47FF5" w:rsidRDefault="00B47FF5" w:rsidP="00537CC8">
      <w:pPr>
        <w:pStyle w:val="FootnoteText"/>
      </w:pPr>
      <w:r>
        <w:rPr>
          <w:rStyle w:val="FootnoteReference"/>
        </w:rPr>
        <w:footnoteRef/>
      </w:r>
      <w:r>
        <w:rPr>
          <w:rtl/>
        </w:rPr>
        <w:t xml:space="preserve"> </w:t>
      </w:r>
      <w:r>
        <w:t>Superexponential</w:t>
      </w:r>
    </w:p>
  </w:footnote>
  <w:footnote w:id="2513">
    <w:p w14:paraId="5B94F6B2" w14:textId="77777777" w:rsidR="00B47FF5" w:rsidRDefault="00B47FF5" w:rsidP="00537CC8">
      <w:pPr>
        <w:pStyle w:val="FootnoteText"/>
      </w:pPr>
      <w:r>
        <w:rPr>
          <w:rStyle w:val="FootnoteReference"/>
        </w:rPr>
        <w:footnoteRef/>
      </w:r>
      <w:r>
        <w:rPr>
          <w:rtl/>
        </w:rPr>
        <w:t xml:space="preserve"> </w:t>
      </w:r>
      <w:r>
        <w:t>Three Horizons framework</w:t>
      </w:r>
    </w:p>
  </w:footnote>
  <w:footnote w:id="2514">
    <w:p w14:paraId="7CC904CB" w14:textId="77777777" w:rsidR="00B47FF5" w:rsidRDefault="00B47FF5" w:rsidP="00537CC8">
      <w:pPr>
        <w:pStyle w:val="FootnoteText"/>
      </w:pPr>
      <w:r>
        <w:rPr>
          <w:rStyle w:val="FootnoteReference"/>
        </w:rPr>
        <w:footnoteRef/>
      </w:r>
      <w:r>
        <w:rPr>
          <w:rtl/>
        </w:rPr>
        <w:t xml:space="preserve"> </w:t>
      </w:r>
      <w:r w:rsidRPr="00AB7AEA">
        <w:t>Three Horizons: The Pa</w:t>
      </w:r>
      <w:r>
        <w:t>tterning of Hope</w:t>
      </w:r>
    </w:p>
  </w:footnote>
  <w:footnote w:id="2515">
    <w:p w14:paraId="46C9E2CC" w14:textId="77777777" w:rsidR="00B47FF5" w:rsidRDefault="00B47FF5" w:rsidP="00537CC8">
      <w:pPr>
        <w:pStyle w:val="FootnoteText"/>
      </w:pPr>
      <w:r>
        <w:rPr>
          <w:rStyle w:val="FootnoteReference"/>
        </w:rPr>
        <w:footnoteRef/>
      </w:r>
      <w:r>
        <w:rPr>
          <w:rtl/>
        </w:rPr>
        <w:t xml:space="preserve"> </w:t>
      </w:r>
      <w:r w:rsidRPr="008C4D6E">
        <w:t>Bill Sharpe</w:t>
      </w:r>
    </w:p>
  </w:footnote>
  <w:footnote w:id="2516">
    <w:p w14:paraId="4A0E7A1C" w14:textId="77777777" w:rsidR="00B47FF5" w:rsidRDefault="00B47FF5" w:rsidP="00537CC8">
      <w:pPr>
        <w:pStyle w:val="FootnoteText"/>
      </w:pPr>
      <w:r>
        <w:rPr>
          <w:rStyle w:val="FootnoteReference"/>
        </w:rPr>
        <w:footnoteRef/>
      </w:r>
      <w:r>
        <w:rPr>
          <w:rtl/>
        </w:rPr>
        <w:t xml:space="preserve"> </w:t>
      </w:r>
      <w:r w:rsidRPr="008C4D6E">
        <w:t>Kate Raworth</w:t>
      </w:r>
    </w:p>
  </w:footnote>
  <w:footnote w:id="2517">
    <w:p w14:paraId="286F6162" w14:textId="77777777" w:rsidR="00B47FF5" w:rsidRDefault="00B47FF5" w:rsidP="00537CC8">
      <w:pPr>
        <w:pStyle w:val="FootnoteText"/>
      </w:pPr>
      <w:r>
        <w:rPr>
          <w:rStyle w:val="FootnoteReference"/>
        </w:rPr>
        <w:footnoteRef/>
      </w:r>
      <w:r>
        <w:rPr>
          <w:rtl/>
        </w:rPr>
        <w:t xml:space="preserve"> </w:t>
      </w:r>
      <w:r w:rsidRPr="00AB7AEA">
        <w:t>Donut Economics: A Primer on 21st Century Economics</w:t>
      </w:r>
    </w:p>
  </w:footnote>
  <w:footnote w:id="2518">
    <w:p w14:paraId="53F7C4F1" w14:textId="77777777" w:rsidR="00B47FF5" w:rsidRDefault="00B47FF5" w:rsidP="00537CC8">
      <w:pPr>
        <w:pStyle w:val="FootnoteText"/>
      </w:pPr>
      <w:r>
        <w:rPr>
          <w:rStyle w:val="FootnoteReference"/>
        </w:rPr>
        <w:footnoteRef/>
      </w:r>
      <w:r>
        <w:rPr>
          <w:rtl/>
        </w:rPr>
        <w:t xml:space="preserve"> </w:t>
      </w:r>
      <w:r>
        <w:t>Dominance</w:t>
      </w:r>
    </w:p>
  </w:footnote>
  <w:footnote w:id="2519">
    <w:p w14:paraId="634B314F" w14:textId="77777777" w:rsidR="00B47FF5" w:rsidRDefault="00B47FF5" w:rsidP="00537CC8">
      <w:pPr>
        <w:pStyle w:val="FootnoteText"/>
      </w:pPr>
      <w:r>
        <w:rPr>
          <w:rStyle w:val="FootnoteReference"/>
        </w:rPr>
        <w:footnoteRef/>
      </w:r>
      <w:r>
        <w:rPr>
          <w:rtl/>
        </w:rPr>
        <w:t xml:space="preserve"> </w:t>
      </w:r>
      <w:r>
        <w:t>Prevalence</w:t>
      </w:r>
    </w:p>
  </w:footnote>
  <w:footnote w:id="2520">
    <w:p w14:paraId="56AF82C8" w14:textId="4938DFEF" w:rsidR="00B47FF5" w:rsidRDefault="00B47FF5" w:rsidP="00537CC8">
      <w:pPr>
        <w:pStyle w:val="FootnoteText"/>
      </w:pPr>
      <w:r>
        <w:rPr>
          <w:rStyle w:val="FootnoteReference"/>
        </w:rPr>
        <w:footnoteRef/>
      </w:r>
      <w:r>
        <w:rPr>
          <w:rtl/>
        </w:rPr>
        <w:t xml:space="preserve"> </w:t>
      </w:r>
      <w:r>
        <w:t>Seeds of the future</w:t>
      </w:r>
    </w:p>
  </w:footnote>
  <w:footnote w:id="2521">
    <w:p w14:paraId="26391FC1" w14:textId="77777777" w:rsidR="00B47FF5" w:rsidRDefault="00B47FF5" w:rsidP="00537CC8">
      <w:pPr>
        <w:pStyle w:val="FootnoteText"/>
      </w:pPr>
      <w:r>
        <w:rPr>
          <w:rStyle w:val="FootnoteReference"/>
        </w:rPr>
        <w:footnoteRef/>
      </w:r>
      <w:r>
        <w:rPr>
          <w:rtl/>
        </w:rPr>
        <w:t xml:space="preserve"> </w:t>
      </w:r>
      <w:r w:rsidRPr="008C4D6E">
        <w:t>Ride Austin</w:t>
      </w:r>
    </w:p>
  </w:footnote>
  <w:footnote w:id="2522">
    <w:p w14:paraId="7883F492" w14:textId="77777777" w:rsidR="00B47FF5" w:rsidRDefault="00B47FF5" w:rsidP="00537CC8">
      <w:pPr>
        <w:pStyle w:val="FootnoteText"/>
      </w:pPr>
      <w:r>
        <w:rPr>
          <w:rStyle w:val="FootnoteReference"/>
        </w:rPr>
        <w:footnoteRef/>
      </w:r>
      <w:r>
        <w:rPr>
          <w:rtl/>
        </w:rPr>
        <w:t xml:space="preserve"> </w:t>
      </w:r>
      <w:r w:rsidRPr="008C4D6E">
        <w:t>Andy Hines</w:t>
      </w:r>
    </w:p>
  </w:footnote>
  <w:footnote w:id="2523">
    <w:p w14:paraId="794A6D7C" w14:textId="77777777" w:rsidR="00B47FF5" w:rsidRDefault="00B47FF5" w:rsidP="00537CC8">
      <w:pPr>
        <w:pStyle w:val="FootnoteText"/>
      </w:pPr>
      <w:r>
        <w:rPr>
          <w:rStyle w:val="FootnoteReference"/>
        </w:rPr>
        <w:footnoteRef/>
      </w:r>
      <w:r>
        <w:rPr>
          <w:rtl/>
        </w:rPr>
        <w:t xml:space="preserve"> </w:t>
      </w:r>
      <w:r w:rsidRPr="008C4D6E">
        <w:t>Andrew Curry and Tony Hodgson</w:t>
      </w:r>
    </w:p>
  </w:footnote>
  <w:footnote w:id="2524">
    <w:p w14:paraId="37573658" w14:textId="77777777" w:rsidR="00B47FF5" w:rsidRDefault="00B47FF5" w:rsidP="00537CC8">
      <w:pPr>
        <w:pStyle w:val="FootnoteText"/>
      </w:pPr>
      <w:r>
        <w:rPr>
          <w:rStyle w:val="FootnoteReference"/>
        </w:rPr>
        <w:footnoteRef/>
      </w:r>
      <w:r>
        <w:rPr>
          <w:rtl/>
        </w:rPr>
        <w:t xml:space="preserve"> </w:t>
      </w:r>
      <w:r w:rsidRPr="00666751">
        <w:t>Seeing in Multiple</w:t>
      </w:r>
      <w:r>
        <w:t xml:space="preserve"> </w:t>
      </w:r>
      <w:r w:rsidRPr="00666751">
        <w:t>Horizons</w:t>
      </w:r>
    </w:p>
  </w:footnote>
  <w:footnote w:id="2525">
    <w:p w14:paraId="27CC9108" w14:textId="77777777" w:rsidR="00B47FF5" w:rsidRDefault="00B47FF5" w:rsidP="00537CC8">
      <w:pPr>
        <w:pStyle w:val="FootnoteText"/>
      </w:pPr>
      <w:r>
        <w:rPr>
          <w:rStyle w:val="FootnoteReference"/>
        </w:rPr>
        <w:footnoteRef/>
      </w:r>
      <w:r>
        <w:rPr>
          <w:rtl/>
        </w:rPr>
        <w:t xml:space="preserve"> </w:t>
      </w:r>
      <w:r w:rsidRPr="002C3967">
        <w:t>Journal of Futures Studies</w:t>
      </w:r>
    </w:p>
  </w:footnote>
  <w:footnote w:id="2526">
    <w:p w14:paraId="6DE4A92F" w14:textId="77777777" w:rsidR="00B47FF5" w:rsidRDefault="00B47FF5" w:rsidP="00537CC8">
      <w:pPr>
        <w:pStyle w:val="FootnoteText"/>
      </w:pPr>
      <w:r>
        <w:rPr>
          <w:rStyle w:val="FootnoteReference"/>
        </w:rPr>
        <w:footnoteRef/>
      </w:r>
      <w:r>
        <w:rPr>
          <w:rtl/>
        </w:rPr>
        <w:t xml:space="preserve"> </w:t>
      </w:r>
      <w:r>
        <w:t>International Futures Forum</w:t>
      </w:r>
    </w:p>
  </w:footnote>
  <w:footnote w:id="2527">
    <w:p w14:paraId="783B62A3" w14:textId="11E112D8" w:rsidR="00B47FF5" w:rsidRDefault="00B47FF5" w:rsidP="00537CC8">
      <w:pPr>
        <w:pStyle w:val="FootnoteText"/>
      </w:pPr>
      <w:r>
        <w:rPr>
          <w:rStyle w:val="FootnoteReference"/>
        </w:rPr>
        <w:footnoteRef/>
      </w:r>
      <w:r>
        <w:rPr>
          <w:rtl/>
        </w:rPr>
        <w:t xml:space="preserve"> </w:t>
      </w:r>
      <w:r>
        <w:t>Hype</w:t>
      </w:r>
    </w:p>
  </w:footnote>
  <w:footnote w:id="2528">
    <w:p w14:paraId="1943FD14" w14:textId="77777777" w:rsidR="00B47FF5" w:rsidRDefault="00B47FF5" w:rsidP="00537CC8">
      <w:pPr>
        <w:pStyle w:val="FootnoteText"/>
      </w:pPr>
      <w:r>
        <w:rPr>
          <w:rStyle w:val="FootnoteReference"/>
        </w:rPr>
        <w:footnoteRef/>
      </w:r>
      <w:r>
        <w:rPr>
          <w:rtl/>
        </w:rPr>
        <w:t xml:space="preserve"> </w:t>
      </w:r>
      <w:r>
        <w:t>Transformational innovation</w:t>
      </w:r>
    </w:p>
  </w:footnote>
  <w:footnote w:id="2529">
    <w:p w14:paraId="6050B777" w14:textId="77777777" w:rsidR="00B47FF5" w:rsidRDefault="00B47FF5" w:rsidP="00537CC8">
      <w:pPr>
        <w:pStyle w:val="FootnoteText"/>
      </w:pPr>
      <w:r>
        <w:rPr>
          <w:rStyle w:val="FootnoteReference"/>
        </w:rPr>
        <w:footnoteRef/>
      </w:r>
      <w:r>
        <w:rPr>
          <w:rtl/>
        </w:rPr>
        <w:t xml:space="preserve"> </w:t>
      </w:r>
      <w:r>
        <w:t>Incremental innovation</w:t>
      </w:r>
    </w:p>
  </w:footnote>
  <w:footnote w:id="2530">
    <w:p w14:paraId="139B29D9" w14:textId="77777777" w:rsidR="00B47FF5" w:rsidRDefault="00B47FF5" w:rsidP="00537CC8">
      <w:pPr>
        <w:pStyle w:val="FootnoteText"/>
      </w:pPr>
      <w:r>
        <w:rPr>
          <w:rStyle w:val="FootnoteReference"/>
        </w:rPr>
        <w:footnoteRef/>
      </w:r>
      <w:r>
        <w:rPr>
          <w:rtl/>
        </w:rPr>
        <w:t xml:space="preserve"> </w:t>
      </w:r>
      <w:r w:rsidRPr="008C4D6E">
        <w:t>Kurt Lewin</w:t>
      </w:r>
    </w:p>
  </w:footnote>
  <w:footnote w:id="2531">
    <w:p w14:paraId="42A12699" w14:textId="77777777" w:rsidR="00B47FF5" w:rsidRDefault="00B47FF5" w:rsidP="00537CC8">
      <w:pPr>
        <w:pStyle w:val="FootnoteText"/>
      </w:pPr>
      <w:r>
        <w:rPr>
          <w:rStyle w:val="FootnoteReference"/>
        </w:rPr>
        <w:footnoteRef/>
      </w:r>
      <w:r>
        <w:rPr>
          <w:rtl/>
        </w:rPr>
        <w:t xml:space="preserve"> </w:t>
      </w:r>
      <w:r>
        <w:t>Unfreezing</w:t>
      </w:r>
    </w:p>
  </w:footnote>
  <w:footnote w:id="2532">
    <w:p w14:paraId="3B52A156" w14:textId="77777777" w:rsidR="00B47FF5" w:rsidRDefault="00B47FF5" w:rsidP="00537CC8">
      <w:pPr>
        <w:pStyle w:val="FootnoteText"/>
      </w:pPr>
      <w:r>
        <w:rPr>
          <w:rStyle w:val="FootnoteReference"/>
        </w:rPr>
        <w:footnoteRef/>
      </w:r>
      <w:r>
        <w:rPr>
          <w:rtl/>
        </w:rPr>
        <w:t xml:space="preserve"> </w:t>
      </w:r>
      <w:r>
        <w:t>Refreezing</w:t>
      </w:r>
    </w:p>
  </w:footnote>
  <w:footnote w:id="2533">
    <w:p w14:paraId="6C042D57" w14:textId="77777777" w:rsidR="00B47FF5" w:rsidRDefault="00B47FF5" w:rsidP="00537CC8">
      <w:pPr>
        <w:pStyle w:val="FootnoteText"/>
      </w:pPr>
      <w:r>
        <w:rPr>
          <w:rStyle w:val="FootnoteReference"/>
        </w:rPr>
        <w:footnoteRef/>
      </w:r>
      <w:r>
        <w:rPr>
          <w:rtl/>
        </w:rPr>
        <w:t xml:space="preserve"> </w:t>
      </w:r>
      <w:r w:rsidRPr="00DB1A4B">
        <w:t>Unfreeze</w:t>
      </w:r>
    </w:p>
  </w:footnote>
  <w:footnote w:id="2534">
    <w:p w14:paraId="774C5F48" w14:textId="35E93FB5" w:rsidR="00B47FF5" w:rsidRDefault="00B47FF5" w:rsidP="00537CC8">
      <w:pPr>
        <w:pStyle w:val="FootnoteText"/>
      </w:pPr>
      <w:r>
        <w:rPr>
          <w:rStyle w:val="FootnoteReference"/>
        </w:rPr>
        <w:footnoteRef/>
      </w:r>
      <w:r>
        <w:t xml:space="preserve"> </w:t>
      </w:r>
      <w:r w:rsidRPr="000213BB">
        <w:t>John Ko</w:t>
      </w:r>
    </w:p>
  </w:footnote>
  <w:footnote w:id="2535">
    <w:p w14:paraId="47F056F3" w14:textId="77777777" w:rsidR="00B47FF5" w:rsidRDefault="00B47FF5" w:rsidP="00537CC8">
      <w:pPr>
        <w:pStyle w:val="FootnoteText"/>
      </w:pPr>
      <w:r>
        <w:rPr>
          <w:rStyle w:val="FootnoteReference"/>
        </w:rPr>
        <w:footnoteRef/>
      </w:r>
      <w:r>
        <w:rPr>
          <w:rtl/>
        </w:rPr>
        <w:t xml:space="preserve"> </w:t>
      </w:r>
      <w:r w:rsidRPr="00310165">
        <w:t>Leading Change</w:t>
      </w:r>
    </w:p>
  </w:footnote>
  <w:footnote w:id="2536">
    <w:p w14:paraId="6A44839D" w14:textId="77777777" w:rsidR="00B47FF5" w:rsidRDefault="00B47FF5" w:rsidP="00537CC8">
      <w:pPr>
        <w:pStyle w:val="FootnoteText"/>
      </w:pPr>
      <w:r>
        <w:rPr>
          <w:rStyle w:val="FootnoteReference"/>
        </w:rPr>
        <w:footnoteRef/>
      </w:r>
      <w:r>
        <w:rPr>
          <w:rtl/>
        </w:rPr>
        <w:t xml:space="preserve"> </w:t>
      </w:r>
      <w:r w:rsidRPr="008C4D6E">
        <w:t>John Mahaffie</w:t>
      </w:r>
    </w:p>
  </w:footnote>
  <w:footnote w:id="2537">
    <w:p w14:paraId="617A07FB" w14:textId="77777777" w:rsidR="00B47FF5" w:rsidRDefault="00B47FF5" w:rsidP="00537CC8">
      <w:pPr>
        <w:pStyle w:val="FootnoteText"/>
      </w:pPr>
      <w:r>
        <w:rPr>
          <w:rStyle w:val="FootnoteReference"/>
        </w:rPr>
        <w:footnoteRef/>
      </w:r>
      <w:r>
        <w:rPr>
          <w:rtl/>
        </w:rPr>
        <w:t xml:space="preserve"> </w:t>
      </w:r>
      <w:r w:rsidRPr="008C4D6E">
        <w:t>Leading Futurists</w:t>
      </w:r>
    </w:p>
  </w:footnote>
  <w:footnote w:id="2538">
    <w:p w14:paraId="2191223E" w14:textId="77777777" w:rsidR="00B47FF5" w:rsidRDefault="00B47FF5" w:rsidP="00537CC8">
      <w:pPr>
        <w:pStyle w:val="FootnoteText"/>
      </w:pPr>
      <w:r>
        <w:rPr>
          <w:rStyle w:val="FootnoteReference"/>
        </w:rPr>
        <w:footnoteRef/>
      </w:r>
      <w:r>
        <w:rPr>
          <w:rtl/>
        </w:rPr>
        <w:t xml:space="preserve"> </w:t>
      </w:r>
      <w:r w:rsidRPr="008A37EE">
        <w:t>Future Friday</w:t>
      </w:r>
    </w:p>
  </w:footnote>
  <w:footnote w:id="2539">
    <w:p w14:paraId="57DB7A3E" w14:textId="77777777" w:rsidR="00B47FF5" w:rsidRDefault="00B47FF5" w:rsidP="00537CC8">
      <w:pPr>
        <w:pStyle w:val="FootnoteText"/>
      </w:pPr>
      <w:r>
        <w:rPr>
          <w:rStyle w:val="FootnoteReference"/>
        </w:rPr>
        <w:footnoteRef/>
      </w:r>
      <w:r>
        <w:rPr>
          <w:rtl/>
        </w:rPr>
        <w:t xml:space="preserve"> </w:t>
      </w:r>
      <w:r w:rsidRPr="00CD0D37">
        <w:t>Feelers</w:t>
      </w:r>
    </w:p>
  </w:footnote>
  <w:footnote w:id="2540">
    <w:p w14:paraId="65792911" w14:textId="77777777" w:rsidR="00B47FF5" w:rsidRDefault="00B47FF5" w:rsidP="00537CC8">
      <w:pPr>
        <w:pStyle w:val="FootnoteText"/>
      </w:pPr>
      <w:r>
        <w:rPr>
          <w:rStyle w:val="FootnoteReference"/>
        </w:rPr>
        <w:footnoteRef/>
      </w:r>
      <w:r>
        <w:rPr>
          <w:rtl/>
        </w:rPr>
        <w:t xml:space="preserve"> </w:t>
      </w:r>
      <w:r>
        <w:t>Elephant</w:t>
      </w:r>
    </w:p>
  </w:footnote>
  <w:footnote w:id="2541">
    <w:p w14:paraId="74295055" w14:textId="6C1734FF" w:rsidR="00B47FF5" w:rsidRDefault="00B47FF5" w:rsidP="00537CC8">
      <w:pPr>
        <w:pStyle w:val="FootnoteText"/>
      </w:pPr>
      <w:r>
        <w:rPr>
          <w:rStyle w:val="FootnoteReference"/>
        </w:rPr>
        <w:footnoteRef/>
      </w:r>
      <w:r>
        <w:rPr>
          <w:rtl/>
        </w:rPr>
        <w:t xml:space="preserve"> </w:t>
      </w:r>
      <w:r>
        <w:t>Sprint reading</w:t>
      </w:r>
    </w:p>
  </w:footnote>
  <w:footnote w:id="2542">
    <w:p w14:paraId="5BF599A3" w14:textId="621CBF37" w:rsidR="00B47FF5" w:rsidRDefault="00B47FF5">
      <w:pPr>
        <w:pStyle w:val="FootnoteText"/>
        <w:rPr>
          <w:rtl/>
        </w:rPr>
      </w:pPr>
      <w:r>
        <w:rPr>
          <w:rStyle w:val="FootnoteReference"/>
        </w:rPr>
        <w:footnoteRef/>
      </w:r>
      <w:r>
        <w:t xml:space="preserve"> </w:t>
      </w:r>
      <w:r w:rsidRPr="00537CC8">
        <w:t>Bins</w:t>
      </w:r>
    </w:p>
  </w:footnote>
  <w:footnote w:id="2543">
    <w:p w14:paraId="6FFBC0F1" w14:textId="559DFE6B" w:rsidR="00B47FF5" w:rsidRDefault="00B47FF5" w:rsidP="00537CC8">
      <w:pPr>
        <w:pStyle w:val="FootnoteText"/>
      </w:pPr>
      <w:r>
        <w:rPr>
          <w:rStyle w:val="FootnoteReference"/>
        </w:rPr>
        <w:footnoteRef/>
      </w:r>
      <w:r>
        <w:rPr>
          <w:rtl/>
        </w:rPr>
        <w:t xml:space="preserve"> </w:t>
      </w:r>
      <w:r w:rsidRPr="00CE42CA">
        <w:t>Steeples</w:t>
      </w:r>
    </w:p>
  </w:footnote>
  <w:footnote w:id="2544">
    <w:p w14:paraId="2825C554" w14:textId="1DEFBDDA" w:rsidR="00B47FF5" w:rsidRDefault="00B47FF5" w:rsidP="00537CC8">
      <w:pPr>
        <w:pStyle w:val="FootnoteText"/>
      </w:pPr>
      <w:r>
        <w:rPr>
          <w:rStyle w:val="FootnoteReference"/>
        </w:rPr>
        <w:footnoteRef/>
      </w:r>
      <w:r>
        <w:rPr>
          <w:rtl/>
        </w:rPr>
        <w:t xml:space="preserve"> </w:t>
      </w:r>
      <w:r w:rsidRPr="00CE42CA">
        <w:t>Steeplechase</w:t>
      </w:r>
    </w:p>
  </w:footnote>
  <w:footnote w:id="2545">
    <w:p w14:paraId="4C0FF105" w14:textId="77777777" w:rsidR="00B47FF5" w:rsidRDefault="00B47FF5" w:rsidP="00537CC8">
      <w:pPr>
        <w:pStyle w:val="FootnoteText"/>
      </w:pPr>
      <w:r>
        <w:rPr>
          <w:rStyle w:val="FootnoteReference"/>
        </w:rPr>
        <w:footnoteRef/>
      </w:r>
      <w:r>
        <w:rPr>
          <w:rtl/>
        </w:rPr>
        <w:t xml:space="preserve"> </w:t>
      </w:r>
      <w:r>
        <w:t>Top/Topical</w:t>
      </w:r>
    </w:p>
  </w:footnote>
  <w:footnote w:id="2546">
    <w:p w14:paraId="1A9E2DED" w14:textId="751963D1" w:rsidR="00B47FF5" w:rsidRDefault="00B47FF5" w:rsidP="00537CC8">
      <w:pPr>
        <w:pStyle w:val="FootnoteText"/>
      </w:pPr>
      <w:r>
        <w:rPr>
          <w:rStyle w:val="FootnoteReference"/>
        </w:rPr>
        <w:footnoteRef/>
      </w:r>
      <w:r>
        <w:rPr>
          <w:rtl/>
        </w:rPr>
        <w:t xml:space="preserve"> </w:t>
      </w:r>
      <w:r w:rsidRPr="00E954D1">
        <w:t>Diplomatic, Information, Military, Economic, Financial, Intelligence</w:t>
      </w:r>
      <w:r>
        <w:t xml:space="preserve"> and Law </w:t>
      </w:r>
      <w:r w:rsidRPr="00E954D1">
        <w:t>Enforcement</w:t>
      </w:r>
    </w:p>
  </w:footnote>
  <w:footnote w:id="2547">
    <w:p w14:paraId="4154A029" w14:textId="77777777" w:rsidR="00B47FF5" w:rsidRDefault="00B47FF5" w:rsidP="00537CC8">
      <w:pPr>
        <w:pStyle w:val="FootnoteText"/>
      </w:pPr>
      <w:r>
        <w:rPr>
          <w:rStyle w:val="FootnoteReference"/>
        </w:rPr>
        <w:footnoteRef/>
      </w:r>
      <w:r>
        <w:rPr>
          <w:rtl/>
        </w:rPr>
        <w:t xml:space="preserve"> </w:t>
      </w:r>
      <w:r w:rsidRPr="00E954D1">
        <w:t>Political, Military, Economic, Social</w:t>
      </w:r>
      <w:r>
        <w:t xml:space="preserve">, </w:t>
      </w:r>
      <w:r w:rsidRPr="00E954D1">
        <w:t>Infrastructure, Information, Physical Environment, and Time</w:t>
      </w:r>
    </w:p>
  </w:footnote>
  <w:footnote w:id="2548">
    <w:p w14:paraId="66910E2C" w14:textId="77777777" w:rsidR="00B47FF5" w:rsidRDefault="00B47FF5" w:rsidP="00537CC8">
      <w:pPr>
        <w:pStyle w:val="FootnoteText"/>
      </w:pPr>
      <w:r>
        <w:rPr>
          <w:rStyle w:val="FootnoteReference"/>
        </w:rPr>
        <w:footnoteRef/>
      </w:r>
      <w:r>
        <w:rPr>
          <w:rtl/>
        </w:rPr>
        <w:t xml:space="preserve"> </w:t>
      </w:r>
      <w:r w:rsidRPr="00A845A5">
        <w:t>Regulatory</w:t>
      </w:r>
    </w:p>
  </w:footnote>
  <w:footnote w:id="2549">
    <w:p w14:paraId="65D9A08C" w14:textId="77777777" w:rsidR="00B47FF5" w:rsidRDefault="00B47FF5" w:rsidP="00537CC8">
      <w:pPr>
        <w:pStyle w:val="FootnoteText"/>
      </w:pPr>
      <w:r>
        <w:rPr>
          <w:rStyle w:val="FootnoteReference"/>
        </w:rPr>
        <w:footnoteRef/>
      </w:r>
      <w:r>
        <w:rPr>
          <w:rtl/>
        </w:rPr>
        <w:t xml:space="preserve"> </w:t>
      </w:r>
      <w:r w:rsidRPr="00A845A5">
        <w:t>Institute for Future Development</w:t>
      </w:r>
    </w:p>
  </w:footnote>
  <w:footnote w:id="2550">
    <w:p w14:paraId="68F110A5" w14:textId="77777777" w:rsidR="00B47FF5" w:rsidRDefault="00B47FF5" w:rsidP="00537CC8">
      <w:pPr>
        <w:pStyle w:val="FootnoteText"/>
      </w:pPr>
      <w:r>
        <w:rPr>
          <w:rStyle w:val="FootnoteReference"/>
        </w:rPr>
        <w:footnoteRef/>
      </w:r>
      <w:r>
        <w:rPr>
          <w:rtl/>
        </w:rPr>
        <w:t xml:space="preserve"> </w:t>
      </w:r>
      <w:r w:rsidRPr="0002530B">
        <w:t>Chris Luebkeman</w:t>
      </w:r>
    </w:p>
  </w:footnote>
  <w:footnote w:id="2551">
    <w:p w14:paraId="03187877" w14:textId="77777777" w:rsidR="00B47FF5" w:rsidRDefault="00B47FF5" w:rsidP="00537CC8">
      <w:pPr>
        <w:pStyle w:val="FootnoteText"/>
      </w:pPr>
      <w:r>
        <w:rPr>
          <w:rStyle w:val="FootnoteReference"/>
        </w:rPr>
        <w:footnoteRef/>
      </w:r>
      <w:r>
        <w:rPr>
          <w:rtl/>
        </w:rPr>
        <w:t xml:space="preserve"> </w:t>
      </w:r>
      <w:r w:rsidRPr="0002530B">
        <w:t>Arup</w:t>
      </w:r>
    </w:p>
  </w:footnote>
  <w:footnote w:id="2552">
    <w:p w14:paraId="5CD21DA2" w14:textId="77777777" w:rsidR="00B47FF5" w:rsidRDefault="00B47FF5" w:rsidP="00537CC8">
      <w:pPr>
        <w:pStyle w:val="FootnoteText"/>
      </w:pPr>
      <w:r>
        <w:rPr>
          <w:rStyle w:val="FootnoteReference"/>
        </w:rPr>
        <w:footnoteRef/>
      </w:r>
      <w:r>
        <w:rPr>
          <w:rtl/>
        </w:rPr>
        <w:t xml:space="preserve"> </w:t>
      </w:r>
      <w:r w:rsidRPr="0002530B">
        <w:t>Prestel</w:t>
      </w:r>
    </w:p>
  </w:footnote>
  <w:footnote w:id="2553">
    <w:p w14:paraId="03C7B6BC" w14:textId="17F6246A" w:rsidR="00B47FF5" w:rsidRDefault="00B47FF5" w:rsidP="00537CC8">
      <w:pPr>
        <w:pStyle w:val="FootnoteText"/>
      </w:pPr>
      <w:r>
        <w:rPr>
          <w:rStyle w:val="FootnoteReference"/>
        </w:rPr>
        <w:footnoteRef/>
      </w:r>
      <w:r>
        <w:rPr>
          <w:rtl/>
        </w:rPr>
        <w:t xml:space="preserve"> </w:t>
      </w:r>
      <w:r>
        <w:t>Future discussion games</w:t>
      </w:r>
    </w:p>
  </w:footnote>
  <w:footnote w:id="2554">
    <w:p w14:paraId="1FB9FD7A" w14:textId="77777777" w:rsidR="00B47FF5" w:rsidRDefault="00B47FF5" w:rsidP="00537CC8">
      <w:pPr>
        <w:pStyle w:val="FootnoteText"/>
      </w:pPr>
      <w:r>
        <w:rPr>
          <w:rStyle w:val="FootnoteReference"/>
        </w:rPr>
        <w:footnoteRef/>
      </w:r>
      <w:r>
        <w:rPr>
          <w:rtl/>
        </w:rPr>
        <w:t xml:space="preserve"> </w:t>
      </w:r>
      <w:r w:rsidRPr="00DF0A59">
        <w:t>The Thing From</w:t>
      </w:r>
      <w:r>
        <w:t xml:space="preserve"> </w:t>
      </w:r>
      <w:r w:rsidRPr="00DF0A59">
        <w:t>the Future</w:t>
      </w:r>
    </w:p>
  </w:footnote>
  <w:footnote w:id="2555">
    <w:p w14:paraId="3D3DE71F" w14:textId="7637A371" w:rsidR="00B47FF5" w:rsidRDefault="00B47FF5" w:rsidP="00537CC8">
      <w:pPr>
        <w:pStyle w:val="FootnoteText"/>
      </w:pPr>
      <w:r>
        <w:rPr>
          <w:rStyle w:val="FootnoteReference"/>
        </w:rPr>
        <w:footnoteRef/>
      </w:r>
      <w:r>
        <w:rPr>
          <w:rtl/>
        </w:rPr>
        <w:t xml:space="preserve"> </w:t>
      </w:r>
      <w:r w:rsidRPr="0002530B">
        <w:t>Stuart Candy and James Watson</w:t>
      </w:r>
    </w:p>
  </w:footnote>
  <w:footnote w:id="2556">
    <w:p w14:paraId="0AD853C7" w14:textId="4531CDF2" w:rsidR="00B47FF5" w:rsidRDefault="00B47FF5" w:rsidP="00537CC8">
      <w:pPr>
        <w:pStyle w:val="FootnoteText"/>
      </w:pPr>
      <w:r>
        <w:rPr>
          <w:rStyle w:val="FootnoteReference"/>
        </w:rPr>
        <w:footnoteRef/>
      </w:r>
      <w:r>
        <w:rPr>
          <w:rtl/>
        </w:rPr>
        <w:t xml:space="preserve"> </w:t>
      </w:r>
      <w:r>
        <w:t>Mass surveillance</w:t>
      </w:r>
    </w:p>
  </w:footnote>
  <w:footnote w:id="2557">
    <w:p w14:paraId="28129FA8" w14:textId="77777777" w:rsidR="00B47FF5" w:rsidRDefault="00B47FF5" w:rsidP="00537CC8">
      <w:pPr>
        <w:pStyle w:val="FootnoteText"/>
      </w:pPr>
      <w:r>
        <w:rPr>
          <w:rStyle w:val="FootnoteReference"/>
        </w:rPr>
        <w:footnoteRef/>
      </w:r>
      <w:r>
        <w:rPr>
          <w:rtl/>
        </w:rPr>
        <w:t xml:space="preserve"> </w:t>
      </w:r>
      <w:r>
        <w:t>Sprint-Recovery Reading</w:t>
      </w:r>
    </w:p>
  </w:footnote>
  <w:footnote w:id="2558">
    <w:p w14:paraId="6D83C9DE" w14:textId="77777777" w:rsidR="00B47FF5" w:rsidRDefault="00B47FF5" w:rsidP="00537CC8">
      <w:pPr>
        <w:pStyle w:val="FootnoteText"/>
      </w:pPr>
      <w:r>
        <w:rPr>
          <w:rStyle w:val="FootnoteReference"/>
        </w:rPr>
        <w:footnoteRef/>
      </w:r>
      <w:r>
        <w:rPr>
          <w:rtl/>
        </w:rPr>
        <w:t xml:space="preserve"> </w:t>
      </w:r>
      <w:r>
        <w:t>Interval Reading</w:t>
      </w:r>
    </w:p>
  </w:footnote>
  <w:footnote w:id="2559">
    <w:p w14:paraId="73E441AE" w14:textId="52E48EB9" w:rsidR="00B47FF5" w:rsidRDefault="00B47FF5" w:rsidP="00537CC8">
      <w:pPr>
        <w:pStyle w:val="FootnoteText"/>
      </w:pPr>
      <w:r>
        <w:rPr>
          <w:rStyle w:val="FootnoteReference"/>
        </w:rPr>
        <w:footnoteRef/>
      </w:r>
      <w:r>
        <w:rPr>
          <w:rtl/>
        </w:rPr>
        <w:t xml:space="preserve"> </w:t>
      </w:r>
      <w:r w:rsidRPr="002449A7">
        <w:t>Annotation</w:t>
      </w:r>
    </w:p>
  </w:footnote>
  <w:footnote w:id="2560">
    <w:p w14:paraId="16B8B01E" w14:textId="77777777" w:rsidR="00B47FF5" w:rsidRDefault="00B47FF5" w:rsidP="00537CC8">
      <w:pPr>
        <w:pStyle w:val="FootnoteText"/>
      </w:pPr>
      <w:r>
        <w:rPr>
          <w:rStyle w:val="FootnoteReference"/>
        </w:rPr>
        <w:footnoteRef/>
      </w:r>
      <w:r>
        <w:rPr>
          <w:rtl/>
        </w:rPr>
        <w:t xml:space="preserve"> </w:t>
      </w:r>
      <w:r>
        <w:t>High-Intensity Interval Training</w:t>
      </w:r>
    </w:p>
  </w:footnote>
  <w:footnote w:id="2561">
    <w:p w14:paraId="464924C6" w14:textId="43B399D9" w:rsidR="00B47FF5" w:rsidRDefault="00B47FF5" w:rsidP="00537CC8">
      <w:pPr>
        <w:pStyle w:val="FootnoteText"/>
      </w:pPr>
      <w:r>
        <w:rPr>
          <w:rStyle w:val="FootnoteReference"/>
        </w:rPr>
        <w:footnoteRef/>
      </w:r>
      <w:r>
        <w:rPr>
          <w:rtl/>
        </w:rPr>
        <w:t xml:space="preserve"> </w:t>
      </w:r>
      <w:r>
        <w:t>Fluid</w:t>
      </w:r>
    </w:p>
  </w:footnote>
  <w:footnote w:id="2562">
    <w:p w14:paraId="7F148A68" w14:textId="77777777" w:rsidR="00B47FF5" w:rsidRDefault="00B47FF5" w:rsidP="00537CC8">
      <w:pPr>
        <w:pStyle w:val="FootnoteText"/>
      </w:pPr>
      <w:r>
        <w:rPr>
          <w:rStyle w:val="FootnoteReference"/>
        </w:rPr>
        <w:footnoteRef/>
      </w:r>
      <w:r>
        <w:rPr>
          <w:rtl/>
        </w:rPr>
        <w:t xml:space="preserve"> </w:t>
      </w:r>
      <w:r>
        <w:t>Garbage In</w:t>
      </w:r>
    </w:p>
  </w:footnote>
  <w:footnote w:id="2563">
    <w:p w14:paraId="520EA6C0" w14:textId="77777777" w:rsidR="00B47FF5" w:rsidRDefault="00B47FF5" w:rsidP="00537CC8">
      <w:pPr>
        <w:pStyle w:val="FootnoteText"/>
      </w:pPr>
      <w:r>
        <w:rPr>
          <w:rStyle w:val="FootnoteReference"/>
        </w:rPr>
        <w:footnoteRef/>
      </w:r>
      <w:r>
        <w:rPr>
          <w:rtl/>
        </w:rPr>
        <w:t xml:space="preserve"> </w:t>
      </w:r>
      <w:r>
        <w:t>Garbage Out</w:t>
      </w:r>
    </w:p>
  </w:footnote>
  <w:footnote w:id="2564">
    <w:p w14:paraId="171FEE0B" w14:textId="77777777" w:rsidR="00B47FF5" w:rsidRDefault="00B47FF5" w:rsidP="00537CC8">
      <w:pPr>
        <w:pStyle w:val="FootnoteText"/>
      </w:pPr>
      <w:r>
        <w:rPr>
          <w:rStyle w:val="FootnoteReference"/>
        </w:rPr>
        <w:footnoteRef/>
      </w:r>
      <w:r>
        <w:rPr>
          <w:rtl/>
        </w:rPr>
        <w:t xml:space="preserve"> </w:t>
      </w:r>
      <w:r>
        <w:t>Great Inputs</w:t>
      </w:r>
    </w:p>
  </w:footnote>
  <w:footnote w:id="2565">
    <w:p w14:paraId="3EFBCAC0" w14:textId="77777777" w:rsidR="00B47FF5" w:rsidRDefault="00B47FF5" w:rsidP="00537CC8">
      <w:pPr>
        <w:pStyle w:val="FootnoteText"/>
      </w:pPr>
      <w:r>
        <w:rPr>
          <w:rStyle w:val="FootnoteReference"/>
        </w:rPr>
        <w:footnoteRef/>
      </w:r>
      <w:r>
        <w:rPr>
          <w:rtl/>
        </w:rPr>
        <w:t xml:space="preserve"> </w:t>
      </w:r>
      <w:r>
        <w:t>Great Outputs</w:t>
      </w:r>
    </w:p>
  </w:footnote>
  <w:footnote w:id="2566">
    <w:p w14:paraId="5C9E0EC6" w14:textId="1FA1A73C" w:rsidR="00B47FF5" w:rsidRDefault="00B47FF5" w:rsidP="00537CC8">
      <w:pPr>
        <w:pStyle w:val="FootnoteText"/>
      </w:pPr>
      <w:r>
        <w:rPr>
          <w:rStyle w:val="FootnoteReference"/>
        </w:rPr>
        <w:footnoteRef/>
      </w:r>
      <w:r>
        <w:rPr>
          <w:rtl/>
        </w:rPr>
        <w:t xml:space="preserve"> </w:t>
      </w:r>
      <w:r>
        <w:t>Hippocampus</w:t>
      </w:r>
    </w:p>
  </w:footnote>
  <w:footnote w:id="2567">
    <w:p w14:paraId="3E7C3671" w14:textId="24BF4CD3" w:rsidR="00B47FF5" w:rsidRDefault="00B47FF5">
      <w:pPr>
        <w:pStyle w:val="FootnoteText"/>
        <w:rPr>
          <w:rtl/>
        </w:rPr>
      </w:pPr>
      <w:r>
        <w:rPr>
          <w:rStyle w:val="FootnoteReference"/>
        </w:rPr>
        <w:footnoteRef/>
      </w:r>
      <w:r>
        <w:t xml:space="preserve"> </w:t>
      </w:r>
      <w:r w:rsidRPr="0030078C">
        <w:t>Streak</w:t>
      </w:r>
    </w:p>
  </w:footnote>
  <w:footnote w:id="2568">
    <w:p w14:paraId="36A9B8C4" w14:textId="77777777" w:rsidR="00B47FF5" w:rsidRDefault="00B47FF5" w:rsidP="00537CC8">
      <w:pPr>
        <w:pStyle w:val="FootnoteText"/>
      </w:pPr>
      <w:r>
        <w:rPr>
          <w:rStyle w:val="FootnoteReference"/>
        </w:rPr>
        <w:footnoteRef/>
      </w:r>
      <w:r>
        <w:rPr>
          <w:rtl/>
        </w:rPr>
        <w:t xml:space="preserve"> </w:t>
      </w:r>
      <w:r>
        <w:t>Skim</w:t>
      </w:r>
    </w:p>
  </w:footnote>
  <w:footnote w:id="2569">
    <w:p w14:paraId="28221431" w14:textId="77777777" w:rsidR="00B47FF5" w:rsidRDefault="00B47FF5" w:rsidP="00537CC8">
      <w:pPr>
        <w:pStyle w:val="FootnoteText"/>
      </w:pPr>
      <w:r>
        <w:rPr>
          <w:rStyle w:val="FootnoteReference"/>
        </w:rPr>
        <w:footnoteRef/>
      </w:r>
      <w:r>
        <w:rPr>
          <w:rtl/>
        </w:rPr>
        <w:t xml:space="preserve"> </w:t>
      </w:r>
      <w:r w:rsidRPr="00C74CBE">
        <w:t>Scan, Choose, Skim, Read</w:t>
      </w:r>
    </w:p>
  </w:footnote>
  <w:footnote w:id="2570">
    <w:p w14:paraId="3E6D5F3D" w14:textId="77777777" w:rsidR="00B47FF5" w:rsidRDefault="00B47FF5" w:rsidP="00537CC8">
      <w:pPr>
        <w:pStyle w:val="FootnoteText"/>
      </w:pPr>
      <w:r>
        <w:rPr>
          <w:rStyle w:val="FootnoteReference"/>
        </w:rPr>
        <w:footnoteRef/>
      </w:r>
      <w:r>
        <w:rPr>
          <w:rtl/>
        </w:rPr>
        <w:t xml:space="preserve"> </w:t>
      </w:r>
      <w:r>
        <w:t>Do</w:t>
      </w:r>
    </w:p>
  </w:footnote>
  <w:footnote w:id="2571">
    <w:p w14:paraId="04EB6CEC" w14:textId="77777777" w:rsidR="00B47FF5" w:rsidRDefault="00B47FF5" w:rsidP="00537CC8">
      <w:pPr>
        <w:pStyle w:val="FootnoteText"/>
      </w:pPr>
      <w:r>
        <w:rPr>
          <w:rStyle w:val="FootnoteReference"/>
        </w:rPr>
        <w:footnoteRef/>
      </w:r>
      <w:r>
        <w:rPr>
          <w:rtl/>
        </w:rPr>
        <w:t xml:space="preserve"> </w:t>
      </w:r>
      <w:r>
        <w:t>Review</w:t>
      </w:r>
    </w:p>
  </w:footnote>
  <w:footnote w:id="2572">
    <w:p w14:paraId="56BE5155" w14:textId="77777777" w:rsidR="00B47FF5" w:rsidRDefault="00B47FF5" w:rsidP="00537CC8">
      <w:pPr>
        <w:pStyle w:val="FootnoteText"/>
      </w:pPr>
      <w:r>
        <w:rPr>
          <w:rStyle w:val="FootnoteReference"/>
        </w:rPr>
        <w:footnoteRef/>
      </w:r>
      <w:r>
        <w:rPr>
          <w:rtl/>
        </w:rPr>
        <w:t xml:space="preserve"> </w:t>
      </w:r>
      <w:r w:rsidRPr="00537E92">
        <w:t>Organizations</w:t>
      </w:r>
    </w:p>
  </w:footnote>
  <w:footnote w:id="2573">
    <w:p w14:paraId="5E42FB2D" w14:textId="77777777" w:rsidR="00B47FF5" w:rsidRDefault="00B47FF5" w:rsidP="00537CC8">
      <w:pPr>
        <w:pStyle w:val="FootnoteText"/>
      </w:pPr>
      <w:r>
        <w:rPr>
          <w:rStyle w:val="FootnoteReference"/>
        </w:rPr>
        <w:footnoteRef/>
      </w:r>
      <w:r>
        <w:rPr>
          <w:rtl/>
        </w:rPr>
        <w:t xml:space="preserve"> </w:t>
      </w:r>
      <w:r w:rsidRPr="00537E92">
        <w:t>People</w:t>
      </w:r>
    </w:p>
  </w:footnote>
  <w:footnote w:id="2574">
    <w:p w14:paraId="4AAACA42" w14:textId="7C1BE454" w:rsidR="00B47FF5" w:rsidRDefault="00B47FF5" w:rsidP="00537CC8">
      <w:pPr>
        <w:pStyle w:val="FootnoteText"/>
      </w:pPr>
      <w:r>
        <w:rPr>
          <w:rStyle w:val="FootnoteReference"/>
        </w:rPr>
        <w:footnoteRef/>
      </w:r>
      <w:r>
        <w:t xml:space="preserve"> </w:t>
      </w:r>
      <w:r w:rsidRPr="000213BB">
        <w:t>Evidence</w:t>
      </w:r>
    </w:p>
  </w:footnote>
  <w:footnote w:id="2575">
    <w:p w14:paraId="151E28CF" w14:textId="77777777" w:rsidR="00B47FF5" w:rsidRDefault="00B47FF5" w:rsidP="00537CC8">
      <w:pPr>
        <w:pStyle w:val="FootnoteText"/>
      </w:pPr>
      <w:r>
        <w:rPr>
          <w:rStyle w:val="FootnoteReference"/>
        </w:rPr>
        <w:footnoteRef/>
      </w:r>
      <w:r>
        <w:rPr>
          <w:rtl/>
        </w:rPr>
        <w:t xml:space="preserve"> </w:t>
      </w:r>
      <w:r w:rsidRPr="00537E92">
        <w:t>Claims</w:t>
      </w:r>
    </w:p>
  </w:footnote>
  <w:footnote w:id="2576">
    <w:p w14:paraId="41105714" w14:textId="77777777" w:rsidR="00B47FF5" w:rsidRDefault="00B47FF5" w:rsidP="00537CC8">
      <w:pPr>
        <w:pStyle w:val="FootnoteText"/>
      </w:pPr>
      <w:r>
        <w:rPr>
          <w:rStyle w:val="FootnoteReference"/>
        </w:rPr>
        <w:footnoteRef/>
      </w:r>
      <w:r>
        <w:rPr>
          <w:rtl/>
        </w:rPr>
        <w:t xml:space="preserve"> </w:t>
      </w:r>
      <w:r w:rsidRPr="00537E92">
        <w:t>Questions</w:t>
      </w:r>
    </w:p>
  </w:footnote>
  <w:footnote w:id="2577">
    <w:p w14:paraId="2AE977DA" w14:textId="77777777" w:rsidR="00B47FF5" w:rsidRDefault="00B47FF5" w:rsidP="00537CC8">
      <w:pPr>
        <w:pStyle w:val="FootnoteText"/>
      </w:pPr>
      <w:r>
        <w:rPr>
          <w:rStyle w:val="FootnoteReference"/>
        </w:rPr>
        <w:footnoteRef/>
      </w:r>
      <w:r>
        <w:rPr>
          <w:rtl/>
        </w:rPr>
        <w:t xml:space="preserve"> </w:t>
      </w:r>
      <w:r w:rsidRPr="00435135">
        <w:t>Technocratic</w:t>
      </w:r>
    </w:p>
  </w:footnote>
  <w:footnote w:id="2578">
    <w:p w14:paraId="59A7BB03" w14:textId="743BAE84" w:rsidR="00B47FF5" w:rsidRDefault="00B47FF5" w:rsidP="00537CC8">
      <w:pPr>
        <w:pStyle w:val="FootnoteText"/>
      </w:pPr>
      <w:r>
        <w:rPr>
          <w:rStyle w:val="FootnoteReference"/>
        </w:rPr>
        <w:footnoteRef/>
      </w:r>
      <w:r>
        <w:rPr>
          <w:rtl/>
        </w:rPr>
        <w:t xml:space="preserve"> </w:t>
      </w:r>
      <w:r w:rsidRPr="00435135">
        <w:t>Developmentalists</w:t>
      </w:r>
    </w:p>
  </w:footnote>
  <w:footnote w:id="2579">
    <w:p w14:paraId="12BE539C" w14:textId="77777777" w:rsidR="00B47FF5" w:rsidRDefault="00B47FF5" w:rsidP="00537CC8">
      <w:pPr>
        <w:pStyle w:val="FootnoteText"/>
      </w:pPr>
      <w:r>
        <w:rPr>
          <w:rStyle w:val="FootnoteReference"/>
        </w:rPr>
        <w:footnoteRef/>
      </w:r>
      <w:r>
        <w:rPr>
          <w:rtl/>
        </w:rPr>
        <w:t xml:space="preserve"> </w:t>
      </w:r>
      <w:r>
        <w:t>Associations</w:t>
      </w:r>
    </w:p>
  </w:footnote>
  <w:footnote w:id="2580">
    <w:p w14:paraId="2A9A4244" w14:textId="75BE3024" w:rsidR="00B47FF5" w:rsidRDefault="00B47FF5" w:rsidP="00537CC8">
      <w:pPr>
        <w:pStyle w:val="FootnoteText"/>
      </w:pPr>
      <w:r>
        <w:rPr>
          <w:rStyle w:val="FootnoteReference"/>
        </w:rPr>
        <w:footnoteRef/>
      </w:r>
      <w:r>
        <w:rPr>
          <w:rtl/>
        </w:rPr>
        <w:t xml:space="preserve"> </w:t>
      </w:r>
      <w:r>
        <w:t>Bends</w:t>
      </w:r>
    </w:p>
  </w:footnote>
  <w:footnote w:id="2581">
    <w:p w14:paraId="7AED0630" w14:textId="558B33DE" w:rsidR="00B47FF5" w:rsidRDefault="00B47FF5" w:rsidP="00537CC8">
      <w:pPr>
        <w:pStyle w:val="FootnoteText"/>
      </w:pPr>
      <w:r>
        <w:rPr>
          <w:rStyle w:val="FootnoteReference"/>
        </w:rPr>
        <w:footnoteRef/>
      </w:r>
      <w:r>
        <w:rPr>
          <w:rtl/>
        </w:rPr>
        <w:t xml:space="preserve"> </w:t>
      </w:r>
      <w:r w:rsidRPr="0098240D">
        <w:t>Nodes</w:t>
      </w:r>
    </w:p>
  </w:footnote>
  <w:footnote w:id="2582">
    <w:p w14:paraId="72135752" w14:textId="77777777" w:rsidR="00B47FF5" w:rsidRDefault="00B47FF5" w:rsidP="00537CC8">
      <w:pPr>
        <w:pStyle w:val="FootnoteText"/>
      </w:pPr>
      <w:r>
        <w:rPr>
          <w:rStyle w:val="FootnoteReference"/>
        </w:rPr>
        <w:footnoteRef/>
      </w:r>
      <w:r>
        <w:rPr>
          <w:rtl/>
        </w:rPr>
        <w:t xml:space="preserve"> </w:t>
      </w:r>
      <w:r w:rsidRPr="00AB3E2E">
        <w:t>Moor</w:t>
      </w:r>
    </w:p>
  </w:footnote>
  <w:footnote w:id="2583">
    <w:p w14:paraId="6B09D69A" w14:textId="77777777" w:rsidR="00B47FF5" w:rsidRDefault="00B47FF5" w:rsidP="00537CC8">
      <w:pPr>
        <w:pStyle w:val="FootnoteText"/>
      </w:pPr>
      <w:r>
        <w:rPr>
          <w:rStyle w:val="FootnoteReference"/>
        </w:rPr>
        <w:footnoteRef/>
      </w:r>
      <w:r>
        <w:rPr>
          <w:rtl/>
        </w:rPr>
        <w:t xml:space="preserve"> </w:t>
      </w:r>
      <w:r w:rsidRPr="00AB3E2E">
        <w:t>Daniel Burrus</w:t>
      </w:r>
    </w:p>
  </w:footnote>
  <w:footnote w:id="2584">
    <w:p w14:paraId="737ACED9" w14:textId="77777777" w:rsidR="00B47FF5" w:rsidRDefault="00B47FF5" w:rsidP="00537CC8">
      <w:pPr>
        <w:pStyle w:val="FootnoteText"/>
      </w:pPr>
      <w:r>
        <w:rPr>
          <w:rStyle w:val="FootnoteReference"/>
        </w:rPr>
        <w:footnoteRef/>
      </w:r>
      <w:r>
        <w:rPr>
          <w:rtl/>
        </w:rPr>
        <w:t xml:space="preserve"> </w:t>
      </w:r>
      <w:r w:rsidRPr="0098240D">
        <w:t>Flash Foresight</w:t>
      </w:r>
    </w:p>
  </w:footnote>
  <w:footnote w:id="2585">
    <w:p w14:paraId="495E533E" w14:textId="516005E6" w:rsidR="00B47FF5" w:rsidRDefault="00B47FF5" w:rsidP="00537CC8">
      <w:pPr>
        <w:pStyle w:val="FootnoteText"/>
      </w:pPr>
      <w:r>
        <w:rPr>
          <w:rStyle w:val="FootnoteReference"/>
        </w:rPr>
        <w:footnoteRef/>
      </w:r>
      <w:r>
        <w:rPr>
          <w:rtl/>
        </w:rPr>
        <w:t xml:space="preserve"> </w:t>
      </w:r>
      <w:r w:rsidRPr="0098240D">
        <w:t>Future facts</w:t>
      </w:r>
    </w:p>
  </w:footnote>
  <w:footnote w:id="2586">
    <w:p w14:paraId="42AC4777" w14:textId="03D4B4F6" w:rsidR="00B47FF5" w:rsidRDefault="00B47FF5" w:rsidP="00537CC8">
      <w:pPr>
        <w:pStyle w:val="FootnoteText"/>
      </w:pPr>
      <w:r>
        <w:rPr>
          <w:rStyle w:val="FootnoteReference"/>
        </w:rPr>
        <w:footnoteRef/>
      </w:r>
      <w:r>
        <w:rPr>
          <w:rtl/>
        </w:rPr>
        <w:t xml:space="preserve"> </w:t>
      </w:r>
      <w:r w:rsidRPr="0098240D">
        <w:t>Let’s make hay while the sun shines</w:t>
      </w:r>
    </w:p>
  </w:footnote>
  <w:footnote w:id="2587">
    <w:p w14:paraId="663E872E" w14:textId="3125B51B" w:rsidR="00B47FF5" w:rsidRDefault="00B47FF5" w:rsidP="00537CC8">
      <w:pPr>
        <w:pStyle w:val="FootnoteText"/>
      </w:pPr>
      <w:r>
        <w:rPr>
          <w:rStyle w:val="FootnoteReference"/>
        </w:rPr>
        <w:footnoteRef/>
      </w:r>
      <w:r>
        <w:rPr>
          <w:rtl/>
        </w:rPr>
        <w:t xml:space="preserve"> </w:t>
      </w:r>
      <w:r>
        <w:t>Red giant</w:t>
      </w:r>
    </w:p>
  </w:footnote>
  <w:footnote w:id="2588">
    <w:p w14:paraId="07D4DF95" w14:textId="65F3F47B" w:rsidR="00B47FF5" w:rsidRDefault="00B47FF5" w:rsidP="00537CC8">
      <w:pPr>
        <w:pStyle w:val="FootnoteText"/>
      </w:pPr>
      <w:r>
        <w:rPr>
          <w:rStyle w:val="FootnoteReference"/>
        </w:rPr>
        <w:footnoteRef/>
      </w:r>
      <w:r>
        <w:rPr>
          <w:rtl/>
        </w:rPr>
        <w:t xml:space="preserve"> </w:t>
      </w:r>
      <w:r>
        <w:t>Will</w:t>
      </w:r>
    </w:p>
  </w:footnote>
  <w:footnote w:id="2589">
    <w:p w14:paraId="0C9211E0" w14:textId="5151FA85" w:rsidR="00B47FF5" w:rsidRDefault="00B47FF5" w:rsidP="00537CC8">
      <w:pPr>
        <w:pStyle w:val="FootnoteText"/>
      </w:pPr>
      <w:r>
        <w:rPr>
          <w:rStyle w:val="FootnoteReference"/>
        </w:rPr>
        <w:footnoteRef/>
      </w:r>
      <w:r>
        <w:rPr>
          <w:rtl/>
        </w:rPr>
        <w:t xml:space="preserve"> </w:t>
      </w:r>
      <w:r>
        <w:t>Might</w:t>
      </w:r>
    </w:p>
  </w:footnote>
  <w:footnote w:id="2590">
    <w:p w14:paraId="5AC4816F" w14:textId="380B08AC" w:rsidR="00B47FF5" w:rsidRDefault="00B47FF5" w:rsidP="00537CC8">
      <w:pPr>
        <w:pStyle w:val="FootnoteText"/>
      </w:pPr>
      <w:r>
        <w:rPr>
          <w:rStyle w:val="FootnoteReference"/>
        </w:rPr>
        <w:footnoteRef/>
      </w:r>
      <w:r>
        <w:rPr>
          <w:rtl/>
        </w:rPr>
        <w:t xml:space="preserve"> </w:t>
      </w:r>
      <w:r>
        <w:t>Original equipment manufacturers</w:t>
      </w:r>
    </w:p>
  </w:footnote>
  <w:footnote w:id="2591">
    <w:p w14:paraId="3FA66EF8" w14:textId="4DC3D43E" w:rsidR="00B47FF5" w:rsidRDefault="00B47FF5" w:rsidP="00537CC8">
      <w:pPr>
        <w:pStyle w:val="FootnoteText"/>
      </w:pPr>
      <w:r>
        <w:rPr>
          <w:rStyle w:val="FootnoteReference"/>
        </w:rPr>
        <w:footnoteRef/>
      </w:r>
      <w:r>
        <w:rPr>
          <w:rtl/>
        </w:rPr>
        <w:t xml:space="preserve"> </w:t>
      </w:r>
      <w:r w:rsidRPr="00500796">
        <w:t>Neuromorphic</w:t>
      </w:r>
    </w:p>
  </w:footnote>
  <w:footnote w:id="2592">
    <w:p w14:paraId="6EFBEC4B" w14:textId="0B0AFAB8" w:rsidR="00B47FF5" w:rsidRDefault="00B47FF5" w:rsidP="00537CC8">
      <w:pPr>
        <w:pStyle w:val="FootnoteText"/>
      </w:pPr>
      <w:r>
        <w:rPr>
          <w:rStyle w:val="FootnoteReference"/>
        </w:rPr>
        <w:footnoteRef/>
      </w:r>
      <w:r>
        <w:rPr>
          <w:rtl/>
        </w:rPr>
        <w:t xml:space="preserve"> </w:t>
      </w:r>
      <w:r w:rsidRPr="00500796">
        <w:t>Path Dependencies</w:t>
      </w:r>
    </w:p>
  </w:footnote>
  <w:footnote w:id="2593">
    <w:p w14:paraId="51A4EF08" w14:textId="3DD36488" w:rsidR="00B47FF5" w:rsidRDefault="00B47FF5" w:rsidP="00537CC8">
      <w:pPr>
        <w:pStyle w:val="FootnoteText"/>
      </w:pPr>
      <w:r>
        <w:rPr>
          <w:rStyle w:val="FootnoteReference"/>
        </w:rPr>
        <w:footnoteRef/>
      </w:r>
      <w:r>
        <w:rPr>
          <w:rtl/>
        </w:rPr>
        <w:t xml:space="preserve"> </w:t>
      </w:r>
      <w:r w:rsidRPr="00500796">
        <w:t>Sunk Costs</w:t>
      </w:r>
    </w:p>
  </w:footnote>
  <w:footnote w:id="2594">
    <w:p w14:paraId="3F72F46D" w14:textId="77777777" w:rsidR="00B47FF5" w:rsidRDefault="00B47FF5" w:rsidP="00537CC8">
      <w:pPr>
        <w:pStyle w:val="FootnoteText"/>
      </w:pPr>
      <w:r>
        <w:rPr>
          <w:rStyle w:val="FootnoteReference"/>
        </w:rPr>
        <w:footnoteRef/>
      </w:r>
      <w:r>
        <w:rPr>
          <w:rtl/>
        </w:rPr>
        <w:t xml:space="preserve"> </w:t>
      </w:r>
      <w:r w:rsidRPr="00500796">
        <w:t>Modularity</w:t>
      </w:r>
    </w:p>
  </w:footnote>
  <w:footnote w:id="2595">
    <w:p w14:paraId="3817D05E" w14:textId="1DAF6A70" w:rsidR="00B47FF5" w:rsidRDefault="00B47FF5" w:rsidP="00537CC8">
      <w:pPr>
        <w:pStyle w:val="FootnoteText"/>
      </w:pPr>
      <w:r>
        <w:rPr>
          <w:rStyle w:val="FootnoteReference"/>
        </w:rPr>
        <w:footnoteRef/>
      </w:r>
      <w:r>
        <w:rPr>
          <w:rtl/>
        </w:rPr>
        <w:t xml:space="preserve"> </w:t>
      </w:r>
      <w:r>
        <w:t>Autopoetic</w:t>
      </w:r>
    </w:p>
  </w:footnote>
  <w:footnote w:id="2596">
    <w:p w14:paraId="04A166AA" w14:textId="77777777" w:rsidR="00B47FF5" w:rsidRDefault="00B47FF5" w:rsidP="00537CC8">
      <w:pPr>
        <w:pStyle w:val="FootnoteText"/>
      </w:pPr>
      <w:r>
        <w:rPr>
          <w:rStyle w:val="FootnoteReference"/>
        </w:rPr>
        <w:footnoteRef/>
      </w:r>
      <w:r>
        <w:rPr>
          <w:rtl/>
        </w:rPr>
        <w:t xml:space="preserve"> </w:t>
      </w:r>
      <w:r>
        <w:t>Lock-in</w:t>
      </w:r>
    </w:p>
  </w:footnote>
  <w:footnote w:id="2597">
    <w:p w14:paraId="3EEC4A4B" w14:textId="77777777" w:rsidR="00B47FF5" w:rsidRDefault="00B47FF5" w:rsidP="00537CC8">
      <w:pPr>
        <w:pStyle w:val="FootnoteText"/>
      </w:pPr>
      <w:r>
        <w:rPr>
          <w:rStyle w:val="FootnoteReference"/>
        </w:rPr>
        <w:footnoteRef/>
      </w:r>
      <w:r>
        <w:rPr>
          <w:rtl/>
        </w:rPr>
        <w:t xml:space="preserve"> </w:t>
      </w:r>
      <w:r w:rsidRPr="002D5E0F">
        <w:t>Duolingo</w:t>
      </w:r>
    </w:p>
  </w:footnote>
  <w:footnote w:id="2598">
    <w:p w14:paraId="09EB047A" w14:textId="3F7D3145" w:rsidR="00B47FF5" w:rsidRDefault="00B47FF5" w:rsidP="00537CC8">
      <w:pPr>
        <w:pStyle w:val="FootnoteText"/>
      </w:pPr>
      <w:r>
        <w:rPr>
          <w:rStyle w:val="FootnoteReference"/>
        </w:rPr>
        <w:footnoteRef/>
      </w:r>
      <w:r>
        <w:rPr>
          <w:rtl/>
        </w:rPr>
        <w:t xml:space="preserve"> </w:t>
      </w:r>
      <w:r w:rsidRPr="001D3E69">
        <w:t>Technological Singularity</w:t>
      </w:r>
    </w:p>
  </w:footnote>
  <w:footnote w:id="2599">
    <w:p w14:paraId="18177F02" w14:textId="37B91006" w:rsidR="00B47FF5" w:rsidRDefault="00B47FF5" w:rsidP="00537CC8">
      <w:pPr>
        <w:pStyle w:val="FootnoteText"/>
      </w:pPr>
      <w:r>
        <w:rPr>
          <w:rStyle w:val="FootnoteReference"/>
        </w:rPr>
        <w:footnoteRef/>
      </w:r>
      <w:r>
        <w:rPr>
          <w:rtl/>
        </w:rPr>
        <w:t xml:space="preserve"> </w:t>
      </w:r>
      <w:r w:rsidRPr="001D3E69">
        <w:t>Phoneme</w:t>
      </w:r>
    </w:p>
  </w:footnote>
  <w:footnote w:id="2600">
    <w:p w14:paraId="58703C87" w14:textId="4BA1165E" w:rsidR="00B47FF5" w:rsidRDefault="00B47FF5" w:rsidP="00537CC8">
      <w:pPr>
        <w:pStyle w:val="FootnoteText"/>
      </w:pPr>
      <w:r>
        <w:rPr>
          <w:rStyle w:val="FootnoteReference"/>
        </w:rPr>
        <w:footnoteRef/>
      </w:r>
      <w:r>
        <w:rPr>
          <w:rtl/>
        </w:rPr>
        <w:t xml:space="preserve"> </w:t>
      </w:r>
      <w:r w:rsidRPr="002D5E0F">
        <w:t>Ludwik Zamenhof</w:t>
      </w:r>
    </w:p>
  </w:footnote>
  <w:footnote w:id="2601">
    <w:p w14:paraId="64CEE7D9" w14:textId="2ABDE523" w:rsidR="00B47FF5" w:rsidRDefault="00B47FF5" w:rsidP="00537CC8">
      <w:pPr>
        <w:pStyle w:val="FootnoteText"/>
      </w:pPr>
      <w:r>
        <w:rPr>
          <w:rStyle w:val="FootnoteReference"/>
        </w:rPr>
        <w:footnoteRef/>
      </w:r>
      <w:r>
        <w:rPr>
          <w:rtl/>
        </w:rPr>
        <w:t xml:space="preserve"> </w:t>
      </w:r>
      <w:r w:rsidRPr="002D5E0F">
        <w:t>Esperanto</w:t>
      </w:r>
    </w:p>
  </w:footnote>
  <w:footnote w:id="2602">
    <w:p w14:paraId="70A163BE" w14:textId="3AF32F54" w:rsidR="00B47FF5" w:rsidRDefault="00B47FF5" w:rsidP="00537CC8">
      <w:pPr>
        <w:pStyle w:val="FootnoteText"/>
      </w:pPr>
      <w:r>
        <w:rPr>
          <w:rStyle w:val="FootnoteReference"/>
        </w:rPr>
        <w:footnoteRef/>
      </w:r>
      <w:r>
        <w:rPr>
          <w:rtl/>
        </w:rPr>
        <w:t xml:space="preserve"> </w:t>
      </w:r>
      <w:r>
        <w:t>Metric</w:t>
      </w:r>
    </w:p>
  </w:footnote>
  <w:footnote w:id="2603">
    <w:p w14:paraId="7A7C7026" w14:textId="77777777" w:rsidR="00B47FF5" w:rsidRDefault="00B47FF5" w:rsidP="00537CC8">
      <w:pPr>
        <w:pStyle w:val="FootnoteText"/>
      </w:pPr>
      <w:r>
        <w:rPr>
          <w:rStyle w:val="FootnoteReference"/>
        </w:rPr>
        <w:footnoteRef/>
      </w:r>
      <w:r>
        <w:rPr>
          <w:rtl/>
        </w:rPr>
        <w:t xml:space="preserve"> </w:t>
      </w:r>
      <w:r>
        <w:t xml:space="preserve">The </w:t>
      </w:r>
      <w:r w:rsidRPr="007E0CD5">
        <w:t>Population Bomb</w:t>
      </w:r>
    </w:p>
  </w:footnote>
  <w:footnote w:id="2604">
    <w:p w14:paraId="12E75306" w14:textId="77777777" w:rsidR="00B47FF5" w:rsidRDefault="00B47FF5" w:rsidP="00537CC8">
      <w:pPr>
        <w:pStyle w:val="FootnoteText"/>
      </w:pPr>
      <w:r>
        <w:rPr>
          <w:rStyle w:val="FootnoteReference"/>
        </w:rPr>
        <w:footnoteRef/>
      </w:r>
      <w:r>
        <w:rPr>
          <w:rtl/>
        </w:rPr>
        <w:t xml:space="preserve"> </w:t>
      </w:r>
      <w:r w:rsidRPr="002D5E0F">
        <w:t>Paul and Anne Ehrlich</w:t>
      </w:r>
    </w:p>
  </w:footnote>
  <w:footnote w:id="2605">
    <w:p w14:paraId="4F68D256" w14:textId="77777777" w:rsidR="00B47FF5" w:rsidRDefault="00B47FF5" w:rsidP="00537CC8">
      <w:pPr>
        <w:pStyle w:val="FootnoteText"/>
      </w:pPr>
      <w:r>
        <w:rPr>
          <w:rStyle w:val="FootnoteReference"/>
        </w:rPr>
        <w:footnoteRef/>
      </w:r>
      <w:r>
        <w:rPr>
          <w:rtl/>
        </w:rPr>
        <w:t xml:space="preserve"> </w:t>
      </w:r>
      <w:r w:rsidRPr="007E0CD5">
        <w:t>Limits to Growth</w:t>
      </w:r>
    </w:p>
  </w:footnote>
  <w:footnote w:id="2606">
    <w:p w14:paraId="035A2030" w14:textId="77777777" w:rsidR="00B47FF5" w:rsidRDefault="00B47FF5" w:rsidP="00537CC8">
      <w:pPr>
        <w:pStyle w:val="FootnoteText"/>
      </w:pPr>
      <w:r>
        <w:rPr>
          <w:rStyle w:val="FootnoteReference"/>
        </w:rPr>
        <w:footnoteRef/>
      </w:r>
      <w:r>
        <w:rPr>
          <w:rtl/>
        </w:rPr>
        <w:t xml:space="preserve"> </w:t>
      </w:r>
      <w:r w:rsidRPr="00857DCA">
        <w:t>Club of Rome</w:t>
      </w:r>
    </w:p>
  </w:footnote>
  <w:footnote w:id="2607">
    <w:p w14:paraId="339176FA" w14:textId="77777777" w:rsidR="00B47FF5" w:rsidRDefault="00B47FF5" w:rsidP="00537CC8">
      <w:pPr>
        <w:pStyle w:val="FootnoteText"/>
      </w:pPr>
      <w:r>
        <w:rPr>
          <w:rStyle w:val="FootnoteReference"/>
        </w:rPr>
        <w:footnoteRef/>
      </w:r>
      <w:r>
        <w:rPr>
          <w:rtl/>
        </w:rPr>
        <w:t xml:space="preserve"> </w:t>
      </w:r>
      <w:r w:rsidRPr="002D5E0F">
        <w:t>Julian Simon</w:t>
      </w:r>
    </w:p>
  </w:footnote>
  <w:footnote w:id="2608">
    <w:p w14:paraId="6E8E2EBB" w14:textId="77777777" w:rsidR="00B47FF5" w:rsidRDefault="00B47FF5" w:rsidP="00537CC8">
      <w:pPr>
        <w:pStyle w:val="FootnoteText"/>
      </w:pPr>
      <w:r>
        <w:rPr>
          <w:rStyle w:val="FootnoteReference"/>
        </w:rPr>
        <w:footnoteRef/>
      </w:r>
      <w:r>
        <w:rPr>
          <w:rtl/>
        </w:rPr>
        <w:t xml:space="preserve"> </w:t>
      </w:r>
      <w:r w:rsidRPr="007E0CD5">
        <w:t>The Ultimate Resource</w:t>
      </w:r>
    </w:p>
  </w:footnote>
  <w:footnote w:id="2609">
    <w:p w14:paraId="5FA3BAEF" w14:textId="1E92409C" w:rsidR="00B47FF5" w:rsidRDefault="00B47FF5" w:rsidP="00537CC8">
      <w:pPr>
        <w:pStyle w:val="FootnoteText"/>
      </w:pPr>
      <w:r>
        <w:rPr>
          <w:rStyle w:val="FootnoteReference"/>
        </w:rPr>
        <w:footnoteRef/>
      </w:r>
      <w:r>
        <w:rPr>
          <w:rtl/>
        </w:rPr>
        <w:t xml:space="preserve"> </w:t>
      </w:r>
      <w:r>
        <w:t>Jeremiads</w:t>
      </w:r>
    </w:p>
  </w:footnote>
  <w:footnote w:id="2610">
    <w:p w14:paraId="27475E88" w14:textId="77777777" w:rsidR="00B47FF5" w:rsidRDefault="00B47FF5" w:rsidP="00537CC8">
      <w:pPr>
        <w:pStyle w:val="FootnoteText"/>
      </w:pPr>
      <w:r>
        <w:rPr>
          <w:rStyle w:val="FootnoteReference"/>
        </w:rPr>
        <w:footnoteRef/>
      </w:r>
      <w:r>
        <w:rPr>
          <w:rtl/>
        </w:rPr>
        <w:t xml:space="preserve"> </w:t>
      </w:r>
      <w:r w:rsidRPr="00B865C3">
        <w:t>Merger hypothesis</w:t>
      </w:r>
    </w:p>
  </w:footnote>
  <w:footnote w:id="2611">
    <w:p w14:paraId="78025CF9" w14:textId="1089D5D2" w:rsidR="00B47FF5" w:rsidRDefault="00B47FF5" w:rsidP="00537CC8">
      <w:pPr>
        <w:pStyle w:val="FootnoteText"/>
      </w:pPr>
      <w:r>
        <w:rPr>
          <w:rStyle w:val="FootnoteReference"/>
        </w:rPr>
        <w:footnoteRef/>
      </w:r>
      <w:r>
        <w:rPr>
          <w:rtl/>
        </w:rPr>
        <w:t xml:space="preserve"> </w:t>
      </w:r>
      <w:r>
        <w:t>Cyborgs</w:t>
      </w:r>
    </w:p>
  </w:footnote>
  <w:footnote w:id="2612">
    <w:p w14:paraId="0DB5A6EF" w14:textId="77777777" w:rsidR="00B47FF5" w:rsidRDefault="00B47FF5" w:rsidP="00537CC8">
      <w:pPr>
        <w:pStyle w:val="FootnoteText"/>
      </w:pPr>
      <w:r>
        <w:rPr>
          <w:rStyle w:val="FootnoteReference"/>
        </w:rPr>
        <w:footnoteRef/>
      </w:r>
      <w:r>
        <w:rPr>
          <w:rtl/>
        </w:rPr>
        <w:t xml:space="preserve"> </w:t>
      </w:r>
      <w:r w:rsidRPr="00B865C3">
        <w:t>Postbiological</w:t>
      </w:r>
    </w:p>
  </w:footnote>
  <w:footnote w:id="2613">
    <w:p w14:paraId="0CD1D6A6" w14:textId="77777777" w:rsidR="00B47FF5" w:rsidRDefault="00B47FF5" w:rsidP="00537CC8">
      <w:pPr>
        <w:pStyle w:val="FootnoteText"/>
      </w:pPr>
      <w:r>
        <w:rPr>
          <w:rStyle w:val="FootnoteReference"/>
        </w:rPr>
        <w:footnoteRef/>
      </w:r>
      <w:r>
        <w:rPr>
          <w:rtl/>
        </w:rPr>
        <w:t xml:space="preserve"> </w:t>
      </w:r>
      <w:r w:rsidRPr="002B19F8">
        <w:t>Logistic and Life Cycle Curves</w:t>
      </w:r>
    </w:p>
  </w:footnote>
  <w:footnote w:id="2614">
    <w:p w14:paraId="69245E24" w14:textId="1A623444" w:rsidR="00B47FF5" w:rsidRDefault="00B47FF5" w:rsidP="00537CC8">
      <w:pPr>
        <w:pStyle w:val="FootnoteText"/>
      </w:pPr>
      <w:r>
        <w:rPr>
          <w:rStyle w:val="FootnoteReference"/>
        </w:rPr>
        <w:footnoteRef/>
      </w:r>
      <w:r>
        <w:t xml:space="preserve"> Superexponential</w:t>
      </w:r>
    </w:p>
  </w:footnote>
  <w:footnote w:id="2615">
    <w:p w14:paraId="333C81FE" w14:textId="77777777" w:rsidR="00B47FF5" w:rsidRDefault="00B47FF5" w:rsidP="00537CC8">
      <w:pPr>
        <w:pStyle w:val="FootnoteText"/>
      </w:pPr>
      <w:r>
        <w:rPr>
          <w:rStyle w:val="FootnoteReference"/>
        </w:rPr>
        <w:footnoteRef/>
      </w:r>
      <w:r>
        <w:rPr>
          <w:rtl/>
        </w:rPr>
        <w:t xml:space="preserve"> </w:t>
      </w:r>
      <w:r w:rsidRPr="002B19F8">
        <w:t>Normal and (Log-)Normal Curves</w:t>
      </w:r>
    </w:p>
  </w:footnote>
  <w:footnote w:id="2616">
    <w:p w14:paraId="3353AADE" w14:textId="77777777" w:rsidR="00B47FF5" w:rsidRDefault="00B47FF5" w:rsidP="00537CC8">
      <w:pPr>
        <w:pStyle w:val="FootnoteText"/>
      </w:pPr>
      <w:r>
        <w:rPr>
          <w:rStyle w:val="FootnoteReference"/>
        </w:rPr>
        <w:footnoteRef/>
      </w:r>
      <w:r>
        <w:rPr>
          <w:rtl/>
        </w:rPr>
        <w:t xml:space="preserve"> </w:t>
      </w:r>
      <w:r w:rsidRPr="002B19F8">
        <w:t>Cusps/Critical</w:t>
      </w:r>
    </w:p>
  </w:footnote>
  <w:footnote w:id="2617">
    <w:p w14:paraId="2BCEC5F7" w14:textId="30959DF2" w:rsidR="00B47FF5" w:rsidRDefault="00B47FF5" w:rsidP="00537CC8">
      <w:pPr>
        <w:pStyle w:val="FootnoteText"/>
      </w:pPr>
      <w:r>
        <w:rPr>
          <w:rStyle w:val="FootnoteReference"/>
        </w:rPr>
        <w:footnoteRef/>
      </w:r>
      <w:r>
        <w:rPr>
          <w:rtl/>
        </w:rPr>
        <w:t xml:space="preserve"> </w:t>
      </w:r>
      <w:r>
        <w:t>Chaotic</w:t>
      </w:r>
    </w:p>
  </w:footnote>
  <w:footnote w:id="2618">
    <w:p w14:paraId="368D5ADD" w14:textId="04A7C0AB" w:rsidR="00B47FF5" w:rsidRDefault="00B47FF5" w:rsidP="00537CC8">
      <w:pPr>
        <w:pStyle w:val="FootnoteText"/>
      </w:pPr>
      <w:r>
        <w:rPr>
          <w:rStyle w:val="FootnoteReference"/>
        </w:rPr>
        <w:footnoteRef/>
      </w:r>
      <w:r>
        <w:rPr>
          <w:rtl/>
        </w:rPr>
        <w:t xml:space="preserve"> </w:t>
      </w:r>
      <w:r>
        <w:t>Hype Cycle</w:t>
      </w:r>
    </w:p>
  </w:footnote>
  <w:footnote w:id="2619">
    <w:p w14:paraId="67E3AAB9" w14:textId="6767B6CE" w:rsidR="00B47FF5" w:rsidRDefault="00B47FF5" w:rsidP="00537CC8">
      <w:pPr>
        <w:pStyle w:val="FootnoteText"/>
      </w:pPr>
      <w:r>
        <w:rPr>
          <w:rStyle w:val="FootnoteReference"/>
        </w:rPr>
        <w:footnoteRef/>
      </w:r>
      <w:r>
        <w:rPr>
          <w:rtl/>
        </w:rPr>
        <w:t xml:space="preserve"> </w:t>
      </w:r>
      <w:r>
        <w:t>Drama Cycle</w:t>
      </w:r>
    </w:p>
  </w:footnote>
  <w:footnote w:id="2620">
    <w:p w14:paraId="24195E44" w14:textId="07630BA3" w:rsidR="00B47FF5" w:rsidRDefault="00B47FF5" w:rsidP="00537CC8">
      <w:pPr>
        <w:pStyle w:val="FootnoteText"/>
      </w:pPr>
      <w:r>
        <w:rPr>
          <w:rStyle w:val="FootnoteReference"/>
        </w:rPr>
        <w:footnoteRef/>
      </w:r>
      <w:r>
        <w:rPr>
          <w:rtl/>
        </w:rPr>
        <w:t xml:space="preserve"> </w:t>
      </w:r>
      <w:r>
        <w:t>Kuznets Cycle</w:t>
      </w:r>
    </w:p>
  </w:footnote>
  <w:footnote w:id="2621">
    <w:p w14:paraId="7C420F1F" w14:textId="77777777" w:rsidR="00B47FF5" w:rsidRDefault="00B47FF5" w:rsidP="00537CC8">
      <w:pPr>
        <w:pStyle w:val="FootnoteText"/>
      </w:pPr>
      <w:r>
        <w:rPr>
          <w:rStyle w:val="FootnoteReference"/>
        </w:rPr>
        <w:footnoteRef/>
      </w:r>
      <w:r>
        <w:rPr>
          <w:rtl/>
        </w:rPr>
        <w:t xml:space="preserve"> </w:t>
      </w:r>
      <w:r w:rsidRPr="002D5E0F">
        <w:t>Pitirim Sorokin</w:t>
      </w:r>
    </w:p>
  </w:footnote>
  <w:footnote w:id="2622">
    <w:p w14:paraId="0D4B0FDA" w14:textId="77777777" w:rsidR="00B47FF5" w:rsidRDefault="00B47FF5" w:rsidP="00537CC8">
      <w:pPr>
        <w:pStyle w:val="FootnoteText"/>
      </w:pPr>
      <w:r>
        <w:rPr>
          <w:rStyle w:val="FootnoteReference"/>
        </w:rPr>
        <w:footnoteRef/>
      </w:r>
      <w:r>
        <w:rPr>
          <w:rtl/>
        </w:rPr>
        <w:t xml:space="preserve"> </w:t>
      </w:r>
      <w:r w:rsidRPr="005528B7">
        <w:t>Cycles Research Institute</w:t>
      </w:r>
    </w:p>
  </w:footnote>
  <w:footnote w:id="2623">
    <w:p w14:paraId="13ABCDC7" w14:textId="77777777" w:rsidR="00B47FF5" w:rsidRDefault="00B47FF5" w:rsidP="00537CC8">
      <w:pPr>
        <w:pStyle w:val="FootnoteText"/>
      </w:pPr>
      <w:r>
        <w:rPr>
          <w:rStyle w:val="FootnoteReference"/>
        </w:rPr>
        <w:footnoteRef/>
      </w:r>
      <w:r>
        <w:rPr>
          <w:rtl/>
        </w:rPr>
        <w:t xml:space="preserve"> </w:t>
      </w:r>
      <w:r w:rsidRPr="005528B7">
        <w:t>Foundation for the Study of Cycles</w:t>
      </w:r>
    </w:p>
  </w:footnote>
  <w:footnote w:id="2624">
    <w:p w14:paraId="41020BE2" w14:textId="1D7A01A1" w:rsidR="00B47FF5" w:rsidRDefault="00B47FF5" w:rsidP="00537CC8">
      <w:pPr>
        <w:pStyle w:val="FootnoteText"/>
      </w:pPr>
      <w:r>
        <w:rPr>
          <w:rStyle w:val="FootnoteReference"/>
        </w:rPr>
        <w:footnoteRef/>
      </w:r>
      <w:r>
        <w:rPr>
          <w:rtl/>
        </w:rPr>
        <w:t xml:space="preserve"> </w:t>
      </w:r>
      <w:r w:rsidRPr="00BA1D7C">
        <w:t>Dominant tendencies</w:t>
      </w:r>
    </w:p>
  </w:footnote>
  <w:footnote w:id="2625">
    <w:p w14:paraId="068EA69C" w14:textId="77777777" w:rsidR="00B47FF5" w:rsidRDefault="00B47FF5" w:rsidP="00537CC8">
      <w:pPr>
        <w:pStyle w:val="FootnoteText"/>
      </w:pPr>
      <w:r>
        <w:rPr>
          <w:rStyle w:val="FootnoteReference"/>
        </w:rPr>
        <w:footnoteRef/>
      </w:r>
      <w:r>
        <w:rPr>
          <w:rtl/>
        </w:rPr>
        <w:t xml:space="preserve"> </w:t>
      </w:r>
      <w:r w:rsidRPr="002D5E0F">
        <w:t>Pierre Wack</w:t>
      </w:r>
    </w:p>
  </w:footnote>
  <w:footnote w:id="2626">
    <w:p w14:paraId="299A696B" w14:textId="77777777" w:rsidR="00B47FF5" w:rsidRDefault="00B47FF5" w:rsidP="00537CC8">
      <w:pPr>
        <w:pStyle w:val="FootnoteText"/>
      </w:pPr>
      <w:r>
        <w:rPr>
          <w:rStyle w:val="FootnoteReference"/>
        </w:rPr>
        <w:footnoteRef/>
      </w:r>
      <w:r>
        <w:rPr>
          <w:rtl/>
        </w:rPr>
        <w:t xml:space="preserve"> </w:t>
      </w:r>
      <w:r w:rsidRPr="000E26E9">
        <w:t>Systems theory</w:t>
      </w:r>
    </w:p>
  </w:footnote>
  <w:footnote w:id="2627">
    <w:p w14:paraId="23CAF0EF" w14:textId="77777777" w:rsidR="00B47FF5" w:rsidRDefault="00B47FF5" w:rsidP="00537CC8">
      <w:pPr>
        <w:pStyle w:val="FootnoteText"/>
      </w:pPr>
      <w:r>
        <w:rPr>
          <w:rStyle w:val="FootnoteReference"/>
        </w:rPr>
        <w:footnoteRef/>
      </w:r>
      <w:r>
        <w:rPr>
          <w:rtl/>
        </w:rPr>
        <w:t xml:space="preserve"> </w:t>
      </w:r>
      <w:r w:rsidRPr="00FD1DFD">
        <w:t>Cope</w:t>
      </w:r>
    </w:p>
  </w:footnote>
  <w:footnote w:id="2628">
    <w:p w14:paraId="3B89CA1B" w14:textId="77777777" w:rsidR="00B47FF5" w:rsidRDefault="00B47FF5" w:rsidP="00537CC8">
      <w:pPr>
        <w:pStyle w:val="FootnoteText"/>
      </w:pPr>
      <w:r>
        <w:rPr>
          <w:rStyle w:val="FootnoteReference"/>
        </w:rPr>
        <w:footnoteRef/>
      </w:r>
      <w:r>
        <w:rPr>
          <w:rtl/>
        </w:rPr>
        <w:t xml:space="preserve"> </w:t>
      </w:r>
      <w:r w:rsidRPr="00FD1DFD">
        <w:t>Bergman</w:t>
      </w:r>
    </w:p>
  </w:footnote>
  <w:footnote w:id="2629">
    <w:p w14:paraId="301B3A03" w14:textId="77777777" w:rsidR="00B47FF5" w:rsidRDefault="00B47FF5" w:rsidP="00537CC8">
      <w:pPr>
        <w:pStyle w:val="FootnoteText"/>
      </w:pPr>
      <w:r>
        <w:rPr>
          <w:rStyle w:val="FootnoteReference"/>
        </w:rPr>
        <w:footnoteRef/>
      </w:r>
      <w:r>
        <w:rPr>
          <w:rtl/>
        </w:rPr>
        <w:t xml:space="preserve"> </w:t>
      </w:r>
      <w:r w:rsidRPr="00FD1DFD">
        <w:t>Foser</w:t>
      </w:r>
    </w:p>
  </w:footnote>
  <w:footnote w:id="2630">
    <w:p w14:paraId="1F8D5484" w14:textId="6510498A" w:rsidR="00B47FF5" w:rsidRDefault="00B47FF5" w:rsidP="00537CC8">
      <w:pPr>
        <w:pStyle w:val="FootnoteText"/>
      </w:pPr>
      <w:r>
        <w:rPr>
          <w:rStyle w:val="FootnoteReference"/>
        </w:rPr>
        <w:footnoteRef/>
      </w:r>
      <w:r>
        <w:rPr>
          <w:rtl/>
        </w:rPr>
        <w:t xml:space="preserve"> </w:t>
      </w:r>
      <w:r w:rsidRPr="000E26E9">
        <w:t>Law of least effort</w:t>
      </w:r>
    </w:p>
  </w:footnote>
  <w:footnote w:id="2631">
    <w:p w14:paraId="0BF0141D" w14:textId="4990E1AD" w:rsidR="00B47FF5" w:rsidRDefault="00B47FF5" w:rsidP="00537CC8">
      <w:pPr>
        <w:pStyle w:val="FootnoteText"/>
      </w:pPr>
      <w:r>
        <w:rPr>
          <w:rStyle w:val="FootnoteReference"/>
        </w:rPr>
        <w:footnoteRef/>
      </w:r>
      <w:r>
        <w:rPr>
          <w:rtl/>
        </w:rPr>
        <w:t xml:space="preserve"> </w:t>
      </w:r>
      <w:r w:rsidRPr="000E26E9">
        <w:t>Law of time-minimization</w:t>
      </w:r>
    </w:p>
  </w:footnote>
  <w:footnote w:id="2632">
    <w:p w14:paraId="14404CF1" w14:textId="5389F112" w:rsidR="00B47FF5" w:rsidRDefault="00B47FF5" w:rsidP="00537CC8">
      <w:pPr>
        <w:pStyle w:val="FootnoteText"/>
      </w:pPr>
      <w:r>
        <w:rPr>
          <w:rStyle w:val="FootnoteReference"/>
        </w:rPr>
        <w:footnoteRef/>
      </w:r>
      <w:r>
        <w:rPr>
          <w:rtl/>
        </w:rPr>
        <w:t xml:space="preserve"> </w:t>
      </w:r>
      <w:r w:rsidRPr="00BC624C">
        <w:t>Law of large numbers</w:t>
      </w:r>
    </w:p>
  </w:footnote>
  <w:footnote w:id="2633">
    <w:p w14:paraId="01D47A11" w14:textId="7E4852F0" w:rsidR="00B47FF5" w:rsidRDefault="00B47FF5" w:rsidP="00537CC8">
      <w:pPr>
        <w:pStyle w:val="FootnoteText"/>
      </w:pPr>
      <w:r>
        <w:rPr>
          <w:rStyle w:val="FootnoteReference"/>
        </w:rPr>
        <w:footnoteRef/>
      </w:r>
      <w:r>
        <w:rPr>
          <w:rtl/>
        </w:rPr>
        <w:t xml:space="preserve"> </w:t>
      </w:r>
      <w:r w:rsidRPr="00BC624C">
        <w:t>Regression to the mean</w:t>
      </w:r>
    </w:p>
  </w:footnote>
  <w:footnote w:id="2634">
    <w:p w14:paraId="4F5BA0B6" w14:textId="77777777" w:rsidR="00B47FF5" w:rsidRDefault="00B47FF5" w:rsidP="00537CC8">
      <w:pPr>
        <w:pStyle w:val="FootnoteText"/>
      </w:pPr>
      <w:r>
        <w:rPr>
          <w:rStyle w:val="FootnoteReference"/>
        </w:rPr>
        <w:footnoteRef/>
      </w:r>
      <w:r>
        <w:rPr>
          <w:rtl/>
        </w:rPr>
        <w:t xml:space="preserve"> </w:t>
      </w:r>
      <w:r>
        <w:t>Triadic Intelligence Hypothesis</w:t>
      </w:r>
    </w:p>
  </w:footnote>
  <w:footnote w:id="2635">
    <w:p w14:paraId="09314B5A" w14:textId="77777777" w:rsidR="00B47FF5" w:rsidRDefault="00B47FF5" w:rsidP="00537CC8">
      <w:pPr>
        <w:pStyle w:val="FootnoteText"/>
      </w:pPr>
      <w:r>
        <w:rPr>
          <w:rStyle w:val="FootnoteReference"/>
        </w:rPr>
        <w:footnoteRef/>
      </w:r>
      <w:r>
        <w:rPr>
          <w:rtl/>
        </w:rPr>
        <w:t xml:space="preserve"> </w:t>
      </w:r>
      <w:r w:rsidRPr="000C710F">
        <w:t>Optima</w:t>
      </w:r>
    </w:p>
  </w:footnote>
  <w:footnote w:id="2636">
    <w:p w14:paraId="43246F05" w14:textId="797A6FBA" w:rsidR="00B47FF5" w:rsidRDefault="00B47FF5" w:rsidP="00537CC8">
      <w:pPr>
        <w:pStyle w:val="FootnoteText"/>
      </w:pPr>
      <w:r>
        <w:rPr>
          <w:rStyle w:val="FootnoteReference"/>
        </w:rPr>
        <w:footnoteRef/>
      </w:r>
      <w:r>
        <w:rPr>
          <w:rtl/>
        </w:rPr>
        <w:t xml:space="preserve"> </w:t>
      </w:r>
      <w:r w:rsidRPr="00BC624C">
        <w:t>Developmental funnel</w:t>
      </w:r>
    </w:p>
  </w:footnote>
  <w:footnote w:id="2637">
    <w:p w14:paraId="67C3FCEA" w14:textId="77777777" w:rsidR="00B47FF5" w:rsidRDefault="00B47FF5" w:rsidP="00537CC8">
      <w:pPr>
        <w:pStyle w:val="FootnoteText"/>
      </w:pPr>
      <w:r>
        <w:rPr>
          <w:rStyle w:val="FootnoteReference"/>
        </w:rPr>
        <w:footnoteRef/>
      </w:r>
      <w:r>
        <w:rPr>
          <w:rtl/>
        </w:rPr>
        <w:t xml:space="preserve"> </w:t>
      </w:r>
      <w:r>
        <w:t>The Great Convergence</w:t>
      </w:r>
    </w:p>
  </w:footnote>
  <w:footnote w:id="2638">
    <w:p w14:paraId="64CA7EA3" w14:textId="77777777" w:rsidR="00B47FF5" w:rsidRDefault="00B47FF5" w:rsidP="00537CC8">
      <w:pPr>
        <w:pStyle w:val="FootnoteText"/>
      </w:pPr>
      <w:r>
        <w:rPr>
          <w:rStyle w:val="FootnoteReference"/>
        </w:rPr>
        <w:footnoteRef/>
      </w:r>
      <w:r>
        <w:rPr>
          <w:rtl/>
        </w:rPr>
        <w:t xml:space="preserve"> </w:t>
      </w:r>
      <w:r w:rsidRPr="00FD1DFD">
        <w:t>Kishore Mahbubani</w:t>
      </w:r>
    </w:p>
  </w:footnote>
  <w:footnote w:id="2639">
    <w:p w14:paraId="4769270E" w14:textId="77777777" w:rsidR="00B47FF5" w:rsidRDefault="00B47FF5" w:rsidP="00537CC8">
      <w:pPr>
        <w:pStyle w:val="FootnoteText"/>
        <w:rPr>
          <w:rtl/>
        </w:rPr>
      </w:pPr>
      <w:r>
        <w:rPr>
          <w:rStyle w:val="FootnoteReference"/>
        </w:rPr>
        <w:footnoteRef/>
      </w:r>
      <w:r>
        <w:rPr>
          <w:rtl/>
        </w:rPr>
        <w:t xml:space="preserve"> </w:t>
      </w:r>
      <w:r>
        <w:t>The End of History</w:t>
      </w:r>
    </w:p>
  </w:footnote>
  <w:footnote w:id="2640">
    <w:p w14:paraId="280C16E2" w14:textId="77777777" w:rsidR="00B47FF5" w:rsidRDefault="00B47FF5" w:rsidP="00537CC8">
      <w:pPr>
        <w:pStyle w:val="FootnoteText"/>
      </w:pPr>
      <w:r>
        <w:rPr>
          <w:rStyle w:val="FootnoteReference"/>
        </w:rPr>
        <w:footnoteRef/>
      </w:r>
      <w:r>
        <w:rPr>
          <w:rtl/>
        </w:rPr>
        <w:t xml:space="preserve"> </w:t>
      </w:r>
      <w:r w:rsidRPr="00FD1DFD">
        <w:t>Frank Fukuyama</w:t>
      </w:r>
    </w:p>
  </w:footnote>
  <w:footnote w:id="2641">
    <w:p w14:paraId="72D6AAEC" w14:textId="77777777" w:rsidR="00B47FF5" w:rsidRDefault="00B47FF5" w:rsidP="00537CC8">
      <w:pPr>
        <w:pStyle w:val="FootnoteText"/>
      </w:pPr>
      <w:r>
        <w:rPr>
          <w:rStyle w:val="FootnoteReference"/>
        </w:rPr>
        <w:footnoteRef/>
      </w:r>
      <w:r>
        <w:rPr>
          <w:rtl/>
        </w:rPr>
        <w:t xml:space="preserve"> </w:t>
      </w:r>
      <w:r w:rsidRPr="00FD1DFD">
        <w:t>Hox genes</w:t>
      </w:r>
    </w:p>
  </w:footnote>
  <w:footnote w:id="2642">
    <w:p w14:paraId="3068233C" w14:textId="2068454C" w:rsidR="00B47FF5" w:rsidRDefault="00B47FF5" w:rsidP="00537CC8">
      <w:pPr>
        <w:pStyle w:val="FootnoteText"/>
      </w:pPr>
      <w:r>
        <w:rPr>
          <w:rStyle w:val="FootnoteReference"/>
        </w:rPr>
        <w:footnoteRef/>
      </w:r>
      <w:r>
        <w:rPr>
          <w:rtl/>
        </w:rPr>
        <w:t xml:space="preserve"> </w:t>
      </w:r>
      <w:r>
        <w:t>Regulatory Networks</w:t>
      </w:r>
    </w:p>
  </w:footnote>
  <w:footnote w:id="2643">
    <w:p w14:paraId="261C863F" w14:textId="6FD2B119" w:rsidR="00B47FF5" w:rsidRDefault="00B47FF5" w:rsidP="00537CC8">
      <w:pPr>
        <w:pStyle w:val="FootnoteText"/>
      </w:pPr>
      <w:r>
        <w:rPr>
          <w:rStyle w:val="FootnoteReference"/>
        </w:rPr>
        <w:footnoteRef/>
      </w:r>
      <w:r>
        <w:rPr>
          <w:rtl/>
        </w:rPr>
        <w:t xml:space="preserve"> </w:t>
      </w:r>
      <w:r w:rsidRPr="0065358A">
        <w:t>Microarchitectural</w:t>
      </w:r>
    </w:p>
  </w:footnote>
  <w:footnote w:id="2644">
    <w:p w14:paraId="27214613" w14:textId="541A0445" w:rsidR="00B47FF5" w:rsidRDefault="00B47FF5" w:rsidP="00537CC8">
      <w:pPr>
        <w:pStyle w:val="FootnoteText"/>
      </w:pPr>
      <w:r>
        <w:rPr>
          <w:rStyle w:val="FootnoteReference"/>
        </w:rPr>
        <w:footnoteRef/>
      </w:r>
      <w:r>
        <w:rPr>
          <w:rtl/>
        </w:rPr>
        <w:t xml:space="preserve"> </w:t>
      </w:r>
      <w:r>
        <w:t>Universal basic income</w:t>
      </w:r>
    </w:p>
  </w:footnote>
  <w:footnote w:id="2645">
    <w:p w14:paraId="428A1D72" w14:textId="1D53D2F6" w:rsidR="00B47FF5" w:rsidRDefault="00B47FF5" w:rsidP="00537CC8">
      <w:pPr>
        <w:pStyle w:val="FootnoteText"/>
      </w:pPr>
      <w:r>
        <w:rPr>
          <w:rStyle w:val="FootnoteReference"/>
        </w:rPr>
        <w:footnoteRef/>
      </w:r>
      <w:r>
        <w:rPr>
          <w:rtl/>
        </w:rPr>
        <w:t xml:space="preserve"> </w:t>
      </w:r>
      <w:r w:rsidRPr="00D21738">
        <w:t>Dehumanizing political systems</w:t>
      </w:r>
    </w:p>
  </w:footnote>
  <w:footnote w:id="2646">
    <w:p w14:paraId="47987063" w14:textId="77777777" w:rsidR="00B47FF5" w:rsidRDefault="00B47FF5" w:rsidP="00537CC8">
      <w:pPr>
        <w:pStyle w:val="FootnoteText"/>
      </w:pPr>
      <w:r>
        <w:rPr>
          <w:rStyle w:val="FootnoteReference"/>
        </w:rPr>
        <w:footnoteRef/>
      </w:r>
      <w:r>
        <w:rPr>
          <w:rtl/>
        </w:rPr>
        <w:t xml:space="preserve"> </w:t>
      </w:r>
      <w:r w:rsidRPr="00FD1DFD">
        <w:t>Harrison Brown</w:t>
      </w:r>
    </w:p>
  </w:footnote>
  <w:footnote w:id="2647">
    <w:p w14:paraId="3E1C54DD" w14:textId="77777777" w:rsidR="00B47FF5" w:rsidRDefault="00B47FF5" w:rsidP="00537CC8">
      <w:pPr>
        <w:pStyle w:val="FootnoteText"/>
      </w:pPr>
      <w:r>
        <w:rPr>
          <w:rStyle w:val="FootnoteReference"/>
        </w:rPr>
        <w:footnoteRef/>
      </w:r>
      <w:r>
        <w:rPr>
          <w:rtl/>
        </w:rPr>
        <w:t xml:space="preserve"> </w:t>
      </w:r>
      <w:r>
        <w:t xml:space="preserve">The </w:t>
      </w:r>
      <w:r w:rsidRPr="00992E4F">
        <w:t>Challenge of Man’s Future</w:t>
      </w:r>
    </w:p>
  </w:footnote>
  <w:footnote w:id="2648">
    <w:p w14:paraId="5FF08663" w14:textId="72A6F141" w:rsidR="00B47FF5" w:rsidRDefault="00B47FF5" w:rsidP="00537CC8">
      <w:pPr>
        <w:pStyle w:val="FootnoteText"/>
      </w:pPr>
      <w:r>
        <w:rPr>
          <w:rStyle w:val="FootnoteReference"/>
        </w:rPr>
        <w:footnoteRef/>
      </w:r>
      <w:r>
        <w:rPr>
          <w:rtl/>
        </w:rPr>
        <w:t xml:space="preserve"> </w:t>
      </w:r>
      <w:r>
        <w:t>Freedom bias</w:t>
      </w:r>
    </w:p>
  </w:footnote>
  <w:footnote w:id="2649">
    <w:p w14:paraId="29607795" w14:textId="62F0AE8A" w:rsidR="00B47FF5" w:rsidRDefault="00B47FF5" w:rsidP="00537CC8">
      <w:pPr>
        <w:pStyle w:val="FootnoteText"/>
      </w:pPr>
      <w:r>
        <w:rPr>
          <w:rStyle w:val="FootnoteReference"/>
        </w:rPr>
        <w:footnoteRef/>
      </w:r>
      <w:r>
        <w:rPr>
          <w:rtl/>
        </w:rPr>
        <w:t xml:space="preserve"> </w:t>
      </w:r>
      <w:r>
        <w:t>Story-first approach</w:t>
      </w:r>
    </w:p>
  </w:footnote>
  <w:footnote w:id="2650">
    <w:p w14:paraId="74D84D04" w14:textId="77777777" w:rsidR="00B47FF5" w:rsidRDefault="00B47FF5" w:rsidP="00537CC8">
      <w:pPr>
        <w:pStyle w:val="FootnoteText"/>
      </w:pPr>
      <w:r>
        <w:rPr>
          <w:rStyle w:val="FootnoteReference"/>
        </w:rPr>
        <w:footnoteRef/>
      </w:r>
      <w:r>
        <w:rPr>
          <w:rtl/>
        </w:rPr>
        <w:t xml:space="preserve"> </w:t>
      </w:r>
      <w:r w:rsidRPr="001B6206">
        <w:t>Combinatorials</w:t>
      </w:r>
    </w:p>
  </w:footnote>
  <w:footnote w:id="2651">
    <w:p w14:paraId="290F9402" w14:textId="22826380" w:rsidR="00B47FF5" w:rsidRDefault="00B47FF5" w:rsidP="00537CC8">
      <w:pPr>
        <w:pStyle w:val="FootnoteText"/>
      </w:pPr>
      <w:r>
        <w:rPr>
          <w:rStyle w:val="FootnoteReference"/>
        </w:rPr>
        <w:footnoteRef/>
      </w:r>
      <w:r>
        <w:rPr>
          <w:rtl/>
        </w:rPr>
        <w:t xml:space="preserve"> </w:t>
      </w:r>
      <w:r w:rsidRPr="00D94DA6">
        <w:t>Futures Wheels</w:t>
      </w:r>
    </w:p>
  </w:footnote>
  <w:footnote w:id="2652">
    <w:p w14:paraId="55ADC673" w14:textId="6D60F56D" w:rsidR="00B47FF5" w:rsidRDefault="00B47FF5" w:rsidP="00537CC8">
      <w:pPr>
        <w:pStyle w:val="FootnoteText"/>
      </w:pPr>
      <w:r>
        <w:rPr>
          <w:rStyle w:val="FootnoteReference"/>
        </w:rPr>
        <w:footnoteRef/>
      </w:r>
      <w:r>
        <w:rPr>
          <w:rtl/>
        </w:rPr>
        <w:t xml:space="preserve"> </w:t>
      </w:r>
      <w:r>
        <w:t>Granularity</w:t>
      </w:r>
    </w:p>
  </w:footnote>
  <w:footnote w:id="2653">
    <w:p w14:paraId="06A30CB0" w14:textId="0BF4FBF4" w:rsidR="00B47FF5" w:rsidRDefault="00B47FF5" w:rsidP="00537CC8">
      <w:pPr>
        <w:pStyle w:val="FootnoteText"/>
      </w:pPr>
      <w:r>
        <w:rPr>
          <w:rStyle w:val="FootnoteReference"/>
        </w:rPr>
        <w:footnoteRef/>
      </w:r>
      <w:r>
        <w:rPr>
          <w:rtl/>
        </w:rPr>
        <w:t xml:space="preserve"> </w:t>
      </w:r>
      <w:r w:rsidRPr="00BB4CB4">
        <w:t>Emergence</w:t>
      </w:r>
    </w:p>
  </w:footnote>
  <w:footnote w:id="2654">
    <w:p w14:paraId="382A666C" w14:textId="77777777" w:rsidR="00B47FF5" w:rsidRDefault="00B47FF5" w:rsidP="00537CC8">
      <w:pPr>
        <w:pStyle w:val="FootnoteText"/>
      </w:pPr>
      <w:r>
        <w:rPr>
          <w:rStyle w:val="FootnoteReference"/>
        </w:rPr>
        <w:footnoteRef/>
      </w:r>
      <w:r>
        <w:rPr>
          <w:rtl/>
        </w:rPr>
        <w:t xml:space="preserve"> </w:t>
      </w:r>
      <w:r w:rsidRPr="00FD1DFD">
        <w:t>John Holland</w:t>
      </w:r>
    </w:p>
  </w:footnote>
  <w:footnote w:id="2655">
    <w:p w14:paraId="447BA639" w14:textId="77777777" w:rsidR="00B47FF5" w:rsidRDefault="00B47FF5" w:rsidP="00537CC8">
      <w:pPr>
        <w:pStyle w:val="FootnoteText"/>
      </w:pPr>
      <w:r>
        <w:rPr>
          <w:rStyle w:val="FootnoteReference"/>
        </w:rPr>
        <w:footnoteRef/>
      </w:r>
      <w:r>
        <w:rPr>
          <w:rtl/>
        </w:rPr>
        <w:t xml:space="preserve"> </w:t>
      </w:r>
      <w:r w:rsidRPr="00FD1DFD">
        <w:t>Steven Johnson</w:t>
      </w:r>
    </w:p>
  </w:footnote>
  <w:footnote w:id="2656">
    <w:p w14:paraId="56A4A056" w14:textId="77777777" w:rsidR="00B47FF5" w:rsidRDefault="00B47FF5" w:rsidP="00537CC8">
      <w:pPr>
        <w:pStyle w:val="FootnoteText"/>
      </w:pPr>
      <w:r>
        <w:rPr>
          <w:rStyle w:val="FootnoteReference"/>
        </w:rPr>
        <w:footnoteRef/>
      </w:r>
      <w:r>
        <w:rPr>
          <w:rtl/>
        </w:rPr>
        <w:t xml:space="preserve"> </w:t>
      </w:r>
      <w:r w:rsidRPr="00BB4CB4">
        <w:t>Complex Adaptive Systems</w:t>
      </w:r>
    </w:p>
  </w:footnote>
  <w:footnote w:id="2657">
    <w:p w14:paraId="04A7F5F6" w14:textId="77777777" w:rsidR="00B47FF5" w:rsidRDefault="00B47FF5" w:rsidP="00537CC8">
      <w:pPr>
        <w:pStyle w:val="FootnoteText"/>
      </w:pPr>
      <w:r>
        <w:rPr>
          <w:rStyle w:val="FootnoteReference"/>
        </w:rPr>
        <w:footnoteRef/>
      </w:r>
      <w:r>
        <w:rPr>
          <w:rtl/>
        </w:rPr>
        <w:t xml:space="preserve"> </w:t>
      </w:r>
      <w:r w:rsidRPr="00FD1DFD">
        <w:t>Miller and Page</w:t>
      </w:r>
    </w:p>
  </w:footnote>
  <w:footnote w:id="2658">
    <w:p w14:paraId="3A93955D" w14:textId="063D2996" w:rsidR="00B47FF5" w:rsidRDefault="00B47FF5" w:rsidP="00537CC8">
      <w:pPr>
        <w:pStyle w:val="FootnoteText"/>
      </w:pPr>
      <w:r>
        <w:rPr>
          <w:rStyle w:val="FootnoteReference"/>
        </w:rPr>
        <w:footnoteRef/>
      </w:r>
      <w:r>
        <w:rPr>
          <w:rtl/>
        </w:rPr>
        <w:t xml:space="preserve"> </w:t>
      </w:r>
      <w:r w:rsidRPr="00DB46F9">
        <w:t>Morphological Analysis</w:t>
      </w:r>
    </w:p>
  </w:footnote>
  <w:footnote w:id="2659">
    <w:p w14:paraId="4AD5F710" w14:textId="549B1E22" w:rsidR="00B47FF5" w:rsidRDefault="00B47FF5" w:rsidP="00537CC8">
      <w:pPr>
        <w:pStyle w:val="FootnoteText"/>
      </w:pPr>
      <w:r>
        <w:rPr>
          <w:rStyle w:val="FootnoteReference"/>
        </w:rPr>
        <w:footnoteRef/>
      </w:r>
      <w:r>
        <w:rPr>
          <w:rtl/>
        </w:rPr>
        <w:t xml:space="preserve"> </w:t>
      </w:r>
      <w:r w:rsidRPr="00DB46F9">
        <w:t>Freedom Analysis</w:t>
      </w:r>
    </w:p>
  </w:footnote>
  <w:footnote w:id="2660">
    <w:p w14:paraId="0D73F855" w14:textId="7335B646" w:rsidR="00B47FF5" w:rsidRDefault="00B47FF5" w:rsidP="00537CC8">
      <w:pPr>
        <w:pStyle w:val="FootnoteText"/>
      </w:pPr>
      <w:r>
        <w:rPr>
          <w:rStyle w:val="FootnoteReference"/>
        </w:rPr>
        <w:footnoteRef/>
      </w:r>
      <w:r>
        <w:rPr>
          <w:rtl/>
        </w:rPr>
        <w:t xml:space="preserve"> </w:t>
      </w:r>
      <w:r w:rsidRPr="00962476">
        <w:t>Contingent</w:t>
      </w:r>
    </w:p>
  </w:footnote>
  <w:footnote w:id="2661">
    <w:p w14:paraId="350A8E5A" w14:textId="5666605B" w:rsidR="00B47FF5" w:rsidRDefault="00B47FF5" w:rsidP="00537CC8">
      <w:pPr>
        <w:pStyle w:val="FootnoteText"/>
      </w:pPr>
      <w:r>
        <w:rPr>
          <w:rStyle w:val="FootnoteReference"/>
        </w:rPr>
        <w:footnoteRef/>
      </w:r>
      <w:r>
        <w:rPr>
          <w:rtl/>
        </w:rPr>
        <w:t xml:space="preserve"> </w:t>
      </w:r>
      <w:r>
        <w:t>Subjective</w:t>
      </w:r>
    </w:p>
  </w:footnote>
  <w:footnote w:id="2662">
    <w:p w14:paraId="7103D262" w14:textId="6E5DAAE1" w:rsidR="00B47FF5" w:rsidRDefault="00B47FF5" w:rsidP="00537CC8">
      <w:pPr>
        <w:pStyle w:val="FootnoteText"/>
      </w:pPr>
      <w:r>
        <w:rPr>
          <w:rStyle w:val="FootnoteReference"/>
        </w:rPr>
        <w:footnoteRef/>
      </w:r>
      <w:r>
        <w:rPr>
          <w:rtl/>
        </w:rPr>
        <w:t xml:space="preserve"> </w:t>
      </w:r>
      <w:r w:rsidRPr="00962476">
        <w:t>Real options analysis</w:t>
      </w:r>
    </w:p>
  </w:footnote>
  <w:footnote w:id="2663">
    <w:p w14:paraId="3AAAE294" w14:textId="77777777" w:rsidR="00B47FF5" w:rsidRDefault="00B47FF5" w:rsidP="00537CC8">
      <w:pPr>
        <w:pStyle w:val="FootnoteText"/>
      </w:pPr>
      <w:r>
        <w:rPr>
          <w:rStyle w:val="FootnoteReference"/>
        </w:rPr>
        <w:footnoteRef/>
      </w:r>
      <w:r>
        <w:rPr>
          <w:rtl/>
        </w:rPr>
        <w:t xml:space="preserve"> </w:t>
      </w:r>
      <w:r w:rsidRPr="007F68C6">
        <w:t>The Failure of Risk</w:t>
      </w:r>
      <w:r>
        <w:t xml:space="preserve"> </w:t>
      </w:r>
      <w:r w:rsidRPr="007F68C6">
        <w:t>Management</w:t>
      </w:r>
    </w:p>
  </w:footnote>
  <w:footnote w:id="2664">
    <w:p w14:paraId="48C30DAC" w14:textId="77777777" w:rsidR="00B47FF5" w:rsidRDefault="00B47FF5" w:rsidP="00537CC8">
      <w:pPr>
        <w:pStyle w:val="FootnoteText"/>
      </w:pPr>
      <w:r>
        <w:rPr>
          <w:rStyle w:val="FootnoteReference"/>
        </w:rPr>
        <w:footnoteRef/>
      </w:r>
      <w:r>
        <w:rPr>
          <w:rtl/>
        </w:rPr>
        <w:t xml:space="preserve"> </w:t>
      </w:r>
      <w:r w:rsidRPr="00FD1DFD">
        <w:t>Doug Hubbard</w:t>
      </w:r>
    </w:p>
  </w:footnote>
  <w:footnote w:id="2665">
    <w:p w14:paraId="7DF06B61" w14:textId="77777777" w:rsidR="00B47FF5" w:rsidRDefault="00B47FF5" w:rsidP="00537CC8">
      <w:pPr>
        <w:pStyle w:val="FootnoteText"/>
      </w:pPr>
      <w:r>
        <w:rPr>
          <w:rStyle w:val="FootnoteReference"/>
        </w:rPr>
        <w:footnoteRef/>
      </w:r>
      <w:r>
        <w:rPr>
          <w:rtl/>
        </w:rPr>
        <w:t xml:space="preserve"> </w:t>
      </w:r>
      <w:r w:rsidRPr="00C81010">
        <w:t>Out of the Blue</w:t>
      </w:r>
    </w:p>
  </w:footnote>
  <w:footnote w:id="2666">
    <w:p w14:paraId="0B5457A9" w14:textId="77777777" w:rsidR="00B47FF5" w:rsidRDefault="00B47FF5" w:rsidP="00537CC8">
      <w:pPr>
        <w:pStyle w:val="FootnoteText"/>
      </w:pPr>
      <w:r>
        <w:rPr>
          <w:rStyle w:val="FootnoteReference"/>
        </w:rPr>
        <w:footnoteRef/>
      </w:r>
      <w:r>
        <w:rPr>
          <w:rtl/>
        </w:rPr>
        <w:t xml:space="preserve"> </w:t>
      </w:r>
      <w:r w:rsidRPr="00FD1DFD">
        <w:t>John L. Peterson</w:t>
      </w:r>
    </w:p>
  </w:footnote>
  <w:footnote w:id="2667">
    <w:p w14:paraId="3DB3A5C4" w14:textId="77777777" w:rsidR="00B47FF5" w:rsidRDefault="00B47FF5" w:rsidP="00537CC8">
      <w:pPr>
        <w:pStyle w:val="FootnoteText"/>
      </w:pPr>
      <w:r>
        <w:rPr>
          <w:rStyle w:val="FootnoteReference"/>
        </w:rPr>
        <w:footnoteRef/>
      </w:r>
      <w:r>
        <w:rPr>
          <w:rtl/>
        </w:rPr>
        <w:t xml:space="preserve"> </w:t>
      </w:r>
      <w:r w:rsidRPr="00C81010">
        <w:t>The Black Swan</w:t>
      </w:r>
    </w:p>
  </w:footnote>
  <w:footnote w:id="2668">
    <w:p w14:paraId="2FEB32F6" w14:textId="0AE4CC64" w:rsidR="00B47FF5" w:rsidRDefault="00B47FF5" w:rsidP="00537CC8">
      <w:pPr>
        <w:pStyle w:val="FootnoteText"/>
      </w:pPr>
      <w:r>
        <w:rPr>
          <w:rStyle w:val="FootnoteReference"/>
        </w:rPr>
        <w:footnoteRef/>
      </w:r>
      <w:r>
        <w:rPr>
          <w:rtl/>
        </w:rPr>
        <w:t xml:space="preserve"> </w:t>
      </w:r>
      <w:r w:rsidRPr="00E877E4">
        <w:t>Litany</w:t>
      </w:r>
    </w:p>
  </w:footnote>
  <w:footnote w:id="2669">
    <w:p w14:paraId="6D0ECA47" w14:textId="77777777" w:rsidR="00B47FF5" w:rsidRDefault="00B47FF5" w:rsidP="00537CC8">
      <w:pPr>
        <w:pStyle w:val="FootnoteText"/>
      </w:pPr>
      <w:r>
        <w:rPr>
          <w:rStyle w:val="FootnoteReference"/>
        </w:rPr>
        <w:footnoteRef/>
      </w:r>
      <w:r>
        <w:rPr>
          <w:rtl/>
        </w:rPr>
        <w:t xml:space="preserve"> </w:t>
      </w:r>
      <w:r w:rsidRPr="00941878">
        <w:t>Causal Layered Analysis</w:t>
      </w:r>
    </w:p>
  </w:footnote>
  <w:footnote w:id="2670">
    <w:p w14:paraId="298D6FBC" w14:textId="34377A74" w:rsidR="00AF7539" w:rsidRDefault="00AF7539">
      <w:pPr>
        <w:pStyle w:val="FootnoteText"/>
      </w:pPr>
      <w:r>
        <w:rPr>
          <w:rStyle w:val="FootnoteReference"/>
        </w:rPr>
        <w:footnoteRef/>
      </w:r>
      <w:r>
        <w:t xml:space="preserve"> The casual layered analysis (CLS) reader</w:t>
      </w:r>
    </w:p>
  </w:footnote>
  <w:footnote w:id="2671">
    <w:p w14:paraId="3227EDF2" w14:textId="77777777" w:rsidR="00B47FF5" w:rsidRDefault="00B47FF5" w:rsidP="00537CC8">
      <w:pPr>
        <w:pStyle w:val="FootnoteText"/>
      </w:pPr>
      <w:r>
        <w:rPr>
          <w:rStyle w:val="FootnoteReference"/>
        </w:rPr>
        <w:footnoteRef/>
      </w:r>
      <w:r>
        <w:rPr>
          <w:rtl/>
        </w:rPr>
        <w:t xml:space="preserve"> </w:t>
      </w:r>
      <w:r w:rsidRPr="00ED63B6">
        <w:t>Metaphor</w:t>
      </w:r>
    </w:p>
  </w:footnote>
  <w:footnote w:id="2672">
    <w:p w14:paraId="40E02BAA" w14:textId="3F293057" w:rsidR="00B47FF5" w:rsidRDefault="00B47FF5" w:rsidP="00537CC8">
      <w:pPr>
        <w:pStyle w:val="FootnoteText"/>
      </w:pPr>
      <w:r>
        <w:rPr>
          <w:rStyle w:val="FootnoteReference"/>
        </w:rPr>
        <w:footnoteRef/>
      </w:r>
      <w:r>
        <w:rPr>
          <w:rtl/>
        </w:rPr>
        <w:t xml:space="preserve"> </w:t>
      </w:r>
      <w:r>
        <w:t>Mapped</w:t>
      </w:r>
    </w:p>
  </w:footnote>
  <w:footnote w:id="2673">
    <w:p w14:paraId="72F7EEEC" w14:textId="77777777" w:rsidR="00B47FF5" w:rsidRDefault="00B47FF5" w:rsidP="00537CC8">
      <w:pPr>
        <w:pStyle w:val="FootnoteText"/>
      </w:pPr>
      <w:r>
        <w:rPr>
          <w:rStyle w:val="FootnoteReference"/>
        </w:rPr>
        <w:footnoteRef/>
      </w:r>
      <w:r>
        <w:rPr>
          <w:rtl/>
        </w:rPr>
        <w:t xml:space="preserve"> </w:t>
      </w:r>
      <w:r w:rsidRPr="00BB1AB3">
        <w:t>The Fifth Discipline: The Art and Practice of the Learning Organization</w:t>
      </w:r>
    </w:p>
  </w:footnote>
  <w:footnote w:id="2674">
    <w:p w14:paraId="2C95CF98" w14:textId="77777777" w:rsidR="00B47FF5" w:rsidRDefault="00B47FF5" w:rsidP="00537CC8">
      <w:pPr>
        <w:pStyle w:val="FootnoteText"/>
      </w:pPr>
      <w:r>
        <w:rPr>
          <w:rStyle w:val="FootnoteReference"/>
        </w:rPr>
        <w:footnoteRef/>
      </w:r>
      <w:r>
        <w:rPr>
          <w:rtl/>
        </w:rPr>
        <w:t xml:space="preserve"> </w:t>
      </w:r>
      <w:r w:rsidRPr="00A840E9">
        <w:t>Art Shostak</w:t>
      </w:r>
    </w:p>
  </w:footnote>
  <w:footnote w:id="2675">
    <w:p w14:paraId="0A49B770" w14:textId="77777777" w:rsidR="00B47FF5" w:rsidRDefault="00B47FF5" w:rsidP="00537CC8">
      <w:pPr>
        <w:pStyle w:val="FootnoteText"/>
        <w:rPr>
          <w:rtl/>
        </w:rPr>
      </w:pPr>
      <w:r>
        <w:rPr>
          <w:rStyle w:val="FootnoteReference"/>
        </w:rPr>
        <w:footnoteRef/>
      </w:r>
      <w:r>
        <w:rPr>
          <w:rtl/>
        </w:rPr>
        <w:t xml:space="preserve"> </w:t>
      </w:r>
      <w:r w:rsidRPr="00BB1AB3">
        <w:t>The Great Game of Business</w:t>
      </w:r>
    </w:p>
  </w:footnote>
  <w:footnote w:id="2676">
    <w:p w14:paraId="490F0686" w14:textId="77777777" w:rsidR="00B47FF5" w:rsidRDefault="00B47FF5" w:rsidP="00537CC8">
      <w:pPr>
        <w:pStyle w:val="FootnoteText"/>
      </w:pPr>
      <w:r>
        <w:rPr>
          <w:rStyle w:val="FootnoteReference"/>
        </w:rPr>
        <w:footnoteRef/>
      </w:r>
      <w:r>
        <w:rPr>
          <w:rtl/>
        </w:rPr>
        <w:t xml:space="preserve"> </w:t>
      </w:r>
      <w:r w:rsidRPr="00A840E9">
        <w:t>Jack Stack</w:t>
      </w:r>
    </w:p>
  </w:footnote>
  <w:footnote w:id="2677">
    <w:p w14:paraId="607A1D6B" w14:textId="67FB36CF" w:rsidR="00B47FF5" w:rsidRDefault="00B47FF5" w:rsidP="00537CC8">
      <w:pPr>
        <w:pStyle w:val="FootnoteText"/>
      </w:pPr>
      <w:r>
        <w:rPr>
          <w:rStyle w:val="FootnoteReference"/>
        </w:rPr>
        <w:footnoteRef/>
      </w:r>
      <w:r>
        <w:rPr>
          <w:rtl/>
        </w:rPr>
        <w:t xml:space="preserve"> </w:t>
      </w:r>
      <w:r>
        <w:t>Backcast</w:t>
      </w:r>
    </w:p>
  </w:footnote>
  <w:footnote w:id="2678">
    <w:p w14:paraId="47C76A70" w14:textId="77777777" w:rsidR="00B47FF5" w:rsidRDefault="00B47FF5" w:rsidP="00537CC8">
      <w:pPr>
        <w:pStyle w:val="FootnoteText"/>
      </w:pPr>
      <w:r>
        <w:rPr>
          <w:rStyle w:val="FootnoteReference"/>
        </w:rPr>
        <w:footnoteRef/>
      </w:r>
      <w:r>
        <w:rPr>
          <w:rtl/>
        </w:rPr>
        <w:t xml:space="preserve"> </w:t>
      </w:r>
      <w:r w:rsidRPr="00A840E9">
        <w:t>Richard Rumelt</w:t>
      </w:r>
    </w:p>
  </w:footnote>
  <w:footnote w:id="2679">
    <w:p w14:paraId="484B18FD" w14:textId="77777777" w:rsidR="00B47FF5" w:rsidRDefault="00B47FF5" w:rsidP="00537CC8">
      <w:pPr>
        <w:pStyle w:val="FootnoteText"/>
      </w:pPr>
      <w:r>
        <w:rPr>
          <w:rStyle w:val="FootnoteReference"/>
        </w:rPr>
        <w:footnoteRef/>
      </w:r>
      <w:r>
        <w:rPr>
          <w:rtl/>
        </w:rPr>
        <w:t xml:space="preserve"> </w:t>
      </w:r>
      <w:r w:rsidRPr="00DB199A">
        <w:t>Good Strategy / Bad Strategy</w:t>
      </w:r>
    </w:p>
  </w:footnote>
  <w:footnote w:id="2680">
    <w:p w14:paraId="040A74A3" w14:textId="77777777" w:rsidR="00B47FF5" w:rsidRDefault="00B47FF5" w:rsidP="00537CC8">
      <w:pPr>
        <w:pStyle w:val="FootnoteText"/>
      </w:pPr>
      <w:r>
        <w:rPr>
          <w:rStyle w:val="FootnoteReference"/>
        </w:rPr>
        <w:footnoteRef/>
      </w:r>
      <w:r>
        <w:rPr>
          <w:rtl/>
        </w:rPr>
        <w:t xml:space="preserve"> </w:t>
      </w:r>
      <w:r w:rsidRPr="007E4085">
        <w:t>Best Laid Plans: The Tyranny of Unintended</w:t>
      </w:r>
      <w:r>
        <w:t xml:space="preserve"> </w:t>
      </w:r>
      <w:r w:rsidRPr="007E4085">
        <w:t>Consequences and How to Avoid Them</w:t>
      </w:r>
    </w:p>
  </w:footnote>
  <w:footnote w:id="2681">
    <w:p w14:paraId="202932B6" w14:textId="77777777" w:rsidR="00B47FF5" w:rsidRDefault="00B47FF5" w:rsidP="00537CC8">
      <w:pPr>
        <w:pStyle w:val="FootnoteText"/>
      </w:pPr>
      <w:r>
        <w:rPr>
          <w:rStyle w:val="FootnoteReference"/>
        </w:rPr>
        <w:footnoteRef/>
      </w:r>
      <w:r>
        <w:rPr>
          <w:rtl/>
        </w:rPr>
        <w:t xml:space="preserve"> </w:t>
      </w:r>
      <w:r w:rsidRPr="00A840E9">
        <w:t>William Sherden</w:t>
      </w:r>
    </w:p>
  </w:footnote>
  <w:footnote w:id="2682">
    <w:p w14:paraId="678B2B02" w14:textId="77777777" w:rsidR="00B47FF5" w:rsidRDefault="00B47FF5" w:rsidP="00537CC8">
      <w:pPr>
        <w:pStyle w:val="FootnoteText"/>
      </w:pPr>
      <w:r>
        <w:rPr>
          <w:rStyle w:val="FootnoteReference"/>
        </w:rPr>
        <w:footnoteRef/>
      </w:r>
      <w:r>
        <w:rPr>
          <w:rtl/>
        </w:rPr>
        <w:t xml:space="preserve"> </w:t>
      </w:r>
      <w:r w:rsidRPr="00A840E9">
        <w:t>Humvee</w:t>
      </w:r>
    </w:p>
  </w:footnote>
  <w:footnote w:id="2683">
    <w:p w14:paraId="60FDE316" w14:textId="77777777" w:rsidR="00B47FF5" w:rsidRDefault="00B47FF5" w:rsidP="00537CC8">
      <w:pPr>
        <w:pStyle w:val="FootnoteText"/>
      </w:pPr>
      <w:r>
        <w:rPr>
          <w:rStyle w:val="FootnoteReference"/>
        </w:rPr>
        <w:footnoteRef/>
      </w:r>
      <w:r>
        <w:rPr>
          <w:rtl/>
        </w:rPr>
        <w:t xml:space="preserve"> </w:t>
      </w:r>
      <w:r>
        <w:t>Clean Air Act</w:t>
      </w:r>
    </w:p>
  </w:footnote>
  <w:footnote w:id="2684">
    <w:p w14:paraId="06FDAA66" w14:textId="77777777" w:rsidR="00B47FF5" w:rsidRDefault="00B47FF5" w:rsidP="00537CC8">
      <w:pPr>
        <w:pStyle w:val="FootnoteText"/>
      </w:pPr>
      <w:r>
        <w:rPr>
          <w:rStyle w:val="FootnoteReference"/>
        </w:rPr>
        <w:footnoteRef/>
      </w:r>
      <w:r>
        <w:rPr>
          <w:rtl/>
        </w:rPr>
        <w:t xml:space="preserve"> </w:t>
      </w:r>
      <w:r w:rsidRPr="00995FB9">
        <w:t>Resilience</w:t>
      </w:r>
    </w:p>
  </w:footnote>
  <w:footnote w:id="2685">
    <w:p w14:paraId="4C7EB1A4" w14:textId="77777777" w:rsidR="00B47FF5" w:rsidRDefault="00B47FF5" w:rsidP="00537CC8">
      <w:pPr>
        <w:pStyle w:val="FootnoteText"/>
      </w:pPr>
      <w:r>
        <w:rPr>
          <w:rStyle w:val="FootnoteReference"/>
        </w:rPr>
        <w:footnoteRef/>
      </w:r>
      <w:r>
        <w:rPr>
          <w:rtl/>
        </w:rPr>
        <w:t xml:space="preserve"> </w:t>
      </w:r>
      <w:r w:rsidRPr="00A840E9">
        <w:t>Andrew Zolli</w:t>
      </w:r>
    </w:p>
  </w:footnote>
  <w:footnote w:id="2686">
    <w:p w14:paraId="3371CF53" w14:textId="77777777" w:rsidR="00B47FF5" w:rsidRDefault="00B47FF5" w:rsidP="00537CC8">
      <w:pPr>
        <w:pStyle w:val="FootnoteText"/>
      </w:pPr>
      <w:r>
        <w:rPr>
          <w:rStyle w:val="FootnoteReference"/>
        </w:rPr>
        <w:footnoteRef/>
      </w:r>
      <w:r>
        <w:rPr>
          <w:rtl/>
        </w:rPr>
        <w:t xml:space="preserve"> </w:t>
      </w:r>
      <w:r>
        <w:t>Workbook</w:t>
      </w:r>
    </w:p>
  </w:footnote>
  <w:footnote w:id="2687">
    <w:p w14:paraId="302B6876" w14:textId="77777777" w:rsidR="00B47FF5" w:rsidRDefault="00B47FF5" w:rsidP="00537CC8">
      <w:pPr>
        <w:pStyle w:val="FootnoteText"/>
      </w:pPr>
      <w:r>
        <w:rPr>
          <w:rStyle w:val="FootnoteReference"/>
        </w:rPr>
        <w:footnoteRef/>
      </w:r>
      <w:r>
        <w:rPr>
          <w:rtl/>
        </w:rPr>
        <w:t xml:space="preserve"> </w:t>
      </w:r>
      <w:r w:rsidRPr="00976943">
        <w:t>Futures Research Methodology</w:t>
      </w:r>
    </w:p>
  </w:footnote>
  <w:footnote w:id="2688">
    <w:p w14:paraId="7365E042" w14:textId="77777777" w:rsidR="00B47FF5" w:rsidRDefault="00B47FF5" w:rsidP="00537CC8">
      <w:pPr>
        <w:pStyle w:val="FootnoteText"/>
      </w:pPr>
      <w:r>
        <w:rPr>
          <w:rStyle w:val="FootnoteReference"/>
        </w:rPr>
        <w:footnoteRef/>
      </w:r>
      <w:r>
        <w:rPr>
          <w:rtl/>
        </w:rPr>
        <w:t xml:space="preserve"> </w:t>
      </w:r>
      <w:r w:rsidRPr="00976943">
        <w:t>Millennium Project</w:t>
      </w:r>
    </w:p>
  </w:footnote>
  <w:footnote w:id="2689">
    <w:p w14:paraId="26594501" w14:textId="77777777" w:rsidR="00B47FF5" w:rsidRDefault="00B47FF5" w:rsidP="00537CC8">
      <w:pPr>
        <w:pStyle w:val="FootnoteText"/>
      </w:pPr>
      <w:r>
        <w:rPr>
          <w:rStyle w:val="FootnoteReference"/>
        </w:rPr>
        <w:footnoteRef/>
      </w:r>
      <w:r>
        <w:rPr>
          <w:rtl/>
        </w:rPr>
        <w:t xml:space="preserve"> </w:t>
      </w:r>
      <w:r w:rsidRPr="00A840E9">
        <w:t>Glenn</w:t>
      </w:r>
    </w:p>
  </w:footnote>
  <w:footnote w:id="2690">
    <w:p w14:paraId="49B9091C" w14:textId="77777777" w:rsidR="00B47FF5" w:rsidRDefault="00B47FF5" w:rsidP="00537CC8">
      <w:pPr>
        <w:pStyle w:val="FootnoteText"/>
      </w:pPr>
      <w:r>
        <w:rPr>
          <w:rStyle w:val="FootnoteReference"/>
        </w:rPr>
        <w:footnoteRef/>
      </w:r>
      <w:r>
        <w:rPr>
          <w:rtl/>
        </w:rPr>
        <w:t xml:space="preserve"> </w:t>
      </w:r>
      <w:r w:rsidRPr="00976943">
        <w:t>State of the Future</w:t>
      </w:r>
    </w:p>
  </w:footnote>
  <w:footnote w:id="2691">
    <w:p w14:paraId="5A9F5787" w14:textId="77777777" w:rsidR="00B47FF5" w:rsidRDefault="00B47FF5" w:rsidP="00537CC8">
      <w:pPr>
        <w:pStyle w:val="FootnoteText"/>
      </w:pPr>
      <w:r>
        <w:rPr>
          <w:rStyle w:val="FootnoteReference"/>
        </w:rPr>
        <w:footnoteRef/>
      </w:r>
      <w:r>
        <w:rPr>
          <w:rtl/>
        </w:rPr>
        <w:t xml:space="preserve"> </w:t>
      </w:r>
      <w:r w:rsidRPr="00A840E9">
        <w:t>Glenn and Florescu</w:t>
      </w:r>
    </w:p>
  </w:footnote>
  <w:footnote w:id="2692">
    <w:p w14:paraId="2DEDC683" w14:textId="77777777" w:rsidR="00B47FF5" w:rsidRDefault="00B47FF5" w:rsidP="00537CC8">
      <w:pPr>
        <w:pStyle w:val="FootnoteText"/>
      </w:pPr>
      <w:r>
        <w:rPr>
          <w:rStyle w:val="FootnoteReference"/>
        </w:rPr>
        <w:footnoteRef/>
      </w:r>
      <w:r>
        <w:rPr>
          <w:rtl/>
        </w:rPr>
        <w:t xml:space="preserve"> </w:t>
      </w:r>
      <w:r w:rsidRPr="00B57F78">
        <w:t>Foundations of Futures Studies, Volumes 1 and 2</w:t>
      </w:r>
    </w:p>
  </w:footnote>
  <w:footnote w:id="2693">
    <w:p w14:paraId="15E55BB8" w14:textId="77777777" w:rsidR="00B47FF5" w:rsidRDefault="00B47FF5" w:rsidP="00537CC8">
      <w:pPr>
        <w:pStyle w:val="FootnoteText"/>
      </w:pPr>
      <w:r>
        <w:rPr>
          <w:rStyle w:val="FootnoteReference"/>
        </w:rPr>
        <w:footnoteRef/>
      </w:r>
      <w:r>
        <w:rPr>
          <w:rtl/>
        </w:rPr>
        <w:t xml:space="preserve"> </w:t>
      </w:r>
      <w:r w:rsidRPr="005F313A">
        <w:t>Wendell Bell</w:t>
      </w:r>
    </w:p>
  </w:footnote>
  <w:footnote w:id="2694">
    <w:p w14:paraId="1AFC6A4D" w14:textId="77777777" w:rsidR="00B47FF5" w:rsidRDefault="00B47FF5" w:rsidP="00537CC8">
      <w:pPr>
        <w:pStyle w:val="FootnoteText"/>
      </w:pPr>
      <w:r>
        <w:rPr>
          <w:rStyle w:val="FootnoteReference"/>
        </w:rPr>
        <w:footnoteRef/>
      </w:r>
      <w:r>
        <w:rPr>
          <w:rtl/>
        </w:rPr>
        <w:t xml:space="preserve"> </w:t>
      </w:r>
      <w:r w:rsidRPr="009377F9">
        <w:t>Knowledge Base of Futures Studies</w:t>
      </w:r>
    </w:p>
  </w:footnote>
  <w:footnote w:id="2695">
    <w:p w14:paraId="6086D83F" w14:textId="77777777" w:rsidR="00B47FF5" w:rsidRDefault="00B47FF5" w:rsidP="00537CC8">
      <w:pPr>
        <w:pStyle w:val="FootnoteText"/>
      </w:pPr>
      <w:r>
        <w:rPr>
          <w:rStyle w:val="FootnoteReference"/>
        </w:rPr>
        <w:footnoteRef/>
      </w:r>
      <w:r>
        <w:rPr>
          <w:rtl/>
        </w:rPr>
        <w:t xml:space="preserve"> </w:t>
      </w:r>
      <w:r w:rsidRPr="005F313A">
        <w:t>Richard Slaughter and Andy Hines</w:t>
      </w:r>
    </w:p>
  </w:footnote>
  <w:footnote w:id="2696">
    <w:p w14:paraId="3022E5A5" w14:textId="77777777" w:rsidR="00B47FF5" w:rsidRDefault="00B47FF5" w:rsidP="00537CC8">
      <w:pPr>
        <w:pStyle w:val="FootnoteText"/>
      </w:pPr>
      <w:r>
        <w:rPr>
          <w:rStyle w:val="FootnoteReference"/>
        </w:rPr>
        <w:footnoteRef/>
      </w:r>
      <w:r>
        <w:rPr>
          <w:rtl/>
        </w:rPr>
        <w:t xml:space="preserve"> </w:t>
      </w:r>
      <w:r w:rsidRPr="009377F9">
        <w:t>Association of Professional Futurists</w:t>
      </w:r>
    </w:p>
  </w:footnote>
  <w:footnote w:id="2697">
    <w:p w14:paraId="45D0AEFA" w14:textId="455C5CD7" w:rsidR="00B47FF5" w:rsidRDefault="00B47FF5" w:rsidP="00537CC8">
      <w:pPr>
        <w:pStyle w:val="FootnoteText"/>
      </w:pPr>
      <w:r>
        <w:rPr>
          <w:rStyle w:val="FootnoteReference"/>
        </w:rPr>
        <w:footnoteRef/>
      </w:r>
      <w:r>
        <w:rPr>
          <w:rtl/>
        </w:rPr>
        <w:t xml:space="preserve"> </w:t>
      </w:r>
      <w:r>
        <w:t>Growth-obsessed consumer capitalism and plutocracy</w:t>
      </w:r>
    </w:p>
  </w:footnote>
  <w:footnote w:id="2698">
    <w:p w14:paraId="71D583F6" w14:textId="77777777" w:rsidR="00B47FF5" w:rsidRDefault="00B47FF5" w:rsidP="00537CC8">
      <w:pPr>
        <w:pStyle w:val="FootnoteText"/>
      </w:pPr>
      <w:r>
        <w:rPr>
          <w:rStyle w:val="FootnoteReference"/>
        </w:rPr>
        <w:footnoteRef/>
      </w:r>
      <w:r>
        <w:rPr>
          <w:rtl/>
        </w:rPr>
        <w:t xml:space="preserve"> </w:t>
      </w:r>
      <w:r w:rsidRPr="00847F9A">
        <w:t>Cycles: The Science of Prediction</w:t>
      </w:r>
    </w:p>
  </w:footnote>
  <w:footnote w:id="2699">
    <w:p w14:paraId="273457B9" w14:textId="77777777" w:rsidR="00B47FF5" w:rsidRDefault="00B47FF5" w:rsidP="00537CC8">
      <w:pPr>
        <w:pStyle w:val="FootnoteText"/>
      </w:pPr>
      <w:r>
        <w:rPr>
          <w:rStyle w:val="FootnoteReference"/>
        </w:rPr>
        <w:footnoteRef/>
      </w:r>
      <w:r>
        <w:rPr>
          <w:rtl/>
        </w:rPr>
        <w:t xml:space="preserve"> </w:t>
      </w:r>
      <w:r w:rsidRPr="005F313A">
        <w:t>Dewey and Dakin</w:t>
      </w:r>
    </w:p>
  </w:footnote>
  <w:footnote w:id="2700">
    <w:p w14:paraId="1E1628A7" w14:textId="134EB8A1" w:rsidR="00B47FF5" w:rsidRDefault="00B47FF5" w:rsidP="00537CC8">
      <w:pPr>
        <w:pStyle w:val="FootnoteText"/>
      </w:pPr>
      <w:r>
        <w:rPr>
          <w:rStyle w:val="FootnoteReference"/>
        </w:rPr>
        <w:footnoteRef/>
      </w:r>
      <w:r>
        <w:rPr>
          <w:rtl/>
        </w:rPr>
        <w:t xml:space="preserve"> </w:t>
      </w:r>
      <w:r>
        <w:t>The year 2000</w:t>
      </w:r>
    </w:p>
  </w:footnote>
  <w:footnote w:id="2701">
    <w:p w14:paraId="53225D58" w14:textId="77777777" w:rsidR="00B47FF5" w:rsidRDefault="00B47FF5" w:rsidP="00537CC8">
      <w:pPr>
        <w:pStyle w:val="FootnoteText"/>
      </w:pPr>
      <w:r>
        <w:rPr>
          <w:rStyle w:val="FootnoteReference"/>
        </w:rPr>
        <w:footnoteRef/>
      </w:r>
      <w:r>
        <w:rPr>
          <w:rtl/>
        </w:rPr>
        <w:t xml:space="preserve"> </w:t>
      </w:r>
      <w:r w:rsidRPr="005F313A">
        <w:t>Kahn and Weiner</w:t>
      </w:r>
    </w:p>
  </w:footnote>
  <w:footnote w:id="2702">
    <w:p w14:paraId="6863C82A" w14:textId="77777777" w:rsidR="00B47FF5" w:rsidRDefault="00B47FF5" w:rsidP="00537CC8">
      <w:pPr>
        <w:pStyle w:val="FootnoteText"/>
      </w:pPr>
      <w:r>
        <w:rPr>
          <w:rStyle w:val="FootnoteReference"/>
        </w:rPr>
        <w:footnoteRef/>
      </w:r>
      <w:r>
        <w:rPr>
          <w:rtl/>
        </w:rPr>
        <w:t xml:space="preserve"> </w:t>
      </w:r>
      <w:r w:rsidRPr="00847F9A">
        <w:t>The Next 500</w:t>
      </w:r>
      <w:r>
        <w:t xml:space="preserve"> Years</w:t>
      </w:r>
    </w:p>
  </w:footnote>
  <w:footnote w:id="2703">
    <w:p w14:paraId="5702F33C" w14:textId="77777777" w:rsidR="00B47FF5" w:rsidRDefault="00B47FF5" w:rsidP="00537CC8">
      <w:pPr>
        <w:pStyle w:val="FootnoteText"/>
      </w:pPr>
      <w:r>
        <w:rPr>
          <w:rStyle w:val="FootnoteReference"/>
        </w:rPr>
        <w:footnoteRef/>
      </w:r>
      <w:r>
        <w:rPr>
          <w:rtl/>
        </w:rPr>
        <w:t xml:space="preserve"> </w:t>
      </w:r>
      <w:r w:rsidRPr="005F313A">
        <w:t>Burnham Beckwith</w:t>
      </w:r>
    </w:p>
  </w:footnote>
  <w:footnote w:id="2704">
    <w:p w14:paraId="273A27EE" w14:textId="77777777" w:rsidR="00B47FF5" w:rsidRDefault="00B47FF5" w:rsidP="00537CC8">
      <w:pPr>
        <w:pStyle w:val="FootnoteText"/>
      </w:pPr>
      <w:r>
        <w:rPr>
          <w:rStyle w:val="FootnoteReference"/>
        </w:rPr>
        <w:footnoteRef/>
      </w:r>
      <w:r>
        <w:rPr>
          <w:rtl/>
        </w:rPr>
        <w:t xml:space="preserve"> </w:t>
      </w:r>
      <w:r w:rsidRPr="00847F9A">
        <w:t>Handbook of Futures Research</w:t>
      </w:r>
    </w:p>
  </w:footnote>
  <w:footnote w:id="2705">
    <w:p w14:paraId="7D1A94D9" w14:textId="77777777" w:rsidR="00B47FF5" w:rsidRDefault="00B47FF5" w:rsidP="00537CC8">
      <w:pPr>
        <w:pStyle w:val="FootnoteText"/>
      </w:pPr>
      <w:r>
        <w:rPr>
          <w:rStyle w:val="FootnoteReference"/>
        </w:rPr>
        <w:footnoteRef/>
      </w:r>
      <w:r>
        <w:rPr>
          <w:rtl/>
        </w:rPr>
        <w:t xml:space="preserve"> </w:t>
      </w:r>
      <w:r w:rsidRPr="005F313A">
        <w:t>Jib Fowles</w:t>
      </w:r>
    </w:p>
  </w:footnote>
  <w:footnote w:id="2706">
    <w:p w14:paraId="7FCD3C4B" w14:textId="77777777" w:rsidR="00B47FF5" w:rsidRDefault="00B47FF5" w:rsidP="00537CC8">
      <w:pPr>
        <w:pStyle w:val="FootnoteText"/>
      </w:pPr>
      <w:r>
        <w:rPr>
          <w:rStyle w:val="FootnoteReference"/>
        </w:rPr>
        <w:footnoteRef/>
      </w:r>
      <w:r>
        <w:rPr>
          <w:rtl/>
        </w:rPr>
        <w:t xml:space="preserve"> </w:t>
      </w:r>
      <w:r w:rsidRPr="00847F9A">
        <w:t>Looking Forward: A Guide to Futures Research</w:t>
      </w:r>
    </w:p>
  </w:footnote>
  <w:footnote w:id="2707">
    <w:p w14:paraId="7F8F0600" w14:textId="77777777" w:rsidR="00B47FF5" w:rsidRDefault="00B47FF5" w:rsidP="00537CC8">
      <w:pPr>
        <w:pStyle w:val="FootnoteText"/>
      </w:pPr>
      <w:r>
        <w:rPr>
          <w:rStyle w:val="FootnoteReference"/>
        </w:rPr>
        <w:footnoteRef/>
      </w:r>
      <w:r>
        <w:rPr>
          <w:rtl/>
        </w:rPr>
        <w:t xml:space="preserve"> </w:t>
      </w:r>
      <w:r w:rsidRPr="005F313A">
        <w:t>Olaf Helmer</w:t>
      </w:r>
    </w:p>
  </w:footnote>
  <w:footnote w:id="2708">
    <w:p w14:paraId="2CE61879" w14:textId="77777777" w:rsidR="00B47FF5" w:rsidRDefault="00B47FF5" w:rsidP="00537CC8">
      <w:pPr>
        <w:pStyle w:val="FootnoteText"/>
      </w:pPr>
      <w:r>
        <w:rPr>
          <w:rStyle w:val="FootnoteReference"/>
        </w:rPr>
        <w:footnoteRef/>
      </w:r>
      <w:r>
        <w:rPr>
          <w:rtl/>
        </w:rPr>
        <w:t xml:space="preserve"> </w:t>
      </w:r>
      <w:r w:rsidRPr="00847F9A">
        <w:t>What Futurists Believe</w:t>
      </w:r>
    </w:p>
  </w:footnote>
  <w:footnote w:id="2709">
    <w:p w14:paraId="1245B825" w14:textId="77777777" w:rsidR="00B47FF5" w:rsidRDefault="00B47FF5" w:rsidP="00537CC8">
      <w:pPr>
        <w:pStyle w:val="FootnoteText"/>
      </w:pPr>
      <w:r>
        <w:rPr>
          <w:rStyle w:val="FootnoteReference"/>
        </w:rPr>
        <w:footnoteRef/>
      </w:r>
      <w:r>
        <w:rPr>
          <w:rtl/>
        </w:rPr>
        <w:t xml:space="preserve"> </w:t>
      </w:r>
      <w:r w:rsidRPr="005F313A">
        <w:t>Coates and Jarrett</w:t>
      </w:r>
    </w:p>
  </w:footnote>
  <w:footnote w:id="2710">
    <w:p w14:paraId="17B62348" w14:textId="77777777" w:rsidR="00B47FF5" w:rsidRDefault="00B47FF5" w:rsidP="00537CC8">
      <w:pPr>
        <w:pStyle w:val="FootnoteText"/>
      </w:pPr>
      <w:r>
        <w:rPr>
          <w:rStyle w:val="FootnoteReference"/>
        </w:rPr>
        <w:footnoteRef/>
      </w:r>
      <w:r>
        <w:rPr>
          <w:rtl/>
        </w:rPr>
        <w:t xml:space="preserve"> </w:t>
      </w:r>
      <w:r w:rsidRPr="005F313A">
        <w:t>Rafael Popper</w:t>
      </w:r>
    </w:p>
  </w:footnote>
  <w:footnote w:id="2711">
    <w:p w14:paraId="417451B4" w14:textId="77777777" w:rsidR="00B47FF5" w:rsidRDefault="00B47FF5" w:rsidP="00537CC8">
      <w:pPr>
        <w:pStyle w:val="FootnoteText"/>
      </w:pPr>
      <w:r>
        <w:rPr>
          <w:rStyle w:val="FootnoteReference"/>
        </w:rPr>
        <w:footnoteRef/>
      </w:r>
      <w:r>
        <w:rPr>
          <w:rtl/>
        </w:rPr>
        <w:t xml:space="preserve"> </w:t>
      </w:r>
      <w:r w:rsidRPr="00D337BE">
        <w:t>Global Foresight Outlook</w:t>
      </w:r>
    </w:p>
  </w:footnote>
  <w:footnote w:id="2712">
    <w:p w14:paraId="266F4A59" w14:textId="77777777" w:rsidR="00B47FF5" w:rsidRDefault="00B47FF5" w:rsidP="00537CC8">
      <w:pPr>
        <w:pStyle w:val="FootnoteText"/>
      </w:pPr>
      <w:r>
        <w:rPr>
          <w:rStyle w:val="FootnoteReference"/>
        </w:rPr>
        <w:footnoteRef/>
      </w:r>
      <w:r>
        <w:rPr>
          <w:rtl/>
        </w:rPr>
        <w:t xml:space="preserve"> </w:t>
      </w:r>
      <w:r>
        <w:t>Foresight Diamond</w:t>
      </w:r>
    </w:p>
  </w:footnote>
  <w:footnote w:id="2713">
    <w:p w14:paraId="1683F7A6" w14:textId="77777777" w:rsidR="00B47FF5" w:rsidRDefault="00B47FF5" w:rsidP="00537CC8">
      <w:pPr>
        <w:pStyle w:val="FootnoteText"/>
      </w:pPr>
      <w:r>
        <w:rPr>
          <w:rStyle w:val="FootnoteReference"/>
        </w:rPr>
        <w:footnoteRef/>
      </w:r>
      <w:r>
        <w:rPr>
          <w:rtl/>
        </w:rPr>
        <w:t xml:space="preserve"> </w:t>
      </w:r>
      <w:r w:rsidRPr="005F313A">
        <w:t>Glenn</w:t>
      </w:r>
    </w:p>
  </w:footnote>
  <w:footnote w:id="2714">
    <w:p w14:paraId="5FC06170" w14:textId="77777777" w:rsidR="00B47FF5" w:rsidRDefault="00B47FF5" w:rsidP="00537CC8">
      <w:pPr>
        <w:pStyle w:val="FootnoteText"/>
      </w:pPr>
      <w:r>
        <w:rPr>
          <w:rStyle w:val="FootnoteReference"/>
        </w:rPr>
        <w:footnoteRef/>
      </w:r>
      <w:r>
        <w:rPr>
          <w:rtl/>
        </w:rPr>
        <w:t xml:space="preserve"> </w:t>
      </w:r>
      <w:r w:rsidRPr="005F313A">
        <w:t>Gordon</w:t>
      </w:r>
    </w:p>
  </w:footnote>
  <w:footnote w:id="2715">
    <w:p w14:paraId="7266E020" w14:textId="77777777" w:rsidR="00B47FF5" w:rsidRDefault="00B47FF5" w:rsidP="00537CC8">
      <w:pPr>
        <w:pStyle w:val="FootnoteText"/>
      </w:pPr>
      <w:r>
        <w:rPr>
          <w:rStyle w:val="FootnoteReference"/>
        </w:rPr>
        <w:footnoteRef/>
      </w:r>
      <w:r>
        <w:rPr>
          <w:rtl/>
        </w:rPr>
        <w:t xml:space="preserve"> </w:t>
      </w:r>
      <w:r w:rsidRPr="008C4C96">
        <w:t>Google Scholar</w:t>
      </w:r>
    </w:p>
  </w:footnote>
  <w:footnote w:id="2716">
    <w:p w14:paraId="6FB10EAD" w14:textId="77777777" w:rsidR="00B47FF5" w:rsidRDefault="00B47FF5" w:rsidP="00537CC8">
      <w:pPr>
        <w:pStyle w:val="FootnoteText"/>
      </w:pPr>
      <w:r>
        <w:rPr>
          <w:rStyle w:val="FootnoteReference"/>
        </w:rPr>
        <w:footnoteRef/>
      </w:r>
      <w:r>
        <w:rPr>
          <w:rtl/>
        </w:rPr>
        <w:t xml:space="preserve"> </w:t>
      </w:r>
      <w:r w:rsidRPr="008C4C96">
        <w:t>Investigative thinking</w:t>
      </w:r>
    </w:p>
  </w:footnote>
  <w:footnote w:id="2717">
    <w:p w14:paraId="768D0824" w14:textId="77777777" w:rsidR="00B47FF5" w:rsidRDefault="00B47FF5" w:rsidP="00537CC8">
      <w:pPr>
        <w:pStyle w:val="FootnoteText"/>
      </w:pPr>
      <w:r>
        <w:rPr>
          <w:rStyle w:val="FootnoteReference"/>
        </w:rPr>
        <w:footnoteRef/>
      </w:r>
      <w:r>
        <w:rPr>
          <w:rtl/>
        </w:rPr>
        <w:t xml:space="preserve"> </w:t>
      </w:r>
      <w:r w:rsidRPr="008C4C96">
        <w:t>Argument/Belief Maps and Mind Maps</w:t>
      </w:r>
    </w:p>
  </w:footnote>
  <w:footnote w:id="2718">
    <w:p w14:paraId="1B7E52AE" w14:textId="77777777" w:rsidR="00B47FF5" w:rsidRDefault="00B47FF5" w:rsidP="00537CC8">
      <w:pPr>
        <w:pStyle w:val="FootnoteText"/>
      </w:pPr>
      <w:r>
        <w:rPr>
          <w:rStyle w:val="FootnoteReference"/>
        </w:rPr>
        <w:footnoteRef/>
      </w:r>
      <w:r>
        <w:rPr>
          <w:rtl/>
        </w:rPr>
        <w:t xml:space="preserve"> </w:t>
      </w:r>
      <w:r w:rsidRPr="00760142">
        <w:t>Causal Layered Analysis</w:t>
      </w:r>
    </w:p>
  </w:footnote>
  <w:footnote w:id="2719">
    <w:p w14:paraId="58368B97" w14:textId="77777777" w:rsidR="00B47FF5" w:rsidRDefault="00B47FF5" w:rsidP="00537CC8">
      <w:pPr>
        <w:pStyle w:val="FootnoteText"/>
      </w:pPr>
      <w:r>
        <w:rPr>
          <w:rStyle w:val="FootnoteReference"/>
        </w:rPr>
        <w:footnoteRef/>
      </w:r>
      <w:r>
        <w:rPr>
          <w:rtl/>
        </w:rPr>
        <w:t xml:space="preserve"> </w:t>
      </w:r>
      <w:r w:rsidRPr="00760142">
        <w:t>Collective Intelligence</w:t>
      </w:r>
    </w:p>
  </w:footnote>
  <w:footnote w:id="2720">
    <w:p w14:paraId="3F960A67" w14:textId="77777777" w:rsidR="00B47FF5" w:rsidRDefault="00B47FF5" w:rsidP="00537CC8">
      <w:pPr>
        <w:pStyle w:val="FootnoteText"/>
      </w:pPr>
      <w:r>
        <w:rPr>
          <w:rStyle w:val="FootnoteReference"/>
        </w:rPr>
        <w:footnoteRef/>
      </w:r>
      <w:r>
        <w:rPr>
          <w:rtl/>
        </w:rPr>
        <w:t xml:space="preserve"> </w:t>
      </w:r>
      <w:r w:rsidRPr="00760142">
        <w:t>Competitive Intelligence</w:t>
      </w:r>
    </w:p>
  </w:footnote>
  <w:footnote w:id="2721">
    <w:p w14:paraId="7A19F67E" w14:textId="77777777" w:rsidR="00B47FF5" w:rsidRDefault="00B47FF5" w:rsidP="00537CC8">
      <w:pPr>
        <w:pStyle w:val="FootnoteText"/>
      </w:pPr>
      <w:r>
        <w:rPr>
          <w:rStyle w:val="FootnoteReference"/>
        </w:rPr>
        <w:footnoteRef/>
      </w:r>
      <w:r>
        <w:rPr>
          <w:rtl/>
        </w:rPr>
        <w:t xml:space="preserve"> </w:t>
      </w:r>
      <w:r w:rsidRPr="00760142">
        <w:t>Cost Accounting</w:t>
      </w:r>
    </w:p>
  </w:footnote>
  <w:footnote w:id="2722">
    <w:p w14:paraId="51124140" w14:textId="77777777" w:rsidR="00B47FF5" w:rsidRDefault="00B47FF5" w:rsidP="00537CC8">
      <w:pPr>
        <w:pStyle w:val="FootnoteText"/>
      </w:pPr>
      <w:r>
        <w:rPr>
          <w:rStyle w:val="FootnoteReference"/>
        </w:rPr>
        <w:footnoteRef/>
      </w:r>
      <w:r>
        <w:rPr>
          <w:rtl/>
        </w:rPr>
        <w:t xml:space="preserve"> </w:t>
      </w:r>
      <w:r w:rsidRPr="00760142">
        <w:t>Domain Mapping</w:t>
      </w:r>
    </w:p>
  </w:footnote>
  <w:footnote w:id="2723">
    <w:p w14:paraId="445E094B" w14:textId="77777777" w:rsidR="00B47FF5" w:rsidRDefault="00B47FF5" w:rsidP="00537CC8">
      <w:pPr>
        <w:pStyle w:val="FootnoteText"/>
      </w:pPr>
      <w:r>
        <w:rPr>
          <w:rStyle w:val="FootnoteReference"/>
        </w:rPr>
        <w:footnoteRef/>
      </w:r>
      <w:r>
        <w:rPr>
          <w:rtl/>
        </w:rPr>
        <w:t xml:space="preserve"> </w:t>
      </w:r>
      <w:r w:rsidRPr="00760142">
        <w:t>Ethnography</w:t>
      </w:r>
    </w:p>
  </w:footnote>
  <w:footnote w:id="2724">
    <w:p w14:paraId="6697624D" w14:textId="77777777" w:rsidR="00B47FF5" w:rsidRDefault="00B47FF5" w:rsidP="00537CC8">
      <w:pPr>
        <w:pStyle w:val="FootnoteText"/>
      </w:pPr>
      <w:r>
        <w:rPr>
          <w:rStyle w:val="FootnoteReference"/>
        </w:rPr>
        <w:footnoteRef/>
      </w:r>
      <w:r>
        <w:rPr>
          <w:rtl/>
        </w:rPr>
        <w:t xml:space="preserve"> </w:t>
      </w:r>
      <w:r w:rsidRPr="00760142">
        <w:t>Emerging Issue Identification</w:t>
      </w:r>
    </w:p>
  </w:footnote>
  <w:footnote w:id="2725">
    <w:p w14:paraId="58A31EEE" w14:textId="77777777" w:rsidR="00B47FF5" w:rsidRDefault="00B47FF5" w:rsidP="00537CC8">
      <w:pPr>
        <w:pStyle w:val="FootnoteText"/>
      </w:pPr>
      <w:r>
        <w:rPr>
          <w:rStyle w:val="FootnoteReference"/>
        </w:rPr>
        <w:footnoteRef/>
      </w:r>
      <w:r>
        <w:rPr>
          <w:rtl/>
        </w:rPr>
        <w:t xml:space="preserve"> </w:t>
      </w:r>
      <w:r w:rsidRPr="00760142">
        <w:t>Weak Signals</w:t>
      </w:r>
    </w:p>
  </w:footnote>
  <w:footnote w:id="2726">
    <w:p w14:paraId="04E66D14" w14:textId="77777777" w:rsidR="00B47FF5" w:rsidRDefault="00B47FF5" w:rsidP="00537CC8">
      <w:pPr>
        <w:pStyle w:val="FootnoteText"/>
      </w:pPr>
      <w:r>
        <w:rPr>
          <w:rStyle w:val="FootnoteReference"/>
        </w:rPr>
        <w:footnoteRef/>
      </w:r>
      <w:r>
        <w:rPr>
          <w:rtl/>
        </w:rPr>
        <w:t xml:space="preserve"> </w:t>
      </w:r>
      <w:r w:rsidRPr="00760142">
        <w:t>Environmental Scanning</w:t>
      </w:r>
    </w:p>
  </w:footnote>
  <w:footnote w:id="2727">
    <w:p w14:paraId="16F338DD" w14:textId="77777777" w:rsidR="00B47FF5" w:rsidRDefault="00B47FF5" w:rsidP="00537CC8">
      <w:pPr>
        <w:pStyle w:val="FootnoteText"/>
      </w:pPr>
      <w:r>
        <w:rPr>
          <w:rStyle w:val="FootnoteReference"/>
        </w:rPr>
        <w:footnoteRef/>
      </w:r>
      <w:r>
        <w:rPr>
          <w:rtl/>
        </w:rPr>
        <w:t xml:space="preserve"> </w:t>
      </w:r>
      <w:r w:rsidRPr="00760142">
        <w:t>Interval Learning</w:t>
      </w:r>
    </w:p>
  </w:footnote>
  <w:footnote w:id="2728">
    <w:p w14:paraId="0BD92A4A" w14:textId="77777777" w:rsidR="00B47FF5" w:rsidRDefault="00B47FF5" w:rsidP="00537CC8">
      <w:pPr>
        <w:pStyle w:val="FootnoteText"/>
      </w:pPr>
      <w:r>
        <w:rPr>
          <w:rStyle w:val="FootnoteReference"/>
        </w:rPr>
        <w:footnoteRef/>
      </w:r>
      <w:r>
        <w:rPr>
          <w:rtl/>
        </w:rPr>
        <w:t xml:space="preserve"> </w:t>
      </w:r>
      <w:r w:rsidRPr="00760142">
        <w:t>Sprint Learning</w:t>
      </w:r>
    </w:p>
  </w:footnote>
  <w:footnote w:id="2729">
    <w:p w14:paraId="25380E9C" w14:textId="77777777" w:rsidR="00B47FF5" w:rsidRDefault="00B47FF5" w:rsidP="00537CC8">
      <w:pPr>
        <w:pStyle w:val="FootnoteText"/>
      </w:pPr>
      <w:r>
        <w:rPr>
          <w:rStyle w:val="FootnoteReference"/>
        </w:rPr>
        <w:footnoteRef/>
      </w:r>
      <w:r>
        <w:rPr>
          <w:rtl/>
        </w:rPr>
        <w:t xml:space="preserve"> </w:t>
      </w:r>
      <w:r>
        <w:t>Spaced Repetition</w:t>
      </w:r>
    </w:p>
  </w:footnote>
  <w:footnote w:id="2730">
    <w:p w14:paraId="72953336" w14:textId="77777777" w:rsidR="00B47FF5" w:rsidRDefault="00B47FF5" w:rsidP="00537CC8">
      <w:pPr>
        <w:pStyle w:val="FootnoteText"/>
      </w:pPr>
      <w:r>
        <w:rPr>
          <w:rStyle w:val="FootnoteReference"/>
        </w:rPr>
        <w:footnoteRef/>
      </w:r>
      <w:r>
        <w:rPr>
          <w:rtl/>
        </w:rPr>
        <w:t xml:space="preserve"> </w:t>
      </w:r>
      <w:r w:rsidRPr="00760142">
        <w:t>Interviews</w:t>
      </w:r>
    </w:p>
  </w:footnote>
  <w:footnote w:id="2731">
    <w:p w14:paraId="60DA95D4" w14:textId="77777777" w:rsidR="00B47FF5" w:rsidRDefault="00B47FF5" w:rsidP="00537CC8">
      <w:pPr>
        <w:pStyle w:val="FootnoteText"/>
      </w:pPr>
      <w:r>
        <w:rPr>
          <w:rStyle w:val="FootnoteReference"/>
        </w:rPr>
        <w:footnoteRef/>
      </w:r>
      <w:r>
        <w:rPr>
          <w:rtl/>
        </w:rPr>
        <w:t xml:space="preserve"> </w:t>
      </w:r>
      <w:r w:rsidRPr="00760142">
        <w:t>Journaling and Diaries</w:t>
      </w:r>
    </w:p>
  </w:footnote>
  <w:footnote w:id="2732">
    <w:p w14:paraId="3CB2BF8E" w14:textId="77777777" w:rsidR="00B47FF5" w:rsidRDefault="00B47FF5" w:rsidP="00537CC8">
      <w:pPr>
        <w:pStyle w:val="FootnoteText"/>
      </w:pPr>
      <w:r>
        <w:rPr>
          <w:rStyle w:val="FootnoteReference"/>
        </w:rPr>
        <w:footnoteRef/>
      </w:r>
      <w:r>
        <w:rPr>
          <w:rtl/>
        </w:rPr>
        <w:t xml:space="preserve"> </w:t>
      </w:r>
      <w:r w:rsidRPr="00760142">
        <w:t>Knowledge Management Platforms</w:t>
      </w:r>
    </w:p>
  </w:footnote>
  <w:footnote w:id="2733">
    <w:p w14:paraId="306B86C0" w14:textId="740AE425" w:rsidR="00B47FF5" w:rsidRDefault="00B47FF5" w:rsidP="00537CC8">
      <w:pPr>
        <w:pStyle w:val="FootnoteText"/>
      </w:pPr>
      <w:r>
        <w:rPr>
          <w:rStyle w:val="FootnoteReference"/>
        </w:rPr>
        <w:footnoteRef/>
      </w:r>
      <w:r>
        <w:rPr>
          <w:rtl/>
        </w:rPr>
        <w:t xml:space="preserve"> </w:t>
      </w:r>
      <w:r>
        <w:t>Capture</w:t>
      </w:r>
    </w:p>
  </w:footnote>
  <w:footnote w:id="2734">
    <w:p w14:paraId="281D3743" w14:textId="77777777" w:rsidR="00B47FF5" w:rsidRDefault="00B47FF5" w:rsidP="00537CC8">
      <w:pPr>
        <w:pStyle w:val="FootnoteText"/>
      </w:pPr>
      <w:r>
        <w:rPr>
          <w:rStyle w:val="FootnoteReference"/>
        </w:rPr>
        <w:footnoteRef/>
      </w:r>
      <w:r>
        <w:rPr>
          <w:rtl/>
        </w:rPr>
        <w:t xml:space="preserve"> </w:t>
      </w:r>
      <w:r w:rsidRPr="0071628B">
        <w:t>Leadership Development</w:t>
      </w:r>
    </w:p>
  </w:footnote>
  <w:footnote w:id="2735">
    <w:p w14:paraId="03DDD212" w14:textId="77777777" w:rsidR="00B47FF5" w:rsidRDefault="00B47FF5" w:rsidP="00537CC8">
      <w:pPr>
        <w:pStyle w:val="FootnoteText"/>
      </w:pPr>
      <w:r>
        <w:rPr>
          <w:rStyle w:val="FootnoteReference"/>
        </w:rPr>
        <w:footnoteRef/>
      </w:r>
      <w:r>
        <w:rPr>
          <w:rtl/>
        </w:rPr>
        <w:t xml:space="preserve"> </w:t>
      </w:r>
      <w:r w:rsidRPr="0071628B">
        <w:t>Literature Review</w:t>
      </w:r>
    </w:p>
  </w:footnote>
  <w:footnote w:id="2736">
    <w:p w14:paraId="6FD0B003" w14:textId="77777777" w:rsidR="00B47FF5" w:rsidRDefault="00B47FF5" w:rsidP="00537CC8">
      <w:pPr>
        <w:pStyle w:val="FootnoteText"/>
      </w:pPr>
      <w:r>
        <w:rPr>
          <w:rStyle w:val="FootnoteReference"/>
        </w:rPr>
        <w:footnoteRef/>
      </w:r>
      <w:r>
        <w:rPr>
          <w:rtl/>
        </w:rPr>
        <w:t xml:space="preserve"> </w:t>
      </w:r>
      <w:r w:rsidRPr="0071628B">
        <w:t>Measurement &amp; Signals Intelligence</w:t>
      </w:r>
    </w:p>
  </w:footnote>
  <w:footnote w:id="2737">
    <w:p w14:paraId="33FD5B20" w14:textId="77777777" w:rsidR="00B47FF5" w:rsidRDefault="00B47FF5" w:rsidP="00537CC8">
      <w:pPr>
        <w:pStyle w:val="FootnoteText"/>
      </w:pPr>
      <w:r>
        <w:rPr>
          <w:rStyle w:val="FootnoteReference"/>
        </w:rPr>
        <w:footnoteRef/>
      </w:r>
      <w:r>
        <w:rPr>
          <w:rtl/>
        </w:rPr>
        <w:t xml:space="preserve"> </w:t>
      </w:r>
      <w:r w:rsidRPr="00471027">
        <w:t>Retrofuturism</w:t>
      </w:r>
    </w:p>
  </w:footnote>
  <w:footnote w:id="2738">
    <w:p w14:paraId="199DB42B" w14:textId="77777777" w:rsidR="00B47FF5" w:rsidRDefault="00B47FF5" w:rsidP="00537CC8">
      <w:pPr>
        <w:pStyle w:val="FootnoteText"/>
      </w:pPr>
      <w:r>
        <w:rPr>
          <w:rStyle w:val="FootnoteReference"/>
        </w:rPr>
        <w:footnoteRef/>
      </w:r>
      <w:r>
        <w:rPr>
          <w:rtl/>
        </w:rPr>
        <w:t xml:space="preserve"> </w:t>
      </w:r>
      <w:r w:rsidRPr="00471027">
        <w:t>Soft Systems Methodology</w:t>
      </w:r>
    </w:p>
  </w:footnote>
  <w:footnote w:id="2739">
    <w:p w14:paraId="52158B6B" w14:textId="77777777" w:rsidR="00B47FF5" w:rsidRDefault="00B47FF5" w:rsidP="00537CC8">
      <w:pPr>
        <w:pStyle w:val="FootnoteText"/>
      </w:pPr>
      <w:r>
        <w:rPr>
          <w:rStyle w:val="FootnoteReference"/>
        </w:rPr>
        <w:footnoteRef/>
      </w:r>
      <w:r>
        <w:rPr>
          <w:rtl/>
        </w:rPr>
        <w:t xml:space="preserve"> </w:t>
      </w:r>
      <w:r w:rsidRPr="00471027">
        <w:t>Surveys &amp; Opinion Polling</w:t>
      </w:r>
    </w:p>
  </w:footnote>
  <w:footnote w:id="2740">
    <w:p w14:paraId="1F9271BF" w14:textId="77777777" w:rsidR="00B47FF5" w:rsidRDefault="00B47FF5" w:rsidP="00537CC8">
      <w:pPr>
        <w:pStyle w:val="FootnoteText"/>
      </w:pPr>
      <w:r>
        <w:rPr>
          <w:rStyle w:val="FootnoteReference"/>
        </w:rPr>
        <w:footnoteRef/>
      </w:r>
      <w:r>
        <w:rPr>
          <w:rtl/>
        </w:rPr>
        <w:t xml:space="preserve"> </w:t>
      </w:r>
      <w:r w:rsidRPr="00471027">
        <w:t>Systems Thinking</w:t>
      </w:r>
    </w:p>
  </w:footnote>
  <w:footnote w:id="2741">
    <w:p w14:paraId="5022791D" w14:textId="77777777" w:rsidR="00B47FF5" w:rsidRDefault="00B47FF5" w:rsidP="00537CC8">
      <w:pPr>
        <w:pStyle w:val="FootnoteText"/>
      </w:pPr>
      <w:r>
        <w:rPr>
          <w:rStyle w:val="FootnoteReference"/>
        </w:rPr>
        <w:footnoteRef/>
      </w:r>
      <w:r>
        <w:rPr>
          <w:rtl/>
        </w:rPr>
        <w:t xml:space="preserve"> </w:t>
      </w:r>
      <w:r w:rsidRPr="00AE25A8">
        <w:t>Technical Intelligence</w:t>
      </w:r>
    </w:p>
  </w:footnote>
  <w:footnote w:id="2742">
    <w:p w14:paraId="558D2760" w14:textId="77777777" w:rsidR="00B47FF5" w:rsidRDefault="00B47FF5" w:rsidP="00537CC8">
      <w:pPr>
        <w:pStyle w:val="FootnoteText"/>
      </w:pPr>
      <w:r>
        <w:rPr>
          <w:rStyle w:val="FootnoteReference"/>
        </w:rPr>
        <w:footnoteRef/>
      </w:r>
      <w:r>
        <w:rPr>
          <w:rtl/>
        </w:rPr>
        <w:t xml:space="preserve"> </w:t>
      </w:r>
      <w:r w:rsidRPr="0005059C">
        <w:t>Bottom Line</w:t>
      </w:r>
    </w:p>
  </w:footnote>
  <w:footnote w:id="2743">
    <w:p w14:paraId="232C5F8D" w14:textId="77777777" w:rsidR="00B47FF5" w:rsidRDefault="00B47FF5" w:rsidP="00537CC8">
      <w:pPr>
        <w:pStyle w:val="FootnoteText"/>
      </w:pPr>
      <w:r>
        <w:rPr>
          <w:rStyle w:val="FootnoteReference"/>
        </w:rPr>
        <w:footnoteRef/>
      </w:r>
      <w:r>
        <w:rPr>
          <w:rtl/>
        </w:rPr>
        <w:t xml:space="preserve"> </w:t>
      </w:r>
      <w:r w:rsidRPr="00AE25A8">
        <w:t>Actuarial Science</w:t>
      </w:r>
    </w:p>
  </w:footnote>
  <w:footnote w:id="2744">
    <w:p w14:paraId="785A573F" w14:textId="722348C1" w:rsidR="00B47FF5" w:rsidRDefault="00B47FF5" w:rsidP="00537CC8">
      <w:pPr>
        <w:pStyle w:val="FootnoteText"/>
      </w:pPr>
      <w:r>
        <w:rPr>
          <w:rStyle w:val="FootnoteReference"/>
        </w:rPr>
        <w:footnoteRef/>
      </w:r>
      <w:r>
        <w:rPr>
          <w:rtl/>
        </w:rPr>
        <w:t xml:space="preserve"> </w:t>
      </w:r>
      <w:r>
        <w:t>Reference class formation</w:t>
      </w:r>
    </w:p>
  </w:footnote>
  <w:footnote w:id="2745">
    <w:p w14:paraId="3CD2007A" w14:textId="77777777" w:rsidR="00B47FF5" w:rsidRDefault="00B47FF5" w:rsidP="00537CC8">
      <w:pPr>
        <w:pStyle w:val="FootnoteText"/>
      </w:pPr>
      <w:r>
        <w:rPr>
          <w:rStyle w:val="FootnoteReference"/>
        </w:rPr>
        <w:footnoteRef/>
      </w:r>
      <w:r>
        <w:rPr>
          <w:rtl/>
        </w:rPr>
        <w:t xml:space="preserve"> </w:t>
      </w:r>
      <w:r w:rsidRPr="00AE25A8">
        <w:t>Analytical Hierarchy Process</w:t>
      </w:r>
    </w:p>
  </w:footnote>
  <w:footnote w:id="2746">
    <w:p w14:paraId="5F691412" w14:textId="77777777" w:rsidR="00B47FF5" w:rsidRDefault="00B47FF5" w:rsidP="00537CC8">
      <w:pPr>
        <w:pStyle w:val="FootnoteText"/>
      </w:pPr>
      <w:r>
        <w:rPr>
          <w:rStyle w:val="FootnoteReference"/>
        </w:rPr>
        <w:footnoteRef/>
      </w:r>
      <w:r>
        <w:rPr>
          <w:rtl/>
        </w:rPr>
        <w:t xml:space="preserve"> </w:t>
      </w:r>
      <w:r w:rsidRPr="000720C5">
        <w:t>Bias Identification and Bias Mitigation</w:t>
      </w:r>
    </w:p>
  </w:footnote>
  <w:footnote w:id="2747">
    <w:p w14:paraId="5D33E8E1" w14:textId="77777777" w:rsidR="00B47FF5" w:rsidRDefault="00B47FF5" w:rsidP="00537CC8">
      <w:pPr>
        <w:pStyle w:val="FootnoteText"/>
      </w:pPr>
      <w:r>
        <w:rPr>
          <w:rStyle w:val="FootnoteReference"/>
        </w:rPr>
        <w:footnoteRef/>
      </w:r>
      <w:r>
        <w:rPr>
          <w:rtl/>
        </w:rPr>
        <w:t xml:space="preserve"> </w:t>
      </w:r>
      <w:r w:rsidRPr="000720C5">
        <w:t>Causal Modeling, Systems Analysis, and Simulation</w:t>
      </w:r>
    </w:p>
  </w:footnote>
  <w:footnote w:id="2748">
    <w:p w14:paraId="2B79E09F" w14:textId="77777777" w:rsidR="00B47FF5" w:rsidRDefault="00B47FF5" w:rsidP="00537CC8">
      <w:pPr>
        <w:pStyle w:val="FootnoteText"/>
      </w:pPr>
      <w:r>
        <w:rPr>
          <w:rStyle w:val="FootnoteReference"/>
        </w:rPr>
        <w:footnoteRef/>
      </w:r>
      <w:r>
        <w:rPr>
          <w:rtl/>
        </w:rPr>
        <w:t xml:space="preserve"> </w:t>
      </w:r>
      <w:r w:rsidRPr="000720C5">
        <w:t>Delphi</w:t>
      </w:r>
    </w:p>
  </w:footnote>
  <w:footnote w:id="2749">
    <w:p w14:paraId="7DAB0847" w14:textId="77777777" w:rsidR="00B47FF5" w:rsidRDefault="00B47FF5" w:rsidP="00537CC8">
      <w:pPr>
        <w:pStyle w:val="FootnoteText"/>
      </w:pPr>
      <w:r>
        <w:rPr>
          <w:rStyle w:val="FootnoteReference"/>
        </w:rPr>
        <w:footnoteRef/>
      </w:r>
      <w:r>
        <w:rPr>
          <w:rtl/>
        </w:rPr>
        <w:t xml:space="preserve"> </w:t>
      </w:r>
      <w:r w:rsidRPr="000720C5">
        <w:t>Developmental Foresight</w:t>
      </w:r>
    </w:p>
  </w:footnote>
  <w:footnote w:id="2750">
    <w:p w14:paraId="256987CD" w14:textId="77777777" w:rsidR="00B47FF5" w:rsidRDefault="00B47FF5" w:rsidP="00537CC8">
      <w:pPr>
        <w:pStyle w:val="FootnoteText"/>
      </w:pPr>
      <w:r>
        <w:rPr>
          <w:rStyle w:val="FootnoteReference"/>
        </w:rPr>
        <w:footnoteRef/>
      </w:r>
      <w:r>
        <w:rPr>
          <w:rtl/>
        </w:rPr>
        <w:t xml:space="preserve"> </w:t>
      </w:r>
      <w:r w:rsidRPr="000720C5">
        <w:t>Discontinuity and Wildcard Anticipation</w:t>
      </w:r>
    </w:p>
  </w:footnote>
  <w:footnote w:id="2751">
    <w:p w14:paraId="5C8B8EA0" w14:textId="77777777" w:rsidR="00B47FF5" w:rsidRDefault="00B47FF5" w:rsidP="00537CC8">
      <w:pPr>
        <w:pStyle w:val="FootnoteText"/>
      </w:pPr>
      <w:r>
        <w:rPr>
          <w:rStyle w:val="FootnoteReference"/>
        </w:rPr>
        <w:footnoteRef/>
      </w:r>
      <w:r>
        <w:rPr>
          <w:rtl/>
        </w:rPr>
        <w:t xml:space="preserve"> </w:t>
      </w:r>
      <w:r w:rsidRPr="000720C5">
        <w:t>Evolutionary Foresight</w:t>
      </w:r>
    </w:p>
  </w:footnote>
  <w:footnote w:id="2752">
    <w:p w14:paraId="70EB7114" w14:textId="77777777" w:rsidR="00B47FF5" w:rsidRDefault="00B47FF5" w:rsidP="00537CC8">
      <w:pPr>
        <w:pStyle w:val="FootnoteText"/>
      </w:pPr>
      <w:r>
        <w:rPr>
          <w:rStyle w:val="FootnoteReference"/>
        </w:rPr>
        <w:footnoteRef/>
      </w:r>
      <w:r>
        <w:rPr>
          <w:rtl/>
        </w:rPr>
        <w:t xml:space="preserve"> </w:t>
      </w:r>
      <w:r w:rsidRPr="000720C5">
        <w:t>Forecast Value Added (FVA) Analysis</w:t>
      </w:r>
    </w:p>
  </w:footnote>
  <w:footnote w:id="2753">
    <w:p w14:paraId="135E0E1F" w14:textId="13E3DD00" w:rsidR="00B47FF5" w:rsidRDefault="00B47FF5" w:rsidP="00537CC8">
      <w:pPr>
        <w:pStyle w:val="FootnoteText"/>
      </w:pPr>
      <w:r>
        <w:rPr>
          <w:rStyle w:val="FootnoteReference"/>
        </w:rPr>
        <w:footnoteRef/>
      </w:r>
      <w:r>
        <w:rPr>
          <w:rtl/>
        </w:rPr>
        <w:t xml:space="preserve"> </w:t>
      </w:r>
      <w:r w:rsidRPr="001C0B51">
        <w:t>Null hypothesis</w:t>
      </w:r>
    </w:p>
  </w:footnote>
  <w:footnote w:id="2754">
    <w:p w14:paraId="1A50667F" w14:textId="0F0EA716" w:rsidR="00B47FF5" w:rsidRDefault="00B47FF5" w:rsidP="00537CC8">
      <w:pPr>
        <w:pStyle w:val="FootnoteText"/>
      </w:pPr>
      <w:r>
        <w:rPr>
          <w:rStyle w:val="FootnoteReference"/>
        </w:rPr>
        <w:footnoteRef/>
      </w:r>
      <w:r>
        <w:rPr>
          <w:rtl/>
        </w:rPr>
        <w:t xml:space="preserve"> </w:t>
      </w:r>
      <w:r>
        <w:t>Naive model</w:t>
      </w:r>
    </w:p>
  </w:footnote>
  <w:footnote w:id="2755">
    <w:p w14:paraId="1978E88F" w14:textId="77777777" w:rsidR="00B47FF5" w:rsidRDefault="00B47FF5" w:rsidP="00537CC8">
      <w:pPr>
        <w:pStyle w:val="FootnoteText"/>
      </w:pPr>
      <w:r>
        <w:rPr>
          <w:rStyle w:val="FootnoteReference"/>
        </w:rPr>
        <w:footnoteRef/>
      </w:r>
      <w:r>
        <w:rPr>
          <w:rtl/>
        </w:rPr>
        <w:t xml:space="preserve"> </w:t>
      </w:r>
      <w:r w:rsidRPr="009B7D15">
        <w:t>Foresight Workshops</w:t>
      </w:r>
    </w:p>
  </w:footnote>
  <w:footnote w:id="2756">
    <w:p w14:paraId="4E7E884B" w14:textId="77777777" w:rsidR="00B47FF5" w:rsidRDefault="00B47FF5" w:rsidP="00537CC8">
      <w:pPr>
        <w:pStyle w:val="FootnoteText"/>
      </w:pPr>
      <w:r>
        <w:rPr>
          <w:rStyle w:val="FootnoteReference"/>
        </w:rPr>
        <w:footnoteRef/>
      </w:r>
      <w:r>
        <w:rPr>
          <w:rtl/>
        </w:rPr>
        <w:t xml:space="preserve"> </w:t>
      </w:r>
      <w:r w:rsidRPr="009B7D15">
        <w:t>Genius Forecasting (Genius Visioning)</w:t>
      </w:r>
    </w:p>
  </w:footnote>
  <w:footnote w:id="2757">
    <w:p w14:paraId="673F96FC" w14:textId="77777777" w:rsidR="00B47FF5" w:rsidRDefault="00B47FF5" w:rsidP="00537CC8">
      <w:pPr>
        <w:pStyle w:val="FootnoteText"/>
      </w:pPr>
      <w:r>
        <w:rPr>
          <w:rStyle w:val="FootnoteReference"/>
        </w:rPr>
        <w:footnoteRef/>
      </w:r>
      <w:r>
        <w:rPr>
          <w:rtl/>
        </w:rPr>
        <w:t xml:space="preserve"> </w:t>
      </w:r>
      <w:r w:rsidRPr="009B7D15">
        <w:t>Intellectual Property Strategy</w:t>
      </w:r>
    </w:p>
  </w:footnote>
  <w:footnote w:id="2758">
    <w:p w14:paraId="0D90376A" w14:textId="77777777" w:rsidR="00B47FF5" w:rsidRDefault="00B47FF5" w:rsidP="00537CC8">
      <w:pPr>
        <w:pStyle w:val="FootnoteText"/>
      </w:pPr>
      <w:r>
        <w:rPr>
          <w:rStyle w:val="FootnoteReference"/>
        </w:rPr>
        <w:footnoteRef/>
      </w:r>
      <w:r>
        <w:rPr>
          <w:rtl/>
        </w:rPr>
        <w:t xml:space="preserve"> </w:t>
      </w:r>
      <w:r w:rsidRPr="009B7D15">
        <w:t>Learning Curves</w:t>
      </w:r>
    </w:p>
  </w:footnote>
  <w:footnote w:id="2759">
    <w:p w14:paraId="70AA8644" w14:textId="77777777" w:rsidR="00B47FF5" w:rsidRDefault="00B47FF5" w:rsidP="00537CC8">
      <w:pPr>
        <w:pStyle w:val="FootnoteText"/>
      </w:pPr>
      <w:r>
        <w:rPr>
          <w:rStyle w:val="FootnoteReference"/>
        </w:rPr>
        <w:footnoteRef/>
      </w:r>
      <w:r>
        <w:rPr>
          <w:rtl/>
        </w:rPr>
        <w:t xml:space="preserve"> </w:t>
      </w:r>
      <w:r w:rsidRPr="009B7D15">
        <w:t>Prediction Analysis</w:t>
      </w:r>
    </w:p>
  </w:footnote>
  <w:footnote w:id="2760">
    <w:p w14:paraId="58EDD7B6" w14:textId="77777777" w:rsidR="00B47FF5" w:rsidRDefault="00B47FF5" w:rsidP="00537CC8">
      <w:pPr>
        <w:pStyle w:val="FootnoteText"/>
      </w:pPr>
      <w:r>
        <w:rPr>
          <w:rStyle w:val="FootnoteReference"/>
        </w:rPr>
        <w:footnoteRef/>
      </w:r>
      <w:r>
        <w:rPr>
          <w:rtl/>
        </w:rPr>
        <w:t xml:space="preserve"> </w:t>
      </w:r>
      <w:r w:rsidRPr="009B7D15">
        <w:t>Predictive Analytics</w:t>
      </w:r>
    </w:p>
  </w:footnote>
  <w:footnote w:id="2761">
    <w:p w14:paraId="37794872" w14:textId="77777777" w:rsidR="00B47FF5" w:rsidRDefault="00B47FF5" w:rsidP="00537CC8">
      <w:pPr>
        <w:pStyle w:val="FootnoteText"/>
      </w:pPr>
      <w:r>
        <w:rPr>
          <w:rStyle w:val="FootnoteReference"/>
        </w:rPr>
        <w:footnoteRef/>
      </w:r>
      <w:r>
        <w:rPr>
          <w:rtl/>
        </w:rPr>
        <w:t xml:space="preserve"> </w:t>
      </w:r>
      <w:r w:rsidRPr="009B7D15">
        <w:t>Prediction Markets and Prediction Platforms</w:t>
      </w:r>
    </w:p>
  </w:footnote>
  <w:footnote w:id="2762">
    <w:p w14:paraId="42DD0366" w14:textId="77777777" w:rsidR="00B47FF5" w:rsidRDefault="00B47FF5" w:rsidP="00537CC8">
      <w:pPr>
        <w:pStyle w:val="FootnoteText"/>
      </w:pPr>
      <w:r>
        <w:rPr>
          <w:rStyle w:val="FootnoteReference"/>
        </w:rPr>
        <w:footnoteRef/>
      </w:r>
      <w:r>
        <w:rPr>
          <w:rtl/>
        </w:rPr>
        <w:t xml:space="preserve"> </w:t>
      </w:r>
      <w:r w:rsidRPr="009B7D15">
        <w:t>Psychological Trait Assessment (Personality Typing)</w:t>
      </w:r>
    </w:p>
  </w:footnote>
  <w:footnote w:id="2763">
    <w:p w14:paraId="33D82C8F" w14:textId="77777777" w:rsidR="00B47FF5" w:rsidRDefault="00B47FF5" w:rsidP="00537CC8">
      <w:pPr>
        <w:pStyle w:val="FootnoteText"/>
      </w:pPr>
      <w:r>
        <w:rPr>
          <w:rStyle w:val="FootnoteReference"/>
        </w:rPr>
        <w:footnoteRef/>
      </w:r>
      <w:r>
        <w:rPr>
          <w:rtl/>
        </w:rPr>
        <w:t xml:space="preserve"> </w:t>
      </w:r>
      <w:r w:rsidRPr="003C1B46">
        <w:t>StrengthsFinder</w:t>
      </w:r>
    </w:p>
  </w:footnote>
  <w:footnote w:id="2764">
    <w:p w14:paraId="07322EE3" w14:textId="77777777" w:rsidR="00B47FF5" w:rsidRDefault="00B47FF5" w:rsidP="00537CC8">
      <w:pPr>
        <w:pStyle w:val="FootnoteText"/>
      </w:pPr>
      <w:r>
        <w:rPr>
          <w:rStyle w:val="FootnoteReference"/>
        </w:rPr>
        <w:footnoteRef/>
      </w:r>
      <w:r>
        <w:rPr>
          <w:rtl/>
        </w:rPr>
        <w:t xml:space="preserve"> </w:t>
      </w:r>
      <w:r w:rsidRPr="009B7D15">
        <w:t>Reference Class Forecasting</w:t>
      </w:r>
    </w:p>
  </w:footnote>
  <w:footnote w:id="2765">
    <w:p w14:paraId="01987898" w14:textId="40F48370" w:rsidR="00B47FF5" w:rsidRDefault="00B47FF5">
      <w:pPr>
        <w:pStyle w:val="FootnoteText"/>
        <w:rPr>
          <w:rtl/>
        </w:rPr>
      </w:pPr>
      <w:r>
        <w:rPr>
          <w:rStyle w:val="FootnoteReference"/>
        </w:rPr>
        <w:footnoteRef/>
      </w:r>
      <w:r>
        <w:t xml:space="preserve"> </w:t>
      </w:r>
      <w:r w:rsidRPr="00954C2E">
        <w:t>Retrodiction</w:t>
      </w:r>
    </w:p>
  </w:footnote>
  <w:footnote w:id="2766">
    <w:p w14:paraId="2B3D7223" w14:textId="77777777" w:rsidR="00B47FF5" w:rsidRDefault="00B47FF5" w:rsidP="00537CC8">
      <w:pPr>
        <w:pStyle w:val="FootnoteText"/>
      </w:pPr>
      <w:r>
        <w:rPr>
          <w:rStyle w:val="FootnoteReference"/>
        </w:rPr>
        <w:footnoteRef/>
      </w:r>
      <w:r>
        <w:rPr>
          <w:rtl/>
        </w:rPr>
        <w:t xml:space="preserve"> </w:t>
      </w:r>
      <w:r w:rsidRPr="009B7D15">
        <w:t>Resiliency Analysis and Resilient Control Systems</w:t>
      </w:r>
    </w:p>
  </w:footnote>
  <w:footnote w:id="2767">
    <w:p w14:paraId="6F5080FA" w14:textId="64576CBF" w:rsidR="00B47FF5" w:rsidRDefault="00B47FF5" w:rsidP="00537CC8">
      <w:pPr>
        <w:pStyle w:val="FootnoteText"/>
      </w:pPr>
      <w:r>
        <w:rPr>
          <w:rStyle w:val="FootnoteReference"/>
        </w:rPr>
        <w:footnoteRef/>
      </w:r>
      <w:r>
        <w:rPr>
          <w:rtl/>
        </w:rPr>
        <w:t xml:space="preserve"> </w:t>
      </w:r>
      <w:r>
        <w:t>Antifragile</w:t>
      </w:r>
    </w:p>
  </w:footnote>
  <w:footnote w:id="2768">
    <w:p w14:paraId="7E70F5F8" w14:textId="77777777" w:rsidR="00B47FF5" w:rsidRDefault="00B47FF5" w:rsidP="00537CC8">
      <w:pPr>
        <w:pStyle w:val="FootnoteText"/>
      </w:pPr>
      <w:r>
        <w:rPr>
          <w:rStyle w:val="FootnoteReference"/>
        </w:rPr>
        <w:footnoteRef/>
      </w:r>
      <w:r>
        <w:rPr>
          <w:rtl/>
        </w:rPr>
        <w:t xml:space="preserve"> </w:t>
      </w:r>
      <w:r w:rsidRPr="003C1B46">
        <w:t>Nick Taleb</w:t>
      </w:r>
    </w:p>
  </w:footnote>
  <w:footnote w:id="2769">
    <w:p w14:paraId="4E9934BD" w14:textId="77777777" w:rsidR="00B47FF5" w:rsidRDefault="00B47FF5" w:rsidP="00537CC8">
      <w:pPr>
        <w:pStyle w:val="FootnoteText"/>
      </w:pPr>
      <w:r>
        <w:rPr>
          <w:rStyle w:val="FootnoteReference"/>
        </w:rPr>
        <w:footnoteRef/>
      </w:r>
      <w:r>
        <w:rPr>
          <w:rtl/>
        </w:rPr>
        <w:t xml:space="preserve"> </w:t>
      </w:r>
      <w:r w:rsidRPr="009B7D15">
        <w:t>Risk Avoidance, Risk Reduction and Risk Insurance Analysis</w:t>
      </w:r>
    </w:p>
  </w:footnote>
  <w:footnote w:id="2770">
    <w:p w14:paraId="6689040F" w14:textId="77777777" w:rsidR="00B47FF5" w:rsidRDefault="00B47FF5" w:rsidP="00537CC8">
      <w:pPr>
        <w:pStyle w:val="FootnoteText"/>
      </w:pPr>
      <w:r>
        <w:rPr>
          <w:rStyle w:val="FootnoteReference"/>
        </w:rPr>
        <w:footnoteRef/>
      </w:r>
      <w:r>
        <w:rPr>
          <w:rtl/>
        </w:rPr>
        <w:t xml:space="preserve"> </w:t>
      </w:r>
      <w:r w:rsidRPr="009B7D15">
        <w:t>Risk Models and Risk Prediction</w:t>
      </w:r>
    </w:p>
  </w:footnote>
  <w:footnote w:id="2771">
    <w:p w14:paraId="316DA5A4" w14:textId="77777777" w:rsidR="00B47FF5" w:rsidRDefault="00B47FF5" w:rsidP="00537CC8">
      <w:pPr>
        <w:pStyle w:val="FootnoteText"/>
      </w:pPr>
      <w:r>
        <w:rPr>
          <w:rStyle w:val="FootnoteReference"/>
        </w:rPr>
        <w:footnoteRef/>
      </w:r>
      <w:r>
        <w:rPr>
          <w:rtl/>
        </w:rPr>
        <w:t xml:space="preserve"> </w:t>
      </w:r>
      <w:r w:rsidRPr="0026504A">
        <w:t>Roadmapping</w:t>
      </w:r>
    </w:p>
  </w:footnote>
  <w:footnote w:id="2772">
    <w:p w14:paraId="56785786" w14:textId="77777777" w:rsidR="00B47FF5" w:rsidRDefault="00B47FF5" w:rsidP="00537CC8">
      <w:pPr>
        <w:pStyle w:val="FootnoteText"/>
      </w:pPr>
      <w:r>
        <w:rPr>
          <w:rStyle w:val="FootnoteReference"/>
        </w:rPr>
        <w:footnoteRef/>
      </w:r>
      <w:r>
        <w:rPr>
          <w:rtl/>
        </w:rPr>
        <w:t xml:space="preserve"> </w:t>
      </w:r>
      <w:r w:rsidRPr="0026504A">
        <w:t>Statistical Models</w:t>
      </w:r>
    </w:p>
  </w:footnote>
  <w:footnote w:id="2773">
    <w:p w14:paraId="61C28C70" w14:textId="77777777" w:rsidR="00B47FF5" w:rsidRDefault="00B47FF5" w:rsidP="00537CC8">
      <w:pPr>
        <w:pStyle w:val="FootnoteText"/>
      </w:pPr>
      <w:r>
        <w:rPr>
          <w:rStyle w:val="FootnoteReference"/>
        </w:rPr>
        <w:footnoteRef/>
      </w:r>
      <w:r>
        <w:rPr>
          <w:rtl/>
        </w:rPr>
        <w:t xml:space="preserve"> </w:t>
      </w:r>
      <w:r w:rsidRPr="0026504A">
        <w:t>Trend Extrapolation and Regression Analysis</w:t>
      </w:r>
    </w:p>
  </w:footnote>
  <w:footnote w:id="2774">
    <w:p w14:paraId="7F929FF1" w14:textId="77777777" w:rsidR="00B47FF5" w:rsidRDefault="00B47FF5" w:rsidP="00537CC8">
      <w:pPr>
        <w:pStyle w:val="FootnoteText"/>
      </w:pPr>
      <w:r>
        <w:rPr>
          <w:rStyle w:val="FootnoteReference"/>
        </w:rPr>
        <w:footnoteRef/>
      </w:r>
      <w:r>
        <w:rPr>
          <w:rtl/>
        </w:rPr>
        <w:t xml:space="preserve"> </w:t>
      </w:r>
      <w:r w:rsidRPr="0026504A">
        <w:t>Vulnerability Assessment</w:t>
      </w:r>
    </w:p>
  </w:footnote>
  <w:footnote w:id="2775">
    <w:p w14:paraId="370ED909" w14:textId="77777777" w:rsidR="00B47FF5" w:rsidRDefault="00B47FF5" w:rsidP="00537CC8">
      <w:pPr>
        <w:pStyle w:val="FootnoteText"/>
      </w:pPr>
      <w:r>
        <w:rPr>
          <w:rStyle w:val="FootnoteReference"/>
        </w:rPr>
        <w:footnoteRef/>
      </w:r>
      <w:r>
        <w:rPr>
          <w:rtl/>
        </w:rPr>
        <w:t xml:space="preserve"> </w:t>
      </w:r>
      <w:r w:rsidRPr="0026504A">
        <w:t>Wargaming</w:t>
      </w:r>
    </w:p>
  </w:footnote>
  <w:footnote w:id="2776">
    <w:p w14:paraId="4FA90B1B" w14:textId="77777777" w:rsidR="00B47FF5" w:rsidRDefault="00B47FF5" w:rsidP="00537CC8">
      <w:pPr>
        <w:pStyle w:val="FootnoteText"/>
      </w:pPr>
      <w:r>
        <w:rPr>
          <w:rStyle w:val="FootnoteReference"/>
        </w:rPr>
        <w:footnoteRef/>
      </w:r>
      <w:r>
        <w:rPr>
          <w:rtl/>
        </w:rPr>
        <w:t xml:space="preserve"> </w:t>
      </w:r>
      <w:r w:rsidRPr="0026504A">
        <w:t>Appreciative Inquiry</w:t>
      </w:r>
    </w:p>
  </w:footnote>
  <w:footnote w:id="2777">
    <w:p w14:paraId="231BE6AC" w14:textId="0E635A73" w:rsidR="00B47FF5" w:rsidRDefault="00B47FF5" w:rsidP="00537CC8">
      <w:pPr>
        <w:pStyle w:val="FootnoteText"/>
      </w:pPr>
      <w:r>
        <w:rPr>
          <w:rStyle w:val="FootnoteReference"/>
        </w:rPr>
        <w:footnoteRef/>
      </w:r>
      <w:r>
        <w:rPr>
          <w:rtl/>
        </w:rPr>
        <w:t xml:space="preserve"> </w:t>
      </w:r>
      <w:r w:rsidRPr="0026504A">
        <w:t>Brainstorming</w:t>
      </w:r>
    </w:p>
  </w:footnote>
  <w:footnote w:id="2778">
    <w:p w14:paraId="006D227D" w14:textId="77777777" w:rsidR="00B47FF5" w:rsidRDefault="00B47FF5" w:rsidP="00537CC8">
      <w:pPr>
        <w:pStyle w:val="FootnoteText"/>
      </w:pPr>
      <w:r>
        <w:rPr>
          <w:rStyle w:val="FootnoteReference"/>
        </w:rPr>
        <w:footnoteRef/>
      </w:r>
      <w:r>
        <w:rPr>
          <w:rtl/>
        </w:rPr>
        <w:t xml:space="preserve"> </w:t>
      </w:r>
      <w:r w:rsidRPr="0026504A">
        <w:t>Creative Visualization</w:t>
      </w:r>
    </w:p>
  </w:footnote>
  <w:footnote w:id="2779">
    <w:p w14:paraId="75D0CC41" w14:textId="77777777" w:rsidR="00B47FF5" w:rsidRDefault="00B47FF5" w:rsidP="00537CC8">
      <w:pPr>
        <w:pStyle w:val="FootnoteText"/>
      </w:pPr>
      <w:r>
        <w:rPr>
          <w:rStyle w:val="FootnoteReference"/>
        </w:rPr>
        <w:footnoteRef/>
      </w:r>
      <w:r>
        <w:rPr>
          <w:rtl/>
        </w:rPr>
        <w:t xml:space="preserve"> </w:t>
      </w:r>
      <w:r w:rsidRPr="0026504A">
        <w:t>Cross Impact Analysis</w:t>
      </w:r>
    </w:p>
  </w:footnote>
  <w:footnote w:id="2780">
    <w:p w14:paraId="6638D851" w14:textId="77777777" w:rsidR="00B47FF5" w:rsidRDefault="00B47FF5" w:rsidP="00537CC8">
      <w:pPr>
        <w:pStyle w:val="FootnoteText"/>
      </w:pPr>
      <w:r>
        <w:rPr>
          <w:rStyle w:val="FootnoteReference"/>
        </w:rPr>
        <w:footnoteRef/>
      </w:r>
      <w:r>
        <w:rPr>
          <w:rtl/>
        </w:rPr>
        <w:t xml:space="preserve"> </w:t>
      </w:r>
      <w:r w:rsidRPr="0026504A">
        <w:t>Crowdsourced and Open Foresight</w:t>
      </w:r>
    </w:p>
  </w:footnote>
  <w:footnote w:id="2781">
    <w:p w14:paraId="2DCF86CD" w14:textId="77777777" w:rsidR="00B47FF5" w:rsidRDefault="00B47FF5" w:rsidP="00537CC8">
      <w:pPr>
        <w:pStyle w:val="FootnoteText"/>
      </w:pPr>
      <w:r>
        <w:rPr>
          <w:rStyle w:val="FootnoteReference"/>
        </w:rPr>
        <w:footnoteRef/>
      </w:r>
      <w:r>
        <w:rPr>
          <w:rtl/>
        </w:rPr>
        <w:t xml:space="preserve"> </w:t>
      </w:r>
      <w:r w:rsidRPr="0026504A">
        <w:t>Debate and Point/Counterpoint</w:t>
      </w:r>
    </w:p>
  </w:footnote>
  <w:footnote w:id="2782">
    <w:p w14:paraId="0D73251E" w14:textId="77777777" w:rsidR="00B47FF5" w:rsidRDefault="00B47FF5" w:rsidP="00537CC8">
      <w:pPr>
        <w:pStyle w:val="FootnoteText"/>
      </w:pPr>
      <w:r>
        <w:rPr>
          <w:rStyle w:val="FootnoteReference"/>
        </w:rPr>
        <w:footnoteRef/>
      </w:r>
      <w:r>
        <w:rPr>
          <w:rtl/>
        </w:rPr>
        <w:t xml:space="preserve"> </w:t>
      </w:r>
      <w:r w:rsidRPr="0026504A">
        <w:t>Design Thinking</w:t>
      </w:r>
    </w:p>
  </w:footnote>
  <w:footnote w:id="2783">
    <w:p w14:paraId="15639DAF" w14:textId="77777777" w:rsidR="00B47FF5" w:rsidRDefault="00B47FF5" w:rsidP="00537CC8">
      <w:pPr>
        <w:pStyle w:val="FootnoteText"/>
      </w:pPr>
      <w:r>
        <w:rPr>
          <w:rStyle w:val="FootnoteReference"/>
        </w:rPr>
        <w:footnoteRef/>
      </w:r>
      <w:r>
        <w:rPr>
          <w:rtl/>
        </w:rPr>
        <w:t xml:space="preserve"> </w:t>
      </w:r>
      <w:r w:rsidRPr="00050B01">
        <w:t>Entrepreneurship and Intrapreneurship</w:t>
      </w:r>
    </w:p>
  </w:footnote>
  <w:footnote w:id="2784">
    <w:p w14:paraId="29A4F561" w14:textId="77777777" w:rsidR="00B47FF5" w:rsidRDefault="00B47FF5" w:rsidP="00537CC8">
      <w:pPr>
        <w:pStyle w:val="FootnoteText"/>
      </w:pPr>
      <w:r>
        <w:rPr>
          <w:rStyle w:val="FootnoteReference"/>
        </w:rPr>
        <w:footnoteRef/>
      </w:r>
      <w:r>
        <w:rPr>
          <w:rtl/>
        </w:rPr>
        <w:t xml:space="preserve"> </w:t>
      </w:r>
      <w:r w:rsidRPr="00050B01">
        <w:t>Expert Panels</w:t>
      </w:r>
    </w:p>
  </w:footnote>
  <w:footnote w:id="2785">
    <w:p w14:paraId="3866438F" w14:textId="77777777" w:rsidR="00B47FF5" w:rsidRDefault="00B47FF5" w:rsidP="00537CC8">
      <w:pPr>
        <w:pStyle w:val="FootnoteText"/>
      </w:pPr>
      <w:r>
        <w:rPr>
          <w:rStyle w:val="FootnoteReference"/>
        </w:rPr>
        <w:footnoteRef/>
      </w:r>
      <w:r>
        <w:rPr>
          <w:rtl/>
        </w:rPr>
        <w:t xml:space="preserve"> </w:t>
      </w:r>
      <w:r w:rsidRPr="001D669E">
        <w:t>Future Artifacts</w:t>
      </w:r>
    </w:p>
  </w:footnote>
  <w:footnote w:id="2786">
    <w:p w14:paraId="463A9D11" w14:textId="77777777" w:rsidR="00B47FF5" w:rsidRDefault="00B47FF5" w:rsidP="00537CC8">
      <w:pPr>
        <w:pStyle w:val="FootnoteText"/>
      </w:pPr>
      <w:r>
        <w:rPr>
          <w:rStyle w:val="FootnoteReference"/>
        </w:rPr>
        <w:footnoteRef/>
      </w:r>
      <w:r>
        <w:rPr>
          <w:rtl/>
        </w:rPr>
        <w:t xml:space="preserve"> </w:t>
      </w:r>
      <w:r w:rsidRPr="001D669E">
        <w:t>Futures Wheels</w:t>
      </w:r>
    </w:p>
  </w:footnote>
  <w:footnote w:id="2787">
    <w:p w14:paraId="4378D7FE" w14:textId="77777777" w:rsidR="00B47FF5" w:rsidRDefault="00B47FF5" w:rsidP="00537CC8">
      <w:pPr>
        <w:pStyle w:val="FootnoteText"/>
      </w:pPr>
      <w:r>
        <w:rPr>
          <w:rStyle w:val="FootnoteReference"/>
        </w:rPr>
        <w:footnoteRef/>
      </w:r>
      <w:r>
        <w:rPr>
          <w:rtl/>
        </w:rPr>
        <w:t xml:space="preserve"> </w:t>
      </w:r>
      <w:r w:rsidRPr="001D669E">
        <w:t>Gamestorming and Role-Playing</w:t>
      </w:r>
    </w:p>
  </w:footnote>
  <w:footnote w:id="2788">
    <w:p w14:paraId="0E02F0E3" w14:textId="77777777" w:rsidR="00B47FF5" w:rsidRDefault="00B47FF5" w:rsidP="00537CC8">
      <w:pPr>
        <w:pStyle w:val="FootnoteText"/>
      </w:pPr>
      <w:r>
        <w:rPr>
          <w:rStyle w:val="FootnoteReference"/>
        </w:rPr>
        <w:footnoteRef/>
      </w:r>
      <w:r>
        <w:rPr>
          <w:rtl/>
        </w:rPr>
        <w:t xml:space="preserve"> </w:t>
      </w:r>
      <w:r w:rsidRPr="001D669E">
        <w:t>Ideation Management Platforms</w:t>
      </w:r>
    </w:p>
  </w:footnote>
  <w:footnote w:id="2789">
    <w:p w14:paraId="21DFDE21" w14:textId="77777777" w:rsidR="00B47FF5" w:rsidRDefault="00B47FF5" w:rsidP="00537CC8">
      <w:pPr>
        <w:pStyle w:val="FootnoteText"/>
      </w:pPr>
      <w:r>
        <w:rPr>
          <w:rStyle w:val="FootnoteReference"/>
        </w:rPr>
        <w:footnoteRef/>
      </w:r>
      <w:r>
        <w:rPr>
          <w:rtl/>
        </w:rPr>
        <w:t xml:space="preserve"> </w:t>
      </w:r>
      <w:r w:rsidRPr="001D669E">
        <w:t>Morphological Analysis</w:t>
      </w:r>
    </w:p>
  </w:footnote>
  <w:footnote w:id="2790">
    <w:p w14:paraId="24594B2B" w14:textId="77777777" w:rsidR="00B47FF5" w:rsidRDefault="00B47FF5" w:rsidP="00537CC8">
      <w:pPr>
        <w:pStyle w:val="FootnoteText"/>
      </w:pPr>
      <w:r>
        <w:rPr>
          <w:rStyle w:val="FootnoteReference"/>
        </w:rPr>
        <w:footnoteRef/>
      </w:r>
      <w:r>
        <w:rPr>
          <w:rtl/>
        </w:rPr>
        <w:t xml:space="preserve"> </w:t>
      </w:r>
      <w:r w:rsidRPr="006C778A">
        <w:t>Rapid Prototyping</w:t>
      </w:r>
    </w:p>
  </w:footnote>
  <w:footnote w:id="2791">
    <w:p w14:paraId="10A5666C" w14:textId="3020C097" w:rsidR="00B47FF5" w:rsidRDefault="00B47FF5" w:rsidP="00537CC8">
      <w:pPr>
        <w:pStyle w:val="FootnoteText"/>
      </w:pPr>
      <w:r>
        <w:rPr>
          <w:rStyle w:val="FootnoteReference"/>
        </w:rPr>
        <w:footnoteRef/>
      </w:r>
      <w:r>
        <w:rPr>
          <w:rtl/>
        </w:rPr>
        <w:t xml:space="preserve"> </w:t>
      </w:r>
      <w:r w:rsidRPr="006C778A">
        <w:t>Additive manufacturing</w:t>
      </w:r>
    </w:p>
  </w:footnote>
  <w:footnote w:id="2792">
    <w:p w14:paraId="345700BF" w14:textId="77777777" w:rsidR="00B47FF5" w:rsidRDefault="00B47FF5" w:rsidP="00537CC8">
      <w:pPr>
        <w:pStyle w:val="FootnoteText"/>
      </w:pPr>
      <w:r>
        <w:rPr>
          <w:rStyle w:val="FootnoteReference"/>
        </w:rPr>
        <w:footnoteRef/>
      </w:r>
      <w:r>
        <w:rPr>
          <w:rtl/>
        </w:rPr>
        <w:t xml:space="preserve"> </w:t>
      </w:r>
      <w:r w:rsidRPr="006C778A">
        <w:t>Scenario and Narrative Development</w:t>
      </w:r>
    </w:p>
  </w:footnote>
  <w:footnote w:id="2793">
    <w:p w14:paraId="08C46C1E" w14:textId="77777777" w:rsidR="00B47FF5" w:rsidRDefault="00B47FF5" w:rsidP="00537CC8">
      <w:pPr>
        <w:pStyle w:val="FootnoteText"/>
      </w:pPr>
      <w:r>
        <w:rPr>
          <w:rStyle w:val="FootnoteReference"/>
        </w:rPr>
        <w:footnoteRef/>
      </w:r>
      <w:r>
        <w:rPr>
          <w:rtl/>
        </w:rPr>
        <w:t xml:space="preserve"> </w:t>
      </w:r>
      <w:r w:rsidRPr="006C778A">
        <w:t>Six Hats</w:t>
      </w:r>
    </w:p>
  </w:footnote>
  <w:footnote w:id="2794">
    <w:p w14:paraId="72746E5F" w14:textId="77777777" w:rsidR="00B47FF5" w:rsidRDefault="00B47FF5" w:rsidP="00537CC8">
      <w:pPr>
        <w:pStyle w:val="FootnoteText"/>
      </w:pPr>
      <w:r>
        <w:rPr>
          <w:rStyle w:val="FootnoteReference"/>
        </w:rPr>
        <w:footnoteRef/>
      </w:r>
      <w:r>
        <w:rPr>
          <w:rtl/>
        </w:rPr>
        <w:t xml:space="preserve"> </w:t>
      </w:r>
      <w:r w:rsidRPr="003C1B46">
        <w:t>Edward De Bono</w:t>
      </w:r>
    </w:p>
  </w:footnote>
  <w:footnote w:id="2795">
    <w:p w14:paraId="77BB2A8B" w14:textId="77777777" w:rsidR="00B47FF5" w:rsidRDefault="00B47FF5" w:rsidP="00537CC8">
      <w:pPr>
        <w:pStyle w:val="FootnoteText"/>
      </w:pPr>
      <w:r>
        <w:rPr>
          <w:rStyle w:val="FootnoteReference"/>
        </w:rPr>
        <w:footnoteRef/>
      </w:r>
      <w:r>
        <w:rPr>
          <w:rtl/>
        </w:rPr>
        <w:t xml:space="preserve"> </w:t>
      </w:r>
      <w:r w:rsidRPr="006C778A">
        <w:t>Speculative Literature</w:t>
      </w:r>
    </w:p>
  </w:footnote>
  <w:footnote w:id="2796">
    <w:p w14:paraId="625C1666" w14:textId="77777777" w:rsidR="00B47FF5" w:rsidRDefault="00B47FF5" w:rsidP="00537CC8">
      <w:pPr>
        <w:pStyle w:val="FootnoteText"/>
      </w:pPr>
      <w:r>
        <w:rPr>
          <w:rStyle w:val="FootnoteReference"/>
        </w:rPr>
        <w:footnoteRef/>
      </w:r>
      <w:r>
        <w:rPr>
          <w:rtl/>
        </w:rPr>
        <w:t xml:space="preserve"> </w:t>
      </w:r>
      <w:r w:rsidRPr="006C778A">
        <w:t>User Experience Design</w:t>
      </w:r>
    </w:p>
  </w:footnote>
  <w:footnote w:id="2797">
    <w:p w14:paraId="2BA0194B" w14:textId="01375CC6" w:rsidR="00B47FF5" w:rsidRDefault="00B47FF5">
      <w:pPr>
        <w:pStyle w:val="FootnoteText"/>
        <w:rPr>
          <w:rtl/>
        </w:rPr>
      </w:pPr>
      <w:r>
        <w:rPr>
          <w:rStyle w:val="FootnoteReference"/>
        </w:rPr>
        <w:footnoteRef/>
      </w:r>
      <w:r>
        <w:t xml:space="preserve"> </w:t>
      </w:r>
      <w:r w:rsidRPr="00954C2E">
        <w:t>Verge</w:t>
      </w:r>
    </w:p>
  </w:footnote>
  <w:footnote w:id="2798">
    <w:p w14:paraId="01D4234C" w14:textId="77777777" w:rsidR="00B47FF5" w:rsidRDefault="00B47FF5" w:rsidP="00537CC8">
      <w:pPr>
        <w:pStyle w:val="FootnoteText"/>
      </w:pPr>
      <w:r>
        <w:rPr>
          <w:rStyle w:val="FootnoteReference"/>
        </w:rPr>
        <w:footnoteRef/>
      </w:r>
      <w:r>
        <w:rPr>
          <w:rtl/>
        </w:rPr>
        <w:t xml:space="preserve"> </w:t>
      </w:r>
      <w:r w:rsidRPr="003C1B46">
        <w:t>Richard Lum</w:t>
      </w:r>
    </w:p>
  </w:footnote>
  <w:footnote w:id="2799">
    <w:p w14:paraId="425ABEBA" w14:textId="77777777" w:rsidR="00B47FF5" w:rsidRDefault="00B47FF5" w:rsidP="00537CC8">
      <w:pPr>
        <w:pStyle w:val="FootnoteText"/>
      </w:pPr>
      <w:r>
        <w:rPr>
          <w:rStyle w:val="FootnoteReference"/>
        </w:rPr>
        <w:footnoteRef/>
      </w:r>
      <w:r>
        <w:rPr>
          <w:rtl/>
        </w:rPr>
        <w:t xml:space="preserve"> </w:t>
      </w:r>
      <w:r w:rsidRPr="00575C35">
        <w:t>Action Research</w:t>
      </w:r>
    </w:p>
  </w:footnote>
  <w:footnote w:id="2800">
    <w:p w14:paraId="2E53AE2E" w14:textId="77777777" w:rsidR="00B47FF5" w:rsidRDefault="00B47FF5" w:rsidP="00537CC8">
      <w:pPr>
        <w:pStyle w:val="FootnoteText"/>
      </w:pPr>
      <w:r>
        <w:rPr>
          <w:rStyle w:val="FootnoteReference"/>
        </w:rPr>
        <w:footnoteRef/>
      </w:r>
      <w:r>
        <w:rPr>
          <w:rtl/>
        </w:rPr>
        <w:t xml:space="preserve"> </w:t>
      </w:r>
      <w:r w:rsidRPr="00575C35">
        <w:t>ADOR Analysis</w:t>
      </w:r>
    </w:p>
  </w:footnote>
  <w:footnote w:id="2801">
    <w:p w14:paraId="5B4DE590" w14:textId="77777777" w:rsidR="00B47FF5" w:rsidRDefault="00B47FF5" w:rsidP="00537CC8">
      <w:pPr>
        <w:pStyle w:val="FootnoteText"/>
      </w:pPr>
      <w:r>
        <w:rPr>
          <w:rStyle w:val="FootnoteReference"/>
        </w:rPr>
        <w:footnoteRef/>
      </w:r>
      <w:r>
        <w:rPr>
          <w:rtl/>
        </w:rPr>
        <w:t xml:space="preserve"> </w:t>
      </w:r>
      <w:r w:rsidRPr="003C1B46">
        <w:t>Backplanning</w:t>
      </w:r>
    </w:p>
  </w:footnote>
  <w:footnote w:id="2802">
    <w:p w14:paraId="566CB0C2" w14:textId="77777777" w:rsidR="00B47FF5" w:rsidRDefault="00B47FF5" w:rsidP="00537CC8">
      <w:pPr>
        <w:pStyle w:val="FootnoteText"/>
      </w:pPr>
      <w:r>
        <w:rPr>
          <w:rStyle w:val="FootnoteReference"/>
        </w:rPr>
        <w:footnoteRef/>
      </w:r>
      <w:r>
        <w:rPr>
          <w:rtl/>
        </w:rPr>
        <w:t xml:space="preserve"> </w:t>
      </w:r>
      <w:r w:rsidRPr="006238C5">
        <w:t>Benefit/Cost Analysis</w:t>
      </w:r>
    </w:p>
  </w:footnote>
  <w:footnote w:id="2803">
    <w:p w14:paraId="22C5EE73" w14:textId="77777777" w:rsidR="00B47FF5" w:rsidRDefault="00B47FF5" w:rsidP="00537CC8">
      <w:pPr>
        <w:pStyle w:val="FootnoteText"/>
      </w:pPr>
      <w:r>
        <w:rPr>
          <w:rStyle w:val="FootnoteReference"/>
        </w:rPr>
        <w:footnoteRef/>
      </w:r>
      <w:r>
        <w:rPr>
          <w:rtl/>
        </w:rPr>
        <w:t xml:space="preserve"> </w:t>
      </w:r>
      <w:r w:rsidRPr="006238C5">
        <w:t>Business Cycle Planning</w:t>
      </w:r>
    </w:p>
  </w:footnote>
  <w:footnote w:id="2804">
    <w:p w14:paraId="1E5981CE" w14:textId="77777777" w:rsidR="00B47FF5" w:rsidRDefault="00B47FF5" w:rsidP="00537CC8">
      <w:pPr>
        <w:pStyle w:val="FootnoteText"/>
      </w:pPr>
      <w:r>
        <w:rPr>
          <w:rStyle w:val="FootnoteReference"/>
        </w:rPr>
        <w:footnoteRef/>
      </w:r>
      <w:r>
        <w:rPr>
          <w:rtl/>
        </w:rPr>
        <w:t xml:space="preserve"> </w:t>
      </w:r>
      <w:r w:rsidRPr="006238C5">
        <w:t>Contingency Planning/Options Planning</w:t>
      </w:r>
    </w:p>
  </w:footnote>
  <w:footnote w:id="2805">
    <w:p w14:paraId="6AD56F02" w14:textId="77777777" w:rsidR="00B47FF5" w:rsidRDefault="00B47FF5" w:rsidP="00537CC8">
      <w:pPr>
        <w:pStyle w:val="FootnoteText"/>
      </w:pPr>
      <w:r>
        <w:rPr>
          <w:rStyle w:val="FootnoteReference"/>
        </w:rPr>
        <w:footnoteRef/>
      </w:r>
      <w:r>
        <w:rPr>
          <w:rtl/>
        </w:rPr>
        <w:t xml:space="preserve"> </w:t>
      </w:r>
      <w:r w:rsidRPr="006238C5">
        <w:t>Decision Modeling and Operations Research/Management Science</w:t>
      </w:r>
    </w:p>
  </w:footnote>
  <w:footnote w:id="2806">
    <w:p w14:paraId="1910A241" w14:textId="77777777" w:rsidR="00B47FF5" w:rsidRDefault="00B47FF5" w:rsidP="00537CC8">
      <w:pPr>
        <w:pStyle w:val="FootnoteText"/>
      </w:pPr>
      <w:r>
        <w:rPr>
          <w:rStyle w:val="FootnoteReference"/>
        </w:rPr>
        <w:footnoteRef/>
      </w:r>
      <w:r>
        <w:rPr>
          <w:rtl/>
        </w:rPr>
        <w:t xml:space="preserve"> </w:t>
      </w:r>
      <w:r w:rsidRPr="006238C5">
        <w:t>Real Options Analysis</w:t>
      </w:r>
    </w:p>
  </w:footnote>
  <w:footnote w:id="2807">
    <w:p w14:paraId="2E2D5B46" w14:textId="77777777" w:rsidR="00B47FF5" w:rsidRDefault="00B47FF5" w:rsidP="00537CC8">
      <w:pPr>
        <w:pStyle w:val="FootnoteText"/>
      </w:pPr>
      <w:r>
        <w:rPr>
          <w:rStyle w:val="FootnoteReference"/>
        </w:rPr>
        <w:footnoteRef/>
      </w:r>
      <w:r>
        <w:rPr>
          <w:rtl/>
        </w:rPr>
        <w:t xml:space="preserve"> </w:t>
      </w:r>
      <w:r w:rsidRPr="006238C5">
        <w:t>Decision Support System</w:t>
      </w:r>
    </w:p>
  </w:footnote>
  <w:footnote w:id="2808">
    <w:p w14:paraId="1D136718" w14:textId="77777777" w:rsidR="00B47FF5" w:rsidRDefault="00B47FF5" w:rsidP="00537CC8">
      <w:pPr>
        <w:pStyle w:val="FootnoteText"/>
      </w:pPr>
      <w:r>
        <w:rPr>
          <w:rStyle w:val="FootnoteReference"/>
        </w:rPr>
        <w:footnoteRef/>
      </w:r>
      <w:r>
        <w:rPr>
          <w:rtl/>
        </w:rPr>
        <w:t xml:space="preserve"> </w:t>
      </w:r>
      <w:r w:rsidRPr="006238C5">
        <w:t>Emergent Strategy</w:t>
      </w:r>
    </w:p>
  </w:footnote>
  <w:footnote w:id="2809">
    <w:p w14:paraId="0C66D552" w14:textId="77777777" w:rsidR="00B47FF5" w:rsidRDefault="00B47FF5" w:rsidP="00537CC8">
      <w:pPr>
        <w:pStyle w:val="FootnoteText"/>
      </w:pPr>
      <w:r>
        <w:rPr>
          <w:rStyle w:val="FootnoteReference"/>
        </w:rPr>
        <w:footnoteRef/>
      </w:r>
      <w:r>
        <w:rPr>
          <w:rtl/>
        </w:rPr>
        <w:t xml:space="preserve"> </w:t>
      </w:r>
      <w:r w:rsidRPr="003B6D2F">
        <w:t>Out of Control</w:t>
      </w:r>
    </w:p>
  </w:footnote>
  <w:footnote w:id="2810">
    <w:p w14:paraId="601256D8" w14:textId="77777777" w:rsidR="00B47FF5" w:rsidRDefault="00B47FF5" w:rsidP="00537CC8">
      <w:pPr>
        <w:pStyle w:val="FootnoteText"/>
      </w:pPr>
      <w:r>
        <w:rPr>
          <w:rStyle w:val="FootnoteReference"/>
        </w:rPr>
        <w:footnoteRef/>
      </w:r>
      <w:r>
        <w:rPr>
          <w:rtl/>
        </w:rPr>
        <w:t xml:space="preserve"> </w:t>
      </w:r>
      <w:r w:rsidRPr="003C1B46">
        <w:t>Kevin Kelly</w:t>
      </w:r>
    </w:p>
  </w:footnote>
  <w:footnote w:id="2811">
    <w:p w14:paraId="3A9A952E" w14:textId="77777777" w:rsidR="00B47FF5" w:rsidRDefault="00B47FF5" w:rsidP="00537CC8">
      <w:pPr>
        <w:pStyle w:val="FootnoteText"/>
      </w:pPr>
      <w:r>
        <w:rPr>
          <w:rStyle w:val="FootnoteReference"/>
        </w:rPr>
        <w:footnoteRef/>
      </w:r>
      <w:r>
        <w:rPr>
          <w:rtl/>
        </w:rPr>
        <w:t xml:space="preserve"> </w:t>
      </w:r>
      <w:r w:rsidRPr="006238C5">
        <w:t>Emerging Issues Analysis</w:t>
      </w:r>
    </w:p>
  </w:footnote>
  <w:footnote w:id="2812">
    <w:p w14:paraId="5759D116" w14:textId="77777777" w:rsidR="00B47FF5" w:rsidRDefault="00B47FF5" w:rsidP="00537CC8">
      <w:pPr>
        <w:pStyle w:val="FootnoteText"/>
      </w:pPr>
      <w:r>
        <w:rPr>
          <w:rStyle w:val="FootnoteReference"/>
        </w:rPr>
        <w:footnoteRef/>
      </w:r>
      <w:r>
        <w:rPr>
          <w:rtl/>
        </w:rPr>
        <w:t xml:space="preserve"> </w:t>
      </w:r>
      <w:r w:rsidRPr="006238C5">
        <w:t>Fitness Landscape</w:t>
      </w:r>
    </w:p>
  </w:footnote>
  <w:footnote w:id="2813">
    <w:p w14:paraId="2BB72EDB" w14:textId="77777777" w:rsidR="00B47FF5" w:rsidRDefault="00B47FF5" w:rsidP="00537CC8">
      <w:pPr>
        <w:pStyle w:val="FootnoteText"/>
      </w:pPr>
      <w:r>
        <w:rPr>
          <w:rStyle w:val="FootnoteReference"/>
        </w:rPr>
        <w:footnoteRef/>
      </w:r>
      <w:r>
        <w:rPr>
          <w:rtl/>
        </w:rPr>
        <w:t xml:space="preserve"> </w:t>
      </w:r>
      <w:r w:rsidRPr="006238C5">
        <w:t>Four-Factor Strategy</w:t>
      </w:r>
    </w:p>
  </w:footnote>
  <w:footnote w:id="2814">
    <w:p w14:paraId="2D8D56AF" w14:textId="77048E97" w:rsidR="00B47FF5" w:rsidRDefault="00B47FF5" w:rsidP="00537CC8">
      <w:pPr>
        <w:pStyle w:val="FootnoteText"/>
      </w:pPr>
      <w:r>
        <w:rPr>
          <w:rStyle w:val="FootnoteReference"/>
        </w:rPr>
        <w:footnoteRef/>
      </w:r>
      <w:r>
        <w:rPr>
          <w:rtl/>
        </w:rPr>
        <w:t xml:space="preserve"> </w:t>
      </w:r>
      <w:r>
        <w:t>Admins</w:t>
      </w:r>
    </w:p>
  </w:footnote>
  <w:footnote w:id="2815">
    <w:p w14:paraId="22434A39" w14:textId="77777777" w:rsidR="00B47FF5" w:rsidRDefault="00B47FF5" w:rsidP="00537CC8">
      <w:pPr>
        <w:pStyle w:val="FootnoteText"/>
      </w:pPr>
      <w:r>
        <w:rPr>
          <w:rStyle w:val="FootnoteReference"/>
        </w:rPr>
        <w:footnoteRef/>
      </w:r>
      <w:r>
        <w:rPr>
          <w:rtl/>
        </w:rPr>
        <w:t xml:space="preserve"> </w:t>
      </w:r>
      <w:r w:rsidRPr="006238C5">
        <w:t>Five Forces Analysis</w:t>
      </w:r>
    </w:p>
  </w:footnote>
  <w:footnote w:id="2816">
    <w:p w14:paraId="0A832D99" w14:textId="77777777" w:rsidR="00B47FF5" w:rsidRDefault="00B47FF5" w:rsidP="00537CC8">
      <w:pPr>
        <w:pStyle w:val="FootnoteText"/>
      </w:pPr>
      <w:r>
        <w:rPr>
          <w:rStyle w:val="FootnoteReference"/>
        </w:rPr>
        <w:footnoteRef/>
      </w:r>
      <w:r>
        <w:rPr>
          <w:rtl/>
        </w:rPr>
        <w:t xml:space="preserve"> </w:t>
      </w:r>
      <w:r w:rsidRPr="006238C5">
        <w:t>Historical Analysis and Cliometrics</w:t>
      </w:r>
    </w:p>
  </w:footnote>
  <w:footnote w:id="2817">
    <w:p w14:paraId="65790598" w14:textId="77777777" w:rsidR="00B47FF5" w:rsidRDefault="00B47FF5" w:rsidP="00537CC8">
      <w:pPr>
        <w:pStyle w:val="FootnoteText"/>
      </w:pPr>
      <w:r>
        <w:rPr>
          <w:rStyle w:val="FootnoteReference"/>
        </w:rPr>
        <w:footnoteRef/>
      </w:r>
      <w:r>
        <w:rPr>
          <w:rtl/>
        </w:rPr>
        <w:t xml:space="preserve"> </w:t>
      </w:r>
      <w:r w:rsidRPr="00AD4F7C">
        <w:t>Industry, Technology and Product Road-mapping</w:t>
      </w:r>
    </w:p>
  </w:footnote>
  <w:footnote w:id="2818">
    <w:p w14:paraId="6ED88F34" w14:textId="77777777" w:rsidR="00B47FF5" w:rsidRDefault="00B47FF5" w:rsidP="00537CC8">
      <w:pPr>
        <w:pStyle w:val="FootnoteText"/>
      </w:pPr>
      <w:r>
        <w:rPr>
          <w:rStyle w:val="FootnoteReference"/>
        </w:rPr>
        <w:footnoteRef/>
      </w:r>
      <w:r>
        <w:rPr>
          <w:rtl/>
        </w:rPr>
        <w:t xml:space="preserve"> </w:t>
      </w:r>
      <w:r w:rsidRPr="00AD4F7C">
        <w:t>Long-Range Planning</w:t>
      </w:r>
    </w:p>
  </w:footnote>
  <w:footnote w:id="2819">
    <w:p w14:paraId="04FAA8D1" w14:textId="01B4D32F" w:rsidR="00B47FF5" w:rsidRDefault="00B47FF5" w:rsidP="00537CC8">
      <w:pPr>
        <w:pStyle w:val="FootnoteText"/>
      </w:pPr>
      <w:r>
        <w:rPr>
          <w:rStyle w:val="FootnoteReference"/>
        </w:rPr>
        <w:footnoteRef/>
      </w:r>
      <w:r>
        <w:rPr>
          <w:rtl/>
        </w:rPr>
        <w:t xml:space="preserve"> </w:t>
      </w:r>
      <w:r>
        <w:t>Alternative futuring</w:t>
      </w:r>
    </w:p>
  </w:footnote>
  <w:footnote w:id="2820">
    <w:p w14:paraId="1F2B1532" w14:textId="77777777" w:rsidR="00B47FF5" w:rsidRDefault="00B47FF5" w:rsidP="00537CC8">
      <w:pPr>
        <w:pStyle w:val="FootnoteText"/>
      </w:pPr>
      <w:r>
        <w:rPr>
          <w:rStyle w:val="FootnoteReference"/>
        </w:rPr>
        <w:footnoteRef/>
      </w:r>
      <w:r>
        <w:rPr>
          <w:rtl/>
        </w:rPr>
        <w:t xml:space="preserve"> </w:t>
      </w:r>
      <w:r w:rsidRPr="00AD4F7C">
        <w:t>Objectives and Key Results (OKRs)</w:t>
      </w:r>
    </w:p>
  </w:footnote>
  <w:footnote w:id="2821">
    <w:p w14:paraId="52D8ECA4" w14:textId="77777777" w:rsidR="00B47FF5" w:rsidRDefault="00B47FF5" w:rsidP="00537CC8">
      <w:pPr>
        <w:pStyle w:val="FootnoteText"/>
      </w:pPr>
      <w:r>
        <w:rPr>
          <w:rStyle w:val="FootnoteReference"/>
        </w:rPr>
        <w:footnoteRef/>
      </w:r>
      <w:r>
        <w:rPr>
          <w:rtl/>
        </w:rPr>
        <w:t xml:space="preserve"> </w:t>
      </w:r>
      <w:r w:rsidRPr="00AD4F7C">
        <w:t>Scenario Planning and Learning</w:t>
      </w:r>
    </w:p>
  </w:footnote>
  <w:footnote w:id="2822">
    <w:p w14:paraId="66FB225F" w14:textId="77777777" w:rsidR="00B47FF5" w:rsidRDefault="00B47FF5" w:rsidP="00537CC8">
      <w:pPr>
        <w:pStyle w:val="FootnoteText"/>
        <w:rPr>
          <w:rtl/>
        </w:rPr>
      </w:pPr>
      <w:r>
        <w:rPr>
          <w:rStyle w:val="FootnoteReference"/>
        </w:rPr>
        <w:footnoteRef/>
      </w:r>
      <w:r>
        <w:rPr>
          <w:rtl/>
        </w:rPr>
        <w:t xml:space="preserve"> </w:t>
      </w:r>
      <w:r w:rsidRPr="00AD4F7C">
        <w:t>S.M.A.R.T. Goalse</w:t>
      </w:r>
      <w:r>
        <w:t>tting</w:t>
      </w:r>
    </w:p>
  </w:footnote>
  <w:footnote w:id="2823">
    <w:p w14:paraId="4B628BB3" w14:textId="77777777" w:rsidR="00B47FF5" w:rsidRDefault="00B47FF5" w:rsidP="00537CC8">
      <w:pPr>
        <w:pStyle w:val="FootnoteText"/>
      </w:pPr>
      <w:r>
        <w:rPr>
          <w:rStyle w:val="FootnoteReference"/>
        </w:rPr>
        <w:footnoteRef/>
      </w:r>
      <w:r>
        <w:rPr>
          <w:rtl/>
        </w:rPr>
        <w:t xml:space="preserve"> </w:t>
      </w:r>
      <w:r w:rsidRPr="00AD4F7C">
        <w:t>Strategic Management</w:t>
      </w:r>
    </w:p>
  </w:footnote>
  <w:footnote w:id="2824">
    <w:p w14:paraId="1E962F2A" w14:textId="77777777" w:rsidR="00B47FF5" w:rsidRDefault="00B47FF5" w:rsidP="00537CC8">
      <w:pPr>
        <w:pStyle w:val="FootnoteText"/>
      </w:pPr>
      <w:r>
        <w:rPr>
          <w:rStyle w:val="FootnoteReference"/>
        </w:rPr>
        <w:footnoteRef/>
      </w:r>
      <w:r>
        <w:rPr>
          <w:rtl/>
        </w:rPr>
        <w:t xml:space="preserve"> </w:t>
      </w:r>
      <w:r w:rsidRPr="00AD4F7C">
        <w:t>Strategic Thinking</w:t>
      </w:r>
    </w:p>
  </w:footnote>
  <w:footnote w:id="2825">
    <w:p w14:paraId="029C2FA2" w14:textId="77777777" w:rsidR="00B47FF5" w:rsidRDefault="00B47FF5" w:rsidP="00537CC8">
      <w:pPr>
        <w:pStyle w:val="FootnoteText"/>
      </w:pPr>
      <w:r>
        <w:rPr>
          <w:rStyle w:val="FootnoteReference"/>
        </w:rPr>
        <w:footnoteRef/>
      </w:r>
      <w:r>
        <w:rPr>
          <w:rtl/>
        </w:rPr>
        <w:t xml:space="preserve"> </w:t>
      </w:r>
      <w:r w:rsidRPr="00AD4F7C">
        <w:t>Strategic Planning</w:t>
      </w:r>
    </w:p>
  </w:footnote>
  <w:footnote w:id="2826">
    <w:p w14:paraId="3CDC175E" w14:textId="77777777" w:rsidR="00B47FF5" w:rsidRDefault="00B47FF5" w:rsidP="00537CC8">
      <w:pPr>
        <w:pStyle w:val="FootnoteText"/>
      </w:pPr>
      <w:r>
        <w:rPr>
          <w:rStyle w:val="FootnoteReference"/>
        </w:rPr>
        <w:footnoteRef/>
      </w:r>
      <w:r>
        <w:rPr>
          <w:rtl/>
        </w:rPr>
        <w:t xml:space="preserve"> </w:t>
      </w:r>
      <w:r w:rsidRPr="00AD4F7C">
        <w:t>SWOT Analysis</w:t>
      </w:r>
    </w:p>
  </w:footnote>
  <w:footnote w:id="2827">
    <w:p w14:paraId="62794FDC" w14:textId="77777777" w:rsidR="00B47FF5" w:rsidRDefault="00B47FF5" w:rsidP="00537CC8">
      <w:pPr>
        <w:pStyle w:val="FootnoteText"/>
      </w:pPr>
      <w:r>
        <w:rPr>
          <w:rStyle w:val="FootnoteReference"/>
        </w:rPr>
        <w:footnoteRef/>
      </w:r>
      <w:r>
        <w:rPr>
          <w:rtl/>
        </w:rPr>
        <w:t xml:space="preserve"> </w:t>
      </w:r>
      <w:r w:rsidRPr="00AD4F7C">
        <w:t>Technology Readiness Analysis</w:t>
      </w:r>
    </w:p>
  </w:footnote>
  <w:footnote w:id="2828">
    <w:p w14:paraId="62F98C2D" w14:textId="77777777" w:rsidR="00B47FF5" w:rsidRDefault="00B47FF5" w:rsidP="00537CC8">
      <w:pPr>
        <w:pStyle w:val="FootnoteText"/>
      </w:pPr>
      <w:r>
        <w:rPr>
          <w:rStyle w:val="FootnoteReference"/>
        </w:rPr>
        <w:footnoteRef/>
      </w:r>
      <w:r>
        <w:rPr>
          <w:rtl/>
        </w:rPr>
        <w:t xml:space="preserve"> </w:t>
      </w:r>
      <w:r w:rsidRPr="00AD4F7C">
        <w:t>Visioning (Normative Forecasting)</w:t>
      </w:r>
    </w:p>
  </w:footnote>
  <w:footnote w:id="2829">
    <w:p w14:paraId="1A8391B6" w14:textId="77777777" w:rsidR="00B47FF5" w:rsidRDefault="00B47FF5" w:rsidP="00537CC8">
      <w:pPr>
        <w:pStyle w:val="FootnoteText"/>
      </w:pPr>
      <w:r>
        <w:rPr>
          <w:rStyle w:val="FootnoteReference"/>
        </w:rPr>
        <w:footnoteRef/>
      </w:r>
      <w:r>
        <w:rPr>
          <w:rtl/>
        </w:rPr>
        <w:t xml:space="preserve"> </w:t>
      </w:r>
      <w:r w:rsidRPr="00AD4F7C">
        <w:t>Agile Software Development and Lean Product Development</w:t>
      </w:r>
    </w:p>
  </w:footnote>
  <w:footnote w:id="2830">
    <w:p w14:paraId="4479B428" w14:textId="77777777" w:rsidR="00B47FF5" w:rsidRDefault="00B47FF5" w:rsidP="00537CC8">
      <w:pPr>
        <w:pStyle w:val="FootnoteText"/>
      </w:pPr>
      <w:r>
        <w:rPr>
          <w:rStyle w:val="FootnoteReference"/>
        </w:rPr>
        <w:footnoteRef/>
      </w:r>
      <w:r>
        <w:rPr>
          <w:rtl/>
        </w:rPr>
        <w:t xml:space="preserve"> </w:t>
      </w:r>
      <w:r w:rsidRPr="00AD4F7C">
        <w:t>Computer-Aided Design, Engineering, Manufacturing</w:t>
      </w:r>
    </w:p>
  </w:footnote>
  <w:footnote w:id="2831">
    <w:p w14:paraId="0C012F7C" w14:textId="77777777" w:rsidR="00B47FF5" w:rsidRDefault="00B47FF5" w:rsidP="00537CC8">
      <w:pPr>
        <w:pStyle w:val="FootnoteText"/>
      </w:pPr>
      <w:r>
        <w:rPr>
          <w:rStyle w:val="FootnoteReference"/>
        </w:rPr>
        <w:footnoteRef/>
      </w:r>
      <w:r>
        <w:rPr>
          <w:rtl/>
        </w:rPr>
        <w:t xml:space="preserve"> </w:t>
      </w:r>
      <w:r w:rsidRPr="00AD4F7C">
        <w:t>Enterprise Resource Planning</w:t>
      </w:r>
    </w:p>
  </w:footnote>
  <w:footnote w:id="2832">
    <w:p w14:paraId="2487706E" w14:textId="77777777" w:rsidR="00B47FF5" w:rsidRDefault="00B47FF5" w:rsidP="00537CC8">
      <w:pPr>
        <w:pStyle w:val="FootnoteText"/>
      </w:pPr>
      <w:r>
        <w:rPr>
          <w:rStyle w:val="FootnoteReference"/>
        </w:rPr>
        <w:footnoteRef/>
      </w:r>
      <w:r>
        <w:rPr>
          <w:rtl/>
        </w:rPr>
        <w:t xml:space="preserve"> </w:t>
      </w:r>
      <w:r w:rsidRPr="00AD4F7C">
        <w:t>Lean Manufacturing</w:t>
      </w:r>
    </w:p>
  </w:footnote>
  <w:footnote w:id="2833">
    <w:p w14:paraId="7AF0F144" w14:textId="77777777" w:rsidR="00B47FF5" w:rsidRDefault="00B47FF5" w:rsidP="00537CC8">
      <w:pPr>
        <w:pStyle w:val="FootnoteText"/>
      </w:pPr>
      <w:r>
        <w:rPr>
          <w:rStyle w:val="FootnoteReference"/>
        </w:rPr>
        <w:footnoteRef/>
      </w:r>
      <w:r>
        <w:rPr>
          <w:rtl/>
        </w:rPr>
        <w:t xml:space="preserve"> </w:t>
      </w:r>
      <w:r w:rsidRPr="00AD4F7C">
        <w:t>Objectives and Expectations Setting (chartering)</w:t>
      </w:r>
    </w:p>
  </w:footnote>
  <w:footnote w:id="2834">
    <w:p w14:paraId="0864BE95" w14:textId="77777777" w:rsidR="00B47FF5" w:rsidRDefault="00B47FF5" w:rsidP="00537CC8">
      <w:pPr>
        <w:pStyle w:val="FootnoteText"/>
      </w:pPr>
      <w:r>
        <w:rPr>
          <w:rStyle w:val="FootnoteReference"/>
        </w:rPr>
        <w:footnoteRef/>
      </w:r>
      <w:r>
        <w:rPr>
          <w:rtl/>
        </w:rPr>
        <w:t xml:space="preserve"> </w:t>
      </w:r>
      <w:r w:rsidRPr="00AD4F7C">
        <w:t>Project Management Software</w:t>
      </w:r>
    </w:p>
  </w:footnote>
  <w:footnote w:id="2835">
    <w:p w14:paraId="1BF01DCB" w14:textId="77777777" w:rsidR="00B47FF5" w:rsidRDefault="00B47FF5" w:rsidP="00537CC8">
      <w:pPr>
        <w:pStyle w:val="FootnoteText"/>
      </w:pPr>
      <w:r>
        <w:rPr>
          <w:rStyle w:val="FootnoteReference"/>
        </w:rPr>
        <w:footnoteRef/>
      </w:r>
      <w:r>
        <w:rPr>
          <w:rtl/>
        </w:rPr>
        <w:t xml:space="preserve"> </w:t>
      </w:r>
      <w:r w:rsidRPr="00AD4F7C">
        <w:t>Project Selection</w:t>
      </w:r>
    </w:p>
  </w:footnote>
  <w:footnote w:id="2836">
    <w:p w14:paraId="65B3A90B" w14:textId="77777777" w:rsidR="00B47FF5" w:rsidRDefault="00B47FF5" w:rsidP="00537CC8">
      <w:pPr>
        <w:pStyle w:val="FootnoteText"/>
      </w:pPr>
      <w:r>
        <w:rPr>
          <w:rStyle w:val="FootnoteReference"/>
        </w:rPr>
        <w:footnoteRef/>
      </w:r>
      <w:r>
        <w:rPr>
          <w:rtl/>
        </w:rPr>
        <w:t xml:space="preserve"> </w:t>
      </w:r>
      <w:r w:rsidRPr="002C489F">
        <w:t>Quick Response Manufacturing</w:t>
      </w:r>
    </w:p>
  </w:footnote>
  <w:footnote w:id="2837">
    <w:p w14:paraId="386902F5" w14:textId="77777777" w:rsidR="00B47FF5" w:rsidRDefault="00B47FF5" w:rsidP="00537CC8">
      <w:pPr>
        <w:pStyle w:val="FootnoteText"/>
      </w:pPr>
      <w:r>
        <w:rPr>
          <w:rStyle w:val="FootnoteReference"/>
        </w:rPr>
        <w:footnoteRef/>
      </w:r>
      <w:r>
        <w:rPr>
          <w:rtl/>
        </w:rPr>
        <w:t xml:space="preserve"> </w:t>
      </w:r>
      <w:r w:rsidRPr="002C489F">
        <w:t>Resilient Control Systems and Reliability-Centered Maintenance</w:t>
      </w:r>
    </w:p>
  </w:footnote>
  <w:footnote w:id="2838">
    <w:p w14:paraId="2FA3436D" w14:textId="77777777" w:rsidR="00B47FF5" w:rsidRDefault="00B47FF5" w:rsidP="00537CC8">
      <w:pPr>
        <w:pStyle w:val="FootnoteText"/>
      </w:pPr>
      <w:r>
        <w:rPr>
          <w:rStyle w:val="FootnoteReference"/>
        </w:rPr>
        <w:footnoteRef/>
      </w:r>
      <w:r>
        <w:rPr>
          <w:rtl/>
        </w:rPr>
        <w:t xml:space="preserve"> </w:t>
      </w:r>
      <w:r w:rsidRPr="002904F5">
        <w:t>Task Management Systems</w:t>
      </w:r>
    </w:p>
  </w:footnote>
  <w:footnote w:id="2839">
    <w:p w14:paraId="255E7EF2" w14:textId="77777777" w:rsidR="00B47FF5" w:rsidRDefault="00B47FF5" w:rsidP="00537CC8">
      <w:pPr>
        <w:pStyle w:val="FootnoteText"/>
      </w:pPr>
      <w:r>
        <w:rPr>
          <w:rStyle w:val="FootnoteReference"/>
        </w:rPr>
        <w:footnoteRef/>
      </w:r>
      <w:r>
        <w:rPr>
          <w:rtl/>
        </w:rPr>
        <w:t xml:space="preserve"> </w:t>
      </w:r>
      <w:r w:rsidRPr="003C1B46">
        <w:t>OmniFocus</w:t>
      </w:r>
    </w:p>
  </w:footnote>
  <w:footnote w:id="2840">
    <w:p w14:paraId="3538D54B" w14:textId="77777777" w:rsidR="00B47FF5" w:rsidRDefault="00B47FF5" w:rsidP="00537CC8">
      <w:pPr>
        <w:pStyle w:val="FootnoteText"/>
      </w:pPr>
      <w:r>
        <w:rPr>
          <w:rStyle w:val="FootnoteReference"/>
        </w:rPr>
        <w:footnoteRef/>
      </w:r>
      <w:r>
        <w:rPr>
          <w:rtl/>
        </w:rPr>
        <w:t xml:space="preserve"> </w:t>
      </w:r>
      <w:r w:rsidRPr="002904F5">
        <w:t>Work Environment Selection</w:t>
      </w:r>
    </w:p>
  </w:footnote>
  <w:footnote w:id="2841">
    <w:p w14:paraId="605B6DBE" w14:textId="77777777" w:rsidR="00B47FF5" w:rsidRDefault="00B47FF5" w:rsidP="00537CC8">
      <w:pPr>
        <w:pStyle w:val="FootnoteText"/>
      </w:pPr>
      <w:r>
        <w:rPr>
          <w:rStyle w:val="FootnoteReference"/>
        </w:rPr>
        <w:footnoteRef/>
      </w:r>
      <w:r>
        <w:rPr>
          <w:rtl/>
        </w:rPr>
        <w:t xml:space="preserve"> </w:t>
      </w:r>
      <w:r w:rsidRPr="002904F5">
        <w:t>Advertising and Digital Advertising</w:t>
      </w:r>
    </w:p>
  </w:footnote>
  <w:footnote w:id="2842">
    <w:p w14:paraId="2E8E0783" w14:textId="77777777" w:rsidR="00B47FF5" w:rsidRDefault="00B47FF5" w:rsidP="00537CC8">
      <w:pPr>
        <w:pStyle w:val="FootnoteText"/>
      </w:pPr>
      <w:r>
        <w:rPr>
          <w:rStyle w:val="FootnoteReference"/>
        </w:rPr>
        <w:footnoteRef/>
      </w:r>
      <w:r>
        <w:rPr>
          <w:rtl/>
        </w:rPr>
        <w:t xml:space="preserve"> </w:t>
      </w:r>
      <w:r w:rsidRPr="002904F5">
        <w:t>Advertising Age</w:t>
      </w:r>
    </w:p>
  </w:footnote>
  <w:footnote w:id="2843">
    <w:p w14:paraId="19C2FF3D" w14:textId="77777777" w:rsidR="00B47FF5" w:rsidRDefault="00B47FF5" w:rsidP="00537CC8">
      <w:pPr>
        <w:pStyle w:val="FootnoteText"/>
      </w:pPr>
      <w:r>
        <w:rPr>
          <w:rStyle w:val="FootnoteReference"/>
        </w:rPr>
        <w:footnoteRef/>
      </w:r>
      <w:r>
        <w:rPr>
          <w:rtl/>
        </w:rPr>
        <w:t xml:space="preserve"> </w:t>
      </w:r>
      <w:r w:rsidRPr="002904F5">
        <w:t>Brand Management and Positioning</w:t>
      </w:r>
    </w:p>
  </w:footnote>
  <w:footnote w:id="2844">
    <w:p w14:paraId="68C6880C" w14:textId="77777777" w:rsidR="00B47FF5" w:rsidRDefault="00B47FF5" w:rsidP="00537CC8">
      <w:pPr>
        <w:pStyle w:val="FootnoteText"/>
      </w:pPr>
      <w:r>
        <w:rPr>
          <w:rStyle w:val="FootnoteReference"/>
        </w:rPr>
        <w:footnoteRef/>
      </w:r>
      <w:r>
        <w:rPr>
          <w:rtl/>
        </w:rPr>
        <w:t xml:space="preserve"> </w:t>
      </w:r>
      <w:r w:rsidRPr="002904F5">
        <w:t>Conjoint Analysis and Substitution Analysis</w:t>
      </w:r>
    </w:p>
  </w:footnote>
  <w:footnote w:id="2845">
    <w:p w14:paraId="235E19BD" w14:textId="77777777" w:rsidR="00B47FF5" w:rsidRDefault="00B47FF5" w:rsidP="00537CC8">
      <w:pPr>
        <w:pStyle w:val="FootnoteText"/>
      </w:pPr>
      <w:r>
        <w:rPr>
          <w:rStyle w:val="FootnoteReference"/>
        </w:rPr>
        <w:footnoteRef/>
      </w:r>
      <w:r>
        <w:rPr>
          <w:rtl/>
        </w:rPr>
        <w:t xml:space="preserve"> </w:t>
      </w:r>
      <w:r w:rsidRPr="00120D0E">
        <w:t>Customer Analytics</w:t>
      </w:r>
    </w:p>
  </w:footnote>
  <w:footnote w:id="2846">
    <w:p w14:paraId="6C0E3848" w14:textId="77777777" w:rsidR="00B47FF5" w:rsidRDefault="00B47FF5" w:rsidP="00537CC8">
      <w:pPr>
        <w:pStyle w:val="FootnoteText"/>
      </w:pPr>
      <w:r>
        <w:rPr>
          <w:rStyle w:val="FootnoteReference"/>
        </w:rPr>
        <w:footnoteRef/>
      </w:r>
      <w:r>
        <w:rPr>
          <w:rtl/>
        </w:rPr>
        <w:t xml:space="preserve"> </w:t>
      </w:r>
      <w:r w:rsidRPr="00120D0E">
        <w:t>Customer Relationship Management</w:t>
      </w:r>
    </w:p>
  </w:footnote>
  <w:footnote w:id="2847">
    <w:p w14:paraId="78920D13" w14:textId="77777777" w:rsidR="00B47FF5" w:rsidRDefault="00B47FF5" w:rsidP="00537CC8">
      <w:pPr>
        <w:pStyle w:val="FootnoteText"/>
      </w:pPr>
      <w:r>
        <w:rPr>
          <w:rStyle w:val="FootnoteReference"/>
        </w:rPr>
        <w:footnoteRef/>
      </w:r>
      <w:r>
        <w:rPr>
          <w:rtl/>
        </w:rPr>
        <w:t xml:space="preserve"> </w:t>
      </w:r>
      <w:r w:rsidRPr="00C9589D">
        <w:t>Customer Segmentation and Target Marketing</w:t>
      </w:r>
    </w:p>
  </w:footnote>
  <w:footnote w:id="2848">
    <w:p w14:paraId="160C99E6" w14:textId="77777777" w:rsidR="00B47FF5" w:rsidRDefault="00B47FF5" w:rsidP="00537CC8">
      <w:pPr>
        <w:pStyle w:val="FootnoteText"/>
      </w:pPr>
      <w:r>
        <w:rPr>
          <w:rStyle w:val="FootnoteReference"/>
        </w:rPr>
        <w:footnoteRef/>
      </w:r>
      <w:r>
        <w:rPr>
          <w:rtl/>
        </w:rPr>
        <w:t xml:space="preserve"> </w:t>
      </w:r>
      <w:r w:rsidRPr="00C9589D">
        <w:t>Direct Marketing</w:t>
      </w:r>
    </w:p>
  </w:footnote>
  <w:footnote w:id="2849">
    <w:p w14:paraId="7C78DA1A" w14:textId="77777777" w:rsidR="00B47FF5" w:rsidRDefault="00B47FF5" w:rsidP="00537CC8">
      <w:pPr>
        <w:pStyle w:val="FootnoteText"/>
      </w:pPr>
      <w:r>
        <w:rPr>
          <w:rStyle w:val="FootnoteReference"/>
        </w:rPr>
        <w:footnoteRef/>
      </w:r>
      <w:r>
        <w:rPr>
          <w:rtl/>
        </w:rPr>
        <w:t xml:space="preserve"> </w:t>
      </w:r>
      <w:r w:rsidRPr="00C9589D">
        <w:t>Market Research</w:t>
      </w:r>
    </w:p>
  </w:footnote>
  <w:footnote w:id="2850">
    <w:p w14:paraId="43541793" w14:textId="77777777" w:rsidR="00B47FF5" w:rsidRDefault="00B47FF5" w:rsidP="00537CC8">
      <w:pPr>
        <w:pStyle w:val="FootnoteText"/>
      </w:pPr>
      <w:r>
        <w:rPr>
          <w:rStyle w:val="FootnoteReference"/>
        </w:rPr>
        <w:footnoteRef/>
      </w:r>
      <w:r>
        <w:rPr>
          <w:rtl/>
        </w:rPr>
        <w:t xml:space="preserve"> </w:t>
      </w:r>
      <w:r w:rsidRPr="00C9589D">
        <w:t>Mass Customization and Personalized Marketing</w:t>
      </w:r>
    </w:p>
  </w:footnote>
  <w:footnote w:id="2851">
    <w:p w14:paraId="0C192D42" w14:textId="77777777" w:rsidR="00B47FF5" w:rsidRDefault="00B47FF5" w:rsidP="00537CC8">
      <w:pPr>
        <w:pStyle w:val="FootnoteText"/>
      </w:pPr>
      <w:r>
        <w:rPr>
          <w:rStyle w:val="FootnoteReference"/>
        </w:rPr>
        <w:footnoteRef/>
      </w:r>
      <w:r>
        <w:rPr>
          <w:rtl/>
        </w:rPr>
        <w:t xml:space="preserve"> </w:t>
      </w:r>
      <w:r w:rsidRPr="00C9589D">
        <w:t>Sales Force Management Systems</w:t>
      </w:r>
    </w:p>
  </w:footnote>
  <w:footnote w:id="2852">
    <w:p w14:paraId="3CEA0210" w14:textId="77777777" w:rsidR="00B47FF5" w:rsidRDefault="00B47FF5" w:rsidP="00537CC8">
      <w:pPr>
        <w:pStyle w:val="FootnoteText"/>
      </w:pPr>
      <w:r>
        <w:rPr>
          <w:rStyle w:val="FootnoteReference"/>
        </w:rPr>
        <w:footnoteRef/>
      </w:r>
      <w:r>
        <w:rPr>
          <w:rtl/>
        </w:rPr>
        <w:t xml:space="preserve"> </w:t>
      </w:r>
      <w:r w:rsidRPr="00C9589D">
        <w:t>Social Marketing</w:t>
      </w:r>
    </w:p>
  </w:footnote>
  <w:footnote w:id="2853">
    <w:p w14:paraId="785DE56B" w14:textId="77777777" w:rsidR="00B47FF5" w:rsidRDefault="00B47FF5" w:rsidP="00537CC8">
      <w:pPr>
        <w:pStyle w:val="FootnoteText"/>
      </w:pPr>
      <w:r>
        <w:rPr>
          <w:rStyle w:val="FootnoteReference"/>
        </w:rPr>
        <w:footnoteRef/>
      </w:r>
      <w:r>
        <w:rPr>
          <w:rtl/>
        </w:rPr>
        <w:t xml:space="preserve"> </w:t>
      </w:r>
      <w:r w:rsidRPr="00C9589D">
        <w:t>Social Media Marketing</w:t>
      </w:r>
    </w:p>
  </w:footnote>
  <w:footnote w:id="2854">
    <w:p w14:paraId="45373042" w14:textId="156C0E07" w:rsidR="00B47FF5" w:rsidRDefault="00B47FF5" w:rsidP="00537CC8">
      <w:pPr>
        <w:pStyle w:val="FootnoteText"/>
      </w:pPr>
      <w:r>
        <w:rPr>
          <w:rStyle w:val="FootnoteReference"/>
        </w:rPr>
        <w:footnoteRef/>
      </w:r>
      <w:r>
        <w:rPr>
          <w:rtl/>
        </w:rPr>
        <w:t xml:space="preserve"> </w:t>
      </w:r>
      <w:r>
        <w:t>Viral marketing</w:t>
      </w:r>
    </w:p>
  </w:footnote>
  <w:footnote w:id="2855">
    <w:p w14:paraId="71432D83" w14:textId="77777777" w:rsidR="00B47FF5" w:rsidRDefault="00B47FF5" w:rsidP="00537CC8">
      <w:pPr>
        <w:pStyle w:val="FootnoteText"/>
      </w:pPr>
      <w:r>
        <w:rPr>
          <w:rStyle w:val="FootnoteReference"/>
        </w:rPr>
        <w:footnoteRef/>
      </w:r>
      <w:r>
        <w:rPr>
          <w:rtl/>
        </w:rPr>
        <w:t xml:space="preserve"> </w:t>
      </w:r>
      <w:r w:rsidRPr="00C9589D">
        <w:t>Advisor Management and Stakeholder Analysis</w:t>
      </w:r>
    </w:p>
  </w:footnote>
  <w:footnote w:id="2856">
    <w:p w14:paraId="3935FD1E" w14:textId="77777777" w:rsidR="00B47FF5" w:rsidRDefault="00B47FF5" w:rsidP="00537CC8">
      <w:pPr>
        <w:pStyle w:val="FootnoteText"/>
      </w:pPr>
      <w:r>
        <w:rPr>
          <w:rStyle w:val="FootnoteReference"/>
        </w:rPr>
        <w:footnoteRef/>
      </w:r>
      <w:r>
        <w:rPr>
          <w:rtl/>
        </w:rPr>
        <w:t xml:space="preserve"> </w:t>
      </w:r>
      <w:r w:rsidRPr="00C9589D">
        <w:t>Business Ethics</w:t>
      </w:r>
    </w:p>
  </w:footnote>
  <w:footnote w:id="2857">
    <w:p w14:paraId="673C2B8E" w14:textId="77777777" w:rsidR="00B47FF5" w:rsidRDefault="00B47FF5" w:rsidP="00537CC8">
      <w:pPr>
        <w:pStyle w:val="FootnoteText"/>
      </w:pPr>
      <w:r>
        <w:rPr>
          <w:rStyle w:val="FootnoteReference"/>
        </w:rPr>
        <w:footnoteRef/>
      </w:r>
      <w:r>
        <w:rPr>
          <w:rtl/>
        </w:rPr>
        <w:t xml:space="preserve"> </w:t>
      </w:r>
      <w:r w:rsidRPr="00C9589D">
        <w:t>Cognitive Diversity</w:t>
      </w:r>
    </w:p>
  </w:footnote>
  <w:footnote w:id="2858">
    <w:p w14:paraId="0A5FE79E" w14:textId="77777777" w:rsidR="00B47FF5" w:rsidRDefault="00B47FF5" w:rsidP="00537CC8">
      <w:pPr>
        <w:pStyle w:val="FootnoteText"/>
      </w:pPr>
      <w:r>
        <w:rPr>
          <w:rStyle w:val="FootnoteReference"/>
        </w:rPr>
        <w:footnoteRef/>
      </w:r>
      <w:r>
        <w:rPr>
          <w:rtl/>
        </w:rPr>
        <w:t xml:space="preserve"> </w:t>
      </w:r>
      <w:r w:rsidRPr="00E15A13">
        <w:t>The Difference</w:t>
      </w:r>
    </w:p>
  </w:footnote>
  <w:footnote w:id="2859">
    <w:p w14:paraId="1C4543A2" w14:textId="77777777" w:rsidR="00B47FF5" w:rsidRDefault="00B47FF5" w:rsidP="00537CC8">
      <w:pPr>
        <w:pStyle w:val="FootnoteText"/>
      </w:pPr>
      <w:r>
        <w:rPr>
          <w:rStyle w:val="FootnoteReference"/>
        </w:rPr>
        <w:footnoteRef/>
      </w:r>
      <w:r>
        <w:rPr>
          <w:rtl/>
        </w:rPr>
        <w:t xml:space="preserve"> </w:t>
      </w:r>
      <w:r w:rsidRPr="00C9589D">
        <w:t>Communications and Public Relations</w:t>
      </w:r>
    </w:p>
  </w:footnote>
  <w:footnote w:id="2860">
    <w:p w14:paraId="28407046" w14:textId="77777777" w:rsidR="00B47FF5" w:rsidRDefault="00B47FF5" w:rsidP="00537CC8">
      <w:pPr>
        <w:pStyle w:val="FootnoteText"/>
      </w:pPr>
      <w:r>
        <w:rPr>
          <w:rStyle w:val="FootnoteReference"/>
        </w:rPr>
        <w:footnoteRef/>
      </w:r>
      <w:r>
        <w:rPr>
          <w:rtl/>
        </w:rPr>
        <w:t xml:space="preserve"> </w:t>
      </w:r>
      <w:r w:rsidRPr="00C9589D">
        <w:t>Compensation and Benefits</w:t>
      </w:r>
    </w:p>
  </w:footnote>
  <w:footnote w:id="2861">
    <w:p w14:paraId="4B1FFFC7" w14:textId="77777777" w:rsidR="00B47FF5" w:rsidRDefault="00B47FF5" w:rsidP="00537CC8">
      <w:pPr>
        <w:pStyle w:val="FootnoteText"/>
      </w:pPr>
      <w:r>
        <w:rPr>
          <w:rStyle w:val="FootnoteReference"/>
        </w:rPr>
        <w:footnoteRef/>
      </w:r>
      <w:r>
        <w:rPr>
          <w:rtl/>
        </w:rPr>
        <w:t xml:space="preserve"> </w:t>
      </w:r>
      <w:r w:rsidRPr="00C9589D">
        <w:t>Culture, Morale, Fear Assessment, and Emotional Intelligence Development</w:t>
      </w:r>
    </w:p>
  </w:footnote>
  <w:footnote w:id="2862">
    <w:p w14:paraId="25A440AC" w14:textId="77777777" w:rsidR="00B47FF5" w:rsidRDefault="00B47FF5" w:rsidP="00537CC8">
      <w:pPr>
        <w:pStyle w:val="FootnoteText"/>
      </w:pPr>
      <w:r>
        <w:rPr>
          <w:rStyle w:val="FootnoteReference"/>
        </w:rPr>
        <w:footnoteRef/>
      </w:r>
      <w:r>
        <w:rPr>
          <w:rtl/>
        </w:rPr>
        <w:t xml:space="preserve"> </w:t>
      </w:r>
      <w:r w:rsidRPr="00293465">
        <w:t>Breaking the Fear Barrier</w:t>
      </w:r>
    </w:p>
  </w:footnote>
  <w:footnote w:id="2863">
    <w:p w14:paraId="2951D5FC" w14:textId="77777777" w:rsidR="00B47FF5" w:rsidRDefault="00B47FF5" w:rsidP="00537CC8">
      <w:pPr>
        <w:pStyle w:val="FootnoteText"/>
      </w:pPr>
      <w:r>
        <w:rPr>
          <w:rStyle w:val="FootnoteReference"/>
        </w:rPr>
        <w:footnoteRef/>
      </w:r>
      <w:r>
        <w:rPr>
          <w:rtl/>
        </w:rPr>
        <w:t xml:space="preserve"> </w:t>
      </w:r>
      <w:r w:rsidRPr="003C1B46">
        <w:t>Tom Reiger</w:t>
      </w:r>
    </w:p>
  </w:footnote>
  <w:footnote w:id="2864">
    <w:p w14:paraId="438AF3AC" w14:textId="77777777" w:rsidR="00B47FF5" w:rsidRDefault="00B47FF5" w:rsidP="00537CC8">
      <w:pPr>
        <w:pStyle w:val="FootnoteText"/>
      </w:pPr>
      <w:r>
        <w:rPr>
          <w:rStyle w:val="FootnoteReference"/>
        </w:rPr>
        <w:footnoteRef/>
      </w:r>
      <w:r>
        <w:rPr>
          <w:rtl/>
        </w:rPr>
        <w:t xml:space="preserve"> </w:t>
      </w:r>
      <w:r w:rsidRPr="00C9589D">
        <w:t>Employee Engagement</w:t>
      </w:r>
    </w:p>
  </w:footnote>
  <w:footnote w:id="2865">
    <w:p w14:paraId="44B2E021" w14:textId="77777777" w:rsidR="00B47FF5" w:rsidRDefault="00B47FF5" w:rsidP="00537CC8">
      <w:pPr>
        <w:pStyle w:val="FootnoteText"/>
      </w:pPr>
      <w:r>
        <w:rPr>
          <w:rStyle w:val="FootnoteReference"/>
        </w:rPr>
        <w:footnoteRef/>
      </w:r>
      <w:r>
        <w:rPr>
          <w:rtl/>
        </w:rPr>
        <w:t xml:space="preserve"> </w:t>
      </w:r>
      <w:r w:rsidRPr="00C9589D">
        <w:t>Enterprise Relationship Management</w:t>
      </w:r>
    </w:p>
  </w:footnote>
  <w:footnote w:id="2866">
    <w:p w14:paraId="1D4D393E" w14:textId="77777777" w:rsidR="00B47FF5" w:rsidRDefault="00B47FF5" w:rsidP="00537CC8">
      <w:pPr>
        <w:pStyle w:val="FootnoteText"/>
      </w:pPr>
      <w:r>
        <w:rPr>
          <w:rStyle w:val="FootnoteReference"/>
        </w:rPr>
        <w:footnoteRef/>
      </w:r>
      <w:r>
        <w:rPr>
          <w:rtl/>
        </w:rPr>
        <w:t xml:space="preserve"> </w:t>
      </w:r>
      <w:r w:rsidRPr="00617EBB">
        <w:t>Organizational Development</w:t>
      </w:r>
    </w:p>
  </w:footnote>
  <w:footnote w:id="2867">
    <w:p w14:paraId="3699BE8A" w14:textId="77777777" w:rsidR="00B47FF5" w:rsidRDefault="00B47FF5" w:rsidP="00537CC8">
      <w:pPr>
        <w:pStyle w:val="FootnoteText"/>
      </w:pPr>
      <w:r>
        <w:rPr>
          <w:rStyle w:val="FootnoteReference"/>
        </w:rPr>
        <w:footnoteRef/>
      </w:r>
      <w:r>
        <w:rPr>
          <w:rtl/>
        </w:rPr>
        <w:t xml:space="preserve"> </w:t>
      </w:r>
      <w:r w:rsidRPr="00617EBB">
        <w:t>Strategic communication</w:t>
      </w:r>
    </w:p>
  </w:footnote>
  <w:footnote w:id="2868">
    <w:p w14:paraId="432F84C1" w14:textId="77777777" w:rsidR="00B47FF5" w:rsidRDefault="00B47FF5" w:rsidP="00537CC8">
      <w:pPr>
        <w:pStyle w:val="FootnoteText"/>
      </w:pPr>
      <w:r>
        <w:rPr>
          <w:rStyle w:val="FootnoteReference"/>
        </w:rPr>
        <w:footnoteRef/>
      </w:r>
      <w:r>
        <w:rPr>
          <w:rtl/>
        </w:rPr>
        <w:t xml:space="preserve"> </w:t>
      </w:r>
      <w:r w:rsidRPr="00617EBB">
        <w:t>Succession Planning</w:t>
      </w:r>
    </w:p>
  </w:footnote>
  <w:footnote w:id="2869">
    <w:p w14:paraId="1104CB0A" w14:textId="77777777" w:rsidR="00B47FF5" w:rsidRDefault="00B47FF5" w:rsidP="00537CC8">
      <w:pPr>
        <w:pStyle w:val="FootnoteText"/>
      </w:pPr>
      <w:r>
        <w:rPr>
          <w:rStyle w:val="FootnoteReference"/>
        </w:rPr>
        <w:footnoteRef/>
      </w:r>
      <w:r>
        <w:rPr>
          <w:rtl/>
        </w:rPr>
        <w:t xml:space="preserve"> </w:t>
      </w:r>
      <w:r w:rsidRPr="00617EBB">
        <w:t>Talent Acquisition and Team Selection</w:t>
      </w:r>
    </w:p>
  </w:footnote>
  <w:footnote w:id="2870">
    <w:p w14:paraId="7FEDF9D3" w14:textId="77777777" w:rsidR="00B47FF5" w:rsidRDefault="00B47FF5" w:rsidP="00537CC8">
      <w:pPr>
        <w:pStyle w:val="FootnoteText"/>
      </w:pPr>
      <w:r>
        <w:rPr>
          <w:rStyle w:val="FootnoteReference"/>
        </w:rPr>
        <w:footnoteRef/>
      </w:r>
      <w:r>
        <w:rPr>
          <w:rtl/>
        </w:rPr>
        <w:t xml:space="preserve"> </w:t>
      </w:r>
      <w:r w:rsidRPr="00617EBB">
        <w:t>Balanced Scorecards</w:t>
      </w:r>
    </w:p>
  </w:footnote>
  <w:footnote w:id="2871">
    <w:p w14:paraId="67960085" w14:textId="77777777" w:rsidR="00B47FF5" w:rsidRDefault="00B47FF5" w:rsidP="00537CC8">
      <w:pPr>
        <w:pStyle w:val="FootnoteText"/>
      </w:pPr>
      <w:r>
        <w:rPr>
          <w:rStyle w:val="FootnoteReference"/>
        </w:rPr>
        <w:footnoteRef/>
      </w:r>
      <w:r>
        <w:rPr>
          <w:rtl/>
        </w:rPr>
        <w:t xml:space="preserve"> </w:t>
      </w:r>
      <w:r w:rsidRPr="00617EBB">
        <w:t>Change Management</w:t>
      </w:r>
    </w:p>
  </w:footnote>
  <w:footnote w:id="2872">
    <w:p w14:paraId="009EEBAD" w14:textId="77777777" w:rsidR="00B47FF5" w:rsidRDefault="00B47FF5" w:rsidP="00537CC8">
      <w:pPr>
        <w:pStyle w:val="FootnoteText"/>
      </w:pPr>
      <w:r>
        <w:rPr>
          <w:rStyle w:val="FootnoteReference"/>
        </w:rPr>
        <w:footnoteRef/>
      </w:r>
      <w:r>
        <w:rPr>
          <w:rtl/>
        </w:rPr>
        <w:t xml:space="preserve"> </w:t>
      </w:r>
      <w:r w:rsidRPr="00743C06">
        <w:t>Leading Change</w:t>
      </w:r>
    </w:p>
  </w:footnote>
  <w:footnote w:id="2873">
    <w:p w14:paraId="6BC3FAE6" w14:textId="77777777" w:rsidR="00B47FF5" w:rsidRDefault="00B47FF5" w:rsidP="00537CC8">
      <w:pPr>
        <w:pStyle w:val="FootnoteText"/>
      </w:pPr>
      <w:r>
        <w:rPr>
          <w:rStyle w:val="FootnoteReference"/>
        </w:rPr>
        <w:footnoteRef/>
      </w:r>
      <w:r>
        <w:rPr>
          <w:rtl/>
        </w:rPr>
        <w:t xml:space="preserve"> </w:t>
      </w:r>
      <w:r w:rsidRPr="00617EBB">
        <w:t>Critical Foresight/Futures Studies</w:t>
      </w:r>
    </w:p>
  </w:footnote>
  <w:footnote w:id="2874">
    <w:p w14:paraId="587D4C74" w14:textId="77777777" w:rsidR="00B47FF5" w:rsidRDefault="00B47FF5" w:rsidP="00537CC8">
      <w:pPr>
        <w:pStyle w:val="FootnoteText"/>
      </w:pPr>
      <w:r>
        <w:rPr>
          <w:rStyle w:val="FootnoteReference"/>
        </w:rPr>
        <w:footnoteRef/>
      </w:r>
      <w:r>
        <w:rPr>
          <w:rtl/>
        </w:rPr>
        <w:t xml:space="preserve"> </w:t>
      </w:r>
      <w:r w:rsidRPr="00743C06">
        <w:t>Critical Futures</w:t>
      </w:r>
      <w:r>
        <w:t xml:space="preserve"> Studies</w:t>
      </w:r>
    </w:p>
  </w:footnote>
  <w:footnote w:id="2875">
    <w:p w14:paraId="59EAF01B" w14:textId="77777777" w:rsidR="00B47FF5" w:rsidRDefault="00B47FF5" w:rsidP="00537CC8">
      <w:pPr>
        <w:pStyle w:val="FootnoteText"/>
      </w:pPr>
      <w:r>
        <w:rPr>
          <w:rStyle w:val="FootnoteReference"/>
        </w:rPr>
        <w:footnoteRef/>
      </w:r>
      <w:r>
        <w:rPr>
          <w:rtl/>
        </w:rPr>
        <w:t xml:space="preserve"> </w:t>
      </w:r>
      <w:r w:rsidRPr="00617EBB">
        <w:t>Criticism Solicitation</w:t>
      </w:r>
    </w:p>
  </w:footnote>
  <w:footnote w:id="2876">
    <w:p w14:paraId="250A2037" w14:textId="77777777" w:rsidR="00B47FF5" w:rsidRDefault="00B47FF5" w:rsidP="00537CC8">
      <w:pPr>
        <w:pStyle w:val="FootnoteText"/>
      </w:pPr>
      <w:r>
        <w:rPr>
          <w:rStyle w:val="FootnoteReference"/>
        </w:rPr>
        <w:footnoteRef/>
      </w:r>
      <w:r>
        <w:rPr>
          <w:rtl/>
        </w:rPr>
        <w:t xml:space="preserve"> </w:t>
      </w:r>
      <w:r w:rsidRPr="00617EBB">
        <w:t>Dashboards (Management Information Systems)</w:t>
      </w:r>
    </w:p>
  </w:footnote>
  <w:footnote w:id="2877">
    <w:p w14:paraId="1082A0BF" w14:textId="77777777" w:rsidR="00B47FF5" w:rsidRDefault="00B47FF5" w:rsidP="00537CC8">
      <w:pPr>
        <w:pStyle w:val="FootnoteText"/>
      </w:pPr>
      <w:r>
        <w:rPr>
          <w:rStyle w:val="FootnoteReference"/>
        </w:rPr>
        <w:footnoteRef/>
      </w:r>
      <w:r>
        <w:rPr>
          <w:rtl/>
        </w:rPr>
        <w:t xml:space="preserve"> </w:t>
      </w:r>
      <w:r w:rsidRPr="00617EBB">
        <w:t>Enterprise Feedback Management</w:t>
      </w:r>
    </w:p>
  </w:footnote>
  <w:footnote w:id="2878">
    <w:p w14:paraId="7E5D6CCA" w14:textId="77777777" w:rsidR="00B47FF5" w:rsidRDefault="00B47FF5" w:rsidP="00537CC8">
      <w:pPr>
        <w:pStyle w:val="FootnoteText"/>
      </w:pPr>
      <w:r>
        <w:rPr>
          <w:rStyle w:val="FootnoteReference"/>
        </w:rPr>
        <w:footnoteRef/>
      </w:r>
      <w:r>
        <w:rPr>
          <w:rtl/>
        </w:rPr>
        <w:t xml:space="preserve"> </w:t>
      </w:r>
      <w:r w:rsidRPr="00617EBB">
        <w:t>Key Performance Indicators (KPIs)</w:t>
      </w:r>
    </w:p>
  </w:footnote>
  <w:footnote w:id="2879">
    <w:p w14:paraId="6123846E" w14:textId="77777777" w:rsidR="00B47FF5" w:rsidRDefault="00B47FF5" w:rsidP="00537CC8">
      <w:pPr>
        <w:pStyle w:val="FootnoteText"/>
      </w:pPr>
      <w:r>
        <w:rPr>
          <w:rStyle w:val="FootnoteReference"/>
        </w:rPr>
        <w:footnoteRef/>
      </w:r>
      <w:r>
        <w:rPr>
          <w:rtl/>
        </w:rPr>
        <w:t xml:space="preserve"> </w:t>
      </w:r>
      <w:r w:rsidRPr="00617EBB">
        <w:t>Objectives and Key Results (OKRs)</w:t>
      </w:r>
    </w:p>
  </w:footnote>
  <w:footnote w:id="2880">
    <w:p w14:paraId="2A9C6454" w14:textId="77777777" w:rsidR="00B47FF5" w:rsidRDefault="00B47FF5" w:rsidP="00537CC8">
      <w:pPr>
        <w:pStyle w:val="FootnoteText"/>
      </w:pPr>
      <w:r>
        <w:rPr>
          <w:rStyle w:val="FootnoteReference"/>
        </w:rPr>
        <w:footnoteRef/>
      </w:r>
      <w:r>
        <w:rPr>
          <w:rtl/>
        </w:rPr>
        <w:t xml:space="preserve"> </w:t>
      </w:r>
      <w:r w:rsidRPr="00E86886">
        <w:t>Quality Assurance</w:t>
      </w:r>
    </w:p>
  </w:footnote>
  <w:footnote w:id="2881">
    <w:p w14:paraId="4CC1A15D" w14:textId="77777777" w:rsidR="00B47FF5" w:rsidRDefault="00B47FF5" w:rsidP="00537CC8">
      <w:pPr>
        <w:pStyle w:val="FootnoteText"/>
      </w:pPr>
      <w:r>
        <w:rPr>
          <w:rStyle w:val="FootnoteReference"/>
        </w:rPr>
        <w:footnoteRef/>
      </w:r>
      <w:r>
        <w:rPr>
          <w:rtl/>
        </w:rPr>
        <w:t xml:space="preserve"> </w:t>
      </w:r>
      <w:r w:rsidRPr="00E86886">
        <w:t>Six Sigma and Lean Six Sigma</w:t>
      </w:r>
    </w:p>
  </w:footnote>
  <w:footnote w:id="2882">
    <w:p w14:paraId="3B584520" w14:textId="77777777" w:rsidR="00B47FF5" w:rsidRDefault="00B47FF5" w:rsidP="00537CC8">
      <w:pPr>
        <w:pStyle w:val="FootnoteText"/>
      </w:pPr>
      <w:r>
        <w:rPr>
          <w:rStyle w:val="FootnoteReference"/>
        </w:rPr>
        <w:footnoteRef/>
      </w:r>
      <w:r>
        <w:rPr>
          <w:rtl/>
        </w:rPr>
        <w:t xml:space="preserve"> </w:t>
      </w:r>
      <w:r w:rsidRPr="00E86886">
        <w:t>Total Quality Management and Total Productive Maintenance</w:t>
      </w:r>
    </w:p>
  </w:footnote>
  <w:footnote w:id="2883">
    <w:p w14:paraId="4460BC62" w14:textId="77777777" w:rsidR="00B47FF5" w:rsidRDefault="00B47FF5" w:rsidP="00537CC8">
      <w:pPr>
        <w:pStyle w:val="FootnoteText"/>
      </w:pPr>
      <w:r>
        <w:rPr>
          <w:rStyle w:val="FootnoteReference"/>
        </w:rPr>
        <w:footnoteRef/>
      </w:r>
      <w:r>
        <w:rPr>
          <w:rtl/>
        </w:rPr>
        <w:t xml:space="preserve"> </w:t>
      </w:r>
      <w:r w:rsidRPr="00E86886">
        <w:t>Theory of Constraints</w:t>
      </w:r>
    </w:p>
  </w:footnote>
  <w:footnote w:id="2884">
    <w:p w14:paraId="4E27DAAF" w14:textId="77777777" w:rsidR="00B47FF5" w:rsidRDefault="00B47FF5" w:rsidP="00537CC8">
      <w:pPr>
        <w:pStyle w:val="FootnoteText"/>
      </w:pPr>
      <w:r>
        <w:rPr>
          <w:rStyle w:val="FootnoteReference"/>
        </w:rPr>
        <w:footnoteRef/>
      </w:r>
      <w:r>
        <w:rPr>
          <w:rtl/>
        </w:rPr>
        <w:t xml:space="preserve"> </w:t>
      </w:r>
      <w:r w:rsidRPr="00E86886">
        <w:t>Turnaround Management</w:t>
      </w:r>
    </w:p>
  </w:footnote>
  <w:footnote w:id="2885">
    <w:p w14:paraId="69FD58AB" w14:textId="77777777" w:rsidR="00B47FF5" w:rsidRDefault="00B47FF5" w:rsidP="00537CC8">
      <w:pPr>
        <w:pStyle w:val="FootnoteText"/>
      </w:pPr>
      <w:r>
        <w:rPr>
          <w:rStyle w:val="FootnoteReference"/>
        </w:rPr>
        <w:footnoteRef/>
      </w:r>
      <w:r>
        <w:rPr>
          <w:rtl/>
        </w:rPr>
        <w:t xml:space="preserve"> </w:t>
      </w:r>
      <w:r w:rsidRPr="00E86886">
        <w:t>Unlearning</w:t>
      </w:r>
    </w:p>
  </w:footnote>
  <w:footnote w:id="2886">
    <w:p w14:paraId="373F83F2" w14:textId="77777777" w:rsidR="00B47FF5" w:rsidRDefault="00B47FF5" w:rsidP="00537CC8">
      <w:pPr>
        <w:pStyle w:val="FootnoteText"/>
      </w:pPr>
      <w:r>
        <w:rPr>
          <w:rStyle w:val="FootnoteReference"/>
        </w:rPr>
        <w:footnoteRef/>
      </w:r>
      <w:r>
        <w:rPr>
          <w:rtl/>
        </w:rPr>
        <w:t xml:space="preserve"> </w:t>
      </w:r>
      <w:r w:rsidRPr="00A05C52">
        <w:t>Institute of Management Accountants</w:t>
      </w:r>
    </w:p>
  </w:footnote>
  <w:footnote w:id="2887">
    <w:p w14:paraId="1AB59D01" w14:textId="77777777" w:rsidR="00B47FF5" w:rsidRDefault="00B47FF5" w:rsidP="00537CC8">
      <w:pPr>
        <w:pStyle w:val="FootnoteText"/>
      </w:pPr>
      <w:r>
        <w:rPr>
          <w:rStyle w:val="FootnoteReference"/>
        </w:rPr>
        <w:footnoteRef/>
      </w:r>
      <w:r>
        <w:rPr>
          <w:rtl/>
        </w:rPr>
        <w:t xml:space="preserve"> </w:t>
      </w:r>
      <w:r w:rsidRPr="00A05C52">
        <w:t>Collective Intelligence Academic Community</w:t>
      </w:r>
    </w:p>
  </w:footnote>
  <w:footnote w:id="2888">
    <w:p w14:paraId="4454EAC8" w14:textId="77777777" w:rsidR="00B47FF5" w:rsidRDefault="00B47FF5" w:rsidP="00537CC8">
      <w:pPr>
        <w:pStyle w:val="FootnoteText"/>
      </w:pPr>
      <w:r>
        <w:rPr>
          <w:rStyle w:val="FootnoteReference"/>
        </w:rPr>
        <w:footnoteRef/>
      </w:r>
      <w:r>
        <w:rPr>
          <w:rtl/>
        </w:rPr>
        <w:t xml:space="preserve"> </w:t>
      </w:r>
      <w:r w:rsidRPr="00A05C52">
        <w:t>Association for Talent Development</w:t>
      </w:r>
    </w:p>
  </w:footnote>
  <w:footnote w:id="2889">
    <w:p w14:paraId="08BFD613" w14:textId="77777777" w:rsidR="00B47FF5" w:rsidRDefault="00B47FF5" w:rsidP="00537CC8">
      <w:pPr>
        <w:pStyle w:val="FootnoteText"/>
      </w:pPr>
      <w:r>
        <w:rPr>
          <w:rStyle w:val="FootnoteReference"/>
        </w:rPr>
        <w:footnoteRef/>
      </w:r>
      <w:r>
        <w:rPr>
          <w:rtl/>
        </w:rPr>
        <w:t xml:space="preserve"> </w:t>
      </w:r>
      <w:r w:rsidRPr="00A05C52">
        <w:t>Open Data Science Community</w:t>
      </w:r>
    </w:p>
  </w:footnote>
  <w:footnote w:id="2890">
    <w:p w14:paraId="42843B18" w14:textId="77777777" w:rsidR="00B47FF5" w:rsidRDefault="00B47FF5" w:rsidP="00537CC8">
      <w:pPr>
        <w:pStyle w:val="FootnoteText"/>
      </w:pPr>
      <w:r>
        <w:rPr>
          <w:rStyle w:val="FootnoteReference"/>
        </w:rPr>
        <w:footnoteRef/>
      </w:r>
      <w:r>
        <w:rPr>
          <w:rtl/>
        </w:rPr>
        <w:t xml:space="preserve"> </w:t>
      </w:r>
      <w:r w:rsidRPr="00A05C52">
        <w:t>International Institute of Forecasters</w:t>
      </w:r>
    </w:p>
  </w:footnote>
  <w:footnote w:id="2891">
    <w:p w14:paraId="65DBD74A" w14:textId="77777777" w:rsidR="00B47FF5" w:rsidRDefault="00B47FF5" w:rsidP="00537CC8">
      <w:pPr>
        <w:pStyle w:val="FootnoteText"/>
      </w:pPr>
      <w:r>
        <w:rPr>
          <w:rStyle w:val="FootnoteReference"/>
        </w:rPr>
        <w:footnoteRef/>
      </w:r>
      <w:r>
        <w:rPr>
          <w:rtl/>
        </w:rPr>
        <w:t xml:space="preserve"> </w:t>
      </w:r>
      <w:r w:rsidRPr="00A05C52">
        <w:t>CFA Institute</w:t>
      </w:r>
    </w:p>
  </w:footnote>
  <w:footnote w:id="2892">
    <w:p w14:paraId="3DDF2E57" w14:textId="77777777" w:rsidR="00B47FF5" w:rsidRDefault="00B47FF5" w:rsidP="00537CC8">
      <w:pPr>
        <w:pStyle w:val="FootnoteText"/>
      </w:pPr>
      <w:r>
        <w:rPr>
          <w:rStyle w:val="FootnoteReference"/>
        </w:rPr>
        <w:footnoteRef/>
      </w:r>
      <w:r>
        <w:rPr>
          <w:rtl/>
        </w:rPr>
        <w:t xml:space="preserve"> </w:t>
      </w:r>
      <w:r w:rsidRPr="00A05C52">
        <w:t>Association of Professional Futurists</w:t>
      </w:r>
    </w:p>
  </w:footnote>
  <w:footnote w:id="2893">
    <w:p w14:paraId="36018E22" w14:textId="77777777" w:rsidR="00B47FF5" w:rsidRDefault="00B47FF5" w:rsidP="00537CC8">
      <w:pPr>
        <w:pStyle w:val="FootnoteText"/>
      </w:pPr>
      <w:r>
        <w:rPr>
          <w:rStyle w:val="FootnoteReference"/>
        </w:rPr>
        <w:footnoteRef/>
      </w:r>
      <w:r>
        <w:rPr>
          <w:rtl/>
        </w:rPr>
        <w:t xml:space="preserve"> </w:t>
      </w:r>
      <w:r w:rsidRPr="00A05C52">
        <w:t>Founder Institute</w:t>
      </w:r>
    </w:p>
  </w:footnote>
  <w:footnote w:id="2894">
    <w:p w14:paraId="74B66F9C" w14:textId="77777777" w:rsidR="00B47FF5" w:rsidRDefault="00B47FF5" w:rsidP="00537CC8">
      <w:pPr>
        <w:pStyle w:val="FootnoteText"/>
      </w:pPr>
      <w:r>
        <w:rPr>
          <w:rStyle w:val="FootnoteReference"/>
        </w:rPr>
        <w:footnoteRef/>
      </w:r>
      <w:r>
        <w:rPr>
          <w:rtl/>
        </w:rPr>
        <w:t xml:space="preserve"> </w:t>
      </w:r>
      <w:r w:rsidRPr="00A05C52">
        <w:t>International Association of Facilitators</w:t>
      </w:r>
    </w:p>
  </w:footnote>
  <w:footnote w:id="2895">
    <w:p w14:paraId="15E4BBE5" w14:textId="77777777" w:rsidR="00B47FF5" w:rsidRDefault="00B47FF5" w:rsidP="00537CC8">
      <w:pPr>
        <w:pStyle w:val="FootnoteText"/>
      </w:pPr>
      <w:r>
        <w:rPr>
          <w:rStyle w:val="FootnoteReference"/>
        </w:rPr>
        <w:footnoteRef/>
      </w:r>
      <w:r>
        <w:rPr>
          <w:rtl/>
        </w:rPr>
        <w:t xml:space="preserve"> </w:t>
      </w:r>
      <w:r w:rsidRPr="00A05C52">
        <w:t>Institute for Operations Research and the Mgmt Sciences</w:t>
      </w:r>
    </w:p>
  </w:footnote>
  <w:footnote w:id="2896">
    <w:p w14:paraId="0308FC5D" w14:textId="77777777" w:rsidR="00B47FF5" w:rsidRDefault="00B47FF5" w:rsidP="00537CC8">
      <w:pPr>
        <w:pStyle w:val="FootnoteText"/>
      </w:pPr>
      <w:r>
        <w:rPr>
          <w:rStyle w:val="FootnoteReference"/>
        </w:rPr>
        <w:footnoteRef/>
      </w:r>
      <w:r>
        <w:rPr>
          <w:rtl/>
        </w:rPr>
        <w:t xml:space="preserve"> </w:t>
      </w:r>
      <w:r w:rsidRPr="00A05C52">
        <w:t>Association for Strategic Planning</w:t>
      </w:r>
    </w:p>
  </w:footnote>
  <w:footnote w:id="2897">
    <w:p w14:paraId="0AC629CB" w14:textId="77777777" w:rsidR="00B47FF5" w:rsidRDefault="00B47FF5" w:rsidP="00537CC8">
      <w:pPr>
        <w:pStyle w:val="FootnoteText"/>
      </w:pPr>
      <w:r>
        <w:rPr>
          <w:rStyle w:val="FootnoteReference"/>
        </w:rPr>
        <w:footnoteRef/>
      </w:r>
      <w:r>
        <w:rPr>
          <w:rtl/>
        </w:rPr>
        <w:t xml:space="preserve"> </w:t>
      </w:r>
      <w:r w:rsidRPr="00A05C52">
        <w:t>American Management Association</w:t>
      </w:r>
    </w:p>
  </w:footnote>
  <w:footnote w:id="2898">
    <w:p w14:paraId="6F3E1874" w14:textId="77777777" w:rsidR="00B47FF5" w:rsidRDefault="00B47FF5" w:rsidP="00537CC8">
      <w:pPr>
        <w:pStyle w:val="FootnoteText"/>
      </w:pPr>
      <w:r>
        <w:rPr>
          <w:rStyle w:val="FootnoteReference"/>
        </w:rPr>
        <w:footnoteRef/>
      </w:r>
      <w:r>
        <w:rPr>
          <w:rtl/>
        </w:rPr>
        <w:t xml:space="preserve"> </w:t>
      </w:r>
      <w:r w:rsidRPr="00EC59B2">
        <w:t>American Marketing Association</w:t>
      </w:r>
    </w:p>
  </w:footnote>
  <w:footnote w:id="2899">
    <w:p w14:paraId="3C3D0474" w14:textId="77777777" w:rsidR="00B47FF5" w:rsidRDefault="00B47FF5" w:rsidP="00537CC8">
      <w:pPr>
        <w:pStyle w:val="FootnoteText"/>
      </w:pPr>
      <w:r>
        <w:rPr>
          <w:rStyle w:val="FootnoteReference"/>
        </w:rPr>
        <w:footnoteRef/>
      </w:r>
      <w:r>
        <w:rPr>
          <w:rtl/>
        </w:rPr>
        <w:t xml:space="preserve"> </w:t>
      </w:r>
      <w:r w:rsidRPr="00EC59B2">
        <w:t>Society for Human Resource Mgmt</w:t>
      </w:r>
    </w:p>
  </w:footnote>
  <w:footnote w:id="2900">
    <w:p w14:paraId="0BE0BD78" w14:textId="77777777" w:rsidR="00B47FF5" w:rsidRDefault="00B47FF5" w:rsidP="00537CC8">
      <w:pPr>
        <w:pStyle w:val="FootnoteText"/>
      </w:pPr>
      <w:r>
        <w:rPr>
          <w:rStyle w:val="FootnoteReference"/>
        </w:rPr>
        <w:footnoteRef/>
      </w:r>
      <w:r>
        <w:rPr>
          <w:rtl/>
        </w:rPr>
        <w:t xml:space="preserve"> </w:t>
      </w:r>
      <w:r w:rsidRPr="00EC59B2">
        <w:t>Institute of Internal Auditors</w:t>
      </w:r>
    </w:p>
  </w:footnote>
  <w:footnote w:id="2901">
    <w:p w14:paraId="47D16A94" w14:textId="77777777" w:rsidR="00B47FF5" w:rsidRDefault="00B47FF5" w:rsidP="00537CC8">
      <w:pPr>
        <w:pStyle w:val="FootnoteText"/>
      </w:pPr>
      <w:r>
        <w:rPr>
          <w:rStyle w:val="FootnoteReference"/>
        </w:rPr>
        <w:footnoteRef/>
      </w:r>
      <w:r>
        <w:rPr>
          <w:rtl/>
        </w:rPr>
        <w:t xml:space="preserve"> </w:t>
      </w:r>
      <w:r w:rsidRPr="00EC59B2">
        <w:t>Balanced Scorecard Institute</w:t>
      </w:r>
    </w:p>
  </w:footnote>
  <w:footnote w:id="2902">
    <w:p w14:paraId="613ABC12" w14:textId="77777777" w:rsidR="00B47FF5" w:rsidRDefault="00B47FF5" w:rsidP="00537CC8">
      <w:pPr>
        <w:pStyle w:val="FootnoteText"/>
      </w:pPr>
      <w:r>
        <w:rPr>
          <w:rStyle w:val="FootnoteReference"/>
        </w:rPr>
        <w:footnoteRef/>
      </w:r>
      <w:r>
        <w:rPr>
          <w:rtl/>
        </w:rPr>
        <w:t xml:space="preserve"> </w:t>
      </w:r>
      <w:r w:rsidRPr="007149AE">
        <w:t>Tom Friedman</w:t>
      </w:r>
    </w:p>
  </w:footnote>
  <w:footnote w:id="2903">
    <w:p w14:paraId="254DEDE2" w14:textId="77777777" w:rsidR="00B47FF5" w:rsidRDefault="00B47FF5" w:rsidP="00537CC8">
      <w:pPr>
        <w:pStyle w:val="FootnoteText"/>
      </w:pPr>
      <w:r>
        <w:rPr>
          <w:rStyle w:val="FootnoteReference"/>
        </w:rPr>
        <w:footnoteRef/>
      </w:r>
      <w:r>
        <w:rPr>
          <w:rtl/>
        </w:rPr>
        <w:t xml:space="preserve"> </w:t>
      </w:r>
      <w:r w:rsidRPr="00051106">
        <w:t>Thank You for Being Late: Thriving in the Age of</w:t>
      </w:r>
      <w:r>
        <w:t xml:space="preserve"> </w:t>
      </w:r>
      <w:r w:rsidRPr="00051106">
        <w:t>Accelerations</w:t>
      </w:r>
    </w:p>
  </w:footnote>
  <w:footnote w:id="2904">
    <w:p w14:paraId="39ABCDCB" w14:textId="77777777" w:rsidR="00B47FF5" w:rsidRDefault="00B47FF5" w:rsidP="00537CC8">
      <w:pPr>
        <w:pStyle w:val="FootnoteText"/>
      </w:pPr>
      <w:r>
        <w:rPr>
          <w:rStyle w:val="FootnoteReference"/>
        </w:rPr>
        <w:footnoteRef/>
      </w:r>
      <w:r>
        <w:rPr>
          <w:rtl/>
        </w:rPr>
        <w:t xml:space="preserve"> </w:t>
      </w:r>
      <w:r>
        <w:t>Digital Supernova</w:t>
      </w:r>
    </w:p>
  </w:footnote>
  <w:footnote w:id="2905">
    <w:p w14:paraId="0F02C4A8" w14:textId="77777777" w:rsidR="00B47FF5" w:rsidRDefault="00B47FF5" w:rsidP="00537CC8">
      <w:pPr>
        <w:pStyle w:val="FootnoteText"/>
      </w:pPr>
      <w:r>
        <w:rPr>
          <w:rStyle w:val="FootnoteReference"/>
        </w:rPr>
        <w:footnoteRef/>
      </w:r>
      <w:r>
        <w:rPr>
          <w:rtl/>
        </w:rPr>
        <w:t xml:space="preserve"> </w:t>
      </w:r>
      <w:r w:rsidRPr="003E4E39">
        <w:t>Open Handset Alliance</w:t>
      </w:r>
    </w:p>
  </w:footnote>
  <w:footnote w:id="2906">
    <w:p w14:paraId="783F27AF" w14:textId="0613BF2F" w:rsidR="00B47FF5" w:rsidRDefault="00B47FF5" w:rsidP="00537CC8">
      <w:pPr>
        <w:pStyle w:val="FootnoteText"/>
      </w:pPr>
      <w:r>
        <w:rPr>
          <w:rStyle w:val="FootnoteReference"/>
        </w:rPr>
        <w:footnoteRef/>
      </w:r>
      <w:r>
        <w:rPr>
          <w:rtl/>
        </w:rPr>
        <w:t xml:space="preserve"> </w:t>
      </w:r>
      <w:r w:rsidRPr="008F70B5">
        <w:t>Unicorns</w:t>
      </w:r>
    </w:p>
  </w:footnote>
  <w:footnote w:id="2907">
    <w:p w14:paraId="29E26FCB" w14:textId="3A39AD91" w:rsidR="00B47FF5" w:rsidRDefault="00B47FF5" w:rsidP="00537CC8">
      <w:pPr>
        <w:pStyle w:val="FootnoteText"/>
      </w:pPr>
      <w:r>
        <w:rPr>
          <w:rStyle w:val="FootnoteReference"/>
        </w:rPr>
        <w:footnoteRef/>
      </w:r>
      <w:r>
        <w:rPr>
          <w:rtl/>
        </w:rPr>
        <w:t xml:space="preserve"> </w:t>
      </w:r>
      <w:r w:rsidRPr="008F70B5">
        <w:t>Superstar</w:t>
      </w:r>
    </w:p>
  </w:footnote>
  <w:footnote w:id="2908">
    <w:p w14:paraId="6EE7851A" w14:textId="77FAAF00" w:rsidR="00B47FF5" w:rsidRDefault="00B47FF5" w:rsidP="00537CC8">
      <w:pPr>
        <w:pStyle w:val="FootnoteText"/>
      </w:pPr>
      <w:r>
        <w:rPr>
          <w:rStyle w:val="FootnoteReference"/>
        </w:rPr>
        <w:footnoteRef/>
      </w:r>
      <w:r>
        <w:rPr>
          <w:rtl/>
        </w:rPr>
        <w:t xml:space="preserve"> </w:t>
      </w:r>
      <w:r w:rsidRPr="00A779FB">
        <w:t>Corporatis</w:t>
      </w:r>
    </w:p>
  </w:footnote>
  <w:footnote w:id="2909">
    <w:p w14:paraId="42EA25CA" w14:textId="34B744EF" w:rsidR="00B47FF5" w:rsidRDefault="00B47FF5" w:rsidP="00537CC8">
      <w:pPr>
        <w:pStyle w:val="FootnoteText"/>
      </w:pPr>
      <w:r>
        <w:rPr>
          <w:rStyle w:val="FootnoteReference"/>
        </w:rPr>
        <w:footnoteRef/>
      </w:r>
      <w:r>
        <w:rPr>
          <w:rtl/>
        </w:rPr>
        <w:t xml:space="preserve"> </w:t>
      </w:r>
      <w:r w:rsidRPr="006C19F7">
        <w:t>Dysfunctional filter bubbles</w:t>
      </w:r>
    </w:p>
  </w:footnote>
  <w:footnote w:id="2910">
    <w:p w14:paraId="2BB88D3A" w14:textId="0AF41EC8" w:rsidR="00B47FF5" w:rsidRDefault="00B47FF5" w:rsidP="00537CC8">
      <w:pPr>
        <w:pStyle w:val="FootnoteText"/>
      </w:pPr>
      <w:r>
        <w:rPr>
          <w:rStyle w:val="FootnoteReference"/>
        </w:rPr>
        <w:footnoteRef/>
      </w:r>
      <w:r>
        <w:rPr>
          <w:rtl/>
        </w:rPr>
        <w:t xml:space="preserve"> </w:t>
      </w:r>
      <w:r w:rsidRPr="007149AE">
        <w:t>Reddit</w:t>
      </w:r>
      <w:r>
        <w:t xml:space="preserve"> r/Futurology</w:t>
      </w:r>
    </w:p>
  </w:footnote>
  <w:footnote w:id="2911">
    <w:p w14:paraId="7DE20010" w14:textId="6132B4D5" w:rsidR="00B47FF5" w:rsidRDefault="00B47FF5">
      <w:pPr>
        <w:pStyle w:val="FootnoteText"/>
        <w:rPr>
          <w:rtl/>
        </w:rPr>
      </w:pPr>
      <w:r>
        <w:rPr>
          <w:rStyle w:val="FootnoteReference"/>
        </w:rPr>
        <w:footnoteRef/>
      </w:r>
      <w:r>
        <w:t xml:space="preserve"> </w:t>
      </w:r>
      <w:r w:rsidRPr="00537CC8">
        <w:t>r/WallStreetBets</w:t>
      </w:r>
    </w:p>
  </w:footnote>
  <w:footnote w:id="2912">
    <w:p w14:paraId="620EB18D" w14:textId="1DD0037B" w:rsidR="00B47FF5" w:rsidRDefault="00B47FF5" w:rsidP="00537CC8">
      <w:pPr>
        <w:pStyle w:val="FootnoteText"/>
      </w:pPr>
      <w:r>
        <w:rPr>
          <w:rStyle w:val="FootnoteReference"/>
        </w:rPr>
        <w:footnoteRef/>
      </w:r>
      <w:r>
        <w:rPr>
          <w:rtl/>
        </w:rPr>
        <w:t xml:space="preserve"> </w:t>
      </w:r>
      <w:r w:rsidRPr="00EA7D63">
        <w:t>Crowdfunding Sites</w:t>
      </w:r>
    </w:p>
  </w:footnote>
  <w:footnote w:id="2913">
    <w:p w14:paraId="68BE5300" w14:textId="4F338652" w:rsidR="00B47FF5" w:rsidRDefault="00B47FF5" w:rsidP="00537CC8">
      <w:pPr>
        <w:pStyle w:val="FootnoteText"/>
      </w:pPr>
      <w:r>
        <w:rPr>
          <w:rStyle w:val="FootnoteReference"/>
        </w:rPr>
        <w:footnoteRef/>
      </w:r>
      <w:r>
        <w:rPr>
          <w:rtl/>
        </w:rPr>
        <w:t xml:space="preserve"> </w:t>
      </w:r>
      <w:r w:rsidRPr="003E4E39">
        <w:t>Kickstarter</w:t>
      </w:r>
    </w:p>
  </w:footnote>
  <w:footnote w:id="2914">
    <w:p w14:paraId="68830C9A" w14:textId="62259BCC" w:rsidR="00B47FF5" w:rsidRDefault="00B47FF5" w:rsidP="00537CC8">
      <w:pPr>
        <w:pStyle w:val="FootnoteText"/>
      </w:pPr>
      <w:r>
        <w:rPr>
          <w:rStyle w:val="FootnoteReference"/>
        </w:rPr>
        <w:footnoteRef/>
      </w:r>
      <w:r>
        <w:rPr>
          <w:rtl/>
        </w:rPr>
        <w:t xml:space="preserve"> </w:t>
      </w:r>
      <w:r w:rsidRPr="0056797A">
        <w:t>Indiegogo</w:t>
      </w:r>
    </w:p>
  </w:footnote>
  <w:footnote w:id="2915">
    <w:p w14:paraId="0687557A" w14:textId="64EE4104" w:rsidR="00B47FF5" w:rsidRDefault="00B47FF5" w:rsidP="00537CC8">
      <w:pPr>
        <w:pStyle w:val="FootnoteText"/>
      </w:pPr>
      <w:r>
        <w:rPr>
          <w:rStyle w:val="FootnoteReference"/>
        </w:rPr>
        <w:footnoteRef/>
      </w:r>
      <w:r>
        <w:rPr>
          <w:rtl/>
        </w:rPr>
        <w:t xml:space="preserve"> </w:t>
      </w:r>
      <w:r w:rsidRPr="00C054E5">
        <w:t>Equity Crowdfunding</w:t>
      </w:r>
    </w:p>
  </w:footnote>
  <w:footnote w:id="2916">
    <w:p w14:paraId="10E6E185" w14:textId="13850EA0" w:rsidR="00B47FF5" w:rsidRDefault="00B47FF5" w:rsidP="00537CC8">
      <w:pPr>
        <w:pStyle w:val="FootnoteText"/>
      </w:pPr>
      <w:r>
        <w:rPr>
          <w:rStyle w:val="FootnoteReference"/>
        </w:rPr>
        <w:footnoteRef/>
      </w:r>
      <w:r>
        <w:rPr>
          <w:rtl/>
        </w:rPr>
        <w:t xml:space="preserve"> </w:t>
      </w:r>
      <w:r w:rsidRPr="00C054E5">
        <w:t>Social and hard sciences of foresight</w:t>
      </w:r>
    </w:p>
  </w:footnote>
  <w:footnote w:id="2917">
    <w:p w14:paraId="046667A3" w14:textId="77777777" w:rsidR="00B47FF5" w:rsidRDefault="00B47FF5" w:rsidP="00537CC8">
      <w:pPr>
        <w:pStyle w:val="FootnoteText"/>
      </w:pPr>
      <w:r>
        <w:rPr>
          <w:rStyle w:val="FootnoteReference"/>
        </w:rPr>
        <w:footnoteRef/>
      </w:r>
      <w:r>
        <w:rPr>
          <w:rtl/>
        </w:rPr>
        <w:t xml:space="preserve"> </w:t>
      </w:r>
      <w:r w:rsidRPr="004471E3">
        <w:t>The Second Machine Age</w:t>
      </w:r>
    </w:p>
  </w:footnote>
  <w:footnote w:id="2918">
    <w:p w14:paraId="67A29428" w14:textId="26CE49A2" w:rsidR="00B47FF5" w:rsidRDefault="00B47FF5" w:rsidP="00537CC8">
      <w:pPr>
        <w:pStyle w:val="FootnoteText"/>
      </w:pPr>
      <w:r>
        <w:rPr>
          <w:rStyle w:val="FootnoteReference"/>
        </w:rPr>
        <w:footnoteRef/>
      </w:r>
      <w:r>
        <w:rPr>
          <w:rtl/>
        </w:rPr>
        <w:t xml:space="preserve"> </w:t>
      </w:r>
      <w:r w:rsidRPr="0056797A">
        <w:t>Brynjolfsson, McAfee</w:t>
      </w:r>
    </w:p>
  </w:footnote>
  <w:footnote w:id="2919">
    <w:p w14:paraId="631AA85B" w14:textId="77777777" w:rsidR="00B47FF5" w:rsidRDefault="00B47FF5" w:rsidP="00537CC8">
      <w:pPr>
        <w:pStyle w:val="FootnoteText"/>
      </w:pPr>
      <w:r>
        <w:rPr>
          <w:rStyle w:val="FootnoteReference"/>
        </w:rPr>
        <w:footnoteRef/>
      </w:r>
      <w:r>
        <w:rPr>
          <w:rtl/>
        </w:rPr>
        <w:t xml:space="preserve"> </w:t>
      </w:r>
      <w:r w:rsidRPr="004471E3">
        <w:t>Exponential Age</w:t>
      </w:r>
    </w:p>
  </w:footnote>
  <w:footnote w:id="2920">
    <w:p w14:paraId="10B9A57F" w14:textId="77777777" w:rsidR="00B47FF5" w:rsidRDefault="00B47FF5" w:rsidP="00537CC8">
      <w:pPr>
        <w:pStyle w:val="FootnoteText"/>
      </w:pPr>
      <w:r>
        <w:rPr>
          <w:rStyle w:val="FootnoteReference"/>
        </w:rPr>
        <w:footnoteRef/>
      </w:r>
      <w:r>
        <w:rPr>
          <w:rtl/>
        </w:rPr>
        <w:t xml:space="preserve"> </w:t>
      </w:r>
      <w:r w:rsidRPr="0056797A">
        <w:t>Azeem Azhar</w:t>
      </w:r>
    </w:p>
  </w:footnote>
  <w:footnote w:id="2921">
    <w:p w14:paraId="0B6CAF36" w14:textId="77777777" w:rsidR="009537CD" w:rsidRDefault="009537CD" w:rsidP="009537CD">
      <w:pPr>
        <w:pStyle w:val="FootnoteText"/>
      </w:pPr>
      <w:r>
        <w:rPr>
          <w:rStyle w:val="FootnoteReference"/>
        </w:rPr>
        <w:footnoteRef/>
      </w:r>
      <w:r>
        <w:rPr>
          <w:rtl/>
        </w:rPr>
        <w:t xml:space="preserve"> </w:t>
      </w:r>
      <w:r w:rsidRPr="00465B02">
        <w:t>Ever Smarter World</w:t>
      </w:r>
    </w:p>
  </w:footnote>
  <w:footnote w:id="2922">
    <w:p w14:paraId="75DBA1E5" w14:textId="77777777" w:rsidR="00B47FF5" w:rsidRDefault="00B47FF5" w:rsidP="00537CC8">
      <w:pPr>
        <w:pStyle w:val="FootnoteText"/>
      </w:pPr>
      <w:r>
        <w:rPr>
          <w:rStyle w:val="FootnoteReference"/>
        </w:rPr>
        <w:footnoteRef/>
      </w:r>
      <w:r>
        <w:rPr>
          <w:rtl/>
        </w:rPr>
        <w:t xml:space="preserve"> </w:t>
      </w:r>
      <w:r w:rsidRPr="00A64259">
        <w:t>Life in a Networked Society</w:t>
      </w:r>
    </w:p>
  </w:footnote>
  <w:footnote w:id="2923">
    <w:p w14:paraId="05DECC4D" w14:textId="77777777" w:rsidR="00B47FF5" w:rsidRDefault="00B47FF5" w:rsidP="00537CC8">
      <w:pPr>
        <w:pStyle w:val="FootnoteText"/>
      </w:pPr>
      <w:r>
        <w:rPr>
          <w:rStyle w:val="FootnoteReference"/>
        </w:rPr>
        <w:footnoteRef/>
      </w:r>
      <w:r>
        <w:rPr>
          <w:rtl/>
        </w:rPr>
        <w:t xml:space="preserve"> </w:t>
      </w:r>
      <w:r w:rsidRPr="00A64259">
        <w:t>Tax Competitiveness Index</w:t>
      </w:r>
    </w:p>
  </w:footnote>
  <w:footnote w:id="2924">
    <w:p w14:paraId="4F504E0F" w14:textId="77777777" w:rsidR="00B47FF5" w:rsidRDefault="00B47FF5" w:rsidP="00537CC8">
      <w:pPr>
        <w:pStyle w:val="FootnoteText"/>
        <w:rPr>
          <w:rtl/>
        </w:rPr>
      </w:pPr>
      <w:r>
        <w:rPr>
          <w:rStyle w:val="FootnoteReference"/>
        </w:rPr>
        <w:footnoteRef/>
      </w:r>
      <w:r>
        <w:rPr>
          <w:rtl/>
        </w:rPr>
        <w:t xml:space="preserve"> </w:t>
      </w:r>
      <w:r w:rsidRPr="00C6479E">
        <w:t>The Age of Spiritual Machines</w:t>
      </w:r>
    </w:p>
  </w:footnote>
  <w:footnote w:id="2925">
    <w:p w14:paraId="56CF761B" w14:textId="77777777" w:rsidR="00B47FF5" w:rsidRDefault="00B47FF5" w:rsidP="00537CC8">
      <w:pPr>
        <w:pStyle w:val="FootnoteText"/>
      </w:pPr>
      <w:r>
        <w:rPr>
          <w:rStyle w:val="FootnoteReference"/>
        </w:rPr>
        <w:footnoteRef/>
      </w:r>
      <w:r>
        <w:rPr>
          <w:rtl/>
        </w:rPr>
        <w:t xml:space="preserve"> </w:t>
      </w:r>
      <w:r w:rsidRPr="00C6479E">
        <w:t>Blown to Bits</w:t>
      </w:r>
    </w:p>
  </w:footnote>
  <w:footnote w:id="2926">
    <w:p w14:paraId="6FF2CFC9" w14:textId="77777777" w:rsidR="00B47FF5" w:rsidRDefault="00B47FF5" w:rsidP="00537CC8">
      <w:pPr>
        <w:pStyle w:val="FootnoteText"/>
      </w:pPr>
      <w:r>
        <w:rPr>
          <w:rStyle w:val="FootnoteReference"/>
        </w:rPr>
        <w:footnoteRef/>
      </w:r>
      <w:r>
        <w:rPr>
          <w:rtl/>
        </w:rPr>
        <w:t xml:space="preserve"> </w:t>
      </w:r>
      <w:r>
        <w:t xml:space="preserve">The </w:t>
      </w:r>
      <w:r w:rsidRPr="00C6479E">
        <w:t>Silent Intelligence</w:t>
      </w:r>
    </w:p>
  </w:footnote>
  <w:footnote w:id="2927">
    <w:p w14:paraId="511A3406" w14:textId="77777777" w:rsidR="00B47FF5" w:rsidRDefault="00B47FF5" w:rsidP="00537CC8">
      <w:pPr>
        <w:pStyle w:val="FootnoteText"/>
      </w:pPr>
      <w:r>
        <w:rPr>
          <w:rStyle w:val="FootnoteReference"/>
        </w:rPr>
        <w:footnoteRef/>
      </w:r>
      <w:r>
        <w:rPr>
          <w:rtl/>
        </w:rPr>
        <w:t xml:space="preserve"> </w:t>
      </w:r>
      <w:r w:rsidRPr="00C6479E">
        <w:t>The Second Machine Age</w:t>
      </w:r>
    </w:p>
  </w:footnote>
  <w:footnote w:id="2928">
    <w:p w14:paraId="754ABA7F" w14:textId="77777777" w:rsidR="00B47FF5" w:rsidRDefault="00B47FF5" w:rsidP="00537CC8">
      <w:pPr>
        <w:pStyle w:val="FootnoteText"/>
        <w:rPr>
          <w:rtl/>
        </w:rPr>
      </w:pPr>
      <w:r>
        <w:rPr>
          <w:rStyle w:val="FootnoteReference"/>
        </w:rPr>
        <w:footnoteRef/>
      </w:r>
      <w:r>
        <w:rPr>
          <w:rtl/>
        </w:rPr>
        <w:t xml:space="preserve"> </w:t>
      </w:r>
      <w:r w:rsidRPr="00C6479E">
        <w:t>Humans 3.0</w:t>
      </w:r>
    </w:p>
  </w:footnote>
  <w:footnote w:id="2929">
    <w:p w14:paraId="4EE17EB1" w14:textId="77777777" w:rsidR="00B47FF5" w:rsidRDefault="00B47FF5" w:rsidP="00537CC8">
      <w:pPr>
        <w:pStyle w:val="FootnoteText"/>
      </w:pPr>
      <w:r>
        <w:rPr>
          <w:rStyle w:val="FootnoteReference"/>
        </w:rPr>
        <w:footnoteRef/>
      </w:r>
      <w:r>
        <w:rPr>
          <w:rtl/>
        </w:rPr>
        <w:t xml:space="preserve"> </w:t>
      </w:r>
      <w:r w:rsidRPr="008B2551">
        <w:t>Google’s Knowledge Graph</w:t>
      </w:r>
    </w:p>
  </w:footnote>
  <w:footnote w:id="2930">
    <w:p w14:paraId="3BC61D26" w14:textId="77777777" w:rsidR="00B47FF5" w:rsidRDefault="00B47FF5" w:rsidP="00537CC8">
      <w:pPr>
        <w:pStyle w:val="FootnoteText"/>
      </w:pPr>
      <w:r>
        <w:rPr>
          <w:rStyle w:val="FootnoteReference"/>
        </w:rPr>
        <w:footnoteRef/>
      </w:r>
      <w:r>
        <w:rPr>
          <w:rtl/>
        </w:rPr>
        <w:t xml:space="preserve"> </w:t>
      </w:r>
      <w:r w:rsidRPr="0056797A">
        <w:t>RankBrain</w:t>
      </w:r>
    </w:p>
  </w:footnote>
  <w:footnote w:id="2931">
    <w:p w14:paraId="3A591445" w14:textId="77777777" w:rsidR="00B47FF5" w:rsidRDefault="00B47FF5" w:rsidP="00537CC8">
      <w:pPr>
        <w:pStyle w:val="FootnoteText"/>
      </w:pPr>
      <w:r>
        <w:rPr>
          <w:rStyle w:val="FootnoteReference"/>
        </w:rPr>
        <w:footnoteRef/>
      </w:r>
      <w:r>
        <w:rPr>
          <w:rtl/>
        </w:rPr>
        <w:t xml:space="preserve"> </w:t>
      </w:r>
      <w:r w:rsidRPr="0056797A">
        <w:t>DeepMind</w:t>
      </w:r>
    </w:p>
  </w:footnote>
  <w:footnote w:id="2932">
    <w:p w14:paraId="066B7044" w14:textId="77777777" w:rsidR="00B47FF5" w:rsidRDefault="00B47FF5" w:rsidP="00537CC8">
      <w:pPr>
        <w:pStyle w:val="FootnoteText"/>
      </w:pPr>
      <w:r>
        <w:rPr>
          <w:rStyle w:val="FootnoteReference"/>
        </w:rPr>
        <w:footnoteRef/>
      </w:r>
      <w:r>
        <w:rPr>
          <w:rtl/>
        </w:rPr>
        <w:t xml:space="preserve"> </w:t>
      </w:r>
      <w:r w:rsidRPr="0056797A">
        <w:t>Generative Pre-Trained Transformer</w:t>
      </w:r>
    </w:p>
  </w:footnote>
  <w:footnote w:id="2933">
    <w:p w14:paraId="62BE81F8" w14:textId="77777777" w:rsidR="00B47FF5" w:rsidRDefault="00B47FF5" w:rsidP="00537CC8">
      <w:pPr>
        <w:pStyle w:val="FootnoteText"/>
      </w:pPr>
      <w:r>
        <w:rPr>
          <w:rStyle w:val="FootnoteReference"/>
        </w:rPr>
        <w:footnoteRef/>
      </w:r>
      <w:r>
        <w:rPr>
          <w:rtl/>
        </w:rPr>
        <w:t xml:space="preserve"> </w:t>
      </w:r>
      <w:r w:rsidRPr="007149AE">
        <w:t>Open AI</w:t>
      </w:r>
    </w:p>
  </w:footnote>
  <w:footnote w:id="2934">
    <w:p w14:paraId="418CF9CF" w14:textId="77777777" w:rsidR="00B47FF5" w:rsidRDefault="00B47FF5" w:rsidP="00537CC8">
      <w:pPr>
        <w:pStyle w:val="FootnoteText"/>
      </w:pPr>
      <w:r>
        <w:rPr>
          <w:rStyle w:val="FootnoteReference"/>
        </w:rPr>
        <w:footnoteRef/>
      </w:r>
      <w:r>
        <w:rPr>
          <w:rtl/>
        </w:rPr>
        <w:t xml:space="preserve"> </w:t>
      </w:r>
      <w:r w:rsidRPr="007149AE">
        <w:t>Google Brain</w:t>
      </w:r>
    </w:p>
  </w:footnote>
  <w:footnote w:id="2935">
    <w:p w14:paraId="5858578F" w14:textId="77777777" w:rsidR="00B47FF5" w:rsidRDefault="00B47FF5" w:rsidP="00537CC8">
      <w:pPr>
        <w:pStyle w:val="FootnoteText"/>
      </w:pPr>
      <w:r>
        <w:rPr>
          <w:rStyle w:val="FootnoteReference"/>
        </w:rPr>
        <w:footnoteRef/>
      </w:r>
      <w:r>
        <w:rPr>
          <w:rtl/>
        </w:rPr>
        <w:t xml:space="preserve"> </w:t>
      </w:r>
      <w:r w:rsidRPr="007149AE">
        <w:t>Google Books</w:t>
      </w:r>
    </w:p>
  </w:footnote>
  <w:footnote w:id="2936">
    <w:p w14:paraId="5023EF3A" w14:textId="77777777" w:rsidR="00B47FF5" w:rsidRDefault="00B47FF5" w:rsidP="00537CC8">
      <w:pPr>
        <w:pStyle w:val="FootnoteText"/>
      </w:pPr>
      <w:r>
        <w:rPr>
          <w:rStyle w:val="FootnoteReference"/>
        </w:rPr>
        <w:footnoteRef/>
      </w:r>
      <w:r>
        <w:rPr>
          <w:rtl/>
        </w:rPr>
        <w:t xml:space="preserve"> </w:t>
      </w:r>
      <w:r w:rsidRPr="007149AE">
        <w:t>Google Trends</w:t>
      </w:r>
    </w:p>
  </w:footnote>
  <w:footnote w:id="2937">
    <w:p w14:paraId="0D9D5B97" w14:textId="77777777" w:rsidR="00B47FF5" w:rsidRDefault="00B47FF5" w:rsidP="00537CC8">
      <w:pPr>
        <w:pStyle w:val="FootnoteText"/>
      </w:pPr>
      <w:r>
        <w:rPr>
          <w:rStyle w:val="FootnoteReference"/>
        </w:rPr>
        <w:footnoteRef/>
      </w:r>
      <w:r>
        <w:rPr>
          <w:rtl/>
        </w:rPr>
        <w:t xml:space="preserve"> </w:t>
      </w:r>
      <w:r w:rsidRPr="0056797A">
        <w:t>Klaus Schwab</w:t>
      </w:r>
    </w:p>
  </w:footnote>
  <w:footnote w:id="2938">
    <w:p w14:paraId="68CF6953" w14:textId="77777777" w:rsidR="00B47FF5" w:rsidRDefault="00B47FF5" w:rsidP="00537CC8">
      <w:pPr>
        <w:pStyle w:val="FootnoteText"/>
      </w:pPr>
      <w:r>
        <w:rPr>
          <w:rStyle w:val="FootnoteReference"/>
        </w:rPr>
        <w:footnoteRef/>
      </w:r>
      <w:r>
        <w:rPr>
          <w:rtl/>
        </w:rPr>
        <w:t xml:space="preserve"> </w:t>
      </w:r>
      <w:r w:rsidRPr="00F16CE6">
        <w:t>World Economic Forum</w:t>
      </w:r>
    </w:p>
  </w:footnote>
  <w:footnote w:id="2939">
    <w:p w14:paraId="78087B34" w14:textId="77777777" w:rsidR="00B47FF5" w:rsidRDefault="00B47FF5" w:rsidP="00537CC8">
      <w:pPr>
        <w:pStyle w:val="FootnoteText"/>
      </w:pPr>
      <w:r>
        <w:rPr>
          <w:rStyle w:val="FootnoteReference"/>
        </w:rPr>
        <w:footnoteRef/>
      </w:r>
      <w:r>
        <w:rPr>
          <w:rtl/>
        </w:rPr>
        <w:t xml:space="preserve"> </w:t>
      </w:r>
      <w:r w:rsidRPr="00F16CE6">
        <w:t>Fourth Industrial Revolution</w:t>
      </w:r>
    </w:p>
  </w:footnote>
  <w:footnote w:id="2940">
    <w:p w14:paraId="786B62DD" w14:textId="4F9D5A5C" w:rsidR="00B47FF5" w:rsidRDefault="00B47FF5" w:rsidP="00537CC8">
      <w:pPr>
        <w:pStyle w:val="FootnoteText"/>
      </w:pPr>
      <w:r>
        <w:rPr>
          <w:rStyle w:val="FootnoteReference"/>
        </w:rPr>
        <w:footnoteRef/>
      </w:r>
      <w:r>
        <w:rPr>
          <w:rtl/>
        </w:rPr>
        <w:t xml:space="preserve"> </w:t>
      </w:r>
      <w:r w:rsidRPr="00F16CE6">
        <w:t>Ontology</w:t>
      </w:r>
    </w:p>
  </w:footnote>
  <w:footnote w:id="2941">
    <w:p w14:paraId="4ABCA48E" w14:textId="7F68C04D" w:rsidR="00B47FF5" w:rsidRDefault="00B47FF5" w:rsidP="00537CC8">
      <w:pPr>
        <w:pStyle w:val="FootnoteText"/>
      </w:pPr>
      <w:r>
        <w:rPr>
          <w:rStyle w:val="FootnoteReference"/>
        </w:rPr>
        <w:footnoteRef/>
      </w:r>
      <w:r>
        <w:t xml:space="preserve"> Algorithmia </w:t>
      </w:r>
    </w:p>
  </w:footnote>
  <w:footnote w:id="2942">
    <w:p w14:paraId="4201C78F" w14:textId="77777777" w:rsidR="00B47FF5" w:rsidRDefault="00B47FF5" w:rsidP="00537CC8">
      <w:pPr>
        <w:pStyle w:val="FootnoteText"/>
      </w:pPr>
      <w:r>
        <w:rPr>
          <w:rStyle w:val="FootnoteReference"/>
        </w:rPr>
        <w:footnoteRef/>
      </w:r>
      <w:r>
        <w:rPr>
          <w:rtl/>
        </w:rPr>
        <w:t xml:space="preserve"> </w:t>
      </w:r>
      <w:r w:rsidRPr="0056797A">
        <w:t>Shaping Tomorrow</w:t>
      </w:r>
    </w:p>
  </w:footnote>
  <w:footnote w:id="2943">
    <w:p w14:paraId="595188F9" w14:textId="77777777" w:rsidR="00B47FF5" w:rsidRDefault="00B47FF5" w:rsidP="00537CC8">
      <w:pPr>
        <w:pStyle w:val="FootnoteText"/>
      </w:pPr>
      <w:r>
        <w:rPr>
          <w:rStyle w:val="FootnoteReference"/>
        </w:rPr>
        <w:footnoteRef/>
      </w:r>
      <w:r>
        <w:rPr>
          <w:rtl/>
        </w:rPr>
        <w:t xml:space="preserve"> </w:t>
      </w:r>
      <w:r w:rsidRPr="0056797A">
        <w:t>Hadoop</w:t>
      </w:r>
    </w:p>
  </w:footnote>
  <w:footnote w:id="2944">
    <w:p w14:paraId="28009200" w14:textId="77777777" w:rsidR="00B47FF5" w:rsidRDefault="00B47FF5" w:rsidP="00537CC8">
      <w:pPr>
        <w:pStyle w:val="FootnoteText"/>
      </w:pPr>
      <w:r>
        <w:rPr>
          <w:rStyle w:val="FootnoteReference"/>
        </w:rPr>
        <w:footnoteRef/>
      </w:r>
      <w:r>
        <w:rPr>
          <w:rtl/>
        </w:rPr>
        <w:t xml:space="preserve"> </w:t>
      </w:r>
      <w:r w:rsidRPr="0056797A">
        <w:t>TensorFlow</w:t>
      </w:r>
    </w:p>
  </w:footnote>
  <w:footnote w:id="2945">
    <w:p w14:paraId="38EDBFCD" w14:textId="77777777" w:rsidR="00B47FF5" w:rsidRDefault="00B47FF5" w:rsidP="00537CC8">
      <w:pPr>
        <w:pStyle w:val="FootnoteText"/>
      </w:pPr>
      <w:r>
        <w:rPr>
          <w:rStyle w:val="FootnoteReference"/>
        </w:rPr>
        <w:footnoteRef/>
      </w:r>
      <w:r>
        <w:rPr>
          <w:rtl/>
        </w:rPr>
        <w:t xml:space="preserve"> </w:t>
      </w:r>
      <w:r w:rsidRPr="0056797A">
        <w:t>GitHub</w:t>
      </w:r>
    </w:p>
  </w:footnote>
  <w:footnote w:id="2946">
    <w:p w14:paraId="0FEDC26D" w14:textId="5F4429D4" w:rsidR="00B47FF5" w:rsidRDefault="00B47FF5" w:rsidP="0098310D">
      <w:pPr>
        <w:pStyle w:val="FootnoteText"/>
      </w:pPr>
      <w:r>
        <w:rPr>
          <w:rStyle w:val="FootnoteReference"/>
        </w:rPr>
        <w:footnoteRef/>
      </w:r>
      <w:r>
        <w:rPr>
          <w:rtl/>
        </w:rPr>
        <w:t xml:space="preserve"> </w:t>
      </w:r>
      <w:r w:rsidRPr="007149AE">
        <w:t>Front end</w:t>
      </w:r>
    </w:p>
  </w:footnote>
  <w:footnote w:id="2947">
    <w:p w14:paraId="27EE3646" w14:textId="77777777" w:rsidR="00B47FF5" w:rsidRDefault="00B47FF5" w:rsidP="00537CC8">
      <w:pPr>
        <w:pStyle w:val="FootnoteText"/>
      </w:pPr>
      <w:r>
        <w:rPr>
          <w:rStyle w:val="FootnoteReference"/>
        </w:rPr>
        <w:footnoteRef/>
      </w:r>
      <w:r>
        <w:rPr>
          <w:rtl/>
        </w:rPr>
        <w:t xml:space="preserve"> </w:t>
      </w:r>
      <w:r w:rsidRPr="007C72D1">
        <w:t>Eric Siegel</w:t>
      </w:r>
    </w:p>
  </w:footnote>
  <w:footnote w:id="2948">
    <w:p w14:paraId="78A4F544" w14:textId="77777777" w:rsidR="00B47FF5" w:rsidRDefault="00B47FF5" w:rsidP="00537CC8">
      <w:pPr>
        <w:pStyle w:val="FootnoteText"/>
      </w:pPr>
      <w:r>
        <w:rPr>
          <w:rStyle w:val="FootnoteReference"/>
        </w:rPr>
        <w:footnoteRef/>
      </w:r>
      <w:r>
        <w:rPr>
          <w:rtl/>
        </w:rPr>
        <w:t xml:space="preserve"> </w:t>
      </w:r>
      <w:r w:rsidRPr="00AA695F">
        <w:t>Predictive Analytics</w:t>
      </w:r>
    </w:p>
  </w:footnote>
  <w:footnote w:id="2949">
    <w:p w14:paraId="6B6229BC" w14:textId="77777777" w:rsidR="00B47FF5" w:rsidRDefault="00B47FF5" w:rsidP="00537CC8">
      <w:pPr>
        <w:pStyle w:val="FootnoteText"/>
        <w:rPr>
          <w:rtl/>
        </w:rPr>
      </w:pPr>
      <w:r>
        <w:rPr>
          <w:rStyle w:val="FootnoteReference"/>
        </w:rPr>
        <w:footnoteRef/>
      </w:r>
      <w:r>
        <w:rPr>
          <w:rtl/>
        </w:rPr>
        <w:t xml:space="preserve"> </w:t>
      </w:r>
      <w:r w:rsidRPr="00AA695F">
        <w:t>Visualize This</w:t>
      </w:r>
    </w:p>
  </w:footnote>
  <w:footnote w:id="2950">
    <w:p w14:paraId="2FE81133" w14:textId="77777777" w:rsidR="00B47FF5" w:rsidRDefault="00B47FF5" w:rsidP="00537CC8">
      <w:pPr>
        <w:pStyle w:val="FootnoteText"/>
      </w:pPr>
      <w:r>
        <w:rPr>
          <w:rStyle w:val="FootnoteReference"/>
        </w:rPr>
        <w:footnoteRef/>
      </w:r>
      <w:r>
        <w:rPr>
          <w:rtl/>
        </w:rPr>
        <w:t xml:space="preserve"> </w:t>
      </w:r>
      <w:r w:rsidRPr="00AA695F">
        <w:t>Data Points</w:t>
      </w:r>
    </w:p>
  </w:footnote>
  <w:footnote w:id="2951">
    <w:p w14:paraId="74E8ADC3" w14:textId="77777777" w:rsidR="00B47FF5" w:rsidRDefault="00B47FF5" w:rsidP="00537CC8">
      <w:pPr>
        <w:pStyle w:val="FootnoteText"/>
      </w:pPr>
      <w:r>
        <w:rPr>
          <w:rStyle w:val="FootnoteReference"/>
        </w:rPr>
        <w:footnoteRef/>
      </w:r>
      <w:r>
        <w:rPr>
          <w:rtl/>
        </w:rPr>
        <w:t xml:space="preserve"> </w:t>
      </w:r>
      <w:r w:rsidRPr="007C72D1">
        <w:t>Nathan Yau</w:t>
      </w:r>
    </w:p>
  </w:footnote>
  <w:footnote w:id="2952">
    <w:p w14:paraId="1D5F02AF" w14:textId="77777777" w:rsidR="00B47FF5" w:rsidRDefault="00B47FF5" w:rsidP="00537CC8">
      <w:pPr>
        <w:pStyle w:val="FootnoteText"/>
      </w:pPr>
      <w:r>
        <w:rPr>
          <w:rStyle w:val="FootnoteReference"/>
        </w:rPr>
        <w:footnoteRef/>
      </w:r>
      <w:r>
        <w:rPr>
          <w:rtl/>
        </w:rPr>
        <w:t xml:space="preserve"> </w:t>
      </w:r>
      <w:r w:rsidRPr="00AA695F">
        <w:t>Naked Statistics</w:t>
      </w:r>
    </w:p>
  </w:footnote>
  <w:footnote w:id="2953">
    <w:p w14:paraId="60F6BC54" w14:textId="77777777" w:rsidR="00B47FF5" w:rsidRDefault="00B47FF5" w:rsidP="00537CC8">
      <w:pPr>
        <w:pStyle w:val="FootnoteText"/>
      </w:pPr>
      <w:r>
        <w:rPr>
          <w:rStyle w:val="FootnoteReference"/>
        </w:rPr>
        <w:footnoteRef/>
      </w:r>
      <w:r>
        <w:rPr>
          <w:rtl/>
        </w:rPr>
        <w:t xml:space="preserve"> </w:t>
      </w:r>
      <w:r w:rsidRPr="00AA695F">
        <w:t>Everybody Lies</w:t>
      </w:r>
    </w:p>
  </w:footnote>
  <w:footnote w:id="2954">
    <w:p w14:paraId="74A3CAAA" w14:textId="77777777" w:rsidR="00B47FF5" w:rsidRDefault="00B47FF5" w:rsidP="00537CC8">
      <w:pPr>
        <w:pStyle w:val="FootnoteText"/>
      </w:pPr>
      <w:r>
        <w:rPr>
          <w:rStyle w:val="FootnoteReference"/>
        </w:rPr>
        <w:footnoteRef/>
      </w:r>
      <w:r>
        <w:rPr>
          <w:rtl/>
        </w:rPr>
        <w:t xml:space="preserve"> </w:t>
      </w:r>
      <w:r w:rsidRPr="007C72D1">
        <w:t>Seth Stephens- Davidowitz</w:t>
      </w:r>
    </w:p>
  </w:footnote>
  <w:footnote w:id="2955">
    <w:p w14:paraId="4AA2C807" w14:textId="77777777" w:rsidR="00B47FF5" w:rsidRDefault="00B47FF5" w:rsidP="00537CC8">
      <w:pPr>
        <w:pStyle w:val="FootnoteText"/>
      </w:pPr>
      <w:r>
        <w:rPr>
          <w:rStyle w:val="FootnoteReference"/>
        </w:rPr>
        <w:footnoteRef/>
      </w:r>
      <w:r>
        <w:rPr>
          <w:rtl/>
        </w:rPr>
        <w:t xml:space="preserve"> </w:t>
      </w:r>
      <w:r>
        <w:t>Calling Bullshit</w:t>
      </w:r>
    </w:p>
  </w:footnote>
  <w:footnote w:id="2956">
    <w:p w14:paraId="61E0A083" w14:textId="52EB8A91" w:rsidR="00B47FF5" w:rsidRDefault="00B47FF5" w:rsidP="00537CC8">
      <w:pPr>
        <w:pStyle w:val="FootnoteText"/>
      </w:pPr>
      <w:r>
        <w:rPr>
          <w:rStyle w:val="FootnoteReference"/>
        </w:rPr>
        <w:footnoteRef/>
      </w:r>
      <w:r>
        <w:rPr>
          <w:rtl/>
        </w:rPr>
        <w:t xml:space="preserve"> </w:t>
      </w:r>
      <w:r w:rsidRPr="007C72D1">
        <w:t>Bergstrom, West</w:t>
      </w:r>
    </w:p>
  </w:footnote>
  <w:footnote w:id="2957">
    <w:p w14:paraId="017AB7FB" w14:textId="77777777" w:rsidR="00B47FF5" w:rsidRDefault="00B47FF5" w:rsidP="00537CC8">
      <w:pPr>
        <w:pStyle w:val="FootnoteText"/>
      </w:pPr>
      <w:r>
        <w:rPr>
          <w:rStyle w:val="FootnoteReference"/>
        </w:rPr>
        <w:footnoteRef/>
      </w:r>
      <w:r>
        <w:rPr>
          <w:rtl/>
        </w:rPr>
        <w:t xml:space="preserve"> </w:t>
      </w:r>
      <w:r w:rsidRPr="00ED3BA9">
        <w:t>The Age of Context</w:t>
      </w:r>
    </w:p>
  </w:footnote>
  <w:footnote w:id="2958">
    <w:p w14:paraId="5BF0CB5C" w14:textId="312FB7CA" w:rsidR="00B47FF5" w:rsidRDefault="00B47FF5" w:rsidP="00537CC8">
      <w:pPr>
        <w:pStyle w:val="FootnoteText"/>
      </w:pPr>
      <w:r>
        <w:rPr>
          <w:rStyle w:val="FootnoteReference"/>
        </w:rPr>
        <w:footnoteRef/>
      </w:r>
      <w:r>
        <w:rPr>
          <w:rtl/>
        </w:rPr>
        <w:t xml:space="preserve"> </w:t>
      </w:r>
      <w:r w:rsidRPr="007C72D1">
        <w:t>Scoble, Israel</w:t>
      </w:r>
    </w:p>
  </w:footnote>
  <w:footnote w:id="2959">
    <w:p w14:paraId="3FB66496" w14:textId="77777777" w:rsidR="00B47FF5" w:rsidRDefault="00B47FF5" w:rsidP="00537CC8">
      <w:pPr>
        <w:pStyle w:val="FootnoteText"/>
      </w:pPr>
      <w:r>
        <w:rPr>
          <w:rStyle w:val="FootnoteReference"/>
        </w:rPr>
        <w:footnoteRef/>
      </w:r>
      <w:r>
        <w:rPr>
          <w:rtl/>
        </w:rPr>
        <w:t xml:space="preserve"> </w:t>
      </w:r>
      <w:r w:rsidRPr="00410BDE">
        <w:t>The Program</w:t>
      </w:r>
    </w:p>
  </w:footnote>
  <w:footnote w:id="2960">
    <w:p w14:paraId="533D9D77" w14:textId="77777777" w:rsidR="00B47FF5" w:rsidRDefault="00B47FF5" w:rsidP="00537CC8">
      <w:pPr>
        <w:pStyle w:val="FootnoteText"/>
      </w:pPr>
      <w:r>
        <w:rPr>
          <w:rStyle w:val="FootnoteReference"/>
        </w:rPr>
        <w:footnoteRef/>
      </w:r>
      <w:r>
        <w:rPr>
          <w:rtl/>
        </w:rPr>
        <w:t xml:space="preserve"> </w:t>
      </w:r>
      <w:r w:rsidRPr="00410BDE">
        <w:t>United States of Secrets</w:t>
      </w:r>
    </w:p>
  </w:footnote>
  <w:footnote w:id="2961">
    <w:p w14:paraId="7DCEC94D" w14:textId="77777777" w:rsidR="00B47FF5" w:rsidRDefault="00B47FF5" w:rsidP="00537CC8">
      <w:pPr>
        <w:pStyle w:val="FootnoteText"/>
      </w:pPr>
      <w:r>
        <w:rPr>
          <w:rStyle w:val="FootnoteReference"/>
        </w:rPr>
        <w:footnoteRef/>
      </w:r>
      <w:r>
        <w:rPr>
          <w:rtl/>
        </w:rPr>
        <w:t xml:space="preserve"> </w:t>
      </w:r>
      <w:r w:rsidRPr="0055774B">
        <w:t>Frontline</w:t>
      </w:r>
    </w:p>
  </w:footnote>
  <w:footnote w:id="2962">
    <w:p w14:paraId="010D7E78" w14:textId="77777777" w:rsidR="00B47FF5" w:rsidRDefault="00B47FF5" w:rsidP="00537CC8">
      <w:pPr>
        <w:pStyle w:val="FootnoteText"/>
      </w:pPr>
      <w:r>
        <w:rPr>
          <w:rStyle w:val="FootnoteReference"/>
        </w:rPr>
        <w:footnoteRef/>
      </w:r>
      <w:r>
        <w:rPr>
          <w:rtl/>
        </w:rPr>
        <w:t xml:space="preserve"> </w:t>
      </w:r>
      <w:r w:rsidRPr="0055774B">
        <w:t>David Brin</w:t>
      </w:r>
    </w:p>
  </w:footnote>
  <w:footnote w:id="2963">
    <w:p w14:paraId="7DB97FDB" w14:textId="77777777" w:rsidR="00B47FF5" w:rsidRDefault="00B47FF5" w:rsidP="00537CC8">
      <w:pPr>
        <w:pStyle w:val="FootnoteText"/>
      </w:pPr>
      <w:r>
        <w:rPr>
          <w:rStyle w:val="FootnoteReference"/>
        </w:rPr>
        <w:footnoteRef/>
      </w:r>
      <w:r>
        <w:rPr>
          <w:rtl/>
        </w:rPr>
        <w:t xml:space="preserve"> </w:t>
      </w:r>
      <w:r w:rsidRPr="00410BDE">
        <w:t>The Transparent Society</w:t>
      </w:r>
    </w:p>
  </w:footnote>
  <w:footnote w:id="2964">
    <w:p w14:paraId="506AF297" w14:textId="3C8096AD" w:rsidR="00B47FF5" w:rsidRDefault="00B47FF5" w:rsidP="00537CC8">
      <w:pPr>
        <w:pStyle w:val="FootnoteText"/>
      </w:pPr>
      <w:r>
        <w:rPr>
          <w:rStyle w:val="FootnoteReference"/>
        </w:rPr>
        <w:footnoteRef/>
      </w:r>
      <w:r>
        <w:rPr>
          <w:rtl/>
        </w:rPr>
        <w:t xml:space="preserve"> </w:t>
      </w:r>
      <w:r w:rsidRPr="003C073D">
        <w:t>Surveillance fishbowl</w:t>
      </w:r>
    </w:p>
  </w:footnote>
  <w:footnote w:id="2965">
    <w:p w14:paraId="60C05E3B" w14:textId="04FB4102" w:rsidR="00B47FF5" w:rsidRDefault="00B47FF5" w:rsidP="001B6206">
      <w:pPr>
        <w:pStyle w:val="FootnoteText"/>
      </w:pPr>
      <w:r>
        <w:rPr>
          <w:rStyle w:val="FootnoteReference"/>
        </w:rPr>
        <w:footnoteRef/>
      </w:r>
      <w:r>
        <w:rPr>
          <w:rtl/>
        </w:rPr>
        <w:t xml:space="preserve"> </w:t>
      </w:r>
      <w:r>
        <w:t>General Data Protection Regulations</w:t>
      </w:r>
    </w:p>
  </w:footnote>
  <w:footnote w:id="2966">
    <w:p w14:paraId="4EEBF8B1" w14:textId="11BF97D9" w:rsidR="00B47FF5" w:rsidRDefault="00B47FF5" w:rsidP="00537CC8">
      <w:pPr>
        <w:pStyle w:val="FootnoteText"/>
      </w:pPr>
      <w:r>
        <w:rPr>
          <w:rStyle w:val="FootnoteReference"/>
        </w:rPr>
        <w:footnoteRef/>
      </w:r>
      <w:r>
        <w:rPr>
          <w:rtl/>
        </w:rPr>
        <w:t xml:space="preserve"> </w:t>
      </w:r>
      <w:r w:rsidRPr="003C073D">
        <w:t>Active inference</w:t>
      </w:r>
    </w:p>
  </w:footnote>
  <w:footnote w:id="2967">
    <w:p w14:paraId="4DB0706C" w14:textId="77777777" w:rsidR="00B47FF5" w:rsidRDefault="00B47FF5" w:rsidP="00537CC8">
      <w:pPr>
        <w:pStyle w:val="FootnoteText"/>
      </w:pPr>
      <w:r>
        <w:rPr>
          <w:rStyle w:val="FootnoteReference"/>
        </w:rPr>
        <w:footnoteRef/>
      </w:r>
      <w:r>
        <w:rPr>
          <w:rtl/>
        </w:rPr>
        <w:t xml:space="preserve"> </w:t>
      </w:r>
      <w:r w:rsidRPr="000E3007">
        <w:t>Bayesian probability</w:t>
      </w:r>
    </w:p>
  </w:footnote>
  <w:footnote w:id="2968">
    <w:p w14:paraId="04D5BC13" w14:textId="77777777" w:rsidR="00B47FF5" w:rsidRDefault="00B47FF5" w:rsidP="00537CC8">
      <w:pPr>
        <w:pStyle w:val="FootnoteText"/>
      </w:pPr>
      <w:r>
        <w:rPr>
          <w:rStyle w:val="FootnoteReference"/>
        </w:rPr>
        <w:footnoteRef/>
      </w:r>
      <w:r>
        <w:rPr>
          <w:rtl/>
        </w:rPr>
        <w:t xml:space="preserve"> </w:t>
      </w:r>
      <w:r w:rsidRPr="0055774B">
        <w:t>Tim Draper</w:t>
      </w:r>
    </w:p>
  </w:footnote>
  <w:footnote w:id="2969">
    <w:p w14:paraId="169CDA67" w14:textId="77777777" w:rsidR="00B47FF5" w:rsidRDefault="00B47FF5" w:rsidP="00537CC8">
      <w:pPr>
        <w:pStyle w:val="FootnoteText"/>
      </w:pPr>
      <w:r>
        <w:rPr>
          <w:rStyle w:val="FootnoteReference"/>
        </w:rPr>
        <w:footnoteRef/>
      </w:r>
      <w:r>
        <w:rPr>
          <w:rtl/>
        </w:rPr>
        <w:t xml:space="preserve"> </w:t>
      </w:r>
      <w:r w:rsidRPr="0055774B">
        <w:t>Steve Jurvetson</w:t>
      </w:r>
    </w:p>
  </w:footnote>
  <w:footnote w:id="2970">
    <w:p w14:paraId="1A736F6C" w14:textId="77777777" w:rsidR="00B47FF5" w:rsidRDefault="00B47FF5" w:rsidP="00537CC8">
      <w:pPr>
        <w:pStyle w:val="FootnoteText"/>
      </w:pPr>
      <w:r>
        <w:rPr>
          <w:rStyle w:val="FootnoteReference"/>
        </w:rPr>
        <w:footnoteRef/>
      </w:r>
      <w:r>
        <w:rPr>
          <w:rtl/>
        </w:rPr>
        <w:t xml:space="preserve"> </w:t>
      </w:r>
      <w:r w:rsidRPr="0055774B">
        <w:t>Vinod Khosla</w:t>
      </w:r>
    </w:p>
  </w:footnote>
  <w:footnote w:id="2971">
    <w:p w14:paraId="59863915" w14:textId="77777777" w:rsidR="00B47FF5" w:rsidRDefault="00B47FF5" w:rsidP="00537CC8">
      <w:pPr>
        <w:pStyle w:val="FootnoteText"/>
      </w:pPr>
      <w:r>
        <w:rPr>
          <w:rStyle w:val="FootnoteReference"/>
        </w:rPr>
        <w:footnoteRef/>
      </w:r>
      <w:r>
        <w:rPr>
          <w:rtl/>
        </w:rPr>
        <w:t xml:space="preserve"> </w:t>
      </w:r>
      <w:r w:rsidRPr="0055774B">
        <w:t>Paul Graham</w:t>
      </w:r>
    </w:p>
  </w:footnote>
  <w:footnote w:id="2972">
    <w:p w14:paraId="0D48B2F9" w14:textId="77777777" w:rsidR="00B47FF5" w:rsidRDefault="00B47FF5" w:rsidP="00537CC8">
      <w:pPr>
        <w:pStyle w:val="FootnoteText"/>
      </w:pPr>
      <w:r>
        <w:rPr>
          <w:rStyle w:val="FootnoteReference"/>
        </w:rPr>
        <w:footnoteRef/>
      </w:r>
      <w:r>
        <w:rPr>
          <w:rtl/>
        </w:rPr>
        <w:t xml:space="preserve"> </w:t>
      </w:r>
      <w:r w:rsidRPr="0055774B">
        <w:t>Mark Andreessen</w:t>
      </w:r>
    </w:p>
  </w:footnote>
  <w:footnote w:id="2973">
    <w:p w14:paraId="3906B3DA" w14:textId="77777777" w:rsidR="00B47FF5" w:rsidRDefault="00B47FF5" w:rsidP="00537CC8">
      <w:pPr>
        <w:pStyle w:val="FootnoteText"/>
      </w:pPr>
      <w:r>
        <w:rPr>
          <w:rStyle w:val="FootnoteReference"/>
        </w:rPr>
        <w:footnoteRef/>
      </w:r>
      <w:r>
        <w:rPr>
          <w:rtl/>
        </w:rPr>
        <w:t xml:space="preserve"> </w:t>
      </w:r>
      <w:r w:rsidRPr="0055774B">
        <w:t>Something Ventured</w:t>
      </w:r>
    </w:p>
  </w:footnote>
  <w:footnote w:id="2974">
    <w:p w14:paraId="512E9147" w14:textId="77777777" w:rsidR="00B47FF5" w:rsidRDefault="00B47FF5" w:rsidP="00537CC8">
      <w:pPr>
        <w:pStyle w:val="FootnoteText"/>
      </w:pPr>
      <w:r>
        <w:rPr>
          <w:rStyle w:val="FootnoteReference"/>
        </w:rPr>
        <w:footnoteRef/>
      </w:r>
      <w:r>
        <w:rPr>
          <w:rtl/>
        </w:rPr>
        <w:t xml:space="preserve"> </w:t>
      </w:r>
      <w:r w:rsidRPr="0055774B">
        <w:t>Valuecosm</w:t>
      </w:r>
    </w:p>
  </w:footnote>
  <w:footnote w:id="2975">
    <w:p w14:paraId="02883DE5" w14:textId="3C84E673" w:rsidR="00B47FF5" w:rsidRDefault="00B47FF5" w:rsidP="00537CC8">
      <w:pPr>
        <w:pStyle w:val="FootnoteText"/>
      </w:pPr>
      <w:r>
        <w:rPr>
          <w:rStyle w:val="FootnoteReference"/>
        </w:rPr>
        <w:footnoteRef/>
      </w:r>
      <w:r>
        <w:rPr>
          <w:rtl/>
        </w:rPr>
        <w:t xml:space="preserve"> </w:t>
      </w:r>
      <w:r w:rsidRPr="00891F85">
        <w:t>Values-graphed web</w:t>
      </w:r>
    </w:p>
  </w:footnote>
  <w:footnote w:id="2976">
    <w:p w14:paraId="3FBB1949" w14:textId="68EF5981" w:rsidR="00B47FF5" w:rsidRDefault="00B47FF5" w:rsidP="00537CC8">
      <w:pPr>
        <w:pStyle w:val="FootnoteText"/>
      </w:pPr>
      <w:r>
        <w:rPr>
          <w:rStyle w:val="FootnoteReference"/>
        </w:rPr>
        <w:footnoteRef/>
      </w:r>
      <w:r>
        <w:rPr>
          <w:rtl/>
        </w:rPr>
        <w:t xml:space="preserve"> </w:t>
      </w:r>
      <w:r w:rsidRPr="006C0532">
        <w:t>Planetization</w:t>
      </w:r>
    </w:p>
  </w:footnote>
  <w:footnote w:id="2977">
    <w:p w14:paraId="07C5EDFA" w14:textId="77777777" w:rsidR="00B47FF5" w:rsidRDefault="00B47FF5" w:rsidP="00537CC8">
      <w:pPr>
        <w:pStyle w:val="FootnoteText"/>
        <w:rPr>
          <w:rtl/>
        </w:rPr>
      </w:pPr>
      <w:r>
        <w:rPr>
          <w:rStyle w:val="FootnoteReference"/>
        </w:rPr>
        <w:footnoteRef/>
      </w:r>
      <w:r>
        <w:rPr>
          <w:rtl/>
        </w:rPr>
        <w:t xml:space="preserve"> </w:t>
      </w:r>
      <w:r w:rsidRPr="00826F76">
        <w:t>The Lexus and the Olive Tree</w:t>
      </w:r>
    </w:p>
  </w:footnote>
  <w:footnote w:id="2978">
    <w:p w14:paraId="4F473BE1" w14:textId="77777777" w:rsidR="00B47FF5" w:rsidRDefault="00B47FF5" w:rsidP="00537CC8">
      <w:pPr>
        <w:pStyle w:val="FootnoteText"/>
      </w:pPr>
      <w:r>
        <w:rPr>
          <w:rStyle w:val="FootnoteReference"/>
        </w:rPr>
        <w:footnoteRef/>
      </w:r>
      <w:r>
        <w:rPr>
          <w:rtl/>
        </w:rPr>
        <w:t xml:space="preserve"> </w:t>
      </w:r>
      <w:r w:rsidRPr="00826F76">
        <w:t>The World is</w:t>
      </w:r>
      <w:r>
        <w:t xml:space="preserve"> Flat</w:t>
      </w:r>
    </w:p>
  </w:footnote>
  <w:footnote w:id="2979">
    <w:p w14:paraId="7AD0F915" w14:textId="77947255" w:rsidR="00B47FF5" w:rsidRDefault="00B47FF5" w:rsidP="00537CC8">
      <w:pPr>
        <w:pStyle w:val="FootnoteText"/>
      </w:pPr>
      <w:r>
        <w:rPr>
          <w:rStyle w:val="FootnoteReference"/>
        </w:rPr>
        <w:footnoteRef/>
      </w:r>
      <w:r>
        <w:rPr>
          <w:rtl/>
        </w:rPr>
        <w:t xml:space="preserve"> </w:t>
      </w:r>
      <w:r w:rsidRPr="006C0532">
        <w:t>Superorganism</w:t>
      </w:r>
    </w:p>
  </w:footnote>
  <w:footnote w:id="2980">
    <w:p w14:paraId="3DF08C5F" w14:textId="77777777" w:rsidR="00B47FF5" w:rsidRDefault="00B47FF5" w:rsidP="00537CC8">
      <w:pPr>
        <w:pStyle w:val="FootnoteText"/>
      </w:pPr>
      <w:r>
        <w:rPr>
          <w:rStyle w:val="FootnoteReference"/>
        </w:rPr>
        <w:footnoteRef/>
      </w:r>
      <w:r>
        <w:rPr>
          <w:rtl/>
        </w:rPr>
        <w:t xml:space="preserve"> </w:t>
      </w:r>
      <w:r w:rsidRPr="0055774B">
        <w:t>Jesuit</w:t>
      </w:r>
    </w:p>
  </w:footnote>
  <w:footnote w:id="2981">
    <w:p w14:paraId="5045E829" w14:textId="77777777" w:rsidR="00B47FF5" w:rsidRDefault="00B47FF5" w:rsidP="00537CC8">
      <w:pPr>
        <w:pStyle w:val="FootnoteText"/>
      </w:pPr>
      <w:r>
        <w:rPr>
          <w:rStyle w:val="FootnoteReference"/>
        </w:rPr>
        <w:footnoteRef/>
      </w:r>
      <w:r>
        <w:rPr>
          <w:rtl/>
        </w:rPr>
        <w:t xml:space="preserve"> </w:t>
      </w:r>
      <w:r w:rsidRPr="0055774B">
        <w:t>Pierre Teilhard de Chardin</w:t>
      </w:r>
    </w:p>
  </w:footnote>
  <w:footnote w:id="2982">
    <w:p w14:paraId="24E849F5" w14:textId="77777777" w:rsidR="00B47FF5" w:rsidRDefault="00B47FF5" w:rsidP="00537CC8">
      <w:pPr>
        <w:pStyle w:val="FootnoteText"/>
      </w:pPr>
      <w:r>
        <w:rPr>
          <w:rStyle w:val="FootnoteReference"/>
        </w:rPr>
        <w:footnoteRef/>
      </w:r>
      <w:r>
        <w:rPr>
          <w:rtl/>
        </w:rPr>
        <w:t xml:space="preserve"> </w:t>
      </w:r>
      <w:r w:rsidRPr="00440260">
        <w:t>Thomas Frey</w:t>
      </w:r>
    </w:p>
  </w:footnote>
  <w:footnote w:id="2983">
    <w:p w14:paraId="7E6A0667" w14:textId="77777777" w:rsidR="00B47FF5" w:rsidRDefault="00B47FF5" w:rsidP="00537CC8">
      <w:pPr>
        <w:pStyle w:val="FootnoteText"/>
      </w:pPr>
      <w:r>
        <w:rPr>
          <w:rStyle w:val="FootnoteReference"/>
        </w:rPr>
        <w:footnoteRef/>
      </w:r>
      <w:r>
        <w:rPr>
          <w:rtl/>
        </w:rPr>
        <w:t xml:space="preserve"> </w:t>
      </w:r>
      <w:r w:rsidRPr="00826E0B">
        <w:t>Assembly</w:t>
      </w:r>
    </w:p>
  </w:footnote>
  <w:footnote w:id="2984">
    <w:p w14:paraId="4484ABC8" w14:textId="77777777" w:rsidR="00B47FF5" w:rsidRDefault="00B47FF5" w:rsidP="00537CC8">
      <w:pPr>
        <w:pStyle w:val="FootnoteText"/>
      </w:pPr>
      <w:r>
        <w:rPr>
          <w:rStyle w:val="FootnoteReference"/>
        </w:rPr>
        <w:footnoteRef/>
      </w:r>
      <w:r>
        <w:rPr>
          <w:rtl/>
        </w:rPr>
        <w:t xml:space="preserve"> </w:t>
      </w:r>
      <w:r w:rsidRPr="00826E0B">
        <w:t>StartEngine</w:t>
      </w:r>
    </w:p>
  </w:footnote>
  <w:footnote w:id="2985">
    <w:p w14:paraId="30BEF5FE" w14:textId="77777777" w:rsidR="00B47FF5" w:rsidRDefault="00B47FF5" w:rsidP="00537CC8">
      <w:pPr>
        <w:pStyle w:val="FootnoteText"/>
      </w:pPr>
      <w:r>
        <w:rPr>
          <w:rStyle w:val="FootnoteReference"/>
        </w:rPr>
        <w:footnoteRef/>
      </w:r>
      <w:r>
        <w:rPr>
          <w:rtl/>
        </w:rPr>
        <w:t xml:space="preserve"> </w:t>
      </w:r>
      <w:r w:rsidRPr="00826E0B">
        <w:t>Indiegogo</w:t>
      </w:r>
    </w:p>
  </w:footnote>
  <w:footnote w:id="2986">
    <w:p w14:paraId="28EFDF0D" w14:textId="77777777" w:rsidR="00B47FF5" w:rsidRDefault="00B47FF5" w:rsidP="00537CC8">
      <w:pPr>
        <w:pStyle w:val="FootnoteText"/>
      </w:pPr>
      <w:r>
        <w:rPr>
          <w:rStyle w:val="FootnoteReference"/>
        </w:rPr>
        <w:footnoteRef/>
      </w:r>
      <w:r>
        <w:rPr>
          <w:rtl/>
        </w:rPr>
        <w:t xml:space="preserve"> </w:t>
      </w:r>
      <w:r w:rsidRPr="00826E0B">
        <w:t>Kickstarter</w:t>
      </w:r>
    </w:p>
  </w:footnote>
  <w:footnote w:id="2987">
    <w:p w14:paraId="154CBE08" w14:textId="77777777" w:rsidR="00B47FF5" w:rsidRDefault="00B47FF5" w:rsidP="00537CC8">
      <w:pPr>
        <w:pStyle w:val="FootnoteText"/>
      </w:pPr>
      <w:r>
        <w:rPr>
          <w:rStyle w:val="FootnoteReference"/>
        </w:rPr>
        <w:footnoteRef/>
      </w:r>
      <w:r>
        <w:rPr>
          <w:rtl/>
        </w:rPr>
        <w:t xml:space="preserve"> </w:t>
      </w:r>
      <w:r w:rsidRPr="00826E0B">
        <w:t>Upwork</w:t>
      </w:r>
    </w:p>
  </w:footnote>
  <w:footnote w:id="2988">
    <w:p w14:paraId="3C22F73F" w14:textId="77777777" w:rsidR="00B47FF5" w:rsidRDefault="00B47FF5" w:rsidP="00537CC8">
      <w:pPr>
        <w:pStyle w:val="FootnoteText"/>
      </w:pPr>
      <w:r>
        <w:rPr>
          <w:rStyle w:val="FootnoteReference"/>
        </w:rPr>
        <w:footnoteRef/>
      </w:r>
      <w:r>
        <w:rPr>
          <w:rtl/>
        </w:rPr>
        <w:t xml:space="preserve"> </w:t>
      </w:r>
      <w:r w:rsidRPr="00826E0B">
        <w:t>Crowdspring</w:t>
      </w:r>
    </w:p>
  </w:footnote>
  <w:footnote w:id="2989">
    <w:p w14:paraId="24740A86" w14:textId="77777777" w:rsidR="00B47FF5" w:rsidRDefault="00B47FF5" w:rsidP="00537CC8">
      <w:pPr>
        <w:pStyle w:val="FootnoteText"/>
      </w:pPr>
      <w:r>
        <w:rPr>
          <w:rStyle w:val="FootnoteReference"/>
        </w:rPr>
        <w:footnoteRef/>
      </w:r>
      <w:r>
        <w:rPr>
          <w:rtl/>
        </w:rPr>
        <w:t xml:space="preserve"> </w:t>
      </w:r>
      <w:r w:rsidRPr="00826E0B">
        <w:t>InnoCentive</w:t>
      </w:r>
    </w:p>
  </w:footnote>
  <w:footnote w:id="2990">
    <w:p w14:paraId="12C479F8" w14:textId="77777777" w:rsidR="00B47FF5" w:rsidRDefault="00B47FF5" w:rsidP="00537CC8">
      <w:pPr>
        <w:pStyle w:val="FootnoteText"/>
      </w:pPr>
      <w:r>
        <w:rPr>
          <w:rStyle w:val="FootnoteReference"/>
        </w:rPr>
        <w:footnoteRef/>
      </w:r>
      <w:r>
        <w:rPr>
          <w:rtl/>
        </w:rPr>
        <w:t xml:space="preserve"> </w:t>
      </w:r>
      <w:r w:rsidRPr="00826E0B">
        <w:t>Wikistrat</w:t>
      </w:r>
    </w:p>
  </w:footnote>
  <w:footnote w:id="2991">
    <w:p w14:paraId="1687D6EB" w14:textId="77777777" w:rsidR="00B47FF5" w:rsidRDefault="00B47FF5" w:rsidP="00537CC8">
      <w:pPr>
        <w:pStyle w:val="FootnoteText"/>
      </w:pPr>
      <w:r>
        <w:rPr>
          <w:rStyle w:val="FootnoteReference"/>
        </w:rPr>
        <w:footnoteRef/>
      </w:r>
      <w:r>
        <w:rPr>
          <w:rtl/>
        </w:rPr>
        <w:t xml:space="preserve"> </w:t>
      </w:r>
      <w:r w:rsidRPr="00826E0B">
        <w:t>Shaping Tomorrow</w:t>
      </w:r>
    </w:p>
  </w:footnote>
  <w:footnote w:id="2992">
    <w:p w14:paraId="744CB535" w14:textId="77777777" w:rsidR="00B47FF5" w:rsidRDefault="00B47FF5" w:rsidP="00537CC8">
      <w:pPr>
        <w:pStyle w:val="FootnoteText"/>
      </w:pPr>
      <w:r>
        <w:rPr>
          <w:rStyle w:val="FootnoteReference"/>
        </w:rPr>
        <w:footnoteRef/>
      </w:r>
      <w:r>
        <w:rPr>
          <w:rtl/>
        </w:rPr>
        <w:t xml:space="preserve"> </w:t>
      </w:r>
      <w:r w:rsidRPr="00826E0B">
        <w:t>TechCast</w:t>
      </w:r>
    </w:p>
  </w:footnote>
  <w:footnote w:id="2993">
    <w:p w14:paraId="3DD0A92A" w14:textId="77777777" w:rsidR="00B47FF5" w:rsidRDefault="00B47FF5" w:rsidP="00537CC8">
      <w:pPr>
        <w:pStyle w:val="FootnoteText"/>
      </w:pPr>
      <w:r>
        <w:rPr>
          <w:rStyle w:val="FootnoteReference"/>
        </w:rPr>
        <w:footnoteRef/>
      </w:r>
      <w:r>
        <w:rPr>
          <w:rtl/>
        </w:rPr>
        <w:t xml:space="preserve"> </w:t>
      </w:r>
      <w:r w:rsidRPr="00826E0B">
        <w:t>Augur</w:t>
      </w:r>
    </w:p>
  </w:footnote>
  <w:footnote w:id="2994">
    <w:p w14:paraId="08F6944A" w14:textId="68C8A918" w:rsidR="00B47FF5" w:rsidRDefault="00B47FF5" w:rsidP="00537CC8">
      <w:pPr>
        <w:pStyle w:val="FootnoteText"/>
      </w:pPr>
      <w:r>
        <w:rPr>
          <w:rStyle w:val="FootnoteReference"/>
        </w:rPr>
        <w:footnoteRef/>
      </w:r>
      <w:r>
        <w:rPr>
          <w:rtl/>
        </w:rPr>
        <w:t xml:space="preserve"> </w:t>
      </w:r>
      <w:r w:rsidRPr="003073E4">
        <w:t>Open remix license</w:t>
      </w:r>
    </w:p>
  </w:footnote>
  <w:footnote w:id="2995">
    <w:p w14:paraId="76A3A12A" w14:textId="683B96DA" w:rsidR="00B47FF5" w:rsidRDefault="00B47FF5" w:rsidP="00537CC8">
      <w:pPr>
        <w:pStyle w:val="FootnoteText"/>
      </w:pPr>
      <w:r>
        <w:rPr>
          <w:rStyle w:val="FootnoteReference"/>
        </w:rPr>
        <w:footnoteRef/>
      </w:r>
      <w:r>
        <w:rPr>
          <w:rtl/>
        </w:rPr>
        <w:t xml:space="preserve"> </w:t>
      </w:r>
      <w:r w:rsidRPr="00D33983">
        <w:t>Crowd-benefiting business model</w:t>
      </w:r>
    </w:p>
  </w:footnote>
  <w:footnote w:id="2996">
    <w:p w14:paraId="7E6AB0A1" w14:textId="77777777" w:rsidR="00B47FF5" w:rsidRDefault="00B47FF5" w:rsidP="00537CC8">
      <w:pPr>
        <w:pStyle w:val="FootnoteText"/>
      </w:pPr>
      <w:r>
        <w:rPr>
          <w:rStyle w:val="FootnoteReference"/>
        </w:rPr>
        <w:footnoteRef/>
      </w:r>
      <w:r>
        <w:rPr>
          <w:rtl/>
        </w:rPr>
        <w:t xml:space="preserve"> </w:t>
      </w:r>
      <w:r w:rsidRPr="00826E0B">
        <w:t>Quora</w:t>
      </w:r>
    </w:p>
  </w:footnote>
  <w:footnote w:id="2997">
    <w:p w14:paraId="5E0711BD" w14:textId="77777777" w:rsidR="00B47FF5" w:rsidRDefault="00B47FF5" w:rsidP="00537CC8">
      <w:pPr>
        <w:pStyle w:val="FootnoteText"/>
      </w:pPr>
      <w:r>
        <w:rPr>
          <w:rStyle w:val="FootnoteReference"/>
        </w:rPr>
        <w:footnoteRef/>
      </w:r>
      <w:r>
        <w:rPr>
          <w:rtl/>
        </w:rPr>
        <w:t xml:space="preserve"> </w:t>
      </w:r>
      <w:r w:rsidRPr="00826E0B">
        <w:t>Medium</w:t>
      </w:r>
    </w:p>
  </w:footnote>
  <w:footnote w:id="2998">
    <w:p w14:paraId="5040663C" w14:textId="77777777" w:rsidR="00B47FF5" w:rsidRDefault="00B47FF5" w:rsidP="00537CC8">
      <w:pPr>
        <w:pStyle w:val="FootnoteText"/>
      </w:pPr>
      <w:r>
        <w:rPr>
          <w:rStyle w:val="FootnoteReference"/>
        </w:rPr>
        <w:footnoteRef/>
      </w:r>
      <w:r>
        <w:rPr>
          <w:rtl/>
        </w:rPr>
        <w:t xml:space="preserve"> </w:t>
      </w:r>
      <w:r w:rsidRPr="00826E0B">
        <w:t>Steemit</w:t>
      </w:r>
    </w:p>
  </w:footnote>
  <w:footnote w:id="2999">
    <w:p w14:paraId="519EFF30" w14:textId="77777777" w:rsidR="00B47FF5" w:rsidRDefault="00B47FF5" w:rsidP="00537CC8">
      <w:pPr>
        <w:pStyle w:val="FootnoteText"/>
      </w:pPr>
      <w:r>
        <w:rPr>
          <w:rStyle w:val="FootnoteReference"/>
        </w:rPr>
        <w:footnoteRef/>
      </w:r>
      <w:r>
        <w:rPr>
          <w:rtl/>
        </w:rPr>
        <w:t xml:space="preserve"> </w:t>
      </w:r>
      <w:r w:rsidRPr="00826E0B">
        <w:t>Google News</w:t>
      </w:r>
    </w:p>
  </w:footnote>
  <w:footnote w:id="3000">
    <w:p w14:paraId="5BB0A3C9" w14:textId="7EE71361" w:rsidR="00B47FF5" w:rsidRDefault="00B47FF5" w:rsidP="00537CC8">
      <w:pPr>
        <w:pStyle w:val="FootnoteText"/>
      </w:pPr>
      <w:r>
        <w:rPr>
          <w:rStyle w:val="FootnoteReference"/>
        </w:rPr>
        <w:footnoteRef/>
      </w:r>
      <w:r>
        <w:rPr>
          <w:rtl/>
        </w:rPr>
        <w:t xml:space="preserve"> </w:t>
      </w:r>
      <w:r w:rsidRPr="003D5221">
        <w:t>Contextual delivery</w:t>
      </w:r>
    </w:p>
  </w:footnote>
  <w:footnote w:id="3001">
    <w:p w14:paraId="22883D93" w14:textId="77777777" w:rsidR="00B47FF5" w:rsidRDefault="00B47FF5" w:rsidP="00537CC8">
      <w:pPr>
        <w:pStyle w:val="FootnoteText"/>
      </w:pPr>
      <w:r>
        <w:rPr>
          <w:rStyle w:val="FootnoteReference"/>
        </w:rPr>
        <w:footnoteRef/>
      </w:r>
      <w:r>
        <w:rPr>
          <w:rtl/>
        </w:rPr>
        <w:t xml:space="preserve"> </w:t>
      </w:r>
      <w:r w:rsidRPr="00826E0B">
        <w:t>Venessa Miemis, Alvis Brigis and John Smart</w:t>
      </w:r>
    </w:p>
  </w:footnote>
  <w:footnote w:id="3002">
    <w:p w14:paraId="5FAEE4ED" w14:textId="77777777" w:rsidR="00B47FF5" w:rsidRDefault="00B47FF5" w:rsidP="00537CC8">
      <w:pPr>
        <w:pStyle w:val="FootnoteText"/>
      </w:pPr>
      <w:r>
        <w:rPr>
          <w:rStyle w:val="FootnoteReference"/>
        </w:rPr>
        <w:footnoteRef/>
      </w:r>
      <w:r>
        <w:rPr>
          <w:rtl/>
        </w:rPr>
        <w:t xml:space="preserve"> </w:t>
      </w:r>
      <w:r w:rsidRPr="003D5221">
        <w:t>J. Futures Studies</w:t>
      </w:r>
    </w:p>
  </w:footnote>
  <w:footnote w:id="3003">
    <w:p w14:paraId="53913E99" w14:textId="77777777" w:rsidR="00B47FF5" w:rsidRDefault="00B47FF5" w:rsidP="00537CC8">
      <w:pPr>
        <w:pStyle w:val="FootnoteText"/>
      </w:pPr>
      <w:r>
        <w:rPr>
          <w:rStyle w:val="FootnoteReference"/>
        </w:rPr>
        <w:footnoteRef/>
      </w:r>
      <w:r>
        <w:rPr>
          <w:rtl/>
        </w:rPr>
        <w:t xml:space="preserve"> </w:t>
      </w:r>
      <w:r w:rsidRPr="003D5221">
        <w:t>Futurium</w:t>
      </w:r>
    </w:p>
  </w:footnote>
  <w:footnote w:id="3004">
    <w:p w14:paraId="061B6002" w14:textId="77777777" w:rsidR="00B47FF5" w:rsidRDefault="00B47FF5" w:rsidP="00537CC8">
      <w:pPr>
        <w:pStyle w:val="FootnoteText"/>
      </w:pPr>
      <w:r>
        <w:rPr>
          <w:rStyle w:val="FootnoteReference"/>
        </w:rPr>
        <w:footnoteRef/>
      </w:r>
      <w:r>
        <w:rPr>
          <w:rtl/>
        </w:rPr>
        <w:t xml:space="preserve"> </w:t>
      </w:r>
      <w:r w:rsidRPr="0054077C">
        <w:t>Center for Open Science</w:t>
      </w:r>
    </w:p>
  </w:footnote>
  <w:footnote w:id="3005">
    <w:p w14:paraId="633ED9D5" w14:textId="75BB1BD8" w:rsidR="00B47FF5" w:rsidRDefault="00B47FF5" w:rsidP="00537CC8">
      <w:pPr>
        <w:pStyle w:val="FootnoteText"/>
      </w:pPr>
      <w:r>
        <w:rPr>
          <w:rStyle w:val="FootnoteReference"/>
        </w:rPr>
        <w:footnoteRef/>
      </w:r>
      <w:r>
        <w:rPr>
          <w:rtl/>
        </w:rPr>
        <w:t xml:space="preserve"> </w:t>
      </w:r>
      <w:r w:rsidRPr="0054077C">
        <w:t>Reproducibility</w:t>
      </w:r>
    </w:p>
  </w:footnote>
  <w:footnote w:id="3006">
    <w:p w14:paraId="7D37A78D" w14:textId="6D16F79F" w:rsidR="00B47FF5" w:rsidRDefault="00B47FF5" w:rsidP="00537CC8">
      <w:pPr>
        <w:pStyle w:val="FootnoteText"/>
      </w:pPr>
      <w:r>
        <w:rPr>
          <w:rStyle w:val="FootnoteReference"/>
        </w:rPr>
        <w:footnoteRef/>
      </w:r>
      <w:r>
        <w:rPr>
          <w:rtl/>
        </w:rPr>
        <w:t xml:space="preserve"> </w:t>
      </w:r>
      <w:r w:rsidRPr="00A775FB">
        <w:t>Reagent</w:t>
      </w:r>
    </w:p>
  </w:footnote>
  <w:footnote w:id="3007">
    <w:p w14:paraId="5B23D0FF" w14:textId="51A69E4E" w:rsidR="00B47FF5" w:rsidRDefault="00B47FF5" w:rsidP="00537CC8">
      <w:pPr>
        <w:pStyle w:val="FootnoteText"/>
      </w:pPr>
      <w:r>
        <w:rPr>
          <w:rStyle w:val="FootnoteReference"/>
        </w:rPr>
        <w:footnoteRef/>
      </w:r>
      <w:r>
        <w:rPr>
          <w:rtl/>
        </w:rPr>
        <w:t xml:space="preserve"> </w:t>
      </w:r>
      <w:r w:rsidRPr="00A775FB">
        <w:t>Globalism</w:t>
      </w:r>
    </w:p>
  </w:footnote>
  <w:footnote w:id="3008">
    <w:p w14:paraId="08159B62" w14:textId="77777777" w:rsidR="00B47FF5" w:rsidRDefault="00B47FF5" w:rsidP="00537CC8">
      <w:pPr>
        <w:pStyle w:val="FootnoteText"/>
      </w:pPr>
      <w:r>
        <w:rPr>
          <w:rStyle w:val="FootnoteReference"/>
        </w:rPr>
        <w:footnoteRef/>
      </w:r>
      <w:r>
        <w:rPr>
          <w:rtl/>
        </w:rPr>
        <w:t xml:space="preserve"> </w:t>
      </w:r>
      <w:r w:rsidRPr="00826E0B">
        <w:t>Joseph Stiglitz</w:t>
      </w:r>
    </w:p>
  </w:footnote>
  <w:footnote w:id="3009">
    <w:p w14:paraId="3FF6C2C9" w14:textId="77777777" w:rsidR="00B47FF5" w:rsidRDefault="00B47FF5" w:rsidP="00537CC8">
      <w:pPr>
        <w:pStyle w:val="FootnoteText"/>
      </w:pPr>
      <w:r>
        <w:rPr>
          <w:rStyle w:val="FootnoteReference"/>
        </w:rPr>
        <w:footnoteRef/>
      </w:r>
      <w:r>
        <w:rPr>
          <w:rtl/>
        </w:rPr>
        <w:t xml:space="preserve"> </w:t>
      </w:r>
      <w:r w:rsidRPr="00707085">
        <w:t>Globalization and its Discontents</w:t>
      </w:r>
    </w:p>
  </w:footnote>
  <w:footnote w:id="3010">
    <w:p w14:paraId="789B7E18" w14:textId="77777777" w:rsidR="00B47FF5" w:rsidRDefault="00B47FF5" w:rsidP="00537CC8">
      <w:pPr>
        <w:pStyle w:val="FootnoteText"/>
      </w:pPr>
      <w:r>
        <w:rPr>
          <w:rStyle w:val="FootnoteReference"/>
        </w:rPr>
        <w:footnoteRef/>
      </w:r>
      <w:r>
        <w:rPr>
          <w:rtl/>
        </w:rPr>
        <w:t xml:space="preserve"> </w:t>
      </w:r>
      <w:r w:rsidRPr="0080225F">
        <w:t>Making Globalization</w:t>
      </w:r>
      <w:r>
        <w:t xml:space="preserve"> work</w:t>
      </w:r>
    </w:p>
  </w:footnote>
  <w:footnote w:id="3011">
    <w:p w14:paraId="00416033" w14:textId="77777777" w:rsidR="00B47FF5" w:rsidRDefault="00B47FF5" w:rsidP="00537CC8">
      <w:pPr>
        <w:pStyle w:val="FootnoteText"/>
      </w:pPr>
      <w:r>
        <w:rPr>
          <w:rStyle w:val="FootnoteReference"/>
        </w:rPr>
        <w:footnoteRef/>
      </w:r>
      <w:r>
        <w:rPr>
          <w:rtl/>
        </w:rPr>
        <w:t xml:space="preserve"> </w:t>
      </w:r>
      <w:r w:rsidRPr="00826E0B">
        <w:t>Charlie Hebdo</w:t>
      </w:r>
    </w:p>
  </w:footnote>
  <w:footnote w:id="3012">
    <w:p w14:paraId="67143335" w14:textId="77777777" w:rsidR="00B47FF5" w:rsidRDefault="00B47FF5" w:rsidP="00537CC8">
      <w:pPr>
        <w:pStyle w:val="FootnoteText"/>
      </w:pPr>
      <w:r>
        <w:rPr>
          <w:rStyle w:val="FootnoteReference"/>
        </w:rPr>
        <w:footnoteRef/>
      </w:r>
      <w:r>
        <w:rPr>
          <w:rtl/>
        </w:rPr>
        <w:t xml:space="preserve"> </w:t>
      </w:r>
      <w:r w:rsidRPr="00826E0B">
        <w:t>Boko Haram</w:t>
      </w:r>
    </w:p>
  </w:footnote>
  <w:footnote w:id="3013">
    <w:p w14:paraId="0CFD5851" w14:textId="77777777" w:rsidR="00B47FF5" w:rsidRDefault="00B47FF5" w:rsidP="00537CC8">
      <w:pPr>
        <w:pStyle w:val="FootnoteText"/>
      </w:pPr>
      <w:r>
        <w:rPr>
          <w:rStyle w:val="FootnoteReference"/>
        </w:rPr>
        <w:footnoteRef/>
      </w:r>
      <w:r>
        <w:rPr>
          <w:rtl/>
        </w:rPr>
        <w:t xml:space="preserve"> </w:t>
      </w:r>
      <w:r w:rsidRPr="00826E0B">
        <w:t>Baga massacre</w:t>
      </w:r>
    </w:p>
  </w:footnote>
  <w:footnote w:id="3014">
    <w:p w14:paraId="6E31D80A" w14:textId="77777777" w:rsidR="00B47FF5" w:rsidRDefault="00B47FF5" w:rsidP="00537CC8">
      <w:pPr>
        <w:pStyle w:val="FootnoteText"/>
      </w:pPr>
      <w:r>
        <w:rPr>
          <w:rStyle w:val="FootnoteReference"/>
        </w:rPr>
        <w:footnoteRef/>
      </w:r>
      <w:r>
        <w:rPr>
          <w:rtl/>
        </w:rPr>
        <w:t xml:space="preserve"> </w:t>
      </w:r>
      <w:r w:rsidRPr="00826E0B">
        <w:t>Avaaz</w:t>
      </w:r>
    </w:p>
  </w:footnote>
  <w:footnote w:id="3015">
    <w:p w14:paraId="0939F5D1" w14:textId="77777777" w:rsidR="00B47FF5" w:rsidRDefault="00B47FF5" w:rsidP="00537CC8">
      <w:pPr>
        <w:pStyle w:val="FootnoteText"/>
      </w:pPr>
      <w:r>
        <w:rPr>
          <w:rStyle w:val="FootnoteReference"/>
        </w:rPr>
        <w:footnoteRef/>
      </w:r>
      <w:r>
        <w:rPr>
          <w:rtl/>
        </w:rPr>
        <w:t xml:space="preserve"> </w:t>
      </w:r>
      <w:r w:rsidRPr="00673DCE">
        <w:t>Countable</w:t>
      </w:r>
    </w:p>
  </w:footnote>
  <w:footnote w:id="3016">
    <w:p w14:paraId="0F9801E9" w14:textId="77777777" w:rsidR="00B47FF5" w:rsidRDefault="00B47FF5" w:rsidP="00537CC8">
      <w:pPr>
        <w:pStyle w:val="FootnoteText"/>
      </w:pPr>
      <w:r>
        <w:rPr>
          <w:rStyle w:val="FootnoteReference"/>
        </w:rPr>
        <w:footnoteRef/>
      </w:r>
      <w:r>
        <w:rPr>
          <w:rtl/>
        </w:rPr>
        <w:t xml:space="preserve"> </w:t>
      </w:r>
      <w:r w:rsidRPr="00673DCE">
        <w:t>Groupnets</w:t>
      </w:r>
    </w:p>
  </w:footnote>
  <w:footnote w:id="3017">
    <w:p w14:paraId="558DF6D9" w14:textId="77777777" w:rsidR="00B47FF5" w:rsidRDefault="00B47FF5" w:rsidP="00537CC8">
      <w:pPr>
        <w:pStyle w:val="FootnoteText"/>
      </w:pPr>
      <w:r>
        <w:rPr>
          <w:rStyle w:val="FootnoteReference"/>
        </w:rPr>
        <w:footnoteRef/>
      </w:r>
      <w:r>
        <w:rPr>
          <w:rtl/>
        </w:rPr>
        <w:t xml:space="preserve"> </w:t>
      </w:r>
      <w:r w:rsidRPr="0041122D">
        <w:t>Shadow Statistics</w:t>
      </w:r>
    </w:p>
  </w:footnote>
  <w:footnote w:id="3018">
    <w:p w14:paraId="4243CD4E" w14:textId="178764CF" w:rsidR="00B47FF5" w:rsidRDefault="00B47FF5" w:rsidP="00537CC8">
      <w:pPr>
        <w:pStyle w:val="FootnoteText"/>
      </w:pPr>
      <w:r>
        <w:rPr>
          <w:rStyle w:val="FootnoteReference"/>
        </w:rPr>
        <w:footnoteRef/>
      </w:r>
      <w:r>
        <w:rPr>
          <w:rtl/>
        </w:rPr>
        <w:t xml:space="preserve"> </w:t>
      </w:r>
      <w:r w:rsidRPr="0041122D">
        <w:t>Universal basic income</w:t>
      </w:r>
    </w:p>
  </w:footnote>
  <w:footnote w:id="3019">
    <w:p w14:paraId="3E280772" w14:textId="77777777" w:rsidR="00B47FF5" w:rsidRDefault="00B47FF5" w:rsidP="00537CC8">
      <w:pPr>
        <w:pStyle w:val="FootnoteText"/>
      </w:pPr>
      <w:r>
        <w:rPr>
          <w:rStyle w:val="FootnoteReference"/>
        </w:rPr>
        <w:footnoteRef/>
      </w:r>
      <w:r>
        <w:rPr>
          <w:rtl/>
        </w:rPr>
        <w:t xml:space="preserve"> </w:t>
      </w:r>
      <w:r w:rsidRPr="0041122D">
        <w:t>Mincome experiment</w:t>
      </w:r>
    </w:p>
  </w:footnote>
  <w:footnote w:id="3020">
    <w:p w14:paraId="20B27FA6" w14:textId="77777777" w:rsidR="00B47FF5" w:rsidRDefault="00B47FF5" w:rsidP="00537CC8">
      <w:pPr>
        <w:pStyle w:val="FootnoteText"/>
      </w:pPr>
      <w:r>
        <w:rPr>
          <w:rStyle w:val="FootnoteReference"/>
        </w:rPr>
        <w:footnoteRef/>
      </w:r>
      <w:r>
        <w:rPr>
          <w:rtl/>
        </w:rPr>
        <w:t xml:space="preserve"> </w:t>
      </w:r>
      <w:r w:rsidRPr="0041122D">
        <w:t>Namibia</w:t>
      </w:r>
    </w:p>
  </w:footnote>
  <w:footnote w:id="3021">
    <w:p w14:paraId="7AD7D7F8" w14:textId="77777777" w:rsidR="00B47FF5" w:rsidRDefault="00B47FF5" w:rsidP="00537CC8">
      <w:pPr>
        <w:pStyle w:val="FootnoteText"/>
      </w:pPr>
      <w:r>
        <w:rPr>
          <w:rStyle w:val="FootnoteReference"/>
        </w:rPr>
        <w:footnoteRef/>
      </w:r>
      <w:r>
        <w:rPr>
          <w:rtl/>
        </w:rPr>
        <w:t xml:space="preserve"> </w:t>
      </w:r>
      <w:r w:rsidRPr="00673DCE">
        <w:t>Ycombinator</w:t>
      </w:r>
    </w:p>
  </w:footnote>
  <w:footnote w:id="3022">
    <w:p w14:paraId="45854F09" w14:textId="77777777" w:rsidR="00B47FF5" w:rsidRDefault="00B47FF5" w:rsidP="00537CC8">
      <w:pPr>
        <w:pStyle w:val="FootnoteText"/>
      </w:pPr>
      <w:r>
        <w:rPr>
          <w:rStyle w:val="FootnoteReference"/>
        </w:rPr>
        <w:footnoteRef/>
      </w:r>
      <w:r>
        <w:rPr>
          <w:rtl/>
        </w:rPr>
        <w:t xml:space="preserve"> </w:t>
      </w:r>
      <w:r w:rsidRPr="00673DCE">
        <w:t>Flexicurity</w:t>
      </w:r>
    </w:p>
  </w:footnote>
  <w:footnote w:id="3023">
    <w:p w14:paraId="2635F58C" w14:textId="77777777" w:rsidR="00B47FF5" w:rsidRDefault="00B47FF5" w:rsidP="00537CC8">
      <w:pPr>
        <w:pStyle w:val="FootnoteText"/>
      </w:pPr>
      <w:r>
        <w:rPr>
          <w:rStyle w:val="FootnoteReference"/>
        </w:rPr>
        <w:footnoteRef/>
      </w:r>
      <w:r>
        <w:rPr>
          <w:rtl/>
        </w:rPr>
        <w:t xml:space="preserve"> </w:t>
      </w:r>
      <w:r w:rsidRPr="00673DCE">
        <w:t>Lyndon Johnson</w:t>
      </w:r>
    </w:p>
  </w:footnote>
  <w:footnote w:id="3024">
    <w:p w14:paraId="7F19B733" w14:textId="01438AA3" w:rsidR="00B47FF5" w:rsidRDefault="00B47FF5" w:rsidP="00537CC8">
      <w:pPr>
        <w:pStyle w:val="FootnoteText"/>
      </w:pPr>
      <w:r>
        <w:rPr>
          <w:rStyle w:val="FootnoteReference"/>
        </w:rPr>
        <w:footnoteRef/>
      </w:r>
      <w:r>
        <w:rPr>
          <w:rtl/>
        </w:rPr>
        <w:t xml:space="preserve"> </w:t>
      </w:r>
      <w:r w:rsidRPr="00476589">
        <w:t>Moonshot</w:t>
      </w:r>
    </w:p>
  </w:footnote>
  <w:footnote w:id="3025">
    <w:p w14:paraId="38625C2B" w14:textId="7A9F46D4" w:rsidR="00186393" w:rsidRDefault="00186393">
      <w:pPr>
        <w:pStyle w:val="FootnoteText"/>
        <w:rPr>
          <w:rtl/>
        </w:rPr>
      </w:pPr>
      <w:r>
        <w:rPr>
          <w:rStyle w:val="FootnoteReference"/>
        </w:rPr>
        <w:footnoteRef/>
      </w:r>
      <w:r>
        <w:t xml:space="preserve"> </w:t>
      </w:r>
      <w:r w:rsidRPr="00537CC8">
        <w:t>Lay</w:t>
      </w:r>
    </w:p>
  </w:footnote>
  <w:footnote w:id="3026">
    <w:p w14:paraId="18961A56" w14:textId="77777777" w:rsidR="00B47FF5" w:rsidRDefault="00B47FF5" w:rsidP="00537CC8">
      <w:pPr>
        <w:pStyle w:val="FootnoteText"/>
      </w:pPr>
      <w:r>
        <w:rPr>
          <w:rStyle w:val="FootnoteReference"/>
        </w:rPr>
        <w:footnoteRef/>
      </w:r>
      <w:r>
        <w:rPr>
          <w:rtl/>
        </w:rPr>
        <w:t xml:space="preserve"> </w:t>
      </w:r>
      <w:r w:rsidRPr="00476589">
        <w:t>Omni</w:t>
      </w:r>
    </w:p>
  </w:footnote>
  <w:footnote w:id="3027">
    <w:p w14:paraId="517D23FE" w14:textId="77777777" w:rsidR="00B47FF5" w:rsidRDefault="00B47FF5" w:rsidP="00537CC8">
      <w:pPr>
        <w:pStyle w:val="FootnoteText"/>
      </w:pPr>
      <w:r>
        <w:rPr>
          <w:rStyle w:val="FootnoteReference"/>
        </w:rPr>
        <w:footnoteRef/>
      </w:r>
      <w:r>
        <w:rPr>
          <w:rtl/>
        </w:rPr>
        <w:t xml:space="preserve"> </w:t>
      </w:r>
      <w:r w:rsidRPr="00476589">
        <w:t>Wired</w:t>
      </w:r>
    </w:p>
  </w:footnote>
  <w:footnote w:id="3028">
    <w:p w14:paraId="48DA9D71" w14:textId="77777777" w:rsidR="00B47FF5" w:rsidRDefault="00B47FF5" w:rsidP="00537CC8">
      <w:pPr>
        <w:pStyle w:val="FootnoteText"/>
      </w:pPr>
      <w:r>
        <w:rPr>
          <w:rStyle w:val="FootnoteReference"/>
        </w:rPr>
        <w:footnoteRef/>
      </w:r>
      <w:r>
        <w:rPr>
          <w:rtl/>
        </w:rPr>
        <w:t xml:space="preserve"> </w:t>
      </w:r>
      <w:r w:rsidRPr="00476589">
        <w:t>The Futurist</w:t>
      </w:r>
    </w:p>
  </w:footnote>
  <w:footnote w:id="3029">
    <w:p w14:paraId="05D6CD8C" w14:textId="77777777" w:rsidR="00B47FF5" w:rsidRDefault="00B47FF5" w:rsidP="00537CC8">
      <w:pPr>
        <w:pStyle w:val="FootnoteText"/>
      </w:pPr>
      <w:r>
        <w:rPr>
          <w:rStyle w:val="FootnoteReference"/>
        </w:rPr>
        <w:footnoteRef/>
      </w:r>
      <w:r>
        <w:rPr>
          <w:rtl/>
        </w:rPr>
        <w:t xml:space="preserve"> </w:t>
      </w:r>
      <w:r w:rsidRPr="00707085">
        <w:t>Minority Report</w:t>
      </w:r>
    </w:p>
  </w:footnote>
  <w:footnote w:id="3030">
    <w:p w14:paraId="1C983101" w14:textId="77777777" w:rsidR="00B47FF5" w:rsidRDefault="00B47FF5" w:rsidP="00537CC8">
      <w:pPr>
        <w:pStyle w:val="FootnoteText"/>
      </w:pPr>
      <w:r>
        <w:rPr>
          <w:rStyle w:val="FootnoteReference"/>
        </w:rPr>
        <w:footnoteRef/>
      </w:r>
      <w:r>
        <w:rPr>
          <w:rtl/>
        </w:rPr>
        <w:t xml:space="preserve"> </w:t>
      </w:r>
      <w:r w:rsidRPr="00476589">
        <w:t>Steven Spielberg</w:t>
      </w:r>
    </w:p>
  </w:footnote>
  <w:footnote w:id="3031">
    <w:p w14:paraId="159CAF3C" w14:textId="77777777" w:rsidR="00B47FF5" w:rsidRDefault="00B47FF5" w:rsidP="00537CC8">
      <w:pPr>
        <w:pStyle w:val="FootnoteText"/>
      </w:pPr>
      <w:r>
        <w:rPr>
          <w:rStyle w:val="FootnoteReference"/>
        </w:rPr>
        <w:footnoteRef/>
      </w:r>
      <w:r>
        <w:rPr>
          <w:rtl/>
        </w:rPr>
        <w:t xml:space="preserve"> </w:t>
      </w:r>
      <w:r w:rsidRPr="00707085">
        <w:t>Close Encounters, Jurassic Park, A.I., Ready Player One</w:t>
      </w:r>
    </w:p>
  </w:footnote>
  <w:footnote w:id="3032">
    <w:p w14:paraId="36FB494B" w14:textId="4AA0D9BC" w:rsidR="00B47FF5" w:rsidRDefault="00B47FF5" w:rsidP="00537CC8">
      <w:pPr>
        <w:pStyle w:val="FootnoteText"/>
      </w:pPr>
      <w:r>
        <w:rPr>
          <w:rStyle w:val="FootnoteReference"/>
        </w:rPr>
        <w:footnoteRef/>
      </w:r>
      <w:r>
        <w:rPr>
          <w:rtl/>
        </w:rPr>
        <w:t xml:space="preserve"> </w:t>
      </w:r>
      <w:r w:rsidRPr="008438E9">
        <w:t>Synthetic biology</w:t>
      </w:r>
    </w:p>
  </w:footnote>
  <w:footnote w:id="3033">
    <w:p w14:paraId="61379A6F" w14:textId="77777777" w:rsidR="00B47FF5" w:rsidRDefault="00B47FF5" w:rsidP="00537CC8">
      <w:pPr>
        <w:pStyle w:val="FootnoteText"/>
      </w:pPr>
      <w:r>
        <w:rPr>
          <w:rStyle w:val="FootnoteReference"/>
        </w:rPr>
        <w:footnoteRef/>
      </w:r>
      <w:r>
        <w:rPr>
          <w:rtl/>
        </w:rPr>
        <w:t xml:space="preserve"> </w:t>
      </w:r>
      <w:r w:rsidRPr="00F343F4">
        <w:t>Big Picture foresight</w:t>
      </w:r>
    </w:p>
  </w:footnote>
  <w:footnote w:id="3034">
    <w:p w14:paraId="2D2C8C83" w14:textId="77777777" w:rsidR="00B47FF5" w:rsidRDefault="00B47FF5" w:rsidP="00537CC8">
      <w:pPr>
        <w:pStyle w:val="FootnoteText"/>
      </w:pPr>
      <w:r>
        <w:rPr>
          <w:rStyle w:val="FootnoteReference"/>
        </w:rPr>
        <w:footnoteRef/>
      </w:r>
      <w:r>
        <w:rPr>
          <w:rtl/>
        </w:rPr>
        <w:t xml:space="preserve"> </w:t>
      </w:r>
      <w:r w:rsidRPr="00476589">
        <w:t>Kevin Kelly</w:t>
      </w:r>
    </w:p>
  </w:footnote>
  <w:footnote w:id="3035">
    <w:p w14:paraId="21173E8E" w14:textId="77777777" w:rsidR="00B47FF5" w:rsidRDefault="00B47FF5" w:rsidP="00537CC8">
      <w:pPr>
        <w:pStyle w:val="FootnoteText"/>
      </w:pPr>
      <w:r>
        <w:rPr>
          <w:rStyle w:val="FootnoteReference"/>
        </w:rPr>
        <w:footnoteRef/>
      </w:r>
      <w:r>
        <w:rPr>
          <w:rtl/>
        </w:rPr>
        <w:t xml:space="preserve"> </w:t>
      </w:r>
      <w:r w:rsidRPr="00F12385">
        <w:t>What Technology Wants</w:t>
      </w:r>
    </w:p>
  </w:footnote>
  <w:footnote w:id="3036">
    <w:p w14:paraId="13C79392" w14:textId="77777777" w:rsidR="00B47FF5" w:rsidRDefault="00B47FF5" w:rsidP="00537CC8">
      <w:pPr>
        <w:pStyle w:val="FootnoteText"/>
      </w:pPr>
      <w:r>
        <w:rPr>
          <w:rStyle w:val="FootnoteReference"/>
        </w:rPr>
        <w:footnoteRef/>
      </w:r>
      <w:r>
        <w:rPr>
          <w:rtl/>
        </w:rPr>
        <w:t xml:space="preserve"> </w:t>
      </w:r>
      <w:r w:rsidRPr="004248AA">
        <w:t>Human-Machine Superorganism</w:t>
      </w:r>
    </w:p>
  </w:footnote>
  <w:footnote w:id="3037">
    <w:p w14:paraId="6A75148A" w14:textId="77777777" w:rsidR="00B47FF5" w:rsidRDefault="00B47FF5" w:rsidP="00537CC8">
      <w:pPr>
        <w:pStyle w:val="FootnoteText"/>
      </w:pPr>
      <w:r>
        <w:rPr>
          <w:rStyle w:val="FootnoteReference"/>
        </w:rPr>
        <w:footnoteRef/>
      </w:r>
      <w:r>
        <w:rPr>
          <w:rtl/>
        </w:rPr>
        <w:t xml:space="preserve"> </w:t>
      </w:r>
      <w:r w:rsidRPr="004248AA">
        <w:t>Global Brain</w:t>
      </w:r>
    </w:p>
  </w:footnote>
  <w:footnote w:id="3038">
    <w:p w14:paraId="28A1DD6F" w14:textId="77777777" w:rsidR="00B47FF5" w:rsidRDefault="00B47FF5" w:rsidP="00537CC8">
      <w:pPr>
        <w:pStyle w:val="FootnoteText"/>
      </w:pPr>
      <w:r>
        <w:rPr>
          <w:rStyle w:val="FootnoteReference"/>
        </w:rPr>
        <w:footnoteRef/>
      </w:r>
      <w:r>
        <w:rPr>
          <w:rtl/>
        </w:rPr>
        <w:t xml:space="preserve"> </w:t>
      </w:r>
      <w:r w:rsidRPr="00476589">
        <w:t>Clement Vidal</w:t>
      </w:r>
    </w:p>
  </w:footnote>
  <w:footnote w:id="3039">
    <w:p w14:paraId="64B8A2FE" w14:textId="77777777" w:rsidR="00B47FF5" w:rsidRDefault="00B47FF5" w:rsidP="00537CC8">
      <w:pPr>
        <w:pStyle w:val="FootnoteText"/>
      </w:pPr>
      <w:r>
        <w:rPr>
          <w:rStyle w:val="FootnoteReference"/>
        </w:rPr>
        <w:footnoteRef/>
      </w:r>
      <w:r>
        <w:rPr>
          <w:rtl/>
        </w:rPr>
        <w:t xml:space="preserve"> </w:t>
      </w:r>
      <w:r w:rsidRPr="00955506">
        <w:t>Our Common Future</w:t>
      </w:r>
    </w:p>
  </w:footnote>
  <w:footnote w:id="3040">
    <w:p w14:paraId="1A51E8E8" w14:textId="77777777" w:rsidR="00B47FF5" w:rsidRDefault="00B47FF5" w:rsidP="00537CC8">
      <w:pPr>
        <w:pStyle w:val="FootnoteText"/>
      </w:pPr>
      <w:r>
        <w:rPr>
          <w:rStyle w:val="FootnoteReference"/>
        </w:rPr>
        <w:footnoteRef/>
      </w:r>
      <w:r>
        <w:rPr>
          <w:rtl/>
        </w:rPr>
        <w:t xml:space="preserve"> </w:t>
      </w:r>
      <w:r w:rsidRPr="00476589">
        <w:t>Gro Brundtland</w:t>
      </w:r>
    </w:p>
  </w:footnote>
  <w:footnote w:id="3041">
    <w:p w14:paraId="5360BEB5" w14:textId="77777777" w:rsidR="00B47FF5" w:rsidRDefault="00B47FF5" w:rsidP="00537CC8">
      <w:pPr>
        <w:pStyle w:val="FootnoteText"/>
      </w:pPr>
      <w:r>
        <w:rPr>
          <w:rStyle w:val="FootnoteReference"/>
        </w:rPr>
        <w:footnoteRef/>
      </w:r>
      <w:r>
        <w:rPr>
          <w:rtl/>
        </w:rPr>
        <w:t xml:space="preserve"> </w:t>
      </w:r>
      <w:r w:rsidRPr="00476589">
        <w:t>Max More</w:t>
      </w:r>
    </w:p>
  </w:footnote>
  <w:footnote w:id="3042">
    <w:p w14:paraId="418108F6" w14:textId="77777777" w:rsidR="00B47FF5" w:rsidRDefault="00B47FF5" w:rsidP="00537CC8">
      <w:pPr>
        <w:pStyle w:val="FootnoteText"/>
      </w:pPr>
      <w:r>
        <w:rPr>
          <w:rStyle w:val="FootnoteReference"/>
        </w:rPr>
        <w:footnoteRef/>
      </w:r>
      <w:r>
        <w:rPr>
          <w:rtl/>
        </w:rPr>
        <w:t xml:space="preserve"> </w:t>
      </w:r>
      <w:r w:rsidRPr="00AA3454">
        <w:t>Acceleration Studies Foundation</w:t>
      </w:r>
    </w:p>
  </w:footnote>
  <w:footnote w:id="3043">
    <w:p w14:paraId="0E418BBA" w14:textId="77777777" w:rsidR="00B47FF5" w:rsidRDefault="00B47FF5" w:rsidP="00537CC8">
      <w:pPr>
        <w:pStyle w:val="FootnoteText"/>
      </w:pPr>
      <w:r>
        <w:rPr>
          <w:rStyle w:val="FootnoteReference"/>
        </w:rPr>
        <w:footnoteRef/>
      </w:r>
      <w:r>
        <w:rPr>
          <w:rtl/>
        </w:rPr>
        <w:t xml:space="preserve"> </w:t>
      </w:r>
      <w:r w:rsidRPr="00476589">
        <w:t>Michelle Bowman</w:t>
      </w:r>
    </w:p>
  </w:footnote>
  <w:footnote w:id="3044">
    <w:p w14:paraId="039A278E" w14:textId="4DD44114" w:rsidR="00B47FF5" w:rsidRDefault="00B47FF5" w:rsidP="00537CC8">
      <w:pPr>
        <w:pStyle w:val="FootnoteText"/>
      </w:pPr>
      <w:r>
        <w:rPr>
          <w:rStyle w:val="FootnoteReference"/>
        </w:rPr>
        <w:footnoteRef/>
      </w:r>
      <w:r>
        <w:rPr>
          <w:rtl/>
        </w:rPr>
        <w:t xml:space="preserve"> </w:t>
      </w:r>
      <w:r w:rsidRPr="002C35B9">
        <w:t>Crowd-owned digital currency</w:t>
      </w:r>
    </w:p>
  </w:footnote>
  <w:footnote w:id="3045">
    <w:p w14:paraId="4BEC22EA" w14:textId="77777777" w:rsidR="00B47FF5" w:rsidRDefault="00B47FF5" w:rsidP="00537CC8">
      <w:pPr>
        <w:pStyle w:val="FootnoteText"/>
      </w:pPr>
      <w:r>
        <w:rPr>
          <w:rStyle w:val="FootnoteReference"/>
        </w:rPr>
        <w:footnoteRef/>
      </w:r>
      <w:r>
        <w:rPr>
          <w:rtl/>
        </w:rPr>
        <w:t xml:space="preserve"> </w:t>
      </w:r>
      <w:r w:rsidRPr="00E376FE">
        <w:t>MindTime</w:t>
      </w:r>
    </w:p>
  </w:footnote>
  <w:footnote w:id="3046">
    <w:p w14:paraId="3D044AEB" w14:textId="77777777" w:rsidR="00B47FF5" w:rsidRDefault="00B47FF5" w:rsidP="00537CC8">
      <w:pPr>
        <w:pStyle w:val="FootnoteText"/>
      </w:pPr>
      <w:r>
        <w:rPr>
          <w:rStyle w:val="FootnoteReference"/>
        </w:rPr>
        <w:footnoteRef/>
      </w:r>
      <w:r>
        <w:rPr>
          <w:rtl/>
        </w:rPr>
        <w:t xml:space="preserve"> </w:t>
      </w:r>
      <w:r w:rsidRPr="00F84A01">
        <w:t>Observe=Review</w:t>
      </w:r>
      <w:r>
        <w:t xml:space="preserve">; </w:t>
      </w:r>
      <w:r w:rsidRPr="00F84A01">
        <w:t>Orient=Learning; Decide=Foresight; Act=Action</w:t>
      </w:r>
    </w:p>
  </w:footnote>
  <w:footnote w:id="3047">
    <w:p w14:paraId="68BAE007" w14:textId="17314C8E" w:rsidR="00B47FF5" w:rsidRDefault="00B47FF5" w:rsidP="00537CC8">
      <w:pPr>
        <w:pStyle w:val="FootnoteText"/>
      </w:pPr>
      <w:r>
        <w:rPr>
          <w:rStyle w:val="FootnoteReference"/>
        </w:rPr>
        <w:footnoteRef/>
      </w:r>
      <w:r>
        <w:rPr>
          <w:rtl/>
        </w:rPr>
        <w:t xml:space="preserve"> </w:t>
      </w:r>
      <w:r w:rsidRPr="00D74065">
        <w:t>One-to-many</w:t>
      </w:r>
    </w:p>
  </w:footnote>
  <w:footnote w:id="3048">
    <w:p w14:paraId="64315165" w14:textId="77777777" w:rsidR="00B47FF5" w:rsidRDefault="00B47FF5" w:rsidP="00537CC8">
      <w:pPr>
        <w:pStyle w:val="FootnoteText"/>
      </w:pPr>
      <w:r>
        <w:rPr>
          <w:rStyle w:val="FootnoteReference"/>
        </w:rPr>
        <w:footnoteRef/>
      </w:r>
      <w:r>
        <w:rPr>
          <w:rtl/>
        </w:rPr>
        <w:t xml:space="preserve"> </w:t>
      </w:r>
      <w:r w:rsidRPr="00476589">
        <w:t>StrengthsFinder</w:t>
      </w:r>
    </w:p>
  </w:footnote>
  <w:footnote w:id="3049">
    <w:p w14:paraId="530C7C43" w14:textId="77777777" w:rsidR="00B47FF5" w:rsidRDefault="00B47FF5" w:rsidP="00537CC8">
      <w:pPr>
        <w:pStyle w:val="FootnoteText"/>
      </w:pPr>
      <w:r>
        <w:rPr>
          <w:rStyle w:val="FootnoteReference"/>
        </w:rPr>
        <w:footnoteRef/>
      </w:r>
      <w:r>
        <w:rPr>
          <w:rtl/>
        </w:rPr>
        <w:t xml:space="preserve"> </w:t>
      </w:r>
      <w:r w:rsidRPr="00476589">
        <w:t>Don Clifton</w:t>
      </w:r>
    </w:p>
  </w:footnote>
  <w:footnote w:id="3050">
    <w:p w14:paraId="2107F7C0" w14:textId="77777777" w:rsidR="00B47FF5" w:rsidRDefault="00B47FF5" w:rsidP="00537CC8">
      <w:pPr>
        <w:pStyle w:val="FootnoteText"/>
      </w:pPr>
      <w:r>
        <w:rPr>
          <w:rStyle w:val="FootnoteReference"/>
        </w:rPr>
        <w:footnoteRef/>
      </w:r>
      <w:r>
        <w:rPr>
          <w:rtl/>
        </w:rPr>
        <w:t xml:space="preserve"> </w:t>
      </w:r>
      <w:r w:rsidRPr="00476589">
        <w:t>CliftonStrengths 34</w:t>
      </w:r>
    </w:p>
  </w:footnote>
  <w:footnote w:id="3051">
    <w:p w14:paraId="49B83952" w14:textId="77777777" w:rsidR="00B47FF5" w:rsidRDefault="00B47FF5" w:rsidP="00537CC8">
      <w:pPr>
        <w:pStyle w:val="FootnoteText"/>
      </w:pPr>
      <w:r>
        <w:rPr>
          <w:rStyle w:val="FootnoteReference"/>
        </w:rPr>
        <w:footnoteRef/>
      </w:r>
      <w:r>
        <w:rPr>
          <w:rtl/>
        </w:rPr>
        <w:t xml:space="preserve"> </w:t>
      </w:r>
      <w:r w:rsidRPr="003F217C">
        <w:t>Strengths</w:t>
      </w:r>
      <w:r>
        <w:t>-</w:t>
      </w:r>
      <w:r w:rsidRPr="003F217C">
        <w:t xml:space="preserve"> Based Leadership</w:t>
      </w:r>
    </w:p>
  </w:footnote>
  <w:footnote w:id="3052">
    <w:p w14:paraId="3B7BDDF3" w14:textId="77777777" w:rsidR="00B47FF5" w:rsidRDefault="00B47FF5" w:rsidP="00537CC8">
      <w:pPr>
        <w:pStyle w:val="FootnoteText"/>
      </w:pPr>
      <w:r>
        <w:rPr>
          <w:rStyle w:val="FootnoteReference"/>
        </w:rPr>
        <w:footnoteRef/>
      </w:r>
      <w:r>
        <w:rPr>
          <w:rtl/>
        </w:rPr>
        <w:t xml:space="preserve"> </w:t>
      </w:r>
      <w:r w:rsidRPr="00476589">
        <w:t>Rath and Conchie</w:t>
      </w:r>
    </w:p>
  </w:footnote>
  <w:footnote w:id="3053">
    <w:p w14:paraId="3816B621" w14:textId="77777777" w:rsidR="00B47FF5" w:rsidRDefault="00B47FF5" w:rsidP="00537CC8">
      <w:pPr>
        <w:pStyle w:val="FootnoteText"/>
      </w:pPr>
      <w:r>
        <w:rPr>
          <w:rStyle w:val="FootnoteReference"/>
        </w:rPr>
        <w:footnoteRef/>
      </w:r>
      <w:r>
        <w:rPr>
          <w:rtl/>
        </w:rPr>
        <w:t xml:space="preserve"> </w:t>
      </w:r>
      <w:r w:rsidRPr="00347CDB">
        <w:t>Businessweek</w:t>
      </w:r>
    </w:p>
  </w:footnote>
  <w:footnote w:id="3054">
    <w:p w14:paraId="5A55D2C0" w14:textId="77777777" w:rsidR="00B47FF5" w:rsidRDefault="00B47FF5" w:rsidP="00537CC8">
      <w:pPr>
        <w:pStyle w:val="FootnoteText"/>
      </w:pPr>
      <w:r>
        <w:rPr>
          <w:rStyle w:val="FootnoteReference"/>
        </w:rPr>
        <w:footnoteRef/>
      </w:r>
      <w:r>
        <w:rPr>
          <w:rtl/>
        </w:rPr>
        <w:t xml:space="preserve"> </w:t>
      </w:r>
      <w:r w:rsidRPr="00347CDB">
        <w:t>Fast Company</w:t>
      </w:r>
    </w:p>
  </w:footnote>
  <w:footnote w:id="3055">
    <w:p w14:paraId="2982E386" w14:textId="77777777" w:rsidR="00B47FF5" w:rsidRDefault="00B47FF5" w:rsidP="00537CC8">
      <w:pPr>
        <w:pStyle w:val="FootnoteText"/>
      </w:pPr>
      <w:r>
        <w:rPr>
          <w:rStyle w:val="FootnoteReference"/>
        </w:rPr>
        <w:footnoteRef/>
      </w:r>
      <w:r>
        <w:rPr>
          <w:rtl/>
        </w:rPr>
        <w:t xml:space="preserve"> </w:t>
      </w:r>
      <w:r w:rsidRPr="00347CDB">
        <w:t>Forbes</w:t>
      </w:r>
    </w:p>
  </w:footnote>
  <w:footnote w:id="3056">
    <w:p w14:paraId="1D5F4201" w14:textId="77777777" w:rsidR="00B47FF5" w:rsidRDefault="00B47FF5" w:rsidP="00537CC8">
      <w:pPr>
        <w:pStyle w:val="FootnoteText"/>
      </w:pPr>
      <w:r>
        <w:rPr>
          <w:rStyle w:val="FootnoteReference"/>
        </w:rPr>
        <w:footnoteRef/>
      </w:r>
      <w:r>
        <w:rPr>
          <w:rtl/>
        </w:rPr>
        <w:t xml:space="preserve"> </w:t>
      </w:r>
      <w:r w:rsidRPr="00347CDB">
        <w:t>MIT Technology Review</w:t>
      </w:r>
    </w:p>
  </w:footnote>
  <w:footnote w:id="3057">
    <w:p w14:paraId="6A73EE49" w14:textId="5101103D" w:rsidR="00B47FF5" w:rsidRDefault="00B47FF5" w:rsidP="00537CC8">
      <w:pPr>
        <w:pStyle w:val="FootnoteText"/>
      </w:pPr>
      <w:r>
        <w:rPr>
          <w:rStyle w:val="FootnoteReference"/>
        </w:rPr>
        <w:footnoteRef/>
      </w:r>
      <w:r>
        <w:rPr>
          <w:rtl/>
        </w:rPr>
        <w:t xml:space="preserve"> </w:t>
      </w:r>
      <w:r w:rsidRPr="00BA68C6">
        <w:t>Accent on the future</w:t>
      </w:r>
    </w:p>
  </w:footnote>
  <w:footnote w:id="3058">
    <w:p w14:paraId="7C89631F" w14:textId="77777777" w:rsidR="00B47FF5" w:rsidRDefault="00B47FF5" w:rsidP="00537CC8">
      <w:pPr>
        <w:pStyle w:val="FootnoteText"/>
      </w:pPr>
      <w:r>
        <w:rPr>
          <w:rStyle w:val="FootnoteReference"/>
        </w:rPr>
        <w:footnoteRef/>
      </w:r>
      <w:r>
        <w:rPr>
          <w:rtl/>
        </w:rPr>
        <w:t xml:space="preserve"> </w:t>
      </w:r>
      <w:r w:rsidRPr="00BA68C6">
        <w:t>Richard Fletcher</w:t>
      </w:r>
    </w:p>
  </w:footnote>
  <w:footnote w:id="3059">
    <w:p w14:paraId="3DAC9F16" w14:textId="77777777" w:rsidR="00B47FF5" w:rsidRDefault="00B47FF5" w:rsidP="00537CC8">
      <w:pPr>
        <w:pStyle w:val="FootnoteText"/>
      </w:pPr>
      <w:r>
        <w:rPr>
          <w:rStyle w:val="FootnoteReference"/>
        </w:rPr>
        <w:footnoteRef/>
      </w:r>
      <w:r>
        <w:rPr>
          <w:rtl/>
        </w:rPr>
        <w:t xml:space="preserve"> </w:t>
      </w:r>
      <w:r w:rsidRPr="00BA68C6">
        <w:t>Marakon</w:t>
      </w:r>
    </w:p>
  </w:footnote>
  <w:footnote w:id="3060">
    <w:p w14:paraId="225FEE87" w14:textId="77777777" w:rsidR="00B47FF5" w:rsidRDefault="00B47FF5" w:rsidP="00537CC8">
      <w:pPr>
        <w:pStyle w:val="FootnoteText"/>
      </w:pPr>
      <w:r>
        <w:rPr>
          <w:rStyle w:val="FootnoteReference"/>
        </w:rPr>
        <w:footnoteRef/>
      </w:r>
      <w:r>
        <w:rPr>
          <w:rtl/>
        </w:rPr>
        <w:t xml:space="preserve"> </w:t>
      </w:r>
      <w:r w:rsidRPr="00D335B2">
        <w:rPr>
          <w:bCs/>
        </w:rPr>
        <w:t>John Hagel</w:t>
      </w:r>
    </w:p>
  </w:footnote>
  <w:footnote w:id="3061">
    <w:p w14:paraId="554E7B39" w14:textId="77777777" w:rsidR="00B47FF5" w:rsidRDefault="00B47FF5" w:rsidP="00537CC8">
      <w:pPr>
        <w:pStyle w:val="FootnoteText"/>
      </w:pPr>
      <w:r>
        <w:rPr>
          <w:rStyle w:val="FootnoteReference"/>
        </w:rPr>
        <w:footnoteRef/>
      </w:r>
      <w:r>
        <w:rPr>
          <w:rtl/>
        </w:rPr>
        <w:t xml:space="preserve"> </w:t>
      </w:r>
      <w:r w:rsidRPr="000142FF">
        <w:t>Center for the Edge</w:t>
      </w:r>
    </w:p>
  </w:footnote>
  <w:footnote w:id="3062">
    <w:p w14:paraId="3EDA0CCE" w14:textId="77777777" w:rsidR="00B47FF5" w:rsidRDefault="00B47FF5" w:rsidP="00537CC8">
      <w:pPr>
        <w:pStyle w:val="FootnoteText"/>
      </w:pPr>
      <w:r>
        <w:rPr>
          <w:rStyle w:val="FootnoteReference"/>
        </w:rPr>
        <w:footnoteRef/>
      </w:r>
      <w:r>
        <w:rPr>
          <w:rtl/>
        </w:rPr>
        <w:t xml:space="preserve"> </w:t>
      </w:r>
      <w:r w:rsidRPr="00840F7F">
        <w:t>Rob Gear</w:t>
      </w:r>
    </w:p>
  </w:footnote>
  <w:footnote w:id="3063">
    <w:p w14:paraId="4E29FF2C" w14:textId="77777777" w:rsidR="00B47FF5" w:rsidRDefault="00B47FF5" w:rsidP="00537CC8">
      <w:pPr>
        <w:pStyle w:val="FootnoteText"/>
      </w:pPr>
      <w:r>
        <w:rPr>
          <w:rStyle w:val="FootnoteReference"/>
        </w:rPr>
        <w:footnoteRef/>
      </w:r>
      <w:r>
        <w:rPr>
          <w:rtl/>
        </w:rPr>
        <w:t xml:space="preserve"> </w:t>
      </w:r>
      <w:r w:rsidRPr="001656E5">
        <w:t>Jonathan Wells</w:t>
      </w:r>
    </w:p>
  </w:footnote>
  <w:footnote w:id="3064">
    <w:p w14:paraId="3C2F07A3" w14:textId="77777777" w:rsidR="00B47FF5" w:rsidRDefault="00B47FF5" w:rsidP="00537CC8">
      <w:pPr>
        <w:pStyle w:val="FootnoteText"/>
      </w:pPr>
      <w:r>
        <w:rPr>
          <w:rStyle w:val="FootnoteReference"/>
        </w:rPr>
        <w:footnoteRef/>
      </w:r>
      <w:r>
        <w:rPr>
          <w:rtl/>
        </w:rPr>
        <w:t xml:space="preserve"> </w:t>
      </w:r>
      <w:r w:rsidRPr="001656E5">
        <w:t>Decision Strategies International</w:t>
      </w:r>
    </w:p>
  </w:footnote>
  <w:footnote w:id="3065">
    <w:p w14:paraId="7344CB15" w14:textId="77777777" w:rsidR="00B47FF5" w:rsidRDefault="00B47FF5" w:rsidP="00537CC8">
      <w:pPr>
        <w:pStyle w:val="FootnoteText"/>
      </w:pPr>
      <w:r>
        <w:rPr>
          <w:rStyle w:val="FootnoteReference"/>
        </w:rPr>
        <w:footnoteRef/>
      </w:r>
      <w:r>
        <w:rPr>
          <w:rtl/>
        </w:rPr>
        <w:t xml:space="preserve"> </w:t>
      </w:r>
      <w:r w:rsidRPr="001656E5">
        <w:t>Economist Intelligence Unit</w:t>
      </w:r>
    </w:p>
  </w:footnote>
  <w:footnote w:id="3066">
    <w:p w14:paraId="312FE0C9" w14:textId="77777777" w:rsidR="00B47FF5" w:rsidRDefault="00B47FF5" w:rsidP="00537CC8">
      <w:pPr>
        <w:pStyle w:val="FootnoteText"/>
      </w:pPr>
      <w:r>
        <w:rPr>
          <w:rStyle w:val="FootnoteReference"/>
        </w:rPr>
        <w:footnoteRef/>
      </w:r>
      <w:r>
        <w:rPr>
          <w:rtl/>
        </w:rPr>
        <w:t xml:space="preserve"> </w:t>
      </w:r>
      <w:r w:rsidRPr="001656E5">
        <w:t>Fraunhofer</w:t>
      </w:r>
    </w:p>
  </w:footnote>
  <w:footnote w:id="3067">
    <w:p w14:paraId="14CF581D" w14:textId="77777777" w:rsidR="00B47FF5" w:rsidRDefault="00B47FF5" w:rsidP="00537CC8">
      <w:pPr>
        <w:pStyle w:val="FootnoteText"/>
      </w:pPr>
      <w:r>
        <w:rPr>
          <w:rStyle w:val="FootnoteReference"/>
        </w:rPr>
        <w:footnoteRef/>
      </w:r>
      <w:r>
        <w:rPr>
          <w:rtl/>
        </w:rPr>
        <w:t xml:space="preserve"> </w:t>
      </w:r>
      <w:r w:rsidRPr="001656E5">
        <w:t>Shaping Tomorrow</w:t>
      </w:r>
    </w:p>
  </w:footnote>
  <w:footnote w:id="3068">
    <w:p w14:paraId="717402E2" w14:textId="77777777" w:rsidR="00B47FF5" w:rsidRDefault="00B47FF5" w:rsidP="00537CC8">
      <w:pPr>
        <w:pStyle w:val="FootnoteText"/>
      </w:pPr>
      <w:r>
        <w:rPr>
          <w:rStyle w:val="FootnoteReference"/>
        </w:rPr>
        <w:footnoteRef/>
      </w:r>
      <w:r>
        <w:rPr>
          <w:rtl/>
        </w:rPr>
        <w:t xml:space="preserve"> </w:t>
      </w:r>
      <w:r w:rsidRPr="001656E5">
        <w:t>Future Management Group</w:t>
      </w:r>
    </w:p>
  </w:footnote>
  <w:footnote w:id="3069">
    <w:p w14:paraId="0A9F9AB5" w14:textId="0AEA6A94" w:rsidR="00B47FF5" w:rsidRDefault="00B47FF5" w:rsidP="00537CC8">
      <w:pPr>
        <w:pStyle w:val="FootnoteText"/>
      </w:pPr>
      <w:r>
        <w:rPr>
          <w:rStyle w:val="FootnoteReference"/>
        </w:rPr>
        <w:footnoteRef/>
      </w:r>
      <w:r>
        <w:rPr>
          <w:rtl/>
        </w:rPr>
        <w:t xml:space="preserve"> </w:t>
      </w:r>
      <w:r w:rsidRPr="001656E5">
        <w:t>The Institute for Alternative Futures</w:t>
      </w:r>
    </w:p>
  </w:footnote>
  <w:footnote w:id="3070">
    <w:p w14:paraId="27FEB5F2" w14:textId="77777777" w:rsidR="00B47FF5" w:rsidRDefault="00B47FF5" w:rsidP="00537CC8">
      <w:pPr>
        <w:pStyle w:val="FootnoteText"/>
      </w:pPr>
      <w:r>
        <w:rPr>
          <w:rStyle w:val="FootnoteReference"/>
        </w:rPr>
        <w:footnoteRef/>
      </w:r>
      <w:r>
        <w:rPr>
          <w:rtl/>
        </w:rPr>
        <w:t xml:space="preserve"> </w:t>
      </w:r>
      <w:r w:rsidRPr="001656E5">
        <w:t>Kairos Future</w:t>
      </w:r>
    </w:p>
  </w:footnote>
  <w:footnote w:id="3071">
    <w:p w14:paraId="7196D47C" w14:textId="77777777" w:rsidR="00B47FF5" w:rsidRDefault="00B47FF5" w:rsidP="00537CC8">
      <w:pPr>
        <w:pStyle w:val="FootnoteText"/>
      </w:pPr>
      <w:r>
        <w:rPr>
          <w:rStyle w:val="FootnoteReference"/>
        </w:rPr>
        <w:footnoteRef/>
      </w:r>
      <w:r>
        <w:rPr>
          <w:rtl/>
        </w:rPr>
        <w:t xml:space="preserve"> </w:t>
      </w:r>
      <w:r w:rsidRPr="001656E5">
        <w:t>The Futures Company</w:t>
      </w:r>
    </w:p>
  </w:footnote>
  <w:footnote w:id="3072">
    <w:p w14:paraId="42629581" w14:textId="77777777" w:rsidR="00B47FF5" w:rsidRDefault="00B47FF5" w:rsidP="00537CC8">
      <w:pPr>
        <w:pStyle w:val="FootnoteText"/>
      </w:pPr>
      <w:r>
        <w:rPr>
          <w:rStyle w:val="FootnoteReference"/>
        </w:rPr>
        <w:footnoteRef/>
      </w:r>
      <w:r>
        <w:rPr>
          <w:rtl/>
        </w:rPr>
        <w:t xml:space="preserve"> </w:t>
      </w:r>
      <w:r w:rsidRPr="001656E5">
        <w:t>John L. Petersen</w:t>
      </w:r>
    </w:p>
  </w:footnote>
  <w:footnote w:id="3073">
    <w:p w14:paraId="5B0E4476" w14:textId="77777777" w:rsidR="00B47FF5" w:rsidRDefault="00B47FF5" w:rsidP="00537CC8">
      <w:pPr>
        <w:pStyle w:val="FootnoteText"/>
      </w:pPr>
      <w:r>
        <w:rPr>
          <w:rStyle w:val="FootnoteReference"/>
        </w:rPr>
        <w:footnoteRef/>
      </w:r>
      <w:r>
        <w:rPr>
          <w:rtl/>
        </w:rPr>
        <w:t xml:space="preserve"> </w:t>
      </w:r>
      <w:r w:rsidRPr="001656E5">
        <w:t>Chris Luebkeman</w:t>
      </w:r>
    </w:p>
  </w:footnote>
  <w:footnote w:id="3074">
    <w:p w14:paraId="4D655176" w14:textId="77777777" w:rsidR="00B47FF5" w:rsidRDefault="00B47FF5" w:rsidP="00537CC8">
      <w:pPr>
        <w:pStyle w:val="FootnoteText"/>
      </w:pPr>
      <w:r>
        <w:rPr>
          <w:rStyle w:val="FootnoteReference"/>
        </w:rPr>
        <w:footnoteRef/>
      </w:r>
      <w:r>
        <w:rPr>
          <w:rtl/>
        </w:rPr>
        <w:t xml:space="preserve"> </w:t>
      </w:r>
      <w:r w:rsidRPr="001656E5">
        <w:t>Josef Hargrave</w:t>
      </w:r>
    </w:p>
  </w:footnote>
  <w:footnote w:id="3075">
    <w:p w14:paraId="42F2F99A" w14:textId="77777777" w:rsidR="00B47FF5" w:rsidRDefault="00B47FF5" w:rsidP="00537CC8">
      <w:pPr>
        <w:pStyle w:val="FootnoteText"/>
      </w:pPr>
      <w:r>
        <w:rPr>
          <w:rStyle w:val="FootnoteReference"/>
        </w:rPr>
        <w:footnoteRef/>
      </w:r>
      <w:r>
        <w:rPr>
          <w:rtl/>
        </w:rPr>
        <w:t xml:space="preserve"> </w:t>
      </w:r>
      <w:r w:rsidRPr="001656E5">
        <w:t>Maflhias Weber</w:t>
      </w:r>
    </w:p>
  </w:footnote>
  <w:footnote w:id="3076">
    <w:p w14:paraId="7E5E6BB3" w14:textId="77777777" w:rsidR="00B47FF5" w:rsidRPr="00D335B2" w:rsidRDefault="00B47FF5" w:rsidP="00537CC8">
      <w:pPr>
        <w:pStyle w:val="FootnoteText"/>
      </w:pPr>
      <w:r w:rsidRPr="00D335B2">
        <w:rPr>
          <w:rStyle w:val="FootnoteReference"/>
        </w:rPr>
        <w:footnoteRef/>
      </w:r>
      <w:r w:rsidRPr="00D335B2">
        <w:rPr>
          <w:rtl/>
        </w:rPr>
        <w:t xml:space="preserve"> </w:t>
      </w:r>
      <w:r w:rsidRPr="00D335B2">
        <w:t>Ron Heifed</w:t>
      </w:r>
    </w:p>
  </w:footnote>
  <w:footnote w:id="3077">
    <w:p w14:paraId="07569B4E" w14:textId="77777777" w:rsidR="00B47FF5" w:rsidRPr="00D335B2" w:rsidRDefault="00B47FF5" w:rsidP="00537CC8">
      <w:pPr>
        <w:pStyle w:val="FootnoteText"/>
      </w:pPr>
      <w:r w:rsidRPr="00D335B2">
        <w:rPr>
          <w:rStyle w:val="FootnoteReference"/>
        </w:rPr>
        <w:footnoteRef/>
      </w:r>
      <w:r w:rsidRPr="00D335B2">
        <w:rPr>
          <w:rtl/>
        </w:rPr>
        <w:t xml:space="preserve"> </w:t>
      </w:r>
      <w:r w:rsidRPr="00D335B2">
        <w:t>Alex Grashow</w:t>
      </w:r>
    </w:p>
  </w:footnote>
  <w:footnote w:id="3078">
    <w:p w14:paraId="2090BAC2" w14:textId="77777777" w:rsidR="00B47FF5" w:rsidRDefault="00B47FF5" w:rsidP="00537CC8">
      <w:pPr>
        <w:pStyle w:val="FootnoteText"/>
      </w:pPr>
      <w:r w:rsidRPr="00D335B2">
        <w:rPr>
          <w:rStyle w:val="FootnoteReference"/>
        </w:rPr>
        <w:footnoteRef/>
      </w:r>
      <w:r w:rsidRPr="00D335B2">
        <w:rPr>
          <w:rtl/>
        </w:rPr>
        <w:t xml:space="preserve"> </w:t>
      </w:r>
      <w:r w:rsidRPr="00D335B2">
        <w:t>Marty Linsky</w:t>
      </w:r>
    </w:p>
  </w:footnote>
  <w:footnote w:id="3079">
    <w:p w14:paraId="6B595986" w14:textId="77777777" w:rsidR="00B47FF5" w:rsidRPr="00D335B2" w:rsidRDefault="00B47FF5" w:rsidP="00537CC8">
      <w:pPr>
        <w:pStyle w:val="FootnoteText"/>
        <w:rPr>
          <w:bCs/>
        </w:rPr>
      </w:pPr>
      <w:r>
        <w:rPr>
          <w:rStyle w:val="FootnoteReference"/>
        </w:rPr>
        <w:footnoteRef/>
      </w:r>
      <w:r>
        <w:rPr>
          <w:rtl/>
        </w:rPr>
        <w:t xml:space="preserve"> </w:t>
      </w:r>
      <w:r w:rsidRPr="00D335B2">
        <w:rPr>
          <w:bCs/>
        </w:rPr>
        <w:t>Ulrik Blinkenberg</w:t>
      </w:r>
    </w:p>
  </w:footnote>
  <w:footnote w:id="3080">
    <w:p w14:paraId="5DCC5A98" w14:textId="77777777" w:rsidR="00B47FF5" w:rsidRDefault="00B47FF5" w:rsidP="00537CC8">
      <w:pPr>
        <w:pStyle w:val="FootnoteText"/>
      </w:pPr>
      <w:r w:rsidRPr="00D335B2">
        <w:rPr>
          <w:rStyle w:val="FootnoteReference"/>
          <w:bCs/>
        </w:rPr>
        <w:footnoteRef/>
      </w:r>
      <w:r w:rsidRPr="00D335B2">
        <w:rPr>
          <w:bCs/>
          <w:rtl/>
        </w:rPr>
        <w:t xml:space="preserve"> </w:t>
      </w:r>
      <w:r w:rsidRPr="00D335B2">
        <w:rPr>
          <w:bCs/>
        </w:rPr>
        <w:t>Martin Kruse</w:t>
      </w:r>
    </w:p>
  </w:footnote>
  <w:footnote w:id="3081">
    <w:p w14:paraId="03BC6F3C" w14:textId="77777777" w:rsidR="00B47FF5" w:rsidRDefault="00B47FF5" w:rsidP="00537CC8">
      <w:pPr>
        <w:pStyle w:val="FootnoteText"/>
      </w:pPr>
      <w:r>
        <w:rPr>
          <w:rStyle w:val="FootnoteReference"/>
        </w:rPr>
        <w:footnoteRef/>
      </w:r>
      <w:r>
        <w:rPr>
          <w:rtl/>
        </w:rPr>
        <w:t xml:space="preserve"> </w:t>
      </w:r>
      <w:r w:rsidRPr="002541C7">
        <w:t>Conshohocken</w:t>
      </w:r>
    </w:p>
  </w:footnote>
  <w:footnote w:id="3082">
    <w:p w14:paraId="6F04077E" w14:textId="77777777" w:rsidR="00B47FF5" w:rsidRDefault="00B47FF5" w:rsidP="00537CC8">
      <w:pPr>
        <w:pStyle w:val="FootnoteText"/>
      </w:pPr>
      <w:r>
        <w:rPr>
          <w:rStyle w:val="FootnoteReference"/>
        </w:rPr>
        <w:footnoteRef/>
      </w:r>
      <w:r>
        <w:rPr>
          <w:rtl/>
        </w:rPr>
        <w:t xml:space="preserve"> </w:t>
      </w:r>
      <w:r w:rsidRPr="002541C7">
        <w:t>John Hagel</w:t>
      </w:r>
    </w:p>
  </w:footnote>
  <w:footnote w:id="3083">
    <w:p w14:paraId="08A05D8B" w14:textId="77777777" w:rsidR="00B47FF5" w:rsidRDefault="00B47FF5" w:rsidP="00537CC8">
      <w:pPr>
        <w:pStyle w:val="FootnoteText"/>
      </w:pPr>
      <w:r>
        <w:rPr>
          <w:rStyle w:val="FootnoteReference"/>
        </w:rPr>
        <w:footnoteRef/>
      </w:r>
      <w:r>
        <w:rPr>
          <w:rtl/>
        </w:rPr>
        <w:t xml:space="preserve"> </w:t>
      </w:r>
      <w:r w:rsidRPr="002541C7">
        <w:t>John Seely Brown</w:t>
      </w:r>
    </w:p>
  </w:footnote>
  <w:footnote w:id="3084">
    <w:p w14:paraId="0B315F36" w14:textId="77777777" w:rsidR="00B47FF5" w:rsidRDefault="00B47FF5" w:rsidP="00537CC8">
      <w:pPr>
        <w:pStyle w:val="FootnoteText"/>
      </w:pPr>
      <w:r>
        <w:rPr>
          <w:rStyle w:val="FootnoteReference"/>
        </w:rPr>
        <w:footnoteRef/>
      </w:r>
      <w:r>
        <w:rPr>
          <w:rtl/>
        </w:rPr>
        <w:t xml:space="preserve"> </w:t>
      </w:r>
      <w:r w:rsidRPr="002541C7">
        <w:t>Harry Dent</w:t>
      </w:r>
    </w:p>
  </w:footnote>
  <w:footnote w:id="3085">
    <w:p w14:paraId="001E5990" w14:textId="77777777" w:rsidR="00B47FF5" w:rsidRDefault="00B47FF5" w:rsidP="00537CC8">
      <w:pPr>
        <w:pStyle w:val="FootnoteText"/>
      </w:pPr>
      <w:r>
        <w:rPr>
          <w:rStyle w:val="FootnoteReference"/>
        </w:rPr>
        <w:footnoteRef/>
      </w:r>
      <w:r>
        <w:rPr>
          <w:rtl/>
        </w:rPr>
        <w:t xml:space="preserve"> </w:t>
      </w:r>
      <w:r w:rsidRPr="002541C7">
        <w:t>Philippe Destafle</w:t>
      </w:r>
    </w:p>
  </w:footnote>
  <w:footnote w:id="3086">
    <w:p w14:paraId="275E8C9B" w14:textId="77777777" w:rsidR="00B47FF5" w:rsidRDefault="00B47FF5" w:rsidP="00537CC8">
      <w:pPr>
        <w:pStyle w:val="FootnoteText"/>
      </w:pPr>
      <w:r>
        <w:rPr>
          <w:rStyle w:val="FootnoteReference"/>
        </w:rPr>
        <w:footnoteRef/>
      </w:r>
      <w:r>
        <w:rPr>
          <w:rtl/>
        </w:rPr>
        <w:t xml:space="preserve"> </w:t>
      </w:r>
      <w:r w:rsidRPr="002541C7">
        <w:t>Marie-Anne Delaaut</w:t>
      </w:r>
    </w:p>
  </w:footnote>
  <w:footnote w:id="3087">
    <w:p w14:paraId="7144DEFD" w14:textId="77777777" w:rsidR="00B47FF5" w:rsidRDefault="00B47FF5" w:rsidP="00537CC8">
      <w:pPr>
        <w:pStyle w:val="FootnoteText"/>
      </w:pPr>
      <w:r>
        <w:rPr>
          <w:rStyle w:val="FootnoteReference"/>
        </w:rPr>
        <w:footnoteRef/>
      </w:r>
      <w:r>
        <w:rPr>
          <w:rtl/>
        </w:rPr>
        <w:t xml:space="preserve"> </w:t>
      </w:r>
      <w:r w:rsidRPr="00924A3B">
        <w:t>Harry Blount</w:t>
      </w:r>
    </w:p>
  </w:footnote>
  <w:footnote w:id="3088">
    <w:p w14:paraId="7A2B7F7A" w14:textId="77777777" w:rsidR="00B47FF5" w:rsidRDefault="00B47FF5" w:rsidP="00537CC8">
      <w:pPr>
        <w:pStyle w:val="FootnoteText"/>
      </w:pPr>
      <w:r>
        <w:rPr>
          <w:rStyle w:val="FootnoteReference"/>
        </w:rPr>
        <w:footnoteRef/>
      </w:r>
      <w:r>
        <w:rPr>
          <w:rtl/>
        </w:rPr>
        <w:t xml:space="preserve"> </w:t>
      </w:r>
      <w:r w:rsidRPr="00924A3B">
        <w:t>Anirvan Banerji</w:t>
      </w:r>
    </w:p>
  </w:footnote>
  <w:footnote w:id="3089">
    <w:p w14:paraId="71C656FD" w14:textId="77777777" w:rsidR="00B47FF5" w:rsidRDefault="00B47FF5" w:rsidP="00537CC8">
      <w:pPr>
        <w:pStyle w:val="FootnoteText"/>
      </w:pPr>
      <w:r>
        <w:rPr>
          <w:rStyle w:val="FootnoteReference"/>
        </w:rPr>
        <w:footnoteRef/>
      </w:r>
      <w:r>
        <w:rPr>
          <w:rtl/>
        </w:rPr>
        <w:t xml:space="preserve"> </w:t>
      </w:r>
      <w:r w:rsidRPr="00924A3B">
        <w:t>Daniel Franklin</w:t>
      </w:r>
    </w:p>
  </w:footnote>
  <w:footnote w:id="3090">
    <w:p w14:paraId="610428DC" w14:textId="77777777" w:rsidR="00B47FF5" w:rsidRDefault="00B47FF5" w:rsidP="00537CC8">
      <w:pPr>
        <w:pStyle w:val="FootnoteText"/>
      </w:pPr>
      <w:r>
        <w:rPr>
          <w:rStyle w:val="FootnoteReference"/>
        </w:rPr>
        <w:footnoteRef/>
      </w:r>
      <w:r>
        <w:rPr>
          <w:rtl/>
        </w:rPr>
        <w:t xml:space="preserve"> </w:t>
      </w:r>
      <w:r w:rsidRPr="00924A3B">
        <w:t>Ian Bremmer</w:t>
      </w:r>
    </w:p>
  </w:footnote>
  <w:footnote w:id="3091">
    <w:p w14:paraId="77A070FC" w14:textId="77777777" w:rsidR="00B47FF5" w:rsidRPr="00D335B2" w:rsidRDefault="00B47FF5" w:rsidP="00537CC8">
      <w:pPr>
        <w:pStyle w:val="FootnoteText"/>
      </w:pPr>
      <w:r w:rsidRPr="00D335B2">
        <w:rPr>
          <w:rStyle w:val="FootnoteReference"/>
        </w:rPr>
        <w:footnoteRef/>
      </w:r>
      <w:r w:rsidRPr="00D335B2">
        <w:rPr>
          <w:rtl/>
        </w:rPr>
        <w:t xml:space="preserve"> </w:t>
      </w:r>
      <w:r w:rsidRPr="00D335B2">
        <w:t>Phyl Speser</w:t>
      </w:r>
    </w:p>
  </w:footnote>
  <w:footnote w:id="3092">
    <w:p w14:paraId="611B776B" w14:textId="77777777" w:rsidR="00B47FF5" w:rsidRDefault="00B47FF5" w:rsidP="00537CC8">
      <w:pPr>
        <w:pStyle w:val="FootnoteText"/>
      </w:pPr>
      <w:r>
        <w:rPr>
          <w:rStyle w:val="FootnoteReference"/>
        </w:rPr>
        <w:footnoteRef/>
      </w:r>
      <w:r>
        <w:rPr>
          <w:rtl/>
        </w:rPr>
        <w:t xml:space="preserve"> </w:t>
      </w:r>
      <w:r w:rsidRPr="00504287">
        <w:t>James McQuivey</w:t>
      </w:r>
    </w:p>
  </w:footnote>
  <w:footnote w:id="3093">
    <w:p w14:paraId="75C13815" w14:textId="77777777" w:rsidR="00B47FF5" w:rsidRDefault="00B47FF5" w:rsidP="00537CC8">
      <w:pPr>
        <w:pStyle w:val="FootnoteText"/>
      </w:pPr>
      <w:r>
        <w:rPr>
          <w:rStyle w:val="FootnoteReference"/>
        </w:rPr>
        <w:footnoteRef/>
      </w:r>
      <w:r>
        <w:rPr>
          <w:rtl/>
        </w:rPr>
        <w:t xml:space="preserve"> </w:t>
      </w:r>
      <w:r w:rsidRPr="00504287">
        <w:t>Gerard Puccio</w:t>
      </w:r>
    </w:p>
  </w:footnote>
  <w:footnote w:id="3094">
    <w:p w14:paraId="10917345" w14:textId="77777777" w:rsidR="00B47FF5" w:rsidRDefault="00B47FF5" w:rsidP="00537CC8">
      <w:pPr>
        <w:pStyle w:val="FootnoteText"/>
      </w:pPr>
      <w:r>
        <w:rPr>
          <w:rStyle w:val="FootnoteReference"/>
        </w:rPr>
        <w:footnoteRef/>
      </w:r>
      <w:r>
        <w:rPr>
          <w:rtl/>
        </w:rPr>
        <w:t xml:space="preserve"> </w:t>
      </w:r>
      <w:r w:rsidRPr="00504287">
        <w:t>Russ Schoen</w:t>
      </w:r>
    </w:p>
  </w:footnote>
  <w:footnote w:id="3095">
    <w:p w14:paraId="36FFD870" w14:textId="77777777" w:rsidR="00B47FF5" w:rsidRDefault="00B47FF5" w:rsidP="00537CC8">
      <w:pPr>
        <w:pStyle w:val="FootnoteText"/>
      </w:pPr>
      <w:r>
        <w:rPr>
          <w:rStyle w:val="FootnoteReference"/>
        </w:rPr>
        <w:footnoteRef/>
      </w:r>
      <w:r>
        <w:rPr>
          <w:rtl/>
        </w:rPr>
        <w:t xml:space="preserve"> </w:t>
      </w:r>
      <w:r w:rsidRPr="00504287">
        <w:t>Kerstin Cuhls</w:t>
      </w:r>
    </w:p>
  </w:footnote>
  <w:footnote w:id="3096">
    <w:p w14:paraId="101F0746" w14:textId="77777777" w:rsidR="00B47FF5" w:rsidRDefault="00B47FF5" w:rsidP="00537CC8">
      <w:pPr>
        <w:pStyle w:val="FootnoteText"/>
      </w:pPr>
      <w:r>
        <w:rPr>
          <w:rStyle w:val="FootnoteReference"/>
        </w:rPr>
        <w:footnoteRef/>
      </w:r>
      <w:r>
        <w:rPr>
          <w:rtl/>
        </w:rPr>
        <w:t xml:space="preserve"> </w:t>
      </w:r>
      <w:r w:rsidRPr="00C71095">
        <w:t>Mountain View</w:t>
      </w:r>
    </w:p>
  </w:footnote>
  <w:footnote w:id="3097">
    <w:p w14:paraId="1166BFF4" w14:textId="77777777" w:rsidR="00B47FF5" w:rsidRDefault="00B47FF5" w:rsidP="00537CC8">
      <w:pPr>
        <w:pStyle w:val="FootnoteText"/>
      </w:pPr>
      <w:r>
        <w:rPr>
          <w:rStyle w:val="FootnoteReference"/>
        </w:rPr>
        <w:footnoteRef/>
      </w:r>
      <w:r>
        <w:rPr>
          <w:rtl/>
        </w:rPr>
        <w:t xml:space="preserve"> </w:t>
      </w:r>
      <w:r w:rsidRPr="00C71095">
        <w:t>Chritophe Jouan</w:t>
      </w:r>
    </w:p>
  </w:footnote>
  <w:footnote w:id="3098">
    <w:p w14:paraId="2DDEBDF9" w14:textId="77777777" w:rsidR="00B47FF5" w:rsidRDefault="00B47FF5" w:rsidP="00537CC8">
      <w:pPr>
        <w:pStyle w:val="FootnoteText"/>
      </w:pPr>
      <w:r>
        <w:rPr>
          <w:rStyle w:val="FootnoteReference"/>
        </w:rPr>
        <w:footnoteRef/>
      </w:r>
      <w:r>
        <w:rPr>
          <w:rtl/>
        </w:rPr>
        <w:t xml:space="preserve"> </w:t>
      </w:r>
      <w:r w:rsidRPr="00C71095">
        <w:t>Meabh Quoirin</w:t>
      </w:r>
    </w:p>
  </w:footnote>
  <w:footnote w:id="3099">
    <w:p w14:paraId="552AB420" w14:textId="77777777" w:rsidR="00B47FF5" w:rsidRDefault="00B47FF5" w:rsidP="00537CC8">
      <w:pPr>
        <w:pStyle w:val="FootnoteText"/>
      </w:pPr>
      <w:r>
        <w:rPr>
          <w:rStyle w:val="FootnoteReference"/>
        </w:rPr>
        <w:footnoteRef/>
      </w:r>
      <w:r>
        <w:rPr>
          <w:rtl/>
        </w:rPr>
        <w:t xml:space="preserve"> </w:t>
      </w:r>
      <w:r w:rsidRPr="00C71095">
        <w:t>Pero Micic</w:t>
      </w:r>
    </w:p>
  </w:footnote>
  <w:footnote w:id="3100">
    <w:p w14:paraId="624D1214" w14:textId="77777777" w:rsidR="00B47FF5" w:rsidRDefault="00B47FF5" w:rsidP="00537CC8">
      <w:pPr>
        <w:pStyle w:val="FootnoteText"/>
      </w:pPr>
      <w:r>
        <w:rPr>
          <w:rStyle w:val="FootnoteReference"/>
        </w:rPr>
        <w:footnoteRef/>
      </w:r>
      <w:r>
        <w:rPr>
          <w:rtl/>
        </w:rPr>
        <w:t xml:space="preserve"> </w:t>
      </w:r>
      <w:r w:rsidRPr="00C71095">
        <w:t>Anne Skare Nielsen</w:t>
      </w:r>
    </w:p>
  </w:footnote>
  <w:footnote w:id="3101">
    <w:p w14:paraId="41BB7D08" w14:textId="77777777" w:rsidR="00B47FF5" w:rsidRDefault="00B47FF5" w:rsidP="00537CC8">
      <w:pPr>
        <w:pStyle w:val="FootnoteText"/>
      </w:pPr>
      <w:r>
        <w:rPr>
          <w:rStyle w:val="FootnoteReference"/>
        </w:rPr>
        <w:footnoteRef/>
      </w:r>
      <w:r>
        <w:rPr>
          <w:rtl/>
        </w:rPr>
        <w:t xml:space="preserve"> </w:t>
      </w:r>
      <w:r w:rsidRPr="00C71095">
        <w:t>Lyselofle Lyngso</w:t>
      </w:r>
    </w:p>
  </w:footnote>
  <w:footnote w:id="3102">
    <w:p w14:paraId="50B867BC" w14:textId="77777777" w:rsidR="00B47FF5" w:rsidRDefault="00B47FF5" w:rsidP="00537CC8">
      <w:pPr>
        <w:pStyle w:val="FootnoteText"/>
      </w:pPr>
      <w:r>
        <w:rPr>
          <w:rStyle w:val="FootnoteReference"/>
        </w:rPr>
        <w:footnoteRef/>
      </w:r>
      <w:r>
        <w:rPr>
          <w:rtl/>
        </w:rPr>
        <w:t xml:space="preserve"> </w:t>
      </w:r>
      <w:r w:rsidRPr="00790121">
        <w:t>Amy Webb</w:t>
      </w:r>
    </w:p>
  </w:footnote>
  <w:footnote w:id="3103">
    <w:p w14:paraId="4D706A3E" w14:textId="77777777" w:rsidR="00B47FF5" w:rsidRDefault="00B47FF5" w:rsidP="00537CC8">
      <w:pPr>
        <w:pStyle w:val="FootnoteText"/>
      </w:pPr>
      <w:r>
        <w:rPr>
          <w:rStyle w:val="FootnoteReference"/>
        </w:rPr>
        <w:footnoteRef/>
      </w:r>
      <w:r>
        <w:rPr>
          <w:rtl/>
        </w:rPr>
        <w:t xml:space="preserve"> </w:t>
      </w:r>
      <w:r w:rsidRPr="00790121">
        <w:t>Lisa Bodell</w:t>
      </w:r>
    </w:p>
  </w:footnote>
  <w:footnote w:id="3104">
    <w:p w14:paraId="6CA8A948" w14:textId="77777777" w:rsidR="00B47FF5" w:rsidRDefault="00B47FF5" w:rsidP="00537CC8">
      <w:pPr>
        <w:pStyle w:val="FootnoteText"/>
      </w:pPr>
      <w:r>
        <w:rPr>
          <w:rStyle w:val="FootnoteReference"/>
        </w:rPr>
        <w:footnoteRef/>
      </w:r>
      <w:r>
        <w:rPr>
          <w:rtl/>
        </w:rPr>
        <w:t xml:space="preserve"> </w:t>
      </w:r>
      <w:r w:rsidRPr="00790121">
        <w:t>Garry Golden</w:t>
      </w:r>
    </w:p>
  </w:footnote>
  <w:footnote w:id="3105">
    <w:p w14:paraId="1D732A6A" w14:textId="77777777" w:rsidR="00B47FF5" w:rsidRDefault="00B47FF5" w:rsidP="00537CC8">
      <w:pPr>
        <w:pStyle w:val="FootnoteText"/>
      </w:pPr>
      <w:r>
        <w:rPr>
          <w:rStyle w:val="FootnoteReference"/>
        </w:rPr>
        <w:footnoteRef/>
      </w:r>
      <w:r>
        <w:rPr>
          <w:rtl/>
        </w:rPr>
        <w:t xml:space="preserve"> </w:t>
      </w:r>
      <w:r w:rsidRPr="00B73E34">
        <w:t>Doug Miller</w:t>
      </w:r>
    </w:p>
  </w:footnote>
  <w:footnote w:id="3106">
    <w:p w14:paraId="662EF6B4" w14:textId="77777777" w:rsidR="00B47FF5" w:rsidRDefault="00B47FF5" w:rsidP="00537CC8">
      <w:pPr>
        <w:pStyle w:val="FootnoteText"/>
      </w:pPr>
      <w:r>
        <w:rPr>
          <w:rStyle w:val="FootnoteReference"/>
        </w:rPr>
        <w:footnoteRef/>
      </w:r>
      <w:r>
        <w:rPr>
          <w:rtl/>
        </w:rPr>
        <w:t xml:space="preserve"> </w:t>
      </w:r>
      <w:r w:rsidRPr="00B73E34">
        <w:t>James Cramer</w:t>
      </w:r>
    </w:p>
  </w:footnote>
  <w:footnote w:id="3107">
    <w:p w14:paraId="32BB3B32" w14:textId="77777777" w:rsidR="00B47FF5" w:rsidRDefault="00B47FF5" w:rsidP="00537CC8">
      <w:pPr>
        <w:pStyle w:val="FootnoteText"/>
      </w:pPr>
      <w:r>
        <w:rPr>
          <w:rStyle w:val="FootnoteReference"/>
        </w:rPr>
        <w:footnoteRef/>
      </w:r>
      <w:r>
        <w:rPr>
          <w:rtl/>
        </w:rPr>
        <w:t xml:space="preserve"> </w:t>
      </w:r>
      <w:r w:rsidRPr="00B73E34">
        <w:t>George Dvorsky</w:t>
      </w:r>
    </w:p>
  </w:footnote>
  <w:footnote w:id="3108">
    <w:p w14:paraId="53DAC4E7" w14:textId="77777777" w:rsidR="00B47FF5" w:rsidRPr="00D335B2" w:rsidRDefault="00B47FF5" w:rsidP="00537CC8">
      <w:pPr>
        <w:pStyle w:val="FootnoteText"/>
      </w:pPr>
      <w:r w:rsidRPr="00D335B2">
        <w:rPr>
          <w:rStyle w:val="FootnoteReference"/>
        </w:rPr>
        <w:footnoteRef/>
      </w:r>
      <w:r w:rsidRPr="00D335B2">
        <w:rPr>
          <w:rtl/>
        </w:rPr>
        <w:t xml:space="preserve"> </w:t>
      </w:r>
      <w:r w:rsidRPr="00D335B2">
        <w:t>Annalee Newid</w:t>
      </w:r>
    </w:p>
  </w:footnote>
  <w:footnote w:id="3109">
    <w:p w14:paraId="0AC0C6A9" w14:textId="77777777" w:rsidR="00B47FF5" w:rsidRPr="00D335B2" w:rsidRDefault="00B47FF5" w:rsidP="00537CC8">
      <w:pPr>
        <w:pStyle w:val="FootnoteText"/>
      </w:pPr>
      <w:r w:rsidRPr="00D335B2">
        <w:rPr>
          <w:rStyle w:val="FootnoteReference"/>
        </w:rPr>
        <w:footnoteRef/>
      </w:r>
      <w:r w:rsidRPr="00D335B2">
        <w:rPr>
          <w:rtl/>
        </w:rPr>
        <w:t xml:space="preserve"> </w:t>
      </w:r>
      <w:r w:rsidRPr="00D335B2">
        <w:t>Christopher W. Miller</w:t>
      </w:r>
    </w:p>
  </w:footnote>
  <w:footnote w:id="3110">
    <w:p w14:paraId="2091F4B9" w14:textId="77777777" w:rsidR="00B47FF5" w:rsidRDefault="00B47FF5" w:rsidP="00537CC8">
      <w:pPr>
        <w:pStyle w:val="FootnoteText"/>
      </w:pPr>
      <w:r w:rsidRPr="00D335B2">
        <w:rPr>
          <w:rStyle w:val="FootnoteReference"/>
        </w:rPr>
        <w:footnoteRef/>
      </w:r>
      <w:r w:rsidRPr="00D335B2">
        <w:rPr>
          <w:rtl/>
        </w:rPr>
        <w:t xml:space="preserve"> </w:t>
      </w:r>
      <w:r w:rsidRPr="00D335B2">
        <w:t>Anne Orban</w:t>
      </w:r>
    </w:p>
  </w:footnote>
  <w:footnote w:id="3111">
    <w:p w14:paraId="1A6620F2" w14:textId="77777777" w:rsidR="00B47FF5" w:rsidRDefault="00B47FF5" w:rsidP="00537CC8">
      <w:pPr>
        <w:pStyle w:val="FootnoteText"/>
      </w:pPr>
      <w:r>
        <w:rPr>
          <w:rStyle w:val="FootnoteReference"/>
        </w:rPr>
        <w:footnoteRef/>
      </w:r>
      <w:r>
        <w:rPr>
          <w:rtl/>
        </w:rPr>
        <w:t xml:space="preserve"> </w:t>
      </w:r>
      <w:r w:rsidRPr="00357C3E">
        <w:t>Tim Brown</w:t>
      </w:r>
    </w:p>
  </w:footnote>
  <w:footnote w:id="3112">
    <w:p w14:paraId="5B0A9F2E" w14:textId="77777777" w:rsidR="00B47FF5" w:rsidRDefault="00B47FF5" w:rsidP="00537CC8">
      <w:pPr>
        <w:pStyle w:val="FootnoteText"/>
      </w:pPr>
      <w:r>
        <w:rPr>
          <w:rStyle w:val="FootnoteReference"/>
        </w:rPr>
        <w:footnoteRef/>
      </w:r>
      <w:r>
        <w:rPr>
          <w:rtl/>
        </w:rPr>
        <w:t xml:space="preserve"> </w:t>
      </w:r>
      <w:r w:rsidRPr="00357C3E">
        <w:t>Dave Blakely</w:t>
      </w:r>
    </w:p>
  </w:footnote>
  <w:footnote w:id="3113">
    <w:p w14:paraId="41899B8D" w14:textId="77777777" w:rsidR="00B47FF5" w:rsidRDefault="00B47FF5" w:rsidP="00537CC8">
      <w:pPr>
        <w:pStyle w:val="FootnoteText"/>
      </w:pPr>
      <w:r>
        <w:rPr>
          <w:rStyle w:val="FootnoteReference"/>
        </w:rPr>
        <w:footnoteRef/>
      </w:r>
      <w:r>
        <w:rPr>
          <w:rtl/>
        </w:rPr>
        <w:t xml:space="preserve"> </w:t>
      </w:r>
      <w:r w:rsidRPr="00357C3E">
        <w:t>Fiona Wollensack</w:t>
      </w:r>
    </w:p>
  </w:footnote>
  <w:footnote w:id="3114">
    <w:p w14:paraId="57214304" w14:textId="77777777" w:rsidR="00B47FF5" w:rsidRDefault="00B47FF5" w:rsidP="00537CC8">
      <w:pPr>
        <w:pStyle w:val="FootnoteText"/>
      </w:pPr>
      <w:r>
        <w:rPr>
          <w:rStyle w:val="FootnoteReference"/>
        </w:rPr>
        <w:footnoteRef/>
      </w:r>
      <w:r>
        <w:rPr>
          <w:rtl/>
        </w:rPr>
        <w:t xml:space="preserve"> </w:t>
      </w:r>
      <w:r w:rsidRPr="00357C3E">
        <w:t>Clay Christensen</w:t>
      </w:r>
    </w:p>
  </w:footnote>
  <w:footnote w:id="3115">
    <w:p w14:paraId="3214E5A4" w14:textId="77777777" w:rsidR="00B47FF5" w:rsidRDefault="00B47FF5" w:rsidP="00537CC8">
      <w:pPr>
        <w:pStyle w:val="FootnoteText"/>
      </w:pPr>
      <w:r>
        <w:rPr>
          <w:rStyle w:val="FootnoteReference"/>
        </w:rPr>
        <w:footnoteRef/>
      </w:r>
      <w:r>
        <w:rPr>
          <w:rtl/>
        </w:rPr>
        <w:t xml:space="preserve"> </w:t>
      </w:r>
      <w:r w:rsidRPr="00357C3E">
        <w:t>Richard N. Foster</w:t>
      </w:r>
    </w:p>
  </w:footnote>
  <w:footnote w:id="3116">
    <w:p w14:paraId="66BAA1B6" w14:textId="77777777" w:rsidR="00B47FF5" w:rsidRDefault="00B47FF5" w:rsidP="00537CC8">
      <w:pPr>
        <w:pStyle w:val="FootnoteText"/>
      </w:pPr>
      <w:r>
        <w:rPr>
          <w:rStyle w:val="FootnoteReference"/>
        </w:rPr>
        <w:footnoteRef/>
      </w:r>
      <w:r>
        <w:rPr>
          <w:rtl/>
        </w:rPr>
        <w:t xml:space="preserve"> </w:t>
      </w:r>
      <w:r w:rsidRPr="00357C3E">
        <w:t>Chris Carbone</w:t>
      </w:r>
    </w:p>
  </w:footnote>
  <w:footnote w:id="3117">
    <w:p w14:paraId="20DABADB" w14:textId="77777777" w:rsidR="00B47FF5" w:rsidRDefault="00B47FF5" w:rsidP="00537CC8">
      <w:pPr>
        <w:pStyle w:val="FootnoteText"/>
      </w:pPr>
      <w:r>
        <w:rPr>
          <w:rStyle w:val="FootnoteReference"/>
        </w:rPr>
        <w:footnoteRef/>
      </w:r>
      <w:r>
        <w:rPr>
          <w:rtl/>
        </w:rPr>
        <w:t xml:space="preserve"> </w:t>
      </w:r>
      <w:r w:rsidRPr="00357C3E">
        <w:t>Marina Gorbis</w:t>
      </w:r>
    </w:p>
  </w:footnote>
  <w:footnote w:id="3118">
    <w:p w14:paraId="023F2114" w14:textId="77777777" w:rsidR="00B47FF5" w:rsidRDefault="00B47FF5" w:rsidP="00537CC8">
      <w:pPr>
        <w:pStyle w:val="FootnoteText"/>
      </w:pPr>
      <w:r>
        <w:rPr>
          <w:rStyle w:val="FootnoteReference"/>
        </w:rPr>
        <w:footnoteRef/>
      </w:r>
      <w:r>
        <w:rPr>
          <w:rtl/>
        </w:rPr>
        <w:t xml:space="preserve"> </w:t>
      </w:r>
      <w:r w:rsidRPr="00357C3E">
        <w:t>Bob Johansen</w:t>
      </w:r>
    </w:p>
  </w:footnote>
  <w:footnote w:id="3119">
    <w:p w14:paraId="4AE4B49D" w14:textId="77777777" w:rsidR="00B47FF5" w:rsidRDefault="00B47FF5" w:rsidP="00537CC8">
      <w:pPr>
        <w:pStyle w:val="FootnoteText"/>
      </w:pPr>
      <w:r>
        <w:rPr>
          <w:rStyle w:val="FootnoteReference"/>
        </w:rPr>
        <w:footnoteRef/>
      </w:r>
      <w:r>
        <w:rPr>
          <w:rtl/>
        </w:rPr>
        <w:t xml:space="preserve"> </w:t>
      </w:r>
      <w:r w:rsidRPr="00357C3E">
        <w:t>Bruno Moreira</w:t>
      </w:r>
    </w:p>
  </w:footnote>
  <w:footnote w:id="3120">
    <w:p w14:paraId="42F1B54B" w14:textId="77777777" w:rsidR="00B47FF5" w:rsidRDefault="00B47FF5" w:rsidP="00537CC8">
      <w:pPr>
        <w:pStyle w:val="FootnoteText"/>
      </w:pPr>
      <w:r>
        <w:rPr>
          <w:rStyle w:val="FootnoteReference"/>
        </w:rPr>
        <w:footnoteRef/>
      </w:r>
      <w:r>
        <w:rPr>
          <w:rtl/>
        </w:rPr>
        <w:t xml:space="preserve"> </w:t>
      </w:r>
      <w:r w:rsidRPr="00357C3E">
        <w:t>Ulf Boman</w:t>
      </w:r>
    </w:p>
  </w:footnote>
  <w:footnote w:id="3121">
    <w:p w14:paraId="4DC4C8F3" w14:textId="77777777" w:rsidR="00B47FF5" w:rsidRDefault="00B47FF5" w:rsidP="00537CC8">
      <w:pPr>
        <w:pStyle w:val="FootnoteText"/>
      </w:pPr>
      <w:r>
        <w:rPr>
          <w:rStyle w:val="FootnoteReference"/>
        </w:rPr>
        <w:footnoteRef/>
      </w:r>
      <w:r>
        <w:rPr>
          <w:rtl/>
        </w:rPr>
        <w:t xml:space="preserve"> </w:t>
      </w:r>
      <w:r w:rsidRPr="00357C3E">
        <w:t>Mats Lindgren</w:t>
      </w:r>
    </w:p>
  </w:footnote>
  <w:footnote w:id="3122">
    <w:p w14:paraId="115DEFCB" w14:textId="77777777" w:rsidR="00B47FF5" w:rsidRDefault="00B47FF5" w:rsidP="00537CC8">
      <w:pPr>
        <w:pStyle w:val="FootnoteText"/>
      </w:pPr>
      <w:r>
        <w:rPr>
          <w:rStyle w:val="FootnoteReference"/>
        </w:rPr>
        <w:footnoteRef/>
      </w:r>
      <w:r>
        <w:rPr>
          <w:rtl/>
        </w:rPr>
        <w:t xml:space="preserve"> </w:t>
      </w:r>
      <w:r w:rsidRPr="00357C3E">
        <w:t>Erik Herngren</w:t>
      </w:r>
    </w:p>
  </w:footnote>
  <w:footnote w:id="3123">
    <w:p w14:paraId="5BC4E63B" w14:textId="77777777" w:rsidR="00B47FF5" w:rsidRDefault="00B47FF5" w:rsidP="00537CC8">
      <w:pPr>
        <w:pStyle w:val="FootnoteText"/>
      </w:pPr>
      <w:r>
        <w:rPr>
          <w:rStyle w:val="FootnoteReference"/>
        </w:rPr>
        <w:footnoteRef/>
      </w:r>
      <w:r>
        <w:rPr>
          <w:rtl/>
        </w:rPr>
        <w:t xml:space="preserve"> </w:t>
      </w:r>
      <w:r w:rsidRPr="00357C3E">
        <w:t>Mathew Lincez</w:t>
      </w:r>
    </w:p>
  </w:footnote>
  <w:footnote w:id="3124">
    <w:p w14:paraId="2BC15B13" w14:textId="77777777" w:rsidR="00B47FF5" w:rsidRDefault="00B47FF5" w:rsidP="00537CC8">
      <w:pPr>
        <w:pStyle w:val="FootnoteText"/>
      </w:pPr>
      <w:r>
        <w:rPr>
          <w:rStyle w:val="FootnoteReference"/>
        </w:rPr>
        <w:footnoteRef/>
      </w:r>
      <w:r>
        <w:rPr>
          <w:rtl/>
        </w:rPr>
        <w:t xml:space="preserve"> </w:t>
      </w:r>
      <w:r w:rsidRPr="00357C3E">
        <w:t>Anne-Lise Kjaer</w:t>
      </w:r>
    </w:p>
  </w:footnote>
  <w:footnote w:id="3125">
    <w:p w14:paraId="33CFA21F" w14:textId="77777777" w:rsidR="00B47FF5" w:rsidRDefault="00B47FF5" w:rsidP="00537CC8">
      <w:pPr>
        <w:pStyle w:val="FootnoteText"/>
      </w:pPr>
      <w:r>
        <w:rPr>
          <w:rStyle w:val="FootnoteReference"/>
        </w:rPr>
        <w:footnoteRef/>
      </w:r>
      <w:r>
        <w:rPr>
          <w:rtl/>
        </w:rPr>
        <w:t xml:space="preserve"> </w:t>
      </w:r>
      <w:r w:rsidRPr="00357C3E">
        <w:t>Liam Fahey</w:t>
      </w:r>
    </w:p>
  </w:footnote>
  <w:footnote w:id="3126">
    <w:p w14:paraId="3F8B5E45" w14:textId="77777777" w:rsidR="00B47FF5" w:rsidRDefault="00B47FF5" w:rsidP="00537CC8">
      <w:pPr>
        <w:pStyle w:val="FootnoteText"/>
      </w:pPr>
      <w:r>
        <w:rPr>
          <w:rStyle w:val="FootnoteReference"/>
        </w:rPr>
        <w:footnoteRef/>
      </w:r>
      <w:r>
        <w:rPr>
          <w:rtl/>
        </w:rPr>
        <w:t xml:space="preserve"> </w:t>
      </w:r>
      <w:r w:rsidRPr="00357C3E">
        <w:t>Durham</w:t>
      </w:r>
    </w:p>
  </w:footnote>
  <w:footnote w:id="3127">
    <w:p w14:paraId="60AC6331" w14:textId="77777777" w:rsidR="00B47FF5" w:rsidRDefault="00B47FF5" w:rsidP="00537CC8">
      <w:pPr>
        <w:pStyle w:val="FootnoteText"/>
      </w:pPr>
      <w:r>
        <w:rPr>
          <w:rStyle w:val="FootnoteReference"/>
        </w:rPr>
        <w:footnoteRef/>
      </w:r>
      <w:r>
        <w:rPr>
          <w:rtl/>
        </w:rPr>
        <w:t xml:space="preserve"> </w:t>
      </w:r>
      <w:r w:rsidRPr="00357C3E">
        <w:t>Stewart Brand</w:t>
      </w:r>
    </w:p>
  </w:footnote>
  <w:footnote w:id="3128">
    <w:p w14:paraId="50663EBE" w14:textId="77777777" w:rsidR="00B47FF5" w:rsidRDefault="00B47FF5" w:rsidP="00537CC8">
      <w:pPr>
        <w:pStyle w:val="FootnoteText"/>
      </w:pPr>
      <w:r>
        <w:rPr>
          <w:rStyle w:val="FootnoteReference"/>
        </w:rPr>
        <w:footnoteRef/>
      </w:r>
      <w:r>
        <w:rPr>
          <w:rtl/>
        </w:rPr>
        <w:t xml:space="preserve"> </w:t>
      </w:r>
      <w:r w:rsidRPr="00357C3E">
        <w:t>Alex Rose</w:t>
      </w:r>
    </w:p>
  </w:footnote>
  <w:footnote w:id="3129">
    <w:p w14:paraId="7D81E718" w14:textId="77777777" w:rsidR="00B47FF5" w:rsidRDefault="00B47FF5" w:rsidP="00537CC8">
      <w:pPr>
        <w:pStyle w:val="FootnoteText"/>
      </w:pPr>
      <w:r>
        <w:rPr>
          <w:rStyle w:val="FootnoteReference"/>
        </w:rPr>
        <w:footnoteRef/>
      </w:r>
      <w:r>
        <w:rPr>
          <w:rtl/>
        </w:rPr>
        <w:t xml:space="preserve"> </w:t>
      </w:r>
      <w:r w:rsidRPr="00357C3E">
        <w:t>Nathalie Bassaler</w:t>
      </w:r>
    </w:p>
  </w:footnote>
  <w:footnote w:id="3130">
    <w:p w14:paraId="7B8B8F62" w14:textId="77777777" w:rsidR="00B47FF5" w:rsidRDefault="00B47FF5" w:rsidP="00537CC8">
      <w:pPr>
        <w:pStyle w:val="FootnoteText"/>
      </w:pPr>
      <w:r>
        <w:rPr>
          <w:rStyle w:val="FootnoteReference"/>
        </w:rPr>
        <w:footnoteRef/>
      </w:r>
      <w:r>
        <w:rPr>
          <w:rtl/>
        </w:rPr>
        <w:t xml:space="preserve"> </w:t>
      </w:r>
      <w:r w:rsidRPr="00357C3E">
        <w:t>Mary Beth McEuen</w:t>
      </w:r>
    </w:p>
  </w:footnote>
  <w:footnote w:id="3131">
    <w:p w14:paraId="3408929F" w14:textId="77777777" w:rsidR="00B47FF5" w:rsidRDefault="00B47FF5" w:rsidP="00537CC8">
      <w:pPr>
        <w:pStyle w:val="FootnoteText"/>
      </w:pPr>
      <w:r>
        <w:rPr>
          <w:rStyle w:val="FootnoteReference"/>
        </w:rPr>
        <w:footnoteRef/>
      </w:r>
      <w:r>
        <w:rPr>
          <w:rtl/>
        </w:rPr>
        <w:t xml:space="preserve"> </w:t>
      </w:r>
      <w:r w:rsidRPr="00357C3E">
        <w:t>Terrence Med</w:t>
      </w:r>
    </w:p>
  </w:footnote>
  <w:footnote w:id="3132">
    <w:p w14:paraId="47EDA684" w14:textId="77777777" w:rsidR="00B47FF5" w:rsidRDefault="00B47FF5" w:rsidP="00537CC8">
      <w:pPr>
        <w:pStyle w:val="FootnoteText"/>
      </w:pPr>
      <w:r>
        <w:rPr>
          <w:rStyle w:val="FootnoteReference"/>
        </w:rPr>
        <w:footnoteRef/>
      </w:r>
      <w:r>
        <w:rPr>
          <w:rtl/>
        </w:rPr>
        <w:t xml:space="preserve"> </w:t>
      </w:r>
      <w:r w:rsidRPr="00357C3E">
        <w:t>Kevin Booth</w:t>
      </w:r>
    </w:p>
  </w:footnote>
  <w:footnote w:id="3133">
    <w:p w14:paraId="0319FE1C" w14:textId="77777777" w:rsidR="00B47FF5" w:rsidRDefault="00B47FF5" w:rsidP="00537CC8">
      <w:pPr>
        <w:pStyle w:val="FootnoteText"/>
      </w:pPr>
      <w:r>
        <w:rPr>
          <w:rStyle w:val="FootnoteReference"/>
        </w:rPr>
        <w:footnoteRef/>
      </w:r>
      <w:r>
        <w:rPr>
          <w:rtl/>
        </w:rPr>
        <w:t xml:space="preserve"> </w:t>
      </w:r>
      <w:r w:rsidRPr="003E07C1">
        <w:t>Peter Schward</w:t>
      </w:r>
    </w:p>
  </w:footnote>
  <w:footnote w:id="3134">
    <w:p w14:paraId="173617B8" w14:textId="77777777" w:rsidR="00B47FF5" w:rsidRDefault="00B47FF5" w:rsidP="00537CC8">
      <w:pPr>
        <w:pStyle w:val="FootnoteText"/>
      </w:pPr>
      <w:r>
        <w:rPr>
          <w:rStyle w:val="FootnoteReference"/>
        </w:rPr>
        <w:footnoteRef/>
      </w:r>
      <w:r>
        <w:rPr>
          <w:rtl/>
        </w:rPr>
        <w:t xml:space="preserve"> </w:t>
      </w:r>
      <w:r w:rsidRPr="003E07C1">
        <w:t>Jessica Bland</w:t>
      </w:r>
    </w:p>
  </w:footnote>
  <w:footnote w:id="3135">
    <w:p w14:paraId="1138B362" w14:textId="77777777" w:rsidR="00B47FF5" w:rsidRDefault="00B47FF5" w:rsidP="00537CC8">
      <w:pPr>
        <w:pStyle w:val="FootnoteText"/>
      </w:pPr>
      <w:r>
        <w:rPr>
          <w:rStyle w:val="FootnoteReference"/>
        </w:rPr>
        <w:footnoteRef/>
      </w:r>
      <w:r>
        <w:rPr>
          <w:rtl/>
        </w:rPr>
        <w:t xml:space="preserve"> </w:t>
      </w:r>
      <w:r w:rsidRPr="003E07C1">
        <w:t>Stian Westlake</w:t>
      </w:r>
    </w:p>
  </w:footnote>
  <w:footnote w:id="3136">
    <w:p w14:paraId="4746704C" w14:textId="77777777" w:rsidR="00B47FF5" w:rsidRDefault="00B47FF5" w:rsidP="00537CC8">
      <w:pPr>
        <w:pStyle w:val="FootnoteText"/>
      </w:pPr>
      <w:r>
        <w:rPr>
          <w:rStyle w:val="FootnoteReference"/>
        </w:rPr>
        <w:footnoteRef/>
      </w:r>
      <w:r>
        <w:rPr>
          <w:rtl/>
        </w:rPr>
        <w:t xml:space="preserve"> </w:t>
      </w:r>
      <w:r w:rsidRPr="003E07C1">
        <w:t>Elin Rudberg</w:t>
      </w:r>
    </w:p>
  </w:footnote>
  <w:footnote w:id="3137">
    <w:p w14:paraId="744EE833" w14:textId="77777777" w:rsidR="00B47FF5" w:rsidRDefault="00B47FF5" w:rsidP="00537CC8">
      <w:pPr>
        <w:pStyle w:val="FootnoteText"/>
      </w:pPr>
      <w:r>
        <w:rPr>
          <w:rStyle w:val="FootnoteReference"/>
        </w:rPr>
        <w:footnoteRef/>
      </w:r>
      <w:r>
        <w:rPr>
          <w:rtl/>
        </w:rPr>
        <w:t xml:space="preserve"> </w:t>
      </w:r>
      <w:r w:rsidRPr="003E07C1">
        <w:t>Daniel Gronquist</w:t>
      </w:r>
    </w:p>
  </w:footnote>
  <w:footnote w:id="3138">
    <w:p w14:paraId="122EEF81" w14:textId="77777777" w:rsidR="00B47FF5" w:rsidRDefault="00B47FF5" w:rsidP="00537CC8">
      <w:pPr>
        <w:pStyle w:val="FootnoteText"/>
      </w:pPr>
      <w:r>
        <w:rPr>
          <w:rStyle w:val="FootnoteReference"/>
        </w:rPr>
        <w:footnoteRef/>
      </w:r>
      <w:r>
        <w:rPr>
          <w:rtl/>
        </w:rPr>
        <w:t xml:space="preserve"> </w:t>
      </w:r>
      <w:r w:rsidRPr="003E07C1">
        <w:t>Piers Fawkes</w:t>
      </w:r>
    </w:p>
  </w:footnote>
  <w:footnote w:id="3139">
    <w:p w14:paraId="2DA6EED2" w14:textId="77777777" w:rsidR="00B47FF5" w:rsidRDefault="00B47FF5" w:rsidP="00537CC8">
      <w:pPr>
        <w:pStyle w:val="FootnoteText"/>
      </w:pPr>
      <w:r>
        <w:rPr>
          <w:rStyle w:val="FootnoteReference"/>
        </w:rPr>
        <w:footnoteRef/>
      </w:r>
      <w:r>
        <w:rPr>
          <w:rtl/>
        </w:rPr>
        <w:t xml:space="preserve"> </w:t>
      </w:r>
      <w:r w:rsidRPr="003E07C1">
        <w:t>Thousand Oaks</w:t>
      </w:r>
    </w:p>
  </w:footnote>
  <w:footnote w:id="3140">
    <w:p w14:paraId="7824C8A6" w14:textId="77777777" w:rsidR="00B47FF5" w:rsidRDefault="00B47FF5" w:rsidP="00537CC8">
      <w:pPr>
        <w:pStyle w:val="FootnoteText"/>
      </w:pPr>
      <w:r>
        <w:rPr>
          <w:rStyle w:val="FootnoteReference"/>
        </w:rPr>
        <w:footnoteRef/>
      </w:r>
      <w:r>
        <w:rPr>
          <w:rtl/>
        </w:rPr>
        <w:t xml:space="preserve"> </w:t>
      </w:r>
      <w:r w:rsidRPr="003E07C1">
        <w:t>Alexander Fink</w:t>
      </w:r>
    </w:p>
  </w:footnote>
  <w:footnote w:id="3141">
    <w:p w14:paraId="36328AC1" w14:textId="77777777" w:rsidR="00B47FF5" w:rsidRDefault="00B47FF5" w:rsidP="00537CC8">
      <w:pPr>
        <w:pStyle w:val="FootnoteText"/>
      </w:pPr>
      <w:r>
        <w:rPr>
          <w:rStyle w:val="FootnoteReference"/>
        </w:rPr>
        <w:footnoteRef/>
      </w:r>
      <w:r>
        <w:rPr>
          <w:rtl/>
        </w:rPr>
        <w:t xml:space="preserve"> </w:t>
      </w:r>
      <w:r w:rsidRPr="003E07C1">
        <w:t>Bruce Bueno de Mesquita</w:t>
      </w:r>
    </w:p>
  </w:footnote>
  <w:footnote w:id="3142">
    <w:p w14:paraId="4C01F118" w14:textId="77777777" w:rsidR="00B47FF5" w:rsidRDefault="00B47FF5" w:rsidP="00537CC8">
      <w:pPr>
        <w:pStyle w:val="FootnoteText"/>
      </w:pPr>
      <w:r>
        <w:rPr>
          <w:rStyle w:val="FootnoteReference"/>
        </w:rPr>
        <w:footnoteRef/>
      </w:r>
      <w:r>
        <w:rPr>
          <w:rtl/>
        </w:rPr>
        <w:t xml:space="preserve"> </w:t>
      </w:r>
      <w:r w:rsidRPr="003E07C1">
        <w:t>Rita Westvik</w:t>
      </w:r>
    </w:p>
  </w:footnote>
  <w:footnote w:id="3143">
    <w:p w14:paraId="018AFD8A" w14:textId="77777777" w:rsidR="00B47FF5" w:rsidRDefault="00B47FF5" w:rsidP="00537CC8">
      <w:pPr>
        <w:pStyle w:val="FootnoteText"/>
      </w:pPr>
      <w:r>
        <w:rPr>
          <w:rStyle w:val="FootnoteReference"/>
        </w:rPr>
        <w:footnoteRef/>
      </w:r>
      <w:r>
        <w:rPr>
          <w:rtl/>
        </w:rPr>
        <w:t xml:space="preserve"> </w:t>
      </w:r>
      <w:r w:rsidRPr="003E07C1">
        <w:t>James Gardner</w:t>
      </w:r>
    </w:p>
  </w:footnote>
  <w:footnote w:id="3144">
    <w:p w14:paraId="4C2D461D" w14:textId="77777777" w:rsidR="00B47FF5" w:rsidRDefault="00B47FF5" w:rsidP="00537CC8">
      <w:pPr>
        <w:pStyle w:val="FootnoteText"/>
      </w:pPr>
      <w:r>
        <w:rPr>
          <w:rStyle w:val="FootnoteReference"/>
        </w:rPr>
        <w:footnoteRef/>
      </w:r>
      <w:r>
        <w:rPr>
          <w:rtl/>
        </w:rPr>
        <w:t xml:space="preserve"> </w:t>
      </w:r>
      <w:r w:rsidRPr="003E07C1">
        <w:t>Pleasanton</w:t>
      </w:r>
    </w:p>
  </w:footnote>
  <w:footnote w:id="3145">
    <w:p w14:paraId="7FE79C1A" w14:textId="77777777" w:rsidR="00B47FF5" w:rsidRDefault="00B47FF5" w:rsidP="00537CC8">
      <w:pPr>
        <w:pStyle w:val="FootnoteText"/>
      </w:pPr>
      <w:r>
        <w:rPr>
          <w:rStyle w:val="FootnoteReference"/>
        </w:rPr>
        <w:footnoteRef/>
      </w:r>
      <w:r>
        <w:rPr>
          <w:rtl/>
        </w:rPr>
        <w:t xml:space="preserve"> </w:t>
      </w:r>
      <w:r w:rsidRPr="003E07C1">
        <w:t>George Friedman</w:t>
      </w:r>
    </w:p>
  </w:footnote>
  <w:footnote w:id="3146">
    <w:p w14:paraId="735C8761" w14:textId="77777777" w:rsidR="00B47FF5" w:rsidRDefault="00B47FF5" w:rsidP="00537CC8">
      <w:pPr>
        <w:pStyle w:val="FootnoteText"/>
      </w:pPr>
      <w:r>
        <w:rPr>
          <w:rStyle w:val="FootnoteReference"/>
        </w:rPr>
        <w:footnoteRef/>
      </w:r>
      <w:r>
        <w:rPr>
          <w:rtl/>
        </w:rPr>
        <w:t xml:space="preserve"> </w:t>
      </w:r>
      <w:r w:rsidRPr="00F45EB0">
        <w:t>Bill Halal</w:t>
      </w:r>
    </w:p>
  </w:footnote>
  <w:footnote w:id="3147">
    <w:p w14:paraId="3FC290D8" w14:textId="77777777" w:rsidR="00B47FF5" w:rsidRDefault="00B47FF5" w:rsidP="00537CC8">
      <w:pPr>
        <w:pStyle w:val="FootnoteText"/>
      </w:pPr>
      <w:r>
        <w:rPr>
          <w:rStyle w:val="FootnoteReference"/>
        </w:rPr>
        <w:footnoteRef/>
      </w:r>
      <w:r>
        <w:rPr>
          <w:rtl/>
        </w:rPr>
        <w:t xml:space="preserve"> </w:t>
      </w:r>
      <w:r w:rsidRPr="00F45EB0">
        <w:t>Ari Palflala</w:t>
      </w:r>
    </w:p>
  </w:footnote>
  <w:footnote w:id="3148">
    <w:p w14:paraId="263B8B02" w14:textId="77777777" w:rsidR="00B47FF5" w:rsidRDefault="00B47FF5" w:rsidP="00537CC8">
      <w:pPr>
        <w:pStyle w:val="FootnoteText"/>
      </w:pPr>
      <w:r>
        <w:rPr>
          <w:rStyle w:val="FootnoteReference"/>
        </w:rPr>
        <w:footnoteRef/>
      </w:r>
      <w:r>
        <w:rPr>
          <w:rtl/>
        </w:rPr>
        <w:t xml:space="preserve"> </w:t>
      </w:r>
      <w:r w:rsidRPr="00F45EB0">
        <w:t>John Vanston</w:t>
      </w:r>
    </w:p>
  </w:footnote>
  <w:footnote w:id="3149">
    <w:p w14:paraId="55508BB7" w14:textId="77777777" w:rsidR="00B47FF5" w:rsidRDefault="00B47FF5" w:rsidP="00537CC8">
      <w:pPr>
        <w:pStyle w:val="FootnoteText"/>
      </w:pPr>
      <w:r>
        <w:rPr>
          <w:rStyle w:val="FootnoteReference"/>
        </w:rPr>
        <w:footnoteRef/>
      </w:r>
      <w:r>
        <w:rPr>
          <w:rtl/>
        </w:rPr>
        <w:t xml:space="preserve"> </w:t>
      </w:r>
      <w:r w:rsidRPr="00F45EB0">
        <w:t>Carrie Vanston</w:t>
      </w:r>
    </w:p>
  </w:footnote>
  <w:footnote w:id="3150">
    <w:p w14:paraId="0E0CC9F8" w14:textId="77777777" w:rsidR="00B47FF5" w:rsidRDefault="00B47FF5" w:rsidP="00537CC8">
      <w:pPr>
        <w:pStyle w:val="FootnoteText"/>
      </w:pPr>
      <w:r>
        <w:rPr>
          <w:rStyle w:val="FootnoteReference"/>
        </w:rPr>
        <w:footnoteRef/>
      </w:r>
      <w:r>
        <w:rPr>
          <w:rtl/>
        </w:rPr>
        <w:t xml:space="preserve"> </w:t>
      </w:r>
      <w:r w:rsidRPr="00F45EB0">
        <w:t>Jerome Glenn</w:t>
      </w:r>
    </w:p>
  </w:footnote>
  <w:footnote w:id="3151">
    <w:p w14:paraId="1BACE472" w14:textId="77777777" w:rsidR="00B47FF5" w:rsidRDefault="00B47FF5" w:rsidP="00537CC8">
      <w:pPr>
        <w:pStyle w:val="FootnoteText"/>
      </w:pPr>
      <w:r>
        <w:rPr>
          <w:rStyle w:val="FootnoteReference"/>
        </w:rPr>
        <w:footnoteRef/>
      </w:r>
      <w:r>
        <w:rPr>
          <w:rtl/>
        </w:rPr>
        <w:t xml:space="preserve"> </w:t>
      </w:r>
      <w:r w:rsidRPr="00F45EB0">
        <w:t>Ted Gordon</w:t>
      </w:r>
    </w:p>
  </w:footnote>
  <w:footnote w:id="3152">
    <w:p w14:paraId="52C4A97A" w14:textId="77777777" w:rsidR="00B47FF5" w:rsidRDefault="00B47FF5" w:rsidP="00537CC8">
      <w:pPr>
        <w:pStyle w:val="FootnoteText"/>
      </w:pPr>
      <w:r>
        <w:rPr>
          <w:rStyle w:val="FootnoteReference"/>
        </w:rPr>
        <w:footnoteRef/>
      </w:r>
      <w:r>
        <w:rPr>
          <w:rtl/>
        </w:rPr>
        <w:t xml:space="preserve"> </w:t>
      </w:r>
      <w:r w:rsidRPr="00F45EB0">
        <w:t>Deborah Westphal</w:t>
      </w:r>
    </w:p>
  </w:footnote>
  <w:footnote w:id="3153">
    <w:p w14:paraId="5DA692C6" w14:textId="77777777" w:rsidR="00B47FF5" w:rsidRDefault="00B47FF5" w:rsidP="00537CC8">
      <w:pPr>
        <w:pStyle w:val="FootnoteText"/>
      </w:pPr>
      <w:r>
        <w:rPr>
          <w:rStyle w:val="FootnoteReference"/>
        </w:rPr>
        <w:footnoteRef/>
      </w:r>
      <w:r>
        <w:rPr>
          <w:rtl/>
        </w:rPr>
        <w:t xml:space="preserve"> </w:t>
      </w:r>
      <w:r w:rsidRPr="00F45EB0">
        <w:t>Maflhias Horx</w:t>
      </w:r>
    </w:p>
  </w:footnote>
  <w:footnote w:id="3154">
    <w:p w14:paraId="5A598D85" w14:textId="77777777" w:rsidR="00B47FF5" w:rsidRDefault="00B47FF5" w:rsidP="00537CC8">
      <w:pPr>
        <w:pStyle w:val="FootnoteText"/>
      </w:pPr>
      <w:r>
        <w:rPr>
          <w:rStyle w:val="FootnoteReference"/>
        </w:rPr>
        <w:footnoteRef/>
      </w:r>
      <w:r>
        <w:rPr>
          <w:rtl/>
        </w:rPr>
        <w:t xml:space="preserve"> </w:t>
      </w:r>
      <w:r w:rsidRPr="00F45EB0">
        <w:t>Oona Strathern</w:t>
      </w:r>
    </w:p>
  </w:footnote>
  <w:footnote w:id="3155">
    <w:p w14:paraId="38970E1E" w14:textId="77777777" w:rsidR="00B47FF5" w:rsidRDefault="00B47FF5" w:rsidP="00537CC8">
      <w:pPr>
        <w:pStyle w:val="FootnoteText"/>
      </w:pPr>
      <w:r>
        <w:rPr>
          <w:rStyle w:val="FootnoteReference"/>
        </w:rPr>
        <w:footnoteRef/>
      </w:r>
      <w:r>
        <w:rPr>
          <w:rtl/>
        </w:rPr>
        <w:t xml:space="preserve"> </w:t>
      </w:r>
      <w:r w:rsidRPr="00713E66">
        <w:t>Gerald Celente</w:t>
      </w:r>
    </w:p>
  </w:footnote>
  <w:footnote w:id="3156">
    <w:p w14:paraId="160576D5" w14:textId="77777777" w:rsidR="00B47FF5" w:rsidRDefault="00B47FF5" w:rsidP="00537CC8">
      <w:pPr>
        <w:pStyle w:val="FootnoteText"/>
      </w:pPr>
      <w:r>
        <w:rPr>
          <w:rStyle w:val="FootnoteReference"/>
        </w:rPr>
        <w:footnoteRef/>
      </w:r>
      <w:r>
        <w:rPr>
          <w:rtl/>
        </w:rPr>
        <w:t xml:space="preserve"> </w:t>
      </w:r>
      <w:r w:rsidRPr="00713E66">
        <w:t>David Maflin</w:t>
      </w:r>
    </w:p>
  </w:footnote>
  <w:footnote w:id="3157">
    <w:p w14:paraId="6AAC8C5D" w14:textId="77777777" w:rsidR="00B47FF5" w:rsidRDefault="00B47FF5" w:rsidP="00537CC8">
      <w:pPr>
        <w:pStyle w:val="FootnoteText"/>
      </w:pPr>
      <w:r>
        <w:rPr>
          <w:rStyle w:val="FootnoteReference"/>
        </w:rPr>
        <w:footnoteRef/>
      </w:r>
      <w:r>
        <w:rPr>
          <w:rtl/>
        </w:rPr>
        <w:t xml:space="preserve"> </w:t>
      </w:r>
      <w:r w:rsidRPr="00713E66">
        <w:t>Edie Weiner</w:t>
      </w:r>
    </w:p>
  </w:footnote>
  <w:footnote w:id="3158">
    <w:p w14:paraId="7891B475" w14:textId="77777777" w:rsidR="00B47FF5" w:rsidRDefault="00B47FF5" w:rsidP="00537CC8">
      <w:pPr>
        <w:pStyle w:val="FootnoteText"/>
      </w:pPr>
      <w:r>
        <w:rPr>
          <w:rStyle w:val="FootnoteReference"/>
        </w:rPr>
        <w:footnoteRef/>
      </w:r>
      <w:r>
        <w:rPr>
          <w:rtl/>
        </w:rPr>
        <w:t xml:space="preserve"> </w:t>
      </w:r>
      <w:r w:rsidRPr="00713E66">
        <w:t>Erica Orange</w:t>
      </w:r>
    </w:p>
  </w:footnote>
  <w:footnote w:id="3159">
    <w:p w14:paraId="08C4E332" w14:textId="77777777" w:rsidR="00B47FF5" w:rsidRDefault="00B47FF5" w:rsidP="00537CC8">
      <w:pPr>
        <w:pStyle w:val="FootnoteText"/>
      </w:pPr>
      <w:r>
        <w:rPr>
          <w:rStyle w:val="FootnoteReference"/>
        </w:rPr>
        <w:footnoteRef/>
      </w:r>
      <w:r>
        <w:rPr>
          <w:rtl/>
        </w:rPr>
        <w:t xml:space="preserve"> </w:t>
      </w:r>
      <w:r w:rsidRPr="00713E66">
        <w:t>Josh Lindenger</w:t>
      </w:r>
    </w:p>
  </w:footnote>
  <w:footnote w:id="3160">
    <w:p w14:paraId="044C9DDB" w14:textId="77777777" w:rsidR="00B47FF5" w:rsidRDefault="00B47FF5" w:rsidP="00537CC8">
      <w:pPr>
        <w:pStyle w:val="FootnoteText"/>
      </w:pPr>
      <w:r>
        <w:rPr>
          <w:rStyle w:val="FootnoteReference"/>
        </w:rPr>
        <w:footnoteRef/>
      </w:r>
      <w:r>
        <w:rPr>
          <w:rtl/>
        </w:rPr>
        <w:t xml:space="preserve"> </w:t>
      </w:r>
      <w:r w:rsidRPr="00713E66">
        <w:t>Peter Diamandis</w:t>
      </w:r>
    </w:p>
  </w:footnote>
  <w:footnote w:id="3161">
    <w:p w14:paraId="0A507FE0" w14:textId="77777777" w:rsidR="00B47FF5" w:rsidRDefault="00B47FF5" w:rsidP="00537CC8">
      <w:pPr>
        <w:pStyle w:val="FootnoteText"/>
      </w:pPr>
      <w:r>
        <w:rPr>
          <w:rStyle w:val="FootnoteReference"/>
        </w:rPr>
        <w:footnoteRef/>
      </w:r>
      <w:r>
        <w:rPr>
          <w:rtl/>
        </w:rPr>
        <w:t xml:space="preserve"> </w:t>
      </w:r>
      <w:r w:rsidRPr="00713E66">
        <w:t>Cornelia Daheim</w:t>
      </w:r>
    </w:p>
  </w:footnote>
  <w:footnote w:id="3162">
    <w:p w14:paraId="4D467962" w14:textId="77777777" w:rsidR="00B47FF5" w:rsidRDefault="00B47FF5" w:rsidP="00537CC8">
      <w:pPr>
        <w:pStyle w:val="FootnoteText"/>
      </w:pPr>
      <w:r>
        <w:rPr>
          <w:rStyle w:val="FootnoteReference"/>
        </w:rPr>
        <w:footnoteRef/>
      </w:r>
      <w:r>
        <w:rPr>
          <w:rtl/>
        </w:rPr>
        <w:t xml:space="preserve"> </w:t>
      </w:r>
      <w:r w:rsidRPr="002D2450">
        <w:t>Charles Fadel</w:t>
      </w:r>
    </w:p>
  </w:footnote>
  <w:footnote w:id="3163">
    <w:p w14:paraId="23AB899B" w14:textId="77777777" w:rsidR="00B47FF5" w:rsidRDefault="00B47FF5" w:rsidP="00537CC8">
      <w:pPr>
        <w:pStyle w:val="FootnoteText"/>
      </w:pPr>
      <w:r>
        <w:rPr>
          <w:rStyle w:val="FootnoteReference"/>
        </w:rPr>
        <w:footnoteRef/>
      </w:r>
      <w:r>
        <w:rPr>
          <w:rtl/>
        </w:rPr>
        <w:t xml:space="preserve"> </w:t>
      </w:r>
      <w:r w:rsidRPr="002D2450">
        <w:t>Kacper Nosarewski</w:t>
      </w:r>
    </w:p>
  </w:footnote>
  <w:footnote w:id="3164">
    <w:p w14:paraId="06CAD375" w14:textId="77777777" w:rsidR="00B47FF5" w:rsidRDefault="00B47FF5" w:rsidP="00537CC8">
      <w:pPr>
        <w:pStyle w:val="FootnoteText"/>
      </w:pPr>
      <w:r>
        <w:rPr>
          <w:rStyle w:val="FootnoteReference"/>
        </w:rPr>
        <w:footnoteRef/>
      </w:r>
      <w:r>
        <w:rPr>
          <w:rtl/>
        </w:rPr>
        <w:t xml:space="preserve"> </w:t>
      </w:r>
      <w:r w:rsidRPr="002D2450">
        <w:t>Rejean Bourgault</w:t>
      </w:r>
    </w:p>
  </w:footnote>
  <w:footnote w:id="3165">
    <w:p w14:paraId="2E1EE24F" w14:textId="77777777" w:rsidR="00B47FF5" w:rsidRDefault="00B47FF5" w:rsidP="00537CC8">
      <w:pPr>
        <w:pStyle w:val="FootnoteText"/>
      </w:pPr>
      <w:r>
        <w:rPr>
          <w:rStyle w:val="FootnoteReference"/>
        </w:rPr>
        <w:footnoteRef/>
      </w:r>
      <w:r>
        <w:rPr>
          <w:rtl/>
        </w:rPr>
        <w:t xml:space="preserve"> </w:t>
      </w:r>
      <w:r w:rsidRPr="002D2450">
        <w:t>Olivier Adam</w:t>
      </w:r>
    </w:p>
  </w:footnote>
  <w:footnote w:id="3166">
    <w:p w14:paraId="71DCAA04" w14:textId="77777777" w:rsidR="00B47FF5" w:rsidRPr="00D335B2" w:rsidRDefault="00B47FF5" w:rsidP="00537CC8">
      <w:pPr>
        <w:pStyle w:val="FootnoteText"/>
      </w:pPr>
      <w:r w:rsidRPr="00D335B2">
        <w:rPr>
          <w:rStyle w:val="FootnoteReference"/>
        </w:rPr>
        <w:footnoteRef/>
      </w:r>
      <w:r w:rsidRPr="00D335B2">
        <w:rPr>
          <w:rtl/>
        </w:rPr>
        <w:t xml:space="preserve"> </w:t>
      </w:r>
      <w:r w:rsidRPr="00D335B2">
        <w:t>John Smart</w:t>
      </w:r>
    </w:p>
  </w:footnote>
  <w:footnote w:id="3167">
    <w:p w14:paraId="397359EF" w14:textId="77777777" w:rsidR="00B47FF5" w:rsidRDefault="00B47FF5" w:rsidP="00537CC8">
      <w:pPr>
        <w:pStyle w:val="FootnoteText"/>
      </w:pPr>
      <w:r>
        <w:rPr>
          <w:rStyle w:val="FootnoteReference"/>
        </w:rPr>
        <w:footnoteRef/>
      </w:r>
      <w:r>
        <w:rPr>
          <w:rtl/>
        </w:rPr>
        <w:t xml:space="preserve"> </w:t>
      </w:r>
      <w:r w:rsidRPr="002D2450">
        <w:t>Joan Fold</w:t>
      </w:r>
    </w:p>
  </w:footnote>
  <w:footnote w:id="3168">
    <w:p w14:paraId="194DF0AE" w14:textId="77777777" w:rsidR="00B47FF5" w:rsidRDefault="00B47FF5" w:rsidP="00537CC8">
      <w:pPr>
        <w:pStyle w:val="FootnoteText"/>
      </w:pPr>
      <w:r>
        <w:rPr>
          <w:rStyle w:val="FootnoteReference"/>
        </w:rPr>
        <w:footnoteRef/>
      </w:r>
      <w:r>
        <w:rPr>
          <w:rtl/>
        </w:rPr>
        <w:t xml:space="preserve"> </w:t>
      </w:r>
      <w:r w:rsidRPr="002D2450">
        <w:t>Tempe</w:t>
      </w:r>
    </w:p>
  </w:footnote>
  <w:footnote w:id="3169">
    <w:p w14:paraId="5E17084B" w14:textId="77777777" w:rsidR="00B47FF5" w:rsidRDefault="00B47FF5" w:rsidP="00537CC8">
      <w:pPr>
        <w:pStyle w:val="FootnoteText"/>
      </w:pPr>
      <w:r>
        <w:rPr>
          <w:rStyle w:val="FootnoteReference"/>
        </w:rPr>
        <w:footnoteRef/>
      </w:r>
      <w:r>
        <w:rPr>
          <w:rtl/>
        </w:rPr>
        <w:t xml:space="preserve"> </w:t>
      </w:r>
      <w:r w:rsidRPr="002D2450">
        <w:t>Tuomo Kuosa</w:t>
      </w:r>
    </w:p>
  </w:footnote>
  <w:footnote w:id="3170">
    <w:p w14:paraId="34A61138" w14:textId="77777777" w:rsidR="00B47FF5" w:rsidRDefault="00B47FF5" w:rsidP="00537CC8">
      <w:pPr>
        <w:pStyle w:val="FootnoteText"/>
      </w:pPr>
      <w:r>
        <w:rPr>
          <w:rStyle w:val="FootnoteReference"/>
        </w:rPr>
        <w:footnoteRef/>
      </w:r>
      <w:r>
        <w:rPr>
          <w:rtl/>
        </w:rPr>
        <w:t xml:space="preserve"> </w:t>
      </w:r>
      <w:r w:rsidRPr="002D2450">
        <w:t>Christian Crews</w:t>
      </w:r>
    </w:p>
  </w:footnote>
  <w:footnote w:id="3171">
    <w:p w14:paraId="61EF615E" w14:textId="77777777" w:rsidR="00B47FF5" w:rsidRDefault="00B47FF5" w:rsidP="00537CC8">
      <w:pPr>
        <w:pStyle w:val="FootnoteText"/>
      </w:pPr>
      <w:r>
        <w:rPr>
          <w:rStyle w:val="FootnoteReference"/>
        </w:rPr>
        <w:footnoteRef/>
      </w:r>
      <w:r>
        <w:rPr>
          <w:rtl/>
        </w:rPr>
        <w:t xml:space="preserve"> </w:t>
      </w:r>
      <w:r w:rsidRPr="002D2450">
        <w:t>Richard Hames</w:t>
      </w:r>
    </w:p>
  </w:footnote>
  <w:footnote w:id="3172">
    <w:p w14:paraId="37772CB0" w14:textId="77777777" w:rsidR="00B47FF5" w:rsidRDefault="00B47FF5" w:rsidP="00537CC8">
      <w:pPr>
        <w:pStyle w:val="FootnoteText"/>
      </w:pPr>
      <w:r>
        <w:rPr>
          <w:rStyle w:val="FootnoteReference"/>
        </w:rPr>
        <w:footnoteRef/>
      </w:r>
      <w:r>
        <w:rPr>
          <w:rtl/>
        </w:rPr>
        <w:t xml:space="preserve"> </w:t>
      </w:r>
      <w:r w:rsidRPr="002D2450">
        <w:t>Alex Howe</w:t>
      </w:r>
    </w:p>
  </w:footnote>
  <w:footnote w:id="3173">
    <w:p w14:paraId="71FA3819" w14:textId="77777777" w:rsidR="00B47FF5" w:rsidRDefault="00B47FF5" w:rsidP="00537CC8">
      <w:pPr>
        <w:pStyle w:val="FootnoteText"/>
      </w:pPr>
      <w:r>
        <w:rPr>
          <w:rStyle w:val="FootnoteReference"/>
        </w:rPr>
        <w:footnoteRef/>
      </w:r>
      <w:r>
        <w:rPr>
          <w:rtl/>
        </w:rPr>
        <w:t xml:space="preserve"> </w:t>
      </w:r>
      <w:r w:rsidRPr="002D2450">
        <w:t>Kristin Alford</w:t>
      </w:r>
    </w:p>
  </w:footnote>
  <w:footnote w:id="3174">
    <w:p w14:paraId="274700F5" w14:textId="77777777" w:rsidR="00B47FF5" w:rsidRDefault="00B47FF5" w:rsidP="00537CC8">
      <w:pPr>
        <w:pStyle w:val="FootnoteText"/>
      </w:pPr>
      <w:r>
        <w:rPr>
          <w:rStyle w:val="FootnoteReference"/>
        </w:rPr>
        <w:footnoteRef/>
      </w:r>
      <w:r>
        <w:rPr>
          <w:rtl/>
        </w:rPr>
        <w:t xml:space="preserve"> </w:t>
      </w:r>
      <w:r w:rsidRPr="00F43163">
        <w:t>Thomas J. Chermack</w:t>
      </w:r>
    </w:p>
  </w:footnote>
  <w:footnote w:id="3175">
    <w:p w14:paraId="69FC83CE" w14:textId="77777777" w:rsidR="00B47FF5" w:rsidRDefault="00B47FF5" w:rsidP="00537CC8">
      <w:pPr>
        <w:pStyle w:val="FootnoteText"/>
      </w:pPr>
      <w:r>
        <w:rPr>
          <w:rStyle w:val="FootnoteReference"/>
        </w:rPr>
        <w:footnoteRef/>
      </w:r>
      <w:r>
        <w:rPr>
          <w:rtl/>
        </w:rPr>
        <w:t xml:space="preserve"> </w:t>
      </w:r>
      <w:r w:rsidRPr="00F43163">
        <w:t>Terry Frazier</w:t>
      </w:r>
    </w:p>
  </w:footnote>
  <w:footnote w:id="3176">
    <w:p w14:paraId="175956A5" w14:textId="77777777" w:rsidR="00B47FF5" w:rsidRDefault="00B47FF5" w:rsidP="00537CC8">
      <w:pPr>
        <w:pStyle w:val="FootnoteText"/>
      </w:pPr>
      <w:r>
        <w:rPr>
          <w:rStyle w:val="FootnoteReference"/>
        </w:rPr>
        <w:footnoteRef/>
      </w:r>
      <w:r>
        <w:rPr>
          <w:rtl/>
        </w:rPr>
        <w:t xml:space="preserve"> </w:t>
      </w:r>
      <w:r w:rsidRPr="00F43163">
        <w:t>Warren Edwards</w:t>
      </w:r>
    </w:p>
  </w:footnote>
  <w:footnote w:id="3177">
    <w:p w14:paraId="595DC57E" w14:textId="77777777" w:rsidR="00B47FF5" w:rsidRDefault="00B47FF5" w:rsidP="00537CC8">
      <w:pPr>
        <w:pStyle w:val="FootnoteText"/>
      </w:pPr>
      <w:r>
        <w:rPr>
          <w:rStyle w:val="FootnoteReference"/>
        </w:rPr>
        <w:footnoteRef/>
      </w:r>
      <w:r>
        <w:rPr>
          <w:rtl/>
        </w:rPr>
        <w:t xml:space="preserve"> </w:t>
      </w:r>
      <w:r w:rsidRPr="00F43163">
        <w:t>Estelle Mayer</w:t>
      </w:r>
    </w:p>
  </w:footnote>
  <w:footnote w:id="3178">
    <w:p w14:paraId="7D6E4C89" w14:textId="77777777" w:rsidR="00B47FF5" w:rsidRDefault="00B47FF5" w:rsidP="00537CC8">
      <w:pPr>
        <w:pStyle w:val="FootnoteText"/>
      </w:pPr>
      <w:r>
        <w:rPr>
          <w:rStyle w:val="FootnoteReference"/>
        </w:rPr>
        <w:footnoteRef/>
      </w:r>
      <w:r>
        <w:rPr>
          <w:rtl/>
        </w:rPr>
        <w:t xml:space="preserve"> </w:t>
      </w:r>
      <w:r w:rsidRPr="00F43163">
        <w:t>Paul Higgins</w:t>
      </w:r>
    </w:p>
  </w:footnote>
  <w:footnote w:id="3179">
    <w:p w14:paraId="0B7B14D7" w14:textId="77777777" w:rsidR="00B47FF5" w:rsidRDefault="00B47FF5" w:rsidP="00537CC8">
      <w:pPr>
        <w:pStyle w:val="FootnoteText"/>
      </w:pPr>
      <w:r>
        <w:rPr>
          <w:rStyle w:val="FootnoteReference"/>
        </w:rPr>
        <w:footnoteRef/>
      </w:r>
      <w:r>
        <w:rPr>
          <w:rtl/>
        </w:rPr>
        <w:t xml:space="preserve"> </w:t>
      </w:r>
      <w:r w:rsidRPr="00F43163">
        <w:t>Sandy Teagle</w:t>
      </w:r>
    </w:p>
  </w:footnote>
  <w:footnote w:id="3180">
    <w:p w14:paraId="0BDB3355" w14:textId="77777777" w:rsidR="00B47FF5" w:rsidRDefault="00B47FF5" w:rsidP="00537CC8">
      <w:pPr>
        <w:pStyle w:val="FootnoteText"/>
      </w:pPr>
      <w:r>
        <w:rPr>
          <w:rStyle w:val="FootnoteReference"/>
        </w:rPr>
        <w:footnoteRef/>
      </w:r>
      <w:r>
        <w:rPr>
          <w:rtl/>
        </w:rPr>
        <w:t xml:space="preserve"> </w:t>
      </w:r>
      <w:r w:rsidRPr="00F43163">
        <w:t>Stephen Aguilar-Millan</w:t>
      </w:r>
    </w:p>
  </w:footnote>
  <w:footnote w:id="3181">
    <w:p w14:paraId="734CF255" w14:textId="77777777" w:rsidR="00B47FF5" w:rsidRDefault="00B47FF5" w:rsidP="00537CC8">
      <w:pPr>
        <w:pStyle w:val="FootnoteText"/>
      </w:pPr>
      <w:r>
        <w:rPr>
          <w:rStyle w:val="FootnoteReference"/>
        </w:rPr>
        <w:footnoteRef/>
      </w:r>
      <w:r>
        <w:rPr>
          <w:rtl/>
        </w:rPr>
        <w:t xml:space="preserve"> </w:t>
      </w:r>
      <w:r w:rsidRPr="00F43163">
        <w:t>Rohit Talwar</w:t>
      </w:r>
    </w:p>
  </w:footnote>
  <w:footnote w:id="3182">
    <w:p w14:paraId="69F99865" w14:textId="77777777" w:rsidR="00B47FF5" w:rsidRDefault="00B47FF5" w:rsidP="00537CC8">
      <w:pPr>
        <w:pStyle w:val="FootnoteText"/>
      </w:pPr>
      <w:r>
        <w:rPr>
          <w:rStyle w:val="FootnoteReference"/>
        </w:rPr>
        <w:footnoteRef/>
      </w:r>
      <w:r>
        <w:rPr>
          <w:rtl/>
        </w:rPr>
        <w:t xml:space="preserve"> </w:t>
      </w:r>
      <w:r w:rsidRPr="00F43163">
        <w:t>Nate Silver</w:t>
      </w:r>
    </w:p>
  </w:footnote>
  <w:footnote w:id="3183">
    <w:p w14:paraId="27583BBA" w14:textId="77777777" w:rsidR="00B47FF5" w:rsidRDefault="00B47FF5" w:rsidP="00537CC8">
      <w:pPr>
        <w:pStyle w:val="FootnoteText"/>
      </w:pPr>
      <w:r>
        <w:rPr>
          <w:rStyle w:val="FootnoteReference"/>
        </w:rPr>
        <w:footnoteRef/>
      </w:r>
      <w:r>
        <w:rPr>
          <w:rtl/>
        </w:rPr>
        <w:t xml:space="preserve"> </w:t>
      </w:r>
      <w:r w:rsidRPr="00F43163">
        <w:t>Josh Calder</w:t>
      </w:r>
    </w:p>
  </w:footnote>
  <w:footnote w:id="3184">
    <w:p w14:paraId="7EF80AA9" w14:textId="77777777" w:rsidR="00B47FF5" w:rsidRDefault="00B47FF5" w:rsidP="00537CC8">
      <w:pPr>
        <w:pStyle w:val="FootnoteText"/>
      </w:pPr>
      <w:r>
        <w:rPr>
          <w:rStyle w:val="FootnoteReference"/>
        </w:rPr>
        <w:footnoteRef/>
      </w:r>
      <w:r>
        <w:rPr>
          <w:rtl/>
        </w:rPr>
        <w:t xml:space="preserve"> </w:t>
      </w:r>
      <w:r w:rsidRPr="00F43163">
        <w:t>Roumiana Gotseva</w:t>
      </w:r>
    </w:p>
  </w:footnote>
  <w:footnote w:id="3185">
    <w:p w14:paraId="0CBDE92A" w14:textId="77777777" w:rsidR="00B47FF5" w:rsidRDefault="00B47FF5" w:rsidP="00537CC8">
      <w:pPr>
        <w:pStyle w:val="FootnoteText"/>
      </w:pPr>
      <w:r>
        <w:rPr>
          <w:rStyle w:val="FootnoteReference"/>
        </w:rPr>
        <w:footnoteRef/>
      </w:r>
      <w:r>
        <w:rPr>
          <w:rtl/>
        </w:rPr>
        <w:t xml:space="preserve"> </w:t>
      </w:r>
      <w:r w:rsidRPr="00F43163">
        <w:t>Kristen Nauth</w:t>
      </w:r>
    </w:p>
  </w:footnote>
  <w:footnote w:id="3186">
    <w:p w14:paraId="6CA695CB" w14:textId="77777777" w:rsidR="00B47FF5" w:rsidRDefault="00B47FF5" w:rsidP="00537CC8">
      <w:pPr>
        <w:pStyle w:val="FootnoteText"/>
      </w:pPr>
      <w:r>
        <w:rPr>
          <w:rStyle w:val="FootnoteReference"/>
        </w:rPr>
        <w:footnoteRef/>
      </w:r>
      <w:r>
        <w:rPr>
          <w:rtl/>
        </w:rPr>
        <w:t xml:space="preserve"> </w:t>
      </w:r>
      <w:r w:rsidRPr="00F43163">
        <w:t>Ruben Nelson</w:t>
      </w:r>
    </w:p>
  </w:footnote>
  <w:footnote w:id="3187">
    <w:p w14:paraId="4DCD8D06" w14:textId="77777777" w:rsidR="00B47FF5" w:rsidRDefault="00B47FF5" w:rsidP="00537CC8">
      <w:pPr>
        <w:pStyle w:val="FootnoteText"/>
      </w:pPr>
      <w:r>
        <w:rPr>
          <w:rStyle w:val="FootnoteReference"/>
        </w:rPr>
        <w:footnoteRef/>
      </w:r>
      <w:r>
        <w:rPr>
          <w:rtl/>
        </w:rPr>
        <w:t xml:space="preserve"> </w:t>
      </w:r>
      <w:r w:rsidRPr="00F43163">
        <w:t>Richard Slaughter</w:t>
      </w:r>
    </w:p>
  </w:footnote>
  <w:footnote w:id="3188">
    <w:p w14:paraId="61A7F7D1" w14:textId="77777777" w:rsidR="00B47FF5" w:rsidRDefault="00B47FF5" w:rsidP="00537CC8">
      <w:pPr>
        <w:pStyle w:val="FootnoteText"/>
      </w:pPr>
      <w:r>
        <w:rPr>
          <w:rStyle w:val="FootnoteReference"/>
        </w:rPr>
        <w:footnoteRef/>
      </w:r>
      <w:r>
        <w:rPr>
          <w:rtl/>
        </w:rPr>
        <w:t xml:space="preserve"> </w:t>
      </w:r>
      <w:r w:rsidRPr="00F43163">
        <w:t>Christine Peterson</w:t>
      </w:r>
    </w:p>
  </w:footnote>
  <w:footnote w:id="3189">
    <w:p w14:paraId="03DB0890" w14:textId="77777777" w:rsidR="00B47FF5" w:rsidRDefault="00B47FF5" w:rsidP="00537CC8">
      <w:pPr>
        <w:pStyle w:val="FootnoteText"/>
      </w:pPr>
      <w:r>
        <w:rPr>
          <w:rStyle w:val="FootnoteReference"/>
        </w:rPr>
        <w:footnoteRef/>
      </w:r>
      <w:r>
        <w:rPr>
          <w:rtl/>
        </w:rPr>
        <w:t xml:space="preserve"> </w:t>
      </w:r>
      <w:r w:rsidRPr="00D35646">
        <w:t>Michael Bauwens</w:t>
      </w:r>
    </w:p>
  </w:footnote>
  <w:footnote w:id="3190">
    <w:p w14:paraId="04E4248E" w14:textId="77777777" w:rsidR="00B47FF5" w:rsidRDefault="00B47FF5" w:rsidP="00537CC8">
      <w:pPr>
        <w:pStyle w:val="FootnoteText"/>
      </w:pPr>
      <w:r>
        <w:rPr>
          <w:rStyle w:val="FootnoteReference"/>
        </w:rPr>
        <w:footnoteRef/>
      </w:r>
      <w:r>
        <w:rPr>
          <w:rtl/>
        </w:rPr>
        <w:t xml:space="preserve"> </w:t>
      </w:r>
      <w:r w:rsidRPr="00D35646">
        <w:t>P A Martin Börjesson</w:t>
      </w:r>
    </w:p>
  </w:footnote>
  <w:footnote w:id="3191">
    <w:p w14:paraId="3F5AFD74" w14:textId="77777777" w:rsidR="00B47FF5" w:rsidRDefault="00B47FF5" w:rsidP="00537CC8">
      <w:pPr>
        <w:pStyle w:val="FootnoteText"/>
      </w:pPr>
      <w:r>
        <w:rPr>
          <w:rStyle w:val="FootnoteReference"/>
        </w:rPr>
        <w:footnoteRef/>
      </w:r>
      <w:r>
        <w:rPr>
          <w:rtl/>
        </w:rPr>
        <w:t xml:space="preserve"> </w:t>
      </w:r>
      <w:r w:rsidRPr="00D35646">
        <w:t>Dr. John Luthy</w:t>
      </w:r>
    </w:p>
  </w:footnote>
  <w:footnote w:id="3192">
    <w:p w14:paraId="20BA28E1" w14:textId="77777777" w:rsidR="00B47FF5" w:rsidRDefault="00B47FF5" w:rsidP="00537CC8">
      <w:pPr>
        <w:pStyle w:val="FootnoteText"/>
      </w:pPr>
      <w:r>
        <w:rPr>
          <w:rStyle w:val="FootnoteReference"/>
        </w:rPr>
        <w:footnoteRef/>
      </w:r>
      <w:r>
        <w:rPr>
          <w:rtl/>
        </w:rPr>
        <w:t xml:space="preserve"> </w:t>
      </w:r>
      <w:r w:rsidRPr="00D35646">
        <w:t>Marc Goodman</w:t>
      </w:r>
    </w:p>
  </w:footnote>
  <w:footnote w:id="3193">
    <w:p w14:paraId="20BEFC22" w14:textId="77777777" w:rsidR="00B47FF5" w:rsidRDefault="00B47FF5" w:rsidP="00537CC8">
      <w:pPr>
        <w:pStyle w:val="FootnoteText"/>
      </w:pPr>
      <w:r>
        <w:rPr>
          <w:rStyle w:val="FootnoteReference"/>
        </w:rPr>
        <w:footnoteRef/>
      </w:r>
      <w:r>
        <w:rPr>
          <w:rtl/>
        </w:rPr>
        <w:t xml:space="preserve"> </w:t>
      </w:r>
      <w:r w:rsidRPr="00D35646">
        <w:t>Janine Cahill</w:t>
      </w:r>
    </w:p>
  </w:footnote>
  <w:footnote w:id="3194">
    <w:p w14:paraId="59DB6743" w14:textId="77777777" w:rsidR="00B47FF5" w:rsidRDefault="00B47FF5" w:rsidP="00537CC8">
      <w:pPr>
        <w:pStyle w:val="FootnoteText"/>
      </w:pPr>
      <w:r>
        <w:rPr>
          <w:rStyle w:val="FootnoteReference"/>
        </w:rPr>
        <w:footnoteRef/>
      </w:r>
      <w:r>
        <w:rPr>
          <w:rtl/>
        </w:rPr>
        <w:t xml:space="preserve"> </w:t>
      </w:r>
      <w:r w:rsidRPr="00D35646">
        <w:t>Chris Sanderson</w:t>
      </w:r>
    </w:p>
  </w:footnote>
  <w:footnote w:id="3195">
    <w:p w14:paraId="5115570C" w14:textId="77777777" w:rsidR="00B47FF5" w:rsidRDefault="00B47FF5" w:rsidP="00537CC8">
      <w:pPr>
        <w:pStyle w:val="FootnoteText"/>
      </w:pPr>
      <w:r>
        <w:rPr>
          <w:rStyle w:val="FootnoteReference"/>
        </w:rPr>
        <w:footnoteRef/>
      </w:r>
      <w:r>
        <w:rPr>
          <w:rtl/>
        </w:rPr>
        <w:t xml:space="preserve"> </w:t>
      </w:r>
      <w:r w:rsidRPr="00D35646">
        <w:t>Devadas Krishnadas</w:t>
      </w:r>
    </w:p>
  </w:footnote>
  <w:footnote w:id="3196">
    <w:p w14:paraId="3AB93BCE" w14:textId="77777777" w:rsidR="00B47FF5" w:rsidRDefault="00B47FF5" w:rsidP="00537CC8">
      <w:pPr>
        <w:pStyle w:val="FootnoteText"/>
      </w:pPr>
      <w:r>
        <w:rPr>
          <w:rStyle w:val="FootnoteReference"/>
        </w:rPr>
        <w:footnoteRef/>
      </w:r>
      <w:r>
        <w:rPr>
          <w:rtl/>
        </w:rPr>
        <w:t xml:space="preserve"> </w:t>
      </w:r>
      <w:r w:rsidRPr="00D35646">
        <w:t>Marianne Solomon</w:t>
      </w:r>
    </w:p>
  </w:footnote>
  <w:footnote w:id="3197">
    <w:p w14:paraId="6F381C82" w14:textId="77777777" w:rsidR="00B47FF5" w:rsidRDefault="00B47FF5" w:rsidP="00537CC8">
      <w:pPr>
        <w:pStyle w:val="FootnoteText"/>
      </w:pPr>
      <w:r>
        <w:rPr>
          <w:rStyle w:val="FootnoteReference"/>
        </w:rPr>
        <w:footnoteRef/>
      </w:r>
      <w:r>
        <w:rPr>
          <w:rtl/>
        </w:rPr>
        <w:t xml:space="preserve"> </w:t>
      </w:r>
      <w:r w:rsidRPr="00D35646">
        <w:t>Sandra Janoﬀ</w:t>
      </w:r>
    </w:p>
  </w:footnote>
  <w:footnote w:id="3198">
    <w:p w14:paraId="56AA9CCA" w14:textId="77777777" w:rsidR="00B47FF5" w:rsidRDefault="00B47FF5" w:rsidP="00537CC8">
      <w:pPr>
        <w:pStyle w:val="FootnoteText"/>
      </w:pPr>
      <w:r>
        <w:rPr>
          <w:rStyle w:val="FootnoteReference"/>
        </w:rPr>
        <w:footnoteRef/>
      </w:r>
      <w:r>
        <w:rPr>
          <w:rtl/>
        </w:rPr>
        <w:t xml:space="preserve"> </w:t>
      </w:r>
      <w:r w:rsidRPr="00D35646">
        <w:t>Marvin Weisbord</w:t>
      </w:r>
    </w:p>
  </w:footnote>
  <w:footnote w:id="3199">
    <w:p w14:paraId="6A4DCB12" w14:textId="77777777" w:rsidR="00B47FF5" w:rsidRDefault="00B47FF5" w:rsidP="00537CC8">
      <w:pPr>
        <w:pStyle w:val="FootnoteText"/>
      </w:pPr>
      <w:r>
        <w:rPr>
          <w:rStyle w:val="FootnoteReference"/>
        </w:rPr>
        <w:footnoteRef/>
      </w:r>
      <w:r>
        <w:rPr>
          <w:rtl/>
        </w:rPr>
        <w:t xml:space="preserve"> </w:t>
      </w:r>
      <w:r w:rsidRPr="00D35646">
        <w:t>Marcel Bullinga</w:t>
      </w:r>
    </w:p>
  </w:footnote>
  <w:footnote w:id="3200">
    <w:p w14:paraId="45745BA3" w14:textId="77777777" w:rsidR="00B47FF5" w:rsidRDefault="00B47FF5" w:rsidP="00537CC8">
      <w:pPr>
        <w:pStyle w:val="FootnoteText"/>
      </w:pPr>
      <w:r>
        <w:rPr>
          <w:rStyle w:val="FootnoteReference"/>
        </w:rPr>
        <w:footnoteRef/>
      </w:r>
      <w:r>
        <w:rPr>
          <w:rtl/>
        </w:rPr>
        <w:t xml:space="preserve"> </w:t>
      </w:r>
      <w:r w:rsidRPr="00D35646">
        <w:t>Charles Brass</w:t>
      </w:r>
    </w:p>
  </w:footnote>
  <w:footnote w:id="3201">
    <w:p w14:paraId="1BEC5DD9" w14:textId="77777777" w:rsidR="00B47FF5" w:rsidRDefault="00B47FF5" w:rsidP="00537CC8">
      <w:pPr>
        <w:pStyle w:val="FootnoteText"/>
      </w:pPr>
      <w:r>
        <w:rPr>
          <w:rStyle w:val="FootnoteReference"/>
        </w:rPr>
        <w:footnoteRef/>
      </w:r>
      <w:r>
        <w:rPr>
          <w:rtl/>
        </w:rPr>
        <w:t xml:space="preserve"> </w:t>
      </w:r>
      <w:r w:rsidRPr="00D35646">
        <w:t>Derek Woodgate</w:t>
      </w:r>
    </w:p>
  </w:footnote>
  <w:footnote w:id="3202">
    <w:p w14:paraId="55D91B4F" w14:textId="77777777" w:rsidR="00B47FF5" w:rsidRDefault="00B47FF5" w:rsidP="00537CC8">
      <w:pPr>
        <w:pStyle w:val="FootnoteText"/>
      </w:pPr>
      <w:r>
        <w:rPr>
          <w:rStyle w:val="FootnoteReference"/>
        </w:rPr>
        <w:footnoteRef/>
      </w:r>
      <w:r>
        <w:rPr>
          <w:rtl/>
        </w:rPr>
        <w:t xml:space="preserve"> </w:t>
      </w:r>
      <w:r w:rsidRPr="00D35646">
        <w:t>Peter Siljerud</w:t>
      </w:r>
    </w:p>
  </w:footnote>
  <w:footnote w:id="3203">
    <w:p w14:paraId="04F97880" w14:textId="77777777" w:rsidR="00B47FF5" w:rsidRDefault="00B47FF5" w:rsidP="00537CC8">
      <w:pPr>
        <w:pStyle w:val="FootnoteText"/>
      </w:pPr>
      <w:r>
        <w:rPr>
          <w:rStyle w:val="FootnoteReference"/>
        </w:rPr>
        <w:footnoteRef/>
      </w:r>
      <w:r>
        <w:rPr>
          <w:rtl/>
        </w:rPr>
        <w:t xml:space="preserve"> </w:t>
      </w:r>
      <w:r w:rsidRPr="00D35646">
        <w:t>Thomas Edlund</w:t>
      </w:r>
    </w:p>
  </w:footnote>
  <w:footnote w:id="3204">
    <w:p w14:paraId="71906EF5" w14:textId="77777777" w:rsidR="00B47FF5" w:rsidRDefault="00B47FF5" w:rsidP="00537CC8">
      <w:pPr>
        <w:pStyle w:val="FootnoteText"/>
      </w:pPr>
      <w:r>
        <w:rPr>
          <w:rStyle w:val="FootnoteReference"/>
        </w:rPr>
        <w:footnoteRef/>
      </w:r>
      <w:r>
        <w:rPr>
          <w:rtl/>
        </w:rPr>
        <w:t xml:space="preserve"> </w:t>
      </w:r>
      <w:r w:rsidRPr="00E45C0C">
        <w:t>Hugues de Jouvenel</w:t>
      </w:r>
    </w:p>
  </w:footnote>
  <w:footnote w:id="3205">
    <w:p w14:paraId="4CFDB081" w14:textId="77777777" w:rsidR="00B47FF5" w:rsidRDefault="00B47FF5" w:rsidP="00537CC8">
      <w:pPr>
        <w:pStyle w:val="FootnoteText"/>
      </w:pPr>
      <w:r>
        <w:rPr>
          <w:rStyle w:val="FootnoteReference"/>
        </w:rPr>
        <w:footnoteRef/>
      </w:r>
      <w:r>
        <w:rPr>
          <w:rtl/>
        </w:rPr>
        <w:t xml:space="preserve"> </w:t>
      </w:r>
      <w:r w:rsidRPr="00E45C0C">
        <w:t>Patrick Dixon</w:t>
      </w:r>
    </w:p>
  </w:footnote>
  <w:footnote w:id="3206">
    <w:p w14:paraId="3B691650" w14:textId="77777777" w:rsidR="00B47FF5" w:rsidRDefault="00B47FF5" w:rsidP="00537CC8">
      <w:pPr>
        <w:pStyle w:val="FootnoteText"/>
      </w:pPr>
      <w:r>
        <w:rPr>
          <w:rStyle w:val="FootnoteReference"/>
        </w:rPr>
        <w:footnoteRef/>
      </w:r>
      <w:r>
        <w:rPr>
          <w:rtl/>
        </w:rPr>
        <w:t xml:space="preserve"> </w:t>
      </w:r>
      <w:r w:rsidRPr="00E45C0C">
        <w:t>Francois Bourse</w:t>
      </w:r>
    </w:p>
  </w:footnote>
  <w:footnote w:id="3207">
    <w:p w14:paraId="4989BF8C" w14:textId="77777777" w:rsidR="00B47FF5" w:rsidRDefault="00B47FF5" w:rsidP="00537CC8">
      <w:pPr>
        <w:pStyle w:val="FootnoteText"/>
      </w:pPr>
      <w:r>
        <w:rPr>
          <w:rStyle w:val="FootnoteReference"/>
        </w:rPr>
        <w:footnoteRef/>
      </w:r>
      <w:r>
        <w:rPr>
          <w:rtl/>
        </w:rPr>
        <w:t xml:space="preserve"> </w:t>
      </w:r>
      <w:r w:rsidRPr="00E45C0C">
        <w:t>Parag Khanna</w:t>
      </w:r>
    </w:p>
  </w:footnote>
  <w:footnote w:id="3208">
    <w:p w14:paraId="44863873" w14:textId="77777777" w:rsidR="00B47FF5" w:rsidRDefault="00B47FF5" w:rsidP="00537CC8">
      <w:pPr>
        <w:pStyle w:val="FootnoteText"/>
      </w:pPr>
      <w:r>
        <w:rPr>
          <w:rStyle w:val="FootnoteReference"/>
        </w:rPr>
        <w:footnoteRef/>
      </w:r>
      <w:r>
        <w:rPr>
          <w:rtl/>
        </w:rPr>
        <w:t xml:space="preserve"> </w:t>
      </w:r>
      <w:r w:rsidRPr="00E45C0C">
        <w:t>Tofli Könnölä</w:t>
      </w:r>
    </w:p>
  </w:footnote>
  <w:footnote w:id="3209">
    <w:p w14:paraId="6C305E67" w14:textId="77777777" w:rsidR="00B47FF5" w:rsidRDefault="00B47FF5" w:rsidP="00537CC8">
      <w:pPr>
        <w:pStyle w:val="FootnoteText"/>
      </w:pPr>
      <w:r>
        <w:rPr>
          <w:rStyle w:val="FootnoteReference"/>
        </w:rPr>
        <w:footnoteRef/>
      </w:r>
      <w:r>
        <w:rPr>
          <w:rtl/>
        </w:rPr>
        <w:t xml:space="preserve"> </w:t>
      </w:r>
      <w:r w:rsidRPr="00E45C0C">
        <w:t>Wendy Schuld</w:t>
      </w:r>
    </w:p>
  </w:footnote>
  <w:footnote w:id="3210">
    <w:p w14:paraId="16A29254" w14:textId="77777777" w:rsidR="00B47FF5" w:rsidRDefault="00B47FF5" w:rsidP="00537CC8">
      <w:pPr>
        <w:pStyle w:val="FootnoteText"/>
      </w:pPr>
      <w:r>
        <w:rPr>
          <w:rStyle w:val="FootnoteReference"/>
        </w:rPr>
        <w:footnoteRef/>
      </w:r>
      <w:r>
        <w:rPr>
          <w:rtl/>
        </w:rPr>
        <w:t xml:space="preserve"> </w:t>
      </w:r>
      <w:r w:rsidRPr="00E45C0C">
        <w:t>James Hughes</w:t>
      </w:r>
    </w:p>
  </w:footnote>
  <w:footnote w:id="3211">
    <w:p w14:paraId="75D44C32" w14:textId="77777777" w:rsidR="00B47FF5" w:rsidRDefault="00B47FF5" w:rsidP="00537CC8">
      <w:pPr>
        <w:pStyle w:val="FootnoteText"/>
      </w:pPr>
      <w:r>
        <w:rPr>
          <w:rStyle w:val="FootnoteReference"/>
        </w:rPr>
        <w:footnoteRef/>
      </w:r>
      <w:r>
        <w:rPr>
          <w:rtl/>
        </w:rPr>
        <w:t xml:space="preserve"> </w:t>
      </w:r>
      <w:r w:rsidRPr="00E45C0C">
        <w:t>James Canton</w:t>
      </w:r>
    </w:p>
  </w:footnote>
  <w:footnote w:id="3212">
    <w:p w14:paraId="6C7C1665" w14:textId="77777777" w:rsidR="00B47FF5" w:rsidRDefault="00B47FF5" w:rsidP="00537CC8">
      <w:pPr>
        <w:pStyle w:val="FootnoteText"/>
      </w:pPr>
      <w:r>
        <w:rPr>
          <w:rStyle w:val="FootnoteReference"/>
        </w:rPr>
        <w:footnoteRef/>
      </w:r>
      <w:r>
        <w:rPr>
          <w:rtl/>
        </w:rPr>
        <w:t xml:space="preserve"> </w:t>
      </w:r>
      <w:r w:rsidRPr="00E45C0C">
        <w:t>Graham Leicester</w:t>
      </w:r>
    </w:p>
  </w:footnote>
  <w:footnote w:id="3213">
    <w:p w14:paraId="6F7400D2" w14:textId="77777777" w:rsidR="00B47FF5" w:rsidRDefault="00B47FF5" w:rsidP="00537CC8">
      <w:pPr>
        <w:pStyle w:val="FootnoteText"/>
      </w:pPr>
      <w:r>
        <w:rPr>
          <w:rStyle w:val="FootnoteReference"/>
        </w:rPr>
        <w:footnoteRef/>
      </w:r>
      <w:r>
        <w:rPr>
          <w:rtl/>
        </w:rPr>
        <w:t xml:space="preserve"> </w:t>
      </w:r>
      <w:r w:rsidRPr="00E45C0C">
        <w:t>Richard Yonck</w:t>
      </w:r>
    </w:p>
  </w:footnote>
  <w:footnote w:id="3214">
    <w:p w14:paraId="50507A4A" w14:textId="77777777" w:rsidR="00B47FF5" w:rsidRDefault="00B47FF5" w:rsidP="00537CC8">
      <w:pPr>
        <w:pStyle w:val="FootnoteText"/>
      </w:pPr>
      <w:r>
        <w:rPr>
          <w:rStyle w:val="FootnoteReference"/>
        </w:rPr>
        <w:footnoteRef/>
      </w:r>
      <w:r>
        <w:rPr>
          <w:rtl/>
        </w:rPr>
        <w:t xml:space="preserve"> </w:t>
      </w:r>
      <w:r w:rsidRPr="00E45C0C">
        <w:t>Kaat Exterbille</w:t>
      </w:r>
    </w:p>
  </w:footnote>
  <w:footnote w:id="3215">
    <w:p w14:paraId="3A70486B" w14:textId="77777777" w:rsidR="00B47FF5" w:rsidRDefault="00B47FF5" w:rsidP="00537CC8">
      <w:pPr>
        <w:pStyle w:val="FootnoteText"/>
      </w:pPr>
      <w:r>
        <w:rPr>
          <w:rStyle w:val="FootnoteReference"/>
        </w:rPr>
        <w:footnoteRef/>
      </w:r>
      <w:r>
        <w:rPr>
          <w:rtl/>
        </w:rPr>
        <w:t xml:space="preserve"> </w:t>
      </w:r>
      <w:r w:rsidRPr="00E45C0C">
        <w:t>Frank Spencer</w:t>
      </w:r>
    </w:p>
  </w:footnote>
  <w:footnote w:id="3216">
    <w:p w14:paraId="0096FB0E" w14:textId="77777777" w:rsidR="00B47FF5" w:rsidRDefault="00B47FF5" w:rsidP="00537CC8">
      <w:pPr>
        <w:pStyle w:val="FootnoteText"/>
      </w:pPr>
      <w:r>
        <w:rPr>
          <w:rStyle w:val="FootnoteReference"/>
        </w:rPr>
        <w:footnoteRef/>
      </w:r>
      <w:r>
        <w:rPr>
          <w:rtl/>
        </w:rPr>
        <w:t xml:space="preserve"> </w:t>
      </w:r>
      <w:r w:rsidRPr="00E45C0C">
        <w:t>Amara Angelica</w:t>
      </w:r>
    </w:p>
  </w:footnote>
  <w:footnote w:id="3217">
    <w:p w14:paraId="3B29F4D2" w14:textId="77777777" w:rsidR="00B47FF5" w:rsidRDefault="00B47FF5" w:rsidP="00537CC8">
      <w:pPr>
        <w:pStyle w:val="FootnoteText"/>
      </w:pPr>
      <w:r>
        <w:rPr>
          <w:rStyle w:val="FootnoteReference"/>
        </w:rPr>
        <w:footnoteRef/>
      </w:r>
      <w:r>
        <w:rPr>
          <w:rtl/>
        </w:rPr>
        <w:t xml:space="preserve"> </w:t>
      </w:r>
      <w:r w:rsidRPr="00E45C0C">
        <w:t>Giulio Prisco</w:t>
      </w:r>
    </w:p>
  </w:footnote>
  <w:footnote w:id="3218">
    <w:p w14:paraId="53A1E0A0" w14:textId="5E075C46" w:rsidR="00B47FF5" w:rsidRDefault="00B47FF5" w:rsidP="00537CC8">
      <w:pPr>
        <w:pStyle w:val="FootnoteText"/>
      </w:pPr>
      <w:r>
        <w:rPr>
          <w:rStyle w:val="FootnoteReference"/>
        </w:rPr>
        <w:footnoteRef/>
      </w:r>
      <w:r>
        <w:rPr>
          <w:rtl/>
        </w:rPr>
        <w:t xml:space="preserve"> </w:t>
      </w:r>
      <w:r w:rsidRPr="00E45C0C">
        <w:t>Michel Godet</w:t>
      </w:r>
    </w:p>
  </w:footnote>
  <w:footnote w:id="3219">
    <w:p w14:paraId="0433323F" w14:textId="77777777" w:rsidR="00B47FF5" w:rsidRDefault="00B47FF5" w:rsidP="00537CC8">
      <w:pPr>
        <w:pStyle w:val="FootnoteText"/>
      </w:pPr>
      <w:r>
        <w:rPr>
          <w:rStyle w:val="FootnoteReference"/>
        </w:rPr>
        <w:footnoteRef/>
      </w:r>
      <w:r>
        <w:rPr>
          <w:rtl/>
        </w:rPr>
        <w:t xml:space="preserve"> </w:t>
      </w:r>
      <w:r w:rsidRPr="00E45C0C">
        <w:t>Patricia Lustig</w:t>
      </w:r>
    </w:p>
  </w:footnote>
  <w:footnote w:id="3220">
    <w:p w14:paraId="3B1B3F61" w14:textId="77777777" w:rsidR="00B47FF5" w:rsidRDefault="00B47FF5" w:rsidP="00537CC8">
      <w:pPr>
        <w:pStyle w:val="FootnoteText"/>
      </w:pPr>
      <w:r>
        <w:rPr>
          <w:rStyle w:val="FootnoteReference"/>
        </w:rPr>
        <w:footnoteRef/>
      </w:r>
      <w:r>
        <w:rPr>
          <w:rtl/>
        </w:rPr>
        <w:t xml:space="preserve"> </w:t>
      </w:r>
      <w:r w:rsidRPr="00E45C0C">
        <w:t>Wendy Schuld</w:t>
      </w:r>
    </w:p>
  </w:footnote>
  <w:footnote w:id="3221">
    <w:p w14:paraId="1F5B3153" w14:textId="77777777" w:rsidR="00B47FF5" w:rsidRDefault="00B47FF5" w:rsidP="00537CC8">
      <w:pPr>
        <w:pStyle w:val="FootnoteText"/>
      </w:pPr>
      <w:r>
        <w:rPr>
          <w:rStyle w:val="FootnoteReference"/>
        </w:rPr>
        <w:footnoteRef/>
      </w:r>
      <w:r>
        <w:rPr>
          <w:rtl/>
        </w:rPr>
        <w:t xml:space="preserve"> </w:t>
      </w:r>
      <w:r w:rsidRPr="00E45C0C">
        <w:t>Jennifer Jarrafl</w:t>
      </w:r>
    </w:p>
  </w:footnote>
  <w:footnote w:id="3222">
    <w:p w14:paraId="088002C4" w14:textId="77777777" w:rsidR="00B47FF5" w:rsidRDefault="00B47FF5" w:rsidP="00537CC8">
      <w:pPr>
        <w:pStyle w:val="FootnoteText"/>
      </w:pPr>
      <w:r>
        <w:rPr>
          <w:rStyle w:val="FootnoteReference"/>
        </w:rPr>
        <w:footnoteRef/>
      </w:r>
      <w:r>
        <w:rPr>
          <w:rtl/>
        </w:rPr>
        <w:t xml:space="preserve"> </w:t>
      </w:r>
      <w:r w:rsidRPr="00E45C0C">
        <w:t>John Mahaﬃe</w:t>
      </w:r>
    </w:p>
  </w:footnote>
  <w:footnote w:id="3223">
    <w:p w14:paraId="31F6C2DD" w14:textId="77777777" w:rsidR="00B47FF5" w:rsidRDefault="00B47FF5" w:rsidP="00537CC8">
      <w:pPr>
        <w:pStyle w:val="FootnoteText"/>
      </w:pPr>
      <w:r>
        <w:rPr>
          <w:rStyle w:val="FootnoteReference"/>
        </w:rPr>
        <w:footnoteRef/>
      </w:r>
      <w:r>
        <w:rPr>
          <w:rtl/>
        </w:rPr>
        <w:t xml:space="preserve"> </w:t>
      </w:r>
      <w:r w:rsidRPr="00E45C0C">
        <w:t>Alex Rose</w:t>
      </w:r>
    </w:p>
  </w:footnote>
  <w:footnote w:id="3224">
    <w:p w14:paraId="629E71D3" w14:textId="77777777" w:rsidR="00B47FF5" w:rsidRDefault="00B47FF5" w:rsidP="00537CC8">
      <w:pPr>
        <w:pStyle w:val="FootnoteText"/>
      </w:pPr>
      <w:r>
        <w:rPr>
          <w:rStyle w:val="FootnoteReference"/>
        </w:rPr>
        <w:footnoteRef/>
      </w:r>
      <w:r>
        <w:rPr>
          <w:rtl/>
        </w:rPr>
        <w:t xml:space="preserve"> </w:t>
      </w:r>
      <w:r w:rsidRPr="00E45C0C">
        <w:t>Luke Muelhauser</w:t>
      </w:r>
    </w:p>
  </w:footnote>
  <w:footnote w:id="3225">
    <w:p w14:paraId="738187D0" w14:textId="77777777" w:rsidR="00B47FF5" w:rsidRDefault="00B47FF5" w:rsidP="00537CC8">
      <w:pPr>
        <w:pStyle w:val="FootnoteText"/>
      </w:pPr>
      <w:r>
        <w:rPr>
          <w:rStyle w:val="FootnoteReference"/>
        </w:rPr>
        <w:footnoteRef/>
      </w:r>
      <w:r>
        <w:rPr>
          <w:rtl/>
        </w:rPr>
        <w:t xml:space="preserve"> </w:t>
      </w:r>
      <w:r w:rsidRPr="00E45C0C">
        <w:t>Eliezer Yudkowsky</w:t>
      </w:r>
    </w:p>
  </w:footnote>
  <w:footnote w:id="3226">
    <w:p w14:paraId="4B442070" w14:textId="77777777" w:rsidR="00B47FF5" w:rsidRDefault="00B47FF5" w:rsidP="00537CC8">
      <w:pPr>
        <w:pStyle w:val="FootnoteText"/>
      </w:pPr>
      <w:r>
        <w:rPr>
          <w:rStyle w:val="FootnoteReference"/>
        </w:rPr>
        <w:footnoteRef/>
      </w:r>
      <w:r>
        <w:rPr>
          <w:rtl/>
        </w:rPr>
        <w:t xml:space="preserve"> </w:t>
      </w:r>
      <w:r w:rsidRPr="00E45C0C">
        <w:t>Nathalie Bassaler</w:t>
      </w:r>
    </w:p>
  </w:footnote>
  <w:footnote w:id="3227">
    <w:p w14:paraId="0F9D357E" w14:textId="77777777" w:rsidR="00B47FF5" w:rsidRDefault="00B47FF5" w:rsidP="00537CC8">
      <w:pPr>
        <w:pStyle w:val="FootnoteText"/>
      </w:pPr>
      <w:r>
        <w:rPr>
          <w:rStyle w:val="FootnoteReference"/>
        </w:rPr>
        <w:footnoteRef/>
      </w:r>
      <w:r>
        <w:rPr>
          <w:rtl/>
        </w:rPr>
        <w:t xml:space="preserve"> </w:t>
      </w:r>
      <w:r w:rsidRPr="00E45C0C">
        <w:t>Ben Flavel</w:t>
      </w:r>
    </w:p>
  </w:footnote>
  <w:footnote w:id="3228">
    <w:p w14:paraId="1D19DD38" w14:textId="77777777" w:rsidR="00B47FF5" w:rsidRDefault="00B47FF5" w:rsidP="00537CC8">
      <w:pPr>
        <w:pStyle w:val="FootnoteText"/>
      </w:pPr>
      <w:r>
        <w:rPr>
          <w:rStyle w:val="FootnoteReference"/>
        </w:rPr>
        <w:footnoteRef/>
      </w:r>
      <w:r>
        <w:rPr>
          <w:rtl/>
        </w:rPr>
        <w:t xml:space="preserve"> </w:t>
      </w:r>
      <w:r w:rsidRPr="00E45C0C">
        <w:t>Chris Cowan</w:t>
      </w:r>
    </w:p>
  </w:footnote>
  <w:footnote w:id="3229">
    <w:p w14:paraId="04487AE6" w14:textId="77777777" w:rsidR="00B47FF5" w:rsidRDefault="00B47FF5" w:rsidP="00537CC8">
      <w:pPr>
        <w:pStyle w:val="FootnoteText"/>
      </w:pPr>
      <w:r>
        <w:rPr>
          <w:rStyle w:val="FootnoteReference"/>
        </w:rPr>
        <w:footnoteRef/>
      </w:r>
      <w:r>
        <w:rPr>
          <w:rtl/>
        </w:rPr>
        <w:t xml:space="preserve"> </w:t>
      </w:r>
      <w:r w:rsidRPr="00E45C0C">
        <w:t>Natasha Todorovic</w:t>
      </w:r>
    </w:p>
  </w:footnote>
  <w:footnote w:id="3230">
    <w:p w14:paraId="6B9F7CF4" w14:textId="77777777" w:rsidR="00B47FF5" w:rsidRDefault="00B47FF5" w:rsidP="00537CC8">
      <w:pPr>
        <w:pStyle w:val="FootnoteText"/>
      </w:pPr>
      <w:r>
        <w:rPr>
          <w:rStyle w:val="FootnoteReference"/>
        </w:rPr>
        <w:footnoteRef/>
      </w:r>
      <w:r>
        <w:rPr>
          <w:rtl/>
        </w:rPr>
        <w:t xml:space="preserve"> </w:t>
      </w:r>
      <w:r w:rsidRPr="006D0E40">
        <w:t>Verne Wheelwright</w:t>
      </w:r>
    </w:p>
  </w:footnote>
  <w:footnote w:id="3231">
    <w:p w14:paraId="60898DB5" w14:textId="77777777" w:rsidR="00B47FF5" w:rsidRDefault="00B47FF5" w:rsidP="00537CC8">
      <w:pPr>
        <w:pStyle w:val="FootnoteText"/>
      </w:pPr>
      <w:r>
        <w:rPr>
          <w:rStyle w:val="FootnoteReference"/>
        </w:rPr>
        <w:footnoteRef/>
      </w:r>
      <w:r>
        <w:rPr>
          <w:rtl/>
        </w:rPr>
        <w:t xml:space="preserve"> </w:t>
      </w:r>
      <w:r w:rsidRPr="006D0E40">
        <w:t>Fabienne Goux-Baudiment</w:t>
      </w:r>
    </w:p>
  </w:footnote>
  <w:footnote w:id="3232">
    <w:p w14:paraId="180E3658" w14:textId="77777777" w:rsidR="00B47FF5" w:rsidRDefault="00B47FF5" w:rsidP="00537CC8">
      <w:pPr>
        <w:pStyle w:val="FootnoteText"/>
      </w:pPr>
      <w:r>
        <w:rPr>
          <w:rStyle w:val="FootnoteReference"/>
        </w:rPr>
        <w:footnoteRef/>
      </w:r>
      <w:r>
        <w:rPr>
          <w:rtl/>
        </w:rPr>
        <w:t xml:space="preserve"> </w:t>
      </w:r>
      <w:r w:rsidRPr="006D0E40">
        <w:t>Michael Owen</w:t>
      </w:r>
    </w:p>
  </w:footnote>
  <w:footnote w:id="3233">
    <w:p w14:paraId="74477C6C" w14:textId="77777777" w:rsidR="00B47FF5" w:rsidRDefault="00B47FF5" w:rsidP="00537CC8">
      <w:pPr>
        <w:pStyle w:val="FootnoteText"/>
      </w:pPr>
      <w:r>
        <w:rPr>
          <w:rStyle w:val="FootnoteReference"/>
        </w:rPr>
        <w:footnoteRef/>
      </w:r>
      <w:r>
        <w:rPr>
          <w:rtl/>
        </w:rPr>
        <w:t xml:space="preserve"> </w:t>
      </w:r>
      <w:r w:rsidRPr="006D0E40">
        <w:t>Gill Ringland</w:t>
      </w:r>
    </w:p>
  </w:footnote>
  <w:footnote w:id="3234">
    <w:p w14:paraId="757D2CBF" w14:textId="77777777" w:rsidR="00B47FF5" w:rsidRDefault="00B47FF5" w:rsidP="00537CC8">
      <w:pPr>
        <w:pStyle w:val="FootnoteText"/>
      </w:pPr>
      <w:r>
        <w:rPr>
          <w:rStyle w:val="FootnoteReference"/>
        </w:rPr>
        <w:footnoteRef/>
      </w:r>
      <w:r>
        <w:rPr>
          <w:rtl/>
        </w:rPr>
        <w:t xml:space="preserve"> </w:t>
      </w:r>
      <w:r w:rsidRPr="006D0E40">
        <w:t>Helene von Riebnid</w:t>
      </w:r>
    </w:p>
  </w:footnote>
  <w:footnote w:id="3235">
    <w:p w14:paraId="5E2AA2C8" w14:textId="77777777" w:rsidR="00B47FF5" w:rsidRDefault="00B47FF5" w:rsidP="00537CC8">
      <w:pPr>
        <w:pStyle w:val="FootnoteText"/>
      </w:pPr>
      <w:r>
        <w:rPr>
          <w:rStyle w:val="FootnoteReference"/>
        </w:rPr>
        <w:footnoteRef/>
      </w:r>
      <w:r>
        <w:rPr>
          <w:rtl/>
        </w:rPr>
        <w:t xml:space="preserve"> </w:t>
      </w:r>
      <w:r w:rsidRPr="006D0E40">
        <w:t>Dr Gumbi Sibongile</w:t>
      </w:r>
    </w:p>
  </w:footnote>
  <w:footnote w:id="3236">
    <w:p w14:paraId="24B3B530" w14:textId="77777777" w:rsidR="00B47FF5" w:rsidRDefault="00B47FF5" w:rsidP="00537CC8">
      <w:pPr>
        <w:pStyle w:val="FootnoteText"/>
      </w:pPr>
      <w:r>
        <w:rPr>
          <w:rStyle w:val="FootnoteReference"/>
        </w:rPr>
        <w:footnoteRef/>
      </w:r>
      <w:r>
        <w:rPr>
          <w:rtl/>
        </w:rPr>
        <w:t xml:space="preserve"> </w:t>
      </w:r>
      <w:r w:rsidRPr="006D0E40">
        <w:t>Stephanie Pride</w:t>
      </w:r>
    </w:p>
  </w:footnote>
  <w:footnote w:id="3237">
    <w:p w14:paraId="1D3AC6CF" w14:textId="77777777" w:rsidR="00B47FF5" w:rsidRDefault="00B47FF5" w:rsidP="00537CC8">
      <w:pPr>
        <w:pStyle w:val="FootnoteText"/>
      </w:pPr>
      <w:r>
        <w:rPr>
          <w:rStyle w:val="FootnoteReference"/>
        </w:rPr>
        <w:footnoteRef/>
      </w:r>
      <w:r>
        <w:rPr>
          <w:rtl/>
        </w:rPr>
        <w:t xml:space="preserve"> </w:t>
      </w:r>
      <w:r w:rsidRPr="006D0E40">
        <w:t>Sundeep Waslekar</w:t>
      </w:r>
    </w:p>
  </w:footnote>
  <w:footnote w:id="3238">
    <w:p w14:paraId="72E9BAE7" w14:textId="77777777" w:rsidR="00B47FF5" w:rsidRDefault="00B47FF5" w:rsidP="00537CC8">
      <w:pPr>
        <w:pStyle w:val="FootnoteText"/>
      </w:pPr>
      <w:r>
        <w:rPr>
          <w:rStyle w:val="FootnoteReference"/>
        </w:rPr>
        <w:footnoteRef/>
      </w:r>
      <w:r>
        <w:rPr>
          <w:rtl/>
        </w:rPr>
        <w:t xml:space="preserve"> </w:t>
      </w:r>
      <w:r w:rsidRPr="006D0E40">
        <w:t>Ilmas Futehally</w:t>
      </w:r>
    </w:p>
  </w:footnote>
  <w:footnote w:id="3239">
    <w:p w14:paraId="0BB4299B" w14:textId="77777777" w:rsidR="00B47FF5" w:rsidRDefault="00B47FF5" w:rsidP="00537CC8">
      <w:pPr>
        <w:pStyle w:val="FootnoteText"/>
      </w:pPr>
      <w:r>
        <w:rPr>
          <w:rStyle w:val="FootnoteReference"/>
        </w:rPr>
        <w:footnoteRef/>
      </w:r>
      <w:r>
        <w:rPr>
          <w:rtl/>
        </w:rPr>
        <w:t xml:space="preserve"> </w:t>
      </w:r>
      <w:r w:rsidRPr="006D0E40">
        <w:t>Ron Gunn</w:t>
      </w:r>
    </w:p>
  </w:footnote>
  <w:footnote w:id="3240">
    <w:p w14:paraId="19ACD230" w14:textId="77777777" w:rsidR="00B47FF5" w:rsidRDefault="00B47FF5" w:rsidP="00537CC8">
      <w:pPr>
        <w:pStyle w:val="FootnoteText"/>
      </w:pPr>
      <w:r>
        <w:rPr>
          <w:rStyle w:val="FootnoteReference"/>
        </w:rPr>
        <w:footnoteRef/>
      </w:r>
      <w:r>
        <w:rPr>
          <w:rtl/>
        </w:rPr>
        <w:t xml:space="preserve"> </w:t>
      </w:r>
      <w:r w:rsidRPr="006D0E40">
        <w:t>Jennifer Thompson</w:t>
      </w:r>
    </w:p>
  </w:footnote>
  <w:footnote w:id="3241">
    <w:p w14:paraId="16083BBB" w14:textId="77777777" w:rsidR="00B47FF5" w:rsidRDefault="00B47FF5" w:rsidP="00537CC8">
      <w:pPr>
        <w:pStyle w:val="FootnoteText"/>
      </w:pPr>
      <w:r>
        <w:rPr>
          <w:rStyle w:val="FootnoteReference"/>
        </w:rPr>
        <w:footnoteRef/>
      </w:r>
      <w:r>
        <w:rPr>
          <w:rtl/>
        </w:rPr>
        <w:t xml:space="preserve"> </w:t>
      </w:r>
      <w:r w:rsidRPr="006D0E40">
        <w:t>Slava Koslov</w:t>
      </w:r>
    </w:p>
  </w:footnote>
  <w:footnote w:id="3242">
    <w:p w14:paraId="54E82290" w14:textId="77777777" w:rsidR="00B47FF5" w:rsidRDefault="00B47FF5" w:rsidP="00537CC8">
      <w:pPr>
        <w:pStyle w:val="FootnoteText"/>
      </w:pPr>
      <w:r>
        <w:rPr>
          <w:rStyle w:val="FootnoteReference"/>
        </w:rPr>
        <w:footnoteRef/>
      </w:r>
      <w:r>
        <w:rPr>
          <w:rtl/>
        </w:rPr>
        <w:t xml:space="preserve"> </w:t>
      </w:r>
      <w:r w:rsidRPr="006D0E40">
        <w:t>Eindhoven</w:t>
      </w:r>
    </w:p>
  </w:footnote>
  <w:footnote w:id="3243">
    <w:p w14:paraId="6882DFE7" w14:textId="77777777" w:rsidR="00B47FF5" w:rsidRDefault="00B47FF5" w:rsidP="00537CC8">
      <w:pPr>
        <w:pStyle w:val="FootnoteText"/>
      </w:pPr>
      <w:r>
        <w:rPr>
          <w:rStyle w:val="FootnoteReference"/>
        </w:rPr>
        <w:footnoteRef/>
      </w:r>
      <w:r>
        <w:rPr>
          <w:rtl/>
        </w:rPr>
        <w:t xml:space="preserve"> </w:t>
      </w:r>
      <w:r w:rsidRPr="006D0E40">
        <w:t>Bruce Tow</w:t>
      </w:r>
    </w:p>
  </w:footnote>
  <w:footnote w:id="3244">
    <w:p w14:paraId="7FD488D7" w14:textId="77777777" w:rsidR="00B47FF5" w:rsidRDefault="00B47FF5" w:rsidP="00537CC8">
      <w:pPr>
        <w:pStyle w:val="FootnoteText"/>
      </w:pPr>
      <w:r>
        <w:rPr>
          <w:rStyle w:val="FootnoteReference"/>
        </w:rPr>
        <w:footnoteRef/>
      </w:r>
      <w:r>
        <w:rPr>
          <w:rtl/>
        </w:rPr>
        <w:t xml:space="preserve"> </w:t>
      </w:r>
      <w:r w:rsidRPr="006D0E40">
        <w:t>David Gilliam</w:t>
      </w:r>
    </w:p>
  </w:footnote>
  <w:footnote w:id="3245">
    <w:p w14:paraId="17929DD7" w14:textId="77777777" w:rsidR="00B47FF5" w:rsidRDefault="00B47FF5" w:rsidP="00537CC8">
      <w:pPr>
        <w:pStyle w:val="FootnoteText"/>
      </w:pPr>
      <w:r>
        <w:rPr>
          <w:rStyle w:val="FootnoteReference"/>
        </w:rPr>
        <w:footnoteRef/>
      </w:r>
      <w:r>
        <w:rPr>
          <w:rtl/>
        </w:rPr>
        <w:t xml:space="preserve"> </w:t>
      </w:r>
      <w:r w:rsidRPr="006D0E40">
        <w:t>Hardin Tibbs</w:t>
      </w:r>
    </w:p>
  </w:footnote>
  <w:footnote w:id="3246">
    <w:p w14:paraId="6EBDECC9" w14:textId="77777777" w:rsidR="00B47FF5" w:rsidRDefault="00B47FF5" w:rsidP="00537CC8">
      <w:pPr>
        <w:pStyle w:val="FootnoteText"/>
      </w:pPr>
      <w:r>
        <w:rPr>
          <w:rStyle w:val="FootnoteReference"/>
        </w:rPr>
        <w:footnoteRef/>
      </w:r>
      <w:r>
        <w:rPr>
          <w:rtl/>
        </w:rPr>
        <w:t xml:space="preserve"> </w:t>
      </w:r>
      <w:r w:rsidRPr="006D0E40">
        <w:t>Gerd Leonhard</w:t>
      </w:r>
    </w:p>
  </w:footnote>
  <w:footnote w:id="3247">
    <w:p w14:paraId="0731D741" w14:textId="77777777" w:rsidR="00B47FF5" w:rsidRDefault="00B47FF5" w:rsidP="00537CC8">
      <w:pPr>
        <w:pStyle w:val="FootnoteText"/>
      </w:pPr>
      <w:r>
        <w:rPr>
          <w:rStyle w:val="FootnoteReference"/>
        </w:rPr>
        <w:footnoteRef/>
      </w:r>
      <w:r>
        <w:rPr>
          <w:rtl/>
        </w:rPr>
        <w:t xml:space="preserve"> </w:t>
      </w:r>
      <w:r w:rsidRPr="006D0E40">
        <w:t>Graeme Codrington</w:t>
      </w:r>
    </w:p>
  </w:footnote>
  <w:footnote w:id="3248">
    <w:p w14:paraId="1E1B9263" w14:textId="77777777" w:rsidR="00B47FF5" w:rsidRDefault="00B47FF5" w:rsidP="00537CC8">
      <w:pPr>
        <w:pStyle w:val="FootnoteText"/>
      </w:pPr>
      <w:r>
        <w:rPr>
          <w:rStyle w:val="FootnoteReference"/>
        </w:rPr>
        <w:footnoteRef/>
      </w:r>
      <w:r>
        <w:rPr>
          <w:rtl/>
        </w:rPr>
        <w:t xml:space="preserve"> </w:t>
      </w:r>
      <w:r w:rsidRPr="006D0E40">
        <w:t>Maureen Rhemann</w:t>
      </w:r>
    </w:p>
  </w:footnote>
  <w:footnote w:id="3249">
    <w:p w14:paraId="22CB952B" w14:textId="77777777" w:rsidR="00B47FF5" w:rsidRDefault="00B47FF5" w:rsidP="00537CC8">
      <w:pPr>
        <w:pStyle w:val="FootnoteText"/>
      </w:pPr>
      <w:r>
        <w:rPr>
          <w:rStyle w:val="FootnoteReference"/>
        </w:rPr>
        <w:footnoteRef/>
      </w:r>
      <w:r>
        <w:rPr>
          <w:rtl/>
        </w:rPr>
        <w:t xml:space="preserve"> </w:t>
      </w:r>
      <w:r w:rsidRPr="006D0E40">
        <w:t>Jack Hipple</w:t>
      </w:r>
    </w:p>
  </w:footnote>
  <w:footnote w:id="3250">
    <w:p w14:paraId="772644BF" w14:textId="77777777" w:rsidR="00B47FF5" w:rsidRDefault="00B47FF5" w:rsidP="00537CC8">
      <w:pPr>
        <w:pStyle w:val="FootnoteText"/>
      </w:pPr>
      <w:r>
        <w:rPr>
          <w:rStyle w:val="FootnoteReference"/>
        </w:rPr>
        <w:footnoteRef/>
      </w:r>
      <w:r>
        <w:rPr>
          <w:rtl/>
        </w:rPr>
        <w:t xml:space="preserve"> </w:t>
      </w:r>
      <w:r w:rsidRPr="006D0E40">
        <w:t>David Beeton</w:t>
      </w:r>
    </w:p>
  </w:footnote>
  <w:footnote w:id="3251">
    <w:p w14:paraId="12284116" w14:textId="77777777" w:rsidR="00B47FF5" w:rsidRDefault="00B47FF5" w:rsidP="00537CC8">
      <w:pPr>
        <w:pStyle w:val="FootnoteText"/>
      </w:pPr>
      <w:r>
        <w:rPr>
          <w:rStyle w:val="FootnoteReference"/>
        </w:rPr>
        <w:footnoteRef/>
      </w:r>
      <w:r>
        <w:rPr>
          <w:rtl/>
        </w:rPr>
        <w:t xml:space="preserve"> </w:t>
      </w:r>
      <w:r w:rsidRPr="00070427">
        <w:t>Elina Hiltunen</w:t>
      </w:r>
    </w:p>
  </w:footnote>
  <w:footnote w:id="3252">
    <w:p w14:paraId="2D559979" w14:textId="77777777" w:rsidR="00B47FF5" w:rsidRDefault="00B47FF5" w:rsidP="00537CC8">
      <w:pPr>
        <w:pStyle w:val="FootnoteText"/>
      </w:pPr>
      <w:r>
        <w:rPr>
          <w:rStyle w:val="FootnoteReference"/>
        </w:rPr>
        <w:footnoteRef/>
      </w:r>
      <w:r>
        <w:rPr>
          <w:rtl/>
        </w:rPr>
        <w:t xml:space="preserve"> </w:t>
      </w:r>
      <w:r w:rsidRPr="00070427">
        <w:t>Kari Hiltunen</w:t>
      </w:r>
    </w:p>
  </w:footnote>
  <w:footnote w:id="3253">
    <w:p w14:paraId="47ED7E70" w14:textId="77777777" w:rsidR="00B47FF5" w:rsidRDefault="00B47FF5" w:rsidP="00537CC8">
      <w:pPr>
        <w:pStyle w:val="FootnoteText"/>
      </w:pPr>
      <w:r>
        <w:rPr>
          <w:rStyle w:val="FootnoteReference"/>
        </w:rPr>
        <w:footnoteRef/>
      </w:r>
      <w:r>
        <w:rPr>
          <w:rtl/>
        </w:rPr>
        <w:t xml:space="preserve"> </w:t>
      </w:r>
      <w:r w:rsidRPr="00070427">
        <w:t>Michel Judkiewicz</w:t>
      </w:r>
    </w:p>
  </w:footnote>
  <w:footnote w:id="3254">
    <w:p w14:paraId="6ABC638B" w14:textId="77777777" w:rsidR="00B47FF5" w:rsidRDefault="00B47FF5" w:rsidP="00A011F5">
      <w:pPr>
        <w:pStyle w:val="FootnoteText"/>
      </w:pPr>
      <w:r>
        <w:rPr>
          <w:rStyle w:val="FootnoteReference"/>
        </w:rPr>
        <w:footnoteRef/>
      </w:r>
      <w:r>
        <w:rPr>
          <w:rtl/>
        </w:rPr>
        <w:t xml:space="preserve"> </w:t>
      </w:r>
      <w:r w:rsidRPr="002735FC">
        <w:t>Good Reads</w:t>
      </w:r>
    </w:p>
  </w:footnote>
  <w:footnote w:id="3255">
    <w:p w14:paraId="5843C7CD" w14:textId="77777777" w:rsidR="00B47FF5" w:rsidRDefault="00B47FF5" w:rsidP="00CD6D41">
      <w:pPr>
        <w:pStyle w:val="FootnoteText"/>
      </w:pPr>
      <w:r>
        <w:rPr>
          <w:rStyle w:val="FootnoteReference"/>
        </w:rPr>
        <w:footnoteRef/>
      </w:r>
      <w:r>
        <w:rPr>
          <w:rtl/>
        </w:rPr>
        <w:t xml:space="preserve"> </w:t>
      </w:r>
      <w:r w:rsidRPr="002735FC">
        <w:t>Look Inside</w:t>
      </w:r>
    </w:p>
  </w:footnote>
  <w:footnote w:id="3256">
    <w:p w14:paraId="3B54EA6D" w14:textId="77777777" w:rsidR="00B47FF5" w:rsidRDefault="00B47FF5" w:rsidP="00CD6D41">
      <w:pPr>
        <w:pStyle w:val="FootnoteText"/>
      </w:pPr>
      <w:r>
        <w:rPr>
          <w:rStyle w:val="FootnoteReference"/>
        </w:rPr>
        <w:footnoteRef/>
      </w:r>
      <w:r>
        <w:rPr>
          <w:rtl/>
        </w:rPr>
        <w:t xml:space="preserve"> </w:t>
      </w:r>
      <w:r w:rsidRPr="002735FC">
        <w:t>IntechOpen</w:t>
      </w:r>
    </w:p>
  </w:footnote>
  <w:footnote w:id="3257">
    <w:p w14:paraId="6CFDF401" w14:textId="77777777" w:rsidR="00B47FF5" w:rsidRDefault="00B47FF5" w:rsidP="008A50B6">
      <w:pPr>
        <w:pStyle w:val="FootnoteText"/>
      </w:pPr>
      <w:r>
        <w:rPr>
          <w:rStyle w:val="FootnoteReference"/>
        </w:rPr>
        <w:footnoteRef/>
      </w:r>
      <w:r>
        <w:rPr>
          <w:rtl/>
        </w:rPr>
        <w:t xml:space="preserve"> </w:t>
      </w:r>
      <w:r w:rsidRPr="00C76C22">
        <w:t>The Signals are Talking: Why Today’s Fringe is Tomorrow’s Mainstream</w:t>
      </w:r>
    </w:p>
  </w:footnote>
  <w:footnote w:id="3258">
    <w:p w14:paraId="6586CE29" w14:textId="77777777" w:rsidR="00B47FF5" w:rsidRDefault="00B47FF5" w:rsidP="008A50B6">
      <w:pPr>
        <w:pStyle w:val="FootnoteText"/>
      </w:pPr>
      <w:r>
        <w:rPr>
          <w:rStyle w:val="FootnoteReference"/>
        </w:rPr>
        <w:footnoteRef/>
      </w:r>
      <w:r>
        <w:rPr>
          <w:rtl/>
        </w:rPr>
        <w:t xml:space="preserve"> </w:t>
      </w:r>
      <w:r w:rsidRPr="00C76C22">
        <w:t>Superforecasting: The Art and Science of Prediction</w:t>
      </w:r>
    </w:p>
  </w:footnote>
  <w:footnote w:id="3259">
    <w:p w14:paraId="7F9FE836" w14:textId="77777777" w:rsidR="00B47FF5" w:rsidRDefault="00B47FF5" w:rsidP="008A50B6">
      <w:pPr>
        <w:pStyle w:val="FootnoteText"/>
      </w:pPr>
      <w:r>
        <w:rPr>
          <w:rStyle w:val="FootnoteReference"/>
        </w:rPr>
        <w:footnoteRef/>
      </w:r>
      <w:r>
        <w:rPr>
          <w:rtl/>
        </w:rPr>
        <w:t xml:space="preserve"> </w:t>
      </w:r>
      <w:r w:rsidRPr="00C76C22">
        <w:t>Factfulness: Ten Reasons the World is Better than You Think</w:t>
      </w:r>
    </w:p>
  </w:footnote>
  <w:footnote w:id="3260">
    <w:p w14:paraId="349C6058" w14:textId="77777777" w:rsidR="00B47FF5" w:rsidRDefault="00B47FF5" w:rsidP="008A50B6">
      <w:pPr>
        <w:pStyle w:val="FootnoteText"/>
      </w:pPr>
      <w:r>
        <w:rPr>
          <w:rStyle w:val="FootnoteReference"/>
        </w:rPr>
        <w:footnoteRef/>
      </w:r>
      <w:r>
        <w:rPr>
          <w:rtl/>
        </w:rPr>
        <w:t xml:space="preserve"> </w:t>
      </w:r>
      <w:r w:rsidRPr="00C76C22">
        <w:t>Ten Global Trends Every Smart Person Should Know, Ron Baily and Marion Tupy</w:t>
      </w:r>
    </w:p>
  </w:footnote>
  <w:footnote w:id="3261">
    <w:p w14:paraId="6E28EC34" w14:textId="77777777" w:rsidR="00B47FF5" w:rsidRDefault="00B47FF5" w:rsidP="008A50B6">
      <w:pPr>
        <w:pStyle w:val="FootnoteText"/>
      </w:pPr>
      <w:r>
        <w:rPr>
          <w:rStyle w:val="FootnoteReference"/>
        </w:rPr>
        <w:footnoteRef/>
      </w:r>
      <w:r>
        <w:rPr>
          <w:rtl/>
        </w:rPr>
        <w:t xml:space="preserve"> </w:t>
      </w:r>
      <w:r w:rsidRPr="00C76C22">
        <w:t>Can the World Be Wrong? Where Global Public Opinion Says We’re Headed, Doug Miller &amp; John Elkington</w:t>
      </w:r>
    </w:p>
  </w:footnote>
  <w:footnote w:id="3262">
    <w:p w14:paraId="32FA77BC" w14:textId="77777777" w:rsidR="00B47FF5" w:rsidRDefault="00B47FF5" w:rsidP="008A50B6">
      <w:pPr>
        <w:pStyle w:val="FootnoteText"/>
      </w:pPr>
      <w:r>
        <w:rPr>
          <w:rStyle w:val="FootnoteReference"/>
        </w:rPr>
        <w:footnoteRef/>
      </w:r>
      <w:r>
        <w:rPr>
          <w:rtl/>
        </w:rPr>
        <w:t xml:space="preserve"> </w:t>
      </w:r>
      <w:r w:rsidRPr="006F5649">
        <w:t>A Brief History of the Future, Oona Strathern, 2007</w:t>
      </w:r>
    </w:p>
  </w:footnote>
  <w:footnote w:id="3263">
    <w:p w14:paraId="4DD0300D" w14:textId="77777777" w:rsidR="00B47FF5" w:rsidRDefault="00B47FF5" w:rsidP="008A50B6">
      <w:pPr>
        <w:pStyle w:val="FootnoteText"/>
      </w:pPr>
      <w:r>
        <w:rPr>
          <w:rStyle w:val="FootnoteReference"/>
        </w:rPr>
        <w:footnoteRef/>
      </w:r>
      <w:r>
        <w:rPr>
          <w:rtl/>
        </w:rPr>
        <w:t xml:space="preserve"> </w:t>
      </w:r>
      <w:r w:rsidRPr="006F5649">
        <w:t>Strategic Foresight: Learning from the Future, Patricia Lustig</w:t>
      </w:r>
    </w:p>
  </w:footnote>
  <w:footnote w:id="3264">
    <w:p w14:paraId="46D04ADF" w14:textId="77777777" w:rsidR="00B47FF5" w:rsidRDefault="00B47FF5" w:rsidP="008A50B6">
      <w:pPr>
        <w:pStyle w:val="FootnoteText"/>
      </w:pPr>
      <w:r>
        <w:rPr>
          <w:rStyle w:val="FootnoteReference"/>
        </w:rPr>
        <w:footnoteRef/>
      </w:r>
      <w:r>
        <w:rPr>
          <w:rtl/>
        </w:rPr>
        <w:t xml:space="preserve"> </w:t>
      </w:r>
      <w:r w:rsidRPr="006F5649">
        <w:t>The Pursuit of Destiny: A History of Prediction, Paul Halpern</w:t>
      </w:r>
    </w:p>
  </w:footnote>
  <w:footnote w:id="3265">
    <w:p w14:paraId="3FD53949" w14:textId="77777777" w:rsidR="00B47FF5" w:rsidRDefault="00B47FF5" w:rsidP="008A50B6">
      <w:pPr>
        <w:pStyle w:val="FootnoteText"/>
      </w:pPr>
      <w:r>
        <w:rPr>
          <w:rStyle w:val="FootnoteReference"/>
        </w:rPr>
        <w:footnoteRef/>
      </w:r>
      <w:r>
        <w:rPr>
          <w:rtl/>
        </w:rPr>
        <w:t xml:space="preserve"> </w:t>
      </w:r>
      <w:r w:rsidRPr="006F5649">
        <w:t>Future Savvy: Quality in Foresight, Adam Gordon</w:t>
      </w:r>
    </w:p>
  </w:footnote>
  <w:footnote w:id="3266">
    <w:p w14:paraId="72036B0D" w14:textId="77777777" w:rsidR="00B47FF5" w:rsidRDefault="00B47FF5" w:rsidP="008A50B6">
      <w:pPr>
        <w:pStyle w:val="FootnoteText"/>
      </w:pPr>
      <w:r>
        <w:rPr>
          <w:rStyle w:val="FootnoteReference"/>
        </w:rPr>
        <w:footnoteRef/>
      </w:r>
      <w:r>
        <w:rPr>
          <w:rtl/>
        </w:rPr>
        <w:t xml:space="preserve"> </w:t>
      </w:r>
      <w:r w:rsidRPr="006F5649">
        <w:t>The Signal and the Noise: Why So Many Predictions Fail, But, Some Don’t, Nate Silver</w:t>
      </w:r>
    </w:p>
  </w:footnote>
  <w:footnote w:id="3267">
    <w:p w14:paraId="082EC125" w14:textId="77777777" w:rsidR="00B47FF5" w:rsidRDefault="00B47FF5" w:rsidP="008A50B6">
      <w:pPr>
        <w:pStyle w:val="FootnoteText"/>
      </w:pPr>
      <w:r>
        <w:rPr>
          <w:rStyle w:val="FootnoteReference"/>
        </w:rPr>
        <w:footnoteRef/>
      </w:r>
      <w:r>
        <w:rPr>
          <w:rtl/>
        </w:rPr>
        <w:t xml:space="preserve"> </w:t>
      </w:r>
      <w:r w:rsidRPr="006F5649">
        <w:t>Think Like a Futurist, Cecily Sommers</w:t>
      </w:r>
    </w:p>
  </w:footnote>
  <w:footnote w:id="3268">
    <w:p w14:paraId="04B45FD1" w14:textId="77777777" w:rsidR="00B47FF5" w:rsidRDefault="00B47FF5" w:rsidP="008A50B6">
      <w:pPr>
        <w:pStyle w:val="FootnoteText"/>
      </w:pPr>
      <w:r>
        <w:rPr>
          <w:rStyle w:val="FootnoteReference"/>
        </w:rPr>
        <w:footnoteRef/>
      </w:r>
      <w:r>
        <w:rPr>
          <w:rtl/>
        </w:rPr>
        <w:t xml:space="preserve"> </w:t>
      </w:r>
      <w:r w:rsidRPr="006F5649">
        <w:t>The Future: A Very Short Introduction, Jennifer Gidley</w:t>
      </w:r>
    </w:p>
  </w:footnote>
  <w:footnote w:id="3269">
    <w:p w14:paraId="16CC9152" w14:textId="77777777" w:rsidR="00B47FF5" w:rsidRDefault="00B47FF5" w:rsidP="008A50B6">
      <w:pPr>
        <w:pStyle w:val="FootnoteText"/>
      </w:pPr>
      <w:r>
        <w:rPr>
          <w:rStyle w:val="FootnoteReference"/>
        </w:rPr>
        <w:footnoteRef/>
      </w:r>
      <w:r>
        <w:rPr>
          <w:rtl/>
        </w:rPr>
        <w:t xml:space="preserve"> </w:t>
      </w:r>
      <w:r w:rsidRPr="00B6570A">
        <w:t>How to Future: Leading and Sensemaking in an Age of Hyperchange, Madeline Ashby and Scofl Smith</w:t>
      </w:r>
    </w:p>
  </w:footnote>
  <w:footnote w:id="3270">
    <w:p w14:paraId="40EFB9B3" w14:textId="77777777" w:rsidR="00B47FF5" w:rsidRDefault="00B47FF5" w:rsidP="008A50B6">
      <w:pPr>
        <w:pStyle w:val="FootnoteText"/>
      </w:pPr>
      <w:r>
        <w:rPr>
          <w:rStyle w:val="FootnoteReference"/>
        </w:rPr>
        <w:footnoteRef/>
      </w:r>
      <w:r>
        <w:rPr>
          <w:rtl/>
        </w:rPr>
        <w:t xml:space="preserve"> </w:t>
      </w:r>
      <w:r w:rsidRPr="00B6570A">
        <w:t>How to Navigate the Future, Margaret Heﬀerman</w:t>
      </w:r>
    </w:p>
  </w:footnote>
  <w:footnote w:id="3271">
    <w:p w14:paraId="248530B9" w14:textId="77777777" w:rsidR="00B47FF5" w:rsidRDefault="00B47FF5" w:rsidP="00C0542C">
      <w:pPr>
        <w:pStyle w:val="FootnoteText"/>
      </w:pPr>
      <w:r>
        <w:rPr>
          <w:rStyle w:val="FootnoteReference"/>
        </w:rPr>
        <w:footnoteRef/>
      </w:r>
      <w:r>
        <w:rPr>
          <w:rtl/>
        </w:rPr>
        <w:t xml:space="preserve"> </w:t>
      </w:r>
      <w:r w:rsidRPr="001D5A8D">
        <w:t>A Brief History of the Future, Oona Strathern</w:t>
      </w:r>
    </w:p>
  </w:footnote>
  <w:footnote w:id="3272">
    <w:p w14:paraId="24AAF15D" w14:textId="77777777" w:rsidR="00B47FF5" w:rsidRDefault="00B47FF5" w:rsidP="00C0542C">
      <w:pPr>
        <w:pStyle w:val="FootnoteText"/>
      </w:pPr>
      <w:r>
        <w:rPr>
          <w:rStyle w:val="FootnoteReference"/>
        </w:rPr>
        <w:footnoteRef/>
      </w:r>
      <w:r>
        <w:rPr>
          <w:rtl/>
        </w:rPr>
        <w:t xml:space="preserve"> </w:t>
      </w:r>
      <w:r w:rsidRPr="001D5A8D">
        <w:t>A Brief History of Tomorrow: The Future Past and Present, John Margolis</w:t>
      </w:r>
    </w:p>
  </w:footnote>
  <w:footnote w:id="3273">
    <w:p w14:paraId="4CFA538D" w14:textId="77777777" w:rsidR="00B47FF5" w:rsidRDefault="00B47FF5" w:rsidP="00C0542C">
      <w:pPr>
        <w:pStyle w:val="FootnoteText"/>
      </w:pPr>
      <w:r>
        <w:rPr>
          <w:rStyle w:val="FootnoteReference"/>
        </w:rPr>
        <w:footnoteRef/>
      </w:r>
      <w:r>
        <w:rPr>
          <w:rtl/>
        </w:rPr>
        <w:t xml:space="preserve"> </w:t>
      </w:r>
      <w:r w:rsidRPr="001D5A8D">
        <w:t>Can the World Be Wrong? Where Global Public Opinion Says We’re Headed, Miller &amp; Elkington</w:t>
      </w:r>
    </w:p>
  </w:footnote>
  <w:footnote w:id="3274">
    <w:p w14:paraId="3A642F1A" w14:textId="77777777" w:rsidR="00B47FF5" w:rsidRDefault="00B47FF5" w:rsidP="00C0542C">
      <w:pPr>
        <w:pStyle w:val="FootnoteText"/>
      </w:pPr>
      <w:r>
        <w:rPr>
          <w:rStyle w:val="FootnoteReference"/>
        </w:rPr>
        <w:footnoteRef/>
      </w:r>
      <w:r>
        <w:rPr>
          <w:rtl/>
        </w:rPr>
        <w:t xml:space="preserve"> </w:t>
      </w:r>
      <w:r w:rsidRPr="001D5A8D">
        <w:t>Convergence: The Idea at the Heart of Science</w:t>
      </w:r>
    </w:p>
  </w:footnote>
  <w:footnote w:id="3275">
    <w:p w14:paraId="306FBAFC" w14:textId="77777777" w:rsidR="00B47FF5" w:rsidRDefault="00B47FF5" w:rsidP="00C0542C">
      <w:pPr>
        <w:pStyle w:val="FootnoteText"/>
      </w:pPr>
      <w:r>
        <w:rPr>
          <w:rStyle w:val="FootnoteReference"/>
        </w:rPr>
        <w:footnoteRef/>
      </w:r>
      <w:r>
        <w:rPr>
          <w:rtl/>
        </w:rPr>
        <w:t xml:space="preserve"> </w:t>
      </w:r>
      <w:r w:rsidRPr="001D5A8D">
        <w:t>Factfulness: Ten Reasons the World is Better than You Think, Hans Rosling</w:t>
      </w:r>
    </w:p>
  </w:footnote>
  <w:footnote w:id="3276">
    <w:p w14:paraId="49651469" w14:textId="77777777" w:rsidR="00B47FF5" w:rsidRDefault="00B47FF5" w:rsidP="00C0542C">
      <w:pPr>
        <w:pStyle w:val="FootnoteText"/>
      </w:pPr>
      <w:r>
        <w:rPr>
          <w:rStyle w:val="FootnoteReference"/>
        </w:rPr>
        <w:footnoteRef/>
      </w:r>
      <w:r>
        <w:rPr>
          <w:rtl/>
        </w:rPr>
        <w:t xml:space="preserve"> </w:t>
      </w:r>
      <w:r w:rsidRPr="001D5A8D">
        <w:t>Flash Foresight, Daniel Burrus</w:t>
      </w:r>
    </w:p>
  </w:footnote>
  <w:footnote w:id="3277">
    <w:p w14:paraId="45CCE932" w14:textId="77777777" w:rsidR="00B47FF5" w:rsidRDefault="00B47FF5" w:rsidP="00C0542C">
      <w:pPr>
        <w:pStyle w:val="FootnoteText"/>
      </w:pPr>
      <w:r>
        <w:rPr>
          <w:rStyle w:val="FootnoteReference"/>
        </w:rPr>
        <w:footnoteRef/>
      </w:r>
      <w:r>
        <w:rPr>
          <w:rtl/>
        </w:rPr>
        <w:t xml:space="preserve"> </w:t>
      </w:r>
      <w:r w:rsidRPr="001D5A8D">
        <w:t>Future Savvy: Quality in Foresight, Adam Gordon</w:t>
      </w:r>
    </w:p>
  </w:footnote>
  <w:footnote w:id="3278">
    <w:p w14:paraId="611AEFF7" w14:textId="77777777" w:rsidR="00B47FF5" w:rsidRDefault="00B47FF5" w:rsidP="00C0542C">
      <w:pPr>
        <w:pStyle w:val="FootnoteText"/>
      </w:pPr>
      <w:r>
        <w:rPr>
          <w:rStyle w:val="FootnoteReference"/>
        </w:rPr>
        <w:footnoteRef/>
      </w:r>
      <w:r>
        <w:rPr>
          <w:rtl/>
        </w:rPr>
        <w:t xml:space="preserve"> </w:t>
      </w:r>
      <w:r w:rsidRPr="001D5A8D">
        <w:t>Futuring: The Exploration of the Future, Ed Cornish</w:t>
      </w:r>
    </w:p>
  </w:footnote>
  <w:footnote w:id="3279">
    <w:p w14:paraId="6174B789" w14:textId="77777777" w:rsidR="00B47FF5" w:rsidRDefault="00B47FF5" w:rsidP="00C0542C">
      <w:pPr>
        <w:pStyle w:val="FootnoteText"/>
      </w:pPr>
      <w:r>
        <w:rPr>
          <w:rStyle w:val="FootnoteReference"/>
        </w:rPr>
        <w:footnoteRef/>
      </w:r>
      <w:r>
        <w:rPr>
          <w:rtl/>
        </w:rPr>
        <w:t xml:space="preserve"> </w:t>
      </w:r>
      <w:r w:rsidRPr="003818ED">
        <w:t>How to Future: Leading &amp; Sensemaking in an Age of Hyperchange, Ashby &amp; Smith</w:t>
      </w:r>
    </w:p>
  </w:footnote>
  <w:footnote w:id="3280">
    <w:p w14:paraId="55B1F6AF" w14:textId="77777777" w:rsidR="00B47FF5" w:rsidRDefault="00B47FF5" w:rsidP="00C0542C">
      <w:pPr>
        <w:pStyle w:val="FootnoteText"/>
      </w:pPr>
      <w:r>
        <w:rPr>
          <w:rStyle w:val="FootnoteReference"/>
        </w:rPr>
        <w:footnoteRef/>
      </w:r>
      <w:r>
        <w:rPr>
          <w:rtl/>
        </w:rPr>
        <w:t xml:space="preserve"> </w:t>
      </w:r>
      <w:r w:rsidRPr="003818ED">
        <w:t>Knowing our Future: The Startling Case for Futurology, Michael Lee</w:t>
      </w:r>
    </w:p>
  </w:footnote>
  <w:footnote w:id="3281">
    <w:p w14:paraId="27517157" w14:textId="77777777" w:rsidR="00B47FF5" w:rsidRDefault="00B47FF5" w:rsidP="00C0542C">
      <w:pPr>
        <w:pStyle w:val="FootnoteText"/>
      </w:pPr>
      <w:r>
        <w:rPr>
          <w:rStyle w:val="FootnoteReference"/>
        </w:rPr>
        <w:footnoteRef/>
      </w:r>
      <w:r>
        <w:rPr>
          <w:rtl/>
        </w:rPr>
        <w:t xml:space="preserve"> </w:t>
      </w:r>
      <w:r w:rsidRPr="003818ED">
        <w:t>Long Life Learning: Preparing for Jobs that Don’t Even Exist Yet, Michelle Weiss</w:t>
      </w:r>
    </w:p>
  </w:footnote>
  <w:footnote w:id="3282">
    <w:p w14:paraId="7A75E14E" w14:textId="77777777" w:rsidR="00B47FF5" w:rsidRDefault="00B47FF5" w:rsidP="00C0542C">
      <w:pPr>
        <w:pStyle w:val="FootnoteText"/>
      </w:pPr>
      <w:r>
        <w:rPr>
          <w:rStyle w:val="FootnoteReference"/>
        </w:rPr>
        <w:footnoteRef/>
      </w:r>
      <w:r>
        <w:rPr>
          <w:rtl/>
        </w:rPr>
        <w:t xml:space="preserve"> </w:t>
      </w:r>
      <w:r w:rsidRPr="003818ED">
        <w:t>Non-Obvious 2017: Think Diﬀ., Curate Ideas, Predict the Future, Rohit Bhargava</w:t>
      </w:r>
    </w:p>
  </w:footnote>
  <w:footnote w:id="3283">
    <w:p w14:paraId="17517136" w14:textId="77777777" w:rsidR="00B47FF5" w:rsidRDefault="00B47FF5" w:rsidP="00C0542C">
      <w:pPr>
        <w:pStyle w:val="FootnoteText"/>
      </w:pPr>
      <w:r>
        <w:rPr>
          <w:rStyle w:val="FootnoteReference"/>
        </w:rPr>
        <w:footnoteRef/>
      </w:r>
      <w:r>
        <w:rPr>
          <w:rtl/>
        </w:rPr>
        <w:t xml:space="preserve"> </w:t>
      </w:r>
      <w:r w:rsidRPr="003818ED">
        <w:t>Strategic Foresight: Learning from the Future, Patricia Lustig</w:t>
      </w:r>
    </w:p>
  </w:footnote>
  <w:footnote w:id="3284">
    <w:p w14:paraId="2A70F278" w14:textId="77777777" w:rsidR="00B47FF5" w:rsidRDefault="00B47FF5" w:rsidP="00C0542C">
      <w:pPr>
        <w:pStyle w:val="FootnoteText"/>
      </w:pPr>
      <w:r>
        <w:rPr>
          <w:rStyle w:val="FootnoteReference"/>
        </w:rPr>
        <w:footnoteRef/>
      </w:r>
      <w:r>
        <w:rPr>
          <w:rtl/>
        </w:rPr>
        <w:t xml:space="preserve"> </w:t>
      </w:r>
      <w:r w:rsidRPr="003818ED">
        <w:t>Superforecasting: The Art &amp; Science of Prediction, Philip Tetlock &amp; Dan Gardner</w:t>
      </w:r>
    </w:p>
  </w:footnote>
  <w:footnote w:id="3285">
    <w:p w14:paraId="4A12B4DE" w14:textId="77777777" w:rsidR="00B47FF5" w:rsidRDefault="00B47FF5" w:rsidP="00C0542C">
      <w:pPr>
        <w:pStyle w:val="FootnoteText"/>
      </w:pPr>
      <w:r>
        <w:rPr>
          <w:rStyle w:val="FootnoteReference"/>
        </w:rPr>
        <w:footnoteRef/>
      </w:r>
      <w:r>
        <w:rPr>
          <w:rtl/>
        </w:rPr>
        <w:t xml:space="preserve"> </w:t>
      </w:r>
      <w:r w:rsidRPr="003818ED">
        <w:t>Ten Global Trends Every Smart Person Should Know, Ron Baily &amp; Marian Tupy</w:t>
      </w:r>
    </w:p>
  </w:footnote>
  <w:footnote w:id="3286">
    <w:p w14:paraId="4AB1893B" w14:textId="77777777" w:rsidR="00B47FF5" w:rsidRDefault="00B47FF5" w:rsidP="00C0542C">
      <w:pPr>
        <w:pStyle w:val="FootnoteText"/>
      </w:pPr>
      <w:r>
        <w:rPr>
          <w:rStyle w:val="FootnoteReference"/>
        </w:rPr>
        <w:footnoteRef/>
      </w:r>
      <w:r>
        <w:rPr>
          <w:rtl/>
        </w:rPr>
        <w:t xml:space="preserve"> </w:t>
      </w:r>
      <w:r w:rsidRPr="003818ED">
        <w:t>The Art of the Long View: Plan the Future in an Uncertain World, Peter Schward</w:t>
      </w:r>
    </w:p>
  </w:footnote>
  <w:footnote w:id="3287">
    <w:p w14:paraId="17EA7B72" w14:textId="77777777" w:rsidR="00B47FF5" w:rsidRDefault="00B47FF5" w:rsidP="00C0542C">
      <w:pPr>
        <w:pStyle w:val="FootnoteText"/>
      </w:pPr>
      <w:r>
        <w:rPr>
          <w:rStyle w:val="FootnoteReference"/>
        </w:rPr>
        <w:footnoteRef/>
      </w:r>
      <w:r>
        <w:rPr>
          <w:rtl/>
        </w:rPr>
        <w:t xml:space="preserve"> </w:t>
      </w:r>
      <w:r w:rsidRPr="003818ED">
        <w:t>The Future: A Very Short Introduction, Jennifer Gidley</w:t>
      </w:r>
    </w:p>
  </w:footnote>
  <w:footnote w:id="3288">
    <w:p w14:paraId="198E842E" w14:textId="77777777" w:rsidR="00B47FF5" w:rsidRDefault="00B47FF5" w:rsidP="00C0542C">
      <w:pPr>
        <w:pStyle w:val="FootnoteText"/>
      </w:pPr>
      <w:r>
        <w:rPr>
          <w:rStyle w:val="FootnoteReference"/>
        </w:rPr>
        <w:footnoteRef/>
      </w:r>
      <w:r>
        <w:rPr>
          <w:rtl/>
        </w:rPr>
        <w:t xml:space="preserve"> </w:t>
      </w:r>
      <w:r w:rsidRPr="003818ED">
        <w:t>The Pursuit of Destiny: A History of Prediction, Paul Halpern</w:t>
      </w:r>
    </w:p>
  </w:footnote>
  <w:footnote w:id="3289">
    <w:p w14:paraId="0B71A24B" w14:textId="77777777" w:rsidR="00B47FF5" w:rsidRDefault="00B47FF5" w:rsidP="00C0542C">
      <w:pPr>
        <w:pStyle w:val="FootnoteText"/>
      </w:pPr>
      <w:r>
        <w:rPr>
          <w:rStyle w:val="FootnoteReference"/>
        </w:rPr>
        <w:footnoteRef/>
      </w:r>
      <w:r>
        <w:rPr>
          <w:rtl/>
        </w:rPr>
        <w:t xml:space="preserve"> </w:t>
      </w:r>
      <w:r w:rsidRPr="007309E8">
        <w:t>The Rough Guide to the Future, Jon Turney</w:t>
      </w:r>
    </w:p>
  </w:footnote>
  <w:footnote w:id="3290">
    <w:p w14:paraId="216BD8F6" w14:textId="77777777" w:rsidR="00B47FF5" w:rsidRDefault="00B47FF5" w:rsidP="00C0542C">
      <w:pPr>
        <w:pStyle w:val="FootnoteText"/>
      </w:pPr>
      <w:r>
        <w:rPr>
          <w:rStyle w:val="FootnoteReference"/>
        </w:rPr>
        <w:footnoteRef/>
      </w:r>
      <w:r>
        <w:rPr>
          <w:rtl/>
        </w:rPr>
        <w:t xml:space="preserve"> </w:t>
      </w:r>
      <w:r w:rsidRPr="007309E8">
        <w:t>The Signal and the Noise: Why Most Predictions Fail But, Some Don’t, Nate Silver</w:t>
      </w:r>
    </w:p>
  </w:footnote>
  <w:footnote w:id="3291">
    <w:p w14:paraId="416F144F" w14:textId="77777777" w:rsidR="00B47FF5" w:rsidRDefault="00B47FF5" w:rsidP="00C0542C">
      <w:pPr>
        <w:pStyle w:val="FootnoteText"/>
      </w:pPr>
      <w:r>
        <w:rPr>
          <w:rStyle w:val="FootnoteReference"/>
        </w:rPr>
        <w:footnoteRef/>
      </w:r>
      <w:r>
        <w:rPr>
          <w:rtl/>
        </w:rPr>
        <w:t xml:space="preserve"> </w:t>
      </w:r>
      <w:r w:rsidRPr="007309E8">
        <w:t>The Signals are Talking: When Today’s Fringe Goes Mainstream, Amy Webb</w:t>
      </w:r>
    </w:p>
  </w:footnote>
  <w:footnote w:id="3292">
    <w:p w14:paraId="5D6AE45A" w14:textId="77777777" w:rsidR="00B47FF5" w:rsidRDefault="00B47FF5" w:rsidP="00C0542C">
      <w:pPr>
        <w:pStyle w:val="FootnoteText"/>
      </w:pPr>
      <w:r>
        <w:rPr>
          <w:rStyle w:val="FootnoteReference"/>
        </w:rPr>
        <w:footnoteRef/>
      </w:r>
      <w:r>
        <w:rPr>
          <w:rtl/>
        </w:rPr>
        <w:t xml:space="preserve"> </w:t>
      </w:r>
      <w:r w:rsidRPr="007309E8">
        <w:t>Think Like a Futurist, Cecily Sommers</w:t>
      </w:r>
    </w:p>
  </w:footnote>
  <w:footnote w:id="3293">
    <w:p w14:paraId="68C73FBD" w14:textId="77777777" w:rsidR="00B47FF5" w:rsidRDefault="00B47FF5" w:rsidP="00C0542C">
      <w:pPr>
        <w:pStyle w:val="FootnoteText"/>
      </w:pPr>
      <w:r>
        <w:rPr>
          <w:rStyle w:val="FootnoteReference"/>
        </w:rPr>
        <w:footnoteRef/>
      </w:r>
      <w:r>
        <w:rPr>
          <w:rtl/>
        </w:rPr>
        <w:t xml:space="preserve"> </w:t>
      </w:r>
      <w:r w:rsidRPr="007309E8">
        <w:t>Uncharted: How to Navigate the Future, Margaret Heﬀerman</w:t>
      </w:r>
    </w:p>
  </w:footnote>
  <w:footnote w:id="3294">
    <w:p w14:paraId="30C1D836" w14:textId="77777777" w:rsidR="00B47FF5" w:rsidRDefault="00B47FF5" w:rsidP="005B4181">
      <w:pPr>
        <w:pStyle w:val="FootnoteText"/>
      </w:pPr>
      <w:r>
        <w:rPr>
          <w:rStyle w:val="FootnoteReference"/>
        </w:rPr>
        <w:footnoteRef/>
      </w:r>
      <w:r>
        <w:rPr>
          <w:rtl/>
        </w:rPr>
        <w:t xml:space="preserve"> </w:t>
      </w:r>
      <w:r w:rsidRPr="00F75BE6">
        <w:t>Futures Research Methodology, V3.0, Jerry Glenn and Ted Gordon</w:t>
      </w:r>
    </w:p>
  </w:footnote>
  <w:footnote w:id="3295">
    <w:p w14:paraId="1790560D" w14:textId="77777777" w:rsidR="00B47FF5" w:rsidRDefault="00B47FF5" w:rsidP="005B4181">
      <w:pPr>
        <w:pStyle w:val="FootnoteText"/>
      </w:pPr>
      <w:r>
        <w:rPr>
          <w:rStyle w:val="FootnoteReference"/>
        </w:rPr>
        <w:footnoteRef/>
      </w:r>
      <w:r>
        <w:rPr>
          <w:rtl/>
        </w:rPr>
        <w:t xml:space="preserve"> </w:t>
      </w:r>
      <w:r w:rsidRPr="00F75BE6">
        <w:t>Foundations of Futures Studies, Volumes 1 and 2, Wendell Bell</w:t>
      </w:r>
    </w:p>
  </w:footnote>
  <w:footnote w:id="3296">
    <w:p w14:paraId="174200AD" w14:textId="77777777" w:rsidR="00B47FF5" w:rsidRDefault="00B47FF5" w:rsidP="005B4181">
      <w:pPr>
        <w:pStyle w:val="FootnoteText"/>
      </w:pPr>
      <w:r>
        <w:rPr>
          <w:rStyle w:val="FootnoteReference"/>
        </w:rPr>
        <w:footnoteRef/>
      </w:r>
      <w:r>
        <w:rPr>
          <w:rtl/>
        </w:rPr>
        <w:t xml:space="preserve"> </w:t>
      </w:r>
      <w:r w:rsidRPr="006A5F48">
        <w:t>Knowledge Base of Futures Studies, Richard Slaughter and Andy Hines</w:t>
      </w:r>
    </w:p>
  </w:footnote>
  <w:footnote w:id="3297">
    <w:p w14:paraId="5A20990E" w14:textId="77777777" w:rsidR="00B47FF5" w:rsidRDefault="00B47FF5" w:rsidP="005B4181">
      <w:pPr>
        <w:pStyle w:val="FootnoteText"/>
      </w:pPr>
      <w:r>
        <w:rPr>
          <w:rStyle w:val="FootnoteReference"/>
        </w:rPr>
        <w:footnoteRef/>
      </w:r>
      <w:r>
        <w:rPr>
          <w:rtl/>
        </w:rPr>
        <w:t xml:space="preserve"> </w:t>
      </w:r>
      <w:r w:rsidRPr="00C83C35">
        <w:t>Using Trends and Scenarios as Tools for Strategy Development, Ulf Pillkahn</w:t>
      </w:r>
    </w:p>
  </w:footnote>
  <w:footnote w:id="3298">
    <w:p w14:paraId="2F9C8E5F" w14:textId="77777777" w:rsidR="00B47FF5" w:rsidRDefault="00B47FF5" w:rsidP="005B4181">
      <w:pPr>
        <w:pStyle w:val="FootnoteText"/>
      </w:pPr>
      <w:r>
        <w:rPr>
          <w:rStyle w:val="FootnoteReference"/>
        </w:rPr>
        <w:footnoteRef/>
      </w:r>
      <w:r>
        <w:rPr>
          <w:rtl/>
        </w:rPr>
        <w:t xml:space="preserve"> </w:t>
      </w:r>
      <w:r w:rsidRPr="00C83C35">
        <w:t>The Fortune Sellers: The Big Business of Buying &amp; Selling Predictions, William Sherden</w:t>
      </w:r>
    </w:p>
  </w:footnote>
  <w:footnote w:id="3299">
    <w:p w14:paraId="240E95A6" w14:textId="77777777" w:rsidR="00B47FF5" w:rsidRDefault="00B47FF5" w:rsidP="005B4181">
      <w:pPr>
        <w:pStyle w:val="FootnoteText"/>
      </w:pPr>
      <w:r>
        <w:rPr>
          <w:rStyle w:val="FootnoteReference"/>
        </w:rPr>
        <w:footnoteRef/>
      </w:r>
      <w:r>
        <w:rPr>
          <w:rtl/>
        </w:rPr>
        <w:t xml:space="preserve"> </w:t>
      </w:r>
      <w:r w:rsidRPr="00C83C35">
        <w:t>Superforecasting</w:t>
      </w:r>
    </w:p>
  </w:footnote>
  <w:footnote w:id="3300">
    <w:p w14:paraId="5E8FD18D" w14:textId="77777777" w:rsidR="00B47FF5" w:rsidRDefault="00B47FF5" w:rsidP="005B4181">
      <w:pPr>
        <w:pStyle w:val="FootnoteText"/>
      </w:pPr>
      <w:r>
        <w:rPr>
          <w:rStyle w:val="FootnoteReference"/>
        </w:rPr>
        <w:footnoteRef/>
      </w:r>
      <w:r>
        <w:rPr>
          <w:rtl/>
        </w:rPr>
        <w:t xml:space="preserve"> </w:t>
      </w:r>
      <w:r w:rsidRPr="00C83C35">
        <w:t>Best Laid Plans: The Tyranny of Unintended Consequences and How to Avoid Them, William Sherden</w:t>
      </w:r>
    </w:p>
  </w:footnote>
  <w:footnote w:id="3301">
    <w:p w14:paraId="4E66FCAB" w14:textId="77777777" w:rsidR="00B47FF5" w:rsidRDefault="00B47FF5" w:rsidP="005B4181">
      <w:pPr>
        <w:pStyle w:val="FootnoteText"/>
      </w:pPr>
      <w:r>
        <w:rPr>
          <w:rStyle w:val="FootnoteReference"/>
        </w:rPr>
        <w:footnoteRef/>
      </w:r>
      <w:r>
        <w:rPr>
          <w:rtl/>
        </w:rPr>
        <w:t xml:space="preserve"> </w:t>
      </w:r>
      <w:r w:rsidRPr="007976DA">
        <w:t>Learning from the Future: Competitive Foresight Scenarios, Liam Fahey &amp; Robert Randall</w:t>
      </w:r>
    </w:p>
  </w:footnote>
  <w:footnote w:id="3302">
    <w:p w14:paraId="5FF7FBEB" w14:textId="77777777" w:rsidR="00B47FF5" w:rsidRDefault="00B47FF5" w:rsidP="005B4181">
      <w:pPr>
        <w:pStyle w:val="FootnoteText"/>
      </w:pPr>
      <w:r>
        <w:rPr>
          <w:rStyle w:val="FootnoteReference"/>
        </w:rPr>
        <w:footnoteRef/>
      </w:r>
      <w:r>
        <w:rPr>
          <w:rtl/>
        </w:rPr>
        <w:t xml:space="preserve"> </w:t>
      </w:r>
      <w:r w:rsidRPr="007976DA">
        <w:t>Predictive Analytics, Eric Siegel</w:t>
      </w:r>
    </w:p>
  </w:footnote>
  <w:footnote w:id="3303">
    <w:p w14:paraId="4788515E" w14:textId="77777777" w:rsidR="00B47FF5" w:rsidRDefault="00B47FF5" w:rsidP="005B4181">
      <w:pPr>
        <w:pStyle w:val="FootnoteText"/>
      </w:pPr>
      <w:r>
        <w:rPr>
          <w:rStyle w:val="FootnoteReference"/>
        </w:rPr>
        <w:footnoteRef/>
      </w:r>
      <w:r>
        <w:rPr>
          <w:rtl/>
        </w:rPr>
        <w:t xml:space="preserve"> </w:t>
      </w:r>
      <w:r w:rsidRPr="007976DA">
        <w:t>The Model Thinker: What You Need to Know to Make Data Work for You, Scofl Page</w:t>
      </w:r>
    </w:p>
  </w:footnote>
  <w:footnote w:id="3304">
    <w:p w14:paraId="53A66BAC" w14:textId="77777777" w:rsidR="00B47FF5" w:rsidRDefault="00B47FF5" w:rsidP="005B4181">
      <w:pPr>
        <w:pStyle w:val="FootnoteText"/>
      </w:pPr>
      <w:r>
        <w:rPr>
          <w:rStyle w:val="FootnoteReference"/>
        </w:rPr>
        <w:footnoteRef/>
      </w:r>
      <w:r>
        <w:rPr>
          <w:rtl/>
        </w:rPr>
        <w:t xml:space="preserve"> </w:t>
      </w:r>
      <w:r w:rsidRPr="007976DA">
        <w:t>Thinking about the Future: Guidelines for Strategic Foresight, Bishop and Hines</w:t>
      </w:r>
    </w:p>
  </w:footnote>
  <w:footnote w:id="3305">
    <w:p w14:paraId="46982935" w14:textId="0E768E0F" w:rsidR="00B47FF5" w:rsidRDefault="00B47FF5" w:rsidP="005B4181">
      <w:pPr>
        <w:pStyle w:val="FootnoteText"/>
      </w:pPr>
      <w:r>
        <w:rPr>
          <w:rStyle w:val="FootnoteReference"/>
        </w:rPr>
        <w:footnoteRef/>
      </w:r>
      <w:r>
        <w:rPr>
          <w:rtl/>
        </w:rPr>
        <w:t xml:space="preserve"> </w:t>
      </w:r>
      <w:r>
        <w:t xml:space="preserve">20/20 </w:t>
      </w:r>
      <w:r w:rsidRPr="008B3765">
        <w:t>Foresight: Crafting Strategy in an Uncertain World, Hugh Courtney</w:t>
      </w:r>
    </w:p>
  </w:footnote>
  <w:footnote w:id="3306">
    <w:p w14:paraId="5671C3B9" w14:textId="77777777" w:rsidR="00B47FF5" w:rsidRDefault="00B47FF5" w:rsidP="005B4181">
      <w:pPr>
        <w:pStyle w:val="FootnoteText"/>
      </w:pPr>
      <w:r>
        <w:rPr>
          <w:rStyle w:val="FootnoteReference"/>
        </w:rPr>
        <w:footnoteRef/>
      </w:r>
      <w:r>
        <w:rPr>
          <w:rtl/>
        </w:rPr>
        <w:t xml:space="preserve"> </w:t>
      </w:r>
      <w:r w:rsidRPr="008B3765">
        <w:t>Academia</w:t>
      </w:r>
      <w:r>
        <w:t xml:space="preserve"> </w:t>
      </w:r>
      <w:r w:rsidRPr="008B3765">
        <w:t>Next:</w:t>
      </w:r>
      <w:r>
        <w:t xml:space="preserve"> </w:t>
      </w:r>
      <w:r w:rsidRPr="008B3765">
        <w:t>The</w:t>
      </w:r>
      <w:r>
        <w:t xml:space="preserve"> </w:t>
      </w:r>
      <w:r w:rsidRPr="008B3765">
        <w:t>Futures</w:t>
      </w:r>
      <w:r>
        <w:t xml:space="preserve"> </w:t>
      </w:r>
      <w:r w:rsidRPr="008B3765">
        <w:t>of</w:t>
      </w:r>
      <w:r>
        <w:t xml:space="preserve"> </w:t>
      </w:r>
      <w:r w:rsidRPr="008B3765">
        <w:t>Higher</w:t>
      </w:r>
      <w:r>
        <w:t xml:space="preserve"> </w:t>
      </w:r>
      <w:r w:rsidRPr="008B3765">
        <w:t>Education,</w:t>
      </w:r>
      <w:r>
        <w:t xml:space="preserve"> </w:t>
      </w:r>
      <w:r w:rsidRPr="008B3765">
        <w:t>Bryan Alexander</w:t>
      </w:r>
    </w:p>
  </w:footnote>
  <w:footnote w:id="3307">
    <w:p w14:paraId="656E7881" w14:textId="77777777" w:rsidR="00B47FF5" w:rsidRDefault="00B47FF5" w:rsidP="005B4181">
      <w:pPr>
        <w:pStyle w:val="FootnoteText"/>
      </w:pPr>
      <w:r>
        <w:rPr>
          <w:rStyle w:val="FootnoteReference"/>
        </w:rPr>
        <w:footnoteRef/>
      </w:r>
      <w:r>
        <w:rPr>
          <w:rtl/>
        </w:rPr>
        <w:t xml:space="preserve"> </w:t>
      </w:r>
      <w:r w:rsidRPr="008B3765">
        <w:t>Bad Predictions, Laura Lee</w:t>
      </w:r>
    </w:p>
  </w:footnote>
  <w:footnote w:id="3308">
    <w:p w14:paraId="5A11E712" w14:textId="068840BE" w:rsidR="00B47FF5" w:rsidRDefault="00B47FF5" w:rsidP="005B4181">
      <w:pPr>
        <w:pStyle w:val="FootnoteText"/>
      </w:pPr>
      <w:r>
        <w:rPr>
          <w:rStyle w:val="FootnoteReference"/>
        </w:rPr>
        <w:footnoteRef/>
      </w:r>
      <w:r>
        <w:rPr>
          <w:rtl/>
        </w:rPr>
        <w:t xml:space="preserve"> </w:t>
      </w:r>
      <w:r w:rsidRPr="008B3765">
        <w:t>Best</w:t>
      </w:r>
      <w:r>
        <w:t xml:space="preserve"> </w:t>
      </w:r>
      <w:r w:rsidRPr="008B3765">
        <w:t>Laid</w:t>
      </w:r>
      <w:r>
        <w:t xml:space="preserve"> </w:t>
      </w:r>
      <w:r w:rsidRPr="008B3765">
        <w:t>Plans:</w:t>
      </w:r>
      <w:r w:rsidRPr="008B3765">
        <w:rPr>
          <w:rtl/>
        </w:rPr>
        <w:tab/>
      </w:r>
      <w:r w:rsidRPr="008B3765">
        <w:t>The</w:t>
      </w:r>
      <w:r>
        <w:t xml:space="preserve"> </w:t>
      </w:r>
      <w:r w:rsidRPr="008B3765">
        <w:t>Tyranny</w:t>
      </w:r>
      <w:r>
        <w:t xml:space="preserve"> </w:t>
      </w:r>
      <w:r w:rsidRPr="008B3765">
        <w:t>of</w:t>
      </w:r>
      <w:r>
        <w:t xml:space="preserve"> </w:t>
      </w:r>
      <w:r w:rsidRPr="008B3765">
        <w:t>Unintended</w:t>
      </w:r>
      <w:r>
        <w:t xml:space="preserve"> Consequences, William </w:t>
      </w:r>
      <w:r w:rsidRPr="008B3765">
        <w:t>Sherden</w:t>
      </w:r>
    </w:p>
  </w:footnote>
  <w:footnote w:id="3309">
    <w:p w14:paraId="7BDA8131" w14:textId="77777777" w:rsidR="00B47FF5" w:rsidRDefault="00B47FF5" w:rsidP="005B4181">
      <w:pPr>
        <w:pStyle w:val="FootnoteText"/>
      </w:pPr>
      <w:r>
        <w:rPr>
          <w:rStyle w:val="FootnoteReference"/>
        </w:rPr>
        <w:footnoteRef/>
      </w:r>
      <w:r>
        <w:rPr>
          <w:rtl/>
        </w:rPr>
        <w:t xml:space="preserve"> </w:t>
      </w:r>
      <w:r w:rsidRPr="008B3765">
        <w:t>Convergence: The Idea at the Heart of Science, Peter Watson</w:t>
      </w:r>
    </w:p>
  </w:footnote>
  <w:footnote w:id="3310">
    <w:p w14:paraId="089B24F9" w14:textId="77777777" w:rsidR="00B47FF5" w:rsidRDefault="00B47FF5" w:rsidP="005B4181">
      <w:pPr>
        <w:pStyle w:val="FootnoteText"/>
      </w:pPr>
      <w:r>
        <w:rPr>
          <w:rStyle w:val="FootnoteReference"/>
        </w:rPr>
        <w:footnoteRef/>
      </w:r>
      <w:r>
        <w:rPr>
          <w:rtl/>
        </w:rPr>
        <w:t xml:space="preserve"> </w:t>
      </w:r>
      <w:r w:rsidRPr="008B3765">
        <w:t>Foundations of Futures Studies, Vols 1-2, Wendell Bell</w:t>
      </w:r>
    </w:p>
  </w:footnote>
  <w:footnote w:id="3311">
    <w:p w14:paraId="42E614C9" w14:textId="77777777" w:rsidR="00B47FF5" w:rsidRDefault="00B47FF5" w:rsidP="005B4181">
      <w:pPr>
        <w:pStyle w:val="FootnoteText"/>
      </w:pPr>
      <w:r>
        <w:rPr>
          <w:rStyle w:val="FootnoteReference"/>
        </w:rPr>
        <w:footnoteRef/>
      </w:r>
      <w:r>
        <w:rPr>
          <w:rtl/>
        </w:rPr>
        <w:t xml:space="preserve"> </w:t>
      </w:r>
      <w:r w:rsidRPr="008B3765">
        <w:t>Full-Spectrum Thinking, Bob Johansen</w:t>
      </w:r>
    </w:p>
  </w:footnote>
  <w:footnote w:id="3312">
    <w:p w14:paraId="0FB842EE" w14:textId="77777777" w:rsidR="00B47FF5" w:rsidRDefault="00B47FF5" w:rsidP="005B4181">
      <w:pPr>
        <w:pStyle w:val="FootnoteText"/>
      </w:pPr>
      <w:r>
        <w:rPr>
          <w:rStyle w:val="FootnoteReference"/>
        </w:rPr>
        <w:footnoteRef/>
      </w:r>
      <w:r>
        <w:rPr>
          <w:rtl/>
        </w:rPr>
        <w:t xml:space="preserve"> </w:t>
      </w:r>
      <w:r w:rsidRPr="008B3765">
        <w:t>Future Savvy: Quality in Foresight, Adam Gordon</w:t>
      </w:r>
    </w:p>
  </w:footnote>
  <w:footnote w:id="3313">
    <w:p w14:paraId="2AEC6B1F" w14:textId="77777777" w:rsidR="00B47FF5" w:rsidRDefault="00B47FF5" w:rsidP="005B4181">
      <w:pPr>
        <w:pStyle w:val="FootnoteText"/>
      </w:pPr>
      <w:r>
        <w:rPr>
          <w:rStyle w:val="FootnoteReference"/>
        </w:rPr>
        <w:footnoteRef/>
      </w:r>
      <w:r>
        <w:rPr>
          <w:rtl/>
        </w:rPr>
        <w:t xml:space="preserve"> </w:t>
      </w:r>
      <w:r w:rsidRPr="008B3765">
        <w:t>FutureThink, Edie Weiner and Arnold Brown</w:t>
      </w:r>
    </w:p>
  </w:footnote>
  <w:footnote w:id="3314">
    <w:p w14:paraId="4AD642C0" w14:textId="77777777" w:rsidR="00B47FF5" w:rsidRDefault="00B47FF5" w:rsidP="005B4181">
      <w:pPr>
        <w:pStyle w:val="FootnoteText"/>
      </w:pPr>
      <w:r>
        <w:rPr>
          <w:rStyle w:val="FootnoteReference"/>
        </w:rPr>
        <w:footnoteRef/>
      </w:r>
      <w:r>
        <w:rPr>
          <w:rtl/>
        </w:rPr>
        <w:t xml:space="preserve"> </w:t>
      </w:r>
      <w:r w:rsidRPr="008B3765">
        <w:t>Futuring: The Exploration of the Future, Ed Cornish</w:t>
      </w:r>
    </w:p>
  </w:footnote>
  <w:footnote w:id="3315">
    <w:p w14:paraId="18CBAC53" w14:textId="1EF67E4B" w:rsidR="00B47FF5" w:rsidRDefault="00B47FF5" w:rsidP="005B4181">
      <w:pPr>
        <w:pStyle w:val="FootnoteText"/>
      </w:pPr>
      <w:r>
        <w:rPr>
          <w:rStyle w:val="FootnoteReference"/>
        </w:rPr>
        <w:footnoteRef/>
      </w:r>
      <w:r>
        <w:rPr>
          <w:rtl/>
        </w:rPr>
        <w:t xml:space="preserve"> </w:t>
      </w:r>
      <w:r w:rsidRPr="008B3765">
        <w:t>How:</w:t>
      </w:r>
      <w:r>
        <w:t xml:space="preserve"> </w:t>
      </w:r>
      <w:r w:rsidRPr="008B3765">
        <w:t>Why</w:t>
      </w:r>
      <w:r>
        <w:t xml:space="preserve"> </w:t>
      </w:r>
      <w:r w:rsidRPr="008B3765">
        <w:t>How</w:t>
      </w:r>
      <w:r>
        <w:t xml:space="preserve"> </w:t>
      </w:r>
      <w:r w:rsidRPr="008B3765">
        <w:t>We</w:t>
      </w:r>
      <w:r>
        <w:t xml:space="preserve"> </w:t>
      </w:r>
      <w:r w:rsidRPr="008B3765">
        <w:t>Do</w:t>
      </w:r>
      <w:r>
        <w:t xml:space="preserve"> </w:t>
      </w:r>
      <w:r w:rsidRPr="008B3765">
        <w:t>Anything Means</w:t>
      </w:r>
      <w:r>
        <w:t xml:space="preserve"> </w:t>
      </w:r>
      <w:r w:rsidRPr="008B3765">
        <w:t>Everything,</w:t>
      </w:r>
      <w:r>
        <w:t xml:space="preserve"> </w:t>
      </w:r>
      <w:r w:rsidRPr="008B3765">
        <w:t>Dov Seidman</w:t>
      </w:r>
    </w:p>
  </w:footnote>
  <w:footnote w:id="3316">
    <w:p w14:paraId="589EA732" w14:textId="77777777" w:rsidR="00B47FF5" w:rsidRDefault="00B47FF5" w:rsidP="005B4181">
      <w:pPr>
        <w:pStyle w:val="FootnoteText"/>
      </w:pPr>
      <w:r>
        <w:rPr>
          <w:rStyle w:val="FootnoteReference"/>
        </w:rPr>
        <w:footnoteRef/>
      </w:r>
      <w:r>
        <w:rPr>
          <w:rtl/>
        </w:rPr>
        <w:t xml:space="preserve"> </w:t>
      </w:r>
      <w:r w:rsidRPr="008B3765">
        <w:t>Knowing our Future: The Startling Case for Futurology, Michael Lee</w:t>
      </w:r>
    </w:p>
  </w:footnote>
  <w:footnote w:id="3317">
    <w:p w14:paraId="59810819" w14:textId="77777777" w:rsidR="00B47FF5" w:rsidRDefault="00B47FF5" w:rsidP="005B4181">
      <w:pPr>
        <w:pStyle w:val="FootnoteText"/>
      </w:pPr>
      <w:r>
        <w:rPr>
          <w:rStyle w:val="FootnoteReference"/>
        </w:rPr>
        <w:footnoteRef/>
      </w:r>
      <w:r>
        <w:rPr>
          <w:rtl/>
        </w:rPr>
        <w:t xml:space="preserve"> </w:t>
      </w:r>
      <w:r w:rsidRPr="008B3765">
        <w:t>Knowledge Base of Futures Studies, Richard Slaughter and Andy Hines</w:t>
      </w:r>
    </w:p>
  </w:footnote>
  <w:footnote w:id="3318">
    <w:p w14:paraId="4620863E" w14:textId="77777777" w:rsidR="00B47FF5" w:rsidRDefault="00B47FF5" w:rsidP="005B4181">
      <w:pPr>
        <w:pStyle w:val="FootnoteText"/>
      </w:pPr>
      <w:r>
        <w:rPr>
          <w:rStyle w:val="FootnoteReference"/>
        </w:rPr>
        <w:footnoteRef/>
      </w:r>
      <w:r>
        <w:rPr>
          <w:rtl/>
        </w:rPr>
        <w:t xml:space="preserve"> </w:t>
      </w:r>
      <w:r w:rsidRPr="008B3765">
        <w:t>Learning from the Future: Competitive Foresight Scenarios, Fahey &amp; Randall</w:t>
      </w:r>
    </w:p>
  </w:footnote>
  <w:footnote w:id="3319">
    <w:p w14:paraId="68CAC639" w14:textId="77777777" w:rsidR="00B47FF5" w:rsidRDefault="00B47FF5" w:rsidP="005B4181">
      <w:pPr>
        <w:pStyle w:val="FootnoteText"/>
      </w:pPr>
      <w:r>
        <w:rPr>
          <w:rStyle w:val="FootnoteReference"/>
        </w:rPr>
        <w:footnoteRef/>
      </w:r>
      <w:r>
        <w:rPr>
          <w:rtl/>
        </w:rPr>
        <w:t xml:space="preserve"> </w:t>
      </w:r>
      <w:r w:rsidRPr="008B3765">
        <w:t>Learning from the Octopus: Use Nature to Fight Terror, Disaster &amp;Disease, Rafe Sagarin</w:t>
      </w:r>
    </w:p>
  </w:footnote>
  <w:footnote w:id="3320">
    <w:p w14:paraId="46236068" w14:textId="77777777" w:rsidR="00B47FF5" w:rsidRDefault="00B47FF5" w:rsidP="005B4181">
      <w:pPr>
        <w:pStyle w:val="FootnoteText"/>
      </w:pPr>
      <w:r>
        <w:rPr>
          <w:rStyle w:val="FootnoteReference"/>
        </w:rPr>
        <w:footnoteRef/>
      </w:r>
      <w:r>
        <w:rPr>
          <w:rtl/>
        </w:rPr>
        <w:t xml:space="preserve"> </w:t>
      </w:r>
      <w:r w:rsidRPr="008B3765">
        <w:t>Predictive Analytics, Eric Siegel</w:t>
      </w:r>
    </w:p>
  </w:footnote>
  <w:footnote w:id="3321">
    <w:p w14:paraId="56365E9B" w14:textId="77777777" w:rsidR="00B47FF5" w:rsidRDefault="00B47FF5" w:rsidP="005B4181">
      <w:pPr>
        <w:pStyle w:val="FootnoteText"/>
      </w:pPr>
      <w:r>
        <w:rPr>
          <w:rStyle w:val="FootnoteReference"/>
        </w:rPr>
        <w:footnoteRef/>
      </w:r>
      <w:r>
        <w:rPr>
          <w:rtl/>
        </w:rPr>
        <w:t xml:space="preserve"> </w:t>
      </w:r>
      <w:r w:rsidRPr="008B3765">
        <w:t>Proﬁting from Uncertainty, Paul Schoemaker</w:t>
      </w:r>
    </w:p>
  </w:footnote>
  <w:footnote w:id="3322">
    <w:p w14:paraId="7ED83E91" w14:textId="455919CF" w:rsidR="00B47FF5" w:rsidRDefault="00B47FF5" w:rsidP="005B4181">
      <w:pPr>
        <w:pStyle w:val="FootnoteText"/>
      </w:pPr>
      <w:r>
        <w:rPr>
          <w:rStyle w:val="FootnoteReference"/>
        </w:rPr>
        <w:footnoteRef/>
      </w:r>
      <w:r>
        <w:rPr>
          <w:rtl/>
        </w:rPr>
        <w:t xml:space="preserve"> </w:t>
      </w:r>
      <w:r w:rsidRPr="008B3765">
        <w:t>Ready</w:t>
      </w:r>
      <w:r w:rsidRPr="008B3765">
        <w:rPr>
          <w:rtl/>
        </w:rPr>
        <w:tab/>
      </w:r>
      <w:r w:rsidRPr="008B3765">
        <w:t>for</w:t>
      </w:r>
      <w:r>
        <w:t xml:space="preserve"> </w:t>
      </w:r>
      <w:r w:rsidRPr="008B3765">
        <w:t>Anything:</w:t>
      </w:r>
      <w:r>
        <w:t xml:space="preserve"> </w:t>
      </w:r>
      <w:r w:rsidRPr="008B3765">
        <w:t>Resilience</w:t>
      </w:r>
      <w:r>
        <w:t xml:space="preserve"> </w:t>
      </w:r>
      <w:r w:rsidRPr="008B3765">
        <w:t>for</w:t>
      </w:r>
      <w:r>
        <w:t xml:space="preserve"> </w:t>
      </w:r>
      <w:r w:rsidRPr="008B3765">
        <w:t>a</w:t>
      </w:r>
      <w:r>
        <w:t xml:space="preserve"> </w:t>
      </w:r>
      <w:r w:rsidRPr="008B3765">
        <w:t>Transforming</w:t>
      </w:r>
      <w:r w:rsidRPr="008B3765">
        <w:rPr>
          <w:rtl/>
        </w:rPr>
        <w:tab/>
      </w:r>
      <w:r w:rsidRPr="008B3765">
        <w:t>World, Anthony Hodgson</w:t>
      </w:r>
    </w:p>
  </w:footnote>
  <w:footnote w:id="3323">
    <w:p w14:paraId="48E52DD9" w14:textId="77777777" w:rsidR="00B47FF5" w:rsidRDefault="00B47FF5" w:rsidP="005B4181">
      <w:pPr>
        <w:pStyle w:val="FootnoteText"/>
      </w:pPr>
      <w:r>
        <w:rPr>
          <w:rStyle w:val="FootnoteReference"/>
        </w:rPr>
        <w:footnoteRef/>
      </w:r>
      <w:r>
        <w:rPr>
          <w:rtl/>
        </w:rPr>
        <w:t xml:space="preserve"> </w:t>
      </w:r>
      <w:r w:rsidRPr="008B3765">
        <w:t>Rethinking Positive Thinking, Gabriele Oettingen</w:t>
      </w:r>
    </w:p>
  </w:footnote>
  <w:footnote w:id="3324">
    <w:p w14:paraId="1B1CAA56" w14:textId="77777777" w:rsidR="00B47FF5" w:rsidRDefault="00B47FF5" w:rsidP="005B4181">
      <w:pPr>
        <w:pStyle w:val="FootnoteText"/>
      </w:pPr>
      <w:r>
        <w:rPr>
          <w:rStyle w:val="FootnoteReference"/>
        </w:rPr>
        <w:footnoteRef/>
      </w:r>
      <w:r>
        <w:rPr>
          <w:rtl/>
        </w:rPr>
        <w:t xml:space="preserve"> </w:t>
      </w:r>
      <w:r w:rsidRPr="008B3765">
        <w:t>Scenario Planning: A Field Guide to the Future, Woody Wade</w:t>
      </w:r>
    </w:p>
  </w:footnote>
  <w:footnote w:id="3325">
    <w:p w14:paraId="35BF6A2D" w14:textId="77777777" w:rsidR="00B47FF5" w:rsidRDefault="00B47FF5" w:rsidP="005B4181">
      <w:pPr>
        <w:pStyle w:val="FootnoteText"/>
      </w:pPr>
      <w:r>
        <w:rPr>
          <w:rStyle w:val="FootnoteReference"/>
        </w:rPr>
        <w:footnoteRef/>
      </w:r>
      <w:r>
        <w:rPr>
          <w:rtl/>
        </w:rPr>
        <w:t xml:space="preserve"> </w:t>
      </w:r>
      <w:r w:rsidRPr="008B3765">
        <w:t>Scenario Thinking: Preparing your Org. for the Future, Cairns and Wright</w:t>
      </w:r>
    </w:p>
  </w:footnote>
  <w:footnote w:id="3326">
    <w:p w14:paraId="0B591E63" w14:textId="77777777" w:rsidR="00B47FF5" w:rsidRDefault="00B47FF5" w:rsidP="005B4181">
      <w:pPr>
        <w:pStyle w:val="FootnoteText"/>
      </w:pPr>
      <w:r>
        <w:rPr>
          <w:rStyle w:val="FootnoteReference"/>
        </w:rPr>
        <w:footnoteRef/>
      </w:r>
      <w:r>
        <w:rPr>
          <w:rtl/>
        </w:rPr>
        <w:t xml:space="preserve"> </w:t>
      </w:r>
      <w:r w:rsidRPr="008B3765">
        <w:t>Streetlights and Shadows: Keys to Adaptive Decision Making, Gary Klein</w:t>
      </w:r>
    </w:p>
  </w:footnote>
  <w:footnote w:id="3327">
    <w:p w14:paraId="74EF6DDD" w14:textId="77777777" w:rsidR="00B47FF5" w:rsidRDefault="00B47FF5" w:rsidP="005B4181">
      <w:pPr>
        <w:pStyle w:val="FootnoteText"/>
      </w:pPr>
      <w:r>
        <w:rPr>
          <w:rStyle w:val="FootnoteReference"/>
        </w:rPr>
        <w:footnoteRef/>
      </w:r>
      <w:r>
        <w:rPr>
          <w:rtl/>
        </w:rPr>
        <w:t xml:space="preserve"> </w:t>
      </w:r>
      <w:r w:rsidRPr="008B3765">
        <w:t>Superforecasting: The Art &amp; Science of Prediction, Philip Tetlock &amp; Dan Gardner</w:t>
      </w:r>
    </w:p>
  </w:footnote>
  <w:footnote w:id="3328">
    <w:p w14:paraId="2056B671" w14:textId="77777777" w:rsidR="00B47FF5" w:rsidRDefault="00B47FF5" w:rsidP="005B4181">
      <w:pPr>
        <w:pStyle w:val="FootnoteText"/>
      </w:pPr>
      <w:r>
        <w:rPr>
          <w:rStyle w:val="FootnoteReference"/>
        </w:rPr>
        <w:footnoteRef/>
      </w:r>
      <w:r>
        <w:rPr>
          <w:rtl/>
        </w:rPr>
        <w:t xml:space="preserve"> </w:t>
      </w:r>
      <w:r w:rsidRPr="008B3765">
        <w:t>Systems Thinking for Curious Managers, Ackoﬀ and Addison</w:t>
      </w:r>
    </w:p>
  </w:footnote>
  <w:footnote w:id="3329">
    <w:p w14:paraId="39A1C9F8" w14:textId="77777777" w:rsidR="00B47FF5" w:rsidRDefault="00B47FF5" w:rsidP="005B4181">
      <w:pPr>
        <w:pStyle w:val="FootnoteText"/>
      </w:pPr>
      <w:r>
        <w:rPr>
          <w:rStyle w:val="FootnoteReference"/>
        </w:rPr>
        <w:footnoteRef/>
      </w:r>
      <w:r>
        <w:rPr>
          <w:rtl/>
        </w:rPr>
        <w:t xml:space="preserve"> </w:t>
      </w:r>
      <w:r w:rsidRPr="008B3765">
        <w:t>Thinking about the Future: Guidelines for Strategic Foresight, Bishop &amp; Hines</w:t>
      </w:r>
    </w:p>
  </w:footnote>
  <w:footnote w:id="3330">
    <w:p w14:paraId="0ECDFC6C" w14:textId="77777777" w:rsidR="00B47FF5" w:rsidRDefault="00B47FF5" w:rsidP="005B4181">
      <w:pPr>
        <w:pStyle w:val="FootnoteText"/>
      </w:pPr>
      <w:r>
        <w:rPr>
          <w:rStyle w:val="FootnoteReference"/>
        </w:rPr>
        <w:footnoteRef/>
      </w:r>
      <w:r>
        <w:rPr>
          <w:rtl/>
        </w:rPr>
        <w:t xml:space="preserve"> </w:t>
      </w:r>
      <w:r w:rsidRPr="008B3765">
        <w:t>The 80/20 Principle: The Secret to Achieving More With Less, Richard Koch</w:t>
      </w:r>
    </w:p>
  </w:footnote>
  <w:footnote w:id="3331">
    <w:p w14:paraId="0F598019" w14:textId="77777777" w:rsidR="00B47FF5" w:rsidRDefault="00B47FF5" w:rsidP="005B4181">
      <w:pPr>
        <w:pStyle w:val="FootnoteText"/>
      </w:pPr>
      <w:r>
        <w:rPr>
          <w:rStyle w:val="FootnoteReference"/>
        </w:rPr>
        <w:footnoteRef/>
      </w:r>
      <w:r>
        <w:rPr>
          <w:rtl/>
        </w:rPr>
        <w:t xml:space="preserve"> </w:t>
      </w:r>
      <w:r w:rsidRPr="008B3765">
        <w:t>The Art of the Long View: Planning in an Uncertain World, Peter Schward</w:t>
      </w:r>
    </w:p>
  </w:footnote>
  <w:footnote w:id="3332">
    <w:p w14:paraId="7793EFC8" w14:textId="77777777" w:rsidR="00B47FF5" w:rsidRDefault="00B47FF5" w:rsidP="005B4181">
      <w:pPr>
        <w:pStyle w:val="FootnoteText"/>
      </w:pPr>
      <w:r>
        <w:rPr>
          <w:rStyle w:val="FootnoteReference"/>
        </w:rPr>
        <w:footnoteRef/>
      </w:r>
      <w:r>
        <w:rPr>
          <w:rtl/>
        </w:rPr>
        <w:t xml:space="preserve"> </w:t>
      </w:r>
      <w:r w:rsidRPr="00F22865">
        <w:t>The Causal Layered Analysis (CLA) Reader, Sohail Inayatullah</w:t>
      </w:r>
    </w:p>
  </w:footnote>
  <w:footnote w:id="3333">
    <w:p w14:paraId="0162CE69" w14:textId="77777777" w:rsidR="00B47FF5" w:rsidRDefault="00B47FF5" w:rsidP="005B4181">
      <w:pPr>
        <w:pStyle w:val="FootnoteText"/>
      </w:pPr>
      <w:r>
        <w:rPr>
          <w:rStyle w:val="FootnoteReference"/>
        </w:rPr>
        <w:footnoteRef/>
      </w:r>
      <w:r>
        <w:rPr>
          <w:rtl/>
        </w:rPr>
        <w:t xml:space="preserve"> </w:t>
      </w:r>
      <w:r w:rsidRPr="00F22865">
        <w:t>The Culture of Fear: Why Americans are Afraid of Wrong Things, Glassner</w:t>
      </w:r>
    </w:p>
  </w:footnote>
  <w:footnote w:id="3334">
    <w:p w14:paraId="46954446" w14:textId="3DB32AB7" w:rsidR="00B47FF5" w:rsidRDefault="00B47FF5" w:rsidP="005B4181">
      <w:pPr>
        <w:pStyle w:val="FootnoteText"/>
      </w:pPr>
      <w:r>
        <w:rPr>
          <w:rStyle w:val="FootnoteReference"/>
        </w:rPr>
        <w:footnoteRef/>
      </w:r>
      <w:r>
        <w:rPr>
          <w:rtl/>
        </w:rPr>
        <w:t xml:space="preserve"> </w:t>
      </w:r>
      <w:r w:rsidRPr="00F22865">
        <w:t>The</w:t>
      </w:r>
      <w:r>
        <w:t xml:space="preserve"> </w:t>
      </w:r>
      <w:r w:rsidRPr="00F22865">
        <w:t>Fortune</w:t>
      </w:r>
      <w:r>
        <w:t xml:space="preserve"> </w:t>
      </w:r>
      <w:r w:rsidRPr="00F22865">
        <w:t>Sellers:</w:t>
      </w:r>
      <w:r>
        <w:t xml:space="preserve"> </w:t>
      </w:r>
      <w:r w:rsidRPr="00F22865">
        <w:t>The</w:t>
      </w:r>
      <w:r w:rsidRPr="00F22865">
        <w:rPr>
          <w:rtl/>
        </w:rPr>
        <w:tab/>
      </w:r>
      <w:r w:rsidRPr="00F22865">
        <w:t>Big Business</w:t>
      </w:r>
      <w:r>
        <w:t xml:space="preserve"> </w:t>
      </w:r>
      <w:r w:rsidRPr="00F22865">
        <w:t>of Buying &amp;</w:t>
      </w:r>
      <w:r w:rsidRPr="00F22865">
        <w:rPr>
          <w:rtl/>
        </w:rPr>
        <w:tab/>
      </w:r>
      <w:r w:rsidRPr="00F22865">
        <w:t>Selling Predictions, William Sherden</w:t>
      </w:r>
    </w:p>
  </w:footnote>
  <w:footnote w:id="3335">
    <w:p w14:paraId="6768F8C3" w14:textId="77777777" w:rsidR="00B47FF5" w:rsidRDefault="00B47FF5" w:rsidP="005B4181">
      <w:pPr>
        <w:pStyle w:val="FootnoteText"/>
      </w:pPr>
      <w:r>
        <w:rPr>
          <w:rStyle w:val="FootnoteReference"/>
        </w:rPr>
        <w:footnoteRef/>
      </w:r>
      <w:r>
        <w:rPr>
          <w:rtl/>
        </w:rPr>
        <w:t xml:space="preserve"> </w:t>
      </w:r>
      <w:r w:rsidRPr="00F22865">
        <w:t>The Image of the Future, PDF., Fred Polak</w:t>
      </w:r>
    </w:p>
  </w:footnote>
  <w:footnote w:id="3336">
    <w:p w14:paraId="411C3325" w14:textId="77777777" w:rsidR="00B47FF5" w:rsidRDefault="00B47FF5" w:rsidP="005B4181">
      <w:pPr>
        <w:pStyle w:val="FootnoteText"/>
      </w:pPr>
      <w:r>
        <w:rPr>
          <w:rStyle w:val="FootnoteReference"/>
        </w:rPr>
        <w:footnoteRef/>
      </w:r>
      <w:r>
        <w:rPr>
          <w:rtl/>
        </w:rPr>
        <w:t xml:space="preserve"> </w:t>
      </w:r>
      <w:r w:rsidRPr="00F22865">
        <w:t>The Model Thinker: What to Know to Make Data Work for You, Scott Page</w:t>
      </w:r>
    </w:p>
  </w:footnote>
  <w:footnote w:id="3337">
    <w:p w14:paraId="71E2F844" w14:textId="77777777" w:rsidR="00B47FF5" w:rsidRDefault="00B47FF5" w:rsidP="005B4181">
      <w:pPr>
        <w:pStyle w:val="FootnoteText"/>
      </w:pPr>
      <w:r>
        <w:rPr>
          <w:rStyle w:val="FootnoteReference"/>
        </w:rPr>
        <w:footnoteRef/>
      </w:r>
      <w:r>
        <w:rPr>
          <w:rtl/>
        </w:rPr>
        <w:t xml:space="preserve"> </w:t>
      </w:r>
      <w:r w:rsidRPr="00F22865">
        <w:t>The Power of Bad: How the Negativity Aﬀect Rules Us, Tierney and Baumeister</w:t>
      </w:r>
    </w:p>
  </w:footnote>
  <w:footnote w:id="3338">
    <w:p w14:paraId="2B5B4323" w14:textId="77777777" w:rsidR="00B47FF5" w:rsidRDefault="00B47FF5" w:rsidP="005B4181">
      <w:pPr>
        <w:pStyle w:val="FootnoteText"/>
      </w:pPr>
      <w:r>
        <w:rPr>
          <w:rStyle w:val="FootnoteReference"/>
        </w:rPr>
        <w:footnoteRef/>
      </w:r>
      <w:r>
        <w:rPr>
          <w:rtl/>
        </w:rPr>
        <w:t xml:space="preserve"> </w:t>
      </w:r>
      <w:r w:rsidRPr="00F22865">
        <w:t>The Signal and the Noise: Why Most Predictions Fail, But, Some Don’t, Nate Silver</w:t>
      </w:r>
    </w:p>
  </w:footnote>
  <w:footnote w:id="3339">
    <w:p w14:paraId="672B680F" w14:textId="77777777" w:rsidR="00B47FF5" w:rsidRDefault="00B47FF5" w:rsidP="005B4181">
      <w:pPr>
        <w:pStyle w:val="FootnoteText"/>
      </w:pPr>
      <w:r>
        <w:rPr>
          <w:rStyle w:val="FootnoteReference"/>
        </w:rPr>
        <w:footnoteRef/>
      </w:r>
      <w:r>
        <w:rPr>
          <w:rtl/>
        </w:rPr>
        <w:t xml:space="preserve"> </w:t>
      </w:r>
      <w:r w:rsidRPr="00F22865">
        <w:t>Using Trends and Scenarios as Tools for Strategy Development, Ulf Pillkahn</w:t>
      </w:r>
    </w:p>
  </w:footnote>
  <w:footnote w:id="3340">
    <w:p w14:paraId="0743F932" w14:textId="77777777" w:rsidR="00B47FF5" w:rsidRDefault="00B47FF5" w:rsidP="005B4181">
      <w:pPr>
        <w:pStyle w:val="FootnoteText"/>
      </w:pPr>
      <w:r>
        <w:rPr>
          <w:rStyle w:val="FootnoteReference"/>
        </w:rPr>
        <w:footnoteRef/>
      </w:r>
      <w:r>
        <w:rPr>
          <w:rtl/>
        </w:rPr>
        <w:t xml:space="preserve"> </w:t>
      </w:r>
      <w:r w:rsidRPr="00F22865">
        <w:t>What I Have Learned: Thinking About the Future Then and Now, Marien and Jennings</w:t>
      </w:r>
    </w:p>
  </w:footnote>
  <w:footnote w:id="3341">
    <w:p w14:paraId="55BB9C4C" w14:textId="77777777" w:rsidR="00B47FF5" w:rsidRDefault="00B47FF5" w:rsidP="005B4181">
      <w:pPr>
        <w:pStyle w:val="FootnoteText"/>
      </w:pPr>
      <w:r>
        <w:rPr>
          <w:rStyle w:val="FootnoteReference"/>
        </w:rPr>
        <w:footnoteRef/>
      </w:r>
      <w:r>
        <w:rPr>
          <w:rtl/>
        </w:rPr>
        <w:t xml:space="preserve"> </w:t>
      </w:r>
      <w:r w:rsidRPr="00F22865">
        <w:t>What Futurists Believe, Coates and Jarratt</w:t>
      </w:r>
    </w:p>
  </w:footnote>
  <w:footnote w:id="3342">
    <w:p w14:paraId="53F0FE9A" w14:textId="77777777" w:rsidR="00B47FF5" w:rsidRDefault="00B47FF5" w:rsidP="0009441D">
      <w:pPr>
        <w:pStyle w:val="FootnoteText"/>
      </w:pPr>
      <w:r>
        <w:rPr>
          <w:rStyle w:val="FootnoteReference"/>
        </w:rPr>
        <w:footnoteRef/>
      </w:r>
      <w:r>
        <w:rPr>
          <w:rtl/>
        </w:rPr>
        <w:t xml:space="preserve"> </w:t>
      </w:r>
      <w:r w:rsidRPr="00AC5B0C">
        <w:t>Awaken the Giant Within, Tony Robbins</w:t>
      </w:r>
    </w:p>
  </w:footnote>
  <w:footnote w:id="3343">
    <w:p w14:paraId="5F644DEF" w14:textId="77777777" w:rsidR="00B47FF5" w:rsidRDefault="00B47FF5" w:rsidP="0009441D">
      <w:pPr>
        <w:pStyle w:val="FootnoteText"/>
      </w:pPr>
      <w:r>
        <w:rPr>
          <w:rStyle w:val="FootnoteReference"/>
        </w:rPr>
        <w:footnoteRef/>
      </w:r>
      <w:r>
        <w:rPr>
          <w:rtl/>
        </w:rPr>
        <w:t xml:space="preserve"> </w:t>
      </w:r>
      <w:r w:rsidRPr="00AC5B0C">
        <w:t>Indistractable: How to Control Your Attention and Choose Your Life, Nir Eyal</w:t>
      </w:r>
    </w:p>
  </w:footnote>
  <w:footnote w:id="3344">
    <w:p w14:paraId="260EAA8F" w14:textId="77777777" w:rsidR="00B47FF5" w:rsidRDefault="00B47FF5" w:rsidP="0009441D">
      <w:pPr>
        <w:pStyle w:val="FootnoteText"/>
      </w:pPr>
      <w:r>
        <w:rPr>
          <w:rStyle w:val="FootnoteReference"/>
        </w:rPr>
        <w:footnoteRef/>
      </w:r>
      <w:r>
        <w:rPr>
          <w:rtl/>
        </w:rPr>
        <w:t xml:space="preserve"> </w:t>
      </w:r>
      <w:r w:rsidRPr="00AC5B0C">
        <w:t>Please Understand Me II, David Keirsey</w:t>
      </w:r>
    </w:p>
  </w:footnote>
  <w:footnote w:id="3345">
    <w:p w14:paraId="1BB1F689" w14:textId="5AAC9FAC" w:rsidR="00B47FF5" w:rsidRDefault="00B47FF5" w:rsidP="0009441D">
      <w:pPr>
        <w:pStyle w:val="FootnoteText"/>
      </w:pPr>
      <w:r>
        <w:rPr>
          <w:rStyle w:val="FootnoteReference"/>
        </w:rPr>
        <w:footnoteRef/>
      </w:r>
      <w:r>
        <w:rPr>
          <w:rtl/>
        </w:rPr>
        <w:t xml:space="preserve"> </w:t>
      </w:r>
      <w:r w:rsidRPr="0046306A">
        <w:t>Hold on To Your Kids, Gordon Neufeld and Gabor Mate</w:t>
      </w:r>
    </w:p>
  </w:footnote>
  <w:footnote w:id="3346">
    <w:p w14:paraId="154B9D4B" w14:textId="77777777" w:rsidR="00B47FF5" w:rsidRDefault="00B47FF5" w:rsidP="0009441D">
      <w:pPr>
        <w:pStyle w:val="FootnoteText"/>
      </w:pPr>
      <w:r>
        <w:rPr>
          <w:rStyle w:val="FootnoteReference"/>
        </w:rPr>
        <w:footnoteRef/>
      </w:r>
      <w:r>
        <w:rPr>
          <w:rtl/>
        </w:rPr>
        <w:t xml:space="preserve"> </w:t>
      </w:r>
      <w:r w:rsidRPr="00FE641A">
        <w:t>The Motley Fool Investment Guide, 3rd Ed, Tom and David Gardner</w:t>
      </w:r>
    </w:p>
  </w:footnote>
  <w:footnote w:id="3347">
    <w:p w14:paraId="10DE1094" w14:textId="77777777" w:rsidR="00B47FF5" w:rsidRDefault="00B47FF5" w:rsidP="0009441D">
      <w:pPr>
        <w:pStyle w:val="FootnoteText"/>
      </w:pPr>
      <w:r>
        <w:rPr>
          <w:rStyle w:val="FootnoteReference"/>
        </w:rPr>
        <w:footnoteRef/>
      </w:r>
      <w:r>
        <w:rPr>
          <w:rtl/>
        </w:rPr>
        <w:t xml:space="preserve"> </w:t>
      </w:r>
      <w:r w:rsidRPr="00FE641A">
        <w:t>The Psychology of Money, Morgan Housel</w:t>
      </w:r>
    </w:p>
  </w:footnote>
  <w:footnote w:id="3348">
    <w:p w14:paraId="322EB870" w14:textId="77777777" w:rsidR="00B47FF5" w:rsidRDefault="00B47FF5" w:rsidP="0009441D">
      <w:pPr>
        <w:pStyle w:val="FootnoteText"/>
      </w:pPr>
      <w:r>
        <w:rPr>
          <w:rStyle w:val="FootnoteReference"/>
        </w:rPr>
        <w:footnoteRef/>
      </w:r>
      <w:r>
        <w:rPr>
          <w:rtl/>
        </w:rPr>
        <w:t xml:space="preserve"> </w:t>
      </w:r>
      <w:r w:rsidRPr="00FE641A">
        <w:t>Robin and Dominguez</w:t>
      </w:r>
    </w:p>
  </w:footnote>
  <w:footnote w:id="3349">
    <w:p w14:paraId="45665CC8" w14:textId="77777777" w:rsidR="00B47FF5" w:rsidRDefault="00B47FF5" w:rsidP="0009441D">
      <w:pPr>
        <w:pStyle w:val="FootnoteText"/>
      </w:pPr>
      <w:r>
        <w:rPr>
          <w:rStyle w:val="FootnoteReference"/>
        </w:rPr>
        <w:footnoteRef/>
      </w:r>
      <w:r>
        <w:rPr>
          <w:rtl/>
        </w:rPr>
        <w:t xml:space="preserve"> </w:t>
      </w:r>
      <w:r w:rsidRPr="00FE641A">
        <w:t>Foresight Investing, James Lee</w:t>
      </w:r>
    </w:p>
  </w:footnote>
  <w:footnote w:id="3350">
    <w:p w14:paraId="03023210" w14:textId="77777777" w:rsidR="00B47FF5" w:rsidRDefault="00B47FF5" w:rsidP="0009441D">
      <w:pPr>
        <w:pStyle w:val="FootnoteText"/>
      </w:pPr>
      <w:r>
        <w:rPr>
          <w:rStyle w:val="FootnoteReference"/>
        </w:rPr>
        <w:footnoteRef/>
      </w:r>
      <w:r>
        <w:rPr>
          <w:rtl/>
        </w:rPr>
        <w:t xml:space="preserve"> </w:t>
      </w:r>
      <w:r w:rsidRPr="006614DD">
        <w:t>Subliminal: How Your Unconscious Mind Rules Your Behavior, Leonard Mlodinow</w:t>
      </w:r>
    </w:p>
  </w:footnote>
  <w:footnote w:id="3351">
    <w:p w14:paraId="06473548" w14:textId="77777777" w:rsidR="00B47FF5" w:rsidRDefault="00B47FF5" w:rsidP="0009441D">
      <w:pPr>
        <w:pStyle w:val="FootnoteText"/>
      </w:pPr>
      <w:r>
        <w:rPr>
          <w:rStyle w:val="FootnoteReference"/>
        </w:rPr>
        <w:footnoteRef/>
      </w:r>
      <w:r>
        <w:rPr>
          <w:rtl/>
        </w:rPr>
        <w:t xml:space="preserve"> </w:t>
      </w:r>
      <w:r w:rsidRPr="006614DD">
        <w:t>The New Psycho-Cybernetics, Maxwell Mald</w:t>
      </w:r>
    </w:p>
  </w:footnote>
  <w:footnote w:id="3352">
    <w:p w14:paraId="74D3B7BD" w14:textId="77777777" w:rsidR="00B47FF5" w:rsidRDefault="00B47FF5" w:rsidP="0009441D">
      <w:pPr>
        <w:pStyle w:val="FootnoteText"/>
      </w:pPr>
      <w:r>
        <w:rPr>
          <w:rStyle w:val="FootnoteReference"/>
        </w:rPr>
        <w:footnoteRef/>
      </w:r>
      <w:r>
        <w:rPr>
          <w:rtl/>
        </w:rPr>
        <w:t xml:space="preserve"> </w:t>
      </w:r>
      <w:r w:rsidRPr="006614DD">
        <w:t>The Myth of Self-Esteem, Albert Ellis</w:t>
      </w:r>
    </w:p>
  </w:footnote>
  <w:footnote w:id="3353">
    <w:p w14:paraId="793CC169" w14:textId="01EBF688" w:rsidR="00B47FF5" w:rsidRPr="00D335B2" w:rsidRDefault="00B47FF5" w:rsidP="00D335B2">
      <w:pPr>
        <w:pStyle w:val="FootnoteText"/>
      </w:pPr>
      <w:r w:rsidRPr="00D335B2">
        <w:rPr>
          <w:rStyle w:val="FootnoteReference"/>
        </w:rPr>
        <w:footnoteRef/>
      </w:r>
      <w:r w:rsidRPr="00D335B2">
        <w:rPr>
          <w:rtl/>
        </w:rPr>
        <w:t xml:space="preserve"> </w:t>
      </w:r>
      <w:r w:rsidRPr="00D335B2">
        <w:t>Unconditional self-acceptance</w:t>
      </w:r>
    </w:p>
  </w:footnote>
  <w:footnote w:id="3354">
    <w:p w14:paraId="2AD4E27D" w14:textId="2177497C" w:rsidR="00B47FF5" w:rsidRDefault="00B47FF5" w:rsidP="00D335B2">
      <w:pPr>
        <w:pStyle w:val="FootnoteText"/>
      </w:pPr>
      <w:r w:rsidRPr="00D335B2">
        <w:rPr>
          <w:rStyle w:val="FootnoteReference"/>
        </w:rPr>
        <w:footnoteRef/>
      </w:r>
      <w:r w:rsidRPr="00D335B2">
        <w:rPr>
          <w:rtl/>
        </w:rPr>
        <w:t xml:space="preserve"> </w:t>
      </w:r>
      <w:r w:rsidRPr="00D335B2">
        <w:t>Unconditional other acceptance</w:t>
      </w:r>
    </w:p>
  </w:footnote>
  <w:footnote w:id="3355">
    <w:p w14:paraId="4401AD4D" w14:textId="77777777" w:rsidR="00B47FF5" w:rsidRDefault="00B47FF5" w:rsidP="0009441D">
      <w:pPr>
        <w:pStyle w:val="FootnoteText"/>
      </w:pPr>
      <w:r>
        <w:rPr>
          <w:rStyle w:val="FootnoteReference"/>
        </w:rPr>
        <w:footnoteRef/>
      </w:r>
      <w:r>
        <w:rPr>
          <w:rtl/>
        </w:rPr>
        <w:t xml:space="preserve"> </w:t>
      </w:r>
      <w:r w:rsidRPr="006614DD">
        <w:t>Overcoming Destructive Beliefs, Feelings, and Behaviors, Albert Ellis</w:t>
      </w:r>
    </w:p>
  </w:footnote>
  <w:footnote w:id="3356">
    <w:p w14:paraId="0F623F4A" w14:textId="77777777" w:rsidR="00B47FF5" w:rsidRDefault="00B47FF5" w:rsidP="0009441D">
      <w:pPr>
        <w:pStyle w:val="FootnoteText"/>
      </w:pPr>
      <w:r>
        <w:rPr>
          <w:rStyle w:val="FootnoteReference"/>
        </w:rPr>
        <w:footnoteRef/>
      </w:r>
      <w:r>
        <w:rPr>
          <w:rtl/>
        </w:rPr>
        <w:t xml:space="preserve"> </w:t>
      </w:r>
      <w:r w:rsidRPr="00A04555">
        <w:t>Rational- Emotive Behavioral Therapy</w:t>
      </w:r>
    </w:p>
  </w:footnote>
  <w:footnote w:id="3357">
    <w:p w14:paraId="4722A4F7" w14:textId="77777777" w:rsidR="00B47FF5" w:rsidRDefault="00B47FF5" w:rsidP="0009441D">
      <w:pPr>
        <w:pStyle w:val="FootnoteText"/>
      </w:pPr>
      <w:r>
        <w:rPr>
          <w:rStyle w:val="FootnoteReference"/>
        </w:rPr>
        <w:footnoteRef/>
      </w:r>
      <w:r>
        <w:rPr>
          <w:rtl/>
        </w:rPr>
        <w:t xml:space="preserve"> </w:t>
      </w:r>
      <w:r w:rsidRPr="00A04555">
        <w:t>Bold, Diamandis &amp; Kotler</w:t>
      </w:r>
    </w:p>
  </w:footnote>
  <w:footnote w:id="3358">
    <w:p w14:paraId="68106973" w14:textId="77777777" w:rsidR="00B47FF5" w:rsidRDefault="00B47FF5" w:rsidP="0009441D">
      <w:pPr>
        <w:pStyle w:val="FootnoteText"/>
      </w:pPr>
      <w:r>
        <w:rPr>
          <w:rStyle w:val="FootnoteReference"/>
        </w:rPr>
        <w:footnoteRef/>
      </w:r>
      <w:r>
        <w:rPr>
          <w:rtl/>
        </w:rPr>
        <w:t xml:space="preserve"> </w:t>
      </w:r>
      <w:r w:rsidRPr="00F22865">
        <w:t>Awaken the Giant Within, Tony Robbins</w:t>
      </w:r>
    </w:p>
  </w:footnote>
  <w:footnote w:id="3359">
    <w:p w14:paraId="58AA5E35" w14:textId="77777777" w:rsidR="00B47FF5" w:rsidRDefault="00B47FF5" w:rsidP="0009441D">
      <w:pPr>
        <w:pStyle w:val="FootnoteText"/>
      </w:pPr>
      <w:r>
        <w:rPr>
          <w:rStyle w:val="FootnoteReference"/>
        </w:rPr>
        <w:footnoteRef/>
      </w:r>
      <w:r>
        <w:rPr>
          <w:rtl/>
        </w:rPr>
        <w:t xml:space="preserve"> </w:t>
      </w:r>
      <w:r w:rsidRPr="00F22865">
        <w:t>Be Excellent at Anything, Tony Schward</w:t>
      </w:r>
    </w:p>
  </w:footnote>
  <w:footnote w:id="3360">
    <w:p w14:paraId="1AECF3A5" w14:textId="77777777" w:rsidR="00B47FF5" w:rsidRDefault="00B47FF5" w:rsidP="0009441D">
      <w:pPr>
        <w:pStyle w:val="FootnoteText"/>
      </w:pPr>
      <w:r>
        <w:rPr>
          <w:rStyle w:val="FootnoteReference"/>
        </w:rPr>
        <w:footnoteRef/>
      </w:r>
      <w:r>
        <w:rPr>
          <w:rtl/>
        </w:rPr>
        <w:t xml:space="preserve"> </w:t>
      </w:r>
      <w:r w:rsidRPr="00F22865">
        <w:t>Bold: How to Go Big, Create Wealth, and Impact the World, Diamandis and Kotler</w:t>
      </w:r>
    </w:p>
  </w:footnote>
  <w:footnote w:id="3361">
    <w:p w14:paraId="0F4BB2FF" w14:textId="77777777" w:rsidR="00B47FF5" w:rsidRDefault="00B47FF5" w:rsidP="0009441D">
      <w:pPr>
        <w:pStyle w:val="FootnoteText"/>
      </w:pPr>
      <w:r>
        <w:rPr>
          <w:rStyle w:val="FootnoteReference"/>
        </w:rPr>
        <w:footnoteRef/>
      </w:r>
      <w:r>
        <w:rPr>
          <w:rtl/>
        </w:rPr>
        <w:t xml:space="preserve"> </w:t>
      </w:r>
      <w:r w:rsidRPr="00F22865">
        <w:t>Cool Tools: A Catalog of Possibilities, Kevin Kelly</w:t>
      </w:r>
    </w:p>
  </w:footnote>
  <w:footnote w:id="3362">
    <w:p w14:paraId="661EA100" w14:textId="18B30436" w:rsidR="00B47FF5" w:rsidRDefault="00B47FF5" w:rsidP="0009441D">
      <w:pPr>
        <w:pStyle w:val="FootnoteText"/>
      </w:pPr>
      <w:r>
        <w:rPr>
          <w:rStyle w:val="FootnoteReference"/>
        </w:rPr>
        <w:footnoteRef/>
      </w:r>
      <w:r>
        <w:rPr>
          <w:rtl/>
        </w:rPr>
        <w:t xml:space="preserve"> </w:t>
      </w:r>
      <w:r w:rsidRPr="00F22865">
        <w:t>Crucial Conversations: Tools for Talking When Stakes are High, K. Patterson et al</w:t>
      </w:r>
      <w:r>
        <w:t>.</w:t>
      </w:r>
    </w:p>
  </w:footnote>
  <w:footnote w:id="3363">
    <w:p w14:paraId="401357F7" w14:textId="77777777" w:rsidR="00B47FF5" w:rsidRDefault="00B47FF5" w:rsidP="0009441D">
      <w:pPr>
        <w:pStyle w:val="FootnoteText"/>
      </w:pPr>
      <w:r>
        <w:rPr>
          <w:rStyle w:val="FootnoteReference"/>
        </w:rPr>
        <w:footnoteRef/>
      </w:r>
      <w:r>
        <w:rPr>
          <w:rtl/>
        </w:rPr>
        <w:t xml:space="preserve"> </w:t>
      </w:r>
      <w:r w:rsidRPr="00F22865">
        <w:t>Emotional Intelligence 2.0, Bradberry and Greaves</w:t>
      </w:r>
    </w:p>
  </w:footnote>
  <w:footnote w:id="3364">
    <w:p w14:paraId="412265D6" w14:textId="77777777" w:rsidR="00B47FF5" w:rsidRDefault="00B47FF5" w:rsidP="0009441D">
      <w:pPr>
        <w:pStyle w:val="FootnoteText"/>
      </w:pPr>
      <w:r>
        <w:rPr>
          <w:rStyle w:val="FootnoteReference"/>
        </w:rPr>
        <w:footnoteRef/>
      </w:r>
      <w:r>
        <w:rPr>
          <w:rtl/>
        </w:rPr>
        <w:t xml:space="preserve"> </w:t>
      </w:r>
      <w:r w:rsidRPr="00F22865">
        <w:t>Essentialism: The Disciplined Pursuit of Less, Greg McKeown</w:t>
      </w:r>
    </w:p>
  </w:footnote>
  <w:footnote w:id="3365">
    <w:p w14:paraId="5FA9AB0A" w14:textId="77777777" w:rsidR="00B47FF5" w:rsidRDefault="00B47FF5" w:rsidP="0009441D">
      <w:pPr>
        <w:pStyle w:val="FootnoteText"/>
      </w:pPr>
      <w:r>
        <w:rPr>
          <w:rStyle w:val="FootnoteReference"/>
        </w:rPr>
        <w:footnoteRef/>
      </w:r>
      <w:r>
        <w:rPr>
          <w:rtl/>
        </w:rPr>
        <w:t xml:space="preserve"> </w:t>
      </w:r>
      <w:r w:rsidRPr="00F22865">
        <w:t>Foresight Investing, James Lee</w:t>
      </w:r>
    </w:p>
  </w:footnote>
  <w:footnote w:id="3366">
    <w:p w14:paraId="0B1398D8" w14:textId="77777777" w:rsidR="00B47FF5" w:rsidRDefault="00B47FF5" w:rsidP="0009441D">
      <w:pPr>
        <w:pStyle w:val="FootnoteText"/>
      </w:pPr>
      <w:r>
        <w:rPr>
          <w:rStyle w:val="FootnoteReference"/>
        </w:rPr>
        <w:footnoteRef/>
      </w:r>
      <w:r>
        <w:rPr>
          <w:rtl/>
        </w:rPr>
        <w:t xml:space="preserve"> </w:t>
      </w:r>
      <w:r w:rsidRPr="00F22865">
        <w:t>Hold on To Your Kids, Gordon Neufeld and Gabor Mate</w:t>
      </w:r>
    </w:p>
  </w:footnote>
  <w:footnote w:id="3367">
    <w:p w14:paraId="09DB53C4" w14:textId="77777777" w:rsidR="00B47FF5" w:rsidRDefault="00B47FF5" w:rsidP="0009441D">
      <w:pPr>
        <w:pStyle w:val="FootnoteText"/>
      </w:pPr>
      <w:r>
        <w:rPr>
          <w:rStyle w:val="FootnoteReference"/>
        </w:rPr>
        <w:footnoteRef/>
      </w:r>
      <w:r>
        <w:rPr>
          <w:rtl/>
        </w:rPr>
        <w:t xml:space="preserve"> </w:t>
      </w:r>
      <w:r w:rsidRPr="00F22865">
        <w:t>Impact: Reshaping Capitalism to Drive Real Change</w:t>
      </w:r>
    </w:p>
  </w:footnote>
  <w:footnote w:id="3368">
    <w:p w14:paraId="3E2929A5" w14:textId="77777777" w:rsidR="00B47FF5" w:rsidRDefault="00B47FF5" w:rsidP="0009441D">
      <w:pPr>
        <w:pStyle w:val="FootnoteText"/>
      </w:pPr>
      <w:r>
        <w:rPr>
          <w:rStyle w:val="FootnoteReference"/>
        </w:rPr>
        <w:footnoteRef/>
      </w:r>
      <w:r>
        <w:rPr>
          <w:rtl/>
        </w:rPr>
        <w:t xml:space="preserve"> </w:t>
      </w:r>
      <w:r w:rsidRPr="00F22865">
        <w:t>Impact Imperative: Investing to Transform the Future, Pamela Ryan</w:t>
      </w:r>
    </w:p>
  </w:footnote>
  <w:footnote w:id="3369">
    <w:p w14:paraId="4C2F758F" w14:textId="77777777" w:rsidR="00B47FF5" w:rsidRDefault="00B47FF5" w:rsidP="0009441D">
      <w:pPr>
        <w:pStyle w:val="FootnoteText"/>
      </w:pPr>
      <w:r>
        <w:rPr>
          <w:rStyle w:val="FootnoteReference"/>
        </w:rPr>
        <w:footnoteRef/>
      </w:r>
      <w:r>
        <w:rPr>
          <w:rtl/>
        </w:rPr>
        <w:t xml:space="preserve"> </w:t>
      </w:r>
      <w:r w:rsidRPr="00F22865">
        <w:t>Indistractable: How to Control Your Attention and Choose Your Life, Nir Eyal</w:t>
      </w:r>
    </w:p>
  </w:footnote>
  <w:footnote w:id="3370">
    <w:p w14:paraId="53BDC7E3" w14:textId="77777777" w:rsidR="00B47FF5" w:rsidRDefault="00B47FF5" w:rsidP="0009441D">
      <w:pPr>
        <w:pStyle w:val="FootnoteText"/>
      </w:pPr>
      <w:r>
        <w:rPr>
          <w:rStyle w:val="FootnoteReference"/>
        </w:rPr>
        <w:footnoteRef/>
      </w:r>
      <w:r>
        <w:rPr>
          <w:rtl/>
        </w:rPr>
        <w:t xml:space="preserve"> </w:t>
      </w:r>
      <w:r w:rsidRPr="00F22865">
        <w:t>It’s Your Future … Make it a Good One!, Verne Wheelwright</w:t>
      </w:r>
    </w:p>
  </w:footnote>
  <w:footnote w:id="3371">
    <w:p w14:paraId="32AA409C" w14:textId="77777777" w:rsidR="00B47FF5" w:rsidRDefault="00B47FF5" w:rsidP="0009441D">
      <w:pPr>
        <w:pStyle w:val="FootnoteText"/>
      </w:pPr>
      <w:r>
        <w:rPr>
          <w:rStyle w:val="FootnoteReference"/>
        </w:rPr>
        <w:footnoteRef/>
      </w:r>
      <w:r>
        <w:rPr>
          <w:rtl/>
        </w:rPr>
        <w:t xml:space="preserve"> </w:t>
      </w:r>
      <w:r w:rsidRPr="00F22865">
        <w:t>Living the 80/20 Way, Richard Koch</w:t>
      </w:r>
    </w:p>
  </w:footnote>
  <w:footnote w:id="3372">
    <w:p w14:paraId="487D5ECA" w14:textId="77777777" w:rsidR="00B47FF5" w:rsidRDefault="00B47FF5" w:rsidP="0009441D">
      <w:pPr>
        <w:pStyle w:val="FootnoteText"/>
      </w:pPr>
      <w:r>
        <w:rPr>
          <w:rStyle w:val="FootnoteReference"/>
        </w:rPr>
        <w:footnoteRef/>
      </w:r>
      <w:r>
        <w:rPr>
          <w:rtl/>
        </w:rPr>
        <w:t xml:space="preserve"> </w:t>
      </w:r>
      <w:r w:rsidRPr="000A5594">
        <w:t>Mindset: The New Psychology of Success, Carol Dweck</w:t>
      </w:r>
    </w:p>
  </w:footnote>
  <w:footnote w:id="3373">
    <w:p w14:paraId="0CAA351E" w14:textId="77777777" w:rsidR="00B47FF5" w:rsidRDefault="00B47FF5" w:rsidP="0009441D">
      <w:pPr>
        <w:pStyle w:val="FootnoteText"/>
      </w:pPr>
      <w:r>
        <w:rPr>
          <w:rStyle w:val="FootnoteReference"/>
        </w:rPr>
        <w:footnoteRef/>
      </w:r>
      <w:r>
        <w:rPr>
          <w:rtl/>
        </w:rPr>
        <w:t xml:space="preserve"> </w:t>
      </w:r>
      <w:r w:rsidRPr="000A5594">
        <w:t>Overcoming Destructive Beliefs, Feelings, and Behaviors, Albert Ellis</w:t>
      </w:r>
    </w:p>
  </w:footnote>
  <w:footnote w:id="3374">
    <w:p w14:paraId="78C4692E" w14:textId="77777777" w:rsidR="00B47FF5" w:rsidRDefault="00B47FF5" w:rsidP="0009441D">
      <w:pPr>
        <w:pStyle w:val="FootnoteText"/>
      </w:pPr>
      <w:r>
        <w:rPr>
          <w:rStyle w:val="FootnoteReference"/>
        </w:rPr>
        <w:footnoteRef/>
      </w:r>
      <w:r>
        <w:rPr>
          <w:rtl/>
        </w:rPr>
        <w:t xml:space="preserve"> </w:t>
      </w:r>
      <w:r w:rsidRPr="000A5594">
        <w:t>Peak Performance, Stulberg and Magness</w:t>
      </w:r>
    </w:p>
  </w:footnote>
  <w:footnote w:id="3375">
    <w:p w14:paraId="22040D23" w14:textId="77777777" w:rsidR="00B47FF5" w:rsidRDefault="00B47FF5" w:rsidP="0009441D">
      <w:pPr>
        <w:pStyle w:val="FootnoteText"/>
      </w:pPr>
      <w:r>
        <w:rPr>
          <w:rStyle w:val="FootnoteReference"/>
        </w:rPr>
        <w:footnoteRef/>
      </w:r>
      <w:r>
        <w:rPr>
          <w:rtl/>
        </w:rPr>
        <w:t xml:space="preserve"> </w:t>
      </w:r>
      <w:r w:rsidRPr="000A5594">
        <w:t>Rationality: What it Is, Why it Seems Scarce, and Why it Matters, Steven Pinker</w:t>
      </w:r>
    </w:p>
  </w:footnote>
  <w:footnote w:id="3376">
    <w:p w14:paraId="1078C246" w14:textId="77777777" w:rsidR="00B47FF5" w:rsidRDefault="00B47FF5" w:rsidP="0009441D">
      <w:pPr>
        <w:pStyle w:val="FootnoteText"/>
      </w:pPr>
      <w:r>
        <w:rPr>
          <w:rStyle w:val="FootnoteReference"/>
        </w:rPr>
        <w:footnoteRef/>
      </w:r>
      <w:r>
        <w:rPr>
          <w:rtl/>
        </w:rPr>
        <w:t xml:space="preserve"> </w:t>
      </w:r>
      <w:r w:rsidRPr="000A5594">
        <w:t>So Good They Can’t Ignore You: Why Skills Trump Passion, Cal Newport</w:t>
      </w:r>
    </w:p>
  </w:footnote>
  <w:footnote w:id="3377">
    <w:p w14:paraId="03C1A0A5" w14:textId="430DA95F" w:rsidR="00B47FF5" w:rsidRDefault="00B47FF5" w:rsidP="0009441D">
      <w:pPr>
        <w:pStyle w:val="FootnoteText"/>
      </w:pPr>
      <w:r>
        <w:rPr>
          <w:rStyle w:val="FootnoteReference"/>
        </w:rPr>
        <w:footnoteRef/>
      </w:r>
      <w:r>
        <w:rPr>
          <w:rtl/>
        </w:rPr>
        <w:t xml:space="preserve"> </w:t>
      </w:r>
      <w:r w:rsidRPr="000A5594">
        <w:t>Smart</w:t>
      </w:r>
      <w:r>
        <w:t xml:space="preserve"> </w:t>
      </w:r>
      <w:r w:rsidRPr="000A5594">
        <w:t>Choices:</w:t>
      </w:r>
      <w:r>
        <w:t xml:space="preserve"> </w:t>
      </w:r>
      <w:r w:rsidRPr="000A5594">
        <w:t>A</w:t>
      </w:r>
      <w:r>
        <w:t xml:space="preserve"> </w:t>
      </w:r>
      <w:r w:rsidRPr="000A5594">
        <w:t>Guide</w:t>
      </w:r>
      <w:r>
        <w:t xml:space="preserve"> </w:t>
      </w:r>
      <w:r w:rsidRPr="000A5594">
        <w:t>to</w:t>
      </w:r>
      <w:r>
        <w:t xml:space="preserve"> </w:t>
      </w:r>
      <w:r w:rsidRPr="000A5594">
        <w:t>Making Better</w:t>
      </w:r>
      <w:r>
        <w:t xml:space="preserve"> </w:t>
      </w:r>
      <w:r w:rsidRPr="000A5594">
        <w:t>Decisions,</w:t>
      </w:r>
      <w:r>
        <w:t xml:space="preserve"> </w:t>
      </w:r>
      <w:r w:rsidRPr="000A5594">
        <w:t>John Hammond et. Al</w:t>
      </w:r>
      <w:r>
        <w:t>.</w:t>
      </w:r>
    </w:p>
  </w:footnote>
  <w:footnote w:id="3378">
    <w:p w14:paraId="363C89AC" w14:textId="77777777" w:rsidR="00B47FF5" w:rsidRDefault="00B47FF5" w:rsidP="0009441D">
      <w:pPr>
        <w:pStyle w:val="FootnoteText"/>
      </w:pPr>
      <w:r>
        <w:rPr>
          <w:rStyle w:val="FootnoteReference"/>
        </w:rPr>
        <w:footnoteRef/>
      </w:r>
      <w:r>
        <w:rPr>
          <w:rtl/>
        </w:rPr>
        <w:t xml:space="preserve"> </w:t>
      </w:r>
      <w:r w:rsidRPr="000A5594">
        <w:t>Social Intelligence: The New Science of Human Relationships, Daniel Goleman</w:t>
      </w:r>
    </w:p>
  </w:footnote>
  <w:footnote w:id="3379">
    <w:p w14:paraId="4B7A5A02" w14:textId="77777777" w:rsidR="00B47FF5" w:rsidRDefault="00B47FF5" w:rsidP="0009441D">
      <w:pPr>
        <w:pStyle w:val="FootnoteText"/>
      </w:pPr>
      <w:r>
        <w:rPr>
          <w:rStyle w:val="FootnoteReference"/>
        </w:rPr>
        <w:footnoteRef/>
      </w:r>
      <w:r>
        <w:rPr>
          <w:rtl/>
        </w:rPr>
        <w:t xml:space="preserve"> </w:t>
      </w:r>
      <w:r w:rsidRPr="000A5594">
        <w:t>Stepping Up: How Taking Responsibility Changes Everything, 2nd Ed, John Izzo</w:t>
      </w:r>
    </w:p>
  </w:footnote>
  <w:footnote w:id="3380">
    <w:p w14:paraId="2FDBE65B" w14:textId="77777777" w:rsidR="00B47FF5" w:rsidRDefault="00B47FF5" w:rsidP="0009441D">
      <w:pPr>
        <w:pStyle w:val="FootnoteText"/>
      </w:pPr>
      <w:r>
        <w:rPr>
          <w:rStyle w:val="FootnoteReference"/>
        </w:rPr>
        <w:footnoteRef/>
      </w:r>
      <w:r>
        <w:rPr>
          <w:rtl/>
        </w:rPr>
        <w:t xml:space="preserve"> </w:t>
      </w:r>
      <w:r w:rsidRPr="000A5594">
        <w:t>Strengthsﬁnder 2.0, Tom Rath</w:t>
      </w:r>
    </w:p>
  </w:footnote>
  <w:footnote w:id="3381">
    <w:p w14:paraId="2220EC8E" w14:textId="77777777" w:rsidR="00B47FF5" w:rsidRDefault="00B47FF5" w:rsidP="0009441D">
      <w:pPr>
        <w:pStyle w:val="FootnoteText"/>
      </w:pPr>
      <w:r>
        <w:rPr>
          <w:rStyle w:val="FootnoteReference"/>
        </w:rPr>
        <w:footnoteRef/>
      </w:r>
      <w:r>
        <w:rPr>
          <w:rtl/>
        </w:rPr>
        <w:t xml:space="preserve"> </w:t>
      </w:r>
      <w:r w:rsidRPr="000A5594">
        <w:t>Subliminal: How Your Unconscious Rules Your Behavior, Leonard Mlodinow</w:t>
      </w:r>
    </w:p>
  </w:footnote>
  <w:footnote w:id="3382">
    <w:p w14:paraId="641FBF9A" w14:textId="77777777" w:rsidR="00B47FF5" w:rsidRDefault="00B47FF5" w:rsidP="0009441D">
      <w:pPr>
        <w:pStyle w:val="FootnoteText"/>
      </w:pPr>
      <w:r>
        <w:rPr>
          <w:rStyle w:val="FootnoteReference"/>
        </w:rPr>
        <w:footnoteRef/>
      </w:r>
      <w:r>
        <w:rPr>
          <w:rtl/>
        </w:rPr>
        <w:t xml:space="preserve"> </w:t>
      </w:r>
      <w:r w:rsidRPr="000A5594">
        <w:t>Surﬁng the Tsunami: An Intro to AI and Options for Responding, Todd Kelsey</w:t>
      </w:r>
    </w:p>
  </w:footnote>
  <w:footnote w:id="3383">
    <w:p w14:paraId="310663BE" w14:textId="77777777" w:rsidR="00B47FF5" w:rsidRDefault="00B47FF5" w:rsidP="0009441D">
      <w:pPr>
        <w:pStyle w:val="FootnoteText"/>
      </w:pPr>
      <w:r>
        <w:rPr>
          <w:rStyle w:val="FootnoteReference"/>
        </w:rPr>
        <w:footnoteRef/>
      </w:r>
      <w:r>
        <w:rPr>
          <w:rtl/>
        </w:rPr>
        <w:t xml:space="preserve"> </w:t>
      </w:r>
      <w:r w:rsidRPr="000A5594">
        <w:t>Teaching About the Future, Bishop &amp; Hines</w:t>
      </w:r>
    </w:p>
  </w:footnote>
  <w:footnote w:id="3384">
    <w:p w14:paraId="5D2D3FF8" w14:textId="77777777" w:rsidR="00B47FF5" w:rsidRDefault="00B47FF5" w:rsidP="0009441D">
      <w:pPr>
        <w:pStyle w:val="FootnoteText"/>
      </w:pPr>
      <w:r>
        <w:rPr>
          <w:rStyle w:val="FootnoteReference"/>
        </w:rPr>
        <w:footnoteRef/>
      </w:r>
      <w:r>
        <w:rPr>
          <w:rtl/>
        </w:rPr>
        <w:t xml:space="preserve"> </w:t>
      </w:r>
      <w:r w:rsidRPr="000A5594">
        <w:t>The Biology of Belief, 2nd Ed, Bruce Lipton</w:t>
      </w:r>
    </w:p>
  </w:footnote>
  <w:footnote w:id="3385">
    <w:p w14:paraId="2BFC0608" w14:textId="77777777" w:rsidR="00B47FF5" w:rsidRDefault="00B47FF5" w:rsidP="0009441D">
      <w:pPr>
        <w:pStyle w:val="FootnoteText"/>
      </w:pPr>
      <w:r>
        <w:rPr>
          <w:rStyle w:val="FootnoteReference"/>
        </w:rPr>
        <w:footnoteRef/>
      </w:r>
      <w:r>
        <w:rPr>
          <w:rtl/>
        </w:rPr>
        <w:t xml:space="preserve"> </w:t>
      </w:r>
      <w:r w:rsidRPr="000A5594">
        <w:t>The Case for Rational Optimism, Frank Robinson</w:t>
      </w:r>
    </w:p>
  </w:footnote>
  <w:footnote w:id="3386">
    <w:p w14:paraId="7E801AD3" w14:textId="77777777" w:rsidR="00B47FF5" w:rsidRDefault="00B47FF5" w:rsidP="0009441D">
      <w:pPr>
        <w:pStyle w:val="FootnoteText"/>
      </w:pPr>
      <w:r>
        <w:rPr>
          <w:rStyle w:val="FootnoteReference"/>
        </w:rPr>
        <w:footnoteRef/>
      </w:r>
      <w:r>
        <w:rPr>
          <w:rtl/>
        </w:rPr>
        <w:t xml:space="preserve"> </w:t>
      </w:r>
      <w:r w:rsidRPr="000A5594">
        <w:t>The Demon-Haunted World: Science as a Candle in the Dark, Carl Sagan</w:t>
      </w:r>
    </w:p>
  </w:footnote>
  <w:footnote w:id="3387">
    <w:p w14:paraId="1391FA28" w14:textId="77777777" w:rsidR="00B47FF5" w:rsidRDefault="00B47FF5" w:rsidP="0009441D">
      <w:pPr>
        <w:pStyle w:val="FootnoteText"/>
      </w:pPr>
      <w:r>
        <w:rPr>
          <w:rStyle w:val="FootnoteReference"/>
        </w:rPr>
        <w:footnoteRef/>
      </w:r>
      <w:r>
        <w:rPr>
          <w:rtl/>
        </w:rPr>
        <w:t xml:space="preserve"> </w:t>
      </w:r>
      <w:r w:rsidRPr="000A5594">
        <w:t>The Marshmallow Test: Mastering Self-Control, Walter Mischel</w:t>
      </w:r>
    </w:p>
  </w:footnote>
  <w:footnote w:id="3388">
    <w:p w14:paraId="62367A6A" w14:textId="77777777" w:rsidR="00B47FF5" w:rsidRDefault="00B47FF5" w:rsidP="0009441D">
      <w:pPr>
        <w:pStyle w:val="FootnoteText"/>
      </w:pPr>
      <w:r>
        <w:rPr>
          <w:rStyle w:val="FootnoteReference"/>
        </w:rPr>
        <w:footnoteRef/>
      </w:r>
      <w:r>
        <w:rPr>
          <w:rtl/>
        </w:rPr>
        <w:t xml:space="preserve"> </w:t>
      </w:r>
      <w:r w:rsidRPr="000A5594">
        <w:t>The Motley Fool Investment Guide, 3rd Ed, Tom and David Gardner</w:t>
      </w:r>
    </w:p>
  </w:footnote>
  <w:footnote w:id="3389">
    <w:p w14:paraId="5F0322F3" w14:textId="77777777" w:rsidR="00B47FF5" w:rsidRDefault="00B47FF5" w:rsidP="0009441D">
      <w:pPr>
        <w:pStyle w:val="FootnoteText"/>
      </w:pPr>
      <w:r>
        <w:rPr>
          <w:rStyle w:val="FootnoteReference"/>
        </w:rPr>
        <w:footnoteRef/>
      </w:r>
      <w:r>
        <w:rPr>
          <w:rtl/>
        </w:rPr>
        <w:t xml:space="preserve"> </w:t>
      </w:r>
      <w:r w:rsidRPr="000A5594">
        <w:t>The Positive Power of Negative Thinking, Julie Norem</w:t>
      </w:r>
    </w:p>
  </w:footnote>
  <w:footnote w:id="3390">
    <w:p w14:paraId="1660BA71" w14:textId="77777777" w:rsidR="00B47FF5" w:rsidRDefault="00B47FF5" w:rsidP="0009441D">
      <w:pPr>
        <w:pStyle w:val="FootnoteText"/>
      </w:pPr>
      <w:r>
        <w:rPr>
          <w:rStyle w:val="FootnoteReference"/>
        </w:rPr>
        <w:footnoteRef/>
      </w:r>
      <w:r>
        <w:rPr>
          <w:rtl/>
        </w:rPr>
        <w:t xml:space="preserve"> </w:t>
      </w:r>
      <w:r w:rsidRPr="000A5594">
        <w:t>The Psychology of Money, Morgan Housel</w:t>
      </w:r>
    </w:p>
  </w:footnote>
  <w:footnote w:id="3391">
    <w:p w14:paraId="17DD45B0" w14:textId="77777777" w:rsidR="00B47FF5" w:rsidRDefault="00B47FF5" w:rsidP="0009441D">
      <w:pPr>
        <w:pStyle w:val="FootnoteText"/>
      </w:pPr>
      <w:r>
        <w:rPr>
          <w:rStyle w:val="FootnoteReference"/>
        </w:rPr>
        <w:footnoteRef/>
      </w:r>
      <w:r>
        <w:rPr>
          <w:rtl/>
        </w:rPr>
        <w:t xml:space="preserve"> </w:t>
      </w:r>
      <w:r w:rsidRPr="000A5594">
        <w:t>The Myth of Self-Esteem, Albert Ellis</w:t>
      </w:r>
    </w:p>
  </w:footnote>
  <w:footnote w:id="3392">
    <w:p w14:paraId="1EC7331A" w14:textId="77777777" w:rsidR="00B47FF5" w:rsidRDefault="00B47FF5" w:rsidP="0009441D">
      <w:pPr>
        <w:pStyle w:val="FootnoteText"/>
      </w:pPr>
      <w:r>
        <w:rPr>
          <w:rStyle w:val="FootnoteReference"/>
        </w:rPr>
        <w:footnoteRef/>
      </w:r>
      <w:r>
        <w:rPr>
          <w:rtl/>
        </w:rPr>
        <w:t xml:space="preserve"> </w:t>
      </w:r>
      <w:r w:rsidRPr="000A5594">
        <w:t>The New Psycho-Cybernetics, Maxwell Mald</w:t>
      </w:r>
    </w:p>
  </w:footnote>
  <w:footnote w:id="3393">
    <w:p w14:paraId="5B002ED5" w14:textId="77777777" w:rsidR="00B47FF5" w:rsidRDefault="00B47FF5" w:rsidP="0009441D">
      <w:pPr>
        <w:pStyle w:val="FootnoteText"/>
      </w:pPr>
      <w:r>
        <w:rPr>
          <w:rStyle w:val="FootnoteReference"/>
        </w:rPr>
        <w:footnoteRef/>
      </w:r>
      <w:r>
        <w:rPr>
          <w:rtl/>
        </w:rPr>
        <w:t xml:space="preserve"> </w:t>
      </w:r>
      <w:r w:rsidRPr="000A5594">
        <w:t>The Optimist’s Telescope: Thinking Ahead in a Reckless Age, Bina Venkataraman</w:t>
      </w:r>
    </w:p>
  </w:footnote>
  <w:footnote w:id="3394">
    <w:p w14:paraId="311178AC" w14:textId="2C0F9696" w:rsidR="00B47FF5" w:rsidRDefault="00B47FF5" w:rsidP="0009441D">
      <w:pPr>
        <w:pStyle w:val="FootnoteText"/>
      </w:pPr>
      <w:r>
        <w:rPr>
          <w:rStyle w:val="FootnoteReference"/>
        </w:rPr>
        <w:footnoteRef/>
      </w:r>
      <w:r>
        <w:rPr>
          <w:rtl/>
        </w:rPr>
        <w:t xml:space="preserve"> </w:t>
      </w:r>
      <w:r w:rsidRPr="000A5594">
        <w:t>The</w:t>
      </w:r>
      <w:r>
        <w:t xml:space="preserve"> </w:t>
      </w:r>
      <w:r w:rsidRPr="000A5594">
        <w:t>Organized</w:t>
      </w:r>
      <w:r>
        <w:t xml:space="preserve"> </w:t>
      </w:r>
      <w:r w:rsidRPr="000A5594">
        <w:t>Mind:</w:t>
      </w:r>
      <w:r>
        <w:t xml:space="preserve"> </w:t>
      </w:r>
      <w:r w:rsidRPr="000A5594">
        <w:t>Thinking Straight</w:t>
      </w:r>
      <w:r>
        <w:t xml:space="preserve"> </w:t>
      </w:r>
      <w:r w:rsidRPr="000A5594">
        <w:t>in</w:t>
      </w:r>
      <w:r>
        <w:t xml:space="preserve"> </w:t>
      </w:r>
      <w:r w:rsidRPr="000A5594">
        <w:t>the</w:t>
      </w:r>
      <w:r>
        <w:t xml:space="preserve"> </w:t>
      </w:r>
      <w:r w:rsidRPr="000A5594">
        <w:t>Age</w:t>
      </w:r>
      <w:r>
        <w:t xml:space="preserve"> </w:t>
      </w:r>
      <w:r w:rsidRPr="000A5594">
        <w:t>of Info Overload, Dan Levitin</w:t>
      </w:r>
    </w:p>
  </w:footnote>
  <w:footnote w:id="3395">
    <w:p w14:paraId="064F296B" w14:textId="77777777" w:rsidR="00B47FF5" w:rsidRDefault="00B47FF5" w:rsidP="0009441D">
      <w:pPr>
        <w:pStyle w:val="FootnoteText"/>
      </w:pPr>
      <w:r>
        <w:rPr>
          <w:rStyle w:val="FootnoteReference"/>
        </w:rPr>
        <w:footnoteRef/>
      </w:r>
      <w:r>
        <w:rPr>
          <w:rtl/>
        </w:rPr>
        <w:t xml:space="preserve"> </w:t>
      </w:r>
      <w:r w:rsidRPr="000A5594">
        <w:t>The Power of Bad: How the Negativity Aﬀect Rules Us, Tierney and Baumeister</w:t>
      </w:r>
    </w:p>
  </w:footnote>
  <w:footnote w:id="3396">
    <w:p w14:paraId="25F49390" w14:textId="77777777" w:rsidR="00B47FF5" w:rsidRDefault="00B47FF5" w:rsidP="0009441D">
      <w:pPr>
        <w:pStyle w:val="FootnoteText"/>
      </w:pPr>
      <w:r>
        <w:rPr>
          <w:rStyle w:val="FootnoteReference"/>
        </w:rPr>
        <w:footnoteRef/>
      </w:r>
      <w:r>
        <w:rPr>
          <w:rtl/>
        </w:rPr>
        <w:t xml:space="preserve"> </w:t>
      </w:r>
      <w:r w:rsidRPr="000A5594">
        <w:t>The Power of Habit, Charles Duhigg</w:t>
      </w:r>
    </w:p>
  </w:footnote>
  <w:footnote w:id="3397">
    <w:p w14:paraId="32CDBCCD" w14:textId="77777777" w:rsidR="00B47FF5" w:rsidRDefault="00B47FF5" w:rsidP="0009441D">
      <w:pPr>
        <w:pStyle w:val="FootnoteText"/>
      </w:pPr>
      <w:r>
        <w:rPr>
          <w:rStyle w:val="FootnoteReference"/>
        </w:rPr>
        <w:footnoteRef/>
      </w:r>
      <w:r>
        <w:rPr>
          <w:rtl/>
        </w:rPr>
        <w:t xml:space="preserve"> </w:t>
      </w:r>
      <w:r w:rsidRPr="000A5594">
        <w:t>The Power of Impact Investing, Rodin and Brandenburg</w:t>
      </w:r>
    </w:p>
  </w:footnote>
  <w:footnote w:id="3398">
    <w:p w14:paraId="19D0D4E0" w14:textId="77777777" w:rsidR="00B47FF5" w:rsidRDefault="00B47FF5" w:rsidP="0009441D">
      <w:pPr>
        <w:pStyle w:val="FootnoteText"/>
      </w:pPr>
      <w:r>
        <w:rPr>
          <w:rStyle w:val="FootnoteReference"/>
        </w:rPr>
        <w:footnoteRef/>
      </w:r>
      <w:r>
        <w:rPr>
          <w:rtl/>
        </w:rPr>
        <w:t xml:space="preserve"> </w:t>
      </w:r>
      <w:r w:rsidRPr="00EA7E98">
        <w:t>The Price of Privilege: How Parental Pressure &amp; Advantage Harm Kids, Madeline Levine</w:t>
      </w:r>
    </w:p>
  </w:footnote>
  <w:footnote w:id="3399">
    <w:p w14:paraId="7B834507" w14:textId="2CE59246" w:rsidR="00B47FF5" w:rsidRDefault="00B47FF5" w:rsidP="0009441D">
      <w:pPr>
        <w:pStyle w:val="FootnoteText"/>
      </w:pPr>
      <w:r>
        <w:rPr>
          <w:rStyle w:val="FootnoteReference"/>
        </w:rPr>
        <w:footnoteRef/>
      </w:r>
      <w:r>
        <w:rPr>
          <w:rtl/>
        </w:rPr>
        <w:t xml:space="preserve"> </w:t>
      </w:r>
      <w:r w:rsidRPr="00EA7E98">
        <w:t>The</w:t>
      </w:r>
      <w:r>
        <w:t xml:space="preserve"> </w:t>
      </w:r>
      <w:r w:rsidRPr="00EA7E98">
        <w:t>Recursive</w:t>
      </w:r>
      <w:r>
        <w:t xml:space="preserve"> </w:t>
      </w:r>
      <w:r w:rsidRPr="00EA7E98">
        <w:t>Mind:</w:t>
      </w:r>
      <w:r>
        <w:t xml:space="preserve"> </w:t>
      </w:r>
      <w:r w:rsidRPr="00EA7E98">
        <w:t>Language,</w:t>
      </w:r>
      <w:r>
        <w:t xml:space="preserve"> </w:t>
      </w:r>
      <w:r w:rsidRPr="00EA7E98">
        <w:t>Thought,</w:t>
      </w:r>
      <w:r>
        <w:t xml:space="preserve"> </w:t>
      </w:r>
      <w:r w:rsidRPr="00EA7E98">
        <w:t>and</w:t>
      </w:r>
      <w:r>
        <w:t xml:space="preserve"> </w:t>
      </w:r>
      <w:r w:rsidRPr="00EA7E98">
        <w:t>Civilization, Michael Corballis</w:t>
      </w:r>
    </w:p>
  </w:footnote>
  <w:footnote w:id="3400">
    <w:p w14:paraId="75FC0B76" w14:textId="77777777" w:rsidR="00B47FF5" w:rsidRDefault="00B47FF5" w:rsidP="0009441D">
      <w:pPr>
        <w:pStyle w:val="FootnoteText"/>
      </w:pPr>
      <w:r>
        <w:rPr>
          <w:rStyle w:val="FootnoteReference"/>
        </w:rPr>
        <w:footnoteRef/>
      </w:r>
      <w:r>
        <w:rPr>
          <w:rtl/>
        </w:rPr>
        <w:t xml:space="preserve"> </w:t>
      </w:r>
      <w:r w:rsidRPr="00EA7E98">
        <w:t>The Science of Self-Learning, Peter Hollins</w:t>
      </w:r>
    </w:p>
  </w:footnote>
  <w:footnote w:id="3401">
    <w:p w14:paraId="615099B0" w14:textId="77777777" w:rsidR="00B47FF5" w:rsidRDefault="00B47FF5" w:rsidP="0009441D">
      <w:pPr>
        <w:pStyle w:val="FootnoteText"/>
      </w:pPr>
      <w:r>
        <w:rPr>
          <w:rStyle w:val="FootnoteReference"/>
        </w:rPr>
        <w:footnoteRef/>
      </w:r>
      <w:r>
        <w:rPr>
          <w:rtl/>
        </w:rPr>
        <w:t xml:space="preserve"> </w:t>
      </w:r>
      <w:r w:rsidRPr="00EA7E98">
        <w:t>The Seven Habits of Highly Eﬀective People, Stephen Covey</w:t>
      </w:r>
    </w:p>
  </w:footnote>
  <w:footnote w:id="3402">
    <w:p w14:paraId="6C24DD76" w14:textId="77777777" w:rsidR="00B47FF5" w:rsidRDefault="00B47FF5" w:rsidP="0009441D">
      <w:pPr>
        <w:pStyle w:val="FootnoteText"/>
      </w:pPr>
      <w:r>
        <w:rPr>
          <w:rStyle w:val="FootnoteReference"/>
        </w:rPr>
        <w:footnoteRef/>
      </w:r>
      <w:r>
        <w:rPr>
          <w:rtl/>
        </w:rPr>
        <w:t xml:space="preserve"> </w:t>
      </w:r>
      <w:r w:rsidRPr="00EA7E98">
        <w:t>The Six Pillars of Self Esteem, Nathaniel Branden</w:t>
      </w:r>
    </w:p>
  </w:footnote>
  <w:footnote w:id="3403">
    <w:p w14:paraId="5D50E09E" w14:textId="77777777" w:rsidR="00B47FF5" w:rsidRDefault="00B47FF5" w:rsidP="0009441D">
      <w:pPr>
        <w:pStyle w:val="FootnoteText"/>
      </w:pPr>
      <w:r>
        <w:rPr>
          <w:rStyle w:val="FootnoteReference"/>
        </w:rPr>
        <w:footnoteRef/>
      </w:r>
      <w:r>
        <w:rPr>
          <w:rtl/>
        </w:rPr>
        <w:t xml:space="preserve"> </w:t>
      </w:r>
      <w:r w:rsidRPr="00EA7E98">
        <w:t>The Snowball: Warren Buﬀet t and the Business of Life, Alice Schroeder</w:t>
      </w:r>
    </w:p>
  </w:footnote>
  <w:footnote w:id="3404">
    <w:p w14:paraId="02C5E4D8" w14:textId="77777777" w:rsidR="00B47FF5" w:rsidRDefault="00B47FF5" w:rsidP="0009441D">
      <w:pPr>
        <w:pStyle w:val="FootnoteText"/>
      </w:pPr>
      <w:r>
        <w:rPr>
          <w:rStyle w:val="FootnoteReference"/>
        </w:rPr>
        <w:footnoteRef/>
      </w:r>
      <w:r>
        <w:rPr>
          <w:rtl/>
        </w:rPr>
        <w:t xml:space="preserve"> </w:t>
      </w:r>
      <w:r w:rsidRPr="00D63CD7">
        <w:t>The Top Five Regrets of the Dying, Bronnie Ware</w:t>
      </w:r>
    </w:p>
  </w:footnote>
  <w:footnote w:id="3405">
    <w:p w14:paraId="7CE8E4F8" w14:textId="77777777" w:rsidR="00B47FF5" w:rsidRDefault="00B47FF5" w:rsidP="0009441D">
      <w:pPr>
        <w:pStyle w:val="FootnoteText"/>
      </w:pPr>
      <w:r>
        <w:rPr>
          <w:rStyle w:val="FootnoteReference"/>
        </w:rPr>
        <w:footnoteRef/>
      </w:r>
      <w:r>
        <w:rPr>
          <w:rtl/>
        </w:rPr>
        <w:t xml:space="preserve"> </w:t>
      </w:r>
      <w:r w:rsidRPr="00D63CD7">
        <w:t>Thinking, Fast and Slow, Daniel Kahneman</w:t>
      </w:r>
    </w:p>
  </w:footnote>
  <w:footnote w:id="3406">
    <w:p w14:paraId="0DA4E846" w14:textId="4B026432" w:rsidR="00B47FF5" w:rsidRDefault="00B47FF5" w:rsidP="0009441D">
      <w:pPr>
        <w:pStyle w:val="FootnoteText"/>
      </w:pPr>
      <w:r>
        <w:rPr>
          <w:rStyle w:val="FootnoteReference"/>
        </w:rPr>
        <w:footnoteRef/>
      </w:r>
      <w:r>
        <w:rPr>
          <w:rtl/>
        </w:rPr>
        <w:t xml:space="preserve"> </w:t>
      </w:r>
      <w:r w:rsidRPr="00D63CD7">
        <w:t>Thinking Ahead: Engaging Critical Thinking, Paul A. Wagner et al</w:t>
      </w:r>
      <w:r>
        <w:t>.</w:t>
      </w:r>
    </w:p>
  </w:footnote>
  <w:footnote w:id="3407">
    <w:p w14:paraId="0A6F784F" w14:textId="77777777" w:rsidR="00B47FF5" w:rsidRDefault="00B47FF5" w:rsidP="0009441D">
      <w:pPr>
        <w:pStyle w:val="FootnoteText"/>
      </w:pPr>
      <w:r>
        <w:rPr>
          <w:rStyle w:val="FootnoteReference"/>
        </w:rPr>
        <w:footnoteRef/>
      </w:r>
      <w:r>
        <w:rPr>
          <w:rtl/>
        </w:rPr>
        <w:t xml:space="preserve"> </w:t>
      </w:r>
      <w:r w:rsidRPr="00D63CD7">
        <w:t>Tiny Habits: The Small Changes that Change Everything, BJ Fogg</w:t>
      </w:r>
    </w:p>
  </w:footnote>
  <w:footnote w:id="3408">
    <w:p w14:paraId="71672EFC" w14:textId="77777777" w:rsidR="00B47FF5" w:rsidRDefault="00B47FF5" w:rsidP="0009441D">
      <w:pPr>
        <w:pStyle w:val="FootnoteText"/>
      </w:pPr>
      <w:r>
        <w:rPr>
          <w:rStyle w:val="FootnoteReference"/>
        </w:rPr>
        <w:footnoteRef/>
      </w:r>
      <w:r>
        <w:rPr>
          <w:rtl/>
        </w:rPr>
        <w:t xml:space="preserve"> </w:t>
      </w:r>
      <w:r w:rsidRPr="00D63CD7">
        <w:t>Transitions: Making Sense of Life’s Changes, William Bridges</w:t>
      </w:r>
    </w:p>
  </w:footnote>
  <w:footnote w:id="3409">
    <w:p w14:paraId="0DA55696" w14:textId="3B103611" w:rsidR="00B47FF5" w:rsidRDefault="00B47FF5" w:rsidP="00CD6D41">
      <w:pPr>
        <w:pStyle w:val="FootnoteText"/>
      </w:pPr>
      <w:r>
        <w:rPr>
          <w:rStyle w:val="FootnoteReference"/>
        </w:rPr>
        <w:footnoteRef/>
      </w:r>
      <w:r>
        <w:rPr>
          <w:rtl/>
        </w:rPr>
        <w:t xml:space="preserve"> </w:t>
      </w:r>
      <w:r>
        <w:t>Unlearn: Let Go of Past Success to Achieve Extraordinary Results, Barry O’Reilly</w:t>
      </w:r>
    </w:p>
  </w:footnote>
  <w:footnote w:id="3410">
    <w:p w14:paraId="1AF78106" w14:textId="77777777" w:rsidR="00B47FF5" w:rsidRDefault="00B47FF5" w:rsidP="0009441D">
      <w:pPr>
        <w:pStyle w:val="FootnoteText"/>
      </w:pPr>
      <w:r>
        <w:rPr>
          <w:rStyle w:val="FootnoteReference"/>
        </w:rPr>
        <w:footnoteRef/>
      </w:r>
      <w:r>
        <w:rPr>
          <w:rtl/>
        </w:rPr>
        <w:t xml:space="preserve"> </w:t>
      </w:r>
      <w:r w:rsidRPr="00D63CD7">
        <w:t>Visualization Power, Bill Bodri</w:t>
      </w:r>
    </w:p>
  </w:footnote>
  <w:footnote w:id="3411">
    <w:p w14:paraId="241D966D" w14:textId="77777777" w:rsidR="00B47FF5" w:rsidRDefault="00B47FF5" w:rsidP="0009441D">
      <w:pPr>
        <w:pStyle w:val="FootnoteText"/>
      </w:pPr>
      <w:r>
        <w:rPr>
          <w:rStyle w:val="FootnoteReference"/>
        </w:rPr>
        <w:footnoteRef/>
      </w:r>
      <w:r>
        <w:rPr>
          <w:rtl/>
        </w:rPr>
        <w:t xml:space="preserve"> </w:t>
      </w:r>
      <w:r w:rsidRPr="00D63CD7">
        <w:t>What Doesn’t Kill Us: How Going to Extremes Can Renew Our Evolutionary Strength, Scott Carney</w:t>
      </w:r>
    </w:p>
  </w:footnote>
  <w:footnote w:id="3412">
    <w:p w14:paraId="1E20A5DF" w14:textId="77777777" w:rsidR="00B47FF5" w:rsidRDefault="00B47FF5" w:rsidP="0009441D">
      <w:pPr>
        <w:pStyle w:val="FootnoteText"/>
      </w:pPr>
      <w:r>
        <w:rPr>
          <w:rStyle w:val="FootnoteReference"/>
        </w:rPr>
        <w:footnoteRef/>
      </w:r>
      <w:r>
        <w:rPr>
          <w:rtl/>
        </w:rPr>
        <w:t xml:space="preserve"> </w:t>
      </w:r>
      <w:r w:rsidRPr="00D63CD7">
        <w:t>What the Foresight: Your Personal Futures Explored, Alida Draudt &amp; Julia West</w:t>
      </w:r>
    </w:p>
  </w:footnote>
  <w:footnote w:id="3413">
    <w:p w14:paraId="623F395E" w14:textId="0D5E48FE" w:rsidR="00B47FF5" w:rsidRDefault="00B47FF5" w:rsidP="0037616D">
      <w:pPr>
        <w:pStyle w:val="FootnoteText"/>
      </w:pPr>
      <w:r>
        <w:rPr>
          <w:rStyle w:val="FootnoteReference"/>
        </w:rPr>
        <w:footnoteRef/>
      </w:r>
      <w:r>
        <w:rPr>
          <w:rtl/>
        </w:rPr>
        <w:t xml:space="preserve"> </w:t>
      </w:r>
      <w:r w:rsidRPr="00A04555">
        <w:t>Time</w:t>
      </w:r>
      <w:r>
        <w:t xml:space="preserve"> </w:t>
      </w:r>
      <w:r w:rsidRPr="00A04555">
        <w:t>to</w:t>
      </w:r>
      <w:r>
        <w:t xml:space="preserve"> </w:t>
      </w:r>
      <w:r w:rsidRPr="00A04555">
        <w:t>Lead:</w:t>
      </w:r>
      <w:r>
        <w:t xml:space="preserve"> </w:t>
      </w:r>
      <w:r w:rsidRPr="00A04555">
        <w:t>Lessons</w:t>
      </w:r>
      <w:r>
        <w:t xml:space="preserve"> </w:t>
      </w:r>
      <w:r w:rsidRPr="00A04555">
        <w:t>for</w:t>
      </w:r>
      <w:r>
        <w:t xml:space="preserve"> </w:t>
      </w:r>
      <w:r w:rsidRPr="00A04555">
        <w:t>Today’s</w:t>
      </w:r>
      <w:r>
        <w:t xml:space="preserve"> </w:t>
      </w:r>
      <w:r w:rsidRPr="00A04555">
        <w:t>Leaders,</w:t>
      </w:r>
      <w:r>
        <w:t xml:space="preserve"> </w:t>
      </w:r>
      <w:r w:rsidRPr="00A04555">
        <w:t>Jan-Benedict Steenkamp</w:t>
      </w:r>
    </w:p>
  </w:footnote>
  <w:footnote w:id="3414">
    <w:p w14:paraId="2E88B65F" w14:textId="77777777" w:rsidR="00B47FF5" w:rsidRDefault="00B47FF5" w:rsidP="00CD6D41">
      <w:pPr>
        <w:pStyle w:val="FootnoteText"/>
      </w:pPr>
      <w:r>
        <w:rPr>
          <w:rStyle w:val="FootnoteReference"/>
        </w:rPr>
        <w:footnoteRef/>
      </w:r>
      <w:r>
        <w:rPr>
          <w:rtl/>
        </w:rPr>
        <w:t xml:space="preserve"> </w:t>
      </w:r>
      <w:r w:rsidRPr="004D196B">
        <w:t>Hedgefox Assessment</w:t>
      </w:r>
    </w:p>
  </w:footnote>
  <w:footnote w:id="3415">
    <w:p w14:paraId="4DC93194" w14:textId="77777777" w:rsidR="00B47FF5" w:rsidRDefault="00B47FF5" w:rsidP="0037616D">
      <w:pPr>
        <w:pStyle w:val="FootnoteText"/>
      </w:pPr>
      <w:r>
        <w:rPr>
          <w:rStyle w:val="FootnoteReference"/>
        </w:rPr>
        <w:footnoteRef/>
      </w:r>
      <w:r>
        <w:rPr>
          <w:rtl/>
        </w:rPr>
        <w:t xml:space="preserve"> </w:t>
      </w:r>
      <w:r w:rsidRPr="004D196B">
        <w:t>Collaborative Intelligence: Thinking With People Who Think Diﬀerently, Dawna Markova &amp; Angie McArthur</w:t>
      </w:r>
    </w:p>
  </w:footnote>
  <w:footnote w:id="3416">
    <w:p w14:paraId="3A7FD727" w14:textId="77777777" w:rsidR="00B47FF5" w:rsidRDefault="00B47FF5" w:rsidP="0037616D">
      <w:pPr>
        <w:pStyle w:val="FootnoteText"/>
      </w:pPr>
      <w:r>
        <w:rPr>
          <w:rStyle w:val="FootnoteReference"/>
        </w:rPr>
        <w:footnoteRef/>
      </w:r>
      <w:r>
        <w:rPr>
          <w:rtl/>
        </w:rPr>
        <w:t xml:space="preserve"> </w:t>
      </w:r>
      <w:r w:rsidRPr="002608B0">
        <w:t>How Fast, Inexpensive, Restrained, and Elegant Methods Ignite Innovation, Dan Ward</w:t>
      </w:r>
    </w:p>
  </w:footnote>
  <w:footnote w:id="3417">
    <w:p w14:paraId="556DCB95" w14:textId="77777777" w:rsidR="00B47FF5" w:rsidRDefault="00B47FF5" w:rsidP="0037616D">
      <w:pPr>
        <w:pStyle w:val="FootnoteText"/>
      </w:pPr>
      <w:r>
        <w:rPr>
          <w:rStyle w:val="FootnoteReference"/>
        </w:rPr>
        <w:footnoteRef/>
      </w:r>
      <w:r>
        <w:rPr>
          <w:rtl/>
        </w:rPr>
        <w:t xml:space="preserve"> </w:t>
      </w:r>
      <w:r w:rsidRPr="002608B0">
        <w:t>Seeing What Others Don’t: The Remarkable Ways We Gain Insights, Gary Klein</w:t>
      </w:r>
    </w:p>
  </w:footnote>
  <w:footnote w:id="3418">
    <w:p w14:paraId="7027F9DA" w14:textId="77777777" w:rsidR="00B47FF5" w:rsidRDefault="00B47FF5" w:rsidP="0037616D">
      <w:pPr>
        <w:pStyle w:val="FootnoteText"/>
      </w:pPr>
      <w:r>
        <w:rPr>
          <w:rStyle w:val="FootnoteReference"/>
        </w:rPr>
        <w:footnoteRef/>
      </w:r>
      <w:r>
        <w:rPr>
          <w:rtl/>
        </w:rPr>
        <w:t xml:space="preserve"> </w:t>
      </w:r>
      <w:r w:rsidRPr="002608B0">
        <w:t>Cyneﬁn: Weaving Sense-Making into the Fabric of Our World, David Snowden</w:t>
      </w:r>
    </w:p>
  </w:footnote>
  <w:footnote w:id="3419">
    <w:p w14:paraId="48A92185" w14:textId="77777777" w:rsidR="00B47FF5" w:rsidRDefault="00B47FF5" w:rsidP="0037616D">
      <w:pPr>
        <w:pStyle w:val="FootnoteText"/>
      </w:pPr>
      <w:r>
        <w:rPr>
          <w:rStyle w:val="FootnoteReference"/>
        </w:rPr>
        <w:footnoteRef/>
      </w:r>
      <w:r>
        <w:rPr>
          <w:rtl/>
        </w:rPr>
        <w:t xml:space="preserve"> </w:t>
      </w:r>
      <w:r w:rsidRPr="002608B0">
        <w:t>Snowden’s Cognitive Edge</w:t>
      </w:r>
    </w:p>
  </w:footnote>
  <w:footnote w:id="3420">
    <w:p w14:paraId="1B77D8F0" w14:textId="77777777" w:rsidR="00B47FF5" w:rsidRDefault="00B47FF5" w:rsidP="0037616D">
      <w:pPr>
        <w:pStyle w:val="FootnoteText"/>
      </w:pPr>
      <w:r>
        <w:rPr>
          <w:rStyle w:val="FootnoteReference"/>
        </w:rPr>
        <w:footnoteRef/>
      </w:r>
      <w:r>
        <w:rPr>
          <w:rtl/>
        </w:rPr>
        <w:t xml:space="preserve"> </w:t>
      </w:r>
      <w:r w:rsidRPr="00850F8C">
        <w:t>Fooled by Randomness: The Hidden Role of Chance in Life &amp; Markets, Nicholas Taleb</w:t>
      </w:r>
    </w:p>
  </w:footnote>
  <w:footnote w:id="3421">
    <w:p w14:paraId="5FCA3F0F" w14:textId="77777777" w:rsidR="00B47FF5" w:rsidRDefault="00B47FF5" w:rsidP="0037616D">
      <w:pPr>
        <w:pStyle w:val="FootnoteText"/>
      </w:pPr>
      <w:r>
        <w:rPr>
          <w:rStyle w:val="FootnoteReference"/>
        </w:rPr>
        <w:footnoteRef/>
      </w:r>
      <w:r>
        <w:rPr>
          <w:rtl/>
        </w:rPr>
        <w:t xml:space="preserve"> </w:t>
      </w:r>
      <w:r w:rsidRPr="00850F8C">
        <w:t>Learning from the Future: Competitive Foresight Scenarios, Liam Fahey &amp; Robert Randall</w:t>
      </w:r>
    </w:p>
  </w:footnote>
  <w:footnote w:id="3422">
    <w:p w14:paraId="6CE2146A" w14:textId="77777777" w:rsidR="00B47FF5" w:rsidRDefault="00B47FF5" w:rsidP="0037616D">
      <w:pPr>
        <w:pStyle w:val="FootnoteText"/>
      </w:pPr>
      <w:r>
        <w:rPr>
          <w:rStyle w:val="FootnoteReference"/>
        </w:rPr>
        <w:footnoteRef/>
      </w:r>
      <w:r>
        <w:rPr>
          <w:rtl/>
        </w:rPr>
        <w:t xml:space="preserve"> </w:t>
      </w:r>
      <w:r w:rsidRPr="00850F8C">
        <w:t>Using Trends and Scenarios as Tools for Strategy Development, Ulf Pillkahn</w:t>
      </w:r>
    </w:p>
  </w:footnote>
  <w:footnote w:id="3423">
    <w:p w14:paraId="38360AEA" w14:textId="77777777" w:rsidR="00B47FF5" w:rsidRDefault="00B47FF5" w:rsidP="0037616D">
      <w:pPr>
        <w:pStyle w:val="FootnoteText"/>
      </w:pPr>
      <w:r>
        <w:rPr>
          <w:rStyle w:val="FootnoteReference"/>
        </w:rPr>
        <w:footnoteRef/>
      </w:r>
      <w:r>
        <w:rPr>
          <w:rtl/>
        </w:rPr>
        <w:t xml:space="preserve"> </w:t>
      </w:r>
      <w:r w:rsidRPr="00850F8C">
        <w:t>Predictive Analytics, Eric Siegel</w:t>
      </w:r>
    </w:p>
  </w:footnote>
  <w:footnote w:id="3424">
    <w:p w14:paraId="0C4D75C6" w14:textId="77777777" w:rsidR="00B47FF5" w:rsidRDefault="00B47FF5" w:rsidP="0037616D">
      <w:pPr>
        <w:pStyle w:val="FootnoteText"/>
      </w:pPr>
      <w:r>
        <w:rPr>
          <w:rStyle w:val="FootnoteReference"/>
        </w:rPr>
        <w:footnoteRef/>
      </w:r>
      <w:r>
        <w:rPr>
          <w:rtl/>
        </w:rPr>
        <w:t xml:space="preserve"> </w:t>
      </w:r>
      <w:r w:rsidRPr="00850F8C">
        <w:t>Thinking about the Future: Guidelines for Strategic Foresight, Peter Bishop &amp; Andy Hines</w:t>
      </w:r>
    </w:p>
  </w:footnote>
  <w:footnote w:id="3425">
    <w:p w14:paraId="12ABDA57" w14:textId="77777777" w:rsidR="00B47FF5" w:rsidRDefault="00B47FF5" w:rsidP="0037616D">
      <w:pPr>
        <w:pStyle w:val="FootnoteText"/>
      </w:pPr>
      <w:r>
        <w:rPr>
          <w:rStyle w:val="FootnoteReference"/>
        </w:rPr>
        <w:footnoteRef/>
      </w:r>
      <w:r>
        <w:rPr>
          <w:rtl/>
        </w:rPr>
        <w:t xml:space="preserve"> </w:t>
      </w:r>
      <w:r w:rsidRPr="00850F8C">
        <w:t>The Diﬀerence: How Diversity Creates Better Groups, Firms, Societies, Scofl Page</w:t>
      </w:r>
    </w:p>
  </w:footnote>
  <w:footnote w:id="3426">
    <w:p w14:paraId="65E3F1ED" w14:textId="77777777" w:rsidR="00B47FF5" w:rsidRDefault="00B47FF5" w:rsidP="0037616D">
      <w:pPr>
        <w:pStyle w:val="FootnoteText"/>
      </w:pPr>
      <w:r>
        <w:rPr>
          <w:rStyle w:val="FootnoteReference"/>
        </w:rPr>
        <w:footnoteRef/>
      </w:r>
      <w:r>
        <w:rPr>
          <w:rtl/>
        </w:rPr>
        <w:t xml:space="preserve"> </w:t>
      </w:r>
      <w:r w:rsidRPr="003F00D6">
        <w:t>The Idea-Driven Org: Unlocking the Power in Bottom-Up Ideas, Alan Robinson &amp; Dean Schroeder</w:t>
      </w:r>
    </w:p>
  </w:footnote>
  <w:footnote w:id="3427">
    <w:p w14:paraId="74C50562" w14:textId="77777777" w:rsidR="00B47FF5" w:rsidRDefault="00B47FF5" w:rsidP="0037616D">
      <w:pPr>
        <w:pStyle w:val="FootnoteText"/>
      </w:pPr>
      <w:r>
        <w:rPr>
          <w:rStyle w:val="FootnoteReference"/>
        </w:rPr>
        <w:footnoteRef/>
      </w:r>
      <w:r>
        <w:rPr>
          <w:rtl/>
        </w:rPr>
        <w:t xml:space="preserve"> </w:t>
      </w:r>
      <w:r w:rsidRPr="005D29FC">
        <w:t>The Well-Timed Strategy: The Business Cycle as Competitive Advantage, Peter Navarro</w:t>
      </w:r>
    </w:p>
  </w:footnote>
  <w:footnote w:id="3428">
    <w:p w14:paraId="456C7D35" w14:textId="77777777" w:rsidR="00B47FF5" w:rsidRDefault="00B47FF5" w:rsidP="0037616D">
      <w:pPr>
        <w:pStyle w:val="FootnoteText"/>
      </w:pPr>
      <w:r>
        <w:rPr>
          <w:rStyle w:val="FootnoteReference"/>
        </w:rPr>
        <w:footnoteRef/>
      </w:r>
      <w:r>
        <w:rPr>
          <w:rtl/>
        </w:rPr>
        <w:t xml:space="preserve"> </w:t>
      </w:r>
      <w:r w:rsidRPr="005D29FC">
        <w:t>Virtual History: Alternatives and Counterfactuals, Niall Ferguson</w:t>
      </w:r>
    </w:p>
  </w:footnote>
  <w:footnote w:id="3429">
    <w:p w14:paraId="6E0C36CA" w14:textId="77777777" w:rsidR="00B47FF5" w:rsidRDefault="00B47FF5" w:rsidP="0037616D">
      <w:pPr>
        <w:pStyle w:val="FootnoteText"/>
      </w:pPr>
      <w:r>
        <w:rPr>
          <w:rStyle w:val="FootnoteReference"/>
        </w:rPr>
        <w:footnoteRef/>
      </w:r>
      <w:r>
        <w:rPr>
          <w:rtl/>
        </w:rPr>
        <w:t xml:space="preserve"> </w:t>
      </w:r>
      <w:r w:rsidRPr="005D29FC">
        <w:t>Wrong: Why Experts Keep Failing Us and When Not to Trust Them, David Freedman</w:t>
      </w:r>
    </w:p>
  </w:footnote>
  <w:footnote w:id="3430">
    <w:p w14:paraId="659EC9BC" w14:textId="77777777" w:rsidR="00B47FF5" w:rsidRDefault="00B47FF5" w:rsidP="00D335B2">
      <w:pPr>
        <w:pStyle w:val="FootnoteText"/>
      </w:pPr>
      <w:r>
        <w:rPr>
          <w:rStyle w:val="FootnoteReference"/>
        </w:rPr>
        <w:footnoteRef/>
      </w:r>
      <w:r>
        <w:rPr>
          <w:rtl/>
        </w:rPr>
        <w:t xml:space="preserve"> </w:t>
      </w:r>
      <w:r w:rsidRPr="00B7373B">
        <w:t>Superforecasting</w:t>
      </w:r>
    </w:p>
  </w:footnote>
  <w:footnote w:id="3431">
    <w:p w14:paraId="17AE0FEF" w14:textId="77777777" w:rsidR="00B47FF5" w:rsidRDefault="00B47FF5" w:rsidP="0037616D">
      <w:pPr>
        <w:pStyle w:val="FootnoteText"/>
      </w:pPr>
      <w:r>
        <w:rPr>
          <w:rStyle w:val="FootnoteReference"/>
        </w:rPr>
        <w:footnoteRef/>
      </w:r>
      <w:r>
        <w:rPr>
          <w:rtl/>
        </w:rPr>
        <w:t xml:space="preserve"> </w:t>
      </w:r>
      <w:r w:rsidRPr="00B7373B">
        <w:t>The Ways and Power of Love, Pitirim Sorokin</w:t>
      </w:r>
    </w:p>
  </w:footnote>
  <w:footnote w:id="3432">
    <w:p w14:paraId="5BE01203" w14:textId="1634339D" w:rsidR="00B47FF5" w:rsidRDefault="00B47FF5" w:rsidP="0037616D">
      <w:pPr>
        <w:pStyle w:val="FootnoteText"/>
      </w:pPr>
      <w:r>
        <w:rPr>
          <w:rStyle w:val="FootnoteReference"/>
        </w:rPr>
        <w:footnoteRef/>
      </w:r>
      <w:r>
        <w:rPr>
          <w:rtl/>
        </w:rPr>
        <w:t xml:space="preserve"> </w:t>
      </w:r>
      <w:r>
        <w:t xml:space="preserve">4 </w:t>
      </w:r>
      <w:r w:rsidRPr="00D63CD7">
        <w:t>Steps to the Future: A Quick and Clean Guide to Creating Foresight, Richard Lum</w:t>
      </w:r>
    </w:p>
  </w:footnote>
  <w:footnote w:id="3433">
    <w:p w14:paraId="3E1FF43A" w14:textId="13982BE1" w:rsidR="00B47FF5" w:rsidRDefault="00B47FF5" w:rsidP="0037616D">
      <w:pPr>
        <w:pStyle w:val="FootnoteText"/>
      </w:pPr>
      <w:r>
        <w:rPr>
          <w:rStyle w:val="FootnoteReference"/>
        </w:rPr>
        <w:footnoteRef/>
      </w:r>
      <w:r>
        <w:rPr>
          <w:rtl/>
        </w:rPr>
        <w:t xml:space="preserve"> </w:t>
      </w:r>
      <w:r>
        <w:t xml:space="preserve">20/20 </w:t>
      </w:r>
      <w:r w:rsidRPr="00D63CD7">
        <w:t>Foresight: Crafting Strategy in an Uncertain World, Hugh Courtney</w:t>
      </w:r>
    </w:p>
  </w:footnote>
  <w:footnote w:id="3434">
    <w:p w14:paraId="6AE92790" w14:textId="77777777" w:rsidR="00B47FF5" w:rsidRDefault="00B47FF5" w:rsidP="0037616D">
      <w:pPr>
        <w:pStyle w:val="FootnoteText"/>
      </w:pPr>
      <w:r>
        <w:rPr>
          <w:rStyle w:val="FootnoteReference"/>
        </w:rPr>
        <w:footnoteRef/>
      </w:r>
      <w:r>
        <w:rPr>
          <w:rtl/>
        </w:rPr>
        <w:t xml:space="preserve"> </w:t>
      </w:r>
      <w:r w:rsidRPr="00D63CD7">
        <w:t>A Field Guide to Lies (and Statistics), Daniel Levitin</w:t>
      </w:r>
    </w:p>
  </w:footnote>
  <w:footnote w:id="3435">
    <w:p w14:paraId="0D9FBEFE" w14:textId="77777777" w:rsidR="00B47FF5" w:rsidRDefault="00B47FF5" w:rsidP="0037616D">
      <w:pPr>
        <w:pStyle w:val="FootnoteText"/>
      </w:pPr>
      <w:r>
        <w:rPr>
          <w:rStyle w:val="FootnoteReference"/>
        </w:rPr>
        <w:footnoteRef/>
      </w:r>
      <w:r>
        <w:rPr>
          <w:rtl/>
        </w:rPr>
        <w:t xml:space="preserve"> </w:t>
      </w:r>
      <w:r w:rsidRPr="00D63CD7">
        <w:t>Against the Gods: The Remarkable Story of Risk, Peter Bernstein</w:t>
      </w:r>
    </w:p>
  </w:footnote>
  <w:footnote w:id="3436">
    <w:p w14:paraId="446EDD88" w14:textId="77777777" w:rsidR="00B47FF5" w:rsidRDefault="00B47FF5" w:rsidP="0037616D">
      <w:pPr>
        <w:pStyle w:val="FootnoteText"/>
      </w:pPr>
      <w:r>
        <w:rPr>
          <w:rStyle w:val="FootnoteReference"/>
        </w:rPr>
        <w:footnoteRef/>
      </w:r>
      <w:r>
        <w:rPr>
          <w:rtl/>
        </w:rPr>
        <w:t xml:space="preserve"> </w:t>
      </w:r>
      <w:r w:rsidRPr="00D63CD7">
        <w:t>Best Laid Plans: Tyranny of Unintended Consequences, William Sherden</w:t>
      </w:r>
    </w:p>
  </w:footnote>
  <w:footnote w:id="3437">
    <w:p w14:paraId="6C357A47" w14:textId="77777777" w:rsidR="00B47FF5" w:rsidRDefault="00B47FF5" w:rsidP="0037616D">
      <w:pPr>
        <w:pStyle w:val="FootnoteText"/>
      </w:pPr>
      <w:r>
        <w:rPr>
          <w:rStyle w:val="FootnoteReference"/>
        </w:rPr>
        <w:footnoteRef/>
      </w:r>
      <w:r>
        <w:rPr>
          <w:rtl/>
        </w:rPr>
        <w:t xml:space="preserve"> </w:t>
      </w:r>
      <w:r w:rsidRPr="00D63CD7">
        <w:t>Billion Dollar Lessons: Learn from Biz Failures of Last 25 Years, Paul Carroll</w:t>
      </w:r>
    </w:p>
  </w:footnote>
  <w:footnote w:id="3438">
    <w:p w14:paraId="5AA0E7C2" w14:textId="77777777" w:rsidR="00B47FF5" w:rsidRDefault="00B47FF5" w:rsidP="0037616D">
      <w:pPr>
        <w:pStyle w:val="FootnoteText"/>
      </w:pPr>
      <w:r>
        <w:rPr>
          <w:rStyle w:val="FootnoteReference"/>
        </w:rPr>
        <w:footnoteRef/>
      </w:r>
      <w:r>
        <w:rPr>
          <w:rtl/>
        </w:rPr>
        <w:t xml:space="preserve"> </w:t>
      </w:r>
      <w:r w:rsidRPr="00D63CD7">
        <w:t>Blue Ocean Strategy, Kim and Mauborgne</w:t>
      </w:r>
    </w:p>
  </w:footnote>
  <w:footnote w:id="3439">
    <w:p w14:paraId="69E7E1F4" w14:textId="77777777" w:rsidR="00B47FF5" w:rsidRDefault="00B47FF5" w:rsidP="0037616D">
      <w:pPr>
        <w:pStyle w:val="FootnoteText"/>
      </w:pPr>
      <w:r>
        <w:rPr>
          <w:rStyle w:val="FootnoteReference"/>
        </w:rPr>
        <w:footnoteRef/>
      </w:r>
      <w:r>
        <w:rPr>
          <w:rtl/>
        </w:rPr>
        <w:t xml:space="preserve"> </w:t>
      </w:r>
      <w:r w:rsidRPr="00D63CD7">
        <w:t>Collaborative Intelligence: Thinking w/ People Who Think Diﬀ., Markova &amp; McArthur</w:t>
      </w:r>
    </w:p>
  </w:footnote>
  <w:footnote w:id="3440">
    <w:p w14:paraId="7FD43DBB" w14:textId="77777777" w:rsidR="00B47FF5" w:rsidRDefault="00B47FF5" w:rsidP="0037616D">
      <w:pPr>
        <w:pStyle w:val="FootnoteText"/>
      </w:pPr>
      <w:r>
        <w:rPr>
          <w:rStyle w:val="FootnoteReference"/>
        </w:rPr>
        <w:footnoteRef/>
      </w:r>
      <w:r>
        <w:rPr>
          <w:rtl/>
        </w:rPr>
        <w:t xml:space="preserve"> </w:t>
      </w:r>
      <w:r w:rsidRPr="00D63CD7">
        <w:t>Competing for the Future, Hamel and Prahalad</w:t>
      </w:r>
    </w:p>
  </w:footnote>
  <w:footnote w:id="3441">
    <w:p w14:paraId="0C5124F3" w14:textId="77777777" w:rsidR="00B47FF5" w:rsidRDefault="00B47FF5" w:rsidP="0037616D">
      <w:pPr>
        <w:pStyle w:val="FootnoteText"/>
      </w:pPr>
      <w:r>
        <w:rPr>
          <w:rStyle w:val="FootnoteReference"/>
        </w:rPr>
        <w:footnoteRef/>
      </w:r>
      <w:r>
        <w:rPr>
          <w:rtl/>
        </w:rPr>
        <w:t xml:space="preserve"> </w:t>
      </w:r>
      <w:r w:rsidRPr="00C22255">
        <w:t>Constructive Conﬂicts: From Escalation to Resolution, 5th Ed., Kriesberg and Dayton</w:t>
      </w:r>
    </w:p>
  </w:footnote>
  <w:footnote w:id="3442">
    <w:p w14:paraId="2003350D" w14:textId="77777777" w:rsidR="00B47FF5" w:rsidRDefault="00B47FF5" w:rsidP="0037616D">
      <w:pPr>
        <w:pStyle w:val="FootnoteText"/>
      </w:pPr>
      <w:r>
        <w:rPr>
          <w:rStyle w:val="FootnoteReference"/>
        </w:rPr>
        <w:footnoteRef/>
      </w:r>
      <w:r>
        <w:rPr>
          <w:rtl/>
        </w:rPr>
        <w:t xml:space="preserve"> </w:t>
      </w:r>
      <w:r w:rsidRPr="00C22255">
        <w:t>Corporate Foresight: A Maturity Model for Future Orientation, Rene Rohrbeck</w:t>
      </w:r>
    </w:p>
  </w:footnote>
  <w:footnote w:id="3443">
    <w:p w14:paraId="36170519" w14:textId="77777777" w:rsidR="00B47FF5" w:rsidRDefault="00B47FF5" w:rsidP="0037616D">
      <w:pPr>
        <w:pStyle w:val="FootnoteText"/>
      </w:pPr>
      <w:r>
        <w:rPr>
          <w:rStyle w:val="FootnoteReference"/>
        </w:rPr>
        <w:footnoteRef/>
      </w:r>
      <w:r>
        <w:rPr>
          <w:rtl/>
        </w:rPr>
        <w:t xml:space="preserve"> </w:t>
      </w:r>
      <w:r w:rsidRPr="00C22255">
        <w:t>Cultures and Organizations: Software of the Mind, 3rd Ed, Geert Hofstede et al</w:t>
      </w:r>
      <w:r w:rsidRPr="00C22255">
        <w:rPr>
          <w:rtl/>
        </w:rPr>
        <w:t>.</w:t>
      </w:r>
    </w:p>
  </w:footnote>
  <w:footnote w:id="3444">
    <w:p w14:paraId="2C2B4D9A" w14:textId="77777777" w:rsidR="00B47FF5" w:rsidRDefault="00B47FF5" w:rsidP="0037616D">
      <w:pPr>
        <w:pStyle w:val="FootnoteText"/>
      </w:pPr>
      <w:r>
        <w:rPr>
          <w:rStyle w:val="FootnoteReference"/>
        </w:rPr>
        <w:footnoteRef/>
      </w:r>
      <w:r>
        <w:rPr>
          <w:rtl/>
        </w:rPr>
        <w:t xml:space="preserve"> </w:t>
      </w:r>
      <w:r w:rsidRPr="00C22255">
        <w:t>Cycles: The Science of Prediction, Dewey and Dakin</w:t>
      </w:r>
    </w:p>
  </w:footnote>
  <w:footnote w:id="3445">
    <w:p w14:paraId="144CC54B" w14:textId="77777777" w:rsidR="00B47FF5" w:rsidRDefault="00B47FF5" w:rsidP="0037616D">
      <w:pPr>
        <w:pStyle w:val="FootnoteText"/>
      </w:pPr>
      <w:r>
        <w:rPr>
          <w:rStyle w:val="FootnoteReference"/>
        </w:rPr>
        <w:footnoteRef/>
      </w:r>
      <w:r>
        <w:rPr>
          <w:rtl/>
        </w:rPr>
        <w:t xml:space="preserve"> </w:t>
      </w:r>
      <w:r w:rsidRPr="00C22255">
        <w:t>Cyneﬁn: Sense-Making in a Complex World, David Snowden</w:t>
      </w:r>
    </w:p>
  </w:footnote>
  <w:footnote w:id="3446">
    <w:p w14:paraId="60399880" w14:textId="77777777" w:rsidR="00B47FF5" w:rsidRDefault="00B47FF5" w:rsidP="0037616D">
      <w:pPr>
        <w:pStyle w:val="FootnoteText"/>
      </w:pPr>
      <w:r>
        <w:rPr>
          <w:rStyle w:val="FootnoteReference"/>
        </w:rPr>
        <w:footnoteRef/>
      </w:r>
      <w:r>
        <w:rPr>
          <w:rtl/>
        </w:rPr>
        <w:t xml:space="preserve"> </w:t>
      </w:r>
      <w:r w:rsidRPr="00C22255">
        <w:t>Data Points: Visualization that Means Something, Nathan Yau</w:t>
      </w:r>
    </w:p>
  </w:footnote>
  <w:footnote w:id="3447">
    <w:p w14:paraId="1C9C4091" w14:textId="77777777" w:rsidR="00B47FF5" w:rsidRDefault="00B47FF5" w:rsidP="0037616D">
      <w:pPr>
        <w:pStyle w:val="FootnoteText"/>
      </w:pPr>
      <w:r>
        <w:rPr>
          <w:rStyle w:val="FootnoteReference"/>
        </w:rPr>
        <w:footnoteRef/>
      </w:r>
      <w:r>
        <w:rPr>
          <w:rtl/>
        </w:rPr>
        <w:t xml:space="preserve"> </w:t>
      </w:r>
      <w:r w:rsidRPr="00C22255">
        <w:t>Design for How People Think, John Whalen</w:t>
      </w:r>
    </w:p>
  </w:footnote>
  <w:footnote w:id="3448">
    <w:p w14:paraId="3165BAE4" w14:textId="77777777" w:rsidR="00B47FF5" w:rsidRDefault="00B47FF5" w:rsidP="0037616D">
      <w:pPr>
        <w:pStyle w:val="FootnoteText"/>
      </w:pPr>
      <w:r>
        <w:rPr>
          <w:rStyle w:val="FootnoteReference"/>
        </w:rPr>
        <w:footnoteRef/>
      </w:r>
      <w:r>
        <w:rPr>
          <w:rtl/>
        </w:rPr>
        <w:t xml:space="preserve"> </w:t>
      </w:r>
      <w:r w:rsidRPr="00C22255">
        <w:t>Diﬀusion of Innovations, 5th Edition, Everett Rogers</w:t>
      </w:r>
    </w:p>
  </w:footnote>
  <w:footnote w:id="3449">
    <w:p w14:paraId="26BF89DB" w14:textId="77777777" w:rsidR="00B47FF5" w:rsidRDefault="00B47FF5" w:rsidP="0037616D">
      <w:pPr>
        <w:pStyle w:val="FootnoteText"/>
      </w:pPr>
      <w:r>
        <w:rPr>
          <w:rStyle w:val="FootnoteReference"/>
        </w:rPr>
        <w:footnoteRef/>
      </w:r>
      <w:r>
        <w:rPr>
          <w:rtl/>
        </w:rPr>
        <w:t xml:space="preserve"> </w:t>
      </w:r>
      <w:r w:rsidRPr="00C22255">
        <w:t>Edge Strategy, Lewis and McKone</w:t>
      </w:r>
    </w:p>
  </w:footnote>
  <w:footnote w:id="3450">
    <w:p w14:paraId="1D1865E9" w14:textId="77777777" w:rsidR="00B47FF5" w:rsidRDefault="00B47FF5" w:rsidP="0037616D">
      <w:pPr>
        <w:pStyle w:val="FootnoteText"/>
      </w:pPr>
      <w:r>
        <w:rPr>
          <w:rStyle w:val="FootnoteReference"/>
        </w:rPr>
        <w:footnoteRef/>
      </w:r>
      <w:r>
        <w:rPr>
          <w:rtl/>
        </w:rPr>
        <w:t xml:space="preserve"> </w:t>
      </w:r>
      <w:r w:rsidRPr="00C22255">
        <w:t>Expert Political Judgment: How Good Is It? How Can We Know?, Philip Tetlock</w:t>
      </w:r>
    </w:p>
  </w:footnote>
  <w:footnote w:id="3451">
    <w:p w14:paraId="4C0A5CD5" w14:textId="21B44F76" w:rsidR="00B47FF5" w:rsidRDefault="00B47FF5" w:rsidP="0037616D">
      <w:pPr>
        <w:pStyle w:val="FootnoteText"/>
      </w:pPr>
      <w:r>
        <w:rPr>
          <w:rStyle w:val="FootnoteReference"/>
        </w:rPr>
        <w:footnoteRef/>
      </w:r>
      <w:r>
        <w:rPr>
          <w:rtl/>
        </w:rPr>
        <w:t xml:space="preserve"> </w:t>
      </w:r>
      <w:r w:rsidRPr="00C22255">
        <w:t>European Foresight Monit. Network – Final Report, PDF., Maurits Butter et al</w:t>
      </w:r>
      <w:r>
        <w:t>.</w:t>
      </w:r>
    </w:p>
  </w:footnote>
  <w:footnote w:id="3452">
    <w:p w14:paraId="44983244" w14:textId="115C9ED4" w:rsidR="00B47FF5" w:rsidRDefault="00B47FF5" w:rsidP="0037616D">
      <w:pPr>
        <w:pStyle w:val="FootnoteText"/>
      </w:pPr>
      <w:r>
        <w:rPr>
          <w:rStyle w:val="FootnoteReference"/>
        </w:rPr>
        <w:footnoteRef/>
      </w:r>
      <w:r>
        <w:rPr>
          <w:rtl/>
        </w:rPr>
        <w:t xml:space="preserve"> </w:t>
      </w:r>
      <w:r w:rsidRPr="00C22255">
        <w:t>F.I.R.E.:</w:t>
      </w:r>
      <w:r>
        <w:t xml:space="preserve"> </w:t>
      </w:r>
      <w:r w:rsidRPr="00C22255">
        <w:t>Fast,</w:t>
      </w:r>
      <w:r>
        <w:t xml:space="preserve"> </w:t>
      </w:r>
      <w:r w:rsidRPr="00C22255">
        <w:t>Inexpnsv,</w:t>
      </w:r>
      <w:r>
        <w:t xml:space="preserve"> </w:t>
      </w:r>
      <w:r w:rsidRPr="00C22255">
        <w:t>Restrained,</w:t>
      </w:r>
      <w:r>
        <w:t xml:space="preserve"> </w:t>
      </w:r>
      <w:r w:rsidRPr="00C22255">
        <w:t>&amp;</w:t>
      </w:r>
      <w:r>
        <w:t xml:space="preserve"> </w:t>
      </w:r>
      <w:r w:rsidRPr="00C22255">
        <w:t>Elegant</w:t>
      </w:r>
      <w:r>
        <w:t xml:space="preserve"> </w:t>
      </w:r>
      <w:r w:rsidRPr="00C22255">
        <w:t>Design</w:t>
      </w:r>
      <w:r>
        <w:t xml:space="preserve"> </w:t>
      </w:r>
      <w:r w:rsidRPr="00C22255">
        <w:t>for Innovation, Dan Ward</w:t>
      </w:r>
    </w:p>
  </w:footnote>
  <w:footnote w:id="3453">
    <w:p w14:paraId="1DCD4135" w14:textId="77777777" w:rsidR="00B47FF5" w:rsidRDefault="00B47FF5" w:rsidP="0037616D">
      <w:pPr>
        <w:pStyle w:val="FootnoteText"/>
      </w:pPr>
      <w:r>
        <w:rPr>
          <w:rStyle w:val="FootnoteReference"/>
        </w:rPr>
        <w:footnoteRef/>
      </w:r>
      <w:r>
        <w:rPr>
          <w:rtl/>
        </w:rPr>
        <w:t xml:space="preserve"> </w:t>
      </w:r>
      <w:r w:rsidRPr="00C22255">
        <w:t>Factors for Successful Futures Research in Decision Making, Glenn and Gordon</w:t>
      </w:r>
    </w:p>
  </w:footnote>
  <w:footnote w:id="3454">
    <w:p w14:paraId="664B544F" w14:textId="77777777" w:rsidR="00B47FF5" w:rsidRDefault="00B47FF5" w:rsidP="0037616D">
      <w:pPr>
        <w:pStyle w:val="FootnoteText"/>
      </w:pPr>
      <w:r>
        <w:rPr>
          <w:rStyle w:val="FootnoteReference"/>
        </w:rPr>
        <w:footnoteRef/>
      </w:r>
      <w:r>
        <w:rPr>
          <w:rtl/>
        </w:rPr>
        <w:t xml:space="preserve"> </w:t>
      </w:r>
      <w:r w:rsidRPr="00C22255">
        <w:t>Flash Foresight, Daniel Burrus</w:t>
      </w:r>
    </w:p>
  </w:footnote>
  <w:footnote w:id="3455">
    <w:p w14:paraId="72EE5488" w14:textId="77777777" w:rsidR="00B47FF5" w:rsidRDefault="00B47FF5" w:rsidP="0037616D">
      <w:pPr>
        <w:pStyle w:val="FootnoteText"/>
      </w:pPr>
      <w:r>
        <w:rPr>
          <w:rStyle w:val="FootnoteReference"/>
        </w:rPr>
        <w:footnoteRef/>
      </w:r>
      <w:r>
        <w:rPr>
          <w:rtl/>
        </w:rPr>
        <w:t xml:space="preserve"> </w:t>
      </w:r>
      <w:r w:rsidRPr="00C22255">
        <w:t>Fooled by Randomness: The Role of Chance in Life &amp; Markets, Nicholas Taleb</w:t>
      </w:r>
    </w:p>
  </w:footnote>
  <w:footnote w:id="3456">
    <w:p w14:paraId="3C2DCC95" w14:textId="77777777" w:rsidR="00B47FF5" w:rsidRDefault="00B47FF5" w:rsidP="0037616D">
      <w:pPr>
        <w:pStyle w:val="FootnoteText"/>
      </w:pPr>
      <w:r>
        <w:rPr>
          <w:rStyle w:val="FootnoteReference"/>
        </w:rPr>
        <w:footnoteRef/>
      </w:r>
      <w:r>
        <w:rPr>
          <w:rtl/>
        </w:rPr>
        <w:t xml:space="preserve"> </w:t>
      </w:r>
      <w:r w:rsidRPr="00C22255">
        <w:t>FYI: For Your Improvement—A Leadership Dev. Guide, 6th Ed., Korn Ferry</w:t>
      </w:r>
    </w:p>
  </w:footnote>
  <w:footnote w:id="3457">
    <w:p w14:paraId="440E4E9D" w14:textId="0FF3C10D" w:rsidR="00B47FF5" w:rsidRDefault="00B47FF5" w:rsidP="0037616D">
      <w:pPr>
        <w:pStyle w:val="FootnoteText"/>
      </w:pPr>
      <w:r>
        <w:rPr>
          <w:rStyle w:val="FootnoteReference"/>
        </w:rPr>
        <w:footnoteRef/>
      </w:r>
      <w:r>
        <w:rPr>
          <w:rtl/>
        </w:rPr>
        <w:t xml:space="preserve"> </w:t>
      </w:r>
      <w:r w:rsidRPr="00C22255">
        <w:t>Forecasting:</w:t>
      </w:r>
      <w:r>
        <w:t xml:space="preserve"> </w:t>
      </w:r>
      <w:r w:rsidRPr="00C22255">
        <w:t>An</w:t>
      </w:r>
      <w:r>
        <w:t xml:space="preserve"> </w:t>
      </w:r>
      <w:r w:rsidRPr="00C22255">
        <w:t>Appraisal</w:t>
      </w:r>
      <w:r>
        <w:t xml:space="preserve"> </w:t>
      </w:r>
      <w:r w:rsidRPr="00C22255">
        <w:t>for</w:t>
      </w:r>
      <w:r>
        <w:t xml:space="preserve"> </w:t>
      </w:r>
      <w:r w:rsidRPr="00C22255">
        <w:t>Policy-Makers</w:t>
      </w:r>
      <w:r>
        <w:t xml:space="preserve"> </w:t>
      </w:r>
      <w:r w:rsidRPr="00C22255">
        <w:t>and</w:t>
      </w:r>
      <w:r>
        <w:t xml:space="preserve"> </w:t>
      </w:r>
      <w:r w:rsidRPr="00C22255">
        <w:t>Planners, William Ascher</w:t>
      </w:r>
    </w:p>
  </w:footnote>
  <w:footnote w:id="3458">
    <w:p w14:paraId="73EAB8BF" w14:textId="6EBA1E7A" w:rsidR="00B47FF5" w:rsidRDefault="00B47FF5" w:rsidP="0037616D">
      <w:pPr>
        <w:pStyle w:val="FootnoteText"/>
      </w:pPr>
      <w:r>
        <w:rPr>
          <w:rStyle w:val="FootnoteReference"/>
        </w:rPr>
        <w:footnoteRef/>
      </w:r>
      <w:r>
        <w:rPr>
          <w:rtl/>
        </w:rPr>
        <w:t xml:space="preserve"> </w:t>
      </w:r>
      <w:r w:rsidRPr="00C22255">
        <w:t>Forecasting and Management of Technology, 2nd Ed., Alan Porter et al</w:t>
      </w:r>
      <w:r>
        <w:t>.</w:t>
      </w:r>
    </w:p>
  </w:footnote>
  <w:footnote w:id="3459">
    <w:p w14:paraId="0EBE5DD1" w14:textId="77777777" w:rsidR="00B47FF5" w:rsidRDefault="00B47FF5" w:rsidP="0037616D">
      <w:pPr>
        <w:pStyle w:val="FootnoteText"/>
      </w:pPr>
      <w:r>
        <w:rPr>
          <w:rStyle w:val="FootnoteReference"/>
        </w:rPr>
        <w:footnoteRef/>
      </w:r>
      <w:r>
        <w:rPr>
          <w:rtl/>
        </w:rPr>
        <w:t xml:space="preserve"> </w:t>
      </w:r>
      <w:r w:rsidRPr="00C22255">
        <w:t>Foresight and Innovation: How Co’s are Coping with the Future, Elina Hiltunen</w:t>
      </w:r>
    </w:p>
  </w:footnote>
  <w:footnote w:id="3460">
    <w:p w14:paraId="3821DA17" w14:textId="77777777" w:rsidR="00B47FF5" w:rsidRDefault="00B47FF5" w:rsidP="0037616D">
      <w:pPr>
        <w:pStyle w:val="FootnoteText"/>
      </w:pPr>
      <w:r>
        <w:rPr>
          <w:rStyle w:val="FootnoteReference"/>
        </w:rPr>
        <w:footnoteRef/>
      </w:r>
      <w:r>
        <w:rPr>
          <w:rtl/>
        </w:rPr>
        <w:t xml:space="preserve"> </w:t>
      </w:r>
      <w:r w:rsidRPr="00457F5F">
        <w:t>Foresight and Strategy in the Asia Paciﬁc Region, van der Laan and Yap</w:t>
      </w:r>
    </w:p>
  </w:footnote>
  <w:footnote w:id="3461">
    <w:p w14:paraId="05B882EB" w14:textId="77777777" w:rsidR="00B47FF5" w:rsidRDefault="00B47FF5" w:rsidP="0037616D">
      <w:pPr>
        <w:pStyle w:val="FootnoteText"/>
      </w:pPr>
      <w:r>
        <w:rPr>
          <w:rStyle w:val="FootnoteReference"/>
        </w:rPr>
        <w:footnoteRef/>
      </w:r>
      <w:r>
        <w:rPr>
          <w:rtl/>
        </w:rPr>
        <w:t xml:space="preserve"> </w:t>
      </w:r>
      <w:r w:rsidRPr="00457F5F">
        <w:t>Foundations of Futures Studies, Vols 1-2, Wendell Bell</w:t>
      </w:r>
    </w:p>
  </w:footnote>
  <w:footnote w:id="3462">
    <w:p w14:paraId="12832DB1" w14:textId="77777777" w:rsidR="00B47FF5" w:rsidRDefault="00B47FF5" w:rsidP="0037616D">
      <w:pPr>
        <w:pStyle w:val="FootnoteText"/>
      </w:pPr>
      <w:r>
        <w:rPr>
          <w:rStyle w:val="FootnoteReference"/>
        </w:rPr>
        <w:footnoteRef/>
      </w:r>
      <w:r>
        <w:rPr>
          <w:rtl/>
        </w:rPr>
        <w:t xml:space="preserve"> </w:t>
      </w:r>
      <w:r w:rsidRPr="00457F5F">
        <w:t>Free: How Businesses Proﬁt By Giving Some Things Away, Chris Anderson</w:t>
      </w:r>
    </w:p>
  </w:footnote>
  <w:footnote w:id="3463">
    <w:p w14:paraId="4D7C9B3E" w14:textId="77777777" w:rsidR="00B47FF5" w:rsidRDefault="00B47FF5" w:rsidP="0037616D">
      <w:pPr>
        <w:pStyle w:val="FootnoteText"/>
      </w:pPr>
      <w:r>
        <w:rPr>
          <w:rStyle w:val="FootnoteReference"/>
        </w:rPr>
        <w:footnoteRef/>
      </w:r>
      <w:r>
        <w:rPr>
          <w:rtl/>
        </w:rPr>
        <w:t xml:space="preserve"> </w:t>
      </w:r>
      <w:r w:rsidRPr="00457F5F">
        <w:t>Future Ready: How to Master Business Forecasting, Morlidge and Player</w:t>
      </w:r>
    </w:p>
  </w:footnote>
  <w:footnote w:id="3464">
    <w:p w14:paraId="405C7F5A" w14:textId="77777777" w:rsidR="00B47FF5" w:rsidRDefault="00B47FF5" w:rsidP="0037616D">
      <w:pPr>
        <w:pStyle w:val="FootnoteText"/>
      </w:pPr>
      <w:r>
        <w:rPr>
          <w:rStyle w:val="FootnoteReference"/>
        </w:rPr>
        <w:footnoteRef/>
      </w:r>
      <w:r>
        <w:rPr>
          <w:rtl/>
        </w:rPr>
        <w:t xml:space="preserve"> </w:t>
      </w:r>
      <w:r w:rsidRPr="00457F5F">
        <w:t>Future Savvy: Quality in Foresight, Adam Gordon</w:t>
      </w:r>
    </w:p>
  </w:footnote>
  <w:footnote w:id="3465">
    <w:p w14:paraId="378E73C4" w14:textId="70CC6E19" w:rsidR="00B47FF5" w:rsidRDefault="00B47FF5" w:rsidP="0037616D">
      <w:pPr>
        <w:pStyle w:val="FootnoteText"/>
      </w:pPr>
      <w:r>
        <w:rPr>
          <w:rStyle w:val="FootnoteReference"/>
        </w:rPr>
        <w:footnoteRef/>
      </w:r>
      <w:r>
        <w:rPr>
          <w:rtl/>
        </w:rPr>
        <w:t xml:space="preserve"> </w:t>
      </w:r>
      <w:r w:rsidRPr="00457F5F">
        <w:t>Futures</w:t>
      </w:r>
      <w:r w:rsidRPr="00457F5F">
        <w:rPr>
          <w:rtl/>
        </w:rPr>
        <w:tab/>
      </w:r>
      <w:r w:rsidRPr="00457F5F">
        <w:t>Research</w:t>
      </w:r>
      <w:r>
        <w:t xml:space="preserve"> </w:t>
      </w:r>
      <w:r w:rsidRPr="00457F5F">
        <w:t>and</w:t>
      </w:r>
      <w:r>
        <w:t xml:space="preserve"> </w:t>
      </w:r>
      <w:r w:rsidRPr="00457F5F">
        <w:t>the</w:t>
      </w:r>
      <w:r>
        <w:t xml:space="preserve"> </w:t>
      </w:r>
      <w:r w:rsidRPr="00457F5F">
        <w:t>Strategic</w:t>
      </w:r>
      <w:r>
        <w:t xml:space="preserve"> </w:t>
      </w:r>
      <w:r w:rsidRPr="00457F5F">
        <w:t>Planning Process,</w:t>
      </w:r>
      <w:r>
        <w:t xml:space="preserve"> </w:t>
      </w:r>
      <w:r w:rsidRPr="00457F5F">
        <w:t>James Morrison et al</w:t>
      </w:r>
      <w:r>
        <w:t>.</w:t>
      </w:r>
    </w:p>
  </w:footnote>
  <w:footnote w:id="3466">
    <w:p w14:paraId="6EFBF866" w14:textId="77777777" w:rsidR="00B47FF5" w:rsidRDefault="00B47FF5" w:rsidP="0037616D">
      <w:pPr>
        <w:pStyle w:val="FootnoteText"/>
      </w:pPr>
      <w:r>
        <w:rPr>
          <w:rStyle w:val="FootnoteReference"/>
        </w:rPr>
        <w:footnoteRef/>
      </w:r>
      <w:r>
        <w:rPr>
          <w:rtl/>
        </w:rPr>
        <w:t xml:space="preserve"> </w:t>
      </w:r>
      <w:r w:rsidRPr="00457F5F">
        <w:t>Futures Research Methodology 3.0, Jerry Glenn &amp; Ted Gordon, Millenn. Project</w:t>
      </w:r>
    </w:p>
  </w:footnote>
  <w:footnote w:id="3467">
    <w:p w14:paraId="537544DC" w14:textId="77777777" w:rsidR="00B47FF5" w:rsidRDefault="00B47FF5" w:rsidP="0037616D">
      <w:pPr>
        <w:pStyle w:val="FootnoteText"/>
      </w:pPr>
      <w:r>
        <w:rPr>
          <w:rStyle w:val="FootnoteReference"/>
        </w:rPr>
        <w:footnoteRef/>
      </w:r>
      <w:r>
        <w:rPr>
          <w:rtl/>
        </w:rPr>
        <w:t xml:space="preserve"> </w:t>
      </w:r>
      <w:r w:rsidRPr="00457F5F">
        <w:t>Groupthink: Psychological Studies of Policy Decisions and Fiascoes, Irving Janis</w:t>
      </w:r>
    </w:p>
  </w:footnote>
  <w:footnote w:id="3468">
    <w:p w14:paraId="54DF83A9" w14:textId="77777777" w:rsidR="00B47FF5" w:rsidRDefault="00B47FF5" w:rsidP="0037616D">
      <w:pPr>
        <w:pStyle w:val="FootnoteText"/>
      </w:pPr>
      <w:r>
        <w:rPr>
          <w:rStyle w:val="FootnoteReference"/>
        </w:rPr>
        <w:footnoteRef/>
      </w:r>
      <w:r>
        <w:rPr>
          <w:rtl/>
        </w:rPr>
        <w:t xml:space="preserve"> </w:t>
      </w:r>
      <w:r w:rsidRPr="00457F5F">
        <w:t>Handbook of Futures Research, Jib Fowles</w:t>
      </w:r>
    </w:p>
  </w:footnote>
  <w:footnote w:id="3469">
    <w:p w14:paraId="1DCADF23" w14:textId="77777777" w:rsidR="00B47FF5" w:rsidRDefault="00B47FF5" w:rsidP="0037616D">
      <w:pPr>
        <w:pStyle w:val="FootnoteText"/>
      </w:pPr>
      <w:r>
        <w:rPr>
          <w:rStyle w:val="FootnoteReference"/>
        </w:rPr>
        <w:footnoteRef/>
      </w:r>
      <w:r>
        <w:rPr>
          <w:rtl/>
        </w:rPr>
        <w:t xml:space="preserve"> </w:t>
      </w:r>
      <w:r w:rsidRPr="00457F5F">
        <w:t>Hindsight: The Promise and Peril of Looking Backward, Mark Freeman</w:t>
      </w:r>
    </w:p>
  </w:footnote>
  <w:footnote w:id="3470">
    <w:p w14:paraId="0ADEF50B" w14:textId="03075DFF" w:rsidR="00B47FF5" w:rsidRDefault="00B47FF5" w:rsidP="0037616D">
      <w:pPr>
        <w:pStyle w:val="FootnoteText"/>
      </w:pPr>
      <w:r>
        <w:rPr>
          <w:rStyle w:val="FootnoteReference"/>
        </w:rPr>
        <w:footnoteRef/>
      </w:r>
      <w:r>
        <w:rPr>
          <w:rtl/>
        </w:rPr>
        <w:t xml:space="preserve"> </w:t>
      </w:r>
      <w:r w:rsidRPr="00457F5F">
        <w:t>How:</w:t>
      </w:r>
      <w:r>
        <w:t xml:space="preserve"> </w:t>
      </w:r>
      <w:r w:rsidRPr="00457F5F">
        <w:t>Why</w:t>
      </w:r>
      <w:r>
        <w:t xml:space="preserve"> </w:t>
      </w:r>
      <w:r w:rsidRPr="00457F5F">
        <w:t>How</w:t>
      </w:r>
      <w:r w:rsidRPr="00457F5F">
        <w:rPr>
          <w:rtl/>
        </w:rPr>
        <w:tab/>
      </w:r>
      <w:r w:rsidRPr="00457F5F">
        <w:t>We</w:t>
      </w:r>
      <w:r>
        <w:t xml:space="preserve"> </w:t>
      </w:r>
      <w:r w:rsidRPr="00457F5F">
        <w:t>Do</w:t>
      </w:r>
      <w:r>
        <w:t xml:space="preserve"> </w:t>
      </w:r>
      <w:r w:rsidRPr="00457F5F">
        <w:t>Anything Means</w:t>
      </w:r>
      <w:r>
        <w:t xml:space="preserve"> </w:t>
      </w:r>
      <w:r w:rsidRPr="00457F5F">
        <w:t>Everything,</w:t>
      </w:r>
      <w:r>
        <w:t xml:space="preserve"> </w:t>
      </w:r>
      <w:r w:rsidRPr="00457F5F">
        <w:t>Dov Seidman</w:t>
      </w:r>
    </w:p>
  </w:footnote>
  <w:footnote w:id="3471">
    <w:p w14:paraId="266B6ABC" w14:textId="77777777" w:rsidR="00B47FF5" w:rsidRDefault="00B47FF5" w:rsidP="0037616D">
      <w:pPr>
        <w:pStyle w:val="FootnoteText"/>
      </w:pPr>
      <w:r>
        <w:rPr>
          <w:rStyle w:val="FootnoteReference"/>
        </w:rPr>
        <w:footnoteRef/>
      </w:r>
      <w:r>
        <w:rPr>
          <w:rtl/>
        </w:rPr>
        <w:t xml:space="preserve"> </w:t>
      </w:r>
      <w:r w:rsidRPr="00457F5F">
        <w:t>How to Lie with Statistics, Darell Huﬀ</w:t>
      </w:r>
    </w:p>
  </w:footnote>
  <w:footnote w:id="3472">
    <w:p w14:paraId="01EA6992" w14:textId="1284383B" w:rsidR="00B47FF5" w:rsidRDefault="00B47FF5" w:rsidP="0037616D">
      <w:pPr>
        <w:pStyle w:val="FootnoteText"/>
      </w:pPr>
      <w:r>
        <w:rPr>
          <w:rStyle w:val="FootnoteReference"/>
        </w:rPr>
        <w:footnoteRef/>
      </w:r>
      <w:r>
        <w:rPr>
          <w:rtl/>
        </w:rPr>
        <w:t xml:space="preserve"> </w:t>
      </w:r>
      <w:r w:rsidRPr="00457F5F">
        <w:t>How</w:t>
      </w:r>
      <w:r>
        <w:t xml:space="preserve"> </w:t>
      </w:r>
      <w:r w:rsidRPr="00457F5F">
        <w:t>to</w:t>
      </w:r>
      <w:r>
        <w:t xml:space="preserve"> </w:t>
      </w:r>
      <w:r w:rsidRPr="00457F5F">
        <w:t>Measure</w:t>
      </w:r>
      <w:r>
        <w:t xml:space="preserve"> </w:t>
      </w:r>
      <w:r w:rsidRPr="00457F5F">
        <w:t>Anything:</w:t>
      </w:r>
      <w:r>
        <w:t xml:space="preserve"> </w:t>
      </w:r>
      <w:r w:rsidRPr="00457F5F">
        <w:t>Valuing Intangibles</w:t>
      </w:r>
      <w:r>
        <w:t xml:space="preserve"> </w:t>
      </w:r>
      <w:r w:rsidRPr="00457F5F">
        <w:t>in</w:t>
      </w:r>
      <w:r>
        <w:t xml:space="preserve"> </w:t>
      </w:r>
      <w:r w:rsidRPr="00457F5F">
        <w:t>Business, Douglas Hubbard</w:t>
      </w:r>
    </w:p>
  </w:footnote>
  <w:footnote w:id="3473">
    <w:p w14:paraId="18E0AD28" w14:textId="77777777" w:rsidR="00B47FF5" w:rsidRDefault="00B47FF5" w:rsidP="0037616D">
      <w:pPr>
        <w:pStyle w:val="FootnoteText"/>
      </w:pPr>
      <w:r>
        <w:rPr>
          <w:rStyle w:val="FootnoteReference"/>
        </w:rPr>
        <w:footnoteRef/>
      </w:r>
      <w:r>
        <w:rPr>
          <w:rtl/>
        </w:rPr>
        <w:t xml:space="preserve"> </w:t>
      </w:r>
      <w:r w:rsidRPr="00D87DE9">
        <w:t>Innovation Judo: Disarming Roadblocks on the Path to Creativity, Neal Thornberry</w:t>
      </w:r>
    </w:p>
  </w:footnote>
  <w:footnote w:id="3474">
    <w:p w14:paraId="7E5F83F6" w14:textId="0CA19E8B" w:rsidR="00B47FF5" w:rsidRDefault="00B47FF5" w:rsidP="0037616D">
      <w:pPr>
        <w:pStyle w:val="FootnoteText"/>
      </w:pPr>
      <w:r>
        <w:rPr>
          <w:rStyle w:val="FootnoteReference"/>
        </w:rPr>
        <w:footnoteRef/>
      </w:r>
      <w:r>
        <w:rPr>
          <w:rtl/>
        </w:rPr>
        <w:t xml:space="preserve"> </w:t>
      </w:r>
      <w:r w:rsidRPr="00D87DE9">
        <w:t>Innovation</w:t>
      </w:r>
      <w:r>
        <w:t xml:space="preserve"> </w:t>
      </w:r>
      <w:r w:rsidRPr="00D87DE9">
        <w:t>Tournaments:</w:t>
      </w:r>
      <w:r>
        <w:t xml:space="preserve"> </w:t>
      </w:r>
      <w:r w:rsidRPr="00D87DE9">
        <w:t>Finding</w:t>
      </w:r>
      <w:r>
        <w:t xml:space="preserve"> </w:t>
      </w:r>
      <w:r w:rsidRPr="00D87DE9">
        <w:t>Exceptional</w:t>
      </w:r>
      <w:r>
        <w:t xml:space="preserve"> </w:t>
      </w:r>
      <w:r w:rsidRPr="00D87DE9">
        <w:t>Opportunities, Terwiesch &amp; Ulrich</w:t>
      </w:r>
    </w:p>
  </w:footnote>
  <w:footnote w:id="3475">
    <w:p w14:paraId="3156808F" w14:textId="77777777" w:rsidR="00B47FF5" w:rsidRDefault="00B47FF5" w:rsidP="0037616D">
      <w:pPr>
        <w:pStyle w:val="FootnoteText"/>
      </w:pPr>
      <w:r>
        <w:rPr>
          <w:rStyle w:val="FootnoteReference"/>
        </w:rPr>
        <w:footnoteRef/>
      </w:r>
      <w:r>
        <w:rPr>
          <w:rtl/>
        </w:rPr>
        <w:t xml:space="preserve"> </w:t>
      </w:r>
      <w:r w:rsidRPr="00D87DE9">
        <w:t>Insight in Innovation: Managing Using the Laws of Innovation, Jan Verloop</w:t>
      </w:r>
    </w:p>
  </w:footnote>
  <w:footnote w:id="3476">
    <w:p w14:paraId="5E8EC218" w14:textId="77777777" w:rsidR="00B47FF5" w:rsidRDefault="00B47FF5" w:rsidP="0037616D">
      <w:pPr>
        <w:pStyle w:val="FootnoteText"/>
      </w:pPr>
      <w:r>
        <w:rPr>
          <w:rStyle w:val="FootnoteReference"/>
        </w:rPr>
        <w:footnoteRef/>
      </w:r>
      <w:r>
        <w:rPr>
          <w:rtl/>
        </w:rPr>
        <w:t xml:space="preserve"> </w:t>
      </w:r>
      <w:r w:rsidRPr="00D87DE9">
        <w:t>Keeping Abreast of Sci &amp; Tech: Technical Intelligence for Business, Ashton &amp; Klavans</w:t>
      </w:r>
    </w:p>
  </w:footnote>
  <w:footnote w:id="3477">
    <w:p w14:paraId="25B8EBE3" w14:textId="77777777" w:rsidR="00B47FF5" w:rsidRDefault="00B47FF5" w:rsidP="0037616D">
      <w:pPr>
        <w:pStyle w:val="FootnoteText"/>
      </w:pPr>
      <w:r>
        <w:rPr>
          <w:rStyle w:val="FootnoteReference"/>
        </w:rPr>
        <w:footnoteRef/>
      </w:r>
      <w:r>
        <w:rPr>
          <w:rtl/>
        </w:rPr>
        <w:t xml:space="preserve"> </w:t>
      </w:r>
      <w:r w:rsidRPr="00D87DE9">
        <w:t>Leading Change, John Kotter</w:t>
      </w:r>
    </w:p>
  </w:footnote>
  <w:footnote w:id="3478">
    <w:p w14:paraId="423E1CC9" w14:textId="77777777" w:rsidR="00B47FF5" w:rsidRDefault="00B47FF5" w:rsidP="0037616D">
      <w:pPr>
        <w:pStyle w:val="FootnoteText"/>
      </w:pPr>
      <w:r>
        <w:rPr>
          <w:rStyle w:val="FootnoteReference"/>
        </w:rPr>
        <w:footnoteRef/>
      </w:r>
      <w:r>
        <w:rPr>
          <w:rtl/>
        </w:rPr>
        <w:t xml:space="preserve"> </w:t>
      </w:r>
      <w:r w:rsidRPr="00D87DE9">
        <w:t>Learning from the Future: Competitive Foresight Scenarios, Fahey &amp; Randall</w:t>
      </w:r>
    </w:p>
  </w:footnote>
  <w:footnote w:id="3479">
    <w:p w14:paraId="63E32322" w14:textId="77777777" w:rsidR="00B47FF5" w:rsidRDefault="00B47FF5" w:rsidP="0037616D">
      <w:pPr>
        <w:pStyle w:val="FootnoteText"/>
      </w:pPr>
      <w:r>
        <w:rPr>
          <w:rStyle w:val="FootnoteReference"/>
        </w:rPr>
        <w:footnoteRef/>
      </w:r>
      <w:r>
        <w:rPr>
          <w:rtl/>
        </w:rPr>
        <w:t xml:space="preserve"> </w:t>
      </w:r>
      <w:r w:rsidRPr="00D87DE9">
        <w:t>Learning from the Octopus: Use Nature to Fight Terror, Disaster, Disease, Sagarin</w:t>
      </w:r>
    </w:p>
  </w:footnote>
  <w:footnote w:id="3480">
    <w:p w14:paraId="1BC7C092" w14:textId="77777777" w:rsidR="00B47FF5" w:rsidRDefault="00B47FF5" w:rsidP="0037616D">
      <w:pPr>
        <w:pStyle w:val="FootnoteText"/>
      </w:pPr>
      <w:r>
        <w:rPr>
          <w:rStyle w:val="FootnoteReference"/>
        </w:rPr>
        <w:footnoteRef/>
      </w:r>
      <w:r>
        <w:rPr>
          <w:rtl/>
        </w:rPr>
        <w:t xml:space="preserve"> </w:t>
      </w:r>
      <w:r w:rsidRPr="00D87DE9">
        <w:t>Long-Range Forecasting, Scott Armstrong</w:t>
      </w:r>
    </w:p>
  </w:footnote>
  <w:footnote w:id="3481">
    <w:p w14:paraId="5933661F" w14:textId="77777777" w:rsidR="00B47FF5" w:rsidRDefault="00B47FF5" w:rsidP="0037616D">
      <w:pPr>
        <w:pStyle w:val="FootnoteText"/>
      </w:pPr>
      <w:r>
        <w:rPr>
          <w:rStyle w:val="FootnoteReference"/>
        </w:rPr>
        <w:footnoteRef/>
      </w:r>
      <w:r>
        <w:rPr>
          <w:rtl/>
        </w:rPr>
        <w:t xml:space="preserve"> </w:t>
      </w:r>
      <w:r w:rsidRPr="00D87DE9">
        <w:t>Long-Range Planning for Management, 3rd Ed., David Ewing</w:t>
      </w:r>
    </w:p>
  </w:footnote>
  <w:footnote w:id="3482">
    <w:p w14:paraId="23E19F3C" w14:textId="77777777" w:rsidR="00B47FF5" w:rsidRDefault="00B47FF5" w:rsidP="0037616D">
      <w:pPr>
        <w:pStyle w:val="FootnoteText"/>
      </w:pPr>
      <w:r>
        <w:rPr>
          <w:rStyle w:val="FootnoteReference"/>
        </w:rPr>
        <w:footnoteRef/>
      </w:r>
      <w:r>
        <w:rPr>
          <w:rtl/>
        </w:rPr>
        <w:t xml:space="preserve"> </w:t>
      </w:r>
      <w:r w:rsidRPr="00D87DE9">
        <w:t>Looking Forward: A Guide to Futures Research, Olaf Helmer</w:t>
      </w:r>
    </w:p>
  </w:footnote>
  <w:footnote w:id="3483">
    <w:p w14:paraId="21A690D3" w14:textId="77777777" w:rsidR="00B47FF5" w:rsidRDefault="00B47FF5" w:rsidP="0037616D">
      <w:pPr>
        <w:pStyle w:val="FootnoteText"/>
      </w:pPr>
      <w:r>
        <w:rPr>
          <w:rStyle w:val="FootnoteReference"/>
        </w:rPr>
        <w:footnoteRef/>
      </w:r>
      <w:r>
        <w:rPr>
          <w:rtl/>
        </w:rPr>
        <w:t xml:space="preserve"> </w:t>
      </w:r>
      <w:r w:rsidRPr="00D87DE9">
        <w:t>Management of Technological Change, Ernst Frankel</w:t>
      </w:r>
    </w:p>
  </w:footnote>
  <w:footnote w:id="3484">
    <w:p w14:paraId="0E0EA1D5" w14:textId="77777777" w:rsidR="00B47FF5" w:rsidRDefault="00B47FF5" w:rsidP="0037616D">
      <w:pPr>
        <w:pStyle w:val="FootnoteText"/>
      </w:pPr>
      <w:r>
        <w:rPr>
          <w:rStyle w:val="FootnoteReference"/>
        </w:rPr>
        <w:footnoteRef/>
      </w:r>
      <w:r>
        <w:rPr>
          <w:rtl/>
        </w:rPr>
        <w:t xml:space="preserve"> </w:t>
      </w:r>
      <w:r w:rsidRPr="00D87DE9">
        <w:t>Managing the Dynamics of Change, Jerry Jellison</w:t>
      </w:r>
    </w:p>
  </w:footnote>
  <w:footnote w:id="3485">
    <w:p w14:paraId="62631E2D" w14:textId="77777777" w:rsidR="00B47FF5" w:rsidRDefault="00B47FF5" w:rsidP="0037616D">
      <w:pPr>
        <w:pStyle w:val="FootnoteText"/>
      </w:pPr>
      <w:r>
        <w:rPr>
          <w:rStyle w:val="FootnoteReference"/>
        </w:rPr>
        <w:footnoteRef/>
      </w:r>
      <w:r>
        <w:rPr>
          <w:rtl/>
        </w:rPr>
        <w:t xml:space="preserve"> </w:t>
      </w:r>
      <w:r w:rsidRPr="00D87DE9">
        <w:t>Measure What Matters: How Google, Bono, &amp; Gates Fdn Use OKRs, John Doerr</w:t>
      </w:r>
    </w:p>
  </w:footnote>
  <w:footnote w:id="3486">
    <w:p w14:paraId="0F898E3A" w14:textId="77777777" w:rsidR="00B47FF5" w:rsidRDefault="00B47FF5" w:rsidP="0037616D">
      <w:pPr>
        <w:pStyle w:val="FootnoteText"/>
      </w:pPr>
      <w:r>
        <w:rPr>
          <w:rStyle w:val="FootnoteReference"/>
        </w:rPr>
        <w:footnoteRef/>
      </w:r>
      <w:r>
        <w:rPr>
          <w:rtl/>
        </w:rPr>
        <w:t xml:space="preserve"> </w:t>
      </w:r>
      <w:r w:rsidRPr="00623943">
        <w:t>Multiple Perspectives for Decisionmaking, Harold Linstone</w:t>
      </w:r>
    </w:p>
  </w:footnote>
  <w:footnote w:id="3487">
    <w:p w14:paraId="2B21ED6F" w14:textId="77777777" w:rsidR="00B47FF5" w:rsidRDefault="00B47FF5" w:rsidP="0037616D">
      <w:pPr>
        <w:pStyle w:val="FootnoteText"/>
      </w:pPr>
      <w:r>
        <w:rPr>
          <w:rStyle w:val="FootnoteReference"/>
        </w:rPr>
        <w:footnoteRef/>
      </w:r>
      <w:r>
        <w:rPr>
          <w:rtl/>
        </w:rPr>
        <w:t xml:space="preserve"> </w:t>
      </w:r>
      <w:r w:rsidRPr="00623943">
        <w:t>Naked Statistics: Stripping the Dread from the Data, Charles Wheelan</w:t>
      </w:r>
    </w:p>
  </w:footnote>
  <w:footnote w:id="3488">
    <w:p w14:paraId="4F9E952A" w14:textId="77777777" w:rsidR="00B47FF5" w:rsidRDefault="00B47FF5" w:rsidP="0037616D">
      <w:pPr>
        <w:pStyle w:val="FootnoteText"/>
      </w:pPr>
      <w:r>
        <w:rPr>
          <w:rStyle w:val="FootnoteReference"/>
        </w:rPr>
        <w:footnoteRef/>
      </w:r>
      <w:r>
        <w:rPr>
          <w:rtl/>
        </w:rPr>
        <w:t xml:space="preserve"> </w:t>
      </w:r>
      <w:r w:rsidRPr="00623943">
        <w:t>Natural Security: Darwinian Approach to a Dangerous World, Sagarin &amp; Taylor</w:t>
      </w:r>
    </w:p>
  </w:footnote>
  <w:footnote w:id="3489">
    <w:p w14:paraId="11CD3DEF" w14:textId="77777777" w:rsidR="00B47FF5" w:rsidRDefault="00B47FF5" w:rsidP="0037616D">
      <w:pPr>
        <w:pStyle w:val="FootnoteText"/>
      </w:pPr>
      <w:r>
        <w:rPr>
          <w:rStyle w:val="FootnoteReference"/>
        </w:rPr>
        <w:footnoteRef/>
      </w:r>
      <w:r>
        <w:rPr>
          <w:rtl/>
        </w:rPr>
        <w:t xml:space="preserve"> </w:t>
      </w:r>
      <w:r w:rsidRPr="00623943">
        <w:t>OpenIntro Statistics, 2nd Ed, David Diez</w:t>
      </w:r>
    </w:p>
  </w:footnote>
  <w:footnote w:id="3490">
    <w:p w14:paraId="326CF56C" w14:textId="455F097A" w:rsidR="00B47FF5" w:rsidRDefault="00B47FF5" w:rsidP="00D335B2">
      <w:pPr>
        <w:pStyle w:val="FootnoteText"/>
      </w:pPr>
      <w:r>
        <w:rPr>
          <w:rStyle w:val="FootnoteReference"/>
        </w:rPr>
        <w:footnoteRef/>
      </w:r>
      <w:r>
        <w:rPr>
          <w:rtl/>
        </w:rPr>
        <w:t xml:space="preserve"> </w:t>
      </w:r>
      <w:r>
        <w:t>Oracles: How Prediction Markets turn Employees into Visionaries, Don Thompson</w:t>
      </w:r>
    </w:p>
  </w:footnote>
  <w:footnote w:id="3491">
    <w:p w14:paraId="190FFBFD" w14:textId="77777777" w:rsidR="00B47FF5" w:rsidRDefault="00B47FF5" w:rsidP="0037616D">
      <w:pPr>
        <w:pStyle w:val="FootnoteText"/>
      </w:pPr>
      <w:r>
        <w:rPr>
          <w:rStyle w:val="FootnoteReference"/>
        </w:rPr>
        <w:footnoteRef/>
      </w:r>
      <w:r>
        <w:rPr>
          <w:rtl/>
        </w:rPr>
        <w:t xml:space="preserve"> </w:t>
      </w:r>
      <w:r w:rsidRPr="00623943">
        <w:t>Our Common Future (The Brundtland Report), Gro Brundtland</w:t>
      </w:r>
    </w:p>
  </w:footnote>
  <w:footnote w:id="3492">
    <w:p w14:paraId="1542E4E4" w14:textId="77777777" w:rsidR="00B47FF5" w:rsidRDefault="00B47FF5" w:rsidP="0037616D">
      <w:pPr>
        <w:pStyle w:val="FootnoteText"/>
      </w:pPr>
      <w:r>
        <w:rPr>
          <w:rStyle w:val="FootnoteReference"/>
        </w:rPr>
        <w:footnoteRef/>
      </w:r>
      <w:r>
        <w:rPr>
          <w:rtl/>
        </w:rPr>
        <w:t xml:space="preserve"> </w:t>
      </w:r>
      <w:r w:rsidRPr="00623943">
        <w:t>Peripheral Vision: Detect Weak Signals Critical to Your Co., Day &amp; Schoemaker</w:t>
      </w:r>
    </w:p>
  </w:footnote>
  <w:footnote w:id="3493">
    <w:p w14:paraId="4253B959" w14:textId="77777777" w:rsidR="00B47FF5" w:rsidRDefault="00B47FF5" w:rsidP="0037616D">
      <w:pPr>
        <w:pStyle w:val="FootnoteText"/>
      </w:pPr>
      <w:r>
        <w:rPr>
          <w:rStyle w:val="FootnoteReference"/>
        </w:rPr>
        <w:footnoteRef/>
      </w:r>
      <w:r>
        <w:rPr>
          <w:rtl/>
        </w:rPr>
        <w:t xml:space="preserve"> </w:t>
      </w:r>
      <w:r w:rsidRPr="00623943">
        <w:t>Predictions</w:t>
      </w:r>
    </w:p>
  </w:footnote>
  <w:footnote w:id="3494">
    <w:p w14:paraId="20FA5FDA" w14:textId="77777777" w:rsidR="00B47FF5" w:rsidRDefault="00B47FF5" w:rsidP="0037616D">
      <w:pPr>
        <w:pStyle w:val="FootnoteText"/>
      </w:pPr>
      <w:r>
        <w:rPr>
          <w:rStyle w:val="FootnoteReference"/>
        </w:rPr>
        <w:footnoteRef/>
      </w:r>
      <w:r>
        <w:rPr>
          <w:rtl/>
        </w:rPr>
        <w:t xml:space="preserve"> </w:t>
      </w:r>
      <w:r w:rsidRPr="00623943">
        <w:t>Predictions: Ten Years Later, Ted Modis</w:t>
      </w:r>
    </w:p>
  </w:footnote>
  <w:footnote w:id="3495">
    <w:p w14:paraId="403C03D7" w14:textId="77777777" w:rsidR="00B47FF5" w:rsidRDefault="00B47FF5" w:rsidP="0037616D">
      <w:pPr>
        <w:pStyle w:val="FootnoteText"/>
      </w:pPr>
      <w:r>
        <w:rPr>
          <w:rStyle w:val="FootnoteReference"/>
        </w:rPr>
        <w:footnoteRef/>
      </w:r>
      <w:r>
        <w:rPr>
          <w:rtl/>
        </w:rPr>
        <w:t xml:space="preserve"> </w:t>
      </w:r>
      <w:r w:rsidRPr="00623943">
        <w:t>Predictive Analytics, Eric Siegel</w:t>
      </w:r>
    </w:p>
  </w:footnote>
  <w:footnote w:id="3496">
    <w:p w14:paraId="596C1A2F" w14:textId="34811EC7" w:rsidR="00B47FF5" w:rsidRDefault="00B47FF5" w:rsidP="0037616D">
      <w:pPr>
        <w:pStyle w:val="FootnoteText"/>
      </w:pPr>
      <w:r>
        <w:rPr>
          <w:rStyle w:val="FootnoteReference"/>
        </w:rPr>
        <w:footnoteRef/>
      </w:r>
      <w:r>
        <w:rPr>
          <w:rtl/>
        </w:rPr>
        <w:t xml:space="preserve"> </w:t>
      </w:r>
      <w:r w:rsidRPr="00623943">
        <w:t>Principles</w:t>
      </w:r>
      <w:r>
        <w:t xml:space="preserve"> </w:t>
      </w:r>
      <w:r w:rsidRPr="00623943">
        <w:t>of</w:t>
      </w:r>
      <w:r>
        <w:t xml:space="preserve"> </w:t>
      </w:r>
      <w:r w:rsidRPr="00623943">
        <w:t>Forecasting,</w:t>
      </w:r>
      <w:r>
        <w:t xml:space="preserve"> </w:t>
      </w:r>
      <w:r w:rsidRPr="00623943">
        <w:t>Scott</w:t>
      </w:r>
      <w:r>
        <w:t xml:space="preserve"> </w:t>
      </w:r>
      <w:r w:rsidRPr="00623943">
        <w:t>Armstrong</w:t>
      </w:r>
    </w:p>
  </w:footnote>
  <w:footnote w:id="3497">
    <w:p w14:paraId="23355711" w14:textId="77777777" w:rsidR="00B47FF5" w:rsidRDefault="00B47FF5" w:rsidP="0037616D">
      <w:pPr>
        <w:pStyle w:val="FootnoteText"/>
      </w:pPr>
      <w:r>
        <w:rPr>
          <w:rStyle w:val="FootnoteReference"/>
        </w:rPr>
        <w:footnoteRef/>
      </w:r>
      <w:r>
        <w:rPr>
          <w:rtl/>
        </w:rPr>
        <w:t xml:space="preserve"> </w:t>
      </w:r>
      <w:r w:rsidRPr="00623943">
        <w:t>Proﬁting from Uncertainty, Paul Schoemaker</w:t>
      </w:r>
    </w:p>
  </w:footnote>
  <w:footnote w:id="3498">
    <w:p w14:paraId="5059E06C" w14:textId="77777777" w:rsidR="00B47FF5" w:rsidRDefault="00B47FF5" w:rsidP="0037616D">
      <w:pPr>
        <w:pStyle w:val="FootnoteText"/>
      </w:pPr>
      <w:r>
        <w:rPr>
          <w:rStyle w:val="FootnoteReference"/>
        </w:rPr>
        <w:footnoteRef/>
      </w:r>
      <w:r>
        <w:rPr>
          <w:rtl/>
        </w:rPr>
        <w:t xml:space="preserve"> </w:t>
      </w:r>
      <w:r w:rsidRPr="0093023E">
        <w:t>Ready for Anything: Design Resilience for a Transforming World, Tony Hodgson</w:t>
      </w:r>
    </w:p>
  </w:footnote>
  <w:footnote w:id="3499">
    <w:p w14:paraId="23036062" w14:textId="77777777" w:rsidR="00B47FF5" w:rsidRDefault="00B47FF5" w:rsidP="0037616D">
      <w:pPr>
        <w:pStyle w:val="FootnoteText"/>
      </w:pPr>
      <w:r>
        <w:rPr>
          <w:rStyle w:val="FootnoteReference"/>
        </w:rPr>
        <w:footnoteRef/>
      </w:r>
      <w:r>
        <w:rPr>
          <w:rtl/>
        </w:rPr>
        <w:t xml:space="preserve"> </w:t>
      </w:r>
      <w:r w:rsidRPr="0093023E">
        <w:t>Rebels at Work: A Handbook for Leading Change from Within, Kelly &amp; Medina</w:t>
      </w:r>
    </w:p>
  </w:footnote>
  <w:footnote w:id="3500">
    <w:p w14:paraId="53955E93" w14:textId="77777777" w:rsidR="00B47FF5" w:rsidRDefault="00B47FF5" w:rsidP="0037616D">
      <w:pPr>
        <w:pStyle w:val="FootnoteText"/>
      </w:pPr>
      <w:r>
        <w:rPr>
          <w:rStyle w:val="FootnoteReference"/>
        </w:rPr>
        <w:footnoteRef/>
      </w:r>
      <w:r>
        <w:rPr>
          <w:rtl/>
        </w:rPr>
        <w:t xml:space="preserve"> </w:t>
      </w:r>
      <w:r w:rsidRPr="007B394D">
        <w:t>Recent Developments in Foresight Methodologies, Giaoudi and Sapio</w:t>
      </w:r>
    </w:p>
  </w:footnote>
  <w:footnote w:id="3501">
    <w:p w14:paraId="245A187A" w14:textId="77777777" w:rsidR="00B47FF5" w:rsidRDefault="00B47FF5" w:rsidP="0037616D">
      <w:pPr>
        <w:pStyle w:val="FootnoteText"/>
      </w:pPr>
      <w:r>
        <w:rPr>
          <w:rStyle w:val="FootnoteReference"/>
        </w:rPr>
        <w:footnoteRef/>
      </w:r>
      <w:r>
        <w:rPr>
          <w:rtl/>
        </w:rPr>
        <w:t xml:space="preserve"> </w:t>
      </w:r>
      <w:r w:rsidRPr="007B394D">
        <w:t>Remote Work Revolution: Succeeding from Anywhere, Tesedal Neeley</w:t>
      </w:r>
    </w:p>
  </w:footnote>
  <w:footnote w:id="3502">
    <w:p w14:paraId="2F69C974" w14:textId="77777777" w:rsidR="00B47FF5" w:rsidRDefault="00B47FF5" w:rsidP="0037616D">
      <w:pPr>
        <w:pStyle w:val="FootnoteText"/>
      </w:pPr>
      <w:r>
        <w:rPr>
          <w:rStyle w:val="FootnoteReference"/>
        </w:rPr>
        <w:footnoteRef/>
      </w:r>
      <w:r>
        <w:rPr>
          <w:rtl/>
        </w:rPr>
        <w:t xml:space="preserve"> </w:t>
      </w:r>
      <w:r w:rsidRPr="007B394D">
        <w:t>Reinventing Organizations, Frederic Laloux</w:t>
      </w:r>
    </w:p>
  </w:footnote>
  <w:footnote w:id="3503">
    <w:p w14:paraId="08622569" w14:textId="77777777" w:rsidR="00B47FF5" w:rsidRDefault="00B47FF5" w:rsidP="0037616D">
      <w:pPr>
        <w:pStyle w:val="FootnoteText"/>
      </w:pPr>
      <w:r>
        <w:rPr>
          <w:rStyle w:val="FootnoteReference"/>
        </w:rPr>
        <w:footnoteRef/>
      </w:r>
      <w:r>
        <w:rPr>
          <w:rtl/>
        </w:rPr>
        <w:t xml:space="preserve"> </w:t>
      </w:r>
      <w:r w:rsidRPr="007B394D">
        <w:t>Resilience: Why Things Bounce Back, Andrew Zolli &amp; Ann Marie Healy</w:t>
      </w:r>
    </w:p>
  </w:footnote>
  <w:footnote w:id="3504">
    <w:p w14:paraId="3841DE73" w14:textId="77777777" w:rsidR="00B47FF5" w:rsidRDefault="00B47FF5" w:rsidP="0037616D">
      <w:pPr>
        <w:pStyle w:val="FootnoteText"/>
      </w:pPr>
      <w:r>
        <w:rPr>
          <w:rStyle w:val="FootnoteReference"/>
        </w:rPr>
        <w:footnoteRef/>
      </w:r>
      <w:r>
        <w:rPr>
          <w:rtl/>
        </w:rPr>
        <w:t xml:space="preserve"> </w:t>
      </w:r>
      <w:r w:rsidRPr="007B394D">
        <w:t>Scaling Up: Mastering the Rockerfeller Habits 2.0, Verne Harnish</w:t>
      </w:r>
    </w:p>
  </w:footnote>
  <w:footnote w:id="3505">
    <w:p w14:paraId="51FFA92F" w14:textId="77777777" w:rsidR="00B47FF5" w:rsidRDefault="00B47FF5" w:rsidP="0037616D">
      <w:pPr>
        <w:pStyle w:val="FootnoteText"/>
      </w:pPr>
      <w:r>
        <w:rPr>
          <w:rStyle w:val="FootnoteReference"/>
        </w:rPr>
        <w:footnoteRef/>
      </w:r>
      <w:r>
        <w:rPr>
          <w:rtl/>
        </w:rPr>
        <w:t xml:space="preserve"> </w:t>
      </w:r>
      <w:r w:rsidRPr="007B394D">
        <w:t>Scenario Planning in Organizations, Thomas Chermack</w:t>
      </w:r>
    </w:p>
  </w:footnote>
  <w:footnote w:id="3506">
    <w:p w14:paraId="580A4DE2" w14:textId="77777777" w:rsidR="00B47FF5" w:rsidRDefault="00B47FF5" w:rsidP="0037616D">
      <w:pPr>
        <w:pStyle w:val="FootnoteText"/>
      </w:pPr>
      <w:r>
        <w:rPr>
          <w:rStyle w:val="FootnoteReference"/>
        </w:rPr>
        <w:footnoteRef/>
      </w:r>
      <w:r>
        <w:rPr>
          <w:rtl/>
        </w:rPr>
        <w:t xml:space="preserve"> </w:t>
      </w:r>
      <w:r w:rsidRPr="007B394D">
        <w:t>Scenario Planning: A Field Guide to the Future, Woody Wade</w:t>
      </w:r>
    </w:p>
  </w:footnote>
  <w:footnote w:id="3507">
    <w:p w14:paraId="1E5AC0D4" w14:textId="3D30DC77" w:rsidR="00B47FF5" w:rsidRDefault="00B47FF5" w:rsidP="0037616D">
      <w:pPr>
        <w:pStyle w:val="FootnoteText"/>
      </w:pPr>
      <w:r>
        <w:rPr>
          <w:rStyle w:val="FootnoteReference"/>
        </w:rPr>
        <w:footnoteRef/>
      </w:r>
      <w:r>
        <w:rPr>
          <w:rtl/>
        </w:rPr>
        <w:t xml:space="preserve"> </w:t>
      </w:r>
      <w:r w:rsidRPr="007B394D">
        <w:t>Scenarios:</w:t>
      </w:r>
      <w:r>
        <w:t xml:space="preserve"> </w:t>
      </w:r>
      <w:r w:rsidRPr="007B394D">
        <w:t>The</w:t>
      </w:r>
      <w:r>
        <w:t xml:space="preserve"> </w:t>
      </w:r>
      <w:r w:rsidRPr="007B394D">
        <w:t>Art</w:t>
      </w:r>
      <w:r>
        <w:t xml:space="preserve"> </w:t>
      </w:r>
      <w:r w:rsidRPr="007B394D">
        <w:t>of Strategic</w:t>
      </w:r>
      <w:r>
        <w:t xml:space="preserve"> </w:t>
      </w:r>
      <w:r w:rsidRPr="007B394D">
        <w:t>Conversation,</w:t>
      </w:r>
      <w:r>
        <w:t xml:space="preserve"> </w:t>
      </w:r>
      <w:r w:rsidRPr="007B394D">
        <w:t>Kees</w:t>
      </w:r>
      <w:r w:rsidRPr="007B394D">
        <w:rPr>
          <w:rtl/>
        </w:rPr>
        <w:tab/>
      </w:r>
      <w:r w:rsidRPr="007B394D">
        <w:t>van</w:t>
      </w:r>
      <w:r>
        <w:t xml:space="preserve"> </w:t>
      </w:r>
      <w:r w:rsidRPr="007B394D">
        <w:t>der Heijden</w:t>
      </w:r>
    </w:p>
  </w:footnote>
  <w:footnote w:id="3508">
    <w:p w14:paraId="1AA443CF" w14:textId="4F566E17" w:rsidR="00B47FF5" w:rsidRDefault="00B47FF5" w:rsidP="0037616D">
      <w:pPr>
        <w:pStyle w:val="FootnoteText"/>
      </w:pPr>
      <w:r>
        <w:rPr>
          <w:rStyle w:val="FootnoteReference"/>
        </w:rPr>
        <w:footnoteRef/>
      </w:r>
      <w:r>
        <w:rPr>
          <w:rtl/>
        </w:rPr>
        <w:t xml:space="preserve"> </w:t>
      </w:r>
      <w:r w:rsidRPr="007B394D">
        <w:t>Seeing What</w:t>
      </w:r>
      <w:r>
        <w:t xml:space="preserve"> </w:t>
      </w:r>
      <w:r w:rsidRPr="007B394D">
        <w:t>Others</w:t>
      </w:r>
      <w:r>
        <w:t xml:space="preserve"> </w:t>
      </w:r>
      <w:r w:rsidRPr="007B394D">
        <w:t>Don’t:</w:t>
      </w:r>
      <w:r>
        <w:t xml:space="preserve"> </w:t>
      </w:r>
      <w:r w:rsidRPr="007B394D">
        <w:t>The</w:t>
      </w:r>
      <w:r>
        <w:t xml:space="preserve"> </w:t>
      </w:r>
      <w:r w:rsidRPr="007B394D">
        <w:t>Remarkable</w:t>
      </w:r>
      <w:r>
        <w:t xml:space="preserve"> </w:t>
      </w:r>
      <w:r w:rsidRPr="007B394D">
        <w:t>Ways</w:t>
      </w:r>
      <w:r>
        <w:t xml:space="preserve"> </w:t>
      </w:r>
      <w:r w:rsidRPr="007B394D">
        <w:t>We</w:t>
      </w:r>
      <w:r>
        <w:t xml:space="preserve"> </w:t>
      </w:r>
      <w:r w:rsidRPr="007B394D">
        <w:t>Gain Insights, Gary Klein</w:t>
      </w:r>
    </w:p>
  </w:footnote>
  <w:footnote w:id="3509">
    <w:p w14:paraId="2ACA17EB" w14:textId="0EAA956E" w:rsidR="00B47FF5" w:rsidRDefault="00B47FF5" w:rsidP="0037616D">
      <w:pPr>
        <w:pStyle w:val="FootnoteText"/>
      </w:pPr>
      <w:r>
        <w:rPr>
          <w:rStyle w:val="FootnoteReference"/>
        </w:rPr>
        <w:footnoteRef/>
      </w:r>
      <w:r>
        <w:rPr>
          <w:rtl/>
        </w:rPr>
        <w:t xml:space="preserve"> </w:t>
      </w:r>
      <w:r w:rsidRPr="007B394D">
        <w:t>Servant Leadership, Robert Greenleaf</w:t>
      </w:r>
    </w:p>
  </w:footnote>
  <w:footnote w:id="3510">
    <w:p w14:paraId="2604634C" w14:textId="77777777" w:rsidR="00B47FF5" w:rsidRDefault="00B47FF5" w:rsidP="0037616D">
      <w:pPr>
        <w:pStyle w:val="FootnoteText"/>
      </w:pPr>
      <w:r>
        <w:rPr>
          <w:rStyle w:val="FootnoteReference"/>
        </w:rPr>
        <w:footnoteRef/>
      </w:r>
      <w:r>
        <w:rPr>
          <w:rtl/>
        </w:rPr>
        <w:t xml:space="preserve"> </w:t>
      </w:r>
      <w:r w:rsidRPr="007B394D">
        <w:t>Shell Global Scenarios to 2025, Royal Dutch Shell Scenarios Group</w:t>
      </w:r>
    </w:p>
  </w:footnote>
  <w:footnote w:id="3511">
    <w:p w14:paraId="116214AF" w14:textId="77777777" w:rsidR="00B47FF5" w:rsidRDefault="00B47FF5" w:rsidP="0037616D">
      <w:pPr>
        <w:pStyle w:val="FootnoteText"/>
      </w:pPr>
      <w:r>
        <w:rPr>
          <w:rStyle w:val="FootnoteReference"/>
        </w:rPr>
        <w:footnoteRef/>
      </w:r>
      <w:r>
        <w:rPr>
          <w:rtl/>
        </w:rPr>
        <w:t xml:space="preserve"> </w:t>
      </w:r>
      <w:r w:rsidRPr="007B394D">
        <w:t>Strategic Foresight: A New Look at Scenarios, Alfred Marcus</w:t>
      </w:r>
    </w:p>
  </w:footnote>
  <w:footnote w:id="3512">
    <w:p w14:paraId="7AC02848" w14:textId="77777777" w:rsidR="00B47FF5" w:rsidRDefault="00B47FF5" w:rsidP="0037616D">
      <w:pPr>
        <w:pStyle w:val="FootnoteText"/>
      </w:pPr>
      <w:r>
        <w:rPr>
          <w:rStyle w:val="FootnoteReference"/>
        </w:rPr>
        <w:footnoteRef/>
      </w:r>
      <w:r>
        <w:rPr>
          <w:rtl/>
        </w:rPr>
        <w:t xml:space="preserve"> </w:t>
      </w:r>
      <w:r w:rsidRPr="007B394D">
        <w:t>Strategic Foresight: Accelerating Technological Change, Sarah Cheah</w:t>
      </w:r>
    </w:p>
  </w:footnote>
  <w:footnote w:id="3513">
    <w:p w14:paraId="38D64087" w14:textId="77777777" w:rsidR="00B47FF5" w:rsidRDefault="00B47FF5" w:rsidP="0037616D">
      <w:pPr>
        <w:pStyle w:val="FootnoteText"/>
      </w:pPr>
      <w:r>
        <w:rPr>
          <w:rStyle w:val="FootnoteReference"/>
        </w:rPr>
        <w:footnoteRef/>
      </w:r>
      <w:r>
        <w:rPr>
          <w:rtl/>
        </w:rPr>
        <w:t xml:space="preserve"> </w:t>
      </w:r>
      <w:r w:rsidRPr="007B394D">
        <w:t>Strategic Foresight for Corporate and Regional Development, Godet and Durance</w:t>
      </w:r>
    </w:p>
  </w:footnote>
  <w:footnote w:id="3514">
    <w:p w14:paraId="0E7643F4" w14:textId="77777777" w:rsidR="00B47FF5" w:rsidRDefault="00B47FF5" w:rsidP="0037616D">
      <w:pPr>
        <w:pStyle w:val="FootnoteText"/>
      </w:pPr>
      <w:r>
        <w:rPr>
          <w:rStyle w:val="FootnoteReference"/>
        </w:rPr>
        <w:footnoteRef/>
      </w:r>
      <w:r>
        <w:rPr>
          <w:rtl/>
        </w:rPr>
        <w:t xml:space="preserve"> </w:t>
      </w:r>
      <w:r w:rsidRPr="007B394D">
        <w:t>Streetlights and Shadows: Finding Keys to Adaptive Decision Making, Gary Klein</w:t>
      </w:r>
    </w:p>
  </w:footnote>
  <w:footnote w:id="3515">
    <w:p w14:paraId="6A199100" w14:textId="413356A8" w:rsidR="00B47FF5" w:rsidRDefault="00B47FF5" w:rsidP="0037616D">
      <w:pPr>
        <w:pStyle w:val="FootnoteText"/>
      </w:pPr>
      <w:r>
        <w:rPr>
          <w:rStyle w:val="FootnoteReference"/>
        </w:rPr>
        <w:footnoteRef/>
      </w:r>
      <w:r>
        <w:rPr>
          <w:rtl/>
        </w:rPr>
        <w:t xml:space="preserve"> </w:t>
      </w:r>
      <w:r w:rsidRPr="007B394D">
        <w:t>Strengths-Based Leadership, Tom Rath and Barry Conchie</w:t>
      </w:r>
    </w:p>
  </w:footnote>
  <w:footnote w:id="3516">
    <w:p w14:paraId="71DC9107" w14:textId="77777777" w:rsidR="00B47FF5" w:rsidRDefault="00B47FF5" w:rsidP="0037616D">
      <w:pPr>
        <w:pStyle w:val="FootnoteText"/>
      </w:pPr>
      <w:r>
        <w:rPr>
          <w:rStyle w:val="FootnoteReference"/>
        </w:rPr>
        <w:footnoteRef/>
      </w:r>
      <w:r>
        <w:rPr>
          <w:rtl/>
        </w:rPr>
        <w:t xml:space="preserve"> </w:t>
      </w:r>
      <w:r w:rsidRPr="007B394D">
        <w:t>Superforecasting: The Art &amp; Science of Prediction, Philip Tetlock &amp; Dan Gardner</w:t>
      </w:r>
    </w:p>
  </w:footnote>
  <w:footnote w:id="3517">
    <w:p w14:paraId="35B4A631" w14:textId="77777777" w:rsidR="00B47FF5" w:rsidRDefault="00B47FF5" w:rsidP="0037616D">
      <w:pPr>
        <w:pStyle w:val="FootnoteText"/>
      </w:pPr>
      <w:r>
        <w:rPr>
          <w:rStyle w:val="FootnoteReference"/>
        </w:rPr>
        <w:footnoteRef/>
      </w:r>
      <w:r>
        <w:rPr>
          <w:rtl/>
        </w:rPr>
        <w:t xml:space="preserve"> </w:t>
      </w:r>
      <w:r w:rsidRPr="007B394D">
        <w:t>Systems Thinking for Curious Managers, Ackoﬀ and Addison</w:t>
      </w:r>
    </w:p>
  </w:footnote>
  <w:footnote w:id="3518">
    <w:p w14:paraId="6E5867F6" w14:textId="77777777" w:rsidR="00B47FF5" w:rsidRDefault="00B47FF5" w:rsidP="0037616D">
      <w:pPr>
        <w:pStyle w:val="FootnoteText"/>
      </w:pPr>
      <w:r>
        <w:rPr>
          <w:rStyle w:val="FootnoteReference"/>
        </w:rPr>
        <w:footnoteRef/>
      </w:r>
      <w:r>
        <w:rPr>
          <w:rtl/>
        </w:rPr>
        <w:t xml:space="preserve"> </w:t>
      </w:r>
      <w:r w:rsidRPr="007B394D">
        <w:t>Teaching about the Future, Peter Bishop and Andy Hines</w:t>
      </w:r>
    </w:p>
  </w:footnote>
  <w:footnote w:id="3519">
    <w:p w14:paraId="5099311E" w14:textId="77777777" w:rsidR="00B47FF5" w:rsidRDefault="00B47FF5" w:rsidP="0037616D">
      <w:pPr>
        <w:pStyle w:val="FootnoteText"/>
      </w:pPr>
      <w:r>
        <w:rPr>
          <w:rStyle w:val="FootnoteReference"/>
        </w:rPr>
        <w:footnoteRef/>
      </w:r>
      <w:r>
        <w:rPr>
          <w:rtl/>
        </w:rPr>
        <w:t xml:space="preserve"> </w:t>
      </w:r>
      <w:r w:rsidRPr="007B394D">
        <w:t>Technology &amp; the Future: Managing Change &amp; Innovation, Peter von Stackelberg</w:t>
      </w:r>
    </w:p>
  </w:footnote>
  <w:footnote w:id="3520">
    <w:p w14:paraId="1FFE2358" w14:textId="77777777" w:rsidR="00B47FF5" w:rsidRDefault="00B47FF5" w:rsidP="0037616D">
      <w:pPr>
        <w:pStyle w:val="FootnoteText"/>
      </w:pPr>
      <w:r>
        <w:rPr>
          <w:rStyle w:val="FootnoteReference"/>
        </w:rPr>
        <w:footnoteRef/>
      </w:r>
      <w:r>
        <w:rPr>
          <w:rtl/>
        </w:rPr>
        <w:t xml:space="preserve"> </w:t>
      </w:r>
      <w:r w:rsidRPr="007B394D">
        <w:t>The 80/20 Manager: Secret to Working Less and Achieving More, Richard Koch</w:t>
      </w:r>
    </w:p>
  </w:footnote>
  <w:footnote w:id="3521">
    <w:p w14:paraId="739E9978" w14:textId="77777777" w:rsidR="00B47FF5" w:rsidRDefault="00B47FF5" w:rsidP="0037616D">
      <w:pPr>
        <w:pStyle w:val="FootnoteText"/>
      </w:pPr>
      <w:r>
        <w:rPr>
          <w:rStyle w:val="FootnoteReference"/>
        </w:rPr>
        <w:footnoteRef/>
      </w:r>
      <w:r>
        <w:rPr>
          <w:rtl/>
        </w:rPr>
        <w:t xml:space="preserve"> </w:t>
      </w:r>
      <w:r w:rsidRPr="007B394D">
        <w:t>The 80/20 Principle: The Secret to Achieving More With Less, Richard Koch</w:t>
      </w:r>
    </w:p>
  </w:footnote>
  <w:footnote w:id="3522">
    <w:p w14:paraId="26727AC5" w14:textId="77777777" w:rsidR="00B47FF5" w:rsidRDefault="00B47FF5" w:rsidP="0037616D">
      <w:pPr>
        <w:pStyle w:val="FootnoteText"/>
      </w:pPr>
      <w:r>
        <w:rPr>
          <w:rStyle w:val="FootnoteReference"/>
        </w:rPr>
        <w:footnoteRef/>
      </w:r>
      <w:r>
        <w:rPr>
          <w:rtl/>
        </w:rPr>
        <w:t xml:space="preserve"> </w:t>
      </w:r>
      <w:r w:rsidRPr="00E85D04">
        <w:t>The Art of Conjecture, Bertrand de Jouvenel</w:t>
      </w:r>
    </w:p>
  </w:footnote>
  <w:footnote w:id="3523">
    <w:p w14:paraId="10DC99E2" w14:textId="77777777" w:rsidR="00B47FF5" w:rsidRDefault="00B47FF5" w:rsidP="0037616D">
      <w:pPr>
        <w:pStyle w:val="FootnoteText"/>
      </w:pPr>
      <w:r>
        <w:rPr>
          <w:rStyle w:val="FootnoteReference"/>
        </w:rPr>
        <w:footnoteRef/>
      </w:r>
      <w:r>
        <w:rPr>
          <w:rtl/>
        </w:rPr>
        <w:t xml:space="preserve"> </w:t>
      </w:r>
      <w:r w:rsidRPr="00E85D04">
        <w:t>The Art of the Long View: Plan for Future in an Uncertain World</w:t>
      </w:r>
    </w:p>
  </w:footnote>
  <w:footnote w:id="3524">
    <w:p w14:paraId="7A081D0F" w14:textId="77777777" w:rsidR="00B47FF5" w:rsidRDefault="00B47FF5" w:rsidP="0037616D">
      <w:pPr>
        <w:pStyle w:val="FootnoteText"/>
      </w:pPr>
      <w:r>
        <w:rPr>
          <w:rStyle w:val="FootnoteReference"/>
        </w:rPr>
        <w:footnoteRef/>
      </w:r>
      <w:r>
        <w:rPr>
          <w:rtl/>
        </w:rPr>
        <w:t xml:space="preserve"> </w:t>
      </w:r>
      <w:r w:rsidRPr="00FC6CE0">
        <w:t>The Business Forecasting Deal, Michael Gilliland</w:t>
      </w:r>
    </w:p>
  </w:footnote>
  <w:footnote w:id="3525">
    <w:p w14:paraId="244FBDDD" w14:textId="7B719AEC" w:rsidR="00B47FF5" w:rsidRDefault="00B47FF5" w:rsidP="0037616D">
      <w:pPr>
        <w:pStyle w:val="FootnoteText"/>
      </w:pPr>
      <w:r>
        <w:rPr>
          <w:rStyle w:val="FootnoteReference"/>
        </w:rPr>
        <w:footnoteRef/>
      </w:r>
      <w:r>
        <w:rPr>
          <w:rtl/>
        </w:rPr>
        <w:t xml:space="preserve"> </w:t>
      </w:r>
      <w:r w:rsidRPr="00FC6CE0">
        <w:t>The</w:t>
      </w:r>
      <w:r>
        <w:t xml:space="preserve"> </w:t>
      </w:r>
      <w:r w:rsidRPr="00FC6CE0">
        <w:t>Diﬀerence:</w:t>
      </w:r>
      <w:r>
        <w:t xml:space="preserve"> </w:t>
      </w:r>
      <w:r w:rsidRPr="00FC6CE0">
        <w:t>How</w:t>
      </w:r>
      <w:r>
        <w:t xml:space="preserve"> </w:t>
      </w:r>
      <w:r w:rsidRPr="00FC6CE0">
        <w:t>Diversity Creates</w:t>
      </w:r>
      <w:r>
        <w:t xml:space="preserve"> </w:t>
      </w:r>
      <w:r w:rsidRPr="00FC6CE0">
        <w:t>Better</w:t>
      </w:r>
      <w:r>
        <w:t xml:space="preserve"> </w:t>
      </w:r>
      <w:r w:rsidRPr="00FC6CE0">
        <w:t>Groups, Firms, Societies, Scott Page</w:t>
      </w:r>
    </w:p>
  </w:footnote>
  <w:footnote w:id="3526">
    <w:p w14:paraId="2233930A" w14:textId="77777777" w:rsidR="00B47FF5" w:rsidRDefault="00B47FF5" w:rsidP="0037616D">
      <w:pPr>
        <w:pStyle w:val="FootnoteText"/>
      </w:pPr>
      <w:r>
        <w:rPr>
          <w:rStyle w:val="FootnoteReference"/>
        </w:rPr>
        <w:footnoteRef/>
      </w:r>
      <w:r>
        <w:rPr>
          <w:rtl/>
        </w:rPr>
        <w:t xml:space="preserve"> </w:t>
      </w:r>
      <w:r w:rsidRPr="00FC6CE0">
        <w:t>The Employee Experience Advantage: Workplaces, Tools &amp; Culture, Jacob Morgan</w:t>
      </w:r>
    </w:p>
  </w:footnote>
  <w:footnote w:id="3527">
    <w:p w14:paraId="2F9CB29D" w14:textId="77777777" w:rsidR="00B47FF5" w:rsidRDefault="00B47FF5" w:rsidP="0037616D">
      <w:pPr>
        <w:pStyle w:val="FootnoteText"/>
      </w:pPr>
      <w:r>
        <w:rPr>
          <w:rStyle w:val="FootnoteReference"/>
        </w:rPr>
        <w:footnoteRef/>
      </w:r>
      <w:r>
        <w:rPr>
          <w:rtl/>
        </w:rPr>
        <w:t xml:space="preserve"> </w:t>
      </w:r>
      <w:r w:rsidRPr="00FC6CE0">
        <w:t>The Essence of Scenarios: Learning from the Shell Experience, Wilkinson &amp; Kupers</w:t>
      </w:r>
    </w:p>
  </w:footnote>
  <w:footnote w:id="3528">
    <w:p w14:paraId="297CEB8E" w14:textId="77777777" w:rsidR="00B47FF5" w:rsidRDefault="00B47FF5" w:rsidP="0037616D">
      <w:pPr>
        <w:pStyle w:val="FootnoteText"/>
      </w:pPr>
      <w:r>
        <w:rPr>
          <w:rStyle w:val="FootnoteReference"/>
        </w:rPr>
        <w:footnoteRef/>
      </w:r>
      <w:r>
        <w:rPr>
          <w:rtl/>
        </w:rPr>
        <w:t xml:space="preserve"> </w:t>
      </w:r>
      <w:r w:rsidRPr="00FC6CE0">
        <w:t>The Evolution of Strategic Foresight in Public Policy Making, Tuomo Kuosa</w:t>
      </w:r>
    </w:p>
  </w:footnote>
  <w:footnote w:id="3529">
    <w:p w14:paraId="38657B1B" w14:textId="77777777" w:rsidR="00B47FF5" w:rsidRDefault="00B47FF5" w:rsidP="0037616D">
      <w:pPr>
        <w:pStyle w:val="FootnoteText"/>
      </w:pPr>
      <w:r>
        <w:rPr>
          <w:rStyle w:val="FootnoteReference"/>
        </w:rPr>
        <w:footnoteRef/>
      </w:r>
      <w:r>
        <w:rPr>
          <w:rtl/>
        </w:rPr>
        <w:t xml:space="preserve"> </w:t>
      </w:r>
      <w:r w:rsidRPr="00FC6CE0">
        <w:t>The Failure of Risk Management: Why It’s Broken &amp; How to Fix it, Doug Hubbard</w:t>
      </w:r>
    </w:p>
  </w:footnote>
  <w:footnote w:id="3530">
    <w:p w14:paraId="28309074" w14:textId="77777777" w:rsidR="00B47FF5" w:rsidRDefault="00B47FF5" w:rsidP="0037616D">
      <w:pPr>
        <w:pStyle w:val="FootnoteText"/>
      </w:pPr>
      <w:r>
        <w:rPr>
          <w:rStyle w:val="FootnoteReference"/>
        </w:rPr>
        <w:footnoteRef/>
      </w:r>
      <w:r>
        <w:rPr>
          <w:rtl/>
        </w:rPr>
        <w:t xml:space="preserve"> </w:t>
      </w:r>
      <w:r w:rsidRPr="00FC6CE0">
        <w:t>The Five Dysfunctions of a Team, Patrick Lencioni</w:t>
      </w:r>
    </w:p>
  </w:footnote>
  <w:footnote w:id="3531">
    <w:p w14:paraId="6A227D37" w14:textId="77777777" w:rsidR="00B47FF5" w:rsidRDefault="00B47FF5" w:rsidP="0037616D">
      <w:pPr>
        <w:pStyle w:val="FootnoteText"/>
      </w:pPr>
      <w:r>
        <w:rPr>
          <w:rStyle w:val="FootnoteReference"/>
        </w:rPr>
        <w:footnoteRef/>
      </w:r>
      <w:r>
        <w:rPr>
          <w:rtl/>
        </w:rPr>
        <w:t xml:space="preserve"> </w:t>
      </w:r>
      <w:r w:rsidRPr="00FC6CE0">
        <w:t>The Five Futures Glasses, Pero Micic</w:t>
      </w:r>
    </w:p>
  </w:footnote>
  <w:footnote w:id="3532">
    <w:p w14:paraId="482AA755" w14:textId="77777777" w:rsidR="00B47FF5" w:rsidRDefault="00B47FF5" w:rsidP="0037616D">
      <w:pPr>
        <w:pStyle w:val="FootnoteText"/>
      </w:pPr>
      <w:r>
        <w:rPr>
          <w:rStyle w:val="FootnoteReference"/>
        </w:rPr>
        <w:footnoteRef/>
      </w:r>
      <w:r>
        <w:rPr>
          <w:rtl/>
        </w:rPr>
        <w:t xml:space="preserve"> </w:t>
      </w:r>
      <w:r w:rsidRPr="00FC6CE0">
        <w:t>The Fortune Sellers: The Big Biz of Buying &amp; Selling Predictions, William Sherden</w:t>
      </w:r>
    </w:p>
  </w:footnote>
  <w:footnote w:id="3533">
    <w:p w14:paraId="2762477D" w14:textId="77777777" w:rsidR="00B47FF5" w:rsidRDefault="00B47FF5" w:rsidP="0037616D">
      <w:pPr>
        <w:pStyle w:val="FootnoteText"/>
      </w:pPr>
      <w:r>
        <w:rPr>
          <w:rStyle w:val="FootnoteReference"/>
        </w:rPr>
        <w:footnoteRef/>
      </w:r>
      <w:r>
        <w:rPr>
          <w:rtl/>
        </w:rPr>
        <w:t xml:space="preserve"> </w:t>
      </w:r>
      <w:r w:rsidRPr="00FC6CE0">
        <w:t>The Future: A Very Short Introduction, Jennifer Gidley</w:t>
      </w:r>
    </w:p>
  </w:footnote>
  <w:footnote w:id="3534">
    <w:p w14:paraId="005D5790" w14:textId="77777777" w:rsidR="00B47FF5" w:rsidRDefault="00B47FF5" w:rsidP="0037616D">
      <w:pPr>
        <w:pStyle w:val="FootnoteText"/>
      </w:pPr>
      <w:r>
        <w:rPr>
          <w:rStyle w:val="FootnoteReference"/>
        </w:rPr>
        <w:footnoteRef/>
      </w:r>
      <w:r>
        <w:rPr>
          <w:rtl/>
        </w:rPr>
        <w:t xml:space="preserve"> </w:t>
      </w:r>
      <w:r w:rsidRPr="00FC6CE0">
        <w:t>The Great Game of Business, Jack Stack</w:t>
      </w:r>
    </w:p>
  </w:footnote>
  <w:footnote w:id="3535">
    <w:p w14:paraId="17F4D7ED" w14:textId="77777777" w:rsidR="00B47FF5" w:rsidRDefault="00B47FF5" w:rsidP="0037616D">
      <w:pPr>
        <w:pStyle w:val="FootnoteText"/>
      </w:pPr>
      <w:r>
        <w:rPr>
          <w:rStyle w:val="FootnoteReference"/>
        </w:rPr>
        <w:footnoteRef/>
      </w:r>
      <w:r>
        <w:rPr>
          <w:rtl/>
        </w:rPr>
        <w:t xml:space="preserve"> </w:t>
      </w:r>
      <w:r w:rsidRPr="00FC6CE0">
        <w:t>The Handbook of Anticipation, Robert Poli</w:t>
      </w:r>
    </w:p>
  </w:footnote>
  <w:footnote w:id="3536">
    <w:p w14:paraId="270C63CF" w14:textId="02CD147B" w:rsidR="00B47FF5" w:rsidRDefault="00B47FF5" w:rsidP="0037616D">
      <w:pPr>
        <w:pStyle w:val="FootnoteText"/>
      </w:pPr>
      <w:r>
        <w:rPr>
          <w:rStyle w:val="FootnoteReference"/>
        </w:rPr>
        <w:footnoteRef/>
      </w:r>
      <w:r>
        <w:rPr>
          <w:rtl/>
        </w:rPr>
        <w:t xml:space="preserve"> </w:t>
      </w:r>
      <w:r w:rsidRPr="00FC6CE0">
        <w:t>The</w:t>
      </w:r>
      <w:r>
        <w:t xml:space="preserve"> </w:t>
      </w:r>
      <w:r w:rsidRPr="00FC6CE0">
        <w:t>Idea-Driven</w:t>
      </w:r>
      <w:r>
        <w:t xml:space="preserve"> </w:t>
      </w:r>
      <w:r w:rsidRPr="00FC6CE0">
        <w:t>Org:</w:t>
      </w:r>
      <w:r>
        <w:t xml:space="preserve"> </w:t>
      </w:r>
      <w:r w:rsidRPr="00FC6CE0">
        <w:t>Using the</w:t>
      </w:r>
      <w:r>
        <w:t xml:space="preserve"> </w:t>
      </w:r>
      <w:r w:rsidRPr="00FC6CE0">
        <w:t>Power</w:t>
      </w:r>
      <w:r>
        <w:t xml:space="preserve"> </w:t>
      </w:r>
      <w:r w:rsidRPr="00FC6CE0">
        <w:t>of Bottom-Up</w:t>
      </w:r>
      <w:r>
        <w:t xml:space="preserve"> </w:t>
      </w:r>
      <w:r w:rsidRPr="00FC6CE0">
        <w:t>Ideas, Robinson &amp; Schroeder</w:t>
      </w:r>
    </w:p>
  </w:footnote>
  <w:footnote w:id="3537">
    <w:p w14:paraId="215DD3B3" w14:textId="77777777" w:rsidR="00B47FF5" w:rsidRDefault="00B47FF5" w:rsidP="0037616D">
      <w:pPr>
        <w:pStyle w:val="FootnoteText"/>
      </w:pPr>
      <w:r>
        <w:rPr>
          <w:rStyle w:val="FootnoteReference"/>
        </w:rPr>
        <w:footnoteRef/>
      </w:r>
      <w:r>
        <w:rPr>
          <w:rtl/>
        </w:rPr>
        <w:t xml:space="preserve"> </w:t>
      </w:r>
      <w:r w:rsidRPr="00FC6CE0">
        <w:t>The Image of the Future, Fred Polak</w:t>
      </w:r>
    </w:p>
  </w:footnote>
  <w:footnote w:id="3538">
    <w:p w14:paraId="278F3B5E" w14:textId="77777777" w:rsidR="00B47FF5" w:rsidRDefault="00B47FF5" w:rsidP="0037616D">
      <w:pPr>
        <w:pStyle w:val="FootnoteText"/>
      </w:pPr>
      <w:r>
        <w:rPr>
          <w:rStyle w:val="FootnoteReference"/>
        </w:rPr>
        <w:footnoteRef/>
      </w:r>
      <w:r>
        <w:rPr>
          <w:rtl/>
        </w:rPr>
        <w:t xml:space="preserve"> </w:t>
      </w:r>
      <w:r w:rsidRPr="00FC6CE0">
        <w:t>The Innovator’s Dilemma, Clayton Christensen</w:t>
      </w:r>
    </w:p>
  </w:footnote>
  <w:footnote w:id="3539">
    <w:p w14:paraId="3CE5479C" w14:textId="77777777" w:rsidR="00B47FF5" w:rsidRDefault="00B47FF5" w:rsidP="0037616D">
      <w:pPr>
        <w:pStyle w:val="FootnoteText"/>
      </w:pPr>
      <w:r>
        <w:rPr>
          <w:rStyle w:val="FootnoteReference"/>
        </w:rPr>
        <w:footnoteRef/>
      </w:r>
      <w:r>
        <w:rPr>
          <w:rtl/>
        </w:rPr>
        <w:t xml:space="preserve"> </w:t>
      </w:r>
      <w:r w:rsidRPr="00FC6CE0">
        <w:t>The Goal: Continuous Improvement &amp; the Theory of Constraints, Eliyahu Goldratt</w:t>
      </w:r>
    </w:p>
  </w:footnote>
  <w:footnote w:id="3540">
    <w:p w14:paraId="42F909EF" w14:textId="77777777" w:rsidR="00B47FF5" w:rsidRDefault="00B47FF5" w:rsidP="0037616D">
      <w:pPr>
        <w:pStyle w:val="FootnoteText"/>
      </w:pPr>
      <w:r>
        <w:rPr>
          <w:rStyle w:val="FootnoteReference"/>
        </w:rPr>
        <w:footnoteRef/>
      </w:r>
      <w:r>
        <w:rPr>
          <w:rtl/>
        </w:rPr>
        <w:t xml:space="preserve"> </w:t>
      </w:r>
      <w:r w:rsidRPr="00FC6CE0">
        <w:t>The Knowledge Base of Futures Studies, Richard Slaughter</w:t>
      </w:r>
    </w:p>
  </w:footnote>
  <w:footnote w:id="3541">
    <w:p w14:paraId="66FEDCA1" w14:textId="77777777" w:rsidR="00B47FF5" w:rsidRDefault="00B47FF5" w:rsidP="0037616D">
      <w:pPr>
        <w:pStyle w:val="FootnoteText"/>
      </w:pPr>
      <w:r>
        <w:rPr>
          <w:rStyle w:val="FootnoteReference"/>
        </w:rPr>
        <w:footnoteRef/>
      </w:r>
      <w:r>
        <w:rPr>
          <w:rtl/>
        </w:rPr>
        <w:t xml:space="preserve"> </w:t>
      </w:r>
      <w:r w:rsidRPr="00FC6CE0">
        <w:t>The Lean Startup: Continuous Innovation for Success, Eric Ries</w:t>
      </w:r>
    </w:p>
  </w:footnote>
  <w:footnote w:id="3542">
    <w:p w14:paraId="5A62FF47" w14:textId="77777777" w:rsidR="00B47FF5" w:rsidRDefault="00B47FF5" w:rsidP="0037616D">
      <w:pPr>
        <w:pStyle w:val="FootnoteText"/>
      </w:pPr>
      <w:r>
        <w:rPr>
          <w:rStyle w:val="FootnoteReference"/>
        </w:rPr>
        <w:footnoteRef/>
      </w:r>
      <w:r>
        <w:rPr>
          <w:rtl/>
        </w:rPr>
        <w:t xml:space="preserve"> </w:t>
      </w:r>
      <w:r w:rsidRPr="00FC6CE0">
        <w:t>The Lords of Strategy: Intellectual Hist. of the Corporate World, Walter Kiechel</w:t>
      </w:r>
    </w:p>
  </w:footnote>
  <w:footnote w:id="3543">
    <w:p w14:paraId="22E82B20" w14:textId="77777777" w:rsidR="00B47FF5" w:rsidRDefault="00B47FF5" w:rsidP="0037616D">
      <w:pPr>
        <w:pStyle w:val="FootnoteText"/>
      </w:pPr>
      <w:r>
        <w:rPr>
          <w:rStyle w:val="FootnoteReference"/>
        </w:rPr>
        <w:footnoteRef/>
      </w:r>
      <w:r>
        <w:rPr>
          <w:rtl/>
        </w:rPr>
        <w:t xml:space="preserve"> </w:t>
      </w:r>
      <w:r w:rsidRPr="00FC6CE0">
        <w:t>The Long Tail, Chris Anderson</w:t>
      </w:r>
    </w:p>
  </w:footnote>
  <w:footnote w:id="3544">
    <w:p w14:paraId="3FCB266B" w14:textId="77777777" w:rsidR="00B47FF5" w:rsidRDefault="00B47FF5" w:rsidP="0037616D">
      <w:pPr>
        <w:pStyle w:val="FootnoteText"/>
      </w:pPr>
      <w:r>
        <w:rPr>
          <w:rStyle w:val="FootnoteReference"/>
        </w:rPr>
        <w:footnoteRef/>
      </w:r>
      <w:r>
        <w:rPr>
          <w:rtl/>
        </w:rPr>
        <w:t xml:space="preserve"> </w:t>
      </w:r>
      <w:r w:rsidRPr="00FC6CE0">
        <w:t>The Model Thinker, Scott Page</w:t>
      </w:r>
    </w:p>
  </w:footnote>
  <w:footnote w:id="3545">
    <w:p w14:paraId="6F8DAEC2" w14:textId="77777777" w:rsidR="00B47FF5" w:rsidRDefault="00B47FF5" w:rsidP="0037616D">
      <w:pPr>
        <w:pStyle w:val="FootnoteText"/>
      </w:pPr>
      <w:r>
        <w:rPr>
          <w:rStyle w:val="FootnoteReference"/>
        </w:rPr>
        <w:footnoteRef/>
      </w:r>
      <w:r>
        <w:rPr>
          <w:rtl/>
        </w:rPr>
        <w:t xml:space="preserve"> </w:t>
      </w:r>
      <w:r w:rsidRPr="00FC6CE0">
        <w:t>The Nature of Change and the Law of Unintended Consequences, John Mansﬁeld</w:t>
      </w:r>
    </w:p>
  </w:footnote>
  <w:footnote w:id="3546">
    <w:p w14:paraId="29764B27" w14:textId="77777777" w:rsidR="00B47FF5" w:rsidRDefault="00B47FF5" w:rsidP="0037616D">
      <w:pPr>
        <w:pStyle w:val="FootnoteText"/>
      </w:pPr>
      <w:r>
        <w:rPr>
          <w:rStyle w:val="FootnoteReference"/>
        </w:rPr>
        <w:footnoteRef/>
      </w:r>
      <w:r>
        <w:rPr>
          <w:rtl/>
        </w:rPr>
        <w:t xml:space="preserve"> </w:t>
      </w:r>
      <w:r w:rsidRPr="00D60DA0">
        <w:t>The Nature of the Future, Marina Gorbis</w:t>
      </w:r>
    </w:p>
  </w:footnote>
  <w:footnote w:id="3547">
    <w:p w14:paraId="3A2DE89E" w14:textId="77777777" w:rsidR="00B47FF5" w:rsidRDefault="00B47FF5" w:rsidP="0037616D">
      <w:pPr>
        <w:pStyle w:val="FootnoteText"/>
      </w:pPr>
      <w:r>
        <w:rPr>
          <w:rStyle w:val="FootnoteReference"/>
        </w:rPr>
        <w:footnoteRef/>
      </w:r>
      <w:r>
        <w:rPr>
          <w:rtl/>
        </w:rPr>
        <w:t xml:space="preserve"> </w:t>
      </w:r>
      <w:r w:rsidRPr="00D60DA0">
        <w:t>The New Killer Apps: How Large Co’s Can Out-Innovate Startups, Mui &amp; Carroll</w:t>
      </w:r>
    </w:p>
  </w:footnote>
  <w:footnote w:id="3548">
    <w:p w14:paraId="0E41B9E3" w14:textId="77777777" w:rsidR="00B47FF5" w:rsidRDefault="00B47FF5" w:rsidP="0037616D">
      <w:pPr>
        <w:pStyle w:val="FootnoteText"/>
      </w:pPr>
      <w:r>
        <w:rPr>
          <w:rStyle w:val="FootnoteReference"/>
        </w:rPr>
        <w:footnoteRef/>
      </w:r>
      <w:r>
        <w:rPr>
          <w:rtl/>
        </w:rPr>
        <w:t xml:space="preserve"> </w:t>
      </w:r>
      <w:r w:rsidRPr="00D60DA0">
        <w:t>The Pattern of Expectation: 1644-2001, I.F. Clarke</w:t>
      </w:r>
    </w:p>
  </w:footnote>
  <w:footnote w:id="3549">
    <w:p w14:paraId="0A84EDB2" w14:textId="77777777" w:rsidR="00B47FF5" w:rsidRDefault="00B47FF5" w:rsidP="0037616D">
      <w:pPr>
        <w:pStyle w:val="FootnoteText"/>
      </w:pPr>
      <w:r>
        <w:rPr>
          <w:rStyle w:val="FootnoteReference"/>
        </w:rPr>
        <w:footnoteRef/>
      </w:r>
      <w:r>
        <w:rPr>
          <w:rtl/>
        </w:rPr>
        <w:t xml:space="preserve"> </w:t>
      </w:r>
      <w:r w:rsidRPr="00D60DA0">
        <w:t>The Power to Change the World: The Art of Forecasting, Graham Molitor</w:t>
      </w:r>
    </w:p>
  </w:footnote>
  <w:footnote w:id="3550">
    <w:p w14:paraId="289F69EE" w14:textId="77777777" w:rsidR="00B47FF5" w:rsidRDefault="00B47FF5" w:rsidP="0037616D">
      <w:pPr>
        <w:pStyle w:val="FootnoteText"/>
      </w:pPr>
      <w:r>
        <w:rPr>
          <w:rStyle w:val="FootnoteReference"/>
        </w:rPr>
        <w:footnoteRef/>
      </w:r>
      <w:r>
        <w:rPr>
          <w:rtl/>
        </w:rPr>
        <w:t xml:space="preserve"> </w:t>
      </w:r>
      <w:r w:rsidRPr="00D60DA0">
        <w:t>The Predictioneer’s Game, Bruce Bueno de Mesquita</w:t>
      </w:r>
    </w:p>
  </w:footnote>
  <w:footnote w:id="3551">
    <w:p w14:paraId="06AFA602" w14:textId="77777777" w:rsidR="00B47FF5" w:rsidRDefault="00B47FF5" w:rsidP="0037616D">
      <w:pPr>
        <w:pStyle w:val="FootnoteText"/>
      </w:pPr>
      <w:r>
        <w:rPr>
          <w:rStyle w:val="FootnoteReference"/>
        </w:rPr>
        <w:footnoteRef/>
      </w:r>
      <w:r>
        <w:rPr>
          <w:rtl/>
        </w:rPr>
        <w:t xml:space="preserve"> </w:t>
      </w:r>
      <w:r w:rsidRPr="00D60DA0">
        <w:t>The Pursuit of Destiny: A History of Prediction, Paul Halpern</w:t>
      </w:r>
    </w:p>
  </w:footnote>
  <w:footnote w:id="3552">
    <w:p w14:paraId="1B804656" w14:textId="77777777" w:rsidR="00B47FF5" w:rsidRDefault="00B47FF5" w:rsidP="0037616D">
      <w:pPr>
        <w:pStyle w:val="FootnoteText"/>
      </w:pPr>
      <w:r>
        <w:rPr>
          <w:rStyle w:val="FootnoteReference"/>
        </w:rPr>
        <w:footnoteRef/>
      </w:r>
      <w:r>
        <w:rPr>
          <w:rtl/>
        </w:rPr>
        <w:t xml:space="preserve"> </w:t>
      </w:r>
      <w:r w:rsidRPr="00D60DA0">
        <w:t>The Rough Guide to the Future, Jon Turney</w:t>
      </w:r>
    </w:p>
  </w:footnote>
  <w:footnote w:id="3553">
    <w:p w14:paraId="23172025" w14:textId="77777777" w:rsidR="00B47FF5" w:rsidRDefault="00B47FF5" w:rsidP="0037616D">
      <w:pPr>
        <w:pStyle w:val="FootnoteText"/>
      </w:pPr>
      <w:r>
        <w:rPr>
          <w:rStyle w:val="FootnoteReference"/>
        </w:rPr>
        <w:footnoteRef/>
      </w:r>
      <w:r>
        <w:rPr>
          <w:rtl/>
        </w:rPr>
        <w:t xml:space="preserve"> </w:t>
      </w:r>
      <w:r w:rsidRPr="00D60DA0">
        <w:t>The Signal and the Noise: Why Most Predictions Fail But, Some Don’t, Nate Silver</w:t>
      </w:r>
    </w:p>
  </w:footnote>
  <w:footnote w:id="3554">
    <w:p w14:paraId="4938E92F" w14:textId="77777777" w:rsidR="00B47FF5" w:rsidRDefault="00B47FF5" w:rsidP="0037616D">
      <w:pPr>
        <w:pStyle w:val="FootnoteText"/>
      </w:pPr>
      <w:r>
        <w:rPr>
          <w:rStyle w:val="FootnoteReference"/>
        </w:rPr>
        <w:footnoteRef/>
      </w:r>
      <w:r>
        <w:rPr>
          <w:rtl/>
        </w:rPr>
        <w:t xml:space="preserve"> </w:t>
      </w:r>
      <w:r w:rsidRPr="00D60DA0">
        <w:t>The Sixth Sense: Accelerating Org Learning With Scenarios, Kees van der Heijden</w:t>
      </w:r>
    </w:p>
  </w:footnote>
  <w:footnote w:id="3555">
    <w:p w14:paraId="27567D54" w14:textId="77777777" w:rsidR="00B47FF5" w:rsidRDefault="00B47FF5" w:rsidP="0037616D">
      <w:pPr>
        <w:pStyle w:val="FootnoteText"/>
      </w:pPr>
      <w:r>
        <w:rPr>
          <w:rStyle w:val="FootnoteReference"/>
        </w:rPr>
        <w:footnoteRef/>
      </w:r>
      <w:r>
        <w:rPr>
          <w:rtl/>
        </w:rPr>
        <w:t xml:space="preserve"> </w:t>
      </w:r>
      <w:r w:rsidRPr="00D60DA0">
        <w:t>The Starﬁsh and the Spider, Brafman and Beckstrom</w:t>
      </w:r>
    </w:p>
  </w:footnote>
  <w:footnote w:id="3556">
    <w:p w14:paraId="3C12BD68" w14:textId="77777777" w:rsidR="00B47FF5" w:rsidRDefault="00B47FF5" w:rsidP="0037616D">
      <w:pPr>
        <w:pStyle w:val="FootnoteText"/>
      </w:pPr>
      <w:r>
        <w:rPr>
          <w:rStyle w:val="FootnoteReference"/>
        </w:rPr>
        <w:footnoteRef/>
      </w:r>
      <w:r>
        <w:rPr>
          <w:rtl/>
        </w:rPr>
        <w:t xml:space="preserve"> </w:t>
      </w:r>
      <w:r w:rsidRPr="00D60DA0">
        <w:t>The Unbounded Mind: Nontraditional Biz Thinking, Ian Mitroﬀ &amp; Hal Linstone</w:t>
      </w:r>
    </w:p>
  </w:footnote>
  <w:footnote w:id="3557">
    <w:p w14:paraId="35F919F8" w14:textId="77777777" w:rsidR="00B47FF5" w:rsidRDefault="00B47FF5" w:rsidP="0037616D">
      <w:pPr>
        <w:pStyle w:val="FootnoteText"/>
      </w:pPr>
      <w:r>
        <w:rPr>
          <w:rStyle w:val="FootnoteReference"/>
        </w:rPr>
        <w:footnoteRef/>
      </w:r>
      <w:r>
        <w:rPr>
          <w:rtl/>
        </w:rPr>
        <w:t xml:space="preserve"> </w:t>
      </w:r>
      <w:r w:rsidRPr="00D60DA0">
        <w:t>The Ways and Power of Love, Pitirim Sorokin</w:t>
      </w:r>
    </w:p>
  </w:footnote>
  <w:footnote w:id="3558">
    <w:p w14:paraId="30661B1B" w14:textId="77777777" w:rsidR="00B47FF5" w:rsidRDefault="00B47FF5" w:rsidP="0037616D">
      <w:pPr>
        <w:pStyle w:val="FootnoteText"/>
      </w:pPr>
      <w:r>
        <w:rPr>
          <w:rStyle w:val="FootnoteReference"/>
        </w:rPr>
        <w:footnoteRef/>
      </w:r>
      <w:r>
        <w:rPr>
          <w:rtl/>
        </w:rPr>
        <w:t xml:space="preserve"> </w:t>
      </w:r>
      <w:r w:rsidRPr="00D60DA0">
        <w:t>The Well-Timed Strategy: The Biz Cycle as Competitive Advantage, Peter Navarro</w:t>
      </w:r>
    </w:p>
  </w:footnote>
  <w:footnote w:id="3559">
    <w:p w14:paraId="582AB6BF" w14:textId="77777777" w:rsidR="00B47FF5" w:rsidRDefault="00B47FF5" w:rsidP="0037616D">
      <w:pPr>
        <w:pStyle w:val="FootnoteText"/>
      </w:pPr>
      <w:r>
        <w:rPr>
          <w:rStyle w:val="FootnoteReference"/>
        </w:rPr>
        <w:footnoteRef/>
      </w:r>
      <w:r>
        <w:rPr>
          <w:rtl/>
        </w:rPr>
        <w:t xml:space="preserve"> </w:t>
      </w:r>
      <w:r w:rsidRPr="00D60DA0">
        <w:t>Theory of Constraints, Eliyahu Goldratt</w:t>
      </w:r>
    </w:p>
  </w:footnote>
  <w:footnote w:id="3560">
    <w:p w14:paraId="79B1925A" w14:textId="77777777" w:rsidR="00B47FF5" w:rsidRDefault="00B47FF5" w:rsidP="0037616D">
      <w:pPr>
        <w:pStyle w:val="FootnoteText"/>
      </w:pPr>
      <w:r>
        <w:rPr>
          <w:rStyle w:val="FootnoteReference"/>
        </w:rPr>
        <w:footnoteRef/>
      </w:r>
      <w:r>
        <w:rPr>
          <w:rtl/>
        </w:rPr>
        <w:t xml:space="preserve"> </w:t>
      </w:r>
      <w:r w:rsidRPr="00D60DA0">
        <w:t>Think Like a Futurist, Cecily Sommers</w:t>
      </w:r>
    </w:p>
  </w:footnote>
  <w:footnote w:id="3561">
    <w:p w14:paraId="2C488626" w14:textId="77777777" w:rsidR="00B47FF5" w:rsidRDefault="00B47FF5" w:rsidP="0037616D">
      <w:pPr>
        <w:pStyle w:val="FootnoteText"/>
      </w:pPr>
      <w:r>
        <w:rPr>
          <w:rStyle w:val="FootnoteReference"/>
        </w:rPr>
        <w:footnoteRef/>
      </w:r>
      <w:r>
        <w:rPr>
          <w:rtl/>
        </w:rPr>
        <w:t xml:space="preserve"> </w:t>
      </w:r>
      <w:r w:rsidRPr="00D60DA0">
        <w:t>Thinking about the Future: Guidelines for Strategic Foresight, Bishop &amp; Hines</w:t>
      </w:r>
    </w:p>
  </w:footnote>
  <w:footnote w:id="3562">
    <w:p w14:paraId="754F3897" w14:textId="77777777" w:rsidR="00B47FF5" w:rsidRDefault="00B47FF5" w:rsidP="0037616D">
      <w:pPr>
        <w:pStyle w:val="FootnoteText"/>
      </w:pPr>
      <w:r>
        <w:rPr>
          <w:rStyle w:val="FootnoteReference"/>
        </w:rPr>
        <w:footnoteRef/>
      </w:r>
      <w:r>
        <w:rPr>
          <w:rtl/>
        </w:rPr>
        <w:t xml:space="preserve"> </w:t>
      </w:r>
      <w:r w:rsidRPr="00D60DA0">
        <w:t>Thinking in Systems: A Primer, Donella Meadows</w:t>
      </w:r>
    </w:p>
  </w:footnote>
  <w:footnote w:id="3563">
    <w:p w14:paraId="7B3B026C" w14:textId="77777777" w:rsidR="00B47FF5" w:rsidRDefault="00B47FF5" w:rsidP="0037616D">
      <w:pPr>
        <w:pStyle w:val="FootnoteText"/>
      </w:pPr>
      <w:r>
        <w:rPr>
          <w:rStyle w:val="FootnoteReference"/>
        </w:rPr>
        <w:footnoteRef/>
      </w:r>
      <w:r>
        <w:rPr>
          <w:rtl/>
        </w:rPr>
        <w:t xml:space="preserve"> </w:t>
      </w:r>
      <w:r w:rsidRPr="00D60DA0">
        <w:t>Thought and Knowledge: An Intro to Critical Thinking, 5th Ed., Diane F. Halpern</w:t>
      </w:r>
    </w:p>
  </w:footnote>
  <w:footnote w:id="3564">
    <w:p w14:paraId="21D8D5F5" w14:textId="77777777" w:rsidR="00B47FF5" w:rsidRDefault="00B47FF5" w:rsidP="0037616D">
      <w:pPr>
        <w:pStyle w:val="FootnoteText"/>
      </w:pPr>
      <w:r>
        <w:rPr>
          <w:rStyle w:val="FootnoteReference"/>
        </w:rPr>
        <w:footnoteRef/>
      </w:r>
      <w:r>
        <w:rPr>
          <w:rtl/>
        </w:rPr>
        <w:t xml:space="preserve"> </w:t>
      </w:r>
      <w:r w:rsidRPr="00D60DA0">
        <w:t>Thrivability: Breaking Through to a World that Works, Jean M. Russell</w:t>
      </w:r>
    </w:p>
  </w:footnote>
  <w:footnote w:id="3565">
    <w:p w14:paraId="1694E110" w14:textId="398B0480" w:rsidR="00B47FF5" w:rsidRDefault="00B47FF5" w:rsidP="0037616D">
      <w:pPr>
        <w:pStyle w:val="FootnoteText"/>
      </w:pPr>
      <w:r>
        <w:rPr>
          <w:rStyle w:val="FootnoteReference"/>
        </w:rPr>
        <w:footnoteRef/>
      </w:r>
      <w:r>
        <w:rPr>
          <w:rtl/>
        </w:rPr>
        <w:t xml:space="preserve"> </w:t>
      </w:r>
      <w:r w:rsidRPr="00D60DA0">
        <w:t>Time</w:t>
      </w:r>
      <w:r>
        <w:t xml:space="preserve"> </w:t>
      </w:r>
      <w:r w:rsidRPr="00D60DA0">
        <w:t>to</w:t>
      </w:r>
      <w:r>
        <w:t xml:space="preserve"> </w:t>
      </w:r>
      <w:r w:rsidRPr="00D60DA0">
        <w:t>Lead:</w:t>
      </w:r>
      <w:r>
        <w:t xml:space="preserve"> </w:t>
      </w:r>
      <w:r w:rsidRPr="00D60DA0">
        <w:t>Lessons</w:t>
      </w:r>
      <w:r>
        <w:t xml:space="preserve"> </w:t>
      </w:r>
      <w:r w:rsidRPr="00D60DA0">
        <w:t>for</w:t>
      </w:r>
      <w:r>
        <w:t xml:space="preserve"> </w:t>
      </w:r>
      <w:r w:rsidRPr="00D60DA0">
        <w:t>Today’s</w:t>
      </w:r>
      <w:r>
        <w:t xml:space="preserve"> </w:t>
      </w:r>
      <w:r w:rsidRPr="00D60DA0">
        <w:t>Leaders,</w:t>
      </w:r>
      <w:r>
        <w:t xml:space="preserve"> </w:t>
      </w:r>
      <w:r w:rsidRPr="00D60DA0">
        <w:t>Jan-Benedict Steenkamp</w:t>
      </w:r>
    </w:p>
  </w:footnote>
  <w:footnote w:id="3566">
    <w:p w14:paraId="688ADA1C" w14:textId="77777777" w:rsidR="00B47FF5" w:rsidRDefault="00B47FF5" w:rsidP="0037616D">
      <w:pPr>
        <w:pStyle w:val="FootnoteText"/>
      </w:pPr>
      <w:r>
        <w:rPr>
          <w:rStyle w:val="FootnoteReference"/>
        </w:rPr>
        <w:footnoteRef/>
      </w:r>
      <w:r>
        <w:rPr>
          <w:rtl/>
        </w:rPr>
        <w:t xml:space="preserve"> </w:t>
      </w:r>
      <w:r w:rsidRPr="00D60DA0">
        <w:t>UNIDO Tech Foresight Manual, Vol 1, Methods. and Vol 2, Examples., UNIDO</w:t>
      </w:r>
    </w:p>
  </w:footnote>
  <w:footnote w:id="3567">
    <w:p w14:paraId="31DE3FF6" w14:textId="77777777" w:rsidR="00B47FF5" w:rsidRDefault="00B47FF5" w:rsidP="0037616D">
      <w:pPr>
        <w:pStyle w:val="FootnoteText"/>
      </w:pPr>
      <w:r>
        <w:rPr>
          <w:rStyle w:val="FootnoteReference"/>
        </w:rPr>
        <w:footnoteRef/>
      </w:r>
      <w:r>
        <w:rPr>
          <w:rtl/>
        </w:rPr>
        <w:t xml:space="preserve"> </w:t>
      </w:r>
      <w:r w:rsidRPr="00D60DA0">
        <w:t>Using Trends and Scenarios as Tools for Strategy Development, Ulf Pillkahn</w:t>
      </w:r>
    </w:p>
  </w:footnote>
  <w:footnote w:id="3568">
    <w:p w14:paraId="36488766" w14:textId="77777777" w:rsidR="00B47FF5" w:rsidRDefault="00B47FF5" w:rsidP="0037616D">
      <w:pPr>
        <w:pStyle w:val="FootnoteText"/>
      </w:pPr>
      <w:r>
        <w:rPr>
          <w:rStyle w:val="FootnoteReference"/>
        </w:rPr>
        <w:footnoteRef/>
      </w:r>
      <w:r>
        <w:rPr>
          <w:rtl/>
        </w:rPr>
        <w:t xml:space="preserve"> </w:t>
      </w:r>
      <w:r w:rsidRPr="00D60DA0">
        <w:t>Visioning, Lucia Capacchione</w:t>
      </w:r>
    </w:p>
  </w:footnote>
  <w:footnote w:id="3569">
    <w:p w14:paraId="177F3564" w14:textId="77777777" w:rsidR="00B47FF5" w:rsidRDefault="00B47FF5" w:rsidP="0037616D">
      <w:pPr>
        <w:pStyle w:val="FootnoteText"/>
      </w:pPr>
      <w:r>
        <w:rPr>
          <w:rStyle w:val="FootnoteReference"/>
        </w:rPr>
        <w:footnoteRef/>
      </w:r>
      <w:r>
        <w:rPr>
          <w:rtl/>
        </w:rPr>
        <w:t xml:space="preserve"> </w:t>
      </w:r>
      <w:r w:rsidRPr="00D60DA0">
        <w:t>Visualize This: Guide to Design, Visualization, and Statistics, Nathan Yau</w:t>
      </w:r>
    </w:p>
  </w:footnote>
  <w:footnote w:id="3570">
    <w:p w14:paraId="062FEEEF" w14:textId="77777777" w:rsidR="00B47FF5" w:rsidRDefault="00B47FF5" w:rsidP="0037616D">
      <w:pPr>
        <w:pStyle w:val="FootnoteText"/>
      </w:pPr>
      <w:r>
        <w:rPr>
          <w:rStyle w:val="FootnoteReference"/>
        </w:rPr>
        <w:footnoteRef/>
      </w:r>
      <w:r>
        <w:rPr>
          <w:rtl/>
        </w:rPr>
        <w:t xml:space="preserve"> </w:t>
      </w:r>
      <w:r w:rsidRPr="00AD4C1D">
        <w:t>Wargaming for Leaders, Herman and Frost</w:t>
      </w:r>
    </w:p>
  </w:footnote>
  <w:footnote w:id="3571">
    <w:p w14:paraId="77EE03BD" w14:textId="77777777" w:rsidR="00B47FF5" w:rsidRDefault="00B47FF5" w:rsidP="0037616D">
      <w:pPr>
        <w:pStyle w:val="FootnoteText"/>
      </w:pPr>
      <w:r>
        <w:rPr>
          <w:rStyle w:val="FootnoteReference"/>
        </w:rPr>
        <w:footnoteRef/>
      </w:r>
      <w:r>
        <w:rPr>
          <w:rtl/>
        </w:rPr>
        <w:t xml:space="preserve"> </w:t>
      </w:r>
      <w:r w:rsidRPr="00AD4C1D">
        <w:t>Warnings: Finding Cassandras to Stop Catastrophes, Richard Clark &amp; R.P. Eddy</w:t>
      </w:r>
    </w:p>
  </w:footnote>
  <w:footnote w:id="3572">
    <w:p w14:paraId="01125D5B" w14:textId="45F8FB6C" w:rsidR="00B47FF5" w:rsidRDefault="00B47FF5" w:rsidP="0037616D">
      <w:pPr>
        <w:pStyle w:val="FootnoteText"/>
      </w:pPr>
      <w:r>
        <w:rPr>
          <w:rStyle w:val="FootnoteReference"/>
        </w:rPr>
        <w:footnoteRef/>
      </w:r>
      <w:r>
        <w:rPr>
          <w:rtl/>
        </w:rPr>
        <w:t xml:space="preserve"> </w:t>
      </w:r>
      <w:r>
        <w:t>Wise Before the Event:</w:t>
      </w:r>
      <w:r w:rsidRPr="00AD4C1D">
        <w:t xml:space="preserve"> 20/25 Years Scient</w:t>
      </w:r>
      <w:r>
        <w:t>iﬁc Council for Govt Policy, WR.</w:t>
      </w:r>
    </w:p>
  </w:footnote>
  <w:footnote w:id="3573">
    <w:p w14:paraId="38940A8E" w14:textId="77777777" w:rsidR="00B47FF5" w:rsidRDefault="00B47FF5" w:rsidP="0037616D">
      <w:pPr>
        <w:pStyle w:val="FootnoteText"/>
      </w:pPr>
      <w:r>
        <w:rPr>
          <w:rStyle w:val="FootnoteReference"/>
        </w:rPr>
        <w:footnoteRef/>
      </w:r>
      <w:r>
        <w:rPr>
          <w:rtl/>
        </w:rPr>
        <w:t xml:space="preserve"> </w:t>
      </w:r>
      <w:r w:rsidRPr="00AD4C1D">
        <w:t>Work Rules!: Insights from Google to Transform How You Lead, Laszlo Bock</w:t>
      </w:r>
    </w:p>
  </w:footnote>
  <w:footnote w:id="3574">
    <w:p w14:paraId="2265C0A8" w14:textId="77777777" w:rsidR="00B47FF5" w:rsidRDefault="00B47FF5" w:rsidP="0037616D">
      <w:pPr>
        <w:pStyle w:val="FootnoteText"/>
      </w:pPr>
      <w:r>
        <w:rPr>
          <w:rStyle w:val="FootnoteReference"/>
        </w:rPr>
        <w:footnoteRef/>
      </w:r>
      <w:r>
        <w:rPr>
          <w:rtl/>
        </w:rPr>
        <w:t xml:space="preserve"> </w:t>
      </w:r>
      <w:r w:rsidRPr="00AD4C1D">
        <w:t>Wrong: Why Experts Fail Us and When Not to Trust Them, David Freedman</w:t>
      </w:r>
    </w:p>
  </w:footnote>
  <w:footnote w:id="3575">
    <w:p w14:paraId="0CA69D1F" w14:textId="35B6E158" w:rsidR="00B47FF5" w:rsidRDefault="00B47FF5">
      <w:pPr>
        <w:pStyle w:val="FootnoteText"/>
        <w:rPr>
          <w:rtl/>
        </w:rPr>
      </w:pPr>
      <w:r>
        <w:rPr>
          <w:rStyle w:val="FootnoteReference"/>
        </w:rPr>
        <w:footnoteRef/>
      </w:r>
      <w:r>
        <w:t xml:space="preserve"> </w:t>
      </w:r>
      <w:r w:rsidRPr="00A6676A">
        <w:t>Audible</w:t>
      </w:r>
    </w:p>
  </w:footnote>
  <w:footnote w:id="3576">
    <w:p w14:paraId="1057B9E5" w14:textId="29787AFB" w:rsidR="00B47FF5" w:rsidRDefault="00B47FF5" w:rsidP="00A6676A">
      <w:pPr>
        <w:pStyle w:val="FootnoteText"/>
        <w:rPr>
          <w:rtl/>
        </w:rPr>
      </w:pPr>
      <w:r>
        <w:rPr>
          <w:rStyle w:val="FootnoteReference"/>
        </w:rPr>
        <w:footnoteRef/>
      </w:r>
      <w:r>
        <w:t xml:space="preserve"> </w:t>
      </w:r>
      <w:r w:rsidRPr="00A6676A">
        <w:t>Spotify</w:t>
      </w:r>
    </w:p>
  </w:footnote>
  <w:footnote w:id="3577">
    <w:p w14:paraId="3E978BBD" w14:textId="588900AB" w:rsidR="00B47FF5" w:rsidRDefault="00B47FF5" w:rsidP="00A6676A">
      <w:pPr>
        <w:pStyle w:val="FootnoteText"/>
        <w:rPr>
          <w:rtl/>
        </w:rPr>
      </w:pPr>
      <w:r>
        <w:rPr>
          <w:rStyle w:val="FootnoteReference"/>
        </w:rPr>
        <w:footnoteRef/>
      </w:r>
      <w:r>
        <w:t xml:space="preserve"> </w:t>
      </w:r>
      <w:r w:rsidRPr="00A6676A">
        <w:t>iTunes</w:t>
      </w:r>
    </w:p>
  </w:footnote>
  <w:footnote w:id="3578">
    <w:p w14:paraId="015CB32A" w14:textId="77777777" w:rsidR="00B47FF5" w:rsidRDefault="00B47FF5" w:rsidP="00537CC8">
      <w:pPr>
        <w:pStyle w:val="FootnoteText"/>
      </w:pPr>
      <w:r>
        <w:rPr>
          <w:rStyle w:val="FootnoteReference"/>
        </w:rPr>
        <w:footnoteRef/>
      </w:r>
      <w:r>
        <w:rPr>
          <w:rtl/>
        </w:rPr>
        <w:t xml:space="preserve"> </w:t>
      </w:r>
      <w:r w:rsidRPr="00662249">
        <w:t>Ben Gilbert and David Rosenthal</w:t>
      </w:r>
    </w:p>
  </w:footnote>
  <w:footnote w:id="3579">
    <w:p w14:paraId="5C520D00" w14:textId="77777777" w:rsidR="00B47FF5" w:rsidRDefault="00B47FF5" w:rsidP="00537CC8">
      <w:pPr>
        <w:pStyle w:val="FootnoteText"/>
      </w:pPr>
      <w:r>
        <w:rPr>
          <w:rStyle w:val="FootnoteReference"/>
        </w:rPr>
        <w:footnoteRef/>
      </w:r>
      <w:r>
        <w:rPr>
          <w:rtl/>
        </w:rPr>
        <w:t xml:space="preserve"> </w:t>
      </w:r>
      <w:r w:rsidRPr="00662249">
        <w:t>Chamath Palihapitiya, Jason Calacanis, David Sacks &amp; David Friedberg</w:t>
      </w:r>
    </w:p>
  </w:footnote>
  <w:footnote w:id="3580">
    <w:p w14:paraId="52C9A26D" w14:textId="77777777" w:rsidR="00B47FF5" w:rsidRDefault="00B47FF5" w:rsidP="00537CC8">
      <w:pPr>
        <w:pStyle w:val="FootnoteText"/>
      </w:pPr>
      <w:r>
        <w:rPr>
          <w:rStyle w:val="FootnoteReference"/>
        </w:rPr>
        <w:footnoteRef/>
      </w:r>
      <w:r>
        <w:rPr>
          <w:rtl/>
        </w:rPr>
        <w:t xml:space="preserve"> </w:t>
      </w:r>
      <w:r w:rsidRPr="00662249">
        <w:t>Dax Shepard and Monica Padman</w:t>
      </w:r>
    </w:p>
  </w:footnote>
  <w:footnote w:id="3581">
    <w:p w14:paraId="1C690458" w14:textId="77777777" w:rsidR="00B47FF5" w:rsidRDefault="00B47FF5" w:rsidP="00537CC8">
      <w:pPr>
        <w:pStyle w:val="FootnoteText"/>
      </w:pPr>
      <w:r>
        <w:rPr>
          <w:rStyle w:val="FootnoteReference"/>
        </w:rPr>
        <w:footnoteRef/>
      </w:r>
      <w:r>
        <w:rPr>
          <w:rtl/>
        </w:rPr>
        <w:t xml:space="preserve"> </w:t>
      </w:r>
      <w:r w:rsidRPr="00662249">
        <w:t>Danny Fortson</w:t>
      </w:r>
    </w:p>
  </w:footnote>
  <w:footnote w:id="3582">
    <w:p w14:paraId="03D86828" w14:textId="77777777" w:rsidR="00B47FF5" w:rsidRDefault="00B47FF5" w:rsidP="00537CC8">
      <w:pPr>
        <w:pStyle w:val="FootnoteText"/>
      </w:pPr>
      <w:r>
        <w:rPr>
          <w:rStyle w:val="FootnoteReference"/>
        </w:rPr>
        <w:footnoteRef/>
      </w:r>
      <w:r>
        <w:rPr>
          <w:rtl/>
        </w:rPr>
        <w:t xml:space="preserve"> </w:t>
      </w:r>
      <w:r w:rsidRPr="00AD39DF">
        <w:t>Cal Newport</w:t>
      </w:r>
    </w:p>
  </w:footnote>
  <w:footnote w:id="3583">
    <w:p w14:paraId="20208540" w14:textId="77777777" w:rsidR="00B47FF5" w:rsidRDefault="00B47FF5" w:rsidP="00537CC8">
      <w:pPr>
        <w:pStyle w:val="FootnoteText"/>
      </w:pPr>
      <w:r>
        <w:rPr>
          <w:rStyle w:val="FootnoteReference"/>
        </w:rPr>
        <w:footnoteRef/>
      </w:r>
      <w:r>
        <w:rPr>
          <w:rtl/>
        </w:rPr>
        <w:t xml:space="preserve"> </w:t>
      </w:r>
      <w:r w:rsidRPr="00AD39DF">
        <w:t>Azeem Azhar, HBR</w:t>
      </w:r>
    </w:p>
  </w:footnote>
  <w:footnote w:id="3584">
    <w:p w14:paraId="1AA49D01" w14:textId="77777777" w:rsidR="00B47FF5" w:rsidRDefault="00B47FF5" w:rsidP="00537CC8">
      <w:pPr>
        <w:pStyle w:val="FootnoteText"/>
      </w:pPr>
      <w:r>
        <w:rPr>
          <w:rStyle w:val="FootnoteReference"/>
        </w:rPr>
        <w:footnoteRef/>
      </w:r>
      <w:r>
        <w:rPr>
          <w:rtl/>
        </w:rPr>
        <w:t xml:space="preserve"> </w:t>
      </w:r>
      <w:r w:rsidRPr="00AD39DF">
        <w:t>Dan Sullivan and Peter Diamandis</w:t>
      </w:r>
    </w:p>
  </w:footnote>
  <w:footnote w:id="3585">
    <w:p w14:paraId="3827DE0B" w14:textId="77777777" w:rsidR="00B47FF5" w:rsidRDefault="00B47FF5" w:rsidP="00537CC8">
      <w:pPr>
        <w:pStyle w:val="FootnoteText"/>
      </w:pPr>
      <w:r>
        <w:rPr>
          <w:rStyle w:val="FootnoteReference"/>
        </w:rPr>
        <w:footnoteRef/>
      </w:r>
      <w:r>
        <w:rPr>
          <w:rtl/>
        </w:rPr>
        <w:t xml:space="preserve"> </w:t>
      </w:r>
      <w:r w:rsidRPr="00AD39DF">
        <w:t>Rhonda Patrick</w:t>
      </w:r>
    </w:p>
  </w:footnote>
  <w:footnote w:id="3586">
    <w:p w14:paraId="6C7E2C0D" w14:textId="77777777" w:rsidR="00B47FF5" w:rsidRDefault="00B47FF5" w:rsidP="00537CC8">
      <w:pPr>
        <w:pStyle w:val="FootnoteText"/>
      </w:pPr>
      <w:r>
        <w:rPr>
          <w:rStyle w:val="FootnoteReference"/>
        </w:rPr>
        <w:footnoteRef/>
      </w:r>
      <w:r>
        <w:rPr>
          <w:rtl/>
        </w:rPr>
        <w:t xml:space="preserve"> </w:t>
      </w:r>
      <w:r w:rsidRPr="00AD39DF">
        <w:t>Ryan O’Shea</w:t>
      </w:r>
    </w:p>
  </w:footnote>
  <w:footnote w:id="3587">
    <w:p w14:paraId="3F6CE9AE" w14:textId="77777777" w:rsidR="00B47FF5" w:rsidRDefault="00B47FF5" w:rsidP="00537CC8">
      <w:pPr>
        <w:pStyle w:val="FootnoteText"/>
      </w:pPr>
      <w:r>
        <w:rPr>
          <w:rStyle w:val="FootnoteReference"/>
        </w:rPr>
        <w:footnoteRef/>
      </w:r>
      <w:r>
        <w:rPr>
          <w:rtl/>
        </w:rPr>
        <w:t xml:space="preserve"> </w:t>
      </w:r>
      <w:r w:rsidRPr="00AD39DF">
        <w:t>Brian Cave</w:t>
      </w:r>
    </w:p>
  </w:footnote>
  <w:footnote w:id="3588">
    <w:p w14:paraId="504D94E6" w14:textId="77777777" w:rsidR="00B47FF5" w:rsidRDefault="00B47FF5" w:rsidP="00537CC8">
      <w:pPr>
        <w:pStyle w:val="FootnoteText"/>
      </w:pPr>
      <w:r>
        <w:rPr>
          <w:rStyle w:val="FootnoteReference"/>
        </w:rPr>
        <w:footnoteRef/>
      </w:r>
      <w:r>
        <w:rPr>
          <w:rtl/>
        </w:rPr>
        <w:t xml:space="preserve"> </w:t>
      </w:r>
      <w:r w:rsidRPr="00AD39DF">
        <w:t>Rebecca Mijat, Peter Hayword, four others</w:t>
      </w:r>
    </w:p>
  </w:footnote>
  <w:footnote w:id="3589">
    <w:p w14:paraId="4B56097B" w14:textId="77777777" w:rsidR="00B47FF5" w:rsidRDefault="00B47FF5" w:rsidP="00537CC8">
      <w:pPr>
        <w:pStyle w:val="FootnoteText"/>
      </w:pPr>
      <w:r>
        <w:rPr>
          <w:rStyle w:val="FootnoteReference"/>
        </w:rPr>
        <w:footnoteRef/>
      </w:r>
      <w:r>
        <w:rPr>
          <w:rtl/>
        </w:rPr>
        <w:t xml:space="preserve"> </w:t>
      </w:r>
      <w:r w:rsidRPr="00AD39DF">
        <w:t>Sam Harris</w:t>
      </w:r>
    </w:p>
  </w:footnote>
  <w:footnote w:id="3590">
    <w:p w14:paraId="3EB689ED" w14:textId="77777777" w:rsidR="00B47FF5" w:rsidRDefault="00B47FF5" w:rsidP="00537CC8">
      <w:pPr>
        <w:pStyle w:val="FootnoteText"/>
      </w:pPr>
      <w:r>
        <w:rPr>
          <w:rStyle w:val="FootnoteReference"/>
        </w:rPr>
        <w:footnoteRef/>
      </w:r>
      <w:r>
        <w:rPr>
          <w:rtl/>
        </w:rPr>
        <w:t xml:space="preserve"> </w:t>
      </w:r>
      <w:r w:rsidRPr="00AD39DF">
        <w:t>August Bradley</w:t>
      </w:r>
    </w:p>
  </w:footnote>
  <w:footnote w:id="3591">
    <w:p w14:paraId="7BD6258E" w14:textId="77777777" w:rsidR="00B47FF5" w:rsidRDefault="00B47FF5" w:rsidP="00537CC8">
      <w:pPr>
        <w:pStyle w:val="FootnoteText"/>
      </w:pPr>
      <w:r>
        <w:rPr>
          <w:rStyle w:val="FootnoteReference"/>
        </w:rPr>
        <w:footnoteRef/>
      </w:r>
      <w:r>
        <w:rPr>
          <w:rtl/>
        </w:rPr>
        <w:t xml:space="preserve"> </w:t>
      </w:r>
      <w:r w:rsidRPr="00AD39DF">
        <w:t>Chris Hill</w:t>
      </w:r>
    </w:p>
  </w:footnote>
  <w:footnote w:id="3592">
    <w:p w14:paraId="616BBE55" w14:textId="77777777" w:rsidR="00B47FF5" w:rsidRDefault="00B47FF5" w:rsidP="00537CC8">
      <w:pPr>
        <w:pStyle w:val="FootnoteText"/>
      </w:pPr>
      <w:r>
        <w:rPr>
          <w:rStyle w:val="FootnoteReference"/>
        </w:rPr>
        <w:footnoteRef/>
      </w:r>
      <w:r>
        <w:rPr>
          <w:rtl/>
        </w:rPr>
        <w:t xml:space="preserve"> </w:t>
      </w:r>
      <w:r w:rsidRPr="00AD39DF">
        <w:t>Andrew Weinreich</w:t>
      </w:r>
    </w:p>
  </w:footnote>
  <w:footnote w:id="3593">
    <w:p w14:paraId="7D71A58E" w14:textId="77777777" w:rsidR="00B47FF5" w:rsidRDefault="00B47FF5" w:rsidP="00537CC8">
      <w:pPr>
        <w:pStyle w:val="FootnoteText"/>
      </w:pPr>
      <w:r>
        <w:rPr>
          <w:rStyle w:val="FootnoteReference"/>
        </w:rPr>
        <w:footnoteRef/>
      </w:r>
      <w:r>
        <w:rPr>
          <w:rtl/>
        </w:rPr>
        <w:t xml:space="preserve"> </w:t>
      </w:r>
      <w:r w:rsidRPr="00AD39DF">
        <w:t>Stora Enso</w:t>
      </w:r>
    </w:p>
  </w:footnote>
  <w:footnote w:id="3594">
    <w:p w14:paraId="0BE94142" w14:textId="77777777" w:rsidR="00B47FF5" w:rsidRDefault="00B47FF5" w:rsidP="00537CC8">
      <w:pPr>
        <w:pStyle w:val="FootnoteText"/>
      </w:pPr>
      <w:r>
        <w:rPr>
          <w:rStyle w:val="FootnoteReference"/>
        </w:rPr>
        <w:footnoteRef/>
      </w:r>
      <w:r>
        <w:rPr>
          <w:rtl/>
        </w:rPr>
        <w:t xml:space="preserve"> </w:t>
      </w:r>
      <w:r w:rsidRPr="00AD39DF">
        <w:t>Stewart Brand and Long Now Foundation</w:t>
      </w:r>
    </w:p>
  </w:footnote>
  <w:footnote w:id="3595">
    <w:p w14:paraId="0E794072" w14:textId="77777777" w:rsidR="00B47FF5" w:rsidRDefault="00B47FF5" w:rsidP="00537CC8">
      <w:pPr>
        <w:pStyle w:val="FootnoteText"/>
      </w:pPr>
      <w:r>
        <w:rPr>
          <w:rStyle w:val="FootnoteReference"/>
        </w:rPr>
        <w:footnoteRef/>
      </w:r>
      <w:r>
        <w:rPr>
          <w:rtl/>
        </w:rPr>
        <w:t xml:space="preserve"> </w:t>
      </w:r>
      <w:r w:rsidRPr="00AD39DF">
        <w:t>The Long Now Foundation</w:t>
      </w:r>
    </w:p>
  </w:footnote>
  <w:footnote w:id="3596">
    <w:p w14:paraId="5CAA031E" w14:textId="77777777" w:rsidR="00B47FF5" w:rsidRDefault="00B47FF5" w:rsidP="00537CC8">
      <w:pPr>
        <w:pStyle w:val="FootnoteText"/>
      </w:pPr>
      <w:r>
        <w:rPr>
          <w:rStyle w:val="FootnoteReference"/>
        </w:rPr>
        <w:footnoteRef/>
      </w:r>
      <w:r>
        <w:rPr>
          <w:rtl/>
        </w:rPr>
        <w:t xml:space="preserve"> </w:t>
      </w:r>
      <w:r w:rsidRPr="00AD39DF">
        <w:t>Matt Ward</w:t>
      </w:r>
    </w:p>
  </w:footnote>
  <w:footnote w:id="3597">
    <w:p w14:paraId="01468E76" w14:textId="77777777" w:rsidR="00B47FF5" w:rsidRDefault="00B47FF5" w:rsidP="00537CC8">
      <w:pPr>
        <w:pStyle w:val="FootnoteText"/>
      </w:pPr>
      <w:r>
        <w:rPr>
          <w:rStyle w:val="FootnoteReference"/>
        </w:rPr>
        <w:footnoteRef/>
      </w:r>
      <w:r>
        <w:rPr>
          <w:rtl/>
        </w:rPr>
        <w:t xml:space="preserve"> </w:t>
      </w:r>
      <w:r w:rsidRPr="00AD39DF">
        <w:t>Tony Robbins</w:t>
      </w:r>
    </w:p>
  </w:footnote>
  <w:footnote w:id="3598">
    <w:p w14:paraId="0AD40250" w14:textId="77777777" w:rsidR="00B47FF5" w:rsidRDefault="00B47FF5" w:rsidP="00537CC8">
      <w:pPr>
        <w:pStyle w:val="FootnoteText"/>
      </w:pPr>
      <w:r>
        <w:rPr>
          <w:rStyle w:val="FootnoteReference"/>
        </w:rPr>
        <w:footnoteRef/>
      </w:r>
      <w:r>
        <w:rPr>
          <w:rtl/>
        </w:rPr>
        <w:t xml:space="preserve"> </w:t>
      </w:r>
      <w:r w:rsidRPr="00AD39DF">
        <w:t>Chris Do</w:t>
      </w:r>
    </w:p>
  </w:footnote>
  <w:footnote w:id="3599">
    <w:p w14:paraId="02696872" w14:textId="77777777" w:rsidR="00B47FF5" w:rsidRDefault="00B47FF5" w:rsidP="00537CC8">
      <w:pPr>
        <w:pStyle w:val="FootnoteText"/>
      </w:pPr>
      <w:r>
        <w:rPr>
          <w:rStyle w:val="FootnoteReference"/>
        </w:rPr>
        <w:footnoteRef/>
      </w:r>
      <w:r>
        <w:rPr>
          <w:rtl/>
        </w:rPr>
        <w:t xml:space="preserve"> </w:t>
      </w:r>
      <w:r w:rsidRPr="002B7EA5">
        <w:t>Jacob Morgan</w:t>
      </w:r>
    </w:p>
  </w:footnote>
  <w:footnote w:id="3600">
    <w:p w14:paraId="20D890EE" w14:textId="77777777" w:rsidR="00B47FF5" w:rsidRDefault="00B47FF5" w:rsidP="00537CC8">
      <w:pPr>
        <w:pStyle w:val="FootnoteText"/>
      </w:pPr>
      <w:r>
        <w:rPr>
          <w:rStyle w:val="FootnoteReference"/>
        </w:rPr>
        <w:footnoteRef/>
      </w:r>
      <w:r>
        <w:rPr>
          <w:rtl/>
        </w:rPr>
        <w:t xml:space="preserve"> </w:t>
      </w:r>
      <w:r w:rsidRPr="002B7EA5">
        <w:t>Rich Roll</w:t>
      </w:r>
    </w:p>
  </w:footnote>
  <w:footnote w:id="3601">
    <w:p w14:paraId="2F3CBC70" w14:textId="77777777" w:rsidR="00B47FF5" w:rsidRDefault="00B47FF5" w:rsidP="00537CC8">
      <w:pPr>
        <w:pStyle w:val="FootnoteText"/>
      </w:pPr>
      <w:r>
        <w:rPr>
          <w:rStyle w:val="FootnoteReference"/>
        </w:rPr>
        <w:footnoteRef/>
      </w:r>
      <w:r>
        <w:rPr>
          <w:rtl/>
        </w:rPr>
        <w:t xml:space="preserve"> </w:t>
      </w:r>
      <w:r w:rsidRPr="002B7EA5">
        <w:t>Tim Ferriss</w:t>
      </w:r>
    </w:p>
  </w:footnote>
  <w:footnote w:id="3602">
    <w:p w14:paraId="66B24976" w14:textId="31924964" w:rsidR="00B47FF5" w:rsidRDefault="00B47FF5">
      <w:pPr>
        <w:pStyle w:val="FootnoteText"/>
        <w:rPr>
          <w:rtl/>
        </w:rPr>
      </w:pPr>
      <w:r>
        <w:rPr>
          <w:rStyle w:val="FootnoteReference"/>
        </w:rPr>
        <w:footnoteRef/>
      </w:r>
      <w:r>
        <w:t xml:space="preserve"> </w:t>
      </w:r>
      <w:r w:rsidRPr="00A857B2">
        <w:t>Future Salons</w:t>
      </w:r>
    </w:p>
  </w:footnote>
  <w:footnote w:id="3603">
    <w:p w14:paraId="51E7DA1C" w14:textId="082DC6AD" w:rsidR="00B47FF5" w:rsidRDefault="00B47FF5">
      <w:pPr>
        <w:pStyle w:val="FootnoteText"/>
        <w:rPr>
          <w:rtl/>
        </w:rPr>
      </w:pPr>
      <w:r>
        <w:rPr>
          <w:rStyle w:val="FootnoteReference"/>
        </w:rPr>
        <w:footnoteRef/>
      </w:r>
      <w:r>
        <w:t xml:space="preserve"> </w:t>
      </w:r>
      <w:r w:rsidRPr="00A857B2">
        <w:t>Fusions</w:t>
      </w:r>
    </w:p>
  </w:footnote>
  <w:footnote w:id="3604">
    <w:p w14:paraId="0A71042C" w14:textId="7EEF4EEE" w:rsidR="00B47FF5" w:rsidRDefault="00B47FF5">
      <w:pPr>
        <w:pStyle w:val="FootnoteText"/>
        <w:rPr>
          <w:rtl/>
        </w:rPr>
      </w:pPr>
      <w:r>
        <w:rPr>
          <w:rStyle w:val="FootnoteReference"/>
        </w:rPr>
        <w:footnoteRef/>
      </w:r>
      <w:r>
        <w:t xml:space="preserve"> </w:t>
      </w:r>
      <w:r w:rsidRPr="00A857B2">
        <w:t>Evo-Devo Universe</w:t>
      </w:r>
    </w:p>
  </w:footnote>
  <w:footnote w:id="3605">
    <w:p w14:paraId="28C4DE57" w14:textId="06A185E6" w:rsidR="00B47FF5" w:rsidRDefault="00B47FF5" w:rsidP="002F75DA">
      <w:pPr>
        <w:pStyle w:val="FootnoteText"/>
        <w:rPr>
          <w:rtl/>
        </w:rPr>
      </w:pPr>
      <w:r>
        <w:rPr>
          <w:rStyle w:val="FootnoteReference"/>
        </w:rPr>
        <w:footnoteRef/>
      </w:r>
      <w:r>
        <w:t xml:space="preserve"> </w:t>
      </w:r>
      <w:r w:rsidRPr="002F75DA">
        <w:t>Metaverse</w:t>
      </w:r>
    </w:p>
  </w:footnote>
  <w:footnote w:id="3606">
    <w:p w14:paraId="7E0E495A" w14:textId="66B08371" w:rsidR="00B47FF5" w:rsidRDefault="00B47FF5" w:rsidP="00EF1FA0">
      <w:pPr>
        <w:pStyle w:val="FootnoteText"/>
        <w:rPr>
          <w:rtl/>
        </w:rPr>
      </w:pPr>
      <w:r>
        <w:rPr>
          <w:rStyle w:val="FootnoteReference"/>
        </w:rPr>
        <w:footnoteRef/>
      </w:r>
      <w:r>
        <w:t xml:space="preserve"> </w:t>
      </w:r>
      <w:r w:rsidRPr="00EF1FA0">
        <w:t>AccelerationWatch</w:t>
      </w:r>
    </w:p>
  </w:footnote>
  <w:footnote w:id="3607">
    <w:p w14:paraId="619F179C" w14:textId="44F783A2" w:rsidR="00B47FF5" w:rsidRDefault="00B47FF5">
      <w:pPr>
        <w:pStyle w:val="FootnoteText"/>
        <w:rPr>
          <w:rtl/>
        </w:rPr>
      </w:pPr>
      <w:r>
        <w:rPr>
          <w:rStyle w:val="FootnoteReference"/>
        </w:rPr>
        <w:footnoteRef/>
      </w:r>
      <w:r>
        <w:t xml:space="preserve"> T</w:t>
      </w:r>
      <w:r w:rsidRPr="00EF1FA0">
        <w:t>ranscension hypothesis</w:t>
      </w:r>
    </w:p>
  </w:footnote>
  <w:footnote w:id="3608">
    <w:p w14:paraId="1C67C515" w14:textId="4530A419" w:rsidR="00B47FF5" w:rsidRDefault="00B47FF5">
      <w:pPr>
        <w:pStyle w:val="FootnoteText"/>
        <w:rPr>
          <w:rtl/>
        </w:rPr>
      </w:pPr>
      <w:r>
        <w:rPr>
          <w:rStyle w:val="FootnoteReference"/>
        </w:rPr>
        <w:footnoteRef/>
      </w:r>
      <w:r>
        <w:t xml:space="preserve"> </w:t>
      </w:r>
      <w:r w:rsidRPr="00356414">
        <w:t>U.C. Berkeley</w:t>
      </w:r>
    </w:p>
  </w:footnote>
  <w:footnote w:id="3609">
    <w:p w14:paraId="0AA3E1DB" w14:textId="19BA7FAD" w:rsidR="00B47FF5" w:rsidRDefault="00B47FF5" w:rsidP="00B714DC">
      <w:pPr>
        <w:pStyle w:val="FootnoteText"/>
        <w:rPr>
          <w:rtl/>
        </w:rPr>
      </w:pPr>
      <w:r>
        <w:rPr>
          <w:rStyle w:val="FootnoteReference"/>
        </w:rPr>
        <w:footnoteRef/>
      </w:r>
      <w:r>
        <w:t xml:space="preserve"> </w:t>
      </w:r>
      <w:r w:rsidRPr="00B714DC">
        <w:t>Hyperlearning</w:t>
      </w:r>
    </w:p>
  </w:footnote>
  <w:footnote w:id="3610">
    <w:p w14:paraId="0382F506" w14:textId="34911430" w:rsidR="00B47FF5" w:rsidRDefault="00B47FF5" w:rsidP="00B714DC">
      <w:pPr>
        <w:pStyle w:val="FootnoteText"/>
        <w:rPr>
          <w:rtl/>
        </w:rPr>
      </w:pPr>
      <w:r>
        <w:rPr>
          <w:rStyle w:val="FootnoteReference"/>
        </w:rPr>
        <w:footnoteRef/>
      </w:r>
      <w:r>
        <w:t xml:space="preserve"> </w:t>
      </w:r>
      <w:r w:rsidRPr="00B714DC">
        <w:t>The Princeton Review</w:t>
      </w:r>
    </w:p>
  </w:footnote>
  <w:footnote w:id="3611">
    <w:p w14:paraId="230D0912" w14:textId="2A6C6203" w:rsidR="00B47FF5" w:rsidRDefault="00B47FF5" w:rsidP="00B714DC">
      <w:pPr>
        <w:pStyle w:val="FootnoteText"/>
        <w:rPr>
          <w:rtl/>
        </w:rPr>
      </w:pPr>
      <w:r>
        <w:rPr>
          <w:rStyle w:val="FootnoteReference"/>
        </w:rPr>
        <w:footnoteRef/>
      </w:r>
      <w:r>
        <w:t xml:space="preserve"> </w:t>
      </w:r>
      <w:r w:rsidRPr="00B714DC">
        <w:t>Castle Sands LLC</w:t>
      </w:r>
    </w:p>
  </w:footnote>
  <w:footnote w:id="3612">
    <w:p w14:paraId="0F405E06" w14:textId="7557E534" w:rsidR="00B47FF5" w:rsidRDefault="00B47FF5">
      <w:pPr>
        <w:pStyle w:val="FootnoteText"/>
        <w:rPr>
          <w:rtl/>
        </w:rPr>
      </w:pPr>
      <w:r>
        <w:rPr>
          <w:rStyle w:val="FootnoteReference"/>
        </w:rPr>
        <w:footnoteRef/>
      </w:r>
      <w:r>
        <w:t xml:space="preserve"> </w:t>
      </w:r>
      <w:r w:rsidRPr="00F14D44">
        <w:t>Honolulu</w:t>
      </w:r>
    </w:p>
  </w:footnote>
  <w:footnote w:id="3613">
    <w:p w14:paraId="69EDA9CA" w14:textId="7F8EF8A1" w:rsidR="00B47FF5" w:rsidRDefault="00B47FF5">
      <w:pPr>
        <w:pStyle w:val="FootnoteText"/>
        <w:rPr>
          <w:rtl/>
        </w:rPr>
      </w:pPr>
      <w:r>
        <w:rPr>
          <w:rStyle w:val="FootnoteReference"/>
        </w:rPr>
        <w:footnoteRef/>
      </w:r>
      <w:r>
        <w:t xml:space="preserve"> </w:t>
      </w:r>
      <w:r w:rsidRPr="00F14D44">
        <w:t>Honolulu</w:t>
      </w:r>
    </w:p>
  </w:footnote>
  <w:footnote w:id="3614">
    <w:p w14:paraId="15986348" w14:textId="58BEE60F" w:rsidR="00B47FF5" w:rsidRDefault="00B47FF5">
      <w:pPr>
        <w:pStyle w:val="FootnoteText"/>
        <w:rPr>
          <w:rtl/>
        </w:rPr>
      </w:pPr>
      <w:r>
        <w:rPr>
          <w:rStyle w:val="FootnoteReference"/>
        </w:rPr>
        <w:footnoteRef/>
      </w:r>
      <w:r>
        <w:t xml:space="preserve"> </w:t>
      </w:r>
      <w:r w:rsidRPr="00382A28">
        <w:t>Signal Mountain</w:t>
      </w:r>
    </w:p>
  </w:footnote>
  <w:footnote w:id="3615">
    <w:p w14:paraId="66334511" w14:textId="348E1AE5" w:rsidR="00B47FF5" w:rsidRDefault="00B47FF5" w:rsidP="00382A28">
      <w:pPr>
        <w:pStyle w:val="FootnoteText"/>
        <w:rPr>
          <w:rtl/>
        </w:rPr>
      </w:pPr>
      <w:r>
        <w:rPr>
          <w:rStyle w:val="FootnoteReference"/>
        </w:rPr>
        <w:footnoteRef/>
      </w:r>
      <w:r>
        <w:t xml:space="preserve"> </w:t>
      </w:r>
      <w:r w:rsidRPr="00382A28">
        <w:t>Aperio Insight</w:t>
      </w:r>
    </w:p>
  </w:footnote>
  <w:footnote w:id="3616">
    <w:p w14:paraId="5CACD737" w14:textId="1D68EF1F" w:rsidR="00B47FF5" w:rsidRDefault="00B47FF5">
      <w:pPr>
        <w:pStyle w:val="FootnoteText"/>
        <w:rPr>
          <w:rtl/>
        </w:rPr>
      </w:pPr>
      <w:r>
        <w:rPr>
          <w:rStyle w:val="FootnoteReference"/>
        </w:rPr>
        <w:footnoteRef/>
      </w:r>
      <w:r>
        <w:t xml:space="preserve"> </w:t>
      </w:r>
      <w:r w:rsidRPr="00EC4706">
        <w:t>Gottleib Duttweiler</w:t>
      </w:r>
    </w:p>
  </w:footnote>
  <w:footnote w:id="3617">
    <w:p w14:paraId="638FF95D" w14:textId="69941A3C" w:rsidR="00B47FF5" w:rsidRDefault="00B47FF5">
      <w:pPr>
        <w:pStyle w:val="FootnoteText"/>
        <w:rPr>
          <w:rtl/>
        </w:rPr>
      </w:pPr>
      <w:r>
        <w:rPr>
          <w:rStyle w:val="FootnoteReference"/>
        </w:rPr>
        <w:footnoteRef/>
      </w:r>
      <w:r>
        <w:t xml:space="preserve"> </w:t>
      </w:r>
      <w:r w:rsidRPr="00EC4706">
        <w:t>Anna-Leena Pešić</w:t>
      </w:r>
    </w:p>
  </w:footnote>
  <w:footnote w:id="3618">
    <w:p w14:paraId="4162108F" w14:textId="6CB11625" w:rsidR="00B47FF5" w:rsidRDefault="00B47FF5" w:rsidP="00EC4706">
      <w:pPr>
        <w:pStyle w:val="FootnoteText"/>
        <w:rPr>
          <w:rtl/>
        </w:rPr>
      </w:pPr>
      <w:r>
        <w:rPr>
          <w:rStyle w:val="FootnoteReference"/>
        </w:rPr>
        <w:footnoteRef/>
      </w:r>
      <w:r>
        <w:t xml:space="preserve"> </w:t>
      </w:r>
      <w:r w:rsidRPr="00EC4706">
        <w:t>Dream Broker</w:t>
      </w:r>
    </w:p>
  </w:footnote>
  <w:footnote w:id="3619">
    <w:p w14:paraId="06B341C7" w14:textId="35F081E0" w:rsidR="00B47FF5" w:rsidRDefault="00B47FF5">
      <w:pPr>
        <w:pStyle w:val="FootnoteText"/>
        <w:rPr>
          <w:rtl/>
        </w:rPr>
      </w:pPr>
      <w:r>
        <w:rPr>
          <w:rStyle w:val="FootnoteReference"/>
        </w:rPr>
        <w:footnoteRef/>
      </w:r>
      <w:r>
        <w:t xml:space="preserve"> </w:t>
      </w:r>
      <w:r w:rsidRPr="00EC4706">
        <w:t>Kevin Russell</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D27BA9"/>
    <w:multiLevelType w:val="hybridMultilevel"/>
    <w:tmpl w:val="DA0A2DD4"/>
    <w:lvl w:ilvl="0" w:tplc="0409000F">
      <w:start w:val="1"/>
      <w:numFmt w:val="decimal"/>
      <w:lvlText w:val="%1."/>
      <w:lvlJc w:val="left"/>
      <w:pPr>
        <w:ind w:left="720" w:hanging="360"/>
      </w:pPr>
      <w:rPr>
        <w:rFonts w:hint="default"/>
      </w:rPr>
    </w:lvl>
    <w:lvl w:ilvl="1" w:tplc="AD9CB092">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E52944"/>
    <w:multiLevelType w:val="hybridMultilevel"/>
    <w:tmpl w:val="C20A8A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B902D4"/>
    <w:multiLevelType w:val="hybridMultilevel"/>
    <w:tmpl w:val="6DE8E170"/>
    <w:lvl w:ilvl="0" w:tplc="E8A2573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457FD7"/>
    <w:multiLevelType w:val="hybridMultilevel"/>
    <w:tmpl w:val="AB16F1DC"/>
    <w:lvl w:ilvl="0" w:tplc="CF2EBD5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A5487E"/>
    <w:multiLevelType w:val="hybridMultilevel"/>
    <w:tmpl w:val="7C16C9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9926648"/>
    <w:multiLevelType w:val="hybridMultilevel"/>
    <w:tmpl w:val="60BA28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3E1D23"/>
    <w:multiLevelType w:val="hybridMultilevel"/>
    <w:tmpl w:val="194E46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0938A3"/>
    <w:multiLevelType w:val="hybridMultilevel"/>
    <w:tmpl w:val="8EF83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EAB68A1"/>
    <w:multiLevelType w:val="hybridMultilevel"/>
    <w:tmpl w:val="075827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05A0CCB"/>
    <w:multiLevelType w:val="hybridMultilevel"/>
    <w:tmpl w:val="E3E695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1256FE4"/>
    <w:multiLevelType w:val="hybridMultilevel"/>
    <w:tmpl w:val="7C10FACA"/>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4813ACB"/>
    <w:multiLevelType w:val="hybridMultilevel"/>
    <w:tmpl w:val="7B46D3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63F2A08"/>
    <w:multiLevelType w:val="hybridMultilevel"/>
    <w:tmpl w:val="DA0A2DD4"/>
    <w:lvl w:ilvl="0" w:tplc="0409000F">
      <w:start w:val="1"/>
      <w:numFmt w:val="decimal"/>
      <w:lvlText w:val="%1."/>
      <w:lvlJc w:val="left"/>
      <w:pPr>
        <w:ind w:left="720" w:hanging="360"/>
      </w:pPr>
      <w:rPr>
        <w:rFonts w:hint="default"/>
      </w:rPr>
    </w:lvl>
    <w:lvl w:ilvl="1" w:tplc="AD9CB092">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6D929E3"/>
    <w:multiLevelType w:val="hybridMultilevel"/>
    <w:tmpl w:val="DA0A2DD4"/>
    <w:lvl w:ilvl="0" w:tplc="0409000F">
      <w:start w:val="1"/>
      <w:numFmt w:val="decimal"/>
      <w:lvlText w:val="%1."/>
      <w:lvlJc w:val="left"/>
      <w:pPr>
        <w:ind w:left="720" w:hanging="360"/>
      </w:pPr>
      <w:rPr>
        <w:rFonts w:hint="default"/>
      </w:rPr>
    </w:lvl>
    <w:lvl w:ilvl="1" w:tplc="AD9CB092">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A9D2ADE"/>
    <w:multiLevelType w:val="hybridMultilevel"/>
    <w:tmpl w:val="C40824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AC411E8"/>
    <w:multiLevelType w:val="hybridMultilevel"/>
    <w:tmpl w:val="F6C0BC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B1F2B6C"/>
    <w:multiLevelType w:val="hybridMultilevel"/>
    <w:tmpl w:val="15D2707A"/>
    <w:lvl w:ilvl="0" w:tplc="9E0221E8">
      <w:start w:val="1"/>
      <w:numFmt w:val="decimal"/>
      <w:lvlText w:val="%1."/>
      <w:lvlJc w:val="left"/>
      <w:pPr>
        <w:ind w:left="720" w:hanging="360"/>
      </w:pPr>
      <w:rPr>
        <w:rFonts w:hint="default"/>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BB51FD5"/>
    <w:multiLevelType w:val="hybridMultilevel"/>
    <w:tmpl w:val="F588FB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A52F15"/>
    <w:multiLevelType w:val="hybridMultilevel"/>
    <w:tmpl w:val="063205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1D282D76"/>
    <w:multiLevelType w:val="hybridMultilevel"/>
    <w:tmpl w:val="5B1A60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E653AF2"/>
    <w:multiLevelType w:val="hybridMultilevel"/>
    <w:tmpl w:val="F5D469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0587C17"/>
    <w:multiLevelType w:val="hybridMultilevel"/>
    <w:tmpl w:val="9C9C9A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1A74952"/>
    <w:multiLevelType w:val="hybridMultilevel"/>
    <w:tmpl w:val="0A68B4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31A631A"/>
    <w:multiLevelType w:val="hybridMultilevel"/>
    <w:tmpl w:val="5AB0970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297110B6"/>
    <w:multiLevelType w:val="hybridMultilevel"/>
    <w:tmpl w:val="750CC292"/>
    <w:lvl w:ilvl="0" w:tplc="EAFECA54">
      <w:start w:val="1"/>
      <w:numFmt w:val="bullet"/>
      <w:suff w:val="space"/>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2A0A019E"/>
    <w:multiLevelType w:val="hybridMultilevel"/>
    <w:tmpl w:val="60AE8FE2"/>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A303E5E"/>
    <w:multiLevelType w:val="hybridMultilevel"/>
    <w:tmpl w:val="982C458A"/>
    <w:lvl w:ilvl="0" w:tplc="17AA264C">
      <w:start w:val="1"/>
      <w:numFmt w:val="decimal"/>
      <w:lvlText w:val="%1."/>
      <w:lvlJc w:val="left"/>
      <w:pPr>
        <w:ind w:left="555" w:hanging="360"/>
      </w:pPr>
      <w:rPr>
        <w:rFonts w:hint="default"/>
      </w:rPr>
    </w:lvl>
    <w:lvl w:ilvl="1" w:tplc="04090019" w:tentative="1">
      <w:start w:val="1"/>
      <w:numFmt w:val="lowerLetter"/>
      <w:lvlText w:val="%2."/>
      <w:lvlJc w:val="left"/>
      <w:pPr>
        <w:ind w:left="1275" w:hanging="360"/>
      </w:pPr>
    </w:lvl>
    <w:lvl w:ilvl="2" w:tplc="0409001B" w:tentative="1">
      <w:start w:val="1"/>
      <w:numFmt w:val="lowerRoman"/>
      <w:lvlText w:val="%3."/>
      <w:lvlJc w:val="right"/>
      <w:pPr>
        <w:ind w:left="1995" w:hanging="180"/>
      </w:pPr>
    </w:lvl>
    <w:lvl w:ilvl="3" w:tplc="0409000F" w:tentative="1">
      <w:start w:val="1"/>
      <w:numFmt w:val="decimal"/>
      <w:lvlText w:val="%4."/>
      <w:lvlJc w:val="left"/>
      <w:pPr>
        <w:ind w:left="2715" w:hanging="360"/>
      </w:pPr>
    </w:lvl>
    <w:lvl w:ilvl="4" w:tplc="04090019" w:tentative="1">
      <w:start w:val="1"/>
      <w:numFmt w:val="lowerLetter"/>
      <w:lvlText w:val="%5."/>
      <w:lvlJc w:val="left"/>
      <w:pPr>
        <w:ind w:left="3435" w:hanging="360"/>
      </w:pPr>
    </w:lvl>
    <w:lvl w:ilvl="5" w:tplc="0409001B" w:tentative="1">
      <w:start w:val="1"/>
      <w:numFmt w:val="lowerRoman"/>
      <w:lvlText w:val="%6."/>
      <w:lvlJc w:val="right"/>
      <w:pPr>
        <w:ind w:left="4155" w:hanging="180"/>
      </w:pPr>
    </w:lvl>
    <w:lvl w:ilvl="6" w:tplc="0409000F" w:tentative="1">
      <w:start w:val="1"/>
      <w:numFmt w:val="decimal"/>
      <w:lvlText w:val="%7."/>
      <w:lvlJc w:val="left"/>
      <w:pPr>
        <w:ind w:left="4875" w:hanging="360"/>
      </w:pPr>
    </w:lvl>
    <w:lvl w:ilvl="7" w:tplc="04090019" w:tentative="1">
      <w:start w:val="1"/>
      <w:numFmt w:val="lowerLetter"/>
      <w:lvlText w:val="%8."/>
      <w:lvlJc w:val="left"/>
      <w:pPr>
        <w:ind w:left="5595" w:hanging="360"/>
      </w:pPr>
    </w:lvl>
    <w:lvl w:ilvl="8" w:tplc="0409001B" w:tentative="1">
      <w:start w:val="1"/>
      <w:numFmt w:val="lowerRoman"/>
      <w:lvlText w:val="%9."/>
      <w:lvlJc w:val="right"/>
      <w:pPr>
        <w:ind w:left="6315" w:hanging="180"/>
      </w:pPr>
    </w:lvl>
  </w:abstractNum>
  <w:abstractNum w:abstractNumId="27" w15:restartNumberingAfterBreak="0">
    <w:nsid w:val="2BD54FE7"/>
    <w:multiLevelType w:val="hybridMultilevel"/>
    <w:tmpl w:val="3014D5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C463663"/>
    <w:multiLevelType w:val="hybridMultilevel"/>
    <w:tmpl w:val="3A645E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D65381B"/>
    <w:multiLevelType w:val="hybridMultilevel"/>
    <w:tmpl w:val="15863E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4F316C1"/>
    <w:multiLevelType w:val="hybridMultilevel"/>
    <w:tmpl w:val="7F9C1D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7D642AB"/>
    <w:multiLevelType w:val="hybridMultilevel"/>
    <w:tmpl w:val="F19218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C095D90"/>
    <w:multiLevelType w:val="hybridMultilevel"/>
    <w:tmpl w:val="5E4051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FE44F41"/>
    <w:multiLevelType w:val="hybridMultilevel"/>
    <w:tmpl w:val="520CE8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19D69B8"/>
    <w:multiLevelType w:val="hybridMultilevel"/>
    <w:tmpl w:val="046291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3CA5A65"/>
    <w:multiLevelType w:val="multilevel"/>
    <w:tmpl w:val="E3DC2492"/>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6" w15:restartNumberingAfterBreak="0">
    <w:nsid w:val="447213A4"/>
    <w:multiLevelType w:val="hybridMultilevel"/>
    <w:tmpl w:val="769481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54112C3"/>
    <w:multiLevelType w:val="hybridMultilevel"/>
    <w:tmpl w:val="EA8E0516"/>
    <w:lvl w:ilvl="0" w:tplc="04090001">
      <w:start w:val="1"/>
      <w:numFmt w:val="bullet"/>
      <w:lvlText w:val=""/>
      <w:lvlJc w:val="left"/>
      <w:pPr>
        <w:ind w:left="961" w:hanging="360"/>
      </w:pPr>
      <w:rPr>
        <w:rFonts w:ascii="Symbol" w:hAnsi="Symbol" w:hint="default"/>
      </w:rPr>
    </w:lvl>
    <w:lvl w:ilvl="1" w:tplc="04090003" w:tentative="1">
      <w:start w:val="1"/>
      <w:numFmt w:val="bullet"/>
      <w:lvlText w:val="o"/>
      <w:lvlJc w:val="left"/>
      <w:pPr>
        <w:ind w:left="1681" w:hanging="360"/>
      </w:pPr>
      <w:rPr>
        <w:rFonts w:ascii="Courier New" w:hAnsi="Courier New" w:cs="Courier New" w:hint="default"/>
      </w:rPr>
    </w:lvl>
    <w:lvl w:ilvl="2" w:tplc="04090005" w:tentative="1">
      <w:start w:val="1"/>
      <w:numFmt w:val="bullet"/>
      <w:lvlText w:val=""/>
      <w:lvlJc w:val="left"/>
      <w:pPr>
        <w:ind w:left="2401" w:hanging="360"/>
      </w:pPr>
      <w:rPr>
        <w:rFonts w:ascii="Wingdings" w:hAnsi="Wingdings" w:hint="default"/>
      </w:rPr>
    </w:lvl>
    <w:lvl w:ilvl="3" w:tplc="04090001" w:tentative="1">
      <w:start w:val="1"/>
      <w:numFmt w:val="bullet"/>
      <w:lvlText w:val=""/>
      <w:lvlJc w:val="left"/>
      <w:pPr>
        <w:ind w:left="3121" w:hanging="360"/>
      </w:pPr>
      <w:rPr>
        <w:rFonts w:ascii="Symbol" w:hAnsi="Symbol" w:hint="default"/>
      </w:rPr>
    </w:lvl>
    <w:lvl w:ilvl="4" w:tplc="04090003" w:tentative="1">
      <w:start w:val="1"/>
      <w:numFmt w:val="bullet"/>
      <w:lvlText w:val="o"/>
      <w:lvlJc w:val="left"/>
      <w:pPr>
        <w:ind w:left="3841" w:hanging="360"/>
      </w:pPr>
      <w:rPr>
        <w:rFonts w:ascii="Courier New" w:hAnsi="Courier New" w:cs="Courier New" w:hint="default"/>
      </w:rPr>
    </w:lvl>
    <w:lvl w:ilvl="5" w:tplc="04090005" w:tentative="1">
      <w:start w:val="1"/>
      <w:numFmt w:val="bullet"/>
      <w:lvlText w:val=""/>
      <w:lvlJc w:val="left"/>
      <w:pPr>
        <w:ind w:left="4561" w:hanging="360"/>
      </w:pPr>
      <w:rPr>
        <w:rFonts w:ascii="Wingdings" w:hAnsi="Wingdings" w:hint="default"/>
      </w:rPr>
    </w:lvl>
    <w:lvl w:ilvl="6" w:tplc="04090001" w:tentative="1">
      <w:start w:val="1"/>
      <w:numFmt w:val="bullet"/>
      <w:lvlText w:val=""/>
      <w:lvlJc w:val="left"/>
      <w:pPr>
        <w:ind w:left="5281" w:hanging="360"/>
      </w:pPr>
      <w:rPr>
        <w:rFonts w:ascii="Symbol" w:hAnsi="Symbol" w:hint="default"/>
      </w:rPr>
    </w:lvl>
    <w:lvl w:ilvl="7" w:tplc="04090003" w:tentative="1">
      <w:start w:val="1"/>
      <w:numFmt w:val="bullet"/>
      <w:lvlText w:val="o"/>
      <w:lvlJc w:val="left"/>
      <w:pPr>
        <w:ind w:left="6001" w:hanging="360"/>
      </w:pPr>
      <w:rPr>
        <w:rFonts w:ascii="Courier New" w:hAnsi="Courier New" w:cs="Courier New" w:hint="default"/>
      </w:rPr>
    </w:lvl>
    <w:lvl w:ilvl="8" w:tplc="04090005" w:tentative="1">
      <w:start w:val="1"/>
      <w:numFmt w:val="bullet"/>
      <w:lvlText w:val=""/>
      <w:lvlJc w:val="left"/>
      <w:pPr>
        <w:ind w:left="6721" w:hanging="360"/>
      </w:pPr>
      <w:rPr>
        <w:rFonts w:ascii="Wingdings" w:hAnsi="Wingdings" w:hint="default"/>
      </w:rPr>
    </w:lvl>
  </w:abstractNum>
  <w:abstractNum w:abstractNumId="38" w15:restartNumberingAfterBreak="0">
    <w:nsid w:val="45F16D7F"/>
    <w:multiLevelType w:val="hybridMultilevel"/>
    <w:tmpl w:val="68B8E2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6B41864"/>
    <w:multiLevelType w:val="hybridMultilevel"/>
    <w:tmpl w:val="ED0A37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4863420A"/>
    <w:multiLevelType w:val="hybridMultilevel"/>
    <w:tmpl w:val="9D4A94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DA038F6"/>
    <w:multiLevelType w:val="hybridMultilevel"/>
    <w:tmpl w:val="D5942C68"/>
    <w:lvl w:ilvl="0" w:tplc="9E0221E8">
      <w:start w:val="1"/>
      <w:numFmt w:val="decimal"/>
      <w:lvlText w:val="%1."/>
      <w:lvlJc w:val="left"/>
      <w:pPr>
        <w:ind w:left="720" w:hanging="360"/>
      </w:pPr>
      <w:rPr>
        <w:rFonts w:hint="default"/>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EE145FE"/>
    <w:multiLevelType w:val="hybridMultilevel"/>
    <w:tmpl w:val="9FECC0C0"/>
    <w:lvl w:ilvl="0" w:tplc="B524A8BC">
      <w:start w:val="1"/>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00C156B"/>
    <w:multiLevelType w:val="hybridMultilevel"/>
    <w:tmpl w:val="BEA678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03848C8"/>
    <w:multiLevelType w:val="multilevel"/>
    <w:tmpl w:val="D0723C6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pStyle w:val="Heading8"/>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5" w15:restartNumberingAfterBreak="0">
    <w:nsid w:val="50686BDD"/>
    <w:multiLevelType w:val="hybridMultilevel"/>
    <w:tmpl w:val="B622A9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0DD7B69"/>
    <w:multiLevelType w:val="hybridMultilevel"/>
    <w:tmpl w:val="937098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13F350A"/>
    <w:multiLevelType w:val="hybridMultilevel"/>
    <w:tmpl w:val="F7168A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2A435A8"/>
    <w:multiLevelType w:val="hybridMultilevel"/>
    <w:tmpl w:val="71B834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426071C"/>
    <w:multiLevelType w:val="hybridMultilevel"/>
    <w:tmpl w:val="FFF4DE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89E640F"/>
    <w:multiLevelType w:val="hybridMultilevel"/>
    <w:tmpl w:val="C3869F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A331AAA"/>
    <w:multiLevelType w:val="hybridMultilevel"/>
    <w:tmpl w:val="5E706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B0339C4"/>
    <w:multiLevelType w:val="hybridMultilevel"/>
    <w:tmpl w:val="B84A8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BE36714"/>
    <w:multiLevelType w:val="hybridMultilevel"/>
    <w:tmpl w:val="548038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CEB66B2"/>
    <w:multiLevelType w:val="hybridMultilevel"/>
    <w:tmpl w:val="33C216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3A74787"/>
    <w:multiLevelType w:val="hybridMultilevel"/>
    <w:tmpl w:val="815896B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15:restartNumberingAfterBreak="0">
    <w:nsid w:val="64933516"/>
    <w:multiLevelType w:val="hybridMultilevel"/>
    <w:tmpl w:val="2A185D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5595E73"/>
    <w:multiLevelType w:val="hybridMultilevel"/>
    <w:tmpl w:val="695A2B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92E5A1A"/>
    <w:multiLevelType w:val="hybridMultilevel"/>
    <w:tmpl w:val="A4945E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99B2CE4"/>
    <w:multiLevelType w:val="hybridMultilevel"/>
    <w:tmpl w:val="B7B4E4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BE16C7E"/>
    <w:multiLevelType w:val="hybridMultilevel"/>
    <w:tmpl w:val="BF942978"/>
    <w:lvl w:ilvl="0" w:tplc="AC8E5142">
      <w:start w:val="1"/>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C791E9B"/>
    <w:multiLevelType w:val="hybridMultilevel"/>
    <w:tmpl w:val="A112B3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C7A456B"/>
    <w:multiLevelType w:val="hybridMultilevel"/>
    <w:tmpl w:val="B4A6B2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E656B5C"/>
    <w:multiLevelType w:val="hybridMultilevel"/>
    <w:tmpl w:val="B4A6B1CE"/>
    <w:lvl w:ilvl="0" w:tplc="7DCEDFA8">
      <w:start w:val="1"/>
      <w:numFmt w:val="bullet"/>
      <w:suff w:val="space"/>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F5025E7"/>
    <w:multiLevelType w:val="hybridMultilevel"/>
    <w:tmpl w:val="90C0B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F7105E1"/>
    <w:multiLevelType w:val="hybridMultilevel"/>
    <w:tmpl w:val="4C48BD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1B159B5"/>
    <w:multiLevelType w:val="hybridMultilevel"/>
    <w:tmpl w:val="79203BF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7" w15:restartNumberingAfterBreak="0">
    <w:nsid w:val="72E75BB6"/>
    <w:multiLevelType w:val="hybridMultilevel"/>
    <w:tmpl w:val="548CE0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4F662B7"/>
    <w:multiLevelType w:val="hybridMultilevel"/>
    <w:tmpl w:val="BB041450"/>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69" w15:restartNumberingAfterBreak="0">
    <w:nsid w:val="75365D12"/>
    <w:multiLevelType w:val="hybridMultilevel"/>
    <w:tmpl w:val="986ABA32"/>
    <w:lvl w:ilvl="0" w:tplc="7DCEDFA8">
      <w:start w:val="1"/>
      <w:numFmt w:val="bullet"/>
      <w:suff w:val="space"/>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6474560"/>
    <w:multiLevelType w:val="hybridMultilevel"/>
    <w:tmpl w:val="0A9AFA9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75E2B84"/>
    <w:multiLevelType w:val="hybridMultilevel"/>
    <w:tmpl w:val="770EDC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77B95417"/>
    <w:multiLevelType w:val="hybridMultilevel"/>
    <w:tmpl w:val="33BE8B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9300170"/>
    <w:multiLevelType w:val="hybridMultilevel"/>
    <w:tmpl w:val="965A6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A7A7320"/>
    <w:multiLevelType w:val="hybridMultilevel"/>
    <w:tmpl w:val="03147C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AB41ACE"/>
    <w:multiLevelType w:val="hybridMultilevel"/>
    <w:tmpl w:val="0D480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7AB67605"/>
    <w:multiLevelType w:val="hybridMultilevel"/>
    <w:tmpl w:val="D45C86C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7" w15:restartNumberingAfterBreak="0">
    <w:nsid w:val="7BC46100"/>
    <w:multiLevelType w:val="hybridMultilevel"/>
    <w:tmpl w:val="0A7C97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7D4C3215"/>
    <w:multiLevelType w:val="hybridMultilevel"/>
    <w:tmpl w:val="2200A1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7E85002B"/>
    <w:multiLevelType w:val="hybridMultilevel"/>
    <w:tmpl w:val="5F0260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5"/>
  </w:num>
  <w:num w:numId="2">
    <w:abstractNumId w:val="44"/>
  </w:num>
  <w:num w:numId="3">
    <w:abstractNumId w:val="35"/>
  </w:num>
  <w:num w:numId="4">
    <w:abstractNumId w:val="51"/>
  </w:num>
  <w:num w:numId="5">
    <w:abstractNumId w:val="62"/>
  </w:num>
  <w:num w:numId="6">
    <w:abstractNumId w:val="52"/>
  </w:num>
  <w:num w:numId="7">
    <w:abstractNumId w:val="79"/>
  </w:num>
  <w:num w:numId="8">
    <w:abstractNumId w:val="68"/>
  </w:num>
  <w:num w:numId="9">
    <w:abstractNumId w:val="64"/>
  </w:num>
  <w:num w:numId="10">
    <w:abstractNumId w:val="40"/>
  </w:num>
  <w:num w:numId="11">
    <w:abstractNumId w:val="34"/>
  </w:num>
  <w:num w:numId="12">
    <w:abstractNumId w:val="58"/>
  </w:num>
  <w:num w:numId="13">
    <w:abstractNumId w:val="18"/>
  </w:num>
  <w:num w:numId="14">
    <w:abstractNumId w:val="66"/>
  </w:num>
  <w:num w:numId="15">
    <w:abstractNumId w:val="70"/>
  </w:num>
  <w:num w:numId="16">
    <w:abstractNumId w:val="10"/>
  </w:num>
  <w:num w:numId="17">
    <w:abstractNumId w:val="25"/>
  </w:num>
  <w:num w:numId="18">
    <w:abstractNumId w:val="65"/>
  </w:num>
  <w:num w:numId="19">
    <w:abstractNumId w:val="3"/>
  </w:num>
  <w:num w:numId="20">
    <w:abstractNumId w:val="55"/>
  </w:num>
  <w:num w:numId="21">
    <w:abstractNumId w:val="56"/>
  </w:num>
  <w:num w:numId="22">
    <w:abstractNumId w:val="1"/>
  </w:num>
  <w:num w:numId="23">
    <w:abstractNumId w:val="63"/>
  </w:num>
  <w:num w:numId="24">
    <w:abstractNumId w:val="69"/>
  </w:num>
  <w:num w:numId="25">
    <w:abstractNumId w:val="17"/>
  </w:num>
  <w:num w:numId="26">
    <w:abstractNumId w:val="38"/>
  </w:num>
  <w:num w:numId="27">
    <w:abstractNumId w:val="13"/>
  </w:num>
  <w:num w:numId="28">
    <w:abstractNumId w:val="0"/>
  </w:num>
  <w:num w:numId="29">
    <w:abstractNumId w:val="12"/>
  </w:num>
  <w:num w:numId="30">
    <w:abstractNumId w:val="47"/>
  </w:num>
  <w:num w:numId="31">
    <w:abstractNumId w:val="60"/>
  </w:num>
  <w:num w:numId="32">
    <w:abstractNumId w:val="19"/>
  </w:num>
  <w:num w:numId="33">
    <w:abstractNumId w:val="36"/>
  </w:num>
  <w:num w:numId="34">
    <w:abstractNumId w:val="7"/>
  </w:num>
  <w:num w:numId="35">
    <w:abstractNumId w:val="71"/>
  </w:num>
  <w:num w:numId="36">
    <w:abstractNumId w:val="28"/>
  </w:num>
  <w:num w:numId="37">
    <w:abstractNumId w:val="29"/>
  </w:num>
  <w:num w:numId="38">
    <w:abstractNumId w:val="2"/>
  </w:num>
  <w:num w:numId="39">
    <w:abstractNumId w:val="59"/>
  </w:num>
  <w:num w:numId="40">
    <w:abstractNumId w:val="8"/>
  </w:num>
  <w:num w:numId="41">
    <w:abstractNumId w:val="20"/>
  </w:num>
  <w:num w:numId="42">
    <w:abstractNumId w:val="45"/>
  </w:num>
  <w:num w:numId="43">
    <w:abstractNumId w:val="72"/>
  </w:num>
  <w:num w:numId="44">
    <w:abstractNumId w:val="21"/>
  </w:num>
  <w:num w:numId="45">
    <w:abstractNumId w:val="15"/>
  </w:num>
  <w:num w:numId="46">
    <w:abstractNumId w:val="76"/>
  </w:num>
  <w:num w:numId="47">
    <w:abstractNumId w:val="49"/>
  </w:num>
  <w:num w:numId="48">
    <w:abstractNumId w:val="30"/>
  </w:num>
  <w:num w:numId="49">
    <w:abstractNumId w:val="73"/>
  </w:num>
  <w:num w:numId="50">
    <w:abstractNumId w:val="61"/>
  </w:num>
  <w:num w:numId="51">
    <w:abstractNumId w:val="74"/>
  </w:num>
  <w:num w:numId="52">
    <w:abstractNumId w:val="53"/>
  </w:num>
  <w:num w:numId="53">
    <w:abstractNumId w:val="6"/>
  </w:num>
  <w:num w:numId="54">
    <w:abstractNumId w:val="32"/>
  </w:num>
  <w:num w:numId="55">
    <w:abstractNumId w:val="26"/>
  </w:num>
  <w:num w:numId="56">
    <w:abstractNumId w:val="11"/>
  </w:num>
  <w:num w:numId="57">
    <w:abstractNumId w:val="42"/>
  </w:num>
  <w:num w:numId="58">
    <w:abstractNumId w:val="24"/>
  </w:num>
  <w:num w:numId="59">
    <w:abstractNumId w:val="37"/>
  </w:num>
  <w:num w:numId="60">
    <w:abstractNumId w:val="75"/>
  </w:num>
  <w:num w:numId="61">
    <w:abstractNumId w:val="5"/>
  </w:num>
  <w:num w:numId="62">
    <w:abstractNumId w:val="43"/>
  </w:num>
  <w:num w:numId="63">
    <w:abstractNumId w:val="50"/>
  </w:num>
  <w:num w:numId="64">
    <w:abstractNumId w:val="9"/>
  </w:num>
  <w:num w:numId="65">
    <w:abstractNumId w:val="22"/>
  </w:num>
  <w:num w:numId="66">
    <w:abstractNumId w:val="27"/>
  </w:num>
  <w:num w:numId="67">
    <w:abstractNumId w:val="33"/>
  </w:num>
  <w:num w:numId="68">
    <w:abstractNumId w:val="23"/>
  </w:num>
  <w:num w:numId="69">
    <w:abstractNumId w:val="39"/>
  </w:num>
  <w:num w:numId="70">
    <w:abstractNumId w:val="46"/>
  </w:num>
  <w:num w:numId="71">
    <w:abstractNumId w:val="31"/>
  </w:num>
  <w:num w:numId="72">
    <w:abstractNumId w:val="77"/>
  </w:num>
  <w:num w:numId="73">
    <w:abstractNumId w:val="54"/>
  </w:num>
  <w:num w:numId="74">
    <w:abstractNumId w:val="78"/>
  </w:num>
  <w:num w:numId="75">
    <w:abstractNumId w:val="57"/>
  </w:num>
  <w:num w:numId="76">
    <w:abstractNumId w:val="14"/>
  </w:num>
  <w:num w:numId="77">
    <w:abstractNumId w:val="67"/>
  </w:num>
  <w:num w:numId="78">
    <w:abstractNumId w:val="4"/>
  </w:num>
  <w:num w:numId="79">
    <w:abstractNumId w:val="48"/>
  </w:num>
  <w:num w:numId="80">
    <w:abstractNumId w:val="16"/>
  </w:num>
  <w:num w:numId="81">
    <w:abstractNumId w:val="41"/>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hideSpellingErrors/>
  <w:hideGrammaticalErrors/>
  <w:defaultTabStop w:val="720"/>
  <w:characterSpacingControl w:val="doNotCompres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4CBF"/>
    <w:rsid w:val="000032EA"/>
    <w:rsid w:val="00007A85"/>
    <w:rsid w:val="0001088B"/>
    <w:rsid w:val="00012E8C"/>
    <w:rsid w:val="000213BB"/>
    <w:rsid w:val="0003402A"/>
    <w:rsid w:val="000410E0"/>
    <w:rsid w:val="00050985"/>
    <w:rsid w:val="00053811"/>
    <w:rsid w:val="0005633A"/>
    <w:rsid w:val="00056A5D"/>
    <w:rsid w:val="000668EC"/>
    <w:rsid w:val="00066C1E"/>
    <w:rsid w:val="00074BFC"/>
    <w:rsid w:val="000759FA"/>
    <w:rsid w:val="00076897"/>
    <w:rsid w:val="000818CA"/>
    <w:rsid w:val="0008287D"/>
    <w:rsid w:val="00086C31"/>
    <w:rsid w:val="0008779C"/>
    <w:rsid w:val="0009441D"/>
    <w:rsid w:val="00096997"/>
    <w:rsid w:val="000A0DAC"/>
    <w:rsid w:val="000A4C38"/>
    <w:rsid w:val="000A674B"/>
    <w:rsid w:val="000A7F45"/>
    <w:rsid w:val="000B2B34"/>
    <w:rsid w:val="000B3C5C"/>
    <w:rsid w:val="000B4A71"/>
    <w:rsid w:val="000B516C"/>
    <w:rsid w:val="000C0324"/>
    <w:rsid w:val="000D4CBF"/>
    <w:rsid w:val="000E25F9"/>
    <w:rsid w:val="000E42CA"/>
    <w:rsid w:val="000F16F1"/>
    <w:rsid w:val="000F5D90"/>
    <w:rsid w:val="00116646"/>
    <w:rsid w:val="00121A3D"/>
    <w:rsid w:val="00127288"/>
    <w:rsid w:val="00127C91"/>
    <w:rsid w:val="001312B6"/>
    <w:rsid w:val="00140943"/>
    <w:rsid w:val="001411D3"/>
    <w:rsid w:val="001458D8"/>
    <w:rsid w:val="0015494E"/>
    <w:rsid w:val="00165473"/>
    <w:rsid w:val="00165822"/>
    <w:rsid w:val="00185F3E"/>
    <w:rsid w:val="00186393"/>
    <w:rsid w:val="00195A62"/>
    <w:rsid w:val="0019766B"/>
    <w:rsid w:val="001A07B5"/>
    <w:rsid w:val="001A3F0A"/>
    <w:rsid w:val="001B5D60"/>
    <w:rsid w:val="001B6206"/>
    <w:rsid w:val="001C47CF"/>
    <w:rsid w:val="001C5470"/>
    <w:rsid w:val="001C62AD"/>
    <w:rsid w:val="001C62C7"/>
    <w:rsid w:val="001D274D"/>
    <w:rsid w:val="001D59A8"/>
    <w:rsid w:val="001D6A0F"/>
    <w:rsid w:val="001E04E0"/>
    <w:rsid w:val="001E6C16"/>
    <w:rsid w:val="001F40A0"/>
    <w:rsid w:val="001F5BB0"/>
    <w:rsid w:val="00202882"/>
    <w:rsid w:val="00204A33"/>
    <w:rsid w:val="0020589F"/>
    <w:rsid w:val="00206F11"/>
    <w:rsid w:val="0020732A"/>
    <w:rsid w:val="0020750C"/>
    <w:rsid w:val="00210FF1"/>
    <w:rsid w:val="00217F8B"/>
    <w:rsid w:val="00233DF8"/>
    <w:rsid w:val="00240260"/>
    <w:rsid w:val="00241EB0"/>
    <w:rsid w:val="0024295A"/>
    <w:rsid w:val="0025250D"/>
    <w:rsid w:val="002635C7"/>
    <w:rsid w:val="00266BCA"/>
    <w:rsid w:val="00270BBE"/>
    <w:rsid w:val="00274907"/>
    <w:rsid w:val="00280255"/>
    <w:rsid w:val="002925C9"/>
    <w:rsid w:val="002A25C3"/>
    <w:rsid w:val="002A38BD"/>
    <w:rsid w:val="002B304C"/>
    <w:rsid w:val="002B405B"/>
    <w:rsid w:val="002B6515"/>
    <w:rsid w:val="002B768D"/>
    <w:rsid w:val="002C2EAB"/>
    <w:rsid w:val="002C61FC"/>
    <w:rsid w:val="002E5A2C"/>
    <w:rsid w:val="002F186A"/>
    <w:rsid w:val="002F3C14"/>
    <w:rsid w:val="002F75DA"/>
    <w:rsid w:val="0030078C"/>
    <w:rsid w:val="00303635"/>
    <w:rsid w:val="003103D3"/>
    <w:rsid w:val="00315834"/>
    <w:rsid w:val="00337202"/>
    <w:rsid w:val="0034146C"/>
    <w:rsid w:val="00356414"/>
    <w:rsid w:val="0036156F"/>
    <w:rsid w:val="00362EF3"/>
    <w:rsid w:val="0037035F"/>
    <w:rsid w:val="00373226"/>
    <w:rsid w:val="003747E8"/>
    <w:rsid w:val="0037616D"/>
    <w:rsid w:val="00382A28"/>
    <w:rsid w:val="00391434"/>
    <w:rsid w:val="00393B67"/>
    <w:rsid w:val="00397E18"/>
    <w:rsid w:val="003B1286"/>
    <w:rsid w:val="003B1CE0"/>
    <w:rsid w:val="003B238B"/>
    <w:rsid w:val="003B4C35"/>
    <w:rsid w:val="003B65E0"/>
    <w:rsid w:val="003B7DAA"/>
    <w:rsid w:val="003C60A1"/>
    <w:rsid w:val="003D3E0A"/>
    <w:rsid w:val="003E4D05"/>
    <w:rsid w:val="003F1B52"/>
    <w:rsid w:val="003F2363"/>
    <w:rsid w:val="0042100A"/>
    <w:rsid w:val="00433673"/>
    <w:rsid w:val="004445C5"/>
    <w:rsid w:val="0044590A"/>
    <w:rsid w:val="0044659F"/>
    <w:rsid w:val="00451871"/>
    <w:rsid w:val="0046306A"/>
    <w:rsid w:val="0046313F"/>
    <w:rsid w:val="004677A7"/>
    <w:rsid w:val="004701CE"/>
    <w:rsid w:val="00473FD8"/>
    <w:rsid w:val="00474EE6"/>
    <w:rsid w:val="00480841"/>
    <w:rsid w:val="004852E1"/>
    <w:rsid w:val="00491ADE"/>
    <w:rsid w:val="00491E04"/>
    <w:rsid w:val="00492C47"/>
    <w:rsid w:val="00494325"/>
    <w:rsid w:val="00494960"/>
    <w:rsid w:val="004A148E"/>
    <w:rsid w:val="004C483C"/>
    <w:rsid w:val="004D2906"/>
    <w:rsid w:val="004E0429"/>
    <w:rsid w:val="004E53C1"/>
    <w:rsid w:val="004E7F1E"/>
    <w:rsid w:val="004F2D1E"/>
    <w:rsid w:val="004F67D4"/>
    <w:rsid w:val="005005E7"/>
    <w:rsid w:val="00516B66"/>
    <w:rsid w:val="0053184A"/>
    <w:rsid w:val="00537CC8"/>
    <w:rsid w:val="00543186"/>
    <w:rsid w:val="0054766B"/>
    <w:rsid w:val="00554617"/>
    <w:rsid w:val="00557243"/>
    <w:rsid w:val="00563645"/>
    <w:rsid w:val="00565B68"/>
    <w:rsid w:val="00566B6A"/>
    <w:rsid w:val="00571613"/>
    <w:rsid w:val="0057430A"/>
    <w:rsid w:val="00575289"/>
    <w:rsid w:val="005765F3"/>
    <w:rsid w:val="005827A2"/>
    <w:rsid w:val="00582E8D"/>
    <w:rsid w:val="005833B1"/>
    <w:rsid w:val="005904EB"/>
    <w:rsid w:val="005A11B4"/>
    <w:rsid w:val="005B006C"/>
    <w:rsid w:val="005B1DA7"/>
    <w:rsid w:val="005B4181"/>
    <w:rsid w:val="005B6D28"/>
    <w:rsid w:val="005B7329"/>
    <w:rsid w:val="005C38A9"/>
    <w:rsid w:val="005C5AD8"/>
    <w:rsid w:val="005C7449"/>
    <w:rsid w:val="005C78BC"/>
    <w:rsid w:val="005D381D"/>
    <w:rsid w:val="005E0138"/>
    <w:rsid w:val="005E2258"/>
    <w:rsid w:val="0060055A"/>
    <w:rsid w:val="006014E8"/>
    <w:rsid w:val="006061A2"/>
    <w:rsid w:val="0061131C"/>
    <w:rsid w:val="00614233"/>
    <w:rsid w:val="00616C8B"/>
    <w:rsid w:val="00620FC7"/>
    <w:rsid w:val="00621BB0"/>
    <w:rsid w:val="0062465E"/>
    <w:rsid w:val="0063099E"/>
    <w:rsid w:val="006335B8"/>
    <w:rsid w:val="0065576A"/>
    <w:rsid w:val="00657C72"/>
    <w:rsid w:val="00664E33"/>
    <w:rsid w:val="006667A3"/>
    <w:rsid w:val="00683CC1"/>
    <w:rsid w:val="00690ADF"/>
    <w:rsid w:val="006A0B96"/>
    <w:rsid w:val="006A20DB"/>
    <w:rsid w:val="006A42A9"/>
    <w:rsid w:val="006A4E21"/>
    <w:rsid w:val="006A738F"/>
    <w:rsid w:val="006B38A4"/>
    <w:rsid w:val="006C4DCD"/>
    <w:rsid w:val="006D03B2"/>
    <w:rsid w:val="006E0EEC"/>
    <w:rsid w:val="006E785C"/>
    <w:rsid w:val="006F3070"/>
    <w:rsid w:val="006F5AD5"/>
    <w:rsid w:val="00700588"/>
    <w:rsid w:val="00701E03"/>
    <w:rsid w:val="007118DE"/>
    <w:rsid w:val="00712256"/>
    <w:rsid w:val="00715CE3"/>
    <w:rsid w:val="00725A99"/>
    <w:rsid w:val="00725F0F"/>
    <w:rsid w:val="00726CB4"/>
    <w:rsid w:val="00726D31"/>
    <w:rsid w:val="00727D10"/>
    <w:rsid w:val="007300DB"/>
    <w:rsid w:val="007305E8"/>
    <w:rsid w:val="00740D66"/>
    <w:rsid w:val="00742F25"/>
    <w:rsid w:val="00747EAB"/>
    <w:rsid w:val="007573FB"/>
    <w:rsid w:val="00761941"/>
    <w:rsid w:val="0076586B"/>
    <w:rsid w:val="00785A11"/>
    <w:rsid w:val="007864A4"/>
    <w:rsid w:val="00791382"/>
    <w:rsid w:val="00795397"/>
    <w:rsid w:val="007A207F"/>
    <w:rsid w:val="007A5175"/>
    <w:rsid w:val="007A53FD"/>
    <w:rsid w:val="007B0FAB"/>
    <w:rsid w:val="007B3B35"/>
    <w:rsid w:val="007D3A99"/>
    <w:rsid w:val="007D3F11"/>
    <w:rsid w:val="007D4A49"/>
    <w:rsid w:val="007D4E72"/>
    <w:rsid w:val="007D7F81"/>
    <w:rsid w:val="007E0A64"/>
    <w:rsid w:val="007E3343"/>
    <w:rsid w:val="00806B87"/>
    <w:rsid w:val="008126FA"/>
    <w:rsid w:val="0082018C"/>
    <w:rsid w:val="008202E6"/>
    <w:rsid w:val="00822BD5"/>
    <w:rsid w:val="00824185"/>
    <w:rsid w:val="00831274"/>
    <w:rsid w:val="0084187A"/>
    <w:rsid w:val="00841C3C"/>
    <w:rsid w:val="00846157"/>
    <w:rsid w:val="00854C12"/>
    <w:rsid w:val="00865FC8"/>
    <w:rsid w:val="00875BFA"/>
    <w:rsid w:val="00886023"/>
    <w:rsid w:val="00891C50"/>
    <w:rsid w:val="00892D13"/>
    <w:rsid w:val="008A113C"/>
    <w:rsid w:val="008A2F2B"/>
    <w:rsid w:val="008A50B6"/>
    <w:rsid w:val="008B425A"/>
    <w:rsid w:val="008D57CC"/>
    <w:rsid w:val="008D6F97"/>
    <w:rsid w:val="008E4DB3"/>
    <w:rsid w:val="008F0DD8"/>
    <w:rsid w:val="008F6490"/>
    <w:rsid w:val="009004D1"/>
    <w:rsid w:val="009043AA"/>
    <w:rsid w:val="0090736C"/>
    <w:rsid w:val="00923DDB"/>
    <w:rsid w:val="00933C48"/>
    <w:rsid w:val="00947B39"/>
    <w:rsid w:val="00950293"/>
    <w:rsid w:val="009503D7"/>
    <w:rsid w:val="009520C8"/>
    <w:rsid w:val="009537CD"/>
    <w:rsid w:val="00954C2E"/>
    <w:rsid w:val="00963A7B"/>
    <w:rsid w:val="009653C5"/>
    <w:rsid w:val="0098310D"/>
    <w:rsid w:val="00986693"/>
    <w:rsid w:val="00986DEE"/>
    <w:rsid w:val="00993A1E"/>
    <w:rsid w:val="009A0F9A"/>
    <w:rsid w:val="009A5058"/>
    <w:rsid w:val="009B16C9"/>
    <w:rsid w:val="009C15DB"/>
    <w:rsid w:val="009D17DA"/>
    <w:rsid w:val="009E09A9"/>
    <w:rsid w:val="009E09DB"/>
    <w:rsid w:val="009E525E"/>
    <w:rsid w:val="009E55B7"/>
    <w:rsid w:val="009E77BD"/>
    <w:rsid w:val="009F0114"/>
    <w:rsid w:val="009F165F"/>
    <w:rsid w:val="00A011F5"/>
    <w:rsid w:val="00A03018"/>
    <w:rsid w:val="00A07BC9"/>
    <w:rsid w:val="00A11B9B"/>
    <w:rsid w:val="00A12334"/>
    <w:rsid w:val="00A20CCB"/>
    <w:rsid w:val="00A23314"/>
    <w:rsid w:val="00A23C60"/>
    <w:rsid w:val="00A2429E"/>
    <w:rsid w:val="00A2651D"/>
    <w:rsid w:val="00A52129"/>
    <w:rsid w:val="00A60AB3"/>
    <w:rsid w:val="00A6676A"/>
    <w:rsid w:val="00A857B2"/>
    <w:rsid w:val="00A86947"/>
    <w:rsid w:val="00A9319B"/>
    <w:rsid w:val="00A936B3"/>
    <w:rsid w:val="00AA6501"/>
    <w:rsid w:val="00AC0253"/>
    <w:rsid w:val="00AE5BE0"/>
    <w:rsid w:val="00AE6425"/>
    <w:rsid w:val="00AE7945"/>
    <w:rsid w:val="00AF3A84"/>
    <w:rsid w:val="00AF54F7"/>
    <w:rsid w:val="00AF5B8C"/>
    <w:rsid w:val="00AF7539"/>
    <w:rsid w:val="00B01135"/>
    <w:rsid w:val="00B0171C"/>
    <w:rsid w:val="00B01789"/>
    <w:rsid w:val="00B04238"/>
    <w:rsid w:val="00B04A41"/>
    <w:rsid w:val="00B04E18"/>
    <w:rsid w:val="00B124DE"/>
    <w:rsid w:val="00B13F65"/>
    <w:rsid w:val="00B219EF"/>
    <w:rsid w:val="00B2222C"/>
    <w:rsid w:val="00B22621"/>
    <w:rsid w:val="00B227D1"/>
    <w:rsid w:val="00B25F58"/>
    <w:rsid w:val="00B27A2A"/>
    <w:rsid w:val="00B315BD"/>
    <w:rsid w:val="00B4242B"/>
    <w:rsid w:val="00B453C0"/>
    <w:rsid w:val="00B47FF5"/>
    <w:rsid w:val="00B56611"/>
    <w:rsid w:val="00B6610C"/>
    <w:rsid w:val="00B6759F"/>
    <w:rsid w:val="00B67B12"/>
    <w:rsid w:val="00B714DC"/>
    <w:rsid w:val="00B72904"/>
    <w:rsid w:val="00B81BD2"/>
    <w:rsid w:val="00B87CB7"/>
    <w:rsid w:val="00B95054"/>
    <w:rsid w:val="00B97419"/>
    <w:rsid w:val="00BB0F7A"/>
    <w:rsid w:val="00BB3D61"/>
    <w:rsid w:val="00BB406C"/>
    <w:rsid w:val="00BC2104"/>
    <w:rsid w:val="00BC31BC"/>
    <w:rsid w:val="00BC7179"/>
    <w:rsid w:val="00BD3C89"/>
    <w:rsid w:val="00BD658B"/>
    <w:rsid w:val="00BE0DDD"/>
    <w:rsid w:val="00BE4252"/>
    <w:rsid w:val="00BE7083"/>
    <w:rsid w:val="00C0248A"/>
    <w:rsid w:val="00C0542C"/>
    <w:rsid w:val="00C11C99"/>
    <w:rsid w:val="00C12260"/>
    <w:rsid w:val="00C21187"/>
    <w:rsid w:val="00C25478"/>
    <w:rsid w:val="00C27BD6"/>
    <w:rsid w:val="00C330B2"/>
    <w:rsid w:val="00C51390"/>
    <w:rsid w:val="00C51C85"/>
    <w:rsid w:val="00C56C14"/>
    <w:rsid w:val="00C61F8B"/>
    <w:rsid w:val="00C65749"/>
    <w:rsid w:val="00C706AA"/>
    <w:rsid w:val="00C76006"/>
    <w:rsid w:val="00C762AF"/>
    <w:rsid w:val="00C7712C"/>
    <w:rsid w:val="00CA4EC8"/>
    <w:rsid w:val="00CC3060"/>
    <w:rsid w:val="00CD1F78"/>
    <w:rsid w:val="00CD6D41"/>
    <w:rsid w:val="00CE15EA"/>
    <w:rsid w:val="00CE6A51"/>
    <w:rsid w:val="00CF59DF"/>
    <w:rsid w:val="00CF60F2"/>
    <w:rsid w:val="00CF7248"/>
    <w:rsid w:val="00D12017"/>
    <w:rsid w:val="00D2504D"/>
    <w:rsid w:val="00D30084"/>
    <w:rsid w:val="00D335B2"/>
    <w:rsid w:val="00D42175"/>
    <w:rsid w:val="00D459A8"/>
    <w:rsid w:val="00D46F7F"/>
    <w:rsid w:val="00D533FD"/>
    <w:rsid w:val="00D53F87"/>
    <w:rsid w:val="00D54462"/>
    <w:rsid w:val="00D5543B"/>
    <w:rsid w:val="00D55E1D"/>
    <w:rsid w:val="00D72EA2"/>
    <w:rsid w:val="00D73692"/>
    <w:rsid w:val="00D76D11"/>
    <w:rsid w:val="00D83DE6"/>
    <w:rsid w:val="00D87CD8"/>
    <w:rsid w:val="00D92F6E"/>
    <w:rsid w:val="00D9795D"/>
    <w:rsid w:val="00DA0904"/>
    <w:rsid w:val="00DA6E11"/>
    <w:rsid w:val="00DB0399"/>
    <w:rsid w:val="00DC3638"/>
    <w:rsid w:val="00DC45B9"/>
    <w:rsid w:val="00DC51E6"/>
    <w:rsid w:val="00DE1A9C"/>
    <w:rsid w:val="00DF07FE"/>
    <w:rsid w:val="00DF21BF"/>
    <w:rsid w:val="00DF7943"/>
    <w:rsid w:val="00E03473"/>
    <w:rsid w:val="00E03E50"/>
    <w:rsid w:val="00E14436"/>
    <w:rsid w:val="00E26538"/>
    <w:rsid w:val="00E27C73"/>
    <w:rsid w:val="00E3750D"/>
    <w:rsid w:val="00E40225"/>
    <w:rsid w:val="00E402E3"/>
    <w:rsid w:val="00E40AF2"/>
    <w:rsid w:val="00E41A8D"/>
    <w:rsid w:val="00E4279E"/>
    <w:rsid w:val="00E46C90"/>
    <w:rsid w:val="00E55412"/>
    <w:rsid w:val="00E62296"/>
    <w:rsid w:val="00E6564A"/>
    <w:rsid w:val="00E659FD"/>
    <w:rsid w:val="00E66541"/>
    <w:rsid w:val="00E723FA"/>
    <w:rsid w:val="00E8039A"/>
    <w:rsid w:val="00E92192"/>
    <w:rsid w:val="00EA27E9"/>
    <w:rsid w:val="00EB4428"/>
    <w:rsid w:val="00EB4C46"/>
    <w:rsid w:val="00EB514D"/>
    <w:rsid w:val="00EB61C4"/>
    <w:rsid w:val="00EC25F0"/>
    <w:rsid w:val="00EC4706"/>
    <w:rsid w:val="00EC554B"/>
    <w:rsid w:val="00EC6918"/>
    <w:rsid w:val="00ED38F6"/>
    <w:rsid w:val="00EE4B64"/>
    <w:rsid w:val="00EF1FA0"/>
    <w:rsid w:val="00EF26F0"/>
    <w:rsid w:val="00EF4F7F"/>
    <w:rsid w:val="00F004A5"/>
    <w:rsid w:val="00F015E3"/>
    <w:rsid w:val="00F036C1"/>
    <w:rsid w:val="00F14AF9"/>
    <w:rsid w:val="00F14D44"/>
    <w:rsid w:val="00F156A3"/>
    <w:rsid w:val="00F34345"/>
    <w:rsid w:val="00F41E2E"/>
    <w:rsid w:val="00F45FD8"/>
    <w:rsid w:val="00F50EB4"/>
    <w:rsid w:val="00F51D2D"/>
    <w:rsid w:val="00F627B4"/>
    <w:rsid w:val="00F643BE"/>
    <w:rsid w:val="00F662B0"/>
    <w:rsid w:val="00F82713"/>
    <w:rsid w:val="00F84BE1"/>
    <w:rsid w:val="00FA2C37"/>
    <w:rsid w:val="00FA3906"/>
    <w:rsid w:val="00FB35B8"/>
    <w:rsid w:val="00FB582D"/>
    <w:rsid w:val="00FB67ED"/>
    <w:rsid w:val="00FB6A7E"/>
    <w:rsid w:val="00FC2EBC"/>
    <w:rsid w:val="00FC3563"/>
    <w:rsid w:val="00FC4F35"/>
    <w:rsid w:val="00FC714F"/>
    <w:rsid w:val="00FE04C4"/>
    <w:rsid w:val="00FE5285"/>
    <w:rsid w:val="00FF4D60"/>
    <w:rsid w:val="00FF5B9C"/>
    <w:rsid w:val="00FF6114"/>
    <w:rsid w:val="00FF68FD"/>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9D86D8"/>
  <w15:chartTrackingRefBased/>
  <w15:docId w15:val="{7774ED15-5387-4785-A1EF-AF4FD3D7CA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fa-IR"/>
      </w:rPr>
    </w:rPrDefault>
    <w:pPrDefault>
      <w:pPr>
        <w:bidi/>
        <w:spacing w:after="160" w:line="259" w:lineRule="auto"/>
        <w:ind w:left="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7CC8"/>
    <w:pPr>
      <w:spacing w:line="240" w:lineRule="auto"/>
      <w:ind w:left="0"/>
      <w:jc w:val="both"/>
    </w:pPr>
    <w:rPr>
      <w:rFonts w:ascii="Times New Roman" w:hAnsi="Times New Roman" w:cs="B Zar"/>
      <w:sz w:val="20"/>
    </w:rPr>
  </w:style>
  <w:style w:type="paragraph" w:styleId="Heading1">
    <w:name w:val="heading 1"/>
    <w:basedOn w:val="Normal"/>
    <w:next w:val="Normal"/>
    <w:link w:val="Heading1Char"/>
    <w:uiPriority w:val="9"/>
    <w:qFormat/>
    <w:rsid w:val="00B219EF"/>
    <w:pPr>
      <w:keepNext/>
      <w:keepLines/>
      <w:pageBreakBefore/>
      <w:numPr>
        <w:numId w:val="3"/>
      </w:numPr>
      <w:spacing w:before="120" w:after="240"/>
      <w:ind w:left="431" w:hanging="431"/>
      <w:outlineLvl w:val="0"/>
    </w:pPr>
    <w:rPr>
      <w:rFonts w:ascii="Times New Roman Bold" w:eastAsiaTheme="majorEastAsia" w:hAnsi="Times New Roman Bold"/>
      <w:b/>
      <w:bCs/>
      <w:sz w:val="28"/>
      <w:szCs w:val="32"/>
    </w:rPr>
  </w:style>
  <w:style w:type="paragraph" w:styleId="Heading2">
    <w:name w:val="heading 2"/>
    <w:basedOn w:val="Normal"/>
    <w:next w:val="Normal"/>
    <w:link w:val="Heading2Char"/>
    <w:uiPriority w:val="9"/>
    <w:unhideWhenUsed/>
    <w:qFormat/>
    <w:rsid w:val="00B219EF"/>
    <w:pPr>
      <w:keepNext/>
      <w:keepLines/>
      <w:pageBreakBefore/>
      <w:numPr>
        <w:ilvl w:val="1"/>
        <w:numId w:val="3"/>
      </w:numPr>
      <w:spacing w:before="120" w:after="200"/>
      <w:ind w:left="578" w:hanging="578"/>
      <w:outlineLvl w:val="1"/>
    </w:pPr>
    <w:rPr>
      <w:rFonts w:ascii="Times New Roman Bold" w:eastAsiaTheme="majorEastAsia" w:hAnsi="Times New Roman Bold"/>
      <w:b/>
      <w:bCs/>
      <w:sz w:val="26"/>
      <w:szCs w:val="30"/>
    </w:rPr>
  </w:style>
  <w:style w:type="paragraph" w:styleId="Heading3">
    <w:name w:val="heading 3"/>
    <w:basedOn w:val="Normal"/>
    <w:next w:val="Normal"/>
    <w:link w:val="Heading3Char"/>
    <w:uiPriority w:val="9"/>
    <w:unhideWhenUsed/>
    <w:qFormat/>
    <w:rsid w:val="00DF07FE"/>
    <w:pPr>
      <w:keepNext/>
      <w:keepLines/>
      <w:numPr>
        <w:ilvl w:val="2"/>
        <w:numId w:val="1"/>
      </w:numPr>
      <w:spacing w:before="120"/>
      <w:outlineLvl w:val="2"/>
    </w:pPr>
    <w:rPr>
      <w:rFonts w:ascii="Times New Roman Bold" w:eastAsiaTheme="majorEastAsia" w:hAnsi="Times New Roman Bold"/>
      <w:b/>
      <w:bCs/>
      <w:sz w:val="24"/>
      <w:szCs w:val="28"/>
    </w:rPr>
  </w:style>
  <w:style w:type="paragraph" w:styleId="Heading4">
    <w:name w:val="heading 4"/>
    <w:basedOn w:val="Normal"/>
    <w:next w:val="Normal"/>
    <w:link w:val="Heading4Char"/>
    <w:uiPriority w:val="9"/>
    <w:unhideWhenUsed/>
    <w:qFormat/>
    <w:rsid w:val="00DF07FE"/>
    <w:pPr>
      <w:keepNext/>
      <w:keepLines/>
      <w:numPr>
        <w:ilvl w:val="3"/>
        <w:numId w:val="3"/>
      </w:numPr>
      <w:spacing w:before="40" w:after="40"/>
      <w:outlineLvl w:val="3"/>
    </w:pPr>
    <w:rPr>
      <w:rFonts w:ascii="Times New Roman Bold" w:eastAsiaTheme="majorEastAsia" w:hAnsi="Times New Roman Bold"/>
      <w:b/>
      <w:bCs/>
    </w:rPr>
  </w:style>
  <w:style w:type="paragraph" w:styleId="Heading5">
    <w:name w:val="heading 5"/>
    <w:basedOn w:val="Normal"/>
    <w:next w:val="Normal"/>
    <w:link w:val="Heading5Char"/>
    <w:uiPriority w:val="9"/>
    <w:unhideWhenUsed/>
    <w:qFormat/>
    <w:rsid w:val="00DF07FE"/>
    <w:pPr>
      <w:keepNext/>
      <w:keepLines/>
      <w:numPr>
        <w:ilvl w:val="4"/>
        <w:numId w:val="3"/>
      </w:numPr>
      <w:spacing w:before="40" w:after="0"/>
      <w:outlineLvl w:val="4"/>
    </w:pPr>
    <w:rPr>
      <w:rFonts w:ascii="Times New Roman Bold" w:eastAsiaTheme="majorEastAsia" w:hAnsi="Times New Roman Bold"/>
      <w:b/>
      <w:bCs/>
    </w:rPr>
  </w:style>
  <w:style w:type="paragraph" w:styleId="Heading6">
    <w:name w:val="heading 6"/>
    <w:basedOn w:val="Normal"/>
    <w:next w:val="Normal"/>
    <w:link w:val="Heading6Char"/>
    <w:uiPriority w:val="9"/>
    <w:unhideWhenUsed/>
    <w:qFormat/>
    <w:rsid w:val="00DF07FE"/>
    <w:pPr>
      <w:keepNext/>
      <w:keepLines/>
      <w:numPr>
        <w:ilvl w:val="5"/>
        <w:numId w:val="3"/>
      </w:numPr>
      <w:spacing w:before="40" w:after="120"/>
      <w:outlineLvl w:val="5"/>
    </w:pPr>
    <w:rPr>
      <w:rFonts w:ascii="Times New Roman Bold" w:eastAsiaTheme="majorEastAsia" w:hAnsi="Times New Roman Bold"/>
      <w:b/>
      <w:bCs/>
    </w:rPr>
  </w:style>
  <w:style w:type="paragraph" w:styleId="Heading7">
    <w:name w:val="heading 7"/>
    <w:basedOn w:val="Normal"/>
    <w:next w:val="Normal"/>
    <w:link w:val="Heading7Char"/>
    <w:uiPriority w:val="9"/>
    <w:unhideWhenUsed/>
    <w:qFormat/>
    <w:rsid w:val="00DF07FE"/>
    <w:pPr>
      <w:keepNext/>
      <w:keepLines/>
      <w:numPr>
        <w:ilvl w:val="6"/>
        <w:numId w:val="3"/>
      </w:numPr>
      <w:spacing w:before="40" w:after="120"/>
      <w:outlineLvl w:val="6"/>
    </w:pPr>
    <w:rPr>
      <w:rFonts w:ascii="Times New Roman Bold" w:eastAsiaTheme="majorEastAsia" w:hAnsi="Times New Roman Bold"/>
      <w:b/>
      <w:bCs/>
    </w:rPr>
  </w:style>
  <w:style w:type="paragraph" w:styleId="Heading8">
    <w:name w:val="heading 8"/>
    <w:basedOn w:val="Normal"/>
    <w:next w:val="Normal"/>
    <w:link w:val="Heading8Char"/>
    <w:uiPriority w:val="9"/>
    <w:unhideWhenUsed/>
    <w:qFormat/>
    <w:rsid w:val="000759FA"/>
    <w:pPr>
      <w:keepNext/>
      <w:keepLines/>
      <w:numPr>
        <w:ilvl w:val="7"/>
        <w:numId w:val="2"/>
      </w:numPr>
      <w:spacing w:before="40" w:after="120"/>
      <w:ind w:left="1440" w:hanging="1440"/>
      <w:outlineLvl w:val="7"/>
    </w:pPr>
    <w:rPr>
      <w:rFonts w:ascii="Times New Roman Bold" w:eastAsiaTheme="majorEastAsia" w:hAnsi="Times New Roman Bold"/>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219EF"/>
    <w:rPr>
      <w:rFonts w:ascii="Times New Roman Bold" w:eastAsiaTheme="majorEastAsia" w:hAnsi="Times New Roman Bold" w:cs="B Zar"/>
      <w:b/>
      <w:bCs/>
      <w:sz w:val="28"/>
      <w:szCs w:val="32"/>
    </w:rPr>
  </w:style>
  <w:style w:type="character" w:customStyle="1" w:styleId="Heading2Char">
    <w:name w:val="Heading 2 Char"/>
    <w:basedOn w:val="DefaultParagraphFont"/>
    <w:link w:val="Heading2"/>
    <w:uiPriority w:val="9"/>
    <w:rsid w:val="00B219EF"/>
    <w:rPr>
      <w:rFonts w:ascii="Times New Roman Bold" w:eastAsiaTheme="majorEastAsia" w:hAnsi="Times New Roman Bold" w:cs="B Zar"/>
      <w:b/>
      <w:bCs/>
      <w:sz w:val="26"/>
      <w:szCs w:val="30"/>
    </w:rPr>
  </w:style>
  <w:style w:type="character" w:customStyle="1" w:styleId="Heading3Char">
    <w:name w:val="Heading 3 Char"/>
    <w:basedOn w:val="DefaultParagraphFont"/>
    <w:link w:val="Heading3"/>
    <w:uiPriority w:val="9"/>
    <w:rsid w:val="00DF07FE"/>
    <w:rPr>
      <w:rFonts w:ascii="Times New Roman Bold" w:eastAsiaTheme="majorEastAsia" w:hAnsi="Times New Roman Bold" w:cs="B Zar"/>
      <w:b/>
      <w:bCs/>
      <w:sz w:val="24"/>
      <w:szCs w:val="28"/>
    </w:rPr>
  </w:style>
  <w:style w:type="character" w:customStyle="1" w:styleId="Heading4Char">
    <w:name w:val="Heading 4 Char"/>
    <w:basedOn w:val="DefaultParagraphFont"/>
    <w:link w:val="Heading4"/>
    <w:uiPriority w:val="9"/>
    <w:rsid w:val="00DF07FE"/>
    <w:rPr>
      <w:rFonts w:ascii="Times New Roman Bold" w:eastAsiaTheme="majorEastAsia" w:hAnsi="Times New Roman Bold" w:cs="B Zar"/>
      <w:b/>
      <w:bCs/>
      <w:sz w:val="20"/>
    </w:rPr>
  </w:style>
  <w:style w:type="character" w:customStyle="1" w:styleId="Heading5Char">
    <w:name w:val="Heading 5 Char"/>
    <w:basedOn w:val="DefaultParagraphFont"/>
    <w:link w:val="Heading5"/>
    <w:uiPriority w:val="9"/>
    <w:rsid w:val="000759FA"/>
    <w:rPr>
      <w:rFonts w:ascii="Times New Roman Bold" w:eastAsiaTheme="majorEastAsia" w:hAnsi="Times New Roman Bold" w:cs="B Zar"/>
      <w:b/>
      <w:bCs/>
      <w:sz w:val="20"/>
    </w:rPr>
  </w:style>
  <w:style w:type="character" w:customStyle="1" w:styleId="Heading6Char">
    <w:name w:val="Heading 6 Char"/>
    <w:basedOn w:val="DefaultParagraphFont"/>
    <w:link w:val="Heading6"/>
    <w:uiPriority w:val="9"/>
    <w:rsid w:val="000759FA"/>
    <w:rPr>
      <w:rFonts w:ascii="Times New Roman Bold" w:eastAsiaTheme="majorEastAsia" w:hAnsi="Times New Roman Bold" w:cs="B Zar"/>
      <w:b/>
      <w:bCs/>
      <w:sz w:val="20"/>
    </w:rPr>
  </w:style>
  <w:style w:type="character" w:customStyle="1" w:styleId="Heading7Char">
    <w:name w:val="Heading 7 Char"/>
    <w:basedOn w:val="DefaultParagraphFont"/>
    <w:link w:val="Heading7"/>
    <w:uiPriority w:val="9"/>
    <w:rsid w:val="000759FA"/>
    <w:rPr>
      <w:rFonts w:ascii="Times New Roman Bold" w:eastAsiaTheme="majorEastAsia" w:hAnsi="Times New Roman Bold" w:cs="B Zar"/>
      <w:b/>
      <w:bCs/>
      <w:sz w:val="20"/>
    </w:rPr>
  </w:style>
  <w:style w:type="character" w:customStyle="1" w:styleId="Heading8Char">
    <w:name w:val="Heading 8 Char"/>
    <w:basedOn w:val="DefaultParagraphFont"/>
    <w:link w:val="Heading8"/>
    <w:uiPriority w:val="9"/>
    <w:rsid w:val="000759FA"/>
    <w:rPr>
      <w:rFonts w:ascii="Times New Roman Bold" w:eastAsiaTheme="majorEastAsia" w:hAnsi="Times New Roman Bold" w:cs="B Zar"/>
      <w:b/>
      <w:bCs/>
      <w:sz w:val="20"/>
    </w:rPr>
  </w:style>
  <w:style w:type="numbering" w:customStyle="1" w:styleId="NoList1">
    <w:name w:val="No List1"/>
    <w:next w:val="NoList"/>
    <w:uiPriority w:val="99"/>
    <w:semiHidden/>
    <w:unhideWhenUsed/>
    <w:rsid w:val="00B219EF"/>
  </w:style>
  <w:style w:type="paragraph" w:customStyle="1" w:styleId="a">
    <w:name w:val="عنوان اصلی"/>
    <w:basedOn w:val="Normal"/>
    <w:link w:val="Char"/>
    <w:qFormat/>
    <w:rsid w:val="00B219EF"/>
    <w:pPr>
      <w:spacing w:after="0" w:line="276" w:lineRule="auto"/>
    </w:pPr>
    <w:rPr>
      <w:rFonts w:ascii="Calibri Light" w:eastAsia="Times New Roman" w:hAnsi="Calibri Light"/>
      <w:bCs/>
      <w:color w:val="000000"/>
      <w:sz w:val="32"/>
      <w:szCs w:val="40"/>
    </w:rPr>
  </w:style>
  <w:style w:type="character" w:customStyle="1" w:styleId="Char">
    <w:name w:val="عنوان اصلی Char"/>
    <w:basedOn w:val="Heading1Char"/>
    <w:link w:val="a"/>
    <w:rsid w:val="00B219EF"/>
    <w:rPr>
      <w:rFonts w:ascii="Calibri Light" w:eastAsia="Times New Roman" w:hAnsi="Calibri Light" w:cs="B Nazanin"/>
      <w:b w:val="0"/>
      <w:bCs/>
      <w:color w:val="000000"/>
      <w:sz w:val="32"/>
      <w:szCs w:val="40"/>
    </w:rPr>
  </w:style>
  <w:style w:type="paragraph" w:customStyle="1" w:styleId="1">
    <w:name w:val="عنوان فرعی 1"/>
    <w:basedOn w:val="a"/>
    <w:link w:val="1Char"/>
    <w:qFormat/>
    <w:rsid w:val="00B219EF"/>
    <w:rPr>
      <w:b/>
      <w:szCs w:val="32"/>
    </w:rPr>
  </w:style>
  <w:style w:type="character" w:customStyle="1" w:styleId="1Char">
    <w:name w:val="عنوان فرعی 1 Char"/>
    <w:basedOn w:val="Heading2Char"/>
    <w:link w:val="1"/>
    <w:rsid w:val="00B219EF"/>
    <w:rPr>
      <w:rFonts w:ascii="Calibri Light" w:eastAsia="Times New Roman" w:hAnsi="Calibri Light" w:cs="B Nazanin"/>
      <w:b/>
      <w:bCs/>
      <w:color w:val="000000"/>
      <w:sz w:val="32"/>
      <w:szCs w:val="32"/>
    </w:rPr>
  </w:style>
  <w:style w:type="paragraph" w:styleId="FootnoteText">
    <w:name w:val="footnote text"/>
    <w:basedOn w:val="Default"/>
    <w:link w:val="FootnoteTextChar"/>
    <w:uiPriority w:val="99"/>
    <w:unhideWhenUsed/>
    <w:rsid w:val="00B219EF"/>
    <w:rPr>
      <w:rFonts w:ascii="Times New Roman" w:hAnsi="Times New Roman" w:cs="B Nazanin"/>
      <w:color w:val="auto"/>
      <w:sz w:val="20"/>
      <w:szCs w:val="20"/>
    </w:rPr>
  </w:style>
  <w:style w:type="character" w:customStyle="1" w:styleId="FootnoteTextChar">
    <w:name w:val="Footnote Text Char"/>
    <w:basedOn w:val="DefaultParagraphFont"/>
    <w:link w:val="FootnoteText"/>
    <w:uiPriority w:val="99"/>
    <w:rsid w:val="00B219EF"/>
    <w:rPr>
      <w:rFonts w:ascii="Times New Roman" w:hAnsi="Times New Roman" w:cs="B Nazanin"/>
      <w:sz w:val="20"/>
      <w:szCs w:val="20"/>
    </w:rPr>
  </w:style>
  <w:style w:type="character" w:styleId="FootnoteReference">
    <w:name w:val="footnote reference"/>
    <w:basedOn w:val="DefaultParagraphFont"/>
    <w:uiPriority w:val="99"/>
    <w:semiHidden/>
    <w:unhideWhenUsed/>
    <w:rsid w:val="00B219EF"/>
    <w:rPr>
      <w:vertAlign w:val="superscript"/>
    </w:rPr>
  </w:style>
  <w:style w:type="paragraph" w:customStyle="1" w:styleId="Caption1">
    <w:name w:val="Caption1"/>
    <w:basedOn w:val="Normal"/>
    <w:link w:val="captionChar"/>
    <w:qFormat/>
    <w:rsid w:val="00B219EF"/>
    <w:pPr>
      <w:spacing w:line="259" w:lineRule="auto"/>
      <w:jc w:val="center"/>
    </w:pPr>
    <w:rPr>
      <w:rFonts w:ascii="Calibri" w:hAnsi="Calibri"/>
      <w:szCs w:val="24"/>
    </w:rPr>
  </w:style>
  <w:style w:type="paragraph" w:customStyle="1" w:styleId="Caption2">
    <w:name w:val="Caption2"/>
    <w:basedOn w:val="Normal"/>
    <w:next w:val="Normal"/>
    <w:uiPriority w:val="35"/>
    <w:unhideWhenUsed/>
    <w:qFormat/>
    <w:rsid w:val="00B219EF"/>
    <w:pPr>
      <w:spacing w:after="200"/>
    </w:pPr>
    <w:rPr>
      <w:rFonts w:ascii="Calibri" w:hAnsi="Calibri"/>
      <w:i/>
      <w:iCs/>
      <w:color w:val="44546A"/>
      <w:sz w:val="18"/>
      <w:szCs w:val="18"/>
    </w:rPr>
  </w:style>
  <w:style w:type="character" w:customStyle="1" w:styleId="captionChar">
    <w:name w:val="caption Char"/>
    <w:basedOn w:val="DefaultParagraphFont"/>
    <w:link w:val="Caption1"/>
    <w:rsid w:val="00B219EF"/>
    <w:rPr>
      <w:rFonts w:ascii="Calibri" w:hAnsi="Calibri" w:cs="B Nazanin"/>
      <w:szCs w:val="24"/>
    </w:rPr>
  </w:style>
  <w:style w:type="paragraph" w:styleId="ListParagraph">
    <w:name w:val="List Paragraph"/>
    <w:basedOn w:val="Normal"/>
    <w:uiPriority w:val="34"/>
    <w:qFormat/>
    <w:rsid w:val="00EC554B"/>
    <w:pPr>
      <w:spacing w:line="259" w:lineRule="auto"/>
      <w:ind w:left="720"/>
      <w:contextualSpacing/>
    </w:pPr>
    <w:rPr>
      <w:rFonts w:ascii="Calibri" w:hAnsi="Calibri"/>
      <w:sz w:val="18"/>
    </w:rPr>
  </w:style>
  <w:style w:type="table" w:styleId="TableGrid">
    <w:name w:val="Table Grid"/>
    <w:basedOn w:val="TableNormal"/>
    <w:uiPriority w:val="39"/>
    <w:rsid w:val="00B219EF"/>
    <w:pPr>
      <w:bidi w:val="0"/>
      <w:spacing w:after="0" w:line="240" w:lineRule="auto"/>
      <w:ind w:lef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219EF"/>
    <w:pPr>
      <w:tabs>
        <w:tab w:val="center" w:pos="4513"/>
        <w:tab w:val="right" w:pos="9026"/>
      </w:tabs>
      <w:spacing w:after="0"/>
    </w:pPr>
    <w:rPr>
      <w:rFonts w:ascii="Calibri" w:hAnsi="Calibri"/>
      <w:szCs w:val="28"/>
    </w:rPr>
  </w:style>
  <w:style w:type="character" w:customStyle="1" w:styleId="HeaderChar">
    <w:name w:val="Header Char"/>
    <w:basedOn w:val="DefaultParagraphFont"/>
    <w:link w:val="Header"/>
    <w:uiPriority w:val="99"/>
    <w:rsid w:val="00B219EF"/>
    <w:rPr>
      <w:rFonts w:ascii="Calibri" w:hAnsi="Calibri" w:cs="B Nazanin"/>
      <w:szCs w:val="28"/>
    </w:rPr>
  </w:style>
  <w:style w:type="paragraph" w:styleId="Footer">
    <w:name w:val="footer"/>
    <w:basedOn w:val="Normal"/>
    <w:link w:val="FooterChar"/>
    <w:uiPriority w:val="99"/>
    <w:unhideWhenUsed/>
    <w:rsid w:val="00B219EF"/>
    <w:pPr>
      <w:tabs>
        <w:tab w:val="center" w:pos="4513"/>
        <w:tab w:val="right" w:pos="9026"/>
      </w:tabs>
      <w:spacing w:after="0"/>
    </w:pPr>
    <w:rPr>
      <w:rFonts w:ascii="Calibri" w:hAnsi="Calibri"/>
      <w:szCs w:val="28"/>
    </w:rPr>
  </w:style>
  <w:style w:type="character" w:customStyle="1" w:styleId="FooterChar">
    <w:name w:val="Footer Char"/>
    <w:basedOn w:val="DefaultParagraphFont"/>
    <w:link w:val="Footer"/>
    <w:uiPriority w:val="99"/>
    <w:rsid w:val="00B219EF"/>
    <w:rPr>
      <w:rFonts w:ascii="Calibri" w:hAnsi="Calibri" w:cs="B Nazanin"/>
      <w:szCs w:val="28"/>
    </w:rPr>
  </w:style>
  <w:style w:type="character" w:customStyle="1" w:styleId="Hyperlink1">
    <w:name w:val="Hyperlink1"/>
    <w:basedOn w:val="DefaultParagraphFont"/>
    <w:uiPriority w:val="99"/>
    <w:unhideWhenUsed/>
    <w:rsid w:val="00B219EF"/>
    <w:rPr>
      <w:color w:val="0563C1"/>
      <w:u w:val="single"/>
    </w:rPr>
  </w:style>
  <w:style w:type="paragraph" w:customStyle="1" w:styleId="Title1">
    <w:name w:val="Title1"/>
    <w:basedOn w:val="Normal"/>
    <w:next w:val="Normal"/>
    <w:uiPriority w:val="10"/>
    <w:qFormat/>
    <w:rsid w:val="00B219EF"/>
    <w:pPr>
      <w:spacing w:after="0"/>
      <w:contextualSpacing/>
    </w:pPr>
    <w:rPr>
      <w:rFonts w:ascii="Calibri Light" w:eastAsia="Times New Roman" w:hAnsi="Calibri Light" w:cs="Times New Roman"/>
      <w:spacing w:val="-10"/>
      <w:kern w:val="28"/>
      <w:sz w:val="56"/>
      <w:szCs w:val="56"/>
    </w:rPr>
  </w:style>
  <w:style w:type="character" w:customStyle="1" w:styleId="TitleChar">
    <w:name w:val="Title Char"/>
    <w:basedOn w:val="DefaultParagraphFont"/>
    <w:link w:val="Title"/>
    <w:uiPriority w:val="10"/>
    <w:rsid w:val="00B219EF"/>
    <w:rPr>
      <w:rFonts w:ascii="Calibri Light" w:eastAsia="Times New Roman" w:hAnsi="Calibri Light" w:cs="Times New Roman"/>
      <w:spacing w:val="-10"/>
      <w:kern w:val="28"/>
      <w:sz w:val="56"/>
      <w:szCs w:val="56"/>
    </w:rPr>
  </w:style>
  <w:style w:type="paragraph" w:customStyle="1" w:styleId="Default">
    <w:name w:val="Default"/>
    <w:rsid w:val="00B219EF"/>
    <w:pPr>
      <w:autoSpaceDE w:val="0"/>
      <w:autoSpaceDN w:val="0"/>
      <w:bidi w:val="0"/>
      <w:adjustRightInd w:val="0"/>
      <w:spacing w:after="0" w:line="240" w:lineRule="auto"/>
      <w:ind w:left="0"/>
    </w:pPr>
    <w:rPr>
      <w:rFonts w:ascii="Sabon LT Std" w:hAnsi="Sabon LT Std" w:cs="Sabon LT Std"/>
      <w:color w:val="000000"/>
      <w:sz w:val="24"/>
      <w:szCs w:val="24"/>
    </w:rPr>
  </w:style>
  <w:style w:type="paragraph" w:customStyle="1" w:styleId="Pa0">
    <w:name w:val="Pa0"/>
    <w:basedOn w:val="Default"/>
    <w:next w:val="Default"/>
    <w:uiPriority w:val="99"/>
    <w:rsid w:val="00B219EF"/>
    <w:pPr>
      <w:spacing w:line="200" w:lineRule="atLeast"/>
    </w:pPr>
    <w:rPr>
      <w:rFonts w:cs="Arial"/>
      <w:color w:val="auto"/>
    </w:rPr>
  </w:style>
  <w:style w:type="paragraph" w:customStyle="1" w:styleId="Pa1">
    <w:name w:val="Pa1"/>
    <w:basedOn w:val="Default"/>
    <w:next w:val="Default"/>
    <w:uiPriority w:val="99"/>
    <w:rsid w:val="00B219EF"/>
    <w:pPr>
      <w:spacing w:line="200" w:lineRule="atLeast"/>
    </w:pPr>
    <w:rPr>
      <w:rFonts w:cs="Arial"/>
      <w:color w:val="auto"/>
    </w:rPr>
  </w:style>
  <w:style w:type="character" w:styleId="PlaceholderText">
    <w:name w:val="Placeholder Text"/>
    <w:basedOn w:val="DefaultParagraphFont"/>
    <w:uiPriority w:val="99"/>
    <w:semiHidden/>
    <w:rsid w:val="00B219EF"/>
    <w:rPr>
      <w:color w:val="808080"/>
    </w:rPr>
  </w:style>
  <w:style w:type="paragraph" w:customStyle="1" w:styleId="Pa327">
    <w:name w:val="Pa32+7"/>
    <w:basedOn w:val="Default"/>
    <w:next w:val="Default"/>
    <w:uiPriority w:val="99"/>
    <w:rsid w:val="00B219EF"/>
    <w:pPr>
      <w:spacing w:line="171" w:lineRule="atLeast"/>
    </w:pPr>
    <w:rPr>
      <w:rFonts w:ascii="Bliss" w:hAnsi="Bliss" w:cs="Arial"/>
      <w:color w:val="auto"/>
    </w:rPr>
  </w:style>
  <w:style w:type="character" w:styleId="CommentReference">
    <w:name w:val="annotation reference"/>
    <w:basedOn w:val="DefaultParagraphFont"/>
    <w:uiPriority w:val="99"/>
    <w:semiHidden/>
    <w:unhideWhenUsed/>
    <w:rsid w:val="00B219EF"/>
    <w:rPr>
      <w:sz w:val="16"/>
      <w:szCs w:val="16"/>
    </w:rPr>
  </w:style>
  <w:style w:type="paragraph" w:styleId="CommentText">
    <w:name w:val="annotation text"/>
    <w:basedOn w:val="Normal"/>
    <w:link w:val="CommentTextChar"/>
    <w:uiPriority w:val="99"/>
    <w:semiHidden/>
    <w:unhideWhenUsed/>
    <w:rsid w:val="00B219EF"/>
    <w:rPr>
      <w:rFonts w:ascii="Calibri" w:hAnsi="Calibri"/>
      <w:szCs w:val="20"/>
    </w:rPr>
  </w:style>
  <w:style w:type="character" w:customStyle="1" w:styleId="CommentTextChar">
    <w:name w:val="Comment Text Char"/>
    <w:basedOn w:val="DefaultParagraphFont"/>
    <w:link w:val="CommentText"/>
    <w:uiPriority w:val="99"/>
    <w:semiHidden/>
    <w:rsid w:val="00B219EF"/>
    <w:rPr>
      <w:rFonts w:ascii="Calibri" w:hAnsi="Calibri" w:cs="B Nazanin"/>
      <w:sz w:val="20"/>
      <w:szCs w:val="20"/>
    </w:rPr>
  </w:style>
  <w:style w:type="paragraph" w:styleId="CommentSubject">
    <w:name w:val="annotation subject"/>
    <w:basedOn w:val="CommentText"/>
    <w:next w:val="CommentText"/>
    <w:link w:val="CommentSubjectChar"/>
    <w:uiPriority w:val="99"/>
    <w:semiHidden/>
    <w:unhideWhenUsed/>
    <w:rsid w:val="00B219EF"/>
    <w:rPr>
      <w:b/>
      <w:bCs/>
    </w:rPr>
  </w:style>
  <w:style w:type="character" w:customStyle="1" w:styleId="CommentSubjectChar">
    <w:name w:val="Comment Subject Char"/>
    <w:basedOn w:val="CommentTextChar"/>
    <w:link w:val="CommentSubject"/>
    <w:uiPriority w:val="99"/>
    <w:semiHidden/>
    <w:rsid w:val="00B219EF"/>
    <w:rPr>
      <w:rFonts w:ascii="Calibri" w:hAnsi="Calibri" w:cs="B Nazanin"/>
      <w:b/>
      <w:bCs/>
      <w:sz w:val="20"/>
      <w:szCs w:val="20"/>
    </w:rPr>
  </w:style>
  <w:style w:type="paragraph" w:styleId="BalloonText">
    <w:name w:val="Balloon Text"/>
    <w:basedOn w:val="Normal"/>
    <w:link w:val="BalloonTextChar"/>
    <w:uiPriority w:val="99"/>
    <w:semiHidden/>
    <w:unhideWhenUsed/>
    <w:rsid w:val="00B219EF"/>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219EF"/>
    <w:rPr>
      <w:rFonts w:ascii="Segoe UI" w:hAnsi="Segoe UI" w:cs="Segoe UI"/>
      <w:sz w:val="18"/>
      <w:szCs w:val="18"/>
    </w:rPr>
  </w:style>
  <w:style w:type="paragraph" w:styleId="EndnoteText">
    <w:name w:val="endnote text"/>
    <w:basedOn w:val="Normal"/>
    <w:link w:val="EndnoteTextChar"/>
    <w:uiPriority w:val="99"/>
    <w:semiHidden/>
    <w:unhideWhenUsed/>
    <w:rsid w:val="00B219EF"/>
    <w:pPr>
      <w:spacing w:after="0"/>
    </w:pPr>
    <w:rPr>
      <w:rFonts w:ascii="Calibri" w:hAnsi="Calibri"/>
      <w:szCs w:val="20"/>
    </w:rPr>
  </w:style>
  <w:style w:type="character" w:customStyle="1" w:styleId="EndnoteTextChar">
    <w:name w:val="Endnote Text Char"/>
    <w:basedOn w:val="DefaultParagraphFont"/>
    <w:link w:val="EndnoteText"/>
    <w:uiPriority w:val="99"/>
    <w:semiHidden/>
    <w:rsid w:val="00B219EF"/>
    <w:rPr>
      <w:rFonts w:ascii="Calibri" w:hAnsi="Calibri" w:cs="B Nazanin"/>
      <w:sz w:val="20"/>
      <w:szCs w:val="20"/>
    </w:rPr>
  </w:style>
  <w:style w:type="character" w:styleId="EndnoteReference">
    <w:name w:val="endnote reference"/>
    <w:basedOn w:val="DefaultParagraphFont"/>
    <w:uiPriority w:val="99"/>
    <w:semiHidden/>
    <w:unhideWhenUsed/>
    <w:rsid w:val="00B219EF"/>
    <w:rPr>
      <w:vertAlign w:val="superscript"/>
    </w:rPr>
  </w:style>
  <w:style w:type="character" w:customStyle="1" w:styleId="UnresolvedMention1">
    <w:name w:val="Unresolved Mention1"/>
    <w:basedOn w:val="DefaultParagraphFont"/>
    <w:uiPriority w:val="99"/>
    <w:semiHidden/>
    <w:unhideWhenUsed/>
    <w:rsid w:val="00B219EF"/>
    <w:rPr>
      <w:color w:val="605E5C"/>
      <w:shd w:val="clear" w:color="auto" w:fill="E1DFDD"/>
    </w:rPr>
  </w:style>
  <w:style w:type="character" w:styleId="Hyperlink">
    <w:name w:val="Hyperlink"/>
    <w:basedOn w:val="DefaultParagraphFont"/>
    <w:uiPriority w:val="99"/>
    <w:unhideWhenUsed/>
    <w:rsid w:val="00B219EF"/>
    <w:rPr>
      <w:color w:val="0563C1" w:themeColor="hyperlink"/>
      <w:u w:val="single"/>
    </w:rPr>
  </w:style>
  <w:style w:type="paragraph" w:styleId="Title">
    <w:name w:val="Title"/>
    <w:basedOn w:val="Normal"/>
    <w:next w:val="Normal"/>
    <w:link w:val="TitleChar"/>
    <w:uiPriority w:val="10"/>
    <w:qFormat/>
    <w:rsid w:val="00B219EF"/>
    <w:pPr>
      <w:spacing w:after="0"/>
      <w:contextualSpacing/>
    </w:pPr>
    <w:rPr>
      <w:rFonts w:ascii="Calibri Light" w:eastAsia="Times New Roman" w:hAnsi="Calibri Light" w:cs="Times New Roman"/>
      <w:spacing w:val="-10"/>
      <w:kern w:val="28"/>
      <w:sz w:val="56"/>
      <w:szCs w:val="56"/>
    </w:rPr>
  </w:style>
  <w:style w:type="character" w:customStyle="1" w:styleId="TitleChar1">
    <w:name w:val="Title Char1"/>
    <w:basedOn w:val="DefaultParagraphFont"/>
    <w:uiPriority w:val="10"/>
    <w:rsid w:val="00B219EF"/>
    <w:rPr>
      <w:rFonts w:asciiTheme="majorHAnsi" w:eastAsiaTheme="majorEastAsia" w:hAnsiTheme="majorHAnsi" w:cstheme="majorBidi"/>
      <w:spacing w:val="-10"/>
      <w:kern w:val="28"/>
      <w:sz w:val="56"/>
      <w:szCs w:val="56"/>
    </w:rPr>
  </w:style>
  <w:style w:type="character" w:customStyle="1" w:styleId="mw-headline">
    <w:name w:val="mw-headline"/>
    <w:basedOn w:val="DefaultParagraphFont"/>
    <w:rsid w:val="0020732A"/>
  </w:style>
  <w:style w:type="paragraph" w:styleId="HTMLPreformatted">
    <w:name w:val="HTML Preformatted"/>
    <w:basedOn w:val="Normal"/>
    <w:link w:val="HTMLPreformattedChar"/>
    <w:uiPriority w:val="99"/>
    <w:semiHidden/>
    <w:unhideWhenUsed/>
    <w:rsid w:val="00537CC8"/>
    <w:pPr>
      <w:spacing w:after="0"/>
    </w:pPr>
    <w:rPr>
      <w:rFonts w:ascii="Consolas" w:hAnsi="Consolas"/>
      <w:szCs w:val="20"/>
    </w:rPr>
  </w:style>
  <w:style w:type="character" w:customStyle="1" w:styleId="HTMLPreformattedChar">
    <w:name w:val="HTML Preformatted Char"/>
    <w:basedOn w:val="DefaultParagraphFont"/>
    <w:link w:val="HTMLPreformatted"/>
    <w:uiPriority w:val="99"/>
    <w:semiHidden/>
    <w:rsid w:val="00537CC8"/>
    <w:rPr>
      <w:rFonts w:ascii="Consolas" w:hAnsi="Consolas" w:cs="B Nazanin"/>
      <w:sz w:val="20"/>
      <w:szCs w:val="20"/>
    </w:rPr>
  </w:style>
  <w:style w:type="paragraph" w:customStyle="1" w:styleId="TableParagraph">
    <w:name w:val="Table Paragraph"/>
    <w:basedOn w:val="Normal"/>
    <w:uiPriority w:val="1"/>
    <w:qFormat/>
    <w:rsid w:val="00537CC8"/>
    <w:pPr>
      <w:widowControl w:val="0"/>
      <w:autoSpaceDE w:val="0"/>
      <w:autoSpaceDN w:val="0"/>
      <w:bidi w:val="0"/>
      <w:spacing w:after="0"/>
      <w:ind w:left="59"/>
      <w:jc w:val="left"/>
    </w:pPr>
    <w:rPr>
      <w:rFonts w:ascii="Palatino Linotype" w:eastAsia="Palatino Linotype" w:hAnsi="Palatino Linotype" w:cs="Palatino Linotype"/>
      <w:lang w:bidi="ar-SA"/>
    </w:rPr>
  </w:style>
  <w:style w:type="paragraph" w:styleId="TOC1">
    <w:name w:val="toc 1"/>
    <w:basedOn w:val="Normal"/>
    <w:next w:val="Normal"/>
    <w:autoRedefine/>
    <w:uiPriority w:val="39"/>
    <w:unhideWhenUsed/>
    <w:rsid w:val="005A11B4"/>
    <w:pPr>
      <w:tabs>
        <w:tab w:val="right" w:leader="dot" w:pos="9060"/>
      </w:tabs>
      <w:spacing w:after="100"/>
    </w:pPr>
  </w:style>
  <w:style w:type="paragraph" w:styleId="TOC2">
    <w:name w:val="toc 2"/>
    <w:basedOn w:val="Normal"/>
    <w:next w:val="Normal"/>
    <w:autoRedefine/>
    <w:uiPriority w:val="39"/>
    <w:unhideWhenUsed/>
    <w:rsid w:val="006A42A9"/>
    <w:pPr>
      <w:spacing w:after="100"/>
      <w:ind w:left="200"/>
    </w:pPr>
  </w:style>
  <w:style w:type="paragraph" w:styleId="TOC3">
    <w:name w:val="toc 3"/>
    <w:basedOn w:val="Normal"/>
    <w:next w:val="Normal"/>
    <w:autoRedefine/>
    <w:uiPriority w:val="39"/>
    <w:unhideWhenUsed/>
    <w:rsid w:val="006A42A9"/>
    <w:pPr>
      <w:bidi w:val="0"/>
      <w:spacing w:after="100" w:line="259" w:lineRule="auto"/>
      <w:ind w:left="440"/>
      <w:jc w:val="left"/>
    </w:pPr>
    <w:rPr>
      <w:rFonts w:asciiTheme="minorHAnsi" w:eastAsiaTheme="minorEastAsia" w:hAnsiTheme="minorHAnsi" w:cstheme="minorBidi"/>
      <w:sz w:val="22"/>
      <w:lang w:bidi="ar-SA"/>
    </w:rPr>
  </w:style>
  <w:style w:type="paragraph" w:styleId="TOC4">
    <w:name w:val="toc 4"/>
    <w:basedOn w:val="Normal"/>
    <w:next w:val="Normal"/>
    <w:autoRedefine/>
    <w:uiPriority w:val="39"/>
    <w:unhideWhenUsed/>
    <w:rsid w:val="006A42A9"/>
    <w:pPr>
      <w:bidi w:val="0"/>
      <w:spacing w:after="100" w:line="259" w:lineRule="auto"/>
      <w:ind w:left="660"/>
      <w:jc w:val="left"/>
    </w:pPr>
    <w:rPr>
      <w:rFonts w:asciiTheme="minorHAnsi" w:eastAsiaTheme="minorEastAsia" w:hAnsiTheme="minorHAnsi" w:cstheme="minorBidi"/>
      <w:sz w:val="22"/>
      <w:lang w:bidi="ar-SA"/>
    </w:rPr>
  </w:style>
  <w:style w:type="paragraph" w:styleId="TOC5">
    <w:name w:val="toc 5"/>
    <w:basedOn w:val="Normal"/>
    <w:next w:val="Normal"/>
    <w:autoRedefine/>
    <w:uiPriority w:val="39"/>
    <w:unhideWhenUsed/>
    <w:rsid w:val="006A42A9"/>
    <w:pPr>
      <w:bidi w:val="0"/>
      <w:spacing w:after="100" w:line="259" w:lineRule="auto"/>
      <w:ind w:left="880"/>
      <w:jc w:val="left"/>
    </w:pPr>
    <w:rPr>
      <w:rFonts w:asciiTheme="minorHAnsi" w:eastAsiaTheme="minorEastAsia" w:hAnsiTheme="minorHAnsi" w:cstheme="minorBidi"/>
      <w:sz w:val="22"/>
      <w:lang w:bidi="ar-SA"/>
    </w:rPr>
  </w:style>
  <w:style w:type="paragraph" w:styleId="TOC6">
    <w:name w:val="toc 6"/>
    <w:basedOn w:val="Normal"/>
    <w:next w:val="Normal"/>
    <w:autoRedefine/>
    <w:uiPriority w:val="39"/>
    <w:unhideWhenUsed/>
    <w:rsid w:val="006A42A9"/>
    <w:pPr>
      <w:bidi w:val="0"/>
      <w:spacing w:after="100" w:line="259" w:lineRule="auto"/>
      <w:ind w:left="1100"/>
      <w:jc w:val="left"/>
    </w:pPr>
    <w:rPr>
      <w:rFonts w:asciiTheme="minorHAnsi" w:eastAsiaTheme="minorEastAsia" w:hAnsiTheme="minorHAnsi" w:cstheme="minorBidi"/>
      <w:sz w:val="22"/>
      <w:lang w:bidi="ar-SA"/>
    </w:rPr>
  </w:style>
  <w:style w:type="paragraph" w:styleId="TOC7">
    <w:name w:val="toc 7"/>
    <w:basedOn w:val="Normal"/>
    <w:next w:val="Normal"/>
    <w:autoRedefine/>
    <w:uiPriority w:val="39"/>
    <w:unhideWhenUsed/>
    <w:rsid w:val="006A42A9"/>
    <w:pPr>
      <w:bidi w:val="0"/>
      <w:spacing w:after="100" w:line="259" w:lineRule="auto"/>
      <w:ind w:left="1320"/>
      <w:jc w:val="left"/>
    </w:pPr>
    <w:rPr>
      <w:rFonts w:asciiTheme="minorHAnsi" w:eastAsiaTheme="minorEastAsia" w:hAnsiTheme="minorHAnsi" w:cstheme="minorBidi"/>
      <w:sz w:val="22"/>
      <w:lang w:bidi="ar-SA"/>
    </w:rPr>
  </w:style>
  <w:style w:type="paragraph" w:styleId="TOC8">
    <w:name w:val="toc 8"/>
    <w:basedOn w:val="Normal"/>
    <w:next w:val="Normal"/>
    <w:autoRedefine/>
    <w:uiPriority w:val="39"/>
    <w:unhideWhenUsed/>
    <w:rsid w:val="006A42A9"/>
    <w:pPr>
      <w:bidi w:val="0"/>
      <w:spacing w:after="100" w:line="259" w:lineRule="auto"/>
      <w:ind w:left="1540"/>
      <w:jc w:val="left"/>
    </w:pPr>
    <w:rPr>
      <w:rFonts w:asciiTheme="minorHAnsi" w:eastAsiaTheme="minorEastAsia" w:hAnsiTheme="minorHAnsi" w:cstheme="minorBidi"/>
      <w:sz w:val="22"/>
      <w:lang w:bidi="ar-SA"/>
    </w:rPr>
  </w:style>
  <w:style w:type="paragraph" w:styleId="TOC9">
    <w:name w:val="toc 9"/>
    <w:basedOn w:val="Normal"/>
    <w:next w:val="Normal"/>
    <w:autoRedefine/>
    <w:uiPriority w:val="39"/>
    <w:unhideWhenUsed/>
    <w:rsid w:val="006A42A9"/>
    <w:pPr>
      <w:bidi w:val="0"/>
      <w:spacing w:after="100" w:line="259" w:lineRule="auto"/>
      <w:ind w:left="1760"/>
      <w:jc w:val="left"/>
    </w:pPr>
    <w:rPr>
      <w:rFonts w:asciiTheme="minorHAnsi" w:eastAsiaTheme="minorEastAsia" w:hAnsiTheme="minorHAnsi" w:cstheme="minorBidi"/>
      <w:sz w:val="22"/>
      <w:lang w:bidi="ar-SA"/>
    </w:rPr>
  </w:style>
  <w:style w:type="character" w:styleId="UnresolvedMention">
    <w:name w:val="Unresolved Mention"/>
    <w:basedOn w:val="DefaultParagraphFont"/>
    <w:uiPriority w:val="99"/>
    <w:semiHidden/>
    <w:unhideWhenUsed/>
    <w:rsid w:val="00E8039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45287951">
      <w:bodyDiv w:val="1"/>
      <w:marLeft w:val="0"/>
      <w:marRight w:val="0"/>
      <w:marTop w:val="0"/>
      <w:marBottom w:val="0"/>
      <w:divBdr>
        <w:top w:val="none" w:sz="0" w:space="0" w:color="auto"/>
        <w:left w:val="none" w:sz="0" w:space="0" w:color="auto"/>
        <w:bottom w:val="none" w:sz="0" w:space="0" w:color="auto"/>
        <w:right w:val="none" w:sz="0" w:space="0" w:color="auto"/>
      </w:divBdr>
    </w:div>
    <w:div w:id="2028561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png"/><Relationship Id="rId21" Type="http://schemas.openxmlformats.org/officeDocument/2006/relationships/image" Target="media/image9.png"/><Relationship Id="rId324" Type="http://schemas.openxmlformats.org/officeDocument/2006/relationships/hyperlink" Target="http://www.mckinsey.com/" TargetMode="External"/><Relationship Id="rId531" Type="http://schemas.openxmlformats.org/officeDocument/2006/relationships/hyperlink" Target="http://longnow.org/" TargetMode="External"/><Relationship Id="rId170" Type="http://schemas.openxmlformats.org/officeDocument/2006/relationships/image" Target="media/image101.png"/><Relationship Id="rId268" Type="http://schemas.openxmlformats.org/officeDocument/2006/relationships/image" Target="media/image154.png"/><Relationship Id="rId475" Type="http://schemas.openxmlformats.org/officeDocument/2006/relationships/hyperlink" Target="http://www.adizes.com/" TargetMode="External"/><Relationship Id="rId32" Type="http://schemas.openxmlformats.org/officeDocument/2006/relationships/image" Target="media/image19.png"/><Relationship Id="rId128" Type="http://schemas.microsoft.com/office/2007/relationships/hdphoto" Target="media/hdphoto43.wdp"/><Relationship Id="rId335" Type="http://schemas.openxmlformats.org/officeDocument/2006/relationships/hyperlink" Target="http://www.pwc.com/us/en/index.jhtml" TargetMode="External"/><Relationship Id="rId542" Type="http://schemas.openxmlformats.org/officeDocument/2006/relationships/hyperlink" Target="http://scenarios-vision.com/" TargetMode="External"/><Relationship Id="rId181" Type="http://schemas.microsoft.com/office/2007/relationships/hdphoto" Target="media/hdphoto66.wdp"/><Relationship Id="rId402" Type="http://schemas.openxmlformats.org/officeDocument/2006/relationships/hyperlink" Target="http://www.ifok.eu/" TargetMode="External"/><Relationship Id="rId279" Type="http://schemas.openxmlformats.org/officeDocument/2006/relationships/image" Target="media/image160.png"/><Relationship Id="rId486" Type="http://schemas.openxmlformats.org/officeDocument/2006/relationships/hyperlink" Target="http://www.competia.com/" TargetMode="External"/><Relationship Id="rId43" Type="http://schemas.openxmlformats.org/officeDocument/2006/relationships/image" Target="media/image27.png"/><Relationship Id="rId139" Type="http://schemas.openxmlformats.org/officeDocument/2006/relationships/image" Target="media/image84.png"/><Relationship Id="rId346" Type="http://schemas.openxmlformats.org/officeDocument/2006/relationships/hyperlink" Target="http://www.arup.com/" TargetMode="External"/><Relationship Id="rId553" Type="http://schemas.openxmlformats.org/officeDocument/2006/relationships/hyperlink" Target="http://trendsdigest.com/" TargetMode="External"/><Relationship Id="rId192" Type="http://schemas.openxmlformats.org/officeDocument/2006/relationships/image" Target="media/image114.png"/><Relationship Id="rId206" Type="http://schemas.microsoft.com/office/2007/relationships/hdphoto" Target="media/hdphoto78.wdp"/><Relationship Id="rId413" Type="http://schemas.openxmlformats.org/officeDocument/2006/relationships/hyperlink" Target="http://www.iiasa.ac.at/" TargetMode="External"/><Relationship Id="rId497" Type="http://schemas.openxmlformats.org/officeDocument/2006/relationships/hyperlink" Target="http://www.foresightguide.com/" TargetMode="External"/><Relationship Id="rId357" Type="http://schemas.openxmlformats.org/officeDocument/2006/relationships/hyperlink" Target="http://www.decisionanalyst.com/index.dai" TargetMode="External"/><Relationship Id="rId54" Type="http://schemas.microsoft.com/office/2007/relationships/hdphoto" Target="media/hdphoto15.wdp"/><Relationship Id="rId217" Type="http://schemas.microsoft.com/office/2007/relationships/hdphoto" Target="media/hdphoto83.wdp"/><Relationship Id="rId564" Type="http://schemas.openxmlformats.org/officeDocument/2006/relationships/hyperlink" Target="https://www.futurepod.org/" TargetMode="External"/><Relationship Id="rId424" Type="http://schemas.openxmlformats.org/officeDocument/2006/relationships/hyperlink" Target="http://www.marketresearch.com/" TargetMode="External"/><Relationship Id="rId270" Type="http://schemas.openxmlformats.org/officeDocument/2006/relationships/image" Target="media/image155.png"/><Relationship Id="rId65" Type="http://schemas.openxmlformats.org/officeDocument/2006/relationships/image" Target="media/image39.png"/><Relationship Id="rId130" Type="http://schemas.microsoft.com/office/2007/relationships/hdphoto" Target="media/hdphoto44.wdp"/><Relationship Id="rId368" Type="http://schemas.openxmlformats.org/officeDocument/2006/relationships/hyperlink" Target="http://www.bitkom-research.de/" TargetMode="External"/><Relationship Id="rId575" Type="http://schemas.openxmlformats.org/officeDocument/2006/relationships/hyperlink" Target="http://www.foresightu.com/" TargetMode="External"/><Relationship Id="rId228" Type="http://schemas.openxmlformats.org/officeDocument/2006/relationships/image" Target="media/image133.png"/><Relationship Id="rId435" Type="http://schemas.openxmlformats.org/officeDocument/2006/relationships/hyperlink" Target="https://www.recordedfuture.com/" TargetMode="External"/><Relationship Id="rId281" Type="http://schemas.openxmlformats.org/officeDocument/2006/relationships/image" Target="media/image161.png"/><Relationship Id="rId502" Type="http://schemas.openxmlformats.org/officeDocument/2006/relationships/hyperlink" Target="http://future-directions.com/index_englisch.html" TargetMode="External"/><Relationship Id="rId76" Type="http://schemas.openxmlformats.org/officeDocument/2006/relationships/image" Target="media/image46.png"/><Relationship Id="rId141" Type="http://schemas.openxmlformats.org/officeDocument/2006/relationships/image" Target="media/image85.png"/><Relationship Id="rId379" Type="http://schemas.openxmlformats.org/officeDocument/2006/relationships/hyperlink" Target="http://www.frost.com/" TargetMode="External"/><Relationship Id="rId586" Type="http://schemas.microsoft.com/office/2007/relationships/hdphoto" Target="media/hdphoto118.wdp"/><Relationship Id="rId7" Type="http://schemas.openxmlformats.org/officeDocument/2006/relationships/endnotes" Target="endnotes.xml"/><Relationship Id="rId239" Type="http://schemas.microsoft.com/office/2007/relationships/hdphoto" Target="media/hdphoto94.wdp"/><Relationship Id="rId446" Type="http://schemas.openxmlformats.org/officeDocument/2006/relationships/hyperlink" Target="http://www.sitra.fi/en" TargetMode="External"/><Relationship Id="rId292" Type="http://schemas.openxmlformats.org/officeDocument/2006/relationships/hyperlink" Target="http://www.alvarezandmarsal.com/" TargetMode="External"/><Relationship Id="rId306" Type="http://schemas.openxmlformats.org/officeDocument/2006/relationships/hyperlink" Target="http://www.crai.com/" TargetMode="External"/><Relationship Id="rId87" Type="http://schemas.openxmlformats.org/officeDocument/2006/relationships/image" Target="media/image53.jpeg"/><Relationship Id="rId513" Type="http://schemas.openxmlformats.org/officeDocument/2006/relationships/hyperlink" Target="http://futurist.com/" TargetMode="External"/><Relationship Id="rId597" Type="http://schemas.openxmlformats.org/officeDocument/2006/relationships/image" Target="media/image173.png"/><Relationship Id="rId152" Type="http://schemas.openxmlformats.org/officeDocument/2006/relationships/image" Target="media/image91.png"/><Relationship Id="rId457" Type="http://schemas.openxmlformats.org/officeDocument/2006/relationships/hyperlink" Target="http://www.trajectorypartnership.com/" TargetMode="External"/><Relationship Id="rId14" Type="http://schemas.openxmlformats.org/officeDocument/2006/relationships/image" Target="media/image4.png"/><Relationship Id="rId56" Type="http://schemas.microsoft.com/office/2007/relationships/hdphoto" Target="media/hdphoto16.wdp"/><Relationship Id="rId317" Type="http://schemas.openxmlformats.org/officeDocument/2006/relationships/hyperlink" Target="http://www.ibm.com/" TargetMode="External"/><Relationship Id="rId359" Type="http://schemas.openxmlformats.org/officeDocument/2006/relationships/hyperlink" Target="http://www.deloitte.com/view/en_US/us/Insights/centers/centers-center-for-edge/index.htm" TargetMode="External"/><Relationship Id="rId524" Type="http://schemas.openxmlformats.org/officeDocument/2006/relationships/hyperlink" Target="http://www.katethomaskleyn.be/" TargetMode="External"/><Relationship Id="rId566" Type="http://schemas.openxmlformats.org/officeDocument/2006/relationships/hyperlink" Target="http://www.augustbradley.com/mindandmachine" TargetMode="External"/><Relationship Id="rId98" Type="http://schemas.openxmlformats.org/officeDocument/2006/relationships/image" Target="media/image60.png"/><Relationship Id="rId121" Type="http://schemas.microsoft.com/office/2007/relationships/hdphoto" Target="media/hdphoto40.wdp"/><Relationship Id="rId163" Type="http://schemas.microsoft.com/office/2007/relationships/hdphoto" Target="media/hdphoto59.wdp"/><Relationship Id="rId219" Type="http://schemas.microsoft.com/office/2007/relationships/hdphoto" Target="media/hdphoto84.wdp"/><Relationship Id="rId370" Type="http://schemas.openxmlformats.org/officeDocument/2006/relationships/hyperlink" Target="http://eurasiagroup.net/" TargetMode="External"/><Relationship Id="rId426" Type="http://schemas.openxmlformats.org/officeDocument/2006/relationships/hyperlink" Target="http://www.monitor-360.com/" TargetMode="External"/><Relationship Id="rId230" Type="http://schemas.openxmlformats.org/officeDocument/2006/relationships/image" Target="media/image134.png"/><Relationship Id="rId468" Type="http://schemas.openxmlformats.org/officeDocument/2006/relationships/hyperlink" Target="http://www.xprize.org/" TargetMode="External"/><Relationship Id="rId25" Type="http://schemas.openxmlformats.org/officeDocument/2006/relationships/image" Target="media/image13.png"/><Relationship Id="rId67" Type="http://schemas.microsoft.com/office/2007/relationships/hdphoto" Target="media/hdphoto20.wdp"/><Relationship Id="rId272" Type="http://schemas.openxmlformats.org/officeDocument/2006/relationships/image" Target="media/image156.png"/><Relationship Id="rId328" Type="http://schemas.openxmlformats.org/officeDocument/2006/relationships/hyperlink" Target="http://www.navigantconsulting.com/" TargetMode="External"/><Relationship Id="rId535" Type="http://schemas.openxmlformats.org/officeDocument/2006/relationships/hyperlink" Target="https://spiraldynamics.org/" TargetMode="External"/><Relationship Id="rId577" Type="http://schemas.openxmlformats.org/officeDocument/2006/relationships/hyperlink" Target="https://su.org/" TargetMode="External"/><Relationship Id="rId132" Type="http://schemas.microsoft.com/office/2007/relationships/hdphoto" Target="media/hdphoto45.wdp"/><Relationship Id="rId174" Type="http://schemas.microsoft.com/office/2007/relationships/hdphoto" Target="media/hdphoto64.wdp"/><Relationship Id="rId381" Type="http://schemas.openxmlformats.org/officeDocument/2006/relationships/hyperlink" Target="http://futurefoundation.net/" TargetMode="External"/><Relationship Id="rId602" Type="http://schemas.microsoft.com/office/2007/relationships/hdphoto" Target="media/hdphoto126.wdp"/><Relationship Id="rId241" Type="http://schemas.microsoft.com/office/2007/relationships/hdphoto" Target="media/hdphoto95.wdp"/><Relationship Id="rId437" Type="http://schemas.openxmlformats.org/officeDocument/2006/relationships/hyperlink" Target="http://rksdesign.com/" TargetMode="External"/><Relationship Id="rId479" Type="http://schemas.openxmlformats.org/officeDocument/2006/relationships/hyperlink" Target="http://www.asianforesightinstitute.org/" TargetMode="External"/><Relationship Id="rId36" Type="http://schemas.openxmlformats.org/officeDocument/2006/relationships/image" Target="media/image22.png"/><Relationship Id="rId283" Type="http://schemas.openxmlformats.org/officeDocument/2006/relationships/image" Target="media/image163.png"/><Relationship Id="rId339" Type="http://schemas.openxmlformats.org/officeDocument/2006/relationships/hyperlink" Target="http://www.teletech.com/" TargetMode="External"/><Relationship Id="rId490" Type="http://schemas.openxmlformats.org/officeDocument/2006/relationships/hyperlink" Target="http://fivethirtyeight.com/" TargetMode="External"/><Relationship Id="rId504" Type="http://schemas.openxmlformats.org/officeDocument/2006/relationships/hyperlink" Target="http://thefuturelaboratory.com/" TargetMode="External"/><Relationship Id="rId546" Type="http://schemas.openxmlformats.org/officeDocument/2006/relationships/hyperlink" Target="http://www.strategicfutures.com/" TargetMode="External"/><Relationship Id="rId78" Type="http://schemas.openxmlformats.org/officeDocument/2006/relationships/image" Target="media/image48.png"/><Relationship Id="rId101" Type="http://schemas.microsoft.com/office/2007/relationships/hdphoto" Target="media/hdphoto33.wdp"/><Relationship Id="rId143" Type="http://schemas.openxmlformats.org/officeDocument/2006/relationships/image" Target="media/image86.png"/><Relationship Id="rId185" Type="http://schemas.microsoft.com/office/2007/relationships/hdphoto" Target="media/hdphoto68.wdp"/><Relationship Id="rId350" Type="http://schemas.openxmlformats.org/officeDocument/2006/relationships/hyperlink" Target="http://www.thebreakthrough.org/" TargetMode="External"/><Relationship Id="rId406" Type="http://schemas.openxmlformats.org/officeDocument/2006/relationships/hyperlink" Target="https://www.izt.de/" TargetMode="External"/><Relationship Id="rId588" Type="http://schemas.microsoft.com/office/2007/relationships/hdphoto" Target="media/hdphoto119.wdp"/><Relationship Id="rId9" Type="http://schemas.microsoft.com/office/2007/relationships/hdphoto" Target="media/hdphoto1.wdp"/><Relationship Id="rId210" Type="http://schemas.openxmlformats.org/officeDocument/2006/relationships/image" Target="media/image124.png"/><Relationship Id="rId392" Type="http://schemas.openxmlformats.org/officeDocument/2006/relationships/hyperlink" Target="https://globescan.com/" TargetMode="External"/><Relationship Id="rId448" Type="http://schemas.openxmlformats.org/officeDocument/2006/relationships/hyperlink" Target="http://www.strategicbusinessinsights.com/" TargetMode="External"/><Relationship Id="rId252" Type="http://schemas.microsoft.com/office/2007/relationships/hdphoto" Target="media/hdphoto100.wdp"/><Relationship Id="rId294" Type="http://schemas.openxmlformats.org/officeDocument/2006/relationships/hyperlink" Target="http://www.aon.com/hcc" TargetMode="External"/><Relationship Id="rId308" Type="http://schemas.openxmlformats.org/officeDocument/2006/relationships/hyperlink" Target="http://www.deloitte.com/" TargetMode="External"/><Relationship Id="rId515" Type="http://schemas.openxmlformats.org/officeDocument/2006/relationships/hyperlink" Target="http://www.ressources-prospective.com/" TargetMode="External"/><Relationship Id="rId47" Type="http://schemas.openxmlformats.org/officeDocument/2006/relationships/image" Target="media/image29.png"/><Relationship Id="rId89" Type="http://schemas.microsoft.com/office/2007/relationships/hdphoto" Target="media/hdphoto28.wdp"/><Relationship Id="rId112" Type="http://schemas.openxmlformats.org/officeDocument/2006/relationships/image" Target="media/image69.png"/><Relationship Id="rId154" Type="http://schemas.microsoft.com/office/2007/relationships/hdphoto" Target="media/hdphoto55.wdp"/><Relationship Id="rId361" Type="http://schemas.openxmlformats.org/officeDocument/2006/relationships/hyperlink" Target="http://www.institut-destree.org/" TargetMode="External"/><Relationship Id="rId557" Type="http://schemas.openxmlformats.org/officeDocument/2006/relationships/hyperlink" Target="http://www.whatsnext.fi/" TargetMode="External"/><Relationship Id="rId599" Type="http://schemas.openxmlformats.org/officeDocument/2006/relationships/image" Target="media/image174.png"/><Relationship Id="rId196" Type="http://schemas.openxmlformats.org/officeDocument/2006/relationships/image" Target="media/image116.png"/><Relationship Id="rId417" Type="http://schemas.openxmlformats.org/officeDocument/2006/relationships/hyperlink" Target="http://www.kauffman.org/" TargetMode="External"/><Relationship Id="rId459" Type="http://schemas.openxmlformats.org/officeDocument/2006/relationships/hyperlink" Target="http://www.trendone.com/en.html" TargetMode="External"/><Relationship Id="rId16" Type="http://schemas.openxmlformats.org/officeDocument/2006/relationships/image" Target="media/image5.png"/><Relationship Id="rId221" Type="http://schemas.microsoft.com/office/2007/relationships/hdphoto" Target="media/hdphoto85.wdp"/><Relationship Id="rId263" Type="http://schemas.microsoft.com/office/2007/relationships/hdphoto" Target="media/hdphoto105.wdp"/><Relationship Id="rId319" Type="http://schemas.openxmlformats.org/officeDocument/2006/relationships/hyperlink" Target="http://www.kurtsalmon.com/" TargetMode="External"/><Relationship Id="rId470" Type="http://schemas.openxmlformats.org/officeDocument/2006/relationships/hyperlink" Target="http://www.z-punkt.de/" TargetMode="External"/><Relationship Id="rId526" Type="http://schemas.openxmlformats.org/officeDocument/2006/relationships/hyperlink" Target="http://www.kurzweilai.net/" TargetMode="External"/><Relationship Id="rId58" Type="http://schemas.openxmlformats.org/officeDocument/2006/relationships/image" Target="media/image35.png"/><Relationship Id="rId123" Type="http://schemas.openxmlformats.org/officeDocument/2006/relationships/image" Target="media/image76.png"/><Relationship Id="rId330" Type="http://schemas.openxmlformats.org/officeDocument/2006/relationships/hyperlink" Target="http://www.nera.com/" TargetMode="External"/><Relationship Id="rId568" Type="http://schemas.openxmlformats.org/officeDocument/2006/relationships/hyperlink" Target="https://www.predictingourfuture.com/" TargetMode="External"/><Relationship Id="rId165" Type="http://schemas.microsoft.com/office/2007/relationships/hdphoto" Target="media/hdphoto60.wdp"/><Relationship Id="rId372" Type="http://schemas.openxmlformats.org/officeDocument/2006/relationships/hyperlink" Target="http://www.forecastinternational.com/" TargetMode="External"/><Relationship Id="rId428" Type="http://schemas.openxmlformats.org/officeDocument/2006/relationships/hyperlink" Target="http://nine.se/" TargetMode="External"/><Relationship Id="rId232" Type="http://schemas.openxmlformats.org/officeDocument/2006/relationships/image" Target="media/image135.png"/><Relationship Id="rId274" Type="http://schemas.openxmlformats.org/officeDocument/2006/relationships/image" Target="media/image157.png"/><Relationship Id="rId481" Type="http://schemas.openxmlformats.org/officeDocument/2006/relationships/hyperlink" Target="http://bridge8.wordpress.com/" TargetMode="External"/><Relationship Id="rId27" Type="http://schemas.openxmlformats.org/officeDocument/2006/relationships/image" Target="media/image15.png"/><Relationship Id="rId69" Type="http://schemas.openxmlformats.org/officeDocument/2006/relationships/image" Target="media/image42.png"/><Relationship Id="rId134" Type="http://schemas.microsoft.com/office/2007/relationships/hdphoto" Target="media/hdphoto46.wdp"/><Relationship Id="rId537" Type="http://schemas.openxmlformats.org/officeDocument/2006/relationships/hyperlink" Target="http://www.pantopicon.be/" TargetMode="External"/><Relationship Id="rId579" Type="http://schemas.openxmlformats.org/officeDocument/2006/relationships/hyperlink" Target="https://www.gjopen.com/" TargetMode="External"/><Relationship Id="rId80" Type="http://schemas.openxmlformats.org/officeDocument/2006/relationships/image" Target="media/image49.png"/><Relationship Id="rId176" Type="http://schemas.openxmlformats.org/officeDocument/2006/relationships/image" Target="media/image105.png"/><Relationship Id="rId341" Type="http://schemas.openxmlformats.org/officeDocument/2006/relationships/hyperlink" Target="http://www.zsassociates.com/" TargetMode="External"/><Relationship Id="rId383" Type="http://schemas.openxmlformats.org/officeDocument/2006/relationships/hyperlink" Target="http://www.futurenavigator.dk/" TargetMode="External"/><Relationship Id="rId439" Type="http://schemas.openxmlformats.org/officeDocument/2006/relationships/hyperlink" Target="http://www.rmi.org/" TargetMode="External"/><Relationship Id="rId590" Type="http://schemas.microsoft.com/office/2007/relationships/hdphoto" Target="media/hdphoto120.wdp"/><Relationship Id="rId604" Type="http://schemas.openxmlformats.org/officeDocument/2006/relationships/theme" Target="theme/theme1.xml"/><Relationship Id="rId201" Type="http://schemas.openxmlformats.org/officeDocument/2006/relationships/image" Target="media/image119.png"/><Relationship Id="rId243" Type="http://schemas.microsoft.com/office/2007/relationships/hdphoto" Target="media/hdphoto96.wdp"/><Relationship Id="rId285" Type="http://schemas.openxmlformats.org/officeDocument/2006/relationships/hyperlink" Target="https://www.amazon.com/Learned-Optimism-Change-Your-Mind/dp/1400078393/" TargetMode="External"/><Relationship Id="rId450" Type="http://schemas.openxmlformats.org/officeDocument/2006/relationships/hyperlink" Target="http://www.sustainability.com/" TargetMode="External"/><Relationship Id="rId506" Type="http://schemas.openxmlformats.org/officeDocument/2006/relationships/hyperlink" Target="http://www.fpspi.org/" TargetMode="External"/><Relationship Id="rId38" Type="http://schemas.microsoft.com/office/2007/relationships/hdphoto" Target="media/hdphoto8.wdp"/><Relationship Id="rId103" Type="http://schemas.openxmlformats.org/officeDocument/2006/relationships/image" Target="media/image63.png"/><Relationship Id="rId310" Type="http://schemas.openxmlformats.org/officeDocument/2006/relationships/hyperlink" Target="http://www.dbresearch.com/" TargetMode="External"/><Relationship Id="rId492" Type="http://schemas.openxmlformats.org/officeDocument/2006/relationships/hyperlink" Target="http://www.foresightcanada.ca/" TargetMode="External"/><Relationship Id="rId548" Type="http://schemas.openxmlformats.org/officeDocument/2006/relationships/hyperlink" Target="http://superflux.in/" TargetMode="External"/><Relationship Id="rId91" Type="http://schemas.openxmlformats.org/officeDocument/2006/relationships/image" Target="media/image56.png"/><Relationship Id="rId145" Type="http://schemas.microsoft.com/office/2007/relationships/hdphoto" Target="media/hdphoto51.wdp"/><Relationship Id="rId187" Type="http://schemas.microsoft.com/office/2007/relationships/hdphoto" Target="media/hdphoto69.wdp"/><Relationship Id="rId352" Type="http://schemas.openxmlformats.org/officeDocument/2006/relationships/hyperlink" Target="http://cambridge-leadership.com/" TargetMode="External"/><Relationship Id="rId394" Type="http://schemas.openxmlformats.org/officeDocument/2006/relationships/hyperlink" Target="http://io9.com/" TargetMode="External"/><Relationship Id="rId408" Type="http://schemas.openxmlformats.org/officeDocument/2006/relationships/hyperlink" Target="http://ipts.jrc.ec.europa.eu/" TargetMode="External"/><Relationship Id="rId212" Type="http://schemas.openxmlformats.org/officeDocument/2006/relationships/image" Target="media/image125.png"/><Relationship Id="rId254" Type="http://schemas.microsoft.com/office/2007/relationships/hdphoto" Target="media/hdphoto101.wdp"/><Relationship Id="rId49" Type="http://schemas.openxmlformats.org/officeDocument/2006/relationships/image" Target="media/image30.png"/><Relationship Id="rId114" Type="http://schemas.openxmlformats.org/officeDocument/2006/relationships/image" Target="media/image70.png"/><Relationship Id="rId296" Type="http://schemas.openxmlformats.org/officeDocument/2006/relationships/hyperlink" Target="http://www.bain.com/" TargetMode="External"/><Relationship Id="rId461" Type="http://schemas.openxmlformats.org/officeDocument/2006/relationships/hyperlink" Target="http://www.trendsresearch.com/" TargetMode="External"/><Relationship Id="rId517" Type="http://schemas.openxmlformats.org/officeDocument/2006/relationships/hyperlink" Target="http://www.impetusolutions.com/" TargetMode="External"/><Relationship Id="rId559" Type="http://schemas.openxmlformats.org/officeDocument/2006/relationships/hyperlink" Target="http://www.emeraldinsight.com/info/journals/fs/fs.jsp" TargetMode="External"/><Relationship Id="rId60" Type="http://schemas.microsoft.com/office/2007/relationships/hdphoto" Target="media/hdphoto17.wdp"/><Relationship Id="rId156" Type="http://schemas.microsoft.com/office/2007/relationships/hdphoto" Target="media/hdphoto56.wdp"/><Relationship Id="rId198" Type="http://schemas.openxmlformats.org/officeDocument/2006/relationships/image" Target="media/image117.png"/><Relationship Id="rId321" Type="http://schemas.openxmlformats.org/officeDocument/2006/relationships/hyperlink" Target="http://www.lek.com/" TargetMode="External"/><Relationship Id="rId363" Type="http://schemas.openxmlformats.org/officeDocument/2006/relationships/hyperlink" Target="https://www.discern.com/" TargetMode="External"/><Relationship Id="rId419" Type="http://schemas.openxmlformats.org/officeDocument/2006/relationships/hyperlink" Target="http://www.kjaer-global.com/" TargetMode="External"/><Relationship Id="rId570" Type="http://schemas.openxmlformats.org/officeDocument/2006/relationships/hyperlink" Target="http://longnow.org/seminars/podcast/" TargetMode="External"/><Relationship Id="rId223" Type="http://schemas.microsoft.com/office/2007/relationships/hdphoto" Target="media/hdphoto86.wdp"/><Relationship Id="rId430" Type="http://schemas.openxmlformats.org/officeDocument/2006/relationships/hyperlink" Target="http://www.paconsulting.com/" TargetMode="External"/><Relationship Id="rId18" Type="http://schemas.openxmlformats.org/officeDocument/2006/relationships/image" Target="media/image7.png"/><Relationship Id="rId265" Type="http://schemas.microsoft.com/office/2007/relationships/hdphoto" Target="media/hdphoto106.wdp"/><Relationship Id="rId472" Type="http://schemas.openxmlformats.org/officeDocument/2006/relationships/hyperlink" Target="http://4cf.pl/" TargetMode="External"/><Relationship Id="rId528" Type="http://schemas.openxmlformats.org/officeDocument/2006/relationships/hyperlink" Target="http://lasadev.com/" TargetMode="External"/><Relationship Id="rId125" Type="http://schemas.openxmlformats.org/officeDocument/2006/relationships/image" Target="media/image77.png"/><Relationship Id="rId167" Type="http://schemas.microsoft.com/office/2007/relationships/hdphoto" Target="media/hdphoto61.wdp"/><Relationship Id="rId332" Type="http://schemas.openxmlformats.org/officeDocument/2006/relationships/hyperlink" Target="http://www.paconsulting.com/" TargetMode="External"/><Relationship Id="rId374" Type="http://schemas.openxmlformats.org/officeDocument/2006/relationships/hyperlink" Target="http://www.forrester.com/" TargetMode="External"/><Relationship Id="rId581" Type="http://schemas.openxmlformats.org/officeDocument/2006/relationships/image" Target="media/image165.png"/><Relationship Id="rId71" Type="http://schemas.openxmlformats.org/officeDocument/2006/relationships/image" Target="media/image43.png"/><Relationship Id="rId234" Type="http://schemas.openxmlformats.org/officeDocument/2006/relationships/image" Target="media/image136.png"/><Relationship Id="rId2" Type="http://schemas.openxmlformats.org/officeDocument/2006/relationships/numbering" Target="numbering.xml"/><Relationship Id="rId29" Type="http://schemas.microsoft.com/office/2007/relationships/hdphoto" Target="media/hdphoto6.wdp"/><Relationship Id="rId276" Type="http://schemas.openxmlformats.org/officeDocument/2006/relationships/image" Target="media/image158.png"/><Relationship Id="rId441" Type="http://schemas.openxmlformats.org/officeDocument/2006/relationships/hyperlink" Target="https://www.scmi.de/en/" TargetMode="External"/><Relationship Id="rId483" Type="http://schemas.openxmlformats.org/officeDocument/2006/relationships/hyperlink" Target="http://www.thomaschermack.com/" TargetMode="External"/><Relationship Id="rId539" Type="http://schemas.openxmlformats.org/officeDocument/2006/relationships/hyperlink" Target="http://www.progective.com/" TargetMode="External"/><Relationship Id="rId40" Type="http://schemas.openxmlformats.org/officeDocument/2006/relationships/image" Target="media/image25.png"/><Relationship Id="rId136" Type="http://schemas.microsoft.com/office/2007/relationships/hdphoto" Target="media/hdphoto47.wdp"/><Relationship Id="rId178" Type="http://schemas.openxmlformats.org/officeDocument/2006/relationships/image" Target="media/image107.png"/><Relationship Id="rId301" Type="http://schemas.openxmlformats.org/officeDocument/2006/relationships/hyperlink" Target="http://www.us.capgemini.com/" TargetMode="External"/><Relationship Id="rId343" Type="http://schemas.openxmlformats.org/officeDocument/2006/relationships/hyperlink" Target="http://www.aecom.com/" TargetMode="External"/><Relationship Id="rId550" Type="http://schemas.openxmlformats.org/officeDocument/2006/relationships/hyperlink" Target="http://www.hardintibbs.com/index.php/consulting/" TargetMode="External"/><Relationship Id="rId82" Type="http://schemas.openxmlformats.org/officeDocument/2006/relationships/image" Target="media/image50.png"/><Relationship Id="rId203" Type="http://schemas.openxmlformats.org/officeDocument/2006/relationships/image" Target="media/image120.png"/><Relationship Id="rId385" Type="http://schemas.openxmlformats.org/officeDocument/2006/relationships/hyperlink" Target="http://futuresgroup.com/" TargetMode="External"/><Relationship Id="rId592" Type="http://schemas.microsoft.com/office/2007/relationships/hdphoto" Target="media/hdphoto121.wdp"/><Relationship Id="rId245" Type="http://schemas.microsoft.com/office/2007/relationships/hdphoto" Target="media/hdphoto97.wdp"/><Relationship Id="rId287" Type="http://schemas.microsoft.com/office/2007/relationships/hdphoto" Target="media/hdphoto115.wdp"/><Relationship Id="rId410" Type="http://schemas.openxmlformats.org/officeDocument/2006/relationships/hyperlink" Target="https://www.idc.com/" TargetMode="External"/><Relationship Id="rId452" Type="http://schemas.openxmlformats.org/officeDocument/2006/relationships/hyperlink" Target="http://www.tfi.com/" TargetMode="External"/><Relationship Id="rId494" Type="http://schemas.openxmlformats.org/officeDocument/2006/relationships/hyperlink" Target="http://www.foresightinternational.com.au/" TargetMode="External"/><Relationship Id="rId508" Type="http://schemas.openxmlformats.org/officeDocument/2006/relationships/hyperlink" Target="http://futurecheck.com/" TargetMode="External"/><Relationship Id="rId105" Type="http://schemas.openxmlformats.org/officeDocument/2006/relationships/image" Target="media/image65.png"/><Relationship Id="rId147" Type="http://schemas.microsoft.com/office/2007/relationships/hdphoto" Target="media/hdphoto52.wdp"/><Relationship Id="rId312" Type="http://schemas.openxmlformats.org/officeDocument/2006/relationships/hyperlink" Target="http://www.fmcg.com/" TargetMode="External"/><Relationship Id="rId354" Type="http://schemas.openxmlformats.org/officeDocument/2006/relationships/hyperlink" Target="https://cognitive-edge.com/" TargetMode="External"/><Relationship Id="rId51" Type="http://schemas.openxmlformats.org/officeDocument/2006/relationships/image" Target="media/image31.png"/><Relationship Id="rId93" Type="http://schemas.openxmlformats.org/officeDocument/2006/relationships/image" Target="media/image57.png"/><Relationship Id="rId189" Type="http://schemas.microsoft.com/office/2007/relationships/hdphoto" Target="media/hdphoto70.wdp"/><Relationship Id="rId396" Type="http://schemas.openxmlformats.org/officeDocument/2006/relationships/hyperlink" Target="http://www.iceberggroup.org/" TargetMode="External"/><Relationship Id="rId561" Type="http://schemas.openxmlformats.org/officeDocument/2006/relationships/hyperlink" Target="https://www.calnewport.com/podcast/" TargetMode="External"/><Relationship Id="rId214" Type="http://schemas.openxmlformats.org/officeDocument/2006/relationships/image" Target="media/image126.png"/><Relationship Id="rId256" Type="http://schemas.openxmlformats.org/officeDocument/2006/relationships/image" Target="media/image148.png"/><Relationship Id="rId298" Type="http://schemas.openxmlformats.org/officeDocument/2006/relationships/hyperlink" Target="http://www.boozallen.com/" TargetMode="External"/><Relationship Id="rId421" Type="http://schemas.openxmlformats.org/officeDocument/2006/relationships/hyperlink" Target="http://longnow.org/" TargetMode="External"/><Relationship Id="rId463" Type="http://schemas.openxmlformats.org/officeDocument/2006/relationships/hyperlink" Target="http://www.ttivanguard.com/" TargetMode="External"/><Relationship Id="rId519" Type="http://schemas.openxmlformats.org/officeDocument/2006/relationships/hyperlink" Target="http://ieet.org/index.php/IEET/about" TargetMode="External"/><Relationship Id="rId116" Type="http://schemas.openxmlformats.org/officeDocument/2006/relationships/image" Target="media/image71.png"/><Relationship Id="rId158" Type="http://schemas.microsoft.com/office/2007/relationships/hdphoto" Target="media/hdphoto57.wdp"/><Relationship Id="rId323" Type="http://schemas.openxmlformats.org/officeDocument/2006/relationships/hyperlink" Target="http://www.marsandco.com/" TargetMode="External"/><Relationship Id="rId530" Type="http://schemas.openxmlformats.org/officeDocument/2006/relationships/hyperlink" Target="http://leadingfuturists.biz/" TargetMode="External"/><Relationship Id="rId20" Type="http://schemas.openxmlformats.org/officeDocument/2006/relationships/image" Target="media/image8.png"/><Relationship Id="rId62" Type="http://schemas.microsoft.com/office/2007/relationships/hdphoto" Target="media/hdphoto18.wdp"/><Relationship Id="rId365" Type="http://schemas.openxmlformats.org/officeDocument/2006/relationships/hyperlink" Target="http://www.economicmodeling.com/" TargetMode="External"/><Relationship Id="rId572" Type="http://schemas.openxmlformats.org/officeDocument/2006/relationships/hyperlink" Target="http://longnow.org/seminars/podcast/" TargetMode="External"/><Relationship Id="rId225" Type="http://schemas.microsoft.com/office/2007/relationships/hdphoto" Target="media/hdphoto87.wdp"/><Relationship Id="rId267" Type="http://schemas.microsoft.com/office/2007/relationships/hdphoto" Target="media/hdphoto107.wdp"/><Relationship Id="rId432" Type="http://schemas.openxmlformats.org/officeDocument/2006/relationships/hyperlink" Target="http://www.prognos.com/" TargetMode="External"/><Relationship Id="rId474" Type="http://schemas.openxmlformats.org/officeDocument/2006/relationships/hyperlink" Target="http://www.accelerating.org/" TargetMode="External"/><Relationship Id="rId127" Type="http://schemas.openxmlformats.org/officeDocument/2006/relationships/image" Target="media/image78.png"/><Relationship Id="rId31" Type="http://schemas.openxmlformats.org/officeDocument/2006/relationships/image" Target="media/image18.png"/><Relationship Id="rId73" Type="http://schemas.openxmlformats.org/officeDocument/2006/relationships/image" Target="media/image44.png"/><Relationship Id="rId169" Type="http://schemas.microsoft.com/office/2007/relationships/hdphoto" Target="media/hdphoto62.wdp"/><Relationship Id="rId334" Type="http://schemas.openxmlformats.org/officeDocument/2006/relationships/hyperlink" Target="http://www.parthenon.com/" TargetMode="External"/><Relationship Id="rId376" Type="http://schemas.openxmlformats.org/officeDocument/2006/relationships/hyperlink" Target="https://foursightonline.com/" TargetMode="External"/><Relationship Id="rId541" Type="http://schemas.openxmlformats.org/officeDocument/2006/relationships/hyperlink" Target="http://www.samiconsulting.co.uk/" TargetMode="External"/><Relationship Id="rId583" Type="http://schemas.openxmlformats.org/officeDocument/2006/relationships/image" Target="media/image166.png"/><Relationship Id="rId4" Type="http://schemas.openxmlformats.org/officeDocument/2006/relationships/settings" Target="settings.xml"/><Relationship Id="rId180" Type="http://schemas.openxmlformats.org/officeDocument/2006/relationships/image" Target="media/image108.png"/><Relationship Id="rId236" Type="http://schemas.openxmlformats.org/officeDocument/2006/relationships/image" Target="media/image137.png"/><Relationship Id="rId278" Type="http://schemas.openxmlformats.org/officeDocument/2006/relationships/image" Target="media/image159.png"/><Relationship Id="rId401" Type="http://schemas.openxmlformats.org/officeDocument/2006/relationships/hyperlink" Target="http://www.ideo.com/" TargetMode="External"/><Relationship Id="rId443" Type="http://schemas.openxmlformats.org/officeDocument/2006/relationships/hyperlink" Target="http://www.shapingtomorrow.com/" TargetMode="External"/><Relationship Id="rId303" Type="http://schemas.openxmlformats.org/officeDocument/2006/relationships/hyperlink" Target="http://www.crai.com/" TargetMode="External"/><Relationship Id="rId485" Type="http://schemas.openxmlformats.org/officeDocument/2006/relationships/hyperlink" Target="http://www.resilientus.org/" TargetMode="External"/><Relationship Id="rId42" Type="http://schemas.openxmlformats.org/officeDocument/2006/relationships/image" Target="media/image26.png"/><Relationship Id="rId84" Type="http://schemas.microsoft.com/office/2007/relationships/hdphoto" Target="media/hdphoto26.wdp"/><Relationship Id="rId138" Type="http://schemas.microsoft.com/office/2007/relationships/hdphoto" Target="media/hdphoto48.wdp"/><Relationship Id="rId345" Type="http://schemas.openxmlformats.org/officeDocument/2006/relationships/hyperlink" Target="http://www.arlingtoninstitute.org/" TargetMode="External"/><Relationship Id="rId387" Type="http://schemas.openxmlformats.org/officeDocument/2006/relationships/hyperlink" Target="http://futurethink.com/" TargetMode="External"/><Relationship Id="rId510" Type="http://schemas.openxmlformats.org/officeDocument/2006/relationships/hyperlink" Target="http://www.futures-lab.com/" TargetMode="External"/><Relationship Id="rId552" Type="http://schemas.openxmlformats.org/officeDocument/2006/relationships/hyperlink" Target="http://tomorrowtoday.uk.com/" TargetMode="External"/><Relationship Id="rId594" Type="http://schemas.microsoft.com/office/2007/relationships/hdphoto" Target="media/hdphoto122.wdp"/><Relationship Id="rId191" Type="http://schemas.microsoft.com/office/2007/relationships/hdphoto" Target="media/hdphoto71.wdp"/><Relationship Id="rId205" Type="http://schemas.openxmlformats.org/officeDocument/2006/relationships/image" Target="media/image121.png"/><Relationship Id="rId247" Type="http://schemas.microsoft.com/office/2007/relationships/hdphoto" Target="media/hdphoto98.wdp"/><Relationship Id="rId412" Type="http://schemas.openxmlformats.org/officeDocument/2006/relationships/hyperlink" Target="http://www.iiasa.ac.at/" TargetMode="External"/><Relationship Id="rId107" Type="http://schemas.openxmlformats.org/officeDocument/2006/relationships/image" Target="media/image66.png"/><Relationship Id="rId289" Type="http://schemas.openxmlformats.org/officeDocument/2006/relationships/hyperlink" Target="http://www.atkearney.com/" TargetMode="External"/><Relationship Id="rId454" Type="http://schemas.openxmlformats.org/officeDocument/2006/relationships/hyperlink" Target="http://thefuturescompany.com/" TargetMode="External"/><Relationship Id="rId496" Type="http://schemas.openxmlformats.org/officeDocument/2006/relationships/hyperlink" Target="http://www.foresight.org/" TargetMode="External"/><Relationship Id="rId11" Type="http://schemas.microsoft.com/office/2007/relationships/hdphoto" Target="media/hdphoto2.wdp"/><Relationship Id="rId53" Type="http://schemas.openxmlformats.org/officeDocument/2006/relationships/image" Target="media/image32.png"/><Relationship Id="rId149" Type="http://schemas.microsoft.com/office/2007/relationships/hdphoto" Target="media/hdphoto53.wdp"/><Relationship Id="rId314" Type="http://schemas.openxmlformats.org/officeDocument/2006/relationships/hyperlink" Target="http://www.fticonsulting.com/" TargetMode="External"/><Relationship Id="rId356" Type="http://schemas.openxmlformats.org/officeDocument/2006/relationships/hyperlink" Target="http://www.datamonitor.com/" TargetMode="External"/><Relationship Id="rId398" Type="http://schemas.openxmlformats.org/officeDocument/2006/relationships/hyperlink" Target="http://www.innovationfocus.com/" TargetMode="External"/><Relationship Id="rId521" Type="http://schemas.openxmlformats.org/officeDocument/2006/relationships/hyperlink" Target="http://www.internationalfuturesforum.com/" TargetMode="External"/><Relationship Id="rId563" Type="http://schemas.openxmlformats.org/officeDocument/2006/relationships/hyperlink" Target="http://www.stitcher.com/podcast/ryan-oshea-producer-entrepreneur-futurist/the-future-grind-podcast-science-technology-business-politics" TargetMode="External"/><Relationship Id="rId95" Type="http://schemas.openxmlformats.org/officeDocument/2006/relationships/image" Target="media/image58.png"/><Relationship Id="rId160" Type="http://schemas.microsoft.com/office/2007/relationships/hdphoto" Target="media/hdphoto58.wdp"/><Relationship Id="rId216" Type="http://schemas.openxmlformats.org/officeDocument/2006/relationships/image" Target="media/image127.png"/><Relationship Id="rId423" Type="http://schemas.openxmlformats.org/officeDocument/2006/relationships/hyperlink" Target="http://www.maritz.com/" TargetMode="External"/><Relationship Id="rId258" Type="http://schemas.openxmlformats.org/officeDocument/2006/relationships/image" Target="media/image149.png"/><Relationship Id="rId465" Type="http://schemas.openxmlformats.org/officeDocument/2006/relationships/hyperlink" Target="http://www.whitecliffsconsulting.com/" TargetMode="External"/><Relationship Id="rId22" Type="http://schemas.openxmlformats.org/officeDocument/2006/relationships/image" Target="media/image10.png"/><Relationship Id="rId64" Type="http://schemas.microsoft.com/office/2007/relationships/hdphoto" Target="media/hdphoto19.wdp"/><Relationship Id="rId118" Type="http://schemas.microsoft.com/office/2007/relationships/hdphoto" Target="media/hdphoto39.wdp"/><Relationship Id="rId325" Type="http://schemas.openxmlformats.org/officeDocument/2006/relationships/hyperlink" Target="http://www.mercerhr.com/" TargetMode="External"/><Relationship Id="rId367" Type="http://schemas.openxmlformats.org/officeDocument/2006/relationships/hyperlink" Target="http://www.eito.com/" TargetMode="External"/><Relationship Id="rId532" Type="http://schemas.openxmlformats.org/officeDocument/2006/relationships/hyperlink" Target="http://intelligence.org/" TargetMode="External"/><Relationship Id="rId574" Type="http://schemas.openxmlformats.org/officeDocument/2006/relationships/hyperlink" Target="https://www.ideou.com/products/design-thinking-certificate" TargetMode="External"/><Relationship Id="rId171" Type="http://schemas.openxmlformats.org/officeDocument/2006/relationships/image" Target="media/image102.png"/><Relationship Id="rId227" Type="http://schemas.microsoft.com/office/2007/relationships/hdphoto" Target="media/hdphoto88.wdp"/><Relationship Id="rId269" Type="http://schemas.microsoft.com/office/2007/relationships/hdphoto" Target="media/hdphoto108.wdp"/><Relationship Id="rId434" Type="http://schemas.openxmlformats.org/officeDocument/2006/relationships/hyperlink" Target="http://quid.com/" TargetMode="External"/><Relationship Id="rId476" Type="http://schemas.openxmlformats.org/officeDocument/2006/relationships/hyperlink" Target="http://www.alsekresearch.com/" TargetMode="External"/><Relationship Id="rId33" Type="http://schemas.openxmlformats.org/officeDocument/2006/relationships/image" Target="media/image20.png"/><Relationship Id="rId129" Type="http://schemas.openxmlformats.org/officeDocument/2006/relationships/image" Target="media/image79.png"/><Relationship Id="rId280" Type="http://schemas.microsoft.com/office/2007/relationships/hdphoto" Target="media/hdphoto113.wdp"/><Relationship Id="rId336" Type="http://schemas.openxmlformats.org/officeDocument/2006/relationships/hyperlink" Target="http://www.putassoc.com/" TargetMode="External"/><Relationship Id="rId501" Type="http://schemas.openxmlformats.org/officeDocument/2006/relationships/hyperlink" Target="http://www.futurecrimes.com/" TargetMode="External"/><Relationship Id="rId543" Type="http://schemas.openxmlformats.org/officeDocument/2006/relationships/hyperlink" Target="http://www.smartinnovation.co.za/index.html" TargetMode="External"/><Relationship Id="rId75" Type="http://schemas.openxmlformats.org/officeDocument/2006/relationships/image" Target="media/image45.png"/><Relationship Id="rId140" Type="http://schemas.microsoft.com/office/2007/relationships/hdphoto" Target="media/hdphoto49.wdp"/><Relationship Id="rId182" Type="http://schemas.openxmlformats.org/officeDocument/2006/relationships/image" Target="media/image109.png"/><Relationship Id="rId378" Type="http://schemas.openxmlformats.org/officeDocument/2006/relationships/hyperlink" Target="http://www.isi.fraunhofer.de/" TargetMode="External"/><Relationship Id="rId403" Type="http://schemas.openxmlformats.org/officeDocument/2006/relationships/hyperlink" Target="http://www.innosight.com/" TargetMode="External"/><Relationship Id="rId585" Type="http://schemas.openxmlformats.org/officeDocument/2006/relationships/image" Target="media/image167.png"/><Relationship Id="rId6" Type="http://schemas.openxmlformats.org/officeDocument/2006/relationships/footnotes" Target="footnotes.xml"/><Relationship Id="rId238" Type="http://schemas.openxmlformats.org/officeDocument/2006/relationships/image" Target="media/image138.png"/><Relationship Id="rId445" Type="http://schemas.openxmlformats.org/officeDocument/2006/relationships/hyperlink" Target="http://sintef.no/" TargetMode="External"/><Relationship Id="rId487" Type="http://schemas.openxmlformats.org/officeDocument/2006/relationships/hyperlink" Target="http://emergentfutures.com/" TargetMode="External"/><Relationship Id="rId291" Type="http://schemas.openxmlformats.org/officeDocument/2006/relationships/hyperlink" Target="http://www.advisoryboardcompany.com/" TargetMode="External"/><Relationship Id="rId305" Type="http://schemas.openxmlformats.org/officeDocument/2006/relationships/hyperlink" Target="http://www.executiveboard.com/" TargetMode="External"/><Relationship Id="rId347" Type="http://schemas.openxmlformats.org/officeDocument/2006/relationships/hyperlink" Target="https://www.atmosglobal.com/" TargetMode="External"/><Relationship Id="rId512" Type="http://schemas.openxmlformats.org/officeDocument/2006/relationships/hyperlink" Target="https://www.futuribles.com/" TargetMode="External"/><Relationship Id="rId44" Type="http://schemas.microsoft.com/office/2007/relationships/hdphoto" Target="media/hdphoto10.wdp"/><Relationship Id="rId86" Type="http://schemas.microsoft.com/office/2007/relationships/hdphoto" Target="media/hdphoto27.wdp"/><Relationship Id="rId151" Type="http://schemas.microsoft.com/office/2007/relationships/hdphoto" Target="media/hdphoto54.wdp"/><Relationship Id="rId389" Type="http://schemas.openxmlformats.org/officeDocument/2006/relationships/hyperlink" Target="http://www.gartner.com/" TargetMode="External"/><Relationship Id="rId554" Type="http://schemas.openxmlformats.org/officeDocument/2006/relationships/hyperlink" Target="http://www.innovation-triz.com/" TargetMode="External"/><Relationship Id="rId596" Type="http://schemas.microsoft.com/office/2007/relationships/hdphoto" Target="media/hdphoto123.wdp"/><Relationship Id="rId193" Type="http://schemas.microsoft.com/office/2007/relationships/hdphoto" Target="media/hdphoto72.wdp"/><Relationship Id="rId207" Type="http://schemas.openxmlformats.org/officeDocument/2006/relationships/image" Target="media/image122.png"/><Relationship Id="rId249" Type="http://schemas.microsoft.com/office/2007/relationships/hdphoto" Target="media/hdphoto99.wdp"/><Relationship Id="rId414" Type="http://schemas.openxmlformats.org/officeDocument/2006/relationships/hyperlink" Target="http://inventta.net/en/" TargetMode="External"/><Relationship Id="rId456" Type="http://schemas.openxmlformats.org/officeDocument/2006/relationships/hyperlink" Target="http://www.toffler.com/" TargetMode="External"/><Relationship Id="rId498" Type="http://schemas.openxmlformats.org/officeDocument/2006/relationships/hyperlink" Target="http://p2pfoundation.net/" TargetMode="External"/><Relationship Id="rId13" Type="http://schemas.microsoft.com/office/2007/relationships/hdphoto" Target="media/hdphoto3.wdp"/><Relationship Id="rId109" Type="http://schemas.microsoft.com/office/2007/relationships/hdphoto" Target="media/hdphoto35.wdp"/><Relationship Id="rId260" Type="http://schemas.openxmlformats.org/officeDocument/2006/relationships/image" Target="media/image150.png"/><Relationship Id="rId316" Type="http://schemas.openxmlformats.org/officeDocument/2006/relationships/hyperlink" Target="http://www.huronconsultinggroup.com/" TargetMode="External"/><Relationship Id="rId523" Type="http://schemas.openxmlformats.org/officeDocument/2006/relationships/hyperlink" Target="http://www.jpm-associates.com/" TargetMode="External"/><Relationship Id="rId55" Type="http://schemas.openxmlformats.org/officeDocument/2006/relationships/image" Target="media/image33.png"/><Relationship Id="rId97" Type="http://schemas.openxmlformats.org/officeDocument/2006/relationships/image" Target="media/image59.png"/><Relationship Id="rId120" Type="http://schemas.openxmlformats.org/officeDocument/2006/relationships/image" Target="media/image74.png"/><Relationship Id="rId358" Type="http://schemas.openxmlformats.org/officeDocument/2006/relationships/hyperlink" Target="http://decisionstrat.com/" TargetMode="External"/><Relationship Id="rId565" Type="http://schemas.openxmlformats.org/officeDocument/2006/relationships/hyperlink" Target="https://samharris.org/podcast/" TargetMode="External"/><Relationship Id="rId162" Type="http://schemas.openxmlformats.org/officeDocument/2006/relationships/image" Target="media/image97.png"/><Relationship Id="rId218" Type="http://schemas.openxmlformats.org/officeDocument/2006/relationships/image" Target="media/image128.png"/><Relationship Id="rId425" Type="http://schemas.openxmlformats.org/officeDocument/2006/relationships/hyperlink" Target="http://www.mgrush.com/" TargetMode="External"/><Relationship Id="rId467" Type="http://schemas.openxmlformats.org/officeDocument/2006/relationships/hyperlink" Target="http://wise.io/" TargetMode="External"/><Relationship Id="rId271" Type="http://schemas.microsoft.com/office/2007/relationships/hdphoto" Target="media/hdphoto109.wdp"/><Relationship Id="rId24" Type="http://schemas.openxmlformats.org/officeDocument/2006/relationships/image" Target="media/image12.png"/><Relationship Id="rId66" Type="http://schemas.openxmlformats.org/officeDocument/2006/relationships/image" Target="media/image40.png"/><Relationship Id="rId131" Type="http://schemas.openxmlformats.org/officeDocument/2006/relationships/image" Target="media/image80.png"/><Relationship Id="rId327" Type="http://schemas.openxmlformats.org/officeDocument/2006/relationships/hyperlink" Target="http://www.navigantconsulting.com/" TargetMode="External"/><Relationship Id="rId369" Type="http://schemas.openxmlformats.org/officeDocument/2006/relationships/hyperlink" Target="http://datamininglab.com/" TargetMode="External"/><Relationship Id="rId534" Type="http://schemas.openxmlformats.org/officeDocument/2006/relationships/hyperlink" Target="http://neocogs.com.au/" TargetMode="External"/><Relationship Id="rId576" Type="http://schemas.openxmlformats.org/officeDocument/2006/relationships/hyperlink" Target="http://longnow.org/seminars/podcast/" TargetMode="External"/><Relationship Id="rId173" Type="http://schemas.openxmlformats.org/officeDocument/2006/relationships/image" Target="media/image103.png"/><Relationship Id="rId229" Type="http://schemas.microsoft.com/office/2007/relationships/hdphoto" Target="media/hdphoto89.wdp"/><Relationship Id="rId380" Type="http://schemas.openxmlformats.org/officeDocument/2006/relationships/hyperlink" Target="http://www.futureconceptlab.com/" TargetMode="External"/><Relationship Id="rId436" Type="http://schemas.openxmlformats.org/officeDocument/2006/relationships/hyperlink" Target="http://www.resonanceco.com/" TargetMode="External"/><Relationship Id="rId601" Type="http://schemas.openxmlformats.org/officeDocument/2006/relationships/image" Target="media/image175.png"/><Relationship Id="rId240" Type="http://schemas.openxmlformats.org/officeDocument/2006/relationships/image" Target="media/image139.png"/><Relationship Id="rId478" Type="http://schemas.openxmlformats.org/officeDocument/2006/relationships/hyperlink" Target="http://www.andspaceconsulting.com/" TargetMode="External"/><Relationship Id="rId35" Type="http://schemas.microsoft.com/office/2007/relationships/hdphoto" Target="media/hdphoto7.wdp"/><Relationship Id="rId77" Type="http://schemas.openxmlformats.org/officeDocument/2006/relationships/image" Target="media/image47.png"/><Relationship Id="rId100" Type="http://schemas.openxmlformats.org/officeDocument/2006/relationships/image" Target="media/image61.png"/><Relationship Id="rId282" Type="http://schemas.openxmlformats.org/officeDocument/2006/relationships/image" Target="media/image162.png"/><Relationship Id="rId338" Type="http://schemas.openxmlformats.org/officeDocument/2006/relationships/hyperlink" Target="http://www.strategicbusinessinsights.com/" TargetMode="External"/><Relationship Id="rId503" Type="http://schemas.openxmlformats.org/officeDocument/2006/relationships/hyperlink" Target="http://futurejourneys.com/" TargetMode="External"/><Relationship Id="rId545" Type="http://schemas.openxmlformats.org/officeDocument/2006/relationships/hyperlink" Target="http://strategicforesight.com/" TargetMode="External"/><Relationship Id="rId587" Type="http://schemas.openxmlformats.org/officeDocument/2006/relationships/image" Target="media/image168.png"/><Relationship Id="rId8" Type="http://schemas.openxmlformats.org/officeDocument/2006/relationships/image" Target="media/image1.png"/><Relationship Id="rId142" Type="http://schemas.microsoft.com/office/2007/relationships/hdphoto" Target="media/hdphoto50.wdp"/><Relationship Id="rId184" Type="http://schemas.openxmlformats.org/officeDocument/2006/relationships/image" Target="media/image110.png"/><Relationship Id="rId391" Type="http://schemas.openxmlformats.org/officeDocument/2006/relationships/hyperlink" Target="http://www.globalintelligence.com/" TargetMode="External"/><Relationship Id="rId405" Type="http://schemas.openxmlformats.org/officeDocument/2006/relationships/hyperlink" Target="http://www.instat.com/" TargetMode="External"/><Relationship Id="rId447" Type="http://schemas.openxmlformats.org/officeDocument/2006/relationships/hyperlink" Target="https://www.spigit.com/" TargetMode="External"/><Relationship Id="rId251" Type="http://schemas.openxmlformats.org/officeDocument/2006/relationships/image" Target="media/image145.png"/><Relationship Id="rId489" Type="http://schemas.openxmlformats.org/officeDocument/2006/relationships/hyperlink" Target="http://fastfuture.com/" TargetMode="External"/><Relationship Id="rId46" Type="http://schemas.microsoft.com/office/2007/relationships/hdphoto" Target="media/hdphoto11.wdp"/><Relationship Id="rId293" Type="http://schemas.openxmlformats.org/officeDocument/2006/relationships/hyperlink" Target="http://www.analysisgroup.com/" TargetMode="External"/><Relationship Id="rId307" Type="http://schemas.openxmlformats.org/officeDocument/2006/relationships/hyperlink" Target="http://www.crai.com/" TargetMode="External"/><Relationship Id="rId349" Type="http://schemas.openxmlformats.org/officeDocument/2006/relationships/hyperlink" Target="http://www.bmcinnovation.com/" TargetMode="External"/><Relationship Id="rId514" Type="http://schemas.openxmlformats.org/officeDocument/2006/relationships/hyperlink" Target="http://www.globalchange.com/" TargetMode="External"/><Relationship Id="rId556" Type="http://schemas.openxmlformats.org/officeDocument/2006/relationships/hyperlink" Target="http://urbanforesight.org/" TargetMode="External"/><Relationship Id="rId88" Type="http://schemas.openxmlformats.org/officeDocument/2006/relationships/image" Target="media/image54.png"/><Relationship Id="rId111" Type="http://schemas.microsoft.com/office/2007/relationships/hdphoto" Target="media/hdphoto36.wdp"/><Relationship Id="rId153" Type="http://schemas.openxmlformats.org/officeDocument/2006/relationships/image" Target="media/image92.png"/><Relationship Id="rId195" Type="http://schemas.microsoft.com/office/2007/relationships/hdphoto" Target="media/hdphoto73.wdp"/><Relationship Id="rId209" Type="http://schemas.openxmlformats.org/officeDocument/2006/relationships/image" Target="media/image123.png"/><Relationship Id="rId360" Type="http://schemas.openxmlformats.org/officeDocument/2006/relationships/hyperlink" Target="http://www.dentresearch.com/" TargetMode="External"/><Relationship Id="rId416" Type="http://schemas.openxmlformats.org/officeDocument/2006/relationships/hyperlink" Target="http://www.kairosfuture.com/en" TargetMode="External"/><Relationship Id="rId598" Type="http://schemas.microsoft.com/office/2007/relationships/hdphoto" Target="media/hdphoto124.wdp"/><Relationship Id="rId220" Type="http://schemas.openxmlformats.org/officeDocument/2006/relationships/image" Target="media/image129.png"/><Relationship Id="rId458" Type="http://schemas.openxmlformats.org/officeDocument/2006/relationships/hyperlink" Target="http://trendbureauoverijssel.nl/" TargetMode="External"/><Relationship Id="rId15" Type="http://schemas.microsoft.com/office/2007/relationships/hdphoto" Target="media/hdphoto4.wdp"/><Relationship Id="rId57" Type="http://schemas.openxmlformats.org/officeDocument/2006/relationships/image" Target="media/image34.png"/><Relationship Id="rId262" Type="http://schemas.openxmlformats.org/officeDocument/2006/relationships/image" Target="media/image151.png"/><Relationship Id="rId318" Type="http://schemas.openxmlformats.org/officeDocument/2006/relationships/hyperlink" Target="http://www.kpmg.com/US/en/Pages/default.aspx" TargetMode="External"/><Relationship Id="rId525" Type="http://schemas.openxmlformats.org/officeDocument/2006/relationships/hyperlink" Target="http://www.kedgefutures.com/" TargetMode="External"/><Relationship Id="rId567" Type="http://schemas.openxmlformats.org/officeDocument/2006/relationships/hyperlink" Target="https://www.fool.com/podcasts/motley-fool-money/" TargetMode="External"/><Relationship Id="rId99" Type="http://schemas.microsoft.com/office/2007/relationships/hdphoto" Target="media/hdphoto32.wdp"/><Relationship Id="rId122" Type="http://schemas.openxmlformats.org/officeDocument/2006/relationships/image" Target="media/image75.png"/><Relationship Id="rId164" Type="http://schemas.openxmlformats.org/officeDocument/2006/relationships/image" Target="media/image98.png"/><Relationship Id="rId371" Type="http://schemas.openxmlformats.org/officeDocument/2006/relationships/hyperlink" Target="http://www.finpro.us/" TargetMode="External"/><Relationship Id="rId427" Type="http://schemas.openxmlformats.org/officeDocument/2006/relationships/hyperlink" Target="http://www.nesta.org.uk/" TargetMode="External"/><Relationship Id="rId469" Type="http://schemas.openxmlformats.org/officeDocument/2006/relationships/hyperlink" Target="http://www.zogby.com/" TargetMode="External"/><Relationship Id="rId26" Type="http://schemas.openxmlformats.org/officeDocument/2006/relationships/image" Target="media/image14.png"/><Relationship Id="rId231" Type="http://schemas.microsoft.com/office/2007/relationships/hdphoto" Target="media/hdphoto90.wdp"/><Relationship Id="rId273" Type="http://schemas.microsoft.com/office/2007/relationships/hdphoto" Target="media/hdphoto110.wdp"/><Relationship Id="rId329" Type="http://schemas.openxmlformats.org/officeDocument/2006/relationships/hyperlink" Target="http://www.nera.com/" TargetMode="External"/><Relationship Id="rId480" Type="http://schemas.openxmlformats.org/officeDocument/2006/relationships/hyperlink" Target="http://www.breakingtrends.com/" TargetMode="External"/><Relationship Id="rId536" Type="http://schemas.openxmlformats.org/officeDocument/2006/relationships/hyperlink" Target="https://spiraldynamics.org/" TargetMode="External"/><Relationship Id="rId68" Type="http://schemas.openxmlformats.org/officeDocument/2006/relationships/image" Target="media/image41.png"/><Relationship Id="rId133" Type="http://schemas.openxmlformats.org/officeDocument/2006/relationships/image" Target="media/image81.png"/><Relationship Id="rId175" Type="http://schemas.openxmlformats.org/officeDocument/2006/relationships/image" Target="media/image104.jpeg"/><Relationship Id="rId340" Type="http://schemas.openxmlformats.org/officeDocument/2006/relationships/hyperlink" Target="http://www.towerswatson.com/" TargetMode="External"/><Relationship Id="rId578" Type="http://schemas.openxmlformats.org/officeDocument/2006/relationships/hyperlink" Target="https://www.openexo.com/" TargetMode="External"/><Relationship Id="rId200" Type="http://schemas.microsoft.com/office/2007/relationships/hdphoto" Target="media/hdphoto75.wdp"/><Relationship Id="rId382" Type="http://schemas.openxmlformats.org/officeDocument/2006/relationships/hyperlink" Target="http://www.futuremanagementgroup.com/en.html" TargetMode="External"/><Relationship Id="rId438" Type="http://schemas.openxmlformats.org/officeDocument/2006/relationships/hyperlink" Target="http://www.roadmappingtechnology.com/" TargetMode="External"/><Relationship Id="rId603" Type="http://schemas.openxmlformats.org/officeDocument/2006/relationships/fontTable" Target="fontTable.xml"/><Relationship Id="rId242" Type="http://schemas.openxmlformats.org/officeDocument/2006/relationships/image" Target="media/image140.png"/><Relationship Id="rId284" Type="http://schemas.microsoft.com/office/2007/relationships/hdphoto" Target="media/hdphoto114.wdp"/><Relationship Id="rId491" Type="http://schemas.openxmlformats.org/officeDocument/2006/relationships/hyperlink" Target="http://www.foresightalliance.com/" TargetMode="External"/><Relationship Id="rId505" Type="http://schemas.openxmlformats.org/officeDocument/2006/relationships/hyperlink" Target="http://future-moves.com/" TargetMode="External"/><Relationship Id="rId37" Type="http://schemas.openxmlformats.org/officeDocument/2006/relationships/image" Target="media/image23.png"/><Relationship Id="rId79" Type="http://schemas.microsoft.com/office/2007/relationships/hdphoto" Target="media/hdphoto24.wdp"/><Relationship Id="rId102" Type="http://schemas.openxmlformats.org/officeDocument/2006/relationships/image" Target="media/image62.png"/><Relationship Id="rId144" Type="http://schemas.openxmlformats.org/officeDocument/2006/relationships/image" Target="media/image87.png"/><Relationship Id="rId547" Type="http://schemas.openxmlformats.org/officeDocument/2006/relationships/hyperlink" Target="http://summn.com/" TargetMode="External"/><Relationship Id="rId589" Type="http://schemas.openxmlformats.org/officeDocument/2006/relationships/image" Target="media/image169.png"/><Relationship Id="rId90" Type="http://schemas.openxmlformats.org/officeDocument/2006/relationships/image" Target="media/image55.png"/><Relationship Id="rId186" Type="http://schemas.openxmlformats.org/officeDocument/2006/relationships/image" Target="media/image111.png"/><Relationship Id="rId351" Type="http://schemas.openxmlformats.org/officeDocument/2006/relationships/hyperlink" Target="https://www.brightidea.com/" TargetMode="External"/><Relationship Id="rId393" Type="http://schemas.openxmlformats.org/officeDocument/2006/relationships/hyperlink" Target="http://www.greenway.us/" TargetMode="External"/><Relationship Id="rId407" Type="http://schemas.openxmlformats.org/officeDocument/2006/relationships/hyperlink" Target="http://www.iitf.at/" TargetMode="External"/><Relationship Id="rId449" Type="http://schemas.openxmlformats.org/officeDocument/2006/relationships/hyperlink" Target="http://www.stratfor.com/" TargetMode="External"/><Relationship Id="rId211" Type="http://schemas.microsoft.com/office/2007/relationships/hdphoto" Target="media/hdphoto80.wdp"/><Relationship Id="rId253" Type="http://schemas.openxmlformats.org/officeDocument/2006/relationships/image" Target="media/image146.png"/><Relationship Id="rId295" Type="http://schemas.openxmlformats.org/officeDocument/2006/relationships/hyperlink" Target="http://www.aon.com/hcc" TargetMode="External"/><Relationship Id="rId309" Type="http://schemas.openxmlformats.org/officeDocument/2006/relationships/hyperlink" Target="http://www.dbresearch.com/" TargetMode="External"/><Relationship Id="rId460" Type="http://schemas.openxmlformats.org/officeDocument/2006/relationships/hyperlink" Target="http://www.trendstop.com/" TargetMode="External"/><Relationship Id="rId516" Type="http://schemas.openxmlformats.org/officeDocument/2006/relationships/hyperlink" Target="http://hybridreality.me/" TargetMode="External"/><Relationship Id="rId48" Type="http://schemas.microsoft.com/office/2007/relationships/hdphoto" Target="media/hdphoto12.wdp"/><Relationship Id="rId113" Type="http://schemas.microsoft.com/office/2007/relationships/hdphoto" Target="media/hdphoto37.wdp"/><Relationship Id="rId320" Type="http://schemas.openxmlformats.org/officeDocument/2006/relationships/hyperlink" Target="http://www.lek.com/" TargetMode="External"/><Relationship Id="rId558" Type="http://schemas.openxmlformats.org/officeDocument/2006/relationships/hyperlink" Target="http://www.xland.be/" TargetMode="External"/><Relationship Id="rId155" Type="http://schemas.openxmlformats.org/officeDocument/2006/relationships/image" Target="media/image93.png"/><Relationship Id="rId197" Type="http://schemas.microsoft.com/office/2007/relationships/hdphoto" Target="media/hdphoto74.wdp"/><Relationship Id="rId362" Type="http://schemas.openxmlformats.org/officeDocument/2006/relationships/hyperlink" Target="https://www.dbresearch.com/" TargetMode="External"/><Relationship Id="rId418" Type="http://schemas.openxmlformats.org/officeDocument/2006/relationships/hyperlink" Target="http://www.kineticcafe.com/" TargetMode="External"/><Relationship Id="rId222" Type="http://schemas.openxmlformats.org/officeDocument/2006/relationships/image" Target="media/image130.png"/><Relationship Id="rId264" Type="http://schemas.openxmlformats.org/officeDocument/2006/relationships/image" Target="media/image152.png"/><Relationship Id="rId471" Type="http://schemas.openxmlformats.org/officeDocument/2006/relationships/hyperlink" Target="http://21stcenturyskillsbook.com/" TargetMode="External"/><Relationship Id="rId17" Type="http://schemas.openxmlformats.org/officeDocument/2006/relationships/image" Target="media/image6.png"/><Relationship Id="rId59" Type="http://schemas.openxmlformats.org/officeDocument/2006/relationships/image" Target="media/image36.png"/><Relationship Id="rId124" Type="http://schemas.microsoft.com/office/2007/relationships/hdphoto" Target="media/hdphoto41.wdp"/><Relationship Id="rId527" Type="http://schemas.openxmlformats.org/officeDocument/2006/relationships/hyperlink" Target="http://en.laprospective.fr/" TargetMode="External"/><Relationship Id="rId569" Type="http://schemas.openxmlformats.org/officeDocument/2006/relationships/hyperlink" Target="http://www.stitcher.com/podcast/renewable-future" TargetMode="External"/><Relationship Id="rId70" Type="http://schemas.microsoft.com/office/2007/relationships/hdphoto" Target="media/hdphoto21.wdp"/><Relationship Id="rId166" Type="http://schemas.openxmlformats.org/officeDocument/2006/relationships/image" Target="media/image99.png"/><Relationship Id="rId331" Type="http://schemas.openxmlformats.org/officeDocument/2006/relationships/hyperlink" Target="http://www.oliverwyman.com/" TargetMode="External"/><Relationship Id="rId373" Type="http://schemas.openxmlformats.org/officeDocument/2006/relationships/hyperlink" Target="http://www.foresightst.com/" TargetMode="External"/><Relationship Id="rId429" Type="http://schemas.openxmlformats.org/officeDocument/2006/relationships/hyperlink" Target="http://normannpartners.com/" TargetMode="External"/><Relationship Id="rId580" Type="http://schemas.openxmlformats.org/officeDocument/2006/relationships/hyperlink" Target="http://www.wfs.org/" TargetMode="External"/><Relationship Id="rId1" Type="http://schemas.openxmlformats.org/officeDocument/2006/relationships/customXml" Target="../customXml/item1.xml"/><Relationship Id="rId233" Type="http://schemas.microsoft.com/office/2007/relationships/hdphoto" Target="media/hdphoto91.wdp"/><Relationship Id="rId440" Type="http://schemas.openxmlformats.org/officeDocument/2006/relationships/hyperlink" Target="http://www.seriworld.org/" TargetMode="External"/><Relationship Id="rId28" Type="http://schemas.openxmlformats.org/officeDocument/2006/relationships/image" Target="media/image16.png"/><Relationship Id="rId275" Type="http://schemas.microsoft.com/office/2007/relationships/hdphoto" Target="media/hdphoto111.wdp"/><Relationship Id="rId300" Type="http://schemas.openxmlformats.org/officeDocument/2006/relationships/hyperlink" Target="http://www.cambridgeassociates.com/" TargetMode="External"/><Relationship Id="rId482" Type="http://schemas.openxmlformats.org/officeDocument/2006/relationships/hyperlink" Target="http://www.futurestudies.co.uk/" TargetMode="External"/><Relationship Id="rId538" Type="http://schemas.openxmlformats.org/officeDocument/2006/relationships/hyperlink" Target="http://www.personalfutures.net/" TargetMode="External"/><Relationship Id="rId81" Type="http://schemas.microsoft.com/office/2007/relationships/hdphoto" Target="media/hdphoto25.wdp"/><Relationship Id="rId135" Type="http://schemas.openxmlformats.org/officeDocument/2006/relationships/image" Target="media/image82.png"/><Relationship Id="rId177" Type="http://schemas.openxmlformats.org/officeDocument/2006/relationships/image" Target="media/image106.png"/><Relationship Id="rId342" Type="http://schemas.openxmlformats.org/officeDocument/2006/relationships/hyperlink" Target="http://www.zsassociates.com/" TargetMode="External"/><Relationship Id="rId384" Type="http://schemas.openxmlformats.org/officeDocument/2006/relationships/hyperlink" Target="https://futuretodayinstitute.com/" TargetMode="External"/><Relationship Id="rId591" Type="http://schemas.openxmlformats.org/officeDocument/2006/relationships/image" Target="media/image170.png"/><Relationship Id="rId202" Type="http://schemas.microsoft.com/office/2007/relationships/hdphoto" Target="media/hdphoto76.wdp"/><Relationship Id="rId244" Type="http://schemas.openxmlformats.org/officeDocument/2006/relationships/image" Target="media/image141.png"/><Relationship Id="rId39" Type="http://schemas.openxmlformats.org/officeDocument/2006/relationships/image" Target="media/image24.png"/><Relationship Id="rId286" Type="http://schemas.openxmlformats.org/officeDocument/2006/relationships/image" Target="media/image164.png"/><Relationship Id="rId451" Type="http://schemas.openxmlformats.org/officeDocument/2006/relationships/hyperlink" Target="http://www.techcastglobal.com/" TargetMode="External"/><Relationship Id="rId493" Type="http://schemas.openxmlformats.org/officeDocument/2006/relationships/hyperlink" Target="http://foresightfordevelopment.org/" TargetMode="External"/><Relationship Id="rId507" Type="http://schemas.openxmlformats.org/officeDocument/2006/relationships/hyperlink" Target="http://www.futuresearch.net/" TargetMode="External"/><Relationship Id="rId549" Type="http://schemas.openxmlformats.org/officeDocument/2006/relationships/hyperlink" Target="http://www.synovationsolutions.com/" TargetMode="External"/><Relationship Id="rId50" Type="http://schemas.microsoft.com/office/2007/relationships/hdphoto" Target="media/hdphoto13.wdp"/><Relationship Id="rId104" Type="http://schemas.openxmlformats.org/officeDocument/2006/relationships/image" Target="media/image64.png"/><Relationship Id="rId146" Type="http://schemas.openxmlformats.org/officeDocument/2006/relationships/image" Target="media/image88.png"/><Relationship Id="rId188" Type="http://schemas.openxmlformats.org/officeDocument/2006/relationships/image" Target="media/image112.png"/><Relationship Id="rId311" Type="http://schemas.openxmlformats.org/officeDocument/2006/relationships/hyperlink" Target="http://www.ey.com/" TargetMode="External"/><Relationship Id="rId353" Type="http://schemas.openxmlformats.org/officeDocument/2006/relationships/hyperlink" Target="https://www.cbinsights.com/" TargetMode="External"/><Relationship Id="rId395" Type="http://schemas.openxmlformats.org/officeDocument/2006/relationships/hyperlink" Target="http://www.ibisworld.com.au/" TargetMode="External"/><Relationship Id="rId409" Type="http://schemas.openxmlformats.org/officeDocument/2006/relationships/hyperlink" Target="http://www.iftf.org/" TargetMode="External"/><Relationship Id="rId560" Type="http://schemas.openxmlformats.org/officeDocument/2006/relationships/hyperlink" Target="https://play.acast.com/s/dannyinthevalley" TargetMode="External"/><Relationship Id="rId92" Type="http://schemas.microsoft.com/office/2007/relationships/hdphoto" Target="media/hdphoto29.wdp"/><Relationship Id="rId213" Type="http://schemas.microsoft.com/office/2007/relationships/hdphoto" Target="media/hdphoto81.wdp"/><Relationship Id="rId420" Type="http://schemas.openxmlformats.org/officeDocument/2006/relationships/hyperlink" Target="http://www.leadershipforuminc.com/" TargetMode="External"/><Relationship Id="rId255" Type="http://schemas.openxmlformats.org/officeDocument/2006/relationships/image" Target="media/image147.png"/><Relationship Id="rId297" Type="http://schemas.openxmlformats.org/officeDocument/2006/relationships/hyperlink" Target="http://www.bearingpoint.com/" TargetMode="External"/><Relationship Id="rId462" Type="http://schemas.openxmlformats.org/officeDocument/2006/relationships/hyperlink" Target="http://trendwatching.com/" TargetMode="External"/><Relationship Id="rId518" Type="http://schemas.openxmlformats.org/officeDocument/2006/relationships/hyperlink" Target="http://www.infinitefutures.com/" TargetMode="External"/><Relationship Id="rId115" Type="http://schemas.microsoft.com/office/2007/relationships/hdphoto" Target="media/hdphoto38.wdp"/><Relationship Id="rId157" Type="http://schemas.openxmlformats.org/officeDocument/2006/relationships/image" Target="media/image94.png"/><Relationship Id="rId322" Type="http://schemas.openxmlformats.org/officeDocument/2006/relationships/hyperlink" Target="http://www.lippincott.com/" TargetMode="External"/><Relationship Id="rId364" Type="http://schemas.openxmlformats.org/officeDocument/2006/relationships/hyperlink" Target="http://www.earlywarning.com/index.html" TargetMode="External"/><Relationship Id="rId61" Type="http://schemas.openxmlformats.org/officeDocument/2006/relationships/image" Target="media/image37.png"/><Relationship Id="rId199" Type="http://schemas.openxmlformats.org/officeDocument/2006/relationships/image" Target="media/image118.png"/><Relationship Id="rId571" Type="http://schemas.openxmlformats.org/officeDocument/2006/relationships/hyperlink" Target="https://www.fool.com/podcasts/rule-breaker-investing/" TargetMode="External"/><Relationship Id="rId19" Type="http://schemas.microsoft.com/office/2007/relationships/hdphoto" Target="media/hdphoto5.wdp"/><Relationship Id="rId224" Type="http://schemas.openxmlformats.org/officeDocument/2006/relationships/image" Target="media/image131.png"/><Relationship Id="rId266" Type="http://schemas.openxmlformats.org/officeDocument/2006/relationships/image" Target="media/image153.png"/><Relationship Id="rId431" Type="http://schemas.openxmlformats.org/officeDocument/2006/relationships/hyperlink" Target="http://www.prt-inc.com/" TargetMode="External"/><Relationship Id="rId473" Type="http://schemas.openxmlformats.org/officeDocument/2006/relationships/hyperlink" Target="http://5deka.com/" TargetMode="External"/><Relationship Id="rId529" Type="http://schemas.openxmlformats.org/officeDocument/2006/relationships/hyperlink" Target="http://lasadev.com/" TargetMode="External"/><Relationship Id="rId30" Type="http://schemas.openxmlformats.org/officeDocument/2006/relationships/image" Target="media/image17.png"/><Relationship Id="rId126" Type="http://schemas.microsoft.com/office/2007/relationships/hdphoto" Target="media/hdphoto42.wdp"/><Relationship Id="rId168" Type="http://schemas.openxmlformats.org/officeDocument/2006/relationships/image" Target="media/image100.png"/><Relationship Id="rId333" Type="http://schemas.openxmlformats.org/officeDocument/2006/relationships/hyperlink" Target="http://www.paconsulting.com/" TargetMode="External"/><Relationship Id="rId540" Type="http://schemas.openxmlformats.org/officeDocument/2006/relationships/hyperlink" Target="http://www.prospektiker.es/" TargetMode="External"/><Relationship Id="rId72" Type="http://schemas.microsoft.com/office/2007/relationships/hdphoto" Target="media/hdphoto22.wdp"/><Relationship Id="rId375" Type="http://schemas.openxmlformats.org/officeDocument/2006/relationships/hyperlink" Target="http://www.forumforthefuture.org/" TargetMode="External"/><Relationship Id="rId582" Type="http://schemas.microsoft.com/office/2007/relationships/hdphoto" Target="media/hdphoto116.wdp"/><Relationship Id="rId3" Type="http://schemas.openxmlformats.org/officeDocument/2006/relationships/styles" Target="styles.xml"/><Relationship Id="rId235" Type="http://schemas.microsoft.com/office/2007/relationships/hdphoto" Target="media/hdphoto92.wdp"/><Relationship Id="rId277" Type="http://schemas.microsoft.com/office/2007/relationships/hdphoto" Target="media/hdphoto112.wdp"/><Relationship Id="rId400" Type="http://schemas.openxmlformats.org/officeDocument/2006/relationships/hyperlink" Target="http://www.ideacouture.com/" TargetMode="External"/><Relationship Id="rId442" Type="http://schemas.openxmlformats.org/officeDocument/2006/relationships/hyperlink" Target="http://www.selectorsllc.com/" TargetMode="External"/><Relationship Id="rId484" Type="http://schemas.openxmlformats.org/officeDocument/2006/relationships/hyperlink" Target="http://www.cognovis.com/" TargetMode="External"/><Relationship Id="rId137" Type="http://schemas.openxmlformats.org/officeDocument/2006/relationships/image" Target="media/image83.png"/><Relationship Id="rId302" Type="http://schemas.openxmlformats.org/officeDocument/2006/relationships/hyperlink" Target="http://www.executiveboard.com/" TargetMode="External"/><Relationship Id="rId344" Type="http://schemas.openxmlformats.org/officeDocument/2006/relationships/hyperlink" Target="http://www.air-worldwide.com/" TargetMode="External"/><Relationship Id="rId41" Type="http://schemas.microsoft.com/office/2007/relationships/hdphoto" Target="media/hdphoto9.wdp"/><Relationship Id="rId83" Type="http://schemas.openxmlformats.org/officeDocument/2006/relationships/image" Target="media/image51.png"/><Relationship Id="rId179" Type="http://schemas.microsoft.com/office/2007/relationships/hdphoto" Target="media/hdphoto65.wdp"/><Relationship Id="rId386" Type="http://schemas.openxmlformats.org/officeDocument/2006/relationships/hyperlink" Target="http://www.futuresstrategygroup.com/" TargetMode="External"/><Relationship Id="rId551" Type="http://schemas.openxmlformats.org/officeDocument/2006/relationships/hyperlink" Target="http://thefuturesagency.com/" TargetMode="External"/><Relationship Id="rId593" Type="http://schemas.openxmlformats.org/officeDocument/2006/relationships/image" Target="media/image171.png"/><Relationship Id="rId190" Type="http://schemas.openxmlformats.org/officeDocument/2006/relationships/image" Target="media/image113.png"/><Relationship Id="rId204" Type="http://schemas.microsoft.com/office/2007/relationships/hdphoto" Target="media/hdphoto77.wdp"/><Relationship Id="rId246" Type="http://schemas.openxmlformats.org/officeDocument/2006/relationships/image" Target="media/image142.png"/><Relationship Id="rId288" Type="http://schemas.openxmlformats.org/officeDocument/2006/relationships/hyperlink" Target="http://www.atkearney.com/" TargetMode="External"/><Relationship Id="rId411" Type="http://schemas.openxmlformats.org/officeDocument/2006/relationships/hyperlink" Target="http://www.iiasa.ac.at/" TargetMode="External"/><Relationship Id="rId453" Type="http://schemas.openxmlformats.org/officeDocument/2006/relationships/hyperlink" Target="http://www.technopolis-group.com/site/" TargetMode="External"/><Relationship Id="rId509" Type="http://schemas.openxmlformats.org/officeDocument/2006/relationships/hyperlink" Target="http://futuresfoundation.org.au/" TargetMode="External"/><Relationship Id="rId106" Type="http://schemas.microsoft.com/office/2007/relationships/hdphoto" Target="media/hdphoto34.wdp"/><Relationship Id="rId313" Type="http://schemas.openxmlformats.org/officeDocument/2006/relationships/hyperlink" Target="http://www.fticonsulting.com/" TargetMode="External"/><Relationship Id="rId495" Type="http://schemas.openxmlformats.org/officeDocument/2006/relationships/hyperlink" Target="http://www.foresightinternational.com.au/" TargetMode="External"/><Relationship Id="rId10" Type="http://schemas.openxmlformats.org/officeDocument/2006/relationships/image" Target="media/image2.png"/><Relationship Id="rId52" Type="http://schemas.microsoft.com/office/2007/relationships/hdphoto" Target="media/hdphoto14.wdp"/><Relationship Id="rId94" Type="http://schemas.microsoft.com/office/2007/relationships/hdphoto" Target="media/hdphoto30.wdp"/><Relationship Id="rId148" Type="http://schemas.openxmlformats.org/officeDocument/2006/relationships/image" Target="media/image89.png"/><Relationship Id="rId355" Type="http://schemas.openxmlformats.org/officeDocument/2006/relationships/hyperlink" Target="http://www.cifs.dk/en/" TargetMode="External"/><Relationship Id="rId397" Type="http://schemas.openxmlformats.org/officeDocument/2006/relationships/hyperlink" Target="http://www.ihs.com/products/global-insight/index.aspx?pu=1&amp;rd=globalinsight_com" TargetMode="External"/><Relationship Id="rId520" Type="http://schemas.openxmlformats.org/officeDocument/2006/relationships/hyperlink" Target="http://globalfuturist.com/" TargetMode="External"/><Relationship Id="rId562" Type="http://schemas.openxmlformats.org/officeDocument/2006/relationships/hyperlink" Target="https://hbr.org/2019/04/podcast-exponential-view" TargetMode="External"/><Relationship Id="rId215" Type="http://schemas.microsoft.com/office/2007/relationships/hdphoto" Target="media/hdphoto82.wdp"/><Relationship Id="rId257" Type="http://schemas.microsoft.com/office/2007/relationships/hdphoto" Target="media/hdphoto102.wdp"/><Relationship Id="rId422" Type="http://schemas.openxmlformats.org/officeDocument/2006/relationships/hyperlink" Target="http://magellis.fr/" TargetMode="External"/><Relationship Id="rId464" Type="http://schemas.openxmlformats.org/officeDocument/2006/relationships/hyperlink" Target="http://weineredrichbrown.com/" TargetMode="External"/><Relationship Id="rId299" Type="http://schemas.openxmlformats.org/officeDocument/2006/relationships/hyperlink" Target="http://www.bcg.com/" TargetMode="External"/><Relationship Id="rId63" Type="http://schemas.openxmlformats.org/officeDocument/2006/relationships/image" Target="media/image38.png"/><Relationship Id="rId159" Type="http://schemas.openxmlformats.org/officeDocument/2006/relationships/image" Target="media/image95.png"/><Relationship Id="rId366" Type="http://schemas.openxmlformats.org/officeDocument/2006/relationships/hyperlink" Target="http://www.eiu.com/" TargetMode="External"/><Relationship Id="rId573" Type="http://schemas.openxmlformats.org/officeDocument/2006/relationships/hyperlink" Target="https://disruptors.fm/about/" TargetMode="External"/><Relationship Id="rId226" Type="http://schemas.openxmlformats.org/officeDocument/2006/relationships/image" Target="media/image132.png"/><Relationship Id="rId433" Type="http://schemas.openxmlformats.org/officeDocument/2006/relationships/hyperlink" Target="http://www.psfk.com/" TargetMode="External"/><Relationship Id="rId74" Type="http://schemas.microsoft.com/office/2007/relationships/hdphoto" Target="media/hdphoto23.wdp"/><Relationship Id="rId377" Type="http://schemas.openxmlformats.org/officeDocument/2006/relationships/hyperlink" Target="http://www.int.fraunhofer.de/" TargetMode="External"/><Relationship Id="rId500" Type="http://schemas.openxmlformats.org/officeDocument/2006/relationships/hyperlink" Target="http://futurescorp.com/" TargetMode="External"/><Relationship Id="rId584" Type="http://schemas.microsoft.com/office/2007/relationships/hdphoto" Target="media/hdphoto117.wdp"/><Relationship Id="rId5" Type="http://schemas.openxmlformats.org/officeDocument/2006/relationships/webSettings" Target="webSettings.xml"/><Relationship Id="rId237" Type="http://schemas.microsoft.com/office/2007/relationships/hdphoto" Target="media/hdphoto93.wdp"/><Relationship Id="rId444" Type="http://schemas.openxmlformats.org/officeDocument/2006/relationships/hyperlink" Target="http://singularityu.org/" TargetMode="External"/><Relationship Id="rId290" Type="http://schemas.openxmlformats.org/officeDocument/2006/relationships/hyperlink" Target="http://www.accenture.com/" TargetMode="External"/><Relationship Id="rId304" Type="http://schemas.openxmlformats.org/officeDocument/2006/relationships/hyperlink" Target="http://www.cornerstone.com/" TargetMode="External"/><Relationship Id="rId388" Type="http://schemas.openxmlformats.org/officeDocument/2006/relationships/hyperlink" Target="http://www.gallupconsulting.com/" TargetMode="External"/><Relationship Id="rId511" Type="http://schemas.openxmlformats.org/officeDocument/2006/relationships/hyperlink" Target="http://www.futurewise.se/omforetaget/" TargetMode="External"/><Relationship Id="rId85" Type="http://schemas.openxmlformats.org/officeDocument/2006/relationships/image" Target="media/image52.png"/><Relationship Id="rId150" Type="http://schemas.openxmlformats.org/officeDocument/2006/relationships/image" Target="media/image90.png"/><Relationship Id="rId595" Type="http://schemas.openxmlformats.org/officeDocument/2006/relationships/image" Target="media/image172.png"/><Relationship Id="rId248" Type="http://schemas.openxmlformats.org/officeDocument/2006/relationships/image" Target="media/image143.png"/><Relationship Id="rId455" Type="http://schemas.openxmlformats.org/officeDocument/2006/relationships/hyperlink" Target="http://millennium-project.org/" TargetMode="External"/><Relationship Id="rId12" Type="http://schemas.openxmlformats.org/officeDocument/2006/relationships/image" Target="media/image3.png"/><Relationship Id="rId108" Type="http://schemas.openxmlformats.org/officeDocument/2006/relationships/image" Target="media/image67.png"/><Relationship Id="rId315" Type="http://schemas.openxmlformats.org/officeDocument/2006/relationships/hyperlink" Target="http://www.hewitt.com/" TargetMode="External"/><Relationship Id="rId522" Type="http://schemas.openxmlformats.org/officeDocument/2006/relationships/hyperlink" Target="http://intelligent-future.com/" TargetMode="External"/><Relationship Id="rId96" Type="http://schemas.microsoft.com/office/2007/relationships/hdphoto" Target="media/hdphoto31.wdp"/><Relationship Id="rId161" Type="http://schemas.openxmlformats.org/officeDocument/2006/relationships/image" Target="media/image96.png"/><Relationship Id="rId399" Type="http://schemas.openxmlformats.org/officeDocument/2006/relationships/hyperlink" Target="http://www.innovation-framework.com/" TargetMode="External"/><Relationship Id="rId259" Type="http://schemas.microsoft.com/office/2007/relationships/hdphoto" Target="media/hdphoto103.wdp"/><Relationship Id="rId466" Type="http://schemas.openxmlformats.org/officeDocument/2006/relationships/hyperlink" Target="http://www.wikistrat.com/" TargetMode="External"/><Relationship Id="rId23" Type="http://schemas.openxmlformats.org/officeDocument/2006/relationships/image" Target="media/image11.png"/><Relationship Id="rId119" Type="http://schemas.openxmlformats.org/officeDocument/2006/relationships/image" Target="media/image73.png"/><Relationship Id="rId326" Type="http://schemas.openxmlformats.org/officeDocument/2006/relationships/hyperlink" Target="http://www.monitor.com/" TargetMode="External"/><Relationship Id="rId533" Type="http://schemas.openxmlformats.org/officeDocument/2006/relationships/hyperlink" Target="http://www.magellis.eu/" TargetMode="External"/><Relationship Id="rId172" Type="http://schemas.microsoft.com/office/2007/relationships/hdphoto" Target="media/hdphoto63.wdp"/><Relationship Id="rId477" Type="http://schemas.openxmlformats.org/officeDocument/2006/relationships/hyperlink" Target="http://www.alternativefutures.fi/" TargetMode="External"/><Relationship Id="rId600" Type="http://schemas.microsoft.com/office/2007/relationships/hdphoto" Target="media/hdphoto125.wdp"/><Relationship Id="rId337" Type="http://schemas.openxmlformats.org/officeDocument/2006/relationships/hyperlink" Target="http://www.rolandberger.com/" TargetMode="External"/><Relationship Id="rId34" Type="http://schemas.openxmlformats.org/officeDocument/2006/relationships/image" Target="media/image21.png"/><Relationship Id="rId544" Type="http://schemas.openxmlformats.org/officeDocument/2006/relationships/hyperlink" Target="http://stratedgy.co.nz/" TargetMode="External"/><Relationship Id="rId183" Type="http://schemas.microsoft.com/office/2007/relationships/hdphoto" Target="media/hdphoto67.wdp"/><Relationship Id="rId390" Type="http://schemas.openxmlformats.org/officeDocument/2006/relationships/hyperlink" Target="http://www.linkedin.com/company/global-business-network" TargetMode="External"/><Relationship Id="rId404" Type="http://schemas.openxmlformats.org/officeDocument/2006/relationships/hyperlink" Target="http://innovaro.com/" TargetMode="External"/><Relationship Id="rId250" Type="http://schemas.openxmlformats.org/officeDocument/2006/relationships/image" Target="media/image144.png"/><Relationship Id="rId488" Type="http://schemas.openxmlformats.org/officeDocument/2006/relationships/hyperlink" Target="http://www.eufo.org/" TargetMode="External"/><Relationship Id="rId45" Type="http://schemas.openxmlformats.org/officeDocument/2006/relationships/image" Target="media/image28.png"/><Relationship Id="rId110" Type="http://schemas.openxmlformats.org/officeDocument/2006/relationships/image" Target="media/image68.png"/><Relationship Id="rId348" Type="http://schemas.openxmlformats.org/officeDocument/2006/relationships/hyperlink" Target="http://www.ait.ac.at/" TargetMode="External"/><Relationship Id="rId555" Type="http://schemas.openxmlformats.org/officeDocument/2006/relationships/hyperlink" Target="http://www.innovation-triz.com/" TargetMode="External"/><Relationship Id="rId194" Type="http://schemas.openxmlformats.org/officeDocument/2006/relationships/image" Target="media/image115.png"/><Relationship Id="rId208" Type="http://schemas.microsoft.com/office/2007/relationships/hdphoto" Target="media/hdphoto79.wdp"/><Relationship Id="rId415" Type="http://schemas.openxmlformats.org/officeDocument/2006/relationships/hyperlink" Target="http://www.ipsos-na.com/research/marketing/forecasting/" TargetMode="External"/><Relationship Id="rId261" Type="http://schemas.microsoft.com/office/2007/relationships/hdphoto" Target="media/hdphoto104.wdp"/><Relationship Id="rId499" Type="http://schemas.openxmlformats.org/officeDocument/2006/relationships/hyperlink" Target="http://www.futuramb.s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9BF8CB-8302-4A31-976A-BBE3C36241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410</TotalTime>
  <Pages>154</Pages>
  <Words>187403</Words>
  <Characters>1068201</Characters>
  <Application>Microsoft Office Word</Application>
  <DocSecurity>0</DocSecurity>
  <Lines>8901</Lines>
  <Paragraphs>2506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1253098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1400.05.02</dc:creator>
  <cp:keywords/>
  <dc:description/>
  <cp:lastModifiedBy>mesbah sivandian</cp:lastModifiedBy>
  <cp:revision>19</cp:revision>
  <cp:lastPrinted>2023-02-20T21:24:00Z</cp:lastPrinted>
  <dcterms:created xsi:type="dcterms:W3CDTF">2023-02-20T13:36:00Z</dcterms:created>
  <dcterms:modified xsi:type="dcterms:W3CDTF">2024-02-26T14:27:00Z</dcterms:modified>
</cp:coreProperties>
</file>